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5.xml" ContentType="application/vnd.openxmlformats-officedocument.drawingml.chart+xml"/>
  <Override PartName="/word/drawings/drawing2.xml" ContentType="application/vnd.openxmlformats-officedocument.drawingml.chartshapes+xml"/>
  <Override PartName="/word/charts/chart16.xml" ContentType="application/vnd.openxmlformats-officedocument.drawingml.chart+xml"/>
  <Override PartName="/word/charts/chart17.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8.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9.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20.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5.xml" ContentType="application/vnd.openxmlformats-officedocument.themeOverride+xml"/>
  <Override PartName="/word/charts/chart21.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6.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22.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7.xml" ContentType="application/vnd.openxmlformats-officedocument.themeOverride+xml"/>
  <Override PartName="/word/charts/chart23.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4.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5.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6.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7.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8.xml" ContentType="application/vnd.openxmlformats-officedocument.drawingml.chart+xml"/>
  <Override PartName="/word/charts/chart29.xml" ContentType="application/vnd.openxmlformats-officedocument.drawingml.chart+xml"/>
  <Override PartName="/word/charts/style24.xml" ContentType="application/vnd.ms-office.chartstyle+xml"/>
  <Override PartName="/word/charts/colors24.xml" ContentType="application/vnd.ms-office.chartcolorstyle+xml"/>
  <Override PartName="/word/footer2.xml" ContentType="application/vnd.openxmlformats-officedocument.wordprocessingml.footer+xml"/>
  <Override PartName="/word/charts/chart30.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31.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2.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3.xml" ContentType="application/vnd.openxmlformats-officedocument.drawingml.chart+xml"/>
  <Override PartName="/word/charts/chart34.xml" ContentType="application/vnd.openxmlformats-officedocument.drawingml.chart+xml"/>
  <Override PartName="/word/charts/chart35.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6.xml" ContentType="application/vnd.openxmlformats-officedocument.drawingml.chart+xml"/>
  <Override PartName="/word/charts/chart37.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8.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9.xml" ContentType="application/vnd.openxmlformats-officedocument.drawingml.chart+xml"/>
  <Override PartName="/word/charts/style31.xml" ContentType="application/vnd.ms-office.chartstyle+xml"/>
  <Override PartName="/word/charts/colors31.xml" ContentType="application/vnd.ms-office.chartcolorstyle+xml"/>
  <Override PartName="/word/footer3.xml" ContentType="application/vnd.openxmlformats-officedocument.wordprocessingml.footer+xml"/>
  <Override PartName="/word/charts/chart40.xml" ContentType="application/vnd.openxmlformats-officedocument.drawingml.chart+xml"/>
  <Override PartName="/word/charts/chart41.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42.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43.xml" ContentType="application/vnd.openxmlformats-officedocument.drawingml.chart+xml"/>
  <Override PartName="/word/charts/chart4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4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46.xml" ContentType="application/vnd.openxmlformats-officedocument.drawingml.chart+xml"/>
  <Override PartName="/word/charts/style36.xml" ContentType="application/vnd.ms-office.chartstyle+xml"/>
  <Override PartName="/word/charts/colors36.xml" ContentType="application/vnd.ms-office.chartcolorstyle+xml"/>
  <Override PartName="/word/theme/themeOverride8.xml" ContentType="application/vnd.openxmlformats-officedocument.themeOverride+xml"/>
  <Override PartName="/word/charts/chart4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9.xml" ContentType="application/vnd.openxmlformats-officedocument.drawingml.chart+xml"/>
  <Override PartName="/word/charts/style39.xml" ContentType="application/vnd.ms-office.chartstyle+xml"/>
  <Override PartName="/word/charts/colors39.xml" ContentType="application/vnd.ms-office.chartcolorstyle+xml"/>
  <Override PartName="/word/theme/themeOverride9.xml" ContentType="application/vnd.openxmlformats-officedocument.themeOverride+xml"/>
  <Override PartName="/word/charts/chart50.xml" ContentType="application/vnd.openxmlformats-officedocument.drawingml.chart+xml"/>
  <Override PartName="/word/charts/chart51.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52.xml" ContentType="application/vnd.openxmlformats-officedocument.drawingml.chart+xml"/>
  <Override PartName="/word/charts/style41.xml" ContentType="application/vnd.ms-office.chartstyle+xml"/>
  <Override PartName="/word/charts/colors41.xml" ContentType="application/vnd.ms-office.chartcolorstyle+xml"/>
  <Override PartName="/word/theme/themeOverride10.xml" ContentType="application/vnd.openxmlformats-officedocument.themeOverride+xml"/>
  <Override PartName="/word/charts/chart53.xml" ContentType="application/vnd.openxmlformats-officedocument.drawingml.chart+xml"/>
  <Override PartName="/word/charts/chart54.xml" ContentType="application/vnd.openxmlformats-officedocument.drawingml.chart+xml"/>
  <Override PartName="/word/charts/style42.xml" ContentType="application/vnd.ms-office.chartstyle+xml"/>
  <Override PartName="/word/charts/colors42.xml" ContentType="application/vnd.ms-office.chartcolorstyle+xml"/>
  <Override PartName="/word/theme/themeOverride11.xml" ContentType="application/vnd.openxmlformats-officedocument.themeOverride+xml"/>
  <Override PartName="/word/charts/chart55.xml" ContentType="application/vnd.openxmlformats-officedocument.drawingml.chart+xml"/>
  <Override PartName="/word/charts/style43.xml" ContentType="application/vnd.ms-office.chartstyle+xml"/>
  <Override PartName="/word/charts/colors43.xml" ContentType="application/vnd.ms-office.chartcolorstyle+xml"/>
  <Override PartName="/word/theme/themeOverride12.xml" ContentType="application/vnd.openxmlformats-officedocument.themeOverride+xml"/>
  <Override PartName="/word/charts/chart56.xml" ContentType="application/vnd.openxmlformats-officedocument.drawingml.chart+xml"/>
  <Override PartName="/word/charts/chart57.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0AE8D8" w14:textId="77777777" w:rsidR="00476A71" w:rsidRDefault="00476A71" w:rsidP="00117582">
      <w:pPr>
        <w:spacing w:before="239" w:line="184" w:lineRule="auto"/>
        <w:ind w:right="417"/>
        <w:rPr>
          <w:rFonts w:eastAsia="Calibri"/>
        </w:rPr>
      </w:pPr>
      <w:bookmarkStart w:id="0" w:name="_Hlk28915395"/>
      <w:bookmarkStart w:id="1" w:name="_Hlk35455557"/>
      <w:r>
        <w:rPr>
          <w:rFonts w:eastAsia="Calibri"/>
          <w:noProof/>
          <w:lang w:eastAsia="hr-HR"/>
        </w:rPr>
        <w:drawing>
          <wp:anchor distT="0" distB="0" distL="114300" distR="114300" simplePos="0" relativeHeight="251717120" behindDoc="1" locked="0" layoutInCell="1" allowOverlap="1" wp14:anchorId="47B73C58" wp14:editId="18C9940A">
            <wp:simplePos x="0" y="0"/>
            <wp:positionH relativeFrom="page">
              <wp:posOffset>1</wp:posOffset>
            </wp:positionH>
            <wp:positionV relativeFrom="paragraph">
              <wp:posOffset>-850900</wp:posOffset>
            </wp:positionV>
            <wp:extent cx="7543612" cy="10934065"/>
            <wp:effectExtent l="0" t="0" r="635" b="635"/>
            <wp:wrapNone/>
            <wp:docPr id="4" name="Picture 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4NASLOVNICA -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45820" cy="10937266"/>
                    </a:xfrm>
                    <a:prstGeom prst="rect">
                      <a:avLst/>
                    </a:prstGeom>
                  </pic:spPr>
                </pic:pic>
              </a:graphicData>
            </a:graphic>
            <wp14:sizeRelH relativeFrom="margin">
              <wp14:pctWidth>0</wp14:pctWidth>
            </wp14:sizeRelH>
            <wp14:sizeRelV relativeFrom="margin">
              <wp14:pctHeight>0</wp14:pctHeight>
            </wp14:sizeRelV>
          </wp:anchor>
        </w:drawing>
      </w:r>
    </w:p>
    <w:p w14:paraId="2F956E66" w14:textId="306B939E" w:rsidR="009B576D" w:rsidRDefault="009B576D" w:rsidP="00117582">
      <w:pPr>
        <w:spacing w:before="239" w:line="184" w:lineRule="auto"/>
        <w:ind w:right="417"/>
        <w:rPr>
          <w:rFonts w:eastAsia="Calibri"/>
        </w:rPr>
      </w:pPr>
      <w:r>
        <w:rPr>
          <w:rFonts w:eastAsia="Calibri"/>
        </w:rPr>
        <w:br w:type="page"/>
      </w:r>
    </w:p>
    <w:bookmarkStart w:id="2" w:name="_Toc85181265" w:displacedByCustomXml="next"/>
    <w:bookmarkStart w:id="3" w:name="_Hlk58228956" w:displacedByCustomXml="next"/>
    <w:sdt>
      <w:sdtPr>
        <w:rPr>
          <w:rFonts w:eastAsiaTheme="minorEastAsia" w:cstheme="minorBidi"/>
          <w:color w:val="3F3F3F" w:themeColor="text1" w:themeShade="80"/>
          <w:sz w:val="18"/>
          <w:szCs w:val="21"/>
        </w:rPr>
        <w:id w:val="809372371"/>
        <w:docPartObj>
          <w:docPartGallery w:val="Table of Contents"/>
          <w:docPartUnique/>
        </w:docPartObj>
      </w:sdtPr>
      <w:sdtEndPr/>
      <w:sdtContent>
        <w:p w14:paraId="668CCEED" w14:textId="12B90411" w:rsidR="008878A0" w:rsidRDefault="008878A0" w:rsidP="001B1365">
          <w:pPr>
            <w:pStyle w:val="Naslov1"/>
            <w:numPr>
              <w:ilvl w:val="0"/>
              <w:numId w:val="0"/>
            </w:numPr>
            <w:ind w:left="456" w:hanging="456"/>
          </w:pPr>
          <w:r>
            <w:t>Sadržaj</w:t>
          </w:r>
          <w:bookmarkEnd w:id="2"/>
        </w:p>
        <w:p w14:paraId="5EDDBED0" w14:textId="538CF594" w:rsidR="009B576D" w:rsidRPr="009B576D" w:rsidRDefault="009B576D" w:rsidP="009B576D"/>
        <w:p w14:paraId="7D2BE859" w14:textId="5BB39521" w:rsidR="00CF4B96" w:rsidRDefault="008878A0">
          <w:pPr>
            <w:pStyle w:val="Sadraj1"/>
            <w:rPr>
              <w:rFonts w:asciiTheme="minorHAnsi" w:eastAsiaTheme="minorEastAsia" w:hAnsiTheme="minorHAnsi"/>
              <w:color w:val="auto"/>
              <w:spacing w:val="0"/>
              <w:sz w:val="22"/>
              <w:szCs w:val="22"/>
              <w:lang w:eastAsia="hr-HR"/>
            </w:rPr>
          </w:pPr>
          <w:r w:rsidRPr="00C729AA">
            <w:rPr>
              <w:color w:val="3F3F3F" w:themeColor="text1" w:themeShade="80"/>
            </w:rPr>
            <w:fldChar w:fldCharType="begin"/>
          </w:r>
          <w:r w:rsidRPr="00C729AA">
            <w:rPr>
              <w:color w:val="3F3F3F" w:themeColor="text1" w:themeShade="80"/>
            </w:rPr>
            <w:instrText xml:space="preserve"> TOC \o "1-3" \h \z \u </w:instrText>
          </w:r>
          <w:r w:rsidRPr="00C729AA">
            <w:rPr>
              <w:color w:val="3F3F3F" w:themeColor="text1" w:themeShade="80"/>
            </w:rPr>
            <w:fldChar w:fldCharType="separate"/>
          </w:r>
          <w:hyperlink w:anchor="_Toc85181265" w:history="1">
            <w:r w:rsidR="00CF4B96" w:rsidRPr="00130F56">
              <w:rPr>
                <w:rStyle w:val="Hiperveza"/>
              </w:rPr>
              <w:t>Sadržaj</w:t>
            </w:r>
            <w:r w:rsidR="00CF4B96">
              <w:rPr>
                <w:webHidden/>
              </w:rPr>
              <w:tab/>
            </w:r>
            <w:r w:rsidR="00CF4B96">
              <w:rPr>
                <w:webHidden/>
              </w:rPr>
              <w:fldChar w:fldCharType="begin"/>
            </w:r>
            <w:r w:rsidR="00CF4B96">
              <w:rPr>
                <w:webHidden/>
              </w:rPr>
              <w:instrText xml:space="preserve"> PAGEREF _Toc85181265 \h </w:instrText>
            </w:r>
            <w:r w:rsidR="00CF4B96">
              <w:rPr>
                <w:webHidden/>
              </w:rPr>
            </w:r>
            <w:r w:rsidR="00CF4B96">
              <w:rPr>
                <w:webHidden/>
              </w:rPr>
              <w:fldChar w:fldCharType="separate"/>
            </w:r>
            <w:r w:rsidR="00CF4B96">
              <w:rPr>
                <w:webHidden/>
              </w:rPr>
              <w:t>II</w:t>
            </w:r>
            <w:r w:rsidR="00CF4B96">
              <w:rPr>
                <w:webHidden/>
              </w:rPr>
              <w:fldChar w:fldCharType="end"/>
            </w:r>
          </w:hyperlink>
        </w:p>
        <w:p w14:paraId="187D9DA3" w14:textId="7D88F541" w:rsidR="00CF4B96" w:rsidRDefault="00CF4B96">
          <w:pPr>
            <w:pStyle w:val="Sadraj1"/>
            <w:rPr>
              <w:rFonts w:asciiTheme="minorHAnsi" w:eastAsiaTheme="minorEastAsia" w:hAnsiTheme="minorHAnsi"/>
              <w:color w:val="auto"/>
              <w:spacing w:val="0"/>
              <w:sz w:val="22"/>
              <w:szCs w:val="22"/>
              <w:lang w:eastAsia="hr-HR"/>
            </w:rPr>
          </w:pPr>
          <w:hyperlink w:anchor="_Toc85181266" w:history="1">
            <w:r w:rsidRPr="00130F56">
              <w:rPr>
                <w:rStyle w:val="Hiperveza"/>
                <w:rFonts w:eastAsiaTheme="majorEastAsia"/>
                <w:b/>
                <w:spacing w:val="15"/>
              </w:rPr>
              <w:t>Popis kratica</w:t>
            </w:r>
            <w:r>
              <w:rPr>
                <w:webHidden/>
              </w:rPr>
              <w:tab/>
            </w:r>
            <w:r>
              <w:rPr>
                <w:webHidden/>
              </w:rPr>
              <w:fldChar w:fldCharType="begin"/>
            </w:r>
            <w:r>
              <w:rPr>
                <w:webHidden/>
              </w:rPr>
              <w:instrText xml:space="preserve"> PAGEREF _Toc85181266 \h </w:instrText>
            </w:r>
            <w:r>
              <w:rPr>
                <w:webHidden/>
              </w:rPr>
            </w:r>
            <w:r>
              <w:rPr>
                <w:webHidden/>
              </w:rPr>
              <w:fldChar w:fldCharType="separate"/>
            </w:r>
            <w:r>
              <w:rPr>
                <w:webHidden/>
              </w:rPr>
              <w:t>1</w:t>
            </w:r>
            <w:r>
              <w:rPr>
                <w:webHidden/>
              </w:rPr>
              <w:fldChar w:fldCharType="end"/>
            </w:r>
          </w:hyperlink>
        </w:p>
        <w:p w14:paraId="26154112" w14:textId="4993C3E5" w:rsidR="00CF4B96" w:rsidRDefault="00CF4B96">
          <w:pPr>
            <w:pStyle w:val="Sadraj1"/>
            <w:tabs>
              <w:tab w:val="left" w:pos="440"/>
            </w:tabs>
            <w:rPr>
              <w:rFonts w:asciiTheme="minorHAnsi" w:eastAsiaTheme="minorEastAsia" w:hAnsiTheme="minorHAnsi"/>
              <w:color w:val="auto"/>
              <w:spacing w:val="0"/>
              <w:sz w:val="22"/>
              <w:szCs w:val="22"/>
              <w:lang w:eastAsia="hr-HR"/>
            </w:rPr>
          </w:pPr>
          <w:hyperlink w:anchor="_Toc85181267" w:history="1">
            <w:r w:rsidRPr="00130F56">
              <w:rPr>
                <w:rStyle w:val="Hiperveza"/>
                <w:rFonts w:eastAsiaTheme="majorEastAsia"/>
                <w:b/>
                <w:spacing w:val="15"/>
              </w:rPr>
              <w:t>1.</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TERITORIJALNA OBILJEŽJA KZŽ</w:t>
            </w:r>
            <w:r>
              <w:rPr>
                <w:webHidden/>
              </w:rPr>
              <w:tab/>
            </w:r>
            <w:r>
              <w:rPr>
                <w:webHidden/>
              </w:rPr>
              <w:fldChar w:fldCharType="begin"/>
            </w:r>
            <w:r>
              <w:rPr>
                <w:webHidden/>
              </w:rPr>
              <w:instrText xml:space="preserve"> PAGEREF _Toc85181267 \h </w:instrText>
            </w:r>
            <w:r>
              <w:rPr>
                <w:webHidden/>
              </w:rPr>
            </w:r>
            <w:r>
              <w:rPr>
                <w:webHidden/>
              </w:rPr>
              <w:fldChar w:fldCharType="separate"/>
            </w:r>
            <w:r>
              <w:rPr>
                <w:webHidden/>
              </w:rPr>
              <w:t>2</w:t>
            </w:r>
            <w:r>
              <w:rPr>
                <w:webHidden/>
              </w:rPr>
              <w:fldChar w:fldCharType="end"/>
            </w:r>
          </w:hyperlink>
        </w:p>
        <w:p w14:paraId="186E14A0" w14:textId="0C87A620" w:rsidR="00CF4B96" w:rsidRDefault="00CF4B96">
          <w:pPr>
            <w:pStyle w:val="Sadraj2"/>
            <w:tabs>
              <w:tab w:val="left" w:pos="880"/>
            </w:tabs>
            <w:rPr>
              <w:rFonts w:asciiTheme="minorHAnsi" w:hAnsiTheme="minorHAnsi"/>
              <w:noProof/>
              <w:color w:val="auto"/>
              <w:sz w:val="22"/>
              <w:szCs w:val="22"/>
              <w:lang w:eastAsia="hr-HR"/>
            </w:rPr>
          </w:pPr>
          <w:hyperlink w:anchor="_Toc85181268" w:history="1">
            <w:r w:rsidRPr="00130F56">
              <w:rPr>
                <w:rStyle w:val="Hiperveza"/>
                <w:noProof/>
              </w:rPr>
              <w:t>1.1.</w:t>
            </w:r>
            <w:r>
              <w:rPr>
                <w:rFonts w:asciiTheme="minorHAnsi" w:hAnsiTheme="minorHAnsi"/>
                <w:noProof/>
                <w:color w:val="auto"/>
                <w:sz w:val="22"/>
                <w:szCs w:val="22"/>
                <w:lang w:eastAsia="hr-HR"/>
              </w:rPr>
              <w:tab/>
            </w:r>
            <w:r w:rsidRPr="00130F56">
              <w:rPr>
                <w:rStyle w:val="Hiperveza"/>
                <w:noProof/>
              </w:rPr>
              <w:t>Geografski položaj</w:t>
            </w:r>
            <w:r>
              <w:rPr>
                <w:noProof/>
                <w:webHidden/>
              </w:rPr>
              <w:tab/>
            </w:r>
            <w:r>
              <w:rPr>
                <w:noProof/>
                <w:webHidden/>
              </w:rPr>
              <w:fldChar w:fldCharType="begin"/>
            </w:r>
            <w:r>
              <w:rPr>
                <w:noProof/>
                <w:webHidden/>
              </w:rPr>
              <w:instrText xml:space="preserve"> PAGEREF _Toc85181268 \h </w:instrText>
            </w:r>
            <w:r>
              <w:rPr>
                <w:noProof/>
                <w:webHidden/>
              </w:rPr>
            </w:r>
            <w:r>
              <w:rPr>
                <w:noProof/>
                <w:webHidden/>
              </w:rPr>
              <w:fldChar w:fldCharType="separate"/>
            </w:r>
            <w:r>
              <w:rPr>
                <w:noProof/>
                <w:webHidden/>
              </w:rPr>
              <w:t>2</w:t>
            </w:r>
            <w:r>
              <w:rPr>
                <w:noProof/>
                <w:webHidden/>
              </w:rPr>
              <w:fldChar w:fldCharType="end"/>
            </w:r>
          </w:hyperlink>
        </w:p>
        <w:p w14:paraId="521A03BC" w14:textId="1ED921FF" w:rsidR="00CF4B96" w:rsidRDefault="00CF4B96">
          <w:pPr>
            <w:pStyle w:val="Sadraj3"/>
            <w:tabs>
              <w:tab w:val="left" w:pos="1320"/>
            </w:tabs>
            <w:rPr>
              <w:rFonts w:asciiTheme="minorHAnsi" w:eastAsiaTheme="minorEastAsia" w:hAnsiTheme="minorHAnsi"/>
              <w:color w:val="auto"/>
              <w:sz w:val="22"/>
              <w:lang w:eastAsia="hr-HR"/>
            </w:rPr>
          </w:pPr>
          <w:hyperlink w:anchor="_Toc85181269" w:history="1">
            <w:r w:rsidRPr="00130F56">
              <w:rPr>
                <w:rStyle w:val="Hiperveza"/>
              </w:rPr>
              <w:t>1.1.1.</w:t>
            </w:r>
            <w:r>
              <w:rPr>
                <w:rFonts w:asciiTheme="minorHAnsi" w:eastAsiaTheme="minorEastAsia" w:hAnsiTheme="minorHAnsi"/>
                <w:color w:val="auto"/>
                <w:sz w:val="22"/>
                <w:lang w:eastAsia="hr-HR"/>
              </w:rPr>
              <w:tab/>
            </w:r>
            <w:r w:rsidRPr="00130F56">
              <w:rPr>
                <w:rStyle w:val="Hiperveza"/>
              </w:rPr>
              <w:t>Pogranična područja u KZŽ</w:t>
            </w:r>
            <w:r>
              <w:rPr>
                <w:webHidden/>
              </w:rPr>
              <w:tab/>
            </w:r>
            <w:r>
              <w:rPr>
                <w:webHidden/>
              </w:rPr>
              <w:fldChar w:fldCharType="begin"/>
            </w:r>
            <w:r>
              <w:rPr>
                <w:webHidden/>
              </w:rPr>
              <w:instrText xml:space="preserve"> PAGEREF _Toc85181269 \h </w:instrText>
            </w:r>
            <w:r>
              <w:rPr>
                <w:webHidden/>
              </w:rPr>
            </w:r>
            <w:r>
              <w:rPr>
                <w:webHidden/>
              </w:rPr>
              <w:fldChar w:fldCharType="separate"/>
            </w:r>
            <w:r>
              <w:rPr>
                <w:webHidden/>
              </w:rPr>
              <w:t>2</w:t>
            </w:r>
            <w:r>
              <w:rPr>
                <w:webHidden/>
              </w:rPr>
              <w:fldChar w:fldCharType="end"/>
            </w:r>
          </w:hyperlink>
        </w:p>
        <w:p w14:paraId="4B0E1352" w14:textId="552783BB" w:rsidR="00CF4B96" w:rsidRDefault="00CF4B96">
          <w:pPr>
            <w:pStyle w:val="Sadraj2"/>
            <w:tabs>
              <w:tab w:val="left" w:pos="880"/>
            </w:tabs>
            <w:rPr>
              <w:rFonts w:asciiTheme="minorHAnsi" w:hAnsiTheme="minorHAnsi"/>
              <w:noProof/>
              <w:color w:val="auto"/>
              <w:sz w:val="22"/>
              <w:szCs w:val="22"/>
              <w:lang w:eastAsia="hr-HR"/>
            </w:rPr>
          </w:pPr>
          <w:hyperlink w:anchor="_Toc85181270" w:history="1">
            <w:r w:rsidRPr="00130F56">
              <w:rPr>
                <w:rStyle w:val="Hiperveza"/>
                <w:noProof/>
              </w:rPr>
              <w:t>1.2.</w:t>
            </w:r>
            <w:r>
              <w:rPr>
                <w:rFonts w:asciiTheme="minorHAnsi" w:hAnsiTheme="minorHAnsi"/>
                <w:noProof/>
                <w:color w:val="auto"/>
                <w:sz w:val="22"/>
                <w:szCs w:val="22"/>
                <w:lang w:eastAsia="hr-HR"/>
              </w:rPr>
              <w:tab/>
            </w:r>
            <w:r w:rsidRPr="00130F56">
              <w:rPr>
                <w:rStyle w:val="Hiperveza"/>
                <w:noProof/>
              </w:rPr>
              <w:t>Administrativna podjela</w:t>
            </w:r>
            <w:r>
              <w:rPr>
                <w:noProof/>
                <w:webHidden/>
              </w:rPr>
              <w:tab/>
            </w:r>
            <w:r>
              <w:rPr>
                <w:noProof/>
                <w:webHidden/>
              </w:rPr>
              <w:fldChar w:fldCharType="begin"/>
            </w:r>
            <w:r>
              <w:rPr>
                <w:noProof/>
                <w:webHidden/>
              </w:rPr>
              <w:instrText xml:space="preserve"> PAGEREF _Toc85181270 \h </w:instrText>
            </w:r>
            <w:r>
              <w:rPr>
                <w:noProof/>
                <w:webHidden/>
              </w:rPr>
            </w:r>
            <w:r>
              <w:rPr>
                <w:noProof/>
                <w:webHidden/>
              </w:rPr>
              <w:fldChar w:fldCharType="separate"/>
            </w:r>
            <w:r>
              <w:rPr>
                <w:noProof/>
                <w:webHidden/>
              </w:rPr>
              <w:t>3</w:t>
            </w:r>
            <w:r>
              <w:rPr>
                <w:noProof/>
                <w:webHidden/>
              </w:rPr>
              <w:fldChar w:fldCharType="end"/>
            </w:r>
          </w:hyperlink>
        </w:p>
        <w:p w14:paraId="76080A53" w14:textId="1EE80548" w:rsidR="00CF4B96" w:rsidRDefault="00CF4B96">
          <w:pPr>
            <w:pStyle w:val="Sadraj3"/>
            <w:tabs>
              <w:tab w:val="left" w:pos="1320"/>
            </w:tabs>
            <w:rPr>
              <w:rFonts w:asciiTheme="minorHAnsi" w:eastAsiaTheme="minorEastAsia" w:hAnsiTheme="minorHAnsi"/>
              <w:color w:val="auto"/>
              <w:sz w:val="22"/>
              <w:lang w:eastAsia="hr-HR"/>
            </w:rPr>
          </w:pPr>
          <w:hyperlink w:anchor="_Toc85181271" w:history="1">
            <w:r w:rsidRPr="00130F56">
              <w:rPr>
                <w:rStyle w:val="Hiperveza"/>
              </w:rPr>
              <w:t>1.2.1.</w:t>
            </w:r>
            <w:r>
              <w:rPr>
                <w:rFonts w:asciiTheme="minorHAnsi" w:eastAsiaTheme="minorEastAsia" w:hAnsiTheme="minorHAnsi"/>
                <w:color w:val="auto"/>
                <w:sz w:val="22"/>
                <w:lang w:eastAsia="hr-HR"/>
              </w:rPr>
              <w:tab/>
            </w:r>
            <w:r w:rsidRPr="00130F56">
              <w:rPr>
                <w:rStyle w:val="Hiperveza"/>
              </w:rPr>
              <w:t>Urbana područja</w:t>
            </w:r>
            <w:r>
              <w:rPr>
                <w:webHidden/>
              </w:rPr>
              <w:tab/>
            </w:r>
            <w:r>
              <w:rPr>
                <w:webHidden/>
              </w:rPr>
              <w:fldChar w:fldCharType="begin"/>
            </w:r>
            <w:r>
              <w:rPr>
                <w:webHidden/>
              </w:rPr>
              <w:instrText xml:space="preserve"> PAGEREF _Toc85181271 \h </w:instrText>
            </w:r>
            <w:r>
              <w:rPr>
                <w:webHidden/>
              </w:rPr>
            </w:r>
            <w:r>
              <w:rPr>
                <w:webHidden/>
              </w:rPr>
              <w:fldChar w:fldCharType="separate"/>
            </w:r>
            <w:r>
              <w:rPr>
                <w:webHidden/>
              </w:rPr>
              <w:t>5</w:t>
            </w:r>
            <w:r>
              <w:rPr>
                <w:webHidden/>
              </w:rPr>
              <w:fldChar w:fldCharType="end"/>
            </w:r>
          </w:hyperlink>
        </w:p>
        <w:p w14:paraId="2D8114AE" w14:textId="724D49FE" w:rsidR="00CF4B96" w:rsidRDefault="00CF4B96">
          <w:pPr>
            <w:pStyle w:val="Sadraj3"/>
            <w:tabs>
              <w:tab w:val="left" w:pos="1320"/>
            </w:tabs>
            <w:rPr>
              <w:rFonts w:asciiTheme="minorHAnsi" w:eastAsiaTheme="minorEastAsia" w:hAnsiTheme="minorHAnsi"/>
              <w:color w:val="auto"/>
              <w:sz w:val="22"/>
              <w:lang w:eastAsia="hr-HR"/>
            </w:rPr>
          </w:pPr>
          <w:hyperlink w:anchor="_Toc85181272" w:history="1">
            <w:r w:rsidRPr="00130F56">
              <w:rPr>
                <w:rStyle w:val="Hiperveza"/>
              </w:rPr>
              <w:t>1.2.2.</w:t>
            </w:r>
            <w:r>
              <w:rPr>
                <w:rFonts w:asciiTheme="minorHAnsi" w:eastAsiaTheme="minorEastAsia" w:hAnsiTheme="minorHAnsi"/>
                <w:color w:val="auto"/>
                <w:sz w:val="22"/>
                <w:lang w:eastAsia="hr-HR"/>
              </w:rPr>
              <w:tab/>
            </w:r>
            <w:r w:rsidRPr="00130F56">
              <w:rPr>
                <w:rStyle w:val="Hiperveza"/>
              </w:rPr>
              <w:t>Brdsko- planinska područja</w:t>
            </w:r>
            <w:r>
              <w:rPr>
                <w:webHidden/>
              </w:rPr>
              <w:tab/>
            </w:r>
            <w:r>
              <w:rPr>
                <w:webHidden/>
              </w:rPr>
              <w:fldChar w:fldCharType="begin"/>
            </w:r>
            <w:r>
              <w:rPr>
                <w:webHidden/>
              </w:rPr>
              <w:instrText xml:space="preserve"> PAGEREF _Toc85181272 \h </w:instrText>
            </w:r>
            <w:r>
              <w:rPr>
                <w:webHidden/>
              </w:rPr>
            </w:r>
            <w:r>
              <w:rPr>
                <w:webHidden/>
              </w:rPr>
              <w:fldChar w:fldCharType="separate"/>
            </w:r>
            <w:r>
              <w:rPr>
                <w:webHidden/>
              </w:rPr>
              <w:t>6</w:t>
            </w:r>
            <w:r>
              <w:rPr>
                <w:webHidden/>
              </w:rPr>
              <w:fldChar w:fldCharType="end"/>
            </w:r>
          </w:hyperlink>
        </w:p>
        <w:p w14:paraId="4C031ADF" w14:textId="5E865652" w:rsidR="00CF4B96" w:rsidRDefault="00CF4B96">
          <w:pPr>
            <w:pStyle w:val="Sadraj3"/>
            <w:tabs>
              <w:tab w:val="left" w:pos="1320"/>
            </w:tabs>
            <w:rPr>
              <w:rFonts w:asciiTheme="minorHAnsi" w:eastAsiaTheme="minorEastAsia" w:hAnsiTheme="minorHAnsi"/>
              <w:color w:val="auto"/>
              <w:sz w:val="22"/>
              <w:lang w:eastAsia="hr-HR"/>
            </w:rPr>
          </w:pPr>
          <w:hyperlink w:anchor="_Toc85181273" w:history="1">
            <w:r w:rsidRPr="00130F56">
              <w:rPr>
                <w:rStyle w:val="Hiperveza"/>
              </w:rPr>
              <w:t>1.2.3.</w:t>
            </w:r>
            <w:r>
              <w:rPr>
                <w:rFonts w:asciiTheme="minorHAnsi" w:eastAsiaTheme="minorEastAsia" w:hAnsiTheme="minorHAnsi"/>
                <w:color w:val="auto"/>
                <w:sz w:val="22"/>
                <w:lang w:eastAsia="hr-HR"/>
              </w:rPr>
              <w:tab/>
            </w:r>
            <w:r w:rsidRPr="00130F56">
              <w:rPr>
                <w:rStyle w:val="Hiperveza"/>
              </w:rPr>
              <w:t>Potpomognuta područja</w:t>
            </w:r>
            <w:r>
              <w:rPr>
                <w:webHidden/>
              </w:rPr>
              <w:tab/>
            </w:r>
            <w:r>
              <w:rPr>
                <w:webHidden/>
              </w:rPr>
              <w:fldChar w:fldCharType="begin"/>
            </w:r>
            <w:r>
              <w:rPr>
                <w:webHidden/>
              </w:rPr>
              <w:instrText xml:space="preserve"> PAGEREF _Toc85181273 \h </w:instrText>
            </w:r>
            <w:r>
              <w:rPr>
                <w:webHidden/>
              </w:rPr>
            </w:r>
            <w:r>
              <w:rPr>
                <w:webHidden/>
              </w:rPr>
              <w:fldChar w:fldCharType="separate"/>
            </w:r>
            <w:r>
              <w:rPr>
                <w:webHidden/>
              </w:rPr>
              <w:t>6</w:t>
            </w:r>
            <w:r>
              <w:rPr>
                <w:webHidden/>
              </w:rPr>
              <w:fldChar w:fldCharType="end"/>
            </w:r>
          </w:hyperlink>
        </w:p>
        <w:p w14:paraId="2E2AB7AD" w14:textId="29F57262" w:rsidR="00CF4B96" w:rsidRDefault="00CF4B96">
          <w:pPr>
            <w:pStyle w:val="Sadraj1"/>
            <w:tabs>
              <w:tab w:val="left" w:pos="440"/>
            </w:tabs>
            <w:rPr>
              <w:rFonts w:asciiTheme="minorHAnsi" w:eastAsiaTheme="minorEastAsia" w:hAnsiTheme="minorHAnsi"/>
              <w:color w:val="auto"/>
              <w:spacing w:val="0"/>
              <w:sz w:val="22"/>
              <w:szCs w:val="22"/>
              <w:lang w:eastAsia="hr-HR"/>
            </w:rPr>
          </w:pPr>
          <w:hyperlink w:anchor="_Toc85181274" w:history="1">
            <w:r w:rsidRPr="00130F56">
              <w:rPr>
                <w:rStyle w:val="Hiperveza"/>
                <w:rFonts w:eastAsiaTheme="majorEastAsia"/>
                <w:b/>
                <w:spacing w:val="15"/>
              </w:rPr>
              <w:t>2.</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PRIRODNO-GEOGRAFSKA OBILJEŽJA</w:t>
            </w:r>
            <w:r>
              <w:rPr>
                <w:webHidden/>
              </w:rPr>
              <w:tab/>
            </w:r>
            <w:r>
              <w:rPr>
                <w:webHidden/>
              </w:rPr>
              <w:fldChar w:fldCharType="begin"/>
            </w:r>
            <w:r>
              <w:rPr>
                <w:webHidden/>
              </w:rPr>
              <w:instrText xml:space="preserve"> PAGEREF _Toc85181274 \h </w:instrText>
            </w:r>
            <w:r>
              <w:rPr>
                <w:webHidden/>
              </w:rPr>
            </w:r>
            <w:r>
              <w:rPr>
                <w:webHidden/>
              </w:rPr>
              <w:fldChar w:fldCharType="separate"/>
            </w:r>
            <w:r>
              <w:rPr>
                <w:webHidden/>
              </w:rPr>
              <w:t>8</w:t>
            </w:r>
            <w:r>
              <w:rPr>
                <w:webHidden/>
              </w:rPr>
              <w:fldChar w:fldCharType="end"/>
            </w:r>
          </w:hyperlink>
        </w:p>
        <w:p w14:paraId="37D53972" w14:textId="55D67702" w:rsidR="00CF4B96" w:rsidRDefault="00CF4B96">
          <w:pPr>
            <w:pStyle w:val="Sadraj2"/>
            <w:tabs>
              <w:tab w:val="left" w:pos="880"/>
            </w:tabs>
            <w:rPr>
              <w:rFonts w:asciiTheme="minorHAnsi" w:hAnsiTheme="minorHAnsi"/>
              <w:noProof/>
              <w:color w:val="auto"/>
              <w:sz w:val="22"/>
              <w:szCs w:val="22"/>
              <w:lang w:eastAsia="hr-HR"/>
            </w:rPr>
          </w:pPr>
          <w:hyperlink w:anchor="_Toc85181275" w:history="1">
            <w:r w:rsidRPr="00130F56">
              <w:rPr>
                <w:rStyle w:val="Hiperveza"/>
                <w:noProof/>
              </w:rPr>
              <w:t>2.1.</w:t>
            </w:r>
            <w:r>
              <w:rPr>
                <w:rFonts w:asciiTheme="minorHAnsi" w:hAnsiTheme="minorHAnsi"/>
                <w:noProof/>
                <w:color w:val="auto"/>
                <w:sz w:val="22"/>
                <w:szCs w:val="22"/>
                <w:lang w:eastAsia="hr-HR"/>
              </w:rPr>
              <w:tab/>
            </w:r>
            <w:r w:rsidRPr="00130F56">
              <w:rPr>
                <w:rStyle w:val="Hiperveza"/>
                <w:noProof/>
              </w:rPr>
              <w:t>Klimatska obilježja</w:t>
            </w:r>
            <w:r>
              <w:rPr>
                <w:noProof/>
                <w:webHidden/>
              </w:rPr>
              <w:tab/>
            </w:r>
            <w:r>
              <w:rPr>
                <w:noProof/>
                <w:webHidden/>
              </w:rPr>
              <w:fldChar w:fldCharType="begin"/>
            </w:r>
            <w:r>
              <w:rPr>
                <w:noProof/>
                <w:webHidden/>
              </w:rPr>
              <w:instrText xml:space="preserve"> PAGEREF _Toc85181275 \h </w:instrText>
            </w:r>
            <w:r>
              <w:rPr>
                <w:noProof/>
                <w:webHidden/>
              </w:rPr>
            </w:r>
            <w:r>
              <w:rPr>
                <w:noProof/>
                <w:webHidden/>
              </w:rPr>
              <w:fldChar w:fldCharType="separate"/>
            </w:r>
            <w:r>
              <w:rPr>
                <w:noProof/>
                <w:webHidden/>
              </w:rPr>
              <w:t>8</w:t>
            </w:r>
            <w:r>
              <w:rPr>
                <w:noProof/>
                <w:webHidden/>
              </w:rPr>
              <w:fldChar w:fldCharType="end"/>
            </w:r>
          </w:hyperlink>
        </w:p>
        <w:p w14:paraId="0A099CD7" w14:textId="2DE1224A" w:rsidR="00CF4B96" w:rsidRDefault="00CF4B96">
          <w:pPr>
            <w:pStyle w:val="Sadraj2"/>
            <w:tabs>
              <w:tab w:val="left" w:pos="880"/>
            </w:tabs>
            <w:rPr>
              <w:rFonts w:asciiTheme="minorHAnsi" w:hAnsiTheme="minorHAnsi"/>
              <w:noProof/>
              <w:color w:val="auto"/>
              <w:sz w:val="22"/>
              <w:szCs w:val="22"/>
              <w:lang w:eastAsia="hr-HR"/>
            </w:rPr>
          </w:pPr>
          <w:hyperlink w:anchor="_Toc85181276" w:history="1">
            <w:r w:rsidRPr="00130F56">
              <w:rPr>
                <w:rStyle w:val="Hiperveza"/>
                <w:noProof/>
              </w:rPr>
              <w:t>2.2.</w:t>
            </w:r>
            <w:r>
              <w:rPr>
                <w:rFonts w:asciiTheme="minorHAnsi" w:hAnsiTheme="minorHAnsi"/>
                <w:noProof/>
                <w:color w:val="auto"/>
                <w:sz w:val="22"/>
                <w:szCs w:val="22"/>
                <w:lang w:eastAsia="hr-HR"/>
              </w:rPr>
              <w:tab/>
            </w:r>
            <w:r w:rsidRPr="00130F56">
              <w:rPr>
                <w:rStyle w:val="Hiperveza"/>
                <w:noProof/>
              </w:rPr>
              <w:t>Prirodni resursi</w:t>
            </w:r>
            <w:r>
              <w:rPr>
                <w:noProof/>
                <w:webHidden/>
              </w:rPr>
              <w:tab/>
            </w:r>
            <w:r>
              <w:rPr>
                <w:noProof/>
                <w:webHidden/>
              </w:rPr>
              <w:fldChar w:fldCharType="begin"/>
            </w:r>
            <w:r>
              <w:rPr>
                <w:noProof/>
                <w:webHidden/>
              </w:rPr>
              <w:instrText xml:space="preserve"> PAGEREF _Toc85181276 \h </w:instrText>
            </w:r>
            <w:r>
              <w:rPr>
                <w:noProof/>
                <w:webHidden/>
              </w:rPr>
            </w:r>
            <w:r>
              <w:rPr>
                <w:noProof/>
                <w:webHidden/>
              </w:rPr>
              <w:fldChar w:fldCharType="separate"/>
            </w:r>
            <w:r>
              <w:rPr>
                <w:noProof/>
                <w:webHidden/>
              </w:rPr>
              <w:t>12</w:t>
            </w:r>
            <w:r>
              <w:rPr>
                <w:noProof/>
                <w:webHidden/>
              </w:rPr>
              <w:fldChar w:fldCharType="end"/>
            </w:r>
          </w:hyperlink>
        </w:p>
        <w:p w14:paraId="2DD29017" w14:textId="5F373463" w:rsidR="00CF4B96" w:rsidRDefault="00CF4B96">
          <w:pPr>
            <w:pStyle w:val="Sadraj2"/>
            <w:tabs>
              <w:tab w:val="left" w:pos="880"/>
            </w:tabs>
            <w:rPr>
              <w:rFonts w:asciiTheme="minorHAnsi" w:hAnsiTheme="minorHAnsi"/>
              <w:noProof/>
              <w:color w:val="auto"/>
              <w:sz w:val="22"/>
              <w:szCs w:val="22"/>
              <w:lang w:eastAsia="hr-HR"/>
            </w:rPr>
          </w:pPr>
          <w:hyperlink w:anchor="_Toc85181277" w:history="1">
            <w:r w:rsidRPr="00130F56">
              <w:rPr>
                <w:rStyle w:val="Hiperveza"/>
                <w:noProof/>
              </w:rPr>
              <w:t>2.3.</w:t>
            </w:r>
            <w:r>
              <w:rPr>
                <w:rFonts w:asciiTheme="minorHAnsi" w:hAnsiTheme="minorHAnsi"/>
                <w:noProof/>
                <w:color w:val="auto"/>
                <w:sz w:val="22"/>
                <w:szCs w:val="22"/>
                <w:lang w:eastAsia="hr-HR"/>
              </w:rPr>
              <w:tab/>
            </w:r>
            <w:r w:rsidRPr="00130F56">
              <w:rPr>
                <w:rStyle w:val="Hiperveza"/>
                <w:noProof/>
              </w:rPr>
              <w:t>Zaštićeni dijelovi prirode i ekološka mreža Natura 2000 u KZŽ</w:t>
            </w:r>
            <w:r>
              <w:rPr>
                <w:noProof/>
                <w:webHidden/>
              </w:rPr>
              <w:tab/>
            </w:r>
            <w:r>
              <w:rPr>
                <w:noProof/>
                <w:webHidden/>
              </w:rPr>
              <w:fldChar w:fldCharType="begin"/>
            </w:r>
            <w:r>
              <w:rPr>
                <w:noProof/>
                <w:webHidden/>
              </w:rPr>
              <w:instrText xml:space="preserve"> PAGEREF _Toc85181277 \h </w:instrText>
            </w:r>
            <w:r>
              <w:rPr>
                <w:noProof/>
                <w:webHidden/>
              </w:rPr>
            </w:r>
            <w:r>
              <w:rPr>
                <w:noProof/>
                <w:webHidden/>
              </w:rPr>
              <w:fldChar w:fldCharType="separate"/>
            </w:r>
            <w:r>
              <w:rPr>
                <w:noProof/>
                <w:webHidden/>
              </w:rPr>
              <w:t>14</w:t>
            </w:r>
            <w:r>
              <w:rPr>
                <w:noProof/>
                <w:webHidden/>
              </w:rPr>
              <w:fldChar w:fldCharType="end"/>
            </w:r>
          </w:hyperlink>
        </w:p>
        <w:p w14:paraId="01EE8DBD" w14:textId="52B21EAA" w:rsidR="00CF4B96" w:rsidRDefault="00CF4B96">
          <w:pPr>
            <w:pStyle w:val="Sadraj2"/>
            <w:tabs>
              <w:tab w:val="left" w:pos="880"/>
            </w:tabs>
            <w:rPr>
              <w:rFonts w:asciiTheme="minorHAnsi" w:hAnsiTheme="minorHAnsi"/>
              <w:noProof/>
              <w:color w:val="auto"/>
              <w:sz w:val="22"/>
              <w:szCs w:val="22"/>
              <w:lang w:eastAsia="hr-HR"/>
            </w:rPr>
          </w:pPr>
          <w:hyperlink w:anchor="_Toc85181278" w:history="1">
            <w:r w:rsidRPr="00130F56">
              <w:rPr>
                <w:rStyle w:val="Hiperveza"/>
                <w:noProof/>
              </w:rPr>
              <w:t>2.4.</w:t>
            </w:r>
            <w:r>
              <w:rPr>
                <w:rFonts w:asciiTheme="minorHAnsi" w:hAnsiTheme="minorHAnsi"/>
                <w:noProof/>
                <w:color w:val="auto"/>
                <w:sz w:val="22"/>
                <w:szCs w:val="22"/>
                <w:lang w:eastAsia="hr-HR"/>
              </w:rPr>
              <w:tab/>
            </w:r>
            <w:r w:rsidRPr="00130F56">
              <w:rPr>
                <w:rStyle w:val="Hiperveza"/>
                <w:noProof/>
              </w:rPr>
              <w:t>Ugrožena flora i fauna KZŽ</w:t>
            </w:r>
            <w:r>
              <w:rPr>
                <w:noProof/>
                <w:webHidden/>
              </w:rPr>
              <w:tab/>
            </w:r>
            <w:r>
              <w:rPr>
                <w:noProof/>
                <w:webHidden/>
              </w:rPr>
              <w:fldChar w:fldCharType="begin"/>
            </w:r>
            <w:r>
              <w:rPr>
                <w:noProof/>
                <w:webHidden/>
              </w:rPr>
              <w:instrText xml:space="preserve"> PAGEREF _Toc85181278 \h </w:instrText>
            </w:r>
            <w:r>
              <w:rPr>
                <w:noProof/>
                <w:webHidden/>
              </w:rPr>
            </w:r>
            <w:r>
              <w:rPr>
                <w:noProof/>
                <w:webHidden/>
              </w:rPr>
              <w:fldChar w:fldCharType="separate"/>
            </w:r>
            <w:r>
              <w:rPr>
                <w:noProof/>
                <w:webHidden/>
              </w:rPr>
              <w:t>19</w:t>
            </w:r>
            <w:r>
              <w:rPr>
                <w:noProof/>
                <w:webHidden/>
              </w:rPr>
              <w:fldChar w:fldCharType="end"/>
            </w:r>
          </w:hyperlink>
        </w:p>
        <w:p w14:paraId="37C034CC" w14:textId="4574D726" w:rsidR="00CF4B96" w:rsidRDefault="00CF4B96">
          <w:pPr>
            <w:pStyle w:val="Sadraj3"/>
            <w:rPr>
              <w:rFonts w:asciiTheme="minorHAnsi" w:eastAsiaTheme="minorEastAsia" w:hAnsiTheme="minorHAnsi"/>
              <w:color w:val="auto"/>
              <w:sz w:val="22"/>
              <w:lang w:eastAsia="hr-HR"/>
            </w:rPr>
          </w:pPr>
          <w:hyperlink w:anchor="_Toc85181279" w:history="1">
            <w:r w:rsidRPr="00130F56">
              <w:rPr>
                <w:rStyle w:val="Hiperveza"/>
              </w:rPr>
              <w:t>2.4.1. Zaštićena flora</w:t>
            </w:r>
            <w:r>
              <w:rPr>
                <w:webHidden/>
              </w:rPr>
              <w:tab/>
            </w:r>
            <w:r>
              <w:rPr>
                <w:webHidden/>
              </w:rPr>
              <w:fldChar w:fldCharType="begin"/>
            </w:r>
            <w:r>
              <w:rPr>
                <w:webHidden/>
              </w:rPr>
              <w:instrText xml:space="preserve"> PAGEREF _Toc85181279 \h </w:instrText>
            </w:r>
            <w:r>
              <w:rPr>
                <w:webHidden/>
              </w:rPr>
            </w:r>
            <w:r>
              <w:rPr>
                <w:webHidden/>
              </w:rPr>
              <w:fldChar w:fldCharType="separate"/>
            </w:r>
            <w:r>
              <w:rPr>
                <w:webHidden/>
              </w:rPr>
              <w:t>21</w:t>
            </w:r>
            <w:r>
              <w:rPr>
                <w:webHidden/>
              </w:rPr>
              <w:fldChar w:fldCharType="end"/>
            </w:r>
          </w:hyperlink>
        </w:p>
        <w:p w14:paraId="63B6453C" w14:textId="3D56DE51" w:rsidR="00CF4B96" w:rsidRDefault="00CF4B96">
          <w:pPr>
            <w:pStyle w:val="Sadraj2"/>
            <w:tabs>
              <w:tab w:val="left" w:pos="880"/>
            </w:tabs>
            <w:rPr>
              <w:rFonts w:asciiTheme="minorHAnsi" w:hAnsiTheme="minorHAnsi"/>
              <w:noProof/>
              <w:color w:val="auto"/>
              <w:sz w:val="22"/>
              <w:szCs w:val="22"/>
              <w:lang w:eastAsia="hr-HR"/>
            </w:rPr>
          </w:pPr>
          <w:hyperlink w:anchor="_Toc85181280" w:history="1">
            <w:r w:rsidRPr="00130F56">
              <w:rPr>
                <w:rStyle w:val="Hiperveza"/>
                <w:noProof/>
              </w:rPr>
              <w:t>2.5.</w:t>
            </w:r>
            <w:r>
              <w:rPr>
                <w:rFonts w:asciiTheme="minorHAnsi" w:hAnsiTheme="minorHAnsi"/>
                <w:noProof/>
                <w:color w:val="auto"/>
                <w:sz w:val="22"/>
                <w:szCs w:val="22"/>
                <w:lang w:eastAsia="hr-HR"/>
              </w:rPr>
              <w:tab/>
            </w:r>
            <w:r w:rsidRPr="00130F56">
              <w:rPr>
                <w:rStyle w:val="Hiperveza"/>
                <w:noProof/>
              </w:rPr>
              <w:t>Krajobrazi Krapinsko- zagorske županije</w:t>
            </w:r>
            <w:r>
              <w:rPr>
                <w:noProof/>
                <w:webHidden/>
              </w:rPr>
              <w:tab/>
            </w:r>
            <w:r>
              <w:rPr>
                <w:noProof/>
                <w:webHidden/>
              </w:rPr>
              <w:fldChar w:fldCharType="begin"/>
            </w:r>
            <w:r>
              <w:rPr>
                <w:noProof/>
                <w:webHidden/>
              </w:rPr>
              <w:instrText xml:space="preserve"> PAGEREF _Toc85181280 \h </w:instrText>
            </w:r>
            <w:r>
              <w:rPr>
                <w:noProof/>
                <w:webHidden/>
              </w:rPr>
            </w:r>
            <w:r>
              <w:rPr>
                <w:noProof/>
                <w:webHidden/>
              </w:rPr>
              <w:fldChar w:fldCharType="separate"/>
            </w:r>
            <w:r>
              <w:rPr>
                <w:noProof/>
                <w:webHidden/>
              </w:rPr>
              <w:t>22</w:t>
            </w:r>
            <w:r>
              <w:rPr>
                <w:noProof/>
                <w:webHidden/>
              </w:rPr>
              <w:fldChar w:fldCharType="end"/>
            </w:r>
          </w:hyperlink>
        </w:p>
        <w:p w14:paraId="628AF872" w14:textId="246D430F" w:rsidR="00CF4B96" w:rsidRDefault="00CF4B96">
          <w:pPr>
            <w:pStyle w:val="Sadraj1"/>
            <w:tabs>
              <w:tab w:val="left" w:pos="440"/>
            </w:tabs>
            <w:rPr>
              <w:rFonts w:asciiTheme="minorHAnsi" w:eastAsiaTheme="minorEastAsia" w:hAnsiTheme="minorHAnsi"/>
              <w:color w:val="auto"/>
              <w:spacing w:val="0"/>
              <w:sz w:val="22"/>
              <w:szCs w:val="22"/>
              <w:lang w:eastAsia="hr-HR"/>
            </w:rPr>
          </w:pPr>
          <w:hyperlink w:anchor="_Toc85181281" w:history="1">
            <w:r w:rsidRPr="00130F56">
              <w:rPr>
                <w:rStyle w:val="Hiperveza"/>
                <w:rFonts w:eastAsiaTheme="majorEastAsia"/>
                <w:b/>
                <w:spacing w:val="15"/>
              </w:rPr>
              <w:t>3.</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INFRASTRUKTURA ZA MOBILNOST I INTERNETSKU POVEZANOST</w:t>
            </w:r>
            <w:r>
              <w:rPr>
                <w:webHidden/>
              </w:rPr>
              <w:tab/>
            </w:r>
            <w:r>
              <w:rPr>
                <w:webHidden/>
              </w:rPr>
              <w:fldChar w:fldCharType="begin"/>
            </w:r>
            <w:r>
              <w:rPr>
                <w:webHidden/>
              </w:rPr>
              <w:instrText xml:space="preserve"> PAGEREF _Toc85181281 \h </w:instrText>
            </w:r>
            <w:r>
              <w:rPr>
                <w:webHidden/>
              </w:rPr>
            </w:r>
            <w:r>
              <w:rPr>
                <w:webHidden/>
              </w:rPr>
              <w:fldChar w:fldCharType="separate"/>
            </w:r>
            <w:r>
              <w:rPr>
                <w:webHidden/>
              </w:rPr>
              <w:t>24</w:t>
            </w:r>
            <w:r>
              <w:rPr>
                <w:webHidden/>
              </w:rPr>
              <w:fldChar w:fldCharType="end"/>
            </w:r>
          </w:hyperlink>
        </w:p>
        <w:p w14:paraId="086A0B9A" w14:textId="7CC7BF22" w:rsidR="00CF4B96" w:rsidRDefault="00CF4B96">
          <w:pPr>
            <w:pStyle w:val="Sadraj2"/>
            <w:tabs>
              <w:tab w:val="left" w:pos="880"/>
            </w:tabs>
            <w:rPr>
              <w:rFonts w:asciiTheme="minorHAnsi" w:hAnsiTheme="minorHAnsi"/>
              <w:noProof/>
              <w:color w:val="auto"/>
              <w:sz w:val="22"/>
              <w:szCs w:val="22"/>
              <w:lang w:eastAsia="hr-HR"/>
            </w:rPr>
          </w:pPr>
          <w:hyperlink w:anchor="_Toc85181282" w:history="1">
            <w:r w:rsidRPr="00130F56">
              <w:rPr>
                <w:rStyle w:val="Hiperveza"/>
                <w:noProof/>
              </w:rPr>
              <w:t>3.1.</w:t>
            </w:r>
            <w:r>
              <w:rPr>
                <w:rFonts w:asciiTheme="minorHAnsi" w:hAnsiTheme="minorHAnsi"/>
                <w:noProof/>
                <w:color w:val="auto"/>
                <w:sz w:val="22"/>
                <w:szCs w:val="22"/>
                <w:lang w:eastAsia="hr-HR"/>
              </w:rPr>
              <w:tab/>
            </w:r>
            <w:r w:rsidRPr="00130F56">
              <w:rPr>
                <w:rStyle w:val="Hiperveza"/>
                <w:noProof/>
              </w:rPr>
              <w:t>Cestovni promet</w:t>
            </w:r>
            <w:r>
              <w:rPr>
                <w:noProof/>
                <w:webHidden/>
              </w:rPr>
              <w:tab/>
            </w:r>
            <w:r>
              <w:rPr>
                <w:noProof/>
                <w:webHidden/>
              </w:rPr>
              <w:fldChar w:fldCharType="begin"/>
            </w:r>
            <w:r>
              <w:rPr>
                <w:noProof/>
                <w:webHidden/>
              </w:rPr>
              <w:instrText xml:space="preserve"> PAGEREF _Toc85181282 \h </w:instrText>
            </w:r>
            <w:r>
              <w:rPr>
                <w:noProof/>
                <w:webHidden/>
              </w:rPr>
            </w:r>
            <w:r>
              <w:rPr>
                <w:noProof/>
                <w:webHidden/>
              </w:rPr>
              <w:fldChar w:fldCharType="separate"/>
            </w:r>
            <w:r>
              <w:rPr>
                <w:noProof/>
                <w:webHidden/>
              </w:rPr>
              <w:t>24</w:t>
            </w:r>
            <w:r>
              <w:rPr>
                <w:noProof/>
                <w:webHidden/>
              </w:rPr>
              <w:fldChar w:fldCharType="end"/>
            </w:r>
          </w:hyperlink>
        </w:p>
        <w:p w14:paraId="674BD2C8" w14:textId="4077299C" w:rsidR="00CF4B96" w:rsidRDefault="00CF4B96">
          <w:pPr>
            <w:pStyle w:val="Sadraj2"/>
            <w:rPr>
              <w:rFonts w:asciiTheme="minorHAnsi" w:hAnsiTheme="minorHAnsi"/>
              <w:noProof/>
              <w:color w:val="auto"/>
              <w:sz w:val="22"/>
              <w:szCs w:val="22"/>
              <w:lang w:eastAsia="hr-HR"/>
            </w:rPr>
          </w:pPr>
          <w:hyperlink w:anchor="_Toc85181283" w:history="1">
            <w:r w:rsidRPr="00130F56">
              <w:rPr>
                <w:rStyle w:val="Hiperveza"/>
                <w:noProof/>
              </w:rPr>
              <w:t>3.2. Željeznički promet</w:t>
            </w:r>
            <w:r>
              <w:rPr>
                <w:noProof/>
                <w:webHidden/>
              </w:rPr>
              <w:tab/>
            </w:r>
            <w:r>
              <w:rPr>
                <w:noProof/>
                <w:webHidden/>
              </w:rPr>
              <w:fldChar w:fldCharType="begin"/>
            </w:r>
            <w:r>
              <w:rPr>
                <w:noProof/>
                <w:webHidden/>
              </w:rPr>
              <w:instrText xml:space="preserve"> PAGEREF _Toc85181283 \h </w:instrText>
            </w:r>
            <w:r>
              <w:rPr>
                <w:noProof/>
                <w:webHidden/>
              </w:rPr>
            </w:r>
            <w:r>
              <w:rPr>
                <w:noProof/>
                <w:webHidden/>
              </w:rPr>
              <w:fldChar w:fldCharType="separate"/>
            </w:r>
            <w:r>
              <w:rPr>
                <w:noProof/>
                <w:webHidden/>
              </w:rPr>
              <w:t>28</w:t>
            </w:r>
            <w:r>
              <w:rPr>
                <w:noProof/>
                <w:webHidden/>
              </w:rPr>
              <w:fldChar w:fldCharType="end"/>
            </w:r>
          </w:hyperlink>
        </w:p>
        <w:p w14:paraId="62E23991" w14:textId="1F57A2CF" w:rsidR="00CF4B96" w:rsidRDefault="00CF4B96">
          <w:pPr>
            <w:pStyle w:val="Sadraj2"/>
            <w:rPr>
              <w:rFonts w:asciiTheme="minorHAnsi" w:hAnsiTheme="minorHAnsi"/>
              <w:noProof/>
              <w:color w:val="auto"/>
              <w:sz w:val="22"/>
              <w:szCs w:val="22"/>
              <w:lang w:eastAsia="hr-HR"/>
            </w:rPr>
          </w:pPr>
          <w:hyperlink w:anchor="_Toc85181284" w:history="1">
            <w:r w:rsidRPr="00130F56">
              <w:rPr>
                <w:rStyle w:val="Hiperveza"/>
                <w:noProof/>
              </w:rPr>
              <w:t>3.3. Zračni promet</w:t>
            </w:r>
            <w:r>
              <w:rPr>
                <w:noProof/>
                <w:webHidden/>
              </w:rPr>
              <w:tab/>
            </w:r>
            <w:r>
              <w:rPr>
                <w:noProof/>
                <w:webHidden/>
              </w:rPr>
              <w:fldChar w:fldCharType="begin"/>
            </w:r>
            <w:r>
              <w:rPr>
                <w:noProof/>
                <w:webHidden/>
              </w:rPr>
              <w:instrText xml:space="preserve"> PAGEREF _Toc85181284 \h </w:instrText>
            </w:r>
            <w:r>
              <w:rPr>
                <w:noProof/>
                <w:webHidden/>
              </w:rPr>
            </w:r>
            <w:r>
              <w:rPr>
                <w:noProof/>
                <w:webHidden/>
              </w:rPr>
              <w:fldChar w:fldCharType="separate"/>
            </w:r>
            <w:r>
              <w:rPr>
                <w:noProof/>
                <w:webHidden/>
              </w:rPr>
              <w:t>30</w:t>
            </w:r>
            <w:r>
              <w:rPr>
                <w:noProof/>
                <w:webHidden/>
              </w:rPr>
              <w:fldChar w:fldCharType="end"/>
            </w:r>
          </w:hyperlink>
        </w:p>
        <w:p w14:paraId="1BC753A2" w14:textId="12ED712C" w:rsidR="00CF4B96" w:rsidRDefault="00CF4B96">
          <w:pPr>
            <w:pStyle w:val="Sadraj2"/>
            <w:rPr>
              <w:rFonts w:asciiTheme="minorHAnsi" w:hAnsiTheme="minorHAnsi"/>
              <w:noProof/>
              <w:color w:val="auto"/>
              <w:sz w:val="22"/>
              <w:szCs w:val="22"/>
              <w:lang w:eastAsia="hr-HR"/>
            </w:rPr>
          </w:pPr>
          <w:hyperlink w:anchor="_Toc85181285" w:history="1">
            <w:r w:rsidRPr="00130F56">
              <w:rPr>
                <w:rStyle w:val="Hiperveza"/>
                <w:noProof/>
              </w:rPr>
              <w:t>3.4. Javni prijevoz</w:t>
            </w:r>
            <w:r>
              <w:rPr>
                <w:noProof/>
                <w:webHidden/>
              </w:rPr>
              <w:tab/>
            </w:r>
            <w:r>
              <w:rPr>
                <w:noProof/>
                <w:webHidden/>
              </w:rPr>
              <w:fldChar w:fldCharType="begin"/>
            </w:r>
            <w:r>
              <w:rPr>
                <w:noProof/>
                <w:webHidden/>
              </w:rPr>
              <w:instrText xml:space="preserve"> PAGEREF _Toc85181285 \h </w:instrText>
            </w:r>
            <w:r>
              <w:rPr>
                <w:noProof/>
                <w:webHidden/>
              </w:rPr>
            </w:r>
            <w:r>
              <w:rPr>
                <w:noProof/>
                <w:webHidden/>
              </w:rPr>
              <w:fldChar w:fldCharType="separate"/>
            </w:r>
            <w:r>
              <w:rPr>
                <w:noProof/>
                <w:webHidden/>
              </w:rPr>
              <w:t>31</w:t>
            </w:r>
            <w:r>
              <w:rPr>
                <w:noProof/>
                <w:webHidden/>
              </w:rPr>
              <w:fldChar w:fldCharType="end"/>
            </w:r>
          </w:hyperlink>
        </w:p>
        <w:p w14:paraId="48E02D2A" w14:textId="521ADC25" w:rsidR="00CF4B96" w:rsidRDefault="00CF4B96">
          <w:pPr>
            <w:pStyle w:val="Sadraj2"/>
            <w:rPr>
              <w:rFonts w:asciiTheme="minorHAnsi" w:hAnsiTheme="minorHAnsi"/>
              <w:noProof/>
              <w:color w:val="auto"/>
              <w:sz w:val="22"/>
              <w:szCs w:val="22"/>
              <w:lang w:eastAsia="hr-HR"/>
            </w:rPr>
          </w:pPr>
          <w:hyperlink w:anchor="_Toc85181286" w:history="1">
            <w:r w:rsidRPr="00130F56">
              <w:rPr>
                <w:rStyle w:val="Hiperveza"/>
                <w:noProof/>
              </w:rPr>
              <w:t>3.5. Biciklistički i pješački promet</w:t>
            </w:r>
            <w:r>
              <w:rPr>
                <w:noProof/>
                <w:webHidden/>
              </w:rPr>
              <w:tab/>
            </w:r>
            <w:r>
              <w:rPr>
                <w:noProof/>
                <w:webHidden/>
              </w:rPr>
              <w:fldChar w:fldCharType="begin"/>
            </w:r>
            <w:r>
              <w:rPr>
                <w:noProof/>
                <w:webHidden/>
              </w:rPr>
              <w:instrText xml:space="preserve"> PAGEREF _Toc85181286 \h </w:instrText>
            </w:r>
            <w:r>
              <w:rPr>
                <w:noProof/>
                <w:webHidden/>
              </w:rPr>
            </w:r>
            <w:r>
              <w:rPr>
                <w:noProof/>
                <w:webHidden/>
              </w:rPr>
              <w:fldChar w:fldCharType="separate"/>
            </w:r>
            <w:r>
              <w:rPr>
                <w:noProof/>
                <w:webHidden/>
              </w:rPr>
              <w:t>32</w:t>
            </w:r>
            <w:r>
              <w:rPr>
                <w:noProof/>
                <w:webHidden/>
              </w:rPr>
              <w:fldChar w:fldCharType="end"/>
            </w:r>
          </w:hyperlink>
        </w:p>
        <w:p w14:paraId="5B3190C1" w14:textId="5D04E3EF" w:rsidR="00CF4B96" w:rsidRDefault="00CF4B96">
          <w:pPr>
            <w:pStyle w:val="Sadraj2"/>
            <w:rPr>
              <w:rFonts w:asciiTheme="minorHAnsi" w:hAnsiTheme="minorHAnsi"/>
              <w:noProof/>
              <w:color w:val="auto"/>
              <w:sz w:val="22"/>
              <w:szCs w:val="22"/>
              <w:lang w:eastAsia="hr-HR"/>
            </w:rPr>
          </w:pPr>
          <w:hyperlink w:anchor="_Toc85181287" w:history="1">
            <w:r w:rsidRPr="00130F56">
              <w:rPr>
                <w:rStyle w:val="Hiperveza"/>
                <w:noProof/>
              </w:rPr>
              <w:t>3.6. Pokrivenost širokopojasnom infrastrukturom</w:t>
            </w:r>
            <w:r>
              <w:rPr>
                <w:noProof/>
                <w:webHidden/>
              </w:rPr>
              <w:tab/>
            </w:r>
            <w:r>
              <w:rPr>
                <w:noProof/>
                <w:webHidden/>
              </w:rPr>
              <w:fldChar w:fldCharType="begin"/>
            </w:r>
            <w:r>
              <w:rPr>
                <w:noProof/>
                <w:webHidden/>
              </w:rPr>
              <w:instrText xml:space="preserve"> PAGEREF _Toc85181287 \h </w:instrText>
            </w:r>
            <w:r>
              <w:rPr>
                <w:noProof/>
                <w:webHidden/>
              </w:rPr>
            </w:r>
            <w:r>
              <w:rPr>
                <w:noProof/>
                <w:webHidden/>
              </w:rPr>
              <w:fldChar w:fldCharType="separate"/>
            </w:r>
            <w:r>
              <w:rPr>
                <w:noProof/>
                <w:webHidden/>
              </w:rPr>
              <w:t>33</w:t>
            </w:r>
            <w:r>
              <w:rPr>
                <w:noProof/>
                <w:webHidden/>
              </w:rPr>
              <w:fldChar w:fldCharType="end"/>
            </w:r>
          </w:hyperlink>
        </w:p>
        <w:p w14:paraId="178B168E" w14:textId="648265E6" w:rsidR="00CF4B96" w:rsidRDefault="00CF4B96">
          <w:pPr>
            <w:pStyle w:val="Sadraj2"/>
            <w:rPr>
              <w:rFonts w:asciiTheme="minorHAnsi" w:hAnsiTheme="minorHAnsi"/>
              <w:noProof/>
              <w:color w:val="auto"/>
              <w:sz w:val="22"/>
              <w:szCs w:val="22"/>
              <w:lang w:eastAsia="hr-HR"/>
            </w:rPr>
          </w:pPr>
          <w:hyperlink w:anchor="_Toc85181288" w:history="1">
            <w:r w:rsidRPr="00130F56">
              <w:rPr>
                <w:rStyle w:val="Hiperveza"/>
                <w:noProof/>
              </w:rPr>
              <w:t>3.6.1. Digitalizacija</w:t>
            </w:r>
            <w:r>
              <w:rPr>
                <w:noProof/>
                <w:webHidden/>
              </w:rPr>
              <w:tab/>
            </w:r>
            <w:r>
              <w:rPr>
                <w:noProof/>
                <w:webHidden/>
              </w:rPr>
              <w:fldChar w:fldCharType="begin"/>
            </w:r>
            <w:r>
              <w:rPr>
                <w:noProof/>
                <w:webHidden/>
              </w:rPr>
              <w:instrText xml:space="preserve"> PAGEREF _Toc85181288 \h </w:instrText>
            </w:r>
            <w:r>
              <w:rPr>
                <w:noProof/>
                <w:webHidden/>
              </w:rPr>
            </w:r>
            <w:r>
              <w:rPr>
                <w:noProof/>
                <w:webHidden/>
              </w:rPr>
              <w:fldChar w:fldCharType="separate"/>
            </w:r>
            <w:r>
              <w:rPr>
                <w:noProof/>
                <w:webHidden/>
              </w:rPr>
              <w:t>35</w:t>
            </w:r>
            <w:r>
              <w:rPr>
                <w:noProof/>
                <w:webHidden/>
              </w:rPr>
              <w:fldChar w:fldCharType="end"/>
            </w:r>
          </w:hyperlink>
        </w:p>
        <w:p w14:paraId="4DED0247" w14:textId="208C4505" w:rsidR="00CF4B96" w:rsidRDefault="00CF4B96">
          <w:pPr>
            <w:pStyle w:val="Sadraj1"/>
            <w:tabs>
              <w:tab w:val="left" w:pos="440"/>
            </w:tabs>
            <w:rPr>
              <w:rFonts w:asciiTheme="minorHAnsi" w:eastAsiaTheme="minorEastAsia" w:hAnsiTheme="minorHAnsi"/>
              <w:color w:val="auto"/>
              <w:spacing w:val="0"/>
              <w:sz w:val="22"/>
              <w:szCs w:val="22"/>
              <w:lang w:eastAsia="hr-HR"/>
            </w:rPr>
          </w:pPr>
          <w:hyperlink w:anchor="_Toc85181289" w:history="1">
            <w:r w:rsidRPr="00130F56">
              <w:rPr>
                <w:rStyle w:val="Hiperveza"/>
                <w:rFonts w:eastAsiaTheme="majorEastAsia"/>
                <w:b/>
                <w:spacing w:val="15"/>
              </w:rPr>
              <w:t>4.</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DEMOGRAFSKA OBILJEŽJA</w:t>
            </w:r>
            <w:r>
              <w:rPr>
                <w:webHidden/>
              </w:rPr>
              <w:tab/>
            </w:r>
            <w:r>
              <w:rPr>
                <w:webHidden/>
              </w:rPr>
              <w:fldChar w:fldCharType="begin"/>
            </w:r>
            <w:r>
              <w:rPr>
                <w:webHidden/>
              </w:rPr>
              <w:instrText xml:space="preserve"> PAGEREF _Toc85181289 \h </w:instrText>
            </w:r>
            <w:r>
              <w:rPr>
                <w:webHidden/>
              </w:rPr>
            </w:r>
            <w:r>
              <w:rPr>
                <w:webHidden/>
              </w:rPr>
              <w:fldChar w:fldCharType="separate"/>
            </w:r>
            <w:r>
              <w:rPr>
                <w:webHidden/>
              </w:rPr>
              <w:t>42</w:t>
            </w:r>
            <w:r>
              <w:rPr>
                <w:webHidden/>
              </w:rPr>
              <w:fldChar w:fldCharType="end"/>
            </w:r>
          </w:hyperlink>
        </w:p>
        <w:p w14:paraId="187D3C94" w14:textId="30BE5209" w:rsidR="00CF4B96" w:rsidRDefault="00CF4B96">
          <w:pPr>
            <w:pStyle w:val="Sadraj2"/>
            <w:rPr>
              <w:rFonts w:asciiTheme="minorHAnsi" w:hAnsiTheme="minorHAnsi"/>
              <w:noProof/>
              <w:color w:val="auto"/>
              <w:sz w:val="22"/>
              <w:szCs w:val="22"/>
              <w:lang w:eastAsia="hr-HR"/>
            </w:rPr>
          </w:pPr>
          <w:hyperlink w:anchor="_Toc85181290" w:history="1">
            <w:r w:rsidRPr="00130F56">
              <w:rPr>
                <w:rStyle w:val="Hiperveza"/>
                <w:noProof/>
              </w:rPr>
              <w:t>4.1. Prirodno kretanje stanovništva</w:t>
            </w:r>
            <w:r>
              <w:rPr>
                <w:noProof/>
                <w:webHidden/>
              </w:rPr>
              <w:tab/>
            </w:r>
            <w:r>
              <w:rPr>
                <w:noProof/>
                <w:webHidden/>
              </w:rPr>
              <w:fldChar w:fldCharType="begin"/>
            </w:r>
            <w:r>
              <w:rPr>
                <w:noProof/>
                <w:webHidden/>
              </w:rPr>
              <w:instrText xml:space="preserve"> PAGEREF _Toc85181290 \h </w:instrText>
            </w:r>
            <w:r>
              <w:rPr>
                <w:noProof/>
                <w:webHidden/>
              </w:rPr>
            </w:r>
            <w:r>
              <w:rPr>
                <w:noProof/>
                <w:webHidden/>
              </w:rPr>
              <w:fldChar w:fldCharType="separate"/>
            </w:r>
            <w:r>
              <w:rPr>
                <w:noProof/>
                <w:webHidden/>
              </w:rPr>
              <w:t>43</w:t>
            </w:r>
            <w:r>
              <w:rPr>
                <w:noProof/>
                <w:webHidden/>
              </w:rPr>
              <w:fldChar w:fldCharType="end"/>
            </w:r>
          </w:hyperlink>
        </w:p>
        <w:p w14:paraId="1789CAFE" w14:textId="0973B7EE" w:rsidR="00CF4B96" w:rsidRDefault="00CF4B96">
          <w:pPr>
            <w:pStyle w:val="Sadraj2"/>
            <w:rPr>
              <w:rFonts w:asciiTheme="minorHAnsi" w:hAnsiTheme="minorHAnsi"/>
              <w:noProof/>
              <w:color w:val="auto"/>
              <w:sz w:val="22"/>
              <w:szCs w:val="22"/>
              <w:lang w:eastAsia="hr-HR"/>
            </w:rPr>
          </w:pPr>
          <w:hyperlink w:anchor="_Toc85181291" w:history="1">
            <w:r w:rsidRPr="00130F56">
              <w:rPr>
                <w:rStyle w:val="Hiperveza"/>
                <w:noProof/>
              </w:rPr>
              <w:t>4.2. Migracijska kretanja</w:t>
            </w:r>
            <w:r>
              <w:rPr>
                <w:noProof/>
                <w:webHidden/>
              </w:rPr>
              <w:tab/>
            </w:r>
            <w:r>
              <w:rPr>
                <w:noProof/>
                <w:webHidden/>
              </w:rPr>
              <w:fldChar w:fldCharType="begin"/>
            </w:r>
            <w:r>
              <w:rPr>
                <w:noProof/>
                <w:webHidden/>
              </w:rPr>
              <w:instrText xml:space="preserve"> PAGEREF _Toc85181291 \h </w:instrText>
            </w:r>
            <w:r>
              <w:rPr>
                <w:noProof/>
                <w:webHidden/>
              </w:rPr>
            </w:r>
            <w:r>
              <w:rPr>
                <w:noProof/>
                <w:webHidden/>
              </w:rPr>
              <w:fldChar w:fldCharType="separate"/>
            </w:r>
            <w:r>
              <w:rPr>
                <w:noProof/>
                <w:webHidden/>
              </w:rPr>
              <w:t>46</w:t>
            </w:r>
            <w:r>
              <w:rPr>
                <w:noProof/>
                <w:webHidden/>
              </w:rPr>
              <w:fldChar w:fldCharType="end"/>
            </w:r>
          </w:hyperlink>
        </w:p>
        <w:p w14:paraId="1C3D21DB" w14:textId="6E5A4FA3" w:rsidR="00CF4B96" w:rsidRDefault="00CF4B96">
          <w:pPr>
            <w:pStyle w:val="Sadraj2"/>
            <w:rPr>
              <w:rFonts w:asciiTheme="minorHAnsi" w:hAnsiTheme="minorHAnsi"/>
              <w:noProof/>
              <w:color w:val="auto"/>
              <w:sz w:val="22"/>
              <w:szCs w:val="22"/>
              <w:lang w:eastAsia="hr-HR"/>
            </w:rPr>
          </w:pPr>
          <w:hyperlink w:anchor="_Toc85181292" w:history="1">
            <w:r w:rsidRPr="00130F56">
              <w:rPr>
                <w:rStyle w:val="Hiperveza"/>
                <w:noProof/>
              </w:rPr>
              <w:t>4.3. Razmještaj stanovništva</w:t>
            </w:r>
            <w:r>
              <w:rPr>
                <w:noProof/>
                <w:webHidden/>
              </w:rPr>
              <w:tab/>
            </w:r>
            <w:r>
              <w:rPr>
                <w:noProof/>
                <w:webHidden/>
              </w:rPr>
              <w:fldChar w:fldCharType="begin"/>
            </w:r>
            <w:r>
              <w:rPr>
                <w:noProof/>
                <w:webHidden/>
              </w:rPr>
              <w:instrText xml:space="preserve"> PAGEREF _Toc85181292 \h </w:instrText>
            </w:r>
            <w:r>
              <w:rPr>
                <w:noProof/>
                <w:webHidden/>
              </w:rPr>
            </w:r>
            <w:r>
              <w:rPr>
                <w:noProof/>
                <w:webHidden/>
              </w:rPr>
              <w:fldChar w:fldCharType="separate"/>
            </w:r>
            <w:r>
              <w:rPr>
                <w:noProof/>
                <w:webHidden/>
              </w:rPr>
              <w:t>48</w:t>
            </w:r>
            <w:r>
              <w:rPr>
                <w:noProof/>
                <w:webHidden/>
              </w:rPr>
              <w:fldChar w:fldCharType="end"/>
            </w:r>
          </w:hyperlink>
        </w:p>
        <w:p w14:paraId="70488F25" w14:textId="3B774A69" w:rsidR="00CF4B96" w:rsidRDefault="00CF4B96">
          <w:pPr>
            <w:pStyle w:val="Sadraj1"/>
            <w:tabs>
              <w:tab w:val="left" w:pos="440"/>
            </w:tabs>
            <w:rPr>
              <w:rFonts w:asciiTheme="minorHAnsi" w:eastAsiaTheme="minorEastAsia" w:hAnsiTheme="minorHAnsi"/>
              <w:color w:val="auto"/>
              <w:spacing w:val="0"/>
              <w:sz w:val="22"/>
              <w:szCs w:val="22"/>
              <w:lang w:eastAsia="hr-HR"/>
            </w:rPr>
          </w:pPr>
          <w:hyperlink w:anchor="_Toc85181293" w:history="1">
            <w:r w:rsidRPr="00130F56">
              <w:rPr>
                <w:rStyle w:val="Hiperveza"/>
                <w:rFonts w:eastAsiaTheme="majorEastAsia"/>
                <w:b/>
                <w:spacing w:val="15"/>
              </w:rPr>
              <w:t>5.</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SOCIJALNO UKLJUČIVANJE I USLUGE SOCIJALNE SKRBI</w:t>
            </w:r>
            <w:r>
              <w:rPr>
                <w:webHidden/>
              </w:rPr>
              <w:tab/>
            </w:r>
            <w:r>
              <w:rPr>
                <w:webHidden/>
              </w:rPr>
              <w:fldChar w:fldCharType="begin"/>
            </w:r>
            <w:r>
              <w:rPr>
                <w:webHidden/>
              </w:rPr>
              <w:instrText xml:space="preserve"> PAGEREF _Toc85181293 \h </w:instrText>
            </w:r>
            <w:r>
              <w:rPr>
                <w:webHidden/>
              </w:rPr>
            </w:r>
            <w:r>
              <w:rPr>
                <w:webHidden/>
              </w:rPr>
              <w:fldChar w:fldCharType="separate"/>
            </w:r>
            <w:r>
              <w:rPr>
                <w:webHidden/>
              </w:rPr>
              <w:t>50</w:t>
            </w:r>
            <w:r>
              <w:rPr>
                <w:webHidden/>
              </w:rPr>
              <w:fldChar w:fldCharType="end"/>
            </w:r>
          </w:hyperlink>
        </w:p>
        <w:p w14:paraId="2AA86E50" w14:textId="1A09E800" w:rsidR="00CF4B96" w:rsidRDefault="00CF4B96">
          <w:pPr>
            <w:pStyle w:val="Sadraj2"/>
            <w:rPr>
              <w:rFonts w:asciiTheme="minorHAnsi" w:hAnsiTheme="minorHAnsi"/>
              <w:noProof/>
              <w:color w:val="auto"/>
              <w:sz w:val="22"/>
              <w:szCs w:val="22"/>
              <w:lang w:eastAsia="hr-HR"/>
            </w:rPr>
          </w:pPr>
          <w:hyperlink w:anchor="_Toc85181294" w:history="1">
            <w:r w:rsidRPr="00130F56">
              <w:rPr>
                <w:rStyle w:val="Hiperveza"/>
                <w:noProof/>
              </w:rPr>
              <w:t>5.1. Rizik od siromaštva</w:t>
            </w:r>
            <w:r>
              <w:rPr>
                <w:noProof/>
                <w:webHidden/>
              </w:rPr>
              <w:tab/>
            </w:r>
            <w:r>
              <w:rPr>
                <w:noProof/>
                <w:webHidden/>
              </w:rPr>
              <w:fldChar w:fldCharType="begin"/>
            </w:r>
            <w:r>
              <w:rPr>
                <w:noProof/>
                <w:webHidden/>
              </w:rPr>
              <w:instrText xml:space="preserve"> PAGEREF _Toc85181294 \h </w:instrText>
            </w:r>
            <w:r>
              <w:rPr>
                <w:noProof/>
                <w:webHidden/>
              </w:rPr>
            </w:r>
            <w:r>
              <w:rPr>
                <w:noProof/>
                <w:webHidden/>
              </w:rPr>
              <w:fldChar w:fldCharType="separate"/>
            </w:r>
            <w:r>
              <w:rPr>
                <w:noProof/>
                <w:webHidden/>
              </w:rPr>
              <w:t>50</w:t>
            </w:r>
            <w:r>
              <w:rPr>
                <w:noProof/>
                <w:webHidden/>
              </w:rPr>
              <w:fldChar w:fldCharType="end"/>
            </w:r>
          </w:hyperlink>
        </w:p>
        <w:p w14:paraId="1A9CADE2" w14:textId="6263B00C" w:rsidR="00CF4B96" w:rsidRDefault="00CF4B96">
          <w:pPr>
            <w:pStyle w:val="Sadraj2"/>
            <w:rPr>
              <w:rFonts w:asciiTheme="minorHAnsi" w:hAnsiTheme="minorHAnsi"/>
              <w:noProof/>
              <w:color w:val="auto"/>
              <w:sz w:val="22"/>
              <w:szCs w:val="22"/>
              <w:lang w:eastAsia="hr-HR"/>
            </w:rPr>
          </w:pPr>
          <w:hyperlink w:anchor="_Toc85181295" w:history="1">
            <w:r w:rsidRPr="00130F56">
              <w:rPr>
                <w:rStyle w:val="Hiperveza"/>
                <w:noProof/>
              </w:rPr>
              <w:t>5.2. Rasprostranjenost kriminaliteta</w:t>
            </w:r>
            <w:r>
              <w:rPr>
                <w:noProof/>
                <w:webHidden/>
              </w:rPr>
              <w:tab/>
            </w:r>
            <w:r>
              <w:rPr>
                <w:noProof/>
                <w:webHidden/>
              </w:rPr>
              <w:fldChar w:fldCharType="begin"/>
            </w:r>
            <w:r>
              <w:rPr>
                <w:noProof/>
                <w:webHidden/>
              </w:rPr>
              <w:instrText xml:space="preserve"> PAGEREF _Toc85181295 \h </w:instrText>
            </w:r>
            <w:r>
              <w:rPr>
                <w:noProof/>
                <w:webHidden/>
              </w:rPr>
            </w:r>
            <w:r>
              <w:rPr>
                <w:noProof/>
                <w:webHidden/>
              </w:rPr>
              <w:fldChar w:fldCharType="separate"/>
            </w:r>
            <w:r>
              <w:rPr>
                <w:noProof/>
                <w:webHidden/>
              </w:rPr>
              <w:t>51</w:t>
            </w:r>
            <w:r>
              <w:rPr>
                <w:noProof/>
                <w:webHidden/>
              </w:rPr>
              <w:fldChar w:fldCharType="end"/>
            </w:r>
          </w:hyperlink>
        </w:p>
        <w:p w14:paraId="07C78122" w14:textId="617EB221" w:rsidR="00CF4B96" w:rsidRDefault="00CF4B96">
          <w:pPr>
            <w:pStyle w:val="Sadraj2"/>
            <w:rPr>
              <w:rFonts w:asciiTheme="minorHAnsi" w:hAnsiTheme="minorHAnsi"/>
              <w:noProof/>
              <w:color w:val="auto"/>
              <w:sz w:val="22"/>
              <w:szCs w:val="22"/>
              <w:lang w:eastAsia="hr-HR"/>
            </w:rPr>
          </w:pPr>
          <w:hyperlink w:anchor="_Toc85181296" w:history="1">
            <w:r w:rsidRPr="00130F56">
              <w:rPr>
                <w:rStyle w:val="Hiperveza"/>
                <w:noProof/>
              </w:rPr>
              <w:t>5.3. Institucionalna obilježja socijalne skrbi</w:t>
            </w:r>
            <w:r>
              <w:rPr>
                <w:noProof/>
                <w:webHidden/>
              </w:rPr>
              <w:tab/>
            </w:r>
            <w:r>
              <w:rPr>
                <w:noProof/>
                <w:webHidden/>
              </w:rPr>
              <w:fldChar w:fldCharType="begin"/>
            </w:r>
            <w:r>
              <w:rPr>
                <w:noProof/>
                <w:webHidden/>
              </w:rPr>
              <w:instrText xml:space="preserve"> PAGEREF _Toc85181296 \h </w:instrText>
            </w:r>
            <w:r>
              <w:rPr>
                <w:noProof/>
                <w:webHidden/>
              </w:rPr>
            </w:r>
            <w:r>
              <w:rPr>
                <w:noProof/>
                <w:webHidden/>
              </w:rPr>
              <w:fldChar w:fldCharType="separate"/>
            </w:r>
            <w:r>
              <w:rPr>
                <w:noProof/>
                <w:webHidden/>
              </w:rPr>
              <w:t>52</w:t>
            </w:r>
            <w:r>
              <w:rPr>
                <w:noProof/>
                <w:webHidden/>
              </w:rPr>
              <w:fldChar w:fldCharType="end"/>
            </w:r>
          </w:hyperlink>
        </w:p>
        <w:p w14:paraId="0BB1BA84" w14:textId="30C0075E" w:rsidR="00CF4B96" w:rsidRDefault="00CF4B96">
          <w:pPr>
            <w:pStyle w:val="Sadraj2"/>
            <w:rPr>
              <w:rFonts w:asciiTheme="minorHAnsi" w:hAnsiTheme="minorHAnsi"/>
              <w:noProof/>
              <w:color w:val="auto"/>
              <w:sz w:val="22"/>
              <w:szCs w:val="22"/>
              <w:lang w:eastAsia="hr-HR"/>
            </w:rPr>
          </w:pPr>
          <w:hyperlink w:anchor="_Toc85181297" w:history="1">
            <w:r w:rsidRPr="00130F56">
              <w:rPr>
                <w:rStyle w:val="Hiperveza"/>
                <w:noProof/>
              </w:rPr>
              <w:t>5.3.1. Novčane naknade i socijalna pomoć</w:t>
            </w:r>
            <w:r>
              <w:rPr>
                <w:noProof/>
                <w:webHidden/>
              </w:rPr>
              <w:tab/>
            </w:r>
            <w:r>
              <w:rPr>
                <w:noProof/>
                <w:webHidden/>
              </w:rPr>
              <w:fldChar w:fldCharType="begin"/>
            </w:r>
            <w:r>
              <w:rPr>
                <w:noProof/>
                <w:webHidden/>
              </w:rPr>
              <w:instrText xml:space="preserve"> PAGEREF _Toc85181297 \h </w:instrText>
            </w:r>
            <w:r>
              <w:rPr>
                <w:noProof/>
                <w:webHidden/>
              </w:rPr>
            </w:r>
            <w:r>
              <w:rPr>
                <w:noProof/>
                <w:webHidden/>
              </w:rPr>
              <w:fldChar w:fldCharType="separate"/>
            </w:r>
            <w:r>
              <w:rPr>
                <w:noProof/>
                <w:webHidden/>
              </w:rPr>
              <w:t>57</w:t>
            </w:r>
            <w:r>
              <w:rPr>
                <w:noProof/>
                <w:webHidden/>
              </w:rPr>
              <w:fldChar w:fldCharType="end"/>
            </w:r>
          </w:hyperlink>
        </w:p>
        <w:p w14:paraId="3C4D002B" w14:textId="0F26760A" w:rsidR="00CF4B96" w:rsidRDefault="00CF4B96">
          <w:pPr>
            <w:pStyle w:val="Sadraj2"/>
            <w:rPr>
              <w:rFonts w:asciiTheme="minorHAnsi" w:hAnsiTheme="minorHAnsi"/>
              <w:noProof/>
              <w:color w:val="auto"/>
              <w:sz w:val="22"/>
              <w:szCs w:val="22"/>
              <w:lang w:eastAsia="hr-HR"/>
            </w:rPr>
          </w:pPr>
          <w:hyperlink w:anchor="_Toc85181298" w:history="1">
            <w:r w:rsidRPr="00130F56">
              <w:rPr>
                <w:rStyle w:val="Hiperveza"/>
                <w:noProof/>
              </w:rPr>
              <w:t>5.4. Osobe s invaliditetom</w:t>
            </w:r>
            <w:r>
              <w:rPr>
                <w:noProof/>
                <w:webHidden/>
              </w:rPr>
              <w:tab/>
            </w:r>
            <w:r>
              <w:rPr>
                <w:noProof/>
                <w:webHidden/>
              </w:rPr>
              <w:fldChar w:fldCharType="begin"/>
            </w:r>
            <w:r>
              <w:rPr>
                <w:noProof/>
                <w:webHidden/>
              </w:rPr>
              <w:instrText xml:space="preserve"> PAGEREF _Toc85181298 \h </w:instrText>
            </w:r>
            <w:r>
              <w:rPr>
                <w:noProof/>
                <w:webHidden/>
              </w:rPr>
            </w:r>
            <w:r>
              <w:rPr>
                <w:noProof/>
                <w:webHidden/>
              </w:rPr>
              <w:fldChar w:fldCharType="separate"/>
            </w:r>
            <w:r>
              <w:rPr>
                <w:noProof/>
                <w:webHidden/>
              </w:rPr>
              <w:t>60</w:t>
            </w:r>
            <w:r>
              <w:rPr>
                <w:noProof/>
                <w:webHidden/>
              </w:rPr>
              <w:fldChar w:fldCharType="end"/>
            </w:r>
          </w:hyperlink>
        </w:p>
        <w:p w14:paraId="710C3D85" w14:textId="2844A6BB" w:rsidR="00CF4B96" w:rsidRDefault="00CF4B96">
          <w:pPr>
            <w:pStyle w:val="Sadraj1"/>
            <w:tabs>
              <w:tab w:val="left" w:pos="440"/>
            </w:tabs>
            <w:rPr>
              <w:rFonts w:asciiTheme="minorHAnsi" w:eastAsiaTheme="minorEastAsia" w:hAnsiTheme="minorHAnsi"/>
              <w:color w:val="auto"/>
              <w:spacing w:val="0"/>
              <w:sz w:val="22"/>
              <w:szCs w:val="22"/>
              <w:lang w:eastAsia="hr-HR"/>
            </w:rPr>
          </w:pPr>
          <w:hyperlink w:anchor="_Toc85181299" w:history="1">
            <w:r w:rsidRPr="00130F56">
              <w:rPr>
                <w:rStyle w:val="Hiperveza"/>
                <w:rFonts w:eastAsiaTheme="majorEastAsia"/>
                <w:b/>
                <w:spacing w:val="15"/>
              </w:rPr>
              <w:t>6.</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ZDRAVSTVO</w:t>
            </w:r>
            <w:r>
              <w:rPr>
                <w:webHidden/>
              </w:rPr>
              <w:tab/>
            </w:r>
            <w:r>
              <w:rPr>
                <w:webHidden/>
              </w:rPr>
              <w:fldChar w:fldCharType="begin"/>
            </w:r>
            <w:r>
              <w:rPr>
                <w:webHidden/>
              </w:rPr>
              <w:instrText xml:space="preserve"> PAGEREF _Toc85181299 \h </w:instrText>
            </w:r>
            <w:r>
              <w:rPr>
                <w:webHidden/>
              </w:rPr>
            </w:r>
            <w:r>
              <w:rPr>
                <w:webHidden/>
              </w:rPr>
              <w:fldChar w:fldCharType="separate"/>
            </w:r>
            <w:r>
              <w:rPr>
                <w:webHidden/>
              </w:rPr>
              <w:t>64</w:t>
            </w:r>
            <w:r>
              <w:rPr>
                <w:webHidden/>
              </w:rPr>
              <w:fldChar w:fldCharType="end"/>
            </w:r>
          </w:hyperlink>
        </w:p>
        <w:p w14:paraId="7DA11797" w14:textId="7E8ED01B" w:rsidR="00CF4B96" w:rsidRDefault="00CF4B96">
          <w:pPr>
            <w:pStyle w:val="Sadraj2"/>
            <w:rPr>
              <w:rFonts w:asciiTheme="minorHAnsi" w:hAnsiTheme="minorHAnsi"/>
              <w:noProof/>
              <w:color w:val="auto"/>
              <w:sz w:val="22"/>
              <w:szCs w:val="22"/>
              <w:lang w:eastAsia="hr-HR"/>
            </w:rPr>
          </w:pPr>
          <w:hyperlink w:anchor="_Toc85181300" w:history="1">
            <w:r w:rsidRPr="00130F56">
              <w:rPr>
                <w:rStyle w:val="Hiperveza"/>
                <w:noProof/>
              </w:rPr>
              <w:t>6.1. Zdravstvena infrastruktura</w:t>
            </w:r>
            <w:r>
              <w:rPr>
                <w:noProof/>
                <w:webHidden/>
              </w:rPr>
              <w:tab/>
            </w:r>
            <w:r>
              <w:rPr>
                <w:noProof/>
                <w:webHidden/>
              </w:rPr>
              <w:fldChar w:fldCharType="begin"/>
            </w:r>
            <w:r>
              <w:rPr>
                <w:noProof/>
                <w:webHidden/>
              </w:rPr>
              <w:instrText xml:space="preserve"> PAGEREF _Toc85181300 \h </w:instrText>
            </w:r>
            <w:r>
              <w:rPr>
                <w:noProof/>
                <w:webHidden/>
              </w:rPr>
            </w:r>
            <w:r>
              <w:rPr>
                <w:noProof/>
                <w:webHidden/>
              </w:rPr>
              <w:fldChar w:fldCharType="separate"/>
            </w:r>
            <w:r>
              <w:rPr>
                <w:noProof/>
                <w:webHidden/>
              </w:rPr>
              <w:t>64</w:t>
            </w:r>
            <w:r>
              <w:rPr>
                <w:noProof/>
                <w:webHidden/>
              </w:rPr>
              <w:fldChar w:fldCharType="end"/>
            </w:r>
          </w:hyperlink>
        </w:p>
        <w:p w14:paraId="2812FADC" w14:textId="1972835B" w:rsidR="00CF4B96" w:rsidRDefault="00CF4B96">
          <w:pPr>
            <w:pStyle w:val="Sadraj2"/>
            <w:rPr>
              <w:rFonts w:asciiTheme="minorHAnsi" w:hAnsiTheme="minorHAnsi"/>
              <w:noProof/>
              <w:color w:val="auto"/>
              <w:sz w:val="22"/>
              <w:szCs w:val="22"/>
              <w:lang w:eastAsia="hr-HR"/>
            </w:rPr>
          </w:pPr>
          <w:hyperlink w:anchor="_Toc85181301" w:history="1">
            <w:r w:rsidRPr="00130F56">
              <w:rPr>
                <w:rStyle w:val="Hiperveza"/>
                <w:noProof/>
              </w:rPr>
              <w:t>6.2. Bolesti stanovništva</w:t>
            </w:r>
            <w:r>
              <w:rPr>
                <w:noProof/>
                <w:webHidden/>
              </w:rPr>
              <w:tab/>
            </w:r>
            <w:r>
              <w:rPr>
                <w:noProof/>
                <w:webHidden/>
              </w:rPr>
              <w:fldChar w:fldCharType="begin"/>
            </w:r>
            <w:r>
              <w:rPr>
                <w:noProof/>
                <w:webHidden/>
              </w:rPr>
              <w:instrText xml:space="preserve"> PAGEREF _Toc85181301 \h </w:instrText>
            </w:r>
            <w:r>
              <w:rPr>
                <w:noProof/>
                <w:webHidden/>
              </w:rPr>
            </w:r>
            <w:r>
              <w:rPr>
                <w:noProof/>
                <w:webHidden/>
              </w:rPr>
              <w:fldChar w:fldCharType="separate"/>
            </w:r>
            <w:r>
              <w:rPr>
                <w:noProof/>
                <w:webHidden/>
              </w:rPr>
              <w:t>68</w:t>
            </w:r>
            <w:r>
              <w:rPr>
                <w:noProof/>
                <w:webHidden/>
              </w:rPr>
              <w:fldChar w:fldCharType="end"/>
            </w:r>
          </w:hyperlink>
        </w:p>
        <w:p w14:paraId="7B2E9F43" w14:textId="53D08D99" w:rsidR="00CF4B96" w:rsidRDefault="00CF4B96">
          <w:pPr>
            <w:pStyle w:val="Sadraj2"/>
            <w:rPr>
              <w:rFonts w:asciiTheme="minorHAnsi" w:hAnsiTheme="minorHAnsi"/>
              <w:noProof/>
              <w:color w:val="auto"/>
              <w:sz w:val="22"/>
              <w:szCs w:val="22"/>
              <w:lang w:eastAsia="hr-HR"/>
            </w:rPr>
          </w:pPr>
          <w:hyperlink w:anchor="_Toc85181302" w:history="1">
            <w:r w:rsidRPr="00130F56">
              <w:rPr>
                <w:rStyle w:val="Hiperveza"/>
                <w:noProof/>
              </w:rPr>
              <w:t>6.3. Palijativna skrb</w:t>
            </w:r>
            <w:r>
              <w:rPr>
                <w:noProof/>
                <w:webHidden/>
              </w:rPr>
              <w:tab/>
            </w:r>
            <w:r>
              <w:rPr>
                <w:noProof/>
                <w:webHidden/>
              </w:rPr>
              <w:fldChar w:fldCharType="begin"/>
            </w:r>
            <w:r>
              <w:rPr>
                <w:noProof/>
                <w:webHidden/>
              </w:rPr>
              <w:instrText xml:space="preserve"> PAGEREF _Toc85181302 \h </w:instrText>
            </w:r>
            <w:r>
              <w:rPr>
                <w:noProof/>
                <w:webHidden/>
              </w:rPr>
            </w:r>
            <w:r>
              <w:rPr>
                <w:noProof/>
                <w:webHidden/>
              </w:rPr>
              <w:fldChar w:fldCharType="separate"/>
            </w:r>
            <w:r>
              <w:rPr>
                <w:noProof/>
                <w:webHidden/>
              </w:rPr>
              <w:t>69</w:t>
            </w:r>
            <w:r>
              <w:rPr>
                <w:noProof/>
                <w:webHidden/>
              </w:rPr>
              <w:fldChar w:fldCharType="end"/>
            </w:r>
          </w:hyperlink>
        </w:p>
        <w:p w14:paraId="46A0C945" w14:textId="6A85C086" w:rsidR="00CF4B96" w:rsidRDefault="00CF4B96">
          <w:pPr>
            <w:pStyle w:val="Sadraj1"/>
            <w:tabs>
              <w:tab w:val="left" w:pos="440"/>
            </w:tabs>
            <w:rPr>
              <w:rFonts w:asciiTheme="minorHAnsi" w:eastAsiaTheme="minorEastAsia" w:hAnsiTheme="minorHAnsi"/>
              <w:color w:val="auto"/>
              <w:spacing w:val="0"/>
              <w:sz w:val="22"/>
              <w:szCs w:val="22"/>
              <w:lang w:eastAsia="hr-HR"/>
            </w:rPr>
          </w:pPr>
          <w:hyperlink w:anchor="_Toc85181303" w:history="1">
            <w:r w:rsidRPr="00130F56">
              <w:rPr>
                <w:rStyle w:val="Hiperveza"/>
                <w:rFonts w:eastAsiaTheme="majorEastAsia"/>
                <w:b/>
                <w:spacing w:val="15"/>
              </w:rPr>
              <w:t>7.</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DRUŠTVENA INFRASTRUKTURA</w:t>
            </w:r>
            <w:r>
              <w:rPr>
                <w:webHidden/>
              </w:rPr>
              <w:tab/>
            </w:r>
            <w:r>
              <w:rPr>
                <w:webHidden/>
              </w:rPr>
              <w:fldChar w:fldCharType="begin"/>
            </w:r>
            <w:r>
              <w:rPr>
                <w:webHidden/>
              </w:rPr>
              <w:instrText xml:space="preserve"> PAGEREF _Toc85181303 \h </w:instrText>
            </w:r>
            <w:r>
              <w:rPr>
                <w:webHidden/>
              </w:rPr>
            </w:r>
            <w:r>
              <w:rPr>
                <w:webHidden/>
              </w:rPr>
              <w:fldChar w:fldCharType="separate"/>
            </w:r>
            <w:r>
              <w:rPr>
                <w:webHidden/>
              </w:rPr>
              <w:t>74</w:t>
            </w:r>
            <w:r>
              <w:rPr>
                <w:webHidden/>
              </w:rPr>
              <w:fldChar w:fldCharType="end"/>
            </w:r>
          </w:hyperlink>
        </w:p>
        <w:p w14:paraId="215646B1" w14:textId="3000238F" w:rsidR="00CF4B96" w:rsidRDefault="00CF4B96">
          <w:pPr>
            <w:pStyle w:val="Sadraj2"/>
            <w:rPr>
              <w:rFonts w:asciiTheme="minorHAnsi" w:hAnsiTheme="minorHAnsi"/>
              <w:noProof/>
              <w:color w:val="auto"/>
              <w:sz w:val="22"/>
              <w:szCs w:val="22"/>
              <w:lang w:eastAsia="hr-HR"/>
            </w:rPr>
          </w:pPr>
          <w:hyperlink w:anchor="_Toc85181304" w:history="1">
            <w:r w:rsidRPr="00130F56">
              <w:rPr>
                <w:rStyle w:val="Hiperveza"/>
                <w:noProof/>
              </w:rPr>
              <w:t>7.1. Društvena infrastruktura</w:t>
            </w:r>
            <w:r>
              <w:rPr>
                <w:noProof/>
                <w:webHidden/>
              </w:rPr>
              <w:tab/>
            </w:r>
            <w:r>
              <w:rPr>
                <w:noProof/>
                <w:webHidden/>
              </w:rPr>
              <w:fldChar w:fldCharType="begin"/>
            </w:r>
            <w:r>
              <w:rPr>
                <w:noProof/>
                <w:webHidden/>
              </w:rPr>
              <w:instrText xml:space="preserve"> PAGEREF _Toc85181304 \h </w:instrText>
            </w:r>
            <w:r>
              <w:rPr>
                <w:noProof/>
                <w:webHidden/>
              </w:rPr>
            </w:r>
            <w:r>
              <w:rPr>
                <w:noProof/>
                <w:webHidden/>
              </w:rPr>
              <w:fldChar w:fldCharType="separate"/>
            </w:r>
            <w:r>
              <w:rPr>
                <w:noProof/>
                <w:webHidden/>
              </w:rPr>
              <w:t>74</w:t>
            </w:r>
            <w:r>
              <w:rPr>
                <w:noProof/>
                <w:webHidden/>
              </w:rPr>
              <w:fldChar w:fldCharType="end"/>
            </w:r>
          </w:hyperlink>
        </w:p>
        <w:p w14:paraId="05E2B9FD" w14:textId="69C1FDD6" w:rsidR="00CF4B96" w:rsidRDefault="00CF4B96">
          <w:pPr>
            <w:pStyle w:val="Sadraj2"/>
            <w:rPr>
              <w:rFonts w:asciiTheme="minorHAnsi" w:hAnsiTheme="minorHAnsi"/>
              <w:noProof/>
              <w:color w:val="auto"/>
              <w:sz w:val="22"/>
              <w:szCs w:val="22"/>
              <w:lang w:eastAsia="hr-HR"/>
            </w:rPr>
          </w:pPr>
          <w:hyperlink w:anchor="_Toc85181305" w:history="1">
            <w:r w:rsidRPr="00130F56">
              <w:rPr>
                <w:rStyle w:val="Hiperveza"/>
                <w:noProof/>
              </w:rPr>
              <w:t>7.2. Stanogradnja i stanovanje</w:t>
            </w:r>
            <w:r>
              <w:rPr>
                <w:noProof/>
                <w:webHidden/>
              </w:rPr>
              <w:tab/>
            </w:r>
            <w:r>
              <w:rPr>
                <w:noProof/>
                <w:webHidden/>
              </w:rPr>
              <w:fldChar w:fldCharType="begin"/>
            </w:r>
            <w:r>
              <w:rPr>
                <w:noProof/>
                <w:webHidden/>
              </w:rPr>
              <w:instrText xml:space="preserve"> PAGEREF _Toc85181305 \h </w:instrText>
            </w:r>
            <w:r>
              <w:rPr>
                <w:noProof/>
                <w:webHidden/>
              </w:rPr>
            </w:r>
            <w:r>
              <w:rPr>
                <w:noProof/>
                <w:webHidden/>
              </w:rPr>
              <w:fldChar w:fldCharType="separate"/>
            </w:r>
            <w:r>
              <w:rPr>
                <w:noProof/>
                <w:webHidden/>
              </w:rPr>
              <w:t>78</w:t>
            </w:r>
            <w:r>
              <w:rPr>
                <w:noProof/>
                <w:webHidden/>
              </w:rPr>
              <w:fldChar w:fldCharType="end"/>
            </w:r>
          </w:hyperlink>
        </w:p>
        <w:p w14:paraId="6605CF89" w14:textId="02B024D8" w:rsidR="00CF4B96" w:rsidRDefault="00CF4B96">
          <w:pPr>
            <w:pStyle w:val="Sadraj2"/>
            <w:rPr>
              <w:rFonts w:asciiTheme="minorHAnsi" w:hAnsiTheme="minorHAnsi"/>
              <w:noProof/>
              <w:color w:val="auto"/>
              <w:sz w:val="22"/>
              <w:szCs w:val="22"/>
              <w:lang w:eastAsia="hr-HR"/>
            </w:rPr>
          </w:pPr>
          <w:hyperlink w:anchor="_Toc85181306" w:history="1">
            <w:r w:rsidRPr="00130F56">
              <w:rPr>
                <w:rStyle w:val="Hiperveza"/>
                <w:noProof/>
              </w:rPr>
              <w:t>7.3. Civilno društvo</w:t>
            </w:r>
            <w:r>
              <w:rPr>
                <w:noProof/>
                <w:webHidden/>
              </w:rPr>
              <w:tab/>
            </w:r>
            <w:r>
              <w:rPr>
                <w:noProof/>
                <w:webHidden/>
              </w:rPr>
              <w:fldChar w:fldCharType="begin"/>
            </w:r>
            <w:r>
              <w:rPr>
                <w:noProof/>
                <w:webHidden/>
              </w:rPr>
              <w:instrText xml:space="preserve"> PAGEREF _Toc85181306 \h </w:instrText>
            </w:r>
            <w:r>
              <w:rPr>
                <w:noProof/>
                <w:webHidden/>
              </w:rPr>
            </w:r>
            <w:r>
              <w:rPr>
                <w:noProof/>
                <w:webHidden/>
              </w:rPr>
              <w:fldChar w:fldCharType="separate"/>
            </w:r>
            <w:r>
              <w:rPr>
                <w:noProof/>
                <w:webHidden/>
              </w:rPr>
              <w:t>80</w:t>
            </w:r>
            <w:r>
              <w:rPr>
                <w:noProof/>
                <w:webHidden/>
              </w:rPr>
              <w:fldChar w:fldCharType="end"/>
            </w:r>
          </w:hyperlink>
        </w:p>
        <w:p w14:paraId="07F7B68E" w14:textId="774D21D4" w:rsidR="00CF4B96" w:rsidRDefault="00CF4B96">
          <w:pPr>
            <w:pStyle w:val="Sadraj1"/>
            <w:tabs>
              <w:tab w:val="left" w:pos="440"/>
            </w:tabs>
            <w:rPr>
              <w:rFonts w:asciiTheme="minorHAnsi" w:eastAsiaTheme="minorEastAsia" w:hAnsiTheme="minorHAnsi"/>
              <w:color w:val="auto"/>
              <w:spacing w:val="0"/>
              <w:sz w:val="22"/>
              <w:szCs w:val="22"/>
              <w:lang w:eastAsia="hr-HR"/>
            </w:rPr>
          </w:pPr>
          <w:hyperlink w:anchor="_Toc85181307" w:history="1">
            <w:r w:rsidRPr="00130F56">
              <w:rPr>
                <w:rStyle w:val="Hiperveza"/>
                <w:rFonts w:eastAsiaTheme="majorEastAsia"/>
                <w:b/>
                <w:spacing w:val="15"/>
              </w:rPr>
              <w:t>8.</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OBRAZOVANJE</w:t>
            </w:r>
            <w:r>
              <w:rPr>
                <w:webHidden/>
              </w:rPr>
              <w:tab/>
            </w:r>
            <w:r>
              <w:rPr>
                <w:webHidden/>
              </w:rPr>
              <w:fldChar w:fldCharType="begin"/>
            </w:r>
            <w:r>
              <w:rPr>
                <w:webHidden/>
              </w:rPr>
              <w:instrText xml:space="preserve"> PAGEREF _Toc85181307 \h </w:instrText>
            </w:r>
            <w:r>
              <w:rPr>
                <w:webHidden/>
              </w:rPr>
            </w:r>
            <w:r>
              <w:rPr>
                <w:webHidden/>
              </w:rPr>
              <w:fldChar w:fldCharType="separate"/>
            </w:r>
            <w:r>
              <w:rPr>
                <w:webHidden/>
              </w:rPr>
              <w:t>84</w:t>
            </w:r>
            <w:r>
              <w:rPr>
                <w:webHidden/>
              </w:rPr>
              <w:fldChar w:fldCharType="end"/>
            </w:r>
          </w:hyperlink>
        </w:p>
        <w:p w14:paraId="45231BC2" w14:textId="47B14B21" w:rsidR="00CF4B96" w:rsidRDefault="00CF4B96">
          <w:pPr>
            <w:pStyle w:val="Sadraj2"/>
            <w:rPr>
              <w:rFonts w:asciiTheme="minorHAnsi" w:hAnsiTheme="minorHAnsi"/>
              <w:noProof/>
              <w:color w:val="auto"/>
              <w:sz w:val="22"/>
              <w:szCs w:val="22"/>
              <w:lang w:eastAsia="hr-HR"/>
            </w:rPr>
          </w:pPr>
          <w:hyperlink w:anchor="_Toc85181308" w:history="1">
            <w:r w:rsidRPr="00130F56">
              <w:rPr>
                <w:rStyle w:val="Hiperveza"/>
                <w:noProof/>
              </w:rPr>
              <w:t>8.1. Obrazovna struktura</w:t>
            </w:r>
            <w:r>
              <w:rPr>
                <w:noProof/>
                <w:webHidden/>
              </w:rPr>
              <w:tab/>
            </w:r>
            <w:r>
              <w:rPr>
                <w:noProof/>
                <w:webHidden/>
              </w:rPr>
              <w:fldChar w:fldCharType="begin"/>
            </w:r>
            <w:r>
              <w:rPr>
                <w:noProof/>
                <w:webHidden/>
              </w:rPr>
              <w:instrText xml:space="preserve"> PAGEREF _Toc85181308 \h </w:instrText>
            </w:r>
            <w:r>
              <w:rPr>
                <w:noProof/>
                <w:webHidden/>
              </w:rPr>
            </w:r>
            <w:r>
              <w:rPr>
                <w:noProof/>
                <w:webHidden/>
              </w:rPr>
              <w:fldChar w:fldCharType="separate"/>
            </w:r>
            <w:r>
              <w:rPr>
                <w:noProof/>
                <w:webHidden/>
              </w:rPr>
              <w:t>84</w:t>
            </w:r>
            <w:r>
              <w:rPr>
                <w:noProof/>
                <w:webHidden/>
              </w:rPr>
              <w:fldChar w:fldCharType="end"/>
            </w:r>
          </w:hyperlink>
        </w:p>
        <w:p w14:paraId="6EECC7D3" w14:textId="1593AFBE" w:rsidR="00CF4B96" w:rsidRDefault="00CF4B96">
          <w:pPr>
            <w:pStyle w:val="Sadraj2"/>
            <w:rPr>
              <w:rFonts w:asciiTheme="minorHAnsi" w:hAnsiTheme="minorHAnsi"/>
              <w:noProof/>
              <w:color w:val="auto"/>
              <w:sz w:val="22"/>
              <w:szCs w:val="22"/>
              <w:lang w:eastAsia="hr-HR"/>
            </w:rPr>
          </w:pPr>
          <w:hyperlink w:anchor="_Toc85181309" w:history="1">
            <w:r w:rsidRPr="00130F56">
              <w:rPr>
                <w:rStyle w:val="Hiperveza"/>
                <w:noProof/>
              </w:rPr>
              <w:t>8.2. Predškolski odgoj i obrazovanje</w:t>
            </w:r>
            <w:r>
              <w:rPr>
                <w:noProof/>
                <w:webHidden/>
              </w:rPr>
              <w:tab/>
            </w:r>
            <w:r>
              <w:rPr>
                <w:noProof/>
                <w:webHidden/>
              </w:rPr>
              <w:fldChar w:fldCharType="begin"/>
            </w:r>
            <w:r>
              <w:rPr>
                <w:noProof/>
                <w:webHidden/>
              </w:rPr>
              <w:instrText xml:space="preserve"> PAGEREF _Toc85181309 \h </w:instrText>
            </w:r>
            <w:r>
              <w:rPr>
                <w:noProof/>
                <w:webHidden/>
              </w:rPr>
            </w:r>
            <w:r>
              <w:rPr>
                <w:noProof/>
                <w:webHidden/>
              </w:rPr>
              <w:fldChar w:fldCharType="separate"/>
            </w:r>
            <w:r>
              <w:rPr>
                <w:noProof/>
                <w:webHidden/>
              </w:rPr>
              <w:t>84</w:t>
            </w:r>
            <w:r>
              <w:rPr>
                <w:noProof/>
                <w:webHidden/>
              </w:rPr>
              <w:fldChar w:fldCharType="end"/>
            </w:r>
          </w:hyperlink>
        </w:p>
        <w:p w14:paraId="0CBAEE81" w14:textId="28BD78B2" w:rsidR="00CF4B96" w:rsidRDefault="00CF4B96">
          <w:pPr>
            <w:pStyle w:val="Sadraj2"/>
            <w:rPr>
              <w:rFonts w:asciiTheme="minorHAnsi" w:hAnsiTheme="minorHAnsi"/>
              <w:noProof/>
              <w:color w:val="auto"/>
              <w:sz w:val="22"/>
              <w:szCs w:val="22"/>
              <w:lang w:eastAsia="hr-HR"/>
            </w:rPr>
          </w:pPr>
          <w:hyperlink w:anchor="_Toc85181310" w:history="1">
            <w:r w:rsidRPr="00130F56">
              <w:rPr>
                <w:rStyle w:val="Hiperveza"/>
                <w:noProof/>
              </w:rPr>
              <w:t>8.3. Osnovnoškolski odgoj i obrazovanje</w:t>
            </w:r>
            <w:r>
              <w:rPr>
                <w:noProof/>
                <w:webHidden/>
              </w:rPr>
              <w:tab/>
            </w:r>
            <w:r>
              <w:rPr>
                <w:noProof/>
                <w:webHidden/>
              </w:rPr>
              <w:fldChar w:fldCharType="begin"/>
            </w:r>
            <w:r>
              <w:rPr>
                <w:noProof/>
                <w:webHidden/>
              </w:rPr>
              <w:instrText xml:space="preserve"> PAGEREF _Toc85181310 \h </w:instrText>
            </w:r>
            <w:r>
              <w:rPr>
                <w:noProof/>
                <w:webHidden/>
              </w:rPr>
            </w:r>
            <w:r>
              <w:rPr>
                <w:noProof/>
                <w:webHidden/>
              </w:rPr>
              <w:fldChar w:fldCharType="separate"/>
            </w:r>
            <w:r>
              <w:rPr>
                <w:noProof/>
                <w:webHidden/>
              </w:rPr>
              <w:t>87</w:t>
            </w:r>
            <w:r>
              <w:rPr>
                <w:noProof/>
                <w:webHidden/>
              </w:rPr>
              <w:fldChar w:fldCharType="end"/>
            </w:r>
          </w:hyperlink>
        </w:p>
        <w:p w14:paraId="7A5C8049" w14:textId="7591D6FA" w:rsidR="00CF4B96" w:rsidRDefault="00CF4B96">
          <w:pPr>
            <w:pStyle w:val="Sadraj2"/>
            <w:rPr>
              <w:rFonts w:asciiTheme="minorHAnsi" w:hAnsiTheme="minorHAnsi"/>
              <w:noProof/>
              <w:color w:val="auto"/>
              <w:sz w:val="22"/>
              <w:szCs w:val="22"/>
              <w:lang w:eastAsia="hr-HR"/>
            </w:rPr>
          </w:pPr>
          <w:hyperlink w:anchor="_Toc85181311" w:history="1">
            <w:r w:rsidRPr="00130F56">
              <w:rPr>
                <w:rStyle w:val="Hiperveza"/>
                <w:noProof/>
              </w:rPr>
              <w:t>8.4. Srednjoškolski odgoj i obrazovanje</w:t>
            </w:r>
            <w:r>
              <w:rPr>
                <w:noProof/>
                <w:webHidden/>
              </w:rPr>
              <w:tab/>
            </w:r>
            <w:r>
              <w:rPr>
                <w:noProof/>
                <w:webHidden/>
              </w:rPr>
              <w:fldChar w:fldCharType="begin"/>
            </w:r>
            <w:r>
              <w:rPr>
                <w:noProof/>
                <w:webHidden/>
              </w:rPr>
              <w:instrText xml:space="preserve"> PAGEREF _Toc85181311 \h </w:instrText>
            </w:r>
            <w:r>
              <w:rPr>
                <w:noProof/>
                <w:webHidden/>
              </w:rPr>
            </w:r>
            <w:r>
              <w:rPr>
                <w:noProof/>
                <w:webHidden/>
              </w:rPr>
              <w:fldChar w:fldCharType="separate"/>
            </w:r>
            <w:r>
              <w:rPr>
                <w:noProof/>
                <w:webHidden/>
              </w:rPr>
              <w:t>92</w:t>
            </w:r>
            <w:r>
              <w:rPr>
                <w:noProof/>
                <w:webHidden/>
              </w:rPr>
              <w:fldChar w:fldCharType="end"/>
            </w:r>
          </w:hyperlink>
        </w:p>
        <w:p w14:paraId="49B25DEA" w14:textId="54E096C8" w:rsidR="00CF4B96" w:rsidRDefault="00CF4B96">
          <w:pPr>
            <w:pStyle w:val="Sadraj2"/>
            <w:rPr>
              <w:rFonts w:asciiTheme="minorHAnsi" w:hAnsiTheme="minorHAnsi"/>
              <w:noProof/>
              <w:color w:val="auto"/>
              <w:sz w:val="22"/>
              <w:szCs w:val="22"/>
              <w:lang w:eastAsia="hr-HR"/>
            </w:rPr>
          </w:pPr>
          <w:hyperlink w:anchor="_Toc85181312" w:history="1">
            <w:r w:rsidRPr="00130F56">
              <w:rPr>
                <w:rStyle w:val="Hiperveza"/>
                <w:noProof/>
              </w:rPr>
              <w:t>8.5. Visoko obrazovanje</w:t>
            </w:r>
            <w:r>
              <w:rPr>
                <w:noProof/>
                <w:webHidden/>
              </w:rPr>
              <w:tab/>
            </w:r>
            <w:r>
              <w:rPr>
                <w:noProof/>
                <w:webHidden/>
              </w:rPr>
              <w:fldChar w:fldCharType="begin"/>
            </w:r>
            <w:r>
              <w:rPr>
                <w:noProof/>
                <w:webHidden/>
              </w:rPr>
              <w:instrText xml:space="preserve"> PAGEREF _Toc85181312 \h </w:instrText>
            </w:r>
            <w:r>
              <w:rPr>
                <w:noProof/>
                <w:webHidden/>
              </w:rPr>
            </w:r>
            <w:r>
              <w:rPr>
                <w:noProof/>
                <w:webHidden/>
              </w:rPr>
              <w:fldChar w:fldCharType="separate"/>
            </w:r>
            <w:r>
              <w:rPr>
                <w:noProof/>
                <w:webHidden/>
              </w:rPr>
              <w:t>95</w:t>
            </w:r>
            <w:r>
              <w:rPr>
                <w:noProof/>
                <w:webHidden/>
              </w:rPr>
              <w:fldChar w:fldCharType="end"/>
            </w:r>
          </w:hyperlink>
        </w:p>
        <w:p w14:paraId="5AC9BB57" w14:textId="50484BC1" w:rsidR="00CF4B96" w:rsidRDefault="00CF4B96">
          <w:pPr>
            <w:pStyle w:val="Sadraj2"/>
            <w:rPr>
              <w:rFonts w:asciiTheme="minorHAnsi" w:hAnsiTheme="minorHAnsi"/>
              <w:noProof/>
              <w:color w:val="auto"/>
              <w:sz w:val="22"/>
              <w:szCs w:val="22"/>
              <w:lang w:eastAsia="hr-HR"/>
            </w:rPr>
          </w:pPr>
          <w:hyperlink w:anchor="_Toc85181313" w:history="1">
            <w:r w:rsidRPr="00130F56">
              <w:rPr>
                <w:rStyle w:val="Hiperveza"/>
                <w:noProof/>
              </w:rPr>
              <w:t>8.6. STEM</w:t>
            </w:r>
            <w:r>
              <w:rPr>
                <w:noProof/>
                <w:webHidden/>
              </w:rPr>
              <w:tab/>
            </w:r>
            <w:r>
              <w:rPr>
                <w:noProof/>
                <w:webHidden/>
              </w:rPr>
              <w:fldChar w:fldCharType="begin"/>
            </w:r>
            <w:r>
              <w:rPr>
                <w:noProof/>
                <w:webHidden/>
              </w:rPr>
              <w:instrText xml:space="preserve"> PAGEREF _Toc85181313 \h </w:instrText>
            </w:r>
            <w:r>
              <w:rPr>
                <w:noProof/>
                <w:webHidden/>
              </w:rPr>
            </w:r>
            <w:r>
              <w:rPr>
                <w:noProof/>
                <w:webHidden/>
              </w:rPr>
              <w:fldChar w:fldCharType="separate"/>
            </w:r>
            <w:r>
              <w:rPr>
                <w:noProof/>
                <w:webHidden/>
              </w:rPr>
              <w:t>98</w:t>
            </w:r>
            <w:r>
              <w:rPr>
                <w:noProof/>
                <w:webHidden/>
              </w:rPr>
              <w:fldChar w:fldCharType="end"/>
            </w:r>
          </w:hyperlink>
        </w:p>
        <w:p w14:paraId="0824D093" w14:textId="00ACFB62" w:rsidR="00CF4B96" w:rsidRDefault="00CF4B96">
          <w:pPr>
            <w:pStyle w:val="Sadraj2"/>
            <w:rPr>
              <w:rFonts w:asciiTheme="minorHAnsi" w:hAnsiTheme="minorHAnsi"/>
              <w:noProof/>
              <w:color w:val="auto"/>
              <w:sz w:val="22"/>
              <w:szCs w:val="22"/>
              <w:lang w:eastAsia="hr-HR"/>
            </w:rPr>
          </w:pPr>
          <w:hyperlink w:anchor="_Toc85181314" w:history="1">
            <w:r w:rsidRPr="00130F56">
              <w:rPr>
                <w:rStyle w:val="Hiperveza"/>
                <w:noProof/>
              </w:rPr>
              <w:t>8.7. Obrazovanje odraslih</w:t>
            </w:r>
            <w:r>
              <w:rPr>
                <w:noProof/>
                <w:webHidden/>
              </w:rPr>
              <w:tab/>
            </w:r>
            <w:r>
              <w:rPr>
                <w:noProof/>
                <w:webHidden/>
              </w:rPr>
              <w:fldChar w:fldCharType="begin"/>
            </w:r>
            <w:r>
              <w:rPr>
                <w:noProof/>
                <w:webHidden/>
              </w:rPr>
              <w:instrText xml:space="preserve"> PAGEREF _Toc85181314 \h </w:instrText>
            </w:r>
            <w:r>
              <w:rPr>
                <w:noProof/>
                <w:webHidden/>
              </w:rPr>
            </w:r>
            <w:r>
              <w:rPr>
                <w:noProof/>
                <w:webHidden/>
              </w:rPr>
              <w:fldChar w:fldCharType="separate"/>
            </w:r>
            <w:r>
              <w:rPr>
                <w:noProof/>
                <w:webHidden/>
              </w:rPr>
              <w:t>99</w:t>
            </w:r>
            <w:r>
              <w:rPr>
                <w:noProof/>
                <w:webHidden/>
              </w:rPr>
              <w:fldChar w:fldCharType="end"/>
            </w:r>
          </w:hyperlink>
        </w:p>
        <w:p w14:paraId="07625453" w14:textId="3CB3CAFD" w:rsidR="00CF4B96" w:rsidRDefault="00CF4B96">
          <w:pPr>
            <w:pStyle w:val="Sadraj2"/>
            <w:rPr>
              <w:rFonts w:asciiTheme="minorHAnsi" w:hAnsiTheme="minorHAnsi"/>
              <w:noProof/>
              <w:color w:val="auto"/>
              <w:sz w:val="22"/>
              <w:szCs w:val="22"/>
              <w:lang w:eastAsia="hr-HR"/>
            </w:rPr>
          </w:pPr>
          <w:hyperlink w:anchor="_Toc85181315" w:history="1">
            <w:r w:rsidRPr="00130F56">
              <w:rPr>
                <w:rStyle w:val="Hiperveza"/>
                <w:noProof/>
              </w:rPr>
              <w:t>8.9. Umjetničko obrazovanje</w:t>
            </w:r>
            <w:r>
              <w:rPr>
                <w:noProof/>
                <w:webHidden/>
              </w:rPr>
              <w:tab/>
            </w:r>
            <w:r>
              <w:rPr>
                <w:noProof/>
                <w:webHidden/>
              </w:rPr>
              <w:fldChar w:fldCharType="begin"/>
            </w:r>
            <w:r>
              <w:rPr>
                <w:noProof/>
                <w:webHidden/>
              </w:rPr>
              <w:instrText xml:space="preserve"> PAGEREF _Toc85181315 \h </w:instrText>
            </w:r>
            <w:r>
              <w:rPr>
                <w:noProof/>
                <w:webHidden/>
              </w:rPr>
            </w:r>
            <w:r>
              <w:rPr>
                <w:noProof/>
                <w:webHidden/>
              </w:rPr>
              <w:fldChar w:fldCharType="separate"/>
            </w:r>
            <w:r>
              <w:rPr>
                <w:noProof/>
                <w:webHidden/>
              </w:rPr>
              <w:t>102</w:t>
            </w:r>
            <w:r>
              <w:rPr>
                <w:noProof/>
                <w:webHidden/>
              </w:rPr>
              <w:fldChar w:fldCharType="end"/>
            </w:r>
          </w:hyperlink>
        </w:p>
        <w:p w14:paraId="62499B1D" w14:textId="5BF9F2D8" w:rsidR="00CF4B96" w:rsidRDefault="00CF4B96">
          <w:pPr>
            <w:pStyle w:val="Sadraj1"/>
            <w:tabs>
              <w:tab w:val="left" w:pos="440"/>
            </w:tabs>
            <w:rPr>
              <w:rFonts w:asciiTheme="minorHAnsi" w:eastAsiaTheme="minorEastAsia" w:hAnsiTheme="minorHAnsi"/>
              <w:color w:val="auto"/>
              <w:spacing w:val="0"/>
              <w:sz w:val="22"/>
              <w:szCs w:val="22"/>
              <w:lang w:eastAsia="hr-HR"/>
            </w:rPr>
          </w:pPr>
          <w:hyperlink w:anchor="_Toc85181316" w:history="1">
            <w:r w:rsidRPr="00130F56">
              <w:rPr>
                <w:rStyle w:val="Hiperveza"/>
                <w:w w:val="99"/>
              </w:rPr>
              <w:t>9.</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TRŽIŠTE RADA</w:t>
            </w:r>
            <w:r>
              <w:rPr>
                <w:webHidden/>
              </w:rPr>
              <w:tab/>
            </w:r>
            <w:r>
              <w:rPr>
                <w:webHidden/>
              </w:rPr>
              <w:fldChar w:fldCharType="begin"/>
            </w:r>
            <w:r>
              <w:rPr>
                <w:webHidden/>
              </w:rPr>
              <w:instrText xml:space="preserve"> PAGEREF _Toc85181316 \h </w:instrText>
            </w:r>
            <w:r>
              <w:rPr>
                <w:webHidden/>
              </w:rPr>
            </w:r>
            <w:r>
              <w:rPr>
                <w:webHidden/>
              </w:rPr>
              <w:fldChar w:fldCharType="separate"/>
            </w:r>
            <w:r>
              <w:rPr>
                <w:webHidden/>
              </w:rPr>
              <w:t>104</w:t>
            </w:r>
            <w:r>
              <w:rPr>
                <w:webHidden/>
              </w:rPr>
              <w:fldChar w:fldCharType="end"/>
            </w:r>
          </w:hyperlink>
        </w:p>
        <w:p w14:paraId="3CD092C2" w14:textId="1D03F65B" w:rsidR="00CF4B96" w:rsidRDefault="00CF4B96">
          <w:pPr>
            <w:pStyle w:val="Sadraj2"/>
            <w:rPr>
              <w:rFonts w:asciiTheme="minorHAnsi" w:hAnsiTheme="minorHAnsi"/>
              <w:noProof/>
              <w:color w:val="auto"/>
              <w:sz w:val="22"/>
              <w:szCs w:val="22"/>
              <w:lang w:eastAsia="hr-HR"/>
            </w:rPr>
          </w:pPr>
          <w:hyperlink w:anchor="_Toc85181317" w:history="1">
            <w:r w:rsidRPr="00130F56">
              <w:rPr>
                <w:rStyle w:val="Hiperveza"/>
                <w:noProof/>
              </w:rPr>
              <w:t>9.1. Radna snaga</w:t>
            </w:r>
            <w:r>
              <w:rPr>
                <w:noProof/>
                <w:webHidden/>
              </w:rPr>
              <w:tab/>
            </w:r>
            <w:r>
              <w:rPr>
                <w:noProof/>
                <w:webHidden/>
              </w:rPr>
              <w:fldChar w:fldCharType="begin"/>
            </w:r>
            <w:r>
              <w:rPr>
                <w:noProof/>
                <w:webHidden/>
              </w:rPr>
              <w:instrText xml:space="preserve"> PAGEREF _Toc85181317 \h </w:instrText>
            </w:r>
            <w:r>
              <w:rPr>
                <w:noProof/>
                <w:webHidden/>
              </w:rPr>
            </w:r>
            <w:r>
              <w:rPr>
                <w:noProof/>
                <w:webHidden/>
              </w:rPr>
              <w:fldChar w:fldCharType="separate"/>
            </w:r>
            <w:r>
              <w:rPr>
                <w:noProof/>
                <w:webHidden/>
              </w:rPr>
              <w:t>104</w:t>
            </w:r>
            <w:r>
              <w:rPr>
                <w:noProof/>
                <w:webHidden/>
              </w:rPr>
              <w:fldChar w:fldCharType="end"/>
            </w:r>
          </w:hyperlink>
        </w:p>
        <w:p w14:paraId="289AF38C" w14:textId="2FA7E63B" w:rsidR="00CF4B96" w:rsidRDefault="00CF4B96">
          <w:pPr>
            <w:pStyle w:val="Sadraj2"/>
            <w:rPr>
              <w:rFonts w:asciiTheme="minorHAnsi" w:hAnsiTheme="minorHAnsi"/>
              <w:noProof/>
              <w:color w:val="auto"/>
              <w:sz w:val="22"/>
              <w:szCs w:val="22"/>
              <w:lang w:eastAsia="hr-HR"/>
            </w:rPr>
          </w:pPr>
          <w:hyperlink w:anchor="_Toc85181318" w:history="1">
            <w:r w:rsidRPr="00130F56">
              <w:rPr>
                <w:rStyle w:val="Hiperveza"/>
                <w:noProof/>
              </w:rPr>
              <w:t>9.2. Zaposlenost i plaće</w:t>
            </w:r>
            <w:r>
              <w:rPr>
                <w:noProof/>
                <w:webHidden/>
              </w:rPr>
              <w:tab/>
            </w:r>
            <w:r>
              <w:rPr>
                <w:noProof/>
                <w:webHidden/>
              </w:rPr>
              <w:fldChar w:fldCharType="begin"/>
            </w:r>
            <w:r>
              <w:rPr>
                <w:noProof/>
                <w:webHidden/>
              </w:rPr>
              <w:instrText xml:space="preserve"> PAGEREF _Toc85181318 \h </w:instrText>
            </w:r>
            <w:r>
              <w:rPr>
                <w:noProof/>
                <w:webHidden/>
              </w:rPr>
            </w:r>
            <w:r>
              <w:rPr>
                <w:noProof/>
                <w:webHidden/>
              </w:rPr>
              <w:fldChar w:fldCharType="separate"/>
            </w:r>
            <w:r>
              <w:rPr>
                <w:noProof/>
                <w:webHidden/>
              </w:rPr>
              <w:t>104</w:t>
            </w:r>
            <w:r>
              <w:rPr>
                <w:noProof/>
                <w:webHidden/>
              </w:rPr>
              <w:fldChar w:fldCharType="end"/>
            </w:r>
          </w:hyperlink>
        </w:p>
        <w:p w14:paraId="5B7DF7E2" w14:textId="1776BFA1" w:rsidR="00CF4B96" w:rsidRDefault="00CF4B96">
          <w:pPr>
            <w:pStyle w:val="Sadraj2"/>
            <w:rPr>
              <w:rFonts w:asciiTheme="minorHAnsi" w:hAnsiTheme="minorHAnsi"/>
              <w:noProof/>
              <w:color w:val="auto"/>
              <w:sz w:val="22"/>
              <w:szCs w:val="22"/>
              <w:lang w:eastAsia="hr-HR"/>
            </w:rPr>
          </w:pPr>
          <w:hyperlink w:anchor="_Toc85181319" w:history="1">
            <w:r w:rsidRPr="00130F56">
              <w:rPr>
                <w:rStyle w:val="Hiperveza"/>
                <w:noProof/>
              </w:rPr>
              <w:t>9.3. Nezaposlenost i tržište rada</w:t>
            </w:r>
            <w:r>
              <w:rPr>
                <w:noProof/>
                <w:webHidden/>
              </w:rPr>
              <w:tab/>
            </w:r>
            <w:r>
              <w:rPr>
                <w:noProof/>
                <w:webHidden/>
              </w:rPr>
              <w:fldChar w:fldCharType="begin"/>
            </w:r>
            <w:r>
              <w:rPr>
                <w:noProof/>
                <w:webHidden/>
              </w:rPr>
              <w:instrText xml:space="preserve"> PAGEREF _Toc85181319 \h </w:instrText>
            </w:r>
            <w:r>
              <w:rPr>
                <w:noProof/>
                <w:webHidden/>
              </w:rPr>
            </w:r>
            <w:r>
              <w:rPr>
                <w:noProof/>
                <w:webHidden/>
              </w:rPr>
              <w:fldChar w:fldCharType="separate"/>
            </w:r>
            <w:r>
              <w:rPr>
                <w:noProof/>
                <w:webHidden/>
              </w:rPr>
              <w:t>107</w:t>
            </w:r>
            <w:r>
              <w:rPr>
                <w:noProof/>
                <w:webHidden/>
              </w:rPr>
              <w:fldChar w:fldCharType="end"/>
            </w:r>
          </w:hyperlink>
        </w:p>
        <w:p w14:paraId="0A9B7185" w14:textId="6041EE4F" w:rsidR="00CF4B96" w:rsidRDefault="00CF4B96">
          <w:pPr>
            <w:pStyle w:val="Sadraj2"/>
            <w:rPr>
              <w:rFonts w:asciiTheme="minorHAnsi" w:hAnsiTheme="minorHAnsi"/>
              <w:noProof/>
              <w:color w:val="auto"/>
              <w:sz w:val="22"/>
              <w:szCs w:val="22"/>
              <w:lang w:eastAsia="hr-HR"/>
            </w:rPr>
          </w:pPr>
          <w:hyperlink w:anchor="_Toc85181320" w:history="1">
            <w:r w:rsidRPr="00130F56">
              <w:rPr>
                <w:rStyle w:val="Hiperveza"/>
                <w:noProof/>
              </w:rPr>
              <w:t>9.4. Osjetljive skupine na tržištu rada</w:t>
            </w:r>
            <w:r>
              <w:rPr>
                <w:noProof/>
                <w:webHidden/>
              </w:rPr>
              <w:tab/>
            </w:r>
            <w:r>
              <w:rPr>
                <w:noProof/>
                <w:webHidden/>
              </w:rPr>
              <w:fldChar w:fldCharType="begin"/>
            </w:r>
            <w:r>
              <w:rPr>
                <w:noProof/>
                <w:webHidden/>
              </w:rPr>
              <w:instrText xml:space="preserve"> PAGEREF _Toc85181320 \h </w:instrText>
            </w:r>
            <w:r>
              <w:rPr>
                <w:noProof/>
                <w:webHidden/>
              </w:rPr>
            </w:r>
            <w:r>
              <w:rPr>
                <w:noProof/>
                <w:webHidden/>
              </w:rPr>
              <w:fldChar w:fldCharType="separate"/>
            </w:r>
            <w:r>
              <w:rPr>
                <w:noProof/>
                <w:webHidden/>
              </w:rPr>
              <w:t>113</w:t>
            </w:r>
            <w:r>
              <w:rPr>
                <w:noProof/>
                <w:webHidden/>
              </w:rPr>
              <w:fldChar w:fldCharType="end"/>
            </w:r>
          </w:hyperlink>
        </w:p>
        <w:p w14:paraId="085EBBAF" w14:textId="14B3170B" w:rsidR="00CF4B96" w:rsidRDefault="00CF4B96">
          <w:pPr>
            <w:pStyle w:val="Sadraj2"/>
            <w:rPr>
              <w:rFonts w:asciiTheme="minorHAnsi" w:hAnsiTheme="minorHAnsi"/>
              <w:noProof/>
              <w:color w:val="auto"/>
              <w:sz w:val="22"/>
              <w:szCs w:val="22"/>
              <w:lang w:eastAsia="hr-HR"/>
            </w:rPr>
          </w:pPr>
          <w:hyperlink w:anchor="_Toc85181321" w:history="1">
            <w:r w:rsidRPr="00130F56">
              <w:rPr>
                <w:rStyle w:val="Hiperveza"/>
                <w:noProof/>
              </w:rPr>
              <w:t>9.5. Učinci epidemioloških mjera na zaposlenost i tržište rada</w:t>
            </w:r>
            <w:r>
              <w:rPr>
                <w:noProof/>
                <w:webHidden/>
              </w:rPr>
              <w:tab/>
            </w:r>
            <w:r>
              <w:rPr>
                <w:noProof/>
                <w:webHidden/>
              </w:rPr>
              <w:fldChar w:fldCharType="begin"/>
            </w:r>
            <w:r>
              <w:rPr>
                <w:noProof/>
                <w:webHidden/>
              </w:rPr>
              <w:instrText xml:space="preserve"> PAGEREF _Toc85181321 \h </w:instrText>
            </w:r>
            <w:r>
              <w:rPr>
                <w:noProof/>
                <w:webHidden/>
              </w:rPr>
            </w:r>
            <w:r>
              <w:rPr>
                <w:noProof/>
                <w:webHidden/>
              </w:rPr>
              <w:fldChar w:fldCharType="separate"/>
            </w:r>
            <w:r>
              <w:rPr>
                <w:noProof/>
                <w:webHidden/>
              </w:rPr>
              <w:t>118</w:t>
            </w:r>
            <w:r>
              <w:rPr>
                <w:noProof/>
                <w:webHidden/>
              </w:rPr>
              <w:fldChar w:fldCharType="end"/>
            </w:r>
          </w:hyperlink>
        </w:p>
        <w:p w14:paraId="3552DD2D" w14:textId="1FEF656E" w:rsidR="00CF4B96" w:rsidRDefault="00CF4B96">
          <w:pPr>
            <w:pStyle w:val="Sadraj1"/>
            <w:tabs>
              <w:tab w:val="left" w:pos="660"/>
            </w:tabs>
            <w:rPr>
              <w:rFonts w:asciiTheme="minorHAnsi" w:eastAsiaTheme="minorEastAsia" w:hAnsiTheme="minorHAnsi"/>
              <w:color w:val="auto"/>
              <w:spacing w:val="0"/>
              <w:sz w:val="22"/>
              <w:szCs w:val="22"/>
              <w:lang w:eastAsia="hr-HR"/>
            </w:rPr>
          </w:pPr>
          <w:hyperlink w:anchor="_Toc85181322" w:history="1">
            <w:r w:rsidRPr="00130F56">
              <w:rPr>
                <w:rStyle w:val="Hiperveza"/>
                <w:rFonts w:eastAsiaTheme="majorEastAsia"/>
                <w:b/>
                <w:spacing w:val="15"/>
              </w:rPr>
              <w:t>10.</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OPĆA GOSPODARSKA KRETANJA</w:t>
            </w:r>
            <w:r>
              <w:rPr>
                <w:webHidden/>
              </w:rPr>
              <w:tab/>
            </w:r>
            <w:r>
              <w:rPr>
                <w:webHidden/>
              </w:rPr>
              <w:fldChar w:fldCharType="begin"/>
            </w:r>
            <w:r>
              <w:rPr>
                <w:webHidden/>
              </w:rPr>
              <w:instrText xml:space="preserve"> PAGEREF _Toc85181322 \h </w:instrText>
            </w:r>
            <w:r>
              <w:rPr>
                <w:webHidden/>
              </w:rPr>
            </w:r>
            <w:r>
              <w:rPr>
                <w:webHidden/>
              </w:rPr>
              <w:fldChar w:fldCharType="separate"/>
            </w:r>
            <w:r>
              <w:rPr>
                <w:webHidden/>
              </w:rPr>
              <w:t>120</w:t>
            </w:r>
            <w:r>
              <w:rPr>
                <w:webHidden/>
              </w:rPr>
              <w:fldChar w:fldCharType="end"/>
            </w:r>
          </w:hyperlink>
        </w:p>
        <w:p w14:paraId="46FBCE74" w14:textId="1898DF6F" w:rsidR="00CF4B96" w:rsidRDefault="00CF4B96">
          <w:pPr>
            <w:pStyle w:val="Sadraj2"/>
            <w:rPr>
              <w:rFonts w:asciiTheme="minorHAnsi" w:hAnsiTheme="minorHAnsi"/>
              <w:noProof/>
              <w:color w:val="auto"/>
              <w:sz w:val="22"/>
              <w:szCs w:val="22"/>
              <w:lang w:eastAsia="hr-HR"/>
            </w:rPr>
          </w:pPr>
          <w:hyperlink w:anchor="_Toc85181323" w:history="1">
            <w:r w:rsidRPr="00130F56">
              <w:rPr>
                <w:rStyle w:val="Hiperveza"/>
                <w:noProof/>
                <w:spacing w:val="1"/>
                <w:w w:val="99"/>
              </w:rPr>
              <w:t>10.1</w:t>
            </w:r>
            <w:r w:rsidRPr="00130F56">
              <w:rPr>
                <w:rStyle w:val="Hiperveza"/>
                <w:noProof/>
                <w:w w:val="99"/>
              </w:rPr>
              <w:t>.</w:t>
            </w:r>
            <w:r w:rsidRPr="00130F56">
              <w:rPr>
                <w:rStyle w:val="Hiperveza"/>
                <w:noProof/>
                <w:spacing w:val="-25"/>
              </w:rPr>
              <w:t xml:space="preserve"> </w:t>
            </w:r>
            <w:r w:rsidRPr="00130F56">
              <w:rPr>
                <w:rStyle w:val="Hiperveza"/>
                <w:noProof/>
              </w:rPr>
              <w:t>Razvojni</w:t>
            </w:r>
            <w:r w:rsidRPr="00130F56">
              <w:rPr>
                <w:rStyle w:val="Hiperveza"/>
                <w:noProof/>
                <w:spacing w:val="-3"/>
              </w:rPr>
              <w:t xml:space="preserve"> </w:t>
            </w:r>
            <w:r w:rsidRPr="00130F56">
              <w:rPr>
                <w:rStyle w:val="Hiperveza"/>
                <w:noProof/>
              </w:rPr>
              <w:t>po</w:t>
            </w:r>
            <w:r w:rsidRPr="00130F56">
              <w:rPr>
                <w:rStyle w:val="Hiperveza"/>
                <w:noProof/>
                <w:spacing w:val="1"/>
              </w:rPr>
              <w:t>l</w:t>
            </w:r>
            <w:r w:rsidRPr="00130F56">
              <w:rPr>
                <w:rStyle w:val="Hiperveza"/>
                <w:noProof/>
              </w:rPr>
              <w:t>ož</w:t>
            </w:r>
            <w:r w:rsidRPr="00130F56">
              <w:rPr>
                <w:rStyle w:val="Hiperveza"/>
                <w:noProof/>
                <w:spacing w:val="1"/>
              </w:rPr>
              <w:t>a</w:t>
            </w:r>
            <w:r w:rsidRPr="00130F56">
              <w:rPr>
                <w:rStyle w:val="Hiperveza"/>
                <w:noProof/>
              </w:rPr>
              <w:t>j</w:t>
            </w:r>
            <w:r w:rsidRPr="00130F56">
              <w:rPr>
                <w:rStyle w:val="Hiperveza"/>
                <w:noProof/>
                <w:spacing w:val="-4"/>
              </w:rPr>
              <w:t xml:space="preserve"> </w:t>
            </w:r>
            <w:r w:rsidRPr="00130F56">
              <w:rPr>
                <w:rStyle w:val="Hiperveza"/>
                <w:noProof/>
              </w:rPr>
              <w:t>Kr</w:t>
            </w:r>
            <w:r w:rsidRPr="00130F56">
              <w:rPr>
                <w:rStyle w:val="Hiperveza"/>
                <w:noProof/>
                <w:spacing w:val="1"/>
              </w:rPr>
              <w:t>a</w:t>
            </w:r>
            <w:r w:rsidRPr="00130F56">
              <w:rPr>
                <w:rStyle w:val="Hiperveza"/>
                <w:noProof/>
              </w:rPr>
              <w:t>p</w:t>
            </w:r>
            <w:r w:rsidRPr="00130F56">
              <w:rPr>
                <w:rStyle w:val="Hiperveza"/>
                <w:noProof/>
                <w:spacing w:val="1"/>
              </w:rPr>
              <w:t>i</w:t>
            </w:r>
            <w:r w:rsidRPr="00130F56">
              <w:rPr>
                <w:rStyle w:val="Hiperveza"/>
                <w:noProof/>
              </w:rPr>
              <w:t>n</w:t>
            </w:r>
            <w:r w:rsidRPr="00130F56">
              <w:rPr>
                <w:rStyle w:val="Hiperveza"/>
                <w:noProof/>
                <w:spacing w:val="-1"/>
              </w:rPr>
              <w:t>sk</w:t>
            </w:r>
            <w:r w:rsidRPr="00130F56">
              <w:rPr>
                <w:rStyle w:val="Hiperveza"/>
                <w:noProof/>
              </w:rPr>
              <w:t>o</w:t>
            </w:r>
            <w:r w:rsidRPr="00130F56">
              <w:rPr>
                <w:rStyle w:val="Hiperveza"/>
                <w:noProof/>
                <w:spacing w:val="-1"/>
              </w:rPr>
              <w:t>-</w:t>
            </w:r>
            <w:r w:rsidRPr="00130F56">
              <w:rPr>
                <w:rStyle w:val="Hiperveza"/>
                <w:noProof/>
              </w:rPr>
              <w:t>z</w:t>
            </w:r>
            <w:r w:rsidRPr="00130F56">
              <w:rPr>
                <w:rStyle w:val="Hiperveza"/>
                <w:noProof/>
                <w:spacing w:val="1"/>
              </w:rPr>
              <w:t>a</w:t>
            </w:r>
            <w:r w:rsidRPr="00130F56">
              <w:rPr>
                <w:rStyle w:val="Hiperveza"/>
                <w:noProof/>
              </w:rPr>
              <w:t>gor</w:t>
            </w:r>
            <w:r w:rsidRPr="00130F56">
              <w:rPr>
                <w:rStyle w:val="Hiperveza"/>
                <w:noProof/>
                <w:spacing w:val="1"/>
              </w:rPr>
              <w:t>sk</w:t>
            </w:r>
            <w:r w:rsidRPr="00130F56">
              <w:rPr>
                <w:rStyle w:val="Hiperveza"/>
                <w:noProof/>
              </w:rPr>
              <w:t>e</w:t>
            </w:r>
            <w:r w:rsidRPr="00130F56">
              <w:rPr>
                <w:rStyle w:val="Hiperveza"/>
                <w:noProof/>
                <w:spacing w:val="-7"/>
              </w:rPr>
              <w:t xml:space="preserve"> </w:t>
            </w:r>
            <w:r w:rsidRPr="00130F56">
              <w:rPr>
                <w:rStyle w:val="Hiperveza"/>
                <w:noProof/>
              </w:rPr>
              <w:t>žup</w:t>
            </w:r>
            <w:r w:rsidRPr="00130F56">
              <w:rPr>
                <w:rStyle w:val="Hiperveza"/>
                <w:noProof/>
                <w:spacing w:val="1"/>
              </w:rPr>
              <w:t>a</w:t>
            </w:r>
            <w:r w:rsidRPr="00130F56">
              <w:rPr>
                <w:rStyle w:val="Hiperveza"/>
                <w:noProof/>
                <w:spacing w:val="-3"/>
              </w:rPr>
              <w:t>n</w:t>
            </w:r>
            <w:r w:rsidRPr="00130F56">
              <w:rPr>
                <w:rStyle w:val="Hiperveza"/>
                <w:noProof/>
              </w:rPr>
              <w:t>i</w:t>
            </w:r>
            <w:r w:rsidRPr="00130F56">
              <w:rPr>
                <w:rStyle w:val="Hiperveza"/>
                <w:noProof/>
                <w:spacing w:val="1"/>
              </w:rPr>
              <w:t>j</w:t>
            </w:r>
            <w:r w:rsidRPr="00130F56">
              <w:rPr>
                <w:rStyle w:val="Hiperveza"/>
                <w:noProof/>
              </w:rPr>
              <w:t>e</w:t>
            </w:r>
            <w:r w:rsidRPr="00130F56">
              <w:rPr>
                <w:rStyle w:val="Hiperveza"/>
                <w:noProof/>
                <w:spacing w:val="-2"/>
              </w:rPr>
              <w:t xml:space="preserve"> </w:t>
            </w:r>
            <w:r w:rsidRPr="00130F56">
              <w:rPr>
                <w:rStyle w:val="Hiperveza"/>
                <w:noProof/>
              </w:rPr>
              <w:t xml:space="preserve">u </w:t>
            </w:r>
            <w:r w:rsidRPr="00130F56">
              <w:rPr>
                <w:rStyle w:val="Hiperveza"/>
                <w:noProof/>
                <w:spacing w:val="-3"/>
              </w:rPr>
              <w:t>R</w:t>
            </w:r>
            <w:r w:rsidRPr="00130F56">
              <w:rPr>
                <w:rStyle w:val="Hiperveza"/>
                <w:noProof/>
                <w:spacing w:val="-1"/>
              </w:rPr>
              <w:t>e</w:t>
            </w:r>
            <w:r w:rsidRPr="00130F56">
              <w:rPr>
                <w:rStyle w:val="Hiperveza"/>
                <w:noProof/>
              </w:rPr>
              <w:t>pub</w:t>
            </w:r>
            <w:r w:rsidRPr="00130F56">
              <w:rPr>
                <w:rStyle w:val="Hiperveza"/>
                <w:noProof/>
                <w:spacing w:val="1"/>
              </w:rPr>
              <w:t>lic</w:t>
            </w:r>
            <w:r w:rsidRPr="00130F56">
              <w:rPr>
                <w:rStyle w:val="Hiperveza"/>
                <w:noProof/>
              </w:rPr>
              <w:t>i</w:t>
            </w:r>
            <w:r w:rsidRPr="00130F56">
              <w:rPr>
                <w:rStyle w:val="Hiperveza"/>
                <w:noProof/>
                <w:spacing w:val="-3"/>
              </w:rPr>
              <w:t xml:space="preserve"> </w:t>
            </w:r>
            <w:r w:rsidRPr="00130F56">
              <w:rPr>
                <w:rStyle w:val="Hiperveza"/>
                <w:noProof/>
              </w:rPr>
              <w:t>Hr</w:t>
            </w:r>
            <w:r w:rsidRPr="00130F56">
              <w:rPr>
                <w:rStyle w:val="Hiperveza"/>
                <w:noProof/>
                <w:spacing w:val="-1"/>
              </w:rPr>
              <w:t>v</w:t>
            </w:r>
            <w:r w:rsidRPr="00130F56">
              <w:rPr>
                <w:rStyle w:val="Hiperveza"/>
                <w:noProof/>
                <w:spacing w:val="1"/>
              </w:rPr>
              <w:t>a</w:t>
            </w:r>
            <w:r w:rsidRPr="00130F56">
              <w:rPr>
                <w:rStyle w:val="Hiperveza"/>
                <w:noProof/>
                <w:spacing w:val="-1"/>
              </w:rPr>
              <w:t>t</w:t>
            </w:r>
            <w:r w:rsidRPr="00130F56">
              <w:rPr>
                <w:rStyle w:val="Hiperveza"/>
                <w:noProof/>
                <w:spacing w:val="1"/>
              </w:rPr>
              <w:t>sk</w:t>
            </w:r>
            <w:r w:rsidRPr="00130F56">
              <w:rPr>
                <w:rStyle w:val="Hiperveza"/>
                <w:noProof/>
              </w:rPr>
              <w:t>oj</w:t>
            </w:r>
            <w:r>
              <w:rPr>
                <w:noProof/>
                <w:webHidden/>
              </w:rPr>
              <w:tab/>
            </w:r>
            <w:r>
              <w:rPr>
                <w:noProof/>
                <w:webHidden/>
              </w:rPr>
              <w:fldChar w:fldCharType="begin"/>
            </w:r>
            <w:r>
              <w:rPr>
                <w:noProof/>
                <w:webHidden/>
              </w:rPr>
              <w:instrText xml:space="preserve"> PAGEREF _Toc85181323 \h </w:instrText>
            </w:r>
            <w:r>
              <w:rPr>
                <w:noProof/>
                <w:webHidden/>
              </w:rPr>
            </w:r>
            <w:r>
              <w:rPr>
                <w:noProof/>
                <w:webHidden/>
              </w:rPr>
              <w:fldChar w:fldCharType="separate"/>
            </w:r>
            <w:r>
              <w:rPr>
                <w:noProof/>
                <w:webHidden/>
              </w:rPr>
              <w:t>120</w:t>
            </w:r>
            <w:r>
              <w:rPr>
                <w:noProof/>
                <w:webHidden/>
              </w:rPr>
              <w:fldChar w:fldCharType="end"/>
            </w:r>
          </w:hyperlink>
        </w:p>
        <w:p w14:paraId="452C2071" w14:textId="4FA15983" w:rsidR="00CF4B96" w:rsidRDefault="00CF4B96">
          <w:pPr>
            <w:pStyle w:val="Sadraj2"/>
            <w:rPr>
              <w:rFonts w:asciiTheme="minorHAnsi" w:hAnsiTheme="minorHAnsi"/>
              <w:noProof/>
              <w:color w:val="auto"/>
              <w:sz w:val="22"/>
              <w:szCs w:val="22"/>
              <w:lang w:eastAsia="hr-HR"/>
            </w:rPr>
          </w:pPr>
          <w:hyperlink w:anchor="_Toc85181324" w:history="1">
            <w:r w:rsidRPr="00130F56">
              <w:rPr>
                <w:rStyle w:val="Hiperveza"/>
                <w:noProof/>
                <w:spacing w:val="1"/>
                <w:w w:val="99"/>
              </w:rPr>
              <w:t>10.2</w:t>
            </w:r>
            <w:r w:rsidRPr="00130F56">
              <w:rPr>
                <w:rStyle w:val="Hiperveza"/>
                <w:noProof/>
                <w:w w:val="99"/>
              </w:rPr>
              <w:t>.</w:t>
            </w:r>
            <w:r w:rsidRPr="00130F56">
              <w:rPr>
                <w:rStyle w:val="Hiperveza"/>
                <w:noProof/>
                <w:spacing w:val="-25"/>
              </w:rPr>
              <w:t xml:space="preserve"> </w:t>
            </w:r>
            <w:r w:rsidRPr="00130F56">
              <w:rPr>
                <w:rStyle w:val="Hiperveza"/>
                <w:noProof/>
                <w:spacing w:val="1"/>
              </w:rPr>
              <w:t>P</w:t>
            </w:r>
            <w:r w:rsidRPr="00130F56">
              <w:rPr>
                <w:rStyle w:val="Hiperveza"/>
                <w:noProof/>
              </w:rPr>
              <w:t>o</w:t>
            </w:r>
            <w:r w:rsidRPr="00130F56">
              <w:rPr>
                <w:rStyle w:val="Hiperveza"/>
                <w:noProof/>
                <w:spacing w:val="1"/>
              </w:rPr>
              <w:t>l</w:t>
            </w:r>
            <w:r w:rsidRPr="00130F56">
              <w:rPr>
                <w:rStyle w:val="Hiperveza"/>
                <w:noProof/>
              </w:rPr>
              <w:t>ož</w:t>
            </w:r>
            <w:r w:rsidRPr="00130F56">
              <w:rPr>
                <w:rStyle w:val="Hiperveza"/>
                <w:noProof/>
                <w:spacing w:val="1"/>
              </w:rPr>
              <w:t>a</w:t>
            </w:r>
            <w:r w:rsidRPr="00130F56">
              <w:rPr>
                <w:rStyle w:val="Hiperveza"/>
                <w:noProof/>
              </w:rPr>
              <w:t>j</w:t>
            </w:r>
            <w:r w:rsidRPr="00130F56">
              <w:rPr>
                <w:rStyle w:val="Hiperveza"/>
                <w:noProof/>
                <w:spacing w:val="-2"/>
              </w:rPr>
              <w:t xml:space="preserve"> </w:t>
            </w:r>
            <w:r w:rsidRPr="00130F56">
              <w:rPr>
                <w:rStyle w:val="Hiperveza"/>
                <w:noProof/>
              </w:rPr>
              <w:t>gospodarstva</w:t>
            </w:r>
            <w:r w:rsidRPr="00130F56">
              <w:rPr>
                <w:rStyle w:val="Hiperveza"/>
                <w:noProof/>
                <w:spacing w:val="-6"/>
              </w:rPr>
              <w:t xml:space="preserve"> </w:t>
            </w:r>
            <w:r w:rsidRPr="00130F56">
              <w:rPr>
                <w:rStyle w:val="Hiperveza"/>
                <w:noProof/>
              </w:rPr>
              <w:t>Kr</w:t>
            </w:r>
            <w:r w:rsidRPr="00130F56">
              <w:rPr>
                <w:rStyle w:val="Hiperveza"/>
                <w:noProof/>
                <w:spacing w:val="-1"/>
              </w:rPr>
              <w:t>a</w:t>
            </w:r>
            <w:r w:rsidRPr="00130F56">
              <w:rPr>
                <w:rStyle w:val="Hiperveza"/>
                <w:noProof/>
              </w:rPr>
              <w:t>p</w:t>
            </w:r>
            <w:r w:rsidRPr="00130F56">
              <w:rPr>
                <w:rStyle w:val="Hiperveza"/>
                <w:noProof/>
                <w:spacing w:val="1"/>
              </w:rPr>
              <w:t>i</w:t>
            </w:r>
            <w:r w:rsidRPr="00130F56">
              <w:rPr>
                <w:rStyle w:val="Hiperveza"/>
                <w:noProof/>
              </w:rPr>
              <w:t>n</w:t>
            </w:r>
            <w:r w:rsidRPr="00130F56">
              <w:rPr>
                <w:rStyle w:val="Hiperveza"/>
                <w:noProof/>
                <w:spacing w:val="1"/>
              </w:rPr>
              <w:t>sk</w:t>
            </w:r>
            <w:r w:rsidRPr="00130F56">
              <w:rPr>
                <w:rStyle w:val="Hiperveza"/>
                <w:noProof/>
              </w:rPr>
              <w:t>o</w:t>
            </w:r>
            <w:r w:rsidRPr="00130F56">
              <w:rPr>
                <w:rStyle w:val="Hiperveza"/>
                <w:noProof/>
                <w:spacing w:val="-1"/>
              </w:rPr>
              <w:t>-</w:t>
            </w:r>
            <w:r w:rsidRPr="00130F56">
              <w:rPr>
                <w:rStyle w:val="Hiperveza"/>
                <w:noProof/>
              </w:rPr>
              <w:t>z</w:t>
            </w:r>
            <w:r w:rsidRPr="00130F56">
              <w:rPr>
                <w:rStyle w:val="Hiperveza"/>
                <w:noProof/>
                <w:spacing w:val="1"/>
              </w:rPr>
              <w:t>a</w:t>
            </w:r>
            <w:r w:rsidRPr="00130F56">
              <w:rPr>
                <w:rStyle w:val="Hiperveza"/>
                <w:noProof/>
              </w:rPr>
              <w:t>gor</w:t>
            </w:r>
            <w:r w:rsidRPr="00130F56">
              <w:rPr>
                <w:rStyle w:val="Hiperveza"/>
                <w:noProof/>
                <w:spacing w:val="1"/>
              </w:rPr>
              <w:t>s</w:t>
            </w:r>
            <w:r w:rsidRPr="00130F56">
              <w:rPr>
                <w:rStyle w:val="Hiperveza"/>
                <w:noProof/>
                <w:spacing w:val="-1"/>
              </w:rPr>
              <w:t>k</w:t>
            </w:r>
            <w:r w:rsidRPr="00130F56">
              <w:rPr>
                <w:rStyle w:val="Hiperveza"/>
                <w:noProof/>
              </w:rPr>
              <w:t>e</w:t>
            </w:r>
            <w:r w:rsidRPr="00130F56">
              <w:rPr>
                <w:rStyle w:val="Hiperveza"/>
                <w:noProof/>
                <w:spacing w:val="-7"/>
              </w:rPr>
              <w:t xml:space="preserve"> </w:t>
            </w:r>
            <w:r w:rsidRPr="00130F56">
              <w:rPr>
                <w:rStyle w:val="Hiperveza"/>
                <w:noProof/>
              </w:rPr>
              <w:t>žup</w:t>
            </w:r>
            <w:r w:rsidRPr="00130F56">
              <w:rPr>
                <w:rStyle w:val="Hiperveza"/>
                <w:noProof/>
                <w:spacing w:val="1"/>
              </w:rPr>
              <w:t>a</w:t>
            </w:r>
            <w:r w:rsidRPr="00130F56">
              <w:rPr>
                <w:rStyle w:val="Hiperveza"/>
                <w:noProof/>
              </w:rPr>
              <w:t>ni</w:t>
            </w:r>
            <w:r w:rsidRPr="00130F56">
              <w:rPr>
                <w:rStyle w:val="Hiperveza"/>
                <w:noProof/>
                <w:spacing w:val="-2"/>
              </w:rPr>
              <w:t>j</w:t>
            </w:r>
            <w:r w:rsidRPr="00130F56">
              <w:rPr>
                <w:rStyle w:val="Hiperveza"/>
                <w:noProof/>
              </w:rPr>
              <w:t>e</w:t>
            </w:r>
            <w:r w:rsidRPr="00130F56">
              <w:rPr>
                <w:rStyle w:val="Hiperveza"/>
                <w:noProof/>
                <w:spacing w:val="-5"/>
              </w:rPr>
              <w:t xml:space="preserve"> </w:t>
            </w:r>
            <w:r w:rsidRPr="00130F56">
              <w:rPr>
                <w:rStyle w:val="Hiperveza"/>
                <w:noProof/>
              </w:rPr>
              <w:t>u go</w:t>
            </w:r>
            <w:r w:rsidRPr="00130F56">
              <w:rPr>
                <w:rStyle w:val="Hiperveza"/>
                <w:noProof/>
                <w:spacing w:val="1"/>
              </w:rPr>
              <w:t>s</w:t>
            </w:r>
            <w:r w:rsidRPr="00130F56">
              <w:rPr>
                <w:rStyle w:val="Hiperveza"/>
                <w:noProof/>
              </w:rPr>
              <w:t>pod</w:t>
            </w:r>
            <w:r w:rsidRPr="00130F56">
              <w:rPr>
                <w:rStyle w:val="Hiperveza"/>
                <w:noProof/>
                <w:spacing w:val="1"/>
              </w:rPr>
              <w:t>a</w:t>
            </w:r>
            <w:r w:rsidRPr="00130F56">
              <w:rPr>
                <w:rStyle w:val="Hiperveza"/>
                <w:noProof/>
              </w:rPr>
              <w:t>r</w:t>
            </w:r>
            <w:r w:rsidRPr="00130F56">
              <w:rPr>
                <w:rStyle w:val="Hiperveza"/>
                <w:noProof/>
                <w:spacing w:val="1"/>
              </w:rPr>
              <w:t>s</w:t>
            </w:r>
            <w:r w:rsidRPr="00130F56">
              <w:rPr>
                <w:rStyle w:val="Hiperveza"/>
                <w:noProof/>
                <w:spacing w:val="-1"/>
              </w:rPr>
              <w:t>t</w:t>
            </w:r>
            <w:r w:rsidRPr="00130F56">
              <w:rPr>
                <w:rStyle w:val="Hiperveza"/>
                <w:noProof/>
                <w:spacing w:val="1"/>
              </w:rPr>
              <w:t>v</w:t>
            </w:r>
            <w:r w:rsidRPr="00130F56">
              <w:rPr>
                <w:rStyle w:val="Hiperveza"/>
                <w:noProof/>
              </w:rPr>
              <w:t>u</w:t>
            </w:r>
            <w:r w:rsidRPr="00130F56">
              <w:rPr>
                <w:rStyle w:val="Hiperveza"/>
                <w:noProof/>
                <w:spacing w:val="-4"/>
              </w:rPr>
              <w:t xml:space="preserve"> </w:t>
            </w:r>
            <w:r w:rsidRPr="00130F56">
              <w:rPr>
                <w:rStyle w:val="Hiperveza"/>
                <w:noProof/>
              </w:rPr>
              <w:t>Hr</w:t>
            </w:r>
            <w:r w:rsidRPr="00130F56">
              <w:rPr>
                <w:rStyle w:val="Hiperveza"/>
                <w:noProof/>
                <w:spacing w:val="-1"/>
              </w:rPr>
              <w:t>v</w:t>
            </w:r>
            <w:r w:rsidRPr="00130F56">
              <w:rPr>
                <w:rStyle w:val="Hiperveza"/>
                <w:noProof/>
                <w:spacing w:val="1"/>
              </w:rPr>
              <w:t>a</w:t>
            </w:r>
            <w:r w:rsidRPr="00130F56">
              <w:rPr>
                <w:rStyle w:val="Hiperveza"/>
                <w:noProof/>
                <w:spacing w:val="-1"/>
              </w:rPr>
              <w:t>t</w:t>
            </w:r>
            <w:r w:rsidRPr="00130F56">
              <w:rPr>
                <w:rStyle w:val="Hiperveza"/>
                <w:noProof/>
                <w:spacing w:val="1"/>
              </w:rPr>
              <w:t>s</w:t>
            </w:r>
            <w:r w:rsidRPr="00130F56">
              <w:rPr>
                <w:rStyle w:val="Hiperveza"/>
                <w:noProof/>
                <w:spacing w:val="-1"/>
              </w:rPr>
              <w:t>k</w:t>
            </w:r>
            <w:r w:rsidRPr="00130F56">
              <w:rPr>
                <w:rStyle w:val="Hiperveza"/>
                <w:noProof/>
              </w:rPr>
              <w:t>e</w:t>
            </w:r>
            <w:r>
              <w:rPr>
                <w:noProof/>
                <w:webHidden/>
              </w:rPr>
              <w:tab/>
            </w:r>
            <w:r>
              <w:rPr>
                <w:noProof/>
                <w:webHidden/>
              </w:rPr>
              <w:fldChar w:fldCharType="begin"/>
            </w:r>
            <w:r>
              <w:rPr>
                <w:noProof/>
                <w:webHidden/>
              </w:rPr>
              <w:instrText xml:space="preserve"> PAGEREF _Toc85181324 \h </w:instrText>
            </w:r>
            <w:r>
              <w:rPr>
                <w:noProof/>
                <w:webHidden/>
              </w:rPr>
            </w:r>
            <w:r>
              <w:rPr>
                <w:noProof/>
                <w:webHidden/>
              </w:rPr>
              <w:fldChar w:fldCharType="separate"/>
            </w:r>
            <w:r>
              <w:rPr>
                <w:noProof/>
                <w:webHidden/>
              </w:rPr>
              <w:t>122</w:t>
            </w:r>
            <w:r>
              <w:rPr>
                <w:noProof/>
                <w:webHidden/>
              </w:rPr>
              <w:fldChar w:fldCharType="end"/>
            </w:r>
          </w:hyperlink>
        </w:p>
        <w:p w14:paraId="48E562E5" w14:textId="0E86C270" w:rsidR="00CF4B96" w:rsidRDefault="00CF4B96">
          <w:pPr>
            <w:pStyle w:val="Sadraj2"/>
            <w:rPr>
              <w:rFonts w:asciiTheme="minorHAnsi" w:hAnsiTheme="minorHAnsi"/>
              <w:noProof/>
              <w:color w:val="auto"/>
              <w:sz w:val="22"/>
              <w:szCs w:val="22"/>
              <w:lang w:eastAsia="hr-HR"/>
            </w:rPr>
          </w:pPr>
          <w:hyperlink w:anchor="_Toc85181325" w:history="1">
            <w:r w:rsidRPr="00130F56">
              <w:rPr>
                <w:rStyle w:val="Hiperveza"/>
                <w:noProof/>
              </w:rPr>
              <w:t>10.2.1. Položaj gospodarstva Krapinsko-zagorske županije u odnosu na ostale županije RH</w:t>
            </w:r>
            <w:r>
              <w:rPr>
                <w:noProof/>
                <w:webHidden/>
              </w:rPr>
              <w:tab/>
            </w:r>
            <w:r>
              <w:rPr>
                <w:noProof/>
                <w:webHidden/>
              </w:rPr>
              <w:fldChar w:fldCharType="begin"/>
            </w:r>
            <w:r>
              <w:rPr>
                <w:noProof/>
                <w:webHidden/>
              </w:rPr>
              <w:instrText xml:space="preserve"> PAGEREF _Toc85181325 \h </w:instrText>
            </w:r>
            <w:r>
              <w:rPr>
                <w:noProof/>
                <w:webHidden/>
              </w:rPr>
            </w:r>
            <w:r>
              <w:rPr>
                <w:noProof/>
                <w:webHidden/>
              </w:rPr>
              <w:fldChar w:fldCharType="separate"/>
            </w:r>
            <w:r>
              <w:rPr>
                <w:noProof/>
                <w:webHidden/>
              </w:rPr>
              <w:t>123</w:t>
            </w:r>
            <w:r>
              <w:rPr>
                <w:noProof/>
                <w:webHidden/>
              </w:rPr>
              <w:fldChar w:fldCharType="end"/>
            </w:r>
          </w:hyperlink>
        </w:p>
        <w:p w14:paraId="230FCED9" w14:textId="720C05DD" w:rsidR="00CF4B96" w:rsidRDefault="00CF4B96">
          <w:pPr>
            <w:pStyle w:val="Sadraj2"/>
            <w:rPr>
              <w:rFonts w:asciiTheme="minorHAnsi" w:hAnsiTheme="minorHAnsi"/>
              <w:noProof/>
              <w:color w:val="auto"/>
              <w:sz w:val="22"/>
              <w:szCs w:val="22"/>
              <w:lang w:eastAsia="hr-HR"/>
            </w:rPr>
          </w:pPr>
          <w:hyperlink w:anchor="_Toc85181326" w:history="1">
            <w:r w:rsidRPr="00130F56">
              <w:rPr>
                <w:rStyle w:val="Hiperveza"/>
                <w:noProof/>
              </w:rPr>
              <w:t>10.2.2. Usporedba poslovanja poduzetnika Krapine s poslovanjem poduzetnika u drugim gradovima – županijskim središtima</w:t>
            </w:r>
            <w:r>
              <w:rPr>
                <w:noProof/>
                <w:webHidden/>
              </w:rPr>
              <w:tab/>
            </w:r>
            <w:r>
              <w:rPr>
                <w:noProof/>
                <w:webHidden/>
              </w:rPr>
              <w:fldChar w:fldCharType="begin"/>
            </w:r>
            <w:r>
              <w:rPr>
                <w:noProof/>
                <w:webHidden/>
              </w:rPr>
              <w:instrText xml:space="preserve"> PAGEREF _Toc85181326 \h </w:instrText>
            </w:r>
            <w:r>
              <w:rPr>
                <w:noProof/>
                <w:webHidden/>
              </w:rPr>
            </w:r>
            <w:r>
              <w:rPr>
                <w:noProof/>
                <w:webHidden/>
              </w:rPr>
              <w:fldChar w:fldCharType="separate"/>
            </w:r>
            <w:r>
              <w:rPr>
                <w:noProof/>
                <w:webHidden/>
              </w:rPr>
              <w:t>124</w:t>
            </w:r>
            <w:r>
              <w:rPr>
                <w:noProof/>
                <w:webHidden/>
              </w:rPr>
              <w:fldChar w:fldCharType="end"/>
            </w:r>
          </w:hyperlink>
        </w:p>
        <w:p w14:paraId="307F24A3" w14:textId="69552968" w:rsidR="00CF4B96" w:rsidRDefault="00CF4B96">
          <w:pPr>
            <w:pStyle w:val="Sadraj2"/>
            <w:rPr>
              <w:rFonts w:asciiTheme="minorHAnsi" w:hAnsiTheme="minorHAnsi"/>
              <w:noProof/>
              <w:color w:val="auto"/>
              <w:sz w:val="22"/>
              <w:szCs w:val="22"/>
              <w:lang w:eastAsia="hr-HR"/>
            </w:rPr>
          </w:pPr>
          <w:hyperlink w:anchor="_Toc85181327" w:history="1">
            <w:r w:rsidRPr="00130F56">
              <w:rPr>
                <w:rStyle w:val="Hiperveza"/>
                <w:noProof/>
              </w:rPr>
              <w:t>10.3. Konkurentnost poduzetništva Krapinsko-zagorske županije</w:t>
            </w:r>
            <w:r>
              <w:rPr>
                <w:noProof/>
                <w:webHidden/>
              </w:rPr>
              <w:tab/>
            </w:r>
            <w:r>
              <w:rPr>
                <w:noProof/>
                <w:webHidden/>
              </w:rPr>
              <w:fldChar w:fldCharType="begin"/>
            </w:r>
            <w:r>
              <w:rPr>
                <w:noProof/>
                <w:webHidden/>
              </w:rPr>
              <w:instrText xml:space="preserve"> PAGEREF _Toc85181327 \h </w:instrText>
            </w:r>
            <w:r>
              <w:rPr>
                <w:noProof/>
                <w:webHidden/>
              </w:rPr>
            </w:r>
            <w:r>
              <w:rPr>
                <w:noProof/>
                <w:webHidden/>
              </w:rPr>
              <w:fldChar w:fldCharType="separate"/>
            </w:r>
            <w:r>
              <w:rPr>
                <w:noProof/>
                <w:webHidden/>
              </w:rPr>
              <w:t>125</w:t>
            </w:r>
            <w:r>
              <w:rPr>
                <w:noProof/>
                <w:webHidden/>
              </w:rPr>
              <w:fldChar w:fldCharType="end"/>
            </w:r>
          </w:hyperlink>
        </w:p>
        <w:p w14:paraId="18AD57D6" w14:textId="14089AB6" w:rsidR="00CF4B96" w:rsidRDefault="00CF4B96">
          <w:pPr>
            <w:pStyle w:val="Sadraj2"/>
            <w:rPr>
              <w:rFonts w:asciiTheme="minorHAnsi" w:hAnsiTheme="minorHAnsi"/>
              <w:noProof/>
              <w:color w:val="auto"/>
              <w:sz w:val="22"/>
              <w:szCs w:val="22"/>
              <w:lang w:eastAsia="hr-HR"/>
            </w:rPr>
          </w:pPr>
          <w:hyperlink w:anchor="_Toc85181328" w:history="1">
            <w:r w:rsidRPr="00130F56">
              <w:rPr>
                <w:rStyle w:val="Hiperveza"/>
                <w:noProof/>
              </w:rPr>
              <w:t>10.4. Dinamika poduzetništva Krapinsko-zagorske županije</w:t>
            </w:r>
            <w:r>
              <w:rPr>
                <w:noProof/>
                <w:webHidden/>
              </w:rPr>
              <w:tab/>
            </w:r>
            <w:r>
              <w:rPr>
                <w:noProof/>
                <w:webHidden/>
              </w:rPr>
              <w:fldChar w:fldCharType="begin"/>
            </w:r>
            <w:r>
              <w:rPr>
                <w:noProof/>
                <w:webHidden/>
              </w:rPr>
              <w:instrText xml:space="preserve"> PAGEREF _Toc85181328 \h </w:instrText>
            </w:r>
            <w:r>
              <w:rPr>
                <w:noProof/>
                <w:webHidden/>
              </w:rPr>
            </w:r>
            <w:r>
              <w:rPr>
                <w:noProof/>
                <w:webHidden/>
              </w:rPr>
              <w:fldChar w:fldCharType="separate"/>
            </w:r>
            <w:r>
              <w:rPr>
                <w:noProof/>
                <w:webHidden/>
              </w:rPr>
              <w:t>127</w:t>
            </w:r>
            <w:r>
              <w:rPr>
                <w:noProof/>
                <w:webHidden/>
              </w:rPr>
              <w:fldChar w:fldCharType="end"/>
            </w:r>
          </w:hyperlink>
        </w:p>
        <w:p w14:paraId="4D0F5F51" w14:textId="18101714" w:rsidR="00CF4B96" w:rsidRDefault="00CF4B96">
          <w:pPr>
            <w:pStyle w:val="Sadraj2"/>
            <w:rPr>
              <w:rFonts w:asciiTheme="minorHAnsi" w:hAnsiTheme="minorHAnsi"/>
              <w:noProof/>
              <w:color w:val="auto"/>
              <w:sz w:val="22"/>
              <w:szCs w:val="22"/>
              <w:lang w:eastAsia="hr-HR"/>
            </w:rPr>
          </w:pPr>
          <w:hyperlink w:anchor="_Toc85181329" w:history="1">
            <w:r w:rsidRPr="00130F56">
              <w:rPr>
                <w:rStyle w:val="Hiperveza"/>
                <w:noProof/>
                <w:w w:val="99"/>
              </w:rPr>
              <w:t xml:space="preserve">10.5. </w:t>
            </w:r>
            <w:r w:rsidRPr="00130F56">
              <w:rPr>
                <w:rStyle w:val="Hiperveza"/>
                <w:noProof/>
              </w:rPr>
              <w:t>Osnovni</w:t>
            </w:r>
            <w:r w:rsidRPr="00130F56">
              <w:rPr>
                <w:rStyle w:val="Hiperveza"/>
                <w:noProof/>
                <w:w w:val="99"/>
              </w:rPr>
              <w:t xml:space="preserve"> pokazatelji poduzetništva Krapinsko-zagorske županije</w:t>
            </w:r>
            <w:r>
              <w:rPr>
                <w:noProof/>
                <w:webHidden/>
              </w:rPr>
              <w:tab/>
            </w:r>
            <w:r>
              <w:rPr>
                <w:noProof/>
                <w:webHidden/>
              </w:rPr>
              <w:fldChar w:fldCharType="begin"/>
            </w:r>
            <w:r>
              <w:rPr>
                <w:noProof/>
                <w:webHidden/>
              </w:rPr>
              <w:instrText xml:space="preserve"> PAGEREF _Toc85181329 \h </w:instrText>
            </w:r>
            <w:r>
              <w:rPr>
                <w:noProof/>
                <w:webHidden/>
              </w:rPr>
            </w:r>
            <w:r>
              <w:rPr>
                <w:noProof/>
                <w:webHidden/>
              </w:rPr>
              <w:fldChar w:fldCharType="separate"/>
            </w:r>
            <w:r>
              <w:rPr>
                <w:noProof/>
                <w:webHidden/>
              </w:rPr>
              <w:t>128</w:t>
            </w:r>
            <w:r>
              <w:rPr>
                <w:noProof/>
                <w:webHidden/>
              </w:rPr>
              <w:fldChar w:fldCharType="end"/>
            </w:r>
          </w:hyperlink>
        </w:p>
        <w:p w14:paraId="61C89791" w14:textId="539C3661" w:rsidR="00CF4B96" w:rsidRDefault="00CF4B96">
          <w:pPr>
            <w:pStyle w:val="Sadraj2"/>
            <w:rPr>
              <w:rFonts w:asciiTheme="minorHAnsi" w:hAnsiTheme="minorHAnsi"/>
              <w:noProof/>
              <w:color w:val="auto"/>
              <w:sz w:val="22"/>
              <w:szCs w:val="22"/>
              <w:lang w:eastAsia="hr-HR"/>
            </w:rPr>
          </w:pPr>
          <w:hyperlink w:anchor="_Toc85181330" w:history="1">
            <w:r w:rsidRPr="00130F56">
              <w:rPr>
                <w:rStyle w:val="Hiperveza"/>
                <w:noProof/>
              </w:rPr>
              <w:t>10.5.1. Pokazatelji poduzetništva Krapinsko-zagorske županije prema djelatnostima</w:t>
            </w:r>
            <w:r>
              <w:rPr>
                <w:noProof/>
                <w:webHidden/>
              </w:rPr>
              <w:tab/>
            </w:r>
            <w:r>
              <w:rPr>
                <w:noProof/>
                <w:webHidden/>
              </w:rPr>
              <w:fldChar w:fldCharType="begin"/>
            </w:r>
            <w:r>
              <w:rPr>
                <w:noProof/>
                <w:webHidden/>
              </w:rPr>
              <w:instrText xml:space="preserve"> PAGEREF _Toc85181330 \h </w:instrText>
            </w:r>
            <w:r>
              <w:rPr>
                <w:noProof/>
                <w:webHidden/>
              </w:rPr>
            </w:r>
            <w:r>
              <w:rPr>
                <w:noProof/>
                <w:webHidden/>
              </w:rPr>
              <w:fldChar w:fldCharType="separate"/>
            </w:r>
            <w:r>
              <w:rPr>
                <w:noProof/>
                <w:webHidden/>
              </w:rPr>
              <w:t>130</w:t>
            </w:r>
            <w:r>
              <w:rPr>
                <w:noProof/>
                <w:webHidden/>
              </w:rPr>
              <w:fldChar w:fldCharType="end"/>
            </w:r>
          </w:hyperlink>
        </w:p>
        <w:p w14:paraId="676B7A27" w14:textId="67F2749C" w:rsidR="00CF4B96" w:rsidRDefault="00CF4B96">
          <w:pPr>
            <w:pStyle w:val="Sadraj2"/>
            <w:rPr>
              <w:rFonts w:asciiTheme="minorHAnsi" w:hAnsiTheme="minorHAnsi"/>
              <w:noProof/>
              <w:color w:val="auto"/>
              <w:sz w:val="22"/>
              <w:szCs w:val="22"/>
              <w:lang w:eastAsia="hr-HR"/>
            </w:rPr>
          </w:pPr>
          <w:hyperlink w:anchor="_Toc85181331" w:history="1">
            <w:r w:rsidRPr="00130F56">
              <w:rPr>
                <w:rStyle w:val="Hiperveza"/>
                <w:noProof/>
              </w:rPr>
              <w:t>10.5.2. Pokazatelji uspješnosti poslovanja poduzetnika</w:t>
            </w:r>
            <w:r>
              <w:rPr>
                <w:noProof/>
                <w:webHidden/>
              </w:rPr>
              <w:tab/>
            </w:r>
            <w:r>
              <w:rPr>
                <w:noProof/>
                <w:webHidden/>
              </w:rPr>
              <w:fldChar w:fldCharType="begin"/>
            </w:r>
            <w:r>
              <w:rPr>
                <w:noProof/>
                <w:webHidden/>
              </w:rPr>
              <w:instrText xml:space="preserve"> PAGEREF _Toc85181331 \h </w:instrText>
            </w:r>
            <w:r>
              <w:rPr>
                <w:noProof/>
                <w:webHidden/>
              </w:rPr>
            </w:r>
            <w:r>
              <w:rPr>
                <w:noProof/>
                <w:webHidden/>
              </w:rPr>
              <w:fldChar w:fldCharType="separate"/>
            </w:r>
            <w:r>
              <w:rPr>
                <w:noProof/>
                <w:webHidden/>
              </w:rPr>
              <w:t>134</w:t>
            </w:r>
            <w:r>
              <w:rPr>
                <w:noProof/>
                <w:webHidden/>
              </w:rPr>
              <w:fldChar w:fldCharType="end"/>
            </w:r>
          </w:hyperlink>
        </w:p>
        <w:p w14:paraId="213A1A43" w14:textId="0B653AD7" w:rsidR="00CF4B96" w:rsidRDefault="00CF4B96">
          <w:pPr>
            <w:pStyle w:val="Sadraj2"/>
            <w:rPr>
              <w:rFonts w:asciiTheme="minorHAnsi" w:hAnsiTheme="minorHAnsi"/>
              <w:noProof/>
              <w:color w:val="auto"/>
              <w:sz w:val="22"/>
              <w:szCs w:val="22"/>
              <w:lang w:eastAsia="hr-HR"/>
            </w:rPr>
          </w:pPr>
          <w:hyperlink w:anchor="_Toc85181332" w:history="1">
            <w:r w:rsidRPr="00130F56">
              <w:rPr>
                <w:rStyle w:val="Hiperveza"/>
                <w:noProof/>
              </w:rPr>
              <w:t>10.6. Izravna strana ulaganja</w:t>
            </w:r>
            <w:r>
              <w:rPr>
                <w:noProof/>
                <w:webHidden/>
              </w:rPr>
              <w:tab/>
            </w:r>
            <w:r>
              <w:rPr>
                <w:noProof/>
                <w:webHidden/>
              </w:rPr>
              <w:fldChar w:fldCharType="begin"/>
            </w:r>
            <w:r>
              <w:rPr>
                <w:noProof/>
                <w:webHidden/>
              </w:rPr>
              <w:instrText xml:space="preserve"> PAGEREF _Toc85181332 \h </w:instrText>
            </w:r>
            <w:r>
              <w:rPr>
                <w:noProof/>
                <w:webHidden/>
              </w:rPr>
            </w:r>
            <w:r>
              <w:rPr>
                <w:noProof/>
                <w:webHidden/>
              </w:rPr>
              <w:fldChar w:fldCharType="separate"/>
            </w:r>
            <w:r>
              <w:rPr>
                <w:noProof/>
                <w:webHidden/>
              </w:rPr>
              <w:t>135</w:t>
            </w:r>
            <w:r>
              <w:rPr>
                <w:noProof/>
                <w:webHidden/>
              </w:rPr>
              <w:fldChar w:fldCharType="end"/>
            </w:r>
          </w:hyperlink>
        </w:p>
        <w:p w14:paraId="4D0E4BFD" w14:textId="18DC9D1A" w:rsidR="00CF4B96" w:rsidRDefault="00CF4B96">
          <w:pPr>
            <w:pStyle w:val="Sadraj2"/>
            <w:rPr>
              <w:rFonts w:asciiTheme="minorHAnsi" w:hAnsiTheme="minorHAnsi"/>
              <w:noProof/>
              <w:color w:val="auto"/>
              <w:sz w:val="22"/>
              <w:szCs w:val="22"/>
              <w:lang w:eastAsia="hr-HR"/>
            </w:rPr>
          </w:pPr>
          <w:hyperlink w:anchor="_Toc85181333" w:history="1">
            <w:r w:rsidRPr="00130F56">
              <w:rPr>
                <w:rStyle w:val="Hiperveza"/>
                <w:rFonts w:eastAsia="Arial Narrow"/>
                <w:noProof/>
                <w:w w:val="99"/>
              </w:rPr>
              <w:t>10.7.K</w:t>
            </w:r>
            <w:r w:rsidRPr="00130F56">
              <w:rPr>
                <w:rStyle w:val="Hiperveza"/>
                <w:noProof/>
              </w:rPr>
              <w:t>oeficijent specijalizacije</w:t>
            </w:r>
            <w:r>
              <w:rPr>
                <w:noProof/>
                <w:webHidden/>
              </w:rPr>
              <w:tab/>
            </w:r>
            <w:r>
              <w:rPr>
                <w:noProof/>
                <w:webHidden/>
              </w:rPr>
              <w:fldChar w:fldCharType="begin"/>
            </w:r>
            <w:r>
              <w:rPr>
                <w:noProof/>
                <w:webHidden/>
              </w:rPr>
              <w:instrText xml:space="preserve"> PAGEREF _Toc85181333 \h </w:instrText>
            </w:r>
            <w:r>
              <w:rPr>
                <w:noProof/>
                <w:webHidden/>
              </w:rPr>
            </w:r>
            <w:r>
              <w:rPr>
                <w:noProof/>
                <w:webHidden/>
              </w:rPr>
              <w:fldChar w:fldCharType="separate"/>
            </w:r>
            <w:r>
              <w:rPr>
                <w:noProof/>
                <w:webHidden/>
              </w:rPr>
              <w:t>136</w:t>
            </w:r>
            <w:r>
              <w:rPr>
                <w:noProof/>
                <w:webHidden/>
              </w:rPr>
              <w:fldChar w:fldCharType="end"/>
            </w:r>
          </w:hyperlink>
        </w:p>
        <w:p w14:paraId="388605F9" w14:textId="399016B9" w:rsidR="00CF4B96" w:rsidRDefault="00CF4B96">
          <w:pPr>
            <w:pStyle w:val="Sadraj2"/>
            <w:rPr>
              <w:rFonts w:asciiTheme="minorHAnsi" w:hAnsiTheme="minorHAnsi"/>
              <w:noProof/>
              <w:color w:val="auto"/>
              <w:sz w:val="22"/>
              <w:szCs w:val="22"/>
              <w:lang w:eastAsia="hr-HR"/>
            </w:rPr>
          </w:pPr>
          <w:hyperlink w:anchor="_Toc85181334" w:history="1">
            <w:r w:rsidRPr="00130F56">
              <w:rPr>
                <w:rStyle w:val="Hiperveza"/>
                <w:noProof/>
                <w:w w:val="99"/>
              </w:rPr>
              <w:t xml:space="preserve">10.8. </w:t>
            </w:r>
            <w:r w:rsidRPr="00130F56">
              <w:rPr>
                <w:rStyle w:val="Hiperveza"/>
                <w:noProof/>
              </w:rPr>
              <w:t>Vanjskotrgovinski</w:t>
            </w:r>
            <w:r w:rsidRPr="00130F56">
              <w:rPr>
                <w:rStyle w:val="Hiperveza"/>
                <w:noProof/>
                <w:w w:val="99"/>
              </w:rPr>
              <w:t xml:space="preserve"> partneri Krapinsko-zagorske županije</w:t>
            </w:r>
            <w:r>
              <w:rPr>
                <w:noProof/>
                <w:webHidden/>
              </w:rPr>
              <w:tab/>
            </w:r>
            <w:r>
              <w:rPr>
                <w:noProof/>
                <w:webHidden/>
              </w:rPr>
              <w:fldChar w:fldCharType="begin"/>
            </w:r>
            <w:r>
              <w:rPr>
                <w:noProof/>
                <w:webHidden/>
              </w:rPr>
              <w:instrText xml:space="preserve"> PAGEREF _Toc85181334 \h </w:instrText>
            </w:r>
            <w:r>
              <w:rPr>
                <w:noProof/>
                <w:webHidden/>
              </w:rPr>
            </w:r>
            <w:r>
              <w:rPr>
                <w:noProof/>
                <w:webHidden/>
              </w:rPr>
              <w:fldChar w:fldCharType="separate"/>
            </w:r>
            <w:r>
              <w:rPr>
                <w:noProof/>
                <w:webHidden/>
              </w:rPr>
              <w:t>137</w:t>
            </w:r>
            <w:r>
              <w:rPr>
                <w:noProof/>
                <w:webHidden/>
              </w:rPr>
              <w:fldChar w:fldCharType="end"/>
            </w:r>
          </w:hyperlink>
        </w:p>
        <w:p w14:paraId="089FEBDD" w14:textId="2DDE28D0" w:rsidR="00CF4B96" w:rsidRDefault="00CF4B96">
          <w:pPr>
            <w:pStyle w:val="Sadraj2"/>
            <w:rPr>
              <w:rFonts w:asciiTheme="minorHAnsi" w:hAnsiTheme="minorHAnsi"/>
              <w:noProof/>
              <w:color w:val="auto"/>
              <w:sz w:val="22"/>
              <w:szCs w:val="22"/>
              <w:lang w:eastAsia="hr-HR"/>
            </w:rPr>
          </w:pPr>
          <w:hyperlink w:anchor="_Toc85181335" w:history="1">
            <w:r w:rsidRPr="00130F56">
              <w:rPr>
                <w:rStyle w:val="Hiperveza"/>
                <w:noProof/>
                <w:w w:val="99"/>
              </w:rPr>
              <w:t>10.9. Poduzetničke zone Krapinsko-zagorske županije</w:t>
            </w:r>
            <w:r>
              <w:rPr>
                <w:noProof/>
                <w:webHidden/>
              </w:rPr>
              <w:tab/>
            </w:r>
            <w:r>
              <w:rPr>
                <w:noProof/>
                <w:webHidden/>
              </w:rPr>
              <w:fldChar w:fldCharType="begin"/>
            </w:r>
            <w:r>
              <w:rPr>
                <w:noProof/>
                <w:webHidden/>
              </w:rPr>
              <w:instrText xml:space="preserve"> PAGEREF _Toc85181335 \h </w:instrText>
            </w:r>
            <w:r>
              <w:rPr>
                <w:noProof/>
                <w:webHidden/>
              </w:rPr>
            </w:r>
            <w:r>
              <w:rPr>
                <w:noProof/>
                <w:webHidden/>
              </w:rPr>
              <w:fldChar w:fldCharType="separate"/>
            </w:r>
            <w:r>
              <w:rPr>
                <w:noProof/>
                <w:webHidden/>
              </w:rPr>
              <w:t>139</w:t>
            </w:r>
            <w:r>
              <w:rPr>
                <w:noProof/>
                <w:webHidden/>
              </w:rPr>
              <w:fldChar w:fldCharType="end"/>
            </w:r>
          </w:hyperlink>
        </w:p>
        <w:p w14:paraId="7A283EEB" w14:textId="7FDE0F64" w:rsidR="00CF4B96" w:rsidRDefault="00CF4B96">
          <w:pPr>
            <w:pStyle w:val="Sadraj2"/>
            <w:rPr>
              <w:rFonts w:asciiTheme="minorHAnsi" w:hAnsiTheme="minorHAnsi"/>
              <w:noProof/>
              <w:color w:val="auto"/>
              <w:sz w:val="22"/>
              <w:szCs w:val="22"/>
              <w:lang w:eastAsia="hr-HR"/>
            </w:rPr>
          </w:pPr>
          <w:hyperlink w:anchor="_Toc85181336" w:history="1">
            <w:r w:rsidRPr="00130F56">
              <w:rPr>
                <w:rStyle w:val="Hiperveza"/>
                <w:rFonts w:eastAsia="Arial Narrow"/>
                <w:noProof/>
                <w:w w:val="99"/>
              </w:rPr>
              <w:t xml:space="preserve">10.10. </w:t>
            </w:r>
            <w:r w:rsidRPr="00130F56">
              <w:rPr>
                <w:rStyle w:val="Hiperveza"/>
                <w:noProof/>
              </w:rPr>
              <w:t>Obrtništvo</w:t>
            </w:r>
            <w:r>
              <w:rPr>
                <w:noProof/>
                <w:webHidden/>
              </w:rPr>
              <w:tab/>
            </w:r>
            <w:r>
              <w:rPr>
                <w:noProof/>
                <w:webHidden/>
              </w:rPr>
              <w:fldChar w:fldCharType="begin"/>
            </w:r>
            <w:r>
              <w:rPr>
                <w:noProof/>
                <w:webHidden/>
              </w:rPr>
              <w:instrText xml:space="preserve"> PAGEREF _Toc85181336 \h </w:instrText>
            </w:r>
            <w:r>
              <w:rPr>
                <w:noProof/>
                <w:webHidden/>
              </w:rPr>
            </w:r>
            <w:r>
              <w:rPr>
                <w:noProof/>
                <w:webHidden/>
              </w:rPr>
              <w:fldChar w:fldCharType="separate"/>
            </w:r>
            <w:r>
              <w:rPr>
                <w:noProof/>
                <w:webHidden/>
              </w:rPr>
              <w:t>141</w:t>
            </w:r>
            <w:r>
              <w:rPr>
                <w:noProof/>
                <w:webHidden/>
              </w:rPr>
              <w:fldChar w:fldCharType="end"/>
            </w:r>
          </w:hyperlink>
        </w:p>
        <w:p w14:paraId="7502C211" w14:textId="1F782C1A" w:rsidR="00CF4B96" w:rsidRDefault="00CF4B96">
          <w:pPr>
            <w:pStyle w:val="Sadraj2"/>
            <w:rPr>
              <w:rFonts w:asciiTheme="minorHAnsi" w:hAnsiTheme="minorHAnsi"/>
              <w:noProof/>
              <w:color w:val="auto"/>
              <w:sz w:val="22"/>
              <w:szCs w:val="22"/>
              <w:lang w:eastAsia="hr-HR"/>
            </w:rPr>
          </w:pPr>
          <w:hyperlink w:anchor="_Toc85181337" w:history="1">
            <w:r w:rsidRPr="00130F56">
              <w:rPr>
                <w:rStyle w:val="Hiperveza"/>
                <w:noProof/>
                <w:w w:val="99"/>
              </w:rPr>
              <w:t xml:space="preserve">10.11. Inovacijski </w:t>
            </w:r>
            <w:r w:rsidRPr="00130F56">
              <w:rPr>
                <w:rStyle w:val="Hiperveza"/>
                <w:noProof/>
              </w:rPr>
              <w:t>potencijal</w:t>
            </w:r>
            <w:r w:rsidRPr="00130F56">
              <w:rPr>
                <w:rStyle w:val="Hiperveza"/>
                <w:noProof/>
                <w:w w:val="99"/>
              </w:rPr>
              <w:t xml:space="preserve"> Krapinsko-zagorske županije</w:t>
            </w:r>
            <w:r>
              <w:rPr>
                <w:noProof/>
                <w:webHidden/>
              </w:rPr>
              <w:tab/>
            </w:r>
            <w:r>
              <w:rPr>
                <w:noProof/>
                <w:webHidden/>
              </w:rPr>
              <w:fldChar w:fldCharType="begin"/>
            </w:r>
            <w:r>
              <w:rPr>
                <w:noProof/>
                <w:webHidden/>
              </w:rPr>
              <w:instrText xml:space="preserve"> PAGEREF _Toc85181337 \h </w:instrText>
            </w:r>
            <w:r>
              <w:rPr>
                <w:noProof/>
                <w:webHidden/>
              </w:rPr>
            </w:r>
            <w:r>
              <w:rPr>
                <w:noProof/>
                <w:webHidden/>
              </w:rPr>
              <w:fldChar w:fldCharType="separate"/>
            </w:r>
            <w:r>
              <w:rPr>
                <w:noProof/>
                <w:webHidden/>
              </w:rPr>
              <w:t>144</w:t>
            </w:r>
            <w:r>
              <w:rPr>
                <w:noProof/>
                <w:webHidden/>
              </w:rPr>
              <w:fldChar w:fldCharType="end"/>
            </w:r>
          </w:hyperlink>
        </w:p>
        <w:p w14:paraId="05DBFA65" w14:textId="4E864D46" w:rsidR="00CF4B96" w:rsidRDefault="00CF4B96">
          <w:pPr>
            <w:pStyle w:val="Sadraj2"/>
            <w:rPr>
              <w:rFonts w:asciiTheme="minorHAnsi" w:hAnsiTheme="minorHAnsi"/>
              <w:noProof/>
              <w:color w:val="auto"/>
              <w:sz w:val="22"/>
              <w:szCs w:val="22"/>
              <w:lang w:eastAsia="hr-HR"/>
            </w:rPr>
          </w:pPr>
          <w:hyperlink w:anchor="_Toc85181338" w:history="1">
            <w:r w:rsidRPr="00130F56">
              <w:rPr>
                <w:rStyle w:val="Hiperveza"/>
                <w:noProof/>
                <w:w w:val="99"/>
              </w:rPr>
              <w:t>10.12. Učinci epidemioloških mjera na gospodarstvo KZŽ i poslovanje gospodarskih subjekata</w:t>
            </w:r>
            <w:r>
              <w:rPr>
                <w:noProof/>
                <w:webHidden/>
              </w:rPr>
              <w:tab/>
            </w:r>
            <w:r>
              <w:rPr>
                <w:noProof/>
                <w:webHidden/>
              </w:rPr>
              <w:fldChar w:fldCharType="begin"/>
            </w:r>
            <w:r>
              <w:rPr>
                <w:noProof/>
                <w:webHidden/>
              </w:rPr>
              <w:instrText xml:space="preserve"> PAGEREF _Toc85181338 \h </w:instrText>
            </w:r>
            <w:r>
              <w:rPr>
                <w:noProof/>
                <w:webHidden/>
              </w:rPr>
            </w:r>
            <w:r>
              <w:rPr>
                <w:noProof/>
                <w:webHidden/>
              </w:rPr>
              <w:fldChar w:fldCharType="separate"/>
            </w:r>
            <w:r>
              <w:rPr>
                <w:noProof/>
                <w:webHidden/>
              </w:rPr>
              <w:t>147</w:t>
            </w:r>
            <w:r>
              <w:rPr>
                <w:noProof/>
                <w:webHidden/>
              </w:rPr>
              <w:fldChar w:fldCharType="end"/>
            </w:r>
          </w:hyperlink>
        </w:p>
        <w:p w14:paraId="63219DAD" w14:textId="66F3F384" w:rsidR="00CF4B96" w:rsidRDefault="00CF4B96">
          <w:pPr>
            <w:pStyle w:val="Sadraj1"/>
            <w:tabs>
              <w:tab w:val="left" w:pos="660"/>
            </w:tabs>
            <w:rPr>
              <w:rFonts w:asciiTheme="minorHAnsi" w:eastAsiaTheme="minorEastAsia" w:hAnsiTheme="minorHAnsi"/>
              <w:color w:val="auto"/>
              <w:spacing w:val="0"/>
              <w:sz w:val="22"/>
              <w:szCs w:val="22"/>
              <w:lang w:eastAsia="hr-HR"/>
            </w:rPr>
          </w:pPr>
          <w:hyperlink w:anchor="_Toc85181339" w:history="1">
            <w:r w:rsidRPr="00130F56">
              <w:rPr>
                <w:rStyle w:val="Hiperveza"/>
                <w:rFonts w:eastAsiaTheme="majorEastAsia"/>
                <w:b/>
                <w:spacing w:val="15"/>
              </w:rPr>
              <w:t>11.</w:t>
            </w:r>
            <w:r>
              <w:rPr>
                <w:rFonts w:asciiTheme="minorHAnsi" w:eastAsiaTheme="minorEastAsia" w:hAnsiTheme="minorHAnsi"/>
                <w:color w:val="auto"/>
                <w:spacing w:val="0"/>
                <w:sz w:val="22"/>
                <w:szCs w:val="22"/>
                <w:lang w:eastAsia="hr-HR"/>
              </w:rPr>
              <w:tab/>
            </w:r>
            <w:r w:rsidRPr="00130F56">
              <w:rPr>
                <w:rStyle w:val="Hiperveza"/>
                <w:rFonts w:eastAsiaTheme="majorEastAsia"/>
                <w:b/>
                <w:spacing w:val="15"/>
              </w:rPr>
              <w:t>TURIZAM</w:t>
            </w:r>
            <w:r>
              <w:rPr>
                <w:webHidden/>
              </w:rPr>
              <w:tab/>
            </w:r>
            <w:r>
              <w:rPr>
                <w:webHidden/>
              </w:rPr>
              <w:fldChar w:fldCharType="begin"/>
            </w:r>
            <w:r>
              <w:rPr>
                <w:webHidden/>
              </w:rPr>
              <w:instrText xml:space="preserve"> PAGEREF _Toc85181339 \h </w:instrText>
            </w:r>
            <w:r>
              <w:rPr>
                <w:webHidden/>
              </w:rPr>
            </w:r>
            <w:r>
              <w:rPr>
                <w:webHidden/>
              </w:rPr>
              <w:fldChar w:fldCharType="separate"/>
            </w:r>
            <w:r>
              <w:rPr>
                <w:webHidden/>
              </w:rPr>
              <w:t>154</w:t>
            </w:r>
            <w:r>
              <w:rPr>
                <w:webHidden/>
              </w:rPr>
              <w:fldChar w:fldCharType="end"/>
            </w:r>
          </w:hyperlink>
        </w:p>
        <w:p w14:paraId="1BAADD67" w14:textId="75F7DD4C" w:rsidR="00CF4B96" w:rsidRDefault="00CF4B96">
          <w:pPr>
            <w:pStyle w:val="Sadraj2"/>
            <w:rPr>
              <w:rFonts w:asciiTheme="minorHAnsi" w:hAnsiTheme="minorHAnsi"/>
              <w:noProof/>
              <w:color w:val="auto"/>
              <w:sz w:val="22"/>
              <w:szCs w:val="22"/>
              <w:lang w:eastAsia="hr-HR"/>
            </w:rPr>
          </w:pPr>
          <w:hyperlink w:anchor="_Toc85181340" w:history="1">
            <w:r w:rsidRPr="00130F56">
              <w:rPr>
                <w:rStyle w:val="Hiperveza"/>
                <w:noProof/>
              </w:rPr>
              <w:t>11.1. Upravljanje turizmom Krapinsko-zagorske županije</w:t>
            </w:r>
            <w:r>
              <w:rPr>
                <w:noProof/>
                <w:webHidden/>
              </w:rPr>
              <w:tab/>
            </w:r>
            <w:r>
              <w:rPr>
                <w:noProof/>
                <w:webHidden/>
              </w:rPr>
              <w:fldChar w:fldCharType="begin"/>
            </w:r>
            <w:r>
              <w:rPr>
                <w:noProof/>
                <w:webHidden/>
              </w:rPr>
              <w:instrText xml:space="preserve"> PAGEREF _Toc85181340 \h </w:instrText>
            </w:r>
            <w:r>
              <w:rPr>
                <w:noProof/>
                <w:webHidden/>
              </w:rPr>
            </w:r>
            <w:r>
              <w:rPr>
                <w:noProof/>
                <w:webHidden/>
              </w:rPr>
              <w:fldChar w:fldCharType="separate"/>
            </w:r>
            <w:r>
              <w:rPr>
                <w:noProof/>
                <w:webHidden/>
              </w:rPr>
              <w:t>154</w:t>
            </w:r>
            <w:r>
              <w:rPr>
                <w:noProof/>
                <w:webHidden/>
              </w:rPr>
              <w:fldChar w:fldCharType="end"/>
            </w:r>
          </w:hyperlink>
        </w:p>
        <w:p w14:paraId="04FC6CF2" w14:textId="51292548" w:rsidR="00CF4B96" w:rsidRDefault="00CF4B96">
          <w:pPr>
            <w:pStyle w:val="Sadraj2"/>
            <w:rPr>
              <w:rFonts w:asciiTheme="minorHAnsi" w:hAnsiTheme="minorHAnsi"/>
              <w:noProof/>
              <w:color w:val="auto"/>
              <w:sz w:val="22"/>
              <w:szCs w:val="22"/>
              <w:lang w:eastAsia="hr-HR"/>
            </w:rPr>
          </w:pPr>
          <w:hyperlink w:anchor="_Toc85181341" w:history="1">
            <w:r w:rsidRPr="00130F56">
              <w:rPr>
                <w:rStyle w:val="Hiperveza"/>
                <w:noProof/>
              </w:rPr>
              <w:t>11.2. Turistička ponuda</w:t>
            </w:r>
            <w:r>
              <w:rPr>
                <w:noProof/>
                <w:webHidden/>
              </w:rPr>
              <w:tab/>
            </w:r>
            <w:r>
              <w:rPr>
                <w:noProof/>
                <w:webHidden/>
              </w:rPr>
              <w:fldChar w:fldCharType="begin"/>
            </w:r>
            <w:r>
              <w:rPr>
                <w:noProof/>
                <w:webHidden/>
              </w:rPr>
              <w:instrText xml:space="preserve"> PAGEREF _Toc85181341 \h </w:instrText>
            </w:r>
            <w:r>
              <w:rPr>
                <w:noProof/>
                <w:webHidden/>
              </w:rPr>
            </w:r>
            <w:r>
              <w:rPr>
                <w:noProof/>
                <w:webHidden/>
              </w:rPr>
              <w:fldChar w:fldCharType="separate"/>
            </w:r>
            <w:r>
              <w:rPr>
                <w:noProof/>
                <w:webHidden/>
              </w:rPr>
              <w:t>155</w:t>
            </w:r>
            <w:r>
              <w:rPr>
                <w:noProof/>
                <w:webHidden/>
              </w:rPr>
              <w:fldChar w:fldCharType="end"/>
            </w:r>
          </w:hyperlink>
        </w:p>
        <w:p w14:paraId="62EC400D" w14:textId="5816BADD" w:rsidR="00CF4B96" w:rsidRDefault="00CF4B96">
          <w:pPr>
            <w:pStyle w:val="Sadraj2"/>
            <w:rPr>
              <w:rFonts w:asciiTheme="minorHAnsi" w:hAnsiTheme="minorHAnsi"/>
              <w:noProof/>
              <w:color w:val="auto"/>
              <w:sz w:val="22"/>
              <w:szCs w:val="22"/>
              <w:lang w:eastAsia="hr-HR"/>
            </w:rPr>
          </w:pPr>
          <w:hyperlink w:anchor="_Toc85181342" w:history="1">
            <w:r w:rsidRPr="00130F56">
              <w:rPr>
                <w:rStyle w:val="Hiperveza"/>
                <w:noProof/>
              </w:rPr>
              <w:t>11.2.1. Postojeća smještajna infrastruktura</w:t>
            </w:r>
            <w:r>
              <w:rPr>
                <w:noProof/>
                <w:webHidden/>
              </w:rPr>
              <w:tab/>
            </w:r>
            <w:r>
              <w:rPr>
                <w:noProof/>
                <w:webHidden/>
              </w:rPr>
              <w:fldChar w:fldCharType="begin"/>
            </w:r>
            <w:r>
              <w:rPr>
                <w:noProof/>
                <w:webHidden/>
              </w:rPr>
              <w:instrText xml:space="preserve"> PAGEREF _Toc85181342 \h </w:instrText>
            </w:r>
            <w:r>
              <w:rPr>
                <w:noProof/>
                <w:webHidden/>
              </w:rPr>
            </w:r>
            <w:r>
              <w:rPr>
                <w:noProof/>
                <w:webHidden/>
              </w:rPr>
              <w:fldChar w:fldCharType="separate"/>
            </w:r>
            <w:r>
              <w:rPr>
                <w:noProof/>
                <w:webHidden/>
              </w:rPr>
              <w:t>155</w:t>
            </w:r>
            <w:r>
              <w:rPr>
                <w:noProof/>
                <w:webHidden/>
              </w:rPr>
              <w:fldChar w:fldCharType="end"/>
            </w:r>
          </w:hyperlink>
        </w:p>
        <w:p w14:paraId="1C621F25" w14:textId="0B98BBE0" w:rsidR="00CF4B96" w:rsidRDefault="00CF4B96">
          <w:pPr>
            <w:pStyle w:val="Sadraj2"/>
            <w:rPr>
              <w:rFonts w:asciiTheme="minorHAnsi" w:hAnsiTheme="minorHAnsi"/>
              <w:noProof/>
              <w:color w:val="auto"/>
              <w:sz w:val="22"/>
              <w:szCs w:val="22"/>
              <w:lang w:eastAsia="hr-HR"/>
            </w:rPr>
          </w:pPr>
          <w:hyperlink w:anchor="_Toc85181343" w:history="1">
            <w:r w:rsidRPr="00130F56">
              <w:rPr>
                <w:rStyle w:val="Hiperveza"/>
                <w:noProof/>
              </w:rPr>
              <w:t>11.2.2. Ključni i sekundarni turistički proizvodi</w:t>
            </w:r>
            <w:r>
              <w:rPr>
                <w:noProof/>
                <w:webHidden/>
              </w:rPr>
              <w:tab/>
            </w:r>
            <w:r>
              <w:rPr>
                <w:noProof/>
                <w:webHidden/>
              </w:rPr>
              <w:fldChar w:fldCharType="begin"/>
            </w:r>
            <w:r>
              <w:rPr>
                <w:noProof/>
                <w:webHidden/>
              </w:rPr>
              <w:instrText xml:space="preserve"> PAGEREF _Toc85181343 \h </w:instrText>
            </w:r>
            <w:r>
              <w:rPr>
                <w:noProof/>
                <w:webHidden/>
              </w:rPr>
            </w:r>
            <w:r>
              <w:rPr>
                <w:noProof/>
                <w:webHidden/>
              </w:rPr>
              <w:fldChar w:fldCharType="separate"/>
            </w:r>
            <w:r>
              <w:rPr>
                <w:noProof/>
                <w:webHidden/>
              </w:rPr>
              <w:t>157</w:t>
            </w:r>
            <w:r>
              <w:rPr>
                <w:noProof/>
                <w:webHidden/>
              </w:rPr>
              <w:fldChar w:fldCharType="end"/>
            </w:r>
          </w:hyperlink>
        </w:p>
        <w:p w14:paraId="7B51A1E9" w14:textId="63EEAAE3" w:rsidR="00CF4B96" w:rsidRDefault="00CF4B96">
          <w:pPr>
            <w:pStyle w:val="Sadraj2"/>
            <w:rPr>
              <w:rFonts w:asciiTheme="minorHAnsi" w:hAnsiTheme="minorHAnsi"/>
              <w:noProof/>
              <w:color w:val="auto"/>
              <w:sz w:val="22"/>
              <w:szCs w:val="22"/>
              <w:lang w:eastAsia="hr-HR"/>
            </w:rPr>
          </w:pPr>
          <w:hyperlink w:anchor="_Toc85181344" w:history="1">
            <w:r w:rsidRPr="00130F56">
              <w:rPr>
                <w:rStyle w:val="Hiperveza"/>
                <w:noProof/>
              </w:rPr>
              <w:t>11.3. Zdravlje, SPA i wellness</w:t>
            </w:r>
            <w:r>
              <w:rPr>
                <w:noProof/>
                <w:webHidden/>
              </w:rPr>
              <w:tab/>
            </w:r>
            <w:r>
              <w:rPr>
                <w:noProof/>
                <w:webHidden/>
              </w:rPr>
              <w:fldChar w:fldCharType="begin"/>
            </w:r>
            <w:r>
              <w:rPr>
                <w:noProof/>
                <w:webHidden/>
              </w:rPr>
              <w:instrText xml:space="preserve"> PAGEREF _Toc85181344 \h </w:instrText>
            </w:r>
            <w:r>
              <w:rPr>
                <w:noProof/>
                <w:webHidden/>
              </w:rPr>
            </w:r>
            <w:r>
              <w:rPr>
                <w:noProof/>
                <w:webHidden/>
              </w:rPr>
              <w:fldChar w:fldCharType="separate"/>
            </w:r>
            <w:r>
              <w:rPr>
                <w:noProof/>
                <w:webHidden/>
              </w:rPr>
              <w:t>158</w:t>
            </w:r>
            <w:r>
              <w:rPr>
                <w:noProof/>
                <w:webHidden/>
              </w:rPr>
              <w:fldChar w:fldCharType="end"/>
            </w:r>
          </w:hyperlink>
        </w:p>
        <w:p w14:paraId="05BD4ED3" w14:textId="1C4B9B22" w:rsidR="00CF4B96" w:rsidRDefault="00CF4B96">
          <w:pPr>
            <w:pStyle w:val="Sadraj2"/>
            <w:rPr>
              <w:rFonts w:asciiTheme="minorHAnsi" w:hAnsiTheme="minorHAnsi"/>
              <w:noProof/>
              <w:color w:val="auto"/>
              <w:sz w:val="22"/>
              <w:szCs w:val="22"/>
              <w:lang w:eastAsia="hr-HR"/>
            </w:rPr>
          </w:pPr>
          <w:hyperlink w:anchor="_Toc85181345" w:history="1">
            <w:r w:rsidRPr="00130F56">
              <w:rPr>
                <w:rStyle w:val="Hiperveza"/>
                <w:noProof/>
              </w:rPr>
              <w:t>11.4.Aktivni odmor</w:t>
            </w:r>
            <w:r>
              <w:rPr>
                <w:noProof/>
                <w:webHidden/>
              </w:rPr>
              <w:tab/>
            </w:r>
            <w:r>
              <w:rPr>
                <w:noProof/>
                <w:webHidden/>
              </w:rPr>
              <w:fldChar w:fldCharType="begin"/>
            </w:r>
            <w:r>
              <w:rPr>
                <w:noProof/>
                <w:webHidden/>
              </w:rPr>
              <w:instrText xml:space="preserve"> PAGEREF _Toc85181345 \h </w:instrText>
            </w:r>
            <w:r>
              <w:rPr>
                <w:noProof/>
                <w:webHidden/>
              </w:rPr>
            </w:r>
            <w:r>
              <w:rPr>
                <w:noProof/>
                <w:webHidden/>
              </w:rPr>
              <w:fldChar w:fldCharType="separate"/>
            </w:r>
            <w:r>
              <w:rPr>
                <w:noProof/>
                <w:webHidden/>
              </w:rPr>
              <w:t>159</w:t>
            </w:r>
            <w:r>
              <w:rPr>
                <w:noProof/>
                <w:webHidden/>
              </w:rPr>
              <w:fldChar w:fldCharType="end"/>
            </w:r>
          </w:hyperlink>
        </w:p>
        <w:p w14:paraId="4A85ACC6" w14:textId="2CD069FE" w:rsidR="00CF4B96" w:rsidRDefault="00CF4B96">
          <w:pPr>
            <w:pStyle w:val="Sadraj2"/>
            <w:rPr>
              <w:rFonts w:asciiTheme="minorHAnsi" w:hAnsiTheme="minorHAnsi"/>
              <w:noProof/>
              <w:color w:val="auto"/>
              <w:sz w:val="22"/>
              <w:szCs w:val="22"/>
              <w:lang w:eastAsia="hr-HR"/>
            </w:rPr>
          </w:pPr>
          <w:hyperlink w:anchor="_Toc85181346" w:history="1">
            <w:r w:rsidRPr="00130F56">
              <w:rPr>
                <w:rStyle w:val="Hiperveza"/>
                <w:noProof/>
              </w:rPr>
              <w:t>11.5. Obiteljski turizam</w:t>
            </w:r>
            <w:r>
              <w:rPr>
                <w:noProof/>
                <w:webHidden/>
              </w:rPr>
              <w:tab/>
            </w:r>
            <w:r>
              <w:rPr>
                <w:noProof/>
                <w:webHidden/>
              </w:rPr>
              <w:fldChar w:fldCharType="begin"/>
            </w:r>
            <w:r>
              <w:rPr>
                <w:noProof/>
                <w:webHidden/>
              </w:rPr>
              <w:instrText xml:space="preserve"> PAGEREF _Toc85181346 \h </w:instrText>
            </w:r>
            <w:r>
              <w:rPr>
                <w:noProof/>
                <w:webHidden/>
              </w:rPr>
            </w:r>
            <w:r>
              <w:rPr>
                <w:noProof/>
                <w:webHidden/>
              </w:rPr>
              <w:fldChar w:fldCharType="separate"/>
            </w:r>
            <w:r>
              <w:rPr>
                <w:noProof/>
                <w:webHidden/>
              </w:rPr>
              <w:t>162</w:t>
            </w:r>
            <w:r>
              <w:rPr>
                <w:noProof/>
                <w:webHidden/>
              </w:rPr>
              <w:fldChar w:fldCharType="end"/>
            </w:r>
          </w:hyperlink>
        </w:p>
        <w:p w14:paraId="054203A5" w14:textId="3BC1E234" w:rsidR="00CF4B96" w:rsidRDefault="00CF4B96">
          <w:pPr>
            <w:pStyle w:val="Sadraj2"/>
            <w:rPr>
              <w:rFonts w:asciiTheme="minorHAnsi" w:hAnsiTheme="minorHAnsi"/>
              <w:noProof/>
              <w:color w:val="auto"/>
              <w:sz w:val="22"/>
              <w:szCs w:val="22"/>
              <w:lang w:eastAsia="hr-HR"/>
            </w:rPr>
          </w:pPr>
          <w:hyperlink w:anchor="_Toc85181347" w:history="1">
            <w:r w:rsidRPr="00130F56">
              <w:rPr>
                <w:rStyle w:val="Hiperveza"/>
                <w:noProof/>
              </w:rPr>
              <w:t>11.6. Kulturni turizam</w:t>
            </w:r>
            <w:r>
              <w:rPr>
                <w:noProof/>
                <w:webHidden/>
              </w:rPr>
              <w:tab/>
            </w:r>
            <w:r>
              <w:rPr>
                <w:noProof/>
                <w:webHidden/>
              </w:rPr>
              <w:fldChar w:fldCharType="begin"/>
            </w:r>
            <w:r>
              <w:rPr>
                <w:noProof/>
                <w:webHidden/>
              </w:rPr>
              <w:instrText xml:space="preserve"> PAGEREF _Toc85181347 \h </w:instrText>
            </w:r>
            <w:r>
              <w:rPr>
                <w:noProof/>
                <w:webHidden/>
              </w:rPr>
            </w:r>
            <w:r>
              <w:rPr>
                <w:noProof/>
                <w:webHidden/>
              </w:rPr>
              <w:fldChar w:fldCharType="separate"/>
            </w:r>
            <w:r>
              <w:rPr>
                <w:noProof/>
                <w:webHidden/>
              </w:rPr>
              <w:t>163</w:t>
            </w:r>
            <w:r>
              <w:rPr>
                <w:noProof/>
                <w:webHidden/>
              </w:rPr>
              <w:fldChar w:fldCharType="end"/>
            </w:r>
          </w:hyperlink>
        </w:p>
        <w:p w14:paraId="50929101" w14:textId="74AC7A36" w:rsidR="00CF4B96" w:rsidRDefault="00CF4B96">
          <w:pPr>
            <w:pStyle w:val="Sadraj2"/>
            <w:rPr>
              <w:rFonts w:asciiTheme="minorHAnsi" w:hAnsiTheme="minorHAnsi"/>
              <w:noProof/>
              <w:color w:val="auto"/>
              <w:sz w:val="22"/>
              <w:szCs w:val="22"/>
              <w:lang w:eastAsia="hr-HR"/>
            </w:rPr>
          </w:pPr>
          <w:hyperlink w:anchor="_Toc85181348" w:history="1">
            <w:r w:rsidRPr="00130F56">
              <w:rPr>
                <w:rStyle w:val="Hiperveza"/>
                <w:noProof/>
              </w:rPr>
              <w:t>11.7. Religijski turizam</w:t>
            </w:r>
            <w:r>
              <w:rPr>
                <w:noProof/>
                <w:webHidden/>
              </w:rPr>
              <w:tab/>
            </w:r>
            <w:r>
              <w:rPr>
                <w:noProof/>
                <w:webHidden/>
              </w:rPr>
              <w:fldChar w:fldCharType="begin"/>
            </w:r>
            <w:r>
              <w:rPr>
                <w:noProof/>
                <w:webHidden/>
              </w:rPr>
              <w:instrText xml:space="preserve"> PAGEREF _Toc85181348 \h </w:instrText>
            </w:r>
            <w:r>
              <w:rPr>
                <w:noProof/>
                <w:webHidden/>
              </w:rPr>
            </w:r>
            <w:r>
              <w:rPr>
                <w:noProof/>
                <w:webHidden/>
              </w:rPr>
              <w:fldChar w:fldCharType="separate"/>
            </w:r>
            <w:r>
              <w:rPr>
                <w:noProof/>
                <w:webHidden/>
              </w:rPr>
              <w:t>165</w:t>
            </w:r>
            <w:r>
              <w:rPr>
                <w:noProof/>
                <w:webHidden/>
              </w:rPr>
              <w:fldChar w:fldCharType="end"/>
            </w:r>
          </w:hyperlink>
        </w:p>
        <w:p w14:paraId="21D1B8D1" w14:textId="65F40786" w:rsidR="00CF4B96" w:rsidRDefault="00CF4B96">
          <w:pPr>
            <w:pStyle w:val="Sadraj2"/>
            <w:rPr>
              <w:rFonts w:asciiTheme="minorHAnsi" w:hAnsiTheme="minorHAnsi"/>
              <w:noProof/>
              <w:color w:val="auto"/>
              <w:sz w:val="22"/>
              <w:szCs w:val="22"/>
              <w:lang w:eastAsia="hr-HR"/>
            </w:rPr>
          </w:pPr>
          <w:hyperlink w:anchor="_Toc85181349" w:history="1">
            <w:r w:rsidRPr="00130F56">
              <w:rPr>
                <w:rStyle w:val="Hiperveza"/>
                <w:noProof/>
              </w:rPr>
              <w:t>11.8. Poslovni turizam i događanja (MICE)</w:t>
            </w:r>
            <w:r>
              <w:rPr>
                <w:noProof/>
                <w:webHidden/>
              </w:rPr>
              <w:tab/>
            </w:r>
            <w:r>
              <w:rPr>
                <w:noProof/>
                <w:webHidden/>
              </w:rPr>
              <w:fldChar w:fldCharType="begin"/>
            </w:r>
            <w:r>
              <w:rPr>
                <w:noProof/>
                <w:webHidden/>
              </w:rPr>
              <w:instrText xml:space="preserve"> PAGEREF _Toc85181349 \h </w:instrText>
            </w:r>
            <w:r>
              <w:rPr>
                <w:noProof/>
                <w:webHidden/>
              </w:rPr>
            </w:r>
            <w:r>
              <w:rPr>
                <w:noProof/>
                <w:webHidden/>
              </w:rPr>
              <w:fldChar w:fldCharType="separate"/>
            </w:r>
            <w:r>
              <w:rPr>
                <w:noProof/>
                <w:webHidden/>
              </w:rPr>
              <w:t>166</w:t>
            </w:r>
            <w:r>
              <w:rPr>
                <w:noProof/>
                <w:webHidden/>
              </w:rPr>
              <w:fldChar w:fldCharType="end"/>
            </w:r>
          </w:hyperlink>
        </w:p>
        <w:p w14:paraId="05AC0185" w14:textId="69E1C3B6" w:rsidR="00CF4B96" w:rsidRDefault="00CF4B96">
          <w:pPr>
            <w:pStyle w:val="Sadraj2"/>
            <w:rPr>
              <w:rFonts w:asciiTheme="minorHAnsi" w:hAnsiTheme="minorHAnsi"/>
              <w:noProof/>
              <w:color w:val="auto"/>
              <w:sz w:val="22"/>
              <w:szCs w:val="22"/>
              <w:lang w:eastAsia="hr-HR"/>
            </w:rPr>
          </w:pPr>
          <w:hyperlink w:anchor="_Toc85181350" w:history="1">
            <w:r w:rsidRPr="00130F56">
              <w:rPr>
                <w:rStyle w:val="Hiperveza"/>
                <w:noProof/>
              </w:rPr>
              <w:t>11.9. Agroturizam</w:t>
            </w:r>
            <w:r>
              <w:rPr>
                <w:noProof/>
                <w:webHidden/>
              </w:rPr>
              <w:tab/>
            </w:r>
            <w:r>
              <w:rPr>
                <w:noProof/>
                <w:webHidden/>
              </w:rPr>
              <w:fldChar w:fldCharType="begin"/>
            </w:r>
            <w:r>
              <w:rPr>
                <w:noProof/>
                <w:webHidden/>
              </w:rPr>
              <w:instrText xml:space="preserve"> PAGEREF _Toc85181350 \h </w:instrText>
            </w:r>
            <w:r>
              <w:rPr>
                <w:noProof/>
                <w:webHidden/>
              </w:rPr>
            </w:r>
            <w:r>
              <w:rPr>
                <w:noProof/>
                <w:webHidden/>
              </w:rPr>
              <w:fldChar w:fldCharType="separate"/>
            </w:r>
            <w:r>
              <w:rPr>
                <w:noProof/>
                <w:webHidden/>
              </w:rPr>
              <w:t>166</w:t>
            </w:r>
            <w:r>
              <w:rPr>
                <w:noProof/>
                <w:webHidden/>
              </w:rPr>
              <w:fldChar w:fldCharType="end"/>
            </w:r>
          </w:hyperlink>
        </w:p>
        <w:p w14:paraId="32C30BC2" w14:textId="686EF233" w:rsidR="00CF4B96" w:rsidRDefault="00CF4B96">
          <w:pPr>
            <w:pStyle w:val="Sadraj2"/>
            <w:rPr>
              <w:rFonts w:asciiTheme="minorHAnsi" w:hAnsiTheme="minorHAnsi"/>
              <w:noProof/>
              <w:color w:val="auto"/>
              <w:sz w:val="22"/>
              <w:szCs w:val="22"/>
              <w:lang w:eastAsia="hr-HR"/>
            </w:rPr>
          </w:pPr>
          <w:hyperlink w:anchor="_Toc85181351" w:history="1">
            <w:r w:rsidRPr="00130F56">
              <w:rPr>
                <w:rStyle w:val="Hiperveza"/>
                <w:noProof/>
              </w:rPr>
              <w:t>11.10. Turistička potražnja</w:t>
            </w:r>
            <w:r>
              <w:rPr>
                <w:noProof/>
                <w:webHidden/>
              </w:rPr>
              <w:tab/>
            </w:r>
            <w:r>
              <w:rPr>
                <w:noProof/>
                <w:webHidden/>
              </w:rPr>
              <w:fldChar w:fldCharType="begin"/>
            </w:r>
            <w:r>
              <w:rPr>
                <w:noProof/>
                <w:webHidden/>
              </w:rPr>
              <w:instrText xml:space="preserve"> PAGEREF _Toc85181351 \h </w:instrText>
            </w:r>
            <w:r>
              <w:rPr>
                <w:noProof/>
                <w:webHidden/>
              </w:rPr>
            </w:r>
            <w:r>
              <w:rPr>
                <w:noProof/>
                <w:webHidden/>
              </w:rPr>
              <w:fldChar w:fldCharType="separate"/>
            </w:r>
            <w:r>
              <w:rPr>
                <w:noProof/>
                <w:webHidden/>
              </w:rPr>
              <w:t>166</w:t>
            </w:r>
            <w:r>
              <w:rPr>
                <w:noProof/>
                <w:webHidden/>
              </w:rPr>
              <w:fldChar w:fldCharType="end"/>
            </w:r>
          </w:hyperlink>
        </w:p>
        <w:p w14:paraId="7FA6CD0A" w14:textId="02BF95ED" w:rsidR="00CF4B96" w:rsidRDefault="00CF4B96">
          <w:pPr>
            <w:pStyle w:val="Sadraj2"/>
            <w:rPr>
              <w:rFonts w:asciiTheme="minorHAnsi" w:hAnsiTheme="minorHAnsi"/>
              <w:noProof/>
              <w:color w:val="auto"/>
              <w:sz w:val="22"/>
              <w:szCs w:val="22"/>
              <w:lang w:eastAsia="hr-HR"/>
            </w:rPr>
          </w:pPr>
          <w:hyperlink w:anchor="_Toc85181352" w:history="1">
            <w:r w:rsidRPr="00130F56">
              <w:rPr>
                <w:rStyle w:val="Hiperveza"/>
                <w:noProof/>
              </w:rPr>
              <w:t>11.10.1. Manifestacije</w:t>
            </w:r>
            <w:r>
              <w:rPr>
                <w:noProof/>
                <w:webHidden/>
              </w:rPr>
              <w:tab/>
            </w:r>
            <w:r>
              <w:rPr>
                <w:noProof/>
                <w:webHidden/>
              </w:rPr>
              <w:fldChar w:fldCharType="begin"/>
            </w:r>
            <w:r>
              <w:rPr>
                <w:noProof/>
                <w:webHidden/>
              </w:rPr>
              <w:instrText xml:space="preserve"> PAGEREF _Toc85181352 \h </w:instrText>
            </w:r>
            <w:r>
              <w:rPr>
                <w:noProof/>
                <w:webHidden/>
              </w:rPr>
            </w:r>
            <w:r>
              <w:rPr>
                <w:noProof/>
                <w:webHidden/>
              </w:rPr>
              <w:fldChar w:fldCharType="separate"/>
            </w:r>
            <w:r>
              <w:rPr>
                <w:noProof/>
                <w:webHidden/>
              </w:rPr>
              <w:t>172</w:t>
            </w:r>
            <w:r>
              <w:rPr>
                <w:noProof/>
                <w:webHidden/>
              </w:rPr>
              <w:fldChar w:fldCharType="end"/>
            </w:r>
          </w:hyperlink>
        </w:p>
        <w:p w14:paraId="3D150859" w14:textId="1A7FC59E" w:rsidR="00CF4B96" w:rsidRDefault="00CF4B96">
          <w:pPr>
            <w:pStyle w:val="Sadraj2"/>
            <w:rPr>
              <w:rFonts w:asciiTheme="minorHAnsi" w:hAnsiTheme="minorHAnsi"/>
              <w:noProof/>
              <w:color w:val="auto"/>
              <w:sz w:val="22"/>
              <w:szCs w:val="22"/>
              <w:lang w:eastAsia="hr-HR"/>
            </w:rPr>
          </w:pPr>
          <w:hyperlink w:anchor="_Toc85181353" w:history="1">
            <w:r w:rsidRPr="00130F56">
              <w:rPr>
                <w:rStyle w:val="Hiperveza"/>
                <w:noProof/>
              </w:rPr>
              <w:t>11.11. Turističke zone u KZŽ</w:t>
            </w:r>
            <w:r>
              <w:rPr>
                <w:noProof/>
                <w:webHidden/>
              </w:rPr>
              <w:tab/>
            </w:r>
            <w:r>
              <w:rPr>
                <w:noProof/>
                <w:webHidden/>
              </w:rPr>
              <w:fldChar w:fldCharType="begin"/>
            </w:r>
            <w:r>
              <w:rPr>
                <w:noProof/>
                <w:webHidden/>
              </w:rPr>
              <w:instrText xml:space="preserve"> PAGEREF _Toc85181353 \h </w:instrText>
            </w:r>
            <w:r>
              <w:rPr>
                <w:noProof/>
                <w:webHidden/>
              </w:rPr>
            </w:r>
            <w:r>
              <w:rPr>
                <w:noProof/>
                <w:webHidden/>
              </w:rPr>
              <w:fldChar w:fldCharType="separate"/>
            </w:r>
            <w:r>
              <w:rPr>
                <w:noProof/>
                <w:webHidden/>
              </w:rPr>
              <w:t>172</w:t>
            </w:r>
            <w:r>
              <w:rPr>
                <w:noProof/>
                <w:webHidden/>
              </w:rPr>
              <w:fldChar w:fldCharType="end"/>
            </w:r>
          </w:hyperlink>
        </w:p>
        <w:p w14:paraId="6AEE00CB" w14:textId="3F3AE392" w:rsidR="00CF4B96" w:rsidRDefault="00CF4B96">
          <w:pPr>
            <w:pStyle w:val="Sadraj2"/>
            <w:rPr>
              <w:rFonts w:asciiTheme="minorHAnsi" w:hAnsiTheme="minorHAnsi"/>
              <w:noProof/>
              <w:color w:val="auto"/>
              <w:sz w:val="22"/>
              <w:szCs w:val="22"/>
              <w:lang w:eastAsia="hr-HR"/>
            </w:rPr>
          </w:pPr>
          <w:hyperlink w:anchor="_Toc85181354" w:history="1">
            <w:r w:rsidRPr="00130F56">
              <w:rPr>
                <w:rStyle w:val="Hiperveza"/>
                <w:noProof/>
              </w:rPr>
              <w:t>11.12. Učinci epidemioloških mjera na turističku djelatnost</w:t>
            </w:r>
            <w:r>
              <w:rPr>
                <w:noProof/>
                <w:webHidden/>
              </w:rPr>
              <w:tab/>
            </w:r>
            <w:r>
              <w:rPr>
                <w:noProof/>
                <w:webHidden/>
              </w:rPr>
              <w:fldChar w:fldCharType="begin"/>
            </w:r>
            <w:r>
              <w:rPr>
                <w:noProof/>
                <w:webHidden/>
              </w:rPr>
              <w:instrText xml:space="preserve"> PAGEREF _Toc85181354 \h </w:instrText>
            </w:r>
            <w:r>
              <w:rPr>
                <w:noProof/>
                <w:webHidden/>
              </w:rPr>
            </w:r>
            <w:r>
              <w:rPr>
                <w:noProof/>
                <w:webHidden/>
              </w:rPr>
              <w:fldChar w:fldCharType="separate"/>
            </w:r>
            <w:r>
              <w:rPr>
                <w:noProof/>
                <w:webHidden/>
              </w:rPr>
              <w:t>177</w:t>
            </w:r>
            <w:r>
              <w:rPr>
                <w:noProof/>
                <w:webHidden/>
              </w:rPr>
              <w:fldChar w:fldCharType="end"/>
            </w:r>
          </w:hyperlink>
        </w:p>
        <w:p w14:paraId="47A14A01" w14:textId="4E1AE3E3" w:rsidR="00CF4B96" w:rsidRDefault="00CF4B96">
          <w:pPr>
            <w:pStyle w:val="Sadraj1"/>
            <w:tabs>
              <w:tab w:val="left" w:pos="660"/>
            </w:tabs>
            <w:rPr>
              <w:rFonts w:asciiTheme="minorHAnsi" w:eastAsiaTheme="minorEastAsia" w:hAnsiTheme="minorHAnsi"/>
              <w:color w:val="auto"/>
              <w:spacing w:val="0"/>
              <w:sz w:val="22"/>
              <w:szCs w:val="22"/>
              <w:lang w:eastAsia="hr-HR"/>
            </w:rPr>
          </w:pPr>
          <w:hyperlink w:anchor="_Toc85181355" w:history="1">
            <w:r w:rsidRPr="00130F56">
              <w:rPr>
                <w:rStyle w:val="Hiperveza"/>
                <w:rFonts w:eastAsiaTheme="majorEastAsia"/>
                <w:bCs/>
                <w:spacing w:val="15"/>
              </w:rPr>
              <w:t>12.</w:t>
            </w:r>
            <w:r>
              <w:rPr>
                <w:rFonts w:asciiTheme="minorHAnsi" w:eastAsiaTheme="minorEastAsia" w:hAnsiTheme="minorHAnsi"/>
                <w:color w:val="auto"/>
                <w:spacing w:val="0"/>
                <w:sz w:val="22"/>
                <w:szCs w:val="22"/>
                <w:lang w:eastAsia="hr-HR"/>
              </w:rPr>
              <w:tab/>
            </w:r>
            <w:r w:rsidRPr="00130F56">
              <w:rPr>
                <w:rStyle w:val="Hiperveza"/>
                <w:rFonts w:eastAsiaTheme="majorEastAsia"/>
                <w:bCs/>
                <w:spacing w:val="15"/>
              </w:rPr>
              <w:t>POLJOPRIVREDA</w:t>
            </w:r>
            <w:r>
              <w:rPr>
                <w:webHidden/>
              </w:rPr>
              <w:tab/>
            </w:r>
            <w:r>
              <w:rPr>
                <w:webHidden/>
              </w:rPr>
              <w:fldChar w:fldCharType="begin"/>
            </w:r>
            <w:r>
              <w:rPr>
                <w:webHidden/>
              </w:rPr>
              <w:instrText xml:space="preserve"> PAGEREF _Toc85181355 \h </w:instrText>
            </w:r>
            <w:r>
              <w:rPr>
                <w:webHidden/>
              </w:rPr>
            </w:r>
            <w:r>
              <w:rPr>
                <w:webHidden/>
              </w:rPr>
              <w:fldChar w:fldCharType="separate"/>
            </w:r>
            <w:r>
              <w:rPr>
                <w:webHidden/>
              </w:rPr>
              <w:t>180</w:t>
            </w:r>
            <w:r>
              <w:rPr>
                <w:webHidden/>
              </w:rPr>
              <w:fldChar w:fldCharType="end"/>
            </w:r>
          </w:hyperlink>
        </w:p>
        <w:p w14:paraId="11A0F5B0" w14:textId="436D1D58" w:rsidR="00CF4B96" w:rsidRDefault="00CF4B96">
          <w:pPr>
            <w:pStyle w:val="Sadraj2"/>
            <w:rPr>
              <w:rFonts w:asciiTheme="minorHAnsi" w:hAnsiTheme="minorHAnsi"/>
              <w:noProof/>
              <w:color w:val="auto"/>
              <w:sz w:val="22"/>
              <w:szCs w:val="22"/>
              <w:lang w:eastAsia="hr-HR"/>
            </w:rPr>
          </w:pPr>
          <w:hyperlink w:anchor="_Toc85181356" w:history="1">
            <w:r w:rsidRPr="00130F56">
              <w:rPr>
                <w:rStyle w:val="Hiperveza"/>
                <w:noProof/>
              </w:rPr>
              <w:t>12.1. Poljoprivredna gospodarstva</w:t>
            </w:r>
            <w:r>
              <w:rPr>
                <w:noProof/>
                <w:webHidden/>
              </w:rPr>
              <w:tab/>
            </w:r>
            <w:r>
              <w:rPr>
                <w:noProof/>
                <w:webHidden/>
              </w:rPr>
              <w:fldChar w:fldCharType="begin"/>
            </w:r>
            <w:r>
              <w:rPr>
                <w:noProof/>
                <w:webHidden/>
              </w:rPr>
              <w:instrText xml:space="preserve"> PAGEREF _Toc85181356 \h </w:instrText>
            </w:r>
            <w:r>
              <w:rPr>
                <w:noProof/>
                <w:webHidden/>
              </w:rPr>
            </w:r>
            <w:r>
              <w:rPr>
                <w:noProof/>
                <w:webHidden/>
              </w:rPr>
              <w:fldChar w:fldCharType="separate"/>
            </w:r>
            <w:r>
              <w:rPr>
                <w:noProof/>
                <w:webHidden/>
              </w:rPr>
              <w:t>180</w:t>
            </w:r>
            <w:r>
              <w:rPr>
                <w:noProof/>
                <w:webHidden/>
              </w:rPr>
              <w:fldChar w:fldCharType="end"/>
            </w:r>
          </w:hyperlink>
        </w:p>
        <w:p w14:paraId="66FE14F0" w14:textId="1117BB3E" w:rsidR="00CF4B96" w:rsidRDefault="00CF4B96">
          <w:pPr>
            <w:pStyle w:val="Sadraj2"/>
            <w:rPr>
              <w:rFonts w:asciiTheme="minorHAnsi" w:hAnsiTheme="minorHAnsi"/>
              <w:noProof/>
              <w:color w:val="auto"/>
              <w:sz w:val="22"/>
              <w:szCs w:val="22"/>
              <w:lang w:eastAsia="hr-HR"/>
            </w:rPr>
          </w:pPr>
          <w:hyperlink w:anchor="_Toc85181357" w:history="1">
            <w:r w:rsidRPr="00130F56">
              <w:rPr>
                <w:rStyle w:val="Hiperveza"/>
                <w:noProof/>
              </w:rPr>
              <w:t>12.2. Voćarstvo i vinogradarstvo</w:t>
            </w:r>
            <w:r>
              <w:rPr>
                <w:noProof/>
                <w:webHidden/>
              </w:rPr>
              <w:tab/>
            </w:r>
            <w:r>
              <w:rPr>
                <w:noProof/>
                <w:webHidden/>
              </w:rPr>
              <w:fldChar w:fldCharType="begin"/>
            </w:r>
            <w:r>
              <w:rPr>
                <w:noProof/>
                <w:webHidden/>
              </w:rPr>
              <w:instrText xml:space="preserve"> PAGEREF _Toc85181357 \h </w:instrText>
            </w:r>
            <w:r>
              <w:rPr>
                <w:noProof/>
                <w:webHidden/>
              </w:rPr>
            </w:r>
            <w:r>
              <w:rPr>
                <w:noProof/>
                <w:webHidden/>
              </w:rPr>
              <w:fldChar w:fldCharType="separate"/>
            </w:r>
            <w:r>
              <w:rPr>
                <w:noProof/>
                <w:webHidden/>
              </w:rPr>
              <w:t>183</w:t>
            </w:r>
            <w:r>
              <w:rPr>
                <w:noProof/>
                <w:webHidden/>
              </w:rPr>
              <w:fldChar w:fldCharType="end"/>
            </w:r>
          </w:hyperlink>
        </w:p>
        <w:p w14:paraId="3C761746" w14:textId="41B7B703" w:rsidR="00CF4B96" w:rsidRDefault="00CF4B96">
          <w:pPr>
            <w:pStyle w:val="Sadraj2"/>
            <w:rPr>
              <w:rFonts w:asciiTheme="minorHAnsi" w:hAnsiTheme="minorHAnsi"/>
              <w:noProof/>
              <w:color w:val="auto"/>
              <w:sz w:val="22"/>
              <w:szCs w:val="22"/>
              <w:lang w:eastAsia="hr-HR"/>
            </w:rPr>
          </w:pPr>
          <w:hyperlink w:anchor="_Toc85181358" w:history="1">
            <w:r w:rsidRPr="00130F56">
              <w:rPr>
                <w:rStyle w:val="Hiperveza"/>
                <w:noProof/>
              </w:rPr>
              <w:t>12.3. Povrćarstvo i cvjećarstvo</w:t>
            </w:r>
            <w:r>
              <w:rPr>
                <w:noProof/>
                <w:webHidden/>
              </w:rPr>
              <w:tab/>
            </w:r>
            <w:r>
              <w:rPr>
                <w:noProof/>
                <w:webHidden/>
              </w:rPr>
              <w:fldChar w:fldCharType="begin"/>
            </w:r>
            <w:r>
              <w:rPr>
                <w:noProof/>
                <w:webHidden/>
              </w:rPr>
              <w:instrText xml:space="preserve"> PAGEREF _Toc85181358 \h </w:instrText>
            </w:r>
            <w:r>
              <w:rPr>
                <w:noProof/>
                <w:webHidden/>
              </w:rPr>
            </w:r>
            <w:r>
              <w:rPr>
                <w:noProof/>
                <w:webHidden/>
              </w:rPr>
              <w:fldChar w:fldCharType="separate"/>
            </w:r>
            <w:r>
              <w:rPr>
                <w:noProof/>
                <w:webHidden/>
              </w:rPr>
              <w:t>186</w:t>
            </w:r>
            <w:r>
              <w:rPr>
                <w:noProof/>
                <w:webHidden/>
              </w:rPr>
              <w:fldChar w:fldCharType="end"/>
            </w:r>
          </w:hyperlink>
        </w:p>
        <w:p w14:paraId="1967BB56" w14:textId="4732F8FD" w:rsidR="00CF4B96" w:rsidRDefault="00CF4B96">
          <w:pPr>
            <w:pStyle w:val="Sadraj2"/>
            <w:rPr>
              <w:rFonts w:asciiTheme="minorHAnsi" w:hAnsiTheme="minorHAnsi"/>
              <w:noProof/>
              <w:color w:val="auto"/>
              <w:sz w:val="22"/>
              <w:szCs w:val="22"/>
              <w:lang w:eastAsia="hr-HR"/>
            </w:rPr>
          </w:pPr>
          <w:hyperlink w:anchor="_Toc85181359" w:history="1">
            <w:r w:rsidRPr="00130F56">
              <w:rPr>
                <w:rStyle w:val="Hiperveza"/>
                <w:noProof/>
              </w:rPr>
              <w:t>12.4. Stočarska proizvodnja</w:t>
            </w:r>
            <w:r>
              <w:rPr>
                <w:noProof/>
                <w:webHidden/>
              </w:rPr>
              <w:tab/>
            </w:r>
            <w:r>
              <w:rPr>
                <w:noProof/>
                <w:webHidden/>
              </w:rPr>
              <w:fldChar w:fldCharType="begin"/>
            </w:r>
            <w:r>
              <w:rPr>
                <w:noProof/>
                <w:webHidden/>
              </w:rPr>
              <w:instrText xml:space="preserve"> PAGEREF _Toc85181359 \h </w:instrText>
            </w:r>
            <w:r>
              <w:rPr>
                <w:noProof/>
                <w:webHidden/>
              </w:rPr>
            </w:r>
            <w:r>
              <w:rPr>
                <w:noProof/>
                <w:webHidden/>
              </w:rPr>
              <w:fldChar w:fldCharType="separate"/>
            </w:r>
            <w:r>
              <w:rPr>
                <w:noProof/>
                <w:webHidden/>
              </w:rPr>
              <w:t>187</w:t>
            </w:r>
            <w:r>
              <w:rPr>
                <w:noProof/>
                <w:webHidden/>
              </w:rPr>
              <w:fldChar w:fldCharType="end"/>
            </w:r>
          </w:hyperlink>
        </w:p>
        <w:p w14:paraId="3B8AA317" w14:textId="61E22EC9" w:rsidR="00CF4B96" w:rsidRDefault="00CF4B96">
          <w:pPr>
            <w:pStyle w:val="Sadraj2"/>
            <w:rPr>
              <w:rFonts w:asciiTheme="minorHAnsi" w:hAnsiTheme="minorHAnsi"/>
              <w:noProof/>
              <w:color w:val="auto"/>
              <w:sz w:val="22"/>
              <w:szCs w:val="22"/>
              <w:lang w:eastAsia="hr-HR"/>
            </w:rPr>
          </w:pPr>
          <w:hyperlink w:anchor="_Toc85181360" w:history="1">
            <w:r w:rsidRPr="00130F56">
              <w:rPr>
                <w:rStyle w:val="Hiperveza"/>
                <w:noProof/>
              </w:rPr>
              <w:t>12.5. Peradarska proizvodnja</w:t>
            </w:r>
            <w:r>
              <w:rPr>
                <w:noProof/>
                <w:webHidden/>
              </w:rPr>
              <w:tab/>
            </w:r>
            <w:r>
              <w:rPr>
                <w:noProof/>
                <w:webHidden/>
              </w:rPr>
              <w:fldChar w:fldCharType="begin"/>
            </w:r>
            <w:r>
              <w:rPr>
                <w:noProof/>
                <w:webHidden/>
              </w:rPr>
              <w:instrText xml:space="preserve"> PAGEREF _Toc85181360 \h </w:instrText>
            </w:r>
            <w:r>
              <w:rPr>
                <w:noProof/>
                <w:webHidden/>
              </w:rPr>
            </w:r>
            <w:r>
              <w:rPr>
                <w:noProof/>
                <w:webHidden/>
              </w:rPr>
              <w:fldChar w:fldCharType="separate"/>
            </w:r>
            <w:r>
              <w:rPr>
                <w:noProof/>
                <w:webHidden/>
              </w:rPr>
              <w:t>190</w:t>
            </w:r>
            <w:r>
              <w:rPr>
                <w:noProof/>
                <w:webHidden/>
              </w:rPr>
              <w:fldChar w:fldCharType="end"/>
            </w:r>
          </w:hyperlink>
        </w:p>
        <w:p w14:paraId="509F82D2" w14:textId="4C7DCEDE" w:rsidR="00CF4B96" w:rsidRDefault="00CF4B96">
          <w:pPr>
            <w:pStyle w:val="Sadraj2"/>
            <w:rPr>
              <w:rFonts w:asciiTheme="minorHAnsi" w:hAnsiTheme="minorHAnsi"/>
              <w:noProof/>
              <w:color w:val="auto"/>
              <w:sz w:val="22"/>
              <w:szCs w:val="22"/>
              <w:lang w:eastAsia="hr-HR"/>
            </w:rPr>
          </w:pPr>
          <w:hyperlink w:anchor="_Toc85181361" w:history="1">
            <w:r w:rsidRPr="00130F56">
              <w:rPr>
                <w:rStyle w:val="Hiperveza"/>
                <w:noProof/>
              </w:rPr>
              <w:t>12.6. Pčelarstvo</w:t>
            </w:r>
            <w:r>
              <w:rPr>
                <w:noProof/>
                <w:webHidden/>
              </w:rPr>
              <w:tab/>
            </w:r>
            <w:r>
              <w:rPr>
                <w:noProof/>
                <w:webHidden/>
              </w:rPr>
              <w:fldChar w:fldCharType="begin"/>
            </w:r>
            <w:r>
              <w:rPr>
                <w:noProof/>
                <w:webHidden/>
              </w:rPr>
              <w:instrText xml:space="preserve"> PAGEREF _Toc85181361 \h </w:instrText>
            </w:r>
            <w:r>
              <w:rPr>
                <w:noProof/>
                <w:webHidden/>
              </w:rPr>
            </w:r>
            <w:r>
              <w:rPr>
                <w:noProof/>
                <w:webHidden/>
              </w:rPr>
              <w:fldChar w:fldCharType="separate"/>
            </w:r>
            <w:r>
              <w:rPr>
                <w:noProof/>
                <w:webHidden/>
              </w:rPr>
              <w:t>191</w:t>
            </w:r>
            <w:r>
              <w:rPr>
                <w:noProof/>
                <w:webHidden/>
              </w:rPr>
              <w:fldChar w:fldCharType="end"/>
            </w:r>
          </w:hyperlink>
        </w:p>
        <w:p w14:paraId="126A877C" w14:textId="3F6044F8" w:rsidR="00CF4B96" w:rsidRDefault="00CF4B96">
          <w:pPr>
            <w:pStyle w:val="Sadraj2"/>
            <w:rPr>
              <w:rFonts w:asciiTheme="minorHAnsi" w:hAnsiTheme="minorHAnsi"/>
              <w:noProof/>
              <w:color w:val="auto"/>
              <w:sz w:val="22"/>
              <w:szCs w:val="22"/>
              <w:lang w:eastAsia="hr-HR"/>
            </w:rPr>
          </w:pPr>
          <w:hyperlink w:anchor="_Toc85181362" w:history="1">
            <w:r w:rsidRPr="00130F56">
              <w:rPr>
                <w:rStyle w:val="Hiperveza"/>
                <w:noProof/>
              </w:rPr>
              <w:t>12.7. Integrirana i ekološka proizvodnja</w:t>
            </w:r>
            <w:r>
              <w:rPr>
                <w:noProof/>
                <w:webHidden/>
              </w:rPr>
              <w:tab/>
            </w:r>
            <w:r>
              <w:rPr>
                <w:noProof/>
                <w:webHidden/>
              </w:rPr>
              <w:fldChar w:fldCharType="begin"/>
            </w:r>
            <w:r>
              <w:rPr>
                <w:noProof/>
                <w:webHidden/>
              </w:rPr>
              <w:instrText xml:space="preserve"> PAGEREF _Toc85181362 \h </w:instrText>
            </w:r>
            <w:r>
              <w:rPr>
                <w:noProof/>
                <w:webHidden/>
              </w:rPr>
            </w:r>
            <w:r>
              <w:rPr>
                <w:noProof/>
                <w:webHidden/>
              </w:rPr>
              <w:fldChar w:fldCharType="separate"/>
            </w:r>
            <w:r>
              <w:rPr>
                <w:noProof/>
                <w:webHidden/>
              </w:rPr>
              <w:t>191</w:t>
            </w:r>
            <w:r>
              <w:rPr>
                <w:noProof/>
                <w:webHidden/>
              </w:rPr>
              <w:fldChar w:fldCharType="end"/>
            </w:r>
          </w:hyperlink>
        </w:p>
        <w:p w14:paraId="1BDC67AE" w14:textId="6FE15D1F" w:rsidR="00CF4B96" w:rsidRDefault="00CF4B96">
          <w:pPr>
            <w:pStyle w:val="Sadraj2"/>
            <w:rPr>
              <w:rFonts w:asciiTheme="minorHAnsi" w:hAnsiTheme="minorHAnsi"/>
              <w:noProof/>
              <w:color w:val="auto"/>
              <w:sz w:val="22"/>
              <w:szCs w:val="22"/>
              <w:lang w:eastAsia="hr-HR"/>
            </w:rPr>
          </w:pPr>
          <w:hyperlink w:anchor="_Toc85181363" w:history="1">
            <w:r w:rsidRPr="00130F56">
              <w:rPr>
                <w:rStyle w:val="Hiperveza"/>
                <w:noProof/>
              </w:rPr>
              <w:t>12.8. Prerada i trženje</w:t>
            </w:r>
            <w:r>
              <w:rPr>
                <w:noProof/>
                <w:webHidden/>
              </w:rPr>
              <w:tab/>
            </w:r>
            <w:r>
              <w:rPr>
                <w:noProof/>
                <w:webHidden/>
              </w:rPr>
              <w:fldChar w:fldCharType="begin"/>
            </w:r>
            <w:r>
              <w:rPr>
                <w:noProof/>
                <w:webHidden/>
              </w:rPr>
              <w:instrText xml:space="preserve"> PAGEREF _Toc85181363 \h </w:instrText>
            </w:r>
            <w:r>
              <w:rPr>
                <w:noProof/>
                <w:webHidden/>
              </w:rPr>
            </w:r>
            <w:r>
              <w:rPr>
                <w:noProof/>
                <w:webHidden/>
              </w:rPr>
              <w:fldChar w:fldCharType="separate"/>
            </w:r>
            <w:r>
              <w:rPr>
                <w:noProof/>
                <w:webHidden/>
              </w:rPr>
              <w:t>192</w:t>
            </w:r>
            <w:r>
              <w:rPr>
                <w:noProof/>
                <w:webHidden/>
              </w:rPr>
              <w:fldChar w:fldCharType="end"/>
            </w:r>
          </w:hyperlink>
        </w:p>
        <w:p w14:paraId="71824A8F" w14:textId="010C4F4A" w:rsidR="00CF4B96" w:rsidRDefault="00CF4B96">
          <w:pPr>
            <w:pStyle w:val="Sadraj2"/>
            <w:rPr>
              <w:rFonts w:asciiTheme="minorHAnsi" w:hAnsiTheme="minorHAnsi"/>
              <w:noProof/>
              <w:color w:val="auto"/>
              <w:sz w:val="22"/>
              <w:szCs w:val="22"/>
              <w:lang w:eastAsia="hr-HR"/>
            </w:rPr>
          </w:pPr>
          <w:hyperlink w:anchor="_Toc85181364" w:history="1">
            <w:r w:rsidRPr="00130F56">
              <w:rPr>
                <w:rStyle w:val="Hiperveza"/>
                <w:noProof/>
              </w:rPr>
              <w:t>12.9. Mjere potpore</w:t>
            </w:r>
            <w:r>
              <w:rPr>
                <w:noProof/>
                <w:webHidden/>
              </w:rPr>
              <w:tab/>
            </w:r>
            <w:r>
              <w:rPr>
                <w:noProof/>
                <w:webHidden/>
              </w:rPr>
              <w:fldChar w:fldCharType="begin"/>
            </w:r>
            <w:r>
              <w:rPr>
                <w:noProof/>
                <w:webHidden/>
              </w:rPr>
              <w:instrText xml:space="preserve"> PAGEREF _Toc85181364 \h </w:instrText>
            </w:r>
            <w:r>
              <w:rPr>
                <w:noProof/>
                <w:webHidden/>
              </w:rPr>
            </w:r>
            <w:r>
              <w:rPr>
                <w:noProof/>
                <w:webHidden/>
              </w:rPr>
              <w:fldChar w:fldCharType="separate"/>
            </w:r>
            <w:r>
              <w:rPr>
                <w:noProof/>
                <w:webHidden/>
              </w:rPr>
              <w:t>192</w:t>
            </w:r>
            <w:r>
              <w:rPr>
                <w:noProof/>
                <w:webHidden/>
              </w:rPr>
              <w:fldChar w:fldCharType="end"/>
            </w:r>
          </w:hyperlink>
        </w:p>
        <w:p w14:paraId="2E7353AD" w14:textId="4CB0CEF1" w:rsidR="00CF4B96" w:rsidRDefault="00CF4B96">
          <w:pPr>
            <w:pStyle w:val="Sadraj2"/>
            <w:rPr>
              <w:rFonts w:asciiTheme="minorHAnsi" w:hAnsiTheme="minorHAnsi"/>
              <w:noProof/>
              <w:color w:val="auto"/>
              <w:sz w:val="22"/>
              <w:szCs w:val="22"/>
              <w:lang w:eastAsia="hr-HR"/>
            </w:rPr>
          </w:pPr>
          <w:hyperlink w:anchor="_Toc85181365" w:history="1">
            <w:r w:rsidRPr="00130F56">
              <w:rPr>
                <w:rStyle w:val="Hiperveza"/>
                <w:noProof/>
              </w:rPr>
              <w:t>12.10. Učinci epidemioloških mjera na poljoprivrednu djelatnost</w:t>
            </w:r>
            <w:r>
              <w:rPr>
                <w:noProof/>
                <w:webHidden/>
              </w:rPr>
              <w:tab/>
            </w:r>
            <w:r>
              <w:rPr>
                <w:noProof/>
                <w:webHidden/>
              </w:rPr>
              <w:fldChar w:fldCharType="begin"/>
            </w:r>
            <w:r>
              <w:rPr>
                <w:noProof/>
                <w:webHidden/>
              </w:rPr>
              <w:instrText xml:space="preserve"> PAGEREF _Toc85181365 \h </w:instrText>
            </w:r>
            <w:r>
              <w:rPr>
                <w:noProof/>
                <w:webHidden/>
              </w:rPr>
            </w:r>
            <w:r>
              <w:rPr>
                <w:noProof/>
                <w:webHidden/>
              </w:rPr>
              <w:fldChar w:fldCharType="separate"/>
            </w:r>
            <w:r>
              <w:rPr>
                <w:noProof/>
                <w:webHidden/>
              </w:rPr>
              <w:t>193</w:t>
            </w:r>
            <w:r>
              <w:rPr>
                <w:noProof/>
                <w:webHidden/>
              </w:rPr>
              <w:fldChar w:fldCharType="end"/>
            </w:r>
          </w:hyperlink>
        </w:p>
        <w:p w14:paraId="195DD3EA" w14:textId="319B7F60" w:rsidR="00CF4B96" w:rsidRDefault="00CF4B96">
          <w:pPr>
            <w:pStyle w:val="Sadraj1"/>
            <w:tabs>
              <w:tab w:val="left" w:pos="660"/>
            </w:tabs>
            <w:rPr>
              <w:rFonts w:asciiTheme="minorHAnsi" w:eastAsiaTheme="minorEastAsia" w:hAnsiTheme="minorHAnsi"/>
              <w:color w:val="auto"/>
              <w:spacing w:val="0"/>
              <w:sz w:val="22"/>
              <w:szCs w:val="22"/>
              <w:lang w:eastAsia="hr-HR"/>
            </w:rPr>
          </w:pPr>
          <w:hyperlink w:anchor="_Toc85181366" w:history="1">
            <w:r w:rsidRPr="00130F56">
              <w:rPr>
                <w:rStyle w:val="Hiperveza"/>
              </w:rPr>
              <w:t>13.</w:t>
            </w:r>
            <w:r>
              <w:rPr>
                <w:rFonts w:asciiTheme="minorHAnsi" w:eastAsiaTheme="minorEastAsia" w:hAnsiTheme="minorHAnsi"/>
                <w:color w:val="auto"/>
                <w:spacing w:val="0"/>
                <w:sz w:val="22"/>
                <w:szCs w:val="22"/>
                <w:lang w:eastAsia="hr-HR"/>
              </w:rPr>
              <w:tab/>
            </w:r>
            <w:r w:rsidRPr="00130F56">
              <w:rPr>
                <w:rStyle w:val="Hiperveza"/>
              </w:rPr>
              <w:t>STANJE U OKOLIŠU</w:t>
            </w:r>
            <w:r>
              <w:rPr>
                <w:webHidden/>
              </w:rPr>
              <w:tab/>
            </w:r>
            <w:r>
              <w:rPr>
                <w:webHidden/>
              </w:rPr>
              <w:fldChar w:fldCharType="begin"/>
            </w:r>
            <w:r>
              <w:rPr>
                <w:webHidden/>
              </w:rPr>
              <w:instrText xml:space="preserve"> PAGEREF _Toc85181366 \h </w:instrText>
            </w:r>
            <w:r>
              <w:rPr>
                <w:webHidden/>
              </w:rPr>
            </w:r>
            <w:r>
              <w:rPr>
                <w:webHidden/>
              </w:rPr>
              <w:fldChar w:fldCharType="separate"/>
            </w:r>
            <w:r>
              <w:rPr>
                <w:webHidden/>
              </w:rPr>
              <w:t>196</w:t>
            </w:r>
            <w:r>
              <w:rPr>
                <w:webHidden/>
              </w:rPr>
              <w:fldChar w:fldCharType="end"/>
            </w:r>
          </w:hyperlink>
        </w:p>
        <w:p w14:paraId="3F977719" w14:textId="3DC3E294" w:rsidR="00CF4B96" w:rsidRDefault="00CF4B96">
          <w:pPr>
            <w:pStyle w:val="Sadraj2"/>
            <w:rPr>
              <w:rFonts w:asciiTheme="minorHAnsi" w:hAnsiTheme="minorHAnsi"/>
              <w:noProof/>
              <w:color w:val="auto"/>
              <w:sz w:val="22"/>
              <w:szCs w:val="22"/>
              <w:lang w:eastAsia="hr-HR"/>
            </w:rPr>
          </w:pPr>
          <w:hyperlink w:anchor="_Toc85181367" w:history="1">
            <w:r w:rsidRPr="00130F56">
              <w:rPr>
                <w:rStyle w:val="Hiperveza"/>
                <w:noProof/>
              </w:rPr>
              <w:t>13.1 Gospodarenje otpadom</w:t>
            </w:r>
            <w:r>
              <w:rPr>
                <w:noProof/>
                <w:webHidden/>
              </w:rPr>
              <w:tab/>
            </w:r>
            <w:r>
              <w:rPr>
                <w:noProof/>
                <w:webHidden/>
              </w:rPr>
              <w:fldChar w:fldCharType="begin"/>
            </w:r>
            <w:r>
              <w:rPr>
                <w:noProof/>
                <w:webHidden/>
              </w:rPr>
              <w:instrText xml:space="preserve"> PAGEREF _Toc85181367 \h </w:instrText>
            </w:r>
            <w:r>
              <w:rPr>
                <w:noProof/>
                <w:webHidden/>
              </w:rPr>
            </w:r>
            <w:r>
              <w:rPr>
                <w:noProof/>
                <w:webHidden/>
              </w:rPr>
              <w:fldChar w:fldCharType="separate"/>
            </w:r>
            <w:r>
              <w:rPr>
                <w:noProof/>
                <w:webHidden/>
              </w:rPr>
              <w:t>196</w:t>
            </w:r>
            <w:r>
              <w:rPr>
                <w:noProof/>
                <w:webHidden/>
              </w:rPr>
              <w:fldChar w:fldCharType="end"/>
            </w:r>
          </w:hyperlink>
        </w:p>
        <w:p w14:paraId="30C0D1AD" w14:textId="4E0EB20B" w:rsidR="00CF4B96" w:rsidRDefault="00CF4B96">
          <w:pPr>
            <w:pStyle w:val="Sadraj2"/>
            <w:rPr>
              <w:rFonts w:asciiTheme="minorHAnsi" w:hAnsiTheme="minorHAnsi"/>
              <w:noProof/>
              <w:color w:val="auto"/>
              <w:sz w:val="22"/>
              <w:szCs w:val="22"/>
              <w:lang w:eastAsia="hr-HR"/>
            </w:rPr>
          </w:pPr>
          <w:hyperlink w:anchor="_Toc85181368" w:history="1">
            <w:r w:rsidRPr="00130F56">
              <w:rPr>
                <w:rStyle w:val="Hiperveza"/>
                <w:noProof/>
              </w:rPr>
              <w:t>13.2. Kvaliteta zraka</w:t>
            </w:r>
            <w:r>
              <w:rPr>
                <w:noProof/>
                <w:webHidden/>
              </w:rPr>
              <w:tab/>
            </w:r>
            <w:r>
              <w:rPr>
                <w:noProof/>
                <w:webHidden/>
              </w:rPr>
              <w:fldChar w:fldCharType="begin"/>
            </w:r>
            <w:r>
              <w:rPr>
                <w:noProof/>
                <w:webHidden/>
              </w:rPr>
              <w:instrText xml:space="preserve"> PAGEREF _Toc85181368 \h </w:instrText>
            </w:r>
            <w:r>
              <w:rPr>
                <w:noProof/>
                <w:webHidden/>
              </w:rPr>
            </w:r>
            <w:r>
              <w:rPr>
                <w:noProof/>
                <w:webHidden/>
              </w:rPr>
              <w:fldChar w:fldCharType="separate"/>
            </w:r>
            <w:r>
              <w:rPr>
                <w:noProof/>
                <w:webHidden/>
              </w:rPr>
              <w:t>203</w:t>
            </w:r>
            <w:r>
              <w:rPr>
                <w:noProof/>
                <w:webHidden/>
              </w:rPr>
              <w:fldChar w:fldCharType="end"/>
            </w:r>
          </w:hyperlink>
        </w:p>
        <w:p w14:paraId="70389A49" w14:textId="7A1C6C81" w:rsidR="00CF4B96" w:rsidRDefault="00CF4B96">
          <w:pPr>
            <w:pStyle w:val="Sadraj2"/>
            <w:rPr>
              <w:rFonts w:asciiTheme="minorHAnsi" w:hAnsiTheme="minorHAnsi"/>
              <w:noProof/>
              <w:color w:val="auto"/>
              <w:sz w:val="22"/>
              <w:szCs w:val="22"/>
              <w:lang w:eastAsia="hr-HR"/>
            </w:rPr>
          </w:pPr>
          <w:hyperlink w:anchor="_Toc85181369" w:history="1">
            <w:r w:rsidRPr="00130F56">
              <w:rPr>
                <w:rStyle w:val="Hiperveza"/>
                <w:noProof/>
              </w:rPr>
              <w:t>13.3. Vodoopskrba</w:t>
            </w:r>
            <w:r>
              <w:rPr>
                <w:noProof/>
                <w:webHidden/>
              </w:rPr>
              <w:tab/>
            </w:r>
            <w:r>
              <w:rPr>
                <w:noProof/>
                <w:webHidden/>
              </w:rPr>
              <w:fldChar w:fldCharType="begin"/>
            </w:r>
            <w:r>
              <w:rPr>
                <w:noProof/>
                <w:webHidden/>
              </w:rPr>
              <w:instrText xml:space="preserve"> PAGEREF _Toc85181369 \h </w:instrText>
            </w:r>
            <w:r>
              <w:rPr>
                <w:noProof/>
                <w:webHidden/>
              </w:rPr>
            </w:r>
            <w:r>
              <w:rPr>
                <w:noProof/>
                <w:webHidden/>
              </w:rPr>
              <w:fldChar w:fldCharType="separate"/>
            </w:r>
            <w:r>
              <w:rPr>
                <w:noProof/>
                <w:webHidden/>
              </w:rPr>
              <w:t>204</w:t>
            </w:r>
            <w:r>
              <w:rPr>
                <w:noProof/>
                <w:webHidden/>
              </w:rPr>
              <w:fldChar w:fldCharType="end"/>
            </w:r>
          </w:hyperlink>
        </w:p>
        <w:p w14:paraId="4683C473" w14:textId="22E6B7AB" w:rsidR="00CF4B96" w:rsidRDefault="00CF4B96">
          <w:pPr>
            <w:pStyle w:val="Sadraj2"/>
            <w:rPr>
              <w:rFonts w:asciiTheme="minorHAnsi" w:hAnsiTheme="minorHAnsi"/>
              <w:noProof/>
              <w:color w:val="auto"/>
              <w:sz w:val="22"/>
              <w:szCs w:val="22"/>
              <w:lang w:eastAsia="hr-HR"/>
            </w:rPr>
          </w:pPr>
          <w:hyperlink w:anchor="_Toc85181370" w:history="1">
            <w:r w:rsidRPr="00130F56">
              <w:rPr>
                <w:rStyle w:val="Hiperveza"/>
                <w:noProof/>
              </w:rPr>
              <w:t>13.3.1. Gubitak vode u vodoopskrbi</w:t>
            </w:r>
            <w:r>
              <w:rPr>
                <w:noProof/>
                <w:webHidden/>
              </w:rPr>
              <w:tab/>
            </w:r>
            <w:r>
              <w:rPr>
                <w:noProof/>
                <w:webHidden/>
              </w:rPr>
              <w:fldChar w:fldCharType="begin"/>
            </w:r>
            <w:r>
              <w:rPr>
                <w:noProof/>
                <w:webHidden/>
              </w:rPr>
              <w:instrText xml:space="preserve"> PAGEREF _Toc85181370 \h </w:instrText>
            </w:r>
            <w:r>
              <w:rPr>
                <w:noProof/>
                <w:webHidden/>
              </w:rPr>
            </w:r>
            <w:r>
              <w:rPr>
                <w:noProof/>
                <w:webHidden/>
              </w:rPr>
              <w:fldChar w:fldCharType="separate"/>
            </w:r>
            <w:r>
              <w:rPr>
                <w:noProof/>
                <w:webHidden/>
              </w:rPr>
              <w:t>206</w:t>
            </w:r>
            <w:r>
              <w:rPr>
                <w:noProof/>
                <w:webHidden/>
              </w:rPr>
              <w:fldChar w:fldCharType="end"/>
            </w:r>
          </w:hyperlink>
        </w:p>
        <w:p w14:paraId="48145934" w14:textId="4C6E5D40" w:rsidR="00CF4B96" w:rsidRDefault="00CF4B96">
          <w:pPr>
            <w:pStyle w:val="Sadraj2"/>
            <w:rPr>
              <w:rFonts w:asciiTheme="minorHAnsi" w:hAnsiTheme="minorHAnsi"/>
              <w:noProof/>
              <w:color w:val="auto"/>
              <w:sz w:val="22"/>
              <w:szCs w:val="22"/>
              <w:lang w:eastAsia="hr-HR"/>
            </w:rPr>
          </w:pPr>
          <w:hyperlink w:anchor="_Toc85181371" w:history="1">
            <w:r w:rsidRPr="00130F56">
              <w:rPr>
                <w:rStyle w:val="Hiperveza"/>
                <w:noProof/>
              </w:rPr>
              <w:t>13.4. Odvodnja</w:t>
            </w:r>
            <w:r>
              <w:rPr>
                <w:noProof/>
                <w:webHidden/>
              </w:rPr>
              <w:tab/>
            </w:r>
            <w:r>
              <w:rPr>
                <w:noProof/>
                <w:webHidden/>
              </w:rPr>
              <w:fldChar w:fldCharType="begin"/>
            </w:r>
            <w:r>
              <w:rPr>
                <w:noProof/>
                <w:webHidden/>
              </w:rPr>
              <w:instrText xml:space="preserve"> PAGEREF _Toc85181371 \h </w:instrText>
            </w:r>
            <w:r>
              <w:rPr>
                <w:noProof/>
                <w:webHidden/>
              </w:rPr>
            </w:r>
            <w:r>
              <w:rPr>
                <w:noProof/>
                <w:webHidden/>
              </w:rPr>
              <w:fldChar w:fldCharType="separate"/>
            </w:r>
            <w:r>
              <w:rPr>
                <w:noProof/>
                <w:webHidden/>
              </w:rPr>
              <w:t>207</w:t>
            </w:r>
            <w:r>
              <w:rPr>
                <w:noProof/>
                <w:webHidden/>
              </w:rPr>
              <w:fldChar w:fldCharType="end"/>
            </w:r>
          </w:hyperlink>
        </w:p>
        <w:p w14:paraId="4FAEE92B" w14:textId="756C4A7C" w:rsidR="00CF4B96" w:rsidRDefault="00CF4B96">
          <w:pPr>
            <w:pStyle w:val="Sadraj2"/>
            <w:rPr>
              <w:rFonts w:asciiTheme="minorHAnsi" w:hAnsiTheme="minorHAnsi"/>
              <w:noProof/>
              <w:color w:val="auto"/>
              <w:sz w:val="22"/>
              <w:szCs w:val="22"/>
              <w:lang w:eastAsia="hr-HR"/>
            </w:rPr>
          </w:pPr>
          <w:hyperlink w:anchor="_Toc85181372" w:history="1">
            <w:r w:rsidRPr="00130F56">
              <w:rPr>
                <w:rStyle w:val="Hiperveza"/>
                <w:noProof/>
              </w:rPr>
              <w:t>13.3. Opskrba plinom</w:t>
            </w:r>
            <w:r>
              <w:rPr>
                <w:noProof/>
                <w:webHidden/>
              </w:rPr>
              <w:tab/>
            </w:r>
            <w:r>
              <w:rPr>
                <w:noProof/>
                <w:webHidden/>
              </w:rPr>
              <w:fldChar w:fldCharType="begin"/>
            </w:r>
            <w:r>
              <w:rPr>
                <w:noProof/>
                <w:webHidden/>
              </w:rPr>
              <w:instrText xml:space="preserve"> PAGEREF _Toc85181372 \h </w:instrText>
            </w:r>
            <w:r>
              <w:rPr>
                <w:noProof/>
                <w:webHidden/>
              </w:rPr>
            </w:r>
            <w:r>
              <w:rPr>
                <w:noProof/>
                <w:webHidden/>
              </w:rPr>
              <w:fldChar w:fldCharType="separate"/>
            </w:r>
            <w:r>
              <w:rPr>
                <w:noProof/>
                <w:webHidden/>
              </w:rPr>
              <w:t>209</w:t>
            </w:r>
            <w:r>
              <w:rPr>
                <w:noProof/>
                <w:webHidden/>
              </w:rPr>
              <w:fldChar w:fldCharType="end"/>
            </w:r>
          </w:hyperlink>
        </w:p>
        <w:p w14:paraId="04340931" w14:textId="35DFF23A" w:rsidR="00CF4B96" w:rsidRDefault="00CF4B96">
          <w:pPr>
            <w:pStyle w:val="Sadraj2"/>
            <w:rPr>
              <w:rFonts w:asciiTheme="minorHAnsi" w:hAnsiTheme="minorHAnsi"/>
              <w:noProof/>
              <w:color w:val="auto"/>
              <w:sz w:val="22"/>
              <w:szCs w:val="22"/>
              <w:lang w:eastAsia="hr-HR"/>
            </w:rPr>
          </w:pPr>
          <w:hyperlink w:anchor="_Toc85181373" w:history="1">
            <w:r w:rsidRPr="00130F56">
              <w:rPr>
                <w:rStyle w:val="Hiperveza"/>
                <w:noProof/>
              </w:rPr>
              <w:t>13.5. Opskrba električnom energijom</w:t>
            </w:r>
            <w:r>
              <w:rPr>
                <w:noProof/>
                <w:webHidden/>
              </w:rPr>
              <w:tab/>
            </w:r>
            <w:r>
              <w:rPr>
                <w:noProof/>
                <w:webHidden/>
              </w:rPr>
              <w:fldChar w:fldCharType="begin"/>
            </w:r>
            <w:r>
              <w:rPr>
                <w:noProof/>
                <w:webHidden/>
              </w:rPr>
              <w:instrText xml:space="preserve"> PAGEREF _Toc85181373 \h </w:instrText>
            </w:r>
            <w:r>
              <w:rPr>
                <w:noProof/>
                <w:webHidden/>
              </w:rPr>
            </w:r>
            <w:r>
              <w:rPr>
                <w:noProof/>
                <w:webHidden/>
              </w:rPr>
              <w:fldChar w:fldCharType="separate"/>
            </w:r>
            <w:r>
              <w:rPr>
                <w:noProof/>
                <w:webHidden/>
              </w:rPr>
              <w:t>211</w:t>
            </w:r>
            <w:r>
              <w:rPr>
                <w:noProof/>
                <w:webHidden/>
              </w:rPr>
              <w:fldChar w:fldCharType="end"/>
            </w:r>
          </w:hyperlink>
        </w:p>
        <w:p w14:paraId="5B5145DC" w14:textId="683C2B51" w:rsidR="00CF4B96" w:rsidRDefault="00CF4B96">
          <w:pPr>
            <w:pStyle w:val="Sadraj2"/>
            <w:rPr>
              <w:rFonts w:asciiTheme="minorHAnsi" w:hAnsiTheme="minorHAnsi"/>
              <w:noProof/>
              <w:color w:val="auto"/>
              <w:sz w:val="22"/>
              <w:szCs w:val="22"/>
              <w:lang w:eastAsia="hr-HR"/>
            </w:rPr>
          </w:pPr>
          <w:hyperlink w:anchor="_Toc85181374" w:history="1">
            <w:r w:rsidRPr="00130F56">
              <w:rPr>
                <w:rStyle w:val="Hiperveza"/>
                <w:noProof/>
              </w:rPr>
              <w:t>13.6. Obnovljivi izvori energije i energetska učinkovitost</w:t>
            </w:r>
            <w:r>
              <w:rPr>
                <w:noProof/>
                <w:webHidden/>
              </w:rPr>
              <w:tab/>
            </w:r>
            <w:r>
              <w:rPr>
                <w:noProof/>
                <w:webHidden/>
              </w:rPr>
              <w:fldChar w:fldCharType="begin"/>
            </w:r>
            <w:r>
              <w:rPr>
                <w:noProof/>
                <w:webHidden/>
              </w:rPr>
              <w:instrText xml:space="preserve"> PAGEREF _Toc85181374 \h </w:instrText>
            </w:r>
            <w:r>
              <w:rPr>
                <w:noProof/>
                <w:webHidden/>
              </w:rPr>
            </w:r>
            <w:r>
              <w:rPr>
                <w:noProof/>
                <w:webHidden/>
              </w:rPr>
              <w:fldChar w:fldCharType="separate"/>
            </w:r>
            <w:r>
              <w:rPr>
                <w:noProof/>
                <w:webHidden/>
              </w:rPr>
              <w:t>211</w:t>
            </w:r>
            <w:r>
              <w:rPr>
                <w:noProof/>
                <w:webHidden/>
              </w:rPr>
              <w:fldChar w:fldCharType="end"/>
            </w:r>
          </w:hyperlink>
        </w:p>
        <w:p w14:paraId="57F1F771" w14:textId="228351B9" w:rsidR="00CF4B96" w:rsidRDefault="00CF4B96">
          <w:pPr>
            <w:pStyle w:val="Sadraj3"/>
            <w:rPr>
              <w:rFonts w:asciiTheme="minorHAnsi" w:eastAsiaTheme="minorEastAsia" w:hAnsiTheme="minorHAnsi"/>
              <w:color w:val="auto"/>
              <w:sz w:val="22"/>
              <w:lang w:eastAsia="hr-HR"/>
            </w:rPr>
          </w:pPr>
          <w:hyperlink w:anchor="_Toc85181375" w:history="1">
            <w:r w:rsidRPr="00130F56">
              <w:rPr>
                <w:rStyle w:val="Hiperveza"/>
              </w:rPr>
              <w:t>13.6.1. Energija biomase</w:t>
            </w:r>
            <w:r>
              <w:rPr>
                <w:webHidden/>
              </w:rPr>
              <w:tab/>
            </w:r>
            <w:r>
              <w:rPr>
                <w:webHidden/>
              </w:rPr>
              <w:fldChar w:fldCharType="begin"/>
            </w:r>
            <w:r>
              <w:rPr>
                <w:webHidden/>
              </w:rPr>
              <w:instrText xml:space="preserve"> PAGEREF _Toc85181375 \h </w:instrText>
            </w:r>
            <w:r>
              <w:rPr>
                <w:webHidden/>
              </w:rPr>
            </w:r>
            <w:r>
              <w:rPr>
                <w:webHidden/>
              </w:rPr>
              <w:fldChar w:fldCharType="separate"/>
            </w:r>
            <w:r>
              <w:rPr>
                <w:webHidden/>
              </w:rPr>
              <w:t>211</w:t>
            </w:r>
            <w:r>
              <w:rPr>
                <w:webHidden/>
              </w:rPr>
              <w:fldChar w:fldCharType="end"/>
            </w:r>
          </w:hyperlink>
        </w:p>
        <w:p w14:paraId="78AE80D1" w14:textId="403E0F17" w:rsidR="00CF4B96" w:rsidRDefault="00CF4B96">
          <w:pPr>
            <w:pStyle w:val="Sadraj3"/>
            <w:rPr>
              <w:rFonts w:asciiTheme="minorHAnsi" w:eastAsiaTheme="minorEastAsia" w:hAnsiTheme="minorHAnsi"/>
              <w:color w:val="auto"/>
              <w:sz w:val="22"/>
              <w:lang w:eastAsia="hr-HR"/>
            </w:rPr>
          </w:pPr>
          <w:hyperlink w:anchor="_Toc85181376" w:history="1">
            <w:r w:rsidRPr="00130F56">
              <w:rPr>
                <w:rStyle w:val="Hiperveza"/>
              </w:rPr>
              <w:t>13.6.2. Geotermalna energija</w:t>
            </w:r>
            <w:r>
              <w:rPr>
                <w:webHidden/>
              </w:rPr>
              <w:tab/>
            </w:r>
            <w:r>
              <w:rPr>
                <w:webHidden/>
              </w:rPr>
              <w:fldChar w:fldCharType="begin"/>
            </w:r>
            <w:r>
              <w:rPr>
                <w:webHidden/>
              </w:rPr>
              <w:instrText xml:space="preserve"> PAGEREF _Toc85181376 \h </w:instrText>
            </w:r>
            <w:r>
              <w:rPr>
                <w:webHidden/>
              </w:rPr>
            </w:r>
            <w:r>
              <w:rPr>
                <w:webHidden/>
              </w:rPr>
              <w:fldChar w:fldCharType="separate"/>
            </w:r>
            <w:r>
              <w:rPr>
                <w:webHidden/>
              </w:rPr>
              <w:t>213</w:t>
            </w:r>
            <w:r>
              <w:rPr>
                <w:webHidden/>
              </w:rPr>
              <w:fldChar w:fldCharType="end"/>
            </w:r>
          </w:hyperlink>
        </w:p>
        <w:p w14:paraId="5990B8CD" w14:textId="6325CA0F" w:rsidR="00CF4B96" w:rsidRDefault="00CF4B96">
          <w:pPr>
            <w:pStyle w:val="Sadraj3"/>
            <w:rPr>
              <w:rFonts w:asciiTheme="minorHAnsi" w:eastAsiaTheme="minorEastAsia" w:hAnsiTheme="minorHAnsi"/>
              <w:color w:val="auto"/>
              <w:sz w:val="22"/>
              <w:lang w:eastAsia="hr-HR"/>
            </w:rPr>
          </w:pPr>
          <w:hyperlink w:anchor="_Toc85181377" w:history="1">
            <w:r w:rsidRPr="00130F56">
              <w:rPr>
                <w:rStyle w:val="Hiperveza"/>
              </w:rPr>
              <w:t>13.6.3. Sunčeva energija</w:t>
            </w:r>
            <w:r>
              <w:rPr>
                <w:webHidden/>
              </w:rPr>
              <w:tab/>
            </w:r>
            <w:r>
              <w:rPr>
                <w:webHidden/>
              </w:rPr>
              <w:fldChar w:fldCharType="begin"/>
            </w:r>
            <w:r>
              <w:rPr>
                <w:webHidden/>
              </w:rPr>
              <w:instrText xml:space="preserve"> PAGEREF _Toc85181377 \h </w:instrText>
            </w:r>
            <w:r>
              <w:rPr>
                <w:webHidden/>
              </w:rPr>
            </w:r>
            <w:r>
              <w:rPr>
                <w:webHidden/>
              </w:rPr>
              <w:fldChar w:fldCharType="separate"/>
            </w:r>
            <w:r>
              <w:rPr>
                <w:webHidden/>
              </w:rPr>
              <w:t>214</w:t>
            </w:r>
            <w:r>
              <w:rPr>
                <w:webHidden/>
              </w:rPr>
              <w:fldChar w:fldCharType="end"/>
            </w:r>
          </w:hyperlink>
        </w:p>
        <w:p w14:paraId="200E7973" w14:textId="50F8A030" w:rsidR="00CF4B96" w:rsidRDefault="00CF4B96">
          <w:pPr>
            <w:pStyle w:val="Sadraj3"/>
            <w:rPr>
              <w:rFonts w:asciiTheme="minorHAnsi" w:eastAsiaTheme="minorEastAsia" w:hAnsiTheme="minorHAnsi"/>
              <w:color w:val="auto"/>
              <w:sz w:val="22"/>
              <w:lang w:eastAsia="hr-HR"/>
            </w:rPr>
          </w:pPr>
          <w:hyperlink w:anchor="_Toc85181378" w:history="1">
            <w:r w:rsidRPr="00130F56">
              <w:rPr>
                <w:rStyle w:val="Hiperveza"/>
              </w:rPr>
              <w:t>13.6.4. Male hidroelektrane</w:t>
            </w:r>
            <w:r>
              <w:rPr>
                <w:webHidden/>
              </w:rPr>
              <w:tab/>
            </w:r>
            <w:r>
              <w:rPr>
                <w:webHidden/>
              </w:rPr>
              <w:fldChar w:fldCharType="begin"/>
            </w:r>
            <w:r>
              <w:rPr>
                <w:webHidden/>
              </w:rPr>
              <w:instrText xml:space="preserve"> PAGEREF _Toc85181378 \h </w:instrText>
            </w:r>
            <w:r>
              <w:rPr>
                <w:webHidden/>
              </w:rPr>
            </w:r>
            <w:r>
              <w:rPr>
                <w:webHidden/>
              </w:rPr>
              <w:fldChar w:fldCharType="separate"/>
            </w:r>
            <w:r>
              <w:rPr>
                <w:webHidden/>
              </w:rPr>
              <w:t>216</w:t>
            </w:r>
            <w:r>
              <w:rPr>
                <w:webHidden/>
              </w:rPr>
              <w:fldChar w:fldCharType="end"/>
            </w:r>
          </w:hyperlink>
        </w:p>
        <w:p w14:paraId="6655F69C" w14:textId="5A2E66B0" w:rsidR="00CF4B96" w:rsidRDefault="00CF4B96">
          <w:pPr>
            <w:pStyle w:val="Sadraj3"/>
            <w:rPr>
              <w:rFonts w:asciiTheme="minorHAnsi" w:eastAsiaTheme="minorEastAsia" w:hAnsiTheme="minorHAnsi"/>
              <w:color w:val="auto"/>
              <w:sz w:val="22"/>
              <w:lang w:eastAsia="hr-HR"/>
            </w:rPr>
          </w:pPr>
          <w:hyperlink w:anchor="_Toc85181379" w:history="1">
            <w:r w:rsidRPr="00130F56">
              <w:rPr>
                <w:rStyle w:val="Hiperveza"/>
              </w:rPr>
              <w:t>13.6.5. Vjetroelektrane</w:t>
            </w:r>
            <w:r>
              <w:rPr>
                <w:webHidden/>
              </w:rPr>
              <w:tab/>
            </w:r>
            <w:r>
              <w:rPr>
                <w:webHidden/>
              </w:rPr>
              <w:fldChar w:fldCharType="begin"/>
            </w:r>
            <w:r>
              <w:rPr>
                <w:webHidden/>
              </w:rPr>
              <w:instrText xml:space="preserve"> PAGEREF _Toc85181379 \h </w:instrText>
            </w:r>
            <w:r>
              <w:rPr>
                <w:webHidden/>
              </w:rPr>
            </w:r>
            <w:r>
              <w:rPr>
                <w:webHidden/>
              </w:rPr>
              <w:fldChar w:fldCharType="separate"/>
            </w:r>
            <w:r>
              <w:rPr>
                <w:webHidden/>
              </w:rPr>
              <w:t>218</w:t>
            </w:r>
            <w:r>
              <w:rPr>
                <w:webHidden/>
              </w:rPr>
              <w:fldChar w:fldCharType="end"/>
            </w:r>
          </w:hyperlink>
        </w:p>
        <w:p w14:paraId="0AE2A39B" w14:textId="6642A9A8" w:rsidR="00CF4B96" w:rsidRDefault="00CF4B96">
          <w:pPr>
            <w:pStyle w:val="Sadraj3"/>
            <w:rPr>
              <w:rFonts w:asciiTheme="minorHAnsi" w:eastAsiaTheme="minorEastAsia" w:hAnsiTheme="minorHAnsi"/>
              <w:color w:val="auto"/>
              <w:sz w:val="22"/>
              <w:lang w:eastAsia="hr-HR"/>
            </w:rPr>
          </w:pPr>
          <w:hyperlink w:anchor="_Toc85181380" w:history="1">
            <w:r w:rsidRPr="00130F56">
              <w:rPr>
                <w:rStyle w:val="Hiperveza"/>
              </w:rPr>
              <w:t>13.6.6. Energetska učinkovitost</w:t>
            </w:r>
            <w:r>
              <w:rPr>
                <w:webHidden/>
              </w:rPr>
              <w:tab/>
            </w:r>
            <w:r>
              <w:rPr>
                <w:webHidden/>
              </w:rPr>
              <w:fldChar w:fldCharType="begin"/>
            </w:r>
            <w:r>
              <w:rPr>
                <w:webHidden/>
              </w:rPr>
              <w:instrText xml:space="preserve"> PAGEREF _Toc85181380 \h </w:instrText>
            </w:r>
            <w:r>
              <w:rPr>
                <w:webHidden/>
              </w:rPr>
            </w:r>
            <w:r>
              <w:rPr>
                <w:webHidden/>
              </w:rPr>
              <w:fldChar w:fldCharType="separate"/>
            </w:r>
            <w:r>
              <w:rPr>
                <w:webHidden/>
              </w:rPr>
              <w:t>222</w:t>
            </w:r>
            <w:r>
              <w:rPr>
                <w:webHidden/>
              </w:rPr>
              <w:fldChar w:fldCharType="end"/>
            </w:r>
          </w:hyperlink>
        </w:p>
        <w:p w14:paraId="33AB181F" w14:textId="0340094C" w:rsidR="00CF4B96" w:rsidRDefault="00CF4B96">
          <w:pPr>
            <w:pStyle w:val="Sadraj2"/>
            <w:rPr>
              <w:rFonts w:asciiTheme="minorHAnsi" w:hAnsiTheme="minorHAnsi"/>
              <w:noProof/>
              <w:color w:val="auto"/>
              <w:sz w:val="22"/>
              <w:szCs w:val="22"/>
              <w:lang w:eastAsia="hr-HR"/>
            </w:rPr>
          </w:pPr>
          <w:hyperlink w:anchor="_Toc85181381" w:history="1">
            <w:r w:rsidRPr="00130F56">
              <w:rPr>
                <w:rStyle w:val="Hiperveza"/>
                <w:noProof/>
              </w:rPr>
              <w:t>13.7. Sigurnost stanovništva i izloženost klimatskim promjenama i prirodnim rizicima</w:t>
            </w:r>
            <w:r>
              <w:rPr>
                <w:noProof/>
                <w:webHidden/>
              </w:rPr>
              <w:tab/>
            </w:r>
            <w:r>
              <w:rPr>
                <w:noProof/>
                <w:webHidden/>
              </w:rPr>
              <w:fldChar w:fldCharType="begin"/>
            </w:r>
            <w:r>
              <w:rPr>
                <w:noProof/>
                <w:webHidden/>
              </w:rPr>
              <w:instrText xml:space="preserve"> PAGEREF _Toc85181381 \h </w:instrText>
            </w:r>
            <w:r>
              <w:rPr>
                <w:noProof/>
                <w:webHidden/>
              </w:rPr>
            </w:r>
            <w:r>
              <w:rPr>
                <w:noProof/>
                <w:webHidden/>
              </w:rPr>
              <w:fldChar w:fldCharType="separate"/>
            </w:r>
            <w:r>
              <w:rPr>
                <w:noProof/>
                <w:webHidden/>
              </w:rPr>
              <w:t>225</w:t>
            </w:r>
            <w:r>
              <w:rPr>
                <w:noProof/>
                <w:webHidden/>
              </w:rPr>
              <w:fldChar w:fldCharType="end"/>
            </w:r>
          </w:hyperlink>
        </w:p>
        <w:p w14:paraId="45C93A8C" w14:textId="373BBD08" w:rsidR="00CF4B96" w:rsidRDefault="00CF4B96">
          <w:pPr>
            <w:pStyle w:val="Sadraj3"/>
            <w:rPr>
              <w:rFonts w:asciiTheme="minorHAnsi" w:eastAsiaTheme="minorEastAsia" w:hAnsiTheme="minorHAnsi"/>
              <w:color w:val="auto"/>
              <w:sz w:val="22"/>
              <w:lang w:eastAsia="hr-HR"/>
            </w:rPr>
          </w:pPr>
          <w:hyperlink w:anchor="_Toc85181382" w:history="1">
            <w:r w:rsidRPr="00130F56">
              <w:rPr>
                <w:rStyle w:val="Hiperveza"/>
              </w:rPr>
              <w:t>13.7.1. Klizišta</w:t>
            </w:r>
            <w:r>
              <w:rPr>
                <w:webHidden/>
              </w:rPr>
              <w:tab/>
            </w:r>
            <w:r>
              <w:rPr>
                <w:webHidden/>
              </w:rPr>
              <w:fldChar w:fldCharType="begin"/>
            </w:r>
            <w:r>
              <w:rPr>
                <w:webHidden/>
              </w:rPr>
              <w:instrText xml:space="preserve"> PAGEREF _Toc85181382 \h </w:instrText>
            </w:r>
            <w:r>
              <w:rPr>
                <w:webHidden/>
              </w:rPr>
            </w:r>
            <w:r>
              <w:rPr>
                <w:webHidden/>
              </w:rPr>
              <w:fldChar w:fldCharType="separate"/>
            </w:r>
            <w:r>
              <w:rPr>
                <w:webHidden/>
              </w:rPr>
              <w:t>225</w:t>
            </w:r>
            <w:r>
              <w:rPr>
                <w:webHidden/>
              </w:rPr>
              <w:fldChar w:fldCharType="end"/>
            </w:r>
          </w:hyperlink>
        </w:p>
        <w:p w14:paraId="53D7EC2B" w14:textId="1474A0D8" w:rsidR="00CF4B96" w:rsidRDefault="00CF4B96">
          <w:pPr>
            <w:pStyle w:val="Sadraj3"/>
            <w:rPr>
              <w:rFonts w:asciiTheme="minorHAnsi" w:eastAsiaTheme="minorEastAsia" w:hAnsiTheme="minorHAnsi"/>
              <w:color w:val="auto"/>
              <w:sz w:val="22"/>
              <w:lang w:eastAsia="hr-HR"/>
            </w:rPr>
          </w:pPr>
          <w:hyperlink w:anchor="_Toc85181383" w:history="1">
            <w:r w:rsidRPr="00130F56">
              <w:rPr>
                <w:rStyle w:val="Hiperveza"/>
              </w:rPr>
              <w:t>13.7.2. Potresi</w:t>
            </w:r>
            <w:r>
              <w:rPr>
                <w:webHidden/>
              </w:rPr>
              <w:tab/>
            </w:r>
            <w:r>
              <w:rPr>
                <w:webHidden/>
              </w:rPr>
              <w:fldChar w:fldCharType="begin"/>
            </w:r>
            <w:r>
              <w:rPr>
                <w:webHidden/>
              </w:rPr>
              <w:instrText xml:space="preserve"> PAGEREF _Toc85181383 \h </w:instrText>
            </w:r>
            <w:r>
              <w:rPr>
                <w:webHidden/>
              </w:rPr>
            </w:r>
            <w:r>
              <w:rPr>
                <w:webHidden/>
              </w:rPr>
              <w:fldChar w:fldCharType="separate"/>
            </w:r>
            <w:r>
              <w:rPr>
                <w:webHidden/>
              </w:rPr>
              <w:t>226</w:t>
            </w:r>
            <w:r>
              <w:rPr>
                <w:webHidden/>
              </w:rPr>
              <w:fldChar w:fldCharType="end"/>
            </w:r>
          </w:hyperlink>
        </w:p>
        <w:p w14:paraId="1D8C0943" w14:textId="50C96889" w:rsidR="00CF4B96" w:rsidRDefault="00CF4B96">
          <w:pPr>
            <w:pStyle w:val="Sadraj3"/>
            <w:rPr>
              <w:rFonts w:asciiTheme="minorHAnsi" w:eastAsiaTheme="minorEastAsia" w:hAnsiTheme="minorHAnsi"/>
              <w:color w:val="auto"/>
              <w:sz w:val="22"/>
              <w:lang w:eastAsia="hr-HR"/>
            </w:rPr>
          </w:pPr>
          <w:hyperlink w:anchor="_Toc85181384" w:history="1">
            <w:r w:rsidRPr="00130F56">
              <w:rPr>
                <w:rStyle w:val="Hiperveza"/>
              </w:rPr>
              <w:t>13.7.3. Poplave</w:t>
            </w:r>
            <w:r>
              <w:rPr>
                <w:webHidden/>
              </w:rPr>
              <w:tab/>
            </w:r>
            <w:r>
              <w:rPr>
                <w:webHidden/>
              </w:rPr>
              <w:fldChar w:fldCharType="begin"/>
            </w:r>
            <w:r>
              <w:rPr>
                <w:webHidden/>
              </w:rPr>
              <w:instrText xml:space="preserve"> PAGEREF _Toc85181384 \h </w:instrText>
            </w:r>
            <w:r>
              <w:rPr>
                <w:webHidden/>
              </w:rPr>
            </w:r>
            <w:r>
              <w:rPr>
                <w:webHidden/>
              </w:rPr>
              <w:fldChar w:fldCharType="separate"/>
            </w:r>
            <w:r>
              <w:rPr>
                <w:webHidden/>
              </w:rPr>
              <w:t>227</w:t>
            </w:r>
            <w:r>
              <w:rPr>
                <w:webHidden/>
              </w:rPr>
              <w:fldChar w:fldCharType="end"/>
            </w:r>
          </w:hyperlink>
        </w:p>
        <w:p w14:paraId="204C0870" w14:textId="05C888B2" w:rsidR="00CF4B96" w:rsidRDefault="00CF4B96">
          <w:pPr>
            <w:pStyle w:val="Sadraj3"/>
            <w:rPr>
              <w:rFonts w:asciiTheme="minorHAnsi" w:eastAsiaTheme="minorEastAsia" w:hAnsiTheme="minorHAnsi"/>
              <w:color w:val="auto"/>
              <w:sz w:val="22"/>
              <w:lang w:eastAsia="hr-HR"/>
            </w:rPr>
          </w:pPr>
          <w:hyperlink w:anchor="_Toc85181385" w:history="1">
            <w:r w:rsidRPr="00130F56">
              <w:rPr>
                <w:rStyle w:val="Hiperveza"/>
              </w:rPr>
              <w:t>13.7.4. Epidemije i pandemije</w:t>
            </w:r>
            <w:r>
              <w:rPr>
                <w:webHidden/>
              </w:rPr>
              <w:tab/>
            </w:r>
            <w:r>
              <w:rPr>
                <w:webHidden/>
              </w:rPr>
              <w:fldChar w:fldCharType="begin"/>
            </w:r>
            <w:r>
              <w:rPr>
                <w:webHidden/>
              </w:rPr>
              <w:instrText xml:space="preserve"> PAGEREF _Toc85181385 \h </w:instrText>
            </w:r>
            <w:r>
              <w:rPr>
                <w:webHidden/>
              </w:rPr>
            </w:r>
            <w:r>
              <w:rPr>
                <w:webHidden/>
              </w:rPr>
              <w:fldChar w:fldCharType="separate"/>
            </w:r>
            <w:r>
              <w:rPr>
                <w:webHidden/>
              </w:rPr>
              <w:t>228</w:t>
            </w:r>
            <w:r>
              <w:rPr>
                <w:webHidden/>
              </w:rPr>
              <w:fldChar w:fldCharType="end"/>
            </w:r>
          </w:hyperlink>
        </w:p>
        <w:p w14:paraId="1FEC73E7" w14:textId="0A6C6171" w:rsidR="00CF4B96" w:rsidRDefault="00CF4B96">
          <w:pPr>
            <w:pStyle w:val="Sadraj2"/>
            <w:rPr>
              <w:rFonts w:asciiTheme="minorHAnsi" w:hAnsiTheme="minorHAnsi"/>
              <w:noProof/>
              <w:color w:val="auto"/>
              <w:sz w:val="22"/>
              <w:szCs w:val="22"/>
              <w:lang w:eastAsia="hr-HR"/>
            </w:rPr>
          </w:pPr>
          <w:hyperlink w:anchor="_Toc85181386" w:history="1">
            <w:r w:rsidRPr="00130F56">
              <w:rPr>
                <w:rStyle w:val="Hiperveza"/>
                <w:noProof/>
              </w:rPr>
              <w:t>13.8. Brownfield investicije i vojni objekti</w:t>
            </w:r>
            <w:r>
              <w:rPr>
                <w:noProof/>
                <w:webHidden/>
              </w:rPr>
              <w:tab/>
            </w:r>
            <w:r>
              <w:rPr>
                <w:noProof/>
                <w:webHidden/>
              </w:rPr>
              <w:fldChar w:fldCharType="begin"/>
            </w:r>
            <w:r>
              <w:rPr>
                <w:noProof/>
                <w:webHidden/>
              </w:rPr>
              <w:instrText xml:space="preserve"> PAGEREF _Toc85181386 \h </w:instrText>
            </w:r>
            <w:r>
              <w:rPr>
                <w:noProof/>
                <w:webHidden/>
              </w:rPr>
            </w:r>
            <w:r>
              <w:rPr>
                <w:noProof/>
                <w:webHidden/>
              </w:rPr>
              <w:fldChar w:fldCharType="separate"/>
            </w:r>
            <w:r>
              <w:rPr>
                <w:noProof/>
                <w:webHidden/>
              </w:rPr>
              <w:t>228</w:t>
            </w:r>
            <w:r>
              <w:rPr>
                <w:noProof/>
                <w:webHidden/>
              </w:rPr>
              <w:fldChar w:fldCharType="end"/>
            </w:r>
          </w:hyperlink>
        </w:p>
        <w:p w14:paraId="4D2715C5" w14:textId="7B648753" w:rsidR="00CF4B96" w:rsidRDefault="00CF4B96">
          <w:pPr>
            <w:pStyle w:val="Sadraj2"/>
            <w:rPr>
              <w:rFonts w:asciiTheme="minorHAnsi" w:hAnsiTheme="minorHAnsi"/>
              <w:noProof/>
              <w:color w:val="auto"/>
              <w:sz w:val="22"/>
              <w:szCs w:val="22"/>
              <w:lang w:eastAsia="hr-HR"/>
            </w:rPr>
          </w:pPr>
          <w:hyperlink w:anchor="_Toc85181387" w:history="1">
            <w:r w:rsidRPr="00130F56">
              <w:rPr>
                <w:rStyle w:val="Hiperveza"/>
                <w:noProof/>
              </w:rPr>
              <w:t>13.8.1. Vojni objekti</w:t>
            </w:r>
            <w:r>
              <w:rPr>
                <w:noProof/>
                <w:webHidden/>
              </w:rPr>
              <w:tab/>
            </w:r>
            <w:r>
              <w:rPr>
                <w:noProof/>
                <w:webHidden/>
              </w:rPr>
              <w:fldChar w:fldCharType="begin"/>
            </w:r>
            <w:r>
              <w:rPr>
                <w:noProof/>
                <w:webHidden/>
              </w:rPr>
              <w:instrText xml:space="preserve"> PAGEREF _Toc85181387 \h </w:instrText>
            </w:r>
            <w:r>
              <w:rPr>
                <w:noProof/>
                <w:webHidden/>
              </w:rPr>
            </w:r>
            <w:r>
              <w:rPr>
                <w:noProof/>
                <w:webHidden/>
              </w:rPr>
              <w:fldChar w:fldCharType="separate"/>
            </w:r>
            <w:r>
              <w:rPr>
                <w:noProof/>
                <w:webHidden/>
              </w:rPr>
              <w:t>231</w:t>
            </w:r>
            <w:r>
              <w:rPr>
                <w:noProof/>
                <w:webHidden/>
              </w:rPr>
              <w:fldChar w:fldCharType="end"/>
            </w:r>
          </w:hyperlink>
        </w:p>
        <w:p w14:paraId="6F7B10E3" w14:textId="2ADFEC8A" w:rsidR="00CF4B96" w:rsidRDefault="00CF4B96">
          <w:pPr>
            <w:pStyle w:val="Sadraj1"/>
            <w:tabs>
              <w:tab w:val="left" w:pos="660"/>
            </w:tabs>
            <w:rPr>
              <w:rFonts w:asciiTheme="minorHAnsi" w:eastAsiaTheme="minorEastAsia" w:hAnsiTheme="minorHAnsi"/>
              <w:color w:val="auto"/>
              <w:spacing w:val="0"/>
              <w:sz w:val="22"/>
              <w:szCs w:val="22"/>
              <w:lang w:eastAsia="hr-HR"/>
            </w:rPr>
          </w:pPr>
          <w:hyperlink w:anchor="_Toc85181388" w:history="1">
            <w:r w:rsidRPr="00130F56">
              <w:rPr>
                <w:rStyle w:val="Hiperveza"/>
              </w:rPr>
              <w:t>14.</w:t>
            </w:r>
            <w:r>
              <w:rPr>
                <w:rFonts w:asciiTheme="minorHAnsi" w:eastAsiaTheme="minorEastAsia" w:hAnsiTheme="minorHAnsi"/>
                <w:color w:val="auto"/>
                <w:spacing w:val="0"/>
                <w:sz w:val="22"/>
                <w:szCs w:val="22"/>
                <w:lang w:eastAsia="hr-HR"/>
              </w:rPr>
              <w:tab/>
            </w:r>
            <w:r w:rsidRPr="00130F56">
              <w:rPr>
                <w:rStyle w:val="Hiperveza"/>
              </w:rPr>
              <w:t>INSTITUCIONALNI OKVIR ZA UPRAVLJANJE RAZVOJEM</w:t>
            </w:r>
            <w:r>
              <w:rPr>
                <w:webHidden/>
              </w:rPr>
              <w:tab/>
            </w:r>
            <w:r>
              <w:rPr>
                <w:webHidden/>
              </w:rPr>
              <w:fldChar w:fldCharType="begin"/>
            </w:r>
            <w:r>
              <w:rPr>
                <w:webHidden/>
              </w:rPr>
              <w:instrText xml:space="preserve"> PAGEREF _Toc85181388 \h </w:instrText>
            </w:r>
            <w:r>
              <w:rPr>
                <w:webHidden/>
              </w:rPr>
            </w:r>
            <w:r>
              <w:rPr>
                <w:webHidden/>
              </w:rPr>
              <w:fldChar w:fldCharType="separate"/>
            </w:r>
            <w:r>
              <w:rPr>
                <w:webHidden/>
              </w:rPr>
              <w:t>234</w:t>
            </w:r>
            <w:r>
              <w:rPr>
                <w:webHidden/>
              </w:rPr>
              <w:fldChar w:fldCharType="end"/>
            </w:r>
          </w:hyperlink>
        </w:p>
        <w:p w14:paraId="5F43CB00" w14:textId="0EE041C2" w:rsidR="00CF4B96" w:rsidRDefault="00CF4B96">
          <w:pPr>
            <w:pStyle w:val="Sadraj2"/>
            <w:rPr>
              <w:rFonts w:asciiTheme="minorHAnsi" w:hAnsiTheme="minorHAnsi"/>
              <w:noProof/>
              <w:color w:val="auto"/>
              <w:sz w:val="22"/>
              <w:szCs w:val="22"/>
              <w:lang w:eastAsia="hr-HR"/>
            </w:rPr>
          </w:pPr>
          <w:hyperlink w:anchor="_Toc85181389" w:history="1">
            <w:r w:rsidRPr="00130F56">
              <w:rPr>
                <w:rStyle w:val="Hiperveza"/>
                <w:noProof/>
              </w:rPr>
              <w:t>14.1. Ključni dionici upravljanja razvojem Krapinsko zagorske županije</w:t>
            </w:r>
            <w:r>
              <w:rPr>
                <w:noProof/>
                <w:webHidden/>
              </w:rPr>
              <w:tab/>
            </w:r>
            <w:r>
              <w:rPr>
                <w:noProof/>
                <w:webHidden/>
              </w:rPr>
              <w:fldChar w:fldCharType="begin"/>
            </w:r>
            <w:r>
              <w:rPr>
                <w:noProof/>
                <w:webHidden/>
              </w:rPr>
              <w:instrText xml:space="preserve"> PAGEREF _Toc85181389 \h </w:instrText>
            </w:r>
            <w:r>
              <w:rPr>
                <w:noProof/>
                <w:webHidden/>
              </w:rPr>
            </w:r>
            <w:r>
              <w:rPr>
                <w:noProof/>
                <w:webHidden/>
              </w:rPr>
              <w:fldChar w:fldCharType="separate"/>
            </w:r>
            <w:r>
              <w:rPr>
                <w:noProof/>
                <w:webHidden/>
              </w:rPr>
              <w:t>234</w:t>
            </w:r>
            <w:r>
              <w:rPr>
                <w:noProof/>
                <w:webHidden/>
              </w:rPr>
              <w:fldChar w:fldCharType="end"/>
            </w:r>
          </w:hyperlink>
        </w:p>
        <w:p w14:paraId="46CFA6A0" w14:textId="4BFFD73D" w:rsidR="00CF4B96" w:rsidRDefault="00CF4B96">
          <w:pPr>
            <w:pStyle w:val="Sadraj2"/>
            <w:rPr>
              <w:rFonts w:asciiTheme="minorHAnsi" w:hAnsiTheme="minorHAnsi"/>
              <w:noProof/>
              <w:color w:val="auto"/>
              <w:sz w:val="22"/>
              <w:szCs w:val="22"/>
              <w:lang w:eastAsia="hr-HR"/>
            </w:rPr>
          </w:pPr>
          <w:hyperlink w:anchor="_Toc85181390" w:history="1">
            <w:r w:rsidRPr="00130F56">
              <w:rPr>
                <w:rStyle w:val="Hiperveza"/>
                <w:noProof/>
              </w:rPr>
              <w:t>14.2. Analiza kapaciteta dionika za upravljanje razvojem KZŽ</w:t>
            </w:r>
            <w:r>
              <w:rPr>
                <w:noProof/>
                <w:webHidden/>
              </w:rPr>
              <w:tab/>
            </w:r>
            <w:r>
              <w:rPr>
                <w:noProof/>
                <w:webHidden/>
              </w:rPr>
              <w:fldChar w:fldCharType="begin"/>
            </w:r>
            <w:r>
              <w:rPr>
                <w:noProof/>
                <w:webHidden/>
              </w:rPr>
              <w:instrText xml:space="preserve"> PAGEREF _Toc85181390 \h </w:instrText>
            </w:r>
            <w:r>
              <w:rPr>
                <w:noProof/>
                <w:webHidden/>
              </w:rPr>
            </w:r>
            <w:r>
              <w:rPr>
                <w:noProof/>
                <w:webHidden/>
              </w:rPr>
              <w:fldChar w:fldCharType="separate"/>
            </w:r>
            <w:r>
              <w:rPr>
                <w:noProof/>
                <w:webHidden/>
              </w:rPr>
              <w:t>236</w:t>
            </w:r>
            <w:r>
              <w:rPr>
                <w:noProof/>
                <w:webHidden/>
              </w:rPr>
              <w:fldChar w:fldCharType="end"/>
            </w:r>
          </w:hyperlink>
        </w:p>
        <w:p w14:paraId="273829FC" w14:textId="2DF8A7BE" w:rsidR="00CF4B96" w:rsidRDefault="00CF4B96">
          <w:pPr>
            <w:pStyle w:val="Sadraj2"/>
            <w:rPr>
              <w:rFonts w:asciiTheme="minorHAnsi" w:hAnsiTheme="minorHAnsi"/>
              <w:noProof/>
              <w:color w:val="auto"/>
              <w:sz w:val="22"/>
              <w:szCs w:val="22"/>
              <w:lang w:eastAsia="hr-HR"/>
            </w:rPr>
          </w:pPr>
          <w:hyperlink w:anchor="_Toc85181391" w:history="1">
            <w:r w:rsidRPr="00130F56">
              <w:rPr>
                <w:rStyle w:val="Hiperveza"/>
                <w:noProof/>
              </w:rPr>
              <w:t>14.3. Korištenje europskih fondova</w:t>
            </w:r>
            <w:r>
              <w:rPr>
                <w:noProof/>
                <w:webHidden/>
              </w:rPr>
              <w:tab/>
            </w:r>
            <w:r>
              <w:rPr>
                <w:noProof/>
                <w:webHidden/>
              </w:rPr>
              <w:fldChar w:fldCharType="begin"/>
            </w:r>
            <w:r>
              <w:rPr>
                <w:noProof/>
                <w:webHidden/>
              </w:rPr>
              <w:instrText xml:space="preserve"> PAGEREF _Toc85181391 \h </w:instrText>
            </w:r>
            <w:r>
              <w:rPr>
                <w:noProof/>
                <w:webHidden/>
              </w:rPr>
            </w:r>
            <w:r>
              <w:rPr>
                <w:noProof/>
                <w:webHidden/>
              </w:rPr>
              <w:fldChar w:fldCharType="separate"/>
            </w:r>
            <w:r>
              <w:rPr>
                <w:noProof/>
                <w:webHidden/>
              </w:rPr>
              <w:t>238</w:t>
            </w:r>
            <w:r>
              <w:rPr>
                <w:noProof/>
                <w:webHidden/>
              </w:rPr>
              <w:fldChar w:fldCharType="end"/>
            </w:r>
          </w:hyperlink>
        </w:p>
        <w:p w14:paraId="30AF6491" w14:textId="32F03DCF" w:rsidR="00CF4B96" w:rsidRDefault="00CF4B96">
          <w:pPr>
            <w:pStyle w:val="Sadraj2"/>
            <w:rPr>
              <w:rFonts w:asciiTheme="minorHAnsi" w:hAnsiTheme="minorHAnsi"/>
              <w:noProof/>
              <w:color w:val="auto"/>
              <w:sz w:val="22"/>
              <w:szCs w:val="22"/>
              <w:lang w:eastAsia="hr-HR"/>
            </w:rPr>
          </w:pPr>
          <w:hyperlink w:anchor="_Toc85181392" w:history="1">
            <w:r w:rsidRPr="00130F56">
              <w:rPr>
                <w:rStyle w:val="Hiperveza"/>
                <w:noProof/>
              </w:rPr>
              <w:t>14.3. 1. Analiza projekata Krapinsko-zagorske županije</w:t>
            </w:r>
            <w:r>
              <w:rPr>
                <w:noProof/>
                <w:webHidden/>
              </w:rPr>
              <w:tab/>
            </w:r>
            <w:r>
              <w:rPr>
                <w:noProof/>
                <w:webHidden/>
              </w:rPr>
              <w:fldChar w:fldCharType="begin"/>
            </w:r>
            <w:r>
              <w:rPr>
                <w:noProof/>
                <w:webHidden/>
              </w:rPr>
              <w:instrText xml:space="preserve"> PAGEREF _Toc85181392 \h </w:instrText>
            </w:r>
            <w:r>
              <w:rPr>
                <w:noProof/>
                <w:webHidden/>
              </w:rPr>
            </w:r>
            <w:r>
              <w:rPr>
                <w:noProof/>
                <w:webHidden/>
              </w:rPr>
              <w:fldChar w:fldCharType="separate"/>
            </w:r>
            <w:r>
              <w:rPr>
                <w:noProof/>
                <w:webHidden/>
              </w:rPr>
              <w:t>240</w:t>
            </w:r>
            <w:r>
              <w:rPr>
                <w:noProof/>
                <w:webHidden/>
              </w:rPr>
              <w:fldChar w:fldCharType="end"/>
            </w:r>
          </w:hyperlink>
        </w:p>
        <w:p w14:paraId="53B1D51C" w14:textId="6766395F" w:rsidR="00CF4B96" w:rsidRDefault="00CF4B96">
          <w:pPr>
            <w:pStyle w:val="Sadraj1"/>
            <w:tabs>
              <w:tab w:val="left" w:pos="660"/>
            </w:tabs>
            <w:rPr>
              <w:rFonts w:asciiTheme="minorHAnsi" w:eastAsiaTheme="minorEastAsia" w:hAnsiTheme="minorHAnsi"/>
              <w:color w:val="auto"/>
              <w:spacing w:val="0"/>
              <w:sz w:val="22"/>
              <w:szCs w:val="22"/>
              <w:lang w:eastAsia="hr-HR"/>
            </w:rPr>
          </w:pPr>
          <w:hyperlink w:anchor="_Toc85181393" w:history="1">
            <w:r w:rsidRPr="00130F56">
              <w:rPr>
                <w:rStyle w:val="Hiperveza"/>
              </w:rPr>
              <w:t>15.</w:t>
            </w:r>
            <w:r>
              <w:rPr>
                <w:rFonts w:asciiTheme="minorHAnsi" w:eastAsiaTheme="minorEastAsia" w:hAnsiTheme="minorHAnsi"/>
                <w:color w:val="auto"/>
                <w:spacing w:val="0"/>
                <w:sz w:val="22"/>
                <w:szCs w:val="22"/>
                <w:lang w:eastAsia="hr-HR"/>
              </w:rPr>
              <w:tab/>
            </w:r>
            <w:r w:rsidRPr="00130F56">
              <w:rPr>
                <w:rStyle w:val="Hiperveza"/>
              </w:rPr>
              <w:t>SWOT analiza Krapinsko-zagorske županije</w:t>
            </w:r>
            <w:r>
              <w:rPr>
                <w:webHidden/>
              </w:rPr>
              <w:tab/>
            </w:r>
            <w:r>
              <w:rPr>
                <w:webHidden/>
              </w:rPr>
              <w:fldChar w:fldCharType="begin"/>
            </w:r>
            <w:r>
              <w:rPr>
                <w:webHidden/>
              </w:rPr>
              <w:instrText xml:space="preserve"> PAGEREF _Toc85181393 \h </w:instrText>
            </w:r>
            <w:r>
              <w:rPr>
                <w:webHidden/>
              </w:rPr>
            </w:r>
            <w:r>
              <w:rPr>
                <w:webHidden/>
              </w:rPr>
              <w:fldChar w:fldCharType="separate"/>
            </w:r>
            <w:r>
              <w:rPr>
                <w:webHidden/>
              </w:rPr>
              <w:t>246</w:t>
            </w:r>
            <w:r>
              <w:rPr>
                <w:webHidden/>
              </w:rPr>
              <w:fldChar w:fldCharType="end"/>
            </w:r>
          </w:hyperlink>
        </w:p>
        <w:p w14:paraId="62790FE2" w14:textId="6849631E" w:rsidR="00B947C0" w:rsidRPr="006744F1" w:rsidRDefault="008878A0" w:rsidP="006744F1">
          <w:pPr>
            <w:rPr>
              <w:rFonts w:eastAsiaTheme="minorHAnsi"/>
            </w:rPr>
            <w:sectPr w:rsidR="00B947C0" w:rsidRPr="006744F1" w:rsidSect="005514E8">
              <w:footerReference w:type="default" r:id="rId9"/>
              <w:type w:val="continuous"/>
              <w:pgSz w:w="11900" w:h="16840"/>
              <w:pgMar w:top="1340" w:right="1300" w:bottom="280" w:left="1300" w:header="0" w:footer="1006" w:gutter="0"/>
              <w:pgNumType w:fmt="upperRoman" w:start="1"/>
              <w:cols w:space="720"/>
            </w:sectPr>
          </w:pPr>
          <w:r w:rsidRPr="00C729AA">
            <w:rPr>
              <w:b/>
              <w:bCs/>
              <w:noProof/>
            </w:rPr>
            <w:fldChar w:fldCharType="end"/>
          </w:r>
        </w:p>
      </w:sdtContent>
    </w:sdt>
    <w:p w14:paraId="54C4BDB7" w14:textId="53537290" w:rsidR="002D61C0" w:rsidRDefault="002D61C0" w:rsidP="001B1365">
      <w:pPr>
        <w:pStyle w:val="Naslov1"/>
        <w:numPr>
          <w:ilvl w:val="0"/>
          <w:numId w:val="0"/>
        </w:numPr>
        <w:ind w:left="456" w:hanging="456"/>
        <w:rPr>
          <w:rStyle w:val="NASLOV"/>
        </w:rPr>
      </w:pPr>
      <w:bookmarkStart w:id="4" w:name="_Toc85181266"/>
      <w:r>
        <w:rPr>
          <w:rStyle w:val="NASLOV"/>
        </w:rPr>
        <w:lastRenderedPageBreak/>
        <w:t>Popis kratica</w:t>
      </w:r>
      <w:bookmarkEnd w:id="4"/>
    </w:p>
    <w:p w14:paraId="410B7A16" w14:textId="70577488" w:rsidR="00F70111" w:rsidRDefault="00F70111" w:rsidP="002D61C0"/>
    <w:tbl>
      <w:tblPr>
        <w:tblW w:w="9037" w:type="dxa"/>
        <w:tblLook w:val="04A0" w:firstRow="1" w:lastRow="0" w:firstColumn="1" w:lastColumn="0" w:noHBand="0" w:noVBand="1"/>
      </w:tblPr>
      <w:tblGrid>
        <w:gridCol w:w="960"/>
        <w:gridCol w:w="8077"/>
      </w:tblGrid>
      <w:tr w:rsidR="00F70111" w:rsidRPr="00F70111" w14:paraId="07A58801" w14:textId="77777777" w:rsidTr="24AC45C6">
        <w:trPr>
          <w:trHeight w:val="288"/>
        </w:trPr>
        <w:tc>
          <w:tcPr>
            <w:tcW w:w="960" w:type="dxa"/>
            <w:tcBorders>
              <w:top w:val="nil"/>
              <w:left w:val="nil"/>
              <w:bottom w:val="nil"/>
              <w:right w:val="nil"/>
            </w:tcBorders>
            <w:shd w:val="clear" w:color="auto" w:fill="auto"/>
            <w:noWrap/>
            <w:vAlign w:val="bottom"/>
            <w:hideMark/>
          </w:tcPr>
          <w:p w14:paraId="28878DE3"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BDP </w:t>
            </w:r>
          </w:p>
        </w:tc>
        <w:tc>
          <w:tcPr>
            <w:tcW w:w="8077" w:type="dxa"/>
            <w:tcBorders>
              <w:top w:val="nil"/>
              <w:left w:val="nil"/>
              <w:bottom w:val="nil"/>
              <w:right w:val="nil"/>
            </w:tcBorders>
            <w:shd w:val="clear" w:color="auto" w:fill="auto"/>
            <w:noWrap/>
            <w:vAlign w:val="bottom"/>
            <w:hideMark/>
          </w:tcPr>
          <w:p w14:paraId="735B10EF"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Bruto domaći proizvod</w:t>
            </w:r>
          </w:p>
        </w:tc>
      </w:tr>
      <w:tr w:rsidR="00F70111" w:rsidRPr="00F70111" w14:paraId="0FB19EE8" w14:textId="77777777" w:rsidTr="24AC45C6">
        <w:trPr>
          <w:trHeight w:val="288"/>
        </w:trPr>
        <w:tc>
          <w:tcPr>
            <w:tcW w:w="960" w:type="dxa"/>
            <w:tcBorders>
              <w:top w:val="nil"/>
              <w:left w:val="nil"/>
              <w:bottom w:val="nil"/>
              <w:right w:val="nil"/>
            </w:tcBorders>
            <w:shd w:val="clear" w:color="auto" w:fill="auto"/>
            <w:noWrap/>
            <w:vAlign w:val="bottom"/>
            <w:hideMark/>
          </w:tcPr>
          <w:p w14:paraId="745F467B"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CARNET</w:t>
            </w:r>
          </w:p>
        </w:tc>
        <w:tc>
          <w:tcPr>
            <w:tcW w:w="8077" w:type="dxa"/>
            <w:tcBorders>
              <w:top w:val="nil"/>
              <w:left w:val="nil"/>
              <w:bottom w:val="nil"/>
              <w:right w:val="nil"/>
            </w:tcBorders>
            <w:shd w:val="clear" w:color="auto" w:fill="auto"/>
            <w:noWrap/>
            <w:vAlign w:val="bottom"/>
            <w:hideMark/>
          </w:tcPr>
          <w:p w14:paraId="061FDEC3"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(engl. Croatian Academic and Research Network) Hrvatska akademska i istraživačka mreža</w:t>
            </w:r>
          </w:p>
        </w:tc>
      </w:tr>
      <w:tr w:rsidR="00F70111" w:rsidRPr="00F70111" w14:paraId="6DCC013F" w14:textId="77777777" w:rsidTr="24AC45C6">
        <w:trPr>
          <w:trHeight w:val="288"/>
        </w:trPr>
        <w:tc>
          <w:tcPr>
            <w:tcW w:w="960" w:type="dxa"/>
            <w:tcBorders>
              <w:top w:val="nil"/>
              <w:left w:val="nil"/>
              <w:bottom w:val="nil"/>
              <w:right w:val="nil"/>
            </w:tcBorders>
            <w:shd w:val="clear" w:color="auto" w:fill="auto"/>
            <w:noWrap/>
            <w:vAlign w:val="bottom"/>
            <w:hideMark/>
          </w:tcPr>
          <w:p w14:paraId="2C29E95F"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CZSS</w:t>
            </w:r>
          </w:p>
        </w:tc>
        <w:tc>
          <w:tcPr>
            <w:tcW w:w="8077" w:type="dxa"/>
            <w:tcBorders>
              <w:top w:val="nil"/>
              <w:left w:val="nil"/>
              <w:bottom w:val="nil"/>
              <w:right w:val="nil"/>
            </w:tcBorders>
            <w:shd w:val="clear" w:color="auto" w:fill="auto"/>
            <w:noWrap/>
            <w:vAlign w:val="bottom"/>
            <w:hideMark/>
          </w:tcPr>
          <w:p w14:paraId="5EEAB91A"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Centar za socijalnu skrb</w:t>
            </w:r>
          </w:p>
        </w:tc>
      </w:tr>
      <w:tr w:rsidR="00F70111" w:rsidRPr="00F70111" w14:paraId="50C21BF9" w14:textId="77777777" w:rsidTr="24AC45C6">
        <w:trPr>
          <w:trHeight w:val="288"/>
        </w:trPr>
        <w:tc>
          <w:tcPr>
            <w:tcW w:w="960" w:type="dxa"/>
            <w:tcBorders>
              <w:top w:val="nil"/>
              <w:left w:val="nil"/>
              <w:bottom w:val="nil"/>
              <w:right w:val="nil"/>
            </w:tcBorders>
            <w:shd w:val="clear" w:color="auto" w:fill="auto"/>
            <w:noWrap/>
            <w:vAlign w:val="bottom"/>
            <w:hideMark/>
          </w:tcPr>
          <w:p w14:paraId="4658AFD1"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DV</w:t>
            </w:r>
          </w:p>
        </w:tc>
        <w:tc>
          <w:tcPr>
            <w:tcW w:w="8077" w:type="dxa"/>
            <w:tcBorders>
              <w:top w:val="nil"/>
              <w:left w:val="nil"/>
              <w:bottom w:val="nil"/>
              <w:right w:val="nil"/>
            </w:tcBorders>
            <w:shd w:val="clear" w:color="auto" w:fill="auto"/>
            <w:noWrap/>
            <w:vAlign w:val="bottom"/>
            <w:hideMark/>
          </w:tcPr>
          <w:p w14:paraId="535DCE59"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Dječji vrtić </w:t>
            </w:r>
          </w:p>
        </w:tc>
      </w:tr>
      <w:tr w:rsidR="00F70111" w:rsidRPr="00F70111" w14:paraId="64CCE576" w14:textId="77777777" w:rsidTr="24AC45C6">
        <w:trPr>
          <w:trHeight w:val="288"/>
        </w:trPr>
        <w:tc>
          <w:tcPr>
            <w:tcW w:w="960" w:type="dxa"/>
            <w:tcBorders>
              <w:top w:val="nil"/>
              <w:left w:val="nil"/>
              <w:bottom w:val="nil"/>
              <w:right w:val="nil"/>
            </w:tcBorders>
            <w:shd w:val="clear" w:color="auto" w:fill="auto"/>
            <w:noWrap/>
            <w:vAlign w:val="bottom"/>
            <w:hideMark/>
          </w:tcPr>
          <w:p w14:paraId="41B81206"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DZS</w:t>
            </w:r>
          </w:p>
        </w:tc>
        <w:tc>
          <w:tcPr>
            <w:tcW w:w="8077" w:type="dxa"/>
            <w:tcBorders>
              <w:top w:val="nil"/>
              <w:left w:val="nil"/>
              <w:bottom w:val="nil"/>
              <w:right w:val="nil"/>
            </w:tcBorders>
            <w:shd w:val="clear" w:color="auto" w:fill="auto"/>
            <w:noWrap/>
            <w:vAlign w:val="bottom"/>
            <w:hideMark/>
          </w:tcPr>
          <w:p w14:paraId="4D983F9A"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Državni zavod za statistiku</w:t>
            </w:r>
          </w:p>
        </w:tc>
      </w:tr>
      <w:tr w:rsidR="00F70111" w:rsidRPr="00F70111" w14:paraId="613BCF7D" w14:textId="77777777" w:rsidTr="24AC45C6">
        <w:trPr>
          <w:trHeight w:val="288"/>
        </w:trPr>
        <w:tc>
          <w:tcPr>
            <w:tcW w:w="960" w:type="dxa"/>
            <w:tcBorders>
              <w:top w:val="nil"/>
              <w:left w:val="nil"/>
              <w:bottom w:val="nil"/>
              <w:right w:val="nil"/>
            </w:tcBorders>
            <w:shd w:val="clear" w:color="auto" w:fill="auto"/>
            <w:noWrap/>
            <w:vAlign w:val="bottom"/>
            <w:hideMark/>
          </w:tcPr>
          <w:p w14:paraId="238BDD00"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EU </w:t>
            </w:r>
          </w:p>
        </w:tc>
        <w:tc>
          <w:tcPr>
            <w:tcW w:w="8077" w:type="dxa"/>
            <w:tcBorders>
              <w:top w:val="nil"/>
              <w:left w:val="nil"/>
              <w:bottom w:val="nil"/>
              <w:right w:val="nil"/>
            </w:tcBorders>
            <w:shd w:val="clear" w:color="auto" w:fill="auto"/>
            <w:noWrap/>
            <w:vAlign w:val="bottom"/>
            <w:hideMark/>
          </w:tcPr>
          <w:p w14:paraId="47AA0983"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Europska unija</w:t>
            </w:r>
          </w:p>
        </w:tc>
      </w:tr>
      <w:tr w:rsidR="0031510B" w:rsidRPr="00F70111" w14:paraId="05AD7B39" w14:textId="77777777" w:rsidTr="24AC45C6">
        <w:trPr>
          <w:trHeight w:val="288"/>
        </w:trPr>
        <w:tc>
          <w:tcPr>
            <w:tcW w:w="960" w:type="dxa"/>
            <w:tcBorders>
              <w:top w:val="nil"/>
              <w:left w:val="nil"/>
              <w:bottom w:val="nil"/>
              <w:right w:val="nil"/>
            </w:tcBorders>
            <w:shd w:val="clear" w:color="auto" w:fill="auto"/>
            <w:noWrap/>
            <w:vAlign w:val="bottom"/>
          </w:tcPr>
          <w:p w14:paraId="365C624B" w14:textId="6582C713" w:rsidR="0031510B" w:rsidRPr="00F70111" w:rsidRDefault="0031510B" w:rsidP="00F70111">
            <w:pPr>
              <w:spacing w:after="0" w:line="240" w:lineRule="auto"/>
              <w:jc w:val="left"/>
              <w:rPr>
                <w:rFonts w:eastAsia="ArialNarrow" w:cstheme="minorHAnsi"/>
              </w:rPr>
            </w:pPr>
            <w:r>
              <w:rPr>
                <w:rFonts w:eastAsia="ArialNarrow" w:cstheme="minorHAnsi"/>
              </w:rPr>
              <w:t>GP</w:t>
            </w:r>
          </w:p>
        </w:tc>
        <w:tc>
          <w:tcPr>
            <w:tcW w:w="8077" w:type="dxa"/>
            <w:tcBorders>
              <w:top w:val="nil"/>
              <w:left w:val="nil"/>
              <w:bottom w:val="nil"/>
              <w:right w:val="nil"/>
            </w:tcBorders>
            <w:shd w:val="clear" w:color="auto" w:fill="auto"/>
            <w:noWrap/>
            <w:vAlign w:val="bottom"/>
          </w:tcPr>
          <w:p w14:paraId="1133A77F" w14:textId="22D9DFAC" w:rsidR="0031510B" w:rsidRPr="00F70111" w:rsidRDefault="0031510B" w:rsidP="00F70111">
            <w:pPr>
              <w:spacing w:after="0" w:line="240" w:lineRule="auto"/>
              <w:jc w:val="left"/>
              <w:rPr>
                <w:rFonts w:eastAsia="ArialNarrow" w:cstheme="minorHAnsi"/>
              </w:rPr>
            </w:pPr>
            <w:r>
              <w:rPr>
                <w:rFonts w:eastAsia="ArialNarrow" w:cstheme="minorHAnsi"/>
              </w:rPr>
              <w:t>Granični prijelaz</w:t>
            </w:r>
          </w:p>
        </w:tc>
      </w:tr>
      <w:tr w:rsidR="00F70111" w:rsidRPr="00F70111" w14:paraId="4442E681" w14:textId="77777777" w:rsidTr="24AC45C6">
        <w:trPr>
          <w:trHeight w:val="288"/>
        </w:trPr>
        <w:tc>
          <w:tcPr>
            <w:tcW w:w="960" w:type="dxa"/>
            <w:tcBorders>
              <w:top w:val="nil"/>
              <w:left w:val="nil"/>
              <w:bottom w:val="nil"/>
              <w:right w:val="nil"/>
            </w:tcBorders>
            <w:shd w:val="clear" w:color="auto" w:fill="auto"/>
            <w:noWrap/>
            <w:vAlign w:val="bottom"/>
            <w:hideMark/>
          </w:tcPr>
          <w:p w14:paraId="4E93D3A3"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HGK</w:t>
            </w:r>
          </w:p>
        </w:tc>
        <w:tc>
          <w:tcPr>
            <w:tcW w:w="8077" w:type="dxa"/>
            <w:tcBorders>
              <w:top w:val="nil"/>
              <w:left w:val="nil"/>
              <w:bottom w:val="nil"/>
              <w:right w:val="nil"/>
            </w:tcBorders>
            <w:shd w:val="clear" w:color="auto" w:fill="auto"/>
            <w:noWrap/>
            <w:vAlign w:val="bottom"/>
            <w:hideMark/>
          </w:tcPr>
          <w:p w14:paraId="182AFD44"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Hrvatska gospodarska komora</w:t>
            </w:r>
          </w:p>
        </w:tc>
      </w:tr>
      <w:tr w:rsidR="00F70111" w:rsidRPr="00F70111" w14:paraId="7B731208" w14:textId="77777777" w:rsidTr="24AC45C6">
        <w:trPr>
          <w:trHeight w:val="288"/>
        </w:trPr>
        <w:tc>
          <w:tcPr>
            <w:tcW w:w="960" w:type="dxa"/>
            <w:tcBorders>
              <w:top w:val="nil"/>
              <w:left w:val="nil"/>
              <w:bottom w:val="nil"/>
              <w:right w:val="nil"/>
            </w:tcBorders>
            <w:shd w:val="clear" w:color="auto" w:fill="auto"/>
            <w:noWrap/>
            <w:vAlign w:val="bottom"/>
            <w:hideMark/>
          </w:tcPr>
          <w:p w14:paraId="5591C3AB"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HOK</w:t>
            </w:r>
          </w:p>
        </w:tc>
        <w:tc>
          <w:tcPr>
            <w:tcW w:w="8077" w:type="dxa"/>
            <w:tcBorders>
              <w:top w:val="nil"/>
              <w:left w:val="nil"/>
              <w:bottom w:val="nil"/>
              <w:right w:val="nil"/>
            </w:tcBorders>
            <w:shd w:val="clear" w:color="auto" w:fill="auto"/>
            <w:noWrap/>
            <w:vAlign w:val="bottom"/>
            <w:hideMark/>
          </w:tcPr>
          <w:p w14:paraId="540C6B09"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Hrvatska obrtnička komora</w:t>
            </w:r>
          </w:p>
        </w:tc>
      </w:tr>
      <w:tr w:rsidR="00F70111" w:rsidRPr="00F70111" w14:paraId="5F5D05D0" w14:textId="77777777" w:rsidTr="24AC45C6">
        <w:trPr>
          <w:trHeight w:val="288"/>
        </w:trPr>
        <w:tc>
          <w:tcPr>
            <w:tcW w:w="960" w:type="dxa"/>
            <w:tcBorders>
              <w:top w:val="nil"/>
              <w:left w:val="nil"/>
              <w:bottom w:val="nil"/>
              <w:right w:val="nil"/>
            </w:tcBorders>
            <w:shd w:val="clear" w:color="auto" w:fill="auto"/>
            <w:noWrap/>
            <w:vAlign w:val="bottom"/>
            <w:hideMark/>
          </w:tcPr>
          <w:p w14:paraId="0887ADFA"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HZZ </w:t>
            </w:r>
          </w:p>
        </w:tc>
        <w:tc>
          <w:tcPr>
            <w:tcW w:w="8077" w:type="dxa"/>
            <w:tcBorders>
              <w:top w:val="nil"/>
              <w:left w:val="nil"/>
              <w:bottom w:val="nil"/>
              <w:right w:val="nil"/>
            </w:tcBorders>
            <w:shd w:val="clear" w:color="auto" w:fill="auto"/>
            <w:noWrap/>
            <w:vAlign w:val="bottom"/>
            <w:hideMark/>
          </w:tcPr>
          <w:p w14:paraId="582A070B"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Hrvatski zavod za zapošljavanje</w:t>
            </w:r>
          </w:p>
        </w:tc>
      </w:tr>
      <w:tr w:rsidR="00F70111" w:rsidRPr="00F70111" w14:paraId="7CDEA431" w14:textId="77777777" w:rsidTr="24AC45C6">
        <w:trPr>
          <w:trHeight w:val="288"/>
        </w:trPr>
        <w:tc>
          <w:tcPr>
            <w:tcW w:w="960" w:type="dxa"/>
            <w:tcBorders>
              <w:top w:val="nil"/>
              <w:left w:val="nil"/>
              <w:bottom w:val="nil"/>
              <w:right w:val="nil"/>
            </w:tcBorders>
            <w:shd w:val="clear" w:color="auto" w:fill="auto"/>
            <w:noWrap/>
            <w:vAlign w:val="bottom"/>
            <w:hideMark/>
          </w:tcPr>
          <w:p w14:paraId="0EB4EE15"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HZZO</w:t>
            </w:r>
          </w:p>
        </w:tc>
        <w:tc>
          <w:tcPr>
            <w:tcW w:w="8077" w:type="dxa"/>
            <w:tcBorders>
              <w:top w:val="nil"/>
              <w:left w:val="nil"/>
              <w:bottom w:val="nil"/>
              <w:right w:val="nil"/>
            </w:tcBorders>
            <w:shd w:val="clear" w:color="auto" w:fill="auto"/>
            <w:noWrap/>
            <w:vAlign w:val="bottom"/>
            <w:hideMark/>
          </w:tcPr>
          <w:p w14:paraId="4E1E5639"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Hrvatski zavod za zdravstveno osiguranje</w:t>
            </w:r>
          </w:p>
        </w:tc>
      </w:tr>
      <w:tr w:rsidR="00F70111" w:rsidRPr="00F70111" w14:paraId="0776ACCD" w14:textId="77777777" w:rsidTr="24AC45C6">
        <w:trPr>
          <w:trHeight w:val="288"/>
        </w:trPr>
        <w:tc>
          <w:tcPr>
            <w:tcW w:w="960" w:type="dxa"/>
            <w:tcBorders>
              <w:top w:val="nil"/>
              <w:left w:val="nil"/>
              <w:bottom w:val="nil"/>
              <w:right w:val="nil"/>
            </w:tcBorders>
            <w:shd w:val="clear" w:color="auto" w:fill="auto"/>
            <w:noWrap/>
            <w:vAlign w:val="bottom"/>
            <w:hideMark/>
          </w:tcPr>
          <w:p w14:paraId="044DE3B1"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IKT </w:t>
            </w:r>
          </w:p>
        </w:tc>
        <w:tc>
          <w:tcPr>
            <w:tcW w:w="8077" w:type="dxa"/>
            <w:tcBorders>
              <w:top w:val="nil"/>
              <w:left w:val="nil"/>
              <w:bottom w:val="nil"/>
              <w:right w:val="nil"/>
            </w:tcBorders>
            <w:shd w:val="clear" w:color="auto" w:fill="auto"/>
            <w:noWrap/>
            <w:vAlign w:val="bottom"/>
            <w:hideMark/>
          </w:tcPr>
          <w:p w14:paraId="3B24A264"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Informacijske i komunikacijske tehnologije</w:t>
            </w:r>
          </w:p>
        </w:tc>
      </w:tr>
      <w:tr w:rsidR="00F70111" w:rsidRPr="00F70111" w14:paraId="58272B50" w14:textId="77777777" w:rsidTr="24AC45C6">
        <w:trPr>
          <w:trHeight w:val="288"/>
        </w:trPr>
        <w:tc>
          <w:tcPr>
            <w:tcW w:w="960" w:type="dxa"/>
            <w:tcBorders>
              <w:top w:val="nil"/>
              <w:left w:val="nil"/>
              <w:bottom w:val="nil"/>
              <w:right w:val="nil"/>
            </w:tcBorders>
            <w:shd w:val="clear" w:color="auto" w:fill="auto"/>
            <w:noWrap/>
            <w:vAlign w:val="bottom"/>
            <w:hideMark/>
          </w:tcPr>
          <w:p w14:paraId="6ECFD91C"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JLS</w:t>
            </w:r>
          </w:p>
        </w:tc>
        <w:tc>
          <w:tcPr>
            <w:tcW w:w="8077" w:type="dxa"/>
            <w:tcBorders>
              <w:top w:val="nil"/>
              <w:left w:val="nil"/>
              <w:bottom w:val="nil"/>
              <w:right w:val="nil"/>
            </w:tcBorders>
            <w:shd w:val="clear" w:color="auto" w:fill="auto"/>
            <w:noWrap/>
            <w:vAlign w:val="bottom"/>
            <w:hideMark/>
          </w:tcPr>
          <w:p w14:paraId="36C9008E"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Jedinica lokalne samouprave</w:t>
            </w:r>
          </w:p>
        </w:tc>
      </w:tr>
      <w:tr w:rsidR="00F70111" w:rsidRPr="00F70111" w14:paraId="7D3E6591" w14:textId="77777777" w:rsidTr="24AC45C6">
        <w:trPr>
          <w:trHeight w:val="288"/>
        </w:trPr>
        <w:tc>
          <w:tcPr>
            <w:tcW w:w="960" w:type="dxa"/>
            <w:tcBorders>
              <w:top w:val="nil"/>
              <w:left w:val="nil"/>
              <w:bottom w:val="nil"/>
              <w:right w:val="nil"/>
            </w:tcBorders>
            <w:shd w:val="clear" w:color="auto" w:fill="auto"/>
            <w:noWrap/>
            <w:vAlign w:val="bottom"/>
            <w:hideMark/>
          </w:tcPr>
          <w:p w14:paraId="71B59332"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KZŽ</w:t>
            </w:r>
          </w:p>
        </w:tc>
        <w:tc>
          <w:tcPr>
            <w:tcW w:w="8077" w:type="dxa"/>
            <w:tcBorders>
              <w:top w:val="nil"/>
              <w:left w:val="nil"/>
              <w:bottom w:val="nil"/>
              <w:right w:val="nil"/>
            </w:tcBorders>
            <w:shd w:val="clear" w:color="auto" w:fill="auto"/>
            <w:noWrap/>
            <w:vAlign w:val="bottom"/>
            <w:hideMark/>
          </w:tcPr>
          <w:p w14:paraId="5DDCDE06"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Krapinsko-zagorska županija</w:t>
            </w:r>
          </w:p>
        </w:tc>
      </w:tr>
      <w:tr w:rsidR="00F70111" w:rsidRPr="00F70111" w14:paraId="466E407B" w14:textId="77777777" w:rsidTr="24AC45C6">
        <w:trPr>
          <w:trHeight w:val="288"/>
        </w:trPr>
        <w:tc>
          <w:tcPr>
            <w:tcW w:w="960" w:type="dxa"/>
            <w:tcBorders>
              <w:top w:val="nil"/>
              <w:left w:val="nil"/>
              <w:bottom w:val="nil"/>
              <w:right w:val="nil"/>
            </w:tcBorders>
            <w:shd w:val="clear" w:color="auto" w:fill="auto"/>
            <w:noWrap/>
            <w:vAlign w:val="bottom"/>
            <w:hideMark/>
          </w:tcPr>
          <w:p w14:paraId="5DCB6043"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MICE</w:t>
            </w:r>
          </w:p>
        </w:tc>
        <w:tc>
          <w:tcPr>
            <w:tcW w:w="8077" w:type="dxa"/>
            <w:tcBorders>
              <w:top w:val="nil"/>
              <w:left w:val="nil"/>
              <w:bottom w:val="nil"/>
              <w:right w:val="nil"/>
            </w:tcBorders>
            <w:shd w:val="clear" w:color="auto" w:fill="auto"/>
            <w:noWrap/>
            <w:vAlign w:val="bottom"/>
            <w:hideMark/>
          </w:tcPr>
          <w:p w14:paraId="5E38DC74" w14:textId="6546F786" w:rsidR="00F70111" w:rsidRPr="00F70111" w:rsidRDefault="414AFE50" w:rsidP="24AC45C6">
            <w:pPr>
              <w:spacing w:after="0" w:line="240" w:lineRule="auto"/>
              <w:jc w:val="left"/>
              <w:rPr>
                <w:rFonts w:eastAsia="ArialNarrow"/>
              </w:rPr>
            </w:pPr>
            <w:r w:rsidRPr="24AC45C6">
              <w:rPr>
                <w:rFonts w:eastAsia="ArialNarrow"/>
              </w:rPr>
              <w:t xml:space="preserve">(engl. Meetings, Incentives, Conferences, Events) sinonim za kongresni </w:t>
            </w:r>
            <w:r w:rsidR="44799D5A" w:rsidRPr="24AC45C6">
              <w:rPr>
                <w:rFonts w:eastAsia="ArialNarrow"/>
              </w:rPr>
              <w:t>turizam</w:t>
            </w:r>
            <w:r w:rsidRPr="24AC45C6">
              <w:rPr>
                <w:rFonts w:eastAsia="ArialNarrow"/>
              </w:rPr>
              <w:t xml:space="preserve"> </w:t>
            </w:r>
          </w:p>
        </w:tc>
      </w:tr>
      <w:tr w:rsidR="00F70111" w:rsidRPr="00F70111" w14:paraId="33EB8DCF" w14:textId="77777777" w:rsidTr="24AC45C6">
        <w:trPr>
          <w:trHeight w:val="288"/>
        </w:trPr>
        <w:tc>
          <w:tcPr>
            <w:tcW w:w="960" w:type="dxa"/>
            <w:tcBorders>
              <w:top w:val="nil"/>
              <w:left w:val="nil"/>
              <w:bottom w:val="nil"/>
              <w:right w:val="nil"/>
            </w:tcBorders>
            <w:shd w:val="clear" w:color="auto" w:fill="auto"/>
            <w:noWrap/>
            <w:vAlign w:val="bottom"/>
            <w:hideMark/>
          </w:tcPr>
          <w:p w14:paraId="0EAC8F92"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MINGO</w:t>
            </w:r>
          </w:p>
        </w:tc>
        <w:tc>
          <w:tcPr>
            <w:tcW w:w="8077" w:type="dxa"/>
            <w:tcBorders>
              <w:top w:val="nil"/>
              <w:left w:val="nil"/>
              <w:bottom w:val="nil"/>
              <w:right w:val="nil"/>
            </w:tcBorders>
            <w:shd w:val="clear" w:color="auto" w:fill="auto"/>
            <w:noWrap/>
            <w:vAlign w:val="bottom"/>
            <w:hideMark/>
          </w:tcPr>
          <w:p w14:paraId="0D0C8233"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Ministarstvo gospodarstva, poduzetništva i obrta</w:t>
            </w:r>
          </w:p>
        </w:tc>
      </w:tr>
      <w:tr w:rsidR="00F70111" w:rsidRPr="00F70111" w14:paraId="0DF95258" w14:textId="77777777" w:rsidTr="24AC45C6">
        <w:trPr>
          <w:trHeight w:val="288"/>
        </w:trPr>
        <w:tc>
          <w:tcPr>
            <w:tcW w:w="960" w:type="dxa"/>
            <w:tcBorders>
              <w:top w:val="nil"/>
              <w:left w:val="nil"/>
              <w:bottom w:val="nil"/>
              <w:right w:val="nil"/>
            </w:tcBorders>
            <w:shd w:val="clear" w:color="auto" w:fill="auto"/>
            <w:noWrap/>
            <w:vAlign w:val="bottom"/>
            <w:hideMark/>
          </w:tcPr>
          <w:p w14:paraId="6EAC0946"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NKPJS</w:t>
            </w:r>
          </w:p>
        </w:tc>
        <w:tc>
          <w:tcPr>
            <w:tcW w:w="8077" w:type="dxa"/>
            <w:tcBorders>
              <w:top w:val="nil"/>
              <w:left w:val="nil"/>
              <w:bottom w:val="nil"/>
              <w:right w:val="nil"/>
            </w:tcBorders>
            <w:shd w:val="clear" w:color="auto" w:fill="auto"/>
            <w:noWrap/>
            <w:vAlign w:val="bottom"/>
            <w:hideMark/>
          </w:tcPr>
          <w:p w14:paraId="58ECC2C8" w14:textId="15D7D101"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Nacionalna klasifikacija </w:t>
            </w:r>
            <w:r w:rsidR="000C4E9D" w:rsidRPr="00F70111">
              <w:rPr>
                <w:rFonts w:eastAsia="ArialNarrow" w:cstheme="minorHAnsi"/>
              </w:rPr>
              <w:t>prostornih</w:t>
            </w:r>
            <w:r w:rsidRPr="00F70111">
              <w:rPr>
                <w:rFonts w:eastAsia="ArialNarrow" w:cstheme="minorHAnsi"/>
              </w:rPr>
              <w:t xml:space="preserve"> jedinica za statistiku</w:t>
            </w:r>
          </w:p>
        </w:tc>
      </w:tr>
      <w:tr w:rsidR="00F70111" w:rsidRPr="00F70111" w14:paraId="61BC61E5" w14:textId="77777777" w:rsidTr="24AC45C6">
        <w:trPr>
          <w:trHeight w:val="288"/>
        </w:trPr>
        <w:tc>
          <w:tcPr>
            <w:tcW w:w="960" w:type="dxa"/>
            <w:tcBorders>
              <w:top w:val="nil"/>
              <w:left w:val="nil"/>
              <w:bottom w:val="nil"/>
              <w:right w:val="nil"/>
            </w:tcBorders>
            <w:shd w:val="clear" w:color="auto" w:fill="auto"/>
            <w:noWrap/>
            <w:vAlign w:val="bottom"/>
            <w:hideMark/>
          </w:tcPr>
          <w:p w14:paraId="30D8ABB9"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OPG</w:t>
            </w:r>
          </w:p>
        </w:tc>
        <w:tc>
          <w:tcPr>
            <w:tcW w:w="8077" w:type="dxa"/>
            <w:tcBorders>
              <w:top w:val="nil"/>
              <w:left w:val="nil"/>
              <w:bottom w:val="nil"/>
              <w:right w:val="nil"/>
            </w:tcBorders>
            <w:shd w:val="clear" w:color="auto" w:fill="auto"/>
            <w:noWrap/>
            <w:vAlign w:val="bottom"/>
            <w:hideMark/>
          </w:tcPr>
          <w:p w14:paraId="0340A310"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Obiteljsko poljoprivredno gospodarstvo </w:t>
            </w:r>
          </w:p>
        </w:tc>
      </w:tr>
      <w:tr w:rsidR="00F70111" w:rsidRPr="00F70111" w14:paraId="0D12B4FF" w14:textId="77777777" w:rsidTr="24AC45C6">
        <w:trPr>
          <w:trHeight w:val="288"/>
        </w:trPr>
        <w:tc>
          <w:tcPr>
            <w:tcW w:w="960" w:type="dxa"/>
            <w:tcBorders>
              <w:top w:val="nil"/>
              <w:left w:val="nil"/>
              <w:bottom w:val="nil"/>
              <w:right w:val="nil"/>
            </w:tcBorders>
            <w:shd w:val="clear" w:color="auto" w:fill="auto"/>
            <w:noWrap/>
            <w:vAlign w:val="bottom"/>
            <w:hideMark/>
          </w:tcPr>
          <w:p w14:paraId="13047A2B"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OŠ </w:t>
            </w:r>
          </w:p>
        </w:tc>
        <w:tc>
          <w:tcPr>
            <w:tcW w:w="8077" w:type="dxa"/>
            <w:tcBorders>
              <w:top w:val="nil"/>
              <w:left w:val="nil"/>
              <w:bottom w:val="nil"/>
              <w:right w:val="nil"/>
            </w:tcBorders>
            <w:shd w:val="clear" w:color="auto" w:fill="auto"/>
            <w:noWrap/>
            <w:vAlign w:val="bottom"/>
            <w:hideMark/>
          </w:tcPr>
          <w:p w14:paraId="2DCF8449"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Osnovna škola</w:t>
            </w:r>
          </w:p>
        </w:tc>
      </w:tr>
      <w:tr w:rsidR="0031510B" w:rsidRPr="00F70111" w14:paraId="2B10C4FA" w14:textId="77777777" w:rsidTr="24AC45C6">
        <w:trPr>
          <w:trHeight w:val="288"/>
        </w:trPr>
        <w:tc>
          <w:tcPr>
            <w:tcW w:w="960" w:type="dxa"/>
            <w:tcBorders>
              <w:top w:val="nil"/>
              <w:left w:val="nil"/>
              <w:bottom w:val="nil"/>
              <w:right w:val="nil"/>
            </w:tcBorders>
            <w:shd w:val="clear" w:color="auto" w:fill="auto"/>
            <w:noWrap/>
            <w:vAlign w:val="bottom"/>
          </w:tcPr>
          <w:p w14:paraId="3CE0592D" w14:textId="3D61821D" w:rsidR="0031510B" w:rsidRPr="00F70111" w:rsidRDefault="0031510B" w:rsidP="00F70111">
            <w:pPr>
              <w:spacing w:after="0" w:line="240" w:lineRule="auto"/>
              <w:jc w:val="left"/>
              <w:rPr>
                <w:rFonts w:eastAsia="ArialNarrow" w:cstheme="minorHAnsi"/>
              </w:rPr>
            </w:pPr>
            <w:r w:rsidRPr="0031510B">
              <w:rPr>
                <w:rFonts w:eastAsia="ArialNarrow" w:cstheme="minorHAnsi"/>
              </w:rPr>
              <w:t>PGP</w:t>
            </w:r>
          </w:p>
        </w:tc>
        <w:tc>
          <w:tcPr>
            <w:tcW w:w="8077" w:type="dxa"/>
            <w:tcBorders>
              <w:top w:val="nil"/>
              <w:left w:val="nil"/>
              <w:bottom w:val="nil"/>
              <w:right w:val="nil"/>
            </w:tcBorders>
            <w:shd w:val="clear" w:color="auto" w:fill="auto"/>
            <w:noWrap/>
            <w:vAlign w:val="bottom"/>
          </w:tcPr>
          <w:p w14:paraId="05C9D583" w14:textId="52F44BB9" w:rsidR="0031510B" w:rsidRPr="00F70111" w:rsidRDefault="0031510B" w:rsidP="00F70111">
            <w:pPr>
              <w:spacing w:after="0" w:line="240" w:lineRule="auto"/>
              <w:jc w:val="left"/>
              <w:rPr>
                <w:rFonts w:eastAsia="ArialNarrow" w:cstheme="minorHAnsi"/>
              </w:rPr>
            </w:pPr>
            <w:r>
              <w:rPr>
                <w:rFonts w:eastAsia="ArialNarrow" w:cstheme="minorHAnsi"/>
              </w:rPr>
              <w:t>Postaja granične policije</w:t>
            </w:r>
          </w:p>
        </w:tc>
      </w:tr>
      <w:tr w:rsidR="00F70111" w:rsidRPr="00F70111" w14:paraId="55D3AA0D" w14:textId="77777777" w:rsidTr="24AC45C6">
        <w:trPr>
          <w:trHeight w:val="288"/>
        </w:trPr>
        <w:tc>
          <w:tcPr>
            <w:tcW w:w="960" w:type="dxa"/>
            <w:tcBorders>
              <w:top w:val="nil"/>
              <w:left w:val="nil"/>
              <w:bottom w:val="nil"/>
              <w:right w:val="nil"/>
            </w:tcBorders>
            <w:shd w:val="clear" w:color="auto" w:fill="auto"/>
            <w:noWrap/>
            <w:vAlign w:val="bottom"/>
            <w:hideMark/>
          </w:tcPr>
          <w:p w14:paraId="21B65143"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POU </w:t>
            </w:r>
          </w:p>
        </w:tc>
        <w:tc>
          <w:tcPr>
            <w:tcW w:w="8077" w:type="dxa"/>
            <w:tcBorders>
              <w:top w:val="nil"/>
              <w:left w:val="nil"/>
              <w:bottom w:val="nil"/>
              <w:right w:val="nil"/>
            </w:tcBorders>
            <w:shd w:val="clear" w:color="auto" w:fill="auto"/>
            <w:noWrap/>
            <w:vAlign w:val="bottom"/>
            <w:hideMark/>
          </w:tcPr>
          <w:p w14:paraId="6A583AC6" w14:textId="588733DF" w:rsidR="00F70111" w:rsidRPr="00F70111" w:rsidRDefault="00F70111" w:rsidP="00F70111">
            <w:pPr>
              <w:spacing w:after="0" w:line="240" w:lineRule="auto"/>
              <w:jc w:val="left"/>
              <w:rPr>
                <w:rFonts w:eastAsia="ArialNarrow" w:cstheme="minorHAnsi"/>
              </w:rPr>
            </w:pPr>
            <w:r w:rsidRPr="00F70111">
              <w:rPr>
                <w:rFonts w:eastAsia="ArialNarrow" w:cstheme="minorHAnsi"/>
              </w:rPr>
              <w:t xml:space="preserve">Pučko </w:t>
            </w:r>
            <w:r w:rsidR="000C4E9D" w:rsidRPr="00F70111">
              <w:rPr>
                <w:rFonts w:eastAsia="ArialNarrow" w:cstheme="minorHAnsi"/>
              </w:rPr>
              <w:t>otvoreno</w:t>
            </w:r>
            <w:r w:rsidRPr="00F70111">
              <w:rPr>
                <w:rFonts w:eastAsia="ArialNarrow" w:cstheme="minorHAnsi"/>
              </w:rPr>
              <w:t xml:space="preserve"> učilište</w:t>
            </w:r>
          </w:p>
        </w:tc>
      </w:tr>
      <w:tr w:rsidR="00F70111" w:rsidRPr="00F70111" w14:paraId="49FC8BEC" w14:textId="77777777" w:rsidTr="24AC45C6">
        <w:trPr>
          <w:trHeight w:val="288"/>
        </w:trPr>
        <w:tc>
          <w:tcPr>
            <w:tcW w:w="960" w:type="dxa"/>
            <w:tcBorders>
              <w:top w:val="nil"/>
              <w:left w:val="nil"/>
              <w:bottom w:val="nil"/>
              <w:right w:val="nil"/>
            </w:tcBorders>
            <w:shd w:val="clear" w:color="auto" w:fill="auto"/>
            <w:noWrap/>
            <w:vAlign w:val="bottom"/>
            <w:hideMark/>
          </w:tcPr>
          <w:p w14:paraId="342F92AF"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PZ</w:t>
            </w:r>
          </w:p>
        </w:tc>
        <w:tc>
          <w:tcPr>
            <w:tcW w:w="8077" w:type="dxa"/>
            <w:tcBorders>
              <w:top w:val="nil"/>
              <w:left w:val="nil"/>
              <w:bottom w:val="nil"/>
              <w:right w:val="nil"/>
            </w:tcBorders>
            <w:shd w:val="clear" w:color="auto" w:fill="auto"/>
            <w:noWrap/>
            <w:vAlign w:val="bottom"/>
            <w:hideMark/>
          </w:tcPr>
          <w:p w14:paraId="201B14E0"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Poduzetnička zona</w:t>
            </w:r>
          </w:p>
        </w:tc>
      </w:tr>
      <w:tr w:rsidR="00F70111" w:rsidRPr="00F70111" w14:paraId="1DED1053" w14:textId="77777777" w:rsidTr="24AC45C6">
        <w:trPr>
          <w:trHeight w:val="288"/>
        </w:trPr>
        <w:tc>
          <w:tcPr>
            <w:tcW w:w="960" w:type="dxa"/>
            <w:tcBorders>
              <w:top w:val="nil"/>
              <w:left w:val="nil"/>
              <w:bottom w:val="nil"/>
              <w:right w:val="nil"/>
            </w:tcBorders>
            <w:shd w:val="clear" w:color="auto" w:fill="auto"/>
            <w:noWrap/>
            <w:vAlign w:val="bottom"/>
            <w:hideMark/>
          </w:tcPr>
          <w:p w14:paraId="7890BF90"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RH</w:t>
            </w:r>
          </w:p>
        </w:tc>
        <w:tc>
          <w:tcPr>
            <w:tcW w:w="8077" w:type="dxa"/>
            <w:tcBorders>
              <w:top w:val="nil"/>
              <w:left w:val="nil"/>
              <w:bottom w:val="nil"/>
              <w:right w:val="nil"/>
            </w:tcBorders>
            <w:shd w:val="clear" w:color="auto" w:fill="auto"/>
            <w:noWrap/>
            <w:vAlign w:val="bottom"/>
            <w:hideMark/>
          </w:tcPr>
          <w:p w14:paraId="6411E78E"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Republika Hrvatska</w:t>
            </w:r>
          </w:p>
        </w:tc>
      </w:tr>
      <w:tr w:rsidR="00F70111" w:rsidRPr="00F70111" w14:paraId="22DAEC46" w14:textId="77777777" w:rsidTr="24AC45C6">
        <w:trPr>
          <w:trHeight w:val="288"/>
        </w:trPr>
        <w:tc>
          <w:tcPr>
            <w:tcW w:w="960" w:type="dxa"/>
            <w:tcBorders>
              <w:top w:val="nil"/>
              <w:left w:val="nil"/>
              <w:bottom w:val="nil"/>
              <w:right w:val="nil"/>
            </w:tcBorders>
            <w:shd w:val="clear" w:color="auto" w:fill="auto"/>
            <w:noWrap/>
            <w:vAlign w:val="bottom"/>
            <w:hideMark/>
          </w:tcPr>
          <w:p w14:paraId="2A97FC8C"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TZ</w:t>
            </w:r>
          </w:p>
        </w:tc>
        <w:tc>
          <w:tcPr>
            <w:tcW w:w="8077" w:type="dxa"/>
            <w:tcBorders>
              <w:top w:val="nil"/>
              <w:left w:val="nil"/>
              <w:bottom w:val="nil"/>
              <w:right w:val="nil"/>
            </w:tcBorders>
            <w:shd w:val="clear" w:color="auto" w:fill="auto"/>
            <w:noWrap/>
            <w:vAlign w:val="bottom"/>
            <w:hideMark/>
          </w:tcPr>
          <w:p w14:paraId="23C049C6"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Turistička zajednica</w:t>
            </w:r>
          </w:p>
        </w:tc>
      </w:tr>
      <w:tr w:rsidR="00F70111" w:rsidRPr="00F70111" w14:paraId="02E9D6ED" w14:textId="77777777" w:rsidTr="24AC45C6">
        <w:trPr>
          <w:trHeight w:val="288"/>
        </w:trPr>
        <w:tc>
          <w:tcPr>
            <w:tcW w:w="960" w:type="dxa"/>
            <w:tcBorders>
              <w:top w:val="nil"/>
              <w:left w:val="nil"/>
              <w:bottom w:val="nil"/>
              <w:right w:val="nil"/>
            </w:tcBorders>
            <w:shd w:val="clear" w:color="auto" w:fill="auto"/>
            <w:noWrap/>
            <w:vAlign w:val="bottom"/>
            <w:hideMark/>
          </w:tcPr>
          <w:p w14:paraId="43A70DE0" w14:textId="77777777" w:rsidR="00F70111" w:rsidRPr="00F70111" w:rsidRDefault="00F70111" w:rsidP="00F70111">
            <w:pPr>
              <w:spacing w:after="0" w:line="240" w:lineRule="auto"/>
              <w:jc w:val="left"/>
              <w:rPr>
                <w:rFonts w:eastAsia="ArialNarrow" w:cstheme="minorHAnsi"/>
              </w:rPr>
            </w:pPr>
            <w:r w:rsidRPr="00F70111">
              <w:rPr>
                <w:rFonts w:eastAsia="ArialNarrow" w:cstheme="minorHAnsi"/>
              </w:rPr>
              <w:t>UO</w:t>
            </w:r>
          </w:p>
        </w:tc>
        <w:tc>
          <w:tcPr>
            <w:tcW w:w="8077" w:type="dxa"/>
            <w:tcBorders>
              <w:top w:val="nil"/>
              <w:left w:val="nil"/>
              <w:bottom w:val="nil"/>
              <w:right w:val="nil"/>
            </w:tcBorders>
            <w:shd w:val="clear" w:color="auto" w:fill="auto"/>
            <w:noWrap/>
            <w:vAlign w:val="bottom"/>
            <w:hideMark/>
          </w:tcPr>
          <w:p w14:paraId="7ACC190C" w14:textId="70E96142" w:rsidR="00F70111" w:rsidRPr="00073221" w:rsidRDefault="00073221" w:rsidP="00F70111">
            <w:pPr>
              <w:spacing w:after="0" w:line="240" w:lineRule="auto"/>
              <w:jc w:val="left"/>
              <w:rPr>
                <w:rFonts w:eastAsia="ArialNarrow" w:cstheme="minorHAnsi"/>
                <w:highlight w:val="yellow"/>
              </w:rPr>
            </w:pPr>
            <w:r w:rsidRPr="00057C1E">
              <w:rPr>
                <w:rFonts w:eastAsia="ArialNarrow" w:cstheme="minorHAnsi"/>
              </w:rPr>
              <w:t>Upravni odjel</w:t>
            </w:r>
          </w:p>
        </w:tc>
      </w:tr>
    </w:tbl>
    <w:p w14:paraId="661E7DBD" w14:textId="3ACAB113" w:rsidR="00F70111" w:rsidRDefault="00F70111" w:rsidP="002D61C0"/>
    <w:p w14:paraId="0CF7F195" w14:textId="1EFBA624" w:rsidR="00F70111" w:rsidRDefault="00F70111" w:rsidP="002D61C0"/>
    <w:p w14:paraId="372171B8" w14:textId="191473FE" w:rsidR="00F70111" w:rsidRDefault="00F70111" w:rsidP="002D61C0"/>
    <w:p w14:paraId="40B28A13" w14:textId="18EFB7B4" w:rsidR="00F70111" w:rsidRDefault="00F70111" w:rsidP="002D61C0"/>
    <w:p w14:paraId="5739849B" w14:textId="4DC03E68" w:rsidR="00F70111" w:rsidRDefault="00F70111" w:rsidP="002D61C0"/>
    <w:p w14:paraId="6326EA87" w14:textId="67003992" w:rsidR="00F70111" w:rsidRDefault="00F70111" w:rsidP="002D61C0"/>
    <w:p w14:paraId="0EAD91E6" w14:textId="33C2E1B2" w:rsidR="00F70111" w:rsidRDefault="00F70111" w:rsidP="002D61C0"/>
    <w:p w14:paraId="56594BE5" w14:textId="3AC16F0D" w:rsidR="00F70111" w:rsidRDefault="00F70111" w:rsidP="002D61C0"/>
    <w:p w14:paraId="29CE1DEA" w14:textId="635E6BD4" w:rsidR="00F70111" w:rsidRDefault="00F70111" w:rsidP="002D61C0"/>
    <w:p w14:paraId="385B8B58" w14:textId="2AFD74F4" w:rsidR="00F70111" w:rsidRDefault="00F70111" w:rsidP="002D61C0"/>
    <w:p w14:paraId="587C8124" w14:textId="3B732D60" w:rsidR="00F70111" w:rsidRDefault="00F70111" w:rsidP="002D61C0"/>
    <w:p w14:paraId="4CA099E9" w14:textId="483D57E9" w:rsidR="00F70111" w:rsidRDefault="00F70111" w:rsidP="002D61C0"/>
    <w:p w14:paraId="74625E6F" w14:textId="7CCDAB87" w:rsidR="00F70111" w:rsidRDefault="00F70111" w:rsidP="002D61C0"/>
    <w:p w14:paraId="793A46C3" w14:textId="4BB99642" w:rsidR="00F70111" w:rsidRDefault="00F70111" w:rsidP="002D61C0"/>
    <w:p w14:paraId="29C63FB7" w14:textId="73B4B85B" w:rsidR="00762985" w:rsidRDefault="00762985">
      <w:pPr>
        <w:jc w:val="left"/>
      </w:pPr>
      <w:r>
        <w:br w:type="page"/>
      </w:r>
    </w:p>
    <w:p w14:paraId="1352DB93" w14:textId="4DAFF1CD" w:rsidR="002723C2" w:rsidRDefault="00A402DA" w:rsidP="005F13D3">
      <w:pPr>
        <w:pStyle w:val="Naslov1"/>
        <w:numPr>
          <w:ilvl w:val="0"/>
          <w:numId w:val="34"/>
        </w:numPr>
        <w:rPr>
          <w:rStyle w:val="NASLOV"/>
        </w:rPr>
      </w:pPr>
      <w:bookmarkStart w:id="5" w:name="_Hlk64903505"/>
      <w:r>
        <w:rPr>
          <w:rStyle w:val="NASLOV"/>
        </w:rPr>
        <w:lastRenderedPageBreak/>
        <w:t xml:space="preserve"> </w:t>
      </w:r>
      <w:bookmarkStart w:id="6" w:name="_Toc85181267"/>
      <w:r w:rsidR="00B35D49">
        <w:rPr>
          <w:rStyle w:val="NASLOV"/>
        </w:rPr>
        <w:t>TERITORIJALNA OBILJEŽJA KZŽ</w:t>
      </w:r>
      <w:bookmarkEnd w:id="6"/>
    </w:p>
    <w:p w14:paraId="0A22DBED" w14:textId="571D5812" w:rsidR="002723C2" w:rsidRDefault="002723C2" w:rsidP="002723C2"/>
    <w:p w14:paraId="52680DE0" w14:textId="12D959D3" w:rsidR="00B35D49" w:rsidRDefault="00B35D49" w:rsidP="0052192B">
      <w:pPr>
        <w:pStyle w:val="Naslov2"/>
        <w:numPr>
          <w:ilvl w:val="1"/>
          <w:numId w:val="20"/>
        </w:numPr>
      </w:pPr>
      <w:bookmarkStart w:id="7" w:name="_Hlk48567864"/>
      <w:bookmarkStart w:id="8" w:name="_Toc85181268"/>
      <w:r>
        <w:t>Geografski položaj</w:t>
      </w:r>
      <w:bookmarkEnd w:id="8"/>
    </w:p>
    <w:bookmarkEnd w:id="7"/>
    <w:p w14:paraId="3757BA50" w14:textId="77777777" w:rsidR="00B35D49" w:rsidRPr="00B35D49" w:rsidRDefault="00B35D49" w:rsidP="00B35D49"/>
    <w:p w14:paraId="6F062A92" w14:textId="51DD8EC5" w:rsidR="00B35D49" w:rsidRPr="007564B7" w:rsidRDefault="00B35D49" w:rsidP="00B35D49">
      <w:pPr>
        <w:rPr>
          <w:rFonts w:eastAsia="ArialNarrow" w:cstheme="minorHAnsi"/>
        </w:rPr>
      </w:pPr>
      <w:bookmarkStart w:id="9" w:name="_Hlk57367493"/>
      <w:r w:rsidRPr="007564B7">
        <w:rPr>
          <w:rFonts w:eastAsia="ArialNarrow" w:cstheme="minorHAnsi"/>
        </w:rPr>
        <w:t>Krapinsko zagorska županija nalazi u sjeverozapadnom dijelu Republike Hrvatske i pripada prostoru središnje Hrvatske. Županija graniči na sjeveru s Republikom Slovenijom i Varaždinskom županijom, na zapadu samo sa Republikom Slovenijom, na jugu s gradom Zagrebom i Zagrebačkom županijom te na istoku sa Zagrebačkom i Varaždinskom županijom.</w:t>
      </w:r>
      <w:r w:rsidR="005223D3" w:rsidRPr="007564B7">
        <w:rPr>
          <w:rFonts w:eastAsia="ArialNarrow" w:cstheme="minorHAnsi"/>
        </w:rPr>
        <w:t xml:space="preserve"> </w:t>
      </w:r>
      <w:r w:rsidR="0051487A" w:rsidRPr="007564B7">
        <w:rPr>
          <w:rFonts w:eastAsia="ArialNarrow" w:cstheme="minorHAnsi"/>
        </w:rPr>
        <w:t xml:space="preserve">Kao geografska cjelina Krapinsko- zagorska županija pruža se od vrhova Macelja i Ivančice na sjeveru do Medvednice na jugoistoku. Zapadna granica -rijeka Sutla, ujedno je i državna granica sa Republikom Slovenijom, a istočnu granicu čine porječja Krapine i Lonje. </w:t>
      </w:r>
      <w:r w:rsidR="00B83317" w:rsidRPr="00B83317">
        <w:rPr>
          <w:rFonts w:eastAsia="ArialNarrow" w:cstheme="minorHAnsi"/>
        </w:rPr>
        <w:t>Ovako razgraničen prostor Županije podudara se s prirodnom regijom Donje Zagorje.</w:t>
      </w:r>
      <w:r w:rsidR="00B83317">
        <w:rPr>
          <w:rFonts w:eastAsia="ArialNarrow" w:cstheme="minorHAnsi"/>
        </w:rPr>
        <w:t xml:space="preserve"> </w:t>
      </w:r>
      <w:r w:rsidR="0051487A" w:rsidRPr="007564B7">
        <w:rPr>
          <w:rFonts w:eastAsia="ArialNarrow" w:cstheme="minorHAnsi"/>
        </w:rPr>
        <w:t xml:space="preserve">Veliko prometno značenje Županiji daje međunarodna trasa autoceste </w:t>
      </w:r>
      <w:r w:rsidR="005223D3" w:rsidRPr="007564B7">
        <w:rPr>
          <w:rFonts w:eastAsia="ArialNarrow" w:cstheme="minorHAnsi"/>
        </w:rPr>
        <w:t xml:space="preserve">A2 Zagreb–Macelj, </w:t>
      </w:r>
      <w:r w:rsidR="0051487A" w:rsidRPr="007564B7">
        <w:rPr>
          <w:rFonts w:eastAsia="ArialNarrow" w:cstheme="minorHAnsi"/>
        </w:rPr>
        <w:t xml:space="preserve">koja prolazi duž Županije te je </w:t>
      </w:r>
      <w:r w:rsidR="005223D3" w:rsidRPr="007564B7">
        <w:rPr>
          <w:rFonts w:eastAsia="ArialNarrow" w:cstheme="minorHAnsi"/>
        </w:rPr>
        <w:t>dio europske ceste E59 koja povezuje Hrvatsku sa zemljama srednje Europe</w:t>
      </w:r>
      <w:r w:rsidR="0051487A" w:rsidRPr="007564B7">
        <w:rPr>
          <w:rFonts w:eastAsia="ArialNarrow" w:cstheme="minorHAnsi"/>
        </w:rPr>
        <w:t>.</w:t>
      </w:r>
    </w:p>
    <w:p w14:paraId="5A9C1335" w14:textId="1BAE4799" w:rsidR="00B35D49" w:rsidRDefault="009C32B1" w:rsidP="00B35D49">
      <w:pPr>
        <w:rPr>
          <w:rFonts w:eastAsia="ArialNarrow" w:cstheme="minorHAnsi"/>
        </w:rPr>
      </w:pPr>
      <w:r w:rsidRPr="007564B7">
        <w:rPr>
          <w:rFonts w:eastAsia="ArialNarrow" w:cstheme="minorHAnsi"/>
        </w:rPr>
        <w:t xml:space="preserve">Površinom se ubraja među najmanje županije Republike Hrvatske </w:t>
      </w:r>
      <w:r w:rsidR="00B35D49" w:rsidRPr="007564B7">
        <w:rPr>
          <w:rFonts w:eastAsia="ArialNarrow" w:cstheme="minorHAnsi"/>
        </w:rPr>
        <w:t xml:space="preserve">(1224,22 km²), ali </w:t>
      </w:r>
      <w:r w:rsidR="0051487A" w:rsidRPr="007564B7">
        <w:rPr>
          <w:rFonts w:eastAsia="ArialNarrow" w:cstheme="minorHAnsi"/>
        </w:rPr>
        <w:t xml:space="preserve">ima bitno demografsko značenje </w:t>
      </w:r>
      <w:r w:rsidR="00B35D49" w:rsidRPr="007564B7">
        <w:rPr>
          <w:rFonts w:eastAsia="ArialNarrow" w:cstheme="minorHAnsi"/>
        </w:rPr>
        <w:t>je</w:t>
      </w:r>
      <w:r w:rsidR="0051487A" w:rsidRPr="007564B7">
        <w:rPr>
          <w:rFonts w:eastAsia="ArialNarrow" w:cstheme="minorHAnsi"/>
        </w:rPr>
        <w:t>r je</w:t>
      </w:r>
      <w:r w:rsidR="00B35D49" w:rsidRPr="007564B7">
        <w:rPr>
          <w:rFonts w:eastAsia="ArialNarrow" w:cstheme="minorHAnsi"/>
        </w:rPr>
        <w:t xml:space="preserve"> gustoćom stanovnika od 1</w:t>
      </w:r>
      <w:r w:rsidR="0051487A" w:rsidRPr="007564B7">
        <w:rPr>
          <w:rFonts w:eastAsia="ArialNarrow" w:cstheme="minorHAnsi"/>
        </w:rPr>
        <w:t>08,3</w:t>
      </w:r>
      <w:r w:rsidR="00B35D49" w:rsidRPr="007564B7">
        <w:rPr>
          <w:rFonts w:eastAsia="ArialNarrow" w:cstheme="minorHAnsi"/>
        </w:rPr>
        <w:t xml:space="preserve"> st./km² iznad </w:t>
      </w:r>
      <w:r w:rsidR="0051487A" w:rsidRPr="007564B7">
        <w:rPr>
          <w:rFonts w:eastAsia="ArialNarrow" w:cstheme="minorHAnsi"/>
        </w:rPr>
        <w:t>nacionalnog</w:t>
      </w:r>
      <w:r w:rsidR="00B35D49" w:rsidRPr="007564B7">
        <w:rPr>
          <w:rFonts w:eastAsia="ArialNarrow" w:cstheme="minorHAnsi"/>
        </w:rPr>
        <w:t xml:space="preserve"> prosjeka </w:t>
      </w:r>
      <w:r w:rsidR="0051487A" w:rsidRPr="007564B7">
        <w:rPr>
          <w:rFonts w:eastAsia="ArialNarrow" w:cstheme="minorHAnsi"/>
        </w:rPr>
        <w:t xml:space="preserve">koji iznosi </w:t>
      </w:r>
      <w:r w:rsidR="00B35D49" w:rsidRPr="007564B7">
        <w:rPr>
          <w:rFonts w:eastAsia="ArialNarrow" w:cstheme="minorHAnsi"/>
        </w:rPr>
        <w:t>7</w:t>
      </w:r>
      <w:r w:rsidR="0051487A" w:rsidRPr="007564B7">
        <w:rPr>
          <w:rFonts w:eastAsia="ArialNarrow" w:cstheme="minorHAnsi"/>
        </w:rPr>
        <w:t>5</w:t>
      </w:r>
      <w:r w:rsidR="00B35D49" w:rsidRPr="007564B7">
        <w:rPr>
          <w:rFonts w:eastAsia="ArialNarrow" w:cstheme="minorHAnsi"/>
        </w:rPr>
        <w:t xml:space="preserve"> st./km²) (DZS, </w:t>
      </w:r>
      <w:r w:rsidR="0051487A" w:rsidRPr="007564B7">
        <w:rPr>
          <w:rFonts w:eastAsia="ArialNarrow" w:cstheme="minorHAnsi"/>
        </w:rPr>
        <w:t xml:space="preserve">Popis </w:t>
      </w:r>
      <w:r w:rsidR="00B35D49" w:rsidRPr="007564B7">
        <w:rPr>
          <w:rFonts w:eastAsia="ArialNarrow" w:cstheme="minorHAnsi"/>
        </w:rPr>
        <w:t>20</w:t>
      </w:r>
      <w:r w:rsidR="0051487A" w:rsidRPr="007564B7">
        <w:rPr>
          <w:rFonts w:eastAsia="ArialNarrow" w:cstheme="minorHAnsi"/>
        </w:rPr>
        <w:t>11.</w:t>
      </w:r>
      <w:r w:rsidR="00B35D49" w:rsidRPr="007564B7">
        <w:rPr>
          <w:rFonts w:eastAsia="ArialNarrow" w:cstheme="minorHAnsi"/>
        </w:rPr>
        <w:t>) te je, uz Međimursku i Varaždinsku županiju, najgušće naseljen</w:t>
      </w:r>
      <w:r w:rsidR="0051487A" w:rsidRPr="007564B7">
        <w:rPr>
          <w:rFonts w:eastAsia="ArialNarrow" w:cstheme="minorHAnsi"/>
        </w:rPr>
        <w:t>o</w:t>
      </w:r>
      <w:r w:rsidR="00B35D49" w:rsidRPr="007564B7">
        <w:rPr>
          <w:rFonts w:eastAsia="ArialNarrow" w:cstheme="minorHAnsi"/>
        </w:rPr>
        <w:t xml:space="preserve"> </w:t>
      </w:r>
      <w:r w:rsidR="0051487A" w:rsidRPr="007564B7">
        <w:rPr>
          <w:rFonts w:eastAsia="ArialNarrow" w:cstheme="minorHAnsi"/>
        </w:rPr>
        <w:t>područje</w:t>
      </w:r>
      <w:r w:rsidR="00B35D49" w:rsidRPr="007564B7">
        <w:rPr>
          <w:rFonts w:eastAsia="ArialNarrow" w:cstheme="minorHAnsi"/>
        </w:rPr>
        <w:t xml:space="preserve"> </w:t>
      </w:r>
      <w:r w:rsidR="0051487A" w:rsidRPr="007564B7">
        <w:rPr>
          <w:rFonts w:eastAsia="ArialNarrow" w:cstheme="minorHAnsi"/>
        </w:rPr>
        <w:t>Republike Hrvatske.</w:t>
      </w:r>
    </w:p>
    <w:p w14:paraId="07FD8397" w14:textId="77777777" w:rsidR="009C606E" w:rsidRPr="007564B7" w:rsidRDefault="009C606E" w:rsidP="00B35D49">
      <w:pPr>
        <w:rPr>
          <w:rFonts w:eastAsia="ArialNarrow" w:cstheme="minorHAnsi"/>
        </w:rPr>
      </w:pPr>
    </w:p>
    <w:p w14:paraId="50B72F5B" w14:textId="1A2BC196" w:rsidR="009C606E" w:rsidRPr="009C606E" w:rsidRDefault="009C606E" w:rsidP="002F13CF">
      <w:pPr>
        <w:pStyle w:val="Naslov3"/>
        <w:numPr>
          <w:ilvl w:val="2"/>
          <w:numId w:val="20"/>
        </w:numPr>
        <w:rPr>
          <w:color w:val="A21B20" w:themeColor="accent6" w:themeShade="80"/>
        </w:rPr>
      </w:pPr>
      <w:bookmarkStart w:id="10" w:name="_Toc85181269"/>
      <w:bookmarkEnd w:id="9"/>
      <w:r>
        <w:rPr>
          <w:color w:val="A21B20" w:themeColor="accent6" w:themeShade="80"/>
        </w:rPr>
        <w:t>Pogranična područja u KZŽ</w:t>
      </w:r>
      <w:bookmarkEnd w:id="10"/>
    </w:p>
    <w:p w14:paraId="001EEB24" w14:textId="2F5BB9CF" w:rsidR="005223D3" w:rsidRDefault="005223D3" w:rsidP="00B35D49">
      <w:pPr>
        <w:rPr>
          <w:color w:val="D2232A" w:themeColor="accent1"/>
        </w:rPr>
      </w:pPr>
    </w:p>
    <w:p w14:paraId="39B2EB65" w14:textId="5F8FE65B" w:rsidR="009C606E" w:rsidRPr="00805373" w:rsidRDefault="00AF5853" w:rsidP="009C606E">
      <w:pPr>
        <w:rPr>
          <w:rFonts w:eastAsia="ArialNarrow" w:cstheme="minorHAnsi"/>
        </w:rPr>
      </w:pPr>
      <w:r w:rsidRPr="00805373">
        <w:rPr>
          <w:rFonts w:eastAsia="ArialNarrow" w:cstheme="minorHAnsi"/>
        </w:rPr>
        <w:t>Na području Krapinsko- zagorske županije znajući da su pogranične lokalne zajednice temelj dobre suradnje između susjednih država uređena su pogranična područja s ciljem da se omogući i uredi promet osoba u pograničnim područjima i poboljšaju životni uvjeti pograničnog stanovništva. P</w:t>
      </w:r>
      <w:r w:rsidR="00262224" w:rsidRPr="00805373">
        <w:rPr>
          <w:rFonts w:eastAsia="ArialNarrow" w:cstheme="minorHAnsi"/>
        </w:rPr>
        <w:t xml:space="preserve">ogranične </w:t>
      </w:r>
      <w:r w:rsidR="009C606E" w:rsidRPr="00805373">
        <w:rPr>
          <w:rFonts w:eastAsia="ArialNarrow" w:cstheme="minorHAnsi"/>
        </w:rPr>
        <w:t>jedinice lokalne samouprave su Grad Klanjec</w:t>
      </w:r>
      <w:r w:rsidRPr="00805373">
        <w:rPr>
          <w:rFonts w:eastAsia="ArialNarrow" w:cstheme="minorHAnsi"/>
        </w:rPr>
        <w:t xml:space="preserve"> i</w:t>
      </w:r>
      <w:r w:rsidR="009C606E" w:rsidRPr="00805373">
        <w:rPr>
          <w:rFonts w:eastAsia="ArialNarrow" w:cstheme="minorHAnsi"/>
        </w:rPr>
        <w:t xml:space="preserve"> Općin</w:t>
      </w:r>
      <w:r w:rsidRPr="00805373">
        <w:rPr>
          <w:rFonts w:eastAsia="ArialNarrow" w:cstheme="minorHAnsi"/>
        </w:rPr>
        <w:t xml:space="preserve">e </w:t>
      </w:r>
      <w:r w:rsidR="009C606E" w:rsidRPr="00805373">
        <w:rPr>
          <w:rFonts w:eastAsia="ArialNarrow" w:cstheme="minorHAnsi"/>
        </w:rPr>
        <w:t>Đurmanec,</w:t>
      </w:r>
      <w:r w:rsidRPr="00805373">
        <w:rPr>
          <w:rFonts w:eastAsia="ArialNarrow" w:cstheme="minorHAnsi"/>
        </w:rPr>
        <w:t xml:space="preserve"> Hum na Sutli, </w:t>
      </w:r>
      <w:r w:rsidR="009C606E" w:rsidRPr="00805373">
        <w:rPr>
          <w:rFonts w:eastAsia="ArialNarrow" w:cstheme="minorHAnsi"/>
        </w:rPr>
        <w:t>Kumrovec</w:t>
      </w:r>
      <w:r w:rsidRPr="00805373">
        <w:rPr>
          <w:rFonts w:eastAsia="ArialNarrow" w:cstheme="minorHAnsi"/>
        </w:rPr>
        <w:t xml:space="preserve">, </w:t>
      </w:r>
      <w:r w:rsidR="009C606E" w:rsidRPr="00805373">
        <w:rPr>
          <w:rFonts w:eastAsia="ArialNarrow" w:cstheme="minorHAnsi"/>
        </w:rPr>
        <w:t>Kraljevec na Sutli</w:t>
      </w:r>
      <w:r w:rsidRPr="00805373">
        <w:rPr>
          <w:rFonts w:eastAsia="ArialNarrow" w:cstheme="minorHAnsi"/>
        </w:rPr>
        <w:t xml:space="preserve"> i Zagorska Sela</w:t>
      </w:r>
      <w:r w:rsidR="009C606E" w:rsidRPr="00805373">
        <w:rPr>
          <w:rFonts w:eastAsia="ArialNarrow" w:cstheme="minorHAnsi"/>
        </w:rPr>
        <w:t>.</w:t>
      </w:r>
      <w:r w:rsidR="00262224" w:rsidRPr="00805373">
        <w:rPr>
          <w:rFonts w:eastAsia="ArialNarrow" w:cstheme="minorHAnsi"/>
        </w:rPr>
        <w:t xml:space="preserve"> Pogranično područje sa Slovenijom</w:t>
      </w:r>
      <w:r w:rsidR="0031510B" w:rsidRPr="00805373">
        <w:rPr>
          <w:rFonts w:eastAsia="ArialNarrow" w:cstheme="minorHAnsi"/>
        </w:rPr>
        <w:t xml:space="preserve"> </w:t>
      </w:r>
      <w:r w:rsidR="00262224" w:rsidRPr="00805373">
        <w:rPr>
          <w:rFonts w:eastAsia="ArialNarrow" w:cstheme="minorHAnsi"/>
        </w:rPr>
        <w:t xml:space="preserve">dinamično </w:t>
      </w:r>
      <w:r w:rsidR="0031510B" w:rsidRPr="00805373">
        <w:rPr>
          <w:rFonts w:eastAsia="ArialNarrow" w:cstheme="minorHAnsi"/>
        </w:rPr>
        <w:t xml:space="preserve">je </w:t>
      </w:r>
      <w:r w:rsidR="00262224" w:rsidRPr="00805373">
        <w:rPr>
          <w:rFonts w:eastAsia="ArialNarrow" w:cstheme="minorHAnsi"/>
        </w:rPr>
        <w:t>u kontekstu kretanja građana koji žive na tom zajedničkom prostoru</w:t>
      </w:r>
      <w:r w:rsidR="0031510B" w:rsidRPr="00805373">
        <w:rPr>
          <w:rFonts w:eastAsia="ArialNarrow" w:cstheme="minorHAnsi"/>
        </w:rPr>
        <w:t xml:space="preserve"> zbog povijesnih razloga i kulturoloških sličnosti.</w:t>
      </w:r>
    </w:p>
    <w:p w14:paraId="1FFD4834" w14:textId="76122F9B" w:rsidR="009C606E" w:rsidRPr="00805373" w:rsidRDefault="009C606E" w:rsidP="009C606E">
      <w:pPr>
        <w:rPr>
          <w:rFonts w:eastAsia="ArialNarrow" w:cstheme="minorHAnsi"/>
        </w:rPr>
      </w:pPr>
      <w:r w:rsidRPr="00805373">
        <w:rPr>
          <w:rFonts w:eastAsia="ArialNarrow" w:cstheme="minorHAnsi"/>
        </w:rPr>
        <w:t>Dužina državne granice na području PU Krapinsko-zagorske, prema podacima Državne geodetske uprave iznosi 100,9 km. Državnu granicu na području Županije sa R</w:t>
      </w:r>
      <w:r w:rsidR="00262224" w:rsidRPr="00805373">
        <w:rPr>
          <w:rFonts w:eastAsia="ArialNarrow" w:cstheme="minorHAnsi"/>
        </w:rPr>
        <w:t>epublikom</w:t>
      </w:r>
      <w:r w:rsidRPr="00805373">
        <w:rPr>
          <w:rFonts w:eastAsia="ArialNarrow" w:cstheme="minorHAnsi"/>
        </w:rPr>
        <w:t xml:space="preserve"> Slovenijom čini prirodni tok rijeke Sutle dužine 88,86 km ili 88,06 %, Maceljsko Gorje - dužine 10,16 km ili 10,06 % i potok Lipnica - dužine 1,9 km ili 1,88 %.</w:t>
      </w:r>
    </w:p>
    <w:p w14:paraId="09E5E67E" w14:textId="2A591952" w:rsidR="0031510B" w:rsidRPr="00805373" w:rsidRDefault="009C606E" w:rsidP="0031510B">
      <w:pPr>
        <w:rPr>
          <w:rFonts w:eastAsia="ArialNarrow" w:cstheme="minorHAnsi"/>
        </w:rPr>
      </w:pPr>
      <w:r w:rsidRPr="00805373">
        <w:rPr>
          <w:rFonts w:eastAsia="ArialNarrow" w:cstheme="minorHAnsi"/>
        </w:rPr>
        <w:t>Poslove granične policije obavljaju Postaja granične policije Macelj, Policijska postaja Krapina, Policijska postaja Pregrada i Policijska postaja Klanjec. Dužina državne granice po policijskim postajama iznosi: PP Krapina</w:t>
      </w:r>
      <w:r w:rsidR="003F5721" w:rsidRPr="00805373">
        <w:rPr>
          <w:rFonts w:eastAsia="ArialNarrow" w:cstheme="minorHAnsi"/>
        </w:rPr>
        <w:t xml:space="preserve"> </w:t>
      </w:r>
      <w:r w:rsidRPr="00805373">
        <w:rPr>
          <w:rFonts w:eastAsia="ArialNarrow" w:cstheme="minorHAnsi"/>
        </w:rPr>
        <w:t>18,36 km (18 %), PP Pregrad</w:t>
      </w:r>
      <w:r w:rsidR="003F5721" w:rsidRPr="00805373">
        <w:rPr>
          <w:rFonts w:eastAsia="ArialNarrow" w:cstheme="minorHAnsi"/>
        </w:rPr>
        <w:t>a</w:t>
      </w:r>
      <w:r w:rsidRPr="00805373">
        <w:rPr>
          <w:rFonts w:eastAsia="ArialNarrow" w:cstheme="minorHAnsi"/>
        </w:rPr>
        <w:t xml:space="preserve"> 30,40 km (30 %), PP Klanjec 52,16 km (52 %).</w:t>
      </w:r>
      <w:r w:rsidR="00341FF3" w:rsidRPr="00805373">
        <w:rPr>
          <w:rFonts w:eastAsia="ArialNarrow" w:cstheme="minorHAnsi"/>
        </w:rPr>
        <w:t xml:space="preserve"> </w:t>
      </w:r>
      <w:r w:rsidR="0031510B" w:rsidRPr="00805373">
        <w:rPr>
          <w:rFonts w:eastAsia="ArialNarrow" w:cstheme="minorHAnsi"/>
        </w:rPr>
        <w:t>PGP Macelj je specijalizirana policijska postaja, koja obavlja</w:t>
      </w:r>
      <w:r w:rsidR="0031510B" w:rsidRPr="00805373">
        <w:rPr>
          <w:rFonts w:ascii="Calibri" w:eastAsia="ArialNarrow" w:hAnsi="Calibri" w:cs="Calibri"/>
        </w:rPr>
        <w:t> </w:t>
      </w:r>
      <w:r w:rsidR="0031510B" w:rsidRPr="00805373">
        <w:rPr>
          <w:rFonts w:eastAsia="ArialNarrow" w:cstheme="minorHAnsi"/>
        </w:rPr>
        <w:t>poslove</w:t>
      </w:r>
      <w:r w:rsidR="0031510B" w:rsidRPr="00805373">
        <w:rPr>
          <w:rFonts w:ascii="Calibri" w:eastAsia="ArialNarrow" w:hAnsi="Calibri" w:cs="Calibri"/>
        </w:rPr>
        <w:t> </w:t>
      </w:r>
      <w:r w:rsidR="0031510B" w:rsidRPr="00805373">
        <w:rPr>
          <w:rFonts w:eastAsia="ArialNarrow" w:cstheme="minorHAnsi"/>
        </w:rPr>
        <w:t>granične kontrole</w:t>
      </w:r>
      <w:r w:rsidR="0031510B" w:rsidRPr="00805373">
        <w:rPr>
          <w:rFonts w:ascii="Calibri" w:eastAsia="ArialNarrow" w:hAnsi="Calibri" w:cs="Calibri"/>
        </w:rPr>
        <w:t> </w:t>
      </w:r>
      <w:r w:rsidR="0031510B" w:rsidRPr="00805373">
        <w:rPr>
          <w:rFonts w:eastAsia="ArialNarrow" w:cstheme="minorHAnsi"/>
        </w:rPr>
        <w:t>na GP Macelj, Lupinjak, Hum na Sutli, Mali Tabor i ŽGP Đurmanec. PP Klanjec uz temeljne policijske poslove obnaša</w:t>
      </w:r>
      <w:r w:rsidR="0031510B" w:rsidRPr="00805373">
        <w:rPr>
          <w:rFonts w:ascii="Calibri" w:eastAsia="ArialNarrow" w:hAnsi="Calibri" w:cs="Calibri"/>
        </w:rPr>
        <w:t> </w:t>
      </w:r>
      <w:r w:rsidR="0031510B" w:rsidRPr="00805373">
        <w:rPr>
          <w:rFonts w:eastAsia="ArialNarrow" w:cstheme="minorHAnsi"/>
        </w:rPr>
        <w:t>poslove zaštite državne granice i poslove granične kontrole na GP Razvor, Mihanović Dol, Miljana, Gornji Čemehovec, Draše, Plavić i Luke Poljanske. PP Krapina i PP Pregrada uz temeljne policijske poslove obnašaju i</w:t>
      </w:r>
      <w:r w:rsidR="0031510B" w:rsidRPr="00805373">
        <w:rPr>
          <w:rFonts w:ascii="Calibri" w:eastAsia="ArialNarrow" w:hAnsi="Calibri" w:cs="Calibri"/>
        </w:rPr>
        <w:t> </w:t>
      </w:r>
      <w:r w:rsidR="0031510B" w:rsidRPr="00805373">
        <w:rPr>
          <w:rFonts w:eastAsia="ArialNarrow" w:cstheme="minorHAnsi"/>
        </w:rPr>
        <w:t>poslove zaštite državne granice. Ostale policijske postaje tzv. temeljnog tipa (Zabok, Donja Stubica i Zlatar Bistrica), po poslovima granične policije obnašaju</w:t>
      </w:r>
      <w:r w:rsidR="0031510B" w:rsidRPr="00805373">
        <w:rPr>
          <w:rFonts w:ascii="Calibri" w:eastAsia="ArialNarrow" w:hAnsi="Calibri" w:cs="Calibri"/>
        </w:rPr>
        <w:t> </w:t>
      </w:r>
      <w:r w:rsidR="0031510B" w:rsidRPr="00805373">
        <w:rPr>
          <w:rFonts w:eastAsia="ArialNarrow" w:cstheme="minorHAnsi"/>
        </w:rPr>
        <w:t>poslove vezane uz kontrolu i boravak stranaca</w:t>
      </w:r>
      <w:r w:rsidR="0031510B" w:rsidRPr="00805373">
        <w:rPr>
          <w:rFonts w:ascii="Calibri" w:eastAsia="ArialNarrow" w:hAnsi="Calibri" w:cs="Calibri"/>
        </w:rPr>
        <w:t> </w:t>
      </w:r>
      <w:r w:rsidR="0031510B" w:rsidRPr="00805373">
        <w:rPr>
          <w:rFonts w:eastAsia="ArialNarrow" w:cstheme="minorHAnsi"/>
        </w:rPr>
        <w:t xml:space="preserve">na svojem postajnom području. Dogovorom između Vlade Republike Hrvatske i Vlade Republike Slovenije o uvođenju zajedničkih službenih mjesta za obavljanje granične kontrole, potpisanim 12. lipnja 2013. godine, od 01.07.2013. godine, na području PU krapinsko-zagorske uvedene su "One stop control" na svim graničnim prijelazima, osim na Stalnom graničnom prijelazu za međunarodni promet putnika i roba u cestovnom prometu – Macelj i </w:t>
      </w:r>
      <w:r w:rsidR="0031510B" w:rsidRPr="00805373">
        <w:rPr>
          <w:rFonts w:ascii="Calibri" w:eastAsia="ArialNarrow" w:hAnsi="Calibri" w:cs="Calibri"/>
        </w:rPr>
        <w:t> </w:t>
      </w:r>
      <w:r w:rsidR="0031510B" w:rsidRPr="00805373">
        <w:rPr>
          <w:rFonts w:eastAsia="ArialNarrow" w:cstheme="minorHAnsi"/>
        </w:rPr>
        <w:t>Stalnom graničnom prijelazu za međunarodni promet putnika i roba u željezničkom prometu –</w:t>
      </w:r>
      <w:r w:rsidR="0031510B" w:rsidRPr="00805373">
        <w:rPr>
          <w:rFonts w:ascii="Calibri" w:eastAsia="ArialNarrow" w:hAnsi="Calibri" w:cs="Calibri"/>
        </w:rPr>
        <w:t> </w:t>
      </w:r>
      <w:r w:rsidR="0031510B" w:rsidRPr="00805373">
        <w:rPr>
          <w:rFonts w:eastAsia="ArialNarrow" w:cstheme="minorHAnsi"/>
        </w:rPr>
        <w:t>Đurmanec.</w:t>
      </w:r>
    </w:p>
    <w:p w14:paraId="6FBBB02A" w14:textId="77777777" w:rsidR="00E8538E" w:rsidRDefault="00E8538E" w:rsidP="00E8538E">
      <w:r w:rsidRPr="00B47C65">
        <w:rPr>
          <w:rFonts w:eastAsia="ArialNarrow"/>
        </w:rPr>
        <w:t>Prema Uredbi o graničnim prijelazima Republike Hrvatske (NN 79/13) na prostoru Krapinsko-zagorske županije nalazi se 15 graničnih prijelaza. Uz granični prijelaz Macelj, na području KZŽ postoji još nekoliko cestovnih graničnih prijelaza prema Republici Sloveniji: Lupinjak i Razvor (stalni međunarodni granični prijelazi II. kategorije), Hum na Sutli, Mihanović Dol i Miljana (</w:t>
      </w:r>
      <w:r w:rsidRPr="00B47C65">
        <w:t>stalni međudržavni granični cestovni prijelazi II. kategorije), Mali Tabor, Gornji Čemehovec, Draše, Plavić, Luka Poljanska i Klenovec Humski (granični prijelazi za pogranični promet).</w:t>
      </w:r>
      <w:r>
        <w:t xml:space="preserve"> </w:t>
      </w:r>
    </w:p>
    <w:p w14:paraId="404101D7" w14:textId="395F77AA" w:rsidR="003F5721" w:rsidRDefault="003F5721" w:rsidP="003F5721">
      <w:pPr>
        <w:rPr>
          <w:color w:val="auto"/>
        </w:rPr>
      </w:pPr>
      <w:r w:rsidRPr="007C0C7A">
        <w:rPr>
          <w:color w:val="auto"/>
        </w:rPr>
        <w:lastRenderedPageBreak/>
        <w:t xml:space="preserve">U odnosu na 2018 godinu na pograničnom području povećavaju se poslovi u vezi nezakonitih migracija. Prema </w:t>
      </w:r>
      <w:bookmarkStart w:id="11" w:name="_Hlk76987615"/>
      <w:r w:rsidRPr="007C0C7A">
        <w:rPr>
          <w:color w:val="auto"/>
        </w:rPr>
        <w:t xml:space="preserve">Godišnjem izvješću o stanju sigurnosti na području PU krapinsko-zagorske </w:t>
      </w:r>
      <w:bookmarkEnd w:id="11"/>
      <w:r w:rsidRPr="007C0C7A">
        <w:rPr>
          <w:rStyle w:val="Referencafusnote"/>
          <w:color w:val="auto"/>
        </w:rPr>
        <w:footnoteReference w:id="1"/>
      </w:r>
      <w:r w:rsidRPr="007C0C7A">
        <w:rPr>
          <w:color w:val="auto"/>
        </w:rPr>
        <w:t xml:space="preserve"> podatak za protuzakonito ulaženje, kretanje i boravak u RH-a i EU u 2018. godini je iznosio 7 te se povećao u 2019. godini na 21. </w:t>
      </w:r>
    </w:p>
    <w:p w14:paraId="1E7E9784" w14:textId="77777777" w:rsidR="00B47C65" w:rsidRDefault="00B47C65" w:rsidP="003F5721">
      <w:pPr>
        <w:rPr>
          <w:color w:val="auto"/>
        </w:rPr>
      </w:pPr>
    </w:p>
    <w:p w14:paraId="5A898530" w14:textId="33622029" w:rsidR="003F5721" w:rsidRPr="00102123" w:rsidRDefault="003F5721" w:rsidP="003E3F3C">
      <w:pPr>
        <w:pStyle w:val="Opisslike"/>
        <w:rPr>
          <w:noProof/>
        </w:rPr>
      </w:pPr>
      <w:r>
        <w:t xml:space="preserve">Tablica </w:t>
      </w:r>
      <w:r w:rsidR="0018019C">
        <w:t>1</w:t>
      </w:r>
      <w:r>
        <w:rPr>
          <w:noProof/>
        </w:rPr>
        <w:t>. Pregled ilegalnih prelazaka državne granice po postajama- strani državljani</w:t>
      </w:r>
    </w:p>
    <w:tbl>
      <w:tblPr>
        <w:tblW w:w="9341" w:type="dxa"/>
        <w:tblLook w:val="04A0" w:firstRow="1" w:lastRow="0" w:firstColumn="1" w:lastColumn="0" w:noHBand="0" w:noVBand="1"/>
      </w:tblPr>
      <w:tblGrid>
        <w:gridCol w:w="3143"/>
        <w:gridCol w:w="2066"/>
        <w:gridCol w:w="2066"/>
        <w:gridCol w:w="2066"/>
      </w:tblGrid>
      <w:tr w:rsidR="003F5721" w:rsidRPr="003F5721" w14:paraId="6D2B715C" w14:textId="77777777" w:rsidTr="00E0359C">
        <w:trPr>
          <w:trHeight w:val="332"/>
        </w:trPr>
        <w:tc>
          <w:tcPr>
            <w:tcW w:w="3143" w:type="dxa"/>
            <w:tcBorders>
              <w:top w:val="nil"/>
              <w:left w:val="nil"/>
              <w:bottom w:val="single" w:sz="8" w:space="0" w:color="F3CFC1"/>
              <w:right w:val="nil"/>
            </w:tcBorders>
            <w:shd w:val="clear" w:color="000000" w:fill="D2232A"/>
            <w:noWrap/>
            <w:vAlign w:val="center"/>
            <w:hideMark/>
          </w:tcPr>
          <w:p w14:paraId="42011F60" w14:textId="77777777" w:rsidR="003F5721" w:rsidRPr="003F5721" w:rsidRDefault="003F5721" w:rsidP="003F5721">
            <w:pPr>
              <w:spacing w:after="0" w:line="240" w:lineRule="auto"/>
              <w:rPr>
                <w:rFonts w:eastAsia="Times New Roman" w:cs="Calibri"/>
                <w:b/>
                <w:bCs/>
                <w:color w:val="FFFFFF"/>
                <w:szCs w:val="18"/>
                <w:lang w:eastAsia="hr-HR"/>
              </w:rPr>
            </w:pPr>
            <w:r w:rsidRPr="003F5721">
              <w:rPr>
                <w:rFonts w:eastAsia="Times New Roman" w:cs="Calibri"/>
                <w:b/>
                <w:bCs/>
                <w:color w:val="FFFFFF"/>
                <w:szCs w:val="18"/>
                <w:lang w:eastAsia="hr-HR"/>
              </w:rPr>
              <w:t>Policijska postaja</w:t>
            </w:r>
          </w:p>
        </w:tc>
        <w:tc>
          <w:tcPr>
            <w:tcW w:w="2066" w:type="dxa"/>
            <w:tcBorders>
              <w:top w:val="nil"/>
              <w:left w:val="nil"/>
              <w:bottom w:val="single" w:sz="8" w:space="0" w:color="F3CFC1"/>
              <w:right w:val="single" w:sz="8" w:space="0" w:color="D2232A"/>
            </w:tcBorders>
            <w:shd w:val="clear" w:color="000000" w:fill="D2232A"/>
            <w:noWrap/>
            <w:vAlign w:val="center"/>
            <w:hideMark/>
          </w:tcPr>
          <w:p w14:paraId="401D7F6A" w14:textId="77777777" w:rsidR="003F5721" w:rsidRPr="003F5721" w:rsidRDefault="003F5721" w:rsidP="003F5721">
            <w:pPr>
              <w:spacing w:after="0" w:line="240" w:lineRule="auto"/>
              <w:jc w:val="center"/>
              <w:rPr>
                <w:rFonts w:eastAsia="Times New Roman" w:cs="Calibri"/>
                <w:color w:val="FFFFFF"/>
                <w:szCs w:val="18"/>
                <w:lang w:eastAsia="hr-HR"/>
              </w:rPr>
            </w:pPr>
            <w:r w:rsidRPr="003F5721">
              <w:rPr>
                <w:rFonts w:eastAsia="Times New Roman" w:cs="Calibri"/>
                <w:color w:val="FFFFFF"/>
                <w:szCs w:val="18"/>
                <w:lang w:eastAsia="hr-HR"/>
              </w:rPr>
              <w:t xml:space="preserve">2018. </w:t>
            </w:r>
          </w:p>
        </w:tc>
        <w:tc>
          <w:tcPr>
            <w:tcW w:w="2066" w:type="dxa"/>
            <w:tcBorders>
              <w:top w:val="nil"/>
              <w:left w:val="nil"/>
              <w:bottom w:val="single" w:sz="8" w:space="0" w:color="F3CFC1"/>
              <w:right w:val="single" w:sz="8" w:space="0" w:color="D2232A"/>
            </w:tcBorders>
            <w:shd w:val="clear" w:color="000000" w:fill="D2232A"/>
            <w:noWrap/>
            <w:vAlign w:val="center"/>
            <w:hideMark/>
          </w:tcPr>
          <w:p w14:paraId="46ADE1AB" w14:textId="77777777" w:rsidR="003F5721" w:rsidRPr="003F5721" w:rsidRDefault="003F5721" w:rsidP="003F5721">
            <w:pPr>
              <w:spacing w:after="0" w:line="240" w:lineRule="auto"/>
              <w:jc w:val="center"/>
              <w:rPr>
                <w:rFonts w:eastAsia="Times New Roman" w:cs="Calibri"/>
                <w:color w:val="FFFFFF"/>
                <w:szCs w:val="18"/>
                <w:lang w:eastAsia="hr-HR"/>
              </w:rPr>
            </w:pPr>
            <w:r w:rsidRPr="003F5721">
              <w:rPr>
                <w:rFonts w:eastAsia="Times New Roman" w:cs="Calibri"/>
                <w:color w:val="FFFFFF"/>
                <w:szCs w:val="18"/>
                <w:lang w:eastAsia="hr-HR"/>
              </w:rPr>
              <w:t xml:space="preserve">2019. </w:t>
            </w:r>
          </w:p>
        </w:tc>
        <w:tc>
          <w:tcPr>
            <w:tcW w:w="2066" w:type="dxa"/>
            <w:tcBorders>
              <w:top w:val="nil"/>
              <w:left w:val="nil"/>
              <w:bottom w:val="single" w:sz="8" w:space="0" w:color="F3CFC1"/>
              <w:right w:val="single" w:sz="8" w:space="0" w:color="D2232A"/>
            </w:tcBorders>
            <w:shd w:val="clear" w:color="000000" w:fill="D2232A"/>
            <w:noWrap/>
            <w:vAlign w:val="center"/>
            <w:hideMark/>
          </w:tcPr>
          <w:p w14:paraId="17B746FF" w14:textId="51C755AB" w:rsidR="003F5721" w:rsidRPr="003F5721" w:rsidRDefault="00143491" w:rsidP="003F5721">
            <w:pPr>
              <w:spacing w:after="0" w:line="240" w:lineRule="auto"/>
              <w:jc w:val="center"/>
              <w:rPr>
                <w:rFonts w:eastAsia="Times New Roman" w:cs="Calibri"/>
                <w:color w:val="FFFFFF"/>
                <w:szCs w:val="18"/>
                <w:lang w:eastAsia="hr-HR"/>
              </w:rPr>
            </w:pPr>
            <w:r>
              <w:rPr>
                <w:rFonts w:eastAsia="Times New Roman" w:cs="Calibri"/>
                <w:color w:val="FFFFFF"/>
                <w:szCs w:val="18"/>
                <w:lang w:eastAsia="hr-HR"/>
              </w:rPr>
              <w:t>+</w:t>
            </w:r>
            <w:r w:rsidR="003F5721" w:rsidRPr="003F5721">
              <w:rPr>
                <w:rFonts w:eastAsia="Times New Roman" w:cs="Calibri"/>
                <w:color w:val="FFFFFF"/>
                <w:szCs w:val="18"/>
                <w:lang w:eastAsia="hr-HR"/>
              </w:rPr>
              <w:t>/- %</w:t>
            </w:r>
          </w:p>
        </w:tc>
      </w:tr>
      <w:tr w:rsidR="003F5721" w:rsidRPr="003F5721" w14:paraId="55D23786" w14:textId="77777777" w:rsidTr="00143491">
        <w:trPr>
          <w:trHeight w:val="325"/>
        </w:trPr>
        <w:tc>
          <w:tcPr>
            <w:tcW w:w="3143" w:type="dxa"/>
            <w:tcBorders>
              <w:top w:val="nil"/>
              <w:left w:val="nil"/>
              <w:bottom w:val="single" w:sz="8" w:space="0" w:color="F3CFC1"/>
              <w:right w:val="nil"/>
            </w:tcBorders>
            <w:shd w:val="clear" w:color="000000" w:fill="D2232A"/>
            <w:noWrap/>
            <w:vAlign w:val="center"/>
            <w:hideMark/>
          </w:tcPr>
          <w:p w14:paraId="36A8D6A0" w14:textId="77777777" w:rsidR="003F5721" w:rsidRPr="003F5721" w:rsidRDefault="003F5721" w:rsidP="003F5721">
            <w:pPr>
              <w:spacing w:after="0" w:line="240" w:lineRule="auto"/>
              <w:rPr>
                <w:rFonts w:eastAsia="Times New Roman" w:cs="Calibri"/>
                <w:color w:val="FFFFFF"/>
                <w:szCs w:val="18"/>
                <w:lang w:eastAsia="hr-HR"/>
              </w:rPr>
            </w:pPr>
            <w:r w:rsidRPr="003F5721">
              <w:rPr>
                <w:rFonts w:eastAsia="Times New Roman" w:cs="Calibri"/>
                <w:color w:val="FFFFFF"/>
                <w:szCs w:val="18"/>
                <w:lang w:eastAsia="hr-HR"/>
              </w:rPr>
              <w:t>PP KLANJEC</w:t>
            </w:r>
          </w:p>
        </w:tc>
        <w:tc>
          <w:tcPr>
            <w:tcW w:w="2066" w:type="dxa"/>
            <w:tcBorders>
              <w:top w:val="nil"/>
              <w:left w:val="nil"/>
              <w:bottom w:val="single" w:sz="4" w:space="0" w:color="EC8E92" w:themeColor="accent6"/>
              <w:right w:val="single" w:sz="8" w:space="0" w:color="D2232A"/>
            </w:tcBorders>
            <w:shd w:val="clear" w:color="auto" w:fill="auto"/>
            <w:noWrap/>
            <w:vAlign w:val="center"/>
            <w:hideMark/>
          </w:tcPr>
          <w:p w14:paraId="063E89E0" w14:textId="77777777" w:rsidR="003F5721" w:rsidRPr="003F5721" w:rsidRDefault="003F5721" w:rsidP="003F5721">
            <w:pPr>
              <w:spacing w:after="0" w:line="240" w:lineRule="auto"/>
              <w:jc w:val="right"/>
              <w:rPr>
                <w:rFonts w:eastAsia="Times New Roman" w:cs="Calibri"/>
                <w:color w:val="000000"/>
                <w:szCs w:val="18"/>
                <w:lang w:eastAsia="hr-HR"/>
              </w:rPr>
            </w:pPr>
            <w:r w:rsidRPr="003F5721">
              <w:rPr>
                <w:rFonts w:eastAsia="Times New Roman" w:cs="Calibri"/>
                <w:color w:val="000000"/>
                <w:szCs w:val="18"/>
                <w:lang w:eastAsia="hr-HR"/>
              </w:rPr>
              <w:t>3</w:t>
            </w:r>
          </w:p>
        </w:tc>
        <w:tc>
          <w:tcPr>
            <w:tcW w:w="2066" w:type="dxa"/>
            <w:tcBorders>
              <w:top w:val="nil"/>
              <w:left w:val="nil"/>
              <w:bottom w:val="single" w:sz="4" w:space="0" w:color="EC8E92" w:themeColor="accent6"/>
              <w:right w:val="single" w:sz="8" w:space="0" w:color="D2232A"/>
            </w:tcBorders>
            <w:shd w:val="clear" w:color="auto" w:fill="auto"/>
            <w:noWrap/>
            <w:vAlign w:val="center"/>
            <w:hideMark/>
          </w:tcPr>
          <w:p w14:paraId="283C105F" w14:textId="77777777" w:rsidR="003F5721" w:rsidRPr="003F5721" w:rsidRDefault="003F5721" w:rsidP="003F5721">
            <w:pPr>
              <w:spacing w:after="0" w:line="240" w:lineRule="auto"/>
              <w:jc w:val="right"/>
              <w:rPr>
                <w:rFonts w:eastAsia="Times New Roman" w:cs="Calibri"/>
                <w:color w:val="000000"/>
                <w:szCs w:val="18"/>
                <w:lang w:eastAsia="hr-HR"/>
              </w:rPr>
            </w:pPr>
            <w:r w:rsidRPr="003F5721">
              <w:rPr>
                <w:rFonts w:eastAsia="Times New Roman" w:cs="Calibri"/>
                <w:color w:val="000000"/>
                <w:szCs w:val="18"/>
                <w:lang w:eastAsia="hr-HR"/>
              </w:rPr>
              <w:t>6</w:t>
            </w:r>
          </w:p>
        </w:tc>
        <w:tc>
          <w:tcPr>
            <w:tcW w:w="2066" w:type="dxa"/>
            <w:tcBorders>
              <w:top w:val="nil"/>
              <w:left w:val="nil"/>
              <w:bottom w:val="single" w:sz="4" w:space="0" w:color="EC8E92" w:themeColor="accent6"/>
              <w:right w:val="single" w:sz="8" w:space="0" w:color="D2232A"/>
            </w:tcBorders>
            <w:shd w:val="clear" w:color="auto" w:fill="auto"/>
            <w:noWrap/>
            <w:vAlign w:val="center"/>
            <w:hideMark/>
          </w:tcPr>
          <w:p w14:paraId="234CD69E" w14:textId="77777777" w:rsidR="003F5721" w:rsidRPr="003F5721" w:rsidRDefault="003F5721" w:rsidP="003F5721">
            <w:pPr>
              <w:spacing w:after="0" w:line="240" w:lineRule="auto"/>
              <w:jc w:val="right"/>
              <w:rPr>
                <w:rFonts w:eastAsia="Times New Roman" w:cs="Calibri"/>
                <w:color w:val="000000"/>
                <w:szCs w:val="18"/>
                <w:lang w:eastAsia="hr-HR"/>
              </w:rPr>
            </w:pPr>
            <w:r w:rsidRPr="003F5721">
              <w:rPr>
                <w:rFonts w:eastAsia="Times New Roman" w:cs="Calibri"/>
                <w:color w:val="000000"/>
                <w:szCs w:val="18"/>
                <w:lang w:eastAsia="hr-HR"/>
              </w:rPr>
              <w:t>100%</w:t>
            </w:r>
          </w:p>
        </w:tc>
      </w:tr>
      <w:tr w:rsidR="003F5721" w:rsidRPr="003F5721" w14:paraId="63CABA40" w14:textId="77777777" w:rsidTr="00143491">
        <w:trPr>
          <w:trHeight w:val="325"/>
        </w:trPr>
        <w:tc>
          <w:tcPr>
            <w:tcW w:w="3143" w:type="dxa"/>
            <w:tcBorders>
              <w:top w:val="nil"/>
              <w:left w:val="nil"/>
              <w:bottom w:val="single" w:sz="4" w:space="0" w:color="EC8E92" w:themeColor="accent6"/>
              <w:right w:val="nil"/>
            </w:tcBorders>
            <w:shd w:val="clear" w:color="000000" w:fill="D2232A"/>
            <w:noWrap/>
            <w:vAlign w:val="center"/>
            <w:hideMark/>
          </w:tcPr>
          <w:p w14:paraId="7CA8FE7F" w14:textId="77777777" w:rsidR="003F5721" w:rsidRPr="003F5721" w:rsidRDefault="003F5721" w:rsidP="003F5721">
            <w:pPr>
              <w:spacing w:after="0" w:line="240" w:lineRule="auto"/>
              <w:rPr>
                <w:rFonts w:eastAsia="Times New Roman" w:cs="Calibri"/>
                <w:color w:val="EFA4A7" w:themeColor="accent1" w:themeTint="66"/>
                <w:szCs w:val="18"/>
                <w:lang w:eastAsia="hr-HR"/>
              </w:rPr>
            </w:pPr>
            <w:r w:rsidRPr="003F5721">
              <w:rPr>
                <w:rFonts w:eastAsia="Times New Roman" w:cs="Calibri"/>
                <w:color w:val="FFFFFF"/>
                <w:szCs w:val="18"/>
                <w:lang w:eastAsia="hr-HR"/>
              </w:rPr>
              <w:t>PP KRAPINA</w:t>
            </w:r>
          </w:p>
        </w:tc>
        <w:tc>
          <w:tcPr>
            <w:tcW w:w="2066" w:type="dxa"/>
            <w:tcBorders>
              <w:top w:val="single" w:sz="4" w:space="0" w:color="EC8E92" w:themeColor="accent6"/>
              <w:left w:val="nil"/>
              <w:bottom w:val="single" w:sz="4" w:space="0" w:color="EC8E92" w:themeColor="accent6"/>
              <w:right w:val="single" w:sz="8" w:space="0" w:color="D2232A"/>
            </w:tcBorders>
            <w:shd w:val="clear" w:color="auto" w:fill="auto"/>
            <w:noWrap/>
            <w:vAlign w:val="center"/>
            <w:hideMark/>
          </w:tcPr>
          <w:p w14:paraId="7A3840C6" w14:textId="06838E6B" w:rsidR="003F5721" w:rsidRPr="003F5721" w:rsidRDefault="00143491" w:rsidP="00143491">
            <w:pPr>
              <w:spacing w:after="0" w:line="240" w:lineRule="auto"/>
              <w:jc w:val="right"/>
              <w:rPr>
                <w:rFonts w:eastAsia="Times New Roman" w:cs="Calibri"/>
                <w:color w:val="auto"/>
                <w:szCs w:val="18"/>
                <w:lang w:eastAsia="hr-HR"/>
              </w:rPr>
            </w:pPr>
            <w:r w:rsidRPr="00143491">
              <w:rPr>
                <w:rFonts w:eastAsia="Times New Roman" w:cs="Calibri"/>
                <w:color w:val="auto"/>
                <w:szCs w:val="18"/>
                <w:lang w:eastAsia="hr-HR"/>
              </w:rPr>
              <w:t>4</w:t>
            </w:r>
          </w:p>
        </w:tc>
        <w:tc>
          <w:tcPr>
            <w:tcW w:w="2066" w:type="dxa"/>
            <w:tcBorders>
              <w:top w:val="single" w:sz="4" w:space="0" w:color="EC8E92" w:themeColor="accent6"/>
              <w:left w:val="nil"/>
              <w:bottom w:val="single" w:sz="4" w:space="0" w:color="EC8E92" w:themeColor="accent6"/>
              <w:right w:val="single" w:sz="8" w:space="0" w:color="D2232A"/>
            </w:tcBorders>
            <w:shd w:val="clear" w:color="auto" w:fill="auto"/>
            <w:noWrap/>
            <w:vAlign w:val="center"/>
            <w:hideMark/>
          </w:tcPr>
          <w:p w14:paraId="5B19E8D5" w14:textId="77777777" w:rsidR="003F5721" w:rsidRPr="003F5721" w:rsidRDefault="003F5721" w:rsidP="003F5721">
            <w:pPr>
              <w:spacing w:after="0" w:line="240" w:lineRule="auto"/>
              <w:jc w:val="right"/>
              <w:rPr>
                <w:rFonts w:eastAsia="Times New Roman" w:cs="Calibri"/>
                <w:color w:val="auto"/>
                <w:szCs w:val="18"/>
                <w:lang w:eastAsia="hr-HR"/>
              </w:rPr>
            </w:pPr>
            <w:r w:rsidRPr="003F5721">
              <w:rPr>
                <w:rFonts w:eastAsia="Times New Roman" w:cs="Calibri"/>
                <w:color w:val="auto"/>
                <w:szCs w:val="18"/>
                <w:lang w:eastAsia="hr-HR"/>
              </w:rPr>
              <w:t>5</w:t>
            </w:r>
          </w:p>
        </w:tc>
        <w:tc>
          <w:tcPr>
            <w:tcW w:w="2066" w:type="dxa"/>
            <w:tcBorders>
              <w:top w:val="single" w:sz="4" w:space="0" w:color="EC8E92" w:themeColor="accent6"/>
              <w:left w:val="nil"/>
              <w:bottom w:val="single" w:sz="4" w:space="0" w:color="EC8E92" w:themeColor="accent6"/>
              <w:right w:val="single" w:sz="8" w:space="0" w:color="D2232A"/>
            </w:tcBorders>
            <w:shd w:val="clear" w:color="auto" w:fill="auto"/>
            <w:noWrap/>
            <w:vAlign w:val="center"/>
            <w:hideMark/>
          </w:tcPr>
          <w:p w14:paraId="0C062BCB" w14:textId="77777777" w:rsidR="003F5721" w:rsidRPr="003F5721" w:rsidRDefault="003F5721" w:rsidP="003F5721">
            <w:pPr>
              <w:spacing w:after="0" w:line="240" w:lineRule="auto"/>
              <w:jc w:val="right"/>
              <w:rPr>
                <w:rFonts w:eastAsia="Times New Roman" w:cs="Calibri"/>
                <w:color w:val="auto"/>
                <w:szCs w:val="18"/>
                <w:lang w:eastAsia="hr-HR"/>
              </w:rPr>
            </w:pPr>
            <w:r w:rsidRPr="003F5721">
              <w:rPr>
                <w:rFonts w:eastAsia="Times New Roman" w:cs="Calibri"/>
                <w:color w:val="auto"/>
                <w:szCs w:val="18"/>
                <w:lang w:eastAsia="hr-HR"/>
              </w:rPr>
              <w:t>25%</w:t>
            </w:r>
          </w:p>
        </w:tc>
      </w:tr>
      <w:tr w:rsidR="003F5721" w:rsidRPr="003F5721" w14:paraId="6A5211E1" w14:textId="77777777" w:rsidTr="003F5721">
        <w:trPr>
          <w:trHeight w:val="312"/>
        </w:trPr>
        <w:tc>
          <w:tcPr>
            <w:tcW w:w="3143" w:type="dxa"/>
            <w:tcBorders>
              <w:top w:val="nil"/>
              <w:left w:val="nil"/>
              <w:bottom w:val="nil"/>
              <w:right w:val="nil"/>
            </w:tcBorders>
            <w:shd w:val="clear" w:color="000000" w:fill="D2232A"/>
            <w:noWrap/>
            <w:vAlign w:val="center"/>
            <w:hideMark/>
          </w:tcPr>
          <w:p w14:paraId="7358093B" w14:textId="77777777" w:rsidR="003F5721" w:rsidRPr="003F5721" w:rsidRDefault="003F5721" w:rsidP="003F5721">
            <w:pPr>
              <w:spacing w:after="0" w:line="240" w:lineRule="auto"/>
              <w:rPr>
                <w:rFonts w:eastAsia="Times New Roman" w:cs="Calibri"/>
                <w:color w:val="FFFFFF"/>
                <w:szCs w:val="18"/>
                <w:lang w:eastAsia="hr-HR"/>
              </w:rPr>
            </w:pPr>
            <w:r w:rsidRPr="003F5721">
              <w:rPr>
                <w:rFonts w:eastAsia="Times New Roman" w:cs="Calibri"/>
                <w:color w:val="FFFFFF"/>
                <w:szCs w:val="18"/>
                <w:lang w:eastAsia="hr-HR"/>
              </w:rPr>
              <w:t>PP PREGRADA</w:t>
            </w:r>
          </w:p>
        </w:tc>
        <w:tc>
          <w:tcPr>
            <w:tcW w:w="2066" w:type="dxa"/>
            <w:tcBorders>
              <w:top w:val="nil"/>
              <w:left w:val="nil"/>
              <w:bottom w:val="nil"/>
              <w:right w:val="single" w:sz="8" w:space="0" w:color="D2232A"/>
            </w:tcBorders>
            <w:shd w:val="clear" w:color="auto" w:fill="auto"/>
            <w:noWrap/>
            <w:vAlign w:val="center"/>
            <w:hideMark/>
          </w:tcPr>
          <w:p w14:paraId="1367106D" w14:textId="77777777" w:rsidR="003F5721" w:rsidRPr="003F5721" w:rsidRDefault="003F5721" w:rsidP="003F5721">
            <w:pPr>
              <w:spacing w:after="0" w:line="240" w:lineRule="auto"/>
              <w:jc w:val="right"/>
              <w:rPr>
                <w:rFonts w:eastAsia="Times New Roman" w:cs="Calibri"/>
                <w:color w:val="000000"/>
                <w:szCs w:val="18"/>
                <w:lang w:eastAsia="hr-HR"/>
              </w:rPr>
            </w:pPr>
            <w:r w:rsidRPr="003F5721">
              <w:rPr>
                <w:rFonts w:eastAsia="Times New Roman" w:cs="Calibri"/>
                <w:color w:val="000000"/>
                <w:szCs w:val="18"/>
                <w:lang w:eastAsia="hr-HR"/>
              </w:rPr>
              <w:t>1</w:t>
            </w:r>
          </w:p>
        </w:tc>
        <w:tc>
          <w:tcPr>
            <w:tcW w:w="2066" w:type="dxa"/>
            <w:tcBorders>
              <w:top w:val="nil"/>
              <w:left w:val="nil"/>
              <w:bottom w:val="nil"/>
              <w:right w:val="single" w:sz="8" w:space="0" w:color="D2232A"/>
            </w:tcBorders>
            <w:shd w:val="clear" w:color="auto" w:fill="auto"/>
            <w:noWrap/>
            <w:vAlign w:val="center"/>
            <w:hideMark/>
          </w:tcPr>
          <w:p w14:paraId="73EDDFF7" w14:textId="77777777" w:rsidR="003F5721" w:rsidRPr="003F5721" w:rsidRDefault="003F5721" w:rsidP="003F5721">
            <w:pPr>
              <w:spacing w:after="0" w:line="240" w:lineRule="auto"/>
              <w:jc w:val="right"/>
              <w:rPr>
                <w:rFonts w:eastAsia="Times New Roman" w:cs="Calibri"/>
                <w:color w:val="000000"/>
                <w:szCs w:val="18"/>
                <w:lang w:eastAsia="hr-HR"/>
              </w:rPr>
            </w:pPr>
            <w:r w:rsidRPr="003F5721">
              <w:rPr>
                <w:rFonts w:eastAsia="Times New Roman" w:cs="Calibri"/>
                <w:color w:val="000000"/>
                <w:szCs w:val="18"/>
                <w:lang w:eastAsia="hr-HR"/>
              </w:rPr>
              <w:t>2</w:t>
            </w:r>
          </w:p>
        </w:tc>
        <w:tc>
          <w:tcPr>
            <w:tcW w:w="2066" w:type="dxa"/>
            <w:tcBorders>
              <w:top w:val="nil"/>
              <w:left w:val="nil"/>
              <w:bottom w:val="nil"/>
              <w:right w:val="single" w:sz="8" w:space="0" w:color="D2232A"/>
            </w:tcBorders>
            <w:shd w:val="clear" w:color="auto" w:fill="auto"/>
            <w:noWrap/>
            <w:vAlign w:val="center"/>
            <w:hideMark/>
          </w:tcPr>
          <w:p w14:paraId="07B5F3AE" w14:textId="77777777" w:rsidR="003F5721" w:rsidRPr="003F5721" w:rsidRDefault="003F5721" w:rsidP="003F5721">
            <w:pPr>
              <w:spacing w:after="0" w:line="240" w:lineRule="auto"/>
              <w:jc w:val="right"/>
              <w:rPr>
                <w:rFonts w:eastAsia="Times New Roman" w:cs="Calibri"/>
                <w:color w:val="000000"/>
                <w:szCs w:val="18"/>
                <w:lang w:eastAsia="hr-HR"/>
              </w:rPr>
            </w:pPr>
            <w:r w:rsidRPr="003F5721">
              <w:rPr>
                <w:rFonts w:eastAsia="Times New Roman" w:cs="Calibri"/>
                <w:color w:val="000000"/>
                <w:szCs w:val="18"/>
                <w:lang w:eastAsia="hr-HR"/>
              </w:rPr>
              <w:t>100%</w:t>
            </w:r>
          </w:p>
        </w:tc>
      </w:tr>
      <w:tr w:rsidR="003F5721" w:rsidRPr="003F5721" w14:paraId="615E83B3" w14:textId="77777777" w:rsidTr="003F5721">
        <w:trPr>
          <w:trHeight w:val="312"/>
        </w:trPr>
        <w:tc>
          <w:tcPr>
            <w:tcW w:w="3143" w:type="dxa"/>
            <w:tcBorders>
              <w:top w:val="nil"/>
              <w:left w:val="nil"/>
              <w:bottom w:val="nil"/>
              <w:right w:val="nil"/>
            </w:tcBorders>
            <w:shd w:val="clear" w:color="000000" w:fill="A6A6A6"/>
            <w:noWrap/>
            <w:vAlign w:val="center"/>
            <w:hideMark/>
          </w:tcPr>
          <w:p w14:paraId="6984E35D" w14:textId="77777777" w:rsidR="003F5721" w:rsidRPr="003F5721" w:rsidRDefault="003F5721" w:rsidP="003F5721">
            <w:pPr>
              <w:spacing w:after="0" w:line="240" w:lineRule="auto"/>
              <w:rPr>
                <w:rFonts w:eastAsia="Times New Roman" w:cs="Calibri"/>
                <w:color w:val="FFFFFF"/>
                <w:szCs w:val="18"/>
                <w:lang w:eastAsia="hr-HR"/>
              </w:rPr>
            </w:pPr>
            <w:r w:rsidRPr="003F5721">
              <w:rPr>
                <w:rFonts w:eastAsia="Times New Roman" w:cs="Calibri"/>
                <w:color w:val="FFFFFF"/>
                <w:szCs w:val="18"/>
                <w:lang w:eastAsia="hr-HR"/>
              </w:rPr>
              <w:t>PU UKUPNO</w:t>
            </w:r>
          </w:p>
        </w:tc>
        <w:tc>
          <w:tcPr>
            <w:tcW w:w="2066" w:type="dxa"/>
            <w:tcBorders>
              <w:top w:val="nil"/>
              <w:left w:val="nil"/>
              <w:bottom w:val="nil"/>
              <w:right w:val="nil"/>
            </w:tcBorders>
            <w:shd w:val="clear" w:color="000000" w:fill="A6A6A6"/>
            <w:noWrap/>
            <w:vAlign w:val="center"/>
            <w:hideMark/>
          </w:tcPr>
          <w:p w14:paraId="2A1365F1" w14:textId="77777777" w:rsidR="003F5721" w:rsidRPr="003F5721" w:rsidRDefault="003F5721" w:rsidP="003F5721">
            <w:pPr>
              <w:spacing w:after="0" w:line="240" w:lineRule="auto"/>
              <w:jc w:val="right"/>
              <w:rPr>
                <w:rFonts w:eastAsia="Times New Roman" w:cs="Calibri"/>
                <w:color w:val="000000"/>
                <w:szCs w:val="18"/>
                <w:lang w:eastAsia="hr-HR"/>
              </w:rPr>
            </w:pPr>
            <w:r w:rsidRPr="003F5721">
              <w:rPr>
                <w:rFonts w:eastAsia="Times New Roman" w:cs="Calibri"/>
                <w:color w:val="000000"/>
                <w:szCs w:val="18"/>
                <w:lang w:eastAsia="hr-HR"/>
              </w:rPr>
              <w:t>8</w:t>
            </w:r>
          </w:p>
        </w:tc>
        <w:tc>
          <w:tcPr>
            <w:tcW w:w="2066" w:type="dxa"/>
            <w:tcBorders>
              <w:top w:val="nil"/>
              <w:left w:val="nil"/>
              <w:bottom w:val="nil"/>
              <w:right w:val="nil"/>
            </w:tcBorders>
            <w:shd w:val="clear" w:color="000000" w:fill="A6A6A6"/>
            <w:noWrap/>
            <w:vAlign w:val="center"/>
            <w:hideMark/>
          </w:tcPr>
          <w:p w14:paraId="453A8B64" w14:textId="77777777" w:rsidR="003F5721" w:rsidRPr="003F5721" w:rsidRDefault="003F5721" w:rsidP="003F5721">
            <w:pPr>
              <w:spacing w:after="0" w:line="240" w:lineRule="auto"/>
              <w:jc w:val="right"/>
              <w:rPr>
                <w:rFonts w:eastAsia="Times New Roman" w:cs="Calibri"/>
                <w:color w:val="000000"/>
                <w:szCs w:val="18"/>
                <w:lang w:eastAsia="hr-HR"/>
              </w:rPr>
            </w:pPr>
            <w:r w:rsidRPr="003F5721">
              <w:rPr>
                <w:rFonts w:eastAsia="Times New Roman" w:cs="Calibri"/>
                <w:color w:val="000000"/>
                <w:szCs w:val="18"/>
                <w:lang w:eastAsia="hr-HR"/>
              </w:rPr>
              <w:t>13</w:t>
            </w:r>
          </w:p>
        </w:tc>
        <w:tc>
          <w:tcPr>
            <w:tcW w:w="2066" w:type="dxa"/>
            <w:tcBorders>
              <w:top w:val="nil"/>
              <w:left w:val="nil"/>
              <w:bottom w:val="nil"/>
              <w:right w:val="nil"/>
            </w:tcBorders>
            <w:shd w:val="clear" w:color="000000" w:fill="A6A6A6"/>
            <w:noWrap/>
            <w:vAlign w:val="center"/>
            <w:hideMark/>
          </w:tcPr>
          <w:p w14:paraId="7202680C" w14:textId="77777777" w:rsidR="003F5721" w:rsidRPr="003F5721" w:rsidRDefault="003F5721" w:rsidP="003F5721">
            <w:pPr>
              <w:spacing w:after="0" w:line="240" w:lineRule="auto"/>
              <w:jc w:val="right"/>
              <w:rPr>
                <w:rFonts w:eastAsia="Times New Roman" w:cs="Calibri"/>
                <w:color w:val="000000"/>
                <w:szCs w:val="18"/>
                <w:lang w:eastAsia="hr-HR"/>
              </w:rPr>
            </w:pPr>
            <w:r w:rsidRPr="003F5721">
              <w:rPr>
                <w:rFonts w:eastAsia="Times New Roman" w:cs="Calibri"/>
                <w:color w:val="000000"/>
                <w:szCs w:val="18"/>
                <w:lang w:eastAsia="hr-HR"/>
              </w:rPr>
              <w:t>62,5%</w:t>
            </w:r>
          </w:p>
        </w:tc>
      </w:tr>
    </w:tbl>
    <w:p w14:paraId="48CC1829" w14:textId="13B50597" w:rsidR="001A6C18" w:rsidRPr="006315FA" w:rsidRDefault="001A6C18" w:rsidP="005526F2">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w:t>
      </w:r>
      <w:r w:rsidRPr="00037256">
        <w:rPr>
          <w:rFonts w:eastAsia="ArialNarrow" w:cstheme="minorHAnsi"/>
          <w:i/>
          <w:color w:val="ABABAB" w:themeColor="text1" w:themeTint="A6"/>
          <w:sz w:val="16"/>
          <w:szCs w:val="16"/>
        </w:rPr>
        <w:t xml:space="preserve">: </w:t>
      </w:r>
      <w:r w:rsidR="005526F2" w:rsidRPr="00037256">
        <w:rPr>
          <w:rFonts w:eastAsia="ArialNarrow" w:cstheme="minorHAnsi"/>
          <w:i/>
          <w:color w:val="ABABAB" w:themeColor="text1" w:themeTint="A6"/>
          <w:sz w:val="16"/>
          <w:szCs w:val="16"/>
        </w:rPr>
        <w:t>Godišnje izvješće o stanju sigurnosti na području PU krapinsko-zagorske u 2019. godini</w:t>
      </w:r>
    </w:p>
    <w:p w14:paraId="1C51895A" w14:textId="341DCCB3" w:rsidR="001A6C18" w:rsidRDefault="001A6C18" w:rsidP="009C606E">
      <w:pPr>
        <w:rPr>
          <w:color w:val="auto"/>
        </w:rPr>
      </w:pPr>
    </w:p>
    <w:p w14:paraId="5E9821B5" w14:textId="6EA14986" w:rsidR="00BB1A21" w:rsidRDefault="00BB1A21" w:rsidP="00BB1A21">
      <w:pPr>
        <w:rPr>
          <w:color w:val="auto"/>
        </w:rPr>
      </w:pPr>
      <w:r>
        <w:rPr>
          <w:color w:val="auto"/>
        </w:rPr>
        <w:t>U 2018. godini zabilježeno je 19 osoba zatečenih u ilegalnom prelasku državne granice te se je taj broj u 2019. godini povećao na 50. Prema državljanstvu u 2019. godini najviše ih je zatečeno u ilegalnom prelasku državne granice iz Afganistana (14), Turske (14) te Sirije (8).</w:t>
      </w:r>
    </w:p>
    <w:p w14:paraId="3C8E8966" w14:textId="77777777" w:rsidR="00E8538E" w:rsidRPr="007C0C7A" w:rsidRDefault="00E8538E" w:rsidP="00BB1A21">
      <w:pPr>
        <w:rPr>
          <w:color w:val="auto"/>
        </w:rPr>
      </w:pPr>
    </w:p>
    <w:p w14:paraId="49413ACF" w14:textId="662DD0AF" w:rsidR="00B35D49" w:rsidRDefault="00B35D49" w:rsidP="0052192B">
      <w:pPr>
        <w:pStyle w:val="Naslov2"/>
        <w:numPr>
          <w:ilvl w:val="1"/>
          <w:numId w:val="20"/>
        </w:numPr>
      </w:pPr>
      <w:bookmarkStart w:id="12" w:name="_Toc85181270"/>
      <w:r>
        <w:t>Administrativna podjela</w:t>
      </w:r>
      <w:bookmarkEnd w:id="12"/>
    </w:p>
    <w:p w14:paraId="0A52E63F" w14:textId="29E5DED0" w:rsidR="00B35D49" w:rsidRDefault="00B35D49" w:rsidP="00B35D49"/>
    <w:p w14:paraId="749DEF65" w14:textId="4031A58E" w:rsidR="005223D3" w:rsidRDefault="0051487A" w:rsidP="005223D3">
      <w:pPr>
        <w:autoSpaceDE w:val="0"/>
        <w:autoSpaceDN w:val="0"/>
        <w:adjustRightInd w:val="0"/>
        <w:spacing w:after="0" w:line="240" w:lineRule="auto"/>
        <w:rPr>
          <w:rFonts w:eastAsia="ArialNarrow" w:cstheme="minorHAnsi"/>
        </w:rPr>
      </w:pPr>
      <w:r>
        <w:rPr>
          <w:rFonts w:eastAsia="ArialNarrow" w:cstheme="minorHAnsi"/>
        </w:rPr>
        <w:t xml:space="preserve">U administrativnom smislu Županija je podijeljena na 7 gradova i 25 općina. Sjedište Županije je Grad Krapina. </w:t>
      </w:r>
      <w:r w:rsidR="005223D3">
        <w:rPr>
          <w:rFonts w:eastAsia="ArialNarrow" w:cstheme="minorHAnsi"/>
        </w:rPr>
        <w:t>Razlikovanje ruralnih i urbanih područja Republike Hrvatske temelji se na podjeli prema kojoj se manje administrativne jedinice (općine) smatraju ruralnim područjima dok se veće (gradovi) smatraju urbanim područjima. Na temelju tako definiranog administrativnog kriterija, od ukupnog broja stanovnika Krapinsko-zagorske županije prema podacima iz 2017. godine njih 37,41%, odnosno 47.086</w:t>
      </w:r>
      <w:r w:rsidR="005223D3">
        <w:rPr>
          <w:rFonts w:eastAsia="ArialNarrow" w:cstheme="minorHAnsi"/>
          <w:sz w:val="20"/>
          <w:szCs w:val="20"/>
        </w:rPr>
        <w:t xml:space="preserve"> </w:t>
      </w:r>
      <w:r w:rsidR="005223D3">
        <w:rPr>
          <w:rFonts w:eastAsia="ArialNarrow" w:cstheme="minorHAnsi"/>
        </w:rPr>
        <w:t>smatra se urbanim stanovništvom, dok se ostatak od 62,58% ili 78.763 smatra ruralnim stanovništvom.</w:t>
      </w:r>
    </w:p>
    <w:p w14:paraId="2F8A86BE" w14:textId="77777777" w:rsidR="005E0142" w:rsidRDefault="005E0142" w:rsidP="005223D3">
      <w:pPr>
        <w:autoSpaceDE w:val="0"/>
        <w:autoSpaceDN w:val="0"/>
        <w:adjustRightInd w:val="0"/>
        <w:spacing w:after="0" w:line="240" w:lineRule="auto"/>
        <w:rPr>
          <w:rFonts w:cstheme="minorHAnsi"/>
          <w:bCs/>
          <w:iCs/>
          <w:szCs w:val="22"/>
        </w:rPr>
      </w:pPr>
    </w:p>
    <w:p w14:paraId="4BA905FD" w14:textId="362D2FA9" w:rsidR="0051487A" w:rsidRPr="000C76E4" w:rsidRDefault="005E0142" w:rsidP="000C76E4">
      <w:pPr>
        <w:pStyle w:val="Opisslike"/>
      </w:pPr>
      <w:r>
        <w:t xml:space="preserve">Prikaz </w:t>
      </w:r>
      <w:r>
        <w:fldChar w:fldCharType="begin"/>
      </w:r>
      <w:r>
        <w:instrText xml:space="preserve"> SEQ Prikaz \* ARABIC </w:instrText>
      </w:r>
      <w:r>
        <w:fldChar w:fldCharType="separate"/>
      </w:r>
      <w:r w:rsidR="00242051">
        <w:t>1</w:t>
      </w:r>
      <w:r>
        <w:fldChar w:fldCharType="end"/>
      </w:r>
      <w:r>
        <w:t>.</w:t>
      </w:r>
      <w:r w:rsidR="0051487A" w:rsidRPr="005E0142">
        <w:t xml:space="preserve"> </w:t>
      </w:r>
      <w:r>
        <w:t xml:space="preserve">Administrativna podjela Krapinsko- zagorske županije </w:t>
      </w:r>
    </w:p>
    <w:p w14:paraId="6CED7ED2" w14:textId="5DB7FA25" w:rsidR="00273E2F" w:rsidRDefault="00273E2F" w:rsidP="005223D3">
      <w:pPr>
        <w:autoSpaceDE w:val="0"/>
        <w:autoSpaceDN w:val="0"/>
        <w:adjustRightInd w:val="0"/>
        <w:spacing w:after="0" w:line="240" w:lineRule="auto"/>
        <w:rPr>
          <w:rFonts w:cstheme="minorHAnsi"/>
          <w:bCs/>
          <w:iCs/>
          <w:szCs w:val="22"/>
        </w:rPr>
      </w:pPr>
    </w:p>
    <w:p w14:paraId="48637A4C" w14:textId="07244F84" w:rsidR="008534A2" w:rsidRPr="005E0142" w:rsidRDefault="008534A2" w:rsidP="005223D3">
      <w:pPr>
        <w:autoSpaceDE w:val="0"/>
        <w:autoSpaceDN w:val="0"/>
        <w:adjustRightInd w:val="0"/>
        <w:spacing w:after="0" w:line="240" w:lineRule="auto"/>
        <w:rPr>
          <w:rFonts w:cstheme="minorHAnsi"/>
          <w:bCs/>
          <w:iCs/>
          <w:szCs w:val="22"/>
        </w:rPr>
      </w:pPr>
      <w:r>
        <w:rPr>
          <w:noProof/>
        </w:rPr>
        <w:lastRenderedPageBreak/>
        <w:drawing>
          <wp:inline distT="0" distB="0" distL="0" distR="0" wp14:anchorId="2D67B096" wp14:editId="1475187A">
            <wp:extent cx="5882816" cy="4160985"/>
            <wp:effectExtent l="0" t="0" r="381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92840" cy="4168075"/>
                    </a:xfrm>
                    <a:prstGeom prst="rect">
                      <a:avLst/>
                    </a:prstGeom>
                    <a:noFill/>
                    <a:ln>
                      <a:noFill/>
                    </a:ln>
                  </pic:spPr>
                </pic:pic>
              </a:graphicData>
            </a:graphic>
          </wp:inline>
        </w:drawing>
      </w:r>
    </w:p>
    <w:p w14:paraId="6C0D5862" w14:textId="6BA21B44" w:rsidR="00E21478" w:rsidRDefault="00E21478" w:rsidP="00E21478">
      <w:pPr>
        <w:autoSpaceDE w:val="0"/>
        <w:autoSpaceDN w:val="0"/>
        <w:adjustRightInd w:val="0"/>
        <w:spacing w:after="0" w:line="240" w:lineRule="auto"/>
        <w:rPr>
          <w:rFonts w:eastAsia="ArialNarrow" w:cstheme="minorHAnsi"/>
          <w:i/>
          <w:color w:val="ABABAB" w:themeColor="text1" w:themeTint="A6"/>
          <w:sz w:val="16"/>
          <w:szCs w:val="16"/>
        </w:rPr>
      </w:pPr>
      <w:bookmarkStart w:id="13" w:name="_Hlk64876105"/>
      <w:r w:rsidRPr="006315FA">
        <w:rPr>
          <w:rFonts w:eastAsia="ArialNarrow" w:cstheme="minorHAnsi"/>
          <w:i/>
          <w:color w:val="ABABAB" w:themeColor="text1" w:themeTint="A6"/>
          <w:sz w:val="16"/>
          <w:szCs w:val="16"/>
        </w:rPr>
        <w:t xml:space="preserve">Izvor: </w:t>
      </w:r>
      <w:r w:rsidR="008534A2">
        <w:rPr>
          <w:rFonts w:eastAsia="ArialNarrow" w:cstheme="minorHAnsi"/>
          <w:i/>
          <w:color w:val="ABABAB" w:themeColor="text1" w:themeTint="A6"/>
          <w:sz w:val="16"/>
          <w:szCs w:val="16"/>
        </w:rPr>
        <w:t>Zagorska razvojna agencija</w:t>
      </w:r>
    </w:p>
    <w:p w14:paraId="46EF6994" w14:textId="77777777" w:rsidR="00612100" w:rsidRPr="006315FA" w:rsidRDefault="00612100" w:rsidP="00E21478">
      <w:pPr>
        <w:autoSpaceDE w:val="0"/>
        <w:autoSpaceDN w:val="0"/>
        <w:adjustRightInd w:val="0"/>
        <w:spacing w:after="0" w:line="240" w:lineRule="auto"/>
        <w:rPr>
          <w:rFonts w:eastAsia="ArialNarrow" w:cstheme="minorHAnsi"/>
          <w:i/>
          <w:color w:val="ABABAB" w:themeColor="text1" w:themeTint="A6"/>
          <w:sz w:val="16"/>
          <w:szCs w:val="16"/>
        </w:rPr>
      </w:pPr>
    </w:p>
    <w:bookmarkEnd w:id="13"/>
    <w:p w14:paraId="1A1B38A2" w14:textId="77777777" w:rsidR="005223D3" w:rsidRDefault="005223D3" w:rsidP="005223D3">
      <w:pPr>
        <w:autoSpaceDE w:val="0"/>
        <w:autoSpaceDN w:val="0"/>
        <w:adjustRightInd w:val="0"/>
        <w:spacing w:after="0" w:line="240" w:lineRule="auto"/>
        <w:rPr>
          <w:rFonts w:eastAsia="ArialNarrow" w:cstheme="minorHAnsi"/>
        </w:rPr>
      </w:pPr>
      <w:r>
        <w:rPr>
          <w:rFonts w:eastAsia="ArialNarrow" w:cstheme="minorHAnsi"/>
        </w:rPr>
        <w:t>Kao najčešći međunarodno priznat i korišten kriterij za razlikovanje ruralnih i urbanih područja koristi se definicija OECD-a, koja se temelji na gustoći naseljenosti stanovništva. Na lokalnoj razini (LAU 1/2 – općine, gradovi u Republici Hrvatskoj) područja se klasificiraju kao ruralna ili urbana temeljem praga od 150 stanovnika na km</w:t>
      </w:r>
      <w:r>
        <w:rPr>
          <w:rFonts w:eastAsia="ArialNarrow" w:cstheme="minorHAnsi"/>
          <w:vertAlign w:val="superscript"/>
        </w:rPr>
        <w:t>2</w:t>
      </w:r>
      <w:r>
        <w:rPr>
          <w:rFonts w:eastAsia="ArialNarrow" w:cstheme="minorHAnsi"/>
        </w:rPr>
        <w:t>. Sukladno toj podjeli 21,35% stanovnika Krapinsko-zagorske županije živi u urbanim područjima dok 78,64% stanovnika živi u ruralnim područjima.</w:t>
      </w:r>
    </w:p>
    <w:p w14:paraId="2158600B" w14:textId="77777777" w:rsidR="005223D3" w:rsidRDefault="005223D3" w:rsidP="005223D3">
      <w:pPr>
        <w:autoSpaceDE w:val="0"/>
        <w:autoSpaceDN w:val="0"/>
        <w:adjustRightInd w:val="0"/>
        <w:spacing w:after="0" w:line="240" w:lineRule="auto"/>
        <w:rPr>
          <w:rFonts w:eastAsia="ArialNarrow" w:cstheme="minorHAnsi"/>
        </w:rPr>
      </w:pPr>
    </w:p>
    <w:p w14:paraId="01836BB9" w14:textId="64D0F1EA" w:rsidR="00E42A9B" w:rsidRPr="00102123" w:rsidRDefault="005223D3" w:rsidP="003E3F3C">
      <w:pPr>
        <w:pStyle w:val="Opisslike"/>
        <w:rPr>
          <w:noProof/>
        </w:rPr>
      </w:pPr>
      <w:r>
        <w:t xml:space="preserve">Tablica </w:t>
      </w:r>
      <w:r w:rsidR="00BD0057">
        <w:t>2</w:t>
      </w:r>
      <w:r>
        <w:rPr>
          <w:noProof/>
        </w:rPr>
        <w:t xml:space="preserve">. </w:t>
      </w:r>
      <w:r w:rsidRPr="00E7430E">
        <w:rPr>
          <w:noProof/>
        </w:rPr>
        <w:t>Površina, broj stanovnika na km</w:t>
      </w:r>
      <w:r w:rsidRPr="00CF1D64">
        <w:rPr>
          <w:noProof/>
          <w:vertAlign w:val="superscript"/>
        </w:rPr>
        <w:t>2</w:t>
      </w:r>
      <w:r w:rsidRPr="00E7430E">
        <w:rPr>
          <w:noProof/>
        </w:rPr>
        <w:t xml:space="preserve"> i tip zajednice u gradovima i općinama Krapinsko-zagorske županije u 201</w:t>
      </w:r>
      <w:r w:rsidR="00B56C64">
        <w:rPr>
          <w:noProof/>
        </w:rPr>
        <w:t>9</w:t>
      </w:r>
      <w:r w:rsidRPr="00E7430E">
        <w:rPr>
          <w:noProof/>
        </w:rPr>
        <w:t>. godini</w:t>
      </w:r>
    </w:p>
    <w:tbl>
      <w:tblPr>
        <w:tblW w:w="9172" w:type="dxa"/>
        <w:tblBorders>
          <w:insideH w:val="single" w:sz="8" w:space="0" w:color="F3CFC1"/>
        </w:tblBorders>
        <w:tblLook w:val="04A0" w:firstRow="1" w:lastRow="0" w:firstColumn="1" w:lastColumn="0" w:noHBand="0" w:noVBand="1"/>
      </w:tblPr>
      <w:tblGrid>
        <w:gridCol w:w="2146"/>
        <w:gridCol w:w="1721"/>
        <w:gridCol w:w="1721"/>
        <w:gridCol w:w="1863"/>
        <w:gridCol w:w="1721"/>
      </w:tblGrid>
      <w:tr w:rsidR="005223D3" w:rsidRPr="00841B08" w14:paraId="1DCE5719" w14:textId="77777777" w:rsidTr="00E42A9B">
        <w:trPr>
          <w:trHeight w:val="283"/>
          <w:tblHeader/>
        </w:trPr>
        <w:tc>
          <w:tcPr>
            <w:tcW w:w="2146" w:type="dxa"/>
            <w:tcBorders>
              <w:top w:val="nil"/>
            </w:tcBorders>
            <w:shd w:val="clear" w:color="auto" w:fill="D2232A"/>
            <w:noWrap/>
            <w:vAlign w:val="center"/>
            <w:hideMark/>
          </w:tcPr>
          <w:p w14:paraId="1DF6E6D2" w14:textId="77777777" w:rsidR="005223D3" w:rsidRPr="00841B08" w:rsidRDefault="005223D3" w:rsidP="00A27385">
            <w:pPr>
              <w:spacing w:after="0" w:line="240" w:lineRule="auto"/>
              <w:rPr>
                <w:rFonts w:eastAsia="Times New Roman" w:cstheme="minorHAnsi"/>
                <w:b/>
                <w:color w:val="FFFFFF"/>
                <w:szCs w:val="18"/>
                <w:lang w:eastAsia="hr-HR"/>
              </w:rPr>
            </w:pPr>
            <w:r w:rsidRPr="00841B08">
              <w:rPr>
                <w:rFonts w:eastAsia="Times New Roman" w:cstheme="minorHAnsi"/>
                <w:b/>
                <w:color w:val="FFFFFF"/>
                <w:szCs w:val="18"/>
                <w:lang w:eastAsia="hr-HR"/>
              </w:rPr>
              <w:t>GRADOVI/OPĆINE</w:t>
            </w:r>
          </w:p>
        </w:tc>
        <w:tc>
          <w:tcPr>
            <w:tcW w:w="1721" w:type="dxa"/>
            <w:tcBorders>
              <w:top w:val="nil"/>
              <w:right w:val="single" w:sz="8" w:space="0" w:color="D2232A"/>
            </w:tcBorders>
            <w:shd w:val="clear" w:color="auto" w:fill="D2232A"/>
            <w:noWrap/>
            <w:vAlign w:val="center"/>
            <w:hideMark/>
          </w:tcPr>
          <w:p w14:paraId="2401CC59" w14:textId="77777777" w:rsidR="005223D3" w:rsidRPr="00841B08" w:rsidRDefault="005223D3" w:rsidP="00A27385">
            <w:pPr>
              <w:spacing w:after="0" w:line="240" w:lineRule="auto"/>
              <w:jc w:val="left"/>
              <w:rPr>
                <w:rFonts w:eastAsia="Times New Roman" w:cstheme="minorHAnsi"/>
                <w:color w:val="FFFFFF"/>
                <w:szCs w:val="18"/>
                <w:lang w:eastAsia="hr-HR"/>
              </w:rPr>
            </w:pPr>
            <w:r w:rsidRPr="00841B08">
              <w:rPr>
                <w:rFonts w:eastAsia="Times New Roman" w:cstheme="minorHAnsi"/>
                <w:color w:val="FFFFFF"/>
                <w:szCs w:val="18"/>
                <w:lang w:eastAsia="hr-HR"/>
              </w:rPr>
              <w:t>Broj stanovnika</w:t>
            </w:r>
          </w:p>
        </w:tc>
        <w:tc>
          <w:tcPr>
            <w:tcW w:w="1721" w:type="dxa"/>
            <w:tcBorders>
              <w:top w:val="nil"/>
              <w:left w:val="single" w:sz="8" w:space="0" w:color="D2232A"/>
              <w:right w:val="single" w:sz="8" w:space="0" w:color="D2232A"/>
            </w:tcBorders>
            <w:shd w:val="clear" w:color="auto" w:fill="D2232A"/>
            <w:noWrap/>
            <w:vAlign w:val="center"/>
            <w:hideMark/>
          </w:tcPr>
          <w:p w14:paraId="740945CD" w14:textId="77777777" w:rsidR="005223D3" w:rsidRPr="00841B08" w:rsidRDefault="005223D3" w:rsidP="00A27385">
            <w:pPr>
              <w:spacing w:after="0" w:line="240" w:lineRule="auto"/>
              <w:jc w:val="left"/>
              <w:rPr>
                <w:rFonts w:eastAsia="Times New Roman" w:cstheme="minorHAnsi"/>
                <w:color w:val="FFFFFF"/>
                <w:szCs w:val="18"/>
                <w:lang w:eastAsia="hr-HR"/>
              </w:rPr>
            </w:pPr>
            <w:r w:rsidRPr="00841B08">
              <w:rPr>
                <w:rFonts w:eastAsia="Times New Roman" w:cstheme="minorHAnsi"/>
                <w:color w:val="FFFFFF"/>
                <w:szCs w:val="18"/>
                <w:lang w:eastAsia="hr-HR"/>
              </w:rPr>
              <w:t>Površina u km</w:t>
            </w:r>
            <w:r w:rsidRPr="00841B08">
              <w:rPr>
                <w:rFonts w:eastAsia="Times New Roman" w:cstheme="minorHAnsi"/>
                <w:color w:val="FFFFFF"/>
                <w:szCs w:val="18"/>
                <w:vertAlign w:val="superscript"/>
                <w:lang w:eastAsia="hr-HR"/>
              </w:rPr>
              <w:t>2</w:t>
            </w:r>
          </w:p>
        </w:tc>
        <w:tc>
          <w:tcPr>
            <w:tcW w:w="1863" w:type="dxa"/>
            <w:tcBorders>
              <w:top w:val="nil"/>
              <w:left w:val="single" w:sz="8" w:space="0" w:color="D2232A"/>
              <w:right w:val="single" w:sz="8" w:space="0" w:color="D2232A"/>
            </w:tcBorders>
            <w:shd w:val="clear" w:color="auto" w:fill="D2232A"/>
            <w:noWrap/>
            <w:vAlign w:val="center"/>
            <w:hideMark/>
          </w:tcPr>
          <w:p w14:paraId="22C7B0A7" w14:textId="77777777" w:rsidR="005223D3" w:rsidRPr="00841B08" w:rsidRDefault="005223D3" w:rsidP="00A27385">
            <w:pPr>
              <w:spacing w:after="0" w:line="240" w:lineRule="auto"/>
              <w:jc w:val="left"/>
              <w:rPr>
                <w:rFonts w:eastAsia="Times New Roman" w:cstheme="minorHAnsi"/>
                <w:color w:val="FFFFFF"/>
                <w:szCs w:val="18"/>
                <w:lang w:eastAsia="hr-HR"/>
              </w:rPr>
            </w:pPr>
            <w:r w:rsidRPr="00841B08">
              <w:rPr>
                <w:rFonts w:eastAsia="Times New Roman" w:cstheme="minorHAnsi"/>
                <w:color w:val="FFFFFF"/>
                <w:szCs w:val="18"/>
                <w:lang w:eastAsia="hr-HR"/>
              </w:rPr>
              <w:t>Stanovnika na km</w:t>
            </w:r>
            <w:r w:rsidRPr="00841B08">
              <w:rPr>
                <w:rFonts w:eastAsia="Times New Roman" w:cstheme="minorHAnsi"/>
                <w:color w:val="FFFFFF"/>
                <w:szCs w:val="18"/>
                <w:vertAlign w:val="superscript"/>
                <w:lang w:eastAsia="hr-HR"/>
              </w:rPr>
              <w:t>2</w:t>
            </w:r>
          </w:p>
        </w:tc>
        <w:tc>
          <w:tcPr>
            <w:tcW w:w="1721" w:type="dxa"/>
            <w:tcBorders>
              <w:top w:val="nil"/>
              <w:left w:val="single" w:sz="8" w:space="0" w:color="D2232A"/>
              <w:right w:val="single" w:sz="8" w:space="0" w:color="D2232A"/>
            </w:tcBorders>
            <w:shd w:val="clear" w:color="auto" w:fill="D2232A"/>
            <w:noWrap/>
            <w:vAlign w:val="center"/>
            <w:hideMark/>
          </w:tcPr>
          <w:p w14:paraId="61D0AECA" w14:textId="77777777" w:rsidR="005223D3" w:rsidRPr="00841B08" w:rsidRDefault="005223D3" w:rsidP="00A27385">
            <w:pPr>
              <w:spacing w:after="0" w:line="240" w:lineRule="auto"/>
              <w:jc w:val="left"/>
              <w:rPr>
                <w:rFonts w:eastAsia="Times New Roman" w:cstheme="minorHAnsi"/>
                <w:color w:val="FFFFFF"/>
                <w:szCs w:val="18"/>
                <w:lang w:eastAsia="hr-HR"/>
              </w:rPr>
            </w:pPr>
            <w:r w:rsidRPr="00841B08">
              <w:rPr>
                <w:rFonts w:eastAsia="Times New Roman" w:cstheme="minorHAnsi"/>
                <w:color w:val="FFFFFF"/>
                <w:szCs w:val="18"/>
                <w:lang w:eastAsia="hr-HR"/>
              </w:rPr>
              <w:t>Tip zajednice</w:t>
            </w:r>
          </w:p>
        </w:tc>
      </w:tr>
      <w:tr w:rsidR="005223D3" w:rsidRPr="00841B08" w14:paraId="71DB6EAC" w14:textId="77777777" w:rsidTr="00E42A9B">
        <w:trPr>
          <w:trHeight w:val="283"/>
        </w:trPr>
        <w:tc>
          <w:tcPr>
            <w:tcW w:w="2146" w:type="dxa"/>
            <w:shd w:val="clear" w:color="auto" w:fill="D2232A"/>
            <w:noWrap/>
            <w:vAlign w:val="center"/>
            <w:hideMark/>
          </w:tcPr>
          <w:p w14:paraId="0FF01A26"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Donja Stubica</w:t>
            </w:r>
          </w:p>
        </w:tc>
        <w:tc>
          <w:tcPr>
            <w:tcW w:w="1721" w:type="dxa"/>
            <w:tcBorders>
              <w:right w:val="single" w:sz="8" w:space="0" w:color="D2232A"/>
            </w:tcBorders>
            <w:noWrap/>
            <w:vAlign w:val="center"/>
            <w:hideMark/>
          </w:tcPr>
          <w:p w14:paraId="0927E2E6" w14:textId="2415AE41"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w:t>
            </w:r>
            <w:r w:rsidR="00E42A9B">
              <w:rPr>
                <w:rFonts w:eastAsia="Times New Roman" w:cstheme="minorHAnsi"/>
                <w:color w:val="000000"/>
                <w:szCs w:val="18"/>
                <w:lang w:eastAsia="hr-HR"/>
              </w:rPr>
              <w:t>948</w:t>
            </w:r>
          </w:p>
        </w:tc>
        <w:tc>
          <w:tcPr>
            <w:tcW w:w="1721" w:type="dxa"/>
            <w:tcBorders>
              <w:left w:val="single" w:sz="8" w:space="0" w:color="D2232A"/>
              <w:right w:val="single" w:sz="8" w:space="0" w:color="D2232A"/>
            </w:tcBorders>
            <w:noWrap/>
            <w:vAlign w:val="center"/>
            <w:hideMark/>
          </w:tcPr>
          <w:p w14:paraId="5A3842C8"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43,48</w:t>
            </w:r>
          </w:p>
        </w:tc>
        <w:tc>
          <w:tcPr>
            <w:tcW w:w="1863" w:type="dxa"/>
            <w:tcBorders>
              <w:left w:val="single" w:sz="8" w:space="0" w:color="D2232A"/>
              <w:right w:val="single" w:sz="8" w:space="0" w:color="D2232A"/>
            </w:tcBorders>
            <w:noWrap/>
            <w:vAlign w:val="center"/>
            <w:hideMark/>
          </w:tcPr>
          <w:p w14:paraId="3B66D975" w14:textId="6CB3A06F"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13</w:t>
            </w:r>
            <w:r w:rsidR="0028265F">
              <w:rPr>
                <w:rFonts w:eastAsia="Times New Roman" w:cstheme="minorHAnsi"/>
                <w:color w:val="000000"/>
                <w:szCs w:val="18"/>
                <w:lang w:eastAsia="hr-HR"/>
              </w:rPr>
              <w:t>6</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80</w:t>
            </w:r>
          </w:p>
        </w:tc>
        <w:tc>
          <w:tcPr>
            <w:tcW w:w="1721" w:type="dxa"/>
            <w:tcBorders>
              <w:left w:val="single" w:sz="8" w:space="0" w:color="D2232A"/>
              <w:right w:val="single" w:sz="8" w:space="0" w:color="D2232A"/>
            </w:tcBorders>
            <w:noWrap/>
            <w:vAlign w:val="center"/>
            <w:hideMark/>
          </w:tcPr>
          <w:p w14:paraId="73B13F6F"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urbano</w:t>
            </w:r>
          </w:p>
        </w:tc>
      </w:tr>
      <w:tr w:rsidR="005223D3" w:rsidRPr="00841B08" w14:paraId="0D983081" w14:textId="77777777" w:rsidTr="00E42A9B">
        <w:trPr>
          <w:trHeight w:val="283"/>
        </w:trPr>
        <w:tc>
          <w:tcPr>
            <w:tcW w:w="2146" w:type="dxa"/>
            <w:shd w:val="clear" w:color="auto" w:fill="D2232A"/>
            <w:noWrap/>
            <w:vAlign w:val="center"/>
            <w:hideMark/>
          </w:tcPr>
          <w:p w14:paraId="0A31A550"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Klanjec</w:t>
            </w:r>
          </w:p>
        </w:tc>
        <w:tc>
          <w:tcPr>
            <w:tcW w:w="1721" w:type="dxa"/>
            <w:tcBorders>
              <w:right w:val="single" w:sz="8" w:space="0" w:color="D2232A"/>
            </w:tcBorders>
            <w:noWrap/>
            <w:vAlign w:val="center"/>
            <w:hideMark/>
          </w:tcPr>
          <w:p w14:paraId="2D9FA609" w14:textId="43CFB0C2"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2.6</w:t>
            </w:r>
            <w:r w:rsidR="00E42A9B">
              <w:rPr>
                <w:rFonts w:eastAsia="Times New Roman" w:cstheme="minorHAnsi"/>
                <w:color w:val="000000"/>
                <w:szCs w:val="18"/>
                <w:lang w:eastAsia="hr-HR"/>
              </w:rPr>
              <w:t>28</w:t>
            </w:r>
          </w:p>
        </w:tc>
        <w:tc>
          <w:tcPr>
            <w:tcW w:w="1721" w:type="dxa"/>
            <w:tcBorders>
              <w:left w:val="single" w:sz="8" w:space="0" w:color="D2232A"/>
              <w:right w:val="single" w:sz="8" w:space="0" w:color="D2232A"/>
            </w:tcBorders>
            <w:noWrap/>
            <w:vAlign w:val="center"/>
            <w:hideMark/>
          </w:tcPr>
          <w:p w14:paraId="60B1750B"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25,52</w:t>
            </w:r>
          </w:p>
        </w:tc>
        <w:tc>
          <w:tcPr>
            <w:tcW w:w="1863" w:type="dxa"/>
            <w:tcBorders>
              <w:left w:val="single" w:sz="8" w:space="0" w:color="D2232A"/>
              <w:right w:val="single" w:sz="8" w:space="0" w:color="D2232A"/>
            </w:tcBorders>
            <w:noWrap/>
            <w:vAlign w:val="center"/>
            <w:hideMark/>
          </w:tcPr>
          <w:p w14:paraId="12E415AB" w14:textId="2C1A606B"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10</w:t>
            </w:r>
            <w:r w:rsidR="0028265F">
              <w:rPr>
                <w:rFonts w:eastAsia="Times New Roman" w:cstheme="minorHAnsi"/>
                <w:color w:val="000000"/>
                <w:szCs w:val="18"/>
                <w:lang w:eastAsia="hr-HR"/>
              </w:rPr>
              <w:t>2</w:t>
            </w:r>
            <w:r w:rsidRPr="00841B08">
              <w:rPr>
                <w:rFonts w:eastAsia="Times New Roman" w:cstheme="minorHAnsi"/>
                <w:color w:val="000000"/>
                <w:szCs w:val="18"/>
                <w:lang w:eastAsia="hr-HR"/>
              </w:rPr>
              <w:t>,98</w:t>
            </w:r>
          </w:p>
        </w:tc>
        <w:tc>
          <w:tcPr>
            <w:tcW w:w="1721" w:type="dxa"/>
            <w:tcBorders>
              <w:left w:val="single" w:sz="8" w:space="0" w:color="D2232A"/>
              <w:right w:val="single" w:sz="8" w:space="0" w:color="D2232A"/>
            </w:tcBorders>
            <w:noWrap/>
            <w:vAlign w:val="center"/>
            <w:hideMark/>
          </w:tcPr>
          <w:p w14:paraId="531FFF76"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urbano</w:t>
            </w:r>
          </w:p>
        </w:tc>
      </w:tr>
      <w:tr w:rsidR="005223D3" w:rsidRPr="00841B08" w14:paraId="596B66CE" w14:textId="77777777" w:rsidTr="00E42A9B">
        <w:trPr>
          <w:trHeight w:val="283"/>
        </w:trPr>
        <w:tc>
          <w:tcPr>
            <w:tcW w:w="2146" w:type="dxa"/>
            <w:shd w:val="clear" w:color="auto" w:fill="D2232A"/>
            <w:noWrap/>
            <w:vAlign w:val="center"/>
            <w:hideMark/>
          </w:tcPr>
          <w:p w14:paraId="22898827"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Krapina</w:t>
            </w:r>
          </w:p>
        </w:tc>
        <w:tc>
          <w:tcPr>
            <w:tcW w:w="1721" w:type="dxa"/>
            <w:tcBorders>
              <w:right w:val="single" w:sz="8" w:space="0" w:color="D2232A"/>
            </w:tcBorders>
            <w:noWrap/>
            <w:vAlign w:val="center"/>
            <w:hideMark/>
          </w:tcPr>
          <w:p w14:paraId="1138F7FE" w14:textId="3ED7DD15"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w:t>
            </w:r>
            <w:r w:rsidR="00E42A9B">
              <w:rPr>
                <w:rFonts w:eastAsia="Times New Roman" w:cstheme="minorHAnsi"/>
                <w:color w:val="000000"/>
                <w:szCs w:val="18"/>
                <w:lang w:eastAsia="hr-HR"/>
              </w:rPr>
              <w:t>1.816</w:t>
            </w:r>
          </w:p>
        </w:tc>
        <w:tc>
          <w:tcPr>
            <w:tcW w:w="1721" w:type="dxa"/>
            <w:tcBorders>
              <w:left w:val="single" w:sz="8" w:space="0" w:color="D2232A"/>
              <w:right w:val="single" w:sz="8" w:space="0" w:color="D2232A"/>
            </w:tcBorders>
            <w:noWrap/>
            <w:vAlign w:val="center"/>
            <w:hideMark/>
          </w:tcPr>
          <w:p w14:paraId="518E8B1D"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47,54</w:t>
            </w:r>
          </w:p>
        </w:tc>
        <w:tc>
          <w:tcPr>
            <w:tcW w:w="1863" w:type="dxa"/>
            <w:tcBorders>
              <w:left w:val="single" w:sz="8" w:space="0" w:color="D2232A"/>
              <w:right w:val="single" w:sz="8" w:space="0" w:color="D2232A"/>
            </w:tcBorders>
            <w:noWrap/>
            <w:vAlign w:val="center"/>
            <w:hideMark/>
          </w:tcPr>
          <w:p w14:paraId="647BA815" w14:textId="22E7B503"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w:t>
            </w:r>
            <w:r w:rsidR="0028265F">
              <w:rPr>
                <w:rFonts w:eastAsia="Times New Roman" w:cstheme="minorHAnsi"/>
                <w:color w:val="000000"/>
                <w:szCs w:val="18"/>
                <w:lang w:eastAsia="hr-HR"/>
              </w:rPr>
              <w:t>48</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55</w:t>
            </w:r>
          </w:p>
        </w:tc>
        <w:tc>
          <w:tcPr>
            <w:tcW w:w="1721" w:type="dxa"/>
            <w:tcBorders>
              <w:left w:val="single" w:sz="8" w:space="0" w:color="D2232A"/>
              <w:right w:val="single" w:sz="8" w:space="0" w:color="D2232A"/>
            </w:tcBorders>
            <w:noWrap/>
            <w:vAlign w:val="center"/>
            <w:hideMark/>
          </w:tcPr>
          <w:p w14:paraId="76EC1195"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urbano</w:t>
            </w:r>
          </w:p>
        </w:tc>
      </w:tr>
      <w:tr w:rsidR="005223D3" w:rsidRPr="00841B08" w14:paraId="434545C6" w14:textId="77777777" w:rsidTr="00E42A9B">
        <w:trPr>
          <w:trHeight w:val="283"/>
        </w:trPr>
        <w:tc>
          <w:tcPr>
            <w:tcW w:w="2146" w:type="dxa"/>
            <w:shd w:val="clear" w:color="auto" w:fill="D2232A"/>
            <w:noWrap/>
            <w:vAlign w:val="center"/>
            <w:hideMark/>
          </w:tcPr>
          <w:p w14:paraId="0853D969"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Oroslavje</w:t>
            </w:r>
          </w:p>
        </w:tc>
        <w:tc>
          <w:tcPr>
            <w:tcW w:w="1721" w:type="dxa"/>
            <w:tcBorders>
              <w:right w:val="single" w:sz="8" w:space="0" w:color="D2232A"/>
            </w:tcBorders>
            <w:noWrap/>
            <w:vAlign w:val="center"/>
            <w:hideMark/>
          </w:tcPr>
          <w:p w14:paraId="13C84C31" w14:textId="7AF92F01" w:rsidR="005223D3" w:rsidRPr="00841B08" w:rsidRDefault="00E42A9B" w:rsidP="00A27385">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w:t>
            </w:r>
            <w:r w:rsidR="005223D3" w:rsidRPr="00841B08">
              <w:rPr>
                <w:rFonts w:eastAsia="Times New Roman" w:cstheme="minorHAnsi"/>
                <w:color w:val="000000"/>
                <w:szCs w:val="18"/>
                <w:lang w:eastAsia="hr-HR"/>
              </w:rPr>
              <w:t>.</w:t>
            </w:r>
            <w:r>
              <w:rPr>
                <w:rFonts w:eastAsia="Times New Roman" w:cstheme="minorHAnsi"/>
                <w:color w:val="000000"/>
                <w:szCs w:val="18"/>
                <w:lang w:eastAsia="hr-HR"/>
              </w:rPr>
              <w:t>951</w:t>
            </w:r>
          </w:p>
        </w:tc>
        <w:tc>
          <w:tcPr>
            <w:tcW w:w="1721" w:type="dxa"/>
            <w:tcBorders>
              <w:left w:val="single" w:sz="8" w:space="0" w:color="D2232A"/>
              <w:right w:val="single" w:sz="8" w:space="0" w:color="D2232A"/>
            </w:tcBorders>
            <w:noWrap/>
            <w:vAlign w:val="center"/>
            <w:hideMark/>
          </w:tcPr>
          <w:p w14:paraId="061FAC60"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31,20</w:t>
            </w:r>
          </w:p>
        </w:tc>
        <w:tc>
          <w:tcPr>
            <w:tcW w:w="1863" w:type="dxa"/>
            <w:tcBorders>
              <w:left w:val="single" w:sz="8" w:space="0" w:color="D2232A"/>
              <w:right w:val="single" w:sz="8" w:space="0" w:color="D2232A"/>
            </w:tcBorders>
            <w:noWrap/>
            <w:vAlign w:val="center"/>
            <w:hideMark/>
          </w:tcPr>
          <w:p w14:paraId="082497AD" w14:textId="57539DB0"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19</w:t>
            </w:r>
            <w:r w:rsidR="0028265F">
              <w:rPr>
                <w:rFonts w:eastAsia="Times New Roman" w:cstheme="minorHAnsi"/>
                <w:color w:val="000000"/>
                <w:szCs w:val="18"/>
                <w:lang w:eastAsia="hr-HR"/>
              </w:rPr>
              <w:t>0</w:t>
            </w:r>
            <w:r w:rsidRPr="00841B08">
              <w:rPr>
                <w:rFonts w:eastAsia="Times New Roman" w:cstheme="minorHAnsi"/>
                <w:color w:val="000000"/>
                <w:szCs w:val="18"/>
                <w:lang w:eastAsia="hr-HR"/>
              </w:rPr>
              <w:t>,7</w:t>
            </w:r>
            <w:r w:rsidR="0028265F">
              <w:rPr>
                <w:rFonts w:eastAsia="Times New Roman" w:cstheme="minorHAnsi"/>
                <w:color w:val="000000"/>
                <w:szCs w:val="18"/>
                <w:lang w:eastAsia="hr-HR"/>
              </w:rPr>
              <w:t>4</w:t>
            </w:r>
          </w:p>
        </w:tc>
        <w:tc>
          <w:tcPr>
            <w:tcW w:w="1721" w:type="dxa"/>
            <w:tcBorders>
              <w:left w:val="single" w:sz="8" w:space="0" w:color="D2232A"/>
              <w:right w:val="single" w:sz="8" w:space="0" w:color="D2232A"/>
            </w:tcBorders>
            <w:noWrap/>
            <w:vAlign w:val="center"/>
            <w:hideMark/>
          </w:tcPr>
          <w:p w14:paraId="7EDB6F2E"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urbano</w:t>
            </w:r>
          </w:p>
        </w:tc>
      </w:tr>
      <w:tr w:rsidR="005223D3" w:rsidRPr="00841B08" w14:paraId="71947AAB" w14:textId="77777777" w:rsidTr="00E42A9B">
        <w:trPr>
          <w:trHeight w:val="283"/>
        </w:trPr>
        <w:tc>
          <w:tcPr>
            <w:tcW w:w="2146" w:type="dxa"/>
            <w:shd w:val="clear" w:color="auto" w:fill="D2232A"/>
            <w:noWrap/>
            <w:vAlign w:val="center"/>
            <w:hideMark/>
          </w:tcPr>
          <w:p w14:paraId="5392A5C1"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Pregrada</w:t>
            </w:r>
          </w:p>
        </w:tc>
        <w:tc>
          <w:tcPr>
            <w:tcW w:w="1721" w:type="dxa"/>
            <w:tcBorders>
              <w:right w:val="single" w:sz="8" w:space="0" w:color="D2232A"/>
            </w:tcBorders>
            <w:noWrap/>
            <w:vAlign w:val="center"/>
            <w:hideMark/>
          </w:tcPr>
          <w:p w14:paraId="3BEDBB60" w14:textId="704B48A0" w:rsidR="005223D3" w:rsidRPr="00841B08" w:rsidRDefault="00E42A9B" w:rsidP="00A27385">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w:t>
            </w:r>
            <w:r w:rsidR="005223D3" w:rsidRPr="00841B08">
              <w:rPr>
                <w:rFonts w:eastAsia="Times New Roman" w:cstheme="minorHAnsi"/>
                <w:color w:val="000000"/>
                <w:szCs w:val="18"/>
                <w:lang w:eastAsia="hr-HR"/>
              </w:rPr>
              <w:t>.</w:t>
            </w:r>
            <w:r>
              <w:rPr>
                <w:rFonts w:eastAsia="Times New Roman" w:cstheme="minorHAnsi"/>
                <w:color w:val="000000"/>
                <w:szCs w:val="18"/>
                <w:lang w:eastAsia="hr-HR"/>
              </w:rPr>
              <w:t>988</w:t>
            </w:r>
          </w:p>
        </w:tc>
        <w:tc>
          <w:tcPr>
            <w:tcW w:w="1721" w:type="dxa"/>
            <w:tcBorders>
              <w:left w:val="single" w:sz="8" w:space="0" w:color="D2232A"/>
              <w:right w:val="single" w:sz="8" w:space="0" w:color="D2232A"/>
            </w:tcBorders>
            <w:noWrap/>
            <w:vAlign w:val="center"/>
            <w:hideMark/>
          </w:tcPr>
          <w:p w14:paraId="2A3A18AF"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67,25</w:t>
            </w:r>
          </w:p>
        </w:tc>
        <w:tc>
          <w:tcPr>
            <w:tcW w:w="1863" w:type="dxa"/>
            <w:tcBorders>
              <w:left w:val="single" w:sz="8" w:space="0" w:color="D2232A"/>
              <w:right w:val="single" w:sz="8" w:space="0" w:color="D2232A"/>
            </w:tcBorders>
            <w:noWrap/>
            <w:vAlign w:val="center"/>
            <w:hideMark/>
          </w:tcPr>
          <w:p w14:paraId="11D1BE01" w14:textId="3B4B4476" w:rsidR="005223D3" w:rsidRPr="00841B08" w:rsidRDefault="0028265F" w:rsidP="00A27385">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89</w:t>
            </w:r>
            <w:r w:rsidR="005223D3" w:rsidRPr="00841B08">
              <w:rPr>
                <w:rFonts w:eastAsia="Times New Roman" w:cstheme="minorHAnsi"/>
                <w:color w:val="000000"/>
                <w:szCs w:val="18"/>
                <w:lang w:eastAsia="hr-HR"/>
              </w:rPr>
              <w:t>,</w:t>
            </w:r>
            <w:r>
              <w:rPr>
                <w:rFonts w:eastAsia="Times New Roman" w:cstheme="minorHAnsi"/>
                <w:color w:val="000000"/>
                <w:szCs w:val="18"/>
                <w:lang w:eastAsia="hr-HR"/>
              </w:rPr>
              <w:t>04</w:t>
            </w:r>
          </w:p>
        </w:tc>
        <w:tc>
          <w:tcPr>
            <w:tcW w:w="1721" w:type="dxa"/>
            <w:tcBorders>
              <w:left w:val="single" w:sz="8" w:space="0" w:color="D2232A"/>
              <w:right w:val="single" w:sz="8" w:space="0" w:color="D2232A"/>
            </w:tcBorders>
            <w:noWrap/>
            <w:vAlign w:val="center"/>
            <w:hideMark/>
          </w:tcPr>
          <w:p w14:paraId="3672EA54"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urbano</w:t>
            </w:r>
          </w:p>
        </w:tc>
      </w:tr>
      <w:tr w:rsidR="005223D3" w:rsidRPr="00841B08" w14:paraId="32262B85" w14:textId="77777777" w:rsidTr="00E42A9B">
        <w:trPr>
          <w:trHeight w:val="283"/>
        </w:trPr>
        <w:tc>
          <w:tcPr>
            <w:tcW w:w="2146" w:type="dxa"/>
            <w:shd w:val="clear" w:color="auto" w:fill="D2232A"/>
            <w:noWrap/>
            <w:vAlign w:val="center"/>
            <w:hideMark/>
          </w:tcPr>
          <w:p w14:paraId="6832F060"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Zabok</w:t>
            </w:r>
          </w:p>
        </w:tc>
        <w:tc>
          <w:tcPr>
            <w:tcW w:w="1721" w:type="dxa"/>
            <w:tcBorders>
              <w:right w:val="single" w:sz="8" w:space="0" w:color="D2232A"/>
            </w:tcBorders>
            <w:noWrap/>
            <w:vAlign w:val="center"/>
            <w:hideMark/>
          </w:tcPr>
          <w:p w14:paraId="053C6F44" w14:textId="27A22B46"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8.7</w:t>
            </w:r>
            <w:r w:rsidR="00E42A9B">
              <w:rPr>
                <w:rFonts w:eastAsia="Times New Roman" w:cstheme="minorHAnsi"/>
                <w:color w:val="000000"/>
                <w:szCs w:val="18"/>
                <w:lang w:eastAsia="hr-HR"/>
              </w:rPr>
              <w:t>66</w:t>
            </w:r>
          </w:p>
        </w:tc>
        <w:tc>
          <w:tcPr>
            <w:tcW w:w="1721" w:type="dxa"/>
            <w:tcBorders>
              <w:left w:val="single" w:sz="8" w:space="0" w:color="D2232A"/>
              <w:right w:val="single" w:sz="8" w:space="0" w:color="D2232A"/>
            </w:tcBorders>
            <w:noWrap/>
            <w:vAlign w:val="center"/>
            <w:hideMark/>
          </w:tcPr>
          <w:p w14:paraId="7A8535C1"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34,88</w:t>
            </w:r>
          </w:p>
        </w:tc>
        <w:tc>
          <w:tcPr>
            <w:tcW w:w="1863" w:type="dxa"/>
            <w:tcBorders>
              <w:left w:val="single" w:sz="8" w:space="0" w:color="D2232A"/>
              <w:right w:val="single" w:sz="8" w:space="0" w:color="D2232A"/>
            </w:tcBorders>
            <w:noWrap/>
            <w:vAlign w:val="center"/>
            <w:hideMark/>
          </w:tcPr>
          <w:p w14:paraId="636C13D7" w14:textId="6CB0B89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251,</w:t>
            </w:r>
            <w:r w:rsidR="0028265F">
              <w:rPr>
                <w:rFonts w:eastAsia="Times New Roman" w:cstheme="minorHAnsi"/>
                <w:color w:val="000000"/>
                <w:szCs w:val="18"/>
                <w:lang w:eastAsia="hr-HR"/>
              </w:rPr>
              <w:t>32</w:t>
            </w:r>
          </w:p>
        </w:tc>
        <w:tc>
          <w:tcPr>
            <w:tcW w:w="1721" w:type="dxa"/>
            <w:tcBorders>
              <w:left w:val="single" w:sz="8" w:space="0" w:color="D2232A"/>
              <w:right w:val="single" w:sz="8" w:space="0" w:color="D2232A"/>
            </w:tcBorders>
            <w:noWrap/>
            <w:vAlign w:val="center"/>
            <w:hideMark/>
          </w:tcPr>
          <w:p w14:paraId="4441FA25"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urbano</w:t>
            </w:r>
          </w:p>
        </w:tc>
      </w:tr>
      <w:tr w:rsidR="005223D3" w:rsidRPr="00841B08" w14:paraId="296D7FEB" w14:textId="77777777" w:rsidTr="00E42A9B">
        <w:trPr>
          <w:trHeight w:val="283"/>
        </w:trPr>
        <w:tc>
          <w:tcPr>
            <w:tcW w:w="2146" w:type="dxa"/>
            <w:tcBorders>
              <w:bottom w:val="nil"/>
            </w:tcBorders>
            <w:shd w:val="clear" w:color="auto" w:fill="D2232A"/>
            <w:noWrap/>
            <w:vAlign w:val="center"/>
            <w:hideMark/>
          </w:tcPr>
          <w:p w14:paraId="7D604B21"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Zlatar</w:t>
            </w:r>
          </w:p>
        </w:tc>
        <w:tc>
          <w:tcPr>
            <w:tcW w:w="1721" w:type="dxa"/>
            <w:tcBorders>
              <w:bottom w:val="nil"/>
              <w:right w:val="single" w:sz="8" w:space="0" w:color="D2232A"/>
            </w:tcBorders>
            <w:noWrap/>
            <w:vAlign w:val="center"/>
            <w:hideMark/>
          </w:tcPr>
          <w:p w14:paraId="722F2B91" w14:textId="72DD99AC"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w:t>
            </w:r>
            <w:r w:rsidR="00E42A9B">
              <w:rPr>
                <w:rFonts w:eastAsia="Times New Roman" w:cstheme="minorHAnsi"/>
                <w:color w:val="000000"/>
                <w:szCs w:val="18"/>
                <w:lang w:eastAsia="hr-HR"/>
              </w:rPr>
              <w:t>586</w:t>
            </w:r>
          </w:p>
        </w:tc>
        <w:tc>
          <w:tcPr>
            <w:tcW w:w="1721" w:type="dxa"/>
            <w:tcBorders>
              <w:left w:val="single" w:sz="8" w:space="0" w:color="D2232A"/>
              <w:bottom w:val="nil"/>
              <w:right w:val="single" w:sz="8" w:space="0" w:color="D2232A"/>
            </w:tcBorders>
            <w:noWrap/>
            <w:vAlign w:val="center"/>
            <w:hideMark/>
          </w:tcPr>
          <w:p w14:paraId="16A7602D"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75,78</w:t>
            </w:r>
          </w:p>
        </w:tc>
        <w:tc>
          <w:tcPr>
            <w:tcW w:w="1863" w:type="dxa"/>
            <w:tcBorders>
              <w:left w:val="single" w:sz="8" w:space="0" w:color="D2232A"/>
              <w:bottom w:val="nil"/>
              <w:right w:val="single" w:sz="8" w:space="0" w:color="D2232A"/>
            </w:tcBorders>
            <w:noWrap/>
            <w:vAlign w:val="center"/>
            <w:hideMark/>
          </w:tcPr>
          <w:p w14:paraId="2E2153A0" w14:textId="0D126F3D"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7</w:t>
            </w:r>
            <w:r w:rsidR="0028265F">
              <w:rPr>
                <w:rFonts w:eastAsia="Times New Roman" w:cstheme="minorHAnsi"/>
                <w:color w:val="000000"/>
                <w:szCs w:val="18"/>
                <w:lang w:eastAsia="hr-HR"/>
              </w:rPr>
              <w:t>3</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71</w:t>
            </w:r>
          </w:p>
        </w:tc>
        <w:tc>
          <w:tcPr>
            <w:tcW w:w="1721" w:type="dxa"/>
            <w:tcBorders>
              <w:left w:val="single" w:sz="8" w:space="0" w:color="D2232A"/>
              <w:bottom w:val="nil"/>
              <w:right w:val="single" w:sz="8" w:space="0" w:color="D2232A"/>
            </w:tcBorders>
            <w:noWrap/>
            <w:vAlign w:val="center"/>
            <w:hideMark/>
          </w:tcPr>
          <w:p w14:paraId="4F91DA38"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urbano</w:t>
            </w:r>
          </w:p>
        </w:tc>
      </w:tr>
      <w:tr w:rsidR="00E42A9B" w:rsidRPr="00E42A9B" w14:paraId="0199DD2E" w14:textId="77777777" w:rsidTr="00E42A9B">
        <w:trPr>
          <w:trHeight w:val="283"/>
        </w:trPr>
        <w:tc>
          <w:tcPr>
            <w:tcW w:w="2146" w:type="dxa"/>
            <w:tcBorders>
              <w:top w:val="nil"/>
            </w:tcBorders>
            <w:shd w:val="clear" w:color="auto" w:fill="C7C7C7" w:themeFill="text2" w:themeFillTint="40"/>
            <w:noWrap/>
            <w:vAlign w:val="center"/>
          </w:tcPr>
          <w:p w14:paraId="22E6F987" w14:textId="77777777" w:rsidR="00E42A9B" w:rsidRPr="00E42A9B" w:rsidRDefault="00E42A9B" w:rsidP="005D1E49">
            <w:pPr>
              <w:spacing w:after="0" w:line="240" w:lineRule="auto"/>
              <w:rPr>
                <w:rFonts w:eastAsia="Times New Roman" w:cstheme="minorHAnsi"/>
                <w:szCs w:val="18"/>
                <w:lang w:eastAsia="hr-HR"/>
              </w:rPr>
            </w:pPr>
            <w:r>
              <w:rPr>
                <w:rFonts w:eastAsia="Times New Roman" w:cstheme="minorHAnsi"/>
                <w:szCs w:val="18"/>
                <w:lang w:eastAsia="hr-HR"/>
              </w:rPr>
              <w:t>UKUPNO GRADOVI</w:t>
            </w:r>
          </w:p>
        </w:tc>
        <w:tc>
          <w:tcPr>
            <w:tcW w:w="1721" w:type="dxa"/>
            <w:tcBorders>
              <w:top w:val="nil"/>
              <w:right w:val="single" w:sz="8" w:space="0" w:color="D2232A"/>
            </w:tcBorders>
            <w:shd w:val="clear" w:color="auto" w:fill="C7C7C7" w:themeFill="text2" w:themeFillTint="40"/>
            <w:noWrap/>
            <w:vAlign w:val="center"/>
          </w:tcPr>
          <w:p w14:paraId="11FF714F" w14:textId="77777777" w:rsidR="00E42A9B" w:rsidRPr="00E42A9B" w:rsidRDefault="00E42A9B" w:rsidP="005D1E49">
            <w:pPr>
              <w:spacing w:after="0" w:line="240" w:lineRule="auto"/>
              <w:jc w:val="right"/>
              <w:rPr>
                <w:rFonts w:eastAsia="Times New Roman" w:cstheme="minorHAnsi"/>
                <w:szCs w:val="18"/>
                <w:lang w:eastAsia="hr-HR"/>
              </w:rPr>
            </w:pPr>
            <w:r>
              <w:rPr>
                <w:rFonts w:eastAsia="Times New Roman" w:cstheme="minorHAnsi"/>
                <w:szCs w:val="18"/>
                <w:lang w:eastAsia="hr-HR"/>
              </w:rPr>
              <w:t>46.683</w:t>
            </w:r>
          </w:p>
        </w:tc>
        <w:tc>
          <w:tcPr>
            <w:tcW w:w="1721" w:type="dxa"/>
            <w:tcBorders>
              <w:top w:val="nil"/>
              <w:left w:val="single" w:sz="8" w:space="0" w:color="D2232A"/>
              <w:right w:val="single" w:sz="8" w:space="0" w:color="D2232A"/>
            </w:tcBorders>
            <w:shd w:val="clear" w:color="auto" w:fill="C7C7C7" w:themeFill="text2" w:themeFillTint="40"/>
            <w:noWrap/>
            <w:vAlign w:val="center"/>
          </w:tcPr>
          <w:p w14:paraId="0FAA9F32" w14:textId="77777777" w:rsidR="00E42A9B" w:rsidRPr="00E42A9B" w:rsidRDefault="00E42A9B" w:rsidP="005D1E49">
            <w:pPr>
              <w:spacing w:after="0" w:line="240" w:lineRule="auto"/>
              <w:jc w:val="right"/>
              <w:rPr>
                <w:rFonts w:eastAsia="Times New Roman" w:cstheme="minorHAnsi"/>
                <w:szCs w:val="18"/>
                <w:lang w:eastAsia="hr-HR"/>
              </w:rPr>
            </w:pPr>
            <w:r>
              <w:rPr>
                <w:rFonts w:eastAsia="Times New Roman" w:cstheme="minorHAnsi"/>
                <w:szCs w:val="18"/>
                <w:lang w:eastAsia="hr-HR"/>
              </w:rPr>
              <w:t>325,65</w:t>
            </w:r>
          </w:p>
        </w:tc>
        <w:tc>
          <w:tcPr>
            <w:tcW w:w="1863" w:type="dxa"/>
            <w:tcBorders>
              <w:top w:val="nil"/>
              <w:left w:val="single" w:sz="8" w:space="0" w:color="D2232A"/>
              <w:right w:val="single" w:sz="8" w:space="0" w:color="D2232A"/>
            </w:tcBorders>
            <w:shd w:val="clear" w:color="auto" w:fill="C7C7C7" w:themeFill="text2" w:themeFillTint="40"/>
            <w:noWrap/>
            <w:vAlign w:val="center"/>
          </w:tcPr>
          <w:p w14:paraId="1FA9FD2F" w14:textId="77777777" w:rsidR="00E42A9B" w:rsidRPr="00E42A9B" w:rsidRDefault="00E42A9B" w:rsidP="005D1E49">
            <w:pPr>
              <w:spacing w:after="0" w:line="240" w:lineRule="auto"/>
              <w:jc w:val="right"/>
              <w:rPr>
                <w:rFonts w:eastAsia="Times New Roman" w:cstheme="minorHAnsi"/>
                <w:szCs w:val="18"/>
                <w:lang w:eastAsia="hr-HR"/>
              </w:rPr>
            </w:pPr>
            <w:r>
              <w:rPr>
                <w:rFonts w:eastAsia="Times New Roman" w:cstheme="minorHAnsi"/>
                <w:szCs w:val="18"/>
                <w:lang w:eastAsia="hr-HR"/>
              </w:rPr>
              <w:t>143,35</w:t>
            </w:r>
          </w:p>
        </w:tc>
        <w:tc>
          <w:tcPr>
            <w:tcW w:w="1721" w:type="dxa"/>
            <w:tcBorders>
              <w:top w:val="nil"/>
              <w:left w:val="single" w:sz="8" w:space="0" w:color="D2232A"/>
              <w:right w:val="single" w:sz="8" w:space="0" w:color="D2232A"/>
            </w:tcBorders>
            <w:shd w:val="clear" w:color="auto" w:fill="C7C7C7" w:themeFill="text2" w:themeFillTint="40"/>
            <w:noWrap/>
            <w:vAlign w:val="center"/>
          </w:tcPr>
          <w:p w14:paraId="5762BA81" w14:textId="77777777" w:rsidR="00E42A9B" w:rsidRPr="00E42A9B" w:rsidRDefault="00E42A9B" w:rsidP="005D1E49">
            <w:pPr>
              <w:spacing w:after="0" w:line="240" w:lineRule="auto"/>
              <w:jc w:val="right"/>
              <w:rPr>
                <w:rFonts w:eastAsia="Times New Roman" w:cstheme="minorHAnsi"/>
                <w:szCs w:val="18"/>
                <w:lang w:eastAsia="hr-HR"/>
              </w:rPr>
            </w:pPr>
            <w:r>
              <w:rPr>
                <w:rFonts w:eastAsia="Times New Roman" w:cstheme="minorHAnsi"/>
                <w:szCs w:val="18"/>
                <w:lang w:eastAsia="hr-HR"/>
              </w:rPr>
              <w:t>urbano</w:t>
            </w:r>
          </w:p>
        </w:tc>
      </w:tr>
      <w:tr w:rsidR="005223D3" w:rsidRPr="00841B08" w14:paraId="3AA04B84" w14:textId="77777777" w:rsidTr="00E42A9B">
        <w:trPr>
          <w:trHeight w:val="283"/>
        </w:trPr>
        <w:tc>
          <w:tcPr>
            <w:tcW w:w="2146" w:type="dxa"/>
            <w:tcBorders>
              <w:top w:val="nil"/>
            </w:tcBorders>
            <w:shd w:val="clear" w:color="auto" w:fill="D2232A"/>
            <w:noWrap/>
            <w:vAlign w:val="center"/>
            <w:hideMark/>
          </w:tcPr>
          <w:p w14:paraId="36E4BC1D"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Bedekovčina</w:t>
            </w:r>
          </w:p>
        </w:tc>
        <w:tc>
          <w:tcPr>
            <w:tcW w:w="1721" w:type="dxa"/>
            <w:tcBorders>
              <w:top w:val="nil"/>
              <w:right w:val="single" w:sz="8" w:space="0" w:color="D2232A"/>
            </w:tcBorders>
            <w:noWrap/>
            <w:vAlign w:val="center"/>
            <w:hideMark/>
          </w:tcPr>
          <w:p w14:paraId="00117B88" w14:textId="3AFC6BAE"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7.</w:t>
            </w:r>
            <w:r w:rsidR="00E42A9B">
              <w:rPr>
                <w:rFonts w:eastAsia="Times New Roman" w:cstheme="minorHAnsi"/>
                <w:color w:val="000000"/>
                <w:szCs w:val="18"/>
                <w:lang w:eastAsia="hr-HR"/>
              </w:rPr>
              <w:t>521</w:t>
            </w:r>
          </w:p>
        </w:tc>
        <w:tc>
          <w:tcPr>
            <w:tcW w:w="1721" w:type="dxa"/>
            <w:tcBorders>
              <w:top w:val="nil"/>
              <w:left w:val="single" w:sz="8" w:space="0" w:color="D2232A"/>
              <w:right w:val="single" w:sz="8" w:space="0" w:color="D2232A"/>
            </w:tcBorders>
            <w:noWrap/>
            <w:vAlign w:val="center"/>
            <w:hideMark/>
          </w:tcPr>
          <w:p w14:paraId="39BCBF76"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51,76</w:t>
            </w:r>
          </w:p>
        </w:tc>
        <w:tc>
          <w:tcPr>
            <w:tcW w:w="1863" w:type="dxa"/>
            <w:tcBorders>
              <w:top w:val="nil"/>
              <w:left w:val="single" w:sz="8" w:space="0" w:color="D2232A"/>
              <w:right w:val="single" w:sz="8" w:space="0" w:color="D2232A"/>
            </w:tcBorders>
            <w:noWrap/>
            <w:vAlign w:val="center"/>
            <w:hideMark/>
          </w:tcPr>
          <w:p w14:paraId="1909EE68" w14:textId="6BEB7AAD"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14</w:t>
            </w:r>
            <w:r w:rsidR="0028265F">
              <w:rPr>
                <w:rFonts w:eastAsia="Times New Roman" w:cstheme="minorHAnsi"/>
                <w:color w:val="000000"/>
                <w:szCs w:val="18"/>
                <w:lang w:eastAsia="hr-HR"/>
              </w:rPr>
              <w:t>5</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31</w:t>
            </w:r>
          </w:p>
        </w:tc>
        <w:tc>
          <w:tcPr>
            <w:tcW w:w="1721" w:type="dxa"/>
            <w:tcBorders>
              <w:top w:val="nil"/>
              <w:left w:val="single" w:sz="8" w:space="0" w:color="D2232A"/>
              <w:right w:val="single" w:sz="8" w:space="0" w:color="D2232A"/>
            </w:tcBorders>
            <w:noWrap/>
            <w:vAlign w:val="center"/>
            <w:hideMark/>
          </w:tcPr>
          <w:p w14:paraId="2D0BD969"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334AF9FC" w14:textId="77777777" w:rsidTr="00E42A9B">
        <w:trPr>
          <w:trHeight w:val="283"/>
        </w:trPr>
        <w:tc>
          <w:tcPr>
            <w:tcW w:w="2146" w:type="dxa"/>
            <w:shd w:val="clear" w:color="auto" w:fill="D2232A"/>
            <w:noWrap/>
            <w:vAlign w:val="center"/>
            <w:hideMark/>
          </w:tcPr>
          <w:p w14:paraId="327DCD89"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Budinščina</w:t>
            </w:r>
          </w:p>
        </w:tc>
        <w:tc>
          <w:tcPr>
            <w:tcW w:w="1721" w:type="dxa"/>
            <w:tcBorders>
              <w:right w:val="single" w:sz="8" w:space="0" w:color="D2232A"/>
            </w:tcBorders>
            <w:noWrap/>
            <w:vAlign w:val="center"/>
            <w:hideMark/>
          </w:tcPr>
          <w:p w14:paraId="1F42DEA8" w14:textId="6C333108"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2.2</w:t>
            </w:r>
            <w:r w:rsidR="00E42A9B">
              <w:rPr>
                <w:rFonts w:eastAsia="Times New Roman" w:cstheme="minorHAnsi"/>
                <w:color w:val="000000"/>
                <w:szCs w:val="18"/>
                <w:lang w:eastAsia="hr-HR"/>
              </w:rPr>
              <w:t>48</w:t>
            </w:r>
          </w:p>
        </w:tc>
        <w:tc>
          <w:tcPr>
            <w:tcW w:w="1721" w:type="dxa"/>
            <w:tcBorders>
              <w:left w:val="single" w:sz="8" w:space="0" w:color="D2232A"/>
              <w:right w:val="single" w:sz="8" w:space="0" w:color="D2232A"/>
            </w:tcBorders>
            <w:noWrap/>
            <w:vAlign w:val="center"/>
            <w:hideMark/>
          </w:tcPr>
          <w:p w14:paraId="63649D5C"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55,18</w:t>
            </w:r>
          </w:p>
        </w:tc>
        <w:tc>
          <w:tcPr>
            <w:tcW w:w="1863" w:type="dxa"/>
            <w:tcBorders>
              <w:left w:val="single" w:sz="8" w:space="0" w:color="D2232A"/>
              <w:right w:val="single" w:sz="8" w:space="0" w:color="D2232A"/>
            </w:tcBorders>
            <w:noWrap/>
            <w:vAlign w:val="center"/>
            <w:hideMark/>
          </w:tcPr>
          <w:p w14:paraId="25F5B375" w14:textId="275FEC4F"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w:t>
            </w:r>
            <w:r w:rsidR="0028265F">
              <w:rPr>
                <w:rFonts w:eastAsia="Times New Roman" w:cstheme="minorHAnsi"/>
                <w:color w:val="000000"/>
                <w:szCs w:val="18"/>
                <w:lang w:eastAsia="hr-HR"/>
              </w:rPr>
              <w:t>0</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74</w:t>
            </w:r>
          </w:p>
        </w:tc>
        <w:tc>
          <w:tcPr>
            <w:tcW w:w="1721" w:type="dxa"/>
            <w:tcBorders>
              <w:left w:val="single" w:sz="8" w:space="0" w:color="D2232A"/>
              <w:right w:val="single" w:sz="8" w:space="0" w:color="D2232A"/>
            </w:tcBorders>
            <w:noWrap/>
            <w:vAlign w:val="center"/>
            <w:hideMark/>
          </w:tcPr>
          <w:p w14:paraId="5DF24B98"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3A05CF27" w14:textId="77777777" w:rsidTr="00E42A9B">
        <w:trPr>
          <w:trHeight w:val="283"/>
        </w:trPr>
        <w:tc>
          <w:tcPr>
            <w:tcW w:w="2146" w:type="dxa"/>
            <w:tcBorders>
              <w:bottom w:val="single" w:sz="8" w:space="0" w:color="D2232A"/>
            </w:tcBorders>
            <w:shd w:val="clear" w:color="auto" w:fill="D2232A"/>
            <w:noWrap/>
            <w:vAlign w:val="center"/>
            <w:hideMark/>
          </w:tcPr>
          <w:p w14:paraId="5E65045F"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Desinić</w:t>
            </w:r>
          </w:p>
        </w:tc>
        <w:tc>
          <w:tcPr>
            <w:tcW w:w="1721" w:type="dxa"/>
            <w:tcBorders>
              <w:right w:val="single" w:sz="8" w:space="0" w:color="D2232A"/>
            </w:tcBorders>
            <w:noWrap/>
            <w:vAlign w:val="center"/>
            <w:hideMark/>
          </w:tcPr>
          <w:p w14:paraId="6465A9D2" w14:textId="0CAE1B28"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w:t>
            </w:r>
            <w:r w:rsidR="00E42A9B">
              <w:rPr>
                <w:rFonts w:eastAsia="Times New Roman" w:cstheme="minorHAnsi"/>
                <w:color w:val="000000"/>
                <w:szCs w:val="18"/>
                <w:lang w:eastAsia="hr-HR"/>
              </w:rPr>
              <w:t>688</w:t>
            </w:r>
          </w:p>
        </w:tc>
        <w:tc>
          <w:tcPr>
            <w:tcW w:w="1721" w:type="dxa"/>
            <w:tcBorders>
              <w:left w:val="single" w:sz="8" w:space="0" w:color="D2232A"/>
              <w:right w:val="single" w:sz="8" w:space="0" w:color="D2232A"/>
            </w:tcBorders>
            <w:noWrap/>
            <w:vAlign w:val="center"/>
            <w:hideMark/>
          </w:tcPr>
          <w:p w14:paraId="2B30BA0D"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45,04</w:t>
            </w:r>
          </w:p>
        </w:tc>
        <w:tc>
          <w:tcPr>
            <w:tcW w:w="1863" w:type="dxa"/>
            <w:tcBorders>
              <w:left w:val="single" w:sz="8" w:space="0" w:color="D2232A"/>
              <w:right w:val="single" w:sz="8" w:space="0" w:color="D2232A"/>
            </w:tcBorders>
            <w:noWrap/>
            <w:vAlign w:val="center"/>
            <w:hideMark/>
          </w:tcPr>
          <w:p w14:paraId="075E599F" w14:textId="2CE732EF" w:rsidR="005223D3" w:rsidRPr="00841B08" w:rsidRDefault="0028265F" w:rsidP="00A27385">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59</w:t>
            </w:r>
            <w:r w:rsidR="005223D3" w:rsidRPr="00841B08">
              <w:rPr>
                <w:rFonts w:eastAsia="Times New Roman" w:cstheme="minorHAnsi"/>
                <w:color w:val="000000"/>
                <w:szCs w:val="18"/>
                <w:lang w:eastAsia="hr-HR"/>
              </w:rPr>
              <w:t>,</w:t>
            </w:r>
            <w:r>
              <w:rPr>
                <w:rFonts w:eastAsia="Times New Roman" w:cstheme="minorHAnsi"/>
                <w:color w:val="000000"/>
                <w:szCs w:val="18"/>
                <w:lang w:eastAsia="hr-HR"/>
              </w:rPr>
              <w:t>68</w:t>
            </w:r>
          </w:p>
        </w:tc>
        <w:tc>
          <w:tcPr>
            <w:tcW w:w="1721" w:type="dxa"/>
            <w:tcBorders>
              <w:left w:val="single" w:sz="8" w:space="0" w:color="D2232A"/>
              <w:right w:val="single" w:sz="8" w:space="0" w:color="D2232A"/>
            </w:tcBorders>
            <w:noWrap/>
            <w:vAlign w:val="center"/>
            <w:hideMark/>
          </w:tcPr>
          <w:p w14:paraId="49A0D485"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3A03BA71" w14:textId="77777777" w:rsidTr="00E42A9B">
        <w:trPr>
          <w:trHeight w:val="283"/>
        </w:trPr>
        <w:tc>
          <w:tcPr>
            <w:tcW w:w="2146" w:type="dxa"/>
            <w:tcBorders>
              <w:top w:val="single" w:sz="8" w:space="0" w:color="D2232A"/>
            </w:tcBorders>
            <w:shd w:val="clear" w:color="auto" w:fill="D2232A"/>
            <w:noWrap/>
            <w:vAlign w:val="center"/>
            <w:hideMark/>
          </w:tcPr>
          <w:p w14:paraId="0BE8E709"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Đurmanec</w:t>
            </w:r>
          </w:p>
        </w:tc>
        <w:tc>
          <w:tcPr>
            <w:tcW w:w="1721" w:type="dxa"/>
            <w:tcBorders>
              <w:right w:val="single" w:sz="8" w:space="0" w:color="D2232A"/>
            </w:tcBorders>
            <w:noWrap/>
            <w:vAlign w:val="center"/>
            <w:hideMark/>
          </w:tcPr>
          <w:p w14:paraId="00F3EBE9" w14:textId="02120FD5"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3.</w:t>
            </w:r>
            <w:r w:rsidR="00E42A9B">
              <w:rPr>
                <w:rFonts w:eastAsia="Times New Roman" w:cstheme="minorHAnsi"/>
                <w:color w:val="000000"/>
                <w:szCs w:val="18"/>
                <w:lang w:eastAsia="hr-HR"/>
              </w:rPr>
              <w:t>850</w:t>
            </w:r>
          </w:p>
        </w:tc>
        <w:tc>
          <w:tcPr>
            <w:tcW w:w="1721" w:type="dxa"/>
            <w:tcBorders>
              <w:left w:val="single" w:sz="8" w:space="0" w:color="D2232A"/>
              <w:right w:val="single" w:sz="8" w:space="0" w:color="D2232A"/>
            </w:tcBorders>
            <w:noWrap/>
            <w:vAlign w:val="center"/>
            <w:hideMark/>
          </w:tcPr>
          <w:p w14:paraId="28AE007E"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58,43</w:t>
            </w:r>
          </w:p>
        </w:tc>
        <w:tc>
          <w:tcPr>
            <w:tcW w:w="1863" w:type="dxa"/>
            <w:tcBorders>
              <w:left w:val="single" w:sz="8" w:space="0" w:color="D2232A"/>
              <w:right w:val="single" w:sz="8" w:space="0" w:color="D2232A"/>
            </w:tcBorders>
            <w:noWrap/>
            <w:vAlign w:val="center"/>
            <w:hideMark/>
          </w:tcPr>
          <w:p w14:paraId="3655BA1E" w14:textId="0D4D3509"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6</w:t>
            </w:r>
            <w:r w:rsidR="0028265F">
              <w:rPr>
                <w:rFonts w:eastAsia="Times New Roman" w:cstheme="minorHAnsi"/>
                <w:color w:val="000000"/>
                <w:szCs w:val="18"/>
                <w:lang w:eastAsia="hr-HR"/>
              </w:rPr>
              <w:t>5</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89</w:t>
            </w:r>
          </w:p>
        </w:tc>
        <w:tc>
          <w:tcPr>
            <w:tcW w:w="1721" w:type="dxa"/>
            <w:tcBorders>
              <w:left w:val="single" w:sz="8" w:space="0" w:color="D2232A"/>
              <w:right w:val="single" w:sz="8" w:space="0" w:color="D2232A"/>
            </w:tcBorders>
            <w:noWrap/>
            <w:vAlign w:val="center"/>
            <w:hideMark/>
          </w:tcPr>
          <w:p w14:paraId="11D1D5CC"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38377FB7" w14:textId="77777777" w:rsidTr="00E42A9B">
        <w:trPr>
          <w:trHeight w:val="283"/>
        </w:trPr>
        <w:tc>
          <w:tcPr>
            <w:tcW w:w="2146" w:type="dxa"/>
            <w:shd w:val="clear" w:color="auto" w:fill="D2232A"/>
            <w:noWrap/>
            <w:vAlign w:val="center"/>
            <w:hideMark/>
          </w:tcPr>
          <w:p w14:paraId="3C1457E5"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Gornja Stubica</w:t>
            </w:r>
          </w:p>
        </w:tc>
        <w:tc>
          <w:tcPr>
            <w:tcW w:w="1721" w:type="dxa"/>
            <w:tcBorders>
              <w:right w:val="single" w:sz="8" w:space="0" w:color="D2232A"/>
            </w:tcBorders>
            <w:noWrap/>
            <w:vAlign w:val="center"/>
            <w:hideMark/>
          </w:tcPr>
          <w:p w14:paraId="737CB3AC" w14:textId="44E1C92A"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w:t>
            </w:r>
            <w:r w:rsidR="00E42A9B">
              <w:rPr>
                <w:rFonts w:eastAsia="Times New Roman" w:cstheme="minorHAnsi"/>
                <w:color w:val="000000"/>
                <w:szCs w:val="18"/>
                <w:lang w:eastAsia="hr-HR"/>
              </w:rPr>
              <w:t>695</w:t>
            </w:r>
          </w:p>
        </w:tc>
        <w:tc>
          <w:tcPr>
            <w:tcW w:w="1721" w:type="dxa"/>
            <w:tcBorders>
              <w:left w:val="single" w:sz="8" w:space="0" w:color="D2232A"/>
              <w:right w:val="single" w:sz="8" w:space="0" w:color="D2232A"/>
            </w:tcBorders>
            <w:noWrap/>
            <w:vAlign w:val="center"/>
            <w:hideMark/>
          </w:tcPr>
          <w:p w14:paraId="1205B244"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49,31</w:t>
            </w:r>
          </w:p>
        </w:tc>
        <w:tc>
          <w:tcPr>
            <w:tcW w:w="1863" w:type="dxa"/>
            <w:tcBorders>
              <w:left w:val="single" w:sz="8" w:space="0" w:color="D2232A"/>
              <w:right w:val="single" w:sz="8" w:space="0" w:color="D2232A"/>
            </w:tcBorders>
            <w:noWrap/>
            <w:vAlign w:val="center"/>
            <w:hideMark/>
          </w:tcPr>
          <w:p w14:paraId="7F949A04" w14:textId="4876CE3D"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9</w:t>
            </w:r>
            <w:r w:rsidR="0028265F">
              <w:rPr>
                <w:rFonts w:eastAsia="Times New Roman" w:cstheme="minorHAnsi"/>
                <w:color w:val="000000"/>
                <w:szCs w:val="18"/>
                <w:lang w:eastAsia="hr-HR"/>
              </w:rPr>
              <w:t>5</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21</w:t>
            </w:r>
          </w:p>
        </w:tc>
        <w:tc>
          <w:tcPr>
            <w:tcW w:w="1721" w:type="dxa"/>
            <w:tcBorders>
              <w:left w:val="single" w:sz="8" w:space="0" w:color="D2232A"/>
              <w:right w:val="single" w:sz="8" w:space="0" w:color="D2232A"/>
            </w:tcBorders>
            <w:noWrap/>
            <w:vAlign w:val="center"/>
            <w:hideMark/>
          </w:tcPr>
          <w:p w14:paraId="02E577F4"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7EA519B0" w14:textId="77777777" w:rsidTr="00E42A9B">
        <w:trPr>
          <w:trHeight w:val="283"/>
        </w:trPr>
        <w:tc>
          <w:tcPr>
            <w:tcW w:w="2146" w:type="dxa"/>
            <w:shd w:val="clear" w:color="auto" w:fill="D2232A"/>
            <w:noWrap/>
            <w:vAlign w:val="center"/>
            <w:hideMark/>
          </w:tcPr>
          <w:p w14:paraId="442B728A"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Hrašćina</w:t>
            </w:r>
          </w:p>
        </w:tc>
        <w:tc>
          <w:tcPr>
            <w:tcW w:w="1721" w:type="dxa"/>
            <w:tcBorders>
              <w:right w:val="single" w:sz="8" w:space="0" w:color="D2232A"/>
            </w:tcBorders>
            <w:noWrap/>
            <w:vAlign w:val="center"/>
            <w:hideMark/>
          </w:tcPr>
          <w:p w14:paraId="51D5E78E" w14:textId="6D3BADCE"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1.4</w:t>
            </w:r>
            <w:r w:rsidR="00E42A9B">
              <w:rPr>
                <w:rFonts w:eastAsia="Times New Roman" w:cstheme="minorHAnsi"/>
                <w:color w:val="000000"/>
                <w:szCs w:val="18"/>
                <w:lang w:eastAsia="hr-HR"/>
              </w:rPr>
              <w:t>15</w:t>
            </w:r>
          </w:p>
        </w:tc>
        <w:tc>
          <w:tcPr>
            <w:tcW w:w="1721" w:type="dxa"/>
            <w:tcBorders>
              <w:left w:val="single" w:sz="8" w:space="0" w:color="D2232A"/>
              <w:right w:val="single" w:sz="8" w:space="0" w:color="D2232A"/>
            </w:tcBorders>
            <w:noWrap/>
            <w:vAlign w:val="center"/>
            <w:hideMark/>
          </w:tcPr>
          <w:p w14:paraId="1621211C"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27,05</w:t>
            </w:r>
          </w:p>
        </w:tc>
        <w:tc>
          <w:tcPr>
            <w:tcW w:w="1863" w:type="dxa"/>
            <w:tcBorders>
              <w:left w:val="single" w:sz="8" w:space="0" w:color="D2232A"/>
              <w:right w:val="single" w:sz="8" w:space="0" w:color="D2232A"/>
            </w:tcBorders>
            <w:noWrap/>
            <w:vAlign w:val="center"/>
            <w:hideMark/>
          </w:tcPr>
          <w:p w14:paraId="0FFFDF94" w14:textId="1DAA9CE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w:t>
            </w:r>
            <w:r w:rsidR="0028265F">
              <w:rPr>
                <w:rFonts w:eastAsia="Times New Roman" w:cstheme="minorHAnsi"/>
                <w:color w:val="000000"/>
                <w:szCs w:val="18"/>
                <w:lang w:eastAsia="hr-HR"/>
              </w:rPr>
              <w:t>2</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31</w:t>
            </w:r>
          </w:p>
        </w:tc>
        <w:tc>
          <w:tcPr>
            <w:tcW w:w="1721" w:type="dxa"/>
            <w:tcBorders>
              <w:left w:val="single" w:sz="8" w:space="0" w:color="D2232A"/>
              <w:right w:val="single" w:sz="8" w:space="0" w:color="D2232A"/>
            </w:tcBorders>
            <w:noWrap/>
            <w:vAlign w:val="center"/>
            <w:hideMark/>
          </w:tcPr>
          <w:p w14:paraId="6630F147"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6AAA687A" w14:textId="77777777" w:rsidTr="00E42A9B">
        <w:trPr>
          <w:trHeight w:val="283"/>
        </w:trPr>
        <w:tc>
          <w:tcPr>
            <w:tcW w:w="2146" w:type="dxa"/>
            <w:tcBorders>
              <w:bottom w:val="single" w:sz="8" w:space="0" w:color="D2232A"/>
            </w:tcBorders>
            <w:shd w:val="clear" w:color="auto" w:fill="D2232A"/>
            <w:noWrap/>
            <w:vAlign w:val="center"/>
            <w:hideMark/>
          </w:tcPr>
          <w:p w14:paraId="1ED78088"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Hum na Sutli</w:t>
            </w:r>
          </w:p>
        </w:tc>
        <w:tc>
          <w:tcPr>
            <w:tcW w:w="1721" w:type="dxa"/>
            <w:tcBorders>
              <w:right w:val="single" w:sz="8" w:space="0" w:color="D2232A"/>
            </w:tcBorders>
            <w:noWrap/>
            <w:vAlign w:val="center"/>
            <w:hideMark/>
          </w:tcPr>
          <w:p w14:paraId="4C6AA42B" w14:textId="60FA1CD5"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4.6</w:t>
            </w:r>
            <w:r w:rsidR="00E42A9B">
              <w:rPr>
                <w:rFonts w:eastAsia="Times New Roman" w:cstheme="minorHAnsi"/>
                <w:color w:val="000000"/>
                <w:szCs w:val="18"/>
                <w:lang w:eastAsia="hr-HR"/>
              </w:rPr>
              <w:t>2</w:t>
            </w:r>
            <w:r w:rsidRPr="00841B08">
              <w:rPr>
                <w:rFonts w:eastAsia="Times New Roman" w:cstheme="minorHAnsi"/>
                <w:color w:val="000000"/>
                <w:szCs w:val="18"/>
                <w:lang w:eastAsia="hr-HR"/>
              </w:rPr>
              <w:t>8</w:t>
            </w:r>
          </w:p>
        </w:tc>
        <w:tc>
          <w:tcPr>
            <w:tcW w:w="1721" w:type="dxa"/>
            <w:tcBorders>
              <w:left w:val="single" w:sz="8" w:space="0" w:color="D2232A"/>
              <w:right w:val="single" w:sz="8" w:space="0" w:color="D2232A"/>
            </w:tcBorders>
            <w:noWrap/>
            <w:vAlign w:val="center"/>
            <w:hideMark/>
          </w:tcPr>
          <w:p w14:paraId="3228D964"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36,83</w:t>
            </w:r>
          </w:p>
        </w:tc>
        <w:tc>
          <w:tcPr>
            <w:tcW w:w="1863" w:type="dxa"/>
            <w:tcBorders>
              <w:left w:val="single" w:sz="8" w:space="0" w:color="D2232A"/>
              <w:right w:val="single" w:sz="8" w:space="0" w:color="D2232A"/>
            </w:tcBorders>
            <w:noWrap/>
            <w:vAlign w:val="center"/>
            <w:hideMark/>
          </w:tcPr>
          <w:p w14:paraId="6428AE03" w14:textId="43375A81"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12</w:t>
            </w:r>
            <w:r w:rsidR="0028265F">
              <w:rPr>
                <w:rFonts w:eastAsia="Times New Roman" w:cstheme="minorHAnsi"/>
                <w:color w:val="000000"/>
                <w:szCs w:val="18"/>
                <w:lang w:eastAsia="hr-HR"/>
              </w:rPr>
              <w:t>5</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66</w:t>
            </w:r>
          </w:p>
        </w:tc>
        <w:tc>
          <w:tcPr>
            <w:tcW w:w="1721" w:type="dxa"/>
            <w:tcBorders>
              <w:left w:val="single" w:sz="8" w:space="0" w:color="D2232A"/>
              <w:right w:val="single" w:sz="8" w:space="0" w:color="D2232A"/>
            </w:tcBorders>
            <w:noWrap/>
            <w:vAlign w:val="center"/>
            <w:hideMark/>
          </w:tcPr>
          <w:p w14:paraId="07A89D62"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10CAAEBC" w14:textId="77777777" w:rsidTr="00E42A9B">
        <w:trPr>
          <w:trHeight w:val="283"/>
        </w:trPr>
        <w:tc>
          <w:tcPr>
            <w:tcW w:w="2146" w:type="dxa"/>
            <w:tcBorders>
              <w:top w:val="single" w:sz="8" w:space="0" w:color="D2232A"/>
            </w:tcBorders>
            <w:shd w:val="clear" w:color="auto" w:fill="D2232A"/>
            <w:noWrap/>
            <w:vAlign w:val="center"/>
            <w:hideMark/>
          </w:tcPr>
          <w:p w14:paraId="26771326"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Jesenje</w:t>
            </w:r>
          </w:p>
        </w:tc>
        <w:tc>
          <w:tcPr>
            <w:tcW w:w="1721" w:type="dxa"/>
            <w:tcBorders>
              <w:right w:val="single" w:sz="8" w:space="0" w:color="D2232A"/>
            </w:tcBorders>
            <w:noWrap/>
            <w:vAlign w:val="center"/>
            <w:hideMark/>
          </w:tcPr>
          <w:p w14:paraId="412651D3" w14:textId="6C8E8C3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1.4</w:t>
            </w:r>
            <w:r w:rsidR="00E42A9B">
              <w:rPr>
                <w:rFonts w:eastAsia="Times New Roman" w:cstheme="minorHAnsi"/>
                <w:color w:val="000000"/>
                <w:szCs w:val="18"/>
                <w:lang w:eastAsia="hr-HR"/>
              </w:rPr>
              <w:t>06</w:t>
            </w:r>
          </w:p>
        </w:tc>
        <w:tc>
          <w:tcPr>
            <w:tcW w:w="1721" w:type="dxa"/>
            <w:tcBorders>
              <w:left w:val="single" w:sz="8" w:space="0" w:color="D2232A"/>
              <w:right w:val="single" w:sz="8" w:space="0" w:color="D2232A"/>
            </w:tcBorders>
            <w:noWrap/>
            <w:vAlign w:val="center"/>
            <w:hideMark/>
          </w:tcPr>
          <w:p w14:paraId="761DEE41"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23,84</w:t>
            </w:r>
          </w:p>
        </w:tc>
        <w:tc>
          <w:tcPr>
            <w:tcW w:w="1863" w:type="dxa"/>
            <w:tcBorders>
              <w:left w:val="single" w:sz="8" w:space="0" w:color="D2232A"/>
              <w:right w:val="single" w:sz="8" w:space="0" w:color="D2232A"/>
            </w:tcBorders>
            <w:noWrap/>
            <w:vAlign w:val="center"/>
            <w:hideMark/>
          </w:tcPr>
          <w:p w14:paraId="754A3550" w14:textId="7CDA3789"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w:t>
            </w:r>
            <w:r w:rsidR="0028265F">
              <w:rPr>
                <w:rFonts w:eastAsia="Times New Roman" w:cstheme="minorHAnsi"/>
                <w:color w:val="000000"/>
                <w:szCs w:val="18"/>
                <w:lang w:eastAsia="hr-HR"/>
              </w:rPr>
              <w:t>8</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98</w:t>
            </w:r>
          </w:p>
        </w:tc>
        <w:tc>
          <w:tcPr>
            <w:tcW w:w="1721" w:type="dxa"/>
            <w:tcBorders>
              <w:left w:val="single" w:sz="8" w:space="0" w:color="D2232A"/>
              <w:right w:val="single" w:sz="8" w:space="0" w:color="D2232A"/>
            </w:tcBorders>
            <w:noWrap/>
            <w:vAlign w:val="center"/>
            <w:hideMark/>
          </w:tcPr>
          <w:p w14:paraId="3AEC2816"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4D7FF3C5" w14:textId="77777777" w:rsidTr="00E42A9B">
        <w:trPr>
          <w:trHeight w:val="283"/>
        </w:trPr>
        <w:tc>
          <w:tcPr>
            <w:tcW w:w="2146" w:type="dxa"/>
            <w:shd w:val="clear" w:color="auto" w:fill="D2232A"/>
            <w:noWrap/>
            <w:vAlign w:val="center"/>
            <w:hideMark/>
          </w:tcPr>
          <w:p w14:paraId="4A9E1480"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Konjščina</w:t>
            </w:r>
          </w:p>
        </w:tc>
        <w:tc>
          <w:tcPr>
            <w:tcW w:w="1721" w:type="dxa"/>
            <w:tcBorders>
              <w:right w:val="single" w:sz="8" w:space="0" w:color="D2232A"/>
            </w:tcBorders>
            <w:noWrap/>
            <w:vAlign w:val="center"/>
            <w:hideMark/>
          </w:tcPr>
          <w:p w14:paraId="2D8540CD" w14:textId="07C17C44"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3.</w:t>
            </w:r>
            <w:r w:rsidR="00E42A9B">
              <w:rPr>
                <w:rFonts w:eastAsia="Times New Roman" w:cstheme="minorHAnsi"/>
                <w:color w:val="000000"/>
                <w:szCs w:val="18"/>
                <w:lang w:eastAsia="hr-HR"/>
              </w:rPr>
              <w:t>435</w:t>
            </w:r>
          </w:p>
        </w:tc>
        <w:tc>
          <w:tcPr>
            <w:tcW w:w="1721" w:type="dxa"/>
            <w:tcBorders>
              <w:left w:val="single" w:sz="8" w:space="0" w:color="D2232A"/>
              <w:right w:val="single" w:sz="8" w:space="0" w:color="D2232A"/>
            </w:tcBorders>
            <w:noWrap/>
            <w:vAlign w:val="center"/>
            <w:hideMark/>
          </w:tcPr>
          <w:p w14:paraId="6C13CB31"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44,17</w:t>
            </w:r>
          </w:p>
        </w:tc>
        <w:tc>
          <w:tcPr>
            <w:tcW w:w="1863" w:type="dxa"/>
            <w:tcBorders>
              <w:left w:val="single" w:sz="8" w:space="0" w:color="D2232A"/>
              <w:right w:val="single" w:sz="8" w:space="0" w:color="D2232A"/>
            </w:tcBorders>
            <w:noWrap/>
            <w:vAlign w:val="center"/>
            <w:hideMark/>
          </w:tcPr>
          <w:p w14:paraId="4E670505" w14:textId="60107B08"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7</w:t>
            </w:r>
            <w:r w:rsidR="0028265F">
              <w:rPr>
                <w:rFonts w:eastAsia="Times New Roman" w:cstheme="minorHAnsi"/>
                <w:color w:val="000000"/>
                <w:szCs w:val="18"/>
                <w:lang w:eastAsia="hr-HR"/>
              </w:rPr>
              <w:t>7</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77</w:t>
            </w:r>
          </w:p>
        </w:tc>
        <w:tc>
          <w:tcPr>
            <w:tcW w:w="1721" w:type="dxa"/>
            <w:tcBorders>
              <w:left w:val="single" w:sz="8" w:space="0" w:color="D2232A"/>
              <w:right w:val="single" w:sz="8" w:space="0" w:color="D2232A"/>
            </w:tcBorders>
            <w:noWrap/>
            <w:vAlign w:val="center"/>
            <w:hideMark/>
          </w:tcPr>
          <w:p w14:paraId="61387226"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4A9A517F" w14:textId="77777777" w:rsidTr="00E42A9B">
        <w:trPr>
          <w:trHeight w:val="283"/>
        </w:trPr>
        <w:tc>
          <w:tcPr>
            <w:tcW w:w="2146" w:type="dxa"/>
            <w:shd w:val="clear" w:color="auto" w:fill="D2232A"/>
            <w:noWrap/>
            <w:vAlign w:val="center"/>
            <w:hideMark/>
          </w:tcPr>
          <w:p w14:paraId="40B7AFD9"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lastRenderedPageBreak/>
              <w:t>Kraljevec na Sutli</w:t>
            </w:r>
          </w:p>
        </w:tc>
        <w:tc>
          <w:tcPr>
            <w:tcW w:w="1721" w:type="dxa"/>
            <w:tcBorders>
              <w:right w:val="single" w:sz="8" w:space="0" w:color="D2232A"/>
            </w:tcBorders>
            <w:noWrap/>
            <w:vAlign w:val="center"/>
            <w:hideMark/>
          </w:tcPr>
          <w:p w14:paraId="61E1E528" w14:textId="50FA7FC4"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1.5</w:t>
            </w:r>
            <w:r w:rsidR="00E42A9B">
              <w:rPr>
                <w:rFonts w:eastAsia="Times New Roman" w:cstheme="minorHAnsi"/>
                <w:color w:val="000000"/>
                <w:szCs w:val="18"/>
                <w:lang w:eastAsia="hr-HR"/>
              </w:rPr>
              <w:t>49</w:t>
            </w:r>
          </w:p>
        </w:tc>
        <w:tc>
          <w:tcPr>
            <w:tcW w:w="1721" w:type="dxa"/>
            <w:tcBorders>
              <w:left w:val="single" w:sz="8" w:space="0" w:color="D2232A"/>
              <w:right w:val="single" w:sz="8" w:space="0" w:color="D2232A"/>
            </w:tcBorders>
            <w:noWrap/>
            <w:vAlign w:val="center"/>
            <w:hideMark/>
          </w:tcPr>
          <w:p w14:paraId="32211AC1"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26,78</w:t>
            </w:r>
          </w:p>
        </w:tc>
        <w:tc>
          <w:tcPr>
            <w:tcW w:w="1863" w:type="dxa"/>
            <w:tcBorders>
              <w:left w:val="single" w:sz="8" w:space="0" w:color="D2232A"/>
              <w:right w:val="single" w:sz="8" w:space="0" w:color="D2232A"/>
            </w:tcBorders>
            <w:noWrap/>
            <w:vAlign w:val="center"/>
            <w:hideMark/>
          </w:tcPr>
          <w:p w14:paraId="3B0C352E" w14:textId="0E3DD346"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w:t>
            </w:r>
            <w:r w:rsidR="0028265F">
              <w:rPr>
                <w:rFonts w:eastAsia="Times New Roman" w:cstheme="minorHAnsi"/>
                <w:color w:val="000000"/>
                <w:szCs w:val="18"/>
                <w:lang w:eastAsia="hr-HR"/>
              </w:rPr>
              <w:t>7</w:t>
            </w:r>
            <w:r w:rsidRPr="00841B08">
              <w:rPr>
                <w:rFonts w:eastAsia="Times New Roman" w:cstheme="minorHAnsi"/>
                <w:color w:val="000000"/>
                <w:szCs w:val="18"/>
                <w:lang w:eastAsia="hr-HR"/>
              </w:rPr>
              <w:t>,8</w:t>
            </w:r>
            <w:r w:rsidR="0028265F">
              <w:rPr>
                <w:rFonts w:eastAsia="Times New Roman" w:cstheme="minorHAnsi"/>
                <w:color w:val="000000"/>
                <w:szCs w:val="18"/>
                <w:lang w:eastAsia="hr-HR"/>
              </w:rPr>
              <w:t>4</w:t>
            </w:r>
          </w:p>
        </w:tc>
        <w:tc>
          <w:tcPr>
            <w:tcW w:w="1721" w:type="dxa"/>
            <w:tcBorders>
              <w:left w:val="single" w:sz="8" w:space="0" w:color="D2232A"/>
              <w:right w:val="single" w:sz="8" w:space="0" w:color="D2232A"/>
            </w:tcBorders>
            <w:noWrap/>
            <w:vAlign w:val="center"/>
            <w:hideMark/>
          </w:tcPr>
          <w:p w14:paraId="5E610219"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5A569E5B" w14:textId="77777777" w:rsidTr="00E42A9B">
        <w:trPr>
          <w:trHeight w:val="283"/>
        </w:trPr>
        <w:tc>
          <w:tcPr>
            <w:tcW w:w="2146" w:type="dxa"/>
            <w:shd w:val="clear" w:color="auto" w:fill="D2232A"/>
            <w:noWrap/>
            <w:vAlign w:val="center"/>
            <w:hideMark/>
          </w:tcPr>
          <w:p w14:paraId="1D355BDE"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Krapinske Toplice</w:t>
            </w:r>
          </w:p>
        </w:tc>
        <w:tc>
          <w:tcPr>
            <w:tcW w:w="1721" w:type="dxa"/>
            <w:tcBorders>
              <w:right w:val="single" w:sz="8" w:space="0" w:color="D2232A"/>
            </w:tcBorders>
            <w:noWrap/>
            <w:vAlign w:val="center"/>
            <w:hideMark/>
          </w:tcPr>
          <w:p w14:paraId="23120840" w14:textId="02630E26"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5.0</w:t>
            </w:r>
            <w:r w:rsidR="00E42A9B">
              <w:rPr>
                <w:rFonts w:eastAsia="Times New Roman" w:cstheme="minorHAnsi"/>
                <w:color w:val="000000"/>
                <w:szCs w:val="18"/>
                <w:lang w:eastAsia="hr-HR"/>
              </w:rPr>
              <w:t>1</w:t>
            </w:r>
            <w:r w:rsidRPr="00841B08">
              <w:rPr>
                <w:rFonts w:eastAsia="Times New Roman" w:cstheme="minorHAnsi"/>
                <w:color w:val="000000"/>
                <w:szCs w:val="18"/>
                <w:lang w:eastAsia="hr-HR"/>
              </w:rPr>
              <w:t>6</w:t>
            </w:r>
          </w:p>
        </w:tc>
        <w:tc>
          <w:tcPr>
            <w:tcW w:w="1721" w:type="dxa"/>
            <w:tcBorders>
              <w:left w:val="single" w:sz="8" w:space="0" w:color="D2232A"/>
              <w:right w:val="single" w:sz="8" w:space="0" w:color="D2232A"/>
            </w:tcBorders>
            <w:noWrap/>
            <w:vAlign w:val="center"/>
            <w:hideMark/>
          </w:tcPr>
          <w:p w14:paraId="05D3465C"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48,46</w:t>
            </w:r>
          </w:p>
        </w:tc>
        <w:tc>
          <w:tcPr>
            <w:tcW w:w="1863" w:type="dxa"/>
            <w:tcBorders>
              <w:left w:val="single" w:sz="8" w:space="0" w:color="D2232A"/>
              <w:right w:val="single" w:sz="8" w:space="0" w:color="D2232A"/>
            </w:tcBorders>
            <w:noWrap/>
            <w:vAlign w:val="center"/>
            <w:hideMark/>
          </w:tcPr>
          <w:p w14:paraId="153EF95D" w14:textId="3D0B0DBF"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10</w:t>
            </w:r>
            <w:r w:rsidR="0028265F">
              <w:rPr>
                <w:rFonts w:eastAsia="Times New Roman" w:cstheme="minorHAnsi"/>
                <w:color w:val="000000"/>
                <w:szCs w:val="18"/>
                <w:lang w:eastAsia="hr-HR"/>
              </w:rPr>
              <w:t>3</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51</w:t>
            </w:r>
          </w:p>
        </w:tc>
        <w:tc>
          <w:tcPr>
            <w:tcW w:w="1721" w:type="dxa"/>
            <w:tcBorders>
              <w:left w:val="single" w:sz="8" w:space="0" w:color="D2232A"/>
              <w:right w:val="single" w:sz="8" w:space="0" w:color="D2232A"/>
            </w:tcBorders>
            <w:noWrap/>
            <w:vAlign w:val="center"/>
            <w:hideMark/>
          </w:tcPr>
          <w:p w14:paraId="2BF11245"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42CDCE21" w14:textId="77777777" w:rsidTr="00E42A9B">
        <w:trPr>
          <w:trHeight w:val="283"/>
        </w:trPr>
        <w:tc>
          <w:tcPr>
            <w:tcW w:w="2146" w:type="dxa"/>
            <w:shd w:val="clear" w:color="auto" w:fill="D2232A"/>
            <w:noWrap/>
            <w:vAlign w:val="center"/>
            <w:hideMark/>
          </w:tcPr>
          <w:p w14:paraId="4805F93A"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Kumrovec</w:t>
            </w:r>
          </w:p>
        </w:tc>
        <w:tc>
          <w:tcPr>
            <w:tcW w:w="1721" w:type="dxa"/>
            <w:tcBorders>
              <w:right w:val="single" w:sz="8" w:space="0" w:color="D2232A"/>
            </w:tcBorders>
            <w:noWrap/>
            <w:vAlign w:val="center"/>
            <w:hideMark/>
          </w:tcPr>
          <w:p w14:paraId="2836FCB0" w14:textId="1FE7D2CB"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1.4</w:t>
            </w:r>
            <w:r w:rsidR="00E42A9B">
              <w:rPr>
                <w:rFonts w:eastAsia="Times New Roman" w:cstheme="minorHAnsi"/>
                <w:color w:val="000000"/>
                <w:szCs w:val="18"/>
                <w:lang w:eastAsia="hr-HR"/>
              </w:rPr>
              <w:t>32</w:t>
            </w:r>
          </w:p>
        </w:tc>
        <w:tc>
          <w:tcPr>
            <w:tcW w:w="1721" w:type="dxa"/>
            <w:tcBorders>
              <w:left w:val="single" w:sz="8" w:space="0" w:color="D2232A"/>
              <w:right w:val="single" w:sz="8" w:space="0" w:color="D2232A"/>
            </w:tcBorders>
            <w:noWrap/>
            <w:vAlign w:val="center"/>
            <w:hideMark/>
          </w:tcPr>
          <w:p w14:paraId="6088C4E0"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17,57</w:t>
            </w:r>
          </w:p>
        </w:tc>
        <w:tc>
          <w:tcPr>
            <w:tcW w:w="1863" w:type="dxa"/>
            <w:tcBorders>
              <w:left w:val="single" w:sz="8" w:space="0" w:color="D2232A"/>
              <w:right w:val="single" w:sz="8" w:space="0" w:color="D2232A"/>
            </w:tcBorders>
            <w:noWrap/>
            <w:vAlign w:val="center"/>
            <w:hideMark/>
          </w:tcPr>
          <w:p w14:paraId="79F5B683" w14:textId="64415BCC"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8</w:t>
            </w:r>
            <w:r w:rsidR="0028265F">
              <w:rPr>
                <w:rFonts w:eastAsia="Times New Roman" w:cstheme="minorHAnsi"/>
                <w:color w:val="000000"/>
                <w:szCs w:val="18"/>
                <w:lang w:eastAsia="hr-HR"/>
              </w:rPr>
              <w:t>1</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50</w:t>
            </w:r>
          </w:p>
        </w:tc>
        <w:tc>
          <w:tcPr>
            <w:tcW w:w="1721" w:type="dxa"/>
            <w:tcBorders>
              <w:left w:val="single" w:sz="8" w:space="0" w:color="D2232A"/>
              <w:right w:val="single" w:sz="8" w:space="0" w:color="D2232A"/>
            </w:tcBorders>
            <w:noWrap/>
            <w:vAlign w:val="center"/>
            <w:hideMark/>
          </w:tcPr>
          <w:p w14:paraId="6267CA6E"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7A35897E" w14:textId="77777777" w:rsidTr="00E42A9B">
        <w:trPr>
          <w:trHeight w:val="283"/>
        </w:trPr>
        <w:tc>
          <w:tcPr>
            <w:tcW w:w="2146" w:type="dxa"/>
            <w:shd w:val="clear" w:color="auto" w:fill="D2232A"/>
            <w:noWrap/>
            <w:vAlign w:val="center"/>
            <w:hideMark/>
          </w:tcPr>
          <w:p w14:paraId="6C699E9A"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Lobor</w:t>
            </w:r>
          </w:p>
        </w:tc>
        <w:tc>
          <w:tcPr>
            <w:tcW w:w="1721" w:type="dxa"/>
            <w:tcBorders>
              <w:right w:val="single" w:sz="8" w:space="0" w:color="D2232A"/>
            </w:tcBorders>
            <w:noWrap/>
            <w:vAlign w:val="center"/>
            <w:hideMark/>
          </w:tcPr>
          <w:p w14:paraId="2AF67940" w14:textId="05C28001"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3.</w:t>
            </w:r>
            <w:r w:rsidR="00E42A9B">
              <w:rPr>
                <w:rFonts w:eastAsia="Times New Roman" w:cstheme="minorHAnsi"/>
                <w:color w:val="000000"/>
                <w:szCs w:val="18"/>
                <w:lang w:eastAsia="hr-HR"/>
              </w:rPr>
              <w:t>155</w:t>
            </w:r>
          </w:p>
        </w:tc>
        <w:tc>
          <w:tcPr>
            <w:tcW w:w="1721" w:type="dxa"/>
            <w:tcBorders>
              <w:left w:val="single" w:sz="8" w:space="0" w:color="D2232A"/>
              <w:right w:val="single" w:sz="8" w:space="0" w:color="D2232A"/>
            </w:tcBorders>
            <w:noWrap/>
            <w:vAlign w:val="center"/>
            <w:hideMark/>
          </w:tcPr>
          <w:p w14:paraId="4C96571A"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42,98</w:t>
            </w:r>
          </w:p>
        </w:tc>
        <w:tc>
          <w:tcPr>
            <w:tcW w:w="1863" w:type="dxa"/>
            <w:tcBorders>
              <w:left w:val="single" w:sz="8" w:space="0" w:color="D2232A"/>
              <w:right w:val="single" w:sz="8" w:space="0" w:color="D2232A"/>
            </w:tcBorders>
            <w:noWrap/>
            <w:vAlign w:val="center"/>
            <w:hideMark/>
          </w:tcPr>
          <w:p w14:paraId="3E986BE5" w14:textId="13E437F5"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7</w:t>
            </w:r>
            <w:r w:rsidR="0028265F">
              <w:rPr>
                <w:rFonts w:eastAsia="Times New Roman" w:cstheme="minorHAnsi"/>
                <w:color w:val="000000"/>
                <w:szCs w:val="18"/>
                <w:lang w:eastAsia="hr-HR"/>
              </w:rPr>
              <w:t>3</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41</w:t>
            </w:r>
          </w:p>
        </w:tc>
        <w:tc>
          <w:tcPr>
            <w:tcW w:w="1721" w:type="dxa"/>
            <w:tcBorders>
              <w:left w:val="single" w:sz="8" w:space="0" w:color="D2232A"/>
              <w:right w:val="single" w:sz="8" w:space="0" w:color="D2232A"/>
            </w:tcBorders>
            <w:noWrap/>
            <w:vAlign w:val="center"/>
            <w:hideMark/>
          </w:tcPr>
          <w:p w14:paraId="786FF5CC"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799E3E65" w14:textId="77777777" w:rsidTr="00E42A9B">
        <w:trPr>
          <w:trHeight w:val="283"/>
        </w:trPr>
        <w:tc>
          <w:tcPr>
            <w:tcW w:w="2146" w:type="dxa"/>
            <w:shd w:val="clear" w:color="auto" w:fill="D2232A"/>
            <w:noWrap/>
            <w:vAlign w:val="center"/>
            <w:hideMark/>
          </w:tcPr>
          <w:p w14:paraId="72E8A6AC"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Mače</w:t>
            </w:r>
          </w:p>
        </w:tc>
        <w:tc>
          <w:tcPr>
            <w:tcW w:w="1721" w:type="dxa"/>
            <w:tcBorders>
              <w:right w:val="single" w:sz="8" w:space="0" w:color="D2232A"/>
            </w:tcBorders>
            <w:noWrap/>
            <w:vAlign w:val="center"/>
            <w:hideMark/>
          </w:tcPr>
          <w:p w14:paraId="624F1715" w14:textId="24107F7A"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w:t>
            </w:r>
            <w:r w:rsidR="00E42A9B">
              <w:rPr>
                <w:rFonts w:eastAsia="Times New Roman" w:cstheme="minorHAnsi"/>
                <w:color w:val="000000"/>
                <w:szCs w:val="18"/>
                <w:lang w:eastAsia="hr-HR"/>
              </w:rPr>
              <w:t>287</w:t>
            </w:r>
          </w:p>
        </w:tc>
        <w:tc>
          <w:tcPr>
            <w:tcW w:w="1721" w:type="dxa"/>
            <w:tcBorders>
              <w:left w:val="single" w:sz="8" w:space="0" w:color="D2232A"/>
              <w:right w:val="single" w:sz="8" w:space="0" w:color="D2232A"/>
            </w:tcBorders>
            <w:noWrap/>
            <w:vAlign w:val="center"/>
            <w:hideMark/>
          </w:tcPr>
          <w:p w14:paraId="0F35718D"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27,88</w:t>
            </w:r>
          </w:p>
        </w:tc>
        <w:tc>
          <w:tcPr>
            <w:tcW w:w="1863" w:type="dxa"/>
            <w:tcBorders>
              <w:left w:val="single" w:sz="8" w:space="0" w:color="D2232A"/>
              <w:right w:val="single" w:sz="8" w:space="0" w:color="D2232A"/>
            </w:tcBorders>
            <w:noWrap/>
            <w:vAlign w:val="center"/>
            <w:hideMark/>
          </w:tcPr>
          <w:p w14:paraId="1051D770" w14:textId="7E00D391"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8</w:t>
            </w:r>
            <w:r w:rsidR="0028265F">
              <w:rPr>
                <w:rFonts w:eastAsia="Times New Roman" w:cstheme="minorHAnsi"/>
                <w:color w:val="000000"/>
                <w:szCs w:val="18"/>
                <w:lang w:eastAsia="hr-HR"/>
              </w:rPr>
              <w:t>2</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03</w:t>
            </w:r>
          </w:p>
        </w:tc>
        <w:tc>
          <w:tcPr>
            <w:tcW w:w="1721" w:type="dxa"/>
            <w:tcBorders>
              <w:left w:val="single" w:sz="8" w:space="0" w:color="D2232A"/>
              <w:right w:val="single" w:sz="8" w:space="0" w:color="D2232A"/>
            </w:tcBorders>
            <w:noWrap/>
            <w:vAlign w:val="center"/>
            <w:hideMark/>
          </w:tcPr>
          <w:p w14:paraId="2EC2936B"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691D9B10" w14:textId="77777777" w:rsidTr="00E42A9B">
        <w:trPr>
          <w:trHeight w:val="283"/>
        </w:trPr>
        <w:tc>
          <w:tcPr>
            <w:tcW w:w="2146" w:type="dxa"/>
            <w:shd w:val="clear" w:color="auto" w:fill="D2232A"/>
            <w:noWrap/>
            <w:vAlign w:val="center"/>
            <w:hideMark/>
          </w:tcPr>
          <w:p w14:paraId="46CC9051"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Marija Bistrica</w:t>
            </w:r>
          </w:p>
        </w:tc>
        <w:tc>
          <w:tcPr>
            <w:tcW w:w="1721" w:type="dxa"/>
            <w:tcBorders>
              <w:right w:val="single" w:sz="8" w:space="0" w:color="D2232A"/>
            </w:tcBorders>
            <w:noWrap/>
            <w:vAlign w:val="center"/>
            <w:hideMark/>
          </w:tcPr>
          <w:p w14:paraId="30C9555C" w14:textId="4BA2DA7A"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5.6</w:t>
            </w:r>
            <w:r w:rsidR="00E42A9B">
              <w:rPr>
                <w:rFonts w:eastAsia="Times New Roman" w:cstheme="minorHAnsi"/>
                <w:color w:val="000000"/>
                <w:szCs w:val="18"/>
                <w:lang w:eastAsia="hr-HR"/>
              </w:rPr>
              <w:t>19</w:t>
            </w:r>
          </w:p>
        </w:tc>
        <w:tc>
          <w:tcPr>
            <w:tcW w:w="1721" w:type="dxa"/>
            <w:tcBorders>
              <w:left w:val="single" w:sz="8" w:space="0" w:color="D2232A"/>
              <w:right w:val="single" w:sz="8" w:space="0" w:color="D2232A"/>
            </w:tcBorders>
            <w:noWrap/>
            <w:vAlign w:val="center"/>
            <w:hideMark/>
          </w:tcPr>
          <w:p w14:paraId="36DC6D69"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71,38</w:t>
            </w:r>
          </w:p>
        </w:tc>
        <w:tc>
          <w:tcPr>
            <w:tcW w:w="1863" w:type="dxa"/>
            <w:tcBorders>
              <w:left w:val="single" w:sz="8" w:space="0" w:color="D2232A"/>
              <w:right w:val="single" w:sz="8" w:space="0" w:color="D2232A"/>
            </w:tcBorders>
            <w:noWrap/>
            <w:vAlign w:val="center"/>
            <w:hideMark/>
          </w:tcPr>
          <w:p w14:paraId="415E1775" w14:textId="34E0149A"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7</w:t>
            </w:r>
            <w:r w:rsidR="0028265F">
              <w:rPr>
                <w:rFonts w:eastAsia="Times New Roman" w:cstheme="minorHAnsi"/>
                <w:color w:val="000000"/>
                <w:szCs w:val="18"/>
                <w:lang w:eastAsia="hr-HR"/>
              </w:rPr>
              <w:t>8</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7</w:t>
            </w:r>
            <w:r w:rsidRPr="00841B08">
              <w:rPr>
                <w:rFonts w:eastAsia="Times New Roman" w:cstheme="minorHAnsi"/>
                <w:color w:val="000000"/>
                <w:szCs w:val="18"/>
                <w:lang w:eastAsia="hr-HR"/>
              </w:rPr>
              <w:t>2</w:t>
            </w:r>
          </w:p>
        </w:tc>
        <w:tc>
          <w:tcPr>
            <w:tcW w:w="1721" w:type="dxa"/>
            <w:tcBorders>
              <w:left w:val="single" w:sz="8" w:space="0" w:color="D2232A"/>
              <w:right w:val="single" w:sz="8" w:space="0" w:color="D2232A"/>
            </w:tcBorders>
            <w:noWrap/>
            <w:vAlign w:val="center"/>
            <w:hideMark/>
          </w:tcPr>
          <w:p w14:paraId="51B6B3D4"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79951463" w14:textId="77777777" w:rsidTr="00E42A9B">
        <w:trPr>
          <w:trHeight w:val="283"/>
        </w:trPr>
        <w:tc>
          <w:tcPr>
            <w:tcW w:w="2146" w:type="dxa"/>
            <w:shd w:val="clear" w:color="auto" w:fill="D2232A"/>
            <w:noWrap/>
            <w:vAlign w:val="center"/>
            <w:hideMark/>
          </w:tcPr>
          <w:p w14:paraId="2FD2A6DB"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Mihovljan</w:t>
            </w:r>
          </w:p>
        </w:tc>
        <w:tc>
          <w:tcPr>
            <w:tcW w:w="1721" w:type="dxa"/>
            <w:tcBorders>
              <w:right w:val="single" w:sz="8" w:space="0" w:color="D2232A"/>
            </w:tcBorders>
            <w:noWrap/>
            <w:vAlign w:val="center"/>
            <w:hideMark/>
          </w:tcPr>
          <w:p w14:paraId="3F57E491" w14:textId="4B7ACA21"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1.7</w:t>
            </w:r>
            <w:r w:rsidR="00E42A9B">
              <w:rPr>
                <w:rFonts w:eastAsia="Times New Roman" w:cstheme="minorHAnsi"/>
                <w:color w:val="000000"/>
                <w:szCs w:val="18"/>
                <w:lang w:eastAsia="hr-HR"/>
              </w:rPr>
              <w:t>17</w:t>
            </w:r>
          </w:p>
        </w:tc>
        <w:tc>
          <w:tcPr>
            <w:tcW w:w="1721" w:type="dxa"/>
            <w:tcBorders>
              <w:left w:val="single" w:sz="8" w:space="0" w:color="D2232A"/>
              <w:right w:val="single" w:sz="8" w:space="0" w:color="D2232A"/>
            </w:tcBorders>
            <w:noWrap/>
            <w:vAlign w:val="center"/>
            <w:hideMark/>
          </w:tcPr>
          <w:p w14:paraId="29E873AE"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24,43</w:t>
            </w:r>
          </w:p>
        </w:tc>
        <w:tc>
          <w:tcPr>
            <w:tcW w:w="1863" w:type="dxa"/>
            <w:tcBorders>
              <w:left w:val="single" w:sz="8" w:space="0" w:color="D2232A"/>
              <w:right w:val="single" w:sz="8" w:space="0" w:color="D2232A"/>
            </w:tcBorders>
            <w:noWrap/>
            <w:vAlign w:val="center"/>
            <w:hideMark/>
          </w:tcPr>
          <w:p w14:paraId="55AAAE5B" w14:textId="5683C07D"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7</w:t>
            </w:r>
            <w:r w:rsidR="0028265F">
              <w:rPr>
                <w:rFonts w:eastAsia="Times New Roman" w:cstheme="minorHAnsi"/>
                <w:color w:val="000000"/>
                <w:szCs w:val="18"/>
                <w:lang w:eastAsia="hr-HR"/>
              </w:rPr>
              <w:t>0</w:t>
            </w:r>
            <w:r w:rsidRPr="00841B08">
              <w:rPr>
                <w:rFonts w:eastAsia="Times New Roman" w:cstheme="minorHAnsi"/>
                <w:color w:val="000000"/>
                <w:szCs w:val="18"/>
                <w:lang w:eastAsia="hr-HR"/>
              </w:rPr>
              <w:t>,2</w:t>
            </w:r>
            <w:r w:rsidR="0028265F">
              <w:rPr>
                <w:rFonts w:eastAsia="Times New Roman" w:cstheme="minorHAnsi"/>
                <w:color w:val="000000"/>
                <w:szCs w:val="18"/>
                <w:lang w:eastAsia="hr-HR"/>
              </w:rPr>
              <w:t>8</w:t>
            </w:r>
          </w:p>
        </w:tc>
        <w:tc>
          <w:tcPr>
            <w:tcW w:w="1721" w:type="dxa"/>
            <w:tcBorders>
              <w:left w:val="single" w:sz="8" w:space="0" w:color="D2232A"/>
              <w:right w:val="single" w:sz="8" w:space="0" w:color="D2232A"/>
            </w:tcBorders>
            <w:noWrap/>
            <w:vAlign w:val="center"/>
            <w:hideMark/>
          </w:tcPr>
          <w:p w14:paraId="0FEFB23A"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4641BFF7" w14:textId="77777777" w:rsidTr="00E42A9B">
        <w:trPr>
          <w:trHeight w:val="283"/>
        </w:trPr>
        <w:tc>
          <w:tcPr>
            <w:tcW w:w="2146" w:type="dxa"/>
            <w:shd w:val="clear" w:color="auto" w:fill="D2232A"/>
            <w:noWrap/>
            <w:vAlign w:val="center"/>
            <w:hideMark/>
          </w:tcPr>
          <w:p w14:paraId="673C1871"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Novi Golubovec</w:t>
            </w:r>
          </w:p>
        </w:tc>
        <w:tc>
          <w:tcPr>
            <w:tcW w:w="1721" w:type="dxa"/>
            <w:tcBorders>
              <w:right w:val="single" w:sz="8" w:space="0" w:color="D2232A"/>
            </w:tcBorders>
            <w:noWrap/>
            <w:vAlign w:val="center"/>
            <w:hideMark/>
          </w:tcPr>
          <w:p w14:paraId="07829845" w14:textId="0F7D3EE1" w:rsidR="005223D3" w:rsidRPr="00841B08" w:rsidRDefault="00E42A9B" w:rsidP="00A27385">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884</w:t>
            </w:r>
          </w:p>
        </w:tc>
        <w:tc>
          <w:tcPr>
            <w:tcW w:w="1721" w:type="dxa"/>
            <w:tcBorders>
              <w:left w:val="single" w:sz="8" w:space="0" w:color="D2232A"/>
              <w:right w:val="single" w:sz="8" w:space="0" w:color="D2232A"/>
            </w:tcBorders>
            <w:noWrap/>
            <w:vAlign w:val="center"/>
            <w:hideMark/>
          </w:tcPr>
          <w:p w14:paraId="38185427"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15,44</w:t>
            </w:r>
          </w:p>
        </w:tc>
        <w:tc>
          <w:tcPr>
            <w:tcW w:w="1863" w:type="dxa"/>
            <w:tcBorders>
              <w:left w:val="single" w:sz="8" w:space="0" w:color="D2232A"/>
              <w:right w:val="single" w:sz="8" w:space="0" w:color="D2232A"/>
            </w:tcBorders>
            <w:noWrap/>
            <w:vAlign w:val="center"/>
            <w:hideMark/>
          </w:tcPr>
          <w:p w14:paraId="186121C7" w14:textId="5B5B0DA6"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w:t>
            </w:r>
            <w:r w:rsidR="0028265F">
              <w:rPr>
                <w:rFonts w:eastAsia="Times New Roman" w:cstheme="minorHAnsi"/>
                <w:color w:val="000000"/>
                <w:szCs w:val="18"/>
                <w:lang w:eastAsia="hr-HR"/>
              </w:rPr>
              <w:t>7</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25</w:t>
            </w:r>
          </w:p>
        </w:tc>
        <w:tc>
          <w:tcPr>
            <w:tcW w:w="1721" w:type="dxa"/>
            <w:tcBorders>
              <w:left w:val="single" w:sz="8" w:space="0" w:color="D2232A"/>
              <w:right w:val="single" w:sz="8" w:space="0" w:color="D2232A"/>
            </w:tcBorders>
            <w:noWrap/>
            <w:vAlign w:val="center"/>
            <w:hideMark/>
          </w:tcPr>
          <w:p w14:paraId="61599F51"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1B770E45" w14:textId="77777777" w:rsidTr="00E42A9B">
        <w:trPr>
          <w:trHeight w:val="283"/>
        </w:trPr>
        <w:tc>
          <w:tcPr>
            <w:tcW w:w="2146" w:type="dxa"/>
            <w:shd w:val="clear" w:color="auto" w:fill="D2232A"/>
            <w:noWrap/>
            <w:vAlign w:val="center"/>
            <w:hideMark/>
          </w:tcPr>
          <w:p w14:paraId="636E42E4"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Petrovsko</w:t>
            </w:r>
          </w:p>
        </w:tc>
        <w:tc>
          <w:tcPr>
            <w:tcW w:w="1721" w:type="dxa"/>
            <w:tcBorders>
              <w:right w:val="single" w:sz="8" w:space="0" w:color="D2232A"/>
            </w:tcBorders>
            <w:noWrap/>
            <w:vAlign w:val="center"/>
            <w:hideMark/>
          </w:tcPr>
          <w:p w14:paraId="18090EB4" w14:textId="3A831FEC"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w:t>
            </w:r>
            <w:r w:rsidR="00E42A9B">
              <w:rPr>
                <w:rFonts w:eastAsia="Times New Roman" w:cstheme="minorHAnsi"/>
                <w:color w:val="000000"/>
                <w:szCs w:val="18"/>
                <w:lang w:eastAsia="hr-HR"/>
              </w:rPr>
              <w:t>370</w:t>
            </w:r>
          </w:p>
        </w:tc>
        <w:tc>
          <w:tcPr>
            <w:tcW w:w="1721" w:type="dxa"/>
            <w:tcBorders>
              <w:left w:val="single" w:sz="8" w:space="0" w:color="D2232A"/>
              <w:right w:val="single" w:sz="8" w:space="0" w:color="D2232A"/>
            </w:tcBorders>
            <w:noWrap/>
            <w:vAlign w:val="center"/>
            <w:hideMark/>
          </w:tcPr>
          <w:p w14:paraId="2E85DC1E"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18,84</w:t>
            </w:r>
          </w:p>
        </w:tc>
        <w:tc>
          <w:tcPr>
            <w:tcW w:w="1863" w:type="dxa"/>
            <w:tcBorders>
              <w:left w:val="single" w:sz="8" w:space="0" w:color="D2232A"/>
              <w:right w:val="single" w:sz="8" w:space="0" w:color="D2232A"/>
            </w:tcBorders>
            <w:noWrap/>
            <w:vAlign w:val="center"/>
            <w:hideMark/>
          </w:tcPr>
          <w:p w14:paraId="605A44BC" w14:textId="62181EB6"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12</w:t>
            </w:r>
            <w:r w:rsidR="0028265F">
              <w:rPr>
                <w:rFonts w:eastAsia="Times New Roman" w:cstheme="minorHAnsi"/>
                <w:color w:val="000000"/>
                <w:szCs w:val="18"/>
                <w:lang w:eastAsia="hr-HR"/>
              </w:rPr>
              <w:t>5</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80</w:t>
            </w:r>
          </w:p>
        </w:tc>
        <w:tc>
          <w:tcPr>
            <w:tcW w:w="1721" w:type="dxa"/>
            <w:tcBorders>
              <w:left w:val="single" w:sz="8" w:space="0" w:color="D2232A"/>
              <w:right w:val="single" w:sz="8" w:space="0" w:color="D2232A"/>
            </w:tcBorders>
            <w:noWrap/>
            <w:vAlign w:val="center"/>
            <w:hideMark/>
          </w:tcPr>
          <w:p w14:paraId="020BD856"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6C66BDA4" w14:textId="77777777" w:rsidTr="00E42A9B">
        <w:trPr>
          <w:trHeight w:val="283"/>
        </w:trPr>
        <w:tc>
          <w:tcPr>
            <w:tcW w:w="2146" w:type="dxa"/>
            <w:shd w:val="clear" w:color="auto" w:fill="D2232A"/>
            <w:noWrap/>
            <w:vAlign w:val="center"/>
            <w:hideMark/>
          </w:tcPr>
          <w:p w14:paraId="416B3B4B"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Radoboj</w:t>
            </w:r>
          </w:p>
        </w:tc>
        <w:tc>
          <w:tcPr>
            <w:tcW w:w="1721" w:type="dxa"/>
            <w:tcBorders>
              <w:right w:val="single" w:sz="8" w:space="0" w:color="D2232A"/>
            </w:tcBorders>
            <w:noWrap/>
            <w:vAlign w:val="center"/>
            <w:hideMark/>
          </w:tcPr>
          <w:p w14:paraId="49CE8F00" w14:textId="0DA226B0"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3.</w:t>
            </w:r>
            <w:r w:rsidR="00E42A9B">
              <w:rPr>
                <w:rFonts w:eastAsia="Times New Roman" w:cstheme="minorHAnsi"/>
                <w:color w:val="000000"/>
                <w:szCs w:val="18"/>
                <w:lang w:eastAsia="hr-HR"/>
              </w:rPr>
              <w:t>014</w:t>
            </w:r>
          </w:p>
        </w:tc>
        <w:tc>
          <w:tcPr>
            <w:tcW w:w="1721" w:type="dxa"/>
            <w:tcBorders>
              <w:left w:val="single" w:sz="8" w:space="0" w:color="D2232A"/>
              <w:right w:val="single" w:sz="8" w:space="0" w:color="D2232A"/>
            </w:tcBorders>
            <w:noWrap/>
            <w:vAlign w:val="center"/>
            <w:hideMark/>
          </w:tcPr>
          <w:p w14:paraId="1450DC47"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33,21</w:t>
            </w:r>
          </w:p>
        </w:tc>
        <w:tc>
          <w:tcPr>
            <w:tcW w:w="1863" w:type="dxa"/>
            <w:tcBorders>
              <w:left w:val="single" w:sz="8" w:space="0" w:color="D2232A"/>
              <w:right w:val="single" w:sz="8" w:space="0" w:color="D2232A"/>
            </w:tcBorders>
            <w:noWrap/>
            <w:vAlign w:val="center"/>
            <w:hideMark/>
          </w:tcPr>
          <w:p w14:paraId="7D1F4B22" w14:textId="7D80C435"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9</w:t>
            </w:r>
            <w:r w:rsidR="0028265F">
              <w:rPr>
                <w:rFonts w:eastAsia="Times New Roman" w:cstheme="minorHAnsi"/>
                <w:color w:val="000000"/>
                <w:szCs w:val="18"/>
                <w:lang w:eastAsia="hr-HR"/>
              </w:rPr>
              <w:t>0</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76</w:t>
            </w:r>
          </w:p>
        </w:tc>
        <w:tc>
          <w:tcPr>
            <w:tcW w:w="1721" w:type="dxa"/>
            <w:tcBorders>
              <w:left w:val="single" w:sz="8" w:space="0" w:color="D2232A"/>
              <w:right w:val="single" w:sz="8" w:space="0" w:color="D2232A"/>
            </w:tcBorders>
            <w:noWrap/>
            <w:vAlign w:val="center"/>
            <w:hideMark/>
          </w:tcPr>
          <w:p w14:paraId="34925229"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43E3FA7C" w14:textId="77777777" w:rsidTr="00E42A9B">
        <w:trPr>
          <w:trHeight w:val="283"/>
        </w:trPr>
        <w:tc>
          <w:tcPr>
            <w:tcW w:w="2146" w:type="dxa"/>
            <w:shd w:val="clear" w:color="auto" w:fill="D2232A"/>
            <w:noWrap/>
            <w:vAlign w:val="center"/>
            <w:hideMark/>
          </w:tcPr>
          <w:p w14:paraId="3C86391C"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Stubičke Toplice</w:t>
            </w:r>
          </w:p>
        </w:tc>
        <w:tc>
          <w:tcPr>
            <w:tcW w:w="1721" w:type="dxa"/>
            <w:tcBorders>
              <w:right w:val="single" w:sz="8" w:space="0" w:color="D2232A"/>
            </w:tcBorders>
            <w:noWrap/>
            <w:vAlign w:val="center"/>
            <w:hideMark/>
          </w:tcPr>
          <w:p w14:paraId="0449BCD2" w14:textId="33958E36"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w:t>
            </w:r>
            <w:r w:rsidR="00E42A9B">
              <w:rPr>
                <w:rFonts w:eastAsia="Times New Roman" w:cstheme="minorHAnsi"/>
                <w:color w:val="000000"/>
                <w:szCs w:val="18"/>
                <w:lang w:eastAsia="hr-HR"/>
              </w:rPr>
              <w:t>841</w:t>
            </w:r>
          </w:p>
        </w:tc>
        <w:tc>
          <w:tcPr>
            <w:tcW w:w="1721" w:type="dxa"/>
            <w:tcBorders>
              <w:left w:val="single" w:sz="8" w:space="0" w:color="D2232A"/>
              <w:right w:val="single" w:sz="8" w:space="0" w:color="D2232A"/>
            </w:tcBorders>
            <w:noWrap/>
            <w:vAlign w:val="center"/>
            <w:hideMark/>
          </w:tcPr>
          <w:p w14:paraId="1BDD6902"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27,52</w:t>
            </w:r>
          </w:p>
        </w:tc>
        <w:tc>
          <w:tcPr>
            <w:tcW w:w="1863" w:type="dxa"/>
            <w:tcBorders>
              <w:left w:val="single" w:sz="8" w:space="0" w:color="D2232A"/>
              <w:right w:val="single" w:sz="8" w:space="0" w:color="D2232A"/>
            </w:tcBorders>
            <w:noWrap/>
            <w:vAlign w:val="center"/>
            <w:hideMark/>
          </w:tcPr>
          <w:p w14:paraId="1812255B" w14:textId="3B13309B" w:rsidR="005223D3" w:rsidRPr="00841B08" w:rsidRDefault="0028265F" w:rsidP="00A27385">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103</w:t>
            </w:r>
            <w:r w:rsidR="005223D3" w:rsidRPr="00841B08">
              <w:rPr>
                <w:rFonts w:eastAsia="Times New Roman" w:cstheme="minorHAnsi"/>
                <w:color w:val="000000"/>
                <w:szCs w:val="18"/>
                <w:lang w:eastAsia="hr-HR"/>
              </w:rPr>
              <w:t>,</w:t>
            </w:r>
            <w:r>
              <w:rPr>
                <w:rFonts w:eastAsia="Times New Roman" w:cstheme="minorHAnsi"/>
                <w:color w:val="000000"/>
                <w:szCs w:val="18"/>
                <w:lang w:eastAsia="hr-HR"/>
              </w:rPr>
              <w:t>23</w:t>
            </w:r>
          </w:p>
        </w:tc>
        <w:tc>
          <w:tcPr>
            <w:tcW w:w="1721" w:type="dxa"/>
            <w:tcBorders>
              <w:left w:val="single" w:sz="8" w:space="0" w:color="D2232A"/>
              <w:right w:val="single" w:sz="8" w:space="0" w:color="D2232A"/>
            </w:tcBorders>
            <w:noWrap/>
            <w:vAlign w:val="center"/>
            <w:hideMark/>
          </w:tcPr>
          <w:p w14:paraId="0B2FCD4F"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4CA5D5DF" w14:textId="77777777" w:rsidTr="00E42A9B">
        <w:trPr>
          <w:trHeight w:val="283"/>
        </w:trPr>
        <w:tc>
          <w:tcPr>
            <w:tcW w:w="2146" w:type="dxa"/>
            <w:shd w:val="clear" w:color="auto" w:fill="D2232A"/>
            <w:noWrap/>
            <w:vAlign w:val="center"/>
            <w:hideMark/>
          </w:tcPr>
          <w:p w14:paraId="1C0D3606"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Sveti Križ Začretje</w:t>
            </w:r>
          </w:p>
        </w:tc>
        <w:tc>
          <w:tcPr>
            <w:tcW w:w="1721" w:type="dxa"/>
            <w:tcBorders>
              <w:right w:val="single" w:sz="8" w:space="0" w:color="D2232A"/>
            </w:tcBorders>
            <w:noWrap/>
            <w:vAlign w:val="center"/>
            <w:hideMark/>
          </w:tcPr>
          <w:p w14:paraId="41DE48E4" w14:textId="7865E0AF"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5.9</w:t>
            </w:r>
            <w:r w:rsidR="007A2FDC">
              <w:rPr>
                <w:rFonts w:eastAsia="Times New Roman" w:cstheme="minorHAnsi"/>
                <w:color w:val="000000"/>
                <w:szCs w:val="18"/>
                <w:lang w:eastAsia="hr-HR"/>
              </w:rPr>
              <w:t>66</w:t>
            </w:r>
          </w:p>
        </w:tc>
        <w:tc>
          <w:tcPr>
            <w:tcW w:w="1721" w:type="dxa"/>
            <w:tcBorders>
              <w:left w:val="single" w:sz="8" w:space="0" w:color="D2232A"/>
              <w:right w:val="single" w:sz="8" w:space="0" w:color="D2232A"/>
            </w:tcBorders>
            <w:noWrap/>
            <w:vAlign w:val="center"/>
            <w:hideMark/>
          </w:tcPr>
          <w:p w14:paraId="079F1BF6"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40,37</w:t>
            </w:r>
          </w:p>
        </w:tc>
        <w:tc>
          <w:tcPr>
            <w:tcW w:w="1863" w:type="dxa"/>
            <w:tcBorders>
              <w:left w:val="single" w:sz="8" w:space="0" w:color="D2232A"/>
              <w:right w:val="single" w:sz="8" w:space="0" w:color="D2232A"/>
            </w:tcBorders>
            <w:noWrap/>
            <w:vAlign w:val="center"/>
            <w:hideMark/>
          </w:tcPr>
          <w:p w14:paraId="7E006AA1" w14:textId="55342955"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14</w:t>
            </w:r>
            <w:r w:rsidR="0028265F">
              <w:rPr>
                <w:rFonts w:eastAsia="Times New Roman" w:cstheme="minorHAnsi"/>
                <w:color w:val="000000"/>
                <w:szCs w:val="18"/>
                <w:lang w:eastAsia="hr-HR"/>
              </w:rPr>
              <w:t>7</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78</w:t>
            </w:r>
          </w:p>
        </w:tc>
        <w:tc>
          <w:tcPr>
            <w:tcW w:w="1721" w:type="dxa"/>
            <w:tcBorders>
              <w:left w:val="single" w:sz="8" w:space="0" w:color="D2232A"/>
              <w:right w:val="single" w:sz="8" w:space="0" w:color="D2232A"/>
            </w:tcBorders>
            <w:noWrap/>
            <w:vAlign w:val="center"/>
            <w:hideMark/>
          </w:tcPr>
          <w:p w14:paraId="7107A084" w14:textId="77777777" w:rsidR="005223D3" w:rsidRPr="00841B08" w:rsidRDefault="005223D3" w:rsidP="00A27385">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ruralno</w:t>
            </w:r>
          </w:p>
        </w:tc>
      </w:tr>
      <w:tr w:rsidR="005223D3" w:rsidRPr="00841B08" w14:paraId="6A0E5172" w14:textId="77777777" w:rsidTr="00E42A9B">
        <w:trPr>
          <w:trHeight w:val="283"/>
        </w:trPr>
        <w:tc>
          <w:tcPr>
            <w:tcW w:w="2146" w:type="dxa"/>
            <w:shd w:val="clear" w:color="auto" w:fill="D2232A"/>
            <w:noWrap/>
            <w:vAlign w:val="center"/>
            <w:hideMark/>
          </w:tcPr>
          <w:p w14:paraId="110AB7D6"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Tuhelj</w:t>
            </w:r>
          </w:p>
        </w:tc>
        <w:tc>
          <w:tcPr>
            <w:tcW w:w="1721" w:type="dxa"/>
            <w:tcBorders>
              <w:right w:val="single" w:sz="8" w:space="0" w:color="D2232A"/>
            </w:tcBorders>
            <w:noWrap/>
            <w:vAlign w:val="center"/>
            <w:hideMark/>
          </w:tcPr>
          <w:p w14:paraId="633B4ED4" w14:textId="59F5EFD1"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2.0</w:t>
            </w:r>
            <w:r w:rsidR="007A2FDC">
              <w:rPr>
                <w:rFonts w:eastAsia="Times New Roman" w:cstheme="minorHAnsi"/>
                <w:color w:val="000000"/>
                <w:szCs w:val="18"/>
                <w:lang w:eastAsia="hr-HR"/>
              </w:rPr>
              <w:t>65</w:t>
            </w:r>
          </w:p>
        </w:tc>
        <w:tc>
          <w:tcPr>
            <w:tcW w:w="1721" w:type="dxa"/>
            <w:tcBorders>
              <w:left w:val="single" w:sz="8" w:space="0" w:color="D2232A"/>
              <w:right w:val="single" w:sz="8" w:space="0" w:color="D2232A"/>
            </w:tcBorders>
            <w:noWrap/>
            <w:vAlign w:val="center"/>
            <w:hideMark/>
          </w:tcPr>
          <w:p w14:paraId="754BFCCB"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23,97</w:t>
            </w:r>
          </w:p>
        </w:tc>
        <w:tc>
          <w:tcPr>
            <w:tcW w:w="1863" w:type="dxa"/>
            <w:tcBorders>
              <w:left w:val="single" w:sz="8" w:space="0" w:color="D2232A"/>
              <w:right w:val="single" w:sz="8" w:space="0" w:color="D2232A"/>
            </w:tcBorders>
            <w:noWrap/>
            <w:vAlign w:val="center"/>
            <w:hideMark/>
          </w:tcPr>
          <w:p w14:paraId="7F2DF985" w14:textId="21B940E1"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8</w:t>
            </w:r>
            <w:r w:rsidR="0028265F">
              <w:rPr>
                <w:rFonts w:eastAsia="Times New Roman" w:cstheme="minorHAnsi"/>
                <w:color w:val="000000"/>
                <w:szCs w:val="18"/>
                <w:lang w:eastAsia="hr-HR"/>
              </w:rPr>
              <w:t>6</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15</w:t>
            </w:r>
          </w:p>
        </w:tc>
        <w:tc>
          <w:tcPr>
            <w:tcW w:w="1721" w:type="dxa"/>
            <w:tcBorders>
              <w:left w:val="single" w:sz="8" w:space="0" w:color="D2232A"/>
              <w:right w:val="single" w:sz="8" w:space="0" w:color="D2232A"/>
            </w:tcBorders>
            <w:noWrap/>
            <w:vAlign w:val="center"/>
            <w:hideMark/>
          </w:tcPr>
          <w:p w14:paraId="21CA543C"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4E575628" w14:textId="77777777" w:rsidTr="00E42A9B">
        <w:trPr>
          <w:trHeight w:val="283"/>
        </w:trPr>
        <w:tc>
          <w:tcPr>
            <w:tcW w:w="2146" w:type="dxa"/>
            <w:shd w:val="clear" w:color="auto" w:fill="D2232A"/>
            <w:noWrap/>
            <w:vAlign w:val="center"/>
            <w:hideMark/>
          </w:tcPr>
          <w:p w14:paraId="42575F7A"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Veliko Trgovišće</w:t>
            </w:r>
          </w:p>
        </w:tc>
        <w:tc>
          <w:tcPr>
            <w:tcW w:w="1721" w:type="dxa"/>
            <w:tcBorders>
              <w:right w:val="single" w:sz="8" w:space="0" w:color="D2232A"/>
            </w:tcBorders>
            <w:noWrap/>
            <w:vAlign w:val="center"/>
            <w:hideMark/>
          </w:tcPr>
          <w:p w14:paraId="2CF695BA" w14:textId="7D62DE5D"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w:t>
            </w:r>
            <w:r w:rsidR="007A2FDC">
              <w:rPr>
                <w:rFonts w:eastAsia="Times New Roman" w:cstheme="minorHAnsi"/>
                <w:color w:val="000000"/>
                <w:szCs w:val="18"/>
                <w:lang w:eastAsia="hr-HR"/>
              </w:rPr>
              <w:t>685</w:t>
            </w:r>
          </w:p>
        </w:tc>
        <w:tc>
          <w:tcPr>
            <w:tcW w:w="1721" w:type="dxa"/>
            <w:tcBorders>
              <w:left w:val="single" w:sz="8" w:space="0" w:color="D2232A"/>
              <w:right w:val="single" w:sz="8" w:space="0" w:color="D2232A"/>
            </w:tcBorders>
            <w:noWrap/>
            <w:vAlign w:val="center"/>
            <w:hideMark/>
          </w:tcPr>
          <w:p w14:paraId="0ADAC236"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46,65</w:t>
            </w:r>
          </w:p>
        </w:tc>
        <w:tc>
          <w:tcPr>
            <w:tcW w:w="1863" w:type="dxa"/>
            <w:tcBorders>
              <w:left w:val="single" w:sz="8" w:space="0" w:color="D2232A"/>
              <w:right w:val="single" w:sz="8" w:space="0" w:color="D2232A"/>
            </w:tcBorders>
            <w:noWrap/>
            <w:vAlign w:val="center"/>
            <w:hideMark/>
          </w:tcPr>
          <w:p w14:paraId="05594998" w14:textId="1F7B9AA2"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10</w:t>
            </w:r>
            <w:r w:rsidR="0028265F">
              <w:rPr>
                <w:rFonts w:eastAsia="Times New Roman" w:cstheme="minorHAnsi"/>
                <w:color w:val="000000"/>
                <w:szCs w:val="18"/>
                <w:lang w:eastAsia="hr-HR"/>
              </w:rPr>
              <w:t>0</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43</w:t>
            </w:r>
          </w:p>
        </w:tc>
        <w:tc>
          <w:tcPr>
            <w:tcW w:w="1721" w:type="dxa"/>
            <w:tcBorders>
              <w:left w:val="single" w:sz="8" w:space="0" w:color="D2232A"/>
              <w:right w:val="single" w:sz="8" w:space="0" w:color="D2232A"/>
            </w:tcBorders>
            <w:noWrap/>
            <w:vAlign w:val="center"/>
            <w:hideMark/>
          </w:tcPr>
          <w:p w14:paraId="4D68F3A1"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40995463" w14:textId="77777777" w:rsidTr="00E42A9B">
        <w:trPr>
          <w:trHeight w:val="283"/>
        </w:trPr>
        <w:tc>
          <w:tcPr>
            <w:tcW w:w="2146" w:type="dxa"/>
            <w:shd w:val="clear" w:color="auto" w:fill="D2232A"/>
            <w:noWrap/>
            <w:vAlign w:val="center"/>
            <w:hideMark/>
          </w:tcPr>
          <w:p w14:paraId="0791213D"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Zagorska Sela</w:t>
            </w:r>
          </w:p>
        </w:tc>
        <w:tc>
          <w:tcPr>
            <w:tcW w:w="1721" w:type="dxa"/>
            <w:tcBorders>
              <w:right w:val="single" w:sz="8" w:space="0" w:color="D2232A"/>
            </w:tcBorders>
            <w:noWrap/>
            <w:vAlign w:val="center"/>
            <w:hideMark/>
          </w:tcPr>
          <w:p w14:paraId="65B4D96E" w14:textId="157978CF" w:rsidR="005223D3" w:rsidRPr="00841B08" w:rsidRDefault="007A2FDC" w:rsidP="00A27385">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879</w:t>
            </w:r>
          </w:p>
        </w:tc>
        <w:tc>
          <w:tcPr>
            <w:tcW w:w="1721" w:type="dxa"/>
            <w:tcBorders>
              <w:left w:val="single" w:sz="8" w:space="0" w:color="D2232A"/>
              <w:right w:val="single" w:sz="8" w:space="0" w:color="D2232A"/>
            </w:tcBorders>
            <w:noWrap/>
            <w:vAlign w:val="center"/>
            <w:hideMark/>
          </w:tcPr>
          <w:p w14:paraId="66063A9C"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24,68</w:t>
            </w:r>
          </w:p>
        </w:tc>
        <w:tc>
          <w:tcPr>
            <w:tcW w:w="1863" w:type="dxa"/>
            <w:tcBorders>
              <w:left w:val="single" w:sz="8" w:space="0" w:color="D2232A"/>
              <w:right w:val="single" w:sz="8" w:space="0" w:color="D2232A"/>
            </w:tcBorders>
            <w:noWrap/>
            <w:vAlign w:val="center"/>
            <w:hideMark/>
          </w:tcPr>
          <w:p w14:paraId="180350DC" w14:textId="7329A832"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3</w:t>
            </w:r>
            <w:r w:rsidR="0028265F">
              <w:rPr>
                <w:rFonts w:eastAsia="Times New Roman" w:cstheme="minorHAnsi"/>
                <w:color w:val="000000"/>
                <w:szCs w:val="18"/>
                <w:lang w:eastAsia="hr-HR"/>
              </w:rPr>
              <w:t>5</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62</w:t>
            </w:r>
          </w:p>
        </w:tc>
        <w:tc>
          <w:tcPr>
            <w:tcW w:w="1721" w:type="dxa"/>
            <w:tcBorders>
              <w:left w:val="single" w:sz="8" w:space="0" w:color="D2232A"/>
              <w:right w:val="single" w:sz="8" w:space="0" w:color="D2232A"/>
            </w:tcBorders>
            <w:noWrap/>
            <w:vAlign w:val="center"/>
            <w:hideMark/>
          </w:tcPr>
          <w:p w14:paraId="5241C7C3"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4C437B16" w14:textId="77777777" w:rsidTr="00E42A9B">
        <w:trPr>
          <w:trHeight w:val="283"/>
        </w:trPr>
        <w:tc>
          <w:tcPr>
            <w:tcW w:w="2146" w:type="dxa"/>
            <w:tcBorders>
              <w:bottom w:val="nil"/>
            </w:tcBorders>
            <w:shd w:val="clear" w:color="auto" w:fill="D2232A"/>
            <w:noWrap/>
            <w:vAlign w:val="center"/>
            <w:hideMark/>
          </w:tcPr>
          <w:p w14:paraId="55473DEB"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Zlatar Bistrica</w:t>
            </w:r>
          </w:p>
        </w:tc>
        <w:tc>
          <w:tcPr>
            <w:tcW w:w="1721" w:type="dxa"/>
            <w:tcBorders>
              <w:bottom w:val="nil"/>
              <w:right w:val="single" w:sz="8" w:space="0" w:color="D2232A"/>
            </w:tcBorders>
            <w:noWrap/>
            <w:vAlign w:val="center"/>
            <w:hideMark/>
          </w:tcPr>
          <w:p w14:paraId="291F460D" w14:textId="211623E2"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w:t>
            </w:r>
            <w:r w:rsidR="007A2FDC">
              <w:rPr>
                <w:rFonts w:eastAsia="Times New Roman" w:cstheme="minorHAnsi"/>
                <w:color w:val="000000"/>
                <w:szCs w:val="18"/>
                <w:lang w:eastAsia="hr-HR"/>
              </w:rPr>
              <w:t>359</w:t>
            </w:r>
          </w:p>
        </w:tc>
        <w:tc>
          <w:tcPr>
            <w:tcW w:w="1721" w:type="dxa"/>
            <w:tcBorders>
              <w:left w:val="single" w:sz="8" w:space="0" w:color="D2232A"/>
              <w:bottom w:val="nil"/>
              <w:right w:val="single" w:sz="8" w:space="0" w:color="D2232A"/>
            </w:tcBorders>
            <w:noWrap/>
            <w:vAlign w:val="center"/>
            <w:hideMark/>
          </w:tcPr>
          <w:p w14:paraId="2FCF26DB"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24,91</w:t>
            </w:r>
          </w:p>
        </w:tc>
        <w:tc>
          <w:tcPr>
            <w:tcW w:w="1863" w:type="dxa"/>
            <w:tcBorders>
              <w:left w:val="single" w:sz="8" w:space="0" w:color="D2232A"/>
              <w:bottom w:val="nil"/>
              <w:right w:val="single" w:sz="8" w:space="0" w:color="D2232A"/>
            </w:tcBorders>
            <w:noWrap/>
            <w:vAlign w:val="center"/>
            <w:hideMark/>
          </w:tcPr>
          <w:p w14:paraId="391279FF" w14:textId="1120C6EE"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9</w:t>
            </w:r>
            <w:r w:rsidR="0028265F">
              <w:rPr>
                <w:rFonts w:eastAsia="Times New Roman" w:cstheme="minorHAnsi"/>
                <w:color w:val="000000"/>
                <w:szCs w:val="18"/>
                <w:lang w:eastAsia="hr-HR"/>
              </w:rPr>
              <w:t>4</w:t>
            </w:r>
            <w:r w:rsidRPr="00841B08">
              <w:rPr>
                <w:rFonts w:eastAsia="Times New Roman" w:cstheme="minorHAnsi"/>
                <w:color w:val="000000"/>
                <w:szCs w:val="18"/>
                <w:lang w:eastAsia="hr-HR"/>
              </w:rPr>
              <w:t>,</w:t>
            </w:r>
            <w:r w:rsidR="0028265F">
              <w:rPr>
                <w:rFonts w:eastAsia="Times New Roman" w:cstheme="minorHAnsi"/>
                <w:color w:val="000000"/>
                <w:szCs w:val="18"/>
                <w:lang w:eastAsia="hr-HR"/>
              </w:rPr>
              <w:t>70</w:t>
            </w:r>
          </w:p>
        </w:tc>
        <w:tc>
          <w:tcPr>
            <w:tcW w:w="1721" w:type="dxa"/>
            <w:tcBorders>
              <w:left w:val="single" w:sz="8" w:space="0" w:color="D2232A"/>
              <w:right w:val="single" w:sz="8" w:space="0" w:color="D2232A"/>
            </w:tcBorders>
            <w:noWrap/>
            <w:vAlign w:val="center"/>
            <w:hideMark/>
          </w:tcPr>
          <w:p w14:paraId="14DF0EB2" w14:textId="77777777" w:rsidR="005223D3" w:rsidRPr="00841B08" w:rsidRDefault="005223D3" w:rsidP="00A27385">
            <w:pPr>
              <w:spacing w:after="0" w:line="240" w:lineRule="auto"/>
              <w:jc w:val="right"/>
              <w:rPr>
                <w:rFonts w:eastAsia="Times New Roman" w:cstheme="minorHAnsi"/>
                <w:color w:val="000000"/>
                <w:szCs w:val="18"/>
                <w:lang w:eastAsia="hr-HR"/>
              </w:rPr>
            </w:pPr>
            <w:r w:rsidRPr="00841B08">
              <w:rPr>
                <w:rFonts w:eastAsia="Times New Roman" w:cstheme="minorHAnsi"/>
                <w:color w:val="000000"/>
                <w:szCs w:val="18"/>
                <w:lang w:eastAsia="hr-HR"/>
              </w:rPr>
              <w:t>ruralno</w:t>
            </w:r>
          </w:p>
        </w:tc>
      </w:tr>
      <w:tr w:rsidR="005223D3" w:rsidRPr="00841B08" w14:paraId="3A773BE7" w14:textId="77777777" w:rsidTr="00E42A9B">
        <w:trPr>
          <w:trHeight w:val="283"/>
        </w:trPr>
        <w:tc>
          <w:tcPr>
            <w:tcW w:w="2146" w:type="dxa"/>
            <w:tcBorders>
              <w:bottom w:val="nil"/>
            </w:tcBorders>
            <w:shd w:val="clear" w:color="auto" w:fill="C7C7C7" w:themeFill="text2" w:themeFillTint="40"/>
            <w:noWrap/>
            <w:vAlign w:val="center"/>
          </w:tcPr>
          <w:p w14:paraId="53D5CC37" w14:textId="77777777" w:rsidR="005223D3" w:rsidRPr="000126B7" w:rsidRDefault="005223D3" w:rsidP="00A27385">
            <w:pPr>
              <w:spacing w:after="0" w:line="240" w:lineRule="auto"/>
              <w:rPr>
                <w:rFonts w:eastAsia="Times New Roman" w:cstheme="minorHAnsi"/>
                <w:szCs w:val="18"/>
                <w:lang w:eastAsia="hr-HR"/>
              </w:rPr>
            </w:pPr>
            <w:r w:rsidRPr="000126B7">
              <w:rPr>
                <w:rFonts w:eastAsia="Times New Roman" w:cstheme="minorHAnsi"/>
                <w:szCs w:val="18"/>
                <w:lang w:eastAsia="hr-HR"/>
              </w:rPr>
              <w:t>UKUPNO OPĆINE</w:t>
            </w:r>
          </w:p>
        </w:tc>
        <w:tc>
          <w:tcPr>
            <w:tcW w:w="1721" w:type="dxa"/>
            <w:tcBorders>
              <w:bottom w:val="nil"/>
              <w:right w:val="single" w:sz="8" w:space="0" w:color="D2232A"/>
            </w:tcBorders>
            <w:shd w:val="clear" w:color="auto" w:fill="C7C7C7" w:themeFill="text2" w:themeFillTint="40"/>
            <w:noWrap/>
            <w:vAlign w:val="center"/>
          </w:tcPr>
          <w:p w14:paraId="4C082FEC" w14:textId="3F531A73" w:rsidR="005223D3" w:rsidRPr="000126B7" w:rsidRDefault="005223D3" w:rsidP="00A27385">
            <w:pPr>
              <w:spacing w:after="0" w:line="240" w:lineRule="auto"/>
              <w:jc w:val="right"/>
              <w:rPr>
                <w:rFonts w:eastAsia="Times New Roman" w:cstheme="minorHAnsi"/>
                <w:szCs w:val="18"/>
                <w:lang w:eastAsia="hr-HR"/>
              </w:rPr>
            </w:pPr>
            <w:r w:rsidRPr="000126B7">
              <w:rPr>
                <w:rFonts w:eastAsia="Times New Roman" w:cstheme="minorHAnsi"/>
                <w:szCs w:val="18"/>
                <w:lang w:eastAsia="hr-HR"/>
              </w:rPr>
              <w:t>7</w:t>
            </w:r>
            <w:r w:rsidR="007A2FDC">
              <w:rPr>
                <w:rFonts w:eastAsia="Times New Roman" w:cstheme="minorHAnsi"/>
                <w:szCs w:val="18"/>
                <w:lang w:eastAsia="hr-HR"/>
              </w:rPr>
              <w:t>7.</w:t>
            </w:r>
            <w:r w:rsidRPr="000126B7">
              <w:rPr>
                <w:rFonts w:eastAsia="Times New Roman" w:cstheme="minorHAnsi"/>
                <w:szCs w:val="18"/>
                <w:lang w:eastAsia="hr-HR"/>
              </w:rPr>
              <w:t>7</w:t>
            </w:r>
            <w:r w:rsidR="007A2FDC">
              <w:rPr>
                <w:rFonts w:eastAsia="Times New Roman" w:cstheme="minorHAnsi"/>
                <w:szCs w:val="18"/>
                <w:lang w:eastAsia="hr-HR"/>
              </w:rPr>
              <w:t>24</w:t>
            </w:r>
          </w:p>
        </w:tc>
        <w:tc>
          <w:tcPr>
            <w:tcW w:w="1721" w:type="dxa"/>
            <w:tcBorders>
              <w:left w:val="single" w:sz="8" w:space="0" w:color="D2232A"/>
              <w:bottom w:val="nil"/>
              <w:right w:val="single" w:sz="8" w:space="0" w:color="D2232A"/>
            </w:tcBorders>
            <w:shd w:val="clear" w:color="auto" w:fill="C7C7C7" w:themeFill="text2" w:themeFillTint="40"/>
            <w:noWrap/>
            <w:vAlign w:val="center"/>
          </w:tcPr>
          <w:p w14:paraId="712357AF" w14:textId="77777777" w:rsidR="005223D3" w:rsidRPr="000126B7" w:rsidRDefault="005223D3" w:rsidP="00A27385">
            <w:pPr>
              <w:spacing w:after="0" w:line="240" w:lineRule="auto"/>
              <w:jc w:val="right"/>
              <w:rPr>
                <w:rFonts w:eastAsia="Times New Roman" w:cstheme="minorHAnsi"/>
                <w:szCs w:val="18"/>
                <w:lang w:eastAsia="hr-HR"/>
              </w:rPr>
            </w:pPr>
            <w:r w:rsidRPr="000126B7">
              <w:rPr>
                <w:rFonts w:eastAsia="Times New Roman" w:cstheme="minorHAnsi"/>
                <w:szCs w:val="18"/>
                <w:lang w:eastAsia="hr-HR"/>
              </w:rPr>
              <w:t>906,68</w:t>
            </w:r>
          </w:p>
        </w:tc>
        <w:tc>
          <w:tcPr>
            <w:tcW w:w="1863" w:type="dxa"/>
            <w:tcBorders>
              <w:left w:val="single" w:sz="8" w:space="0" w:color="D2232A"/>
              <w:bottom w:val="nil"/>
              <w:right w:val="single" w:sz="8" w:space="0" w:color="D2232A"/>
            </w:tcBorders>
            <w:shd w:val="clear" w:color="auto" w:fill="C7C7C7" w:themeFill="text2" w:themeFillTint="40"/>
            <w:noWrap/>
            <w:vAlign w:val="center"/>
          </w:tcPr>
          <w:p w14:paraId="73E7C470" w14:textId="39BFE159" w:rsidR="005223D3" w:rsidRPr="000126B7" w:rsidRDefault="005223D3" w:rsidP="00A27385">
            <w:pPr>
              <w:spacing w:after="0" w:line="240" w:lineRule="auto"/>
              <w:jc w:val="right"/>
              <w:rPr>
                <w:rFonts w:eastAsia="Times New Roman" w:cstheme="minorHAnsi"/>
                <w:szCs w:val="18"/>
                <w:lang w:eastAsia="hr-HR"/>
              </w:rPr>
            </w:pPr>
            <w:r w:rsidRPr="000126B7">
              <w:rPr>
                <w:rFonts w:eastAsia="Times New Roman" w:cstheme="minorHAnsi"/>
                <w:szCs w:val="18"/>
                <w:lang w:eastAsia="hr-HR"/>
              </w:rPr>
              <w:t>8</w:t>
            </w:r>
            <w:r w:rsidR="0028265F">
              <w:rPr>
                <w:rFonts w:eastAsia="Times New Roman" w:cstheme="minorHAnsi"/>
                <w:szCs w:val="18"/>
                <w:lang w:eastAsia="hr-HR"/>
              </w:rPr>
              <w:t>5</w:t>
            </w:r>
            <w:r w:rsidRPr="000126B7">
              <w:rPr>
                <w:rFonts w:eastAsia="Times New Roman" w:cstheme="minorHAnsi"/>
                <w:szCs w:val="18"/>
                <w:lang w:eastAsia="hr-HR"/>
              </w:rPr>
              <w:t>,</w:t>
            </w:r>
            <w:r w:rsidR="0028265F">
              <w:rPr>
                <w:rFonts w:eastAsia="Times New Roman" w:cstheme="minorHAnsi"/>
                <w:szCs w:val="18"/>
                <w:lang w:eastAsia="hr-HR"/>
              </w:rPr>
              <w:t>72</w:t>
            </w:r>
          </w:p>
        </w:tc>
        <w:tc>
          <w:tcPr>
            <w:tcW w:w="1721" w:type="dxa"/>
            <w:tcBorders>
              <w:left w:val="single" w:sz="8" w:space="0" w:color="D2232A"/>
              <w:right w:val="single" w:sz="8" w:space="0" w:color="D2232A"/>
            </w:tcBorders>
            <w:shd w:val="clear" w:color="auto" w:fill="C7C7C7" w:themeFill="text2" w:themeFillTint="40"/>
            <w:noWrap/>
            <w:vAlign w:val="center"/>
          </w:tcPr>
          <w:p w14:paraId="1D68043C" w14:textId="77777777" w:rsidR="005223D3" w:rsidRPr="000126B7" w:rsidRDefault="005223D3" w:rsidP="00A27385">
            <w:pPr>
              <w:spacing w:after="0" w:line="240" w:lineRule="auto"/>
              <w:jc w:val="right"/>
              <w:rPr>
                <w:rFonts w:eastAsia="Times New Roman" w:cstheme="minorHAnsi"/>
                <w:szCs w:val="18"/>
                <w:lang w:eastAsia="hr-HR"/>
              </w:rPr>
            </w:pPr>
            <w:r>
              <w:rPr>
                <w:rFonts w:eastAsia="Times New Roman" w:cstheme="minorHAnsi"/>
                <w:szCs w:val="18"/>
                <w:lang w:eastAsia="hr-HR"/>
              </w:rPr>
              <w:t>ruralno</w:t>
            </w:r>
          </w:p>
        </w:tc>
      </w:tr>
      <w:tr w:rsidR="005223D3" w:rsidRPr="00841B08" w14:paraId="01458C60" w14:textId="77777777" w:rsidTr="00E42A9B">
        <w:trPr>
          <w:gridAfter w:val="1"/>
          <w:wAfter w:w="1721" w:type="dxa"/>
          <w:trHeight w:val="283"/>
        </w:trPr>
        <w:tc>
          <w:tcPr>
            <w:tcW w:w="2146" w:type="dxa"/>
            <w:tcBorders>
              <w:top w:val="nil"/>
              <w:bottom w:val="nil"/>
            </w:tcBorders>
            <w:shd w:val="clear" w:color="auto" w:fill="BEBEBE" w:themeFill="text1" w:themeFillTint="80"/>
            <w:noWrap/>
            <w:vAlign w:val="center"/>
            <w:hideMark/>
          </w:tcPr>
          <w:p w14:paraId="0B41D90C" w14:textId="77777777" w:rsidR="005223D3" w:rsidRPr="00841B08" w:rsidRDefault="005223D3" w:rsidP="00A27385">
            <w:pPr>
              <w:spacing w:after="0" w:line="240" w:lineRule="auto"/>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UKUPNO ŽUPANIJA</w:t>
            </w:r>
          </w:p>
        </w:tc>
        <w:tc>
          <w:tcPr>
            <w:tcW w:w="1721" w:type="dxa"/>
            <w:tcBorders>
              <w:top w:val="nil"/>
              <w:bottom w:val="nil"/>
              <w:right w:val="single" w:sz="8" w:space="0" w:color="D2232A"/>
            </w:tcBorders>
            <w:shd w:val="clear" w:color="auto" w:fill="BEBEBE" w:themeFill="text1" w:themeFillTint="80"/>
            <w:noWrap/>
            <w:vAlign w:val="center"/>
            <w:hideMark/>
          </w:tcPr>
          <w:p w14:paraId="783069D0" w14:textId="56FF5A2D" w:rsidR="005223D3" w:rsidRPr="00841B08" w:rsidRDefault="005223D3" w:rsidP="00A27385">
            <w:pPr>
              <w:spacing w:after="0" w:line="240" w:lineRule="auto"/>
              <w:jc w:val="right"/>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12</w:t>
            </w:r>
            <w:r w:rsidR="007A2FDC">
              <w:rPr>
                <w:rFonts w:eastAsia="Times New Roman" w:cstheme="minorHAnsi"/>
                <w:color w:val="FFFFFF" w:themeColor="background1"/>
                <w:szCs w:val="18"/>
                <w:lang w:eastAsia="hr-HR"/>
              </w:rPr>
              <w:t>4</w:t>
            </w:r>
            <w:r w:rsidRPr="00841B08">
              <w:rPr>
                <w:rFonts w:eastAsia="Times New Roman" w:cstheme="minorHAnsi"/>
                <w:color w:val="FFFFFF" w:themeColor="background1"/>
                <w:szCs w:val="18"/>
                <w:lang w:eastAsia="hr-HR"/>
              </w:rPr>
              <w:t>.</w:t>
            </w:r>
            <w:r w:rsidR="007A2FDC">
              <w:rPr>
                <w:rFonts w:eastAsia="Times New Roman" w:cstheme="minorHAnsi"/>
                <w:color w:val="FFFFFF" w:themeColor="background1"/>
                <w:szCs w:val="18"/>
                <w:lang w:eastAsia="hr-HR"/>
              </w:rPr>
              <w:t>407</w:t>
            </w:r>
          </w:p>
        </w:tc>
        <w:tc>
          <w:tcPr>
            <w:tcW w:w="1721" w:type="dxa"/>
            <w:tcBorders>
              <w:top w:val="nil"/>
              <w:left w:val="single" w:sz="8" w:space="0" w:color="D2232A"/>
              <w:bottom w:val="nil"/>
              <w:right w:val="single" w:sz="8" w:space="0" w:color="D2232A"/>
            </w:tcBorders>
            <w:shd w:val="clear" w:color="auto" w:fill="BEBEBE" w:themeFill="text1" w:themeFillTint="80"/>
            <w:noWrap/>
            <w:vAlign w:val="center"/>
            <w:hideMark/>
          </w:tcPr>
          <w:p w14:paraId="74584333" w14:textId="77777777" w:rsidR="005223D3" w:rsidRPr="00841B08" w:rsidRDefault="005223D3" w:rsidP="00A27385">
            <w:pPr>
              <w:spacing w:after="0" w:line="240" w:lineRule="auto"/>
              <w:jc w:val="right"/>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1.232,33</w:t>
            </w:r>
          </w:p>
        </w:tc>
        <w:tc>
          <w:tcPr>
            <w:tcW w:w="1863" w:type="dxa"/>
            <w:tcBorders>
              <w:top w:val="nil"/>
              <w:left w:val="single" w:sz="8" w:space="0" w:color="D2232A"/>
              <w:bottom w:val="nil"/>
              <w:right w:val="single" w:sz="8" w:space="0" w:color="D2232A"/>
            </w:tcBorders>
            <w:shd w:val="clear" w:color="auto" w:fill="BEBEBE" w:themeFill="text1" w:themeFillTint="80"/>
            <w:noWrap/>
            <w:vAlign w:val="center"/>
            <w:hideMark/>
          </w:tcPr>
          <w:p w14:paraId="7916F86E" w14:textId="7F959E8A" w:rsidR="005223D3" w:rsidRPr="00841B08" w:rsidRDefault="005223D3" w:rsidP="00A27385">
            <w:pPr>
              <w:spacing w:after="0" w:line="240" w:lineRule="auto"/>
              <w:jc w:val="right"/>
              <w:rPr>
                <w:rFonts w:eastAsia="Times New Roman" w:cstheme="minorHAnsi"/>
                <w:color w:val="FFFFFF" w:themeColor="background1"/>
                <w:szCs w:val="18"/>
                <w:lang w:eastAsia="hr-HR"/>
              </w:rPr>
            </w:pPr>
            <w:r w:rsidRPr="00841B08">
              <w:rPr>
                <w:rFonts w:eastAsia="Times New Roman" w:cstheme="minorHAnsi"/>
                <w:color w:val="FFFFFF" w:themeColor="background1"/>
                <w:szCs w:val="18"/>
                <w:lang w:eastAsia="hr-HR"/>
              </w:rPr>
              <w:t>10</w:t>
            </w:r>
            <w:r w:rsidR="0028265F">
              <w:rPr>
                <w:rFonts w:eastAsia="Times New Roman" w:cstheme="minorHAnsi"/>
                <w:color w:val="FFFFFF" w:themeColor="background1"/>
                <w:szCs w:val="18"/>
                <w:lang w:eastAsia="hr-HR"/>
              </w:rPr>
              <w:t>0,95</w:t>
            </w:r>
          </w:p>
        </w:tc>
      </w:tr>
    </w:tbl>
    <w:p w14:paraId="6426EE74" w14:textId="10353859" w:rsidR="005223D3" w:rsidRPr="006315FA" w:rsidRDefault="005223D3" w:rsidP="001A6C18">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 DZS, Stanovništvo - Procjene stanovništva - Procjena stanovništva prema spolu, po gradovima/općinama, 31.12.201</w:t>
      </w:r>
      <w:r w:rsidR="007A2FDC" w:rsidRPr="006315FA">
        <w:rPr>
          <w:rFonts w:eastAsia="ArialNarrow" w:cstheme="minorHAnsi"/>
          <w:i/>
          <w:color w:val="ABABAB" w:themeColor="text1" w:themeTint="A6"/>
          <w:sz w:val="16"/>
          <w:szCs w:val="16"/>
        </w:rPr>
        <w:t>9</w:t>
      </w:r>
      <w:r w:rsidRPr="006315FA">
        <w:rPr>
          <w:rFonts w:eastAsia="ArialNarrow" w:cstheme="minorHAnsi"/>
          <w:i/>
          <w:color w:val="ABABAB" w:themeColor="text1" w:themeTint="A6"/>
          <w:sz w:val="16"/>
          <w:szCs w:val="16"/>
        </w:rPr>
        <w:t>.</w:t>
      </w:r>
    </w:p>
    <w:p w14:paraId="66BFC31E" w14:textId="77777777" w:rsidR="005223D3" w:rsidRDefault="005223D3" w:rsidP="00B35D49"/>
    <w:p w14:paraId="63FFBE3E" w14:textId="69AFDF71" w:rsidR="00E0359C" w:rsidRDefault="00B83317" w:rsidP="00B35D49">
      <w:pPr>
        <w:rPr>
          <w:rFonts w:eastAsia="ArialNarrow" w:cstheme="minorHAnsi"/>
        </w:rPr>
      </w:pPr>
      <w:r w:rsidRPr="00B83317">
        <w:rPr>
          <w:rFonts w:eastAsia="ArialNarrow" w:cstheme="minorHAnsi"/>
        </w:rPr>
        <w:t>Na području Krapinsko-zagorske županije prevladavaju naselja koja imaju pretežno seoska obilježja. Naselja koja su proglašena gradovima predstavljaju područja koja imaju prijelazna obilježja između urbaniziranog prostora i sela, a odgovarajućim aktivnostima: prostorno-planerskim, gospodarskim, socijalnim i političkim potrebno je ispravno usmjeriti urbanizaciju i razvoj gradova (malih gradskih područja ).</w:t>
      </w:r>
    </w:p>
    <w:p w14:paraId="1B1BDD93" w14:textId="77777777" w:rsidR="00C77565" w:rsidRDefault="00C77565" w:rsidP="00B35D49">
      <w:pPr>
        <w:rPr>
          <w:rFonts w:eastAsia="ArialNarrow" w:cstheme="minorHAnsi"/>
        </w:rPr>
      </w:pPr>
    </w:p>
    <w:p w14:paraId="7DC603C6" w14:textId="77777777" w:rsidR="00404D0C" w:rsidRDefault="00404D0C" w:rsidP="002F13CF">
      <w:pPr>
        <w:pStyle w:val="Naslov3"/>
        <w:numPr>
          <w:ilvl w:val="2"/>
          <w:numId w:val="20"/>
        </w:numPr>
        <w:rPr>
          <w:color w:val="A21B20" w:themeColor="accent6" w:themeShade="80"/>
        </w:rPr>
      </w:pPr>
      <w:bookmarkStart w:id="14" w:name="_Hlk58222645"/>
      <w:bookmarkStart w:id="15" w:name="_Toc85181271"/>
      <w:r w:rsidRPr="004C7BEF">
        <w:rPr>
          <w:color w:val="A21B20" w:themeColor="accent6" w:themeShade="80"/>
        </w:rPr>
        <w:t>Urbana područja</w:t>
      </w:r>
      <w:bookmarkEnd w:id="15"/>
    </w:p>
    <w:bookmarkEnd w:id="14"/>
    <w:p w14:paraId="308BC156" w14:textId="77777777" w:rsidR="00404D0C" w:rsidRDefault="00404D0C" w:rsidP="00404D0C">
      <w:pPr>
        <w:rPr>
          <w:color w:val="D2232A" w:themeColor="accent1"/>
        </w:rPr>
      </w:pPr>
    </w:p>
    <w:p w14:paraId="7C84C433" w14:textId="77777777" w:rsidR="00404D0C" w:rsidRPr="00D70870" w:rsidRDefault="00404D0C" w:rsidP="00404D0C">
      <w:pPr>
        <w:rPr>
          <w:color w:val="auto"/>
        </w:rPr>
      </w:pPr>
      <w:r w:rsidRPr="00D70870">
        <w:rPr>
          <w:color w:val="auto"/>
        </w:rPr>
        <w:t xml:space="preserve">Prema Zakonu o regionalnom razvoju </w:t>
      </w:r>
      <w:r w:rsidRPr="00D70870">
        <w:rPr>
          <w:rFonts w:eastAsia="ArialNarrow" w:cstheme="minorHAnsi"/>
          <w:color w:val="auto"/>
        </w:rPr>
        <w:t xml:space="preserve">(NN 147/2014, NN 123/2017, NN 118/2018) </w:t>
      </w:r>
      <w:r w:rsidRPr="00D70870">
        <w:rPr>
          <w:color w:val="auto"/>
        </w:rPr>
        <w:t>radi učinkovitijeg planiranja, usklađivanja i provedbe politike regionalnog razvoja, posebno njezine urbane dimenzije ustrojavaju se urbana područja. Urbana područja ustrojavaju se kao urbane aglomeracije, veća urbana područja i manja urbana područja.</w:t>
      </w:r>
    </w:p>
    <w:p w14:paraId="0C67CF11" w14:textId="6BA45CE7" w:rsidR="00404D0C" w:rsidRDefault="00404D0C" w:rsidP="00404D0C">
      <w:pPr>
        <w:rPr>
          <w:color w:val="D2232A" w:themeColor="accent1"/>
        </w:rPr>
      </w:pPr>
      <w:r w:rsidRPr="00D70870">
        <w:rPr>
          <w:color w:val="auto"/>
        </w:rPr>
        <w:t xml:space="preserve">Na području KZŽ nema ustrojenih većih urbanih područja, a jedino Grad Krapina kao županijsko središte spada u manja urbana područja. Zakon definira strategiju razvoja urbanog područja kao temeljni strateški dokument u kojem se određuju ciljevi i prioriteti razvoja za urbana područja. Dijelovi područja Krapinsko- zagorske županije obuhvaćeni su područjem Urbane aglomeracije Zagreb koja je ustrojena 2016. godine i obuhvaća Grad Zagreb kao središte aglomeracije te još 29 gradova i općina Zagrebačke i Krapinsko- zagorske županije. U sastav urbane aglomeracije Zagreb tako su uključeni sa područja KZŽ Gradovi Donja Stubica, Oroslavje i Zabok te Općine Gornja Stubica, Marija Bistrica, Veliko Trgovišće te Stubičke Toplice. </w:t>
      </w:r>
      <w:r w:rsidR="000F0EAC">
        <w:rPr>
          <w:color w:val="auto"/>
        </w:rPr>
        <w:t xml:space="preserve">U veljači 2021. godine pokrenuto je javno savjetovanje o Nacrtu Smjernica za uspostavu urbanih područja i izradu Strategije razvoja urbanih područja za financijsko razdoblje 2021.-2027. Gradovi Klanjec, </w:t>
      </w:r>
      <w:r w:rsidR="000F0EAC" w:rsidRPr="000F0EAC">
        <w:rPr>
          <w:color w:val="auto"/>
        </w:rPr>
        <w:t xml:space="preserve">Pregrada </w:t>
      </w:r>
      <w:r w:rsidR="000F0EAC">
        <w:rPr>
          <w:color w:val="auto"/>
        </w:rPr>
        <w:t xml:space="preserve">i Zlatar te Općine Bedekovčina, Konjšćina, Krapinske Toplice, Kraljevec na Sutli i Zlatar Bistrica iskazale su interes za ulazak u obuhvat urbanog područja Grada Zagreba. </w:t>
      </w:r>
    </w:p>
    <w:p w14:paraId="057F8071" w14:textId="77777777" w:rsidR="00404D0C" w:rsidRPr="00D70870" w:rsidRDefault="00404D0C" w:rsidP="00404D0C">
      <w:pPr>
        <w:rPr>
          <w:color w:val="auto"/>
        </w:rPr>
      </w:pPr>
      <w:r w:rsidRPr="00D70870">
        <w:rPr>
          <w:color w:val="auto"/>
        </w:rPr>
        <w:t>U Krapinsko- zagorskoj županiji proces urbanizacije nije toliko naglašen s obzirom da nema većih urbanih područja već su sva naselja urbanog karaktera svrstana u srednje i manje gradove i naselja s gradskim obilježjima. Status Grada stoga imaju Donja Stubica, Klanjec, Krapina, Oroslavje, Pregrada, Zabok i Zlatar.</w:t>
      </w:r>
    </w:p>
    <w:p w14:paraId="121A7EFF" w14:textId="77777777" w:rsidR="00743ECD" w:rsidRDefault="00404D0C" w:rsidP="00404D0C">
      <w:pPr>
        <w:rPr>
          <w:color w:val="auto"/>
        </w:rPr>
      </w:pPr>
      <w:r w:rsidRPr="00260DF1">
        <w:rPr>
          <w:color w:val="auto"/>
        </w:rPr>
        <w:t>Hrvatska ima</w:t>
      </w:r>
      <w:r w:rsidRPr="00260DF1">
        <w:rPr>
          <w:rFonts w:ascii="Calibri" w:hAnsi="Calibri" w:cs="Calibri"/>
          <w:color w:val="auto"/>
        </w:rPr>
        <w:t> </w:t>
      </w:r>
      <w:r w:rsidRPr="00260DF1">
        <w:rPr>
          <w:color w:val="auto"/>
        </w:rPr>
        <w:t>Nacionalnu razvojnu strategiju,</w:t>
      </w:r>
      <w:r w:rsidRPr="00260DF1">
        <w:rPr>
          <w:rFonts w:ascii="Calibri" w:hAnsi="Calibri" w:cs="Calibri"/>
          <w:color w:val="auto"/>
        </w:rPr>
        <w:t> </w:t>
      </w:r>
      <w:r w:rsidRPr="00260DF1">
        <w:rPr>
          <w:color w:val="auto"/>
        </w:rPr>
        <w:t>strateški dokument u kojem</w:t>
      </w:r>
      <w:r w:rsidRPr="00260DF1">
        <w:rPr>
          <w:rFonts w:ascii="Calibri" w:hAnsi="Calibri" w:cs="Calibri"/>
          <w:b/>
          <w:bCs/>
          <w:color w:val="auto"/>
        </w:rPr>
        <w:t> </w:t>
      </w:r>
      <w:r w:rsidRPr="00260DF1">
        <w:rPr>
          <w:color w:val="auto"/>
        </w:rPr>
        <w:t>je posebno istaknut razvoj pametnih gradova i otoka, a</w:t>
      </w:r>
      <w:r w:rsidRPr="00260DF1">
        <w:rPr>
          <w:rFonts w:ascii="Calibri" w:hAnsi="Calibri" w:cs="Calibri"/>
          <w:color w:val="auto"/>
        </w:rPr>
        <w:t> </w:t>
      </w:r>
      <w:r w:rsidRPr="00260DF1">
        <w:rPr>
          <w:color w:val="auto"/>
        </w:rPr>
        <w:t>Europski fond za regionalni razvoj od 2020. odvajat će 6 %, umjesto dosadašnjih 5 %. sredstava za razvoj gradova. Do 2050. godine predviđa se da će čak</w:t>
      </w:r>
      <w:r w:rsidRPr="00260DF1">
        <w:rPr>
          <w:rFonts w:ascii="Calibri" w:hAnsi="Calibri" w:cs="Calibri"/>
          <w:color w:val="auto"/>
        </w:rPr>
        <w:t> </w:t>
      </w:r>
      <w:hyperlink r:id="rId11" w:tgtFrame="_blank" w:history="1">
        <w:r w:rsidRPr="00260DF1">
          <w:rPr>
            <w:color w:val="auto"/>
          </w:rPr>
          <w:t>70% populacije živjeti u gradovima</w:t>
        </w:r>
      </w:hyperlink>
      <w:r w:rsidRPr="00260DF1">
        <w:rPr>
          <w:color w:val="auto"/>
        </w:rPr>
        <w:t xml:space="preserve"> </w:t>
      </w:r>
      <w:r w:rsidRPr="00260DF1">
        <w:rPr>
          <w:rFonts w:ascii="Calibri" w:hAnsi="Calibri" w:cs="Calibri"/>
          <w:color w:val="auto"/>
        </w:rPr>
        <w:t> </w:t>
      </w:r>
      <w:r w:rsidRPr="00260DF1">
        <w:rPr>
          <w:color w:val="auto"/>
        </w:rPr>
        <w:t xml:space="preserve">što znači da gradovi sa sadašnjom infrastrukturom neće </w:t>
      </w:r>
      <w:r w:rsidRPr="00260DF1">
        <w:rPr>
          <w:color w:val="auto"/>
        </w:rPr>
        <w:lastRenderedPageBreak/>
        <w:t xml:space="preserve">građanima moći pružiti kvalitetan život. </w:t>
      </w:r>
      <w:r w:rsidRPr="00260DF1">
        <w:rPr>
          <w:rStyle w:val="Referencafusnote"/>
          <w:color w:val="auto"/>
        </w:rPr>
        <w:footnoteReference w:id="2"/>
      </w:r>
      <w:r w:rsidRPr="00260DF1">
        <w:rPr>
          <w:color w:val="auto"/>
        </w:rPr>
        <w:t xml:space="preserve"> Zato je potrebno da gradovi počnu primjenjivati suvremena tehnološka, logistička i organizacijska rješenja odnosno primjenjivati koncept pametnoga grada (eng. smart city). Mnogo je definicija koje opisuju pojam „pametni grad”, ali najjednostavnija je ona koja koncept objašnjava kao viziju urbanog razvoja u kojem se koristi digitalna i komunikacijska tehnologija (ICT) i</w:t>
      </w:r>
      <w:r w:rsidRPr="00260DF1">
        <w:rPr>
          <w:rFonts w:ascii="Calibri" w:hAnsi="Calibri" w:cs="Calibri"/>
          <w:color w:val="auto"/>
        </w:rPr>
        <w:t> </w:t>
      </w:r>
      <w:hyperlink r:id="rId12" w:tgtFrame="_blank" w:history="1">
        <w:r w:rsidRPr="00260DF1">
          <w:rPr>
            <w:color w:val="auto"/>
          </w:rPr>
          <w:t>Internet of things rješenja (IoT)</w:t>
        </w:r>
      </w:hyperlink>
      <w:r w:rsidRPr="00260DF1">
        <w:rPr>
          <w:color w:val="auto"/>
        </w:rPr>
        <w:t>, kako bi se što bolje zadovoljile potrebe građana i unaprijedila učinkovitost gradskih usluga. Da bi jedan grad bio pametan, nužni su uvođenje ICT tehnologije, internetsko povezivanje objekata, upotreba pametnih mreža, povećanje energetske učinkovitosti, smanjenje onečišćenja te inovativna rješenja. Smart City pristup omogu</w:t>
      </w:r>
      <w:r w:rsidRPr="00260DF1">
        <w:rPr>
          <w:rFonts w:hint="eastAsia"/>
          <w:color w:val="auto"/>
        </w:rPr>
        <w:t>ć</w:t>
      </w:r>
      <w:r w:rsidRPr="00260DF1">
        <w:rPr>
          <w:color w:val="auto"/>
        </w:rPr>
        <w:t>uje odr</w:t>
      </w:r>
      <w:r w:rsidRPr="00260DF1">
        <w:rPr>
          <w:rFonts w:hint="eastAsia"/>
          <w:color w:val="auto"/>
        </w:rPr>
        <w:t>ž</w:t>
      </w:r>
      <w:r w:rsidRPr="00260DF1">
        <w:rPr>
          <w:color w:val="auto"/>
        </w:rPr>
        <w:t>ivo upravljanje javnim resursima i ve</w:t>
      </w:r>
      <w:r w:rsidRPr="00260DF1">
        <w:rPr>
          <w:rFonts w:hint="eastAsia"/>
          <w:color w:val="auto"/>
        </w:rPr>
        <w:t>ć</w:t>
      </w:r>
      <w:r w:rsidRPr="00260DF1">
        <w:rPr>
          <w:color w:val="auto"/>
        </w:rPr>
        <w:t xml:space="preserve">u kvalitetu </w:t>
      </w:r>
      <w:r w:rsidRPr="00260DF1">
        <w:rPr>
          <w:rFonts w:hint="eastAsia"/>
          <w:color w:val="auto"/>
        </w:rPr>
        <w:t>ž</w:t>
      </w:r>
      <w:r w:rsidRPr="00260DF1">
        <w:rPr>
          <w:color w:val="auto"/>
        </w:rPr>
        <w:t>ivota koriste</w:t>
      </w:r>
      <w:r w:rsidRPr="00260DF1">
        <w:rPr>
          <w:rFonts w:hint="eastAsia"/>
          <w:color w:val="auto"/>
        </w:rPr>
        <w:t>ć</w:t>
      </w:r>
      <w:r w:rsidRPr="00260DF1">
        <w:rPr>
          <w:color w:val="auto"/>
        </w:rPr>
        <w:t>i tehnolo</w:t>
      </w:r>
      <w:r w:rsidRPr="00260DF1">
        <w:rPr>
          <w:rFonts w:hint="eastAsia"/>
          <w:color w:val="auto"/>
        </w:rPr>
        <w:t>š</w:t>
      </w:r>
      <w:r w:rsidRPr="00260DF1">
        <w:rPr>
          <w:color w:val="auto"/>
        </w:rPr>
        <w:t>ka rje</w:t>
      </w:r>
      <w:r w:rsidRPr="00260DF1">
        <w:rPr>
          <w:rFonts w:hint="eastAsia"/>
          <w:color w:val="auto"/>
        </w:rPr>
        <w:t>š</w:t>
      </w:r>
      <w:r w:rsidRPr="00260DF1">
        <w:rPr>
          <w:color w:val="auto"/>
        </w:rPr>
        <w:t>enja kao odgovor na razli</w:t>
      </w:r>
      <w:r w:rsidRPr="00260DF1">
        <w:rPr>
          <w:rFonts w:hint="eastAsia"/>
          <w:color w:val="auto"/>
        </w:rPr>
        <w:t>č</w:t>
      </w:r>
      <w:r w:rsidRPr="00260DF1">
        <w:rPr>
          <w:color w:val="auto"/>
        </w:rPr>
        <w:t>ite izazove, ali je pritom va</w:t>
      </w:r>
      <w:r w:rsidRPr="00260DF1">
        <w:rPr>
          <w:rFonts w:hint="eastAsia"/>
          <w:color w:val="auto"/>
        </w:rPr>
        <w:t>ž</w:t>
      </w:r>
      <w:r w:rsidRPr="00260DF1">
        <w:rPr>
          <w:color w:val="auto"/>
        </w:rPr>
        <w:t>no naglasiti da tehnolo</w:t>
      </w:r>
      <w:r w:rsidRPr="00260DF1">
        <w:rPr>
          <w:rFonts w:hint="eastAsia"/>
          <w:color w:val="auto"/>
        </w:rPr>
        <w:t>š</w:t>
      </w:r>
      <w:r w:rsidRPr="00260DF1">
        <w:rPr>
          <w:color w:val="auto"/>
        </w:rPr>
        <w:t>ka rje</w:t>
      </w:r>
      <w:r w:rsidRPr="00260DF1">
        <w:rPr>
          <w:rFonts w:hint="eastAsia"/>
          <w:color w:val="auto"/>
        </w:rPr>
        <w:t>š</w:t>
      </w:r>
      <w:r w:rsidRPr="00260DF1">
        <w:rPr>
          <w:color w:val="auto"/>
        </w:rPr>
        <w:t>enja sama po sebi nisu dovoljna ukoliko nisu u skladu s ciljem u</w:t>
      </w:r>
      <w:r w:rsidRPr="00260DF1">
        <w:rPr>
          <w:rFonts w:hint="eastAsia"/>
          <w:color w:val="auto"/>
        </w:rPr>
        <w:t>č</w:t>
      </w:r>
      <w:r w:rsidRPr="00260DF1">
        <w:rPr>
          <w:color w:val="auto"/>
        </w:rPr>
        <w:t>inkovitijeg upravljanja gradom i ako njihova implementacija nije prepoznata kao optimalna od strane šire zajednice. Tako transformacija grada u pametni grad zahtijeva aktivaciju gradskih servisa, usluga i infrastrukture. U Krapinsko-zagorskoj županiji gradovi razvijaju koncept pametnih gradova te primjenjuju neka od "pametnih" rješenja za kvalitetniji život u gradu. Tako je npr. na području Županije postavljeno do sada 8 punionica za električna vozila (Pregrada, Donja Stubica, Zabok, Krapina, Oroslavje, Radoboj, Kumrovec, Krapinske Toplice), pametne klupe na gradskim trgovima, a pojedini gradovi započeli su i sa digitalizacijom svoje gradske uprave</w:t>
      </w:r>
      <w:r w:rsidR="00102123">
        <w:rPr>
          <w:color w:val="auto"/>
        </w:rPr>
        <w:t xml:space="preserve"> (Grad Zlatar i Pregrada)</w:t>
      </w:r>
      <w:r w:rsidRPr="00260DF1">
        <w:rPr>
          <w:color w:val="auto"/>
        </w:rPr>
        <w:t xml:space="preserve">. Pametnu strategiju upravljanja gradom („Smart city strategiju“) u kojoj se nalazi popis planiranih projektnih ideja koje primjenjuju koncept pametnih gradova do sada su na svojim gradskim vijećima usvojili Grad Zlatar i Pregrada. </w:t>
      </w:r>
      <w:r w:rsidR="00102123">
        <w:rPr>
          <w:color w:val="auto"/>
        </w:rPr>
        <w:t>Općina Marija Bistrica ima provedeno</w:t>
      </w:r>
      <w:r w:rsidR="00102123" w:rsidRPr="00102123">
        <w:rPr>
          <w:color w:val="auto"/>
        </w:rPr>
        <w:t xml:space="preserve"> nekoliko projekata </w:t>
      </w:r>
      <w:r w:rsidR="00102123">
        <w:rPr>
          <w:color w:val="auto"/>
        </w:rPr>
        <w:t xml:space="preserve">u kojima primjenjuju koncept pametnoga grada te u narednom razdoblju imaju u planu izraditi i strategiju. </w:t>
      </w:r>
    </w:p>
    <w:p w14:paraId="076F2A8C" w14:textId="0C221208" w:rsidR="00404D0C" w:rsidRPr="00190B64" w:rsidRDefault="00404D0C" w:rsidP="00404D0C">
      <w:pPr>
        <w:rPr>
          <w:color w:val="auto"/>
        </w:rPr>
      </w:pPr>
      <w:r w:rsidRPr="00260DF1">
        <w:rPr>
          <w:color w:val="auto"/>
        </w:rPr>
        <w:t xml:space="preserve">Potrebno je razvijati i dalje sva naselja gradskog karaktera s ciljem postizanja više kvalitete života. Ovo se postiže kroz potporu Županije za pripremu i provedbu projekata prvenstveno financiranih sredstvima Europske unije, ali i pripremom regionalnih projekata koji imaju utjecaj na sve gradove </w:t>
      </w:r>
      <w:r w:rsidRPr="00190B64">
        <w:rPr>
          <w:color w:val="auto"/>
        </w:rPr>
        <w:t>(</w:t>
      </w:r>
      <w:r w:rsidR="00190B64">
        <w:rPr>
          <w:color w:val="auto"/>
        </w:rPr>
        <w:t xml:space="preserve">npr. </w:t>
      </w:r>
      <w:r w:rsidRPr="00190B64">
        <w:rPr>
          <w:color w:val="auto"/>
        </w:rPr>
        <w:t>razvoj širokopojasne infrastrukture na cijelom području Krapinsko- zagorske županije).</w:t>
      </w:r>
    </w:p>
    <w:p w14:paraId="68DE0258" w14:textId="031CFE47" w:rsidR="00A517C7" w:rsidRDefault="00A517C7" w:rsidP="00B35D49">
      <w:pPr>
        <w:rPr>
          <w:color w:val="D2232A" w:themeColor="accent1"/>
        </w:rPr>
      </w:pPr>
    </w:p>
    <w:p w14:paraId="12155002" w14:textId="2F57E644" w:rsidR="00B35D49" w:rsidRDefault="00B35D49" w:rsidP="002F13CF">
      <w:pPr>
        <w:pStyle w:val="Naslov3"/>
        <w:numPr>
          <w:ilvl w:val="2"/>
          <w:numId w:val="20"/>
        </w:numPr>
        <w:rPr>
          <w:color w:val="A21B20" w:themeColor="accent6" w:themeShade="80"/>
        </w:rPr>
      </w:pPr>
      <w:bookmarkStart w:id="16" w:name="_Toc85181272"/>
      <w:r w:rsidRPr="004C7BEF">
        <w:rPr>
          <w:color w:val="A21B20" w:themeColor="accent6" w:themeShade="80"/>
        </w:rPr>
        <w:t>Brdsko- planinska područja</w:t>
      </w:r>
      <w:bookmarkEnd w:id="16"/>
    </w:p>
    <w:p w14:paraId="5A297925" w14:textId="1DA37846" w:rsidR="00D0638F" w:rsidRDefault="00D0638F" w:rsidP="00D0638F"/>
    <w:p w14:paraId="7489E081" w14:textId="2A9A7B1E" w:rsidR="00B83317" w:rsidRPr="00B83317" w:rsidRDefault="00B83317" w:rsidP="007564B7">
      <w:pPr>
        <w:rPr>
          <w:rFonts w:eastAsia="ArialNarrow" w:cstheme="minorHAnsi"/>
        </w:rPr>
      </w:pPr>
      <w:r w:rsidRPr="007564B7">
        <w:rPr>
          <w:rFonts w:eastAsia="ArialNarrow" w:cstheme="minorHAnsi"/>
        </w:rPr>
        <w:t xml:space="preserve">Uravnoteženi teritorijalni i regionalni razvoj podrazumijeva sustavnu brigu za područja s razvojnim ograničenjima i drugim specifičnostima koje su potencijal regionalnog razvoja. Prema Zakonu o regionalnom razvoju Republike Hrvatske </w:t>
      </w:r>
      <w:bookmarkStart w:id="17" w:name="_Hlk57367391"/>
      <w:r w:rsidRPr="007564B7">
        <w:rPr>
          <w:rFonts w:eastAsia="ArialNarrow" w:cstheme="minorHAnsi"/>
        </w:rPr>
        <w:t xml:space="preserve">(NN 147/2014, NN 123/2017, NN 118/2018) </w:t>
      </w:r>
      <w:bookmarkEnd w:id="17"/>
      <w:r w:rsidRPr="007564B7">
        <w:rPr>
          <w:rFonts w:eastAsia="ArialNarrow" w:cstheme="minorHAnsi"/>
        </w:rPr>
        <w:t xml:space="preserve">u Krapinsko- zagorskoj županiji postoje područja s razvojnim posebnostima odnosno brdsko- planinska područja. To su geografska područja koja se prema svojim prirodno- geografskim te društveno-gospodarskim i demografskim obilježjima mogu izdvojiti od ostalih područja RH te kao takva zahtijevati poseban programsko- planski pristup od strane nositelja politike regionalnoga razvoja. </w:t>
      </w:r>
    </w:p>
    <w:p w14:paraId="24D18CD0" w14:textId="653240B0" w:rsidR="007564B7" w:rsidRDefault="007564B7" w:rsidP="007564B7">
      <w:r>
        <w:t xml:space="preserve">Cilj upravljanja razvojem brdsko-planinskih </w:t>
      </w:r>
      <w:r w:rsidRPr="007564B7">
        <w:t>područja je pridonijeti njihovu gospodarskom i svekolikom razvoju u skladu s njihovim posebnostima i načelima zakona kojim se uređuje regionalni razvoj Republike Hrvatske.</w:t>
      </w:r>
      <w:r>
        <w:t xml:space="preserve"> </w:t>
      </w:r>
      <w:r w:rsidRPr="007564B7">
        <w:t>Prema Odluci o obuhvatu i razvrstavanju JLS koje stječu status brdsko-planinskog područja (NN 24/</w:t>
      </w:r>
      <w:r w:rsidR="00892CE6">
        <w:t>20</w:t>
      </w:r>
      <w:r w:rsidRPr="007564B7">
        <w:t>19)</w:t>
      </w:r>
      <w:r w:rsidR="00892CE6">
        <w:rPr>
          <w:b/>
          <w:bCs/>
        </w:rPr>
        <w:t xml:space="preserve">, </w:t>
      </w:r>
      <w:r w:rsidRPr="007564B7">
        <w:t>brdsko-planinska područja s područja KZŽ (ukupno 8 ) su Lobor, Budinšćina, Novi Golubovec, Jesenje</w:t>
      </w:r>
      <w:r>
        <w:rPr>
          <w:b/>
          <w:bCs/>
          <w:u w:val="single"/>
        </w:rPr>
        <w:t xml:space="preserve">, </w:t>
      </w:r>
      <w:r w:rsidRPr="007564B7">
        <w:t>Đurmanec, Radoboj, Hum na Sutli i Stubičke Toplice</w:t>
      </w:r>
      <w:r>
        <w:t xml:space="preserve">. </w:t>
      </w:r>
      <w:r w:rsidR="002F66FF" w:rsidRPr="00CF65DA">
        <w:t xml:space="preserve">Brdsko planinska područja na području KZŽ obilježava </w:t>
      </w:r>
      <w:r w:rsidR="00273B7F" w:rsidRPr="00CF65DA">
        <w:t>loša prometna povezanost brežuljkastih područja</w:t>
      </w:r>
      <w:r w:rsidR="00CF65DA" w:rsidRPr="00CF65DA">
        <w:t xml:space="preserve"> i </w:t>
      </w:r>
      <w:r w:rsidR="002F66FF" w:rsidRPr="00CF65DA">
        <w:t>dinamika negativnih demografskih procesa (prirodan pad stanovništva, depopulacija, migracije mladog stanovništva odnosno relativno lošija dobna struktura stanovništva u usporedbi sa RH).</w:t>
      </w:r>
    </w:p>
    <w:p w14:paraId="53E89CEB" w14:textId="77777777" w:rsidR="00E0359C" w:rsidRPr="007564B7" w:rsidRDefault="00E0359C" w:rsidP="007564B7">
      <w:pPr>
        <w:rPr>
          <w:b/>
          <w:bCs/>
          <w:u w:val="single"/>
        </w:rPr>
      </w:pPr>
    </w:p>
    <w:p w14:paraId="795C8CCF" w14:textId="2315B2CE" w:rsidR="00B35D49" w:rsidRDefault="00B35D49" w:rsidP="002F13CF">
      <w:pPr>
        <w:pStyle w:val="Naslov3"/>
        <w:numPr>
          <w:ilvl w:val="2"/>
          <w:numId w:val="20"/>
        </w:numPr>
        <w:rPr>
          <w:color w:val="A21B20" w:themeColor="accent6" w:themeShade="80"/>
        </w:rPr>
      </w:pPr>
      <w:bookmarkStart w:id="18" w:name="_Hlk58917134"/>
      <w:bookmarkStart w:id="19" w:name="_Toc85181273"/>
      <w:r w:rsidRPr="004C7BEF">
        <w:rPr>
          <w:color w:val="A21B20" w:themeColor="accent6" w:themeShade="80"/>
        </w:rPr>
        <w:t>Potpomognuta područja</w:t>
      </w:r>
      <w:bookmarkEnd w:id="19"/>
    </w:p>
    <w:bookmarkEnd w:id="18"/>
    <w:p w14:paraId="7BDC71DB" w14:textId="5D9914CA" w:rsidR="00047B61" w:rsidRDefault="00047B61" w:rsidP="00047B61"/>
    <w:p w14:paraId="54BF72BB" w14:textId="773DD7DD" w:rsidR="00892CE6" w:rsidRDefault="00892CE6" w:rsidP="00047B61">
      <w:r>
        <w:t xml:space="preserve">U 2018. godini proglašen je Zakon o potpomognutim područjima (NN 118/2018). Navedenim zakonom uređuje se upravljanje razvojem područja, koja su prema odredbama zakona kojim se uređuje regionalni razvoj, određena kao potpomognuta područja. </w:t>
      </w:r>
      <w:r w:rsidR="002448D8" w:rsidRPr="002448D8">
        <w:t>Cilj upravljanja razvojem potpomognutih područja je pridonijeti njihovu gospodarskom i svekolikom razvoju u skladu s njihovim posebnostima i načelima zakona kojim se uređuje regionalni razvoj Republike Hrvatske.</w:t>
      </w:r>
      <w:r w:rsidR="002448D8">
        <w:t xml:space="preserve"> </w:t>
      </w:r>
      <w:r w:rsidR="002448D8" w:rsidRPr="002448D8">
        <w:t xml:space="preserve">Status potpomognutih područja imaju sva područja ispod prosjeka razvijenosti RH, odnosno </w:t>
      </w:r>
      <w:r w:rsidR="002448D8">
        <w:t xml:space="preserve"> županije razvrstane </w:t>
      </w:r>
      <w:r w:rsidR="009761DE">
        <w:t xml:space="preserve">prema Odluci </w:t>
      </w:r>
      <w:r w:rsidR="002448D8">
        <w:t xml:space="preserve">u I i II. skupinu prema stupnju razvijenosti te jedinice lokalne samouprave razvrstane u </w:t>
      </w:r>
      <w:r w:rsidR="002448D8" w:rsidRPr="002448D8">
        <w:t>I. do IV. skupin</w:t>
      </w:r>
      <w:r w:rsidR="002448D8">
        <w:t>u</w:t>
      </w:r>
      <w:r w:rsidR="009761DE">
        <w:t xml:space="preserve"> (</w:t>
      </w:r>
      <w:r w:rsidR="009761DE" w:rsidRPr="009761DE">
        <w:t>NN 132/2017</w:t>
      </w:r>
      <w:r w:rsidR="009761DE">
        <w:rPr>
          <w:rFonts w:ascii="Calibri" w:hAnsi="Calibri" w:cs="Calibri"/>
        </w:rPr>
        <w:t>).</w:t>
      </w:r>
      <w:r w:rsidR="002448D8">
        <w:t xml:space="preserve"> </w:t>
      </w:r>
      <w:r w:rsidR="002448D8" w:rsidRPr="002448D8">
        <w:t>Krapinsko- zagorska županija nalazi se u II. skupini prema stupnju razvijenosti.</w:t>
      </w:r>
      <w:r w:rsidR="002448D8">
        <w:t xml:space="preserve"> </w:t>
      </w:r>
      <w:r w:rsidR="002448D8" w:rsidRPr="002448D8">
        <w:t>Na lokalnoj razini 12 JLS sa područja Županije ima status potpomognutog područja (Tuhelj, Hrašćina, Gornja Stubica, Kumrovec, Mače, Lobor, Mihovljan, Petrovsko, Budinšćina, Kraljevec na Sutli, Zagorska Sela i Desinić.). Općina Lobor i Budinšćina su istovremeno i potpomognuta i brdsko-planinska područja</w:t>
      </w:r>
      <w:r w:rsidR="002448D8">
        <w:t xml:space="preserve">. </w:t>
      </w:r>
    </w:p>
    <w:p w14:paraId="1A8F3A9D" w14:textId="5D08E61B" w:rsidR="008B0FAA" w:rsidRDefault="008B0FAA" w:rsidP="00047B61">
      <w:r w:rsidRPr="008B0FAA">
        <w:lastRenderedPageBreak/>
        <w:t>Kod navedenih općina riječ je pretežno o ruraln</w:t>
      </w:r>
      <w:r>
        <w:t>im</w:t>
      </w:r>
      <w:r w:rsidRPr="008B0FAA">
        <w:t xml:space="preserve"> područj</w:t>
      </w:r>
      <w:r>
        <w:t>ima</w:t>
      </w:r>
      <w:r w:rsidRPr="008B0FAA">
        <w:t xml:space="preserve"> s visokom kakvoćom zraka, bogatim šumskim resursima te bogatom bioraznolikošću što su ujedno i potencijali za razvoj drvne industrije, turizma i poljoprivrede. Ipak, postojeći resursi nisu dovoljno iskorišteni. Analizom navedenih teritorijalnih jedinica utvrđena je dugogodišnja depopulacija i starenje stanovništva, povećan udio neaktivnog stanovništva, nepovoljnija obrazovna struktura, smanjene gospodarske aktivnosti, smanjena dostupnost specijalističke zdravstvene skrbi, mali broj stanovnika obuhvaćen sustavom odvodnje. Prostori većinom izvrgnuti depopulaciji, koja u pojedinim dijelovima poprima zabrinjavajuće stanje. Razlog depopulaciji ruralnih područja je prvenstveno nedostatna komunalna i društvena infrastruktura te iseljavanje u urbana područja posebno mlađeg stanovništva.</w:t>
      </w:r>
    </w:p>
    <w:p w14:paraId="05F09634" w14:textId="29374025" w:rsidR="00146300" w:rsidRDefault="002448D8" w:rsidP="00B35D49">
      <w:r>
        <w:t xml:space="preserve">Ministarstvo regionalnoga razvoja i fondova Europske unije potpisalo je u 2020. godini Ugovor </w:t>
      </w:r>
      <w:r w:rsidRPr="0023701D">
        <w:t>o</w:t>
      </w:r>
      <w:r w:rsidR="0023701D" w:rsidRPr="0023701D">
        <w:t xml:space="preserve"> izradi analize postojećeg i prijedloga novog modela za izračun indeksa razvijenosti jedinica lokalne i područne (regionalne) samouprave.</w:t>
      </w:r>
      <w:r w:rsidR="0023701D">
        <w:t xml:space="preserve"> MRRFEU će </w:t>
      </w:r>
      <w:r>
        <w:t>izraditi novi izračun indeksa razvijenosti sukladno Zakonu o regionalnom razvoju kako bi se doradili parametri i unaprijedio postojeći indeks razvijenosti. Novi indeks razvijenosti, sukladno novim pokazateljima, razvrstati će jedinice lokalne i područne (regionalne) samouprave te će definirati nove mjere za potpomognuta područja. Područja jedinica lokalne i područne (regionalne) samouprave koja prema metodologiji iz 2017. godine nisu definirana u statusu potpomognutih područja, a prema svim pokazateljima su područja koja trebaju dodatnu pomoć države, izradom novog indeksa razvijenosti i doradom parametara biti će obuhvaćena.</w:t>
      </w:r>
    </w:p>
    <w:p w14:paraId="47A48AC1" w14:textId="015BF6E1" w:rsidR="0088364F" w:rsidRDefault="0088364F" w:rsidP="00B35D49"/>
    <w:p w14:paraId="23517B58" w14:textId="1A470E96" w:rsidR="007B35F0" w:rsidRDefault="007E3175" w:rsidP="007E3175">
      <w:pPr>
        <w:shd w:val="clear" w:color="auto" w:fill="E5E5E5" w:themeFill="text1" w:themeFillTint="33"/>
        <w:rPr>
          <w:b/>
          <w:bCs/>
        </w:rPr>
      </w:pPr>
      <w:r>
        <w:rPr>
          <w:b/>
          <w:bCs/>
        </w:rPr>
        <w:t xml:space="preserve">Zaključak </w:t>
      </w:r>
    </w:p>
    <w:p w14:paraId="3A50D666" w14:textId="77777777" w:rsidR="00146300" w:rsidRPr="00146300" w:rsidRDefault="007B35F0" w:rsidP="00146300">
      <w:pPr>
        <w:shd w:val="clear" w:color="auto" w:fill="E5E5E5" w:themeFill="text1" w:themeFillTint="33"/>
      </w:pPr>
      <w:r w:rsidRPr="007B35F0">
        <w:t>Krapinsko zagorska županija nalazi u sjeverozapadnom dijelu Republike Hrvatske i pripada prostoru središnje Hrvatske.</w:t>
      </w:r>
      <w:r>
        <w:t xml:space="preserve"> </w:t>
      </w:r>
      <w:r w:rsidR="00146300" w:rsidRPr="00146300">
        <w:t xml:space="preserve">Površinom se ubraja među najmanje županije Republike Hrvatske (1224,22 km²), ali ima bitno demografsko značenje jer je gustoćom stanovnika od 108,3 st./km² iznad nacionalnog prosjeka koji iznosi 75 st./km²) (DZS, Popis 2011.). </w:t>
      </w:r>
    </w:p>
    <w:p w14:paraId="08B6A487" w14:textId="4A3DE038" w:rsidR="007B35F0" w:rsidRPr="007B35F0" w:rsidRDefault="007B35F0" w:rsidP="007B35F0">
      <w:pPr>
        <w:shd w:val="clear" w:color="auto" w:fill="E5E5E5" w:themeFill="text1" w:themeFillTint="33"/>
      </w:pPr>
      <w:r w:rsidRPr="007B35F0">
        <w:t xml:space="preserve">Kao geografska cjelina županija </w:t>
      </w:r>
      <w:r>
        <w:t xml:space="preserve">se </w:t>
      </w:r>
      <w:r w:rsidRPr="007B35F0">
        <w:t>pruža od vrhova Macelja i Ivančice na sjeveru do Medvednice na jugoistoku. Zapadna granica -rijeka Sutla, ujedno je i državna granica sa Republikom Slovenijom, a istočnu granicu čine porječja Krapine i Lonje. Veliko prometno značenje Županiji daje međunarodna trasa autoceste A2 Zagreb–Macelj, koja prolazi duž Županije te je dio europske ceste E59 koja povezuje Hrvatsku sa zemljama srednje Europe.</w:t>
      </w:r>
      <w:r w:rsidR="00553256" w:rsidRPr="00553256">
        <w:t xml:space="preserve"> </w:t>
      </w:r>
      <w:r w:rsidR="00146300" w:rsidRPr="009C606E">
        <w:t>Dužina državne granice na području PU Krapinsko-zagorske, prema podacima Državne geodetske uprave iznosi 100,9 km</w:t>
      </w:r>
      <w:r w:rsidR="00146300" w:rsidRPr="00146300">
        <w:t xml:space="preserve"> </w:t>
      </w:r>
      <w:r w:rsidR="00146300" w:rsidRPr="00D93F4E">
        <w:t>Pogranično područje sa Slovenijom dinamično je u kontekstu kretanja građana koji žive na tom zajedničkom prostoru zbog povijesnih razloga i kulturoloških sličnosti. Znajući da su pogranične lokalne zajednice temelj dobre suradnje između susjednih država, na području KZŽ uređena su pogranična područja s ciljem da se omogući i uredi promet osoba u pograničnim područjima i poboljšaju životni uvjeti pograničnog stanovništva. Pogranične jedinice lokalne samouprave su Grad Klanjec i Općine Đurmanec, Hum na Sutli, Kumrovec, Kraljevec na Sutli i Zagorska Sela. . U nazad par godina na pograničnom području povećavaju se poslovi u vezi nezakonitih migracija.</w:t>
      </w:r>
    </w:p>
    <w:p w14:paraId="41D6A9EA" w14:textId="056016D5" w:rsidR="007B35F0" w:rsidRPr="00553256" w:rsidRDefault="007B35F0" w:rsidP="007B35F0">
      <w:pPr>
        <w:shd w:val="clear" w:color="auto" w:fill="E5E5E5" w:themeFill="text1" w:themeFillTint="33"/>
        <w:rPr>
          <w:b/>
          <w:bCs/>
        </w:rPr>
      </w:pPr>
      <w:r w:rsidRPr="007B35F0">
        <w:t>U administrativnom smislu Županija je podijeljena na 7 gradova i 25 općina. Sjedište Županije je Grad Krapina.</w:t>
      </w:r>
      <w:r w:rsidRPr="007B35F0">
        <w:rPr>
          <w:rFonts w:eastAsia="ArialNarrow" w:cstheme="minorHAnsi"/>
        </w:rPr>
        <w:t xml:space="preserve"> </w:t>
      </w:r>
      <w:r>
        <w:rPr>
          <w:rFonts w:eastAsia="ArialNarrow" w:cstheme="minorHAnsi"/>
        </w:rPr>
        <w:t xml:space="preserve">Sukladno podjeli na </w:t>
      </w:r>
      <w:r w:rsidRPr="007B35F0">
        <w:t xml:space="preserve">ruralna ili urbana </w:t>
      </w:r>
      <w:r>
        <w:t xml:space="preserve">područja </w:t>
      </w:r>
      <w:r w:rsidRPr="007B35F0">
        <w:t>temeljem praga od 150 stanovnika na km</w:t>
      </w:r>
      <w:r w:rsidRPr="007B35F0">
        <w:rPr>
          <w:vertAlign w:val="superscript"/>
        </w:rPr>
        <w:t>2</w:t>
      </w:r>
      <w:r>
        <w:t xml:space="preserve">, </w:t>
      </w:r>
      <w:r w:rsidRPr="007B35F0">
        <w:t>21,35% stanovnika Krapinsko-zagorske županije živi u urbanim područjima dok 78,64% stanovnika živi u ruralnim područjima.</w:t>
      </w:r>
      <w:r>
        <w:t xml:space="preserve"> </w:t>
      </w:r>
      <w:r w:rsidRPr="007B35F0">
        <w:t>Na području KZŽ nema ustrojenih većih urbanih područja, a jedino Grad Krapina kao županijsko središte spada u manja urbana područja. Dijelovi područja Krapinsko- zagorske županije obuhvaćeni su područjem Urbane aglomeracije Zagreb</w:t>
      </w:r>
      <w:r>
        <w:t xml:space="preserve"> (</w:t>
      </w:r>
      <w:r w:rsidRPr="007B35F0">
        <w:t>Gradovi Donja Stubica, Oroslavje i Zabok te Općine Gornja Stubica, Marija Bistrica, Veliko Trgovišće te Stubičke Toplice</w:t>
      </w:r>
      <w:r>
        <w:t xml:space="preserve">). </w:t>
      </w:r>
      <w:r w:rsidRPr="007B35F0">
        <w:t>U Krapinsko- zagorskoj županiji proces urbanizacije nije toliko naglašen s obzirom da nema većih urbanih područja već su sva naselja urbanog karaktera svrstana u srednje i manje gradove i naselja s gradskim obilježjima. Status Grada stoga imaju Donja Stubica, Klanjec, Krapina, Oroslavje, Pregrada, Zabok i Zlatar.</w:t>
      </w:r>
      <w:r w:rsidR="00553256">
        <w:t xml:space="preserve"> </w:t>
      </w:r>
      <w:r w:rsidR="00553256" w:rsidRPr="00146300">
        <w:t>U Krapinsko-zagorskoj županiji gradovi razvijaju koncept pametnih gradova te primjenjuje neka od "pametnih" rješenja za kvalitetniji život u gradu. Tako je npr. na području Županije postavljeno do sada 8 punionica za električna vozila (</w:t>
      </w:r>
      <w:r w:rsidR="00146300" w:rsidRPr="00146300">
        <w:t>Pregrada, Donja Stubica, Zabok, Krapina, Oroslavje, Radoboj, Kumrovec, Krapinske Toplice</w:t>
      </w:r>
      <w:r w:rsidR="00553256" w:rsidRPr="00146300">
        <w:t>), pametne klupe na gradskim trgovima, a pojedini gradovi započeli su i sa digitalizacijom svoje gradske uprave. Pametnu strategiju („Smart city strategija“) upravljanja gradom u kojoj se nalaze projektne ideje koje primjenjuju koncept pametnih gradova imaju usvojen Grad Zlatar i Pregrada.</w:t>
      </w:r>
      <w:r w:rsidR="00553256" w:rsidRPr="00553256">
        <w:rPr>
          <w:b/>
          <w:bCs/>
        </w:rPr>
        <w:t xml:space="preserve"> </w:t>
      </w:r>
    </w:p>
    <w:p w14:paraId="415B8418" w14:textId="23623ECE" w:rsidR="00553256" w:rsidRPr="00553256" w:rsidRDefault="007B35F0" w:rsidP="008A118E">
      <w:pPr>
        <w:shd w:val="clear" w:color="auto" w:fill="E5E5E5" w:themeFill="text1" w:themeFillTint="33"/>
      </w:pPr>
      <w:r w:rsidRPr="007B35F0">
        <w:t>Prema Zakonu o regionalnom razvoju Republike Hrvatske (NN 147/2014, NN 123/2017, NN 118/2018) u Krapinsko- zagorskoj županiji postoje područja s razvojnim posebnostima odnosno brdsko- planinska područja</w:t>
      </w:r>
      <w:r>
        <w:t>.</w:t>
      </w:r>
      <w:r w:rsidRPr="007B35F0">
        <w:t xml:space="preserve"> Prema Odluci o obuhvatu i razvrstavanju JLS koje stječu status brdsko-planinskog područja (NN 24/19)</w:t>
      </w:r>
      <w:r w:rsidR="00025290">
        <w:t xml:space="preserve">u KZŽ </w:t>
      </w:r>
      <w:r w:rsidRPr="007B35F0">
        <w:t>su</w:t>
      </w:r>
      <w:r w:rsidR="00025290">
        <w:t xml:space="preserve"> to</w:t>
      </w:r>
      <w:r w:rsidRPr="007B35F0">
        <w:t xml:space="preserve"> </w:t>
      </w:r>
      <w:r w:rsidRPr="007564B7">
        <w:t>Lobor, Budinšćina, Novi Golubovec, Jesenje</w:t>
      </w:r>
      <w:r w:rsidRPr="007B35F0">
        <w:rPr>
          <w:b/>
          <w:bCs/>
          <w:u w:val="single"/>
        </w:rPr>
        <w:t xml:space="preserve">, </w:t>
      </w:r>
      <w:r w:rsidRPr="007564B7">
        <w:t>Đurmanec, Radoboj, Hum na Sutli i Stubičke Toplice</w:t>
      </w:r>
      <w:r w:rsidRPr="007B35F0">
        <w:t xml:space="preserve">. </w:t>
      </w:r>
      <w:r>
        <w:t>S</w:t>
      </w:r>
      <w:r w:rsidRPr="007B35F0">
        <w:t>tatus potpomognutih područja imaju sva područja ispod prosjeka razvijenosti RH</w:t>
      </w:r>
      <w:r>
        <w:t xml:space="preserve">, </w:t>
      </w:r>
      <w:r w:rsidRPr="007B35F0">
        <w:t>odnosno I. do IV. skupina JLS i I. do II. skupina jedinica područne (regionalne) samouprave</w:t>
      </w:r>
      <w:r>
        <w:t xml:space="preserve">. Krapinsko- zagorska županija nalazi se u </w:t>
      </w:r>
      <w:r w:rsidR="00A27930">
        <w:t>II. skupini prema stupnju razvijenosti. Na lokalnoj razini 12 JLS sa područja Županije ima status potpomognutog područja (</w:t>
      </w:r>
      <w:r w:rsidRPr="007B35F0">
        <w:t>Tuhelj, Hrašćina, Gornja Stubica, Kumrovec, Mače, Lobor, Mihovljan, Petrovsko, Budinšćina, Kraljevec na Sutli, Zagorska Sela i Desinić.</w:t>
      </w:r>
      <w:r w:rsidR="00A27930">
        <w:t>)</w:t>
      </w:r>
      <w:r w:rsidR="008A118E">
        <w:t>. Općina Lobor i Budinšćina su istovremeno i potpomognuta i brdsko-planinska područja</w:t>
      </w:r>
      <w:r w:rsidR="002448D8">
        <w:t>.</w:t>
      </w:r>
      <w:r w:rsidR="00553256">
        <w:t xml:space="preserve"> </w:t>
      </w:r>
      <w:bookmarkEnd w:id="5"/>
    </w:p>
    <w:bookmarkEnd w:id="3"/>
    <w:p w14:paraId="3ED565DB" w14:textId="57D46D36" w:rsidR="00BE07BD" w:rsidRDefault="00BE07BD">
      <w:pPr>
        <w:jc w:val="left"/>
        <w:rPr>
          <w:b/>
          <w:bCs/>
        </w:rPr>
      </w:pPr>
      <w:r>
        <w:rPr>
          <w:b/>
          <w:bCs/>
        </w:rPr>
        <w:br w:type="page"/>
      </w:r>
    </w:p>
    <w:p w14:paraId="4880F9CD" w14:textId="30D01901" w:rsidR="00B35D49" w:rsidRDefault="00B35D49" w:rsidP="005F13D3">
      <w:pPr>
        <w:pStyle w:val="Naslov1"/>
        <w:rPr>
          <w:rStyle w:val="NASLOV"/>
        </w:rPr>
      </w:pPr>
      <w:bookmarkStart w:id="20" w:name="_Toc85181274"/>
      <w:r>
        <w:rPr>
          <w:rStyle w:val="NASLOV"/>
        </w:rPr>
        <w:lastRenderedPageBreak/>
        <w:t>PRIRODNO-GEOGRAFSKA OBILJEŽJA</w:t>
      </w:r>
      <w:bookmarkEnd w:id="20"/>
    </w:p>
    <w:p w14:paraId="6E6E7931" w14:textId="281A90BD" w:rsidR="00B35D49" w:rsidRDefault="00E9055B" w:rsidP="0052192B">
      <w:pPr>
        <w:pStyle w:val="Naslov2"/>
        <w:numPr>
          <w:ilvl w:val="1"/>
          <w:numId w:val="20"/>
        </w:numPr>
      </w:pPr>
      <w:bookmarkStart w:id="21" w:name="_Toc85181275"/>
      <w:r>
        <w:t>Klimatska obilježja</w:t>
      </w:r>
      <w:bookmarkEnd w:id="21"/>
      <w:r>
        <w:t xml:space="preserve"> </w:t>
      </w:r>
    </w:p>
    <w:p w14:paraId="6CFB7DF0" w14:textId="03AD825D" w:rsidR="00CF7FC1" w:rsidRDefault="00CF7FC1" w:rsidP="00CF7FC1">
      <w:r>
        <w:br/>
        <w:t xml:space="preserve">Specifičnosti geografskog položaja te osobitosti reljefnih karakteristika Krapinsko-zagorske županije glavni su čimbenici koji utječu na </w:t>
      </w:r>
      <w:r w:rsidRPr="00022636">
        <w:t>obilježja</w:t>
      </w:r>
      <w:r>
        <w:t xml:space="preserve"> kontinentalne klime na ovom području. </w:t>
      </w:r>
    </w:p>
    <w:p w14:paraId="754C0C4B" w14:textId="77777777" w:rsidR="0020624B" w:rsidRDefault="00CF7FC1" w:rsidP="00CF7FC1">
      <w:r>
        <w:t xml:space="preserve">Opća atmosferska cirkulacija karakteristična za geografsku širinu, utjecaji Panonske nizine, planinskog sustava Alpa i Dinarida te reljef koji oblikuje lokalne klimatske različitosti zaslužni su za predominantno kontinentalni tip klime s nekoliko specifičnih podtipova. </w:t>
      </w:r>
    </w:p>
    <w:p w14:paraId="071B487E" w14:textId="0019DC72" w:rsidR="00CF7FC1" w:rsidRDefault="00CF7FC1" w:rsidP="00CF7FC1">
      <w:r>
        <w:t>Prema opće prihvaćenoj klasifikaciji W. Koeppena, prostor Hrvatskog zagorja pripada C tipu klime, to jest, tipu Cfwbx ili umjereno toploj kišnoj klimi s toplim ljetima. Najviše oborina ima u toplijoj polovici godine ili vegetacijskom razdoblju, dok ih je najmanje u zimskoj polovici godine. Maksimalne temperature bilježe se u lipnju, srpnju i kolovozu, dok se minimumi registriraju u siječnju i veljači. Tip</w:t>
      </w:r>
      <w:r w:rsidRPr="00121A8B">
        <w:t xml:space="preserve"> „C“ klim</w:t>
      </w:r>
      <w:r>
        <w:t>e</w:t>
      </w:r>
      <w:r w:rsidRPr="00121A8B">
        <w:t> </w:t>
      </w:r>
      <w:r w:rsidRPr="00065A9C">
        <w:t>jest</w:t>
      </w:r>
      <w:r>
        <w:rPr>
          <w:i/>
          <w:iCs/>
        </w:rPr>
        <w:t xml:space="preserve"> </w:t>
      </w:r>
      <w:r w:rsidRPr="00121A8B">
        <w:t>klim</w:t>
      </w:r>
      <w:r>
        <w:t>a</w:t>
      </w:r>
      <w:r w:rsidRPr="00121A8B">
        <w:t xml:space="preserve"> u kojoj se srednja mjesečna temperatura kreće u intervalu do 3</w:t>
      </w:r>
      <w:r w:rsidRPr="00065A9C">
        <w:rPr>
          <w:vertAlign w:val="superscript"/>
        </w:rPr>
        <w:t>0</w:t>
      </w:r>
      <w:r w:rsidRPr="00121A8B">
        <w:t>C. Budući da su padaline podjednako raspoređene na cijelu godinu, to je „Cf“ tip klime. Kako ne postoji izraziti sušni period, a razdoblje s manje oborina pada u zimu, to je „Cfw“ klima. Najtopliji mjesec srpanj ima srednju temperaturu 20,5</w:t>
      </w:r>
      <w:r w:rsidRPr="00065A9C">
        <w:rPr>
          <w:vertAlign w:val="superscript"/>
        </w:rPr>
        <w:t>0</w:t>
      </w:r>
      <w:r w:rsidRPr="00121A8B">
        <w:t>C, što je manje od granične temperature od 22</w:t>
      </w:r>
      <w:r w:rsidRPr="00065A9C">
        <w:rPr>
          <w:vertAlign w:val="superscript"/>
        </w:rPr>
        <w:t>0</w:t>
      </w:r>
      <w:r w:rsidRPr="00121A8B">
        <w:t>C pa ovo područje pripada u klimatsko područje „Cfwb“. Maksimalna količina oborina pada u lipnju tj. na prijelazu proljeća i ljeta, a kasnije ljeto je sušnije i vedrije to je „Cfwbx“ klima.</w:t>
      </w:r>
      <w:r>
        <w:t xml:space="preserve"> </w:t>
      </w:r>
    </w:p>
    <w:p w14:paraId="7DA2CE05" w14:textId="165A5DF8" w:rsidR="005A71E7" w:rsidRDefault="005A71E7" w:rsidP="005A71E7">
      <w:r>
        <w:t>Sukladno metodologiji Državnog hidrometeorološkog zavoda, za prikazivanje osnovnih meteoroloških elemenata Krapinsko-zagorske županije u nižoj su tabeli korišteni podaci meteorološke postaje Zagreb-Maksimir, s obzirom da klima Krapinsko-zagorske županije pripada istom tipu kontinentalno-panonske klime.</w:t>
      </w:r>
    </w:p>
    <w:p w14:paraId="23D3B8B4" w14:textId="77777777" w:rsidR="005A71E7" w:rsidRDefault="005A71E7" w:rsidP="005A71E7"/>
    <w:p w14:paraId="0153BCB4" w14:textId="77777777" w:rsidR="005A71E7" w:rsidRPr="001D649A" w:rsidRDefault="005A71E7" w:rsidP="005A71E7">
      <w:pPr>
        <w:pStyle w:val="Opisslike"/>
      </w:pPr>
      <w:r>
        <w:t xml:space="preserve">Tablica 3. </w:t>
      </w:r>
      <w:r w:rsidRPr="009513BF">
        <w:t>Srednje godišnje vrijednosti važnijih meteoroloških elemenata</w:t>
      </w:r>
    </w:p>
    <w:tbl>
      <w:tblPr>
        <w:tblW w:w="9732" w:type="dxa"/>
        <w:tblInd w:w="-10" w:type="dxa"/>
        <w:tblLook w:val="04A0" w:firstRow="1" w:lastRow="0" w:firstColumn="1" w:lastColumn="0" w:noHBand="0" w:noVBand="1"/>
      </w:tblPr>
      <w:tblGrid>
        <w:gridCol w:w="851"/>
        <w:gridCol w:w="1337"/>
        <w:gridCol w:w="1104"/>
        <w:gridCol w:w="1428"/>
        <w:gridCol w:w="1473"/>
        <w:gridCol w:w="1588"/>
        <w:gridCol w:w="842"/>
        <w:gridCol w:w="1109"/>
      </w:tblGrid>
      <w:tr w:rsidR="005A71E7" w14:paraId="5B68DB00" w14:textId="77777777" w:rsidTr="00480559">
        <w:trPr>
          <w:trHeight w:val="283"/>
          <w:tblHeader/>
        </w:trPr>
        <w:tc>
          <w:tcPr>
            <w:tcW w:w="851" w:type="dxa"/>
            <w:vMerge w:val="restart"/>
            <w:tcBorders>
              <w:left w:val="single" w:sz="8" w:space="0" w:color="D2232A"/>
              <w:bottom w:val="single" w:sz="8" w:space="0" w:color="F3CFC1"/>
              <w:right w:val="single" w:sz="4" w:space="0" w:color="FFFFFF"/>
            </w:tcBorders>
            <w:shd w:val="clear" w:color="auto" w:fill="D2232A" w:themeFill="accent1"/>
            <w:noWrap/>
            <w:vAlign w:val="center"/>
            <w:hideMark/>
          </w:tcPr>
          <w:p w14:paraId="047B0097" w14:textId="77777777" w:rsidR="005A71E7" w:rsidRPr="00BB316B" w:rsidRDefault="005A71E7" w:rsidP="00480559">
            <w:pPr>
              <w:spacing w:after="0"/>
              <w:ind w:left="-120"/>
              <w:jc w:val="center"/>
              <w:rPr>
                <w:b/>
                <w:bCs/>
                <w:color w:val="FFFFFF" w:themeColor="background1"/>
                <w:sz w:val="20"/>
                <w:lang w:val="en-GB"/>
              </w:rPr>
            </w:pPr>
            <w:r w:rsidRPr="00BB316B">
              <w:rPr>
                <w:b/>
                <w:bCs/>
                <w:color w:val="FFFFFF" w:themeColor="background1"/>
                <w:sz w:val="20"/>
              </w:rPr>
              <w:t>Godina</w:t>
            </w:r>
          </w:p>
        </w:tc>
        <w:tc>
          <w:tcPr>
            <w:tcW w:w="3869" w:type="dxa"/>
            <w:gridSpan w:val="3"/>
            <w:tcBorders>
              <w:left w:val="single" w:sz="4" w:space="0" w:color="FFFFFF"/>
              <w:bottom w:val="single" w:sz="8" w:space="0" w:color="D2232A"/>
              <w:right w:val="single" w:sz="4" w:space="0" w:color="FFFFFF"/>
            </w:tcBorders>
            <w:shd w:val="clear" w:color="auto" w:fill="D2232A" w:themeFill="accent1"/>
            <w:noWrap/>
            <w:hideMark/>
          </w:tcPr>
          <w:p w14:paraId="7DD240FF" w14:textId="77777777" w:rsidR="005A71E7" w:rsidRPr="00BB316B" w:rsidRDefault="005A71E7" w:rsidP="00480559">
            <w:pPr>
              <w:spacing w:after="0"/>
              <w:jc w:val="center"/>
              <w:rPr>
                <w:b/>
                <w:bCs/>
                <w:color w:val="FFFFFF" w:themeColor="background1"/>
                <w:sz w:val="20"/>
              </w:rPr>
            </w:pPr>
            <w:r w:rsidRPr="00BB316B">
              <w:rPr>
                <w:b/>
                <w:bCs/>
                <w:color w:val="FFFFFF" w:themeColor="background1"/>
                <w:sz w:val="20"/>
              </w:rPr>
              <w:t>Srednje godišnje vrijednosti</w:t>
            </w:r>
          </w:p>
        </w:tc>
        <w:tc>
          <w:tcPr>
            <w:tcW w:w="5012" w:type="dxa"/>
            <w:gridSpan w:val="4"/>
            <w:tcBorders>
              <w:left w:val="single" w:sz="4" w:space="0" w:color="FFFFFF"/>
              <w:bottom w:val="single" w:sz="8" w:space="0" w:color="D2232A"/>
              <w:right w:val="single" w:sz="8" w:space="0" w:color="D2232A"/>
            </w:tcBorders>
            <w:shd w:val="clear" w:color="auto" w:fill="D2232A" w:themeFill="accent1"/>
            <w:noWrap/>
            <w:hideMark/>
          </w:tcPr>
          <w:p w14:paraId="06147F6B" w14:textId="77777777" w:rsidR="005A71E7" w:rsidRPr="00BB316B" w:rsidRDefault="005A71E7" w:rsidP="00480559">
            <w:pPr>
              <w:spacing w:after="0"/>
              <w:jc w:val="center"/>
              <w:rPr>
                <w:b/>
                <w:bCs/>
                <w:color w:val="FFFFFF" w:themeColor="background1"/>
                <w:sz w:val="20"/>
              </w:rPr>
            </w:pPr>
            <w:r w:rsidRPr="00BB316B">
              <w:rPr>
                <w:b/>
                <w:bCs/>
                <w:color w:val="FFFFFF" w:themeColor="background1"/>
                <w:sz w:val="20"/>
              </w:rPr>
              <w:t>Godišnje vrijednosti</w:t>
            </w:r>
          </w:p>
        </w:tc>
      </w:tr>
      <w:tr w:rsidR="005A71E7" w14:paraId="75F5E5AA" w14:textId="77777777" w:rsidTr="00480559">
        <w:trPr>
          <w:trHeight w:val="283"/>
          <w:tblHeader/>
        </w:trPr>
        <w:tc>
          <w:tcPr>
            <w:tcW w:w="851" w:type="dxa"/>
            <w:vMerge/>
            <w:tcBorders>
              <w:top w:val="single" w:sz="8" w:space="0" w:color="F3CFC1"/>
              <w:left w:val="single" w:sz="8" w:space="0" w:color="D2232A"/>
              <w:bottom w:val="single" w:sz="8" w:space="0" w:color="F3CFC1"/>
              <w:right w:val="single" w:sz="4" w:space="0" w:color="FFFFFF"/>
            </w:tcBorders>
            <w:shd w:val="clear" w:color="auto" w:fill="D2232A" w:themeFill="accent1"/>
            <w:vAlign w:val="center"/>
            <w:hideMark/>
          </w:tcPr>
          <w:p w14:paraId="60A67281" w14:textId="77777777" w:rsidR="005A71E7" w:rsidRPr="00BB316B" w:rsidRDefault="005A71E7" w:rsidP="00480559">
            <w:pPr>
              <w:spacing w:after="0"/>
              <w:jc w:val="center"/>
              <w:rPr>
                <w:b/>
                <w:bCs/>
                <w:color w:val="FFFFFF" w:themeColor="background1"/>
                <w:sz w:val="20"/>
                <w:lang w:val="en-GB"/>
              </w:rPr>
            </w:pPr>
          </w:p>
        </w:tc>
        <w:tc>
          <w:tcPr>
            <w:tcW w:w="1337" w:type="dxa"/>
            <w:tcBorders>
              <w:top w:val="single" w:sz="4" w:space="0" w:color="FFFFFF"/>
              <w:left w:val="single" w:sz="4" w:space="0" w:color="FFFFFF"/>
              <w:bottom w:val="single" w:sz="8" w:space="0" w:color="F3CFC1"/>
              <w:right w:val="single" w:sz="4" w:space="0" w:color="FFFFFF"/>
            </w:tcBorders>
            <w:shd w:val="clear" w:color="auto" w:fill="D2232A" w:themeFill="accent1"/>
            <w:hideMark/>
          </w:tcPr>
          <w:p w14:paraId="6C83A118" w14:textId="77777777" w:rsidR="005A71E7" w:rsidRPr="00BB316B" w:rsidRDefault="005A71E7" w:rsidP="00480559">
            <w:pPr>
              <w:spacing w:after="0"/>
              <w:jc w:val="center"/>
              <w:rPr>
                <w:b/>
                <w:bCs/>
                <w:color w:val="FFFFFF" w:themeColor="background1"/>
                <w:szCs w:val="18"/>
              </w:rPr>
            </w:pPr>
            <w:r w:rsidRPr="00BB316B">
              <w:rPr>
                <w:b/>
                <w:bCs/>
                <w:color w:val="FFFFFF" w:themeColor="background1"/>
                <w:szCs w:val="18"/>
              </w:rPr>
              <w:t>Temperatura zraka °C</w:t>
            </w:r>
          </w:p>
        </w:tc>
        <w:tc>
          <w:tcPr>
            <w:tcW w:w="1104" w:type="dxa"/>
            <w:tcBorders>
              <w:top w:val="single" w:sz="8" w:space="0" w:color="D2232A"/>
              <w:left w:val="single" w:sz="4" w:space="0" w:color="FFFFFF"/>
              <w:bottom w:val="single" w:sz="8" w:space="0" w:color="F3CFC1"/>
              <w:right w:val="single" w:sz="4" w:space="0" w:color="FFFFFF"/>
            </w:tcBorders>
            <w:shd w:val="clear" w:color="auto" w:fill="D2232A" w:themeFill="accent1"/>
            <w:noWrap/>
            <w:hideMark/>
          </w:tcPr>
          <w:p w14:paraId="10C7F495" w14:textId="77777777" w:rsidR="005A71E7" w:rsidRPr="00BB316B" w:rsidRDefault="005A71E7" w:rsidP="00480559">
            <w:pPr>
              <w:spacing w:after="0"/>
              <w:jc w:val="center"/>
              <w:rPr>
                <w:b/>
                <w:bCs/>
                <w:color w:val="FFFFFF" w:themeColor="background1"/>
                <w:szCs w:val="18"/>
              </w:rPr>
            </w:pPr>
            <w:r w:rsidRPr="00BB316B">
              <w:rPr>
                <w:b/>
                <w:bCs/>
                <w:color w:val="FFFFFF" w:themeColor="background1"/>
                <w:szCs w:val="18"/>
              </w:rPr>
              <w:t>Tlak zraka, hPa</w:t>
            </w:r>
          </w:p>
        </w:tc>
        <w:tc>
          <w:tcPr>
            <w:tcW w:w="1428" w:type="dxa"/>
            <w:tcBorders>
              <w:top w:val="single" w:sz="4" w:space="0" w:color="FFFFFF"/>
              <w:left w:val="single" w:sz="4" w:space="0" w:color="FFFFFF"/>
              <w:bottom w:val="single" w:sz="8" w:space="0" w:color="F3CFC1"/>
              <w:right w:val="single" w:sz="8" w:space="0" w:color="F3CFC1"/>
            </w:tcBorders>
            <w:shd w:val="clear" w:color="auto" w:fill="D2232A" w:themeFill="accent1"/>
            <w:hideMark/>
          </w:tcPr>
          <w:p w14:paraId="61FEAA1B" w14:textId="77777777" w:rsidR="005A71E7" w:rsidRPr="00BB316B" w:rsidRDefault="005A71E7" w:rsidP="00480559">
            <w:pPr>
              <w:spacing w:after="0"/>
              <w:jc w:val="center"/>
              <w:rPr>
                <w:b/>
                <w:bCs/>
                <w:color w:val="FFFFFF" w:themeColor="background1"/>
                <w:szCs w:val="18"/>
              </w:rPr>
            </w:pPr>
            <w:r w:rsidRPr="00BB316B">
              <w:rPr>
                <w:b/>
                <w:bCs/>
                <w:color w:val="FFFFFF" w:themeColor="background1"/>
                <w:szCs w:val="18"/>
              </w:rPr>
              <w:t>Relativna vlaga zraka, %</w:t>
            </w:r>
          </w:p>
        </w:tc>
        <w:tc>
          <w:tcPr>
            <w:tcW w:w="1473" w:type="dxa"/>
            <w:tcBorders>
              <w:top w:val="single" w:sz="4" w:space="0" w:color="FFFFFF"/>
              <w:left w:val="single" w:sz="8" w:space="0" w:color="F3CFC1"/>
              <w:bottom w:val="single" w:sz="8" w:space="0" w:color="F3CFC1"/>
              <w:right w:val="single" w:sz="4" w:space="0" w:color="FFFFFF"/>
            </w:tcBorders>
            <w:shd w:val="clear" w:color="auto" w:fill="D2232A" w:themeFill="accent1"/>
            <w:hideMark/>
          </w:tcPr>
          <w:p w14:paraId="01D0AD92" w14:textId="77777777" w:rsidR="005A71E7" w:rsidRPr="00BB316B" w:rsidRDefault="005A71E7" w:rsidP="00480559">
            <w:pPr>
              <w:spacing w:after="0"/>
              <w:jc w:val="center"/>
              <w:rPr>
                <w:b/>
                <w:bCs/>
                <w:color w:val="FFFFFF" w:themeColor="background1"/>
                <w:szCs w:val="18"/>
              </w:rPr>
            </w:pPr>
            <w:r w:rsidRPr="00BB316B">
              <w:rPr>
                <w:b/>
                <w:bCs/>
                <w:color w:val="FFFFFF" w:themeColor="background1"/>
                <w:szCs w:val="18"/>
              </w:rPr>
              <w:t>Količina oborina, mm</w:t>
            </w:r>
          </w:p>
        </w:tc>
        <w:tc>
          <w:tcPr>
            <w:tcW w:w="1588" w:type="dxa"/>
            <w:tcBorders>
              <w:top w:val="single" w:sz="8" w:space="0" w:color="D2232A"/>
              <w:left w:val="single" w:sz="4" w:space="0" w:color="FFFFFF"/>
              <w:bottom w:val="single" w:sz="8" w:space="0" w:color="F3CFC1"/>
              <w:right w:val="single" w:sz="4" w:space="0" w:color="FFFFFF"/>
            </w:tcBorders>
            <w:shd w:val="clear" w:color="auto" w:fill="D2232A" w:themeFill="accent1"/>
            <w:hideMark/>
          </w:tcPr>
          <w:p w14:paraId="3D9F72C3" w14:textId="77777777" w:rsidR="005A71E7" w:rsidRPr="00BB316B" w:rsidRDefault="005A71E7" w:rsidP="00480559">
            <w:pPr>
              <w:spacing w:after="0"/>
              <w:jc w:val="center"/>
              <w:rPr>
                <w:b/>
                <w:bCs/>
                <w:color w:val="FFFFFF" w:themeColor="background1"/>
                <w:szCs w:val="18"/>
              </w:rPr>
            </w:pPr>
            <w:r w:rsidRPr="00BB316B">
              <w:rPr>
                <w:b/>
                <w:bCs/>
                <w:color w:val="FFFFFF" w:themeColor="background1"/>
                <w:szCs w:val="18"/>
              </w:rPr>
              <w:t>Broj dana sa snježnim pokrivačem ≥ 1 cm</w:t>
            </w:r>
          </w:p>
        </w:tc>
        <w:tc>
          <w:tcPr>
            <w:tcW w:w="842" w:type="dxa"/>
            <w:tcBorders>
              <w:top w:val="single" w:sz="8" w:space="0" w:color="D2232A"/>
              <w:left w:val="single" w:sz="4" w:space="0" w:color="FFFFFF"/>
              <w:bottom w:val="single" w:sz="8" w:space="0" w:color="F3CFC1"/>
              <w:right w:val="single" w:sz="4" w:space="0" w:color="FFFFFF"/>
            </w:tcBorders>
            <w:shd w:val="clear" w:color="auto" w:fill="D2232A" w:themeFill="accent1"/>
            <w:noWrap/>
            <w:hideMark/>
          </w:tcPr>
          <w:p w14:paraId="29026994" w14:textId="77777777" w:rsidR="005A71E7" w:rsidRPr="00BB316B" w:rsidRDefault="005A71E7" w:rsidP="00480559">
            <w:pPr>
              <w:spacing w:after="0"/>
              <w:jc w:val="center"/>
              <w:rPr>
                <w:b/>
                <w:bCs/>
                <w:color w:val="FFFFFF" w:themeColor="background1"/>
                <w:szCs w:val="18"/>
              </w:rPr>
            </w:pPr>
            <w:r w:rsidRPr="00BB316B">
              <w:rPr>
                <w:b/>
                <w:bCs/>
                <w:color w:val="FFFFFF" w:themeColor="background1"/>
                <w:szCs w:val="18"/>
              </w:rPr>
              <w:t>Vedri dani</w:t>
            </w:r>
          </w:p>
        </w:tc>
        <w:tc>
          <w:tcPr>
            <w:tcW w:w="1109" w:type="dxa"/>
            <w:tcBorders>
              <w:top w:val="single" w:sz="8" w:space="0" w:color="D2232A"/>
              <w:left w:val="single" w:sz="4" w:space="0" w:color="FFFFFF"/>
              <w:bottom w:val="single" w:sz="8" w:space="0" w:color="F3CFC1"/>
              <w:right w:val="single" w:sz="8" w:space="0" w:color="D2232A"/>
            </w:tcBorders>
            <w:shd w:val="clear" w:color="auto" w:fill="D2232A" w:themeFill="accent1"/>
            <w:noWrap/>
            <w:hideMark/>
          </w:tcPr>
          <w:p w14:paraId="5C9908DD" w14:textId="77777777" w:rsidR="005A71E7" w:rsidRPr="00BB316B" w:rsidRDefault="005A71E7" w:rsidP="00480559">
            <w:pPr>
              <w:spacing w:after="0"/>
              <w:jc w:val="center"/>
              <w:rPr>
                <w:b/>
                <w:bCs/>
                <w:color w:val="FFFFFF" w:themeColor="background1"/>
                <w:szCs w:val="18"/>
              </w:rPr>
            </w:pPr>
            <w:r w:rsidRPr="00BB316B">
              <w:rPr>
                <w:b/>
                <w:bCs/>
                <w:color w:val="FFFFFF" w:themeColor="background1"/>
                <w:szCs w:val="18"/>
              </w:rPr>
              <w:t>Oblačni dani</w:t>
            </w:r>
          </w:p>
        </w:tc>
      </w:tr>
      <w:tr w:rsidR="005A71E7" w14:paraId="76407F81" w14:textId="77777777" w:rsidTr="00480559">
        <w:trPr>
          <w:trHeight w:val="283"/>
        </w:trPr>
        <w:tc>
          <w:tcPr>
            <w:tcW w:w="851" w:type="dxa"/>
            <w:tcBorders>
              <w:top w:val="single" w:sz="8" w:space="0" w:color="F3CFC1"/>
              <w:left w:val="single" w:sz="8" w:space="0" w:color="D2232A"/>
              <w:bottom w:val="single" w:sz="8" w:space="0" w:color="F3CFC1"/>
            </w:tcBorders>
            <w:noWrap/>
            <w:hideMark/>
          </w:tcPr>
          <w:p w14:paraId="7578B3B9" w14:textId="77777777" w:rsidR="005A71E7" w:rsidRDefault="005A71E7" w:rsidP="00480559">
            <w:pPr>
              <w:spacing w:after="0"/>
              <w:jc w:val="center"/>
              <w:rPr>
                <w:b/>
                <w:bCs/>
                <w:sz w:val="20"/>
              </w:rPr>
            </w:pPr>
            <w:r>
              <w:rPr>
                <w:b/>
                <w:bCs/>
                <w:sz w:val="20"/>
              </w:rPr>
              <w:t>2010.</w:t>
            </w:r>
          </w:p>
        </w:tc>
        <w:tc>
          <w:tcPr>
            <w:tcW w:w="1337" w:type="dxa"/>
            <w:tcBorders>
              <w:top w:val="single" w:sz="8" w:space="0" w:color="F3CFC1"/>
              <w:bottom w:val="single" w:sz="8" w:space="0" w:color="F3CFC1"/>
            </w:tcBorders>
            <w:noWrap/>
            <w:hideMark/>
          </w:tcPr>
          <w:p w14:paraId="3293C1E9" w14:textId="77777777" w:rsidR="005A71E7" w:rsidRPr="00C836A0" w:rsidRDefault="005A71E7" w:rsidP="00480559">
            <w:pPr>
              <w:spacing w:after="0"/>
              <w:jc w:val="center"/>
              <w:rPr>
                <w:sz w:val="20"/>
              </w:rPr>
            </w:pPr>
            <w:r w:rsidRPr="00C836A0">
              <w:rPr>
                <w:sz w:val="20"/>
              </w:rPr>
              <w:t>11,3</w:t>
            </w:r>
          </w:p>
        </w:tc>
        <w:tc>
          <w:tcPr>
            <w:tcW w:w="1104" w:type="dxa"/>
            <w:tcBorders>
              <w:top w:val="single" w:sz="8" w:space="0" w:color="F3CFC1"/>
              <w:bottom w:val="single" w:sz="8" w:space="0" w:color="F3CFC1"/>
            </w:tcBorders>
            <w:noWrap/>
            <w:hideMark/>
          </w:tcPr>
          <w:p w14:paraId="6982CB4D" w14:textId="77777777" w:rsidR="005A71E7" w:rsidRPr="00C836A0" w:rsidRDefault="005A71E7" w:rsidP="00480559">
            <w:pPr>
              <w:spacing w:after="0"/>
              <w:jc w:val="center"/>
              <w:rPr>
                <w:sz w:val="20"/>
              </w:rPr>
            </w:pPr>
            <w:r w:rsidRPr="00C836A0">
              <w:rPr>
                <w:sz w:val="20"/>
              </w:rPr>
              <w:t>998,7</w:t>
            </w:r>
          </w:p>
        </w:tc>
        <w:tc>
          <w:tcPr>
            <w:tcW w:w="1428" w:type="dxa"/>
            <w:tcBorders>
              <w:top w:val="single" w:sz="8" w:space="0" w:color="F3CFC1"/>
              <w:bottom w:val="single" w:sz="8" w:space="0" w:color="F3CFC1"/>
              <w:right w:val="single" w:sz="8" w:space="0" w:color="D2232A"/>
            </w:tcBorders>
            <w:noWrap/>
            <w:hideMark/>
          </w:tcPr>
          <w:p w14:paraId="59BE49FF" w14:textId="77777777" w:rsidR="005A71E7" w:rsidRPr="00C836A0" w:rsidRDefault="005A71E7" w:rsidP="00480559">
            <w:pPr>
              <w:spacing w:after="0"/>
              <w:jc w:val="center"/>
              <w:rPr>
                <w:sz w:val="20"/>
              </w:rPr>
            </w:pPr>
            <w:r w:rsidRPr="00C836A0">
              <w:rPr>
                <w:sz w:val="20"/>
              </w:rPr>
              <w:t>75</w:t>
            </w:r>
          </w:p>
        </w:tc>
        <w:tc>
          <w:tcPr>
            <w:tcW w:w="1473" w:type="dxa"/>
            <w:tcBorders>
              <w:top w:val="single" w:sz="8" w:space="0" w:color="F3CFC1"/>
              <w:left w:val="single" w:sz="8" w:space="0" w:color="D2232A"/>
              <w:bottom w:val="single" w:sz="8" w:space="0" w:color="F3CFC1"/>
            </w:tcBorders>
            <w:noWrap/>
            <w:hideMark/>
          </w:tcPr>
          <w:p w14:paraId="7429B398" w14:textId="77777777" w:rsidR="005A71E7" w:rsidRPr="00C836A0" w:rsidRDefault="005A71E7" w:rsidP="00480559">
            <w:pPr>
              <w:spacing w:after="0"/>
              <w:jc w:val="center"/>
              <w:rPr>
                <w:sz w:val="20"/>
              </w:rPr>
            </w:pPr>
            <w:r w:rsidRPr="00C836A0">
              <w:rPr>
                <w:sz w:val="20"/>
              </w:rPr>
              <w:t>1059,9</w:t>
            </w:r>
          </w:p>
        </w:tc>
        <w:tc>
          <w:tcPr>
            <w:tcW w:w="1588" w:type="dxa"/>
            <w:tcBorders>
              <w:top w:val="single" w:sz="8" w:space="0" w:color="F3CFC1"/>
              <w:bottom w:val="single" w:sz="8" w:space="0" w:color="F3CFC1"/>
            </w:tcBorders>
            <w:noWrap/>
            <w:hideMark/>
          </w:tcPr>
          <w:p w14:paraId="7EDBC700" w14:textId="77777777" w:rsidR="005A71E7" w:rsidRPr="00C836A0" w:rsidRDefault="005A71E7" w:rsidP="00480559">
            <w:pPr>
              <w:spacing w:after="0"/>
              <w:jc w:val="center"/>
              <w:rPr>
                <w:sz w:val="20"/>
              </w:rPr>
            </w:pPr>
            <w:r w:rsidRPr="00C836A0">
              <w:rPr>
                <w:sz w:val="20"/>
              </w:rPr>
              <w:t>49</w:t>
            </w:r>
          </w:p>
        </w:tc>
        <w:tc>
          <w:tcPr>
            <w:tcW w:w="842" w:type="dxa"/>
            <w:tcBorders>
              <w:top w:val="single" w:sz="8" w:space="0" w:color="F3CFC1"/>
              <w:bottom w:val="single" w:sz="8" w:space="0" w:color="F3CFC1"/>
            </w:tcBorders>
            <w:noWrap/>
            <w:hideMark/>
          </w:tcPr>
          <w:p w14:paraId="506E43B5" w14:textId="77777777" w:rsidR="005A71E7" w:rsidRPr="00C836A0" w:rsidRDefault="005A71E7" w:rsidP="00480559">
            <w:pPr>
              <w:spacing w:after="0"/>
              <w:jc w:val="center"/>
              <w:rPr>
                <w:sz w:val="20"/>
              </w:rPr>
            </w:pPr>
            <w:r w:rsidRPr="00C836A0">
              <w:rPr>
                <w:sz w:val="20"/>
              </w:rPr>
              <w:t>32</w:t>
            </w:r>
          </w:p>
        </w:tc>
        <w:tc>
          <w:tcPr>
            <w:tcW w:w="1109" w:type="dxa"/>
            <w:tcBorders>
              <w:top w:val="single" w:sz="8" w:space="0" w:color="F3CFC1"/>
              <w:bottom w:val="single" w:sz="8" w:space="0" w:color="F3CFC1"/>
              <w:right w:val="single" w:sz="8" w:space="0" w:color="D2232A"/>
            </w:tcBorders>
            <w:noWrap/>
            <w:hideMark/>
          </w:tcPr>
          <w:p w14:paraId="31286892" w14:textId="77777777" w:rsidR="005A71E7" w:rsidRPr="00C836A0" w:rsidRDefault="005A71E7" w:rsidP="00480559">
            <w:pPr>
              <w:spacing w:after="0"/>
              <w:jc w:val="center"/>
              <w:rPr>
                <w:sz w:val="20"/>
              </w:rPr>
            </w:pPr>
            <w:r w:rsidRPr="00C836A0">
              <w:rPr>
                <w:sz w:val="20"/>
              </w:rPr>
              <w:t>149</w:t>
            </w:r>
          </w:p>
        </w:tc>
      </w:tr>
      <w:tr w:rsidR="005A71E7" w14:paraId="182B9012" w14:textId="77777777" w:rsidTr="00480559">
        <w:trPr>
          <w:trHeight w:val="283"/>
        </w:trPr>
        <w:tc>
          <w:tcPr>
            <w:tcW w:w="851" w:type="dxa"/>
            <w:tcBorders>
              <w:top w:val="single" w:sz="8" w:space="0" w:color="F3CFC1"/>
              <w:left w:val="single" w:sz="8" w:space="0" w:color="D2232A"/>
              <w:bottom w:val="single" w:sz="8" w:space="0" w:color="F3CFC1"/>
            </w:tcBorders>
            <w:noWrap/>
            <w:hideMark/>
          </w:tcPr>
          <w:p w14:paraId="2368693B" w14:textId="77777777" w:rsidR="005A71E7" w:rsidRDefault="005A71E7" w:rsidP="00480559">
            <w:pPr>
              <w:spacing w:after="0"/>
              <w:jc w:val="center"/>
              <w:rPr>
                <w:b/>
                <w:bCs/>
                <w:sz w:val="20"/>
              </w:rPr>
            </w:pPr>
            <w:r>
              <w:rPr>
                <w:b/>
                <w:bCs/>
                <w:sz w:val="20"/>
              </w:rPr>
              <w:t>2011.</w:t>
            </w:r>
          </w:p>
        </w:tc>
        <w:tc>
          <w:tcPr>
            <w:tcW w:w="1337" w:type="dxa"/>
            <w:tcBorders>
              <w:top w:val="single" w:sz="8" w:space="0" w:color="F3CFC1"/>
              <w:bottom w:val="single" w:sz="8" w:space="0" w:color="F3CFC1"/>
            </w:tcBorders>
            <w:noWrap/>
            <w:hideMark/>
          </w:tcPr>
          <w:p w14:paraId="7799CF87" w14:textId="77777777" w:rsidR="005A71E7" w:rsidRPr="00C836A0" w:rsidRDefault="005A71E7" w:rsidP="00480559">
            <w:pPr>
              <w:spacing w:after="0"/>
              <w:jc w:val="center"/>
              <w:rPr>
                <w:sz w:val="20"/>
              </w:rPr>
            </w:pPr>
            <w:r w:rsidRPr="00C836A0">
              <w:rPr>
                <w:sz w:val="20"/>
              </w:rPr>
              <w:t>12,1</w:t>
            </w:r>
          </w:p>
        </w:tc>
        <w:tc>
          <w:tcPr>
            <w:tcW w:w="1104" w:type="dxa"/>
            <w:tcBorders>
              <w:top w:val="single" w:sz="8" w:space="0" w:color="F3CFC1"/>
              <w:bottom w:val="single" w:sz="8" w:space="0" w:color="F3CFC1"/>
            </w:tcBorders>
            <w:noWrap/>
            <w:hideMark/>
          </w:tcPr>
          <w:p w14:paraId="62BB58BD" w14:textId="77777777" w:rsidR="005A71E7" w:rsidRPr="00C836A0" w:rsidRDefault="005A71E7" w:rsidP="00480559">
            <w:pPr>
              <w:spacing w:after="0"/>
              <w:jc w:val="center"/>
              <w:rPr>
                <w:sz w:val="20"/>
              </w:rPr>
            </w:pPr>
            <w:r w:rsidRPr="00C836A0">
              <w:rPr>
                <w:sz w:val="20"/>
              </w:rPr>
              <w:t>1003,5</w:t>
            </w:r>
          </w:p>
        </w:tc>
        <w:tc>
          <w:tcPr>
            <w:tcW w:w="1428" w:type="dxa"/>
            <w:tcBorders>
              <w:top w:val="single" w:sz="8" w:space="0" w:color="F3CFC1"/>
              <w:bottom w:val="single" w:sz="8" w:space="0" w:color="F3CFC1"/>
              <w:right w:val="single" w:sz="8" w:space="0" w:color="D2232A"/>
            </w:tcBorders>
            <w:noWrap/>
            <w:hideMark/>
          </w:tcPr>
          <w:p w14:paraId="48483DAD" w14:textId="77777777" w:rsidR="005A71E7" w:rsidRPr="00C836A0" w:rsidRDefault="005A71E7" w:rsidP="00480559">
            <w:pPr>
              <w:spacing w:after="0"/>
              <w:jc w:val="center"/>
              <w:rPr>
                <w:sz w:val="20"/>
              </w:rPr>
            </w:pPr>
            <w:r w:rsidRPr="00C836A0">
              <w:rPr>
                <w:sz w:val="20"/>
              </w:rPr>
              <w:t>71</w:t>
            </w:r>
          </w:p>
        </w:tc>
        <w:tc>
          <w:tcPr>
            <w:tcW w:w="1473" w:type="dxa"/>
            <w:tcBorders>
              <w:top w:val="single" w:sz="8" w:space="0" w:color="F3CFC1"/>
              <w:left w:val="single" w:sz="8" w:space="0" w:color="D2232A"/>
              <w:bottom w:val="single" w:sz="8" w:space="0" w:color="F3CFC1"/>
            </w:tcBorders>
            <w:noWrap/>
            <w:hideMark/>
          </w:tcPr>
          <w:p w14:paraId="1672E8B9" w14:textId="77777777" w:rsidR="005A71E7" w:rsidRPr="00C836A0" w:rsidRDefault="005A71E7" w:rsidP="00480559">
            <w:pPr>
              <w:spacing w:after="0"/>
              <w:jc w:val="center"/>
              <w:rPr>
                <w:sz w:val="20"/>
              </w:rPr>
            </w:pPr>
            <w:r w:rsidRPr="00C836A0">
              <w:rPr>
                <w:sz w:val="20"/>
              </w:rPr>
              <w:t>517</w:t>
            </w:r>
          </w:p>
        </w:tc>
        <w:tc>
          <w:tcPr>
            <w:tcW w:w="1588" w:type="dxa"/>
            <w:tcBorders>
              <w:top w:val="single" w:sz="8" w:space="0" w:color="F3CFC1"/>
              <w:bottom w:val="single" w:sz="8" w:space="0" w:color="F3CFC1"/>
            </w:tcBorders>
            <w:noWrap/>
            <w:hideMark/>
          </w:tcPr>
          <w:p w14:paraId="5156B0A3" w14:textId="77777777" w:rsidR="005A71E7" w:rsidRPr="00C836A0" w:rsidRDefault="005A71E7" w:rsidP="00480559">
            <w:pPr>
              <w:spacing w:after="0"/>
              <w:jc w:val="center"/>
              <w:rPr>
                <w:sz w:val="20"/>
              </w:rPr>
            </w:pPr>
            <w:r w:rsidRPr="00C836A0">
              <w:rPr>
                <w:sz w:val="20"/>
              </w:rPr>
              <w:t>9</w:t>
            </w:r>
          </w:p>
        </w:tc>
        <w:tc>
          <w:tcPr>
            <w:tcW w:w="842" w:type="dxa"/>
            <w:tcBorders>
              <w:top w:val="single" w:sz="8" w:space="0" w:color="F3CFC1"/>
              <w:bottom w:val="single" w:sz="8" w:space="0" w:color="F3CFC1"/>
            </w:tcBorders>
            <w:noWrap/>
            <w:hideMark/>
          </w:tcPr>
          <w:p w14:paraId="05C3363C" w14:textId="77777777" w:rsidR="005A71E7" w:rsidRPr="00C836A0" w:rsidRDefault="005A71E7" w:rsidP="00480559">
            <w:pPr>
              <w:spacing w:after="0"/>
              <w:jc w:val="center"/>
              <w:rPr>
                <w:sz w:val="20"/>
              </w:rPr>
            </w:pPr>
            <w:r w:rsidRPr="00C836A0">
              <w:rPr>
                <w:sz w:val="20"/>
              </w:rPr>
              <w:t>68</w:t>
            </w:r>
          </w:p>
        </w:tc>
        <w:tc>
          <w:tcPr>
            <w:tcW w:w="1109" w:type="dxa"/>
            <w:tcBorders>
              <w:top w:val="single" w:sz="8" w:space="0" w:color="F3CFC1"/>
              <w:bottom w:val="single" w:sz="8" w:space="0" w:color="F3CFC1"/>
              <w:right w:val="single" w:sz="8" w:space="0" w:color="D2232A"/>
            </w:tcBorders>
            <w:noWrap/>
            <w:hideMark/>
          </w:tcPr>
          <w:p w14:paraId="2D04472F" w14:textId="77777777" w:rsidR="005A71E7" w:rsidRPr="00C836A0" w:rsidRDefault="005A71E7" w:rsidP="00480559">
            <w:pPr>
              <w:spacing w:after="0"/>
              <w:jc w:val="center"/>
              <w:rPr>
                <w:sz w:val="20"/>
              </w:rPr>
            </w:pPr>
            <w:r w:rsidRPr="00C836A0">
              <w:rPr>
                <w:sz w:val="20"/>
              </w:rPr>
              <w:t>112</w:t>
            </w:r>
          </w:p>
        </w:tc>
      </w:tr>
      <w:tr w:rsidR="005A71E7" w14:paraId="09CF62A0" w14:textId="77777777" w:rsidTr="00480559">
        <w:trPr>
          <w:trHeight w:val="283"/>
        </w:trPr>
        <w:tc>
          <w:tcPr>
            <w:tcW w:w="851" w:type="dxa"/>
            <w:tcBorders>
              <w:top w:val="single" w:sz="8" w:space="0" w:color="F3CFC1"/>
              <w:left w:val="single" w:sz="8" w:space="0" w:color="D2232A"/>
              <w:bottom w:val="single" w:sz="8" w:space="0" w:color="F3CFC1"/>
            </w:tcBorders>
            <w:noWrap/>
            <w:hideMark/>
          </w:tcPr>
          <w:p w14:paraId="5A42CCA4" w14:textId="77777777" w:rsidR="005A71E7" w:rsidRDefault="005A71E7" w:rsidP="00480559">
            <w:pPr>
              <w:spacing w:after="0"/>
              <w:jc w:val="center"/>
              <w:rPr>
                <w:b/>
                <w:bCs/>
                <w:sz w:val="20"/>
              </w:rPr>
            </w:pPr>
            <w:r>
              <w:rPr>
                <w:b/>
                <w:bCs/>
                <w:sz w:val="20"/>
              </w:rPr>
              <w:t>2012.</w:t>
            </w:r>
          </w:p>
        </w:tc>
        <w:tc>
          <w:tcPr>
            <w:tcW w:w="1337" w:type="dxa"/>
            <w:tcBorders>
              <w:top w:val="single" w:sz="8" w:space="0" w:color="F3CFC1"/>
              <w:bottom w:val="single" w:sz="8" w:space="0" w:color="F3CFC1"/>
            </w:tcBorders>
            <w:noWrap/>
            <w:hideMark/>
          </w:tcPr>
          <w:p w14:paraId="4FB1A211" w14:textId="77777777" w:rsidR="005A71E7" w:rsidRPr="00C836A0" w:rsidRDefault="005A71E7" w:rsidP="00480559">
            <w:pPr>
              <w:spacing w:after="0"/>
              <w:jc w:val="center"/>
              <w:rPr>
                <w:sz w:val="20"/>
              </w:rPr>
            </w:pPr>
            <w:r w:rsidRPr="00C836A0">
              <w:rPr>
                <w:sz w:val="20"/>
              </w:rPr>
              <w:t>12,5</w:t>
            </w:r>
          </w:p>
        </w:tc>
        <w:tc>
          <w:tcPr>
            <w:tcW w:w="1104" w:type="dxa"/>
            <w:tcBorders>
              <w:top w:val="single" w:sz="8" w:space="0" w:color="F3CFC1"/>
              <w:bottom w:val="single" w:sz="8" w:space="0" w:color="F3CFC1"/>
            </w:tcBorders>
            <w:noWrap/>
            <w:hideMark/>
          </w:tcPr>
          <w:p w14:paraId="6CA354FE" w14:textId="77777777" w:rsidR="005A71E7" w:rsidRPr="00C836A0" w:rsidRDefault="005A71E7" w:rsidP="00480559">
            <w:pPr>
              <w:spacing w:after="0"/>
              <w:jc w:val="center"/>
              <w:rPr>
                <w:sz w:val="20"/>
              </w:rPr>
            </w:pPr>
            <w:r w:rsidRPr="00C836A0">
              <w:rPr>
                <w:sz w:val="20"/>
              </w:rPr>
              <w:t>1001,6</w:t>
            </w:r>
          </w:p>
        </w:tc>
        <w:tc>
          <w:tcPr>
            <w:tcW w:w="1428" w:type="dxa"/>
            <w:tcBorders>
              <w:top w:val="single" w:sz="8" w:space="0" w:color="F3CFC1"/>
              <w:bottom w:val="single" w:sz="8" w:space="0" w:color="F3CFC1"/>
              <w:right w:val="single" w:sz="8" w:space="0" w:color="D2232A"/>
            </w:tcBorders>
            <w:noWrap/>
            <w:hideMark/>
          </w:tcPr>
          <w:p w14:paraId="510086EA" w14:textId="77777777" w:rsidR="005A71E7" w:rsidRPr="00C836A0" w:rsidRDefault="005A71E7" w:rsidP="00480559">
            <w:pPr>
              <w:spacing w:after="0"/>
              <w:jc w:val="center"/>
              <w:rPr>
                <w:sz w:val="20"/>
              </w:rPr>
            </w:pPr>
            <w:r w:rsidRPr="00C836A0">
              <w:rPr>
                <w:sz w:val="20"/>
              </w:rPr>
              <w:t>68</w:t>
            </w:r>
          </w:p>
        </w:tc>
        <w:tc>
          <w:tcPr>
            <w:tcW w:w="1473" w:type="dxa"/>
            <w:tcBorders>
              <w:top w:val="single" w:sz="8" w:space="0" w:color="F3CFC1"/>
              <w:left w:val="single" w:sz="8" w:space="0" w:color="D2232A"/>
              <w:bottom w:val="single" w:sz="8" w:space="0" w:color="F3CFC1"/>
            </w:tcBorders>
            <w:noWrap/>
            <w:hideMark/>
          </w:tcPr>
          <w:p w14:paraId="1C44958D" w14:textId="77777777" w:rsidR="005A71E7" w:rsidRPr="00C836A0" w:rsidRDefault="005A71E7" w:rsidP="00480559">
            <w:pPr>
              <w:spacing w:after="0"/>
              <w:jc w:val="center"/>
              <w:rPr>
                <w:sz w:val="20"/>
              </w:rPr>
            </w:pPr>
            <w:r w:rsidRPr="00C836A0">
              <w:rPr>
                <w:sz w:val="20"/>
              </w:rPr>
              <w:t>7611</w:t>
            </w:r>
          </w:p>
        </w:tc>
        <w:tc>
          <w:tcPr>
            <w:tcW w:w="1588" w:type="dxa"/>
            <w:tcBorders>
              <w:top w:val="single" w:sz="8" w:space="0" w:color="F3CFC1"/>
              <w:bottom w:val="single" w:sz="8" w:space="0" w:color="F3CFC1"/>
            </w:tcBorders>
            <w:noWrap/>
            <w:hideMark/>
          </w:tcPr>
          <w:p w14:paraId="0E2A1433" w14:textId="77777777" w:rsidR="005A71E7" w:rsidRPr="00C836A0" w:rsidRDefault="005A71E7" w:rsidP="00480559">
            <w:pPr>
              <w:spacing w:after="0"/>
              <w:jc w:val="center"/>
              <w:rPr>
                <w:sz w:val="20"/>
              </w:rPr>
            </w:pPr>
            <w:r w:rsidRPr="00C836A0">
              <w:rPr>
                <w:sz w:val="20"/>
              </w:rPr>
              <w:t>31</w:t>
            </w:r>
          </w:p>
        </w:tc>
        <w:tc>
          <w:tcPr>
            <w:tcW w:w="842" w:type="dxa"/>
            <w:tcBorders>
              <w:top w:val="single" w:sz="8" w:space="0" w:color="F3CFC1"/>
              <w:bottom w:val="single" w:sz="8" w:space="0" w:color="F3CFC1"/>
            </w:tcBorders>
            <w:noWrap/>
            <w:hideMark/>
          </w:tcPr>
          <w:p w14:paraId="7F55910F" w14:textId="77777777" w:rsidR="005A71E7" w:rsidRPr="00C836A0" w:rsidRDefault="005A71E7" w:rsidP="00480559">
            <w:pPr>
              <w:spacing w:after="0"/>
              <w:jc w:val="center"/>
              <w:rPr>
                <w:sz w:val="20"/>
              </w:rPr>
            </w:pPr>
            <w:r w:rsidRPr="00C836A0">
              <w:rPr>
                <w:sz w:val="20"/>
              </w:rPr>
              <w:t>64</w:t>
            </w:r>
          </w:p>
        </w:tc>
        <w:tc>
          <w:tcPr>
            <w:tcW w:w="1109" w:type="dxa"/>
            <w:tcBorders>
              <w:top w:val="single" w:sz="8" w:space="0" w:color="F3CFC1"/>
              <w:bottom w:val="single" w:sz="8" w:space="0" w:color="F3CFC1"/>
              <w:right w:val="single" w:sz="8" w:space="0" w:color="D2232A"/>
            </w:tcBorders>
            <w:noWrap/>
            <w:hideMark/>
          </w:tcPr>
          <w:p w14:paraId="10AAF6EB" w14:textId="77777777" w:rsidR="005A71E7" w:rsidRPr="00C836A0" w:rsidRDefault="005A71E7" w:rsidP="00480559">
            <w:pPr>
              <w:spacing w:after="0"/>
              <w:jc w:val="center"/>
              <w:rPr>
                <w:sz w:val="20"/>
              </w:rPr>
            </w:pPr>
            <w:r w:rsidRPr="00C836A0">
              <w:rPr>
                <w:sz w:val="20"/>
              </w:rPr>
              <w:t>97</w:t>
            </w:r>
          </w:p>
        </w:tc>
      </w:tr>
      <w:tr w:rsidR="005A71E7" w14:paraId="27A5161D" w14:textId="77777777" w:rsidTr="00480559">
        <w:trPr>
          <w:trHeight w:val="283"/>
        </w:trPr>
        <w:tc>
          <w:tcPr>
            <w:tcW w:w="851" w:type="dxa"/>
            <w:tcBorders>
              <w:top w:val="single" w:sz="8" w:space="0" w:color="F3CFC1"/>
              <w:left w:val="single" w:sz="8" w:space="0" w:color="D2232A"/>
              <w:bottom w:val="single" w:sz="8" w:space="0" w:color="F3CFC1"/>
            </w:tcBorders>
            <w:noWrap/>
            <w:hideMark/>
          </w:tcPr>
          <w:p w14:paraId="74075203" w14:textId="77777777" w:rsidR="005A71E7" w:rsidRDefault="005A71E7" w:rsidP="00480559">
            <w:pPr>
              <w:spacing w:after="0"/>
              <w:jc w:val="center"/>
              <w:rPr>
                <w:b/>
                <w:bCs/>
                <w:sz w:val="20"/>
              </w:rPr>
            </w:pPr>
            <w:r>
              <w:rPr>
                <w:b/>
                <w:bCs/>
                <w:sz w:val="20"/>
              </w:rPr>
              <w:t>2013.</w:t>
            </w:r>
          </w:p>
        </w:tc>
        <w:tc>
          <w:tcPr>
            <w:tcW w:w="1337" w:type="dxa"/>
            <w:tcBorders>
              <w:top w:val="single" w:sz="8" w:space="0" w:color="F3CFC1"/>
              <w:bottom w:val="single" w:sz="8" w:space="0" w:color="F3CFC1"/>
            </w:tcBorders>
            <w:noWrap/>
            <w:hideMark/>
          </w:tcPr>
          <w:p w14:paraId="57E23EA4" w14:textId="77777777" w:rsidR="005A71E7" w:rsidRPr="00C836A0" w:rsidRDefault="005A71E7" w:rsidP="00480559">
            <w:pPr>
              <w:spacing w:after="0"/>
              <w:jc w:val="center"/>
              <w:rPr>
                <w:sz w:val="20"/>
              </w:rPr>
            </w:pPr>
            <w:r w:rsidRPr="00C836A0">
              <w:rPr>
                <w:sz w:val="20"/>
              </w:rPr>
              <w:t>11,9</w:t>
            </w:r>
          </w:p>
        </w:tc>
        <w:tc>
          <w:tcPr>
            <w:tcW w:w="1104" w:type="dxa"/>
            <w:tcBorders>
              <w:top w:val="single" w:sz="8" w:space="0" w:color="F3CFC1"/>
              <w:bottom w:val="single" w:sz="8" w:space="0" w:color="F3CFC1"/>
            </w:tcBorders>
            <w:noWrap/>
            <w:hideMark/>
          </w:tcPr>
          <w:p w14:paraId="1D89F5AB" w14:textId="77777777" w:rsidR="005A71E7" w:rsidRPr="00C836A0" w:rsidRDefault="005A71E7" w:rsidP="00480559">
            <w:pPr>
              <w:spacing w:after="0"/>
              <w:jc w:val="center"/>
              <w:rPr>
                <w:sz w:val="20"/>
              </w:rPr>
            </w:pPr>
            <w:r w:rsidRPr="00C836A0">
              <w:rPr>
                <w:sz w:val="20"/>
              </w:rPr>
              <w:t>1000,7</w:t>
            </w:r>
          </w:p>
        </w:tc>
        <w:tc>
          <w:tcPr>
            <w:tcW w:w="1428" w:type="dxa"/>
            <w:tcBorders>
              <w:top w:val="single" w:sz="8" w:space="0" w:color="F3CFC1"/>
              <w:bottom w:val="single" w:sz="8" w:space="0" w:color="F3CFC1"/>
              <w:right w:val="single" w:sz="8" w:space="0" w:color="D2232A"/>
            </w:tcBorders>
            <w:noWrap/>
            <w:hideMark/>
          </w:tcPr>
          <w:p w14:paraId="50A25DAA" w14:textId="77777777" w:rsidR="005A71E7" w:rsidRPr="00C836A0" w:rsidRDefault="005A71E7" w:rsidP="00480559">
            <w:pPr>
              <w:spacing w:after="0"/>
              <w:jc w:val="center"/>
              <w:rPr>
                <w:sz w:val="20"/>
              </w:rPr>
            </w:pPr>
            <w:r w:rsidRPr="00C836A0">
              <w:rPr>
                <w:sz w:val="20"/>
              </w:rPr>
              <w:t>74</w:t>
            </w:r>
          </w:p>
        </w:tc>
        <w:tc>
          <w:tcPr>
            <w:tcW w:w="1473" w:type="dxa"/>
            <w:tcBorders>
              <w:top w:val="single" w:sz="8" w:space="0" w:color="F3CFC1"/>
              <w:left w:val="single" w:sz="8" w:space="0" w:color="D2232A"/>
              <w:bottom w:val="single" w:sz="8" w:space="0" w:color="F3CFC1"/>
            </w:tcBorders>
            <w:noWrap/>
            <w:hideMark/>
          </w:tcPr>
          <w:p w14:paraId="7FF0139A" w14:textId="77777777" w:rsidR="005A71E7" w:rsidRPr="00C836A0" w:rsidRDefault="005A71E7" w:rsidP="00480559">
            <w:pPr>
              <w:spacing w:after="0"/>
              <w:jc w:val="center"/>
              <w:rPr>
                <w:sz w:val="20"/>
              </w:rPr>
            </w:pPr>
            <w:r w:rsidRPr="00C836A0">
              <w:rPr>
                <w:sz w:val="20"/>
              </w:rPr>
              <w:t>1052,7</w:t>
            </w:r>
          </w:p>
        </w:tc>
        <w:tc>
          <w:tcPr>
            <w:tcW w:w="1588" w:type="dxa"/>
            <w:tcBorders>
              <w:top w:val="single" w:sz="8" w:space="0" w:color="F3CFC1"/>
              <w:bottom w:val="single" w:sz="8" w:space="0" w:color="F3CFC1"/>
            </w:tcBorders>
            <w:noWrap/>
            <w:hideMark/>
          </w:tcPr>
          <w:p w14:paraId="382CFAC6" w14:textId="77777777" w:rsidR="005A71E7" w:rsidRPr="00C836A0" w:rsidRDefault="005A71E7" w:rsidP="00480559">
            <w:pPr>
              <w:spacing w:after="0"/>
              <w:jc w:val="center"/>
              <w:rPr>
                <w:sz w:val="20"/>
              </w:rPr>
            </w:pPr>
            <w:r w:rsidRPr="00C836A0">
              <w:rPr>
                <w:sz w:val="20"/>
              </w:rPr>
              <w:t>38</w:t>
            </w:r>
          </w:p>
        </w:tc>
        <w:tc>
          <w:tcPr>
            <w:tcW w:w="842" w:type="dxa"/>
            <w:tcBorders>
              <w:top w:val="single" w:sz="8" w:space="0" w:color="F3CFC1"/>
              <w:bottom w:val="single" w:sz="8" w:space="0" w:color="F3CFC1"/>
            </w:tcBorders>
            <w:noWrap/>
            <w:hideMark/>
          </w:tcPr>
          <w:p w14:paraId="309D5346" w14:textId="77777777" w:rsidR="005A71E7" w:rsidRPr="00C836A0" w:rsidRDefault="005A71E7" w:rsidP="00480559">
            <w:pPr>
              <w:spacing w:after="0"/>
              <w:jc w:val="center"/>
              <w:rPr>
                <w:sz w:val="20"/>
              </w:rPr>
            </w:pPr>
            <w:r w:rsidRPr="00C836A0">
              <w:rPr>
                <w:sz w:val="20"/>
              </w:rPr>
              <w:t>46</w:t>
            </w:r>
          </w:p>
        </w:tc>
        <w:tc>
          <w:tcPr>
            <w:tcW w:w="1109" w:type="dxa"/>
            <w:tcBorders>
              <w:top w:val="single" w:sz="8" w:space="0" w:color="F3CFC1"/>
              <w:bottom w:val="single" w:sz="8" w:space="0" w:color="F3CFC1"/>
              <w:right w:val="single" w:sz="8" w:space="0" w:color="D2232A"/>
            </w:tcBorders>
            <w:noWrap/>
            <w:hideMark/>
          </w:tcPr>
          <w:p w14:paraId="1E907A00" w14:textId="77777777" w:rsidR="005A71E7" w:rsidRPr="00C836A0" w:rsidRDefault="005A71E7" w:rsidP="00480559">
            <w:pPr>
              <w:spacing w:after="0"/>
              <w:jc w:val="center"/>
              <w:rPr>
                <w:sz w:val="20"/>
              </w:rPr>
            </w:pPr>
            <w:r w:rsidRPr="00C836A0">
              <w:rPr>
                <w:sz w:val="20"/>
              </w:rPr>
              <w:t>147</w:t>
            </w:r>
          </w:p>
        </w:tc>
      </w:tr>
      <w:tr w:rsidR="005A71E7" w14:paraId="753A4F44" w14:textId="77777777" w:rsidTr="00480559">
        <w:trPr>
          <w:trHeight w:val="283"/>
        </w:trPr>
        <w:tc>
          <w:tcPr>
            <w:tcW w:w="851" w:type="dxa"/>
            <w:tcBorders>
              <w:top w:val="single" w:sz="8" w:space="0" w:color="F3CFC1"/>
              <w:left w:val="single" w:sz="8" w:space="0" w:color="D2232A"/>
              <w:bottom w:val="single" w:sz="8" w:space="0" w:color="F3CFC1"/>
            </w:tcBorders>
            <w:noWrap/>
            <w:hideMark/>
          </w:tcPr>
          <w:p w14:paraId="034E0E49" w14:textId="77777777" w:rsidR="005A71E7" w:rsidRDefault="005A71E7" w:rsidP="00480559">
            <w:pPr>
              <w:spacing w:after="0"/>
              <w:jc w:val="center"/>
              <w:rPr>
                <w:b/>
                <w:bCs/>
                <w:sz w:val="20"/>
              </w:rPr>
            </w:pPr>
            <w:r>
              <w:rPr>
                <w:b/>
                <w:bCs/>
                <w:sz w:val="20"/>
              </w:rPr>
              <w:t>2014.</w:t>
            </w:r>
          </w:p>
        </w:tc>
        <w:tc>
          <w:tcPr>
            <w:tcW w:w="1337" w:type="dxa"/>
            <w:tcBorders>
              <w:top w:val="single" w:sz="8" w:space="0" w:color="F3CFC1"/>
              <w:bottom w:val="single" w:sz="8" w:space="0" w:color="F3CFC1"/>
            </w:tcBorders>
            <w:noWrap/>
            <w:hideMark/>
          </w:tcPr>
          <w:p w14:paraId="6486BF63" w14:textId="77777777" w:rsidR="005A71E7" w:rsidRPr="00C836A0" w:rsidRDefault="005A71E7" w:rsidP="00480559">
            <w:pPr>
              <w:spacing w:after="0"/>
              <w:jc w:val="center"/>
              <w:rPr>
                <w:sz w:val="20"/>
              </w:rPr>
            </w:pPr>
            <w:r w:rsidRPr="00C836A0">
              <w:rPr>
                <w:sz w:val="20"/>
              </w:rPr>
              <w:t>12,9</w:t>
            </w:r>
          </w:p>
        </w:tc>
        <w:tc>
          <w:tcPr>
            <w:tcW w:w="1104" w:type="dxa"/>
            <w:tcBorders>
              <w:top w:val="single" w:sz="8" w:space="0" w:color="F3CFC1"/>
              <w:bottom w:val="single" w:sz="8" w:space="0" w:color="F3CFC1"/>
            </w:tcBorders>
            <w:noWrap/>
            <w:hideMark/>
          </w:tcPr>
          <w:p w14:paraId="20693400" w14:textId="77777777" w:rsidR="005A71E7" w:rsidRPr="00C836A0" w:rsidRDefault="005A71E7" w:rsidP="00480559">
            <w:pPr>
              <w:spacing w:after="0"/>
              <w:jc w:val="center"/>
              <w:rPr>
                <w:sz w:val="20"/>
              </w:rPr>
            </w:pPr>
            <w:r w:rsidRPr="00C836A0">
              <w:rPr>
                <w:sz w:val="20"/>
              </w:rPr>
              <w:t>1 000,5</w:t>
            </w:r>
          </w:p>
        </w:tc>
        <w:tc>
          <w:tcPr>
            <w:tcW w:w="1428" w:type="dxa"/>
            <w:tcBorders>
              <w:top w:val="single" w:sz="8" w:space="0" w:color="F3CFC1"/>
              <w:bottom w:val="single" w:sz="8" w:space="0" w:color="F3CFC1"/>
              <w:right w:val="single" w:sz="8" w:space="0" w:color="D2232A"/>
            </w:tcBorders>
            <w:noWrap/>
            <w:hideMark/>
          </w:tcPr>
          <w:p w14:paraId="7EFCB837" w14:textId="77777777" w:rsidR="005A71E7" w:rsidRPr="00C836A0" w:rsidRDefault="005A71E7" w:rsidP="00480559">
            <w:pPr>
              <w:spacing w:after="0"/>
              <w:jc w:val="center"/>
              <w:rPr>
                <w:sz w:val="20"/>
              </w:rPr>
            </w:pPr>
            <w:r w:rsidRPr="00C836A0">
              <w:rPr>
                <w:sz w:val="20"/>
              </w:rPr>
              <w:t>76</w:t>
            </w:r>
          </w:p>
        </w:tc>
        <w:tc>
          <w:tcPr>
            <w:tcW w:w="1473" w:type="dxa"/>
            <w:tcBorders>
              <w:top w:val="single" w:sz="8" w:space="0" w:color="F3CFC1"/>
              <w:left w:val="single" w:sz="8" w:space="0" w:color="D2232A"/>
              <w:bottom w:val="single" w:sz="8" w:space="0" w:color="F3CFC1"/>
            </w:tcBorders>
            <w:noWrap/>
            <w:hideMark/>
          </w:tcPr>
          <w:p w14:paraId="40341C7A" w14:textId="77777777" w:rsidR="005A71E7" w:rsidRPr="00C836A0" w:rsidRDefault="005A71E7" w:rsidP="00480559">
            <w:pPr>
              <w:spacing w:after="0"/>
              <w:jc w:val="center"/>
              <w:rPr>
                <w:sz w:val="20"/>
              </w:rPr>
            </w:pPr>
            <w:r w:rsidRPr="00C836A0">
              <w:rPr>
                <w:sz w:val="20"/>
              </w:rPr>
              <w:t>1 317,8</w:t>
            </w:r>
          </w:p>
        </w:tc>
        <w:tc>
          <w:tcPr>
            <w:tcW w:w="1588" w:type="dxa"/>
            <w:tcBorders>
              <w:top w:val="single" w:sz="8" w:space="0" w:color="F3CFC1"/>
              <w:bottom w:val="single" w:sz="8" w:space="0" w:color="F3CFC1"/>
            </w:tcBorders>
            <w:noWrap/>
            <w:hideMark/>
          </w:tcPr>
          <w:p w14:paraId="2A354FF6" w14:textId="77777777" w:rsidR="005A71E7" w:rsidRPr="00C836A0" w:rsidRDefault="005A71E7" w:rsidP="00480559">
            <w:pPr>
              <w:spacing w:after="0"/>
              <w:jc w:val="center"/>
              <w:rPr>
                <w:sz w:val="20"/>
              </w:rPr>
            </w:pPr>
            <w:r w:rsidRPr="00C836A0">
              <w:rPr>
                <w:sz w:val="20"/>
              </w:rPr>
              <w:t>17</w:t>
            </w:r>
          </w:p>
        </w:tc>
        <w:tc>
          <w:tcPr>
            <w:tcW w:w="842" w:type="dxa"/>
            <w:tcBorders>
              <w:top w:val="single" w:sz="8" w:space="0" w:color="F3CFC1"/>
              <w:bottom w:val="single" w:sz="8" w:space="0" w:color="F3CFC1"/>
            </w:tcBorders>
            <w:noWrap/>
            <w:hideMark/>
          </w:tcPr>
          <w:p w14:paraId="5A494976" w14:textId="77777777" w:rsidR="005A71E7" w:rsidRPr="00C836A0" w:rsidRDefault="005A71E7" w:rsidP="00480559">
            <w:pPr>
              <w:spacing w:after="0"/>
              <w:jc w:val="center"/>
              <w:rPr>
                <w:sz w:val="20"/>
              </w:rPr>
            </w:pPr>
            <w:r w:rsidRPr="00C836A0">
              <w:rPr>
                <w:sz w:val="20"/>
              </w:rPr>
              <w:t>31</w:t>
            </w:r>
          </w:p>
        </w:tc>
        <w:tc>
          <w:tcPr>
            <w:tcW w:w="1109" w:type="dxa"/>
            <w:tcBorders>
              <w:top w:val="single" w:sz="8" w:space="0" w:color="F3CFC1"/>
              <w:bottom w:val="single" w:sz="8" w:space="0" w:color="F3CFC1"/>
              <w:right w:val="single" w:sz="8" w:space="0" w:color="D2232A"/>
            </w:tcBorders>
            <w:noWrap/>
            <w:hideMark/>
          </w:tcPr>
          <w:p w14:paraId="48941D71" w14:textId="77777777" w:rsidR="005A71E7" w:rsidRPr="00C836A0" w:rsidRDefault="005A71E7" w:rsidP="00480559">
            <w:pPr>
              <w:spacing w:after="0"/>
              <w:jc w:val="center"/>
              <w:rPr>
                <w:sz w:val="20"/>
              </w:rPr>
            </w:pPr>
            <w:r w:rsidRPr="00C836A0">
              <w:rPr>
                <w:sz w:val="20"/>
              </w:rPr>
              <w:t>148</w:t>
            </w:r>
          </w:p>
        </w:tc>
      </w:tr>
      <w:tr w:rsidR="005A71E7" w14:paraId="2AAA2087" w14:textId="77777777" w:rsidTr="00480559">
        <w:trPr>
          <w:trHeight w:val="283"/>
        </w:trPr>
        <w:tc>
          <w:tcPr>
            <w:tcW w:w="851" w:type="dxa"/>
            <w:tcBorders>
              <w:top w:val="single" w:sz="8" w:space="0" w:color="F3CFC1"/>
              <w:left w:val="single" w:sz="8" w:space="0" w:color="D2232A"/>
              <w:bottom w:val="single" w:sz="8" w:space="0" w:color="F3CFC1"/>
            </w:tcBorders>
            <w:noWrap/>
            <w:hideMark/>
          </w:tcPr>
          <w:p w14:paraId="58FFCE06" w14:textId="77777777" w:rsidR="005A71E7" w:rsidRDefault="005A71E7" w:rsidP="00480559">
            <w:pPr>
              <w:spacing w:after="0"/>
              <w:jc w:val="center"/>
              <w:rPr>
                <w:b/>
                <w:bCs/>
                <w:sz w:val="20"/>
              </w:rPr>
            </w:pPr>
            <w:r>
              <w:rPr>
                <w:b/>
                <w:bCs/>
                <w:sz w:val="20"/>
              </w:rPr>
              <w:t>2015.</w:t>
            </w:r>
          </w:p>
        </w:tc>
        <w:tc>
          <w:tcPr>
            <w:tcW w:w="1337" w:type="dxa"/>
            <w:tcBorders>
              <w:top w:val="single" w:sz="8" w:space="0" w:color="F3CFC1"/>
              <w:bottom w:val="single" w:sz="8" w:space="0" w:color="F3CFC1"/>
            </w:tcBorders>
            <w:noWrap/>
            <w:hideMark/>
          </w:tcPr>
          <w:p w14:paraId="688FB2CA" w14:textId="77777777" w:rsidR="005A71E7" w:rsidRPr="00C836A0" w:rsidRDefault="005A71E7" w:rsidP="00480559">
            <w:pPr>
              <w:spacing w:after="0"/>
              <w:jc w:val="center"/>
              <w:rPr>
                <w:sz w:val="20"/>
              </w:rPr>
            </w:pPr>
            <w:r w:rsidRPr="00C836A0">
              <w:rPr>
                <w:sz w:val="20"/>
              </w:rPr>
              <w:t>12,6</w:t>
            </w:r>
          </w:p>
        </w:tc>
        <w:tc>
          <w:tcPr>
            <w:tcW w:w="1104" w:type="dxa"/>
            <w:tcBorders>
              <w:top w:val="single" w:sz="8" w:space="0" w:color="F3CFC1"/>
              <w:bottom w:val="single" w:sz="8" w:space="0" w:color="F3CFC1"/>
            </w:tcBorders>
            <w:noWrap/>
            <w:hideMark/>
          </w:tcPr>
          <w:p w14:paraId="6BCADDD3" w14:textId="77777777" w:rsidR="005A71E7" w:rsidRPr="00C836A0" w:rsidRDefault="005A71E7" w:rsidP="00480559">
            <w:pPr>
              <w:spacing w:after="0"/>
              <w:jc w:val="center"/>
              <w:rPr>
                <w:sz w:val="20"/>
              </w:rPr>
            </w:pPr>
            <w:r w:rsidRPr="00C836A0">
              <w:rPr>
                <w:sz w:val="20"/>
              </w:rPr>
              <w:t>1 003,7</w:t>
            </w:r>
          </w:p>
        </w:tc>
        <w:tc>
          <w:tcPr>
            <w:tcW w:w="1428" w:type="dxa"/>
            <w:tcBorders>
              <w:top w:val="single" w:sz="8" w:space="0" w:color="F3CFC1"/>
              <w:bottom w:val="single" w:sz="8" w:space="0" w:color="F3CFC1"/>
              <w:right w:val="single" w:sz="8" w:space="0" w:color="D2232A"/>
            </w:tcBorders>
            <w:noWrap/>
            <w:hideMark/>
          </w:tcPr>
          <w:p w14:paraId="60ACDDD0" w14:textId="77777777" w:rsidR="005A71E7" w:rsidRPr="00C836A0" w:rsidRDefault="005A71E7" w:rsidP="00480559">
            <w:pPr>
              <w:spacing w:after="0"/>
              <w:jc w:val="center"/>
              <w:rPr>
                <w:sz w:val="20"/>
              </w:rPr>
            </w:pPr>
            <w:r w:rsidRPr="00C836A0">
              <w:rPr>
                <w:sz w:val="20"/>
              </w:rPr>
              <w:t>71</w:t>
            </w:r>
          </w:p>
        </w:tc>
        <w:tc>
          <w:tcPr>
            <w:tcW w:w="1473" w:type="dxa"/>
            <w:tcBorders>
              <w:top w:val="single" w:sz="8" w:space="0" w:color="F3CFC1"/>
              <w:left w:val="single" w:sz="8" w:space="0" w:color="D2232A"/>
              <w:bottom w:val="single" w:sz="8" w:space="0" w:color="F3CFC1"/>
            </w:tcBorders>
            <w:noWrap/>
            <w:hideMark/>
          </w:tcPr>
          <w:p w14:paraId="62C65FA2" w14:textId="77777777" w:rsidR="005A71E7" w:rsidRPr="00C836A0" w:rsidRDefault="005A71E7" w:rsidP="00480559">
            <w:pPr>
              <w:spacing w:after="0"/>
              <w:jc w:val="center"/>
              <w:rPr>
                <w:sz w:val="20"/>
              </w:rPr>
            </w:pPr>
            <w:r w:rsidRPr="00C836A0">
              <w:rPr>
                <w:sz w:val="20"/>
              </w:rPr>
              <w:t>887,1</w:t>
            </w:r>
          </w:p>
        </w:tc>
        <w:tc>
          <w:tcPr>
            <w:tcW w:w="1588" w:type="dxa"/>
            <w:tcBorders>
              <w:top w:val="single" w:sz="8" w:space="0" w:color="F3CFC1"/>
              <w:bottom w:val="single" w:sz="8" w:space="0" w:color="F3CFC1"/>
            </w:tcBorders>
            <w:noWrap/>
            <w:hideMark/>
          </w:tcPr>
          <w:p w14:paraId="6F4FB958" w14:textId="77777777" w:rsidR="005A71E7" w:rsidRPr="00C836A0" w:rsidRDefault="005A71E7" w:rsidP="00480559">
            <w:pPr>
              <w:spacing w:after="0"/>
              <w:jc w:val="center"/>
              <w:rPr>
                <w:sz w:val="20"/>
              </w:rPr>
            </w:pPr>
            <w:r w:rsidRPr="00C836A0">
              <w:rPr>
                <w:sz w:val="20"/>
              </w:rPr>
              <w:t>16</w:t>
            </w:r>
          </w:p>
        </w:tc>
        <w:tc>
          <w:tcPr>
            <w:tcW w:w="842" w:type="dxa"/>
            <w:tcBorders>
              <w:top w:val="single" w:sz="8" w:space="0" w:color="F3CFC1"/>
              <w:bottom w:val="single" w:sz="8" w:space="0" w:color="F3CFC1"/>
            </w:tcBorders>
            <w:noWrap/>
            <w:hideMark/>
          </w:tcPr>
          <w:p w14:paraId="60864999" w14:textId="77777777" w:rsidR="005A71E7" w:rsidRPr="00C836A0" w:rsidRDefault="005A71E7" w:rsidP="00480559">
            <w:pPr>
              <w:spacing w:after="0"/>
              <w:jc w:val="center"/>
              <w:rPr>
                <w:sz w:val="20"/>
              </w:rPr>
            </w:pPr>
            <w:r w:rsidRPr="00C836A0">
              <w:rPr>
                <w:sz w:val="20"/>
              </w:rPr>
              <w:t>59</w:t>
            </w:r>
          </w:p>
        </w:tc>
        <w:tc>
          <w:tcPr>
            <w:tcW w:w="1109" w:type="dxa"/>
            <w:tcBorders>
              <w:top w:val="single" w:sz="8" w:space="0" w:color="F3CFC1"/>
              <w:bottom w:val="single" w:sz="8" w:space="0" w:color="F3CFC1"/>
              <w:right w:val="single" w:sz="8" w:space="0" w:color="D2232A"/>
            </w:tcBorders>
            <w:noWrap/>
            <w:hideMark/>
          </w:tcPr>
          <w:p w14:paraId="1AC24A53" w14:textId="77777777" w:rsidR="005A71E7" w:rsidRPr="00C836A0" w:rsidRDefault="005A71E7" w:rsidP="00480559">
            <w:pPr>
              <w:spacing w:after="0"/>
              <w:jc w:val="center"/>
              <w:rPr>
                <w:sz w:val="20"/>
              </w:rPr>
            </w:pPr>
            <w:r w:rsidRPr="00C836A0">
              <w:rPr>
                <w:sz w:val="20"/>
              </w:rPr>
              <w:t>126</w:t>
            </w:r>
          </w:p>
        </w:tc>
      </w:tr>
      <w:tr w:rsidR="005A71E7" w14:paraId="0F616AF7" w14:textId="77777777" w:rsidTr="00480559">
        <w:trPr>
          <w:trHeight w:val="283"/>
        </w:trPr>
        <w:tc>
          <w:tcPr>
            <w:tcW w:w="851" w:type="dxa"/>
            <w:tcBorders>
              <w:top w:val="single" w:sz="8" w:space="0" w:color="F3CFC1"/>
              <w:left w:val="single" w:sz="8" w:space="0" w:color="D2232A"/>
              <w:bottom w:val="single" w:sz="8" w:space="0" w:color="F3CFC1"/>
            </w:tcBorders>
            <w:noWrap/>
            <w:hideMark/>
          </w:tcPr>
          <w:p w14:paraId="5BAEB4BB" w14:textId="77777777" w:rsidR="005A71E7" w:rsidRDefault="005A71E7" w:rsidP="00480559">
            <w:pPr>
              <w:spacing w:after="0"/>
              <w:jc w:val="center"/>
              <w:rPr>
                <w:b/>
                <w:bCs/>
                <w:sz w:val="20"/>
              </w:rPr>
            </w:pPr>
            <w:r>
              <w:rPr>
                <w:b/>
                <w:bCs/>
                <w:sz w:val="20"/>
              </w:rPr>
              <w:t>2016.</w:t>
            </w:r>
          </w:p>
        </w:tc>
        <w:tc>
          <w:tcPr>
            <w:tcW w:w="1337" w:type="dxa"/>
            <w:tcBorders>
              <w:top w:val="single" w:sz="8" w:space="0" w:color="F3CFC1"/>
              <w:bottom w:val="single" w:sz="8" w:space="0" w:color="F3CFC1"/>
            </w:tcBorders>
            <w:noWrap/>
            <w:hideMark/>
          </w:tcPr>
          <w:p w14:paraId="58585408" w14:textId="77777777" w:rsidR="005A71E7" w:rsidRPr="00C836A0" w:rsidRDefault="005A71E7" w:rsidP="00480559">
            <w:pPr>
              <w:spacing w:after="0"/>
              <w:jc w:val="center"/>
              <w:rPr>
                <w:sz w:val="20"/>
              </w:rPr>
            </w:pPr>
            <w:r w:rsidRPr="00C836A0">
              <w:rPr>
                <w:sz w:val="20"/>
              </w:rPr>
              <w:t>12,2</w:t>
            </w:r>
          </w:p>
        </w:tc>
        <w:tc>
          <w:tcPr>
            <w:tcW w:w="1104" w:type="dxa"/>
            <w:tcBorders>
              <w:top w:val="single" w:sz="8" w:space="0" w:color="F3CFC1"/>
              <w:bottom w:val="single" w:sz="8" w:space="0" w:color="F3CFC1"/>
            </w:tcBorders>
            <w:noWrap/>
            <w:hideMark/>
          </w:tcPr>
          <w:p w14:paraId="4F9C988A" w14:textId="77777777" w:rsidR="005A71E7" w:rsidRPr="00C836A0" w:rsidRDefault="005A71E7" w:rsidP="00480559">
            <w:pPr>
              <w:spacing w:after="0"/>
              <w:jc w:val="center"/>
              <w:rPr>
                <w:sz w:val="20"/>
              </w:rPr>
            </w:pPr>
            <w:r w:rsidRPr="00C836A0">
              <w:rPr>
                <w:sz w:val="20"/>
              </w:rPr>
              <w:t>1 002,2</w:t>
            </w:r>
          </w:p>
        </w:tc>
        <w:tc>
          <w:tcPr>
            <w:tcW w:w="1428" w:type="dxa"/>
            <w:tcBorders>
              <w:top w:val="single" w:sz="8" w:space="0" w:color="F3CFC1"/>
              <w:bottom w:val="single" w:sz="8" w:space="0" w:color="F3CFC1"/>
              <w:right w:val="single" w:sz="8" w:space="0" w:color="D2232A"/>
            </w:tcBorders>
            <w:noWrap/>
            <w:hideMark/>
          </w:tcPr>
          <w:p w14:paraId="4594B39C" w14:textId="77777777" w:rsidR="005A71E7" w:rsidRPr="00C836A0" w:rsidRDefault="005A71E7" w:rsidP="00480559">
            <w:pPr>
              <w:spacing w:after="0"/>
              <w:jc w:val="center"/>
              <w:rPr>
                <w:sz w:val="20"/>
              </w:rPr>
            </w:pPr>
            <w:r w:rsidRPr="00C836A0">
              <w:rPr>
                <w:sz w:val="20"/>
              </w:rPr>
              <w:t>73</w:t>
            </w:r>
          </w:p>
        </w:tc>
        <w:tc>
          <w:tcPr>
            <w:tcW w:w="1473" w:type="dxa"/>
            <w:tcBorders>
              <w:top w:val="single" w:sz="8" w:space="0" w:color="F3CFC1"/>
              <w:left w:val="single" w:sz="8" w:space="0" w:color="D2232A"/>
              <w:bottom w:val="single" w:sz="8" w:space="0" w:color="F3CFC1"/>
            </w:tcBorders>
            <w:noWrap/>
            <w:hideMark/>
          </w:tcPr>
          <w:p w14:paraId="74BB3A77" w14:textId="77777777" w:rsidR="005A71E7" w:rsidRPr="00C836A0" w:rsidRDefault="005A71E7" w:rsidP="00480559">
            <w:pPr>
              <w:spacing w:after="0"/>
              <w:jc w:val="center"/>
              <w:rPr>
                <w:sz w:val="20"/>
              </w:rPr>
            </w:pPr>
            <w:r w:rsidRPr="00C836A0">
              <w:rPr>
                <w:sz w:val="20"/>
              </w:rPr>
              <w:t>858,6</w:t>
            </w:r>
          </w:p>
        </w:tc>
        <w:tc>
          <w:tcPr>
            <w:tcW w:w="1588" w:type="dxa"/>
            <w:tcBorders>
              <w:top w:val="single" w:sz="8" w:space="0" w:color="F3CFC1"/>
              <w:bottom w:val="single" w:sz="8" w:space="0" w:color="F3CFC1"/>
            </w:tcBorders>
            <w:noWrap/>
            <w:hideMark/>
          </w:tcPr>
          <w:p w14:paraId="4DBEDC6B" w14:textId="77777777" w:rsidR="005A71E7" w:rsidRPr="00C836A0" w:rsidRDefault="005A71E7" w:rsidP="00480559">
            <w:pPr>
              <w:spacing w:after="0"/>
              <w:jc w:val="center"/>
              <w:rPr>
                <w:sz w:val="20"/>
              </w:rPr>
            </w:pPr>
            <w:r w:rsidRPr="00C836A0">
              <w:rPr>
                <w:sz w:val="20"/>
              </w:rPr>
              <w:t>9</w:t>
            </w:r>
          </w:p>
        </w:tc>
        <w:tc>
          <w:tcPr>
            <w:tcW w:w="842" w:type="dxa"/>
            <w:tcBorders>
              <w:top w:val="single" w:sz="8" w:space="0" w:color="F3CFC1"/>
              <w:bottom w:val="single" w:sz="8" w:space="0" w:color="F3CFC1"/>
            </w:tcBorders>
            <w:noWrap/>
            <w:hideMark/>
          </w:tcPr>
          <w:p w14:paraId="2E1AD202" w14:textId="77777777" w:rsidR="005A71E7" w:rsidRPr="00C836A0" w:rsidRDefault="005A71E7" w:rsidP="00480559">
            <w:pPr>
              <w:spacing w:after="0"/>
              <w:jc w:val="center"/>
              <w:rPr>
                <w:sz w:val="20"/>
              </w:rPr>
            </w:pPr>
            <w:r w:rsidRPr="00C836A0">
              <w:rPr>
                <w:sz w:val="20"/>
              </w:rPr>
              <w:t>41</w:t>
            </w:r>
          </w:p>
        </w:tc>
        <w:tc>
          <w:tcPr>
            <w:tcW w:w="1109" w:type="dxa"/>
            <w:tcBorders>
              <w:top w:val="single" w:sz="8" w:space="0" w:color="F3CFC1"/>
              <w:bottom w:val="single" w:sz="8" w:space="0" w:color="F3CFC1"/>
              <w:right w:val="single" w:sz="8" w:space="0" w:color="D2232A"/>
            </w:tcBorders>
            <w:noWrap/>
            <w:hideMark/>
          </w:tcPr>
          <w:p w14:paraId="55F76819" w14:textId="77777777" w:rsidR="005A71E7" w:rsidRPr="00C836A0" w:rsidRDefault="005A71E7" w:rsidP="00480559">
            <w:pPr>
              <w:spacing w:after="0"/>
              <w:jc w:val="center"/>
              <w:rPr>
                <w:sz w:val="20"/>
              </w:rPr>
            </w:pPr>
            <w:r w:rsidRPr="00C836A0">
              <w:rPr>
                <w:sz w:val="20"/>
              </w:rPr>
              <w:t>106</w:t>
            </w:r>
          </w:p>
        </w:tc>
      </w:tr>
      <w:tr w:rsidR="005A71E7" w14:paraId="3F34556E" w14:textId="77777777" w:rsidTr="00480559">
        <w:trPr>
          <w:trHeight w:val="283"/>
        </w:trPr>
        <w:tc>
          <w:tcPr>
            <w:tcW w:w="851" w:type="dxa"/>
            <w:tcBorders>
              <w:top w:val="single" w:sz="8" w:space="0" w:color="F3CFC1"/>
              <w:left w:val="single" w:sz="8" w:space="0" w:color="D2232A"/>
            </w:tcBorders>
            <w:noWrap/>
            <w:hideMark/>
          </w:tcPr>
          <w:p w14:paraId="27513E14" w14:textId="77777777" w:rsidR="005A71E7" w:rsidRDefault="005A71E7" w:rsidP="00480559">
            <w:pPr>
              <w:spacing w:after="0"/>
              <w:jc w:val="center"/>
              <w:rPr>
                <w:b/>
                <w:bCs/>
                <w:sz w:val="20"/>
              </w:rPr>
            </w:pPr>
            <w:r>
              <w:rPr>
                <w:b/>
                <w:bCs/>
                <w:sz w:val="20"/>
              </w:rPr>
              <w:t>2017.</w:t>
            </w:r>
          </w:p>
        </w:tc>
        <w:tc>
          <w:tcPr>
            <w:tcW w:w="1337" w:type="dxa"/>
            <w:tcBorders>
              <w:top w:val="single" w:sz="8" w:space="0" w:color="F3CFC1"/>
            </w:tcBorders>
            <w:noWrap/>
            <w:hideMark/>
          </w:tcPr>
          <w:p w14:paraId="72C74F84" w14:textId="77777777" w:rsidR="005A71E7" w:rsidRPr="00C836A0" w:rsidRDefault="005A71E7" w:rsidP="00480559">
            <w:pPr>
              <w:spacing w:after="0"/>
              <w:jc w:val="center"/>
              <w:rPr>
                <w:sz w:val="20"/>
              </w:rPr>
            </w:pPr>
            <w:r w:rsidRPr="00C836A0">
              <w:rPr>
                <w:sz w:val="20"/>
              </w:rPr>
              <w:t>12,6</w:t>
            </w:r>
          </w:p>
        </w:tc>
        <w:tc>
          <w:tcPr>
            <w:tcW w:w="1104" w:type="dxa"/>
            <w:tcBorders>
              <w:top w:val="single" w:sz="8" w:space="0" w:color="F3CFC1"/>
            </w:tcBorders>
            <w:noWrap/>
            <w:hideMark/>
          </w:tcPr>
          <w:p w14:paraId="63427B61" w14:textId="77777777" w:rsidR="005A71E7" w:rsidRPr="00C836A0" w:rsidRDefault="005A71E7" w:rsidP="00480559">
            <w:pPr>
              <w:spacing w:after="0"/>
              <w:jc w:val="center"/>
              <w:rPr>
                <w:sz w:val="20"/>
              </w:rPr>
            </w:pPr>
            <w:r w:rsidRPr="00C836A0">
              <w:rPr>
                <w:sz w:val="20"/>
              </w:rPr>
              <w:t>1 002,6</w:t>
            </w:r>
          </w:p>
        </w:tc>
        <w:tc>
          <w:tcPr>
            <w:tcW w:w="1428" w:type="dxa"/>
            <w:tcBorders>
              <w:top w:val="single" w:sz="8" w:space="0" w:color="F3CFC1"/>
              <w:right w:val="single" w:sz="8" w:space="0" w:color="D2232A"/>
            </w:tcBorders>
            <w:noWrap/>
            <w:hideMark/>
          </w:tcPr>
          <w:p w14:paraId="08841EF8" w14:textId="77777777" w:rsidR="005A71E7" w:rsidRPr="00C836A0" w:rsidRDefault="005A71E7" w:rsidP="00480559">
            <w:pPr>
              <w:spacing w:after="0"/>
              <w:jc w:val="center"/>
              <w:rPr>
                <w:sz w:val="20"/>
              </w:rPr>
            </w:pPr>
            <w:r w:rsidRPr="00C836A0">
              <w:rPr>
                <w:sz w:val="20"/>
              </w:rPr>
              <w:t>68</w:t>
            </w:r>
          </w:p>
        </w:tc>
        <w:tc>
          <w:tcPr>
            <w:tcW w:w="1473" w:type="dxa"/>
            <w:tcBorders>
              <w:top w:val="single" w:sz="8" w:space="0" w:color="F3CFC1"/>
              <w:left w:val="single" w:sz="8" w:space="0" w:color="D2232A"/>
            </w:tcBorders>
            <w:noWrap/>
            <w:hideMark/>
          </w:tcPr>
          <w:p w14:paraId="4FA4C4B1" w14:textId="77777777" w:rsidR="005A71E7" w:rsidRPr="00C836A0" w:rsidRDefault="005A71E7" w:rsidP="00480559">
            <w:pPr>
              <w:spacing w:after="0"/>
              <w:jc w:val="center"/>
              <w:rPr>
                <w:sz w:val="20"/>
              </w:rPr>
            </w:pPr>
            <w:r w:rsidRPr="00C836A0">
              <w:rPr>
                <w:sz w:val="20"/>
              </w:rPr>
              <w:t>897</w:t>
            </w:r>
          </w:p>
        </w:tc>
        <w:tc>
          <w:tcPr>
            <w:tcW w:w="1588" w:type="dxa"/>
            <w:tcBorders>
              <w:top w:val="single" w:sz="8" w:space="0" w:color="F3CFC1"/>
            </w:tcBorders>
            <w:noWrap/>
            <w:hideMark/>
          </w:tcPr>
          <w:p w14:paraId="7F1AA7C4" w14:textId="77777777" w:rsidR="005A71E7" w:rsidRPr="00C836A0" w:rsidRDefault="005A71E7" w:rsidP="00480559">
            <w:pPr>
              <w:spacing w:after="0"/>
              <w:jc w:val="center"/>
              <w:rPr>
                <w:sz w:val="20"/>
              </w:rPr>
            </w:pPr>
            <w:r w:rsidRPr="00C836A0">
              <w:rPr>
                <w:sz w:val="20"/>
              </w:rPr>
              <w:t>28</w:t>
            </w:r>
          </w:p>
        </w:tc>
        <w:tc>
          <w:tcPr>
            <w:tcW w:w="842" w:type="dxa"/>
            <w:tcBorders>
              <w:top w:val="single" w:sz="8" w:space="0" w:color="F3CFC1"/>
            </w:tcBorders>
            <w:noWrap/>
            <w:hideMark/>
          </w:tcPr>
          <w:p w14:paraId="3CA318DE" w14:textId="77777777" w:rsidR="005A71E7" w:rsidRPr="00C836A0" w:rsidRDefault="005A71E7" w:rsidP="00480559">
            <w:pPr>
              <w:spacing w:after="0"/>
              <w:jc w:val="center"/>
              <w:rPr>
                <w:sz w:val="20"/>
              </w:rPr>
            </w:pPr>
            <w:r w:rsidRPr="00C836A0">
              <w:rPr>
                <w:sz w:val="20"/>
              </w:rPr>
              <w:t>49</w:t>
            </w:r>
          </w:p>
        </w:tc>
        <w:tc>
          <w:tcPr>
            <w:tcW w:w="1109" w:type="dxa"/>
            <w:tcBorders>
              <w:top w:val="single" w:sz="8" w:space="0" w:color="F3CFC1"/>
              <w:right w:val="single" w:sz="8" w:space="0" w:color="D2232A"/>
            </w:tcBorders>
            <w:noWrap/>
            <w:hideMark/>
          </w:tcPr>
          <w:p w14:paraId="57FDD07E" w14:textId="77777777" w:rsidR="005A71E7" w:rsidRPr="00C836A0" w:rsidRDefault="005A71E7" w:rsidP="00480559">
            <w:pPr>
              <w:spacing w:after="0"/>
              <w:jc w:val="center"/>
              <w:rPr>
                <w:sz w:val="20"/>
              </w:rPr>
            </w:pPr>
            <w:r w:rsidRPr="00C836A0">
              <w:rPr>
                <w:sz w:val="20"/>
              </w:rPr>
              <w:t>104</w:t>
            </w:r>
          </w:p>
        </w:tc>
      </w:tr>
    </w:tbl>
    <w:p w14:paraId="55BE26C4" w14:textId="77777777" w:rsidR="005A71E7" w:rsidRPr="006315FA" w:rsidRDefault="005A71E7" w:rsidP="005A71E7">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 Statistički ljetopisi 2011.-2018. godine, www.dzs.hr</w:t>
      </w:r>
    </w:p>
    <w:p w14:paraId="7AE203D1" w14:textId="77777777" w:rsidR="005A71E7" w:rsidRDefault="005A71E7" w:rsidP="005A71E7"/>
    <w:p w14:paraId="4BB9683B" w14:textId="77777777" w:rsidR="005A71E7" w:rsidRDefault="005A71E7" w:rsidP="005A71E7">
      <w:pPr>
        <w:rPr>
          <w:sz w:val="22"/>
          <w:szCs w:val="22"/>
        </w:rPr>
      </w:pPr>
      <w:r>
        <w:t xml:space="preserve">Na temelju gore prikazanih podataka za razdoblje 2010.-2017. godine, područje Krapinsko-zagorske županije opisuje se dominantnom kategorijom </w:t>
      </w:r>
      <w:r>
        <w:rPr>
          <w:i/>
          <w:iCs/>
        </w:rPr>
        <w:t>vrlo toplo</w:t>
      </w:r>
      <w:r>
        <w:t xml:space="preserve">. U istu su svrstana šira područja Varaždina i dio središnje Hrvatske. Također, Županija se ubraja u kategoriju </w:t>
      </w:r>
      <w:r>
        <w:rPr>
          <w:i/>
          <w:iCs/>
        </w:rPr>
        <w:t>vrlo kišno</w:t>
      </w:r>
      <w:r>
        <w:t>, kao i ostatak sjeverne i središnje Hrvatske, zatim dio sjevernog i srednjeg Jadrana s pripadnim zaleđem te šire područje Dubrovnika.</w:t>
      </w:r>
    </w:p>
    <w:p w14:paraId="22E06A4A" w14:textId="77777777" w:rsidR="005A71E7" w:rsidRDefault="005A71E7" w:rsidP="005A71E7">
      <w:r>
        <w:t>Državni hidrometeorološki zavod navodi kako stogodišnja mjerenja za Republiku Hrvatsku ukazuju na porast prizemne temperature zraka za 0,74 °C između 1906. i 2005. Posljedica globalnog zagrijavanja je smanjenje snježnog pokrivača, osobito u proljeće i ljeti, povećanje broja vremenskih nepogoda i fluktuacije u količini oborina. Navedeno ima potencijal negativno se odraziti na poljoprivrednu proizvodnju i sigurnost stanovnika.</w:t>
      </w:r>
    </w:p>
    <w:p w14:paraId="3CB8B741" w14:textId="442B915E" w:rsidR="00CF7FC1" w:rsidRDefault="00CF7FC1" w:rsidP="00CF7FC1">
      <w:r>
        <w:t>Na sljedećim grafičkim prikazima izdvojenima iz Klimatskog atlasa Hrvatske (DHMZ), prikazuju se srednje godišnje temperature, srednje godišnje količine oborina, srednja godišnja do zračena sunčana energija i godišnja ruža vjetrova za Republiku Hrvatsku, što dozvoljava usporedbu navedenih odlika klime u kontekstu države.</w:t>
      </w:r>
      <w:r w:rsidR="001A6C18">
        <w:br/>
      </w:r>
    </w:p>
    <w:p w14:paraId="57558073" w14:textId="3E1DBB95" w:rsidR="001A6C18" w:rsidRDefault="001A6C18" w:rsidP="003E3F3C">
      <w:pPr>
        <w:pStyle w:val="Opisslike"/>
      </w:pPr>
      <w:r w:rsidRPr="001A6C18">
        <w:lastRenderedPageBreak/>
        <w:t>Prikaz 2. Srednja godišnja temperatura za travanj za Republiku Hrvatsku</w:t>
      </w:r>
    </w:p>
    <w:p w14:paraId="0CE6488B" w14:textId="1EB1D5FC" w:rsidR="001A6C18" w:rsidRDefault="001A6C18" w:rsidP="003E3F3C">
      <w:pPr>
        <w:pStyle w:val="Opisslike"/>
      </w:pPr>
      <w:bookmarkStart w:id="22" w:name="_Hlk57308895"/>
      <w:r>
        <w:rPr>
          <w:noProof/>
          <w:lang w:eastAsia="hr-HR"/>
        </w:rPr>
        <w:drawing>
          <wp:inline distT="0" distB="0" distL="0" distR="0" wp14:anchorId="7979C540" wp14:editId="5722623E">
            <wp:extent cx="5915025" cy="6841366"/>
            <wp:effectExtent l="0" t="0" r="0" b="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extLst>
                        <a:ext uri="{28A0092B-C50C-407E-A947-70E740481C1C}">
                          <a14:useLocalDpi xmlns:a14="http://schemas.microsoft.com/office/drawing/2010/main" val="0"/>
                        </a:ext>
                      </a:extLst>
                    </a:blip>
                    <a:srcRect l="47319" t="4437" r="23839" b="7510"/>
                    <a:stretch/>
                  </pic:blipFill>
                  <pic:spPr bwMode="auto">
                    <a:xfrm>
                      <a:off x="0" y="0"/>
                      <a:ext cx="5942342" cy="6872961"/>
                    </a:xfrm>
                    <a:prstGeom prst="rect">
                      <a:avLst/>
                    </a:prstGeom>
                    <a:ln>
                      <a:noFill/>
                    </a:ln>
                    <a:extLst>
                      <a:ext uri="{53640926-AAD7-44D8-BBD7-CCE9431645EC}">
                        <a14:shadowObscured xmlns:a14="http://schemas.microsoft.com/office/drawing/2010/main"/>
                      </a:ext>
                    </a:extLst>
                  </pic:spPr>
                </pic:pic>
              </a:graphicData>
            </a:graphic>
          </wp:inline>
        </w:drawing>
      </w:r>
      <w:bookmarkEnd w:id="22"/>
    </w:p>
    <w:p w14:paraId="63584CDE" w14:textId="6D0DA717" w:rsidR="00CF7FC1" w:rsidRPr="006315FA" w:rsidRDefault="001A6C18" w:rsidP="001A6C18">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 xml:space="preserve">  </w:t>
      </w:r>
      <w:r w:rsidR="00CF7FC1" w:rsidRPr="006315FA">
        <w:rPr>
          <w:rFonts w:eastAsia="ArialNarrow" w:cstheme="minorHAnsi"/>
          <w:i/>
          <w:color w:val="ABABAB" w:themeColor="text1" w:themeTint="A6"/>
          <w:sz w:val="16"/>
          <w:szCs w:val="16"/>
        </w:rPr>
        <w:t>Izvor: Klimatski atlas Hrvatske, DHMZ, veljača 2020..</w:t>
      </w:r>
    </w:p>
    <w:p w14:paraId="3D08426E" w14:textId="53ECDFAD" w:rsidR="00CF7FC1" w:rsidRPr="00A96020" w:rsidRDefault="00CF7FC1" w:rsidP="003E3F3C">
      <w:pPr>
        <w:pStyle w:val="Opisslike"/>
        <w:rPr>
          <w:vertAlign w:val="superscript"/>
        </w:rPr>
      </w:pPr>
      <w:r>
        <w:rPr>
          <w:noProof/>
          <w:lang w:eastAsia="hr-HR"/>
        </w:rPr>
        <w:lastRenderedPageBreak/>
        <w:drawing>
          <wp:anchor distT="0" distB="0" distL="114300" distR="114300" simplePos="0" relativeHeight="251730944" behindDoc="0" locked="0" layoutInCell="1" allowOverlap="1" wp14:anchorId="316E1044" wp14:editId="3D8AAB09">
            <wp:simplePos x="0" y="0"/>
            <wp:positionH relativeFrom="margin">
              <wp:align>left</wp:align>
            </wp:positionH>
            <wp:positionV relativeFrom="paragraph">
              <wp:posOffset>198120</wp:posOffset>
            </wp:positionV>
            <wp:extent cx="6089015" cy="7299960"/>
            <wp:effectExtent l="0" t="0" r="6985" b="0"/>
            <wp:wrapTopAndBottom/>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47457" t="3925" r="24482" b="7592"/>
                    <a:stretch/>
                  </pic:blipFill>
                  <pic:spPr bwMode="auto">
                    <a:xfrm>
                      <a:off x="0" y="0"/>
                      <a:ext cx="6117884" cy="73342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Prikaz </w:t>
      </w:r>
      <w:r w:rsidR="008F0A3F">
        <w:rPr>
          <w:noProof/>
        </w:rPr>
        <w:t>3</w:t>
      </w:r>
      <w:r>
        <w:t>. Srednja godišnja količina oborina za Republiku Hrvatsku</w:t>
      </w:r>
    </w:p>
    <w:p w14:paraId="00E940BE" w14:textId="77777777" w:rsidR="00CF7FC1" w:rsidRPr="006315FA" w:rsidRDefault="00CF7FC1" w:rsidP="001A6C18">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 Klimatski atlas Hrvatske (DHMZ), studeni 2019.</w:t>
      </w:r>
    </w:p>
    <w:p w14:paraId="0F657724" w14:textId="77777777" w:rsidR="00CF7FC1" w:rsidRDefault="00CF7FC1" w:rsidP="00CF7FC1">
      <w:pPr>
        <w:pStyle w:val="Podnaslov"/>
      </w:pPr>
    </w:p>
    <w:p w14:paraId="429869CF" w14:textId="23883EBF" w:rsidR="00CF7FC1" w:rsidRDefault="00CF7FC1" w:rsidP="003E3F3C">
      <w:pPr>
        <w:pStyle w:val="Opisslike"/>
      </w:pPr>
      <w:r>
        <w:br w:type="column"/>
      </w:r>
      <w:r>
        <w:rPr>
          <w:noProof/>
        </w:rPr>
        <w:lastRenderedPageBreak/>
        <w:drawing>
          <wp:anchor distT="0" distB="0" distL="114300" distR="114300" simplePos="0" relativeHeight="251731968" behindDoc="0" locked="0" layoutInCell="1" allowOverlap="1" wp14:anchorId="5CC4345C" wp14:editId="3E45D8D4">
            <wp:simplePos x="0" y="0"/>
            <wp:positionH relativeFrom="margin">
              <wp:align>left</wp:align>
            </wp:positionH>
            <wp:positionV relativeFrom="paragraph">
              <wp:posOffset>245110</wp:posOffset>
            </wp:positionV>
            <wp:extent cx="6221095" cy="6896100"/>
            <wp:effectExtent l="0" t="0" r="8255" b="0"/>
            <wp:wrapTopAndBottom/>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47591" t="7676" r="23842" b="5381"/>
                    <a:stretch/>
                  </pic:blipFill>
                  <pic:spPr bwMode="auto">
                    <a:xfrm>
                      <a:off x="0" y="0"/>
                      <a:ext cx="6237069" cy="691361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Prikaz </w:t>
      </w:r>
      <w:r w:rsidR="00A85147">
        <w:t>4</w:t>
      </w:r>
      <w:r>
        <w:t>. Srednja godišnja ukupna do zračena sunčana energija</w:t>
      </w:r>
    </w:p>
    <w:p w14:paraId="6C200559" w14:textId="77777777" w:rsidR="00CF7FC1" w:rsidRPr="006315FA" w:rsidRDefault="00CF7FC1" w:rsidP="001A6C18">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 Klimatski atlas Hrvatske (DHMZ), studeni 2019.</w:t>
      </w:r>
    </w:p>
    <w:p w14:paraId="237A1315" w14:textId="77777777" w:rsidR="00CF7FC1" w:rsidRPr="00BB316B" w:rsidRDefault="00CF7FC1" w:rsidP="00CF7FC1"/>
    <w:p w14:paraId="1D3AC7E6" w14:textId="60753EC6" w:rsidR="00CF7FC1" w:rsidRDefault="00CF7FC1" w:rsidP="003E3F3C">
      <w:pPr>
        <w:pStyle w:val="Opisslike"/>
        <w:rPr>
          <w:rFonts w:ascii="Tahoma" w:hAnsi="Tahoma"/>
          <w:noProof/>
          <w:spacing w:val="15"/>
        </w:rPr>
      </w:pPr>
      <w:r w:rsidRPr="00B6557D">
        <w:rPr>
          <w:rFonts w:asciiTheme="minorHAnsi" w:hAnsiTheme="minorHAnsi"/>
          <w:b/>
          <w:noProof/>
          <w:lang w:eastAsia="hr-HR"/>
        </w:rPr>
        <w:lastRenderedPageBreak/>
        <w:drawing>
          <wp:anchor distT="0" distB="0" distL="114300" distR="114300" simplePos="0" relativeHeight="251728896" behindDoc="0" locked="0" layoutInCell="1" allowOverlap="1" wp14:anchorId="66BCCC1C" wp14:editId="73EF40E2">
            <wp:simplePos x="0" y="0"/>
            <wp:positionH relativeFrom="margin">
              <wp:align>left</wp:align>
            </wp:positionH>
            <wp:positionV relativeFrom="paragraph">
              <wp:posOffset>203780</wp:posOffset>
            </wp:positionV>
            <wp:extent cx="6047740" cy="6102350"/>
            <wp:effectExtent l="0" t="0" r="0" b="0"/>
            <wp:wrapTopAndBottom/>
            <wp:docPr id="226" name="Slika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9144" cy="6114063"/>
                    </a:xfrm>
                    <a:prstGeom prst="rect">
                      <a:avLst/>
                    </a:prstGeom>
                    <a:noFill/>
                    <a:ln>
                      <a:noFill/>
                    </a:ln>
                  </pic:spPr>
                </pic:pic>
              </a:graphicData>
            </a:graphic>
            <wp14:sizeRelH relativeFrom="margin">
              <wp14:pctWidth>0</wp14:pctWidth>
            </wp14:sizeRelH>
            <wp14:sizeRelV relativeFrom="margin">
              <wp14:pctHeight>0</wp14:pctHeight>
            </wp14:sizeRelV>
          </wp:anchor>
        </w:drawing>
      </w:r>
      <w:r>
        <w:t xml:space="preserve">Prikaz </w:t>
      </w:r>
      <w:r w:rsidR="00A85147">
        <w:rPr>
          <w:noProof/>
        </w:rPr>
        <w:t>5</w:t>
      </w:r>
      <w:r>
        <w:rPr>
          <w:noProof/>
        </w:rPr>
        <w:t>.</w:t>
      </w:r>
      <w:r>
        <w:t xml:space="preserve"> Godišnja ruža vjetrova</w:t>
      </w:r>
    </w:p>
    <w:p w14:paraId="73139007" w14:textId="752062FE" w:rsidR="00CF7FC1" w:rsidRPr="006315FA" w:rsidRDefault="00CF7FC1" w:rsidP="001A6C18">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 Klimatski atlas Hrvatske (DHMZ), studeni 2019.</w:t>
      </w:r>
    </w:p>
    <w:p w14:paraId="7682A24E" w14:textId="77777777" w:rsidR="008A2FB9" w:rsidRPr="00BB316B" w:rsidRDefault="008A2FB9" w:rsidP="00855D8D">
      <w:pPr>
        <w:pStyle w:val="Izvor"/>
      </w:pPr>
    </w:p>
    <w:p w14:paraId="2CABC5D8" w14:textId="7741EF7F" w:rsidR="00E9055B" w:rsidRDefault="00E9055B" w:rsidP="0052192B">
      <w:pPr>
        <w:pStyle w:val="Naslov2"/>
        <w:numPr>
          <w:ilvl w:val="1"/>
          <w:numId w:val="20"/>
        </w:numPr>
      </w:pPr>
      <w:bookmarkStart w:id="23" w:name="_Hlk59538496"/>
      <w:bookmarkStart w:id="24" w:name="_Hlk48568680"/>
      <w:bookmarkStart w:id="25" w:name="_Toc85181276"/>
      <w:r>
        <w:t>Prirodni resursi</w:t>
      </w:r>
      <w:bookmarkEnd w:id="25"/>
    </w:p>
    <w:bookmarkEnd w:id="23"/>
    <w:p w14:paraId="595669D6" w14:textId="77777777" w:rsidR="00BF1393" w:rsidRPr="00BF1393" w:rsidRDefault="00BF1393" w:rsidP="00BF1393">
      <w:r w:rsidRPr="00BF1393">
        <w:rPr>
          <w:b/>
          <w:bCs/>
        </w:rPr>
        <w:br/>
      </w:r>
      <w:r w:rsidRPr="00B576A7">
        <w:t>U Krapinsko-zagorskoj županiji razlikuju se tri osnovne vrste reljefa – naplavne ravni, brežuljkasti krajevi/pobrđa i gorski masivi</w:t>
      </w:r>
      <w:r w:rsidRPr="00BF1393">
        <w:rPr>
          <w:b/>
          <w:bCs/>
        </w:rPr>
        <w:t xml:space="preserve">. </w:t>
      </w:r>
      <w:r w:rsidRPr="00BF1393">
        <w:t>Naplavna ravan rijeke Krapine najznačajnija je i površinom najveća. Najniži naplavni dio doline nalazi se na 120 metara nadmorske visine i njena aluvijalna tla pogodna su za livade i sjenokoše. Odlike reljefa bitne su i za razvoj poslovnih zona, urbanizaciju te gradnju infrastrukturnih koridora značajnih za čitavu Županiju. Prigorski pojasevi na prisojnim, to jest južnim stranama predstavljaju prostor pogodan za razvoj vinogradarstva. Najznačajnija prigorja su Maceljska gora, Strahinjčica, Ivanščice/Ivančice i Cesargradska gora. Neobrađeni prostor prigorja najvećim je dijelom obrastao šumom.</w:t>
      </w:r>
    </w:p>
    <w:p w14:paraId="632714DA" w14:textId="55F4C4DD" w:rsidR="00BF1393" w:rsidRPr="001A2984" w:rsidRDefault="00273B7F" w:rsidP="00BF1393">
      <w:r w:rsidRPr="00273B7F">
        <w:t>Na tektonskim rasjednim pravcima ima termalno-mineralnih vrela koja se od davnih dana koriste kao toplice.</w:t>
      </w:r>
      <w:r>
        <w:rPr>
          <w:b/>
          <w:bCs/>
        </w:rPr>
        <w:t xml:space="preserve"> Upravo se m</w:t>
      </w:r>
      <w:r w:rsidR="00BF1393" w:rsidRPr="00BF1393">
        <w:rPr>
          <w:b/>
          <w:bCs/>
        </w:rPr>
        <w:t>eđu najvažnije resurse Krapinsko-zagorske županije ubrajaju termalni izvori te izvori pitke vode.</w:t>
      </w:r>
      <w:r w:rsidR="00BF1393" w:rsidRPr="00BF1393">
        <w:t xml:space="preserve"> Izvori pitke vode uglavnom su komercijalizirani, to jest, snabdijevaju lokalne i javne vodovode te stoga zahtijevaju pažljivo planiranje i provođenje mjera zaštite. Termalni izvori poput Stubičkih i Krapinskih Toplica koriste se u turističko-zdravstvene svrhe, dok se Tuheljske Toplice koriste u </w:t>
      </w:r>
      <w:r w:rsidR="00BF1393" w:rsidRPr="00BF1393">
        <w:lastRenderedPageBreak/>
        <w:t xml:space="preserve">turističko-rekreacijske svrhe. U Krapinsko-zagorskoj županiji termalni izvori također predstavljaju i neiskorišteni potencijal ove Županije. Sutinske Toplice, Šemničke Toplice i Krapinske Mrzlice više nisu u funkciji turizma, zdravstva ni rekreacije. Prema informacijama dobivenih od relevantnih dionika, Krapinske Mrzlice značajno su izgubile svoj zdravstveni, turistički i rekreativni potencijal, te je isplativost ulaganja upitna. Također, Sutinske Toplice nalaze se unutar teritorijalnog okvira kategoriziranog kao Značajni krajobraz, što također ograničava mogućnosti ulaganja u njihov razvoj. </w:t>
      </w:r>
      <w:r>
        <w:t>Termalne izvore potrebno je dodatno istražiti, budući da ne postoje cjelovita istraživanja koja bi utvrdila puni energetski potencijal. Za sada su potencijali geotermalnih voda nedovoljno iskorišteni.</w:t>
      </w:r>
      <w:r w:rsidR="00A01FB0" w:rsidRPr="00A01FB0">
        <w:rPr>
          <w:color w:val="FF0000"/>
        </w:rPr>
        <w:t xml:space="preserve"> </w:t>
      </w:r>
      <w:r w:rsidR="00A01FB0" w:rsidRPr="001A2984">
        <w:t>Rijeke i poplavna područja su izvor zaliha pitke vode, staništa za divljač, omogućuju zaštitu od poplava, proizvodnju drvne mase i ribe, ali također osiguravaju staništa mnogim biljnim i životinjskim vrstama, a područje na kojemu se nalaze može se upotrijebiti i za ekoturizam pazeći da turizam ne ugrozi temeljni prirodni fenomen.</w:t>
      </w:r>
    </w:p>
    <w:p w14:paraId="6D57CE6D" w14:textId="1708C887" w:rsidR="00BF1393" w:rsidRDefault="00BF1393" w:rsidP="00BF1393">
      <w:r w:rsidRPr="00BF1393">
        <w:rPr>
          <w:b/>
          <w:bCs/>
        </w:rPr>
        <w:t>Na području Županije dominantne su nemetalne mineralne sirovine</w:t>
      </w:r>
      <w:r w:rsidRPr="00BF1393">
        <w:t xml:space="preserve"> od kojih je najznačajnija eksploatacija i prerada tehničkog kamena, pijeska i opekarske gline. Prema podacima Ministarstva gospodarstva i Županije, 2014. godine u Krapinsko-zagorskoj županiji djelovalo je 17 rudarskih gospodarskih subjekata i obrta.</w:t>
      </w:r>
      <w:r w:rsidRPr="00BF1393">
        <w:rPr>
          <w:vertAlign w:val="superscript"/>
        </w:rPr>
        <w:footnoteReference w:id="3"/>
      </w:r>
      <w:r w:rsidRPr="00BF1393">
        <w:t xml:space="preserve"> Tablicom 88 iznosi se popis eksploatacijskih polja mineralnih sirovina za proizvodnju građevnog materijala temeljen na Izvješću o obavljenoj reviziji gospodarenje mineralnim sirovinama na području Krapinsko-zagorske županije.</w:t>
      </w:r>
      <w:r w:rsidRPr="00BF1393">
        <w:rPr>
          <w:vertAlign w:val="superscript"/>
        </w:rPr>
        <w:footnoteReference w:id="4"/>
      </w:r>
      <w:r w:rsidRPr="00BF1393">
        <w:t xml:space="preserve"> </w:t>
      </w:r>
    </w:p>
    <w:p w14:paraId="470190C0" w14:textId="77777777" w:rsidR="009A48C2" w:rsidRPr="00BF1393" w:rsidRDefault="009A48C2" w:rsidP="00BF1393"/>
    <w:p w14:paraId="2DB1D238" w14:textId="3C8371DF" w:rsidR="00BF1393" w:rsidRPr="0027751F" w:rsidRDefault="00BF1393" w:rsidP="003E3F3C">
      <w:pPr>
        <w:pStyle w:val="Opisslike"/>
      </w:pPr>
      <w:r w:rsidRPr="0027751F">
        <w:t xml:space="preserve">Tablica </w:t>
      </w:r>
      <w:r w:rsidR="00F81169">
        <w:t>4</w:t>
      </w:r>
      <w:r w:rsidRPr="0027751F">
        <w:t>. Eksploatacijska polja mineralnih sirovina</w:t>
      </w:r>
    </w:p>
    <w:tbl>
      <w:tblPr>
        <w:tblW w:w="5000" w:type="pct"/>
        <w:tblLook w:val="04A0" w:firstRow="1" w:lastRow="0" w:firstColumn="1" w:lastColumn="0" w:noHBand="0" w:noVBand="1"/>
      </w:tblPr>
      <w:tblGrid>
        <w:gridCol w:w="2348"/>
        <w:gridCol w:w="3229"/>
        <w:gridCol w:w="3703"/>
      </w:tblGrid>
      <w:tr w:rsidR="00BF1393" w:rsidRPr="00BF1393" w14:paraId="7581B3FB" w14:textId="77777777" w:rsidTr="00774A9A">
        <w:trPr>
          <w:trHeight w:val="398"/>
        </w:trPr>
        <w:tc>
          <w:tcPr>
            <w:tcW w:w="1265" w:type="pct"/>
            <w:tcBorders>
              <w:left w:val="single" w:sz="8" w:space="0" w:color="D2232A"/>
            </w:tcBorders>
            <w:shd w:val="clear" w:color="auto" w:fill="D2232A" w:themeFill="accent1"/>
            <w:hideMark/>
          </w:tcPr>
          <w:p w14:paraId="19DA7F1E" w14:textId="77777777" w:rsidR="00BF1393" w:rsidRPr="00601E5C" w:rsidRDefault="00BF1393" w:rsidP="00BF1393">
            <w:pPr>
              <w:rPr>
                <w:b/>
                <w:bCs/>
                <w:color w:val="FFFFFF" w:themeColor="background1"/>
                <w:lang w:val="en-GB"/>
              </w:rPr>
            </w:pPr>
            <w:r w:rsidRPr="00601E5C">
              <w:rPr>
                <w:b/>
                <w:bCs/>
                <w:color w:val="FFFFFF" w:themeColor="background1"/>
              </w:rPr>
              <w:t>Eksploatacijsko polje</w:t>
            </w:r>
          </w:p>
        </w:tc>
        <w:tc>
          <w:tcPr>
            <w:tcW w:w="1740" w:type="pct"/>
            <w:shd w:val="clear" w:color="auto" w:fill="D2232A" w:themeFill="accent1"/>
            <w:hideMark/>
          </w:tcPr>
          <w:p w14:paraId="6E4B7464" w14:textId="77777777" w:rsidR="00BF1393" w:rsidRPr="00601E5C" w:rsidRDefault="00BF1393" w:rsidP="00BF1393">
            <w:pPr>
              <w:rPr>
                <w:b/>
                <w:bCs/>
                <w:color w:val="FFFFFF" w:themeColor="background1"/>
              </w:rPr>
            </w:pPr>
            <w:r w:rsidRPr="00601E5C">
              <w:rPr>
                <w:b/>
                <w:bCs/>
                <w:color w:val="FFFFFF" w:themeColor="background1"/>
              </w:rPr>
              <w:t>Jedinica lokalne samouprave</w:t>
            </w:r>
          </w:p>
        </w:tc>
        <w:tc>
          <w:tcPr>
            <w:tcW w:w="1995" w:type="pct"/>
            <w:tcBorders>
              <w:right w:val="single" w:sz="8" w:space="0" w:color="D2232A"/>
            </w:tcBorders>
            <w:shd w:val="clear" w:color="auto" w:fill="D2232A" w:themeFill="accent1"/>
            <w:hideMark/>
          </w:tcPr>
          <w:p w14:paraId="5FBD2001" w14:textId="77777777" w:rsidR="00BF1393" w:rsidRPr="00601E5C" w:rsidRDefault="00BF1393" w:rsidP="00BF1393">
            <w:pPr>
              <w:rPr>
                <w:b/>
                <w:bCs/>
                <w:color w:val="FFFFFF" w:themeColor="background1"/>
              </w:rPr>
            </w:pPr>
            <w:r w:rsidRPr="00601E5C">
              <w:rPr>
                <w:b/>
                <w:bCs/>
                <w:color w:val="FFFFFF" w:themeColor="background1"/>
              </w:rPr>
              <w:t>Vrsta mineralne sirovine</w:t>
            </w:r>
          </w:p>
        </w:tc>
      </w:tr>
      <w:tr w:rsidR="00BF1393" w:rsidRPr="00BF1393" w14:paraId="6987F258" w14:textId="77777777" w:rsidTr="00774A9A">
        <w:trPr>
          <w:trHeight w:val="300"/>
        </w:trPr>
        <w:tc>
          <w:tcPr>
            <w:tcW w:w="1265" w:type="pct"/>
            <w:tcBorders>
              <w:left w:val="single" w:sz="8" w:space="0" w:color="D2232A"/>
              <w:bottom w:val="single" w:sz="8" w:space="0" w:color="F3CFC1"/>
            </w:tcBorders>
            <w:noWrap/>
            <w:vAlign w:val="center"/>
            <w:hideMark/>
          </w:tcPr>
          <w:p w14:paraId="0BE29A6D" w14:textId="77777777" w:rsidR="00BF1393" w:rsidRPr="00BF1393" w:rsidRDefault="00BF1393" w:rsidP="00BF1393">
            <w:r w:rsidRPr="00BF1393">
              <w:t>Lovno-Lovno 2</w:t>
            </w:r>
          </w:p>
        </w:tc>
        <w:tc>
          <w:tcPr>
            <w:tcW w:w="1740" w:type="pct"/>
            <w:tcBorders>
              <w:bottom w:val="single" w:sz="8" w:space="0" w:color="F3CFC1"/>
            </w:tcBorders>
            <w:noWrap/>
            <w:vAlign w:val="center"/>
            <w:hideMark/>
          </w:tcPr>
          <w:p w14:paraId="0F4AECFD" w14:textId="77777777" w:rsidR="00BF1393" w:rsidRPr="00BF1393" w:rsidRDefault="00BF1393" w:rsidP="00BF1393">
            <w:r w:rsidRPr="00BF1393">
              <w:t>Općina Novi Golubovec</w:t>
            </w:r>
          </w:p>
        </w:tc>
        <w:tc>
          <w:tcPr>
            <w:tcW w:w="1995" w:type="pct"/>
            <w:vMerge w:val="restart"/>
            <w:tcBorders>
              <w:bottom w:val="single" w:sz="8" w:space="0" w:color="F3CFC1"/>
              <w:right w:val="single" w:sz="8" w:space="0" w:color="D2232A"/>
            </w:tcBorders>
            <w:noWrap/>
            <w:hideMark/>
          </w:tcPr>
          <w:p w14:paraId="487271E3" w14:textId="77777777" w:rsidR="00BF1393" w:rsidRPr="00BF1393" w:rsidRDefault="00BF1393" w:rsidP="00501258">
            <w:pPr>
              <w:jc w:val="left"/>
            </w:pPr>
            <w:r w:rsidRPr="00BF1393">
              <w:t>Tehničko-građevni kamen</w:t>
            </w:r>
          </w:p>
        </w:tc>
      </w:tr>
      <w:tr w:rsidR="00BF1393" w:rsidRPr="00BF1393" w14:paraId="47C6E010" w14:textId="77777777" w:rsidTr="00774A9A">
        <w:trPr>
          <w:trHeight w:val="300"/>
        </w:trPr>
        <w:tc>
          <w:tcPr>
            <w:tcW w:w="1265" w:type="pct"/>
            <w:tcBorders>
              <w:top w:val="single" w:sz="8" w:space="0" w:color="F3CFC1"/>
              <w:left w:val="single" w:sz="8" w:space="0" w:color="D2232A"/>
              <w:bottom w:val="single" w:sz="8" w:space="0" w:color="F3CFC1"/>
            </w:tcBorders>
            <w:noWrap/>
            <w:vAlign w:val="center"/>
            <w:hideMark/>
          </w:tcPr>
          <w:p w14:paraId="1F6914DA" w14:textId="77777777" w:rsidR="00BF1393" w:rsidRPr="00BF1393" w:rsidRDefault="00BF1393" w:rsidP="00BF1393">
            <w:r w:rsidRPr="00BF1393">
              <w:t>Gorjak</w:t>
            </w:r>
          </w:p>
        </w:tc>
        <w:tc>
          <w:tcPr>
            <w:tcW w:w="1740" w:type="pct"/>
            <w:tcBorders>
              <w:top w:val="single" w:sz="8" w:space="0" w:color="F3CFC1"/>
              <w:bottom w:val="single" w:sz="8" w:space="0" w:color="F3CFC1"/>
            </w:tcBorders>
            <w:noWrap/>
            <w:vAlign w:val="center"/>
            <w:hideMark/>
          </w:tcPr>
          <w:p w14:paraId="1D51C4D7" w14:textId="77777777" w:rsidR="00BF1393" w:rsidRPr="00BF1393" w:rsidRDefault="00BF1393" w:rsidP="00BF1393">
            <w:r w:rsidRPr="00BF1393">
              <w:t>Općina Jesenje</w:t>
            </w:r>
          </w:p>
        </w:tc>
        <w:tc>
          <w:tcPr>
            <w:tcW w:w="0" w:type="auto"/>
            <w:vMerge/>
            <w:tcBorders>
              <w:top w:val="single" w:sz="8" w:space="0" w:color="F3CFC1"/>
              <w:bottom w:val="single" w:sz="8" w:space="0" w:color="F3CFC1"/>
              <w:right w:val="single" w:sz="8" w:space="0" w:color="D2232A"/>
            </w:tcBorders>
            <w:vAlign w:val="center"/>
            <w:hideMark/>
          </w:tcPr>
          <w:p w14:paraId="64F9372F" w14:textId="77777777" w:rsidR="00BF1393" w:rsidRPr="00BF1393" w:rsidRDefault="00BF1393" w:rsidP="00BF1393"/>
        </w:tc>
      </w:tr>
      <w:tr w:rsidR="00BF1393" w:rsidRPr="00BF1393" w14:paraId="2D49F17B" w14:textId="77777777" w:rsidTr="00774A9A">
        <w:trPr>
          <w:trHeight w:val="300"/>
        </w:trPr>
        <w:tc>
          <w:tcPr>
            <w:tcW w:w="1265" w:type="pct"/>
            <w:tcBorders>
              <w:top w:val="single" w:sz="8" w:space="0" w:color="F3CFC1"/>
              <w:left w:val="single" w:sz="8" w:space="0" w:color="D2232A"/>
              <w:bottom w:val="single" w:sz="8" w:space="0" w:color="F3CFC1"/>
            </w:tcBorders>
            <w:noWrap/>
            <w:vAlign w:val="center"/>
            <w:hideMark/>
          </w:tcPr>
          <w:p w14:paraId="338EA56C" w14:textId="77777777" w:rsidR="00BF1393" w:rsidRPr="00BF1393" w:rsidRDefault="00BF1393" w:rsidP="00BF1393">
            <w:r w:rsidRPr="00BF1393">
              <w:t>Pregrada II</w:t>
            </w:r>
          </w:p>
        </w:tc>
        <w:tc>
          <w:tcPr>
            <w:tcW w:w="1740" w:type="pct"/>
            <w:tcBorders>
              <w:top w:val="single" w:sz="8" w:space="0" w:color="F3CFC1"/>
              <w:bottom w:val="single" w:sz="8" w:space="0" w:color="F3CFC1"/>
            </w:tcBorders>
            <w:noWrap/>
            <w:vAlign w:val="center"/>
            <w:hideMark/>
          </w:tcPr>
          <w:p w14:paraId="026CF163" w14:textId="77777777" w:rsidR="00BF1393" w:rsidRPr="00BF1393" w:rsidRDefault="00BF1393" w:rsidP="00BF1393">
            <w:r w:rsidRPr="00BF1393">
              <w:t>Grad Pregrada</w:t>
            </w:r>
          </w:p>
        </w:tc>
        <w:tc>
          <w:tcPr>
            <w:tcW w:w="0" w:type="auto"/>
            <w:vMerge/>
            <w:tcBorders>
              <w:top w:val="single" w:sz="8" w:space="0" w:color="F3CFC1"/>
              <w:bottom w:val="single" w:sz="8" w:space="0" w:color="F3CFC1"/>
              <w:right w:val="single" w:sz="8" w:space="0" w:color="D2232A"/>
            </w:tcBorders>
            <w:vAlign w:val="center"/>
            <w:hideMark/>
          </w:tcPr>
          <w:p w14:paraId="28750B94" w14:textId="77777777" w:rsidR="00BF1393" w:rsidRPr="00BF1393" w:rsidRDefault="00BF1393" w:rsidP="00BF1393"/>
        </w:tc>
      </w:tr>
      <w:tr w:rsidR="00BF1393" w:rsidRPr="00BF1393" w14:paraId="32A3006F" w14:textId="77777777" w:rsidTr="00774A9A">
        <w:trPr>
          <w:trHeight w:val="300"/>
        </w:trPr>
        <w:tc>
          <w:tcPr>
            <w:tcW w:w="1265" w:type="pct"/>
            <w:tcBorders>
              <w:top w:val="single" w:sz="8" w:space="0" w:color="F3CFC1"/>
              <w:left w:val="single" w:sz="8" w:space="0" w:color="D2232A"/>
              <w:bottom w:val="single" w:sz="8" w:space="0" w:color="F3CFC1"/>
            </w:tcBorders>
            <w:noWrap/>
            <w:vAlign w:val="center"/>
            <w:hideMark/>
          </w:tcPr>
          <w:p w14:paraId="08C1B575" w14:textId="77777777" w:rsidR="00BF1393" w:rsidRPr="00BF1393" w:rsidRDefault="00BF1393" w:rsidP="00BF1393">
            <w:r w:rsidRPr="00BF1393">
              <w:t>Sveti Križ-Rudomar</w:t>
            </w:r>
          </w:p>
        </w:tc>
        <w:tc>
          <w:tcPr>
            <w:tcW w:w="1740" w:type="pct"/>
            <w:tcBorders>
              <w:top w:val="single" w:sz="8" w:space="0" w:color="F3CFC1"/>
              <w:bottom w:val="single" w:sz="8" w:space="0" w:color="F3CFC1"/>
            </w:tcBorders>
            <w:noWrap/>
            <w:vAlign w:val="center"/>
            <w:hideMark/>
          </w:tcPr>
          <w:p w14:paraId="0A5AFEB5" w14:textId="77777777" w:rsidR="00BF1393" w:rsidRPr="00BF1393" w:rsidRDefault="00BF1393" w:rsidP="00BF1393">
            <w:r w:rsidRPr="00BF1393">
              <w:t>Općina Tuhelj</w:t>
            </w:r>
          </w:p>
        </w:tc>
        <w:tc>
          <w:tcPr>
            <w:tcW w:w="0" w:type="auto"/>
            <w:vMerge/>
            <w:tcBorders>
              <w:top w:val="single" w:sz="8" w:space="0" w:color="F3CFC1"/>
              <w:bottom w:val="single" w:sz="8" w:space="0" w:color="F3CFC1"/>
              <w:right w:val="single" w:sz="8" w:space="0" w:color="D2232A"/>
            </w:tcBorders>
            <w:vAlign w:val="center"/>
            <w:hideMark/>
          </w:tcPr>
          <w:p w14:paraId="5FEA17E1" w14:textId="77777777" w:rsidR="00BF1393" w:rsidRPr="00BF1393" w:rsidRDefault="00BF1393" w:rsidP="00BF1393"/>
        </w:tc>
      </w:tr>
      <w:tr w:rsidR="00BF1393" w:rsidRPr="00BF1393" w14:paraId="1D85F063" w14:textId="77777777" w:rsidTr="00774A9A">
        <w:trPr>
          <w:trHeight w:val="300"/>
        </w:trPr>
        <w:tc>
          <w:tcPr>
            <w:tcW w:w="1265" w:type="pct"/>
            <w:tcBorders>
              <w:top w:val="single" w:sz="8" w:space="0" w:color="F3CFC1"/>
              <w:left w:val="single" w:sz="8" w:space="0" w:color="D2232A"/>
              <w:bottom w:val="single" w:sz="8" w:space="0" w:color="F3CFC1"/>
            </w:tcBorders>
            <w:noWrap/>
            <w:vAlign w:val="center"/>
            <w:hideMark/>
          </w:tcPr>
          <w:p w14:paraId="3254792B" w14:textId="77777777" w:rsidR="00BF1393" w:rsidRPr="00BF1393" w:rsidRDefault="00BF1393" w:rsidP="00BF1393">
            <w:r w:rsidRPr="00BF1393">
              <w:t>Križ</w:t>
            </w:r>
          </w:p>
        </w:tc>
        <w:tc>
          <w:tcPr>
            <w:tcW w:w="1740" w:type="pct"/>
            <w:tcBorders>
              <w:top w:val="single" w:sz="8" w:space="0" w:color="F3CFC1"/>
              <w:bottom w:val="single" w:sz="8" w:space="0" w:color="F3CFC1"/>
            </w:tcBorders>
            <w:noWrap/>
            <w:vAlign w:val="center"/>
            <w:hideMark/>
          </w:tcPr>
          <w:p w14:paraId="6DB92E1A" w14:textId="77777777" w:rsidR="00BF1393" w:rsidRPr="00BF1393" w:rsidRDefault="00BF1393" w:rsidP="00BF1393">
            <w:r w:rsidRPr="00BF1393">
              <w:t>Općina Tuhelj</w:t>
            </w:r>
          </w:p>
        </w:tc>
        <w:tc>
          <w:tcPr>
            <w:tcW w:w="0" w:type="auto"/>
            <w:vMerge/>
            <w:tcBorders>
              <w:top w:val="single" w:sz="8" w:space="0" w:color="F3CFC1"/>
              <w:bottom w:val="single" w:sz="8" w:space="0" w:color="F3CFC1"/>
              <w:right w:val="single" w:sz="8" w:space="0" w:color="D2232A"/>
            </w:tcBorders>
            <w:vAlign w:val="center"/>
            <w:hideMark/>
          </w:tcPr>
          <w:p w14:paraId="742A8039" w14:textId="77777777" w:rsidR="00BF1393" w:rsidRPr="00BF1393" w:rsidRDefault="00BF1393" w:rsidP="00BF1393"/>
        </w:tc>
      </w:tr>
      <w:tr w:rsidR="00BF1393" w:rsidRPr="00BF1393" w14:paraId="2BA97580" w14:textId="77777777" w:rsidTr="00774A9A">
        <w:trPr>
          <w:trHeight w:val="300"/>
        </w:trPr>
        <w:tc>
          <w:tcPr>
            <w:tcW w:w="1265" w:type="pct"/>
            <w:tcBorders>
              <w:top w:val="single" w:sz="8" w:space="0" w:color="F3CFC1"/>
              <w:left w:val="single" w:sz="8" w:space="0" w:color="D2232A"/>
              <w:bottom w:val="single" w:sz="8" w:space="0" w:color="F3CFC1"/>
            </w:tcBorders>
            <w:noWrap/>
            <w:vAlign w:val="center"/>
            <w:hideMark/>
          </w:tcPr>
          <w:p w14:paraId="3663CC2C" w14:textId="77777777" w:rsidR="00BF1393" w:rsidRPr="00BF1393" w:rsidRDefault="00BF1393" w:rsidP="00BF1393">
            <w:r w:rsidRPr="00BF1393">
              <w:t>Jelenje vode</w:t>
            </w:r>
          </w:p>
        </w:tc>
        <w:tc>
          <w:tcPr>
            <w:tcW w:w="1740" w:type="pct"/>
            <w:tcBorders>
              <w:top w:val="single" w:sz="8" w:space="0" w:color="F3CFC1"/>
              <w:bottom w:val="single" w:sz="8" w:space="0" w:color="F3CFC1"/>
            </w:tcBorders>
            <w:noWrap/>
            <w:vAlign w:val="center"/>
            <w:hideMark/>
          </w:tcPr>
          <w:p w14:paraId="2D9C9565" w14:textId="77777777" w:rsidR="00BF1393" w:rsidRPr="00BF1393" w:rsidRDefault="00BF1393" w:rsidP="00BF1393">
            <w:r w:rsidRPr="00BF1393">
              <w:t>Općina Donja Stubica</w:t>
            </w:r>
          </w:p>
        </w:tc>
        <w:tc>
          <w:tcPr>
            <w:tcW w:w="0" w:type="auto"/>
            <w:vMerge/>
            <w:tcBorders>
              <w:top w:val="single" w:sz="8" w:space="0" w:color="F3CFC1"/>
              <w:bottom w:val="single" w:sz="8" w:space="0" w:color="F3CFC1"/>
              <w:right w:val="single" w:sz="8" w:space="0" w:color="D2232A"/>
            </w:tcBorders>
            <w:vAlign w:val="center"/>
            <w:hideMark/>
          </w:tcPr>
          <w:p w14:paraId="6B1BFC43" w14:textId="77777777" w:rsidR="00BF1393" w:rsidRPr="00BF1393" w:rsidRDefault="00BF1393" w:rsidP="00BF1393"/>
        </w:tc>
      </w:tr>
      <w:tr w:rsidR="00BF1393" w:rsidRPr="00BF1393" w14:paraId="3BBFC1DB" w14:textId="77777777" w:rsidTr="00774A9A">
        <w:trPr>
          <w:trHeight w:val="300"/>
        </w:trPr>
        <w:tc>
          <w:tcPr>
            <w:tcW w:w="1265" w:type="pct"/>
            <w:tcBorders>
              <w:top w:val="single" w:sz="8" w:space="0" w:color="F3CFC1"/>
              <w:left w:val="single" w:sz="8" w:space="0" w:color="D2232A"/>
              <w:bottom w:val="single" w:sz="8" w:space="0" w:color="F3CFC1"/>
            </w:tcBorders>
            <w:noWrap/>
            <w:vAlign w:val="center"/>
            <w:hideMark/>
          </w:tcPr>
          <w:p w14:paraId="1F0D7D5A" w14:textId="77777777" w:rsidR="00BF1393" w:rsidRPr="00BF1393" w:rsidRDefault="00BF1393" w:rsidP="00BF1393">
            <w:r w:rsidRPr="00BF1393">
              <w:t>Sipina-Hum</w:t>
            </w:r>
          </w:p>
        </w:tc>
        <w:tc>
          <w:tcPr>
            <w:tcW w:w="1740" w:type="pct"/>
            <w:tcBorders>
              <w:top w:val="single" w:sz="8" w:space="0" w:color="F3CFC1"/>
              <w:bottom w:val="single" w:sz="8" w:space="0" w:color="F3CFC1"/>
            </w:tcBorders>
            <w:noWrap/>
            <w:vAlign w:val="center"/>
            <w:hideMark/>
          </w:tcPr>
          <w:p w14:paraId="638EB4F8" w14:textId="77777777" w:rsidR="00BF1393" w:rsidRPr="00BF1393" w:rsidRDefault="00BF1393" w:rsidP="00BF1393">
            <w:r w:rsidRPr="00BF1393">
              <w:t>Općina Novi Golubovec</w:t>
            </w:r>
          </w:p>
        </w:tc>
        <w:tc>
          <w:tcPr>
            <w:tcW w:w="0" w:type="auto"/>
            <w:vMerge/>
            <w:tcBorders>
              <w:top w:val="single" w:sz="8" w:space="0" w:color="F3CFC1"/>
              <w:bottom w:val="single" w:sz="8" w:space="0" w:color="F3CFC1"/>
              <w:right w:val="single" w:sz="8" w:space="0" w:color="D2232A"/>
            </w:tcBorders>
            <w:vAlign w:val="center"/>
            <w:hideMark/>
          </w:tcPr>
          <w:p w14:paraId="74C16EAC" w14:textId="77777777" w:rsidR="00BF1393" w:rsidRPr="00BF1393" w:rsidRDefault="00BF1393" w:rsidP="00BF1393"/>
        </w:tc>
      </w:tr>
      <w:tr w:rsidR="00BF1393" w:rsidRPr="00BF1393" w14:paraId="442236D9" w14:textId="77777777" w:rsidTr="00774A9A">
        <w:trPr>
          <w:trHeight w:val="300"/>
        </w:trPr>
        <w:tc>
          <w:tcPr>
            <w:tcW w:w="1265" w:type="pct"/>
            <w:tcBorders>
              <w:top w:val="single" w:sz="8" w:space="0" w:color="F3CFC1"/>
              <w:left w:val="single" w:sz="8" w:space="0" w:color="D2232A"/>
              <w:bottom w:val="single" w:sz="8" w:space="0" w:color="F3CFC1"/>
            </w:tcBorders>
            <w:noWrap/>
            <w:vAlign w:val="center"/>
            <w:hideMark/>
          </w:tcPr>
          <w:p w14:paraId="467CD4B0" w14:textId="77777777" w:rsidR="00BF1393" w:rsidRPr="00BF1393" w:rsidRDefault="00BF1393" w:rsidP="00BF1393">
            <w:r w:rsidRPr="00BF1393">
              <w:t>Vojnić Breg</w:t>
            </w:r>
          </w:p>
        </w:tc>
        <w:tc>
          <w:tcPr>
            <w:tcW w:w="1740" w:type="pct"/>
            <w:tcBorders>
              <w:top w:val="single" w:sz="8" w:space="0" w:color="F3CFC1"/>
              <w:bottom w:val="single" w:sz="8" w:space="0" w:color="F3CFC1"/>
            </w:tcBorders>
            <w:noWrap/>
            <w:vAlign w:val="center"/>
            <w:hideMark/>
          </w:tcPr>
          <w:p w14:paraId="3DF82D84" w14:textId="77777777" w:rsidR="00BF1393" w:rsidRPr="00BF1393" w:rsidRDefault="00BF1393" w:rsidP="00BF1393">
            <w:r w:rsidRPr="00BF1393">
              <w:t>Općina Bedekovčina</w:t>
            </w:r>
          </w:p>
        </w:tc>
        <w:tc>
          <w:tcPr>
            <w:tcW w:w="0" w:type="auto"/>
            <w:vMerge/>
            <w:tcBorders>
              <w:top w:val="single" w:sz="8" w:space="0" w:color="F3CFC1"/>
              <w:bottom w:val="single" w:sz="8" w:space="0" w:color="F3CFC1"/>
              <w:right w:val="single" w:sz="8" w:space="0" w:color="D2232A"/>
            </w:tcBorders>
            <w:vAlign w:val="center"/>
            <w:hideMark/>
          </w:tcPr>
          <w:p w14:paraId="74F70907" w14:textId="77777777" w:rsidR="00BF1393" w:rsidRPr="00BF1393" w:rsidRDefault="00BF1393" w:rsidP="00BF1393"/>
        </w:tc>
      </w:tr>
      <w:tr w:rsidR="00BF1393" w:rsidRPr="00BF1393" w14:paraId="43149EE7" w14:textId="77777777" w:rsidTr="00774A9A">
        <w:trPr>
          <w:trHeight w:val="315"/>
        </w:trPr>
        <w:tc>
          <w:tcPr>
            <w:tcW w:w="1265" w:type="pct"/>
            <w:tcBorders>
              <w:top w:val="single" w:sz="8" w:space="0" w:color="F3CFC1"/>
              <w:left w:val="single" w:sz="8" w:space="0" w:color="D2232A"/>
              <w:bottom w:val="single" w:sz="8" w:space="0" w:color="F3CFC1"/>
            </w:tcBorders>
            <w:noWrap/>
            <w:vAlign w:val="center"/>
            <w:hideMark/>
          </w:tcPr>
          <w:p w14:paraId="6F9EEC7C" w14:textId="77777777" w:rsidR="00BF1393" w:rsidRPr="00BF1393" w:rsidRDefault="00BF1393" w:rsidP="00BF1393">
            <w:r w:rsidRPr="00BF1393">
              <w:t>Straža-Vincelji</w:t>
            </w:r>
          </w:p>
        </w:tc>
        <w:tc>
          <w:tcPr>
            <w:tcW w:w="1740" w:type="pct"/>
            <w:tcBorders>
              <w:top w:val="single" w:sz="8" w:space="0" w:color="F3CFC1"/>
              <w:bottom w:val="single" w:sz="8" w:space="0" w:color="F3CFC1"/>
            </w:tcBorders>
            <w:noWrap/>
            <w:vAlign w:val="center"/>
            <w:hideMark/>
          </w:tcPr>
          <w:p w14:paraId="3EE34017" w14:textId="77777777" w:rsidR="00BF1393" w:rsidRPr="00BF1393" w:rsidRDefault="00BF1393" w:rsidP="00BF1393">
            <w:r w:rsidRPr="00BF1393">
              <w:t>Općina Đurmanec</w:t>
            </w:r>
          </w:p>
        </w:tc>
        <w:tc>
          <w:tcPr>
            <w:tcW w:w="0" w:type="auto"/>
            <w:vMerge/>
            <w:tcBorders>
              <w:top w:val="single" w:sz="8" w:space="0" w:color="F3CFC1"/>
              <w:bottom w:val="single" w:sz="8" w:space="0" w:color="F3CFC1"/>
              <w:right w:val="single" w:sz="8" w:space="0" w:color="D2232A"/>
            </w:tcBorders>
            <w:vAlign w:val="center"/>
            <w:hideMark/>
          </w:tcPr>
          <w:p w14:paraId="2F1E93B0" w14:textId="77777777" w:rsidR="00BF1393" w:rsidRPr="00BF1393" w:rsidRDefault="00BF1393" w:rsidP="00BF1393"/>
        </w:tc>
      </w:tr>
      <w:tr w:rsidR="00BF1393" w:rsidRPr="00BF1393" w14:paraId="2F8699F0" w14:textId="77777777" w:rsidTr="00774A9A">
        <w:trPr>
          <w:trHeight w:val="315"/>
        </w:trPr>
        <w:tc>
          <w:tcPr>
            <w:tcW w:w="1265" w:type="pct"/>
            <w:tcBorders>
              <w:top w:val="single" w:sz="8" w:space="0" w:color="F3CFC1"/>
              <w:left w:val="single" w:sz="8" w:space="0" w:color="D2232A"/>
              <w:bottom w:val="single" w:sz="8" w:space="0" w:color="F3CFC1"/>
            </w:tcBorders>
            <w:noWrap/>
            <w:vAlign w:val="center"/>
            <w:hideMark/>
          </w:tcPr>
          <w:p w14:paraId="0920E734" w14:textId="77777777" w:rsidR="00BF1393" w:rsidRPr="00BF1393" w:rsidRDefault="00BF1393" w:rsidP="00BF1393">
            <w:r w:rsidRPr="00BF1393">
              <w:t>Đurđevićev brijeg</w:t>
            </w:r>
          </w:p>
        </w:tc>
        <w:tc>
          <w:tcPr>
            <w:tcW w:w="1740" w:type="pct"/>
            <w:tcBorders>
              <w:top w:val="single" w:sz="8" w:space="0" w:color="F3CFC1"/>
              <w:bottom w:val="single" w:sz="8" w:space="0" w:color="F3CFC1"/>
            </w:tcBorders>
            <w:noWrap/>
            <w:vAlign w:val="center"/>
            <w:hideMark/>
          </w:tcPr>
          <w:p w14:paraId="4E525CDA" w14:textId="77777777" w:rsidR="00BF1393" w:rsidRPr="00BF1393" w:rsidRDefault="00BF1393" w:rsidP="00BF1393">
            <w:r w:rsidRPr="00BF1393">
              <w:t>Općina Bedekovčina</w:t>
            </w:r>
          </w:p>
        </w:tc>
        <w:tc>
          <w:tcPr>
            <w:tcW w:w="1995" w:type="pct"/>
            <w:tcBorders>
              <w:top w:val="single" w:sz="8" w:space="0" w:color="F3CFC1"/>
              <w:bottom w:val="single" w:sz="8" w:space="0" w:color="F3CFC1"/>
              <w:right w:val="single" w:sz="8" w:space="0" w:color="D2232A"/>
            </w:tcBorders>
            <w:noWrap/>
            <w:hideMark/>
          </w:tcPr>
          <w:p w14:paraId="48C1026B" w14:textId="77777777" w:rsidR="00BF1393" w:rsidRPr="00BF1393" w:rsidRDefault="00BF1393" w:rsidP="00BF1393">
            <w:r w:rsidRPr="00BF1393">
              <w:t>Opekarska glina</w:t>
            </w:r>
          </w:p>
        </w:tc>
      </w:tr>
      <w:tr w:rsidR="00BF1393" w:rsidRPr="00BF1393" w14:paraId="22C858A2" w14:textId="77777777" w:rsidTr="00774A9A">
        <w:trPr>
          <w:trHeight w:val="300"/>
        </w:trPr>
        <w:tc>
          <w:tcPr>
            <w:tcW w:w="1265" w:type="pct"/>
            <w:tcBorders>
              <w:top w:val="single" w:sz="8" w:space="0" w:color="F3CFC1"/>
              <w:left w:val="single" w:sz="8" w:space="0" w:color="D2232A"/>
              <w:bottom w:val="single" w:sz="8" w:space="0" w:color="F3CFC1"/>
            </w:tcBorders>
            <w:noWrap/>
            <w:vAlign w:val="center"/>
            <w:hideMark/>
          </w:tcPr>
          <w:p w14:paraId="59CC6893" w14:textId="77777777" w:rsidR="00BF1393" w:rsidRPr="00BF1393" w:rsidRDefault="00BF1393" w:rsidP="00BF1393">
            <w:r w:rsidRPr="00BF1393">
              <w:t>Rolnjak</w:t>
            </w:r>
          </w:p>
        </w:tc>
        <w:tc>
          <w:tcPr>
            <w:tcW w:w="1740" w:type="pct"/>
            <w:tcBorders>
              <w:top w:val="single" w:sz="8" w:space="0" w:color="F3CFC1"/>
              <w:bottom w:val="single" w:sz="8" w:space="0" w:color="F3CFC1"/>
            </w:tcBorders>
            <w:noWrap/>
            <w:vAlign w:val="center"/>
            <w:hideMark/>
          </w:tcPr>
          <w:p w14:paraId="11D4A7D2" w14:textId="77777777" w:rsidR="00BF1393" w:rsidRPr="00BF1393" w:rsidRDefault="00BF1393" w:rsidP="00BF1393">
            <w:r w:rsidRPr="00BF1393">
              <w:t>Općina Veliko Trgovišće</w:t>
            </w:r>
          </w:p>
        </w:tc>
        <w:tc>
          <w:tcPr>
            <w:tcW w:w="1995" w:type="pct"/>
            <w:vMerge w:val="restart"/>
            <w:tcBorders>
              <w:top w:val="single" w:sz="8" w:space="0" w:color="F3CFC1"/>
              <w:bottom w:val="single" w:sz="8" w:space="0" w:color="F3CFC1"/>
              <w:right w:val="single" w:sz="8" w:space="0" w:color="D2232A"/>
            </w:tcBorders>
            <w:hideMark/>
          </w:tcPr>
          <w:p w14:paraId="2636E3A8" w14:textId="77777777" w:rsidR="00BF1393" w:rsidRPr="00BF1393" w:rsidRDefault="00BF1393" w:rsidP="00BF1393">
            <w:r w:rsidRPr="00BF1393">
              <w:t>Građevinski šljunak i pijesak</w:t>
            </w:r>
          </w:p>
        </w:tc>
      </w:tr>
      <w:tr w:rsidR="00BF1393" w:rsidRPr="00BF1393" w14:paraId="65C5AC5D" w14:textId="77777777" w:rsidTr="00774A9A">
        <w:trPr>
          <w:trHeight w:val="315"/>
        </w:trPr>
        <w:tc>
          <w:tcPr>
            <w:tcW w:w="1265" w:type="pct"/>
            <w:tcBorders>
              <w:top w:val="single" w:sz="8" w:space="0" w:color="F3CFC1"/>
              <w:left w:val="single" w:sz="8" w:space="0" w:color="D2232A"/>
            </w:tcBorders>
            <w:noWrap/>
            <w:vAlign w:val="center"/>
            <w:hideMark/>
          </w:tcPr>
          <w:p w14:paraId="7AFD05F5" w14:textId="77777777" w:rsidR="00BF1393" w:rsidRPr="00BF1393" w:rsidRDefault="00BF1393" w:rsidP="00BF1393">
            <w:r w:rsidRPr="00BF1393">
              <w:t>Pušave</w:t>
            </w:r>
          </w:p>
        </w:tc>
        <w:tc>
          <w:tcPr>
            <w:tcW w:w="1740" w:type="pct"/>
            <w:tcBorders>
              <w:top w:val="single" w:sz="8" w:space="0" w:color="F3CFC1"/>
            </w:tcBorders>
            <w:noWrap/>
            <w:vAlign w:val="center"/>
            <w:hideMark/>
          </w:tcPr>
          <w:p w14:paraId="57DA704E" w14:textId="77777777" w:rsidR="00BF1393" w:rsidRPr="00BF1393" w:rsidRDefault="00BF1393" w:rsidP="00BF1393">
            <w:r w:rsidRPr="00BF1393">
              <w:t>Općina Kraljevec na Sutli</w:t>
            </w:r>
          </w:p>
        </w:tc>
        <w:tc>
          <w:tcPr>
            <w:tcW w:w="0" w:type="auto"/>
            <w:vMerge/>
            <w:tcBorders>
              <w:top w:val="single" w:sz="8" w:space="0" w:color="F3CFC1"/>
              <w:right w:val="single" w:sz="8" w:space="0" w:color="D2232A"/>
            </w:tcBorders>
            <w:vAlign w:val="center"/>
            <w:hideMark/>
          </w:tcPr>
          <w:p w14:paraId="7213342E" w14:textId="77777777" w:rsidR="00BF1393" w:rsidRPr="00BF1393" w:rsidRDefault="00BF1393" w:rsidP="00BF1393"/>
        </w:tc>
      </w:tr>
    </w:tbl>
    <w:p w14:paraId="6B725C1A" w14:textId="77777777" w:rsidR="00BF1393" w:rsidRPr="006315FA" w:rsidRDefault="00BF1393" w:rsidP="00640497">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 Izvješće o obavljenoj reviziji ''Gospodarenje mineralnim sirovinama na području Krapinsko-zagorske županije'', 2016.</w:t>
      </w:r>
    </w:p>
    <w:p w14:paraId="1D443600" w14:textId="77777777" w:rsidR="00BF1393" w:rsidRPr="00BF1393" w:rsidRDefault="00BF1393" w:rsidP="00BF1393">
      <w:pPr>
        <w:rPr>
          <w:i/>
        </w:rPr>
      </w:pPr>
    </w:p>
    <w:p w14:paraId="5CD86ED9" w14:textId="77777777" w:rsidR="00BF1393" w:rsidRPr="00BF1393" w:rsidRDefault="00BF1393" w:rsidP="00BF1393">
      <w:r w:rsidRPr="00BF1393">
        <w:t>S obzirom da su mineralne sirovine najvećim dijelom neobnovljivi prirodni resurs ograničenih rezervi, eksploatacijska polja utvrđuju se do isteka rezervi mineralnih sirovina te je odredbama Zakona o rudarstvu propisana obveza dostave podataka i dokumentacije o rezervama mineralnih sirovina te podataka o godišnjoj eksploataciji mineralnih sirovina. Ukupne potvrđene eksploatacijske rezerve mineralnih sirovina za proizvodnju građevnog materijala na području Županije do konca 2015., prema podacima prikupljenim od Ureda državne uprave (Rješenja o potvrđivanju kakvoće i količine rezervi) na odobrenim eksploatacijskim poljima u Županiji, iznose 18.562.032 m</w:t>
      </w:r>
      <w:r w:rsidRPr="00BF1393">
        <w:rPr>
          <w:vertAlign w:val="superscript"/>
        </w:rPr>
        <w:t>3</w:t>
      </w:r>
      <w:r w:rsidRPr="00BF1393">
        <w:t>, od čega se 17.479.081 m</w:t>
      </w:r>
      <w:r w:rsidRPr="00BF1393">
        <w:rPr>
          <w:vertAlign w:val="superscript"/>
        </w:rPr>
        <w:t>3</w:t>
      </w:r>
      <w:r w:rsidRPr="00BF1393">
        <w:t xml:space="preserve"> odnosi na tehničko-građevni, a 1.082.951 m</w:t>
      </w:r>
      <w:r w:rsidRPr="00BF1393">
        <w:rPr>
          <w:vertAlign w:val="superscript"/>
        </w:rPr>
        <w:t xml:space="preserve">3 </w:t>
      </w:r>
      <w:r w:rsidRPr="00BF1393">
        <w:t>na opekarsku glinu. Prema podacima o rezervama mineralnih sirovina i podacima koncesionara do konca 2015. eksploatirano je 2.518.624 m</w:t>
      </w:r>
      <w:r w:rsidRPr="00BF1393">
        <w:rPr>
          <w:vertAlign w:val="superscript"/>
        </w:rPr>
        <w:t>3</w:t>
      </w:r>
      <w:r w:rsidRPr="00BF1393">
        <w:t>, te eksploatacijske rezerve iznose 16.043.408 m</w:t>
      </w:r>
      <w:r w:rsidRPr="00BF1393">
        <w:rPr>
          <w:vertAlign w:val="superscript"/>
        </w:rPr>
        <w:t xml:space="preserve">3 </w:t>
      </w:r>
      <w:r w:rsidRPr="00BF1393">
        <w:t>mineralne sirovine za proizvodnju građevnog materijala, od čega se 14.960.457 m</w:t>
      </w:r>
      <w:r w:rsidRPr="00BF1393">
        <w:rPr>
          <w:vertAlign w:val="superscript"/>
        </w:rPr>
        <w:t>3</w:t>
      </w:r>
      <w:r w:rsidRPr="00BF1393">
        <w:t xml:space="preserve"> odnosi na tehničko-građevni kamen, a 1.082.951 m</w:t>
      </w:r>
      <w:r w:rsidRPr="00BF1393">
        <w:rPr>
          <w:vertAlign w:val="superscript"/>
        </w:rPr>
        <w:t xml:space="preserve">3 </w:t>
      </w:r>
      <w:r w:rsidRPr="00BF1393">
        <w:t>na opekarsku glinu.  U 2012. godini ukupno 1,16% ukupnog prihoda gospodarstva otpada na djelatnost rudarstvo i vađenje te u tom sektoru djeluje 8 poduzetnika.</w:t>
      </w:r>
    </w:p>
    <w:p w14:paraId="3E7BFAC5" w14:textId="77777777" w:rsidR="009C32B1" w:rsidRDefault="00BF1393" w:rsidP="00BF1393">
      <w:r w:rsidRPr="00BF1393">
        <w:t xml:space="preserve">Sve do 70-ih godina prošloga stoljeća eksploatirao se ugljen (lignitni slojevi Konjščinske sinklinale, potez Mali Tabor – Klenovec – Lupinjak - Hlevnica te južno područje Ivančice), no uslijed iscrpljenja rezervi i neekonomičnosti eksploatacije, svi ugljenokopi su </w:t>
      </w:r>
      <w:r w:rsidRPr="00BF1393">
        <w:lastRenderedPageBreak/>
        <w:t>zatvoreni. Zbog svoje vatrostalnosti od osobitog značenja su crne i tamne gline kod Bedekovčine te se eksploatacija vrši za potrebe opekarske industrije u Bedekovčini. Kamenolomi Kunagore (Pregrada), Strahinjčice (Gorjak), Ivančice (Očura) i Cesargradske gore (Sv. Križ) aktivni su i predstavljaju glavna eksploatacijska polja građevnog kamena. Glavnu gorsku masu tvore vapnenci donjeg i gornjeg trijasa (vapnenci i dolomitni vapnenci).</w:t>
      </w:r>
    </w:p>
    <w:p w14:paraId="48E50659" w14:textId="53CB9D83" w:rsidR="00BF1393" w:rsidRPr="001A2984" w:rsidRDefault="00BF1393" w:rsidP="00A01FB0">
      <w:r w:rsidRPr="00BF1393">
        <w:rPr>
          <w:b/>
          <w:bCs/>
        </w:rPr>
        <w:t>Šume i šumska zemljišta</w:t>
      </w:r>
      <w:r w:rsidRPr="00BF1393">
        <w:t xml:space="preserve"> u Republici Hrvatskoj, dobra su od općeg interesa te uživaju posebnu zaštitu države i koriste se pod uvjetima i na način koji su propisani Zakonom o šumama. Šume u Republici Hrvatskoj pokrivaju 37% ukupnog državnog teritorija i zajedno sa šumskim zemljištem čine jedinstveno šumskogospodarsko područje na 2.485.300 ha ukupne površine. Od toga je 81% šuma u državnom vlasništvu, a 19% u privatnom. Prema namjeni šume mogu biti gospodarske, zaštitne i šume s posebnom namjenom. Gospodarske šume koriste se prvenstveno za proizvodnju drva i drugih šumskih proizvoda. Zaštitne šume služe kao zaštita zemljišta od erozije, vodnih tokova, naselja, gospodarskih i drugih objekata.</w:t>
      </w:r>
      <w:r w:rsidRPr="00BF1393">
        <w:rPr>
          <w:vertAlign w:val="superscript"/>
        </w:rPr>
        <w:footnoteReference w:id="5"/>
      </w:r>
      <w:r w:rsidR="009322D1">
        <w:t xml:space="preserve"> </w:t>
      </w:r>
      <w:r w:rsidRPr="00BF1393">
        <w:t xml:space="preserve">Šume u Krapinsko-zagorskoj županiji zauzimaju </w:t>
      </w:r>
      <w:r w:rsidR="00243DAC">
        <w:t>44.080,26</w:t>
      </w:r>
      <w:r w:rsidRPr="00BF1393">
        <w:t xml:space="preserve"> hektara ili 43,7% površine, nešto više od prosjeka Republike Hrvatske. Od navedenog, privatne šume zauzimaju 34.424 hektara (64,0%), dok državne šume zauzimaju </w:t>
      </w:r>
      <w:r w:rsidR="001C6230">
        <w:t>9.655,79</w:t>
      </w:r>
      <w:r w:rsidRPr="00BF1393">
        <w:t xml:space="preserve"> hektara ili 35,9% šumske površine. Temeljne negativne karakteristike šuma u privatnom vlasništvu su rascjepkanost parcela na koje su šume podijeljene, mala površina kojom upravlja pojedini vlasnik, te sub-optimalno gospodarenje u odnosu na državne šume. Kao razlozi potonjeg spominju se prepreke iznikle iz nedovoljne educiranosti vlasnika šuma te neažuriranih podataka vezanih uz privatna šumska dobra. Ukupno stanje tih šuma ocjenjuje se negativno, što se posljedično nepovoljno odražava na njihovu biološku raznolikost i gospodarsku vrijednost.</w:t>
      </w:r>
      <w:r w:rsidR="00A01FB0" w:rsidRPr="001A2984">
        <w:t xml:space="preserve"> Korist od šuma je mnogostruka. Najvažnije od njih svakako su bogatstvo drvenom masom, koje omogućuje drvnu industriju, zatim pročišćavanje vode, zaštita zemljišta i prometnica od erozije, bujica i poplava, povoljan utjecaj na vodni režim i podzemne vode, povoljan utjecaj na plodnost tla i poljodjelsku proizvodnju, zaštita i razvoj čovjekova okoliša, stvaranje kisika i pročišćavanje atmosfere, upijanje ugljikova dioksida i ublažavanje klimatskih promjenama, rekreacijska, turistička i zdravstvena dobrobit te utjecaj na faunu i lov.</w:t>
      </w:r>
    </w:p>
    <w:p w14:paraId="378DE4C8" w14:textId="77777777" w:rsidR="00CF7FC1" w:rsidRPr="00CF7FC1" w:rsidRDefault="00CF7FC1" w:rsidP="00CF7FC1"/>
    <w:p w14:paraId="64271985" w14:textId="50DAD208" w:rsidR="00E9055B" w:rsidRDefault="00E9055B" w:rsidP="0052192B">
      <w:pPr>
        <w:pStyle w:val="Naslov2"/>
        <w:numPr>
          <w:ilvl w:val="1"/>
          <w:numId w:val="20"/>
        </w:numPr>
      </w:pPr>
      <w:bookmarkStart w:id="26" w:name="_Toc85181277"/>
      <w:bookmarkEnd w:id="24"/>
      <w:r>
        <w:t>Zaštićeni dijelovi prirode i ekološka mreža Natura 2000 u KZŽ</w:t>
      </w:r>
      <w:bookmarkEnd w:id="26"/>
    </w:p>
    <w:p w14:paraId="16CBB3DF" w14:textId="77777777" w:rsidR="007929FB" w:rsidRDefault="007929FB" w:rsidP="007929FB">
      <w:pPr>
        <w:rPr>
          <w:color w:val="D2232A" w:themeColor="accent1"/>
        </w:rPr>
      </w:pPr>
    </w:p>
    <w:p w14:paraId="5747C314" w14:textId="0E2A8BE6" w:rsidR="00777ACC" w:rsidRPr="001A2984" w:rsidRDefault="00777ACC" w:rsidP="00777ACC">
      <w:r w:rsidRPr="001A2984">
        <w:t xml:space="preserve">Javna ustanova za upravljanje zaštićenim dijelovima prirode ima ključnu ulogu u sustavnom pristupu zaštiti i očuvanju prirodne baštine </w:t>
      </w:r>
      <w:r w:rsidR="00E63CEF" w:rsidRPr="001A2984">
        <w:t>Krapinsko- zagorska županij</w:t>
      </w:r>
      <w:r w:rsidRPr="001A2984">
        <w:t xml:space="preserve">e, a započela je s radom </w:t>
      </w:r>
      <w:r w:rsidR="00144A0F" w:rsidRPr="001A2984">
        <w:t>200</w:t>
      </w:r>
      <w:r w:rsidRPr="001A2984">
        <w:t xml:space="preserve">5. </w:t>
      </w:r>
      <w:r w:rsidR="00144A0F" w:rsidRPr="001A2984">
        <w:t>godine</w:t>
      </w:r>
      <w:r w:rsidR="00E63CEF" w:rsidRPr="001A2984">
        <w:t xml:space="preserve">. Javna ustanova obavlja djelatnosti zaštite, održavanja, promicanja zaštićenih područja, osiguravanja održivog korištenja prirodnih dobara, nadziranje provođenja uvjeta i mjera zaštite prirode, prikupljanje podataka u svrhu praćenja stanja očuvanosti prirode i dr. </w:t>
      </w:r>
      <w:r w:rsidRPr="001A2984">
        <w:t xml:space="preserve">Također ustanova provodi regionalne i prekogranične projekte </w:t>
      </w:r>
      <w:r w:rsidR="00C93AD7" w:rsidRPr="001A2984">
        <w:t xml:space="preserve">sufinancirane sredstvima EU </w:t>
      </w:r>
      <w:r w:rsidRPr="001A2984">
        <w:t>u kojima se vodi računa o zaštićenim prirodnim vrijednostima i o očuvanju i promociji bogate biološke i krajobrazne raznolikosti županije</w:t>
      </w:r>
      <w:r w:rsidR="00C93AD7" w:rsidRPr="001A2984">
        <w:t xml:space="preserve"> (</w:t>
      </w:r>
      <w:r w:rsidR="00081B4D" w:rsidRPr="001A2984">
        <w:t xml:space="preserve">npr. </w:t>
      </w:r>
      <w:r w:rsidR="00C93AD7" w:rsidRPr="001A2984">
        <w:t>projekt Enjoyheritage, Zagorje abeceda prirode</w:t>
      </w:r>
      <w:r w:rsidR="00BA474A" w:rsidRPr="001A2984">
        <w:t>, Veze prirode, Uređenje planinarsko- poučne staze Putovima orhideja).</w:t>
      </w:r>
    </w:p>
    <w:p w14:paraId="361132E9" w14:textId="494C4E8C" w:rsidR="0004029C" w:rsidRDefault="007929FB" w:rsidP="00777ACC">
      <w:bookmarkStart w:id="27" w:name="_Hlk58846661"/>
      <w:r w:rsidRPr="001A2984">
        <w:t>U Krapinsko-zagorskoj županiji zaštićeno je</w:t>
      </w:r>
      <w:r w:rsidRPr="001A2984">
        <w:rPr>
          <w:rFonts w:ascii="Calibri" w:hAnsi="Calibri" w:cs="Calibri"/>
        </w:rPr>
        <w:t> </w:t>
      </w:r>
      <w:r w:rsidRPr="001A2984">
        <w:t>17 područja</w:t>
      </w:r>
      <w:r w:rsidRPr="001A2984">
        <w:rPr>
          <w:rFonts w:ascii="Calibri" w:hAnsi="Calibri" w:cs="Calibri"/>
        </w:rPr>
        <w:t> </w:t>
      </w:r>
      <w:r w:rsidRPr="001A2984">
        <w:t>u četiri kategorije: park prirode, spomenik prirode, značajni krajobraz i spomenik parkovne arhitekture. Površina zaštićenih područja iznosi</w:t>
      </w:r>
      <w:r w:rsidRPr="001A2984">
        <w:rPr>
          <w:rFonts w:ascii="Calibri" w:hAnsi="Calibri" w:cs="Calibri"/>
        </w:rPr>
        <w:t> </w:t>
      </w:r>
      <w:r w:rsidRPr="001A2984">
        <w:t>6522,01 ha</w:t>
      </w:r>
      <w:r w:rsidRPr="001A2984">
        <w:rPr>
          <w:rFonts w:ascii="Calibri" w:hAnsi="Calibri" w:cs="Calibri"/>
        </w:rPr>
        <w:t> </w:t>
      </w:r>
      <w:r w:rsidRPr="001A2984">
        <w:t>te je zaštićeno</w:t>
      </w:r>
      <w:r w:rsidR="009C32B1" w:rsidRPr="001A2984">
        <w:t xml:space="preserve"> </w:t>
      </w:r>
      <w:r w:rsidRPr="001A2984">
        <w:rPr>
          <w:rFonts w:ascii="Calibri" w:hAnsi="Calibri" w:cs="Calibri"/>
        </w:rPr>
        <w:t> </w:t>
      </w:r>
      <w:r w:rsidRPr="001A2984">
        <w:t>5,3 %</w:t>
      </w:r>
      <w:r w:rsidRPr="001A2984">
        <w:rPr>
          <w:rFonts w:ascii="Calibri" w:hAnsi="Calibri" w:cs="Calibri"/>
        </w:rPr>
        <w:t> </w:t>
      </w:r>
      <w:r w:rsidRPr="001A2984">
        <w:t>površine Županije</w:t>
      </w:r>
      <w:bookmarkEnd w:id="27"/>
      <w:r w:rsidR="00B75DE4" w:rsidRPr="001B1365">
        <w:rPr>
          <w:rStyle w:val="Referencafusnote"/>
          <w:color w:val="auto"/>
        </w:rPr>
        <w:footnoteReference w:id="6"/>
      </w:r>
      <w:r w:rsidR="001B1365">
        <w:rPr>
          <w:color w:val="auto"/>
        </w:rPr>
        <w:t xml:space="preserve">. </w:t>
      </w:r>
      <w:r w:rsidR="006C6994" w:rsidRPr="001A2984">
        <w:t xml:space="preserve">Krapinsko-zagorska županija pripada u skupinu regija u kojima je zaštita prirode i prirodnih vrijednosti te njihovo uključivanje u turističku ponudu </w:t>
      </w:r>
      <w:r w:rsidR="00144A0F" w:rsidRPr="001A2984">
        <w:t>važan razvojni potencijal.</w:t>
      </w:r>
      <w:r w:rsidR="006C6994" w:rsidRPr="001A2984">
        <w:t xml:space="preserve"> </w:t>
      </w:r>
      <w:r w:rsidRPr="00BF1393">
        <w:t>U sljedećoj tablici navedena su zaštićena područja Krapinsko-zagorske županije.</w:t>
      </w:r>
    </w:p>
    <w:p w14:paraId="36947AFB" w14:textId="77777777" w:rsidR="001B1365" w:rsidRPr="001A2984" w:rsidRDefault="001B1365" w:rsidP="00777ACC"/>
    <w:p w14:paraId="4672E1D4" w14:textId="325F3047" w:rsidR="007929FB" w:rsidRPr="00BF1393" w:rsidRDefault="007929FB" w:rsidP="003E3F3C">
      <w:pPr>
        <w:pStyle w:val="Opisslike"/>
      </w:pPr>
      <w:r w:rsidRPr="00BF1393">
        <w:t xml:space="preserve">Tablica </w:t>
      </w:r>
      <w:r w:rsidR="00F81169">
        <w:t>5</w:t>
      </w:r>
      <w:r w:rsidRPr="00BF1393">
        <w:t>. Zaštićena područja Krapinsko-zagorske županije</w:t>
      </w:r>
    </w:p>
    <w:tbl>
      <w:tblPr>
        <w:tblW w:w="0" w:type="auto"/>
        <w:tblLook w:val="04A0" w:firstRow="1" w:lastRow="0" w:firstColumn="1" w:lastColumn="0" w:noHBand="0" w:noVBand="1"/>
      </w:tblPr>
      <w:tblGrid>
        <w:gridCol w:w="1703"/>
        <w:gridCol w:w="2326"/>
        <w:gridCol w:w="2661"/>
        <w:gridCol w:w="2326"/>
      </w:tblGrid>
      <w:tr w:rsidR="007929FB" w:rsidRPr="00BF1393" w14:paraId="3468F493" w14:textId="77777777" w:rsidTr="00CC658B">
        <w:trPr>
          <w:trHeight w:val="615"/>
        </w:trPr>
        <w:tc>
          <w:tcPr>
            <w:tcW w:w="1703" w:type="dxa"/>
            <w:tcBorders>
              <w:left w:val="single" w:sz="8" w:space="0" w:color="D2232A"/>
            </w:tcBorders>
            <w:shd w:val="clear" w:color="auto" w:fill="D2232A" w:themeFill="accent1"/>
            <w:vAlign w:val="center"/>
            <w:hideMark/>
          </w:tcPr>
          <w:p w14:paraId="404E6D8A" w14:textId="77777777" w:rsidR="007929FB" w:rsidRPr="007929FB" w:rsidRDefault="007929FB" w:rsidP="00CC658B">
            <w:pPr>
              <w:rPr>
                <w:b/>
                <w:bCs/>
                <w:color w:val="FFFFFF" w:themeColor="background1"/>
                <w:lang w:val="en-GB"/>
              </w:rPr>
            </w:pPr>
            <w:r w:rsidRPr="007929FB">
              <w:rPr>
                <w:b/>
                <w:bCs/>
                <w:color w:val="FFFFFF" w:themeColor="background1"/>
              </w:rPr>
              <w:t>KATEGORIJA</w:t>
            </w:r>
          </w:p>
        </w:tc>
        <w:tc>
          <w:tcPr>
            <w:tcW w:w="2326" w:type="dxa"/>
            <w:shd w:val="clear" w:color="auto" w:fill="D2232A" w:themeFill="accent1"/>
            <w:vAlign w:val="center"/>
            <w:hideMark/>
          </w:tcPr>
          <w:p w14:paraId="1BCD13B6" w14:textId="77777777" w:rsidR="007929FB" w:rsidRPr="007929FB" w:rsidRDefault="007929FB" w:rsidP="00CC658B">
            <w:pPr>
              <w:rPr>
                <w:b/>
                <w:bCs/>
                <w:color w:val="FFFFFF" w:themeColor="background1"/>
              </w:rPr>
            </w:pPr>
            <w:r w:rsidRPr="007929FB">
              <w:rPr>
                <w:b/>
                <w:bCs/>
                <w:color w:val="FFFFFF" w:themeColor="background1"/>
              </w:rPr>
              <w:t>NAZIV</w:t>
            </w:r>
          </w:p>
        </w:tc>
        <w:tc>
          <w:tcPr>
            <w:tcW w:w="2661" w:type="dxa"/>
            <w:shd w:val="clear" w:color="auto" w:fill="D2232A" w:themeFill="accent1"/>
            <w:vAlign w:val="center"/>
            <w:hideMark/>
          </w:tcPr>
          <w:p w14:paraId="2579F906" w14:textId="59637276" w:rsidR="007929FB" w:rsidRPr="007929FB" w:rsidRDefault="007929FB" w:rsidP="00CC658B">
            <w:pPr>
              <w:rPr>
                <w:b/>
                <w:bCs/>
                <w:color w:val="FFFFFF" w:themeColor="background1"/>
              </w:rPr>
            </w:pPr>
            <w:r w:rsidRPr="007929FB">
              <w:rPr>
                <w:b/>
                <w:bCs/>
                <w:color w:val="FFFFFF" w:themeColor="background1"/>
              </w:rPr>
              <w:t>POVRŠINA</w:t>
            </w:r>
            <w:r w:rsidR="008535AB">
              <w:rPr>
                <w:b/>
                <w:bCs/>
                <w:color w:val="FFFFFF" w:themeColor="background1"/>
              </w:rPr>
              <w:t xml:space="preserve"> (</w:t>
            </w:r>
            <w:r w:rsidRPr="007929FB">
              <w:rPr>
                <w:b/>
                <w:bCs/>
                <w:color w:val="FFFFFF" w:themeColor="background1"/>
              </w:rPr>
              <w:t>ha</w:t>
            </w:r>
            <w:r w:rsidR="008535AB">
              <w:rPr>
                <w:b/>
                <w:bCs/>
                <w:color w:val="FFFFFF" w:themeColor="background1"/>
              </w:rPr>
              <w:t>)</w:t>
            </w:r>
          </w:p>
        </w:tc>
        <w:tc>
          <w:tcPr>
            <w:tcW w:w="2326" w:type="dxa"/>
            <w:tcBorders>
              <w:right w:val="single" w:sz="8" w:space="0" w:color="D2232A"/>
            </w:tcBorders>
            <w:shd w:val="clear" w:color="auto" w:fill="D2232A" w:themeFill="accent1"/>
            <w:vAlign w:val="center"/>
            <w:hideMark/>
          </w:tcPr>
          <w:p w14:paraId="53530EBB" w14:textId="77777777" w:rsidR="007929FB" w:rsidRPr="007929FB" w:rsidRDefault="007929FB" w:rsidP="00CC658B">
            <w:pPr>
              <w:rPr>
                <w:b/>
                <w:bCs/>
                <w:color w:val="FFFFFF" w:themeColor="background1"/>
              </w:rPr>
            </w:pPr>
            <w:r w:rsidRPr="007929FB">
              <w:rPr>
                <w:b/>
                <w:bCs/>
                <w:color w:val="FFFFFF" w:themeColor="background1"/>
              </w:rPr>
              <w:t>GODINA PROGLAŠENJA ZAŠTITE</w:t>
            </w:r>
          </w:p>
        </w:tc>
      </w:tr>
      <w:tr w:rsidR="007929FB" w:rsidRPr="00BF1393" w14:paraId="0C789295" w14:textId="77777777" w:rsidTr="00CC658B">
        <w:trPr>
          <w:trHeight w:val="315"/>
        </w:trPr>
        <w:tc>
          <w:tcPr>
            <w:tcW w:w="1703" w:type="dxa"/>
            <w:tcBorders>
              <w:top w:val="single" w:sz="8" w:space="0" w:color="F3CFC1"/>
              <w:left w:val="single" w:sz="8" w:space="0" w:color="D2232A"/>
              <w:bottom w:val="single" w:sz="8" w:space="0" w:color="F3CFC1"/>
              <w:right w:val="single" w:sz="8" w:space="0" w:color="D2232A"/>
            </w:tcBorders>
            <w:noWrap/>
            <w:vAlign w:val="center"/>
            <w:hideMark/>
          </w:tcPr>
          <w:p w14:paraId="74216E17" w14:textId="77777777" w:rsidR="007929FB" w:rsidRPr="00BF1393" w:rsidRDefault="007929FB" w:rsidP="00CC658B">
            <w:pPr>
              <w:rPr>
                <w:b/>
                <w:bCs/>
              </w:rPr>
            </w:pPr>
            <w:r w:rsidRPr="00BF1393">
              <w:rPr>
                <w:b/>
                <w:bCs/>
              </w:rPr>
              <w:t>Park prirode</w:t>
            </w: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41895274" w14:textId="31FF43A1" w:rsidR="007929FB" w:rsidRPr="00BF1393" w:rsidRDefault="007929FB" w:rsidP="00CC658B">
            <w:r w:rsidRPr="00BF1393">
              <w:t>Medvednica</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4C2D0DC6" w14:textId="1FAF3310" w:rsidR="007929FB" w:rsidRPr="00BF1393" w:rsidRDefault="00605E9B" w:rsidP="00CC658B">
            <w:r>
              <w:t>5465,68</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77763267" w14:textId="77777777" w:rsidR="007929FB" w:rsidRPr="00BF1393" w:rsidRDefault="007929FB" w:rsidP="00CC658B">
            <w:r w:rsidRPr="00BF1393">
              <w:t>1981.</w:t>
            </w:r>
          </w:p>
        </w:tc>
      </w:tr>
      <w:tr w:rsidR="007929FB" w:rsidRPr="00BF1393" w14:paraId="33F9375E" w14:textId="77777777" w:rsidTr="00CC658B">
        <w:trPr>
          <w:trHeight w:val="315"/>
        </w:trPr>
        <w:tc>
          <w:tcPr>
            <w:tcW w:w="1703" w:type="dxa"/>
            <w:vMerge w:val="restart"/>
            <w:tcBorders>
              <w:top w:val="single" w:sz="8" w:space="0" w:color="F3CFC1"/>
              <w:left w:val="single" w:sz="8" w:space="0" w:color="D2232A"/>
              <w:bottom w:val="single" w:sz="8" w:space="0" w:color="F3CFC1"/>
              <w:right w:val="single" w:sz="8" w:space="0" w:color="D2232A"/>
            </w:tcBorders>
            <w:vAlign w:val="center"/>
            <w:hideMark/>
          </w:tcPr>
          <w:p w14:paraId="089C06AB" w14:textId="77777777" w:rsidR="007929FB" w:rsidRPr="00BF1393" w:rsidRDefault="007929FB" w:rsidP="00CC658B">
            <w:pPr>
              <w:rPr>
                <w:b/>
                <w:bCs/>
              </w:rPr>
            </w:pPr>
            <w:bookmarkStart w:id="28" w:name="_Hlk58913078"/>
            <w:r w:rsidRPr="00BF1393">
              <w:rPr>
                <w:b/>
                <w:bCs/>
              </w:rPr>
              <w:t>Spomenik prirode</w:t>
            </w: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64B88BDC" w14:textId="77777777" w:rsidR="007929FB" w:rsidRPr="00BF1393" w:rsidRDefault="007929FB" w:rsidP="00CC658B">
            <w:r w:rsidRPr="00BF1393">
              <w:t>Hušnjakovo</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16DA6A8A" w14:textId="15114613" w:rsidR="007929FB" w:rsidRPr="00BF1393" w:rsidRDefault="007929FB" w:rsidP="00CC658B">
            <w:r w:rsidRPr="00BF1393">
              <w:t>2</w:t>
            </w:r>
            <w:r w:rsidR="00176FFD">
              <w:t>,</w:t>
            </w:r>
            <w:r w:rsidRPr="00BF1393">
              <w:t>44</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5435EE06" w14:textId="77777777" w:rsidR="007929FB" w:rsidRPr="00BF1393" w:rsidRDefault="007929FB" w:rsidP="00CC658B">
            <w:r w:rsidRPr="00BF1393">
              <w:t>1948.</w:t>
            </w:r>
          </w:p>
        </w:tc>
      </w:tr>
      <w:tr w:rsidR="007929FB" w:rsidRPr="00BF1393" w14:paraId="009BC1D8" w14:textId="77777777" w:rsidTr="00CC658B">
        <w:trPr>
          <w:trHeight w:val="3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7ACDED28"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491019D5" w14:textId="77777777" w:rsidR="007929FB" w:rsidRPr="00BF1393" w:rsidRDefault="007929FB" w:rsidP="00CC658B">
            <w:r w:rsidRPr="00BF1393">
              <w:t>Gupčeva lipa</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09BBD56D" w14:textId="77777777" w:rsidR="007929FB" w:rsidRPr="00BF1393" w:rsidRDefault="007929FB" w:rsidP="00CC658B">
            <w:r w:rsidRPr="00BF1393">
              <w:t>0</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05F7704C" w14:textId="77777777" w:rsidR="007929FB" w:rsidRPr="00BF1393" w:rsidRDefault="007929FB" w:rsidP="00CC658B">
            <w:r w:rsidRPr="00BF1393">
              <w:t>1957.</w:t>
            </w:r>
          </w:p>
        </w:tc>
      </w:tr>
      <w:tr w:rsidR="007929FB" w:rsidRPr="00BF1393" w14:paraId="33673DFA" w14:textId="77777777" w:rsidTr="00CC658B">
        <w:trPr>
          <w:trHeight w:val="3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726831B7"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224826CE" w14:textId="77777777" w:rsidR="007929FB" w:rsidRPr="00BF1393" w:rsidRDefault="007929FB" w:rsidP="00CC658B">
            <w:r w:rsidRPr="00BF1393">
              <w:t>Horvatove stube - tisa</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45056C73" w14:textId="77777777" w:rsidR="007929FB" w:rsidRPr="00BF1393" w:rsidRDefault="007929FB" w:rsidP="00CC658B">
            <w:r w:rsidRPr="00BF1393">
              <w:t>0</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7C1E59C8" w14:textId="77777777" w:rsidR="007929FB" w:rsidRPr="00BF1393" w:rsidRDefault="007929FB" w:rsidP="00CC658B">
            <w:r w:rsidRPr="00BF1393">
              <w:t>1964.</w:t>
            </w:r>
          </w:p>
        </w:tc>
      </w:tr>
      <w:tr w:rsidR="007929FB" w:rsidRPr="00BF1393" w14:paraId="2AA608E2" w14:textId="77777777" w:rsidTr="00CC658B">
        <w:trPr>
          <w:trHeight w:val="3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1AC15E17"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074349A9" w14:textId="4822A37C" w:rsidR="007929FB" w:rsidRPr="00BF1393" w:rsidRDefault="007929FB" w:rsidP="00CC658B">
            <w:r w:rsidRPr="00BF1393">
              <w:t>Hrast Galženjak</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3B6D9FCD" w14:textId="77777777" w:rsidR="007929FB" w:rsidRPr="00BF1393" w:rsidRDefault="007929FB" w:rsidP="00CC658B">
            <w:r w:rsidRPr="00BF1393">
              <w:t>0</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77985948" w14:textId="77777777" w:rsidR="007929FB" w:rsidRPr="00BF1393" w:rsidRDefault="007929FB" w:rsidP="00CC658B">
            <w:r w:rsidRPr="00BF1393">
              <w:t>1965.</w:t>
            </w:r>
          </w:p>
        </w:tc>
      </w:tr>
      <w:bookmarkEnd w:id="28"/>
      <w:tr w:rsidR="007929FB" w:rsidRPr="00BF1393" w14:paraId="3383DC7C" w14:textId="77777777" w:rsidTr="00CC658B">
        <w:trPr>
          <w:trHeight w:val="600"/>
        </w:trPr>
        <w:tc>
          <w:tcPr>
            <w:tcW w:w="1703" w:type="dxa"/>
            <w:vMerge w:val="restart"/>
            <w:tcBorders>
              <w:top w:val="single" w:sz="8" w:space="0" w:color="F3CFC1"/>
              <w:left w:val="single" w:sz="8" w:space="0" w:color="D2232A"/>
              <w:bottom w:val="single" w:sz="8" w:space="0" w:color="F3CFC1"/>
              <w:right w:val="single" w:sz="8" w:space="0" w:color="D2232A"/>
            </w:tcBorders>
            <w:vAlign w:val="center"/>
            <w:hideMark/>
          </w:tcPr>
          <w:p w14:paraId="3EAF84F8" w14:textId="77777777" w:rsidR="007929FB" w:rsidRPr="00BF1393" w:rsidRDefault="007929FB" w:rsidP="00CC658B">
            <w:pPr>
              <w:rPr>
                <w:b/>
                <w:bCs/>
              </w:rPr>
            </w:pPr>
            <w:r w:rsidRPr="00BF1393">
              <w:rPr>
                <w:b/>
                <w:bCs/>
              </w:rPr>
              <w:lastRenderedPageBreak/>
              <w:t>Značajni krajobraz</w:t>
            </w: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6E8CE0C7" w14:textId="77777777" w:rsidR="007929FB" w:rsidRPr="00BF1393" w:rsidRDefault="007929FB" w:rsidP="00CC658B">
            <w:r w:rsidRPr="00BF1393">
              <w:t>Zelenjak - Risvička i Cesarska gora</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2D982576" w14:textId="77777777" w:rsidR="007929FB" w:rsidRPr="00BF1393" w:rsidRDefault="007929FB" w:rsidP="00CC658B">
            <w:r w:rsidRPr="00BF1393">
              <w:t>287,3</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40E1DA63" w14:textId="77777777" w:rsidR="007929FB" w:rsidRPr="00BF1393" w:rsidRDefault="007929FB" w:rsidP="00CC658B">
            <w:r w:rsidRPr="00BF1393">
              <w:t>2011.</w:t>
            </w:r>
          </w:p>
        </w:tc>
      </w:tr>
      <w:tr w:rsidR="007929FB" w:rsidRPr="00BF1393" w14:paraId="1BEEBA5C" w14:textId="77777777" w:rsidTr="00CC658B">
        <w:trPr>
          <w:trHeight w:val="3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64AE56B0"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0F408F62" w14:textId="77777777" w:rsidR="007929FB" w:rsidRPr="00BF1393" w:rsidRDefault="007929FB" w:rsidP="00CC658B">
            <w:r w:rsidRPr="00BF1393">
              <w:t>Područje Sutinskih toplica</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3AC9563A" w14:textId="2B767241" w:rsidR="007929FB" w:rsidRPr="00BF1393" w:rsidRDefault="007929FB" w:rsidP="00CC658B">
            <w:r w:rsidRPr="00BF1393">
              <w:t>117,4</w:t>
            </w:r>
            <w:r w:rsidR="00F46AD2">
              <w:t>2</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58FDCEAD" w14:textId="77777777" w:rsidR="007929FB" w:rsidRPr="00BF1393" w:rsidRDefault="007929FB" w:rsidP="00CC658B">
            <w:r w:rsidRPr="00BF1393">
              <w:t>1980.</w:t>
            </w:r>
          </w:p>
        </w:tc>
      </w:tr>
      <w:tr w:rsidR="007929FB" w:rsidRPr="00BF1393" w14:paraId="2223C2E5" w14:textId="77777777" w:rsidTr="00CC658B">
        <w:trPr>
          <w:trHeight w:val="615"/>
        </w:trPr>
        <w:tc>
          <w:tcPr>
            <w:tcW w:w="1703" w:type="dxa"/>
            <w:vMerge w:val="restart"/>
            <w:tcBorders>
              <w:top w:val="single" w:sz="8" w:space="0" w:color="F3CFC1"/>
              <w:left w:val="single" w:sz="8" w:space="0" w:color="D2232A"/>
              <w:bottom w:val="single" w:sz="8" w:space="0" w:color="F3CFC1"/>
              <w:right w:val="single" w:sz="8" w:space="0" w:color="D2232A"/>
            </w:tcBorders>
            <w:vAlign w:val="center"/>
            <w:hideMark/>
          </w:tcPr>
          <w:p w14:paraId="30702A66" w14:textId="77777777" w:rsidR="007929FB" w:rsidRPr="00BF1393" w:rsidRDefault="007929FB" w:rsidP="00CC658B">
            <w:pPr>
              <w:rPr>
                <w:b/>
                <w:bCs/>
              </w:rPr>
            </w:pPr>
            <w:r w:rsidRPr="00BF1393">
              <w:rPr>
                <w:b/>
                <w:bCs/>
              </w:rPr>
              <w:t>Spomenik parkovne arhitekture</w:t>
            </w: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5A174FC3" w14:textId="40596B5B" w:rsidR="007929FB" w:rsidRPr="00BF1393" w:rsidRDefault="007929FB" w:rsidP="00CC658B">
            <w:r w:rsidRPr="00BF1393">
              <w:t xml:space="preserve">Park </w:t>
            </w:r>
            <w:r w:rsidR="009868EF">
              <w:t>uz dvorac Hellenbach u</w:t>
            </w:r>
            <w:r w:rsidRPr="00BF1393">
              <w:t xml:space="preserve"> Mariji Bistrici</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4B5BDB55" w14:textId="72F7E76F" w:rsidR="007929FB" w:rsidRPr="00BF1393" w:rsidRDefault="007929FB" w:rsidP="00CC658B">
            <w:r w:rsidRPr="00BF1393">
              <w:t>1,9</w:t>
            </w:r>
            <w:r w:rsidR="00F46AD2">
              <w:t>1</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1DFA3083" w14:textId="77777777" w:rsidR="007929FB" w:rsidRPr="00BF1393" w:rsidRDefault="007929FB" w:rsidP="00CC658B">
            <w:r w:rsidRPr="00BF1393">
              <w:t>1950.</w:t>
            </w:r>
          </w:p>
        </w:tc>
      </w:tr>
      <w:tr w:rsidR="007929FB" w:rsidRPr="00BF1393" w14:paraId="4C2D2D54" w14:textId="77777777" w:rsidTr="00CC658B">
        <w:trPr>
          <w:trHeight w:val="6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50F89299"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6B1CD564" w14:textId="368DD74D" w:rsidR="007929FB" w:rsidRPr="00BF1393" w:rsidRDefault="007929FB" w:rsidP="00CC658B">
            <w:r w:rsidRPr="00BF1393">
              <w:t>Park u</w:t>
            </w:r>
            <w:r w:rsidR="009868EF">
              <w:t>z dvorac</w:t>
            </w:r>
            <w:r w:rsidRPr="00BF1393">
              <w:t xml:space="preserve"> Stubičk</w:t>
            </w:r>
            <w:r w:rsidR="009868EF">
              <w:t>i</w:t>
            </w:r>
            <w:r w:rsidRPr="00BF1393">
              <w:t xml:space="preserve"> Golubov</w:t>
            </w:r>
            <w:r w:rsidR="009868EF">
              <w:t>e</w:t>
            </w:r>
            <w:r w:rsidRPr="00BF1393">
              <w:t>c</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4C33470D" w14:textId="168C1089" w:rsidR="007929FB" w:rsidRPr="00BF1393" w:rsidRDefault="007929FB" w:rsidP="00CC658B">
            <w:r w:rsidRPr="00BF1393">
              <w:t>21,</w:t>
            </w:r>
            <w:r w:rsidR="00F46AD2">
              <w:t>97</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6639A2F3" w14:textId="77777777" w:rsidR="007929FB" w:rsidRPr="00BF1393" w:rsidRDefault="007929FB" w:rsidP="00CC658B">
            <w:r w:rsidRPr="00BF1393">
              <w:t>1952.</w:t>
            </w:r>
          </w:p>
        </w:tc>
      </w:tr>
      <w:tr w:rsidR="007929FB" w:rsidRPr="00BF1393" w14:paraId="04BCCCBC" w14:textId="77777777" w:rsidTr="00CC658B">
        <w:trPr>
          <w:trHeight w:val="3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7C30BC50"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74B5503B" w14:textId="09162A66" w:rsidR="007929FB" w:rsidRPr="00BF1393" w:rsidRDefault="007929FB" w:rsidP="00CC658B">
            <w:r w:rsidRPr="00BF1393">
              <w:t xml:space="preserve">Park </w:t>
            </w:r>
            <w:r w:rsidR="009868EF">
              <w:t>uz dvorac</w:t>
            </w:r>
            <w:r w:rsidRPr="00BF1393">
              <w:t xml:space="preserve"> Mirkov</w:t>
            </w:r>
            <w:r w:rsidR="009868EF">
              <w:t>ec</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6AD3DB58" w14:textId="61EB3618" w:rsidR="007929FB" w:rsidRPr="00BF1393" w:rsidRDefault="0004029C" w:rsidP="00CC658B">
            <w:r>
              <w:t>5</w:t>
            </w:r>
            <w:r w:rsidR="007929FB" w:rsidRPr="00BF1393">
              <w:t>,</w:t>
            </w:r>
            <w:r>
              <w:t>21</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5C92BF2B" w14:textId="77777777" w:rsidR="007929FB" w:rsidRPr="00BF1393" w:rsidRDefault="007929FB" w:rsidP="00CC658B">
            <w:r w:rsidRPr="00BF1393">
              <w:t>1965.</w:t>
            </w:r>
          </w:p>
        </w:tc>
      </w:tr>
      <w:tr w:rsidR="007929FB" w:rsidRPr="00BF1393" w14:paraId="1BBDB674" w14:textId="77777777" w:rsidTr="00CC658B">
        <w:trPr>
          <w:trHeight w:val="6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5A07024A"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59EFC159" w14:textId="77777777" w:rsidR="007929FB" w:rsidRPr="00BF1393" w:rsidRDefault="007929FB" w:rsidP="00CC658B">
            <w:r w:rsidRPr="00BF1393">
              <w:t>Park oko dvorca Gornja Bedekovčina</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5DD965D2" w14:textId="7A09F4DC" w:rsidR="007929FB" w:rsidRPr="00BF1393" w:rsidRDefault="007929FB" w:rsidP="00CC658B">
            <w:r w:rsidRPr="00BF1393">
              <w:t>6,5</w:t>
            </w:r>
            <w:r w:rsidR="00F46AD2">
              <w:t>1</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7824181B" w14:textId="77777777" w:rsidR="007929FB" w:rsidRPr="00BF1393" w:rsidRDefault="007929FB" w:rsidP="00CC658B">
            <w:r w:rsidRPr="00BF1393">
              <w:t>1965.</w:t>
            </w:r>
          </w:p>
        </w:tc>
      </w:tr>
      <w:tr w:rsidR="007929FB" w:rsidRPr="00BF1393" w14:paraId="41FB0074" w14:textId="77777777" w:rsidTr="00CC658B">
        <w:trPr>
          <w:trHeight w:val="3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580D3052"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0D038BC4" w14:textId="3E9FBACF" w:rsidR="007929FB" w:rsidRPr="00BF1393" w:rsidRDefault="007929FB" w:rsidP="00CC658B">
            <w:r w:rsidRPr="00BF1393">
              <w:t xml:space="preserve">Park </w:t>
            </w:r>
            <w:r w:rsidR="009868EF">
              <w:t>i drvored uz dvorac</w:t>
            </w:r>
            <w:r w:rsidRPr="00BF1393">
              <w:t xml:space="preserve"> Bežan</w:t>
            </w:r>
            <w:r w:rsidR="009868EF">
              <w:t>e</w:t>
            </w:r>
            <w:r w:rsidRPr="00BF1393">
              <w:t>c</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5C1586BD" w14:textId="7500E28E" w:rsidR="007929FB" w:rsidRPr="00BF1393" w:rsidRDefault="00F46AD2" w:rsidP="00CC658B">
            <w:r>
              <w:t>3</w:t>
            </w:r>
            <w:r w:rsidR="007929FB" w:rsidRPr="00BF1393">
              <w:t>,</w:t>
            </w:r>
            <w:r>
              <w:t>21</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40DEE4C4" w14:textId="77777777" w:rsidR="007929FB" w:rsidRPr="00BF1393" w:rsidRDefault="007929FB" w:rsidP="00CC658B">
            <w:r w:rsidRPr="00BF1393">
              <w:t>1965.</w:t>
            </w:r>
          </w:p>
        </w:tc>
      </w:tr>
      <w:tr w:rsidR="007929FB" w:rsidRPr="00BF1393" w14:paraId="75B933E7" w14:textId="77777777" w:rsidTr="00CC658B">
        <w:trPr>
          <w:trHeight w:val="6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554D4665"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10926BE2" w14:textId="77777777" w:rsidR="007929FB" w:rsidRPr="00BF1393" w:rsidRDefault="007929FB" w:rsidP="00CC658B">
            <w:r w:rsidRPr="00BF1393">
              <w:t>Park oko dvorca Oroslavje Donje</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5C4172C0" w14:textId="41DD79CC" w:rsidR="007929FB" w:rsidRPr="00BF1393" w:rsidRDefault="007929FB" w:rsidP="00CC658B">
            <w:r w:rsidRPr="00BF1393">
              <w:t>5,</w:t>
            </w:r>
            <w:r w:rsidR="0004029C">
              <w:t>43</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55DC0BB0" w14:textId="77777777" w:rsidR="007929FB" w:rsidRPr="00BF1393" w:rsidRDefault="007929FB" w:rsidP="00CC658B">
            <w:r w:rsidRPr="00BF1393">
              <w:t>1965.</w:t>
            </w:r>
          </w:p>
        </w:tc>
      </w:tr>
      <w:tr w:rsidR="007929FB" w:rsidRPr="00BF1393" w14:paraId="1F1EFC86" w14:textId="77777777" w:rsidTr="00CC658B">
        <w:trPr>
          <w:trHeight w:val="3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5D09245F"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42C5294D" w14:textId="77777777" w:rsidR="007929FB" w:rsidRPr="00BF1393" w:rsidRDefault="007929FB" w:rsidP="00CC658B">
            <w:r w:rsidRPr="00BF1393">
              <w:t>Park oko dvorca u Selnici</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20CE522E" w14:textId="175F83E1" w:rsidR="007929FB" w:rsidRPr="00BF1393" w:rsidRDefault="009E7F70" w:rsidP="00CC658B">
            <w:r>
              <w:t>12</w:t>
            </w:r>
            <w:r w:rsidR="007929FB" w:rsidRPr="00BF1393">
              <w:t>,</w:t>
            </w:r>
            <w:r>
              <w:t>08</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26337512" w14:textId="77777777" w:rsidR="007929FB" w:rsidRPr="00BF1393" w:rsidRDefault="007929FB" w:rsidP="00CC658B">
            <w:r w:rsidRPr="00BF1393">
              <w:t>1969.</w:t>
            </w:r>
          </w:p>
        </w:tc>
      </w:tr>
      <w:tr w:rsidR="007929FB" w:rsidRPr="00BF1393" w14:paraId="156E3E28" w14:textId="77777777" w:rsidTr="00CC658B">
        <w:trPr>
          <w:trHeight w:val="3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02CA5103"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269299A3" w14:textId="77777777" w:rsidR="007929FB" w:rsidRPr="00BF1393" w:rsidRDefault="007929FB" w:rsidP="00CC658B">
            <w:r w:rsidRPr="00BF1393">
              <w:t>Park oko dvorca Klokovec</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611CC8DF" w14:textId="19CB7252" w:rsidR="007929FB" w:rsidRPr="00BF1393" w:rsidRDefault="007929FB" w:rsidP="00CC658B">
            <w:r w:rsidRPr="00BF1393">
              <w:t>4,</w:t>
            </w:r>
            <w:r w:rsidR="000E1497">
              <w:t>78</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28530EDF" w14:textId="77777777" w:rsidR="007929FB" w:rsidRPr="00BF1393" w:rsidRDefault="007929FB" w:rsidP="00CC658B">
            <w:r w:rsidRPr="00BF1393">
              <w:t>1970.</w:t>
            </w:r>
          </w:p>
        </w:tc>
      </w:tr>
      <w:tr w:rsidR="007929FB" w:rsidRPr="00BF1393" w14:paraId="086C0FA9" w14:textId="77777777" w:rsidTr="00CC658B">
        <w:trPr>
          <w:trHeight w:val="315"/>
        </w:trPr>
        <w:tc>
          <w:tcPr>
            <w:tcW w:w="0" w:type="auto"/>
            <w:vMerge/>
            <w:tcBorders>
              <w:top w:val="single" w:sz="8" w:space="0" w:color="F3CFC1"/>
              <w:left w:val="single" w:sz="8" w:space="0" w:color="D2232A"/>
              <w:bottom w:val="single" w:sz="8" w:space="0" w:color="F3CFC1"/>
              <w:right w:val="single" w:sz="8" w:space="0" w:color="D2232A"/>
            </w:tcBorders>
            <w:vAlign w:val="center"/>
            <w:hideMark/>
          </w:tcPr>
          <w:p w14:paraId="41534066" w14:textId="77777777" w:rsidR="007929FB" w:rsidRPr="00BF1393" w:rsidRDefault="007929FB" w:rsidP="00CC658B">
            <w:pPr>
              <w:rPr>
                <w:b/>
                <w:bCs/>
              </w:rPr>
            </w:pPr>
          </w:p>
        </w:tc>
        <w:tc>
          <w:tcPr>
            <w:tcW w:w="2326" w:type="dxa"/>
            <w:tcBorders>
              <w:top w:val="single" w:sz="8" w:space="0" w:color="F3CFC1"/>
              <w:left w:val="single" w:sz="8" w:space="0" w:color="D2232A"/>
              <w:bottom w:val="single" w:sz="8" w:space="0" w:color="F3CFC1"/>
              <w:right w:val="single" w:sz="8" w:space="0" w:color="D2232A"/>
            </w:tcBorders>
            <w:vAlign w:val="center"/>
            <w:hideMark/>
          </w:tcPr>
          <w:p w14:paraId="31DA67EA" w14:textId="17CF212F" w:rsidR="007929FB" w:rsidRPr="00BF1393" w:rsidRDefault="007929FB" w:rsidP="00CC658B">
            <w:r w:rsidRPr="00BF1393">
              <w:t>Park oko dvorca Miljan</w:t>
            </w:r>
            <w:r w:rsidR="009868EF">
              <w:t>a</w:t>
            </w:r>
          </w:p>
        </w:tc>
        <w:tc>
          <w:tcPr>
            <w:tcW w:w="2661" w:type="dxa"/>
            <w:tcBorders>
              <w:top w:val="single" w:sz="8" w:space="0" w:color="F3CFC1"/>
              <w:left w:val="single" w:sz="8" w:space="0" w:color="D2232A"/>
              <w:bottom w:val="single" w:sz="8" w:space="0" w:color="F3CFC1"/>
              <w:right w:val="single" w:sz="8" w:space="0" w:color="D2232A"/>
            </w:tcBorders>
            <w:noWrap/>
            <w:vAlign w:val="center"/>
            <w:hideMark/>
          </w:tcPr>
          <w:p w14:paraId="22D15433" w14:textId="77777777" w:rsidR="007929FB" w:rsidRPr="00BF1393" w:rsidRDefault="007929FB" w:rsidP="00CC658B">
            <w:r w:rsidRPr="00BF1393">
              <w:t>1,75</w:t>
            </w:r>
          </w:p>
        </w:tc>
        <w:tc>
          <w:tcPr>
            <w:tcW w:w="2326" w:type="dxa"/>
            <w:tcBorders>
              <w:top w:val="single" w:sz="8" w:space="0" w:color="F3CFC1"/>
              <w:left w:val="single" w:sz="8" w:space="0" w:color="D2232A"/>
              <w:bottom w:val="single" w:sz="8" w:space="0" w:color="F3CFC1"/>
              <w:right w:val="single" w:sz="8" w:space="0" w:color="D2232A"/>
            </w:tcBorders>
            <w:noWrap/>
            <w:vAlign w:val="center"/>
            <w:hideMark/>
          </w:tcPr>
          <w:p w14:paraId="5397FA59" w14:textId="77777777" w:rsidR="007929FB" w:rsidRPr="00BF1393" w:rsidRDefault="007929FB" w:rsidP="00CC658B">
            <w:r w:rsidRPr="00BF1393">
              <w:t>1973.</w:t>
            </w:r>
          </w:p>
        </w:tc>
      </w:tr>
      <w:tr w:rsidR="007929FB" w:rsidRPr="00BF1393" w14:paraId="08C152E7" w14:textId="77777777" w:rsidTr="00CC658B">
        <w:trPr>
          <w:trHeight w:val="315"/>
        </w:trPr>
        <w:tc>
          <w:tcPr>
            <w:tcW w:w="0" w:type="auto"/>
            <w:vMerge/>
            <w:tcBorders>
              <w:top w:val="single" w:sz="8" w:space="0" w:color="F3CFC1"/>
              <w:left w:val="single" w:sz="8" w:space="0" w:color="D2232A"/>
              <w:right w:val="single" w:sz="8" w:space="0" w:color="D2232A"/>
            </w:tcBorders>
            <w:vAlign w:val="center"/>
            <w:hideMark/>
          </w:tcPr>
          <w:p w14:paraId="34A18C61" w14:textId="77777777" w:rsidR="007929FB" w:rsidRPr="00BF1393" w:rsidRDefault="007929FB" w:rsidP="00CC658B">
            <w:pPr>
              <w:rPr>
                <w:b/>
                <w:bCs/>
              </w:rPr>
            </w:pPr>
          </w:p>
        </w:tc>
        <w:tc>
          <w:tcPr>
            <w:tcW w:w="2326" w:type="dxa"/>
            <w:tcBorders>
              <w:top w:val="single" w:sz="8" w:space="0" w:color="F3CFC1"/>
              <w:left w:val="single" w:sz="8" w:space="0" w:color="D2232A"/>
              <w:right w:val="single" w:sz="8" w:space="0" w:color="D2232A"/>
            </w:tcBorders>
            <w:vAlign w:val="center"/>
            <w:hideMark/>
          </w:tcPr>
          <w:p w14:paraId="349331BE" w14:textId="77777777" w:rsidR="007929FB" w:rsidRPr="00BF1393" w:rsidRDefault="007929FB" w:rsidP="00CC658B">
            <w:r w:rsidRPr="00BF1393">
              <w:t>Stoljetna lipa u Desiniću</w:t>
            </w:r>
          </w:p>
        </w:tc>
        <w:tc>
          <w:tcPr>
            <w:tcW w:w="2661" w:type="dxa"/>
            <w:tcBorders>
              <w:top w:val="single" w:sz="8" w:space="0" w:color="F3CFC1"/>
              <w:left w:val="single" w:sz="8" w:space="0" w:color="D2232A"/>
              <w:right w:val="single" w:sz="8" w:space="0" w:color="D2232A"/>
            </w:tcBorders>
            <w:noWrap/>
            <w:vAlign w:val="center"/>
            <w:hideMark/>
          </w:tcPr>
          <w:p w14:paraId="0DE80AF6" w14:textId="77777777" w:rsidR="007929FB" w:rsidRPr="00BF1393" w:rsidRDefault="007929FB" w:rsidP="00CC658B">
            <w:r w:rsidRPr="00BF1393">
              <w:t>0</w:t>
            </w:r>
          </w:p>
        </w:tc>
        <w:tc>
          <w:tcPr>
            <w:tcW w:w="2326" w:type="dxa"/>
            <w:tcBorders>
              <w:top w:val="single" w:sz="8" w:space="0" w:color="F3CFC1"/>
              <w:left w:val="single" w:sz="8" w:space="0" w:color="D2232A"/>
              <w:right w:val="single" w:sz="8" w:space="0" w:color="D2232A"/>
            </w:tcBorders>
            <w:noWrap/>
            <w:vAlign w:val="center"/>
            <w:hideMark/>
          </w:tcPr>
          <w:p w14:paraId="19F9370B" w14:textId="1E0C78E4" w:rsidR="007929FB" w:rsidRPr="00BF1393" w:rsidRDefault="007929FB" w:rsidP="00CC658B">
            <w:r w:rsidRPr="00BF1393">
              <w:t>201</w:t>
            </w:r>
            <w:r w:rsidR="005712E8">
              <w:t>1</w:t>
            </w:r>
            <w:r w:rsidRPr="00BF1393">
              <w:t>.</w:t>
            </w:r>
          </w:p>
        </w:tc>
      </w:tr>
      <w:tr w:rsidR="007929FB" w:rsidRPr="00BF1393" w14:paraId="253A87FE" w14:textId="77777777" w:rsidTr="00CC658B">
        <w:trPr>
          <w:trHeight w:val="315"/>
        </w:trPr>
        <w:tc>
          <w:tcPr>
            <w:tcW w:w="1703" w:type="dxa"/>
            <w:tcBorders>
              <w:left w:val="single" w:sz="8" w:space="0" w:color="D2232A"/>
            </w:tcBorders>
            <w:shd w:val="clear" w:color="auto" w:fill="E5E5E5" w:themeFill="text1" w:themeFillTint="33"/>
            <w:noWrap/>
            <w:vAlign w:val="center"/>
            <w:hideMark/>
          </w:tcPr>
          <w:p w14:paraId="7B961A57" w14:textId="77777777" w:rsidR="007929FB" w:rsidRPr="00BF1393" w:rsidRDefault="007929FB" w:rsidP="00CC658B">
            <w:r w:rsidRPr="00BF1393">
              <w:t>Ukupno</w:t>
            </w:r>
          </w:p>
        </w:tc>
        <w:tc>
          <w:tcPr>
            <w:tcW w:w="2326" w:type="dxa"/>
            <w:shd w:val="clear" w:color="auto" w:fill="E5E5E5" w:themeFill="text1" w:themeFillTint="33"/>
            <w:noWrap/>
            <w:vAlign w:val="center"/>
            <w:hideMark/>
          </w:tcPr>
          <w:p w14:paraId="487D852C" w14:textId="1CEB5677" w:rsidR="007929FB" w:rsidRPr="00BF1393" w:rsidRDefault="005712E8" w:rsidP="00CC658B">
            <w:r>
              <w:t>17 zaštićenih područja</w:t>
            </w:r>
          </w:p>
        </w:tc>
        <w:tc>
          <w:tcPr>
            <w:tcW w:w="2661" w:type="dxa"/>
            <w:shd w:val="clear" w:color="auto" w:fill="E5E5E5" w:themeFill="text1" w:themeFillTint="33"/>
            <w:noWrap/>
            <w:vAlign w:val="center"/>
            <w:hideMark/>
          </w:tcPr>
          <w:p w14:paraId="126AD5B5" w14:textId="1724E6AD" w:rsidR="007929FB" w:rsidRPr="00BF1393" w:rsidRDefault="00CC325D" w:rsidP="00CC658B">
            <w:pPr>
              <w:rPr>
                <w:b/>
                <w:bCs/>
              </w:rPr>
            </w:pPr>
            <w:r>
              <w:rPr>
                <w:b/>
                <w:bCs/>
              </w:rPr>
              <w:t>5935,69</w:t>
            </w:r>
          </w:p>
        </w:tc>
        <w:tc>
          <w:tcPr>
            <w:tcW w:w="2326" w:type="dxa"/>
            <w:tcBorders>
              <w:right w:val="single" w:sz="8" w:space="0" w:color="D2232A"/>
            </w:tcBorders>
            <w:shd w:val="clear" w:color="auto" w:fill="E5E5E5" w:themeFill="text1" w:themeFillTint="33"/>
            <w:noWrap/>
            <w:vAlign w:val="center"/>
            <w:hideMark/>
          </w:tcPr>
          <w:p w14:paraId="279549BC" w14:textId="77777777" w:rsidR="007929FB" w:rsidRPr="00BF1393" w:rsidRDefault="007929FB" w:rsidP="00CC658B">
            <w:pPr>
              <w:rPr>
                <w:b/>
                <w:bCs/>
              </w:rPr>
            </w:pPr>
          </w:p>
        </w:tc>
      </w:tr>
    </w:tbl>
    <w:p w14:paraId="517FD4D1" w14:textId="0CBE61DD" w:rsidR="007929FB" w:rsidRPr="006315FA" w:rsidRDefault="007929FB" w:rsidP="00640497">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w:t>
      </w:r>
      <w:r w:rsidR="002610C4" w:rsidRPr="006315FA">
        <w:rPr>
          <w:rFonts w:eastAsia="ArialNarrow" w:cstheme="minorHAnsi"/>
          <w:i/>
          <w:color w:val="ABABAB" w:themeColor="text1" w:themeTint="A6"/>
          <w:sz w:val="16"/>
          <w:szCs w:val="16"/>
        </w:rPr>
        <w:t xml:space="preserve"> </w:t>
      </w:r>
      <w:r w:rsidR="002109C6" w:rsidRPr="006315FA">
        <w:rPr>
          <w:rFonts w:eastAsia="ArialNarrow" w:cstheme="minorHAnsi"/>
          <w:i/>
          <w:color w:val="ABABAB" w:themeColor="text1" w:themeTint="A6"/>
          <w:sz w:val="16"/>
          <w:szCs w:val="16"/>
        </w:rPr>
        <w:t xml:space="preserve">Publikacija </w:t>
      </w:r>
      <w:r w:rsidR="00B75DE4" w:rsidRPr="006315FA">
        <w:rPr>
          <w:rFonts w:eastAsia="ArialNarrow" w:cstheme="minorHAnsi"/>
          <w:i/>
          <w:color w:val="ABABAB" w:themeColor="text1" w:themeTint="A6"/>
          <w:sz w:val="16"/>
          <w:szCs w:val="16"/>
        </w:rPr>
        <w:t>Zagorje zeleno</w:t>
      </w:r>
      <w:r w:rsidR="002109C6" w:rsidRPr="006315FA">
        <w:rPr>
          <w:rFonts w:eastAsia="ArialNarrow" w:cstheme="minorHAnsi"/>
          <w:i/>
          <w:color w:val="ABABAB" w:themeColor="text1" w:themeTint="A6"/>
          <w:sz w:val="16"/>
          <w:szCs w:val="16"/>
        </w:rPr>
        <w:t xml:space="preserve"> </w:t>
      </w:r>
      <w:r w:rsidR="002610C4" w:rsidRPr="006315FA">
        <w:rPr>
          <w:rFonts w:eastAsia="ArialNarrow" w:cstheme="minorHAnsi"/>
          <w:i/>
          <w:color w:val="ABABAB" w:themeColor="text1" w:themeTint="A6"/>
          <w:sz w:val="16"/>
          <w:szCs w:val="16"/>
        </w:rPr>
        <w:t>(</w:t>
      </w:r>
      <w:hyperlink r:id="rId17" w:history="1">
        <w:r w:rsidR="002610C4" w:rsidRPr="006315FA">
          <w:rPr>
            <w:rFonts w:eastAsia="ArialNarrow" w:cstheme="minorHAnsi"/>
            <w:i/>
            <w:color w:val="ABABAB" w:themeColor="text1" w:themeTint="A6"/>
            <w:sz w:val="16"/>
            <w:szCs w:val="16"/>
          </w:rPr>
          <w:t>https://www.zagorje-priroda.hr/wp-content/</w:t>
        </w:r>
      </w:hyperlink>
      <w:r w:rsidR="002109C6" w:rsidRPr="006315FA">
        <w:rPr>
          <w:rFonts w:eastAsia="ArialNarrow" w:cstheme="minorHAnsi"/>
          <w:i/>
          <w:color w:val="ABABAB" w:themeColor="text1" w:themeTint="A6"/>
          <w:sz w:val="16"/>
          <w:szCs w:val="16"/>
        </w:rPr>
        <w:t>uploads/ 2020/</w:t>
      </w:r>
      <w:r w:rsidR="002610C4" w:rsidRPr="006315FA">
        <w:rPr>
          <w:rFonts w:eastAsia="ArialNarrow" w:cstheme="minorHAnsi"/>
          <w:i/>
          <w:color w:val="ABABAB" w:themeColor="text1" w:themeTint="A6"/>
          <w:sz w:val="16"/>
          <w:szCs w:val="16"/>
        </w:rPr>
        <w:t xml:space="preserve"> </w:t>
      </w:r>
      <w:r w:rsidR="002109C6" w:rsidRPr="006315FA">
        <w:rPr>
          <w:rFonts w:eastAsia="ArialNarrow" w:cstheme="minorHAnsi"/>
          <w:i/>
          <w:color w:val="ABABAB" w:themeColor="text1" w:themeTint="A6"/>
          <w:sz w:val="16"/>
          <w:szCs w:val="16"/>
        </w:rPr>
        <w:t>08/knjiga_</w:t>
      </w:r>
      <w:r w:rsidR="002610C4" w:rsidRPr="006315FA">
        <w:rPr>
          <w:rFonts w:eastAsia="ArialNarrow" w:cstheme="minorHAnsi"/>
          <w:i/>
          <w:color w:val="ABABAB" w:themeColor="text1" w:themeTint="A6"/>
          <w:sz w:val="16"/>
          <w:szCs w:val="16"/>
        </w:rPr>
        <w:t xml:space="preserve"> </w:t>
      </w:r>
      <w:r w:rsidR="002109C6" w:rsidRPr="006315FA">
        <w:rPr>
          <w:rFonts w:eastAsia="ArialNarrow" w:cstheme="minorHAnsi"/>
          <w:i/>
          <w:color w:val="ABABAB" w:themeColor="text1" w:themeTint="A6"/>
          <w:sz w:val="16"/>
          <w:szCs w:val="16"/>
        </w:rPr>
        <w:t>zagorje_</w:t>
      </w:r>
      <w:r w:rsidR="002610C4" w:rsidRPr="006315FA">
        <w:rPr>
          <w:rFonts w:eastAsia="ArialNarrow" w:cstheme="minorHAnsi"/>
          <w:i/>
          <w:color w:val="ABABAB" w:themeColor="text1" w:themeTint="A6"/>
          <w:sz w:val="16"/>
          <w:szCs w:val="16"/>
        </w:rPr>
        <w:t xml:space="preserve"> </w:t>
      </w:r>
      <w:r w:rsidR="002109C6" w:rsidRPr="006315FA">
        <w:rPr>
          <w:rFonts w:eastAsia="ArialNarrow" w:cstheme="minorHAnsi"/>
          <w:i/>
          <w:color w:val="ABABAB" w:themeColor="text1" w:themeTint="A6"/>
          <w:sz w:val="16"/>
          <w:szCs w:val="16"/>
        </w:rPr>
        <w:t>zeleno</w:t>
      </w:r>
      <w:r w:rsidR="002610C4" w:rsidRPr="006315FA">
        <w:rPr>
          <w:rFonts w:eastAsia="ArialNarrow" w:cstheme="minorHAnsi"/>
          <w:i/>
          <w:color w:val="ABABAB" w:themeColor="text1" w:themeTint="A6"/>
          <w:sz w:val="16"/>
          <w:szCs w:val="16"/>
        </w:rPr>
        <w:t xml:space="preserve"> </w:t>
      </w:r>
      <w:r w:rsidR="002109C6" w:rsidRPr="006315FA">
        <w:rPr>
          <w:rFonts w:eastAsia="ArialNarrow" w:cstheme="minorHAnsi"/>
          <w:i/>
          <w:color w:val="ABABAB" w:themeColor="text1" w:themeTint="A6"/>
          <w:sz w:val="16"/>
          <w:szCs w:val="16"/>
        </w:rPr>
        <w:t>_final_WEB.pdf</w:t>
      </w:r>
      <w:r w:rsidR="002610C4" w:rsidRPr="006315FA">
        <w:rPr>
          <w:rFonts w:eastAsia="ArialNarrow" w:cstheme="minorHAnsi"/>
          <w:i/>
          <w:color w:val="ABABAB" w:themeColor="text1" w:themeTint="A6"/>
          <w:sz w:val="16"/>
          <w:szCs w:val="16"/>
        </w:rPr>
        <w:t>)</w:t>
      </w:r>
    </w:p>
    <w:p w14:paraId="39B6F2D4" w14:textId="77777777" w:rsidR="00D5766A" w:rsidRDefault="00D5766A" w:rsidP="00D5766A"/>
    <w:p w14:paraId="1EDF90FB" w14:textId="77777777" w:rsidR="002F6A8E" w:rsidRPr="001A2984" w:rsidRDefault="00D5766A" w:rsidP="002F6A8E">
      <w:r w:rsidRPr="001A2984">
        <w:t xml:space="preserve">Prvim zaštićenim područjem na području Županije u kategoriji spomenik prirode proglašeno je Hušnjakovo 1948. godine, dok je posljednja zaštićena 2011. godine stoljetna lipa u Desiniću u kategoriji spomenik parkovne arhitekture. </w:t>
      </w:r>
      <w:r w:rsidR="00BB3387" w:rsidRPr="001A2984">
        <w:t>Hušnjakovo</w:t>
      </w:r>
      <w:r w:rsidR="00176FFD" w:rsidRPr="001A2984">
        <w:t xml:space="preserve"> u Krapini uvršten</w:t>
      </w:r>
      <w:r w:rsidR="00BB3387" w:rsidRPr="001A2984">
        <w:t>o</w:t>
      </w:r>
      <w:r w:rsidR="00176FFD" w:rsidRPr="001A2984">
        <w:t xml:space="preserve"> je u znanstvene</w:t>
      </w:r>
      <w:r w:rsidR="00BB3387" w:rsidRPr="001A2984">
        <w:t xml:space="preserve"> </w:t>
      </w:r>
      <w:r w:rsidR="00176FFD" w:rsidRPr="001A2984">
        <w:t>lokalitete svijeta kao bogato fosilno nalazište na</w:t>
      </w:r>
      <w:r w:rsidR="00BB3387" w:rsidRPr="001A2984">
        <w:t xml:space="preserve"> </w:t>
      </w:r>
      <w:r w:rsidR="00176FFD" w:rsidRPr="001A2984">
        <w:t>kojemu je prikupljena najbrojnija i najbogatija zbirka</w:t>
      </w:r>
      <w:r w:rsidR="00BB3387" w:rsidRPr="001A2984">
        <w:t xml:space="preserve"> </w:t>
      </w:r>
      <w:r w:rsidR="00176FFD" w:rsidRPr="001A2984">
        <w:t xml:space="preserve">neandertalskoga čovjeka. </w:t>
      </w:r>
    </w:p>
    <w:p w14:paraId="3255A057" w14:textId="15F42B69" w:rsidR="002F6A8E" w:rsidRPr="001A2984" w:rsidRDefault="00D5766A" w:rsidP="002F6A8E">
      <w:r w:rsidRPr="001A2984">
        <w:t>U kategoriji park prirode zaštićena je Medvednica, koja u dijelu od 31 % ukupne površine pripada KZŽ. Ta površina iznosi 5465 ha, što je 92 % ukupne površine zaštićenih dijelova prirode, koja iznosi 5935 ha.</w:t>
      </w:r>
      <w:r w:rsidR="00176FFD" w:rsidRPr="001A2984">
        <w:t xml:space="preserve"> </w:t>
      </w:r>
      <w:r w:rsidR="00BD762A" w:rsidRPr="001A2984">
        <w:t>U</w:t>
      </w:r>
      <w:r w:rsidR="00176FFD" w:rsidRPr="001A2984">
        <w:t>nutar granica Parka nalazi se posebni rezervat šumske vegetacije Markovčak – Bistra</w:t>
      </w:r>
      <w:r w:rsidR="00BD762A" w:rsidRPr="001A2984">
        <w:t xml:space="preserve"> koji se nalaze većinom svoje površine na području Zagrebačke županije, a samo jednim dijelom je na području Stubičkih toplica i njime u cjelini upravlja JU Zeleni prsten Zagrebačke županije.</w:t>
      </w:r>
    </w:p>
    <w:p w14:paraId="6495777D" w14:textId="5DA3A790" w:rsidR="002F6A8E" w:rsidRPr="001A2984" w:rsidRDefault="00D5766A" w:rsidP="00D42CBB">
      <w:r w:rsidRPr="001A2984">
        <w:t xml:space="preserve">U kategoriji spomenik prirode zaštićena su četiri objekta male površine od kojih je jedan paleontološki, a ostala tri predstavljaju rijetke primjerke drveća. </w:t>
      </w:r>
      <w:r w:rsidR="00D42CBB" w:rsidRPr="001A2984">
        <w:t xml:space="preserve">Hrast Galženjak, prema narodnoj je predaji star više od 400 godina . </w:t>
      </w:r>
      <w:r w:rsidR="002F6A8E" w:rsidRPr="001A2984">
        <w:t xml:space="preserve">Tisa pri vrhu Horvatovih stuba na Medvednici spada među najstarije primjerke te vrste u Hrvatskoj, a </w:t>
      </w:r>
      <w:r w:rsidR="00D42CBB" w:rsidRPr="001A2984">
        <w:t>u</w:t>
      </w:r>
      <w:r w:rsidR="002F6A8E" w:rsidRPr="001A2984">
        <w:t xml:space="preserve"> Hrvatskome šumarskom institutu Jastrebarsko vegetativnim putem uzgojene su sadnice Gupčeve lipe.</w:t>
      </w:r>
      <w:r w:rsidR="00BD762A" w:rsidRPr="001A2984">
        <w:t xml:space="preserve"> Spomenicima prirode</w:t>
      </w:r>
      <w:r w:rsidR="00BD762A" w:rsidRPr="001A2984">
        <w:rPr>
          <w:rFonts w:ascii="Calibri" w:hAnsi="Calibri" w:cs="Calibri"/>
        </w:rPr>
        <w:t> </w:t>
      </w:r>
      <w:r w:rsidR="00BD762A" w:rsidRPr="001A2984">
        <w:t xml:space="preserve"> Gupčeva lipa i Tisa kod Horvatovih stuba</w:t>
      </w:r>
      <w:r w:rsidR="00BD762A" w:rsidRPr="001A2984">
        <w:rPr>
          <w:rFonts w:ascii="Calibri" w:hAnsi="Calibri" w:cs="Calibri"/>
        </w:rPr>
        <w:t> </w:t>
      </w:r>
      <w:r w:rsidR="00BD762A" w:rsidRPr="001A2984">
        <w:t xml:space="preserve"> kao i područjem spomenika parkovne arhitekture Park oko dvorca Golubovec Javna ustanova KZŽ upravlja zajedno s JU Medvednica putem sporazuma.</w:t>
      </w:r>
    </w:p>
    <w:p w14:paraId="6D26A952" w14:textId="55B9EC8F" w:rsidR="007D4C81" w:rsidRPr="001A2984" w:rsidRDefault="00D5766A" w:rsidP="00D42CBB">
      <w:r w:rsidRPr="001A2984">
        <w:t xml:space="preserve">U ukupnoj površini zaštićenih područja, područja Sutinskih toplica i Zelenjak – Risvička i Cesarska gora zajedno zauzimaju 6,8 %. </w:t>
      </w:r>
      <w:r w:rsidR="00D42CBB" w:rsidRPr="001A2984">
        <w:t xml:space="preserve">Područje Sutinskih toplica spominje se već 1258. godine pod imenom Sutinsko, kao područje na kojemu se nalazio dvorac s okolnim posjedima koji je nadzirao i carinio prolaz robe kroz uski klanac na putu iz austrijskih zemalja preko Krapine i Očure. To je područje bogato kulturno-povijesnim, turističko-rekreacijskim i estetskim elementima proglašeno značajnim krajobrazom 1980. godine. Tijekom povijesti Sutinske toplice bile su lječilište i kupalište, no danas više nisu u upotrebi. </w:t>
      </w:r>
      <w:r w:rsidR="00794B55" w:rsidRPr="001A2984">
        <w:t>Značajni krajobraz Zelenjak – Risvička i Cesarska gora obuhvaća područja Cesarske i Risvičke gore te rijeku Sutlu, koja je dio ekološke mreže Natura 2000 kao rijeka važna za očuvanje ugroženih vrsta riba i školjaka.</w:t>
      </w:r>
      <w:r w:rsidR="002F6A8E" w:rsidRPr="001A2984">
        <w:t xml:space="preserve"> Značajni krajobraz</w:t>
      </w:r>
      <w:r w:rsidR="00794B55" w:rsidRPr="001A2984">
        <w:t xml:space="preserve"> </w:t>
      </w:r>
      <w:r w:rsidR="002F6A8E" w:rsidRPr="001A2984">
        <w:t xml:space="preserve">Zelenjak – Risvička i Cesarska gora odlikuje se velikom biološkom raznolikošću. Na njegovu je području zabilježeno 68 vrsta danjih leptira, 522 vrste noćnih leptira, 30 vrsta saproksilnih kornjaša, 12 vrsta vretenaca, 7 vrsta gmazova, 4 vrste vodozemaca, 71 vrsta ptica, 8 vrsta malih sisavaca i 37 vrsta lišajeva. Osim prirodnih vrijednosti na ovome su zaštićenom području veoma važne kulturne znamenitosti (Spomenik hrvatskoj himni Lijepa naša, utvrda Cesargrad, barokno-klasicistička kapela Majke Božje Snježne). </w:t>
      </w:r>
      <w:r w:rsidRPr="001A2984">
        <w:t>Kategorija spomenik parkovne arhitekture uključuje 10 objekata ukupne površine od 62,</w:t>
      </w:r>
      <w:r w:rsidR="000054D2" w:rsidRPr="001A2984">
        <w:t xml:space="preserve"> </w:t>
      </w:r>
      <w:r w:rsidRPr="001A2984">
        <w:t>85 ha, što je 1 % ukupne površine zaštićenih područja KZŽ.</w:t>
      </w:r>
    </w:p>
    <w:p w14:paraId="5E4D82EE" w14:textId="5EA4C6EA" w:rsidR="001B1365" w:rsidRPr="000054D2" w:rsidRDefault="0004029C" w:rsidP="00D42CBB">
      <w:r>
        <w:lastRenderedPageBreak/>
        <w:t xml:space="preserve">Osim zaštićenih dijelova prirode Krapinsko-zagorske županije u već navedenim kategorijama, na ovom se području prostiru i </w:t>
      </w:r>
      <w:r w:rsidRPr="005D1E49">
        <w:rPr>
          <w:b/>
          <w:bCs/>
        </w:rPr>
        <w:t>područja ekološke mreže Natura 2000</w:t>
      </w:r>
      <w:r>
        <w:t>.</w:t>
      </w:r>
      <w:r w:rsidRPr="0004029C">
        <w:t xml:space="preserve"> Ekološka mreža </w:t>
      </w:r>
      <w:r w:rsidRPr="0004029C">
        <w:rPr>
          <w:i/>
          <w:iCs/>
        </w:rPr>
        <w:t xml:space="preserve">Natura 2000 </w:t>
      </w:r>
      <w:r w:rsidRPr="0004029C">
        <w:t xml:space="preserve">jedan je od osnovnih mehanizama zaštite prirode u Europskoj uniji. Ona je europska mreža područja važnih za očuvanje ugroženih vrsta i stanišnih tipova. Ekološka mreža obuhvaća određena područja u cilju očuvanja i ostvarivanja povoljnoga stanja divljih vrsta ptica i njihovih staništa, drugih divljih vrsta životinja i biljaka i njihovih staništa te stanišnih tipova, osobito važnih za Europsku uniju i Republiku Hrvatsku. Zakon o zaštiti prirode Republike Hrvatske (NN 14/19) definira ekološku mrežu kao sustav međusobno povezanih ili prostorno bliskih ekološki značajnih područja, koja uravnoteženom bio-geografskom raspoređenošću značajno pridonose očuvanju prirodne ravnoteže i biološke raznolikosti. </w:t>
      </w:r>
    </w:p>
    <w:p w14:paraId="417DC6E3" w14:textId="74DBBB63" w:rsidR="007D4C81" w:rsidRPr="001D649A" w:rsidRDefault="007D4C81" w:rsidP="003E3F3C">
      <w:pPr>
        <w:pStyle w:val="Opisslike"/>
        <w:rPr>
          <w:rFonts w:ascii="Tahoma" w:hAnsi="Tahoma"/>
          <w:noProof/>
          <w:spacing w:val="15"/>
        </w:rPr>
      </w:pPr>
      <w:r>
        <w:t xml:space="preserve">Prikaz </w:t>
      </w:r>
      <w:r w:rsidR="00A96020">
        <w:rPr>
          <w:noProof/>
        </w:rPr>
        <w:t>7</w:t>
      </w:r>
      <w:r>
        <w:rPr>
          <w:noProof/>
        </w:rPr>
        <w:t>.</w:t>
      </w:r>
      <w:r>
        <w:t xml:space="preserve"> Zaštićeni dijelovi prirode na području Krapinsko-zagorske županije i područja ekološke mreže Natura 20</w:t>
      </w:r>
      <w:r w:rsidR="005712E8">
        <w:t>0</w:t>
      </w:r>
      <w:r>
        <w:t>0</w:t>
      </w:r>
    </w:p>
    <w:p w14:paraId="6CF63524" w14:textId="3EDE6257" w:rsidR="007D4C81" w:rsidRDefault="007D4C81" w:rsidP="008B5667">
      <w:pPr>
        <w:spacing w:after="0"/>
        <w:rPr>
          <w:color w:val="FF0000"/>
        </w:rPr>
      </w:pPr>
      <w:r>
        <w:rPr>
          <w:noProof/>
        </w:rPr>
        <w:drawing>
          <wp:inline distT="0" distB="0" distL="0" distR="0" wp14:anchorId="746F74AD" wp14:editId="5FB4C858">
            <wp:extent cx="5928360" cy="3674397"/>
            <wp:effectExtent l="0" t="0" r="0" b="254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54630" cy="3690679"/>
                    </a:xfrm>
                    <a:prstGeom prst="rect">
                      <a:avLst/>
                    </a:prstGeom>
                    <a:noFill/>
                  </pic:spPr>
                </pic:pic>
              </a:graphicData>
            </a:graphic>
          </wp:inline>
        </w:drawing>
      </w:r>
    </w:p>
    <w:p w14:paraId="5A8D6485" w14:textId="607AC29F" w:rsidR="007D4C81" w:rsidRPr="006315FA" w:rsidRDefault="007D4C81" w:rsidP="008B5667">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 Zavod za prostorno uređenje Krapinsko-zagorske županije, 2015. godine</w:t>
      </w:r>
    </w:p>
    <w:p w14:paraId="60893AA2" w14:textId="77777777" w:rsidR="007D4C81" w:rsidRPr="007D4C81" w:rsidRDefault="007D4C81" w:rsidP="00855D8D">
      <w:pPr>
        <w:pStyle w:val="Izvor"/>
      </w:pPr>
    </w:p>
    <w:p w14:paraId="3ACB0D5F" w14:textId="1CED1D61" w:rsidR="00965318" w:rsidRDefault="007929FB" w:rsidP="0004029C">
      <w:r>
        <w:t xml:space="preserve">Površina Natura 2000 područja u Krapinsko-zagorskoj županiji iznosi 10 % te uključuje rijeku Sutlu, Strahinjščicu, vršni dio Ivanščice, </w:t>
      </w:r>
      <w:r w:rsidR="005D1E49" w:rsidRPr="005D1E49">
        <w:t xml:space="preserve">Medvednicu, dolinu Razvora kod Sutle i Židovske jame. Navedena područja odabrana su s ciljem očuvanja povoljnog stanja Natura 2000 vrsta prema Direktivi o zaštiti ptica (Directive 2009/147/EC) i Direktivi o zaštiti prirodnih staništa i divlje faune i flore (Council Directive 92/43/EEC). </w:t>
      </w:r>
      <w:r w:rsidR="004249DC" w:rsidRPr="001A2984">
        <w:t>Cilj je tih propisa održati ili poboljšati očuvanost vrsta i staništa popisanih u njihovim dodatcima. Svaka zemlja članica Europske unije pridonosi ovoj mreži izdvajanjem najvažnijih područja za svaku pojedinu vrstu i stanišni tip naveden u njima.</w:t>
      </w:r>
      <w:r w:rsidR="004249DC" w:rsidRPr="001A2984" w:rsidDel="007D4C81">
        <w:t xml:space="preserve"> </w:t>
      </w:r>
      <w:bookmarkStart w:id="29" w:name="_Hlk48568778"/>
    </w:p>
    <w:p w14:paraId="67876677" w14:textId="2B8F7D6A" w:rsidR="007929FB" w:rsidRPr="000F3E1A" w:rsidRDefault="007929FB" w:rsidP="007929FB">
      <w:pPr>
        <w:rPr>
          <w:rFonts w:asciiTheme="minorHAnsi" w:hAnsiTheme="minorHAnsi" w:cstheme="minorHAnsi"/>
          <w:b/>
          <w:bCs/>
        </w:rPr>
      </w:pPr>
      <w:r>
        <w:t>U tablici u nastavku navedene su vrste i stanišni tipovi zaštićeni ekološkom mrežom Natura 2000.</w:t>
      </w:r>
    </w:p>
    <w:p w14:paraId="5072D0DA" w14:textId="11CA18A4" w:rsidR="007929FB" w:rsidRDefault="007929FB" w:rsidP="003E3F3C">
      <w:pPr>
        <w:pStyle w:val="Opisslike"/>
      </w:pPr>
      <w:r>
        <w:t xml:space="preserve">Tablica </w:t>
      </w:r>
      <w:r w:rsidR="00F81169">
        <w:t>6</w:t>
      </w:r>
      <w:r>
        <w:t xml:space="preserve">. </w:t>
      </w:r>
      <w:r w:rsidRPr="00EF62C5">
        <w:t>Područja očuvanja značajna za vrste i stanišne tipove</w:t>
      </w:r>
    </w:p>
    <w:tbl>
      <w:tblPr>
        <w:tblW w:w="9000" w:type="dxa"/>
        <w:tblBorders>
          <w:right w:val="single" w:sz="8" w:space="0" w:color="D2232A"/>
          <w:insideH w:val="single" w:sz="8" w:space="0" w:color="F3CFC1"/>
        </w:tblBorders>
        <w:tblLook w:val="04A0" w:firstRow="1" w:lastRow="0" w:firstColumn="1" w:lastColumn="0" w:noHBand="0" w:noVBand="1"/>
      </w:tblPr>
      <w:tblGrid>
        <w:gridCol w:w="2860"/>
        <w:gridCol w:w="3280"/>
        <w:gridCol w:w="2860"/>
      </w:tblGrid>
      <w:tr w:rsidR="007929FB" w14:paraId="293101CF" w14:textId="77777777" w:rsidTr="00CC658B">
        <w:trPr>
          <w:trHeight w:val="300"/>
        </w:trPr>
        <w:tc>
          <w:tcPr>
            <w:tcW w:w="2860" w:type="dxa"/>
            <w:vMerge w:val="restart"/>
            <w:shd w:val="clear" w:color="auto" w:fill="D2232A" w:themeFill="accent1"/>
            <w:vAlign w:val="center"/>
            <w:hideMark/>
          </w:tcPr>
          <w:p w14:paraId="5FC30B11" w14:textId="77777777" w:rsidR="007929FB" w:rsidRDefault="007929FB" w:rsidP="00CC658B">
            <w:pPr>
              <w:spacing w:after="0" w:line="240" w:lineRule="auto"/>
              <w:rPr>
                <w:rFonts w:eastAsia="Times New Roman" w:cstheme="minorHAnsi"/>
                <w:b/>
                <w:bCs/>
                <w:sz w:val="20"/>
                <w:lang w:eastAsia="en-GB"/>
              </w:rPr>
            </w:pPr>
            <w:r w:rsidRPr="008B454B">
              <w:rPr>
                <w:rFonts w:eastAsia="Times New Roman" w:cstheme="minorHAnsi"/>
                <w:b/>
                <w:bCs/>
                <w:color w:val="FFFFFF" w:themeColor="background1"/>
                <w:sz w:val="20"/>
                <w:lang w:eastAsia="en-GB"/>
              </w:rPr>
              <w:t>Medvednica</w:t>
            </w:r>
          </w:p>
        </w:tc>
        <w:tc>
          <w:tcPr>
            <w:tcW w:w="3280" w:type="dxa"/>
            <w:shd w:val="clear" w:color="auto" w:fill="FFFFFF"/>
            <w:vAlign w:val="center"/>
            <w:hideMark/>
          </w:tcPr>
          <w:p w14:paraId="588C7D24"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močvarna riđa</w:t>
            </w:r>
          </w:p>
        </w:tc>
        <w:tc>
          <w:tcPr>
            <w:tcW w:w="2860" w:type="dxa"/>
            <w:shd w:val="clear" w:color="auto" w:fill="FFFFFF"/>
            <w:vAlign w:val="center"/>
            <w:hideMark/>
          </w:tcPr>
          <w:p w14:paraId="20A9B27C"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Euphydryas aurinia</w:t>
            </w:r>
          </w:p>
        </w:tc>
      </w:tr>
      <w:tr w:rsidR="007929FB" w14:paraId="5EC9D75F" w14:textId="77777777" w:rsidTr="00CC658B">
        <w:trPr>
          <w:trHeight w:val="300"/>
        </w:trPr>
        <w:tc>
          <w:tcPr>
            <w:tcW w:w="0" w:type="auto"/>
            <w:vMerge/>
            <w:shd w:val="clear" w:color="auto" w:fill="D2232A" w:themeFill="accent1"/>
            <w:vAlign w:val="center"/>
            <w:hideMark/>
          </w:tcPr>
          <w:p w14:paraId="581F35F8"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406647C8"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kiseličin vatreni plavac</w:t>
            </w:r>
          </w:p>
        </w:tc>
        <w:tc>
          <w:tcPr>
            <w:tcW w:w="2860" w:type="dxa"/>
            <w:shd w:val="clear" w:color="auto" w:fill="FFFFFF"/>
            <w:vAlign w:val="center"/>
            <w:hideMark/>
          </w:tcPr>
          <w:p w14:paraId="2EDC9195"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Lycaena dispar</w:t>
            </w:r>
          </w:p>
        </w:tc>
      </w:tr>
      <w:tr w:rsidR="007929FB" w14:paraId="171187D8" w14:textId="77777777" w:rsidTr="00CC658B">
        <w:trPr>
          <w:trHeight w:val="300"/>
        </w:trPr>
        <w:tc>
          <w:tcPr>
            <w:tcW w:w="0" w:type="auto"/>
            <w:vMerge/>
            <w:shd w:val="clear" w:color="auto" w:fill="D2232A" w:themeFill="accent1"/>
            <w:vAlign w:val="center"/>
            <w:hideMark/>
          </w:tcPr>
          <w:p w14:paraId="005833FA"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52CEB6D7"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jelenak</w:t>
            </w:r>
          </w:p>
        </w:tc>
        <w:tc>
          <w:tcPr>
            <w:tcW w:w="2860" w:type="dxa"/>
            <w:shd w:val="clear" w:color="auto" w:fill="FFFFFF"/>
            <w:vAlign w:val="center"/>
            <w:hideMark/>
          </w:tcPr>
          <w:p w14:paraId="5F4938B6"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Lucanus cervus</w:t>
            </w:r>
          </w:p>
        </w:tc>
      </w:tr>
      <w:tr w:rsidR="007929FB" w14:paraId="6B2D2AF1" w14:textId="77777777" w:rsidTr="00CC658B">
        <w:trPr>
          <w:trHeight w:val="300"/>
        </w:trPr>
        <w:tc>
          <w:tcPr>
            <w:tcW w:w="0" w:type="auto"/>
            <w:vMerge/>
            <w:shd w:val="clear" w:color="auto" w:fill="D2232A" w:themeFill="accent1"/>
            <w:vAlign w:val="center"/>
            <w:hideMark/>
          </w:tcPr>
          <w:p w14:paraId="16952843"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73364E0E"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alpinska strizibuba</w:t>
            </w:r>
          </w:p>
        </w:tc>
        <w:tc>
          <w:tcPr>
            <w:tcW w:w="2860" w:type="dxa"/>
            <w:shd w:val="clear" w:color="auto" w:fill="FFFFFF"/>
            <w:vAlign w:val="center"/>
            <w:hideMark/>
          </w:tcPr>
          <w:p w14:paraId="055D6660"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Rosalia alpina*</w:t>
            </w:r>
          </w:p>
        </w:tc>
      </w:tr>
      <w:tr w:rsidR="007929FB" w14:paraId="15E60E6E" w14:textId="77777777" w:rsidTr="00CC658B">
        <w:trPr>
          <w:trHeight w:val="300"/>
        </w:trPr>
        <w:tc>
          <w:tcPr>
            <w:tcW w:w="0" w:type="auto"/>
            <w:vMerge/>
            <w:shd w:val="clear" w:color="auto" w:fill="D2232A" w:themeFill="accent1"/>
            <w:vAlign w:val="center"/>
            <w:hideMark/>
          </w:tcPr>
          <w:p w14:paraId="3ED556FD"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976F012"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velika četveropjega cvilidreta</w:t>
            </w:r>
          </w:p>
        </w:tc>
        <w:tc>
          <w:tcPr>
            <w:tcW w:w="2860" w:type="dxa"/>
            <w:shd w:val="clear" w:color="auto" w:fill="FFFFFF"/>
            <w:vAlign w:val="center"/>
            <w:hideMark/>
          </w:tcPr>
          <w:p w14:paraId="02E492F2"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Morimus funereus</w:t>
            </w:r>
          </w:p>
        </w:tc>
      </w:tr>
      <w:tr w:rsidR="007929FB" w14:paraId="09EE0BFB" w14:textId="77777777" w:rsidTr="00CC658B">
        <w:trPr>
          <w:trHeight w:val="300"/>
        </w:trPr>
        <w:tc>
          <w:tcPr>
            <w:tcW w:w="0" w:type="auto"/>
            <w:vMerge/>
            <w:shd w:val="clear" w:color="auto" w:fill="D2232A" w:themeFill="accent1"/>
            <w:vAlign w:val="center"/>
            <w:hideMark/>
          </w:tcPr>
          <w:p w14:paraId="35C45480"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47EA885E"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hrastova strizibuba</w:t>
            </w:r>
          </w:p>
        </w:tc>
        <w:tc>
          <w:tcPr>
            <w:tcW w:w="2860" w:type="dxa"/>
            <w:shd w:val="clear" w:color="auto" w:fill="FFFFFF"/>
            <w:vAlign w:val="center"/>
            <w:hideMark/>
          </w:tcPr>
          <w:p w14:paraId="0B7E5E23"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Cerambyx cerdo</w:t>
            </w:r>
          </w:p>
        </w:tc>
      </w:tr>
      <w:tr w:rsidR="007929FB" w14:paraId="05A8A48F" w14:textId="77777777" w:rsidTr="00CC658B">
        <w:trPr>
          <w:trHeight w:val="300"/>
        </w:trPr>
        <w:tc>
          <w:tcPr>
            <w:tcW w:w="0" w:type="auto"/>
            <w:vMerge/>
            <w:shd w:val="clear" w:color="auto" w:fill="D2232A" w:themeFill="accent1"/>
            <w:vAlign w:val="center"/>
            <w:hideMark/>
          </w:tcPr>
          <w:p w14:paraId="0C4E568E"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345B4C2B"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potočni rak</w:t>
            </w:r>
          </w:p>
        </w:tc>
        <w:tc>
          <w:tcPr>
            <w:tcW w:w="2860" w:type="dxa"/>
            <w:shd w:val="clear" w:color="auto" w:fill="FFFFFF"/>
            <w:vAlign w:val="center"/>
            <w:hideMark/>
          </w:tcPr>
          <w:p w14:paraId="2D85EB82"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Austropotamobius torentium*</w:t>
            </w:r>
          </w:p>
        </w:tc>
      </w:tr>
      <w:tr w:rsidR="007929FB" w14:paraId="66140231" w14:textId="77777777" w:rsidTr="00CC658B">
        <w:trPr>
          <w:trHeight w:val="300"/>
        </w:trPr>
        <w:tc>
          <w:tcPr>
            <w:tcW w:w="0" w:type="auto"/>
            <w:vMerge/>
            <w:shd w:val="clear" w:color="auto" w:fill="D2232A" w:themeFill="accent1"/>
            <w:vAlign w:val="center"/>
            <w:hideMark/>
          </w:tcPr>
          <w:p w14:paraId="31BDBC9F"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56F9DBDA"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žuti mukač</w:t>
            </w:r>
          </w:p>
        </w:tc>
        <w:tc>
          <w:tcPr>
            <w:tcW w:w="2860" w:type="dxa"/>
            <w:shd w:val="clear" w:color="auto" w:fill="FFFFFF"/>
            <w:vAlign w:val="center"/>
            <w:hideMark/>
          </w:tcPr>
          <w:p w14:paraId="4A742DF6"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Bombina variegata</w:t>
            </w:r>
          </w:p>
        </w:tc>
      </w:tr>
      <w:tr w:rsidR="007929FB" w14:paraId="4ADD8AF7" w14:textId="77777777" w:rsidTr="00CC658B">
        <w:trPr>
          <w:trHeight w:val="300"/>
        </w:trPr>
        <w:tc>
          <w:tcPr>
            <w:tcW w:w="0" w:type="auto"/>
            <w:vMerge/>
            <w:shd w:val="clear" w:color="auto" w:fill="D2232A" w:themeFill="accent1"/>
            <w:vAlign w:val="center"/>
            <w:hideMark/>
          </w:tcPr>
          <w:p w14:paraId="28A50B1D"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5EA80DEE"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veliki vodenjak</w:t>
            </w:r>
          </w:p>
        </w:tc>
        <w:tc>
          <w:tcPr>
            <w:tcW w:w="2860" w:type="dxa"/>
            <w:shd w:val="clear" w:color="auto" w:fill="FFFFFF"/>
            <w:vAlign w:val="center"/>
            <w:hideMark/>
          </w:tcPr>
          <w:p w14:paraId="702B5EB7"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Triturus carnifex</w:t>
            </w:r>
          </w:p>
        </w:tc>
      </w:tr>
      <w:tr w:rsidR="007929FB" w14:paraId="4FE6D190" w14:textId="77777777" w:rsidTr="00CC658B">
        <w:trPr>
          <w:trHeight w:val="300"/>
        </w:trPr>
        <w:tc>
          <w:tcPr>
            <w:tcW w:w="0" w:type="auto"/>
            <w:vMerge/>
            <w:shd w:val="clear" w:color="auto" w:fill="D2232A" w:themeFill="accent1"/>
            <w:vAlign w:val="center"/>
            <w:hideMark/>
          </w:tcPr>
          <w:p w14:paraId="30290291"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3054508A"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mali potkovnjak</w:t>
            </w:r>
          </w:p>
        </w:tc>
        <w:tc>
          <w:tcPr>
            <w:tcW w:w="2860" w:type="dxa"/>
            <w:shd w:val="clear" w:color="auto" w:fill="FFFFFF"/>
            <w:vAlign w:val="center"/>
            <w:hideMark/>
          </w:tcPr>
          <w:p w14:paraId="2DA28C22"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Rhinolophus hipposideros</w:t>
            </w:r>
          </w:p>
        </w:tc>
      </w:tr>
      <w:tr w:rsidR="007929FB" w14:paraId="599E374E" w14:textId="77777777" w:rsidTr="00CC658B">
        <w:trPr>
          <w:trHeight w:val="300"/>
        </w:trPr>
        <w:tc>
          <w:tcPr>
            <w:tcW w:w="0" w:type="auto"/>
            <w:vMerge/>
            <w:shd w:val="clear" w:color="auto" w:fill="D2232A" w:themeFill="accent1"/>
            <w:vAlign w:val="center"/>
            <w:hideMark/>
          </w:tcPr>
          <w:p w14:paraId="650259A7"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6363B6E"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veliki potkovnjak</w:t>
            </w:r>
          </w:p>
        </w:tc>
        <w:tc>
          <w:tcPr>
            <w:tcW w:w="2860" w:type="dxa"/>
            <w:shd w:val="clear" w:color="auto" w:fill="FFFFFF"/>
            <w:vAlign w:val="center"/>
            <w:hideMark/>
          </w:tcPr>
          <w:p w14:paraId="0992A3AF"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Rhinolophus ferumequinum</w:t>
            </w:r>
          </w:p>
        </w:tc>
      </w:tr>
      <w:tr w:rsidR="007929FB" w14:paraId="52892E24" w14:textId="77777777" w:rsidTr="00CC658B">
        <w:trPr>
          <w:trHeight w:val="300"/>
        </w:trPr>
        <w:tc>
          <w:tcPr>
            <w:tcW w:w="0" w:type="auto"/>
            <w:vMerge/>
            <w:shd w:val="clear" w:color="auto" w:fill="D2232A" w:themeFill="accent1"/>
            <w:vAlign w:val="center"/>
            <w:hideMark/>
          </w:tcPr>
          <w:p w14:paraId="25BC9729"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4EFFC1FB"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južni potkovnjak</w:t>
            </w:r>
          </w:p>
        </w:tc>
        <w:tc>
          <w:tcPr>
            <w:tcW w:w="2860" w:type="dxa"/>
            <w:shd w:val="clear" w:color="auto" w:fill="FFFFFF"/>
            <w:vAlign w:val="center"/>
            <w:hideMark/>
          </w:tcPr>
          <w:p w14:paraId="44C19BF7"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Rhinolophus euryale</w:t>
            </w:r>
          </w:p>
        </w:tc>
      </w:tr>
      <w:tr w:rsidR="007929FB" w14:paraId="49B7DA62" w14:textId="77777777" w:rsidTr="00CC658B">
        <w:trPr>
          <w:trHeight w:val="300"/>
        </w:trPr>
        <w:tc>
          <w:tcPr>
            <w:tcW w:w="0" w:type="auto"/>
            <w:vMerge/>
            <w:shd w:val="clear" w:color="auto" w:fill="D2232A" w:themeFill="accent1"/>
            <w:vAlign w:val="center"/>
            <w:hideMark/>
          </w:tcPr>
          <w:p w14:paraId="73BC0BFE"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0250537"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širokouhi mračnjak</w:t>
            </w:r>
          </w:p>
        </w:tc>
        <w:tc>
          <w:tcPr>
            <w:tcW w:w="2860" w:type="dxa"/>
            <w:shd w:val="clear" w:color="auto" w:fill="FFFFFF"/>
            <w:vAlign w:val="center"/>
            <w:hideMark/>
          </w:tcPr>
          <w:p w14:paraId="7745BEDB"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Barbastella barbastellus</w:t>
            </w:r>
          </w:p>
        </w:tc>
      </w:tr>
      <w:tr w:rsidR="007929FB" w14:paraId="57B0FC37" w14:textId="77777777" w:rsidTr="00CC658B">
        <w:trPr>
          <w:trHeight w:val="300"/>
        </w:trPr>
        <w:tc>
          <w:tcPr>
            <w:tcW w:w="0" w:type="auto"/>
            <w:vMerge/>
            <w:shd w:val="clear" w:color="auto" w:fill="D2232A" w:themeFill="accent1"/>
            <w:vAlign w:val="center"/>
            <w:hideMark/>
          </w:tcPr>
          <w:p w14:paraId="2D41C123"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4E9B25E5"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dugokrili pršnjak</w:t>
            </w:r>
          </w:p>
        </w:tc>
        <w:tc>
          <w:tcPr>
            <w:tcW w:w="2860" w:type="dxa"/>
            <w:shd w:val="clear" w:color="auto" w:fill="FFFFFF"/>
            <w:vAlign w:val="center"/>
            <w:hideMark/>
          </w:tcPr>
          <w:p w14:paraId="3109954A"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Miniopterus schreibersii</w:t>
            </w:r>
          </w:p>
        </w:tc>
      </w:tr>
      <w:tr w:rsidR="007929FB" w14:paraId="7353C2D4" w14:textId="77777777" w:rsidTr="00CC658B">
        <w:trPr>
          <w:trHeight w:val="300"/>
        </w:trPr>
        <w:tc>
          <w:tcPr>
            <w:tcW w:w="0" w:type="auto"/>
            <w:vMerge/>
            <w:shd w:val="clear" w:color="auto" w:fill="D2232A" w:themeFill="accent1"/>
            <w:vAlign w:val="center"/>
            <w:hideMark/>
          </w:tcPr>
          <w:p w14:paraId="3BC8BCFF"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F075582"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velikouhi šišmiš</w:t>
            </w:r>
          </w:p>
        </w:tc>
        <w:tc>
          <w:tcPr>
            <w:tcW w:w="2860" w:type="dxa"/>
            <w:shd w:val="clear" w:color="auto" w:fill="FFFFFF"/>
            <w:vAlign w:val="center"/>
            <w:hideMark/>
          </w:tcPr>
          <w:p w14:paraId="77683204"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Myotis bechsteinii</w:t>
            </w:r>
          </w:p>
        </w:tc>
      </w:tr>
      <w:tr w:rsidR="007929FB" w14:paraId="29CFAB8F" w14:textId="77777777" w:rsidTr="00CC658B">
        <w:trPr>
          <w:trHeight w:val="300"/>
        </w:trPr>
        <w:tc>
          <w:tcPr>
            <w:tcW w:w="0" w:type="auto"/>
            <w:vMerge/>
            <w:shd w:val="clear" w:color="auto" w:fill="D2232A" w:themeFill="accent1"/>
            <w:vAlign w:val="center"/>
            <w:hideMark/>
          </w:tcPr>
          <w:p w14:paraId="6F663720"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3F5DA70F"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riđi šišmiš</w:t>
            </w:r>
          </w:p>
        </w:tc>
        <w:tc>
          <w:tcPr>
            <w:tcW w:w="2860" w:type="dxa"/>
            <w:shd w:val="clear" w:color="auto" w:fill="FFFFFF"/>
            <w:vAlign w:val="center"/>
            <w:hideMark/>
          </w:tcPr>
          <w:p w14:paraId="06DEBB9A"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Myotis emarginatus</w:t>
            </w:r>
          </w:p>
        </w:tc>
      </w:tr>
      <w:tr w:rsidR="007929FB" w14:paraId="37B3B45E" w14:textId="77777777" w:rsidTr="00CC658B">
        <w:trPr>
          <w:trHeight w:val="300"/>
        </w:trPr>
        <w:tc>
          <w:tcPr>
            <w:tcW w:w="0" w:type="auto"/>
            <w:vMerge/>
            <w:shd w:val="clear" w:color="auto" w:fill="D2232A" w:themeFill="accent1"/>
            <w:vAlign w:val="center"/>
            <w:hideMark/>
          </w:tcPr>
          <w:p w14:paraId="1EF551A9"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444A8986"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veliki šišmiš</w:t>
            </w:r>
          </w:p>
        </w:tc>
        <w:tc>
          <w:tcPr>
            <w:tcW w:w="2860" w:type="dxa"/>
            <w:shd w:val="clear" w:color="auto" w:fill="FFFFFF"/>
            <w:vAlign w:val="center"/>
            <w:hideMark/>
          </w:tcPr>
          <w:p w14:paraId="7A8ABE4E"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Myotis myotis</w:t>
            </w:r>
          </w:p>
        </w:tc>
      </w:tr>
      <w:tr w:rsidR="007929FB" w14:paraId="351E1611" w14:textId="77777777" w:rsidTr="00CC658B">
        <w:trPr>
          <w:trHeight w:val="300"/>
        </w:trPr>
        <w:tc>
          <w:tcPr>
            <w:tcW w:w="0" w:type="auto"/>
            <w:vMerge/>
            <w:shd w:val="clear" w:color="auto" w:fill="D2232A" w:themeFill="accent1"/>
            <w:vAlign w:val="center"/>
            <w:hideMark/>
          </w:tcPr>
          <w:p w14:paraId="041B41B5"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4B48224"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Grundov šumski bijelac</w:t>
            </w:r>
          </w:p>
        </w:tc>
        <w:tc>
          <w:tcPr>
            <w:tcW w:w="2860" w:type="dxa"/>
            <w:shd w:val="clear" w:color="auto" w:fill="FFFFFF"/>
            <w:vAlign w:val="center"/>
            <w:hideMark/>
          </w:tcPr>
          <w:p w14:paraId="3BF15A32"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Leptidea morsei</w:t>
            </w:r>
          </w:p>
        </w:tc>
      </w:tr>
      <w:tr w:rsidR="007929FB" w14:paraId="17A852ED" w14:textId="77777777" w:rsidTr="00CC658B">
        <w:trPr>
          <w:trHeight w:val="300"/>
        </w:trPr>
        <w:tc>
          <w:tcPr>
            <w:tcW w:w="0" w:type="auto"/>
            <w:vMerge/>
            <w:shd w:val="clear" w:color="auto" w:fill="D2232A" w:themeFill="accent1"/>
            <w:vAlign w:val="center"/>
            <w:hideMark/>
          </w:tcPr>
          <w:p w14:paraId="5E416536"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0DD4BD0F"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gorski potočar</w:t>
            </w:r>
          </w:p>
        </w:tc>
        <w:tc>
          <w:tcPr>
            <w:tcW w:w="2860" w:type="dxa"/>
            <w:shd w:val="clear" w:color="auto" w:fill="FFFFFF"/>
            <w:vAlign w:val="center"/>
            <w:hideMark/>
          </w:tcPr>
          <w:p w14:paraId="3565A644"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Cordulegaster heros</w:t>
            </w:r>
          </w:p>
        </w:tc>
      </w:tr>
      <w:tr w:rsidR="007929FB" w14:paraId="1A256C82" w14:textId="77777777" w:rsidTr="00CC658B">
        <w:trPr>
          <w:trHeight w:val="300"/>
        </w:trPr>
        <w:tc>
          <w:tcPr>
            <w:tcW w:w="0" w:type="auto"/>
            <w:vMerge/>
            <w:shd w:val="clear" w:color="auto" w:fill="D2232A" w:themeFill="accent1"/>
            <w:vAlign w:val="center"/>
            <w:hideMark/>
          </w:tcPr>
          <w:p w14:paraId="2F8207DE"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A74AB36"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potočna mrena</w:t>
            </w:r>
          </w:p>
        </w:tc>
        <w:tc>
          <w:tcPr>
            <w:tcW w:w="2860" w:type="dxa"/>
            <w:shd w:val="clear" w:color="auto" w:fill="FFFFFF"/>
            <w:vAlign w:val="center"/>
            <w:hideMark/>
          </w:tcPr>
          <w:p w14:paraId="58D90F1B"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Barbus balcanicus</w:t>
            </w:r>
          </w:p>
        </w:tc>
      </w:tr>
      <w:tr w:rsidR="007929FB" w14:paraId="53BB6914" w14:textId="77777777" w:rsidTr="00CC658B">
        <w:trPr>
          <w:trHeight w:val="300"/>
        </w:trPr>
        <w:tc>
          <w:tcPr>
            <w:tcW w:w="0" w:type="auto"/>
            <w:vMerge/>
            <w:shd w:val="clear" w:color="auto" w:fill="D2232A" w:themeFill="accent1"/>
            <w:vAlign w:val="center"/>
            <w:hideMark/>
          </w:tcPr>
          <w:p w14:paraId="28C067B5"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7857523B"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mirišljivi samotar</w:t>
            </w:r>
          </w:p>
        </w:tc>
        <w:tc>
          <w:tcPr>
            <w:tcW w:w="2860" w:type="dxa"/>
            <w:shd w:val="clear" w:color="auto" w:fill="FFFFFF"/>
            <w:vAlign w:val="center"/>
            <w:hideMark/>
          </w:tcPr>
          <w:p w14:paraId="48FAAC93"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Osmoderma eremita*</w:t>
            </w:r>
          </w:p>
        </w:tc>
      </w:tr>
      <w:tr w:rsidR="007929FB" w14:paraId="0CD44C9F" w14:textId="77777777" w:rsidTr="00CC658B">
        <w:trPr>
          <w:trHeight w:val="300"/>
        </w:trPr>
        <w:tc>
          <w:tcPr>
            <w:tcW w:w="0" w:type="auto"/>
            <w:vMerge/>
            <w:shd w:val="clear" w:color="auto" w:fill="D2232A" w:themeFill="accent1"/>
            <w:vAlign w:val="center"/>
            <w:hideMark/>
          </w:tcPr>
          <w:p w14:paraId="57BB10C3"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3E7EE347"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jadranska kozonoška</w:t>
            </w:r>
          </w:p>
        </w:tc>
        <w:tc>
          <w:tcPr>
            <w:tcW w:w="2860" w:type="dxa"/>
            <w:shd w:val="clear" w:color="auto" w:fill="FFFFFF"/>
            <w:vAlign w:val="center"/>
            <w:hideMark/>
          </w:tcPr>
          <w:p w14:paraId="24E1FDDA"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Himantoglossum adriaticum</w:t>
            </w:r>
          </w:p>
        </w:tc>
      </w:tr>
      <w:tr w:rsidR="007929FB" w14:paraId="23708C7A" w14:textId="77777777" w:rsidTr="00CC658B">
        <w:trPr>
          <w:trHeight w:val="750"/>
        </w:trPr>
        <w:tc>
          <w:tcPr>
            <w:tcW w:w="0" w:type="auto"/>
            <w:vMerge/>
            <w:shd w:val="clear" w:color="auto" w:fill="D2232A" w:themeFill="accent1"/>
            <w:vAlign w:val="center"/>
            <w:hideMark/>
          </w:tcPr>
          <w:p w14:paraId="478C1A9F"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64E61BB4"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Hidrofilni rubovi visokih zeleni uz rijeke i šume (Convolvulion</w:t>
            </w:r>
            <w:r>
              <w:rPr>
                <w:rFonts w:ascii="Calibri" w:eastAsia="Times New Roman" w:hAnsi="Calibri" w:cs="Calibri"/>
                <w:noProof/>
                <w:sz w:val="20"/>
                <w:lang w:eastAsia="en-GB"/>
              </w:rPr>
              <w:t> </w:t>
            </w:r>
            <w:r>
              <w:rPr>
                <w:rFonts w:eastAsia="Times New Roman" w:cstheme="minorHAnsi"/>
                <w:i/>
                <w:iCs/>
                <w:noProof/>
                <w:szCs w:val="18"/>
                <w:lang w:eastAsia="en-GB"/>
              </w:rPr>
              <w:t>sepii, Filipendulion, Senecion fluviatilis)</w:t>
            </w:r>
          </w:p>
        </w:tc>
        <w:tc>
          <w:tcPr>
            <w:tcW w:w="2860" w:type="dxa"/>
            <w:shd w:val="clear" w:color="auto" w:fill="FFFFFF"/>
            <w:vAlign w:val="center"/>
            <w:hideMark/>
          </w:tcPr>
          <w:p w14:paraId="6AC1AF57"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6430</w:t>
            </w:r>
          </w:p>
        </w:tc>
      </w:tr>
      <w:tr w:rsidR="007929FB" w14:paraId="22C43668" w14:textId="77777777" w:rsidTr="00CC658B">
        <w:trPr>
          <w:trHeight w:val="510"/>
        </w:trPr>
        <w:tc>
          <w:tcPr>
            <w:tcW w:w="0" w:type="auto"/>
            <w:vMerge/>
            <w:shd w:val="clear" w:color="auto" w:fill="D2232A" w:themeFill="accent1"/>
            <w:vAlign w:val="center"/>
            <w:hideMark/>
          </w:tcPr>
          <w:p w14:paraId="2FC9DF11"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6E7F523C"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Ilirske hrastovo-grabove šume (Erythronio-Carpinion)</w:t>
            </w:r>
          </w:p>
        </w:tc>
        <w:tc>
          <w:tcPr>
            <w:tcW w:w="2860" w:type="dxa"/>
            <w:shd w:val="clear" w:color="auto" w:fill="FFFFFF"/>
            <w:vAlign w:val="center"/>
            <w:hideMark/>
          </w:tcPr>
          <w:p w14:paraId="2582B771"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91L0</w:t>
            </w:r>
          </w:p>
        </w:tc>
      </w:tr>
      <w:tr w:rsidR="007929FB" w14:paraId="1F49096C" w14:textId="77777777" w:rsidTr="00CC658B">
        <w:trPr>
          <w:trHeight w:val="510"/>
        </w:trPr>
        <w:tc>
          <w:tcPr>
            <w:tcW w:w="0" w:type="auto"/>
            <w:vMerge/>
            <w:shd w:val="clear" w:color="auto" w:fill="D2232A" w:themeFill="accent1"/>
            <w:vAlign w:val="center"/>
            <w:hideMark/>
          </w:tcPr>
          <w:p w14:paraId="5C67EAC7"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9A6BA93"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Šume pitomog kestena (Castanea</w:t>
            </w:r>
            <w:r>
              <w:rPr>
                <w:rFonts w:ascii="Calibri" w:eastAsia="Times New Roman" w:hAnsi="Calibri" w:cs="Calibri"/>
                <w:noProof/>
                <w:sz w:val="20"/>
                <w:lang w:eastAsia="en-GB"/>
              </w:rPr>
              <w:t> </w:t>
            </w:r>
            <w:r>
              <w:rPr>
                <w:rFonts w:eastAsia="Times New Roman" w:cstheme="minorHAnsi"/>
                <w:i/>
                <w:iCs/>
                <w:noProof/>
                <w:szCs w:val="18"/>
                <w:lang w:eastAsia="en-GB"/>
              </w:rPr>
              <w:t>sativa)</w:t>
            </w:r>
          </w:p>
        </w:tc>
        <w:tc>
          <w:tcPr>
            <w:tcW w:w="2860" w:type="dxa"/>
            <w:shd w:val="clear" w:color="auto" w:fill="FFFFFF"/>
            <w:vAlign w:val="center"/>
            <w:hideMark/>
          </w:tcPr>
          <w:p w14:paraId="2C504A8F"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9260</w:t>
            </w:r>
          </w:p>
        </w:tc>
      </w:tr>
      <w:tr w:rsidR="007929FB" w14:paraId="79B44334" w14:textId="77777777" w:rsidTr="00CC658B">
        <w:trPr>
          <w:trHeight w:val="300"/>
        </w:trPr>
        <w:tc>
          <w:tcPr>
            <w:tcW w:w="0" w:type="auto"/>
            <w:vMerge/>
            <w:shd w:val="clear" w:color="auto" w:fill="D2232A" w:themeFill="accent1"/>
            <w:vAlign w:val="center"/>
            <w:hideMark/>
          </w:tcPr>
          <w:p w14:paraId="4FFB33EC"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7303CDB5"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Bukove šume</w:t>
            </w:r>
            <w:r>
              <w:rPr>
                <w:rFonts w:ascii="Calibri" w:eastAsia="Times New Roman" w:hAnsi="Calibri" w:cs="Calibri"/>
                <w:noProof/>
                <w:sz w:val="20"/>
                <w:lang w:eastAsia="en-GB"/>
              </w:rPr>
              <w:t> </w:t>
            </w:r>
            <w:r>
              <w:rPr>
                <w:rFonts w:eastAsia="Times New Roman" w:cstheme="minorHAnsi"/>
                <w:i/>
                <w:iCs/>
                <w:noProof/>
                <w:szCs w:val="18"/>
                <w:lang w:eastAsia="en-GB"/>
              </w:rPr>
              <w:t>Luzulo-Fagetum</w:t>
            </w:r>
          </w:p>
        </w:tc>
        <w:tc>
          <w:tcPr>
            <w:tcW w:w="2860" w:type="dxa"/>
            <w:shd w:val="clear" w:color="auto" w:fill="FFFFFF"/>
            <w:vAlign w:val="center"/>
            <w:hideMark/>
          </w:tcPr>
          <w:p w14:paraId="73F784F3"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9110</w:t>
            </w:r>
          </w:p>
        </w:tc>
      </w:tr>
      <w:tr w:rsidR="007929FB" w14:paraId="28596DE6" w14:textId="77777777" w:rsidTr="00CC658B">
        <w:trPr>
          <w:trHeight w:val="510"/>
        </w:trPr>
        <w:tc>
          <w:tcPr>
            <w:tcW w:w="0" w:type="auto"/>
            <w:vMerge/>
            <w:shd w:val="clear" w:color="auto" w:fill="D2232A" w:themeFill="accent1"/>
            <w:vAlign w:val="center"/>
            <w:hideMark/>
          </w:tcPr>
          <w:p w14:paraId="13831582"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6DCDA32"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Ilirske bukove šume (Aremonio-Fagion)</w:t>
            </w:r>
          </w:p>
        </w:tc>
        <w:tc>
          <w:tcPr>
            <w:tcW w:w="2860" w:type="dxa"/>
            <w:shd w:val="clear" w:color="auto" w:fill="FFFFFF"/>
            <w:vAlign w:val="center"/>
            <w:hideMark/>
          </w:tcPr>
          <w:p w14:paraId="01AB6BF6"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91K0</w:t>
            </w:r>
          </w:p>
        </w:tc>
      </w:tr>
      <w:tr w:rsidR="007929FB" w14:paraId="4673A2E2" w14:textId="77777777" w:rsidTr="00CC658B">
        <w:trPr>
          <w:trHeight w:val="495"/>
        </w:trPr>
        <w:tc>
          <w:tcPr>
            <w:tcW w:w="0" w:type="auto"/>
            <w:vMerge/>
            <w:shd w:val="clear" w:color="auto" w:fill="D2232A" w:themeFill="accent1"/>
            <w:vAlign w:val="center"/>
            <w:hideMark/>
          </w:tcPr>
          <w:p w14:paraId="09D9C682"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02A12B51"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Šume velikih nagiba i klanaca</w:t>
            </w:r>
            <w:r>
              <w:rPr>
                <w:rFonts w:ascii="Calibri" w:eastAsia="Times New Roman" w:hAnsi="Calibri" w:cs="Calibri"/>
                <w:noProof/>
                <w:sz w:val="20"/>
                <w:lang w:eastAsia="en-GB"/>
              </w:rPr>
              <w:t> </w:t>
            </w:r>
            <w:r>
              <w:rPr>
                <w:rFonts w:eastAsia="Times New Roman" w:cstheme="minorHAnsi"/>
                <w:i/>
                <w:iCs/>
                <w:noProof/>
                <w:szCs w:val="18"/>
                <w:lang w:eastAsia="en-GB"/>
              </w:rPr>
              <w:t>Tilio-Acerion</w:t>
            </w:r>
          </w:p>
        </w:tc>
        <w:tc>
          <w:tcPr>
            <w:tcW w:w="2860" w:type="dxa"/>
            <w:shd w:val="clear" w:color="auto" w:fill="FFFFFF"/>
            <w:vAlign w:val="center"/>
            <w:hideMark/>
          </w:tcPr>
          <w:p w14:paraId="7C077DD7"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9180*</w:t>
            </w:r>
          </w:p>
        </w:tc>
      </w:tr>
      <w:tr w:rsidR="007929FB" w14:paraId="6703F278" w14:textId="77777777" w:rsidTr="00CC658B">
        <w:trPr>
          <w:trHeight w:val="300"/>
        </w:trPr>
        <w:tc>
          <w:tcPr>
            <w:tcW w:w="0" w:type="auto"/>
            <w:vMerge/>
            <w:shd w:val="clear" w:color="auto" w:fill="D2232A" w:themeFill="accent1"/>
            <w:vAlign w:val="center"/>
            <w:hideMark/>
          </w:tcPr>
          <w:p w14:paraId="5D3C99BB"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78E28EC5"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Špilje i jame zatvorene za javnost</w:t>
            </w:r>
          </w:p>
        </w:tc>
        <w:tc>
          <w:tcPr>
            <w:tcW w:w="2860" w:type="dxa"/>
            <w:shd w:val="clear" w:color="auto" w:fill="FFFFFF"/>
            <w:vAlign w:val="center"/>
            <w:hideMark/>
          </w:tcPr>
          <w:p w14:paraId="268C14BA"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8310</w:t>
            </w:r>
          </w:p>
        </w:tc>
      </w:tr>
      <w:tr w:rsidR="007929FB" w14:paraId="47709C8C" w14:textId="77777777" w:rsidTr="00CC658B">
        <w:trPr>
          <w:trHeight w:val="525"/>
        </w:trPr>
        <w:tc>
          <w:tcPr>
            <w:tcW w:w="0" w:type="auto"/>
            <w:vMerge/>
            <w:shd w:val="clear" w:color="auto" w:fill="D2232A" w:themeFill="accent1"/>
            <w:vAlign w:val="center"/>
            <w:hideMark/>
          </w:tcPr>
          <w:p w14:paraId="1D79C9B3"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643BA547"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Karbonatne stijene s hazmofitskom vegetacijom</w:t>
            </w:r>
          </w:p>
        </w:tc>
        <w:tc>
          <w:tcPr>
            <w:tcW w:w="2860" w:type="dxa"/>
            <w:shd w:val="clear" w:color="auto" w:fill="FFFFFF"/>
            <w:vAlign w:val="center"/>
            <w:hideMark/>
          </w:tcPr>
          <w:p w14:paraId="5F40790C"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8210</w:t>
            </w:r>
          </w:p>
        </w:tc>
      </w:tr>
      <w:tr w:rsidR="007929FB" w14:paraId="00E3ACFB" w14:textId="77777777" w:rsidTr="00CC658B">
        <w:trPr>
          <w:trHeight w:val="300"/>
        </w:trPr>
        <w:tc>
          <w:tcPr>
            <w:tcW w:w="2860" w:type="dxa"/>
            <w:vMerge w:val="restart"/>
            <w:shd w:val="clear" w:color="auto" w:fill="D2232A" w:themeFill="accent1"/>
            <w:vAlign w:val="center"/>
            <w:hideMark/>
          </w:tcPr>
          <w:p w14:paraId="463282DF" w14:textId="77777777" w:rsidR="007929FB" w:rsidRPr="008B454B" w:rsidRDefault="007929FB" w:rsidP="00CC658B">
            <w:pPr>
              <w:spacing w:after="0" w:line="240" w:lineRule="auto"/>
              <w:rPr>
                <w:rFonts w:eastAsia="Times New Roman" w:cstheme="minorHAnsi"/>
                <w:b/>
                <w:bCs/>
                <w:color w:val="FFFFFF" w:themeColor="background1"/>
                <w:sz w:val="20"/>
                <w:lang w:eastAsia="en-GB"/>
              </w:rPr>
            </w:pPr>
            <w:r w:rsidRPr="008B454B">
              <w:rPr>
                <w:rFonts w:eastAsia="Times New Roman" w:cstheme="minorHAnsi"/>
                <w:b/>
                <w:bCs/>
                <w:color w:val="FFFFFF" w:themeColor="background1"/>
                <w:sz w:val="20"/>
                <w:lang w:eastAsia="en-GB"/>
              </w:rPr>
              <w:t>Vršni dio Ivančice</w:t>
            </w:r>
          </w:p>
        </w:tc>
        <w:tc>
          <w:tcPr>
            <w:tcW w:w="3280" w:type="dxa"/>
            <w:shd w:val="clear" w:color="auto" w:fill="FFFFFF"/>
            <w:vAlign w:val="center"/>
            <w:hideMark/>
          </w:tcPr>
          <w:p w14:paraId="1AD380F4"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kiseličin vatreni plavac</w:t>
            </w:r>
          </w:p>
        </w:tc>
        <w:tc>
          <w:tcPr>
            <w:tcW w:w="2860" w:type="dxa"/>
            <w:shd w:val="clear" w:color="auto" w:fill="FFFFFF"/>
            <w:vAlign w:val="center"/>
            <w:hideMark/>
          </w:tcPr>
          <w:p w14:paraId="3F06BF3F"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Lycaena dispar</w:t>
            </w:r>
          </w:p>
        </w:tc>
      </w:tr>
      <w:tr w:rsidR="007929FB" w14:paraId="38CA5C13" w14:textId="77777777" w:rsidTr="00CC658B">
        <w:trPr>
          <w:trHeight w:val="300"/>
        </w:trPr>
        <w:tc>
          <w:tcPr>
            <w:tcW w:w="0" w:type="auto"/>
            <w:vMerge/>
            <w:shd w:val="clear" w:color="auto" w:fill="D2232A" w:themeFill="accent1"/>
            <w:vAlign w:val="center"/>
            <w:hideMark/>
          </w:tcPr>
          <w:p w14:paraId="396FCB89"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0E02303"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alpinska strizibuba</w:t>
            </w:r>
          </w:p>
        </w:tc>
        <w:tc>
          <w:tcPr>
            <w:tcW w:w="2860" w:type="dxa"/>
            <w:shd w:val="clear" w:color="auto" w:fill="FFFFFF"/>
            <w:vAlign w:val="center"/>
            <w:hideMark/>
          </w:tcPr>
          <w:p w14:paraId="01ABD9AC"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Rosalia alpina*</w:t>
            </w:r>
          </w:p>
        </w:tc>
      </w:tr>
      <w:tr w:rsidR="007929FB" w14:paraId="1367F58B" w14:textId="77777777" w:rsidTr="00CC658B">
        <w:trPr>
          <w:trHeight w:val="300"/>
        </w:trPr>
        <w:tc>
          <w:tcPr>
            <w:tcW w:w="0" w:type="auto"/>
            <w:vMerge/>
            <w:shd w:val="clear" w:color="auto" w:fill="D2232A" w:themeFill="accent1"/>
            <w:vAlign w:val="center"/>
            <w:hideMark/>
          </w:tcPr>
          <w:p w14:paraId="463B0E69"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62A4A3E4"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jelenak</w:t>
            </w:r>
          </w:p>
        </w:tc>
        <w:tc>
          <w:tcPr>
            <w:tcW w:w="2860" w:type="dxa"/>
            <w:shd w:val="clear" w:color="auto" w:fill="FFFFFF"/>
            <w:vAlign w:val="center"/>
            <w:hideMark/>
          </w:tcPr>
          <w:p w14:paraId="6130422F"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Lucanus cervus</w:t>
            </w:r>
          </w:p>
        </w:tc>
      </w:tr>
      <w:tr w:rsidR="007929FB" w14:paraId="56CF832C" w14:textId="77777777" w:rsidTr="00CC658B">
        <w:trPr>
          <w:trHeight w:val="300"/>
        </w:trPr>
        <w:tc>
          <w:tcPr>
            <w:tcW w:w="0" w:type="auto"/>
            <w:vMerge/>
            <w:shd w:val="clear" w:color="auto" w:fill="D2232A" w:themeFill="accent1"/>
            <w:vAlign w:val="center"/>
            <w:hideMark/>
          </w:tcPr>
          <w:p w14:paraId="1643A1A0"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3B9C3F95"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velika četveropjega cvilidreta</w:t>
            </w:r>
          </w:p>
        </w:tc>
        <w:tc>
          <w:tcPr>
            <w:tcW w:w="2860" w:type="dxa"/>
            <w:shd w:val="clear" w:color="auto" w:fill="FFFFFF"/>
            <w:vAlign w:val="center"/>
            <w:hideMark/>
          </w:tcPr>
          <w:p w14:paraId="74400367"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Morimus funereus</w:t>
            </w:r>
          </w:p>
        </w:tc>
      </w:tr>
      <w:tr w:rsidR="007929FB" w14:paraId="5CB0CCCF" w14:textId="77777777" w:rsidTr="00CC658B">
        <w:trPr>
          <w:trHeight w:val="300"/>
        </w:trPr>
        <w:tc>
          <w:tcPr>
            <w:tcW w:w="0" w:type="auto"/>
            <w:vMerge/>
            <w:shd w:val="clear" w:color="auto" w:fill="D2232A" w:themeFill="accent1"/>
            <w:vAlign w:val="center"/>
            <w:hideMark/>
          </w:tcPr>
          <w:p w14:paraId="71E81974"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70257B9C"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žuti mukač</w:t>
            </w:r>
          </w:p>
        </w:tc>
        <w:tc>
          <w:tcPr>
            <w:tcW w:w="2860" w:type="dxa"/>
            <w:shd w:val="clear" w:color="auto" w:fill="FFFFFF"/>
            <w:vAlign w:val="center"/>
            <w:hideMark/>
          </w:tcPr>
          <w:p w14:paraId="69041544"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Bombina variegata</w:t>
            </w:r>
          </w:p>
        </w:tc>
      </w:tr>
      <w:tr w:rsidR="007929FB" w14:paraId="1F6AD004" w14:textId="77777777" w:rsidTr="00CC658B">
        <w:trPr>
          <w:trHeight w:val="300"/>
        </w:trPr>
        <w:tc>
          <w:tcPr>
            <w:tcW w:w="0" w:type="auto"/>
            <w:vMerge/>
            <w:shd w:val="clear" w:color="auto" w:fill="D2232A" w:themeFill="accent1"/>
            <w:vAlign w:val="center"/>
            <w:hideMark/>
          </w:tcPr>
          <w:p w14:paraId="05AE0BC0"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01058378"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velikouhi šišmiš</w:t>
            </w:r>
          </w:p>
        </w:tc>
        <w:tc>
          <w:tcPr>
            <w:tcW w:w="2860" w:type="dxa"/>
            <w:shd w:val="clear" w:color="auto" w:fill="FFFFFF"/>
            <w:vAlign w:val="center"/>
            <w:hideMark/>
          </w:tcPr>
          <w:p w14:paraId="4B914758"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Myotis bechsteinii</w:t>
            </w:r>
          </w:p>
        </w:tc>
      </w:tr>
      <w:tr w:rsidR="007929FB" w14:paraId="7BF16C19" w14:textId="77777777" w:rsidTr="00CC658B">
        <w:trPr>
          <w:trHeight w:val="300"/>
        </w:trPr>
        <w:tc>
          <w:tcPr>
            <w:tcW w:w="0" w:type="auto"/>
            <w:vMerge/>
            <w:shd w:val="clear" w:color="auto" w:fill="D2232A" w:themeFill="accent1"/>
            <w:vAlign w:val="center"/>
            <w:hideMark/>
          </w:tcPr>
          <w:p w14:paraId="5FBAEE9C"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160C99D"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modra sasa</w:t>
            </w:r>
          </w:p>
        </w:tc>
        <w:tc>
          <w:tcPr>
            <w:tcW w:w="2860" w:type="dxa"/>
            <w:shd w:val="clear" w:color="auto" w:fill="FFFFFF"/>
            <w:vAlign w:val="center"/>
            <w:hideMark/>
          </w:tcPr>
          <w:p w14:paraId="192357F1"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Pulsatilla vulgaris</w:t>
            </w:r>
            <w:r>
              <w:rPr>
                <w:rFonts w:ascii="Calibri" w:eastAsia="Times New Roman" w:hAnsi="Calibri" w:cs="Calibri"/>
                <w:i/>
                <w:iCs/>
                <w:noProof/>
                <w:szCs w:val="18"/>
                <w:lang w:eastAsia="en-GB"/>
              </w:rPr>
              <w:t> </w:t>
            </w:r>
            <w:r>
              <w:rPr>
                <w:rFonts w:eastAsia="Times New Roman" w:cstheme="minorHAnsi"/>
                <w:noProof/>
                <w:sz w:val="20"/>
                <w:lang w:eastAsia="en-GB"/>
              </w:rPr>
              <w:t>ssp.</w:t>
            </w:r>
            <w:r>
              <w:rPr>
                <w:rFonts w:ascii="Calibri" w:eastAsia="Times New Roman" w:hAnsi="Calibri" w:cs="Calibri"/>
                <w:noProof/>
                <w:sz w:val="20"/>
                <w:lang w:eastAsia="en-GB"/>
              </w:rPr>
              <w:t> </w:t>
            </w:r>
            <w:r>
              <w:rPr>
                <w:rFonts w:eastAsia="Times New Roman" w:cstheme="minorHAnsi"/>
                <w:i/>
                <w:iCs/>
                <w:noProof/>
                <w:szCs w:val="18"/>
                <w:lang w:eastAsia="en-GB"/>
              </w:rPr>
              <w:t>grandis</w:t>
            </w:r>
          </w:p>
        </w:tc>
      </w:tr>
      <w:tr w:rsidR="007929FB" w14:paraId="142E728C" w14:textId="77777777" w:rsidTr="00CC658B">
        <w:trPr>
          <w:trHeight w:val="300"/>
        </w:trPr>
        <w:tc>
          <w:tcPr>
            <w:tcW w:w="0" w:type="auto"/>
            <w:vMerge/>
            <w:shd w:val="clear" w:color="auto" w:fill="D2232A" w:themeFill="accent1"/>
            <w:vAlign w:val="center"/>
            <w:hideMark/>
          </w:tcPr>
          <w:p w14:paraId="77CCFA15"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0DA2F357"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Grundov šumski bijelac</w:t>
            </w:r>
          </w:p>
        </w:tc>
        <w:tc>
          <w:tcPr>
            <w:tcW w:w="2860" w:type="dxa"/>
            <w:shd w:val="clear" w:color="auto" w:fill="FFFFFF"/>
            <w:vAlign w:val="center"/>
            <w:hideMark/>
          </w:tcPr>
          <w:p w14:paraId="3F5DFFE3"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Leptidea morsei</w:t>
            </w:r>
          </w:p>
        </w:tc>
      </w:tr>
      <w:tr w:rsidR="007929FB" w14:paraId="574C85AF" w14:textId="77777777" w:rsidTr="00CC658B">
        <w:trPr>
          <w:trHeight w:val="300"/>
        </w:trPr>
        <w:tc>
          <w:tcPr>
            <w:tcW w:w="0" w:type="auto"/>
            <w:vMerge/>
            <w:shd w:val="clear" w:color="auto" w:fill="D2232A" w:themeFill="accent1"/>
            <w:vAlign w:val="center"/>
            <w:hideMark/>
          </w:tcPr>
          <w:p w14:paraId="54ED187C"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6D12CA8"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gorski potočar</w:t>
            </w:r>
          </w:p>
        </w:tc>
        <w:tc>
          <w:tcPr>
            <w:tcW w:w="2860" w:type="dxa"/>
            <w:shd w:val="clear" w:color="auto" w:fill="FFFFFF"/>
            <w:vAlign w:val="center"/>
            <w:hideMark/>
          </w:tcPr>
          <w:p w14:paraId="41AAFA2E"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Cordulegaster heros</w:t>
            </w:r>
          </w:p>
        </w:tc>
      </w:tr>
      <w:tr w:rsidR="007929FB" w14:paraId="03051050" w14:textId="77777777" w:rsidTr="00CC658B">
        <w:trPr>
          <w:trHeight w:val="300"/>
        </w:trPr>
        <w:tc>
          <w:tcPr>
            <w:tcW w:w="0" w:type="auto"/>
            <w:vMerge/>
            <w:shd w:val="clear" w:color="auto" w:fill="D2232A" w:themeFill="accent1"/>
            <w:vAlign w:val="center"/>
            <w:hideMark/>
          </w:tcPr>
          <w:p w14:paraId="2DB175A6"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0BFB2A70"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danja medonjica</w:t>
            </w:r>
          </w:p>
        </w:tc>
        <w:tc>
          <w:tcPr>
            <w:tcW w:w="2860" w:type="dxa"/>
            <w:shd w:val="clear" w:color="auto" w:fill="FFFFFF"/>
            <w:vAlign w:val="center"/>
            <w:hideMark/>
          </w:tcPr>
          <w:p w14:paraId="3D97C8F4"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Euplagia quadripunctaria*</w:t>
            </w:r>
          </w:p>
        </w:tc>
      </w:tr>
      <w:tr w:rsidR="007929FB" w14:paraId="7A04D494" w14:textId="77777777" w:rsidTr="00CC658B">
        <w:trPr>
          <w:trHeight w:val="495"/>
        </w:trPr>
        <w:tc>
          <w:tcPr>
            <w:tcW w:w="0" w:type="auto"/>
            <w:vMerge/>
            <w:shd w:val="clear" w:color="auto" w:fill="D2232A" w:themeFill="accent1"/>
            <w:vAlign w:val="center"/>
            <w:hideMark/>
          </w:tcPr>
          <w:p w14:paraId="744F6E1A"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63FDFA0"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Šume velikih nagiba i klanaca</w:t>
            </w:r>
            <w:r>
              <w:rPr>
                <w:rFonts w:ascii="Calibri" w:eastAsia="Times New Roman" w:hAnsi="Calibri" w:cs="Calibri"/>
                <w:noProof/>
                <w:sz w:val="20"/>
                <w:lang w:eastAsia="en-GB"/>
              </w:rPr>
              <w:t> </w:t>
            </w:r>
            <w:r>
              <w:rPr>
                <w:rFonts w:eastAsia="Times New Roman" w:cstheme="minorHAnsi"/>
                <w:i/>
                <w:iCs/>
                <w:noProof/>
                <w:szCs w:val="18"/>
                <w:lang w:eastAsia="en-GB"/>
              </w:rPr>
              <w:t>Tilio-Acerion</w:t>
            </w:r>
          </w:p>
        </w:tc>
        <w:tc>
          <w:tcPr>
            <w:tcW w:w="2860" w:type="dxa"/>
            <w:shd w:val="clear" w:color="auto" w:fill="FFFFFF"/>
            <w:vAlign w:val="center"/>
            <w:hideMark/>
          </w:tcPr>
          <w:p w14:paraId="7B72B132"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9180*</w:t>
            </w:r>
          </w:p>
        </w:tc>
      </w:tr>
      <w:tr w:rsidR="007929FB" w14:paraId="3AF7AD20" w14:textId="77777777" w:rsidTr="00CC658B">
        <w:trPr>
          <w:trHeight w:val="510"/>
        </w:trPr>
        <w:tc>
          <w:tcPr>
            <w:tcW w:w="0" w:type="auto"/>
            <w:vMerge/>
            <w:shd w:val="clear" w:color="auto" w:fill="D2232A" w:themeFill="accent1"/>
            <w:vAlign w:val="center"/>
            <w:hideMark/>
          </w:tcPr>
          <w:p w14:paraId="265C3711"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3AB9400C"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Ilirske bukove šume (Aremonio-Fagion)</w:t>
            </w:r>
          </w:p>
        </w:tc>
        <w:tc>
          <w:tcPr>
            <w:tcW w:w="2860" w:type="dxa"/>
            <w:shd w:val="clear" w:color="auto" w:fill="FFFFFF"/>
            <w:vAlign w:val="center"/>
            <w:hideMark/>
          </w:tcPr>
          <w:p w14:paraId="6FDAE107"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91K0</w:t>
            </w:r>
          </w:p>
        </w:tc>
      </w:tr>
      <w:tr w:rsidR="007929FB" w14:paraId="1576CDE1" w14:textId="77777777" w:rsidTr="00CC658B">
        <w:trPr>
          <w:trHeight w:val="510"/>
        </w:trPr>
        <w:tc>
          <w:tcPr>
            <w:tcW w:w="0" w:type="auto"/>
            <w:vMerge/>
            <w:shd w:val="clear" w:color="auto" w:fill="D2232A" w:themeFill="accent1"/>
            <w:vAlign w:val="center"/>
            <w:hideMark/>
          </w:tcPr>
          <w:p w14:paraId="4AB96789"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45C5D47A"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Ilirske hrastovo-grabove šume (Erythronio-Carpinion)</w:t>
            </w:r>
          </w:p>
        </w:tc>
        <w:tc>
          <w:tcPr>
            <w:tcW w:w="2860" w:type="dxa"/>
            <w:shd w:val="clear" w:color="auto" w:fill="FFFFFF"/>
            <w:vAlign w:val="center"/>
            <w:hideMark/>
          </w:tcPr>
          <w:p w14:paraId="517520C4"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91L0</w:t>
            </w:r>
          </w:p>
        </w:tc>
      </w:tr>
      <w:tr w:rsidR="007929FB" w14:paraId="4AF193B3" w14:textId="77777777" w:rsidTr="00CC658B">
        <w:trPr>
          <w:trHeight w:val="510"/>
        </w:trPr>
        <w:tc>
          <w:tcPr>
            <w:tcW w:w="0" w:type="auto"/>
            <w:vMerge/>
            <w:shd w:val="clear" w:color="auto" w:fill="D2232A" w:themeFill="accent1"/>
            <w:vAlign w:val="center"/>
            <w:hideMark/>
          </w:tcPr>
          <w:p w14:paraId="09C4FFF1"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659B73CD"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Karbonatne stijene s hazmofitskom vegetacijom</w:t>
            </w:r>
          </w:p>
        </w:tc>
        <w:tc>
          <w:tcPr>
            <w:tcW w:w="2860" w:type="dxa"/>
            <w:shd w:val="clear" w:color="auto" w:fill="FFFFFF"/>
            <w:vAlign w:val="center"/>
            <w:hideMark/>
          </w:tcPr>
          <w:p w14:paraId="17B6629B"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8210</w:t>
            </w:r>
          </w:p>
        </w:tc>
      </w:tr>
      <w:tr w:rsidR="007929FB" w14:paraId="50ABCC77" w14:textId="77777777" w:rsidTr="00CC658B">
        <w:trPr>
          <w:trHeight w:val="780"/>
        </w:trPr>
        <w:tc>
          <w:tcPr>
            <w:tcW w:w="0" w:type="auto"/>
            <w:vMerge/>
            <w:shd w:val="clear" w:color="auto" w:fill="D2232A" w:themeFill="accent1"/>
            <w:vAlign w:val="center"/>
            <w:hideMark/>
          </w:tcPr>
          <w:p w14:paraId="30BC0721"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386A534E"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Suhi kontinentalni travnjaci (Festuco-Brometalia) (*važni lokaliteti za kaćune)</w:t>
            </w:r>
          </w:p>
        </w:tc>
        <w:tc>
          <w:tcPr>
            <w:tcW w:w="2860" w:type="dxa"/>
            <w:shd w:val="clear" w:color="auto" w:fill="FFFFFF"/>
            <w:vAlign w:val="center"/>
            <w:hideMark/>
          </w:tcPr>
          <w:p w14:paraId="620ABAC4"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6210*</w:t>
            </w:r>
          </w:p>
        </w:tc>
      </w:tr>
      <w:tr w:rsidR="007929FB" w14:paraId="08167BB1" w14:textId="77777777" w:rsidTr="00CC658B">
        <w:trPr>
          <w:trHeight w:val="300"/>
        </w:trPr>
        <w:tc>
          <w:tcPr>
            <w:tcW w:w="2860" w:type="dxa"/>
            <w:vMerge w:val="restart"/>
            <w:shd w:val="clear" w:color="auto" w:fill="D2232A" w:themeFill="accent1"/>
            <w:vAlign w:val="center"/>
            <w:hideMark/>
          </w:tcPr>
          <w:p w14:paraId="69CFD435" w14:textId="77777777" w:rsidR="007929FB" w:rsidRDefault="007929FB" w:rsidP="00CC658B">
            <w:pPr>
              <w:spacing w:after="0" w:line="240" w:lineRule="auto"/>
              <w:rPr>
                <w:rFonts w:eastAsia="Times New Roman" w:cstheme="minorHAnsi"/>
                <w:b/>
                <w:bCs/>
                <w:sz w:val="20"/>
                <w:lang w:eastAsia="en-GB"/>
              </w:rPr>
            </w:pPr>
            <w:r w:rsidRPr="008B454B">
              <w:rPr>
                <w:rFonts w:eastAsia="Times New Roman" w:cstheme="minorHAnsi"/>
                <w:b/>
                <w:bCs/>
                <w:color w:val="FFFFFF" w:themeColor="background1"/>
                <w:sz w:val="20"/>
                <w:lang w:eastAsia="en-GB"/>
              </w:rPr>
              <w:t>Sutla</w:t>
            </w:r>
          </w:p>
        </w:tc>
        <w:tc>
          <w:tcPr>
            <w:tcW w:w="3280" w:type="dxa"/>
            <w:shd w:val="clear" w:color="auto" w:fill="FFFFFF"/>
            <w:vAlign w:val="center"/>
            <w:hideMark/>
          </w:tcPr>
          <w:p w14:paraId="650CF36E"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obična lisanka</w:t>
            </w:r>
          </w:p>
        </w:tc>
        <w:tc>
          <w:tcPr>
            <w:tcW w:w="2860" w:type="dxa"/>
            <w:shd w:val="clear" w:color="auto" w:fill="FFFFFF"/>
            <w:vAlign w:val="center"/>
            <w:hideMark/>
          </w:tcPr>
          <w:p w14:paraId="3CE3BEAB"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Unio crassus</w:t>
            </w:r>
          </w:p>
        </w:tc>
      </w:tr>
      <w:tr w:rsidR="007929FB" w14:paraId="581ECC80" w14:textId="77777777" w:rsidTr="00CC658B">
        <w:trPr>
          <w:trHeight w:val="300"/>
        </w:trPr>
        <w:tc>
          <w:tcPr>
            <w:tcW w:w="0" w:type="auto"/>
            <w:vMerge/>
            <w:shd w:val="clear" w:color="auto" w:fill="D2232A" w:themeFill="accent1"/>
            <w:vAlign w:val="center"/>
            <w:hideMark/>
          </w:tcPr>
          <w:p w14:paraId="6193F969"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04D40F42"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mali vretenac</w:t>
            </w:r>
          </w:p>
        </w:tc>
        <w:tc>
          <w:tcPr>
            <w:tcW w:w="2860" w:type="dxa"/>
            <w:shd w:val="clear" w:color="auto" w:fill="FFFFFF"/>
            <w:vAlign w:val="center"/>
            <w:hideMark/>
          </w:tcPr>
          <w:p w14:paraId="565A0FD9"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Zingel streber</w:t>
            </w:r>
          </w:p>
        </w:tc>
      </w:tr>
      <w:tr w:rsidR="007929FB" w14:paraId="59FFA3A8" w14:textId="77777777" w:rsidTr="00CC658B">
        <w:trPr>
          <w:trHeight w:val="300"/>
        </w:trPr>
        <w:tc>
          <w:tcPr>
            <w:tcW w:w="0" w:type="auto"/>
            <w:vMerge/>
            <w:shd w:val="clear" w:color="auto" w:fill="D2232A" w:themeFill="accent1"/>
            <w:vAlign w:val="center"/>
            <w:hideMark/>
          </w:tcPr>
          <w:p w14:paraId="30982E15"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592C9E77"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peš</w:t>
            </w:r>
          </w:p>
        </w:tc>
        <w:tc>
          <w:tcPr>
            <w:tcW w:w="2860" w:type="dxa"/>
            <w:shd w:val="clear" w:color="auto" w:fill="FFFFFF"/>
            <w:vAlign w:val="center"/>
            <w:hideMark/>
          </w:tcPr>
          <w:p w14:paraId="1FC815F9"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Cottus gobio</w:t>
            </w:r>
          </w:p>
        </w:tc>
      </w:tr>
      <w:tr w:rsidR="007929FB" w14:paraId="0217D18D" w14:textId="77777777" w:rsidTr="00CC658B">
        <w:trPr>
          <w:trHeight w:val="300"/>
        </w:trPr>
        <w:tc>
          <w:tcPr>
            <w:tcW w:w="0" w:type="auto"/>
            <w:vMerge/>
            <w:shd w:val="clear" w:color="auto" w:fill="D2232A" w:themeFill="accent1"/>
            <w:vAlign w:val="center"/>
            <w:hideMark/>
          </w:tcPr>
          <w:p w14:paraId="3F3658B2"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2F57763"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dunavska paklara</w:t>
            </w:r>
          </w:p>
        </w:tc>
        <w:tc>
          <w:tcPr>
            <w:tcW w:w="2860" w:type="dxa"/>
            <w:shd w:val="clear" w:color="auto" w:fill="FFFFFF"/>
            <w:vAlign w:val="center"/>
            <w:hideMark/>
          </w:tcPr>
          <w:p w14:paraId="3DF1D8D2"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Eudontomyzon vladykovi</w:t>
            </w:r>
          </w:p>
        </w:tc>
      </w:tr>
      <w:tr w:rsidR="007929FB" w14:paraId="68595C77" w14:textId="77777777" w:rsidTr="00CC658B">
        <w:trPr>
          <w:trHeight w:val="300"/>
        </w:trPr>
        <w:tc>
          <w:tcPr>
            <w:tcW w:w="0" w:type="auto"/>
            <w:vMerge/>
            <w:shd w:val="clear" w:color="auto" w:fill="D2232A" w:themeFill="accent1"/>
            <w:vAlign w:val="center"/>
            <w:hideMark/>
          </w:tcPr>
          <w:p w14:paraId="66CEB8DB"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39690F7"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potočna mrena</w:t>
            </w:r>
          </w:p>
        </w:tc>
        <w:tc>
          <w:tcPr>
            <w:tcW w:w="2860" w:type="dxa"/>
            <w:shd w:val="clear" w:color="auto" w:fill="FFFFFF"/>
            <w:vAlign w:val="center"/>
            <w:hideMark/>
          </w:tcPr>
          <w:p w14:paraId="62441152"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Barbus balcanicus</w:t>
            </w:r>
          </w:p>
        </w:tc>
      </w:tr>
      <w:tr w:rsidR="007929FB" w14:paraId="5494D571" w14:textId="77777777" w:rsidTr="00CC658B">
        <w:trPr>
          <w:trHeight w:val="300"/>
        </w:trPr>
        <w:tc>
          <w:tcPr>
            <w:tcW w:w="0" w:type="auto"/>
            <w:vMerge/>
            <w:shd w:val="clear" w:color="auto" w:fill="D2232A" w:themeFill="accent1"/>
            <w:vAlign w:val="center"/>
            <w:hideMark/>
          </w:tcPr>
          <w:p w14:paraId="473D2DBA"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1101303"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gavčica</w:t>
            </w:r>
          </w:p>
        </w:tc>
        <w:tc>
          <w:tcPr>
            <w:tcW w:w="2860" w:type="dxa"/>
            <w:shd w:val="clear" w:color="auto" w:fill="FFFFFF"/>
            <w:vAlign w:val="center"/>
            <w:hideMark/>
          </w:tcPr>
          <w:p w14:paraId="30B616C8"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Rhodeus amarus</w:t>
            </w:r>
          </w:p>
        </w:tc>
      </w:tr>
      <w:tr w:rsidR="007929FB" w14:paraId="7A90059A" w14:textId="77777777" w:rsidTr="00CC658B">
        <w:trPr>
          <w:trHeight w:val="300"/>
        </w:trPr>
        <w:tc>
          <w:tcPr>
            <w:tcW w:w="0" w:type="auto"/>
            <w:vMerge/>
            <w:shd w:val="clear" w:color="auto" w:fill="D2232A" w:themeFill="accent1"/>
            <w:vAlign w:val="center"/>
            <w:hideMark/>
          </w:tcPr>
          <w:p w14:paraId="6CCD2145"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4825060"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veliki vijun</w:t>
            </w:r>
          </w:p>
        </w:tc>
        <w:tc>
          <w:tcPr>
            <w:tcW w:w="2860" w:type="dxa"/>
            <w:shd w:val="clear" w:color="auto" w:fill="FFFFFF"/>
            <w:vAlign w:val="center"/>
            <w:hideMark/>
          </w:tcPr>
          <w:p w14:paraId="66523389"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Cobitis elongata</w:t>
            </w:r>
          </w:p>
        </w:tc>
      </w:tr>
      <w:tr w:rsidR="007929FB" w14:paraId="0B540EC1" w14:textId="77777777" w:rsidTr="00CC658B">
        <w:trPr>
          <w:trHeight w:val="300"/>
        </w:trPr>
        <w:tc>
          <w:tcPr>
            <w:tcW w:w="0" w:type="auto"/>
            <w:vMerge/>
            <w:shd w:val="clear" w:color="auto" w:fill="D2232A" w:themeFill="accent1"/>
            <w:vAlign w:val="center"/>
            <w:hideMark/>
          </w:tcPr>
          <w:p w14:paraId="0233E84C"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C636F1F"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Keslerova krkuša</w:t>
            </w:r>
          </w:p>
        </w:tc>
        <w:tc>
          <w:tcPr>
            <w:tcW w:w="2860" w:type="dxa"/>
            <w:shd w:val="clear" w:color="auto" w:fill="FFFFFF"/>
            <w:vAlign w:val="center"/>
            <w:hideMark/>
          </w:tcPr>
          <w:p w14:paraId="2DAAC4FE"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Romanogobio kessleri</w:t>
            </w:r>
          </w:p>
        </w:tc>
      </w:tr>
      <w:tr w:rsidR="007929FB" w14:paraId="737218BA" w14:textId="77777777" w:rsidTr="00CC658B">
        <w:trPr>
          <w:trHeight w:val="315"/>
        </w:trPr>
        <w:tc>
          <w:tcPr>
            <w:tcW w:w="0" w:type="auto"/>
            <w:vMerge/>
            <w:shd w:val="clear" w:color="auto" w:fill="D2232A" w:themeFill="accent1"/>
            <w:vAlign w:val="center"/>
            <w:hideMark/>
          </w:tcPr>
          <w:p w14:paraId="32C6CAB8"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0F5BCF10"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tankorepa krkuša</w:t>
            </w:r>
          </w:p>
        </w:tc>
        <w:tc>
          <w:tcPr>
            <w:tcW w:w="2860" w:type="dxa"/>
            <w:shd w:val="clear" w:color="auto" w:fill="FFFFFF"/>
            <w:vAlign w:val="center"/>
            <w:hideMark/>
          </w:tcPr>
          <w:p w14:paraId="50234099"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Romanogobio uranoscopus</w:t>
            </w:r>
          </w:p>
        </w:tc>
      </w:tr>
      <w:tr w:rsidR="007929FB" w14:paraId="6E5471DE" w14:textId="77777777" w:rsidTr="00CC658B">
        <w:trPr>
          <w:trHeight w:val="300"/>
        </w:trPr>
        <w:tc>
          <w:tcPr>
            <w:tcW w:w="2860" w:type="dxa"/>
            <w:vMerge w:val="restart"/>
            <w:shd w:val="clear" w:color="auto" w:fill="D2232A" w:themeFill="accent1"/>
            <w:vAlign w:val="center"/>
            <w:hideMark/>
          </w:tcPr>
          <w:p w14:paraId="7B2B8E07" w14:textId="77777777" w:rsidR="007929FB" w:rsidRDefault="007929FB" w:rsidP="00CC658B">
            <w:pPr>
              <w:spacing w:after="0" w:line="240" w:lineRule="auto"/>
              <w:rPr>
                <w:rFonts w:eastAsia="Times New Roman" w:cstheme="minorHAnsi"/>
                <w:b/>
                <w:bCs/>
                <w:sz w:val="20"/>
                <w:lang w:eastAsia="en-GB"/>
              </w:rPr>
            </w:pPr>
            <w:r w:rsidRPr="008B454B">
              <w:rPr>
                <w:rFonts w:eastAsia="Times New Roman" w:cstheme="minorHAnsi"/>
                <w:b/>
                <w:bCs/>
                <w:color w:val="FFFFFF" w:themeColor="background1"/>
                <w:sz w:val="20"/>
                <w:lang w:eastAsia="en-GB"/>
              </w:rPr>
              <w:t>Strahinjčica</w:t>
            </w:r>
          </w:p>
        </w:tc>
        <w:tc>
          <w:tcPr>
            <w:tcW w:w="3280" w:type="dxa"/>
            <w:shd w:val="clear" w:color="auto" w:fill="FFFFFF"/>
            <w:vAlign w:val="center"/>
            <w:hideMark/>
          </w:tcPr>
          <w:p w14:paraId="50F4A97D"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gorski potočar</w:t>
            </w:r>
          </w:p>
        </w:tc>
        <w:tc>
          <w:tcPr>
            <w:tcW w:w="2860" w:type="dxa"/>
            <w:shd w:val="clear" w:color="auto" w:fill="FFFFFF"/>
            <w:vAlign w:val="center"/>
            <w:hideMark/>
          </w:tcPr>
          <w:p w14:paraId="5516FF7E"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Cordulegaster heros</w:t>
            </w:r>
          </w:p>
        </w:tc>
      </w:tr>
      <w:tr w:rsidR="007929FB" w14:paraId="15255799" w14:textId="77777777" w:rsidTr="00CC658B">
        <w:trPr>
          <w:trHeight w:val="300"/>
        </w:trPr>
        <w:tc>
          <w:tcPr>
            <w:tcW w:w="0" w:type="auto"/>
            <w:vMerge/>
            <w:shd w:val="clear" w:color="auto" w:fill="D2232A" w:themeFill="accent1"/>
            <w:vAlign w:val="center"/>
            <w:hideMark/>
          </w:tcPr>
          <w:p w14:paraId="38A13D79"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CC00D1F"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kataks</w:t>
            </w:r>
          </w:p>
        </w:tc>
        <w:tc>
          <w:tcPr>
            <w:tcW w:w="2860" w:type="dxa"/>
            <w:shd w:val="clear" w:color="auto" w:fill="FFFFFF"/>
            <w:vAlign w:val="center"/>
            <w:hideMark/>
          </w:tcPr>
          <w:p w14:paraId="0EC420A7"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Eriogaster catax</w:t>
            </w:r>
          </w:p>
        </w:tc>
      </w:tr>
      <w:tr w:rsidR="007929FB" w14:paraId="58DB2F5C" w14:textId="77777777" w:rsidTr="00CC658B">
        <w:trPr>
          <w:trHeight w:val="300"/>
        </w:trPr>
        <w:tc>
          <w:tcPr>
            <w:tcW w:w="0" w:type="auto"/>
            <w:vMerge/>
            <w:shd w:val="clear" w:color="auto" w:fill="D2232A" w:themeFill="accent1"/>
            <w:vAlign w:val="center"/>
            <w:hideMark/>
          </w:tcPr>
          <w:p w14:paraId="549E5382"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58F694A4"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jelenak</w:t>
            </w:r>
          </w:p>
        </w:tc>
        <w:tc>
          <w:tcPr>
            <w:tcW w:w="2860" w:type="dxa"/>
            <w:shd w:val="clear" w:color="auto" w:fill="FFFFFF"/>
            <w:vAlign w:val="center"/>
            <w:hideMark/>
          </w:tcPr>
          <w:p w14:paraId="06B13F6F"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Lucanus cervus</w:t>
            </w:r>
          </w:p>
        </w:tc>
      </w:tr>
      <w:tr w:rsidR="007929FB" w14:paraId="54210870" w14:textId="77777777" w:rsidTr="00CC658B">
        <w:trPr>
          <w:trHeight w:val="300"/>
        </w:trPr>
        <w:tc>
          <w:tcPr>
            <w:tcW w:w="0" w:type="auto"/>
            <w:vMerge/>
            <w:shd w:val="clear" w:color="auto" w:fill="D2232A" w:themeFill="accent1"/>
            <w:vAlign w:val="center"/>
            <w:hideMark/>
          </w:tcPr>
          <w:p w14:paraId="6BB4B270"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0E2E609C"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alpinska strizibuba</w:t>
            </w:r>
          </w:p>
        </w:tc>
        <w:tc>
          <w:tcPr>
            <w:tcW w:w="2860" w:type="dxa"/>
            <w:shd w:val="clear" w:color="auto" w:fill="FFFFFF"/>
            <w:vAlign w:val="center"/>
            <w:hideMark/>
          </w:tcPr>
          <w:p w14:paraId="243D0622"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Rosalia alpina*</w:t>
            </w:r>
          </w:p>
        </w:tc>
      </w:tr>
      <w:tr w:rsidR="007929FB" w14:paraId="24C89DBB" w14:textId="77777777" w:rsidTr="00CC658B">
        <w:trPr>
          <w:trHeight w:val="300"/>
        </w:trPr>
        <w:tc>
          <w:tcPr>
            <w:tcW w:w="0" w:type="auto"/>
            <w:vMerge/>
            <w:shd w:val="clear" w:color="auto" w:fill="D2232A" w:themeFill="accent1"/>
            <w:vAlign w:val="center"/>
            <w:hideMark/>
          </w:tcPr>
          <w:p w14:paraId="124D9279"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44F8E102"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jadranska kozonoška</w:t>
            </w:r>
          </w:p>
        </w:tc>
        <w:tc>
          <w:tcPr>
            <w:tcW w:w="2860" w:type="dxa"/>
            <w:shd w:val="clear" w:color="auto" w:fill="FFFFFF"/>
            <w:vAlign w:val="center"/>
            <w:hideMark/>
          </w:tcPr>
          <w:p w14:paraId="1ADCD448"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Himantoglossum adriaticum</w:t>
            </w:r>
          </w:p>
        </w:tc>
      </w:tr>
      <w:tr w:rsidR="007929FB" w14:paraId="3F09CD54" w14:textId="77777777" w:rsidTr="00CC658B">
        <w:trPr>
          <w:trHeight w:val="300"/>
        </w:trPr>
        <w:tc>
          <w:tcPr>
            <w:tcW w:w="0" w:type="auto"/>
            <w:vMerge/>
            <w:shd w:val="clear" w:color="auto" w:fill="D2232A" w:themeFill="accent1"/>
            <w:vAlign w:val="center"/>
            <w:hideMark/>
          </w:tcPr>
          <w:p w14:paraId="3F57E507"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9FA0C12"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žuti mukač</w:t>
            </w:r>
          </w:p>
        </w:tc>
        <w:tc>
          <w:tcPr>
            <w:tcW w:w="2860" w:type="dxa"/>
            <w:shd w:val="clear" w:color="auto" w:fill="FFFFFF"/>
            <w:vAlign w:val="center"/>
            <w:hideMark/>
          </w:tcPr>
          <w:p w14:paraId="78ADCFCC"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Bombina variegata</w:t>
            </w:r>
          </w:p>
        </w:tc>
      </w:tr>
      <w:tr w:rsidR="007929FB" w14:paraId="2389F9A4" w14:textId="77777777" w:rsidTr="00CC658B">
        <w:trPr>
          <w:trHeight w:val="765"/>
        </w:trPr>
        <w:tc>
          <w:tcPr>
            <w:tcW w:w="0" w:type="auto"/>
            <w:vMerge/>
            <w:shd w:val="clear" w:color="auto" w:fill="D2232A" w:themeFill="accent1"/>
            <w:vAlign w:val="center"/>
            <w:hideMark/>
          </w:tcPr>
          <w:p w14:paraId="7616F20B"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69508ABA"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Otvorene kserotermofilne pionirske zajednice na karbonatnom kamenitom tlu</w:t>
            </w:r>
          </w:p>
        </w:tc>
        <w:tc>
          <w:tcPr>
            <w:tcW w:w="2860" w:type="dxa"/>
            <w:shd w:val="clear" w:color="auto" w:fill="FFFFFF"/>
            <w:vAlign w:val="center"/>
            <w:hideMark/>
          </w:tcPr>
          <w:p w14:paraId="51E6EFCA"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6110*</w:t>
            </w:r>
          </w:p>
        </w:tc>
      </w:tr>
      <w:tr w:rsidR="007929FB" w14:paraId="703B47C3" w14:textId="77777777" w:rsidTr="00CC658B">
        <w:trPr>
          <w:trHeight w:val="765"/>
        </w:trPr>
        <w:tc>
          <w:tcPr>
            <w:tcW w:w="0" w:type="auto"/>
            <w:vMerge/>
            <w:shd w:val="clear" w:color="auto" w:fill="D2232A" w:themeFill="accent1"/>
            <w:vAlign w:val="center"/>
            <w:hideMark/>
          </w:tcPr>
          <w:p w14:paraId="7F3AD992"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0FB9C3CF"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Suhi kontinentalni travnjaci (Festuco-Brometalia) (*važni lokaliteti za kaćune)</w:t>
            </w:r>
          </w:p>
        </w:tc>
        <w:tc>
          <w:tcPr>
            <w:tcW w:w="2860" w:type="dxa"/>
            <w:shd w:val="clear" w:color="auto" w:fill="FFFFFF"/>
            <w:vAlign w:val="center"/>
            <w:hideMark/>
          </w:tcPr>
          <w:p w14:paraId="649982C9"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6210*</w:t>
            </w:r>
          </w:p>
        </w:tc>
      </w:tr>
      <w:tr w:rsidR="007929FB" w14:paraId="23307A26" w14:textId="77777777" w:rsidTr="00CC658B">
        <w:trPr>
          <w:trHeight w:val="510"/>
        </w:trPr>
        <w:tc>
          <w:tcPr>
            <w:tcW w:w="0" w:type="auto"/>
            <w:vMerge/>
            <w:shd w:val="clear" w:color="auto" w:fill="D2232A" w:themeFill="accent1"/>
            <w:vAlign w:val="center"/>
            <w:hideMark/>
          </w:tcPr>
          <w:p w14:paraId="2D3CEF83"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15BD4F2E"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Karbonatne stijene s hazmofitskom vegetacijom</w:t>
            </w:r>
          </w:p>
        </w:tc>
        <w:tc>
          <w:tcPr>
            <w:tcW w:w="2860" w:type="dxa"/>
            <w:shd w:val="clear" w:color="auto" w:fill="FFFFFF"/>
            <w:vAlign w:val="center"/>
            <w:hideMark/>
          </w:tcPr>
          <w:p w14:paraId="1A936258"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8210</w:t>
            </w:r>
          </w:p>
        </w:tc>
      </w:tr>
      <w:tr w:rsidR="007929FB" w14:paraId="50FE9288" w14:textId="77777777" w:rsidTr="00CC658B">
        <w:trPr>
          <w:trHeight w:val="510"/>
        </w:trPr>
        <w:tc>
          <w:tcPr>
            <w:tcW w:w="0" w:type="auto"/>
            <w:vMerge/>
            <w:shd w:val="clear" w:color="auto" w:fill="D2232A" w:themeFill="accent1"/>
            <w:vAlign w:val="center"/>
            <w:hideMark/>
          </w:tcPr>
          <w:p w14:paraId="15CAD5C7"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21780232"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Ilirske hrastovo-grabove šume (Erythronio-Carpinion)</w:t>
            </w:r>
          </w:p>
        </w:tc>
        <w:tc>
          <w:tcPr>
            <w:tcW w:w="2860" w:type="dxa"/>
            <w:shd w:val="clear" w:color="auto" w:fill="FFFFFF"/>
            <w:vAlign w:val="center"/>
            <w:hideMark/>
          </w:tcPr>
          <w:p w14:paraId="13F8F5E8"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91L0</w:t>
            </w:r>
          </w:p>
        </w:tc>
      </w:tr>
      <w:tr w:rsidR="007929FB" w14:paraId="340C5A04" w14:textId="77777777" w:rsidTr="00CC658B">
        <w:trPr>
          <w:trHeight w:val="525"/>
        </w:trPr>
        <w:tc>
          <w:tcPr>
            <w:tcW w:w="0" w:type="auto"/>
            <w:vMerge/>
            <w:shd w:val="clear" w:color="auto" w:fill="D2232A" w:themeFill="accent1"/>
            <w:vAlign w:val="center"/>
            <w:hideMark/>
          </w:tcPr>
          <w:p w14:paraId="51484FA9" w14:textId="77777777" w:rsidR="007929FB" w:rsidRDefault="007929FB" w:rsidP="00CC658B">
            <w:pPr>
              <w:spacing w:after="0"/>
              <w:rPr>
                <w:rFonts w:eastAsia="Times New Roman" w:cstheme="minorHAnsi"/>
                <w:b/>
                <w:bCs/>
                <w:sz w:val="20"/>
                <w:lang w:eastAsia="en-GB"/>
              </w:rPr>
            </w:pPr>
          </w:p>
        </w:tc>
        <w:tc>
          <w:tcPr>
            <w:tcW w:w="3280" w:type="dxa"/>
            <w:shd w:val="clear" w:color="auto" w:fill="FFFFFF"/>
            <w:vAlign w:val="center"/>
            <w:hideMark/>
          </w:tcPr>
          <w:p w14:paraId="5E24E195"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Travnjaci tvrdače (Nardus) bogati vrstama</w:t>
            </w:r>
          </w:p>
        </w:tc>
        <w:tc>
          <w:tcPr>
            <w:tcW w:w="2860" w:type="dxa"/>
            <w:shd w:val="clear" w:color="auto" w:fill="FFFFFF"/>
            <w:vAlign w:val="center"/>
            <w:hideMark/>
          </w:tcPr>
          <w:p w14:paraId="47EEED24" w14:textId="77777777" w:rsidR="007929FB" w:rsidRDefault="007929FB" w:rsidP="00CC658B">
            <w:pPr>
              <w:spacing w:after="0" w:line="240" w:lineRule="auto"/>
              <w:rPr>
                <w:rFonts w:eastAsia="Times New Roman" w:cstheme="minorHAnsi"/>
                <w:noProof/>
                <w:sz w:val="20"/>
                <w:lang w:eastAsia="en-GB"/>
              </w:rPr>
            </w:pPr>
            <w:r>
              <w:rPr>
                <w:rFonts w:eastAsia="Times New Roman" w:cstheme="minorHAnsi"/>
                <w:noProof/>
                <w:sz w:val="20"/>
                <w:lang w:eastAsia="en-GB"/>
              </w:rPr>
              <w:t>6230*</w:t>
            </w:r>
          </w:p>
        </w:tc>
      </w:tr>
      <w:tr w:rsidR="007929FB" w14:paraId="4A3F30E3" w14:textId="77777777" w:rsidTr="00CC658B">
        <w:trPr>
          <w:trHeight w:val="315"/>
        </w:trPr>
        <w:tc>
          <w:tcPr>
            <w:tcW w:w="2860" w:type="dxa"/>
            <w:shd w:val="clear" w:color="auto" w:fill="D2232A" w:themeFill="accent1"/>
            <w:vAlign w:val="center"/>
            <w:hideMark/>
          </w:tcPr>
          <w:p w14:paraId="58E6206C" w14:textId="77777777" w:rsidR="007929FB" w:rsidRDefault="007929FB" w:rsidP="00CC658B">
            <w:pPr>
              <w:spacing w:after="0" w:line="240" w:lineRule="auto"/>
              <w:rPr>
                <w:rFonts w:eastAsia="Times New Roman" w:cstheme="minorHAnsi"/>
                <w:b/>
                <w:bCs/>
                <w:sz w:val="20"/>
                <w:lang w:eastAsia="en-GB"/>
              </w:rPr>
            </w:pPr>
            <w:r w:rsidRPr="008B454B">
              <w:rPr>
                <w:rFonts w:eastAsia="Times New Roman" w:cstheme="minorHAnsi"/>
                <w:b/>
                <w:bCs/>
                <w:color w:val="FFFFFF" w:themeColor="background1"/>
                <w:sz w:val="20"/>
                <w:lang w:eastAsia="en-GB"/>
              </w:rPr>
              <w:t>Dolina Sutle kod Razvora</w:t>
            </w:r>
          </w:p>
        </w:tc>
        <w:tc>
          <w:tcPr>
            <w:tcW w:w="3280" w:type="dxa"/>
            <w:shd w:val="clear" w:color="auto" w:fill="FFFFFF"/>
            <w:vAlign w:val="center"/>
            <w:hideMark/>
          </w:tcPr>
          <w:p w14:paraId="0F76A854" w14:textId="77777777" w:rsidR="007929FB" w:rsidRDefault="007929FB" w:rsidP="00CC658B">
            <w:pPr>
              <w:spacing w:after="0" w:line="240" w:lineRule="auto"/>
              <w:jc w:val="left"/>
              <w:rPr>
                <w:rFonts w:eastAsia="Times New Roman" w:cstheme="minorHAnsi"/>
                <w:noProof/>
                <w:sz w:val="20"/>
                <w:lang w:eastAsia="en-GB"/>
              </w:rPr>
            </w:pPr>
            <w:r>
              <w:rPr>
                <w:rFonts w:eastAsia="Times New Roman" w:cstheme="minorHAnsi"/>
                <w:noProof/>
                <w:sz w:val="20"/>
                <w:lang w:eastAsia="en-GB"/>
              </w:rPr>
              <w:t>kiseličin vatreni plavac</w:t>
            </w:r>
          </w:p>
        </w:tc>
        <w:tc>
          <w:tcPr>
            <w:tcW w:w="2860" w:type="dxa"/>
            <w:shd w:val="clear" w:color="auto" w:fill="FFFFFF"/>
            <w:vAlign w:val="center"/>
            <w:hideMark/>
          </w:tcPr>
          <w:p w14:paraId="562450DE" w14:textId="77777777" w:rsidR="007929FB" w:rsidRDefault="007929FB" w:rsidP="00CC658B">
            <w:pPr>
              <w:spacing w:after="0" w:line="240" w:lineRule="auto"/>
              <w:rPr>
                <w:rFonts w:eastAsia="Times New Roman" w:cstheme="minorHAnsi"/>
                <w:i/>
                <w:iCs/>
                <w:noProof/>
                <w:szCs w:val="18"/>
                <w:lang w:eastAsia="en-GB"/>
              </w:rPr>
            </w:pPr>
            <w:r>
              <w:rPr>
                <w:rFonts w:eastAsia="Times New Roman" w:cstheme="minorHAnsi"/>
                <w:i/>
                <w:iCs/>
                <w:noProof/>
                <w:szCs w:val="18"/>
                <w:lang w:eastAsia="en-GB"/>
              </w:rPr>
              <w:t>Lycaena dispar</w:t>
            </w:r>
          </w:p>
        </w:tc>
      </w:tr>
    </w:tbl>
    <w:p w14:paraId="74ABAB00" w14:textId="1BB153C9" w:rsidR="007929FB" w:rsidRPr="006315FA" w:rsidRDefault="007929FB" w:rsidP="006315FA">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 Uredba o ekološkoj mreži i nadležnostima javnih ustanova za upravljanje područjima ekološke mreže, (Prilog I.-V.), studeni 2019.</w:t>
      </w:r>
    </w:p>
    <w:p w14:paraId="7CE7F598" w14:textId="77777777" w:rsidR="0088364F" w:rsidRDefault="0088364F" w:rsidP="00855D8D">
      <w:pPr>
        <w:pStyle w:val="Izvor"/>
      </w:pPr>
    </w:p>
    <w:p w14:paraId="77A45578" w14:textId="464FAC1E" w:rsidR="009C0110" w:rsidRPr="001A2984" w:rsidRDefault="009C0110" w:rsidP="009C0110">
      <w:r w:rsidRPr="001A2984">
        <w:t xml:space="preserve">Vršni dio Ivančice (hr2000371) dio je ekološke mreže važan za očuvanje 10 vrsta i 5 staništa. Ivančica je najviša planina Hrvatskoga zagorja, duga oko 30 km i široka do 9 km. Pruža se u smjeru istok – zapad i pravi je tip ulančane planine. Najviši se istoimeni vrh nalazi na 1061 metara nadmorske visine. Šume i travnjaci dva su najvažnija i najrasprostranjenija ekosustava na tome području. Uz njih važnu ulogu imaju i vlažna i močvarna staništa te staništa litica i sipara. Planinski pojas iznad 300 – 400 metara nadmorske visine pokrivene pretežno bukovom šumom. U nižim dijelovima ostatci su prvobitnih šuma hrasta kitnjaka i običnoga graba. Unatoč pitomomu izgledu na planini ima velikih strmina, pa i golih stijena. Istraživanjima je utvrđena bogata i raznovrsna flora i vegetacija, zbog čega je Ivančica proglašena jednim od 94 botanički važnih područja u Hrvatskoj. </w:t>
      </w:r>
    </w:p>
    <w:p w14:paraId="798AE13F" w14:textId="51502503" w:rsidR="002E5518" w:rsidRPr="001A2984" w:rsidRDefault="002E5518" w:rsidP="002E5518">
      <w:r w:rsidRPr="001A2984">
        <w:t>Medvednica (hr2000583), dio ekološke mreže Natura 2000, važna je za očuvanje 22 ugrožene vrste, od čega čak 8 vrsta šišmiša te 8 stanišnih tipova. Biljni svijet Medvednice veoma je bogat, raznolik i zanimljiv. Dosad je na Medvednici zabilježeno 1205 biljnih vrsta i podvrsta, što čini oko 23% ukupne vaskularne flore Hrvatske. Biljni pokrov Medvednice najvećim su dijelom bukove šume. Zbog razvedenosti reljefa, raznovrsnih geoloških podloga i tipova tla na Medvednici postoji čak 12 šumskih zajednica. Zbog svega navedenog Medvednica je odabrana kao jedno od 94 botanički važnih područja u Hrvatskoj.</w:t>
      </w:r>
      <w:r w:rsidR="006A268C">
        <w:t xml:space="preserve"> Dio područja Grada Donja Stubica  (592ha) područje je ekološke mreže R2000583 Medvednica, ali nije područje Parka.</w:t>
      </w:r>
    </w:p>
    <w:p w14:paraId="242F5D8E" w14:textId="573CD331" w:rsidR="002E5518" w:rsidRPr="001A2984" w:rsidRDefault="002E5518" w:rsidP="00325DB7">
      <w:r w:rsidRPr="001A2984">
        <w:t>Rijeka Sutla (hr2001070) važna je za očuvanj</w:t>
      </w:r>
      <w:r w:rsidR="00325DB7" w:rsidRPr="001A2984">
        <w:t xml:space="preserve">e </w:t>
      </w:r>
      <w:r w:rsidRPr="001A2984">
        <w:t>8 vrsta riba i jedne vrste školjaka.</w:t>
      </w:r>
      <w:r w:rsidR="00325DB7" w:rsidRPr="001A2984">
        <w:t xml:space="preserve"> granična je rijeka između Hrvatske i Slovenije. Ukupna joj je duljina oko 92 km. Gornji tok rijeke počinje oko njezina izvorišnoga dijela u pobrđu Maceljske gore na 625 metara </w:t>
      </w:r>
      <w:r w:rsidR="00325DB7" w:rsidRPr="001A2984">
        <w:lastRenderedPageBreak/>
        <w:t>nadmorske visine. Većina njezinih pritoka dolazi iz Republike Slovenije. Ulijeva se u rijeku Savu kod mjesta Ključ Brdovečki kao njezin lijevi pritok. Slijev rijeke Sutle pretežno je brdsko-bujičastoga karaktera uvjetovanoga reljefom i padalinama. Kvaliteta vode rijeke Sutle prati se na četirima postajama u Hrvatskoj i trima u Sloveniji. Krajobrazni je okoliš rijeke veoma raznolik i čine ga šume, livade i polja. Istraživanjima je utvrđeno da je rijeka Sutla iznimno bogata različitim vrstama riba. Broj od ukupno 42 vrste zabilježene u slijevu Sutle, u samo 92 km toka, dodatno upućuje na potrebu očuvanja rijeke Sutle.</w:t>
      </w:r>
    </w:p>
    <w:p w14:paraId="537EF21D" w14:textId="0CCDB736" w:rsidR="00325DB7" w:rsidRPr="001A2984" w:rsidRDefault="00325DB7" w:rsidP="00325DB7">
      <w:r w:rsidRPr="001A2984">
        <w:t>Dolina Sutle kod Razvora (hr2001348) dio je ekološke mreže važan za očuvanje danjega leptira kiseličinoga vatrenog plavca. Za razvoj gusjenica presudne su biljke iz roda Rumex – kiselice. Na tome području pojavljuje se mozaik vlažnih staništa kao što su močvare, vlažni travnjaci, obale rijeke Sutle i obale jezera. Ljudskim je djelovanjem takav tip staništa izložen velikim promjenama koje utječu na optimalne uvjete za razvoj i opstanak te vrste, pa zato kiseličin vatreni plavac pripada skupini ugroženih europskih danjih leptira te je očuvanje njegovih staništa iznimno važno.</w:t>
      </w:r>
    </w:p>
    <w:p w14:paraId="4AFA529B" w14:textId="49041FD0" w:rsidR="009322D1" w:rsidRPr="001A2984" w:rsidRDefault="009322D1" w:rsidP="009322D1">
      <w:r w:rsidRPr="001A2984">
        <w:t xml:space="preserve">Židovske jame (hr2001190) dio su ekološke mreže Natura 2000 – špilje i jame zatvorene za javnost i važno su stanište podzemne faune. S duljinom kanala od 95,8 m Židovske jame najdulja je špilja Krapinsko-zagorske županije. Nalaze se u Općini Gornja Stubica. U njima je pronađen jedan od dvaju nalaza vrste pauka Troglohyphantes subalpinus u Hrvatskoj. Drugi je nalaz u jednome speleološkome objektu na Medvednici te ti nalazi predstavljaju najjužnije i najistočnije stanište ove vrste u Europi. Ta rijetka vrsta </w:t>
      </w:r>
      <w:r w:rsidR="005E3552" w:rsidRPr="001A2984">
        <w:t>o</w:t>
      </w:r>
      <w:r w:rsidRPr="001A2984">
        <w:t>pisana je u sjevernome Tirolu u Austriji, a pronađena je i u Njemačkoj i Sloveniji.</w:t>
      </w:r>
    </w:p>
    <w:p w14:paraId="50DFCAF7" w14:textId="77777777" w:rsidR="005D1E49" w:rsidRPr="005D1E49" w:rsidRDefault="005D1E49" w:rsidP="005D1E49"/>
    <w:p w14:paraId="303D9EEA" w14:textId="0A337998" w:rsidR="00B35D49" w:rsidRDefault="00E9055B" w:rsidP="0052192B">
      <w:pPr>
        <w:pStyle w:val="Naslov2"/>
        <w:numPr>
          <w:ilvl w:val="1"/>
          <w:numId w:val="20"/>
        </w:numPr>
      </w:pPr>
      <w:bookmarkStart w:id="30" w:name="_Hlk59538374"/>
      <w:bookmarkStart w:id="31" w:name="_Toc85181278"/>
      <w:bookmarkEnd w:id="29"/>
      <w:r>
        <w:t>Ugrožena flora i fauna KZŽ</w:t>
      </w:r>
      <w:bookmarkEnd w:id="31"/>
    </w:p>
    <w:bookmarkEnd w:id="30"/>
    <w:p w14:paraId="013973A5" w14:textId="77777777" w:rsidR="009C32B1" w:rsidRDefault="009C32B1" w:rsidP="00CC658B"/>
    <w:p w14:paraId="284E6BF4" w14:textId="3334C5F5" w:rsidR="00CC658B" w:rsidRPr="00974710" w:rsidRDefault="00974710" w:rsidP="00974710">
      <w:r w:rsidRPr="001A2984">
        <w:t>Hrvatska je po biološkoj raznolikosti jedna od najbogatijih europskih zemalja.</w:t>
      </w:r>
      <w:r>
        <w:t xml:space="preserve"> </w:t>
      </w:r>
      <w:r w:rsidRPr="001A2984">
        <w:t>Gotovo 30 % teritorija je pod ekološkom mrežom Natura 2000.</w:t>
      </w:r>
      <w:r w:rsidR="00C84746">
        <w:t xml:space="preserve">, </w:t>
      </w:r>
      <w:r w:rsidR="00C84746" w:rsidRPr="001A2984">
        <w:t xml:space="preserve">a površina u KZŽ iznosi 10 %. </w:t>
      </w:r>
      <w:r w:rsidR="00CC658B" w:rsidRPr="008B454B">
        <w:t xml:space="preserve">Gubitak bioraznolikosti ne znači samo gubitak rijetkih biljaka i životinja, već ranjivost cjelokupnih ekosistema i njihovu preosjetljivost na šokove. Različiti prirodni, a u sve značajnijoj mjeri i antropogeni faktori, čimbenici su koji nepovoljno utječu na bioraznolikost </w:t>
      </w:r>
      <w:r>
        <w:t xml:space="preserve">općenito pa tako i u </w:t>
      </w:r>
      <w:r w:rsidR="00CC658B" w:rsidRPr="008B454B">
        <w:t>Krapinsko-zagorsk</w:t>
      </w:r>
      <w:r>
        <w:t>oj</w:t>
      </w:r>
      <w:r w:rsidR="00CC658B" w:rsidRPr="008B454B">
        <w:t xml:space="preserve"> županij</w:t>
      </w:r>
      <w:r>
        <w:t>i</w:t>
      </w:r>
      <w:r w:rsidR="00CC658B" w:rsidRPr="008B454B">
        <w:t xml:space="preserve">. </w:t>
      </w:r>
      <w:r w:rsidR="00CC658B">
        <w:t xml:space="preserve">Među najvažnijim antropogenim </w:t>
      </w:r>
      <w:r w:rsidR="00CC658B" w:rsidRPr="008B454B">
        <w:t>razlozi</w:t>
      </w:r>
      <w:r w:rsidR="00CC658B">
        <w:t>ma</w:t>
      </w:r>
      <w:r w:rsidR="00CC658B" w:rsidRPr="008B454B">
        <w:t xml:space="preserve"> smanjenja bioraznolikosti su promjene staništa </w:t>
      </w:r>
      <w:r w:rsidR="00CC658B">
        <w:t xml:space="preserve">nastale </w:t>
      </w:r>
      <w:r w:rsidR="00CC658B" w:rsidRPr="008B454B">
        <w:t>posredstvom uništavanja, smanjenja ili onečišćenja okoliša, zatim prekomjerno</w:t>
      </w:r>
      <w:r w:rsidR="00CC658B">
        <w:t>g</w:t>
      </w:r>
      <w:r w:rsidR="00CC658B" w:rsidRPr="008B454B">
        <w:t xml:space="preserve"> iskorištavanj</w:t>
      </w:r>
      <w:r w:rsidR="00CC658B">
        <w:t>a</w:t>
      </w:r>
      <w:r w:rsidR="00CC658B" w:rsidRPr="008B454B">
        <w:t xml:space="preserve"> prirodnih resursa (krivolov, sječa, sakupljanje), posljedic</w:t>
      </w:r>
      <w:r w:rsidR="00CC658B">
        <w:t>om</w:t>
      </w:r>
      <w:r w:rsidR="00CC658B" w:rsidRPr="008B454B">
        <w:t xml:space="preserve"> unosa invazivnih vrsta te sekundarn</w:t>
      </w:r>
      <w:r w:rsidR="00CC658B">
        <w:t>og</w:t>
      </w:r>
      <w:r w:rsidR="00CC658B" w:rsidRPr="008B454B">
        <w:t xml:space="preserve"> izumiranja, to jest, gubit</w:t>
      </w:r>
      <w:r w:rsidR="00CC658B">
        <w:t>ka drugih</w:t>
      </w:r>
      <w:r w:rsidR="00CC658B" w:rsidRPr="008B454B">
        <w:t xml:space="preserve"> vrsta koji </w:t>
      </w:r>
      <w:r w:rsidR="00CC658B">
        <w:t>slijede</w:t>
      </w:r>
      <w:r w:rsidR="00CC658B" w:rsidRPr="008B454B">
        <w:t xml:space="preserve"> nakon gubitka </w:t>
      </w:r>
      <w:r w:rsidR="00CC658B">
        <w:t>prve</w:t>
      </w:r>
      <w:r w:rsidR="00CC658B" w:rsidRPr="008B454B">
        <w:t xml:space="preserve"> vrste. U Krapinsko-zagorskoj županiji do gubitka staništa osobito dovode aktivnosti odvodnjavanja močvarnih staništa, pojačane urbanizacije i širenja gospodarskih djelatnosti, promjene vodnog režima, uvođenje novih poljoprivrednih praksi te intenzivna izgradnja infrastrukture. </w:t>
      </w:r>
      <w:r w:rsidR="001E69BE" w:rsidRPr="001E69BE">
        <w:t>Na Zagorskome području postoje sljedeće kategorije ugroženosti kojima se iskazuje rizik od izumiranja procijenjene vrste ili staništa: regionalno izumrle svojte (Regionally Extinct - RE), kritično ugrožene svojte (Critically Endagered – CR), ugrožene svojte (Endangered - EN) i osjetljive svojte (Vulnerable - VU).</w:t>
      </w:r>
      <w:r w:rsidR="001E69BE">
        <w:t xml:space="preserve"> </w:t>
      </w:r>
      <w:r w:rsidR="00CC658B" w:rsidRPr="008B454B">
        <w:t>Među potencijalno ugroženima su pojedine ptice, ribe, vodozemci i gmazovi.</w:t>
      </w:r>
    </w:p>
    <w:p w14:paraId="5E25E357" w14:textId="476128E2" w:rsidR="009C7F74" w:rsidRPr="001A2984" w:rsidRDefault="009C7F74" w:rsidP="009C7F74">
      <w:r w:rsidRPr="001A2984">
        <w:t>Hrvatsko zagorje ističe se mozaičnim poljoprivrednim krajolikom te većim šumskim kompleksima na planinama koji pogoduju ptičjem svijetu</w:t>
      </w:r>
      <w:r w:rsidRPr="009C7F74">
        <w:rPr>
          <w:b/>
          <w:bCs/>
          <w:color w:val="FF0000"/>
        </w:rPr>
        <w:t>.</w:t>
      </w:r>
      <w:r w:rsidRPr="009C7F74">
        <w:rPr>
          <w:color w:val="FF0000"/>
        </w:rPr>
        <w:t xml:space="preserve"> </w:t>
      </w:r>
      <w:r w:rsidR="00CC658B" w:rsidRPr="008B454B">
        <w:t xml:space="preserve">Uska vezanost uz staništa, složenost životnoga ciklusa i potreba za različitim staništima tijekom godine samo su neka svojstva brojnih ptičjih vrsta koja ih čine značajnim pokazateljima ukupnog stanja prirode. Upravo su zbog tih svojstava ptičje vrste veoma osjetljive na vanjske utjecaje i promjene u staništima. U Republici Hrvatskoj osobito su ugrožene ptice gnjezdarice i močvarna staništa. Područje Hrvatskog zagorja i Krapinsko-zagorske županije smatra se posljednjim gnjezdištem </w:t>
      </w:r>
      <w:r w:rsidR="00CC658B">
        <w:t>Z</w:t>
      </w:r>
      <w:r w:rsidR="00CC658B" w:rsidRPr="008B454B">
        <w:t>latovrane (</w:t>
      </w:r>
      <w:r w:rsidR="00CC658B" w:rsidRPr="009C32B1">
        <w:rPr>
          <w:i/>
          <w:iCs/>
        </w:rPr>
        <w:t>Coracias garrulus</w:t>
      </w:r>
      <w:r w:rsidR="00CC658B" w:rsidRPr="008B454B">
        <w:t xml:space="preserve">). U 18. i 19. stoljeću bila je rasprostranjena diljem Europe i naseljavala je kontinentalnu Hrvatsku, osim planinskih i gorskih regija. Zadnje gniježđenje u Hrvatskoj zabilježeno je sredinom devedesetih godina prošlog stoljeća u Hrvatskom zagorju. Trenutno jedna od najugroženijih ptica u Europi, nalazi se </w:t>
      </w:r>
      <w:r w:rsidR="00CC658B">
        <w:t xml:space="preserve">u </w:t>
      </w:r>
      <w:r w:rsidR="00CC658B" w:rsidRPr="00F1442D">
        <w:t>Direktiv</w:t>
      </w:r>
      <w:r w:rsidR="00CC658B">
        <w:t>i</w:t>
      </w:r>
      <w:r w:rsidR="00CC658B" w:rsidRPr="00F1442D">
        <w:t xml:space="preserve"> o </w:t>
      </w:r>
      <w:r w:rsidR="00CC658B">
        <w:t>pticama</w:t>
      </w:r>
      <w:r w:rsidR="00CC658B" w:rsidRPr="008B454B">
        <w:t>. U Hrvatskoj je zakonom zaštićena vrsta.</w:t>
      </w:r>
      <w:r>
        <w:t xml:space="preserve"> </w:t>
      </w:r>
      <w:r w:rsidRPr="001A2984">
        <w:t>Istraživanjem na području gora Strahinjčice i Ivančice zabilježeno je 108 vrsta ptica, dok je na području Značajnoga krajobraza Zelenjak – Risvička i Cesarska gora istraživanjem utvrđena 71 vrsta ptica. Prvi nalaz gniježđenja ušare u sjeverozapadnoj Hrvatskoj bio je 2012. godine na području Značajnoga krajobraza Zelenjak – Risvička i Cesarska gora. Ušara je najveća europska sova, a u kontinentalnoj Hrvatskoj bila je istrijebljena zbog krivolova i gubitka staništa. Na području Strahinjčice i Ivančice tijekom 2014. godine postavljeno je 45 kućica za gniježđenje ptica dupljašica, od čega su se ptice koristile 31 kućicom.</w:t>
      </w:r>
    </w:p>
    <w:p w14:paraId="756A3393" w14:textId="5AC90FFA" w:rsidR="00970D6A" w:rsidRPr="001A2984" w:rsidRDefault="00970D6A" w:rsidP="00970D6A">
      <w:r w:rsidRPr="001A2984">
        <w:t>Jedan od najbrojnijih redova kukaca su leptiri. Tijekom istraživanja danjih leptira Hrvatskoga zagorja provedenoga od 2008. do 2016. godine zabilježeno je 112 vrsta danjih leptira, što je 57 % faune danjih leptira Hrvatske. Najveća raznolikost leptira zabilježena je na gorama Ivančici i Strahinjčici te u dolini rijeke Sutle. Zabilježeno je nekoliko rijetkih i ugroženih vrsta, najviše travnjačkih, poput velikoga livadnog plavca, gorskoga plavca, grahorkinoga</w:t>
      </w:r>
      <w:r w:rsidRPr="00970D6A">
        <w:rPr>
          <w:color w:val="FF0000"/>
        </w:rPr>
        <w:t xml:space="preserve"> </w:t>
      </w:r>
      <w:r w:rsidRPr="001A2984">
        <w:t xml:space="preserve">plavca, močvarne riđe i uskrsnoga leptira. Zbog svoje specifične biologije leptiri veoma brzo reagiraju na promjene u staništu, stoga se smatraju izvrsnim pokazateljima očuvanosti područja. Danji leptiri veoma su ugroženi nestajanjem livada, čiji je uzrok prestanak košnje i napuštanje tradicionalnoga stočarstva. </w:t>
      </w:r>
      <w:r w:rsidR="009F3CD8" w:rsidRPr="001A2984">
        <w:t xml:space="preserve">Tijekom 2014. do 2016. godine proveden je iznimno vrijedan istraživački projekt u kojem je zabilježeno više od 1018 vrsta noćnih leptira. Fauna noćnih leptira Krapinsko-zagorske županije do tada nije bila sustavno istražena. Iz projekta je proizašla </w:t>
      </w:r>
      <w:r w:rsidR="009F3CD8" w:rsidRPr="001A2984">
        <w:lastRenderedPageBreak/>
        <w:t xml:space="preserve">knjiga Noćni leptiri Krapinsko-zagorske županije koja čini važan doprinos poznavanju i istraživanju hrvatske entomofaune jer je prva pregledna knjiga o noćnim leptirima na hrvatskome jeziku. </w:t>
      </w:r>
      <w:r w:rsidRPr="001A2984">
        <w:t xml:space="preserve">Fauna noćnih leptira Krapinsko-zagorske županije mješavina je alpske, dinarske, kontinentalne, panonske, pa čak i sredozemne faune leptira. Po brojnosti vrsta prevladavaju grbice (Geometridae) i sovice (Noctuidae) s 440 vrsta, većinom travnjačkih i šumskih, te svijači (Tortricidae) s više od 130 vrsta, među kojima prevladavaju vrste čija su staništa šume i grmlje. Najveća raznolikost i brojnost noćnih leptira zabilježena je na Strahinjčici i Ivančici. </w:t>
      </w:r>
    </w:p>
    <w:p w14:paraId="6E76C681" w14:textId="6C4AB416" w:rsidR="001D7C8D" w:rsidRPr="001A2984" w:rsidRDefault="001D7C8D" w:rsidP="001D7C8D">
      <w:r w:rsidRPr="001A2984">
        <w:t>Vretenca su kukci čiji životni ciklus spaja vodeno i kopneno stanište. Vretenca su bioindikatori stanja okoliša. Njihova prisutnost potvrđuje bogatstvo i očuvanost ekosustava u kojemu žive. Na području Krapinsko- zagorske županije dosad je zabilježeno 37 vrsta. Uz vodena staništa možemo vidjeti plavetnu kosjenku, ljupku vodendjevojčicu, proljetnu narančicu u pratnji potočnoga regoča, žutoga bana, modroga kralja itd. Na svijetu postoje različita nalazišta fosilnih vretenaca, a jedno od njih je i u Radoboju, u kojemu su otkrivene okamine vretenaca (Croatocordulia platyptera) stare oko 15 milijuna godina.</w:t>
      </w:r>
    </w:p>
    <w:p w14:paraId="104A664C" w14:textId="5F109FBE" w:rsidR="001D7C8D" w:rsidRPr="001A2984" w:rsidRDefault="001D7C8D" w:rsidP="001D7C8D">
      <w:r w:rsidRPr="001A2984">
        <w:t>Šumski ekosustavi nezamislivi su bez saproksilnih kornjaša. Temeljna su poveznica u hranidbenim lancima jer su važan izvor hrane za šumske ptice i sisavce, a mnoge vrste su i oprašivači. S gljivama sudjeluju u fragmentaciji i razlaganju mrtvoga drvnog tkiva. Istraživanjima na području Strahinjčice, Ivančice i Sutinskih toplica utvrđena je prisutnost 148 svojta kornjaša. Porodice s najvećim brojem svojta bile su cvilidrete, zatim trčci, bubamare, strvinari i žičnjaci. Zabilježene su i četiri vrste obuhvaćene ekološkom mrežom Natura 2000 – obični jelenak, velika hrastova strizibuba, velika četveropjega cvilidreta i alpinska strizibuba.</w:t>
      </w:r>
      <w:r w:rsidR="006A6E3E" w:rsidRPr="001A2984">
        <w:t xml:space="preserve"> </w:t>
      </w:r>
    </w:p>
    <w:p w14:paraId="1BCD2E5E" w14:textId="30222CC9" w:rsidR="006A6E3E" w:rsidRPr="001A2984" w:rsidRDefault="006A6E3E" w:rsidP="001D7C8D">
      <w:r w:rsidRPr="001A2984">
        <w:t>Gljive su najrasprostranjeniji organizmi na Zemlji i pripadaju posebnomu biološkom carstvu. Šume su na području Krapinsko-zagorske županije bogate različitim vrstama gljiva. Zabilježeno je 175 vrsta.</w:t>
      </w:r>
    </w:p>
    <w:p w14:paraId="306B199F" w14:textId="196E68E0" w:rsidR="00CC658B" w:rsidRPr="001A2984" w:rsidRDefault="00CC658B" w:rsidP="001626FA">
      <w:r w:rsidRPr="008B454B">
        <w:t xml:space="preserve">Osjetljivost slatkovodnih ekosustava, u sprezi s ekološkim pritiskom nastalim čovjekovim djelovanjem, negativno se odražava na riblju bioraznolikost u Krapinsko-zagorskoj županiji. Faktori koji ugrožavaju riblji fond te prijete ribljim vrstama su ponajviše onečišćenje rijeka i potoka otpadnim vodama iz industrije i kućanstva, regulacija i pregradnja vodotoka, uklanjanje drvenaste vegetacije  uz korita te unos invazivnih vrsta. Poseban problem zaštite vodenih ekosustava predstavlja sve veće iskorištavanje vodnog resursa. Ono obuhvaća uporabu vode za piće, sanitarne i tehnološke potrebe, natapanje, uporabu tekućica za plovidbu, rekreaciju i drugo. </w:t>
      </w:r>
      <w:r w:rsidR="001626FA" w:rsidRPr="001A2984">
        <w:t>Slatkovodne su ribe zbog opterećenosti slatkovodnih ekosustava najugroženija skupina kralježnjaka. Istraživanja provedena 2010., 2015., i 2019. godine pokazala su da je Sutla iznimno bogata ribama. Ukupno 42 vrste zabilježene u slijevu Sutle u samo 92 km toka što dodatno upućuju na potrebu očuvanja rijeke Sutle. Rjeka Sutla iznimno je važno područje za njihovo očuvanje jer je u razmjerno maloj rijeci zabilježeno čak devet Natura 2000 vrsta riba. Sutla je, kao dio ekološke mreže Natura 2000, važna za očuvanje 8 vrsta riba (potočna mrena, peš, dunavska paklara, gavčica, Keslerova krkuša, tankorepa krkuša, mali vretenac, veliki vijun). U rijeci Sutli obitava 6 endemskih vrsta Dunavskoga bazena: mali vretenac, dunavska paklara, dunavska krkuša, bjeloperajna krkuša, veliki vijun i plotica. Najveći utjecaj na ihtiofaunu rijeke Sutle vjerojatno ima onečišćenje vode, tj. stalni štetni ljudski utjecaj, pregrađivanje i kanaliziranje vodotoka te strane i invazivne vrste.</w:t>
      </w:r>
    </w:p>
    <w:p w14:paraId="2374595B" w14:textId="2656A591" w:rsidR="00CC658B" w:rsidRPr="009C7F74" w:rsidRDefault="00CC658B" w:rsidP="009C7F74">
      <w:pPr>
        <w:rPr>
          <w:color w:val="FF0000"/>
        </w:rPr>
      </w:pPr>
      <w:r w:rsidRPr="008B454B">
        <w:t xml:space="preserve">Na populacije </w:t>
      </w:r>
      <w:r w:rsidRPr="009C7F74">
        <w:rPr>
          <w:b/>
          <w:bCs/>
        </w:rPr>
        <w:t>vodozemaca i gmazova</w:t>
      </w:r>
      <w:r w:rsidRPr="008B454B">
        <w:t xml:space="preserve"> u Krapinsko-zagorskoj županiji negativno utječe fragmentacija i degradacija njihovih staništa koja je posljedica regulacije vodotoka, primjene pesticida u poljoprivredi, onečišćenja voda, unos stranih vrsta te stradavanje na prometnicama. </w:t>
      </w:r>
      <w:r w:rsidR="009C7F74" w:rsidRPr="001A2984">
        <w:t>U provedenim istraživanjima herpetofaune 2011., 2012., 2018. i 2019. godine zabilježeno je 11 vrsta vodozemaca i 11 vrsta gmazova na području Krapinsko- zagorske županije. Od zmija otrovnica zabilježen je samo poskok.</w:t>
      </w:r>
      <w:r w:rsidR="009C7F74">
        <w:rPr>
          <w:color w:val="FF0000"/>
        </w:rPr>
        <w:t xml:space="preserve"> </w:t>
      </w:r>
      <w:r w:rsidRPr="008B454B">
        <w:t>Na području Krapinsko-zagorske županije, prema stupnju ugroženosti vodozemaca, u kategoriji gotovo ugroženih vrsta nalazimo dvije vrste – crveni mukač (</w:t>
      </w:r>
      <w:r w:rsidRPr="009C32B1">
        <w:rPr>
          <w:i/>
          <w:iCs/>
        </w:rPr>
        <w:t>Bombina bombina</w:t>
      </w:r>
      <w:r w:rsidRPr="008B454B">
        <w:t>) i veliki vodenjak (</w:t>
      </w:r>
      <w:r w:rsidRPr="009C32B1">
        <w:rPr>
          <w:i/>
          <w:iCs/>
        </w:rPr>
        <w:t>Triturus carnifex</w:t>
      </w:r>
      <w:r w:rsidRPr="008B454B">
        <w:t>), dok se u kategoriji najmanje zabrinjavajućih vrsta nalaze žuti mukač (</w:t>
      </w:r>
      <w:r w:rsidRPr="009C32B1">
        <w:rPr>
          <w:i/>
          <w:iCs/>
        </w:rPr>
        <w:t>Bombina variegata</w:t>
      </w:r>
      <w:r w:rsidRPr="008B454B">
        <w:t>), gatalinka (</w:t>
      </w:r>
      <w:r w:rsidRPr="009C32B1">
        <w:rPr>
          <w:i/>
          <w:iCs/>
        </w:rPr>
        <w:t>Hyla arborea</w:t>
      </w:r>
      <w:r w:rsidRPr="008B454B">
        <w:t>), smeđa krastača (</w:t>
      </w:r>
      <w:r w:rsidRPr="009C32B1">
        <w:rPr>
          <w:i/>
          <w:iCs/>
        </w:rPr>
        <w:t>Bufo bufo</w:t>
      </w:r>
      <w:r w:rsidRPr="008B454B">
        <w:t>), šumska smeđa žaba (</w:t>
      </w:r>
      <w:r w:rsidRPr="009C32B1">
        <w:rPr>
          <w:i/>
          <w:iCs/>
        </w:rPr>
        <w:t>Rana dalmatina</w:t>
      </w:r>
      <w:r w:rsidRPr="008B454B">
        <w:t>), livadna smeđa žaba (</w:t>
      </w:r>
      <w:r w:rsidRPr="009C32B1">
        <w:rPr>
          <w:i/>
          <w:iCs/>
        </w:rPr>
        <w:t>Rana temporaria</w:t>
      </w:r>
      <w:r w:rsidRPr="008B454B">
        <w:t>), planinski vodenjak (</w:t>
      </w:r>
      <w:r w:rsidRPr="009C32B1">
        <w:rPr>
          <w:i/>
          <w:iCs/>
        </w:rPr>
        <w:t>Ichthyosaura alpestris</w:t>
      </w:r>
      <w:r w:rsidRPr="008B454B">
        <w:t>), šareni daždevnjak (</w:t>
      </w:r>
      <w:r w:rsidRPr="009C32B1">
        <w:rPr>
          <w:i/>
          <w:iCs/>
        </w:rPr>
        <w:t>Salamandra salamandra</w:t>
      </w:r>
      <w:r w:rsidRPr="008B454B">
        <w:t>), velika zelena žaba (</w:t>
      </w:r>
      <w:r w:rsidRPr="009C32B1">
        <w:rPr>
          <w:i/>
          <w:iCs/>
        </w:rPr>
        <w:t>Pelophylax ridibundus</w:t>
      </w:r>
      <w:r w:rsidRPr="008B454B">
        <w:t>) i zelembać (Lacerta viridis). U kategoriji gotovo ugrožene vrste nalaze se i dva gmaza - barska kornjača (</w:t>
      </w:r>
      <w:r w:rsidRPr="009C32B1">
        <w:rPr>
          <w:i/>
          <w:iCs/>
        </w:rPr>
        <w:t>Emys orbicularis</w:t>
      </w:r>
      <w:r w:rsidRPr="008B454B">
        <w:t>) i riđovka (</w:t>
      </w:r>
      <w:r w:rsidRPr="009C32B1">
        <w:rPr>
          <w:i/>
          <w:iCs/>
        </w:rPr>
        <w:t>Vipera berus</w:t>
      </w:r>
      <w:r w:rsidRPr="008B454B">
        <w:t>). U kategoriji najmanje zabrinjavajućih vrsta nalazimo zidnu guštericu (</w:t>
      </w:r>
      <w:r w:rsidRPr="009C32B1">
        <w:rPr>
          <w:i/>
          <w:iCs/>
        </w:rPr>
        <w:t>Podarcis muralis</w:t>
      </w:r>
      <w:r w:rsidRPr="008B454B">
        <w:t>), sljepića (</w:t>
      </w:r>
      <w:r w:rsidRPr="009C32B1">
        <w:rPr>
          <w:i/>
          <w:iCs/>
        </w:rPr>
        <w:t>Anguis fragilis</w:t>
      </w:r>
      <w:r w:rsidRPr="008B454B">
        <w:t>), bjeloušku (</w:t>
      </w:r>
      <w:r w:rsidRPr="009C32B1">
        <w:rPr>
          <w:i/>
          <w:iCs/>
        </w:rPr>
        <w:t>Natrix natrix</w:t>
      </w:r>
      <w:r w:rsidRPr="008B454B">
        <w:t>), smukulju (</w:t>
      </w:r>
      <w:r w:rsidRPr="009C32B1">
        <w:rPr>
          <w:i/>
          <w:iCs/>
        </w:rPr>
        <w:t>Coronella austriaca</w:t>
      </w:r>
      <w:r w:rsidRPr="008B454B">
        <w:t>), poskoka (</w:t>
      </w:r>
      <w:r w:rsidRPr="009C32B1">
        <w:rPr>
          <w:i/>
          <w:iCs/>
        </w:rPr>
        <w:t>Vipera ammodytes</w:t>
      </w:r>
      <w:r w:rsidRPr="008B454B">
        <w:t>), ribaricu (</w:t>
      </w:r>
      <w:r w:rsidRPr="009C32B1">
        <w:rPr>
          <w:i/>
          <w:iCs/>
        </w:rPr>
        <w:t>Natrix tessellata</w:t>
      </w:r>
      <w:r w:rsidRPr="008B454B">
        <w:t>) i bjelicu (</w:t>
      </w:r>
      <w:r w:rsidRPr="009C32B1">
        <w:rPr>
          <w:i/>
          <w:iCs/>
        </w:rPr>
        <w:t>Zamenis longissimus</w:t>
      </w:r>
      <w:r w:rsidRPr="008B454B">
        <w:t>). U kategoriji vrsta s nedovoljno podataka nalazi se živorodna gušterica (</w:t>
      </w:r>
      <w:r w:rsidRPr="009C32B1">
        <w:rPr>
          <w:i/>
          <w:iCs/>
        </w:rPr>
        <w:t>Zootoca vivipara</w:t>
      </w:r>
      <w:r w:rsidRPr="008B454B">
        <w:t>).</w:t>
      </w:r>
      <w:r w:rsidR="009C7F74" w:rsidRPr="009C7F74">
        <w:rPr>
          <w:rFonts w:ascii="BrioniPro-Light" w:hAnsi="BrioniPro-Light" w:cs="BrioniPro-Light"/>
          <w:color w:val="4D4D4F"/>
          <w:szCs w:val="18"/>
        </w:rPr>
        <w:t xml:space="preserve"> </w:t>
      </w:r>
    </w:p>
    <w:p w14:paraId="01C09D99" w14:textId="575B2873" w:rsidR="00C84746" w:rsidRPr="001A2984" w:rsidRDefault="00C84746" w:rsidP="00C84746">
      <w:r w:rsidRPr="001A2984">
        <w:t>Šišmiši su danas veoma ugroženi. Najveći im je neprijatelj čovjek, koji mijenja i uništava njihovo stanište te uporabom pesticida zagađuje okoliš. U Hrvatskoj su zabilježene 34 vrste šišmiša i svi su strogo zaštićeni. Inventarizacijom šišmiša tijekom 2014. i 2015. godine na području Krapinsko-zagorske županije zabilježeno je 17 vrsta. Već niz godina prate se porodiljne kolonije velikoga šišmiša, oštrouhoga šišmiša, riđega šišmiša i velikoga potkovnjaka u crkvama u Klanjcu, Donjoj Stubici i Krapini.</w:t>
      </w:r>
    </w:p>
    <w:p w14:paraId="773F3758" w14:textId="6CC45CEC" w:rsidR="0089202A" w:rsidRDefault="0089202A" w:rsidP="00C84746">
      <w:pPr>
        <w:rPr>
          <w:color w:val="FF0000"/>
        </w:rPr>
      </w:pPr>
    </w:p>
    <w:p w14:paraId="442DA91E" w14:textId="26BDC695" w:rsidR="00C7687C" w:rsidRDefault="00C7687C" w:rsidP="00C84746">
      <w:pPr>
        <w:rPr>
          <w:color w:val="FF0000"/>
        </w:rPr>
      </w:pPr>
    </w:p>
    <w:p w14:paraId="5977FE12" w14:textId="77777777" w:rsidR="00C7687C" w:rsidRDefault="00C7687C" w:rsidP="00C84746">
      <w:pPr>
        <w:rPr>
          <w:color w:val="FF0000"/>
        </w:rPr>
      </w:pPr>
    </w:p>
    <w:p w14:paraId="3C068B69" w14:textId="2F24F1C1" w:rsidR="0089202A" w:rsidRDefault="0089202A" w:rsidP="0089202A">
      <w:pPr>
        <w:pStyle w:val="Naslov3"/>
        <w:rPr>
          <w:color w:val="A21B20" w:themeColor="accent6" w:themeShade="80"/>
        </w:rPr>
      </w:pPr>
      <w:bookmarkStart w:id="32" w:name="_Toc85181279"/>
      <w:r>
        <w:rPr>
          <w:color w:val="A21B20" w:themeColor="accent6" w:themeShade="80"/>
        </w:rPr>
        <w:lastRenderedPageBreak/>
        <w:t>2.4.1. Zaštićena flora</w:t>
      </w:r>
      <w:bookmarkEnd w:id="32"/>
    </w:p>
    <w:p w14:paraId="46895C50" w14:textId="77777777" w:rsidR="0089202A" w:rsidRPr="006A6E3E" w:rsidRDefault="0089202A" w:rsidP="00C84746">
      <w:pPr>
        <w:rPr>
          <w:color w:val="FF0000"/>
        </w:rPr>
      </w:pPr>
    </w:p>
    <w:p w14:paraId="2A9BBEAC" w14:textId="6D89B7C0" w:rsidR="00336B46" w:rsidRPr="003F4575" w:rsidRDefault="00336B46" w:rsidP="001E6374">
      <w:r w:rsidRPr="00336B46">
        <w:t xml:space="preserve">Mnoga staništa sisavaca, ali i drugih životinja i biljaka, ugrožena su zbog promjena staništa, prestanka tradicionalnog načina života (zarastanje livada u šikare), upotrebe pesticida, onečišćenja okoliša, stvaranja divljih deponija, ilegalne sječe šuma te požara. </w:t>
      </w:r>
      <w:r w:rsidR="006A6E3E" w:rsidRPr="003F4575">
        <w:t>Nestanak staništa upravo je glavni uzrok ugroženosti flore. Najugroženija staništa su travnjaci, cretovi i močvare. Značajka je suhih brdskih travnjaka velika bioraznolikost– važno su stanište orhideja i brojnih drugih biljnih i životinjskih vrsta. Zbog velike bioraznolikosti obuhvaćeni su ekološkom mrežom Natura 2000. Nastali su krčenjem šuma radi ispaše stoke ili kao livade košanice. Iznimno je važno da se brdski travnjaci kose i održavaju kako ne bi zarasli i nestali. Na Strahinjčici u termofilnim hrastovim šumama raste hrvatska perunika – endemska vrsta i hrvatski nacionalni cvijet ugrožen pretjeranim branjem.</w:t>
      </w:r>
      <w:r w:rsidR="0089202A" w:rsidRPr="003F4575">
        <w:t xml:space="preserve"> </w:t>
      </w:r>
      <w:r w:rsidR="0079265D" w:rsidRPr="003F4575">
        <w:t xml:space="preserve">Orhideje su jedna od najbrojnijih porodica biljka no na prirodnome staništu veoma su rijetke. Na području Hrvatskoga zagorja zabilježeno je čak 40 vrsta i podvrsta orhideja. Rastu na raznolikim staništima, od vlažnih livada u nizinskim područjima do šuma i šikara, a najviše vrsta raste na suhim travnjacima. U Hrvatskome zagorju zabilježene su 4 vrste kokica: kokica paučica, muhina kokica, pčelina kokica i bumbarova kokica. Po broju vrsta ističe se Strahinjčica (32 vrste), koju možemo nazvati orhidejskim vrtom. Sve orhideje strogo su zaštićene i zabranjeno ih je brati, uništavati ili iskopavati. Ugrožene su zbog zapuštanja i neodržavanja travnjaka koji se pretvaraju u šikare, zbog uništavanja staništa i branja. </w:t>
      </w:r>
      <w:r w:rsidR="0089202A" w:rsidRPr="003F4575">
        <w:t>Kokica paučica (Ophrys sphegodes) ime je dobila po cvijetu koji svojim izgledom nalikuje na pauka. Raste na suhim travnjacima na vapnenačkoj podlozi do 800 metara nadmorske visine. U Krapinsko-zagorskoj županiji zabilježena je samo na Ivančici. Cvate u travnju i svibnju.</w:t>
      </w:r>
      <w:r w:rsidR="001E6374" w:rsidRPr="003F4575">
        <w:t xml:space="preserve"> Bazgov kaćun (Dactylorhiza sambucina) orhideja je koja raste na suhim do umjereno vlažnim brdskim i planinskim livadama nadmorske visine do 2 600 m. Jedino mjesto na kojem je u ovome dijelu Hrvatske dosad zabilježen su livade u zapadnome dijelu Ivančice. Javna ustanova s učenicima prati ovu rijetku vrstu te ih tako upoznaje s problemom očuvanja vrsta i staništa.</w:t>
      </w:r>
    </w:p>
    <w:p w14:paraId="64DE4E1A" w14:textId="77777777" w:rsidR="00AA4BFD" w:rsidRPr="00AA4BFD" w:rsidRDefault="00AA4BFD" w:rsidP="00AA4BFD">
      <w:r w:rsidRPr="00AA4BFD">
        <w:t>Praćenje (monitoring) dio je sustava zaštite prirode, a od dana pristupanja Europskoj uniji praćenje je sukladno odredbama</w:t>
      </w:r>
      <w:r w:rsidRPr="00AA4BFD">
        <w:rPr>
          <w:rFonts w:ascii="Calibri" w:hAnsi="Calibri" w:cs="Calibri"/>
        </w:rPr>
        <w:t> </w:t>
      </w:r>
      <w:r w:rsidRPr="00AA4BFD">
        <w:t>Direktiva o zaštiti ptica</w:t>
      </w:r>
      <w:r w:rsidRPr="00AA4BFD">
        <w:rPr>
          <w:rFonts w:ascii="Calibri" w:hAnsi="Calibri" w:cs="Calibri"/>
        </w:rPr>
        <w:t> </w:t>
      </w:r>
      <w:r w:rsidRPr="00AA4BFD">
        <w:t>i</w:t>
      </w:r>
      <w:r w:rsidRPr="00AA4BFD">
        <w:rPr>
          <w:rFonts w:ascii="Calibri" w:hAnsi="Calibri" w:cs="Calibri"/>
        </w:rPr>
        <w:t> </w:t>
      </w:r>
      <w:r w:rsidRPr="00AA4BFD">
        <w:t>Direktiva o zaštiti prirodnih staništa i divlje faune i flore</w:t>
      </w:r>
      <w:r w:rsidRPr="00AA4BFD">
        <w:rPr>
          <w:rFonts w:ascii="Calibri" w:hAnsi="Calibri" w:cs="Calibri"/>
        </w:rPr>
        <w:t> </w:t>
      </w:r>
      <w:r w:rsidRPr="00AA4BFD">
        <w:t>postalo i zakonskom obvezom, a ne tek dobrom praksom. Republika Hrvatska je obvezna pratiti očuvanost gotovo 600 vrsta i stanišnih tipova i izvješćivati o njoj. Javna ustanova za upravljanje zaštićenim dijelovima prirode na području Krapinsko-zagorske županije provodi praćenja (monitoring) bijele rode, pčelarice, bazgova kaćuna, kockavice, šišmiša, lastavica i piljka, crne žune, jelenka, jadranske kozonoške, velike sase, kiseličinoga vatrenog plavca, kokice paučice, močvarne kruščike, obične lisanke, danje medonjice, kataksa, Grundova šumskoga bijelca, vrsta riba u Sutli obuhvaćenih mrežom Natura 2000. Već dvanaestu godinu zaredom Ustanova provodi akciju prebrojavanja kockavice, ugrožene i strogo zaštićene vrste, u suradnji s Osnovnom školom Ksavera Šandora Gjalskoga iz Zaboka, Osnovnom školom Zlatar Bistrica, Osnovnom školom Konjščina i Osnovnom školom Bedekovčina. Nastavnici i učenici prepoznati su kao bitni suradnici u prikupljanu podataka o ugroženoj flori i fauni te su stoga 2014. i 2018. godine započeli sa praćenjem orhideja bazgova kaćunu i kokice paučice zajedno s Osnovnom školom Franje Horvata Kiša iz Lobora i Osnovnom školom Belec.</w:t>
      </w:r>
    </w:p>
    <w:p w14:paraId="3F671A15" w14:textId="3783DE56" w:rsidR="00AA4BFD" w:rsidRPr="002E698A" w:rsidRDefault="007176CD" w:rsidP="002E698A">
      <w:r w:rsidRPr="007176CD">
        <w:t xml:space="preserve">Javna ustanova </w:t>
      </w:r>
      <w:r w:rsidRPr="007176CD">
        <w:rPr>
          <w:i/>
          <w:iCs/>
        </w:rPr>
        <w:t xml:space="preserve">Zagorje zeleno </w:t>
      </w:r>
      <w:r w:rsidRPr="007176CD">
        <w:t>financira istraživačke</w:t>
      </w:r>
      <w:r>
        <w:t xml:space="preserve"> </w:t>
      </w:r>
      <w:r w:rsidRPr="007176CD">
        <w:t>projekte u cilju uspostave baze podataka o biološkoj i</w:t>
      </w:r>
      <w:r>
        <w:t xml:space="preserve"> </w:t>
      </w:r>
      <w:r w:rsidRPr="007176CD">
        <w:t>geološkoj raznolikosti na području Krapinsko-zagorske</w:t>
      </w:r>
      <w:r>
        <w:t xml:space="preserve"> </w:t>
      </w:r>
      <w:r w:rsidRPr="007176CD">
        <w:t>županije</w:t>
      </w:r>
      <w:r>
        <w:t>.</w:t>
      </w:r>
      <w:r w:rsidR="00AA4BFD" w:rsidRPr="00AA4BFD">
        <w:t xml:space="preserve"> </w:t>
      </w:r>
      <w:r>
        <w:t>N</w:t>
      </w:r>
      <w:r w:rsidR="00AA4BFD" w:rsidRPr="00AA4BFD">
        <w:t>a županijskoj razini provodi od 2007. godine projekt Ptiček u cilju osposobljavanja učenika za mlade čuvare prirode. Dosad su u 12 generacija mladih čuvara prirode u projekt Ptiček bile uključene 32 osnovne škole, a više od 300 učenika viših razreda osnovne škole dobilo je potvrdu o tome da je završilo izobrazbu za mladoga čuvara prirode Krapinsko-zagorske županije.</w:t>
      </w:r>
      <w:r>
        <w:t xml:space="preserve"> </w:t>
      </w:r>
      <w:r w:rsidRPr="007176CD">
        <w:t>Dosad je financirano 36</w:t>
      </w:r>
      <w:r>
        <w:t xml:space="preserve"> </w:t>
      </w:r>
      <w:r w:rsidRPr="007176CD">
        <w:t>istraživanja flore i faune te geoloških istraživanja na</w:t>
      </w:r>
      <w:r>
        <w:t xml:space="preserve"> </w:t>
      </w:r>
      <w:r w:rsidRPr="007176CD">
        <w:t>području Krapinsko-zagorske županije. Rezultati istraživanja</w:t>
      </w:r>
      <w:r>
        <w:t xml:space="preserve"> </w:t>
      </w:r>
      <w:r w:rsidRPr="007176CD">
        <w:t xml:space="preserve">upotrijebljeni su pri izradi </w:t>
      </w:r>
      <w:r>
        <w:t xml:space="preserve">publikacija </w:t>
      </w:r>
      <w:r w:rsidRPr="007176CD">
        <w:t>i drugih</w:t>
      </w:r>
      <w:r>
        <w:t xml:space="preserve"> </w:t>
      </w:r>
      <w:r w:rsidRPr="007176CD">
        <w:t>obrazovnih materijala</w:t>
      </w:r>
      <w:r w:rsidR="000054D2">
        <w:rPr>
          <w:rStyle w:val="Referencafusnote"/>
        </w:rPr>
        <w:footnoteReference w:id="7"/>
      </w:r>
      <w:r w:rsidRPr="007176CD">
        <w:t>.</w:t>
      </w:r>
      <w:r w:rsidR="003E6D0E">
        <w:t xml:space="preserve"> </w:t>
      </w:r>
      <w:r w:rsidR="003E6D0E" w:rsidRPr="00204B14">
        <w:t>Na radionice, terensku nastavu, škole u prirodi i predavanja na temu zaštite prirode godišnje se uključuje oko 1 500 učenika i njihovih nastavnika te se za njih i za javnost izrađuju edukacijsko-</w:t>
      </w:r>
      <w:r w:rsidR="003E6D0E" w:rsidRPr="003E6D0E">
        <w:t>informativn</w:t>
      </w:r>
      <w:r w:rsidR="003E6D0E">
        <w:t>i</w:t>
      </w:r>
      <w:r w:rsidR="003E6D0E" w:rsidRPr="003E6D0E">
        <w:t xml:space="preserve"> materijal</w:t>
      </w:r>
      <w:r w:rsidR="003E6D0E">
        <w:t xml:space="preserve">i. Uređeno </w:t>
      </w:r>
      <w:r w:rsidR="003E6D0E" w:rsidRPr="003E6D0E">
        <w:t>je pet interpretacijskih</w:t>
      </w:r>
      <w:r w:rsidR="003E6D0E" w:rsidRPr="00204B14">
        <w:t xml:space="preserve"> </w:t>
      </w:r>
      <w:r w:rsidR="003E6D0E" w:rsidRPr="003E6D0E">
        <w:t xml:space="preserve">staza na zaštićenim područjima te </w:t>
      </w:r>
      <w:r w:rsidR="003E6D0E">
        <w:t>je izgrađen</w:t>
      </w:r>
      <w:r w:rsidR="003E6D0E" w:rsidRPr="00204B14">
        <w:t xml:space="preserve"> </w:t>
      </w:r>
      <w:r w:rsidR="003E6D0E" w:rsidRPr="003E6D0E">
        <w:t xml:space="preserve">Centar za prirodu </w:t>
      </w:r>
      <w:r w:rsidR="003E6D0E" w:rsidRPr="00204B14">
        <w:t xml:space="preserve">Zagorje </w:t>
      </w:r>
      <w:r w:rsidR="003E6D0E" w:rsidRPr="003E6D0E">
        <w:t>u Radoboju kao središnje</w:t>
      </w:r>
      <w:r w:rsidR="003E6D0E" w:rsidRPr="00204B14">
        <w:t xml:space="preserve"> </w:t>
      </w:r>
      <w:r w:rsidR="003E6D0E" w:rsidRPr="003E6D0E">
        <w:t>mjesto za edukaciju i interpretaciju zaštićenih dijelova</w:t>
      </w:r>
      <w:r w:rsidR="003E6D0E">
        <w:rPr>
          <w:color w:val="FF0000"/>
        </w:rPr>
        <w:t xml:space="preserve"> </w:t>
      </w:r>
      <w:r w:rsidR="003E6D0E" w:rsidRPr="003E6D0E">
        <w:t>prirode Krapinsko-zagorske županije i ekološke mreže</w:t>
      </w:r>
      <w:r w:rsidR="003E6D0E">
        <w:rPr>
          <w:color w:val="FF0000"/>
        </w:rPr>
        <w:t xml:space="preserve"> </w:t>
      </w:r>
      <w:r w:rsidR="003E6D0E" w:rsidRPr="003E6D0E">
        <w:rPr>
          <w:i/>
          <w:iCs/>
        </w:rPr>
        <w:t>Natura 2000</w:t>
      </w:r>
      <w:r w:rsidR="003E6D0E" w:rsidRPr="003E6D0E">
        <w:t>.</w:t>
      </w:r>
      <w:r w:rsidR="002E698A" w:rsidRPr="002E698A">
        <w:rPr>
          <w:rFonts w:ascii="BrioniPro-Light" w:hAnsi="BrioniPro-Light" w:cs="BrioniPro-Light"/>
          <w:color w:val="4D4D4F"/>
          <w:szCs w:val="18"/>
        </w:rPr>
        <w:t xml:space="preserve"> </w:t>
      </w:r>
      <w:r w:rsidR="002E698A" w:rsidRPr="002E698A">
        <w:t>Uz Centar</w:t>
      </w:r>
      <w:r w:rsidR="002E698A">
        <w:t xml:space="preserve"> </w:t>
      </w:r>
      <w:r w:rsidR="002E698A" w:rsidRPr="002E698A">
        <w:t>se nalazi tradicijski travnjački voćnjak, hotel za kukce,</w:t>
      </w:r>
      <w:r w:rsidR="002E698A">
        <w:t xml:space="preserve"> </w:t>
      </w:r>
      <w:r w:rsidR="002E698A" w:rsidRPr="002E698A">
        <w:t xml:space="preserve">zelena učionica, Muzej </w:t>
      </w:r>
      <w:r w:rsidR="002E698A" w:rsidRPr="002E698A">
        <w:rPr>
          <w:i/>
          <w:iCs/>
        </w:rPr>
        <w:t xml:space="preserve">Radboa </w:t>
      </w:r>
      <w:r w:rsidR="002E698A" w:rsidRPr="002E698A">
        <w:t>te Kuća vinove loze</w:t>
      </w:r>
      <w:r w:rsidR="002E698A">
        <w:t>.</w:t>
      </w:r>
      <w:r w:rsidR="002E698A" w:rsidRPr="002E698A">
        <w:rPr>
          <w:rFonts w:ascii="BrioniPro-Light" w:hAnsi="BrioniPro-Light" w:cs="BrioniPro-Light"/>
          <w:color w:val="3B9948"/>
          <w:sz w:val="16"/>
          <w:szCs w:val="16"/>
        </w:rPr>
        <w:t xml:space="preserve"> </w:t>
      </w:r>
      <w:r w:rsidR="002E698A" w:rsidRPr="002E698A">
        <w:t>Zelena učionica mjesto je gdje djeca na interaktivan i</w:t>
      </w:r>
      <w:r w:rsidR="002E698A">
        <w:t xml:space="preserve"> </w:t>
      </w:r>
      <w:r w:rsidR="002E698A" w:rsidRPr="002E698A">
        <w:t>zanimljiv način uče o prirodi</w:t>
      </w:r>
      <w:r w:rsidR="002E698A">
        <w:t>.</w:t>
      </w:r>
    </w:p>
    <w:p w14:paraId="3D4251F5" w14:textId="00FDDAF2" w:rsidR="00382E8E" w:rsidRDefault="00382E8E" w:rsidP="001F65FC">
      <w:pPr>
        <w:rPr>
          <w:color w:val="FF0000"/>
        </w:rPr>
      </w:pPr>
      <w:r w:rsidRPr="00204B14">
        <w:t>Poučne staze su dio infrastrukture zaštićenih područja koji posjetitelju pruža osnovnu informaciju o vrijednosti i važnosti nekoga područja te pravilima ponašanja u zaštićenome području. One također služe i za ekološku edukaciju te su važne u interpretacijskim šetnjama koje organizira Javna ustanova. Poučne staze na području KZŽ su: Planinarsko-poučna staza Putovima orhideja na Strahinjčici dugačka 16,7 km, Ekostaza Cesarskom gorom dužine oko 4,5 km, Kružna staza Hušnjakovo duga 2,5 km, Poučna staza Veze prirode smještena u Značajnom krajobrazu Zelenjak – Risvička i Cesarska gora</w:t>
      </w:r>
      <w:r w:rsidR="001F65FC" w:rsidRPr="00204B14">
        <w:t xml:space="preserve"> te Staza kroz krošnje u Zelenjaku duga 125 m, s najvećom visinom od 5 m izrađena u 2020. godini u sklopu projekta Europske unije Zagorje abeceda Prirode. Staza </w:t>
      </w:r>
      <w:r w:rsidR="001F65FC" w:rsidRPr="00204B14">
        <w:lastRenderedPageBreak/>
        <w:t xml:space="preserve">kroz krošnje, zasad je jedinstvena u Hrvatskoj. </w:t>
      </w:r>
      <w:r w:rsidRPr="00204B14">
        <w:t>Svaka staza obrađuje drukčiju temu usko povezanu sa zaštićenim područjem, a svaka od tema ističe njegove najvrijednije značajke te pruža posjetitelju i druge korisne informacije.</w:t>
      </w:r>
    </w:p>
    <w:p w14:paraId="25C516E2" w14:textId="5B595BD6" w:rsidR="002E698A" w:rsidRDefault="002E698A" w:rsidP="001F65FC">
      <w:pPr>
        <w:rPr>
          <w:color w:val="FF0000"/>
        </w:rPr>
      </w:pPr>
    </w:p>
    <w:p w14:paraId="0E24F856" w14:textId="026F8165" w:rsidR="00B3235A" w:rsidRPr="009B62B8" w:rsidRDefault="00B3235A" w:rsidP="0052192B">
      <w:pPr>
        <w:pStyle w:val="Naslov2"/>
        <w:numPr>
          <w:ilvl w:val="1"/>
          <w:numId w:val="20"/>
        </w:numPr>
      </w:pPr>
      <w:bookmarkStart w:id="33" w:name="_Toc85181280"/>
      <w:r w:rsidRPr="009B62B8">
        <w:t>Krajobraz</w:t>
      </w:r>
      <w:r w:rsidR="00DD5BE9">
        <w:t>i</w:t>
      </w:r>
      <w:r w:rsidRPr="009B62B8">
        <w:t xml:space="preserve"> K</w:t>
      </w:r>
      <w:r w:rsidR="00DD5BE9">
        <w:t>rapinsko- zagorske županije</w:t>
      </w:r>
      <w:bookmarkEnd w:id="33"/>
    </w:p>
    <w:p w14:paraId="418B50B5" w14:textId="0155A943" w:rsidR="00B3235A" w:rsidRDefault="00B3235A" w:rsidP="001F65FC">
      <w:pPr>
        <w:rPr>
          <w:color w:val="FF0000"/>
        </w:rPr>
      </w:pPr>
    </w:p>
    <w:p w14:paraId="3EDA4327" w14:textId="77777777" w:rsidR="0063453F" w:rsidRDefault="009B62B8" w:rsidP="009B62B8">
      <w:pPr>
        <w:spacing w:before="60" w:after="60" w:line="252" w:lineRule="auto"/>
      </w:pPr>
      <w:r w:rsidRPr="009B62B8">
        <w:t>Procesi degradacije kvaliteta krajobraza prisutni su u Europi i cijelome svijetu pa je Vijeće Europe 2000. g. usvojilo Europsku konvenciju o krajobrazu (European Landscape Convention) čiji je cilj potaknuti države članice na aktivnosti kojima bi se zaustavili negativni procesi i razvoj usmjeravao na način da koristi i doprinosi kvalitetama krajobraza. Stoga su određene 3 krajobrazne politike, zaštita te planiranje i upravljanje, koje države trebaju ugraditi u svoje sektorske strategije, planove i programe. Hrvatska ju je prihvatila potpisivanjem Konvencije u Firenci iste godine te Zakonom o potpisivanju Konvencije o Europskim krajobrazima 2004.g. usvojila. Strategija prostornog uređenja RH iz 1997.g. je planirala izradu Krajobrazne osnove kao prostorno planske podloge na državnoj, županijskoj i lokalnoj</w:t>
      </w:r>
      <w:r w:rsidRPr="009B62B8">
        <w:rPr>
          <w:rFonts w:ascii="Calibri" w:hAnsi="Calibri" w:cs="Calibri"/>
        </w:rPr>
        <w:t> </w:t>
      </w:r>
      <w:r w:rsidRPr="009B62B8">
        <w:t xml:space="preserve"> razini, a Strategija prostornog razvoja iz 2017.g. to i potvrdila</w:t>
      </w:r>
      <w:r w:rsidR="0063453F">
        <w:t>.</w:t>
      </w:r>
    </w:p>
    <w:p w14:paraId="5EB92867" w14:textId="73A5E8A0" w:rsidR="009B62B8" w:rsidRPr="009B62B8" w:rsidRDefault="009B62B8" w:rsidP="009B62B8">
      <w:pPr>
        <w:spacing w:before="60" w:after="60" w:line="252" w:lineRule="auto"/>
      </w:pPr>
      <w:r w:rsidRPr="009B62B8">
        <w:t>Krajobrazi Krapinsko zagorske županije nastali su stoljetnim aktivnostima vrijednih stanovnika koje su mu dale prepoznatljiv, vrijedan i specifičan karakter kulturnog krajobraza Hrvatskog zagorja. Brojni krajobrazni tipovi, podtipovi i uzorci čine te predstavljaju krajobraznu raznolikost KZŽ, koju treba prepoznati, identificirat</w:t>
      </w:r>
      <w:r>
        <w:t>i</w:t>
      </w:r>
      <w:r w:rsidRPr="009B62B8">
        <w:t xml:space="preserve">, analizirati i valorizirati kako bi se brojni vrijedni kulturni krajobrazi zaštitili, a oni manje vrijedni unaprijedili u procesima daljnjeg razvoja Županije. </w:t>
      </w:r>
    </w:p>
    <w:p w14:paraId="004FE3D8" w14:textId="77777777" w:rsidR="009B62B8" w:rsidRPr="009B62B8" w:rsidRDefault="009B62B8" w:rsidP="009B62B8">
      <w:pPr>
        <w:spacing w:before="60" w:after="60" w:line="252" w:lineRule="auto"/>
      </w:pPr>
      <w:r w:rsidRPr="009B62B8">
        <w:t>Noviji trendovi razvoja kao što su širenje izgrađenih te napuštanje ruralnih područja i tradicionalnih oblika poljoprivredne proizvodnje kao i razvoja različitih oblika turizma nisu uzimali u obzir postojeći karakter i kvalitete krajobraza. Nastale promjene su uglavnom negativno utjecale na strukturu i karakter krajobraza te njegove ekološke i vizualne kvalitete. Kako bi se razvoj u budućnosti odvijao na način da koristi krajobraz kao resurs te nadograđuje krajobraznu raznolikost i regionalni krajobrazni identitet potrebno je utvrditi postojeće stanje krajobraza i njegove raznolikosti. Također prepoznati vrijednosti i ugroženost dijelova krajobraza, odnosno krajobraznih područja postojećim razvojnim aktivnostima</w:t>
      </w:r>
      <w:r w:rsidRPr="009B62B8">
        <w:rPr>
          <w:rFonts w:ascii="Calibri" w:hAnsi="Calibri" w:cs="Calibri"/>
        </w:rPr>
        <w:t> </w:t>
      </w:r>
      <w:r w:rsidRPr="009B62B8">
        <w:t xml:space="preserve"> te dati mjere i smjernice za budući razvoj kojima će se očuvati postojeći te stvarati novi tipovi i uzorci krajobraza KZŽ.</w:t>
      </w:r>
    </w:p>
    <w:p w14:paraId="40722895" w14:textId="77777777" w:rsidR="009B62B8" w:rsidRPr="009B62B8" w:rsidRDefault="009B62B8" w:rsidP="009B62B8">
      <w:pPr>
        <w:spacing w:before="60" w:after="60"/>
      </w:pPr>
      <w:r w:rsidRPr="009B62B8">
        <w:t>Obzirom na prepoznatljivost i vrijednost kulturnih krajobraza Krapinsko-zagorske županije i cijelog Hrvatskog zagorja</w:t>
      </w:r>
      <w:r w:rsidRPr="009B62B8">
        <w:rPr>
          <w:rFonts w:ascii="Calibri" w:hAnsi="Calibri" w:cs="Calibri"/>
        </w:rPr>
        <w:t> </w:t>
      </w:r>
      <w:r w:rsidRPr="009B62B8">
        <w:t xml:space="preserve"> te njihovu izloženost promjenama uslijed napuštanja primarnih i sve većih pritisaka ostalih razvojnih djelatnosti, potrebno je prvo izraditi Krajobraznu strategiju KZŽ koja će postaviti okvir za provedbu krajobraznih politika, predvidjeti aktivnosti i mjere provedbe te odrediti projekte i planove za razvoj krajobraza Županije kao visokokvalitetnog životnog, radnog i rekreacijskog prostora.</w:t>
      </w:r>
    </w:p>
    <w:p w14:paraId="768BA28A" w14:textId="74D686B0" w:rsidR="009B62B8" w:rsidRDefault="009B62B8" w:rsidP="009B62B8">
      <w:r w:rsidRPr="009B62B8">
        <w:t>Temeljni dokument za utvrđivanje krajobrazne raznolikosti KZŽ, je Krajobrazna osnova koja treba inventarizirati krajobrazne tipove/područja KZŽ na različitim hijerarhijskim razinama, odrediti vrijednosti i pritiske na pojedine dijelove krajobraza, utvrditi njihovu ugroženost te dati mjere zaštite i smjernice za planiranje ka</w:t>
      </w:r>
      <w:r w:rsidR="00DB78E7">
        <w:t>k</w:t>
      </w:r>
      <w:r w:rsidRPr="009B62B8">
        <w:t>o bi se očuvao regionalni krajobrazni identitet.</w:t>
      </w:r>
    </w:p>
    <w:p w14:paraId="64F9FFAD" w14:textId="77777777" w:rsidR="00C7687C" w:rsidRPr="009B62B8" w:rsidRDefault="00C7687C" w:rsidP="009B62B8"/>
    <w:p w14:paraId="172206B5" w14:textId="77777777" w:rsidR="008C73AE" w:rsidRDefault="008C73AE" w:rsidP="008C73AE">
      <w:pPr>
        <w:shd w:val="clear" w:color="auto" w:fill="E5E5E5" w:themeFill="text1" w:themeFillTint="33"/>
        <w:rPr>
          <w:b/>
          <w:bCs/>
        </w:rPr>
      </w:pPr>
      <w:bookmarkStart w:id="34" w:name="_Hlk48744872"/>
      <w:r>
        <w:rPr>
          <w:b/>
          <w:bCs/>
        </w:rPr>
        <w:t xml:space="preserve">Zaključak </w:t>
      </w:r>
    </w:p>
    <w:p w14:paraId="0F6808BA" w14:textId="77777777" w:rsidR="008C73AE" w:rsidRDefault="008C73AE" w:rsidP="008C73AE">
      <w:pPr>
        <w:shd w:val="clear" w:color="auto" w:fill="E5E5E5" w:themeFill="text1" w:themeFillTint="33"/>
      </w:pPr>
      <w:r>
        <w:t xml:space="preserve">Analiza klimatskih obilježja, prirodnih resursa te zaštićenih dijelova prirode KZŽ ukazuje kako Županija posjeduje povoljne preduvjete za razvoj različitih grana gospodarstva. Pobliže, umjereno kontinentalna klima i specifične značajke reljefa faktori su koji ne priječe razvoj poljoprivrede, industrije, urbanizacije i prometa. </w:t>
      </w:r>
    </w:p>
    <w:bookmarkEnd w:id="34"/>
    <w:p w14:paraId="652C4E3E" w14:textId="2EDB2231" w:rsidR="00DB78E7" w:rsidRDefault="008C73AE" w:rsidP="00DB78E7">
      <w:pPr>
        <w:shd w:val="clear" w:color="auto" w:fill="E5E5E5" w:themeFill="text1" w:themeFillTint="33"/>
      </w:pPr>
      <w:r w:rsidRPr="00BD2DE1">
        <w:t xml:space="preserve">Među najvažnije </w:t>
      </w:r>
      <w:r>
        <w:t xml:space="preserve">prirodne </w:t>
      </w:r>
      <w:r w:rsidRPr="00BD2DE1">
        <w:t>resurse Krapinsko-zagorske županije ubrajaju se termalni izvori te izvori pitke vode.</w:t>
      </w:r>
      <w:r>
        <w:t xml:space="preserve"> Dok su izvori pitke vode uglavnom komercijalizirani, dio termalnih izvora ne ispunjava svoj zdravstveni, turistički ili rekreativni potencijal. Eksploatacija kamena (tehničko-građevnog, građevinskog pijeska i šljunka te opekarske gline) prisutna je na području Županije. </w:t>
      </w:r>
      <w:r w:rsidRPr="006E5AE2">
        <w:t xml:space="preserve">Tehničko-građevni kamen je sirovina koja je široko zastupljena u Republici Hrvatskoj, </w:t>
      </w:r>
      <w:r>
        <w:t xml:space="preserve">no </w:t>
      </w:r>
      <w:r w:rsidRPr="006E5AE2">
        <w:t xml:space="preserve">pravilno upravljanje </w:t>
      </w:r>
      <w:r>
        <w:t>nemetalnim mineralnim sirovinama</w:t>
      </w:r>
      <w:r w:rsidRPr="006E5AE2">
        <w:t xml:space="preserve"> od osobitog je značaja</w:t>
      </w:r>
      <w:r>
        <w:t xml:space="preserve"> zbog visokih transportnih troškova. Šume čine značajan udio ukupne površine KZŽ no ne posjeduju potencijal potreban za poticanje značajnijeg gospodarskog rasta. Iako neadekvatan za intenzivnije industrijsko iskorištavanje, šumski potencijal prikladan je kao obnovljivi izvor energije te se može koristiti u rekreacijske, lovne i turističke svrhe, osobito na Ivanščici, Maceljskom gorju i Medvednici. </w:t>
      </w:r>
    </w:p>
    <w:p w14:paraId="2523792D" w14:textId="5D42AE48" w:rsidR="008C73AE" w:rsidRDefault="00DB78E7" w:rsidP="008C73AE">
      <w:pPr>
        <w:shd w:val="clear" w:color="auto" w:fill="E5E5E5" w:themeFill="text1" w:themeFillTint="33"/>
      </w:pPr>
      <w:r w:rsidRPr="00DB78E7">
        <w:t>Procesi degradacije kvaliteta krajobraza prisutni su u Europi i cijelome svijetu pa je Vijeće Europe 2000. g. usvojilo Europsku konvenciju o krajobrazu (European Landscape Convention) čiji je cilj potaknuti države članice na aktivnosti kojima bi se zaustavili negativni procesi i razvoj usmjeravao na način da koristi i doprinosi kvalitetama krajobraza</w:t>
      </w:r>
      <w:r>
        <w:t xml:space="preserve">. </w:t>
      </w:r>
      <w:r w:rsidRPr="00DB78E7">
        <w:t xml:space="preserve">Krajobrazi Krapinsko zagorske županije nastali su stoljetnim aktivnostima vrijednih stanovnika koje su mu dale prepoznatljiv, vrijedan i specifičan karakter kulturnog krajobraza Hrvatskog zagorja. Brojni krajobrazni tipovi, podtipovi i uzorci čine te predstavljaju krajobraznu raznolikost KZŽ, koju treba prepoznati, identificirati, analizirati i valorizirati kako bi se brojni vrijedni kulturni krajobrazi zaštitili, a oni manje vrijedni unaprijedili u procesima daljnjeg razvoja Županije. </w:t>
      </w:r>
    </w:p>
    <w:p w14:paraId="73B42AFE" w14:textId="31651BFA" w:rsidR="00010A1C" w:rsidRDefault="00336B46" w:rsidP="00336B46">
      <w:pPr>
        <w:shd w:val="clear" w:color="auto" w:fill="E5E5E5" w:themeFill="text1" w:themeFillTint="33"/>
      </w:pPr>
      <w:r w:rsidRPr="00336B46">
        <w:lastRenderedPageBreak/>
        <w:t>U Krapinsko-zagorskoj županiji zaštićeno je</w:t>
      </w:r>
      <w:r w:rsidRPr="00336B46">
        <w:rPr>
          <w:rFonts w:ascii="Calibri" w:hAnsi="Calibri" w:cs="Calibri"/>
        </w:rPr>
        <w:t> </w:t>
      </w:r>
      <w:r w:rsidRPr="00336B46">
        <w:t>17 područja</w:t>
      </w:r>
      <w:r w:rsidRPr="00336B46">
        <w:rPr>
          <w:rFonts w:ascii="Calibri" w:hAnsi="Calibri" w:cs="Calibri"/>
        </w:rPr>
        <w:t> </w:t>
      </w:r>
      <w:r w:rsidRPr="00336B46">
        <w:t>u četiri kategorije: park prirode</w:t>
      </w:r>
      <w:r>
        <w:t xml:space="preserve"> (</w:t>
      </w:r>
      <w:r w:rsidRPr="00336B46">
        <w:t>Medvednica, koja u dijelu od 31 % ukupne površine pripada KZŽ</w:t>
      </w:r>
      <w:r>
        <w:t xml:space="preserve">), </w:t>
      </w:r>
      <w:r w:rsidRPr="00336B46">
        <w:t>spomenik prirode</w:t>
      </w:r>
      <w:r>
        <w:t xml:space="preserve"> (Hušnjakovo, Gupčeva lipa, Horvatove stube – tisa i Hrast Galženjak)</w:t>
      </w:r>
      <w:r w:rsidRPr="00336B46">
        <w:t>, značajni krajobraz</w:t>
      </w:r>
      <w:r>
        <w:t xml:space="preserve"> (Zelenjak - Risvička i Cesarska gora, Područje Sutinskih toplica) </w:t>
      </w:r>
      <w:r w:rsidRPr="00336B46">
        <w:t>i spomenik parkovne arhitekture</w:t>
      </w:r>
      <w:r>
        <w:t xml:space="preserve"> (Park uz dvorac Hellenbach u Mariji Bistrici, Park uz dvorac Stubički Golubovec, Park uz dvorac Mirkovec, Park oko dvorca Gornja Bedekovčina, Park i drvored uz dvorac Bežanec, Park oko dvorca Oroslavje Donje, Park oko dvorca u Selnici, Park oko dvorca Klokovec, Park oko dvorca Miljana, Stoljetna lipa u Desiniću).</w:t>
      </w:r>
      <w:r w:rsidRPr="00336B46">
        <w:t xml:space="preserve"> Površina zaštićenih područja iznosi</w:t>
      </w:r>
      <w:r w:rsidRPr="00336B46">
        <w:rPr>
          <w:rFonts w:ascii="Calibri" w:hAnsi="Calibri" w:cs="Calibri"/>
        </w:rPr>
        <w:t> </w:t>
      </w:r>
      <w:r w:rsidRPr="00336B46">
        <w:t>6522,01 ha</w:t>
      </w:r>
      <w:r w:rsidRPr="00336B46">
        <w:rPr>
          <w:rFonts w:ascii="Calibri" w:hAnsi="Calibri" w:cs="Calibri"/>
        </w:rPr>
        <w:t> </w:t>
      </w:r>
      <w:r w:rsidRPr="00336B46">
        <w:t xml:space="preserve">te je zaštićeno </w:t>
      </w:r>
      <w:r w:rsidRPr="00336B46">
        <w:rPr>
          <w:rFonts w:ascii="Calibri" w:hAnsi="Calibri" w:cs="Calibri"/>
        </w:rPr>
        <w:t> </w:t>
      </w:r>
      <w:r w:rsidRPr="00336B46">
        <w:t>5,3 %</w:t>
      </w:r>
      <w:r w:rsidRPr="00336B46">
        <w:rPr>
          <w:rFonts w:ascii="Calibri" w:hAnsi="Calibri" w:cs="Calibri"/>
        </w:rPr>
        <w:t> </w:t>
      </w:r>
      <w:r w:rsidRPr="00336B46">
        <w:t>površine Županije. Krapinsko-zagorska županija pripada u skupinu regija u kojima je zaštita prirode i prirodnih vrijednosti te njihovo uključivanje u turističku ponudu važan razvojni potencijal.</w:t>
      </w:r>
      <w:r>
        <w:t xml:space="preserve"> </w:t>
      </w:r>
      <w:r w:rsidRPr="00336B46">
        <w:t>Osim zaštićenih dijelova prirode Krapinsko-zagorske županije na ovom se području prostiru i područja ekološke mreže Natura 2000.</w:t>
      </w:r>
      <w:r w:rsidR="008F1097" w:rsidRPr="008F1097">
        <w:t xml:space="preserve"> Površina Natura 2000 područja u Krapinsko-zagorskoj županiji iznosi 10 % te uključuje rijeku Sutlu, Strahinjščicu, vršni dio Ivanščice, Medvednicu, dolinu Razvora kod Sutle i Židovske jame</w:t>
      </w:r>
      <w:r w:rsidR="006A0727">
        <w:t>.</w:t>
      </w:r>
      <w:r w:rsidR="00010A1C">
        <w:t xml:space="preserve"> </w:t>
      </w:r>
      <w:r w:rsidR="00010A1C" w:rsidRPr="00010A1C">
        <w:t>Istraživanjima je utvrđeno da je rijeka Sutla iznimno bogata različitim vrstama riba. Broj od ukupno 42 vrste zabilježene u slijevu Sutle, u samo 92 km toka, dodatno upućuje na potrebu očuvanja rijeke Sutle</w:t>
      </w:r>
      <w:r w:rsidR="00010A1C">
        <w:t xml:space="preserve">. </w:t>
      </w:r>
      <w:r w:rsidR="00010A1C" w:rsidRPr="00010A1C">
        <w:t xml:space="preserve">Sutla je, kao dio ekološke mreže </w:t>
      </w:r>
      <w:r w:rsidR="00010A1C" w:rsidRPr="00010A1C">
        <w:rPr>
          <w:i/>
          <w:iCs/>
        </w:rPr>
        <w:t>Natura</w:t>
      </w:r>
      <w:r w:rsidR="00010A1C" w:rsidRPr="00010A1C">
        <w:t xml:space="preserve"> </w:t>
      </w:r>
      <w:r w:rsidR="00010A1C" w:rsidRPr="00010A1C">
        <w:rPr>
          <w:i/>
          <w:iCs/>
        </w:rPr>
        <w:t>2000</w:t>
      </w:r>
      <w:r w:rsidR="00010A1C" w:rsidRPr="00010A1C">
        <w:t xml:space="preserve">, važna za očuvanje 8 vrsta riba </w:t>
      </w:r>
      <w:r w:rsidR="00010A1C">
        <w:t xml:space="preserve">te u rijeci </w:t>
      </w:r>
      <w:r w:rsidR="00010A1C" w:rsidRPr="00010A1C">
        <w:t>obitava 6 endemskih vrsta Dunavskoga bazena</w:t>
      </w:r>
      <w:r w:rsidR="00010A1C">
        <w:t xml:space="preserve">, a </w:t>
      </w:r>
      <w:r w:rsidR="00010A1C" w:rsidRPr="00010A1C">
        <w:t>Dolina Sutle kod Razvora dio je ekološke mreže važan za očuvanje danjega leptira kiseličinoga vatrenog plavca</w:t>
      </w:r>
      <w:r w:rsidR="00010A1C">
        <w:t>..</w:t>
      </w:r>
    </w:p>
    <w:p w14:paraId="417A3E6E" w14:textId="1935E162" w:rsidR="00BA5F30" w:rsidRDefault="00817005" w:rsidP="00336B46">
      <w:pPr>
        <w:shd w:val="clear" w:color="auto" w:fill="E5E5E5" w:themeFill="text1" w:themeFillTint="33"/>
      </w:pPr>
      <w:r w:rsidRPr="00817005">
        <w:t xml:space="preserve">Javna ustanova za upravljanje zaštićenim dijelovima prirode na području Krapinsko-zagorske županije provodi praćenja (monitoring) bijele rode, pčelarice, bazgova kaćuna, kockavice, šišmiša, lastavica i piljka, crne žune, jelenka, jadranske kozonoške, velike sase, kiseličinoga vatrenog plavca, kokice paučice, močvarne kruščike, obične lisanke, danje medonjice, kataksa, Grundova šumskoga bijelca, vrsta riba u Sutli obuhvaćenih mrežom Natura 2000. </w:t>
      </w:r>
      <w:r w:rsidR="00BA5F30" w:rsidRPr="00BA5F30">
        <w:t>Na Strahinjčici u termofilnim hrastovim šumama raste hrvatska perunika – endemska vrsta i hrvatski nacionalni cvijet ugrožen pretjeranim branjem. Strahinjčicu sa 32 vrste možemo nazvati i orhidejskim vrtom</w:t>
      </w:r>
      <w:r w:rsidR="00BA5F30">
        <w:t>.</w:t>
      </w:r>
    </w:p>
    <w:p w14:paraId="1C70FA98" w14:textId="7637BE6E" w:rsidR="009C32B1" w:rsidRDefault="00A77FB8" w:rsidP="008C73AE">
      <w:pPr>
        <w:shd w:val="clear" w:color="auto" w:fill="E5E5E5" w:themeFill="text1" w:themeFillTint="33"/>
      </w:pPr>
      <w:r>
        <w:t>Na području KZŽ</w:t>
      </w:r>
      <w:r w:rsidRPr="00A77FB8">
        <w:t xml:space="preserve"> provod</w:t>
      </w:r>
      <w:r>
        <w:t>e se</w:t>
      </w:r>
      <w:r w:rsidRPr="00A77FB8">
        <w:t xml:space="preserve"> regionaln</w:t>
      </w:r>
      <w:r>
        <w:t>i</w:t>
      </w:r>
      <w:r w:rsidRPr="00A77FB8">
        <w:t xml:space="preserve"> i prekograničn</w:t>
      </w:r>
      <w:r>
        <w:t>i</w:t>
      </w:r>
      <w:r w:rsidRPr="00A77FB8">
        <w:t xml:space="preserve"> projekt</w:t>
      </w:r>
      <w:r>
        <w:t>i</w:t>
      </w:r>
      <w:r w:rsidRPr="00A77FB8">
        <w:t xml:space="preserve"> sufinanciran</w:t>
      </w:r>
      <w:r>
        <w:t>i</w:t>
      </w:r>
      <w:r w:rsidRPr="00A77FB8">
        <w:t xml:space="preserve"> sredstvima EU u kojima se vodi računa o zaštićenim prirodnim vrijednostima i o očuvanju i promociji bogate biološke i krajobrazne raznolikosti županije (npr. projekt Enjoyheritage, Zagorje abeceda prirode, Veze prirode, Uređenje planinarsko- poučne staze Putovima orhideja).</w:t>
      </w:r>
      <w:r>
        <w:t xml:space="preserve"> </w:t>
      </w:r>
      <w:r w:rsidRPr="00A77FB8">
        <w:t xml:space="preserve">Javna ustanova </w:t>
      </w:r>
      <w:r w:rsidRPr="00A77FB8">
        <w:rPr>
          <w:i/>
          <w:iCs/>
        </w:rPr>
        <w:t xml:space="preserve">Zagorje zeleno </w:t>
      </w:r>
      <w:r w:rsidRPr="00A77FB8">
        <w:t>financira istraživačke projekte u cilju uspostave baze podataka o biološkoj i geološkoj raznolikosti na području Krapinsko-zagorske županije. Na županijskoj razini provodi od 2007. godine projekt Ptiček u cilju osposobljavanja učenika za mlade čuvare prirode. Dosad su u 12 generacija mladih čuvara prirode u projekt Ptiček bile uključene 32 osnovne škole, a više od 300 učenika viših razreda osnovne škole dobilo je potvrdu o tome da je završilo izobrazbu za mladoga čuvara prirode Krapinsko-zagorske županije. Dosad je financirano 36 istraživanja flore i faune te geoloških istraživanja na području Krapinsko-zagorske županije. Rezultati istraživanja upotrijebljeni su pri izradi publikacija i drugih obrazovnih materijala.</w:t>
      </w:r>
      <w:r w:rsidR="003E6D0E">
        <w:t xml:space="preserve"> Na </w:t>
      </w:r>
      <w:r w:rsidR="003E6D0E" w:rsidRPr="003E6D0E">
        <w:t>edukacijske programe namijenjene djeci</w:t>
      </w:r>
      <w:r w:rsidR="003E6D0E">
        <w:t xml:space="preserve"> </w:t>
      </w:r>
      <w:r w:rsidR="003E6D0E" w:rsidRPr="003E6D0E">
        <w:t xml:space="preserve">predškolske i školske dobi te studentima godišnje se uključuje oko 1 500 učenika i njihovih nastavnika te se za njih i za javnost izrađuju edukacijsko-informativni materijali. Uređeno je pet interpretacijskih staza na zaštićenim područjima te je izgrađen Centar za prirodu </w:t>
      </w:r>
      <w:r w:rsidR="003E6D0E" w:rsidRPr="003E6D0E">
        <w:rPr>
          <w:i/>
          <w:iCs/>
        </w:rPr>
        <w:t xml:space="preserve">Zagorje </w:t>
      </w:r>
      <w:r w:rsidR="003E6D0E" w:rsidRPr="003E6D0E">
        <w:t xml:space="preserve">u Radoboju kao središnje mjesto za edukaciju i interpretaciju zaštićenih dijelova prirode Krapinsko-zagorske županije i ekološke mreže </w:t>
      </w:r>
      <w:r w:rsidR="003E6D0E" w:rsidRPr="003E6D0E">
        <w:rPr>
          <w:i/>
          <w:iCs/>
        </w:rPr>
        <w:t>Natura 2000</w:t>
      </w:r>
      <w:r w:rsidR="003E6D0E" w:rsidRPr="003E6D0E">
        <w:t>.</w:t>
      </w:r>
      <w:r w:rsidR="002E698A">
        <w:t xml:space="preserve"> Važan dio infrastrukture na zaštićenim područjima su p</w:t>
      </w:r>
      <w:r w:rsidR="002E698A" w:rsidRPr="002E698A">
        <w:t>oučne staze</w:t>
      </w:r>
      <w:r w:rsidR="002E698A">
        <w:t xml:space="preserve"> (</w:t>
      </w:r>
      <w:r w:rsidR="002E698A" w:rsidRPr="002E698A">
        <w:t xml:space="preserve">Planinarsko-poučna staza </w:t>
      </w:r>
      <w:r w:rsidR="002E698A" w:rsidRPr="002E698A">
        <w:rPr>
          <w:i/>
          <w:iCs/>
        </w:rPr>
        <w:t xml:space="preserve">Putovima orhideja </w:t>
      </w:r>
      <w:r w:rsidR="002E698A" w:rsidRPr="002E698A">
        <w:t xml:space="preserve">na Strahinjčici dugačka 16,7 km, </w:t>
      </w:r>
      <w:r w:rsidR="002E698A" w:rsidRPr="002E698A">
        <w:rPr>
          <w:i/>
          <w:iCs/>
        </w:rPr>
        <w:t>Ekostaza Cesarskom gorom</w:t>
      </w:r>
      <w:r w:rsidR="002E698A" w:rsidRPr="002E698A">
        <w:t xml:space="preserve"> dužine oko 4,5 km</w:t>
      </w:r>
      <w:r w:rsidR="002E698A" w:rsidRPr="002E698A">
        <w:rPr>
          <w:i/>
          <w:iCs/>
        </w:rPr>
        <w:t xml:space="preserve">, Kružna staza Hušnjakovo </w:t>
      </w:r>
      <w:r w:rsidR="002E698A" w:rsidRPr="002E698A">
        <w:t>duga 2,5 km</w:t>
      </w:r>
      <w:r w:rsidR="002E698A" w:rsidRPr="002E698A">
        <w:rPr>
          <w:i/>
          <w:iCs/>
        </w:rPr>
        <w:t>, Poučna staza Veze prirode</w:t>
      </w:r>
      <w:r w:rsidR="002E698A" w:rsidRPr="002E698A">
        <w:t xml:space="preserve"> smještena u Značajnom krajobrazu Zelenjak – Risvička i Cesarska gora te </w:t>
      </w:r>
      <w:r w:rsidR="002E698A" w:rsidRPr="002E698A">
        <w:rPr>
          <w:i/>
          <w:iCs/>
        </w:rPr>
        <w:t>Staza kroz krošnje</w:t>
      </w:r>
      <w:r w:rsidR="002E698A" w:rsidRPr="002E698A">
        <w:t xml:space="preserve"> u Zelenjaku duga </w:t>
      </w:r>
      <w:r w:rsidR="002E698A" w:rsidRPr="001F65FC">
        <w:t xml:space="preserve">125 m, s najvećom visinom od 5 m izrađena u </w:t>
      </w:r>
      <w:r w:rsidR="002E698A" w:rsidRPr="002E698A">
        <w:t>2020. godini</w:t>
      </w:r>
      <w:r w:rsidR="002E698A">
        <w:t xml:space="preserve">). </w:t>
      </w:r>
      <w:r w:rsidR="002E698A" w:rsidRPr="002E698A">
        <w:t>Staza kroz krošnje, zasad je jedinstvena u Hrvatskoj. Svaka staza obrađuje drukčiju temu usko povezanu sa zaštićenim područjem, a svaka od tema ističe njegove najvrijednije značajke te pruža posjetitelju i druge korisne informacije.</w:t>
      </w:r>
    </w:p>
    <w:p w14:paraId="73CC7CF4" w14:textId="1C0E935B" w:rsidR="00722DDE" w:rsidRDefault="00722DDE" w:rsidP="00722DDE"/>
    <w:p w14:paraId="4A5A2CFA" w14:textId="718082FD" w:rsidR="000B728E" w:rsidRDefault="000B728E">
      <w:pPr>
        <w:jc w:val="left"/>
      </w:pPr>
      <w:r>
        <w:br w:type="page"/>
      </w:r>
    </w:p>
    <w:p w14:paraId="35EAE8C2" w14:textId="0F9249B4" w:rsidR="003E6C76" w:rsidRDefault="003E6C76" w:rsidP="005F13D3">
      <w:pPr>
        <w:pStyle w:val="Naslov1"/>
        <w:rPr>
          <w:rStyle w:val="NASLOV"/>
        </w:rPr>
      </w:pPr>
      <w:bookmarkStart w:id="35" w:name="_Toc85181281"/>
      <w:r w:rsidRPr="003E6C76">
        <w:rPr>
          <w:rStyle w:val="NASLOV"/>
        </w:rPr>
        <w:lastRenderedPageBreak/>
        <w:t>INFRASTRUKTURA ZA MOBILNOST I INTERNETSKU POVEZANOST</w:t>
      </w:r>
      <w:bookmarkEnd w:id="35"/>
    </w:p>
    <w:p w14:paraId="2F529E5E" w14:textId="77777777" w:rsidR="00333A11" w:rsidRPr="00333A11" w:rsidRDefault="00333A11" w:rsidP="00333A11">
      <w:pPr>
        <w:pStyle w:val="Odlomakpopisa"/>
        <w:ind w:left="456"/>
      </w:pPr>
    </w:p>
    <w:p w14:paraId="2F91CAB1" w14:textId="1CEADF53" w:rsidR="003E6C76" w:rsidRDefault="003E6C76" w:rsidP="00F37174">
      <w:pPr>
        <w:pStyle w:val="Naslov2"/>
        <w:numPr>
          <w:ilvl w:val="1"/>
          <w:numId w:val="20"/>
        </w:numPr>
      </w:pPr>
      <w:bookmarkStart w:id="36" w:name="_Toc85181282"/>
      <w:r w:rsidRPr="003E6C76">
        <w:t>Cestovni promet</w:t>
      </w:r>
      <w:bookmarkEnd w:id="36"/>
    </w:p>
    <w:p w14:paraId="55C5B62E" w14:textId="77777777" w:rsidR="00F37174" w:rsidRPr="00F37174" w:rsidRDefault="00F37174" w:rsidP="00F37174">
      <w:pPr>
        <w:pStyle w:val="Odlomakpopisa"/>
      </w:pPr>
    </w:p>
    <w:p w14:paraId="4CBFF23E" w14:textId="77777777" w:rsidR="003E6C76" w:rsidRDefault="003E6C76" w:rsidP="003E6C76">
      <w:pPr>
        <w:rPr>
          <w:rFonts w:eastAsia="ArialNarrow"/>
          <w:sz w:val="22"/>
          <w:szCs w:val="22"/>
        </w:rPr>
      </w:pPr>
      <w:r>
        <w:rPr>
          <w:rFonts w:eastAsia="ArialNarrow"/>
        </w:rPr>
        <w:t xml:space="preserve">Mrežu cestovnih prometnica na području Krapinsko-zagorske županije čine razvrstane i nerazvrstane ceste ukupne dužine 4.083,80 km. </w:t>
      </w:r>
      <w:bookmarkStart w:id="37" w:name="_Hlk24270557"/>
      <w:r>
        <w:rPr>
          <w:rFonts w:eastAsia="ArialNarrow"/>
        </w:rPr>
        <w:t xml:space="preserve">Pokrivenost cestovnom mrežom na području Krapinsko-zagorske županije je zadovoljavajuća. </w:t>
      </w:r>
    </w:p>
    <w:bookmarkEnd w:id="37"/>
    <w:p w14:paraId="1A7C4F13" w14:textId="02F2F8EB" w:rsidR="00163B9B" w:rsidRDefault="00570021" w:rsidP="003E6C76">
      <w:pPr>
        <w:rPr>
          <w:rFonts w:eastAsia="ArialNarrow"/>
        </w:rPr>
      </w:pPr>
      <w:r w:rsidRPr="00570021">
        <w:rPr>
          <w:rFonts w:eastAsia="ArialNarrow"/>
        </w:rPr>
        <w:t>Sukladno Odluci o razvrstavanju javnih cesta (NN 17/20) javne ceste razvrstavaju se na autoceste, državne, županijske i lokalne ceste prema Uredbi o mjerilima za razvrstavanje javnih cesta.</w:t>
      </w:r>
      <w:r>
        <w:rPr>
          <w:rFonts w:eastAsia="ArialNarrow"/>
        </w:rPr>
        <w:t xml:space="preserve"> </w:t>
      </w:r>
      <w:r w:rsidR="003E6C76">
        <w:rPr>
          <w:rFonts w:eastAsia="ArialNarrow"/>
        </w:rPr>
        <w:t xml:space="preserve">Razvrstane - kategorizirane ceste u Krapinsko-zagorskoj županiji imaju </w:t>
      </w:r>
      <w:r w:rsidR="003E6C76">
        <w:rPr>
          <w:rFonts w:eastAsia="ArialNarrow,Bold"/>
        </w:rPr>
        <w:t>ukupnu duljinu</w:t>
      </w:r>
      <w:r w:rsidR="003E6C76">
        <w:rPr>
          <w:rFonts w:eastAsia="ArialNarrow,Bold"/>
          <w:b/>
          <w:bCs/>
        </w:rPr>
        <w:t xml:space="preserve"> </w:t>
      </w:r>
      <w:r w:rsidR="003E6C76">
        <w:rPr>
          <w:rFonts w:eastAsia="ArialNarrow"/>
        </w:rPr>
        <w:t>od 99</w:t>
      </w:r>
      <w:r w:rsidR="00196451">
        <w:rPr>
          <w:rFonts w:eastAsia="ArialNarrow"/>
        </w:rPr>
        <w:t xml:space="preserve">3 </w:t>
      </w:r>
      <w:r w:rsidR="003E6C76">
        <w:rPr>
          <w:rFonts w:eastAsia="ArialNarrow"/>
        </w:rPr>
        <w:t xml:space="preserve">km. Od toga </w:t>
      </w:r>
      <w:r w:rsidR="003E6C76">
        <w:rPr>
          <w:rFonts w:eastAsia="ArialNarrow,Bold"/>
          <w:b/>
          <w:bCs/>
        </w:rPr>
        <w:t xml:space="preserve">autocesta </w:t>
      </w:r>
      <w:r w:rsidR="003E6C76">
        <w:rPr>
          <w:rFonts w:eastAsia="ArialNarrow"/>
        </w:rPr>
        <w:t>Zagreb – Macelj čini 3</w:t>
      </w:r>
      <w:r w:rsidR="00196451">
        <w:rPr>
          <w:rFonts w:eastAsia="ArialNarrow"/>
        </w:rPr>
        <w:t>9</w:t>
      </w:r>
      <w:r w:rsidR="003E6C76">
        <w:rPr>
          <w:rFonts w:eastAsia="ArialNarrow"/>
        </w:rPr>
        <w:t xml:space="preserve"> km, </w:t>
      </w:r>
      <w:r w:rsidR="003E6C76" w:rsidRPr="003B6186">
        <w:rPr>
          <w:rFonts w:eastAsia="ArialNarrow"/>
          <w:b/>
          <w:bCs/>
        </w:rPr>
        <w:t>državne ceste</w:t>
      </w:r>
      <w:r w:rsidR="003E6C76">
        <w:rPr>
          <w:rFonts w:eastAsia="ArialNarrow"/>
        </w:rPr>
        <w:t xml:space="preserve"> 2</w:t>
      </w:r>
      <w:r w:rsidR="00196451">
        <w:rPr>
          <w:rFonts w:eastAsia="ArialNarrow"/>
        </w:rPr>
        <w:t xml:space="preserve">84 </w:t>
      </w:r>
      <w:r w:rsidR="003E6C76">
        <w:rPr>
          <w:rFonts w:eastAsia="ArialNarrow"/>
        </w:rPr>
        <w:t xml:space="preserve">km, </w:t>
      </w:r>
      <w:r w:rsidR="003E6C76" w:rsidRPr="003B6186">
        <w:rPr>
          <w:rFonts w:eastAsia="ArialNarrow"/>
          <w:b/>
          <w:bCs/>
        </w:rPr>
        <w:t>županijske ceste</w:t>
      </w:r>
      <w:r w:rsidR="003E6C76">
        <w:rPr>
          <w:rFonts w:eastAsia="ArialNarrow"/>
        </w:rPr>
        <w:t xml:space="preserve"> 4</w:t>
      </w:r>
      <w:r w:rsidR="00196451">
        <w:rPr>
          <w:rFonts w:eastAsia="ArialNarrow"/>
        </w:rPr>
        <w:t xml:space="preserve">23 </w:t>
      </w:r>
      <w:r w:rsidR="003E6C76">
        <w:rPr>
          <w:rFonts w:eastAsia="ArialNarrow"/>
        </w:rPr>
        <w:t xml:space="preserve">km te </w:t>
      </w:r>
      <w:r w:rsidR="003E6C76" w:rsidRPr="003B6186">
        <w:rPr>
          <w:rFonts w:eastAsia="ArialNarrow"/>
          <w:b/>
          <w:bCs/>
        </w:rPr>
        <w:t>lokalne ceste</w:t>
      </w:r>
      <w:r w:rsidR="003E6C76">
        <w:rPr>
          <w:rFonts w:eastAsia="ArialNarrow"/>
        </w:rPr>
        <w:t xml:space="preserve"> 24</w:t>
      </w:r>
      <w:r w:rsidR="00196451">
        <w:rPr>
          <w:rFonts w:eastAsia="ArialNarrow"/>
        </w:rPr>
        <w:t>8</w:t>
      </w:r>
      <w:r w:rsidR="003E6C76">
        <w:rPr>
          <w:rFonts w:eastAsia="ArialNarrow"/>
        </w:rPr>
        <w:t xml:space="preserve"> km</w:t>
      </w:r>
      <w:r w:rsidR="00196451">
        <w:rPr>
          <w:rStyle w:val="Referencafusnote"/>
          <w:rFonts w:eastAsia="ArialNarrow"/>
        </w:rPr>
        <w:footnoteReference w:id="8"/>
      </w:r>
      <w:r w:rsidR="00196451">
        <w:rPr>
          <w:rFonts w:eastAsia="ArialNarrow"/>
        </w:rPr>
        <w:t xml:space="preserve">. </w:t>
      </w:r>
      <w:r w:rsidR="00F87682" w:rsidRPr="00F87682">
        <w:rPr>
          <w:rFonts w:eastAsia="ArialNarrow"/>
        </w:rPr>
        <w:t>Najveći udio u ukupnoj duljini među razvrstanim cestama čine županijske ceste s 42,1 %</w:t>
      </w:r>
      <w:r w:rsidR="00F87682">
        <w:rPr>
          <w:rFonts w:eastAsia="ArialNarrow"/>
        </w:rPr>
        <w:t xml:space="preserve">. </w:t>
      </w:r>
      <w:r w:rsidR="003E6C76">
        <w:rPr>
          <w:rFonts w:eastAsia="ArialNarrow"/>
        </w:rPr>
        <w:t xml:space="preserve">Prema podacima Državnog zavoda za statistiku za 2018., prometnice na području Krapinsko-zagorske županije čine 3,69% ukupne duljine cesta u Republici Hrvatskoj, odnosno 5,88% Kontinentalne Hrvatske. </w:t>
      </w:r>
    </w:p>
    <w:p w14:paraId="38B41870" w14:textId="77777777" w:rsidR="006E0400" w:rsidRDefault="006E0400" w:rsidP="003E6C76">
      <w:pPr>
        <w:rPr>
          <w:rFonts w:eastAsia="ArialNarrow"/>
        </w:rPr>
      </w:pPr>
    </w:p>
    <w:p w14:paraId="3453C128" w14:textId="257CE4B7" w:rsidR="000A3A85" w:rsidRDefault="000A3A85" w:rsidP="000A3A85">
      <w:pPr>
        <w:pStyle w:val="Opisslike"/>
      </w:pPr>
      <w:r w:rsidRPr="000A3A85">
        <w:t xml:space="preserve">Tablica </w:t>
      </w:r>
      <w:r>
        <w:t xml:space="preserve">7. Državne ceste na prostoru Krapinsko-zagorske županije </w:t>
      </w:r>
    </w:p>
    <w:tbl>
      <w:tblPr>
        <w:tblStyle w:val="Reetkatablice"/>
        <w:tblW w:w="9196" w:type="dxa"/>
        <w:tblInd w:w="-5" w:type="dxa"/>
        <w:tblLook w:val="04A0" w:firstRow="1" w:lastRow="0" w:firstColumn="1" w:lastColumn="0" w:noHBand="0" w:noVBand="1"/>
      </w:tblPr>
      <w:tblGrid>
        <w:gridCol w:w="1337"/>
        <w:gridCol w:w="7859"/>
      </w:tblGrid>
      <w:tr w:rsidR="000A3A85" w:rsidRPr="004313B2" w14:paraId="550F8597" w14:textId="77777777" w:rsidTr="00102A40">
        <w:trPr>
          <w:trHeight w:val="425"/>
        </w:trPr>
        <w:tc>
          <w:tcPr>
            <w:tcW w:w="9196" w:type="dxa"/>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76C0948B" w14:textId="3BAE68EB" w:rsidR="000A3A85" w:rsidRPr="00E12678" w:rsidRDefault="000A3A85" w:rsidP="004313B2">
            <w:pPr>
              <w:jc w:val="center"/>
              <w:rPr>
                <w:b/>
                <w:bCs/>
                <w:color w:val="FFFFFF" w:themeColor="background1"/>
                <w:sz w:val="20"/>
                <w:szCs w:val="20"/>
              </w:rPr>
            </w:pPr>
            <w:r w:rsidRPr="00E12678">
              <w:rPr>
                <w:b/>
                <w:bCs/>
                <w:color w:val="FFFFFF" w:themeColor="background1"/>
                <w:sz w:val="20"/>
                <w:szCs w:val="20"/>
              </w:rPr>
              <w:t>DRŽAVNE CESTE</w:t>
            </w:r>
          </w:p>
        </w:tc>
      </w:tr>
      <w:tr w:rsidR="000A3A85" w:rsidRPr="004313B2" w14:paraId="254C2B65" w14:textId="77777777" w:rsidTr="004313B2">
        <w:trPr>
          <w:trHeight w:val="415"/>
        </w:trPr>
        <w:tc>
          <w:tcPr>
            <w:tcW w:w="133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4F84DDAD" w14:textId="1F2A4885" w:rsidR="000A3A85" w:rsidRPr="00E12678" w:rsidRDefault="000A3A85" w:rsidP="004313B2">
            <w:pPr>
              <w:jc w:val="center"/>
              <w:rPr>
                <w:b/>
                <w:bCs/>
                <w:sz w:val="20"/>
                <w:szCs w:val="20"/>
              </w:rPr>
            </w:pPr>
            <w:r w:rsidRPr="00E12678">
              <w:rPr>
                <w:rFonts w:eastAsia="ArialNarrow"/>
                <w:b/>
                <w:bCs/>
                <w:color w:val="FFFFFF" w:themeColor="background1"/>
                <w:sz w:val="20"/>
                <w:szCs w:val="20"/>
              </w:rPr>
              <w:t>Broj ceste</w:t>
            </w:r>
          </w:p>
        </w:tc>
        <w:tc>
          <w:tcPr>
            <w:tcW w:w="78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37391E4C" w14:textId="1ED794AA" w:rsidR="000A3A85" w:rsidRPr="00E12678" w:rsidRDefault="000A3A85" w:rsidP="004313B2">
            <w:pPr>
              <w:jc w:val="center"/>
              <w:rPr>
                <w:rFonts w:eastAsia="ArialNarrow"/>
                <w:b/>
                <w:bCs/>
                <w:color w:val="FFFFFF" w:themeColor="background1"/>
                <w:sz w:val="20"/>
                <w:szCs w:val="20"/>
              </w:rPr>
            </w:pPr>
            <w:r w:rsidRPr="00E12678">
              <w:rPr>
                <w:rFonts w:eastAsia="ArialNarrow"/>
                <w:b/>
                <w:bCs/>
                <w:color w:val="FFFFFF" w:themeColor="background1"/>
                <w:sz w:val="20"/>
                <w:szCs w:val="20"/>
              </w:rPr>
              <w:t>Naziv ceste</w:t>
            </w:r>
          </w:p>
        </w:tc>
      </w:tr>
      <w:tr w:rsidR="000A3A85" w14:paraId="7A34D155" w14:textId="77777777" w:rsidTr="004313B2">
        <w:trPr>
          <w:trHeight w:val="265"/>
        </w:trPr>
        <w:tc>
          <w:tcPr>
            <w:tcW w:w="1337" w:type="dxa"/>
            <w:tcBorders>
              <w:top w:val="single" w:sz="4" w:space="0" w:color="FFFFFF" w:themeColor="background1"/>
            </w:tcBorders>
            <w:vAlign w:val="center"/>
          </w:tcPr>
          <w:p w14:paraId="4343C551" w14:textId="46552E2F" w:rsidR="000A3A85" w:rsidRPr="00163B9B" w:rsidRDefault="000A3A85" w:rsidP="004313B2">
            <w:pPr>
              <w:jc w:val="center"/>
              <w:rPr>
                <w:rFonts w:eastAsia="ArialNarrow"/>
              </w:rPr>
            </w:pPr>
            <w:r w:rsidRPr="00163B9B">
              <w:rPr>
                <w:rFonts w:eastAsia="ArialNarrow"/>
              </w:rPr>
              <w:t>D1</w:t>
            </w:r>
          </w:p>
        </w:tc>
        <w:tc>
          <w:tcPr>
            <w:tcW w:w="7859" w:type="dxa"/>
            <w:tcBorders>
              <w:top w:val="single" w:sz="4" w:space="0" w:color="FFFFFF" w:themeColor="background1"/>
            </w:tcBorders>
            <w:vAlign w:val="center"/>
          </w:tcPr>
          <w:p w14:paraId="19F57FCE" w14:textId="7134596B" w:rsidR="000A3A85" w:rsidRPr="00163B9B" w:rsidRDefault="000A3A85" w:rsidP="004313B2">
            <w:pPr>
              <w:jc w:val="left"/>
              <w:rPr>
                <w:rFonts w:eastAsia="ArialNarrow"/>
              </w:rPr>
            </w:pPr>
            <w:r w:rsidRPr="00163B9B">
              <w:rPr>
                <w:rFonts w:eastAsia="ArialNarrow"/>
              </w:rPr>
              <w:t>GP Razvor (granica s Rep. Slovenijom) – Kumrovec – Klanjec – Gubaševo</w:t>
            </w:r>
            <w:r>
              <w:rPr>
                <w:rFonts w:eastAsia="ArialNarrow"/>
              </w:rPr>
              <w:t xml:space="preserve"> </w:t>
            </w:r>
            <w:r w:rsidRPr="00163B9B">
              <w:rPr>
                <w:rFonts w:eastAsia="ArialNarrow"/>
              </w:rPr>
              <w:t>(D1)</w:t>
            </w:r>
          </w:p>
        </w:tc>
      </w:tr>
      <w:tr w:rsidR="000A3A85" w14:paraId="07144F14" w14:textId="77777777" w:rsidTr="004313B2">
        <w:trPr>
          <w:trHeight w:val="445"/>
        </w:trPr>
        <w:tc>
          <w:tcPr>
            <w:tcW w:w="1337" w:type="dxa"/>
            <w:vAlign w:val="center"/>
          </w:tcPr>
          <w:p w14:paraId="694871FF" w14:textId="06BA61AF" w:rsidR="000A3A85" w:rsidRPr="00163B9B" w:rsidRDefault="000A3A85" w:rsidP="004313B2">
            <w:pPr>
              <w:jc w:val="center"/>
              <w:rPr>
                <w:rFonts w:eastAsia="ArialNarrow"/>
              </w:rPr>
            </w:pPr>
            <w:r w:rsidRPr="00163B9B">
              <w:rPr>
                <w:rFonts w:eastAsia="ArialNarrow"/>
              </w:rPr>
              <w:t>D14</w:t>
            </w:r>
          </w:p>
        </w:tc>
        <w:tc>
          <w:tcPr>
            <w:tcW w:w="7859" w:type="dxa"/>
            <w:vAlign w:val="center"/>
          </w:tcPr>
          <w:p w14:paraId="7EE2F47E" w14:textId="77777777" w:rsidR="000A3A85" w:rsidRPr="00163B9B" w:rsidRDefault="000A3A85" w:rsidP="004313B2">
            <w:pPr>
              <w:jc w:val="left"/>
              <w:rPr>
                <w:rFonts w:eastAsia="ArialNarrow"/>
              </w:rPr>
            </w:pPr>
            <w:r w:rsidRPr="00163B9B">
              <w:rPr>
                <w:rFonts w:eastAsia="ArialNarrow"/>
              </w:rPr>
              <w:t>Čvorište Mokrice (A2) – čvorište Bračak – čvorište Bedekovčina –</w:t>
            </w:r>
          </w:p>
          <w:p w14:paraId="1B4A2904" w14:textId="6B68D1BB" w:rsidR="000A3A85" w:rsidRPr="00163B9B" w:rsidRDefault="000A3A85" w:rsidP="004313B2">
            <w:pPr>
              <w:jc w:val="left"/>
              <w:rPr>
                <w:rFonts w:eastAsia="ArialNarrow"/>
              </w:rPr>
            </w:pPr>
            <w:r w:rsidRPr="00163B9B">
              <w:rPr>
                <w:rFonts w:eastAsia="ArialNarrow"/>
              </w:rPr>
              <w:t>Bedekovčina (D24)</w:t>
            </w:r>
          </w:p>
        </w:tc>
      </w:tr>
      <w:tr w:rsidR="000A3A85" w14:paraId="20E0A0F3" w14:textId="77777777" w:rsidTr="004313B2">
        <w:trPr>
          <w:trHeight w:val="445"/>
        </w:trPr>
        <w:tc>
          <w:tcPr>
            <w:tcW w:w="1337" w:type="dxa"/>
            <w:vAlign w:val="center"/>
          </w:tcPr>
          <w:p w14:paraId="12B40421" w14:textId="7CFC31ED" w:rsidR="000A3A85" w:rsidRPr="00163B9B" w:rsidRDefault="000A3A85" w:rsidP="004313B2">
            <w:pPr>
              <w:jc w:val="center"/>
              <w:rPr>
                <w:rFonts w:eastAsia="ArialNarrow"/>
              </w:rPr>
            </w:pPr>
            <w:r w:rsidRPr="00163B9B">
              <w:rPr>
                <w:rFonts w:eastAsia="ArialNarrow"/>
              </w:rPr>
              <w:t>D24</w:t>
            </w:r>
          </w:p>
        </w:tc>
        <w:tc>
          <w:tcPr>
            <w:tcW w:w="7859" w:type="dxa"/>
            <w:vAlign w:val="center"/>
          </w:tcPr>
          <w:p w14:paraId="01524C21" w14:textId="77777777" w:rsidR="000A3A85" w:rsidRPr="00163B9B" w:rsidRDefault="000A3A85" w:rsidP="004313B2">
            <w:pPr>
              <w:jc w:val="left"/>
              <w:rPr>
                <w:rFonts w:eastAsia="ArialNarrow"/>
              </w:rPr>
            </w:pPr>
            <w:r w:rsidRPr="00163B9B">
              <w:rPr>
                <w:rFonts w:eastAsia="ArialNarrow"/>
              </w:rPr>
              <w:t>Zabok (D1) – Zlatar Bistrica – D. Konjščina – Budinščina – Novi Marof –</w:t>
            </w:r>
          </w:p>
          <w:p w14:paraId="1F0F168B" w14:textId="0D69334C" w:rsidR="000A3A85" w:rsidRPr="00163B9B" w:rsidRDefault="000A3A85" w:rsidP="004313B2">
            <w:pPr>
              <w:jc w:val="left"/>
              <w:rPr>
                <w:rFonts w:eastAsia="ArialNarrow"/>
              </w:rPr>
            </w:pPr>
            <w:r w:rsidRPr="00163B9B">
              <w:rPr>
                <w:rFonts w:eastAsia="ArialNarrow"/>
              </w:rPr>
              <w:t>Varaždinske Toplice – Ludbreg (D2)</w:t>
            </w:r>
          </w:p>
        </w:tc>
      </w:tr>
      <w:tr w:rsidR="000A3A85" w14:paraId="47A6EED8" w14:textId="77777777" w:rsidTr="004313B2">
        <w:trPr>
          <w:trHeight w:val="353"/>
        </w:trPr>
        <w:tc>
          <w:tcPr>
            <w:tcW w:w="1337" w:type="dxa"/>
            <w:vAlign w:val="center"/>
          </w:tcPr>
          <w:p w14:paraId="1EC62A76" w14:textId="0A00CE37" w:rsidR="000A3A85" w:rsidRPr="00163B9B" w:rsidRDefault="000A3A85" w:rsidP="004313B2">
            <w:pPr>
              <w:jc w:val="center"/>
              <w:rPr>
                <w:rFonts w:eastAsia="ArialNarrow"/>
              </w:rPr>
            </w:pPr>
            <w:r w:rsidRPr="00163B9B">
              <w:rPr>
                <w:rFonts w:eastAsia="ArialNarrow"/>
              </w:rPr>
              <w:t>D29</w:t>
            </w:r>
          </w:p>
        </w:tc>
        <w:tc>
          <w:tcPr>
            <w:tcW w:w="7859" w:type="dxa"/>
            <w:vAlign w:val="center"/>
          </w:tcPr>
          <w:p w14:paraId="3357BAD3" w14:textId="5D0810FB" w:rsidR="000A3A85" w:rsidRPr="00163B9B" w:rsidRDefault="000A3A85" w:rsidP="004313B2">
            <w:pPr>
              <w:jc w:val="left"/>
              <w:rPr>
                <w:rFonts w:eastAsia="ArialNarrow"/>
              </w:rPr>
            </w:pPr>
            <w:r w:rsidRPr="00163B9B">
              <w:rPr>
                <w:rFonts w:eastAsia="ArialNarrow"/>
              </w:rPr>
              <w:t>N. Golubovec (D35) – Zlatar Bistrica – Marija Bistrica – Soblinec (D3)</w:t>
            </w:r>
          </w:p>
        </w:tc>
      </w:tr>
      <w:tr w:rsidR="000A3A85" w14:paraId="22F2C32E" w14:textId="77777777" w:rsidTr="004313B2">
        <w:trPr>
          <w:trHeight w:val="259"/>
        </w:trPr>
        <w:tc>
          <w:tcPr>
            <w:tcW w:w="1337" w:type="dxa"/>
            <w:vAlign w:val="center"/>
          </w:tcPr>
          <w:p w14:paraId="097D453E" w14:textId="56655DF3" w:rsidR="000A3A85" w:rsidRPr="00163B9B" w:rsidRDefault="000A3A85" w:rsidP="004313B2">
            <w:pPr>
              <w:jc w:val="center"/>
              <w:rPr>
                <w:rFonts w:eastAsia="ArialNarrow"/>
              </w:rPr>
            </w:pPr>
            <w:r w:rsidRPr="00163B9B">
              <w:rPr>
                <w:rFonts w:eastAsia="ArialNarrow"/>
              </w:rPr>
              <w:t>D35</w:t>
            </w:r>
          </w:p>
        </w:tc>
        <w:tc>
          <w:tcPr>
            <w:tcW w:w="7859" w:type="dxa"/>
            <w:vAlign w:val="center"/>
          </w:tcPr>
          <w:p w14:paraId="25D62268" w14:textId="16F437CF" w:rsidR="000A3A85" w:rsidRPr="00163B9B" w:rsidRDefault="000A3A85" w:rsidP="004313B2">
            <w:pPr>
              <w:jc w:val="left"/>
              <w:rPr>
                <w:rFonts w:eastAsia="ArialNarrow"/>
              </w:rPr>
            </w:pPr>
            <w:r w:rsidRPr="00163B9B">
              <w:rPr>
                <w:rFonts w:eastAsia="ArialNarrow"/>
              </w:rPr>
              <w:t>Varaždin (D2) – Lepoglava - Sv. Križ Začretje (D1)</w:t>
            </w:r>
          </w:p>
        </w:tc>
      </w:tr>
      <w:tr w:rsidR="000A3A85" w14:paraId="1AE8FE41" w14:textId="77777777" w:rsidTr="004313B2">
        <w:trPr>
          <w:trHeight w:val="291"/>
        </w:trPr>
        <w:tc>
          <w:tcPr>
            <w:tcW w:w="1337" w:type="dxa"/>
            <w:vAlign w:val="center"/>
          </w:tcPr>
          <w:p w14:paraId="38D97245" w14:textId="7268E903" w:rsidR="000A3A85" w:rsidRPr="00163B9B" w:rsidRDefault="000A3A85" w:rsidP="004313B2">
            <w:pPr>
              <w:jc w:val="center"/>
              <w:rPr>
                <w:rFonts w:eastAsia="ArialNarrow"/>
              </w:rPr>
            </w:pPr>
            <w:r w:rsidRPr="00163B9B">
              <w:rPr>
                <w:rFonts w:eastAsia="ArialNarrow"/>
              </w:rPr>
              <w:t>D74</w:t>
            </w:r>
          </w:p>
        </w:tc>
        <w:tc>
          <w:tcPr>
            <w:tcW w:w="7859" w:type="dxa"/>
            <w:vAlign w:val="center"/>
          </w:tcPr>
          <w:p w14:paraId="090188C7" w14:textId="5BDE1866" w:rsidR="000A3A85" w:rsidRPr="00163B9B" w:rsidRDefault="000A3A85" w:rsidP="004313B2">
            <w:pPr>
              <w:jc w:val="left"/>
              <w:rPr>
                <w:rFonts w:eastAsia="ArialNarrow"/>
              </w:rPr>
            </w:pPr>
            <w:r w:rsidRPr="00163B9B">
              <w:rPr>
                <w:rFonts w:eastAsia="ArialNarrow"/>
              </w:rPr>
              <w:t>Đurmanec (D207) – Krapina – Bednja – Lepoglava (D35)</w:t>
            </w:r>
          </w:p>
        </w:tc>
      </w:tr>
      <w:tr w:rsidR="000A3A85" w14:paraId="1CAD8990" w14:textId="77777777" w:rsidTr="004313B2">
        <w:trPr>
          <w:trHeight w:val="445"/>
        </w:trPr>
        <w:tc>
          <w:tcPr>
            <w:tcW w:w="1337" w:type="dxa"/>
            <w:vAlign w:val="center"/>
          </w:tcPr>
          <w:p w14:paraId="616FB521" w14:textId="1B6C1418" w:rsidR="000A3A85" w:rsidRPr="00163B9B" w:rsidRDefault="000A3A85" w:rsidP="004313B2">
            <w:pPr>
              <w:jc w:val="center"/>
              <w:rPr>
                <w:rFonts w:eastAsia="ArialNarrow"/>
              </w:rPr>
            </w:pPr>
            <w:r w:rsidRPr="00163B9B">
              <w:rPr>
                <w:rFonts w:eastAsia="ArialNarrow"/>
              </w:rPr>
              <w:t>D205</w:t>
            </w:r>
          </w:p>
        </w:tc>
        <w:tc>
          <w:tcPr>
            <w:tcW w:w="7859" w:type="dxa"/>
            <w:vAlign w:val="center"/>
          </w:tcPr>
          <w:p w14:paraId="587A6FAC" w14:textId="77777777" w:rsidR="004A0343" w:rsidRPr="00163B9B" w:rsidRDefault="004A0343" w:rsidP="004313B2">
            <w:pPr>
              <w:jc w:val="left"/>
              <w:rPr>
                <w:rFonts w:eastAsia="ArialNarrow"/>
              </w:rPr>
            </w:pPr>
            <w:r w:rsidRPr="00163B9B">
              <w:rPr>
                <w:rFonts w:eastAsia="ArialNarrow"/>
              </w:rPr>
              <w:t>GP Razvor (granica s Rep. Slovenijom) – Kumrovec – Klanjec – Gubaševo</w:t>
            </w:r>
          </w:p>
          <w:p w14:paraId="1584A4A8" w14:textId="6012730A" w:rsidR="000A3A85" w:rsidRPr="00163B9B" w:rsidRDefault="004A0343" w:rsidP="004313B2">
            <w:pPr>
              <w:jc w:val="left"/>
              <w:rPr>
                <w:rFonts w:eastAsia="ArialNarrow"/>
              </w:rPr>
            </w:pPr>
            <w:r w:rsidRPr="00163B9B">
              <w:rPr>
                <w:rFonts w:eastAsia="ArialNarrow"/>
              </w:rPr>
              <w:t>(D1)</w:t>
            </w:r>
          </w:p>
        </w:tc>
      </w:tr>
      <w:tr w:rsidR="000A3A85" w14:paraId="761E99EF" w14:textId="77777777" w:rsidTr="004313B2">
        <w:trPr>
          <w:trHeight w:val="373"/>
        </w:trPr>
        <w:tc>
          <w:tcPr>
            <w:tcW w:w="1337" w:type="dxa"/>
            <w:vAlign w:val="center"/>
          </w:tcPr>
          <w:p w14:paraId="26801B1E" w14:textId="78BF4E32" w:rsidR="000A3A85" w:rsidRPr="00163B9B" w:rsidRDefault="004A0343" w:rsidP="004313B2">
            <w:pPr>
              <w:jc w:val="center"/>
              <w:rPr>
                <w:rFonts w:eastAsia="ArialNarrow"/>
              </w:rPr>
            </w:pPr>
            <w:r w:rsidRPr="00163B9B">
              <w:rPr>
                <w:rFonts w:eastAsia="ArialNarrow"/>
              </w:rPr>
              <w:t>D206</w:t>
            </w:r>
          </w:p>
        </w:tc>
        <w:tc>
          <w:tcPr>
            <w:tcW w:w="7859" w:type="dxa"/>
            <w:vAlign w:val="center"/>
          </w:tcPr>
          <w:p w14:paraId="1B9D2199" w14:textId="657C6977" w:rsidR="000A3A85" w:rsidRPr="00163B9B" w:rsidRDefault="004A0343" w:rsidP="004313B2">
            <w:pPr>
              <w:jc w:val="left"/>
              <w:rPr>
                <w:rFonts w:eastAsia="ArialNarrow"/>
              </w:rPr>
            </w:pPr>
            <w:r w:rsidRPr="00163B9B">
              <w:rPr>
                <w:rFonts w:eastAsia="ArialNarrow"/>
              </w:rPr>
              <w:t>GP Hum na Sutli (granica s Rep. Slovenijom) – Pregrada – Krapina (D1)</w:t>
            </w:r>
          </w:p>
        </w:tc>
      </w:tr>
      <w:tr w:rsidR="000A3A85" w14:paraId="664D3D3D" w14:textId="77777777" w:rsidTr="004313B2">
        <w:trPr>
          <w:trHeight w:val="279"/>
        </w:trPr>
        <w:tc>
          <w:tcPr>
            <w:tcW w:w="1337" w:type="dxa"/>
            <w:vAlign w:val="center"/>
          </w:tcPr>
          <w:p w14:paraId="553CAE9C" w14:textId="4142040C" w:rsidR="000A3A85" w:rsidRPr="00163B9B" w:rsidRDefault="004A0343" w:rsidP="004313B2">
            <w:pPr>
              <w:jc w:val="center"/>
              <w:rPr>
                <w:rFonts w:eastAsia="ArialNarrow"/>
              </w:rPr>
            </w:pPr>
            <w:r w:rsidRPr="00163B9B">
              <w:rPr>
                <w:rFonts w:eastAsia="ArialNarrow"/>
              </w:rPr>
              <w:t>D207</w:t>
            </w:r>
          </w:p>
        </w:tc>
        <w:tc>
          <w:tcPr>
            <w:tcW w:w="7859" w:type="dxa"/>
            <w:vAlign w:val="center"/>
          </w:tcPr>
          <w:p w14:paraId="1403868B" w14:textId="6E972C83" w:rsidR="000A3A85" w:rsidRPr="00163B9B" w:rsidRDefault="004A0343" w:rsidP="004313B2">
            <w:pPr>
              <w:jc w:val="left"/>
              <w:rPr>
                <w:rFonts w:eastAsia="ArialNarrow"/>
              </w:rPr>
            </w:pPr>
            <w:r w:rsidRPr="00163B9B">
              <w:rPr>
                <w:rFonts w:eastAsia="ArialNarrow"/>
              </w:rPr>
              <w:t>Hum na Sutli (D206) – Lupinjak – Đurmanec (D1)</w:t>
            </w:r>
          </w:p>
        </w:tc>
      </w:tr>
      <w:tr w:rsidR="000A3A85" w14:paraId="1D772274" w14:textId="77777777" w:rsidTr="004313B2">
        <w:trPr>
          <w:trHeight w:val="269"/>
        </w:trPr>
        <w:tc>
          <w:tcPr>
            <w:tcW w:w="1337" w:type="dxa"/>
            <w:vAlign w:val="center"/>
          </w:tcPr>
          <w:p w14:paraId="0FFF3523" w14:textId="559E23DA" w:rsidR="000A3A85" w:rsidRPr="00163B9B" w:rsidRDefault="004A0343" w:rsidP="004313B2">
            <w:pPr>
              <w:jc w:val="center"/>
              <w:rPr>
                <w:rFonts w:eastAsia="ArialNarrow"/>
              </w:rPr>
            </w:pPr>
            <w:r w:rsidRPr="00163B9B">
              <w:rPr>
                <w:rFonts w:eastAsia="ArialNarrow"/>
              </w:rPr>
              <w:t>D229</w:t>
            </w:r>
          </w:p>
        </w:tc>
        <w:tc>
          <w:tcPr>
            <w:tcW w:w="7859" w:type="dxa"/>
            <w:vAlign w:val="center"/>
          </w:tcPr>
          <w:p w14:paraId="4CA628C6" w14:textId="3094FCB8" w:rsidR="000A3A85" w:rsidRPr="00163B9B" w:rsidRDefault="004A0343" w:rsidP="004313B2">
            <w:pPr>
              <w:jc w:val="left"/>
              <w:rPr>
                <w:rFonts w:eastAsia="ArialNarrow"/>
              </w:rPr>
            </w:pPr>
            <w:r w:rsidRPr="00163B9B">
              <w:rPr>
                <w:rFonts w:eastAsia="ArialNarrow"/>
              </w:rPr>
              <w:t>DC206 – M. Tabor – Luka Poljanska – Miljana – Kumrovec (D205)</w:t>
            </w:r>
          </w:p>
        </w:tc>
      </w:tr>
      <w:tr w:rsidR="000A3A85" w14:paraId="701CEC73" w14:textId="77777777" w:rsidTr="004313B2">
        <w:trPr>
          <w:trHeight w:val="273"/>
        </w:trPr>
        <w:tc>
          <w:tcPr>
            <w:tcW w:w="1337" w:type="dxa"/>
            <w:vAlign w:val="center"/>
          </w:tcPr>
          <w:p w14:paraId="0FE7E07D" w14:textId="3A30A69B" w:rsidR="000A3A85" w:rsidRPr="00163B9B" w:rsidRDefault="004A0343" w:rsidP="004313B2">
            <w:pPr>
              <w:jc w:val="center"/>
              <w:rPr>
                <w:rFonts w:eastAsia="ArialNarrow"/>
              </w:rPr>
            </w:pPr>
            <w:r w:rsidRPr="00163B9B">
              <w:rPr>
                <w:rFonts w:eastAsia="ArialNarrow"/>
              </w:rPr>
              <w:t>D233</w:t>
            </w:r>
          </w:p>
        </w:tc>
        <w:tc>
          <w:tcPr>
            <w:tcW w:w="7859" w:type="dxa"/>
            <w:vAlign w:val="center"/>
          </w:tcPr>
          <w:p w14:paraId="4D9BE13E" w14:textId="4F5AA6D2" w:rsidR="000A3A85" w:rsidRPr="00163B9B" w:rsidRDefault="004A0343" w:rsidP="004313B2">
            <w:pPr>
              <w:jc w:val="left"/>
              <w:rPr>
                <w:rFonts w:eastAsia="ArialNarrow"/>
              </w:rPr>
            </w:pPr>
            <w:r w:rsidRPr="00163B9B">
              <w:rPr>
                <w:rFonts w:eastAsia="ArialNarrow"/>
              </w:rPr>
              <w:t>Hum na Sutli (D206) – Mali Tabor (D229)</w:t>
            </w:r>
          </w:p>
        </w:tc>
      </w:tr>
      <w:tr w:rsidR="000A3A85" w14:paraId="098632AA" w14:textId="77777777" w:rsidTr="004313B2">
        <w:trPr>
          <w:trHeight w:val="277"/>
        </w:trPr>
        <w:tc>
          <w:tcPr>
            <w:tcW w:w="1337" w:type="dxa"/>
            <w:vAlign w:val="center"/>
          </w:tcPr>
          <w:p w14:paraId="1A99682C" w14:textId="35D2F7AC" w:rsidR="000A3A85" w:rsidRPr="00163B9B" w:rsidRDefault="004A0343" w:rsidP="004313B2">
            <w:pPr>
              <w:jc w:val="center"/>
              <w:rPr>
                <w:rFonts w:eastAsia="ArialNarrow"/>
              </w:rPr>
            </w:pPr>
            <w:r w:rsidRPr="00163B9B">
              <w:rPr>
                <w:rFonts w:eastAsia="ArialNarrow"/>
              </w:rPr>
              <w:t>D307</w:t>
            </w:r>
          </w:p>
        </w:tc>
        <w:tc>
          <w:tcPr>
            <w:tcW w:w="7859" w:type="dxa"/>
            <w:vAlign w:val="center"/>
          </w:tcPr>
          <w:p w14:paraId="0A3E0D05" w14:textId="0E2668B9" w:rsidR="000A3A85" w:rsidRPr="00163B9B" w:rsidRDefault="004A0343" w:rsidP="004313B2">
            <w:pPr>
              <w:jc w:val="left"/>
              <w:rPr>
                <w:rFonts w:eastAsia="ArialNarrow"/>
              </w:rPr>
            </w:pPr>
            <w:r w:rsidRPr="00163B9B">
              <w:rPr>
                <w:rFonts w:eastAsia="ArialNarrow"/>
              </w:rPr>
              <w:t>Gubačevo (D1) – Oroslavje – Donja Stubica – Marija Bistrica (D29)</w:t>
            </w:r>
          </w:p>
        </w:tc>
      </w:tr>
      <w:tr w:rsidR="004A0343" w14:paraId="3E6DFFDF" w14:textId="77777777" w:rsidTr="004313B2">
        <w:trPr>
          <w:trHeight w:val="267"/>
        </w:trPr>
        <w:tc>
          <w:tcPr>
            <w:tcW w:w="1337" w:type="dxa"/>
            <w:vAlign w:val="center"/>
          </w:tcPr>
          <w:p w14:paraId="238C95CA" w14:textId="060EC860" w:rsidR="004A0343" w:rsidRPr="00163B9B" w:rsidRDefault="004A0343" w:rsidP="004313B2">
            <w:pPr>
              <w:jc w:val="center"/>
              <w:rPr>
                <w:rFonts w:eastAsia="ArialNarrow"/>
              </w:rPr>
            </w:pPr>
            <w:r w:rsidRPr="00163B9B">
              <w:rPr>
                <w:rFonts w:eastAsia="ArialNarrow"/>
              </w:rPr>
              <w:t>D507</w:t>
            </w:r>
          </w:p>
        </w:tc>
        <w:tc>
          <w:tcPr>
            <w:tcW w:w="7859" w:type="dxa"/>
            <w:vAlign w:val="center"/>
          </w:tcPr>
          <w:p w14:paraId="635B3E32" w14:textId="7DF9183F" w:rsidR="004A0343" w:rsidRPr="00163B9B" w:rsidRDefault="004A0343" w:rsidP="004313B2">
            <w:pPr>
              <w:jc w:val="left"/>
              <w:rPr>
                <w:rFonts w:eastAsia="ArialNarrow"/>
              </w:rPr>
            </w:pPr>
            <w:r w:rsidRPr="00163B9B">
              <w:rPr>
                <w:rFonts w:eastAsia="ArialNarrow"/>
              </w:rPr>
              <w:t>Valentinovo (D206) – Krapinsko Toplice – Gubaševo (DC205)</w:t>
            </w:r>
          </w:p>
        </w:tc>
      </w:tr>
      <w:tr w:rsidR="004A0343" w14:paraId="525759A4" w14:textId="77777777" w:rsidTr="004313B2">
        <w:trPr>
          <w:trHeight w:val="273"/>
        </w:trPr>
        <w:tc>
          <w:tcPr>
            <w:tcW w:w="1337" w:type="dxa"/>
            <w:vAlign w:val="center"/>
          </w:tcPr>
          <w:p w14:paraId="3D53F545" w14:textId="0E92F6DB" w:rsidR="004A0343" w:rsidRPr="00163B9B" w:rsidRDefault="004A0343" w:rsidP="004313B2">
            <w:pPr>
              <w:jc w:val="center"/>
              <w:rPr>
                <w:rFonts w:eastAsia="ArialNarrow"/>
              </w:rPr>
            </w:pPr>
            <w:r w:rsidRPr="00163B9B">
              <w:rPr>
                <w:rFonts w:eastAsia="ArialNarrow"/>
              </w:rPr>
              <w:t>D540</w:t>
            </w:r>
          </w:p>
        </w:tc>
        <w:tc>
          <w:tcPr>
            <w:tcW w:w="7859" w:type="dxa"/>
            <w:vAlign w:val="center"/>
          </w:tcPr>
          <w:p w14:paraId="58F5374D" w14:textId="5DF222FB" w:rsidR="004A0343" w:rsidRPr="00163B9B" w:rsidRDefault="004A0343" w:rsidP="004313B2">
            <w:pPr>
              <w:jc w:val="left"/>
              <w:rPr>
                <w:rFonts w:eastAsia="ArialNarrow"/>
              </w:rPr>
            </w:pPr>
            <w:r w:rsidRPr="00163B9B">
              <w:rPr>
                <w:rFonts w:eastAsia="ArialNarrow"/>
              </w:rPr>
              <w:t>Konjščina (D24) – Jertovec – Beloslavec – Bedenica – Komin (D3)</w:t>
            </w:r>
          </w:p>
        </w:tc>
      </w:tr>
    </w:tbl>
    <w:p w14:paraId="7C309A69" w14:textId="77777777" w:rsidR="004313B2" w:rsidRPr="004313B2" w:rsidRDefault="004313B2" w:rsidP="004313B2">
      <w:pPr>
        <w:autoSpaceDE w:val="0"/>
        <w:autoSpaceDN w:val="0"/>
        <w:adjustRightInd w:val="0"/>
        <w:spacing w:after="0" w:line="240" w:lineRule="auto"/>
        <w:rPr>
          <w:rFonts w:eastAsia="ArialNarrow" w:cstheme="minorHAnsi"/>
          <w:bCs/>
          <w:i/>
          <w:iCs/>
          <w:color w:val="ABABAB" w:themeColor="text1" w:themeTint="A6"/>
          <w:sz w:val="16"/>
          <w:szCs w:val="16"/>
        </w:rPr>
      </w:pPr>
      <w:r w:rsidRPr="006315FA">
        <w:rPr>
          <w:rFonts w:eastAsia="ArialNarrow" w:cstheme="minorHAnsi"/>
          <w:i/>
          <w:color w:val="ABABAB" w:themeColor="text1" w:themeTint="A6"/>
          <w:sz w:val="16"/>
          <w:szCs w:val="16"/>
        </w:rPr>
        <w:t xml:space="preserve">Izvor: </w:t>
      </w:r>
      <w:bookmarkStart w:id="38" w:name="_Hlk77844233"/>
      <w:r w:rsidRPr="004313B2">
        <w:rPr>
          <w:rFonts w:eastAsia="ArialNarrow" w:cstheme="minorHAnsi"/>
          <w:bCs/>
          <w:i/>
          <w:iCs/>
          <w:color w:val="ABABAB" w:themeColor="text1" w:themeTint="A6"/>
          <w:sz w:val="16"/>
          <w:szCs w:val="16"/>
        </w:rPr>
        <w:t>Master plana prometnog sustava Grada Zagreba, Zagrebačke županije i Krapinsko-zagorske županije, veljača 2020.</w:t>
      </w:r>
      <w:bookmarkEnd w:id="38"/>
    </w:p>
    <w:p w14:paraId="417B3C9F" w14:textId="1F0C66EB" w:rsidR="004313B2" w:rsidRDefault="004313B2" w:rsidP="004313B2">
      <w:pPr>
        <w:autoSpaceDE w:val="0"/>
        <w:autoSpaceDN w:val="0"/>
        <w:adjustRightInd w:val="0"/>
        <w:spacing w:after="0" w:line="240" w:lineRule="auto"/>
        <w:rPr>
          <w:rFonts w:eastAsia="ArialNarrow" w:cstheme="minorHAnsi"/>
          <w:i/>
          <w:color w:val="ABABAB" w:themeColor="text1" w:themeTint="A6"/>
          <w:sz w:val="16"/>
          <w:szCs w:val="16"/>
        </w:rPr>
      </w:pPr>
    </w:p>
    <w:p w14:paraId="39D4FF24" w14:textId="3B4CE3A4" w:rsidR="00F87682" w:rsidRDefault="00F87682" w:rsidP="004313B2">
      <w:pPr>
        <w:autoSpaceDE w:val="0"/>
        <w:autoSpaceDN w:val="0"/>
        <w:adjustRightInd w:val="0"/>
        <w:spacing w:after="0" w:line="240" w:lineRule="auto"/>
        <w:rPr>
          <w:rFonts w:eastAsia="ArialNarrow" w:cstheme="minorHAnsi"/>
          <w:i/>
          <w:color w:val="ABABAB" w:themeColor="text1" w:themeTint="A6"/>
          <w:sz w:val="16"/>
          <w:szCs w:val="16"/>
        </w:rPr>
      </w:pPr>
    </w:p>
    <w:p w14:paraId="0FC5E312" w14:textId="35A4F0DF" w:rsidR="00F87682" w:rsidRDefault="00F87682" w:rsidP="004313B2">
      <w:pPr>
        <w:autoSpaceDE w:val="0"/>
        <w:autoSpaceDN w:val="0"/>
        <w:adjustRightInd w:val="0"/>
        <w:spacing w:after="0" w:line="240" w:lineRule="auto"/>
        <w:rPr>
          <w:rFonts w:eastAsia="ArialNarrow" w:cstheme="minorHAnsi"/>
          <w:i/>
          <w:color w:val="ABABAB" w:themeColor="text1" w:themeTint="A6"/>
          <w:sz w:val="16"/>
          <w:szCs w:val="16"/>
        </w:rPr>
      </w:pPr>
    </w:p>
    <w:p w14:paraId="13B971DB" w14:textId="21676349" w:rsidR="00F87682" w:rsidRDefault="00F87682" w:rsidP="004313B2">
      <w:pPr>
        <w:autoSpaceDE w:val="0"/>
        <w:autoSpaceDN w:val="0"/>
        <w:adjustRightInd w:val="0"/>
        <w:spacing w:after="0" w:line="240" w:lineRule="auto"/>
        <w:rPr>
          <w:rFonts w:eastAsia="ArialNarrow" w:cstheme="minorHAnsi"/>
          <w:i/>
          <w:color w:val="ABABAB" w:themeColor="text1" w:themeTint="A6"/>
          <w:sz w:val="16"/>
          <w:szCs w:val="16"/>
        </w:rPr>
      </w:pPr>
    </w:p>
    <w:p w14:paraId="16589B4C" w14:textId="604A79CA" w:rsidR="003764BE" w:rsidRDefault="003764BE" w:rsidP="004313B2">
      <w:pPr>
        <w:autoSpaceDE w:val="0"/>
        <w:autoSpaceDN w:val="0"/>
        <w:adjustRightInd w:val="0"/>
        <w:spacing w:after="0" w:line="240" w:lineRule="auto"/>
        <w:rPr>
          <w:rFonts w:eastAsia="ArialNarrow" w:cstheme="minorHAnsi"/>
          <w:i/>
          <w:color w:val="ABABAB" w:themeColor="text1" w:themeTint="A6"/>
          <w:sz w:val="16"/>
          <w:szCs w:val="16"/>
        </w:rPr>
      </w:pPr>
    </w:p>
    <w:p w14:paraId="242F29A7" w14:textId="405DBB64" w:rsidR="003764BE" w:rsidRDefault="003764BE" w:rsidP="004313B2">
      <w:pPr>
        <w:autoSpaceDE w:val="0"/>
        <w:autoSpaceDN w:val="0"/>
        <w:adjustRightInd w:val="0"/>
        <w:spacing w:after="0" w:line="240" w:lineRule="auto"/>
        <w:rPr>
          <w:rFonts w:eastAsia="ArialNarrow" w:cstheme="minorHAnsi"/>
          <w:i/>
          <w:color w:val="ABABAB" w:themeColor="text1" w:themeTint="A6"/>
          <w:sz w:val="16"/>
          <w:szCs w:val="16"/>
        </w:rPr>
      </w:pPr>
    </w:p>
    <w:p w14:paraId="66EACF5B" w14:textId="5921C2B4" w:rsidR="003764BE" w:rsidRDefault="003764BE" w:rsidP="004313B2">
      <w:pPr>
        <w:autoSpaceDE w:val="0"/>
        <w:autoSpaceDN w:val="0"/>
        <w:adjustRightInd w:val="0"/>
        <w:spacing w:after="0" w:line="240" w:lineRule="auto"/>
        <w:rPr>
          <w:rFonts w:eastAsia="ArialNarrow" w:cstheme="minorHAnsi"/>
          <w:i/>
          <w:color w:val="ABABAB" w:themeColor="text1" w:themeTint="A6"/>
          <w:sz w:val="16"/>
          <w:szCs w:val="16"/>
        </w:rPr>
      </w:pPr>
    </w:p>
    <w:p w14:paraId="7F375BC3" w14:textId="09C84905" w:rsidR="003764BE" w:rsidRDefault="003764BE" w:rsidP="004313B2">
      <w:pPr>
        <w:autoSpaceDE w:val="0"/>
        <w:autoSpaceDN w:val="0"/>
        <w:adjustRightInd w:val="0"/>
        <w:spacing w:after="0" w:line="240" w:lineRule="auto"/>
        <w:rPr>
          <w:rFonts w:eastAsia="ArialNarrow" w:cstheme="minorHAnsi"/>
          <w:i/>
          <w:color w:val="ABABAB" w:themeColor="text1" w:themeTint="A6"/>
          <w:sz w:val="16"/>
          <w:szCs w:val="16"/>
        </w:rPr>
      </w:pPr>
    </w:p>
    <w:p w14:paraId="63A5FDFC" w14:textId="43492BC7" w:rsidR="003764BE" w:rsidRDefault="003764BE" w:rsidP="004313B2">
      <w:pPr>
        <w:autoSpaceDE w:val="0"/>
        <w:autoSpaceDN w:val="0"/>
        <w:adjustRightInd w:val="0"/>
        <w:spacing w:after="0" w:line="240" w:lineRule="auto"/>
        <w:rPr>
          <w:rFonts w:eastAsia="ArialNarrow" w:cstheme="minorHAnsi"/>
          <w:i/>
          <w:color w:val="ABABAB" w:themeColor="text1" w:themeTint="A6"/>
          <w:sz w:val="16"/>
          <w:szCs w:val="16"/>
        </w:rPr>
      </w:pPr>
    </w:p>
    <w:p w14:paraId="69214789" w14:textId="3CC22F3B" w:rsidR="00037256" w:rsidRDefault="00037256" w:rsidP="004313B2">
      <w:pPr>
        <w:autoSpaceDE w:val="0"/>
        <w:autoSpaceDN w:val="0"/>
        <w:adjustRightInd w:val="0"/>
        <w:spacing w:after="0" w:line="240" w:lineRule="auto"/>
        <w:rPr>
          <w:rFonts w:eastAsia="ArialNarrow" w:cstheme="minorHAnsi"/>
          <w:i/>
          <w:color w:val="ABABAB" w:themeColor="text1" w:themeTint="A6"/>
          <w:sz w:val="16"/>
          <w:szCs w:val="16"/>
        </w:rPr>
      </w:pPr>
    </w:p>
    <w:p w14:paraId="009AC9D2" w14:textId="4D3D3988" w:rsidR="00037256" w:rsidRDefault="00037256" w:rsidP="004313B2">
      <w:pPr>
        <w:autoSpaceDE w:val="0"/>
        <w:autoSpaceDN w:val="0"/>
        <w:adjustRightInd w:val="0"/>
        <w:spacing w:after="0" w:line="240" w:lineRule="auto"/>
        <w:rPr>
          <w:rFonts w:eastAsia="ArialNarrow" w:cstheme="minorHAnsi"/>
          <w:i/>
          <w:color w:val="ABABAB" w:themeColor="text1" w:themeTint="A6"/>
          <w:sz w:val="16"/>
          <w:szCs w:val="16"/>
        </w:rPr>
      </w:pPr>
    </w:p>
    <w:p w14:paraId="40D4F1BF" w14:textId="444AFB70" w:rsidR="00037256" w:rsidRDefault="00037256" w:rsidP="004313B2">
      <w:pPr>
        <w:autoSpaceDE w:val="0"/>
        <w:autoSpaceDN w:val="0"/>
        <w:adjustRightInd w:val="0"/>
        <w:spacing w:after="0" w:line="240" w:lineRule="auto"/>
        <w:rPr>
          <w:rFonts w:eastAsia="ArialNarrow" w:cstheme="minorHAnsi"/>
          <w:i/>
          <w:color w:val="ABABAB" w:themeColor="text1" w:themeTint="A6"/>
          <w:sz w:val="16"/>
          <w:szCs w:val="16"/>
        </w:rPr>
      </w:pPr>
    </w:p>
    <w:p w14:paraId="0B9CC35E" w14:textId="77777777" w:rsidR="00037256" w:rsidRDefault="00037256" w:rsidP="004313B2">
      <w:pPr>
        <w:autoSpaceDE w:val="0"/>
        <w:autoSpaceDN w:val="0"/>
        <w:adjustRightInd w:val="0"/>
        <w:spacing w:after="0" w:line="240" w:lineRule="auto"/>
        <w:rPr>
          <w:rFonts w:eastAsia="ArialNarrow" w:cstheme="minorHAnsi"/>
          <w:i/>
          <w:color w:val="ABABAB" w:themeColor="text1" w:themeTint="A6"/>
          <w:sz w:val="16"/>
          <w:szCs w:val="16"/>
        </w:rPr>
      </w:pPr>
    </w:p>
    <w:p w14:paraId="7ABD20DE" w14:textId="065CB96F" w:rsidR="003E6C76" w:rsidRDefault="003E6C76" w:rsidP="003E6C76">
      <w:pPr>
        <w:rPr>
          <w:rFonts w:eastAsia="ArialNarrow"/>
        </w:rPr>
      </w:pPr>
      <w:r>
        <w:rPr>
          <w:rFonts w:eastAsia="ArialNarrow"/>
        </w:rPr>
        <w:lastRenderedPageBreak/>
        <w:t>Mreža razvrstanih javnih cesta Krapinsko-zagorske županije prikazana je na slici u nastavku.</w:t>
      </w:r>
    </w:p>
    <w:p w14:paraId="2E428F26" w14:textId="77777777" w:rsidR="00A96020" w:rsidRDefault="00A96020" w:rsidP="003E6C76">
      <w:pPr>
        <w:rPr>
          <w:rFonts w:eastAsia="ArialNarrow"/>
          <w:color w:val="auto"/>
        </w:rPr>
      </w:pPr>
    </w:p>
    <w:p w14:paraId="3632A7F7" w14:textId="10898269" w:rsidR="003E6C76" w:rsidRDefault="003E6C76" w:rsidP="003E6C76">
      <w:pPr>
        <w:pStyle w:val="Opisslike"/>
        <w:rPr>
          <w:rFonts w:asciiTheme="minorHAnsi" w:eastAsiaTheme="minorHAnsi" w:hAnsiTheme="minorHAnsi"/>
        </w:rPr>
      </w:pPr>
      <w:bookmarkStart w:id="39" w:name="_Hlk76989308"/>
      <w:r>
        <w:t xml:space="preserve">Prikaz </w:t>
      </w:r>
      <w:r w:rsidR="00A96020">
        <w:rPr>
          <w:noProof/>
        </w:rPr>
        <w:t>8</w:t>
      </w:r>
      <w:r>
        <w:rPr>
          <w:noProof/>
        </w:rPr>
        <w:t>.</w:t>
      </w:r>
      <w:r>
        <w:t xml:space="preserve"> Mreža razvrstanih javnih cesta Krapinsko-zagorske županije</w:t>
      </w:r>
      <w:bookmarkEnd w:id="39"/>
    </w:p>
    <w:p w14:paraId="50626D5F" w14:textId="43E2D9F8" w:rsidR="003E6C76" w:rsidRDefault="003E6C76" w:rsidP="00A54D4F">
      <w:pPr>
        <w:jc w:val="left"/>
        <w:rPr>
          <w:rFonts w:ascii="Calibri" w:eastAsia="ArialNarrow,Bold" w:hAnsi="Calibri" w:cs="Calibri"/>
          <w:b/>
          <w:bCs/>
          <w:sz w:val="20"/>
        </w:rPr>
      </w:pPr>
      <w:r>
        <w:rPr>
          <w:noProof/>
        </w:rPr>
        <w:drawing>
          <wp:inline distT="0" distB="0" distL="0" distR="0" wp14:anchorId="4CB89F07" wp14:editId="0DD1E157">
            <wp:extent cx="5913120" cy="471440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9">
                      <a:extLst>
                        <a:ext uri="{28A0092B-C50C-407E-A947-70E740481C1C}">
                          <a14:useLocalDpi xmlns:a14="http://schemas.microsoft.com/office/drawing/2010/main" val="0"/>
                        </a:ext>
                      </a:extLst>
                    </a:blip>
                    <a:stretch>
                      <a:fillRect/>
                    </a:stretch>
                  </pic:blipFill>
                  <pic:spPr>
                    <a:xfrm>
                      <a:off x="0" y="0"/>
                      <a:ext cx="5956473" cy="4748970"/>
                    </a:xfrm>
                    <a:prstGeom prst="rect">
                      <a:avLst/>
                    </a:prstGeom>
                  </pic:spPr>
                </pic:pic>
              </a:graphicData>
            </a:graphic>
          </wp:inline>
        </w:drawing>
      </w:r>
    </w:p>
    <w:p w14:paraId="6B0AA9A7" w14:textId="18DD5105" w:rsidR="003E6C76" w:rsidRDefault="003E6C76" w:rsidP="00F37174">
      <w:pPr>
        <w:autoSpaceDE w:val="0"/>
        <w:autoSpaceDN w:val="0"/>
        <w:adjustRightInd w:val="0"/>
        <w:spacing w:after="0" w:line="240" w:lineRule="auto"/>
        <w:rPr>
          <w:rFonts w:eastAsia="ArialNarrow" w:cstheme="minorHAnsi"/>
          <w:i/>
          <w:color w:val="ABABAB" w:themeColor="text1" w:themeTint="A6"/>
          <w:sz w:val="16"/>
          <w:szCs w:val="16"/>
        </w:rPr>
      </w:pPr>
      <w:r w:rsidRPr="00F37174">
        <w:rPr>
          <w:rFonts w:eastAsia="ArialNarrow" w:cstheme="minorHAnsi"/>
          <w:i/>
          <w:color w:val="ABABAB" w:themeColor="text1" w:themeTint="A6"/>
          <w:sz w:val="16"/>
          <w:szCs w:val="16"/>
        </w:rPr>
        <w:t>Izvor: Zavod za prostorno uređenje Krapinsko-zagorske županije, 2019.</w:t>
      </w:r>
    </w:p>
    <w:p w14:paraId="7D79EAB4" w14:textId="77777777" w:rsidR="00163B9B" w:rsidRPr="00F37174" w:rsidRDefault="00163B9B" w:rsidP="00F37174">
      <w:pPr>
        <w:autoSpaceDE w:val="0"/>
        <w:autoSpaceDN w:val="0"/>
        <w:adjustRightInd w:val="0"/>
        <w:spacing w:after="0" w:line="240" w:lineRule="auto"/>
        <w:rPr>
          <w:rFonts w:eastAsia="ArialNarrow" w:cstheme="minorHAnsi"/>
          <w:i/>
          <w:color w:val="ABABAB" w:themeColor="text1" w:themeTint="A6"/>
          <w:sz w:val="16"/>
          <w:szCs w:val="16"/>
        </w:rPr>
      </w:pPr>
    </w:p>
    <w:p w14:paraId="1DEC3D00" w14:textId="24D16F9C" w:rsidR="003E6C76" w:rsidRPr="00F35CEA" w:rsidRDefault="003E6C76" w:rsidP="003E6C76">
      <w:pPr>
        <w:rPr>
          <w:rFonts w:eastAsia="ArialNarrow"/>
        </w:rPr>
      </w:pPr>
      <w:r>
        <w:rPr>
          <w:rFonts w:eastAsia="ArialNarrow"/>
        </w:rPr>
        <w:t>Najznačajniji i najprometniji cestovni pravac koji prolazi županijom u smjeru sjever-jug je autocesta A2 Zagreb-Macelj, koja je dio europskog prometnog koridora Xa, odnosno, unutar mreže europskih cesta autocesta nosi oznaku E 59, te je dio Pyhrnske autoceste (Nürnberg – Graz – Maribor – Zagreb).</w:t>
      </w:r>
      <w:r w:rsidR="00163B9B" w:rsidRPr="00163B9B">
        <w:rPr>
          <w:rFonts w:ascii="Calibri" w:eastAsia="ArialNarrow" w:hAnsi="Calibri" w:cs="Calibri"/>
        </w:rPr>
        <w:t xml:space="preserve"> </w:t>
      </w:r>
      <w:r w:rsidR="00163B9B" w:rsidRPr="00163B9B">
        <w:rPr>
          <w:rFonts w:eastAsia="ArialNarrow"/>
        </w:rPr>
        <w:t>Autocesta A2 prolazi prostornim obuhvatom ukupno pet jedinica lokalne samouprave odnosno prostorom gradova Krapin</w:t>
      </w:r>
      <w:r w:rsidR="00163B9B">
        <w:rPr>
          <w:rFonts w:eastAsia="ArialNarrow"/>
        </w:rPr>
        <w:t>e</w:t>
      </w:r>
      <w:r w:rsidR="00163B9B" w:rsidRPr="00163B9B">
        <w:rPr>
          <w:rFonts w:eastAsia="ArialNarrow"/>
        </w:rPr>
        <w:t>, Zabok</w:t>
      </w:r>
      <w:r w:rsidR="00163B9B">
        <w:rPr>
          <w:rFonts w:eastAsia="ArialNarrow"/>
        </w:rPr>
        <w:t>a</w:t>
      </w:r>
      <w:r w:rsidR="00163B9B" w:rsidRPr="00163B9B">
        <w:rPr>
          <w:rFonts w:eastAsia="ArialNarrow"/>
        </w:rPr>
        <w:t xml:space="preserve"> i Oroslavj</w:t>
      </w:r>
      <w:r w:rsidR="00163B9B">
        <w:rPr>
          <w:rFonts w:eastAsia="ArialNarrow"/>
        </w:rPr>
        <w:t>a</w:t>
      </w:r>
      <w:r w:rsidR="00163B9B" w:rsidRPr="00163B9B">
        <w:rPr>
          <w:rFonts w:eastAsia="ArialNarrow"/>
        </w:rPr>
        <w:t xml:space="preserve"> te općina</w:t>
      </w:r>
      <w:r w:rsidR="00163B9B">
        <w:rPr>
          <w:rFonts w:eastAsia="ArialNarrow"/>
        </w:rPr>
        <w:t>ma</w:t>
      </w:r>
      <w:r w:rsidR="00163B9B" w:rsidRPr="00163B9B">
        <w:rPr>
          <w:rFonts w:eastAsia="ArialNarrow"/>
        </w:rPr>
        <w:t xml:space="preserve"> Đurmanec i Sveti Križ Začretje</w:t>
      </w:r>
      <w:r w:rsidR="00163B9B">
        <w:rPr>
          <w:rFonts w:eastAsia="ArialNarrow"/>
        </w:rPr>
        <w:t xml:space="preserve">. </w:t>
      </w:r>
      <w:r>
        <w:rPr>
          <w:rFonts w:eastAsia="ArialNarrow"/>
        </w:rPr>
        <w:t>Dionica autoceste zavr</w:t>
      </w:r>
      <w:r>
        <w:rPr>
          <w:rFonts w:eastAsia="ArialNarrow" w:cs="Newslab"/>
        </w:rPr>
        <w:t>š</w:t>
      </w:r>
      <w:r>
        <w:rPr>
          <w:rFonts w:eastAsia="ArialNarrow"/>
        </w:rPr>
        <w:t xml:space="preserve">ava u Maclju na </w:t>
      </w:r>
      <w:r>
        <w:t xml:space="preserve">stalnom međunarodnom graničnom cestovnom prijelazu I. kategorije </w:t>
      </w:r>
      <w:r>
        <w:rPr>
          <w:rFonts w:eastAsia="ArialNarrow"/>
        </w:rPr>
        <w:t>prema Republici Sloveniji. Značaj ove dionice ogleda se u činjenici da je riječ o jednoj od povoljnijih cestovnih veza zemalja srednje i sjeverne Europe s jugom i jugoistokom Europe te Jadranskim morem. Državni koridori koji se nadovezuju na taj osnovni pravac su cestovne poveznice s Varaždinskom i Zagrebačkom županijom te Gradom Zagrebom i Republikom Slovenijom. Od tih koridora valja spomenuti dio „zagrebačkog prstena“ na trasi Mokrice (Zabok - Oroslavje) – Zlatar Bistrica (spoj na Breznički Hum) – Marija Bistrica – Laz – Popovec – Zagreb te koridor od Krapine prema Đurmancu – Jesenje – Lepoglava – Ivanec – sa spojem na autocestu Zagreb – Varaždin – Mađarska.</w:t>
      </w:r>
    </w:p>
    <w:p w14:paraId="0AECE8B1" w14:textId="3E61A128" w:rsidR="003E6C76" w:rsidRDefault="003E6C76" w:rsidP="003E6C76">
      <w:pPr>
        <w:rPr>
          <w:rFonts w:eastAsia="ArialNarrow"/>
        </w:rPr>
      </w:pPr>
      <w:r>
        <w:rPr>
          <w:rFonts w:eastAsia="ArialNarrow,Bold"/>
        </w:rPr>
        <w:t>Cestovne</w:t>
      </w:r>
      <w:r>
        <w:rPr>
          <w:rFonts w:eastAsia="ArialNarrow,Bold"/>
          <w:b/>
          <w:bCs/>
        </w:rPr>
        <w:t xml:space="preserve"> </w:t>
      </w:r>
      <w:r>
        <w:rPr>
          <w:rFonts w:eastAsia="ArialNarrow"/>
        </w:rPr>
        <w:t>udaljenosti sjedišta županije, Grada Krapine, do odabranih europskih gradova u kilometrima i satima vožnje prikazane su u tablici u nastavku teksta.</w:t>
      </w:r>
    </w:p>
    <w:p w14:paraId="4270633B" w14:textId="77777777" w:rsidR="00E8538E" w:rsidRDefault="00E8538E" w:rsidP="003E6C76">
      <w:pPr>
        <w:rPr>
          <w:rFonts w:eastAsia="ArialNarrow"/>
        </w:rPr>
      </w:pPr>
    </w:p>
    <w:p w14:paraId="606F26D7" w14:textId="5CAD4A87" w:rsidR="003E6C76" w:rsidRDefault="003E6C76" w:rsidP="003E6C76">
      <w:pPr>
        <w:pStyle w:val="Opisslike"/>
      </w:pPr>
      <w:r>
        <w:t>Tablica</w:t>
      </w:r>
      <w:r w:rsidR="00AD2B3E">
        <w:t xml:space="preserve"> 8</w:t>
      </w:r>
      <w:r>
        <w:t xml:space="preserve">. </w:t>
      </w:r>
      <w:r w:rsidRPr="00216124">
        <w:t>Cestovne udaljenosti sjedišta županije do odabranih europskih gradova u kilometrima i satima vožnje</w:t>
      </w:r>
    </w:p>
    <w:tbl>
      <w:tblPr>
        <w:tblW w:w="9355" w:type="dxa"/>
        <w:jc w:val="center"/>
        <w:tblLook w:val="04A0" w:firstRow="1" w:lastRow="0" w:firstColumn="1" w:lastColumn="0" w:noHBand="0" w:noVBand="1"/>
      </w:tblPr>
      <w:tblGrid>
        <w:gridCol w:w="3118"/>
        <w:gridCol w:w="3118"/>
        <w:gridCol w:w="3119"/>
      </w:tblGrid>
      <w:tr w:rsidR="003E6C76" w:rsidRPr="00B16CA7" w14:paraId="4D128572" w14:textId="77777777" w:rsidTr="003E6C76">
        <w:trPr>
          <w:trHeight w:val="268"/>
          <w:jc w:val="center"/>
        </w:trPr>
        <w:tc>
          <w:tcPr>
            <w:tcW w:w="9355" w:type="dxa"/>
            <w:gridSpan w:val="3"/>
            <w:tcBorders>
              <w:left w:val="single" w:sz="8" w:space="0" w:color="D2232A"/>
              <w:bottom w:val="single" w:sz="8" w:space="0" w:color="F3CFC1"/>
              <w:right w:val="single" w:sz="8" w:space="0" w:color="D2232A"/>
            </w:tcBorders>
            <w:shd w:val="clear" w:color="auto" w:fill="D2232A" w:themeFill="accent1"/>
            <w:hideMark/>
          </w:tcPr>
          <w:p w14:paraId="2331EB09" w14:textId="77777777" w:rsidR="003E6C76" w:rsidRPr="00B16CA7" w:rsidRDefault="003E6C76" w:rsidP="003E6C76">
            <w:pPr>
              <w:autoSpaceDE w:val="0"/>
              <w:autoSpaceDN w:val="0"/>
              <w:adjustRightInd w:val="0"/>
              <w:spacing w:after="0"/>
              <w:jc w:val="center"/>
              <w:rPr>
                <w:rFonts w:eastAsia="ArialNarrow,Bold" w:cs="Calibri"/>
                <w:sz w:val="20"/>
              </w:rPr>
            </w:pPr>
            <w:r w:rsidRPr="00B16CA7">
              <w:rPr>
                <w:rFonts w:eastAsia="ArialNarrow,Bold" w:cs="Calibri"/>
                <w:b/>
                <w:bCs/>
                <w:color w:val="FFFFFF" w:themeColor="background1"/>
                <w:sz w:val="20"/>
              </w:rPr>
              <w:t>Cestovna udaljenost i vrijeme putovanja do većih europskih gradova</w:t>
            </w:r>
          </w:p>
        </w:tc>
      </w:tr>
      <w:tr w:rsidR="003E6C76" w:rsidRPr="00B16CA7" w14:paraId="1698AE33"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shd w:val="clear" w:color="auto" w:fill="D2232A" w:themeFill="accent1"/>
          </w:tcPr>
          <w:p w14:paraId="5A9643B3" w14:textId="77777777" w:rsidR="003E6C76" w:rsidRPr="00B16CA7" w:rsidRDefault="003E6C76" w:rsidP="003E6C76">
            <w:pPr>
              <w:autoSpaceDE w:val="0"/>
              <w:autoSpaceDN w:val="0"/>
              <w:adjustRightInd w:val="0"/>
              <w:spacing w:after="0"/>
              <w:rPr>
                <w:rFonts w:eastAsia="ArialNarrow,Bold" w:cs="Calibri"/>
                <w:b/>
                <w:bCs/>
                <w:color w:val="FFFFFF" w:themeColor="background1"/>
                <w:sz w:val="20"/>
              </w:rPr>
            </w:pPr>
          </w:p>
        </w:tc>
        <w:tc>
          <w:tcPr>
            <w:tcW w:w="3118" w:type="dxa"/>
            <w:tcBorders>
              <w:top w:val="single" w:sz="8" w:space="0" w:color="F3CFC1"/>
              <w:left w:val="single" w:sz="8" w:space="0" w:color="D2232A"/>
              <w:bottom w:val="single" w:sz="8" w:space="0" w:color="F3CFC1"/>
              <w:right w:val="single" w:sz="8" w:space="0" w:color="D2232A"/>
            </w:tcBorders>
            <w:shd w:val="clear" w:color="auto" w:fill="D2232A" w:themeFill="accent1"/>
            <w:hideMark/>
          </w:tcPr>
          <w:p w14:paraId="51B00956" w14:textId="77777777" w:rsidR="003E6C76" w:rsidRPr="00B16CA7" w:rsidRDefault="003E6C76" w:rsidP="003E6C76">
            <w:pPr>
              <w:autoSpaceDE w:val="0"/>
              <w:autoSpaceDN w:val="0"/>
              <w:adjustRightInd w:val="0"/>
              <w:spacing w:after="0"/>
              <w:jc w:val="right"/>
              <w:rPr>
                <w:rFonts w:eastAsia="ArialNarrow,Bold" w:cs="Calibri"/>
                <w:b/>
                <w:bCs/>
                <w:color w:val="FFFFFF" w:themeColor="background1"/>
                <w:sz w:val="20"/>
              </w:rPr>
            </w:pPr>
            <w:r w:rsidRPr="00B16CA7">
              <w:rPr>
                <w:rFonts w:eastAsia="ArialNarrow,Bold" w:cs="Calibri"/>
                <w:b/>
                <w:bCs/>
                <w:color w:val="FFFFFF" w:themeColor="background1"/>
                <w:sz w:val="20"/>
              </w:rPr>
              <w:t xml:space="preserve">Udaljenost u km </w:t>
            </w:r>
          </w:p>
        </w:tc>
        <w:tc>
          <w:tcPr>
            <w:tcW w:w="3119" w:type="dxa"/>
            <w:tcBorders>
              <w:top w:val="single" w:sz="8" w:space="0" w:color="F3CFC1"/>
              <w:left w:val="single" w:sz="8" w:space="0" w:color="D2232A"/>
              <w:bottom w:val="single" w:sz="8" w:space="0" w:color="F3CFC1"/>
              <w:right w:val="single" w:sz="8" w:space="0" w:color="D2232A"/>
            </w:tcBorders>
            <w:shd w:val="clear" w:color="auto" w:fill="D2232A" w:themeFill="accent1"/>
            <w:hideMark/>
          </w:tcPr>
          <w:p w14:paraId="696303E1" w14:textId="77777777" w:rsidR="003E6C76" w:rsidRPr="00B16CA7" w:rsidRDefault="003E6C76" w:rsidP="003E6C76">
            <w:pPr>
              <w:autoSpaceDE w:val="0"/>
              <w:autoSpaceDN w:val="0"/>
              <w:adjustRightInd w:val="0"/>
              <w:spacing w:after="0"/>
              <w:jc w:val="right"/>
              <w:rPr>
                <w:rFonts w:eastAsia="ArialNarrow,Bold" w:cs="Calibri"/>
                <w:b/>
                <w:bCs/>
                <w:color w:val="FFFFFF" w:themeColor="background1"/>
                <w:sz w:val="20"/>
              </w:rPr>
            </w:pPr>
            <w:r w:rsidRPr="00B16CA7">
              <w:rPr>
                <w:rFonts w:eastAsia="ArialNarrow,Bold" w:cs="Calibri"/>
                <w:b/>
                <w:bCs/>
                <w:color w:val="FFFFFF" w:themeColor="background1"/>
                <w:sz w:val="20"/>
              </w:rPr>
              <w:t xml:space="preserve">Vrijeme putovanja </w:t>
            </w:r>
          </w:p>
        </w:tc>
      </w:tr>
      <w:tr w:rsidR="003E6C76" w:rsidRPr="00B16CA7" w14:paraId="2C689434"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7A5F9DBC"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lastRenderedPageBreak/>
              <w:t>Zagreb, Hrvatska</w:t>
            </w:r>
          </w:p>
        </w:tc>
        <w:tc>
          <w:tcPr>
            <w:tcW w:w="3118" w:type="dxa"/>
            <w:tcBorders>
              <w:top w:val="single" w:sz="8" w:space="0" w:color="F3CFC1"/>
              <w:left w:val="single" w:sz="8" w:space="0" w:color="D2232A"/>
              <w:bottom w:val="single" w:sz="8" w:space="0" w:color="F3CFC1"/>
              <w:right w:val="single" w:sz="8" w:space="0" w:color="D2232A"/>
            </w:tcBorders>
            <w:hideMark/>
          </w:tcPr>
          <w:p w14:paraId="413332E0"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62,3</w:t>
            </w:r>
          </w:p>
        </w:tc>
        <w:tc>
          <w:tcPr>
            <w:tcW w:w="3119" w:type="dxa"/>
            <w:tcBorders>
              <w:top w:val="single" w:sz="8" w:space="0" w:color="F3CFC1"/>
              <w:left w:val="single" w:sz="8" w:space="0" w:color="D2232A"/>
              <w:bottom w:val="single" w:sz="8" w:space="0" w:color="F3CFC1"/>
              <w:right w:val="single" w:sz="8" w:space="0" w:color="D2232A"/>
            </w:tcBorders>
            <w:hideMark/>
          </w:tcPr>
          <w:p w14:paraId="6433A5B2"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0:55</w:t>
            </w:r>
          </w:p>
        </w:tc>
      </w:tr>
      <w:tr w:rsidR="003E6C76" w:rsidRPr="00B16CA7" w14:paraId="1CF4FC6B"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430A5001"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Rijeka, Hrvatska</w:t>
            </w:r>
          </w:p>
        </w:tc>
        <w:tc>
          <w:tcPr>
            <w:tcW w:w="3118" w:type="dxa"/>
            <w:tcBorders>
              <w:top w:val="single" w:sz="8" w:space="0" w:color="F3CFC1"/>
              <w:left w:val="single" w:sz="8" w:space="0" w:color="D2232A"/>
              <w:bottom w:val="single" w:sz="8" w:space="0" w:color="F3CFC1"/>
              <w:right w:val="single" w:sz="8" w:space="0" w:color="D2232A"/>
            </w:tcBorders>
            <w:hideMark/>
          </w:tcPr>
          <w:p w14:paraId="7DAC0A48"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203</w:t>
            </w:r>
          </w:p>
        </w:tc>
        <w:tc>
          <w:tcPr>
            <w:tcW w:w="3119" w:type="dxa"/>
            <w:tcBorders>
              <w:top w:val="single" w:sz="8" w:space="0" w:color="F3CFC1"/>
              <w:left w:val="single" w:sz="8" w:space="0" w:color="D2232A"/>
              <w:bottom w:val="single" w:sz="8" w:space="0" w:color="F3CFC1"/>
              <w:right w:val="single" w:sz="8" w:space="0" w:color="D2232A"/>
            </w:tcBorders>
            <w:hideMark/>
          </w:tcPr>
          <w:p w14:paraId="4C1356C7"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2:09</w:t>
            </w:r>
          </w:p>
        </w:tc>
      </w:tr>
      <w:tr w:rsidR="003E6C76" w:rsidRPr="00B16CA7" w14:paraId="250B485D"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7D844C77"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Osijek, Hrvatska</w:t>
            </w:r>
          </w:p>
        </w:tc>
        <w:tc>
          <w:tcPr>
            <w:tcW w:w="3118" w:type="dxa"/>
            <w:tcBorders>
              <w:top w:val="single" w:sz="8" w:space="0" w:color="F3CFC1"/>
              <w:left w:val="single" w:sz="8" w:space="0" w:color="D2232A"/>
              <w:bottom w:val="single" w:sz="8" w:space="0" w:color="F3CFC1"/>
              <w:right w:val="single" w:sz="8" w:space="0" w:color="D2232A"/>
            </w:tcBorders>
            <w:hideMark/>
          </w:tcPr>
          <w:p w14:paraId="577668E4"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338</w:t>
            </w:r>
          </w:p>
        </w:tc>
        <w:tc>
          <w:tcPr>
            <w:tcW w:w="3119" w:type="dxa"/>
            <w:tcBorders>
              <w:top w:val="single" w:sz="8" w:space="0" w:color="F3CFC1"/>
              <w:left w:val="single" w:sz="8" w:space="0" w:color="D2232A"/>
              <w:bottom w:val="single" w:sz="8" w:space="0" w:color="F3CFC1"/>
              <w:right w:val="single" w:sz="8" w:space="0" w:color="D2232A"/>
            </w:tcBorders>
            <w:hideMark/>
          </w:tcPr>
          <w:p w14:paraId="74A2CFD0"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3:19</w:t>
            </w:r>
          </w:p>
        </w:tc>
      </w:tr>
      <w:tr w:rsidR="003E6C76" w:rsidRPr="00B16CA7" w14:paraId="4E61FD62"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3CE3DD8B"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Split, Hrvatska</w:t>
            </w:r>
          </w:p>
        </w:tc>
        <w:tc>
          <w:tcPr>
            <w:tcW w:w="3118" w:type="dxa"/>
            <w:tcBorders>
              <w:top w:val="single" w:sz="8" w:space="0" w:color="F3CFC1"/>
              <w:left w:val="single" w:sz="8" w:space="0" w:color="D2232A"/>
              <w:bottom w:val="single" w:sz="8" w:space="0" w:color="F3CFC1"/>
              <w:right w:val="single" w:sz="8" w:space="0" w:color="D2232A"/>
            </w:tcBorders>
            <w:hideMark/>
          </w:tcPr>
          <w:p w14:paraId="0CB6FB76"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451</w:t>
            </w:r>
          </w:p>
        </w:tc>
        <w:tc>
          <w:tcPr>
            <w:tcW w:w="3119" w:type="dxa"/>
            <w:tcBorders>
              <w:top w:val="single" w:sz="8" w:space="0" w:color="F3CFC1"/>
              <w:left w:val="single" w:sz="8" w:space="0" w:color="D2232A"/>
              <w:bottom w:val="single" w:sz="8" w:space="0" w:color="F3CFC1"/>
              <w:right w:val="single" w:sz="8" w:space="0" w:color="D2232A"/>
            </w:tcBorders>
            <w:hideMark/>
          </w:tcPr>
          <w:p w14:paraId="62D988CD"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4:31</w:t>
            </w:r>
          </w:p>
        </w:tc>
      </w:tr>
      <w:tr w:rsidR="003E6C76" w:rsidRPr="00B16CA7" w14:paraId="0BCA5825"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20427B6F"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Dubrovnik, Hrvatska</w:t>
            </w:r>
          </w:p>
        </w:tc>
        <w:tc>
          <w:tcPr>
            <w:tcW w:w="3118" w:type="dxa"/>
            <w:tcBorders>
              <w:top w:val="single" w:sz="8" w:space="0" w:color="F3CFC1"/>
              <w:left w:val="single" w:sz="8" w:space="0" w:color="D2232A"/>
              <w:bottom w:val="single" w:sz="8" w:space="0" w:color="F3CFC1"/>
              <w:right w:val="single" w:sz="8" w:space="0" w:color="D2232A"/>
            </w:tcBorders>
            <w:hideMark/>
          </w:tcPr>
          <w:p w14:paraId="31861B34"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643</w:t>
            </w:r>
          </w:p>
        </w:tc>
        <w:tc>
          <w:tcPr>
            <w:tcW w:w="3119" w:type="dxa"/>
            <w:tcBorders>
              <w:top w:val="single" w:sz="8" w:space="0" w:color="F3CFC1"/>
              <w:left w:val="single" w:sz="8" w:space="0" w:color="D2232A"/>
              <w:bottom w:val="single" w:sz="8" w:space="0" w:color="F3CFC1"/>
              <w:right w:val="single" w:sz="8" w:space="0" w:color="D2232A"/>
            </w:tcBorders>
            <w:hideMark/>
          </w:tcPr>
          <w:p w14:paraId="00CE777B"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7:06</w:t>
            </w:r>
          </w:p>
        </w:tc>
      </w:tr>
      <w:tr w:rsidR="003E6C76" w:rsidRPr="00B16CA7" w14:paraId="20C76CAD"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6CA4283B"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München, Njemačka</w:t>
            </w:r>
          </w:p>
        </w:tc>
        <w:tc>
          <w:tcPr>
            <w:tcW w:w="3118" w:type="dxa"/>
            <w:tcBorders>
              <w:top w:val="single" w:sz="8" w:space="0" w:color="F3CFC1"/>
              <w:left w:val="single" w:sz="8" w:space="0" w:color="D2232A"/>
              <w:bottom w:val="single" w:sz="8" w:space="0" w:color="F3CFC1"/>
              <w:right w:val="single" w:sz="8" w:space="0" w:color="D2232A"/>
            </w:tcBorders>
            <w:hideMark/>
          </w:tcPr>
          <w:p w14:paraId="70A84BE4"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539</w:t>
            </w:r>
          </w:p>
        </w:tc>
        <w:tc>
          <w:tcPr>
            <w:tcW w:w="3119" w:type="dxa"/>
            <w:tcBorders>
              <w:top w:val="single" w:sz="8" w:space="0" w:color="F3CFC1"/>
              <w:left w:val="single" w:sz="8" w:space="0" w:color="D2232A"/>
              <w:bottom w:val="single" w:sz="8" w:space="0" w:color="F3CFC1"/>
              <w:right w:val="single" w:sz="8" w:space="0" w:color="D2232A"/>
            </w:tcBorders>
            <w:hideMark/>
          </w:tcPr>
          <w:p w14:paraId="03745401"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5:45</w:t>
            </w:r>
          </w:p>
        </w:tc>
      </w:tr>
      <w:tr w:rsidR="003E6C76" w:rsidRPr="00B16CA7" w14:paraId="089FFF4A"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1DA0F92C"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Venecija, Italija</w:t>
            </w:r>
          </w:p>
        </w:tc>
        <w:tc>
          <w:tcPr>
            <w:tcW w:w="3118" w:type="dxa"/>
            <w:tcBorders>
              <w:top w:val="single" w:sz="8" w:space="0" w:color="F3CFC1"/>
              <w:left w:val="single" w:sz="8" w:space="0" w:color="D2232A"/>
              <w:bottom w:val="single" w:sz="8" w:space="0" w:color="F3CFC1"/>
              <w:right w:val="single" w:sz="8" w:space="0" w:color="D2232A"/>
            </w:tcBorders>
            <w:hideMark/>
          </w:tcPr>
          <w:p w14:paraId="4383DC09"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381</w:t>
            </w:r>
          </w:p>
        </w:tc>
        <w:tc>
          <w:tcPr>
            <w:tcW w:w="3119" w:type="dxa"/>
            <w:tcBorders>
              <w:top w:val="single" w:sz="8" w:space="0" w:color="F3CFC1"/>
              <w:left w:val="single" w:sz="8" w:space="0" w:color="D2232A"/>
              <w:bottom w:val="single" w:sz="8" w:space="0" w:color="F3CFC1"/>
              <w:right w:val="single" w:sz="8" w:space="0" w:color="D2232A"/>
            </w:tcBorders>
            <w:hideMark/>
          </w:tcPr>
          <w:p w14:paraId="349D10F3"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4:57</w:t>
            </w:r>
          </w:p>
        </w:tc>
      </w:tr>
      <w:tr w:rsidR="003E6C76" w:rsidRPr="00B16CA7" w14:paraId="4335CC7B"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7D117885"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Milano, Italija</w:t>
            </w:r>
          </w:p>
        </w:tc>
        <w:tc>
          <w:tcPr>
            <w:tcW w:w="3118" w:type="dxa"/>
            <w:tcBorders>
              <w:top w:val="single" w:sz="8" w:space="0" w:color="F3CFC1"/>
              <w:left w:val="single" w:sz="8" w:space="0" w:color="D2232A"/>
              <w:bottom w:val="single" w:sz="8" w:space="0" w:color="F3CFC1"/>
              <w:right w:val="single" w:sz="8" w:space="0" w:color="D2232A"/>
            </w:tcBorders>
            <w:hideMark/>
          </w:tcPr>
          <w:p w14:paraId="224980D4"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625</w:t>
            </w:r>
          </w:p>
        </w:tc>
        <w:tc>
          <w:tcPr>
            <w:tcW w:w="3119" w:type="dxa"/>
            <w:tcBorders>
              <w:top w:val="single" w:sz="8" w:space="0" w:color="F3CFC1"/>
              <w:left w:val="single" w:sz="8" w:space="0" w:color="D2232A"/>
              <w:bottom w:val="single" w:sz="8" w:space="0" w:color="F3CFC1"/>
              <w:right w:val="single" w:sz="8" w:space="0" w:color="D2232A"/>
            </w:tcBorders>
            <w:hideMark/>
          </w:tcPr>
          <w:p w14:paraId="78DFF7E4"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6:51</w:t>
            </w:r>
          </w:p>
        </w:tc>
      </w:tr>
      <w:tr w:rsidR="003E6C76" w:rsidRPr="00B16CA7" w14:paraId="663C29CF" w14:textId="77777777" w:rsidTr="003E6C76">
        <w:trPr>
          <w:trHeight w:val="321"/>
          <w:jc w:val="center"/>
        </w:trPr>
        <w:tc>
          <w:tcPr>
            <w:tcW w:w="3118" w:type="dxa"/>
            <w:tcBorders>
              <w:top w:val="single" w:sz="8" w:space="0" w:color="F3CFC1"/>
              <w:left w:val="single" w:sz="8" w:space="0" w:color="D2232A"/>
              <w:bottom w:val="single" w:sz="8" w:space="0" w:color="F3CFC1"/>
              <w:right w:val="single" w:sz="8" w:space="0" w:color="D2232A"/>
            </w:tcBorders>
            <w:hideMark/>
          </w:tcPr>
          <w:p w14:paraId="01F25ED5"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Budimpešta, Mađarska</w:t>
            </w:r>
          </w:p>
        </w:tc>
        <w:tc>
          <w:tcPr>
            <w:tcW w:w="3118" w:type="dxa"/>
            <w:tcBorders>
              <w:top w:val="single" w:sz="8" w:space="0" w:color="F3CFC1"/>
              <w:left w:val="single" w:sz="8" w:space="0" w:color="D2232A"/>
              <w:bottom w:val="single" w:sz="8" w:space="0" w:color="F3CFC1"/>
              <w:right w:val="single" w:sz="8" w:space="0" w:color="D2232A"/>
            </w:tcBorders>
            <w:hideMark/>
          </w:tcPr>
          <w:p w14:paraId="4A2CC42E"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320</w:t>
            </w:r>
          </w:p>
        </w:tc>
        <w:tc>
          <w:tcPr>
            <w:tcW w:w="3119" w:type="dxa"/>
            <w:tcBorders>
              <w:top w:val="single" w:sz="8" w:space="0" w:color="F3CFC1"/>
              <w:left w:val="single" w:sz="8" w:space="0" w:color="D2232A"/>
              <w:bottom w:val="single" w:sz="8" w:space="0" w:color="F3CFC1"/>
              <w:right w:val="single" w:sz="8" w:space="0" w:color="D2232A"/>
            </w:tcBorders>
            <w:hideMark/>
          </w:tcPr>
          <w:p w14:paraId="326EF866"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3:40</w:t>
            </w:r>
          </w:p>
        </w:tc>
      </w:tr>
      <w:tr w:rsidR="003E6C76" w:rsidRPr="00B16CA7" w14:paraId="3312B686"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2D1CD25A"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Beograd, Srbija</w:t>
            </w:r>
          </w:p>
        </w:tc>
        <w:tc>
          <w:tcPr>
            <w:tcW w:w="3118" w:type="dxa"/>
            <w:tcBorders>
              <w:top w:val="single" w:sz="8" w:space="0" w:color="F3CFC1"/>
              <w:left w:val="single" w:sz="8" w:space="0" w:color="D2232A"/>
              <w:bottom w:val="single" w:sz="8" w:space="0" w:color="F3CFC1"/>
              <w:right w:val="single" w:sz="8" w:space="0" w:color="D2232A"/>
            </w:tcBorders>
            <w:hideMark/>
          </w:tcPr>
          <w:p w14:paraId="45BE8C9A"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455</w:t>
            </w:r>
          </w:p>
        </w:tc>
        <w:tc>
          <w:tcPr>
            <w:tcW w:w="3119" w:type="dxa"/>
            <w:tcBorders>
              <w:top w:val="single" w:sz="8" w:space="0" w:color="F3CFC1"/>
              <w:left w:val="single" w:sz="8" w:space="0" w:color="D2232A"/>
              <w:bottom w:val="single" w:sz="8" w:space="0" w:color="F3CFC1"/>
              <w:right w:val="single" w:sz="8" w:space="0" w:color="D2232A"/>
            </w:tcBorders>
            <w:hideMark/>
          </w:tcPr>
          <w:p w14:paraId="3A24DBD8"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4:21</w:t>
            </w:r>
          </w:p>
        </w:tc>
      </w:tr>
      <w:tr w:rsidR="003E6C76" w:rsidRPr="00B16CA7" w14:paraId="0D803C6A"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6FF11056"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Sarajevo, BiH</w:t>
            </w:r>
          </w:p>
        </w:tc>
        <w:tc>
          <w:tcPr>
            <w:tcW w:w="3118" w:type="dxa"/>
            <w:tcBorders>
              <w:top w:val="single" w:sz="8" w:space="0" w:color="F3CFC1"/>
              <w:left w:val="single" w:sz="8" w:space="0" w:color="D2232A"/>
              <w:bottom w:val="single" w:sz="8" w:space="0" w:color="F3CFC1"/>
              <w:right w:val="single" w:sz="8" w:space="0" w:color="D2232A"/>
            </w:tcBorders>
            <w:hideMark/>
          </w:tcPr>
          <w:p w14:paraId="0E0CB565"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459</w:t>
            </w:r>
          </w:p>
        </w:tc>
        <w:tc>
          <w:tcPr>
            <w:tcW w:w="3119" w:type="dxa"/>
            <w:tcBorders>
              <w:top w:val="single" w:sz="8" w:space="0" w:color="F3CFC1"/>
              <w:left w:val="single" w:sz="8" w:space="0" w:color="D2232A"/>
              <w:bottom w:val="single" w:sz="8" w:space="0" w:color="F3CFC1"/>
              <w:right w:val="single" w:sz="8" w:space="0" w:color="D2232A"/>
            </w:tcBorders>
            <w:hideMark/>
          </w:tcPr>
          <w:p w14:paraId="1897AACD"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5:28</w:t>
            </w:r>
          </w:p>
        </w:tc>
      </w:tr>
      <w:tr w:rsidR="003E6C76" w:rsidRPr="00B16CA7" w14:paraId="3798F54D" w14:textId="77777777" w:rsidTr="003E6C76">
        <w:trPr>
          <w:trHeight w:val="268"/>
          <w:jc w:val="center"/>
        </w:trPr>
        <w:tc>
          <w:tcPr>
            <w:tcW w:w="3118" w:type="dxa"/>
            <w:tcBorders>
              <w:top w:val="single" w:sz="8" w:space="0" w:color="F3CFC1"/>
              <w:left w:val="single" w:sz="8" w:space="0" w:color="D2232A"/>
              <w:bottom w:val="single" w:sz="8" w:space="0" w:color="F3CFC1"/>
              <w:right w:val="single" w:sz="8" w:space="0" w:color="D2232A"/>
            </w:tcBorders>
            <w:hideMark/>
          </w:tcPr>
          <w:p w14:paraId="0B9A5BFE"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 xml:space="preserve">Ljubljana, Slovenija </w:t>
            </w:r>
          </w:p>
        </w:tc>
        <w:tc>
          <w:tcPr>
            <w:tcW w:w="3118" w:type="dxa"/>
            <w:tcBorders>
              <w:top w:val="single" w:sz="8" w:space="0" w:color="F3CFC1"/>
              <w:left w:val="single" w:sz="8" w:space="0" w:color="D2232A"/>
              <w:bottom w:val="single" w:sz="8" w:space="0" w:color="F3CFC1"/>
              <w:right w:val="single" w:sz="8" w:space="0" w:color="D2232A"/>
            </w:tcBorders>
            <w:hideMark/>
          </w:tcPr>
          <w:p w14:paraId="3BC7DC91"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137</w:t>
            </w:r>
          </w:p>
        </w:tc>
        <w:tc>
          <w:tcPr>
            <w:tcW w:w="3119" w:type="dxa"/>
            <w:tcBorders>
              <w:top w:val="single" w:sz="8" w:space="0" w:color="F3CFC1"/>
              <w:left w:val="single" w:sz="8" w:space="0" w:color="D2232A"/>
              <w:bottom w:val="single" w:sz="8" w:space="0" w:color="F3CFC1"/>
              <w:right w:val="single" w:sz="8" w:space="0" w:color="D2232A"/>
            </w:tcBorders>
            <w:hideMark/>
          </w:tcPr>
          <w:p w14:paraId="7D65707A"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2:09</w:t>
            </w:r>
          </w:p>
        </w:tc>
      </w:tr>
      <w:tr w:rsidR="003E6C76" w:rsidRPr="00B16CA7" w14:paraId="56F1083B" w14:textId="77777777" w:rsidTr="003E6C76">
        <w:trPr>
          <w:trHeight w:val="251"/>
          <w:jc w:val="center"/>
        </w:trPr>
        <w:tc>
          <w:tcPr>
            <w:tcW w:w="3118" w:type="dxa"/>
            <w:tcBorders>
              <w:top w:val="single" w:sz="8" w:space="0" w:color="F3CFC1"/>
              <w:left w:val="single" w:sz="8" w:space="0" w:color="D2232A"/>
              <w:bottom w:val="single" w:sz="4" w:space="0" w:color="D2232A" w:themeColor="accent1"/>
              <w:right w:val="single" w:sz="8" w:space="0" w:color="D2232A"/>
            </w:tcBorders>
            <w:hideMark/>
          </w:tcPr>
          <w:p w14:paraId="020763EB" w14:textId="77777777" w:rsidR="003E6C76" w:rsidRPr="0047767D" w:rsidRDefault="003E6C76" w:rsidP="003E6C76">
            <w:pPr>
              <w:autoSpaceDE w:val="0"/>
              <w:autoSpaceDN w:val="0"/>
              <w:adjustRightInd w:val="0"/>
              <w:spacing w:after="0"/>
              <w:rPr>
                <w:rFonts w:eastAsia="ArialNarrow,Bold" w:cs="Calibri"/>
                <w:bCs/>
                <w:sz w:val="20"/>
              </w:rPr>
            </w:pPr>
            <w:r w:rsidRPr="0047767D">
              <w:rPr>
                <w:rFonts w:eastAsia="ArialNarrow,Bold" w:cs="Calibri"/>
                <w:bCs/>
                <w:sz w:val="20"/>
              </w:rPr>
              <w:t>Beč, Austrija</w:t>
            </w:r>
          </w:p>
        </w:tc>
        <w:tc>
          <w:tcPr>
            <w:tcW w:w="3118" w:type="dxa"/>
            <w:tcBorders>
              <w:top w:val="single" w:sz="8" w:space="0" w:color="F3CFC1"/>
              <w:left w:val="single" w:sz="8" w:space="0" w:color="D2232A"/>
              <w:bottom w:val="single" w:sz="4" w:space="0" w:color="D2232A" w:themeColor="accent1"/>
              <w:right w:val="single" w:sz="8" w:space="0" w:color="D2232A"/>
            </w:tcBorders>
            <w:hideMark/>
          </w:tcPr>
          <w:p w14:paraId="7090D2C9"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308</w:t>
            </w:r>
          </w:p>
        </w:tc>
        <w:tc>
          <w:tcPr>
            <w:tcW w:w="3119" w:type="dxa"/>
            <w:tcBorders>
              <w:top w:val="single" w:sz="8" w:space="0" w:color="F3CFC1"/>
              <w:left w:val="single" w:sz="8" w:space="0" w:color="D2232A"/>
              <w:bottom w:val="single" w:sz="4" w:space="0" w:color="D2232A" w:themeColor="accent1"/>
              <w:right w:val="single" w:sz="8" w:space="0" w:color="D2232A"/>
            </w:tcBorders>
            <w:hideMark/>
          </w:tcPr>
          <w:p w14:paraId="7EF34D7F" w14:textId="77777777" w:rsidR="003E6C76" w:rsidRPr="0047767D" w:rsidRDefault="003E6C76" w:rsidP="003E6C76">
            <w:pPr>
              <w:autoSpaceDE w:val="0"/>
              <w:autoSpaceDN w:val="0"/>
              <w:adjustRightInd w:val="0"/>
              <w:spacing w:after="0"/>
              <w:jc w:val="right"/>
              <w:rPr>
                <w:rFonts w:eastAsia="ArialNarrow,Bold" w:cs="Calibri"/>
                <w:bCs/>
                <w:sz w:val="20"/>
              </w:rPr>
            </w:pPr>
            <w:r w:rsidRPr="0047767D">
              <w:rPr>
                <w:rFonts w:eastAsia="ArialNarrow,Bold" w:cs="Calibri"/>
                <w:bCs/>
                <w:sz w:val="20"/>
              </w:rPr>
              <w:t>3:04</w:t>
            </w:r>
          </w:p>
        </w:tc>
      </w:tr>
    </w:tbl>
    <w:p w14:paraId="77D5AC74" w14:textId="77777777" w:rsidR="003E6C76" w:rsidRPr="00FB5FE0" w:rsidRDefault="003E6C76" w:rsidP="00FB5FE0">
      <w:pPr>
        <w:autoSpaceDE w:val="0"/>
        <w:autoSpaceDN w:val="0"/>
        <w:adjustRightInd w:val="0"/>
        <w:spacing w:after="0" w:line="240" w:lineRule="auto"/>
        <w:rPr>
          <w:rFonts w:eastAsia="ArialNarrow" w:cstheme="minorHAnsi"/>
          <w:i/>
          <w:color w:val="ABABAB" w:themeColor="text1" w:themeTint="A6"/>
          <w:sz w:val="16"/>
          <w:szCs w:val="16"/>
        </w:rPr>
      </w:pPr>
      <w:r w:rsidRPr="00FB5FE0">
        <w:rPr>
          <w:rFonts w:eastAsia="ArialNarrow" w:cstheme="minorHAnsi"/>
          <w:i/>
          <w:color w:val="ABABAB" w:themeColor="text1" w:themeTint="A6"/>
          <w:sz w:val="16"/>
          <w:szCs w:val="16"/>
        </w:rPr>
        <w:t xml:space="preserve">Izvor: </w:t>
      </w:r>
      <w:hyperlink r:id="rId20" w:history="1">
        <w:r w:rsidRPr="00FB5FE0">
          <w:rPr>
            <w:rFonts w:eastAsia="ArialNarrow" w:cstheme="minorHAnsi"/>
            <w:i/>
            <w:color w:val="ABABAB" w:themeColor="text1" w:themeTint="A6"/>
            <w:sz w:val="16"/>
            <w:szCs w:val="16"/>
          </w:rPr>
          <w:t>www.viamichelin.com</w:t>
        </w:r>
      </w:hyperlink>
      <w:r w:rsidRPr="00FB5FE0">
        <w:rPr>
          <w:rFonts w:eastAsia="ArialNarrow" w:cstheme="minorHAnsi"/>
          <w:i/>
          <w:color w:val="ABABAB" w:themeColor="text1" w:themeTint="A6"/>
          <w:sz w:val="16"/>
          <w:szCs w:val="16"/>
        </w:rPr>
        <w:t>, pristupljeno 16. prosinca 2019. godine</w:t>
      </w:r>
    </w:p>
    <w:p w14:paraId="5B45C2FE" w14:textId="77777777" w:rsidR="003E6C76" w:rsidRDefault="003E6C76" w:rsidP="003E6C76">
      <w:pPr>
        <w:autoSpaceDE w:val="0"/>
        <w:autoSpaceDN w:val="0"/>
        <w:adjustRightInd w:val="0"/>
        <w:spacing w:after="0" w:line="240" w:lineRule="auto"/>
        <w:rPr>
          <w:rFonts w:ascii="Calibri" w:eastAsia="ArialNarrow" w:hAnsi="Calibri" w:cs="Calibri"/>
          <w:sz w:val="16"/>
          <w:szCs w:val="16"/>
        </w:rPr>
      </w:pPr>
    </w:p>
    <w:p w14:paraId="1E5676FF" w14:textId="77777777" w:rsidR="003E6C76" w:rsidRPr="0028189C" w:rsidRDefault="003E6C76" w:rsidP="0028189C">
      <w:pPr>
        <w:rPr>
          <w:rFonts w:eastAsia="ArialNarrow"/>
        </w:rPr>
      </w:pPr>
      <w:bookmarkStart w:id="40" w:name="_Hlk24270640"/>
      <w:r w:rsidRPr="00B16CA7">
        <w:rPr>
          <w:rFonts w:eastAsia="ArialNarrow,Bold" w:cs="Calibri"/>
        </w:rPr>
        <w:t>Prema podacima Županijske uprave za ceste za 2019., na 53,1% ukupne dužine lokalnih cesta kolnik je u lošem stanju</w:t>
      </w:r>
      <w:bookmarkEnd w:id="40"/>
      <w:r w:rsidRPr="00B16CA7">
        <w:rPr>
          <w:rFonts w:eastAsia="ArialNarrow,Bold" w:cs="Calibri"/>
        </w:rPr>
        <w:t xml:space="preserve">, odnosno, mrežaste pukotine zauzimaju više od 50% površine kolnika te su izražene raspukline i </w:t>
      </w:r>
      <w:r w:rsidRPr="0028189C">
        <w:rPr>
          <w:rFonts w:eastAsia="ArialNarrow"/>
        </w:rPr>
        <w:t xml:space="preserve">denivelacije ili je kolovozni zastor značajno ili potpuno razoren. </w:t>
      </w:r>
      <w:bookmarkStart w:id="41" w:name="_Hlk24270648"/>
      <w:r w:rsidRPr="0028189C">
        <w:rPr>
          <w:rFonts w:eastAsia="ArialNarrow"/>
        </w:rPr>
        <w:t>U slučaju županijskih cesta takvi kolnici čine 38,07% ukupne dužine županijskih cesta.</w:t>
      </w:r>
    </w:p>
    <w:p w14:paraId="3F85CD17" w14:textId="77777777" w:rsidR="003E6C76" w:rsidRPr="0028189C" w:rsidRDefault="003E6C76" w:rsidP="0028189C">
      <w:pPr>
        <w:rPr>
          <w:rFonts w:eastAsia="ArialNarrow"/>
        </w:rPr>
      </w:pPr>
      <w:bookmarkStart w:id="42" w:name="_Hlk24270658"/>
      <w:bookmarkEnd w:id="41"/>
      <w:r w:rsidRPr="0028189C">
        <w:rPr>
          <w:rFonts w:eastAsia="ArialNarrow"/>
        </w:rPr>
        <w:t xml:space="preserve">Većina cesta nalazi se na lošem položaju po pitanju konfiguracije terena (velike strmine, usjeci), a dodatan problem u održavanju cesta predstavljaju klizišta. </w:t>
      </w:r>
      <w:bookmarkEnd w:id="42"/>
      <w:r w:rsidRPr="0028189C">
        <w:rPr>
          <w:rFonts w:eastAsia="ArialNarrow"/>
        </w:rPr>
        <w:t>U periodu od 2013. godine naovamo intenzivno se provode radovi na modernizaciji i izgradnji cestovnih prometnica koje se dovode u zadovoljavajuće stanje, a završetkom radova omogućit će se kvalitetno odvijanje prometa za potrebe stanovništva, turista i gospodarskih subjekata. Najznačajniji projekti izgradnje i rekonstrukcije državnih cesta odnose se na rekonstrukciju državne ceste Mokrice – Donja Stubica te osobito izgradnju</w:t>
      </w:r>
      <w:r w:rsidRPr="00B16CA7">
        <w:t xml:space="preserve"> cjelokupne dionice brze ceste Popovec – Marija Bistrica – Zabok, čija je treća dionica Zlatar Bistrica – Andraševec puštena u promet u listopadu 2019.</w:t>
      </w:r>
      <w:r w:rsidRPr="00B16CA7">
        <w:rPr>
          <w:rFonts w:eastAsia="ArialNarrow,Bold" w:cs="Calibri"/>
        </w:rPr>
        <w:t xml:space="preserve"> Potonja je značajna jer predstavlja </w:t>
      </w:r>
      <w:r w:rsidRPr="0028189C">
        <w:rPr>
          <w:rFonts w:eastAsia="ArialNarrow"/>
        </w:rPr>
        <w:t>sjevernu obilaznicu Zagreba zbog čega se očekuje izmještanje prometa izvan naselja te stvaranje pretpostavki za razvoj gospodarstva i širenje gospodarskih zona.</w:t>
      </w:r>
    </w:p>
    <w:p w14:paraId="779A963A" w14:textId="0B48A33A" w:rsidR="003E6C76" w:rsidRPr="0028189C" w:rsidRDefault="003E6C76" w:rsidP="0028189C">
      <w:pPr>
        <w:rPr>
          <w:rFonts w:eastAsia="ArialNarrow"/>
        </w:rPr>
      </w:pPr>
      <w:r w:rsidRPr="0028189C">
        <w:rPr>
          <w:rFonts w:eastAsia="ArialNarrow"/>
        </w:rPr>
        <w:t xml:space="preserve">Na području KZŽ-a nalazi se 3087 km nerazvrstanih cesta, što čini više od 75% ukupne dužine cesta u KZŽ. </w:t>
      </w:r>
      <w:r w:rsidR="003514D6" w:rsidRPr="0028189C">
        <w:rPr>
          <w:rFonts w:eastAsia="ArialNarrow"/>
        </w:rPr>
        <w:t xml:space="preserve">Nerazvrstanim cestama upravljaju jedinice lokalne samouprave na čijem se prostoru nalaze te one vode postupke rekonstrukcije, modernizacije i razvijanja nerazvrstanih cesta sukladno svojoj dokumentaciji o prostornom planiranju. </w:t>
      </w:r>
      <w:r w:rsidRPr="0028189C">
        <w:rPr>
          <w:rFonts w:eastAsia="ArialNarrow"/>
        </w:rPr>
        <w:t>Nerazvrstane ceste su većim dijelom asfaltirane (62,10%), dok 33,47% ima makadamsku podlogu, a 4,43% zemljanu podlogu. Održavanje nerazvrstanih cesta u nadležnosti je jedinica lokalne samouprave sukladno odredbama Zakona o komunalnom</w:t>
      </w:r>
      <w:r w:rsidRPr="00B16CA7">
        <w:rPr>
          <w:rFonts w:eastAsia="ArialNarrow" w:cs="Calibri"/>
        </w:rPr>
        <w:t xml:space="preserve"> gospodarstvu.</w:t>
      </w:r>
      <w:bookmarkStart w:id="43" w:name="_Hlk24270692"/>
      <w:r w:rsidRPr="00B16CA7">
        <w:rPr>
          <w:rFonts w:eastAsia="ArialNarrow" w:cs="Calibri"/>
        </w:rPr>
        <w:t xml:space="preserve"> Većina JLS-a, pogotovo one s manjim raspoloživim proračunskim sredstvima ne mogu održavati i modernizirati nerazvrstane ceste sukladno potrebama, već to ovisi o raspoloživim sredstvima pa stanovništvo u nekim dijelovima Županije nema adekvatan pristup do svojih domaćinstava. </w:t>
      </w:r>
      <w:bookmarkEnd w:id="43"/>
      <w:r w:rsidRPr="00B16CA7">
        <w:rPr>
          <w:rFonts w:eastAsia="ArialNarrow" w:cs="Calibri"/>
        </w:rPr>
        <w:t xml:space="preserve">Krapinsko-zagorska županija sufinancira gradovima i općinama programe iz područja prometa - asfaltiranje i uređenje dionica nerazvrstanih cesta prema sakralnim objektima i objektima od posebnog interesa za </w:t>
      </w:r>
      <w:r>
        <w:rPr>
          <w:rFonts w:eastAsia="ArialNarrow" w:cs="Calibri"/>
        </w:rPr>
        <w:t>Ž</w:t>
      </w:r>
      <w:r w:rsidRPr="00B16CA7">
        <w:rPr>
          <w:rFonts w:eastAsia="ArialNarrow" w:cs="Calibri"/>
        </w:rPr>
        <w:t xml:space="preserve">upaniju, sanacija šteta od elementarnih nepogoda (izrada projektno-tehničke dokumentacije za sanaciju klizišta, sanacija klizišta i nabava kamenog materijala za sanaciju oštećenih makadamskih nerazvrstanih cesta). </w:t>
      </w:r>
      <w:r w:rsidRPr="0028189C">
        <w:rPr>
          <w:rFonts w:eastAsia="ArialNarrow"/>
        </w:rPr>
        <w:t xml:space="preserve">Klizišta na prometnicama na području KZŽ-a stvaraju velike poteškoće u odvijanju prometovanja motornim vozilima, a sanacija istih predstavlja veliko financijsko opterećenje za institucije koje upravljaju cestama. </w:t>
      </w:r>
    </w:p>
    <w:p w14:paraId="0082362C" w14:textId="4C7632B9" w:rsidR="003E6C76" w:rsidRDefault="003E6C76" w:rsidP="0028189C">
      <w:pPr>
        <w:rPr>
          <w:rFonts w:eastAsia="ArialNarrow" w:cs="Calibri"/>
        </w:rPr>
      </w:pPr>
      <w:r w:rsidRPr="0028189C">
        <w:rPr>
          <w:rFonts w:eastAsia="ArialNarrow"/>
        </w:rPr>
        <w:t xml:space="preserve">Stanje sigurnosti u prometu ovisi o brojnim čimbenicima, a među najvažnijima su sigurnost prometne infrastrukture (ceste i pojas uz ceste), sigurnost vozila te sigurnost sudjelovanja u prometu. </w:t>
      </w:r>
      <w:r w:rsidR="00E8538E" w:rsidRPr="0028189C">
        <w:rPr>
          <w:rFonts w:eastAsia="ArialNarrow"/>
        </w:rPr>
        <w:t>Zbog konfiguracije terena česti identificirani problem na prostoru Krapinsko-zagorske županije su oštri nepregledni zavoji upitnog poprečnog nagiba</w:t>
      </w:r>
      <w:r w:rsidR="00E8538E" w:rsidRPr="00E8538E">
        <w:rPr>
          <w:rFonts w:eastAsia="ArialNarrow" w:cs="Calibri"/>
        </w:rPr>
        <w:t xml:space="preserve"> na brdovitim dionicama koje nisu odgovarajuće zaštićene odbojnim ogradama. U tim slučajevima, ako se izgubi kontrola nad vozilom, postoji veliki rizik od ozbiljnih nesreća. Na prostoru Krapinsko-zagorske županije postoje dionice cesta u vrlo lošem stanju površinskog habajućeg sloja kolničke konstrukcije i prometne opremljenosti.</w:t>
      </w:r>
      <w:r w:rsidR="00E8538E">
        <w:rPr>
          <w:rFonts w:eastAsia="ArialNarrow" w:cs="Calibri"/>
        </w:rPr>
        <w:t xml:space="preserve"> </w:t>
      </w:r>
      <w:r w:rsidR="00B47C65" w:rsidRPr="00B47C65">
        <w:rPr>
          <w:rFonts w:eastAsia="ArialNarrow" w:cs="Calibri"/>
        </w:rPr>
        <w:t>Radi unaprjeđenja sigurnosti u prometu i stanja prometnica, važnim se ističe analiza podataka o broju prometnih nesreća i njihovim posljedica</w:t>
      </w:r>
      <w:r w:rsidR="00B47C65">
        <w:rPr>
          <w:rFonts w:eastAsia="ArialNarrow" w:cs="Calibri"/>
        </w:rPr>
        <w:t xml:space="preserve">. </w:t>
      </w:r>
      <w:r w:rsidR="00B47C65" w:rsidRPr="00B47C65">
        <w:rPr>
          <w:rFonts w:eastAsia="ArialNarrow" w:cs="Calibri"/>
        </w:rPr>
        <w:t>Među najčešćim uzrocima prometnih nesreća mogu se istaknuti nepoštivanje prometnih pravila (nepoštivanje prava prednosti, nepropisna i neograničena brzina), vožnja pod utjecajem alkohola, nedostaci prometne infrastrukture, razne distrakcije, neočekivani događaji itd.</w:t>
      </w:r>
      <w:r w:rsidR="00B47C65">
        <w:rPr>
          <w:rFonts w:eastAsia="ArialNarrow" w:cs="Calibri"/>
        </w:rPr>
        <w:t xml:space="preserve"> </w:t>
      </w:r>
      <w:r w:rsidRPr="00B16CA7">
        <w:rPr>
          <w:rFonts w:eastAsia="ArialNarrow" w:cs="Calibri"/>
        </w:rPr>
        <w:t>Broj registriranih motornih vozila je u neprekinutom  porastu - u 2016. na području KZŽ</w:t>
      </w:r>
      <w:r>
        <w:rPr>
          <w:rFonts w:eastAsia="ArialNarrow" w:cs="Calibri"/>
        </w:rPr>
        <w:t>-a</w:t>
      </w:r>
      <w:r w:rsidRPr="00B16CA7">
        <w:rPr>
          <w:rFonts w:eastAsia="ArialNarrow" w:cs="Calibri"/>
        </w:rPr>
        <w:t xml:space="preserve"> bilo je registrirano 63</w:t>
      </w:r>
      <w:r w:rsidR="0027401A">
        <w:rPr>
          <w:rFonts w:eastAsia="ArialNarrow" w:cs="Calibri"/>
        </w:rPr>
        <w:t>.</w:t>
      </w:r>
      <w:r w:rsidRPr="00B16CA7">
        <w:rPr>
          <w:rFonts w:eastAsia="ArialNarrow" w:cs="Calibri"/>
        </w:rPr>
        <w:t>432 vozila, a u 2018. godini 69</w:t>
      </w:r>
      <w:r w:rsidR="0027401A">
        <w:rPr>
          <w:rFonts w:eastAsia="ArialNarrow" w:cs="Calibri"/>
        </w:rPr>
        <w:t>.</w:t>
      </w:r>
      <w:r w:rsidRPr="00B16CA7">
        <w:rPr>
          <w:rFonts w:eastAsia="ArialNarrow" w:cs="Calibri"/>
        </w:rPr>
        <w:t>195. Prema podacima Policijske uprave Krapinsko-zagorske, primjetan je rast broja prometnih nesreća u 2016. i 2017., dok u 2018. broj nesreća pada</w:t>
      </w:r>
      <w:r w:rsidR="00FC15CF">
        <w:rPr>
          <w:rFonts w:eastAsia="ArialNarrow" w:cs="Calibri"/>
        </w:rPr>
        <w:t xml:space="preserve">. Ponovni pad broja nesreća primjetan je u </w:t>
      </w:r>
      <w:r w:rsidR="00893F8B">
        <w:rPr>
          <w:rFonts w:eastAsia="ArialNarrow" w:cs="Calibri"/>
        </w:rPr>
        <w:t xml:space="preserve">2020. godini </w:t>
      </w:r>
      <w:r w:rsidR="00FC15CF">
        <w:rPr>
          <w:rFonts w:eastAsia="ArialNarrow" w:cs="Calibri"/>
        </w:rPr>
        <w:t xml:space="preserve">te broj nesreća iznosi 546. </w:t>
      </w:r>
      <w:r w:rsidRPr="00B16CA7">
        <w:rPr>
          <w:rFonts w:eastAsia="ArialNarrow" w:cs="Calibri"/>
        </w:rPr>
        <w:t xml:space="preserve">Po pitanju sigurnosti u prometu, KZŽ ima najbolje rezultate u Hrvatskoj te je ispunila cilj iz Nacionalnog programa sigurnosti cestovnog prometa za 2020. godinu (manje </w:t>
      </w:r>
      <w:r w:rsidRPr="00B16CA7">
        <w:rPr>
          <w:rFonts w:eastAsia="ArialNarrow" w:cs="Calibri"/>
        </w:rPr>
        <w:lastRenderedPageBreak/>
        <w:t>od 5 poginulih na 100 tisuća stanovnika). U 20</w:t>
      </w:r>
      <w:r w:rsidR="00B7302F">
        <w:rPr>
          <w:rFonts w:eastAsia="ArialNarrow" w:cs="Calibri"/>
        </w:rPr>
        <w:t>20</w:t>
      </w:r>
      <w:r w:rsidRPr="00B16CA7">
        <w:rPr>
          <w:rFonts w:eastAsia="ArialNarrow" w:cs="Calibri"/>
        </w:rPr>
        <w:t>. godini registrirano je 15.</w:t>
      </w:r>
      <w:r w:rsidR="00B7302F">
        <w:rPr>
          <w:rFonts w:eastAsia="ArialNarrow" w:cs="Calibri"/>
        </w:rPr>
        <w:t>159</w:t>
      </w:r>
      <w:r w:rsidRPr="00B16CA7">
        <w:rPr>
          <w:rFonts w:eastAsia="ArialNarrow" w:cs="Calibri"/>
        </w:rPr>
        <w:t xml:space="preserve"> prometnih prekršaja, a glavni uzroci su nepropisna brzina, upravljanje vozilom pod utjecajem alkohola, upotreba mobitela u vožnji te nekorištenje sigurnosnog pojasa. </w:t>
      </w:r>
    </w:p>
    <w:p w14:paraId="1D7D46A6" w14:textId="60945B83" w:rsidR="003E6C76" w:rsidRDefault="003E6C76" w:rsidP="003E6C76">
      <w:pPr>
        <w:pStyle w:val="Opisslike"/>
      </w:pPr>
      <w:r w:rsidRPr="00442AB6">
        <w:t xml:space="preserve">Grafikon </w:t>
      </w:r>
      <w:r>
        <w:rPr>
          <w:noProof/>
        </w:rPr>
        <w:fldChar w:fldCharType="begin"/>
      </w:r>
      <w:r>
        <w:rPr>
          <w:noProof/>
        </w:rPr>
        <w:instrText xml:space="preserve"> SEQ Grafikon \* ARABIC </w:instrText>
      </w:r>
      <w:r>
        <w:rPr>
          <w:noProof/>
        </w:rPr>
        <w:fldChar w:fldCharType="separate"/>
      </w:r>
      <w:r w:rsidR="00242051">
        <w:rPr>
          <w:noProof/>
        </w:rPr>
        <w:t>1</w:t>
      </w:r>
      <w:r>
        <w:rPr>
          <w:noProof/>
        </w:rPr>
        <w:fldChar w:fldCharType="end"/>
      </w:r>
      <w:r>
        <w:rPr>
          <w:noProof/>
        </w:rPr>
        <w:t>.</w:t>
      </w:r>
      <w:r w:rsidRPr="00442AB6">
        <w:t xml:space="preserve"> Prometni prekršaji na području Krapinsko-zagorske županije 2009.-20</w:t>
      </w:r>
      <w:r w:rsidR="00020639">
        <w:t>20</w:t>
      </w:r>
      <w:r w:rsidRPr="00442AB6">
        <w:t>.</w:t>
      </w:r>
    </w:p>
    <w:p w14:paraId="6009E3F6" w14:textId="737E38D5" w:rsidR="00020639" w:rsidRPr="009377E3" w:rsidRDefault="00020639" w:rsidP="009377E3">
      <w:pPr>
        <w:autoSpaceDE w:val="0"/>
        <w:autoSpaceDN w:val="0"/>
        <w:adjustRightInd w:val="0"/>
        <w:spacing w:after="0" w:line="240" w:lineRule="auto"/>
        <w:rPr>
          <w:rFonts w:eastAsia="ArialNarrow" w:cstheme="minorHAnsi"/>
          <w:i/>
          <w:color w:val="ABABAB" w:themeColor="text1" w:themeTint="A6"/>
          <w:sz w:val="16"/>
          <w:szCs w:val="16"/>
        </w:rPr>
      </w:pPr>
      <w:r w:rsidRPr="009377E3">
        <w:rPr>
          <w:rFonts w:eastAsia="ArialNarrow" w:cstheme="minorHAnsi"/>
          <w:i/>
          <w:noProof/>
          <w:color w:val="ABABAB" w:themeColor="text1" w:themeTint="A6"/>
          <w:sz w:val="16"/>
          <w:szCs w:val="16"/>
        </w:rPr>
        <w:drawing>
          <wp:inline distT="0" distB="0" distL="0" distR="0" wp14:anchorId="4C5745D4" wp14:editId="610A493B">
            <wp:extent cx="5905500" cy="2781300"/>
            <wp:effectExtent l="0" t="0" r="0" b="0"/>
            <wp:docPr id="243" name="Grafikon 243">
              <a:extLst xmlns:a="http://schemas.openxmlformats.org/drawingml/2006/main">
                <a:ext uri="{FF2B5EF4-FFF2-40B4-BE49-F238E27FC236}">
                  <a16:creationId xmlns:a16="http://schemas.microsoft.com/office/drawing/2014/main" id="{DCDAB5AE-0C95-413F-A746-EAF736D699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46C7E64" w14:textId="42BCB560" w:rsidR="003E6C76" w:rsidRDefault="003E6C76" w:rsidP="00330530">
      <w:pPr>
        <w:autoSpaceDE w:val="0"/>
        <w:autoSpaceDN w:val="0"/>
        <w:adjustRightInd w:val="0"/>
        <w:spacing w:after="0" w:line="240" w:lineRule="auto"/>
        <w:rPr>
          <w:rFonts w:eastAsia="ArialNarrow" w:cstheme="minorHAnsi"/>
          <w:i/>
          <w:color w:val="ABABAB" w:themeColor="text1" w:themeTint="A6"/>
          <w:sz w:val="16"/>
          <w:szCs w:val="16"/>
        </w:rPr>
      </w:pPr>
      <w:r w:rsidRPr="00330530">
        <w:rPr>
          <w:rFonts w:eastAsia="ArialNarrow" w:cstheme="minorHAnsi"/>
          <w:i/>
          <w:color w:val="ABABAB" w:themeColor="text1" w:themeTint="A6"/>
          <w:sz w:val="16"/>
          <w:szCs w:val="16"/>
        </w:rPr>
        <w:t xml:space="preserve">Izvor: </w:t>
      </w:r>
      <w:r w:rsidR="007E7790" w:rsidRPr="007E7790">
        <w:rPr>
          <w:rFonts w:eastAsia="ArialNarrow" w:cstheme="minorHAnsi"/>
          <w:i/>
          <w:color w:val="ABABAB" w:themeColor="text1" w:themeTint="A6"/>
          <w:sz w:val="16"/>
          <w:szCs w:val="16"/>
        </w:rPr>
        <w:t>Bilten o sigurnosti cestovnog prometa 2020.</w:t>
      </w:r>
    </w:p>
    <w:p w14:paraId="3923E81C" w14:textId="77777777" w:rsidR="00330530" w:rsidRPr="00330530" w:rsidRDefault="00330530" w:rsidP="00330530">
      <w:pPr>
        <w:autoSpaceDE w:val="0"/>
        <w:autoSpaceDN w:val="0"/>
        <w:adjustRightInd w:val="0"/>
        <w:spacing w:after="0" w:line="240" w:lineRule="auto"/>
        <w:rPr>
          <w:rFonts w:eastAsia="ArialNarrow" w:cstheme="minorHAnsi"/>
          <w:i/>
          <w:color w:val="ABABAB" w:themeColor="text1" w:themeTint="A6"/>
          <w:sz w:val="16"/>
          <w:szCs w:val="16"/>
        </w:rPr>
      </w:pPr>
    </w:p>
    <w:p w14:paraId="21397B6E" w14:textId="3E30C9F1" w:rsidR="003E6C76" w:rsidRPr="00442AB6" w:rsidRDefault="003E6C76" w:rsidP="003E6C76">
      <w:pPr>
        <w:pStyle w:val="Opisslike"/>
      </w:pPr>
      <w:r w:rsidRPr="00442AB6">
        <w:t xml:space="preserve">Grafikon </w:t>
      </w:r>
      <w:r>
        <w:rPr>
          <w:noProof/>
        </w:rPr>
        <w:fldChar w:fldCharType="begin"/>
      </w:r>
      <w:r>
        <w:rPr>
          <w:noProof/>
        </w:rPr>
        <w:instrText xml:space="preserve"> SEQ Grafikon \* ARABIC </w:instrText>
      </w:r>
      <w:r>
        <w:rPr>
          <w:noProof/>
        </w:rPr>
        <w:fldChar w:fldCharType="separate"/>
      </w:r>
      <w:r w:rsidR="00242051">
        <w:rPr>
          <w:noProof/>
        </w:rPr>
        <w:t>2</w:t>
      </w:r>
      <w:r>
        <w:rPr>
          <w:noProof/>
        </w:rPr>
        <w:fldChar w:fldCharType="end"/>
      </w:r>
      <w:r>
        <w:rPr>
          <w:noProof/>
        </w:rPr>
        <w:t>.</w:t>
      </w:r>
      <w:r w:rsidRPr="00442AB6">
        <w:t xml:space="preserve"> </w:t>
      </w:r>
      <w:r w:rsidRPr="00252C97">
        <w:t>Broj prometnih nesreća na području Krapinsko-zagorske županije 2009.-20</w:t>
      </w:r>
      <w:r w:rsidR="00252C97" w:rsidRPr="00252C97">
        <w:t>20</w:t>
      </w:r>
      <w:r w:rsidRPr="00252C97">
        <w:t>.</w:t>
      </w:r>
    </w:p>
    <w:p w14:paraId="3540DED0" w14:textId="0D2988EF" w:rsidR="003E6C76" w:rsidRPr="00442AB6" w:rsidRDefault="00252C97" w:rsidP="003E6C76">
      <w:pPr>
        <w:autoSpaceDE w:val="0"/>
        <w:autoSpaceDN w:val="0"/>
        <w:adjustRightInd w:val="0"/>
        <w:spacing w:after="0" w:line="240" w:lineRule="auto"/>
        <w:rPr>
          <w:rFonts w:ascii="Calibri" w:eastAsia="ArialNarrow,Bold" w:hAnsi="Calibri" w:cs="Calibri"/>
          <w:b/>
          <w:bCs/>
          <w:color w:val="4F82BE"/>
          <w:sz w:val="24"/>
          <w:szCs w:val="24"/>
        </w:rPr>
      </w:pPr>
      <w:r>
        <w:rPr>
          <w:noProof/>
        </w:rPr>
        <w:drawing>
          <wp:inline distT="0" distB="0" distL="0" distR="0" wp14:anchorId="0D76E137" wp14:editId="674BE64D">
            <wp:extent cx="5905500" cy="2849880"/>
            <wp:effectExtent l="0" t="0" r="0" b="7620"/>
            <wp:docPr id="242" name="Grafikon 242">
              <a:extLst xmlns:a="http://schemas.openxmlformats.org/drawingml/2006/main">
                <a:ext uri="{FF2B5EF4-FFF2-40B4-BE49-F238E27FC236}">
                  <a16:creationId xmlns:a16="http://schemas.microsoft.com/office/drawing/2014/main" id="{1BAEACCC-9E80-4825-9DF9-7C8248A8D3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4B09FB7" w14:textId="61B209F8" w:rsidR="003E6C76" w:rsidRDefault="003E6C76" w:rsidP="00330530">
      <w:pPr>
        <w:autoSpaceDE w:val="0"/>
        <w:autoSpaceDN w:val="0"/>
        <w:adjustRightInd w:val="0"/>
        <w:spacing w:after="0" w:line="240" w:lineRule="auto"/>
        <w:rPr>
          <w:rFonts w:eastAsia="ArialNarrow" w:cstheme="minorHAnsi"/>
          <w:i/>
          <w:color w:val="ABABAB" w:themeColor="text1" w:themeTint="A6"/>
          <w:sz w:val="16"/>
          <w:szCs w:val="16"/>
        </w:rPr>
      </w:pPr>
      <w:r w:rsidRPr="00330530">
        <w:rPr>
          <w:rFonts w:eastAsia="ArialNarrow" w:cstheme="minorHAnsi"/>
          <w:i/>
          <w:color w:val="ABABAB" w:themeColor="text1" w:themeTint="A6"/>
          <w:sz w:val="16"/>
          <w:szCs w:val="16"/>
        </w:rPr>
        <w:t xml:space="preserve">Izvor: </w:t>
      </w:r>
      <w:r w:rsidR="00723BFA" w:rsidRPr="00723BFA">
        <w:rPr>
          <w:rFonts w:eastAsia="ArialNarrow" w:cstheme="minorHAnsi"/>
          <w:i/>
          <w:color w:val="ABABAB" w:themeColor="text1" w:themeTint="A6"/>
          <w:sz w:val="16"/>
          <w:szCs w:val="16"/>
        </w:rPr>
        <w:t>Bilten o sigurnosti cestovnog prometa 20</w:t>
      </w:r>
      <w:r w:rsidR="007E7790">
        <w:rPr>
          <w:rFonts w:eastAsia="ArialNarrow" w:cstheme="minorHAnsi"/>
          <w:i/>
          <w:color w:val="ABABAB" w:themeColor="text1" w:themeTint="A6"/>
          <w:sz w:val="16"/>
          <w:szCs w:val="16"/>
        </w:rPr>
        <w:t>20</w:t>
      </w:r>
      <w:r w:rsidR="00723BFA" w:rsidRPr="00723BFA">
        <w:rPr>
          <w:rFonts w:eastAsia="ArialNarrow" w:cstheme="minorHAnsi"/>
          <w:i/>
          <w:color w:val="ABABAB" w:themeColor="text1" w:themeTint="A6"/>
          <w:sz w:val="16"/>
          <w:szCs w:val="16"/>
        </w:rPr>
        <w:t>.</w:t>
      </w:r>
    </w:p>
    <w:p w14:paraId="6F3ABED7" w14:textId="5D1D9F06" w:rsidR="00896B9B" w:rsidRDefault="00896B9B" w:rsidP="00330530">
      <w:pPr>
        <w:autoSpaceDE w:val="0"/>
        <w:autoSpaceDN w:val="0"/>
        <w:adjustRightInd w:val="0"/>
        <w:spacing w:after="0" w:line="240" w:lineRule="auto"/>
        <w:rPr>
          <w:rFonts w:eastAsia="ArialNarrow" w:cstheme="minorHAnsi"/>
          <w:i/>
          <w:color w:val="ABABAB" w:themeColor="text1" w:themeTint="A6"/>
          <w:sz w:val="16"/>
          <w:szCs w:val="16"/>
        </w:rPr>
      </w:pPr>
    </w:p>
    <w:p w14:paraId="5A681872" w14:textId="667EB856" w:rsidR="005902D5" w:rsidRDefault="005902D5" w:rsidP="00330530">
      <w:pPr>
        <w:autoSpaceDE w:val="0"/>
        <w:autoSpaceDN w:val="0"/>
        <w:adjustRightInd w:val="0"/>
        <w:spacing w:after="0" w:line="240" w:lineRule="auto"/>
      </w:pPr>
      <w:r>
        <w:t xml:space="preserve">Policijska uprava Krapinsko-zagorska primijetila je tri lokacije koje imaju potencijalno visok rizik od prometne nesreće. Te su lokacije sljedeće: </w:t>
      </w:r>
    </w:p>
    <w:p w14:paraId="3B66F748" w14:textId="77777777" w:rsidR="005902D5" w:rsidRDefault="005902D5" w:rsidP="005902D5">
      <w:pPr>
        <w:pStyle w:val="Odlomakpopisa"/>
        <w:numPr>
          <w:ilvl w:val="0"/>
          <w:numId w:val="35"/>
        </w:numPr>
        <w:autoSpaceDE w:val="0"/>
        <w:autoSpaceDN w:val="0"/>
        <w:adjustRightInd w:val="0"/>
        <w:spacing w:after="0" w:line="240" w:lineRule="auto"/>
      </w:pPr>
      <w:r>
        <w:t xml:space="preserve">Lokacija na državnoj cesti D-1, u Velikoj Vesi, na raskrižju D-1 s nerazvrstanom cestom grada Krapine (s kamenolomom „Gorjak“). Predlaže se izgradnja kružnog toka na tom mjestu kako bi se povećala sigurnost prometa, smanjila brzina prometa i poboljšala geometrija ceste s obzirom na kut preglednosti </w:t>
      </w:r>
    </w:p>
    <w:p w14:paraId="15F62AFC" w14:textId="64D81DB2" w:rsidR="005902D5" w:rsidRDefault="005902D5" w:rsidP="005902D5">
      <w:pPr>
        <w:pStyle w:val="Odlomakpopisa"/>
        <w:numPr>
          <w:ilvl w:val="0"/>
          <w:numId w:val="35"/>
        </w:numPr>
        <w:autoSpaceDE w:val="0"/>
        <w:autoSpaceDN w:val="0"/>
        <w:adjustRightInd w:val="0"/>
        <w:spacing w:after="0" w:line="240" w:lineRule="auto"/>
      </w:pPr>
      <w:r>
        <w:t>Lokacija na državnoj cesti D-24 u Bedekovčini, Industrijska cesta. Predlaže se uspostava sustava video nadzora s mogućnošću mjerenja brzine kretanja (funkcionira kao Multinova), uz poboljšanje prometno-tehničkih elemenata raskrižja D-24 i Ž-2198 te poboljšanje kuta preglednosti</w:t>
      </w:r>
    </w:p>
    <w:p w14:paraId="546A8EA2" w14:textId="1483EF8F" w:rsidR="005902D5" w:rsidRPr="005902D5" w:rsidRDefault="005902D5" w:rsidP="005902D5">
      <w:pPr>
        <w:pStyle w:val="Odlomakpopisa"/>
        <w:numPr>
          <w:ilvl w:val="0"/>
          <w:numId w:val="35"/>
        </w:numPr>
        <w:autoSpaceDE w:val="0"/>
        <w:autoSpaceDN w:val="0"/>
        <w:adjustRightInd w:val="0"/>
        <w:spacing w:after="0" w:line="240" w:lineRule="auto"/>
        <w:rPr>
          <w:rFonts w:eastAsia="ArialNarrow" w:cstheme="minorHAnsi"/>
          <w:i/>
          <w:color w:val="ABABAB" w:themeColor="text1" w:themeTint="A6"/>
          <w:sz w:val="16"/>
          <w:szCs w:val="16"/>
        </w:rPr>
      </w:pPr>
      <w:r>
        <w:t>Lokacija na državnoj cesti D-307 u Oroslavju (Stubička cesta od broja 35 do 142). Predlaže se poboljšanje vodoravne i okomite prometne signalizacije, zajedno s rekonstrukcijom kolnika i poboljšanjem kuta preglednosti raskrižja.</w:t>
      </w:r>
    </w:p>
    <w:p w14:paraId="61FFB226" w14:textId="77777777" w:rsidR="005902D5" w:rsidRDefault="005902D5" w:rsidP="00330530">
      <w:pPr>
        <w:autoSpaceDE w:val="0"/>
        <w:autoSpaceDN w:val="0"/>
        <w:adjustRightInd w:val="0"/>
        <w:spacing w:after="0" w:line="240" w:lineRule="auto"/>
        <w:rPr>
          <w:rFonts w:eastAsia="ArialNarrow" w:cstheme="minorHAnsi"/>
          <w:i/>
          <w:color w:val="ABABAB" w:themeColor="text1" w:themeTint="A6"/>
          <w:sz w:val="16"/>
          <w:szCs w:val="16"/>
        </w:rPr>
      </w:pPr>
    </w:p>
    <w:p w14:paraId="1ECCB841" w14:textId="72FEE0B9" w:rsidR="003764BE" w:rsidRDefault="003764BE" w:rsidP="003764BE">
      <w:pPr>
        <w:autoSpaceDE w:val="0"/>
        <w:autoSpaceDN w:val="0"/>
        <w:adjustRightInd w:val="0"/>
        <w:spacing w:after="0" w:line="240" w:lineRule="auto"/>
        <w:rPr>
          <w:rFonts w:eastAsia="ArialNarrow" w:cs="Calibri"/>
        </w:rPr>
      </w:pPr>
      <w:r w:rsidRPr="003764BE">
        <w:rPr>
          <w:rFonts w:eastAsia="ArialNarrow" w:cs="Calibri"/>
        </w:rPr>
        <w:lastRenderedPageBreak/>
        <w:t>Prosječne brzine, u 85 % slučajeva, uvelike variraju od ceste do ceste. Ceste Hrašćina Breznički Hum, NP Mokrice, Veliki Komar - Mihovljan imaju najveću prosječnu brzinu (više od 70 km/h) među svim cestama na kojima je mjerena brzina. Najniža brzina (oko 30 km/h) izmjerena je na cesti Hum na Sutli, Tuheljske - Krapinske toplice, Velika Horvatska - Glogovec.</w:t>
      </w:r>
      <w:r>
        <w:rPr>
          <w:rStyle w:val="Referencafusnote"/>
          <w:rFonts w:eastAsia="ArialNarrow" w:cs="Calibri"/>
        </w:rPr>
        <w:footnoteReference w:id="9"/>
      </w:r>
    </w:p>
    <w:p w14:paraId="37000B79" w14:textId="17C4FAF3" w:rsidR="00632D77" w:rsidRDefault="00632D77" w:rsidP="003764BE">
      <w:pPr>
        <w:autoSpaceDE w:val="0"/>
        <w:autoSpaceDN w:val="0"/>
        <w:adjustRightInd w:val="0"/>
        <w:spacing w:after="0" w:line="240" w:lineRule="auto"/>
        <w:rPr>
          <w:rFonts w:eastAsia="ArialNarrow" w:cs="Calibri"/>
        </w:rPr>
      </w:pPr>
    </w:p>
    <w:p w14:paraId="7ADBF585" w14:textId="593C1316" w:rsidR="00632D77" w:rsidRDefault="00632D77" w:rsidP="003764BE">
      <w:pPr>
        <w:autoSpaceDE w:val="0"/>
        <w:autoSpaceDN w:val="0"/>
        <w:adjustRightInd w:val="0"/>
        <w:spacing w:after="0" w:line="240" w:lineRule="auto"/>
        <w:rPr>
          <w:rFonts w:eastAsia="ArialNarrow" w:cs="Calibri"/>
        </w:rPr>
      </w:pPr>
      <w:r w:rsidRPr="00632D77">
        <w:rPr>
          <w:rFonts w:eastAsia="ArialNarrow" w:cs="Calibri"/>
        </w:rPr>
        <w:t>U Krapinsko-zagorskoj županiji sustav naplate parkiranja organiziran je samo u Krapini i Zaboku, kao najvećim urbanim centrima županije, te u Krapinskim Toplicama i Mariji Bistrici. Za upravljanje sustavom parkiranja zadužena su općinska poduzeća i to Krakom d.o.o. u Krapini i Plavnika d.o.o. u Zaboku</w:t>
      </w:r>
      <w:r>
        <w:rPr>
          <w:rFonts w:eastAsia="ArialNarrow" w:cs="Calibri"/>
        </w:rPr>
        <w:t xml:space="preserve">. </w:t>
      </w:r>
      <w:r w:rsidRPr="00632D77">
        <w:rPr>
          <w:rFonts w:eastAsia="ArialNarrow" w:cs="Calibri"/>
        </w:rPr>
        <w:t>Kroz</w:t>
      </w:r>
      <w:r>
        <w:rPr>
          <w:rFonts w:eastAsia="ArialNarrow" w:cs="Calibri"/>
        </w:rPr>
        <w:t xml:space="preserve"> </w:t>
      </w:r>
      <w:r w:rsidRPr="00632D77">
        <w:rPr>
          <w:rFonts w:eastAsia="ArialNarrow" w:cs="Calibri"/>
        </w:rPr>
        <w:t>sustav naplate parkiranja osigurava se red u prometu u mirovanju, dolazi</w:t>
      </w:r>
      <w:r>
        <w:rPr>
          <w:rFonts w:eastAsia="ArialNarrow" w:cs="Calibri"/>
        </w:rPr>
        <w:t xml:space="preserve"> </w:t>
      </w:r>
      <w:r w:rsidRPr="00632D77">
        <w:rPr>
          <w:rFonts w:eastAsia="ArialNarrow" w:cs="Calibri"/>
        </w:rPr>
        <w:t>se do brže izmjene vozila na najfrekventnijim lokacijama te se smanjuje ukupan broj vozila na prometnicama. Također se naplatom parkiranja potiče korištenje alternativnih načina prijevoza i racionalnije korištenje parkirališnih površina na području gradova.</w:t>
      </w:r>
      <w:r w:rsidR="00DF7428">
        <w:rPr>
          <w:rFonts w:eastAsia="ArialNarrow" w:cs="Calibri"/>
        </w:rPr>
        <w:t xml:space="preserve"> </w:t>
      </w:r>
      <w:r w:rsidR="00DF7428" w:rsidRPr="00DF7428">
        <w:rPr>
          <w:rFonts w:eastAsia="ArialNarrow" w:cs="Calibri"/>
        </w:rPr>
        <w:t>Na području Krapinsko-zagorske županije cijene parkiranja su znatno niže u usporedbi s Gradom Zagrebom</w:t>
      </w:r>
      <w:r w:rsidR="00DF7428">
        <w:rPr>
          <w:rFonts w:eastAsia="ArialNarrow" w:cs="Calibri"/>
        </w:rPr>
        <w:t>.</w:t>
      </w:r>
    </w:p>
    <w:p w14:paraId="0D7F0DFD" w14:textId="77777777" w:rsidR="00632D77" w:rsidRPr="00B16CA7" w:rsidRDefault="00632D77" w:rsidP="003764BE">
      <w:pPr>
        <w:autoSpaceDE w:val="0"/>
        <w:autoSpaceDN w:val="0"/>
        <w:adjustRightInd w:val="0"/>
        <w:spacing w:after="0" w:line="240" w:lineRule="auto"/>
        <w:rPr>
          <w:rFonts w:eastAsia="ArialNarrow" w:cs="Calibri"/>
        </w:rPr>
      </w:pPr>
    </w:p>
    <w:p w14:paraId="3506A4CD" w14:textId="5109AF25" w:rsidR="003E6C76" w:rsidRDefault="003E6C76" w:rsidP="003E6C76">
      <w:pPr>
        <w:pStyle w:val="Naslov2"/>
        <w:rPr>
          <w:sz w:val="26"/>
          <w:szCs w:val="26"/>
        </w:rPr>
      </w:pPr>
      <w:bookmarkStart w:id="44" w:name="_Toc85181283"/>
      <w:r>
        <w:t>3.2. Željeznički promet</w:t>
      </w:r>
      <w:bookmarkEnd w:id="44"/>
    </w:p>
    <w:p w14:paraId="5AED2CFB" w14:textId="77777777" w:rsidR="003E6C76" w:rsidRDefault="003E6C76" w:rsidP="003E6C76">
      <w:pPr>
        <w:autoSpaceDE w:val="0"/>
        <w:autoSpaceDN w:val="0"/>
        <w:adjustRightInd w:val="0"/>
        <w:spacing w:after="0" w:line="240" w:lineRule="auto"/>
        <w:rPr>
          <w:rFonts w:ascii="Calibri" w:eastAsia="ArialNarrow" w:hAnsi="Calibri" w:cs="Calibri"/>
          <w:color w:val="000000"/>
        </w:rPr>
      </w:pPr>
    </w:p>
    <w:p w14:paraId="57E37139" w14:textId="77777777" w:rsidR="003E6C76" w:rsidRPr="00B16CA7" w:rsidRDefault="003E6C76" w:rsidP="003E6C76">
      <w:pPr>
        <w:autoSpaceDE w:val="0"/>
        <w:autoSpaceDN w:val="0"/>
        <w:adjustRightInd w:val="0"/>
        <w:spacing w:after="0" w:line="240" w:lineRule="auto"/>
        <w:rPr>
          <w:rFonts w:eastAsia="ArialNarrow" w:cs="Calibri"/>
          <w:szCs w:val="18"/>
        </w:rPr>
      </w:pPr>
      <w:r w:rsidRPr="00B16CA7">
        <w:rPr>
          <w:rFonts w:eastAsia="ArialNarrow" w:cs="Calibri"/>
          <w:szCs w:val="18"/>
        </w:rPr>
        <w:t xml:space="preserve">U Krapinsko-zagorskoj županiji željeznički promet ima stogodišnju tradiciju te su prve pruge u promet puštene 1886. godine. Na području Županije </w:t>
      </w:r>
      <w:r w:rsidRPr="00B16CA7">
        <w:rPr>
          <w:rFonts w:eastAsia="ArialNarrow,Bold" w:cs="Calibri"/>
          <w:szCs w:val="18"/>
        </w:rPr>
        <w:t>ukupno je 102,41 km željezničkih pruga</w:t>
      </w:r>
      <w:r w:rsidRPr="00B16CA7">
        <w:rPr>
          <w:rFonts w:eastAsia="ArialNarrow" w:cs="Calibri"/>
          <w:szCs w:val="18"/>
        </w:rPr>
        <w:t xml:space="preserve">. Riječ je o prugama od značaja za regionalni i lokalni promet, dok županijom ne prolazi pruga značajna za međunarodni promet. </w:t>
      </w:r>
    </w:p>
    <w:p w14:paraId="4B7B81F4" w14:textId="77777777" w:rsidR="003E6C76" w:rsidRPr="00B16CA7" w:rsidRDefault="003E6C76" w:rsidP="003E6C76">
      <w:pPr>
        <w:jc w:val="left"/>
        <w:rPr>
          <w:rFonts w:cstheme="minorHAnsi"/>
          <w:bCs/>
          <w:i/>
          <w:szCs w:val="18"/>
        </w:rPr>
      </w:pPr>
    </w:p>
    <w:p w14:paraId="5C355D35" w14:textId="0C1F1C46" w:rsidR="003E6C76" w:rsidRDefault="003E6C76" w:rsidP="003E6C76">
      <w:pPr>
        <w:pStyle w:val="Opisslike"/>
      </w:pPr>
      <w:r>
        <w:t xml:space="preserve">Tablica </w:t>
      </w:r>
      <w:r w:rsidR="00EC555A">
        <w:t>9</w:t>
      </w:r>
      <w:r>
        <w:t xml:space="preserve">. </w:t>
      </w:r>
      <w:r w:rsidRPr="00C974FA">
        <w:t>Duljina željezničkih pruga na području Krapinsko-zagorske županije</w:t>
      </w:r>
    </w:p>
    <w:tbl>
      <w:tblPr>
        <w:tblW w:w="9346" w:type="dxa"/>
        <w:tblLook w:val="04A0" w:firstRow="1" w:lastRow="0" w:firstColumn="1" w:lastColumn="0" w:noHBand="0" w:noVBand="1"/>
      </w:tblPr>
      <w:tblGrid>
        <w:gridCol w:w="873"/>
        <w:gridCol w:w="3530"/>
        <w:gridCol w:w="2132"/>
        <w:gridCol w:w="1298"/>
        <w:gridCol w:w="1513"/>
      </w:tblGrid>
      <w:tr w:rsidR="003E6C76" w:rsidRPr="00B16CA7" w14:paraId="0B83A00E" w14:textId="77777777" w:rsidTr="003E6C76">
        <w:trPr>
          <w:trHeight w:val="283"/>
        </w:trPr>
        <w:tc>
          <w:tcPr>
            <w:tcW w:w="873" w:type="dxa"/>
            <w:tcBorders>
              <w:left w:val="single" w:sz="8" w:space="0" w:color="D2232A"/>
              <w:bottom w:val="single" w:sz="8" w:space="0" w:color="F3CFC1"/>
              <w:right w:val="single" w:sz="8" w:space="0" w:color="D2232A"/>
            </w:tcBorders>
            <w:shd w:val="clear" w:color="auto" w:fill="D2232A" w:themeFill="accent1"/>
            <w:hideMark/>
          </w:tcPr>
          <w:p w14:paraId="0645A5DB" w14:textId="77777777" w:rsidR="003E6C76" w:rsidRPr="00B16CA7" w:rsidRDefault="003E6C76" w:rsidP="003E6C76">
            <w:pPr>
              <w:autoSpaceDE w:val="0"/>
              <w:autoSpaceDN w:val="0"/>
              <w:adjustRightInd w:val="0"/>
              <w:spacing w:after="0"/>
              <w:rPr>
                <w:rFonts w:eastAsia="ArialNarrow,Bold" w:cs="Calibri"/>
                <w:color w:val="FFFFFF" w:themeColor="background1"/>
                <w:szCs w:val="18"/>
              </w:rPr>
            </w:pPr>
            <w:r w:rsidRPr="00B16CA7">
              <w:rPr>
                <w:rFonts w:eastAsia="ArialNarrow,Bold" w:cs="Calibri"/>
                <w:color w:val="FFFFFF" w:themeColor="background1"/>
                <w:szCs w:val="18"/>
              </w:rPr>
              <w:t>Oznaka</w:t>
            </w:r>
          </w:p>
        </w:tc>
        <w:tc>
          <w:tcPr>
            <w:tcW w:w="3530" w:type="dxa"/>
            <w:tcBorders>
              <w:left w:val="single" w:sz="8" w:space="0" w:color="D2232A"/>
              <w:bottom w:val="single" w:sz="8" w:space="0" w:color="F3CFC1"/>
              <w:right w:val="single" w:sz="8" w:space="0" w:color="D2232A"/>
            </w:tcBorders>
            <w:shd w:val="clear" w:color="auto" w:fill="D2232A" w:themeFill="accent1"/>
            <w:hideMark/>
          </w:tcPr>
          <w:p w14:paraId="38F86FBE" w14:textId="77777777" w:rsidR="003E6C76" w:rsidRPr="00B16CA7" w:rsidRDefault="003E6C76" w:rsidP="003E6C76">
            <w:pPr>
              <w:autoSpaceDE w:val="0"/>
              <w:autoSpaceDN w:val="0"/>
              <w:adjustRightInd w:val="0"/>
              <w:spacing w:after="0"/>
              <w:rPr>
                <w:rFonts w:eastAsia="ArialNarrow,Bold" w:cs="Calibri"/>
                <w:color w:val="FFFFFF" w:themeColor="background1"/>
                <w:szCs w:val="18"/>
              </w:rPr>
            </w:pPr>
            <w:r w:rsidRPr="00B16CA7">
              <w:rPr>
                <w:rFonts w:eastAsia="ArialNarrow,Bold" w:cs="Calibri"/>
                <w:color w:val="FFFFFF" w:themeColor="background1"/>
                <w:szCs w:val="18"/>
              </w:rPr>
              <w:t>Puni naziv željezničke pruge</w:t>
            </w:r>
          </w:p>
        </w:tc>
        <w:tc>
          <w:tcPr>
            <w:tcW w:w="2132" w:type="dxa"/>
            <w:tcBorders>
              <w:left w:val="single" w:sz="8" w:space="0" w:color="D2232A"/>
              <w:bottom w:val="single" w:sz="8" w:space="0" w:color="F3CFC1"/>
              <w:right w:val="single" w:sz="8" w:space="0" w:color="D2232A"/>
            </w:tcBorders>
            <w:shd w:val="clear" w:color="auto" w:fill="D2232A" w:themeFill="accent1"/>
            <w:hideMark/>
          </w:tcPr>
          <w:p w14:paraId="2DE393CE" w14:textId="77777777" w:rsidR="003E6C76" w:rsidRPr="00B16CA7" w:rsidRDefault="003E6C76" w:rsidP="003E6C76">
            <w:pPr>
              <w:autoSpaceDE w:val="0"/>
              <w:autoSpaceDN w:val="0"/>
              <w:adjustRightInd w:val="0"/>
              <w:spacing w:after="0"/>
              <w:rPr>
                <w:rFonts w:eastAsia="ArialNarrow,Bold" w:cs="Calibri"/>
                <w:color w:val="FFFFFF" w:themeColor="background1"/>
                <w:szCs w:val="18"/>
              </w:rPr>
            </w:pPr>
            <w:r w:rsidRPr="00B16CA7">
              <w:rPr>
                <w:rFonts w:eastAsia="ArialNarrow,Bold" w:cs="Calibri"/>
                <w:color w:val="FFFFFF" w:themeColor="background1"/>
                <w:szCs w:val="18"/>
              </w:rPr>
              <w:t>Skraćeni naziv</w:t>
            </w:r>
          </w:p>
        </w:tc>
        <w:tc>
          <w:tcPr>
            <w:tcW w:w="1298" w:type="dxa"/>
            <w:tcBorders>
              <w:left w:val="single" w:sz="8" w:space="0" w:color="D2232A"/>
              <w:bottom w:val="single" w:sz="8" w:space="0" w:color="F3CFC1"/>
              <w:right w:val="single" w:sz="8" w:space="0" w:color="D2232A"/>
            </w:tcBorders>
            <w:shd w:val="clear" w:color="auto" w:fill="D2232A" w:themeFill="accent1"/>
            <w:hideMark/>
          </w:tcPr>
          <w:p w14:paraId="0EAA2021" w14:textId="77777777" w:rsidR="003E6C76" w:rsidRPr="00B16CA7" w:rsidRDefault="003E6C76" w:rsidP="003E6C76">
            <w:pPr>
              <w:autoSpaceDE w:val="0"/>
              <w:autoSpaceDN w:val="0"/>
              <w:adjustRightInd w:val="0"/>
              <w:spacing w:after="0"/>
              <w:jc w:val="right"/>
              <w:rPr>
                <w:rFonts w:eastAsia="ArialNarrow,Bold" w:cs="Calibri"/>
                <w:color w:val="FFFFFF" w:themeColor="background1"/>
                <w:szCs w:val="18"/>
              </w:rPr>
            </w:pPr>
            <w:r w:rsidRPr="00B16CA7">
              <w:rPr>
                <w:rFonts w:eastAsia="ArialNarrow,Bold" w:cs="Calibri"/>
                <w:color w:val="FFFFFF" w:themeColor="background1"/>
                <w:szCs w:val="18"/>
              </w:rPr>
              <w:t>Građevinska duljina (km)</w:t>
            </w:r>
          </w:p>
        </w:tc>
        <w:tc>
          <w:tcPr>
            <w:tcW w:w="1513" w:type="dxa"/>
            <w:tcBorders>
              <w:left w:val="single" w:sz="8" w:space="0" w:color="D2232A"/>
              <w:bottom w:val="single" w:sz="8" w:space="0" w:color="F3CFC1"/>
              <w:right w:val="single" w:sz="8" w:space="0" w:color="D2232A"/>
            </w:tcBorders>
            <w:shd w:val="clear" w:color="auto" w:fill="D2232A" w:themeFill="accent1"/>
            <w:hideMark/>
          </w:tcPr>
          <w:p w14:paraId="2F9F40BF" w14:textId="77777777" w:rsidR="003E6C76" w:rsidRPr="00B16CA7" w:rsidRDefault="003E6C76" w:rsidP="003E6C76">
            <w:pPr>
              <w:autoSpaceDE w:val="0"/>
              <w:autoSpaceDN w:val="0"/>
              <w:adjustRightInd w:val="0"/>
              <w:spacing w:after="0"/>
              <w:jc w:val="right"/>
              <w:rPr>
                <w:rFonts w:eastAsia="ArialNarrow,Bold" w:cs="Calibri"/>
                <w:color w:val="FFFFFF" w:themeColor="background1"/>
                <w:szCs w:val="18"/>
              </w:rPr>
            </w:pPr>
            <w:r w:rsidRPr="00B16CA7">
              <w:rPr>
                <w:rFonts w:eastAsia="ArialNarrow,Bold" w:cs="Calibri"/>
                <w:color w:val="FFFFFF" w:themeColor="background1"/>
                <w:szCs w:val="18"/>
              </w:rPr>
              <w:t>Duljina u KZŽ</w:t>
            </w:r>
          </w:p>
        </w:tc>
      </w:tr>
      <w:tr w:rsidR="003E6C76" w:rsidRPr="00B16CA7" w14:paraId="3A150B03" w14:textId="77777777" w:rsidTr="003E6C76">
        <w:trPr>
          <w:trHeight w:val="283"/>
        </w:trPr>
        <w:tc>
          <w:tcPr>
            <w:tcW w:w="873" w:type="dxa"/>
            <w:tcBorders>
              <w:top w:val="single" w:sz="8" w:space="0" w:color="F3CFC1"/>
              <w:left w:val="single" w:sz="8" w:space="0" w:color="D2232A"/>
              <w:bottom w:val="single" w:sz="8" w:space="0" w:color="F3CFC1"/>
              <w:right w:val="single" w:sz="8" w:space="0" w:color="D2232A"/>
            </w:tcBorders>
            <w:hideMark/>
          </w:tcPr>
          <w:p w14:paraId="539FE332"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R106</w:t>
            </w:r>
          </w:p>
        </w:tc>
        <w:tc>
          <w:tcPr>
            <w:tcW w:w="3530" w:type="dxa"/>
            <w:tcBorders>
              <w:top w:val="single" w:sz="8" w:space="0" w:color="F3CFC1"/>
              <w:left w:val="single" w:sz="8" w:space="0" w:color="D2232A"/>
              <w:bottom w:val="single" w:sz="8" w:space="0" w:color="F3CFC1"/>
              <w:right w:val="single" w:sz="8" w:space="0" w:color="D2232A"/>
            </w:tcBorders>
            <w:hideMark/>
          </w:tcPr>
          <w:p w14:paraId="37DBD227"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Zabok – Krapina – Đurmanec – Državna granica –</w:t>
            </w:r>
            <w:r w:rsidRPr="00B16CA7">
              <w:rPr>
                <w:rFonts w:ascii="Calibri" w:eastAsia="ArialNarrow,Bold" w:hAnsi="Calibri" w:cs="Calibri"/>
                <w:szCs w:val="18"/>
              </w:rPr>
              <w:t> </w:t>
            </w:r>
            <w:r w:rsidRPr="00B16CA7">
              <w:rPr>
                <w:rFonts w:eastAsia="ArialNarrow,Bold" w:cs="Calibri"/>
                <w:szCs w:val="18"/>
              </w:rPr>
              <w:t>(Rogatec)</w:t>
            </w:r>
          </w:p>
        </w:tc>
        <w:tc>
          <w:tcPr>
            <w:tcW w:w="2132" w:type="dxa"/>
            <w:tcBorders>
              <w:top w:val="single" w:sz="8" w:space="0" w:color="F3CFC1"/>
              <w:left w:val="single" w:sz="8" w:space="0" w:color="D2232A"/>
              <w:bottom w:val="single" w:sz="8" w:space="0" w:color="F3CFC1"/>
              <w:right w:val="single" w:sz="8" w:space="0" w:color="D2232A"/>
            </w:tcBorders>
            <w:hideMark/>
          </w:tcPr>
          <w:p w14:paraId="0719E59B"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Zabok – Đurmanec – DG</w:t>
            </w:r>
          </w:p>
        </w:tc>
        <w:tc>
          <w:tcPr>
            <w:tcW w:w="1298" w:type="dxa"/>
            <w:tcBorders>
              <w:top w:val="single" w:sz="8" w:space="0" w:color="F3CFC1"/>
              <w:left w:val="single" w:sz="8" w:space="0" w:color="D2232A"/>
              <w:bottom w:val="single" w:sz="8" w:space="0" w:color="F3CFC1"/>
              <w:right w:val="single" w:sz="8" w:space="0" w:color="D2232A"/>
            </w:tcBorders>
            <w:hideMark/>
          </w:tcPr>
          <w:p w14:paraId="078A3112"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27,188</w:t>
            </w:r>
          </w:p>
        </w:tc>
        <w:tc>
          <w:tcPr>
            <w:tcW w:w="1513" w:type="dxa"/>
            <w:tcBorders>
              <w:top w:val="single" w:sz="8" w:space="0" w:color="F3CFC1"/>
              <w:left w:val="single" w:sz="8" w:space="0" w:color="D2232A"/>
              <w:bottom w:val="single" w:sz="8" w:space="0" w:color="F3CFC1"/>
              <w:right w:val="single" w:sz="8" w:space="0" w:color="D2232A"/>
            </w:tcBorders>
            <w:hideMark/>
          </w:tcPr>
          <w:p w14:paraId="5B893722"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27,188</w:t>
            </w:r>
          </w:p>
        </w:tc>
      </w:tr>
      <w:tr w:rsidR="003E6C76" w:rsidRPr="00B16CA7" w14:paraId="794DBF80" w14:textId="77777777" w:rsidTr="003E6C76">
        <w:trPr>
          <w:trHeight w:val="283"/>
        </w:trPr>
        <w:tc>
          <w:tcPr>
            <w:tcW w:w="873" w:type="dxa"/>
            <w:tcBorders>
              <w:top w:val="single" w:sz="8" w:space="0" w:color="F3CFC1"/>
              <w:left w:val="single" w:sz="8" w:space="0" w:color="D2232A"/>
              <w:bottom w:val="single" w:sz="8" w:space="0" w:color="F3CFC1"/>
              <w:right w:val="single" w:sz="8" w:space="0" w:color="D2232A"/>
            </w:tcBorders>
            <w:hideMark/>
          </w:tcPr>
          <w:p w14:paraId="54544F00"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R201</w:t>
            </w:r>
          </w:p>
        </w:tc>
        <w:tc>
          <w:tcPr>
            <w:tcW w:w="3530" w:type="dxa"/>
            <w:tcBorders>
              <w:top w:val="single" w:sz="8" w:space="0" w:color="F3CFC1"/>
              <w:left w:val="single" w:sz="8" w:space="0" w:color="D2232A"/>
              <w:bottom w:val="single" w:sz="8" w:space="0" w:color="F3CFC1"/>
              <w:right w:val="single" w:sz="8" w:space="0" w:color="D2232A"/>
            </w:tcBorders>
            <w:hideMark/>
          </w:tcPr>
          <w:p w14:paraId="416795D5"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Zaprešić – Zabok – Varaždin – Čakovec</w:t>
            </w:r>
          </w:p>
        </w:tc>
        <w:tc>
          <w:tcPr>
            <w:tcW w:w="2132" w:type="dxa"/>
            <w:tcBorders>
              <w:top w:val="single" w:sz="8" w:space="0" w:color="F3CFC1"/>
              <w:left w:val="single" w:sz="8" w:space="0" w:color="D2232A"/>
              <w:bottom w:val="single" w:sz="8" w:space="0" w:color="F3CFC1"/>
              <w:right w:val="single" w:sz="8" w:space="0" w:color="D2232A"/>
            </w:tcBorders>
            <w:hideMark/>
          </w:tcPr>
          <w:p w14:paraId="3DEBD642"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Zaprešić – Čakovec</w:t>
            </w:r>
          </w:p>
        </w:tc>
        <w:tc>
          <w:tcPr>
            <w:tcW w:w="1298" w:type="dxa"/>
            <w:tcBorders>
              <w:top w:val="single" w:sz="8" w:space="0" w:color="F3CFC1"/>
              <w:left w:val="single" w:sz="8" w:space="0" w:color="D2232A"/>
              <w:bottom w:val="single" w:sz="8" w:space="0" w:color="F3CFC1"/>
              <w:right w:val="single" w:sz="8" w:space="0" w:color="D2232A"/>
            </w:tcBorders>
            <w:hideMark/>
          </w:tcPr>
          <w:p w14:paraId="1B877F91"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100,554</w:t>
            </w:r>
          </w:p>
        </w:tc>
        <w:tc>
          <w:tcPr>
            <w:tcW w:w="1513" w:type="dxa"/>
            <w:tcBorders>
              <w:top w:val="single" w:sz="8" w:space="0" w:color="F3CFC1"/>
              <w:left w:val="single" w:sz="8" w:space="0" w:color="D2232A"/>
              <w:bottom w:val="single" w:sz="8" w:space="0" w:color="F3CFC1"/>
              <w:right w:val="single" w:sz="8" w:space="0" w:color="D2232A"/>
            </w:tcBorders>
            <w:hideMark/>
          </w:tcPr>
          <w:p w14:paraId="38358C22"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45,173</w:t>
            </w:r>
          </w:p>
        </w:tc>
      </w:tr>
      <w:tr w:rsidR="003E6C76" w:rsidRPr="00B16CA7" w14:paraId="38C78B7F" w14:textId="77777777" w:rsidTr="003E6C76">
        <w:trPr>
          <w:trHeight w:val="283"/>
        </w:trPr>
        <w:tc>
          <w:tcPr>
            <w:tcW w:w="873" w:type="dxa"/>
            <w:tcBorders>
              <w:top w:val="single" w:sz="8" w:space="0" w:color="F3CFC1"/>
              <w:left w:val="single" w:sz="8" w:space="0" w:color="D2232A"/>
              <w:bottom w:val="single" w:sz="8" w:space="0" w:color="F3CFC1"/>
              <w:right w:val="single" w:sz="8" w:space="0" w:color="D2232A"/>
            </w:tcBorders>
            <w:hideMark/>
          </w:tcPr>
          <w:p w14:paraId="36B898D2"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L102</w:t>
            </w:r>
          </w:p>
        </w:tc>
        <w:tc>
          <w:tcPr>
            <w:tcW w:w="3530" w:type="dxa"/>
            <w:tcBorders>
              <w:top w:val="single" w:sz="8" w:space="0" w:color="F3CFC1"/>
              <w:left w:val="single" w:sz="8" w:space="0" w:color="D2232A"/>
              <w:bottom w:val="single" w:sz="8" w:space="0" w:color="F3CFC1"/>
              <w:right w:val="single" w:sz="8" w:space="0" w:color="D2232A"/>
            </w:tcBorders>
            <w:hideMark/>
          </w:tcPr>
          <w:p w14:paraId="62CB8BED"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Savski Marof – Kumrovec – Državna granica –(Imeno)</w:t>
            </w:r>
          </w:p>
        </w:tc>
        <w:tc>
          <w:tcPr>
            <w:tcW w:w="2132" w:type="dxa"/>
            <w:tcBorders>
              <w:top w:val="single" w:sz="8" w:space="0" w:color="F3CFC1"/>
              <w:left w:val="single" w:sz="8" w:space="0" w:color="D2232A"/>
              <w:bottom w:val="single" w:sz="8" w:space="0" w:color="F3CFC1"/>
              <w:right w:val="single" w:sz="8" w:space="0" w:color="D2232A"/>
            </w:tcBorders>
            <w:hideMark/>
          </w:tcPr>
          <w:p w14:paraId="35C3E28F"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S. Marof – Kumrovec – DG</w:t>
            </w:r>
          </w:p>
        </w:tc>
        <w:tc>
          <w:tcPr>
            <w:tcW w:w="1298" w:type="dxa"/>
            <w:tcBorders>
              <w:top w:val="single" w:sz="8" w:space="0" w:color="F3CFC1"/>
              <w:left w:val="single" w:sz="8" w:space="0" w:color="D2232A"/>
              <w:bottom w:val="single" w:sz="8" w:space="0" w:color="F3CFC1"/>
              <w:right w:val="single" w:sz="8" w:space="0" w:color="D2232A"/>
            </w:tcBorders>
            <w:hideMark/>
          </w:tcPr>
          <w:p w14:paraId="36D74B29"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38,522</w:t>
            </w:r>
          </w:p>
        </w:tc>
        <w:tc>
          <w:tcPr>
            <w:tcW w:w="1513" w:type="dxa"/>
            <w:tcBorders>
              <w:top w:val="single" w:sz="8" w:space="0" w:color="F3CFC1"/>
              <w:left w:val="single" w:sz="8" w:space="0" w:color="D2232A"/>
              <w:bottom w:val="single" w:sz="8" w:space="0" w:color="F3CFC1"/>
              <w:right w:val="single" w:sz="8" w:space="0" w:color="D2232A"/>
            </w:tcBorders>
            <w:hideMark/>
          </w:tcPr>
          <w:p w14:paraId="7C6B3B1C"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16,783</w:t>
            </w:r>
          </w:p>
        </w:tc>
      </w:tr>
      <w:tr w:rsidR="003E6C76" w:rsidRPr="00B16CA7" w14:paraId="260AE06D" w14:textId="77777777" w:rsidTr="003E6C76">
        <w:trPr>
          <w:trHeight w:val="283"/>
        </w:trPr>
        <w:tc>
          <w:tcPr>
            <w:tcW w:w="873" w:type="dxa"/>
            <w:tcBorders>
              <w:top w:val="single" w:sz="8" w:space="0" w:color="F3CFC1"/>
              <w:left w:val="single" w:sz="8" w:space="0" w:color="D2232A"/>
              <w:bottom w:val="single" w:sz="8" w:space="0" w:color="F3CFC1"/>
              <w:right w:val="single" w:sz="8" w:space="0" w:color="D2232A"/>
            </w:tcBorders>
            <w:hideMark/>
          </w:tcPr>
          <w:p w14:paraId="5A3F5762"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L201</w:t>
            </w:r>
          </w:p>
        </w:tc>
        <w:tc>
          <w:tcPr>
            <w:tcW w:w="3530" w:type="dxa"/>
            <w:tcBorders>
              <w:top w:val="single" w:sz="8" w:space="0" w:color="F3CFC1"/>
              <w:left w:val="single" w:sz="8" w:space="0" w:color="D2232A"/>
              <w:bottom w:val="single" w:sz="8" w:space="0" w:color="F3CFC1"/>
              <w:right w:val="single" w:sz="8" w:space="0" w:color="D2232A"/>
            </w:tcBorders>
            <w:hideMark/>
          </w:tcPr>
          <w:p w14:paraId="4B08390C"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Varaždin – Ivanec – Golubovec</w:t>
            </w:r>
          </w:p>
        </w:tc>
        <w:tc>
          <w:tcPr>
            <w:tcW w:w="2132" w:type="dxa"/>
            <w:tcBorders>
              <w:top w:val="single" w:sz="8" w:space="0" w:color="F3CFC1"/>
              <w:left w:val="single" w:sz="8" w:space="0" w:color="D2232A"/>
              <w:bottom w:val="single" w:sz="8" w:space="0" w:color="F3CFC1"/>
              <w:right w:val="single" w:sz="8" w:space="0" w:color="D2232A"/>
            </w:tcBorders>
            <w:hideMark/>
          </w:tcPr>
          <w:p w14:paraId="15815129"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Varaždin – Golubovec</w:t>
            </w:r>
          </w:p>
        </w:tc>
        <w:tc>
          <w:tcPr>
            <w:tcW w:w="1298" w:type="dxa"/>
            <w:tcBorders>
              <w:top w:val="single" w:sz="8" w:space="0" w:color="F3CFC1"/>
              <w:left w:val="single" w:sz="8" w:space="0" w:color="D2232A"/>
              <w:bottom w:val="single" w:sz="8" w:space="0" w:color="F3CFC1"/>
              <w:right w:val="single" w:sz="8" w:space="0" w:color="D2232A"/>
            </w:tcBorders>
            <w:hideMark/>
          </w:tcPr>
          <w:p w14:paraId="1D135688"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34,596</w:t>
            </w:r>
          </w:p>
        </w:tc>
        <w:tc>
          <w:tcPr>
            <w:tcW w:w="1513" w:type="dxa"/>
            <w:tcBorders>
              <w:top w:val="single" w:sz="8" w:space="0" w:color="F3CFC1"/>
              <w:left w:val="single" w:sz="8" w:space="0" w:color="D2232A"/>
              <w:bottom w:val="single" w:sz="8" w:space="0" w:color="F3CFC1"/>
              <w:right w:val="single" w:sz="8" w:space="0" w:color="D2232A"/>
            </w:tcBorders>
            <w:hideMark/>
          </w:tcPr>
          <w:p w14:paraId="09EB6192"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2,449</w:t>
            </w:r>
          </w:p>
        </w:tc>
      </w:tr>
      <w:tr w:rsidR="003E6C76" w:rsidRPr="00B16CA7" w14:paraId="63D7DC9D" w14:textId="77777777" w:rsidTr="003E6C76">
        <w:trPr>
          <w:trHeight w:val="283"/>
        </w:trPr>
        <w:tc>
          <w:tcPr>
            <w:tcW w:w="873" w:type="dxa"/>
            <w:tcBorders>
              <w:top w:val="single" w:sz="8" w:space="0" w:color="F3CFC1"/>
              <w:left w:val="single" w:sz="8" w:space="0" w:color="D2232A"/>
              <w:bottom w:val="single" w:sz="8" w:space="0" w:color="F3CFC1"/>
              <w:right w:val="single" w:sz="8" w:space="0" w:color="D2232A"/>
            </w:tcBorders>
            <w:hideMark/>
          </w:tcPr>
          <w:p w14:paraId="0A508CE5"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L202</w:t>
            </w:r>
          </w:p>
        </w:tc>
        <w:tc>
          <w:tcPr>
            <w:tcW w:w="3530" w:type="dxa"/>
            <w:tcBorders>
              <w:top w:val="single" w:sz="8" w:space="0" w:color="F3CFC1"/>
              <w:left w:val="single" w:sz="8" w:space="0" w:color="D2232A"/>
              <w:bottom w:val="single" w:sz="8" w:space="0" w:color="F3CFC1"/>
              <w:right w:val="single" w:sz="8" w:space="0" w:color="D2232A"/>
            </w:tcBorders>
            <w:hideMark/>
          </w:tcPr>
          <w:p w14:paraId="4F39D1C1"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Hum-Lug rasputnica  – Gornja Stubica</w:t>
            </w:r>
          </w:p>
        </w:tc>
        <w:tc>
          <w:tcPr>
            <w:tcW w:w="2132" w:type="dxa"/>
            <w:tcBorders>
              <w:top w:val="single" w:sz="8" w:space="0" w:color="F3CFC1"/>
              <w:left w:val="single" w:sz="8" w:space="0" w:color="D2232A"/>
              <w:bottom w:val="single" w:sz="8" w:space="0" w:color="F3CFC1"/>
              <w:right w:val="single" w:sz="8" w:space="0" w:color="D2232A"/>
            </w:tcBorders>
            <w:hideMark/>
          </w:tcPr>
          <w:p w14:paraId="7830CB87"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Hum-Lug – Gornja Stubica</w:t>
            </w:r>
          </w:p>
        </w:tc>
        <w:tc>
          <w:tcPr>
            <w:tcW w:w="1298" w:type="dxa"/>
            <w:tcBorders>
              <w:top w:val="single" w:sz="8" w:space="0" w:color="F3CFC1"/>
              <w:left w:val="single" w:sz="8" w:space="0" w:color="D2232A"/>
              <w:bottom w:val="single" w:sz="8" w:space="0" w:color="F3CFC1"/>
              <w:right w:val="single" w:sz="8" w:space="0" w:color="D2232A"/>
            </w:tcBorders>
            <w:hideMark/>
          </w:tcPr>
          <w:p w14:paraId="02FCE1E6"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10,820</w:t>
            </w:r>
          </w:p>
        </w:tc>
        <w:tc>
          <w:tcPr>
            <w:tcW w:w="1513" w:type="dxa"/>
            <w:tcBorders>
              <w:top w:val="single" w:sz="8" w:space="0" w:color="F3CFC1"/>
              <w:left w:val="single" w:sz="8" w:space="0" w:color="D2232A"/>
              <w:bottom w:val="single" w:sz="8" w:space="0" w:color="F3CFC1"/>
              <w:right w:val="single" w:sz="8" w:space="0" w:color="D2232A"/>
            </w:tcBorders>
            <w:hideMark/>
          </w:tcPr>
          <w:p w14:paraId="3A72DEBD" w14:textId="77777777" w:rsidR="003E6C76" w:rsidRPr="00B16CA7" w:rsidRDefault="003E6C76" w:rsidP="003E6C76">
            <w:pPr>
              <w:autoSpaceDE w:val="0"/>
              <w:autoSpaceDN w:val="0"/>
              <w:adjustRightInd w:val="0"/>
              <w:spacing w:after="0"/>
              <w:jc w:val="right"/>
              <w:rPr>
                <w:rFonts w:eastAsia="ArialNarrow,Bold" w:cs="Calibri"/>
                <w:szCs w:val="18"/>
              </w:rPr>
            </w:pPr>
            <w:r w:rsidRPr="00B16CA7">
              <w:rPr>
                <w:rFonts w:eastAsia="ArialNarrow,Bold" w:cs="Calibri"/>
                <w:szCs w:val="18"/>
              </w:rPr>
              <w:t>10,820</w:t>
            </w:r>
          </w:p>
        </w:tc>
      </w:tr>
      <w:tr w:rsidR="003E6C76" w:rsidRPr="00B16CA7" w14:paraId="7C914A21" w14:textId="77777777" w:rsidTr="003E6C76">
        <w:trPr>
          <w:trHeight w:val="283"/>
        </w:trPr>
        <w:tc>
          <w:tcPr>
            <w:tcW w:w="6535" w:type="dxa"/>
            <w:gridSpan w:val="3"/>
            <w:tcBorders>
              <w:top w:val="single" w:sz="8" w:space="0" w:color="F3CFC1"/>
              <w:left w:val="single" w:sz="8" w:space="0" w:color="D2232A"/>
            </w:tcBorders>
            <w:shd w:val="clear" w:color="auto" w:fill="E5E5E5" w:themeFill="text1" w:themeFillTint="33"/>
            <w:hideMark/>
          </w:tcPr>
          <w:p w14:paraId="6B376FB7" w14:textId="77777777" w:rsidR="003E6C76" w:rsidRPr="00B16CA7" w:rsidRDefault="003E6C76" w:rsidP="003E6C76">
            <w:pPr>
              <w:autoSpaceDE w:val="0"/>
              <w:autoSpaceDN w:val="0"/>
              <w:adjustRightInd w:val="0"/>
              <w:spacing w:after="0"/>
              <w:rPr>
                <w:rFonts w:eastAsia="ArialNarrow,Bold" w:cs="Calibri"/>
                <w:szCs w:val="18"/>
              </w:rPr>
            </w:pPr>
            <w:r w:rsidRPr="00B16CA7">
              <w:rPr>
                <w:rFonts w:eastAsia="ArialNarrow,Bold" w:cs="Calibri"/>
                <w:szCs w:val="18"/>
              </w:rPr>
              <w:t>UKUPNO</w:t>
            </w:r>
          </w:p>
        </w:tc>
        <w:tc>
          <w:tcPr>
            <w:tcW w:w="1298" w:type="dxa"/>
            <w:tcBorders>
              <w:top w:val="single" w:sz="8" w:space="0" w:color="F3CFC1"/>
              <w:left w:val="nil"/>
              <w:bottom w:val="single" w:sz="4" w:space="0" w:color="FFFFFF" w:themeColor="background1"/>
            </w:tcBorders>
            <w:shd w:val="clear" w:color="auto" w:fill="E5E5E5" w:themeFill="text1" w:themeFillTint="33"/>
            <w:hideMark/>
          </w:tcPr>
          <w:p w14:paraId="48C5A2E9" w14:textId="77777777" w:rsidR="003E6C76" w:rsidRPr="00B16CA7" w:rsidRDefault="003E6C76" w:rsidP="003E6C76">
            <w:pPr>
              <w:autoSpaceDE w:val="0"/>
              <w:autoSpaceDN w:val="0"/>
              <w:adjustRightInd w:val="0"/>
              <w:spacing w:after="0"/>
              <w:jc w:val="right"/>
              <w:rPr>
                <w:rFonts w:eastAsia="ArialNarrow,Bold" w:cs="Calibri"/>
                <w:b/>
                <w:bCs/>
                <w:szCs w:val="18"/>
              </w:rPr>
            </w:pPr>
            <w:r w:rsidRPr="00B16CA7">
              <w:rPr>
                <w:rFonts w:eastAsia="ArialNarrow,Bold" w:cs="Calibri"/>
                <w:b/>
                <w:bCs/>
                <w:szCs w:val="18"/>
              </w:rPr>
              <w:t>211,680</w:t>
            </w:r>
          </w:p>
        </w:tc>
        <w:tc>
          <w:tcPr>
            <w:tcW w:w="1513" w:type="dxa"/>
            <w:tcBorders>
              <w:top w:val="single" w:sz="8" w:space="0" w:color="F3CFC1"/>
              <w:left w:val="nil"/>
              <w:bottom w:val="single" w:sz="4" w:space="0" w:color="FFFFFF" w:themeColor="background1"/>
              <w:right w:val="single" w:sz="8" w:space="0" w:color="D2232A"/>
            </w:tcBorders>
            <w:shd w:val="clear" w:color="auto" w:fill="E5E5E5" w:themeFill="text1" w:themeFillTint="33"/>
            <w:hideMark/>
          </w:tcPr>
          <w:p w14:paraId="61079FFB" w14:textId="77777777" w:rsidR="003E6C76" w:rsidRPr="00B16CA7" w:rsidRDefault="003E6C76" w:rsidP="003E6C76">
            <w:pPr>
              <w:autoSpaceDE w:val="0"/>
              <w:autoSpaceDN w:val="0"/>
              <w:adjustRightInd w:val="0"/>
              <w:spacing w:after="0"/>
              <w:jc w:val="right"/>
              <w:rPr>
                <w:rFonts w:eastAsia="ArialNarrow,Bold" w:cs="Calibri"/>
                <w:b/>
                <w:bCs/>
                <w:szCs w:val="18"/>
              </w:rPr>
            </w:pPr>
            <w:r w:rsidRPr="00B16CA7">
              <w:rPr>
                <w:rFonts w:eastAsia="ArialNarrow,Bold" w:cs="Calibri"/>
                <w:b/>
                <w:bCs/>
                <w:szCs w:val="18"/>
              </w:rPr>
              <w:t>102,413</w:t>
            </w:r>
          </w:p>
        </w:tc>
      </w:tr>
    </w:tbl>
    <w:p w14:paraId="6CD5CE0B" w14:textId="77777777" w:rsidR="003E6C76" w:rsidRPr="0025600B" w:rsidRDefault="003E6C76" w:rsidP="0025600B">
      <w:pPr>
        <w:autoSpaceDE w:val="0"/>
        <w:autoSpaceDN w:val="0"/>
        <w:adjustRightInd w:val="0"/>
        <w:spacing w:after="0" w:line="240" w:lineRule="auto"/>
        <w:rPr>
          <w:rFonts w:eastAsia="ArialNarrow" w:cstheme="minorHAnsi"/>
          <w:i/>
          <w:color w:val="ABABAB" w:themeColor="text1" w:themeTint="A6"/>
          <w:sz w:val="16"/>
          <w:szCs w:val="16"/>
        </w:rPr>
      </w:pPr>
      <w:r w:rsidRPr="0025600B">
        <w:rPr>
          <w:rFonts w:eastAsia="ArialNarrow" w:cstheme="minorHAnsi"/>
          <w:i/>
          <w:color w:val="ABABAB" w:themeColor="text1" w:themeTint="A6"/>
          <w:sz w:val="16"/>
          <w:szCs w:val="16"/>
        </w:rPr>
        <w:t>Izvor: Odluka o razvrstavanju željezničkih pruga NN br.3/14</w:t>
      </w:r>
    </w:p>
    <w:p w14:paraId="614E7827" w14:textId="77777777" w:rsidR="003E6C76" w:rsidRPr="00534B76" w:rsidRDefault="003E6C76" w:rsidP="003E6C76">
      <w:pPr>
        <w:autoSpaceDE w:val="0"/>
        <w:autoSpaceDN w:val="0"/>
        <w:adjustRightInd w:val="0"/>
        <w:spacing w:after="0" w:line="240" w:lineRule="auto"/>
        <w:rPr>
          <w:rFonts w:eastAsia="ArialNarrow" w:cstheme="minorHAnsi"/>
          <w:i/>
          <w:color w:val="ABABAB" w:themeColor="text1" w:themeTint="A6"/>
          <w:sz w:val="16"/>
          <w:szCs w:val="16"/>
        </w:rPr>
      </w:pPr>
    </w:p>
    <w:p w14:paraId="1A644943" w14:textId="77777777" w:rsidR="003E6C76" w:rsidRPr="00F570F5" w:rsidRDefault="003E6C76" w:rsidP="00F570F5">
      <w:pPr>
        <w:rPr>
          <w:rFonts w:eastAsia="ArialNarrow"/>
        </w:rPr>
      </w:pPr>
      <w:r w:rsidRPr="00B16CA7">
        <w:rPr>
          <w:rFonts w:eastAsia="ArialNarrow" w:cs="Calibri"/>
          <w:szCs w:val="18"/>
        </w:rPr>
        <w:t>Prugama u Republici Hrvatskoj upravlja HŽ Infrastruktura. Na razini RH postoji d</w:t>
      </w:r>
      <w:r w:rsidRPr="00B16CA7">
        <w:rPr>
          <w:szCs w:val="18"/>
        </w:rPr>
        <w:t xml:space="preserve">obar omjer kilometara pruga i broja stanovnika zemlje (1556 osoba po kilometru), što stavlja Republiku Hrvatsku u rang s razvijenim europskim </w:t>
      </w:r>
      <w:r w:rsidRPr="00F570F5">
        <w:rPr>
          <w:rFonts w:eastAsia="ArialNarrow"/>
        </w:rPr>
        <w:t xml:space="preserve">zemljama. U usporedbi s prosjekom na razini RH, u KZŽ je omjer kilometara pruga i broja stanovnika niži i iznosi 1288 osoba po kilometru. </w:t>
      </w:r>
    </w:p>
    <w:p w14:paraId="0BF3FF8A" w14:textId="77777777" w:rsidR="003E6C76" w:rsidRDefault="003E6C76" w:rsidP="00F570F5">
      <w:pPr>
        <w:rPr>
          <w:rFonts w:eastAsia="ArialNarrow" w:cs="Calibri"/>
          <w:szCs w:val="18"/>
        </w:rPr>
      </w:pPr>
      <w:r w:rsidRPr="00F570F5">
        <w:rPr>
          <w:rFonts w:eastAsia="ArialNarrow"/>
        </w:rPr>
        <w:t>Oko 55% stanovnika županije živi u širem gravitacijskom području željezničkih pruga i to u 150 naseljenih mjesta (od toga 5 gradova</w:t>
      </w:r>
      <w:r w:rsidRPr="00B16CA7">
        <w:rPr>
          <w:rFonts w:eastAsia="ArialNarrow" w:cs="Calibri"/>
          <w:szCs w:val="18"/>
        </w:rPr>
        <w:t xml:space="preserve">). Ukupan godišnji </w:t>
      </w:r>
      <w:r w:rsidRPr="00B16CA7">
        <w:rPr>
          <w:rFonts w:eastAsia="ArialNarrow,Bold" w:cs="Calibri"/>
          <w:szCs w:val="18"/>
        </w:rPr>
        <w:t>broj korisnika željezničkog prometa u Krapinsko-zagorskoj županiji u 2018. je 1,34 milijuna putnika,</w:t>
      </w:r>
      <w:r w:rsidRPr="00B16CA7">
        <w:rPr>
          <w:rFonts w:eastAsia="ArialNarrow,Bold" w:cs="Calibri"/>
          <w:b/>
          <w:bCs/>
          <w:szCs w:val="18"/>
        </w:rPr>
        <w:t xml:space="preserve"> </w:t>
      </w:r>
      <w:r w:rsidRPr="00B16CA7">
        <w:rPr>
          <w:rFonts w:eastAsia="ArialNarrow" w:cs="Calibri"/>
          <w:szCs w:val="18"/>
        </w:rPr>
        <w:t>ili prosječno oko 3670 ljudi dnevno. U posljednjih 5 godina broj putnika u KZŽ je u kontinuiranom padu (izuzev vrlo blagog povećanja u 2018. u odnosu na 2017.), dok se na razini RH bilježi suprotan trend</w:t>
      </w:r>
      <w:r>
        <w:rPr>
          <w:rFonts w:eastAsia="ArialNarrow" w:cs="Calibri"/>
          <w:szCs w:val="18"/>
        </w:rPr>
        <w:t>,</w:t>
      </w:r>
      <w:r w:rsidRPr="00B16CA7">
        <w:rPr>
          <w:rFonts w:eastAsia="ArialNarrow" w:cs="Calibri"/>
          <w:szCs w:val="18"/>
        </w:rPr>
        <w:t xml:space="preserve"> tj. povećanje broja putnika u promatranom razdoblju.</w:t>
      </w:r>
    </w:p>
    <w:p w14:paraId="2A9F1B9D" w14:textId="77777777" w:rsidR="003E6C76" w:rsidRDefault="003E6C76" w:rsidP="003E6C76">
      <w:pPr>
        <w:autoSpaceDE w:val="0"/>
        <w:autoSpaceDN w:val="0"/>
        <w:adjustRightInd w:val="0"/>
        <w:spacing w:after="0" w:line="240" w:lineRule="auto"/>
        <w:rPr>
          <w:rFonts w:ascii="Calibri" w:eastAsia="ArialNarrow" w:hAnsi="Calibri" w:cs="Calibri"/>
          <w:color w:val="000000"/>
        </w:rPr>
      </w:pPr>
    </w:p>
    <w:p w14:paraId="34F31EA4" w14:textId="225C373C" w:rsidR="003E6C76" w:rsidRDefault="003E6C76" w:rsidP="003E6C76">
      <w:pPr>
        <w:pStyle w:val="Opisslike"/>
      </w:pPr>
      <w:r>
        <w:lastRenderedPageBreak/>
        <w:t xml:space="preserve">Grafikon </w:t>
      </w:r>
      <w:r>
        <w:rPr>
          <w:noProof/>
        </w:rPr>
        <w:fldChar w:fldCharType="begin"/>
      </w:r>
      <w:r>
        <w:rPr>
          <w:noProof/>
        </w:rPr>
        <w:instrText xml:space="preserve"> SEQ Grafikon \* ARABIC </w:instrText>
      </w:r>
      <w:r>
        <w:rPr>
          <w:noProof/>
        </w:rPr>
        <w:fldChar w:fldCharType="separate"/>
      </w:r>
      <w:r w:rsidR="00242051">
        <w:rPr>
          <w:noProof/>
        </w:rPr>
        <w:t>3</w:t>
      </w:r>
      <w:r>
        <w:rPr>
          <w:noProof/>
        </w:rPr>
        <w:fldChar w:fldCharType="end"/>
      </w:r>
      <w:r>
        <w:rPr>
          <w:noProof/>
        </w:rPr>
        <w:t>.</w:t>
      </w:r>
      <w:r>
        <w:t xml:space="preserve"> Usporedni prikaz broja otputovalih putnika u željezničkom prometu u RH i KZŽ, 2014.-2018., u tisućama</w:t>
      </w:r>
    </w:p>
    <w:p w14:paraId="6DEB53CA" w14:textId="77777777" w:rsidR="003E6C76" w:rsidRDefault="003E6C76" w:rsidP="003E6C76">
      <w:pPr>
        <w:autoSpaceDE w:val="0"/>
        <w:autoSpaceDN w:val="0"/>
        <w:adjustRightInd w:val="0"/>
        <w:spacing w:after="0" w:line="240" w:lineRule="auto"/>
        <w:rPr>
          <w:rFonts w:ascii="Calibri" w:eastAsia="ArialNarrow" w:hAnsi="Calibri" w:cs="Calibri"/>
          <w:b/>
          <w:bCs/>
          <w:color w:val="000000"/>
        </w:rPr>
      </w:pPr>
      <w:r>
        <w:rPr>
          <w:noProof/>
          <w:lang w:eastAsia="hr-HR"/>
        </w:rPr>
        <w:drawing>
          <wp:inline distT="0" distB="0" distL="0" distR="0" wp14:anchorId="6B7F58D8" wp14:editId="678BD601">
            <wp:extent cx="5882640" cy="2644140"/>
            <wp:effectExtent l="0" t="0" r="3810" b="3810"/>
            <wp:docPr id="12" name="Chart 237">
              <a:extLst xmlns:a="http://schemas.openxmlformats.org/drawingml/2006/main">
                <a:ext uri="{FF2B5EF4-FFF2-40B4-BE49-F238E27FC236}">
                  <a16:creationId xmlns:a16="http://schemas.microsoft.com/office/drawing/2014/main" id="{1EDC112E-FDE9-4EA9-897D-E940AE39A3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7FA60E5" w14:textId="77777777" w:rsidR="003E6C76" w:rsidRPr="0025600B" w:rsidRDefault="003E6C76" w:rsidP="0025600B">
      <w:pPr>
        <w:autoSpaceDE w:val="0"/>
        <w:autoSpaceDN w:val="0"/>
        <w:adjustRightInd w:val="0"/>
        <w:spacing w:after="0" w:line="240" w:lineRule="auto"/>
        <w:rPr>
          <w:rFonts w:eastAsia="ArialNarrow" w:cstheme="minorHAnsi"/>
          <w:i/>
          <w:color w:val="ABABAB" w:themeColor="text1" w:themeTint="A6"/>
          <w:sz w:val="16"/>
          <w:szCs w:val="16"/>
        </w:rPr>
      </w:pPr>
      <w:r w:rsidRPr="0025600B">
        <w:rPr>
          <w:rFonts w:eastAsia="ArialNarrow" w:cstheme="minorHAnsi"/>
          <w:i/>
          <w:color w:val="ABABAB" w:themeColor="text1" w:themeTint="A6"/>
          <w:sz w:val="16"/>
          <w:szCs w:val="16"/>
        </w:rPr>
        <w:t>Izvor: DZS, Transport – pregled po županijama, 2014.- 2018. godina</w:t>
      </w:r>
    </w:p>
    <w:p w14:paraId="5B641C6A" w14:textId="77777777" w:rsidR="003E6C76" w:rsidRDefault="003E6C76" w:rsidP="003E6C76">
      <w:pPr>
        <w:autoSpaceDE w:val="0"/>
        <w:autoSpaceDN w:val="0"/>
        <w:adjustRightInd w:val="0"/>
        <w:spacing w:after="0" w:line="240" w:lineRule="auto"/>
        <w:rPr>
          <w:rFonts w:ascii="Calibri" w:eastAsia="ArialNarrow" w:hAnsi="Calibri" w:cs="Calibri"/>
          <w:color w:val="000000"/>
          <w:sz w:val="22"/>
          <w:szCs w:val="22"/>
        </w:rPr>
      </w:pPr>
    </w:p>
    <w:p w14:paraId="0F403E27" w14:textId="00874CC0" w:rsidR="00C86360" w:rsidRPr="00F570F5" w:rsidRDefault="003E6C76" w:rsidP="00F570F5">
      <w:pPr>
        <w:rPr>
          <w:rFonts w:eastAsia="ArialNarrow"/>
        </w:rPr>
      </w:pPr>
      <w:r w:rsidRPr="00D02A62">
        <w:rPr>
          <w:rFonts w:eastAsia="ArialNarrow" w:cs="Calibri"/>
          <w:szCs w:val="18"/>
        </w:rPr>
        <w:t xml:space="preserve">Promet se odvija na 36 službenih mjesta (kolodvori, postaje), a međusobni razmaci kolodvora/postaja prosječno iznose 2,87 km. Mala međusobna udaljenost ukazuje na dobru opsluženost </w:t>
      </w:r>
      <w:r>
        <w:rPr>
          <w:rFonts w:eastAsia="ArialNarrow" w:cs="Calibri"/>
          <w:szCs w:val="18"/>
        </w:rPr>
        <w:t>Ž</w:t>
      </w:r>
      <w:r w:rsidRPr="00D02A62">
        <w:rPr>
          <w:rFonts w:eastAsia="ArialNarrow" w:cs="Calibri"/>
          <w:szCs w:val="18"/>
        </w:rPr>
        <w:t>upanije prometom, a</w:t>
      </w:r>
      <w:r>
        <w:rPr>
          <w:rFonts w:eastAsia="ArialNarrow" w:cs="Calibri"/>
          <w:szCs w:val="18"/>
        </w:rPr>
        <w:t>li</w:t>
      </w:r>
      <w:r w:rsidRPr="00D02A62">
        <w:rPr>
          <w:rFonts w:eastAsia="ArialNarrow" w:cs="Calibri"/>
          <w:szCs w:val="18"/>
        </w:rPr>
        <w:t xml:space="preserve"> to s druge </w:t>
      </w:r>
      <w:r w:rsidRPr="00F570F5">
        <w:rPr>
          <w:rFonts w:eastAsia="ArialNarrow"/>
        </w:rPr>
        <w:t xml:space="preserve">strane smanjuje njegovu kvalitetu i komercijalnu brzinu. </w:t>
      </w:r>
      <w:r w:rsidR="00C86360" w:rsidRPr="00F570F5">
        <w:rPr>
          <w:rFonts w:eastAsia="ArialNarrow"/>
        </w:rPr>
        <w:t>U Krapinsko-zagorskoj županiji prema prometu</w:t>
      </w:r>
      <w:r w:rsidR="0081329E" w:rsidRPr="00F570F5">
        <w:rPr>
          <w:rFonts w:eastAsia="ArialNarrow"/>
        </w:rPr>
        <w:t xml:space="preserve"> odnosno broju putnika</w:t>
      </w:r>
      <w:r w:rsidR="00C86360" w:rsidRPr="00F570F5">
        <w:rPr>
          <w:rFonts w:eastAsia="ArialNarrow"/>
        </w:rPr>
        <w:t xml:space="preserve"> izdvajaju se kolodvori Zabok, Krapina, Bedekovčina, Konjščina i Zlatar Bistrica.</w:t>
      </w:r>
    </w:p>
    <w:p w14:paraId="2AC6CBB1" w14:textId="77777777" w:rsidR="003E6C76" w:rsidRPr="00F570F5" w:rsidRDefault="003E6C76" w:rsidP="00F570F5">
      <w:pPr>
        <w:rPr>
          <w:rFonts w:eastAsia="ArialNarrow"/>
        </w:rPr>
      </w:pPr>
      <w:r w:rsidRPr="00F570F5">
        <w:rPr>
          <w:rFonts w:eastAsia="ArialNarrow"/>
        </w:rPr>
        <w:t>Pruga Zaprešić– Varaždin- Čakovec izravno povezuje veći dio Hrvatskog zagorja sa Zagrebom odnosno Varaždinskom i Međimurskom županijom. U tijeku je projekt „Modernizacija i elektrifikacija željezničke pruge Zaprešić – Čakovec (R201) na dionici Zaprešić (isključivo) – Zabok (uključivo)“ kojim bi se do kraja 2021. elektrificirala dionica</w:t>
      </w:r>
      <w:r w:rsidRPr="00D02A62">
        <w:rPr>
          <w:rFonts w:eastAsia="ArialNarrow" w:cs="Calibri"/>
          <w:szCs w:val="18"/>
        </w:rPr>
        <w:t xml:space="preserve"> pruge duljine 23,85 km, uz rekonstrukciju kolodvora, stajališta i drugih pružnih građevina. Elektrifikacijom ove dionice ostvaruju se svi tehnički preduvjeti za nastavak elektrifikacije pruga u svim smjerovima iz kolodvora Zabok i to: pruge Zabok – Gornja Stubica (12 km), Zabok – Krapina – Đurmanec (21 km) </w:t>
      </w:r>
      <w:r w:rsidRPr="00F570F5">
        <w:rPr>
          <w:rFonts w:eastAsia="ArialNarrow"/>
        </w:rPr>
        <w:t>te dionice pruge Zabok – Budinščina, što zahtijeva izgradnju elektrovučne podstanice u Zaboku.</w:t>
      </w:r>
    </w:p>
    <w:p w14:paraId="1BD18514" w14:textId="77777777" w:rsidR="003E6C76" w:rsidRPr="00D02A62" w:rsidRDefault="003E6C76" w:rsidP="00F570F5">
      <w:pPr>
        <w:rPr>
          <w:rFonts w:eastAsia="ArialNarrow" w:cs="Calibri"/>
          <w:szCs w:val="18"/>
        </w:rPr>
      </w:pPr>
      <w:r w:rsidRPr="00F570F5">
        <w:rPr>
          <w:rFonts w:eastAsia="ArialNarrow"/>
        </w:rPr>
        <w:t>U tijeku je i izrada studijske dokumentacije kao podloga za izradu daljnje projektne i prostorno-planske dokumentacije za izgradnju nove pruge Čakovec – Varaždin – Lepoglava – Zagreb koja će omogućiti kraća putovanja vlakom</w:t>
      </w:r>
      <w:r>
        <w:rPr>
          <w:rFonts w:eastAsia="ArialNarrow" w:cs="Calibri"/>
          <w:szCs w:val="18"/>
        </w:rPr>
        <w:t xml:space="preserve"> </w:t>
      </w:r>
      <w:r w:rsidRPr="00D02A62">
        <w:rPr>
          <w:rFonts w:eastAsia="ArialNarrow" w:cs="Calibri"/>
          <w:szCs w:val="18"/>
        </w:rPr>
        <w:t>te omogućiti povezivanje regije od 300.000 stanovnika sjevera Hrvatske sa Zagrebom. Projekt će uključivati modernizaciju željezničkog spoja između Čakovca i Lepoglave te Krapine/Svetog Križa Začretja i Zaboka duljine oko 54 km te gradnju novog spoja između Lepoglave i Krapine/Svetog Križa Začretja duljine oko 19 km. Pruga će biti elektrificirana i građena za brzine do 160 km/h.</w:t>
      </w:r>
    </w:p>
    <w:p w14:paraId="05D60361" w14:textId="77777777" w:rsidR="003E6C76" w:rsidRPr="0061020B" w:rsidRDefault="003E6C76" w:rsidP="0061020B">
      <w:pPr>
        <w:rPr>
          <w:rFonts w:eastAsia="ArialNarrow" w:cs="Calibri"/>
          <w:szCs w:val="18"/>
        </w:rPr>
      </w:pPr>
      <w:r w:rsidRPr="00D02A62">
        <w:rPr>
          <w:rFonts w:eastAsia="ArialNarrow" w:cs="Calibri"/>
          <w:szCs w:val="18"/>
        </w:rPr>
        <w:t xml:space="preserve">Uz gore navedene projekte, u planu je i revitalizacija „Kumrovečke pruge“. </w:t>
      </w:r>
      <w:r w:rsidRPr="00D02A62">
        <w:rPr>
          <w:szCs w:val="18"/>
        </w:rPr>
        <w:t xml:space="preserve">Preduvjet za pokretanje aktivnosti na obnovi, modernizaciji i elektrifikaciji je potpisivanje međudržavnog sporazuma između Republike Hrvatske i Republike Slovenije, kojim bi se regulirali uvjeti za projektiranje i izdavanje dozvola, radove, nadležnost nad pojedinim dijelovima pruge, kao i uvjeti za uspostavu i odvijanje željezničkog prometa te održavanje pruge u prostoru na kojem se nalazi schengenska granica. Po potpisivanju međudržavnog sporazuma, potrebno je izraditi studiju izvodljivosti modernizacije i elektrifikacije željezničke pruge. Kao privremeno rješenje do provedbe projekta modernizacije i elektrifikacije, razmatra se mogućnost popravka postojeće željezničke pruge na dijelu </w:t>
      </w:r>
      <w:r w:rsidRPr="0061020B">
        <w:rPr>
          <w:rFonts w:eastAsia="ArialNarrow" w:cs="Calibri"/>
          <w:szCs w:val="18"/>
        </w:rPr>
        <w:t>dionice Harmica – Klanjec, za što je također preduvjet postizanje međudržavnog sporazuma između RH i Slovenije.</w:t>
      </w:r>
    </w:p>
    <w:p w14:paraId="536AABAD" w14:textId="77777777" w:rsidR="003E6C76" w:rsidRPr="00D02A62" w:rsidRDefault="003E6C76" w:rsidP="0061020B">
      <w:pPr>
        <w:rPr>
          <w:rFonts w:eastAsia="ArialNarrow" w:cs="Calibri"/>
          <w:szCs w:val="18"/>
        </w:rPr>
      </w:pPr>
      <w:r w:rsidRPr="00D02A62">
        <w:rPr>
          <w:rFonts w:eastAsia="ArialNarrow" w:cs="Calibri"/>
          <w:szCs w:val="18"/>
        </w:rPr>
        <w:t>Na području KZŽ najznačajnije željezničko čvorište je Zabok od kojeg se odvajaju priključne pruge Zabok – Đurmanec, koja je povezana s dijelom željezničke mreže Slovenije</w:t>
      </w:r>
      <w:r>
        <w:rPr>
          <w:rFonts w:eastAsia="ArialNarrow" w:cs="Calibri"/>
          <w:szCs w:val="18"/>
        </w:rPr>
        <w:t xml:space="preserve"> </w:t>
      </w:r>
      <w:r w:rsidRPr="00D02A62">
        <w:rPr>
          <w:rFonts w:eastAsia="ArialNarrow" w:cs="Calibri"/>
          <w:szCs w:val="18"/>
        </w:rPr>
        <w:t>te pruga lokalnog značaja Zabok - Gornja Stubica. Pogranična pruga Savski Marof - Kumrovec povezuje glavnu magistralnu prugu Tovarnik - Dobova s krajnjim zapadnim dijelom Hrvatskog zagorja i željezničkom mrežom Slovenije. Na pograničnim prugama Savski Marof - Kumrovec trenutno nema prometnih aktivnosti, dok na dionici pruge Đurmanec – Rogatec postoji prometna aktivnost, a ova je prometna dionica puštena u promet 14. prosinca 2014 godine. S navedenim je i datumom uspostavljeno i novo stajalište Pristava Krapinska. Unatoč zatvaranju pruge Savski Marof - Kumrovec, promet na navedenoj lokaciji nije ukinut, već je osiguran prijevoz autobusima između Harmice i Kumrovca u kojima vrijedi zajednička pretplatna karta HŽPP-MPZ.</w:t>
      </w:r>
    </w:p>
    <w:p w14:paraId="0CA36DFE" w14:textId="5E72D3B7" w:rsidR="003E6C76" w:rsidRPr="00D02A62" w:rsidRDefault="007C50CA" w:rsidP="0061020B">
      <w:pPr>
        <w:rPr>
          <w:rFonts w:eastAsia="ArialNarrow" w:cs="Calibri"/>
          <w:szCs w:val="18"/>
        </w:rPr>
      </w:pPr>
      <w:r w:rsidRPr="00451F4E">
        <w:rPr>
          <w:rFonts w:eastAsia="ArialNarrow" w:cs="Calibri"/>
          <w:szCs w:val="18"/>
        </w:rPr>
        <w:t>Sustav javnog željezničkog prijevoza na području cijele Hrvatske u nadležnosti je društva HŽ Putnički prijevoz.</w:t>
      </w:r>
      <w:r>
        <w:rPr>
          <w:rFonts w:eastAsia="ArialNarrow" w:cs="Calibri"/>
          <w:szCs w:val="18"/>
        </w:rPr>
        <w:t xml:space="preserve"> </w:t>
      </w:r>
      <w:r w:rsidR="00A707AE" w:rsidRPr="00A707AE">
        <w:rPr>
          <w:rFonts w:eastAsia="ArialNarrow" w:cs="Calibri"/>
          <w:szCs w:val="18"/>
        </w:rPr>
        <w:t>Navedena je tvrtka odgovorna za prijevoz putnika željezničkom mrežom, osiguranje sigurnosti vozila u prometovanju te kontinuiranu modernizaciju sukladno europskim standardima.</w:t>
      </w:r>
      <w:r w:rsidR="00A707AE">
        <w:rPr>
          <w:rFonts w:eastAsia="ArialNarrow" w:cs="Calibri"/>
          <w:szCs w:val="18"/>
        </w:rPr>
        <w:t xml:space="preserve"> </w:t>
      </w:r>
      <w:r w:rsidR="003E6C76" w:rsidRPr="00D02A62">
        <w:rPr>
          <w:rFonts w:eastAsia="ArialNarrow" w:cs="Calibri"/>
          <w:szCs w:val="18"/>
        </w:rPr>
        <w:t xml:space="preserve">Frekvencija linija željezničkog prometa na relaciji Zagreb - Zabok – Zagreb pokazuje da radnim </w:t>
      </w:r>
      <w:r w:rsidR="003E6C76" w:rsidRPr="00D02A62">
        <w:rPr>
          <w:rFonts w:eastAsia="ArialNarrow" w:cs="Calibri"/>
          <w:szCs w:val="18"/>
        </w:rPr>
        <w:lastRenderedPageBreak/>
        <w:t>danom postoji željeznički prijevoz putnika svakih 90-120 minuta, no vikendima (osobito nedjeljom) i blagdanima linije su značajno prorijeđene. Veza s potencijalnim emitivnim turističkim tržištima postoji preko glavnog kolodvora u Zagrebu gdje postoje izravne željezničke linije s Münchenom, Zürichom, Frankfurtom, Budimpeštom te Bečom. Preko veznih vlakova u Budimpešti i Beču moguće je nastaviti putovanje prema Kijevu i Moskvi, Parizu i Italiji, a preko veze u Beogradu nastaviti putovanje prema Grčkoj, Turskoj, Bugarskoj te Ista</w:t>
      </w:r>
      <w:r w:rsidR="003E6C76">
        <w:rPr>
          <w:rFonts w:eastAsia="ArialNarrow" w:cs="Calibri"/>
          <w:szCs w:val="18"/>
        </w:rPr>
        <w:t>n</w:t>
      </w:r>
      <w:r w:rsidR="003E6C76" w:rsidRPr="00D02A62">
        <w:rPr>
          <w:rFonts w:eastAsia="ArialNarrow" w:cs="Calibri"/>
          <w:szCs w:val="18"/>
        </w:rPr>
        <w:t>bulu.</w:t>
      </w:r>
    </w:p>
    <w:p w14:paraId="6EDFA631" w14:textId="775B5A49" w:rsidR="003E6C76" w:rsidRDefault="003E6C76" w:rsidP="0061020B">
      <w:pPr>
        <w:rPr>
          <w:rFonts w:eastAsia="ArialNarrow" w:cs="Calibri"/>
          <w:szCs w:val="18"/>
        </w:rPr>
      </w:pPr>
      <w:r w:rsidRPr="00D02A62">
        <w:rPr>
          <w:rFonts w:eastAsia="ArialNarrow" w:cs="Calibri"/>
          <w:szCs w:val="18"/>
        </w:rPr>
        <w:t xml:space="preserve">Od dva željeznička granična prijelaza na području KZŽ, u funkciji je </w:t>
      </w:r>
      <w:r w:rsidRPr="0061020B">
        <w:rPr>
          <w:rFonts w:eastAsia="ArialNarrow" w:cs="Calibri"/>
          <w:szCs w:val="18"/>
        </w:rPr>
        <w:t>stalni granični prijelaz za međunarodni promet putnika i roba u željezničkom prometu – Đurmanec, koji je ponovo otvoren za promet u prosincu 2014., dok stalni granični prijelaz Kumrovec od 1998. nije u funkciji.</w:t>
      </w:r>
    </w:p>
    <w:p w14:paraId="199F93D8" w14:textId="77777777" w:rsidR="00FD1143" w:rsidRPr="00F570F5" w:rsidRDefault="00FD1143" w:rsidP="00FD1143">
      <w:pPr>
        <w:rPr>
          <w:rFonts w:eastAsia="ArialNarrow"/>
        </w:rPr>
      </w:pPr>
      <w:r w:rsidRPr="00FD1143">
        <w:rPr>
          <w:rFonts w:eastAsia="ArialNarrow"/>
        </w:rPr>
        <w:t>Izgrađenost i kvaliteta prometne infrastrukture u željezničkom prometnom sustavu u KZŽ nisu zadovoljavajući, a tehničko - eksploatatorski parametri su najniže vrijednosti, što nije u skladu s vrlo dugom tradicijom i njegovom ulogom u sveukupnom</w:t>
      </w:r>
      <w:r w:rsidRPr="00FD1143">
        <w:rPr>
          <w:rStyle w:val="maintexthtml"/>
          <w:szCs w:val="18"/>
        </w:rPr>
        <w:t xml:space="preserve"> razvoju ovoga područja. </w:t>
      </w:r>
      <w:r w:rsidRPr="00FD1143">
        <w:rPr>
          <w:rFonts w:eastAsia="ArialNarrow" w:cs="Calibri"/>
          <w:szCs w:val="18"/>
        </w:rPr>
        <w:t xml:space="preserve">Problem željezničkog prometa je neelektrificiranost te jednokolosiječnost pruga koje uvelike utječu na kvalitetu i brzinu putovanja. Zbog zastarjelosti kompletne željezničke infrastrukture teško se mogu razvijati i međusobno povezivati drugi oblici prometa poput cestovnog i biciklističkog. Stara željeznička stajališta ne pružaju Park&amp;Ride i Bike&amp;Ride usluge te na većini lokacija nedostaje mjesta za okretište autobusa, parkirnih mjesta i popratne infrastrukture za automobile i bicikle. Posljedično navedenom, željeznički je prijevoz kao i infrastruktura nepovezana s lokalnim javnim prijevozom. Ovaj je nedostatak međusobne povezanosti i koordinacije različitih oblika prometa osobito vidljiv u Zagrebačkoj županiji i Krapinsko-zagorskoj županiji, gdje je i sustav javnog prijevoza razvijen u slabijoj mjeri te njegovo korištenje nije </w:t>
      </w:r>
      <w:r w:rsidRPr="00FD1143">
        <w:rPr>
          <w:rFonts w:eastAsia="ArialNarrow"/>
        </w:rPr>
        <w:t>toliko učestalo kao u slučaju npr. grada Zagreba.</w:t>
      </w:r>
      <w:r w:rsidRPr="00FD1143">
        <w:rPr>
          <w:rStyle w:val="Referencafusnote"/>
          <w:rFonts w:eastAsia="ArialNarrow" w:cs="Calibri"/>
        </w:rPr>
        <w:footnoteReference w:id="10"/>
      </w:r>
    </w:p>
    <w:p w14:paraId="79FED93F" w14:textId="5F37695F" w:rsidR="003E6C76" w:rsidRPr="00D02A62" w:rsidRDefault="003E6C76" w:rsidP="0061020B">
      <w:pPr>
        <w:rPr>
          <w:szCs w:val="18"/>
        </w:rPr>
      </w:pPr>
      <w:r w:rsidRPr="00D02A62">
        <w:rPr>
          <w:rFonts w:eastAsia="ArialNarrow" w:cs="Calibri"/>
          <w:szCs w:val="18"/>
        </w:rPr>
        <w:t>Problem predstavlja i velik broj željezničko-cestovnih prijelaza</w:t>
      </w:r>
      <w:r w:rsidR="00FD1143">
        <w:rPr>
          <w:rFonts w:eastAsia="ArialNarrow" w:cs="Calibri"/>
          <w:szCs w:val="18"/>
        </w:rPr>
        <w:t xml:space="preserve"> (ŽCP)</w:t>
      </w:r>
      <w:r w:rsidRPr="00D02A62">
        <w:rPr>
          <w:rFonts w:eastAsia="ArialNarrow" w:cs="Calibri"/>
          <w:szCs w:val="18"/>
        </w:rPr>
        <w:t xml:space="preserve"> te nedovoljan broj prijelaza koji posjeduju uređaje za siguran prijelaz cestovnih vozila i pješaka preko željezničke pruge. </w:t>
      </w:r>
      <w:r w:rsidR="00FD1143" w:rsidRPr="00FD1143">
        <w:rPr>
          <w:rFonts w:eastAsia="ArialNarrow" w:cs="Calibri"/>
          <w:szCs w:val="18"/>
        </w:rPr>
        <w:t xml:space="preserve">Na prostornom obuhvatu </w:t>
      </w:r>
      <w:r w:rsidR="00FD1143">
        <w:rPr>
          <w:rFonts w:eastAsia="ArialNarrow" w:cs="Calibri"/>
          <w:szCs w:val="18"/>
        </w:rPr>
        <w:t>Krapinsko-zagorske županije</w:t>
      </w:r>
      <w:r w:rsidR="00FD1143" w:rsidRPr="00FD1143">
        <w:rPr>
          <w:rFonts w:eastAsia="ArialNarrow" w:cs="Calibri"/>
          <w:szCs w:val="18"/>
        </w:rPr>
        <w:t xml:space="preserve"> nalazi</w:t>
      </w:r>
      <w:r w:rsidR="00FD1143">
        <w:rPr>
          <w:rFonts w:eastAsia="ArialNarrow" w:cs="Calibri"/>
          <w:szCs w:val="18"/>
        </w:rPr>
        <w:t xml:space="preserve"> </w:t>
      </w:r>
      <w:r w:rsidR="00FD1143" w:rsidRPr="00FD1143">
        <w:rPr>
          <w:rFonts w:eastAsia="ArialNarrow" w:cs="Calibri"/>
          <w:szCs w:val="18"/>
        </w:rPr>
        <w:t xml:space="preserve">se ukupno </w:t>
      </w:r>
      <w:r w:rsidR="00FD1143">
        <w:rPr>
          <w:rFonts w:eastAsia="ArialNarrow" w:cs="Calibri"/>
          <w:szCs w:val="18"/>
        </w:rPr>
        <w:t>130</w:t>
      </w:r>
      <w:r w:rsidR="00FD1143" w:rsidRPr="00FD1143">
        <w:rPr>
          <w:rFonts w:eastAsia="ArialNarrow" w:cs="Calibri"/>
          <w:szCs w:val="18"/>
        </w:rPr>
        <w:t xml:space="preserve"> ŽCP-a i </w:t>
      </w:r>
      <w:r w:rsidR="00FD1143">
        <w:rPr>
          <w:rFonts w:eastAsia="ArialNarrow" w:cs="Calibri"/>
          <w:szCs w:val="18"/>
        </w:rPr>
        <w:t>pješačkih prijelaza (PP-a).</w:t>
      </w:r>
      <w:r w:rsidR="0004155A">
        <w:rPr>
          <w:rFonts w:eastAsia="ArialNarrow" w:cs="Calibri"/>
          <w:szCs w:val="18"/>
        </w:rPr>
        <w:t xml:space="preserve"> </w:t>
      </w:r>
      <w:r w:rsidRPr="00D02A62">
        <w:rPr>
          <w:rFonts w:eastAsia="ArialNarrow" w:cs="Calibri"/>
          <w:szCs w:val="18"/>
        </w:rPr>
        <w:t>Osim toga uočen je i problem nepostojanja sigurne pješačke komunikacije preko prijelaza, s obzirom da na brojnim prijelazima nisu postavljene mimoilazne zaštitne ograde za usmjeravanje pješaka. U cilju rješavanja uočenih problema, Krapinsko-zagorska županija je u suradnji s nadležnim institucijama poduzela niz aktivnosti, što je rezultiralo podizanjem razine osiguranja na nekoliko željezničko-cestovnih prijelaza te se kontinuirano ulaže u sigurnost po ovom pitanju.</w:t>
      </w:r>
    </w:p>
    <w:p w14:paraId="40E148B6" w14:textId="31B62F54" w:rsidR="003E6C76" w:rsidRDefault="003E6C76" w:rsidP="003E6C76">
      <w:pPr>
        <w:autoSpaceDE w:val="0"/>
        <w:autoSpaceDN w:val="0"/>
        <w:adjustRightInd w:val="0"/>
        <w:spacing w:after="0" w:line="240" w:lineRule="auto"/>
        <w:rPr>
          <w:rFonts w:ascii="Calibri" w:eastAsia="ArialNarrow" w:hAnsi="Calibri" w:cs="Calibri"/>
          <w:color w:val="000000"/>
          <w:sz w:val="16"/>
          <w:szCs w:val="16"/>
        </w:rPr>
      </w:pPr>
    </w:p>
    <w:p w14:paraId="1DAF4DA7" w14:textId="29586840" w:rsidR="003E6C76" w:rsidRDefault="006A1A87" w:rsidP="003E6C76">
      <w:pPr>
        <w:pStyle w:val="Naslov2"/>
      </w:pPr>
      <w:bookmarkStart w:id="45" w:name="_Toc85181284"/>
      <w:r>
        <w:t>3</w:t>
      </w:r>
      <w:r w:rsidR="003E6C76">
        <w:t>.3. Zračni promet</w:t>
      </w:r>
      <w:bookmarkEnd w:id="45"/>
    </w:p>
    <w:p w14:paraId="6942C9D8" w14:textId="77777777" w:rsidR="003E6C76" w:rsidRDefault="003E6C76" w:rsidP="003E6C76">
      <w:pPr>
        <w:autoSpaceDE w:val="0"/>
        <w:autoSpaceDN w:val="0"/>
        <w:adjustRightInd w:val="0"/>
        <w:spacing w:after="0" w:line="240" w:lineRule="auto"/>
        <w:rPr>
          <w:rFonts w:ascii="Calibri" w:eastAsia="ArialNarrow,Bold" w:hAnsi="Calibri" w:cs="Calibri"/>
          <w:b/>
          <w:bCs/>
          <w:color w:val="4F82BE"/>
          <w:sz w:val="24"/>
          <w:szCs w:val="24"/>
        </w:rPr>
      </w:pPr>
    </w:p>
    <w:p w14:paraId="42465CED" w14:textId="77777777" w:rsidR="003E6C76" w:rsidRPr="00544E00" w:rsidRDefault="003E6C76" w:rsidP="00544E00">
      <w:pPr>
        <w:rPr>
          <w:rFonts w:eastAsia="ArialNarrow"/>
        </w:rPr>
      </w:pPr>
      <w:bookmarkStart w:id="46" w:name="_Hlk37849681"/>
      <w:r w:rsidRPr="00B16CA7">
        <w:rPr>
          <w:rFonts w:eastAsia="ArialNarrow" w:cs="Calibri"/>
        </w:rPr>
        <w:t xml:space="preserve">Na području Krapinsko-zagorske županije registriran je Krapinsko-zagorski aerodrom d.o.o. za športsko turističku djelatnost čiji su osnivači Krapinsko-zagorska županija i Grad Zabok. Hrvatska agencija za civilno zrakoplovstvo 2013. izdala je rješenje kojim se daje Odobrenje za uporabu aerodroma Zabok - Gubaševo (LDZK) operatoru aerodroma KZA d.o.o. Aerodrom se nalazi 3 km zapadno od Grada Zaboka, odnosno, u blizini Grada </w:t>
      </w:r>
      <w:r w:rsidRPr="00544E00">
        <w:rPr>
          <w:rFonts w:eastAsia="ArialNarrow"/>
        </w:rPr>
        <w:t xml:space="preserve">Zagreba te ima povoljan geoprometni položaj.  </w:t>
      </w:r>
    </w:p>
    <w:p w14:paraId="4B4190C3" w14:textId="77777777" w:rsidR="003E6C76" w:rsidRPr="00B16CA7" w:rsidRDefault="003E6C76" w:rsidP="00544E00">
      <w:pPr>
        <w:rPr>
          <w:rFonts w:eastAsia="ArialNarrow" w:cs="Calibri"/>
        </w:rPr>
      </w:pPr>
      <w:r w:rsidRPr="00544E00">
        <w:rPr>
          <w:rFonts w:eastAsia="ArialNarrow"/>
        </w:rPr>
        <w:t>Manevarska površina aerodroma ZABOK - Gubaševo je travnata, koja se održava košenjem, valjanjem i ravnanjem</w:t>
      </w:r>
      <w:r w:rsidRPr="00B16CA7">
        <w:t xml:space="preserve">. Duljina uzletno-sletne staze iznosi 799 m, a širina 30 m. </w:t>
      </w:r>
      <w:r w:rsidRPr="00B16CA7">
        <w:rPr>
          <w:rFonts w:eastAsia="ArialNarrow" w:cs="Calibri"/>
        </w:rPr>
        <w:t>Trenutna kategorija aerodroma Zabok – Gubaševo (LDZK) je 1A koja podrazumijeva duljinu uzletno sletne staze manju od 800 m, raspon krila 15 m. Na aerodrom trenutno mogu slijetati sportsko-turistički avioni koji svojim karakteristikama ne prelaze zahtjeve kategorije aerodrom</w:t>
      </w:r>
      <w:r>
        <w:rPr>
          <w:rFonts w:eastAsia="ArialNarrow" w:cs="Calibri"/>
        </w:rPr>
        <w:t>a</w:t>
      </w:r>
      <w:r w:rsidRPr="00B16CA7">
        <w:rPr>
          <w:rFonts w:eastAsia="ArialNarrow" w:cs="Calibri"/>
        </w:rPr>
        <w:t xml:space="preserve">. </w:t>
      </w:r>
    </w:p>
    <w:p w14:paraId="2D5B5BB6" w14:textId="77777777" w:rsidR="003E6C76" w:rsidRPr="00B16CA7" w:rsidRDefault="003E6C76" w:rsidP="003E6C76">
      <w:pPr>
        <w:autoSpaceDE w:val="0"/>
        <w:autoSpaceDN w:val="0"/>
        <w:adjustRightInd w:val="0"/>
        <w:spacing w:after="0" w:line="240" w:lineRule="auto"/>
        <w:rPr>
          <w:rFonts w:eastAsia="ArialNarrow" w:cs="Calibri"/>
        </w:rPr>
      </w:pPr>
    </w:p>
    <w:p w14:paraId="60AD05A8" w14:textId="37CDDD4A" w:rsidR="003E6C76" w:rsidRDefault="003E6C76" w:rsidP="003E6C76">
      <w:pPr>
        <w:autoSpaceDE w:val="0"/>
        <w:autoSpaceDN w:val="0"/>
        <w:adjustRightInd w:val="0"/>
        <w:spacing w:after="0" w:line="240" w:lineRule="auto"/>
        <w:rPr>
          <w:rFonts w:eastAsia="ArialNarrow" w:cs="Calibri"/>
        </w:rPr>
      </w:pPr>
      <w:r w:rsidRPr="00B16CA7">
        <w:rPr>
          <w:rFonts w:eastAsia="ArialNarrow" w:cs="Calibri"/>
        </w:rPr>
        <w:t xml:space="preserve">Većina letačkih operacija na aerodromu izvodi se u trenažne svrhe. Ne postoji hangar kao ni mogućnost točenja goriva pa su sve operacije svedene na dolazak i odlazak zrakoplova, odnosno, jednodnevne aktivnosti. </w:t>
      </w:r>
      <w:r w:rsidRPr="00B1476A">
        <w:rPr>
          <w:rFonts w:eastAsia="ArialNarrow" w:cs="Calibri"/>
        </w:rPr>
        <w:t>Što se tiče ostalih vidova zračnog prometa</w:t>
      </w:r>
      <w:r>
        <w:rPr>
          <w:rFonts w:eastAsia="ArialNarrow" w:cs="Calibri"/>
        </w:rPr>
        <w:t>,</w:t>
      </w:r>
      <w:r w:rsidRPr="00B1476A">
        <w:rPr>
          <w:rFonts w:eastAsia="ArialNarrow" w:cs="Calibri"/>
        </w:rPr>
        <w:t xml:space="preserve"> rad aeroklubova i pojedinaca</w:t>
      </w:r>
      <w:r>
        <w:rPr>
          <w:rFonts w:eastAsia="ArialNarrow" w:cs="Calibri"/>
        </w:rPr>
        <w:t xml:space="preserve"> odvija se</w:t>
      </w:r>
      <w:r w:rsidRPr="00B1476A">
        <w:rPr>
          <w:rFonts w:eastAsia="ArialNarrow" w:cs="Calibri"/>
        </w:rPr>
        <w:t xml:space="preserve"> sukladno registriranoj djelatnosti (jedriličari, ultra laki zrakoplovi, avioni, baloni, padobranci, žirokopteri, parajedrilice)</w:t>
      </w:r>
      <w:r>
        <w:rPr>
          <w:rFonts w:eastAsia="ArialNarrow" w:cs="Calibri"/>
        </w:rPr>
        <w:t xml:space="preserve"> koji također provode obuke i seminare (teorija i praksa). </w:t>
      </w:r>
      <w:r w:rsidRPr="00B16CA7">
        <w:rPr>
          <w:rFonts w:eastAsia="ArialNarrow" w:cs="Calibri"/>
        </w:rPr>
        <w:t>Letačka djelatnost provodi se prigodno, a cilj je u narednom periodu uspostaviti redovitu letačku djelatnost, za što će biti potrebno osigurati daljnji razvoj servisne potpore.</w:t>
      </w:r>
    </w:p>
    <w:p w14:paraId="6FAF434F" w14:textId="77777777" w:rsidR="00531137" w:rsidRPr="00B16CA7" w:rsidRDefault="00531137" w:rsidP="003E6C76">
      <w:pPr>
        <w:autoSpaceDE w:val="0"/>
        <w:autoSpaceDN w:val="0"/>
        <w:adjustRightInd w:val="0"/>
        <w:spacing w:after="0" w:line="240" w:lineRule="auto"/>
        <w:rPr>
          <w:rFonts w:eastAsia="ArialNarrow" w:cs="Calibri"/>
        </w:rPr>
      </w:pPr>
    </w:p>
    <w:p w14:paraId="68BEF624" w14:textId="4BFF30EC" w:rsidR="003E6C76" w:rsidRDefault="003E6C76" w:rsidP="003E6C76">
      <w:pPr>
        <w:pStyle w:val="Opisslike"/>
      </w:pPr>
      <w:r>
        <w:t xml:space="preserve">Tablica </w:t>
      </w:r>
      <w:r w:rsidR="00EC555A">
        <w:t>10</w:t>
      </w:r>
      <w:r>
        <w:t xml:space="preserve">. </w:t>
      </w:r>
      <w:r w:rsidRPr="00673771">
        <w:t>Broj letećih operacija prema vrstama zrakoplovnih letjelica u 2017. i 2018.</w:t>
      </w:r>
    </w:p>
    <w:tbl>
      <w:tblPr>
        <w:tblW w:w="9247" w:type="dxa"/>
        <w:tblLook w:val="04A0" w:firstRow="1" w:lastRow="0" w:firstColumn="1" w:lastColumn="0" w:noHBand="0" w:noVBand="1"/>
      </w:tblPr>
      <w:tblGrid>
        <w:gridCol w:w="4775"/>
        <w:gridCol w:w="2236"/>
        <w:gridCol w:w="2236"/>
      </w:tblGrid>
      <w:tr w:rsidR="003E6C76" w:rsidRPr="00B16CA7" w14:paraId="3631314C" w14:textId="77777777" w:rsidTr="00F722CE">
        <w:trPr>
          <w:trHeight w:val="288"/>
        </w:trPr>
        <w:tc>
          <w:tcPr>
            <w:tcW w:w="4775" w:type="dxa"/>
            <w:tcBorders>
              <w:left w:val="single" w:sz="8" w:space="0" w:color="D2232A"/>
              <w:bottom w:val="single" w:sz="8" w:space="0" w:color="F3CFC1"/>
              <w:right w:val="single" w:sz="8" w:space="0" w:color="D2232A"/>
            </w:tcBorders>
            <w:shd w:val="clear" w:color="auto" w:fill="D2232A" w:themeFill="accent1"/>
            <w:hideMark/>
          </w:tcPr>
          <w:p w14:paraId="00F5A371" w14:textId="77777777" w:rsidR="003E6C76" w:rsidRPr="00B16CA7" w:rsidRDefault="003E6C76" w:rsidP="00946C89">
            <w:pPr>
              <w:autoSpaceDE w:val="0"/>
              <w:autoSpaceDN w:val="0"/>
              <w:adjustRightInd w:val="0"/>
              <w:spacing w:after="0"/>
              <w:jc w:val="center"/>
              <w:rPr>
                <w:rFonts w:eastAsia="ArialNarrow" w:cs="Calibri"/>
                <w:color w:val="FFFFFF" w:themeColor="background1"/>
              </w:rPr>
            </w:pPr>
            <w:r w:rsidRPr="00B16CA7">
              <w:rPr>
                <w:rFonts w:eastAsia="ArialNarrow" w:cs="Calibri"/>
                <w:color w:val="FFFFFF" w:themeColor="background1"/>
              </w:rPr>
              <w:t>Vrsta zrakoplova</w:t>
            </w:r>
          </w:p>
        </w:tc>
        <w:tc>
          <w:tcPr>
            <w:tcW w:w="2236" w:type="dxa"/>
            <w:tcBorders>
              <w:left w:val="single" w:sz="8" w:space="0" w:color="D2232A"/>
              <w:bottom w:val="single" w:sz="8" w:space="0" w:color="F3CFC1"/>
              <w:right w:val="single" w:sz="8" w:space="0" w:color="D2232A"/>
            </w:tcBorders>
            <w:shd w:val="clear" w:color="auto" w:fill="D2232A" w:themeFill="accent1"/>
            <w:hideMark/>
          </w:tcPr>
          <w:p w14:paraId="6A8BC9CA" w14:textId="77777777" w:rsidR="003E6C76" w:rsidRPr="00B16CA7" w:rsidRDefault="003E6C76" w:rsidP="00946C89">
            <w:pPr>
              <w:autoSpaceDE w:val="0"/>
              <w:autoSpaceDN w:val="0"/>
              <w:adjustRightInd w:val="0"/>
              <w:spacing w:after="0"/>
              <w:jc w:val="center"/>
              <w:rPr>
                <w:rFonts w:eastAsia="ArialNarrow" w:cs="Calibri"/>
                <w:color w:val="FFFFFF" w:themeColor="background1"/>
              </w:rPr>
            </w:pPr>
            <w:r w:rsidRPr="00B16CA7">
              <w:rPr>
                <w:rFonts w:eastAsia="ArialNarrow" w:cs="Calibri"/>
                <w:color w:val="FFFFFF" w:themeColor="background1"/>
              </w:rPr>
              <w:t>2017.</w:t>
            </w:r>
          </w:p>
        </w:tc>
        <w:tc>
          <w:tcPr>
            <w:tcW w:w="2236" w:type="dxa"/>
            <w:tcBorders>
              <w:left w:val="single" w:sz="8" w:space="0" w:color="D2232A"/>
              <w:bottom w:val="single" w:sz="8" w:space="0" w:color="F3CFC1"/>
              <w:right w:val="single" w:sz="8" w:space="0" w:color="D2232A"/>
            </w:tcBorders>
            <w:shd w:val="clear" w:color="auto" w:fill="D2232A" w:themeFill="accent1"/>
            <w:hideMark/>
          </w:tcPr>
          <w:p w14:paraId="0FC93CE1" w14:textId="77777777" w:rsidR="003E6C76" w:rsidRPr="00B16CA7" w:rsidRDefault="003E6C76" w:rsidP="00946C89">
            <w:pPr>
              <w:autoSpaceDE w:val="0"/>
              <w:autoSpaceDN w:val="0"/>
              <w:adjustRightInd w:val="0"/>
              <w:spacing w:after="0"/>
              <w:jc w:val="center"/>
              <w:rPr>
                <w:rFonts w:eastAsia="ArialNarrow" w:cs="Calibri"/>
                <w:color w:val="FFFFFF" w:themeColor="background1"/>
              </w:rPr>
            </w:pPr>
            <w:r w:rsidRPr="00B16CA7">
              <w:rPr>
                <w:rFonts w:eastAsia="ArialNarrow" w:cs="Calibri"/>
                <w:color w:val="FFFFFF" w:themeColor="background1"/>
              </w:rPr>
              <w:t>2018.</w:t>
            </w:r>
          </w:p>
        </w:tc>
      </w:tr>
      <w:tr w:rsidR="003E6C76" w:rsidRPr="00B16CA7" w14:paraId="4A770D86" w14:textId="77777777" w:rsidTr="00F722CE">
        <w:trPr>
          <w:trHeight w:val="288"/>
        </w:trPr>
        <w:tc>
          <w:tcPr>
            <w:tcW w:w="4775" w:type="dxa"/>
            <w:tcBorders>
              <w:top w:val="single" w:sz="8" w:space="0" w:color="F3CFC1"/>
              <w:left w:val="single" w:sz="8" w:space="0" w:color="D2232A"/>
              <w:bottom w:val="single" w:sz="8" w:space="0" w:color="F3CFC1"/>
              <w:right w:val="single" w:sz="8" w:space="0" w:color="D2232A"/>
            </w:tcBorders>
            <w:hideMark/>
          </w:tcPr>
          <w:p w14:paraId="183CF4DF"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Parajedrilice</w:t>
            </w:r>
          </w:p>
        </w:tc>
        <w:tc>
          <w:tcPr>
            <w:tcW w:w="2236" w:type="dxa"/>
            <w:tcBorders>
              <w:top w:val="single" w:sz="8" w:space="0" w:color="F3CFC1"/>
              <w:left w:val="single" w:sz="8" w:space="0" w:color="D2232A"/>
              <w:bottom w:val="single" w:sz="8" w:space="0" w:color="F3CFC1"/>
              <w:right w:val="single" w:sz="8" w:space="0" w:color="D2232A"/>
            </w:tcBorders>
            <w:hideMark/>
          </w:tcPr>
          <w:p w14:paraId="758AD4B1"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12</w:t>
            </w:r>
          </w:p>
        </w:tc>
        <w:tc>
          <w:tcPr>
            <w:tcW w:w="2236" w:type="dxa"/>
            <w:tcBorders>
              <w:top w:val="single" w:sz="8" w:space="0" w:color="F3CFC1"/>
              <w:left w:val="single" w:sz="8" w:space="0" w:color="D2232A"/>
              <w:bottom w:val="single" w:sz="8" w:space="0" w:color="F3CFC1"/>
              <w:right w:val="single" w:sz="8" w:space="0" w:color="D2232A"/>
            </w:tcBorders>
            <w:hideMark/>
          </w:tcPr>
          <w:p w14:paraId="6A0E87A7"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52</w:t>
            </w:r>
          </w:p>
        </w:tc>
      </w:tr>
      <w:tr w:rsidR="003E6C76" w:rsidRPr="00B16CA7" w14:paraId="66A9D35A" w14:textId="77777777" w:rsidTr="00F722CE">
        <w:trPr>
          <w:trHeight w:val="288"/>
        </w:trPr>
        <w:tc>
          <w:tcPr>
            <w:tcW w:w="4775" w:type="dxa"/>
            <w:tcBorders>
              <w:top w:val="single" w:sz="8" w:space="0" w:color="F3CFC1"/>
              <w:left w:val="single" w:sz="8" w:space="0" w:color="D2232A"/>
              <w:bottom w:val="single" w:sz="8" w:space="0" w:color="F3CFC1"/>
              <w:right w:val="single" w:sz="8" w:space="0" w:color="D2232A"/>
            </w:tcBorders>
            <w:hideMark/>
          </w:tcPr>
          <w:p w14:paraId="544EB12F" w14:textId="07D51D33"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Ultra laki zrakoplovi</w:t>
            </w:r>
          </w:p>
        </w:tc>
        <w:tc>
          <w:tcPr>
            <w:tcW w:w="2236" w:type="dxa"/>
            <w:tcBorders>
              <w:top w:val="single" w:sz="8" w:space="0" w:color="F3CFC1"/>
              <w:left w:val="single" w:sz="8" w:space="0" w:color="D2232A"/>
              <w:bottom w:val="single" w:sz="8" w:space="0" w:color="F3CFC1"/>
              <w:right w:val="single" w:sz="8" w:space="0" w:color="D2232A"/>
            </w:tcBorders>
            <w:hideMark/>
          </w:tcPr>
          <w:p w14:paraId="69F03A4E"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18</w:t>
            </w:r>
          </w:p>
        </w:tc>
        <w:tc>
          <w:tcPr>
            <w:tcW w:w="2236" w:type="dxa"/>
            <w:tcBorders>
              <w:top w:val="single" w:sz="8" w:space="0" w:color="F3CFC1"/>
              <w:left w:val="single" w:sz="8" w:space="0" w:color="D2232A"/>
              <w:bottom w:val="single" w:sz="8" w:space="0" w:color="F3CFC1"/>
              <w:right w:val="single" w:sz="8" w:space="0" w:color="D2232A"/>
            </w:tcBorders>
            <w:hideMark/>
          </w:tcPr>
          <w:p w14:paraId="3FF9A132"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26</w:t>
            </w:r>
          </w:p>
        </w:tc>
      </w:tr>
      <w:tr w:rsidR="003E6C76" w:rsidRPr="00B16CA7" w14:paraId="6C7C1965" w14:textId="77777777" w:rsidTr="00F722CE">
        <w:trPr>
          <w:trHeight w:val="288"/>
        </w:trPr>
        <w:tc>
          <w:tcPr>
            <w:tcW w:w="4775" w:type="dxa"/>
            <w:tcBorders>
              <w:top w:val="single" w:sz="8" w:space="0" w:color="F3CFC1"/>
              <w:left w:val="single" w:sz="8" w:space="0" w:color="D2232A"/>
              <w:bottom w:val="single" w:sz="8" w:space="0" w:color="F3CFC1"/>
              <w:right w:val="single" w:sz="8" w:space="0" w:color="D2232A"/>
            </w:tcBorders>
            <w:hideMark/>
          </w:tcPr>
          <w:p w14:paraId="1C1E1BE2"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Jedrilice</w:t>
            </w:r>
          </w:p>
        </w:tc>
        <w:tc>
          <w:tcPr>
            <w:tcW w:w="2236" w:type="dxa"/>
            <w:tcBorders>
              <w:top w:val="single" w:sz="8" w:space="0" w:color="F3CFC1"/>
              <w:left w:val="single" w:sz="8" w:space="0" w:color="D2232A"/>
              <w:bottom w:val="single" w:sz="8" w:space="0" w:color="F3CFC1"/>
              <w:right w:val="single" w:sz="8" w:space="0" w:color="D2232A"/>
            </w:tcBorders>
            <w:hideMark/>
          </w:tcPr>
          <w:p w14:paraId="4A206E10"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16</w:t>
            </w:r>
          </w:p>
        </w:tc>
        <w:tc>
          <w:tcPr>
            <w:tcW w:w="2236" w:type="dxa"/>
            <w:tcBorders>
              <w:top w:val="single" w:sz="8" w:space="0" w:color="F3CFC1"/>
              <w:left w:val="single" w:sz="8" w:space="0" w:color="D2232A"/>
              <w:bottom w:val="single" w:sz="8" w:space="0" w:color="F3CFC1"/>
              <w:right w:val="single" w:sz="8" w:space="0" w:color="D2232A"/>
            </w:tcBorders>
            <w:hideMark/>
          </w:tcPr>
          <w:p w14:paraId="592B4828"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8</w:t>
            </w:r>
          </w:p>
        </w:tc>
      </w:tr>
      <w:tr w:rsidR="003E6C76" w:rsidRPr="00B16CA7" w14:paraId="5EF2B25F" w14:textId="77777777" w:rsidTr="00F722CE">
        <w:trPr>
          <w:trHeight w:val="288"/>
        </w:trPr>
        <w:tc>
          <w:tcPr>
            <w:tcW w:w="4775" w:type="dxa"/>
            <w:tcBorders>
              <w:top w:val="single" w:sz="8" w:space="0" w:color="F3CFC1"/>
              <w:left w:val="single" w:sz="8" w:space="0" w:color="D2232A"/>
              <w:bottom w:val="single" w:sz="8" w:space="0" w:color="F3CFC1"/>
              <w:right w:val="single" w:sz="8" w:space="0" w:color="D2232A"/>
            </w:tcBorders>
            <w:hideMark/>
          </w:tcPr>
          <w:p w14:paraId="6FE722FC"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lastRenderedPageBreak/>
              <w:t>Baloni</w:t>
            </w:r>
          </w:p>
        </w:tc>
        <w:tc>
          <w:tcPr>
            <w:tcW w:w="2236" w:type="dxa"/>
            <w:tcBorders>
              <w:top w:val="single" w:sz="8" w:space="0" w:color="F3CFC1"/>
              <w:left w:val="single" w:sz="8" w:space="0" w:color="D2232A"/>
              <w:bottom w:val="single" w:sz="8" w:space="0" w:color="F3CFC1"/>
              <w:right w:val="single" w:sz="8" w:space="0" w:color="D2232A"/>
            </w:tcBorders>
            <w:hideMark/>
          </w:tcPr>
          <w:p w14:paraId="113621F3"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93</w:t>
            </w:r>
          </w:p>
        </w:tc>
        <w:tc>
          <w:tcPr>
            <w:tcW w:w="2236" w:type="dxa"/>
            <w:tcBorders>
              <w:top w:val="single" w:sz="8" w:space="0" w:color="F3CFC1"/>
              <w:left w:val="single" w:sz="8" w:space="0" w:color="D2232A"/>
              <w:bottom w:val="single" w:sz="8" w:space="0" w:color="F3CFC1"/>
              <w:right w:val="single" w:sz="8" w:space="0" w:color="D2232A"/>
            </w:tcBorders>
            <w:hideMark/>
          </w:tcPr>
          <w:p w14:paraId="64C11941"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92</w:t>
            </w:r>
          </w:p>
        </w:tc>
      </w:tr>
      <w:tr w:rsidR="003E6C76" w:rsidRPr="00B16CA7" w14:paraId="7BF83B8D" w14:textId="77777777" w:rsidTr="00F722CE">
        <w:trPr>
          <w:trHeight w:val="288"/>
        </w:trPr>
        <w:tc>
          <w:tcPr>
            <w:tcW w:w="4775" w:type="dxa"/>
            <w:tcBorders>
              <w:top w:val="single" w:sz="8" w:space="0" w:color="F3CFC1"/>
              <w:left w:val="single" w:sz="8" w:space="0" w:color="D2232A"/>
              <w:bottom w:val="single" w:sz="8" w:space="0" w:color="F3CFC1"/>
              <w:right w:val="single" w:sz="8" w:space="0" w:color="D2232A"/>
            </w:tcBorders>
            <w:hideMark/>
          </w:tcPr>
          <w:p w14:paraId="1FB1C599"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Avioni</w:t>
            </w:r>
          </w:p>
        </w:tc>
        <w:tc>
          <w:tcPr>
            <w:tcW w:w="2236" w:type="dxa"/>
            <w:tcBorders>
              <w:top w:val="single" w:sz="8" w:space="0" w:color="F3CFC1"/>
              <w:left w:val="single" w:sz="8" w:space="0" w:color="D2232A"/>
              <w:bottom w:val="single" w:sz="8" w:space="0" w:color="F3CFC1"/>
              <w:right w:val="single" w:sz="8" w:space="0" w:color="D2232A"/>
            </w:tcBorders>
            <w:hideMark/>
          </w:tcPr>
          <w:p w14:paraId="01F64552"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40</w:t>
            </w:r>
          </w:p>
        </w:tc>
        <w:tc>
          <w:tcPr>
            <w:tcW w:w="2236" w:type="dxa"/>
            <w:tcBorders>
              <w:top w:val="single" w:sz="8" w:space="0" w:color="F3CFC1"/>
              <w:left w:val="single" w:sz="8" w:space="0" w:color="D2232A"/>
              <w:bottom w:val="single" w:sz="8" w:space="0" w:color="F3CFC1"/>
              <w:right w:val="single" w:sz="8" w:space="0" w:color="D2232A"/>
            </w:tcBorders>
            <w:hideMark/>
          </w:tcPr>
          <w:p w14:paraId="5FCDF9E2"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20</w:t>
            </w:r>
          </w:p>
        </w:tc>
      </w:tr>
      <w:tr w:rsidR="003E6C76" w:rsidRPr="00B16CA7" w14:paraId="5FB11186" w14:textId="77777777" w:rsidTr="00F722CE">
        <w:trPr>
          <w:trHeight w:val="269"/>
        </w:trPr>
        <w:tc>
          <w:tcPr>
            <w:tcW w:w="4775" w:type="dxa"/>
            <w:tcBorders>
              <w:top w:val="single" w:sz="8" w:space="0" w:color="F3CFC1"/>
              <w:left w:val="single" w:sz="8" w:space="0" w:color="D2232A"/>
              <w:bottom w:val="single" w:sz="8" w:space="0" w:color="F3CFC1"/>
              <w:right w:val="single" w:sz="8" w:space="0" w:color="D2232A"/>
            </w:tcBorders>
            <w:hideMark/>
          </w:tcPr>
          <w:p w14:paraId="7D118901"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Padobranci</w:t>
            </w:r>
          </w:p>
        </w:tc>
        <w:tc>
          <w:tcPr>
            <w:tcW w:w="2236" w:type="dxa"/>
            <w:tcBorders>
              <w:top w:val="single" w:sz="8" w:space="0" w:color="F3CFC1"/>
              <w:left w:val="single" w:sz="8" w:space="0" w:color="D2232A"/>
              <w:bottom w:val="single" w:sz="8" w:space="0" w:color="F3CFC1"/>
              <w:right w:val="single" w:sz="8" w:space="0" w:color="D2232A"/>
            </w:tcBorders>
            <w:hideMark/>
          </w:tcPr>
          <w:p w14:paraId="24C1E413"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0</w:t>
            </w:r>
          </w:p>
        </w:tc>
        <w:tc>
          <w:tcPr>
            <w:tcW w:w="2236" w:type="dxa"/>
            <w:tcBorders>
              <w:top w:val="single" w:sz="8" w:space="0" w:color="F3CFC1"/>
              <w:left w:val="single" w:sz="8" w:space="0" w:color="D2232A"/>
              <w:bottom w:val="single" w:sz="8" w:space="0" w:color="F3CFC1"/>
              <w:right w:val="single" w:sz="8" w:space="0" w:color="D2232A"/>
            </w:tcBorders>
            <w:hideMark/>
          </w:tcPr>
          <w:p w14:paraId="3D57785B"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0</w:t>
            </w:r>
          </w:p>
        </w:tc>
      </w:tr>
      <w:tr w:rsidR="003E6C76" w:rsidRPr="00B16CA7" w14:paraId="74C90CDD" w14:textId="77777777" w:rsidTr="00F722CE">
        <w:trPr>
          <w:trHeight w:val="288"/>
        </w:trPr>
        <w:tc>
          <w:tcPr>
            <w:tcW w:w="4775" w:type="dxa"/>
            <w:tcBorders>
              <w:top w:val="single" w:sz="8" w:space="0" w:color="F3CFC1"/>
              <w:left w:val="single" w:sz="8" w:space="0" w:color="D2232A"/>
              <w:right w:val="single" w:sz="8" w:space="0" w:color="D2232A"/>
            </w:tcBorders>
            <w:shd w:val="clear" w:color="auto" w:fill="E5E5E5" w:themeFill="text1" w:themeFillTint="33"/>
            <w:hideMark/>
          </w:tcPr>
          <w:p w14:paraId="26FA330C"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UKUPNO</w:t>
            </w:r>
          </w:p>
        </w:tc>
        <w:tc>
          <w:tcPr>
            <w:tcW w:w="2236" w:type="dxa"/>
            <w:tcBorders>
              <w:top w:val="single" w:sz="8" w:space="0" w:color="F3CFC1"/>
              <w:left w:val="single" w:sz="8" w:space="0" w:color="D2232A"/>
              <w:bottom w:val="single" w:sz="4" w:space="0" w:color="FFFFFF" w:themeColor="background1"/>
              <w:right w:val="single" w:sz="8" w:space="0" w:color="D2232A"/>
            </w:tcBorders>
            <w:shd w:val="clear" w:color="auto" w:fill="E5E5E5" w:themeFill="text1" w:themeFillTint="33"/>
            <w:hideMark/>
          </w:tcPr>
          <w:p w14:paraId="67852661"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179</w:t>
            </w:r>
          </w:p>
        </w:tc>
        <w:tc>
          <w:tcPr>
            <w:tcW w:w="2236" w:type="dxa"/>
            <w:tcBorders>
              <w:top w:val="single" w:sz="8" w:space="0" w:color="F3CFC1"/>
              <w:left w:val="single" w:sz="8" w:space="0" w:color="D2232A"/>
              <w:bottom w:val="single" w:sz="4" w:space="0" w:color="FFFFFF" w:themeColor="background1"/>
              <w:right w:val="single" w:sz="8" w:space="0" w:color="D2232A"/>
            </w:tcBorders>
            <w:shd w:val="clear" w:color="auto" w:fill="E5E5E5" w:themeFill="text1" w:themeFillTint="33"/>
            <w:hideMark/>
          </w:tcPr>
          <w:p w14:paraId="7A1E3AF7" w14:textId="77777777" w:rsidR="003E6C76" w:rsidRPr="00B16CA7" w:rsidRDefault="003E6C76" w:rsidP="00946C89">
            <w:pPr>
              <w:autoSpaceDE w:val="0"/>
              <w:autoSpaceDN w:val="0"/>
              <w:adjustRightInd w:val="0"/>
              <w:spacing w:after="0"/>
              <w:jc w:val="center"/>
              <w:rPr>
                <w:rFonts w:eastAsia="ArialNarrow" w:cs="Calibri"/>
              </w:rPr>
            </w:pPr>
            <w:r w:rsidRPr="00B16CA7">
              <w:rPr>
                <w:rFonts w:eastAsia="ArialNarrow" w:cs="Calibri"/>
              </w:rPr>
              <w:t>198</w:t>
            </w:r>
          </w:p>
        </w:tc>
      </w:tr>
    </w:tbl>
    <w:p w14:paraId="5FFF734B" w14:textId="77777777" w:rsidR="003E6C76" w:rsidRPr="002701A3" w:rsidRDefault="003E6C76" w:rsidP="002701A3">
      <w:pPr>
        <w:autoSpaceDE w:val="0"/>
        <w:autoSpaceDN w:val="0"/>
        <w:adjustRightInd w:val="0"/>
        <w:spacing w:after="0" w:line="240" w:lineRule="auto"/>
        <w:rPr>
          <w:rFonts w:eastAsia="ArialNarrow" w:cstheme="minorHAnsi"/>
          <w:i/>
          <w:color w:val="ABABAB" w:themeColor="text1" w:themeTint="A6"/>
          <w:sz w:val="16"/>
          <w:szCs w:val="16"/>
        </w:rPr>
      </w:pPr>
      <w:bookmarkStart w:id="47" w:name="_Hlk76989471"/>
      <w:r w:rsidRPr="002701A3">
        <w:rPr>
          <w:rFonts w:eastAsia="ArialNarrow" w:cstheme="minorHAnsi"/>
          <w:i/>
          <w:color w:val="ABABAB" w:themeColor="text1" w:themeTint="A6"/>
          <w:sz w:val="16"/>
          <w:szCs w:val="16"/>
        </w:rPr>
        <w:t>Izvor: Godišnje izvješće o radu KZA, 2018. godina</w:t>
      </w:r>
      <w:bookmarkEnd w:id="47"/>
    </w:p>
    <w:p w14:paraId="65F6EB92" w14:textId="77777777" w:rsidR="003E6C76" w:rsidRPr="00B16CA7" w:rsidRDefault="003E6C76" w:rsidP="003E6C76">
      <w:pPr>
        <w:autoSpaceDE w:val="0"/>
        <w:autoSpaceDN w:val="0"/>
        <w:adjustRightInd w:val="0"/>
        <w:spacing w:after="0" w:line="240" w:lineRule="auto"/>
        <w:rPr>
          <w:rFonts w:eastAsia="ArialNarrow" w:cs="Calibri"/>
          <w:sz w:val="22"/>
          <w:szCs w:val="22"/>
        </w:rPr>
      </w:pPr>
    </w:p>
    <w:p w14:paraId="4CB82C63" w14:textId="77777777" w:rsidR="003E6C76" w:rsidRPr="00B16CA7" w:rsidRDefault="003E6C76" w:rsidP="003E6C76">
      <w:pPr>
        <w:autoSpaceDE w:val="0"/>
        <w:autoSpaceDN w:val="0"/>
        <w:adjustRightInd w:val="0"/>
        <w:spacing w:after="0" w:line="240" w:lineRule="auto"/>
        <w:rPr>
          <w:rFonts w:eastAsia="ArialNarrow" w:cs="Calibri"/>
        </w:rPr>
      </w:pPr>
      <w:r w:rsidRPr="00B16CA7">
        <w:t xml:space="preserve">U okviru zrakoplovne i sportsko-turističke djelatnosti razvijaju se i provode različiti sportsko zrakoplovni programi, </w:t>
      </w:r>
      <w:r w:rsidRPr="00B16CA7">
        <w:rPr>
          <w:rFonts w:eastAsia="ArialNarrow" w:cs="Calibri"/>
        </w:rPr>
        <w:t xml:space="preserve">natjecanja zrakoplovnih modelara </w:t>
      </w:r>
      <w:r>
        <w:rPr>
          <w:rFonts w:eastAsia="ArialNarrow" w:cs="Calibri"/>
        </w:rPr>
        <w:t>(</w:t>
      </w:r>
      <w:r w:rsidRPr="00B16CA7">
        <w:rPr>
          <w:rFonts w:eastAsia="ArialNarrow" w:cs="Calibri"/>
        </w:rPr>
        <w:t>jedrilic</w:t>
      </w:r>
      <w:r>
        <w:rPr>
          <w:rFonts w:eastAsia="ArialNarrow" w:cs="Calibri"/>
        </w:rPr>
        <w:t>a, modeli</w:t>
      </w:r>
      <w:r w:rsidRPr="00B16CA7">
        <w:rPr>
          <w:rFonts w:eastAsia="ArialNarrow" w:cs="Calibri"/>
        </w:rPr>
        <w:t xml:space="preserve"> s elektro-pogonom</w:t>
      </w:r>
      <w:r>
        <w:rPr>
          <w:rFonts w:eastAsia="ArialNarrow" w:cs="Calibri"/>
        </w:rPr>
        <w:t>)</w:t>
      </w:r>
      <w:r w:rsidRPr="00B16CA7">
        <w:rPr>
          <w:rFonts w:eastAsia="ArialNarrow" w:cs="Calibri"/>
        </w:rPr>
        <w:t>, međunarodni festival balona na vrući zrak, natjecanje u preciznom slijetanju sportsko-rekreativnim zrakoplovima i sl. Razvijena je i suradnja sa školama u sklopu Zajednice tehničke kulture Krapinsko-zagorske županije.</w:t>
      </w:r>
      <w:r>
        <w:rPr>
          <w:rFonts w:eastAsia="ArialNarrow" w:cs="Calibri"/>
        </w:rPr>
        <w:t xml:space="preserve"> Društvo Krapinsko-zagorskog aerodroma pruža potporu u vidu omogućavanja pristupa svojoj infrastrukturi. </w:t>
      </w:r>
      <w:r w:rsidRPr="00B16CA7">
        <w:rPr>
          <w:rFonts w:eastAsia="ArialNarrow" w:cs="Calibri"/>
        </w:rPr>
        <w:t>Potencijal razvoja leži u većem korištenju aerodroma u turističke svrhe, čime bi se upotpunila turistička ponuda Krapinsko-zagorske županije. Grad i Županija u fazi su traženja investitora za ulaganje u aerodrom. Ukupna investicija iznosi 40 milijuna kuna. Razvojni prioriteti Zagorskog aerodroma u srednjoročnom razdoblju su prvenstveno osiguranje uvjeta za razvoj komercijalne djelatnosti te daljnji razvoj infrastrukture.</w:t>
      </w:r>
    </w:p>
    <w:bookmarkEnd w:id="46"/>
    <w:p w14:paraId="508B9E77" w14:textId="77777777" w:rsidR="003E6C76" w:rsidRPr="00B16CA7" w:rsidRDefault="003E6C76" w:rsidP="003E6C76">
      <w:pPr>
        <w:autoSpaceDE w:val="0"/>
        <w:autoSpaceDN w:val="0"/>
        <w:adjustRightInd w:val="0"/>
        <w:spacing w:after="0" w:line="240" w:lineRule="auto"/>
        <w:rPr>
          <w:rFonts w:eastAsia="ArialNarrow" w:cs="Calibri"/>
          <w:color w:val="000000"/>
          <w:szCs w:val="18"/>
        </w:rPr>
      </w:pPr>
    </w:p>
    <w:p w14:paraId="174B2688" w14:textId="193AA406" w:rsidR="003E6C76" w:rsidRPr="006A1A87" w:rsidRDefault="006A1A87" w:rsidP="006207AF">
      <w:pPr>
        <w:pStyle w:val="podpodnaslov111"/>
      </w:pPr>
      <w:bookmarkStart w:id="48" w:name="_Hlk77924922"/>
      <w:bookmarkStart w:id="49" w:name="_Toc85181285"/>
      <w:r w:rsidRPr="006A1A87">
        <w:t>3</w:t>
      </w:r>
      <w:r w:rsidR="003E6C76" w:rsidRPr="006A1A87">
        <w:t>.4. Javni prijevoz</w:t>
      </w:r>
      <w:bookmarkEnd w:id="49"/>
    </w:p>
    <w:bookmarkEnd w:id="48"/>
    <w:p w14:paraId="3911E714" w14:textId="77777777" w:rsidR="003E6C76" w:rsidRPr="00B16CA7" w:rsidRDefault="003E6C76" w:rsidP="003E6C76">
      <w:pPr>
        <w:autoSpaceDE w:val="0"/>
        <w:autoSpaceDN w:val="0"/>
        <w:adjustRightInd w:val="0"/>
        <w:spacing w:after="0" w:line="240" w:lineRule="auto"/>
        <w:rPr>
          <w:rFonts w:eastAsia="ArialNarrow,Bold" w:cs="Calibri"/>
          <w:b/>
          <w:bCs/>
          <w:color w:val="4F82BE"/>
          <w:szCs w:val="18"/>
        </w:rPr>
      </w:pPr>
    </w:p>
    <w:p w14:paraId="7EDAC287" w14:textId="0FBA7365" w:rsidR="003E6C76" w:rsidRPr="00544E00" w:rsidRDefault="003E6C76" w:rsidP="00544E00">
      <w:pPr>
        <w:rPr>
          <w:rFonts w:eastAsia="ArialNarrow"/>
        </w:rPr>
      </w:pPr>
      <w:r w:rsidRPr="00B16CA7">
        <w:rPr>
          <w:rFonts w:eastAsia="ArialNarrow" w:cs="Calibri"/>
          <w:color w:val="000000"/>
          <w:szCs w:val="18"/>
        </w:rPr>
        <w:t>Usluge javnog prijevoza na području KZŽ ostvaruju se putem autobusnog prijevoza, željezničkog prijevoza te prijevoz</w:t>
      </w:r>
      <w:r>
        <w:rPr>
          <w:rFonts w:eastAsia="ArialNarrow" w:cs="Calibri"/>
          <w:color w:val="000000"/>
          <w:szCs w:val="18"/>
        </w:rPr>
        <w:t>a</w:t>
      </w:r>
      <w:r w:rsidRPr="00B16CA7">
        <w:rPr>
          <w:rFonts w:eastAsia="ArialNarrow" w:cs="Calibri"/>
          <w:color w:val="000000"/>
          <w:szCs w:val="18"/>
        </w:rPr>
        <w:t xml:space="preserve"> autotaksija koji uključuje i kombi vozila. Osnovni problem javnog linijskog prijevoza predstavljaju neusklađenost prijevoznih oblika međusobno i s drugima, stalno ukidanje linija, ili izmjena postojećih te najave o daljnjoj racionalizaciji. Dio općina prisiljen je sufinancirati javni prijevoz kako bi zadržali postojeće linije, dok neke općine uopće nemaju javni prijevoz. </w:t>
      </w:r>
      <w:r w:rsidR="00BC21AB" w:rsidRPr="00BC21AB">
        <w:rPr>
          <w:rFonts w:eastAsia="ArialNarrow" w:cs="Calibri"/>
          <w:color w:val="000000"/>
          <w:szCs w:val="18"/>
        </w:rPr>
        <w:t>Na području Krapinsko-zagorske županije sustav javnog prijevoza nije sustavno reguliran po pitanju usklađenja voznih redova sa potrebama putnika i adekvatno nadziran, već su za javni prijevoz zaduženi lokalni autobusni operateri odnosno radi se o prijevozničkim društvima koja imaju izdane dozvole za obavljanje prijevoza putnika na svakoj pojedinoj liniji. Zbog nepostojanja jedinstvenog sustava javnog prijevoza javni je prijevoz neučinkovit, a korisnici su nezadovoljni.</w:t>
      </w:r>
      <w:r w:rsidR="00BC21AB">
        <w:rPr>
          <w:rFonts w:eastAsia="ArialNarrow" w:cs="Calibri"/>
          <w:color w:val="000000"/>
          <w:szCs w:val="18"/>
        </w:rPr>
        <w:t xml:space="preserve"> </w:t>
      </w:r>
      <w:r w:rsidRPr="00B16CA7">
        <w:rPr>
          <w:rFonts w:eastAsia="ArialNarrow" w:cs="Calibri"/>
          <w:color w:val="000000"/>
          <w:szCs w:val="18"/>
        </w:rPr>
        <w:t>Zbog sveg</w:t>
      </w:r>
      <w:r>
        <w:rPr>
          <w:rFonts w:eastAsia="ArialNarrow" w:cs="Calibri"/>
          <w:color w:val="000000"/>
          <w:szCs w:val="18"/>
        </w:rPr>
        <w:t>a</w:t>
      </w:r>
      <w:r w:rsidRPr="00B16CA7">
        <w:rPr>
          <w:rFonts w:eastAsia="ArialNarrow" w:cs="Calibri"/>
          <w:color w:val="000000"/>
          <w:szCs w:val="18"/>
        </w:rPr>
        <w:t xml:space="preserve"> navedenog, kao i činjenice da posljednjih 15-ak godin</w:t>
      </w:r>
      <w:r>
        <w:rPr>
          <w:rFonts w:eastAsia="ArialNarrow" w:cs="Calibri"/>
          <w:color w:val="000000"/>
          <w:szCs w:val="18"/>
        </w:rPr>
        <w:t>a</w:t>
      </w:r>
      <w:r w:rsidRPr="00B16CA7">
        <w:rPr>
          <w:rFonts w:eastAsia="ArialNarrow" w:cs="Calibri"/>
          <w:color w:val="000000"/>
          <w:szCs w:val="18"/>
        </w:rPr>
        <w:t xml:space="preserve"> kvaliteta i kvantiteta javnog prijevoza opadaju, isti je ispod razine koja bi zadovoljila </w:t>
      </w:r>
      <w:r w:rsidRPr="00544E00">
        <w:rPr>
          <w:rFonts w:eastAsia="ArialNarrow"/>
        </w:rPr>
        <w:t>korisnike prijevoza.</w:t>
      </w:r>
      <w:r w:rsidR="00BC21AB" w:rsidRPr="00544E00">
        <w:rPr>
          <w:rFonts w:eastAsia="ArialNarrow"/>
        </w:rPr>
        <w:t xml:space="preserve"> </w:t>
      </w:r>
    </w:p>
    <w:p w14:paraId="5C4F39FE" w14:textId="77777777" w:rsidR="00544E00" w:rsidRDefault="003E6C76" w:rsidP="00544E00">
      <w:pPr>
        <w:rPr>
          <w:rFonts w:eastAsia="ArialNarrow" w:cs="Calibri"/>
          <w:color w:val="000000"/>
          <w:szCs w:val="18"/>
        </w:rPr>
      </w:pPr>
      <w:r w:rsidRPr="00544E00">
        <w:rPr>
          <w:rFonts w:eastAsia="ArialNarrow"/>
        </w:rPr>
        <w:t>Mikroprijevoz putnika te integrirani prijevoz moguća su rješenja za prepoznatu problematiku. Novim Zakonom o prijevozu</w:t>
      </w:r>
      <w:r w:rsidRPr="00B16CA7">
        <w:rPr>
          <w:rFonts w:eastAsia="ArialNarrow" w:cs="Calibri"/>
          <w:color w:val="000000"/>
          <w:szCs w:val="18"/>
        </w:rPr>
        <w:t xml:space="preserve"> u cestovnom prometu (NN 41/18, 98/19) omogućuje se lokalnoj samoupravi da uvede mikroprijevoz koji bi osobito trebao osigurati povezanost u slabije naseljenim ruralnim područjima u kojima nema organiziranog javnog prijevoza putnika.</w:t>
      </w:r>
    </w:p>
    <w:p w14:paraId="5AA973BD" w14:textId="21EEAC28" w:rsidR="003E6C76" w:rsidRPr="00B16CA7" w:rsidRDefault="003E6C76" w:rsidP="00544E00">
      <w:pPr>
        <w:rPr>
          <w:rFonts w:eastAsia="ArialNarrow" w:cs="Calibri"/>
          <w:color w:val="000000"/>
          <w:szCs w:val="18"/>
        </w:rPr>
      </w:pPr>
      <w:r w:rsidRPr="00B16CA7">
        <w:rPr>
          <w:rFonts w:eastAsia="ArialNarrow" w:cs="Calibri"/>
          <w:color w:val="000000"/>
          <w:szCs w:val="18"/>
        </w:rPr>
        <w:t xml:space="preserve">Odredbom članka 3. Sporazuma o integriranom prijevozu i tarifno prijevozničkoj uniji na području Grada Zagreba, Zagrebačke županije i Krapinsko-zagorske županije sklopljenog 2012. između Grada Zagreba, Zagrebačke županije i Krapinsko-zagorske županije preuzeta je obveza osnivanja trgovačkog društva Integrirani promet zagrebačkog područja d.o.o. </w:t>
      </w:r>
      <w:r w:rsidRPr="00B16CA7">
        <w:rPr>
          <w:szCs w:val="18"/>
        </w:rPr>
        <w:t>Cilj osnivanja Društva je priprema i realizacija projekata vezanih uz uspostavljanje novog modela organizacije prijevoza putnika i upravljanje istim na geografskom području Grada Zagreba, Zagrebačke županije i Krapinsko–zagorske županije.</w:t>
      </w:r>
    </w:p>
    <w:p w14:paraId="31CA04E2" w14:textId="77DE4710" w:rsidR="003E6C76" w:rsidRPr="00544E00" w:rsidRDefault="003E6C76" w:rsidP="00544E00">
      <w:pPr>
        <w:rPr>
          <w:rFonts w:eastAsia="ArialNarrow" w:cs="Calibri"/>
          <w:color w:val="000000"/>
          <w:szCs w:val="18"/>
        </w:rPr>
      </w:pPr>
      <w:r w:rsidRPr="00B16CA7">
        <w:rPr>
          <w:szCs w:val="18"/>
        </w:rPr>
        <w:t xml:space="preserve">U tijeku je izrada 2. faze Master plana prometnog sustava Grada Zagreba, Zagrebačke županije i Krapinsko-zagorske županije, što je temeljni strateški dokument dugoročnog razvoja prometa na spomenutom području. Njegova izrada uvjetovana je potrebom daljnjeg održivog razvoja većih gradova i njihovih okruženja, sukladno gospodarskim i socijalnim ciljevima i potrebama poboljšanja životnih uvjeta, zaštite i očuvanja okoliša, ostvarivanja energetskih ušteda i energetske učinkovitosti i drugim ciljevima održivog razvoja. Faza 2. odnosi </w:t>
      </w:r>
      <w:r w:rsidRPr="00544E00">
        <w:rPr>
          <w:rFonts w:eastAsia="ArialNarrow" w:cs="Calibri"/>
          <w:color w:val="000000"/>
          <w:szCs w:val="18"/>
        </w:rPr>
        <w:t>se</w:t>
      </w:r>
      <w:r w:rsidRPr="00544E00">
        <w:rPr>
          <w:rFonts w:ascii="Calibri" w:eastAsia="ArialNarrow" w:hAnsi="Calibri" w:cs="Calibri"/>
          <w:color w:val="000000"/>
          <w:szCs w:val="18"/>
        </w:rPr>
        <w:t> </w:t>
      </w:r>
      <w:r w:rsidR="00391785" w:rsidRPr="00544E00">
        <w:rPr>
          <w:rFonts w:eastAsia="ArialNarrow" w:cs="Calibri"/>
          <w:color w:val="000000"/>
          <w:szCs w:val="18"/>
        </w:rPr>
        <w:t xml:space="preserve">na </w:t>
      </w:r>
      <w:r w:rsidRPr="00544E00">
        <w:rPr>
          <w:rFonts w:eastAsia="ArialNarrow" w:cs="Calibri"/>
          <w:color w:val="000000"/>
          <w:szCs w:val="18"/>
        </w:rPr>
        <w:t>testiranje i valorizaciju različitih scenarija</w:t>
      </w:r>
      <w:r w:rsidRPr="00544E00">
        <w:rPr>
          <w:rFonts w:ascii="Calibri" w:eastAsia="ArialNarrow" w:hAnsi="Calibri" w:cs="Calibri"/>
          <w:color w:val="000000"/>
          <w:szCs w:val="18"/>
        </w:rPr>
        <w:t> </w:t>
      </w:r>
      <w:r w:rsidRPr="00544E00">
        <w:rPr>
          <w:rFonts w:eastAsia="ArialNarrow" w:cs="Calibri"/>
          <w:color w:val="000000"/>
          <w:szCs w:val="18"/>
        </w:rPr>
        <w:t xml:space="preserve"> razvoja prometnog sustava i konkretnih prometnih rješenja.</w:t>
      </w:r>
    </w:p>
    <w:p w14:paraId="0947A127" w14:textId="6540973A" w:rsidR="00752D05" w:rsidRDefault="00752D05" w:rsidP="00544E00">
      <w:pPr>
        <w:rPr>
          <w:szCs w:val="18"/>
        </w:rPr>
      </w:pPr>
      <w:r w:rsidRPr="00544E00">
        <w:rPr>
          <w:rFonts w:eastAsia="ArialNarrow" w:cs="Calibri"/>
          <w:color w:val="000000"/>
          <w:szCs w:val="18"/>
        </w:rPr>
        <w:t xml:space="preserve">U travnju 2020. godine Županijska skupština donijela je Zaključak o usvajanju Master plana </w:t>
      </w:r>
      <w:bookmarkStart w:id="50" w:name="_Hlk76989339"/>
      <w:r w:rsidRPr="00544E00">
        <w:rPr>
          <w:rFonts w:eastAsia="ArialNarrow" w:cs="Calibri"/>
          <w:color w:val="000000"/>
          <w:szCs w:val="18"/>
        </w:rPr>
        <w:t>prometnog sustava Grada</w:t>
      </w:r>
      <w:r>
        <w:rPr>
          <w:szCs w:val="18"/>
        </w:rPr>
        <w:t xml:space="preserve"> Zagreba, Zagrebačke županije i Krapinsko-zagorske županije.</w:t>
      </w:r>
      <w:bookmarkEnd w:id="50"/>
      <w:r w:rsidR="00E93D97">
        <w:rPr>
          <w:szCs w:val="18"/>
        </w:rPr>
        <w:t xml:space="preserve"> Ukupna površina prostornog obuhvata Master plana iznosi 4.930 km</w:t>
      </w:r>
      <w:r w:rsidR="00E93D97" w:rsidRPr="00E93D97">
        <w:rPr>
          <w:szCs w:val="18"/>
          <w:vertAlign w:val="superscript"/>
        </w:rPr>
        <w:t>2</w:t>
      </w:r>
      <w:r w:rsidR="00E93D97">
        <w:rPr>
          <w:szCs w:val="18"/>
        </w:rPr>
        <w:t>, što je 8,7 % teritorija RH. Na ovom području prema popisu stanovništva iz 2011. godine živi 1.240.515 stanovnika, odnosno29% stanovništva RH (DZS, 2011). Ovim područjem prolaze važni europski prometni koridori koji su osim putničkog vrlo značajni i za robni promet.</w:t>
      </w:r>
    </w:p>
    <w:p w14:paraId="211EB176" w14:textId="318AD063" w:rsidR="00B60249" w:rsidRDefault="00B60249" w:rsidP="003E6C76">
      <w:pPr>
        <w:autoSpaceDE w:val="0"/>
        <w:autoSpaceDN w:val="0"/>
        <w:adjustRightInd w:val="0"/>
        <w:spacing w:after="0" w:line="240" w:lineRule="auto"/>
        <w:rPr>
          <w:szCs w:val="18"/>
        </w:rPr>
      </w:pPr>
    </w:p>
    <w:p w14:paraId="4503AC24" w14:textId="5473DE7D" w:rsidR="003E6C76" w:rsidRDefault="00B60249" w:rsidP="00B60249">
      <w:pPr>
        <w:pStyle w:val="Opisslike"/>
      </w:pPr>
      <w:r>
        <w:lastRenderedPageBreak/>
        <w:t xml:space="preserve">Prikaz </w:t>
      </w:r>
      <w:r w:rsidR="00A96020">
        <w:t>9</w:t>
      </w:r>
      <w:r>
        <w:t xml:space="preserve">. Prostorni obuhvat </w:t>
      </w:r>
      <w:bookmarkStart w:id="51" w:name="_Hlk76989490"/>
      <w:r>
        <w:t xml:space="preserve">Master plana </w:t>
      </w:r>
      <w:r w:rsidRPr="00B60249">
        <w:t>prometnog sustava Grada Zagreba, Zagrebačke županije i Krapinsko-zagorske županije</w:t>
      </w:r>
    </w:p>
    <w:bookmarkEnd w:id="51"/>
    <w:p w14:paraId="0E16E29F" w14:textId="6C767834" w:rsidR="00B60249" w:rsidRDefault="001C0332" w:rsidP="003E6C76">
      <w:pPr>
        <w:autoSpaceDE w:val="0"/>
        <w:autoSpaceDN w:val="0"/>
        <w:adjustRightInd w:val="0"/>
        <w:spacing w:after="0" w:line="240" w:lineRule="auto"/>
      </w:pPr>
      <w:r w:rsidRPr="001C0332">
        <w:rPr>
          <w:noProof/>
        </w:rPr>
        <w:drawing>
          <wp:inline distT="0" distB="0" distL="0" distR="0" wp14:anchorId="4DBA6BCB" wp14:editId="63EAF694">
            <wp:extent cx="5913120" cy="4164720"/>
            <wp:effectExtent l="0" t="0" r="0" b="7620"/>
            <wp:docPr id="224" name="Slika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r="903"/>
                    <a:stretch/>
                  </pic:blipFill>
                  <pic:spPr bwMode="auto">
                    <a:xfrm>
                      <a:off x="0" y="0"/>
                      <a:ext cx="5914990" cy="4166037"/>
                    </a:xfrm>
                    <a:prstGeom prst="rect">
                      <a:avLst/>
                    </a:prstGeom>
                    <a:noFill/>
                    <a:ln>
                      <a:noFill/>
                    </a:ln>
                    <a:extLst>
                      <a:ext uri="{53640926-AAD7-44D8-BBD7-CCE9431645EC}">
                        <a14:shadowObscured xmlns:a14="http://schemas.microsoft.com/office/drawing/2010/main"/>
                      </a:ext>
                    </a:extLst>
                  </pic:spPr>
                </pic:pic>
              </a:graphicData>
            </a:graphic>
          </wp:inline>
        </w:drawing>
      </w:r>
    </w:p>
    <w:p w14:paraId="6455DE54" w14:textId="44FCDD24" w:rsidR="00BA0EF3" w:rsidRPr="00BA0EF3" w:rsidRDefault="001C0332" w:rsidP="00BA0EF3">
      <w:pPr>
        <w:autoSpaceDE w:val="0"/>
        <w:autoSpaceDN w:val="0"/>
        <w:adjustRightInd w:val="0"/>
        <w:rPr>
          <w:rFonts w:eastAsia="ArialNarrow"/>
          <w:bCs/>
          <w:i/>
          <w:iCs/>
          <w:color w:val="ABABAB" w:themeColor="text1" w:themeTint="A6"/>
          <w:sz w:val="16"/>
          <w:szCs w:val="16"/>
        </w:rPr>
      </w:pPr>
      <w:r w:rsidRPr="002701A3">
        <w:rPr>
          <w:rFonts w:eastAsia="ArialNarrow" w:cstheme="minorHAnsi"/>
          <w:i/>
          <w:color w:val="ABABAB" w:themeColor="text1" w:themeTint="A6"/>
          <w:sz w:val="16"/>
          <w:szCs w:val="16"/>
        </w:rPr>
        <w:t xml:space="preserve">Izvor: </w:t>
      </w:r>
      <w:bookmarkStart w:id="52" w:name="_Hlk77842023"/>
      <w:r w:rsidR="00BA0EF3" w:rsidRPr="00BA0EF3">
        <w:rPr>
          <w:rFonts w:eastAsia="ArialNarrow"/>
          <w:bCs/>
          <w:i/>
          <w:iCs/>
          <w:color w:val="ABABAB" w:themeColor="text1" w:themeTint="A6"/>
          <w:sz w:val="16"/>
          <w:szCs w:val="16"/>
        </w:rPr>
        <w:t>Master plana prometnog sustava Grada Zagreba, Zagrebačke županije i Krapinsko-zagorske županije</w:t>
      </w:r>
      <w:r w:rsidR="00BA0EF3">
        <w:rPr>
          <w:rFonts w:eastAsia="ArialNarrow"/>
          <w:bCs/>
          <w:i/>
          <w:iCs/>
          <w:color w:val="ABABAB" w:themeColor="text1" w:themeTint="A6"/>
          <w:sz w:val="16"/>
          <w:szCs w:val="16"/>
        </w:rPr>
        <w:t>, veljača 2020.</w:t>
      </w:r>
    </w:p>
    <w:bookmarkEnd w:id="52"/>
    <w:p w14:paraId="7467A7A7" w14:textId="7666759D" w:rsidR="00B60249" w:rsidRDefault="00B60249" w:rsidP="003E6C76">
      <w:pPr>
        <w:autoSpaceDE w:val="0"/>
        <w:autoSpaceDN w:val="0"/>
        <w:adjustRightInd w:val="0"/>
        <w:spacing w:after="0" w:line="240" w:lineRule="auto"/>
      </w:pPr>
    </w:p>
    <w:p w14:paraId="6203DE55" w14:textId="05105CA0" w:rsidR="00985B3A" w:rsidRPr="006A1A87" w:rsidRDefault="00985B3A" w:rsidP="00985B3A">
      <w:pPr>
        <w:pStyle w:val="podpodnaslov111"/>
      </w:pPr>
      <w:bookmarkStart w:id="53" w:name="_Toc85181286"/>
      <w:r w:rsidRPr="006A1A87">
        <w:t>3.</w:t>
      </w:r>
      <w:r>
        <w:t>5</w:t>
      </w:r>
      <w:r w:rsidRPr="006A1A87">
        <w:t xml:space="preserve">. </w:t>
      </w:r>
      <w:r>
        <w:t>Biciklistički i pješački promet</w:t>
      </w:r>
      <w:bookmarkEnd w:id="53"/>
    </w:p>
    <w:p w14:paraId="53BB02C4" w14:textId="4866076C" w:rsidR="00985B3A" w:rsidRDefault="00985B3A" w:rsidP="003E6C76">
      <w:pPr>
        <w:autoSpaceDE w:val="0"/>
        <w:autoSpaceDN w:val="0"/>
        <w:adjustRightInd w:val="0"/>
        <w:spacing w:after="0" w:line="240" w:lineRule="auto"/>
      </w:pPr>
    </w:p>
    <w:p w14:paraId="0D379B7F" w14:textId="443D0303" w:rsidR="00985B3A" w:rsidRPr="00544E00" w:rsidRDefault="003D2D07" w:rsidP="00544E00">
      <w:pPr>
        <w:rPr>
          <w:szCs w:val="18"/>
        </w:rPr>
      </w:pPr>
      <w:r w:rsidRPr="003D2D07">
        <w:t>Pješački i biciklistički promet predstavljaju temelj razvoja održive mobilnosti u urbanim središtima. Odvijanje pješačkog i biciklističkog prometa uvelike ovisi o izgrađenosti potrebne infrastrukture odnosno o prilagođenosti i povezanosti ostalih oblika prometa (cestovni,</w:t>
      </w:r>
      <w:r>
        <w:t xml:space="preserve"> </w:t>
      </w:r>
      <w:r w:rsidRPr="003D2D07">
        <w:t>željeznički, javni) s pješačkim, a osobito biciklističkim prometom. S obzirom na sve veću zastupljenost automobilskog prometa u ukupnom gradskom prometu i porast broja vozila na cestama, u gradskim se središtima narušava kvaliteta života stanovništva. Sve više gradova okreće se stoga razvoju pješačke i biciklističke infrastrukture i poticanju biciklističkog prometa kao atraktivnog načina prijevoza</w:t>
      </w:r>
      <w:r>
        <w:t xml:space="preserve">. Primjer takvog projekta na području Krapinsko-zagorske županije je projekt BRZO- </w:t>
      </w:r>
      <w:r w:rsidRPr="003D2D07">
        <w:t xml:space="preserve">Biciklistička ruta Zabok </w:t>
      </w:r>
      <w:r>
        <w:t>–</w:t>
      </w:r>
      <w:r w:rsidRPr="003D2D07">
        <w:t xml:space="preserve"> Oroslavje</w:t>
      </w:r>
      <w:r>
        <w:t xml:space="preserve">. </w:t>
      </w:r>
      <w:r w:rsidRPr="003D2D07">
        <w:t>Projektom BRZO povećava se kvaliteta kretanja stanovništva, učinkovitost prometnih rješenja, smanjuje zagađenje i devastacija okoliša, povećava sigurnost te razvija društveno-prihvatljiv oblik prometa. Ovi ciljevi postižu se izgradnjom kompletne biciklističke infrastrukture koja povezuje gradove Zabok i Oroslavje u punoj dužini od 5200 metara (5,2 km)</w:t>
      </w:r>
      <w:r>
        <w:t>.</w:t>
      </w:r>
      <w:r w:rsidR="00856D90">
        <w:t xml:space="preserve"> </w:t>
      </w:r>
      <w:r w:rsidR="00856D90" w:rsidRPr="00856D90">
        <w:t>BRZO spaja željeznički kolodvor u Zaboku sa autobusnim kolodvorom u Oroslavju. Obzirom da spaja željeznički i autobusni prijevoz, bicikl će biti jedan zdrav način putovanja, odnosno dolaska na odredište za daljnji put, vlakom ili autobusom. Zabočka dionica imat će i biciklistički most preko rijeke Krapine te most u samom gradu gdje će prelaziti postojeću željezničku prugu, a spajat će gradske ulice Matije Gupca i Ksavera Šandora Gjalskog. Oroslavska dionica počinje na liniji razgraničenja dva grada, a završava na autobusnom kolodvoru u Oroslavju u Ulici Andrije Gredičaka.</w:t>
      </w:r>
      <w:r w:rsidR="00856D90">
        <w:t xml:space="preserve"> </w:t>
      </w:r>
      <w:r w:rsidR="00856D90" w:rsidRPr="00856D90">
        <w:t xml:space="preserve">Ukupni prihvatljivi troškovi projekta iznose: </w:t>
      </w:r>
      <w:r w:rsidR="00856D90" w:rsidRPr="00544E00">
        <w:rPr>
          <w:szCs w:val="18"/>
        </w:rPr>
        <w:t>13.716.250,79 kuna, a razdoblje provedbe projekta je od 18.07.2020. - 18.07.2022.</w:t>
      </w:r>
    </w:p>
    <w:p w14:paraId="43A2D2E1" w14:textId="0136F2E9" w:rsidR="00F257B3" w:rsidRDefault="00F257B3" w:rsidP="00F257B3">
      <w:r>
        <w:t xml:space="preserve">U </w:t>
      </w:r>
      <w:r w:rsidRPr="00F257B3">
        <w:t>Krapinsko-zagorskoj županiji bicikl se najčešće koristi u turističke i sportsko</w:t>
      </w:r>
      <w:r>
        <w:t xml:space="preserve">- </w:t>
      </w:r>
      <w:r w:rsidRPr="00F257B3">
        <w:t>rekreacijske svrhe dok je u znatno manjoj mjeri namijenjen svakodnevnim aktivnostima</w:t>
      </w:r>
      <w:r>
        <w:t xml:space="preserve"> odnosno ne koristi se kao prijevozno sredstvo</w:t>
      </w:r>
      <w:r w:rsidR="005A7D9B">
        <w:t xml:space="preserve"> </w:t>
      </w:r>
      <w:r w:rsidR="008A4AE1">
        <w:t>stoga je</w:t>
      </w:r>
      <w:r w:rsidR="005A7D9B">
        <w:t xml:space="preserve"> slabije </w:t>
      </w:r>
      <w:r w:rsidR="005A7D9B" w:rsidRPr="005A7D9B">
        <w:t xml:space="preserve">izgrađena biciklistička infrastruktura potrebna za svakodnevno obavljanje aktivnosti, a koja osim biciklističkih staza i traka podrazumijeva posebna parkirališta za bicikle te stalke za bicikle u svim dijelovima </w:t>
      </w:r>
      <w:r w:rsidR="005A7D9B">
        <w:t>županije</w:t>
      </w:r>
      <w:r w:rsidR="005A7D9B" w:rsidRPr="005A7D9B">
        <w:t>, osobito u blizini važnih institucija</w:t>
      </w:r>
      <w:r w:rsidR="005A7D9B">
        <w:t xml:space="preserve">. </w:t>
      </w:r>
      <w:r w:rsidRPr="00F257B3">
        <w:t>Trenutno je na području Krapinsko-zagorske županije izgrađena mreža biciklističkih ruta ukupne duljine 688 km (Zagorje Bike, 2019). Navedene su biciklističke rute osmišljene s ciljem poboljšanja turističkih i rekreativnih ruta u županiji te razvoja biciklizma ne samo kao oblika prometa, već i kao turističke atrakcije.</w:t>
      </w:r>
    </w:p>
    <w:p w14:paraId="341186B3" w14:textId="28177B11" w:rsidR="00E25A50" w:rsidRPr="00F257B3" w:rsidRDefault="00E25A50" w:rsidP="00F257B3">
      <w:r w:rsidRPr="00E25A50">
        <w:lastRenderedPageBreak/>
        <w:t>Najveći izazov u planiranju pješačkog i biciklističkog prometa predstavlja nedostatak adekvatnog prostora na postojećim prometnicama za uređenje biciklističkih staza ili traka kao i pješačkih staza. Stoga se često pješački i biciklistički promet međusobno isprepliću te se time narušava sigurnost sudionika u prometu. Uz to, navedeni se oblici prometa preklapaju s cestovnim prometom te prometom u mirovanju, osobito kada se parkirna mjesta nalaze na nogostupu</w:t>
      </w:r>
      <w:r>
        <w:t xml:space="preserve">. </w:t>
      </w:r>
      <w:r w:rsidRPr="00E25A50">
        <w:t>Biciklisti se također često kreću ili po nogostupu, te time narušavaju sigurnost i prostor za kretanje pješaka, ili po cesti, gdje je njihova sigurnost narušena zbog kretanja automobila i kamiona. Neadekvatno izgrađena infrastruktura za biciklistički promet također predstavlja opasnost za vozače bicikala.</w:t>
      </w:r>
      <w:r>
        <w:t xml:space="preserve"> L</w:t>
      </w:r>
      <w:r w:rsidRPr="00E25A50">
        <w:t>okalne ceste u manjim naseljima, osobito ruralnima, često nemaju izgrađene objekte za pješake i bicikliste pa se isti moraju kretati kolnikom</w:t>
      </w:r>
      <w:r>
        <w:t xml:space="preserve"> gdje je osobito njihova sigurnost narušena.</w:t>
      </w:r>
    </w:p>
    <w:p w14:paraId="75C5DE90" w14:textId="77777777" w:rsidR="003D2D07" w:rsidRDefault="003D2D07" w:rsidP="003E6C76">
      <w:pPr>
        <w:autoSpaceDE w:val="0"/>
        <w:autoSpaceDN w:val="0"/>
        <w:adjustRightInd w:val="0"/>
        <w:spacing w:after="0" w:line="240" w:lineRule="auto"/>
      </w:pPr>
    </w:p>
    <w:p w14:paraId="38EFC7CE" w14:textId="1A3102E6" w:rsidR="003E6C76" w:rsidRPr="00B16CA7" w:rsidRDefault="006A1A87" w:rsidP="006207AF">
      <w:pPr>
        <w:pStyle w:val="podpodnaslov111"/>
      </w:pPr>
      <w:bookmarkStart w:id="54" w:name="_Toc85181287"/>
      <w:r>
        <w:t>3</w:t>
      </w:r>
      <w:r w:rsidR="003E6C76" w:rsidRPr="00B16CA7">
        <w:t>.</w:t>
      </w:r>
      <w:r w:rsidR="00985B3A">
        <w:t>6</w:t>
      </w:r>
      <w:r w:rsidR="003E6C76" w:rsidRPr="00B16CA7">
        <w:t>. Pokrivenost širokopojasnom infrastrukturom</w:t>
      </w:r>
      <w:bookmarkEnd w:id="54"/>
    </w:p>
    <w:p w14:paraId="61D104CC" w14:textId="77777777" w:rsidR="003E6C76" w:rsidRPr="00B16CA7" w:rsidRDefault="003E6C76" w:rsidP="003E6C76">
      <w:pPr>
        <w:autoSpaceDE w:val="0"/>
        <w:autoSpaceDN w:val="0"/>
        <w:adjustRightInd w:val="0"/>
        <w:spacing w:after="0" w:line="240" w:lineRule="auto"/>
        <w:rPr>
          <w:rFonts w:eastAsia="ArialNarrow" w:cs="Calibri"/>
          <w:color w:val="000000"/>
          <w:szCs w:val="18"/>
        </w:rPr>
      </w:pPr>
    </w:p>
    <w:p w14:paraId="2AB1F395" w14:textId="77777777" w:rsidR="003E6C76" w:rsidRPr="005443C3" w:rsidRDefault="003E6C76" w:rsidP="005443C3">
      <w:r w:rsidRPr="00D02A62">
        <w:rPr>
          <w:szCs w:val="18"/>
        </w:rPr>
        <w:t xml:space="preserve">Razvoj informacijskog društva smatra se ključnim za ostvarivanje potrebnih uvjeta za moderno i konkurentno gospodarstvo. Do 2017. </w:t>
      </w:r>
      <w:r w:rsidRPr="00D02A62">
        <w:rPr>
          <w:rFonts w:eastAsia="ArialNarrow" w:cs="Calibri"/>
          <w:szCs w:val="18"/>
        </w:rPr>
        <w:t>udio kućanstava s pristupom internetu u skupini država EU-28 povećao se na 87</w:t>
      </w:r>
      <w:r w:rsidRPr="00D02A62">
        <w:rPr>
          <w:rFonts w:ascii="Calibri" w:eastAsia="ArialNarrow" w:hAnsi="Calibri" w:cs="Calibri"/>
          <w:szCs w:val="18"/>
        </w:rPr>
        <w:t> </w:t>
      </w:r>
      <w:r w:rsidRPr="00D02A62">
        <w:rPr>
          <w:rFonts w:eastAsia="ArialNarrow" w:cs="Calibri"/>
          <w:szCs w:val="18"/>
        </w:rPr>
        <w:t xml:space="preserve">%, </w:t>
      </w:r>
      <w:r w:rsidRPr="00D02A62">
        <w:rPr>
          <w:rFonts w:eastAsia="ArialNarrow" w:cs="Newslab"/>
          <w:szCs w:val="18"/>
        </w:rPr>
        <w:t>š</w:t>
      </w:r>
      <w:r w:rsidRPr="00D02A62">
        <w:rPr>
          <w:rFonts w:eastAsia="ArialNarrow" w:cs="Calibri"/>
          <w:szCs w:val="18"/>
        </w:rPr>
        <w:t>to je oko 32 postotna boda vi</w:t>
      </w:r>
      <w:r w:rsidRPr="00D02A62">
        <w:rPr>
          <w:rFonts w:eastAsia="ArialNarrow" w:cs="Newslab"/>
          <w:szCs w:val="18"/>
        </w:rPr>
        <w:t>š</w:t>
      </w:r>
      <w:r w:rsidRPr="00D02A62">
        <w:rPr>
          <w:rFonts w:eastAsia="ArialNarrow" w:cs="Calibri"/>
          <w:szCs w:val="18"/>
        </w:rPr>
        <w:t>e nego 2007. Pristup širokopojasnom internetu u 2017. godini imalo je 85</w:t>
      </w:r>
      <w:r w:rsidRPr="00D02A62">
        <w:rPr>
          <w:rFonts w:ascii="Calibri" w:eastAsia="ArialNarrow" w:hAnsi="Calibri" w:cs="Calibri"/>
          <w:szCs w:val="18"/>
        </w:rPr>
        <w:t> </w:t>
      </w:r>
      <w:r w:rsidRPr="00D02A62">
        <w:rPr>
          <w:rFonts w:eastAsia="ArialNarrow" w:cs="Calibri"/>
          <w:szCs w:val="18"/>
        </w:rPr>
        <w:t>% ku</w:t>
      </w:r>
      <w:r w:rsidRPr="00D02A62">
        <w:rPr>
          <w:rFonts w:eastAsia="ArialNarrow" w:cs="Newslab"/>
          <w:szCs w:val="18"/>
        </w:rPr>
        <w:t>ć</w:t>
      </w:r>
      <w:r w:rsidRPr="00D02A62">
        <w:rPr>
          <w:rFonts w:eastAsia="ArialNarrow" w:cs="Calibri"/>
          <w:szCs w:val="18"/>
        </w:rPr>
        <w:t xml:space="preserve">anstava </w:t>
      </w:r>
      <w:r w:rsidRPr="005443C3">
        <w:t>u skupini država EU-28, što je otprilike dvostruko veći udio nego 2007. (42</w:t>
      </w:r>
      <w:r w:rsidRPr="005443C3">
        <w:rPr>
          <w:rFonts w:ascii="Calibri" w:hAnsi="Calibri" w:cs="Calibri"/>
        </w:rPr>
        <w:t> </w:t>
      </w:r>
      <w:r w:rsidRPr="005443C3">
        <w:t>%).</w:t>
      </w:r>
    </w:p>
    <w:p w14:paraId="5F312905" w14:textId="77777777" w:rsidR="003E6C76" w:rsidRPr="005443C3" w:rsidRDefault="003E6C76" w:rsidP="005443C3">
      <w:r w:rsidRPr="005443C3">
        <w:t>Strategija za poticanje uspješnog digitalnog gospodarstva do 2020. - Digitalna agenda za Europu - odgovor je na brzi rast</w:t>
      </w:r>
      <w:r w:rsidRPr="00D02A62">
        <w:rPr>
          <w:rFonts w:cs="EC Square Sans Pro"/>
          <w:szCs w:val="18"/>
        </w:rPr>
        <w:t xml:space="preserve"> digitalnog gospodarstva, a pokrenuta je s ciljem boljeg iskorištenja digitalne tehnologije, kako u privatne tako i u poslovne svrhe. </w:t>
      </w:r>
      <w:r w:rsidRPr="00D02A62">
        <w:rPr>
          <w:rFonts w:eastAsia="ArialNarrow" w:cs="Calibri"/>
          <w:szCs w:val="18"/>
        </w:rPr>
        <w:t xml:space="preserve">U svibnju 2015. Europska komisija donijela je strateški dokument o jedinstvenom digitalnom tržištu usmjeren na promicanje lakšeg internetskog pristupa robi i uslugama diljem Europe, osmišljavanje optimalnog okruženja za razvoj  digitalnih mreža i usluga te osiguravanje da se u okviru europskog </w:t>
      </w:r>
      <w:r w:rsidRPr="005443C3">
        <w:t>gospodarstva i industrije u potpunosti iskoristi digitalno gospodarstvo kao mogući pokretač rasta.</w:t>
      </w:r>
    </w:p>
    <w:p w14:paraId="152353C4" w14:textId="77777777" w:rsidR="003E6C76" w:rsidRPr="005443C3" w:rsidRDefault="003E6C76" w:rsidP="005443C3">
      <w:r w:rsidRPr="005443C3">
        <w:t xml:space="preserve">Nacionalni strateški okvir vezan uz razvoj širokopojasnog interneta predstavlja Nacionalni plan Republike Hrvatske za razvoj širokopojasnog pristupa (NGN), dio kojeg su i </w:t>
      </w:r>
      <w:hyperlink r:id="rId25" w:history="1">
        <w:r w:rsidRPr="005443C3">
          <w:t>Strategija razvoja širokopojasnog pristupa u Republici Hrvatskoj u razdoblju od 2016. do 2020. godine</w:t>
        </w:r>
      </w:hyperlink>
      <w:r w:rsidRPr="00D02A62">
        <w:rPr>
          <w:rFonts w:eastAsia="ArialNarrow" w:cs="Calibri"/>
          <w:szCs w:val="18"/>
        </w:rPr>
        <w:t xml:space="preserve"> te </w:t>
      </w:r>
      <w:hyperlink r:id="rId26" w:history="1">
        <w:r w:rsidRPr="00D02A62">
          <w:rPr>
            <w:rStyle w:val="Hiperveza"/>
            <w:rFonts w:eastAsia="ArialNarrow" w:cs="Calibri"/>
            <w:color w:val="3F3F3F" w:themeColor="text1" w:themeShade="80"/>
            <w:szCs w:val="18"/>
            <w:u w:val="none"/>
          </w:rPr>
          <w:t>Okvirni nacionalni program za razvoj infrastrukture širokopojasnog pristupa u područjima u kojima ne postoji dostatan komercijalni interes za ulaganja (ONP)</w:t>
        </w:r>
      </w:hyperlink>
      <w:r w:rsidRPr="00D02A62">
        <w:rPr>
          <w:rFonts w:eastAsia="ArialNarrow" w:cs="Calibri"/>
          <w:szCs w:val="18"/>
        </w:rPr>
        <w:t xml:space="preserve">. </w:t>
      </w:r>
      <w:r w:rsidR="00A76712">
        <w:fldChar w:fldCharType="begin"/>
      </w:r>
      <w:r w:rsidR="00A76712">
        <w:instrText xml:space="preserve"> HYPERLINK "http://www.mppi.hr/default.aspx?id=3625" \t "_blank" </w:instrText>
      </w:r>
      <w:r w:rsidR="00A76712">
        <w:fldChar w:fldCharType="separate"/>
      </w:r>
      <w:r w:rsidRPr="00D02A62">
        <w:rPr>
          <w:rStyle w:val="Hiperveza"/>
          <w:rFonts w:eastAsia="ArialNarrow" w:cs="Calibri"/>
          <w:color w:val="3F3F3F" w:themeColor="text1" w:themeShade="80"/>
          <w:szCs w:val="18"/>
          <w:u w:val="none"/>
        </w:rPr>
        <w:t>Strategija razvoja širokopojasnog pristupa u RH</w:t>
      </w:r>
      <w:r w:rsidR="00A76712">
        <w:rPr>
          <w:rStyle w:val="Hiperveza"/>
          <w:rFonts w:eastAsia="ArialNarrow" w:cs="Calibri"/>
          <w:color w:val="3F3F3F" w:themeColor="text1" w:themeShade="80"/>
          <w:szCs w:val="18"/>
          <w:u w:val="none"/>
        </w:rPr>
        <w:fldChar w:fldCharType="end"/>
      </w:r>
      <w:r w:rsidRPr="00D02A62">
        <w:rPr>
          <w:rFonts w:eastAsia="ArialNarrow" w:cs="Calibri"/>
          <w:szCs w:val="18"/>
        </w:rPr>
        <w:t xml:space="preserve"> usmjerena je na postizanje potpunog razvoja širokopojasnog pristupa tehnološki neutralnim pristupom kojim se osiguravaju uvjeti za otvoren i jednak zakonodavni okvir. Opći ciljevi RH u pogledu širokopojasnog pristupa su usklađeni s Digitalnom agendom za Europu: omogućiti 100</w:t>
      </w:r>
      <w:r w:rsidRPr="00D02A62">
        <w:rPr>
          <w:rFonts w:ascii="Calibri" w:eastAsia="ArialNarrow" w:hAnsi="Calibri" w:cs="Calibri"/>
          <w:szCs w:val="18"/>
        </w:rPr>
        <w:t> </w:t>
      </w:r>
      <w:r w:rsidRPr="00D02A62">
        <w:rPr>
          <w:rFonts w:eastAsia="ArialNarrow" w:cs="Calibri"/>
          <w:szCs w:val="18"/>
        </w:rPr>
        <w:t>% pokrivenost s 30</w:t>
      </w:r>
      <w:r w:rsidRPr="00D02A62">
        <w:rPr>
          <w:rFonts w:ascii="Calibri" w:eastAsia="ArialNarrow" w:hAnsi="Calibri" w:cs="Calibri"/>
          <w:szCs w:val="18"/>
        </w:rPr>
        <w:t> </w:t>
      </w:r>
      <w:r w:rsidRPr="00D02A62">
        <w:rPr>
          <w:rFonts w:eastAsia="ArialNarrow" w:cs="Calibri"/>
          <w:szCs w:val="18"/>
        </w:rPr>
        <w:t>Mbit/s i zajam</w:t>
      </w:r>
      <w:r w:rsidRPr="00D02A62">
        <w:rPr>
          <w:rFonts w:eastAsia="ArialNarrow" w:cs="Newslab"/>
          <w:szCs w:val="18"/>
        </w:rPr>
        <w:t>č</w:t>
      </w:r>
      <w:r w:rsidRPr="00D02A62">
        <w:rPr>
          <w:rFonts w:eastAsia="ArialNarrow" w:cs="Calibri"/>
          <w:szCs w:val="18"/>
        </w:rPr>
        <w:t>iti da je najmanje 50</w:t>
      </w:r>
      <w:r w:rsidRPr="00D02A62">
        <w:rPr>
          <w:rFonts w:ascii="Calibri" w:eastAsia="ArialNarrow" w:hAnsi="Calibri" w:cs="Calibri"/>
          <w:szCs w:val="18"/>
        </w:rPr>
        <w:t> </w:t>
      </w:r>
      <w:r w:rsidRPr="00D02A62">
        <w:rPr>
          <w:rFonts w:eastAsia="ArialNarrow" w:cs="Calibri"/>
          <w:szCs w:val="18"/>
        </w:rPr>
        <w:t xml:space="preserve">% </w:t>
      </w:r>
      <w:r w:rsidRPr="00D02A62">
        <w:rPr>
          <w:szCs w:val="18"/>
        </w:rPr>
        <w:t xml:space="preserve">kućanstava pretplaćeno na usluge ultra brzog </w:t>
      </w:r>
      <w:r w:rsidRPr="005443C3">
        <w:t>širokopojasnog pristupa internetu (preko 100</w:t>
      </w:r>
      <w:r w:rsidRPr="005443C3">
        <w:rPr>
          <w:rFonts w:ascii="Calibri" w:hAnsi="Calibri" w:cs="Calibri"/>
        </w:rPr>
        <w:t> </w:t>
      </w:r>
      <w:r w:rsidRPr="005443C3">
        <w:t xml:space="preserve">Mbit/s) do 2020. godine. </w:t>
      </w:r>
    </w:p>
    <w:p w14:paraId="51A5DF50" w14:textId="77777777" w:rsidR="003E6C76" w:rsidRPr="005443C3" w:rsidRDefault="003E6C76" w:rsidP="005443C3">
      <w:r w:rsidRPr="005443C3">
        <w:t>Ulaganja u rješavanje pitanja pokrivanja područja RH širokopojasnom mrežom sljedeće generacije u sklopu Operativnog</w:t>
      </w:r>
      <w:r w:rsidRPr="00D02A62">
        <w:rPr>
          <w:rFonts w:eastAsia="ArialNarrow" w:cs="Calibri"/>
          <w:szCs w:val="18"/>
        </w:rPr>
        <w:t xml:space="preserve"> programa 'Konkurentnost i kohezija 2014. - 2020.', provode se kroz Prioritetnu os 2 'Korištenje informacijskih i komunikacijskih tehnologija', Investicijski prioritet 2a 'Proširenje dostupnosti širokopojasnog pristupa i izgradnja mreža velikih brzina te podršku usvajanja novih tehnologija i mreža za digitalno gospodarstvo' te Specifični cilj 2a1 'Razvoj infrastrukture širokopojasne mreže sljedeće generacije u područjima bez infrastrukture širokopojasne mreže sljedeće generacije i bez dovoljno komercijalnog interesa, za maksimalno povećanje socijalne i ekonomske dobrobiti'. Ulaganja se odnose na razvoj širokopojasnog pristupa internetu koji će pridonijeti povećanju konkurentnosti određenih gospodarskih grana i samim time otvaranju novih radnih </w:t>
      </w:r>
      <w:r w:rsidRPr="005443C3">
        <w:t>mjesta.</w:t>
      </w:r>
    </w:p>
    <w:p w14:paraId="17B8237C" w14:textId="77777777" w:rsidR="003E6C76" w:rsidRPr="005443C3" w:rsidRDefault="003E6C76" w:rsidP="005443C3">
      <w:r w:rsidRPr="005443C3">
        <w:t>U RH pokrivenost fiksnom mrežom u 2019. iznosi gotovo 100%, što je više od prosjeka EU-a koji iznosi 97%. Potražnja</w:t>
      </w:r>
      <w:r w:rsidRPr="4E193667">
        <w:rPr>
          <w:rFonts w:eastAsia="ArialNarrow" w:cs="Calibri"/>
        </w:rPr>
        <w:t xml:space="preserve"> za fiksnim širokopojasnim pristupom u Hrvatskoj povećala se u 2019. za dva postotna boda u odnosu na 2018., ali je i dalje ispod prosjeka EU-a. Potražnja za mobilnim širokopojasnim pristupom donekle se povećala, ali je i ona i dalje ispod prosjeka EU-a. Hrvatska je poboljšala pokrivenost brzom širokopojasnom mrežom (nove generacije) i povećala postotak pokrivenosti na 83%, koliko sada iznosi i prosjek na razini EU-a. Kad je riječ o pokrivenosti ultra brzom širokopojasnom mrežom (100 Mbps ili više), Hrvatska sa svojim rezultatom od 39 % znatno zaostaje za europskim prosjekom, koji iznosi 60 %. Stopa pretplata na širokopojasni pristup izrazito se </w:t>
      </w:r>
      <w:r w:rsidRPr="005443C3">
        <w:t>povećala od prošle godine (sa 7 % u 2017. na 19 %), ali je i dalje niska</w:t>
      </w:r>
      <w:r w:rsidRPr="005443C3">
        <w:rPr>
          <w:rStyle w:val="Referencafusnote"/>
          <w:rFonts w:eastAsia="ArialNarrow" w:cs="Calibri"/>
        </w:rPr>
        <w:footnoteReference w:id="11"/>
      </w:r>
      <w:r w:rsidRPr="005443C3">
        <w:rPr>
          <w:rStyle w:val="Referencafusnote"/>
          <w:rFonts w:eastAsia="ArialNarrow" w:cs="Calibri"/>
        </w:rPr>
        <w:t>.</w:t>
      </w:r>
    </w:p>
    <w:p w14:paraId="4B672905" w14:textId="6CC0A186" w:rsidR="003E6C76" w:rsidRPr="00D02A62" w:rsidRDefault="003E6C76" w:rsidP="005443C3">
      <w:pPr>
        <w:rPr>
          <w:rFonts w:eastAsia="ArialNarrow" w:cs="Calibri"/>
          <w:szCs w:val="18"/>
        </w:rPr>
      </w:pPr>
      <w:r w:rsidRPr="005443C3">
        <w:t>Prosjek gustoće širokopojasnih priključaka u Republici Hrvatskoj koncem 2014. bio je 22,24%, a u narednih gotovo 5 godina</w:t>
      </w:r>
      <w:r w:rsidRPr="00D02A62">
        <w:rPr>
          <w:rFonts w:eastAsia="ArialNarrow" w:cs="Calibri"/>
          <w:szCs w:val="18"/>
        </w:rPr>
        <w:t xml:space="preserve"> porastao je na svega 26,73%. </w:t>
      </w:r>
      <w:r w:rsidR="00BC7883">
        <w:rPr>
          <w:rFonts w:eastAsia="ArialNarrow" w:cs="Calibri"/>
          <w:szCs w:val="18"/>
        </w:rPr>
        <w:t xml:space="preserve">Broj širokopojasnih priključaka u nepokretnoj komunikacijskoj mreži na razini Hrvatske u četvrtom je tromjesečju 2019. godine bio 2,3 posto veći u odnosu na isto tromjesečje 2018. godine. Promatrano po županijama, to je rezultat rasta koji je zabilježen gotovo u svim županijama izuzev kod zagrebačke županije, gdje se bilježi neznatan pad. </w:t>
      </w:r>
      <w:r w:rsidRPr="00D02A62">
        <w:rPr>
          <w:rFonts w:eastAsia="ArialNarrow" w:cs="Calibri"/>
          <w:szCs w:val="18"/>
        </w:rPr>
        <w:t>Krapinsko-</w:t>
      </w:r>
      <w:r w:rsidRPr="00D02A62">
        <w:rPr>
          <w:rFonts w:eastAsia="ArialNarrow" w:cs="Calibri"/>
          <w:szCs w:val="18"/>
        </w:rPr>
        <w:lastRenderedPageBreak/>
        <w:t>zagorska županija je i dalje ispod hrvatskog prosjeka, te gustoća širokopojasnih priključaka iznosi 19,07%, što ukazuje na sporiji rast od nacionalnog prosjeka, s obzirom na to da je koncem 2014. gustoća iznosila 16,10%.</w:t>
      </w:r>
      <w:r w:rsidR="00BC7883">
        <w:rPr>
          <w:rFonts w:eastAsia="ArialNarrow" w:cs="Calibri"/>
          <w:szCs w:val="18"/>
        </w:rPr>
        <w:t xml:space="preserve"> </w:t>
      </w:r>
    </w:p>
    <w:p w14:paraId="4F9D83C0" w14:textId="77777777" w:rsidR="003E6C76" w:rsidRDefault="003E6C76" w:rsidP="003E6C76">
      <w:pPr>
        <w:autoSpaceDE w:val="0"/>
        <w:autoSpaceDN w:val="0"/>
        <w:adjustRightInd w:val="0"/>
        <w:spacing w:after="0" w:line="240" w:lineRule="auto"/>
        <w:rPr>
          <w:rFonts w:ascii="Calibri" w:eastAsia="ArialNarrow,Bold" w:hAnsi="Calibri" w:cs="Calibri"/>
          <w:b/>
          <w:bCs/>
          <w:color w:val="auto"/>
          <w:sz w:val="20"/>
        </w:rPr>
      </w:pPr>
    </w:p>
    <w:p w14:paraId="68D43BE8" w14:textId="70F94C35" w:rsidR="003E6C76" w:rsidRDefault="003E6C76" w:rsidP="003E6C76">
      <w:pPr>
        <w:pStyle w:val="Opisslike"/>
        <w:rPr>
          <w:rFonts w:asciiTheme="minorHAnsi" w:eastAsiaTheme="minorHAnsi" w:hAnsiTheme="minorHAnsi"/>
          <w:b/>
          <w:szCs w:val="18"/>
        </w:rPr>
      </w:pPr>
      <w:r>
        <w:t xml:space="preserve">Grafikon </w:t>
      </w:r>
      <w:r>
        <w:rPr>
          <w:noProof/>
        </w:rPr>
        <w:fldChar w:fldCharType="begin"/>
      </w:r>
      <w:r>
        <w:rPr>
          <w:noProof/>
        </w:rPr>
        <w:instrText xml:space="preserve"> SEQ Grafikon \* ARABIC </w:instrText>
      </w:r>
      <w:r>
        <w:rPr>
          <w:noProof/>
        </w:rPr>
        <w:fldChar w:fldCharType="separate"/>
      </w:r>
      <w:r w:rsidR="00242051">
        <w:rPr>
          <w:noProof/>
        </w:rPr>
        <w:t>4</w:t>
      </w:r>
      <w:r>
        <w:rPr>
          <w:noProof/>
        </w:rPr>
        <w:fldChar w:fldCharType="end"/>
      </w:r>
      <w:r>
        <w:rPr>
          <w:noProof/>
        </w:rPr>
        <w:t>.</w:t>
      </w:r>
      <w:r>
        <w:t xml:space="preserve"> Gustoće širokopojasnih priključaka u Republici Hrvatskoj (nepokretna komunikacijska mreža) prema županijama</w:t>
      </w:r>
    </w:p>
    <w:p w14:paraId="13F142AC" w14:textId="1F106DDA" w:rsidR="003E6C76" w:rsidRDefault="003E6C76" w:rsidP="003E6C76">
      <w:pPr>
        <w:autoSpaceDE w:val="0"/>
        <w:autoSpaceDN w:val="0"/>
        <w:adjustRightInd w:val="0"/>
        <w:spacing w:after="0" w:line="240" w:lineRule="auto"/>
        <w:rPr>
          <w:rFonts w:ascii="Calibri" w:eastAsia="ArialNarrow" w:hAnsi="Calibri" w:cs="Calibri"/>
          <w:sz w:val="16"/>
          <w:szCs w:val="16"/>
        </w:rPr>
      </w:pPr>
      <w:r>
        <w:rPr>
          <w:noProof/>
          <w:lang w:eastAsia="hr-HR"/>
        </w:rPr>
        <w:drawing>
          <wp:inline distT="0" distB="0" distL="0" distR="0" wp14:anchorId="492AFA93" wp14:editId="36F9F2E4">
            <wp:extent cx="5772150" cy="3152775"/>
            <wp:effectExtent l="0" t="0" r="0" b="9525"/>
            <wp:docPr id="274" name="Graphic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extLst>
                        <a:ext uri="{96DAC541-7B7A-43D3-8B79-37D633B846F1}">
                          <asvg:svgBlip xmlns:asvg="http://schemas.microsoft.com/office/drawing/2016/SVG/main" r:embed="rId28"/>
                        </a:ext>
                      </a:extLst>
                    </a:blip>
                    <a:srcRect t="11233"/>
                    <a:stretch/>
                  </pic:blipFill>
                  <pic:spPr bwMode="auto">
                    <a:xfrm>
                      <a:off x="0" y="0"/>
                      <a:ext cx="5782893" cy="3158643"/>
                    </a:xfrm>
                    <a:prstGeom prst="rect">
                      <a:avLst/>
                    </a:prstGeom>
                    <a:ln>
                      <a:noFill/>
                    </a:ln>
                    <a:extLst>
                      <a:ext uri="{53640926-AAD7-44D8-BBD7-CCE9431645EC}">
                        <a14:shadowObscured xmlns:a14="http://schemas.microsoft.com/office/drawing/2010/main"/>
                      </a:ext>
                    </a:extLst>
                  </pic:spPr>
                </pic:pic>
              </a:graphicData>
            </a:graphic>
          </wp:inline>
        </w:drawing>
      </w:r>
    </w:p>
    <w:p w14:paraId="34875C2D" w14:textId="15CDF10A" w:rsidR="003E6C76" w:rsidRDefault="003E6C76" w:rsidP="003E6C76">
      <w:pPr>
        <w:autoSpaceDE w:val="0"/>
        <w:autoSpaceDN w:val="0"/>
        <w:adjustRightInd w:val="0"/>
        <w:spacing w:after="0" w:line="240" w:lineRule="auto"/>
        <w:rPr>
          <w:rFonts w:eastAsia="ArialNarrow" w:cstheme="minorHAnsi"/>
          <w:i/>
          <w:color w:val="ABABAB" w:themeColor="text1" w:themeTint="A6"/>
          <w:sz w:val="16"/>
          <w:szCs w:val="16"/>
        </w:rPr>
      </w:pPr>
      <w:r w:rsidRPr="002701A3">
        <w:rPr>
          <w:rFonts w:eastAsia="ArialNarrow" w:cstheme="minorHAnsi"/>
          <w:i/>
          <w:color w:val="ABABAB" w:themeColor="text1" w:themeTint="A6"/>
          <w:sz w:val="16"/>
          <w:szCs w:val="16"/>
        </w:rPr>
        <w:t>Izvor: HAKOM, 2019.</w:t>
      </w:r>
    </w:p>
    <w:p w14:paraId="18A4D95D" w14:textId="77777777" w:rsidR="00946C89" w:rsidRPr="002701A3" w:rsidRDefault="00946C89" w:rsidP="003E6C76">
      <w:pPr>
        <w:autoSpaceDE w:val="0"/>
        <w:autoSpaceDN w:val="0"/>
        <w:adjustRightInd w:val="0"/>
        <w:spacing w:after="0" w:line="240" w:lineRule="auto"/>
        <w:rPr>
          <w:rFonts w:eastAsia="ArialNarrow" w:cstheme="minorHAnsi"/>
          <w:i/>
          <w:color w:val="ABABAB" w:themeColor="text1" w:themeTint="A6"/>
          <w:sz w:val="16"/>
          <w:szCs w:val="16"/>
        </w:rPr>
      </w:pPr>
    </w:p>
    <w:p w14:paraId="47E7F128" w14:textId="466D7A0A" w:rsidR="003E6C76" w:rsidRDefault="003E6C76" w:rsidP="003E6C76">
      <w:bookmarkStart w:id="55" w:name="_Hlk24274704"/>
      <w:r>
        <w:t>Trenutna brzina pristupa internetu u KZŽ nije adekvatna. Generalno stanje u Krapinsko-zagorskoj županiji je da većina priključaka omogućuje isključivo osnovni širokopojasni pristup (2-30 Mbit/s). Mali broj priključaka omogućuje brzi pristup (od 30 – 100 Mbit/s), a mogućnost priključka brzinom većom od 100 Mbit/s (ultra brzi pristup) uglavnom ne postoji</w:t>
      </w:r>
      <w:bookmarkEnd w:id="55"/>
      <w:r>
        <w:rPr>
          <w:rStyle w:val="Referencafusnote"/>
          <w:rFonts w:ascii="Calibri" w:hAnsi="Calibri" w:cs="Calibri"/>
          <w:sz w:val="22"/>
          <w:szCs w:val="22"/>
        </w:rPr>
        <w:footnoteReference w:id="12"/>
      </w:r>
      <w:r>
        <w:t xml:space="preserve">. </w:t>
      </w:r>
      <w:r w:rsidR="00AA71DD" w:rsidRPr="00AA71DD">
        <w:t xml:space="preserve">Brzina internet veze izrazito je važna stavka digitalne infrastrukture </w:t>
      </w:r>
      <w:r w:rsidR="00AA71DD">
        <w:t xml:space="preserve">jer </w:t>
      </w:r>
      <w:r w:rsidR="00AA71DD" w:rsidRPr="00AA71DD">
        <w:t>omogućava nesmetano funkcioniranje županijske uprave te</w:t>
      </w:r>
      <w:r w:rsidR="00AA71DD">
        <w:t xml:space="preserve"> </w:t>
      </w:r>
      <w:r w:rsidR="00AA71DD" w:rsidRPr="00AA71DD">
        <w:t>omogućava korištenje planiranih e-usluga od strane stanovnika</w:t>
      </w:r>
      <w:r w:rsidR="00AA71DD">
        <w:t xml:space="preserve">. </w:t>
      </w:r>
    </w:p>
    <w:p w14:paraId="281B57F6" w14:textId="77777777" w:rsidR="003E6C76" w:rsidRPr="00D02A62" w:rsidRDefault="003E6C76" w:rsidP="003E6C76">
      <w:pPr>
        <w:rPr>
          <w:rFonts w:cs="Calibri"/>
        </w:rPr>
      </w:pPr>
      <w:r>
        <w:t xml:space="preserve">Jedan od ciljeva prethodno spomenutog ONP-a uključuje da su svi javni korisnici povezani brzinom 100/100 Mbit/s, što omogućuje daljnji razvoj besplatne WiFi mreže na pojedinim lokacijama u JLS-ovima i time dodatno pozitivno utječe na kvalitetu razvoja gospodarstva, turističke ponude i promocije Krapinsko-zagorske županije. Vezano uz tijek </w:t>
      </w:r>
      <w:bookmarkStart w:id="56" w:name="_Hlk24274732"/>
      <w:r>
        <w:t>pripreme projekta razvoja infrastrukture širokopojasnog pristupa u područjima u kojima ne postoji dostatan komercijalni interes za ulaganja, područje Krapinsko-zagorske županije je podijeljeno u 4 zone:</w:t>
      </w:r>
      <w:bookmarkEnd w:id="56"/>
    </w:p>
    <w:p w14:paraId="3C0A3655" w14:textId="77777777" w:rsidR="003E6C76" w:rsidRPr="00D02A62" w:rsidRDefault="003E6C76" w:rsidP="003E6C76">
      <w:pPr>
        <w:pStyle w:val="Odlomakpopisa"/>
        <w:numPr>
          <w:ilvl w:val="0"/>
          <w:numId w:val="14"/>
        </w:numPr>
        <w:autoSpaceDE w:val="0"/>
        <w:autoSpaceDN w:val="0"/>
        <w:adjustRightInd w:val="0"/>
        <w:spacing w:after="275" w:line="240" w:lineRule="auto"/>
        <w:rPr>
          <w:rFonts w:cs="Calibri"/>
        </w:rPr>
      </w:pPr>
      <w:r w:rsidRPr="00D02A62">
        <w:rPr>
          <w:rFonts w:cs="Calibri"/>
        </w:rPr>
        <w:t xml:space="preserve">Nositelj Grad Donja Stubica, Grad Oroslavje i Općine: Marija Bistrica, Gornja Stubica, Stubičke Toplice i Veliko Trgovišće </w:t>
      </w:r>
    </w:p>
    <w:p w14:paraId="6ED33D08" w14:textId="77777777" w:rsidR="003E6C76" w:rsidRPr="00D02A62" w:rsidRDefault="003E6C76" w:rsidP="003E6C76">
      <w:pPr>
        <w:pStyle w:val="Odlomakpopisa"/>
        <w:numPr>
          <w:ilvl w:val="0"/>
          <w:numId w:val="14"/>
        </w:numPr>
        <w:autoSpaceDE w:val="0"/>
        <w:autoSpaceDN w:val="0"/>
        <w:adjustRightInd w:val="0"/>
        <w:spacing w:after="275" w:line="240" w:lineRule="auto"/>
        <w:rPr>
          <w:rFonts w:cs="Calibri"/>
        </w:rPr>
      </w:pPr>
      <w:r w:rsidRPr="00D02A62">
        <w:rPr>
          <w:rFonts w:cs="Calibri"/>
        </w:rPr>
        <w:t xml:space="preserve">Nositelj Grad Pregrada, Grad Klanjec i Općine: Desinić, Hum na Sutli, Kraljevec na Sutli, Krapinske Toplice, Kumrovec, Tuhelj i Zagorska Sela </w:t>
      </w:r>
    </w:p>
    <w:p w14:paraId="38D95A29" w14:textId="77777777" w:rsidR="003E6C76" w:rsidRPr="00D02A62" w:rsidRDefault="003E6C76" w:rsidP="003E6C76">
      <w:pPr>
        <w:pStyle w:val="Odlomakpopisa"/>
        <w:numPr>
          <w:ilvl w:val="0"/>
          <w:numId w:val="14"/>
        </w:numPr>
        <w:autoSpaceDE w:val="0"/>
        <w:autoSpaceDN w:val="0"/>
        <w:adjustRightInd w:val="0"/>
        <w:spacing w:after="275" w:line="240" w:lineRule="auto"/>
        <w:rPr>
          <w:rFonts w:cs="Calibri"/>
        </w:rPr>
      </w:pPr>
      <w:r w:rsidRPr="00D02A62">
        <w:rPr>
          <w:rFonts w:cs="Calibri"/>
        </w:rPr>
        <w:t xml:space="preserve">Nositelj Grad Zlatar i Općine: Budinščina, Hrašćina i Konjščina </w:t>
      </w:r>
    </w:p>
    <w:p w14:paraId="0564B349" w14:textId="77777777" w:rsidR="003E6C76" w:rsidRPr="00D02A62" w:rsidRDefault="003E6C76" w:rsidP="003E6C76">
      <w:pPr>
        <w:pStyle w:val="Odlomakpopisa"/>
        <w:numPr>
          <w:ilvl w:val="0"/>
          <w:numId w:val="14"/>
        </w:numPr>
        <w:autoSpaceDE w:val="0"/>
        <w:autoSpaceDN w:val="0"/>
        <w:adjustRightInd w:val="0"/>
        <w:spacing w:after="0" w:line="240" w:lineRule="auto"/>
        <w:rPr>
          <w:rFonts w:cs="Calibri"/>
        </w:rPr>
      </w:pPr>
      <w:r w:rsidRPr="00D02A62">
        <w:rPr>
          <w:rFonts w:cs="Calibri"/>
        </w:rPr>
        <w:t>Nositelj Općin</w:t>
      </w:r>
      <w:r>
        <w:rPr>
          <w:rFonts w:cs="Calibri"/>
        </w:rPr>
        <w:t>e</w:t>
      </w:r>
      <w:r w:rsidRPr="00D02A62">
        <w:rPr>
          <w:rFonts w:cs="Calibri"/>
        </w:rPr>
        <w:t xml:space="preserve"> Bedekovčina</w:t>
      </w:r>
      <w:r>
        <w:rPr>
          <w:rFonts w:cs="Calibri"/>
        </w:rPr>
        <w:t>,</w:t>
      </w:r>
      <w:r w:rsidRPr="00D02A62">
        <w:rPr>
          <w:rFonts w:cs="Calibri"/>
        </w:rPr>
        <w:t xml:space="preserve"> Lobor, Mače, Mihovljan, Novi Golubovec, Sveti Križ Začretje i Zlatar Bistrica. </w:t>
      </w:r>
    </w:p>
    <w:p w14:paraId="033EA993" w14:textId="77777777" w:rsidR="003E6C76" w:rsidRPr="00D02A62" w:rsidRDefault="003E6C76" w:rsidP="003E6C76">
      <w:pPr>
        <w:autoSpaceDE w:val="0"/>
        <w:autoSpaceDN w:val="0"/>
        <w:adjustRightInd w:val="0"/>
        <w:spacing w:after="0" w:line="240" w:lineRule="auto"/>
        <w:rPr>
          <w:rFonts w:cs="Calibri"/>
          <w:b/>
          <w:bCs/>
        </w:rPr>
      </w:pPr>
    </w:p>
    <w:p w14:paraId="15FC2CC5" w14:textId="70EF9A29" w:rsidR="003E6C76" w:rsidRDefault="003E6C76" w:rsidP="0047737F">
      <w:r w:rsidRPr="00D02A62">
        <w:rPr>
          <w:rFonts w:cs="Calibri"/>
        </w:rPr>
        <w:t xml:space="preserve">Navedeni gradovi i općine sklopile su Sporazume o suradnji na projektu razvoja infrastrukture širokopojasnog pristupa te su potpisani ugovori o izradi projektno-tehničke dokumentacije za razvoj PRŠI, u financiranje kojih se uključila i Krapinsko-zagorska županija. Izrađeni su </w:t>
      </w:r>
      <w:r w:rsidRPr="00D02A62">
        <w:t>Planovi razvoja infrastrukture širokopojasnog pristupa za navedena područja prema kojima bi, po odobrenju projekata, trebala krenuti izgradnja mreža sljedeće generacije (NGN)/pristupnih mreža sljedeće generacije (NGA).</w:t>
      </w:r>
    </w:p>
    <w:p w14:paraId="37C60766" w14:textId="0D0581F2" w:rsidR="00AA71DD" w:rsidRDefault="00AA71DD" w:rsidP="0047737F">
      <w:r w:rsidRPr="00AA71DD">
        <w:t xml:space="preserve">Na području grada Krapine cilj je stvaranja brzog pristupa internetu s brzinama od 40Mbit/s odnosno 5Mbit/s za upload. Povećanje brzine interneta u jedinicama lokalne samouprave u Hrvatskoj dovodi do osnivanja prosječno 10 novih kompanija i otvaranja 811 novih poslova, povećanja produktivnosti kompanija za dodatnih 364.000 kuna po zaposlenom te generiranja 420 milijuna novih izvoznih prihoda. Prema analizi Svjetske banke ulaganje od 1.000.000,00 kn u širokopojasni pristup otvara 5 do 15 novih radnih mjesta, dok 10% povećanja ulaganja rezultira povećanjem BDP-a od 1.21 % kod razvijenih zemalja, odnosno 1.38 % </w:t>
      </w:r>
      <w:r w:rsidRPr="00AA71DD">
        <w:lastRenderedPageBreak/>
        <w:t>kod zemalja u razvoju. Uvođenje NGA širokopojasnog pristupa Internetu također povoljno utječe na povećanje produktivnosti radnika kako u privatnom tako i u javnom sektoru.</w:t>
      </w:r>
      <w:r w:rsidRPr="0047737F">
        <w:rPr>
          <w:rStyle w:val="Referencafusnote"/>
          <w:rFonts w:ascii="Calibri" w:hAnsi="Calibri" w:cs="Calibri"/>
          <w:sz w:val="22"/>
          <w:szCs w:val="22"/>
        </w:rPr>
        <w:footnoteReference w:id="13"/>
      </w:r>
    </w:p>
    <w:p w14:paraId="0180EDBC" w14:textId="32CF2182" w:rsidR="003E6C76" w:rsidRDefault="003E6C76" w:rsidP="0047737F">
      <w:r w:rsidRPr="0047737F">
        <w:t>U okviru svoje strategije jedinstvenog digitalnog tržišta, Europska Komisija provodi inicijativu WiFi4EU s ciljem poboljšanja</w:t>
      </w:r>
      <w:r w:rsidRPr="00D02A62">
        <w:rPr>
          <w:rFonts w:cs="Calibri"/>
        </w:rPr>
        <w:t xml:space="preserve"> </w:t>
      </w:r>
      <w:hyperlink r:id="rId29" w:history="1">
        <w:r w:rsidRPr="008E0F21">
          <w:rPr>
            <w:rStyle w:val="Hiperveza"/>
            <w:rFonts w:cs="Calibri"/>
            <w:color w:val="3F3F3F" w:themeColor="text1" w:themeShade="80"/>
            <w:u w:val="none"/>
          </w:rPr>
          <w:t>bežičnog internetskog pristupa diljem Europe</w:t>
        </w:r>
      </w:hyperlink>
      <w:r w:rsidRPr="008E0F21">
        <w:t>. Unutar</w:t>
      </w:r>
      <w:r w:rsidRPr="00D02A62">
        <w:t xml:space="preserve"> ove inicijative općinama se dodjeljuju vaučeri kako bi se na javnim prostorima (parkovi, trgovi, uprave, knjižnice i zdravstveni centri) osigurao visokokvalitetan besplatan pristup internetu za građane i posjetitelje preko pristupnih točaka za Wi-Fi. Putem do sada objavljenih natječaja, na području KZŽ vaučere u iznosu od po 15</w:t>
      </w:r>
      <w:r>
        <w:t>.000</w:t>
      </w:r>
      <w:r w:rsidRPr="00D02A62">
        <w:t xml:space="preserve"> EUR za instaliranje bežičnog interneta dobili su gradovi Donja Stubica, Krapina, Klanjec</w:t>
      </w:r>
      <w:r w:rsidR="00F01A23">
        <w:t xml:space="preserve">, </w:t>
      </w:r>
      <w:r w:rsidRPr="00D02A62">
        <w:t>Zlatar</w:t>
      </w:r>
      <w:r w:rsidR="00F01A23">
        <w:t xml:space="preserve"> i Pregrada</w:t>
      </w:r>
      <w:r w:rsidRPr="00D02A62">
        <w:t xml:space="preserve">, te općine </w:t>
      </w:r>
      <w:r>
        <w:t xml:space="preserve">Bedekovčina, </w:t>
      </w:r>
      <w:r w:rsidRPr="00D02A62">
        <w:t>Mače, Stubičke Toplice, Jesenje, Mihovljan, Novi Golubovec, Zagorska Sela, Konjščina, Đurmanec, Desinić, Marija Bistrica, Lobor, Kraljevec na Sutli, Hrašćina, Tuhelj, Hum na Sutli, Kumrovec, Gornja Stubica, Veliko Trgovišće i Radoboj.</w:t>
      </w:r>
    </w:p>
    <w:p w14:paraId="4A2CFE2B" w14:textId="77777777" w:rsidR="003E6C76" w:rsidRDefault="003E6C76" w:rsidP="003E6C76">
      <w:pPr>
        <w:autoSpaceDE w:val="0"/>
        <w:autoSpaceDN w:val="0"/>
        <w:adjustRightInd w:val="0"/>
        <w:spacing w:after="0" w:line="240" w:lineRule="auto"/>
      </w:pPr>
    </w:p>
    <w:p w14:paraId="3B1F8C4B" w14:textId="37BDFEA2" w:rsidR="003E6C76" w:rsidRDefault="006A1A87" w:rsidP="006207AF">
      <w:pPr>
        <w:pStyle w:val="podpodnaslov111"/>
      </w:pPr>
      <w:bookmarkStart w:id="57" w:name="_Toc85181288"/>
      <w:r>
        <w:t>3</w:t>
      </w:r>
      <w:r w:rsidR="003E6C76">
        <w:t>.</w:t>
      </w:r>
      <w:r w:rsidR="00985B3A">
        <w:t>6</w:t>
      </w:r>
      <w:r w:rsidR="003E6C76">
        <w:t>.1. Digitalizacija</w:t>
      </w:r>
      <w:bookmarkEnd w:id="57"/>
    </w:p>
    <w:p w14:paraId="4455E1ED" w14:textId="77777777" w:rsidR="003E6C76" w:rsidRPr="00D02A62" w:rsidRDefault="003E6C76" w:rsidP="003E6C76">
      <w:pPr>
        <w:autoSpaceDE w:val="0"/>
        <w:autoSpaceDN w:val="0"/>
        <w:adjustRightInd w:val="0"/>
        <w:spacing w:after="0" w:line="240" w:lineRule="auto"/>
      </w:pPr>
    </w:p>
    <w:p w14:paraId="2DC92248" w14:textId="77777777" w:rsidR="003E6C76" w:rsidRPr="0047737F" w:rsidRDefault="003E6C76" w:rsidP="0047737F">
      <w:r w:rsidRPr="00DF6726">
        <w:rPr>
          <w:rFonts w:eastAsia="Times New Roman" w:cs="Times New Roman"/>
          <w:color w:val="3F3F3F"/>
        </w:rPr>
        <w:t>Europska komisija svake godine od 2014. godine izrađuje indeks digitalnog gospodarstva i društva (DESI - Digital</w:t>
      </w:r>
      <w:r w:rsidRPr="00DF6726">
        <w:rPr>
          <w:rFonts w:ascii="Calibri" w:eastAsia="Times New Roman" w:hAnsi="Calibri" w:cs="Calibri"/>
          <w:color w:val="3F3F3F"/>
        </w:rPr>
        <w:t> </w:t>
      </w:r>
      <w:r w:rsidRPr="00DF6726">
        <w:rPr>
          <w:rFonts w:eastAsia="Times New Roman" w:cs="Times New Roman"/>
          <w:color w:val="3F3F3F"/>
        </w:rPr>
        <w:t>Economy</w:t>
      </w:r>
      <w:r w:rsidRPr="00DF6726">
        <w:rPr>
          <w:rFonts w:ascii="Calibri" w:eastAsia="Times New Roman" w:hAnsi="Calibri" w:cs="Calibri"/>
          <w:color w:val="3F3F3F"/>
        </w:rPr>
        <w:t> </w:t>
      </w:r>
      <w:r w:rsidRPr="00DF6726">
        <w:rPr>
          <w:rFonts w:eastAsia="Times New Roman" w:cs="Times New Roman"/>
          <w:color w:val="3F3F3F"/>
        </w:rPr>
        <w:t>and</w:t>
      </w:r>
      <w:r w:rsidRPr="00DF6726">
        <w:rPr>
          <w:rFonts w:ascii="Calibri" w:eastAsia="Times New Roman" w:hAnsi="Calibri" w:cs="Calibri"/>
          <w:color w:val="3F3F3F"/>
        </w:rPr>
        <w:t> </w:t>
      </w:r>
      <w:r w:rsidRPr="00DF6726">
        <w:rPr>
          <w:rFonts w:eastAsia="Times New Roman" w:cs="Times New Roman"/>
          <w:color w:val="3F3F3F"/>
        </w:rPr>
        <w:t>Society</w:t>
      </w:r>
      <w:r w:rsidRPr="00DF6726">
        <w:rPr>
          <w:rFonts w:ascii="Calibri" w:eastAsia="Times New Roman" w:hAnsi="Calibri" w:cs="Calibri"/>
          <w:color w:val="3F3F3F"/>
        </w:rPr>
        <w:t> </w:t>
      </w:r>
      <w:r w:rsidRPr="00DF6726">
        <w:rPr>
          <w:rFonts w:eastAsia="Times New Roman" w:cs="Times New Roman"/>
          <w:color w:val="3F3F3F"/>
        </w:rPr>
        <w:t>Index) koji omogu</w:t>
      </w:r>
      <w:r w:rsidRPr="00DF6726">
        <w:rPr>
          <w:rFonts w:eastAsia="Times New Roman" w:cs="Newslab"/>
          <w:color w:val="3F3F3F"/>
        </w:rPr>
        <w:t>ć</w:t>
      </w:r>
      <w:r w:rsidRPr="00DF6726">
        <w:rPr>
          <w:rFonts w:eastAsia="Times New Roman" w:cs="Times New Roman"/>
          <w:color w:val="3F3F3F"/>
        </w:rPr>
        <w:t>uje ocjenu stanja digitalne spremnosti dr</w:t>
      </w:r>
      <w:r w:rsidRPr="00DF6726">
        <w:rPr>
          <w:rFonts w:eastAsia="Times New Roman" w:cs="Newslab"/>
          <w:color w:val="3F3F3F"/>
        </w:rPr>
        <w:t>ž</w:t>
      </w:r>
      <w:r w:rsidRPr="00DF6726">
        <w:rPr>
          <w:rFonts w:eastAsia="Times New Roman" w:cs="Times New Roman"/>
          <w:color w:val="3F3F3F"/>
        </w:rPr>
        <w:t xml:space="preserve">ava </w:t>
      </w:r>
      <w:r w:rsidRPr="00DF6726">
        <w:rPr>
          <w:rFonts w:eastAsia="Times New Roman" w:cs="Newslab"/>
          <w:color w:val="3F3F3F"/>
        </w:rPr>
        <w:t>č</w:t>
      </w:r>
      <w:r w:rsidRPr="00DF6726">
        <w:rPr>
          <w:rFonts w:eastAsia="Times New Roman" w:cs="Times New Roman"/>
          <w:color w:val="3F3F3F"/>
        </w:rPr>
        <w:t>lanica Europske Unije.</w:t>
      </w:r>
      <w:r w:rsidRPr="00DF6726">
        <w:rPr>
          <w:rFonts w:ascii="Calibri" w:eastAsia="Times New Roman" w:hAnsi="Calibri" w:cs="Calibri"/>
          <w:color w:val="3F3F3F"/>
        </w:rPr>
        <w:t> </w:t>
      </w:r>
      <w:r>
        <w:rPr>
          <w:rFonts w:eastAsia="Times New Roman" w:cs="Times New Roman"/>
          <w:color w:val="3F3F3F"/>
        </w:rPr>
        <w:t xml:space="preserve"> </w:t>
      </w:r>
      <w:r w:rsidRPr="00DF6726">
        <w:rPr>
          <w:rFonts w:eastAsia="Times New Roman" w:cs="Times New Roman"/>
          <w:color w:val="3F3F3F"/>
        </w:rPr>
        <w:t>DESI indeks prati razvoj digitalizacije prema pokazateljima za</w:t>
      </w:r>
      <w:r w:rsidRPr="00DF6726">
        <w:rPr>
          <w:rFonts w:ascii="Calibri" w:eastAsia="Times New Roman" w:hAnsi="Calibri" w:cs="Calibri"/>
          <w:color w:val="3F3F3F"/>
        </w:rPr>
        <w:t> </w:t>
      </w:r>
      <w:r w:rsidRPr="00DF6726">
        <w:rPr>
          <w:rFonts w:eastAsia="Times New Roman" w:cs="Times New Roman"/>
          <w:color w:val="3F3F3F"/>
        </w:rPr>
        <w:t>povezivost, ljudski kapital, upotrebu internetskih usluga, integraciju digitalne tehnologije te digitalnih javnih usluga</w:t>
      </w:r>
      <w:r>
        <w:rPr>
          <w:rFonts w:eastAsia="Times New Roman" w:cs="Times New Roman"/>
          <w:color w:val="3F3F3F"/>
        </w:rPr>
        <w:t xml:space="preserve">. </w:t>
      </w:r>
      <w:r w:rsidRPr="00DF6726">
        <w:rPr>
          <w:rFonts w:eastAsia="Times New Roman" w:cs="Times New Roman"/>
          <w:color w:val="3F3F3F"/>
        </w:rPr>
        <w:t xml:space="preserve">Prema DESI indeksu za 2020. godinu, Hrvatska zauzima 20. mjesto među 28 zemalja članica. Digitalna tranzicija društva i gospodarstva, te kompetentna, dostupna i učinkovita javna uprava sastavni su nacionalni strateški ciljevi za stvaranje kvalitetnijeg </w:t>
      </w:r>
      <w:r w:rsidRPr="0047737F">
        <w:t xml:space="preserve">društva 2030. godine. </w:t>
      </w:r>
    </w:p>
    <w:p w14:paraId="41A26C99" w14:textId="7010368C" w:rsidR="003E6C76" w:rsidRPr="0047737F" w:rsidRDefault="003E6C76" w:rsidP="0047737F">
      <w:r w:rsidRPr="0047737F">
        <w:t>Krapinsko-zagorska županija</w:t>
      </w:r>
      <w:r w:rsidRPr="0047737F">
        <w:rPr>
          <w:rFonts w:ascii="Calibri" w:hAnsi="Calibri" w:cs="Calibri"/>
        </w:rPr>
        <w:t> </w:t>
      </w:r>
      <w:r w:rsidRPr="0047737F">
        <w:t>prepoznala je trend</w:t>
      </w:r>
      <w:r w:rsidRPr="0047737F">
        <w:rPr>
          <w:rFonts w:ascii="Calibri" w:hAnsi="Calibri" w:cs="Calibri"/>
        </w:rPr>
        <w:t> </w:t>
      </w:r>
      <w:r w:rsidRPr="0047737F">
        <w:t>digitalizacije</w:t>
      </w:r>
      <w:r w:rsidRPr="0047737F">
        <w:rPr>
          <w:rFonts w:ascii="Calibri" w:hAnsi="Calibri" w:cs="Calibri"/>
        </w:rPr>
        <w:t> </w:t>
      </w:r>
      <w:r w:rsidRPr="0047737F">
        <w:t>odnosno uvidjela je potrebu za stvaranjem detaljne analize</w:t>
      </w:r>
      <w:r w:rsidRPr="0007706F">
        <w:rPr>
          <w:rFonts w:eastAsia="Times New Roman" w:cs="Times New Roman"/>
          <w:color w:val="3F3F3F"/>
        </w:rPr>
        <w:t xml:space="preserve"> </w:t>
      </w:r>
      <w:r>
        <w:rPr>
          <w:rFonts w:eastAsia="Times New Roman" w:cs="Times New Roman"/>
          <w:color w:val="3F3F3F"/>
        </w:rPr>
        <w:t xml:space="preserve">sa </w:t>
      </w:r>
      <w:r w:rsidRPr="0007706F">
        <w:rPr>
          <w:rFonts w:ascii="Calibri" w:eastAsia="Times New Roman" w:hAnsi="Calibri" w:cs="Calibri"/>
          <w:color w:val="3F3F3F"/>
        </w:rPr>
        <w:t> </w:t>
      </w:r>
      <w:r w:rsidRPr="0007706F">
        <w:rPr>
          <w:rFonts w:eastAsia="Times New Roman" w:cs="Times New Roman"/>
          <w:color w:val="3F3F3F"/>
        </w:rPr>
        <w:t>uput</w:t>
      </w:r>
      <w:r>
        <w:rPr>
          <w:rFonts w:eastAsia="Times New Roman" w:cs="Times New Roman"/>
          <w:color w:val="3F3F3F"/>
        </w:rPr>
        <w:t>ama</w:t>
      </w:r>
      <w:r w:rsidRPr="0007706F">
        <w:rPr>
          <w:rFonts w:eastAsia="Times New Roman" w:cs="Times New Roman"/>
          <w:color w:val="3F3F3F"/>
        </w:rPr>
        <w:t xml:space="preserve"> za snala</w:t>
      </w:r>
      <w:r w:rsidRPr="0007706F">
        <w:rPr>
          <w:rFonts w:eastAsia="Times New Roman" w:cs="Newslab"/>
          <w:color w:val="3F3F3F"/>
        </w:rPr>
        <w:t>ž</w:t>
      </w:r>
      <w:r w:rsidRPr="0007706F">
        <w:rPr>
          <w:rFonts w:eastAsia="Times New Roman" w:cs="Times New Roman"/>
          <w:color w:val="3F3F3F"/>
        </w:rPr>
        <w:t>enje u digitalnom prostoru i vremenu</w:t>
      </w:r>
      <w:r>
        <w:rPr>
          <w:rFonts w:eastAsia="Times New Roman" w:cs="Times New Roman"/>
          <w:color w:val="3F3F3F"/>
        </w:rPr>
        <w:t xml:space="preserve"> kroz izrađenu Strategiju digitalne transformacije Krapinsko- zagorske županije.</w:t>
      </w:r>
      <w:r w:rsidRPr="00D10D20">
        <w:rPr>
          <w:rFonts w:ascii="Arial" w:hAnsi="Arial" w:cs="Arial"/>
          <w:color w:val="000000"/>
          <w:sz w:val="20"/>
          <w:szCs w:val="20"/>
          <w:shd w:val="clear" w:color="auto" w:fill="FFFFFF"/>
        </w:rPr>
        <w:t xml:space="preserve"> </w:t>
      </w:r>
      <w:r w:rsidRPr="00F0462F">
        <w:rPr>
          <w:rFonts w:eastAsia="Times New Roman" w:cs="Times New Roman"/>
          <w:color w:val="3F3F3F"/>
        </w:rPr>
        <w:t>Pojam digitalna transformacija objašnjen je utjecajem na gotovo svako područje života, a provodi se u dva smjera: jedan je smjer digitalizacija usluga prema građanima i poslovnim subjektima, a drugi smjer je digitalizacija internih postupaka i procesa u tijelima javne uprave.</w:t>
      </w:r>
      <w:r>
        <w:rPr>
          <w:rFonts w:ascii="Arial" w:hAnsi="Arial" w:cs="Arial"/>
          <w:color w:val="000000"/>
          <w:sz w:val="20"/>
          <w:szCs w:val="20"/>
          <w:shd w:val="clear" w:color="auto" w:fill="FFFFFF"/>
        </w:rPr>
        <w:t xml:space="preserve"> </w:t>
      </w:r>
      <w:r w:rsidRPr="00411D05">
        <w:rPr>
          <w:rFonts w:eastAsia="Times New Roman" w:cs="Times New Roman"/>
          <w:color w:val="3F3F3F"/>
        </w:rPr>
        <w:t xml:space="preserve">U Krapinsko-zagorskoj županiji fokus je stavljen na digitalizaciju internih postupaka i procesa u tijelima javne uprave. </w:t>
      </w:r>
      <w:r>
        <w:rPr>
          <w:rFonts w:eastAsia="Times New Roman" w:cs="Times New Roman"/>
          <w:color w:val="3F3F3F"/>
        </w:rPr>
        <w:t xml:space="preserve">Strategija digitalne transformacije KZŽ </w:t>
      </w:r>
      <w:r w:rsidRPr="00D10D20">
        <w:rPr>
          <w:rFonts w:eastAsia="Times New Roman" w:cs="Times New Roman"/>
          <w:color w:val="3F3F3F"/>
        </w:rPr>
        <w:t>orijentiran</w:t>
      </w:r>
      <w:r>
        <w:rPr>
          <w:rFonts w:eastAsia="Times New Roman" w:cs="Times New Roman"/>
          <w:color w:val="3F3F3F"/>
        </w:rPr>
        <w:t>a</w:t>
      </w:r>
      <w:r w:rsidRPr="00D10D20">
        <w:rPr>
          <w:rFonts w:eastAsia="Times New Roman" w:cs="Times New Roman"/>
          <w:color w:val="3F3F3F"/>
        </w:rPr>
        <w:t xml:space="preserve"> na upravu, predstavlja </w:t>
      </w:r>
      <w:r>
        <w:rPr>
          <w:rFonts w:eastAsia="Times New Roman" w:cs="Times New Roman"/>
          <w:color w:val="3F3F3F"/>
        </w:rPr>
        <w:t xml:space="preserve">digitalizaciju </w:t>
      </w:r>
      <w:r w:rsidRPr="00D10D20">
        <w:rPr>
          <w:rFonts w:eastAsia="Times New Roman" w:cs="Times New Roman"/>
          <w:color w:val="3F3F3F"/>
        </w:rPr>
        <w:t>cijele</w:t>
      </w:r>
      <w:r w:rsidRPr="00D10D20">
        <w:rPr>
          <w:rFonts w:ascii="Calibri" w:eastAsia="Times New Roman" w:hAnsi="Calibri" w:cs="Calibri"/>
          <w:color w:val="3F3F3F"/>
        </w:rPr>
        <w:t> </w:t>
      </w:r>
      <w:r>
        <w:rPr>
          <w:rFonts w:ascii="Calibri" w:eastAsia="Times New Roman" w:hAnsi="Calibri" w:cs="Calibri"/>
          <w:color w:val="3F3F3F"/>
        </w:rPr>
        <w:t xml:space="preserve"> </w:t>
      </w:r>
      <w:r w:rsidRPr="00411D05">
        <w:rPr>
          <w:rFonts w:eastAsia="Times New Roman" w:cs="Times New Roman"/>
          <w:color w:val="3F3F3F"/>
        </w:rPr>
        <w:t>Ž</w:t>
      </w:r>
      <w:r w:rsidRPr="00D10D20">
        <w:rPr>
          <w:rFonts w:eastAsia="Times New Roman" w:cs="Times New Roman"/>
          <w:color w:val="3F3F3F"/>
        </w:rPr>
        <w:t>upanije koja će biti ukrštena s već pripremljenim</w:t>
      </w:r>
      <w:r w:rsidRPr="00D10D20">
        <w:rPr>
          <w:rFonts w:ascii="Calibri" w:eastAsia="Times New Roman" w:hAnsi="Calibri" w:cs="Calibri"/>
          <w:color w:val="3F3F3F"/>
        </w:rPr>
        <w:t> </w:t>
      </w:r>
      <w:r w:rsidRPr="00D10D20">
        <w:rPr>
          <w:rFonts w:eastAsia="Times New Roman" w:cs="Times New Roman"/>
          <w:color w:val="3F3F3F"/>
        </w:rPr>
        <w:t>smart</w:t>
      </w:r>
      <w:r w:rsidRPr="00D10D20">
        <w:rPr>
          <w:rFonts w:ascii="Calibri" w:eastAsia="Times New Roman" w:hAnsi="Calibri" w:cs="Calibri"/>
          <w:color w:val="3F3F3F"/>
        </w:rPr>
        <w:t> </w:t>
      </w:r>
      <w:r w:rsidRPr="00D10D20">
        <w:rPr>
          <w:rFonts w:eastAsia="Times New Roman" w:cs="Times New Roman"/>
          <w:color w:val="3F3F3F"/>
        </w:rPr>
        <w:t>city</w:t>
      </w:r>
      <w:r w:rsidRPr="00D10D20">
        <w:rPr>
          <w:rFonts w:ascii="Calibri" w:eastAsia="Times New Roman" w:hAnsi="Calibri" w:cs="Calibri"/>
          <w:color w:val="3F3F3F"/>
        </w:rPr>
        <w:t> </w:t>
      </w:r>
      <w:r w:rsidRPr="00D10D20">
        <w:rPr>
          <w:rFonts w:eastAsia="Times New Roman" w:cs="Times New Roman"/>
          <w:color w:val="3F3F3F"/>
        </w:rPr>
        <w:t xml:space="preserve">konceptima razvoja gradova u </w:t>
      </w:r>
      <w:r w:rsidRPr="00D10D20">
        <w:rPr>
          <w:rFonts w:eastAsia="Times New Roman" w:cs="Newslab"/>
          <w:color w:val="3F3F3F"/>
        </w:rPr>
        <w:t>ž</w:t>
      </w:r>
      <w:r w:rsidRPr="00D10D20">
        <w:rPr>
          <w:rFonts w:eastAsia="Times New Roman" w:cs="Times New Roman"/>
          <w:color w:val="3F3F3F"/>
        </w:rPr>
        <w:t>upaniji (</w:t>
      </w:r>
      <w:r w:rsidR="00391785">
        <w:rPr>
          <w:rFonts w:eastAsia="Times New Roman" w:cs="Times New Roman"/>
          <w:color w:val="3F3F3F"/>
        </w:rPr>
        <w:t xml:space="preserve">npr. </w:t>
      </w:r>
      <w:r w:rsidRPr="00D10D20">
        <w:rPr>
          <w:rFonts w:eastAsia="Times New Roman" w:cs="Times New Roman"/>
          <w:color w:val="3F3F3F"/>
        </w:rPr>
        <w:t>Pregrad</w:t>
      </w:r>
      <w:r>
        <w:rPr>
          <w:rFonts w:eastAsia="Times New Roman" w:cs="Times New Roman"/>
          <w:color w:val="3F3F3F"/>
        </w:rPr>
        <w:t>e</w:t>
      </w:r>
      <w:r w:rsidRPr="00D10D20">
        <w:rPr>
          <w:rFonts w:eastAsia="Times New Roman" w:cs="Times New Roman"/>
          <w:color w:val="3F3F3F"/>
        </w:rPr>
        <w:t>, Zabok</w:t>
      </w:r>
      <w:r>
        <w:rPr>
          <w:rFonts w:eastAsia="Times New Roman" w:cs="Times New Roman"/>
          <w:color w:val="3F3F3F"/>
        </w:rPr>
        <w:t>a</w:t>
      </w:r>
      <w:r w:rsidRPr="00D10D20">
        <w:rPr>
          <w:rFonts w:eastAsia="Times New Roman" w:cs="Times New Roman"/>
          <w:color w:val="3F3F3F"/>
        </w:rPr>
        <w:t>, Zlatar</w:t>
      </w:r>
      <w:r>
        <w:rPr>
          <w:rFonts w:eastAsia="Times New Roman" w:cs="Times New Roman"/>
          <w:color w:val="3F3F3F"/>
        </w:rPr>
        <w:t>a</w:t>
      </w:r>
      <w:r w:rsidRPr="00D10D20">
        <w:rPr>
          <w:rFonts w:eastAsia="Times New Roman" w:cs="Times New Roman"/>
          <w:color w:val="3F3F3F"/>
        </w:rPr>
        <w:t>).</w:t>
      </w:r>
      <w:r w:rsidRPr="0061703C">
        <w:rPr>
          <w:rFonts w:ascii="Arial" w:hAnsi="Arial" w:cs="Arial"/>
          <w:color w:val="000000"/>
          <w:sz w:val="20"/>
          <w:szCs w:val="20"/>
          <w:shd w:val="clear" w:color="auto" w:fill="FFFFFF"/>
        </w:rPr>
        <w:t xml:space="preserve"> </w:t>
      </w:r>
      <w:r w:rsidRPr="00DF6726">
        <w:rPr>
          <w:rFonts w:eastAsia="Times New Roman" w:cs="Times New Roman"/>
          <w:color w:val="3F3F3F"/>
        </w:rPr>
        <w:t>U tom kontekstu, cilj je županijsku, regionalnu samoupravu učiniti boljom, efikasnijom i kvalitetnijom, a sve u službi građana.</w:t>
      </w:r>
      <w:r>
        <w:rPr>
          <w:rFonts w:eastAsia="Times New Roman" w:cs="Times New Roman"/>
          <w:color w:val="3F3F3F"/>
        </w:rPr>
        <w:t xml:space="preserve"> Izrađena Strategija</w:t>
      </w:r>
      <w:r w:rsidRPr="0061703C">
        <w:rPr>
          <w:rFonts w:eastAsia="Times New Roman" w:cs="Times New Roman"/>
          <w:color w:val="3F3F3F"/>
        </w:rPr>
        <w:t xml:space="preserve"> predstavlja prvu fazu i preduvjet je sustavnog ulaganja u digitalna rješenja i unapređenje poslovanja županijske uprave. Zamišljen</w:t>
      </w:r>
      <w:r>
        <w:rPr>
          <w:rFonts w:eastAsia="Times New Roman" w:cs="Times New Roman"/>
          <w:color w:val="3F3F3F"/>
        </w:rPr>
        <w:t>a</w:t>
      </w:r>
      <w:r w:rsidRPr="0061703C">
        <w:rPr>
          <w:rFonts w:eastAsia="Times New Roman" w:cs="Times New Roman"/>
          <w:color w:val="3F3F3F"/>
        </w:rPr>
        <w:t xml:space="preserve"> je na način da potakne cijeli sustav i dionike na promišljanje i</w:t>
      </w:r>
      <w:r w:rsidRPr="0061703C">
        <w:rPr>
          <w:rFonts w:ascii="Calibri" w:eastAsia="Times New Roman" w:hAnsi="Calibri" w:cs="Calibri"/>
          <w:color w:val="3F3F3F"/>
        </w:rPr>
        <w:t> </w:t>
      </w:r>
      <w:r w:rsidRPr="0061703C">
        <w:rPr>
          <w:rFonts w:eastAsia="Times New Roman" w:cs="Times New Roman"/>
          <w:color w:val="3F3F3F"/>
        </w:rPr>
        <w:t>auto refleksiju</w:t>
      </w:r>
      <w:r w:rsidRPr="0061703C">
        <w:rPr>
          <w:rFonts w:ascii="Calibri" w:eastAsia="Times New Roman" w:hAnsi="Calibri" w:cs="Calibri"/>
          <w:color w:val="3F3F3F"/>
        </w:rPr>
        <w:t> </w:t>
      </w:r>
      <w:r w:rsidRPr="0061703C">
        <w:rPr>
          <w:rFonts w:eastAsia="Times New Roman" w:cs="Times New Roman"/>
          <w:color w:val="3F3F3F"/>
        </w:rPr>
        <w:t xml:space="preserve">o tome </w:t>
      </w:r>
      <w:r w:rsidRPr="0061703C">
        <w:rPr>
          <w:rFonts w:eastAsia="Times New Roman" w:cs="Newslab"/>
          <w:color w:val="3F3F3F"/>
        </w:rPr>
        <w:t>š</w:t>
      </w:r>
      <w:r w:rsidRPr="0061703C">
        <w:rPr>
          <w:rFonts w:eastAsia="Times New Roman" w:cs="Times New Roman"/>
          <w:color w:val="3F3F3F"/>
        </w:rPr>
        <w:t>to mo</w:t>
      </w:r>
      <w:r w:rsidRPr="0061703C">
        <w:rPr>
          <w:rFonts w:eastAsia="Times New Roman" w:cs="Newslab"/>
          <w:color w:val="3F3F3F"/>
        </w:rPr>
        <w:t>ž</w:t>
      </w:r>
      <w:r w:rsidRPr="0061703C">
        <w:rPr>
          <w:rFonts w:eastAsia="Times New Roman" w:cs="Times New Roman"/>
          <w:color w:val="3F3F3F"/>
        </w:rPr>
        <w:t>e biti bolje i na koji na</w:t>
      </w:r>
      <w:r w:rsidRPr="0061703C">
        <w:rPr>
          <w:rFonts w:eastAsia="Times New Roman" w:cs="Newslab"/>
          <w:color w:val="3F3F3F"/>
        </w:rPr>
        <w:t>č</w:t>
      </w:r>
      <w:r w:rsidRPr="0061703C">
        <w:rPr>
          <w:rFonts w:eastAsia="Times New Roman" w:cs="Times New Roman"/>
          <w:color w:val="3F3F3F"/>
        </w:rPr>
        <w:t>in to posti</w:t>
      </w:r>
      <w:r w:rsidRPr="0061703C">
        <w:rPr>
          <w:rFonts w:eastAsia="Times New Roman" w:cs="Newslab"/>
          <w:color w:val="3F3F3F"/>
        </w:rPr>
        <w:t>ć</w:t>
      </w:r>
      <w:r w:rsidRPr="0061703C">
        <w:rPr>
          <w:rFonts w:eastAsia="Times New Roman" w:cs="Times New Roman"/>
          <w:color w:val="3F3F3F"/>
        </w:rPr>
        <w:t>i, a zavr</w:t>
      </w:r>
      <w:r w:rsidRPr="0061703C">
        <w:rPr>
          <w:rFonts w:eastAsia="Times New Roman" w:cs="Newslab"/>
          <w:color w:val="3F3F3F"/>
        </w:rPr>
        <w:t>š</w:t>
      </w:r>
      <w:r w:rsidRPr="0061703C">
        <w:rPr>
          <w:rFonts w:eastAsia="Times New Roman" w:cs="Times New Roman"/>
          <w:color w:val="3F3F3F"/>
        </w:rPr>
        <w:t xml:space="preserve">ava s okvirnim smjernicama za daljnji razvoj poslovanja i usluga </w:t>
      </w:r>
      <w:r w:rsidRPr="0061703C">
        <w:rPr>
          <w:rFonts w:eastAsia="Times New Roman" w:cs="Newslab"/>
          <w:color w:val="3F3F3F"/>
        </w:rPr>
        <w:t>ž</w:t>
      </w:r>
      <w:r w:rsidRPr="0061703C">
        <w:rPr>
          <w:rFonts w:eastAsia="Times New Roman" w:cs="Times New Roman"/>
          <w:color w:val="3F3F3F"/>
        </w:rPr>
        <w:t>upanije s finalnim ciljem pobolj</w:t>
      </w:r>
      <w:r w:rsidRPr="0061703C">
        <w:rPr>
          <w:rFonts w:eastAsia="Times New Roman" w:cs="Newslab"/>
          <w:color w:val="3F3F3F"/>
        </w:rPr>
        <w:t>š</w:t>
      </w:r>
      <w:r w:rsidRPr="0061703C">
        <w:rPr>
          <w:rFonts w:eastAsia="Times New Roman" w:cs="Times New Roman"/>
          <w:color w:val="3F3F3F"/>
        </w:rPr>
        <w:t>anja javnog servisa za gra</w:t>
      </w:r>
      <w:r w:rsidRPr="0061703C">
        <w:rPr>
          <w:rFonts w:eastAsia="Times New Roman" w:cs="Newslab"/>
          <w:color w:val="3F3F3F"/>
        </w:rPr>
        <w:t>đ</w:t>
      </w:r>
      <w:r w:rsidRPr="0061703C">
        <w:rPr>
          <w:rFonts w:eastAsia="Times New Roman" w:cs="Times New Roman"/>
          <w:color w:val="3F3F3F"/>
        </w:rPr>
        <w:t>ane odnosno stvaranja efikasnijeg sustava.</w:t>
      </w:r>
      <w:r w:rsidR="00FA5280">
        <w:rPr>
          <w:rFonts w:eastAsia="Times New Roman" w:cs="Times New Roman"/>
          <w:color w:val="3F3F3F"/>
        </w:rPr>
        <w:t xml:space="preserve"> </w:t>
      </w:r>
      <w:r w:rsidR="00FA5280" w:rsidRPr="00FA5280">
        <w:rPr>
          <w:rFonts w:eastAsia="Times New Roman" w:cs="Times New Roman"/>
          <w:color w:val="3F3F3F"/>
        </w:rPr>
        <w:t xml:space="preserve">Strategija digitalne transformacije usvojena je na Županijskoj skupštini u ožujku </w:t>
      </w:r>
      <w:r w:rsidR="00FA5280" w:rsidRPr="0047737F">
        <w:t>2021. godine.</w:t>
      </w:r>
    </w:p>
    <w:p w14:paraId="4AEC4ECC" w14:textId="43D9D860" w:rsidR="003E6C76" w:rsidRDefault="003E6C76" w:rsidP="0047737F">
      <w:pPr>
        <w:rPr>
          <w:rFonts w:ascii="Arial" w:hAnsi="Arial" w:cs="Arial"/>
          <w:color w:val="000000"/>
          <w:sz w:val="20"/>
          <w:szCs w:val="20"/>
          <w:shd w:val="clear" w:color="auto" w:fill="FFFFFF"/>
        </w:rPr>
      </w:pPr>
      <w:r w:rsidRPr="0047737F">
        <w:t>Bitno za digitalnu transformaciju županijske uprave u vidu potražnje za uslugama jesu podaci o korištenju digitalnih alata. Aktualni podaci su još uvijek oni sa zadnjeg popisa 2011. godine, pa je upitna njihova vjerodostojnost</w:t>
      </w:r>
      <w:r w:rsidRPr="008438D8">
        <w:rPr>
          <w:rFonts w:eastAsia="Times New Roman" w:cs="Times New Roman"/>
          <w:color w:val="3F3F3F"/>
        </w:rPr>
        <w:t xml:space="preserve"> obzirom da su u 10 godina digitalne tehnologije postale puno dostupnije i korištenije u svakodnevnom životu. Ipak, podaci pokazuju poraznu statistiku prema kojoj se primjerice čak 52% stanovnika ne služi Internetom.</w:t>
      </w:r>
      <w:r>
        <w:rPr>
          <w:rFonts w:eastAsia="Times New Roman" w:cs="Times New Roman"/>
          <w:color w:val="3F3F3F"/>
        </w:rPr>
        <w:t xml:space="preserve"> </w:t>
      </w:r>
      <w:r w:rsidRPr="00FA5280">
        <w:rPr>
          <w:rFonts w:eastAsia="Times New Roman" w:cs="Times New Roman"/>
          <w:color w:val="3F3F3F"/>
        </w:rPr>
        <w:t>Takvi podaci ukazuju na potrebu sveobuhvatnijeg strate</w:t>
      </w:r>
      <w:r w:rsidRPr="00FA5280">
        <w:rPr>
          <w:rFonts w:eastAsia="Times New Roman" w:cs="Newslab"/>
          <w:color w:val="3F3F3F"/>
        </w:rPr>
        <w:t>š</w:t>
      </w:r>
      <w:r w:rsidRPr="00FA5280">
        <w:rPr>
          <w:rFonts w:eastAsia="Times New Roman" w:cs="Times New Roman"/>
          <w:color w:val="3F3F3F"/>
        </w:rPr>
        <w:t>kog planiranja implementacije digitalnih rje</w:t>
      </w:r>
      <w:r w:rsidRPr="00FA5280">
        <w:rPr>
          <w:rFonts w:eastAsia="Times New Roman" w:cs="Newslab"/>
          <w:color w:val="3F3F3F"/>
        </w:rPr>
        <w:t>š</w:t>
      </w:r>
      <w:r w:rsidRPr="00FA5280">
        <w:rPr>
          <w:rFonts w:eastAsia="Times New Roman" w:cs="Times New Roman"/>
          <w:color w:val="3F3F3F"/>
        </w:rPr>
        <w:t>enja odnosno stavljanja velikog naglaska na edukaciju stanovni</w:t>
      </w:r>
      <w:r w:rsidRPr="00FA5280">
        <w:rPr>
          <w:rFonts w:eastAsia="Times New Roman" w:cs="Newslab"/>
          <w:color w:val="3F3F3F"/>
        </w:rPr>
        <w:t>š</w:t>
      </w:r>
      <w:r w:rsidRPr="00FA5280">
        <w:rPr>
          <w:rFonts w:eastAsia="Times New Roman" w:cs="Times New Roman"/>
          <w:color w:val="3F3F3F"/>
        </w:rPr>
        <w:t>tva vezano uz kori</w:t>
      </w:r>
      <w:r w:rsidRPr="00FA5280">
        <w:rPr>
          <w:rFonts w:eastAsia="Times New Roman" w:cs="Newslab"/>
          <w:color w:val="3F3F3F"/>
        </w:rPr>
        <w:t>š</w:t>
      </w:r>
      <w:r w:rsidRPr="00FA5280">
        <w:rPr>
          <w:rFonts w:eastAsia="Times New Roman" w:cs="Times New Roman"/>
          <w:color w:val="3F3F3F"/>
        </w:rPr>
        <w:t>tenje budu</w:t>
      </w:r>
      <w:r w:rsidRPr="00FA5280">
        <w:rPr>
          <w:rFonts w:eastAsia="Times New Roman" w:cs="Newslab"/>
          <w:color w:val="3F3F3F"/>
        </w:rPr>
        <w:t>ć</w:t>
      </w:r>
      <w:r w:rsidRPr="00FA5280">
        <w:rPr>
          <w:rFonts w:eastAsia="Times New Roman" w:cs="Times New Roman"/>
          <w:color w:val="3F3F3F"/>
        </w:rPr>
        <w:t>ih e-usluga i digitalnu komunikaciju s županijskom i gradskim upravama.</w:t>
      </w:r>
      <w:r w:rsidRPr="008438D8">
        <w:rPr>
          <w:rFonts w:eastAsia="Times New Roman" w:cs="Times New Roman"/>
          <w:color w:val="3F3F3F"/>
        </w:rPr>
        <w:t xml:space="preserve"> Prema važećim nacionalnim statistikama, podaci ukazuju na nešto bolje stanje pa je tako uporaba računala i pristup Internetu na razini RH u poduzećima na 98%, a gledajući kućanstva, osobno računalo posjeduje njih 74%, dok pristup Internetu ima čak 81%.</w:t>
      </w:r>
      <w:r w:rsidR="005556BB">
        <w:rPr>
          <w:rFonts w:eastAsia="Times New Roman" w:cs="Times New Roman"/>
          <w:color w:val="3F3F3F"/>
        </w:rPr>
        <w:t xml:space="preserve"> </w:t>
      </w:r>
      <w:r w:rsidR="005556BB">
        <w:rPr>
          <w:rStyle w:val="Referencafusnote"/>
          <w:rFonts w:eastAsia="Times New Roman" w:cs="Times New Roman"/>
          <w:color w:val="3F3F3F"/>
        </w:rPr>
        <w:footnoteReference w:id="14"/>
      </w:r>
      <w:r w:rsidRPr="008438D8">
        <w:rPr>
          <w:rFonts w:eastAsia="Times New Roman" w:cs="Times New Roman"/>
          <w:color w:val="3F3F3F"/>
        </w:rPr>
        <w:t>Zna</w:t>
      </w:r>
      <w:r w:rsidRPr="008438D8">
        <w:rPr>
          <w:rFonts w:eastAsia="Times New Roman" w:cs="Newslab"/>
          <w:color w:val="3F3F3F"/>
        </w:rPr>
        <w:t>č</w:t>
      </w:r>
      <w:r w:rsidRPr="008438D8">
        <w:rPr>
          <w:rFonts w:eastAsia="Times New Roman" w:cs="Times New Roman"/>
          <w:color w:val="3F3F3F"/>
        </w:rPr>
        <w:t>ajan pokazatelj pove</w:t>
      </w:r>
      <w:r w:rsidRPr="008438D8">
        <w:rPr>
          <w:rFonts w:eastAsia="Times New Roman" w:cs="Newslab"/>
          <w:color w:val="3F3F3F"/>
        </w:rPr>
        <w:t>ć</w:t>
      </w:r>
      <w:r w:rsidRPr="008438D8">
        <w:rPr>
          <w:rFonts w:eastAsia="Times New Roman" w:cs="Times New Roman"/>
          <w:color w:val="3F3F3F"/>
        </w:rPr>
        <w:t>ane potra</w:t>
      </w:r>
      <w:r w:rsidRPr="008438D8">
        <w:rPr>
          <w:rFonts w:eastAsia="Times New Roman" w:cs="Newslab"/>
          <w:color w:val="3F3F3F"/>
        </w:rPr>
        <w:t>ž</w:t>
      </w:r>
      <w:r w:rsidRPr="008438D8">
        <w:rPr>
          <w:rFonts w:eastAsia="Times New Roman" w:cs="Times New Roman"/>
          <w:color w:val="3F3F3F"/>
        </w:rPr>
        <w:t>nje za digitalnim alatima i njihovom korištenju svakako je i broj od preko 25 tisuća priključaka na širokopojasnu mrežu i gustoća od preko 18% (u 2018. godini) što dodatno govori o većoj potražnji i pomaku korištenja Interneta, kao i stopa povećanja broja priključaka od 2,7% unutar jednog kvartala (na razini RH ona je 3.0%).</w:t>
      </w:r>
      <w:r w:rsidRPr="008438D8">
        <w:rPr>
          <w:rFonts w:ascii="Calibri" w:eastAsia="Times New Roman" w:hAnsi="Calibri" w:cs="Calibri"/>
          <w:color w:val="3F3F3F"/>
        </w:rPr>
        <w:t> </w:t>
      </w:r>
      <w:r w:rsidR="007F09EE">
        <w:rPr>
          <w:rStyle w:val="Referencafusnote"/>
          <w:rFonts w:eastAsia="Times New Roman" w:cs="Times New Roman"/>
          <w:color w:val="3F3F3F"/>
        </w:rPr>
        <w:footnoteReference w:id="15"/>
      </w:r>
      <w:r w:rsidR="00613909">
        <w:rPr>
          <w:rFonts w:ascii="Calibri" w:eastAsia="Times New Roman" w:hAnsi="Calibri" w:cs="Calibri"/>
          <w:color w:val="3F3F3F"/>
        </w:rPr>
        <w:t xml:space="preserve"> </w:t>
      </w:r>
      <w:r w:rsidRPr="009504E7">
        <w:rPr>
          <w:rFonts w:eastAsia="Times New Roman" w:cs="Times New Roman"/>
          <w:color w:val="3F3F3F"/>
        </w:rPr>
        <w:t>Gledajući specifične industrije koje su povezane s informacijsko komunikacijskim djelatnostima, prema NKD klasifikaciji, kategorije J i M, vidljivo je kako županija nije fokusirana na navedene djelatnosti obzirom da je kumulativno ukupno 331 poduzeća u tim djelatnostima (samo 87 u informacijsko komunikacijskim).</w:t>
      </w:r>
      <w:r w:rsidR="00281022">
        <w:rPr>
          <w:rStyle w:val="Referencafusnote"/>
          <w:rFonts w:ascii="Arial" w:hAnsi="Arial" w:cs="Arial"/>
          <w:color w:val="000000"/>
          <w:sz w:val="20"/>
          <w:szCs w:val="20"/>
          <w:shd w:val="clear" w:color="auto" w:fill="FFFFFF"/>
        </w:rPr>
        <w:footnoteReference w:id="16"/>
      </w:r>
    </w:p>
    <w:p w14:paraId="4EBFA58F" w14:textId="03EE577A" w:rsidR="003E6C76" w:rsidRPr="00DE32AA" w:rsidRDefault="003E6C76" w:rsidP="00DE32AA">
      <w:pPr>
        <w:pStyle w:val="Opisslike"/>
      </w:pPr>
      <w:r w:rsidRPr="002701A3">
        <w:lastRenderedPageBreak/>
        <w:t>Tablica</w:t>
      </w:r>
      <w:r w:rsidR="002701A3" w:rsidRPr="002701A3">
        <w:t xml:space="preserve"> 1</w:t>
      </w:r>
      <w:r w:rsidR="00EC555A">
        <w:t>1</w:t>
      </w:r>
      <w:r w:rsidR="002701A3" w:rsidRPr="002701A3">
        <w:t>.</w:t>
      </w:r>
      <w:r w:rsidR="000726AD">
        <w:t xml:space="preserve"> Upotreba digitalnih alata</w:t>
      </w:r>
    </w:p>
    <w:tbl>
      <w:tblPr>
        <w:tblW w:w="929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808"/>
        <w:gridCol w:w="633"/>
        <w:gridCol w:w="634"/>
        <w:gridCol w:w="859"/>
        <w:gridCol w:w="634"/>
        <w:gridCol w:w="635"/>
        <w:gridCol w:w="859"/>
        <w:gridCol w:w="635"/>
        <w:gridCol w:w="635"/>
        <w:gridCol w:w="837"/>
        <w:gridCol w:w="635"/>
        <w:gridCol w:w="635"/>
        <w:gridCol w:w="859"/>
      </w:tblGrid>
      <w:tr w:rsidR="00A40B1F" w:rsidRPr="007238A4" w14:paraId="603F15EF" w14:textId="77777777" w:rsidTr="00391785">
        <w:trPr>
          <w:trHeight w:val="319"/>
        </w:trPr>
        <w:tc>
          <w:tcPr>
            <w:tcW w:w="1148" w:type="dxa"/>
            <w:vMerge w:val="restart"/>
            <w:tcBorders>
              <w:top w:val="single" w:sz="6" w:space="0" w:color="FF0000"/>
              <w:left w:val="single" w:sz="6" w:space="0" w:color="FF0000"/>
              <w:bottom w:val="single" w:sz="6" w:space="0" w:color="FF0000"/>
              <w:right w:val="single" w:sz="6" w:space="0" w:color="FF0000"/>
            </w:tcBorders>
            <w:shd w:val="clear" w:color="auto" w:fill="C00000"/>
            <w:vAlign w:val="center"/>
            <w:hideMark/>
          </w:tcPr>
          <w:p w14:paraId="293F2D8D" w14:textId="77777777" w:rsidR="003E6C76" w:rsidRPr="007238A4" w:rsidRDefault="003E6C76" w:rsidP="003E6C76">
            <w:pPr>
              <w:spacing w:after="0" w:line="240" w:lineRule="auto"/>
              <w:jc w:val="center"/>
              <w:textAlignment w:val="baseline"/>
              <w:rPr>
                <w:rFonts w:ascii="Segoe UI" w:eastAsia="Times New Roman" w:hAnsi="Segoe UI" w:cs="Segoe UI"/>
                <w:szCs w:val="18"/>
                <w:lang w:eastAsia="hr-HR"/>
              </w:rPr>
            </w:pPr>
            <w:r w:rsidRPr="007238A4">
              <w:rPr>
                <w:rFonts w:ascii="Calibri" w:eastAsia="Times New Roman" w:hAnsi="Calibri" w:cs="Calibri"/>
                <w:sz w:val="16"/>
                <w:szCs w:val="16"/>
                <w:lang w:eastAsia="hr-HR"/>
              </w:rPr>
              <w:t> </w:t>
            </w:r>
          </w:p>
        </w:tc>
        <w:tc>
          <w:tcPr>
            <w:tcW w:w="2034" w:type="dxa"/>
            <w:gridSpan w:val="3"/>
            <w:tcBorders>
              <w:top w:val="single" w:sz="6" w:space="0" w:color="FF0000"/>
              <w:left w:val="outset" w:sz="6" w:space="0" w:color="auto"/>
              <w:bottom w:val="single" w:sz="6" w:space="0" w:color="FF0000"/>
              <w:right w:val="single" w:sz="6" w:space="0" w:color="FF0000"/>
            </w:tcBorders>
            <w:shd w:val="clear" w:color="auto" w:fill="C00000"/>
            <w:vAlign w:val="center"/>
            <w:hideMark/>
          </w:tcPr>
          <w:p w14:paraId="77C34273"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Obrada teksta</w:t>
            </w:r>
            <w:r w:rsidRPr="00FA5280">
              <w:rPr>
                <w:rFonts w:ascii="Calibri" w:eastAsia="ArialNarrow" w:hAnsi="Calibri" w:cs="Calibri"/>
                <w:color w:val="FFFFFF" w:themeColor="background1"/>
              </w:rPr>
              <w:t> </w:t>
            </w:r>
          </w:p>
        </w:tc>
        <w:tc>
          <w:tcPr>
            <w:tcW w:w="2036" w:type="dxa"/>
            <w:gridSpan w:val="3"/>
            <w:tcBorders>
              <w:top w:val="single" w:sz="6" w:space="0" w:color="FF0000"/>
              <w:left w:val="outset" w:sz="6" w:space="0" w:color="auto"/>
              <w:bottom w:val="single" w:sz="6" w:space="0" w:color="FF0000"/>
              <w:right w:val="single" w:sz="6" w:space="0" w:color="FF0000"/>
            </w:tcBorders>
            <w:shd w:val="clear" w:color="auto" w:fill="C00000"/>
            <w:vAlign w:val="center"/>
            <w:hideMark/>
          </w:tcPr>
          <w:p w14:paraId="18D939E1"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Tablični izračuni</w:t>
            </w:r>
            <w:r w:rsidRPr="00FA5280">
              <w:rPr>
                <w:rFonts w:ascii="Calibri" w:eastAsia="ArialNarrow" w:hAnsi="Calibri" w:cs="Calibri"/>
                <w:color w:val="FFFFFF" w:themeColor="background1"/>
              </w:rPr>
              <w:t> </w:t>
            </w:r>
          </w:p>
        </w:tc>
        <w:tc>
          <w:tcPr>
            <w:tcW w:w="2037" w:type="dxa"/>
            <w:gridSpan w:val="3"/>
            <w:tcBorders>
              <w:top w:val="single" w:sz="6" w:space="0" w:color="FF0000"/>
              <w:left w:val="outset" w:sz="6" w:space="0" w:color="auto"/>
              <w:bottom w:val="single" w:sz="6" w:space="0" w:color="FF0000"/>
              <w:right w:val="single" w:sz="6" w:space="0" w:color="FF0000"/>
            </w:tcBorders>
            <w:shd w:val="clear" w:color="auto" w:fill="C00000"/>
            <w:vAlign w:val="center"/>
            <w:hideMark/>
          </w:tcPr>
          <w:p w14:paraId="608E2934"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Korištenje el. poštom</w:t>
            </w:r>
            <w:r w:rsidRPr="00FA5280">
              <w:rPr>
                <w:rFonts w:ascii="Calibri" w:eastAsia="ArialNarrow" w:hAnsi="Calibri" w:cs="Calibri"/>
                <w:color w:val="FFFFFF" w:themeColor="background1"/>
              </w:rPr>
              <w:t> </w:t>
            </w:r>
          </w:p>
        </w:tc>
        <w:tc>
          <w:tcPr>
            <w:tcW w:w="2043" w:type="dxa"/>
            <w:gridSpan w:val="3"/>
            <w:tcBorders>
              <w:top w:val="single" w:sz="6" w:space="0" w:color="FF0000"/>
              <w:left w:val="outset" w:sz="6" w:space="0" w:color="auto"/>
              <w:bottom w:val="single" w:sz="6" w:space="0" w:color="FF0000"/>
              <w:right w:val="single" w:sz="6" w:space="0" w:color="FF0000"/>
            </w:tcBorders>
            <w:shd w:val="clear" w:color="auto" w:fill="C00000"/>
            <w:vAlign w:val="center"/>
            <w:hideMark/>
          </w:tcPr>
          <w:p w14:paraId="48CFA022"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Korištenje internetom</w:t>
            </w:r>
            <w:r w:rsidRPr="00FA5280">
              <w:rPr>
                <w:rFonts w:ascii="Calibri" w:eastAsia="ArialNarrow" w:hAnsi="Calibri" w:cs="Calibri"/>
                <w:color w:val="FFFFFF" w:themeColor="background1"/>
              </w:rPr>
              <w:t> </w:t>
            </w:r>
          </w:p>
        </w:tc>
      </w:tr>
      <w:tr w:rsidR="00A40B1F" w:rsidRPr="007238A4" w14:paraId="1EB18815" w14:textId="77777777" w:rsidTr="00391785">
        <w:trPr>
          <w:trHeight w:val="304"/>
        </w:trPr>
        <w:tc>
          <w:tcPr>
            <w:tcW w:w="0" w:type="auto"/>
            <w:vMerge/>
            <w:tcBorders>
              <w:top w:val="single" w:sz="6" w:space="0" w:color="FF0000"/>
              <w:left w:val="single" w:sz="6" w:space="0" w:color="FF0000"/>
              <w:bottom w:val="single" w:sz="6" w:space="0" w:color="FF0000"/>
              <w:right w:val="single" w:sz="6" w:space="0" w:color="FF0000"/>
            </w:tcBorders>
            <w:shd w:val="clear" w:color="auto" w:fill="C00000"/>
            <w:vAlign w:val="center"/>
            <w:hideMark/>
          </w:tcPr>
          <w:p w14:paraId="6F396D01" w14:textId="77777777" w:rsidR="003E6C76" w:rsidRPr="007238A4" w:rsidRDefault="003E6C76" w:rsidP="003E6C76">
            <w:pPr>
              <w:spacing w:after="0" w:line="240" w:lineRule="auto"/>
              <w:rPr>
                <w:rFonts w:ascii="Segoe UI" w:eastAsia="Times New Roman" w:hAnsi="Segoe UI" w:cs="Segoe UI"/>
                <w:szCs w:val="18"/>
                <w:lang w:eastAsia="hr-HR"/>
              </w:rPr>
            </w:pPr>
          </w:p>
        </w:tc>
        <w:tc>
          <w:tcPr>
            <w:tcW w:w="729"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0917B0E2"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da</w:t>
            </w:r>
            <w:r w:rsidRPr="00FA5280">
              <w:rPr>
                <w:rFonts w:ascii="Calibri" w:eastAsia="ArialNarrow" w:hAnsi="Calibri" w:cs="Calibri"/>
                <w:color w:val="FFFFFF" w:themeColor="background1"/>
              </w:rPr>
              <w:t> </w:t>
            </w:r>
          </w:p>
        </w:tc>
        <w:tc>
          <w:tcPr>
            <w:tcW w:w="729"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6CE988C5"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ne</w:t>
            </w:r>
            <w:r w:rsidRPr="00FA5280">
              <w:rPr>
                <w:rFonts w:ascii="Calibri" w:eastAsia="ArialNarrow" w:hAnsi="Calibri" w:cs="Calibri"/>
                <w:color w:val="FFFFFF" w:themeColor="background1"/>
              </w:rPr>
              <w:t> </w:t>
            </w:r>
          </w:p>
        </w:tc>
        <w:tc>
          <w:tcPr>
            <w:tcW w:w="576"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5630D005" w14:textId="5596E4E3" w:rsidR="003E6C76" w:rsidRPr="00FA5280" w:rsidRDefault="00A40B1F" w:rsidP="00FA5280">
            <w:pPr>
              <w:autoSpaceDE w:val="0"/>
              <w:autoSpaceDN w:val="0"/>
              <w:adjustRightInd w:val="0"/>
              <w:spacing w:after="0"/>
              <w:jc w:val="center"/>
              <w:rPr>
                <w:rFonts w:eastAsia="ArialNarrow" w:cs="Calibri"/>
                <w:color w:val="FFFFFF" w:themeColor="background1"/>
              </w:rPr>
            </w:pPr>
            <w:r>
              <w:rPr>
                <w:rFonts w:eastAsia="ArialNarrow" w:cs="Calibri"/>
                <w:color w:val="FFFFFF" w:themeColor="background1"/>
              </w:rPr>
              <w:t>Nepoznato</w:t>
            </w:r>
            <w:r w:rsidR="003E6C76" w:rsidRPr="00FA5280">
              <w:rPr>
                <w:rFonts w:ascii="Calibri" w:eastAsia="ArialNarrow" w:hAnsi="Calibri" w:cs="Calibri"/>
                <w:color w:val="FFFFFF" w:themeColor="background1"/>
              </w:rPr>
              <w:t> </w:t>
            </w:r>
          </w:p>
        </w:tc>
        <w:tc>
          <w:tcPr>
            <w:tcW w:w="729"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29A943BB"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da</w:t>
            </w:r>
            <w:r w:rsidRPr="00FA5280">
              <w:rPr>
                <w:rFonts w:ascii="Calibri" w:eastAsia="ArialNarrow" w:hAnsi="Calibri" w:cs="Calibri"/>
                <w:color w:val="FFFFFF" w:themeColor="background1"/>
              </w:rPr>
              <w:t> </w:t>
            </w:r>
          </w:p>
        </w:tc>
        <w:tc>
          <w:tcPr>
            <w:tcW w:w="730"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5D9836B2"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ne</w:t>
            </w:r>
            <w:r w:rsidRPr="00FA5280">
              <w:rPr>
                <w:rFonts w:ascii="Calibri" w:eastAsia="ArialNarrow" w:hAnsi="Calibri" w:cs="Calibri"/>
                <w:color w:val="FFFFFF" w:themeColor="background1"/>
              </w:rPr>
              <w:t> </w:t>
            </w:r>
          </w:p>
        </w:tc>
        <w:tc>
          <w:tcPr>
            <w:tcW w:w="577"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33773BBB" w14:textId="1BF7B2BB" w:rsidR="003E6C76" w:rsidRPr="00FA5280" w:rsidRDefault="00A40B1F" w:rsidP="00FA5280">
            <w:pPr>
              <w:autoSpaceDE w:val="0"/>
              <w:autoSpaceDN w:val="0"/>
              <w:adjustRightInd w:val="0"/>
              <w:spacing w:after="0"/>
              <w:jc w:val="center"/>
              <w:rPr>
                <w:rFonts w:eastAsia="ArialNarrow" w:cs="Calibri"/>
                <w:color w:val="FFFFFF" w:themeColor="background1"/>
              </w:rPr>
            </w:pPr>
            <w:r>
              <w:rPr>
                <w:rFonts w:eastAsia="ArialNarrow" w:cs="Calibri"/>
                <w:color w:val="FFFFFF" w:themeColor="background1"/>
              </w:rPr>
              <w:t>Nepoznato</w:t>
            </w:r>
            <w:r w:rsidR="003E6C76" w:rsidRPr="00FA5280">
              <w:rPr>
                <w:rFonts w:ascii="Calibri" w:eastAsia="ArialNarrow" w:hAnsi="Calibri" w:cs="Calibri"/>
                <w:color w:val="FFFFFF" w:themeColor="background1"/>
              </w:rPr>
              <w:t> </w:t>
            </w:r>
          </w:p>
        </w:tc>
        <w:tc>
          <w:tcPr>
            <w:tcW w:w="730"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003B5273"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da</w:t>
            </w:r>
            <w:r w:rsidRPr="00FA5280">
              <w:rPr>
                <w:rFonts w:ascii="Calibri" w:eastAsia="ArialNarrow" w:hAnsi="Calibri" w:cs="Calibri"/>
                <w:color w:val="FFFFFF" w:themeColor="background1"/>
              </w:rPr>
              <w:t> </w:t>
            </w:r>
          </w:p>
        </w:tc>
        <w:tc>
          <w:tcPr>
            <w:tcW w:w="730"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7ED6AD43"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ne</w:t>
            </w:r>
            <w:r w:rsidRPr="00FA5280">
              <w:rPr>
                <w:rFonts w:ascii="Calibri" w:eastAsia="ArialNarrow" w:hAnsi="Calibri" w:cs="Calibri"/>
                <w:color w:val="FFFFFF" w:themeColor="background1"/>
              </w:rPr>
              <w:t> </w:t>
            </w:r>
          </w:p>
        </w:tc>
        <w:tc>
          <w:tcPr>
            <w:tcW w:w="577"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0CC1D8FB" w14:textId="76CE99ED" w:rsidR="003E6C76" w:rsidRPr="00FA5280" w:rsidRDefault="00A40B1F" w:rsidP="00FA5280">
            <w:pPr>
              <w:autoSpaceDE w:val="0"/>
              <w:autoSpaceDN w:val="0"/>
              <w:adjustRightInd w:val="0"/>
              <w:spacing w:after="0"/>
              <w:jc w:val="center"/>
              <w:rPr>
                <w:rFonts w:eastAsia="ArialNarrow" w:cs="Calibri"/>
                <w:color w:val="FFFFFF" w:themeColor="background1"/>
              </w:rPr>
            </w:pPr>
            <w:r>
              <w:rPr>
                <w:rFonts w:eastAsia="ArialNarrow" w:cs="Calibri"/>
                <w:color w:val="FFFFFF" w:themeColor="background1"/>
              </w:rPr>
              <w:t>nepoznato</w:t>
            </w:r>
            <w:r w:rsidR="003E6C76" w:rsidRPr="00FA5280">
              <w:rPr>
                <w:rFonts w:ascii="Calibri" w:eastAsia="ArialNarrow" w:hAnsi="Calibri" w:cs="Calibri"/>
                <w:color w:val="FFFFFF" w:themeColor="background1"/>
              </w:rPr>
              <w:t> </w:t>
            </w:r>
          </w:p>
        </w:tc>
        <w:tc>
          <w:tcPr>
            <w:tcW w:w="730"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03ADDDCB"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da</w:t>
            </w:r>
            <w:r w:rsidRPr="00FA5280">
              <w:rPr>
                <w:rFonts w:ascii="Calibri" w:eastAsia="ArialNarrow" w:hAnsi="Calibri" w:cs="Calibri"/>
                <w:color w:val="FFFFFF" w:themeColor="background1"/>
              </w:rPr>
              <w:t> </w:t>
            </w:r>
          </w:p>
        </w:tc>
        <w:tc>
          <w:tcPr>
            <w:tcW w:w="730"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40226899" w14:textId="77777777" w:rsidR="003E6C76" w:rsidRPr="00FA5280" w:rsidRDefault="003E6C76" w:rsidP="00FA5280">
            <w:pPr>
              <w:autoSpaceDE w:val="0"/>
              <w:autoSpaceDN w:val="0"/>
              <w:adjustRightInd w:val="0"/>
              <w:spacing w:after="0"/>
              <w:jc w:val="center"/>
              <w:rPr>
                <w:rFonts w:eastAsia="ArialNarrow" w:cs="Calibri"/>
                <w:color w:val="FFFFFF" w:themeColor="background1"/>
              </w:rPr>
            </w:pPr>
            <w:r w:rsidRPr="00FA5280">
              <w:rPr>
                <w:rFonts w:eastAsia="ArialNarrow" w:cs="Calibri"/>
                <w:color w:val="FFFFFF" w:themeColor="background1"/>
              </w:rPr>
              <w:t>ne</w:t>
            </w:r>
            <w:r w:rsidRPr="00FA5280">
              <w:rPr>
                <w:rFonts w:ascii="Calibri" w:eastAsia="ArialNarrow" w:hAnsi="Calibri" w:cs="Calibri"/>
                <w:color w:val="FFFFFF" w:themeColor="background1"/>
              </w:rPr>
              <w:t> </w:t>
            </w:r>
          </w:p>
        </w:tc>
        <w:tc>
          <w:tcPr>
            <w:tcW w:w="575" w:type="dxa"/>
            <w:tcBorders>
              <w:top w:val="outset" w:sz="6" w:space="0" w:color="auto"/>
              <w:left w:val="outset" w:sz="6" w:space="0" w:color="auto"/>
              <w:bottom w:val="single" w:sz="6" w:space="0" w:color="FF0000"/>
              <w:right w:val="single" w:sz="6" w:space="0" w:color="FF0000"/>
            </w:tcBorders>
            <w:shd w:val="clear" w:color="auto" w:fill="C00000"/>
            <w:vAlign w:val="center"/>
            <w:hideMark/>
          </w:tcPr>
          <w:p w14:paraId="031383BC" w14:textId="4CFE77C4" w:rsidR="003E6C76" w:rsidRPr="00FA5280" w:rsidRDefault="00A40B1F" w:rsidP="00FA5280">
            <w:pPr>
              <w:autoSpaceDE w:val="0"/>
              <w:autoSpaceDN w:val="0"/>
              <w:adjustRightInd w:val="0"/>
              <w:spacing w:after="0"/>
              <w:jc w:val="center"/>
              <w:rPr>
                <w:rFonts w:eastAsia="ArialNarrow" w:cs="Calibri"/>
                <w:color w:val="FFFFFF" w:themeColor="background1"/>
              </w:rPr>
            </w:pPr>
            <w:r>
              <w:rPr>
                <w:rFonts w:eastAsia="ArialNarrow" w:cs="Calibri"/>
                <w:color w:val="FFFFFF" w:themeColor="background1"/>
              </w:rPr>
              <w:t>Nepoznato</w:t>
            </w:r>
            <w:r w:rsidR="003E6C76" w:rsidRPr="00FA5280">
              <w:rPr>
                <w:rFonts w:ascii="Calibri" w:eastAsia="ArialNarrow" w:hAnsi="Calibri" w:cs="Calibri"/>
                <w:color w:val="FFFFFF" w:themeColor="background1"/>
              </w:rPr>
              <w:t> </w:t>
            </w:r>
          </w:p>
        </w:tc>
      </w:tr>
      <w:tr w:rsidR="00A40B1F" w:rsidRPr="007238A4" w14:paraId="4EE52AB4" w14:textId="77777777" w:rsidTr="00391785">
        <w:trPr>
          <w:trHeight w:val="304"/>
        </w:trPr>
        <w:tc>
          <w:tcPr>
            <w:tcW w:w="1148" w:type="dxa"/>
            <w:tcBorders>
              <w:top w:val="outset" w:sz="6" w:space="0" w:color="auto"/>
              <w:left w:val="single" w:sz="6" w:space="0" w:color="FF0000"/>
              <w:bottom w:val="single" w:sz="6" w:space="0" w:color="FF0000"/>
              <w:right w:val="single" w:sz="6" w:space="0" w:color="FF0000"/>
            </w:tcBorders>
            <w:shd w:val="clear" w:color="auto" w:fill="C00000"/>
            <w:vAlign w:val="center"/>
            <w:hideMark/>
          </w:tcPr>
          <w:p w14:paraId="1BBE5DBB" w14:textId="294182BB" w:rsidR="003E6C76" w:rsidRPr="007238A4" w:rsidRDefault="00A40B1F" w:rsidP="00FA5280">
            <w:pPr>
              <w:autoSpaceDE w:val="0"/>
              <w:autoSpaceDN w:val="0"/>
              <w:adjustRightInd w:val="0"/>
              <w:spacing w:after="0"/>
              <w:jc w:val="center"/>
              <w:rPr>
                <w:rFonts w:ascii="Segoe UI" w:eastAsia="Times New Roman" w:hAnsi="Segoe UI" w:cs="Segoe UI"/>
                <w:szCs w:val="18"/>
                <w:lang w:eastAsia="hr-HR"/>
              </w:rPr>
            </w:pPr>
            <w:r>
              <w:rPr>
                <w:rFonts w:eastAsia="ArialNarrow" w:cs="Calibri"/>
                <w:color w:val="FFFFFF" w:themeColor="background1"/>
              </w:rPr>
              <w:t>KZŽ</w:t>
            </w:r>
            <w:r w:rsidR="003E6C76" w:rsidRPr="00391785">
              <w:rPr>
                <w:rFonts w:ascii="Calibri" w:eastAsia="Times New Roman" w:hAnsi="Calibri" w:cs="Calibri"/>
                <w:color w:val="FFFFFF" w:themeColor="background1"/>
                <w:sz w:val="20"/>
                <w:szCs w:val="20"/>
                <w:lang w:eastAsia="hr-HR"/>
              </w:rPr>
              <w:t> </w:t>
            </w:r>
          </w:p>
        </w:tc>
        <w:tc>
          <w:tcPr>
            <w:tcW w:w="729"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711EA014"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52.183</w:t>
            </w:r>
            <w:r w:rsidRPr="00A40B1F">
              <w:rPr>
                <w:rFonts w:ascii="Calibri" w:eastAsia="ArialNarrow" w:hAnsi="Calibri" w:cs="Calibri"/>
                <w:color w:val="auto"/>
                <w:sz w:val="16"/>
                <w:szCs w:val="16"/>
              </w:rPr>
              <w:t> </w:t>
            </w:r>
          </w:p>
        </w:tc>
        <w:tc>
          <w:tcPr>
            <w:tcW w:w="729"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3EF0149B"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67.526</w:t>
            </w:r>
            <w:r w:rsidRPr="00A40B1F">
              <w:rPr>
                <w:rFonts w:ascii="Calibri" w:eastAsia="ArialNarrow" w:hAnsi="Calibri" w:cs="Calibri"/>
                <w:color w:val="auto"/>
                <w:sz w:val="16"/>
                <w:szCs w:val="16"/>
              </w:rPr>
              <w:t> </w:t>
            </w:r>
          </w:p>
        </w:tc>
        <w:tc>
          <w:tcPr>
            <w:tcW w:w="576"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1B53432C"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709</w:t>
            </w:r>
            <w:r w:rsidRPr="00A40B1F">
              <w:rPr>
                <w:rFonts w:ascii="Calibri" w:eastAsia="ArialNarrow" w:hAnsi="Calibri" w:cs="Calibri"/>
                <w:color w:val="auto"/>
                <w:sz w:val="16"/>
                <w:szCs w:val="16"/>
              </w:rPr>
              <w:t> </w:t>
            </w:r>
          </w:p>
        </w:tc>
        <w:tc>
          <w:tcPr>
            <w:tcW w:w="729"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64449FB0"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43.042</w:t>
            </w:r>
            <w:r w:rsidRPr="00A40B1F">
              <w:rPr>
                <w:rFonts w:ascii="Calibri" w:eastAsia="ArialNarrow" w:hAnsi="Calibri" w:cs="Calibri"/>
                <w:color w:val="auto"/>
                <w:sz w:val="16"/>
                <w:szCs w:val="16"/>
              </w:rPr>
              <w:t> </w:t>
            </w:r>
          </w:p>
        </w:tc>
        <w:tc>
          <w:tcPr>
            <w:tcW w:w="730"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37AEFF53"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76.614</w:t>
            </w:r>
            <w:r w:rsidRPr="00A40B1F">
              <w:rPr>
                <w:rFonts w:ascii="Calibri" w:eastAsia="ArialNarrow" w:hAnsi="Calibri" w:cs="Calibri"/>
                <w:color w:val="auto"/>
                <w:sz w:val="16"/>
                <w:szCs w:val="16"/>
              </w:rPr>
              <w:t> </w:t>
            </w:r>
          </w:p>
        </w:tc>
        <w:tc>
          <w:tcPr>
            <w:tcW w:w="577"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4F85EB91"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762</w:t>
            </w:r>
            <w:r w:rsidRPr="00A40B1F">
              <w:rPr>
                <w:rFonts w:ascii="Calibri" w:eastAsia="ArialNarrow" w:hAnsi="Calibri" w:cs="Calibri"/>
                <w:color w:val="auto"/>
                <w:sz w:val="16"/>
                <w:szCs w:val="16"/>
              </w:rPr>
              <w:t> </w:t>
            </w:r>
          </w:p>
        </w:tc>
        <w:tc>
          <w:tcPr>
            <w:tcW w:w="730"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5FAB0067"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51.580</w:t>
            </w:r>
            <w:r w:rsidRPr="00A40B1F">
              <w:rPr>
                <w:rFonts w:ascii="Calibri" w:eastAsia="ArialNarrow" w:hAnsi="Calibri" w:cs="Calibri"/>
                <w:color w:val="auto"/>
                <w:sz w:val="16"/>
                <w:szCs w:val="16"/>
              </w:rPr>
              <w:t> </w:t>
            </w:r>
          </w:p>
        </w:tc>
        <w:tc>
          <w:tcPr>
            <w:tcW w:w="730"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3E3B4A62"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68.139</w:t>
            </w:r>
            <w:r w:rsidRPr="00A40B1F">
              <w:rPr>
                <w:rFonts w:ascii="Calibri" w:eastAsia="ArialNarrow" w:hAnsi="Calibri" w:cs="Calibri"/>
                <w:color w:val="auto"/>
                <w:sz w:val="16"/>
                <w:szCs w:val="16"/>
              </w:rPr>
              <w:t> </w:t>
            </w:r>
          </w:p>
        </w:tc>
        <w:tc>
          <w:tcPr>
            <w:tcW w:w="577"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03A158B6"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699</w:t>
            </w:r>
            <w:r w:rsidRPr="00A40B1F">
              <w:rPr>
                <w:rFonts w:ascii="Calibri" w:eastAsia="ArialNarrow" w:hAnsi="Calibri" w:cs="Calibri"/>
                <w:color w:val="auto"/>
                <w:sz w:val="16"/>
                <w:szCs w:val="16"/>
              </w:rPr>
              <w:t> </w:t>
            </w:r>
          </w:p>
        </w:tc>
        <w:tc>
          <w:tcPr>
            <w:tcW w:w="730"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5FD5000D"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57.281</w:t>
            </w:r>
            <w:r w:rsidRPr="00A40B1F">
              <w:rPr>
                <w:rFonts w:ascii="Calibri" w:eastAsia="ArialNarrow" w:hAnsi="Calibri" w:cs="Calibri"/>
                <w:color w:val="auto"/>
                <w:sz w:val="16"/>
                <w:szCs w:val="16"/>
              </w:rPr>
              <w:t> </w:t>
            </w:r>
          </w:p>
        </w:tc>
        <w:tc>
          <w:tcPr>
            <w:tcW w:w="730"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096FECEF"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62.327</w:t>
            </w:r>
            <w:r w:rsidRPr="00A40B1F">
              <w:rPr>
                <w:rFonts w:ascii="Calibri" w:eastAsia="ArialNarrow" w:hAnsi="Calibri" w:cs="Calibri"/>
                <w:color w:val="auto"/>
                <w:sz w:val="16"/>
                <w:szCs w:val="16"/>
              </w:rPr>
              <w:t> </w:t>
            </w:r>
          </w:p>
        </w:tc>
        <w:tc>
          <w:tcPr>
            <w:tcW w:w="575" w:type="dxa"/>
            <w:tcBorders>
              <w:top w:val="outset" w:sz="6" w:space="0" w:color="auto"/>
              <w:left w:val="outset" w:sz="6" w:space="0" w:color="auto"/>
              <w:bottom w:val="single" w:sz="6" w:space="0" w:color="FF0000"/>
              <w:right w:val="single" w:sz="6" w:space="0" w:color="FF0000"/>
            </w:tcBorders>
            <w:shd w:val="clear" w:color="auto" w:fill="auto"/>
            <w:vAlign w:val="center"/>
            <w:hideMark/>
          </w:tcPr>
          <w:p w14:paraId="25E14A1E" w14:textId="77777777" w:rsidR="003E6C76" w:rsidRPr="00A40B1F" w:rsidRDefault="003E6C76" w:rsidP="00FA5280">
            <w:pPr>
              <w:autoSpaceDE w:val="0"/>
              <w:autoSpaceDN w:val="0"/>
              <w:adjustRightInd w:val="0"/>
              <w:spacing w:after="0"/>
              <w:jc w:val="center"/>
              <w:rPr>
                <w:rFonts w:eastAsia="ArialNarrow" w:cs="Calibri"/>
                <w:color w:val="auto"/>
                <w:sz w:val="16"/>
                <w:szCs w:val="16"/>
              </w:rPr>
            </w:pPr>
            <w:r w:rsidRPr="00A40B1F">
              <w:rPr>
                <w:rFonts w:eastAsia="ArialNarrow" w:cs="Calibri"/>
                <w:color w:val="auto"/>
                <w:sz w:val="16"/>
                <w:szCs w:val="16"/>
              </w:rPr>
              <w:t>810</w:t>
            </w:r>
            <w:r w:rsidRPr="00A40B1F">
              <w:rPr>
                <w:rFonts w:ascii="Calibri" w:eastAsia="ArialNarrow" w:hAnsi="Calibri" w:cs="Calibri"/>
                <w:color w:val="auto"/>
                <w:sz w:val="16"/>
                <w:szCs w:val="16"/>
              </w:rPr>
              <w:t> </w:t>
            </w:r>
          </w:p>
        </w:tc>
      </w:tr>
    </w:tbl>
    <w:p w14:paraId="48A41202" w14:textId="77777777" w:rsidR="003E6C76" w:rsidRPr="002701A3" w:rsidRDefault="003E6C76" w:rsidP="003E6C76">
      <w:pPr>
        <w:autoSpaceDE w:val="0"/>
        <w:autoSpaceDN w:val="0"/>
        <w:adjustRightInd w:val="0"/>
        <w:spacing w:after="0" w:line="240" w:lineRule="auto"/>
        <w:rPr>
          <w:rFonts w:eastAsia="ArialNarrow" w:cstheme="minorHAnsi"/>
          <w:i/>
          <w:color w:val="ABABAB" w:themeColor="text1" w:themeTint="A6"/>
          <w:sz w:val="16"/>
          <w:szCs w:val="16"/>
        </w:rPr>
      </w:pPr>
      <w:r w:rsidRPr="002701A3">
        <w:rPr>
          <w:rFonts w:eastAsia="ArialNarrow" w:cstheme="minorHAnsi"/>
          <w:i/>
          <w:color w:val="ABABAB" w:themeColor="text1" w:themeTint="A6"/>
          <w:sz w:val="16"/>
          <w:szCs w:val="16"/>
        </w:rPr>
        <w:t>Izvor: Preuzeto iz Strategije razvoja digitalne transformacije Krapinsko- zagorske županije, prosinac 2020. godina</w:t>
      </w:r>
    </w:p>
    <w:p w14:paraId="5953AFAA" w14:textId="77777777" w:rsidR="003E6C76" w:rsidRDefault="003E6C76" w:rsidP="003E6C76">
      <w:pPr>
        <w:autoSpaceDE w:val="0"/>
        <w:autoSpaceDN w:val="0"/>
        <w:adjustRightInd w:val="0"/>
        <w:spacing w:after="0" w:line="240" w:lineRule="auto"/>
      </w:pPr>
    </w:p>
    <w:p w14:paraId="7A86FDE5" w14:textId="6933FE92" w:rsidR="003E6C76" w:rsidRPr="002054DB" w:rsidRDefault="003E6C76" w:rsidP="002054DB">
      <w:pPr>
        <w:rPr>
          <w:rFonts w:eastAsia="Times New Roman" w:cs="Times New Roman"/>
          <w:color w:val="3F3F3F"/>
        </w:rPr>
      </w:pPr>
      <w:r>
        <w:rPr>
          <w:rFonts w:eastAsia="Times New Roman" w:cs="Times New Roman"/>
          <w:color w:val="3F3F3F"/>
        </w:rPr>
        <w:t xml:space="preserve">U sklopu prve faze ulaganja u digitalizaciju Županije u 2020. godini izrađena je </w:t>
      </w:r>
      <w:r w:rsidRPr="001721AF">
        <w:rPr>
          <w:rFonts w:eastAsia="Times New Roman" w:cs="Times New Roman"/>
          <w:color w:val="3F3F3F"/>
        </w:rPr>
        <w:t>Analiza</w:t>
      </w:r>
      <w:r>
        <w:rPr>
          <w:rFonts w:eastAsia="Times New Roman" w:cs="Times New Roman"/>
          <w:color w:val="3F3F3F"/>
        </w:rPr>
        <w:t xml:space="preserve"> digitalne spremnosti Krapinsko- zagorske županije </w:t>
      </w:r>
      <w:r>
        <w:rPr>
          <w:rStyle w:val="Referencafusnote"/>
          <w:rFonts w:eastAsia="Times New Roman" w:cs="Times New Roman"/>
          <w:color w:val="3F3F3F"/>
        </w:rPr>
        <w:footnoteReference w:id="17"/>
      </w:r>
      <w:r w:rsidRPr="001721AF">
        <w:rPr>
          <w:rFonts w:eastAsia="Times New Roman" w:cs="Times New Roman"/>
          <w:color w:val="3F3F3F"/>
        </w:rPr>
        <w:t xml:space="preserve"> kao analitička podloga temeljem koje se formirao strateški okvir za digitalnu transformaciju županije, a kako bi se dobio pregled trenutnog stanja digitalizacije u županiji i spremnosti za transformaciju</w:t>
      </w:r>
      <w:r>
        <w:rPr>
          <w:rFonts w:eastAsia="Times New Roman" w:cs="Times New Roman"/>
          <w:color w:val="3F3F3F"/>
        </w:rPr>
        <w:t>. A</w:t>
      </w:r>
      <w:r w:rsidRPr="001721AF">
        <w:rPr>
          <w:rFonts w:eastAsia="Times New Roman" w:cs="Times New Roman"/>
          <w:color w:val="3F3F3F"/>
        </w:rPr>
        <w:t xml:space="preserve">naliza </w:t>
      </w:r>
      <w:r>
        <w:rPr>
          <w:rFonts w:eastAsia="Times New Roman" w:cs="Times New Roman"/>
          <w:color w:val="3F3F3F"/>
        </w:rPr>
        <w:t xml:space="preserve">se </w:t>
      </w:r>
      <w:r w:rsidRPr="001721AF">
        <w:rPr>
          <w:rFonts w:eastAsia="Times New Roman" w:cs="Times New Roman"/>
          <w:color w:val="3F3F3F"/>
        </w:rPr>
        <w:t>fokusirala na interno poslovanje i funkcioniranje županijske uprave, a ne na ukupno stanje županije u segmentu digitalne infrastrukture, što se također smatra ključnim u želji da se digitalizira život i poslovanje na cijelom prostoru županije.</w:t>
      </w:r>
      <w:r>
        <w:rPr>
          <w:rFonts w:ascii="Calibri" w:eastAsia="Times New Roman" w:hAnsi="Calibri" w:cs="Calibri"/>
          <w:color w:val="3F3F3F"/>
        </w:rPr>
        <w:t xml:space="preserve"> </w:t>
      </w:r>
      <w:r>
        <w:rPr>
          <w:rFonts w:eastAsia="Times New Roman" w:cs="Times New Roman"/>
          <w:color w:val="3F3F3F"/>
        </w:rPr>
        <w:t xml:space="preserve">Za potrebe analitičke podloge u prvoj fazi </w:t>
      </w:r>
      <w:r w:rsidRPr="00644A88">
        <w:rPr>
          <w:rFonts w:eastAsia="Times New Roman" w:cs="Times New Roman"/>
          <w:color w:val="3F3F3F"/>
        </w:rPr>
        <w:t>provedeno je istraživanj</w:t>
      </w:r>
      <w:r>
        <w:rPr>
          <w:rFonts w:eastAsia="Times New Roman" w:cs="Times New Roman"/>
          <w:color w:val="3F3F3F"/>
        </w:rPr>
        <w:t xml:space="preserve">e odnosno ispitivanje digitalnih kompetencija i digitalne spremnosti djelatnika županijske uprave i županijskih institucija (9 županijskih institucija). </w:t>
      </w:r>
      <w:r w:rsidRPr="009504E7">
        <w:rPr>
          <w:rFonts w:eastAsia="Times New Roman" w:cs="Times New Roman"/>
          <w:color w:val="3F3F3F"/>
        </w:rPr>
        <w:t>Iz proved</w:t>
      </w:r>
      <w:r>
        <w:rPr>
          <w:rFonts w:eastAsia="Times New Roman" w:cs="Times New Roman"/>
          <w:color w:val="3F3F3F"/>
        </w:rPr>
        <w:t>e</w:t>
      </w:r>
      <w:r w:rsidR="00391785">
        <w:rPr>
          <w:rFonts w:eastAsia="Times New Roman" w:cs="Times New Roman"/>
          <w:color w:val="3F3F3F"/>
        </w:rPr>
        <w:t>ne</w:t>
      </w:r>
      <w:r>
        <w:rPr>
          <w:rFonts w:eastAsia="Times New Roman" w:cs="Times New Roman"/>
          <w:color w:val="3F3F3F"/>
        </w:rPr>
        <w:t xml:space="preserve"> </w:t>
      </w:r>
      <w:r w:rsidRPr="009504E7">
        <w:rPr>
          <w:rFonts w:eastAsia="Times New Roman" w:cs="Times New Roman"/>
          <w:color w:val="3F3F3F"/>
        </w:rPr>
        <w:t>analiz</w:t>
      </w:r>
      <w:r>
        <w:rPr>
          <w:rFonts w:eastAsia="Times New Roman" w:cs="Times New Roman"/>
          <w:color w:val="3F3F3F"/>
        </w:rPr>
        <w:t>e došlo se do zaključka</w:t>
      </w:r>
      <w:r w:rsidRPr="009504E7">
        <w:rPr>
          <w:rFonts w:eastAsia="Times New Roman" w:cs="Times New Roman"/>
          <w:color w:val="3F3F3F"/>
        </w:rPr>
        <w:t xml:space="preserve"> kako se skoro svi </w:t>
      </w:r>
      <w:r w:rsidR="001139FB">
        <w:rPr>
          <w:rFonts w:eastAsia="Times New Roman" w:cs="Times New Roman"/>
          <w:color w:val="3F3F3F"/>
        </w:rPr>
        <w:t xml:space="preserve">ispitanici </w:t>
      </w:r>
      <w:r w:rsidRPr="009504E7">
        <w:rPr>
          <w:rFonts w:eastAsia="Times New Roman" w:cs="Times New Roman"/>
          <w:color w:val="3F3F3F"/>
        </w:rPr>
        <w:t>slažu s važnosti digitalizacije te prepoznaju njezinu važnost za obavljanje svojih poslova.</w:t>
      </w:r>
    </w:p>
    <w:p w14:paraId="74FE0E53" w14:textId="65AF89D1" w:rsidR="00B54275" w:rsidRPr="001712AB" w:rsidRDefault="002701A3" w:rsidP="002054DB">
      <w:r w:rsidRPr="002054DB">
        <w:rPr>
          <w:rFonts w:eastAsia="Times New Roman" w:cs="Times New Roman"/>
          <w:color w:val="3F3F3F"/>
        </w:rPr>
        <w:t>I</w:t>
      </w:r>
      <w:r w:rsidR="003E6C76" w:rsidRPr="002054DB">
        <w:rPr>
          <w:rFonts w:eastAsia="Times New Roman" w:cs="Times New Roman"/>
          <w:color w:val="3F3F3F"/>
        </w:rPr>
        <w:t>spitivanjem digitalnih kompetencija zaposlenika Županije i ustanova koje surađuju sa Županijom utvrdila se cjelovita</w:t>
      </w:r>
      <w:r w:rsidR="003E6C76" w:rsidRPr="001712AB">
        <w:t xml:space="preserve"> slika stanja ljudskih resursa na raspolaganju Županije. Na temelju odgovora djelatnika (63) stečen je dublji uvid u područja koja vide kao svoje prednosti te se utvrdilo gdje leže konkretni nedostaci u poznavanju digitalnih alata i digitalnim kompetencijama. U analizi uspoređujući prosječne ocjene operativnih djelatnika s onima rukovoditelja uočeno je kako su se rukovoditelji u većini pitanja (8 od 11 pitanja) izjasnili kao kompetentniji od operativnih djelatnika. Tako su se kod upotrebe i razumijevanje Operativnih sustava, osnovnih programskih rješenja za obradu podataka i prezentiranje sadržaja, alatima za kolaboraciju i korištenju cloud</w:t>
      </w:r>
      <w:r w:rsidR="003E6C76" w:rsidRPr="001712AB">
        <w:rPr>
          <w:rFonts w:ascii="Calibri" w:hAnsi="Calibri" w:cs="Calibri"/>
        </w:rPr>
        <w:t> </w:t>
      </w:r>
      <w:r w:rsidR="003E6C76" w:rsidRPr="001712AB">
        <w:t>computing</w:t>
      </w:r>
      <w:r w:rsidR="003E6C76" w:rsidRPr="001712AB">
        <w:rPr>
          <w:rFonts w:ascii="Calibri" w:hAnsi="Calibri" w:cs="Calibri"/>
        </w:rPr>
        <w:t> </w:t>
      </w:r>
      <w:r w:rsidR="003E6C76" w:rsidRPr="001712AB">
        <w:t>rješenja rukovoditelji osjećali kompetentnije dok su lošije ocjenjivali umješnost u upravljanju audiovizualnim sadržajima, te korištenju društvenih mreža u svrhe poslovne komunikacije.</w:t>
      </w:r>
      <w:r w:rsidR="0067019B">
        <w:rPr>
          <w:rFonts w:ascii="Calibri" w:hAnsi="Calibri" w:cs="Calibri"/>
        </w:rPr>
        <w:t xml:space="preserve"> </w:t>
      </w:r>
      <w:r w:rsidR="003E6C76" w:rsidRPr="001712AB">
        <w:t>Prema prosječnim ocjenama svih djelatnika koji su sudjelovali u istraživanju, kao područje u kojem se djelatnici osjećaju najmanje kompetentnima istaknuli su korištenje Cloud</w:t>
      </w:r>
      <w:r w:rsidR="0067019B">
        <w:rPr>
          <w:rFonts w:ascii="Calibri" w:hAnsi="Calibri" w:cs="Calibri"/>
        </w:rPr>
        <w:t xml:space="preserve"> </w:t>
      </w:r>
      <w:r w:rsidR="003E6C76" w:rsidRPr="001712AB">
        <w:t>computing</w:t>
      </w:r>
      <w:r w:rsidR="0067019B">
        <w:rPr>
          <w:rFonts w:ascii="Calibri" w:hAnsi="Calibri" w:cs="Calibri"/>
        </w:rPr>
        <w:t xml:space="preserve"> </w:t>
      </w:r>
      <w:r w:rsidR="003E6C76" w:rsidRPr="001712AB">
        <w:t>rje</w:t>
      </w:r>
      <w:r w:rsidR="003E6C76" w:rsidRPr="001712AB">
        <w:rPr>
          <w:rFonts w:cs="Newslab"/>
        </w:rPr>
        <w:t>š</w:t>
      </w:r>
      <w:r w:rsidR="003E6C76" w:rsidRPr="001712AB">
        <w:t xml:space="preserve">enja kao </w:t>
      </w:r>
      <w:r w:rsidR="003E6C76" w:rsidRPr="001712AB">
        <w:rPr>
          <w:rFonts w:cs="Newslab"/>
        </w:rPr>
        <w:t>š</w:t>
      </w:r>
      <w:r w:rsidR="003E6C76" w:rsidRPr="001712AB">
        <w:t>to su</w:t>
      </w:r>
      <w:r w:rsidR="0067019B">
        <w:rPr>
          <w:rFonts w:ascii="Calibri" w:hAnsi="Calibri" w:cs="Calibri"/>
        </w:rPr>
        <w:t xml:space="preserve"> </w:t>
      </w:r>
      <w:r w:rsidR="003E6C76" w:rsidRPr="001712AB">
        <w:t>GDrive</w:t>
      </w:r>
      <w:r w:rsidR="0067019B">
        <w:rPr>
          <w:rFonts w:ascii="Calibri" w:hAnsi="Calibri" w:cs="Calibri"/>
        </w:rPr>
        <w:t xml:space="preserve"> </w:t>
      </w:r>
      <w:r w:rsidR="003E6C76" w:rsidRPr="001712AB">
        <w:t>i</w:t>
      </w:r>
      <w:r w:rsidR="0067019B">
        <w:rPr>
          <w:rFonts w:ascii="Calibri" w:hAnsi="Calibri" w:cs="Calibri"/>
        </w:rPr>
        <w:t xml:space="preserve"> </w:t>
      </w:r>
      <w:r w:rsidR="003E6C76" w:rsidRPr="001712AB">
        <w:t>GSuite, Microsoft Office 365</w:t>
      </w:r>
      <w:r w:rsidR="00B54275">
        <w:t>, s prosječnom ocjenom 2.59</w:t>
      </w:r>
      <w:r w:rsidR="003E6C76" w:rsidRPr="001712AB">
        <w:t xml:space="preserve"> dok su se kao najkompetentniji osjećali u korištenju pretraživača interneta</w:t>
      </w:r>
      <w:r w:rsidR="00B54275">
        <w:t xml:space="preserve"> s prosječnom ocjenom</w:t>
      </w:r>
      <w:r w:rsidR="0067019B">
        <w:t xml:space="preserve"> </w:t>
      </w:r>
      <w:r w:rsidR="00B54275">
        <w:t>4.38</w:t>
      </w:r>
      <w:r w:rsidR="003E6C76" w:rsidRPr="001712AB">
        <w:t>. U analizi je zaključeno kako su djelatnicima Županije potrebne edukacije iz područja cloud</w:t>
      </w:r>
      <w:r w:rsidR="003E6C76" w:rsidRPr="001712AB">
        <w:rPr>
          <w:rFonts w:ascii="Calibri" w:hAnsi="Calibri" w:cs="Calibri"/>
        </w:rPr>
        <w:t> </w:t>
      </w:r>
      <w:r w:rsidR="003E6C76" w:rsidRPr="001712AB">
        <w:t>computinga</w:t>
      </w:r>
      <w:r w:rsidR="003E6C76" w:rsidRPr="001712AB">
        <w:rPr>
          <w:rFonts w:ascii="Calibri" w:hAnsi="Calibri" w:cs="Calibri"/>
        </w:rPr>
        <w:t> </w:t>
      </w:r>
      <w:r w:rsidR="003E6C76" w:rsidRPr="001712AB">
        <w:t>i upravljanja audiovizualnim sadr</w:t>
      </w:r>
      <w:r w:rsidR="003E6C76" w:rsidRPr="001712AB">
        <w:rPr>
          <w:rFonts w:cs="Newslab"/>
        </w:rPr>
        <w:t>ž</w:t>
      </w:r>
      <w:r w:rsidR="003E6C76" w:rsidRPr="001712AB">
        <w:t>ajima te kori</w:t>
      </w:r>
      <w:r w:rsidR="003E6C76" w:rsidRPr="001712AB">
        <w:rPr>
          <w:rFonts w:cs="Newslab"/>
        </w:rPr>
        <w:t>š</w:t>
      </w:r>
      <w:r w:rsidR="003E6C76" w:rsidRPr="001712AB">
        <w:t>tenju dru</w:t>
      </w:r>
      <w:r w:rsidR="003E6C76" w:rsidRPr="001712AB">
        <w:rPr>
          <w:rFonts w:cs="Newslab"/>
        </w:rPr>
        <w:t>š</w:t>
      </w:r>
      <w:r w:rsidR="003E6C76" w:rsidRPr="001712AB">
        <w:t>tvenih mre</w:t>
      </w:r>
      <w:r w:rsidR="003E6C76" w:rsidRPr="001712AB">
        <w:rPr>
          <w:rFonts w:cs="Newslab"/>
        </w:rPr>
        <w:t>ž</w:t>
      </w:r>
      <w:r w:rsidR="003E6C76" w:rsidRPr="001712AB">
        <w:t>a u svrhe poslovne komunikacije jer se područje cloud</w:t>
      </w:r>
      <w:r w:rsidR="0067019B">
        <w:rPr>
          <w:rFonts w:ascii="Calibri" w:hAnsi="Calibri" w:cs="Calibri"/>
        </w:rPr>
        <w:t xml:space="preserve"> </w:t>
      </w:r>
      <w:r w:rsidR="003E6C76" w:rsidRPr="001712AB">
        <w:t>computinga</w:t>
      </w:r>
      <w:r w:rsidR="0067019B">
        <w:rPr>
          <w:rFonts w:ascii="Calibri" w:hAnsi="Calibri" w:cs="Calibri"/>
        </w:rPr>
        <w:t xml:space="preserve"> </w:t>
      </w:r>
      <w:r w:rsidR="003E6C76" w:rsidRPr="001712AB">
        <w:t>te kori</w:t>
      </w:r>
      <w:r w:rsidR="003E6C76" w:rsidRPr="001712AB">
        <w:rPr>
          <w:rFonts w:cs="Newslab"/>
        </w:rPr>
        <w:t>š</w:t>
      </w:r>
      <w:r w:rsidR="003E6C76" w:rsidRPr="001712AB">
        <w:t>tenje cloud rje</w:t>
      </w:r>
      <w:r w:rsidR="003E6C76" w:rsidRPr="001712AB">
        <w:rPr>
          <w:rFonts w:cs="Newslab"/>
        </w:rPr>
        <w:t>š</w:t>
      </w:r>
      <w:r w:rsidR="003E6C76" w:rsidRPr="001712AB">
        <w:t>enja u kolaboraciji pri izradi dokumenata pokazalo kao zna</w:t>
      </w:r>
      <w:r w:rsidR="003E6C76" w:rsidRPr="001712AB">
        <w:rPr>
          <w:rFonts w:cs="Newslab"/>
        </w:rPr>
        <w:t>č</w:t>
      </w:r>
      <w:r w:rsidR="003E6C76" w:rsidRPr="001712AB">
        <w:t xml:space="preserve">ajan nedostatak djelatnika </w:t>
      </w:r>
      <w:r w:rsidR="003E6C76" w:rsidRPr="001712AB">
        <w:rPr>
          <w:rFonts w:cs="Newslab"/>
        </w:rPr>
        <w:t>Ž</w:t>
      </w:r>
      <w:r w:rsidR="003E6C76" w:rsidRPr="001712AB">
        <w:t>upanije koji se ne osje</w:t>
      </w:r>
      <w:r w:rsidR="003E6C76" w:rsidRPr="001712AB">
        <w:rPr>
          <w:rFonts w:cs="Newslab"/>
        </w:rPr>
        <w:t>ć</w:t>
      </w:r>
      <w:r w:rsidR="003E6C76" w:rsidRPr="001712AB">
        <w:t>aju dovoljno vi</w:t>
      </w:r>
      <w:r w:rsidR="003E6C76" w:rsidRPr="001712AB">
        <w:rPr>
          <w:rFonts w:cs="Newslab"/>
        </w:rPr>
        <w:t>č</w:t>
      </w:r>
      <w:r w:rsidR="003E6C76" w:rsidRPr="001712AB">
        <w:t>nima kori</w:t>
      </w:r>
      <w:r w:rsidR="003E6C76" w:rsidRPr="001712AB">
        <w:rPr>
          <w:rFonts w:cs="Newslab"/>
        </w:rPr>
        <w:t>š</w:t>
      </w:r>
      <w:r w:rsidR="003E6C76" w:rsidRPr="001712AB">
        <w:t>tenju navedenih rje</w:t>
      </w:r>
      <w:r w:rsidR="003E6C76" w:rsidRPr="001712AB">
        <w:rPr>
          <w:rFonts w:cs="Newslab"/>
        </w:rPr>
        <w:t>š</w:t>
      </w:r>
      <w:r w:rsidR="003E6C76" w:rsidRPr="001712AB">
        <w:t>enja.</w:t>
      </w:r>
      <w:r w:rsidR="00B54275">
        <w:t xml:space="preserve"> Djelatnici Upravnog odjela za obrazovanje, kulturu, šport i tehničku kulturu su istaknuti kao najmanje kompetentni u ovoj kategoriji budući da su svoje Poznavanje osnovnih digitalnih alata i informatičku pismenost u prosjeku ocijenili s 3.29 dok su se kao najkompetentniji istaknuli djelatnici Upravnog odjela za opće i zajedničke poslove s prosječnom ocjenom od 3.74. Usprkos tome, valja napomenuti kako je vrlo mala razlika odjela s najmanjom te odjela s najvišom ocjenom što ukazuje na činjenicu da su svi odjeli podjednako kompetentni u ovom području, kao što je vidljivo iz niže navedenog prikaza.</w:t>
      </w:r>
    </w:p>
    <w:p w14:paraId="04AF2499" w14:textId="77777777" w:rsidR="003E6C76" w:rsidRPr="001712AB" w:rsidRDefault="003E6C76" w:rsidP="003E6C76">
      <w:pPr>
        <w:autoSpaceDE w:val="0"/>
        <w:autoSpaceDN w:val="0"/>
        <w:adjustRightInd w:val="0"/>
        <w:spacing w:after="0" w:line="240" w:lineRule="auto"/>
      </w:pPr>
    </w:p>
    <w:p w14:paraId="1593CDEE" w14:textId="1020E91D" w:rsidR="003E6C76" w:rsidRDefault="003E6C76" w:rsidP="00DE32AA">
      <w:pPr>
        <w:pStyle w:val="Opisslike"/>
      </w:pPr>
      <w:r w:rsidRPr="001712AB">
        <w:lastRenderedPageBreak/>
        <w:t>Grafikon</w:t>
      </w:r>
      <w:r w:rsidR="004E2864">
        <w:t xml:space="preserve"> 5.</w:t>
      </w:r>
      <w:r w:rsidRPr="001712AB">
        <w:t xml:space="preserve"> Prosječne ocjene Upravnih odjela u kategoriji Poznavanje osnovnih digitalnih alata i informatička pismenost svih upravnih odjela</w:t>
      </w:r>
    </w:p>
    <w:p w14:paraId="624FDA28" w14:textId="77777777" w:rsidR="003E6C76" w:rsidRDefault="003E6C76" w:rsidP="003E6C76">
      <w:pPr>
        <w:autoSpaceDE w:val="0"/>
        <w:autoSpaceDN w:val="0"/>
        <w:adjustRightInd w:val="0"/>
        <w:spacing w:after="0" w:line="240" w:lineRule="auto"/>
        <w:jc w:val="center"/>
      </w:pPr>
      <w:r w:rsidRPr="004B79DC">
        <w:rPr>
          <w:rFonts w:eastAsia="Calibri" w:cs="Times New Roman"/>
          <w:noProof/>
          <w:color w:val="3F3F3F"/>
        </w:rPr>
        <w:drawing>
          <wp:inline distT="0" distB="0" distL="0" distR="0" wp14:anchorId="43CD9111" wp14:editId="21B877E8">
            <wp:extent cx="5869132" cy="3630826"/>
            <wp:effectExtent l="0" t="0" r="0" b="8255"/>
            <wp:docPr id="252" name="Slika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12550" cy="3657686"/>
                    </a:xfrm>
                    <a:prstGeom prst="rect">
                      <a:avLst/>
                    </a:prstGeom>
                    <a:noFill/>
                    <a:ln>
                      <a:noFill/>
                    </a:ln>
                  </pic:spPr>
                </pic:pic>
              </a:graphicData>
            </a:graphic>
          </wp:inline>
        </w:drawing>
      </w:r>
    </w:p>
    <w:p w14:paraId="2C71214D" w14:textId="77777777" w:rsidR="003E6C76" w:rsidRPr="004E2864" w:rsidRDefault="003E6C76" w:rsidP="004E2864">
      <w:pPr>
        <w:autoSpaceDE w:val="0"/>
        <w:autoSpaceDN w:val="0"/>
        <w:adjustRightInd w:val="0"/>
        <w:spacing w:after="0" w:line="240" w:lineRule="auto"/>
        <w:jc w:val="left"/>
        <w:rPr>
          <w:rFonts w:eastAsia="ArialNarrow" w:cstheme="minorHAnsi"/>
          <w:i/>
          <w:color w:val="ABABAB" w:themeColor="text1" w:themeTint="A6"/>
          <w:sz w:val="16"/>
          <w:szCs w:val="16"/>
        </w:rPr>
      </w:pPr>
      <w:r w:rsidRPr="004E2864">
        <w:rPr>
          <w:rFonts w:eastAsia="ArialNarrow" w:cstheme="minorHAnsi"/>
          <w:i/>
          <w:color w:val="ABABAB" w:themeColor="text1" w:themeTint="A6"/>
          <w:sz w:val="16"/>
          <w:szCs w:val="16"/>
        </w:rPr>
        <w:t>Izvor: Preuzeto iz Strategije razvoja digitalne transformacije Krapinsko- zagorske županije, prosinac 2020. godina</w:t>
      </w:r>
    </w:p>
    <w:p w14:paraId="0B17489D" w14:textId="77777777" w:rsidR="003E6C76" w:rsidRDefault="003E6C76" w:rsidP="003E6C76">
      <w:pPr>
        <w:autoSpaceDE w:val="0"/>
        <w:autoSpaceDN w:val="0"/>
        <w:adjustRightInd w:val="0"/>
        <w:spacing w:after="0" w:line="240" w:lineRule="auto"/>
      </w:pPr>
    </w:p>
    <w:p w14:paraId="526CBC6F" w14:textId="1A46F1AB" w:rsidR="001046C2" w:rsidRPr="002054DB" w:rsidRDefault="00C92703" w:rsidP="002054DB">
      <w:pPr>
        <w:rPr>
          <w:rFonts w:eastAsia="Times New Roman" w:cs="Times New Roman"/>
          <w:color w:val="3F3F3F"/>
        </w:rPr>
      </w:pPr>
      <w:r>
        <w:t xml:space="preserve">U kategoriji </w:t>
      </w:r>
      <w:r w:rsidRPr="00241C71">
        <w:rPr>
          <w:i/>
          <w:iCs/>
        </w:rPr>
        <w:t>Šire vještine i znanja za uspješno poslovanje u digitalnom okruženju</w:t>
      </w:r>
      <w:r>
        <w:t xml:space="preserve"> djelatnici su ocjenjivali</w:t>
      </w:r>
      <w:r w:rsidR="00241C71">
        <w:t xml:space="preserve"> </w:t>
      </w:r>
      <w:r>
        <w:t>vlastito poznavanje sigurnosnih protokola za zaštitu podataka i intelektualnog vlasništva na internetu,</w:t>
      </w:r>
      <w:r w:rsidR="00241C71">
        <w:t xml:space="preserve"> </w:t>
      </w:r>
      <w:r>
        <w:t>sposobnost inoviranja i poznavanje poslovnih inovacija relevantnih za rad i funkcioniranje županije.</w:t>
      </w:r>
      <w:r w:rsidR="00241C71">
        <w:t xml:space="preserve"> </w:t>
      </w:r>
      <w:r w:rsidR="003E6C76" w:rsidRPr="004B79DC">
        <w:t xml:space="preserve">Kao područje u kojem se osjećaju najkompetentnije u kategoriji </w:t>
      </w:r>
      <w:r w:rsidR="003E6C76" w:rsidRPr="004B79DC">
        <w:rPr>
          <w:i/>
          <w:iCs/>
        </w:rPr>
        <w:t>Šire vještine i znanja za uspješno poslovanje u digitalnom okruženju</w:t>
      </w:r>
      <w:r w:rsidR="003E6C76" w:rsidRPr="004B79DC">
        <w:t xml:space="preserve"> djelatnici Krapinsko-zagorske županije istaknuli </w:t>
      </w:r>
      <w:r w:rsidR="00241C71" w:rsidRPr="00241C71">
        <w:t xml:space="preserve">su </w:t>
      </w:r>
      <w:r w:rsidR="003E6C76" w:rsidRPr="004B79DC">
        <w:t>Sposobnost inoviranja procesa i usluga, agilnost i otvorenost prema novim oblicima rada i razmišljanja s prosječnom ocjenom od 3.51</w:t>
      </w:r>
      <w:r w:rsidR="00241C71">
        <w:t xml:space="preserve">, a najmanje kompetentnima osjećaju se u području zaštite intelektualnog vlasništva, provjere izvora te citiranja na internetu s prosječnom ocjenom od 2.97. </w:t>
      </w:r>
      <w:r w:rsidR="001046C2">
        <w:t>Upravni odjel za financije i proračun se istaknuo kao najbolje ocijenjeni odjel u ovoj kategoriji s</w:t>
      </w:r>
      <w:r w:rsidR="0067019B">
        <w:t xml:space="preserve"> </w:t>
      </w:r>
      <w:r w:rsidR="001046C2">
        <w:t xml:space="preserve">prosječnom </w:t>
      </w:r>
      <w:r w:rsidR="001046C2" w:rsidRPr="002054DB">
        <w:rPr>
          <w:rFonts w:eastAsia="Times New Roman" w:cs="Times New Roman"/>
          <w:color w:val="3F3F3F"/>
        </w:rPr>
        <w:t xml:space="preserve">ocjenom od 3.83. </w:t>
      </w:r>
    </w:p>
    <w:p w14:paraId="17496702" w14:textId="0D5010C5" w:rsidR="003E6C76" w:rsidRDefault="001046C2" w:rsidP="002054DB">
      <w:r w:rsidRPr="002054DB">
        <w:rPr>
          <w:rFonts w:eastAsia="Times New Roman" w:cs="Times New Roman"/>
          <w:color w:val="3F3F3F"/>
        </w:rPr>
        <w:t>U kate</w:t>
      </w:r>
      <w:r>
        <w:t xml:space="preserve">goriji </w:t>
      </w:r>
      <w:r w:rsidRPr="001046C2">
        <w:rPr>
          <w:i/>
          <w:iCs/>
        </w:rPr>
        <w:t>Digitalne platforme i usluge KZŽ</w:t>
      </w:r>
      <w:r>
        <w:t xml:space="preserve"> prikupljena su 63 odgovora djelatnika Krapinsko-zagorske županije na 3 pitanja koja su namijenjena ocjenjivanju razine poznavanja internih komunikacijskih sustava i alata Krapinsko-zagorske županije, sustava upravljanja dokumentima te postojećih e-usluga Krapinsko-zagorske županije</w:t>
      </w:r>
      <w:r w:rsidRPr="001046C2">
        <w:t xml:space="preserve">. </w:t>
      </w:r>
      <w:r w:rsidR="00C92703" w:rsidRPr="001046C2">
        <w:t>P</w:t>
      </w:r>
      <w:r w:rsidR="003E6C76" w:rsidRPr="001046C2">
        <w:t xml:space="preserve">odručje u kojem se djelatnici osjećaju najkompetentniji u kategoriji </w:t>
      </w:r>
      <w:r w:rsidR="003E6C76" w:rsidRPr="001046C2">
        <w:rPr>
          <w:i/>
          <w:iCs/>
        </w:rPr>
        <w:t>Digitalne platfome i usluge KZŽ</w:t>
      </w:r>
      <w:r w:rsidR="003E6C76" w:rsidRPr="001046C2">
        <w:t xml:space="preserve"> izdvojeno je poznavanje alata za internu komunikaciju s prosječnom ocjenom od 3.79, dok je, s druge strane, kao područje koje djelatnici u prosjeku najmanje poznaju s prosječnom ocjenom od 3.51 </w:t>
      </w:r>
      <w:r w:rsidR="00241C71" w:rsidRPr="001046C2">
        <w:t xml:space="preserve">je </w:t>
      </w:r>
      <w:r w:rsidR="003E6C76" w:rsidRPr="001046C2">
        <w:t>poznavanje e-usluga Krapinsko-zagorske županije</w:t>
      </w:r>
      <w:r>
        <w:t>.</w:t>
      </w:r>
      <w:r w:rsidRPr="001046C2">
        <w:t xml:space="preserve"> </w:t>
      </w:r>
      <w:r>
        <w:t>Odjel koji se po prosječnim ocjenama na sva tri pitanja istaknuo kao najbolji u poznavanju digitalnih platformi i usluga Županije je Upravni odjel za poslove županijske skupštine s prosječnom ocjenom na tri pitanja u kategoriji od 3.89.</w:t>
      </w:r>
    </w:p>
    <w:p w14:paraId="53A01448" w14:textId="3F36E945" w:rsidR="00B61FAA" w:rsidRDefault="00B61FAA" w:rsidP="001046C2">
      <w:pPr>
        <w:autoSpaceDE w:val="0"/>
        <w:autoSpaceDN w:val="0"/>
        <w:adjustRightInd w:val="0"/>
        <w:spacing w:after="0" w:line="240" w:lineRule="auto"/>
      </w:pPr>
    </w:p>
    <w:p w14:paraId="3B6E4C66" w14:textId="6FDB24E7" w:rsidR="003E6C76" w:rsidRDefault="003E6C76" w:rsidP="005251F6">
      <w:pPr>
        <w:pStyle w:val="Opisslike"/>
      </w:pPr>
      <w:r w:rsidRPr="00DD3F05">
        <w:lastRenderedPageBreak/>
        <w:t xml:space="preserve">Grafikon </w:t>
      </w:r>
      <w:r w:rsidR="004E2864">
        <w:t>6.</w:t>
      </w:r>
      <w:r w:rsidRPr="00DD3F05">
        <w:t xml:space="preserve"> Prosječne ocjene svih djelatnika na postavljena pitanja u kategoriji Digitalne platforme i usluge KZŽ</w:t>
      </w:r>
      <w:r w:rsidRPr="005251F6">
        <w:t> </w:t>
      </w:r>
    </w:p>
    <w:p w14:paraId="1175CAA9" w14:textId="77777777" w:rsidR="003E6C76" w:rsidRDefault="003E6C76" w:rsidP="003E6C76">
      <w:pPr>
        <w:autoSpaceDE w:val="0"/>
        <w:autoSpaceDN w:val="0"/>
        <w:adjustRightInd w:val="0"/>
        <w:spacing w:after="0" w:line="240" w:lineRule="auto"/>
        <w:jc w:val="center"/>
      </w:pPr>
      <w:r w:rsidRPr="001046C2">
        <w:rPr>
          <w:noProof/>
          <w:color w:val="3F3F3F"/>
          <w:shd w:val="clear" w:color="auto" w:fill="C00000"/>
        </w:rPr>
        <w:drawing>
          <wp:inline distT="0" distB="0" distL="0" distR="0" wp14:anchorId="655A935C" wp14:editId="40729DB7">
            <wp:extent cx="5797016" cy="3061253"/>
            <wp:effectExtent l="0" t="0" r="0" b="6350"/>
            <wp:docPr id="255" name="Slika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76082" cy="3155813"/>
                    </a:xfrm>
                    <a:prstGeom prst="rect">
                      <a:avLst/>
                    </a:prstGeom>
                    <a:noFill/>
                    <a:ln w="3175">
                      <a:noFill/>
                    </a:ln>
                  </pic:spPr>
                </pic:pic>
              </a:graphicData>
            </a:graphic>
          </wp:inline>
        </w:drawing>
      </w:r>
    </w:p>
    <w:p w14:paraId="00407083" w14:textId="67F3ECCC" w:rsidR="003E6C76" w:rsidRDefault="003E6C76" w:rsidP="004E2864">
      <w:pPr>
        <w:autoSpaceDE w:val="0"/>
        <w:autoSpaceDN w:val="0"/>
        <w:adjustRightInd w:val="0"/>
        <w:spacing w:after="0" w:line="240" w:lineRule="auto"/>
        <w:jc w:val="left"/>
        <w:rPr>
          <w:rFonts w:eastAsia="ArialNarrow" w:cstheme="minorHAnsi"/>
          <w:i/>
          <w:color w:val="ABABAB" w:themeColor="text1" w:themeTint="A6"/>
          <w:sz w:val="16"/>
          <w:szCs w:val="16"/>
        </w:rPr>
      </w:pPr>
      <w:r w:rsidRPr="004E2864">
        <w:rPr>
          <w:rFonts w:eastAsia="ArialNarrow" w:cstheme="minorHAnsi"/>
          <w:i/>
          <w:color w:val="ABABAB" w:themeColor="text1" w:themeTint="A6"/>
          <w:sz w:val="16"/>
          <w:szCs w:val="16"/>
        </w:rPr>
        <w:t>Izvor: Preuzeto iz Strategije razvoja digitalne transformacije Krapinsko- zagorske županije, prosinac 2020. godina</w:t>
      </w:r>
    </w:p>
    <w:p w14:paraId="13D02E05" w14:textId="117F8435" w:rsidR="001046C2" w:rsidRDefault="001046C2" w:rsidP="004E2864">
      <w:pPr>
        <w:autoSpaceDE w:val="0"/>
        <w:autoSpaceDN w:val="0"/>
        <w:adjustRightInd w:val="0"/>
        <w:spacing w:after="0" w:line="240" w:lineRule="auto"/>
        <w:jc w:val="left"/>
        <w:rPr>
          <w:rFonts w:eastAsia="ArialNarrow" w:cstheme="minorHAnsi"/>
          <w:i/>
          <w:color w:val="ABABAB" w:themeColor="text1" w:themeTint="A6"/>
          <w:sz w:val="16"/>
          <w:szCs w:val="16"/>
        </w:rPr>
      </w:pPr>
    </w:p>
    <w:p w14:paraId="43290E0F" w14:textId="299D8ADE" w:rsidR="003E6C76" w:rsidRPr="002054DB" w:rsidRDefault="00A50E36" w:rsidP="002054DB">
      <w:pPr>
        <w:rPr>
          <w:rFonts w:eastAsia="Times New Roman" w:cs="Times New Roman"/>
          <w:color w:val="3F3F3F"/>
        </w:rPr>
      </w:pPr>
      <w:r>
        <w:t xml:space="preserve">U kategoriji </w:t>
      </w:r>
      <w:r w:rsidRPr="00A50E36">
        <w:rPr>
          <w:i/>
          <w:iCs/>
        </w:rPr>
        <w:t>Specifična znanja i vještine</w:t>
      </w:r>
      <w:r>
        <w:t xml:space="preserve"> d</w:t>
      </w:r>
      <w:r w:rsidR="003E6C76" w:rsidRPr="00840FFA">
        <w:t xml:space="preserve">jelatnici KZŽ </w:t>
      </w:r>
      <w:r>
        <w:t xml:space="preserve">trebali </w:t>
      </w:r>
      <w:r w:rsidR="003E6C76" w:rsidRPr="00840FFA">
        <w:t>su nave</w:t>
      </w:r>
      <w:r>
        <w:t>sti</w:t>
      </w:r>
      <w:r w:rsidR="003E6C76" w:rsidRPr="00840FFA">
        <w:t xml:space="preserve"> koje specifične vještine i znanja posjeduju u području digitalnih kompetencija, a nužna su za njihov posao. </w:t>
      </w:r>
      <w:r w:rsidR="008812BF">
        <w:t>Od 11 odgovora dva djelatni</w:t>
      </w:r>
      <w:r w:rsidR="009B5B40">
        <w:t>ka</w:t>
      </w:r>
      <w:r w:rsidR="008812BF">
        <w:t xml:space="preserve"> su se izjasnili da ne posjeduju specifična znanja nužna za obavljanje posla, odnosno da za njihovo radno mjesto nisu potrebna specifična znanja.</w:t>
      </w:r>
      <w:r w:rsidR="008812BF" w:rsidRPr="00840FFA">
        <w:t xml:space="preserve"> </w:t>
      </w:r>
      <w:r w:rsidR="008812BF">
        <w:t xml:space="preserve">Ostali odgovori </w:t>
      </w:r>
      <w:r w:rsidR="003E6C76" w:rsidRPr="00840FFA">
        <w:t xml:space="preserve">odnosili </w:t>
      </w:r>
      <w:r w:rsidR="008812BF">
        <w:t xml:space="preserve">su se </w:t>
      </w:r>
      <w:r w:rsidR="003E6C76" w:rsidRPr="00840FFA">
        <w:t>većinom na rad u digitaliziranim sustavima koji se koriste na nacionalnoj razini kao što je sustav e-Dozvola, e-Obrt, e-Pristojbe, FINA (naplata), video konferencije Ministarstva uprave, te e-Vjenčanja i e-Novorođenče. U jednom odgovoru kao specifična znanja istaknuta je komunikacija pomoću digitalnih alata, stvaranje i mijenjanje sadržaja te sigurnost i briga o osobnim podacima dok su u drugome odgovoru navedeni Microsoft Office programi kao što su Word, Excel,</w:t>
      </w:r>
      <w:r w:rsidR="003E6C76" w:rsidRPr="00840FFA">
        <w:rPr>
          <w:rFonts w:ascii="Calibri" w:hAnsi="Calibri" w:cs="Calibri"/>
        </w:rPr>
        <w:t> </w:t>
      </w:r>
      <w:r w:rsidR="003E6C76" w:rsidRPr="00840FFA">
        <w:t xml:space="preserve">PowerPoint, ali i interne aplikacije Krapinsko-zagorske </w:t>
      </w:r>
      <w:r w:rsidR="003E6C76" w:rsidRPr="00840FFA">
        <w:rPr>
          <w:rFonts w:cs="Newslab"/>
        </w:rPr>
        <w:t>ž</w:t>
      </w:r>
      <w:r w:rsidR="003E6C76" w:rsidRPr="00840FFA">
        <w:t xml:space="preserve">upanije poput aplikacije LC-uredsko poslovanje te aplikacije Registar ugovora, Akti Župana, Narudžbenice i Autobusni prijevoz. Može se zaključiti kako je u pogledu specifičnih znanja njihovo znanje vrlo </w:t>
      </w:r>
      <w:r w:rsidR="003E6C76" w:rsidRPr="002054DB">
        <w:rPr>
          <w:rFonts w:eastAsia="Times New Roman" w:cs="Times New Roman"/>
          <w:color w:val="3F3F3F"/>
        </w:rPr>
        <w:t>ovisno o poslu kojim se bave te ga ne nadopunjuju vanjskim edukacijama.</w:t>
      </w:r>
      <w:r w:rsidR="003E6C76" w:rsidRPr="002054DB">
        <w:rPr>
          <w:rFonts w:ascii="Calibri" w:eastAsia="Times New Roman" w:hAnsi="Calibri" w:cs="Calibri"/>
          <w:color w:val="3F3F3F"/>
        </w:rPr>
        <w:t> </w:t>
      </w:r>
    </w:p>
    <w:p w14:paraId="655BEA37" w14:textId="77DC730C" w:rsidR="005276DD" w:rsidRDefault="00854391" w:rsidP="002054DB">
      <w:r w:rsidRPr="002054DB">
        <w:rPr>
          <w:rFonts w:eastAsia="Times New Roman" w:cs="Times New Roman"/>
          <w:color w:val="3F3F3F"/>
        </w:rPr>
        <w:t>Imajući u vidu da preko polovice svih djelatnika smatra kako su procesi i aktivnosti dovoljno digitalizirani, zanimljivo</w:t>
      </w:r>
      <w:r w:rsidRPr="00854391">
        <w:t xml:space="preserve"> je da su skoro svi djelatnici na pitanje da navedu poslovne procese u kojima sudjeluju, a da se trebaju ili mogu digitalizirati odgovorila s konkretnim prijedlozima. Najčešći odgovor bio je da je potrebno digitalizirati komunikaciju, kako internu (unutar samih odjela i županijskih tijela) tako i vanjsku (prema korisnicima i Ministarstvima). Nakon digitalizacije komunikacije najčešći odgovor djelatnika bio je da je potrebno digitalizirati upravljanje dokumentima, nakon čega je uslijedilo praćenje rada i digitalizacija arhivskih podataka. Premda su odgovori djelatnika s konkretnim prijedlozima proturječni tvrdnji da je njihov posao dovoljno digitaliziran, zaključ</w:t>
      </w:r>
      <w:r>
        <w:t>uje se</w:t>
      </w:r>
      <w:r w:rsidRPr="00854391">
        <w:t xml:space="preserve"> kako skoro svi djelatnici imaju jasnu sliku toga koji aspekti njihovog posla nisu dovoljno digitalizirani te koja konkretna poboljšanja bi im donijela značajna unaprjeđenja u odvijanju procesa</w:t>
      </w:r>
      <w:r>
        <w:t xml:space="preserve"> </w:t>
      </w:r>
      <w:r w:rsidRPr="00854391">
        <w:t>kao što su upravljanje dokumentima i praćenje rada</w:t>
      </w:r>
      <w:r>
        <w:t xml:space="preserve">. </w:t>
      </w:r>
      <w:r w:rsidRPr="00854391">
        <w:t>Na pitanje “Smatrate li da bi dodatna tehnološka rješenja pomogla u obavljanju vašeg posla? (npr. sustavi za upravljanje resursima, zadacima i procesima)” gotovo polovica djelatnika (43,3%) odgovorila je afirmativno, odnosno kako smatra da bi dodatna digitalizacija sigurno doprinijela njihovom radu. 16,7% djelatnika smatra kako već koriste dostatna digitalna rješenja dok 40% djelatnika ne zna bi li im dodatna tehnološka rješenja pomogla u obavljanju posla.</w:t>
      </w:r>
      <w:r w:rsidR="005276DD">
        <w:t xml:space="preserve"> </w:t>
      </w:r>
    </w:p>
    <w:p w14:paraId="645FC572" w14:textId="0E37403E" w:rsidR="005276DD" w:rsidRPr="002054DB" w:rsidRDefault="005276DD" w:rsidP="002054DB">
      <w:pPr>
        <w:rPr>
          <w:rFonts w:eastAsia="Times New Roman" w:cs="Times New Roman"/>
          <w:color w:val="3F3F3F"/>
        </w:rPr>
      </w:pPr>
      <w:r w:rsidRPr="005276DD">
        <w:t xml:space="preserve">Zaključak o </w:t>
      </w:r>
      <w:r>
        <w:t xml:space="preserve">provedenoj analizi </w:t>
      </w:r>
      <w:r w:rsidRPr="005276DD">
        <w:t>digitalni</w:t>
      </w:r>
      <w:r>
        <w:t>h</w:t>
      </w:r>
      <w:r w:rsidRPr="005276DD">
        <w:t xml:space="preserve"> kompetencijama zaposlenika KZŽ</w:t>
      </w:r>
      <w:r w:rsidRPr="005276DD">
        <w:rPr>
          <w:b/>
          <w:bCs/>
        </w:rPr>
        <w:t xml:space="preserve"> </w:t>
      </w:r>
      <w:r w:rsidRPr="005276DD">
        <w:t>navodi sljedeće</w:t>
      </w:r>
      <w:r>
        <w:rPr>
          <w:b/>
          <w:bCs/>
        </w:rPr>
        <w:t>: n</w:t>
      </w:r>
      <w:r w:rsidRPr="005276DD">
        <w:t>ema izraženog nezadovoljstva većine službenika s načinom provođenja inovacija od strane rukovodećih u Krapinsko-zagorskoj županiji te većina djelatnica smatra kako rukovodeći djelatnici odlučno provode inovacije.</w:t>
      </w:r>
      <w:r>
        <w:t xml:space="preserve"> </w:t>
      </w:r>
      <w:r w:rsidRPr="005276DD">
        <w:t>Većina djelatnika smatra kako bi dodatna tehnološka rješenja unaprijedila njihov rad, a to se pogotovo odnosi na rukovodeće službenike. Usprkos tome što veći broj djelatnika koristi digitalna rješenja u radu, vrlo mali broj njih u svom radu koristi rješenja kojima su umreženi s kolegama. Većina djelatnika kao konkretna područja u kojima vide prostor za daljnju digitalizaciju navela je digitalizaciju komunikacije te digitalizaciju upravljanja dokumentima. Rukovodeći djelatnici više nego operativni djelatnici smatraju da je potrebno daljnje digitalizirati poslovanje Županije.</w:t>
      </w:r>
      <w:r w:rsidR="002218D5">
        <w:t xml:space="preserve"> Tijekom navedene analize došlo se do zaključka kako d</w:t>
      </w:r>
      <w:r w:rsidR="002218D5" w:rsidRPr="002218D5">
        <w:t xml:space="preserve">igitalna transformacija Krapinsko-zagorske županije ne ovisi samo o implementaciji digitalnih rješenja, već je nužno osvijestiti da su djelatnici ti koji će zapravo koristiti uvedena rješenja. Stoga je nužno educirati sve djelatnike o prednostima i načinima korištenja digitalnih </w:t>
      </w:r>
      <w:r w:rsidR="002218D5" w:rsidRPr="002054DB">
        <w:rPr>
          <w:rFonts w:eastAsia="Times New Roman" w:cs="Times New Roman"/>
          <w:color w:val="3F3F3F"/>
        </w:rPr>
        <w:t>rješenja, kako onih postojećih, tako i novih.</w:t>
      </w:r>
    </w:p>
    <w:p w14:paraId="2777C57D" w14:textId="5CDBC48A" w:rsidR="003E6C76" w:rsidRPr="00CB54AF" w:rsidRDefault="003E6C76" w:rsidP="002054DB">
      <w:pPr>
        <w:rPr>
          <w:rFonts w:eastAsia="Times New Roman" w:cs="Times New Roman"/>
          <w:color w:val="3F3F3F"/>
        </w:rPr>
      </w:pPr>
      <w:r w:rsidRPr="002054DB">
        <w:rPr>
          <w:rFonts w:eastAsia="Times New Roman" w:cs="Times New Roman"/>
          <w:color w:val="3F3F3F"/>
        </w:rPr>
        <w:lastRenderedPageBreak/>
        <w:t>U sklopu analize digitalne spremnosti provedena je i Analiza poslovnih procesa. Analiza poslovnih procesa provedena</w:t>
      </w:r>
      <w:r w:rsidRPr="00A04C7B">
        <w:t xml:space="preserve"> je na temelju postojeće mape poslovnih procesa koja datira iz 2016. godine te provođenjem preko 40 intervjua s pročelnicima odjela i s operativnim zaposlenicima koji su aktivno uključeni u obavljanje procesa i izvršenje zadataka. </w:t>
      </w:r>
      <w:r w:rsidR="00BB0CF3" w:rsidRPr="00BB0CF3">
        <w:t>Od ukupno 89 procesa detektiranih 2016. godine, revizijom procesa ustanovilo se da ih trenutno ima 167, što je povećanje od 88% odnosno, u prosjeku se broj procesa po odjelu povećao za 7 procesa.</w:t>
      </w:r>
      <w:r w:rsidR="00BB0CF3">
        <w:t xml:space="preserve"> </w:t>
      </w:r>
      <w:r w:rsidRPr="00A04C7B">
        <w:t>Nadalje, analiza je provedena i u 9 organizacija kojima je Županija osnivač ili suosnivač te s kojima redovno surađuje. Na temelju pregleda premreženosti poslovnih procesa i vrsta suradnje detektirani su optimalni procesi pogodni za digitalizaciju i optimizaciju suradnje Županije i ostalih organizacija.</w:t>
      </w:r>
      <w:r w:rsidRPr="00A04C7B">
        <w:rPr>
          <w:rFonts w:ascii="Calibri" w:hAnsi="Calibri" w:cs="Calibri"/>
        </w:rPr>
        <w:t> </w:t>
      </w:r>
      <w:r w:rsidR="00800404" w:rsidRPr="00800404">
        <w:t xml:space="preserve">Digitalni alati koji se trenutno koriste u upravnim odjelima nisu dostatni ukoliko se županija želi strateški pozicionirati u odnosu na digitalizaciju. To čini obavljanje procesa još dugotrajnijim što posljedično dovodi do većeg opterećenja za djelatnike uključene u pojedini proces. Digitalni alati kojima bi se unaprijedilo poslovanje u vidu prikupljanja informacija odnose se prvenstveno na digitalne alate koji omogućuju coworking u oblaku, kao primjerice nadogradnja s Microsoft/Office 365 rješenjima, koja bi poboljšala učinkovitost i pravovremenost u radu uz minimalne zahtjeve za prilagodbu, budući da se djelatnici Županije već sad koriste Microsoft Office alatima. Navedeno rješenje moguće je iskoristiti na razini čitave Županije. Uz navedeno, određeni procesi svakako bi se poboljšali implementacijom internog sustava za upravljanje projektima. Trenutno ne postoje odgovarajuća digitalna rješenja u procesu upravljanja imovinom, niti u segmentu vođenja evidencije o radnom vremenu na razini čitave Županije dok je u procesu Uredskog poslovanja u funkciji digitalna aplikacija Uredskog poslovanja koja se ne koristi u punom obujmu. Ukoliko bi se navedeno rješenje uskladilo s GDPR-om te omogućilo uklanjanje osobnih podataka nakon isteka propisanog roka za obradu i čuvanje osobnih podataka, to bi značajno olakšalo rad svim djelatnicima te bi se omogućilo i digitalno skladištenje te učitavanje većine dokumentacije u samu aplikaciju kao i digitalno postupanje po predmetima. Nadalje, djelatnicima Županije je sama obrada predmeta usporena s obzirom na to da su i ulazni podaci još uvijek analogni. Sama Županija ne nudi građanima e-usluge te su iz tog razloga svi ulazni obrasci još uvijek u nedigitaliziranom obliku što usporava proces obrade i postupanja po predmetu. Drugim riječima, analiza poslovnih procesa je pokazala da je za digitalnu transformaciju internog poslovanja županije najveća potreba za rješenjima koja se tiču čitave Županije, horizontalna su i odnose se na svakodnevnu komunikaciju i kolaboraciju. Navedeno se primarno odnosi na uspostavu boljih sustava za suradnju, implementaciju sustava za internu komunikaciju te uspostavu transparentnih baza podataka s učinkovitijim funkcionalnosti izvještavanje i poboljšanje procesa knjiženja. Sami procesi koji su detaljnije analizirani ne zahtijevaju značajniju modifikaciju u </w:t>
      </w:r>
      <w:r w:rsidR="00800404" w:rsidRPr="00CB54AF">
        <w:rPr>
          <w:rFonts w:eastAsia="Times New Roman" w:cs="Times New Roman"/>
          <w:color w:val="3F3F3F"/>
        </w:rPr>
        <w:t>svom izvođenju u kontekstu procesnih koraka.</w:t>
      </w:r>
    </w:p>
    <w:p w14:paraId="08AFA7DE" w14:textId="0F01BCAC" w:rsidR="003E6C76" w:rsidRPr="00E635BD" w:rsidRDefault="00800404" w:rsidP="00CB54AF">
      <w:pPr>
        <w:rPr>
          <w:rFonts w:eastAsia="Times New Roman" w:cs="Times New Roman"/>
          <w:color w:val="3F3F3F"/>
        </w:rPr>
      </w:pPr>
      <w:r w:rsidRPr="00CB54AF">
        <w:rPr>
          <w:rFonts w:eastAsia="Times New Roman" w:cs="Times New Roman"/>
          <w:color w:val="3F3F3F"/>
        </w:rPr>
        <w:t xml:space="preserve">Jedan od ključnih segmenata digitalne tranformacije je svakako digitalna infrastruktura koju posjeduje županija. </w:t>
      </w:r>
      <w:r w:rsidR="003E6C76" w:rsidRPr="00CB54AF">
        <w:rPr>
          <w:rFonts w:eastAsia="Times New Roman" w:cs="Times New Roman"/>
          <w:color w:val="3F3F3F"/>
        </w:rPr>
        <w:t>S obzirom da je osim, ljudskog i organizacijskog faktora u digitalnoj transformaciji Županije izrazito bitan i kapacitet</w:t>
      </w:r>
      <w:r w:rsidR="003E6C76" w:rsidRPr="00A04C7B">
        <w:t xml:space="preserve"> infrastrukture, </w:t>
      </w:r>
      <w:r w:rsidR="003E6C76" w:rsidRPr="00A04C7B">
        <w:rPr>
          <w:b/>
          <w:bCs/>
        </w:rPr>
        <w:t>provedena je analiza digitalne infrastrukture</w:t>
      </w:r>
      <w:r w:rsidR="003E6C76">
        <w:t xml:space="preserve"> koju čine</w:t>
      </w:r>
      <w:r w:rsidR="003E6C76" w:rsidRPr="00A04C7B">
        <w:t xml:space="preserve"> 3 segmenta: analiza hardverske infrastrukture; softverske infrastrukture te analiza širokopojasne infrastrukture.</w:t>
      </w:r>
      <w:r>
        <w:rPr>
          <w:rFonts w:ascii="Calibri" w:hAnsi="Calibri" w:cs="Calibri"/>
        </w:rPr>
        <w:t xml:space="preserve"> </w:t>
      </w:r>
      <w:r w:rsidR="003E6C76" w:rsidRPr="00A04C7B">
        <w:t>Temeljem izvršene analize hardverske infrastrukture odnosno podataka o stanju opreme koja se koristi u radu županijskih tijela, osnovni zaključak je kako je osnovna oprema zastarjela i ne prati trendove razvoja što u konačnici dovodi do smanjenih performansi rada odnosno funkcionalnosti i fleksibilnosti rada.</w:t>
      </w:r>
      <w:r w:rsidR="003E6C76">
        <w:t xml:space="preserve"> </w:t>
      </w:r>
      <w:r w:rsidR="003E6C76" w:rsidRPr="00A04C7B">
        <w:t>Trenutni serveri načelno zadovoljavaju potrebe za pokretanjem aplikacija, ali bilo kakve nove aplikacije ili proširivanje na cjelokupni novi DMS sustav bi potencijalno bilo previše za trenutnu infrastrukturu. Uz navedeno, stariji server iz 2007. godine bi trebalo zamijeniti, kako bi se mogao pratiti razvoj novih serverskih standarda.</w:t>
      </w:r>
      <w:r w:rsidR="00756F28">
        <w:rPr>
          <w:rFonts w:ascii="Calibri" w:hAnsi="Calibri" w:cs="Calibri"/>
        </w:rPr>
        <w:t xml:space="preserve"> </w:t>
      </w:r>
      <w:r w:rsidR="00756F28" w:rsidRPr="00756F28">
        <w:t>Sve veća količina podataka, ali i njihova obrada odnosno korištenje web aplikacija te interakcija s rješenjima u oblaku (eng. cloud) u pravilu zahtijevaju veće kapacitete prijenosa u oba smjera (downstream i upstream), te su upravo NGA brzi i ultrabrzi širokopojasni priključci pogodni za njihovu primjenu te omogućavaju nesmetan rad javnih službenika te veću produktivnost rada. U županijskoj upravi koristi se Unifi AP za wireless vezu, a za bolju pokrivenost potrebno je proširiti mrežu. Wireless veza nije uspostavljena u ispostavama, pa je isto potrebno napraviti u nadolazećem razdoblju kako</w:t>
      </w:r>
      <w:r w:rsidR="00756F28">
        <w:t xml:space="preserve"> </w:t>
      </w:r>
      <w:r w:rsidR="00756F28" w:rsidRPr="00756F28">
        <w:t>bi se osiguralo nesmetano spajanje i alternativa žičanoj mreži za unapređenje mobilnog rada i više uređaja (tableti, mobiteli i sl.). Brzina žičane mreže u centralnoj zgradi županijske uprave u Krapini je 100 MBs što trenutno zadovoljava sve potrebe.</w:t>
      </w:r>
      <w:r w:rsidR="00756F28">
        <w:t xml:space="preserve"> </w:t>
      </w:r>
      <w:r w:rsidR="00756F28" w:rsidRPr="00756F28">
        <w:t xml:space="preserve">Veća brzina je nužna za implementaciju sustava e-usluga, prvenstveno s korisničke strane, ali i iz perspektive upravitelja sustava (javnog tijela) jer će više usluga generirati veću potražnju odnosno njihovo korištenje pa će biti potrebna veća brzina uploada i donwloada sa serverske strane za stvaranje preduvjeta za </w:t>
      </w:r>
      <w:r w:rsidR="00756F28" w:rsidRPr="00E635BD">
        <w:rPr>
          <w:rFonts w:eastAsia="Times New Roman" w:cs="Times New Roman"/>
          <w:color w:val="3F3F3F"/>
        </w:rPr>
        <w:t>nesmetano korištenje tih usluga.</w:t>
      </w:r>
    </w:p>
    <w:p w14:paraId="6722F049" w14:textId="1C0BA128" w:rsidR="003E6C76" w:rsidRPr="00756F28" w:rsidRDefault="003E6C76" w:rsidP="00E635BD">
      <w:pPr>
        <w:rPr>
          <w:rFonts w:eastAsia="Times New Roman" w:cs="Times New Roman"/>
          <w:color w:val="3F3F3F"/>
        </w:rPr>
      </w:pPr>
      <w:bookmarkStart w:id="59" w:name="_Hlk75350399"/>
      <w:r w:rsidRPr="004752B6">
        <w:rPr>
          <w:rFonts w:eastAsia="Times New Roman" w:cs="Times New Roman"/>
          <w:color w:val="3F3F3F"/>
        </w:rPr>
        <w:t>Djelatnici ustanova koje surađuju sa Županijom uglavnom imaju različite potrebe te se s obzirom na vlastitu struku, uglavnom koriste različitim digitalnim alatima i to u različitim stupnjevima poznavanja. Potreba koja se nameće analizom odgovora ispitanika je svakako potreba za poboljšanjem sustava za komunikaciju te razmjenu i upravljanje dokumentima između samih ustanova i Županije. Usprkos relativnom zadovoljstvu ispitanika postojećim sustavima, većina njih je kao konkretne prijedloge za poboljšanje izdvojila upravo navedena rješenja.</w:t>
      </w:r>
      <w:r w:rsidR="00756F28">
        <w:rPr>
          <w:rFonts w:ascii="Calibri" w:eastAsia="Times New Roman" w:hAnsi="Calibri" w:cs="Calibri"/>
          <w:color w:val="3F3F3F"/>
        </w:rPr>
        <w:t xml:space="preserve"> </w:t>
      </w:r>
      <w:r w:rsidRPr="00756F28">
        <w:rPr>
          <w:rFonts w:eastAsia="Times New Roman" w:cs="Times New Roman"/>
          <w:color w:val="3F3F3F"/>
        </w:rPr>
        <w:t>Pojedine institucije su izrazile nezadovoljstvo e-uslugama Županije što proizlazi iz činjenice da sama Županija ne nudi građanima e-usluge te su iz tog razloga svi ulazni obrasci još uvijek u</w:t>
      </w:r>
      <w:r w:rsidR="00756F28" w:rsidRPr="00756F28">
        <w:rPr>
          <w:rFonts w:ascii="Calibri" w:eastAsia="Times New Roman" w:hAnsi="Calibri" w:cs="Calibri"/>
          <w:color w:val="3F3F3F"/>
        </w:rPr>
        <w:t xml:space="preserve"> </w:t>
      </w:r>
      <w:r w:rsidRPr="00756F28">
        <w:rPr>
          <w:rFonts w:eastAsia="Times New Roman" w:cs="Times New Roman"/>
          <w:color w:val="3F3F3F"/>
        </w:rPr>
        <w:t>nedigitaliziranom</w:t>
      </w:r>
      <w:r w:rsidR="00756F28">
        <w:rPr>
          <w:rFonts w:ascii="Calibri" w:eastAsia="Times New Roman" w:hAnsi="Calibri" w:cs="Calibri"/>
          <w:color w:val="3F3F3F"/>
        </w:rPr>
        <w:t xml:space="preserve"> </w:t>
      </w:r>
      <w:r w:rsidRPr="00756F28">
        <w:rPr>
          <w:rFonts w:eastAsia="Times New Roman" w:cs="Times New Roman"/>
          <w:color w:val="3F3F3F"/>
        </w:rPr>
        <w:t xml:space="preserve">obliku </w:t>
      </w:r>
      <w:r w:rsidRPr="00756F28">
        <w:rPr>
          <w:rFonts w:eastAsia="Times New Roman" w:cs="Newslab"/>
          <w:color w:val="3F3F3F"/>
        </w:rPr>
        <w:t>š</w:t>
      </w:r>
      <w:r w:rsidRPr="00756F28">
        <w:rPr>
          <w:rFonts w:eastAsia="Times New Roman" w:cs="Times New Roman"/>
          <w:color w:val="3F3F3F"/>
        </w:rPr>
        <w:t>to usporava proces obrade i postupanja po predmetu.</w:t>
      </w:r>
      <w:bookmarkEnd w:id="59"/>
      <w:r w:rsidRPr="00E635BD">
        <w:rPr>
          <w:rFonts w:ascii="Calibri" w:eastAsia="Times New Roman" w:hAnsi="Calibri" w:cs="Calibri"/>
          <w:color w:val="3F3F3F"/>
        </w:rPr>
        <w:t> </w:t>
      </w:r>
    </w:p>
    <w:p w14:paraId="54222183" w14:textId="77777777" w:rsidR="003E6C76" w:rsidRPr="00E635BD" w:rsidRDefault="003E6C76" w:rsidP="00E635BD">
      <w:pPr>
        <w:rPr>
          <w:rFonts w:eastAsia="Times New Roman" w:cs="Times New Roman"/>
          <w:color w:val="3F3F3F"/>
        </w:rPr>
      </w:pPr>
      <w:r w:rsidRPr="00E635BD">
        <w:rPr>
          <w:rFonts w:eastAsia="Times New Roman" w:cs="Times New Roman"/>
          <w:color w:val="3F3F3F"/>
        </w:rPr>
        <w:t>Prema odgovorima djelatnika u analizi  je utvrđeno kako na mrežnim stranicama Krapinsko- zagorske županije nedostaje</w:t>
      </w:r>
      <w:r>
        <w:t xml:space="preserve"> e-usluga za građane. Djelatnici se većinom koriste digitaliziranim sustavima koji se koriste na nacionalnoj razini. Tako je u 2020. godini </w:t>
      </w:r>
      <w:r w:rsidRPr="00046C49">
        <w:t xml:space="preserve">Krapinsko - zagorska županija potpisala Sporazum s Ministarstvom pravosuđa i uprave i uključila se u </w:t>
      </w:r>
      <w:r w:rsidRPr="00904AEB">
        <w:rPr>
          <w:color w:val="auto"/>
        </w:rPr>
        <w:t xml:space="preserve">sustav e - Novorođenče </w:t>
      </w:r>
      <w:r w:rsidRPr="00046C49">
        <w:t xml:space="preserve">koji omogućava podnošenje županiji zahtjeva za isplatu novčane potpore za treće i svako daljnje novorođeno dijete. </w:t>
      </w:r>
      <w:r>
        <w:t>R</w:t>
      </w:r>
      <w:r w:rsidRPr="00046C49">
        <w:t xml:space="preserve">oditelji </w:t>
      </w:r>
      <w:r w:rsidRPr="00046C49">
        <w:lastRenderedPageBreak/>
        <w:t>zahtjev za jednokratnu novčanu pomoć za treće i svako daljnje novorođeno dijete, mogu podnijeti prilikom prijave svog djeteta u matičnom uredu ili prijavom u sustav e - Građani kroz uslugu e - Novorođenče.</w:t>
      </w:r>
      <w:r>
        <w:t xml:space="preserve"> </w:t>
      </w:r>
      <w:r w:rsidRPr="00046C49">
        <w:t xml:space="preserve">Prednost ovakvog načina podnošenja zahtjeva za jednokratnu novčanu naknadu za novorođeno dijete je što roditelji više neće morati dolaziti osobno ili poštom dostavljati zahtjev i svu potrebnu dokumentaciju, već će sve to moći učiniti na jednom mjestu prilikom same prijave djeteta </w:t>
      </w:r>
      <w:r w:rsidRPr="00E635BD">
        <w:rPr>
          <w:rFonts w:eastAsia="Times New Roman" w:cs="Times New Roman"/>
          <w:color w:val="3F3F3F"/>
        </w:rPr>
        <w:t>u matičnom uredu ili putem sustava e - Građani kroz uslugu e - Novorođenče.</w:t>
      </w:r>
    </w:p>
    <w:p w14:paraId="271B93BB" w14:textId="77777777" w:rsidR="003E6C76" w:rsidRPr="00E635BD" w:rsidRDefault="003E6C76" w:rsidP="00E635BD">
      <w:pPr>
        <w:rPr>
          <w:rFonts w:eastAsia="Times New Roman" w:cs="Times New Roman"/>
          <w:color w:val="3F3F3F"/>
        </w:rPr>
      </w:pPr>
      <w:r w:rsidRPr="00E635BD">
        <w:rPr>
          <w:rFonts w:eastAsia="Times New Roman" w:cs="Times New Roman"/>
          <w:color w:val="3F3F3F"/>
        </w:rPr>
        <w:t>Žu</w:t>
      </w:r>
      <w:r>
        <w:t xml:space="preserve">panijska komora Krapina uključena je u </w:t>
      </w:r>
      <w:r w:rsidRPr="00FE0000">
        <w:t xml:space="preserve">novi projekt </w:t>
      </w:r>
      <w:r>
        <w:t>HGK</w:t>
      </w:r>
      <w:r w:rsidRPr="00FE0000">
        <w:t>-</w:t>
      </w:r>
      <w:r w:rsidRPr="00FE0000">
        <w:rPr>
          <w:rFonts w:ascii="Calibri" w:hAnsi="Calibri" w:cs="Calibri"/>
        </w:rPr>
        <w:t> </w:t>
      </w:r>
      <w:r w:rsidRPr="00904AEB">
        <w:t>Digitalna komora.</w:t>
      </w:r>
      <w:r w:rsidRPr="00FE0000">
        <w:t xml:space="preserve"> Riječ je o informacijsko-komunikacijskoj platformi za e-usluge namijenjenoj članicama HGK, javnoj upravi i građanima. Implementacijom sedam e-usluga (e-članice, e-financiranje, e-javne ovlasti, e-gospodarske informacije, e-učenje, e-zakonodavstvo, e-sajmovi i promocija) ubrzat će se komunikacija i unaprijediti odnosi s članicama, digitalizirat će se izdavanje dokumenta za javne ovlasti i omogućiti još aktivnije sudjelovanje gospodarstvenika u kreiranju i promjeni zakonodavnog i regulatornog okvira. Osim toga, gospodarstvenicima će izvore financiranja učiniti </w:t>
      </w:r>
      <w:r w:rsidRPr="00E635BD">
        <w:rPr>
          <w:rFonts w:eastAsia="Times New Roman" w:cs="Times New Roman"/>
          <w:color w:val="3F3F3F"/>
        </w:rPr>
        <w:t>dostupnijima i omogućiti im kvalitetniju promociju njihovih proizvoda i usluga.</w:t>
      </w:r>
    </w:p>
    <w:p w14:paraId="5B9B2F48" w14:textId="26508846" w:rsidR="003E6C76" w:rsidRPr="00E635BD" w:rsidRDefault="003E6C76" w:rsidP="00E635BD">
      <w:pPr>
        <w:rPr>
          <w:rFonts w:eastAsia="Times New Roman" w:cs="Times New Roman"/>
          <w:color w:val="3F3F3F"/>
        </w:rPr>
      </w:pPr>
      <w:r w:rsidRPr="00E635BD">
        <w:rPr>
          <w:rFonts w:eastAsia="Times New Roman" w:cs="Times New Roman"/>
          <w:color w:val="3F3F3F"/>
        </w:rPr>
        <w:t>Poslovno tehnološki inkubator Krapinsko- zagorske županije svojim stanarima nudi besplatne usluge virtualnog inkubatora</w:t>
      </w:r>
      <w:r>
        <w:t xml:space="preserve">- web platforme za umrežavanje poduzetnika. Virtualni inkubator pruža podršku u poslovanju dislociranim poduzetnicima, omogućuje jednostavnu i efikasniju komunikaciju između stanara inkubatora, pristup virtualnoj knjižnici i medijateki te korištenje mreže mentora. Bazu mreže mentora čine vrsni savjetodavni stručnjaci koji putem e-maila ili osobno nude pomoć, savjet ili podršku u području finacija, računovodstva, poreza, marketing ili energetike. U 2020. godini djeluje 9 aktivnih mentora s </w:t>
      </w:r>
      <w:r w:rsidRPr="006E1AD1">
        <w:t xml:space="preserve">ciljem pružanja podrške poduzetnicima u </w:t>
      </w:r>
      <w:r w:rsidRPr="00E635BD">
        <w:rPr>
          <w:rFonts w:eastAsia="Times New Roman" w:cs="Times New Roman"/>
          <w:color w:val="3F3F3F"/>
        </w:rPr>
        <w:t>svim fazama razvoja.</w:t>
      </w:r>
    </w:p>
    <w:p w14:paraId="6B71BE09" w14:textId="102AA227" w:rsidR="003E6C76" w:rsidRPr="000B6889" w:rsidRDefault="003E6C76" w:rsidP="00E635BD">
      <w:pPr>
        <w:rPr>
          <w:rFonts w:eastAsia="Times New Roman" w:cs="Times New Roman"/>
          <w:color w:val="3F3F3F"/>
        </w:rPr>
      </w:pPr>
      <w:r>
        <w:rPr>
          <w:rFonts w:eastAsia="Times New Roman" w:cs="Times New Roman"/>
          <w:color w:val="3F3F3F"/>
        </w:rPr>
        <w:t xml:space="preserve">U provedenoj </w:t>
      </w:r>
      <w:r w:rsidRPr="002F2455">
        <w:rPr>
          <w:rFonts w:eastAsia="Times New Roman" w:cs="Times New Roman"/>
          <w:color w:val="3F3F3F"/>
        </w:rPr>
        <w:t>Analiz</w:t>
      </w:r>
      <w:r>
        <w:rPr>
          <w:rFonts w:eastAsia="Times New Roman" w:cs="Times New Roman"/>
          <w:color w:val="3F3F3F"/>
        </w:rPr>
        <w:t>i</w:t>
      </w:r>
      <w:r w:rsidRPr="002F2455">
        <w:rPr>
          <w:rFonts w:eastAsia="Times New Roman" w:cs="Times New Roman"/>
          <w:color w:val="3F3F3F"/>
        </w:rPr>
        <w:t xml:space="preserve"> digitalne spremnosti Krapinsko- zagorske županije </w:t>
      </w:r>
      <w:r>
        <w:rPr>
          <w:rFonts w:eastAsia="Times New Roman" w:cs="Times New Roman"/>
          <w:color w:val="3F3F3F"/>
        </w:rPr>
        <w:t xml:space="preserve">zaključeno je </w:t>
      </w:r>
      <w:r w:rsidRPr="00825C43">
        <w:rPr>
          <w:rFonts w:eastAsia="Times New Roman" w:cs="Times New Roman"/>
          <w:color w:val="3F3F3F"/>
        </w:rPr>
        <w:t>kako skoro svi djelatnici imaju jasnu sliku toga koji aspekti njihovog posla nisu dovoljno digitalizirani te koja konkretna poboljšanja bi im donijela značajna unaprjeđenja u odvijanju procesa</w:t>
      </w:r>
      <w:r>
        <w:rPr>
          <w:rFonts w:eastAsia="Times New Roman" w:cs="Times New Roman"/>
          <w:color w:val="3F3F3F"/>
        </w:rPr>
        <w:t xml:space="preserve"> </w:t>
      </w:r>
      <w:r w:rsidRPr="00825C43">
        <w:rPr>
          <w:rFonts w:eastAsia="Times New Roman" w:cs="Times New Roman"/>
          <w:color w:val="3F3F3F"/>
        </w:rPr>
        <w:t xml:space="preserve">te </w:t>
      </w:r>
      <w:r w:rsidRPr="00825C43">
        <w:rPr>
          <w:rFonts w:ascii="Calibri" w:eastAsia="Times New Roman" w:hAnsi="Calibri" w:cs="Calibri"/>
          <w:color w:val="3F3F3F"/>
        </w:rPr>
        <w:t> </w:t>
      </w:r>
      <w:r w:rsidRPr="00825C43">
        <w:rPr>
          <w:rFonts w:eastAsia="Times New Roman" w:cs="Times New Roman"/>
          <w:color w:val="3F3F3F"/>
        </w:rPr>
        <w:t>ve</w:t>
      </w:r>
      <w:r w:rsidRPr="00825C43">
        <w:rPr>
          <w:rFonts w:eastAsia="Times New Roman" w:cs="Newslab"/>
          <w:color w:val="3F3F3F"/>
        </w:rPr>
        <w:t>ć</w:t>
      </w:r>
      <w:r w:rsidRPr="00825C43">
        <w:rPr>
          <w:rFonts w:eastAsia="Times New Roman" w:cs="Times New Roman"/>
          <w:color w:val="3F3F3F"/>
        </w:rPr>
        <w:t>ina rukovode</w:t>
      </w:r>
      <w:r w:rsidRPr="00825C43">
        <w:rPr>
          <w:rFonts w:eastAsia="Times New Roman" w:cs="Newslab"/>
          <w:color w:val="3F3F3F"/>
        </w:rPr>
        <w:t>ć</w:t>
      </w:r>
      <w:r w:rsidRPr="00825C43">
        <w:rPr>
          <w:rFonts w:eastAsia="Times New Roman" w:cs="Times New Roman"/>
          <w:color w:val="3F3F3F"/>
        </w:rPr>
        <w:t>ih slu</w:t>
      </w:r>
      <w:r w:rsidRPr="00825C43">
        <w:rPr>
          <w:rFonts w:eastAsia="Times New Roman" w:cs="Newslab"/>
          <w:color w:val="3F3F3F"/>
        </w:rPr>
        <w:t>ž</w:t>
      </w:r>
      <w:r w:rsidRPr="00825C43">
        <w:rPr>
          <w:rFonts w:eastAsia="Times New Roman" w:cs="Times New Roman"/>
          <w:color w:val="3F3F3F"/>
        </w:rPr>
        <w:t>benika podr</w:t>
      </w:r>
      <w:r w:rsidRPr="00825C43">
        <w:rPr>
          <w:rFonts w:eastAsia="Times New Roman" w:cs="Newslab"/>
          <w:color w:val="3F3F3F"/>
        </w:rPr>
        <w:t>ž</w:t>
      </w:r>
      <w:r w:rsidRPr="00825C43">
        <w:rPr>
          <w:rFonts w:eastAsia="Times New Roman" w:cs="Times New Roman"/>
          <w:color w:val="3F3F3F"/>
        </w:rPr>
        <w:t>ava budu</w:t>
      </w:r>
      <w:r w:rsidRPr="00825C43">
        <w:rPr>
          <w:rFonts w:eastAsia="Times New Roman" w:cs="Newslab"/>
          <w:color w:val="3F3F3F"/>
        </w:rPr>
        <w:t>ć</w:t>
      </w:r>
      <w:r w:rsidRPr="00825C43">
        <w:rPr>
          <w:rFonts w:eastAsia="Times New Roman" w:cs="Times New Roman"/>
          <w:color w:val="3F3F3F"/>
        </w:rPr>
        <w:t xml:space="preserve">u digitalizaciju njihovih poslova. Usprkos tome </w:t>
      </w:r>
      <w:r w:rsidRPr="00825C43">
        <w:rPr>
          <w:rFonts w:eastAsia="Times New Roman" w:cs="Newslab"/>
          <w:color w:val="3F3F3F"/>
        </w:rPr>
        <w:t>š</w:t>
      </w:r>
      <w:r w:rsidRPr="00825C43">
        <w:rPr>
          <w:rFonts w:eastAsia="Times New Roman" w:cs="Times New Roman"/>
          <w:color w:val="3F3F3F"/>
        </w:rPr>
        <w:t>to ve</w:t>
      </w:r>
      <w:r w:rsidRPr="00825C43">
        <w:rPr>
          <w:rFonts w:eastAsia="Times New Roman" w:cs="Newslab"/>
          <w:color w:val="3F3F3F"/>
        </w:rPr>
        <w:t>ć</w:t>
      </w:r>
      <w:r w:rsidRPr="00825C43">
        <w:rPr>
          <w:rFonts w:eastAsia="Times New Roman" w:cs="Times New Roman"/>
          <w:color w:val="3F3F3F"/>
        </w:rPr>
        <w:t>i broj djelatnika koristi digitalna rje</w:t>
      </w:r>
      <w:r w:rsidRPr="00825C43">
        <w:rPr>
          <w:rFonts w:eastAsia="Times New Roman" w:cs="Newslab"/>
          <w:color w:val="3F3F3F"/>
        </w:rPr>
        <w:t>š</w:t>
      </w:r>
      <w:r w:rsidRPr="00825C43">
        <w:rPr>
          <w:rFonts w:eastAsia="Times New Roman" w:cs="Times New Roman"/>
          <w:color w:val="3F3F3F"/>
        </w:rPr>
        <w:t>enja u radu, vrlo mali broj njih u svom radu koristi rješenja kojima su umreženi s kolegama.</w:t>
      </w:r>
      <w:r w:rsidRPr="00825C43">
        <w:rPr>
          <w:rFonts w:ascii="Calibri" w:eastAsia="Times New Roman" w:hAnsi="Calibri" w:cs="Calibri"/>
          <w:color w:val="3F3F3F"/>
        </w:rPr>
        <w:t> </w:t>
      </w:r>
      <w:r w:rsidRPr="00825C43">
        <w:rPr>
          <w:rFonts w:eastAsia="Times New Roman" w:cs="Times New Roman"/>
          <w:color w:val="3F3F3F"/>
        </w:rPr>
        <w:t>Ve</w:t>
      </w:r>
      <w:r w:rsidRPr="00825C43">
        <w:rPr>
          <w:rFonts w:eastAsia="Times New Roman" w:cs="Newslab"/>
          <w:color w:val="3F3F3F"/>
        </w:rPr>
        <w:t>ć</w:t>
      </w:r>
      <w:r w:rsidRPr="00825C43">
        <w:rPr>
          <w:rFonts w:eastAsia="Times New Roman" w:cs="Times New Roman"/>
          <w:color w:val="3F3F3F"/>
        </w:rPr>
        <w:t>ina djelatnika kao konkretna podru</w:t>
      </w:r>
      <w:r w:rsidRPr="00825C43">
        <w:rPr>
          <w:rFonts w:eastAsia="Times New Roman" w:cs="Newslab"/>
          <w:color w:val="3F3F3F"/>
        </w:rPr>
        <w:t>č</w:t>
      </w:r>
      <w:r w:rsidRPr="00825C43">
        <w:rPr>
          <w:rFonts w:eastAsia="Times New Roman" w:cs="Times New Roman"/>
          <w:color w:val="3F3F3F"/>
        </w:rPr>
        <w:t>ja u kojima vide prostor za daljnju digitalizaciju navela je digitalizaciju komunikacije te digitalizaciju upravljanja dokumentima</w:t>
      </w:r>
      <w:r>
        <w:rPr>
          <w:rFonts w:eastAsia="Times New Roman" w:cs="Times New Roman"/>
          <w:color w:val="3F3F3F"/>
        </w:rPr>
        <w:t xml:space="preserve">. </w:t>
      </w:r>
      <w:r w:rsidRPr="000B6889">
        <w:rPr>
          <w:rFonts w:eastAsia="Times New Roman" w:cs="Times New Roman"/>
          <w:color w:val="3F3F3F"/>
        </w:rPr>
        <w:t>Sukladno nalazima provedene analize stanja</w:t>
      </w:r>
      <w:r>
        <w:rPr>
          <w:rFonts w:eastAsia="Times New Roman" w:cs="Times New Roman"/>
          <w:color w:val="3F3F3F"/>
        </w:rPr>
        <w:t xml:space="preserve"> u sklopu Strategije daju se</w:t>
      </w:r>
      <w:r w:rsidRPr="000B6889">
        <w:rPr>
          <w:rFonts w:eastAsia="Times New Roman" w:cs="Times New Roman"/>
          <w:color w:val="3F3F3F"/>
        </w:rPr>
        <w:t xml:space="preserve"> preporuk</w:t>
      </w:r>
      <w:r>
        <w:rPr>
          <w:rFonts w:eastAsia="Times New Roman" w:cs="Times New Roman"/>
          <w:color w:val="3F3F3F"/>
        </w:rPr>
        <w:t>e</w:t>
      </w:r>
      <w:r w:rsidRPr="000B6889">
        <w:rPr>
          <w:rFonts w:eastAsia="Times New Roman" w:cs="Times New Roman"/>
          <w:color w:val="3F3F3F"/>
        </w:rPr>
        <w:t xml:space="preserve"> za poboljšanje postojećeg stanja te implementaciji digitalnih rješenja koja će ukloniti identificirane probleme u svakom od četiri analizirana područja.</w:t>
      </w:r>
      <w:r w:rsidRPr="000B6889">
        <w:rPr>
          <w:rFonts w:ascii="Calibri" w:eastAsia="Times New Roman" w:hAnsi="Calibri" w:cs="Calibri"/>
          <w:color w:val="3F3F3F"/>
        </w:rPr>
        <w:t> </w:t>
      </w:r>
      <w:bookmarkStart w:id="60" w:name="_Hlk73008601"/>
      <w:r w:rsidRPr="000B6889">
        <w:rPr>
          <w:rFonts w:eastAsia="Times New Roman" w:cs="Times New Roman"/>
          <w:color w:val="3F3F3F"/>
        </w:rPr>
        <w:t xml:space="preserve">Kako bi proces digitalne transformacije Krapinsko-zagorske županije u narednom razdoblju bio što uspješniji, preporuke </w:t>
      </w:r>
      <w:r>
        <w:rPr>
          <w:rFonts w:eastAsia="Times New Roman" w:cs="Times New Roman"/>
          <w:color w:val="3F3F3F"/>
        </w:rPr>
        <w:t xml:space="preserve">iz Strategije </w:t>
      </w:r>
      <w:r w:rsidRPr="000B6889">
        <w:rPr>
          <w:rFonts w:eastAsia="Times New Roman" w:cs="Times New Roman"/>
          <w:color w:val="3F3F3F"/>
        </w:rPr>
        <w:t>za digitalnu transformaciju su podijeljene prema tri specifična cilja koja se žele ostvariti</w:t>
      </w:r>
      <w:r>
        <w:rPr>
          <w:rFonts w:eastAsia="Times New Roman" w:cs="Times New Roman"/>
          <w:color w:val="3F3F3F"/>
        </w:rPr>
        <w:t xml:space="preserve">, a to su: </w:t>
      </w:r>
      <w:r>
        <w:rPr>
          <w:rFonts w:ascii="Calibri" w:eastAsia="Times New Roman" w:hAnsi="Calibri" w:cs="Calibri"/>
          <w:color w:val="3F3F3F"/>
        </w:rPr>
        <w:t xml:space="preserve">1. </w:t>
      </w:r>
      <w:r w:rsidRPr="000B6889">
        <w:rPr>
          <w:rFonts w:eastAsia="Times New Roman" w:cs="Times New Roman"/>
          <w:color w:val="3F3F3F"/>
        </w:rPr>
        <w:t>Interoperabilnost procesa i usluga Krapinsko-zagorske županije</w:t>
      </w:r>
      <w:r w:rsidRPr="000B6889">
        <w:rPr>
          <w:rFonts w:ascii="Calibri" w:eastAsia="Times New Roman" w:hAnsi="Calibri" w:cs="Calibri"/>
          <w:color w:val="3F3F3F"/>
        </w:rPr>
        <w:t> </w:t>
      </w:r>
      <w:r>
        <w:rPr>
          <w:rFonts w:eastAsia="Times New Roman" w:cs="Times New Roman"/>
          <w:color w:val="3F3F3F"/>
        </w:rPr>
        <w:t xml:space="preserve">, 2. </w:t>
      </w:r>
      <w:r w:rsidRPr="000B6889">
        <w:rPr>
          <w:rFonts w:eastAsia="Times New Roman" w:cs="Times New Roman"/>
          <w:color w:val="3F3F3F"/>
        </w:rPr>
        <w:t>Responzivna</w:t>
      </w:r>
      <w:r w:rsidRPr="000B6889">
        <w:rPr>
          <w:rFonts w:ascii="Calibri" w:eastAsia="Times New Roman" w:hAnsi="Calibri" w:cs="Calibri"/>
          <w:color w:val="3F3F3F"/>
        </w:rPr>
        <w:t> </w:t>
      </w:r>
      <w:r w:rsidRPr="000B6889">
        <w:rPr>
          <w:rFonts w:eastAsia="Times New Roman" w:cs="Times New Roman"/>
          <w:color w:val="3F3F3F"/>
        </w:rPr>
        <w:t>platforma kao ključno mjesto susreta javnih usluga, građana i poduzetnika</w:t>
      </w:r>
      <w:r w:rsidRPr="00772E3D">
        <w:rPr>
          <w:rFonts w:ascii="Calibri" w:eastAsia="Times New Roman" w:hAnsi="Calibri" w:cs="Calibri"/>
          <w:color w:val="3F3F3F"/>
        </w:rPr>
        <w:t> </w:t>
      </w:r>
      <w:r w:rsidRPr="00772E3D">
        <w:rPr>
          <w:rFonts w:eastAsia="Times New Roman" w:cs="Times New Roman"/>
          <w:color w:val="3F3F3F"/>
        </w:rPr>
        <w:t>i 3.</w:t>
      </w:r>
      <w:r>
        <w:rPr>
          <w:rFonts w:ascii="Calibri" w:eastAsia="Times New Roman" w:hAnsi="Calibri" w:cs="Calibri"/>
          <w:color w:val="3F3F3F"/>
        </w:rPr>
        <w:t xml:space="preserve"> </w:t>
      </w:r>
      <w:r w:rsidRPr="000B6889">
        <w:rPr>
          <w:rFonts w:eastAsia="Times New Roman" w:cs="Times New Roman"/>
          <w:color w:val="3F3F3F"/>
        </w:rPr>
        <w:t>Krapinsko-zagorska županija kao poticajno digitalno okruženje</w:t>
      </w:r>
      <w:r>
        <w:rPr>
          <w:rFonts w:ascii="Calibri" w:eastAsia="Times New Roman" w:hAnsi="Calibri" w:cs="Calibri"/>
          <w:color w:val="3F3F3F"/>
        </w:rPr>
        <w:t>.</w:t>
      </w:r>
    </w:p>
    <w:bookmarkEnd w:id="60"/>
    <w:p w14:paraId="05945A28" w14:textId="77777777" w:rsidR="003E6C76" w:rsidRDefault="003E6C76" w:rsidP="003E6C76">
      <w:pPr>
        <w:autoSpaceDE w:val="0"/>
        <w:autoSpaceDN w:val="0"/>
        <w:adjustRightInd w:val="0"/>
        <w:spacing w:after="0" w:line="240" w:lineRule="auto"/>
      </w:pPr>
    </w:p>
    <w:p w14:paraId="448F79A4" w14:textId="77777777" w:rsidR="003E6C76" w:rsidRPr="00D02A62" w:rsidRDefault="003E6C76" w:rsidP="003E6C76">
      <w:pPr>
        <w:shd w:val="clear" w:color="auto" w:fill="E5E5E5" w:themeFill="text1" w:themeFillTint="33"/>
        <w:rPr>
          <w:b/>
          <w:bCs/>
        </w:rPr>
      </w:pPr>
      <w:r w:rsidRPr="00D02A62">
        <w:rPr>
          <w:b/>
          <w:bCs/>
        </w:rPr>
        <w:t>Zaključak</w:t>
      </w:r>
    </w:p>
    <w:p w14:paraId="4F3A6291" w14:textId="76905CAD" w:rsidR="003E6C76" w:rsidRPr="00D02A62" w:rsidRDefault="003E6C76" w:rsidP="003E6C76">
      <w:pPr>
        <w:shd w:val="clear" w:color="auto" w:fill="E5E5E5" w:themeFill="text1" w:themeFillTint="33"/>
        <w:autoSpaceDE w:val="0"/>
        <w:autoSpaceDN w:val="0"/>
        <w:adjustRightInd w:val="0"/>
        <w:spacing w:after="0" w:line="240" w:lineRule="auto"/>
      </w:pPr>
      <w:r w:rsidRPr="00D02A62">
        <w:rPr>
          <w:rFonts w:eastAsia="ArialNarrow" w:cs="Calibri"/>
        </w:rPr>
        <w:t xml:space="preserve">Pokrivenost cestovnom mrežom na području Krapinsko-zagorske županije je zadovoljavajuća, no kolnici su u lošem stanju, osobito na lokalnim i nerazvrstanim cestama. </w:t>
      </w:r>
      <w:r w:rsidR="00CB29F6" w:rsidRPr="00CB29F6">
        <w:rPr>
          <w:rFonts w:eastAsia="ArialNarrow" w:cs="Calibri"/>
        </w:rPr>
        <w:t xml:space="preserve">Problem koji je posebno istaknut je nedovoljna širina i tehničke karakteristike kolnika velikog broja županijskih cesta. </w:t>
      </w:r>
      <w:r w:rsidRPr="00D02A62">
        <w:rPr>
          <w:rFonts w:eastAsia="ArialNarrow" w:cs="Calibri"/>
        </w:rPr>
        <w:t xml:space="preserve">Nepovoljna konfiguracija terena i brojna klizišta uvjetuju kontinuiranu potrebu za velikim ulaganjima u održavanje cestovne infrastrukture. Dodatno, održavanje nerazvrstanih cesta predstavlja velik izazov s obzirom na duljinu takvih cesta i financijske kapacitete JLS-ova za njihovo održavanje, zbog čega je ključno prioritizirati ceste za obnovu, te osigurati svim stanovnicima adekvatan pristup svojim domaćinstvima. Kapitalni projekti koji su u tijeku ili u planu, a osobito izgradnja </w:t>
      </w:r>
      <w:r w:rsidRPr="00D02A62">
        <w:t>brze ceste Popovec – Marija Bistrica – Zabok, imaju velik potencijal za razvoj gospodarstva.</w:t>
      </w:r>
      <w:r w:rsidR="00CB29F6">
        <w:t xml:space="preserve"> </w:t>
      </w:r>
    </w:p>
    <w:p w14:paraId="0DE4344A" w14:textId="77777777" w:rsidR="003E6C76" w:rsidRPr="00D02A62" w:rsidRDefault="003E6C76" w:rsidP="003E6C76">
      <w:pPr>
        <w:shd w:val="clear" w:color="auto" w:fill="E5E5E5" w:themeFill="text1" w:themeFillTint="33"/>
        <w:autoSpaceDE w:val="0"/>
        <w:autoSpaceDN w:val="0"/>
        <w:adjustRightInd w:val="0"/>
        <w:spacing w:after="0" w:line="240" w:lineRule="auto"/>
      </w:pPr>
    </w:p>
    <w:p w14:paraId="06B6A5AC" w14:textId="77777777" w:rsidR="003E6C76" w:rsidRPr="00D02A62" w:rsidRDefault="003E6C76" w:rsidP="003E6C76">
      <w:pPr>
        <w:shd w:val="clear" w:color="auto" w:fill="E5E5E5" w:themeFill="text1" w:themeFillTint="33"/>
        <w:autoSpaceDE w:val="0"/>
        <w:autoSpaceDN w:val="0"/>
        <w:adjustRightInd w:val="0"/>
        <w:spacing w:after="0" w:line="240" w:lineRule="auto"/>
        <w:rPr>
          <w:rFonts w:eastAsia="ArialNarrow" w:cs="Calibri"/>
        </w:rPr>
      </w:pPr>
      <w:r w:rsidRPr="00D02A62">
        <w:rPr>
          <w:rFonts w:eastAsia="ArialNarrow" w:cs="Calibri"/>
        </w:rPr>
        <w:t xml:space="preserve">Na području Krapinsko-zagorske županije registriran je Krapinsko-zagorski aerodrom d.o.o. za športsko turističku djelatnost. Potencijal razvoja leži u većem korištenju aerodroma u turističke svrhe, čime bi se upotpunila turistička ponuda Krapinsko-zagorske županije. </w:t>
      </w:r>
    </w:p>
    <w:p w14:paraId="27FE6019" w14:textId="77777777" w:rsidR="003E6C76" w:rsidRPr="00D02A62" w:rsidRDefault="003E6C76" w:rsidP="003E6C76">
      <w:pPr>
        <w:shd w:val="clear" w:color="auto" w:fill="E5E5E5" w:themeFill="text1" w:themeFillTint="33"/>
        <w:autoSpaceDE w:val="0"/>
        <w:autoSpaceDN w:val="0"/>
        <w:adjustRightInd w:val="0"/>
        <w:spacing w:after="0" w:line="240" w:lineRule="auto"/>
        <w:rPr>
          <w:rFonts w:eastAsia="ArialNarrow" w:cs="Calibri"/>
        </w:rPr>
      </w:pPr>
    </w:p>
    <w:p w14:paraId="64B963CA" w14:textId="77777777" w:rsidR="003E6C76" w:rsidRPr="00D02A62" w:rsidRDefault="003E6C76" w:rsidP="003E6C76">
      <w:pPr>
        <w:shd w:val="clear" w:color="auto" w:fill="E5E5E5" w:themeFill="text1" w:themeFillTint="33"/>
        <w:autoSpaceDE w:val="0"/>
        <w:autoSpaceDN w:val="0"/>
        <w:adjustRightInd w:val="0"/>
        <w:spacing w:after="0" w:line="240" w:lineRule="auto"/>
        <w:rPr>
          <w:rFonts w:eastAsia="ArialNarrow,Bold" w:cs="Calibri"/>
          <w:b/>
          <w:bCs/>
          <w:sz w:val="24"/>
          <w:szCs w:val="24"/>
        </w:rPr>
      </w:pPr>
      <w:r w:rsidRPr="00D02A62">
        <w:rPr>
          <w:rStyle w:val="maintexthtml"/>
        </w:rPr>
        <w:t xml:space="preserve">Prometna infrastruktura u željezničkom prometnom sustavu je neadekvatna, broj putnika je u padu, te su potrebna velika ulaganja u elektrifikaciju radi povećanja učinkovitosti željezničkog prometa. U tijeku je obnova </w:t>
      </w:r>
      <w:r w:rsidRPr="00D02A62">
        <w:rPr>
          <w:rFonts w:eastAsia="ArialNarrow" w:cs="Calibri"/>
        </w:rPr>
        <w:t xml:space="preserve">pruge Zaprešić – Čakovec čime će biti stvoreni preduvjeti za elektrifikaciju preostalih pruga koje prolaze područjem KZŽ. Daljnji projekti obnove željezničke infrastrukture koji su u planu zahtijevaju  velika ulaganja s lokalne odnosno županijske razine zbog čega je važno adekvatno planirati proračun. Uz navedeno, važna su i daljnja kontinuirana ulaganja u sigurnost željezničko-cestovnih prijelaza. </w:t>
      </w:r>
    </w:p>
    <w:p w14:paraId="37362BE1" w14:textId="0AA5BB21" w:rsidR="003E6C76" w:rsidRDefault="003E6C76" w:rsidP="003E6C76">
      <w:pPr>
        <w:shd w:val="clear" w:color="auto" w:fill="E5E5E5" w:themeFill="text1" w:themeFillTint="33"/>
      </w:pPr>
      <w:r w:rsidRPr="00D02A62">
        <w:br/>
        <w:t>Postojeći javni prijevoz ne zadovoljava potrebe putnika, a u nekim općinama ne postoji nikakav oblik organiziranog javnog prijevoza. Projekt Master plan prometnog sustava Grada Zagreba, Zagrebačke županije i Krapinsko – zagorske županije – 1. i 2. faza, ponudit će konkretna rješenja za budući sustav integriranog prijevoza putnika na navedenim područjima, što će poboljšati prometnu dostupnost cijelog područja i omogućiti veću mobilnost stanovništva. Kao privremeno rješenje, po provedenim analizama stanja u općinama KZŽ potrebno je uvesti mikroprijevoz.</w:t>
      </w:r>
      <w:r>
        <w:t xml:space="preserve"> </w:t>
      </w:r>
      <w:r w:rsidR="0072703B" w:rsidRPr="0072703B">
        <w:t>U travnju 2020. godine Županijska skupština donijela je Zaključak o usvajanju Master plana prometnog sustava Grada Zagreba, Zagrebačke županije i Krapinsko-zagorske županije</w:t>
      </w:r>
      <w:r w:rsidR="0072703B">
        <w:t>.</w:t>
      </w:r>
    </w:p>
    <w:p w14:paraId="343E1501" w14:textId="3BB68CEB" w:rsidR="003E6C76" w:rsidRDefault="003E6C76" w:rsidP="003E6C76">
      <w:pPr>
        <w:shd w:val="clear" w:color="auto" w:fill="E5E5E5" w:themeFill="text1" w:themeFillTint="33"/>
        <w:rPr>
          <w:rFonts w:cs="Calibri"/>
        </w:rPr>
      </w:pPr>
      <w:r w:rsidRPr="00D02A62">
        <w:rPr>
          <w:rFonts w:cs="Calibri"/>
        </w:rPr>
        <w:lastRenderedPageBreak/>
        <w:t xml:space="preserve">Po pitanju infrastrukture za internetsku povezanost, pokrivenost fiksnom širokopojasnom mrežom u KZŽ je zadovoljavajuća, no povezivost nije adekvatna. Većina priključaka omogućuje isključivo osnovni širokopojasni pristup, a mogućnost za ultra brzi pristup uglavnom ne postoji. Ovakvo stanje otežava poduzetničku aktivnost, a građanima otežava pristup uslugama uprave. Izuzev područja gradova Krapina i Zabok, ostatak županije spada u područja u kojima ne postoji dostatan komercijalni interes za ulaganja u razvoj infrastrukture širokopojasnog pristupa. Prijavom projekata na natječaj EU, općine i gradovi u KZŽ nastoje realizirati izgradnju pristupnih mreža sljedeće generacije na svojim područjima. </w:t>
      </w:r>
    </w:p>
    <w:p w14:paraId="7B5C7E0C" w14:textId="78217BC6" w:rsidR="00756F28" w:rsidRDefault="00391785" w:rsidP="00391785">
      <w:pPr>
        <w:shd w:val="clear" w:color="auto" w:fill="E5E5E5" w:themeFill="text1" w:themeFillTint="33"/>
        <w:rPr>
          <w:rFonts w:cs="Calibri"/>
          <w:iCs/>
        </w:rPr>
      </w:pPr>
      <w:r>
        <w:rPr>
          <w:rFonts w:cs="Calibri"/>
        </w:rPr>
        <w:t xml:space="preserve">Krapinsko-zagorska županija u 2020. godini uvidjela je potrebu za bržom i efikasnijom digitalizacijom poslovanja te je tako u srpnju 2020. godine Županijska skupština donijela Odluku o pokretanju postupka izrade Strategije digitalne transformacije Krapinsko-zagorske županije. </w:t>
      </w:r>
      <w:r w:rsidR="00C544E9" w:rsidRPr="00C544E9">
        <w:rPr>
          <w:rFonts w:cs="Calibri"/>
          <w:iCs/>
        </w:rPr>
        <w:t xml:space="preserve">Plan digitalne transformacije podijeljen je u više faza te prvi korak upravo uključuje analizu stanja i izradu strategije digitalne transformacije s ciljevima i ključnim razinama djelovanja, a završna faza cjelokupnog procesa odnosi se na detaljnu razradu reorganizacije i digitalizacije upravljanja i podršku u implementaciji. </w:t>
      </w:r>
      <w:bookmarkStart w:id="61" w:name="_Hlk73010907"/>
      <w:r w:rsidR="00756F28">
        <w:rPr>
          <w:rFonts w:cs="Calibri"/>
          <w:iCs/>
        </w:rPr>
        <w:t xml:space="preserve">U spomenutoj Strategiji provela se analiza digitalnih kompetencija djelatnika. </w:t>
      </w:r>
      <w:r w:rsidR="00440F3E" w:rsidRPr="00440F3E">
        <w:rPr>
          <w:rFonts w:cs="Calibri"/>
          <w:iCs/>
        </w:rPr>
        <w:t>U provedenoj Analizi digitalne spremnosti Krapinsko- zagorske županije zaključeno je kako skoro svi djelatnici imaju jasnu sliku toga koji aspekti njihovog posla nisu dovoljno digitalizirani te koja konkretna poboljšanja bi im donijela značajna unaprjeđenja u odvijanju procesa te većina rukovodećih službenika podržava buduću digitalizaciju njihovih poslova</w:t>
      </w:r>
      <w:r w:rsidR="00440F3E">
        <w:rPr>
          <w:rFonts w:cs="Calibri"/>
          <w:iCs/>
        </w:rPr>
        <w:t xml:space="preserve">. </w:t>
      </w:r>
      <w:r w:rsidR="00756F28" w:rsidRPr="00756F28">
        <w:rPr>
          <w:rFonts w:cs="Calibri"/>
          <w:iCs/>
        </w:rPr>
        <w:t>Djelatnici ustanova koje surađuju sa Županijom uglavnom imaju različite potrebe te se s obzirom na vlastitu struku, uglavnom koriste različitim digitalnim alatima i to u različitim stupnjevima poznavanja. Potreba koja se nameće analizom odgovora ispitanika je svakako potreba za poboljšanjem sustava za komunikaciju te razmjenu i upravljanje dokumentima između samih ustanova i Županije. Usprkos relativnom zadovoljstvu ispitanika postojećim sustavima, većina njih je kao konkretne prijedloge za poboljšanje izdvojila upravo navedena rješenja. Pojedine institucije su izrazile nezadovoljstvo e-uslugama Županije što proizlazi iz činjenice da sama Županija ne nudi građanima e-usluge te su iz tog razloga svi ulazni obrasci još uvijek u nedigitaliziranom obliku što usporava proces obrade i postupanja po predmetu.</w:t>
      </w:r>
    </w:p>
    <w:p w14:paraId="35ADF06D" w14:textId="24CA2E3C" w:rsidR="00391785" w:rsidRPr="00391785" w:rsidRDefault="00391785" w:rsidP="00391785">
      <w:pPr>
        <w:shd w:val="clear" w:color="auto" w:fill="E5E5E5" w:themeFill="text1" w:themeFillTint="33"/>
        <w:rPr>
          <w:rFonts w:cs="Calibri"/>
        </w:rPr>
      </w:pPr>
      <w:r>
        <w:rPr>
          <w:rFonts w:cs="Calibri"/>
        </w:rPr>
        <w:t xml:space="preserve">Strategija digitalne transformacije usvojena je </w:t>
      </w:r>
      <w:r w:rsidR="00C544E9">
        <w:rPr>
          <w:rFonts w:cs="Calibri"/>
        </w:rPr>
        <w:t>na Županijskoj skupštini u ožujku 2021. godine</w:t>
      </w:r>
      <w:r>
        <w:rPr>
          <w:rFonts w:cs="Calibri"/>
        </w:rPr>
        <w:t>.</w:t>
      </w:r>
      <w:bookmarkEnd w:id="61"/>
      <w:r>
        <w:rPr>
          <w:rFonts w:cs="Calibri"/>
        </w:rPr>
        <w:t xml:space="preserve"> </w:t>
      </w:r>
      <w:r w:rsidRPr="00391785">
        <w:rPr>
          <w:rFonts w:cs="Calibri"/>
        </w:rPr>
        <w:t>Kako bi proces digitalne transformacije Krapinsko-zagorske županije u narednom razdoblju bio što uspješniji, preporuke iz Strategije za digitalnu transformaciju su podijeljene prema tri specifična cilja koja se žele ostvariti, a to su:  1. Interoperabilnost procesa i usluga Krapinsko-zagorske županije, 2. Responzivna</w:t>
      </w:r>
      <w:r w:rsidR="0043695C">
        <w:rPr>
          <w:rFonts w:ascii="Calibri" w:hAnsi="Calibri" w:cs="Calibri"/>
        </w:rPr>
        <w:t xml:space="preserve"> </w:t>
      </w:r>
      <w:r w:rsidRPr="00391785">
        <w:rPr>
          <w:rFonts w:cs="Calibri"/>
        </w:rPr>
        <w:t>platforma kao ključno mjesto susreta javnih usluga, građana i poduzetnika</w:t>
      </w:r>
      <w:r w:rsidR="0043695C">
        <w:rPr>
          <w:rFonts w:ascii="Calibri" w:hAnsi="Calibri" w:cs="Calibri"/>
        </w:rPr>
        <w:t xml:space="preserve"> </w:t>
      </w:r>
      <w:r w:rsidRPr="00391785">
        <w:rPr>
          <w:rFonts w:cs="Calibri"/>
        </w:rPr>
        <w:t>i 3. Krapinsko-zagorska županija kao poticajno digitalno okruženje.</w:t>
      </w:r>
    </w:p>
    <w:p w14:paraId="6916EF93" w14:textId="77777777" w:rsidR="00A75923" w:rsidRDefault="00A75923">
      <w:pPr>
        <w:jc w:val="left"/>
        <w:rPr>
          <w:rStyle w:val="NASLOV"/>
        </w:rPr>
      </w:pPr>
      <w:r>
        <w:rPr>
          <w:rStyle w:val="NASLOV"/>
        </w:rPr>
        <w:br w:type="page"/>
      </w:r>
    </w:p>
    <w:p w14:paraId="50E57E02" w14:textId="43BA9C9C" w:rsidR="008878A0" w:rsidRPr="003F5F03" w:rsidRDefault="00C4168E" w:rsidP="005F13D3">
      <w:pPr>
        <w:pStyle w:val="Naslov1"/>
        <w:rPr>
          <w:rStyle w:val="NASLOV"/>
        </w:rPr>
      </w:pPr>
      <w:bookmarkStart w:id="62" w:name="_Toc85181289"/>
      <w:r w:rsidRPr="003F5F03">
        <w:rPr>
          <w:rStyle w:val="NASLOV"/>
        </w:rPr>
        <w:lastRenderedPageBreak/>
        <w:t>DEMOGRAFSKA OBILJEŽJA</w:t>
      </w:r>
      <w:bookmarkEnd w:id="62"/>
    </w:p>
    <w:p w14:paraId="0F1FFDCD" w14:textId="77777777" w:rsidR="008878A0" w:rsidRDefault="008878A0" w:rsidP="00941871">
      <w:pPr>
        <w:autoSpaceDE w:val="0"/>
        <w:autoSpaceDN w:val="0"/>
        <w:adjustRightInd w:val="0"/>
        <w:spacing w:after="0" w:line="240" w:lineRule="auto"/>
        <w:rPr>
          <w:rFonts w:eastAsia="ArialNarrow" w:cstheme="minorHAnsi"/>
        </w:rPr>
      </w:pPr>
    </w:p>
    <w:p w14:paraId="0E163C37" w14:textId="094D968B" w:rsidR="00833283" w:rsidRDefault="00E5684E" w:rsidP="07E5E1E8">
      <w:pPr>
        <w:autoSpaceDE w:val="0"/>
        <w:autoSpaceDN w:val="0"/>
        <w:adjustRightInd w:val="0"/>
        <w:spacing w:after="0" w:line="240" w:lineRule="auto"/>
        <w:rPr>
          <w:rFonts w:eastAsia="ArialNarrow"/>
        </w:rPr>
      </w:pPr>
      <w:r w:rsidRPr="3591F92D">
        <w:rPr>
          <w:rFonts w:eastAsia="ArialNarrow"/>
        </w:rPr>
        <w:t xml:space="preserve">Prema Popisu stanovništva iz 2011. </w:t>
      </w:r>
      <w:r w:rsidR="001E0E60" w:rsidRPr="3591F92D">
        <w:rPr>
          <w:rFonts w:eastAsia="ArialNarrow"/>
        </w:rPr>
        <w:t xml:space="preserve">i </w:t>
      </w:r>
      <w:r w:rsidRPr="3591F92D">
        <w:rPr>
          <w:rFonts w:eastAsia="ArialNarrow"/>
        </w:rPr>
        <w:t>isprav</w:t>
      </w:r>
      <w:r w:rsidR="00833283" w:rsidRPr="3591F92D">
        <w:rPr>
          <w:rFonts w:eastAsia="ArialNarrow"/>
        </w:rPr>
        <w:t>k</w:t>
      </w:r>
      <w:r w:rsidR="001E0E60" w:rsidRPr="3591F92D">
        <w:rPr>
          <w:rFonts w:eastAsia="ArialNarrow"/>
        </w:rPr>
        <w:t>ama</w:t>
      </w:r>
      <w:r w:rsidRPr="3591F92D">
        <w:rPr>
          <w:rFonts w:eastAsia="ArialNarrow"/>
        </w:rPr>
        <w:t xml:space="preserve"> popisa iz 2013.</w:t>
      </w:r>
      <w:r w:rsidR="495CF8DB" w:rsidRPr="3591F92D">
        <w:rPr>
          <w:rFonts w:eastAsia="ArialNarrow"/>
        </w:rPr>
        <w:t xml:space="preserve"> </w:t>
      </w:r>
      <w:r w:rsidRPr="3591F92D">
        <w:rPr>
          <w:rFonts w:eastAsia="ArialNarrow"/>
        </w:rPr>
        <w:t>godine u Krapinsko-zagorskoj županiji živjelo je 133.064 stanovnika. Uspoređujući to s 2001. godinom (</w:t>
      </w:r>
      <w:r w:rsidR="000C5489" w:rsidRPr="3591F92D">
        <w:rPr>
          <w:rFonts w:eastAsia="ArialNarrow"/>
        </w:rPr>
        <w:t xml:space="preserve">kada je </w:t>
      </w:r>
      <w:r w:rsidRPr="3591F92D">
        <w:rPr>
          <w:rFonts w:eastAsia="ArialNarrow"/>
        </w:rPr>
        <w:t>prema popisu u Krapinsko-zagorskoj županiji bilo</w:t>
      </w:r>
      <w:r w:rsidR="501CF868" w:rsidRPr="3591F92D">
        <w:rPr>
          <w:rFonts w:eastAsia="ArialNarrow"/>
        </w:rPr>
        <w:t xml:space="preserve"> </w:t>
      </w:r>
      <w:r w:rsidRPr="3591F92D">
        <w:rPr>
          <w:rFonts w:eastAsia="ArialNarrow"/>
        </w:rPr>
        <w:t>142.432 stanovnika) uočava se kontinuiran</w:t>
      </w:r>
      <w:r w:rsidR="00EE6D93" w:rsidRPr="3591F92D">
        <w:rPr>
          <w:rFonts w:eastAsia="ArialNarrow"/>
        </w:rPr>
        <w:t>o</w:t>
      </w:r>
      <w:r w:rsidRPr="3591F92D">
        <w:rPr>
          <w:rFonts w:eastAsia="ArialNarrow"/>
        </w:rPr>
        <w:t xml:space="preserve"> negativ</w:t>
      </w:r>
      <w:r w:rsidR="00EE6D93" w:rsidRPr="3591F92D">
        <w:rPr>
          <w:rFonts w:eastAsia="ArialNarrow"/>
        </w:rPr>
        <w:t>no</w:t>
      </w:r>
      <w:r w:rsidRPr="3591F92D">
        <w:rPr>
          <w:rFonts w:eastAsia="ArialNarrow"/>
        </w:rPr>
        <w:t xml:space="preserve"> kretanj</w:t>
      </w:r>
      <w:r w:rsidR="00EE6D93" w:rsidRPr="3591F92D">
        <w:rPr>
          <w:rFonts w:eastAsia="ArialNarrow"/>
        </w:rPr>
        <w:t>e</w:t>
      </w:r>
      <w:r w:rsidRPr="3591F92D">
        <w:rPr>
          <w:rFonts w:eastAsia="ArialNarrow"/>
        </w:rPr>
        <w:t xml:space="preserve"> broja stanovnika (smanjenje za 6,6%) koji je prvenstveno uzrokovan negativnim prirodnim prirastom, a manjim dijelom negativnim migracijskim saldom. Prema posljednjim procjenama za 201</w:t>
      </w:r>
      <w:r w:rsidR="34743DEF" w:rsidRPr="3591F92D">
        <w:rPr>
          <w:rFonts w:eastAsia="ArialNarrow"/>
        </w:rPr>
        <w:t>9</w:t>
      </w:r>
      <w:r w:rsidRPr="3591F92D">
        <w:rPr>
          <w:rFonts w:eastAsia="ArialNarrow"/>
        </w:rPr>
        <w:t xml:space="preserve">. godinu </w:t>
      </w:r>
      <w:r w:rsidR="000C5489" w:rsidRPr="3591F92D">
        <w:rPr>
          <w:rFonts w:eastAsia="ArialNarrow"/>
        </w:rPr>
        <w:t>Ž</w:t>
      </w:r>
      <w:r w:rsidRPr="3591F92D">
        <w:rPr>
          <w:rFonts w:eastAsia="ArialNarrow"/>
        </w:rPr>
        <w:t>upanij</w:t>
      </w:r>
      <w:r w:rsidR="16B23234" w:rsidRPr="3591F92D">
        <w:rPr>
          <w:rFonts w:eastAsia="ArialNarrow"/>
        </w:rPr>
        <w:t>a ima</w:t>
      </w:r>
      <w:r w:rsidR="00EE6D93" w:rsidRPr="3591F92D">
        <w:rPr>
          <w:rFonts w:eastAsia="ArialNarrow"/>
        </w:rPr>
        <w:t xml:space="preserve"> </w:t>
      </w:r>
      <w:r w:rsidRPr="3591F92D">
        <w:rPr>
          <w:rFonts w:eastAsia="ArialNarrow"/>
        </w:rPr>
        <w:t>12</w:t>
      </w:r>
      <w:r w:rsidR="69DB378C" w:rsidRPr="3591F92D">
        <w:rPr>
          <w:rFonts w:eastAsia="ArialNarrow"/>
        </w:rPr>
        <w:t>4</w:t>
      </w:r>
      <w:r w:rsidRPr="3591F92D">
        <w:rPr>
          <w:rFonts w:eastAsia="ArialNarrow"/>
        </w:rPr>
        <w:t>.</w:t>
      </w:r>
      <w:r w:rsidR="4B95273E" w:rsidRPr="3591F92D">
        <w:rPr>
          <w:rFonts w:eastAsia="ArialNarrow"/>
        </w:rPr>
        <w:t>517</w:t>
      </w:r>
      <w:r w:rsidRPr="3591F92D">
        <w:rPr>
          <w:rFonts w:eastAsia="ArialNarrow"/>
        </w:rPr>
        <w:t xml:space="preserve"> </w:t>
      </w:r>
      <w:r w:rsidR="00EE6D93" w:rsidRPr="3591F92D">
        <w:rPr>
          <w:rFonts w:eastAsia="ArialNarrow"/>
        </w:rPr>
        <w:t>stanovnika što</w:t>
      </w:r>
      <w:r w:rsidRPr="3591F92D">
        <w:rPr>
          <w:rFonts w:eastAsia="ArialNarrow"/>
        </w:rPr>
        <w:t xml:space="preserve"> je u odnosu na 2001. godinu manj</w:t>
      </w:r>
      <w:r w:rsidR="00EE6D93" w:rsidRPr="3591F92D">
        <w:rPr>
          <w:rFonts w:eastAsia="ArialNarrow"/>
        </w:rPr>
        <w:t>e</w:t>
      </w:r>
      <w:r w:rsidRPr="3591F92D">
        <w:rPr>
          <w:rFonts w:eastAsia="ArialNarrow"/>
        </w:rPr>
        <w:t xml:space="preserve"> za </w:t>
      </w:r>
      <w:r w:rsidR="15D46AC0" w:rsidRPr="3591F92D">
        <w:rPr>
          <w:rFonts w:eastAsia="ArialNarrow"/>
        </w:rPr>
        <w:t>12</w:t>
      </w:r>
      <w:r w:rsidRPr="3591F92D">
        <w:rPr>
          <w:rFonts w:eastAsia="ArialNarrow"/>
        </w:rPr>
        <w:t>,</w:t>
      </w:r>
      <w:r w:rsidR="36836D8F" w:rsidRPr="3591F92D">
        <w:rPr>
          <w:rFonts w:eastAsia="ArialNarrow"/>
        </w:rPr>
        <w:t>6</w:t>
      </w:r>
      <w:r w:rsidRPr="3591F92D">
        <w:rPr>
          <w:rFonts w:eastAsia="ArialNarrow"/>
        </w:rPr>
        <w:t>%.</w:t>
      </w:r>
      <w:r w:rsidR="006104BD">
        <w:rPr>
          <w:rStyle w:val="Referencafusnote"/>
          <w:rFonts w:eastAsia="ArialNarrow"/>
        </w:rPr>
        <w:footnoteReference w:id="18"/>
      </w:r>
    </w:p>
    <w:p w14:paraId="7B6C305D" w14:textId="77777777" w:rsidR="00D00DF3" w:rsidRDefault="00D00DF3" w:rsidP="00887774">
      <w:pPr>
        <w:autoSpaceDE w:val="0"/>
        <w:autoSpaceDN w:val="0"/>
        <w:adjustRightInd w:val="0"/>
        <w:spacing w:after="0" w:line="240" w:lineRule="auto"/>
        <w:rPr>
          <w:rFonts w:eastAsia="ArialNarrow" w:cstheme="minorHAnsi"/>
        </w:rPr>
      </w:pPr>
    </w:p>
    <w:p w14:paraId="66EACB30" w14:textId="060E7918" w:rsidR="00D00DF3" w:rsidRPr="00D00DF3" w:rsidRDefault="00E5684E" w:rsidP="00D00DF3">
      <w:pPr>
        <w:autoSpaceDE w:val="0"/>
        <w:autoSpaceDN w:val="0"/>
        <w:adjustRightInd w:val="0"/>
        <w:spacing w:after="0" w:line="240" w:lineRule="auto"/>
        <w:rPr>
          <w:rFonts w:eastAsia="ArialNarrow"/>
        </w:rPr>
      </w:pPr>
      <w:r w:rsidRPr="3591F92D">
        <w:rPr>
          <w:rFonts w:eastAsia="ArialNarrow"/>
        </w:rPr>
        <w:t>Površina Krapinsko-zagorske županije iznosi 1.229 km</w:t>
      </w:r>
      <w:r w:rsidRPr="3591F92D">
        <w:rPr>
          <w:rFonts w:eastAsia="ArialNarrow"/>
          <w:vertAlign w:val="superscript"/>
        </w:rPr>
        <w:t>2</w:t>
      </w:r>
      <w:r w:rsidR="0027751F">
        <w:rPr>
          <w:rFonts w:eastAsia="ArialNarrow"/>
        </w:rPr>
        <w:t xml:space="preserve">, a </w:t>
      </w:r>
      <w:r w:rsidRPr="3591F92D">
        <w:rPr>
          <w:rFonts w:eastAsia="ArialNarrow"/>
        </w:rPr>
        <w:t xml:space="preserve">gustoća </w:t>
      </w:r>
      <w:r w:rsidR="0027751F">
        <w:rPr>
          <w:rFonts w:eastAsia="ArialNarrow"/>
        </w:rPr>
        <w:t xml:space="preserve">stanovnika </w:t>
      </w:r>
      <w:r w:rsidRPr="3591F92D">
        <w:rPr>
          <w:rFonts w:eastAsia="ArialNarrow"/>
        </w:rPr>
        <w:t>10</w:t>
      </w:r>
      <w:r w:rsidR="7B3A8615" w:rsidRPr="3591F92D">
        <w:rPr>
          <w:rFonts w:eastAsia="ArialNarrow"/>
        </w:rPr>
        <w:t>1</w:t>
      </w:r>
      <w:r w:rsidRPr="3591F92D">
        <w:rPr>
          <w:rFonts w:eastAsia="ArialNarrow"/>
        </w:rPr>
        <w:t>,</w:t>
      </w:r>
      <w:r w:rsidR="1A33A13F" w:rsidRPr="3591F92D">
        <w:rPr>
          <w:rFonts w:eastAsia="ArialNarrow"/>
        </w:rPr>
        <w:t>32</w:t>
      </w:r>
      <w:r w:rsidRPr="3591F92D">
        <w:rPr>
          <w:rFonts w:eastAsia="ArialNarrow"/>
        </w:rPr>
        <w:t xml:space="preserve"> st/km</w:t>
      </w:r>
      <w:r w:rsidRPr="3591F92D">
        <w:rPr>
          <w:rFonts w:eastAsia="ArialNarrow"/>
          <w:vertAlign w:val="superscript"/>
        </w:rPr>
        <w:t>2</w:t>
      </w:r>
      <w:r w:rsidRPr="3591F92D">
        <w:rPr>
          <w:rFonts w:eastAsia="ArialNarrow"/>
        </w:rPr>
        <w:t xml:space="preserve">. Gustoća naseljenosti Županije veća je od državnog prosjeka koji </w:t>
      </w:r>
      <w:r w:rsidR="00EE6D93" w:rsidRPr="3591F92D">
        <w:rPr>
          <w:rFonts w:eastAsia="ArialNarrow"/>
        </w:rPr>
        <w:t xml:space="preserve">prema </w:t>
      </w:r>
      <w:r w:rsidRPr="3591F92D">
        <w:rPr>
          <w:rFonts w:eastAsia="ArialNarrow"/>
        </w:rPr>
        <w:t>procjen</w:t>
      </w:r>
      <w:r w:rsidR="00EE6D93" w:rsidRPr="3591F92D">
        <w:rPr>
          <w:rFonts w:eastAsia="ArialNarrow"/>
        </w:rPr>
        <w:t>i</w:t>
      </w:r>
      <w:r w:rsidRPr="3591F92D">
        <w:rPr>
          <w:rFonts w:eastAsia="ArialNarrow"/>
        </w:rPr>
        <w:t xml:space="preserve"> </w:t>
      </w:r>
      <w:r w:rsidR="00EE6D93" w:rsidRPr="3591F92D">
        <w:rPr>
          <w:rFonts w:eastAsia="ArialNarrow"/>
        </w:rPr>
        <w:t xml:space="preserve">iz </w:t>
      </w:r>
      <w:r w:rsidRPr="3591F92D">
        <w:rPr>
          <w:rFonts w:eastAsia="ArialNarrow"/>
        </w:rPr>
        <w:t>201</w:t>
      </w:r>
      <w:r w:rsidR="5674FF9B" w:rsidRPr="3591F92D">
        <w:rPr>
          <w:rFonts w:eastAsia="ArialNarrow"/>
        </w:rPr>
        <w:t>9</w:t>
      </w:r>
      <w:r w:rsidRPr="3591F92D">
        <w:rPr>
          <w:rFonts w:eastAsia="ArialNarrow"/>
        </w:rPr>
        <w:t xml:space="preserve">. </w:t>
      </w:r>
      <w:r w:rsidR="00EE6D93" w:rsidRPr="3591F92D">
        <w:rPr>
          <w:rFonts w:eastAsia="ArialNarrow"/>
        </w:rPr>
        <w:t>g</w:t>
      </w:r>
      <w:r w:rsidRPr="3591F92D">
        <w:rPr>
          <w:rFonts w:eastAsia="ArialNarrow"/>
        </w:rPr>
        <w:t>odin</w:t>
      </w:r>
      <w:r w:rsidR="0027751F">
        <w:rPr>
          <w:rFonts w:eastAsia="ArialNarrow"/>
        </w:rPr>
        <w:t>e</w:t>
      </w:r>
      <w:r w:rsidR="00EE6D93" w:rsidRPr="3591F92D">
        <w:rPr>
          <w:rFonts w:eastAsia="ArialNarrow"/>
        </w:rPr>
        <w:t xml:space="preserve"> </w:t>
      </w:r>
      <w:r w:rsidR="0027751F">
        <w:rPr>
          <w:rFonts w:eastAsia="ArialNarrow"/>
        </w:rPr>
        <w:t>(</w:t>
      </w:r>
      <w:r w:rsidRPr="3591F92D">
        <w:rPr>
          <w:rFonts w:eastAsia="ArialNarrow"/>
        </w:rPr>
        <w:t>4.</w:t>
      </w:r>
      <w:r w:rsidR="4D4A14ED" w:rsidRPr="3591F92D">
        <w:rPr>
          <w:rFonts w:eastAsia="ArialNarrow"/>
        </w:rPr>
        <w:t>065.2</w:t>
      </w:r>
      <w:r w:rsidR="0A35DBE4" w:rsidRPr="3591F92D">
        <w:rPr>
          <w:rFonts w:eastAsia="ArialNarrow"/>
        </w:rPr>
        <w:t>53</w:t>
      </w:r>
      <w:r w:rsidR="00EE6D93" w:rsidRPr="3591F92D">
        <w:rPr>
          <w:rFonts w:eastAsia="ArialNarrow"/>
        </w:rPr>
        <w:t xml:space="preserve"> stanovnika</w:t>
      </w:r>
      <w:r w:rsidR="0027751F">
        <w:rPr>
          <w:rFonts w:eastAsia="ArialNarrow"/>
        </w:rPr>
        <w:t>)</w:t>
      </w:r>
      <w:r w:rsidRPr="3591F92D">
        <w:rPr>
          <w:rFonts w:eastAsia="ArialNarrow"/>
        </w:rPr>
        <w:t xml:space="preserve"> iznosi 7</w:t>
      </w:r>
      <w:r w:rsidR="7BB8BEE8" w:rsidRPr="3591F92D">
        <w:rPr>
          <w:rFonts w:eastAsia="ArialNarrow"/>
        </w:rPr>
        <w:t>1</w:t>
      </w:r>
      <w:r w:rsidRPr="3591F92D">
        <w:rPr>
          <w:rFonts w:eastAsia="ArialNarrow"/>
        </w:rPr>
        <w:t>,</w:t>
      </w:r>
      <w:r w:rsidR="725A8E7F" w:rsidRPr="3591F92D">
        <w:rPr>
          <w:rFonts w:eastAsia="ArialNarrow"/>
        </w:rPr>
        <w:t>83</w:t>
      </w:r>
      <w:r w:rsidRPr="3591F92D">
        <w:rPr>
          <w:rFonts w:eastAsia="ArialNarrow"/>
        </w:rPr>
        <w:t xml:space="preserve"> st/km</w:t>
      </w:r>
      <w:r w:rsidRPr="3591F92D">
        <w:rPr>
          <w:rFonts w:eastAsia="ArialNarrow"/>
          <w:vertAlign w:val="superscript"/>
        </w:rPr>
        <w:t>2</w:t>
      </w:r>
      <w:r w:rsidRPr="3591F92D">
        <w:rPr>
          <w:rFonts w:eastAsia="ArialNarrow"/>
        </w:rPr>
        <w:t>.</w:t>
      </w:r>
      <w:r w:rsidR="00D00DF3">
        <w:rPr>
          <w:rFonts w:eastAsia="ArialNarrow"/>
        </w:rPr>
        <w:t xml:space="preserve"> </w:t>
      </w:r>
      <w:r w:rsidR="00D00DF3" w:rsidRPr="00D00DF3">
        <w:rPr>
          <w:rFonts w:eastAsia="ArialNarrow"/>
        </w:rPr>
        <w:t>Krapinsko-zagorska županija ima približno istu gustoću naseljenosti kao i statistička regija Sjeverna Hrvatska</w:t>
      </w:r>
      <w:r w:rsidR="00D00DF3" w:rsidRPr="00D00DF3">
        <w:rPr>
          <w:rFonts w:eastAsia="ArialNarrow"/>
          <w:vertAlign w:val="superscript"/>
        </w:rPr>
        <w:footnoteReference w:id="19"/>
      </w:r>
      <w:r w:rsidR="00D00DF3" w:rsidRPr="00D00DF3">
        <w:rPr>
          <w:rFonts w:eastAsia="ArialNarrow"/>
        </w:rPr>
        <w:t xml:space="preserve"> (101,57 stanovnika/km</w:t>
      </w:r>
      <w:r w:rsidR="00D00DF3" w:rsidRPr="00D00DF3">
        <w:rPr>
          <w:rFonts w:eastAsia="ArialNarrow"/>
          <w:vertAlign w:val="superscript"/>
        </w:rPr>
        <w:t xml:space="preserve">2 </w:t>
      </w:r>
      <w:r w:rsidR="00D00DF3" w:rsidRPr="00D00DF3">
        <w:rPr>
          <w:rFonts w:eastAsia="ArialNarrow"/>
        </w:rPr>
        <w:t>).</w:t>
      </w:r>
      <w:r w:rsidR="00D00DF3" w:rsidRPr="00D00DF3">
        <w:rPr>
          <w:rFonts w:eastAsia="ArialNarrow"/>
          <w:vertAlign w:val="superscript"/>
        </w:rPr>
        <w:t xml:space="preserve"> </w:t>
      </w:r>
      <w:r w:rsidR="00D00DF3" w:rsidRPr="00D00DF3">
        <w:rPr>
          <w:rFonts w:eastAsia="ArialNarrow"/>
        </w:rPr>
        <w:t>Istu gustoću naseljenosti ima još Zagrebačka županija dok Međimurska i Varaždinska županija spadaju u gušće naseljene županije Sjeverne Hrvatske. Prosječna gustoća naseljenosti na razini EU-28 iznosi 114,7 stanovnika/km</w:t>
      </w:r>
      <w:r w:rsidR="00D00DF3" w:rsidRPr="00D00DF3">
        <w:rPr>
          <w:rFonts w:eastAsia="ArialNarrow"/>
          <w:vertAlign w:val="superscript"/>
        </w:rPr>
        <w:t>2</w:t>
      </w:r>
      <w:r w:rsidR="00D00DF3" w:rsidRPr="00D00DF3">
        <w:rPr>
          <w:rFonts w:eastAsia="ArialNarrow"/>
        </w:rPr>
        <w:t xml:space="preserve"> pa gustoća naseljenosti Krapinsko-zagorske županije iznosi 89% prosjeka EU-28.</w:t>
      </w:r>
    </w:p>
    <w:p w14:paraId="71125D94" w14:textId="5881DAE9" w:rsidR="00887774" w:rsidRDefault="00887774" w:rsidP="07E5E1E8">
      <w:pPr>
        <w:autoSpaceDE w:val="0"/>
        <w:autoSpaceDN w:val="0"/>
        <w:adjustRightInd w:val="0"/>
        <w:spacing w:after="0" w:line="240" w:lineRule="auto"/>
        <w:rPr>
          <w:rFonts w:eastAsia="ArialNarrow"/>
        </w:rPr>
      </w:pPr>
    </w:p>
    <w:p w14:paraId="1E2095EF" w14:textId="5EB1DFA6" w:rsidR="008878A0" w:rsidRPr="00D00DF3" w:rsidRDefault="00D00DF3" w:rsidP="003E3F3C">
      <w:pPr>
        <w:pStyle w:val="Opisslike"/>
        <w:rPr>
          <w:rFonts w:eastAsia="ArialNarrow"/>
        </w:rPr>
      </w:pPr>
      <w:r>
        <w:rPr>
          <w:rFonts w:eastAsiaTheme="minorHAnsi"/>
          <w:noProof/>
          <w:lang w:eastAsia="hr-HR"/>
        </w:rPr>
        <w:drawing>
          <wp:anchor distT="0" distB="0" distL="114300" distR="114300" simplePos="0" relativeHeight="251588608" behindDoc="0" locked="0" layoutInCell="1" allowOverlap="1" wp14:anchorId="6D7476A9" wp14:editId="1474A6BA">
            <wp:simplePos x="0" y="0"/>
            <wp:positionH relativeFrom="margin">
              <wp:align>left</wp:align>
            </wp:positionH>
            <wp:positionV relativeFrom="paragraph">
              <wp:posOffset>257175</wp:posOffset>
            </wp:positionV>
            <wp:extent cx="5852795" cy="2625090"/>
            <wp:effectExtent l="0" t="0" r="14605" b="3810"/>
            <wp:wrapTopAndBottom/>
            <wp:docPr id="269" name="Chart 269">
              <a:extLst xmlns:a="http://schemas.openxmlformats.org/drawingml/2006/main">
                <a:ext uri="{FF2B5EF4-FFF2-40B4-BE49-F238E27FC236}">
                  <a16:creationId xmlns:a16="http://schemas.microsoft.com/office/drawing/2014/main" id="{98CCBE13-D08E-4A08-9B36-F4735FD5339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margin">
              <wp14:pctHeight>0</wp14:pctHeight>
            </wp14:sizeRelV>
          </wp:anchor>
        </w:drawing>
      </w:r>
      <w:r w:rsidRPr="00D00DF3">
        <w:rPr>
          <w:rFonts w:eastAsia="ArialNarrow"/>
        </w:rPr>
        <w:t xml:space="preserve">Grafikon </w:t>
      </w:r>
      <w:r w:rsidR="00627AAF">
        <w:rPr>
          <w:rFonts w:eastAsia="ArialNarrow"/>
        </w:rPr>
        <w:t>7</w:t>
      </w:r>
      <w:r w:rsidRPr="00D00DF3">
        <w:rPr>
          <w:rFonts w:eastAsia="ArialNarrow"/>
        </w:rPr>
        <w:t>. Kretanje ukupnog broja stanovnika Krapinsko-zagorske županije 1971. – 2011</w:t>
      </w:r>
      <w:r>
        <w:rPr>
          <w:rFonts w:eastAsia="ArialNarrow"/>
        </w:rPr>
        <w:t>.</w:t>
      </w:r>
    </w:p>
    <w:p w14:paraId="746AE6C9" w14:textId="4B3EF801" w:rsidR="00D00DF3" w:rsidRPr="006315FA" w:rsidRDefault="00D00DF3" w:rsidP="00627AAF">
      <w:pPr>
        <w:autoSpaceDE w:val="0"/>
        <w:autoSpaceDN w:val="0"/>
        <w:adjustRightInd w:val="0"/>
        <w:spacing w:after="0" w:line="240" w:lineRule="auto"/>
        <w:jc w:val="left"/>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Izvor: DZS, Popis</w:t>
      </w:r>
      <w:r w:rsidR="00CE19F8" w:rsidRPr="006315FA">
        <w:rPr>
          <w:rFonts w:eastAsia="ArialNarrow" w:cstheme="minorHAnsi"/>
          <w:i/>
          <w:color w:val="ABABAB" w:themeColor="text1" w:themeTint="A6"/>
          <w:sz w:val="16"/>
          <w:szCs w:val="16"/>
        </w:rPr>
        <w:t>i</w:t>
      </w:r>
      <w:r w:rsidRPr="006315FA">
        <w:rPr>
          <w:rFonts w:eastAsia="ArialNarrow" w:cstheme="minorHAnsi"/>
          <w:i/>
          <w:color w:val="ABABAB" w:themeColor="text1" w:themeTint="A6"/>
          <w:sz w:val="16"/>
          <w:szCs w:val="16"/>
        </w:rPr>
        <w:t xml:space="preserve"> stanovništva</w:t>
      </w:r>
    </w:p>
    <w:p w14:paraId="49BD2ADC" w14:textId="77777777" w:rsidR="006315FA" w:rsidRPr="006315FA" w:rsidRDefault="006315FA" w:rsidP="006315FA">
      <w:pPr>
        <w:autoSpaceDE w:val="0"/>
        <w:autoSpaceDN w:val="0"/>
        <w:adjustRightInd w:val="0"/>
        <w:spacing w:after="0" w:line="240" w:lineRule="auto"/>
        <w:rPr>
          <w:rFonts w:eastAsia="ArialNarrow" w:cstheme="minorHAnsi"/>
          <w:i/>
          <w:iCs/>
        </w:rPr>
      </w:pPr>
    </w:p>
    <w:p w14:paraId="25D2BA7B" w14:textId="75AF821D" w:rsidR="00D00DF3" w:rsidRPr="00D00DF3" w:rsidRDefault="008518A8" w:rsidP="00D00DF3">
      <w:pPr>
        <w:autoSpaceDE w:val="0"/>
        <w:autoSpaceDN w:val="0"/>
        <w:adjustRightInd w:val="0"/>
        <w:spacing w:after="0" w:line="240" w:lineRule="auto"/>
        <w:rPr>
          <w:rFonts w:eastAsia="ArialNarrow"/>
        </w:rPr>
      </w:pPr>
      <w:r w:rsidRPr="008518A8">
        <w:rPr>
          <w:rFonts w:eastAsia="ArialNarrow"/>
        </w:rPr>
        <w:t xml:space="preserve">Kontinuirani pad broja stanovnika nastavlja se i u 2019. U odnosu na procjenu prethodne godine, broj stanovnika smanjio se za 840 osoba. </w:t>
      </w:r>
      <w:r w:rsidR="00D00DF3" w:rsidRPr="00D00DF3">
        <w:rPr>
          <w:rFonts w:eastAsia="ArialNarrow"/>
        </w:rPr>
        <w:t>Prema posljednjim dostupnim podacima</w:t>
      </w:r>
      <w:r w:rsidR="00D00DF3" w:rsidRPr="00D00DF3">
        <w:rPr>
          <w:rFonts w:eastAsia="ArialNarrow"/>
          <w:vertAlign w:val="superscript"/>
        </w:rPr>
        <w:footnoteReference w:id="20"/>
      </w:r>
      <w:r w:rsidR="00D00DF3" w:rsidRPr="00D00DF3">
        <w:rPr>
          <w:rFonts w:eastAsia="ArialNarrow"/>
        </w:rPr>
        <w:t xml:space="preserve"> stanovništvo Krapinsko-zagorske županije (124.517) čini 3,06% ukupnog broja stanovnika Republike Hrvatske u 2019. godini (4.064.253). Promatrajući statističku regiju Sjeverna Hrvatska koja se sastoji od pet županija, Krapinsko-zagorska županija nalazi se na trećem mjestu prema broju stanovnika. Između dva popisa (2001. i 2011. godine), broj stanovnika Krapinsko-zagorske županije smanjen je za 6,7%, dok je na nacionalnoj razini broj pao za 3,4%. Prema procjeni o broju stanovnika za 2019. godinu, broj stanovnika Krapinsko-zagorske županije dodatno je pao za 6,3%, dok je pad na razini Republike Hrvatske iznosio 5,%.</w:t>
      </w:r>
    </w:p>
    <w:p w14:paraId="6D16FC1C" w14:textId="49B0BA0E" w:rsidR="00D00DF3" w:rsidRDefault="00D00DF3" w:rsidP="07E5E1E8">
      <w:pPr>
        <w:autoSpaceDE w:val="0"/>
        <w:autoSpaceDN w:val="0"/>
        <w:adjustRightInd w:val="0"/>
        <w:spacing w:after="0" w:line="240" w:lineRule="auto"/>
        <w:rPr>
          <w:rFonts w:eastAsia="ArialNarrow"/>
        </w:rPr>
      </w:pPr>
    </w:p>
    <w:p w14:paraId="7DA05956" w14:textId="5B06E035" w:rsidR="00D00DF3" w:rsidRDefault="00D00DF3" w:rsidP="003E3F3C">
      <w:pPr>
        <w:pStyle w:val="Opisslike"/>
        <w:rPr>
          <w:rFonts w:eastAsia="ArialNarrow"/>
        </w:rPr>
      </w:pPr>
      <w:r w:rsidRPr="00D00DF3">
        <w:rPr>
          <w:rFonts w:eastAsia="ArialNarrow"/>
        </w:rPr>
        <w:lastRenderedPageBreak/>
        <w:t xml:space="preserve">Grafikon </w:t>
      </w:r>
      <w:r w:rsidR="00627AAF">
        <w:rPr>
          <w:rFonts w:eastAsia="ArialNarrow"/>
        </w:rPr>
        <w:t>8</w:t>
      </w:r>
      <w:r w:rsidRPr="00D00DF3">
        <w:rPr>
          <w:rFonts w:eastAsia="ArialNarrow"/>
        </w:rPr>
        <w:t>. Procjena ukupnog broja stanovnika Krapinsko-zagorske županije 201</w:t>
      </w:r>
      <w:r w:rsidR="0051026A">
        <w:rPr>
          <w:rFonts w:eastAsia="ArialNarrow"/>
        </w:rPr>
        <w:t>4.</w:t>
      </w:r>
      <w:r w:rsidRPr="00D00DF3">
        <w:rPr>
          <w:rFonts w:eastAsia="ArialNarrow"/>
        </w:rPr>
        <w:t xml:space="preserve"> </w:t>
      </w:r>
      <w:r w:rsidR="00627AAF">
        <w:rPr>
          <w:rFonts w:eastAsia="ArialNarrow"/>
        </w:rPr>
        <w:t>-</w:t>
      </w:r>
      <w:r w:rsidRPr="00D00DF3">
        <w:rPr>
          <w:rFonts w:eastAsia="ArialNarrow"/>
        </w:rPr>
        <w:t xml:space="preserve"> 201</w:t>
      </w:r>
      <w:r w:rsidR="00CE19F8">
        <w:rPr>
          <w:rFonts w:eastAsia="ArialNarrow"/>
        </w:rPr>
        <w:t>9</w:t>
      </w:r>
      <w:r w:rsidR="0051026A">
        <w:rPr>
          <w:rFonts w:eastAsia="ArialNarrow"/>
        </w:rPr>
        <w:t>.</w:t>
      </w:r>
    </w:p>
    <w:p w14:paraId="57C32C1C" w14:textId="45449BE7" w:rsidR="008878A0" w:rsidRPr="00885913" w:rsidRDefault="00885913" w:rsidP="00885913">
      <w:pPr>
        <w:jc w:val="center"/>
      </w:pPr>
      <w:r>
        <w:rPr>
          <w:noProof/>
        </w:rPr>
        <w:drawing>
          <wp:inline distT="0" distB="0" distL="0" distR="0" wp14:anchorId="00528B69" wp14:editId="12C8985E">
            <wp:extent cx="5783580" cy="2762250"/>
            <wp:effectExtent l="0" t="0" r="7620" b="0"/>
            <wp:docPr id="1" name="Grafikon 1">
              <a:extLst xmlns:a="http://schemas.openxmlformats.org/drawingml/2006/main">
                <a:ext uri="{FF2B5EF4-FFF2-40B4-BE49-F238E27FC236}">
                  <a16:creationId xmlns:a16="http://schemas.microsoft.com/office/drawing/2014/main" id="{11C04157-492E-418B-9E1D-888132E152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E4F0303" w14:textId="7A0DE4B0" w:rsidR="006D77D7" w:rsidRDefault="00CE19F8" w:rsidP="00941871">
      <w:pPr>
        <w:autoSpaceDE w:val="0"/>
        <w:autoSpaceDN w:val="0"/>
        <w:adjustRightInd w:val="0"/>
        <w:spacing w:after="0" w:line="240" w:lineRule="auto"/>
        <w:rPr>
          <w:rFonts w:eastAsia="ArialNarrow" w:cstheme="minorHAnsi"/>
          <w:i/>
          <w:color w:val="ABABAB" w:themeColor="text1" w:themeTint="A6"/>
          <w:sz w:val="16"/>
          <w:szCs w:val="16"/>
        </w:rPr>
      </w:pPr>
      <w:r w:rsidRPr="00CE19F8">
        <w:rPr>
          <w:rFonts w:eastAsia="ArialNarrow" w:cstheme="minorHAnsi"/>
          <w:i/>
          <w:color w:val="ABABAB" w:themeColor="text1" w:themeTint="A6"/>
          <w:sz w:val="16"/>
          <w:szCs w:val="16"/>
        </w:rPr>
        <w:t>Izvor: DZS, Procjena stanovništva Republike Hrvatske 201</w:t>
      </w:r>
      <w:r>
        <w:rPr>
          <w:rFonts w:eastAsia="ArialNarrow" w:cstheme="minorHAnsi"/>
          <w:i/>
          <w:color w:val="ABABAB" w:themeColor="text1" w:themeTint="A6"/>
          <w:sz w:val="16"/>
          <w:szCs w:val="16"/>
        </w:rPr>
        <w:t>9.</w:t>
      </w:r>
    </w:p>
    <w:p w14:paraId="73B1DA80" w14:textId="77777777" w:rsidR="008F5C7A" w:rsidRDefault="008F5C7A" w:rsidP="00941871">
      <w:pPr>
        <w:autoSpaceDE w:val="0"/>
        <w:autoSpaceDN w:val="0"/>
        <w:adjustRightInd w:val="0"/>
        <w:spacing w:after="0" w:line="240" w:lineRule="auto"/>
        <w:rPr>
          <w:rFonts w:eastAsia="ArialNarrow" w:cstheme="minorHAnsi"/>
          <w:i/>
          <w:color w:val="ABABAB" w:themeColor="text1" w:themeTint="A6"/>
          <w:sz w:val="16"/>
          <w:szCs w:val="16"/>
        </w:rPr>
      </w:pPr>
    </w:p>
    <w:p w14:paraId="611CE1B0" w14:textId="0E7440E9" w:rsidR="008F5C7A" w:rsidRDefault="008F5C7A" w:rsidP="008F5C7A">
      <w:pPr>
        <w:pStyle w:val="Naslov2"/>
        <w:rPr>
          <w:szCs w:val="26"/>
        </w:rPr>
      </w:pPr>
      <w:bookmarkStart w:id="63" w:name="_Toc85181290"/>
      <w:r>
        <w:t>4.1. Prirodno kretanje stanovništva</w:t>
      </w:r>
      <w:bookmarkEnd w:id="63"/>
      <w:r>
        <w:t xml:space="preserve"> </w:t>
      </w:r>
    </w:p>
    <w:p w14:paraId="7CBB5C29" w14:textId="201C6B05" w:rsidR="008F5C7A" w:rsidRDefault="008F5C7A" w:rsidP="00941871">
      <w:pPr>
        <w:autoSpaceDE w:val="0"/>
        <w:autoSpaceDN w:val="0"/>
        <w:adjustRightInd w:val="0"/>
        <w:spacing w:after="0" w:line="240" w:lineRule="auto"/>
        <w:rPr>
          <w:rFonts w:eastAsia="ArialNarrow" w:cstheme="minorHAnsi"/>
          <w:i/>
          <w:color w:val="ABABAB" w:themeColor="text1" w:themeTint="A6"/>
          <w:sz w:val="16"/>
          <w:szCs w:val="16"/>
        </w:rPr>
      </w:pPr>
    </w:p>
    <w:p w14:paraId="565D5B08" w14:textId="1D253675" w:rsidR="00502E6B" w:rsidRDefault="008518A8" w:rsidP="00941871">
      <w:pPr>
        <w:autoSpaceDE w:val="0"/>
        <w:autoSpaceDN w:val="0"/>
        <w:adjustRightInd w:val="0"/>
        <w:spacing w:after="0" w:line="240" w:lineRule="auto"/>
        <w:rPr>
          <w:rFonts w:eastAsia="ArialNarrow"/>
        </w:rPr>
      </w:pPr>
      <w:r w:rsidRPr="00840888">
        <w:rPr>
          <w:rFonts w:eastAsia="ArialNarrow"/>
        </w:rPr>
        <w:t>Negativan prirodni prirast Krapinsko- zagorske županije prisutan je duži niz godina. Proces depopulacije uzrokovan je upravo višegodišnjim trendom negativnog prirodnog prirasta stanovništva, kao i negativnim migracijskim saldom (više odseljenih nego doseljenih).</w:t>
      </w:r>
      <w:r w:rsidR="00502E6B" w:rsidRPr="00840888">
        <w:rPr>
          <w:rFonts w:eastAsia="ArialNarrow"/>
        </w:rPr>
        <w:t xml:space="preserve"> U Hrvatskoj je u 2019</w:t>
      </w:r>
      <w:r w:rsidR="0051026A" w:rsidRPr="00840888">
        <w:rPr>
          <w:rFonts w:eastAsia="ArialNarrow"/>
        </w:rPr>
        <w:t>.</w:t>
      </w:r>
      <w:r w:rsidR="00502E6B" w:rsidRPr="00840888">
        <w:rPr>
          <w:rFonts w:eastAsia="ArialNarrow"/>
        </w:rPr>
        <w:t xml:space="preserve"> godini umrlo 143 dojenčadi ili 4,1 na 1.000 živorođenih (u 2018. godini 157, odnosno 4,2/1.000). U Krapinsko-zagorskoj županiji stopa infantilnog mortaliteta u 2019. godini iznosi 5,8/1.000.</w:t>
      </w:r>
      <w:r w:rsidR="00502E6B" w:rsidRPr="00B652E5">
        <w:rPr>
          <w:rFonts w:eastAsia="ArialNarrow"/>
          <w:vertAlign w:val="superscript"/>
        </w:rPr>
        <w:footnoteReference w:id="21"/>
      </w:r>
      <w:r w:rsidR="00D763B4" w:rsidRPr="00840888">
        <w:rPr>
          <w:rFonts w:eastAsia="ArialNarrow"/>
        </w:rPr>
        <w:t xml:space="preserve"> </w:t>
      </w:r>
      <w:r w:rsidR="00502E6B" w:rsidRPr="00840888">
        <w:rPr>
          <w:rFonts w:eastAsia="ArialNarrow"/>
        </w:rPr>
        <w:t xml:space="preserve">Razlike među županijama u promatranju infantilnog mortaliteta su značajne, od najniže stope od 0,6/1.000 u Zadarskoj županiji do 11,8/1.000 u Karlovačkoj županiji, dok u Zadarskoj županiji nije bilo umrle dojenčadi. </w:t>
      </w:r>
    </w:p>
    <w:p w14:paraId="1A62CA92" w14:textId="77777777" w:rsidR="005305C1" w:rsidRDefault="005305C1" w:rsidP="00941871">
      <w:pPr>
        <w:autoSpaceDE w:val="0"/>
        <w:autoSpaceDN w:val="0"/>
        <w:adjustRightInd w:val="0"/>
        <w:spacing w:after="0" w:line="240" w:lineRule="auto"/>
        <w:rPr>
          <w:rFonts w:eastAsia="ArialNarrow" w:cstheme="minorHAnsi"/>
        </w:rPr>
      </w:pPr>
    </w:p>
    <w:p w14:paraId="5E0833A0" w14:textId="578C8D1F"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 xml:space="preserve">Tablica </w:t>
      </w:r>
      <w:r w:rsidR="00627AAF">
        <w:rPr>
          <w:rFonts w:eastAsia="ArialNarrow" w:cstheme="minorHAnsi"/>
        </w:rPr>
        <w:t>1</w:t>
      </w:r>
      <w:r w:rsidR="001322DE">
        <w:rPr>
          <w:rFonts w:eastAsia="ArialNarrow" w:cstheme="minorHAnsi"/>
        </w:rPr>
        <w:t>2</w:t>
      </w:r>
      <w:r w:rsidRPr="008518A8">
        <w:rPr>
          <w:rFonts w:eastAsia="ArialNarrow" w:cstheme="minorHAnsi"/>
        </w:rPr>
        <w:t>. Prirodno kretanje stanovništva Krapinsko-zagorske županije 2014.</w:t>
      </w:r>
      <w:r w:rsidR="00627AAF">
        <w:rPr>
          <w:rFonts w:eastAsia="ArialNarrow" w:cstheme="minorHAnsi"/>
        </w:rPr>
        <w:t xml:space="preserve"> - </w:t>
      </w:r>
      <w:r w:rsidRPr="008518A8">
        <w:rPr>
          <w:rFonts w:eastAsia="ArialNarrow" w:cstheme="minorHAnsi"/>
        </w:rPr>
        <w:t>2019.</w:t>
      </w:r>
    </w:p>
    <w:tbl>
      <w:tblPr>
        <w:tblW w:w="9336" w:type="dxa"/>
        <w:tblLook w:val="04A0" w:firstRow="1" w:lastRow="0" w:firstColumn="1" w:lastColumn="0" w:noHBand="0" w:noVBand="1"/>
      </w:tblPr>
      <w:tblGrid>
        <w:gridCol w:w="836"/>
        <w:gridCol w:w="893"/>
        <w:gridCol w:w="1128"/>
        <w:gridCol w:w="1271"/>
        <w:gridCol w:w="888"/>
        <w:gridCol w:w="1000"/>
        <w:gridCol w:w="896"/>
        <w:gridCol w:w="1426"/>
        <w:gridCol w:w="998"/>
      </w:tblGrid>
      <w:tr w:rsidR="008518A8" w:rsidRPr="008518A8" w14:paraId="2EEF82D3" w14:textId="77777777" w:rsidTr="00797AB8">
        <w:trPr>
          <w:trHeight w:val="298"/>
        </w:trPr>
        <w:tc>
          <w:tcPr>
            <w:tcW w:w="836" w:type="dxa"/>
            <w:vMerge w:val="restart"/>
            <w:tcBorders>
              <w:top w:val="single" w:sz="4" w:space="0" w:color="D2232A" w:themeColor="accent1"/>
              <w:left w:val="single" w:sz="4" w:space="0" w:color="D2232A" w:themeColor="accent1"/>
              <w:bottom w:val="single" w:sz="4" w:space="0" w:color="D2232A" w:themeColor="accent1"/>
              <w:right w:val="single" w:sz="4" w:space="0" w:color="D2232A" w:themeColor="accent1"/>
            </w:tcBorders>
            <w:shd w:val="clear" w:color="auto" w:fill="D9D9D9" w:themeFill="background1" w:themeFillShade="D9"/>
            <w:noWrap/>
            <w:vAlign w:val="center"/>
            <w:hideMark/>
          </w:tcPr>
          <w:p w14:paraId="7BB15AD0"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Godina</w:t>
            </w:r>
          </w:p>
        </w:tc>
        <w:tc>
          <w:tcPr>
            <w:tcW w:w="3292" w:type="dxa"/>
            <w:gridSpan w:val="3"/>
            <w:tcBorders>
              <w:top w:val="single" w:sz="4" w:space="0" w:color="D2232A" w:themeColor="accent1"/>
              <w:left w:val="single" w:sz="4" w:space="0" w:color="D2232A" w:themeColor="accent1"/>
              <w:right w:val="single" w:sz="8" w:space="0" w:color="D2232A" w:themeColor="accent1"/>
            </w:tcBorders>
            <w:shd w:val="clear" w:color="auto" w:fill="D2232A" w:themeFill="accent1"/>
            <w:noWrap/>
            <w:vAlign w:val="center"/>
            <w:hideMark/>
          </w:tcPr>
          <w:p w14:paraId="5DF5C7A9" w14:textId="77777777" w:rsidR="008518A8" w:rsidRPr="008518A8" w:rsidRDefault="008518A8" w:rsidP="00797AB8">
            <w:pPr>
              <w:pStyle w:val="Bezproreda"/>
              <w:rPr>
                <w:rFonts w:eastAsia="ArialNarrow" w:cstheme="minorHAnsi"/>
              </w:rPr>
            </w:pPr>
            <w:r w:rsidRPr="00797AB8">
              <w:t>Rođeni</w:t>
            </w:r>
          </w:p>
        </w:tc>
        <w:tc>
          <w:tcPr>
            <w:tcW w:w="1888" w:type="dxa"/>
            <w:gridSpan w:val="2"/>
            <w:tcBorders>
              <w:top w:val="single" w:sz="4" w:space="0" w:color="D2232A" w:themeColor="accent1"/>
              <w:left w:val="single" w:sz="8" w:space="0" w:color="D2232A" w:themeColor="accent1"/>
              <w:bottom w:val="single" w:sz="4" w:space="0" w:color="FFFFFF" w:themeColor="background1"/>
              <w:right w:val="single" w:sz="8" w:space="0" w:color="D2232A" w:themeColor="accent1"/>
            </w:tcBorders>
            <w:shd w:val="clear" w:color="auto" w:fill="E5E5E5" w:themeFill="text1" w:themeFillTint="33"/>
            <w:noWrap/>
            <w:vAlign w:val="center"/>
            <w:hideMark/>
          </w:tcPr>
          <w:p w14:paraId="38F98007" w14:textId="77777777" w:rsidR="008518A8" w:rsidRPr="008518A8" w:rsidRDefault="008518A8" w:rsidP="00502E6B">
            <w:pPr>
              <w:autoSpaceDE w:val="0"/>
              <w:autoSpaceDN w:val="0"/>
              <w:adjustRightInd w:val="0"/>
              <w:spacing w:after="0" w:line="240" w:lineRule="auto"/>
              <w:jc w:val="center"/>
              <w:rPr>
                <w:rFonts w:eastAsia="ArialNarrow" w:cstheme="minorHAnsi"/>
                <w:b/>
              </w:rPr>
            </w:pPr>
            <w:r w:rsidRPr="008518A8">
              <w:rPr>
                <w:rFonts w:eastAsia="ArialNarrow" w:cstheme="minorHAnsi"/>
                <w:b/>
              </w:rPr>
              <w:t>Umrli</w:t>
            </w:r>
          </w:p>
        </w:tc>
        <w:tc>
          <w:tcPr>
            <w:tcW w:w="896" w:type="dxa"/>
            <w:vMerge w:val="restart"/>
            <w:tcBorders>
              <w:top w:val="single" w:sz="4" w:space="0" w:color="D2232A" w:themeColor="accent1"/>
              <w:left w:val="single" w:sz="8" w:space="0" w:color="D2232A" w:themeColor="accent1"/>
              <w:right w:val="single" w:sz="8" w:space="0" w:color="D2232A" w:themeColor="accent1"/>
            </w:tcBorders>
            <w:shd w:val="clear" w:color="auto" w:fill="D2232A" w:themeFill="accent1"/>
            <w:vAlign w:val="center"/>
            <w:hideMark/>
          </w:tcPr>
          <w:p w14:paraId="56B15A05"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Prirodni</w:t>
            </w:r>
          </w:p>
          <w:p w14:paraId="6CD7449C"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prirast</w:t>
            </w:r>
          </w:p>
        </w:tc>
        <w:tc>
          <w:tcPr>
            <w:tcW w:w="1426" w:type="dxa"/>
            <w:vMerge w:val="restart"/>
            <w:tcBorders>
              <w:top w:val="single" w:sz="4" w:space="0" w:color="D2232A" w:themeColor="accent1"/>
              <w:left w:val="single" w:sz="8" w:space="0" w:color="D2232A" w:themeColor="accent1"/>
              <w:right w:val="single" w:sz="8" w:space="0" w:color="D2232A" w:themeColor="accent1"/>
            </w:tcBorders>
            <w:shd w:val="clear" w:color="auto" w:fill="E5E5E5" w:themeFill="text1" w:themeFillTint="33"/>
            <w:vAlign w:val="center"/>
            <w:hideMark/>
          </w:tcPr>
          <w:p w14:paraId="197009DD"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Umrla dojenčad na 1.000 rođenih</w:t>
            </w:r>
          </w:p>
        </w:tc>
        <w:tc>
          <w:tcPr>
            <w:tcW w:w="998" w:type="dxa"/>
            <w:vMerge w:val="restart"/>
            <w:tcBorders>
              <w:top w:val="single" w:sz="4" w:space="0" w:color="D2232A" w:themeColor="accent1"/>
              <w:left w:val="single" w:sz="8" w:space="0" w:color="D2232A" w:themeColor="accent1"/>
              <w:right w:val="single" w:sz="8" w:space="0" w:color="D2232A" w:themeColor="accent1"/>
            </w:tcBorders>
            <w:shd w:val="clear" w:color="auto" w:fill="D2232A" w:themeFill="accent1"/>
            <w:vAlign w:val="center"/>
            <w:hideMark/>
          </w:tcPr>
          <w:p w14:paraId="7A371A0E"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Vitalni indeks</w:t>
            </w:r>
          </w:p>
        </w:tc>
      </w:tr>
      <w:tr w:rsidR="008518A8" w:rsidRPr="008518A8" w14:paraId="7A0EAD68" w14:textId="77777777" w:rsidTr="00797AB8">
        <w:trPr>
          <w:trHeight w:val="298"/>
        </w:trPr>
        <w:tc>
          <w:tcPr>
            <w:tcW w:w="836" w:type="dxa"/>
            <w:vMerge/>
            <w:tcBorders>
              <w:top w:val="single" w:sz="4" w:space="0" w:color="D2232A" w:themeColor="accent1"/>
              <w:left w:val="single" w:sz="4" w:space="0" w:color="D2232A" w:themeColor="accent1"/>
              <w:bottom w:val="single" w:sz="4" w:space="0" w:color="D2232A" w:themeColor="accent1"/>
              <w:right w:val="single" w:sz="4" w:space="0" w:color="D2232A" w:themeColor="accent1"/>
            </w:tcBorders>
            <w:shd w:val="clear" w:color="auto" w:fill="D9D9D9" w:themeFill="background1" w:themeFillShade="D9"/>
            <w:vAlign w:val="center"/>
            <w:hideMark/>
          </w:tcPr>
          <w:p w14:paraId="357A9652" w14:textId="77777777" w:rsidR="008518A8" w:rsidRPr="008518A8" w:rsidRDefault="008518A8" w:rsidP="008518A8">
            <w:pPr>
              <w:autoSpaceDE w:val="0"/>
              <w:autoSpaceDN w:val="0"/>
              <w:adjustRightInd w:val="0"/>
              <w:spacing w:after="0" w:line="240" w:lineRule="auto"/>
              <w:rPr>
                <w:rFonts w:eastAsia="ArialNarrow" w:cstheme="minorHAnsi"/>
              </w:rPr>
            </w:pPr>
          </w:p>
        </w:tc>
        <w:tc>
          <w:tcPr>
            <w:tcW w:w="893" w:type="dxa"/>
            <w:tcBorders>
              <w:top w:val="single" w:sz="4" w:space="0" w:color="FFFFFF" w:themeColor="background1"/>
              <w:left w:val="single" w:sz="4" w:space="0" w:color="D2232A" w:themeColor="accent1"/>
            </w:tcBorders>
            <w:shd w:val="clear" w:color="auto" w:fill="D2232A" w:themeFill="accent1"/>
            <w:noWrap/>
            <w:vAlign w:val="center"/>
            <w:hideMark/>
          </w:tcPr>
          <w:p w14:paraId="3AE58E13"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Ukupno</w:t>
            </w:r>
          </w:p>
        </w:tc>
        <w:tc>
          <w:tcPr>
            <w:tcW w:w="1128" w:type="dxa"/>
            <w:tcBorders>
              <w:top w:val="single" w:sz="4" w:space="0" w:color="FFFFFF" w:themeColor="background1"/>
              <w:right w:val="single" w:sz="4" w:space="0" w:color="FFFFFF" w:themeColor="background1"/>
            </w:tcBorders>
            <w:shd w:val="clear" w:color="auto" w:fill="D2232A" w:themeFill="accent1"/>
            <w:noWrap/>
            <w:vAlign w:val="center"/>
            <w:hideMark/>
          </w:tcPr>
          <w:p w14:paraId="138830EB"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Živorođeni</w:t>
            </w:r>
          </w:p>
        </w:tc>
        <w:tc>
          <w:tcPr>
            <w:tcW w:w="1270" w:type="dxa"/>
            <w:tcBorders>
              <w:top w:val="single" w:sz="4" w:space="0" w:color="FFFFFF" w:themeColor="background1"/>
              <w:left w:val="single" w:sz="4" w:space="0" w:color="FFFFFF" w:themeColor="background1"/>
              <w:right w:val="single" w:sz="8" w:space="0" w:color="D2232A" w:themeColor="accent1"/>
            </w:tcBorders>
            <w:shd w:val="clear" w:color="auto" w:fill="D2232A" w:themeFill="accent1"/>
            <w:noWrap/>
            <w:vAlign w:val="center"/>
            <w:hideMark/>
          </w:tcPr>
          <w:p w14:paraId="6AC95BD2"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Mrtvorođeni</w:t>
            </w:r>
          </w:p>
        </w:tc>
        <w:tc>
          <w:tcPr>
            <w:tcW w:w="888" w:type="dxa"/>
            <w:tcBorders>
              <w:top w:val="single" w:sz="4" w:space="0" w:color="FFFFFF" w:themeColor="background1"/>
              <w:left w:val="single" w:sz="8" w:space="0" w:color="D2232A" w:themeColor="accent1"/>
              <w:right w:val="single" w:sz="4" w:space="0" w:color="FFFFFF" w:themeColor="background1"/>
            </w:tcBorders>
            <w:shd w:val="clear" w:color="auto" w:fill="E5E5E5" w:themeFill="text1" w:themeFillTint="33"/>
            <w:noWrap/>
            <w:vAlign w:val="center"/>
            <w:hideMark/>
          </w:tcPr>
          <w:p w14:paraId="49D466D3"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Ukupno</w:t>
            </w:r>
          </w:p>
        </w:tc>
        <w:tc>
          <w:tcPr>
            <w:tcW w:w="999" w:type="dxa"/>
            <w:tcBorders>
              <w:top w:val="single" w:sz="4" w:space="0" w:color="FFFFFF" w:themeColor="background1"/>
              <w:left w:val="single" w:sz="4" w:space="0" w:color="FFFFFF" w:themeColor="background1"/>
              <w:right w:val="single" w:sz="8" w:space="0" w:color="D2232A" w:themeColor="accent1"/>
            </w:tcBorders>
            <w:shd w:val="clear" w:color="auto" w:fill="E5E5E5" w:themeFill="text1" w:themeFillTint="33"/>
            <w:vAlign w:val="center"/>
            <w:hideMark/>
          </w:tcPr>
          <w:p w14:paraId="747976E7"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Umrla</w:t>
            </w:r>
          </w:p>
          <w:p w14:paraId="72D37C58"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dojenčad</w:t>
            </w:r>
          </w:p>
        </w:tc>
        <w:tc>
          <w:tcPr>
            <w:tcW w:w="896" w:type="dxa"/>
            <w:vMerge/>
            <w:vAlign w:val="center"/>
            <w:hideMark/>
          </w:tcPr>
          <w:p w14:paraId="365622B2" w14:textId="77777777" w:rsidR="008518A8" w:rsidRPr="008518A8" w:rsidRDefault="008518A8" w:rsidP="008518A8">
            <w:pPr>
              <w:autoSpaceDE w:val="0"/>
              <w:autoSpaceDN w:val="0"/>
              <w:adjustRightInd w:val="0"/>
              <w:spacing w:after="0" w:line="240" w:lineRule="auto"/>
              <w:rPr>
                <w:rFonts w:eastAsia="ArialNarrow" w:cstheme="minorHAnsi"/>
              </w:rPr>
            </w:pPr>
          </w:p>
        </w:tc>
        <w:tc>
          <w:tcPr>
            <w:tcW w:w="1426" w:type="dxa"/>
            <w:vMerge/>
            <w:vAlign w:val="center"/>
            <w:hideMark/>
          </w:tcPr>
          <w:p w14:paraId="217DE1B4" w14:textId="77777777" w:rsidR="008518A8" w:rsidRPr="008518A8" w:rsidRDefault="008518A8" w:rsidP="008518A8">
            <w:pPr>
              <w:autoSpaceDE w:val="0"/>
              <w:autoSpaceDN w:val="0"/>
              <w:adjustRightInd w:val="0"/>
              <w:spacing w:after="0" w:line="240" w:lineRule="auto"/>
              <w:rPr>
                <w:rFonts w:eastAsia="ArialNarrow" w:cstheme="minorHAnsi"/>
              </w:rPr>
            </w:pPr>
          </w:p>
        </w:tc>
        <w:tc>
          <w:tcPr>
            <w:tcW w:w="998" w:type="dxa"/>
            <w:vMerge/>
            <w:vAlign w:val="center"/>
            <w:hideMark/>
          </w:tcPr>
          <w:p w14:paraId="75488477" w14:textId="77777777" w:rsidR="008518A8" w:rsidRPr="008518A8" w:rsidRDefault="008518A8" w:rsidP="008518A8">
            <w:pPr>
              <w:autoSpaceDE w:val="0"/>
              <w:autoSpaceDN w:val="0"/>
              <w:adjustRightInd w:val="0"/>
              <w:spacing w:after="0" w:line="240" w:lineRule="auto"/>
              <w:rPr>
                <w:rFonts w:eastAsia="ArialNarrow" w:cstheme="minorHAnsi"/>
              </w:rPr>
            </w:pPr>
          </w:p>
        </w:tc>
      </w:tr>
      <w:tr w:rsidR="008518A8" w:rsidRPr="008518A8" w14:paraId="6004F057" w14:textId="77777777" w:rsidTr="00D82F7B">
        <w:trPr>
          <w:trHeight w:val="298"/>
        </w:trPr>
        <w:tc>
          <w:tcPr>
            <w:tcW w:w="836" w:type="dxa"/>
            <w:tcBorders>
              <w:top w:val="single" w:sz="4" w:space="0" w:color="D2232A" w:themeColor="accent1"/>
              <w:left w:val="single" w:sz="8" w:space="0" w:color="D2232A" w:themeColor="accent1"/>
              <w:bottom w:val="single" w:sz="8" w:space="0" w:color="F3CFC1"/>
              <w:right w:val="single" w:sz="8" w:space="0" w:color="D2232A" w:themeColor="accent1"/>
            </w:tcBorders>
            <w:shd w:val="clear" w:color="auto" w:fill="auto"/>
            <w:noWrap/>
            <w:vAlign w:val="center"/>
            <w:hideMark/>
          </w:tcPr>
          <w:p w14:paraId="201F6971"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2014.</w:t>
            </w:r>
          </w:p>
        </w:tc>
        <w:tc>
          <w:tcPr>
            <w:tcW w:w="893" w:type="dxa"/>
            <w:tcBorders>
              <w:left w:val="single" w:sz="8" w:space="0" w:color="D2232A" w:themeColor="accent1"/>
              <w:bottom w:val="single" w:sz="8" w:space="0" w:color="F3CFC1"/>
            </w:tcBorders>
            <w:shd w:val="clear" w:color="auto" w:fill="auto"/>
            <w:noWrap/>
            <w:vAlign w:val="bottom"/>
            <w:hideMark/>
          </w:tcPr>
          <w:p w14:paraId="701CD4DC"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1.157</w:t>
            </w:r>
          </w:p>
        </w:tc>
        <w:tc>
          <w:tcPr>
            <w:tcW w:w="1128" w:type="dxa"/>
            <w:tcBorders>
              <w:bottom w:val="single" w:sz="8" w:space="0" w:color="F3CFC1"/>
            </w:tcBorders>
            <w:shd w:val="clear" w:color="auto" w:fill="auto"/>
            <w:noWrap/>
            <w:vAlign w:val="bottom"/>
            <w:hideMark/>
          </w:tcPr>
          <w:p w14:paraId="1D1F00B2"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1.153</w:t>
            </w:r>
          </w:p>
        </w:tc>
        <w:tc>
          <w:tcPr>
            <w:tcW w:w="1270" w:type="dxa"/>
            <w:tcBorders>
              <w:bottom w:val="single" w:sz="8" w:space="0" w:color="F3CFC1"/>
              <w:right w:val="single" w:sz="8" w:space="0" w:color="D2232A" w:themeColor="accent1"/>
            </w:tcBorders>
            <w:shd w:val="clear" w:color="auto" w:fill="auto"/>
            <w:noWrap/>
            <w:vAlign w:val="bottom"/>
            <w:hideMark/>
          </w:tcPr>
          <w:p w14:paraId="496A8168"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4</w:t>
            </w:r>
          </w:p>
        </w:tc>
        <w:tc>
          <w:tcPr>
            <w:tcW w:w="888" w:type="dxa"/>
            <w:tcBorders>
              <w:left w:val="single" w:sz="8" w:space="0" w:color="D2232A" w:themeColor="accent1"/>
              <w:bottom w:val="single" w:sz="8" w:space="0" w:color="F3CFC1"/>
            </w:tcBorders>
            <w:shd w:val="clear" w:color="auto" w:fill="auto"/>
            <w:noWrap/>
            <w:vAlign w:val="bottom"/>
            <w:hideMark/>
          </w:tcPr>
          <w:p w14:paraId="15F35D55"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1.868</w:t>
            </w:r>
          </w:p>
        </w:tc>
        <w:tc>
          <w:tcPr>
            <w:tcW w:w="999" w:type="dxa"/>
            <w:tcBorders>
              <w:bottom w:val="single" w:sz="8" w:space="0" w:color="F3CFC1"/>
              <w:right w:val="single" w:sz="8" w:space="0" w:color="D2232A" w:themeColor="accent1"/>
            </w:tcBorders>
            <w:shd w:val="clear" w:color="auto" w:fill="auto"/>
            <w:noWrap/>
            <w:vAlign w:val="bottom"/>
            <w:hideMark/>
          </w:tcPr>
          <w:p w14:paraId="34504498"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4</w:t>
            </w:r>
          </w:p>
        </w:tc>
        <w:tc>
          <w:tcPr>
            <w:tcW w:w="896" w:type="dxa"/>
            <w:tcBorders>
              <w:left w:val="single" w:sz="8" w:space="0" w:color="D2232A" w:themeColor="accent1"/>
              <w:bottom w:val="single" w:sz="8" w:space="0" w:color="F3CFC1"/>
              <w:right w:val="single" w:sz="8" w:space="0" w:color="D2232A" w:themeColor="accent1"/>
            </w:tcBorders>
            <w:shd w:val="clear" w:color="auto" w:fill="auto"/>
            <w:noWrap/>
            <w:vAlign w:val="bottom"/>
            <w:hideMark/>
          </w:tcPr>
          <w:p w14:paraId="06645656"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-715</w:t>
            </w:r>
          </w:p>
        </w:tc>
        <w:tc>
          <w:tcPr>
            <w:tcW w:w="1426" w:type="dxa"/>
            <w:tcBorders>
              <w:left w:val="single" w:sz="8" w:space="0" w:color="D2232A" w:themeColor="accent1"/>
              <w:bottom w:val="single" w:sz="8" w:space="0" w:color="F3CFC1"/>
              <w:right w:val="single" w:sz="8" w:space="0" w:color="D2232A" w:themeColor="accent1"/>
            </w:tcBorders>
            <w:shd w:val="clear" w:color="auto" w:fill="auto"/>
            <w:noWrap/>
            <w:vAlign w:val="bottom"/>
            <w:hideMark/>
          </w:tcPr>
          <w:p w14:paraId="5250CFEC"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3,5</w:t>
            </w:r>
          </w:p>
        </w:tc>
        <w:tc>
          <w:tcPr>
            <w:tcW w:w="998" w:type="dxa"/>
            <w:tcBorders>
              <w:left w:val="single" w:sz="8" w:space="0" w:color="D2232A" w:themeColor="accent1"/>
              <w:bottom w:val="single" w:sz="8" w:space="0" w:color="F3CFC1"/>
              <w:right w:val="single" w:sz="8" w:space="0" w:color="D2232A" w:themeColor="accent1"/>
            </w:tcBorders>
            <w:shd w:val="clear" w:color="auto" w:fill="auto"/>
            <w:noWrap/>
            <w:vAlign w:val="bottom"/>
            <w:hideMark/>
          </w:tcPr>
          <w:p w14:paraId="014570CC"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61,7</w:t>
            </w:r>
          </w:p>
        </w:tc>
      </w:tr>
      <w:tr w:rsidR="008518A8" w:rsidRPr="008518A8" w14:paraId="580C345C" w14:textId="77777777" w:rsidTr="00D82F7B">
        <w:trPr>
          <w:trHeight w:val="298"/>
        </w:trPr>
        <w:tc>
          <w:tcPr>
            <w:tcW w:w="836"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center"/>
            <w:hideMark/>
          </w:tcPr>
          <w:p w14:paraId="38851638"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2015.</w:t>
            </w:r>
          </w:p>
        </w:tc>
        <w:tc>
          <w:tcPr>
            <w:tcW w:w="893" w:type="dxa"/>
            <w:tcBorders>
              <w:top w:val="single" w:sz="8" w:space="0" w:color="F3CFC1"/>
              <w:left w:val="single" w:sz="8" w:space="0" w:color="D2232A" w:themeColor="accent1"/>
              <w:bottom w:val="single" w:sz="8" w:space="0" w:color="F3CFC1"/>
            </w:tcBorders>
            <w:shd w:val="clear" w:color="auto" w:fill="auto"/>
            <w:noWrap/>
            <w:vAlign w:val="bottom"/>
            <w:hideMark/>
          </w:tcPr>
          <w:p w14:paraId="64B234C3"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1.040</w:t>
            </w:r>
          </w:p>
        </w:tc>
        <w:tc>
          <w:tcPr>
            <w:tcW w:w="1128" w:type="dxa"/>
            <w:tcBorders>
              <w:top w:val="single" w:sz="8" w:space="0" w:color="F3CFC1"/>
              <w:bottom w:val="single" w:sz="8" w:space="0" w:color="F3CFC1"/>
            </w:tcBorders>
            <w:shd w:val="clear" w:color="auto" w:fill="auto"/>
            <w:noWrap/>
            <w:vAlign w:val="bottom"/>
            <w:hideMark/>
          </w:tcPr>
          <w:p w14:paraId="239F158D"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1.037</w:t>
            </w:r>
          </w:p>
        </w:tc>
        <w:tc>
          <w:tcPr>
            <w:tcW w:w="1270" w:type="dxa"/>
            <w:tcBorders>
              <w:top w:val="single" w:sz="8" w:space="0" w:color="F3CFC1"/>
              <w:bottom w:val="single" w:sz="8" w:space="0" w:color="F3CFC1"/>
              <w:right w:val="single" w:sz="8" w:space="0" w:color="D2232A" w:themeColor="accent1"/>
            </w:tcBorders>
            <w:shd w:val="clear" w:color="auto" w:fill="auto"/>
            <w:noWrap/>
            <w:vAlign w:val="bottom"/>
            <w:hideMark/>
          </w:tcPr>
          <w:p w14:paraId="290A8D9A"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3</w:t>
            </w:r>
          </w:p>
        </w:tc>
        <w:tc>
          <w:tcPr>
            <w:tcW w:w="888" w:type="dxa"/>
            <w:tcBorders>
              <w:top w:val="single" w:sz="8" w:space="0" w:color="F3CFC1"/>
              <w:left w:val="single" w:sz="8" w:space="0" w:color="D2232A" w:themeColor="accent1"/>
              <w:bottom w:val="single" w:sz="8" w:space="0" w:color="F3CFC1"/>
            </w:tcBorders>
            <w:shd w:val="clear" w:color="auto" w:fill="auto"/>
            <w:noWrap/>
            <w:vAlign w:val="bottom"/>
            <w:hideMark/>
          </w:tcPr>
          <w:p w14:paraId="14E71C72"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1.844</w:t>
            </w:r>
          </w:p>
        </w:tc>
        <w:tc>
          <w:tcPr>
            <w:tcW w:w="999" w:type="dxa"/>
            <w:tcBorders>
              <w:top w:val="single" w:sz="8" w:space="0" w:color="F3CFC1"/>
              <w:bottom w:val="single" w:sz="8" w:space="0" w:color="F3CFC1"/>
              <w:right w:val="single" w:sz="8" w:space="0" w:color="D2232A" w:themeColor="accent1"/>
            </w:tcBorders>
            <w:shd w:val="clear" w:color="auto" w:fill="auto"/>
            <w:noWrap/>
            <w:vAlign w:val="bottom"/>
            <w:hideMark/>
          </w:tcPr>
          <w:p w14:paraId="013B108B"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5</w:t>
            </w:r>
          </w:p>
        </w:tc>
        <w:tc>
          <w:tcPr>
            <w:tcW w:w="896"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bottom"/>
            <w:hideMark/>
          </w:tcPr>
          <w:p w14:paraId="51F650C7"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-807</w:t>
            </w:r>
          </w:p>
        </w:tc>
        <w:tc>
          <w:tcPr>
            <w:tcW w:w="1426"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bottom"/>
            <w:hideMark/>
          </w:tcPr>
          <w:p w14:paraId="7185C98B"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4,8</w:t>
            </w:r>
          </w:p>
        </w:tc>
        <w:tc>
          <w:tcPr>
            <w:tcW w:w="998"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bottom"/>
            <w:hideMark/>
          </w:tcPr>
          <w:p w14:paraId="3491CA57"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56,2</w:t>
            </w:r>
          </w:p>
        </w:tc>
      </w:tr>
      <w:tr w:rsidR="008518A8" w:rsidRPr="008518A8" w14:paraId="6F8E9710" w14:textId="77777777" w:rsidTr="00D82F7B">
        <w:trPr>
          <w:trHeight w:val="298"/>
        </w:trPr>
        <w:tc>
          <w:tcPr>
            <w:tcW w:w="836"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center"/>
            <w:hideMark/>
          </w:tcPr>
          <w:p w14:paraId="67419592"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2016.</w:t>
            </w:r>
          </w:p>
        </w:tc>
        <w:tc>
          <w:tcPr>
            <w:tcW w:w="893" w:type="dxa"/>
            <w:tcBorders>
              <w:top w:val="single" w:sz="8" w:space="0" w:color="F3CFC1"/>
              <w:left w:val="single" w:sz="8" w:space="0" w:color="D2232A" w:themeColor="accent1"/>
              <w:bottom w:val="single" w:sz="8" w:space="0" w:color="F3CFC1"/>
            </w:tcBorders>
            <w:shd w:val="clear" w:color="auto" w:fill="auto"/>
            <w:noWrap/>
            <w:vAlign w:val="bottom"/>
            <w:hideMark/>
          </w:tcPr>
          <w:p w14:paraId="5A13EE4F"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1.055</w:t>
            </w:r>
          </w:p>
        </w:tc>
        <w:tc>
          <w:tcPr>
            <w:tcW w:w="1128" w:type="dxa"/>
            <w:tcBorders>
              <w:top w:val="single" w:sz="8" w:space="0" w:color="F3CFC1"/>
              <w:bottom w:val="single" w:sz="8" w:space="0" w:color="F3CFC1"/>
            </w:tcBorders>
            <w:shd w:val="clear" w:color="auto" w:fill="auto"/>
            <w:noWrap/>
            <w:vAlign w:val="bottom"/>
            <w:hideMark/>
          </w:tcPr>
          <w:p w14:paraId="49AA3898"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1.051</w:t>
            </w:r>
          </w:p>
        </w:tc>
        <w:tc>
          <w:tcPr>
            <w:tcW w:w="1270" w:type="dxa"/>
            <w:tcBorders>
              <w:top w:val="single" w:sz="8" w:space="0" w:color="F3CFC1"/>
              <w:bottom w:val="single" w:sz="8" w:space="0" w:color="F3CFC1"/>
              <w:right w:val="single" w:sz="8" w:space="0" w:color="D2232A" w:themeColor="accent1"/>
            </w:tcBorders>
            <w:shd w:val="clear" w:color="auto" w:fill="auto"/>
            <w:noWrap/>
            <w:vAlign w:val="bottom"/>
            <w:hideMark/>
          </w:tcPr>
          <w:p w14:paraId="224A0EA4"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4</w:t>
            </w:r>
          </w:p>
        </w:tc>
        <w:tc>
          <w:tcPr>
            <w:tcW w:w="888" w:type="dxa"/>
            <w:tcBorders>
              <w:top w:val="single" w:sz="8" w:space="0" w:color="F3CFC1"/>
              <w:left w:val="single" w:sz="8" w:space="0" w:color="D2232A" w:themeColor="accent1"/>
              <w:bottom w:val="single" w:sz="8" w:space="0" w:color="F3CFC1"/>
            </w:tcBorders>
            <w:shd w:val="clear" w:color="auto" w:fill="auto"/>
            <w:noWrap/>
            <w:vAlign w:val="bottom"/>
            <w:hideMark/>
          </w:tcPr>
          <w:p w14:paraId="0E2060E1"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1.834</w:t>
            </w:r>
          </w:p>
        </w:tc>
        <w:tc>
          <w:tcPr>
            <w:tcW w:w="999" w:type="dxa"/>
            <w:tcBorders>
              <w:top w:val="single" w:sz="8" w:space="0" w:color="F3CFC1"/>
              <w:bottom w:val="single" w:sz="8" w:space="0" w:color="F3CFC1"/>
              <w:right w:val="single" w:sz="8" w:space="0" w:color="D2232A" w:themeColor="accent1"/>
            </w:tcBorders>
            <w:shd w:val="clear" w:color="auto" w:fill="auto"/>
            <w:noWrap/>
            <w:vAlign w:val="bottom"/>
            <w:hideMark/>
          </w:tcPr>
          <w:p w14:paraId="0B314D2A"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5</w:t>
            </w:r>
          </w:p>
        </w:tc>
        <w:tc>
          <w:tcPr>
            <w:tcW w:w="896"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bottom"/>
            <w:hideMark/>
          </w:tcPr>
          <w:p w14:paraId="7D6A0B49"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-783</w:t>
            </w:r>
          </w:p>
        </w:tc>
        <w:tc>
          <w:tcPr>
            <w:tcW w:w="1426"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bottom"/>
            <w:hideMark/>
          </w:tcPr>
          <w:p w14:paraId="683FF736"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4,8</w:t>
            </w:r>
          </w:p>
        </w:tc>
        <w:tc>
          <w:tcPr>
            <w:tcW w:w="998"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bottom"/>
            <w:hideMark/>
          </w:tcPr>
          <w:p w14:paraId="78FBD105"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57,3</w:t>
            </w:r>
          </w:p>
        </w:tc>
      </w:tr>
      <w:tr w:rsidR="008518A8" w:rsidRPr="008518A8" w14:paraId="5FF7F10A" w14:textId="77777777" w:rsidTr="00D82F7B">
        <w:trPr>
          <w:trHeight w:val="298"/>
        </w:trPr>
        <w:tc>
          <w:tcPr>
            <w:tcW w:w="836"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center"/>
            <w:hideMark/>
          </w:tcPr>
          <w:p w14:paraId="4C463088"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2017.</w:t>
            </w:r>
          </w:p>
        </w:tc>
        <w:tc>
          <w:tcPr>
            <w:tcW w:w="893" w:type="dxa"/>
            <w:tcBorders>
              <w:top w:val="single" w:sz="8" w:space="0" w:color="F3CFC1"/>
              <w:left w:val="single" w:sz="8" w:space="0" w:color="D2232A" w:themeColor="accent1"/>
              <w:bottom w:val="single" w:sz="8" w:space="0" w:color="F3CFC1"/>
            </w:tcBorders>
            <w:shd w:val="clear" w:color="auto" w:fill="auto"/>
            <w:noWrap/>
            <w:vAlign w:val="bottom"/>
            <w:hideMark/>
          </w:tcPr>
          <w:p w14:paraId="3BC0A4A7"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1.071</w:t>
            </w:r>
          </w:p>
        </w:tc>
        <w:tc>
          <w:tcPr>
            <w:tcW w:w="1128" w:type="dxa"/>
            <w:tcBorders>
              <w:top w:val="single" w:sz="8" w:space="0" w:color="F3CFC1"/>
              <w:bottom w:val="single" w:sz="8" w:space="0" w:color="F3CFC1"/>
            </w:tcBorders>
            <w:shd w:val="clear" w:color="auto" w:fill="auto"/>
            <w:noWrap/>
            <w:vAlign w:val="bottom"/>
            <w:hideMark/>
          </w:tcPr>
          <w:p w14:paraId="68796CF0"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1.068</w:t>
            </w:r>
          </w:p>
        </w:tc>
        <w:tc>
          <w:tcPr>
            <w:tcW w:w="1270" w:type="dxa"/>
            <w:tcBorders>
              <w:top w:val="single" w:sz="8" w:space="0" w:color="F3CFC1"/>
              <w:bottom w:val="single" w:sz="8" w:space="0" w:color="F3CFC1"/>
              <w:right w:val="single" w:sz="8" w:space="0" w:color="D2232A" w:themeColor="accent1"/>
            </w:tcBorders>
            <w:shd w:val="clear" w:color="auto" w:fill="auto"/>
            <w:noWrap/>
            <w:vAlign w:val="bottom"/>
            <w:hideMark/>
          </w:tcPr>
          <w:p w14:paraId="15551DF7"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3</w:t>
            </w:r>
          </w:p>
        </w:tc>
        <w:tc>
          <w:tcPr>
            <w:tcW w:w="888" w:type="dxa"/>
            <w:tcBorders>
              <w:top w:val="single" w:sz="8" w:space="0" w:color="F3CFC1"/>
              <w:left w:val="single" w:sz="8" w:space="0" w:color="D2232A" w:themeColor="accent1"/>
              <w:bottom w:val="single" w:sz="8" w:space="0" w:color="F3CFC1"/>
            </w:tcBorders>
            <w:shd w:val="clear" w:color="auto" w:fill="auto"/>
            <w:noWrap/>
            <w:vAlign w:val="bottom"/>
            <w:hideMark/>
          </w:tcPr>
          <w:p w14:paraId="7D6B39FC"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1.845</w:t>
            </w:r>
          </w:p>
        </w:tc>
        <w:tc>
          <w:tcPr>
            <w:tcW w:w="999" w:type="dxa"/>
            <w:tcBorders>
              <w:top w:val="single" w:sz="8" w:space="0" w:color="F3CFC1"/>
              <w:bottom w:val="single" w:sz="8" w:space="0" w:color="F3CFC1"/>
              <w:right w:val="single" w:sz="8" w:space="0" w:color="D2232A" w:themeColor="accent1"/>
            </w:tcBorders>
            <w:shd w:val="clear" w:color="auto" w:fill="auto"/>
            <w:noWrap/>
            <w:vAlign w:val="bottom"/>
            <w:hideMark/>
          </w:tcPr>
          <w:p w14:paraId="159C6DAA"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w:t>
            </w:r>
          </w:p>
        </w:tc>
        <w:tc>
          <w:tcPr>
            <w:tcW w:w="896"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bottom"/>
            <w:hideMark/>
          </w:tcPr>
          <w:p w14:paraId="2D27C2A3"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-777</w:t>
            </w:r>
          </w:p>
        </w:tc>
        <w:tc>
          <w:tcPr>
            <w:tcW w:w="1426"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bottom"/>
            <w:hideMark/>
          </w:tcPr>
          <w:p w14:paraId="6962C3AD"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0,9</w:t>
            </w:r>
          </w:p>
        </w:tc>
        <w:tc>
          <w:tcPr>
            <w:tcW w:w="998"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vAlign w:val="bottom"/>
            <w:hideMark/>
          </w:tcPr>
          <w:p w14:paraId="0CF9A33C"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57,9</w:t>
            </w:r>
          </w:p>
        </w:tc>
      </w:tr>
      <w:tr w:rsidR="008518A8" w:rsidRPr="008518A8" w14:paraId="0EAE74CA" w14:textId="77777777" w:rsidTr="00D82F7B">
        <w:trPr>
          <w:trHeight w:val="298"/>
        </w:trPr>
        <w:tc>
          <w:tcPr>
            <w:tcW w:w="836" w:type="dxa"/>
            <w:tcBorders>
              <w:top w:val="single" w:sz="8" w:space="0" w:color="F3CFC1"/>
              <w:left w:val="single" w:sz="8" w:space="0" w:color="D2232A" w:themeColor="accent1"/>
              <w:bottom w:val="single" w:sz="4" w:space="0" w:color="D2232A" w:themeColor="accent1"/>
              <w:right w:val="single" w:sz="8" w:space="0" w:color="D2232A" w:themeColor="accent1"/>
            </w:tcBorders>
            <w:shd w:val="clear" w:color="auto" w:fill="auto"/>
            <w:noWrap/>
            <w:vAlign w:val="center"/>
            <w:hideMark/>
          </w:tcPr>
          <w:p w14:paraId="45E6E7F8"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2018.</w:t>
            </w:r>
          </w:p>
        </w:tc>
        <w:tc>
          <w:tcPr>
            <w:tcW w:w="893" w:type="dxa"/>
            <w:tcBorders>
              <w:top w:val="single" w:sz="8" w:space="0" w:color="F3CFC1"/>
              <w:left w:val="single" w:sz="8" w:space="0" w:color="D2232A" w:themeColor="accent1"/>
              <w:bottom w:val="single" w:sz="4" w:space="0" w:color="D2232A" w:themeColor="accent1"/>
            </w:tcBorders>
            <w:shd w:val="clear" w:color="auto" w:fill="auto"/>
            <w:noWrap/>
            <w:vAlign w:val="bottom"/>
            <w:hideMark/>
          </w:tcPr>
          <w:p w14:paraId="465DFF0B"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1.116</w:t>
            </w:r>
          </w:p>
        </w:tc>
        <w:tc>
          <w:tcPr>
            <w:tcW w:w="1128" w:type="dxa"/>
            <w:tcBorders>
              <w:top w:val="single" w:sz="8" w:space="0" w:color="F3CFC1"/>
              <w:bottom w:val="single" w:sz="4" w:space="0" w:color="D2232A" w:themeColor="accent1"/>
            </w:tcBorders>
            <w:shd w:val="clear" w:color="auto" w:fill="auto"/>
            <w:noWrap/>
            <w:vAlign w:val="bottom"/>
            <w:hideMark/>
          </w:tcPr>
          <w:p w14:paraId="1F0E1CB1"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1.110</w:t>
            </w:r>
          </w:p>
        </w:tc>
        <w:tc>
          <w:tcPr>
            <w:tcW w:w="1270" w:type="dxa"/>
            <w:tcBorders>
              <w:top w:val="single" w:sz="8" w:space="0" w:color="F3CFC1"/>
              <w:bottom w:val="single" w:sz="4" w:space="0" w:color="D2232A" w:themeColor="accent1"/>
              <w:right w:val="single" w:sz="8" w:space="0" w:color="D2232A" w:themeColor="accent1"/>
            </w:tcBorders>
            <w:shd w:val="clear" w:color="auto" w:fill="auto"/>
            <w:noWrap/>
            <w:vAlign w:val="bottom"/>
            <w:hideMark/>
          </w:tcPr>
          <w:p w14:paraId="7B6F8804"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6</w:t>
            </w:r>
          </w:p>
        </w:tc>
        <w:tc>
          <w:tcPr>
            <w:tcW w:w="888" w:type="dxa"/>
            <w:tcBorders>
              <w:top w:val="single" w:sz="8" w:space="0" w:color="F3CFC1"/>
              <w:left w:val="single" w:sz="8" w:space="0" w:color="D2232A" w:themeColor="accent1"/>
              <w:bottom w:val="single" w:sz="4" w:space="0" w:color="D2232A" w:themeColor="accent1"/>
            </w:tcBorders>
            <w:shd w:val="clear" w:color="auto" w:fill="auto"/>
            <w:noWrap/>
            <w:vAlign w:val="bottom"/>
            <w:hideMark/>
          </w:tcPr>
          <w:p w14:paraId="00C1F9DE"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1.906</w:t>
            </w:r>
          </w:p>
        </w:tc>
        <w:tc>
          <w:tcPr>
            <w:tcW w:w="999" w:type="dxa"/>
            <w:tcBorders>
              <w:top w:val="single" w:sz="8" w:space="0" w:color="F3CFC1"/>
              <w:bottom w:val="single" w:sz="4" w:space="0" w:color="D2232A" w:themeColor="accent1"/>
              <w:right w:val="single" w:sz="8" w:space="0" w:color="D2232A" w:themeColor="accent1"/>
            </w:tcBorders>
            <w:shd w:val="clear" w:color="auto" w:fill="auto"/>
            <w:noWrap/>
            <w:vAlign w:val="bottom"/>
            <w:hideMark/>
          </w:tcPr>
          <w:p w14:paraId="2C9B693B"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4</w:t>
            </w:r>
          </w:p>
        </w:tc>
        <w:tc>
          <w:tcPr>
            <w:tcW w:w="896" w:type="dxa"/>
            <w:tcBorders>
              <w:top w:val="single" w:sz="8" w:space="0" w:color="F3CFC1"/>
              <w:left w:val="single" w:sz="8" w:space="0" w:color="D2232A" w:themeColor="accent1"/>
              <w:bottom w:val="single" w:sz="4" w:space="0" w:color="D2232A" w:themeColor="accent1"/>
              <w:right w:val="single" w:sz="8" w:space="0" w:color="D2232A" w:themeColor="accent1"/>
            </w:tcBorders>
            <w:shd w:val="clear" w:color="auto" w:fill="auto"/>
            <w:noWrap/>
            <w:vAlign w:val="bottom"/>
            <w:hideMark/>
          </w:tcPr>
          <w:p w14:paraId="6120BD05"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-796</w:t>
            </w:r>
          </w:p>
        </w:tc>
        <w:tc>
          <w:tcPr>
            <w:tcW w:w="1426" w:type="dxa"/>
            <w:tcBorders>
              <w:top w:val="single" w:sz="8" w:space="0" w:color="F3CFC1"/>
              <w:left w:val="single" w:sz="8" w:space="0" w:color="D2232A" w:themeColor="accent1"/>
              <w:bottom w:val="single" w:sz="4" w:space="0" w:color="D2232A" w:themeColor="accent1"/>
              <w:right w:val="single" w:sz="8" w:space="0" w:color="D2232A" w:themeColor="accent1"/>
            </w:tcBorders>
            <w:shd w:val="clear" w:color="auto" w:fill="auto"/>
            <w:noWrap/>
            <w:vAlign w:val="bottom"/>
            <w:hideMark/>
          </w:tcPr>
          <w:p w14:paraId="40006430"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3,6</w:t>
            </w:r>
          </w:p>
        </w:tc>
        <w:tc>
          <w:tcPr>
            <w:tcW w:w="998" w:type="dxa"/>
            <w:tcBorders>
              <w:top w:val="single" w:sz="8" w:space="0" w:color="F3CFC1"/>
              <w:left w:val="single" w:sz="8" w:space="0" w:color="D2232A" w:themeColor="accent1"/>
              <w:bottom w:val="single" w:sz="4" w:space="0" w:color="D2232A" w:themeColor="accent1"/>
              <w:right w:val="single" w:sz="8" w:space="0" w:color="D2232A" w:themeColor="accent1"/>
            </w:tcBorders>
            <w:shd w:val="clear" w:color="auto" w:fill="auto"/>
            <w:noWrap/>
            <w:vAlign w:val="bottom"/>
            <w:hideMark/>
          </w:tcPr>
          <w:p w14:paraId="6A104EDD"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58,2</w:t>
            </w:r>
          </w:p>
        </w:tc>
      </w:tr>
      <w:tr w:rsidR="008518A8" w:rsidRPr="008518A8" w14:paraId="2A0ACBDF" w14:textId="77777777" w:rsidTr="00D82F7B">
        <w:trPr>
          <w:trHeight w:val="298"/>
        </w:trPr>
        <w:tc>
          <w:tcPr>
            <w:tcW w:w="836" w:type="dxa"/>
            <w:tcBorders>
              <w:top w:val="single" w:sz="8" w:space="0" w:color="F3CFC1"/>
              <w:left w:val="single" w:sz="8" w:space="0" w:color="D2232A" w:themeColor="accent1"/>
              <w:bottom w:val="single" w:sz="4" w:space="0" w:color="D2232A" w:themeColor="accent1"/>
              <w:right w:val="single" w:sz="8" w:space="0" w:color="D2232A" w:themeColor="accent1"/>
            </w:tcBorders>
            <w:shd w:val="clear" w:color="auto" w:fill="auto"/>
            <w:noWrap/>
            <w:vAlign w:val="bottom"/>
            <w:hideMark/>
          </w:tcPr>
          <w:p w14:paraId="55C33090"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2019.</w:t>
            </w:r>
          </w:p>
        </w:tc>
        <w:tc>
          <w:tcPr>
            <w:tcW w:w="893" w:type="dxa"/>
            <w:tcBorders>
              <w:top w:val="single" w:sz="8" w:space="0" w:color="F3CFC1"/>
              <w:left w:val="single" w:sz="8" w:space="0" w:color="D2232A" w:themeColor="accent1"/>
              <w:bottom w:val="single" w:sz="4" w:space="0" w:color="D2232A" w:themeColor="accent1"/>
            </w:tcBorders>
            <w:shd w:val="clear" w:color="auto" w:fill="auto"/>
            <w:noWrap/>
            <w:vAlign w:val="bottom"/>
            <w:hideMark/>
          </w:tcPr>
          <w:p w14:paraId="3C2AF395"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1.043</w:t>
            </w:r>
          </w:p>
        </w:tc>
        <w:tc>
          <w:tcPr>
            <w:tcW w:w="1128" w:type="dxa"/>
            <w:tcBorders>
              <w:top w:val="single" w:sz="8" w:space="0" w:color="F3CFC1"/>
              <w:bottom w:val="single" w:sz="4" w:space="0" w:color="D2232A" w:themeColor="accent1"/>
            </w:tcBorders>
            <w:shd w:val="clear" w:color="auto" w:fill="auto"/>
            <w:noWrap/>
            <w:vAlign w:val="bottom"/>
            <w:hideMark/>
          </w:tcPr>
          <w:p w14:paraId="56CF6ADA"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1.035</w:t>
            </w:r>
          </w:p>
        </w:tc>
        <w:tc>
          <w:tcPr>
            <w:tcW w:w="1270" w:type="dxa"/>
            <w:tcBorders>
              <w:top w:val="single" w:sz="8" w:space="0" w:color="F3CFC1"/>
              <w:bottom w:val="single" w:sz="4" w:space="0" w:color="D2232A" w:themeColor="accent1"/>
              <w:right w:val="single" w:sz="8" w:space="0" w:color="D2232A" w:themeColor="accent1"/>
            </w:tcBorders>
            <w:shd w:val="clear" w:color="auto" w:fill="auto"/>
            <w:noWrap/>
            <w:vAlign w:val="bottom"/>
            <w:hideMark/>
          </w:tcPr>
          <w:p w14:paraId="6E431139"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8</w:t>
            </w:r>
          </w:p>
        </w:tc>
        <w:tc>
          <w:tcPr>
            <w:tcW w:w="888" w:type="dxa"/>
            <w:tcBorders>
              <w:top w:val="single" w:sz="8" w:space="0" w:color="F3CFC1"/>
              <w:left w:val="single" w:sz="8" w:space="0" w:color="D2232A" w:themeColor="accent1"/>
              <w:bottom w:val="single" w:sz="4" w:space="0" w:color="D2232A" w:themeColor="accent1"/>
            </w:tcBorders>
            <w:shd w:val="clear" w:color="auto" w:fill="auto"/>
            <w:noWrap/>
            <w:vAlign w:val="bottom"/>
            <w:hideMark/>
          </w:tcPr>
          <w:p w14:paraId="1DF8A45B"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1.725</w:t>
            </w:r>
          </w:p>
        </w:tc>
        <w:tc>
          <w:tcPr>
            <w:tcW w:w="999" w:type="dxa"/>
            <w:tcBorders>
              <w:top w:val="single" w:sz="8" w:space="0" w:color="F3CFC1"/>
              <w:bottom w:val="single" w:sz="4" w:space="0" w:color="D2232A" w:themeColor="accent1"/>
              <w:right w:val="single" w:sz="8" w:space="0" w:color="D2232A" w:themeColor="accent1"/>
            </w:tcBorders>
            <w:shd w:val="clear" w:color="auto" w:fill="auto"/>
            <w:noWrap/>
            <w:vAlign w:val="bottom"/>
            <w:hideMark/>
          </w:tcPr>
          <w:p w14:paraId="66C5F938"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6</w:t>
            </w:r>
          </w:p>
        </w:tc>
        <w:tc>
          <w:tcPr>
            <w:tcW w:w="896" w:type="dxa"/>
            <w:tcBorders>
              <w:top w:val="single" w:sz="8" w:space="0" w:color="F3CFC1"/>
              <w:left w:val="single" w:sz="8" w:space="0" w:color="D2232A" w:themeColor="accent1"/>
              <w:bottom w:val="single" w:sz="4" w:space="0" w:color="D2232A" w:themeColor="accent1"/>
              <w:right w:val="single" w:sz="8" w:space="0" w:color="D2232A" w:themeColor="accent1"/>
            </w:tcBorders>
            <w:shd w:val="clear" w:color="auto" w:fill="auto"/>
            <w:noWrap/>
            <w:vAlign w:val="bottom"/>
            <w:hideMark/>
          </w:tcPr>
          <w:p w14:paraId="53F6C218"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-690</w:t>
            </w:r>
          </w:p>
        </w:tc>
        <w:tc>
          <w:tcPr>
            <w:tcW w:w="1426" w:type="dxa"/>
            <w:tcBorders>
              <w:top w:val="single" w:sz="8" w:space="0" w:color="F3CFC1"/>
              <w:left w:val="single" w:sz="8" w:space="0" w:color="D2232A" w:themeColor="accent1"/>
              <w:bottom w:val="single" w:sz="4" w:space="0" w:color="D2232A" w:themeColor="accent1"/>
              <w:right w:val="single" w:sz="8" w:space="0" w:color="D2232A" w:themeColor="accent1"/>
            </w:tcBorders>
            <w:shd w:val="clear" w:color="auto" w:fill="auto"/>
            <w:noWrap/>
            <w:vAlign w:val="bottom"/>
            <w:hideMark/>
          </w:tcPr>
          <w:p w14:paraId="3C80EA03"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5,8</w:t>
            </w:r>
          </w:p>
        </w:tc>
        <w:tc>
          <w:tcPr>
            <w:tcW w:w="998" w:type="dxa"/>
            <w:tcBorders>
              <w:top w:val="single" w:sz="8" w:space="0" w:color="F3CFC1"/>
              <w:left w:val="single" w:sz="8" w:space="0" w:color="D2232A" w:themeColor="accent1"/>
              <w:bottom w:val="single" w:sz="4" w:space="0" w:color="D2232A" w:themeColor="accent1"/>
              <w:right w:val="single" w:sz="8" w:space="0" w:color="D2232A" w:themeColor="accent1"/>
            </w:tcBorders>
            <w:shd w:val="clear" w:color="auto" w:fill="auto"/>
            <w:noWrap/>
            <w:vAlign w:val="bottom"/>
            <w:hideMark/>
          </w:tcPr>
          <w:p w14:paraId="389E4005" w14:textId="77777777" w:rsidR="008518A8" w:rsidRPr="008518A8" w:rsidRDefault="008518A8" w:rsidP="008518A8">
            <w:pPr>
              <w:autoSpaceDE w:val="0"/>
              <w:autoSpaceDN w:val="0"/>
              <w:adjustRightInd w:val="0"/>
              <w:spacing w:after="0" w:line="240" w:lineRule="auto"/>
              <w:rPr>
                <w:rFonts w:eastAsia="ArialNarrow" w:cstheme="minorHAnsi"/>
              </w:rPr>
            </w:pPr>
            <w:r w:rsidRPr="008518A8">
              <w:rPr>
                <w:rFonts w:eastAsia="ArialNarrow" w:cstheme="minorHAnsi"/>
              </w:rPr>
              <w:t>60,0</w:t>
            </w:r>
          </w:p>
        </w:tc>
      </w:tr>
    </w:tbl>
    <w:p w14:paraId="7B3BEB7F" w14:textId="77777777" w:rsidR="008518A8" w:rsidRPr="008518A8" w:rsidRDefault="008518A8" w:rsidP="008518A8">
      <w:pPr>
        <w:autoSpaceDE w:val="0"/>
        <w:autoSpaceDN w:val="0"/>
        <w:adjustRightInd w:val="0"/>
        <w:spacing w:after="0" w:line="240" w:lineRule="auto"/>
        <w:rPr>
          <w:rFonts w:eastAsia="ArialNarrow" w:cstheme="minorHAnsi"/>
          <w:i/>
          <w:color w:val="ABABAB" w:themeColor="text1" w:themeTint="A6"/>
          <w:sz w:val="16"/>
          <w:szCs w:val="16"/>
        </w:rPr>
      </w:pPr>
      <w:r w:rsidRPr="008518A8">
        <w:rPr>
          <w:rFonts w:eastAsia="ArialNarrow" w:cstheme="minorHAnsi"/>
          <w:i/>
          <w:color w:val="ABABAB" w:themeColor="text1" w:themeTint="A6"/>
          <w:sz w:val="16"/>
          <w:szCs w:val="16"/>
        </w:rPr>
        <w:t>Izvor: DZS, Prirodno kretanje stanovništva Republike Hrvatske u 2018./ 2019.</w:t>
      </w:r>
    </w:p>
    <w:p w14:paraId="583C38AB" w14:textId="68FEA3CC" w:rsidR="008518A8" w:rsidRDefault="008518A8" w:rsidP="00941871">
      <w:pPr>
        <w:autoSpaceDE w:val="0"/>
        <w:autoSpaceDN w:val="0"/>
        <w:adjustRightInd w:val="0"/>
        <w:spacing w:after="0" w:line="240" w:lineRule="auto"/>
        <w:rPr>
          <w:rFonts w:eastAsia="ArialNarrow" w:cstheme="minorHAnsi"/>
          <w:i/>
          <w:color w:val="ABABAB" w:themeColor="text1" w:themeTint="A6"/>
          <w:sz w:val="16"/>
          <w:szCs w:val="16"/>
        </w:rPr>
      </w:pPr>
    </w:p>
    <w:p w14:paraId="0BDECA70" w14:textId="79592265" w:rsidR="00502E6B" w:rsidRPr="008F5A72" w:rsidRDefault="00D763B4" w:rsidP="00941871">
      <w:pPr>
        <w:autoSpaceDE w:val="0"/>
        <w:autoSpaceDN w:val="0"/>
        <w:adjustRightInd w:val="0"/>
        <w:spacing w:after="0" w:line="240" w:lineRule="auto"/>
        <w:rPr>
          <w:rFonts w:eastAsia="ArialNarrow"/>
        </w:rPr>
      </w:pPr>
      <w:r w:rsidRPr="008F5A72">
        <w:rPr>
          <w:rFonts w:eastAsia="ArialNarrow"/>
        </w:rPr>
        <w:t>Bitan pokazatelj prirodne dinamike stanovništva je vitalni indeks. Prema podacima DZS-a za 2019. godinu vitalni indeks za Krapinsko-zagorsku županiju se povećao s 58,2 % na 60,0%</w:t>
      </w:r>
      <w:r w:rsidRPr="00B652E5">
        <w:rPr>
          <w:rFonts w:eastAsia="ArialNarrow"/>
          <w:vertAlign w:val="superscript"/>
        </w:rPr>
        <w:footnoteReference w:id="22"/>
      </w:r>
      <w:r w:rsidRPr="00B652E5">
        <w:rPr>
          <w:rFonts w:eastAsia="ArialNarrow"/>
          <w:vertAlign w:val="superscript"/>
        </w:rPr>
        <w:t>,</w:t>
      </w:r>
      <w:r w:rsidRPr="008F5A72">
        <w:rPr>
          <w:rFonts w:eastAsia="ArialNarrow"/>
        </w:rPr>
        <w:t xml:space="preserve"> što odražava nepovoljno demografsko stanje jer na 60 živorođene djece dolazi 100 umrlih stanovnika. Generalno, vitalni indeks na području Republike Hrvatske je u padu što znači da više ljudi umire nego se rađa. </w:t>
      </w:r>
    </w:p>
    <w:p w14:paraId="58A818CE" w14:textId="77777777" w:rsidR="00D82F7B" w:rsidRDefault="00D82F7B" w:rsidP="00941871">
      <w:pPr>
        <w:autoSpaceDE w:val="0"/>
        <w:autoSpaceDN w:val="0"/>
        <w:adjustRightInd w:val="0"/>
        <w:spacing w:after="0" w:line="240" w:lineRule="auto"/>
        <w:rPr>
          <w:rFonts w:eastAsia="ArialNarrow"/>
        </w:rPr>
      </w:pPr>
    </w:p>
    <w:p w14:paraId="39DB5BDD" w14:textId="55ED0E22" w:rsidR="00D82F7B" w:rsidRPr="00D82F7B" w:rsidRDefault="00D82F7B" w:rsidP="00941871">
      <w:pPr>
        <w:autoSpaceDE w:val="0"/>
        <w:autoSpaceDN w:val="0"/>
        <w:adjustRightInd w:val="0"/>
        <w:spacing w:after="0" w:line="240" w:lineRule="auto"/>
        <w:rPr>
          <w:rFonts w:eastAsia="ArialNarrow" w:cstheme="minorHAnsi"/>
          <w:color w:val="FF0000"/>
        </w:rPr>
      </w:pPr>
      <w:r w:rsidRPr="4E193667">
        <w:rPr>
          <w:rFonts w:eastAsia="ArialNarrow"/>
        </w:rPr>
        <w:t>Stopa nataliteta na području Krapinsko-zagorske županije u periodu 2014. – 201</w:t>
      </w:r>
      <w:r w:rsidR="0051026A">
        <w:rPr>
          <w:rFonts w:eastAsia="ArialNarrow"/>
        </w:rPr>
        <w:t>9</w:t>
      </w:r>
      <w:r w:rsidRPr="4E193667">
        <w:rPr>
          <w:rFonts w:eastAsia="ArialNarrow"/>
        </w:rPr>
        <w:t>. uglavnom je imala trend pada sve do 2018. godine</w:t>
      </w:r>
      <w:r w:rsidR="00EC40DA">
        <w:rPr>
          <w:rFonts w:eastAsia="ArialNarrow"/>
        </w:rPr>
        <w:t>,</w:t>
      </w:r>
      <w:r w:rsidRPr="4E193667">
        <w:rPr>
          <w:rFonts w:eastAsia="ArialNarrow"/>
        </w:rPr>
        <w:t xml:space="preserve"> kada se povećala na razinu s početka promatranog razdoblja</w:t>
      </w:r>
      <w:r>
        <w:rPr>
          <w:rFonts w:eastAsia="ArialNarrow"/>
        </w:rPr>
        <w:t xml:space="preserve">, </w:t>
      </w:r>
      <w:r w:rsidRPr="00B044F9">
        <w:rPr>
          <w:rFonts w:eastAsia="ArialNarrow"/>
        </w:rPr>
        <w:t>no u 2019. godini ponovo se smanjila te iznosi 8,3 promila</w:t>
      </w:r>
      <w:r>
        <w:rPr>
          <w:rFonts w:eastAsia="ArialNarrow"/>
        </w:rPr>
        <w:t>.</w:t>
      </w:r>
      <w:r w:rsidR="00D763B4" w:rsidRPr="00D763B4">
        <w:rPr>
          <w:rFonts w:eastAsia="ArialNarrow"/>
        </w:rPr>
        <w:t xml:space="preserve"> Višegodišnji trend pada nataliteta, s povremenim oscilacijama, prisutan je u cijeloj Europi, a usporedba s prosjekom Europske </w:t>
      </w:r>
      <w:r w:rsidR="00D763B4" w:rsidRPr="00D763B4">
        <w:rPr>
          <w:rFonts w:eastAsia="ArialNarrow"/>
        </w:rPr>
        <w:lastRenderedPageBreak/>
        <w:t>Unije (9,5 u 2019.</w:t>
      </w:r>
      <w:r w:rsidR="00D763B4" w:rsidRPr="00D763B4">
        <w:rPr>
          <w:rFonts w:eastAsia="ArialNarrow"/>
          <w:vertAlign w:val="superscript"/>
        </w:rPr>
        <w:footnoteReference w:id="23"/>
      </w:r>
      <w:r w:rsidR="00D763B4" w:rsidRPr="00D763B4">
        <w:rPr>
          <w:rFonts w:eastAsia="ArialNarrow"/>
        </w:rPr>
        <w:t>) pokazuje da Krapinsko-zagorska županija ima nešto nižu stopu nataliteta, kao i Republika Hrvatska (8,9 u 2019. godini).</w:t>
      </w:r>
    </w:p>
    <w:p w14:paraId="5B30E10C" w14:textId="7D365D33" w:rsidR="00502E6B" w:rsidRPr="002A43B0" w:rsidRDefault="00502E6B" w:rsidP="00941871">
      <w:pPr>
        <w:autoSpaceDE w:val="0"/>
        <w:autoSpaceDN w:val="0"/>
        <w:adjustRightInd w:val="0"/>
        <w:spacing w:after="0" w:line="240" w:lineRule="auto"/>
        <w:rPr>
          <w:rFonts w:eastAsia="ArialNarrow"/>
        </w:rPr>
      </w:pPr>
    </w:p>
    <w:p w14:paraId="0F846500" w14:textId="2F7E221A" w:rsidR="00502E6B" w:rsidRDefault="00502E6B" w:rsidP="003E3F3C">
      <w:pPr>
        <w:pStyle w:val="Opisslike"/>
        <w:rPr>
          <w:noProof/>
        </w:rPr>
      </w:pPr>
      <w:r>
        <w:t xml:space="preserve">Tablica </w:t>
      </w:r>
      <w:r w:rsidR="00627AAF">
        <w:rPr>
          <w:noProof/>
        </w:rPr>
        <w:t>1</w:t>
      </w:r>
      <w:r w:rsidR="00D3501C">
        <w:rPr>
          <w:noProof/>
        </w:rPr>
        <w:t>3</w:t>
      </w:r>
      <w:r w:rsidRPr="4E193667">
        <w:rPr>
          <w:noProof/>
        </w:rPr>
        <w:t>. Stopa nataliteta i mortaliteta Krapinsko-zagorske</w:t>
      </w:r>
      <w:r w:rsidRPr="4E193667">
        <w:rPr>
          <w:rFonts w:eastAsia="Newslab" w:cs="Newslab"/>
          <w:noProof/>
        </w:rPr>
        <w:t xml:space="preserve"> županije</w:t>
      </w:r>
      <w:r w:rsidRPr="4E193667">
        <w:rPr>
          <w:noProof/>
        </w:rPr>
        <w:t xml:space="preserve"> i Republike Hrvatske</w:t>
      </w:r>
      <w:r w:rsidR="0051026A">
        <w:rPr>
          <w:noProof/>
        </w:rPr>
        <w:t xml:space="preserve"> 2014.</w:t>
      </w:r>
      <w:r w:rsidR="00627AAF">
        <w:rPr>
          <w:noProof/>
        </w:rPr>
        <w:t xml:space="preserve"> - </w:t>
      </w:r>
      <w:r w:rsidR="0051026A">
        <w:rPr>
          <w:noProof/>
        </w:rPr>
        <w:t xml:space="preserve">2019. </w:t>
      </w:r>
    </w:p>
    <w:tbl>
      <w:tblPr>
        <w:tblW w:w="9274" w:type="dxa"/>
        <w:shd w:val="clear" w:color="auto" w:fill="D2232A"/>
        <w:tblLook w:val="04A0" w:firstRow="1" w:lastRow="0" w:firstColumn="1" w:lastColumn="0" w:noHBand="0" w:noVBand="1"/>
      </w:tblPr>
      <w:tblGrid>
        <w:gridCol w:w="981"/>
        <w:gridCol w:w="2058"/>
        <w:gridCol w:w="2175"/>
        <w:gridCol w:w="2175"/>
        <w:gridCol w:w="1885"/>
      </w:tblGrid>
      <w:tr w:rsidR="00502E6B" w:rsidRPr="00320606" w14:paraId="7BE15020" w14:textId="77777777" w:rsidTr="00797AB8">
        <w:trPr>
          <w:trHeight w:val="283"/>
          <w:tblHeader/>
        </w:trPr>
        <w:tc>
          <w:tcPr>
            <w:tcW w:w="981" w:type="dxa"/>
            <w:vMerge w:val="restart"/>
            <w:tcBorders>
              <w:top w:val="single" w:sz="4" w:space="0" w:color="D2232A" w:themeColor="accent1"/>
              <w:left w:val="single" w:sz="4" w:space="0" w:color="D2232A" w:themeColor="accent1"/>
              <w:bottom w:val="single" w:sz="4" w:space="0" w:color="D2232A" w:themeColor="accent1"/>
              <w:right w:val="single" w:sz="4" w:space="0" w:color="D2232A" w:themeColor="accent1"/>
            </w:tcBorders>
            <w:shd w:val="clear" w:color="auto" w:fill="D9D9D9" w:themeFill="background1" w:themeFillShade="D9"/>
            <w:noWrap/>
            <w:vAlign w:val="center"/>
          </w:tcPr>
          <w:p w14:paraId="1A9BA4F1" w14:textId="41CC2A1A" w:rsidR="00502E6B" w:rsidRPr="00797AB8" w:rsidRDefault="00502E6B" w:rsidP="00797AB8">
            <w:pPr>
              <w:autoSpaceDE w:val="0"/>
              <w:autoSpaceDN w:val="0"/>
              <w:adjustRightInd w:val="0"/>
              <w:spacing w:after="0" w:line="240" w:lineRule="auto"/>
              <w:rPr>
                <w:rFonts w:eastAsia="ArialNarrow" w:cstheme="minorHAnsi"/>
              </w:rPr>
            </w:pPr>
            <w:r w:rsidRPr="00797AB8">
              <w:rPr>
                <w:rFonts w:eastAsia="ArialNarrow" w:cstheme="minorHAnsi"/>
              </w:rPr>
              <w:t>Godina</w:t>
            </w:r>
          </w:p>
        </w:tc>
        <w:tc>
          <w:tcPr>
            <w:tcW w:w="4233" w:type="dxa"/>
            <w:gridSpan w:val="2"/>
            <w:tcBorders>
              <w:top w:val="single" w:sz="8" w:space="0" w:color="D2232A" w:themeColor="accent1"/>
              <w:left w:val="single" w:sz="4" w:space="0" w:color="D2232A" w:themeColor="accent1"/>
            </w:tcBorders>
            <w:shd w:val="clear" w:color="auto" w:fill="D9D9D9" w:themeFill="background1" w:themeFillShade="D9"/>
            <w:noWrap/>
            <w:vAlign w:val="center"/>
          </w:tcPr>
          <w:p w14:paraId="60137702" w14:textId="77777777" w:rsidR="00502E6B" w:rsidRPr="00943C1F" w:rsidRDefault="00502E6B" w:rsidP="00502E6B">
            <w:pPr>
              <w:spacing w:after="0" w:line="240" w:lineRule="auto"/>
              <w:jc w:val="center"/>
              <w:rPr>
                <w:rFonts w:eastAsia="Times New Roman" w:cstheme="minorHAnsi"/>
                <w:b/>
                <w:sz w:val="20"/>
                <w:lang w:eastAsia="hr-HR"/>
              </w:rPr>
            </w:pPr>
            <w:r w:rsidRPr="00943C1F">
              <w:rPr>
                <w:b/>
              </w:rPr>
              <w:t>KRAPINSKO-ZAGORSKA ŽUPANIJA</w:t>
            </w:r>
          </w:p>
        </w:tc>
        <w:tc>
          <w:tcPr>
            <w:tcW w:w="4060" w:type="dxa"/>
            <w:gridSpan w:val="2"/>
            <w:tcBorders>
              <w:top w:val="single" w:sz="8" w:space="0" w:color="D2232A" w:themeColor="accent1"/>
              <w:left w:val="nil"/>
              <w:right w:val="single" w:sz="8" w:space="0" w:color="D2232A" w:themeColor="accent1"/>
            </w:tcBorders>
            <w:shd w:val="clear" w:color="auto" w:fill="D9D9D9" w:themeFill="background1" w:themeFillShade="D9"/>
            <w:noWrap/>
            <w:vAlign w:val="center"/>
          </w:tcPr>
          <w:p w14:paraId="65C9702D" w14:textId="77777777" w:rsidR="00502E6B" w:rsidRPr="00943C1F" w:rsidRDefault="00502E6B" w:rsidP="00502E6B">
            <w:pPr>
              <w:spacing w:after="0" w:line="240" w:lineRule="auto"/>
              <w:jc w:val="center"/>
              <w:rPr>
                <w:rFonts w:eastAsia="Times New Roman" w:cstheme="minorHAnsi"/>
                <w:b/>
                <w:color w:val="7F7F7F" w:themeColor="text1"/>
                <w:sz w:val="20"/>
                <w:lang w:eastAsia="hr-HR"/>
              </w:rPr>
            </w:pPr>
            <w:r w:rsidRPr="007F2B15">
              <w:rPr>
                <w:b/>
              </w:rPr>
              <w:t>REPUBLIKA HRVATSKA</w:t>
            </w:r>
          </w:p>
        </w:tc>
      </w:tr>
      <w:tr w:rsidR="00502E6B" w:rsidRPr="00320606" w14:paraId="652F8331" w14:textId="77777777" w:rsidTr="00797AB8">
        <w:trPr>
          <w:trHeight w:val="283"/>
          <w:tblHeader/>
        </w:trPr>
        <w:tc>
          <w:tcPr>
            <w:tcW w:w="981" w:type="dxa"/>
            <w:vMerge/>
            <w:tcBorders>
              <w:top w:val="single" w:sz="4" w:space="0" w:color="D2232A" w:themeColor="accent1"/>
              <w:left w:val="single" w:sz="4" w:space="0" w:color="D2232A" w:themeColor="accent1"/>
              <w:bottom w:val="single" w:sz="4" w:space="0" w:color="D2232A" w:themeColor="accent1"/>
              <w:right w:val="single" w:sz="4" w:space="0" w:color="D2232A" w:themeColor="accent1"/>
            </w:tcBorders>
            <w:shd w:val="clear" w:color="auto" w:fill="D9D9D9" w:themeFill="background1" w:themeFillShade="D9"/>
            <w:vAlign w:val="center"/>
          </w:tcPr>
          <w:p w14:paraId="0DCBDD67" w14:textId="77777777" w:rsidR="00502E6B" w:rsidRPr="00320606" w:rsidRDefault="00502E6B" w:rsidP="00502E6B">
            <w:pPr>
              <w:spacing w:after="0"/>
              <w:rPr>
                <w:rFonts w:eastAsia="Times New Roman" w:cstheme="minorHAnsi"/>
                <w:b/>
                <w:color w:val="FFFFFF"/>
                <w:sz w:val="20"/>
                <w:lang w:eastAsia="hr-HR"/>
              </w:rPr>
            </w:pPr>
          </w:p>
        </w:tc>
        <w:tc>
          <w:tcPr>
            <w:tcW w:w="2058" w:type="dxa"/>
            <w:tcBorders>
              <w:left w:val="single" w:sz="4" w:space="0" w:color="D2232A" w:themeColor="accent1"/>
              <w:bottom w:val="single" w:sz="8" w:space="0" w:color="F3CFC1"/>
            </w:tcBorders>
            <w:shd w:val="clear" w:color="auto" w:fill="D2232A" w:themeFill="accent1"/>
            <w:vAlign w:val="center"/>
          </w:tcPr>
          <w:p w14:paraId="60F982F8" w14:textId="77777777" w:rsidR="00502E6B" w:rsidRPr="00320606" w:rsidRDefault="00502E6B" w:rsidP="00797AB8">
            <w:pPr>
              <w:pStyle w:val="Bezproreda"/>
            </w:pPr>
            <w:r w:rsidRPr="00320606">
              <w:t>Stopa nataliteta</w:t>
            </w:r>
          </w:p>
        </w:tc>
        <w:tc>
          <w:tcPr>
            <w:tcW w:w="2175" w:type="dxa"/>
            <w:tcBorders>
              <w:left w:val="nil"/>
              <w:bottom w:val="single" w:sz="8" w:space="0" w:color="F3CFC1"/>
            </w:tcBorders>
            <w:shd w:val="clear" w:color="auto" w:fill="D2232A" w:themeFill="accent1"/>
            <w:vAlign w:val="center"/>
          </w:tcPr>
          <w:p w14:paraId="5F225A08" w14:textId="77777777" w:rsidR="00502E6B" w:rsidRPr="00320606" w:rsidRDefault="00502E6B" w:rsidP="00797AB8">
            <w:pPr>
              <w:pStyle w:val="Bezproreda"/>
            </w:pPr>
            <w:r w:rsidRPr="00320606">
              <w:t>Stopa mortaliteta</w:t>
            </w:r>
          </w:p>
        </w:tc>
        <w:tc>
          <w:tcPr>
            <w:tcW w:w="2175" w:type="dxa"/>
            <w:tcBorders>
              <w:left w:val="nil"/>
              <w:bottom w:val="single" w:sz="8" w:space="0" w:color="F3CFC1"/>
            </w:tcBorders>
            <w:shd w:val="clear" w:color="auto" w:fill="D2232A" w:themeFill="accent1"/>
            <w:vAlign w:val="center"/>
          </w:tcPr>
          <w:p w14:paraId="43E4BB00" w14:textId="77777777" w:rsidR="00502E6B" w:rsidRPr="00320606" w:rsidRDefault="00502E6B" w:rsidP="00797AB8">
            <w:pPr>
              <w:pStyle w:val="Bezproreda"/>
            </w:pPr>
            <w:r w:rsidRPr="00320606">
              <w:t>Stopa</w:t>
            </w:r>
          </w:p>
          <w:p w14:paraId="38E6BD87" w14:textId="77777777" w:rsidR="00502E6B" w:rsidRPr="00320606" w:rsidRDefault="00502E6B" w:rsidP="00797AB8">
            <w:pPr>
              <w:pStyle w:val="Bezproreda"/>
            </w:pPr>
            <w:r>
              <w:t>n</w:t>
            </w:r>
            <w:r w:rsidRPr="00320606">
              <w:t>ataliteta</w:t>
            </w:r>
          </w:p>
        </w:tc>
        <w:tc>
          <w:tcPr>
            <w:tcW w:w="1885" w:type="dxa"/>
            <w:tcBorders>
              <w:left w:val="nil"/>
              <w:bottom w:val="single" w:sz="8" w:space="0" w:color="F3CFC1"/>
              <w:right w:val="single" w:sz="8" w:space="0" w:color="D2232A" w:themeColor="accent1"/>
            </w:tcBorders>
            <w:shd w:val="clear" w:color="auto" w:fill="D2232A" w:themeFill="accent1"/>
            <w:vAlign w:val="center"/>
          </w:tcPr>
          <w:p w14:paraId="0701A54F" w14:textId="77777777" w:rsidR="00502E6B" w:rsidRPr="00320606" w:rsidRDefault="00502E6B" w:rsidP="00797AB8">
            <w:pPr>
              <w:pStyle w:val="Bezproreda"/>
            </w:pPr>
            <w:r w:rsidRPr="00320606">
              <w:t>Stopa mortaliteta</w:t>
            </w:r>
          </w:p>
        </w:tc>
      </w:tr>
      <w:tr w:rsidR="00502E6B" w:rsidRPr="00320606" w14:paraId="6D9DAFE8" w14:textId="77777777" w:rsidTr="0000334E">
        <w:trPr>
          <w:trHeight w:val="283"/>
        </w:trPr>
        <w:tc>
          <w:tcPr>
            <w:tcW w:w="981" w:type="dxa"/>
            <w:tcBorders>
              <w:top w:val="single" w:sz="4" w:space="0" w:color="D2232A" w:themeColor="accent1"/>
              <w:left w:val="single" w:sz="8" w:space="0" w:color="D2232A" w:themeColor="accent1"/>
              <w:bottom w:val="single" w:sz="8" w:space="0" w:color="F3CFC1"/>
              <w:right w:val="single" w:sz="8" w:space="0" w:color="D2232A" w:themeColor="accent1"/>
            </w:tcBorders>
            <w:shd w:val="clear" w:color="auto" w:fill="auto"/>
            <w:noWrap/>
          </w:tcPr>
          <w:p w14:paraId="6AC8D12E" w14:textId="77777777" w:rsidR="00502E6B" w:rsidRPr="00320606" w:rsidRDefault="00502E6B" w:rsidP="00502E6B">
            <w:pPr>
              <w:spacing w:after="0"/>
              <w:rPr>
                <w:b/>
                <w:bCs/>
              </w:rPr>
            </w:pPr>
            <w:r w:rsidRPr="4E193667">
              <w:rPr>
                <w:b/>
                <w:bCs/>
              </w:rPr>
              <w:t>2014.</w:t>
            </w:r>
          </w:p>
        </w:tc>
        <w:tc>
          <w:tcPr>
            <w:tcW w:w="2058" w:type="dxa"/>
            <w:tcBorders>
              <w:top w:val="single" w:sz="8" w:space="0" w:color="F3CFC1"/>
              <w:left w:val="single" w:sz="8" w:space="0" w:color="D2232A" w:themeColor="accent1"/>
              <w:bottom w:val="single" w:sz="8" w:space="0" w:color="F3CFC1"/>
            </w:tcBorders>
            <w:shd w:val="clear" w:color="auto" w:fill="auto"/>
            <w:noWrap/>
            <w:vAlign w:val="center"/>
          </w:tcPr>
          <w:p w14:paraId="350DBE82" w14:textId="77777777" w:rsidR="00502E6B" w:rsidRPr="00473BE1" w:rsidRDefault="00502E6B" w:rsidP="00797AB8">
            <w:pPr>
              <w:spacing w:after="0"/>
              <w:jc w:val="center"/>
              <w:rPr>
                <w:rFonts w:cstheme="minorHAnsi"/>
                <w:color w:val="000000"/>
                <w:lang w:eastAsia="hr-HR"/>
              </w:rPr>
            </w:pPr>
            <w:r w:rsidRPr="00473BE1">
              <w:rPr>
                <w:rFonts w:cstheme="minorHAnsi"/>
                <w:color w:val="000000"/>
                <w:lang w:eastAsia="hr-HR"/>
              </w:rPr>
              <w:t>8,9</w:t>
            </w:r>
          </w:p>
        </w:tc>
        <w:tc>
          <w:tcPr>
            <w:tcW w:w="2175" w:type="dxa"/>
            <w:tcBorders>
              <w:top w:val="single" w:sz="8" w:space="0" w:color="F3CFC1"/>
              <w:left w:val="nil"/>
              <w:bottom w:val="single" w:sz="8" w:space="0" w:color="F3CFC1"/>
              <w:right w:val="single" w:sz="8" w:space="0" w:color="D2232A" w:themeColor="accent1"/>
            </w:tcBorders>
            <w:shd w:val="clear" w:color="auto" w:fill="auto"/>
            <w:noWrap/>
            <w:vAlign w:val="center"/>
          </w:tcPr>
          <w:p w14:paraId="6B52512C" w14:textId="77777777" w:rsidR="00502E6B" w:rsidRPr="00473BE1" w:rsidRDefault="00502E6B" w:rsidP="00797AB8">
            <w:pPr>
              <w:spacing w:after="0"/>
              <w:jc w:val="center"/>
              <w:rPr>
                <w:rFonts w:cstheme="minorHAnsi"/>
                <w:color w:val="000000"/>
                <w:lang w:eastAsia="hr-HR"/>
              </w:rPr>
            </w:pPr>
            <w:r w:rsidRPr="00473BE1">
              <w:rPr>
                <w:rFonts w:cstheme="minorHAnsi"/>
                <w:color w:val="000000"/>
                <w:lang w:eastAsia="hr-HR"/>
              </w:rPr>
              <w:t>14,4</w:t>
            </w:r>
          </w:p>
        </w:tc>
        <w:tc>
          <w:tcPr>
            <w:tcW w:w="2175" w:type="dxa"/>
            <w:tcBorders>
              <w:top w:val="single" w:sz="8" w:space="0" w:color="F3CFC1"/>
              <w:left w:val="single" w:sz="8" w:space="0" w:color="D2232A" w:themeColor="accent1"/>
              <w:bottom w:val="single" w:sz="8" w:space="0" w:color="F3CFC1"/>
            </w:tcBorders>
            <w:shd w:val="clear" w:color="auto" w:fill="auto"/>
            <w:noWrap/>
          </w:tcPr>
          <w:p w14:paraId="5000FDEB" w14:textId="77777777" w:rsidR="00502E6B" w:rsidRPr="00473BE1" w:rsidRDefault="00502E6B" w:rsidP="00797AB8">
            <w:pPr>
              <w:spacing w:after="0"/>
              <w:jc w:val="center"/>
            </w:pPr>
            <w:r>
              <w:t>9,3</w:t>
            </w:r>
          </w:p>
        </w:tc>
        <w:tc>
          <w:tcPr>
            <w:tcW w:w="1885" w:type="dxa"/>
            <w:tcBorders>
              <w:top w:val="single" w:sz="8" w:space="0" w:color="F3CFC1"/>
              <w:left w:val="nil"/>
              <w:bottom w:val="single" w:sz="8" w:space="0" w:color="F3CFC1"/>
              <w:right w:val="single" w:sz="8" w:space="0" w:color="D2232A" w:themeColor="accent1"/>
            </w:tcBorders>
            <w:shd w:val="clear" w:color="auto" w:fill="auto"/>
            <w:noWrap/>
          </w:tcPr>
          <w:p w14:paraId="511A00CE" w14:textId="77777777" w:rsidR="00502E6B" w:rsidRPr="00473BE1" w:rsidRDefault="00502E6B" w:rsidP="00797AB8">
            <w:pPr>
              <w:spacing w:after="0"/>
              <w:jc w:val="center"/>
            </w:pPr>
            <w:r>
              <w:t>12,0</w:t>
            </w:r>
          </w:p>
        </w:tc>
      </w:tr>
      <w:tr w:rsidR="00502E6B" w:rsidRPr="00320606" w14:paraId="1A4CBD71" w14:textId="77777777" w:rsidTr="00502E6B">
        <w:trPr>
          <w:trHeight w:val="283"/>
        </w:trPr>
        <w:tc>
          <w:tcPr>
            <w:tcW w:w="981"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tcPr>
          <w:p w14:paraId="557245A6" w14:textId="77777777" w:rsidR="00502E6B" w:rsidRPr="00320606" w:rsidRDefault="00502E6B" w:rsidP="00502E6B">
            <w:pPr>
              <w:spacing w:after="0"/>
              <w:rPr>
                <w:b/>
              </w:rPr>
            </w:pPr>
            <w:r w:rsidRPr="00320606">
              <w:rPr>
                <w:b/>
              </w:rPr>
              <w:t>2015.</w:t>
            </w:r>
          </w:p>
        </w:tc>
        <w:tc>
          <w:tcPr>
            <w:tcW w:w="2058" w:type="dxa"/>
            <w:tcBorders>
              <w:top w:val="single" w:sz="8" w:space="0" w:color="F3CFC1"/>
              <w:left w:val="single" w:sz="8" w:space="0" w:color="D2232A" w:themeColor="accent1"/>
              <w:bottom w:val="single" w:sz="8" w:space="0" w:color="F3CFC1"/>
            </w:tcBorders>
            <w:shd w:val="clear" w:color="auto" w:fill="auto"/>
            <w:noWrap/>
            <w:vAlign w:val="center"/>
          </w:tcPr>
          <w:p w14:paraId="1BE6E093" w14:textId="77777777" w:rsidR="00502E6B" w:rsidRPr="00473BE1" w:rsidRDefault="00502E6B" w:rsidP="00797AB8">
            <w:pPr>
              <w:spacing w:after="0"/>
              <w:jc w:val="center"/>
              <w:rPr>
                <w:rFonts w:cstheme="minorHAnsi"/>
                <w:color w:val="000000"/>
                <w:lang w:eastAsia="hr-HR"/>
              </w:rPr>
            </w:pPr>
            <w:r w:rsidRPr="00473BE1">
              <w:rPr>
                <w:rFonts w:cstheme="minorHAnsi"/>
                <w:color w:val="000000"/>
                <w:lang w:eastAsia="hr-HR"/>
              </w:rPr>
              <w:t>8,0</w:t>
            </w:r>
          </w:p>
        </w:tc>
        <w:tc>
          <w:tcPr>
            <w:tcW w:w="2175" w:type="dxa"/>
            <w:tcBorders>
              <w:top w:val="single" w:sz="8" w:space="0" w:color="F3CFC1"/>
              <w:left w:val="nil"/>
              <w:bottom w:val="single" w:sz="8" w:space="0" w:color="F3CFC1"/>
              <w:right w:val="single" w:sz="8" w:space="0" w:color="D2232A" w:themeColor="accent1"/>
            </w:tcBorders>
            <w:shd w:val="clear" w:color="auto" w:fill="auto"/>
            <w:noWrap/>
            <w:vAlign w:val="center"/>
          </w:tcPr>
          <w:p w14:paraId="03423721" w14:textId="77777777" w:rsidR="00502E6B" w:rsidRPr="00473BE1" w:rsidRDefault="00502E6B" w:rsidP="00797AB8">
            <w:pPr>
              <w:spacing w:after="0"/>
              <w:jc w:val="center"/>
              <w:rPr>
                <w:rFonts w:cstheme="minorHAnsi"/>
                <w:color w:val="000000"/>
                <w:lang w:eastAsia="hr-HR"/>
              </w:rPr>
            </w:pPr>
            <w:r w:rsidRPr="00473BE1">
              <w:rPr>
                <w:rFonts w:cstheme="minorHAnsi"/>
                <w:color w:val="000000"/>
                <w:lang w:eastAsia="hr-HR"/>
              </w:rPr>
              <w:t>14,3</w:t>
            </w:r>
          </w:p>
        </w:tc>
        <w:tc>
          <w:tcPr>
            <w:tcW w:w="2175" w:type="dxa"/>
            <w:tcBorders>
              <w:top w:val="single" w:sz="8" w:space="0" w:color="F3CFC1"/>
              <w:left w:val="single" w:sz="8" w:space="0" w:color="D2232A" w:themeColor="accent1"/>
              <w:bottom w:val="single" w:sz="8" w:space="0" w:color="F3CFC1"/>
            </w:tcBorders>
            <w:shd w:val="clear" w:color="auto" w:fill="auto"/>
            <w:noWrap/>
          </w:tcPr>
          <w:p w14:paraId="1E49AAA8" w14:textId="77777777" w:rsidR="00502E6B" w:rsidRPr="00473BE1" w:rsidRDefault="00502E6B" w:rsidP="00797AB8">
            <w:pPr>
              <w:spacing w:after="0"/>
              <w:jc w:val="center"/>
            </w:pPr>
            <w:r>
              <w:t>8,9</w:t>
            </w:r>
          </w:p>
        </w:tc>
        <w:tc>
          <w:tcPr>
            <w:tcW w:w="1885" w:type="dxa"/>
            <w:tcBorders>
              <w:top w:val="single" w:sz="8" w:space="0" w:color="F3CFC1"/>
              <w:left w:val="nil"/>
              <w:bottom w:val="single" w:sz="8" w:space="0" w:color="F3CFC1"/>
              <w:right w:val="single" w:sz="8" w:space="0" w:color="D2232A" w:themeColor="accent1"/>
            </w:tcBorders>
            <w:shd w:val="clear" w:color="auto" w:fill="auto"/>
            <w:noWrap/>
          </w:tcPr>
          <w:p w14:paraId="0B24B552" w14:textId="77777777" w:rsidR="00502E6B" w:rsidRPr="00473BE1" w:rsidRDefault="00502E6B" w:rsidP="00797AB8">
            <w:pPr>
              <w:spacing w:after="0"/>
              <w:jc w:val="center"/>
            </w:pPr>
            <w:r>
              <w:t>12,9</w:t>
            </w:r>
          </w:p>
        </w:tc>
      </w:tr>
      <w:tr w:rsidR="00502E6B" w:rsidRPr="00320606" w14:paraId="57589B43" w14:textId="77777777" w:rsidTr="00502E6B">
        <w:trPr>
          <w:trHeight w:val="283"/>
        </w:trPr>
        <w:tc>
          <w:tcPr>
            <w:tcW w:w="981"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tcPr>
          <w:p w14:paraId="0D0C69CD" w14:textId="77777777" w:rsidR="00502E6B" w:rsidRPr="00320606" w:rsidRDefault="00502E6B" w:rsidP="00502E6B">
            <w:pPr>
              <w:spacing w:after="0"/>
              <w:rPr>
                <w:b/>
              </w:rPr>
            </w:pPr>
            <w:r w:rsidRPr="00320606">
              <w:rPr>
                <w:b/>
              </w:rPr>
              <w:t>2016.</w:t>
            </w:r>
          </w:p>
        </w:tc>
        <w:tc>
          <w:tcPr>
            <w:tcW w:w="2058" w:type="dxa"/>
            <w:tcBorders>
              <w:top w:val="single" w:sz="8" w:space="0" w:color="F3CFC1"/>
              <w:left w:val="single" w:sz="8" w:space="0" w:color="D2232A" w:themeColor="accent1"/>
              <w:bottom w:val="single" w:sz="8" w:space="0" w:color="F3CFC1"/>
            </w:tcBorders>
            <w:shd w:val="clear" w:color="auto" w:fill="auto"/>
            <w:noWrap/>
            <w:vAlign w:val="center"/>
          </w:tcPr>
          <w:p w14:paraId="30439778" w14:textId="77777777" w:rsidR="00502E6B" w:rsidRPr="00473BE1" w:rsidRDefault="00502E6B" w:rsidP="00797AB8">
            <w:pPr>
              <w:spacing w:after="0"/>
              <w:jc w:val="center"/>
              <w:rPr>
                <w:rFonts w:cstheme="minorHAnsi"/>
                <w:color w:val="000000"/>
                <w:lang w:eastAsia="hr-HR"/>
              </w:rPr>
            </w:pPr>
            <w:r w:rsidRPr="00473BE1">
              <w:rPr>
                <w:rFonts w:cstheme="minorHAnsi"/>
                <w:color w:val="000000"/>
                <w:lang w:eastAsia="hr-HR"/>
              </w:rPr>
              <w:t>8,2</w:t>
            </w:r>
          </w:p>
        </w:tc>
        <w:tc>
          <w:tcPr>
            <w:tcW w:w="2175" w:type="dxa"/>
            <w:tcBorders>
              <w:top w:val="single" w:sz="8" w:space="0" w:color="F3CFC1"/>
              <w:left w:val="nil"/>
              <w:bottom w:val="single" w:sz="8" w:space="0" w:color="F3CFC1"/>
              <w:right w:val="single" w:sz="8" w:space="0" w:color="D2232A" w:themeColor="accent1"/>
            </w:tcBorders>
            <w:shd w:val="clear" w:color="auto" w:fill="auto"/>
            <w:noWrap/>
            <w:vAlign w:val="center"/>
          </w:tcPr>
          <w:p w14:paraId="2C16A0B3" w14:textId="77777777" w:rsidR="00502E6B" w:rsidRPr="00473BE1" w:rsidRDefault="00502E6B" w:rsidP="00797AB8">
            <w:pPr>
              <w:spacing w:after="0"/>
              <w:jc w:val="center"/>
              <w:rPr>
                <w:rFonts w:cstheme="minorHAnsi"/>
                <w:color w:val="000000"/>
                <w:lang w:eastAsia="hr-HR"/>
              </w:rPr>
            </w:pPr>
            <w:r w:rsidRPr="00473BE1">
              <w:rPr>
                <w:rFonts w:cstheme="minorHAnsi"/>
                <w:color w:val="000000"/>
                <w:lang w:eastAsia="hr-HR"/>
              </w:rPr>
              <w:t>14,4</w:t>
            </w:r>
          </w:p>
        </w:tc>
        <w:tc>
          <w:tcPr>
            <w:tcW w:w="2175" w:type="dxa"/>
            <w:tcBorders>
              <w:top w:val="single" w:sz="8" w:space="0" w:color="F3CFC1"/>
              <w:left w:val="single" w:sz="8" w:space="0" w:color="D2232A" w:themeColor="accent1"/>
              <w:bottom w:val="single" w:sz="8" w:space="0" w:color="F3CFC1"/>
            </w:tcBorders>
            <w:shd w:val="clear" w:color="auto" w:fill="auto"/>
            <w:noWrap/>
          </w:tcPr>
          <w:p w14:paraId="7B1FBF27" w14:textId="77777777" w:rsidR="00502E6B" w:rsidRPr="00473BE1" w:rsidRDefault="00502E6B" w:rsidP="00797AB8">
            <w:pPr>
              <w:spacing w:after="0"/>
              <w:jc w:val="center"/>
            </w:pPr>
            <w:r>
              <w:t>9,0</w:t>
            </w:r>
          </w:p>
        </w:tc>
        <w:tc>
          <w:tcPr>
            <w:tcW w:w="1885" w:type="dxa"/>
            <w:tcBorders>
              <w:top w:val="single" w:sz="8" w:space="0" w:color="F3CFC1"/>
              <w:left w:val="nil"/>
              <w:bottom w:val="single" w:sz="8" w:space="0" w:color="F3CFC1"/>
              <w:right w:val="single" w:sz="8" w:space="0" w:color="D2232A" w:themeColor="accent1"/>
            </w:tcBorders>
            <w:shd w:val="clear" w:color="auto" w:fill="auto"/>
            <w:noWrap/>
          </w:tcPr>
          <w:p w14:paraId="0BF529FE" w14:textId="77777777" w:rsidR="00502E6B" w:rsidRPr="00473BE1" w:rsidRDefault="00502E6B" w:rsidP="00797AB8">
            <w:pPr>
              <w:spacing w:after="0"/>
              <w:jc w:val="center"/>
            </w:pPr>
            <w:r>
              <w:t>12,3</w:t>
            </w:r>
          </w:p>
        </w:tc>
      </w:tr>
      <w:tr w:rsidR="00502E6B" w:rsidRPr="00320606" w14:paraId="4F532149" w14:textId="77777777" w:rsidTr="00502E6B">
        <w:trPr>
          <w:trHeight w:val="283"/>
        </w:trPr>
        <w:tc>
          <w:tcPr>
            <w:tcW w:w="981"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tcPr>
          <w:p w14:paraId="7D4936B2" w14:textId="77777777" w:rsidR="00502E6B" w:rsidRPr="00320606" w:rsidRDefault="00502E6B" w:rsidP="00502E6B">
            <w:pPr>
              <w:spacing w:after="0"/>
              <w:rPr>
                <w:b/>
              </w:rPr>
            </w:pPr>
            <w:r w:rsidRPr="00320606">
              <w:rPr>
                <w:b/>
              </w:rPr>
              <w:t>2017.</w:t>
            </w:r>
          </w:p>
        </w:tc>
        <w:tc>
          <w:tcPr>
            <w:tcW w:w="2058" w:type="dxa"/>
            <w:tcBorders>
              <w:top w:val="single" w:sz="8" w:space="0" w:color="F3CFC1"/>
              <w:left w:val="single" w:sz="8" w:space="0" w:color="D2232A" w:themeColor="accent1"/>
              <w:bottom w:val="single" w:sz="8" w:space="0" w:color="F3CFC1"/>
            </w:tcBorders>
            <w:shd w:val="clear" w:color="auto" w:fill="auto"/>
            <w:noWrap/>
            <w:vAlign w:val="center"/>
          </w:tcPr>
          <w:p w14:paraId="7CC4574D" w14:textId="77777777" w:rsidR="00502E6B" w:rsidRPr="00473BE1" w:rsidRDefault="00502E6B" w:rsidP="00797AB8">
            <w:pPr>
              <w:spacing w:after="0"/>
              <w:jc w:val="center"/>
              <w:rPr>
                <w:rFonts w:cstheme="minorHAnsi"/>
                <w:color w:val="000000"/>
                <w:lang w:eastAsia="hr-HR"/>
              </w:rPr>
            </w:pPr>
            <w:r w:rsidRPr="00473BE1">
              <w:rPr>
                <w:rFonts w:cstheme="minorHAnsi"/>
                <w:color w:val="000000"/>
                <w:lang w:eastAsia="hr-HR"/>
              </w:rPr>
              <w:t>8,5</w:t>
            </w:r>
          </w:p>
        </w:tc>
        <w:tc>
          <w:tcPr>
            <w:tcW w:w="2175" w:type="dxa"/>
            <w:tcBorders>
              <w:top w:val="single" w:sz="8" w:space="0" w:color="F3CFC1"/>
              <w:left w:val="nil"/>
              <w:bottom w:val="single" w:sz="8" w:space="0" w:color="F3CFC1"/>
              <w:right w:val="single" w:sz="8" w:space="0" w:color="D2232A" w:themeColor="accent1"/>
            </w:tcBorders>
            <w:shd w:val="clear" w:color="auto" w:fill="auto"/>
            <w:noWrap/>
            <w:vAlign w:val="center"/>
          </w:tcPr>
          <w:p w14:paraId="135622EE" w14:textId="77777777" w:rsidR="00502E6B" w:rsidRPr="00473BE1" w:rsidRDefault="00502E6B" w:rsidP="00797AB8">
            <w:pPr>
              <w:spacing w:after="0"/>
              <w:jc w:val="center"/>
              <w:rPr>
                <w:rFonts w:cstheme="minorHAnsi"/>
                <w:color w:val="000000"/>
                <w:lang w:eastAsia="hr-HR"/>
              </w:rPr>
            </w:pPr>
            <w:r w:rsidRPr="00473BE1">
              <w:rPr>
                <w:rFonts w:cstheme="minorHAnsi"/>
                <w:color w:val="000000"/>
                <w:lang w:eastAsia="hr-HR"/>
              </w:rPr>
              <w:t>14,6</w:t>
            </w:r>
          </w:p>
        </w:tc>
        <w:tc>
          <w:tcPr>
            <w:tcW w:w="2175" w:type="dxa"/>
            <w:tcBorders>
              <w:top w:val="single" w:sz="8" w:space="0" w:color="F3CFC1"/>
              <w:left w:val="single" w:sz="8" w:space="0" w:color="D2232A" w:themeColor="accent1"/>
              <w:bottom w:val="single" w:sz="8" w:space="0" w:color="F3CFC1"/>
            </w:tcBorders>
            <w:shd w:val="clear" w:color="auto" w:fill="auto"/>
            <w:noWrap/>
          </w:tcPr>
          <w:p w14:paraId="6A86C4F9" w14:textId="77777777" w:rsidR="00502E6B" w:rsidRPr="00473BE1" w:rsidRDefault="00502E6B" w:rsidP="00797AB8">
            <w:pPr>
              <w:spacing w:after="0"/>
              <w:jc w:val="center"/>
            </w:pPr>
            <w:r>
              <w:t>8,9</w:t>
            </w:r>
          </w:p>
        </w:tc>
        <w:tc>
          <w:tcPr>
            <w:tcW w:w="1885" w:type="dxa"/>
            <w:tcBorders>
              <w:top w:val="single" w:sz="8" w:space="0" w:color="F3CFC1"/>
              <w:left w:val="nil"/>
              <w:bottom w:val="single" w:sz="8" w:space="0" w:color="F3CFC1"/>
              <w:right w:val="single" w:sz="8" w:space="0" w:color="D2232A" w:themeColor="accent1"/>
            </w:tcBorders>
            <w:shd w:val="clear" w:color="auto" w:fill="auto"/>
            <w:noWrap/>
          </w:tcPr>
          <w:p w14:paraId="4F3F6D5B" w14:textId="77777777" w:rsidR="00502E6B" w:rsidRPr="00473BE1" w:rsidRDefault="00502E6B" w:rsidP="00797AB8">
            <w:pPr>
              <w:spacing w:after="0"/>
              <w:jc w:val="center"/>
            </w:pPr>
            <w:r>
              <w:t>13,0</w:t>
            </w:r>
          </w:p>
        </w:tc>
      </w:tr>
      <w:tr w:rsidR="00502E6B" w14:paraId="298B2330" w14:textId="77777777" w:rsidTr="00502E6B">
        <w:trPr>
          <w:trHeight w:val="300"/>
        </w:trPr>
        <w:tc>
          <w:tcPr>
            <w:tcW w:w="981" w:type="dxa"/>
            <w:tcBorders>
              <w:top w:val="single" w:sz="8" w:space="0" w:color="F3CFC1"/>
              <w:left w:val="single" w:sz="8" w:space="0" w:color="D2232A" w:themeColor="accent1"/>
              <w:bottom w:val="single" w:sz="8" w:space="0" w:color="F3CFC1"/>
              <w:right w:val="single" w:sz="8" w:space="0" w:color="D2232A" w:themeColor="accent1"/>
            </w:tcBorders>
            <w:shd w:val="clear" w:color="auto" w:fill="auto"/>
            <w:noWrap/>
          </w:tcPr>
          <w:p w14:paraId="4330D692" w14:textId="77777777" w:rsidR="00502E6B" w:rsidRDefault="00502E6B" w:rsidP="00502E6B">
            <w:pPr>
              <w:rPr>
                <w:b/>
                <w:bCs/>
              </w:rPr>
            </w:pPr>
            <w:r w:rsidRPr="4E193667">
              <w:rPr>
                <w:b/>
                <w:bCs/>
              </w:rPr>
              <w:t>2018.</w:t>
            </w:r>
          </w:p>
        </w:tc>
        <w:tc>
          <w:tcPr>
            <w:tcW w:w="2058" w:type="dxa"/>
            <w:tcBorders>
              <w:top w:val="single" w:sz="8" w:space="0" w:color="F3CFC1"/>
              <w:left w:val="single" w:sz="8" w:space="0" w:color="D2232A" w:themeColor="accent1"/>
              <w:bottom w:val="single" w:sz="8" w:space="0" w:color="F3CFC1"/>
            </w:tcBorders>
            <w:shd w:val="clear" w:color="auto" w:fill="auto"/>
            <w:noWrap/>
            <w:vAlign w:val="center"/>
          </w:tcPr>
          <w:p w14:paraId="43A46BD7" w14:textId="77777777" w:rsidR="00502E6B" w:rsidRDefault="00502E6B" w:rsidP="00797AB8">
            <w:pPr>
              <w:jc w:val="center"/>
              <w:rPr>
                <w:color w:val="000000"/>
                <w:lang w:eastAsia="hr-HR"/>
              </w:rPr>
            </w:pPr>
            <w:r w:rsidRPr="4E193667">
              <w:rPr>
                <w:color w:val="000000"/>
                <w:lang w:eastAsia="hr-HR"/>
              </w:rPr>
              <w:t>8,9</w:t>
            </w:r>
          </w:p>
        </w:tc>
        <w:tc>
          <w:tcPr>
            <w:tcW w:w="2175" w:type="dxa"/>
            <w:tcBorders>
              <w:top w:val="single" w:sz="8" w:space="0" w:color="F3CFC1"/>
              <w:left w:val="nil"/>
              <w:bottom w:val="single" w:sz="8" w:space="0" w:color="F3CFC1"/>
              <w:right w:val="single" w:sz="8" w:space="0" w:color="D2232A" w:themeColor="accent1"/>
            </w:tcBorders>
            <w:shd w:val="clear" w:color="auto" w:fill="auto"/>
            <w:noWrap/>
            <w:vAlign w:val="center"/>
          </w:tcPr>
          <w:p w14:paraId="15C9F7EA" w14:textId="77777777" w:rsidR="00502E6B" w:rsidRDefault="00502E6B" w:rsidP="00797AB8">
            <w:pPr>
              <w:jc w:val="center"/>
              <w:rPr>
                <w:color w:val="000000"/>
                <w:lang w:eastAsia="hr-HR"/>
              </w:rPr>
            </w:pPr>
            <w:r w:rsidRPr="4E193667">
              <w:rPr>
                <w:color w:val="000000"/>
                <w:lang w:eastAsia="hr-HR"/>
              </w:rPr>
              <w:t>15,2</w:t>
            </w:r>
          </w:p>
        </w:tc>
        <w:tc>
          <w:tcPr>
            <w:tcW w:w="2175" w:type="dxa"/>
            <w:tcBorders>
              <w:top w:val="single" w:sz="8" w:space="0" w:color="F3CFC1"/>
              <w:left w:val="single" w:sz="8" w:space="0" w:color="D2232A" w:themeColor="accent1"/>
              <w:bottom w:val="single" w:sz="8" w:space="0" w:color="F3CFC1"/>
            </w:tcBorders>
            <w:shd w:val="clear" w:color="auto" w:fill="auto"/>
            <w:noWrap/>
          </w:tcPr>
          <w:p w14:paraId="00389990" w14:textId="77777777" w:rsidR="00502E6B" w:rsidRDefault="00502E6B" w:rsidP="00797AB8">
            <w:pPr>
              <w:jc w:val="center"/>
            </w:pPr>
            <w:r>
              <w:t>9,0</w:t>
            </w:r>
          </w:p>
        </w:tc>
        <w:tc>
          <w:tcPr>
            <w:tcW w:w="1885" w:type="dxa"/>
            <w:tcBorders>
              <w:top w:val="single" w:sz="8" w:space="0" w:color="F3CFC1"/>
              <w:left w:val="nil"/>
              <w:bottom w:val="single" w:sz="8" w:space="0" w:color="F3CFC1"/>
              <w:right w:val="single" w:sz="8" w:space="0" w:color="D2232A" w:themeColor="accent1"/>
            </w:tcBorders>
            <w:shd w:val="clear" w:color="auto" w:fill="auto"/>
            <w:noWrap/>
          </w:tcPr>
          <w:p w14:paraId="1667DCB7" w14:textId="77777777" w:rsidR="00502E6B" w:rsidRDefault="00502E6B" w:rsidP="00797AB8">
            <w:pPr>
              <w:jc w:val="center"/>
            </w:pPr>
            <w:r>
              <w:t>12,9</w:t>
            </w:r>
          </w:p>
        </w:tc>
      </w:tr>
      <w:tr w:rsidR="00502E6B" w:rsidRPr="00320606" w14:paraId="6DC8C634" w14:textId="77777777" w:rsidTr="00502E6B">
        <w:trPr>
          <w:trHeight w:val="283"/>
        </w:trPr>
        <w:tc>
          <w:tcPr>
            <w:tcW w:w="981" w:type="dxa"/>
            <w:tcBorders>
              <w:top w:val="single" w:sz="8" w:space="0" w:color="F3CFC1"/>
              <w:left w:val="single" w:sz="8" w:space="0" w:color="D2232A" w:themeColor="accent1"/>
              <w:bottom w:val="single" w:sz="4" w:space="0" w:color="D2232A" w:themeColor="accent1"/>
              <w:right w:val="single" w:sz="8" w:space="0" w:color="D2232A" w:themeColor="accent1"/>
            </w:tcBorders>
            <w:shd w:val="clear" w:color="auto" w:fill="auto"/>
            <w:noWrap/>
          </w:tcPr>
          <w:p w14:paraId="59D1ADF3" w14:textId="77777777" w:rsidR="00502E6B" w:rsidRPr="00320606" w:rsidRDefault="00502E6B" w:rsidP="00502E6B">
            <w:pPr>
              <w:rPr>
                <w:b/>
                <w:bCs/>
              </w:rPr>
            </w:pPr>
            <w:r w:rsidRPr="4E193667">
              <w:rPr>
                <w:b/>
                <w:bCs/>
              </w:rPr>
              <w:t>2019.</w:t>
            </w:r>
          </w:p>
        </w:tc>
        <w:tc>
          <w:tcPr>
            <w:tcW w:w="2058" w:type="dxa"/>
            <w:tcBorders>
              <w:top w:val="single" w:sz="8" w:space="0" w:color="F3CFC1"/>
              <w:left w:val="single" w:sz="8" w:space="0" w:color="D2232A" w:themeColor="accent1"/>
              <w:bottom w:val="single" w:sz="4" w:space="0" w:color="D2232A" w:themeColor="accent1"/>
            </w:tcBorders>
            <w:shd w:val="clear" w:color="auto" w:fill="auto"/>
            <w:noWrap/>
            <w:vAlign w:val="center"/>
          </w:tcPr>
          <w:p w14:paraId="5C0B3A90" w14:textId="77777777" w:rsidR="00502E6B" w:rsidRPr="00473BE1" w:rsidRDefault="00502E6B" w:rsidP="00797AB8">
            <w:pPr>
              <w:spacing w:after="0"/>
              <w:jc w:val="center"/>
              <w:rPr>
                <w:color w:val="000000"/>
                <w:lang w:eastAsia="hr-HR"/>
              </w:rPr>
            </w:pPr>
            <w:r w:rsidRPr="4E193667">
              <w:rPr>
                <w:color w:val="000000"/>
                <w:lang w:eastAsia="hr-HR"/>
              </w:rPr>
              <w:t>8,3</w:t>
            </w:r>
          </w:p>
        </w:tc>
        <w:tc>
          <w:tcPr>
            <w:tcW w:w="2175" w:type="dxa"/>
            <w:tcBorders>
              <w:top w:val="single" w:sz="8" w:space="0" w:color="F3CFC1"/>
              <w:left w:val="nil"/>
              <w:bottom w:val="single" w:sz="4" w:space="0" w:color="D2232A" w:themeColor="accent1"/>
              <w:right w:val="single" w:sz="8" w:space="0" w:color="D2232A" w:themeColor="accent1"/>
            </w:tcBorders>
            <w:shd w:val="clear" w:color="auto" w:fill="auto"/>
            <w:noWrap/>
            <w:vAlign w:val="center"/>
          </w:tcPr>
          <w:p w14:paraId="35D286BF" w14:textId="77777777" w:rsidR="00502E6B" w:rsidRPr="00473BE1" w:rsidRDefault="00502E6B" w:rsidP="00797AB8">
            <w:pPr>
              <w:spacing w:after="0"/>
              <w:jc w:val="center"/>
              <w:rPr>
                <w:color w:val="000000"/>
                <w:lang w:eastAsia="hr-HR"/>
              </w:rPr>
            </w:pPr>
            <w:r w:rsidRPr="4E193667">
              <w:rPr>
                <w:color w:val="000000"/>
                <w:lang w:eastAsia="hr-HR"/>
              </w:rPr>
              <w:t>13,6</w:t>
            </w:r>
          </w:p>
        </w:tc>
        <w:tc>
          <w:tcPr>
            <w:tcW w:w="2175" w:type="dxa"/>
            <w:tcBorders>
              <w:top w:val="single" w:sz="8" w:space="0" w:color="F3CFC1"/>
              <w:left w:val="single" w:sz="8" w:space="0" w:color="D2232A" w:themeColor="accent1"/>
              <w:bottom w:val="single" w:sz="4" w:space="0" w:color="D2232A" w:themeColor="accent1"/>
            </w:tcBorders>
            <w:shd w:val="clear" w:color="auto" w:fill="auto"/>
            <w:noWrap/>
          </w:tcPr>
          <w:p w14:paraId="68881E75" w14:textId="77777777" w:rsidR="00502E6B" w:rsidRPr="00473BE1" w:rsidRDefault="00502E6B" w:rsidP="00797AB8">
            <w:pPr>
              <w:spacing w:after="0"/>
              <w:jc w:val="center"/>
            </w:pPr>
            <w:r>
              <w:t>8,9</w:t>
            </w:r>
          </w:p>
        </w:tc>
        <w:tc>
          <w:tcPr>
            <w:tcW w:w="1885" w:type="dxa"/>
            <w:tcBorders>
              <w:top w:val="single" w:sz="8" w:space="0" w:color="F3CFC1"/>
              <w:left w:val="nil"/>
              <w:bottom w:val="single" w:sz="4" w:space="0" w:color="D2232A" w:themeColor="accent1"/>
              <w:right w:val="single" w:sz="8" w:space="0" w:color="D2232A" w:themeColor="accent1"/>
            </w:tcBorders>
            <w:shd w:val="clear" w:color="auto" w:fill="auto"/>
            <w:noWrap/>
          </w:tcPr>
          <w:p w14:paraId="49055CE0" w14:textId="77777777" w:rsidR="00502E6B" w:rsidRPr="00473BE1" w:rsidRDefault="00502E6B" w:rsidP="00797AB8">
            <w:pPr>
              <w:spacing w:after="0"/>
              <w:jc w:val="center"/>
            </w:pPr>
            <w:r>
              <w:t>12,7</w:t>
            </w:r>
          </w:p>
        </w:tc>
      </w:tr>
    </w:tbl>
    <w:p w14:paraId="2C023CF4" w14:textId="3C5A17FD" w:rsidR="00502E6B" w:rsidRPr="006315FA" w:rsidRDefault="00502E6B" w:rsidP="006315FA">
      <w:pPr>
        <w:autoSpaceDE w:val="0"/>
        <w:autoSpaceDN w:val="0"/>
        <w:adjustRightInd w:val="0"/>
        <w:spacing w:after="0" w:line="240" w:lineRule="auto"/>
        <w:rPr>
          <w:rFonts w:eastAsia="ArialNarrow" w:cstheme="minorHAnsi"/>
          <w:i/>
          <w:color w:val="ABABAB" w:themeColor="text1" w:themeTint="A6"/>
          <w:sz w:val="16"/>
          <w:szCs w:val="16"/>
        </w:rPr>
      </w:pPr>
      <w:r w:rsidRPr="006315FA">
        <w:rPr>
          <w:rFonts w:eastAsia="ArialNarrow" w:cstheme="minorHAnsi"/>
          <w:i/>
          <w:color w:val="ABABAB" w:themeColor="text1" w:themeTint="A6"/>
          <w:sz w:val="16"/>
          <w:szCs w:val="16"/>
        </w:rPr>
        <w:t xml:space="preserve">Izvor: DZS, Prirodno kretanje stanovništva Republike Hrvatske u 2019.; DZS, Procjene stanovništva Republike Hrvatske u 2019. </w:t>
      </w:r>
    </w:p>
    <w:p w14:paraId="20634101" w14:textId="77777777" w:rsidR="002A43B0" w:rsidRDefault="002A43B0" w:rsidP="00941871">
      <w:pPr>
        <w:autoSpaceDE w:val="0"/>
        <w:autoSpaceDN w:val="0"/>
        <w:adjustRightInd w:val="0"/>
        <w:spacing w:after="0" w:line="240" w:lineRule="auto"/>
        <w:rPr>
          <w:rFonts w:eastAsia="ArialNarrow"/>
        </w:rPr>
      </w:pPr>
    </w:p>
    <w:p w14:paraId="64F2B31D" w14:textId="349FCE42" w:rsidR="00502E6B" w:rsidRDefault="00502E6B" w:rsidP="00941871">
      <w:pPr>
        <w:autoSpaceDE w:val="0"/>
        <w:autoSpaceDN w:val="0"/>
        <w:adjustRightInd w:val="0"/>
        <w:spacing w:after="0" w:line="240" w:lineRule="auto"/>
        <w:rPr>
          <w:rFonts w:eastAsia="ArialNarrow"/>
        </w:rPr>
      </w:pPr>
      <w:r w:rsidRPr="4E193667">
        <w:rPr>
          <w:rFonts w:eastAsia="ArialNarrow"/>
        </w:rPr>
        <w:t>Stopa mortaliteta Krapinsko-zagorske županije u periodu 2014. – 2018. kretala se u rasponu od 14,4 do 15,2 što je nešto više od stopa zabilježenih na području Republike Hrvatske koje su se u istom periodu kretale u rasponu od 12,0 do 12,9.</w:t>
      </w:r>
      <w:r w:rsidRPr="06F6E577">
        <w:rPr>
          <w:rFonts w:eastAsia="ArialNarrow"/>
        </w:rPr>
        <w:t xml:space="preserve"> U 2019. godini stopa mortaliteta Krapinsko-zagorske županije pa</w:t>
      </w:r>
      <w:r w:rsidR="00EC40DA">
        <w:rPr>
          <w:rFonts w:eastAsia="ArialNarrow"/>
        </w:rPr>
        <w:t>la je</w:t>
      </w:r>
      <w:r w:rsidRPr="06F6E577">
        <w:rPr>
          <w:rFonts w:eastAsia="ArialNarrow"/>
        </w:rPr>
        <w:t xml:space="preserve"> na 13,6 dok se za područje Republike Hrvatske nije značajnije mijenjala u odnosu na prethodnu godinu te sada iznosi 12,7.</w:t>
      </w:r>
    </w:p>
    <w:p w14:paraId="66E849CA" w14:textId="7863BA3F" w:rsidR="00D763B4" w:rsidRDefault="00D763B4" w:rsidP="00941871">
      <w:pPr>
        <w:autoSpaceDE w:val="0"/>
        <w:autoSpaceDN w:val="0"/>
        <w:adjustRightInd w:val="0"/>
        <w:spacing w:after="0" w:line="240" w:lineRule="auto"/>
        <w:rPr>
          <w:rFonts w:eastAsia="ArialNarrow"/>
        </w:rPr>
      </w:pPr>
    </w:p>
    <w:p w14:paraId="60AD84B9" w14:textId="7BC99248" w:rsidR="00367511" w:rsidRPr="00367511" w:rsidRDefault="002A43B0" w:rsidP="00D763B4">
      <w:pPr>
        <w:autoSpaceDE w:val="0"/>
        <w:autoSpaceDN w:val="0"/>
        <w:adjustRightInd w:val="0"/>
        <w:spacing w:after="0" w:line="240" w:lineRule="auto"/>
        <w:rPr>
          <w:rFonts w:eastAsia="ArialNarrow" w:cstheme="minorHAnsi"/>
        </w:rPr>
      </w:pPr>
      <w:r>
        <w:rPr>
          <w:rFonts w:eastAsia="ArialNarrow" w:cstheme="minorHAnsi"/>
        </w:rPr>
        <w:t xml:space="preserve">Struktura stanovništva Krapinsko-zagorske županije kroz </w:t>
      </w:r>
      <w:r w:rsidR="00D763B4">
        <w:rPr>
          <w:rFonts w:eastAsia="ArialNarrow" w:cstheme="minorHAnsi"/>
        </w:rPr>
        <w:t>dobno-spoln</w:t>
      </w:r>
      <w:r>
        <w:rPr>
          <w:rFonts w:eastAsia="ArialNarrow" w:cstheme="minorHAnsi"/>
        </w:rPr>
        <w:t>u</w:t>
      </w:r>
      <w:r w:rsidR="00D763B4">
        <w:rPr>
          <w:rFonts w:eastAsia="ArialNarrow" w:cstheme="minorHAnsi"/>
        </w:rPr>
        <w:t xml:space="preserve"> piramid</w:t>
      </w:r>
      <w:r>
        <w:rPr>
          <w:rFonts w:eastAsia="ArialNarrow" w:cstheme="minorHAnsi"/>
        </w:rPr>
        <w:t>u</w:t>
      </w:r>
      <w:r w:rsidR="00D763B4">
        <w:rPr>
          <w:rFonts w:eastAsia="ArialNarrow" w:cstheme="minorHAnsi"/>
        </w:rPr>
        <w:t xml:space="preserve"> potvrđuje demografsku eroziju. Postepeno se sužava populacija mlađih dobnih skupina što vodi ka dugoročnom smanjivanju rodnosti i </w:t>
      </w:r>
      <w:r>
        <w:rPr>
          <w:rFonts w:eastAsia="ArialNarrow" w:cstheme="minorHAnsi"/>
        </w:rPr>
        <w:t xml:space="preserve">daljnjem </w:t>
      </w:r>
      <w:r w:rsidR="00D763B4">
        <w:rPr>
          <w:rFonts w:eastAsia="ArialNarrow" w:cstheme="minorHAnsi"/>
        </w:rPr>
        <w:t xml:space="preserve">širenju dobno-spolne piramide u dijelu starijih dobnih skupina. </w:t>
      </w:r>
      <w:r w:rsidR="00D763B4" w:rsidRPr="009019E6">
        <w:rPr>
          <w:rFonts w:eastAsia="ArialNarrow" w:cstheme="minorHAnsi"/>
        </w:rPr>
        <w:t>Smanjenje udjela mlađe populacije ima nepovoljni gospodarski utjecaj</w:t>
      </w:r>
      <w:r>
        <w:rPr>
          <w:rFonts w:eastAsia="ArialNarrow" w:cstheme="minorHAnsi"/>
        </w:rPr>
        <w:t xml:space="preserve">, </w:t>
      </w:r>
      <w:r w:rsidR="00D763B4" w:rsidRPr="009019E6">
        <w:rPr>
          <w:rFonts w:eastAsia="ArialNarrow" w:cstheme="minorHAnsi"/>
        </w:rPr>
        <w:t>stopa nataliteta je niska, stanovništvo stari, a radno aktivne populacije je sve manje.</w:t>
      </w:r>
    </w:p>
    <w:p w14:paraId="0EAEBB70" w14:textId="77777777" w:rsidR="00367511" w:rsidRPr="002A43B0" w:rsidRDefault="00367511" w:rsidP="00367511">
      <w:pPr>
        <w:autoSpaceDE w:val="0"/>
        <w:autoSpaceDN w:val="0"/>
        <w:adjustRightInd w:val="0"/>
        <w:spacing w:after="0" w:line="240" w:lineRule="auto"/>
        <w:rPr>
          <w:rFonts w:eastAsia="ArialNarrow"/>
        </w:rPr>
      </w:pPr>
      <w:r w:rsidRPr="3591F92D">
        <w:rPr>
          <w:rFonts w:eastAsia="ArialNarrow"/>
        </w:rPr>
        <w:t xml:space="preserve">Dobno-spolna struktura stanovništva Krapinsko-zagorske županije slična je strukturi stanovništva na razini Republike Hrvatske. Biodinamičko kretanje populacije Krapinsko-zagorske županije okarakterizirano je smanjenjem broja živorođene djece te stabiliziranjem broja umrlih osoba. </w:t>
      </w:r>
      <w:r>
        <w:t>Prema Procjeni stanovništva, 2019. godine u Republici Hrvatskoj, udio stanovništva u dobnoj skupini 0-14 godina je 14,38%, udio u skupini 15-64 je 64,83%, a udio u skupini 65 i više starosti je 20,78%.</w:t>
      </w:r>
      <w:r w:rsidRPr="06F6E577">
        <w:rPr>
          <w:rFonts w:eastAsia="ArialNarrow"/>
        </w:rPr>
        <w:t xml:space="preserve"> U isto vrijeme u Krapinsko-zagorskoj županiji, udio stanovništva u dobnoj skupini 0-14 je 13,67%, udio u skupini 15-64 je 66,53%, a udio u skupini 65 i više godina starosti je 19,80%. U usporedbi s državnim prosjekom nema većeg odstupanja u distribuciji stanovništva po dobnim skupinama u Krapinsko-zagorskoj županiji.</w:t>
      </w:r>
      <w:r w:rsidRPr="06F6E577">
        <w:rPr>
          <w:rFonts w:asciiTheme="minorHAnsi" w:eastAsia="ArialNarrow" w:hAnsiTheme="minorHAnsi"/>
          <w:color w:val="auto"/>
          <w:sz w:val="22"/>
          <w:szCs w:val="22"/>
        </w:rPr>
        <w:t xml:space="preserve"> </w:t>
      </w:r>
    </w:p>
    <w:p w14:paraId="24ED0A5C" w14:textId="77777777" w:rsidR="00D763B4" w:rsidRPr="00D763B4" w:rsidRDefault="00D763B4" w:rsidP="00941871">
      <w:pPr>
        <w:autoSpaceDE w:val="0"/>
        <w:autoSpaceDN w:val="0"/>
        <w:adjustRightInd w:val="0"/>
        <w:spacing w:after="0" w:line="240" w:lineRule="auto"/>
        <w:rPr>
          <w:rFonts w:eastAsia="ArialNarrow"/>
        </w:rPr>
      </w:pPr>
    </w:p>
    <w:p w14:paraId="44C1D0EC" w14:textId="35E76DF9" w:rsidR="00EB7E4D" w:rsidRDefault="00EB7E4D" w:rsidP="003E3F3C">
      <w:pPr>
        <w:pStyle w:val="Opisslike"/>
      </w:pPr>
      <w:r>
        <w:lastRenderedPageBreak/>
        <w:t xml:space="preserve">Grafikon </w:t>
      </w:r>
      <w:r w:rsidR="00627AAF">
        <w:t>9</w:t>
      </w:r>
      <w:r>
        <w:t xml:space="preserve">. </w:t>
      </w:r>
      <w:r w:rsidRPr="00865E30">
        <w:t>Dobno-spolna piramida Krapinsko-zagorske županije 201</w:t>
      </w:r>
      <w:r w:rsidR="00D763B4">
        <w:t>9</w:t>
      </w:r>
      <w:r w:rsidRPr="00865E30">
        <w:t>.</w:t>
      </w:r>
    </w:p>
    <w:p w14:paraId="385AC172" w14:textId="58606B8D" w:rsidR="008878A0" w:rsidRDefault="005B17C6" w:rsidP="005B17C6">
      <w:pPr>
        <w:jc w:val="center"/>
      </w:pPr>
      <w:r>
        <w:rPr>
          <w:noProof/>
        </w:rPr>
        <w:drawing>
          <wp:inline distT="0" distB="0" distL="0" distR="0" wp14:anchorId="060AD8B8" wp14:editId="354D2127">
            <wp:extent cx="4739640" cy="3512820"/>
            <wp:effectExtent l="0" t="0" r="3810" b="11430"/>
            <wp:docPr id="31" name="Grafikon 31">
              <a:extLst xmlns:a="http://schemas.openxmlformats.org/drawingml/2006/main">
                <a:ext uri="{FF2B5EF4-FFF2-40B4-BE49-F238E27FC236}">
                  <a16:creationId xmlns:a16="http://schemas.microsoft.com/office/drawing/2014/main" id="{A3EC7178-32E5-4F15-B0E5-8B9707FBB7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57C87CC" w14:textId="1D9CA7AD" w:rsidR="008878A0" w:rsidRDefault="008878A0"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Izvor: DZS, Procjene stanovništva Republike Hrvatske u 201</w:t>
      </w:r>
      <w:r w:rsidR="005B17C6" w:rsidRPr="006525B8">
        <w:rPr>
          <w:rFonts w:eastAsia="ArialNarrow" w:cstheme="minorHAnsi"/>
          <w:i/>
          <w:color w:val="ABABAB" w:themeColor="text1" w:themeTint="A6"/>
          <w:sz w:val="16"/>
          <w:szCs w:val="16"/>
        </w:rPr>
        <w:t>9</w:t>
      </w:r>
      <w:r w:rsidRPr="006525B8">
        <w:rPr>
          <w:rFonts w:eastAsia="ArialNarrow" w:cstheme="minorHAnsi"/>
          <w:i/>
          <w:color w:val="ABABAB" w:themeColor="text1" w:themeTint="A6"/>
          <w:sz w:val="16"/>
          <w:szCs w:val="16"/>
        </w:rPr>
        <w:t>.</w:t>
      </w:r>
    </w:p>
    <w:p w14:paraId="1DD95A9C" w14:textId="77777777" w:rsidR="008F5C7A" w:rsidRDefault="008F5C7A" w:rsidP="006525B8">
      <w:pPr>
        <w:autoSpaceDE w:val="0"/>
        <w:autoSpaceDN w:val="0"/>
        <w:adjustRightInd w:val="0"/>
        <w:spacing w:after="0" w:line="240" w:lineRule="auto"/>
        <w:rPr>
          <w:rFonts w:eastAsia="ArialNarrow" w:cstheme="minorHAnsi"/>
          <w:i/>
          <w:color w:val="ABABAB" w:themeColor="text1" w:themeTint="A6"/>
          <w:sz w:val="16"/>
          <w:szCs w:val="16"/>
        </w:rPr>
      </w:pPr>
    </w:p>
    <w:p w14:paraId="3D2E857B" w14:textId="4CD8E1EC" w:rsidR="007B6B3C" w:rsidRPr="0006411E" w:rsidRDefault="007B6B3C" w:rsidP="0006411E">
      <w:r w:rsidRPr="4E193667">
        <w:rPr>
          <w:rFonts w:eastAsia="ArialNarrow"/>
        </w:rPr>
        <w:t>Posljednji raspoloživi podaci govore da se indeks starenja stanovništva u Republici Hrvatskoj u periodu od 201</w:t>
      </w:r>
      <w:r w:rsidR="00214FA3" w:rsidRPr="4E193667">
        <w:rPr>
          <w:rFonts w:eastAsia="ArialNarrow"/>
        </w:rPr>
        <w:t>4</w:t>
      </w:r>
      <w:r w:rsidRPr="4E193667">
        <w:rPr>
          <w:rFonts w:eastAsia="ArialNarrow"/>
        </w:rPr>
        <w:t>. do 201</w:t>
      </w:r>
      <w:r w:rsidR="0C97CEDF" w:rsidRPr="4E193667">
        <w:rPr>
          <w:rFonts w:eastAsia="ArialNarrow"/>
        </w:rPr>
        <w:t>9</w:t>
      </w:r>
      <w:r w:rsidRPr="4E193667">
        <w:rPr>
          <w:rFonts w:eastAsia="ArialNarrow"/>
        </w:rPr>
        <w:t>. godine kretao u rasponu od 12</w:t>
      </w:r>
      <w:r w:rsidR="3FAEE75B" w:rsidRPr="06F6E577">
        <w:rPr>
          <w:rFonts w:eastAsia="ArialNarrow"/>
        </w:rPr>
        <w:t>4</w:t>
      </w:r>
      <w:r w:rsidRPr="4E193667">
        <w:rPr>
          <w:rFonts w:eastAsia="ArialNarrow"/>
        </w:rPr>
        <w:t>% do 1</w:t>
      </w:r>
      <w:r w:rsidR="3C284A17" w:rsidRPr="06F6E577">
        <w:rPr>
          <w:rFonts w:eastAsia="ArialNarrow"/>
        </w:rPr>
        <w:t>45</w:t>
      </w:r>
      <w:r w:rsidRPr="4E193667">
        <w:rPr>
          <w:rFonts w:eastAsia="ArialNarrow"/>
        </w:rPr>
        <w:t>%</w:t>
      </w:r>
      <w:r w:rsidRPr="4E193667">
        <w:rPr>
          <w:vertAlign w:val="superscript"/>
        </w:rPr>
        <w:footnoteReference w:id="24"/>
      </w:r>
      <w:r w:rsidRPr="4E193667">
        <w:rPr>
          <w:rFonts w:eastAsia="ArialNarrow"/>
        </w:rPr>
        <w:t>. Spomenuti podaci govore kako se broj stanovnika starosti 60 i više godina u odnosu na broj stanovnika</w:t>
      </w:r>
      <w:r w:rsidR="006106A3" w:rsidRPr="4E193667">
        <w:rPr>
          <w:rFonts w:eastAsia="ArialNarrow"/>
        </w:rPr>
        <w:t xml:space="preserve"> mlađih od navršenih </w:t>
      </w:r>
      <w:r w:rsidRPr="4E193667">
        <w:rPr>
          <w:rFonts w:eastAsia="ArialNarrow"/>
        </w:rPr>
        <w:t>19 godina povećava, što je negativna tendencija. Na razini Krapinsko-zagorske županije nema raspoloživih podataka nakon 2011. godine, odnosno nakon popisa stanovništva iz 2011. godine kada je zabilježeni indeks starenja bio na razini od 113%</w:t>
      </w:r>
      <w:r w:rsidR="30CB0976" w:rsidRPr="4E193667">
        <w:rPr>
          <w:rFonts w:eastAsia="ArialNarrow"/>
        </w:rPr>
        <w:t>,</w:t>
      </w:r>
      <w:r w:rsidRPr="4E193667">
        <w:rPr>
          <w:rFonts w:eastAsia="ArialNarrow"/>
        </w:rPr>
        <w:t xml:space="preserve"> dok je isti na razini Republike Hrvatske bio 116%. Za pretpostaviti je da se indeks starenja stanovništva u promatranom periodu u Krapinsko-</w:t>
      </w:r>
      <w:r w:rsidRPr="0006411E">
        <w:t>zagorskoj županiji kretao na isti način te da je i u Krapinsko-zagorskoj županiji zabilježena negativna tendencija kretanja.</w:t>
      </w:r>
    </w:p>
    <w:p w14:paraId="3BA91A5A" w14:textId="448F4D0C" w:rsidR="00D763B4" w:rsidRPr="0006411E" w:rsidRDefault="007B6B3C" w:rsidP="0006411E">
      <w:r w:rsidRPr="0006411E">
        <w:t>Koeficijent starosti, naspram indeksa starenja, pokazuje udio osoba starih 60 i više godina u ukupnom stanovništvu. Vrijednost ovog pokazatelja za Krapinsko-zagorsku županiju (uzimajući u obzir procjenu broja stanovnika iz 201</w:t>
      </w:r>
      <w:r w:rsidR="745F3A11" w:rsidRPr="0006411E">
        <w:t>9</w:t>
      </w:r>
      <w:r w:rsidRPr="4E193667">
        <w:rPr>
          <w:rFonts w:eastAsia="ArialNarrow"/>
        </w:rPr>
        <w:t>. godine) iznosi 2</w:t>
      </w:r>
      <w:r w:rsidR="16E97292" w:rsidRPr="4E193667">
        <w:rPr>
          <w:rFonts w:eastAsia="ArialNarrow"/>
        </w:rPr>
        <w:t>7</w:t>
      </w:r>
      <w:r w:rsidRPr="4E193667">
        <w:rPr>
          <w:rFonts w:eastAsia="ArialNarrow"/>
        </w:rPr>
        <w:t>,</w:t>
      </w:r>
      <w:r w:rsidR="349ABB85" w:rsidRPr="4E193667">
        <w:rPr>
          <w:rFonts w:eastAsia="ArialNarrow"/>
        </w:rPr>
        <w:t>2</w:t>
      </w:r>
      <w:r w:rsidRPr="4E193667">
        <w:rPr>
          <w:rFonts w:eastAsia="ArialNarrow"/>
        </w:rPr>
        <w:t>%, što je povećanje za 3,</w:t>
      </w:r>
      <w:r w:rsidR="3B622D1A" w:rsidRPr="4E193667">
        <w:rPr>
          <w:rFonts w:eastAsia="ArialNarrow"/>
        </w:rPr>
        <w:t>7</w:t>
      </w:r>
      <w:r w:rsidRPr="4E193667">
        <w:rPr>
          <w:rFonts w:eastAsia="ArialNarrow"/>
        </w:rPr>
        <w:t>% u odnosu na zabilježeni indeks iz 2011. godine. Ovakvo kretanje indeksa te prikaz dobno-spolne piramide posljedica su rasta udjela starijeg stanovništva u ukupnoj populaciji. Prirodni prirast stanovništva u periodu 2014. - 201</w:t>
      </w:r>
      <w:r w:rsidR="739F6C7A" w:rsidRPr="4E193667">
        <w:rPr>
          <w:rFonts w:eastAsia="ArialNarrow"/>
        </w:rPr>
        <w:t>9</w:t>
      </w:r>
      <w:r w:rsidRPr="4E193667">
        <w:rPr>
          <w:rFonts w:eastAsia="ArialNarrow"/>
        </w:rPr>
        <w:t xml:space="preserve">. je </w:t>
      </w:r>
      <w:r w:rsidR="7D2C3834" w:rsidRPr="4E193667">
        <w:rPr>
          <w:rFonts w:eastAsia="ArialNarrow"/>
        </w:rPr>
        <w:t xml:space="preserve">bio </w:t>
      </w:r>
      <w:r w:rsidRPr="4E193667">
        <w:rPr>
          <w:rFonts w:eastAsia="ArialNarrow"/>
        </w:rPr>
        <w:t>negativan te se kretao između -715 u 2014. godini i -807 u 2015. godini</w:t>
      </w:r>
      <w:r w:rsidR="1D78269F" w:rsidRPr="4E193667">
        <w:rPr>
          <w:rFonts w:eastAsia="ArialNarrow"/>
        </w:rPr>
        <w:t>, a potom se smanjuje i u 2019</w:t>
      </w:r>
      <w:r w:rsidR="2A9FC206" w:rsidRPr="4E193667">
        <w:rPr>
          <w:rFonts w:eastAsia="ArialNarrow"/>
        </w:rPr>
        <w:t>. je iznosio –690</w:t>
      </w:r>
      <w:r w:rsidR="134F6F5A" w:rsidRPr="4E193667">
        <w:rPr>
          <w:rFonts w:eastAsia="ArialNarrow"/>
        </w:rPr>
        <w:t xml:space="preserve">. </w:t>
      </w:r>
      <w:r w:rsidR="00D2451A">
        <w:rPr>
          <w:rFonts w:eastAsia="ArialNarrow"/>
        </w:rPr>
        <w:t>V</w:t>
      </w:r>
      <w:r w:rsidRPr="4E193667">
        <w:rPr>
          <w:rFonts w:eastAsia="ArialNarrow"/>
        </w:rPr>
        <w:t>italni indeks stanovništva (broj živorođenih na 100 umrlih stanovnika)</w:t>
      </w:r>
      <w:r w:rsidR="000F6E78" w:rsidRPr="4E193667">
        <w:rPr>
          <w:rFonts w:eastAsia="ArialNarrow"/>
        </w:rPr>
        <w:t xml:space="preserve"> </w:t>
      </w:r>
      <w:r w:rsidR="00D2451A">
        <w:rPr>
          <w:rFonts w:eastAsia="ArialNarrow"/>
        </w:rPr>
        <w:t xml:space="preserve">se smanjivao </w:t>
      </w:r>
      <w:r w:rsidRPr="4E193667">
        <w:rPr>
          <w:rFonts w:eastAsia="ArialNarrow"/>
        </w:rPr>
        <w:t>od 61,7 u 2014. godini na 58,2 u 2018.</w:t>
      </w:r>
      <w:r w:rsidR="14D26313" w:rsidRPr="4E193667">
        <w:rPr>
          <w:rFonts w:eastAsia="ArialNarrow"/>
        </w:rPr>
        <w:t xml:space="preserve"> godini, </w:t>
      </w:r>
      <w:r w:rsidR="00D2451A">
        <w:rPr>
          <w:rFonts w:eastAsia="ArialNarrow"/>
        </w:rPr>
        <w:t>no</w:t>
      </w:r>
      <w:r w:rsidR="14D26313" w:rsidRPr="4E193667">
        <w:rPr>
          <w:rFonts w:eastAsia="ArialNarrow"/>
        </w:rPr>
        <w:t xml:space="preserve"> u 2019.</w:t>
      </w:r>
      <w:r w:rsidR="00D2451A">
        <w:rPr>
          <w:rFonts w:eastAsia="ArialNarrow"/>
        </w:rPr>
        <w:t xml:space="preserve"> </w:t>
      </w:r>
      <w:r w:rsidR="00D2451A" w:rsidRPr="0006411E">
        <w:t>godini</w:t>
      </w:r>
      <w:r w:rsidR="14D26313" w:rsidRPr="0006411E">
        <w:t xml:space="preserve"> zabilježen </w:t>
      </w:r>
      <w:r w:rsidR="00D2451A" w:rsidRPr="0006411E">
        <w:t xml:space="preserve">je </w:t>
      </w:r>
      <w:r w:rsidR="14D26313" w:rsidRPr="0006411E">
        <w:t>rast i sada iznosi 60,0.</w:t>
      </w:r>
    </w:p>
    <w:p w14:paraId="32B6D37C" w14:textId="303766C0" w:rsidR="007736CA" w:rsidRDefault="007736CA" w:rsidP="007736CA">
      <w:r w:rsidRPr="007736CA">
        <w:t xml:space="preserve">Može se zaključiti da </w:t>
      </w:r>
      <w:r>
        <w:t>je i u</w:t>
      </w:r>
      <w:r w:rsidRPr="007736CA">
        <w:t xml:space="preserve"> 2019. </w:t>
      </w:r>
      <w:r>
        <w:t>prisutan</w:t>
      </w:r>
      <w:r w:rsidRPr="007736CA">
        <w:t xml:space="preserve"> trend starenja stanovništva </w:t>
      </w:r>
      <w:r>
        <w:t xml:space="preserve">na razini cijele RH pa tako i u </w:t>
      </w:r>
      <w:r w:rsidRPr="007736CA">
        <w:t>Krapinsko-zagorsk</w:t>
      </w:r>
      <w:r>
        <w:t xml:space="preserve">oj </w:t>
      </w:r>
      <w:r w:rsidRPr="007736CA">
        <w:t>županij</w:t>
      </w:r>
      <w:r>
        <w:t>i</w:t>
      </w:r>
      <w:r w:rsidRPr="007736CA">
        <w:t xml:space="preserve">. </w:t>
      </w:r>
      <w:r w:rsidR="007B6B3C" w:rsidRPr="00F70C87">
        <w:t xml:space="preserve">Kao takav ima nepovoljne učinke na produktivnost, potrošnju i opća ekonomska kretanja. Posebno istaknuti problemi su manjak radne snage, </w:t>
      </w:r>
      <w:r w:rsidR="00DC4E12" w:rsidRPr="00F70C87">
        <w:t xml:space="preserve">veće opterećenje </w:t>
      </w:r>
      <w:r w:rsidR="007B6B3C" w:rsidRPr="00F70C87">
        <w:t>radno-aktivn</w:t>
      </w:r>
      <w:r w:rsidR="00DC4E12" w:rsidRPr="00F70C87">
        <w:t xml:space="preserve">og stanovništva </w:t>
      </w:r>
      <w:r w:rsidR="007B6B3C" w:rsidRPr="00F70C87">
        <w:t>u okviru međugeneracijskih transfera (porezi, potpore i sl.), moguća inflacija, skuplja skrb za starije osobe te povećani izdaci za zdravstveni i mirovinski sustav.</w:t>
      </w:r>
      <w:r w:rsidR="00DC4E12" w:rsidRPr="00F70C87">
        <w:t xml:space="preserve"> </w:t>
      </w:r>
      <w:r w:rsidRPr="007736CA">
        <w:t>Prosječna starost ukupnog stanovništva Republike Hrvatske iznosila je 43,6 godina (muškarci 41,8; žene 45,3), što Hrvatsku svrstava među najstarije nacije Europe.</w:t>
      </w:r>
      <w:r w:rsidR="0006618B">
        <w:t xml:space="preserve"> </w:t>
      </w:r>
      <w:r w:rsidR="0006618B" w:rsidRPr="0006618B">
        <w:t>U Krapinsko-zagorskoj županiji najveći udio stanovnika starijih od 65 godina imaju općine Desinić, Hum na Sutli i Lobor</w:t>
      </w:r>
      <w:r w:rsidR="0006618B">
        <w:t>.</w:t>
      </w:r>
    </w:p>
    <w:p w14:paraId="2291417E" w14:textId="07337844" w:rsidR="00CF282D" w:rsidRDefault="002216F6" w:rsidP="007736CA">
      <w:r w:rsidRPr="00B044F9">
        <w:t>Očekivano trajanje života, bilo pri rođenju bilo u nekoj dobi, najbolji je pokazatelj mortaliteta i zdravstvenih uvjeta u nekoj zemlji ili području. Među županijama sjeverozapadne Hrvatske najduže se živi u Gradu Zagrebu, a najkraće u Krapinsko zagorskoj županiji.</w:t>
      </w:r>
      <w:r w:rsidRPr="00B044F9">
        <w:rPr>
          <w:rFonts w:eastAsia="ArialNarrow"/>
          <w:vertAlign w:val="superscript"/>
        </w:rPr>
        <w:footnoteReference w:id="25"/>
      </w:r>
    </w:p>
    <w:p w14:paraId="5C997403" w14:textId="77777777" w:rsidR="00946C89" w:rsidRPr="00B044F9" w:rsidRDefault="00946C89" w:rsidP="007736CA"/>
    <w:p w14:paraId="59984637" w14:textId="32064114" w:rsidR="008878A0" w:rsidRPr="005A02F2" w:rsidRDefault="008878A0" w:rsidP="003E3F3C">
      <w:pPr>
        <w:pStyle w:val="Opisslike"/>
        <w:rPr>
          <w:noProof/>
        </w:rPr>
      </w:pPr>
      <w:r>
        <w:lastRenderedPageBreak/>
        <w:t>Tablica</w:t>
      </w:r>
      <w:r w:rsidR="00F81169">
        <w:t xml:space="preserve"> </w:t>
      </w:r>
      <w:r w:rsidR="00627AAF">
        <w:rPr>
          <w:noProof/>
        </w:rPr>
        <w:t>1</w:t>
      </w:r>
      <w:r w:rsidR="00D3501C">
        <w:rPr>
          <w:noProof/>
        </w:rPr>
        <w:t>4</w:t>
      </w:r>
      <w:r w:rsidR="003A2F4B" w:rsidRPr="4E193667">
        <w:rPr>
          <w:noProof/>
        </w:rPr>
        <w:t>.</w:t>
      </w:r>
      <w:r w:rsidRPr="4E193667">
        <w:rPr>
          <w:noProof/>
        </w:rPr>
        <w:t xml:space="preserve"> </w:t>
      </w:r>
      <w:r w:rsidRPr="4E193667">
        <w:rPr>
          <w:rFonts w:eastAsia="Newslab"/>
          <w:noProof/>
        </w:rPr>
        <w:t xml:space="preserve">Očekivano trajanje </w:t>
      </w:r>
      <w:r w:rsidR="000F6E78" w:rsidRPr="4E193667">
        <w:rPr>
          <w:rFonts w:eastAsia="Newslab"/>
          <w:noProof/>
        </w:rPr>
        <w:t>života</w:t>
      </w:r>
      <w:r w:rsidRPr="4E193667">
        <w:rPr>
          <w:rFonts w:eastAsia="Newslab"/>
          <w:noProof/>
        </w:rPr>
        <w:t xml:space="preserve"> </w:t>
      </w:r>
      <w:r w:rsidR="000F6E78" w:rsidRPr="4E193667">
        <w:rPr>
          <w:rFonts w:eastAsia="Newslab"/>
          <w:noProof/>
        </w:rPr>
        <w:t xml:space="preserve">u </w:t>
      </w:r>
      <w:r w:rsidRPr="4E193667">
        <w:rPr>
          <w:rFonts w:eastAsia="Newslab"/>
          <w:noProof/>
        </w:rPr>
        <w:t>Krapinsko-zagorsk</w:t>
      </w:r>
      <w:r w:rsidR="000F6E78" w:rsidRPr="4E193667">
        <w:rPr>
          <w:rFonts w:eastAsia="Newslab"/>
          <w:noProof/>
        </w:rPr>
        <w:t>oj</w:t>
      </w:r>
      <w:r w:rsidRPr="4E193667">
        <w:rPr>
          <w:rFonts w:eastAsia="Newslab"/>
          <w:noProof/>
        </w:rPr>
        <w:t xml:space="preserve"> županij</w:t>
      </w:r>
      <w:r w:rsidR="000F6E78" w:rsidRPr="4E193667">
        <w:rPr>
          <w:rFonts w:eastAsia="Newslab"/>
          <w:noProof/>
        </w:rPr>
        <w:t>i</w:t>
      </w:r>
      <w:r w:rsidRPr="4E193667">
        <w:rPr>
          <w:rFonts w:eastAsia="Newslab"/>
          <w:noProof/>
        </w:rPr>
        <w:t xml:space="preserve"> i ukupna stopa fertiliteta 20</w:t>
      </w:r>
      <w:bookmarkStart w:id="64" w:name="_Hlk58937986"/>
      <w:r w:rsidR="00F149C7">
        <w:rPr>
          <w:rFonts w:eastAsia="Newslab"/>
          <w:noProof/>
        </w:rPr>
        <w:t xml:space="preserve">01. </w:t>
      </w:r>
      <w:r w:rsidR="00627AAF">
        <w:rPr>
          <w:rFonts w:eastAsia="Newslab"/>
          <w:noProof/>
        </w:rPr>
        <w:t xml:space="preserve">- </w:t>
      </w:r>
      <w:r w:rsidR="00F149C7">
        <w:rPr>
          <w:rFonts w:eastAsia="Newslab"/>
          <w:noProof/>
        </w:rPr>
        <w:t>2009.</w:t>
      </w:r>
    </w:p>
    <w:tbl>
      <w:tblPr>
        <w:tblW w:w="9501" w:type="dxa"/>
        <w:tblBorders>
          <w:insideH w:val="single" w:sz="8" w:space="0" w:color="F3CFC1"/>
        </w:tblBorders>
        <w:tblLook w:val="04A0" w:firstRow="1" w:lastRow="0" w:firstColumn="1" w:lastColumn="0" w:noHBand="0" w:noVBand="1"/>
      </w:tblPr>
      <w:tblGrid>
        <w:gridCol w:w="1415"/>
        <w:gridCol w:w="1764"/>
        <w:gridCol w:w="1764"/>
        <w:gridCol w:w="1867"/>
        <w:gridCol w:w="1369"/>
        <w:gridCol w:w="1322"/>
      </w:tblGrid>
      <w:tr w:rsidR="001B6773" w:rsidRPr="001B6773" w14:paraId="38B8C194" w14:textId="77777777" w:rsidTr="002109C6">
        <w:trPr>
          <w:trHeight w:val="283"/>
          <w:tblHeader/>
        </w:trPr>
        <w:tc>
          <w:tcPr>
            <w:tcW w:w="1415" w:type="dxa"/>
            <w:vMerge w:val="restart"/>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vAlign w:val="center"/>
            <w:hideMark/>
          </w:tcPr>
          <w:bookmarkEnd w:id="64"/>
          <w:p w14:paraId="4B1CAE4E"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Godina</w:t>
            </w:r>
          </w:p>
        </w:tc>
        <w:tc>
          <w:tcPr>
            <w:tcW w:w="6764" w:type="dxa"/>
            <w:gridSpan w:val="4"/>
            <w:tcBorders>
              <w:top w:val="single" w:sz="8" w:space="0" w:color="D2232A" w:themeColor="accent1"/>
              <w:left w:val="single" w:sz="8" w:space="0" w:color="D2232A" w:themeColor="accent1"/>
              <w:bottom w:val="nil"/>
              <w:right w:val="single" w:sz="8" w:space="0" w:color="D2232A" w:themeColor="accent1"/>
            </w:tcBorders>
            <w:shd w:val="clear" w:color="auto" w:fill="D2232A" w:themeFill="accent1"/>
            <w:noWrap/>
            <w:vAlign w:val="center"/>
            <w:hideMark/>
          </w:tcPr>
          <w:p w14:paraId="2657D47B" w14:textId="77777777" w:rsidR="001B6773" w:rsidRPr="001B6773" w:rsidRDefault="001B6773" w:rsidP="002216F6">
            <w:pPr>
              <w:spacing w:after="0" w:line="240" w:lineRule="auto"/>
              <w:jc w:val="center"/>
              <w:rPr>
                <w:rFonts w:eastAsia="ArialNarrow" w:cstheme="minorHAnsi"/>
                <w:b/>
              </w:rPr>
            </w:pPr>
            <w:r w:rsidRPr="001B6773">
              <w:rPr>
                <w:rFonts w:eastAsia="Times New Roman" w:cstheme="minorHAnsi"/>
                <w:b/>
                <w:color w:val="FFFFFF"/>
                <w:szCs w:val="18"/>
                <w:lang w:eastAsia="hr-HR"/>
              </w:rPr>
              <w:t>KZŽ - očekivano trajanje života za osobe stare</w:t>
            </w:r>
          </w:p>
        </w:tc>
        <w:tc>
          <w:tcPr>
            <w:tcW w:w="1322" w:type="dxa"/>
            <w:vMerge w:val="restart"/>
            <w:tcBorders>
              <w:top w:val="single" w:sz="8" w:space="0" w:color="D2232A" w:themeColor="accent1"/>
              <w:left w:val="single" w:sz="8" w:space="0" w:color="D2232A" w:themeColor="accent1"/>
              <w:right w:val="single" w:sz="8" w:space="0" w:color="D2232A" w:themeColor="accent1"/>
            </w:tcBorders>
            <w:shd w:val="clear" w:color="auto" w:fill="D2232A" w:themeFill="accent1"/>
            <w:vAlign w:val="center"/>
            <w:hideMark/>
          </w:tcPr>
          <w:p w14:paraId="127F4CFA" w14:textId="6F1619A0" w:rsidR="001B6773" w:rsidRPr="001B6773" w:rsidRDefault="001B6773" w:rsidP="002216F6">
            <w:pPr>
              <w:spacing w:after="0" w:line="240" w:lineRule="auto"/>
              <w:rPr>
                <w:rFonts w:eastAsia="Times New Roman" w:cstheme="minorHAnsi"/>
                <w:color w:val="FFFFFF"/>
                <w:szCs w:val="18"/>
                <w:lang w:eastAsia="hr-HR"/>
              </w:rPr>
            </w:pPr>
            <w:r w:rsidRPr="001B6773">
              <w:rPr>
                <w:rFonts w:eastAsia="Times New Roman" w:cstheme="minorHAnsi"/>
                <w:color w:val="FFFFFF"/>
                <w:szCs w:val="18"/>
                <w:lang w:eastAsia="hr-HR"/>
              </w:rPr>
              <w:t>Ukupna stopa fertiliteta</w:t>
            </w:r>
          </w:p>
        </w:tc>
      </w:tr>
      <w:tr w:rsidR="001B6773" w:rsidRPr="001B6773" w14:paraId="5488E242" w14:textId="77777777" w:rsidTr="002109C6">
        <w:trPr>
          <w:trHeight w:val="283"/>
        </w:trPr>
        <w:tc>
          <w:tcPr>
            <w:tcW w:w="1415" w:type="dxa"/>
            <w:vMerge/>
            <w:tcBorders>
              <w:top w:val="single" w:sz="8" w:space="0" w:color="D2232A" w:themeColor="accent1"/>
              <w:left w:val="single" w:sz="8" w:space="0" w:color="D2232A" w:themeColor="accent1"/>
              <w:bottom w:val="single" w:sz="8" w:space="0" w:color="D2232A" w:themeColor="accent1"/>
              <w:right w:val="single" w:sz="8" w:space="0" w:color="D2232A" w:themeColor="accent1"/>
            </w:tcBorders>
            <w:vAlign w:val="center"/>
            <w:hideMark/>
          </w:tcPr>
          <w:p w14:paraId="22E70B6E" w14:textId="77777777" w:rsidR="001B6773" w:rsidRPr="001B6773" w:rsidRDefault="001B6773" w:rsidP="001B6773">
            <w:pPr>
              <w:autoSpaceDE w:val="0"/>
              <w:autoSpaceDN w:val="0"/>
              <w:adjustRightInd w:val="0"/>
              <w:spacing w:after="0" w:line="240" w:lineRule="auto"/>
              <w:rPr>
                <w:rFonts w:eastAsia="ArialNarrow" w:cstheme="minorHAnsi"/>
              </w:rPr>
            </w:pPr>
          </w:p>
        </w:tc>
        <w:tc>
          <w:tcPr>
            <w:tcW w:w="3528" w:type="dxa"/>
            <w:gridSpan w:val="2"/>
            <w:tcBorders>
              <w:top w:val="nil"/>
              <w:left w:val="single" w:sz="8" w:space="0" w:color="D2232A" w:themeColor="accent1"/>
              <w:bottom w:val="nil"/>
              <w:right w:val="single" w:sz="8" w:space="0" w:color="D2232A" w:themeColor="accent1"/>
            </w:tcBorders>
            <w:shd w:val="clear" w:color="auto" w:fill="E5E5E5" w:themeFill="text1" w:themeFillTint="33"/>
            <w:noWrap/>
            <w:vAlign w:val="center"/>
            <w:hideMark/>
          </w:tcPr>
          <w:p w14:paraId="14AE4B70" w14:textId="77777777" w:rsidR="001B6773" w:rsidRPr="001B6773" w:rsidRDefault="001B6773" w:rsidP="002216F6">
            <w:pPr>
              <w:autoSpaceDE w:val="0"/>
              <w:autoSpaceDN w:val="0"/>
              <w:adjustRightInd w:val="0"/>
              <w:spacing w:after="0" w:line="240" w:lineRule="auto"/>
              <w:jc w:val="center"/>
              <w:rPr>
                <w:rFonts w:eastAsia="ArialNarrow" w:cstheme="minorHAnsi"/>
              </w:rPr>
            </w:pPr>
            <w:r w:rsidRPr="001B6773">
              <w:rPr>
                <w:rFonts w:eastAsia="ArialNarrow" w:cstheme="minorHAnsi"/>
              </w:rPr>
              <w:t>0 godina</w:t>
            </w:r>
          </w:p>
        </w:tc>
        <w:tc>
          <w:tcPr>
            <w:tcW w:w="3236" w:type="dxa"/>
            <w:gridSpan w:val="2"/>
            <w:tcBorders>
              <w:top w:val="nil"/>
              <w:left w:val="single" w:sz="8" w:space="0" w:color="D2232A" w:themeColor="accent1"/>
              <w:bottom w:val="nil"/>
              <w:right w:val="single" w:sz="8" w:space="0" w:color="D2232A" w:themeColor="accent1"/>
            </w:tcBorders>
            <w:shd w:val="clear" w:color="auto" w:fill="CBCBCB" w:themeFill="text1" w:themeFillTint="66"/>
            <w:noWrap/>
            <w:vAlign w:val="center"/>
            <w:hideMark/>
          </w:tcPr>
          <w:p w14:paraId="7D90BE4F" w14:textId="77777777" w:rsidR="001B6773" w:rsidRPr="001B6773" w:rsidRDefault="001B6773" w:rsidP="002216F6">
            <w:pPr>
              <w:autoSpaceDE w:val="0"/>
              <w:autoSpaceDN w:val="0"/>
              <w:adjustRightInd w:val="0"/>
              <w:spacing w:after="0" w:line="240" w:lineRule="auto"/>
              <w:jc w:val="center"/>
              <w:rPr>
                <w:rFonts w:eastAsia="ArialNarrow" w:cstheme="minorHAnsi"/>
              </w:rPr>
            </w:pPr>
            <w:r w:rsidRPr="001B6773">
              <w:rPr>
                <w:rFonts w:eastAsia="ArialNarrow" w:cstheme="minorHAnsi"/>
              </w:rPr>
              <w:t>65 godina</w:t>
            </w:r>
          </w:p>
        </w:tc>
        <w:tc>
          <w:tcPr>
            <w:tcW w:w="1322" w:type="dxa"/>
            <w:vMerge/>
            <w:vAlign w:val="center"/>
            <w:hideMark/>
          </w:tcPr>
          <w:p w14:paraId="34E1C680" w14:textId="77777777" w:rsidR="001B6773" w:rsidRPr="001B6773" w:rsidRDefault="001B6773" w:rsidP="001B6773">
            <w:pPr>
              <w:autoSpaceDE w:val="0"/>
              <w:autoSpaceDN w:val="0"/>
              <w:adjustRightInd w:val="0"/>
              <w:spacing w:after="0" w:line="240" w:lineRule="auto"/>
              <w:rPr>
                <w:rFonts w:eastAsia="ArialNarrow" w:cstheme="minorHAnsi"/>
              </w:rPr>
            </w:pPr>
          </w:p>
        </w:tc>
      </w:tr>
      <w:tr w:rsidR="001B6773" w:rsidRPr="001B6773" w14:paraId="134DF3F8" w14:textId="77777777" w:rsidTr="002216F6">
        <w:trPr>
          <w:trHeight w:val="283"/>
        </w:trPr>
        <w:tc>
          <w:tcPr>
            <w:tcW w:w="1415" w:type="dxa"/>
            <w:vMerge/>
            <w:tcBorders>
              <w:top w:val="single" w:sz="8" w:space="0" w:color="D2232A" w:themeColor="accent1"/>
              <w:left w:val="single" w:sz="8" w:space="0" w:color="D2232A" w:themeColor="accent1"/>
              <w:bottom w:val="single" w:sz="8" w:space="0" w:color="D2232A" w:themeColor="accent1"/>
              <w:right w:val="single" w:sz="8" w:space="0" w:color="D2232A" w:themeColor="accent1"/>
            </w:tcBorders>
            <w:vAlign w:val="center"/>
            <w:hideMark/>
          </w:tcPr>
          <w:p w14:paraId="225CDBF0" w14:textId="77777777" w:rsidR="001B6773" w:rsidRPr="001B6773" w:rsidRDefault="001B6773" w:rsidP="001B6773">
            <w:pPr>
              <w:autoSpaceDE w:val="0"/>
              <w:autoSpaceDN w:val="0"/>
              <w:adjustRightInd w:val="0"/>
              <w:spacing w:after="0" w:line="240" w:lineRule="auto"/>
              <w:rPr>
                <w:rFonts w:eastAsia="ArialNarrow" w:cstheme="minorHAnsi"/>
              </w:rPr>
            </w:pPr>
          </w:p>
        </w:tc>
        <w:tc>
          <w:tcPr>
            <w:tcW w:w="1764" w:type="dxa"/>
            <w:tcBorders>
              <w:top w:val="nil"/>
              <w:left w:val="single" w:sz="8" w:space="0" w:color="D2232A" w:themeColor="accent1"/>
              <w:bottom w:val="single" w:sz="8" w:space="0" w:color="D2232A" w:themeColor="accent1"/>
            </w:tcBorders>
            <w:shd w:val="clear" w:color="auto" w:fill="E5E5E5" w:themeFill="text1" w:themeFillTint="33"/>
            <w:noWrap/>
            <w:vAlign w:val="center"/>
            <w:hideMark/>
          </w:tcPr>
          <w:p w14:paraId="5F6E577C"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Muškarci</w:t>
            </w:r>
          </w:p>
        </w:tc>
        <w:tc>
          <w:tcPr>
            <w:tcW w:w="1764" w:type="dxa"/>
            <w:tcBorders>
              <w:top w:val="nil"/>
              <w:bottom w:val="single" w:sz="8" w:space="0" w:color="D2232A" w:themeColor="accent1"/>
              <w:right w:val="single" w:sz="8" w:space="0" w:color="D2232A" w:themeColor="accent1"/>
            </w:tcBorders>
            <w:shd w:val="clear" w:color="auto" w:fill="E5E5E5" w:themeFill="text1" w:themeFillTint="33"/>
            <w:noWrap/>
            <w:vAlign w:val="center"/>
            <w:hideMark/>
          </w:tcPr>
          <w:p w14:paraId="271F0CF6"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Žene</w:t>
            </w:r>
          </w:p>
        </w:tc>
        <w:tc>
          <w:tcPr>
            <w:tcW w:w="1867" w:type="dxa"/>
            <w:tcBorders>
              <w:top w:val="nil"/>
              <w:left w:val="single" w:sz="8" w:space="0" w:color="D2232A" w:themeColor="accent1"/>
              <w:bottom w:val="single" w:sz="8" w:space="0" w:color="D2232A" w:themeColor="accent1"/>
            </w:tcBorders>
            <w:shd w:val="clear" w:color="auto" w:fill="CBCBCB" w:themeFill="text1" w:themeFillTint="66"/>
            <w:noWrap/>
            <w:vAlign w:val="center"/>
            <w:hideMark/>
          </w:tcPr>
          <w:p w14:paraId="6D40F5D5"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Muškarci</w:t>
            </w:r>
          </w:p>
        </w:tc>
        <w:tc>
          <w:tcPr>
            <w:tcW w:w="1369" w:type="dxa"/>
            <w:tcBorders>
              <w:top w:val="nil"/>
              <w:bottom w:val="single" w:sz="8" w:space="0" w:color="D2232A" w:themeColor="accent1"/>
              <w:right w:val="single" w:sz="8" w:space="0" w:color="D2232A" w:themeColor="accent1"/>
            </w:tcBorders>
            <w:shd w:val="clear" w:color="auto" w:fill="CBCBCB" w:themeFill="text1" w:themeFillTint="66"/>
            <w:noWrap/>
            <w:vAlign w:val="center"/>
            <w:hideMark/>
          </w:tcPr>
          <w:p w14:paraId="7023DC9E"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Žene</w:t>
            </w:r>
          </w:p>
        </w:tc>
        <w:tc>
          <w:tcPr>
            <w:tcW w:w="1322" w:type="dxa"/>
            <w:vMerge/>
            <w:tcBorders>
              <w:bottom w:val="single" w:sz="8" w:space="0" w:color="D2232A" w:themeColor="accent1"/>
            </w:tcBorders>
            <w:vAlign w:val="center"/>
            <w:hideMark/>
          </w:tcPr>
          <w:p w14:paraId="2AD39D80" w14:textId="77777777" w:rsidR="001B6773" w:rsidRPr="001B6773" w:rsidRDefault="001B6773" w:rsidP="001B6773">
            <w:pPr>
              <w:autoSpaceDE w:val="0"/>
              <w:autoSpaceDN w:val="0"/>
              <w:adjustRightInd w:val="0"/>
              <w:spacing w:after="0" w:line="240" w:lineRule="auto"/>
              <w:rPr>
                <w:rFonts w:eastAsia="ArialNarrow" w:cstheme="minorHAnsi"/>
              </w:rPr>
            </w:pPr>
          </w:p>
        </w:tc>
      </w:tr>
      <w:tr w:rsidR="001B6773" w:rsidRPr="001B6773" w14:paraId="3130A8B0" w14:textId="77777777" w:rsidTr="002216F6">
        <w:trPr>
          <w:trHeight w:val="283"/>
        </w:trPr>
        <w:tc>
          <w:tcPr>
            <w:tcW w:w="1415"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vAlign w:val="center"/>
            <w:hideMark/>
          </w:tcPr>
          <w:p w14:paraId="30953AF9"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2001./2002.</w:t>
            </w:r>
          </w:p>
        </w:tc>
        <w:tc>
          <w:tcPr>
            <w:tcW w:w="1764"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tcPr>
          <w:p w14:paraId="6804400A"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67,14</w:t>
            </w:r>
          </w:p>
        </w:tc>
        <w:tc>
          <w:tcPr>
            <w:tcW w:w="1764"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tcPr>
          <w:p w14:paraId="0619BAD2"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76,84</w:t>
            </w:r>
          </w:p>
        </w:tc>
        <w:tc>
          <w:tcPr>
            <w:tcW w:w="1867"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tcPr>
          <w:p w14:paraId="2420AF15"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11,57</w:t>
            </w:r>
          </w:p>
        </w:tc>
        <w:tc>
          <w:tcPr>
            <w:tcW w:w="1369"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tcPr>
          <w:p w14:paraId="14E9733A"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16,32</w:t>
            </w:r>
          </w:p>
        </w:tc>
        <w:tc>
          <w:tcPr>
            <w:tcW w:w="1322"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vAlign w:val="bottom"/>
            <w:hideMark/>
          </w:tcPr>
          <w:p w14:paraId="5AF62D31"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1,37</w:t>
            </w:r>
          </w:p>
        </w:tc>
      </w:tr>
      <w:tr w:rsidR="001B6773" w:rsidRPr="001B6773" w14:paraId="07420707" w14:textId="77777777" w:rsidTr="002216F6">
        <w:trPr>
          <w:trHeight w:val="283"/>
        </w:trPr>
        <w:tc>
          <w:tcPr>
            <w:tcW w:w="1415"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vAlign w:val="center"/>
            <w:hideMark/>
          </w:tcPr>
          <w:p w14:paraId="32C43364"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2008./2009.</w:t>
            </w:r>
          </w:p>
        </w:tc>
        <w:tc>
          <w:tcPr>
            <w:tcW w:w="1764"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tcPr>
          <w:p w14:paraId="2BF459CC"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68,81</w:t>
            </w:r>
          </w:p>
        </w:tc>
        <w:tc>
          <w:tcPr>
            <w:tcW w:w="1764"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tcPr>
          <w:p w14:paraId="5825B21D"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78,16</w:t>
            </w:r>
          </w:p>
        </w:tc>
        <w:tc>
          <w:tcPr>
            <w:tcW w:w="1867"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tcPr>
          <w:p w14:paraId="392ED58E"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12,29</w:t>
            </w:r>
          </w:p>
        </w:tc>
        <w:tc>
          <w:tcPr>
            <w:tcW w:w="1369"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tcPr>
          <w:p w14:paraId="54C38C51"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17,17</w:t>
            </w:r>
          </w:p>
        </w:tc>
        <w:tc>
          <w:tcPr>
            <w:tcW w:w="1322" w:type="dxa"/>
            <w:tcBorders>
              <w:top w:val="single" w:sz="8" w:space="0" w:color="D2232A" w:themeColor="accent1"/>
              <w:left w:val="single" w:sz="8" w:space="0" w:color="D2232A" w:themeColor="accent1"/>
              <w:bottom w:val="single" w:sz="8" w:space="0" w:color="D2232A" w:themeColor="accent1"/>
              <w:right w:val="single" w:sz="8" w:space="0" w:color="D2232A" w:themeColor="accent1"/>
            </w:tcBorders>
            <w:shd w:val="clear" w:color="auto" w:fill="auto"/>
            <w:noWrap/>
            <w:vAlign w:val="bottom"/>
            <w:hideMark/>
          </w:tcPr>
          <w:p w14:paraId="6CEAD032" w14:textId="77777777" w:rsidR="001B6773" w:rsidRPr="001B6773" w:rsidRDefault="001B6773" w:rsidP="001B6773">
            <w:pPr>
              <w:autoSpaceDE w:val="0"/>
              <w:autoSpaceDN w:val="0"/>
              <w:adjustRightInd w:val="0"/>
              <w:spacing w:after="0" w:line="240" w:lineRule="auto"/>
              <w:rPr>
                <w:rFonts w:eastAsia="ArialNarrow" w:cstheme="minorHAnsi"/>
              </w:rPr>
            </w:pPr>
            <w:r w:rsidRPr="001B6773">
              <w:rPr>
                <w:rFonts w:eastAsia="ArialNarrow" w:cstheme="minorHAnsi"/>
              </w:rPr>
              <w:t>1,46</w:t>
            </w:r>
          </w:p>
        </w:tc>
      </w:tr>
    </w:tbl>
    <w:p w14:paraId="41CA9841" w14:textId="3DA6C69B" w:rsidR="008878A0" w:rsidRPr="006525B8" w:rsidRDefault="002216F6"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Izvor: DZS, Projekcije stanovništva 2010-2061.</w:t>
      </w:r>
    </w:p>
    <w:p w14:paraId="46B91B83" w14:textId="77777777" w:rsidR="0030756A" w:rsidRDefault="0030756A" w:rsidP="00B36083">
      <w:pPr>
        <w:autoSpaceDE w:val="0"/>
        <w:autoSpaceDN w:val="0"/>
        <w:adjustRightInd w:val="0"/>
        <w:spacing w:after="0" w:line="240" w:lineRule="auto"/>
        <w:rPr>
          <w:rFonts w:eastAsia="Newslab" w:cs="Newslab"/>
          <w:color w:val="FF0000"/>
        </w:rPr>
      </w:pPr>
    </w:p>
    <w:p w14:paraId="4D93258A" w14:textId="1829C660" w:rsidR="006106A3" w:rsidRDefault="00B36083" w:rsidP="00B36083">
      <w:pPr>
        <w:autoSpaceDE w:val="0"/>
        <w:autoSpaceDN w:val="0"/>
        <w:adjustRightInd w:val="0"/>
        <w:spacing w:after="0" w:line="240" w:lineRule="auto"/>
        <w:rPr>
          <w:rFonts w:eastAsia="Newslab" w:cs="Newslab"/>
        </w:rPr>
      </w:pPr>
      <w:r w:rsidRPr="00B044F9">
        <w:rPr>
          <w:rFonts w:eastAsia="Newslab" w:cs="Newslab"/>
        </w:rPr>
        <w:t>Stopa totalnog fertiliteta jest prosječan broj živorođene djece koju bi jedna žena rodila u fertilnoj dobi života (15 – 49 godina) pod uvjetom djelovanja istih specifičnih stopa fertiliteta kao i promatrane godine.</w:t>
      </w:r>
      <w:r w:rsidR="001B6773" w:rsidRPr="00B044F9">
        <w:rPr>
          <w:rFonts w:eastAsia="Newslab" w:cs="Newslab"/>
        </w:rPr>
        <w:t xml:space="preserve"> </w:t>
      </w:r>
      <w:r w:rsidR="006106A3" w:rsidRPr="00B044F9">
        <w:rPr>
          <w:rFonts w:eastAsia="Newslab" w:cs="Newslab"/>
        </w:rPr>
        <w:t xml:space="preserve">Ukupna stopa fertiliteta na području Krapinsko-zagorske županije </w:t>
      </w:r>
      <w:r w:rsidR="001B6773" w:rsidRPr="00B044F9">
        <w:rPr>
          <w:rFonts w:eastAsia="Newslab" w:cs="Newslab"/>
        </w:rPr>
        <w:t>prema zadnje dostupnim podacima</w:t>
      </w:r>
      <w:r w:rsidR="006106A3" w:rsidRPr="00B044F9">
        <w:rPr>
          <w:rFonts w:eastAsia="Newslab" w:cs="Newslab"/>
        </w:rPr>
        <w:t xml:space="preserve"> </w:t>
      </w:r>
      <w:r w:rsidR="005A02F2" w:rsidRPr="00B044F9">
        <w:rPr>
          <w:rFonts w:eastAsia="Newslab" w:cs="Newslab"/>
        </w:rPr>
        <w:t>za 2016. godinu iznosila je 1,34.</w:t>
      </w:r>
      <w:r w:rsidR="005A02F2" w:rsidRPr="00681F7C">
        <w:rPr>
          <w:rFonts w:eastAsia="Newslab" w:cs="Newslab"/>
          <w:color w:val="FF0000"/>
        </w:rPr>
        <w:t xml:space="preserve"> </w:t>
      </w:r>
      <w:r w:rsidR="005A02F2">
        <w:rPr>
          <w:rStyle w:val="Referencafusnote"/>
          <w:rFonts w:eastAsia="Newslab" w:cs="Newslab"/>
        </w:rPr>
        <w:footnoteReference w:id="26"/>
      </w:r>
      <w:r w:rsidR="00681F7C">
        <w:rPr>
          <w:rFonts w:eastAsia="Newslab" w:cs="Newslab"/>
        </w:rPr>
        <w:t xml:space="preserve"> te je niž</w:t>
      </w:r>
      <w:r w:rsidR="00EC40DA">
        <w:rPr>
          <w:rFonts w:eastAsia="Newslab" w:cs="Newslab"/>
        </w:rPr>
        <w:t>a</w:t>
      </w:r>
      <w:r w:rsidR="00681F7C">
        <w:rPr>
          <w:rFonts w:eastAsia="Newslab" w:cs="Newslab"/>
        </w:rPr>
        <w:t xml:space="preserve"> i od državnog prosjeka.</w:t>
      </w:r>
      <w:r w:rsidR="00B044F9">
        <w:rPr>
          <w:rFonts w:eastAsia="Newslab" w:cs="Newslab"/>
        </w:rPr>
        <w:t xml:space="preserve"> </w:t>
      </w:r>
      <w:r w:rsidR="006106A3" w:rsidRPr="06F6E577">
        <w:rPr>
          <w:rFonts w:eastAsia="Newslab" w:cs="Newslab"/>
        </w:rPr>
        <w:t xml:space="preserve">Na razini Republike Hrvatske ukupna stopa fertiliteta prema posljednjem dostupnom podatku </w:t>
      </w:r>
      <w:r>
        <w:rPr>
          <w:rFonts w:eastAsia="Newslab" w:cs="Newslab"/>
        </w:rPr>
        <w:t xml:space="preserve">za 2019. godinu </w:t>
      </w:r>
      <w:r w:rsidR="006106A3" w:rsidRPr="06F6E577">
        <w:rPr>
          <w:rFonts w:eastAsia="Newslab" w:cs="Newslab"/>
        </w:rPr>
        <w:t xml:space="preserve">bila je na razini od </w:t>
      </w:r>
      <w:r w:rsidR="004F6055" w:rsidRPr="06F6E577">
        <w:rPr>
          <w:rFonts w:eastAsia="Newslab" w:cs="Newslab"/>
        </w:rPr>
        <w:t>1,4</w:t>
      </w:r>
      <w:r w:rsidR="05A432E6" w:rsidRPr="06F6E577">
        <w:rPr>
          <w:rFonts w:eastAsia="Newslab" w:cs="Newslab"/>
        </w:rPr>
        <w:t>7</w:t>
      </w:r>
      <w:r w:rsidR="006106A3" w:rsidRPr="06F6E577">
        <w:rPr>
          <w:rFonts w:eastAsia="Newslab" w:cs="Newslab"/>
        </w:rPr>
        <w:t>.</w:t>
      </w:r>
      <w:r>
        <w:rPr>
          <w:rStyle w:val="Referencafusnote"/>
          <w:rFonts w:eastAsia="Newslab" w:cs="Newslab"/>
          <w:color w:val="auto"/>
          <w:sz w:val="22"/>
          <w:szCs w:val="22"/>
        </w:rPr>
        <w:footnoteReference w:id="27"/>
      </w:r>
    </w:p>
    <w:p w14:paraId="2F14346E" w14:textId="352C25F2" w:rsidR="00037256" w:rsidRDefault="00037256" w:rsidP="00B36083">
      <w:pPr>
        <w:autoSpaceDE w:val="0"/>
        <w:autoSpaceDN w:val="0"/>
        <w:adjustRightInd w:val="0"/>
        <w:spacing w:after="0" w:line="240" w:lineRule="auto"/>
        <w:rPr>
          <w:rFonts w:eastAsia="Newslab" w:cs="Newslab"/>
        </w:rPr>
      </w:pPr>
    </w:p>
    <w:p w14:paraId="794C79DA" w14:textId="4D104746" w:rsidR="00E61CD7" w:rsidRPr="005251F6" w:rsidRDefault="00E61CD7" w:rsidP="005251F6">
      <w:pPr>
        <w:pStyle w:val="Opisslike"/>
      </w:pPr>
      <w:r w:rsidRPr="005251F6">
        <w:t xml:space="preserve">Grafikon </w:t>
      </w:r>
      <w:r w:rsidR="00627AAF" w:rsidRPr="005251F6">
        <w:t>10</w:t>
      </w:r>
      <w:r w:rsidR="00027BB2" w:rsidRPr="005251F6">
        <w:t>.</w:t>
      </w:r>
      <w:r w:rsidRPr="005251F6">
        <w:t xml:space="preserve"> Totalna stopa fertiliteta (TFR) u Hrvatskoj i županijama u 2016.</w:t>
      </w:r>
      <w:r w:rsidR="00F149C7" w:rsidRPr="005251F6">
        <w:t xml:space="preserve"> </w:t>
      </w:r>
      <w:r w:rsidR="005A02F2" w:rsidRPr="005251F6">
        <w:t>godini</w:t>
      </w:r>
    </w:p>
    <w:p w14:paraId="26AA8268" w14:textId="33561081" w:rsidR="00E61CD7" w:rsidRPr="001B6773" w:rsidRDefault="00E61CD7" w:rsidP="005A02F2">
      <w:pPr>
        <w:autoSpaceDE w:val="0"/>
        <w:autoSpaceDN w:val="0"/>
        <w:adjustRightInd w:val="0"/>
        <w:spacing w:after="0" w:line="240" w:lineRule="auto"/>
        <w:jc w:val="center"/>
        <w:rPr>
          <w:rFonts w:eastAsia="Newslab" w:cs="Newslab"/>
          <w:color w:val="FF0000"/>
        </w:rPr>
      </w:pPr>
      <w:r>
        <w:rPr>
          <w:noProof/>
        </w:rPr>
        <w:drawing>
          <wp:inline distT="0" distB="0" distL="0" distR="0" wp14:anchorId="07C3E634" wp14:editId="54FFF1A9">
            <wp:extent cx="5951220" cy="3870960"/>
            <wp:effectExtent l="0" t="0" r="11430" b="15240"/>
            <wp:docPr id="10" name="Grafikon 10">
              <a:extLst xmlns:a="http://schemas.openxmlformats.org/drawingml/2006/main">
                <a:ext uri="{FF2B5EF4-FFF2-40B4-BE49-F238E27FC236}">
                  <a16:creationId xmlns:a16="http://schemas.microsoft.com/office/drawing/2014/main" id="{923B0899-40BE-457F-9253-E73D4DF25F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607AAB3" w14:textId="7BA44624" w:rsidR="00411D05" w:rsidRDefault="005A02F2"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 xml:space="preserve">Izvor: </w:t>
      </w:r>
      <w:hyperlink r:id="rId36" w:history="1">
        <w:r w:rsidRPr="006525B8">
          <w:rPr>
            <w:rFonts w:eastAsia="ArialNarrow" w:cstheme="minorHAnsi"/>
            <w:i/>
            <w:color w:val="ABABAB" w:themeColor="text1" w:themeTint="A6"/>
            <w:sz w:val="16"/>
            <w:szCs w:val="16"/>
          </w:rPr>
          <w:t>https://clps.hr/fertilitet-po-zupanijama-hrvatske-u-2016/</w:t>
        </w:r>
      </w:hyperlink>
    </w:p>
    <w:p w14:paraId="7DEA2792" w14:textId="1AFCFC49" w:rsidR="008F5C7A" w:rsidRDefault="008F5C7A" w:rsidP="006525B8">
      <w:pPr>
        <w:autoSpaceDE w:val="0"/>
        <w:autoSpaceDN w:val="0"/>
        <w:adjustRightInd w:val="0"/>
        <w:spacing w:after="0" w:line="240" w:lineRule="auto"/>
        <w:rPr>
          <w:rFonts w:eastAsia="ArialNarrow" w:cstheme="minorHAnsi"/>
          <w:i/>
          <w:color w:val="ABABAB" w:themeColor="text1" w:themeTint="A6"/>
          <w:sz w:val="16"/>
          <w:szCs w:val="16"/>
        </w:rPr>
      </w:pPr>
    </w:p>
    <w:p w14:paraId="1E3A8FD8" w14:textId="77777777" w:rsidR="008F5C7A" w:rsidRDefault="008F5C7A" w:rsidP="008F5C7A">
      <w:pPr>
        <w:pStyle w:val="Naslov2"/>
      </w:pPr>
      <w:bookmarkStart w:id="65" w:name="_Toc85181291"/>
      <w:r>
        <w:t>4.2. Migracijska kretanja</w:t>
      </w:r>
      <w:bookmarkEnd w:id="65"/>
    </w:p>
    <w:p w14:paraId="47AD258A" w14:textId="77777777" w:rsidR="008F5C7A" w:rsidRDefault="008F5C7A" w:rsidP="008F5C7A">
      <w:pPr>
        <w:autoSpaceDE w:val="0"/>
        <w:autoSpaceDN w:val="0"/>
        <w:adjustRightInd w:val="0"/>
        <w:spacing w:after="0" w:line="240" w:lineRule="auto"/>
        <w:rPr>
          <w:rFonts w:eastAsia="ArialNarrow" w:cstheme="minorHAnsi"/>
        </w:rPr>
      </w:pPr>
    </w:p>
    <w:p w14:paraId="5885F154" w14:textId="77777777" w:rsidR="008F5C7A" w:rsidRDefault="008F5C7A" w:rsidP="008F5C7A">
      <w:pPr>
        <w:autoSpaceDE w:val="0"/>
        <w:autoSpaceDN w:val="0"/>
        <w:adjustRightInd w:val="0"/>
        <w:spacing w:after="0" w:line="240" w:lineRule="auto"/>
        <w:rPr>
          <w:rFonts w:eastAsia="ArialNarrow" w:cstheme="minorHAnsi"/>
        </w:rPr>
      </w:pPr>
      <w:r>
        <w:rPr>
          <w:rFonts w:eastAsia="ArialNarrow" w:cstheme="minorHAnsi"/>
        </w:rPr>
        <w:t xml:space="preserve">Demografske karakteristike stanovništva Krapinsko-zagorske županije moguće je promatrati preko neto migracijskog salda. Uz prirodni prirast i broj stanovnika, migracijski saldo spada u osnovne demografske pokazatelje. </w:t>
      </w:r>
    </w:p>
    <w:p w14:paraId="25880752" w14:textId="77777777" w:rsidR="008F5C7A" w:rsidRDefault="008F5C7A" w:rsidP="008F5C7A">
      <w:pPr>
        <w:autoSpaceDE w:val="0"/>
        <w:autoSpaceDN w:val="0"/>
        <w:adjustRightInd w:val="0"/>
        <w:spacing w:after="0" w:line="240" w:lineRule="auto"/>
        <w:rPr>
          <w:rFonts w:eastAsia="ArialNarrow" w:cstheme="minorHAnsi"/>
        </w:rPr>
      </w:pPr>
    </w:p>
    <w:p w14:paraId="6E8DAC87" w14:textId="77777777" w:rsidR="008F5C7A" w:rsidRDefault="008F5C7A" w:rsidP="008F5C7A">
      <w:pPr>
        <w:pStyle w:val="Opisslike"/>
      </w:pPr>
      <w:r>
        <w:t xml:space="preserve">Tablica </w:t>
      </w:r>
      <w:r>
        <w:rPr>
          <w:noProof/>
        </w:rPr>
        <w:t>15</w:t>
      </w:r>
      <w:r w:rsidRPr="4E193667">
        <w:rPr>
          <w:noProof/>
        </w:rPr>
        <w:t>.</w:t>
      </w:r>
      <w:r>
        <w:t xml:space="preserve"> Vanjska migracija, Krapinsko-zagorska županija, Republika Hrvatska 2014. - 2019.</w:t>
      </w:r>
    </w:p>
    <w:tbl>
      <w:tblPr>
        <w:tblW w:w="4935" w:type="pct"/>
        <w:shd w:val="clear" w:color="auto" w:fill="D2232A"/>
        <w:tblLayout w:type="fixed"/>
        <w:tblLook w:val="04A0" w:firstRow="1" w:lastRow="0" w:firstColumn="1" w:lastColumn="0" w:noHBand="0" w:noVBand="1"/>
      </w:tblPr>
      <w:tblGrid>
        <w:gridCol w:w="948"/>
        <w:gridCol w:w="1268"/>
        <w:gridCol w:w="1261"/>
        <w:gridCol w:w="978"/>
        <w:gridCol w:w="1240"/>
        <w:gridCol w:w="1422"/>
        <w:gridCol w:w="2057"/>
      </w:tblGrid>
      <w:tr w:rsidR="008F5C7A" w:rsidRPr="003A2F4B" w14:paraId="42D7EC97" w14:textId="77777777" w:rsidTr="00232104">
        <w:trPr>
          <w:trHeight w:val="279"/>
          <w:tblHeader/>
        </w:trPr>
        <w:tc>
          <w:tcPr>
            <w:tcW w:w="517" w:type="pct"/>
            <w:vMerge w:val="restart"/>
            <w:tcBorders>
              <w:right w:val="single" w:sz="4" w:space="0" w:color="FFFFFF" w:themeColor="background1"/>
            </w:tcBorders>
            <w:shd w:val="clear" w:color="auto" w:fill="D2232A" w:themeFill="accent1"/>
            <w:vAlign w:val="center"/>
            <w:hideMark/>
          </w:tcPr>
          <w:p w14:paraId="4C20ABC8" w14:textId="77777777" w:rsidR="008F5C7A" w:rsidRPr="003A2F4B" w:rsidRDefault="008F5C7A" w:rsidP="00232104">
            <w:pPr>
              <w:spacing w:after="0" w:line="240" w:lineRule="auto"/>
              <w:jc w:val="center"/>
              <w:rPr>
                <w:rFonts w:eastAsia="Times New Roman" w:cstheme="minorHAnsi"/>
                <w:color w:val="FFFFFF"/>
                <w:szCs w:val="18"/>
                <w:lang w:eastAsia="hr-HR"/>
              </w:rPr>
            </w:pPr>
            <w:r w:rsidRPr="003A2F4B">
              <w:rPr>
                <w:rFonts w:eastAsia="Times New Roman" w:cstheme="minorHAnsi"/>
                <w:color w:val="FFFFFF"/>
                <w:szCs w:val="18"/>
                <w:lang w:eastAsia="hr-HR"/>
              </w:rPr>
              <w:t>Godina</w:t>
            </w:r>
          </w:p>
        </w:tc>
        <w:tc>
          <w:tcPr>
            <w:tcW w:w="1911" w:type="pct"/>
            <w:gridSpan w:val="3"/>
            <w:tcBorders>
              <w:left w:val="single" w:sz="4" w:space="0" w:color="FFFFFF" w:themeColor="background1"/>
              <w:bottom w:val="single" w:sz="4" w:space="0" w:color="FFFFFF" w:themeColor="background1"/>
            </w:tcBorders>
            <w:shd w:val="clear" w:color="auto" w:fill="D2232A" w:themeFill="accent1"/>
            <w:noWrap/>
            <w:vAlign w:val="center"/>
            <w:hideMark/>
          </w:tcPr>
          <w:p w14:paraId="1C6AF17F" w14:textId="77777777" w:rsidR="008F5C7A" w:rsidRPr="003A2F4B" w:rsidRDefault="008F5C7A" w:rsidP="00232104">
            <w:pPr>
              <w:spacing w:after="0" w:line="240" w:lineRule="auto"/>
              <w:jc w:val="center"/>
              <w:rPr>
                <w:rFonts w:eastAsia="Times New Roman" w:cstheme="minorHAnsi"/>
                <w:szCs w:val="18"/>
                <w:lang w:eastAsia="hr-HR"/>
              </w:rPr>
            </w:pPr>
            <w:r w:rsidRPr="003A2F4B">
              <w:rPr>
                <w:rFonts w:eastAsia="Times New Roman" w:cstheme="minorHAnsi"/>
                <w:color w:val="FFFFFF"/>
                <w:szCs w:val="18"/>
                <w:lang w:eastAsia="hr-HR"/>
              </w:rPr>
              <w:t>KRAPINSKO-ZAGORSKA ŽUPANIJA</w:t>
            </w:r>
          </w:p>
        </w:tc>
        <w:tc>
          <w:tcPr>
            <w:tcW w:w="2572" w:type="pct"/>
            <w:gridSpan w:val="3"/>
            <w:tcBorders>
              <w:top w:val="single" w:sz="4" w:space="0" w:color="FFFFFF" w:themeColor="background1"/>
              <w:bottom w:val="single" w:sz="4" w:space="0" w:color="FFFFFF" w:themeColor="background1"/>
              <w:right w:val="single" w:sz="4" w:space="0" w:color="FFFFFF" w:themeColor="background1"/>
            </w:tcBorders>
            <w:shd w:val="clear" w:color="auto" w:fill="E5E5E5" w:themeFill="text1" w:themeFillTint="33"/>
            <w:noWrap/>
            <w:vAlign w:val="center"/>
            <w:hideMark/>
          </w:tcPr>
          <w:p w14:paraId="4DBF66CF" w14:textId="77777777" w:rsidR="008F5C7A" w:rsidRPr="003A2F4B" w:rsidRDefault="008F5C7A" w:rsidP="00232104">
            <w:pPr>
              <w:spacing w:after="0" w:line="240" w:lineRule="auto"/>
              <w:jc w:val="center"/>
              <w:rPr>
                <w:rFonts w:eastAsia="Times New Roman" w:cstheme="minorHAnsi"/>
                <w:szCs w:val="18"/>
                <w:lang w:eastAsia="hr-HR"/>
              </w:rPr>
            </w:pPr>
            <w:r w:rsidRPr="003A2F4B">
              <w:rPr>
                <w:rFonts w:eastAsia="Times New Roman" w:cstheme="minorHAnsi"/>
                <w:szCs w:val="18"/>
                <w:lang w:eastAsia="hr-HR"/>
              </w:rPr>
              <w:t>REPUBLIKA HRVATSKA</w:t>
            </w:r>
          </w:p>
        </w:tc>
      </w:tr>
      <w:tr w:rsidR="008F5C7A" w:rsidRPr="003A2F4B" w14:paraId="7E436404" w14:textId="77777777" w:rsidTr="00232104">
        <w:trPr>
          <w:trHeight w:val="279"/>
          <w:tblHeader/>
        </w:trPr>
        <w:tc>
          <w:tcPr>
            <w:tcW w:w="517" w:type="pct"/>
            <w:vMerge/>
            <w:vAlign w:val="center"/>
            <w:hideMark/>
          </w:tcPr>
          <w:p w14:paraId="709C2B14" w14:textId="77777777" w:rsidR="008F5C7A" w:rsidRPr="003A2F4B" w:rsidRDefault="008F5C7A" w:rsidP="00232104">
            <w:pPr>
              <w:spacing w:after="0"/>
              <w:jc w:val="center"/>
              <w:rPr>
                <w:rFonts w:eastAsia="Times New Roman" w:cstheme="minorHAnsi"/>
                <w:color w:val="FFFFFF"/>
                <w:szCs w:val="18"/>
                <w:lang w:eastAsia="hr-HR"/>
              </w:rPr>
            </w:pPr>
          </w:p>
        </w:tc>
        <w:tc>
          <w:tcPr>
            <w:tcW w:w="69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322D9062"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Doseljeno</w:t>
            </w:r>
          </w:p>
        </w:tc>
        <w:tc>
          <w:tcPr>
            <w:tcW w:w="687"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1908CBA8"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Odseljeno</w:t>
            </w:r>
          </w:p>
        </w:tc>
        <w:tc>
          <w:tcPr>
            <w:tcW w:w="533" w:type="pct"/>
            <w:tcBorders>
              <w:top w:val="single" w:sz="4" w:space="0" w:color="FFFFFF" w:themeColor="background1"/>
              <w:left w:val="single" w:sz="4" w:space="0" w:color="FFFFFF" w:themeColor="background1"/>
              <w:bottom w:val="single" w:sz="4" w:space="0" w:color="FFFFFF" w:themeColor="background1"/>
            </w:tcBorders>
            <w:shd w:val="clear" w:color="auto" w:fill="D2232A" w:themeFill="accent1"/>
            <w:vAlign w:val="center"/>
          </w:tcPr>
          <w:p w14:paraId="0179AD86"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Razlika</w:t>
            </w:r>
          </w:p>
        </w:tc>
        <w:tc>
          <w:tcPr>
            <w:tcW w:w="676" w:type="pct"/>
            <w:tcBorders>
              <w:top w:val="single" w:sz="4" w:space="0" w:color="FFFFFF" w:themeColor="background1"/>
              <w:bottom w:val="single" w:sz="4" w:space="0" w:color="FFFFFF" w:themeColor="background1"/>
              <w:right w:val="single" w:sz="4" w:space="0" w:color="FFFFFF" w:themeColor="background1"/>
            </w:tcBorders>
            <w:shd w:val="clear" w:color="auto" w:fill="E5E5E5" w:themeFill="text1" w:themeFillTint="33"/>
            <w:noWrap/>
            <w:vAlign w:val="center"/>
            <w:hideMark/>
          </w:tcPr>
          <w:p w14:paraId="340297B7" w14:textId="77777777" w:rsidR="008F5C7A" w:rsidRPr="003A2F4B" w:rsidRDefault="008F5C7A" w:rsidP="00232104">
            <w:pPr>
              <w:spacing w:after="0" w:line="240" w:lineRule="auto"/>
              <w:jc w:val="center"/>
              <w:rPr>
                <w:rFonts w:eastAsia="Times New Roman" w:cstheme="minorHAnsi"/>
                <w:szCs w:val="18"/>
                <w:lang w:eastAsia="hr-HR"/>
              </w:rPr>
            </w:pPr>
            <w:r w:rsidRPr="003A2F4B">
              <w:rPr>
                <w:rFonts w:eastAsia="Times New Roman" w:cstheme="minorHAnsi"/>
                <w:szCs w:val="18"/>
                <w:lang w:eastAsia="hr-HR"/>
              </w:rPr>
              <w:t>Doseljeno</w:t>
            </w:r>
          </w:p>
        </w:tc>
        <w:tc>
          <w:tcPr>
            <w:tcW w:w="775"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5E5E5" w:themeFill="text1" w:themeFillTint="33"/>
            <w:noWrap/>
            <w:vAlign w:val="center"/>
            <w:hideMark/>
          </w:tcPr>
          <w:p w14:paraId="62831D7F" w14:textId="77777777" w:rsidR="008F5C7A" w:rsidRPr="003A2F4B" w:rsidRDefault="008F5C7A" w:rsidP="00232104">
            <w:pPr>
              <w:spacing w:after="0" w:line="240" w:lineRule="auto"/>
              <w:jc w:val="center"/>
              <w:rPr>
                <w:rFonts w:eastAsia="Times New Roman" w:cstheme="minorHAnsi"/>
                <w:szCs w:val="18"/>
                <w:lang w:eastAsia="hr-HR"/>
              </w:rPr>
            </w:pPr>
            <w:r w:rsidRPr="003A2F4B">
              <w:rPr>
                <w:rFonts w:eastAsia="Times New Roman" w:cstheme="minorHAnsi"/>
                <w:szCs w:val="18"/>
                <w:lang w:eastAsia="hr-HR"/>
              </w:rPr>
              <w:t>Odseljeno</w:t>
            </w:r>
          </w:p>
        </w:tc>
        <w:tc>
          <w:tcPr>
            <w:tcW w:w="1121"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5E5E5" w:themeFill="text1" w:themeFillTint="33"/>
          </w:tcPr>
          <w:p w14:paraId="5B0F8A8F" w14:textId="77777777" w:rsidR="008F5C7A" w:rsidRPr="003A2F4B" w:rsidRDefault="008F5C7A" w:rsidP="00232104">
            <w:pPr>
              <w:spacing w:after="0" w:line="240" w:lineRule="auto"/>
              <w:jc w:val="center"/>
              <w:rPr>
                <w:rFonts w:eastAsia="Times New Roman" w:cstheme="minorHAnsi"/>
                <w:szCs w:val="18"/>
                <w:lang w:eastAsia="hr-HR"/>
              </w:rPr>
            </w:pPr>
            <w:r w:rsidRPr="003A2F4B">
              <w:rPr>
                <w:rFonts w:eastAsia="Times New Roman" w:cstheme="minorHAnsi"/>
                <w:szCs w:val="18"/>
                <w:lang w:eastAsia="hr-HR"/>
              </w:rPr>
              <w:t>Razlika</w:t>
            </w:r>
          </w:p>
        </w:tc>
      </w:tr>
      <w:tr w:rsidR="008F5C7A" w:rsidRPr="003A2F4B" w14:paraId="6B177875" w14:textId="77777777" w:rsidTr="00232104">
        <w:trPr>
          <w:trHeight w:val="279"/>
        </w:trPr>
        <w:tc>
          <w:tcPr>
            <w:tcW w:w="517" w:type="pct"/>
            <w:tcBorders>
              <w:top w:val="single" w:sz="4" w:space="0" w:color="FFFFFF" w:themeColor="background1"/>
              <w:bottom w:val="single" w:sz="8" w:space="0" w:color="F3CFC1"/>
            </w:tcBorders>
            <w:shd w:val="clear" w:color="auto" w:fill="D2232A" w:themeFill="accent1"/>
            <w:noWrap/>
            <w:vAlign w:val="center"/>
            <w:hideMark/>
          </w:tcPr>
          <w:p w14:paraId="7A60E602"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2014.</w:t>
            </w:r>
          </w:p>
        </w:tc>
        <w:tc>
          <w:tcPr>
            <w:tcW w:w="691" w:type="pct"/>
            <w:tcBorders>
              <w:top w:val="single" w:sz="4" w:space="0" w:color="FFFFFF" w:themeColor="background1"/>
              <w:bottom w:val="single" w:sz="8" w:space="0" w:color="F3CFC1"/>
            </w:tcBorders>
            <w:shd w:val="clear" w:color="auto" w:fill="FFFFFF" w:themeFill="background1"/>
            <w:noWrap/>
            <w:vAlign w:val="center"/>
            <w:hideMark/>
          </w:tcPr>
          <w:p w14:paraId="7264E4F7"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79</w:t>
            </w:r>
          </w:p>
        </w:tc>
        <w:tc>
          <w:tcPr>
            <w:tcW w:w="687" w:type="pct"/>
            <w:tcBorders>
              <w:top w:val="single" w:sz="4" w:space="0" w:color="FFFFFF" w:themeColor="background1"/>
              <w:bottom w:val="single" w:sz="8" w:space="0" w:color="F3CFC1"/>
              <w:right w:val="single" w:sz="4" w:space="0" w:color="FFFFFF" w:themeColor="background1"/>
            </w:tcBorders>
            <w:shd w:val="clear" w:color="auto" w:fill="FFFFFF" w:themeFill="background1"/>
            <w:noWrap/>
            <w:vAlign w:val="center"/>
            <w:hideMark/>
          </w:tcPr>
          <w:p w14:paraId="23B0DCE1"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256</w:t>
            </w:r>
          </w:p>
        </w:tc>
        <w:tc>
          <w:tcPr>
            <w:tcW w:w="533" w:type="pct"/>
            <w:tcBorders>
              <w:top w:val="single" w:sz="4" w:space="0" w:color="FFFFFF" w:themeColor="background1"/>
              <w:left w:val="single" w:sz="4" w:space="0" w:color="FFFFFF" w:themeColor="background1"/>
              <w:bottom w:val="single" w:sz="8" w:space="0" w:color="F3CFC1"/>
              <w:right w:val="single" w:sz="8" w:space="0" w:color="D2232A" w:themeColor="accent1"/>
            </w:tcBorders>
            <w:shd w:val="clear" w:color="auto" w:fill="FFFFFF" w:themeFill="background1"/>
            <w:vAlign w:val="center"/>
          </w:tcPr>
          <w:p w14:paraId="53167509"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-177</w:t>
            </w:r>
          </w:p>
        </w:tc>
        <w:tc>
          <w:tcPr>
            <w:tcW w:w="676" w:type="pct"/>
            <w:tcBorders>
              <w:top w:val="single" w:sz="4" w:space="0" w:color="FFFFFF" w:themeColor="background1"/>
              <w:left w:val="single" w:sz="8" w:space="0" w:color="D2232A" w:themeColor="accent1"/>
              <w:bottom w:val="single" w:sz="8" w:space="0" w:color="F3CFC1"/>
            </w:tcBorders>
            <w:shd w:val="clear" w:color="auto" w:fill="FFFFFF" w:themeFill="background1"/>
            <w:noWrap/>
            <w:vAlign w:val="center"/>
            <w:hideMark/>
          </w:tcPr>
          <w:p w14:paraId="1F94B72F"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10.638</w:t>
            </w:r>
          </w:p>
        </w:tc>
        <w:tc>
          <w:tcPr>
            <w:tcW w:w="775" w:type="pct"/>
            <w:tcBorders>
              <w:top w:val="single" w:sz="4" w:space="0" w:color="FFFFFF" w:themeColor="background1"/>
              <w:bottom w:val="single" w:sz="8" w:space="0" w:color="F3CFC1"/>
              <w:right w:val="single" w:sz="4" w:space="0" w:color="FFFFFF" w:themeColor="background1"/>
            </w:tcBorders>
            <w:shd w:val="clear" w:color="auto" w:fill="FFFFFF" w:themeFill="background1"/>
            <w:noWrap/>
            <w:vAlign w:val="center"/>
            <w:hideMark/>
          </w:tcPr>
          <w:p w14:paraId="2744428B"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20.858</w:t>
            </w:r>
          </w:p>
        </w:tc>
        <w:tc>
          <w:tcPr>
            <w:tcW w:w="1121" w:type="pct"/>
            <w:tcBorders>
              <w:top w:val="single" w:sz="4" w:space="0" w:color="FFFFFF" w:themeColor="background1"/>
              <w:left w:val="single" w:sz="4" w:space="0" w:color="FFFFFF" w:themeColor="background1"/>
              <w:bottom w:val="single" w:sz="8" w:space="0" w:color="F3CFC1"/>
              <w:right w:val="single" w:sz="4" w:space="0" w:color="FFFFFF" w:themeColor="background1"/>
            </w:tcBorders>
            <w:shd w:val="clear" w:color="auto" w:fill="FFFFFF" w:themeFill="background1"/>
            <w:vAlign w:val="center"/>
          </w:tcPr>
          <w:p w14:paraId="00B99861" w14:textId="77777777" w:rsidR="008F5C7A" w:rsidRPr="003A2F4B" w:rsidRDefault="008F5C7A" w:rsidP="00232104">
            <w:pPr>
              <w:pStyle w:val="nasivojpozadini"/>
              <w:framePr w:wrap="around"/>
              <w:rPr>
                <w:rFonts w:eastAsia="Times New Roman"/>
                <w:lang w:eastAsia="hr-HR"/>
              </w:rPr>
            </w:pPr>
            <w:r w:rsidRPr="4E193667">
              <w:rPr>
                <w:rFonts w:eastAsia="Times New Roman"/>
                <w:lang w:eastAsia="hr-HR"/>
              </w:rPr>
              <w:t>-10.220</w:t>
            </w:r>
          </w:p>
        </w:tc>
      </w:tr>
      <w:tr w:rsidR="008F5C7A" w:rsidRPr="003A2F4B" w14:paraId="6A8C2777" w14:textId="77777777" w:rsidTr="00232104">
        <w:trPr>
          <w:trHeight w:val="279"/>
        </w:trPr>
        <w:tc>
          <w:tcPr>
            <w:tcW w:w="517" w:type="pct"/>
            <w:tcBorders>
              <w:top w:val="single" w:sz="8" w:space="0" w:color="F3CFC1"/>
              <w:bottom w:val="single" w:sz="8" w:space="0" w:color="F3CFC1"/>
            </w:tcBorders>
            <w:shd w:val="clear" w:color="auto" w:fill="D2232A" w:themeFill="accent1"/>
            <w:noWrap/>
            <w:vAlign w:val="center"/>
            <w:hideMark/>
          </w:tcPr>
          <w:p w14:paraId="7E751BAF"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lastRenderedPageBreak/>
              <w:t>2015.</w:t>
            </w:r>
          </w:p>
        </w:tc>
        <w:tc>
          <w:tcPr>
            <w:tcW w:w="691" w:type="pct"/>
            <w:tcBorders>
              <w:top w:val="single" w:sz="8" w:space="0" w:color="F3CFC1"/>
              <w:bottom w:val="single" w:sz="8" w:space="0" w:color="F3CFC1"/>
            </w:tcBorders>
            <w:shd w:val="clear" w:color="auto" w:fill="FFFFFF" w:themeFill="background1"/>
            <w:noWrap/>
            <w:vAlign w:val="center"/>
            <w:hideMark/>
          </w:tcPr>
          <w:p w14:paraId="6DB405A1"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118</w:t>
            </w:r>
          </w:p>
        </w:tc>
        <w:tc>
          <w:tcPr>
            <w:tcW w:w="687" w:type="pct"/>
            <w:tcBorders>
              <w:top w:val="single" w:sz="8" w:space="0" w:color="F3CFC1"/>
              <w:bottom w:val="single" w:sz="8" w:space="0" w:color="F3CFC1"/>
              <w:right w:val="single" w:sz="4" w:space="0" w:color="FFFFFF" w:themeColor="background1"/>
            </w:tcBorders>
            <w:shd w:val="clear" w:color="auto" w:fill="FFFFFF" w:themeFill="background1"/>
            <w:noWrap/>
            <w:vAlign w:val="center"/>
            <w:hideMark/>
          </w:tcPr>
          <w:p w14:paraId="2E48D179"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409</w:t>
            </w:r>
          </w:p>
        </w:tc>
        <w:tc>
          <w:tcPr>
            <w:tcW w:w="533" w:type="pct"/>
            <w:tcBorders>
              <w:top w:val="single" w:sz="8" w:space="0" w:color="F3CFC1"/>
              <w:left w:val="single" w:sz="4" w:space="0" w:color="FFFFFF" w:themeColor="background1"/>
              <w:bottom w:val="single" w:sz="8" w:space="0" w:color="F3CFC1"/>
              <w:right w:val="single" w:sz="8" w:space="0" w:color="D2232A" w:themeColor="accent1"/>
            </w:tcBorders>
            <w:shd w:val="clear" w:color="auto" w:fill="FFFFFF" w:themeFill="background1"/>
            <w:vAlign w:val="center"/>
          </w:tcPr>
          <w:p w14:paraId="3A98DCA9" w14:textId="77777777" w:rsidR="008F5C7A" w:rsidRPr="003A2F4B" w:rsidRDefault="008F5C7A" w:rsidP="00232104">
            <w:pPr>
              <w:pStyle w:val="nasivojpozadini"/>
              <w:framePr w:wrap="around"/>
              <w:rPr>
                <w:rFonts w:eastAsia="Times New Roman"/>
                <w:lang w:eastAsia="hr-HR"/>
              </w:rPr>
            </w:pPr>
            <w:r w:rsidRPr="4E193667">
              <w:rPr>
                <w:rFonts w:eastAsia="Times New Roman"/>
                <w:lang w:eastAsia="hr-HR"/>
              </w:rPr>
              <w:t>-291</w:t>
            </w:r>
          </w:p>
        </w:tc>
        <w:tc>
          <w:tcPr>
            <w:tcW w:w="676" w:type="pct"/>
            <w:tcBorders>
              <w:top w:val="single" w:sz="8" w:space="0" w:color="F3CFC1"/>
              <w:left w:val="single" w:sz="8" w:space="0" w:color="D2232A" w:themeColor="accent1"/>
              <w:bottom w:val="single" w:sz="8" w:space="0" w:color="F3CFC1"/>
            </w:tcBorders>
            <w:shd w:val="clear" w:color="auto" w:fill="FFFFFF" w:themeFill="background1"/>
            <w:noWrap/>
            <w:vAlign w:val="center"/>
            <w:hideMark/>
          </w:tcPr>
          <w:p w14:paraId="155600BC"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11.706</w:t>
            </w:r>
          </w:p>
        </w:tc>
        <w:tc>
          <w:tcPr>
            <w:tcW w:w="775" w:type="pct"/>
            <w:tcBorders>
              <w:top w:val="single" w:sz="8" w:space="0" w:color="F3CFC1"/>
              <w:bottom w:val="single" w:sz="8" w:space="0" w:color="F3CFC1"/>
              <w:right w:val="single" w:sz="4" w:space="0" w:color="FFFFFF" w:themeColor="background1"/>
            </w:tcBorders>
            <w:shd w:val="clear" w:color="auto" w:fill="FFFFFF" w:themeFill="background1"/>
            <w:noWrap/>
            <w:vAlign w:val="center"/>
            <w:hideMark/>
          </w:tcPr>
          <w:p w14:paraId="1F66EEC3"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29.651</w:t>
            </w:r>
          </w:p>
        </w:tc>
        <w:tc>
          <w:tcPr>
            <w:tcW w:w="1121" w:type="pct"/>
            <w:tcBorders>
              <w:top w:val="single" w:sz="8" w:space="0" w:color="F3CFC1"/>
              <w:left w:val="single" w:sz="4" w:space="0" w:color="FFFFFF" w:themeColor="background1"/>
              <w:bottom w:val="single" w:sz="8" w:space="0" w:color="F3CFC1"/>
              <w:right w:val="single" w:sz="4" w:space="0" w:color="FFFFFF" w:themeColor="background1"/>
            </w:tcBorders>
            <w:shd w:val="clear" w:color="auto" w:fill="FFFFFF" w:themeFill="background1"/>
            <w:vAlign w:val="center"/>
          </w:tcPr>
          <w:p w14:paraId="4AE266BC"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-17.945</w:t>
            </w:r>
          </w:p>
        </w:tc>
      </w:tr>
      <w:tr w:rsidR="008F5C7A" w:rsidRPr="003A2F4B" w14:paraId="6BEB8E46" w14:textId="77777777" w:rsidTr="00232104">
        <w:trPr>
          <w:trHeight w:val="279"/>
        </w:trPr>
        <w:tc>
          <w:tcPr>
            <w:tcW w:w="517" w:type="pct"/>
            <w:tcBorders>
              <w:top w:val="single" w:sz="8" w:space="0" w:color="F3CFC1"/>
              <w:bottom w:val="single" w:sz="8" w:space="0" w:color="F3CFC1"/>
            </w:tcBorders>
            <w:shd w:val="clear" w:color="auto" w:fill="D2232A" w:themeFill="accent1"/>
            <w:noWrap/>
            <w:vAlign w:val="center"/>
            <w:hideMark/>
          </w:tcPr>
          <w:p w14:paraId="1DD2F306"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2016.</w:t>
            </w:r>
          </w:p>
        </w:tc>
        <w:tc>
          <w:tcPr>
            <w:tcW w:w="691" w:type="pct"/>
            <w:tcBorders>
              <w:top w:val="single" w:sz="8" w:space="0" w:color="F3CFC1"/>
              <w:bottom w:val="single" w:sz="8" w:space="0" w:color="F3CFC1"/>
            </w:tcBorders>
            <w:shd w:val="clear" w:color="auto" w:fill="FFFFFF" w:themeFill="background1"/>
            <w:noWrap/>
            <w:vAlign w:val="center"/>
            <w:hideMark/>
          </w:tcPr>
          <w:p w14:paraId="40C1EB25"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114</w:t>
            </w:r>
          </w:p>
        </w:tc>
        <w:tc>
          <w:tcPr>
            <w:tcW w:w="687" w:type="pct"/>
            <w:tcBorders>
              <w:top w:val="single" w:sz="8" w:space="0" w:color="F3CFC1"/>
              <w:bottom w:val="single" w:sz="8" w:space="0" w:color="F3CFC1"/>
              <w:right w:val="single" w:sz="4" w:space="0" w:color="FFFFFF" w:themeColor="background1"/>
            </w:tcBorders>
            <w:shd w:val="clear" w:color="auto" w:fill="FFFFFF" w:themeFill="background1"/>
            <w:noWrap/>
            <w:vAlign w:val="center"/>
            <w:hideMark/>
          </w:tcPr>
          <w:p w14:paraId="6A66CC98"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625</w:t>
            </w:r>
          </w:p>
        </w:tc>
        <w:tc>
          <w:tcPr>
            <w:tcW w:w="533" w:type="pct"/>
            <w:tcBorders>
              <w:top w:val="single" w:sz="8" w:space="0" w:color="F3CFC1"/>
              <w:left w:val="single" w:sz="4" w:space="0" w:color="FFFFFF" w:themeColor="background1"/>
              <w:bottom w:val="single" w:sz="8" w:space="0" w:color="F3CFC1"/>
              <w:right w:val="single" w:sz="8" w:space="0" w:color="D2232A" w:themeColor="accent1"/>
            </w:tcBorders>
            <w:shd w:val="clear" w:color="auto" w:fill="FFFFFF" w:themeFill="background1"/>
            <w:vAlign w:val="center"/>
          </w:tcPr>
          <w:p w14:paraId="04C3E17A"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-511</w:t>
            </w:r>
          </w:p>
        </w:tc>
        <w:tc>
          <w:tcPr>
            <w:tcW w:w="676" w:type="pct"/>
            <w:tcBorders>
              <w:top w:val="single" w:sz="8" w:space="0" w:color="F3CFC1"/>
              <w:left w:val="single" w:sz="8" w:space="0" w:color="D2232A" w:themeColor="accent1"/>
              <w:bottom w:val="single" w:sz="8" w:space="0" w:color="F3CFC1"/>
            </w:tcBorders>
            <w:shd w:val="clear" w:color="auto" w:fill="FFFFFF" w:themeFill="background1"/>
            <w:noWrap/>
            <w:vAlign w:val="center"/>
            <w:hideMark/>
          </w:tcPr>
          <w:p w14:paraId="69ADBB44"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13.985</w:t>
            </w:r>
          </w:p>
        </w:tc>
        <w:tc>
          <w:tcPr>
            <w:tcW w:w="775" w:type="pct"/>
            <w:tcBorders>
              <w:top w:val="single" w:sz="8" w:space="0" w:color="F3CFC1"/>
              <w:bottom w:val="single" w:sz="8" w:space="0" w:color="F3CFC1"/>
              <w:right w:val="single" w:sz="4" w:space="0" w:color="FFFFFF" w:themeColor="background1"/>
            </w:tcBorders>
            <w:shd w:val="clear" w:color="auto" w:fill="FFFFFF" w:themeFill="background1"/>
            <w:noWrap/>
            <w:vAlign w:val="center"/>
            <w:hideMark/>
          </w:tcPr>
          <w:p w14:paraId="48F61783"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36.436</w:t>
            </w:r>
          </w:p>
        </w:tc>
        <w:tc>
          <w:tcPr>
            <w:tcW w:w="1121" w:type="pct"/>
            <w:tcBorders>
              <w:top w:val="single" w:sz="8" w:space="0" w:color="F3CFC1"/>
              <w:left w:val="single" w:sz="4" w:space="0" w:color="FFFFFF" w:themeColor="background1"/>
              <w:bottom w:val="single" w:sz="8" w:space="0" w:color="F3CFC1"/>
              <w:right w:val="single" w:sz="4" w:space="0" w:color="FFFFFF" w:themeColor="background1"/>
            </w:tcBorders>
            <w:shd w:val="clear" w:color="auto" w:fill="FFFFFF" w:themeFill="background1"/>
            <w:vAlign w:val="center"/>
          </w:tcPr>
          <w:p w14:paraId="23F0E771"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-22.451</w:t>
            </w:r>
          </w:p>
        </w:tc>
      </w:tr>
      <w:tr w:rsidR="008F5C7A" w:rsidRPr="003A2F4B" w14:paraId="01ACD68F" w14:textId="77777777" w:rsidTr="00232104">
        <w:trPr>
          <w:trHeight w:val="279"/>
        </w:trPr>
        <w:tc>
          <w:tcPr>
            <w:tcW w:w="517" w:type="pct"/>
            <w:tcBorders>
              <w:top w:val="single" w:sz="8" w:space="0" w:color="F3CFC1"/>
              <w:bottom w:val="single" w:sz="8" w:space="0" w:color="F3CFC1"/>
            </w:tcBorders>
            <w:shd w:val="clear" w:color="auto" w:fill="D2232A" w:themeFill="accent1"/>
            <w:noWrap/>
            <w:vAlign w:val="center"/>
            <w:hideMark/>
          </w:tcPr>
          <w:p w14:paraId="46BE046C"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2017.</w:t>
            </w:r>
          </w:p>
        </w:tc>
        <w:tc>
          <w:tcPr>
            <w:tcW w:w="691" w:type="pct"/>
            <w:tcBorders>
              <w:top w:val="single" w:sz="8" w:space="0" w:color="F3CFC1"/>
              <w:bottom w:val="single" w:sz="8" w:space="0" w:color="F3CFC1"/>
            </w:tcBorders>
            <w:shd w:val="clear" w:color="auto" w:fill="FFFFFF" w:themeFill="background1"/>
            <w:noWrap/>
            <w:vAlign w:val="center"/>
            <w:hideMark/>
          </w:tcPr>
          <w:p w14:paraId="02BC79C8"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192</w:t>
            </w:r>
          </w:p>
        </w:tc>
        <w:tc>
          <w:tcPr>
            <w:tcW w:w="687" w:type="pct"/>
            <w:tcBorders>
              <w:top w:val="single" w:sz="8" w:space="0" w:color="F3CFC1"/>
              <w:bottom w:val="single" w:sz="8" w:space="0" w:color="F3CFC1"/>
              <w:right w:val="single" w:sz="4" w:space="0" w:color="FFFFFF" w:themeColor="background1"/>
            </w:tcBorders>
            <w:shd w:val="clear" w:color="auto" w:fill="FFFFFF" w:themeFill="background1"/>
            <w:noWrap/>
            <w:vAlign w:val="center"/>
            <w:hideMark/>
          </w:tcPr>
          <w:p w14:paraId="13989944"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593</w:t>
            </w:r>
          </w:p>
        </w:tc>
        <w:tc>
          <w:tcPr>
            <w:tcW w:w="533" w:type="pct"/>
            <w:tcBorders>
              <w:top w:val="single" w:sz="8" w:space="0" w:color="F3CFC1"/>
              <w:left w:val="single" w:sz="4" w:space="0" w:color="FFFFFF" w:themeColor="background1"/>
              <w:bottom w:val="single" w:sz="8" w:space="0" w:color="F3CFC1"/>
              <w:right w:val="single" w:sz="8" w:space="0" w:color="D2232A" w:themeColor="accent1"/>
            </w:tcBorders>
            <w:shd w:val="clear" w:color="auto" w:fill="FFFFFF" w:themeFill="background1"/>
            <w:vAlign w:val="center"/>
          </w:tcPr>
          <w:p w14:paraId="603C949A"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-401</w:t>
            </w:r>
          </w:p>
        </w:tc>
        <w:tc>
          <w:tcPr>
            <w:tcW w:w="676" w:type="pct"/>
            <w:tcBorders>
              <w:top w:val="single" w:sz="8" w:space="0" w:color="F3CFC1"/>
              <w:left w:val="single" w:sz="8" w:space="0" w:color="D2232A" w:themeColor="accent1"/>
              <w:bottom w:val="single" w:sz="8" w:space="0" w:color="F3CFC1"/>
            </w:tcBorders>
            <w:shd w:val="clear" w:color="auto" w:fill="FFFFFF" w:themeFill="background1"/>
            <w:noWrap/>
            <w:vAlign w:val="center"/>
            <w:hideMark/>
          </w:tcPr>
          <w:p w14:paraId="0F1DD30E"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15.553</w:t>
            </w:r>
          </w:p>
        </w:tc>
        <w:tc>
          <w:tcPr>
            <w:tcW w:w="775" w:type="pct"/>
            <w:tcBorders>
              <w:top w:val="single" w:sz="8" w:space="0" w:color="F3CFC1"/>
              <w:bottom w:val="single" w:sz="8" w:space="0" w:color="F3CFC1"/>
              <w:right w:val="single" w:sz="4" w:space="0" w:color="FFFFFF" w:themeColor="background1"/>
            </w:tcBorders>
            <w:shd w:val="clear" w:color="auto" w:fill="FFFFFF" w:themeFill="background1"/>
            <w:noWrap/>
            <w:vAlign w:val="center"/>
            <w:hideMark/>
          </w:tcPr>
          <w:p w14:paraId="06368446"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47.352</w:t>
            </w:r>
          </w:p>
        </w:tc>
        <w:tc>
          <w:tcPr>
            <w:tcW w:w="1121" w:type="pct"/>
            <w:tcBorders>
              <w:top w:val="single" w:sz="8" w:space="0" w:color="F3CFC1"/>
              <w:left w:val="single" w:sz="4" w:space="0" w:color="FFFFFF" w:themeColor="background1"/>
              <w:bottom w:val="single" w:sz="8" w:space="0" w:color="F3CFC1"/>
              <w:right w:val="single" w:sz="4" w:space="0" w:color="FFFFFF" w:themeColor="background1"/>
            </w:tcBorders>
            <w:shd w:val="clear" w:color="auto" w:fill="FFFFFF" w:themeFill="background1"/>
            <w:vAlign w:val="center"/>
          </w:tcPr>
          <w:p w14:paraId="747D3024"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-31.799</w:t>
            </w:r>
          </w:p>
        </w:tc>
      </w:tr>
      <w:tr w:rsidR="008F5C7A" w:rsidRPr="003A2F4B" w14:paraId="1E87258C" w14:textId="77777777" w:rsidTr="00232104">
        <w:trPr>
          <w:trHeight w:val="279"/>
        </w:trPr>
        <w:tc>
          <w:tcPr>
            <w:tcW w:w="517" w:type="pct"/>
            <w:tcBorders>
              <w:top w:val="single" w:sz="8" w:space="0" w:color="F3CFC1"/>
            </w:tcBorders>
            <w:shd w:val="clear" w:color="auto" w:fill="D2232A" w:themeFill="accent1"/>
            <w:noWrap/>
            <w:vAlign w:val="center"/>
            <w:hideMark/>
          </w:tcPr>
          <w:p w14:paraId="5EAFDAA1"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2018.</w:t>
            </w:r>
          </w:p>
        </w:tc>
        <w:tc>
          <w:tcPr>
            <w:tcW w:w="691" w:type="pct"/>
            <w:tcBorders>
              <w:top w:val="single" w:sz="8" w:space="0" w:color="F3CFC1"/>
            </w:tcBorders>
            <w:shd w:val="clear" w:color="auto" w:fill="FFFFFF" w:themeFill="background1"/>
            <w:noWrap/>
            <w:vAlign w:val="center"/>
            <w:hideMark/>
          </w:tcPr>
          <w:p w14:paraId="1B63328D"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314</w:t>
            </w:r>
          </w:p>
        </w:tc>
        <w:tc>
          <w:tcPr>
            <w:tcW w:w="687" w:type="pct"/>
            <w:tcBorders>
              <w:top w:val="single" w:sz="8" w:space="0" w:color="F3CFC1"/>
              <w:right w:val="single" w:sz="4" w:space="0" w:color="FFFFFF" w:themeColor="background1"/>
            </w:tcBorders>
            <w:shd w:val="clear" w:color="auto" w:fill="FFFFFF" w:themeFill="background1"/>
            <w:noWrap/>
            <w:vAlign w:val="center"/>
            <w:hideMark/>
          </w:tcPr>
          <w:p w14:paraId="47971075"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619</w:t>
            </w:r>
          </w:p>
        </w:tc>
        <w:tc>
          <w:tcPr>
            <w:tcW w:w="533" w:type="pct"/>
            <w:tcBorders>
              <w:top w:val="single" w:sz="8" w:space="0" w:color="F3CFC1"/>
              <w:left w:val="single" w:sz="4" w:space="0" w:color="FFFFFF" w:themeColor="background1"/>
              <w:right w:val="single" w:sz="8" w:space="0" w:color="D2232A" w:themeColor="accent1"/>
            </w:tcBorders>
            <w:shd w:val="clear" w:color="auto" w:fill="FFFFFF" w:themeFill="background1"/>
            <w:vAlign w:val="center"/>
          </w:tcPr>
          <w:p w14:paraId="095F2C0D"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-305</w:t>
            </w:r>
          </w:p>
        </w:tc>
        <w:tc>
          <w:tcPr>
            <w:tcW w:w="676" w:type="pct"/>
            <w:tcBorders>
              <w:top w:val="single" w:sz="8" w:space="0" w:color="F3CFC1"/>
              <w:left w:val="single" w:sz="8" w:space="0" w:color="D2232A" w:themeColor="accent1"/>
            </w:tcBorders>
            <w:shd w:val="clear" w:color="auto" w:fill="FFFFFF" w:themeFill="background1"/>
            <w:noWrap/>
            <w:vAlign w:val="center"/>
            <w:hideMark/>
          </w:tcPr>
          <w:p w14:paraId="2329B682"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26.029</w:t>
            </w:r>
          </w:p>
        </w:tc>
        <w:tc>
          <w:tcPr>
            <w:tcW w:w="775" w:type="pct"/>
            <w:tcBorders>
              <w:top w:val="single" w:sz="8" w:space="0" w:color="F3CFC1"/>
              <w:right w:val="single" w:sz="4" w:space="0" w:color="FFFFFF" w:themeColor="background1"/>
            </w:tcBorders>
            <w:shd w:val="clear" w:color="auto" w:fill="FFFFFF" w:themeFill="background1"/>
            <w:noWrap/>
            <w:vAlign w:val="center"/>
            <w:hideMark/>
          </w:tcPr>
          <w:p w14:paraId="124B4D28"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39.515</w:t>
            </w:r>
          </w:p>
        </w:tc>
        <w:tc>
          <w:tcPr>
            <w:tcW w:w="1121" w:type="pct"/>
            <w:tcBorders>
              <w:top w:val="single" w:sz="8" w:space="0" w:color="F3CFC1"/>
              <w:left w:val="single" w:sz="4" w:space="0" w:color="FFFFFF" w:themeColor="background1"/>
              <w:right w:val="single" w:sz="4" w:space="0" w:color="FFFFFF" w:themeColor="background1"/>
            </w:tcBorders>
            <w:shd w:val="clear" w:color="auto" w:fill="FFFFFF" w:themeFill="background1"/>
            <w:vAlign w:val="center"/>
          </w:tcPr>
          <w:p w14:paraId="6DDBA649" w14:textId="77777777" w:rsidR="008F5C7A" w:rsidRPr="003A2F4B" w:rsidRDefault="008F5C7A" w:rsidP="00232104">
            <w:pPr>
              <w:pStyle w:val="nasivojpozadini"/>
              <w:framePr w:wrap="around"/>
              <w:rPr>
                <w:rFonts w:eastAsia="Times New Roman"/>
                <w:lang w:eastAsia="hr-HR"/>
              </w:rPr>
            </w:pPr>
            <w:r w:rsidRPr="003A2F4B">
              <w:rPr>
                <w:rFonts w:eastAsia="Times New Roman"/>
                <w:lang w:eastAsia="hr-HR"/>
              </w:rPr>
              <w:t>-13.486</w:t>
            </w:r>
          </w:p>
        </w:tc>
      </w:tr>
      <w:tr w:rsidR="008F5C7A" w14:paraId="44785FA0" w14:textId="77777777" w:rsidTr="00232104">
        <w:trPr>
          <w:trHeight w:val="279"/>
        </w:trPr>
        <w:tc>
          <w:tcPr>
            <w:tcW w:w="517" w:type="pct"/>
            <w:tcBorders>
              <w:top w:val="single" w:sz="8" w:space="0" w:color="F3CFC1"/>
            </w:tcBorders>
            <w:shd w:val="clear" w:color="auto" w:fill="D2232A" w:themeFill="accent1"/>
            <w:noWrap/>
            <w:vAlign w:val="center"/>
            <w:hideMark/>
          </w:tcPr>
          <w:p w14:paraId="41B83C68" w14:textId="77777777" w:rsidR="008F5C7A" w:rsidRDefault="008F5C7A" w:rsidP="00232104">
            <w:pPr>
              <w:spacing w:line="240" w:lineRule="auto"/>
              <w:jc w:val="center"/>
              <w:rPr>
                <w:rFonts w:eastAsia="Times New Roman"/>
                <w:color w:val="FFFFFF" w:themeColor="background1"/>
                <w:lang w:eastAsia="hr-HR"/>
              </w:rPr>
            </w:pPr>
            <w:r w:rsidRPr="4E193667">
              <w:rPr>
                <w:rFonts w:eastAsia="Times New Roman"/>
                <w:color w:val="FFFFFF" w:themeColor="background1"/>
                <w:lang w:eastAsia="hr-HR"/>
              </w:rPr>
              <w:t>2019.</w:t>
            </w:r>
          </w:p>
        </w:tc>
        <w:tc>
          <w:tcPr>
            <w:tcW w:w="691" w:type="pct"/>
            <w:tcBorders>
              <w:top w:val="single" w:sz="8" w:space="0" w:color="F3CFC1"/>
            </w:tcBorders>
            <w:shd w:val="clear" w:color="auto" w:fill="FFFFFF" w:themeFill="background1"/>
            <w:noWrap/>
            <w:vAlign w:val="center"/>
            <w:hideMark/>
          </w:tcPr>
          <w:p w14:paraId="53F245BC" w14:textId="77777777" w:rsidR="008F5C7A" w:rsidRDefault="008F5C7A" w:rsidP="00232104">
            <w:pPr>
              <w:pStyle w:val="nasivojpozadini"/>
              <w:framePr w:wrap="around"/>
              <w:rPr>
                <w:rFonts w:eastAsia="Times New Roman"/>
                <w:lang w:eastAsia="hr-HR"/>
              </w:rPr>
            </w:pPr>
            <w:r w:rsidRPr="4E193667">
              <w:rPr>
                <w:rFonts w:eastAsia="Times New Roman"/>
                <w:lang w:eastAsia="hr-HR"/>
              </w:rPr>
              <w:t>855</w:t>
            </w:r>
          </w:p>
        </w:tc>
        <w:tc>
          <w:tcPr>
            <w:tcW w:w="687" w:type="pct"/>
            <w:tcBorders>
              <w:top w:val="single" w:sz="8" w:space="0" w:color="F3CFC1"/>
              <w:right w:val="single" w:sz="4" w:space="0" w:color="FFFFFF" w:themeColor="background1"/>
            </w:tcBorders>
            <w:shd w:val="clear" w:color="auto" w:fill="FFFFFF" w:themeFill="background1"/>
            <w:noWrap/>
            <w:vAlign w:val="center"/>
            <w:hideMark/>
          </w:tcPr>
          <w:p w14:paraId="106A22FA" w14:textId="77777777" w:rsidR="008F5C7A" w:rsidRDefault="008F5C7A" w:rsidP="00232104">
            <w:pPr>
              <w:pStyle w:val="nasivojpozadini"/>
              <w:framePr w:wrap="around"/>
              <w:rPr>
                <w:rFonts w:eastAsia="Times New Roman"/>
                <w:lang w:eastAsia="hr-HR"/>
              </w:rPr>
            </w:pPr>
            <w:r w:rsidRPr="4E193667">
              <w:rPr>
                <w:rFonts w:eastAsia="Times New Roman"/>
                <w:lang w:eastAsia="hr-HR"/>
              </w:rPr>
              <w:t>633</w:t>
            </w:r>
          </w:p>
        </w:tc>
        <w:tc>
          <w:tcPr>
            <w:tcW w:w="533" w:type="pct"/>
            <w:tcBorders>
              <w:top w:val="single" w:sz="8" w:space="0" w:color="F3CFC1"/>
              <w:left w:val="single" w:sz="4" w:space="0" w:color="FFFFFF" w:themeColor="background1"/>
              <w:right w:val="single" w:sz="8" w:space="0" w:color="D2232A" w:themeColor="accent1"/>
            </w:tcBorders>
            <w:shd w:val="clear" w:color="auto" w:fill="FFFFFF" w:themeFill="background1"/>
            <w:vAlign w:val="center"/>
          </w:tcPr>
          <w:p w14:paraId="52CC96F4" w14:textId="77777777" w:rsidR="008F5C7A" w:rsidRDefault="008F5C7A" w:rsidP="00232104">
            <w:pPr>
              <w:pStyle w:val="nasivojpozadini"/>
              <w:framePr w:wrap="around"/>
              <w:rPr>
                <w:rFonts w:eastAsia="Times New Roman"/>
                <w:lang w:eastAsia="hr-HR"/>
              </w:rPr>
            </w:pPr>
            <w:r w:rsidRPr="4E193667">
              <w:rPr>
                <w:rFonts w:eastAsia="Times New Roman"/>
                <w:lang w:eastAsia="hr-HR"/>
              </w:rPr>
              <w:t>+222</w:t>
            </w:r>
          </w:p>
        </w:tc>
        <w:tc>
          <w:tcPr>
            <w:tcW w:w="676" w:type="pct"/>
            <w:tcBorders>
              <w:top w:val="single" w:sz="8" w:space="0" w:color="F3CFC1"/>
              <w:left w:val="single" w:sz="8" w:space="0" w:color="D2232A" w:themeColor="accent1"/>
            </w:tcBorders>
            <w:shd w:val="clear" w:color="auto" w:fill="FFFFFF" w:themeFill="background1"/>
            <w:noWrap/>
            <w:vAlign w:val="center"/>
            <w:hideMark/>
          </w:tcPr>
          <w:p w14:paraId="0DC7E915" w14:textId="77777777" w:rsidR="008F5C7A" w:rsidRDefault="008F5C7A" w:rsidP="00232104">
            <w:pPr>
              <w:pStyle w:val="nasivojpozadini"/>
              <w:framePr w:wrap="around"/>
              <w:rPr>
                <w:rFonts w:eastAsia="Times New Roman"/>
                <w:lang w:eastAsia="hr-HR"/>
              </w:rPr>
            </w:pPr>
            <w:r w:rsidRPr="4E193667">
              <w:rPr>
                <w:rFonts w:eastAsia="Times New Roman"/>
                <w:lang w:eastAsia="hr-HR"/>
              </w:rPr>
              <w:t>37.726</w:t>
            </w:r>
          </w:p>
        </w:tc>
        <w:tc>
          <w:tcPr>
            <w:tcW w:w="775" w:type="pct"/>
            <w:tcBorders>
              <w:top w:val="single" w:sz="8" w:space="0" w:color="F3CFC1"/>
              <w:right w:val="single" w:sz="4" w:space="0" w:color="FFFFFF" w:themeColor="background1"/>
            </w:tcBorders>
            <w:shd w:val="clear" w:color="auto" w:fill="FFFFFF" w:themeFill="background1"/>
            <w:noWrap/>
            <w:vAlign w:val="center"/>
            <w:hideMark/>
          </w:tcPr>
          <w:p w14:paraId="49458752" w14:textId="77777777" w:rsidR="008F5C7A" w:rsidRDefault="008F5C7A" w:rsidP="00232104">
            <w:pPr>
              <w:pStyle w:val="nasivojpozadini"/>
              <w:framePr w:wrap="around"/>
              <w:rPr>
                <w:rFonts w:eastAsia="Times New Roman"/>
                <w:lang w:eastAsia="hr-HR"/>
              </w:rPr>
            </w:pPr>
            <w:r w:rsidRPr="4E193667">
              <w:rPr>
                <w:rFonts w:eastAsia="Times New Roman"/>
                <w:lang w:eastAsia="hr-HR"/>
              </w:rPr>
              <w:t>40.148</w:t>
            </w:r>
          </w:p>
        </w:tc>
        <w:tc>
          <w:tcPr>
            <w:tcW w:w="1121" w:type="pct"/>
            <w:tcBorders>
              <w:top w:val="single" w:sz="8" w:space="0" w:color="F3CFC1"/>
              <w:left w:val="single" w:sz="4" w:space="0" w:color="FFFFFF" w:themeColor="background1"/>
              <w:right w:val="single" w:sz="4" w:space="0" w:color="FFFFFF" w:themeColor="background1"/>
            </w:tcBorders>
            <w:shd w:val="clear" w:color="auto" w:fill="FFFFFF" w:themeFill="background1"/>
            <w:vAlign w:val="center"/>
          </w:tcPr>
          <w:p w14:paraId="0B653394" w14:textId="77777777" w:rsidR="008F5C7A" w:rsidRDefault="008F5C7A" w:rsidP="00232104">
            <w:pPr>
              <w:pStyle w:val="nasivojpozadini"/>
              <w:framePr w:wrap="around"/>
              <w:rPr>
                <w:rFonts w:eastAsia="Times New Roman"/>
                <w:lang w:eastAsia="hr-HR"/>
              </w:rPr>
            </w:pPr>
            <w:r w:rsidRPr="4E193667">
              <w:rPr>
                <w:rFonts w:eastAsia="Times New Roman"/>
                <w:lang w:eastAsia="hr-HR"/>
              </w:rPr>
              <w:t>-2.422</w:t>
            </w:r>
          </w:p>
        </w:tc>
      </w:tr>
    </w:tbl>
    <w:p w14:paraId="58F95311" w14:textId="77777777" w:rsidR="008F5C7A" w:rsidRDefault="008F5C7A" w:rsidP="008F5C7A">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Izvor: DZS, Stanovništvo - Migracije stanovništva - Doseljeno i odseljeno stanovništvo po gradovima/općinama, 2019.</w:t>
      </w:r>
    </w:p>
    <w:p w14:paraId="6FF49A20" w14:textId="77777777" w:rsidR="008F5C7A" w:rsidRPr="00D27446" w:rsidRDefault="008F5C7A" w:rsidP="008F5C7A">
      <w:pPr>
        <w:autoSpaceDE w:val="0"/>
        <w:autoSpaceDN w:val="0"/>
        <w:adjustRightInd w:val="0"/>
        <w:spacing w:after="0" w:line="240" w:lineRule="auto"/>
        <w:rPr>
          <w:rFonts w:eastAsia="ArialNarrow" w:cstheme="minorHAnsi"/>
          <w:i/>
          <w:color w:val="ABABAB" w:themeColor="text1" w:themeTint="A6"/>
          <w:sz w:val="16"/>
          <w:szCs w:val="16"/>
        </w:rPr>
      </w:pPr>
    </w:p>
    <w:p w14:paraId="15C9AD7F" w14:textId="77777777" w:rsidR="008F5C7A" w:rsidRDefault="008F5C7A" w:rsidP="008F5C7A">
      <w:pPr>
        <w:autoSpaceDE w:val="0"/>
        <w:autoSpaceDN w:val="0"/>
        <w:adjustRightInd w:val="0"/>
        <w:spacing w:after="0" w:line="240" w:lineRule="auto"/>
        <w:rPr>
          <w:rFonts w:eastAsia="ArialNarrow"/>
        </w:rPr>
      </w:pPr>
      <w:r w:rsidRPr="06F6E577">
        <w:rPr>
          <w:rFonts w:eastAsia="ArialNarrow"/>
        </w:rPr>
        <w:t>Iz pr</w:t>
      </w:r>
      <w:r>
        <w:rPr>
          <w:rFonts w:eastAsia="ArialNarrow"/>
        </w:rPr>
        <w:t>ikazanih</w:t>
      </w:r>
      <w:r w:rsidRPr="06F6E577">
        <w:rPr>
          <w:rFonts w:eastAsia="ArialNarrow"/>
        </w:rPr>
        <w:t xml:space="preserve"> podataka vidljivo je da je saldo migracije stanovništva Krapinsko-zagorske županije s inozemstvom negativan što korespondira s podacima na razini Republike Hrvatske. U periodu od 2014. – 2018. godine na području Krapinsko-zagorske županije zabilježena je neto negativna vanjska migracija od 1.685 stanovnika. U istom periodu u Republici Hrvatskoj zabilježena je također neto negativna vanjska migracija od 95.901 stanovnika. Isto tako, treba napomenuti da se vanjska migracija u promatranom periodu povećava. U Krapinsko-zagorskoj županiji u 2014. godini neto vanjska migracija iznosila je -177 stanovnika, dok je u 2018. godini iznosila -305 stanovnika. To odgovara kretanju na razini Republike Hrvatske gdje je u 2014. godini neto vanjska migracija iznosila -10.220 stanovnika da bi u 2018. godini iznosila -13.468 stanovnika. Tijekom 2019. godine uočen je pozitivan saldo vanjske migracije na razini Krapinsko-zagorske županije +222, dok je saldo na razini Republike Hrvatske, iako i dalje negativan, značajno smanjen u odnosu na 2018. godinu te sada iznosi –2.422.</w:t>
      </w:r>
    </w:p>
    <w:p w14:paraId="75119BF4" w14:textId="77777777" w:rsidR="008F5C7A" w:rsidRDefault="008F5C7A" w:rsidP="008F5C7A">
      <w:pPr>
        <w:rPr>
          <w:rFonts w:eastAsia="ArialNarrow" w:cstheme="minorHAnsi"/>
        </w:rPr>
      </w:pPr>
    </w:p>
    <w:p w14:paraId="3F98D009" w14:textId="77777777" w:rsidR="008F5C7A" w:rsidRDefault="008F5C7A" w:rsidP="008F5C7A">
      <w:pPr>
        <w:pStyle w:val="Opisslike"/>
      </w:pPr>
      <w:r>
        <w:t xml:space="preserve">Tablica </w:t>
      </w:r>
      <w:r>
        <w:rPr>
          <w:noProof/>
        </w:rPr>
        <w:t xml:space="preserve">16. </w:t>
      </w:r>
      <w:r>
        <w:t>Unutarnja migracija, Krapinsko-zagorska županija, Republika Hrvatska 2014. - 2019.</w:t>
      </w:r>
    </w:p>
    <w:tbl>
      <w:tblPr>
        <w:tblW w:w="9247" w:type="dxa"/>
        <w:tblLook w:val="04A0" w:firstRow="1" w:lastRow="0" w:firstColumn="1" w:lastColumn="0" w:noHBand="0" w:noVBand="1"/>
      </w:tblPr>
      <w:tblGrid>
        <w:gridCol w:w="1059"/>
        <w:gridCol w:w="1334"/>
        <w:gridCol w:w="992"/>
        <w:gridCol w:w="1267"/>
        <w:gridCol w:w="1242"/>
        <w:gridCol w:w="1267"/>
        <w:gridCol w:w="1140"/>
        <w:gridCol w:w="946"/>
      </w:tblGrid>
      <w:tr w:rsidR="008F5C7A" w14:paraId="3EA17342" w14:textId="77777777" w:rsidTr="00232104">
        <w:trPr>
          <w:trHeight w:val="296"/>
          <w:tblHeader/>
        </w:trPr>
        <w:tc>
          <w:tcPr>
            <w:tcW w:w="1058" w:type="dxa"/>
            <w:vMerge w:val="restart"/>
            <w:tcBorders>
              <w:right w:val="single" w:sz="4" w:space="0" w:color="FFFFFF" w:themeColor="background1"/>
            </w:tcBorders>
            <w:shd w:val="clear" w:color="auto" w:fill="D2232A" w:themeFill="accent1"/>
            <w:noWrap/>
            <w:vAlign w:val="center"/>
            <w:hideMark/>
          </w:tcPr>
          <w:p w14:paraId="6471AE6D" w14:textId="77777777" w:rsidR="008F5C7A" w:rsidRPr="00800DCC" w:rsidRDefault="008F5C7A" w:rsidP="00232104">
            <w:pPr>
              <w:spacing w:after="0" w:line="240" w:lineRule="auto"/>
              <w:rPr>
                <w:rFonts w:eastAsia="Times New Roman" w:cstheme="minorHAnsi"/>
                <w:b/>
                <w:color w:val="FFFFFF"/>
                <w:szCs w:val="18"/>
                <w:lang w:eastAsia="hr-HR"/>
              </w:rPr>
            </w:pPr>
            <w:r w:rsidRPr="00800DCC">
              <w:rPr>
                <w:rFonts w:eastAsia="Times New Roman" w:cstheme="minorHAnsi"/>
                <w:b/>
                <w:color w:val="FFFFFF"/>
                <w:sz w:val="20"/>
                <w:szCs w:val="18"/>
                <w:lang w:eastAsia="hr-HR"/>
              </w:rPr>
              <w:t>G</w:t>
            </w:r>
            <w:r>
              <w:rPr>
                <w:rFonts w:eastAsia="Times New Roman" w:cstheme="minorHAnsi"/>
                <w:b/>
                <w:color w:val="FFFFFF"/>
                <w:sz w:val="20"/>
                <w:szCs w:val="18"/>
                <w:lang w:eastAsia="hr-HR"/>
              </w:rPr>
              <w:t>odina</w:t>
            </w:r>
          </w:p>
        </w:tc>
        <w:tc>
          <w:tcPr>
            <w:tcW w:w="4835" w:type="dxa"/>
            <w:gridSpan w:val="4"/>
            <w:tcBorders>
              <w:left w:val="single" w:sz="4" w:space="0" w:color="FFFFFF" w:themeColor="background1"/>
              <w:bottom w:val="single" w:sz="4" w:space="0" w:color="FFFFFF" w:themeColor="background1"/>
              <w:right w:val="single" w:sz="8" w:space="0" w:color="D2232A" w:themeColor="accent1"/>
            </w:tcBorders>
            <w:shd w:val="clear" w:color="auto" w:fill="D2232A" w:themeFill="accent1"/>
            <w:noWrap/>
            <w:vAlign w:val="center"/>
            <w:hideMark/>
          </w:tcPr>
          <w:p w14:paraId="783D7E89" w14:textId="77777777" w:rsidR="008F5C7A" w:rsidRPr="00BA0B61" w:rsidRDefault="008F5C7A" w:rsidP="00232104">
            <w:pPr>
              <w:spacing w:after="0" w:line="240" w:lineRule="auto"/>
              <w:jc w:val="center"/>
              <w:rPr>
                <w:rFonts w:eastAsia="Times New Roman" w:cstheme="minorHAnsi"/>
                <w:color w:val="FFFFFF" w:themeColor="background1"/>
                <w:szCs w:val="18"/>
                <w:lang w:eastAsia="hr-HR"/>
              </w:rPr>
            </w:pPr>
            <w:r w:rsidRPr="00BA0B61">
              <w:rPr>
                <w:rFonts w:eastAsia="Times New Roman" w:cstheme="minorHAnsi"/>
                <w:color w:val="FFFFFF" w:themeColor="background1"/>
                <w:szCs w:val="18"/>
                <w:lang w:eastAsia="hr-HR"/>
              </w:rPr>
              <w:t>KRAPINSKO-ZAGORSKA ŽUPANIJA</w:t>
            </w:r>
          </w:p>
        </w:tc>
        <w:tc>
          <w:tcPr>
            <w:tcW w:w="0" w:type="auto"/>
            <w:gridSpan w:val="3"/>
            <w:tcBorders>
              <w:left w:val="single" w:sz="8" w:space="0" w:color="D2232A" w:themeColor="accent1"/>
              <w:right w:val="single" w:sz="4" w:space="0" w:color="FFFFFF" w:themeColor="background1"/>
            </w:tcBorders>
            <w:shd w:val="clear" w:color="auto" w:fill="E5E5E5" w:themeFill="text1" w:themeFillTint="33"/>
            <w:noWrap/>
            <w:vAlign w:val="center"/>
            <w:hideMark/>
          </w:tcPr>
          <w:p w14:paraId="6A2C4008" w14:textId="77777777" w:rsidR="008F5C7A" w:rsidRPr="00BA0B61" w:rsidRDefault="008F5C7A" w:rsidP="00232104">
            <w:pPr>
              <w:spacing w:after="0" w:line="240" w:lineRule="auto"/>
              <w:jc w:val="center"/>
              <w:rPr>
                <w:rFonts w:eastAsia="Times New Roman" w:cstheme="minorHAnsi"/>
                <w:szCs w:val="18"/>
                <w:lang w:eastAsia="hr-HR"/>
              </w:rPr>
            </w:pPr>
            <w:r w:rsidRPr="00BA0B61">
              <w:rPr>
                <w:rFonts w:eastAsia="Times New Roman" w:cstheme="minorHAnsi"/>
                <w:szCs w:val="18"/>
                <w:lang w:eastAsia="hr-HR"/>
              </w:rPr>
              <w:t>REPUBLIKA HRVATSKA</w:t>
            </w:r>
          </w:p>
        </w:tc>
      </w:tr>
      <w:tr w:rsidR="008F5C7A" w14:paraId="6E522783" w14:textId="77777777" w:rsidTr="00232104">
        <w:trPr>
          <w:trHeight w:val="296"/>
          <w:tblHeader/>
        </w:trPr>
        <w:tc>
          <w:tcPr>
            <w:tcW w:w="1058" w:type="dxa"/>
            <w:vMerge/>
            <w:vAlign w:val="center"/>
            <w:hideMark/>
          </w:tcPr>
          <w:p w14:paraId="52CF8A96" w14:textId="77777777" w:rsidR="008F5C7A" w:rsidRDefault="008F5C7A" w:rsidP="00232104">
            <w:pPr>
              <w:spacing w:after="0"/>
              <w:rPr>
                <w:rFonts w:eastAsia="Times New Roman" w:cstheme="minorHAnsi"/>
                <w:color w:val="FFFFFF"/>
                <w:szCs w:val="18"/>
                <w:lang w:eastAsia="hr-HR"/>
              </w:rPr>
            </w:pPr>
          </w:p>
        </w:tc>
        <w:tc>
          <w:tcPr>
            <w:tcW w:w="133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hideMark/>
          </w:tcPr>
          <w:p w14:paraId="7F046DA3" w14:textId="77777777" w:rsidR="008F5C7A" w:rsidRPr="00BA0B61" w:rsidRDefault="008F5C7A" w:rsidP="00232104">
            <w:pPr>
              <w:spacing w:after="0" w:line="240" w:lineRule="auto"/>
              <w:jc w:val="left"/>
              <w:rPr>
                <w:rFonts w:eastAsia="Times New Roman" w:cstheme="minorHAnsi"/>
                <w:color w:val="FFFFFF" w:themeColor="background1"/>
                <w:szCs w:val="18"/>
                <w:lang w:eastAsia="hr-HR"/>
              </w:rPr>
            </w:pPr>
            <w:r w:rsidRPr="00BA0B61">
              <w:rPr>
                <w:rFonts w:eastAsia="Times New Roman" w:cstheme="minorHAnsi"/>
                <w:color w:val="FFFFFF" w:themeColor="background1"/>
                <w:szCs w:val="18"/>
                <w:lang w:eastAsia="hr-HR"/>
              </w:rPr>
              <w:t>Doseljeno iz druge županije</w:t>
            </w:r>
          </w:p>
        </w:tc>
        <w:tc>
          <w:tcPr>
            <w:tcW w:w="9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hideMark/>
          </w:tcPr>
          <w:p w14:paraId="67EEFB8D" w14:textId="77777777" w:rsidR="008F5C7A" w:rsidRPr="00BA0B61" w:rsidRDefault="008F5C7A" w:rsidP="00232104">
            <w:pPr>
              <w:spacing w:after="0" w:line="240" w:lineRule="auto"/>
              <w:jc w:val="left"/>
              <w:rPr>
                <w:rFonts w:eastAsia="Times New Roman" w:cstheme="minorHAnsi"/>
                <w:color w:val="FFFFFF" w:themeColor="background1"/>
                <w:szCs w:val="18"/>
                <w:lang w:eastAsia="hr-HR"/>
              </w:rPr>
            </w:pPr>
            <w:r w:rsidRPr="00BA0B61">
              <w:rPr>
                <w:rFonts w:eastAsia="Times New Roman" w:cstheme="minorHAnsi"/>
                <w:color w:val="FFFFFF" w:themeColor="background1"/>
                <w:szCs w:val="18"/>
                <w:lang w:eastAsia="hr-HR"/>
              </w:rPr>
              <w:t>Odseljeno u drugu županiju</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hideMark/>
          </w:tcPr>
          <w:p w14:paraId="56353B72" w14:textId="77777777" w:rsidR="008F5C7A" w:rsidRPr="00BA0B61" w:rsidRDefault="008F5C7A" w:rsidP="00232104">
            <w:pPr>
              <w:spacing w:after="0" w:line="240" w:lineRule="auto"/>
              <w:jc w:val="left"/>
              <w:rPr>
                <w:rFonts w:eastAsia="Times New Roman" w:cstheme="minorHAnsi"/>
                <w:color w:val="FFFFFF" w:themeColor="background1"/>
                <w:szCs w:val="18"/>
                <w:lang w:eastAsia="hr-HR"/>
              </w:rPr>
            </w:pPr>
            <w:r w:rsidRPr="00BA0B61">
              <w:rPr>
                <w:rFonts w:eastAsia="Times New Roman" w:cstheme="minorHAnsi"/>
                <w:color w:val="FFFFFF" w:themeColor="background1"/>
                <w:szCs w:val="18"/>
                <w:lang w:eastAsia="hr-HR"/>
              </w:rPr>
              <w:t>Preseljeno stanovništvo među naseljima istoga grada/općine</w:t>
            </w:r>
          </w:p>
        </w:tc>
        <w:tc>
          <w:tcPr>
            <w:tcW w:w="0" w:type="auto"/>
            <w:tcBorders>
              <w:top w:val="single" w:sz="4" w:space="0" w:color="FFFFFF" w:themeColor="background1"/>
              <w:left w:val="single" w:sz="4" w:space="0" w:color="FFFFFF" w:themeColor="background1"/>
              <w:bottom w:val="single" w:sz="4" w:space="0" w:color="FFFFFF" w:themeColor="background1"/>
              <w:right w:val="single" w:sz="8" w:space="0" w:color="D2232A" w:themeColor="accent1"/>
            </w:tcBorders>
            <w:shd w:val="clear" w:color="auto" w:fill="D2232A" w:themeFill="accent1"/>
            <w:vAlign w:val="center"/>
            <w:hideMark/>
          </w:tcPr>
          <w:p w14:paraId="53365B7B" w14:textId="77777777" w:rsidR="008F5C7A" w:rsidRPr="00BA0B61" w:rsidRDefault="008F5C7A" w:rsidP="00232104">
            <w:pPr>
              <w:spacing w:after="0" w:line="240" w:lineRule="auto"/>
              <w:jc w:val="left"/>
              <w:rPr>
                <w:rFonts w:eastAsia="Times New Roman" w:cstheme="minorHAnsi"/>
                <w:color w:val="FFFFFF" w:themeColor="background1"/>
                <w:szCs w:val="18"/>
                <w:lang w:eastAsia="hr-HR"/>
              </w:rPr>
            </w:pPr>
            <w:r w:rsidRPr="00BA0B61">
              <w:rPr>
                <w:rFonts w:eastAsia="Times New Roman" w:cstheme="minorHAnsi"/>
                <w:color w:val="FFFFFF" w:themeColor="background1"/>
                <w:szCs w:val="18"/>
                <w:lang w:eastAsia="hr-HR"/>
              </w:rPr>
              <w:t>Preseljeno stanovništvo među gradovima/ općinama</w:t>
            </w:r>
          </w:p>
        </w:tc>
        <w:tc>
          <w:tcPr>
            <w:tcW w:w="0" w:type="auto"/>
            <w:tcBorders>
              <w:top w:val="single" w:sz="4" w:space="0" w:color="FFFFFF" w:themeColor="background1"/>
              <w:left w:val="single" w:sz="8" w:space="0" w:color="D2232A" w:themeColor="accent1"/>
              <w:bottom w:val="single" w:sz="4" w:space="0" w:color="FFFFFF" w:themeColor="background1"/>
              <w:right w:val="single" w:sz="4" w:space="0" w:color="FFFFFF" w:themeColor="background1"/>
            </w:tcBorders>
            <w:shd w:val="clear" w:color="auto" w:fill="E5E5E5" w:themeFill="text1" w:themeFillTint="33"/>
            <w:vAlign w:val="center"/>
            <w:hideMark/>
          </w:tcPr>
          <w:p w14:paraId="67605A11" w14:textId="77777777" w:rsidR="008F5C7A" w:rsidRDefault="008F5C7A" w:rsidP="00232104">
            <w:pPr>
              <w:spacing w:after="0" w:line="240" w:lineRule="auto"/>
              <w:jc w:val="center"/>
              <w:rPr>
                <w:rFonts w:eastAsia="Times New Roman" w:cstheme="minorHAnsi"/>
                <w:szCs w:val="18"/>
                <w:lang w:eastAsia="hr-HR"/>
              </w:rPr>
            </w:pPr>
            <w:r w:rsidRPr="00BA0B61">
              <w:rPr>
                <w:rFonts w:eastAsia="Times New Roman" w:cstheme="minorHAnsi"/>
                <w:szCs w:val="18"/>
                <w:lang w:eastAsia="hr-HR"/>
              </w:rPr>
              <w:t>Među naseljima istog grada/</w:t>
            </w:r>
          </w:p>
          <w:p w14:paraId="766C3CF4" w14:textId="77777777" w:rsidR="008F5C7A" w:rsidRPr="00BA0B61" w:rsidRDefault="008F5C7A" w:rsidP="00232104">
            <w:pPr>
              <w:spacing w:after="0" w:line="240" w:lineRule="auto"/>
              <w:jc w:val="center"/>
              <w:rPr>
                <w:rFonts w:eastAsia="Times New Roman" w:cstheme="minorHAnsi"/>
                <w:szCs w:val="18"/>
                <w:lang w:eastAsia="hr-HR"/>
              </w:rPr>
            </w:pPr>
            <w:r w:rsidRPr="00BA0B61">
              <w:rPr>
                <w:rFonts w:eastAsia="Times New Roman" w:cstheme="minorHAnsi"/>
                <w:szCs w:val="18"/>
                <w:lang w:eastAsia="hr-HR"/>
              </w:rPr>
              <w:t>općine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5E5E5" w:themeFill="text1" w:themeFillTint="33"/>
            <w:vAlign w:val="center"/>
            <w:hideMark/>
          </w:tcPr>
          <w:p w14:paraId="316B435E" w14:textId="77777777" w:rsidR="008F5C7A" w:rsidRPr="00BA0B61" w:rsidRDefault="008F5C7A" w:rsidP="00232104">
            <w:pPr>
              <w:spacing w:after="0" w:line="240" w:lineRule="auto"/>
              <w:jc w:val="center"/>
              <w:rPr>
                <w:rFonts w:eastAsia="Times New Roman" w:cstheme="minorHAnsi"/>
                <w:szCs w:val="18"/>
                <w:lang w:eastAsia="hr-HR"/>
              </w:rPr>
            </w:pPr>
            <w:r w:rsidRPr="00BA0B61">
              <w:rPr>
                <w:rFonts w:eastAsia="Times New Roman" w:cstheme="minorHAnsi"/>
                <w:szCs w:val="18"/>
                <w:lang w:eastAsia="hr-HR"/>
              </w:rPr>
              <w:t>Među gradovima/</w:t>
            </w:r>
            <w:r>
              <w:rPr>
                <w:rFonts w:eastAsia="Times New Roman" w:cstheme="minorHAnsi"/>
                <w:szCs w:val="18"/>
                <w:lang w:eastAsia="hr-HR"/>
              </w:rPr>
              <w:t xml:space="preserve"> </w:t>
            </w:r>
            <w:r w:rsidRPr="00BA0B61">
              <w:rPr>
                <w:rFonts w:eastAsia="Times New Roman" w:cstheme="minorHAnsi"/>
                <w:szCs w:val="18"/>
                <w:lang w:eastAsia="hr-HR"/>
              </w:rPr>
              <w:t>općinama iste županije</w:t>
            </w:r>
          </w:p>
        </w:tc>
        <w:tc>
          <w:tcPr>
            <w:tcW w:w="0" w:type="auto"/>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5E5E5" w:themeFill="text1" w:themeFillTint="33"/>
            <w:vAlign w:val="center"/>
            <w:hideMark/>
          </w:tcPr>
          <w:p w14:paraId="7B04482F" w14:textId="77777777" w:rsidR="008F5C7A" w:rsidRPr="00BA0B61" w:rsidRDefault="008F5C7A" w:rsidP="00232104">
            <w:pPr>
              <w:spacing w:after="0" w:line="240" w:lineRule="auto"/>
              <w:jc w:val="center"/>
              <w:rPr>
                <w:rFonts w:eastAsia="Times New Roman" w:cstheme="minorHAnsi"/>
                <w:szCs w:val="18"/>
                <w:lang w:eastAsia="hr-HR"/>
              </w:rPr>
            </w:pPr>
            <w:r w:rsidRPr="00BA0B61">
              <w:rPr>
                <w:rFonts w:eastAsia="Times New Roman" w:cstheme="minorHAnsi"/>
                <w:szCs w:val="18"/>
                <w:lang w:eastAsia="hr-HR"/>
              </w:rPr>
              <w:t>Odseljeni u drugu županiju</w:t>
            </w:r>
          </w:p>
        </w:tc>
      </w:tr>
      <w:tr w:rsidR="008F5C7A" w14:paraId="50FD984C" w14:textId="77777777" w:rsidTr="00232104">
        <w:trPr>
          <w:trHeight w:val="296"/>
        </w:trPr>
        <w:tc>
          <w:tcPr>
            <w:tcW w:w="1058" w:type="dxa"/>
            <w:tcBorders>
              <w:top w:val="single" w:sz="4" w:space="0" w:color="FFFFFF" w:themeColor="background1"/>
              <w:bottom w:val="single" w:sz="8" w:space="0" w:color="F3CFC1"/>
            </w:tcBorders>
            <w:shd w:val="clear" w:color="auto" w:fill="D2232A" w:themeFill="accent1"/>
            <w:noWrap/>
            <w:vAlign w:val="center"/>
            <w:hideMark/>
          </w:tcPr>
          <w:p w14:paraId="60C2B0EB" w14:textId="77777777" w:rsidR="008F5C7A" w:rsidRDefault="008F5C7A" w:rsidP="00232104">
            <w:pPr>
              <w:spacing w:after="0" w:line="240" w:lineRule="auto"/>
              <w:rPr>
                <w:rFonts w:eastAsia="Times New Roman" w:cstheme="minorHAnsi"/>
                <w:color w:val="FFFFFF" w:themeColor="background1"/>
                <w:sz w:val="20"/>
                <w:lang w:eastAsia="hr-HR"/>
              </w:rPr>
            </w:pPr>
            <w:r>
              <w:rPr>
                <w:rFonts w:eastAsia="Times New Roman" w:cstheme="minorHAnsi"/>
                <w:color w:val="FFFFFF" w:themeColor="background1"/>
                <w:sz w:val="20"/>
                <w:lang w:eastAsia="hr-HR"/>
              </w:rPr>
              <w:t>2014.</w:t>
            </w:r>
          </w:p>
        </w:tc>
        <w:tc>
          <w:tcPr>
            <w:tcW w:w="1334" w:type="dxa"/>
            <w:tcBorders>
              <w:top w:val="single" w:sz="4" w:space="0" w:color="FFFFFF" w:themeColor="background1"/>
              <w:bottom w:val="single" w:sz="8" w:space="0" w:color="F3CFC1"/>
              <w:right w:val="single" w:sz="8" w:space="0" w:color="D2232A" w:themeColor="accent1"/>
            </w:tcBorders>
            <w:shd w:val="clear" w:color="auto" w:fill="FFFFFF" w:themeFill="background1"/>
            <w:noWrap/>
            <w:vAlign w:val="center"/>
            <w:hideMark/>
          </w:tcPr>
          <w:p w14:paraId="280A099B"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747</w:t>
            </w:r>
          </w:p>
        </w:tc>
        <w:tc>
          <w:tcPr>
            <w:tcW w:w="992" w:type="dxa"/>
            <w:tcBorders>
              <w:top w:val="single" w:sz="4" w:space="0" w:color="FFFFFF" w:themeColor="background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241F37CE"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818</w:t>
            </w:r>
          </w:p>
        </w:tc>
        <w:tc>
          <w:tcPr>
            <w:tcW w:w="0" w:type="auto"/>
            <w:tcBorders>
              <w:top w:val="single" w:sz="4" w:space="0" w:color="FFFFFF" w:themeColor="background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5CACB206"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426</w:t>
            </w:r>
          </w:p>
        </w:tc>
        <w:tc>
          <w:tcPr>
            <w:tcW w:w="0" w:type="auto"/>
            <w:tcBorders>
              <w:top w:val="single" w:sz="4" w:space="0" w:color="FFFFFF" w:themeColor="background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6836885D"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829</w:t>
            </w:r>
          </w:p>
        </w:tc>
        <w:tc>
          <w:tcPr>
            <w:tcW w:w="0" w:type="auto"/>
            <w:tcBorders>
              <w:top w:val="single" w:sz="4" w:space="0" w:color="FFFFFF" w:themeColor="background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0F1A3F1D"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15.983</w:t>
            </w:r>
          </w:p>
        </w:tc>
        <w:tc>
          <w:tcPr>
            <w:tcW w:w="0" w:type="auto"/>
            <w:tcBorders>
              <w:top w:val="single" w:sz="4" w:space="0" w:color="FFFFFF" w:themeColor="background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7CF40184"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30.947</w:t>
            </w:r>
          </w:p>
        </w:tc>
        <w:tc>
          <w:tcPr>
            <w:tcW w:w="0" w:type="auto"/>
            <w:tcBorders>
              <w:top w:val="single" w:sz="4" w:space="0" w:color="FFFFFF" w:themeColor="background1"/>
              <w:left w:val="single" w:sz="8" w:space="0" w:color="D2232A" w:themeColor="accent1"/>
              <w:bottom w:val="single" w:sz="8" w:space="0" w:color="F3CFC1"/>
              <w:right w:val="single" w:sz="4" w:space="0" w:color="FFFFFF" w:themeColor="background1"/>
            </w:tcBorders>
            <w:shd w:val="clear" w:color="auto" w:fill="FFFFFF" w:themeFill="background1"/>
            <w:noWrap/>
            <w:vAlign w:val="center"/>
            <w:hideMark/>
          </w:tcPr>
          <w:p w14:paraId="37EB17D2"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33.806</w:t>
            </w:r>
          </w:p>
        </w:tc>
      </w:tr>
      <w:tr w:rsidR="008F5C7A" w14:paraId="0A4269A1" w14:textId="77777777" w:rsidTr="00232104">
        <w:trPr>
          <w:trHeight w:val="296"/>
        </w:trPr>
        <w:tc>
          <w:tcPr>
            <w:tcW w:w="1058" w:type="dxa"/>
            <w:tcBorders>
              <w:top w:val="single" w:sz="8" w:space="0" w:color="F3CFC1"/>
              <w:bottom w:val="single" w:sz="8" w:space="0" w:color="F3CFC1"/>
            </w:tcBorders>
            <w:shd w:val="clear" w:color="auto" w:fill="D2232A" w:themeFill="accent1"/>
            <w:noWrap/>
            <w:vAlign w:val="center"/>
            <w:hideMark/>
          </w:tcPr>
          <w:p w14:paraId="2BC8809D" w14:textId="77777777" w:rsidR="008F5C7A" w:rsidRDefault="008F5C7A" w:rsidP="00232104">
            <w:pPr>
              <w:spacing w:after="0" w:line="240" w:lineRule="auto"/>
              <w:rPr>
                <w:rFonts w:eastAsia="Times New Roman" w:cstheme="minorHAnsi"/>
                <w:color w:val="FFFFFF" w:themeColor="background1"/>
                <w:sz w:val="20"/>
                <w:lang w:eastAsia="hr-HR"/>
              </w:rPr>
            </w:pPr>
            <w:r>
              <w:rPr>
                <w:rFonts w:eastAsia="Times New Roman" w:cstheme="minorHAnsi"/>
                <w:color w:val="FFFFFF" w:themeColor="background1"/>
                <w:sz w:val="20"/>
                <w:lang w:eastAsia="hr-HR"/>
              </w:rPr>
              <w:t>2015.</w:t>
            </w:r>
          </w:p>
        </w:tc>
        <w:tc>
          <w:tcPr>
            <w:tcW w:w="1334" w:type="dxa"/>
            <w:tcBorders>
              <w:top w:val="single" w:sz="8" w:space="0" w:color="F3CFC1"/>
              <w:bottom w:val="single" w:sz="8" w:space="0" w:color="F3CFC1"/>
              <w:right w:val="single" w:sz="8" w:space="0" w:color="D2232A" w:themeColor="accent1"/>
            </w:tcBorders>
            <w:shd w:val="clear" w:color="auto" w:fill="FFFFFF" w:themeFill="background1"/>
            <w:noWrap/>
            <w:vAlign w:val="center"/>
            <w:hideMark/>
          </w:tcPr>
          <w:p w14:paraId="45FADB2E"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836</w:t>
            </w:r>
          </w:p>
        </w:tc>
        <w:tc>
          <w:tcPr>
            <w:tcW w:w="992" w:type="dxa"/>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43B74CE0"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816</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6A0D0D0E"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367</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11BAD091"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902</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46E01587"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14.241</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1DA6C77E"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28.268</w:t>
            </w:r>
          </w:p>
        </w:tc>
        <w:tc>
          <w:tcPr>
            <w:tcW w:w="0" w:type="auto"/>
            <w:tcBorders>
              <w:top w:val="single" w:sz="8" w:space="0" w:color="F3CFC1"/>
              <w:left w:val="single" w:sz="8" w:space="0" w:color="D2232A" w:themeColor="accent1"/>
              <w:bottom w:val="single" w:sz="8" w:space="0" w:color="F3CFC1"/>
              <w:right w:val="single" w:sz="4" w:space="0" w:color="FFFFFF" w:themeColor="background1"/>
            </w:tcBorders>
            <w:shd w:val="clear" w:color="auto" w:fill="FFFFFF" w:themeFill="background1"/>
            <w:noWrap/>
            <w:vAlign w:val="center"/>
            <w:hideMark/>
          </w:tcPr>
          <w:p w14:paraId="223FF262"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33.418</w:t>
            </w:r>
          </w:p>
        </w:tc>
      </w:tr>
      <w:tr w:rsidR="008F5C7A" w14:paraId="7F3D2892" w14:textId="77777777" w:rsidTr="00232104">
        <w:trPr>
          <w:trHeight w:val="296"/>
        </w:trPr>
        <w:tc>
          <w:tcPr>
            <w:tcW w:w="1058" w:type="dxa"/>
            <w:tcBorders>
              <w:top w:val="single" w:sz="8" w:space="0" w:color="F3CFC1"/>
              <w:bottom w:val="single" w:sz="8" w:space="0" w:color="F3CFC1"/>
            </w:tcBorders>
            <w:shd w:val="clear" w:color="auto" w:fill="D2232A" w:themeFill="accent1"/>
            <w:noWrap/>
            <w:vAlign w:val="center"/>
            <w:hideMark/>
          </w:tcPr>
          <w:p w14:paraId="30DAF8AA" w14:textId="77777777" w:rsidR="008F5C7A" w:rsidRDefault="008F5C7A" w:rsidP="00232104">
            <w:pPr>
              <w:spacing w:after="0" w:line="240" w:lineRule="auto"/>
              <w:rPr>
                <w:rFonts w:eastAsia="Times New Roman" w:cstheme="minorHAnsi"/>
                <w:color w:val="FFFFFF" w:themeColor="background1"/>
                <w:sz w:val="20"/>
                <w:lang w:eastAsia="hr-HR"/>
              </w:rPr>
            </w:pPr>
            <w:r>
              <w:rPr>
                <w:rFonts w:eastAsia="Times New Roman" w:cstheme="minorHAnsi"/>
                <w:color w:val="FFFFFF" w:themeColor="background1"/>
                <w:sz w:val="20"/>
                <w:lang w:eastAsia="hr-HR"/>
              </w:rPr>
              <w:t>2016.</w:t>
            </w:r>
          </w:p>
        </w:tc>
        <w:tc>
          <w:tcPr>
            <w:tcW w:w="1334" w:type="dxa"/>
            <w:tcBorders>
              <w:top w:val="single" w:sz="8" w:space="0" w:color="F3CFC1"/>
              <w:bottom w:val="single" w:sz="8" w:space="0" w:color="F3CFC1"/>
              <w:right w:val="single" w:sz="8" w:space="0" w:color="D2232A" w:themeColor="accent1"/>
            </w:tcBorders>
            <w:shd w:val="clear" w:color="auto" w:fill="FFFFFF" w:themeFill="background1"/>
            <w:noWrap/>
            <w:vAlign w:val="center"/>
            <w:hideMark/>
          </w:tcPr>
          <w:p w14:paraId="5B826DEB"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640</w:t>
            </w:r>
          </w:p>
        </w:tc>
        <w:tc>
          <w:tcPr>
            <w:tcW w:w="992" w:type="dxa"/>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35BFBA3F"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755</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1758CF9E"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468</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452193E0"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803</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3432CA0C"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14.890</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1B7E07C0"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28.350</w:t>
            </w:r>
          </w:p>
        </w:tc>
        <w:tc>
          <w:tcPr>
            <w:tcW w:w="0" w:type="auto"/>
            <w:tcBorders>
              <w:top w:val="single" w:sz="8" w:space="0" w:color="F3CFC1"/>
              <w:left w:val="single" w:sz="8" w:space="0" w:color="D2232A" w:themeColor="accent1"/>
              <w:bottom w:val="single" w:sz="8" w:space="0" w:color="F3CFC1"/>
              <w:right w:val="single" w:sz="4" w:space="0" w:color="FFFFFF" w:themeColor="background1"/>
            </w:tcBorders>
            <w:shd w:val="clear" w:color="auto" w:fill="FFFFFF" w:themeFill="background1"/>
            <w:noWrap/>
            <w:vAlign w:val="center"/>
            <w:hideMark/>
          </w:tcPr>
          <w:p w14:paraId="4CFC1EFA"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31.512</w:t>
            </w:r>
          </w:p>
        </w:tc>
      </w:tr>
      <w:tr w:rsidR="008F5C7A" w14:paraId="612E8DAA" w14:textId="77777777" w:rsidTr="00232104">
        <w:trPr>
          <w:trHeight w:val="296"/>
        </w:trPr>
        <w:tc>
          <w:tcPr>
            <w:tcW w:w="1058" w:type="dxa"/>
            <w:tcBorders>
              <w:top w:val="single" w:sz="8" w:space="0" w:color="F3CFC1"/>
              <w:bottom w:val="single" w:sz="8" w:space="0" w:color="F3CFC1"/>
            </w:tcBorders>
            <w:shd w:val="clear" w:color="auto" w:fill="D2232A" w:themeFill="accent1"/>
            <w:noWrap/>
            <w:vAlign w:val="center"/>
            <w:hideMark/>
          </w:tcPr>
          <w:p w14:paraId="684A5B61" w14:textId="77777777" w:rsidR="008F5C7A" w:rsidRDefault="008F5C7A" w:rsidP="00232104">
            <w:pPr>
              <w:spacing w:after="0" w:line="240" w:lineRule="auto"/>
              <w:rPr>
                <w:rFonts w:eastAsia="Times New Roman" w:cstheme="minorHAnsi"/>
                <w:color w:val="FFFFFF" w:themeColor="background1"/>
                <w:sz w:val="20"/>
                <w:lang w:eastAsia="hr-HR"/>
              </w:rPr>
            </w:pPr>
            <w:r>
              <w:rPr>
                <w:rFonts w:eastAsia="Times New Roman" w:cstheme="minorHAnsi"/>
                <w:color w:val="FFFFFF" w:themeColor="background1"/>
                <w:sz w:val="20"/>
                <w:lang w:eastAsia="hr-HR"/>
              </w:rPr>
              <w:t>2017.</w:t>
            </w:r>
          </w:p>
        </w:tc>
        <w:tc>
          <w:tcPr>
            <w:tcW w:w="1334" w:type="dxa"/>
            <w:tcBorders>
              <w:top w:val="single" w:sz="8" w:space="0" w:color="F3CFC1"/>
              <w:bottom w:val="single" w:sz="8" w:space="0" w:color="F3CFC1"/>
              <w:right w:val="single" w:sz="8" w:space="0" w:color="D2232A" w:themeColor="accent1"/>
            </w:tcBorders>
            <w:shd w:val="clear" w:color="auto" w:fill="FFFFFF" w:themeFill="background1"/>
            <w:noWrap/>
            <w:vAlign w:val="center"/>
            <w:hideMark/>
          </w:tcPr>
          <w:p w14:paraId="07A07946"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695</w:t>
            </w:r>
          </w:p>
        </w:tc>
        <w:tc>
          <w:tcPr>
            <w:tcW w:w="992" w:type="dxa"/>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32592E86"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728</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225A9815"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402</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08892976"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885</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11084074"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13.869</w:t>
            </w:r>
          </w:p>
        </w:tc>
        <w:tc>
          <w:tcPr>
            <w:tcW w:w="0" w:type="auto"/>
            <w:tcBorders>
              <w:top w:val="single" w:sz="8" w:space="0" w:color="F3CFC1"/>
              <w:left w:val="single" w:sz="8" w:space="0" w:color="D2232A" w:themeColor="accent1"/>
              <w:bottom w:val="single" w:sz="8" w:space="0" w:color="F3CFC1"/>
              <w:right w:val="single" w:sz="8" w:space="0" w:color="D2232A" w:themeColor="accent1"/>
            </w:tcBorders>
            <w:shd w:val="clear" w:color="auto" w:fill="FFFFFF" w:themeFill="background1"/>
            <w:noWrap/>
            <w:vAlign w:val="center"/>
            <w:hideMark/>
          </w:tcPr>
          <w:p w14:paraId="049D588B"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27.278</w:t>
            </w:r>
          </w:p>
        </w:tc>
        <w:tc>
          <w:tcPr>
            <w:tcW w:w="0" w:type="auto"/>
            <w:tcBorders>
              <w:top w:val="single" w:sz="8" w:space="0" w:color="F3CFC1"/>
              <w:left w:val="single" w:sz="8" w:space="0" w:color="D2232A" w:themeColor="accent1"/>
              <w:bottom w:val="single" w:sz="8" w:space="0" w:color="F3CFC1"/>
              <w:right w:val="single" w:sz="4" w:space="0" w:color="FFFFFF" w:themeColor="background1"/>
            </w:tcBorders>
            <w:shd w:val="clear" w:color="auto" w:fill="FFFFFF" w:themeFill="background1"/>
            <w:noWrap/>
            <w:vAlign w:val="center"/>
            <w:hideMark/>
          </w:tcPr>
          <w:p w14:paraId="235A7B07"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30.433</w:t>
            </w:r>
          </w:p>
        </w:tc>
      </w:tr>
      <w:tr w:rsidR="008F5C7A" w14:paraId="23D63090" w14:textId="77777777" w:rsidTr="00232104">
        <w:trPr>
          <w:trHeight w:val="296"/>
        </w:trPr>
        <w:tc>
          <w:tcPr>
            <w:tcW w:w="1058" w:type="dxa"/>
            <w:tcBorders>
              <w:top w:val="single" w:sz="8" w:space="0" w:color="F3CFC1"/>
            </w:tcBorders>
            <w:shd w:val="clear" w:color="auto" w:fill="D2232A" w:themeFill="accent1"/>
            <w:noWrap/>
            <w:vAlign w:val="center"/>
            <w:hideMark/>
          </w:tcPr>
          <w:p w14:paraId="51FD8F98" w14:textId="77777777" w:rsidR="008F5C7A" w:rsidRDefault="008F5C7A" w:rsidP="00232104">
            <w:pPr>
              <w:spacing w:after="0" w:line="240" w:lineRule="auto"/>
              <w:rPr>
                <w:rFonts w:eastAsia="Times New Roman" w:cstheme="minorHAnsi"/>
                <w:color w:val="FFFFFF" w:themeColor="background1"/>
                <w:sz w:val="20"/>
                <w:lang w:eastAsia="hr-HR"/>
              </w:rPr>
            </w:pPr>
            <w:r>
              <w:rPr>
                <w:rFonts w:eastAsia="Times New Roman" w:cstheme="minorHAnsi"/>
                <w:color w:val="FFFFFF" w:themeColor="background1"/>
                <w:sz w:val="20"/>
                <w:lang w:eastAsia="hr-HR"/>
              </w:rPr>
              <w:t>2018.</w:t>
            </w:r>
          </w:p>
        </w:tc>
        <w:tc>
          <w:tcPr>
            <w:tcW w:w="1334" w:type="dxa"/>
            <w:tcBorders>
              <w:top w:val="single" w:sz="8" w:space="0" w:color="F3CFC1"/>
              <w:right w:val="single" w:sz="8" w:space="0" w:color="D2232A" w:themeColor="accent1"/>
            </w:tcBorders>
            <w:shd w:val="clear" w:color="auto" w:fill="FFFFFF" w:themeFill="background1"/>
            <w:noWrap/>
            <w:vAlign w:val="center"/>
            <w:hideMark/>
          </w:tcPr>
          <w:p w14:paraId="077A9616"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840</w:t>
            </w:r>
          </w:p>
        </w:tc>
        <w:tc>
          <w:tcPr>
            <w:tcW w:w="992" w:type="dxa"/>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04DC71A2"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802</w:t>
            </w:r>
          </w:p>
        </w:tc>
        <w:tc>
          <w:tcPr>
            <w:tcW w:w="0" w:type="auto"/>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18000AB4"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382</w:t>
            </w:r>
          </w:p>
        </w:tc>
        <w:tc>
          <w:tcPr>
            <w:tcW w:w="0" w:type="auto"/>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54A74D5E"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972</w:t>
            </w:r>
          </w:p>
        </w:tc>
        <w:tc>
          <w:tcPr>
            <w:tcW w:w="0" w:type="auto"/>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314FEEE8"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14.238</w:t>
            </w:r>
          </w:p>
        </w:tc>
        <w:tc>
          <w:tcPr>
            <w:tcW w:w="0" w:type="auto"/>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628D195D"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27.081</w:t>
            </w:r>
          </w:p>
        </w:tc>
        <w:tc>
          <w:tcPr>
            <w:tcW w:w="0" w:type="auto"/>
            <w:tcBorders>
              <w:top w:val="single" w:sz="8" w:space="0" w:color="F3CFC1"/>
              <w:left w:val="single" w:sz="8" w:space="0" w:color="D2232A" w:themeColor="accent1"/>
              <w:right w:val="single" w:sz="4" w:space="0" w:color="FFFFFF" w:themeColor="background1"/>
            </w:tcBorders>
            <w:shd w:val="clear" w:color="auto" w:fill="FFFFFF" w:themeFill="background1"/>
            <w:noWrap/>
            <w:vAlign w:val="center"/>
            <w:hideMark/>
          </w:tcPr>
          <w:p w14:paraId="5A12F1E1" w14:textId="77777777" w:rsidR="008F5C7A" w:rsidRPr="008A4BDB" w:rsidRDefault="008F5C7A" w:rsidP="00232104">
            <w:pPr>
              <w:spacing w:after="0" w:line="240" w:lineRule="auto"/>
              <w:rPr>
                <w:rFonts w:eastAsia="Times New Roman" w:cstheme="minorHAnsi"/>
                <w:sz w:val="20"/>
                <w:lang w:eastAsia="hr-HR"/>
              </w:rPr>
            </w:pPr>
            <w:r w:rsidRPr="008A4BDB">
              <w:rPr>
                <w:rFonts w:eastAsia="Times New Roman" w:cstheme="minorHAnsi"/>
                <w:sz w:val="20"/>
                <w:lang w:eastAsia="hr-HR"/>
              </w:rPr>
              <w:t>30.384</w:t>
            </w:r>
          </w:p>
        </w:tc>
      </w:tr>
      <w:tr w:rsidR="008F5C7A" w14:paraId="78E068F9" w14:textId="77777777" w:rsidTr="00232104">
        <w:trPr>
          <w:trHeight w:val="296"/>
        </w:trPr>
        <w:tc>
          <w:tcPr>
            <w:tcW w:w="1058" w:type="dxa"/>
            <w:tcBorders>
              <w:top w:val="single" w:sz="8" w:space="0" w:color="F3CFC1"/>
            </w:tcBorders>
            <w:shd w:val="clear" w:color="auto" w:fill="D2232A" w:themeFill="accent1"/>
            <w:noWrap/>
            <w:vAlign w:val="center"/>
            <w:hideMark/>
          </w:tcPr>
          <w:p w14:paraId="6B11C666" w14:textId="77777777" w:rsidR="008F5C7A" w:rsidRDefault="008F5C7A" w:rsidP="00232104">
            <w:pPr>
              <w:spacing w:line="240" w:lineRule="auto"/>
              <w:rPr>
                <w:rFonts w:eastAsia="Times New Roman"/>
                <w:color w:val="FFFFFF" w:themeColor="background1"/>
                <w:sz w:val="20"/>
                <w:szCs w:val="20"/>
                <w:lang w:eastAsia="hr-HR"/>
              </w:rPr>
            </w:pPr>
            <w:r w:rsidRPr="4E193667">
              <w:rPr>
                <w:rFonts w:eastAsia="Times New Roman"/>
                <w:color w:val="FFFFFF" w:themeColor="background1"/>
                <w:sz w:val="20"/>
                <w:szCs w:val="20"/>
                <w:lang w:eastAsia="hr-HR"/>
              </w:rPr>
              <w:t>2019.</w:t>
            </w:r>
          </w:p>
        </w:tc>
        <w:tc>
          <w:tcPr>
            <w:tcW w:w="1334" w:type="dxa"/>
            <w:tcBorders>
              <w:top w:val="single" w:sz="8" w:space="0" w:color="F3CFC1"/>
              <w:right w:val="single" w:sz="8" w:space="0" w:color="D2232A" w:themeColor="accent1"/>
            </w:tcBorders>
            <w:shd w:val="clear" w:color="auto" w:fill="FFFFFF" w:themeFill="background1"/>
            <w:noWrap/>
            <w:vAlign w:val="center"/>
            <w:hideMark/>
          </w:tcPr>
          <w:p w14:paraId="23F518D7" w14:textId="77777777" w:rsidR="008F5C7A" w:rsidRDefault="008F5C7A" w:rsidP="00232104">
            <w:pPr>
              <w:spacing w:line="240" w:lineRule="auto"/>
              <w:rPr>
                <w:rFonts w:eastAsia="Times New Roman"/>
                <w:sz w:val="20"/>
                <w:szCs w:val="20"/>
                <w:lang w:eastAsia="hr-HR"/>
              </w:rPr>
            </w:pPr>
            <w:r w:rsidRPr="4E193667">
              <w:rPr>
                <w:rFonts w:eastAsia="Times New Roman"/>
                <w:sz w:val="20"/>
                <w:szCs w:val="20"/>
                <w:lang w:eastAsia="hr-HR"/>
              </w:rPr>
              <w:t>783</w:t>
            </w:r>
          </w:p>
        </w:tc>
        <w:tc>
          <w:tcPr>
            <w:tcW w:w="992" w:type="dxa"/>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0CC6A53C" w14:textId="77777777" w:rsidR="008F5C7A" w:rsidRDefault="008F5C7A" w:rsidP="00232104">
            <w:pPr>
              <w:spacing w:line="240" w:lineRule="auto"/>
              <w:rPr>
                <w:rFonts w:eastAsia="Times New Roman"/>
                <w:sz w:val="20"/>
                <w:szCs w:val="20"/>
                <w:lang w:eastAsia="hr-HR"/>
              </w:rPr>
            </w:pPr>
            <w:r w:rsidRPr="4E193667">
              <w:rPr>
                <w:rFonts w:eastAsia="Times New Roman"/>
                <w:sz w:val="20"/>
                <w:szCs w:val="20"/>
                <w:lang w:eastAsia="hr-HR"/>
              </w:rPr>
              <w:t>694</w:t>
            </w:r>
          </w:p>
        </w:tc>
        <w:tc>
          <w:tcPr>
            <w:tcW w:w="1267" w:type="dxa"/>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3BBD99F5" w14:textId="77777777" w:rsidR="008F5C7A" w:rsidRDefault="008F5C7A" w:rsidP="00232104">
            <w:pPr>
              <w:spacing w:line="240" w:lineRule="auto"/>
              <w:rPr>
                <w:rFonts w:eastAsia="Times New Roman"/>
                <w:sz w:val="20"/>
                <w:szCs w:val="20"/>
                <w:lang w:eastAsia="hr-HR"/>
              </w:rPr>
            </w:pPr>
            <w:r w:rsidRPr="4E193667">
              <w:rPr>
                <w:rFonts w:eastAsia="Times New Roman"/>
                <w:sz w:val="20"/>
                <w:szCs w:val="20"/>
                <w:lang w:eastAsia="hr-HR"/>
              </w:rPr>
              <w:t>433</w:t>
            </w:r>
          </w:p>
        </w:tc>
        <w:tc>
          <w:tcPr>
            <w:tcW w:w="1241" w:type="dxa"/>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73C81774" w14:textId="77777777" w:rsidR="008F5C7A" w:rsidRDefault="008F5C7A" w:rsidP="00232104">
            <w:pPr>
              <w:spacing w:line="240" w:lineRule="auto"/>
              <w:rPr>
                <w:rFonts w:eastAsia="Times New Roman"/>
                <w:sz w:val="20"/>
                <w:szCs w:val="20"/>
                <w:lang w:eastAsia="hr-HR"/>
              </w:rPr>
            </w:pPr>
            <w:r w:rsidRPr="4E193667">
              <w:rPr>
                <w:rFonts w:eastAsia="Times New Roman"/>
                <w:sz w:val="20"/>
                <w:szCs w:val="20"/>
                <w:lang w:eastAsia="hr-HR"/>
              </w:rPr>
              <w:t>988</w:t>
            </w:r>
          </w:p>
        </w:tc>
        <w:tc>
          <w:tcPr>
            <w:tcW w:w="1267" w:type="dxa"/>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5E38B9F8" w14:textId="77777777" w:rsidR="008F5C7A" w:rsidRDefault="008F5C7A" w:rsidP="00232104">
            <w:pPr>
              <w:spacing w:line="240" w:lineRule="auto"/>
              <w:rPr>
                <w:rFonts w:eastAsia="Times New Roman"/>
                <w:sz w:val="20"/>
                <w:szCs w:val="20"/>
                <w:lang w:eastAsia="hr-HR"/>
              </w:rPr>
            </w:pPr>
            <w:r w:rsidRPr="4E193667">
              <w:rPr>
                <w:rFonts w:eastAsia="Times New Roman"/>
                <w:sz w:val="20"/>
                <w:szCs w:val="20"/>
                <w:lang w:eastAsia="hr-HR"/>
              </w:rPr>
              <w:t>14.290</w:t>
            </w:r>
          </w:p>
        </w:tc>
        <w:tc>
          <w:tcPr>
            <w:tcW w:w="1140" w:type="dxa"/>
            <w:tcBorders>
              <w:top w:val="single" w:sz="8" w:space="0" w:color="F3CFC1"/>
              <w:left w:val="single" w:sz="8" w:space="0" w:color="D2232A" w:themeColor="accent1"/>
              <w:right w:val="single" w:sz="8" w:space="0" w:color="D2232A" w:themeColor="accent1"/>
            </w:tcBorders>
            <w:shd w:val="clear" w:color="auto" w:fill="FFFFFF" w:themeFill="background1"/>
            <w:noWrap/>
            <w:vAlign w:val="center"/>
            <w:hideMark/>
          </w:tcPr>
          <w:p w14:paraId="4143509C" w14:textId="77777777" w:rsidR="008F5C7A" w:rsidRDefault="008F5C7A" w:rsidP="00232104">
            <w:pPr>
              <w:spacing w:line="240" w:lineRule="auto"/>
              <w:rPr>
                <w:rFonts w:eastAsia="Times New Roman"/>
                <w:sz w:val="20"/>
                <w:szCs w:val="20"/>
                <w:lang w:eastAsia="hr-HR"/>
              </w:rPr>
            </w:pPr>
            <w:r w:rsidRPr="4E193667">
              <w:rPr>
                <w:rFonts w:eastAsia="Times New Roman"/>
                <w:sz w:val="20"/>
                <w:szCs w:val="20"/>
                <w:lang w:eastAsia="hr-HR"/>
              </w:rPr>
              <w:t>26.982</w:t>
            </w:r>
          </w:p>
        </w:tc>
        <w:tc>
          <w:tcPr>
            <w:tcW w:w="946" w:type="dxa"/>
            <w:tcBorders>
              <w:top w:val="single" w:sz="8" w:space="0" w:color="F3CFC1"/>
              <w:left w:val="single" w:sz="8" w:space="0" w:color="D2232A" w:themeColor="accent1"/>
              <w:right w:val="single" w:sz="4" w:space="0" w:color="FFFFFF" w:themeColor="background1"/>
            </w:tcBorders>
            <w:shd w:val="clear" w:color="auto" w:fill="FFFFFF" w:themeFill="background1"/>
            <w:noWrap/>
            <w:vAlign w:val="center"/>
            <w:hideMark/>
          </w:tcPr>
          <w:p w14:paraId="4E7851A1" w14:textId="77777777" w:rsidR="008F5C7A" w:rsidRDefault="008F5C7A" w:rsidP="00232104">
            <w:pPr>
              <w:spacing w:line="240" w:lineRule="auto"/>
              <w:rPr>
                <w:rFonts w:eastAsia="Times New Roman"/>
                <w:sz w:val="20"/>
                <w:szCs w:val="20"/>
                <w:lang w:eastAsia="hr-HR"/>
              </w:rPr>
            </w:pPr>
            <w:r w:rsidRPr="4E193667">
              <w:rPr>
                <w:rFonts w:eastAsia="Times New Roman"/>
                <w:sz w:val="20"/>
                <w:szCs w:val="20"/>
                <w:lang w:eastAsia="hr-HR"/>
              </w:rPr>
              <w:t>30.518</w:t>
            </w:r>
          </w:p>
        </w:tc>
      </w:tr>
    </w:tbl>
    <w:p w14:paraId="54281057" w14:textId="77777777" w:rsidR="008F5C7A" w:rsidRPr="006525B8" w:rsidRDefault="008F5C7A" w:rsidP="008F5C7A">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Izvor: DZS, Migracija stanovništva Republike Hrvatske 2014., 2015., 2016., 2017., 2018. i 2019.</w:t>
      </w:r>
    </w:p>
    <w:p w14:paraId="2007CB6C" w14:textId="77777777" w:rsidR="008F5C7A" w:rsidRDefault="008F5C7A" w:rsidP="008F5C7A">
      <w:pPr>
        <w:autoSpaceDE w:val="0"/>
        <w:autoSpaceDN w:val="0"/>
        <w:adjustRightInd w:val="0"/>
        <w:spacing w:after="0" w:line="240" w:lineRule="auto"/>
        <w:rPr>
          <w:rFonts w:eastAsia="ArialNarrow" w:cstheme="minorHAnsi"/>
        </w:rPr>
      </w:pPr>
    </w:p>
    <w:p w14:paraId="6613C4B3" w14:textId="77777777" w:rsidR="008F5C7A" w:rsidRDefault="008F5C7A" w:rsidP="008F5C7A">
      <w:pPr>
        <w:autoSpaceDE w:val="0"/>
        <w:autoSpaceDN w:val="0"/>
        <w:adjustRightInd w:val="0"/>
        <w:spacing w:after="0" w:line="240" w:lineRule="auto"/>
        <w:rPr>
          <w:rFonts w:eastAsia="ArialNarrow"/>
          <w:sz w:val="22"/>
          <w:szCs w:val="22"/>
        </w:rPr>
      </w:pPr>
      <w:r w:rsidRPr="06F6E577">
        <w:rPr>
          <w:rFonts w:eastAsia="ArialNarrow"/>
        </w:rPr>
        <w:t>U 2019. godini mjesto stanovanja unutar Republike Hrvatske promijenilo je 71.790 osoba što je za 8.946 manje nego u 2014. godini kada je mjesto stanovanja ukupno promijenilo 80.736 stanovnika. Od ukupnog broja preseljenog stanovništva u 2019. godini najviše osoba (42,5%) selilo je iz jedne županije u drugu. Među gradovima/općinama iste županije selilo se 37,58% osoba, a među naseljima istoga grada/općine 19,91% osoba. Što se Krapinsko-zagorske županije tiče u periodu od 2014. godine do 201</w:t>
      </w:r>
      <w:r>
        <w:rPr>
          <w:rFonts w:eastAsia="ArialNarrow"/>
        </w:rPr>
        <w:t>9</w:t>
      </w:r>
      <w:r w:rsidRPr="06F6E577">
        <w:rPr>
          <w:rFonts w:eastAsia="ArialNarrow"/>
        </w:rPr>
        <w:t>. godine negativan migracijski saldo ostvaren je 2014., 2016. i 2017. godine dok je u 2015., 2018. i 2019. godini ostvaren pozitivan migracijski saldo odnosno više stanovnika je doselilo u Krapinsko-zagorsku županiju nego što je iselilo. Migracije stanovništva među naseljima istog grada/općine u 201</w:t>
      </w:r>
      <w:r>
        <w:rPr>
          <w:rFonts w:eastAsia="ArialNarrow"/>
        </w:rPr>
        <w:t>9</w:t>
      </w:r>
      <w:r w:rsidRPr="06F6E577">
        <w:rPr>
          <w:rFonts w:eastAsia="ArialNarrow"/>
        </w:rPr>
        <w:t xml:space="preserve">. bile su najveće u Zagrebačkoj i Osječko-baranjskoj županiji te Gradu Zagrebu dok su najveću migraciju stanovništva među gradovima/općinama iste županije zabilježili Splitsko-dalmatinska i Primorsko-goranska županija. </w:t>
      </w:r>
    </w:p>
    <w:p w14:paraId="1F6DF865" w14:textId="77777777" w:rsidR="008F5C7A" w:rsidRDefault="008F5C7A" w:rsidP="008F5C7A">
      <w:pPr>
        <w:autoSpaceDE w:val="0"/>
        <w:autoSpaceDN w:val="0"/>
        <w:adjustRightInd w:val="0"/>
        <w:spacing w:after="0" w:line="240" w:lineRule="auto"/>
        <w:rPr>
          <w:rFonts w:eastAsia="ArialNarrow" w:cstheme="minorHAnsi"/>
        </w:rPr>
      </w:pPr>
    </w:p>
    <w:p w14:paraId="58DF0DB6" w14:textId="77777777" w:rsidR="008F5C7A" w:rsidRDefault="008F5C7A" w:rsidP="008F5C7A">
      <w:pPr>
        <w:autoSpaceDE w:val="0"/>
        <w:autoSpaceDN w:val="0"/>
        <w:adjustRightInd w:val="0"/>
        <w:spacing w:after="0" w:line="240" w:lineRule="auto"/>
        <w:rPr>
          <w:rFonts w:eastAsia="ArialNarrow" w:cstheme="minorHAnsi"/>
        </w:rPr>
      </w:pPr>
      <w:r>
        <w:rPr>
          <w:rFonts w:eastAsia="ArialNarrow" w:cstheme="minorHAnsi"/>
        </w:rPr>
        <w:t xml:space="preserve">Od ukupno dvadeset županija te Grada Zagreba međužupanijski pozitivan migracijski saldo (više doseljenih nego odseljenih) u 2019. ima 5 županija (Zagrebačka, Krapinsko-zagorska, Primorsko-goranska, Zadarska, i Istarska) i Grad Zagreb koji ima najveći saldo migracije među županijama (3.309). Negativan saldo migracije među županijama ima preostalih 15 županija, s time da je najveći negativan saldo u Vukovarsko-srijemskoj županiji (-759 osobe) te Osječko-baranjskoj (-713 osoba) i Brodsko-posavskoj županiji (-688 osoba). Migracijski saldo (preseljeno stanovništvo unutar županije) za Krapinsko-zagorsku županiju u 2019. pokazuje da je u naseljima istog grada/općine ukupno 433 osobe promijenile mjesto stanovanja dok je među gradovima/općinama to učinilo 988 osoba. </w:t>
      </w:r>
      <w:r>
        <w:rPr>
          <w:rStyle w:val="Referencafusnote"/>
          <w:rFonts w:eastAsia="ArialNarrow" w:cstheme="minorHAnsi"/>
        </w:rPr>
        <w:footnoteReference w:id="28"/>
      </w:r>
    </w:p>
    <w:p w14:paraId="001DE2DA" w14:textId="77777777" w:rsidR="008F5C7A" w:rsidRDefault="008F5C7A" w:rsidP="008F5C7A">
      <w:pPr>
        <w:autoSpaceDE w:val="0"/>
        <w:autoSpaceDN w:val="0"/>
        <w:adjustRightInd w:val="0"/>
        <w:spacing w:after="0" w:line="240" w:lineRule="auto"/>
        <w:rPr>
          <w:rFonts w:eastAsia="ArialNarrow" w:cstheme="minorHAnsi"/>
        </w:rPr>
      </w:pPr>
    </w:p>
    <w:p w14:paraId="15946F9C" w14:textId="77777777" w:rsidR="008F5C7A" w:rsidRDefault="008F5C7A" w:rsidP="008F5C7A">
      <w:pPr>
        <w:pStyle w:val="Opisslike"/>
        <w:rPr>
          <w:noProof/>
        </w:rPr>
      </w:pPr>
      <w:r>
        <w:lastRenderedPageBreak/>
        <w:t xml:space="preserve">Tablica </w:t>
      </w:r>
      <w:r>
        <w:rPr>
          <w:noProof/>
        </w:rPr>
        <w:t>17. Saldo ukupne migracije u Krapinsko-zagorskoj županiji i vanjska migracija za Republiku Hrvatsku u periodu 2014. - 2019.</w:t>
      </w:r>
    </w:p>
    <w:tbl>
      <w:tblPr>
        <w:tblW w:w="0" w:type="auto"/>
        <w:tblLook w:val="04A0" w:firstRow="1" w:lastRow="0" w:firstColumn="1" w:lastColumn="0" w:noHBand="0" w:noVBand="1"/>
      </w:tblPr>
      <w:tblGrid>
        <w:gridCol w:w="957"/>
        <w:gridCol w:w="1322"/>
        <w:gridCol w:w="1745"/>
        <w:gridCol w:w="1737"/>
        <w:gridCol w:w="892"/>
        <w:gridCol w:w="900"/>
        <w:gridCol w:w="1737"/>
      </w:tblGrid>
      <w:tr w:rsidR="008F5C7A" w:rsidRPr="003A2F4B" w14:paraId="7DD3A3D7" w14:textId="77777777" w:rsidTr="00232104">
        <w:trPr>
          <w:trHeight w:val="283"/>
          <w:tblHeader/>
        </w:trPr>
        <w:tc>
          <w:tcPr>
            <w:tcW w:w="956" w:type="dxa"/>
            <w:vMerge w:val="restart"/>
            <w:tcBorders>
              <w:right w:val="single" w:sz="4" w:space="0" w:color="FFFFFF" w:themeColor="background1"/>
            </w:tcBorders>
            <w:shd w:val="clear" w:color="auto" w:fill="D2232A"/>
            <w:noWrap/>
            <w:vAlign w:val="center"/>
            <w:hideMark/>
          </w:tcPr>
          <w:p w14:paraId="7A8A5FCE" w14:textId="77777777" w:rsidR="008F5C7A" w:rsidRPr="003A2F4B" w:rsidRDefault="008F5C7A" w:rsidP="00232104">
            <w:pPr>
              <w:spacing w:after="0" w:line="240" w:lineRule="auto"/>
              <w:jc w:val="center"/>
              <w:rPr>
                <w:rFonts w:eastAsia="Times New Roman" w:cstheme="minorHAnsi"/>
                <w:color w:val="FFFFFF"/>
                <w:szCs w:val="18"/>
                <w:lang w:eastAsia="hr-HR"/>
              </w:rPr>
            </w:pPr>
            <w:r w:rsidRPr="003A2F4B">
              <w:rPr>
                <w:rFonts w:eastAsia="Times New Roman" w:cstheme="minorHAnsi"/>
                <w:color w:val="FFFFFF"/>
                <w:szCs w:val="18"/>
                <w:lang w:eastAsia="hr-HR"/>
              </w:rPr>
              <w:t>Godina</w:t>
            </w:r>
          </w:p>
        </w:tc>
        <w:tc>
          <w:tcPr>
            <w:tcW w:w="0" w:type="auto"/>
            <w:gridSpan w:val="3"/>
            <w:tcBorders>
              <w:left w:val="single" w:sz="4" w:space="0" w:color="FFFFFF" w:themeColor="background1"/>
              <w:bottom w:val="single" w:sz="4" w:space="0" w:color="FFFFFF" w:themeColor="background1"/>
              <w:right w:val="single" w:sz="8" w:space="0" w:color="D2232A"/>
            </w:tcBorders>
            <w:shd w:val="clear" w:color="auto" w:fill="D2232A" w:themeFill="accent1"/>
            <w:noWrap/>
            <w:vAlign w:val="center"/>
            <w:hideMark/>
          </w:tcPr>
          <w:p w14:paraId="298A4985"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KRAPINSKO-ZAGORSKA ŽUPANIJA</w:t>
            </w:r>
          </w:p>
        </w:tc>
        <w:tc>
          <w:tcPr>
            <w:tcW w:w="0" w:type="auto"/>
            <w:gridSpan w:val="3"/>
            <w:tcBorders>
              <w:left w:val="single" w:sz="8" w:space="0" w:color="D2232A"/>
              <w:bottom w:val="single" w:sz="4" w:space="0" w:color="FFFFFF" w:themeColor="background1"/>
              <w:right w:val="single" w:sz="8" w:space="0" w:color="D2232A"/>
            </w:tcBorders>
            <w:shd w:val="clear" w:color="auto" w:fill="E5E5E5" w:themeFill="text1" w:themeFillTint="33"/>
            <w:noWrap/>
            <w:vAlign w:val="center"/>
            <w:hideMark/>
          </w:tcPr>
          <w:p w14:paraId="39333DB9" w14:textId="77777777" w:rsidR="008F5C7A" w:rsidRPr="003A2F4B" w:rsidRDefault="008F5C7A" w:rsidP="00232104">
            <w:pPr>
              <w:spacing w:after="0" w:line="240" w:lineRule="auto"/>
              <w:jc w:val="center"/>
              <w:rPr>
                <w:rFonts w:eastAsia="Times New Roman" w:cstheme="minorHAnsi"/>
                <w:szCs w:val="18"/>
                <w:lang w:eastAsia="hr-HR"/>
              </w:rPr>
            </w:pPr>
            <w:r w:rsidRPr="003A2F4B">
              <w:rPr>
                <w:rFonts w:eastAsia="Times New Roman" w:cstheme="minorHAnsi"/>
                <w:szCs w:val="18"/>
                <w:lang w:eastAsia="hr-HR"/>
              </w:rPr>
              <w:t>REPUBLIKA HRVATSKA</w:t>
            </w:r>
          </w:p>
        </w:tc>
      </w:tr>
      <w:tr w:rsidR="008F5C7A" w:rsidRPr="003A2F4B" w14:paraId="48E8F794" w14:textId="77777777" w:rsidTr="00232104">
        <w:trPr>
          <w:trHeight w:val="851"/>
          <w:tblHeader/>
        </w:trPr>
        <w:tc>
          <w:tcPr>
            <w:tcW w:w="0" w:type="auto"/>
            <w:vMerge/>
            <w:tcBorders>
              <w:right w:val="single" w:sz="4" w:space="0" w:color="FFFFFF" w:themeColor="background1"/>
            </w:tcBorders>
            <w:shd w:val="clear" w:color="auto" w:fill="D2232A"/>
            <w:vAlign w:val="center"/>
            <w:hideMark/>
          </w:tcPr>
          <w:p w14:paraId="3B4173CE" w14:textId="77777777" w:rsidR="008F5C7A" w:rsidRPr="003A2F4B" w:rsidRDefault="008F5C7A" w:rsidP="00232104">
            <w:pPr>
              <w:spacing w:after="0"/>
              <w:jc w:val="center"/>
              <w:rPr>
                <w:rFonts w:eastAsia="Times New Roman" w:cstheme="minorHAnsi"/>
                <w:color w:val="FFFFFF"/>
                <w:szCs w:val="18"/>
                <w:lang w:eastAsia="hr-HR"/>
              </w:rPr>
            </w:pPr>
          </w:p>
        </w:tc>
        <w:tc>
          <w:tcPr>
            <w:tcW w:w="0" w:type="auto"/>
            <w:tcBorders>
              <w:top w:val="single" w:sz="4" w:space="0" w:color="FFFFFF" w:themeColor="background1"/>
              <w:left w:val="single" w:sz="4" w:space="0" w:color="FFFFFF" w:themeColor="background1"/>
              <w:right w:val="single" w:sz="4" w:space="0" w:color="FFFFFF" w:themeColor="background1"/>
            </w:tcBorders>
            <w:shd w:val="clear" w:color="auto" w:fill="D2232A" w:themeFill="accent1"/>
            <w:vAlign w:val="center"/>
            <w:hideMark/>
          </w:tcPr>
          <w:p w14:paraId="590473AF"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Saldo ukupne migracije</w:t>
            </w:r>
          </w:p>
        </w:tc>
        <w:tc>
          <w:tcPr>
            <w:tcW w:w="0" w:type="auto"/>
            <w:tcBorders>
              <w:top w:val="single" w:sz="4" w:space="0" w:color="FFFFFF" w:themeColor="background1"/>
              <w:left w:val="single" w:sz="4" w:space="0" w:color="FFFFFF" w:themeColor="background1"/>
              <w:right w:val="single" w:sz="4" w:space="0" w:color="FFFFFF" w:themeColor="background1"/>
            </w:tcBorders>
            <w:shd w:val="clear" w:color="auto" w:fill="D2232A" w:themeFill="accent1"/>
            <w:vAlign w:val="center"/>
            <w:hideMark/>
          </w:tcPr>
          <w:p w14:paraId="1AD6F637"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Saldo migracije među županijama</w:t>
            </w:r>
          </w:p>
        </w:tc>
        <w:tc>
          <w:tcPr>
            <w:tcW w:w="0" w:type="auto"/>
            <w:tcBorders>
              <w:top w:val="single" w:sz="4" w:space="0" w:color="FFFFFF" w:themeColor="background1"/>
              <w:left w:val="single" w:sz="4" w:space="0" w:color="FFFFFF" w:themeColor="background1"/>
              <w:right w:val="single" w:sz="8" w:space="0" w:color="D2232A"/>
            </w:tcBorders>
            <w:shd w:val="clear" w:color="auto" w:fill="D2232A" w:themeFill="accent1"/>
            <w:vAlign w:val="center"/>
            <w:hideMark/>
          </w:tcPr>
          <w:p w14:paraId="43B05633"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Saldo migracije s inozemstvom</w:t>
            </w:r>
          </w:p>
        </w:tc>
        <w:tc>
          <w:tcPr>
            <w:tcW w:w="0" w:type="auto"/>
            <w:tcBorders>
              <w:top w:val="single" w:sz="4" w:space="0" w:color="FFFFFF" w:themeColor="background1"/>
              <w:left w:val="single" w:sz="8" w:space="0" w:color="D2232A"/>
              <w:right w:val="single" w:sz="4" w:space="0" w:color="FFFFFF" w:themeColor="background1"/>
            </w:tcBorders>
            <w:shd w:val="clear" w:color="auto" w:fill="E5E5E5" w:themeFill="text1" w:themeFillTint="33"/>
            <w:vAlign w:val="center"/>
            <w:hideMark/>
          </w:tcPr>
          <w:p w14:paraId="5EE7C189" w14:textId="77777777" w:rsidR="008F5C7A" w:rsidRPr="003A2F4B" w:rsidRDefault="008F5C7A" w:rsidP="00232104">
            <w:pPr>
              <w:spacing w:after="0" w:line="240" w:lineRule="auto"/>
              <w:jc w:val="center"/>
              <w:rPr>
                <w:rFonts w:eastAsia="Times New Roman" w:cstheme="minorHAnsi"/>
                <w:szCs w:val="18"/>
                <w:lang w:eastAsia="hr-HR"/>
              </w:rPr>
            </w:pPr>
            <w:r w:rsidRPr="003A2F4B">
              <w:rPr>
                <w:rFonts w:eastAsia="Times New Roman" w:cstheme="minorHAnsi"/>
                <w:szCs w:val="18"/>
                <w:lang w:eastAsia="hr-HR"/>
              </w:rPr>
              <w:t>Doseljeni</w:t>
            </w:r>
          </w:p>
        </w:tc>
        <w:tc>
          <w:tcPr>
            <w:tcW w:w="0" w:type="auto"/>
            <w:tcBorders>
              <w:top w:val="single" w:sz="4" w:space="0" w:color="FFFFFF" w:themeColor="background1"/>
              <w:left w:val="single" w:sz="4" w:space="0" w:color="FFFFFF" w:themeColor="background1"/>
              <w:right w:val="single" w:sz="4" w:space="0" w:color="FFFFFF" w:themeColor="background1"/>
            </w:tcBorders>
            <w:shd w:val="clear" w:color="auto" w:fill="E5E5E5" w:themeFill="text1" w:themeFillTint="33"/>
            <w:vAlign w:val="center"/>
            <w:hideMark/>
          </w:tcPr>
          <w:p w14:paraId="7BF88AE5" w14:textId="77777777" w:rsidR="008F5C7A" w:rsidRPr="003A2F4B" w:rsidRDefault="008F5C7A" w:rsidP="00232104">
            <w:pPr>
              <w:spacing w:after="0" w:line="240" w:lineRule="auto"/>
              <w:jc w:val="center"/>
              <w:rPr>
                <w:rFonts w:eastAsia="Times New Roman" w:cstheme="minorHAnsi"/>
                <w:szCs w:val="18"/>
                <w:lang w:eastAsia="hr-HR"/>
              </w:rPr>
            </w:pPr>
            <w:r w:rsidRPr="003A2F4B">
              <w:rPr>
                <w:rFonts w:eastAsia="Times New Roman" w:cstheme="minorHAnsi"/>
                <w:szCs w:val="18"/>
                <w:lang w:eastAsia="hr-HR"/>
              </w:rPr>
              <w:t>Odseljeni</w:t>
            </w:r>
          </w:p>
        </w:tc>
        <w:tc>
          <w:tcPr>
            <w:tcW w:w="0" w:type="auto"/>
            <w:tcBorders>
              <w:top w:val="single" w:sz="4" w:space="0" w:color="FFFFFF" w:themeColor="background1"/>
              <w:left w:val="single" w:sz="4" w:space="0" w:color="FFFFFF" w:themeColor="background1"/>
              <w:right w:val="single" w:sz="8" w:space="0" w:color="D2232A"/>
            </w:tcBorders>
            <w:shd w:val="clear" w:color="auto" w:fill="E5E5E5" w:themeFill="text1" w:themeFillTint="33"/>
            <w:vAlign w:val="center"/>
            <w:hideMark/>
          </w:tcPr>
          <w:p w14:paraId="08F56323" w14:textId="77777777" w:rsidR="008F5C7A" w:rsidRPr="003A2F4B" w:rsidRDefault="008F5C7A" w:rsidP="00232104">
            <w:pPr>
              <w:spacing w:after="0" w:line="240" w:lineRule="auto"/>
              <w:jc w:val="center"/>
              <w:rPr>
                <w:rFonts w:eastAsia="Times New Roman" w:cstheme="minorHAnsi"/>
                <w:szCs w:val="18"/>
                <w:lang w:eastAsia="hr-HR"/>
              </w:rPr>
            </w:pPr>
            <w:r w:rsidRPr="003A2F4B">
              <w:rPr>
                <w:rFonts w:eastAsia="Times New Roman" w:cstheme="minorHAnsi"/>
                <w:szCs w:val="18"/>
                <w:lang w:eastAsia="hr-HR"/>
              </w:rPr>
              <w:t>Saldo migracije s inozemstvom</w:t>
            </w:r>
          </w:p>
        </w:tc>
      </w:tr>
      <w:tr w:rsidR="008F5C7A" w:rsidRPr="003A2F4B" w14:paraId="13FC1D6D" w14:textId="77777777" w:rsidTr="00232104">
        <w:trPr>
          <w:trHeight w:val="283"/>
        </w:trPr>
        <w:tc>
          <w:tcPr>
            <w:tcW w:w="956" w:type="dxa"/>
            <w:shd w:val="clear" w:color="auto" w:fill="D2232A"/>
            <w:noWrap/>
            <w:vAlign w:val="center"/>
            <w:hideMark/>
          </w:tcPr>
          <w:p w14:paraId="2C6EB5A5"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2014.</w:t>
            </w:r>
          </w:p>
        </w:tc>
        <w:tc>
          <w:tcPr>
            <w:tcW w:w="0" w:type="auto"/>
            <w:tcBorders>
              <w:top w:val="single" w:sz="4" w:space="0" w:color="FFFFFF" w:themeColor="background1"/>
              <w:bottom w:val="single" w:sz="8" w:space="0" w:color="F3CFC1"/>
            </w:tcBorders>
            <w:noWrap/>
            <w:vAlign w:val="center"/>
            <w:hideMark/>
          </w:tcPr>
          <w:p w14:paraId="2E3B3C5B"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-248</w:t>
            </w:r>
          </w:p>
        </w:tc>
        <w:tc>
          <w:tcPr>
            <w:tcW w:w="0" w:type="auto"/>
            <w:tcBorders>
              <w:top w:val="single" w:sz="4" w:space="0" w:color="FFFFFF" w:themeColor="background1"/>
              <w:bottom w:val="single" w:sz="8" w:space="0" w:color="F3CFC1"/>
            </w:tcBorders>
            <w:noWrap/>
            <w:vAlign w:val="center"/>
            <w:hideMark/>
          </w:tcPr>
          <w:p w14:paraId="3187387D"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-71</w:t>
            </w:r>
          </w:p>
        </w:tc>
        <w:tc>
          <w:tcPr>
            <w:tcW w:w="0" w:type="auto"/>
            <w:tcBorders>
              <w:top w:val="single" w:sz="4" w:space="0" w:color="FFFFFF" w:themeColor="background1"/>
              <w:bottom w:val="single" w:sz="8" w:space="0" w:color="F3CFC1"/>
              <w:right w:val="single" w:sz="8" w:space="0" w:color="D2232A"/>
            </w:tcBorders>
            <w:noWrap/>
            <w:vAlign w:val="center"/>
            <w:hideMark/>
          </w:tcPr>
          <w:p w14:paraId="2B8EED8D"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-177</w:t>
            </w:r>
          </w:p>
        </w:tc>
        <w:tc>
          <w:tcPr>
            <w:tcW w:w="0" w:type="auto"/>
            <w:tcBorders>
              <w:top w:val="single" w:sz="4" w:space="0" w:color="FFFFFF" w:themeColor="background1"/>
              <w:left w:val="single" w:sz="8" w:space="0" w:color="D2232A"/>
              <w:bottom w:val="single" w:sz="8" w:space="0" w:color="F3CFC1"/>
            </w:tcBorders>
            <w:noWrap/>
            <w:vAlign w:val="center"/>
            <w:hideMark/>
          </w:tcPr>
          <w:p w14:paraId="253C0168"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91.374</w:t>
            </w:r>
          </w:p>
        </w:tc>
        <w:tc>
          <w:tcPr>
            <w:tcW w:w="0" w:type="auto"/>
            <w:tcBorders>
              <w:top w:val="single" w:sz="4" w:space="0" w:color="FFFFFF" w:themeColor="background1"/>
              <w:bottom w:val="single" w:sz="8" w:space="0" w:color="F3CFC1"/>
            </w:tcBorders>
            <w:noWrap/>
            <w:vAlign w:val="center"/>
            <w:hideMark/>
          </w:tcPr>
          <w:p w14:paraId="0A0EBBB1"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101.594</w:t>
            </w:r>
          </w:p>
        </w:tc>
        <w:tc>
          <w:tcPr>
            <w:tcW w:w="0" w:type="auto"/>
            <w:tcBorders>
              <w:top w:val="single" w:sz="4" w:space="0" w:color="FFFFFF" w:themeColor="background1"/>
              <w:bottom w:val="single" w:sz="8" w:space="0" w:color="F3CFC1"/>
              <w:right w:val="single" w:sz="8" w:space="0" w:color="D2232A"/>
            </w:tcBorders>
            <w:noWrap/>
            <w:vAlign w:val="center"/>
            <w:hideMark/>
          </w:tcPr>
          <w:p w14:paraId="72431EA9"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-10.220</w:t>
            </w:r>
          </w:p>
        </w:tc>
      </w:tr>
      <w:tr w:rsidR="008F5C7A" w:rsidRPr="003A2F4B" w14:paraId="10BA59D6" w14:textId="77777777" w:rsidTr="00232104">
        <w:trPr>
          <w:trHeight w:val="283"/>
        </w:trPr>
        <w:tc>
          <w:tcPr>
            <w:tcW w:w="956" w:type="dxa"/>
            <w:shd w:val="clear" w:color="auto" w:fill="D2232A"/>
            <w:noWrap/>
            <w:vAlign w:val="center"/>
            <w:hideMark/>
          </w:tcPr>
          <w:p w14:paraId="4A01A4F4"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2015.</w:t>
            </w:r>
          </w:p>
        </w:tc>
        <w:tc>
          <w:tcPr>
            <w:tcW w:w="0" w:type="auto"/>
            <w:tcBorders>
              <w:top w:val="single" w:sz="8" w:space="0" w:color="F3CFC1"/>
              <w:bottom w:val="single" w:sz="8" w:space="0" w:color="F3CFC1"/>
            </w:tcBorders>
            <w:noWrap/>
            <w:vAlign w:val="center"/>
            <w:hideMark/>
          </w:tcPr>
          <w:p w14:paraId="3C2213FC"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-271</w:t>
            </w:r>
          </w:p>
        </w:tc>
        <w:tc>
          <w:tcPr>
            <w:tcW w:w="0" w:type="auto"/>
            <w:tcBorders>
              <w:top w:val="single" w:sz="8" w:space="0" w:color="F3CFC1"/>
              <w:bottom w:val="single" w:sz="8" w:space="0" w:color="F3CFC1"/>
            </w:tcBorders>
            <w:noWrap/>
            <w:vAlign w:val="center"/>
            <w:hideMark/>
          </w:tcPr>
          <w:p w14:paraId="0265813E"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20</w:t>
            </w:r>
          </w:p>
        </w:tc>
        <w:tc>
          <w:tcPr>
            <w:tcW w:w="0" w:type="auto"/>
            <w:tcBorders>
              <w:top w:val="single" w:sz="8" w:space="0" w:color="F3CFC1"/>
              <w:bottom w:val="single" w:sz="8" w:space="0" w:color="F3CFC1"/>
              <w:right w:val="single" w:sz="8" w:space="0" w:color="D2232A"/>
            </w:tcBorders>
            <w:noWrap/>
            <w:vAlign w:val="center"/>
            <w:hideMark/>
          </w:tcPr>
          <w:p w14:paraId="0B1BE112"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-291</w:t>
            </w:r>
          </w:p>
        </w:tc>
        <w:tc>
          <w:tcPr>
            <w:tcW w:w="0" w:type="auto"/>
            <w:tcBorders>
              <w:top w:val="single" w:sz="8" w:space="0" w:color="F3CFC1"/>
              <w:left w:val="single" w:sz="8" w:space="0" w:color="D2232A"/>
              <w:bottom w:val="single" w:sz="8" w:space="0" w:color="F3CFC1"/>
            </w:tcBorders>
            <w:noWrap/>
            <w:hideMark/>
          </w:tcPr>
          <w:p w14:paraId="47963633"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87.633</w:t>
            </w:r>
          </w:p>
        </w:tc>
        <w:tc>
          <w:tcPr>
            <w:tcW w:w="0" w:type="auto"/>
            <w:tcBorders>
              <w:top w:val="single" w:sz="8" w:space="0" w:color="F3CFC1"/>
              <w:bottom w:val="single" w:sz="8" w:space="0" w:color="F3CFC1"/>
            </w:tcBorders>
            <w:noWrap/>
            <w:hideMark/>
          </w:tcPr>
          <w:p w14:paraId="68AA1802"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105.578</w:t>
            </w:r>
          </w:p>
        </w:tc>
        <w:tc>
          <w:tcPr>
            <w:tcW w:w="0" w:type="auto"/>
            <w:tcBorders>
              <w:top w:val="single" w:sz="8" w:space="0" w:color="F3CFC1"/>
              <w:bottom w:val="single" w:sz="8" w:space="0" w:color="F3CFC1"/>
              <w:right w:val="single" w:sz="8" w:space="0" w:color="D2232A"/>
            </w:tcBorders>
            <w:noWrap/>
            <w:vAlign w:val="center"/>
            <w:hideMark/>
          </w:tcPr>
          <w:p w14:paraId="6067FF4F"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-17.945</w:t>
            </w:r>
          </w:p>
        </w:tc>
      </w:tr>
      <w:tr w:rsidR="008F5C7A" w:rsidRPr="003A2F4B" w14:paraId="692B253B" w14:textId="77777777" w:rsidTr="00232104">
        <w:trPr>
          <w:trHeight w:val="283"/>
        </w:trPr>
        <w:tc>
          <w:tcPr>
            <w:tcW w:w="956" w:type="dxa"/>
            <w:shd w:val="clear" w:color="auto" w:fill="D2232A"/>
            <w:noWrap/>
            <w:vAlign w:val="center"/>
            <w:hideMark/>
          </w:tcPr>
          <w:p w14:paraId="58151BF1"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2016.</w:t>
            </w:r>
          </w:p>
        </w:tc>
        <w:tc>
          <w:tcPr>
            <w:tcW w:w="0" w:type="auto"/>
            <w:tcBorders>
              <w:top w:val="single" w:sz="8" w:space="0" w:color="F3CFC1"/>
              <w:bottom w:val="single" w:sz="8" w:space="0" w:color="F3CFC1"/>
            </w:tcBorders>
            <w:noWrap/>
            <w:vAlign w:val="center"/>
            <w:hideMark/>
          </w:tcPr>
          <w:p w14:paraId="3CDDC50B"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-626</w:t>
            </w:r>
          </w:p>
        </w:tc>
        <w:tc>
          <w:tcPr>
            <w:tcW w:w="0" w:type="auto"/>
            <w:tcBorders>
              <w:top w:val="single" w:sz="8" w:space="0" w:color="F3CFC1"/>
              <w:bottom w:val="single" w:sz="8" w:space="0" w:color="F3CFC1"/>
            </w:tcBorders>
            <w:noWrap/>
            <w:vAlign w:val="center"/>
            <w:hideMark/>
          </w:tcPr>
          <w:p w14:paraId="22DCFE54"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-115</w:t>
            </w:r>
          </w:p>
        </w:tc>
        <w:tc>
          <w:tcPr>
            <w:tcW w:w="0" w:type="auto"/>
            <w:tcBorders>
              <w:top w:val="single" w:sz="8" w:space="0" w:color="F3CFC1"/>
              <w:bottom w:val="single" w:sz="8" w:space="0" w:color="F3CFC1"/>
              <w:right w:val="single" w:sz="8" w:space="0" w:color="D2232A"/>
            </w:tcBorders>
            <w:noWrap/>
            <w:vAlign w:val="center"/>
            <w:hideMark/>
          </w:tcPr>
          <w:p w14:paraId="1315B35C"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-511</w:t>
            </w:r>
          </w:p>
        </w:tc>
        <w:tc>
          <w:tcPr>
            <w:tcW w:w="0" w:type="auto"/>
            <w:tcBorders>
              <w:top w:val="single" w:sz="8" w:space="0" w:color="F3CFC1"/>
              <w:left w:val="single" w:sz="8" w:space="0" w:color="D2232A"/>
              <w:bottom w:val="single" w:sz="8" w:space="0" w:color="F3CFC1"/>
            </w:tcBorders>
            <w:noWrap/>
            <w:hideMark/>
          </w:tcPr>
          <w:p w14:paraId="428E97E7"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color w:val="000000"/>
                <w:szCs w:val="18"/>
                <w:shd w:val="clear" w:color="auto" w:fill="FFFFFF"/>
              </w:rPr>
              <w:t>88.737</w:t>
            </w:r>
          </w:p>
        </w:tc>
        <w:tc>
          <w:tcPr>
            <w:tcW w:w="0" w:type="auto"/>
            <w:tcBorders>
              <w:top w:val="single" w:sz="8" w:space="0" w:color="F3CFC1"/>
              <w:bottom w:val="single" w:sz="8" w:space="0" w:color="F3CFC1"/>
            </w:tcBorders>
            <w:noWrap/>
            <w:hideMark/>
          </w:tcPr>
          <w:p w14:paraId="73665DB2"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color w:val="000000"/>
                <w:szCs w:val="18"/>
                <w:shd w:val="clear" w:color="auto" w:fill="FFFFFF"/>
              </w:rPr>
              <w:t>111.188</w:t>
            </w:r>
          </w:p>
        </w:tc>
        <w:tc>
          <w:tcPr>
            <w:tcW w:w="0" w:type="auto"/>
            <w:tcBorders>
              <w:top w:val="single" w:sz="8" w:space="0" w:color="F3CFC1"/>
              <w:bottom w:val="single" w:sz="8" w:space="0" w:color="F3CFC1"/>
              <w:right w:val="single" w:sz="8" w:space="0" w:color="D2232A"/>
            </w:tcBorders>
            <w:noWrap/>
            <w:vAlign w:val="center"/>
            <w:hideMark/>
          </w:tcPr>
          <w:p w14:paraId="39255B44"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-22.451</w:t>
            </w:r>
          </w:p>
        </w:tc>
      </w:tr>
      <w:tr w:rsidR="008F5C7A" w:rsidRPr="003A2F4B" w14:paraId="7EA2254D" w14:textId="77777777" w:rsidTr="00232104">
        <w:trPr>
          <w:trHeight w:val="283"/>
        </w:trPr>
        <w:tc>
          <w:tcPr>
            <w:tcW w:w="956" w:type="dxa"/>
            <w:shd w:val="clear" w:color="auto" w:fill="D2232A"/>
            <w:noWrap/>
            <w:vAlign w:val="center"/>
            <w:hideMark/>
          </w:tcPr>
          <w:p w14:paraId="374026FE"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2017.</w:t>
            </w:r>
          </w:p>
        </w:tc>
        <w:tc>
          <w:tcPr>
            <w:tcW w:w="0" w:type="auto"/>
            <w:tcBorders>
              <w:top w:val="single" w:sz="8" w:space="0" w:color="F3CFC1"/>
              <w:bottom w:val="single" w:sz="8" w:space="0" w:color="F3CFC1"/>
            </w:tcBorders>
            <w:noWrap/>
            <w:vAlign w:val="center"/>
            <w:hideMark/>
          </w:tcPr>
          <w:p w14:paraId="3324C0F5"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-434</w:t>
            </w:r>
          </w:p>
        </w:tc>
        <w:tc>
          <w:tcPr>
            <w:tcW w:w="0" w:type="auto"/>
            <w:tcBorders>
              <w:top w:val="single" w:sz="8" w:space="0" w:color="F3CFC1"/>
              <w:bottom w:val="single" w:sz="8" w:space="0" w:color="F3CFC1"/>
            </w:tcBorders>
            <w:noWrap/>
            <w:vAlign w:val="center"/>
            <w:hideMark/>
          </w:tcPr>
          <w:p w14:paraId="240B32F3"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-33</w:t>
            </w:r>
          </w:p>
        </w:tc>
        <w:tc>
          <w:tcPr>
            <w:tcW w:w="0" w:type="auto"/>
            <w:tcBorders>
              <w:top w:val="single" w:sz="8" w:space="0" w:color="F3CFC1"/>
              <w:bottom w:val="single" w:sz="8" w:space="0" w:color="F3CFC1"/>
              <w:right w:val="single" w:sz="8" w:space="0" w:color="D2232A"/>
            </w:tcBorders>
            <w:noWrap/>
            <w:vAlign w:val="center"/>
            <w:hideMark/>
          </w:tcPr>
          <w:p w14:paraId="5CAE53BD"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-401</w:t>
            </w:r>
          </w:p>
        </w:tc>
        <w:tc>
          <w:tcPr>
            <w:tcW w:w="0" w:type="auto"/>
            <w:tcBorders>
              <w:top w:val="single" w:sz="8" w:space="0" w:color="F3CFC1"/>
              <w:left w:val="single" w:sz="8" w:space="0" w:color="D2232A"/>
              <w:bottom w:val="single" w:sz="8" w:space="0" w:color="F3CFC1"/>
            </w:tcBorders>
            <w:noWrap/>
            <w:hideMark/>
          </w:tcPr>
          <w:p w14:paraId="26CF7418"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87.133</w:t>
            </w:r>
          </w:p>
        </w:tc>
        <w:tc>
          <w:tcPr>
            <w:tcW w:w="0" w:type="auto"/>
            <w:tcBorders>
              <w:top w:val="single" w:sz="8" w:space="0" w:color="F3CFC1"/>
              <w:bottom w:val="single" w:sz="8" w:space="0" w:color="F3CFC1"/>
            </w:tcBorders>
            <w:noWrap/>
            <w:hideMark/>
          </w:tcPr>
          <w:p w14:paraId="7FA58EE9"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118.932</w:t>
            </w:r>
          </w:p>
        </w:tc>
        <w:tc>
          <w:tcPr>
            <w:tcW w:w="0" w:type="auto"/>
            <w:tcBorders>
              <w:top w:val="single" w:sz="8" w:space="0" w:color="F3CFC1"/>
              <w:bottom w:val="single" w:sz="8" w:space="0" w:color="F3CFC1"/>
              <w:right w:val="single" w:sz="8" w:space="0" w:color="D2232A"/>
            </w:tcBorders>
            <w:noWrap/>
            <w:vAlign w:val="center"/>
            <w:hideMark/>
          </w:tcPr>
          <w:p w14:paraId="0D688AD1"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-31.799</w:t>
            </w:r>
          </w:p>
        </w:tc>
      </w:tr>
      <w:tr w:rsidR="008F5C7A" w:rsidRPr="003A2F4B" w14:paraId="5E602273" w14:textId="77777777" w:rsidTr="00232104">
        <w:trPr>
          <w:trHeight w:val="283"/>
        </w:trPr>
        <w:tc>
          <w:tcPr>
            <w:tcW w:w="956" w:type="dxa"/>
            <w:shd w:val="clear" w:color="auto" w:fill="D2232A"/>
            <w:noWrap/>
            <w:vAlign w:val="center"/>
            <w:hideMark/>
          </w:tcPr>
          <w:p w14:paraId="2D7DEFB6"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sidRPr="003A2F4B">
              <w:rPr>
                <w:rFonts w:eastAsia="Times New Roman" w:cstheme="minorHAnsi"/>
                <w:color w:val="FFFFFF" w:themeColor="background1"/>
                <w:szCs w:val="18"/>
                <w:lang w:eastAsia="hr-HR"/>
              </w:rPr>
              <w:t>2018.</w:t>
            </w:r>
          </w:p>
        </w:tc>
        <w:tc>
          <w:tcPr>
            <w:tcW w:w="0" w:type="auto"/>
            <w:tcBorders>
              <w:top w:val="single" w:sz="8" w:space="0" w:color="F3CFC1"/>
              <w:bottom w:val="single" w:sz="8" w:space="0" w:color="F3CFC1"/>
            </w:tcBorders>
            <w:noWrap/>
            <w:vAlign w:val="center"/>
            <w:hideMark/>
          </w:tcPr>
          <w:p w14:paraId="5361F2F5"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-267</w:t>
            </w:r>
          </w:p>
        </w:tc>
        <w:tc>
          <w:tcPr>
            <w:tcW w:w="0" w:type="auto"/>
            <w:tcBorders>
              <w:top w:val="single" w:sz="8" w:space="0" w:color="F3CFC1"/>
              <w:bottom w:val="single" w:sz="8" w:space="0" w:color="F3CFC1"/>
            </w:tcBorders>
            <w:noWrap/>
            <w:vAlign w:val="center"/>
            <w:hideMark/>
          </w:tcPr>
          <w:p w14:paraId="6FB272AC"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38</w:t>
            </w:r>
          </w:p>
        </w:tc>
        <w:tc>
          <w:tcPr>
            <w:tcW w:w="0" w:type="auto"/>
            <w:tcBorders>
              <w:top w:val="single" w:sz="8" w:space="0" w:color="F3CFC1"/>
              <w:bottom w:val="single" w:sz="8" w:space="0" w:color="F3CFC1"/>
              <w:right w:val="single" w:sz="8" w:space="0" w:color="D2232A"/>
            </w:tcBorders>
            <w:noWrap/>
            <w:vAlign w:val="center"/>
            <w:hideMark/>
          </w:tcPr>
          <w:p w14:paraId="2BE6303D"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-305</w:t>
            </w:r>
          </w:p>
        </w:tc>
        <w:tc>
          <w:tcPr>
            <w:tcW w:w="0" w:type="auto"/>
            <w:tcBorders>
              <w:top w:val="single" w:sz="8" w:space="0" w:color="F3CFC1"/>
              <w:left w:val="single" w:sz="8" w:space="0" w:color="D2232A"/>
              <w:bottom w:val="single" w:sz="8" w:space="0" w:color="F3CFC1"/>
            </w:tcBorders>
            <w:noWrap/>
            <w:hideMark/>
          </w:tcPr>
          <w:p w14:paraId="38D56276"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97.732</w:t>
            </w:r>
          </w:p>
        </w:tc>
        <w:tc>
          <w:tcPr>
            <w:tcW w:w="0" w:type="auto"/>
            <w:tcBorders>
              <w:top w:val="single" w:sz="8" w:space="0" w:color="F3CFC1"/>
              <w:bottom w:val="single" w:sz="8" w:space="0" w:color="F3CFC1"/>
            </w:tcBorders>
            <w:noWrap/>
            <w:hideMark/>
          </w:tcPr>
          <w:p w14:paraId="6D2F1B96"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111.218</w:t>
            </w:r>
          </w:p>
        </w:tc>
        <w:tc>
          <w:tcPr>
            <w:tcW w:w="0" w:type="auto"/>
            <w:tcBorders>
              <w:top w:val="single" w:sz="8" w:space="0" w:color="F3CFC1"/>
              <w:bottom w:val="single" w:sz="8" w:space="0" w:color="F3CFC1"/>
              <w:right w:val="single" w:sz="8" w:space="0" w:color="D2232A"/>
            </w:tcBorders>
            <w:noWrap/>
            <w:vAlign w:val="center"/>
            <w:hideMark/>
          </w:tcPr>
          <w:p w14:paraId="434237B6" w14:textId="77777777" w:rsidR="008F5C7A" w:rsidRPr="003A2F4B" w:rsidRDefault="008F5C7A" w:rsidP="00232104">
            <w:pPr>
              <w:spacing w:after="0" w:line="240" w:lineRule="auto"/>
              <w:jc w:val="right"/>
              <w:rPr>
                <w:rFonts w:eastAsia="Times New Roman" w:cstheme="minorHAnsi"/>
                <w:color w:val="000000"/>
                <w:szCs w:val="18"/>
                <w:lang w:eastAsia="hr-HR"/>
              </w:rPr>
            </w:pPr>
            <w:r w:rsidRPr="003A2F4B">
              <w:rPr>
                <w:rFonts w:eastAsia="Times New Roman" w:cstheme="minorHAnsi"/>
                <w:color w:val="000000"/>
                <w:szCs w:val="18"/>
                <w:lang w:eastAsia="hr-HR"/>
              </w:rPr>
              <w:t>-13.486</w:t>
            </w:r>
          </w:p>
        </w:tc>
      </w:tr>
      <w:tr w:rsidR="008F5C7A" w:rsidRPr="003A2F4B" w14:paraId="6DB13449" w14:textId="77777777" w:rsidTr="00232104">
        <w:trPr>
          <w:trHeight w:val="283"/>
        </w:trPr>
        <w:tc>
          <w:tcPr>
            <w:tcW w:w="956" w:type="dxa"/>
            <w:shd w:val="clear" w:color="auto" w:fill="D2232A"/>
            <w:noWrap/>
            <w:vAlign w:val="center"/>
          </w:tcPr>
          <w:p w14:paraId="29166DBF" w14:textId="77777777" w:rsidR="008F5C7A" w:rsidRPr="003A2F4B" w:rsidRDefault="008F5C7A" w:rsidP="00232104">
            <w:pPr>
              <w:spacing w:after="0" w:line="240" w:lineRule="auto"/>
              <w:jc w:val="center"/>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2019.</w:t>
            </w:r>
          </w:p>
        </w:tc>
        <w:tc>
          <w:tcPr>
            <w:tcW w:w="0" w:type="auto"/>
            <w:tcBorders>
              <w:top w:val="single" w:sz="8" w:space="0" w:color="F3CFC1"/>
            </w:tcBorders>
            <w:noWrap/>
            <w:vAlign w:val="center"/>
          </w:tcPr>
          <w:p w14:paraId="5C7CF54D" w14:textId="77777777" w:rsidR="008F5C7A" w:rsidRPr="003A2F4B" w:rsidRDefault="008F5C7A"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311</w:t>
            </w:r>
          </w:p>
        </w:tc>
        <w:tc>
          <w:tcPr>
            <w:tcW w:w="0" w:type="auto"/>
            <w:tcBorders>
              <w:top w:val="single" w:sz="8" w:space="0" w:color="F3CFC1"/>
            </w:tcBorders>
            <w:noWrap/>
            <w:vAlign w:val="center"/>
          </w:tcPr>
          <w:p w14:paraId="40DB7EAA" w14:textId="77777777" w:rsidR="008F5C7A" w:rsidRPr="003A2F4B" w:rsidRDefault="008F5C7A"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89</w:t>
            </w:r>
          </w:p>
        </w:tc>
        <w:tc>
          <w:tcPr>
            <w:tcW w:w="0" w:type="auto"/>
            <w:tcBorders>
              <w:top w:val="single" w:sz="8" w:space="0" w:color="F3CFC1"/>
              <w:right w:val="single" w:sz="8" w:space="0" w:color="D2232A"/>
            </w:tcBorders>
            <w:noWrap/>
            <w:vAlign w:val="center"/>
          </w:tcPr>
          <w:p w14:paraId="3F97049E" w14:textId="77777777" w:rsidR="008F5C7A" w:rsidRPr="003A2F4B" w:rsidRDefault="008F5C7A"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222</w:t>
            </w:r>
          </w:p>
        </w:tc>
        <w:tc>
          <w:tcPr>
            <w:tcW w:w="0" w:type="auto"/>
            <w:tcBorders>
              <w:top w:val="single" w:sz="8" w:space="0" w:color="F3CFC1"/>
              <w:left w:val="single" w:sz="8" w:space="0" w:color="D2232A"/>
            </w:tcBorders>
            <w:noWrap/>
          </w:tcPr>
          <w:p w14:paraId="1F98F878" w14:textId="77777777" w:rsidR="008F5C7A" w:rsidRPr="003A2F4B" w:rsidRDefault="008F5C7A"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109.516</w:t>
            </w:r>
          </w:p>
        </w:tc>
        <w:tc>
          <w:tcPr>
            <w:tcW w:w="0" w:type="auto"/>
            <w:tcBorders>
              <w:top w:val="single" w:sz="8" w:space="0" w:color="F3CFC1"/>
            </w:tcBorders>
            <w:noWrap/>
          </w:tcPr>
          <w:p w14:paraId="4A80C99E" w14:textId="77777777" w:rsidR="008F5C7A" w:rsidRPr="003A2F4B" w:rsidRDefault="008F5C7A"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111.938</w:t>
            </w:r>
          </w:p>
        </w:tc>
        <w:tc>
          <w:tcPr>
            <w:tcW w:w="0" w:type="auto"/>
            <w:tcBorders>
              <w:top w:val="single" w:sz="8" w:space="0" w:color="F3CFC1"/>
              <w:right w:val="single" w:sz="8" w:space="0" w:color="D2232A"/>
            </w:tcBorders>
            <w:noWrap/>
            <w:vAlign w:val="center"/>
          </w:tcPr>
          <w:p w14:paraId="49C38AD0" w14:textId="77777777" w:rsidR="008F5C7A" w:rsidRPr="003A2F4B" w:rsidRDefault="008F5C7A"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-2.422</w:t>
            </w:r>
          </w:p>
        </w:tc>
      </w:tr>
    </w:tbl>
    <w:p w14:paraId="422FD5D9" w14:textId="77777777" w:rsidR="008F5C7A" w:rsidRPr="006525B8" w:rsidRDefault="008F5C7A" w:rsidP="008F5C7A">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Izvor: DZS, Migracija stanovništva Republike Hrvatske 2014., 2015., 2016., 2017., 2018. i 2019.</w:t>
      </w:r>
    </w:p>
    <w:p w14:paraId="402BAD17" w14:textId="77777777" w:rsidR="008F5C7A" w:rsidRDefault="008F5C7A" w:rsidP="008F5C7A">
      <w:pPr>
        <w:autoSpaceDE w:val="0"/>
        <w:autoSpaceDN w:val="0"/>
        <w:adjustRightInd w:val="0"/>
        <w:spacing w:after="0" w:line="240" w:lineRule="auto"/>
        <w:rPr>
          <w:rFonts w:eastAsia="ArialNarrow" w:cstheme="minorHAnsi"/>
          <w:sz w:val="22"/>
          <w:szCs w:val="22"/>
        </w:rPr>
      </w:pPr>
    </w:p>
    <w:p w14:paraId="669C1B3A" w14:textId="77777777" w:rsidR="008F5C7A" w:rsidRDefault="008F5C7A" w:rsidP="008F5C7A">
      <w:pPr>
        <w:autoSpaceDE w:val="0"/>
        <w:autoSpaceDN w:val="0"/>
        <w:adjustRightInd w:val="0"/>
        <w:spacing w:after="0" w:line="240" w:lineRule="auto"/>
        <w:rPr>
          <w:rFonts w:eastAsia="ArialNarrow" w:cstheme="minorHAnsi"/>
        </w:rPr>
      </w:pPr>
      <w:r>
        <w:rPr>
          <w:rFonts w:eastAsia="ArialNarrow" w:cstheme="minorHAnsi"/>
        </w:rPr>
        <w:t>U 2014. godini ukupan saldo migracije Krapinsko-zagorske županije bio je negativan (-248 stanovnika). U 2018. godini saldo migracije bio je na približno istoj razini (-267), ali treba napomenuti da je u godinama 2016. i 2017. bio izrazito nepovoljniji. U te dvije godine Krapinsko-zagorsku županiju napustilo je 1.060 stanovnika. Isto tako treba napomenuti i da veći dio ukupne migracije otpada na iseljavanje stanovnika iz zemlje. U 2019. saldo ukupne migracije za Krapinsko-zagorsku županiju je pozitivan te iznosi 311 što znači da je više stanovnika uselilo u županiju negoli iselilo iz nje. Na razini Republike Hrvatske saldo ukupne migracije u 2019. godini bio je negativan (-2.422 stanovnika). Kao i na razini Krapinsko-zagorske županije značajniji negativan saldo vanjske migracije zabilježen je tokom 2016. i 2017. godine kada je Hrvatsku napustilo 54.250 stanovnika.</w:t>
      </w:r>
    </w:p>
    <w:p w14:paraId="6B7D89B8" w14:textId="77777777" w:rsidR="008F5C7A" w:rsidRPr="006525B8" w:rsidRDefault="008F5C7A" w:rsidP="006525B8">
      <w:pPr>
        <w:autoSpaceDE w:val="0"/>
        <w:autoSpaceDN w:val="0"/>
        <w:adjustRightInd w:val="0"/>
        <w:spacing w:after="0" w:line="240" w:lineRule="auto"/>
        <w:rPr>
          <w:rFonts w:eastAsia="ArialNarrow" w:cstheme="minorHAnsi"/>
          <w:i/>
          <w:color w:val="ABABAB" w:themeColor="text1" w:themeTint="A6"/>
          <w:sz w:val="16"/>
          <w:szCs w:val="16"/>
        </w:rPr>
      </w:pPr>
    </w:p>
    <w:p w14:paraId="59261B25" w14:textId="641659BC" w:rsidR="008878A0" w:rsidRDefault="00627AAF" w:rsidP="0052192B">
      <w:pPr>
        <w:pStyle w:val="Naslov2"/>
        <w:rPr>
          <w:szCs w:val="26"/>
        </w:rPr>
      </w:pPr>
      <w:bookmarkStart w:id="66" w:name="_Hlk48567350"/>
      <w:bookmarkStart w:id="67" w:name="_Toc85181292"/>
      <w:r>
        <w:t>4</w:t>
      </w:r>
      <w:r w:rsidR="008878A0">
        <w:t>.</w:t>
      </w:r>
      <w:r w:rsidR="008F5C7A">
        <w:t>3</w:t>
      </w:r>
      <w:r w:rsidR="008878A0">
        <w:t xml:space="preserve">. </w:t>
      </w:r>
      <w:r w:rsidR="00401BEF">
        <w:t>Razmještaj stanovništva</w:t>
      </w:r>
      <w:bookmarkEnd w:id="67"/>
      <w:r w:rsidR="00401BEF">
        <w:t xml:space="preserve"> </w:t>
      </w:r>
    </w:p>
    <w:bookmarkEnd w:id="66"/>
    <w:p w14:paraId="25EC3388" w14:textId="77777777" w:rsidR="008878A0" w:rsidRDefault="008878A0" w:rsidP="00941871">
      <w:pPr>
        <w:autoSpaceDE w:val="0"/>
        <w:autoSpaceDN w:val="0"/>
        <w:adjustRightInd w:val="0"/>
        <w:spacing w:after="0" w:line="240" w:lineRule="auto"/>
        <w:rPr>
          <w:rFonts w:eastAsia="ArialNarrow" w:cstheme="minorHAnsi"/>
        </w:rPr>
      </w:pPr>
    </w:p>
    <w:p w14:paraId="44B980CA" w14:textId="1FEA7B1B" w:rsidR="00EF10D0" w:rsidRDefault="006106A3" w:rsidP="4E193667">
      <w:pPr>
        <w:autoSpaceDE w:val="0"/>
        <w:autoSpaceDN w:val="0"/>
        <w:adjustRightInd w:val="0"/>
        <w:spacing w:after="0" w:line="240" w:lineRule="auto"/>
        <w:rPr>
          <w:rFonts w:eastAsia="ArialNarrow"/>
        </w:rPr>
      </w:pPr>
      <w:r w:rsidRPr="06F6E577">
        <w:rPr>
          <w:rFonts w:eastAsia="ArialNarrow"/>
        </w:rPr>
        <w:t>Prema podacima za 20</w:t>
      </w:r>
      <w:r w:rsidR="6662F7EE" w:rsidRPr="06F6E577">
        <w:rPr>
          <w:rFonts w:eastAsia="ArialNarrow"/>
        </w:rPr>
        <w:t>19</w:t>
      </w:r>
      <w:r w:rsidRPr="06F6E577">
        <w:rPr>
          <w:rFonts w:eastAsia="ArialNarrow"/>
        </w:rPr>
        <w:t xml:space="preserve">. godinu vidi se da je teritorij Krapinsko-zagorske županije nejednako naseljen. Postoje prostori koji su vrlo rijetko i prostori koji su veoma gusto naseljeni. Prosječna gustoća naseljenosti u Krapinsko-zagorskoj </w:t>
      </w:r>
      <w:r w:rsidR="009143F0" w:rsidRPr="06F6E577">
        <w:rPr>
          <w:rFonts w:eastAsia="ArialNarrow"/>
        </w:rPr>
        <w:t>županiji u 201</w:t>
      </w:r>
      <w:r w:rsidR="31E3B886" w:rsidRPr="06F6E577">
        <w:rPr>
          <w:rFonts w:eastAsia="ArialNarrow"/>
        </w:rPr>
        <w:t>9</w:t>
      </w:r>
      <w:r w:rsidR="009143F0" w:rsidRPr="06F6E577">
        <w:rPr>
          <w:rFonts w:eastAsia="ArialNarrow"/>
        </w:rPr>
        <w:t>. godini</w:t>
      </w:r>
      <w:r w:rsidRPr="06F6E577">
        <w:rPr>
          <w:rFonts w:eastAsia="ArialNarrow"/>
        </w:rPr>
        <w:t xml:space="preserve"> iznosila je 10</w:t>
      </w:r>
      <w:r w:rsidR="1189CA5A" w:rsidRPr="06F6E577">
        <w:rPr>
          <w:rFonts w:eastAsia="ArialNarrow"/>
        </w:rPr>
        <w:t>1</w:t>
      </w:r>
      <w:r w:rsidRPr="06F6E577">
        <w:rPr>
          <w:rFonts w:eastAsia="ArialNarrow"/>
        </w:rPr>
        <w:t>,</w:t>
      </w:r>
      <w:r w:rsidR="38105ACA" w:rsidRPr="06F6E577">
        <w:rPr>
          <w:rFonts w:eastAsia="ArialNarrow"/>
        </w:rPr>
        <w:t>32</w:t>
      </w:r>
      <w:r w:rsidRPr="06F6E577">
        <w:rPr>
          <w:rFonts w:eastAsia="ArialNarrow"/>
        </w:rPr>
        <w:t xml:space="preserve"> st</w:t>
      </w:r>
      <w:r w:rsidR="45F00EAB" w:rsidRPr="06F6E577">
        <w:rPr>
          <w:rFonts w:eastAsia="ArialNarrow"/>
        </w:rPr>
        <w:t>.</w:t>
      </w:r>
      <w:r w:rsidRPr="06F6E577">
        <w:rPr>
          <w:rFonts w:eastAsia="ArialNarrow"/>
        </w:rPr>
        <w:t>/km</w:t>
      </w:r>
      <w:r w:rsidRPr="06F6E577">
        <w:rPr>
          <w:rFonts w:eastAsia="ArialNarrow"/>
          <w:vertAlign w:val="superscript"/>
        </w:rPr>
        <w:t>2</w:t>
      </w:r>
      <w:r w:rsidRPr="06F6E577">
        <w:rPr>
          <w:rFonts w:eastAsia="ArialNarrow"/>
        </w:rPr>
        <w:t xml:space="preserve">. Ispodprosječnu naseljenost od gradova bilježe samo Pregrada i Zlatar, dok kod općina u tu kategoriju spadaju Budinščina, Desinić, Đurmanec, Gornja Stubica, </w:t>
      </w:r>
      <w:r w:rsidR="71F28C7F" w:rsidRPr="06F6E577">
        <w:rPr>
          <w:rFonts w:eastAsia="ArialNarrow"/>
        </w:rPr>
        <w:t xml:space="preserve">Hrašćina, </w:t>
      </w:r>
      <w:r w:rsidRPr="06F6E577">
        <w:rPr>
          <w:rFonts w:eastAsia="ArialNarrow"/>
        </w:rPr>
        <w:t>Jesenje, Konjščina, Kraljevec na Sutli, Kumrovec, Lobor, Mače, Marija Bistrica, Mihovljan, Novi Golubovec, Radoboj</w:t>
      </w:r>
      <w:r w:rsidR="6C10283D" w:rsidRPr="06F6E577">
        <w:rPr>
          <w:rFonts w:eastAsia="ArialNarrow"/>
        </w:rPr>
        <w:t>,</w:t>
      </w:r>
      <w:r w:rsidRPr="06F6E577">
        <w:rPr>
          <w:rFonts w:eastAsia="ArialNarrow"/>
        </w:rPr>
        <w:t xml:space="preserve"> Tuhelj, Veliko Trgovišće, Zlatar Bistrica i Zagorska Sela koja su ujedno i najrjeđe naseljena sa samo 3</w:t>
      </w:r>
      <w:r w:rsidR="64C7D72B" w:rsidRPr="06F6E577">
        <w:rPr>
          <w:rFonts w:eastAsia="ArialNarrow"/>
        </w:rPr>
        <w:t>5</w:t>
      </w:r>
      <w:r w:rsidRPr="06F6E577">
        <w:rPr>
          <w:rFonts w:eastAsia="ArialNarrow"/>
        </w:rPr>
        <w:t>,</w:t>
      </w:r>
      <w:r w:rsidR="28A50762" w:rsidRPr="06F6E577">
        <w:rPr>
          <w:rFonts w:eastAsia="ArialNarrow"/>
        </w:rPr>
        <w:t>62</w:t>
      </w:r>
      <w:r w:rsidRPr="06F6E577">
        <w:rPr>
          <w:rFonts w:eastAsia="ArialNarrow"/>
        </w:rPr>
        <w:t xml:space="preserve"> st</w:t>
      </w:r>
      <w:r w:rsidR="133F21EC" w:rsidRPr="06F6E577">
        <w:rPr>
          <w:rFonts w:eastAsia="ArialNarrow"/>
        </w:rPr>
        <w:t>.</w:t>
      </w:r>
      <w:r w:rsidRPr="06F6E577">
        <w:rPr>
          <w:rFonts w:eastAsia="ArialNarrow"/>
        </w:rPr>
        <w:t>/km</w:t>
      </w:r>
      <w:r w:rsidRPr="06F6E577">
        <w:rPr>
          <w:rFonts w:eastAsia="ArialNarrow"/>
          <w:vertAlign w:val="superscript"/>
        </w:rPr>
        <w:t>2</w:t>
      </w:r>
      <w:r w:rsidRPr="06F6E577">
        <w:rPr>
          <w:rFonts w:eastAsia="ArialNarrow"/>
        </w:rPr>
        <w:t>. Gradsk</w:t>
      </w:r>
      <w:r w:rsidR="009143F0" w:rsidRPr="06F6E577">
        <w:rPr>
          <w:rFonts w:eastAsia="ArialNarrow"/>
        </w:rPr>
        <w:t>o područje Krapine (2</w:t>
      </w:r>
      <w:r w:rsidR="7616C47C" w:rsidRPr="06F6E577">
        <w:rPr>
          <w:rFonts w:eastAsia="ArialNarrow"/>
        </w:rPr>
        <w:t>48,55</w:t>
      </w:r>
      <w:r w:rsidR="009143F0" w:rsidRPr="06F6E577">
        <w:rPr>
          <w:rFonts w:eastAsia="ArialNarrow"/>
        </w:rPr>
        <w:t xml:space="preserve"> st</w:t>
      </w:r>
      <w:r w:rsidR="0246568C" w:rsidRPr="06F6E577">
        <w:rPr>
          <w:rFonts w:eastAsia="ArialNarrow"/>
        </w:rPr>
        <w:t>.</w:t>
      </w:r>
      <w:r w:rsidR="009143F0" w:rsidRPr="06F6E577">
        <w:rPr>
          <w:rFonts w:eastAsia="ArialNarrow"/>
        </w:rPr>
        <w:t>/km</w:t>
      </w:r>
      <w:r w:rsidR="009143F0" w:rsidRPr="06F6E577">
        <w:rPr>
          <w:rFonts w:eastAsia="ArialNarrow"/>
          <w:vertAlign w:val="superscript"/>
        </w:rPr>
        <w:t>2</w:t>
      </w:r>
      <w:r w:rsidR="009143F0" w:rsidRPr="06F6E577">
        <w:rPr>
          <w:rFonts w:eastAsia="ArialNarrow"/>
        </w:rPr>
        <w:t>), Zaboka (251,</w:t>
      </w:r>
      <w:r w:rsidR="4E3E296D" w:rsidRPr="06F6E577">
        <w:rPr>
          <w:rFonts w:eastAsia="ArialNarrow"/>
        </w:rPr>
        <w:t>32</w:t>
      </w:r>
      <w:r w:rsidR="009143F0" w:rsidRPr="06F6E577">
        <w:rPr>
          <w:rFonts w:eastAsia="ArialNarrow"/>
        </w:rPr>
        <w:t xml:space="preserve"> st</w:t>
      </w:r>
      <w:r w:rsidR="2BA917A8" w:rsidRPr="06F6E577">
        <w:rPr>
          <w:rFonts w:eastAsia="ArialNarrow"/>
        </w:rPr>
        <w:t>.</w:t>
      </w:r>
      <w:r w:rsidR="009143F0" w:rsidRPr="06F6E577">
        <w:rPr>
          <w:rFonts w:eastAsia="ArialNarrow"/>
        </w:rPr>
        <w:t>/km</w:t>
      </w:r>
      <w:r w:rsidR="009143F0" w:rsidRPr="06F6E577">
        <w:rPr>
          <w:rFonts w:eastAsia="ArialNarrow"/>
          <w:vertAlign w:val="superscript"/>
        </w:rPr>
        <w:t>2</w:t>
      </w:r>
      <w:r w:rsidR="009143F0" w:rsidRPr="06F6E577">
        <w:rPr>
          <w:rFonts w:eastAsia="ArialNarrow"/>
        </w:rPr>
        <w:t xml:space="preserve">) i </w:t>
      </w:r>
      <w:r w:rsidRPr="06F6E577">
        <w:rPr>
          <w:rFonts w:eastAsia="ArialNarrow"/>
        </w:rPr>
        <w:t>Oroslavja (19</w:t>
      </w:r>
      <w:r w:rsidR="5246951F" w:rsidRPr="06F6E577">
        <w:rPr>
          <w:rFonts w:eastAsia="ArialNarrow"/>
        </w:rPr>
        <w:t>0</w:t>
      </w:r>
      <w:r w:rsidRPr="06F6E577">
        <w:rPr>
          <w:rFonts w:eastAsia="ArialNarrow"/>
        </w:rPr>
        <w:t>,7</w:t>
      </w:r>
      <w:r w:rsidR="2B1F6A62" w:rsidRPr="06F6E577">
        <w:rPr>
          <w:rFonts w:eastAsia="ArialNarrow"/>
        </w:rPr>
        <w:t>4</w:t>
      </w:r>
      <w:r w:rsidRPr="06F6E577">
        <w:rPr>
          <w:rFonts w:eastAsia="ArialNarrow"/>
        </w:rPr>
        <w:t xml:space="preserve"> st</w:t>
      </w:r>
      <w:r w:rsidR="64943A4B" w:rsidRPr="06F6E577">
        <w:rPr>
          <w:rFonts w:eastAsia="ArialNarrow"/>
        </w:rPr>
        <w:t>.</w:t>
      </w:r>
      <w:r w:rsidRPr="06F6E577">
        <w:rPr>
          <w:rFonts w:eastAsia="ArialNarrow"/>
        </w:rPr>
        <w:t>/km</w:t>
      </w:r>
      <w:r w:rsidRPr="06F6E577">
        <w:rPr>
          <w:rFonts w:eastAsia="ArialNarrow"/>
          <w:vertAlign w:val="superscript"/>
        </w:rPr>
        <w:t>2</w:t>
      </w:r>
      <w:r w:rsidRPr="06F6E577">
        <w:rPr>
          <w:rFonts w:eastAsia="ArialNarrow"/>
        </w:rPr>
        <w:t>)</w:t>
      </w:r>
      <w:r w:rsidR="009143F0" w:rsidRPr="06F6E577">
        <w:rPr>
          <w:rFonts w:eastAsia="ArialNarrow"/>
        </w:rPr>
        <w:t xml:space="preserve"> </w:t>
      </w:r>
      <w:r w:rsidRPr="06F6E577">
        <w:rPr>
          <w:rFonts w:eastAsia="ArialNarrow"/>
        </w:rPr>
        <w:t xml:space="preserve">bilježe najveću gustoću naseljenosti. S obzirom da gustoća naseljenosti ovisi o prirodnim uvjetima, prirodnom bogatstvu, kao i stupnju gospodarske razvijenosti, na primjeru gustoće naseljenosti gradova i općina Krapinsko-zagorske županije, vidljivo je da su najgušće naseljena urbana područja u kojima postoji koncentracija gospodarske aktivnosti te kvalitetnija ponuda usluga u sektoru obrazovanja, zdravstva </w:t>
      </w:r>
      <w:r w:rsidR="008E48EE" w:rsidRPr="06F6E577">
        <w:rPr>
          <w:rFonts w:eastAsia="ArialNarrow"/>
        </w:rPr>
        <w:t>i</w:t>
      </w:r>
      <w:r w:rsidRPr="06F6E577">
        <w:rPr>
          <w:rFonts w:eastAsia="ArialNarrow"/>
        </w:rPr>
        <w:t xml:space="preserve"> dodatnih usluga koje jačaju kvalitetu života (provođenje slobodnog vremena).</w:t>
      </w:r>
    </w:p>
    <w:p w14:paraId="50DA1451" w14:textId="77777777" w:rsidR="00994DD2" w:rsidRPr="00994DD2" w:rsidRDefault="00994DD2" w:rsidP="00994DD2">
      <w:pPr>
        <w:autoSpaceDE w:val="0"/>
        <w:autoSpaceDN w:val="0"/>
        <w:adjustRightInd w:val="0"/>
        <w:spacing w:after="0" w:line="240" w:lineRule="auto"/>
        <w:rPr>
          <w:rFonts w:asciiTheme="minorHAnsi" w:eastAsia="ArialNarrow" w:hAnsiTheme="minorHAnsi" w:cstheme="minorHAnsi"/>
          <w:color w:val="auto"/>
          <w:sz w:val="22"/>
        </w:rPr>
      </w:pPr>
    </w:p>
    <w:p w14:paraId="438692A1" w14:textId="5A662970" w:rsidR="003A2F4B" w:rsidRDefault="003A2F4B" w:rsidP="003E3F3C">
      <w:pPr>
        <w:pStyle w:val="Opisslike"/>
      </w:pPr>
      <w:r>
        <w:lastRenderedPageBreak/>
        <w:t xml:space="preserve">Prikaz </w:t>
      </w:r>
      <w:r w:rsidR="00A96020">
        <w:t>10</w:t>
      </w:r>
      <w:r>
        <w:t xml:space="preserve">. </w:t>
      </w:r>
      <w:r w:rsidRPr="00021723">
        <w:t>Prikaz broja stanovnika po naseljima Krapinsko-zagorska županije (Popis stanovništva 2011.)</w:t>
      </w:r>
    </w:p>
    <w:p w14:paraId="3AD41110" w14:textId="254224B6" w:rsidR="00E55F58" w:rsidRDefault="008878A0" w:rsidP="00941871">
      <w:pPr>
        <w:autoSpaceDE w:val="0"/>
        <w:autoSpaceDN w:val="0"/>
        <w:adjustRightInd w:val="0"/>
        <w:spacing w:after="0" w:line="240" w:lineRule="auto"/>
        <w:rPr>
          <w:rFonts w:eastAsia="ArialNarrow" w:cstheme="minorHAnsi"/>
          <w:sz w:val="22"/>
          <w:szCs w:val="22"/>
        </w:rPr>
      </w:pPr>
      <w:r>
        <w:rPr>
          <w:noProof/>
        </w:rPr>
        <w:drawing>
          <wp:inline distT="0" distB="0" distL="0" distR="0" wp14:anchorId="62195B6E" wp14:editId="0D1C6545">
            <wp:extent cx="5805720" cy="4523642"/>
            <wp:effectExtent l="19050" t="19050" r="24130" b="1079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pic:nvPicPr>
                  <pic:blipFill>
                    <a:blip r:embed="rId37">
                      <a:extLst>
                        <a:ext uri="{28A0092B-C50C-407E-A947-70E740481C1C}">
                          <a14:useLocalDpi xmlns:a14="http://schemas.microsoft.com/office/drawing/2010/main" val="0"/>
                        </a:ext>
                      </a:extLst>
                    </a:blip>
                    <a:stretch>
                      <a:fillRect/>
                    </a:stretch>
                  </pic:blipFill>
                  <pic:spPr>
                    <a:xfrm>
                      <a:off x="0" y="0"/>
                      <a:ext cx="5823440" cy="4537449"/>
                    </a:xfrm>
                    <a:prstGeom prst="rect">
                      <a:avLst/>
                    </a:prstGeom>
                    <a:ln>
                      <a:solidFill>
                        <a:schemeClr val="bg1">
                          <a:lumMod val="95000"/>
                        </a:schemeClr>
                      </a:solidFill>
                    </a:ln>
                  </pic:spPr>
                </pic:pic>
              </a:graphicData>
            </a:graphic>
          </wp:inline>
        </w:drawing>
      </w:r>
    </w:p>
    <w:p w14:paraId="674163A7" w14:textId="28BB8E47" w:rsidR="00E7430E" w:rsidRPr="006525B8" w:rsidRDefault="008878A0"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I</w:t>
      </w:r>
      <w:r w:rsidR="009C4F24" w:rsidRPr="006525B8">
        <w:rPr>
          <w:rFonts w:eastAsia="ArialNarrow" w:cstheme="minorHAnsi"/>
          <w:i/>
          <w:color w:val="ABABAB" w:themeColor="text1" w:themeTint="A6"/>
          <w:sz w:val="16"/>
          <w:szCs w:val="16"/>
        </w:rPr>
        <w:t>zvor</w:t>
      </w:r>
      <w:r w:rsidRPr="006525B8">
        <w:rPr>
          <w:rFonts w:eastAsia="ArialNarrow" w:cstheme="minorHAnsi"/>
          <w:i/>
          <w:color w:val="ABABAB" w:themeColor="text1" w:themeTint="A6"/>
          <w:sz w:val="16"/>
          <w:szCs w:val="16"/>
        </w:rPr>
        <w:t xml:space="preserve">: </w:t>
      </w:r>
      <w:r w:rsidR="008C7D1D" w:rsidRPr="006525B8">
        <w:rPr>
          <w:rFonts w:eastAsia="ArialNarrow" w:cstheme="minorHAnsi"/>
          <w:i/>
          <w:color w:val="ABABAB" w:themeColor="text1" w:themeTint="A6"/>
          <w:sz w:val="16"/>
          <w:szCs w:val="16"/>
        </w:rPr>
        <w:t>GeoSTAT</w:t>
      </w:r>
      <w:r w:rsidRPr="006525B8">
        <w:rPr>
          <w:rFonts w:eastAsia="ArialNarrow" w:cstheme="minorHAnsi"/>
          <w:i/>
          <w:color w:val="ABABAB" w:themeColor="text1" w:themeTint="A6"/>
          <w:sz w:val="16"/>
          <w:szCs w:val="16"/>
        </w:rPr>
        <w:t>, 2019</w:t>
      </w:r>
      <w:r w:rsidR="00F34318" w:rsidRPr="006525B8">
        <w:rPr>
          <w:rFonts w:eastAsia="ArialNarrow" w:cstheme="minorHAnsi"/>
          <w:i/>
          <w:color w:val="ABABAB" w:themeColor="text1" w:themeTint="A6"/>
          <w:sz w:val="16"/>
          <w:szCs w:val="16"/>
        </w:rPr>
        <w:t>.</w:t>
      </w:r>
    </w:p>
    <w:p w14:paraId="55A42367" w14:textId="77777777" w:rsidR="0022468D" w:rsidRPr="001B68D7" w:rsidRDefault="0022468D" w:rsidP="00855D8D">
      <w:pPr>
        <w:pStyle w:val="Izvor"/>
      </w:pPr>
    </w:p>
    <w:p w14:paraId="20C630FF" w14:textId="77777777" w:rsidR="00A95A55" w:rsidRDefault="00A95A55" w:rsidP="00941871">
      <w:pPr>
        <w:autoSpaceDE w:val="0"/>
        <w:autoSpaceDN w:val="0"/>
        <w:adjustRightInd w:val="0"/>
        <w:spacing w:after="0" w:line="240" w:lineRule="auto"/>
        <w:rPr>
          <w:rFonts w:eastAsia="ArialNarrow" w:cstheme="minorHAnsi"/>
        </w:rPr>
      </w:pPr>
    </w:p>
    <w:p w14:paraId="076BD96E" w14:textId="77777777" w:rsidR="00DC351F" w:rsidRPr="00A8683D" w:rsidRDefault="00DC351F" w:rsidP="3ECBDAD0">
      <w:pPr>
        <w:shd w:val="clear" w:color="auto" w:fill="E5E5E5" w:themeFill="text1" w:themeFillTint="33"/>
        <w:autoSpaceDE w:val="0"/>
        <w:autoSpaceDN w:val="0"/>
        <w:adjustRightInd w:val="0"/>
        <w:spacing w:after="0" w:line="240" w:lineRule="auto"/>
        <w:rPr>
          <w:b/>
          <w:bCs/>
        </w:rPr>
      </w:pPr>
      <w:r w:rsidRPr="3ECBDAD0">
        <w:rPr>
          <w:b/>
          <w:bCs/>
        </w:rPr>
        <w:t>Zaključak</w:t>
      </w:r>
    </w:p>
    <w:p w14:paraId="68C5174A" w14:textId="1AEC2590" w:rsidR="00A95A55" w:rsidRDefault="00A95A55" w:rsidP="003331A1">
      <w:pPr>
        <w:shd w:val="clear" w:color="auto" w:fill="E5E5E5" w:themeFill="text1" w:themeFillTint="33"/>
        <w:autoSpaceDE w:val="0"/>
        <w:autoSpaceDN w:val="0"/>
        <w:adjustRightInd w:val="0"/>
        <w:spacing w:after="0" w:line="240" w:lineRule="auto"/>
        <w:rPr>
          <w:rFonts w:eastAsia="ArialNarrow" w:cstheme="minorHAnsi"/>
        </w:rPr>
      </w:pPr>
    </w:p>
    <w:p w14:paraId="7D51563F" w14:textId="4BA6442D" w:rsidR="004A2F7C" w:rsidRDefault="1A1FE367" w:rsidP="24AC45C6">
      <w:pPr>
        <w:shd w:val="clear" w:color="auto" w:fill="E5E5E5" w:themeFill="text1" w:themeFillTint="33"/>
        <w:autoSpaceDE w:val="0"/>
        <w:autoSpaceDN w:val="0"/>
        <w:adjustRightInd w:val="0"/>
        <w:spacing w:after="0" w:line="240" w:lineRule="auto"/>
        <w:rPr>
          <w:rFonts w:eastAsia="ArialNarrow"/>
        </w:rPr>
      </w:pPr>
      <w:r w:rsidRPr="06F6E577">
        <w:rPr>
          <w:rFonts w:eastAsia="ArialNarrow"/>
        </w:rPr>
        <w:t xml:space="preserve">Prema podacima </w:t>
      </w:r>
      <w:r w:rsidR="04F156F1" w:rsidRPr="06F6E577">
        <w:rPr>
          <w:rFonts w:eastAsia="ArialNarrow"/>
        </w:rPr>
        <w:t>koji su prikazani</w:t>
      </w:r>
      <w:r w:rsidRPr="06F6E577">
        <w:rPr>
          <w:rFonts w:eastAsia="ArialNarrow"/>
        </w:rPr>
        <w:t xml:space="preserve"> u ovom poglavlju, demografsk</w:t>
      </w:r>
      <w:r w:rsidR="112E6560" w:rsidRPr="06F6E577">
        <w:rPr>
          <w:rFonts w:eastAsia="ArialNarrow"/>
        </w:rPr>
        <w:t>a obilježja stanovništva Krapinsko-zagorske županije prat</w:t>
      </w:r>
      <w:r w:rsidR="79AE792F" w:rsidRPr="06F6E577">
        <w:rPr>
          <w:rFonts w:eastAsia="ArialNarrow"/>
        </w:rPr>
        <w:t>i</w:t>
      </w:r>
      <w:r w:rsidR="112E6560" w:rsidRPr="06F6E577">
        <w:rPr>
          <w:rFonts w:eastAsia="ArialNarrow"/>
        </w:rPr>
        <w:t xml:space="preserve"> trend starenja </w:t>
      </w:r>
      <w:r w:rsidR="0C6813C5" w:rsidRPr="06F6E577">
        <w:rPr>
          <w:rFonts w:eastAsia="ArialNarrow"/>
        </w:rPr>
        <w:t xml:space="preserve">stanovništva, pada broja stanovnika (između dva popisa </w:t>
      </w:r>
      <w:r w:rsidR="7E156013" w:rsidRPr="06F6E577">
        <w:rPr>
          <w:rFonts w:eastAsia="ArialNarrow"/>
        </w:rPr>
        <w:t>(</w:t>
      </w:r>
      <w:r w:rsidR="0C6813C5" w:rsidRPr="06F6E577">
        <w:rPr>
          <w:rFonts w:eastAsia="ArialNarrow"/>
        </w:rPr>
        <w:t xml:space="preserve">2001. </w:t>
      </w:r>
      <w:r w:rsidR="4A10E291" w:rsidRPr="06F6E577">
        <w:rPr>
          <w:rFonts w:eastAsia="ArialNarrow"/>
        </w:rPr>
        <w:t>i</w:t>
      </w:r>
      <w:r w:rsidR="0C6813C5" w:rsidRPr="06F6E577">
        <w:rPr>
          <w:rFonts w:eastAsia="ArialNarrow"/>
        </w:rPr>
        <w:t xml:space="preserve"> 2011. </w:t>
      </w:r>
      <w:r w:rsidR="14C922F4" w:rsidRPr="06F6E577">
        <w:rPr>
          <w:rFonts w:eastAsia="ArialNarrow"/>
        </w:rPr>
        <w:t>g</w:t>
      </w:r>
      <w:r w:rsidR="0C6813C5" w:rsidRPr="06F6E577">
        <w:rPr>
          <w:rFonts w:eastAsia="ArialNarrow"/>
        </w:rPr>
        <w:t>odine</w:t>
      </w:r>
      <w:r w:rsidR="445ECB8A" w:rsidRPr="06F6E577">
        <w:rPr>
          <w:rFonts w:eastAsia="ArialNarrow"/>
        </w:rPr>
        <w:t>)</w:t>
      </w:r>
      <w:r w:rsidR="0C6813C5" w:rsidRPr="06F6E577">
        <w:rPr>
          <w:rFonts w:eastAsia="ArialNarrow"/>
        </w:rPr>
        <w:t xml:space="preserve"> b</w:t>
      </w:r>
      <w:r w:rsidR="15B29153" w:rsidRPr="06F6E577">
        <w:rPr>
          <w:rFonts w:eastAsia="ArialNarrow"/>
        </w:rPr>
        <w:t>r</w:t>
      </w:r>
      <w:r w:rsidR="0C6813C5" w:rsidRPr="06F6E577">
        <w:rPr>
          <w:rFonts w:eastAsia="ArialNarrow"/>
        </w:rPr>
        <w:t>oj stanovnika Krapinsko-zagor</w:t>
      </w:r>
      <w:r w:rsidR="4414C537" w:rsidRPr="06F6E577">
        <w:rPr>
          <w:rFonts w:eastAsia="ArialNarrow"/>
        </w:rPr>
        <w:t>ske županije smanjio se za 6</w:t>
      </w:r>
      <w:r w:rsidR="00805373">
        <w:rPr>
          <w:rFonts w:eastAsia="ArialNarrow"/>
        </w:rPr>
        <w:t>,</w:t>
      </w:r>
      <w:r w:rsidR="3F04CF3F" w:rsidRPr="06F6E577">
        <w:rPr>
          <w:rFonts w:eastAsia="ArialNarrow"/>
        </w:rPr>
        <w:t>7</w:t>
      </w:r>
      <w:r w:rsidR="4414C537" w:rsidRPr="06F6E577">
        <w:rPr>
          <w:rFonts w:eastAsia="ArialNarrow"/>
        </w:rPr>
        <w:t>%</w:t>
      </w:r>
      <w:r w:rsidR="7043A4E6" w:rsidRPr="06F6E577">
        <w:rPr>
          <w:rFonts w:eastAsia="ArialNarrow"/>
        </w:rPr>
        <w:t>) te</w:t>
      </w:r>
      <w:r w:rsidR="36DC32B3" w:rsidRPr="06F6E577">
        <w:rPr>
          <w:rFonts w:eastAsia="ArialNarrow"/>
        </w:rPr>
        <w:t xml:space="preserve"> negativnog prirodnog prirasta i prostorne polarizacije (više stanovnika živi u urbanim sredinama nego u r</w:t>
      </w:r>
      <w:r w:rsidR="7A7C8665" w:rsidRPr="06F6E577">
        <w:rPr>
          <w:rFonts w:eastAsia="ArialNarrow"/>
        </w:rPr>
        <w:t>uralnim</w:t>
      </w:r>
      <w:r w:rsidR="36DC32B3" w:rsidRPr="06F6E577">
        <w:rPr>
          <w:rFonts w:eastAsia="ArialNarrow"/>
        </w:rPr>
        <w:t>)</w:t>
      </w:r>
      <w:r w:rsidR="00313B99" w:rsidRPr="06F6E577">
        <w:rPr>
          <w:rFonts w:eastAsia="ArialNarrow"/>
        </w:rPr>
        <w:t xml:space="preserve">. </w:t>
      </w:r>
      <w:r w:rsidR="7C6D1E0C" w:rsidRPr="06F6E577">
        <w:rPr>
          <w:rFonts w:eastAsia="ArialNarrow"/>
        </w:rPr>
        <w:t>Isti trend prisutan je i na nacionalnoj razini</w:t>
      </w:r>
      <w:r w:rsidR="00496A06" w:rsidRPr="06F6E577">
        <w:rPr>
          <w:rFonts w:eastAsia="ArialNarrow"/>
        </w:rPr>
        <w:t>.</w:t>
      </w:r>
      <w:r w:rsidR="004A2F7C" w:rsidRPr="06F6E577">
        <w:rPr>
          <w:rFonts w:eastAsia="ArialNarrow"/>
        </w:rPr>
        <w:t xml:space="preserve"> Zadržavanje, odnosno privlačenje populacije je otežano trendom iseljavanja mlađe populacije u druge europske zemlje s višim stupnjem gospodarskog razvoja. </w:t>
      </w:r>
    </w:p>
    <w:p w14:paraId="067D1CE8" w14:textId="69DCB881" w:rsidR="006A4A9B" w:rsidRDefault="006A4A9B" w:rsidP="004A2F7C">
      <w:pPr>
        <w:shd w:val="clear" w:color="auto" w:fill="E5E5E5" w:themeFill="text1" w:themeFillTint="33"/>
        <w:autoSpaceDE w:val="0"/>
        <w:autoSpaceDN w:val="0"/>
        <w:adjustRightInd w:val="0"/>
        <w:spacing w:after="0" w:line="240" w:lineRule="auto"/>
        <w:rPr>
          <w:rFonts w:eastAsia="ArialNarrow"/>
        </w:rPr>
      </w:pPr>
    </w:p>
    <w:p w14:paraId="539F0BB9" w14:textId="0A119418" w:rsidR="009279A8" w:rsidRDefault="009279A8" w:rsidP="004A2F7C">
      <w:pPr>
        <w:shd w:val="clear" w:color="auto" w:fill="E5E5E5" w:themeFill="text1" w:themeFillTint="33"/>
        <w:autoSpaceDE w:val="0"/>
        <w:autoSpaceDN w:val="0"/>
        <w:adjustRightInd w:val="0"/>
        <w:spacing w:after="0" w:line="240" w:lineRule="auto"/>
        <w:rPr>
          <w:rFonts w:eastAsia="ArialNarrow" w:cstheme="minorHAnsi"/>
        </w:rPr>
      </w:pPr>
      <w:r w:rsidRPr="009279A8">
        <w:rPr>
          <w:rFonts w:eastAsia="ArialNarrow" w:cstheme="minorHAnsi"/>
        </w:rPr>
        <w:t>Analiza dobne strukture potvrđuje trend opadanja broja stanovnika koji je prisutan kako na razini Republike</w:t>
      </w:r>
      <w:r>
        <w:rPr>
          <w:rFonts w:eastAsia="ArialNarrow" w:cstheme="minorHAnsi"/>
        </w:rPr>
        <w:t xml:space="preserve"> </w:t>
      </w:r>
      <w:r w:rsidRPr="009279A8">
        <w:rPr>
          <w:rFonts w:eastAsia="ArialNarrow" w:cstheme="minorHAnsi"/>
        </w:rPr>
        <w:t>Hrvatske</w:t>
      </w:r>
      <w:r>
        <w:rPr>
          <w:rFonts w:eastAsia="ArialNarrow" w:cstheme="minorHAnsi"/>
        </w:rPr>
        <w:t xml:space="preserve"> tako i na razini </w:t>
      </w:r>
      <w:r w:rsidRPr="009279A8">
        <w:rPr>
          <w:rFonts w:eastAsia="ArialNarrow" w:cstheme="minorHAnsi"/>
        </w:rPr>
        <w:t>Krapinsko-zagorske županije</w:t>
      </w:r>
      <w:r>
        <w:rPr>
          <w:rFonts w:eastAsia="ArialNarrow" w:cstheme="minorHAnsi"/>
        </w:rPr>
        <w:t xml:space="preserve">. </w:t>
      </w:r>
      <w:r w:rsidRPr="009279A8">
        <w:rPr>
          <w:rFonts w:eastAsia="ArialNarrow" w:cstheme="minorHAnsi"/>
        </w:rPr>
        <w:t>Postepeno se sužava populacija mlađih</w:t>
      </w:r>
      <w:r>
        <w:rPr>
          <w:rFonts w:eastAsia="ArialNarrow" w:cstheme="minorHAnsi"/>
        </w:rPr>
        <w:t xml:space="preserve"> </w:t>
      </w:r>
      <w:r w:rsidRPr="009279A8">
        <w:rPr>
          <w:rFonts w:eastAsia="ArialNarrow" w:cstheme="minorHAnsi"/>
        </w:rPr>
        <w:t>dobnih skupina što vodi ka dugoročnom smanjivanju rodnosti i širenju dobno-spolne piramide u dijelu starijih</w:t>
      </w:r>
      <w:r>
        <w:rPr>
          <w:rFonts w:eastAsia="ArialNarrow" w:cstheme="minorHAnsi"/>
        </w:rPr>
        <w:t xml:space="preserve"> </w:t>
      </w:r>
      <w:r w:rsidRPr="009279A8">
        <w:rPr>
          <w:rFonts w:eastAsia="ArialNarrow" w:cstheme="minorHAnsi"/>
        </w:rPr>
        <w:t>dobnih skupina. Smanjenje udjela mlađe populacije ima nepovoljni gospodarski utjecaj; stopa nataliteta je niska,</w:t>
      </w:r>
      <w:r>
        <w:rPr>
          <w:rFonts w:eastAsia="ArialNarrow" w:cstheme="minorHAnsi"/>
        </w:rPr>
        <w:t xml:space="preserve"> </w:t>
      </w:r>
      <w:r w:rsidRPr="009279A8">
        <w:rPr>
          <w:rFonts w:eastAsia="ArialNarrow" w:cstheme="minorHAnsi"/>
        </w:rPr>
        <w:t>stanovništvo stari, a radno aktivne populacije je sve manje.</w:t>
      </w:r>
    </w:p>
    <w:p w14:paraId="5F6B0986" w14:textId="77777777" w:rsidR="009279A8" w:rsidRDefault="009279A8" w:rsidP="004A2F7C">
      <w:pPr>
        <w:shd w:val="clear" w:color="auto" w:fill="E5E5E5" w:themeFill="text1" w:themeFillTint="33"/>
        <w:autoSpaceDE w:val="0"/>
        <w:autoSpaceDN w:val="0"/>
        <w:adjustRightInd w:val="0"/>
        <w:spacing w:after="0" w:line="240" w:lineRule="auto"/>
        <w:rPr>
          <w:rFonts w:eastAsia="ArialNarrow" w:cstheme="minorHAnsi"/>
        </w:rPr>
      </w:pPr>
    </w:p>
    <w:p w14:paraId="6B18EB3B" w14:textId="52738843" w:rsidR="00A178C7" w:rsidRDefault="00754AC3" w:rsidP="24AC45C6">
      <w:pPr>
        <w:shd w:val="clear" w:color="auto" w:fill="E5E5E5" w:themeFill="text1" w:themeFillTint="33"/>
        <w:autoSpaceDE w:val="0"/>
        <w:autoSpaceDN w:val="0"/>
        <w:adjustRightInd w:val="0"/>
        <w:spacing w:after="0" w:line="240" w:lineRule="auto"/>
        <w:rPr>
          <w:rFonts w:eastAsia="ArialNarrow"/>
        </w:rPr>
      </w:pPr>
      <w:r w:rsidRPr="24AC45C6">
        <w:rPr>
          <w:rFonts w:eastAsia="ArialNarrow"/>
        </w:rPr>
        <w:t>Ovoj problematici se pokušava doskočiti provedbom</w:t>
      </w:r>
      <w:r w:rsidR="005C673F" w:rsidRPr="24AC45C6">
        <w:rPr>
          <w:rFonts w:eastAsia="ArialNarrow"/>
        </w:rPr>
        <w:t xml:space="preserve"> demografskih</w:t>
      </w:r>
      <w:r w:rsidRPr="24AC45C6">
        <w:rPr>
          <w:rFonts w:eastAsia="ArialNarrow"/>
        </w:rPr>
        <w:t xml:space="preserve"> mjera </w:t>
      </w:r>
      <w:r w:rsidR="005C673F" w:rsidRPr="24AC45C6">
        <w:rPr>
          <w:rFonts w:eastAsia="ArialNarrow"/>
        </w:rPr>
        <w:t xml:space="preserve">koje provode općine, gradovi i </w:t>
      </w:r>
      <w:r w:rsidR="005A0CC5" w:rsidRPr="24AC45C6">
        <w:rPr>
          <w:rFonts w:eastAsia="ArialNarrow"/>
        </w:rPr>
        <w:t>županij</w:t>
      </w:r>
      <w:r w:rsidR="5A86AA3D" w:rsidRPr="24AC45C6">
        <w:rPr>
          <w:rFonts w:eastAsia="ArialNarrow"/>
        </w:rPr>
        <w:t>a</w:t>
      </w:r>
      <w:r w:rsidR="005C673F" w:rsidRPr="24AC45C6">
        <w:rPr>
          <w:rFonts w:eastAsia="ArialNarrow"/>
        </w:rPr>
        <w:t xml:space="preserve">, poput </w:t>
      </w:r>
      <w:r w:rsidR="006A4A9B" w:rsidRPr="24AC45C6">
        <w:rPr>
          <w:rFonts w:eastAsia="ArialNarrow"/>
        </w:rPr>
        <w:t xml:space="preserve">mjere stambenog zbrinjavanja, </w:t>
      </w:r>
      <w:r w:rsidR="005C673F" w:rsidRPr="24AC45C6">
        <w:rPr>
          <w:rFonts w:eastAsia="ArialNarrow"/>
        </w:rPr>
        <w:t>naknade za novorođenčad</w:t>
      </w:r>
      <w:r w:rsidR="006A4A9B" w:rsidRPr="24AC45C6">
        <w:rPr>
          <w:rFonts w:eastAsia="ArialNarrow"/>
        </w:rPr>
        <w:t xml:space="preserve"> i sufinanciranje troškova cijene vrtića. Primjer je Grad Oroslavje, koji je donio odluku prema kojoj će Grad sufinancirati 60% za prvo, 75% za drugo i 100% ekonomske cijene vrtića za treće i svako sljedeće dijete. Navedene mjere potrebno je kombinirati s mjerama kojima će se privlačiti mlađe stanovništvo iz okolnih krajeva s ciljem stvaranja demografske strukture koja će biti u stanju podržati gospodarski razvoj. </w:t>
      </w:r>
      <w:r w:rsidR="00A178C7" w:rsidRPr="24AC45C6">
        <w:rPr>
          <w:rFonts w:eastAsia="ArialNarrow"/>
        </w:rPr>
        <w:t>Važno je i voditi računa o mreži naselja i stvaranju uvjeta za policentričan razvoj regije k</w:t>
      </w:r>
      <w:r w:rsidR="4404887D" w:rsidRPr="24AC45C6">
        <w:rPr>
          <w:rFonts w:eastAsia="ArialNarrow"/>
        </w:rPr>
        <w:t>a</w:t>
      </w:r>
      <w:r w:rsidR="00A178C7" w:rsidRPr="24AC45C6">
        <w:rPr>
          <w:rFonts w:eastAsia="ArialNarrow"/>
        </w:rPr>
        <w:t>ko se ne bi razvijala samo glavna središta nego i manje lokalne jedinice.</w:t>
      </w:r>
    </w:p>
    <w:p w14:paraId="0262B15C" w14:textId="77777777" w:rsidR="00841B08" w:rsidRDefault="00841B08" w:rsidP="00916280">
      <w:pPr>
        <w:shd w:val="clear" w:color="auto" w:fill="E5E5E5" w:themeFill="accent5"/>
        <w:autoSpaceDE w:val="0"/>
        <w:autoSpaceDN w:val="0"/>
        <w:adjustRightInd w:val="0"/>
        <w:spacing w:after="0" w:line="240" w:lineRule="auto"/>
        <w:rPr>
          <w:rFonts w:eastAsia="ArialNarrow" w:cstheme="minorHAnsi"/>
          <w:sz w:val="20"/>
        </w:rPr>
      </w:pPr>
    </w:p>
    <w:p w14:paraId="55B05C1D" w14:textId="113B4E28" w:rsidR="008878A0" w:rsidRPr="00EA3DAC" w:rsidRDefault="0009005A" w:rsidP="005F13D3">
      <w:pPr>
        <w:pStyle w:val="Naslov1"/>
        <w:rPr>
          <w:rStyle w:val="NASLOV"/>
        </w:rPr>
      </w:pPr>
      <w:r>
        <w:rPr>
          <w:rStyle w:val="NASLOV"/>
        </w:rPr>
        <w:br w:type="column"/>
      </w:r>
      <w:r w:rsidR="00EA3DAC" w:rsidRPr="00EA3DAC">
        <w:rPr>
          <w:rStyle w:val="NASLOV"/>
        </w:rPr>
        <w:lastRenderedPageBreak/>
        <w:t xml:space="preserve"> </w:t>
      </w:r>
      <w:bookmarkStart w:id="68" w:name="_Toc85181293"/>
      <w:r w:rsidR="00EA3DAC" w:rsidRPr="00EA3DAC">
        <w:rPr>
          <w:rStyle w:val="NASLOV"/>
        </w:rPr>
        <w:t>SOCIJALNO UKLJUČIVANJE I USLUGE</w:t>
      </w:r>
      <w:r w:rsidR="00EA3DAC">
        <w:rPr>
          <w:rStyle w:val="NASLOV"/>
        </w:rPr>
        <w:t xml:space="preserve"> </w:t>
      </w:r>
      <w:r w:rsidR="00EA3DAC" w:rsidRPr="00EA3DAC">
        <w:rPr>
          <w:rStyle w:val="NASLOV"/>
        </w:rPr>
        <w:t>SOCIJALNE SKRBI</w:t>
      </w:r>
      <w:bookmarkEnd w:id="68"/>
    </w:p>
    <w:p w14:paraId="69CA9E99" w14:textId="77777777" w:rsidR="008878A0" w:rsidRDefault="008878A0" w:rsidP="00941871"/>
    <w:p w14:paraId="1D333A29" w14:textId="7504D2D0" w:rsidR="008878A0" w:rsidRDefault="008C5000" w:rsidP="0052192B">
      <w:pPr>
        <w:pStyle w:val="Naslov2"/>
      </w:pPr>
      <w:bookmarkStart w:id="69" w:name="_Toc85181294"/>
      <w:r>
        <w:t>5</w:t>
      </w:r>
      <w:r w:rsidR="008878A0">
        <w:t>.</w:t>
      </w:r>
      <w:r>
        <w:t>1</w:t>
      </w:r>
      <w:r w:rsidR="008878A0">
        <w:t>. Rizik od siromaštva</w:t>
      </w:r>
      <w:bookmarkEnd w:id="69"/>
    </w:p>
    <w:p w14:paraId="514B03EC" w14:textId="77777777" w:rsidR="008878A0" w:rsidRDefault="008878A0" w:rsidP="00941871">
      <w:pPr>
        <w:autoSpaceDE w:val="0"/>
        <w:autoSpaceDN w:val="0"/>
        <w:adjustRightInd w:val="0"/>
        <w:spacing w:after="0" w:line="240" w:lineRule="auto"/>
        <w:rPr>
          <w:rFonts w:eastAsia="ArialNarrow" w:cstheme="minorHAnsi"/>
        </w:rPr>
      </w:pPr>
    </w:p>
    <w:p w14:paraId="5631C5D7" w14:textId="3E9B5E1E" w:rsidR="00367511" w:rsidRDefault="008878A0" w:rsidP="005E5493">
      <w:pPr>
        <w:spacing w:after="0" w:line="240" w:lineRule="auto"/>
        <w:rPr>
          <w:rFonts w:eastAsia="ArialNarrow" w:cstheme="minorHAnsi"/>
        </w:rPr>
      </w:pPr>
      <w:r>
        <w:rPr>
          <w:rFonts w:eastAsia="ArialNarrow" w:cstheme="minorHAnsi"/>
        </w:rPr>
        <w:t xml:space="preserve">Anketa o dohotku stanovništva istraživanje je na kojem se temelji izračun pokazatelja siromaštva i socijalne isključenosti </w:t>
      </w:r>
      <w:r w:rsidR="00B71A52">
        <w:rPr>
          <w:rFonts w:eastAsia="ArialNarrow" w:cstheme="minorHAnsi"/>
        </w:rPr>
        <w:t>u</w:t>
      </w:r>
      <w:r>
        <w:rPr>
          <w:rFonts w:eastAsia="ArialNarrow" w:cstheme="minorHAnsi"/>
        </w:rPr>
        <w:t xml:space="preserve"> Republi</w:t>
      </w:r>
      <w:r w:rsidR="00B71A52">
        <w:rPr>
          <w:rFonts w:eastAsia="ArialNarrow" w:cstheme="minorHAnsi"/>
        </w:rPr>
        <w:t>ci</w:t>
      </w:r>
      <w:r>
        <w:rPr>
          <w:rFonts w:eastAsia="ArialNarrow" w:cstheme="minorHAnsi"/>
        </w:rPr>
        <w:t xml:space="preserve"> Hrvatsk</w:t>
      </w:r>
      <w:r w:rsidR="00B71A52">
        <w:rPr>
          <w:rFonts w:eastAsia="ArialNarrow" w:cstheme="minorHAnsi"/>
        </w:rPr>
        <w:t>oj</w:t>
      </w:r>
      <w:r>
        <w:rPr>
          <w:rFonts w:eastAsia="ArialNarrow" w:cstheme="minorHAnsi"/>
        </w:rPr>
        <w:t>. Provedba Ankete usklađena je s uredbama EU-a i Eurostat</w:t>
      </w:r>
      <w:r w:rsidR="006413D5">
        <w:rPr>
          <w:rFonts w:eastAsia="ArialNarrow" w:cstheme="minorHAnsi"/>
        </w:rPr>
        <w:t>-</w:t>
      </w:r>
      <w:r>
        <w:rPr>
          <w:rFonts w:eastAsia="ArialNarrow" w:cstheme="minorHAnsi"/>
        </w:rPr>
        <w:t>ovom metodologijom propisanima za istraživanje EU-SILC.</w:t>
      </w:r>
      <w:r w:rsidR="00B71A52">
        <w:rPr>
          <w:rFonts w:eastAsia="ArialNarrow" w:cstheme="minorHAnsi"/>
        </w:rPr>
        <w:t xml:space="preserve"> </w:t>
      </w:r>
      <w:r w:rsidR="00713011">
        <w:rPr>
          <w:rFonts w:eastAsia="ArialNarrow" w:cstheme="minorHAnsi"/>
        </w:rPr>
        <w:t>Istraživanje</w:t>
      </w:r>
      <w:r>
        <w:rPr>
          <w:rFonts w:eastAsia="ArialNarrow" w:cstheme="minorHAnsi"/>
        </w:rPr>
        <w:t xml:space="preserve"> SILC, na razini EU-a, obvezatno je istraživanje i referentni izvor podataka za praćenje statistike dohotka, siromaštva i socijalne isključenosti. Istraživanje provode sve zemlje članice redovito u godišnjoj periodici. Pokazatelji se temelje na konceptu relativnog siromaštva koji uzima u obzir raspoloživi dohodak kućanstva, broj članova u kućanstvu (veličinu kućanstva) i distribuciju dohotka unutar populacije. </w:t>
      </w:r>
      <w:r w:rsidR="00DB27AB" w:rsidRPr="00DB27AB">
        <w:rPr>
          <w:rFonts w:eastAsia="ArialNarrow" w:cstheme="minorHAnsi"/>
        </w:rPr>
        <w:t xml:space="preserve">Osnovni je pokazatelj stopa rizika od siromaštva koja se odnosi na postotak osoba koje imaju raspoloživi ekvivalentni dohodak ispod praga rizika od siromaštva. Stopa rizika od siromaštva ne pokazuje koliko je osoba stvarno siromašno, već koliko ih ima dohodak ispod praga rizika od siromaštva. Prag rizika od siromaštva postavljen je na 60% od srednje vrijednosti (medijana) ekvivalentnoga raspoloživog dohotka svih osoba. </w:t>
      </w:r>
    </w:p>
    <w:p w14:paraId="146C6F21" w14:textId="77777777" w:rsidR="00367511" w:rsidRDefault="00367511" w:rsidP="005E5493">
      <w:pPr>
        <w:spacing w:after="0" w:line="240" w:lineRule="auto"/>
        <w:rPr>
          <w:rFonts w:eastAsia="ArialNarrow" w:cstheme="minorHAnsi"/>
        </w:rPr>
      </w:pPr>
    </w:p>
    <w:p w14:paraId="34A6F876" w14:textId="4E7FB5C0" w:rsidR="00DB27AB" w:rsidRDefault="00DB27AB" w:rsidP="005E5493">
      <w:pPr>
        <w:spacing w:after="0" w:line="240" w:lineRule="auto"/>
        <w:rPr>
          <w:rFonts w:eastAsia="ArialNarrow" w:cstheme="minorHAnsi"/>
        </w:rPr>
      </w:pPr>
      <w:bookmarkStart w:id="70" w:name="_Hlk64896407"/>
      <w:r w:rsidRPr="00DB27AB">
        <w:rPr>
          <w:rFonts w:eastAsia="ArialNarrow" w:cstheme="minorHAnsi"/>
        </w:rPr>
        <w:t xml:space="preserve">Prema podacima Ankete, stopa rizika od siromaštva u 2019. na razini Republike Hrvatske iznosi 18,3%. </w:t>
      </w:r>
      <w:bookmarkEnd w:id="70"/>
      <w:r w:rsidRPr="00DB27AB">
        <w:rPr>
          <w:rFonts w:eastAsia="ArialNarrow" w:cstheme="minorHAnsi"/>
        </w:rPr>
        <w:t>Prag rizika od siromaštva u 2019. za jednočlano kućanstvo iznosi 32.520,00 kuna na godinu, dok za kućanstvo s dvije odrasle osobe i dvoje djece mlađe od 14 godina iznosi 68.292,00 kune na godinu.</w:t>
      </w:r>
      <w:r w:rsidRPr="00DB27AB">
        <w:rPr>
          <w:rFonts w:eastAsia="ArialNarrow" w:cstheme="minorHAnsi"/>
          <w:vertAlign w:val="superscript"/>
        </w:rPr>
        <w:footnoteReference w:id="29"/>
      </w:r>
      <w:r w:rsidRPr="00DB27AB">
        <w:rPr>
          <w:rFonts w:eastAsia="ArialNarrow" w:cstheme="minorHAnsi"/>
        </w:rPr>
        <w:t xml:space="preserve"> Prema pokazatelju ''Osobe u riziku od siromaštva ili socijalne isključenosti'' koji se odnosi na osobe koje su u riziku od siromaštva, u teškoj deprivaciji ili koje žive u kućanstvima s niskim intenzitetom rada, u 2019. godini u takvom je položaju bilo 23,3% osoba u Republici Hrvatskoj. Stopa rizika od siromaštva u 2019. godini bila je najviša u osoba u dobi od 65 ili više godina (30,1%), dok je najniža stopa u osoba u dobi od 25 do 54 godine (12,9%)</w:t>
      </w:r>
      <w:r>
        <w:rPr>
          <w:rStyle w:val="Referencafusnote"/>
          <w:rFonts w:eastAsia="ArialNarrow" w:cstheme="minorHAnsi"/>
        </w:rPr>
        <w:footnoteReference w:id="30"/>
      </w:r>
      <w:r w:rsidRPr="00DB27AB">
        <w:rPr>
          <w:rFonts w:eastAsia="ArialNarrow" w:cstheme="minorHAnsi"/>
        </w:rPr>
        <w:t>.</w:t>
      </w:r>
    </w:p>
    <w:p w14:paraId="145AC12F" w14:textId="0F420907" w:rsidR="008878A0" w:rsidRDefault="008878A0" w:rsidP="00941871">
      <w:pPr>
        <w:autoSpaceDE w:val="0"/>
        <w:autoSpaceDN w:val="0"/>
        <w:adjustRightInd w:val="0"/>
        <w:spacing w:after="0" w:line="240" w:lineRule="auto"/>
        <w:rPr>
          <w:rFonts w:eastAsia="ArialNarrow" w:cstheme="minorHAnsi"/>
          <w:szCs w:val="18"/>
        </w:rPr>
      </w:pPr>
    </w:p>
    <w:p w14:paraId="73610325" w14:textId="7CF02CE6" w:rsidR="00DB27AB" w:rsidRPr="000D5E3F" w:rsidRDefault="00DB27AB" w:rsidP="000D5E3F">
      <w:pPr>
        <w:pStyle w:val="Opisslike"/>
      </w:pPr>
      <w:r w:rsidRPr="000D5E3F">
        <w:t xml:space="preserve">Tablica </w:t>
      </w:r>
      <w:r w:rsidR="009C5D61" w:rsidRPr="000D5E3F">
        <w:t>1</w:t>
      </w:r>
      <w:r w:rsidR="0017082E" w:rsidRPr="000D5E3F">
        <w:t>8</w:t>
      </w:r>
      <w:r w:rsidRPr="000D5E3F">
        <w:t>. Stopa rizika od siromaštva na razini Republike Hrvatske za razdoblje 2014.-2019.</w:t>
      </w:r>
    </w:p>
    <w:tbl>
      <w:tblPr>
        <w:tblW w:w="5000" w:type="pct"/>
        <w:tblLook w:val="04A0" w:firstRow="1" w:lastRow="0" w:firstColumn="1" w:lastColumn="0" w:noHBand="0" w:noVBand="1"/>
      </w:tblPr>
      <w:tblGrid>
        <w:gridCol w:w="908"/>
        <w:gridCol w:w="4085"/>
        <w:gridCol w:w="4287"/>
      </w:tblGrid>
      <w:tr w:rsidR="00DB27AB" w:rsidRPr="00DB27AB" w14:paraId="18E3CAA9" w14:textId="77777777" w:rsidTr="008F5CE9">
        <w:trPr>
          <w:trHeight w:val="468"/>
        </w:trPr>
        <w:tc>
          <w:tcPr>
            <w:tcW w:w="489" w:type="pct"/>
            <w:vMerge w:val="restart"/>
            <w:tcBorders>
              <w:top w:val="single" w:sz="8" w:space="0" w:color="D2232A"/>
              <w:left w:val="single" w:sz="8" w:space="0" w:color="D2232A"/>
              <w:bottom w:val="single" w:sz="8" w:space="0" w:color="D2232A"/>
              <w:right w:val="single" w:sz="8" w:space="0" w:color="D2232A"/>
            </w:tcBorders>
            <w:shd w:val="clear" w:color="000000" w:fill="D9D9D9"/>
            <w:noWrap/>
            <w:vAlign w:val="center"/>
            <w:hideMark/>
          </w:tcPr>
          <w:p w14:paraId="6ECF0EC5" w14:textId="77777777" w:rsidR="00DB27AB" w:rsidRPr="00DB27AB" w:rsidRDefault="00DB27AB" w:rsidP="00DB27AB">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Godina</w:t>
            </w:r>
          </w:p>
        </w:tc>
        <w:tc>
          <w:tcPr>
            <w:tcW w:w="4511" w:type="pct"/>
            <w:gridSpan w:val="2"/>
            <w:tcBorders>
              <w:top w:val="single" w:sz="8" w:space="0" w:color="D2232A"/>
              <w:left w:val="nil"/>
              <w:bottom w:val="single" w:sz="8" w:space="0" w:color="D2232A"/>
              <w:right w:val="single" w:sz="8" w:space="0" w:color="D2232A"/>
            </w:tcBorders>
            <w:shd w:val="clear" w:color="000000" w:fill="E5E5E5"/>
            <w:vAlign w:val="center"/>
            <w:hideMark/>
          </w:tcPr>
          <w:p w14:paraId="1876994D" w14:textId="5FB3C965" w:rsidR="00DB27AB" w:rsidRPr="00DB27AB" w:rsidRDefault="00DB27AB" w:rsidP="00DB27AB">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POKAZATELJI SIROMAŠTVA</w:t>
            </w:r>
          </w:p>
        </w:tc>
      </w:tr>
      <w:tr w:rsidR="00DB27AB" w:rsidRPr="00DB27AB" w14:paraId="3A8AC515" w14:textId="77777777" w:rsidTr="008F5CE9">
        <w:trPr>
          <w:trHeight w:val="300"/>
        </w:trPr>
        <w:tc>
          <w:tcPr>
            <w:tcW w:w="489" w:type="pct"/>
            <w:vMerge/>
            <w:tcBorders>
              <w:top w:val="single" w:sz="8" w:space="0" w:color="D2232A"/>
              <w:left w:val="single" w:sz="8" w:space="0" w:color="D2232A"/>
              <w:bottom w:val="single" w:sz="8" w:space="0" w:color="D2232A"/>
              <w:right w:val="single" w:sz="8" w:space="0" w:color="D2232A"/>
            </w:tcBorders>
            <w:vAlign w:val="center"/>
            <w:hideMark/>
          </w:tcPr>
          <w:p w14:paraId="75E264E5" w14:textId="77777777" w:rsidR="00DB27AB" w:rsidRPr="00DB27AB" w:rsidRDefault="00DB27AB" w:rsidP="00DB27AB">
            <w:pPr>
              <w:autoSpaceDE w:val="0"/>
              <w:autoSpaceDN w:val="0"/>
              <w:adjustRightInd w:val="0"/>
              <w:spacing w:after="0" w:line="240" w:lineRule="auto"/>
              <w:rPr>
                <w:rFonts w:eastAsia="ArialNarrow" w:cstheme="minorHAnsi"/>
                <w:szCs w:val="18"/>
              </w:rPr>
            </w:pPr>
          </w:p>
        </w:tc>
        <w:tc>
          <w:tcPr>
            <w:tcW w:w="2201" w:type="pct"/>
            <w:tcBorders>
              <w:top w:val="nil"/>
              <w:left w:val="nil"/>
              <w:bottom w:val="single" w:sz="8" w:space="0" w:color="D2232A"/>
              <w:right w:val="single" w:sz="8" w:space="0" w:color="D2232A"/>
            </w:tcBorders>
            <w:shd w:val="clear" w:color="000000" w:fill="E5E5E5"/>
            <w:vAlign w:val="center"/>
            <w:hideMark/>
          </w:tcPr>
          <w:p w14:paraId="0945AB8B" w14:textId="77777777" w:rsidR="00DB27AB" w:rsidRPr="00DB27AB" w:rsidRDefault="00DB27AB" w:rsidP="00DB27AB">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Stopa rizika od siromaštva %</w:t>
            </w:r>
          </w:p>
        </w:tc>
        <w:tc>
          <w:tcPr>
            <w:tcW w:w="2310" w:type="pct"/>
            <w:tcBorders>
              <w:top w:val="nil"/>
              <w:left w:val="nil"/>
              <w:bottom w:val="single" w:sz="8" w:space="0" w:color="D2232A"/>
              <w:right w:val="single" w:sz="8" w:space="0" w:color="D2232A"/>
            </w:tcBorders>
            <w:shd w:val="clear" w:color="000000" w:fill="E5E5E5"/>
            <w:vAlign w:val="center"/>
            <w:hideMark/>
          </w:tcPr>
          <w:p w14:paraId="50D29AD5" w14:textId="77777777" w:rsidR="00DB27AB" w:rsidRPr="00DB27AB" w:rsidRDefault="00DB27AB" w:rsidP="00DB27AB">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Osobe u riziku od siromaštva %</w:t>
            </w:r>
          </w:p>
        </w:tc>
      </w:tr>
      <w:tr w:rsidR="00DB27AB" w:rsidRPr="00DB27AB" w14:paraId="488CCE6C" w14:textId="77777777" w:rsidTr="008F5CE9">
        <w:trPr>
          <w:trHeight w:val="300"/>
        </w:trPr>
        <w:tc>
          <w:tcPr>
            <w:tcW w:w="489" w:type="pct"/>
            <w:tcBorders>
              <w:top w:val="nil"/>
              <w:left w:val="single" w:sz="8" w:space="0" w:color="D2232A"/>
              <w:bottom w:val="single" w:sz="8" w:space="0" w:color="F3CFC1"/>
              <w:right w:val="single" w:sz="8" w:space="0" w:color="D2232A"/>
            </w:tcBorders>
            <w:shd w:val="clear" w:color="auto" w:fill="auto"/>
            <w:noWrap/>
            <w:vAlign w:val="center"/>
            <w:hideMark/>
          </w:tcPr>
          <w:p w14:paraId="78B77916" w14:textId="77777777" w:rsidR="00DB27AB" w:rsidRPr="00DB27AB" w:rsidRDefault="00DB27AB" w:rsidP="00DB27AB">
            <w:pPr>
              <w:autoSpaceDE w:val="0"/>
              <w:autoSpaceDN w:val="0"/>
              <w:adjustRightInd w:val="0"/>
              <w:spacing w:after="0" w:line="240" w:lineRule="auto"/>
              <w:rPr>
                <w:rFonts w:eastAsia="ArialNarrow" w:cstheme="minorHAnsi"/>
                <w:szCs w:val="18"/>
              </w:rPr>
            </w:pPr>
            <w:r w:rsidRPr="00DB27AB">
              <w:rPr>
                <w:rFonts w:eastAsia="ArialNarrow" w:cstheme="minorHAnsi"/>
                <w:szCs w:val="18"/>
              </w:rPr>
              <w:t>2014.</w:t>
            </w:r>
          </w:p>
        </w:tc>
        <w:tc>
          <w:tcPr>
            <w:tcW w:w="2201" w:type="pct"/>
            <w:tcBorders>
              <w:top w:val="nil"/>
              <w:left w:val="nil"/>
              <w:bottom w:val="single" w:sz="8" w:space="0" w:color="F3CFC1"/>
              <w:right w:val="single" w:sz="8" w:space="0" w:color="D2232A"/>
            </w:tcBorders>
            <w:shd w:val="clear" w:color="auto" w:fill="auto"/>
            <w:vAlign w:val="center"/>
            <w:hideMark/>
          </w:tcPr>
          <w:p w14:paraId="31AD459E"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19,4</w:t>
            </w:r>
          </w:p>
        </w:tc>
        <w:tc>
          <w:tcPr>
            <w:tcW w:w="2310" w:type="pct"/>
            <w:tcBorders>
              <w:top w:val="nil"/>
              <w:left w:val="nil"/>
              <w:bottom w:val="single" w:sz="8" w:space="0" w:color="F3CFC1"/>
              <w:right w:val="single" w:sz="8" w:space="0" w:color="D2232A"/>
            </w:tcBorders>
            <w:shd w:val="clear" w:color="auto" w:fill="auto"/>
            <w:noWrap/>
            <w:vAlign w:val="center"/>
            <w:hideMark/>
          </w:tcPr>
          <w:p w14:paraId="5F54855B"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29,3</w:t>
            </w:r>
          </w:p>
        </w:tc>
      </w:tr>
      <w:tr w:rsidR="00DB27AB" w:rsidRPr="00DB27AB" w14:paraId="7045D50D" w14:textId="77777777" w:rsidTr="008F5CE9">
        <w:trPr>
          <w:trHeight w:val="300"/>
        </w:trPr>
        <w:tc>
          <w:tcPr>
            <w:tcW w:w="489" w:type="pct"/>
            <w:tcBorders>
              <w:top w:val="nil"/>
              <w:left w:val="single" w:sz="8" w:space="0" w:color="D2232A"/>
              <w:bottom w:val="single" w:sz="8" w:space="0" w:color="F3CFC1"/>
              <w:right w:val="single" w:sz="8" w:space="0" w:color="D2232A"/>
            </w:tcBorders>
            <w:shd w:val="clear" w:color="auto" w:fill="auto"/>
            <w:noWrap/>
            <w:vAlign w:val="center"/>
            <w:hideMark/>
          </w:tcPr>
          <w:p w14:paraId="5CD7E152" w14:textId="77777777" w:rsidR="00DB27AB" w:rsidRPr="00DB27AB" w:rsidRDefault="00DB27AB" w:rsidP="00DB27AB">
            <w:pPr>
              <w:autoSpaceDE w:val="0"/>
              <w:autoSpaceDN w:val="0"/>
              <w:adjustRightInd w:val="0"/>
              <w:spacing w:after="0" w:line="240" w:lineRule="auto"/>
              <w:rPr>
                <w:rFonts w:eastAsia="ArialNarrow" w:cstheme="minorHAnsi"/>
                <w:szCs w:val="18"/>
              </w:rPr>
            </w:pPr>
            <w:r w:rsidRPr="00DB27AB">
              <w:rPr>
                <w:rFonts w:eastAsia="ArialNarrow" w:cstheme="minorHAnsi"/>
                <w:szCs w:val="18"/>
              </w:rPr>
              <w:t>2015.</w:t>
            </w:r>
          </w:p>
        </w:tc>
        <w:tc>
          <w:tcPr>
            <w:tcW w:w="2201" w:type="pct"/>
            <w:tcBorders>
              <w:top w:val="nil"/>
              <w:left w:val="nil"/>
              <w:bottom w:val="single" w:sz="8" w:space="0" w:color="F3CFC1"/>
              <w:right w:val="single" w:sz="8" w:space="0" w:color="D2232A"/>
            </w:tcBorders>
            <w:shd w:val="clear" w:color="auto" w:fill="auto"/>
            <w:vAlign w:val="center"/>
            <w:hideMark/>
          </w:tcPr>
          <w:p w14:paraId="60EBE9B1"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20,0</w:t>
            </w:r>
          </w:p>
        </w:tc>
        <w:tc>
          <w:tcPr>
            <w:tcW w:w="2310" w:type="pct"/>
            <w:tcBorders>
              <w:top w:val="nil"/>
              <w:left w:val="nil"/>
              <w:bottom w:val="single" w:sz="8" w:space="0" w:color="F3CFC1"/>
              <w:right w:val="single" w:sz="8" w:space="0" w:color="D2232A"/>
            </w:tcBorders>
            <w:shd w:val="clear" w:color="auto" w:fill="auto"/>
            <w:noWrap/>
            <w:vAlign w:val="center"/>
            <w:hideMark/>
          </w:tcPr>
          <w:p w14:paraId="55712283"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29,1</w:t>
            </w:r>
          </w:p>
        </w:tc>
      </w:tr>
      <w:tr w:rsidR="00DB27AB" w:rsidRPr="00DB27AB" w14:paraId="6419048C" w14:textId="77777777" w:rsidTr="008F5CE9">
        <w:trPr>
          <w:trHeight w:val="300"/>
        </w:trPr>
        <w:tc>
          <w:tcPr>
            <w:tcW w:w="489" w:type="pct"/>
            <w:tcBorders>
              <w:top w:val="nil"/>
              <w:left w:val="single" w:sz="8" w:space="0" w:color="D2232A"/>
              <w:bottom w:val="single" w:sz="8" w:space="0" w:color="F3CFC1"/>
              <w:right w:val="single" w:sz="8" w:space="0" w:color="D2232A"/>
            </w:tcBorders>
            <w:shd w:val="clear" w:color="auto" w:fill="auto"/>
            <w:noWrap/>
            <w:vAlign w:val="center"/>
            <w:hideMark/>
          </w:tcPr>
          <w:p w14:paraId="420B4F48" w14:textId="77777777" w:rsidR="00DB27AB" w:rsidRPr="00DB27AB" w:rsidRDefault="00DB27AB" w:rsidP="00DB27AB">
            <w:pPr>
              <w:autoSpaceDE w:val="0"/>
              <w:autoSpaceDN w:val="0"/>
              <w:adjustRightInd w:val="0"/>
              <w:spacing w:after="0" w:line="240" w:lineRule="auto"/>
              <w:rPr>
                <w:rFonts w:eastAsia="ArialNarrow" w:cstheme="minorHAnsi"/>
                <w:szCs w:val="18"/>
              </w:rPr>
            </w:pPr>
            <w:r w:rsidRPr="00DB27AB">
              <w:rPr>
                <w:rFonts w:eastAsia="ArialNarrow" w:cstheme="minorHAnsi"/>
                <w:szCs w:val="18"/>
              </w:rPr>
              <w:t>2016.</w:t>
            </w:r>
          </w:p>
        </w:tc>
        <w:tc>
          <w:tcPr>
            <w:tcW w:w="2201" w:type="pct"/>
            <w:tcBorders>
              <w:top w:val="nil"/>
              <w:left w:val="nil"/>
              <w:bottom w:val="single" w:sz="8" w:space="0" w:color="F3CFC1"/>
              <w:right w:val="single" w:sz="8" w:space="0" w:color="D2232A"/>
            </w:tcBorders>
            <w:shd w:val="clear" w:color="auto" w:fill="auto"/>
            <w:vAlign w:val="center"/>
            <w:hideMark/>
          </w:tcPr>
          <w:p w14:paraId="46ED44DD"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19,9</w:t>
            </w:r>
          </w:p>
        </w:tc>
        <w:tc>
          <w:tcPr>
            <w:tcW w:w="2310" w:type="pct"/>
            <w:tcBorders>
              <w:top w:val="nil"/>
              <w:left w:val="nil"/>
              <w:bottom w:val="single" w:sz="8" w:space="0" w:color="F3CFC1"/>
              <w:right w:val="single" w:sz="8" w:space="0" w:color="D2232A"/>
            </w:tcBorders>
            <w:shd w:val="clear" w:color="auto" w:fill="auto"/>
            <w:noWrap/>
            <w:vAlign w:val="center"/>
            <w:hideMark/>
          </w:tcPr>
          <w:p w14:paraId="1777A59C"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28,5</w:t>
            </w:r>
          </w:p>
        </w:tc>
      </w:tr>
      <w:tr w:rsidR="00DB27AB" w:rsidRPr="00DB27AB" w14:paraId="7C8D11C4" w14:textId="77777777" w:rsidTr="008F5CE9">
        <w:trPr>
          <w:trHeight w:val="300"/>
        </w:trPr>
        <w:tc>
          <w:tcPr>
            <w:tcW w:w="489" w:type="pct"/>
            <w:tcBorders>
              <w:top w:val="nil"/>
              <w:left w:val="single" w:sz="8" w:space="0" w:color="D2232A"/>
              <w:bottom w:val="single" w:sz="8" w:space="0" w:color="F3CFC1"/>
              <w:right w:val="single" w:sz="8" w:space="0" w:color="D2232A"/>
            </w:tcBorders>
            <w:shd w:val="clear" w:color="auto" w:fill="auto"/>
            <w:noWrap/>
            <w:vAlign w:val="center"/>
            <w:hideMark/>
          </w:tcPr>
          <w:p w14:paraId="2ED05583" w14:textId="77777777" w:rsidR="00DB27AB" w:rsidRPr="00DB27AB" w:rsidRDefault="00DB27AB" w:rsidP="00DB27AB">
            <w:pPr>
              <w:autoSpaceDE w:val="0"/>
              <w:autoSpaceDN w:val="0"/>
              <w:adjustRightInd w:val="0"/>
              <w:spacing w:after="0" w:line="240" w:lineRule="auto"/>
              <w:rPr>
                <w:rFonts w:eastAsia="ArialNarrow" w:cstheme="minorHAnsi"/>
                <w:szCs w:val="18"/>
              </w:rPr>
            </w:pPr>
            <w:r w:rsidRPr="00DB27AB">
              <w:rPr>
                <w:rFonts w:eastAsia="ArialNarrow" w:cstheme="minorHAnsi"/>
                <w:szCs w:val="18"/>
              </w:rPr>
              <w:t>2017.</w:t>
            </w:r>
          </w:p>
        </w:tc>
        <w:tc>
          <w:tcPr>
            <w:tcW w:w="2201" w:type="pct"/>
            <w:tcBorders>
              <w:top w:val="nil"/>
              <w:left w:val="nil"/>
              <w:bottom w:val="single" w:sz="8" w:space="0" w:color="F3CFC1"/>
              <w:right w:val="single" w:sz="8" w:space="0" w:color="D2232A"/>
            </w:tcBorders>
            <w:shd w:val="clear" w:color="auto" w:fill="auto"/>
            <w:vAlign w:val="center"/>
            <w:hideMark/>
          </w:tcPr>
          <w:p w14:paraId="096D5697"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20,0</w:t>
            </w:r>
          </w:p>
        </w:tc>
        <w:tc>
          <w:tcPr>
            <w:tcW w:w="2310" w:type="pct"/>
            <w:tcBorders>
              <w:top w:val="nil"/>
              <w:left w:val="nil"/>
              <w:bottom w:val="single" w:sz="8" w:space="0" w:color="F3CFC1"/>
              <w:right w:val="single" w:sz="8" w:space="0" w:color="D2232A"/>
            </w:tcBorders>
            <w:shd w:val="clear" w:color="auto" w:fill="auto"/>
            <w:noWrap/>
            <w:vAlign w:val="center"/>
            <w:hideMark/>
          </w:tcPr>
          <w:p w14:paraId="429F83B8"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26,4</w:t>
            </w:r>
          </w:p>
        </w:tc>
      </w:tr>
      <w:tr w:rsidR="00DB27AB" w:rsidRPr="00DB27AB" w14:paraId="7BFAB6B8" w14:textId="77777777" w:rsidTr="008F5CE9">
        <w:trPr>
          <w:trHeight w:val="288"/>
        </w:trPr>
        <w:tc>
          <w:tcPr>
            <w:tcW w:w="489" w:type="pct"/>
            <w:tcBorders>
              <w:top w:val="single" w:sz="8" w:space="0" w:color="F3CFC1"/>
              <w:left w:val="single" w:sz="8" w:space="0" w:color="D2232A"/>
              <w:bottom w:val="single" w:sz="8" w:space="0" w:color="F3CFC1"/>
              <w:right w:val="single" w:sz="8" w:space="0" w:color="D2232A"/>
            </w:tcBorders>
            <w:shd w:val="clear" w:color="auto" w:fill="auto"/>
            <w:noWrap/>
            <w:vAlign w:val="center"/>
            <w:hideMark/>
          </w:tcPr>
          <w:p w14:paraId="4AEF89EF" w14:textId="77777777" w:rsidR="00DB27AB" w:rsidRPr="00DB27AB" w:rsidRDefault="00DB27AB" w:rsidP="00DB27AB">
            <w:pPr>
              <w:autoSpaceDE w:val="0"/>
              <w:autoSpaceDN w:val="0"/>
              <w:adjustRightInd w:val="0"/>
              <w:spacing w:after="0" w:line="240" w:lineRule="auto"/>
              <w:rPr>
                <w:rFonts w:eastAsia="ArialNarrow" w:cstheme="minorHAnsi"/>
                <w:szCs w:val="18"/>
              </w:rPr>
            </w:pPr>
            <w:r w:rsidRPr="00DB27AB">
              <w:rPr>
                <w:rFonts w:eastAsia="ArialNarrow" w:cstheme="minorHAnsi"/>
                <w:szCs w:val="18"/>
              </w:rPr>
              <w:t>2018.</w:t>
            </w:r>
          </w:p>
        </w:tc>
        <w:tc>
          <w:tcPr>
            <w:tcW w:w="2201" w:type="pct"/>
            <w:tcBorders>
              <w:top w:val="single" w:sz="8" w:space="0" w:color="F3CFC1"/>
              <w:left w:val="nil"/>
              <w:bottom w:val="single" w:sz="8" w:space="0" w:color="F3CFC1"/>
              <w:right w:val="single" w:sz="8" w:space="0" w:color="D2232A"/>
            </w:tcBorders>
            <w:shd w:val="clear" w:color="auto" w:fill="auto"/>
            <w:vAlign w:val="center"/>
            <w:hideMark/>
          </w:tcPr>
          <w:p w14:paraId="628B67DE"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19,3</w:t>
            </w:r>
          </w:p>
        </w:tc>
        <w:tc>
          <w:tcPr>
            <w:tcW w:w="2310" w:type="pct"/>
            <w:tcBorders>
              <w:top w:val="single" w:sz="8" w:space="0" w:color="F3CFC1"/>
              <w:left w:val="nil"/>
              <w:bottom w:val="single" w:sz="8" w:space="0" w:color="F3CFC1"/>
              <w:right w:val="single" w:sz="8" w:space="0" w:color="D2232A"/>
            </w:tcBorders>
            <w:shd w:val="clear" w:color="auto" w:fill="auto"/>
            <w:noWrap/>
            <w:vAlign w:val="center"/>
            <w:hideMark/>
          </w:tcPr>
          <w:p w14:paraId="191CABE2"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24,8</w:t>
            </w:r>
          </w:p>
        </w:tc>
      </w:tr>
      <w:tr w:rsidR="00DB27AB" w:rsidRPr="00DB27AB" w14:paraId="110EFFC9" w14:textId="77777777" w:rsidTr="008F5CE9">
        <w:trPr>
          <w:trHeight w:val="300"/>
        </w:trPr>
        <w:tc>
          <w:tcPr>
            <w:tcW w:w="489" w:type="pct"/>
            <w:tcBorders>
              <w:top w:val="single" w:sz="8" w:space="0" w:color="F3CFC1"/>
              <w:left w:val="single" w:sz="8" w:space="0" w:color="D2232A"/>
              <w:bottom w:val="single" w:sz="8" w:space="0" w:color="D2232A"/>
              <w:right w:val="single" w:sz="8" w:space="0" w:color="D2232A"/>
            </w:tcBorders>
            <w:shd w:val="clear" w:color="auto" w:fill="auto"/>
            <w:noWrap/>
            <w:vAlign w:val="center"/>
            <w:hideMark/>
          </w:tcPr>
          <w:p w14:paraId="5C40A4D5" w14:textId="77777777" w:rsidR="00DB27AB" w:rsidRPr="00DB27AB" w:rsidRDefault="00DB27AB" w:rsidP="00DB27AB">
            <w:pPr>
              <w:autoSpaceDE w:val="0"/>
              <w:autoSpaceDN w:val="0"/>
              <w:adjustRightInd w:val="0"/>
              <w:spacing w:after="0" w:line="240" w:lineRule="auto"/>
              <w:rPr>
                <w:rFonts w:eastAsia="ArialNarrow" w:cstheme="minorHAnsi"/>
                <w:szCs w:val="18"/>
              </w:rPr>
            </w:pPr>
            <w:r w:rsidRPr="00DB27AB">
              <w:rPr>
                <w:rFonts w:eastAsia="ArialNarrow" w:cstheme="minorHAnsi"/>
                <w:szCs w:val="18"/>
              </w:rPr>
              <w:t>2019.</w:t>
            </w:r>
          </w:p>
        </w:tc>
        <w:tc>
          <w:tcPr>
            <w:tcW w:w="2201" w:type="pct"/>
            <w:tcBorders>
              <w:top w:val="single" w:sz="8" w:space="0" w:color="F3CFC1"/>
              <w:left w:val="nil"/>
              <w:bottom w:val="single" w:sz="8" w:space="0" w:color="D2232A"/>
              <w:right w:val="single" w:sz="8" w:space="0" w:color="D2232A"/>
            </w:tcBorders>
            <w:shd w:val="clear" w:color="auto" w:fill="auto"/>
            <w:vAlign w:val="center"/>
            <w:hideMark/>
          </w:tcPr>
          <w:p w14:paraId="3700601D"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18,3</w:t>
            </w:r>
          </w:p>
        </w:tc>
        <w:tc>
          <w:tcPr>
            <w:tcW w:w="2310" w:type="pct"/>
            <w:tcBorders>
              <w:top w:val="single" w:sz="8" w:space="0" w:color="F3CFC1"/>
              <w:left w:val="nil"/>
              <w:bottom w:val="single" w:sz="8" w:space="0" w:color="D2232A"/>
              <w:right w:val="single" w:sz="8" w:space="0" w:color="D2232A"/>
            </w:tcBorders>
            <w:shd w:val="clear" w:color="auto" w:fill="auto"/>
            <w:noWrap/>
            <w:vAlign w:val="center"/>
            <w:hideMark/>
          </w:tcPr>
          <w:p w14:paraId="2473FF1F" w14:textId="77777777" w:rsidR="00DB27AB" w:rsidRPr="00DB27AB" w:rsidRDefault="00DB27AB" w:rsidP="00805373">
            <w:pPr>
              <w:autoSpaceDE w:val="0"/>
              <w:autoSpaceDN w:val="0"/>
              <w:adjustRightInd w:val="0"/>
              <w:spacing w:after="0" w:line="240" w:lineRule="auto"/>
              <w:jc w:val="center"/>
              <w:rPr>
                <w:rFonts w:eastAsia="ArialNarrow" w:cstheme="minorHAnsi"/>
                <w:szCs w:val="18"/>
              </w:rPr>
            </w:pPr>
            <w:r w:rsidRPr="00DB27AB">
              <w:rPr>
                <w:rFonts w:eastAsia="ArialNarrow" w:cstheme="minorHAnsi"/>
                <w:szCs w:val="18"/>
              </w:rPr>
              <w:t>23,3</w:t>
            </w:r>
          </w:p>
        </w:tc>
      </w:tr>
    </w:tbl>
    <w:p w14:paraId="77411D38" w14:textId="77777777" w:rsidR="00367511" w:rsidRDefault="00DB27AB" w:rsidP="00DB27AB">
      <w:pPr>
        <w:spacing w:after="0" w:line="240" w:lineRule="auto"/>
        <w:rPr>
          <w:rFonts w:eastAsia="ArialNarrow" w:cstheme="minorHAnsi"/>
          <w:i/>
          <w:color w:val="ABABAB" w:themeColor="text1" w:themeTint="A6"/>
          <w:sz w:val="16"/>
          <w:szCs w:val="16"/>
        </w:rPr>
      </w:pPr>
      <w:r w:rsidRPr="00DB27AB">
        <w:rPr>
          <w:rFonts w:eastAsia="ArialNarrow" w:cstheme="minorHAnsi"/>
          <w:i/>
          <w:color w:val="ABABAB" w:themeColor="text1" w:themeTint="A6"/>
          <w:sz w:val="16"/>
          <w:szCs w:val="16"/>
        </w:rPr>
        <w:t>Izvor: DZS, Pokazatelji siromaštva i socijalne isključenosti u 2014., 2015., 2016., 2017., 2018. i 2019.</w:t>
      </w:r>
    </w:p>
    <w:p w14:paraId="73EF20B5" w14:textId="77777777" w:rsidR="00367511" w:rsidRDefault="00367511" w:rsidP="00DB27AB">
      <w:pPr>
        <w:spacing w:after="0" w:line="240" w:lineRule="auto"/>
        <w:rPr>
          <w:rFonts w:eastAsia="ArialNarrow" w:cstheme="minorHAnsi"/>
          <w:i/>
          <w:color w:val="ABABAB" w:themeColor="text1" w:themeTint="A6"/>
          <w:sz w:val="16"/>
          <w:szCs w:val="16"/>
        </w:rPr>
      </w:pPr>
    </w:p>
    <w:p w14:paraId="78B1DC99" w14:textId="180ADDE4" w:rsidR="008878A0" w:rsidRPr="00887774" w:rsidRDefault="008878A0" w:rsidP="00DB27AB">
      <w:pPr>
        <w:spacing w:after="0" w:line="240" w:lineRule="auto"/>
        <w:rPr>
          <w:rFonts w:eastAsia="ArialNarrow" w:cstheme="minorHAnsi"/>
          <w:szCs w:val="18"/>
        </w:rPr>
      </w:pPr>
      <w:r w:rsidRPr="00887774">
        <w:rPr>
          <w:rFonts w:eastAsia="ArialNarrow" w:cstheme="minorHAnsi"/>
          <w:szCs w:val="18"/>
        </w:rPr>
        <w:t>Na razini EU-2</w:t>
      </w:r>
      <w:r w:rsidR="00DB27AB">
        <w:rPr>
          <w:rFonts w:eastAsia="ArialNarrow" w:cstheme="minorHAnsi"/>
          <w:szCs w:val="18"/>
        </w:rPr>
        <w:t>7</w:t>
      </w:r>
      <w:r w:rsidRPr="00887774">
        <w:rPr>
          <w:rFonts w:eastAsia="ArialNarrow" w:cstheme="minorHAnsi"/>
          <w:szCs w:val="18"/>
        </w:rPr>
        <w:t xml:space="preserve"> u 201</w:t>
      </w:r>
      <w:r w:rsidR="00DB27AB">
        <w:rPr>
          <w:rFonts w:eastAsia="ArialNarrow" w:cstheme="minorHAnsi"/>
          <w:szCs w:val="18"/>
        </w:rPr>
        <w:t>9</w:t>
      </w:r>
      <w:r w:rsidRPr="00887774">
        <w:rPr>
          <w:rFonts w:eastAsia="ArialNarrow" w:cstheme="minorHAnsi"/>
          <w:szCs w:val="18"/>
        </w:rPr>
        <w:t>. godini</w:t>
      </w:r>
      <w:r w:rsidRPr="00887774">
        <w:rPr>
          <w:rFonts w:cstheme="minorHAnsi"/>
          <w:szCs w:val="18"/>
          <w:vertAlign w:val="superscript"/>
        </w:rPr>
        <w:footnoteReference w:id="31"/>
      </w:r>
      <w:r w:rsidRPr="00887774">
        <w:rPr>
          <w:rFonts w:eastAsia="ArialNarrow" w:cstheme="minorHAnsi"/>
          <w:szCs w:val="18"/>
        </w:rPr>
        <w:t xml:space="preserve"> prosječni udio osoba s rizikom od siromaštva i socijalne isključenosti u ukupnom stanovništvu u Republici Hrvatskoj iznosio je 2</w:t>
      </w:r>
      <w:r w:rsidR="00964961">
        <w:rPr>
          <w:rFonts w:eastAsia="ArialNarrow" w:cstheme="minorHAnsi"/>
          <w:szCs w:val="18"/>
        </w:rPr>
        <w:t>3</w:t>
      </w:r>
      <w:r w:rsidRPr="00887774">
        <w:rPr>
          <w:rFonts w:eastAsia="ArialNarrow" w:cstheme="minorHAnsi"/>
          <w:szCs w:val="18"/>
        </w:rPr>
        <w:t>,</w:t>
      </w:r>
      <w:r w:rsidR="00964961">
        <w:rPr>
          <w:rFonts w:eastAsia="ArialNarrow" w:cstheme="minorHAnsi"/>
          <w:szCs w:val="18"/>
        </w:rPr>
        <w:t>3</w:t>
      </w:r>
      <w:r w:rsidRPr="00887774">
        <w:rPr>
          <w:rFonts w:eastAsia="ArialNarrow" w:cstheme="minorHAnsi"/>
          <w:szCs w:val="18"/>
        </w:rPr>
        <w:t>%</w:t>
      </w:r>
      <w:r w:rsidR="00CB4113" w:rsidRPr="00887774">
        <w:rPr>
          <w:rFonts w:eastAsia="ArialNarrow" w:cstheme="minorHAnsi"/>
          <w:szCs w:val="18"/>
        </w:rPr>
        <w:t xml:space="preserve">, </w:t>
      </w:r>
      <w:r w:rsidRPr="00887774">
        <w:rPr>
          <w:rFonts w:eastAsia="ArialNarrow" w:cstheme="minorHAnsi"/>
          <w:szCs w:val="18"/>
        </w:rPr>
        <w:t xml:space="preserve">a stopa rizika od siromaštva nalazi se na razini od </w:t>
      </w:r>
      <w:r w:rsidR="00964961">
        <w:rPr>
          <w:rFonts w:eastAsia="ArialNarrow" w:cstheme="minorHAnsi"/>
          <w:szCs w:val="18"/>
        </w:rPr>
        <w:t>18</w:t>
      </w:r>
      <w:r w:rsidRPr="00887774">
        <w:rPr>
          <w:rFonts w:eastAsia="ArialNarrow" w:cstheme="minorHAnsi"/>
          <w:szCs w:val="18"/>
        </w:rPr>
        <w:t>,</w:t>
      </w:r>
      <w:r w:rsidR="00964961">
        <w:rPr>
          <w:rFonts w:eastAsia="ArialNarrow" w:cstheme="minorHAnsi"/>
          <w:szCs w:val="18"/>
        </w:rPr>
        <w:t>3</w:t>
      </w:r>
      <w:r w:rsidRPr="00887774">
        <w:rPr>
          <w:rFonts w:eastAsia="ArialNarrow" w:cstheme="minorHAnsi"/>
          <w:szCs w:val="18"/>
        </w:rPr>
        <w:t>%. Najmanja stopa rizika od siromaštva zabilježena je u Češkoj (</w:t>
      </w:r>
      <w:r w:rsidR="00964961">
        <w:rPr>
          <w:rFonts w:eastAsia="ArialNarrow" w:cstheme="minorHAnsi"/>
          <w:szCs w:val="18"/>
        </w:rPr>
        <w:t>10</w:t>
      </w:r>
      <w:r w:rsidRPr="00887774">
        <w:rPr>
          <w:rFonts w:eastAsia="ArialNarrow" w:cstheme="minorHAnsi"/>
          <w:szCs w:val="18"/>
        </w:rPr>
        <w:t>,1%), a najviša u Rumunjskoj (23,</w:t>
      </w:r>
      <w:r w:rsidR="00964961">
        <w:rPr>
          <w:rFonts w:eastAsia="ArialNarrow" w:cstheme="minorHAnsi"/>
          <w:szCs w:val="18"/>
        </w:rPr>
        <w:t>8</w:t>
      </w:r>
      <w:r w:rsidRPr="00887774">
        <w:rPr>
          <w:rFonts w:eastAsia="ArialNarrow" w:cstheme="minorHAnsi"/>
          <w:szCs w:val="18"/>
        </w:rPr>
        <w:t>%).</w:t>
      </w:r>
    </w:p>
    <w:p w14:paraId="467E0C66" w14:textId="6CAE8782" w:rsidR="001F142A" w:rsidRPr="00887774" w:rsidRDefault="001F142A" w:rsidP="00941871">
      <w:pPr>
        <w:autoSpaceDE w:val="0"/>
        <w:autoSpaceDN w:val="0"/>
        <w:adjustRightInd w:val="0"/>
        <w:spacing w:after="0" w:line="240" w:lineRule="auto"/>
        <w:rPr>
          <w:rFonts w:eastAsia="ArialNarrow" w:cstheme="minorHAnsi"/>
          <w:szCs w:val="18"/>
        </w:rPr>
      </w:pPr>
    </w:p>
    <w:p w14:paraId="2E01D12D" w14:textId="1AEE82DD" w:rsidR="001F142A" w:rsidRPr="00887774" w:rsidRDefault="001F142A" w:rsidP="001F142A">
      <w:pPr>
        <w:autoSpaceDE w:val="0"/>
        <w:autoSpaceDN w:val="0"/>
        <w:adjustRightInd w:val="0"/>
        <w:spacing w:after="0" w:line="240" w:lineRule="auto"/>
        <w:rPr>
          <w:rFonts w:eastAsia="ArialNarrow" w:cstheme="minorHAnsi"/>
          <w:szCs w:val="18"/>
        </w:rPr>
      </w:pPr>
      <w:r w:rsidRPr="00887774">
        <w:rPr>
          <w:rFonts w:eastAsia="ArialNarrow" w:cstheme="minorHAnsi"/>
          <w:szCs w:val="18"/>
        </w:rPr>
        <w:t>Prema posljednje dostupnim podacima na razini grada/općine može se vidjeti da se udio stanovništva koji je primao socijalne naknade kretao u rasponu od približno 1% - 11% dok se postotak onih koji su bili bez primanja kretao u rasponu od približno 25% - 42%. U gradu Zlataru je bilo najmanje onih koji su primali socijalnu pomoć dok ih je na</w:t>
      </w:r>
      <w:r w:rsidR="00B71A52">
        <w:rPr>
          <w:rFonts w:eastAsia="ArialNarrow" w:cstheme="minorHAnsi"/>
          <w:szCs w:val="18"/>
        </w:rPr>
        <w:t>j</w:t>
      </w:r>
      <w:r w:rsidR="00A822F9">
        <w:rPr>
          <w:rFonts w:eastAsia="ArialNarrow" w:cstheme="minorHAnsi"/>
          <w:szCs w:val="18"/>
        </w:rPr>
        <w:t>v</w:t>
      </w:r>
      <w:r w:rsidRPr="00887774">
        <w:rPr>
          <w:rFonts w:eastAsia="ArialNarrow" w:cstheme="minorHAnsi"/>
          <w:szCs w:val="18"/>
        </w:rPr>
        <w:t xml:space="preserve">iše bilo u Đurmancu. Najmanji broj stanovnika bez prihoda bio je u Zagorskim selima dok je </w:t>
      </w:r>
      <w:r w:rsidR="00887774" w:rsidRPr="00887774">
        <w:rPr>
          <w:rFonts w:eastAsia="ArialNarrow" w:cstheme="minorHAnsi"/>
          <w:szCs w:val="18"/>
        </w:rPr>
        <w:t>najveći</w:t>
      </w:r>
      <w:r w:rsidRPr="00887774">
        <w:rPr>
          <w:rFonts w:eastAsia="ArialNarrow" w:cstheme="minorHAnsi"/>
          <w:szCs w:val="18"/>
        </w:rPr>
        <w:t xml:space="preserve"> broj zabilježen u </w:t>
      </w:r>
      <w:r w:rsidR="001D22B6">
        <w:rPr>
          <w:rFonts w:eastAsia="ArialNarrow" w:cstheme="minorHAnsi"/>
          <w:szCs w:val="18"/>
        </w:rPr>
        <w:t xml:space="preserve">općini </w:t>
      </w:r>
      <w:r w:rsidRPr="00887774">
        <w:rPr>
          <w:rFonts w:eastAsia="ArialNarrow" w:cstheme="minorHAnsi"/>
          <w:szCs w:val="18"/>
        </w:rPr>
        <w:t>Petrovsk</w:t>
      </w:r>
      <w:r w:rsidR="006413D5">
        <w:rPr>
          <w:rFonts w:eastAsia="ArialNarrow" w:cstheme="minorHAnsi"/>
          <w:szCs w:val="18"/>
        </w:rPr>
        <w:t>o.</w:t>
      </w:r>
    </w:p>
    <w:p w14:paraId="6205EDAF" w14:textId="1841D12B" w:rsidR="005B7117" w:rsidRDefault="005B7117" w:rsidP="003E3F3C">
      <w:pPr>
        <w:pStyle w:val="Opisslike"/>
      </w:pPr>
      <w:r>
        <w:lastRenderedPageBreak/>
        <w:t xml:space="preserve">Grafikon </w:t>
      </w:r>
      <w:r w:rsidR="008C5000">
        <w:t>11</w:t>
      </w:r>
      <w:r>
        <w:t xml:space="preserve">. </w:t>
      </w:r>
      <w:r w:rsidRPr="008746D6">
        <w:t>Stanovništvo bez prihoda ili koje prima socijalne naknade</w:t>
      </w:r>
    </w:p>
    <w:p w14:paraId="05CA0F21" w14:textId="3AC2D4AE" w:rsidR="008878A0" w:rsidRDefault="005F4C2F" w:rsidP="00B044F9">
      <w:pPr>
        <w:jc w:val="center"/>
        <w:rPr>
          <w:rFonts w:eastAsia="ArialNarrow"/>
          <w:color w:val="auto"/>
          <w:sz w:val="20"/>
        </w:rPr>
      </w:pPr>
      <w:r>
        <w:rPr>
          <w:noProof/>
          <w:lang w:eastAsia="hr-HR"/>
        </w:rPr>
        <w:drawing>
          <wp:inline distT="0" distB="0" distL="0" distR="0" wp14:anchorId="5F65E80F" wp14:editId="41AF92E1">
            <wp:extent cx="5954344" cy="2698750"/>
            <wp:effectExtent l="0" t="0" r="8890" b="6350"/>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96DAC541-7B7A-43D3-8B79-37D633B846F1}">
                          <asvg:svgBlip xmlns:asvg="http://schemas.microsoft.com/office/drawing/2016/SVG/main" r:embed="rId39"/>
                        </a:ext>
                      </a:extLst>
                    </a:blip>
                    <a:srcRect t="6392"/>
                    <a:stretch/>
                  </pic:blipFill>
                  <pic:spPr bwMode="auto">
                    <a:xfrm>
                      <a:off x="0" y="0"/>
                      <a:ext cx="6073876" cy="2752927"/>
                    </a:xfrm>
                    <a:prstGeom prst="rect">
                      <a:avLst/>
                    </a:prstGeom>
                    <a:ln>
                      <a:noFill/>
                    </a:ln>
                    <a:extLst>
                      <a:ext uri="{53640926-AAD7-44D8-BBD7-CCE9431645EC}">
                        <a14:shadowObscured xmlns:a14="http://schemas.microsoft.com/office/drawing/2010/main"/>
                      </a:ext>
                    </a:extLst>
                  </pic:spPr>
                </pic:pic>
              </a:graphicData>
            </a:graphic>
          </wp:inline>
        </w:drawing>
      </w:r>
    </w:p>
    <w:p w14:paraId="33B32AF9" w14:textId="18E73C97" w:rsidR="008878A0" w:rsidRPr="006525B8" w:rsidRDefault="008878A0"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 xml:space="preserve">Izvor: DZS, </w:t>
      </w:r>
      <w:r w:rsidR="005E5493" w:rsidRPr="006525B8">
        <w:rPr>
          <w:rFonts w:eastAsia="ArialNarrow" w:cstheme="minorHAnsi"/>
          <w:i/>
          <w:color w:val="ABABAB" w:themeColor="text1" w:themeTint="A6"/>
          <w:sz w:val="16"/>
          <w:szCs w:val="16"/>
        </w:rPr>
        <w:t xml:space="preserve">Stanovništvo prema glavnim izvorima sredstava za život i spolu, </w:t>
      </w:r>
      <w:r w:rsidRPr="006525B8">
        <w:rPr>
          <w:rFonts w:eastAsia="ArialNarrow" w:cstheme="minorHAnsi"/>
          <w:i/>
          <w:color w:val="ABABAB" w:themeColor="text1" w:themeTint="A6"/>
          <w:sz w:val="16"/>
          <w:szCs w:val="16"/>
        </w:rPr>
        <w:t>P</w:t>
      </w:r>
      <w:r w:rsidR="00F053DD" w:rsidRPr="006525B8">
        <w:rPr>
          <w:rFonts w:eastAsia="ArialNarrow" w:cstheme="minorHAnsi"/>
          <w:i/>
          <w:color w:val="ABABAB" w:themeColor="text1" w:themeTint="A6"/>
          <w:sz w:val="16"/>
          <w:szCs w:val="16"/>
        </w:rPr>
        <w:t>opis</w:t>
      </w:r>
      <w:r w:rsidRPr="006525B8">
        <w:rPr>
          <w:rFonts w:eastAsia="ArialNarrow" w:cstheme="minorHAnsi"/>
          <w:i/>
          <w:color w:val="ABABAB" w:themeColor="text1" w:themeTint="A6"/>
          <w:sz w:val="16"/>
          <w:szCs w:val="16"/>
        </w:rPr>
        <w:t xml:space="preserve"> 2011.</w:t>
      </w:r>
    </w:p>
    <w:p w14:paraId="1FF80865" w14:textId="77777777" w:rsidR="00166B79" w:rsidRDefault="00166B79" w:rsidP="00855D8D">
      <w:pPr>
        <w:pStyle w:val="Izvor"/>
      </w:pPr>
    </w:p>
    <w:p w14:paraId="203BC84E" w14:textId="5D782C7F" w:rsidR="008878A0" w:rsidRDefault="008C5000" w:rsidP="0052192B">
      <w:pPr>
        <w:pStyle w:val="Naslov2"/>
        <w:rPr>
          <w:sz w:val="26"/>
          <w:szCs w:val="26"/>
        </w:rPr>
      </w:pPr>
      <w:bookmarkStart w:id="71" w:name="_Toc85181295"/>
      <w:r>
        <w:t>5</w:t>
      </w:r>
      <w:r w:rsidR="008878A0">
        <w:t>.2. Rasprostranjenost kriminaliteta</w:t>
      </w:r>
      <w:bookmarkEnd w:id="71"/>
    </w:p>
    <w:p w14:paraId="30801002" w14:textId="77777777" w:rsidR="008878A0" w:rsidRDefault="008878A0" w:rsidP="00941871">
      <w:pPr>
        <w:autoSpaceDE w:val="0"/>
        <w:autoSpaceDN w:val="0"/>
        <w:adjustRightInd w:val="0"/>
        <w:spacing w:after="0" w:line="240" w:lineRule="auto"/>
        <w:rPr>
          <w:rFonts w:eastAsia="ArialNarrow" w:cstheme="minorHAnsi"/>
          <w:sz w:val="20"/>
        </w:rPr>
      </w:pPr>
    </w:p>
    <w:p w14:paraId="3BF2F4FE" w14:textId="29C27128" w:rsidR="008878A0" w:rsidRDefault="008878A0" w:rsidP="00941871">
      <w:pPr>
        <w:autoSpaceDE w:val="0"/>
        <w:autoSpaceDN w:val="0"/>
        <w:adjustRightInd w:val="0"/>
        <w:spacing w:after="0" w:line="240" w:lineRule="auto"/>
        <w:rPr>
          <w:rFonts w:eastAsia="ArialNarrow" w:cstheme="minorHAnsi"/>
          <w:sz w:val="22"/>
        </w:rPr>
      </w:pPr>
      <w:r>
        <w:rPr>
          <w:rFonts w:eastAsia="ArialNarrow" w:cstheme="minorHAnsi"/>
        </w:rPr>
        <w:t>Kvalitetu života može se predstaviti i putem rasprostranjenosti i općom stopom kriminaliteta. U razdoblju od 2014. do 201</w:t>
      </w:r>
      <w:r w:rsidR="001D22B6">
        <w:rPr>
          <w:rFonts w:eastAsia="ArialNarrow" w:cstheme="minorHAnsi"/>
        </w:rPr>
        <w:t>8</w:t>
      </w:r>
      <w:r>
        <w:rPr>
          <w:rFonts w:eastAsia="ArialNarrow" w:cstheme="minorHAnsi"/>
        </w:rPr>
        <w:t xml:space="preserve">. godine u Krapinsko-zagorskoj županiji došlo </w:t>
      </w:r>
      <w:r w:rsidR="0013526F">
        <w:rPr>
          <w:rFonts w:eastAsia="ArialNarrow" w:cstheme="minorHAnsi"/>
        </w:rPr>
        <w:t xml:space="preserve">je </w:t>
      </w:r>
      <w:r>
        <w:rPr>
          <w:rFonts w:eastAsia="ArialNarrow" w:cstheme="minorHAnsi"/>
        </w:rPr>
        <w:t>do pada broja kriminalnih djela</w:t>
      </w:r>
      <w:r w:rsidR="00B71A52">
        <w:rPr>
          <w:rFonts w:eastAsia="ArialNarrow" w:cstheme="minorHAnsi"/>
        </w:rPr>
        <w:t>. I</w:t>
      </w:r>
      <w:r>
        <w:rPr>
          <w:rFonts w:eastAsia="ArialNarrow" w:cstheme="minorHAnsi"/>
        </w:rPr>
        <w:t>sti trend može</w:t>
      </w:r>
      <w:r w:rsidR="006413D5">
        <w:rPr>
          <w:rFonts w:eastAsia="ArialNarrow" w:cstheme="minorHAnsi"/>
        </w:rPr>
        <w:t xml:space="preserve"> se</w:t>
      </w:r>
      <w:r>
        <w:rPr>
          <w:rFonts w:eastAsia="ArialNarrow" w:cstheme="minorHAnsi"/>
        </w:rPr>
        <w:t xml:space="preserve"> uočiti i u odabranim usporednim županijama</w:t>
      </w:r>
      <w:r w:rsidR="00B44EAA">
        <w:rPr>
          <w:rFonts w:eastAsia="ArialNarrow" w:cstheme="minorHAnsi"/>
        </w:rPr>
        <w:t xml:space="preserve"> </w:t>
      </w:r>
      <w:r w:rsidR="00B71A52">
        <w:rPr>
          <w:rFonts w:eastAsia="ArialNarrow" w:cstheme="minorHAnsi"/>
        </w:rPr>
        <w:t>i</w:t>
      </w:r>
      <w:r>
        <w:rPr>
          <w:rFonts w:eastAsia="ArialNarrow" w:cstheme="minorHAnsi"/>
        </w:rPr>
        <w:t xml:space="preserve"> na razini Republike Hrvatske. </w:t>
      </w:r>
    </w:p>
    <w:p w14:paraId="72AD8D10" w14:textId="77777777" w:rsidR="008878A0" w:rsidRDefault="008878A0" w:rsidP="00941871">
      <w:pPr>
        <w:autoSpaceDE w:val="0"/>
        <w:autoSpaceDN w:val="0"/>
        <w:adjustRightInd w:val="0"/>
        <w:spacing w:after="0" w:line="240" w:lineRule="auto"/>
        <w:rPr>
          <w:rFonts w:eastAsia="ArialNarrow" w:cstheme="minorHAnsi"/>
        </w:rPr>
      </w:pPr>
    </w:p>
    <w:p w14:paraId="07098205" w14:textId="445468E5" w:rsidR="008878A0" w:rsidRDefault="008878A0" w:rsidP="003E3F3C">
      <w:pPr>
        <w:pStyle w:val="Opisslike"/>
      </w:pPr>
      <w:r>
        <w:t xml:space="preserve">Tablica </w:t>
      </w:r>
      <w:r w:rsidR="009C5D61">
        <w:t>1</w:t>
      </w:r>
      <w:r w:rsidR="0017082E">
        <w:t>9</w:t>
      </w:r>
      <w:r w:rsidR="00BF7D45">
        <w:rPr>
          <w:noProof/>
        </w:rPr>
        <w:t>.</w:t>
      </w:r>
      <w:r>
        <w:t xml:space="preserve"> Rasprostranjenost kriminaliteta 2014. </w:t>
      </w:r>
      <w:r w:rsidR="008C5000">
        <w:t>-</w:t>
      </w:r>
      <w:r>
        <w:t xml:space="preserve"> 201</w:t>
      </w:r>
      <w:r w:rsidR="00F220EB">
        <w:t>9</w:t>
      </w:r>
      <w:r>
        <w:t>. Krapinsko-zagorsk</w:t>
      </w:r>
      <w:r w:rsidR="006F23D4">
        <w:t>e</w:t>
      </w:r>
      <w:r>
        <w:t xml:space="preserve"> županij</w:t>
      </w:r>
      <w:r w:rsidR="006F23D4">
        <w:t>e</w:t>
      </w:r>
      <w:r>
        <w:t xml:space="preserve"> i usporedn</w:t>
      </w:r>
      <w:r w:rsidR="006F23D4">
        <w:t>ih</w:t>
      </w:r>
      <w:r>
        <w:t xml:space="preserve"> županij</w:t>
      </w:r>
      <w:r w:rsidR="006F23D4">
        <w:t>a</w:t>
      </w:r>
    </w:p>
    <w:tbl>
      <w:tblPr>
        <w:tblW w:w="9206" w:type="dxa"/>
        <w:tblLook w:val="04A0" w:firstRow="1" w:lastRow="0" w:firstColumn="1" w:lastColumn="0" w:noHBand="0" w:noVBand="1"/>
      </w:tblPr>
      <w:tblGrid>
        <w:gridCol w:w="980"/>
        <w:gridCol w:w="1259"/>
        <w:gridCol w:w="1448"/>
        <w:gridCol w:w="1347"/>
        <w:gridCol w:w="1987"/>
        <w:gridCol w:w="2185"/>
      </w:tblGrid>
      <w:tr w:rsidR="008878A0" w:rsidRPr="00BF7D45" w14:paraId="7B84293C" w14:textId="77777777" w:rsidTr="00244386">
        <w:trPr>
          <w:trHeight w:val="285"/>
          <w:tblHeader/>
        </w:trPr>
        <w:tc>
          <w:tcPr>
            <w:tcW w:w="980" w:type="dxa"/>
            <w:vMerge w:val="restart"/>
            <w:tcBorders>
              <w:top w:val="single" w:sz="8" w:space="0" w:color="D2232A"/>
              <w:left w:val="single" w:sz="8" w:space="0" w:color="D2232A"/>
              <w:right w:val="single" w:sz="8" w:space="0" w:color="D2232A"/>
            </w:tcBorders>
            <w:shd w:val="clear" w:color="auto" w:fill="D9D9D9" w:themeFill="background1" w:themeFillShade="D9"/>
            <w:noWrap/>
            <w:vAlign w:val="center"/>
            <w:hideMark/>
          </w:tcPr>
          <w:p w14:paraId="7A524753" w14:textId="77777777" w:rsidR="008878A0" w:rsidRPr="00BF7D45" w:rsidRDefault="008878A0" w:rsidP="00941871">
            <w:pPr>
              <w:spacing w:after="0" w:line="240" w:lineRule="auto"/>
              <w:rPr>
                <w:rFonts w:eastAsia="Times New Roman" w:cstheme="minorHAnsi"/>
                <w:szCs w:val="18"/>
                <w:lang w:eastAsia="hr-HR"/>
              </w:rPr>
            </w:pPr>
            <w:r w:rsidRPr="00BF7D45">
              <w:rPr>
                <w:rFonts w:eastAsia="Times New Roman" w:cstheme="minorHAnsi"/>
                <w:szCs w:val="18"/>
                <w:lang w:eastAsia="hr-HR"/>
              </w:rPr>
              <w:t>G</w:t>
            </w:r>
            <w:r w:rsidR="00192F3C" w:rsidRPr="00BF7D45">
              <w:rPr>
                <w:rFonts w:eastAsia="Times New Roman" w:cstheme="minorHAnsi"/>
                <w:szCs w:val="18"/>
                <w:lang w:eastAsia="hr-HR"/>
              </w:rPr>
              <w:t>odina</w:t>
            </w:r>
          </w:p>
        </w:tc>
        <w:tc>
          <w:tcPr>
            <w:tcW w:w="8226" w:type="dxa"/>
            <w:gridSpan w:val="5"/>
            <w:tcBorders>
              <w:top w:val="single" w:sz="8" w:space="0" w:color="D2232A"/>
              <w:left w:val="single" w:sz="8" w:space="0" w:color="D2232A"/>
              <w:bottom w:val="single" w:sz="4" w:space="0" w:color="D2232A" w:themeColor="accent1"/>
              <w:right w:val="single" w:sz="8" w:space="0" w:color="D2232A"/>
            </w:tcBorders>
            <w:shd w:val="clear" w:color="auto" w:fill="D9D9D9" w:themeFill="background1" w:themeFillShade="D9"/>
            <w:noWrap/>
            <w:vAlign w:val="center"/>
            <w:hideMark/>
          </w:tcPr>
          <w:p w14:paraId="41873835" w14:textId="77777777" w:rsidR="008878A0" w:rsidRPr="00BF7D45" w:rsidRDefault="008878A0" w:rsidP="003331A1">
            <w:pPr>
              <w:spacing w:after="0" w:line="240" w:lineRule="auto"/>
              <w:jc w:val="center"/>
              <w:rPr>
                <w:rFonts w:eastAsia="Times New Roman" w:cstheme="minorHAnsi"/>
                <w:szCs w:val="18"/>
                <w:lang w:eastAsia="hr-HR"/>
              </w:rPr>
            </w:pPr>
            <w:r w:rsidRPr="00BF7D45">
              <w:rPr>
                <w:rFonts w:eastAsia="Times New Roman" w:cstheme="minorHAnsi"/>
                <w:szCs w:val="18"/>
                <w:lang w:eastAsia="hr-HR"/>
              </w:rPr>
              <w:t>RASPROSTRANJENOST KRIMINALITETA</w:t>
            </w:r>
          </w:p>
        </w:tc>
      </w:tr>
      <w:tr w:rsidR="00244386" w:rsidRPr="00BF7D45" w14:paraId="02DAB1F2" w14:textId="77777777" w:rsidTr="00244386">
        <w:trPr>
          <w:trHeight w:val="285"/>
          <w:tblHeader/>
        </w:trPr>
        <w:tc>
          <w:tcPr>
            <w:tcW w:w="0" w:type="auto"/>
            <w:vMerge/>
            <w:tcBorders>
              <w:left w:val="single" w:sz="8" w:space="0" w:color="D2232A"/>
              <w:bottom w:val="single" w:sz="4" w:space="0" w:color="D2232A" w:themeColor="accent1"/>
              <w:right w:val="single" w:sz="8" w:space="0" w:color="D2232A"/>
            </w:tcBorders>
            <w:shd w:val="clear" w:color="auto" w:fill="D9D9D9" w:themeFill="background1" w:themeFillShade="D9"/>
            <w:vAlign w:val="center"/>
            <w:hideMark/>
          </w:tcPr>
          <w:p w14:paraId="182ED6CA" w14:textId="77777777" w:rsidR="00244386" w:rsidRPr="00BF7D45" w:rsidRDefault="00244386" w:rsidP="00941871">
            <w:pPr>
              <w:spacing w:after="0"/>
              <w:rPr>
                <w:rFonts w:eastAsia="Times New Roman" w:cstheme="minorHAnsi"/>
                <w:szCs w:val="18"/>
                <w:lang w:eastAsia="hr-HR"/>
              </w:rPr>
            </w:pPr>
          </w:p>
        </w:tc>
        <w:tc>
          <w:tcPr>
            <w:tcW w:w="1259" w:type="dxa"/>
            <w:tcBorders>
              <w:top w:val="single" w:sz="4" w:space="0" w:color="D2232A" w:themeColor="accent1"/>
              <w:left w:val="single" w:sz="8" w:space="0" w:color="D2232A"/>
              <w:bottom w:val="single" w:sz="4" w:space="0" w:color="D2232A" w:themeColor="accent1"/>
              <w:right w:val="single" w:sz="4" w:space="0" w:color="D2232A" w:themeColor="accent1"/>
            </w:tcBorders>
            <w:shd w:val="clear" w:color="auto" w:fill="D2232A"/>
            <w:vAlign w:val="center"/>
            <w:hideMark/>
          </w:tcPr>
          <w:p w14:paraId="57F2BDC0" w14:textId="77777777" w:rsidR="00244386" w:rsidRPr="00BF7D45" w:rsidRDefault="00244386" w:rsidP="00941871">
            <w:pPr>
              <w:spacing w:after="0" w:line="240" w:lineRule="auto"/>
              <w:rPr>
                <w:rFonts w:eastAsia="Times New Roman" w:cstheme="minorHAnsi"/>
                <w:color w:val="FFFFFF" w:themeColor="background1"/>
                <w:szCs w:val="18"/>
                <w:lang w:eastAsia="hr-HR"/>
              </w:rPr>
            </w:pPr>
            <w:r w:rsidRPr="00BF7D45">
              <w:rPr>
                <w:rFonts w:eastAsia="Times New Roman" w:cstheme="minorHAnsi"/>
                <w:color w:val="FFFFFF" w:themeColor="background1"/>
                <w:szCs w:val="18"/>
                <w:lang w:eastAsia="hr-HR"/>
              </w:rPr>
              <w:t>Krapinsko-zagorska županija</w:t>
            </w:r>
          </w:p>
        </w:tc>
        <w:tc>
          <w:tcPr>
            <w:tcW w:w="1448"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shd w:val="clear" w:color="auto" w:fill="E5E5E5" w:themeFill="text1" w:themeFillTint="33"/>
            <w:vAlign w:val="center"/>
            <w:hideMark/>
          </w:tcPr>
          <w:p w14:paraId="16665BB3" w14:textId="77777777" w:rsidR="00244386" w:rsidRPr="00BF7D45" w:rsidRDefault="00244386" w:rsidP="00891CD3">
            <w:pPr>
              <w:spacing w:after="0" w:line="240" w:lineRule="auto"/>
              <w:jc w:val="center"/>
              <w:rPr>
                <w:rFonts w:eastAsia="Times New Roman" w:cstheme="minorHAnsi"/>
                <w:szCs w:val="18"/>
                <w:lang w:eastAsia="hr-HR"/>
              </w:rPr>
            </w:pPr>
            <w:r w:rsidRPr="00BF7D45">
              <w:rPr>
                <w:rFonts w:eastAsia="Times New Roman" w:cstheme="minorHAnsi"/>
                <w:szCs w:val="18"/>
                <w:lang w:eastAsia="hr-HR"/>
              </w:rPr>
              <w:t>Varaždinska županija</w:t>
            </w:r>
          </w:p>
        </w:tc>
        <w:tc>
          <w:tcPr>
            <w:tcW w:w="1347"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shd w:val="clear" w:color="auto" w:fill="E5E5E5" w:themeFill="text1" w:themeFillTint="33"/>
            <w:vAlign w:val="center"/>
            <w:hideMark/>
          </w:tcPr>
          <w:p w14:paraId="6FD8998C" w14:textId="77777777" w:rsidR="00244386" w:rsidRPr="00BF7D45" w:rsidRDefault="00244386" w:rsidP="00891CD3">
            <w:pPr>
              <w:spacing w:after="0" w:line="240" w:lineRule="auto"/>
              <w:jc w:val="center"/>
              <w:rPr>
                <w:rFonts w:eastAsia="Times New Roman" w:cstheme="minorHAnsi"/>
                <w:szCs w:val="18"/>
                <w:lang w:eastAsia="hr-HR"/>
              </w:rPr>
            </w:pPr>
            <w:r w:rsidRPr="00BF7D45">
              <w:rPr>
                <w:rFonts w:eastAsia="Times New Roman" w:cstheme="minorHAnsi"/>
                <w:szCs w:val="18"/>
                <w:lang w:eastAsia="hr-HR"/>
              </w:rPr>
              <w:t>Međimurska županija</w:t>
            </w:r>
          </w:p>
        </w:tc>
        <w:tc>
          <w:tcPr>
            <w:tcW w:w="1987"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shd w:val="clear" w:color="auto" w:fill="E5E5E5" w:themeFill="text1" w:themeFillTint="33"/>
            <w:vAlign w:val="center"/>
            <w:hideMark/>
          </w:tcPr>
          <w:p w14:paraId="605B8241" w14:textId="476F2A97" w:rsidR="00244386" w:rsidRPr="00BF7D45" w:rsidRDefault="00244386" w:rsidP="00891CD3">
            <w:pPr>
              <w:spacing w:after="0" w:line="240" w:lineRule="auto"/>
              <w:jc w:val="center"/>
              <w:rPr>
                <w:rFonts w:eastAsia="Times New Roman" w:cstheme="minorHAnsi"/>
                <w:szCs w:val="18"/>
                <w:lang w:eastAsia="hr-HR"/>
              </w:rPr>
            </w:pPr>
            <w:r w:rsidRPr="00BF7D45">
              <w:rPr>
                <w:rFonts w:eastAsia="Times New Roman" w:cstheme="minorHAnsi"/>
                <w:szCs w:val="18"/>
                <w:lang w:eastAsia="hr-HR"/>
              </w:rPr>
              <w:t>Zagrebačka županija i Grad Zagreb</w:t>
            </w:r>
          </w:p>
        </w:tc>
        <w:tc>
          <w:tcPr>
            <w:tcW w:w="2183" w:type="dxa"/>
            <w:tcBorders>
              <w:top w:val="single" w:sz="4" w:space="0" w:color="D2232A" w:themeColor="accent1"/>
              <w:left w:val="single" w:sz="4" w:space="0" w:color="D2232A" w:themeColor="accent1"/>
              <w:bottom w:val="single" w:sz="4" w:space="0" w:color="D2232A" w:themeColor="accent1"/>
              <w:right w:val="single" w:sz="8" w:space="0" w:color="D2232A"/>
            </w:tcBorders>
            <w:shd w:val="clear" w:color="auto" w:fill="E5E5E5" w:themeFill="text1" w:themeFillTint="33"/>
            <w:vAlign w:val="center"/>
            <w:hideMark/>
          </w:tcPr>
          <w:p w14:paraId="31A0DA12" w14:textId="77777777" w:rsidR="00244386" w:rsidRPr="00BF7D45" w:rsidRDefault="00244386" w:rsidP="00891CD3">
            <w:pPr>
              <w:spacing w:after="0" w:line="240" w:lineRule="auto"/>
              <w:jc w:val="center"/>
              <w:rPr>
                <w:rFonts w:eastAsia="Times New Roman" w:cstheme="minorHAnsi"/>
                <w:szCs w:val="18"/>
                <w:lang w:eastAsia="hr-HR"/>
              </w:rPr>
            </w:pPr>
            <w:r w:rsidRPr="00BF7D45">
              <w:rPr>
                <w:rFonts w:eastAsia="Times New Roman" w:cstheme="minorHAnsi"/>
                <w:szCs w:val="18"/>
                <w:lang w:eastAsia="hr-HR"/>
              </w:rPr>
              <w:t>Republika Hrvatska</w:t>
            </w:r>
          </w:p>
        </w:tc>
      </w:tr>
      <w:tr w:rsidR="00244386" w:rsidRPr="00BF7D45" w14:paraId="46004895" w14:textId="77777777" w:rsidTr="00244386">
        <w:trPr>
          <w:trHeight w:val="285"/>
        </w:trPr>
        <w:tc>
          <w:tcPr>
            <w:tcW w:w="980" w:type="dxa"/>
            <w:tcBorders>
              <w:top w:val="single" w:sz="4" w:space="0" w:color="D2232A" w:themeColor="accent1"/>
              <w:left w:val="single" w:sz="8" w:space="0" w:color="D2232A"/>
              <w:bottom w:val="single" w:sz="8" w:space="0" w:color="F3CFC1"/>
              <w:right w:val="single" w:sz="8" w:space="0" w:color="D2232A"/>
            </w:tcBorders>
            <w:shd w:val="clear" w:color="auto" w:fill="auto"/>
            <w:noWrap/>
            <w:vAlign w:val="center"/>
            <w:hideMark/>
          </w:tcPr>
          <w:p w14:paraId="1AE93661" w14:textId="1322110E" w:rsidR="00244386" w:rsidRPr="00BF7D45" w:rsidRDefault="00244386" w:rsidP="00941871">
            <w:pPr>
              <w:spacing w:after="0" w:line="240" w:lineRule="auto"/>
              <w:rPr>
                <w:rFonts w:eastAsia="Times New Roman" w:cstheme="minorHAnsi"/>
                <w:szCs w:val="18"/>
                <w:lang w:eastAsia="hr-HR"/>
              </w:rPr>
            </w:pPr>
            <w:r w:rsidRPr="00BF7D45">
              <w:rPr>
                <w:rFonts w:eastAsia="Times New Roman" w:cstheme="minorHAnsi"/>
                <w:szCs w:val="18"/>
                <w:lang w:eastAsia="hr-HR"/>
              </w:rPr>
              <w:t>2014.</w:t>
            </w:r>
          </w:p>
        </w:tc>
        <w:tc>
          <w:tcPr>
            <w:tcW w:w="1259" w:type="dxa"/>
            <w:tcBorders>
              <w:top w:val="single" w:sz="4" w:space="0" w:color="D2232A" w:themeColor="accent1"/>
              <w:left w:val="single" w:sz="8" w:space="0" w:color="D2232A"/>
              <w:bottom w:val="single" w:sz="8" w:space="0" w:color="F3CFC1"/>
              <w:right w:val="single" w:sz="8" w:space="0" w:color="D2232A"/>
            </w:tcBorders>
            <w:vAlign w:val="center"/>
            <w:hideMark/>
          </w:tcPr>
          <w:p w14:paraId="7FD7FA2F"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945</w:t>
            </w:r>
          </w:p>
        </w:tc>
        <w:tc>
          <w:tcPr>
            <w:tcW w:w="1448" w:type="dxa"/>
            <w:tcBorders>
              <w:top w:val="single" w:sz="4" w:space="0" w:color="D2232A" w:themeColor="accent1"/>
              <w:left w:val="single" w:sz="8" w:space="0" w:color="D2232A"/>
              <w:bottom w:val="single" w:sz="8" w:space="0" w:color="F3CFC1"/>
              <w:right w:val="single" w:sz="8" w:space="0" w:color="D2232A"/>
            </w:tcBorders>
            <w:noWrap/>
            <w:vAlign w:val="center"/>
            <w:hideMark/>
          </w:tcPr>
          <w:p w14:paraId="1BA5D0D7"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1.816</w:t>
            </w:r>
          </w:p>
        </w:tc>
        <w:tc>
          <w:tcPr>
            <w:tcW w:w="1347" w:type="dxa"/>
            <w:tcBorders>
              <w:top w:val="single" w:sz="4" w:space="0" w:color="D2232A" w:themeColor="accent1"/>
              <w:left w:val="single" w:sz="8" w:space="0" w:color="D2232A"/>
              <w:bottom w:val="single" w:sz="8" w:space="0" w:color="F3CFC1"/>
              <w:right w:val="single" w:sz="8" w:space="0" w:color="D2232A"/>
            </w:tcBorders>
            <w:noWrap/>
            <w:vAlign w:val="center"/>
            <w:hideMark/>
          </w:tcPr>
          <w:p w14:paraId="43499402"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1.593</w:t>
            </w:r>
          </w:p>
        </w:tc>
        <w:tc>
          <w:tcPr>
            <w:tcW w:w="1987" w:type="dxa"/>
            <w:tcBorders>
              <w:top w:val="single" w:sz="4" w:space="0" w:color="D2232A" w:themeColor="accent1"/>
              <w:left w:val="single" w:sz="8" w:space="0" w:color="D2232A"/>
              <w:bottom w:val="single" w:sz="8" w:space="0" w:color="F3CFC1"/>
              <w:right w:val="single" w:sz="8" w:space="0" w:color="D2232A"/>
            </w:tcBorders>
            <w:noWrap/>
            <w:vAlign w:val="center"/>
            <w:hideMark/>
          </w:tcPr>
          <w:p w14:paraId="75996E37" w14:textId="00A68D55" w:rsidR="00244386" w:rsidRPr="00BF7D45" w:rsidRDefault="00244386" w:rsidP="00B44EAA">
            <w:pPr>
              <w:spacing w:after="0" w:line="240" w:lineRule="auto"/>
              <w:jc w:val="center"/>
              <w:rPr>
                <w:rFonts w:eastAsia="Times New Roman" w:cstheme="minorHAnsi"/>
                <w:color w:val="000000"/>
                <w:szCs w:val="18"/>
                <w:lang w:eastAsia="hr-HR"/>
              </w:rPr>
            </w:pPr>
            <w:r w:rsidRPr="00BF7D45">
              <w:rPr>
                <w:rFonts w:eastAsia="Times New Roman" w:cstheme="minorHAnsi"/>
                <w:color w:val="000000"/>
                <w:szCs w:val="18"/>
                <w:lang w:eastAsia="hr-HR"/>
              </w:rPr>
              <w:t>16.165</w:t>
            </w:r>
          </w:p>
        </w:tc>
        <w:tc>
          <w:tcPr>
            <w:tcW w:w="2183" w:type="dxa"/>
            <w:tcBorders>
              <w:top w:val="single" w:sz="4" w:space="0" w:color="D2232A" w:themeColor="accent1"/>
              <w:left w:val="single" w:sz="8" w:space="0" w:color="D2232A"/>
              <w:bottom w:val="single" w:sz="8" w:space="0" w:color="F3CFC1"/>
              <w:right w:val="single" w:sz="8" w:space="0" w:color="D2232A"/>
            </w:tcBorders>
            <w:noWrap/>
            <w:vAlign w:val="center"/>
            <w:hideMark/>
          </w:tcPr>
          <w:p w14:paraId="1A262FB1"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56.851</w:t>
            </w:r>
          </w:p>
        </w:tc>
      </w:tr>
      <w:tr w:rsidR="00244386" w:rsidRPr="00BF7D45" w14:paraId="2ADFB0E6" w14:textId="77777777" w:rsidTr="00244386">
        <w:trPr>
          <w:trHeight w:val="285"/>
        </w:trPr>
        <w:tc>
          <w:tcPr>
            <w:tcW w:w="980" w:type="dxa"/>
            <w:tcBorders>
              <w:top w:val="single" w:sz="8" w:space="0" w:color="F3CFC1"/>
              <w:left w:val="single" w:sz="8" w:space="0" w:color="D2232A"/>
              <w:bottom w:val="single" w:sz="8" w:space="0" w:color="F3CFC1"/>
              <w:right w:val="single" w:sz="8" w:space="0" w:color="D2232A"/>
            </w:tcBorders>
            <w:shd w:val="clear" w:color="auto" w:fill="auto"/>
            <w:noWrap/>
            <w:vAlign w:val="center"/>
            <w:hideMark/>
          </w:tcPr>
          <w:p w14:paraId="13ED4736" w14:textId="1CF4F644" w:rsidR="00244386" w:rsidRPr="00BF7D45" w:rsidRDefault="00244386" w:rsidP="00941871">
            <w:pPr>
              <w:spacing w:after="0" w:line="240" w:lineRule="auto"/>
              <w:rPr>
                <w:rFonts w:eastAsia="Times New Roman" w:cstheme="minorHAnsi"/>
                <w:szCs w:val="18"/>
                <w:lang w:eastAsia="hr-HR"/>
              </w:rPr>
            </w:pPr>
            <w:r w:rsidRPr="00BF7D45">
              <w:rPr>
                <w:rFonts w:eastAsia="Times New Roman" w:cstheme="minorHAnsi"/>
                <w:szCs w:val="18"/>
                <w:lang w:eastAsia="hr-HR"/>
              </w:rPr>
              <w:t>2015.</w:t>
            </w:r>
          </w:p>
        </w:tc>
        <w:tc>
          <w:tcPr>
            <w:tcW w:w="1259" w:type="dxa"/>
            <w:tcBorders>
              <w:top w:val="single" w:sz="8" w:space="0" w:color="F3CFC1"/>
              <w:left w:val="single" w:sz="8" w:space="0" w:color="D2232A"/>
              <w:bottom w:val="single" w:sz="8" w:space="0" w:color="F3CFC1"/>
              <w:right w:val="single" w:sz="8" w:space="0" w:color="D2232A"/>
            </w:tcBorders>
            <w:vAlign w:val="center"/>
            <w:hideMark/>
          </w:tcPr>
          <w:p w14:paraId="10D1963F"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1.086</w:t>
            </w:r>
          </w:p>
        </w:tc>
        <w:tc>
          <w:tcPr>
            <w:tcW w:w="1448" w:type="dxa"/>
            <w:tcBorders>
              <w:top w:val="single" w:sz="8" w:space="0" w:color="F3CFC1"/>
              <w:left w:val="single" w:sz="8" w:space="0" w:color="D2232A"/>
              <w:bottom w:val="single" w:sz="8" w:space="0" w:color="F3CFC1"/>
              <w:right w:val="single" w:sz="8" w:space="0" w:color="D2232A"/>
            </w:tcBorders>
            <w:noWrap/>
            <w:vAlign w:val="center"/>
            <w:hideMark/>
          </w:tcPr>
          <w:p w14:paraId="537DA822"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1.894</w:t>
            </w:r>
          </w:p>
        </w:tc>
        <w:tc>
          <w:tcPr>
            <w:tcW w:w="1347" w:type="dxa"/>
            <w:tcBorders>
              <w:top w:val="single" w:sz="8" w:space="0" w:color="F3CFC1"/>
              <w:left w:val="single" w:sz="8" w:space="0" w:color="D2232A"/>
              <w:bottom w:val="single" w:sz="8" w:space="0" w:color="F3CFC1"/>
              <w:right w:val="single" w:sz="8" w:space="0" w:color="D2232A"/>
            </w:tcBorders>
            <w:noWrap/>
            <w:vAlign w:val="center"/>
            <w:hideMark/>
          </w:tcPr>
          <w:p w14:paraId="16A7F180"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1.532</w:t>
            </w:r>
          </w:p>
        </w:tc>
        <w:tc>
          <w:tcPr>
            <w:tcW w:w="1987" w:type="dxa"/>
            <w:tcBorders>
              <w:top w:val="single" w:sz="8" w:space="0" w:color="F3CFC1"/>
              <w:left w:val="single" w:sz="8" w:space="0" w:color="D2232A"/>
              <w:bottom w:val="single" w:sz="8" w:space="0" w:color="F3CFC1"/>
              <w:right w:val="single" w:sz="8" w:space="0" w:color="D2232A"/>
            </w:tcBorders>
            <w:noWrap/>
            <w:vAlign w:val="center"/>
            <w:hideMark/>
          </w:tcPr>
          <w:p w14:paraId="4B152F07" w14:textId="5C388DD3" w:rsidR="00244386" w:rsidRPr="00BF7D45" w:rsidRDefault="00244386" w:rsidP="00B44EAA">
            <w:pPr>
              <w:spacing w:after="0" w:line="240" w:lineRule="auto"/>
              <w:jc w:val="center"/>
              <w:rPr>
                <w:rFonts w:eastAsia="Times New Roman" w:cstheme="minorHAnsi"/>
                <w:color w:val="000000"/>
                <w:szCs w:val="18"/>
                <w:lang w:eastAsia="hr-HR"/>
              </w:rPr>
            </w:pPr>
            <w:r w:rsidRPr="00BF7D45">
              <w:rPr>
                <w:rFonts w:eastAsia="Times New Roman" w:cstheme="minorHAnsi"/>
                <w:color w:val="000000"/>
                <w:szCs w:val="18"/>
                <w:lang w:eastAsia="hr-HR"/>
              </w:rPr>
              <w:t>16.203</w:t>
            </w:r>
          </w:p>
        </w:tc>
        <w:tc>
          <w:tcPr>
            <w:tcW w:w="2183" w:type="dxa"/>
            <w:tcBorders>
              <w:top w:val="single" w:sz="8" w:space="0" w:color="F3CFC1"/>
              <w:left w:val="single" w:sz="8" w:space="0" w:color="D2232A"/>
              <w:bottom w:val="single" w:sz="8" w:space="0" w:color="F3CFC1"/>
              <w:right w:val="single" w:sz="8" w:space="0" w:color="D2232A"/>
            </w:tcBorders>
            <w:noWrap/>
            <w:vAlign w:val="center"/>
            <w:hideMark/>
          </w:tcPr>
          <w:p w14:paraId="06BA0F0A"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59.233</w:t>
            </w:r>
          </w:p>
        </w:tc>
      </w:tr>
      <w:tr w:rsidR="00244386" w:rsidRPr="00BF7D45" w14:paraId="74236F32" w14:textId="77777777" w:rsidTr="00244386">
        <w:trPr>
          <w:trHeight w:val="285"/>
        </w:trPr>
        <w:tc>
          <w:tcPr>
            <w:tcW w:w="980" w:type="dxa"/>
            <w:tcBorders>
              <w:top w:val="single" w:sz="8" w:space="0" w:color="F3CFC1"/>
              <w:left w:val="single" w:sz="8" w:space="0" w:color="D2232A"/>
              <w:bottom w:val="single" w:sz="8" w:space="0" w:color="F3CFC1"/>
              <w:right w:val="single" w:sz="8" w:space="0" w:color="D2232A"/>
            </w:tcBorders>
            <w:shd w:val="clear" w:color="auto" w:fill="auto"/>
            <w:noWrap/>
            <w:vAlign w:val="center"/>
            <w:hideMark/>
          </w:tcPr>
          <w:p w14:paraId="62923F38" w14:textId="7C9860AC" w:rsidR="00244386" w:rsidRPr="00BF7D45" w:rsidRDefault="00244386" w:rsidP="00941871">
            <w:pPr>
              <w:spacing w:after="0" w:line="240" w:lineRule="auto"/>
              <w:rPr>
                <w:rFonts w:eastAsia="Times New Roman" w:cstheme="minorHAnsi"/>
                <w:szCs w:val="18"/>
                <w:lang w:eastAsia="hr-HR"/>
              </w:rPr>
            </w:pPr>
            <w:r w:rsidRPr="00BF7D45">
              <w:rPr>
                <w:rFonts w:eastAsia="Times New Roman" w:cstheme="minorHAnsi"/>
                <w:szCs w:val="18"/>
                <w:lang w:eastAsia="hr-HR"/>
              </w:rPr>
              <w:t>2016.</w:t>
            </w:r>
          </w:p>
        </w:tc>
        <w:tc>
          <w:tcPr>
            <w:tcW w:w="1259" w:type="dxa"/>
            <w:tcBorders>
              <w:top w:val="single" w:sz="8" w:space="0" w:color="F3CFC1"/>
              <w:left w:val="single" w:sz="8" w:space="0" w:color="D2232A"/>
              <w:bottom w:val="single" w:sz="8" w:space="0" w:color="F3CFC1"/>
              <w:right w:val="single" w:sz="8" w:space="0" w:color="D2232A"/>
            </w:tcBorders>
            <w:vAlign w:val="center"/>
            <w:hideMark/>
          </w:tcPr>
          <w:p w14:paraId="1F90351E"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1.065</w:t>
            </w:r>
          </w:p>
        </w:tc>
        <w:tc>
          <w:tcPr>
            <w:tcW w:w="1448" w:type="dxa"/>
            <w:tcBorders>
              <w:top w:val="single" w:sz="8" w:space="0" w:color="F3CFC1"/>
              <w:left w:val="single" w:sz="8" w:space="0" w:color="D2232A"/>
              <w:bottom w:val="single" w:sz="8" w:space="0" w:color="F3CFC1"/>
              <w:right w:val="single" w:sz="8" w:space="0" w:color="D2232A"/>
            </w:tcBorders>
            <w:noWrap/>
            <w:vAlign w:val="center"/>
            <w:hideMark/>
          </w:tcPr>
          <w:p w14:paraId="7A527758"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1.798</w:t>
            </w:r>
          </w:p>
        </w:tc>
        <w:tc>
          <w:tcPr>
            <w:tcW w:w="1347" w:type="dxa"/>
            <w:tcBorders>
              <w:top w:val="single" w:sz="8" w:space="0" w:color="F3CFC1"/>
              <w:left w:val="single" w:sz="8" w:space="0" w:color="D2232A"/>
              <w:bottom w:val="single" w:sz="8" w:space="0" w:color="F3CFC1"/>
              <w:right w:val="single" w:sz="8" w:space="0" w:color="D2232A"/>
            </w:tcBorders>
            <w:noWrap/>
            <w:vAlign w:val="center"/>
            <w:hideMark/>
          </w:tcPr>
          <w:p w14:paraId="48B954B1"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1.256</w:t>
            </w:r>
          </w:p>
        </w:tc>
        <w:tc>
          <w:tcPr>
            <w:tcW w:w="1987" w:type="dxa"/>
            <w:tcBorders>
              <w:top w:val="single" w:sz="8" w:space="0" w:color="F3CFC1"/>
              <w:left w:val="single" w:sz="8" w:space="0" w:color="D2232A"/>
              <w:bottom w:val="single" w:sz="8" w:space="0" w:color="F3CFC1"/>
              <w:right w:val="single" w:sz="8" w:space="0" w:color="D2232A"/>
            </w:tcBorders>
            <w:noWrap/>
            <w:vAlign w:val="center"/>
            <w:hideMark/>
          </w:tcPr>
          <w:p w14:paraId="6ADBF717" w14:textId="3C53A4ED" w:rsidR="00244386" w:rsidRPr="00BF7D45" w:rsidRDefault="00244386" w:rsidP="00B44EAA">
            <w:pPr>
              <w:spacing w:after="0" w:line="240" w:lineRule="auto"/>
              <w:jc w:val="center"/>
              <w:rPr>
                <w:rFonts w:eastAsia="Times New Roman" w:cstheme="minorHAnsi"/>
                <w:color w:val="000000"/>
                <w:szCs w:val="18"/>
                <w:lang w:eastAsia="hr-HR"/>
              </w:rPr>
            </w:pPr>
            <w:r w:rsidRPr="00BF7D45">
              <w:rPr>
                <w:rFonts w:eastAsia="Times New Roman" w:cstheme="minorHAnsi"/>
                <w:color w:val="000000"/>
                <w:szCs w:val="18"/>
                <w:lang w:eastAsia="hr-HR"/>
              </w:rPr>
              <w:t>16.157</w:t>
            </w:r>
          </w:p>
        </w:tc>
        <w:tc>
          <w:tcPr>
            <w:tcW w:w="2183" w:type="dxa"/>
            <w:tcBorders>
              <w:top w:val="single" w:sz="8" w:space="0" w:color="F3CFC1"/>
              <w:left w:val="single" w:sz="8" w:space="0" w:color="D2232A"/>
              <w:bottom w:val="single" w:sz="8" w:space="0" w:color="F3CFC1"/>
              <w:right w:val="single" w:sz="8" w:space="0" w:color="D2232A"/>
            </w:tcBorders>
            <w:noWrap/>
            <w:vAlign w:val="center"/>
            <w:hideMark/>
          </w:tcPr>
          <w:p w14:paraId="13A32086"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55.824</w:t>
            </w:r>
          </w:p>
        </w:tc>
      </w:tr>
      <w:tr w:rsidR="00244386" w:rsidRPr="00BF7D45" w14:paraId="58384685" w14:textId="77777777" w:rsidTr="00244386">
        <w:trPr>
          <w:trHeight w:val="285"/>
        </w:trPr>
        <w:tc>
          <w:tcPr>
            <w:tcW w:w="980" w:type="dxa"/>
            <w:tcBorders>
              <w:top w:val="single" w:sz="8" w:space="0" w:color="F3CFC1"/>
              <w:left w:val="single" w:sz="8" w:space="0" w:color="D2232A"/>
              <w:bottom w:val="single" w:sz="8" w:space="0" w:color="F3CFC1"/>
              <w:right w:val="single" w:sz="8" w:space="0" w:color="D2232A"/>
            </w:tcBorders>
            <w:shd w:val="clear" w:color="auto" w:fill="auto"/>
            <w:noWrap/>
            <w:vAlign w:val="center"/>
            <w:hideMark/>
          </w:tcPr>
          <w:p w14:paraId="0E6DCC0D" w14:textId="7CC19BBE" w:rsidR="00244386" w:rsidRPr="00BF7D45" w:rsidRDefault="00244386" w:rsidP="00941871">
            <w:pPr>
              <w:spacing w:after="0" w:line="240" w:lineRule="auto"/>
              <w:rPr>
                <w:rFonts w:eastAsia="Times New Roman" w:cstheme="minorHAnsi"/>
                <w:szCs w:val="18"/>
                <w:lang w:eastAsia="hr-HR"/>
              </w:rPr>
            </w:pPr>
            <w:r w:rsidRPr="00BF7D45">
              <w:rPr>
                <w:rFonts w:eastAsia="Times New Roman" w:cstheme="minorHAnsi"/>
                <w:szCs w:val="18"/>
                <w:lang w:eastAsia="hr-HR"/>
              </w:rPr>
              <w:t>2017.</w:t>
            </w:r>
          </w:p>
        </w:tc>
        <w:tc>
          <w:tcPr>
            <w:tcW w:w="1259" w:type="dxa"/>
            <w:tcBorders>
              <w:top w:val="single" w:sz="8" w:space="0" w:color="F3CFC1"/>
              <w:left w:val="single" w:sz="8" w:space="0" w:color="D2232A"/>
              <w:bottom w:val="single" w:sz="8" w:space="0" w:color="F3CFC1"/>
              <w:right w:val="single" w:sz="8" w:space="0" w:color="D2232A"/>
            </w:tcBorders>
            <w:vAlign w:val="center"/>
            <w:hideMark/>
          </w:tcPr>
          <w:p w14:paraId="2539BE01"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1.074</w:t>
            </w:r>
          </w:p>
        </w:tc>
        <w:tc>
          <w:tcPr>
            <w:tcW w:w="1448" w:type="dxa"/>
            <w:tcBorders>
              <w:top w:val="single" w:sz="8" w:space="0" w:color="F3CFC1"/>
              <w:left w:val="single" w:sz="8" w:space="0" w:color="D2232A"/>
              <w:bottom w:val="single" w:sz="8" w:space="0" w:color="F3CFC1"/>
              <w:right w:val="single" w:sz="8" w:space="0" w:color="D2232A"/>
            </w:tcBorders>
            <w:noWrap/>
            <w:vAlign w:val="center"/>
            <w:hideMark/>
          </w:tcPr>
          <w:p w14:paraId="333AF771"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1.633</w:t>
            </w:r>
          </w:p>
        </w:tc>
        <w:tc>
          <w:tcPr>
            <w:tcW w:w="1347" w:type="dxa"/>
            <w:tcBorders>
              <w:top w:val="single" w:sz="8" w:space="0" w:color="F3CFC1"/>
              <w:left w:val="single" w:sz="8" w:space="0" w:color="D2232A"/>
              <w:bottom w:val="single" w:sz="8" w:space="0" w:color="F3CFC1"/>
              <w:right w:val="single" w:sz="8" w:space="0" w:color="D2232A"/>
            </w:tcBorders>
            <w:noWrap/>
            <w:vAlign w:val="center"/>
            <w:hideMark/>
          </w:tcPr>
          <w:p w14:paraId="78338409"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1.204</w:t>
            </w:r>
          </w:p>
        </w:tc>
        <w:tc>
          <w:tcPr>
            <w:tcW w:w="1987" w:type="dxa"/>
            <w:tcBorders>
              <w:top w:val="single" w:sz="8" w:space="0" w:color="F3CFC1"/>
              <w:left w:val="single" w:sz="8" w:space="0" w:color="D2232A"/>
              <w:bottom w:val="single" w:sz="8" w:space="0" w:color="F3CFC1"/>
              <w:right w:val="single" w:sz="8" w:space="0" w:color="D2232A"/>
            </w:tcBorders>
            <w:noWrap/>
            <w:vAlign w:val="center"/>
            <w:hideMark/>
          </w:tcPr>
          <w:p w14:paraId="764F42AB" w14:textId="1C51B19B" w:rsidR="00244386" w:rsidRPr="00BF7D45" w:rsidRDefault="00244386" w:rsidP="00B44EAA">
            <w:pPr>
              <w:spacing w:after="0" w:line="240" w:lineRule="auto"/>
              <w:jc w:val="center"/>
              <w:rPr>
                <w:rFonts w:eastAsia="Times New Roman" w:cstheme="minorHAnsi"/>
                <w:color w:val="000000"/>
                <w:szCs w:val="18"/>
                <w:lang w:eastAsia="hr-HR"/>
              </w:rPr>
            </w:pPr>
            <w:r w:rsidRPr="00BF7D45">
              <w:rPr>
                <w:rFonts w:eastAsia="Times New Roman" w:cstheme="minorHAnsi"/>
                <w:color w:val="000000"/>
                <w:szCs w:val="18"/>
                <w:lang w:eastAsia="hr-HR"/>
              </w:rPr>
              <w:t>15.360</w:t>
            </w:r>
          </w:p>
        </w:tc>
        <w:tc>
          <w:tcPr>
            <w:tcW w:w="2183" w:type="dxa"/>
            <w:tcBorders>
              <w:top w:val="single" w:sz="8" w:space="0" w:color="F3CFC1"/>
              <w:left w:val="single" w:sz="8" w:space="0" w:color="D2232A"/>
              <w:bottom w:val="single" w:sz="8" w:space="0" w:color="F3CFC1"/>
              <w:right w:val="single" w:sz="8" w:space="0" w:color="D2232A"/>
            </w:tcBorders>
            <w:noWrap/>
            <w:vAlign w:val="center"/>
            <w:hideMark/>
          </w:tcPr>
          <w:p w14:paraId="59BD8F88"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54.246</w:t>
            </w:r>
          </w:p>
        </w:tc>
      </w:tr>
      <w:tr w:rsidR="00244386" w:rsidRPr="00BF7D45" w14:paraId="3C0788B7" w14:textId="77777777" w:rsidTr="00244386">
        <w:trPr>
          <w:trHeight w:val="285"/>
        </w:trPr>
        <w:tc>
          <w:tcPr>
            <w:tcW w:w="980" w:type="dxa"/>
            <w:tcBorders>
              <w:top w:val="single" w:sz="8" w:space="0" w:color="F3CFC1"/>
              <w:left w:val="single" w:sz="8" w:space="0" w:color="D2232A"/>
              <w:bottom w:val="single" w:sz="8" w:space="0" w:color="F3CFC1"/>
              <w:right w:val="single" w:sz="8" w:space="0" w:color="D2232A"/>
            </w:tcBorders>
            <w:shd w:val="clear" w:color="auto" w:fill="auto"/>
            <w:noWrap/>
            <w:vAlign w:val="center"/>
            <w:hideMark/>
          </w:tcPr>
          <w:p w14:paraId="01F64EA9" w14:textId="2A80D291" w:rsidR="00244386" w:rsidRPr="00BF7D45" w:rsidRDefault="00244386" w:rsidP="00941871">
            <w:pPr>
              <w:spacing w:after="0" w:line="240" w:lineRule="auto"/>
              <w:rPr>
                <w:rFonts w:eastAsia="Times New Roman" w:cstheme="minorHAnsi"/>
                <w:szCs w:val="18"/>
                <w:lang w:eastAsia="hr-HR"/>
              </w:rPr>
            </w:pPr>
            <w:r w:rsidRPr="00BF7D45">
              <w:rPr>
                <w:rFonts w:eastAsia="Times New Roman" w:cstheme="minorHAnsi"/>
                <w:szCs w:val="18"/>
                <w:lang w:eastAsia="hr-HR"/>
              </w:rPr>
              <w:t>2018.</w:t>
            </w:r>
          </w:p>
        </w:tc>
        <w:tc>
          <w:tcPr>
            <w:tcW w:w="1259" w:type="dxa"/>
            <w:tcBorders>
              <w:top w:val="single" w:sz="8" w:space="0" w:color="F3CFC1"/>
              <w:left w:val="single" w:sz="8" w:space="0" w:color="D2232A"/>
              <w:bottom w:val="single" w:sz="8" w:space="0" w:color="F3CFC1"/>
              <w:right w:val="single" w:sz="8" w:space="0" w:color="D2232A"/>
            </w:tcBorders>
            <w:vAlign w:val="center"/>
            <w:hideMark/>
          </w:tcPr>
          <w:p w14:paraId="613463E9"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814</w:t>
            </w:r>
          </w:p>
        </w:tc>
        <w:tc>
          <w:tcPr>
            <w:tcW w:w="1448" w:type="dxa"/>
            <w:tcBorders>
              <w:top w:val="single" w:sz="8" w:space="0" w:color="F3CFC1"/>
              <w:left w:val="single" w:sz="8" w:space="0" w:color="D2232A"/>
              <w:bottom w:val="single" w:sz="8" w:space="0" w:color="F3CFC1"/>
              <w:right w:val="single" w:sz="8" w:space="0" w:color="D2232A"/>
            </w:tcBorders>
            <w:noWrap/>
            <w:vAlign w:val="center"/>
            <w:hideMark/>
          </w:tcPr>
          <w:p w14:paraId="31E9DC88"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1.806</w:t>
            </w:r>
          </w:p>
        </w:tc>
        <w:tc>
          <w:tcPr>
            <w:tcW w:w="1347" w:type="dxa"/>
            <w:tcBorders>
              <w:top w:val="single" w:sz="8" w:space="0" w:color="F3CFC1"/>
              <w:left w:val="single" w:sz="8" w:space="0" w:color="D2232A"/>
              <w:bottom w:val="single" w:sz="8" w:space="0" w:color="F3CFC1"/>
              <w:right w:val="single" w:sz="8" w:space="0" w:color="D2232A"/>
            </w:tcBorders>
            <w:noWrap/>
            <w:vAlign w:val="center"/>
            <w:hideMark/>
          </w:tcPr>
          <w:p w14:paraId="73BE13B0"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1.053</w:t>
            </w:r>
          </w:p>
        </w:tc>
        <w:tc>
          <w:tcPr>
            <w:tcW w:w="1987" w:type="dxa"/>
            <w:tcBorders>
              <w:top w:val="single" w:sz="8" w:space="0" w:color="F3CFC1"/>
              <w:left w:val="single" w:sz="8" w:space="0" w:color="D2232A"/>
              <w:bottom w:val="single" w:sz="8" w:space="0" w:color="F3CFC1"/>
              <w:right w:val="single" w:sz="8" w:space="0" w:color="D2232A"/>
            </w:tcBorders>
            <w:noWrap/>
            <w:vAlign w:val="center"/>
            <w:hideMark/>
          </w:tcPr>
          <w:p w14:paraId="2E51EAF4" w14:textId="0FAEB663" w:rsidR="00244386" w:rsidRPr="00BF7D45" w:rsidRDefault="00244386" w:rsidP="00B44EAA">
            <w:pPr>
              <w:spacing w:after="0" w:line="240" w:lineRule="auto"/>
              <w:jc w:val="center"/>
              <w:rPr>
                <w:rFonts w:eastAsia="Times New Roman" w:cstheme="minorHAnsi"/>
                <w:color w:val="000000"/>
                <w:szCs w:val="18"/>
                <w:lang w:eastAsia="hr-HR"/>
              </w:rPr>
            </w:pPr>
            <w:r w:rsidRPr="00BF7D45">
              <w:rPr>
                <w:rFonts w:eastAsia="Times New Roman" w:cstheme="minorHAnsi"/>
                <w:color w:val="000000"/>
                <w:szCs w:val="18"/>
                <w:lang w:eastAsia="hr-HR"/>
              </w:rPr>
              <w:t>14.925</w:t>
            </w:r>
          </w:p>
        </w:tc>
        <w:tc>
          <w:tcPr>
            <w:tcW w:w="2183" w:type="dxa"/>
            <w:tcBorders>
              <w:top w:val="single" w:sz="8" w:space="0" w:color="F3CFC1"/>
              <w:left w:val="single" w:sz="8" w:space="0" w:color="D2232A"/>
              <w:bottom w:val="single" w:sz="8" w:space="0" w:color="F3CFC1"/>
              <w:right w:val="single" w:sz="8" w:space="0" w:color="D2232A"/>
            </w:tcBorders>
            <w:noWrap/>
            <w:vAlign w:val="center"/>
            <w:hideMark/>
          </w:tcPr>
          <w:p w14:paraId="17AF52C8" w14:textId="77777777" w:rsidR="00244386" w:rsidRPr="00BF7D45" w:rsidRDefault="00244386" w:rsidP="003331A1">
            <w:pPr>
              <w:spacing w:after="0" w:line="240" w:lineRule="auto"/>
              <w:jc w:val="right"/>
              <w:rPr>
                <w:rFonts w:eastAsia="Times New Roman" w:cstheme="minorHAnsi"/>
                <w:color w:val="000000"/>
                <w:szCs w:val="18"/>
                <w:lang w:eastAsia="hr-HR"/>
              </w:rPr>
            </w:pPr>
            <w:r w:rsidRPr="00BF7D45">
              <w:rPr>
                <w:rFonts w:eastAsia="Times New Roman" w:cstheme="minorHAnsi"/>
                <w:color w:val="000000"/>
                <w:szCs w:val="18"/>
                <w:lang w:eastAsia="hr-HR"/>
              </w:rPr>
              <w:t>51.287</w:t>
            </w:r>
          </w:p>
        </w:tc>
      </w:tr>
      <w:tr w:rsidR="00244386" w:rsidRPr="00BF7D45" w14:paraId="457B194B" w14:textId="77777777" w:rsidTr="00244386">
        <w:trPr>
          <w:trHeight w:val="285"/>
        </w:trPr>
        <w:tc>
          <w:tcPr>
            <w:tcW w:w="980" w:type="dxa"/>
            <w:tcBorders>
              <w:top w:val="single" w:sz="8" w:space="0" w:color="F3CFC1"/>
              <w:left w:val="single" w:sz="8" w:space="0" w:color="D2232A"/>
              <w:bottom w:val="single" w:sz="4" w:space="0" w:color="D2232A" w:themeColor="accent1"/>
              <w:right w:val="single" w:sz="8" w:space="0" w:color="D2232A"/>
            </w:tcBorders>
            <w:shd w:val="clear" w:color="auto" w:fill="auto"/>
            <w:noWrap/>
            <w:vAlign w:val="center"/>
          </w:tcPr>
          <w:p w14:paraId="50523779" w14:textId="417DBCB9" w:rsidR="00244386" w:rsidRPr="00BF7D45" w:rsidRDefault="00244386" w:rsidP="00941871">
            <w:pPr>
              <w:spacing w:after="0" w:line="240" w:lineRule="auto"/>
              <w:rPr>
                <w:rFonts w:eastAsia="Times New Roman" w:cstheme="minorHAnsi"/>
                <w:szCs w:val="18"/>
                <w:lang w:eastAsia="hr-HR"/>
              </w:rPr>
            </w:pPr>
            <w:r>
              <w:rPr>
                <w:rFonts w:eastAsia="Times New Roman" w:cstheme="minorHAnsi"/>
                <w:szCs w:val="18"/>
                <w:lang w:eastAsia="hr-HR"/>
              </w:rPr>
              <w:t>2019.</w:t>
            </w:r>
          </w:p>
        </w:tc>
        <w:tc>
          <w:tcPr>
            <w:tcW w:w="1259" w:type="dxa"/>
            <w:tcBorders>
              <w:top w:val="single" w:sz="8" w:space="0" w:color="F3CFC1"/>
              <w:left w:val="single" w:sz="8" w:space="0" w:color="D2232A"/>
              <w:bottom w:val="single" w:sz="4" w:space="0" w:color="D2232A" w:themeColor="accent1"/>
              <w:right w:val="single" w:sz="8" w:space="0" w:color="D2232A"/>
            </w:tcBorders>
            <w:vAlign w:val="center"/>
          </w:tcPr>
          <w:p w14:paraId="7D26F871" w14:textId="6C1445D2" w:rsidR="00244386" w:rsidRPr="00BF7D45" w:rsidRDefault="00244386" w:rsidP="003331A1">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975</w:t>
            </w:r>
          </w:p>
        </w:tc>
        <w:tc>
          <w:tcPr>
            <w:tcW w:w="1448" w:type="dxa"/>
            <w:tcBorders>
              <w:top w:val="single" w:sz="8" w:space="0" w:color="F3CFC1"/>
              <w:left w:val="single" w:sz="8" w:space="0" w:color="D2232A"/>
              <w:bottom w:val="single" w:sz="4" w:space="0" w:color="D2232A" w:themeColor="accent1"/>
              <w:right w:val="single" w:sz="8" w:space="0" w:color="D2232A"/>
            </w:tcBorders>
            <w:noWrap/>
            <w:vAlign w:val="center"/>
          </w:tcPr>
          <w:p w14:paraId="5B15FEEF" w14:textId="07EDA8F7" w:rsidR="00244386" w:rsidRPr="00BF7D45" w:rsidRDefault="00244386" w:rsidP="003331A1">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1.733</w:t>
            </w:r>
          </w:p>
        </w:tc>
        <w:tc>
          <w:tcPr>
            <w:tcW w:w="1347" w:type="dxa"/>
            <w:tcBorders>
              <w:top w:val="single" w:sz="8" w:space="0" w:color="F3CFC1"/>
              <w:left w:val="single" w:sz="8" w:space="0" w:color="D2232A"/>
              <w:bottom w:val="single" w:sz="4" w:space="0" w:color="D2232A" w:themeColor="accent1"/>
              <w:right w:val="single" w:sz="8" w:space="0" w:color="D2232A"/>
            </w:tcBorders>
            <w:noWrap/>
            <w:vAlign w:val="center"/>
          </w:tcPr>
          <w:p w14:paraId="75E208A3" w14:textId="7AC9216B" w:rsidR="00244386" w:rsidRPr="00BF7D45" w:rsidRDefault="00244386" w:rsidP="003331A1">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1.252</w:t>
            </w:r>
          </w:p>
        </w:tc>
        <w:tc>
          <w:tcPr>
            <w:tcW w:w="1987" w:type="dxa"/>
            <w:tcBorders>
              <w:top w:val="single" w:sz="8" w:space="0" w:color="F3CFC1"/>
              <w:left w:val="single" w:sz="8" w:space="0" w:color="D2232A"/>
              <w:bottom w:val="single" w:sz="4" w:space="0" w:color="D2232A" w:themeColor="accent1"/>
              <w:right w:val="single" w:sz="8" w:space="0" w:color="D2232A"/>
            </w:tcBorders>
            <w:noWrap/>
            <w:vAlign w:val="center"/>
          </w:tcPr>
          <w:p w14:paraId="6BC26183" w14:textId="3C323D1E" w:rsidR="00244386" w:rsidRPr="00BF7D45" w:rsidRDefault="00244386" w:rsidP="00B44EAA">
            <w:pPr>
              <w:spacing w:after="0" w:line="240" w:lineRule="auto"/>
              <w:jc w:val="center"/>
              <w:rPr>
                <w:rFonts w:eastAsia="Times New Roman" w:cstheme="minorHAnsi"/>
                <w:color w:val="000000"/>
                <w:szCs w:val="18"/>
                <w:lang w:eastAsia="hr-HR"/>
              </w:rPr>
            </w:pPr>
            <w:r>
              <w:rPr>
                <w:rFonts w:eastAsia="Times New Roman" w:cstheme="minorHAnsi"/>
                <w:color w:val="000000"/>
                <w:szCs w:val="18"/>
                <w:lang w:eastAsia="hr-HR"/>
              </w:rPr>
              <w:t>16.071</w:t>
            </w:r>
          </w:p>
        </w:tc>
        <w:tc>
          <w:tcPr>
            <w:tcW w:w="2183" w:type="dxa"/>
            <w:tcBorders>
              <w:top w:val="single" w:sz="8" w:space="0" w:color="F3CFC1"/>
              <w:left w:val="single" w:sz="8" w:space="0" w:color="D2232A"/>
              <w:bottom w:val="single" w:sz="4" w:space="0" w:color="D2232A" w:themeColor="accent1"/>
              <w:right w:val="single" w:sz="8" w:space="0" w:color="D2232A"/>
            </w:tcBorders>
            <w:noWrap/>
            <w:vAlign w:val="center"/>
          </w:tcPr>
          <w:p w14:paraId="1B23BFA0" w14:textId="413FC1C6" w:rsidR="00244386" w:rsidRPr="00BF7D45" w:rsidRDefault="00244386" w:rsidP="003331A1">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55.994</w:t>
            </w:r>
          </w:p>
        </w:tc>
      </w:tr>
    </w:tbl>
    <w:p w14:paraId="1B7BFC75" w14:textId="121A7172" w:rsidR="008878A0" w:rsidRPr="006525B8" w:rsidRDefault="008878A0"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Izvor: Statistički pregled temeljnih sigurnosnih pokazatelja i rezultata rada u 2014., 2015., 2016., 2017. i 201</w:t>
      </w:r>
      <w:r w:rsidR="00417CF0" w:rsidRPr="006525B8">
        <w:rPr>
          <w:rFonts w:eastAsia="ArialNarrow" w:cstheme="minorHAnsi"/>
          <w:i/>
          <w:color w:val="ABABAB" w:themeColor="text1" w:themeTint="A6"/>
          <w:sz w:val="16"/>
          <w:szCs w:val="16"/>
        </w:rPr>
        <w:t>9</w:t>
      </w:r>
      <w:r w:rsidRPr="006525B8">
        <w:rPr>
          <w:rFonts w:eastAsia="ArialNarrow" w:cstheme="minorHAnsi"/>
          <w:i/>
          <w:color w:val="ABABAB" w:themeColor="text1" w:themeTint="A6"/>
          <w:sz w:val="16"/>
          <w:szCs w:val="16"/>
        </w:rPr>
        <w:t>. godini</w:t>
      </w:r>
    </w:p>
    <w:p w14:paraId="75C85AEF" w14:textId="22556D60" w:rsidR="00035E26" w:rsidRDefault="00035E26" w:rsidP="0019552B">
      <w:pPr>
        <w:autoSpaceDE w:val="0"/>
        <w:autoSpaceDN w:val="0"/>
        <w:adjustRightInd w:val="0"/>
        <w:spacing w:after="0" w:line="240" w:lineRule="auto"/>
        <w:rPr>
          <w:rFonts w:eastAsia="ArialNarrow" w:cstheme="minorHAnsi"/>
        </w:rPr>
      </w:pPr>
    </w:p>
    <w:p w14:paraId="6C67D7B1" w14:textId="0A04B83C" w:rsidR="00CD708B" w:rsidRDefault="00035E26" w:rsidP="00035E26">
      <w:pPr>
        <w:autoSpaceDE w:val="0"/>
        <w:autoSpaceDN w:val="0"/>
        <w:adjustRightInd w:val="0"/>
        <w:spacing w:after="0" w:line="240" w:lineRule="auto"/>
        <w:rPr>
          <w:rFonts w:eastAsia="ArialNarrow" w:cstheme="minorHAnsi"/>
        </w:rPr>
      </w:pPr>
      <w:bookmarkStart w:id="72" w:name="_Hlk33013598"/>
      <w:bookmarkStart w:id="73" w:name="_Hlk33013723"/>
      <w:r>
        <w:rPr>
          <w:rFonts w:eastAsia="ArialNarrow" w:cstheme="minorHAnsi"/>
        </w:rPr>
        <w:t>U 201</w:t>
      </w:r>
      <w:r w:rsidR="00417CF0">
        <w:rPr>
          <w:rFonts w:eastAsia="ArialNarrow" w:cstheme="minorHAnsi"/>
        </w:rPr>
        <w:t>9</w:t>
      </w:r>
      <w:r>
        <w:rPr>
          <w:rFonts w:eastAsia="ArialNarrow" w:cstheme="minorHAnsi"/>
        </w:rPr>
        <w:t>. godini u Republici Hrvatskoj prijavljeno je 5</w:t>
      </w:r>
      <w:r w:rsidR="00417CF0">
        <w:rPr>
          <w:rFonts w:eastAsia="ArialNarrow" w:cstheme="minorHAnsi"/>
        </w:rPr>
        <w:t>5</w:t>
      </w:r>
      <w:r>
        <w:rPr>
          <w:rFonts w:eastAsia="ArialNarrow" w:cstheme="minorHAnsi"/>
        </w:rPr>
        <w:t>.</w:t>
      </w:r>
      <w:r w:rsidR="00417CF0">
        <w:rPr>
          <w:rFonts w:eastAsia="ArialNarrow" w:cstheme="minorHAnsi"/>
        </w:rPr>
        <w:t>994</w:t>
      </w:r>
      <w:r>
        <w:rPr>
          <w:rFonts w:eastAsia="ArialNarrow" w:cstheme="minorHAnsi"/>
        </w:rPr>
        <w:t xml:space="preserve"> kaznenih djela za koja se postupak pokreće po službenoj dužnosti, što je </w:t>
      </w:r>
      <w:r w:rsidR="00417CF0">
        <w:rPr>
          <w:rFonts w:eastAsia="ArialNarrow" w:cstheme="minorHAnsi"/>
        </w:rPr>
        <w:t>više</w:t>
      </w:r>
      <w:r>
        <w:rPr>
          <w:rFonts w:eastAsia="ArialNarrow" w:cstheme="minorHAnsi"/>
        </w:rPr>
        <w:t xml:space="preserve"> za </w:t>
      </w:r>
      <w:r w:rsidR="00417CF0">
        <w:rPr>
          <w:rFonts w:eastAsia="ArialNarrow" w:cstheme="minorHAnsi"/>
        </w:rPr>
        <w:t>9</w:t>
      </w:r>
      <w:r>
        <w:rPr>
          <w:rFonts w:eastAsia="ArialNarrow" w:cstheme="minorHAnsi"/>
        </w:rPr>
        <w:t>,</w:t>
      </w:r>
      <w:r w:rsidR="00417CF0">
        <w:rPr>
          <w:rFonts w:eastAsia="ArialNarrow" w:cstheme="minorHAnsi"/>
        </w:rPr>
        <w:t>2</w:t>
      </w:r>
      <w:r>
        <w:rPr>
          <w:rFonts w:eastAsia="ArialNarrow" w:cstheme="minorHAnsi"/>
        </w:rPr>
        <w:t xml:space="preserve">% u odnosu na prethodnu godinu. </w:t>
      </w:r>
      <w:r w:rsidR="00417CF0">
        <w:rPr>
          <w:rFonts w:eastAsia="ArialNarrow" w:cstheme="minorHAnsi"/>
        </w:rPr>
        <w:t>U</w:t>
      </w:r>
      <w:r w:rsidR="005A0CC5">
        <w:rPr>
          <w:rFonts w:eastAsia="ArialNarrow" w:cstheme="minorHAnsi"/>
        </w:rPr>
        <w:t xml:space="preserve"> odnosu na prethodnu godinu</w:t>
      </w:r>
      <w:r w:rsidR="00417CF0">
        <w:rPr>
          <w:rFonts w:eastAsia="ArialNarrow" w:cstheme="minorHAnsi"/>
        </w:rPr>
        <w:t>,</w:t>
      </w:r>
      <w:r w:rsidR="005A0CC5">
        <w:rPr>
          <w:rFonts w:eastAsia="ArialNarrow" w:cstheme="minorHAnsi"/>
        </w:rPr>
        <w:t xml:space="preserve"> u 201</w:t>
      </w:r>
      <w:r w:rsidR="00417CF0">
        <w:rPr>
          <w:rFonts w:eastAsia="ArialNarrow" w:cstheme="minorHAnsi"/>
        </w:rPr>
        <w:t>9</w:t>
      </w:r>
      <w:r w:rsidR="005A0CC5">
        <w:rPr>
          <w:rFonts w:eastAsia="ArialNarrow" w:cstheme="minorHAnsi"/>
        </w:rPr>
        <w:t xml:space="preserve">. godini prometnih nesreća bilo je manje za </w:t>
      </w:r>
      <w:r w:rsidR="00417CF0">
        <w:rPr>
          <w:rFonts w:eastAsia="ArialNarrow" w:cstheme="minorHAnsi"/>
        </w:rPr>
        <w:t>6</w:t>
      </w:r>
      <w:r w:rsidR="005A0CC5">
        <w:rPr>
          <w:rFonts w:eastAsia="ArialNarrow" w:cstheme="minorHAnsi"/>
        </w:rPr>
        <w:t>,</w:t>
      </w:r>
      <w:r w:rsidR="00417CF0">
        <w:rPr>
          <w:rFonts w:eastAsia="ArialNarrow" w:cstheme="minorHAnsi"/>
        </w:rPr>
        <w:t>2</w:t>
      </w:r>
      <w:r w:rsidR="005A0CC5">
        <w:rPr>
          <w:rFonts w:eastAsia="ArialNarrow" w:cstheme="minorHAnsi"/>
        </w:rPr>
        <w:t xml:space="preserve">%, a požara i eksplozija, gdje je policija obavila očevid, bilo je </w:t>
      </w:r>
      <w:r w:rsidR="00417CF0">
        <w:rPr>
          <w:rFonts w:eastAsia="ArialNarrow" w:cstheme="minorHAnsi"/>
        </w:rPr>
        <w:t>više</w:t>
      </w:r>
      <w:r w:rsidR="005A0CC5">
        <w:rPr>
          <w:rFonts w:eastAsia="ArialNarrow" w:cstheme="minorHAnsi"/>
        </w:rPr>
        <w:t xml:space="preserve"> za </w:t>
      </w:r>
      <w:r w:rsidR="00417CF0">
        <w:rPr>
          <w:rFonts w:eastAsia="ArialNarrow" w:cstheme="minorHAnsi"/>
        </w:rPr>
        <w:t>51,7</w:t>
      </w:r>
      <w:r w:rsidR="005A0CC5">
        <w:rPr>
          <w:rFonts w:eastAsia="ArialNarrow" w:cstheme="minorHAnsi"/>
        </w:rPr>
        <w:t>%. U kaznenim djelima za koja se postupak pokreće po službenoj dužnosti prema linijama rada Uprave kriminalističke policije, 7</w:t>
      </w:r>
      <w:r w:rsidR="00417CF0">
        <w:rPr>
          <w:rFonts w:eastAsia="ArialNarrow" w:cstheme="minorHAnsi"/>
        </w:rPr>
        <w:t>6</w:t>
      </w:r>
      <w:r w:rsidR="005A0CC5">
        <w:rPr>
          <w:rFonts w:eastAsia="ArialNarrow" w:cstheme="minorHAnsi"/>
        </w:rPr>
        <w:t>,</w:t>
      </w:r>
      <w:r w:rsidR="00417CF0">
        <w:rPr>
          <w:rFonts w:eastAsia="ArialNarrow" w:cstheme="minorHAnsi"/>
        </w:rPr>
        <w:t>2</w:t>
      </w:r>
      <w:r w:rsidR="005A0CC5">
        <w:rPr>
          <w:rFonts w:eastAsia="ArialNarrow" w:cstheme="minorHAnsi"/>
        </w:rPr>
        <w:t xml:space="preserve">% je opći kriminalitet, </w:t>
      </w:r>
      <w:r w:rsidR="00417CF0">
        <w:rPr>
          <w:rFonts w:eastAsia="ArialNarrow" w:cstheme="minorHAnsi"/>
        </w:rPr>
        <w:t>7</w:t>
      </w:r>
      <w:r w:rsidR="005A0CC5">
        <w:rPr>
          <w:rFonts w:eastAsia="ArialNarrow" w:cstheme="minorHAnsi"/>
        </w:rPr>
        <w:t xml:space="preserve">,4% gospodarski kriminalitet, </w:t>
      </w:r>
      <w:r w:rsidR="00417CF0">
        <w:rPr>
          <w:rFonts w:eastAsia="ArialNarrow" w:cstheme="minorHAnsi"/>
        </w:rPr>
        <w:t>5</w:t>
      </w:r>
      <w:r w:rsidR="005A0CC5">
        <w:rPr>
          <w:rFonts w:eastAsia="ArialNarrow" w:cstheme="minorHAnsi"/>
        </w:rPr>
        <w:t>,</w:t>
      </w:r>
      <w:r w:rsidR="00417CF0">
        <w:rPr>
          <w:rFonts w:eastAsia="ArialNarrow" w:cstheme="minorHAnsi"/>
        </w:rPr>
        <w:t>1</w:t>
      </w:r>
      <w:r w:rsidR="005A0CC5">
        <w:rPr>
          <w:rFonts w:eastAsia="ArialNarrow" w:cstheme="minorHAnsi"/>
        </w:rPr>
        <w:t xml:space="preserve">% su zlouporabe droge, </w:t>
      </w:r>
      <w:r w:rsidR="00417CF0">
        <w:rPr>
          <w:rFonts w:eastAsia="ArialNarrow" w:cstheme="minorHAnsi"/>
        </w:rPr>
        <w:t>5,2</w:t>
      </w:r>
      <w:r w:rsidR="005A0CC5">
        <w:rPr>
          <w:rFonts w:eastAsia="ArialNarrow" w:cstheme="minorHAnsi"/>
        </w:rPr>
        <w:t>% kibernetički kriminalitet, 3,</w:t>
      </w:r>
      <w:r w:rsidR="00417CF0">
        <w:rPr>
          <w:rFonts w:eastAsia="ArialNarrow" w:cstheme="minorHAnsi"/>
        </w:rPr>
        <w:t>7</w:t>
      </w:r>
      <w:r w:rsidR="005A0CC5">
        <w:rPr>
          <w:rFonts w:eastAsia="ArialNarrow" w:cstheme="minorHAnsi"/>
        </w:rPr>
        <w:t>% organizirani kriminal, 2,</w:t>
      </w:r>
      <w:r w:rsidR="00417CF0">
        <w:rPr>
          <w:rFonts w:eastAsia="ArialNarrow" w:cstheme="minorHAnsi"/>
        </w:rPr>
        <w:t>3</w:t>
      </w:r>
      <w:r w:rsidR="005A0CC5">
        <w:rPr>
          <w:rFonts w:eastAsia="ArialNarrow" w:cstheme="minorHAnsi"/>
        </w:rPr>
        <w:t>% kaznena djela u prometu, 0,0</w:t>
      </w:r>
      <w:r w:rsidR="00417CF0">
        <w:rPr>
          <w:rFonts w:eastAsia="ArialNarrow" w:cstheme="minorHAnsi"/>
        </w:rPr>
        <w:t>6</w:t>
      </w:r>
      <w:r w:rsidR="005A0CC5">
        <w:rPr>
          <w:rFonts w:eastAsia="ArialNarrow" w:cstheme="minorHAnsi"/>
        </w:rPr>
        <w:t>% terorizam i ekstremno nasilje i 0,0</w:t>
      </w:r>
      <w:r w:rsidR="00417CF0">
        <w:rPr>
          <w:rFonts w:eastAsia="ArialNarrow" w:cstheme="minorHAnsi"/>
        </w:rPr>
        <w:t>4</w:t>
      </w:r>
      <w:r w:rsidR="005A0CC5">
        <w:rPr>
          <w:rFonts w:eastAsia="ArialNarrow" w:cstheme="minorHAnsi"/>
        </w:rPr>
        <w:t xml:space="preserve">% kaznena djela ratnih zločina. Udio kaznenih djela na štetu </w:t>
      </w:r>
      <w:r w:rsidR="00417CF0">
        <w:rPr>
          <w:rFonts w:eastAsia="ArialNarrow" w:cstheme="minorHAnsi"/>
        </w:rPr>
        <w:t>djece i obitelji</w:t>
      </w:r>
      <w:r w:rsidR="005A0CC5">
        <w:rPr>
          <w:rFonts w:eastAsia="ArialNarrow" w:cstheme="minorHAnsi"/>
        </w:rPr>
        <w:t xml:space="preserve"> u ukupnom kriminalitetu je </w:t>
      </w:r>
      <w:r w:rsidR="00417CF0">
        <w:rPr>
          <w:rFonts w:eastAsia="ArialNarrow" w:cstheme="minorHAnsi"/>
        </w:rPr>
        <w:t>12</w:t>
      </w:r>
      <w:r w:rsidR="005A0CC5">
        <w:rPr>
          <w:rFonts w:eastAsia="ArialNarrow" w:cstheme="minorHAnsi"/>
        </w:rPr>
        <w:t>,</w:t>
      </w:r>
      <w:r w:rsidR="00417CF0">
        <w:rPr>
          <w:rFonts w:eastAsia="ArialNarrow" w:cstheme="minorHAnsi"/>
        </w:rPr>
        <w:t>2</w:t>
      </w:r>
      <w:r w:rsidR="005A0CC5">
        <w:rPr>
          <w:rFonts w:eastAsia="ArialNarrow" w:cstheme="minorHAnsi"/>
        </w:rPr>
        <w:t xml:space="preserve">%. Udio općeg kriminaliteta u ukupnom kriminalitetu bez prometa iznosi </w:t>
      </w:r>
      <w:r w:rsidR="00417CF0">
        <w:rPr>
          <w:rFonts w:eastAsia="ArialNarrow" w:cstheme="minorHAnsi"/>
        </w:rPr>
        <w:t>77</w:t>
      </w:r>
      <w:r w:rsidR="005A0CC5">
        <w:rPr>
          <w:rFonts w:eastAsia="ArialNarrow" w:cstheme="minorHAnsi"/>
        </w:rPr>
        <w:t>,</w:t>
      </w:r>
      <w:r w:rsidR="00417CF0">
        <w:rPr>
          <w:rFonts w:eastAsia="ArialNarrow" w:cstheme="minorHAnsi"/>
        </w:rPr>
        <w:t>99</w:t>
      </w:r>
      <w:r w:rsidR="005A0CC5">
        <w:rPr>
          <w:rFonts w:eastAsia="ArialNarrow" w:cstheme="minorHAnsi"/>
        </w:rPr>
        <w:t xml:space="preserve">%. Od </w:t>
      </w:r>
      <w:r w:rsidR="0019456D">
        <w:rPr>
          <w:rFonts w:eastAsia="ArialNarrow" w:cstheme="minorHAnsi"/>
        </w:rPr>
        <w:t>42.651</w:t>
      </w:r>
      <w:r w:rsidR="005A0CC5">
        <w:rPr>
          <w:rFonts w:eastAsia="ArialNarrow" w:cstheme="minorHAnsi"/>
        </w:rPr>
        <w:t xml:space="preserve"> kaznenih djela iz općeg kriminaliteta, u </w:t>
      </w:r>
      <w:r w:rsidR="0019456D">
        <w:rPr>
          <w:rFonts w:eastAsia="ArialNarrow" w:cstheme="minorHAnsi"/>
        </w:rPr>
        <w:t>823</w:t>
      </w:r>
      <w:r w:rsidR="005A0CC5">
        <w:rPr>
          <w:rFonts w:eastAsia="ArialNarrow" w:cstheme="minorHAnsi"/>
        </w:rPr>
        <w:t xml:space="preserve"> kaznen</w:t>
      </w:r>
      <w:r w:rsidR="001D22B6">
        <w:rPr>
          <w:rFonts w:eastAsia="ArialNarrow" w:cstheme="minorHAnsi"/>
        </w:rPr>
        <w:t>ih</w:t>
      </w:r>
      <w:r w:rsidR="005A0CC5">
        <w:rPr>
          <w:rFonts w:eastAsia="ArialNarrow" w:cstheme="minorHAnsi"/>
        </w:rPr>
        <w:t xml:space="preserve"> djela počinitelj je zatečen na djelu, u </w:t>
      </w:r>
      <w:r w:rsidR="0019456D">
        <w:rPr>
          <w:rFonts w:eastAsia="ArialNarrow" w:cstheme="minorHAnsi"/>
        </w:rPr>
        <w:t>9</w:t>
      </w:r>
      <w:r w:rsidR="005A0CC5">
        <w:rPr>
          <w:rFonts w:eastAsia="ArialNarrow" w:cstheme="minorHAnsi"/>
        </w:rPr>
        <w:t>.</w:t>
      </w:r>
      <w:r w:rsidR="0019456D">
        <w:rPr>
          <w:rFonts w:eastAsia="ArialNarrow" w:cstheme="minorHAnsi"/>
        </w:rPr>
        <w:t>919</w:t>
      </w:r>
      <w:r w:rsidR="005A0CC5">
        <w:rPr>
          <w:rFonts w:eastAsia="ArialNarrow" w:cstheme="minorHAnsi"/>
        </w:rPr>
        <w:t xml:space="preserve"> kaznen</w:t>
      </w:r>
      <w:r w:rsidR="001D22B6">
        <w:rPr>
          <w:rFonts w:eastAsia="ArialNarrow" w:cstheme="minorHAnsi"/>
        </w:rPr>
        <w:t>ih</w:t>
      </w:r>
      <w:r w:rsidR="005A0CC5">
        <w:rPr>
          <w:rFonts w:eastAsia="ArialNarrow" w:cstheme="minorHAnsi"/>
        </w:rPr>
        <w:t xml:space="preserve"> djel</w:t>
      </w:r>
      <w:r w:rsidR="001D22B6">
        <w:rPr>
          <w:rFonts w:eastAsia="ArialNarrow" w:cstheme="minorHAnsi"/>
        </w:rPr>
        <w:t>a</w:t>
      </w:r>
      <w:r w:rsidR="005A0CC5">
        <w:rPr>
          <w:rFonts w:eastAsia="ArialNarrow" w:cstheme="minorHAnsi"/>
        </w:rPr>
        <w:t xml:space="preserve"> počinitelj je bio poznat istodobno kad i kazneno djelo, a počinitelji 31.</w:t>
      </w:r>
      <w:r w:rsidR="0019456D">
        <w:rPr>
          <w:rFonts w:eastAsia="ArialNarrow" w:cstheme="minorHAnsi"/>
        </w:rPr>
        <w:t>909</w:t>
      </w:r>
      <w:r w:rsidR="005A0CC5">
        <w:rPr>
          <w:rFonts w:eastAsia="ArialNarrow" w:cstheme="minorHAnsi"/>
        </w:rPr>
        <w:t xml:space="preserve"> kaznenih djela bili su nepoznati u vrijeme saznanja za kazneno djelo.</w:t>
      </w:r>
      <w:bookmarkEnd w:id="72"/>
      <w:r w:rsidR="00166B79">
        <w:rPr>
          <w:rFonts w:eastAsia="ArialNarrow" w:cstheme="minorHAnsi"/>
        </w:rPr>
        <w:t xml:space="preserve"> Za područje Krapinsko- zagorske županije udjeli </w:t>
      </w:r>
      <w:r w:rsidR="0094400C">
        <w:rPr>
          <w:rFonts w:eastAsia="ArialNarrow" w:cstheme="minorHAnsi"/>
        </w:rPr>
        <w:t>struktura kriminaliteta</w:t>
      </w:r>
      <w:r w:rsidR="00166B79">
        <w:rPr>
          <w:rFonts w:eastAsia="ArialNarrow" w:cstheme="minorHAnsi"/>
        </w:rPr>
        <w:t xml:space="preserve"> prikazani </w:t>
      </w:r>
      <w:r w:rsidR="0094400C">
        <w:rPr>
          <w:rFonts w:eastAsia="ArialNarrow" w:cstheme="minorHAnsi"/>
        </w:rPr>
        <w:t xml:space="preserve">su </w:t>
      </w:r>
      <w:r w:rsidR="00166B79">
        <w:rPr>
          <w:rFonts w:eastAsia="ArialNarrow" w:cstheme="minorHAnsi"/>
        </w:rPr>
        <w:t>u tablici u nastavku.</w:t>
      </w:r>
    </w:p>
    <w:bookmarkEnd w:id="73"/>
    <w:p w14:paraId="0EE7954F" w14:textId="77777777" w:rsidR="0009205D" w:rsidRDefault="0009205D" w:rsidP="00035E26">
      <w:pPr>
        <w:pStyle w:val="Tekstkomentara"/>
      </w:pPr>
    </w:p>
    <w:p w14:paraId="12CF6EA3" w14:textId="61C85300" w:rsidR="00BF7D45" w:rsidRPr="0009205D" w:rsidRDefault="0009205D" w:rsidP="003E3F3C">
      <w:pPr>
        <w:pStyle w:val="Opisslike"/>
      </w:pPr>
      <w:r w:rsidRPr="0009205D">
        <w:lastRenderedPageBreak/>
        <w:t xml:space="preserve">Tablica </w:t>
      </w:r>
      <w:r w:rsidR="0017082E">
        <w:t>20</w:t>
      </w:r>
      <w:r w:rsidRPr="0009205D">
        <w:t>. Struktura kriminaliteta u Krapinsko-zagorskoj županiji</w:t>
      </w:r>
      <w:r>
        <w:rPr>
          <w:rStyle w:val="Referencafusnote"/>
        </w:rPr>
        <w:footnoteReference w:id="32"/>
      </w:r>
    </w:p>
    <w:tbl>
      <w:tblPr>
        <w:tblW w:w="9035" w:type="dxa"/>
        <w:tblLook w:val="04A0" w:firstRow="1" w:lastRow="0" w:firstColumn="1" w:lastColumn="0" w:noHBand="0" w:noVBand="1"/>
      </w:tblPr>
      <w:tblGrid>
        <w:gridCol w:w="4439"/>
        <w:gridCol w:w="1532"/>
        <w:gridCol w:w="1532"/>
        <w:gridCol w:w="1532"/>
      </w:tblGrid>
      <w:tr w:rsidR="00F211E6" w:rsidRPr="00F211E6" w14:paraId="58B39650" w14:textId="77777777" w:rsidTr="00F81169">
        <w:trPr>
          <w:trHeight w:val="271"/>
        </w:trPr>
        <w:tc>
          <w:tcPr>
            <w:tcW w:w="4439" w:type="dxa"/>
            <w:tcBorders>
              <w:top w:val="single" w:sz="4" w:space="0" w:color="D2232A" w:themeColor="accent1"/>
              <w:left w:val="single" w:sz="4" w:space="0" w:color="D2232A" w:themeColor="accent1"/>
              <w:bottom w:val="nil"/>
              <w:right w:val="nil"/>
            </w:tcBorders>
            <w:shd w:val="clear" w:color="auto" w:fill="DE3C43" w:themeFill="accent6" w:themeFillShade="BF"/>
            <w:vAlign w:val="center"/>
            <w:hideMark/>
          </w:tcPr>
          <w:p w14:paraId="19AF5A8D" w14:textId="77777777" w:rsidR="00F211E6" w:rsidRPr="00F81169" w:rsidRDefault="00F211E6" w:rsidP="00F211E6">
            <w:pPr>
              <w:spacing w:after="0" w:line="240" w:lineRule="auto"/>
              <w:jc w:val="center"/>
              <w:rPr>
                <w:rFonts w:eastAsia="Times New Roman" w:cs="Calibri"/>
                <w:b/>
                <w:bCs/>
                <w:color w:val="FFFFFF" w:themeColor="background1"/>
                <w:szCs w:val="18"/>
                <w:lang w:eastAsia="hr-HR"/>
              </w:rPr>
            </w:pPr>
            <w:r w:rsidRPr="00F81169">
              <w:rPr>
                <w:rFonts w:eastAsia="Times New Roman" w:cs="Calibri"/>
                <w:b/>
                <w:bCs/>
                <w:color w:val="FFFFFF" w:themeColor="background1"/>
                <w:szCs w:val="18"/>
                <w:lang w:eastAsia="hr-HR"/>
              </w:rPr>
              <w:t>Struktura kriminaliteta</w:t>
            </w:r>
          </w:p>
        </w:tc>
        <w:tc>
          <w:tcPr>
            <w:tcW w:w="1532" w:type="dxa"/>
            <w:tcBorders>
              <w:top w:val="single" w:sz="4" w:space="0" w:color="D2232A" w:themeColor="accent1"/>
              <w:left w:val="nil"/>
              <w:bottom w:val="nil"/>
              <w:right w:val="nil"/>
            </w:tcBorders>
            <w:shd w:val="clear" w:color="auto" w:fill="DE3C43" w:themeFill="accent6" w:themeFillShade="BF"/>
            <w:vAlign w:val="center"/>
            <w:hideMark/>
          </w:tcPr>
          <w:p w14:paraId="77318725" w14:textId="77777777" w:rsidR="00F211E6" w:rsidRPr="00F81169" w:rsidRDefault="00F211E6" w:rsidP="00F211E6">
            <w:pPr>
              <w:spacing w:after="0" w:line="240" w:lineRule="auto"/>
              <w:jc w:val="center"/>
              <w:rPr>
                <w:rFonts w:eastAsia="Times New Roman" w:cs="Calibri"/>
                <w:b/>
                <w:bCs/>
                <w:color w:val="FFFFFF" w:themeColor="background1"/>
                <w:szCs w:val="18"/>
                <w:lang w:eastAsia="hr-HR"/>
              </w:rPr>
            </w:pPr>
            <w:r w:rsidRPr="00F81169">
              <w:rPr>
                <w:rFonts w:eastAsia="Times New Roman" w:cs="Calibri"/>
                <w:b/>
                <w:bCs/>
                <w:color w:val="FFFFFF" w:themeColor="background1"/>
                <w:szCs w:val="18"/>
                <w:lang w:eastAsia="hr-HR"/>
              </w:rPr>
              <w:t>2018.</w:t>
            </w:r>
          </w:p>
        </w:tc>
        <w:tc>
          <w:tcPr>
            <w:tcW w:w="1532" w:type="dxa"/>
            <w:tcBorders>
              <w:top w:val="single" w:sz="4" w:space="0" w:color="D2232A" w:themeColor="accent1"/>
              <w:left w:val="nil"/>
              <w:bottom w:val="nil"/>
              <w:right w:val="nil"/>
            </w:tcBorders>
            <w:shd w:val="clear" w:color="auto" w:fill="DE3C43" w:themeFill="accent6" w:themeFillShade="BF"/>
            <w:vAlign w:val="center"/>
            <w:hideMark/>
          </w:tcPr>
          <w:p w14:paraId="421A91EC" w14:textId="77777777" w:rsidR="00F211E6" w:rsidRPr="00F81169" w:rsidRDefault="00F211E6" w:rsidP="00F211E6">
            <w:pPr>
              <w:spacing w:after="0" w:line="240" w:lineRule="auto"/>
              <w:jc w:val="center"/>
              <w:rPr>
                <w:rFonts w:eastAsia="Times New Roman" w:cs="Calibri"/>
                <w:b/>
                <w:bCs/>
                <w:color w:val="FFFFFF" w:themeColor="background1"/>
                <w:szCs w:val="18"/>
                <w:lang w:eastAsia="hr-HR"/>
              </w:rPr>
            </w:pPr>
            <w:r w:rsidRPr="00F81169">
              <w:rPr>
                <w:rFonts w:eastAsia="Times New Roman" w:cs="Calibri"/>
                <w:b/>
                <w:bCs/>
                <w:color w:val="FFFFFF" w:themeColor="background1"/>
                <w:szCs w:val="18"/>
                <w:lang w:eastAsia="hr-HR"/>
              </w:rPr>
              <w:t>2019.</w:t>
            </w:r>
          </w:p>
        </w:tc>
        <w:tc>
          <w:tcPr>
            <w:tcW w:w="1532" w:type="dxa"/>
            <w:tcBorders>
              <w:top w:val="single" w:sz="4" w:space="0" w:color="D2232A" w:themeColor="accent1"/>
              <w:left w:val="nil"/>
              <w:bottom w:val="nil"/>
              <w:right w:val="single" w:sz="4" w:space="0" w:color="C00000"/>
            </w:tcBorders>
            <w:shd w:val="clear" w:color="auto" w:fill="DE3C43" w:themeFill="accent6" w:themeFillShade="BF"/>
            <w:vAlign w:val="center"/>
            <w:hideMark/>
          </w:tcPr>
          <w:p w14:paraId="105CF1C4" w14:textId="12D449CB" w:rsidR="00F211E6" w:rsidRPr="00F81169" w:rsidRDefault="002B6335" w:rsidP="00F211E6">
            <w:pPr>
              <w:spacing w:after="0" w:line="240" w:lineRule="auto"/>
              <w:jc w:val="center"/>
              <w:rPr>
                <w:rFonts w:eastAsia="Times New Roman" w:cs="Calibri"/>
                <w:b/>
                <w:bCs/>
                <w:color w:val="FFFFFF" w:themeColor="background1"/>
                <w:szCs w:val="18"/>
                <w:lang w:eastAsia="hr-HR"/>
              </w:rPr>
            </w:pPr>
            <w:r w:rsidRPr="00F81169">
              <w:rPr>
                <w:rFonts w:eastAsia="Times New Roman" w:cs="Calibri"/>
                <w:b/>
                <w:bCs/>
                <w:color w:val="FFFFFF" w:themeColor="background1"/>
                <w:szCs w:val="18"/>
                <w:lang w:eastAsia="hr-HR"/>
              </w:rPr>
              <w:t>+</w:t>
            </w:r>
            <w:r w:rsidR="00F211E6" w:rsidRPr="00F81169">
              <w:rPr>
                <w:rFonts w:eastAsia="Times New Roman" w:cs="Calibri"/>
                <w:b/>
                <w:bCs/>
                <w:color w:val="FFFFFF" w:themeColor="background1"/>
                <w:szCs w:val="18"/>
                <w:lang w:eastAsia="hr-HR"/>
              </w:rPr>
              <w:t>/- %</w:t>
            </w:r>
          </w:p>
        </w:tc>
      </w:tr>
      <w:tr w:rsidR="00F211E6" w:rsidRPr="00F211E6" w14:paraId="413FE5C9" w14:textId="77777777" w:rsidTr="002B6335">
        <w:trPr>
          <w:trHeight w:val="283"/>
        </w:trPr>
        <w:tc>
          <w:tcPr>
            <w:tcW w:w="4439" w:type="dxa"/>
            <w:tcBorders>
              <w:top w:val="nil"/>
              <w:left w:val="single" w:sz="4" w:space="0" w:color="D2232A" w:themeColor="accent1"/>
              <w:bottom w:val="single" w:sz="8" w:space="0" w:color="F3CFC1"/>
              <w:right w:val="nil"/>
            </w:tcBorders>
            <w:shd w:val="clear" w:color="auto" w:fill="auto"/>
            <w:noWrap/>
            <w:vAlign w:val="center"/>
            <w:hideMark/>
          </w:tcPr>
          <w:p w14:paraId="7C9A580C" w14:textId="77777777" w:rsidR="00F211E6" w:rsidRPr="00F211E6" w:rsidRDefault="00F211E6" w:rsidP="00166B79">
            <w:pPr>
              <w:spacing w:after="0" w:line="240" w:lineRule="auto"/>
              <w:jc w:val="left"/>
              <w:rPr>
                <w:rFonts w:eastAsia="Times New Roman" w:cs="Calibri"/>
                <w:color w:val="000000"/>
                <w:szCs w:val="18"/>
                <w:lang w:eastAsia="hr-HR"/>
              </w:rPr>
            </w:pPr>
            <w:r w:rsidRPr="00F211E6">
              <w:rPr>
                <w:rFonts w:eastAsia="Times New Roman" w:cs="Calibri"/>
                <w:color w:val="000000"/>
                <w:szCs w:val="18"/>
                <w:lang w:eastAsia="hr-HR"/>
              </w:rPr>
              <w:t>Opći kriminalitet</w:t>
            </w:r>
          </w:p>
        </w:tc>
        <w:tc>
          <w:tcPr>
            <w:tcW w:w="1532" w:type="dxa"/>
            <w:tcBorders>
              <w:top w:val="nil"/>
              <w:left w:val="nil"/>
              <w:bottom w:val="single" w:sz="8" w:space="0" w:color="F3CFC1"/>
              <w:right w:val="nil"/>
            </w:tcBorders>
            <w:shd w:val="clear" w:color="auto" w:fill="auto"/>
            <w:noWrap/>
            <w:vAlign w:val="center"/>
            <w:hideMark/>
          </w:tcPr>
          <w:p w14:paraId="4830AE28"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489</w:t>
            </w:r>
          </w:p>
        </w:tc>
        <w:tc>
          <w:tcPr>
            <w:tcW w:w="1532" w:type="dxa"/>
            <w:tcBorders>
              <w:top w:val="nil"/>
              <w:left w:val="nil"/>
              <w:bottom w:val="single" w:sz="8" w:space="0" w:color="F3CFC1"/>
              <w:right w:val="nil"/>
            </w:tcBorders>
            <w:shd w:val="clear" w:color="auto" w:fill="auto"/>
            <w:noWrap/>
            <w:vAlign w:val="center"/>
            <w:hideMark/>
          </w:tcPr>
          <w:p w14:paraId="0E9620A8"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557</w:t>
            </w:r>
          </w:p>
        </w:tc>
        <w:tc>
          <w:tcPr>
            <w:tcW w:w="1532" w:type="dxa"/>
            <w:tcBorders>
              <w:top w:val="nil"/>
              <w:left w:val="nil"/>
              <w:bottom w:val="single" w:sz="8" w:space="0" w:color="F3CFC1"/>
              <w:right w:val="single" w:sz="4" w:space="0" w:color="C00000"/>
            </w:tcBorders>
            <w:shd w:val="clear" w:color="auto" w:fill="auto"/>
            <w:noWrap/>
            <w:vAlign w:val="center"/>
            <w:hideMark/>
          </w:tcPr>
          <w:p w14:paraId="306F84A1"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13,9%</w:t>
            </w:r>
          </w:p>
        </w:tc>
      </w:tr>
      <w:tr w:rsidR="00F211E6" w:rsidRPr="00F211E6" w14:paraId="4C1F7D83" w14:textId="77777777" w:rsidTr="002B6335">
        <w:trPr>
          <w:trHeight w:val="283"/>
        </w:trPr>
        <w:tc>
          <w:tcPr>
            <w:tcW w:w="4439" w:type="dxa"/>
            <w:tcBorders>
              <w:top w:val="nil"/>
              <w:left w:val="single" w:sz="4" w:space="0" w:color="D2232A" w:themeColor="accent1"/>
              <w:bottom w:val="single" w:sz="8" w:space="0" w:color="F3CFC1"/>
              <w:right w:val="nil"/>
            </w:tcBorders>
            <w:shd w:val="clear" w:color="auto" w:fill="auto"/>
            <w:noWrap/>
            <w:vAlign w:val="center"/>
            <w:hideMark/>
          </w:tcPr>
          <w:p w14:paraId="4B5F2CEE" w14:textId="77777777" w:rsidR="00F211E6" w:rsidRPr="00F211E6" w:rsidRDefault="00F211E6" w:rsidP="00166B79">
            <w:pPr>
              <w:spacing w:after="0" w:line="240" w:lineRule="auto"/>
              <w:jc w:val="left"/>
              <w:rPr>
                <w:rFonts w:eastAsia="Times New Roman" w:cs="Calibri"/>
                <w:color w:val="000000"/>
                <w:szCs w:val="18"/>
                <w:lang w:eastAsia="hr-HR"/>
              </w:rPr>
            </w:pPr>
            <w:r w:rsidRPr="00F211E6">
              <w:rPr>
                <w:rFonts w:eastAsia="Times New Roman" w:cs="Calibri"/>
                <w:color w:val="000000"/>
                <w:szCs w:val="18"/>
                <w:lang w:eastAsia="hr-HR"/>
              </w:rPr>
              <w:t>Krim. na štetu mladeži i obitelji</w:t>
            </w:r>
          </w:p>
        </w:tc>
        <w:tc>
          <w:tcPr>
            <w:tcW w:w="1532" w:type="dxa"/>
            <w:tcBorders>
              <w:top w:val="nil"/>
              <w:left w:val="nil"/>
              <w:bottom w:val="single" w:sz="8" w:space="0" w:color="F3CFC1"/>
              <w:right w:val="nil"/>
            </w:tcBorders>
            <w:shd w:val="clear" w:color="auto" w:fill="auto"/>
            <w:noWrap/>
            <w:vAlign w:val="center"/>
            <w:hideMark/>
          </w:tcPr>
          <w:p w14:paraId="1D4B894B"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171</w:t>
            </w:r>
          </w:p>
        </w:tc>
        <w:tc>
          <w:tcPr>
            <w:tcW w:w="1532" w:type="dxa"/>
            <w:tcBorders>
              <w:top w:val="nil"/>
              <w:left w:val="nil"/>
              <w:bottom w:val="single" w:sz="8" w:space="0" w:color="F3CFC1"/>
              <w:right w:val="nil"/>
            </w:tcBorders>
            <w:shd w:val="clear" w:color="auto" w:fill="auto"/>
            <w:noWrap/>
            <w:vAlign w:val="center"/>
            <w:hideMark/>
          </w:tcPr>
          <w:p w14:paraId="75DECC1F"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261</w:t>
            </w:r>
          </w:p>
        </w:tc>
        <w:tc>
          <w:tcPr>
            <w:tcW w:w="1532" w:type="dxa"/>
            <w:tcBorders>
              <w:top w:val="nil"/>
              <w:left w:val="nil"/>
              <w:bottom w:val="single" w:sz="8" w:space="0" w:color="F3CFC1"/>
              <w:right w:val="single" w:sz="4" w:space="0" w:color="C00000"/>
            </w:tcBorders>
            <w:shd w:val="clear" w:color="auto" w:fill="auto"/>
            <w:noWrap/>
            <w:vAlign w:val="center"/>
            <w:hideMark/>
          </w:tcPr>
          <w:p w14:paraId="7F49C535"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52,6%</w:t>
            </w:r>
          </w:p>
        </w:tc>
      </w:tr>
      <w:tr w:rsidR="00F211E6" w:rsidRPr="00F211E6" w14:paraId="371F3EDE" w14:textId="77777777" w:rsidTr="002B6335">
        <w:trPr>
          <w:trHeight w:val="283"/>
        </w:trPr>
        <w:tc>
          <w:tcPr>
            <w:tcW w:w="4439" w:type="dxa"/>
            <w:tcBorders>
              <w:top w:val="nil"/>
              <w:left w:val="single" w:sz="4" w:space="0" w:color="D2232A" w:themeColor="accent1"/>
              <w:bottom w:val="single" w:sz="8" w:space="0" w:color="F3CFC1"/>
              <w:right w:val="nil"/>
            </w:tcBorders>
            <w:shd w:val="clear" w:color="auto" w:fill="auto"/>
            <w:noWrap/>
            <w:vAlign w:val="center"/>
            <w:hideMark/>
          </w:tcPr>
          <w:p w14:paraId="6F1EDCC9" w14:textId="77777777" w:rsidR="00F211E6" w:rsidRPr="00F211E6" w:rsidRDefault="00F211E6" w:rsidP="00166B79">
            <w:pPr>
              <w:spacing w:after="0" w:line="240" w:lineRule="auto"/>
              <w:jc w:val="left"/>
              <w:rPr>
                <w:rFonts w:eastAsia="Times New Roman" w:cs="Calibri"/>
                <w:color w:val="000000"/>
                <w:szCs w:val="18"/>
                <w:lang w:eastAsia="hr-HR"/>
              </w:rPr>
            </w:pPr>
            <w:r w:rsidRPr="00F211E6">
              <w:rPr>
                <w:rFonts w:eastAsia="Times New Roman" w:cs="Calibri"/>
                <w:color w:val="000000"/>
                <w:szCs w:val="18"/>
                <w:lang w:eastAsia="hr-HR"/>
              </w:rPr>
              <w:t xml:space="preserve">Gospodarski kriminalitet </w:t>
            </w:r>
          </w:p>
        </w:tc>
        <w:tc>
          <w:tcPr>
            <w:tcW w:w="1532" w:type="dxa"/>
            <w:tcBorders>
              <w:top w:val="nil"/>
              <w:left w:val="nil"/>
              <w:bottom w:val="single" w:sz="8" w:space="0" w:color="F3CFC1"/>
              <w:right w:val="nil"/>
            </w:tcBorders>
            <w:shd w:val="clear" w:color="auto" w:fill="auto"/>
            <w:noWrap/>
            <w:vAlign w:val="center"/>
            <w:hideMark/>
          </w:tcPr>
          <w:p w14:paraId="0E08EED4"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18</w:t>
            </w:r>
          </w:p>
        </w:tc>
        <w:tc>
          <w:tcPr>
            <w:tcW w:w="1532" w:type="dxa"/>
            <w:tcBorders>
              <w:top w:val="nil"/>
              <w:left w:val="nil"/>
              <w:bottom w:val="single" w:sz="8" w:space="0" w:color="F3CFC1"/>
              <w:right w:val="nil"/>
            </w:tcBorders>
            <w:shd w:val="clear" w:color="auto" w:fill="auto"/>
            <w:noWrap/>
            <w:vAlign w:val="center"/>
            <w:hideMark/>
          </w:tcPr>
          <w:p w14:paraId="07BEEC66"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24</w:t>
            </w:r>
          </w:p>
        </w:tc>
        <w:tc>
          <w:tcPr>
            <w:tcW w:w="1532" w:type="dxa"/>
            <w:tcBorders>
              <w:top w:val="nil"/>
              <w:left w:val="nil"/>
              <w:bottom w:val="single" w:sz="8" w:space="0" w:color="F3CFC1"/>
              <w:right w:val="single" w:sz="4" w:space="0" w:color="C00000"/>
            </w:tcBorders>
            <w:shd w:val="clear" w:color="auto" w:fill="auto"/>
            <w:noWrap/>
            <w:vAlign w:val="center"/>
            <w:hideMark/>
          </w:tcPr>
          <w:p w14:paraId="427FAD11"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33,3%</w:t>
            </w:r>
          </w:p>
        </w:tc>
      </w:tr>
      <w:tr w:rsidR="00F211E6" w:rsidRPr="00F211E6" w14:paraId="1F7BB5F9" w14:textId="77777777" w:rsidTr="002B6335">
        <w:trPr>
          <w:trHeight w:val="283"/>
        </w:trPr>
        <w:tc>
          <w:tcPr>
            <w:tcW w:w="4439" w:type="dxa"/>
            <w:tcBorders>
              <w:top w:val="nil"/>
              <w:left w:val="single" w:sz="4" w:space="0" w:color="D2232A" w:themeColor="accent1"/>
              <w:bottom w:val="single" w:sz="8" w:space="0" w:color="F3CFC1"/>
              <w:right w:val="nil"/>
            </w:tcBorders>
            <w:shd w:val="clear" w:color="auto" w:fill="auto"/>
            <w:noWrap/>
            <w:vAlign w:val="center"/>
            <w:hideMark/>
          </w:tcPr>
          <w:p w14:paraId="44BB8E62" w14:textId="77777777" w:rsidR="00F211E6" w:rsidRPr="00F211E6" w:rsidRDefault="00F211E6" w:rsidP="00166B79">
            <w:pPr>
              <w:spacing w:after="0" w:line="240" w:lineRule="auto"/>
              <w:jc w:val="left"/>
              <w:rPr>
                <w:rFonts w:eastAsia="Times New Roman" w:cs="Calibri"/>
                <w:color w:val="000000"/>
                <w:szCs w:val="18"/>
                <w:lang w:eastAsia="hr-HR"/>
              </w:rPr>
            </w:pPr>
            <w:r w:rsidRPr="00F211E6">
              <w:rPr>
                <w:rFonts w:eastAsia="Times New Roman" w:cs="Calibri"/>
                <w:color w:val="000000"/>
                <w:szCs w:val="18"/>
                <w:lang w:eastAsia="hr-HR"/>
              </w:rPr>
              <w:t>Kibernetički kriminalitet</w:t>
            </w:r>
          </w:p>
        </w:tc>
        <w:tc>
          <w:tcPr>
            <w:tcW w:w="1532" w:type="dxa"/>
            <w:tcBorders>
              <w:top w:val="nil"/>
              <w:left w:val="nil"/>
              <w:bottom w:val="single" w:sz="8" w:space="0" w:color="F3CFC1"/>
              <w:right w:val="nil"/>
            </w:tcBorders>
            <w:shd w:val="clear" w:color="auto" w:fill="auto"/>
            <w:noWrap/>
            <w:vAlign w:val="center"/>
            <w:hideMark/>
          </w:tcPr>
          <w:p w14:paraId="6A52273B"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16</w:t>
            </w:r>
          </w:p>
        </w:tc>
        <w:tc>
          <w:tcPr>
            <w:tcW w:w="1532" w:type="dxa"/>
            <w:tcBorders>
              <w:top w:val="nil"/>
              <w:left w:val="nil"/>
              <w:bottom w:val="single" w:sz="8" w:space="0" w:color="F3CFC1"/>
              <w:right w:val="nil"/>
            </w:tcBorders>
            <w:shd w:val="clear" w:color="auto" w:fill="auto"/>
            <w:noWrap/>
            <w:vAlign w:val="center"/>
            <w:hideMark/>
          </w:tcPr>
          <w:p w14:paraId="6CB7F645"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12</w:t>
            </w:r>
          </w:p>
        </w:tc>
        <w:tc>
          <w:tcPr>
            <w:tcW w:w="1532" w:type="dxa"/>
            <w:tcBorders>
              <w:top w:val="nil"/>
              <w:left w:val="nil"/>
              <w:bottom w:val="single" w:sz="8" w:space="0" w:color="F3CFC1"/>
              <w:right w:val="single" w:sz="4" w:space="0" w:color="C00000"/>
            </w:tcBorders>
            <w:shd w:val="clear" w:color="auto" w:fill="auto"/>
            <w:noWrap/>
            <w:vAlign w:val="center"/>
            <w:hideMark/>
          </w:tcPr>
          <w:p w14:paraId="686FAE39"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-25,0%</w:t>
            </w:r>
          </w:p>
        </w:tc>
      </w:tr>
      <w:tr w:rsidR="00F211E6" w:rsidRPr="00F211E6" w14:paraId="61A4975F" w14:textId="77777777" w:rsidTr="002B6335">
        <w:trPr>
          <w:trHeight w:val="283"/>
        </w:trPr>
        <w:tc>
          <w:tcPr>
            <w:tcW w:w="4439" w:type="dxa"/>
            <w:tcBorders>
              <w:top w:val="nil"/>
              <w:left w:val="single" w:sz="4" w:space="0" w:color="D2232A" w:themeColor="accent1"/>
              <w:bottom w:val="single" w:sz="8" w:space="0" w:color="F3CFC1"/>
              <w:right w:val="nil"/>
            </w:tcBorders>
            <w:shd w:val="clear" w:color="auto" w:fill="auto"/>
            <w:noWrap/>
            <w:vAlign w:val="center"/>
            <w:hideMark/>
          </w:tcPr>
          <w:p w14:paraId="6800CF32" w14:textId="77777777" w:rsidR="00F211E6" w:rsidRPr="00F211E6" w:rsidRDefault="00F211E6" w:rsidP="00166B79">
            <w:pPr>
              <w:spacing w:after="0" w:line="240" w:lineRule="auto"/>
              <w:jc w:val="left"/>
              <w:rPr>
                <w:rFonts w:eastAsia="Times New Roman" w:cs="Calibri"/>
                <w:color w:val="000000"/>
                <w:szCs w:val="18"/>
                <w:lang w:eastAsia="hr-HR"/>
              </w:rPr>
            </w:pPr>
            <w:r w:rsidRPr="00F211E6">
              <w:rPr>
                <w:rFonts w:eastAsia="Times New Roman" w:cs="Calibri"/>
                <w:color w:val="000000"/>
                <w:szCs w:val="18"/>
                <w:lang w:eastAsia="hr-HR"/>
              </w:rPr>
              <w:t>Organizirani kriminalitet</w:t>
            </w:r>
          </w:p>
        </w:tc>
        <w:tc>
          <w:tcPr>
            <w:tcW w:w="1532" w:type="dxa"/>
            <w:tcBorders>
              <w:top w:val="nil"/>
              <w:left w:val="nil"/>
              <w:bottom w:val="single" w:sz="8" w:space="0" w:color="F3CFC1"/>
              <w:right w:val="nil"/>
            </w:tcBorders>
            <w:shd w:val="clear" w:color="auto" w:fill="auto"/>
            <w:noWrap/>
            <w:vAlign w:val="center"/>
            <w:hideMark/>
          </w:tcPr>
          <w:p w14:paraId="0219A4C8"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38</w:t>
            </w:r>
          </w:p>
        </w:tc>
        <w:tc>
          <w:tcPr>
            <w:tcW w:w="1532" w:type="dxa"/>
            <w:tcBorders>
              <w:top w:val="nil"/>
              <w:left w:val="nil"/>
              <w:bottom w:val="single" w:sz="8" w:space="0" w:color="F3CFC1"/>
              <w:right w:val="nil"/>
            </w:tcBorders>
            <w:shd w:val="clear" w:color="auto" w:fill="auto"/>
            <w:noWrap/>
            <w:vAlign w:val="center"/>
            <w:hideMark/>
          </w:tcPr>
          <w:p w14:paraId="2CD34A8C"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39</w:t>
            </w:r>
          </w:p>
        </w:tc>
        <w:tc>
          <w:tcPr>
            <w:tcW w:w="1532" w:type="dxa"/>
            <w:tcBorders>
              <w:top w:val="nil"/>
              <w:left w:val="nil"/>
              <w:bottom w:val="single" w:sz="8" w:space="0" w:color="F3CFC1"/>
              <w:right w:val="single" w:sz="4" w:space="0" w:color="C00000"/>
            </w:tcBorders>
            <w:shd w:val="clear" w:color="auto" w:fill="auto"/>
            <w:noWrap/>
            <w:vAlign w:val="center"/>
            <w:hideMark/>
          </w:tcPr>
          <w:p w14:paraId="40DFB80D"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2,6%</w:t>
            </w:r>
          </w:p>
        </w:tc>
      </w:tr>
      <w:tr w:rsidR="00F211E6" w:rsidRPr="00F211E6" w14:paraId="52A6873B" w14:textId="77777777" w:rsidTr="002B6335">
        <w:trPr>
          <w:trHeight w:val="271"/>
        </w:trPr>
        <w:tc>
          <w:tcPr>
            <w:tcW w:w="4439" w:type="dxa"/>
            <w:tcBorders>
              <w:top w:val="nil"/>
              <w:left w:val="single" w:sz="4" w:space="0" w:color="D2232A" w:themeColor="accent1"/>
              <w:bottom w:val="nil"/>
              <w:right w:val="nil"/>
            </w:tcBorders>
            <w:shd w:val="clear" w:color="auto" w:fill="auto"/>
            <w:noWrap/>
            <w:vAlign w:val="center"/>
            <w:hideMark/>
          </w:tcPr>
          <w:p w14:paraId="025010C0" w14:textId="77777777" w:rsidR="00F211E6" w:rsidRPr="00F211E6" w:rsidRDefault="00F211E6" w:rsidP="00166B79">
            <w:pPr>
              <w:spacing w:after="0" w:line="240" w:lineRule="auto"/>
              <w:jc w:val="left"/>
              <w:rPr>
                <w:rFonts w:eastAsia="Times New Roman" w:cs="Calibri"/>
                <w:color w:val="000000"/>
                <w:szCs w:val="18"/>
                <w:lang w:eastAsia="hr-HR"/>
              </w:rPr>
            </w:pPr>
            <w:r w:rsidRPr="00F211E6">
              <w:rPr>
                <w:rFonts w:eastAsia="Times New Roman" w:cs="Calibri"/>
                <w:color w:val="000000"/>
                <w:szCs w:val="18"/>
                <w:lang w:eastAsia="hr-HR"/>
              </w:rPr>
              <w:t>Kriminalitet droga</w:t>
            </w:r>
          </w:p>
        </w:tc>
        <w:tc>
          <w:tcPr>
            <w:tcW w:w="1532" w:type="dxa"/>
            <w:tcBorders>
              <w:top w:val="nil"/>
              <w:left w:val="nil"/>
              <w:bottom w:val="nil"/>
              <w:right w:val="nil"/>
            </w:tcBorders>
            <w:shd w:val="clear" w:color="auto" w:fill="auto"/>
            <w:noWrap/>
            <w:vAlign w:val="center"/>
            <w:hideMark/>
          </w:tcPr>
          <w:p w14:paraId="549F452E"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54</w:t>
            </w:r>
          </w:p>
        </w:tc>
        <w:tc>
          <w:tcPr>
            <w:tcW w:w="1532" w:type="dxa"/>
            <w:tcBorders>
              <w:top w:val="nil"/>
              <w:left w:val="nil"/>
              <w:bottom w:val="nil"/>
              <w:right w:val="nil"/>
            </w:tcBorders>
            <w:shd w:val="clear" w:color="auto" w:fill="auto"/>
            <w:noWrap/>
            <w:vAlign w:val="center"/>
            <w:hideMark/>
          </w:tcPr>
          <w:p w14:paraId="7D2DCEBA"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61</w:t>
            </w:r>
          </w:p>
        </w:tc>
        <w:tc>
          <w:tcPr>
            <w:tcW w:w="1532" w:type="dxa"/>
            <w:tcBorders>
              <w:top w:val="nil"/>
              <w:left w:val="nil"/>
              <w:bottom w:val="nil"/>
              <w:right w:val="single" w:sz="4" w:space="0" w:color="C00000"/>
            </w:tcBorders>
            <w:shd w:val="clear" w:color="auto" w:fill="auto"/>
            <w:noWrap/>
            <w:vAlign w:val="center"/>
            <w:hideMark/>
          </w:tcPr>
          <w:p w14:paraId="61609E52" w14:textId="77777777" w:rsidR="00F211E6" w:rsidRPr="00F211E6" w:rsidRDefault="00F211E6" w:rsidP="00F211E6">
            <w:pPr>
              <w:spacing w:after="0" w:line="240" w:lineRule="auto"/>
              <w:jc w:val="center"/>
              <w:rPr>
                <w:rFonts w:eastAsia="Times New Roman" w:cs="Calibri"/>
                <w:color w:val="000000"/>
                <w:szCs w:val="18"/>
                <w:lang w:eastAsia="hr-HR"/>
              </w:rPr>
            </w:pPr>
            <w:r w:rsidRPr="00F211E6">
              <w:rPr>
                <w:rFonts w:eastAsia="Times New Roman" w:cs="Calibri"/>
                <w:color w:val="000000"/>
                <w:szCs w:val="18"/>
                <w:lang w:eastAsia="hr-HR"/>
              </w:rPr>
              <w:t>13,0%</w:t>
            </w:r>
          </w:p>
        </w:tc>
      </w:tr>
      <w:tr w:rsidR="00F211E6" w:rsidRPr="00F211E6" w14:paraId="0E413E0D" w14:textId="77777777" w:rsidTr="002B6335">
        <w:trPr>
          <w:trHeight w:val="271"/>
        </w:trPr>
        <w:tc>
          <w:tcPr>
            <w:tcW w:w="4439" w:type="dxa"/>
            <w:tcBorders>
              <w:top w:val="nil"/>
              <w:left w:val="single" w:sz="4" w:space="0" w:color="D2232A" w:themeColor="accent1"/>
              <w:bottom w:val="single" w:sz="4" w:space="0" w:color="C00000"/>
              <w:right w:val="nil"/>
            </w:tcBorders>
            <w:shd w:val="clear" w:color="000000" w:fill="E5E5E5"/>
            <w:vAlign w:val="center"/>
            <w:hideMark/>
          </w:tcPr>
          <w:p w14:paraId="599EBB4C" w14:textId="77777777" w:rsidR="00F211E6" w:rsidRPr="00F211E6" w:rsidRDefault="00F211E6" w:rsidP="00F211E6">
            <w:pPr>
              <w:spacing w:after="0" w:line="240" w:lineRule="auto"/>
              <w:jc w:val="center"/>
              <w:rPr>
                <w:rFonts w:eastAsia="Times New Roman" w:cs="Calibri"/>
                <w:b/>
                <w:bCs/>
                <w:color w:val="3F3F3F"/>
                <w:szCs w:val="18"/>
                <w:lang w:eastAsia="hr-HR"/>
              </w:rPr>
            </w:pPr>
            <w:r w:rsidRPr="00F211E6">
              <w:rPr>
                <w:rFonts w:eastAsia="Times New Roman" w:cs="Calibri"/>
                <w:b/>
                <w:bCs/>
                <w:color w:val="3F3F3F"/>
                <w:szCs w:val="18"/>
                <w:lang w:eastAsia="hr-HR"/>
              </w:rPr>
              <w:t>UKUPNO</w:t>
            </w:r>
          </w:p>
        </w:tc>
        <w:tc>
          <w:tcPr>
            <w:tcW w:w="1532" w:type="dxa"/>
            <w:tcBorders>
              <w:top w:val="nil"/>
              <w:left w:val="nil"/>
              <w:bottom w:val="single" w:sz="4" w:space="0" w:color="C00000"/>
              <w:right w:val="nil"/>
            </w:tcBorders>
            <w:shd w:val="clear" w:color="000000" w:fill="E5E5E5"/>
            <w:vAlign w:val="center"/>
            <w:hideMark/>
          </w:tcPr>
          <w:p w14:paraId="39843CC9" w14:textId="77777777" w:rsidR="00F211E6" w:rsidRPr="00F211E6" w:rsidRDefault="00F211E6" w:rsidP="00F211E6">
            <w:pPr>
              <w:spacing w:after="0" w:line="240" w:lineRule="auto"/>
              <w:jc w:val="center"/>
              <w:rPr>
                <w:rFonts w:eastAsia="Times New Roman" w:cs="Calibri"/>
                <w:b/>
                <w:bCs/>
                <w:color w:val="3F3F3F"/>
                <w:szCs w:val="18"/>
                <w:lang w:eastAsia="hr-HR"/>
              </w:rPr>
            </w:pPr>
            <w:r w:rsidRPr="00F211E6">
              <w:rPr>
                <w:rFonts w:eastAsia="Times New Roman" w:cs="Calibri"/>
                <w:b/>
                <w:bCs/>
                <w:color w:val="3F3F3F"/>
                <w:szCs w:val="18"/>
                <w:lang w:eastAsia="hr-HR"/>
              </w:rPr>
              <w:t>786</w:t>
            </w:r>
          </w:p>
        </w:tc>
        <w:tc>
          <w:tcPr>
            <w:tcW w:w="1532" w:type="dxa"/>
            <w:tcBorders>
              <w:top w:val="nil"/>
              <w:left w:val="nil"/>
              <w:bottom w:val="single" w:sz="4" w:space="0" w:color="C00000"/>
              <w:right w:val="nil"/>
            </w:tcBorders>
            <w:shd w:val="clear" w:color="000000" w:fill="E5E5E5"/>
            <w:vAlign w:val="center"/>
            <w:hideMark/>
          </w:tcPr>
          <w:p w14:paraId="211CAD42" w14:textId="77777777" w:rsidR="00F211E6" w:rsidRPr="00F211E6" w:rsidRDefault="00F211E6" w:rsidP="00F211E6">
            <w:pPr>
              <w:spacing w:after="0" w:line="240" w:lineRule="auto"/>
              <w:jc w:val="center"/>
              <w:rPr>
                <w:rFonts w:eastAsia="Times New Roman" w:cs="Calibri"/>
                <w:b/>
                <w:bCs/>
                <w:color w:val="3F3F3F"/>
                <w:szCs w:val="18"/>
                <w:lang w:eastAsia="hr-HR"/>
              </w:rPr>
            </w:pPr>
            <w:r w:rsidRPr="00F211E6">
              <w:rPr>
                <w:rFonts w:eastAsia="Times New Roman" w:cs="Calibri"/>
                <w:b/>
                <w:bCs/>
                <w:color w:val="3F3F3F"/>
                <w:szCs w:val="18"/>
                <w:lang w:eastAsia="hr-HR"/>
              </w:rPr>
              <w:t>954</w:t>
            </w:r>
          </w:p>
        </w:tc>
        <w:tc>
          <w:tcPr>
            <w:tcW w:w="1532" w:type="dxa"/>
            <w:tcBorders>
              <w:top w:val="nil"/>
              <w:left w:val="nil"/>
              <w:bottom w:val="single" w:sz="4" w:space="0" w:color="C00000"/>
              <w:right w:val="single" w:sz="4" w:space="0" w:color="C00000"/>
            </w:tcBorders>
            <w:shd w:val="clear" w:color="000000" w:fill="E5E5E5"/>
            <w:vAlign w:val="center"/>
            <w:hideMark/>
          </w:tcPr>
          <w:p w14:paraId="642F8654" w14:textId="77777777" w:rsidR="00F211E6" w:rsidRPr="00F211E6" w:rsidRDefault="00F211E6" w:rsidP="00F211E6">
            <w:pPr>
              <w:spacing w:after="0" w:line="240" w:lineRule="auto"/>
              <w:jc w:val="center"/>
              <w:rPr>
                <w:rFonts w:eastAsia="Times New Roman" w:cs="Calibri"/>
                <w:b/>
                <w:bCs/>
                <w:color w:val="3F3F3F"/>
                <w:szCs w:val="18"/>
                <w:lang w:eastAsia="hr-HR"/>
              </w:rPr>
            </w:pPr>
            <w:r w:rsidRPr="00F211E6">
              <w:rPr>
                <w:rFonts w:eastAsia="Times New Roman" w:cs="Calibri"/>
                <w:b/>
                <w:bCs/>
                <w:color w:val="3F3F3F"/>
                <w:szCs w:val="18"/>
                <w:lang w:eastAsia="hr-HR"/>
              </w:rPr>
              <w:t>21,4%</w:t>
            </w:r>
          </w:p>
        </w:tc>
      </w:tr>
    </w:tbl>
    <w:p w14:paraId="4B25AB79" w14:textId="354BBF8A" w:rsidR="0009205D" w:rsidRPr="006525B8" w:rsidRDefault="00F211E6"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 xml:space="preserve">Izvor: </w:t>
      </w:r>
      <w:r w:rsidR="00166B79" w:rsidRPr="006525B8">
        <w:rPr>
          <w:rFonts w:eastAsia="ArialNarrow" w:cstheme="minorHAnsi"/>
          <w:i/>
          <w:color w:val="ABABAB" w:themeColor="text1" w:themeTint="A6"/>
          <w:sz w:val="16"/>
          <w:szCs w:val="16"/>
        </w:rPr>
        <w:t>Godišnje izvješće o stanju sigurnosti na području PU Krapinsko- zagorske u 2019. godini</w:t>
      </w:r>
    </w:p>
    <w:p w14:paraId="7E08FC65" w14:textId="77777777" w:rsidR="00166B79" w:rsidRDefault="00166B79" w:rsidP="00166B79">
      <w:pPr>
        <w:autoSpaceDE w:val="0"/>
        <w:autoSpaceDN w:val="0"/>
        <w:adjustRightInd w:val="0"/>
        <w:spacing w:after="0" w:line="240" w:lineRule="auto"/>
        <w:rPr>
          <w:rFonts w:eastAsia="ArialNarrow" w:cstheme="minorHAnsi"/>
        </w:rPr>
      </w:pPr>
    </w:p>
    <w:p w14:paraId="309DE191" w14:textId="22FE54D5" w:rsidR="00F211E6" w:rsidRDefault="00166B79" w:rsidP="0057366D">
      <w:pPr>
        <w:autoSpaceDE w:val="0"/>
        <w:autoSpaceDN w:val="0"/>
        <w:adjustRightInd w:val="0"/>
        <w:spacing w:after="0" w:line="240" w:lineRule="auto"/>
        <w:rPr>
          <w:rFonts w:eastAsia="ArialNarrow" w:cstheme="minorHAnsi"/>
        </w:rPr>
      </w:pPr>
      <w:r>
        <w:rPr>
          <w:rFonts w:eastAsia="ArialNarrow" w:cstheme="minorHAnsi"/>
        </w:rPr>
        <w:t xml:space="preserve">Iz </w:t>
      </w:r>
      <w:r w:rsidRPr="00035E26">
        <w:rPr>
          <w:rFonts w:eastAsia="ArialNarrow" w:cstheme="minorHAnsi"/>
          <w:i/>
          <w:iCs/>
        </w:rPr>
        <w:t xml:space="preserve">Tablice </w:t>
      </w:r>
      <w:r>
        <w:rPr>
          <w:rFonts w:eastAsia="ArialNarrow" w:cstheme="minorHAnsi"/>
          <w:i/>
          <w:iCs/>
        </w:rPr>
        <w:t>1</w:t>
      </w:r>
      <w:r w:rsidR="00450193">
        <w:rPr>
          <w:rFonts w:eastAsia="ArialNarrow" w:cstheme="minorHAnsi"/>
          <w:i/>
          <w:iCs/>
        </w:rPr>
        <w:t>9</w:t>
      </w:r>
      <w:r>
        <w:rPr>
          <w:rFonts w:eastAsia="ArialNarrow" w:cstheme="minorHAnsi"/>
          <w:i/>
          <w:iCs/>
        </w:rPr>
        <w:t>.</w:t>
      </w:r>
      <w:r w:rsidRPr="00035E26">
        <w:rPr>
          <w:rFonts w:eastAsia="ArialNarrow" w:cstheme="minorHAnsi"/>
          <w:i/>
          <w:iCs/>
        </w:rPr>
        <w:t xml:space="preserve"> - </w:t>
      </w:r>
      <w:r w:rsidRPr="00035E26">
        <w:rPr>
          <w:rFonts w:cstheme="minorHAnsi"/>
          <w:i/>
          <w:iCs/>
        </w:rPr>
        <w:t xml:space="preserve">Rasprostranjenost kriminaliteta 2014. </w:t>
      </w:r>
      <w:r w:rsidR="00D179B2">
        <w:rPr>
          <w:rFonts w:cstheme="minorHAnsi"/>
          <w:i/>
          <w:iCs/>
        </w:rPr>
        <w:t>-</w:t>
      </w:r>
      <w:r w:rsidRPr="00035E26">
        <w:rPr>
          <w:rFonts w:cstheme="minorHAnsi"/>
          <w:i/>
          <w:iCs/>
        </w:rPr>
        <w:t xml:space="preserve"> 201</w:t>
      </w:r>
      <w:r>
        <w:rPr>
          <w:rFonts w:cstheme="minorHAnsi"/>
          <w:i/>
          <w:iCs/>
        </w:rPr>
        <w:t>9</w:t>
      </w:r>
      <w:r w:rsidRPr="00035E26">
        <w:rPr>
          <w:rFonts w:cstheme="minorHAnsi"/>
          <w:i/>
          <w:iCs/>
        </w:rPr>
        <w:t>. Krapinsko-zagorsk</w:t>
      </w:r>
      <w:r>
        <w:rPr>
          <w:rFonts w:cstheme="minorHAnsi"/>
          <w:i/>
          <w:iCs/>
        </w:rPr>
        <w:t>e</w:t>
      </w:r>
      <w:r w:rsidRPr="00035E26">
        <w:rPr>
          <w:rFonts w:cstheme="minorHAnsi"/>
          <w:i/>
          <w:iCs/>
        </w:rPr>
        <w:t xml:space="preserve"> županij</w:t>
      </w:r>
      <w:r>
        <w:rPr>
          <w:rFonts w:cstheme="minorHAnsi"/>
          <w:i/>
          <w:iCs/>
        </w:rPr>
        <w:t>e</w:t>
      </w:r>
      <w:r w:rsidRPr="00035E26">
        <w:rPr>
          <w:rFonts w:cstheme="minorHAnsi"/>
          <w:i/>
          <w:iCs/>
        </w:rPr>
        <w:t xml:space="preserve"> i usporedne županije</w:t>
      </w:r>
      <w:r>
        <w:rPr>
          <w:rFonts w:cstheme="minorHAnsi"/>
        </w:rPr>
        <w:t>,</w:t>
      </w:r>
      <w:r>
        <w:rPr>
          <w:rStyle w:val="Referencakomentara"/>
          <w:rFonts w:cstheme="minorHAnsi"/>
        </w:rPr>
        <w:t xml:space="preserve"> </w:t>
      </w:r>
      <w:r>
        <w:rPr>
          <w:rFonts w:eastAsia="ArialNarrow" w:cstheme="minorHAnsi"/>
        </w:rPr>
        <w:t>vidi se da je u Krapinsko-zagorskoj županiji, kao i u ostalim promatranim županijama, do 2018. smanjen udio kriminaliteta u ukupnom kriminalitetu u Republici Hrvatskoj za 10%. U 2019. udio kriminaliteta na razini Republike Hrvatske povećan je za 9,18% u odnosu na 2018. godinu dok udio kriminaliteta Krapinsko-zagorske županije u 2019. godini iznosi 1,74% ukupno izvršenih kaznenih djela u Republici Hrvatskoj.</w:t>
      </w:r>
    </w:p>
    <w:p w14:paraId="2943A04D" w14:textId="77777777" w:rsidR="0057366D" w:rsidRPr="0057366D" w:rsidRDefault="0057366D" w:rsidP="0057366D">
      <w:pPr>
        <w:autoSpaceDE w:val="0"/>
        <w:autoSpaceDN w:val="0"/>
        <w:adjustRightInd w:val="0"/>
        <w:spacing w:after="0" w:line="240" w:lineRule="auto"/>
        <w:rPr>
          <w:rFonts w:eastAsia="ArialNarrow" w:cstheme="minorHAnsi"/>
        </w:rPr>
      </w:pPr>
    </w:p>
    <w:p w14:paraId="13295B3A" w14:textId="4069AB02" w:rsidR="00E0359C" w:rsidRDefault="00E0359C" w:rsidP="0057366D">
      <w:pPr>
        <w:pStyle w:val="Tekstkomentara"/>
        <w:jc w:val="both"/>
        <w:rPr>
          <w:rFonts w:ascii="Newslab" w:eastAsia="ArialNarrow" w:hAnsi="Newslab" w:cstheme="minorHAnsi"/>
          <w:color w:val="3F3F3F" w:themeColor="text1" w:themeShade="80"/>
          <w:sz w:val="18"/>
        </w:rPr>
      </w:pPr>
      <w:r w:rsidRPr="0057366D">
        <w:rPr>
          <w:rFonts w:ascii="Newslab" w:eastAsia="ArialNarrow" w:hAnsi="Newslab" w:cstheme="minorHAnsi"/>
          <w:color w:val="3F3F3F" w:themeColor="text1" w:themeShade="80"/>
          <w:sz w:val="18"/>
        </w:rPr>
        <w:t xml:space="preserve">Na području Krapinsko-zagorske županije provodile su se u 2019. godini </w:t>
      </w:r>
      <w:r w:rsidR="00C63B5E" w:rsidRPr="0057366D">
        <w:rPr>
          <w:rFonts w:ascii="Newslab" w:eastAsia="ArialNarrow" w:hAnsi="Newslab" w:cstheme="minorHAnsi"/>
          <w:color w:val="3F3F3F" w:themeColor="text1" w:themeShade="80"/>
          <w:sz w:val="18"/>
        </w:rPr>
        <w:t xml:space="preserve">preventivne aktivnosti </w:t>
      </w:r>
      <w:r w:rsidR="0057366D" w:rsidRPr="0057366D">
        <w:rPr>
          <w:rFonts w:ascii="Newslab" w:eastAsia="ArialNarrow" w:hAnsi="Newslab" w:cstheme="minorHAnsi"/>
          <w:color w:val="3F3F3F" w:themeColor="text1" w:themeShade="80"/>
          <w:sz w:val="18"/>
        </w:rPr>
        <w:t>kao što su prevencija kaznenih djela protiv imovine, prevencija nasilja u obitelji, nasilja nad ženama i međuvršnjačkog nasilja (</w:t>
      </w:r>
      <w:r w:rsidRPr="0057366D">
        <w:rPr>
          <w:rFonts w:ascii="Newslab" w:eastAsia="ArialNarrow" w:hAnsi="Newslab" w:cstheme="minorHAnsi"/>
          <w:color w:val="3F3F3F" w:themeColor="text1" w:themeShade="80"/>
          <w:sz w:val="18"/>
        </w:rPr>
        <w:t>Provođenje protokola o postupanju u slučaju nasilja u obitelji</w:t>
      </w:r>
      <w:r w:rsidR="0057366D" w:rsidRPr="0057366D">
        <w:rPr>
          <w:rFonts w:ascii="Newslab" w:eastAsia="ArialNarrow" w:hAnsi="Newslab" w:cstheme="minorHAnsi"/>
          <w:color w:val="3F3F3F" w:themeColor="text1" w:themeShade="80"/>
          <w:sz w:val="18"/>
        </w:rPr>
        <w:t>), prevencija razvoja ovisnosti među mladima (</w:t>
      </w:r>
      <w:r w:rsidRPr="0057366D">
        <w:rPr>
          <w:rFonts w:ascii="Newslab" w:eastAsia="ArialNarrow" w:hAnsi="Newslab" w:cstheme="minorHAnsi"/>
          <w:color w:val="3F3F3F" w:themeColor="text1" w:themeShade="80"/>
          <w:sz w:val="18"/>
        </w:rPr>
        <w:t>„Sigurno na mobitelu i internetu”</w:t>
      </w:r>
      <w:r w:rsidR="0057366D" w:rsidRPr="0057366D">
        <w:rPr>
          <w:rFonts w:ascii="Newslab" w:eastAsia="ArialNarrow" w:hAnsi="Newslab" w:cstheme="minorHAnsi"/>
          <w:color w:val="3F3F3F" w:themeColor="text1" w:themeShade="80"/>
          <w:sz w:val="18"/>
        </w:rPr>
        <w:t xml:space="preserve">, </w:t>
      </w:r>
      <w:r w:rsidRPr="0057366D">
        <w:rPr>
          <w:rFonts w:ascii="Newslab" w:eastAsia="ArialNarrow" w:hAnsi="Newslab" w:cstheme="minorHAnsi"/>
          <w:color w:val="3F3F3F" w:themeColor="text1" w:themeShade="80"/>
          <w:sz w:val="18"/>
        </w:rPr>
        <w:t>nacionalni projekt „Zdrav za 5”</w:t>
      </w:r>
      <w:r w:rsidR="0057366D" w:rsidRPr="0057366D">
        <w:rPr>
          <w:rFonts w:ascii="Newslab" w:eastAsia="ArialNarrow" w:hAnsi="Newslab" w:cstheme="minorHAnsi"/>
          <w:color w:val="3F3F3F" w:themeColor="text1" w:themeShade="80"/>
          <w:sz w:val="18"/>
        </w:rPr>
        <w:t xml:space="preserve">, </w:t>
      </w:r>
      <w:r w:rsidRPr="0057366D">
        <w:rPr>
          <w:rFonts w:ascii="Newslab" w:eastAsia="ArialNarrow" w:hAnsi="Newslab" w:cstheme="minorHAnsi"/>
          <w:color w:val="3F3F3F" w:themeColor="text1" w:themeShade="80"/>
          <w:sz w:val="18"/>
        </w:rPr>
        <w:t>prevencija razvoja ovisnosti kod osoba mlađe životne dobi</w:t>
      </w:r>
      <w:r w:rsidR="0057366D" w:rsidRPr="0057366D">
        <w:rPr>
          <w:rFonts w:ascii="Newslab" w:eastAsia="ArialNarrow" w:hAnsi="Newslab" w:cstheme="minorHAnsi"/>
          <w:color w:val="3F3F3F" w:themeColor="text1" w:themeShade="80"/>
          <w:sz w:val="18"/>
        </w:rPr>
        <w:t>)</w:t>
      </w:r>
      <w:r w:rsidR="0057366D">
        <w:rPr>
          <w:rFonts w:ascii="Newslab" w:eastAsia="ArialNarrow" w:hAnsi="Newslab" w:cstheme="minorHAnsi"/>
          <w:color w:val="3F3F3F" w:themeColor="text1" w:themeShade="80"/>
          <w:sz w:val="18"/>
        </w:rPr>
        <w:t xml:space="preserve">, </w:t>
      </w:r>
      <w:r w:rsidR="0057366D" w:rsidRPr="00E0359C">
        <w:rPr>
          <w:rFonts w:ascii="Newslab" w:eastAsia="ArialNarrow" w:hAnsi="Newslab" w:cstheme="minorHAnsi"/>
          <w:color w:val="3F3F3F" w:themeColor="text1" w:themeShade="80"/>
          <w:sz w:val="18"/>
        </w:rPr>
        <w:t>prevencija zlouporabe modernih medija</w:t>
      </w:r>
      <w:r w:rsidR="0057366D">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„MANJE ORUŽJA –</w:t>
      </w:r>
      <w:r w:rsidR="001D22B6">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MANJE TRAGEDIJA”</w:t>
      </w:r>
      <w:r w:rsidR="0057366D">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„ZAJEDNO VIŠE MOŽEMO”</w:t>
      </w:r>
      <w:r w:rsidR="0057366D">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„BICIKLIRAJMO</w:t>
      </w:r>
      <w:r w:rsidR="00C63B5E">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SIGURNO”</w:t>
      </w:r>
      <w:r w:rsidR="0057366D">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„ZAŠTITA ŽRTAVA KAZNENOG DJELA I PREKRŠAJA”</w:t>
      </w:r>
      <w:r w:rsidR="0057366D">
        <w:rPr>
          <w:rFonts w:ascii="Newslab" w:eastAsia="ArialNarrow" w:hAnsi="Newslab" w:cstheme="minorHAnsi"/>
          <w:color w:val="3F3F3F" w:themeColor="text1" w:themeShade="80"/>
          <w:sz w:val="18"/>
        </w:rPr>
        <w:t>,</w:t>
      </w:r>
      <w:r w:rsidR="001D22B6">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„MIR I DOBRO”</w:t>
      </w:r>
      <w:r w:rsidR="0057366D">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„POŠTUJTE NAŠE ZNAKOVE”</w:t>
      </w:r>
      <w:r w:rsidR="0057366D">
        <w:rPr>
          <w:rFonts w:ascii="Newslab" w:eastAsia="ArialNarrow" w:hAnsi="Newslab" w:cstheme="minorHAnsi"/>
          <w:color w:val="3F3F3F" w:themeColor="text1" w:themeShade="80"/>
          <w:sz w:val="18"/>
        </w:rPr>
        <w:t>,</w:t>
      </w:r>
      <w:r w:rsidR="001D22B6">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„SIGURNO U ZLATNIM GODINAMA”</w:t>
      </w:r>
      <w:r w:rsidR="0057366D">
        <w:rPr>
          <w:rFonts w:ascii="Newslab" w:eastAsia="ArialNarrow" w:hAnsi="Newslab" w:cstheme="minorHAnsi"/>
          <w:color w:val="3F3F3F" w:themeColor="text1" w:themeShade="80"/>
          <w:sz w:val="18"/>
        </w:rPr>
        <w:t>,</w:t>
      </w:r>
      <w:r w:rsidR="001D22B6">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„JUMICAR” –</w:t>
      </w:r>
      <w:r w:rsidR="001D22B6">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program prometne kulture za najmlađe</w:t>
      </w:r>
      <w:r w:rsidR="0057366D">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„LILY” –</w:t>
      </w:r>
      <w:r w:rsidR="001D22B6">
        <w:rPr>
          <w:rFonts w:ascii="Newslab" w:eastAsia="ArialNarrow" w:hAnsi="Newslab" w:cstheme="minorHAnsi"/>
          <w:color w:val="3F3F3F" w:themeColor="text1" w:themeShade="80"/>
          <w:sz w:val="18"/>
        </w:rPr>
        <w:t xml:space="preserve"> </w:t>
      </w:r>
      <w:r w:rsidRPr="00E0359C">
        <w:rPr>
          <w:rFonts w:ascii="Newslab" w:eastAsia="ArialNarrow" w:hAnsi="Newslab" w:cstheme="minorHAnsi"/>
          <w:color w:val="3F3F3F" w:themeColor="text1" w:themeShade="80"/>
          <w:sz w:val="18"/>
        </w:rPr>
        <w:t>prevencija svih oblika nasilja nad ženama</w:t>
      </w:r>
      <w:r w:rsidR="0057366D">
        <w:rPr>
          <w:rFonts w:ascii="Newslab" w:eastAsia="ArialNarrow" w:hAnsi="Newslab" w:cstheme="minorHAnsi"/>
          <w:color w:val="3F3F3F" w:themeColor="text1" w:themeShade="80"/>
          <w:sz w:val="18"/>
        </w:rPr>
        <w:t>.</w:t>
      </w:r>
    </w:p>
    <w:p w14:paraId="361EDB75" w14:textId="77777777" w:rsidR="00E0359C" w:rsidRPr="00E0359C" w:rsidRDefault="00E0359C" w:rsidP="00E0359C">
      <w:pPr>
        <w:pStyle w:val="Tekstkomentara"/>
        <w:rPr>
          <w:rFonts w:ascii="Newslab" w:eastAsia="ArialNarrow" w:hAnsi="Newslab" w:cstheme="minorHAnsi"/>
          <w:color w:val="3F3F3F" w:themeColor="text1" w:themeShade="80"/>
          <w:sz w:val="18"/>
        </w:rPr>
      </w:pPr>
    </w:p>
    <w:p w14:paraId="478B6D9D" w14:textId="1702C35F" w:rsidR="008878A0" w:rsidRDefault="00D179B2" w:rsidP="0052192B">
      <w:pPr>
        <w:pStyle w:val="Naslov2"/>
        <w:rPr>
          <w:sz w:val="26"/>
          <w:szCs w:val="26"/>
        </w:rPr>
      </w:pPr>
      <w:bookmarkStart w:id="74" w:name="_Hlk61334641"/>
      <w:bookmarkStart w:id="75" w:name="_Toc85181296"/>
      <w:r>
        <w:t>5</w:t>
      </w:r>
      <w:r w:rsidR="008878A0">
        <w:t>.3. Institucionalna obilježja socijalne skrbi</w:t>
      </w:r>
      <w:bookmarkEnd w:id="75"/>
    </w:p>
    <w:bookmarkEnd w:id="74"/>
    <w:p w14:paraId="4AF8F454" w14:textId="77777777" w:rsidR="008878A0" w:rsidRDefault="008878A0" w:rsidP="00941871">
      <w:pPr>
        <w:autoSpaceDE w:val="0"/>
        <w:autoSpaceDN w:val="0"/>
        <w:adjustRightInd w:val="0"/>
        <w:spacing w:after="0" w:line="240" w:lineRule="auto"/>
        <w:rPr>
          <w:rFonts w:eastAsia="ArialNarrow" w:cstheme="minorHAnsi"/>
        </w:rPr>
      </w:pPr>
    </w:p>
    <w:p w14:paraId="5609EBDD" w14:textId="2D245128" w:rsidR="006326D6" w:rsidRPr="00411D05" w:rsidRDefault="008878A0" w:rsidP="00BF7D45">
      <w:pPr>
        <w:autoSpaceDE w:val="0"/>
        <w:autoSpaceDN w:val="0"/>
        <w:adjustRightInd w:val="0"/>
        <w:spacing w:after="0" w:line="240" w:lineRule="auto"/>
        <w:rPr>
          <w:rFonts w:eastAsia="ArialNarrow" w:cstheme="minorHAnsi"/>
        </w:rPr>
      </w:pPr>
      <w:r>
        <w:rPr>
          <w:rFonts w:eastAsia="ArialNarrow" w:cstheme="minorHAnsi"/>
        </w:rPr>
        <w:t>Usluge socijalne skrbi na području Krapinsko-zagorske županije pružaju centri za socijalnu skrb, domovi socijalne skrbi i obiteljski domovi. U Krapinsko-zagorskoj županiji djeluju 4 centra za socijalnu skrb (CZSS): Donja Stubica, Krapina, Zabok i Zlatar Bistrica i tri podružnice: Pregrada, Klanjec i CZSS Krapina - podružnica Obiteljskog centra</w:t>
      </w:r>
      <w:r w:rsidR="001D22B6">
        <w:rPr>
          <w:rFonts w:eastAsia="ArialNarrow" w:cstheme="minorHAnsi"/>
        </w:rPr>
        <w:t>.</w:t>
      </w:r>
      <w:r w:rsidR="000630AD">
        <w:rPr>
          <w:rFonts w:eastAsia="ArialNarrow" w:cstheme="minorHAnsi"/>
        </w:rPr>
        <w:t xml:space="preserve"> Usluge koje pružaju centri za socijalnu skrb propisane su zakonom te su kao takve jednako dostupne u svim ustanovama na području županije. Do razlike dolazi u pogledu pristupačnosti lokacije centra (ovisno o mjestu prebivališta, stanovnici u mjestu sjedišta centra lakše koriste usluge u odnosu na stanovnike koji </w:t>
      </w:r>
      <w:r w:rsidR="00C122EE">
        <w:rPr>
          <w:rFonts w:eastAsia="ArialNarrow" w:cstheme="minorHAnsi"/>
        </w:rPr>
        <w:t xml:space="preserve">stanuju dalje od sjedišta). </w:t>
      </w:r>
      <w:r w:rsidR="000232A5">
        <w:rPr>
          <w:rFonts w:eastAsia="ArialNarrow" w:cstheme="minorHAnsi"/>
        </w:rPr>
        <w:t xml:space="preserve">Dostupnost ovisi i o mreži javnog prijevoza koja nije razvijena, zbog čega postoji razlika u dostupnosti između jedinica lokalne samouprave. </w:t>
      </w:r>
    </w:p>
    <w:p w14:paraId="027E5C92" w14:textId="77777777" w:rsidR="006326D6" w:rsidRDefault="006326D6" w:rsidP="00BF7D45">
      <w:pPr>
        <w:autoSpaceDE w:val="0"/>
        <w:autoSpaceDN w:val="0"/>
        <w:adjustRightInd w:val="0"/>
        <w:spacing w:after="0" w:line="240" w:lineRule="auto"/>
      </w:pPr>
    </w:p>
    <w:p w14:paraId="43A32D6B" w14:textId="08A85254" w:rsidR="002632A6" w:rsidRPr="006326D6" w:rsidRDefault="008878A0" w:rsidP="00BF7D45">
      <w:pPr>
        <w:autoSpaceDE w:val="0"/>
        <w:autoSpaceDN w:val="0"/>
        <w:adjustRightInd w:val="0"/>
        <w:spacing w:after="0" w:line="240" w:lineRule="auto"/>
      </w:pPr>
      <w:r w:rsidRPr="006326D6">
        <w:t xml:space="preserve">Tablica </w:t>
      </w:r>
      <w:r w:rsidR="00D179B2">
        <w:rPr>
          <w:noProof/>
        </w:rPr>
        <w:t>2</w:t>
      </w:r>
      <w:r w:rsidR="00450193">
        <w:rPr>
          <w:noProof/>
        </w:rPr>
        <w:t>1</w:t>
      </w:r>
      <w:r w:rsidR="009B61D3" w:rsidRPr="006326D6">
        <w:rPr>
          <w:noProof/>
        </w:rPr>
        <w:t>.</w:t>
      </w:r>
      <w:r w:rsidRPr="006326D6">
        <w:t xml:space="preserve"> Broj djelatnika u centrima za socijalnu skrb 2016. -</w:t>
      </w:r>
      <w:r w:rsidR="00F07E79">
        <w:t xml:space="preserve"> </w:t>
      </w:r>
      <w:r w:rsidRPr="006326D6">
        <w:t>2019.</w:t>
      </w:r>
    </w:p>
    <w:tbl>
      <w:tblPr>
        <w:tblW w:w="9067" w:type="dxa"/>
        <w:tblLook w:val="04A0" w:firstRow="1" w:lastRow="0" w:firstColumn="1" w:lastColumn="0" w:noHBand="0" w:noVBand="1"/>
      </w:tblPr>
      <w:tblGrid>
        <w:gridCol w:w="4957"/>
        <w:gridCol w:w="1134"/>
        <w:gridCol w:w="992"/>
        <w:gridCol w:w="992"/>
        <w:gridCol w:w="992"/>
      </w:tblGrid>
      <w:tr w:rsidR="008878A0" w:rsidRPr="009B61D3" w14:paraId="798970E0" w14:textId="77777777" w:rsidTr="009B61D3">
        <w:trPr>
          <w:trHeight w:val="283"/>
          <w:tblHeader/>
        </w:trPr>
        <w:tc>
          <w:tcPr>
            <w:tcW w:w="4957" w:type="dxa"/>
            <w:vMerge w:val="restart"/>
            <w:shd w:val="clear" w:color="auto" w:fill="D2232A"/>
            <w:vAlign w:val="center"/>
            <w:hideMark/>
          </w:tcPr>
          <w:p w14:paraId="6612320B"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NAZIV CENTRA</w:t>
            </w:r>
          </w:p>
        </w:tc>
        <w:tc>
          <w:tcPr>
            <w:tcW w:w="4110" w:type="dxa"/>
            <w:gridSpan w:val="4"/>
            <w:tcBorders>
              <w:right w:val="single" w:sz="8" w:space="0" w:color="D2232A"/>
            </w:tcBorders>
            <w:shd w:val="clear" w:color="auto" w:fill="D2232A"/>
            <w:noWrap/>
            <w:vAlign w:val="center"/>
            <w:hideMark/>
          </w:tcPr>
          <w:p w14:paraId="6316B778" w14:textId="77777777" w:rsidR="008878A0" w:rsidRPr="009B61D3" w:rsidRDefault="008878A0" w:rsidP="00383313">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BROJ DJELATNIKA</w:t>
            </w:r>
          </w:p>
        </w:tc>
      </w:tr>
      <w:tr w:rsidR="008878A0" w:rsidRPr="009B61D3" w14:paraId="0DFAED56" w14:textId="77777777" w:rsidTr="009B61D3">
        <w:trPr>
          <w:trHeight w:val="283"/>
          <w:tblHeader/>
        </w:trPr>
        <w:tc>
          <w:tcPr>
            <w:tcW w:w="0" w:type="auto"/>
            <w:vMerge/>
            <w:tcBorders>
              <w:bottom w:val="single" w:sz="8" w:space="0" w:color="F3CFC1"/>
            </w:tcBorders>
            <w:shd w:val="clear" w:color="auto" w:fill="D2232A"/>
            <w:vAlign w:val="center"/>
            <w:hideMark/>
          </w:tcPr>
          <w:p w14:paraId="28BC2C00" w14:textId="77777777" w:rsidR="008878A0" w:rsidRPr="009B61D3" w:rsidRDefault="008878A0" w:rsidP="00941871">
            <w:pPr>
              <w:spacing w:after="0"/>
              <w:rPr>
                <w:rFonts w:eastAsia="Times New Roman" w:cstheme="minorHAnsi"/>
                <w:color w:val="FFFFFF"/>
                <w:szCs w:val="18"/>
                <w:lang w:eastAsia="hr-HR"/>
              </w:rPr>
            </w:pPr>
          </w:p>
        </w:tc>
        <w:tc>
          <w:tcPr>
            <w:tcW w:w="1134" w:type="dxa"/>
            <w:shd w:val="clear" w:color="auto" w:fill="D2232A"/>
            <w:noWrap/>
            <w:vAlign w:val="center"/>
            <w:hideMark/>
          </w:tcPr>
          <w:p w14:paraId="55F0C1C2" w14:textId="1CB2D720" w:rsidR="008878A0" w:rsidRPr="009B61D3" w:rsidRDefault="008878A0" w:rsidP="003331A1">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2016</w:t>
            </w:r>
            <w:r w:rsidR="003331A1" w:rsidRPr="009B61D3">
              <w:rPr>
                <w:rFonts w:eastAsia="Times New Roman" w:cstheme="minorHAnsi"/>
                <w:color w:val="FFFFFF"/>
                <w:szCs w:val="18"/>
                <w:lang w:eastAsia="hr-HR"/>
              </w:rPr>
              <w:t>.</w:t>
            </w:r>
          </w:p>
        </w:tc>
        <w:tc>
          <w:tcPr>
            <w:tcW w:w="992" w:type="dxa"/>
            <w:shd w:val="clear" w:color="auto" w:fill="D2232A"/>
            <w:noWrap/>
            <w:vAlign w:val="center"/>
            <w:hideMark/>
          </w:tcPr>
          <w:p w14:paraId="10460D71" w14:textId="13F3A98A" w:rsidR="008878A0" w:rsidRPr="009B61D3" w:rsidRDefault="008878A0" w:rsidP="003331A1">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2017</w:t>
            </w:r>
            <w:r w:rsidR="003331A1" w:rsidRPr="009B61D3">
              <w:rPr>
                <w:rFonts w:eastAsia="Times New Roman" w:cstheme="minorHAnsi"/>
                <w:color w:val="FFFFFF"/>
                <w:szCs w:val="18"/>
                <w:lang w:eastAsia="hr-HR"/>
              </w:rPr>
              <w:t>.</w:t>
            </w:r>
          </w:p>
        </w:tc>
        <w:tc>
          <w:tcPr>
            <w:tcW w:w="992" w:type="dxa"/>
            <w:shd w:val="clear" w:color="auto" w:fill="D2232A"/>
            <w:noWrap/>
            <w:vAlign w:val="center"/>
            <w:hideMark/>
          </w:tcPr>
          <w:p w14:paraId="6A7E52FC" w14:textId="6D2A17E0" w:rsidR="008878A0" w:rsidRPr="009B61D3" w:rsidRDefault="008878A0" w:rsidP="003331A1">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2018</w:t>
            </w:r>
            <w:r w:rsidR="003331A1" w:rsidRPr="009B61D3">
              <w:rPr>
                <w:rFonts w:eastAsia="Times New Roman" w:cstheme="minorHAnsi"/>
                <w:color w:val="FFFFFF"/>
                <w:szCs w:val="18"/>
                <w:lang w:eastAsia="hr-HR"/>
              </w:rPr>
              <w:t>.</w:t>
            </w:r>
          </w:p>
        </w:tc>
        <w:tc>
          <w:tcPr>
            <w:tcW w:w="992" w:type="dxa"/>
            <w:tcBorders>
              <w:right w:val="single" w:sz="8" w:space="0" w:color="D2232A"/>
            </w:tcBorders>
            <w:shd w:val="clear" w:color="auto" w:fill="D2232A"/>
            <w:noWrap/>
            <w:vAlign w:val="center"/>
            <w:hideMark/>
          </w:tcPr>
          <w:p w14:paraId="0B426A76" w14:textId="02E2E1F1" w:rsidR="008878A0" w:rsidRPr="009B61D3" w:rsidRDefault="008878A0" w:rsidP="003331A1">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2019</w:t>
            </w:r>
            <w:r w:rsidR="003331A1" w:rsidRPr="009B61D3">
              <w:rPr>
                <w:rFonts w:eastAsia="Times New Roman" w:cstheme="minorHAnsi"/>
                <w:color w:val="FFFFFF"/>
                <w:szCs w:val="18"/>
                <w:lang w:eastAsia="hr-HR"/>
              </w:rPr>
              <w:t>.</w:t>
            </w:r>
          </w:p>
        </w:tc>
      </w:tr>
      <w:tr w:rsidR="008878A0" w:rsidRPr="009B61D3" w14:paraId="59993793" w14:textId="77777777" w:rsidTr="009B61D3">
        <w:trPr>
          <w:trHeight w:val="283"/>
        </w:trPr>
        <w:tc>
          <w:tcPr>
            <w:tcW w:w="4957" w:type="dxa"/>
            <w:tcBorders>
              <w:top w:val="single" w:sz="8" w:space="0" w:color="F3CFC1"/>
              <w:bottom w:val="single" w:sz="8" w:space="0" w:color="F3CFC1"/>
            </w:tcBorders>
            <w:shd w:val="clear" w:color="auto" w:fill="D2232A"/>
            <w:noWrap/>
            <w:vAlign w:val="center"/>
            <w:hideMark/>
          </w:tcPr>
          <w:p w14:paraId="6E6FC61E"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CZSS KRAPINA</w:t>
            </w:r>
          </w:p>
        </w:tc>
        <w:tc>
          <w:tcPr>
            <w:tcW w:w="1134" w:type="dxa"/>
            <w:tcBorders>
              <w:bottom w:val="single" w:sz="8" w:space="0" w:color="F3CFC1"/>
              <w:right w:val="single" w:sz="8" w:space="0" w:color="D2232A"/>
            </w:tcBorders>
            <w:noWrap/>
            <w:vAlign w:val="center"/>
            <w:hideMark/>
          </w:tcPr>
          <w:p w14:paraId="511070D9"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18</w:t>
            </w:r>
          </w:p>
        </w:tc>
        <w:tc>
          <w:tcPr>
            <w:tcW w:w="992" w:type="dxa"/>
            <w:tcBorders>
              <w:left w:val="single" w:sz="8" w:space="0" w:color="D2232A"/>
              <w:bottom w:val="single" w:sz="8" w:space="0" w:color="F3CFC1"/>
              <w:right w:val="single" w:sz="8" w:space="0" w:color="D2232A"/>
            </w:tcBorders>
            <w:noWrap/>
            <w:vAlign w:val="center"/>
            <w:hideMark/>
          </w:tcPr>
          <w:p w14:paraId="7EC609B9"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19</w:t>
            </w:r>
          </w:p>
        </w:tc>
        <w:tc>
          <w:tcPr>
            <w:tcW w:w="992" w:type="dxa"/>
            <w:tcBorders>
              <w:left w:val="single" w:sz="8" w:space="0" w:color="D2232A"/>
              <w:bottom w:val="single" w:sz="8" w:space="0" w:color="F3CFC1"/>
              <w:right w:val="single" w:sz="8" w:space="0" w:color="D2232A"/>
            </w:tcBorders>
            <w:noWrap/>
            <w:vAlign w:val="center"/>
            <w:hideMark/>
          </w:tcPr>
          <w:p w14:paraId="0E6FF6B2"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20</w:t>
            </w:r>
          </w:p>
        </w:tc>
        <w:tc>
          <w:tcPr>
            <w:tcW w:w="992" w:type="dxa"/>
            <w:tcBorders>
              <w:left w:val="single" w:sz="8" w:space="0" w:color="D2232A"/>
              <w:bottom w:val="single" w:sz="8" w:space="0" w:color="F3CFC1"/>
              <w:right w:val="single" w:sz="8" w:space="0" w:color="D2232A"/>
            </w:tcBorders>
            <w:noWrap/>
            <w:vAlign w:val="center"/>
            <w:hideMark/>
          </w:tcPr>
          <w:p w14:paraId="7857C122"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20</w:t>
            </w:r>
          </w:p>
        </w:tc>
      </w:tr>
      <w:tr w:rsidR="008878A0" w:rsidRPr="009B61D3" w14:paraId="6E0F6D2B" w14:textId="77777777" w:rsidTr="009B61D3">
        <w:trPr>
          <w:trHeight w:val="283"/>
        </w:trPr>
        <w:tc>
          <w:tcPr>
            <w:tcW w:w="4957" w:type="dxa"/>
            <w:tcBorders>
              <w:top w:val="single" w:sz="8" w:space="0" w:color="F3CFC1"/>
              <w:bottom w:val="single" w:sz="8" w:space="0" w:color="F3CFC1"/>
            </w:tcBorders>
            <w:shd w:val="clear" w:color="auto" w:fill="D2232A"/>
            <w:noWrap/>
            <w:vAlign w:val="center"/>
            <w:hideMark/>
          </w:tcPr>
          <w:p w14:paraId="65F5F6EA"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CZSS KRAPINA, Podružnica Pregrada</w:t>
            </w:r>
          </w:p>
        </w:tc>
        <w:tc>
          <w:tcPr>
            <w:tcW w:w="1134" w:type="dxa"/>
            <w:tcBorders>
              <w:top w:val="single" w:sz="8" w:space="0" w:color="F3CFC1"/>
              <w:bottom w:val="single" w:sz="8" w:space="0" w:color="F3CFC1"/>
              <w:right w:val="single" w:sz="8" w:space="0" w:color="D2232A"/>
            </w:tcBorders>
            <w:noWrap/>
            <w:vAlign w:val="center"/>
            <w:hideMark/>
          </w:tcPr>
          <w:p w14:paraId="280E5A28"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49A580A1"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6D4480FE"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78158EAD"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w:t>
            </w:r>
          </w:p>
        </w:tc>
      </w:tr>
      <w:tr w:rsidR="008878A0" w:rsidRPr="009B61D3" w14:paraId="3F7B2579" w14:textId="77777777" w:rsidTr="009B61D3">
        <w:trPr>
          <w:trHeight w:val="283"/>
        </w:trPr>
        <w:tc>
          <w:tcPr>
            <w:tcW w:w="4957" w:type="dxa"/>
            <w:tcBorders>
              <w:top w:val="single" w:sz="8" w:space="0" w:color="F3CFC1"/>
              <w:bottom w:val="single" w:sz="8" w:space="0" w:color="F3CFC1"/>
            </w:tcBorders>
            <w:shd w:val="clear" w:color="auto" w:fill="D2232A"/>
            <w:noWrap/>
            <w:vAlign w:val="center"/>
            <w:hideMark/>
          </w:tcPr>
          <w:p w14:paraId="60DC013B"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CZSS KRAPINA, Podružnica Obiteljskog centra</w:t>
            </w:r>
          </w:p>
        </w:tc>
        <w:tc>
          <w:tcPr>
            <w:tcW w:w="1134" w:type="dxa"/>
            <w:tcBorders>
              <w:top w:val="single" w:sz="8" w:space="0" w:color="F3CFC1"/>
              <w:bottom w:val="single" w:sz="8" w:space="0" w:color="F3CFC1"/>
              <w:right w:val="single" w:sz="8" w:space="0" w:color="D2232A"/>
            </w:tcBorders>
            <w:noWrap/>
            <w:vAlign w:val="center"/>
            <w:hideMark/>
          </w:tcPr>
          <w:p w14:paraId="732822F3"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65D1C168"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3AF599CF"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7B1A6AAB"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w:t>
            </w:r>
          </w:p>
        </w:tc>
      </w:tr>
      <w:tr w:rsidR="008878A0" w:rsidRPr="009B61D3" w14:paraId="5DAF5B7C" w14:textId="77777777" w:rsidTr="009B61D3">
        <w:trPr>
          <w:trHeight w:val="283"/>
        </w:trPr>
        <w:tc>
          <w:tcPr>
            <w:tcW w:w="4957" w:type="dxa"/>
            <w:tcBorders>
              <w:top w:val="single" w:sz="8" w:space="0" w:color="F3CFC1"/>
              <w:bottom w:val="single" w:sz="8" w:space="0" w:color="F3CFC1"/>
            </w:tcBorders>
            <w:shd w:val="clear" w:color="auto" w:fill="D2232A"/>
            <w:noWrap/>
            <w:vAlign w:val="center"/>
            <w:hideMark/>
          </w:tcPr>
          <w:p w14:paraId="72595677"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CZSS ZABOK</w:t>
            </w:r>
          </w:p>
        </w:tc>
        <w:tc>
          <w:tcPr>
            <w:tcW w:w="1134" w:type="dxa"/>
            <w:tcBorders>
              <w:top w:val="single" w:sz="8" w:space="0" w:color="F3CFC1"/>
              <w:bottom w:val="single" w:sz="8" w:space="0" w:color="F3CFC1"/>
              <w:right w:val="single" w:sz="8" w:space="0" w:color="D2232A"/>
            </w:tcBorders>
            <w:noWrap/>
            <w:vAlign w:val="center"/>
            <w:hideMark/>
          </w:tcPr>
          <w:p w14:paraId="68570651"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14</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6D9A51A0"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14</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543A5F29"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14</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5E61816F"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14</w:t>
            </w:r>
          </w:p>
        </w:tc>
      </w:tr>
      <w:tr w:rsidR="008878A0" w:rsidRPr="009B61D3" w14:paraId="7CBA2222" w14:textId="77777777" w:rsidTr="009B61D3">
        <w:trPr>
          <w:trHeight w:val="283"/>
        </w:trPr>
        <w:tc>
          <w:tcPr>
            <w:tcW w:w="4957" w:type="dxa"/>
            <w:tcBorders>
              <w:top w:val="single" w:sz="8" w:space="0" w:color="F3CFC1"/>
              <w:bottom w:val="single" w:sz="8" w:space="0" w:color="F3CFC1"/>
            </w:tcBorders>
            <w:shd w:val="clear" w:color="auto" w:fill="D2232A"/>
            <w:noWrap/>
            <w:vAlign w:val="center"/>
            <w:hideMark/>
          </w:tcPr>
          <w:p w14:paraId="2B558DEC"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CZSS ZABOK, Podružnica Klanjec</w:t>
            </w:r>
          </w:p>
        </w:tc>
        <w:tc>
          <w:tcPr>
            <w:tcW w:w="1134" w:type="dxa"/>
            <w:tcBorders>
              <w:top w:val="single" w:sz="8" w:space="0" w:color="F3CFC1"/>
              <w:bottom w:val="single" w:sz="8" w:space="0" w:color="F3CFC1"/>
              <w:right w:val="single" w:sz="8" w:space="0" w:color="D2232A"/>
            </w:tcBorders>
            <w:noWrap/>
            <w:vAlign w:val="center"/>
            <w:hideMark/>
          </w:tcPr>
          <w:p w14:paraId="0C326377"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041E7FB6"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2116146E"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671A72FC"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w:t>
            </w:r>
          </w:p>
        </w:tc>
      </w:tr>
      <w:tr w:rsidR="008878A0" w:rsidRPr="009B61D3" w14:paraId="6500DF4B" w14:textId="77777777" w:rsidTr="009B61D3">
        <w:trPr>
          <w:trHeight w:val="283"/>
        </w:trPr>
        <w:tc>
          <w:tcPr>
            <w:tcW w:w="4957" w:type="dxa"/>
            <w:tcBorders>
              <w:top w:val="single" w:sz="8" w:space="0" w:color="F3CFC1"/>
              <w:bottom w:val="single" w:sz="8" w:space="0" w:color="F3CFC1"/>
            </w:tcBorders>
            <w:shd w:val="clear" w:color="auto" w:fill="D2232A"/>
            <w:noWrap/>
            <w:vAlign w:val="center"/>
            <w:hideMark/>
          </w:tcPr>
          <w:p w14:paraId="0BBC6479"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CZSS DONJA STUBICA</w:t>
            </w:r>
          </w:p>
        </w:tc>
        <w:tc>
          <w:tcPr>
            <w:tcW w:w="1134" w:type="dxa"/>
            <w:tcBorders>
              <w:top w:val="single" w:sz="8" w:space="0" w:color="F3CFC1"/>
              <w:bottom w:val="single" w:sz="8" w:space="0" w:color="F3CFC1"/>
              <w:right w:val="single" w:sz="8" w:space="0" w:color="D2232A"/>
            </w:tcBorders>
            <w:noWrap/>
            <w:vAlign w:val="center"/>
            <w:hideMark/>
          </w:tcPr>
          <w:p w14:paraId="55671BA5"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15</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6F9C70CA"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15</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5F9FEC24"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15</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15331D89"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15</w:t>
            </w:r>
          </w:p>
        </w:tc>
      </w:tr>
      <w:tr w:rsidR="008878A0" w:rsidRPr="009B61D3" w14:paraId="67EFFA8F" w14:textId="77777777" w:rsidTr="009B61D3">
        <w:trPr>
          <w:trHeight w:val="283"/>
        </w:trPr>
        <w:tc>
          <w:tcPr>
            <w:tcW w:w="4957" w:type="dxa"/>
            <w:tcBorders>
              <w:top w:val="single" w:sz="8" w:space="0" w:color="F3CFC1"/>
            </w:tcBorders>
            <w:shd w:val="clear" w:color="auto" w:fill="D2232A"/>
            <w:noWrap/>
            <w:vAlign w:val="center"/>
            <w:hideMark/>
          </w:tcPr>
          <w:p w14:paraId="6D8327DF"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CZSS ZLATAR BISTRICA</w:t>
            </w:r>
          </w:p>
        </w:tc>
        <w:tc>
          <w:tcPr>
            <w:tcW w:w="1134" w:type="dxa"/>
            <w:tcBorders>
              <w:top w:val="single" w:sz="8" w:space="0" w:color="F3CFC1"/>
              <w:bottom w:val="single" w:sz="8" w:space="0" w:color="F3CFC1"/>
              <w:right w:val="single" w:sz="8" w:space="0" w:color="D2232A"/>
            </w:tcBorders>
            <w:noWrap/>
            <w:vAlign w:val="center"/>
            <w:hideMark/>
          </w:tcPr>
          <w:p w14:paraId="5B9D77DE"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14</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430C622E"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14</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4D1F5314"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15</w:t>
            </w:r>
          </w:p>
        </w:tc>
        <w:tc>
          <w:tcPr>
            <w:tcW w:w="992" w:type="dxa"/>
            <w:tcBorders>
              <w:top w:val="single" w:sz="8" w:space="0" w:color="F3CFC1"/>
              <w:left w:val="single" w:sz="8" w:space="0" w:color="D2232A"/>
              <w:bottom w:val="single" w:sz="8" w:space="0" w:color="F3CFC1"/>
              <w:right w:val="single" w:sz="8" w:space="0" w:color="D2232A"/>
            </w:tcBorders>
            <w:noWrap/>
            <w:vAlign w:val="center"/>
            <w:hideMark/>
          </w:tcPr>
          <w:p w14:paraId="45C31456" w14:textId="77777777" w:rsidR="008878A0" w:rsidRPr="009B61D3" w:rsidRDefault="008878A0" w:rsidP="003331A1">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15</w:t>
            </w:r>
          </w:p>
        </w:tc>
      </w:tr>
      <w:tr w:rsidR="008878A0" w:rsidRPr="009B61D3" w14:paraId="51988657" w14:textId="77777777" w:rsidTr="009B61D3">
        <w:trPr>
          <w:trHeight w:val="283"/>
        </w:trPr>
        <w:tc>
          <w:tcPr>
            <w:tcW w:w="4957" w:type="dxa"/>
            <w:shd w:val="clear" w:color="auto" w:fill="E5E5E5" w:themeFill="text1" w:themeFillTint="33"/>
            <w:noWrap/>
            <w:vAlign w:val="center"/>
            <w:hideMark/>
          </w:tcPr>
          <w:p w14:paraId="7C6C3F8C" w14:textId="77777777" w:rsidR="008878A0" w:rsidRPr="009B61D3" w:rsidRDefault="008878A0" w:rsidP="00941871">
            <w:pPr>
              <w:spacing w:after="0" w:line="240" w:lineRule="auto"/>
              <w:rPr>
                <w:rFonts w:eastAsia="Times New Roman" w:cstheme="minorHAnsi"/>
                <w:szCs w:val="18"/>
                <w:lang w:eastAsia="hr-HR"/>
              </w:rPr>
            </w:pPr>
            <w:r w:rsidRPr="009B61D3">
              <w:rPr>
                <w:rFonts w:eastAsia="Times New Roman" w:cstheme="minorHAnsi"/>
                <w:szCs w:val="18"/>
                <w:lang w:eastAsia="hr-HR"/>
              </w:rPr>
              <w:t>SVEUKUPNO</w:t>
            </w:r>
          </w:p>
        </w:tc>
        <w:tc>
          <w:tcPr>
            <w:tcW w:w="1134" w:type="dxa"/>
            <w:tcBorders>
              <w:top w:val="single" w:sz="8" w:space="0" w:color="F3CFC1"/>
              <w:right w:val="single" w:sz="8" w:space="0" w:color="D2232A"/>
            </w:tcBorders>
            <w:noWrap/>
            <w:vAlign w:val="center"/>
            <w:hideMark/>
          </w:tcPr>
          <w:p w14:paraId="5FCEEADF" w14:textId="77777777" w:rsidR="008878A0" w:rsidRPr="009B61D3" w:rsidRDefault="008878A0" w:rsidP="003331A1">
            <w:pPr>
              <w:spacing w:after="0" w:line="240" w:lineRule="auto"/>
              <w:jc w:val="right"/>
              <w:rPr>
                <w:rFonts w:eastAsia="Times New Roman" w:cstheme="minorHAnsi"/>
                <w:b/>
                <w:bCs/>
                <w:color w:val="000000"/>
                <w:szCs w:val="18"/>
                <w:lang w:eastAsia="hr-HR"/>
              </w:rPr>
            </w:pPr>
            <w:r w:rsidRPr="009B61D3">
              <w:rPr>
                <w:rFonts w:eastAsia="Times New Roman" w:cstheme="minorHAnsi"/>
                <w:b/>
                <w:bCs/>
                <w:color w:val="000000"/>
                <w:szCs w:val="18"/>
                <w:lang w:eastAsia="hr-HR"/>
              </w:rPr>
              <w:t>72</w:t>
            </w:r>
          </w:p>
        </w:tc>
        <w:tc>
          <w:tcPr>
            <w:tcW w:w="992" w:type="dxa"/>
            <w:tcBorders>
              <w:top w:val="single" w:sz="8" w:space="0" w:color="F3CFC1"/>
              <w:left w:val="single" w:sz="8" w:space="0" w:color="D2232A"/>
              <w:right w:val="single" w:sz="8" w:space="0" w:color="D2232A"/>
            </w:tcBorders>
            <w:noWrap/>
            <w:vAlign w:val="center"/>
            <w:hideMark/>
          </w:tcPr>
          <w:p w14:paraId="20156786" w14:textId="77777777" w:rsidR="008878A0" w:rsidRPr="009B61D3" w:rsidRDefault="008878A0" w:rsidP="003331A1">
            <w:pPr>
              <w:spacing w:after="0" w:line="240" w:lineRule="auto"/>
              <w:jc w:val="right"/>
              <w:rPr>
                <w:rFonts w:eastAsia="Times New Roman" w:cstheme="minorHAnsi"/>
                <w:b/>
                <w:bCs/>
                <w:color w:val="000000"/>
                <w:szCs w:val="18"/>
                <w:lang w:eastAsia="hr-HR"/>
              </w:rPr>
            </w:pPr>
            <w:r w:rsidRPr="009B61D3">
              <w:rPr>
                <w:rFonts w:eastAsia="Times New Roman" w:cstheme="minorHAnsi"/>
                <w:b/>
                <w:bCs/>
                <w:color w:val="000000"/>
                <w:szCs w:val="18"/>
                <w:lang w:eastAsia="hr-HR"/>
              </w:rPr>
              <w:t>73</w:t>
            </w:r>
          </w:p>
        </w:tc>
        <w:tc>
          <w:tcPr>
            <w:tcW w:w="992" w:type="dxa"/>
            <w:tcBorders>
              <w:top w:val="single" w:sz="8" w:space="0" w:color="F3CFC1"/>
              <w:left w:val="single" w:sz="8" w:space="0" w:color="D2232A"/>
              <w:right w:val="single" w:sz="8" w:space="0" w:color="D2232A"/>
            </w:tcBorders>
            <w:noWrap/>
            <w:vAlign w:val="center"/>
            <w:hideMark/>
          </w:tcPr>
          <w:p w14:paraId="7031327A" w14:textId="77777777" w:rsidR="008878A0" w:rsidRPr="009B61D3" w:rsidRDefault="008878A0" w:rsidP="003331A1">
            <w:pPr>
              <w:spacing w:after="0" w:line="240" w:lineRule="auto"/>
              <w:jc w:val="right"/>
              <w:rPr>
                <w:rFonts w:eastAsia="Times New Roman" w:cstheme="minorHAnsi"/>
                <w:b/>
                <w:bCs/>
                <w:color w:val="000000"/>
                <w:szCs w:val="18"/>
                <w:lang w:eastAsia="hr-HR"/>
              </w:rPr>
            </w:pPr>
            <w:r w:rsidRPr="009B61D3">
              <w:rPr>
                <w:rFonts w:eastAsia="Times New Roman" w:cstheme="minorHAnsi"/>
                <w:b/>
                <w:bCs/>
                <w:color w:val="000000"/>
                <w:szCs w:val="18"/>
                <w:lang w:eastAsia="hr-HR"/>
              </w:rPr>
              <w:t>75</w:t>
            </w:r>
          </w:p>
        </w:tc>
        <w:tc>
          <w:tcPr>
            <w:tcW w:w="992" w:type="dxa"/>
            <w:tcBorders>
              <w:top w:val="single" w:sz="8" w:space="0" w:color="F3CFC1"/>
              <w:left w:val="single" w:sz="8" w:space="0" w:color="D2232A"/>
              <w:right w:val="single" w:sz="8" w:space="0" w:color="D2232A"/>
            </w:tcBorders>
            <w:noWrap/>
            <w:vAlign w:val="center"/>
            <w:hideMark/>
          </w:tcPr>
          <w:p w14:paraId="2A6A785E" w14:textId="77777777" w:rsidR="008878A0" w:rsidRPr="009B61D3" w:rsidRDefault="008878A0" w:rsidP="003331A1">
            <w:pPr>
              <w:spacing w:after="0" w:line="240" w:lineRule="auto"/>
              <w:jc w:val="right"/>
              <w:rPr>
                <w:rFonts w:eastAsia="Times New Roman" w:cstheme="minorHAnsi"/>
                <w:b/>
                <w:bCs/>
                <w:color w:val="000000"/>
                <w:szCs w:val="18"/>
                <w:lang w:eastAsia="hr-HR"/>
              </w:rPr>
            </w:pPr>
            <w:r w:rsidRPr="009B61D3">
              <w:rPr>
                <w:rFonts w:eastAsia="Times New Roman" w:cstheme="minorHAnsi"/>
                <w:b/>
                <w:bCs/>
                <w:color w:val="000000"/>
                <w:szCs w:val="18"/>
                <w:lang w:eastAsia="hr-HR"/>
              </w:rPr>
              <w:t>75</w:t>
            </w:r>
          </w:p>
        </w:tc>
      </w:tr>
    </w:tbl>
    <w:p w14:paraId="1620EE86" w14:textId="7C70519E" w:rsidR="009B61D3" w:rsidRPr="006525B8" w:rsidRDefault="008878A0"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Izvor: Centri za socijalnu skrb Krapinsko-zagorske županije, 2019., Obrada Z</w:t>
      </w:r>
      <w:r w:rsidR="006626E1" w:rsidRPr="006525B8">
        <w:rPr>
          <w:rFonts w:eastAsia="ArialNarrow" w:cstheme="minorHAnsi"/>
          <w:i/>
          <w:color w:val="ABABAB" w:themeColor="text1" w:themeTint="A6"/>
          <w:sz w:val="16"/>
          <w:szCs w:val="16"/>
        </w:rPr>
        <w:t>agorska razvojna agencija, W</w:t>
      </w:r>
      <w:r w:rsidRPr="006525B8">
        <w:rPr>
          <w:rFonts w:eastAsia="ArialNarrow" w:cstheme="minorHAnsi"/>
          <w:i/>
          <w:color w:val="ABABAB" w:themeColor="text1" w:themeTint="A6"/>
          <w:sz w:val="16"/>
          <w:szCs w:val="16"/>
        </w:rPr>
        <w:t>YG savjetovanje d.o.o.</w:t>
      </w:r>
    </w:p>
    <w:p w14:paraId="7BF823E3" w14:textId="77777777" w:rsidR="001D6C38" w:rsidRDefault="001D6C38" w:rsidP="00855D8D">
      <w:pPr>
        <w:pStyle w:val="Izvor"/>
      </w:pPr>
    </w:p>
    <w:p w14:paraId="415DA715" w14:textId="7C707BE8" w:rsidR="006A5FC4" w:rsidRDefault="008878A0" w:rsidP="00941871">
      <w:pPr>
        <w:autoSpaceDE w:val="0"/>
        <w:autoSpaceDN w:val="0"/>
        <w:adjustRightInd w:val="0"/>
        <w:spacing w:after="0" w:line="240" w:lineRule="auto"/>
        <w:rPr>
          <w:rFonts w:eastAsia="ArialNarrow" w:cstheme="minorHAnsi"/>
        </w:rPr>
      </w:pPr>
      <w:r>
        <w:rPr>
          <w:rFonts w:eastAsia="ArialNarrow" w:cstheme="minorHAnsi"/>
        </w:rPr>
        <w:t>Sveukupan broj radnika centara za socijalnu skrb se u promatranom razdoblju povećao sa 72 na 75. Broj korisnika obiteljskog centra u istom promatranom razdoblju kretao se od 1.097 u 2016. godini do 678 u 2019. godini (stanje do 1.9.2019.).</w:t>
      </w:r>
    </w:p>
    <w:p w14:paraId="024E6A45" w14:textId="154F9DA1" w:rsidR="000F2E58" w:rsidRDefault="000F2E58" w:rsidP="00941871">
      <w:pPr>
        <w:autoSpaceDE w:val="0"/>
        <w:autoSpaceDN w:val="0"/>
        <w:adjustRightInd w:val="0"/>
        <w:spacing w:after="0" w:line="240" w:lineRule="auto"/>
        <w:rPr>
          <w:rFonts w:eastAsia="ArialNarrow" w:cstheme="minorHAnsi"/>
        </w:rPr>
      </w:pPr>
    </w:p>
    <w:p w14:paraId="1577EB16" w14:textId="081CF326" w:rsidR="000F2E58" w:rsidRDefault="000F2E58" w:rsidP="000F2E58">
      <w:pPr>
        <w:autoSpaceDE w:val="0"/>
        <w:autoSpaceDN w:val="0"/>
        <w:adjustRightInd w:val="0"/>
        <w:spacing w:after="0" w:line="240" w:lineRule="auto"/>
        <w:rPr>
          <w:rFonts w:eastAsia="ArialNarrow"/>
        </w:rPr>
      </w:pPr>
      <w:r w:rsidRPr="157CDD93">
        <w:rPr>
          <w:rFonts w:eastAsia="ArialNarrow"/>
        </w:rPr>
        <w:lastRenderedPageBreak/>
        <w:t>Zajamčena minimalna naknada je pravo na novčani iznos kojim se osigurava zadovoljavanje osnovnih životnih potreba samca ili kućanstva koji nemaju dovoljno sredstava za podmirenje osnovnih životnih potreba. Prema posljednje dostupnim podacima za 201</w:t>
      </w:r>
      <w:r>
        <w:rPr>
          <w:rFonts w:eastAsia="ArialNarrow"/>
        </w:rPr>
        <w:t>9</w:t>
      </w:r>
      <w:r w:rsidRPr="157CDD93">
        <w:rPr>
          <w:rFonts w:eastAsia="ArialNarrow"/>
        </w:rPr>
        <w:t xml:space="preserve">. godinu na području Krapinsko-zagorske županije bilo je </w:t>
      </w:r>
      <w:r>
        <w:rPr>
          <w:rFonts w:eastAsia="ArialNarrow"/>
        </w:rPr>
        <w:t>660</w:t>
      </w:r>
      <w:r w:rsidRPr="157CDD93">
        <w:rPr>
          <w:rFonts w:eastAsia="ArialNarrow"/>
        </w:rPr>
        <w:t xml:space="preserve"> korisnika zajamčene minimalne naknade (samaca ili kućanstava), odnosno </w:t>
      </w:r>
      <w:r>
        <w:rPr>
          <w:rFonts w:eastAsia="ArialNarrow"/>
        </w:rPr>
        <w:t>848</w:t>
      </w:r>
      <w:r w:rsidRPr="157CDD93">
        <w:rPr>
          <w:rFonts w:eastAsia="ArialNarrow"/>
        </w:rPr>
        <w:t xml:space="preserve"> obuhvaćenih osoba. Broj naknada za osobne potrebe korisnika smještaja </w:t>
      </w:r>
      <w:r>
        <w:rPr>
          <w:rFonts w:eastAsia="ArialNarrow"/>
        </w:rPr>
        <w:t>iznosio</w:t>
      </w:r>
      <w:r w:rsidRPr="157CDD93">
        <w:rPr>
          <w:rFonts w:eastAsia="ArialNarrow"/>
        </w:rPr>
        <w:t xml:space="preserve"> je </w:t>
      </w:r>
      <w:r>
        <w:rPr>
          <w:rFonts w:eastAsia="ArialNarrow"/>
        </w:rPr>
        <w:t>619</w:t>
      </w:r>
      <w:r w:rsidR="00975B55">
        <w:rPr>
          <w:rFonts w:eastAsia="ArialNarrow"/>
        </w:rPr>
        <w:t>,</w:t>
      </w:r>
      <w:r w:rsidRPr="157CDD93">
        <w:rPr>
          <w:rFonts w:eastAsia="ArialNarrow"/>
        </w:rPr>
        <w:t xml:space="preserve"> dok je jednokratnih naknada bilo sveukupno 2.</w:t>
      </w:r>
      <w:r>
        <w:rPr>
          <w:rFonts w:eastAsia="ArialNarrow"/>
        </w:rPr>
        <w:t>072</w:t>
      </w:r>
      <w:r w:rsidRPr="157CDD93">
        <w:rPr>
          <w:rFonts w:eastAsia="ArialNarrow"/>
        </w:rPr>
        <w:t>. Isplaćenih osobnih invalidnina bilo je 1.</w:t>
      </w:r>
      <w:r>
        <w:rPr>
          <w:rFonts w:eastAsia="ArialNarrow"/>
        </w:rPr>
        <w:t>253</w:t>
      </w:r>
      <w:r w:rsidR="00975B55">
        <w:rPr>
          <w:rFonts w:eastAsia="ArialNarrow"/>
        </w:rPr>
        <w:t>,</w:t>
      </w:r>
      <w:r w:rsidRPr="157CDD93">
        <w:rPr>
          <w:rFonts w:eastAsia="ArialNarrow"/>
        </w:rPr>
        <w:t xml:space="preserve"> </w:t>
      </w:r>
      <w:r w:rsidR="00975B55">
        <w:rPr>
          <w:rFonts w:eastAsia="ArialNarrow"/>
        </w:rPr>
        <w:t>a</w:t>
      </w:r>
      <w:r w:rsidRPr="157CDD93">
        <w:rPr>
          <w:rFonts w:eastAsia="ArialNarrow"/>
        </w:rPr>
        <w:t xml:space="preserve"> naknada u vezi s obrazovanjem bilo </w:t>
      </w:r>
      <w:r w:rsidR="00DC2E5B">
        <w:rPr>
          <w:rFonts w:eastAsia="ArialNarrow"/>
        </w:rPr>
        <w:t xml:space="preserve">je </w:t>
      </w:r>
      <w:r w:rsidRPr="157CDD93">
        <w:rPr>
          <w:rFonts w:eastAsia="ArialNarrow"/>
        </w:rPr>
        <w:t xml:space="preserve">svega </w:t>
      </w:r>
      <w:r>
        <w:rPr>
          <w:rFonts w:eastAsia="ArialNarrow"/>
        </w:rPr>
        <w:t>15</w:t>
      </w:r>
      <w:r w:rsidRPr="157CDD93">
        <w:rPr>
          <w:rFonts w:eastAsia="ArialNarrow"/>
        </w:rPr>
        <w:t>. Status roditelja njegovatelja ili njegovatelja imalo je 207 osoba</w:t>
      </w:r>
      <w:r w:rsidR="00975B55">
        <w:rPr>
          <w:rFonts w:eastAsia="ArialNarrow"/>
        </w:rPr>
        <w:t>,</w:t>
      </w:r>
      <w:r w:rsidRPr="157CDD93">
        <w:rPr>
          <w:rFonts w:eastAsia="ArialNarrow"/>
        </w:rPr>
        <w:t xml:space="preserve"> dok su pomoć u kući ostvarile 2</w:t>
      </w:r>
      <w:r>
        <w:rPr>
          <w:rFonts w:eastAsia="ArialNarrow"/>
        </w:rPr>
        <w:t>43</w:t>
      </w:r>
      <w:r w:rsidRPr="157CDD93">
        <w:rPr>
          <w:rFonts w:eastAsia="ArialNarrow"/>
        </w:rPr>
        <w:t xml:space="preserve"> osobe. Psihosocijalnu podršku primalo je 3</w:t>
      </w:r>
      <w:r>
        <w:rPr>
          <w:rFonts w:eastAsia="ArialNarrow"/>
        </w:rPr>
        <w:t>6</w:t>
      </w:r>
      <w:r w:rsidRPr="157CDD93">
        <w:rPr>
          <w:rFonts w:eastAsia="ArialNarrow"/>
        </w:rPr>
        <w:t xml:space="preserve"> osoba. </w:t>
      </w:r>
      <w:r w:rsidRPr="0095252C">
        <w:rPr>
          <w:rFonts w:eastAsia="Newslab" w:cs="Newslab"/>
        </w:rPr>
        <w:t>Najviše korisnika, njih 2.</w:t>
      </w:r>
      <w:r>
        <w:rPr>
          <w:rFonts w:eastAsia="Newslab" w:cs="Newslab"/>
        </w:rPr>
        <w:t>459</w:t>
      </w:r>
      <w:r w:rsidRPr="0095252C">
        <w:rPr>
          <w:rFonts w:eastAsia="Newslab" w:cs="Newslab"/>
        </w:rPr>
        <w:t>, ostvarilo je pravo na doplatak za pomoć i njegu</w:t>
      </w:r>
      <w:r w:rsidRPr="157CDD93">
        <w:rPr>
          <w:rFonts w:eastAsia="Newslab" w:cs="Newslab"/>
        </w:rPr>
        <w:t>, koji se priznaje osobi koja ne može sama udovoljiti osnovnim životnim potrebama, uslijed čega joj je prijeko potrebna pomoć i njega druge osobe.</w:t>
      </w:r>
    </w:p>
    <w:p w14:paraId="40DF9D48" w14:textId="77777777" w:rsidR="00A95A55" w:rsidRDefault="00A95A55" w:rsidP="00941871">
      <w:pPr>
        <w:autoSpaceDE w:val="0"/>
        <w:autoSpaceDN w:val="0"/>
        <w:adjustRightInd w:val="0"/>
        <w:spacing w:after="0" w:line="240" w:lineRule="auto"/>
        <w:rPr>
          <w:rFonts w:eastAsia="ArialNarrow" w:cstheme="minorHAnsi"/>
        </w:rPr>
      </w:pPr>
    </w:p>
    <w:p w14:paraId="5DA1A607" w14:textId="47559C52" w:rsidR="00A95A55" w:rsidRDefault="00A95A55" w:rsidP="003E3F3C">
      <w:pPr>
        <w:pStyle w:val="Opisslike"/>
      </w:pPr>
      <w:r w:rsidRPr="006A5FC4">
        <w:t xml:space="preserve">Tablica </w:t>
      </w:r>
      <w:r w:rsidR="00D179B2">
        <w:rPr>
          <w:noProof/>
        </w:rPr>
        <w:t>2</w:t>
      </w:r>
      <w:r w:rsidR="009A6A08">
        <w:rPr>
          <w:noProof/>
        </w:rPr>
        <w:t>2</w:t>
      </w:r>
      <w:r w:rsidR="009B61D3">
        <w:rPr>
          <w:noProof/>
        </w:rPr>
        <w:t>.</w:t>
      </w:r>
      <w:r w:rsidRPr="006A5FC4">
        <w:t xml:space="preserve"> Pravo u socijalnoj skrbi CZSS KZŽ </w:t>
      </w:r>
      <w:r w:rsidR="00144C61">
        <w:t>(stanje 31.12.201</w:t>
      </w:r>
      <w:r w:rsidR="008F5CE9">
        <w:t>9</w:t>
      </w:r>
      <w:r w:rsidR="00144C61">
        <w:t>.)</w:t>
      </w:r>
    </w:p>
    <w:tbl>
      <w:tblPr>
        <w:tblW w:w="9322" w:type="dxa"/>
        <w:tblLayout w:type="fixed"/>
        <w:tblLook w:val="04A0" w:firstRow="1" w:lastRow="0" w:firstColumn="1" w:lastColumn="0" w:noHBand="0" w:noVBand="1"/>
      </w:tblPr>
      <w:tblGrid>
        <w:gridCol w:w="637"/>
        <w:gridCol w:w="2126"/>
        <w:gridCol w:w="873"/>
        <w:gridCol w:w="874"/>
        <w:gridCol w:w="1019"/>
        <w:gridCol w:w="728"/>
        <w:gridCol w:w="1019"/>
        <w:gridCol w:w="881"/>
        <w:gridCol w:w="1165"/>
      </w:tblGrid>
      <w:tr w:rsidR="008F5CE9" w:rsidRPr="009B61D3" w14:paraId="3824B51C" w14:textId="77777777" w:rsidTr="00207DC9">
        <w:trPr>
          <w:trHeight w:val="283"/>
          <w:tblHeader/>
        </w:trPr>
        <w:tc>
          <w:tcPr>
            <w:tcW w:w="637" w:type="dxa"/>
            <w:vMerge w:val="restart"/>
            <w:shd w:val="clear" w:color="auto" w:fill="D2232A" w:themeFill="accent1"/>
            <w:vAlign w:val="center"/>
            <w:hideMark/>
          </w:tcPr>
          <w:p w14:paraId="694C784F"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Rbr.</w:t>
            </w:r>
          </w:p>
        </w:tc>
        <w:tc>
          <w:tcPr>
            <w:tcW w:w="2126" w:type="dxa"/>
            <w:vMerge w:val="restart"/>
            <w:shd w:val="clear" w:color="auto" w:fill="E5E5E5" w:themeFill="text1" w:themeFillTint="33"/>
            <w:vAlign w:val="center"/>
            <w:hideMark/>
          </w:tcPr>
          <w:p w14:paraId="35B05E6B" w14:textId="77777777" w:rsidR="008F5CE9" w:rsidRPr="009B61D3" w:rsidRDefault="008F5CE9" w:rsidP="008F5CE9">
            <w:pPr>
              <w:spacing w:after="0" w:line="240" w:lineRule="auto"/>
              <w:jc w:val="center"/>
              <w:rPr>
                <w:rFonts w:eastAsia="Times New Roman" w:cstheme="minorHAnsi"/>
                <w:szCs w:val="18"/>
                <w:lang w:eastAsia="hr-HR"/>
              </w:rPr>
            </w:pPr>
            <w:r w:rsidRPr="009B61D3">
              <w:rPr>
                <w:rFonts w:eastAsia="Times New Roman" w:cstheme="minorHAnsi"/>
                <w:szCs w:val="18"/>
                <w:lang w:eastAsia="hr-HR"/>
              </w:rPr>
              <w:t>PRAVO U</w:t>
            </w:r>
          </w:p>
          <w:p w14:paraId="4A23020B" w14:textId="77777777" w:rsidR="008F5CE9" w:rsidRPr="009B61D3" w:rsidRDefault="008F5CE9" w:rsidP="008F5CE9">
            <w:pPr>
              <w:spacing w:after="0" w:line="240" w:lineRule="auto"/>
              <w:jc w:val="center"/>
              <w:rPr>
                <w:rFonts w:eastAsia="Times New Roman" w:cstheme="minorHAnsi"/>
                <w:szCs w:val="18"/>
                <w:lang w:eastAsia="hr-HR"/>
              </w:rPr>
            </w:pPr>
            <w:r w:rsidRPr="009B61D3">
              <w:rPr>
                <w:rFonts w:eastAsia="Times New Roman" w:cstheme="minorHAnsi"/>
                <w:szCs w:val="18"/>
                <w:lang w:eastAsia="hr-HR"/>
              </w:rPr>
              <w:t>SOCIJALNOJ SKRBI</w:t>
            </w:r>
          </w:p>
        </w:tc>
        <w:tc>
          <w:tcPr>
            <w:tcW w:w="5394" w:type="dxa"/>
            <w:gridSpan w:val="6"/>
            <w:shd w:val="clear" w:color="auto" w:fill="D2232A" w:themeFill="accent1"/>
            <w:vAlign w:val="center"/>
            <w:hideMark/>
          </w:tcPr>
          <w:p w14:paraId="3C122B4D" w14:textId="77777777" w:rsidR="008F5CE9" w:rsidRPr="009B61D3" w:rsidRDefault="008F5CE9" w:rsidP="008F5CE9">
            <w:pPr>
              <w:spacing w:after="0" w:line="240" w:lineRule="auto"/>
              <w:jc w:val="center"/>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NAZIV CENTRA</w:t>
            </w:r>
          </w:p>
        </w:tc>
        <w:tc>
          <w:tcPr>
            <w:tcW w:w="1163" w:type="dxa"/>
            <w:vMerge w:val="restart"/>
            <w:tcBorders>
              <w:right w:val="single" w:sz="8" w:space="0" w:color="D2232A"/>
            </w:tcBorders>
            <w:shd w:val="clear" w:color="auto" w:fill="D2232A"/>
            <w:vAlign w:val="center"/>
            <w:hideMark/>
          </w:tcPr>
          <w:p w14:paraId="2013F181" w14:textId="77777777" w:rsidR="008F5CE9" w:rsidRPr="009B61D3" w:rsidRDefault="008F5CE9" w:rsidP="008F5CE9">
            <w:pPr>
              <w:spacing w:after="0" w:line="240" w:lineRule="auto"/>
              <w:jc w:val="center"/>
              <w:rPr>
                <w:rFonts w:eastAsia="Times New Roman" w:cstheme="minorHAnsi"/>
                <w:color w:val="FFFFFF"/>
                <w:szCs w:val="18"/>
                <w:lang w:eastAsia="hr-HR"/>
              </w:rPr>
            </w:pPr>
            <w:r w:rsidRPr="009B61D3">
              <w:rPr>
                <w:rFonts w:eastAsia="Times New Roman" w:cstheme="minorHAnsi"/>
                <w:color w:val="FFFFFF" w:themeColor="background1"/>
                <w:szCs w:val="18"/>
                <w:lang w:eastAsia="hr-HR"/>
              </w:rPr>
              <w:t>UKUPNO ŽUPANIJA (1.-6.)</w:t>
            </w:r>
          </w:p>
        </w:tc>
      </w:tr>
      <w:tr w:rsidR="008F5CE9" w:rsidRPr="009B61D3" w14:paraId="3229380C" w14:textId="77777777" w:rsidTr="00207DC9">
        <w:trPr>
          <w:trHeight w:val="283"/>
        </w:trPr>
        <w:tc>
          <w:tcPr>
            <w:tcW w:w="637" w:type="dxa"/>
            <w:vMerge/>
            <w:shd w:val="clear" w:color="auto" w:fill="D2232A" w:themeFill="accent1"/>
            <w:vAlign w:val="center"/>
            <w:hideMark/>
          </w:tcPr>
          <w:p w14:paraId="7344C571" w14:textId="77777777" w:rsidR="008F5CE9" w:rsidRPr="009B61D3" w:rsidRDefault="008F5CE9" w:rsidP="008F5CE9">
            <w:pPr>
              <w:spacing w:after="0" w:line="240" w:lineRule="auto"/>
              <w:rPr>
                <w:rFonts w:eastAsia="Times New Roman" w:cstheme="minorHAnsi"/>
                <w:color w:val="FFFFFF" w:themeColor="background1"/>
                <w:szCs w:val="18"/>
                <w:lang w:eastAsia="hr-HR"/>
              </w:rPr>
            </w:pPr>
          </w:p>
        </w:tc>
        <w:tc>
          <w:tcPr>
            <w:tcW w:w="2126" w:type="dxa"/>
            <w:vMerge/>
            <w:shd w:val="clear" w:color="auto" w:fill="E5E5E5" w:themeFill="text1" w:themeFillTint="33"/>
            <w:vAlign w:val="center"/>
            <w:hideMark/>
          </w:tcPr>
          <w:p w14:paraId="30576AD3" w14:textId="77777777" w:rsidR="008F5CE9" w:rsidRPr="009B61D3" w:rsidRDefault="008F5CE9" w:rsidP="008F5CE9">
            <w:pPr>
              <w:spacing w:after="0" w:line="240" w:lineRule="auto"/>
              <w:jc w:val="left"/>
              <w:rPr>
                <w:rFonts w:eastAsia="Times New Roman" w:cstheme="minorHAnsi"/>
                <w:color w:val="FFFFFF"/>
                <w:szCs w:val="18"/>
                <w:lang w:eastAsia="hr-HR"/>
              </w:rPr>
            </w:pPr>
          </w:p>
        </w:tc>
        <w:tc>
          <w:tcPr>
            <w:tcW w:w="873" w:type="dxa"/>
            <w:shd w:val="clear" w:color="auto" w:fill="D2232A"/>
            <w:vAlign w:val="center"/>
            <w:hideMark/>
          </w:tcPr>
          <w:p w14:paraId="24A9F459" w14:textId="4B302140" w:rsidR="008F5CE9" w:rsidRPr="009B61D3" w:rsidRDefault="00AE3631" w:rsidP="008F5CE9">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 xml:space="preserve">CZSS </w:t>
            </w:r>
            <w:r w:rsidR="008F5CE9" w:rsidRPr="009B61D3">
              <w:rPr>
                <w:rFonts w:eastAsia="Times New Roman" w:cstheme="minorHAnsi"/>
                <w:color w:val="FFFFFF"/>
                <w:szCs w:val="18"/>
                <w:lang w:eastAsia="hr-HR"/>
              </w:rPr>
              <w:t xml:space="preserve">Donja Stubica </w:t>
            </w:r>
          </w:p>
        </w:tc>
        <w:tc>
          <w:tcPr>
            <w:tcW w:w="874" w:type="dxa"/>
            <w:shd w:val="clear" w:color="auto" w:fill="D2232A"/>
            <w:vAlign w:val="center"/>
            <w:hideMark/>
          </w:tcPr>
          <w:p w14:paraId="270FD00D" w14:textId="60530359" w:rsidR="008F5CE9" w:rsidRPr="009B61D3" w:rsidRDefault="00AE3631" w:rsidP="008F5CE9">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 xml:space="preserve">CZSS </w:t>
            </w:r>
            <w:r w:rsidR="008F5CE9" w:rsidRPr="009B61D3">
              <w:rPr>
                <w:rFonts w:eastAsia="Times New Roman" w:cstheme="minorHAnsi"/>
                <w:color w:val="FFFFFF"/>
                <w:szCs w:val="18"/>
                <w:lang w:eastAsia="hr-HR"/>
              </w:rPr>
              <w:t xml:space="preserve">Krapina </w:t>
            </w:r>
          </w:p>
        </w:tc>
        <w:tc>
          <w:tcPr>
            <w:tcW w:w="1019" w:type="dxa"/>
            <w:shd w:val="clear" w:color="auto" w:fill="D2232A"/>
            <w:vAlign w:val="center"/>
            <w:hideMark/>
          </w:tcPr>
          <w:p w14:paraId="24AD54C5" w14:textId="35E2C531" w:rsidR="008F5CE9" w:rsidRPr="009B61D3" w:rsidRDefault="00AE3631" w:rsidP="008F5CE9">
            <w:pPr>
              <w:spacing w:after="0" w:line="240" w:lineRule="auto"/>
              <w:jc w:val="center"/>
              <w:rPr>
                <w:rFonts w:eastAsia="Times New Roman" w:cstheme="minorHAnsi"/>
                <w:color w:val="FFFFFF"/>
                <w:szCs w:val="18"/>
                <w:lang w:eastAsia="hr-HR"/>
              </w:rPr>
            </w:pPr>
            <w:r>
              <w:rPr>
                <w:rFonts w:eastAsia="Times New Roman" w:cstheme="minorHAnsi"/>
                <w:color w:val="FFFFFF"/>
                <w:szCs w:val="18"/>
                <w:lang w:eastAsia="hr-HR"/>
              </w:rPr>
              <w:t xml:space="preserve">PO CZSS </w:t>
            </w:r>
            <w:r w:rsidR="008F5CE9" w:rsidRPr="009B61D3">
              <w:rPr>
                <w:rFonts w:eastAsia="Times New Roman" w:cstheme="minorHAnsi"/>
                <w:color w:val="FFFFFF"/>
                <w:szCs w:val="18"/>
                <w:lang w:eastAsia="hr-HR"/>
              </w:rPr>
              <w:t xml:space="preserve">Pregrada </w:t>
            </w:r>
          </w:p>
        </w:tc>
        <w:tc>
          <w:tcPr>
            <w:tcW w:w="728" w:type="dxa"/>
            <w:shd w:val="clear" w:color="auto" w:fill="D2232A"/>
            <w:vAlign w:val="center"/>
            <w:hideMark/>
          </w:tcPr>
          <w:p w14:paraId="2899DF70" w14:textId="4BB0AADB" w:rsidR="008F5CE9" w:rsidRPr="009B61D3" w:rsidRDefault="00AE3631" w:rsidP="008F5CE9">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 xml:space="preserve">CZSS </w:t>
            </w:r>
            <w:r w:rsidR="008F5CE9" w:rsidRPr="009B61D3">
              <w:rPr>
                <w:rFonts w:eastAsia="Times New Roman" w:cstheme="minorHAnsi"/>
                <w:color w:val="FFFFFF"/>
                <w:szCs w:val="18"/>
                <w:lang w:eastAsia="hr-HR"/>
              </w:rPr>
              <w:t xml:space="preserve">Zabok </w:t>
            </w:r>
          </w:p>
        </w:tc>
        <w:tc>
          <w:tcPr>
            <w:tcW w:w="1019" w:type="dxa"/>
            <w:shd w:val="clear" w:color="auto" w:fill="D2232A"/>
            <w:vAlign w:val="center"/>
            <w:hideMark/>
          </w:tcPr>
          <w:p w14:paraId="321D854F" w14:textId="066517A4" w:rsidR="008F5CE9" w:rsidRPr="009B61D3" w:rsidRDefault="00AE3631" w:rsidP="008F5CE9">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 xml:space="preserve">PO CZSS </w:t>
            </w:r>
            <w:r w:rsidR="008F5CE9" w:rsidRPr="009B61D3">
              <w:rPr>
                <w:rFonts w:eastAsia="Times New Roman" w:cstheme="minorHAnsi"/>
                <w:color w:val="FFFFFF"/>
                <w:szCs w:val="18"/>
                <w:lang w:eastAsia="hr-HR"/>
              </w:rPr>
              <w:t xml:space="preserve">Klanjec </w:t>
            </w:r>
          </w:p>
        </w:tc>
        <w:tc>
          <w:tcPr>
            <w:tcW w:w="880" w:type="dxa"/>
            <w:shd w:val="clear" w:color="auto" w:fill="D2232A"/>
            <w:vAlign w:val="center"/>
            <w:hideMark/>
          </w:tcPr>
          <w:p w14:paraId="318FF553" w14:textId="34E6726A" w:rsidR="008F5CE9" w:rsidRPr="009B61D3" w:rsidRDefault="00AE3631" w:rsidP="008F5CE9">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 xml:space="preserve">CZSS </w:t>
            </w:r>
            <w:r w:rsidR="008F5CE9" w:rsidRPr="009B61D3">
              <w:rPr>
                <w:rFonts w:eastAsia="Times New Roman" w:cstheme="minorHAnsi"/>
                <w:color w:val="FFFFFF"/>
                <w:szCs w:val="18"/>
                <w:lang w:eastAsia="hr-HR"/>
              </w:rPr>
              <w:t xml:space="preserve">Zlatar Bistrica </w:t>
            </w:r>
          </w:p>
        </w:tc>
        <w:tc>
          <w:tcPr>
            <w:tcW w:w="1163" w:type="dxa"/>
            <w:vMerge/>
            <w:tcBorders>
              <w:right w:val="single" w:sz="8" w:space="0" w:color="D2232A"/>
            </w:tcBorders>
            <w:shd w:val="clear" w:color="auto" w:fill="D2232A"/>
            <w:vAlign w:val="center"/>
            <w:hideMark/>
          </w:tcPr>
          <w:p w14:paraId="7AC351E2" w14:textId="77777777" w:rsidR="008F5CE9" w:rsidRPr="009B61D3" w:rsidRDefault="008F5CE9" w:rsidP="008F5CE9">
            <w:pPr>
              <w:spacing w:after="0" w:line="240" w:lineRule="auto"/>
              <w:rPr>
                <w:rFonts w:eastAsia="Times New Roman" w:cstheme="minorHAnsi"/>
                <w:color w:val="FFFFFF"/>
                <w:szCs w:val="18"/>
                <w:lang w:eastAsia="hr-HR"/>
              </w:rPr>
            </w:pPr>
          </w:p>
        </w:tc>
      </w:tr>
      <w:tr w:rsidR="008F5CE9" w:rsidRPr="009B61D3" w14:paraId="2449BE6C" w14:textId="77777777" w:rsidTr="00207DC9">
        <w:trPr>
          <w:trHeight w:val="283"/>
        </w:trPr>
        <w:tc>
          <w:tcPr>
            <w:tcW w:w="637" w:type="dxa"/>
            <w:vMerge w:val="restart"/>
            <w:tcBorders>
              <w:bottom w:val="single" w:sz="8" w:space="0" w:color="F3CFC1"/>
            </w:tcBorders>
            <w:shd w:val="clear" w:color="auto" w:fill="D2232A" w:themeFill="accent1"/>
            <w:hideMark/>
          </w:tcPr>
          <w:p w14:paraId="72580264"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I</w:t>
            </w:r>
          </w:p>
        </w:tc>
        <w:tc>
          <w:tcPr>
            <w:tcW w:w="2126" w:type="dxa"/>
            <w:tcBorders>
              <w:bottom w:val="single" w:sz="8" w:space="0" w:color="F3CFC1"/>
            </w:tcBorders>
            <w:shd w:val="clear" w:color="auto" w:fill="auto"/>
            <w:hideMark/>
          </w:tcPr>
          <w:p w14:paraId="3560B4F5"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ZAJAMČENA MINIMALNA NAKNADA: 1. Ukupno naknada (samaca i kućanstava)</w:t>
            </w:r>
          </w:p>
        </w:tc>
        <w:tc>
          <w:tcPr>
            <w:tcW w:w="873" w:type="dxa"/>
            <w:tcBorders>
              <w:bottom w:val="single" w:sz="8" w:space="0" w:color="F3CFC1"/>
            </w:tcBorders>
            <w:shd w:val="clear" w:color="auto" w:fill="auto"/>
            <w:vAlign w:val="center"/>
          </w:tcPr>
          <w:p w14:paraId="5A0AF3F1" w14:textId="1849A728"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135</w:t>
            </w:r>
          </w:p>
        </w:tc>
        <w:tc>
          <w:tcPr>
            <w:tcW w:w="874" w:type="dxa"/>
            <w:tcBorders>
              <w:bottom w:val="single" w:sz="8" w:space="0" w:color="F3CFC1"/>
            </w:tcBorders>
            <w:shd w:val="clear" w:color="auto" w:fill="auto"/>
            <w:vAlign w:val="center"/>
          </w:tcPr>
          <w:p w14:paraId="713D55B1" w14:textId="5C9E6AB8"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150</w:t>
            </w:r>
          </w:p>
        </w:tc>
        <w:tc>
          <w:tcPr>
            <w:tcW w:w="1019" w:type="dxa"/>
            <w:tcBorders>
              <w:bottom w:val="single" w:sz="8" w:space="0" w:color="F3CFC1"/>
            </w:tcBorders>
            <w:shd w:val="clear" w:color="auto" w:fill="auto"/>
            <w:vAlign w:val="center"/>
          </w:tcPr>
          <w:p w14:paraId="590D4BC7" w14:textId="4470EFBB"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111</w:t>
            </w:r>
          </w:p>
        </w:tc>
        <w:tc>
          <w:tcPr>
            <w:tcW w:w="728" w:type="dxa"/>
            <w:tcBorders>
              <w:bottom w:val="single" w:sz="8" w:space="0" w:color="F3CFC1"/>
            </w:tcBorders>
            <w:shd w:val="clear" w:color="auto" w:fill="auto"/>
            <w:vAlign w:val="center"/>
          </w:tcPr>
          <w:p w14:paraId="6E210175" w14:textId="3BA9BF70"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72</w:t>
            </w:r>
          </w:p>
        </w:tc>
        <w:tc>
          <w:tcPr>
            <w:tcW w:w="1019" w:type="dxa"/>
            <w:tcBorders>
              <w:bottom w:val="single" w:sz="8" w:space="0" w:color="F3CFC1"/>
            </w:tcBorders>
            <w:shd w:val="clear" w:color="auto" w:fill="auto"/>
            <w:vAlign w:val="center"/>
          </w:tcPr>
          <w:p w14:paraId="0341E27D" w14:textId="7A21F1BE"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46</w:t>
            </w:r>
          </w:p>
        </w:tc>
        <w:tc>
          <w:tcPr>
            <w:tcW w:w="880" w:type="dxa"/>
            <w:tcBorders>
              <w:bottom w:val="single" w:sz="8" w:space="0" w:color="F3CFC1"/>
            </w:tcBorders>
            <w:shd w:val="clear" w:color="auto" w:fill="auto"/>
            <w:vAlign w:val="center"/>
          </w:tcPr>
          <w:p w14:paraId="119A87FD" w14:textId="0343FFDC"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146</w:t>
            </w:r>
          </w:p>
        </w:tc>
        <w:tc>
          <w:tcPr>
            <w:tcW w:w="1163" w:type="dxa"/>
            <w:tcBorders>
              <w:bottom w:val="single" w:sz="8" w:space="0" w:color="F3CFC1"/>
              <w:right w:val="single" w:sz="8" w:space="0" w:color="D2232A"/>
            </w:tcBorders>
            <w:shd w:val="clear" w:color="auto" w:fill="auto"/>
            <w:vAlign w:val="center"/>
          </w:tcPr>
          <w:p w14:paraId="705FBFB0" w14:textId="62BB5BE2"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660</w:t>
            </w:r>
          </w:p>
        </w:tc>
      </w:tr>
      <w:tr w:rsidR="008F5CE9" w:rsidRPr="009B61D3" w14:paraId="31F4393E" w14:textId="77777777" w:rsidTr="00207DC9">
        <w:trPr>
          <w:trHeight w:val="283"/>
        </w:trPr>
        <w:tc>
          <w:tcPr>
            <w:tcW w:w="637" w:type="dxa"/>
            <w:vMerge/>
            <w:tcBorders>
              <w:top w:val="single" w:sz="8" w:space="0" w:color="F3CFC1"/>
              <w:bottom w:val="single" w:sz="8" w:space="0" w:color="F3CFC1"/>
            </w:tcBorders>
            <w:shd w:val="clear" w:color="auto" w:fill="D2232A" w:themeFill="accent1"/>
            <w:vAlign w:val="center"/>
            <w:hideMark/>
          </w:tcPr>
          <w:p w14:paraId="3C1AF5E6" w14:textId="77777777" w:rsidR="008F5CE9" w:rsidRPr="009B61D3" w:rsidRDefault="008F5CE9" w:rsidP="008F5CE9">
            <w:pPr>
              <w:spacing w:after="0" w:line="240" w:lineRule="auto"/>
              <w:rPr>
                <w:rFonts w:eastAsia="Times New Roman" w:cstheme="minorHAnsi"/>
                <w:color w:val="FFFFFF" w:themeColor="background1"/>
                <w:szCs w:val="18"/>
                <w:lang w:eastAsia="hr-HR"/>
              </w:rPr>
            </w:pPr>
          </w:p>
        </w:tc>
        <w:tc>
          <w:tcPr>
            <w:tcW w:w="2126" w:type="dxa"/>
            <w:tcBorders>
              <w:top w:val="single" w:sz="8" w:space="0" w:color="F3CFC1"/>
              <w:bottom w:val="single" w:sz="8" w:space="0" w:color="F3CFC1"/>
            </w:tcBorders>
            <w:shd w:val="clear" w:color="auto" w:fill="auto"/>
            <w:vAlign w:val="center"/>
            <w:hideMark/>
          </w:tcPr>
          <w:p w14:paraId="71584906"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2. Ukupno obuhvaćenih osoba</w:t>
            </w:r>
          </w:p>
        </w:tc>
        <w:tc>
          <w:tcPr>
            <w:tcW w:w="873" w:type="dxa"/>
            <w:tcBorders>
              <w:top w:val="single" w:sz="8" w:space="0" w:color="F3CFC1"/>
              <w:bottom w:val="single" w:sz="8" w:space="0" w:color="F3CFC1"/>
            </w:tcBorders>
            <w:shd w:val="clear" w:color="auto" w:fill="auto"/>
            <w:vAlign w:val="center"/>
          </w:tcPr>
          <w:p w14:paraId="62F66E87" w14:textId="48C0D973"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193</w:t>
            </w:r>
          </w:p>
        </w:tc>
        <w:tc>
          <w:tcPr>
            <w:tcW w:w="874" w:type="dxa"/>
            <w:tcBorders>
              <w:top w:val="single" w:sz="8" w:space="0" w:color="F3CFC1"/>
              <w:bottom w:val="single" w:sz="8" w:space="0" w:color="F3CFC1"/>
            </w:tcBorders>
            <w:shd w:val="clear" w:color="auto" w:fill="auto"/>
            <w:vAlign w:val="center"/>
          </w:tcPr>
          <w:p w14:paraId="22FB1AEB" w14:textId="2962F44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183</w:t>
            </w:r>
          </w:p>
        </w:tc>
        <w:tc>
          <w:tcPr>
            <w:tcW w:w="1019" w:type="dxa"/>
            <w:tcBorders>
              <w:top w:val="single" w:sz="8" w:space="0" w:color="F3CFC1"/>
              <w:bottom w:val="single" w:sz="8" w:space="0" w:color="F3CFC1"/>
            </w:tcBorders>
            <w:shd w:val="clear" w:color="auto" w:fill="auto"/>
            <w:vAlign w:val="center"/>
          </w:tcPr>
          <w:p w14:paraId="1644761A" w14:textId="54425063"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133</w:t>
            </w:r>
          </w:p>
        </w:tc>
        <w:tc>
          <w:tcPr>
            <w:tcW w:w="728" w:type="dxa"/>
            <w:tcBorders>
              <w:top w:val="single" w:sz="8" w:space="0" w:color="F3CFC1"/>
              <w:bottom w:val="single" w:sz="8" w:space="0" w:color="F3CFC1"/>
            </w:tcBorders>
            <w:shd w:val="clear" w:color="auto" w:fill="auto"/>
            <w:vAlign w:val="center"/>
          </w:tcPr>
          <w:p w14:paraId="5B7376EB" w14:textId="0F12C4D4"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85</w:t>
            </w:r>
          </w:p>
        </w:tc>
        <w:tc>
          <w:tcPr>
            <w:tcW w:w="1019" w:type="dxa"/>
            <w:tcBorders>
              <w:top w:val="single" w:sz="8" w:space="0" w:color="F3CFC1"/>
              <w:bottom w:val="single" w:sz="8" w:space="0" w:color="F3CFC1"/>
            </w:tcBorders>
            <w:shd w:val="clear" w:color="auto" w:fill="auto"/>
            <w:vAlign w:val="center"/>
          </w:tcPr>
          <w:p w14:paraId="77A60D67" w14:textId="5E15AAD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59</w:t>
            </w:r>
          </w:p>
        </w:tc>
        <w:tc>
          <w:tcPr>
            <w:tcW w:w="880" w:type="dxa"/>
            <w:tcBorders>
              <w:top w:val="single" w:sz="8" w:space="0" w:color="F3CFC1"/>
              <w:bottom w:val="single" w:sz="8" w:space="0" w:color="F3CFC1"/>
            </w:tcBorders>
            <w:shd w:val="clear" w:color="auto" w:fill="auto"/>
            <w:vAlign w:val="center"/>
          </w:tcPr>
          <w:p w14:paraId="385D282C" w14:textId="0047F24B"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195</w:t>
            </w:r>
          </w:p>
        </w:tc>
        <w:tc>
          <w:tcPr>
            <w:tcW w:w="1163" w:type="dxa"/>
            <w:tcBorders>
              <w:top w:val="single" w:sz="8" w:space="0" w:color="F3CFC1"/>
              <w:bottom w:val="single" w:sz="8" w:space="0" w:color="F3CFC1"/>
              <w:right w:val="single" w:sz="8" w:space="0" w:color="D2232A"/>
            </w:tcBorders>
            <w:shd w:val="clear" w:color="auto" w:fill="auto"/>
            <w:vAlign w:val="center"/>
          </w:tcPr>
          <w:p w14:paraId="68DAEE48" w14:textId="6326E835"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848</w:t>
            </w:r>
          </w:p>
        </w:tc>
      </w:tr>
      <w:tr w:rsidR="008F5CE9" w:rsidRPr="009B61D3" w14:paraId="0D6EA867" w14:textId="77777777" w:rsidTr="00207DC9">
        <w:trPr>
          <w:trHeight w:val="283"/>
        </w:trPr>
        <w:tc>
          <w:tcPr>
            <w:tcW w:w="637" w:type="dxa"/>
            <w:tcBorders>
              <w:top w:val="single" w:sz="8" w:space="0" w:color="F3CFC1"/>
              <w:bottom w:val="single" w:sz="8" w:space="0" w:color="F3CFC1"/>
            </w:tcBorders>
            <w:shd w:val="clear" w:color="auto" w:fill="D2232A" w:themeFill="accent1"/>
            <w:hideMark/>
          </w:tcPr>
          <w:p w14:paraId="0144C762"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II</w:t>
            </w:r>
          </w:p>
        </w:tc>
        <w:tc>
          <w:tcPr>
            <w:tcW w:w="2126" w:type="dxa"/>
            <w:tcBorders>
              <w:top w:val="single" w:sz="8" w:space="0" w:color="F3CFC1"/>
              <w:bottom w:val="single" w:sz="8" w:space="0" w:color="F3CFC1"/>
            </w:tcBorders>
            <w:shd w:val="clear" w:color="auto" w:fill="auto"/>
            <w:vAlign w:val="center"/>
            <w:hideMark/>
          </w:tcPr>
          <w:p w14:paraId="46A1B57F"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NAKNADA ZA OSOBNE POTREBE KORISNIKA SMJEŠTAJA</w:t>
            </w:r>
          </w:p>
        </w:tc>
        <w:tc>
          <w:tcPr>
            <w:tcW w:w="873" w:type="dxa"/>
            <w:tcBorders>
              <w:top w:val="single" w:sz="8" w:space="0" w:color="F3CFC1"/>
              <w:bottom w:val="single" w:sz="8" w:space="0" w:color="F3CFC1"/>
            </w:tcBorders>
            <w:shd w:val="clear" w:color="auto" w:fill="auto"/>
            <w:vAlign w:val="center"/>
          </w:tcPr>
          <w:p w14:paraId="44BC9A23" w14:textId="66A7259A"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88</w:t>
            </w:r>
          </w:p>
        </w:tc>
        <w:tc>
          <w:tcPr>
            <w:tcW w:w="874" w:type="dxa"/>
            <w:tcBorders>
              <w:top w:val="single" w:sz="8" w:space="0" w:color="F3CFC1"/>
              <w:bottom w:val="single" w:sz="8" w:space="0" w:color="F3CFC1"/>
            </w:tcBorders>
            <w:shd w:val="clear" w:color="auto" w:fill="auto"/>
            <w:vAlign w:val="center"/>
          </w:tcPr>
          <w:p w14:paraId="1271FD38" w14:textId="355A5FD6"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261</w:t>
            </w:r>
          </w:p>
        </w:tc>
        <w:tc>
          <w:tcPr>
            <w:tcW w:w="1019" w:type="dxa"/>
            <w:tcBorders>
              <w:top w:val="single" w:sz="8" w:space="0" w:color="F3CFC1"/>
              <w:bottom w:val="single" w:sz="8" w:space="0" w:color="F3CFC1"/>
            </w:tcBorders>
            <w:shd w:val="clear" w:color="auto" w:fill="auto"/>
            <w:vAlign w:val="center"/>
          </w:tcPr>
          <w:p w14:paraId="3A0C1247" w14:textId="671B54E1"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101</w:t>
            </w:r>
          </w:p>
        </w:tc>
        <w:tc>
          <w:tcPr>
            <w:tcW w:w="728" w:type="dxa"/>
            <w:tcBorders>
              <w:top w:val="single" w:sz="8" w:space="0" w:color="F3CFC1"/>
              <w:bottom w:val="single" w:sz="8" w:space="0" w:color="F3CFC1"/>
            </w:tcBorders>
            <w:shd w:val="clear" w:color="auto" w:fill="auto"/>
            <w:vAlign w:val="center"/>
          </w:tcPr>
          <w:p w14:paraId="7C260BD3" w14:textId="1E94282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54</w:t>
            </w:r>
          </w:p>
        </w:tc>
        <w:tc>
          <w:tcPr>
            <w:tcW w:w="1019" w:type="dxa"/>
            <w:tcBorders>
              <w:top w:val="single" w:sz="8" w:space="0" w:color="F3CFC1"/>
              <w:bottom w:val="single" w:sz="8" w:space="0" w:color="F3CFC1"/>
            </w:tcBorders>
            <w:shd w:val="clear" w:color="auto" w:fill="auto"/>
            <w:vAlign w:val="center"/>
          </w:tcPr>
          <w:p w14:paraId="5AA09C48" w14:textId="34D5805E"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40</w:t>
            </w:r>
          </w:p>
        </w:tc>
        <w:tc>
          <w:tcPr>
            <w:tcW w:w="880" w:type="dxa"/>
            <w:tcBorders>
              <w:top w:val="single" w:sz="8" w:space="0" w:color="F3CFC1"/>
              <w:bottom w:val="single" w:sz="8" w:space="0" w:color="F3CFC1"/>
            </w:tcBorders>
            <w:shd w:val="clear" w:color="auto" w:fill="auto"/>
            <w:vAlign w:val="center"/>
          </w:tcPr>
          <w:p w14:paraId="5E984F18" w14:textId="7DAA56F5"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75</w:t>
            </w:r>
          </w:p>
        </w:tc>
        <w:tc>
          <w:tcPr>
            <w:tcW w:w="1163" w:type="dxa"/>
            <w:tcBorders>
              <w:top w:val="single" w:sz="8" w:space="0" w:color="F3CFC1"/>
              <w:bottom w:val="single" w:sz="8" w:space="0" w:color="F3CFC1"/>
              <w:right w:val="single" w:sz="8" w:space="0" w:color="D2232A"/>
            </w:tcBorders>
            <w:shd w:val="clear" w:color="auto" w:fill="auto"/>
            <w:vAlign w:val="center"/>
          </w:tcPr>
          <w:p w14:paraId="141F3CDD" w14:textId="0AD6F9C8"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619</w:t>
            </w:r>
          </w:p>
        </w:tc>
      </w:tr>
      <w:tr w:rsidR="008F5CE9" w:rsidRPr="009B61D3" w14:paraId="1F9831C9" w14:textId="77777777" w:rsidTr="00207DC9">
        <w:trPr>
          <w:trHeight w:val="283"/>
        </w:trPr>
        <w:tc>
          <w:tcPr>
            <w:tcW w:w="637" w:type="dxa"/>
            <w:vMerge w:val="restart"/>
            <w:tcBorders>
              <w:top w:val="single" w:sz="8" w:space="0" w:color="F3CFC1"/>
              <w:bottom w:val="single" w:sz="8" w:space="0" w:color="F3CFC1"/>
            </w:tcBorders>
            <w:shd w:val="clear" w:color="auto" w:fill="D2232A" w:themeFill="accent1"/>
            <w:vAlign w:val="center"/>
            <w:hideMark/>
          </w:tcPr>
          <w:p w14:paraId="693F4125"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III</w:t>
            </w:r>
          </w:p>
        </w:tc>
        <w:tc>
          <w:tcPr>
            <w:tcW w:w="2126" w:type="dxa"/>
            <w:tcBorders>
              <w:top w:val="single" w:sz="8" w:space="0" w:color="F3CFC1"/>
              <w:bottom w:val="single" w:sz="8" w:space="0" w:color="F3CFC1"/>
            </w:tcBorders>
            <w:shd w:val="clear" w:color="auto" w:fill="auto"/>
            <w:hideMark/>
          </w:tcPr>
          <w:p w14:paraId="3AB31E74"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JEDNOKRATNA NAKNADA: 1. Ukupno naknada u izvještajnoj godini</w:t>
            </w:r>
          </w:p>
        </w:tc>
        <w:tc>
          <w:tcPr>
            <w:tcW w:w="873" w:type="dxa"/>
            <w:tcBorders>
              <w:top w:val="single" w:sz="8" w:space="0" w:color="F3CFC1"/>
              <w:bottom w:val="single" w:sz="8" w:space="0" w:color="F3CFC1"/>
            </w:tcBorders>
            <w:shd w:val="clear" w:color="auto" w:fill="auto"/>
            <w:vAlign w:val="center"/>
          </w:tcPr>
          <w:p w14:paraId="04A42535" w14:textId="74391C0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636</w:t>
            </w:r>
          </w:p>
        </w:tc>
        <w:tc>
          <w:tcPr>
            <w:tcW w:w="874" w:type="dxa"/>
            <w:tcBorders>
              <w:top w:val="single" w:sz="8" w:space="0" w:color="F3CFC1"/>
              <w:bottom w:val="single" w:sz="8" w:space="0" w:color="F3CFC1"/>
            </w:tcBorders>
            <w:shd w:val="clear" w:color="auto" w:fill="auto"/>
            <w:vAlign w:val="center"/>
          </w:tcPr>
          <w:p w14:paraId="2834064C" w14:textId="4DF56FD1"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463</w:t>
            </w:r>
          </w:p>
        </w:tc>
        <w:tc>
          <w:tcPr>
            <w:tcW w:w="1019" w:type="dxa"/>
            <w:tcBorders>
              <w:top w:val="single" w:sz="8" w:space="0" w:color="F3CFC1"/>
              <w:bottom w:val="single" w:sz="8" w:space="0" w:color="F3CFC1"/>
            </w:tcBorders>
            <w:shd w:val="clear" w:color="auto" w:fill="auto"/>
            <w:vAlign w:val="center"/>
          </w:tcPr>
          <w:p w14:paraId="6EE2533E" w14:textId="5BCF8A2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257</w:t>
            </w:r>
          </w:p>
        </w:tc>
        <w:tc>
          <w:tcPr>
            <w:tcW w:w="728" w:type="dxa"/>
            <w:tcBorders>
              <w:top w:val="single" w:sz="8" w:space="0" w:color="F3CFC1"/>
              <w:bottom w:val="single" w:sz="8" w:space="0" w:color="F3CFC1"/>
            </w:tcBorders>
            <w:shd w:val="clear" w:color="auto" w:fill="auto"/>
            <w:vAlign w:val="center"/>
          </w:tcPr>
          <w:p w14:paraId="7BA07638" w14:textId="43F3E338"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362</w:t>
            </w:r>
          </w:p>
        </w:tc>
        <w:tc>
          <w:tcPr>
            <w:tcW w:w="1019" w:type="dxa"/>
            <w:tcBorders>
              <w:top w:val="single" w:sz="8" w:space="0" w:color="F3CFC1"/>
              <w:bottom w:val="single" w:sz="8" w:space="0" w:color="F3CFC1"/>
            </w:tcBorders>
            <w:shd w:val="clear" w:color="auto" w:fill="auto"/>
            <w:vAlign w:val="center"/>
          </w:tcPr>
          <w:p w14:paraId="55E4368E" w14:textId="7E60A824"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83</w:t>
            </w:r>
          </w:p>
        </w:tc>
        <w:tc>
          <w:tcPr>
            <w:tcW w:w="880" w:type="dxa"/>
            <w:tcBorders>
              <w:top w:val="single" w:sz="8" w:space="0" w:color="F3CFC1"/>
              <w:bottom w:val="single" w:sz="8" w:space="0" w:color="F3CFC1"/>
            </w:tcBorders>
            <w:shd w:val="clear" w:color="auto" w:fill="auto"/>
            <w:vAlign w:val="center"/>
          </w:tcPr>
          <w:p w14:paraId="2F0DDB4D" w14:textId="5D1F743F"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271</w:t>
            </w:r>
          </w:p>
        </w:tc>
        <w:tc>
          <w:tcPr>
            <w:tcW w:w="1163" w:type="dxa"/>
            <w:tcBorders>
              <w:top w:val="single" w:sz="8" w:space="0" w:color="F3CFC1"/>
              <w:bottom w:val="single" w:sz="8" w:space="0" w:color="F3CFC1"/>
              <w:right w:val="single" w:sz="8" w:space="0" w:color="D2232A"/>
            </w:tcBorders>
            <w:shd w:val="clear" w:color="auto" w:fill="auto"/>
            <w:vAlign w:val="center"/>
          </w:tcPr>
          <w:p w14:paraId="41A2DA29" w14:textId="6D95D38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w:t>
            </w:r>
            <w:r w:rsidR="00975B55">
              <w:rPr>
                <w:rFonts w:eastAsia="Times New Roman" w:cstheme="minorHAnsi"/>
                <w:szCs w:val="18"/>
                <w:lang w:eastAsia="hr-HR"/>
              </w:rPr>
              <w:t>.</w:t>
            </w:r>
            <w:r>
              <w:rPr>
                <w:rFonts w:eastAsia="Times New Roman" w:cstheme="minorHAnsi"/>
                <w:szCs w:val="18"/>
                <w:lang w:eastAsia="hr-HR"/>
              </w:rPr>
              <w:t>072</w:t>
            </w:r>
          </w:p>
        </w:tc>
      </w:tr>
      <w:tr w:rsidR="008F5CE9" w:rsidRPr="009B61D3" w14:paraId="40C379E7" w14:textId="77777777" w:rsidTr="00207DC9">
        <w:trPr>
          <w:trHeight w:val="283"/>
        </w:trPr>
        <w:tc>
          <w:tcPr>
            <w:tcW w:w="637" w:type="dxa"/>
            <w:vMerge/>
            <w:tcBorders>
              <w:top w:val="single" w:sz="8" w:space="0" w:color="F3CFC1"/>
              <w:bottom w:val="single" w:sz="8" w:space="0" w:color="F3CFC1"/>
            </w:tcBorders>
            <w:shd w:val="clear" w:color="auto" w:fill="D2232A" w:themeFill="accent1"/>
            <w:vAlign w:val="center"/>
            <w:hideMark/>
          </w:tcPr>
          <w:p w14:paraId="2CBAAC29" w14:textId="77777777" w:rsidR="008F5CE9" w:rsidRPr="009B61D3" w:rsidRDefault="008F5CE9" w:rsidP="008F5CE9">
            <w:pPr>
              <w:spacing w:after="0" w:line="240" w:lineRule="auto"/>
              <w:rPr>
                <w:rFonts w:eastAsia="Times New Roman" w:cstheme="minorHAnsi"/>
                <w:color w:val="FFFFFF" w:themeColor="background1"/>
                <w:szCs w:val="18"/>
                <w:lang w:eastAsia="hr-HR"/>
              </w:rPr>
            </w:pPr>
          </w:p>
        </w:tc>
        <w:tc>
          <w:tcPr>
            <w:tcW w:w="2126" w:type="dxa"/>
            <w:tcBorders>
              <w:top w:val="single" w:sz="8" w:space="0" w:color="F3CFC1"/>
              <w:bottom w:val="single" w:sz="8" w:space="0" w:color="F3CFC1"/>
            </w:tcBorders>
            <w:shd w:val="clear" w:color="auto" w:fill="auto"/>
            <w:hideMark/>
          </w:tcPr>
          <w:p w14:paraId="106B66F5"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2. Različiti korisnici (samci i kućanstvo) kojima je jednom ili više puta odobrena naknada u izvještajnoj godini</w:t>
            </w:r>
          </w:p>
        </w:tc>
        <w:tc>
          <w:tcPr>
            <w:tcW w:w="873" w:type="dxa"/>
            <w:tcBorders>
              <w:top w:val="single" w:sz="8" w:space="0" w:color="F3CFC1"/>
              <w:bottom w:val="single" w:sz="8" w:space="0" w:color="F3CFC1"/>
            </w:tcBorders>
            <w:shd w:val="clear" w:color="auto" w:fill="auto"/>
            <w:vAlign w:val="center"/>
          </w:tcPr>
          <w:p w14:paraId="0359721D" w14:textId="277BFA3D"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316</w:t>
            </w:r>
          </w:p>
        </w:tc>
        <w:tc>
          <w:tcPr>
            <w:tcW w:w="874" w:type="dxa"/>
            <w:tcBorders>
              <w:top w:val="single" w:sz="8" w:space="0" w:color="F3CFC1"/>
              <w:bottom w:val="single" w:sz="8" w:space="0" w:color="F3CFC1"/>
            </w:tcBorders>
            <w:shd w:val="clear" w:color="auto" w:fill="auto"/>
            <w:vAlign w:val="center"/>
          </w:tcPr>
          <w:p w14:paraId="197B835A" w14:textId="5A3BC0DD"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77</w:t>
            </w:r>
          </w:p>
        </w:tc>
        <w:tc>
          <w:tcPr>
            <w:tcW w:w="1019" w:type="dxa"/>
            <w:tcBorders>
              <w:top w:val="single" w:sz="8" w:space="0" w:color="F3CFC1"/>
              <w:bottom w:val="single" w:sz="8" w:space="0" w:color="F3CFC1"/>
            </w:tcBorders>
            <w:shd w:val="clear" w:color="auto" w:fill="auto"/>
            <w:vAlign w:val="center"/>
          </w:tcPr>
          <w:p w14:paraId="326ACBBE" w14:textId="4162BBCC"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187</w:t>
            </w:r>
          </w:p>
        </w:tc>
        <w:tc>
          <w:tcPr>
            <w:tcW w:w="728" w:type="dxa"/>
            <w:tcBorders>
              <w:top w:val="single" w:sz="8" w:space="0" w:color="F3CFC1"/>
              <w:bottom w:val="single" w:sz="8" w:space="0" w:color="F3CFC1"/>
            </w:tcBorders>
            <w:shd w:val="clear" w:color="auto" w:fill="auto"/>
            <w:vAlign w:val="center"/>
          </w:tcPr>
          <w:p w14:paraId="46170CC4" w14:textId="03CB4EF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212</w:t>
            </w:r>
          </w:p>
        </w:tc>
        <w:tc>
          <w:tcPr>
            <w:tcW w:w="1019" w:type="dxa"/>
            <w:tcBorders>
              <w:top w:val="single" w:sz="8" w:space="0" w:color="F3CFC1"/>
              <w:bottom w:val="single" w:sz="8" w:space="0" w:color="F3CFC1"/>
            </w:tcBorders>
            <w:shd w:val="clear" w:color="auto" w:fill="auto"/>
            <w:vAlign w:val="center"/>
          </w:tcPr>
          <w:p w14:paraId="7D51A5BF" w14:textId="29A102A5"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58</w:t>
            </w:r>
          </w:p>
        </w:tc>
        <w:tc>
          <w:tcPr>
            <w:tcW w:w="880" w:type="dxa"/>
            <w:tcBorders>
              <w:top w:val="single" w:sz="8" w:space="0" w:color="F3CFC1"/>
              <w:bottom w:val="single" w:sz="8" w:space="0" w:color="F3CFC1"/>
            </w:tcBorders>
            <w:shd w:val="clear" w:color="auto" w:fill="auto"/>
            <w:vAlign w:val="center"/>
          </w:tcPr>
          <w:p w14:paraId="40509BD4" w14:textId="20EF2E2A"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181</w:t>
            </w:r>
          </w:p>
        </w:tc>
        <w:tc>
          <w:tcPr>
            <w:tcW w:w="1163" w:type="dxa"/>
            <w:tcBorders>
              <w:top w:val="single" w:sz="8" w:space="0" w:color="F3CFC1"/>
              <w:bottom w:val="single" w:sz="8" w:space="0" w:color="F3CFC1"/>
              <w:right w:val="single" w:sz="8" w:space="0" w:color="D2232A"/>
            </w:tcBorders>
            <w:shd w:val="clear" w:color="auto" w:fill="auto"/>
            <w:vAlign w:val="center"/>
          </w:tcPr>
          <w:p w14:paraId="6F76EF33" w14:textId="27E1339F"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w:t>
            </w:r>
            <w:r w:rsidR="00975B55">
              <w:rPr>
                <w:rFonts w:eastAsia="Times New Roman" w:cstheme="minorHAnsi"/>
                <w:szCs w:val="18"/>
                <w:lang w:eastAsia="hr-HR"/>
              </w:rPr>
              <w:t>.</w:t>
            </w:r>
            <w:r>
              <w:rPr>
                <w:rFonts w:eastAsia="Times New Roman" w:cstheme="minorHAnsi"/>
                <w:szCs w:val="18"/>
                <w:lang w:eastAsia="hr-HR"/>
              </w:rPr>
              <w:t>031</w:t>
            </w:r>
          </w:p>
        </w:tc>
      </w:tr>
      <w:tr w:rsidR="008F5CE9" w:rsidRPr="009B61D3" w14:paraId="2AB00D13" w14:textId="77777777" w:rsidTr="00207DC9">
        <w:trPr>
          <w:trHeight w:val="283"/>
        </w:trPr>
        <w:tc>
          <w:tcPr>
            <w:tcW w:w="637" w:type="dxa"/>
            <w:tcBorders>
              <w:top w:val="single" w:sz="8" w:space="0" w:color="F3CFC1"/>
              <w:bottom w:val="single" w:sz="8" w:space="0" w:color="F3CFC1"/>
            </w:tcBorders>
            <w:shd w:val="clear" w:color="auto" w:fill="D2232A" w:themeFill="accent1"/>
            <w:vAlign w:val="center"/>
            <w:hideMark/>
          </w:tcPr>
          <w:p w14:paraId="26286EDB"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IV</w:t>
            </w:r>
          </w:p>
        </w:tc>
        <w:tc>
          <w:tcPr>
            <w:tcW w:w="2126" w:type="dxa"/>
            <w:tcBorders>
              <w:top w:val="single" w:sz="8" w:space="0" w:color="F3CFC1"/>
              <w:bottom w:val="single" w:sz="8" w:space="0" w:color="F3CFC1"/>
            </w:tcBorders>
            <w:shd w:val="clear" w:color="auto" w:fill="auto"/>
            <w:vAlign w:val="center"/>
            <w:hideMark/>
          </w:tcPr>
          <w:p w14:paraId="78319C86"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NAKNADE U VEZI S OBRAZOVANJEM</w:t>
            </w:r>
          </w:p>
        </w:tc>
        <w:tc>
          <w:tcPr>
            <w:tcW w:w="873" w:type="dxa"/>
            <w:tcBorders>
              <w:top w:val="single" w:sz="8" w:space="0" w:color="F3CFC1"/>
              <w:bottom w:val="single" w:sz="8" w:space="0" w:color="F3CFC1"/>
            </w:tcBorders>
            <w:shd w:val="clear" w:color="auto" w:fill="auto"/>
            <w:vAlign w:val="center"/>
          </w:tcPr>
          <w:p w14:paraId="224EC023" w14:textId="064AB90D"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w:t>
            </w:r>
          </w:p>
        </w:tc>
        <w:tc>
          <w:tcPr>
            <w:tcW w:w="874" w:type="dxa"/>
            <w:tcBorders>
              <w:top w:val="single" w:sz="8" w:space="0" w:color="F3CFC1"/>
              <w:bottom w:val="single" w:sz="8" w:space="0" w:color="F3CFC1"/>
            </w:tcBorders>
            <w:shd w:val="clear" w:color="auto" w:fill="auto"/>
            <w:vAlign w:val="center"/>
          </w:tcPr>
          <w:p w14:paraId="422DB124" w14:textId="7BA9CAF0"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9</w:t>
            </w:r>
          </w:p>
        </w:tc>
        <w:tc>
          <w:tcPr>
            <w:tcW w:w="1019" w:type="dxa"/>
            <w:tcBorders>
              <w:top w:val="single" w:sz="8" w:space="0" w:color="F3CFC1"/>
              <w:bottom w:val="single" w:sz="8" w:space="0" w:color="F3CFC1"/>
            </w:tcBorders>
            <w:shd w:val="clear" w:color="auto" w:fill="auto"/>
            <w:vAlign w:val="center"/>
          </w:tcPr>
          <w:p w14:paraId="6DF19548"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728" w:type="dxa"/>
            <w:tcBorders>
              <w:top w:val="single" w:sz="8" w:space="0" w:color="F3CFC1"/>
              <w:bottom w:val="single" w:sz="8" w:space="0" w:color="F3CFC1"/>
            </w:tcBorders>
            <w:shd w:val="clear" w:color="auto" w:fill="auto"/>
            <w:vAlign w:val="center"/>
          </w:tcPr>
          <w:p w14:paraId="67F8D7E0" w14:textId="65638CB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w:t>
            </w:r>
          </w:p>
        </w:tc>
        <w:tc>
          <w:tcPr>
            <w:tcW w:w="1019" w:type="dxa"/>
            <w:tcBorders>
              <w:top w:val="single" w:sz="8" w:space="0" w:color="F3CFC1"/>
              <w:bottom w:val="single" w:sz="8" w:space="0" w:color="F3CFC1"/>
            </w:tcBorders>
            <w:shd w:val="clear" w:color="auto" w:fill="auto"/>
            <w:vAlign w:val="center"/>
          </w:tcPr>
          <w:p w14:paraId="507E9BCB" w14:textId="3BDB4143"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w:t>
            </w:r>
          </w:p>
        </w:tc>
        <w:tc>
          <w:tcPr>
            <w:tcW w:w="880" w:type="dxa"/>
            <w:tcBorders>
              <w:top w:val="single" w:sz="8" w:space="0" w:color="F3CFC1"/>
              <w:bottom w:val="single" w:sz="8" w:space="0" w:color="F3CFC1"/>
            </w:tcBorders>
            <w:shd w:val="clear" w:color="auto" w:fill="auto"/>
            <w:vAlign w:val="center"/>
          </w:tcPr>
          <w:p w14:paraId="242B9869"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1163" w:type="dxa"/>
            <w:tcBorders>
              <w:top w:val="single" w:sz="8" w:space="0" w:color="F3CFC1"/>
              <w:bottom w:val="single" w:sz="8" w:space="0" w:color="F3CFC1"/>
              <w:right w:val="single" w:sz="8" w:space="0" w:color="D2232A"/>
            </w:tcBorders>
            <w:shd w:val="clear" w:color="auto" w:fill="auto"/>
            <w:vAlign w:val="center"/>
          </w:tcPr>
          <w:p w14:paraId="3782A992" w14:textId="371A3F78"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15</w:t>
            </w:r>
          </w:p>
        </w:tc>
      </w:tr>
      <w:tr w:rsidR="008F5CE9" w:rsidRPr="009B61D3" w14:paraId="5D776CBC" w14:textId="77777777" w:rsidTr="00207DC9">
        <w:trPr>
          <w:trHeight w:val="283"/>
        </w:trPr>
        <w:tc>
          <w:tcPr>
            <w:tcW w:w="637" w:type="dxa"/>
            <w:tcBorders>
              <w:top w:val="single" w:sz="8" w:space="0" w:color="F3CFC1"/>
              <w:bottom w:val="single" w:sz="8" w:space="0" w:color="F3CFC1"/>
            </w:tcBorders>
            <w:shd w:val="clear" w:color="auto" w:fill="D2232A" w:themeFill="accent1"/>
            <w:vAlign w:val="center"/>
            <w:hideMark/>
          </w:tcPr>
          <w:p w14:paraId="3EF24CDF"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V</w:t>
            </w:r>
          </w:p>
        </w:tc>
        <w:tc>
          <w:tcPr>
            <w:tcW w:w="2126" w:type="dxa"/>
            <w:tcBorders>
              <w:top w:val="single" w:sz="8" w:space="0" w:color="F3CFC1"/>
              <w:bottom w:val="single" w:sz="8" w:space="0" w:color="F3CFC1"/>
            </w:tcBorders>
            <w:shd w:val="clear" w:color="auto" w:fill="auto"/>
            <w:vAlign w:val="center"/>
            <w:hideMark/>
          </w:tcPr>
          <w:p w14:paraId="707BDEFA"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OSOBNA INVALIDNINA</w:t>
            </w:r>
          </w:p>
        </w:tc>
        <w:tc>
          <w:tcPr>
            <w:tcW w:w="873" w:type="dxa"/>
            <w:tcBorders>
              <w:top w:val="single" w:sz="8" w:space="0" w:color="F3CFC1"/>
              <w:bottom w:val="single" w:sz="8" w:space="0" w:color="F3CFC1"/>
            </w:tcBorders>
            <w:shd w:val="clear" w:color="auto" w:fill="auto"/>
            <w:vAlign w:val="center"/>
          </w:tcPr>
          <w:p w14:paraId="5B260019" w14:textId="0501A328"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214</w:t>
            </w:r>
          </w:p>
        </w:tc>
        <w:tc>
          <w:tcPr>
            <w:tcW w:w="874" w:type="dxa"/>
            <w:tcBorders>
              <w:top w:val="single" w:sz="8" w:space="0" w:color="F3CFC1"/>
              <w:bottom w:val="single" w:sz="8" w:space="0" w:color="F3CFC1"/>
            </w:tcBorders>
            <w:shd w:val="clear" w:color="auto" w:fill="auto"/>
            <w:vAlign w:val="center"/>
          </w:tcPr>
          <w:p w14:paraId="5BDEB2D8" w14:textId="2ADCF0BA"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270</w:t>
            </w:r>
          </w:p>
        </w:tc>
        <w:tc>
          <w:tcPr>
            <w:tcW w:w="1019" w:type="dxa"/>
            <w:tcBorders>
              <w:top w:val="single" w:sz="8" w:space="0" w:color="F3CFC1"/>
              <w:bottom w:val="single" w:sz="8" w:space="0" w:color="F3CFC1"/>
            </w:tcBorders>
            <w:shd w:val="clear" w:color="auto" w:fill="auto"/>
            <w:vAlign w:val="center"/>
          </w:tcPr>
          <w:p w14:paraId="097FFAAA" w14:textId="790BD613"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117</w:t>
            </w:r>
          </w:p>
        </w:tc>
        <w:tc>
          <w:tcPr>
            <w:tcW w:w="728" w:type="dxa"/>
            <w:tcBorders>
              <w:top w:val="single" w:sz="8" w:space="0" w:color="F3CFC1"/>
              <w:bottom w:val="single" w:sz="8" w:space="0" w:color="F3CFC1"/>
            </w:tcBorders>
            <w:shd w:val="clear" w:color="auto" w:fill="auto"/>
            <w:vAlign w:val="center"/>
          </w:tcPr>
          <w:p w14:paraId="0DBFF858" w14:textId="5620942E"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296</w:t>
            </w:r>
          </w:p>
        </w:tc>
        <w:tc>
          <w:tcPr>
            <w:tcW w:w="1019" w:type="dxa"/>
            <w:tcBorders>
              <w:top w:val="single" w:sz="8" w:space="0" w:color="F3CFC1"/>
              <w:bottom w:val="single" w:sz="8" w:space="0" w:color="F3CFC1"/>
            </w:tcBorders>
            <w:shd w:val="clear" w:color="auto" w:fill="auto"/>
            <w:vAlign w:val="center"/>
          </w:tcPr>
          <w:p w14:paraId="18A6FE5F" w14:textId="3AE19D86"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65</w:t>
            </w:r>
          </w:p>
        </w:tc>
        <w:tc>
          <w:tcPr>
            <w:tcW w:w="880" w:type="dxa"/>
            <w:tcBorders>
              <w:top w:val="single" w:sz="8" w:space="0" w:color="F3CFC1"/>
              <w:bottom w:val="single" w:sz="8" w:space="0" w:color="F3CFC1"/>
            </w:tcBorders>
            <w:shd w:val="clear" w:color="auto" w:fill="auto"/>
            <w:vAlign w:val="center"/>
          </w:tcPr>
          <w:p w14:paraId="5979310A" w14:textId="7C64FE55"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291</w:t>
            </w:r>
          </w:p>
        </w:tc>
        <w:tc>
          <w:tcPr>
            <w:tcW w:w="1163" w:type="dxa"/>
            <w:tcBorders>
              <w:top w:val="single" w:sz="8" w:space="0" w:color="F3CFC1"/>
              <w:bottom w:val="single" w:sz="8" w:space="0" w:color="F3CFC1"/>
              <w:right w:val="single" w:sz="8" w:space="0" w:color="D2232A"/>
            </w:tcBorders>
            <w:shd w:val="clear" w:color="auto" w:fill="auto"/>
            <w:vAlign w:val="center"/>
          </w:tcPr>
          <w:p w14:paraId="195B451F" w14:textId="05861031"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w:t>
            </w:r>
            <w:r w:rsidR="00975B55">
              <w:rPr>
                <w:rFonts w:eastAsia="Times New Roman" w:cstheme="minorHAnsi"/>
                <w:szCs w:val="18"/>
                <w:lang w:eastAsia="hr-HR"/>
              </w:rPr>
              <w:t>.</w:t>
            </w:r>
            <w:r>
              <w:rPr>
                <w:rFonts w:eastAsia="Times New Roman" w:cstheme="minorHAnsi"/>
                <w:szCs w:val="18"/>
                <w:lang w:eastAsia="hr-HR"/>
              </w:rPr>
              <w:t>253</w:t>
            </w:r>
          </w:p>
        </w:tc>
      </w:tr>
      <w:tr w:rsidR="008F5CE9" w:rsidRPr="009B61D3" w14:paraId="57A03B95" w14:textId="77777777" w:rsidTr="00207DC9">
        <w:trPr>
          <w:trHeight w:val="283"/>
        </w:trPr>
        <w:tc>
          <w:tcPr>
            <w:tcW w:w="637" w:type="dxa"/>
            <w:tcBorders>
              <w:bottom w:val="single" w:sz="8" w:space="0" w:color="F3CFC1"/>
            </w:tcBorders>
            <w:shd w:val="clear" w:color="auto" w:fill="D2232A" w:themeFill="accent1"/>
            <w:vAlign w:val="center"/>
            <w:hideMark/>
          </w:tcPr>
          <w:p w14:paraId="49934429"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VI</w:t>
            </w:r>
          </w:p>
        </w:tc>
        <w:tc>
          <w:tcPr>
            <w:tcW w:w="2126" w:type="dxa"/>
            <w:tcBorders>
              <w:bottom w:val="single" w:sz="8" w:space="0" w:color="F3CFC1"/>
            </w:tcBorders>
            <w:shd w:val="clear" w:color="auto" w:fill="auto"/>
            <w:vAlign w:val="center"/>
            <w:hideMark/>
          </w:tcPr>
          <w:p w14:paraId="31AAA6E5"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DOPLATAK ZA POMOĆ I NJEGU</w:t>
            </w:r>
          </w:p>
        </w:tc>
        <w:tc>
          <w:tcPr>
            <w:tcW w:w="873" w:type="dxa"/>
            <w:tcBorders>
              <w:bottom w:val="single" w:sz="8" w:space="0" w:color="F3CFC1"/>
            </w:tcBorders>
            <w:shd w:val="clear" w:color="auto" w:fill="auto"/>
            <w:vAlign w:val="center"/>
          </w:tcPr>
          <w:p w14:paraId="7AD17C66" w14:textId="041AB96E"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391</w:t>
            </w:r>
          </w:p>
        </w:tc>
        <w:tc>
          <w:tcPr>
            <w:tcW w:w="874" w:type="dxa"/>
            <w:tcBorders>
              <w:bottom w:val="single" w:sz="8" w:space="0" w:color="F3CFC1"/>
            </w:tcBorders>
            <w:shd w:val="clear" w:color="auto" w:fill="auto"/>
            <w:vAlign w:val="center"/>
          </w:tcPr>
          <w:p w14:paraId="519E53C2" w14:textId="10485B86"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660</w:t>
            </w:r>
          </w:p>
        </w:tc>
        <w:tc>
          <w:tcPr>
            <w:tcW w:w="1019" w:type="dxa"/>
            <w:tcBorders>
              <w:bottom w:val="single" w:sz="8" w:space="0" w:color="F3CFC1"/>
            </w:tcBorders>
            <w:shd w:val="clear" w:color="auto" w:fill="auto"/>
            <w:vAlign w:val="center"/>
          </w:tcPr>
          <w:p w14:paraId="4200194F" w14:textId="42EBDDC0"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267</w:t>
            </w:r>
          </w:p>
        </w:tc>
        <w:tc>
          <w:tcPr>
            <w:tcW w:w="728" w:type="dxa"/>
            <w:tcBorders>
              <w:bottom w:val="single" w:sz="8" w:space="0" w:color="F3CFC1"/>
            </w:tcBorders>
            <w:shd w:val="clear" w:color="auto" w:fill="auto"/>
            <w:vAlign w:val="center"/>
          </w:tcPr>
          <w:p w14:paraId="18D7D1C1" w14:textId="6DA6DFD2"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485</w:t>
            </w:r>
          </w:p>
        </w:tc>
        <w:tc>
          <w:tcPr>
            <w:tcW w:w="1019" w:type="dxa"/>
            <w:tcBorders>
              <w:bottom w:val="single" w:sz="8" w:space="0" w:color="F3CFC1"/>
            </w:tcBorders>
            <w:shd w:val="clear" w:color="auto" w:fill="auto"/>
            <w:vAlign w:val="center"/>
          </w:tcPr>
          <w:p w14:paraId="2A969BBA" w14:textId="35E569A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117</w:t>
            </w:r>
          </w:p>
        </w:tc>
        <w:tc>
          <w:tcPr>
            <w:tcW w:w="880" w:type="dxa"/>
            <w:tcBorders>
              <w:bottom w:val="single" w:sz="8" w:space="0" w:color="F3CFC1"/>
            </w:tcBorders>
            <w:shd w:val="clear" w:color="auto" w:fill="auto"/>
            <w:vAlign w:val="center"/>
          </w:tcPr>
          <w:p w14:paraId="6EE0F467" w14:textId="3D13414D"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539</w:t>
            </w:r>
          </w:p>
        </w:tc>
        <w:tc>
          <w:tcPr>
            <w:tcW w:w="1163" w:type="dxa"/>
            <w:tcBorders>
              <w:bottom w:val="single" w:sz="8" w:space="0" w:color="F3CFC1"/>
              <w:right w:val="single" w:sz="8" w:space="0" w:color="D2232A"/>
            </w:tcBorders>
            <w:shd w:val="clear" w:color="auto" w:fill="auto"/>
            <w:vAlign w:val="center"/>
          </w:tcPr>
          <w:p w14:paraId="470CF859" w14:textId="0327C87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w:t>
            </w:r>
            <w:r w:rsidR="00975B55">
              <w:rPr>
                <w:rFonts w:eastAsia="Times New Roman" w:cstheme="minorHAnsi"/>
                <w:szCs w:val="18"/>
                <w:lang w:eastAsia="hr-HR"/>
              </w:rPr>
              <w:t>.</w:t>
            </w:r>
            <w:r>
              <w:rPr>
                <w:rFonts w:eastAsia="Times New Roman" w:cstheme="minorHAnsi"/>
                <w:szCs w:val="18"/>
                <w:lang w:eastAsia="hr-HR"/>
              </w:rPr>
              <w:t>459</w:t>
            </w:r>
          </w:p>
        </w:tc>
      </w:tr>
      <w:tr w:rsidR="008F5CE9" w:rsidRPr="009B61D3" w14:paraId="06503FDB" w14:textId="77777777" w:rsidTr="00207DC9">
        <w:trPr>
          <w:trHeight w:val="283"/>
        </w:trPr>
        <w:tc>
          <w:tcPr>
            <w:tcW w:w="637" w:type="dxa"/>
            <w:tcBorders>
              <w:top w:val="single" w:sz="8" w:space="0" w:color="F3CFC1"/>
              <w:bottom w:val="single" w:sz="8" w:space="0" w:color="F3CFC1"/>
            </w:tcBorders>
            <w:shd w:val="clear" w:color="auto" w:fill="D2232A" w:themeFill="accent1"/>
            <w:vAlign w:val="center"/>
            <w:hideMark/>
          </w:tcPr>
          <w:p w14:paraId="391AA762"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VII</w:t>
            </w:r>
          </w:p>
        </w:tc>
        <w:tc>
          <w:tcPr>
            <w:tcW w:w="2126" w:type="dxa"/>
            <w:tcBorders>
              <w:top w:val="single" w:sz="8" w:space="0" w:color="F3CFC1"/>
              <w:bottom w:val="single" w:sz="8" w:space="0" w:color="F3CFC1"/>
            </w:tcBorders>
            <w:shd w:val="clear" w:color="auto" w:fill="auto"/>
            <w:vAlign w:val="center"/>
            <w:hideMark/>
          </w:tcPr>
          <w:p w14:paraId="4E9435CA"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STATUS RODITELJA NJEGOVATELJA ILI NJEGOVATELJ</w:t>
            </w:r>
          </w:p>
        </w:tc>
        <w:tc>
          <w:tcPr>
            <w:tcW w:w="873" w:type="dxa"/>
            <w:tcBorders>
              <w:top w:val="single" w:sz="8" w:space="0" w:color="F3CFC1"/>
              <w:bottom w:val="single" w:sz="8" w:space="0" w:color="F3CFC1"/>
            </w:tcBorders>
            <w:shd w:val="clear" w:color="auto" w:fill="auto"/>
            <w:vAlign w:val="center"/>
          </w:tcPr>
          <w:p w14:paraId="26E06266" w14:textId="3A50EEB2"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29</w:t>
            </w:r>
          </w:p>
        </w:tc>
        <w:tc>
          <w:tcPr>
            <w:tcW w:w="874" w:type="dxa"/>
            <w:tcBorders>
              <w:top w:val="single" w:sz="8" w:space="0" w:color="F3CFC1"/>
              <w:bottom w:val="single" w:sz="8" w:space="0" w:color="F3CFC1"/>
            </w:tcBorders>
            <w:shd w:val="clear" w:color="auto" w:fill="auto"/>
            <w:vAlign w:val="center"/>
          </w:tcPr>
          <w:p w14:paraId="092B98A2" w14:textId="4DE1E8F2"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41</w:t>
            </w:r>
          </w:p>
        </w:tc>
        <w:tc>
          <w:tcPr>
            <w:tcW w:w="1019" w:type="dxa"/>
            <w:tcBorders>
              <w:top w:val="single" w:sz="8" w:space="0" w:color="F3CFC1"/>
              <w:bottom w:val="single" w:sz="8" w:space="0" w:color="F3CFC1"/>
            </w:tcBorders>
            <w:shd w:val="clear" w:color="auto" w:fill="auto"/>
            <w:vAlign w:val="center"/>
          </w:tcPr>
          <w:p w14:paraId="688B2D74" w14:textId="6EB2744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7</w:t>
            </w:r>
          </w:p>
        </w:tc>
        <w:tc>
          <w:tcPr>
            <w:tcW w:w="728" w:type="dxa"/>
            <w:tcBorders>
              <w:top w:val="single" w:sz="8" w:space="0" w:color="F3CFC1"/>
              <w:bottom w:val="single" w:sz="8" w:space="0" w:color="F3CFC1"/>
            </w:tcBorders>
            <w:shd w:val="clear" w:color="auto" w:fill="auto"/>
            <w:vAlign w:val="center"/>
          </w:tcPr>
          <w:p w14:paraId="3E5BBA98"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60</w:t>
            </w:r>
          </w:p>
        </w:tc>
        <w:tc>
          <w:tcPr>
            <w:tcW w:w="1019" w:type="dxa"/>
            <w:tcBorders>
              <w:top w:val="single" w:sz="8" w:space="0" w:color="F3CFC1"/>
              <w:bottom w:val="single" w:sz="8" w:space="0" w:color="F3CFC1"/>
            </w:tcBorders>
            <w:shd w:val="clear" w:color="auto" w:fill="auto"/>
            <w:vAlign w:val="center"/>
          </w:tcPr>
          <w:p w14:paraId="601231EF" w14:textId="4F2415B2"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14</w:t>
            </w:r>
          </w:p>
        </w:tc>
        <w:tc>
          <w:tcPr>
            <w:tcW w:w="880" w:type="dxa"/>
            <w:tcBorders>
              <w:top w:val="single" w:sz="8" w:space="0" w:color="F3CFC1"/>
              <w:bottom w:val="single" w:sz="8" w:space="0" w:color="F3CFC1"/>
            </w:tcBorders>
            <w:shd w:val="clear" w:color="auto" w:fill="auto"/>
            <w:vAlign w:val="center"/>
          </w:tcPr>
          <w:p w14:paraId="35127A10" w14:textId="36612D33"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56</w:t>
            </w:r>
          </w:p>
        </w:tc>
        <w:tc>
          <w:tcPr>
            <w:tcW w:w="1163" w:type="dxa"/>
            <w:tcBorders>
              <w:top w:val="single" w:sz="8" w:space="0" w:color="F3CFC1"/>
              <w:bottom w:val="single" w:sz="8" w:space="0" w:color="F3CFC1"/>
              <w:right w:val="single" w:sz="8" w:space="0" w:color="D2232A"/>
            </w:tcBorders>
            <w:shd w:val="clear" w:color="auto" w:fill="auto"/>
            <w:vAlign w:val="center"/>
          </w:tcPr>
          <w:p w14:paraId="20E1824B"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207</w:t>
            </w:r>
          </w:p>
        </w:tc>
      </w:tr>
      <w:tr w:rsidR="008F5CE9" w:rsidRPr="009B61D3" w14:paraId="4DA3F7C1" w14:textId="77777777" w:rsidTr="00207DC9">
        <w:trPr>
          <w:trHeight w:val="283"/>
        </w:trPr>
        <w:tc>
          <w:tcPr>
            <w:tcW w:w="637" w:type="dxa"/>
            <w:tcBorders>
              <w:top w:val="single" w:sz="8" w:space="0" w:color="F3CFC1"/>
              <w:bottom w:val="single" w:sz="8" w:space="0" w:color="F3CFC1"/>
            </w:tcBorders>
            <w:shd w:val="clear" w:color="auto" w:fill="D2232A" w:themeFill="accent1"/>
            <w:vAlign w:val="center"/>
            <w:hideMark/>
          </w:tcPr>
          <w:p w14:paraId="4FAE6869"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VIII</w:t>
            </w:r>
          </w:p>
        </w:tc>
        <w:tc>
          <w:tcPr>
            <w:tcW w:w="2126" w:type="dxa"/>
            <w:tcBorders>
              <w:top w:val="single" w:sz="8" w:space="0" w:color="F3CFC1"/>
              <w:bottom w:val="single" w:sz="8" w:space="0" w:color="F3CFC1"/>
            </w:tcBorders>
            <w:shd w:val="clear" w:color="auto" w:fill="auto"/>
            <w:vAlign w:val="center"/>
            <w:hideMark/>
          </w:tcPr>
          <w:p w14:paraId="70E8524B"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NAKNADA DO ZAPOSLENJA</w:t>
            </w:r>
          </w:p>
        </w:tc>
        <w:tc>
          <w:tcPr>
            <w:tcW w:w="873" w:type="dxa"/>
            <w:tcBorders>
              <w:top w:val="single" w:sz="8" w:space="0" w:color="F3CFC1"/>
              <w:bottom w:val="single" w:sz="8" w:space="0" w:color="F3CFC1"/>
            </w:tcBorders>
            <w:shd w:val="clear" w:color="auto" w:fill="auto"/>
            <w:vAlign w:val="center"/>
          </w:tcPr>
          <w:p w14:paraId="1BA9F265" w14:textId="490FC7B5"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21</w:t>
            </w:r>
          </w:p>
        </w:tc>
        <w:tc>
          <w:tcPr>
            <w:tcW w:w="874" w:type="dxa"/>
            <w:tcBorders>
              <w:top w:val="single" w:sz="8" w:space="0" w:color="F3CFC1"/>
              <w:bottom w:val="single" w:sz="8" w:space="0" w:color="F3CFC1"/>
            </w:tcBorders>
            <w:shd w:val="clear" w:color="auto" w:fill="auto"/>
            <w:vAlign w:val="center"/>
          </w:tcPr>
          <w:p w14:paraId="61C4DCF0" w14:textId="7D6D3DD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22</w:t>
            </w:r>
          </w:p>
        </w:tc>
        <w:tc>
          <w:tcPr>
            <w:tcW w:w="1019" w:type="dxa"/>
            <w:tcBorders>
              <w:top w:val="single" w:sz="8" w:space="0" w:color="F3CFC1"/>
              <w:bottom w:val="single" w:sz="8" w:space="0" w:color="F3CFC1"/>
            </w:tcBorders>
            <w:shd w:val="clear" w:color="auto" w:fill="auto"/>
            <w:vAlign w:val="center"/>
          </w:tcPr>
          <w:p w14:paraId="585CD1A1" w14:textId="62EA988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10</w:t>
            </w:r>
          </w:p>
        </w:tc>
        <w:tc>
          <w:tcPr>
            <w:tcW w:w="728" w:type="dxa"/>
            <w:tcBorders>
              <w:top w:val="single" w:sz="8" w:space="0" w:color="F3CFC1"/>
              <w:bottom w:val="single" w:sz="8" w:space="0" w:color="F3CFC1"/>
            </w:tcBorders>
            <w:shd w:val="clear" w:color="auto" w:fill="auto"/>
            <w:vAlign w:val="center"/>
          </w:tcPr>
          <w:p w14:paraId="7BE303A6" w14:textId="5CEA660E"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23</w:t>
            </w:r>
          </w:p>
        </w:tc>
        <w:tc>
          <w:tcPr>
            <w:tcW w:w="1019" w:type="dxa"/>
            <w:tcBorders>
              <w:top w:val="single" w:sz="8" w:space="0" w:color="F3CFC1"/>
              <w:bottom w:val="single" w:sz="8" w:space="0" w:color="F3CFC1"/>
            </w:tcBorders>
            <w:shd w:val="clear" w:color="auto" w:fill="auto"/>
            <w:vAlign w:val="center"/>
          </w:tcPr>
          <w:p w14:paraId="4F0FE24D"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7</w:t>
            </w:r>
          </w:p>
        </w:tc>
        <w:tc>
          <w:tcPr>
            <w:tcW w:w="880" w:type="dxa"/>
            <w:tcBorders>
              <w:top w:val="single" w:sz="8" w:space="0" w:color="F3CFC1"/>
              <w:bottom w:val="single" w:sz="8" w:space="0" w:color="F3CFC1"/>
            </w:tcBorders>
            <w:shd w:val="clear" w:color="auto" w:fill="auto"/>
            <w:vAlign w:val="center"/>
          </w:tcPr>
          <w:p w14:paraId="2F698C80" w14:textId="275A2052"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9</w:t>
            </w:r>
          </w:p>
        </w:tc>
        <w:tc>
          <w:tcPr>
            <w:tcW w:w="1163" w:type="dxa"/>
            <w:tcBorders>
              <w:top w:val="single" w:sz="8" w:space="0" w:color="F3CFC1"/>
              <w:bottom w:val="single" w:sz="8" w:space="0" w:color="F3CFC1"/>
              <w:right w:val="single" w:sz="8" w:space="0" w:color="D2232A"/>
            </w:tcBorders>
            <w:shd w:val="clear" w:color="auto" w:fill="auto"/>
            <w:vAlign w:val="center"/>
          </w:tcPr>
          <w:p w14:paraId="7F3FCCE2" w14:textId="4796BF95"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92</w:t>
            </w:r>
          </w:p>
        </w:tc>
      </w:tr>
      <w:tr w:rsidR="008F5CE9" w:rsidRPr="009B61D3" w14:paraId="5698943C" w14:textId="77777777" w:rsidTr="00207DC9">
        <w:trPr>
          <w:trHeight w:val="283"/>
        </w:trPr>
        <w:tc>
          <w:tcPr>
            <w:tcW w:w="637" w:type="dxa"/>
            <w:vMerge w:val="restart"/>
            <w:tcBorders>
              <w:top w:val="single" w:sz="8" w:space="0" w:color="F3CFC1"/>
              <w:bottom w:val="single" w:sz="8" w:space="0" w:color="F3CFC1"/>
            </w:tcBorders>
            <w:shd w:val="clear" w:color="auto" w:fill="D2232A" w:themeFill="accent1"/>
            <w:hideMark/>
          </w:tcPr>
          <w:p w14:paraId="2664987B"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IX</w:t>
            </w:r>
          </w:p>
        </w:tc>
        <w:tc>
          <w:tcPr>
            <w:tcW w:w="2126" w:type="dxa"/>
            <w:tcBorders>
              <w:top w:val="single" w:sz="8" w:space="0" w:color="F3CFC1"/>
              <w:bottom w:val="single" w:sz="8" w:space="0" w:color="F3CFC1"/>
            </w:tcBorders>
            <w:shd w:val="clear" w:color="auto" w:fill="auto"/>
            <w:vAlign w:val="center"/>
            <w:hideMark/>
          </w:tcPr>
          <w:p w14:paraId="7C3A79B3"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SOCIJALNE USLUGE  (ukupno korisnika) POMOĆ U KUĆI</w:t>
            </w:r>
          </w:p>
        </w:tc>
        <w:tc>
          <w:tcPr>
            <w:tcW w:w="873" w:type="dxa"/>
            <w:tcBorders>
              <w:top w:val="single" w:sz="8" w:space="0" w:color="F3CFC1"/>
              <w:bottom w:val="single" w:sz="8" w:space="0" w:color="F3CFC1"/>
            </w:tcBorders>
            <w:shd w:val="clear" w:color="auto" w:fill="auto"/>
            <w:vAlign w:val="center"/>
          </w:tcPr>
          <w:p w14:paraId="6A5BD21E" w14:textId="7D409024"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43</w:t>
            </w:r>
          </w:p>
        </w:tc>
        <w:tc>
          <w:tcPr>
            <w:tcW w:w="874" w:type="dxa"/>
            <w:tcBorders>
              <w:top w:val="single" w:sz="8" w:space="0" w:color="F3CFC1"/>
              <w:bottom w:val="single" w:sz="8" w:space="0" w:color="F3CFC1"/>
            </w:tcBorders>
            <w:shd w:val="clear" w:color="auto" w:fill="auto"/>
            <w:vAlign w:val="center"/>
          </w:tcPr>
          <w:p w14:paraId="5F98C01C" w14:textId="30E6AD30"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45</w:t>
            </w:r>
          </w:p>
        </w:tc>
        <w:tc>
          <w:tcPr>
            <w:tcW w:w="1019" w:type="dxa"/>
            <w:tcBorders>
              <w:top w:val="single" w:sz="8" w:space="0" w:color="F3CFC1"/>
              <w:bottom w:val="single" w:sz="8" w:space="0" w:color="F3CFC1"/>
            </w:tcBorders>
            <w:shd w:val="clear" w:color="auto" w:fill="auto"/>
            <w:vAlign w:val="center"/>
          </w:tcPr>
          <w:p w14:paraId="020ECBA4" w14:textId="1C8EEADF"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64</w:t>
            </w:r>
          </w:p>
        </w:tc>
        <w:tc>
          <w:tcPr>
            <w:tcW w:w="728" w:type="dxa"/>
            <w:tcBorders>
              <w:top w:val="single" w:sz="8" w:space="0" w:color="F3CFC1"/>
              <w:bottom w:val="single" w:sz="8" w:space="0" w:color="F3CFC1"/>
            </w:tcBorders>
            <w:shd w:val="clear" w:color="auto" w:fill="auto"/>
            <w:vAlign w:val="center"/>
          </w:tcPr>
          <w:p w14:paraId="0CA70169" w14:textId="31D53E16"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20</w:t>
            </w:r>
          </w:p>
        </w:tc>
        <w:tc>
          <w:tcPr>
            <w:tcW w:w="1019" w:type="dxa"/>
            <w:tcBorders>
              <w:top w:val="single" w:sz="8" w:space="0" w:color="F3CFC1"/>
              <w:bottom w:val="single" w:sz="8" w:space="0" w:color="F3CFC1"/>
            </w:tcBorders>
            <w:shd w:val="clear" w:color="auto" w:fill="auto"/>
            <w:vAlign w:val="center"/>
          </w:tcPr>
          <w:p w14:paraId="7DEDE0C6" w14:textId="5CBB99FF"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880" w:type="dxa"/>
            <w:tcBorders>
              <w:top w:val="single" w:sz="8" w:space="0" w:color="F3CFC1"/>
              <w:bottom w:val="single" w:sz="8" w:space="0" w:color="F3CFC1"/>
            </w:tcBorders>
            <w:shd w:val="clear" w:color="auto" w:fill="auto"/>
            <w:vAlign w:val="center"/>
          </w:tcPr>
          <w:p w14:paraId="29D515A4" w14:textId="240FBAD5"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71</w:t>
            </w:r>
          </w:p>
        </w:tc>
        <w:tc>
          <w:tcPr>
            <w:tcW w:w="1163" w:type="dxa"/>
            <w:tcBorders>
              <w:top w:val="single" w:sz="8" w:space="0" w:color="F3CFC1"/>
              <w:bottom w:val="single" w:sz="8" w:space="0" w:color="F3CFC1"/>
              <w:right w:val="single" w:sz="8" w:space="0" w:color="D2232A"/>
            </w:tcBorders>
            <w:shd w:val="clear" w:color="auto" w:fill="auto"/>
            <w:vAlign w:val="center"/>
          </w:tcPr>
          <w:p w14:paraId="6EABF9BC" w14:textId="0B4610C6"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243</w:t>
            </w:r>
          </w:p>
        </w:tc>
      </w:tr>
      <w:tr w:rsidR="008F5CE9" w:rsidRPr="009B61D3" w14:paraId="57338F7F" w14:textId="77777777" w:rsidTr="00207DC9">
        <w:trPr>
          <w:trHeight w:val="283"/>
        </w:trPr>
        <w:tc>
          <w:tcPr>
            <w:tcW w:w="637" w:type="dxa"/>
            <w:vMerge/>
            <w:tcBorders>
              <w:top w:val="single" w:sz="8" w:space="0" w:color="F3CFC1"/>
              <w:bottom w:val="single" w:sz="8" w:space="0" w:color="F3CFC1"/>
            </w:tcBorders>
            <w:shd w:val="clear" w:color="auto" w:fill="D2232A" w:themeFill="accent1"/>
            <w:vAlign w:val="center"/>
            <w:hideMark/>
          </w:tcPr>
          <w:p w14:paraId="367BB437" w14:textId="77777777" w:rsidR="008F5CE9" w:rsidRPr="009B61D3" w:rsidRDefault="008F5CE9" w:rsidP="008F5CE9">
            <w:pPr>
              <w:spacing w:after="0" w:line="240" w:lineRule="auto"/>
              <w:rPr>
                <w:rFonts w:eastAsia="Times New Roman" w:cstheme="minorHAnsi"/>
                <w:color w:val="FFFFFF" w:themeColor="background1"/>
                <w:szCs w:val="18"/>
                <w:lang w:eastAsia="hr-HR"/>
              </w:rPr>
            </w:pPr>
          </w:p>
        </w:tc>
        <w:tc>
          <w:tcPr>
            <w:tcW w:w="2126" w:type="dxa"/>
            <w:tcBorders>
              <w:top w:val="single" w:sz="8" w:space="0" w:color="F3CFC1"/>
              <w:bottom w:val="single" w:sz="8" w:space="0" w:color="F3CFC1"/>
            </w:tcBorders>
            <w:shd w:val="clear" w:color="auto" w:fill="auto"/>
            <w:vAlign w:val="center"/>
            <w:hideMark/>
          </w:tcPr>
          <w:p w14:paraId="42BD6378"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PSIHOSOCIJALNA PODRŠKA</w:t>
            </w:r>
          </w:p>
        </w:tc>
        <w:tc>
          <w:tcPr>
            <w:tcW w:w="873" w:type="dxa"/>
            <w:tcBorders>
              <w:top w:val="single" w:sz="8" w:space="0" w:color="F3CFC1"/>
              <w:bottom w:val="single" w:sz="8" w:space="0" w:color="F3CFC1"/>
            </w:tcBorders>
            <w:shd w:val="clear" w:color="auto" w:fill="auto"/>
            <w:vAlign w:val="center"/>
          </w:tcPr>
          <w:p w14:paraId="769DC2FD" w14:textId="4A223B4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13</w:t>
            </w:r>
          </w:p>
        </w:tc>
        <w:tc>
          <w:tcPr>
            <w:tcW w:w="874" w:type="dxa"/>
            <w:tcBorders>
              <w:top w:val="single" w:sz="8" w:space="0" w:color="F3CFC1"/>
              <w:bottom w:val="single" w:sz="8" w:space="0" w:color="F3CFC1"/>
            </w:tcBorders>
            <w:shd w:val="clear" w:color="auto" w:fill="auto"/>
            <w:vAlign w:val="center"/>
          </w:tcPr>
          <w:p w14:paraId="1D4E604B" w14:textId="19FE41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w:t>
            </w:r>
          </w:p>
        </w:tc>
        <w:tc>
          <w:tcPr>
            <w:tcW w:w="1019" w:type="dxa"/>
            <w:tcBorders>
              <w:top w:val="single" w:sz="8" w:space="0" w:color="F3CFC1"/>
              <w:bottom w:val="single" w:sz="8" w:space="0" w:color="F3CFC1"/>
            </w:tcBorders>
            <w:shd w:val="clear" w:color="auto" w:fill="auto"/>
            <w:vAlign w:val="center"/>
          </w:tcPr>
          <w:p w14:paraId="62D0E4CD"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728" w:type="dxa"/>
            <w:tcBorders>
              <w:top w:val="single" w:sz="8" w:space="0" w:color="F3CFC1"/>
              <w:bottom w:val="single" w:sz="8" w:space="0" w:color="F3CFC1"/>
            </w:tcBorders>
            <w:shd w:val="clear" w:color="auto" w:fill="auto"/>
            <w:vAlign w:val="center"/>
          </w:tcPr>
          <w:p w14:paraId="02E67839" w14:textId="1E493D2F"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8</w:t>
            </w:r>
          </w:p>
        </w:tc>
        <w:tc>
          <w:tcPr>
            <w:tcW w:w="1019" w:type="dxa"/>
            <w:tcBorders>
              <w:top w:val="single" w:sz="8" w:space="0" w:color="F3CFC1"/>
              <w:bottom w:val="single" w:sz="8" w:space="0" w:color="F3CFC1"/>
            </w:tcBorders>
            <w:shd w:val="clear" w:color="auto" w:fill="auto"/>
            <w:vAlign w:val="center"/>
          </w:tcPr>
          <w:p w14:paraId="5E9EDDD3" w14:textId="7ABCE97F"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w:t>
            </w:r>
          </w:p>
        </w:tc>
        <w:tc>
          <w:tcPr>
            <w:tcW w:w="880" w:type="dxa"/>
            <w:tcBorders>
              <w:top w:val="single" w:sz="8" w:space="0" w:color="F3CFC1"/>
              <w:bottom w:val="single" w:sz="8" w:space="0" w:color="F3CFC1"/>
            </w:tcBorders>
            <w:shd w:val="clear" w:color="auto" w:fill="auto"/>
            <w:vAlign w:val="center"/>
          </w:tcPr>
          <w:p w14:paraId="0FB0CD8F" w14:textId="1BBB0EA1"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10</w:t>
            </w:r>
          </w:p>
        </w:tc>
        <w:tc>
          <w:tcPr>
            <w:tcW w:w="1163" w:type="dxa"/>
            <w:tcBorders>
              <w:top w:val="single" w:sz="8" w:space="0" w:color="F3CFC1"/>
              <w:bottom w:val="single" w:sz="8" w:space="0" w:color="F3CFC1"/>
              <w:right w:val="single" w:sz="8" w:space="0" w:color="D2232A"/>
            </w:tcBorders>
            <w:shd w:val="clear" w:color="auto" w:fill="auto"/>
            <w:vAlign w:val="center"/>
          </w:tcPr>
          <w:p w14:paraId="0CCAB2A1" w14:textId="722CF36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36</w:t>
            </w:r>
          </w:p>
        </w:tc>
      </w:tr>
      <w:tr w:rsidR="008F5CE9" w:rsidRPr="009B61D3" w14:paraId="0550E167" w14:textId="77777777" w:rsidTr="00207DC9">
        <w:trPr>
          <w:trHeight w:val="283"/>
        </w:trPr>
        <w:tc>
          <w:tcPr>
            <w:tcW w:w="637" w:type="dxa"/>
            <w:vMerge/>
            <w:tcBorders>
              <w:top w:val="single" w:sz="8" w:space="0" w:color="F3CFC1"/>
              <w:bottom w:val="single" w:sz="8" w:space="0" w:color="F3CFC1"/>
            </w:tcBorders>
            <w:shd w:val="clear" w:color="auto" w:fill="D2232A" w:themeFill="accent1"/>
            <w:vAlign w:val="center"/>
            <w:hideMark/>
          </w:tcPr>
          <w:p w14:paraId="7014E023" w14:textId="77777777" w:rsidR="008F5CE9" w:rsidRPr="009B61D3" w:rsidRDefault="008F5CE9" w:rsidP="008F5CE9">
            <w:pPr>
              <w:spacing w:after="0" w:line="240" w:lineRule="auto"/>
              <w:rPr>
                <w:rFonts w:eastAsia="Times New Roman" w:cstheme="minorHAnsi"/>
                <w:color w:val="FFFFFF" w:themeColor="background1"/>
                <w:szCs w:val="18"/>
                <w:lang w:eastAsia="hr-HR"/>
              </w:rPr>
            </w:pPr>
          </w:p>
        </w:tc>
        <w:tc>
          <w:tcPr>
            <w:tcW w:w="2126" w:type="dxa"/>
            <w:tcBorders>
              <w:top w:val="single" w:sz="8" w:space="0" w:color="F3CFC1"/>
              <w:bottom w:val="single" w:sz="8" w:space="0" w:color="F3CFC1"/>
            </w:tcBorders>
            <w:shd w:val="clear" w:color="auto" w:fill="auto"/>
            <w:vAlign w:val="center"/>
            <w:hideMark/>
          </w:tcPr>
          <w:p w14:paraId="6BE79938"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RANA INTERVENCIJA</w:t>
            </w:r>
          </w:p>
        </w:tc>
        <w:tc>
          <w:tcPr>
            <w:tcW w:w="873" w:type="dxa"/>
            <w:tcBorders>
              <w:top w:val="single" w:sz="8" w:space="0" w:color="F3CFC1"/>
              <w:bottom w:val="single" w:sz="8" w:space="0" w:color="F3CFC1"/>
            </w:tcBorders>
            <w:shd w:val="clear" w:color="auto" w:fill="auto"/>
            <w:vAlign w:val="center"/>
          </w:tcPr>
          <w:p w14:paraId="2EEDF8F3"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w:t>
            </w:r>
          </w:p>
        </w:tc>
        <w:tc>
          <w:tcPr>
            <w:tcW w:w="874" w:type="dxa"/>
            <w:tcBorders>
              <w:top w:val="single" w:sz="8" w:space="0" w:color="F3CFC1"/>
              <w:bottom w:val="single" w:sz="8" w:space="0" w:color="F3CFC1"/>
            </w:tcBorders>
            <w:shd w:val="clear" w:color="auto" w:fill="auto"/>
            <w:vAlign w:val="center"/>
          </w:tcPr>
          <w:p w14:paraId="7A7442A3" w14:textId="4182AA1C"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1019" w:type="dxa"/>
            <w:tcBorders>
              <w:top w:val="single" w:sz="8" w:space="0" w:color="F3CFC1"/>
              <w:bottom w:val="single" w:sz="8" w:space="0" w:color="F3CFC1"/>
            </w:tcBorders>
            <w:shd w:val="clear" w:color="auto" w:fill="auto"/>
            <w:vAlign w:val="center"/>
          </w:tcPr>
          <w:p w14:paraId="592D688A"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728" w:type="dxa"/>
            <w:tcBorders>
              <w:top w:val="single" w:sz="8" w:space="0" w:color="F3CFC1"/>
              <w:bottom w:val="single" w:sz="8" w:space="0" w:color="F3CFC1"/>
            </w:tcBorders>
            <w:shd w:val="clear" w:color="auto" w:fill="auto"/>
            <w:vAlign w:val="center"/>
          </w:tcPr>
          <w:p w14:paraId="3E1063C1" w14:textId="4CC4B908"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w:t>
            </w:r>
          </w:p>
        </w:tc>
        <w:tc>
          <w:tcPr>
            <w:tcW w:w="1019" w:type="dxa"/>
            <w:tcBorders>
              <w:top w:val="single" w:sz="8" w:space="0" w:color="F3CFC1"/>
              <w:bottom w:val="single" w:sz="8" w:space="0" w:color="F3CFC1"/>
            </w:tcBorders>
            <w:shd w:val="clear" w:color="auto" w:fill="auto"/>
          </w:tcPr>
          <w:p w14:paraId="15CFB2FD"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880" w:type="dxa"/>
            <w:tcBorders>
              <w:top w:val="single" w:sz="8" w:space="0" w:color="F3CFC1"/>
              <w:bottom w:val="single" w:sz="8" w:space="0" w:color="F3CFC1"/>
            </w:tcBorders>
            <w:shd w:val="clear" w:color="auto" w:fill="auto"/>
          </w:tcPr>
          <w:p w14:paraId="5C125F83"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1163" w:type="dxa"/>
            <w:tcBorders>
              <w:top w:val="single" w:sz="8" w:space="0" w:color="F3CFC1"/>
              <w:bottom w:val="single" w:sz="8" w:space="0" w:color="F3CFC1"/>
              <w:right w:val="single" w:sz="8" w:space="0" w:color="D2232A"/>
            </w:tcBorders>
            <w:shd w:val="clear" w:color="auto" w:fill="auto"/>
            <w:vAlign w:val="center"/>
          </w:tcPr>
          <w:p w14:paraId="47E708FE"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5</w:t>
            </w:r>
          </w:p>
        </w:tc>
      </w:tr>
      <w:tr w:rsidR="008F5CE9" w:rsidRPr="009B61D3" w14:paraId="39CEE97E" w14:textId="77777777" w:rsidTr="00207DC9">
        <w:trPr>
          <w:trHeight w:val="283"/>
        </w:trPr>
        <w:tc>
          <w:tcPr>
            <w:tcW w:w="637" w:type="dxa"/>
            <w:vMerge/>
            <w:tcBorders>
              <w:top w:val="single" w:sz="8" w:space="0" w:color="F3CFC1"/>
              <w:bottom w:val="single" w:sz="8" w:space="0" w:color="F3CFC1"/>
            </w:tcBorders>
            <w:shd w:val="clear" w:color="auto" w:fill="D2232A" w:themeFill="accent1"/>
            <w:vAlign w:val="center"/>
            <w:hideMark/>
          </w:tcPr>
          <w:p w14:paraId="0AE3D9D4" w14:textId="77777777" w:rsidR="008F5CE9" w:rsidRPr="009B61D3" w:rsidRDefault="008F5CE9" w:rsidP="008F5CE9">
            <w:pPr>
              <w:spacing w:after="0" w:line="240" w:lineRule="auto"/>
              <w:rPr>
                <w:rFonts w:eastAsia="Times New Roman" w:cstheme="minorHAnsi"/>
                <w:color w:val="FFFFFF" w:themeColor="background1"/>
                <w:szCs w:val="18"/>
                <w:lang w:eastAsia="hr-HR"/>
              </w:rPr>
            </w:pPr>
          </w:p>
        </w:tc>
        <w:tc>
          <w:tcPr>
            <w:tcW w:w="2126" w:type="dxa"/>
            <w:tcBorders>
              <w:top w:val="single" w:sz="8" w:space="0" w:color="F3CFC1"/>
              <w:bottom w:val="single" w:sz="8" w:space="0" w:color="F3CFC1"/>
            </w:tcBorders>
            <w:shd w:val="clear" w:color="auto" w:fill="auto"/>
            <w:vAlign w:val="center"/>
            <w:hideMark/>
          </w:tcPr>
          <w:p w14:paraId="62285056"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POMOĆ PRI UKLJUČIVANJE U PROGRAME ODGOJA I OBRAZOVANJA (INTEGRACIJA)</w:t>
            </w:r>
          </w:p>
        </w:tc>
        <w:tc>
          <w:tcPr>
            <w:tcW w:w="873" w:type="dxa"/>
            <w:tcBorders>
              <w:top w:val="single" w:sz="8" w:space="0" w:color="F3CFC1"/>
              <w:bottom w:val="single" w:sz="8" w:space="0" w:color="F3CFC1"/>
            </w:tcBorders>
            <w:shd w:val="clear" w:color="auto" w:fill="auto"/>
            <w:vAlign w:val="center"/>
          </w:tcPr>
          <w:p w14:paraId="3F9EE788"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w:t>
            </w:r>
          </w:p>
        </w:tc>
        <w:tc>
          <w:tcPr>
            <w:tcW w:w="874" w:type="dxa"/>
            <w:tcBorders>
              <w:top w:val="single" w:sz="8" w:space="0" w:color="F3CFC1"/>
              <w:bottom w:val="single" w:sz="8" w:space="0" w:color="F3CFC1"/>
            </w:tcBorders>
            <w:shd w:val="clear" w:color="auto" w:fill="auto"/>
            <w:vAlign w:val="center"/>
          </w:tcPr>
          <w:p w14:paraId="4E2522A6"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w:t>
            </w:r>
          </w:p>
        </w:tc>
        <w:tc>
          <w:tcPr>
            <w:tcW w:w="1019" w:type="dxa"/>
            <w:tcBorders>
              <w:top w:val="single" w:sz="8" w:space="0" w:color="F3CFC1"/>
              <w:bottom w:val="single" w:sz="8" w:space="0" w:color="F3CFC1"/>
            </w:tcBorders>
            <w:shd w:val="clear" w:color="auto" w:fill="auto"/>
            <w:vAlign w:val="center"/>
          </w:tcPr>
          <w:p w14:paraId="01AF16C5"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728" w:type="dxa"/>
            <w:tcBorders>
              <w:top w:val="single" w:sz="8" w:space="0" w:color="F3CFC1"/>
              <w:bottom w:val="single" w:sz="8" w:space="0" w:color="F3CFC1"/>
            </w:tcBorders>
            <w:shd w:val="clear" w:color="auto" w:fill="auto"/>
            <w:vAlign w:val="center"/>
          </w:tcPr>
          <w:p w14:paraId="35093C96"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w:t>
            </w:r>
          </w:p>
        </w:tc>
        <w:tc>
          <w:tcPr>
            <w:tcW w:w="1019" w:type="dxa"/>
            <w:tcBorders>
              <w:top w:val="single" w:sz="8" w:space="0" w:color="F3CFC1"/>
              <w:bottom w:val="single" w:sz="8" w:space="0" w:color="F3CFC1"/>
            </w:tcBorders>
            <w:shd w:val="clear" w:color="auto" w:fill="auto"/>
            <w:vAlign w:val="center"/>
          </w:tcPr>
          <w:p w14:paraId="3E66291A" w14:textId="77777777"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880" w:type="dxa"/>
            <w:tcBorders>
              <w:top w:val="single" w:sz="8" w:space="0" w:color="F3CFC1"/>
              <w:bottom w:val="single" w:sz="8" w:space="0" w:color="F3CFC1"/>
            </w:tcBorders>
            <w:shd w:val="clear" w:color="auto" w:fill="auto"/>
            <w:vAlign w:val="center"/>
          </w:tcPr>
          <w:p w14:paraId="7043966C" w14:textId="0EABB2D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w:t>
            </w:r>
          </w:p>
        </w:tc>
        <w:tc>
          <w:tcPr>
            <w:tcW w:w="1163" w:type="dxa"/>
            <w:tcBorders>
              <w:top w:val="single" w:sz="8" w:space="0" w:color="F3CFC1"/>
              <w:bottom w:val="single" w:sz="8" w:space="0" w:color="F3CFC1"/>
              <w:right w:val="single" w:sz="8" w:space="0" w:color="D2232A"/>
            </w:tcBorders>
            <w:shd w:val="clear" w:color="auto" w:fill="auto"/>
            <w:vAlign w:val="center"/>
          </w:tcPr>
          <w:p w14:paraId="6BEE8E1D" w14:textId="31FB3EF9"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7</w:t>
            </w:r>
          </w:p>
        </w:tc>
      </w:tr>
      <w:tr w:rsidR="008F5CE9" w:rsidRPr="009B61D3" w14:paraId="462A1367" w14:textId="77777777" w:rsidTr="00207DC9">
        <w:trPr>
          <w:trHeight w:val="283"/>
        </w:trPr>
        <w:tc>
          <w:tcPr>
            <w:tcW w:w="637" w:type="dxa"/>
            <w:tcBorders>
              <w:top w:val="single" w:sz="8" w:space="0" w:color="F3CFC1"/>
              <w:bottom w:val="single" w:sz="8" w:space="0" w:color="F3CFC1"/>
            </w:tcBorders>
            <w:shd w:val="clear" w:color="auto" w:fill="D2232A" w:themeFill="accent1"/>
            <w:vAlign w:val="center"/>
          </w:tcPr>
          <w:p w14:paraId="51E06375" w14:textId="77777777" w:rsidR="008F5CE9" w:rsidRPr="009B61D3" w:rsidRDefault="008F5CE9" w:rsidP="008F5CE9">
            <w:pPr>
              <w:spacing w:after="0" w:line="240" w:lineRule="auto"/>
              <w:rPr>
                <w:rFonts w:eastAsia="Times New Roman" w:cstheme="minorHAnsi"/>
                <w:color w:val="FFFFFF" w:themeColor="background1"/>
                <w:szCs w:val="18"/>
                <w:lang w:eastAsia="hr-HR"/>
              </w:rPr>
            </w:pPr>
          </w:p>
        </w:tc>
        <w:tc>
          <w:tcPr>
            <w:tcW w:w="2126" w:type="dxa"/>
            <w:tcBorders>
              <w:top w:val="single" w:sz="8" w:space="0" w:color="F3CFC1"/>
              <w:bottom w:val="single" w:sz="8" w:space="0" w:color="F3CFC1"/>
            </w:tcBorders>
            <w:shd w:val="clear" w:color="auto" w:fill="auto"/>
            <w:vAlign w:val="center"/>
          </w:tcPr>
          <w:p w14:paraId="285473CB" w14:textId="77777777" w:rsidR="008F5CE9" w:rsidRPr="009B61D3" w:rsidRDefault="008F5CE9" w:rsidP="008F5CE9">
            <w:pPr>
              <w:spacing w:after="0" w:line="240" w:lineRule="auto"/>
              <w:jc w:val="left"/>
              <w:rPr>
                <w:rFonts w:eastAsia="Times New Roman" w:cstheme="minorHAnsi"/>
                <w:szCs w:val="18"/>
                <w:lang w:eastAsia="hr-HR"/>
              </w:rPr>
            </w:pPr>
            <w:r>
              <w:rPr>
                <w:rFonts w:eastAsia="Times New Roman" w:cstheme="minorHAnsi"/>
                <w:szCs w:val="18"/>
                <w:lang w:eastAsia="hr-HR"/>
              </w:rPr>
              <w:t>BORAVAK</w:t>
            </w:r>
          </w:p>
        </w:tc>
        <w:tc>
          <w:tcPr>
            <w:tcW w:w="873" w:type="dxa"/>
            <w:tcBorders>
              <w:top w:val="single" w:sz="8" w:space="0" w:color="F3CFC1"/>
              <w:bottom w:val="single" w:sz="8" w:space="0" w:color="F3CFC1"/>
            </w:tcBorders>
            <w:shd w:val="clear" w:color="auto" w:fill="auto"/>
            <w:vAlign w:val="center"/>
          </w:tcPr>
          <w:p w14:paraId="4AEB08FD"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24</w:t>
            </w:r>
          </w:p>
        </w:tc>
        <w:tc>
          <w:tcPr>
            <w:tcW w:w="874" w:type="dxa"/>
            <w:tcBorders>
              <w:top w:val="single" w:sz="8" w:space="0" w:color="F3CFC1"/>
              <w:bottom w:val="single" w:sz="8" w:space="0" w:color="F3CFC1"/>
            </w:tcBorders>
            <w:shd w:val="clear" w:color="auto" w:fill="auto"/>
            <w:vAlign w:val="center"/>
          </w:tcPr>
          <w:p w14:paraId="35C4AE5F"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w:t>
            </w:r>
          </w:p>
        </w:tc>
        <w:tc>
          <w:tcPr>
            <w:tcW w:w="1019" w:type="dxa"/>
            <w:tcBorders>
              <w:top w:val="single" w:sz="8" w:space="0" w:color="F3CFC1"/>
              <w:bottom w:val="single" w:sz="8" w:space="0" w:color="F3CFC1"/>
            </w:tcBorders>
            <w:shd w:val="clear" w:color="auto" w:fill="auto"/>
            <w:vAlign w:val="center"/>
          </w:tcPr>
          <w:p w14:paraId="556251E5"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728" w:type="dxa"/>
            <w:tcBorders>
              <w:top w:val="single" w:sz="8" w:space="0" w:color="F3CFC1"/>
              <w:bottom w:val="single" w:sz="8" w:space="0" w:color="F3CFC1"/>
            </w:tcBorders>
            <w:shd w:val="clear" w:color="auto" w:fill="auto"/>
            <w:vAlign w:val="center"/>
          </w:tcPr>
          <w:p w14:paraId="37ECA0CC"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37</w:t>
            </w:r>
          </w:p>
        </w:tc>
        <w:tc>
          <w:tcPr>
            <w:tcW w:w="1019" w:type="dxa"/>
            <w:tcBorders>
              <w:top w:val="single" w:sz="8" w:space="0" w:color="F3CFC1"/>
              <w:bottom w:val="single" w:sz="8" w:space="0" w:color="F3CFC1"/>
            </w:tcBorders>
            <w:shd w:val="clear" w:color="auto" w:fill="auto"/>
            <w:vAlign w:val="center"/>
          </w:tcPr>
          <w:p w14:paraId="0BE18D73"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c>
          <w:tcPr>
            <w:tcW w:w="880" w:type="dxa"/>
            <w:tcBorders>
              <w:top w:val="single" w:sz="8" w:space="0" w:color="F3CFC1"/>
              <w:bottom w:val="single" w:sz="8" w:space="0" w:color="F3CFC1"/>
            </w:tcBorders>
            <w:shd w:val="clear" w:color="auto" w:fill="auto"/>
            <w:vAlign w:val="center"/>
          </w:tcPr>
          <w:p w14:paraId="66FC385C" w14:textId="77777777" w:rsidR="008F5CE9" w:rsidDel="008C6972"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19</w:t>
            </w:r>
          </w:p>
        </w:tc>
        <w:tc>
          <w:tcPr>
            <w:tcW w:w="1163" w:type="dxa"/>
            <w:tcBorders>
              <w:top w:val="single" w:sz="8" w:space="0" w:color="F3CFC1"/>
              <w:bottom w:val="single" w:sz="8" w:space="0" w:color="F3CFC1"/>
              <w:right w:val="single" w:sz="8" w:space="0" w:color="D2232A"/>
            </w:tcBorders>
            <w:shd w:val="clear" w:color="auto" w:fill="auto"/>
            <w:vAlign w:val="center"/>
          </w:tcPr>
          <w:p w14:paraId="750B1B7A" w14:textId="77777777" w:rsidR="008F5CE9" w:rsidDel="008C6972"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82</w:t>
            </w:r>
          </w:p>
        </w:tc>
      </w:tr>
      <w:tr w:rsidR="008F5CE9" w:rsidRPr="009B61D3" w14:paraId="68D7C39D" w14:textId="77777777" w:rsidTr="00207DC9">
        <w:trPr>
          <w:trHeight w:val="283"/>
        </w:trPr>
        <w:tc>
          <w:tcPr>
            <w:tcW w:w="637" w:type="dxa"/>
            <w:tcBorders>
              <w:top w:val="single" w:sz="8" w:space="0" w:color="F3CFC1"/>
              <w:bottom w:val="single" w:sz="8" w:space="0" w:color="F3CFC1"/>
            </w:tcBorders>
            <w:shd w:val="clear" w:color="auto" w:fill="D2232A" w:themeFill="accent1"/>
            <w:vAlign w:val="center"/>
          </w:tcPr>
          <w:p w14:paraId="57372877" w14:textId="77777777" w:rsidR="008F5CE9" w:rsidRPr="009B61D3" w:rsidRDefault="008F5CE9" w:rsidP="008F5CE9">
            <w:pPr>
              <w:spacing w:after="0" w:line="240" w:lineRule="auto"/>
              <w:rPr>
                <w:rFonts w:eastAsia="Times New Roman" w:cstheme="minorHAnsi"/>
                <w:color w:val="FFFFFF" w:themeColor="background1"/>
                <w:szCs w:val="18"/>
                <w:lang w:eastAsia="hr-HR"/>
              </w:rPr>
            </w:pPr>
          </w:p>
        </w:tc>
        <w:tc>
          <w:tcPr>
            <w:tcW w:w="2126" w:type="dxa"/>
            <w:tcBorders>
              <w:top w:val="single" w:sz="8" w:space="0" w:color="F3CFC1"/>
              <w:bottom w:val="single" w:sz="8" w:space="0" w:color="F3CFC1"/>
            </w:tcBorders>
            <w:shd w:val="clear" w:color="auto" w:fill="auto"/>
            <w:vAlign w:val="center"/>
          </w:tcPr>
          <w:p w14:paraId="7A183318" w14:textId="77777777" w:rsidR="008F5CE9" w:rsidRDefault="008F5CE9" w:rsidP="008F5CE9">
            <w:pPr>
              <w:spacing w:after="0" w:line="240" w:lineRule="auto"/>
              <w:jc w:val="left"/>
              <w:rPr>
                <w:rFonts w:eastAsia="Times New Roman" w:cstheme="minorHAnsi"/>
                <w:szCs w:val="18"/>
                <w:lang w:eastAsia="hr-HR"/>
              </w:rPr>
            </w:pPr>
            <w:r>
              <w:rPr>
                <w:rFonts w:eastAsia="Times New Roman" w:cstheme="minorHAnsi"/>
                <w:szCs w:val="18"/>
                <w:lang w:eastAsia="hr-HR"/>
              </w:rPr>
              <w:t>ORGANIZIRANO STANOVANJE</w:t>
            </w:r>
          </w:p>
        </w:tc>
        <w:tc>
          <w:tcPr>
            <w:tcW w:w="873" w:type="dxa"/>
            <w:tcBorders>
              <w:top w:val="single" w:sz="8" w:space="0" w:color="F3CFC1"/>
              <w:bottom w:val="single" w:sz="8" w:space="0" w:color="F3CFC1"/>
            </w:tcBorders>
            <w:shd w:val="clear" w:color="auto" w:fill="auto"/>
            <w:vAlign w:val="center"/>
          </w:tcPr>
          <w:p w14:paraId="0D6D2612"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6</w:t>
            </w:r>
          </w:p>
        </w:tc>
        <w:tc>
          <w:tcPr>
            <w:tcW w:w="874" w:type="dxa"/>
            <w:tcBorders>
              <w:top w:val="single" w:sz="8" w:space="0" w:color="F3CFC1"/>
              <w:bottom w:val="single" w:sz="8" w:space="0" w:color="F3CFC1"/>
            </w:tcBorders>
            <w:shd w:val="clear" w:color="auto" w:fill="auto"/>
            <w:vAlign w:val="center"/>
          </w:tcPr>
          <w:p w14:paraId="2F5A27E1"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4</w:t>
            </w:r>
          </w:p>
        </w:tc>
        <w:tc>
          <w:tcPr>
            <w:tcW w:w="1019" w:type="dxa"/>
            <w:tcBorders>
              <w:top w:val="single" w:sz="8" w:space="0" w:color="F3CFC1"/>
              <w:bottom w:val="single" w:sz="8" w:space="0" w:color="F3CFC1"/>
            </w:tcBorders>
            <w:shd w:val="clear" w:color="auto" w:fill="auto"/>
            <w:vAlign w:val="center"/>
          </w:tcPr>
          <w:p w14:paraId="30B8A414"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3</w:t>
            </w:r>
          </w:p>
        </w:tc>
        <w:tc>
          <w:tcPr>
            <w:tcW w:w="728" w:type="dxa"/>
            <w:tcBorders>
              <w:top w:val="single" w:sz="8" w:space="0" w:color="F3CFC1"/>
              <w:bottom w:val="single" w:sz="8" w:space="0" w:color="F3CFC1"/>
            </w:tcBorders>
            <w:shd w:val="clear" w:color="auto" w:fill="auto"/>
            <w:vAlign w:val="center"/>
          </w:tcPr>
          <w:p w14:paraId="367B55BA"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5</w:t>
            </w:r>
          </w:p>
        </w:tc>
        <w:tc>
          <w:tcPr>
            <w:tcW w:w="1019" w:type="dxa"/>
            <w:tcBorders>
              <w:top w:val="single" w:sz="8" w:space="0" w:color="F3CFC1"/>
              <w:bottom w:val="single" w:sz="8" w:space="0" w:color="F3CFC1"/>
            </w:tcBorders>
            <w:shd w:val="clear" w:color="auto" w:fill="auto"/>
            <w:vAlign w:val="center"/>
          </w:tcPr>
          <w:p w14:paraId="34949ED5" w14:textId="77777777" w:rsidR="008F5CE9"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w:t>
            </w:r>
          </w:p>
        </w:tc>
        <w:tc>
          <w:tcPr>
            <w:tcW w:w="880" w:type="dxa"/>
            <w:tcBorders>
              <w:top w:val="single" w:sz="8" w:space="0" w:color="F3CFC1"/>
              <w:bottom w:val="single" w:sz="8" w:space="0" w:color="F3CFC1"/>
            </w:tcBorders>
            <w:shd w:val="clear" w:color="auto" w:fill="auto"/>
            <w:vAlign w:val="center"/>
          </w:tcPr>
          <w:p w14:paraId="449E1830" w14:textId="77777777" w:rsidR="008F5CE9" w:rsidDel="008C6972"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w:t>
            </w:r>
          </w:p>
        </w:tc>
        <w:tc>
          <w:tcPr>
            <w:tcW w:w="1163" w:type="dxa"/>
            <w:tcBorders>
              <w:top w:val="single" w:sz="8" w:space="0" w:color="F3CFC1"/>
              <w:bottom w:val="single" w:sz="8" w:space="0" w:color="F3CFC1"/>
              <w:right w:val="single" w:sz="8" w:space="0" w:color="D2232A"/>
            </w:tcBorders>
            <w:shd w:val="clear" w:color="auto" w:fill="auto"/>
            <w:vAlign w:val="center"/>
          </w:tcPr>
          <w:p w14:paraId="0012B5DE" w14:textId="77777777" w:rsidR="008F5CE9" w:rsidDel="008C6972"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22</w:t>
            </w:r>
          </w:p>
        </w:tc>
      </w:tr>
      <w:tr w:rsidR="008F5CE9" w:rsidRPr="009B61D3" w14:paraId="78437D53" w14:textId="77777777" w:rsidTr="00207DC9">
        <w:trPr>
          <w:trHeight w:val="283"/>
        </w:trPr>
        <w:tc>
          <w:tcPr>
            <w:tcW w:w="9322" w:type="dxa"/>
            <w:gridSpan w:val="9"/>
            <w:tcBorders>
              <w:right w:val="single" w:sz="8" w:space="0" w:color="D2232A"/>
            </w:tcBorders>
            <w:shd w:val="clear" w:color="auto" w:fill="D2232A" w:themeFill="accent1"/>
            <w:vAlign w:val="center"/>
            <w:hideMark/>
          </w:tcPr>
          <w:p w14:paraId="38784032" w14:textId="77777777" w:rsidR="008F5CE9" w:rsidRPr="009B61D3" w:rsidRDefault="008F5CE9" w:rsidP="008F5CE9">
            <w:pPr>
              <w:spacing w:after="0" w:line="240" w:lineRule="auto"/>
              <w:jc w:val="right"/>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LOKALNA I REGIONALNA POMOĆ</w:t>
            </w:r>
          </w:p>
        </w:tc>
      </w:tr>
      <w:tr w:rsidR="008F5CE9" w:rsidRPr="009B61D3" w14:paraId="5B1F4F4E" w14:textId="77777777" w:rsidTr="00207DC9">
        <w:trPr>
          <w:trHeight w:val="283"/>
        </w:trPr>
        <w:tc>
          <w:tcPr>
            <w:tcW w:w="637" w:type="dxa"/>
            <w:tcBorders>
              <w:bottom w:val="single" w:sz="8" w:space="0" w:color="F3CFC1"/>
            </w:tcBorders>
            <w:shd w:val="clear" w:color="auto" w:fill="D2232A" w:themeFill="accent1"/>
            <w:vAlign w:val="center"/>
            <w:hideMark/>
          </w:tcPr>
          <w:p w14:paraId="502BDE13"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lastRenderedPageBreak/>
              <w:t>X</w:t>
            </w:r>
          </w:p>
        </w:tc>
        <w:tc>
          <w:tcPr>
            <w:tcW w:w="2126" w:type="dxa"/>
            <w:tcBorders>
              <w:bottom w:val="single" w:sz="8" w:space="0" w:color="F3CFC1"/>
            </w:tcBorders>
            <w:shd w:val="clear" w:color="auto" w:fill="auto"/>
            <w:vAlign w:val="center"/>
            <w:hideMark/>
          </w:tcPr>
          <w:p w14:paraId="3DF361BC"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NAKNADA ZA TROŠKOVE STANOVANJA</w:t>
            </w:r>
          </w:p>
        </w:tc>
        <w:tc>
          <w:tcPr>
            <w:tcW w:w="873" w:type="dxa"/>
            <w:tcBorders>
              <w:bottom w:val="single" w:sz="8" w:space="0" w:color="F3CFC1"/>
            </w:tcBorders>
            <w:shd w:val="clear" w:color="auto" w:fill="auto"/>
            <w:vAlign w:val="center"/>
            <w:hideMark/>
          </w:tcPr>
          <w:p w14:paraId="3CF9332D"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874" w:type="dxa"/>
            <w:tcBorders>
              <w:bottom w:val="single" w:sz="8" w:space="0" w:color="F3CFC1"/>
            </w:tcBorders>
            <w:shd w:val="clear" w:color="auto" w:fill="auto"/>
            <w:vAlign w:val="center"/>
            <w:hideMark/>
          </w:tcPr>
          <w:p w14:paraId="3F2D22EF"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1019" w:type="dxa"/>
            <w:tcBorders>
              <w:bottom w:val="single" w:sz="8" w:space="0" w:color="F3CFC1"/>
            </w:tcBorders>
            <w:shd w:val="clear" w:color="auto" w:fill="auto"/>
            <w:vAlign w:val="center"/>
            <w:hideMark/>
          </w:tcPr>
          <w:p w14:paraId="41A1FFA5"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728" w:type="dxa"/>
            <w:tcBorders>
              <w:bottom w:val="single" w:sz="8" w:space="0" w:color="F3CFC1"/>
            </w:tcBorders>
            <w:shd w:val="clear" w:color="auto" w:fill="auto"/>
            <w:vAlign w:val="center"/>
            <w:hideMark/>
          </w:tcPr>
          <w:p w14:paraId="7ED92817"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1019" w:type="dxa"/>
            <w:tcBorders>
              <w:bottom w:val="single" w:sz="8" w:space="0" w:color="F3CFC1"/>
            </w:tcBorders>
            <w:shd w:val="clear" w:color="auto" w:fill="auto"/>
            <w:vAlign w:val="center"/>
            <w:hideMark/>
          </w:tcPr>
          <w:p w14:paraId="6BE401AC"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880" w:type="dxa"/>
            <w:tcBorders>
              <w:bottom w:val="single" w:sz="8" w:space="0" w:color="F3CFC1"/>
            </w:tcBorders>
            <w:shd w:val="clear" w:color="auto" w:fill="auto"/>
            <w:vAlign w:val="center"/>
            <w:hideMark/>
          </w:tcPr>
          <w:p w14:paraId="2521257D"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1163" w:type="dxa"/>
            <w:tcBorders>
              <w:bottom w:val="single" w:sz="8" w:space="0" w:color="F3CFC1"/>
              <w:right w:val="single" w:sz="8" w:space="0" w:color="D2232A"/>
            </w:tcBorders>
            <w:shd w:val="clear" w:color="auto" w:fill="auto"/>
            <w:vAlign w:val="center"/>
            <w:hideMark/>
          </w:tcPr>
          <w:p w14:paraId="03A7E596" w14:textId="6BF8E0E2"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w:t>
            </w:r>
          </w:p>
        </w:tc>
      </w:tr>
      <w:tr w:rsidR="008F5CE9" w:rsidRPr="009B61D3" w14:paraId="2E00BC04" w14:textId="77777777" w:rsidTr="00207DC9">
        <w:trPr>
          <w:trHeight w:val="283"/>
        </w:trPr>
        <w:tc>
          <w:tcPr>
            <w:tcW w:w="637" w:type="dxa"/>
            <w:tcBorders>
              <w:top w:val="single" w:sz="8" w:space="0" w:color="F3CFC1"/>
            </w:tcBorders>
            <w:shd w:val="clear" w:color="auto" w:fill="D2232A" w:themeFill="accent1"/>
            <w:vAlign w:val="center"/>
            <w:hideMark/>
          </w:tcPr>
          <w:p w14:paraId="5B325CCB" w14:textId="77777777" w:rsidR="008F5CE9" w:rsidRPr="009B61D3" w:rsidRDefault="008F5CE9" w:rsidP="008F5CE9">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XI</w:t>
            </w:r>
          </w:p>
        </w:tc>
        <w:tc>
          <w:tcPr>
            <w:tcW w:w="2126" w:type="dxa"/>
            <w:tcBorders>
              <w:top w:val="single" w:sz="8" w:space="0" w:color="F3CFC1"/>
            </w:tcBorders>
            <w:shd w:val="clear" w:color="auto" w:fill="auto"/>
            <w:vAlign w:val="center"/>
            <w:hideMark/>
          </w:tcPr>
          <w:p w14:paraId="361EC272" w14:textId="77777777" w:rsidR="008F5CE9" w:rsidRPr="009B61D3" w:rsidRDefault="008F5CE9" w:rsidP="008F5CE9">
            <w:pPr>
              <w:spacing w:after="0" w:line="240" w:lineRule="auto"/>
              <w:jc w:val="left"/>
              <w:rPr>
                <w:rFonts w:eastAsia="Times New Roman" w:cstheme="minorHAnsi"/>
                <w:szCs w:val="18"/>
                <w:lang w:eastAsia="hr-HR"/>
              </w:rPr>
            </w:pPr>
            <w:r w:rsidRPr="009B61D3">
              <w:rPr>
                <w:rFonts w:eastAsia="Times New Roman" w:cstheme="minorHAnsi"/>
                <w:szCs w:val="18"/>
                <w:lang w:eastAsia="hr-HR"/>
              </w:rPr>
              <w:t xml:space="preserve">NAKNADA ZA TROŠKOVE OGRJEVA - u izvještajnoj godini </w:t>
            </w:r>
          </w:p>
        </w:tc>
        <w:tc>
          <w:tcPr>
            <w:tcW w:w="873" w:type="dxa"/>
            <w:tcBorders>
              <w:top w:val="single" w:sz="8" w:space="0" w:color="F3CFC1"/>
            </w:tcBorders>
            <w:shd w:val="clear" w:color="auto" w:fill="auto"/>
            <w:vAlign w:val="center"/>
            <w:hideMark/>
          </w:tcPr>
          <w:p w14:paraId="55165C11"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874" w:type="dxa"/>
            <w:tcBorders>
              <w:top w:val="single" w:sz="8" w:space="0" w:color="F3CFC1"/>
            </w:tcBorders>
            <w:shd w:val="clear" w:color="auto" w:fill="auto"/>
            <w:vAlign w:val="center"/>
            <w:hideMark/>
          </w:tcPr>
          <w:p w14:paraId="55D6CB0C"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1019" w:type="dxa"/>
            <w:tcBorders>
              <w:top w:val="single" w:sz="8" w:space="0" w:color="F3CFC1"/>
            </w:tcBorders>
            <w:shd w:val="clear" w:color="auto" w:fill="auto"/>
            <w:vAlign w:val="center"/>
            <w:hideMark/>
          </w:tcPr>
          <w:p w14:paraId="2C386127"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728" w:type="dxa"/>
            <w:tcBorders>
              <w:top w:val="single" w:sz="8" w:space="0" w:color="F3CFC1"/>
            </w:tcBorders>
            <w:shd w:val="clear" w:color="auto" w:fill="auto"/>
            <w:vAlign w:val="center"/>
            <w:hideMark/>
          </w:tcPr>
          <w:p w14:paraId="09F3EE30"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1019" w:type="dxa"/>
            <w:tcBorders>
              <w:top w:val="single" w:sz="8" w:space="0" w:color="F3CFC1"/>
            </w:tcBorders>
            <w:shd w:val="clear" w:color="auto" w:fill="auto"/>
            <w:vAlign w:val="center"/>
            <w:hideMark/>
          </w:tcPr>
          <w:p w14:paraId="6E0552D2"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880" w:type="dxa"/>
            <w:tcBorders>
              <w:top w:val="single" w:sz="8" w:space="0" w:color="F3CFC1"/>
            </w:tcBorders>
            <w:shd w:val="clear" w:color="auto" w:fill="auto"/>
            <w:vAlign w:val="center"/>
            <w:hideMark/>
          </w:tcPr>
          <w:p w14:paraId="5D4722A5" w14:textId="77777777" w:rsidR="008F5CE9" w:rsidRPr="009B61D3" w:rsidRDefault="008F5CE9" w:rsidP="008F5CE9">
            <w:pPr>
              <w:spacing w:after="0" w:line="240" w:lineRule="auto"/>
              <w:jc w:val="right"/>
              <w:rPr>
                <w:rFonts w:eastAsia="Times New Roman" w:cstheme="minorHAnsi"/>
                <w:szCs w:val="18"/>
                <w:lang w:eastAsia="hr-HR"/>
              </w:rPr>
            </w:pPr>
            <w:r w:rsidRPr="009B61D3">
              <w:rPr>
                <w:rFonts w:eastAsia="Times New Roman" w:cstheme="minorHAnsi"/>
                <w:szCs w:val="18"/>
                <w:lang w:eastAsia="hr-HR"/>
              </w:rPr>
              <w:t>0</w:t>
            </w:r>
          </w:p>
        </w:tc>
        <w:tc>
          <w:tcPr>
            <w:tcW w:w="1163" w:type="dxa"/>
            <w:tcBorders>
              <w:top w:val="single" w:sz="8" w:space="0" w:color="F3CFC1"/>
              <w:right w:val="single" w:sz="8" w:space="0" w:color="D2232A"/>
            </w:tcBorders>
            <w:shd w:val="clear" w:color="auto" w:fill="auto"/>
            <w:vAlign w:val="center"/>
            <w:hideMark/>
          </w:tcPr>
          <w:p w14:paraId="0D090490" w14:textId="45D824D4" w:rsidR="008F5CE9" w:rsidRPr="009B61D3" w:rsidRDefault="008F5CE9" w:rsidP="008F5CE9">
            <w:pPr>
              <w:spacing w:after="0" w:line="240" w:lineRule="auto"/>
              <w:jc w:val="right"/>
              <w:rPr>
                <w:rFonts w:eastAsia="Times New Roman" w:cstheme="minorHAnsi"/>
                <w:szCs w:val="18"/>
                <w:lang w:eastAsia="hr-HR"/>
              </w:rPr>
            </w:pPr>
            <w:r>
              <w:rPr>
                <w:rFonts w:eastAsia="Times New Roman" w:cstheme="minorHAnsi"/>
                <w:szCs w:val="18"/>
                <w:lang w:eastAsia="hr-HR"/>
              </w:rPr>
              <w:t>684</w:t>
            </w:r>
          </w:p>
        </w:tc>
      </w:tr>
    </w:tbl>
    <w:p w14:paraId="696B4F59" w14:textId="7AC06673" w:rsidR="008878A0" w:rsidRPr="006525B8" w:rsidRDefault="008878A0"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Izvor:</w:t>
      </w:r>
      <w:r w:rsidR="00171A51" w:rsidRPr="006525B8">
        <w:rPr>
          <w:rFonts w:eastAsia="ArialNarrow" w:cstheme="minorHAnsi"/>
          <w:i/>
          <w:color w:val="ABABAB" w:themeColor="text1" w:themeTint="A6"/>
          <w:sz w:val="16"/>
          <w:szCs w:val="16"/>
        </w:rPr>
        <w:t xml:space="preserve"> Ministarstvo </w:t>
      </w:r>
      <w:r w:rsidR="0077506E" w:rsidRPr="006525B8">
        <w:rPr>
          <w:rFonts w:eastAsia="ArialNarrow" w:cstheme="minorHAnsi"/>
          <w:i/>
          <w:color w:val="ABABAB" w:themeColor="text1" w:themeTint="A6"/>
          <w:sz w:val="16"/>
          <w:szCs w:val="16"/>
        </w:rPr>
        <w:t>rada, mirovinskog sustava, obitelji i socijalne politike</w:t>
      </w:r>
      <w:r w:rsidR="00171A51" w:rsidRPr="006525B8">
        <w:rPr>
          <w:rFonts w:eastAsia="ArialNarrow" w:cstheme="minorHAnsi"/>
          <w:i/>
          <w:color w:val="ABABAB" w:themeColor="text1" w:themeTint="A6"/>
          <w:sz w:val="16"/>
          <w:szCs w:val="16"/>
        </w:rPr>
        <w:t xml:space="preserve">, Godišnje statističko izvješće </w:t>
      </w:r>
      <w:r w:rsidR="0077506E" w:rsidRPr="006525B8">
        <w:rPr>
          <w:rFonts w:eastAsia="ArialNarrow" w:cstheme="minorHAnsi"/>
          <w:i/>
          <w:color w:val="ABABAB" w:themeColor="text1" w:themeTint="A6"/>
          <w:sz w:val="16"/>
          <w:szCs w:val="16"/>
        </w:rPr>
        <w:t>o primijenjenim pravima socijalne skrbi, pravnoj zaštiti djece, mladeži, braka</w:t>
      </w:r>
      <w:r w:rsidR="00594844" w:rsidRPr="006525B8">
        <w:rPr>
          <w:rFonts w:eastAsia="ArialNarrow" w:cstheme="minorHAnsi"/>
          <w:i/>
          <w:color w:val="ABABAB" w:themeColor="text1" w:themeTint="A6"/>
          <w:sz w:val="16"/>
          <w:szCs w:val="16"/>
        </w:rPr>
        <w:t xml:space="preserve">, obitelji i osoba lišenih poslovne sposobnosti, te zaštiti tjelesno ili mentalno oštećenih osoba </w:t>
      </w:r>
      <w:r w:rsidR="00171A51" w:rsidRPr="006525B8">
        <w:rPr>
          <w:rFonts w:eastAsia="ArialNarrow" w:cstheme="minorHAnsi"/>
          <w:i/>
          <w:color w:val="ABABAB" w:themeColor="text1" w:themeTint="A6"/>
          <w:sz w:val="16"/>
          <w:szCs w:val="16"/>
        </w:rPr>
        <w:t>u Republici Hrvatskoj u 201</w:t>
      </w:r>
      <w:r w:rsidR="00481D5E" w:rsidRPr="006525B8">
        <w:rPr>
          <w:rFonts w:eastAsia="ArialNarrow" w:cstheme="minorHAnsi"/>
          <w:i/>
          <w:color w:val="ABABAB" w:themeColor="text1" w:themeTint="A6"/>
          <w:sz w:val="16"/>
          <w:szCs w:val="16"/>
        </w:rPr>
        <w:t>9</w:t>
      </w:r>
      <w:r w:rsidR="00171A51" w:rsidRPr="006525B8">
        <w:rPr>
          <w:rFonts w:eastAsia="ArialNarrow" w:cstheme="minorHAnsi"/>
          <w:i/>
          <w:color w:val="ABABAB" w:themeColor="text1" w:themeTint="A6"/>
          <w:sz w:val="16"/>
          <w:szCs w:val="16"/>
        </w:rPr>
        <w:t>. godini</w:t>
      </w:r>
    </w:p>
    <w:p w14:paraId="7C9D93FB" w14:textId="77777777" w:rsidR="009B61D3" w:rsidRDefault="009B61D3" w:rsidP="006626E1">
      <w:pPr>
        <w:autoSpaceDE w:val="0"/>
        <w:autoSpaceDN w:val="0"/>
        <w:adjustRightInd w:val="0"/>
        <w:spacing w:after="0" w:line="240" w:lineRule="auto"/>
        <w:rPr>
          <w:rFonts w:eastAsia="ArialNarrow" w:cstheme="minorHAnsi"/>
        </w:rPr>
      </w:pPr>
    </w:p>
    <w:p w14:paraId="209352D3" w14:textId="1CE0FAAC" w:rsidR="000F2E58" w:rsidRPr="006525B8" w:rsidRDefault="000F2E58" w:rsidP="000F2E58">
      <w:pPr>
        <w:autoSpaceDE w:val="0"/>
        <w:autoSpaceDN w:val="0"/>
        <w:adjustRightInd w:val="0"/>
        <w:spacing w:after="0" w:line="240" w:lineRule="auto"/>
        <w:rPr>
          <w:rFonts w:eastAsia="ArialNarrow"/>
        </w:rPr>
      </w:pPr>
      <w:r w:rsidRPr="006525B8">
        <w:rPr>
          <w:rFonts w:eastAsia="ArialNarrow"/>
        </w:rPr>
        <w:t>Ustanove socijalne skrbi osnivaju se za obavljanje skrbi izvan vlastite obitelji, i to kao domovi za djecu (za djecu bez roditelja ili koju roditelji zanemaruju ili zlorabe svoje roditeljske dužnosti, za djecu s poremećajima u ponašanju, tjelesno, mentalno ili višestruko oštećenu ili psihički bolesnu djecu) i domovi za odrasle osobe (za tjelesno, mentalno ili višestruko oštećenje ili psihički bolesne odrasle osobe, ovisnike o alkoholu, drogama ili drugim opojnim sredstvima te starije i nemoćne osobe).</w:t>
      </w:r>
    </w:p>
    <w:p w14:paraId="7DFD4717" w14:textId="77777777" w:rsidR="0077034F" w:rsidRPr="0077034F" w:rsidRDefault="0077034F" w:rsidP="000F2E58">
      <w:pPr>
        <w:autoSpaceDE w:val="0"/>
        <w:autoSpaceDN w:val="0"/>
        <w:adjustRightInd w:val="0"/>
        <w:spacing w:after="0" w:line="240" w:lineRule="auto"/>
        <w:rPr>
          <w:rFonts w:eastAsia="ArialNarrow"/>
          <w:b/>
          <w:bCs/>
          <w:color w:val="auto"/>
        </w:rPr>
      </w:pPr>
    </w:p>
    <w:p w14:paraId="76AE9283" w14:textId="4FC87297" w:rsidR="00AB0326" w:rsidRDefault="00DE3887" w:rsidP="006626E1">
      <w:pPr>
        <w:autoSpaceDE w:val="0"/>
        <w:autoSpaceDN w:val="0"/>
        <w:adjustRightInd w:val="0"/>
        <w:spacing w:after="0" w:line="240" w:lineRule="auto"/>
        <w:rPr>
          <w:rFonts w:eastAsia="ArialNarrow"/>
        </w:rPr>
      </w:pPr>
      <w:r>
        <w:rPr>
          <w:rFonts w:eastAsia="ArialNarrow"/>
        </w:rPr>
        <w:t xml:space="preserve">Prema </w:t>
      </w:r>
      <w:r w:rsidR="0077034F">
        <w:rPr>
          <w:rFonts w:eastAsia="ArialNarrow"/>
        </w:rPr>
        <w:t>G</w:t>
      </w:r>
      <w:r>
        <w:rPr>
          <w:rFonts w:eastAsia="ArialNarrow"/>
        </w:rPr>
        <w:t xml:space="preserve">odišnjem statističkom izvješću </w:t>
      </w:r>
      <w:r w:rsidR="00C470BE">
        <w:rPr>
          <w:rFonts w:eastAsia="ArialNarrow"/>
        </w:rPr>
        <w:t xml:space="preserve">o domovima i korisnicima socijalne skrbi </w:t>
      </w:r>
      <w:r w:rsidR="0077034F">
        <w:rPr>
          <w:rFonts w:eastAsia="ArialNarrow"/>
        </w:rPr>
        <w:t xml:space="preserve">u Republici Hrvatskoj </w:t>
      </w:r>
      <w:r w:rsidR="00C470BE">
        <w:rPr>
          <w:rFonts w:eastAsia="ArialNarrow"/>
        </w:rPr>
        <w:t>u</w:t>
      </w:r>
      <w:r>
        <w:rPr>
          <w:rFonts w:eastAsia="ArialNarrow"/>
        </w:rPr>
        <w:t xml:space="preserve"> 2019. godin</w:t>
      </w:r>
      <w:r w:rsidR="0077034F">
        <w:rPr>
          <w:rFonts w:eastAsia="ArialNarrow"/>
        </w:rPr>
        <w:t>i,</w:t>
      </w:r>
      <w:r>
        <w:rPr>
          <w:rFonts w:eastAsia="ArialNarrow"/>
        </w:rPr>
        <w:t xml:space="preserve"> u</w:t>
      </w:r>
      <w:r w:rsidR="006626E1" w:rsidRPr="00424136">
        <w:rPr>
          <w:rFonts w:eastAsia="ArialNarrow"/>
        </w:rPr>
        <w:t xml:space="preserve"> Krapinsko-zagorskoj </w:t>
      </w:r>
      <w:r w:rsidR="0077034F">
        <w:rPr>
          <w:rFonts w:eastAsia="ArialNarrow"/>
        </w:rPr>
        <w:t>ž</w:t>
      </w:r>
      <w:r w:rsidR="006626E1" w:rsidRPr="00424136">
        <w:rPr>
          <w:rFonts w:eastAsia="ArialNarrow"/>
        </w:rPr>
        <w:t xml:space="preserve">upaniji djeluju </w:t>
      </w:r>
      <w:r w:rsidR="00BD4AB6" w:rsidRPr="00424136">
        <w:rPr>
          <w:rFonts w:eastAsia="ArialNarrow"/>
        </w:rPr>
        <w:t>2</w:t>
      </w:r>
      <w:r w:rsidR="006626E1" w:rsidRPr="00424136">
        <w:rPr>
          <w:rFonts w:eastAsia="ArialNarrow"/>
        </w:rPr>
        <w:t xml:space="preserve"> doma za odrasle osobe</w:t>
      </w:r>
      <w:r w:rsidR="0066628F">
        <w:rPr>
          <w:rFonts w:eastAsia="ArialNarrow"/>
        </w:rPr>
        <w:t xml:space="preserve"> s mentalnim oštećenjem</w:t>
      </w:r>
      <w:r w:rsidR="006626E1" w:rsidRPr="00424136">
        <w:rPr>
          <w:rFonts w:eastAsia="ArialNarrow"/>
        </w:rPr>
        <w:t xml:space="preserve"> kojima je osnivač Republika Hrvatska</w:t>
      </w:r>
      <w:r w:rsidR="0018721A">
        <w:rPr>
          <w:rFonts w:eastAsia="ArialNarrow"/>
        </w:rPr>
        <w:t xml:space="preserve">, </w:t>
      </w:r>
      <w:r w:rsidR="00C87CEC">
        <w:rPr>
          <w:rFonts w:eastAsia="ArialNarrow"/>
        </w:rPr>
        <w:t>a koji imaju</w:t>
      </w:r>
      <w:r w:rsidR="006626E1" w:rsidRPr="00424136">
        <w:rPr>
          <w:rFonts w:eastAsia="ArialNarrow"/>
        </w:rPr>
        <w:t xml:space="preserve"> 6</w:t>
      </w:r>
      <w:r w:rsidR="00BD4AB6" w:rsidRPr="00424136">
        <w:rPr>
          <w:rFonts w:eastAsia="ArialNarrow"/>
        </w:rPr>
        <w:t>99</w:t>
      </w:r>
      <w:r w:rsidR="00C87CEC">
        <w:rPr>
          <w:rFonts w:eastAsia="ArialNarrow"/>
        </w:rPr>
        <w:t xml:space="preserve"> korisnika</w:t>
      </w:r>
      <w:r w:rsidR="006626E1" w:rsidRPr="00424136">
        <w:rPr>
          <w:rFonts w:eastAsia="ArialNarrow"/>
        </w:rPr>
        <w:t xml:space="preserve">. Domovi se nalaze na području </w:t>
      </w:r>
      <w:r w:rsidR="00DB18D1">
        <w:rPr>
          <w:rFonts w:eastAsia="ArialNarrow"/>
        </w:rPr>
        <w:t>o</w:t>
      </w:r>
      <w:r w:rsidR="006626E1" w:rsidRPr="00424136">
        <w:rPr>
          <w:rFonts w:eastAsia="ArialNarrow"/>
        </w:rPr>
        <w:t>pćina Des</w:t>
      </w:r>
      <w:r w:rsidR="00B56513" w:rsidRPr="00424136">
        <w:rPr>
          <w:rFonts w:eastAsia="ArialNarrow"/>
        </w:rPr>
        <w:t>i</w:t>
      </w:r>
      <w:r w:rsidR="006626E1" w:rsidRPr="00424136">
        <w:rPr>
          <w:rFonts w:eastAsia="ArialNarrow"/>
        </w:rPr>
        <w:t>nić</w:t>
      </w:r>
      <w:r w:rsidR="00BD4AB6" w:rsidRPr="00424136">
        <w:rPr>
          <w:rFonts w:eastAsia="ArialNarrow"/>
        </w:rPr>
        <w:t xml:space="preserve"> i </w:t>
      </w:r>
      <w:r w:rsidR="006626E1" w:rsidRPr="00424136">
        <w:rPr>
          <w:rFonts w:eastAsia="ArialNarrow"/>
        </w:rPr>
        <w:t>Lobor</w:t>
      </w:r>
      <w:r w:rsidR="00BD4AB6" w:rsidRPr="00424136">
        <w:rPr>
          <w:rFonts w:eastAsia="ArialNarrow"/>
        </w:rPr>
        <w:t xml:space="preserve">, a u </w:t>
      </w:r>
      <w:r w:rsidR="006626E1" w:rsidRPr="00424136">
        <w:rPr>
          <w:rFonts w:eastAsia="ArialNarrow"/>
        </w:rPr>
        <w:t>Svet</w:t>
      </w:r>
      <w:r w:rsidR="00BD4AB6" w:rsidRPr="00424136">
        <w:rPr>
          <w:rFonts w:eastAsia="ArialNarrow"/>
        </w:rPr>
        <w:t>om</w:t>
      </w:r>
      <w:r w:rsidR="00DB18D1">
        <w:rPr>
          <w:rFonts w:eastAsia="ArialNarrow"/>
        </w:rPr>
        <w:t xml:space="preserve"> </w:t>
      </w:r>
      <w:r w:rsidR="006626E1" w:rsidRPr="00424136">
        <w:rPr>
          <w:rFonts w:eastAsia="ArialNarrow"/>
        </w:rPr>
        <w:t>Križ</w:t>
      </w:r>
      <w:r w:rsidR="00BD4AB6" w:rsidRPr="00424136">
        <w:rPr>
          <w:rFonts w:eastAsia="ArialNarrow"/>
        </w:rPr>
        <w:t>u</w:t>
      </w:r>
      <w:r w:rsidR="006626E1" w:rsidRPr="00424136">
        <w:rPr>
          <w:rFonts w:eastAsia="ArialNarrow"/>
        </w:rPr>
        <w:t xml:space="preserve"> Začretje</w:t>
      </w:r>
      <w:r w:rsidR="00BD4AB6" w:rsidRPr="00424136">
        <w:rPr>
          <w:rFonts w:eastAsia="ArialNarrow"/>
        </w:rPr>
        <w:t xml:space="preserve"> nalazi se </w:t>
      </w:r>
      <w:r w:rsidR="0066628F">
        <w:rPr>
          <w:rFonts w:eastAsia="ArialNarrow"/>
        </w:rPr>
        <w:t>P</w:t>
      </w:r>
      <w:r w:rsidR="00BD4AB6" w:rsidRPr="00424136">
        <w:rPr>
          <w:rFonts w:eastAsia="ArialNarrow"/>
        </w:rPr>
        <w:t>odružnica Mirkovec Doma za odrasle osobe Zagreb</w:t>
      </w:r>
      <w:r w:rsidR="0066628F">
        <w:rPr>
          <w:rFonts w:eastAsia="ArialNarrow"/>
        </w:rPr>
        <w:t>.</w:t>
      </w:r>
      <w:r w:rsidR="006626E1" w:rsidRPr="00424136">
        <w:rPr>
          <w:rFonts w:eastAsia="ArialNarrow"/>
        </w:rPr>
        <w:t xml:space="preserve"> </w:t>
      </w:r>
      <w:r w:rsidR="00DB43C7" w:rsidRPr="0066628F">
        <w:rPr>
          <w:rFonts w:eastAsia="ArialNarrow"/>
        </w:rPr>
        <w:t>N</w:t>
      </w:r>
      <w:r w:rsidR="006626E1" w:rsidRPr="0066628F">
        <w:rPr>
          <w:rFonts w:eastAsia="ArialNarrow"/>
        </w:rPr>
        <w:t>a području Krapinsko-zagorske županije postoj</w:t>
      </w:r>
      <w:r w:rsidR="00DB43C7" w:rsidRPr="0066628F">
        <w:rPr>
          <w:rFonts w:eastAsia="ArialNarrow"/>
        </w:rPr>
        <w:t>i</w:t>
      </w:r>
      <w:r w:rsidR="00FA78E1" w:rsidRPr="0066628F">
        <w:rPr>
          <w:rFonts w:eastAsia="ArialNarrow"/>
        </w:rPr>
        <w:t xml:space="preserve"> </w:t>
      </w:r>
      <w:r w:rsidR="00DB43C7" w:rsidRPr="0066628F">
        <w:rPr>
          <w:rFonts w:eastAsia="ArialNarrow"/>
        </w:rPr>
        <w:t xml:space="preserve">1 </w:t>
      </w:r>
      <w:r w:rsidR="006626E1" w:rsidRPr="0066628F">
        <w:rPr>
          <w:rFonts w:eastAsia="ArialNarrow"/>
        </w:rPr>
        <w:t xml:space="preserve">dom za </w:t>
      </w:r>
      <w:r w:rsidR="00DB43C7" w:rsidRPr="0066628F">
        <w:rPr>
          <w:rFonts w:eastAsia="ArialNarrow"/>
        </w:rPr>
        <w:t>djecu s teškoćama u razvoju</w:t>
      </w:r>
      <w:r w:rsidR="0066628F" w:rsidRPr="0066628F">
        <w:rPr>
          <w:rFonts w:eastAsia="ArialNarrow"/>
        </w:rPr>
        <w:t xml:space="preserve"> i odrasle osobe s tjelesnim, intelektualnim i osjetilnim oštećenjima</w:t>
      </w:r>
      <w:r w:rsidR="00DB43C7" w:rsidRPr="0066628F">
        <w:rPr>
          <w:rFonts w:eastAsia="ArialNarrow"/>
        </w:rPr>
        <w:t xml:space="preserve"> koji se </w:t>
      </w:r>
      <w:r w:rsidR="002F6DE6" w:rsidRPr="0066628F">
        <w:rPr>
          <w:rFonts w:eastAsia="ArialNarrow"/>
        </w:rPr>
        <w:t xml:space="preserve">nalazi u općini </w:t>
      </w:r>
      <w:r w:rsidR="006626E1" w:rsidRPr="0066628F">
        <w:rPr>
          <w:rFonts w:eastAsia="ArialNarrow"/>
        </w:rPr>
        <w:t>Budinš</w:t>
      </w:r>
      <w:r w:rsidR="00FE259F">
        <w:rPr>
          <w:rFonts w:eastAsia="ArialNarrow"/>
        </w:rPr>
        <w:t>či</w:t>
      </w:r>
      <w:r w:rsidR="006626E1" w:rsidRPr="0066628F">
        <w:rPr>
          <w:rFonts w:eastAsia="ArialNarrow"/>
        </w:rPr>
        <w:t>na</w:t>
      </w:r>
      <w:r w:rsidR="0066628F" w:rsidRPr="0066628F">
        <w:rPr>
          <w:rFonts w:eastAsia="ArialNarrow"/>
        </w:rPr>
        <w:t xml:space="preserve"> i 1</w:t>
      </w:r>
      <w:r w:rsidR="00FE259F">
        <w:rPr>
          <w:rFonts w:eastAsia="ArialNarrow"/>
        </w:rPr>
        <w:t xml:space="preserve"> </w:t>
      </w:r>
      <w:r w:rsidR="006626E1" w:rsidRPr="0066628F">
        <w:rPr>
          <w:rFonts w:eastAsia="ArialNarrow"/>
        </w:rPr>
        <w:t xml:space="preserve">dom za djecu i </w:t>
      </w:r>
      <w:r w:rsidR="0066628F" w:rsidRPr="0066628F">
        <w:rPr>
          <w:rFonts w:eastAsia="ArialNarrow"/>
        </w:rPr>
        <w:t>mlađe punoljetne osobe</w:t>
      </w:r>
      <w:r w:rsidR="006626E1" w:rsidRPr="0066628F">
        <w:rPr>
          <w:rFonts w:eastAsia="ArialNarrow"/>
        </w:rPr>
        <w:t xml:space="preserve"> s problemima u ponašanju u Općini Bedekovčina</w:t>
      </w:r>
      <w:r w:rsidR="000630AD">
        <w:rPr>
          <w:rFonts w:eastAsia="ArialNarrow"/>
        </w:rPr>
        <w:t>, kojima je</w:t>
      </w:r>
      <w:r w:rsidR="00B56513" w:rsidRPr="0066628F">
        <w:rPr>
          <w:rFonts w:eastAsia="ArialNarrow"/>
        </w:rPr>
        <w:t xml:space="preserve"> </w:t>
      </w:r>
      <w:r w:rsidR="000630AD">
        <w:rPr>
          <w:rFonts w:eastAsia="ArialNarrow"/>
        </w:rPr>
        <w:t>o</w:t>
      </w:r>
      <w:r w:rsidR="006626E1" w:rsidRPr="0066628F">
        <w:rPr>
          <w:rFonts w:eastAsia="ArialNarrow"/>
        </w:rPr>
        <w:t>snivač</w:t>
      </w:r>
      <w:r w:rsidR="00B56513" w:rsidRPr="0066628F">
        <w:rPr>
          <w:rFonts w:eastAsia="ArialNarrow"/>
        </w:rPr>
        <w:t xml:space="preserve"> </w:t>
      </w:r>
      <w:r w:rsidR="006626E1" w:rsidRPr="0066628F">
        <w:rPr>
          <w:rFonts w:eastAsia="ArialNarrow"/>
        </w:rPr>
        <w:t xml:space="preserve">Republika </w:t>
      </w:r>
      <w:r w:rsidR="005D44BC" w:rsidRPr="0066628F">
        <w:rPr>
          <w:rFonts w:eastAsia="ArialNarrow"/>
        </w:rPr>
        <w:t>Hrvatska</w:t>
      </w:r>
      <w:r w:rsidRPr="0066628F">
        <w:rPr>
          <w:rFonts w:eastAsia="ArialNarrow"/>
        </w:rPr>
        <w:t>.</w:t>
      </w:r>
      <w:r>
        <w:rPr>
          <w:rFonts w:eastAsia="ArialNarrow"/>
        </w:rPr>
        <w:t xml:space="preserve"> </w:t>
      </w:r>
      <w:r w:rsidR="000630AD">
        <w:rPr>
          <w:rFonts w:eastAsia="ArialNarrow"/>
        </w:rPr>
        <w:t>Uz to,</w:t>
      </w:r>
      <w:r>
        <w:rPr>
          <w:rFonts w:eastAsia="ArialNarrow"/>
        </w:rPr>
        <w:t xml:space="preserve"> postoje 4 nedržavna doma </w:t>
      </w:r>
      <w:r w:rsidR="00C470BE">
        <w:rPr>
          <w:rFonts w:eastAsia="ArialNarrow"/>
        </w:rPr>
        <w:t xml:space="preserve">socijalne skrbi </w:t>
      </w:r>
      <w:r>
        <w:rPr>
          <w:rFonts w:eastAsia="ArialNarrow"/>
        </w:rPr>
        <w:t>za starije osobe.</w:t>
      </w:r>
      <w:r w:rsidR="000630AD">
        <w:rPr>
          <w:rFonts w:eastAsia="ArialNarrow"/>
        </w:rPr>
        <w:t xml:space="preserve"> U ustanovama socijalne skrbi nedostaju smještajni kapaciteti na teret ministarstva za smještaj starijih i nemoćnih osoba te palijativnih bolesnika. </w:t>
      </w:r>
      <w:r w:rsidR="005D33E9" w:rsidRPr="005D33E9">
        <w:rPr>
          <w:rFonts w:eastAsia="ArialNarrow"/>
        </w:rPr>
        <w:t>Kako bi se na razini županije pružala podrška za žrtve nasilja u obitelji, uspostavljen je i dom za žrtve nasilja u obitelji koji može primiti 8 korisnika</w:t>
      </w:r>
      <w:r w:rsidR="005D33E9" w:rsidRPr="002053C4">
        <w:rPr>
          <w:rFonts w:ascii="Calibri Light" w:hAnsi="Calibri Light" w:cs="Calibri Light"/>
        </w:rPr>
        <w:t>.</w:t>
      </w:r>
    </w:p>
    <w:p w14:paraId="0A099BC4" w14:textId="77777777" w:rsidR="00ED6019" w:rsidRPr="000B7B05" w:rsidRDefault="00ED6019" w:rsidP="006626E1">
      <w:pPr>
        <w:autoSpaceDE w:val="0"/>
        <w:autoSpaceDN w:val="0"/>
        <w:adjustRightInd w:val="0"/>
        <w:spacing w:after="0" w:line="240" w:lineRule="auto"/>
        <w:rPr>
          <w:rFonts w:asciiTheme="minorHAnsi" w:eastAsia="ArialNarrow" w:hAnsiTheme="minorHAnsi" w:cstheme="minorHAnsi"/>
          <w:color w:val="auto"/>
          <w:sz w:val="22"/>
        </w:rPr>
      </w:pPr>
    </w:p>
    <w:p w14:paraId="22CBF2B3" w14:textId="49B97B34" w:rsidR="006626E1" w:rsidRPr="000B7B05" w:rsidRDefault="008878A0" w:rsidP="00D179B2">
      <w:pPr>
        <w:spacing w:after="0" w:line="240" w:lineRule="auto"/>
        <w:rPr>
          <w:rFonts w:ascii="Times New Roman" w:hAnsi="Times New Roman" w:cs="Times New Roman"/>
          <w:color w:val="auto"/>
          <w:sz w:val="24"/>
          <w:szCs w:val="24"/>
          <w:lang w:eastAsia="hr-HR"/>
        </w:rPr>
      </w:pPr>
      <w:r w:rsidRPr="000B7B05">
        <w:t xml:space="preserve">Tablica </w:t>
      </w:r>
      <w:r w:rsidR="00D179B2">
        <w:t>2</w:t>
      </w:r>
      <w:r w:rsidR="009A6A08">
        <w:t>3</w:t>
      </w:r>
      <w:r w:rsidR="009B61D3" w:rsidRPr="000B7B05">
        <w:rPr>
          <w:noProof/>
        </w:rPr>
        <w:t>.</w:t>
      </w:r>
      <w:r w:rsidRPr="000B7B05">
        <w:rPr>
          <w:noProof/>
        </w:rPr>
        <w:t xml:space="preserve"> </w:t>
      </w:r>
      <w:r w:rsidR="006626E1" w:rsidRPr="000B7B05">
        <w:rPr>
          <w:rFonts w:cstheme="minorHAnsi"/>
          <w:noProof/>
        </w:rPr>
        <w:t>Domovi socijalne skrbi Krapinsko-zagorska županija i RH</w:t>
      </w:r>
      <w:r w:rsidR="00E94E8E">
        <w:rPr>
          <w:rFonts w:cstheme="minorHAnsi"/>
          <w:noProof/>
        </w:rPr>
        <w:t xml:space="preserve"> prema Godišnjem statističkom izvj</w:t>
      </w:r>
      <w:r w:rsidR="00C87CEC">
        <w:rPr>
          <w:rFonts w:cstheme="minorHAnsi"/>
          <w:noProof/>
        </w:rPr>
        <w:t>e</w:t>
      </w:r>
      <w:r w:rsidR="00E94E8E">
        <w:rPr>
          <w:rFonts w:cstheme="minorHAnsi"/>
          <w:noProof/>
        </w:rPr>
        <w:t>šću stanje na 31.12.2019. godine</w:t>
      </w:r>
    </w:p>
    <w:tbl>
      <w:tblPr>
        <w:tblW w:w="5014" w:type="pct"/>
        <w:tblBorders>
          <w:insideH w:val="single" w:sz="8" w:space="0" w:color="F3CFC1"/>
        </w:tblBorders>
        <w:tblLayout w:type="fixed"/>
        <w:tblLook w:val="04A0" w:firstRow="1" w:lastRow="0" w:firstColumn="1" w:lastColumn="0" w:noHBand="0" w:noVBand="1"/>
      </w:tblPr>
      <w:tblGrid>
        <w:gridCol w:w="5169"/>
        <w:gridCol w:w="948"/>
        <w:gridCol w:w="1109"/>
        <w:gridCol w:w="991"/>
        <w:gridCol w:w="1099"/>
      </w:tblGrid>
      <w:tr w:rsidR="00072AF5" w:rsidRPr="009B61D3" w14:paraId="24B25FF6" w14:textId="77777777" w:rsidTr="0079779D">
        <w:trPr>
          <w:trHeight w:val="368"/>
          <w:tblHeader/>
        </w:trPr>
        <w:tc>
          <w:tcPr>
            <w:tcW w:w="2774" w:type="pct"/>
            <w:vMerge w:val="restart"/>
            <w:tcBorders>
              <w:top w:val="single" w:sz="4" w:space="0" w:color="9D1A1F" w:themeColor="accent4"/>
              <w:left w:val="single" w:sz="4" w:space="0" w:color="9D1A1F" w:themeColor="accent4"/>
              <w:bottom w:val="single" w:sz="8" w:space="0" w:color="FFFFFF" w:themeColor="background1"/>
            </w:tcBorders>
            <w:shd w:val="clear" w:color="auto" w:fill="E5E5E5" w:themeFill="text1" w:themeFillTint="33"/>
            <w:noWrap/>
            <w:vAlign w:val="center"/>
            <w:hideMark/>
          </w:tcPr>
          <w:p w14:paraId="00B197E3" w14:textId="77777777" w:rsidR="00734C7A" w:rsidRPr="009B61D3" w:rsidRDefault="00734C7A" w:rsidP="00891CD3">
            <w:pPr>
              <w:spacing w:after="0" w:line="240" w:lineRule="auto"/>
              <w:jc w:val="center"/>
              <w:rPr>
                <w:rFonts w:eastAsia="Times New Roman" w:cstheme="minorHAnsi"/>
                <w:color w:val="FFFFFF"/>
                <w:szCs w:val="18"/>
                <w:lang w:eastAsia="hr-HR"/>
              </w:rPr>
            </w:pPr>
            <w:r w:rsidRPr="00BD4AB6">
              <w:rPr>
                <w:rFonts w:eastAsia="Times New Roman" w:cstheme="minorHAnsi"/>
                <w:szCs w:val="18"/>
                <w:lang w:eastAsia="hr-HR"/>
              </w:rPr>
              <w:t>VRSTA DOMA</w:t>
            </w:r>
          </w:p>
        </w:tc>
        <w:tc>
          <w:tcPr>
            <w:tcW w:w="1103" w:type="pct"/>
            <w:gridSpan w:val="2"/>
            <w:vMerge w:val="restart"/>
            <w:tcBorders>
              <w:top w:val="single" w:sz="4" w:space="0" w:color="9D1A1F" w:themeColor="accent4"/>
              <w:right w:val="single" w:sz="4" w:space="0" w:color="9D1A1F" w:themeColor="accent4"/>
            </w:tcBorders>
            <w:shd w:val="clear" w:color="auto" w:fill="D2232A" w:themeFill="accent1"/>
            <w:noWrap/>
            <w:vAlign w:val="center"/>
            <w:hideMark/>
          </w:tcPr>
          <w:p w14:paraId="381C82E8" w14:textId="04FCB2B1" w:rsidR="00734C7A" w:rsidRPr="009B61D3" w:rsidRDefault="005D7007" w:rsidP="00891CD3">
            <w:pPr>
              <w:spacing w:after="0" w:line="240" w:lineRule="auto"/>
              <w:jc w:val="center"/>
              <w:rPr>
                <w:rFonts w:eastAsia="Times New Roman" w:cstheme="minorHAnsi"/>
                <w:color w:val="FFFFFF"/>
                <w:szCs w:val="18"/>
                <w:lang w:eastAsia="hr-HR"/>
              </w:rPr>
            </w:pPr>
            <w:r>
              <w:rPr>
                <w:rFonts w:eastAsia="Times New Roman" w:cstheme="minorHAnsi"/>
                <w:color w:val="FFFFFF"/>
                <w:szCs w:val="18"/>
                <w:lang w:eastAsia="hr-HR"/>
              </w:rPr>
              <w:t>KZŽ</w:t>
            </w:r>
          </w:p>
        </w:tc>
        <w:tc>
          <w:tcPr>
            <w:tcW w:w="1122" w:type="pct"/>
            <w:gridSpan w:val="2"/>
            <w:vMerge w:val="restart"/>
            <w:tcBorders>
              <w:top w:val="single" w:sz="4" w:space="0" w:color="9D1A1F" w:themeColor="accent4"/>
              <w:left w:val="single" w:sz="4" w:space="0" w:color="9D1A1F" w:themeColor="accent4"/>
              <w:right w:val="single" w:sz="4" w:space="0" w:color="9D1A1F" w:themeColor="accent4"/>
            </w:tcBorders>
            <w:shd w:val="clear" w:color="auto" w:fill="E5E5E5" w:themeFill="text1" w:themeFillTint="33"/>
            <w:noWrap/>
            <w:vAlign w:val="center"/>
            <w:hideMark/>
          </w:tcPr>
          <w:p w14:paraId="38D6D4E6" w14:textId="6A9C0B96" w:rsidR="00734C7A" w:rsidRPr="009B61D3" w:rsidRDefault="005D7007" w:rsidP="00891CD3">
            <w:pPr>
              <w:spacing w:after="0" w:line="240" w:lineRule="auto"/>
              <w:jc w:val="center"/>
              <w:rPr>
                <w:rFonts w:eastAsia="Times New Roman" w:cstheme="minorHAnsi"/>
                <w:szCs w:val="18"/>
                <w:lang w:eastAsia="hr-HR"/>
              </w:rPr>
            </w:pPr>
            <w:r>
              <w:rPr>
                <w:rFonts w:eastAsia="Times New Roman" w:cstheme="minorHAnsi"/>
                <w:szCs w:val="18"/>
                <w:lang w:eastAsia="hr-HR"/>
              </w:rPr>
              <w:t>RH</w:t>
            </w:r>
          </w:p>
        </w:tc>
      </w:tr>
      <w:tr w:rsidR="00072AF5" w:rsidRPr="009B61D3" w14:paraId="53FE482F" w14:textId="77777777" w:rsidTr="00DC1C3A">
        <w:trPr>
          <w:trHeight w:val="367"/>
          <w:tblHeader/>
        </w:trPr>
        <w:tc>
          <w:tcPr>
            <w:tcW w:w="2774" w:type="pct"/>
            <w:vMerge/>
            <w:tcBorders>
              <w:left w:val="single" w:sz="4" w:space="0" w:color="9D1A1F" w:themeColor="accent4"/>
            </w:tcBorders>
            <w:vAlign w:val="center"/>
            <w:hideMark/>
          </w:tcPr>
          <w:p w14:paraId="6A182320" w14:textId="77777777" w:rsidR="00734C7A" w:rsidRPr="009B61D3" w:rsidRDefault="00734C7A" w:rsidP="00891CD3">
            <w:pPr>
              <w:spacing w:after="0" w:line="240" w:lineRule="auto"/>
              <w:jc w:val="center"/>
              <w:rPr>
                <w:rFonts w:eastAsia="Times New Roman" w:cstheme="minorHAnsi"/>
                <w:color w:val="FFFFFF"/>
                <w:szCs w:val="18"/>
                <w:lang w:eastAsia="hr-HR"/>
              </w:rPr>
            </w:pPr>
          </w:p>
        </w:tc>
        <w:tc>
          <w:tcPr>
            <w:tcW w:w="1103" w:type="pct"/>
            <w:gridSpan w:val="2"/>
            <w:vMerge/>
            <w:tcBorders>
              <w:right w:val="single" w:sz="4" w:space="0" w:color="9D1A1F" w:themeColor="accent4"/>
            </w:tcBorders>
            <w:vAlign w:val="center"/>
            <w:hideMark/>
          </w:tcPr>
          <w:p w14:paraId="3B087CC2" w14:textId="77777777" w:rsidR="00734C7A" w:rsidRPr="009B61D3" w:rsidRDefault="00734C7A" w:rsidP="00891CD3">
            <w:pPr>
              <w:spacing w:after="0" w:line="240" w:lineRule="auto"/>
              <w:jc w:val="center"/>
              <w:rPr>
                <w:rFonts w:eastAsia="Times New Roman" w:cstheme="minorHAnsi"/>
                <w:color w:val="FFFFFF"/>
                <w:szCs w:val="18"/>
                <w:lang w:eastAsia="hr-HR"/>
              </w:rPr>
            </w:pPr>
          </w:p>
        </w:tc>
        <w:tc>
          <w:tcPr>
            <w:tcW w:w="1122" w:type="pct"/>
            <w:gridSpan w:val="2"/>
            <w:vMerge/>
            <w:tcBorders>
              <w:left w:val="single" w:sz="4" w:space="0" w:color="9D1A1F" w:themeColor="accent4"/>
              <w:right w:val="single" w:sz="4" w:space="0" w:color="9D1A1F" w:themeColor="accent4"/>
            </w:tcBorders>
            <w:vAlign w:val="center"/>
            <w:hideMark/>
          </w:tcPr>
          <w:p w14:paraId="4FA6FB2A" w14:textId="77777777" w:rsidR="00734C7A" w:rsidRPr="009B61D3" w:rsidRDefault="00734C7A" w:rsidP="00891CD3">
            <w:pPr>
              <w:spacing w:after="0" w:line="240" w:lineRule="auto"/>
              <w:jc w:val="center"/>
              <w:rPr>
                <w:rFonts w:eastAsia="Times New Roman" w:cstheme="minorHAnsi"/>
                <w:szCs w:val="18"/>
                <w:lang w:eastAsia="hr-HR"/>
              </w:rPr>
            </w:pPr>
          </w:p>
        </w:tc>
      </w:tr>
      <w:tr w:rsidR="00072AF5" w:rsidRPr="009B61D3" w14:paraId="2F173621" w14:textId="77777777" w:rsidTr="0079779D">
        <w:trPr>
          <w:trHeight w:val="283"/>
          <w:tblHeader/>
        </w:trPr>
        <w:tc>
          <w:tcPr>
            <w:tcW w:w="2774" w:type="pct"/>
            <w:tcBorders>
              <w:top w:val="single" w:sz="8" w:space="0" w:color="FFFFFF" w:themeColor="background1"/>
              <w:left w:val="single" w:sz="4" w:space="0" w:color="9D1A1F" w:themeColor="accent4"/>
              <w:bottom w:val="nil"/>
            </w:tcBorders>
            <w:shd w:val="clear" w:color="auto" w:fill="5F5F5F" w:themeFill="text1" w:themeFillShade="BF"/>
            <w:noWrap/>
            <w:vAlign w:val="center"/>
            <w:hideMark/>
          </w:tcPr>
          <w:p w14:paraId="5D240951" w14:textId="77777777" w:rsidR="00734C7A" w:rsidRPr="009B61D3" w:rsidRDefault="00734C7A" w:rsidP="00891CD3">
            <w:pPr>
              <w:spacing w:after="0" w:line="240" w:lineRule="auto"/>
              <w:jc w:val="left"/>
              <w:rPr>
                <w:rFonts w:eastAsia="Times New Roman" w:cstheme="minorHAnsi"/>
                <w:color w:val="FFFFFF"/>
                <w:szCs w:val="18"/>
                <w:lang w:eastAsia="hr-HR"/>
              </w:rPr>
            </w:pPr>
            <w:r w:rsidRPr="009B61D3">
              <w:rPr>
                <w:rFonts w:eastAsia="Times New Roman" w:cstheme="minorHAnsi"/>
                <w:color w:val="FFFFFF"/>
                <w:szCs w:val="18"/>
                <w:lang w:eastAsia="hr-HR"/>
              </w:rPr>
              <w:t>DRŽAVNI DOMOVI SOCIJALNE SKRBI</w:t>
            </w:r>
          </w:p>
        </w:tc>
        <w:tc>
          <w:tcPr>
            <w:tcW w:w="509" w:type="pct"/>
            <w:tcBorders>
              <w:top w:val="single" w:sz="8" w:space="0" w:color="FFFFFF" w:themeColor="background1"/>
              <w:bottom w:val="nil"/>
            </w:tcBorders>
            <w:shd w:val="clear" w:color="auto" w:fill="D2232A" w:themeFill="accent1"/>
            <w:noWrap/>
            <w:vAlign w:val="center"/>
            <w:hideMark/>
          </w:tcPr>
          <w:p w14:paraId="4A8644E3" w14:textId="77777777" w:rsidR="00734C7A" w:rsidRPr="009B61D3" w:rsidRDefault="00734C7A" w:rsidP="00891CD3">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Ukupno domova</w:t>
            </w:r>
          </w:p>
        </w:tc>
        <w:tc>
          <w:tcPr>
            <w:tcW w:w="595" w:type="pct"/>
            <w:tcBorders>
              <w:top w:val="single" w:sz="8" w:space="0" w:color="FFFFFF" w:themeColor="background1"/>
              <w:bottom w:val="nil"/>
              <w:right w:val="single" w:sz="4" w:space="0" w:color="9D1A1F" w:themeColor="accent4"/>
            </w:tcBorders>
            <w:shd w:val="clear" w:color="auto" w:fill="D2232A" w:themeFill="accent1"/>
            <w:noWrap/>
            <w:vAlign w:val="center"/>
            <w:hideMark/>
          </w:tcPr>
          <w:p w14:paraId="1C0D97DA" w14:textId="5E0916A8" w:rsidR="00734C7A" w:rsidRPr="009B61D3" w:rsidRDefault="00734C7A" w:rsidP="00891CD3">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Ukupno korisnik</w:t>
            </w:r>
            <w:r w:rsidR="00300D80" w:rsidRPr="009B61D3">
              <w:rPr>
                <w:rFonts w:eastAsia="Times New Roman" w:cstheme="minorHAnsi"/>
                <w:color w:val="FFFFFF"/>
                <w:szCs w:val="18"/>
                <w:lang w:eastAsia="hr-HR"/>
              </w:rPr>
              <w:t>a</w:t>
            </w:r>
          </w:p>
        </w:tc>
        <w:tc>
          <w:tcPr>
            <w:tcW w:w="532" w:type="pct"/>
            <w:tcBorders>
              <w:top w:val="single" w:sz="8" w:space="0" w:color="FFFFFF" w:themeColor="background1"/>
              <w:left w:val="single" w:sz="4" w:space="0" w:color="9D1A1F" w:themeColor="accent4"/>
              <w:bottom w:val="nil"/>
            </w:tcBorders>
            <w:shd w:val="clear" w:color="auto" w:fill="E5E5E5" w:themeFill="text1" w:themeFillTint="33"/>
            <w:noWrap/>
            <w:vAlign w:val="center"/>
            <w:hideMark/>
          </w:tcPr>
          <w:p w14:paraId="50874270" w14:textId="77777777" w:rsidR="00734C7A" w:rsidRPr="009B61D3" w:rsidRDefault="00734C7A" w:rsidP="00891CD3">
            <w:pPr>
              <w:spacing w:after="0" w:line="240" w:lineRule="auto"/>
              <w:jc w:val="center"/>
              <w:rPr>
                <w:rFonts w:eastAsia="Times New Roman" w:cstheme="minorHAnsi"/>
                <w:szCs w:val="18"/>
                <w:lang w:eastAsia="hr-HR"/>
              </w:rPr>
            </w:pPr>
            <w:r w:rsidRPr="009B61D3">
              <w:rPr>
                <w:rFonts w:eastAsia="Times New Roman" w:cstheme="minorHAnsi"/>
                <w:szCs w:val="18"/>
                <w:lang w:eastAsia="hr-HR"/>
              </w:rPr>
              <w:t>Ukupno domova</w:t>
            </w:r>
          </w:p>
        </w:tc>
        <w:tc>
          <w:tcPr>
            <w:tcW w:w="590" w:type="pct"/>
            <w:tcBorders>
              <w:top w:val="single" w:sz="8" w:space="0" w:color="FFFFFF" w:themeColor="background1"/>
              <w:bottom w:val="nil"/>
              <w:right w:val="single" w:sz="4" w:space="0" w:color="9D1A1F" w:themeColor="accent4"/>
            </w:tcBorders>
            <w:shd w:val="clear" w:color="auto" w:fill="E5E5E5" w:themeFill="text1" w:themeFillTint="33"/>
            <w:noWrap/>
            <w:vAlign w:val="center"/>
            <w:hideMark/>
          </w:tcPr>
          <w:p w14:paraId="700C9E06" w14:textId="77777777" w:rsidR="00734C7A" w:rsidRPr="009B61D3" w:rsidRDefault="00734C7A" w:rsidP="00891CD3">
            <w:pPr>
              <w:spacing w:after="0" w:line="240" w:lineRule="auto"/>
              <w:jc w:val="center"/>
              <w:rPr>
                <w:rFonts w:eastAsia="Times New Roman" w:cstheme="minorHAnsi"/>
                <w:szCs w:val="18"/>
                <w:lang w:eastAsia="hr-HR"/>
              </w:rPr>
            </w:pPr>
            <w:r w:rsidRPr="009B61D3">
              <w:rPr>
                <w:rFonts w:eastAsia="Times New Roman" w:cstheme="minorHAnsi"/>
                <w:szCs w:val="18"/>
                <w:lang w:eastAsia="hr-HR"/>
              </w:rPr>
              <w:t>Ukupno korisnika</w:t>
            </w:r>
          </w:p>
        </w:tc>
      </w:tr>
      <w:tr w:rsidR="00072AF5" w:rsidRPr="009B61D3" w14:paraId="2E131FA6" w14:textId="77777777" w:rsidTr="0079779D">
        <w:trPr>
          <w:trHeight w:val="283"/>
        </w:trPr>
        <w:tc>
          <w:tcPr>
            <w:tcW w:w="2774" w:type="pct"/>
            <w:tcBorders>
              <w:top w:val="nil"/>
              <w:left w:val="single" w:sz="4" w:space="0" w:color="9D1A1F" w:themeColor="accent4"/>
            </w:tcBorders>
            <w:shd w:val="clear" w:color="auto" w:fill="auto"/>
            <w:noWrap/>
            <w:vAlign w:val="bottom"/>
            <w:hideMark/>
          </w:tcPr>
          <w:p w14:paraId="288463D6" w14:textId="06AA9FB0" w:rsidR="00734C7A" w:rsidRPr="009B61D3" w:rsidRDefault="00734C7A" w:rsidP="00300D80">
            <w:pPr>
              <w:spacing w:after="0" w:line="240" w:lineRule="auto"/>
              <w:jc w:val="left"/>
              <w:rPr>
                <w:rFonts w:eastAsia="Times New Roman" w:cstheme="minorHAnsi"/>
                <w:color w:val="000000"/>
                <w:szCs w:val="18"/>
                <w:lang w:eastAsia="hr-HR"/>
              </w:rPr>
            </w:pPr>
            <w:r w:rsidRPr="009B61D3">
              <w:rPr>
                <w:rFonts w:eastAsia="Times New Roman" w:cstheme="minorHAnsi"/>
                <w:color w:val="000000"/>
                <w:szCs w:val="18"/>
                <w:lang w:eastAsia="hr-HR"/>
              </w:rPr>
              <w:t xml:space="preserve">Domovi </w:t>
            </w:r>
            <w:r w:rsidR="00072AF5">
              <w:rPr>
                <w:rFonts w:eastAsia="Times New Roman" w:cstheme="minorHAnsi"/>
                <w:color w:val="000000"/>
                <w:szCs w:val="18"/>
                <w:lang w:eastAsia="hr-HR"/>
              </w:rPr>
              <w:t xml:space="preserve">(centri za pružanje usluga u zajednici) </w:t>
            </w:r>
            <w:r w:rsidRPr="009B61D3">
              <w:rPr>
                <w:rFonts w:eastAsia="Times New Roman" w:cstheme="minorHAnsi"/>
                <w:color w:val="000000"/>
                <w:szCs w:val="18"/>
                <w:lang w:eastAsia="hr-HR"/>
              </w:rPr>
              <w:t>za djecu i mlađe punoljetne osobe bez roditelja ili bez odgovarajuće roditeljske skrbi</w:t>
            </w:r>
          </w:p>
        </w:tc>
        <w:tc>
          <w:tcPr>
            <w:tcW w:w="509" w:type="pct"/>
            <w:tcBorders>
              <w:top w:val="nil"/>
            </w:tcBorders>
            <w:shd w:val="clear" w:color="auto" w:fill="FFFFFF" w:themeFill="background1"/>
            <w:noWrap/>
            <w:vAlign w:val="center"/>
          </w:tcPr>
          <w:p w14:paraId="79F6C608"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95" w:type="pct"/>
            <w:tcBorders>
              <w:top w:val="nil"/>
              <w:right w:val="single" w:sz="4" w:space="0" w:color="9D1A1F" w:themeColor="accent4"/>
            </w:tcBorders>
            <w:shd w:val="clear" w:color="auto" w:fill="FFFFFF" w:themeFill="background1"/>
            <w:noWrap/>
            <w:vAlign w:val="center"/>
          </w:tcPr>
          <w:p w14:paraId="0B181114"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32" w:type="pct"/>
            <w:tcBorders>
              <w:top w:val="nil"/>
              <w:left w:val="single" w:sz="4" w:space="0" w:color="9D1A1F" w:themeColor="accent4"/>
            </w:tcBorders>
            <w:shd w:val="clear" w:color="auto" w:fill="auto"/>
            <w:noWrap/>
            <w:vAlign w:val="center"/>
            <w:hideMark/>
          </w:tcPr>
          <w:p w14:paraId="3553DC98"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13</w:t>
            </w:r>
          </w:p>
        </w:tc>
        <w:tc>
          <w:tcPr>
            <w:tcW w:w="590" w:type="pct"/>
            <w:tcBorders>
              <w:top w:val="nil"/>
              <w:right w:val="single" w:sz="4" w:space="0" w:color="9D1A1F" w:themeColor="accent4"/>
            </w:tcBorders>
            <w:shd w:val="clear" w:color="auto" w:fill="auto"/>
            <w:noWrap/>
            <w:vAlign w:val="center"/>
            <w:hideMark/>
          </w:tcPr>
          <w:p w14:paraId="6D429320" w14:textId="3572A2CD" w:rsidR="00734C7A" w:rsidRPr="009B61D3" w:rsidRDefault="00734C7A" w:rsidP="002371C8">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8</w:t>
            </w:r>
            <w:r w:rsidR="002C1278">
              <w:rPr>
                <w:rFonts w:eastAsia="Times New Roman" w:cstheme="minorHAnsi"/>
                <w:color w:val="000000"/>
                <w:szCs w:val="18"/>
                <w:lang w:eastAsia="hr-HR"/>
              </w:rPr>
              <w:t>44</w:t>
            </w:r>
          </w:p>
        </w:tc>
      </w:tr>
      <w:tr w:rsidR="00072AF5" w:rsidRPr="009B61D3" w14:paraId="3F0FC435" w14:textId="77777777" w:rsidTr="0079779D">
        <w:trPr>
          <w:trHeight w:val="283"/>
        </w:trPr>
        <w:tc>
          <w:tcPr>
            <w:tcW w:w="2774" w:type="pct"/>
            <w:tcBorders>
              <w:left w:val="single" w:sz="4" w:space="0" w:color="9D1A1F" w:themeColor="accent4"/>
            </w:tcBorders>
            <w:shd w:val="clear" w:color="auto" w:fill="auto"/>
            <w:noWrap/>
            <w:vAlign w:val="bottom"/>
            <w:hideMark/>
          </w:tcPr>
          <w:p w14:paraId="2EB1E1DF" w14:textId="77777777" w:rsidR="00734C7A" w:rsidRPr="009B61D3" w:rsidRDefault="00734C7A" w:rsidP="00300D80">
            <w:pPr>
              <w:spacing w:after="0" w:line="240" w:lineRule="auto"/>
              <w:jc w:val="left"/>
              <w:rPr>
                <w:rFonts w:eastAsia="Times New Roman" w:cstheme="minorHAnsi"/>
                <w:color w:val="000000"/>
                <w:szCs w:val="18"/>
                <w:lang w:eastAsia="hr-HR"/>
              </w:rPr>
            </w:pPr>
            <w:r w:rsidRPr="009B61D3">
              <w:rPr>
                <w:rFonts w:eastAsia="Times New Roman" w:cstheme="minorHAnsi"/>
                <w:color w:val="000000"/>
                <w:szCs w:val="18"/>
                <w:lang w:eastAsia="hr-HR"/>
              </w:rPr>
              <w:t>Domovi za djecu i mlađe punoljetne osobe s problemima u ponašanju</w:t>
            </w:r>
          </w:p>
        </w:tc>
        <w:tc>
          <w:tcPr>
            <w:tcW w:w="509" w:type="pct"/>
            <w:shd w:val="clear" w:color="auto" w:fill="FFFFFF" w:themeFill="background1"/>
            <w:noWrap/>
            <w:vAlign w:val="center"/>
          </w:tcPr>
          <w:p w14:paraId="7932F52F" w14:textId="3493C6F7" w:rsidR="00734C7A" w:rsidRPr="009B61D3" w:rsidRDefault="00424136"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w:t>
            </w:r>
          </w:p>
        </w:tc>
        <w:tc>
          <w:tcPr>
            <w:tcW w:w="595" w:type="pct"/>
            <w:tcBorders>
              <w:right w:val="single" w:sz="4" w:space="0" w:color="9D1A1F" w:themeColor="accent4"/>
            </w:tcBorders>
            <w:shd w:val="clear" w:color="auto" w:fill="FFFFFF" w:themeFill="background1"/>
            <w:noWrap/>
            <w:vAlign w:val="center"/>
          </w:tcPr>
          <w:p w14:paraId="32F50FB9" w14:textId="3E287D45" w:rsidR="00734C7A" w:rsidRPr="009B61D3" w:rsidRDefault="00424136"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75</w:t>
            </w:r>
          </w:p>
        </w:tc>
        <w:tc>
          <w:tcPr>
            <w:tcW w:w="532" w:type="pct"/>
            <w:tcBorders>
              <w:left w:val="single" w:sz="4" w:space="0" w:color="9D1A1F" w:themeColor="accent4"/>
            </w:tcBorders>
            <w:shd w:val="clear" w:color="auto" w:fill="auto"/>
            <w:noWrap/>
            <w:vAlign w:val="center"/>
            <w:hideMark/>
          </w:tcPr>
          <w:p w14:paraId="7E690B96"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10</w:t>
            </w:r>
          </w:p>
        </w:tc>
        <w:tc>
          <w:tcPr>
            <w:tcW w:w="590" w:type="pct"/>
            <w:tcBorders>
              <w:right w:val="single" w:sz="4" w:space="0" w:color="9D1A1F" w:themeColor="accent4"/>
            </w:tcBorders>
            <w:shd w:val="clear" w:color="auto" w:fill="auto"/>
            <w:noWrap/>
            <w:vAlign w:val="center"/>
            <w:hideMark/>
          </w:tcPr>
          <w:p w14:paraId="1EEE8277" w14:textId="29BA4A89" w:rsidR="00734C7A" w:rsidRPr="009B61D3" w:rsidRDefault="00734C7A" w:rsidP="002371C8">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w:t>
            </w:r>
            <w:r w:rsidR="002C1278">
              <w:rPr>
                <w:rFonts w:eastAsia="Times New Roman" w:cstheme="minorHAnsi"/>
                <w:color w:val="000000"/>
                <w:szCs w:val="18"/>
                <w:lang w:eastAsia="hr-HR"/>
              </w:rPr>
              <w:t>073</w:t>
            </w:r>
          </w:p>
        </w:tc>
      </w:tr>
      <w:tr w:rsidR="00072AF5" w:rsidRPr="009B61D3" w14:paraId="24381F03" w14:textId="77777777" w:rsidTr="0079779D">
        <w:trPr>
          <w:trHeight w:val="283"/>
        </w:trPr>
        <w:tc>
          <w:tcPr>
            <w:tcW w:w="2774" w:type="pct"/>
            <w:tcBorders>
              <w:left w:val="single" w:sz="4" w:space="0" w:color="9D1A1F" w:themeColor="accent4"/>
            </w:tcBorders>
            <w:shd w:val="clear" w:color="auto" w:fill="auto"/>
            <w:noWrap/>
            <w:vAlign w:val="bottom"/>
            <w:hideMark/>
          </w:tcPr>
          <w:p w14:paraId="5AE6E8D7" w14:textId="77777777" w:rsidR="00734C7A" w:rsidRPr="009B61D3" w:rsidRDefault="00734C7A" w:rsidP="00300D80">
            <w:pPr>
              <w:spacing w:after="0" w:line="240" w:lineRule="auto"/>
              <w:jc w:val="left"/>
              <w:rPr>
                <w:rFonts w:eastAsia="Times New Roman" w:cstheme="minorHAnsi"/>
                <w:color w:val="000000"/>
                <w:szCs w:val="18"/>
                <w:lang w:eastAsia="hr-HR"/>
              </w:rPr>
            </w:pPr>
            <w:r w:rsidRPr="009B61D3">
              <w:rPr>
                <w:rFonts w:eastAsia="Times New Roman" w:cstheme="minorHAnsi"/>
                <w:color w:val="000000"/>
                <w:szCs w:val="18"/>
                <w:lang w:eastAsia="hr-HR"/>
              </w:rPr>
              <w:t>Domovi za djecu s teškoćama u razvoju i odrasle osobe s tjelesnim, intelektualnim i osjetilnim oštećenjima</w:t>
            </w:r>
          </w:p>
        </w:tc>
        <w:tc>
          <w:tcPr>
            <w:tcW w:w="509" w:type="pct"/>
            <w:shd w:val="clear" w:color="auto" w:fill="FFFFFF" w:themeFill="background1"/>
            <w:noWrap/>
            <w:vAlign w:val="center"/>
          </w:tcPr>
          <w:p w14:paraId="677F53CC" w14:textId="1C1C1952" w:rsidR="00734C7A" w:rsidRPr="009B61D3" w:rsidRDefault="00072AF5"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w:t>
            </w:r>
          </w:p>
        </w:tc>
        <w:tc>
          <w:tcPr>
            <w:tcW w:w="595" w:type="pct"/>
            <w:tcBorders>
              <w:right w:val="single" w:sz="4" w:space="0" w:color="9D1A1F" w:themeColor="accent4"/>
            </w:tcBorders>
            <w:shd w:val="clear" w:color="auto" w:fill="FFFFFF" w:themeFill="background1"/>
            <w:noWrap/>
            <w:vAlign w:val="center"/>
          </w:tcPr>
          <w:p w14:paraId="1ABEB531" w14:textId="4D1F98BA" w:rsidR="00734C7A" w:rsidRPr="009B61D3" w:rsidRDefault="00072AF5"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w:t>
            </w:r>
            <w:r w:rsidR="00734C7A" w:rsidRPr="009B61D3">
              <w:rPr>
                <w:rFonts w:eastAsia="Times New Roman" w:cstheme="minorHAnsi"/>
                <w:color w:val="000000"/>
                <w:szCs w:val="18"/>
                <w:lang w:eastAsia="hr-HR"/>
              </w:rPr>
              <w:t>0</w:t>
            </w:r>
          </w:p>
        </w:tc>
        <w:tc>
          <w:tcPr>
            <w:tcW w:w="532" w:type="pct"/>
            <w:tcBorders>
              <w:left w:val="single" w:sz="4" w:space="0" w:color="9D1A1F" w:themeColor="accent4"/>
            </w:tcBorders>
            <w:shd w:val="clear" w:color="auto" w:fill="auto"/>
            <w:noWrap/>
            <w:vAlign w:val="center"/>
            <w:hideMark/>
          </w:tcPr>
          <w:p w14:paraId="2139EAD9"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25</w:t>
            </w:r>
          </w:p>
        </w:tc>
        <w:tc>
          <w:tcPr>
            <w:tcW w:w="590" w:type="pct"/>
            <w:tcBorders>
              <w:right w:val="single" w:sz="4" w:space="0" w:color="9D1A1F" w:themeColor="accent4"/>
            </w:tcBorders>
            <w:shd w:val="clear" w:color="auto" w:fill="auto"/>
            <w:noWrap/>
            <w:vAlign w:val="center"/>
            <w:hideMark/>
          </w:tcPr>
          <w:p w14:paraId="45F35CB3" w14:textId="5433C219" w:rsidR="00734C7A" w:rsidRPr="009B61D3" w:rsidRDefault="00734C7A" w:rsidP="002371C8">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w:t>
            </w:r>
            <w:r w:rsidR="002C1278">
              <w:rPr>
                <w:rFonts w:eastAsia="Times New Roman" w:cstheme="minorHAnsi"/>
                <w:color w:val="000000"/>
                <w:szCs w:val="18"/>
                <w:lang w:eastAsia="hr-HR"/>
              </w:rPr>
              <w:t>641</w:t>
            </w:r>
          </w:p>
        </w:tc>
      </w:tr>
      <w:tr w:rsidR="00072AF5" w:rsidRPr="009B61D3" w14:paraId="097D6298" w14:textId="77777777" w:rsidTr="0079779D">
        <w:trPr>
          <w:trHeight w:val="283"/>
        </w:trPr>
        <w:tc>
          <w:tcPr>
            <w:tcW w:w="2774" w:type="pct"/>
            <w:tcBorders>
              <w:left w:val="single" w:sz="4" w:space="0" w:color="9D1A1F" w:themeColor="accent4"/>
            </w:tcBorders>
            <w:shd w:val="clear" w:color="auto" w:fill="auto"/>
            <w:noWrap/>
            <w:vAlign w:val="bottom"/>
            <w:hideMark/>
          </w:tcPr>
          <w:p w14:paraId="180A83B8" w14:textId="54233ED0" w:rsidR="00734C7A" w:rsidRPr="009B61D3" w:rsidRDefault="00734C7A" w:rsidP="00300D80">
            <w:pPr>
              <w:spacing w:after="0" w:line="240" w:lineRule="auto"/>
              <w:jc w:val="left"/>
              <w:rPr>
                <w:rFonts w:eastAsia="Times New Roman" w:cstheme="minorHAnsi"/>
                <w:color w:val="000000"/>
                <w:szCs w:val="18"/>
                <w:lang w:eastAsia="hr-HR"/>
              </w:rPr>
            </w:pPr>
            <w:r w:rsidRPr="009B61D3">
              <w:rPr>
                <w:rFonts w:eastAsia="Times New Roman" w:cstheme="minorHAnsi"/>
                <w:color w:val="000000"/>
                <w:szCs w:val="18"/>
                <w:lang w:eastAsia="hr-HR"/>
              </w:rPr>
              <w:t xml:space="preserve">Domovi za starije </w:t>
            </w:r>
            <w:r w:rsidR="00083360">
              <w:rPr>
                <w:rFonts w:eastAsia="Times New Roman" w:cstheme="minorHAnsi"/>
                <w:color w:val="000000"/>
                <w:szCs w:val="18"/>
                <w:lang w:eastAsia="hr-HR"/>
              </w:rPr>
              <w:t>osobe</w:t>
            </w:r>
          </w:p>
        </w:tc>
        <w:tc>
          <w:tcPr>
            <w:tcW w:w="509" w:type="pct"/>
            <w:shd w:val="clear" w:color="auto" w:fill="FFFFFF" w:themeFill="background1"/>
            <w:noWrap/>
            <w:vAlign w:val="center"/>
          </w:tcPr>
          <w:p w14:paraId="666BE436"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95" w:type="pct"/>
            <w:tcBorders>
              <w:right w:val="single" w:sz="4" w:space="0" w:color="9D1A1F" w:themeColor="accent4"/>
            </w:tcBorders>
            <w:shd w:val="clear" w:color="auto" w:fill="FFFFFF" w:themeFill="background1"/>
            <w:noWrap/>
            <w:vAlign w:val="center"/>
          </w:tcPr>
          <w:p w14:paraId="541ED890"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32" w:type="pct"/>
            <w:tcBorders>
              <w:left w:val="single" w:sz="4" w:space="0" w:color="9D1A1F" w:themeColor="accent4"/>
            </w:tcBorders>
            <w:shd w:val="clear" w:color="auto" w:fill="auto"/>
            <w:noWrap/>
            <w:vAlign w:val="center"/>
            <w:hideMark/>
          </w:tcPr>
          <w:p w14:paraId="3E66EA33" w14:textId="0E74741C" w:rsidR="00734C7A" w:rsidRPr="009B61D3" w:rsidRDefault="0009386E"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w:t>
            </w:r>
          </w:p>
        </w:tc>
        <w:tc>
          <w:tcPr>
            <w:tcW w:w="590" w:type="pct"/>
            <w:tcBorders>
              <w:right w:val="single" w:sz="4" w:space="0" w:color="9D1A1F" w:themeColor="accent4"/>
            </w:tcBorders>
            <w:shd w:val="clear" w:color="auto" w:fill="auto"/>
            <w:noWrap/>
            <w:vAlign w:val="center"/>
            <w:hideMark/>
          </w:tcPr>
          <w:p w14:paraId="0D3370DC"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168</w:t>
            </w:r>
          </w:p>
        </w:tc>
      </w:tr>
      <w:tr w:rsidR="00072AF5" w:rsidRPr="009B61D3" w14:paraId="5F19E42F" w14:textId="77777777" w:rsidTr="0079779D">
        <w:trPr>
          <w:trHeight w:val="283"/>
        </w:trPr>
        <w:tc>
          <w:tcPr>
            <w:tcW w:w="2774" w:type="pct"/>
            <w:tcBorders>
              <w:left w:val="single" w:sz="4" w:space="0" w:color="9D1A1F" w:themeColor="accent4"/>
              <w:bottom w:val="single" w:sz="8" w:space="0" w:color="FFFFFF" w:themeColor="background1"/>
            </w:tcBorders>
            <w:shd w:val="clear" w:color="auto" w:fill="auto"/>
            <w:noWrap/>
            <w:vAlign w:val="bottom"/>
            <w:hideMark/>
          </w:tcPr>
          <w:p w14:paraId="2A3C1D50" w14:textId="77777777" w:rsidR="00734C7A" w:rsidRPr="009B61D3" w:rsidRDefault="00734C7A" w:rsidP="00300D80">
            <w:pPr>
              <w:spacing w:after="0" w:line="240" w:lineRule="auto"/>
              <w:jc w:val="left"/>
              <w:rPr>
                <w:rFonts w:eastAsia="Times New Roman" w:cstheme="minorHAnsi"/>
                <w:color w:val="000000"/>
                <w:szCs w:val="18"/>
                <w:lang w:eastAsia="hr-HR"/>
              </w:rPr>
            </w:pPr>
            <w:r w:rsidRPr="009B61D3">
              <w:rPr>
                <w:rFonts w:eastAsia="Times New Roman" w:cstheme="minorHAnsi"/>
                <w:color w:val="000000"/>
                <w:szCs w:val="18"/>
                <w:lang w:eastAsia="hr-HR"/>
              </w:rPr>
              <w:t>Domovi za odrasle osobe s mentalnim oštećenjem (psihički bolesne odrasle osobe)</w:t>
            </w:r>
          </w:p>
        </w:tc>
        <w:tc>
          <w:tcPr>
            <w:tcW w:w="509" w:type="pct"/>
            <w:tcBorders>
              <w:bottom w:val="single" w:sz="8" w:space="0" w:color="FFFFFF" w:themeColor="background1"/>
            </w:tcBorders>
            <w:shd w:val="clear" w:color="auto" w:fill="FFFFFF" w:themeFill="background1"/>
            <w:noWrap/>
            <w:vAlign w:val="center"/>
          </w:tcPr>
          <w:p w14:paraId="5F3D5376" w14:textId="73900B4D" w:rsidR="00734C7A" w:rsidRPr="009B61D3" w:rsidRDefault="00083360"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w:t>
            </w:r>
          </w:p>
        </w:tc>
        <w:tc>
          <w:tcPr>
            <w:tcW w:w="595" w:type="pct"/>
            <w:tcBorders>
              <w:bottom w:val="single" w:sz="8" w:space="0" w:color="FFFFFF" w:themeColor="background1"/>
              <w:right w:val="single" w:sz="4" w:space="0" w:color="9D1A1F" w:themeColor="accent4"/>
            </w:tcBorders>
            <w:shd w:val="clear" w:color="auto" w:fill="FFFFFF" w:themeFill="background1"/>
            <w:noWrap/>
            <w:vAlign w:val="center"/>
          </w:tcPr>
          <w:p w14:paraId="4EB7C80F" w14:textId="780E8B7F" w:rsidR="00734C7A" w:rsidRPr="009B61D3" w:rsidRDefault="00083360"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699</w:t>
            </w:r>
          </w:p>
        </w:tc>
        <w:tc>
          <w:tcPr>
            <w:tcW w:w="532" w:type="pct"/>
            <w:tcBorders>
              <w:left w:val="single" w:sz="4" w:space="0" w:color="9D1A1F" w:themeColor="accent4"/>
              <w:bottom w:val="single" w:sz="8" w:space="0" w:color="FFFFFF" w:themeColor="background1"/>
            </w:tcBorders>
            <w:shd w:val="clear" w:color="auto" w:fill="auto"/>
            <w:noWrap/>
            <w:vAlign w:val="center"/>
            <w:hideMark/>
          </w:tcPr>
          <w:p w14:paraId="7B82BA64"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18</w:t>
            </w:r>
          </w:p>
        </w:tc>
        <w:tc>
          <w:tcPr>
            <w:tcW w:w="590" w:type="pct"/>
            <w:tcBorders>
              <w:bottom w:val="single" w:sz="8" w:space="0" w:color="FFFFFF" w:themeColor="background1"/>
              <w:right w:val="single" w:sz="4" w:space="0" w:color="9D1A1F" w:themeColor="accent4"/>
            </w:tcBorders>
            <w:shd w:val="clear" w:color="auto" w:fill="auto"/>
            <w:noWrap/>
            <w:vAlign w:val="center"/>
            <w:hideMark/>
          </w:tcPr>
          <w:p w14:paraId="61359173" w14:textId="30E8D5E9" w:rsidR="00734C7A" w:rsidRPr="009B61D3" w:rsidRDefault="00734C7A" w:rsidP="002371C8">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3.</w:t>
            </w:r>
            <w:r w:rsidR="002371C8" w:rsidRPr="009B61D3">
              <w:rPr>
                <w:rFonts w:eastAsia="Times New Roman" w:cstheme="minorHAnsi"/>
                <w:color w:val="000000"/>
                <w:szCs w:val="18"/>
                <w:lang w:eastAsia="hr-HR"/>
              </w:rPr>
              <w:t>2</w:t>
            </w:r>
            <w:r w:rsidR="002C1278">
              <w:rPr>
                <w:rFonts w:eastAsia="Times New Roman" w:cstheme="minorHAnsi"/>
                <w:color w:val="000000"/>
                <w:szCs w:val="18"/>
                <w:lang w:eastAsia="hr-HR"/>
              </w:rPr>
              <w:t>53</w:t>
            </w:r>
          </w:p>
        </w:tc>
      </w:tr>
      <w:tr w:rsidR="00072AF5" w:rsidRPr="009B61D3" w14:paraId="4F29FF13" w14:textId="77777777" w:rsidTr="0079779D">
        <w:trPr>
          <w:trHeight w:val="283"/>
        </w:trPr>
        <w:tc>
          <w:tcPr>
            <w:tcW w:w="2774" w:type="pct"/>
            <w:tcBorders>
              <w:top w:val="single" w:sz="8" w:space="0" w:color="FFFFFF" w:themeColor="background1"/>
              <w:left w:val="single" w:sz="4" w:space="0" w:color="9D1A1F" w:themeColor="accent4"/>
              <w:bottom w:val="single" w:sz="8" w:space="0" w:color="FFFFFF" w:themeColor="background1"/>
            </w:tcBorders>
            <w:shd w:val="clear" w:color="auto" w:fill="3F3F3F" w:themeFill="text1" w:themeFillShade="80"/>
            <w:noWrap/>
            <w:vAlign w:val="center"/>
            <w:hideMark/>
          </w:tcPr>
          <w:p w14:paraId="7F53BF21" w14:textId="13780992" w:rsidR="00734C7A" w:rsidRPr="009B61D3" w:rsidRDefault="000F7D8E" w:rsidP="00300D80">
            <w:pPr>
              <w:spacing w:after="0" w:line="240" w:lineRule="auto"/>
              <w:jc w:val="left"/>
              <w:rPr>
                <w:rFonts w:eastAsia="Times New Roman" w:cstheme="minorHAnsi"/>
                <w:color w:val="FFFFFF"/>
                <w:szCs w:val="18"/>
                <w:lang w:eastAsia="hr-HR"/>
              </w:rPr>
            </w:pPr>
            <w:r w:rsidRPr="009B61D3">
              <w:rPr>
                <w:rFonts w:eastAsia="Times New Roman" w:cstheme="minorHAnsi"/>
                <w:color w:val="FFFFFF"/>
                <w:szCs w:val="18"/>
                <w:lang w:eastAsia="hr-HR"/>
              </w:rPr>
              <w:t>NEDRŽAVNI DOMOVI SOCIJALNE SKRBI</w:t>
            </w:r>
          </w:p>
        </w:tc>
        <w:tc>
          <w:tcPr>
            <w:tcW w:w="509" w:type="pct"/>
            <w:tcBorders>
              <w:top w:val="single" w:sz="8" w:space="0" w:color="FFFFFF" w:themeColor="background1"/>
              <w:bottom w:val="single" w:sz="8" w:space="0" w:color="FFFFFF" w:themeColor="background1"/>
            </w:tcBorders>
            <w:shd w:val="clear" w:color="auto" w:fill="D2232A" w:themeFill="accent1"/>
            <w:noWrap/>
            <w:vAlign w:val="center"/>
            <w:hideMark/>
          </w:tcPr>
          <w:p w14:paraId="4AD84FF2" w14:textId="77777777" w:rsidR="00734C7A" w:rsidRPr="009B61D3" w:rsidRDefault="00734C7A" w:rsidP="00891CD3">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Ukupno domova</w:t>
            </w:r>
          </w:p>
        </w:tc>
        <w:tc>
          <w:tcPr>
            <w:tcW w:w="595" w:type="pct"/>
            <w:tcBorders>
              <w:top w:val="single" w:sz="8" w:space="0" w:color="FFFFFF" w:themeColor="background1"/>
              <w:bottom w:val="single" w:sz="8" w:space="0" w:color="FFFFFF" w:themeColor="background1"/>
              <w:right w:val="single" w:sz="4" w:space="0" w:color="9D1A1F" w:themeColor="accent4"/>
            </w:tcBorders>
            <w:shd w:val="clear" w:color="auto" w:fill="D2232A" w:themeFill="accent1"/>
            <w:noWrap/>
            <w:vAlign w:val="center"/>
            <w:hideMark/>
          </w:tcPr>
          <w:p w14:paraId="677FD399" w14:textId="77777777" w:rsidR="00734C7A" w:rsidRPr="009B61D3" w:rsidRDefault="00734C7A" w:rsidP="00891CD3">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Ukupno korisnika</w:t>
            </w:r>
          </w:p>
        </w:tc>
        <w:tc>
          <w:tcPr>
            <w:tcW w:w="532" w:type="pct"/>
            <w:tcBorders>
              <w:top w:val="single" w:sz="8" w:space="0" w:color="FFFFFF" w:themeColor="background1"/>
              <w:left w:val="single" w:sz="4" w:space="0" w:color="9D1A1F" w:themeColor="accent4"/>
              <w:bottom w:val="single" w:sz="8" w:space="0" w:color="FFFFFF" w:themeColor="background1"/>
            </w:tcBorders>
            <w:shd w:val="clear" w:color="auto" w:fill="E5E5E5" w:themeFill="text1" w:themeFillTint="33"/>
            <w:noWrap/>
            <w:vAlign w:val="center"/>
            <w:hideMark/>
          </w:tcPr>
          <w:p w14:paraId="2DE588DF" w14:textId="77777777" w:rsidR="00734C7A" w:rsidRPr="009B61D3" w:rsidRDefault="00734C7A" w:rsidP="00891CD3">
            <w:pPr>
              <w:spacing w:after="0" w:line="240" w:lineRule="auto"/>
              <w:jc w:val="center"/>
              <w:rPr>
                <w:rFonts w:eastAsia="Times New Roman" w:cstheme="minorHAnsi"/>
                <w:szCs w:val="18"/>
                <w:lang w:eastAsia="hr-HR"/>
              </w:rPr>
            </w:pPr>
            <w:r w:rsidRPr="009B61D3">
              <w:rPr>
                <w:rFonts w:eastAsia="Times New Roman" w:cstheme="minorHAnsi"/>
                <w:szCs w:val="18"/>
                <w:lang w:eastAsia="hr-HR"/>
              </w:rPr>
              <w:t>Ukupno domova</w:t>
            </w:r>
          </w:p>
        </w:tc>
        <w:tc>
          <w:tcPr>
            <w:tcW w:w="590" w:type="pct"/>
            <w:tcBorders>
              <w:top w:val="single" w:sz="8" w:space="0" w:color="FFFFFF" w:themeColor="background1"/>
              <w:bottom w:val="single" w:sz="8" w:space="0" w:color="FFFFFF" w:themeColor="background1"/>
              <w:right w:val="single" w:sz="4" w:space="0" w:color="9D1A1F" w:themeColor="accent4"/>
            </w:tcBorders>
            <w:shd w:val="clear" w:color="auto" w:fill="E5E5E5" w:themeFill="text1" w:themeFillTint="33"/>
            <w:noWrap/>
            <w:vAlign w:val="center"/>
            <w:hideMark/>
          </w:tcPr>
          <w:p w14:paraId="59C0A941" w14:textId="77777777" w:rsidR="00734C7A" w:rsidRPr="009B61D3" w:rsidRDefault="00734C7A" w:rsidP="00891CD3">
            <w:pPr>
              <w:spacing w:after="0" w:line="240" w:lineRule="auto"/>
              <w:jc w:val="center"/>
              <w:rPr>
                <w:rFonts w:eastAsia="Times New Roman" w:cstheme="minorHAnsi"/>
                <w:szCs w:val="18"/>
                <w:lang w:eastAsia="hr-HR"/>
              </w:rPr>
            </w:pPr>
            <w:r w:rsidRPr="009B61D3">
              <w:rPr>
                <w:rFonts w:eastAsia="Times New Roman" w:cstheme="minorHAnsi"/>
                <w:szCs w:val="18"/>
                <w:lang w:eastAsia="hr-HR"/>
              </w:rPr>
              <w:t>Ukupno korisnika</w:t>
            </w:r>
          </w:p>
        </w:tc>
      </w:tr>
      <w:tr w:rsidR="00072AF5" w:rsidRPr="009B61D3" w14:paraId="702534FA" w14:textId="77777777" w:rsidTr="0079779D">
        <w:trPr>
          <w:trHeight w:val="283"/>
        </w:trPr>
        <w:tc>
          <w:tcPr>
            <w:tcW w:w="2774" w:type="pct"/>
            <w:tcBorders>
              <w:top w:val="single" w:sz="8" w:space="0" w:color="FFFFFF" w:themeColor="background1"/>
              <w:left w:val="single" w:sz="4" w:space="0" w:color="9D1A1F" w:themeColor="accent4"/>
            </w:tcBorders>
            <w:shd w:val="clear" w:color="auto" w:fill="auto"/>
            <w:noWrap/>
            <w:vAlign w:val="bottom"/>
            <w:hideMark/>
          </w:tcPr>
          <w:p w14:paraId="192B5B4A" w14:textId="59558A56" w:rsidR="00734C7A" w:rsidRPr="009B61D3" w:rsidRDefault="00734C7A" w:rsidP="007618B8">
            <w:pPr>
              <w:spacing w:after="0" w:line="240" w:lineRule="auto"/>
              <w:rPr>
                <w:rFonts w:eastAsia="Times New Roman" w:cstheme="minorHAnsi"/>
                <w:color w:val="000000"/>
                <w:szCs w:val="18"/>
                <w:lang w:eastAsia="hr-HR"/>
              </w:rPr>
            </w:pPr>
            <w:r w:rsidRPr="009B61D3">
              <w:rPr>
                <w:rFonts w:eastAsia="Times New Roman" w:cstheme="minorHAnsi"/>
                <w:color w:val="000000"/>
                <w:szCs w:val="18"/>
                <w:lang w:eastAsia="hr-HR"/>
              </w:rPr>
              <w:t>Domovi</w:t>
            </w:r>
            <w:r w:rsidR="00A423E9">
              <w:rPr>
                <w:rFonts w:eastAsia="Times New Roman" w:cstheme="minorHAnsi"/>
                <w:color w:val="000000"/>
                <w:szCs w:val="18"/>
                <w:lang w:eastAsia="hr-HR"/>
              </w:rPr>
              <w:t xml:space="preserve"> (centri za pružanje usluga u zajednici)</w:t>
            </w:r>
            <w:r w:rsidRPr="009B61D3">
              <w:rPr>
                <w:rFonts w:eastAsia="Times New Roman" w:cstheme="minorHAnsi"/>
                <w:color w:val="000000"/>
                <w:szCs w:val="18"/>
                <w:lang w:eastAsia="hr-HR"/>
              </w:rPr>
              <w:t xml:space="preserve"> za djecu i mlađe punoljetne osobe bez roditelja ili bez odgovarajuće roditeljske skrbi</w:t>
            </w:r>
          </w:p>
        </w:tc>
        <w:tc>
          <w:tcPr>
            <w:tcW w:w="509" w:type="pct"/>
            <w:tcBorders>
              <w:top w:val="single" w:sz="8" w:space="0" w:color="FFFFFF" w:themeColor="background1"/>
            </w:tcBorders>
            <w:shd w:val="clear" w:color="auto" w:fill="FFFFFF" w:themeFill="background1"/>
            <w:noWrap/>
            <w:vAlign w:val="center"/>
          </w:tcPr>
          <w:p w14:paraId="2F59E220"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95" w:type="pct"/>
            <w:tcBorders>
              <w:top w:val="single" w:sz="8" w:space="0" w:color="FFFFFF" w:themeColor="background1"/>
              <w:right w:val="single" w:sz="4" w:space="0" w:color="9D1A1F" w:themeColor="accent4"/>
            </w:tcBorders>
            <w:shd w:val="clear" w:color="auto" w:fill="FFFFFF" w:themeFill="background1"/>
            <w:noWrap/>
            <w:vAlign w:val="center"/>
          </w:tcPr>
          <w:p w14:paraId="2644C0F7"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32" w:type="pct"/>
            <w:tcBorders>
              <w:top w:val="single" w:sz="8" w:space="0" w:color="FFFFFF" w:themeColor="background1"/>
              <w:left w:val="single" w:sz="4" w:space="0" w:color="9D1A1F" w:themeColor="accent4"/>
            </w:tcBorders>
            <w:shd w:val="clear" w:color="auto" w:fill="auto"/>
            <w:noWrap/>
            <w:vAlign w:val="center"/>
            <w:hideMark/>
          </w:tcPr>
          <w:p w14:paraId="36AB8751"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3</w:t>
            </w:r>
          </w:p>
        </w:tc>
        <w:tc>
          <w:tcPr>
            <w:tcW w:w="590" w:type="pct"/>
            <w:tcBorders>
              <w:top w:val="single" w:sz="8" w:space="0" w:color="FFFFFF" w:themeColor="background1"/>
              <w:right w:val="single" w:sz="4" w:space="0" w:color="9D1A1F" w:themeColor="accent4"/>
            </w:tcBorders>
            <w:shd w:val="clear" w:color="auto" w:fill="auto"/>
            <w:noWrap/>
            <w:vAlign w:val="center"/>
            <w:hideMark/>
          </w:tcPr>
          <w:p w14:paraId="6D73021E" w14:textId="140D0D1F" w:rsidR="00734C7A" w:rsidRPr="009B61D3" w:rsidRDefault="00734C7A" w:rsidP="00702C5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w:t>
            </w:r>
            <w:r w:rsidR="00F87563">
              <w:rPr>
                <w:rFonts w:eastAsia="Times New Roman" w:cstheme="minorHAnsi"/>
                <w:color w:val="000000"/>
                <w:szCs w:val="18"/>
                <w:lang w:eastAsia="hr-HR"/>
              </w:rPr>
              <w:t>05</w:t>
            </w:r>
          </w:p>
        </w:tc>
      </w:tr>
      <w:tr w:rsidR="00072AF5" w:rsidRPr="009B61D3" w14:paraId="55884AA8" w14:textId="77777777" w:rsidTr="0079779D">
        <w:trPr>
          <w:trHeight w:val="283"/>
        </w:trPr>
        <w:tc>
          <w:tcPr>
            <w:tcW w:w="2774" w:type="pct"/>
            <w:tcBorders>
              <w:left w:val="single" w:sz="4" w:space="0" w:color="9D1A1F" w:themeColor="accent4"/>
            </w:tcBorders>
            <w:shd w:val="clear" w:color="auto" w:fill="auto"/>
            <w:noWrap/>
            <w:vAlign w:val="bottom"/>
            <w:hideMark/>
          </w:tcPr>
          <w:p w14:paraId="5E6E533B" w14:textId="77777777" w:rsidR="00734C7A" w:rsidRPr="009B61D3" w:rsidRDefault="00734C7A" w:rsidP="007618B8">
            <w:pPr>
              <w:spacing w:after="0" w:line="240" w:lineRule="auto"/>
              <w:rPr>
                <w:rFonts w:eastAsia="Times New Roman" w:cstheme="minorHAnsi"/>
                <w:color w:val="000000"/>
                <w:szCs w:val="18"/>
                <w:lang w:eastAsia="hr-HR"/>
              </w:rPr>
            </w:pPr>
            <w:r w:rsidRPr="009B61D3">
              <w:rPr>
                <w:rFonts w:eastAsia="Times New Roman" w:cstheme="minorHAnsi"/>
                <w:color w:val="000000"/>
                <w:szCs w:val="18"/>
                <w:lang w:eastAsia="hr-HR"/>
              </w:rPr>
              <w:t>Domovi za djecu s teškoćama u razvoju i odrasle osobe s tjelesnim, intelektualnim i osjetilnim oštećenjima</w:t>
            </w:r>
          </w:p>
        </w:tc>
        <w:tc>
          <w:tcPr>
            <w:tcW w:w="509" w:type="pct"/>
            <w:shd w:val="clear" w:color="auto" w:fill="FFFFFF" w:themeFill="background1"/>
            <w:noWrap/>
            <w:vAlign w:val="center"/>
          </w:tcPr>
          <w:p w14:paraId="497BD460"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95" w:type="pct"/>
            <w:tcBorders>
              <w:right w:val="single" w:sz="4" w:space="0" w:color="9D1A1F" w:themeColor="accent4"/>
            </w:tcBorders>
            <w:shd w:val="clear" w:color="auto" w:fill="FFFFFF" w:themeFill="background1"/>
            <w:noWrap/>
            <w:vAlign w:val="center"/>
          </w:tcPr>
          <w:p w14:paraId="2E8F4DD4"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32" w:type="pct"/>
            <w:tcBorders>
              <w:left w:val="single" w:sz="4" w:space="0" w:color="9D1A1F" w:themeColor="accent4"/>
            </w:tcBorders>
            <w:shd w:val="clear" w:color="auto" w:fill="auto"/>
            <w:noWrap/>
            <w:vAlign w:val="center"/>
            <w:hideMark/>
          </w:tcPr>
          <w:p w14:paraId="4AA98785" w14:textId="19389BFF"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w:t>
            </w:r>
            <w:r w:rsidR="00F87563">
              <w:rPr>
                <w:rFonts w:eastAsia="Times New Roman" w:cstheme="minorHAnsi"/>
                <w:color w:val="000000"/>
                <w:szCs w:val="18"/>
                <w:lang w:eastAsia="hr-HR"/>
              </w:rPr>
              <w:t>2</w:t>
            </w:r>
          </w:p>
        </w:tc>
        <w:tc>
          <w:tcPr>
            <w:tcW w:w="590" w:type="pct"/>
            <w:tcBorders>
              <w:right w:val="single" w:sz="4" w:space="0" w:color="9D1A1F" w:themeColor="accent4"/>
            </w:tcBorders>
            <w:shd w:val="clear" w:color="auto" w:fill="auto"/>
            <w:noWrap/>
            <w:vAlign w:val="center"/>
            <w:hideMark/>
          </w:tcPr>
          <w:p w14:paraId="64C0DA6C" w14:textId="15866960" w:rsidR="00734C7A" w:rsidRPr="009B61D3" w:rsidRDefault="00734C7A" w:rsidP="00702C5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w:t>
            </w:r>
            <w:r w:rsidR="00F87563">
              <w:rPr>
                <w:rFonts w:eastAsia="Times New Roman" w:cstheme="minorHAnsi"/>
                <w:color w:val="000000"/>
                <w:szCs w:val="18"/>
                <w:lang w:eastAsia="hr-HR"/>
              </w:rPr>
              <w:t>851</w:t>
            </w:r>
          </w:p>
        </w:tc>
      </w:tr>
      <w:tr w:rsidR="00072AF5" w:rsidRPr="009B61D3" w14:paraId="0BDB5D3B" w14:textId="77777777" w:rsidTr="0079779D">
        <w:trPr>
          <w:trHeight w:val="283"/>
        </w:trPr>
        <w:tc>
          <w:tcPr>
            <w:tcW w:w="2774" w:type="pct"/>
            <w:tcBorders>
              <w:left w:val="single" w:sz="4" w:space="0" w:color="9D1A1F" w:themeColor="accent4"/>
            </w:tcBorders>
            <w:shd w:val="clear" w:color="auto" w:fill="auto"/>
            <w:noWrap/>
            <w:vAlign w:val="bottom"/>
            <w:hideMark/>
          </w:tcPr>
          <w:p w14:paraId="68A4FEAC" w14:textId="41A8FD5A" w:rsidR="00734C7A" w:rsidRPr="009B61D3" w:rsidRDefault="00734C7A" w:rsidP="007618B8">
            <w:pPr>
              <w:spacing w:after="0" w:line="240" w:lineRule="auto"/>
              <w:rPr>
                <w:rFonts w:eastAsia="Times New Roman" w:cstheme="minorHAnsi"/>
                <w:color w:val="000000"/>
                <w:szCs w:val="18"/>
                <w:lang w:eastAsia="hr-HR"/>
              </w:rPr>
            </w:pPr>
            <w:r w:rsidRPr="009B61D3">
              <w:rPr>
                <w:rFonts w:eastAsia="Times New Roman" w:cstheme="minorHAnsi"/>
                <w:color w:val="000000"/>
                <w:szCs w:val="18"/>
                <w:lang w:eastAsia="hr-HR"/>
              </w:rPr>
              <w:t xml:space="preserve">Decentralizirani domovi za starije osobe </w:t>
            </w:r>
          </w:p>
        </w:tc>
        <w:tc>
          <w:tcPr>
            <w:tcW w:w="509" w:type="pct"/>
            <w:shd w:val="clear" w:color="auto" w:fill="FFFFFF" w:themeFill="background1"/>
            <w:noWrap/>
            <w:vAlign w:val="center"/>
          </w:tcPr>
          <w:p w14:paraId="1CCAFF0D"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95" w:type="pct"/>
            <w:tcBorders>
              <w:right w:val="single" w:sz="4" w:space="0" w:color="9D1A1F" w:themeColor="accent4"/>
            </w:tcBorders>
            <w:shd w:val="clear" w:color="auto" w:fill="FFFFFF" w:themeFill="background1"/>
            <w:noWrap/>
            <w:vAlign w:val="center"/>
          </w:tcPr>
          <w:p w14:paraId="32A76526"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32" w:type="pct"/>
            <w:tcBorders>
              <w:left w:val="single" w:sz="4" w:space="0" w:color="9D1A1F" w:themeColor="accent4"/>
            </w:tcBorders>
            <w:shd w:val="clear" w:color="auto" w:fill="auto"/>
            <w:noWrap/>
            <w:vAlign w:val="center"/>
            <w:hideMark/>
          </w:tcPr>
          <w:p w14:paraId="5AE02AF6"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45</w:t>
            </w:r>
          </w:p>
        </w:tc>
        <w:tc>
          <w:tcPr>
            <w:tcW w:w="590" w:type="pct"/>
            <w:tcBorders>
              <w:right w:val="single" w:sz="4" w:space="0" w:color="9D1A1F" w:themeColor="accent4"/>
            </w:tcBorders>
            <w:shd w:val="clear" w:color="auto" w:fill="auto"/>
            <w:noWrap/>
            <w:vAlign w:val="center"/>
            <w:hideMark/>
          </w:tcPr>
          <w:p w14:paraId="64DCF622" w14:textId="5E2E9912" w:rsidR="00734C7A" w:rsidRPr="009B61D3" w:rsidRDefault="00734C7A" w:rsidP="00A255D2">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10.</w:t>
            </w:r>
            <w:r w:rsidR="0035074C">
              <w:rPr>
                <w:rFonts w:eastAsia="Times New Roman" w:cstheme="minorHAnsi"/>
                <w:color w:val="000000"/>
                <w:szCs w:val="18"/>
                <w:lang w:eastAsia="hr-HR"/>
              </w:rPr>
              <w:t>947</w:t>
            </w:r>
          </w:p>
        </w:tc>
      </w:tr>
      <w:tr w:rsidR="00072AF5" w:rsidRPr="009B61D3" w14:paraId="6641981B" w14:textId="77777777" w:rsidTr="0079779D">
        <w:trPr>
          <w:trHeight w:val="283"/>
        </w:trPr>
        <w:tc>
          <w:tcPr>
            <w:tcW w:w="2774" w:type="pct"/>
            <w:tcBorders>
              <w:left w:val="single" w:sz="4" w:space="0" w:color="9D1A1F" w:themeColor="accent4"/>
            </w:tcBorders>
            <w:shd w:val="clear" w:color="auto" w:fill="auto"/>
            <w:noWrap/>
            <w:vAlign w:val="bottom"/>
            <w:hideMark/>
          </w:tcPr>
          <w:p w14:paraId="799462F7" w14:textId="0B0C460F" w:rsidR="00734C7A" w:rsidRPr="009B61D3" w:rsidRDefault="00734C7A" w:rsidP="007618B8">
            <w:pPr>
              <w:spacing w:after="0" w:line="240" w:lineRule="auto"/>
              <w:rPr>
                <w:rFonts w:eastAsia="Times New Roman" w:cstheme="minorHAnsi"/>
                <w:color w:val="000000"/>
                <w:szCs w:val="18"/>
                <w:lang w:eastAsia="hr-HR"/>
              </w:rPr>
            </w:pPr>
            <w:r w:rsidRPr="009B61D3">
              <w:rPr>
                <w:rFonts w:eastAsia="Times New Roman" w:cstheme="minorHAnsi"/>
                <w:color w:val="000000"/>
                <w:szCs w:val="18"/>
                <w:lang w:eastAsia="hr-HR"/>
              </w:rPr>
              <w:t xml:space="preserve">Drugi domovi za starije osobe </w:t>
            </w:r>
          </w:p>
        </w:tc>
        <w:tc>
          <w:tcPr>
            <w:tcW w:w="509" w:type="pct"/>
            <w:shd w:val="clear" w:color="auto" w:fill="auto"/>
            <w:noWrap/>
            <w:vAlign w:val="center"/>
          </w:tcPr>
          <w:p w14:paraId="4CA5A952" w14:textId="27018447" w:rsidR="00734C7A" w:rsidRPr="009B61D3" w:rsidRDefault="006360F2"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w:t>
            </w:r>
          </w:p>
        </w:tc>
        <w:tc>
          <w:tcPr>
            <w:tcW w:w="595" w:type="pct"/>
            <w:tcBorders>
              <w:right w:val="single" w:sz="4" w:space="0" w:color="9D1A1F" w:themeColor="accent4"/>
            </w:tcBorders>
            <w:shd w:val="clear" w:color="auto" w:fill="FFFFFF" w:themeFill="background1"/>
            <w:noWrap/>
            <w:vAlign w:val="center"/>
          </w:tcPr>
          <w:p w14:paraId="0A5D97EB" w14:textId="13C14DF3" w:rsidR="00734C7A" w:rsidRPr="009B61D3" w:rsidRDefault="006360F2" w:rsidP="183EFEC5">
            <w:pPr>
              <w:spacing w:after="0" w:line="240" w:lineRule="auto"/>
              <w:jc w:val="right"/>
              <w:rPr>
                <w:rFonts w:eastAsia="Times New Roman"/>
                <w:color w:val="000000"/>
                <w:lang w:eastAsia="hr-HR"/>
              </w:rPr>
            </w:pPr>
            <w:r>
              <w:rPr>
                <w:rFonts w:eastAsia="Times New Roman"/>
                <w:color w:val="000000"/>
                <w:lang w:eastAsia="hr-HR"/>
              </w:rPr>
              <w:t>329</w:t>
            </w:r>
          </w:p>
        </w:tc>
        <w:tc>
          <w:tcPr>
            <w:tcW w:w="532" w:type="pct"/>
            <w:tcBorders>
              <w:left w:val="single" w:sz="4" w:space="0" w:color="9D1A1F" w:themeColor="accent4"/>
            </w:tcBorders>
            <w:shd w:val="clear" w:color="auto" w:fill="auto"/>
            <w:noWrap/>
            <w:vAlign w:val="center"/>
            <w:hideMark/>
          </w:tcPr>
          <w:p w14:paraId="4399BFC7" w14:textId="656EFCD3" w:rsidR="00734C7A" w:rsidRPr="009B61D3" w:rsidRDefault="0035074C"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106</w:t>
            </w:r>
          </w:p>
        </w:tc>
        <w:tc>
          <w:tcPr>
            <w:tcW w:w="590" w:type="pct"/>
            <w:tcBorders>
              <w:right w:val="single" w:sz="4" w:space="0" w:color="9D1A1F" w:themeColor="accent4"/>
            </w:tcBorders>
            <w:shd w:val="clear" w:color="auto" w:fill="auto"/>
            <w:noWrap/>
            <w:vAlign w:val="center"/>
            <w:hideMark/>
          </w:tcPr>
          <w:p w14:paraId="7C5F11FA" w14:textId="62BF716B" w:rsidR="00734C7A" w:rsidRPr="009B61D3" w:rsidRDefault="0035074C" w:rsidP="002410A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6.458</w:t>
            </w:r>
          </w:p>
        </w:tc>
      </w:tr>
      <w:tr w:rsidR="00072AF5" w:rsidRPr="009B61D3" w14:paraId="115434C2" w14:textId="77777777" w:rsidTr="0079779D">
        <w:trPr>
          <w:trHeight w:val="283"/>
        </w:trPr>
        <w:tc>
          <w:tcPr>
            <w:tcW w:w="2774" w:type="pct"/>
            <w:tcBorders>
              <w:left w:val="single" w:sz="4" w:space="0" w:color="9D1A1F" w:themeColor="accent4"/>
            </w:tcBorders>
            <w:shd w:val="clear" w:color="auto" w:fill="auto"/>
            <w:noWrap/>
            <w:vAlign w:val="bottom"/>
            <w:hideMark/>
          </w:tcPr>
          <w:p w14:paraId="7D754069" w14:textId="77777777" w:rsidR="00734C7A" w:rsidRPr="009B61D3" w:rsidRDefault="00734C7A" w:rsidP="007618B8">
            <w:pPr>
              <w:spacing w:after="0" w:line="240" w:lineRule="auto"/>
              <w:rPr>
                <w:rFonts w:eastAsia="Times New Roman" w:cstheme="minorHAnsi"/>
                <w:color w:val="000000"/>
                <w:szCs w:val="18"/>
                <w:lang w:eastAsia="hr-HR"/>
              </w:rPr>
            </w:pPr>
            <w:r w:rsidRPr="009B61D3">
              <w:rPr>
                <w:rFonts w:eastAsia="Times New Roman" w:cstheme="minorHAnsi"/>
                <w:color w:val="000000"/>
                <w:szCs w:val="18"/>
                <w:lang w:eastAsia="hr-HR"/>
              </w:rPr>
              <w:t>Domovi za odrasle osobe s mentalnim oštećenjem (psihički bolesne odrasle osobe)</w:t>
            </w:r>
          </w:p>
        </w:tc>
        <w:tc>
          <w:tcPr>
            <w:tcW w:w="509" w:type="pct"/>
            <w:shd w:val="clear" w:color="auto" w:fill="FFFFFF" w:themeFill="background1"/>
            <w:noWrap/>
            <w:vAlign w:val="center"/>
          </w:tcPr>
          <w:p w14:paraId="1634FEF9"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95" w:type="pct"/>
            <w:tcBorders>
              <w:right w:val="single" w:sz="4" w:space="0" w:color="9D1A1F" w:themeColor="accent4"/>
            </w:tcBorders>
            <w:shd w:val="clear" w:color="auto" w:fill="FFFFFF" w:themeFill="background1"/>
            <w:noWrap/>
            <w:vAlign w:val="center"/>
          </w:tcPr>
          <w:p w14:paraId="0A264FA2"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32" w:type="pct"/>
            <w:tcBorders>
              <w:left w:val="single" w:sz="4" w:space="0" w:color="9D1A1F" w:themeColor="accent4"/>
            </w:tcBorders>
            <w:shd w:val="clear" w:color="auto" w:fill="auto"/>
            <w:noWrap/>
            <w:vAlign w:val="center"/>
            <w:hideMark/>
          </w:tcPr>
          <w:p w14:paraId="7AC99DAA"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10</w:t>
            </w:r>
          </w:p>
        </w:tc>
        <w:tc>
          <w:tcPr>
            <w:tcW w:w="590" w:type="pct"/>
            <w:tcBorders>
              <w:right w:val="single" w:sz="4" w:space="0" w:color="9D1A1F" w:themeColor="accent4"/>
            </w:tcBorders>
            <w:shd w:val="clear" w:color="auto" w:fill="auto"/>
            <w:noWrap/>
            <w:vAlign w:val="center"/>
            <w:hideMark/>
          </w:tcPr>
          <w:p w14:paraId="23B27C38" w14:textId="78A49BC6" w:rsidR="00734C7A" w:rsidRPr="009B61D3" w:rsidRDefault="003F50C8"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1,049</w:t>
            </w:r>
          </w:p>
        </w:tc>
      </w:tr>
      <w:tr w:rsidR="00072AF5" w:rsidRPr="009B61D3" w14:paraId="5690CAA9" w14:textId="77777777" w:rsidTr="0079779D">
        <w:trPr>
          <w:trHeight w:val="283"/>
        </w:trPr>
        <w:tc>
          <w:tcPr>
            <w:tcW w:w="2774" w:type="pct"/>
            <w:tcBorders>
              <w:left w:val="single" w:sz="4" w:space="0" w:color="9D1A1F" w:themeColor="accent4"/>
              <w:bottom w:val="single" w:sz="8" w:space="0" w:color="F3CFC1"/>
            </w:tcBorders>
            <w:shd w:val="clear" w:color="auto" w:fill="auto"/>
            <w:noWrap/>
            <w:vAlign w:val="bottom"/>
            <w:hideMark/>
          </w:tcPr>
          <w:p w14:paraId="6678A3BB" w14:textId="77777777" w:rsidR="00734C7A" w:rsidRPr="009B61D3" w:rsidRDefault="00734C7A" w:rsidP="007618B8">
            <w:pPr>
              <w:spacing w:after="0" w:line="240" w:lineRule="auto"/>
              <w:rPr>
                <w:rFonts w:eastAsia="Times New Roman" w:cstheme="minorHAnsi"/>
                <w:color w:val="000000"/>
                <w:szCs w:val="18"/>
                <w:lang w:eastAsia="hr-HR"/>
              </w:rPr>
            </w:pPr>
            <w:r w:rsidRPr="009B61D3">
              <w:rPr>
                <w:rFonts w:eastAsia="Times New Roman" w:cstheme="minorHAnsi"/>
                <w:color w:val="000000"/>
                <w:szCs w:val="18"/>
                <w:lang w:eastAsia="hr-HR"/>
              </w:rPr>
              <w:t>Domovi za osobe ovisne o alkoholu, drogama, kockanju i drugim oblicima ovisnosti</w:t>
            </w:r>
          </w:p>
        </w:tc>
        <w:tc>
          <w:tcPr>
            <w:tcW w:w="509" w:type="pct"/>
            <w:tcBorders>
              <w:bottom w:val="single" w:sz="8" w:space="0" w:color="F3CFC1"/>
            </w:tcBorders>
            <w:shd w:val="clear" w:color="auto" w:fill="FFFFFF" w:themeFill="background1"/>
            <w:noWrap/>
            <w:vAlign w:val="center"/>
          </w:tcPr>
          <w:p w14:paraId="3D2E320C"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95" w:type="pct"/>
            <w:tcBorders>
              <w:bottom w:val="single" w:sz="8" w:space="0" w:color="F3CFC1"/>
              <w:right w:val="single" w:sz="4" w:space="0" w:color="9D1A1F" w:themeColor="accent4"/>
            </w:tcBorders>
            <w:shd w:val="clear" w:color="auto" w:fill="FFFFFF" w:themeFill="background1"/>
            <w:noWrap/>
            <w:vAlign w:val="center"/>
          </w:tcPr>
          <w:p w14:paraId="3042CC87"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32" w:type="pct"/>
            <w:tcBorders>
              <w:left w:val="single" w:sz="4" w:space="0" w:color="9D1A1F" w:themeColor="accent4"/>
              <w:bottom w:val="single" w:sz="8" w:space="0" w:color="F3CFC1"/>
            </w:tcBorders>
            <w:shd w:val="clear" w:color="auto" w:fill="auto"/>
            <w:noWrap/>
            <w:vAlign w:val="center"/>
            <w:hideMark/>
          </w:tcPr>
          <w:p w14:paraId="0DAD2C8A"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w:t>
            </w:r>
          </w:p>
        </w:tc>
        <w:tc>
          <w:tcPr>
            <w:tcW w:w="590" w:type="pct"/>
            <w:tcBorders>
              <w:bottom w:val="single" w:sz="8" w:space="0" w:color="F3CFC1"/>
              <w:right w:val="single" w:sz="4" w:space="0" w:color="9D1A1F" w:themeColor="accent4"/>
            </w:tcBorders>
            <w:shd w:val="clear" w:color="auto" w:fill="auto"/>
            <w:noWrap/>
            <w:vAlign w:val="center"/>
            <w:hideMark/>
          </w:tcPr>
          <w:p w14:paraId="47926746" w14:textId="3775A544" w:rsidR="00734C7A" w:rsidRPr="009B61D3" w:rsidRDefault="003F50C8"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60</w:t>
            </w:r>
          </w:p>
        </w:tc>
      </w:tr>
      <w:tr w:rsidR="00072AF5" w:rsidRPr="009B61D3" w14:paraId="00BE0228" w14:textId="77777777" w:rsidTr="0079779D">
        <w:trPr>
          <w:trHeight w:val="283"/>
        </w:trPr>
        <w:tc>
          <w:tcPr>
            <w:tcW w:w="2774" w:type="pct"/>
            <w:tcBorders>
              <w:top w:val="single" w:sz="8" w:space="0" w:color="F3CFC1"/>
              <w:left w:val="single" w:sz="4" w:space="0" w:color="9D1A1F" w:themeColor="accent4"/>
              <w:bottom w:val="single" w:sz="4" w:space="0" w:color="9D1A1F" w:themeColor="accent4"/>
            </w:tcBorders>
            <w:shd w:val="clear" w:color="auto" w:fill="auto"/>
            <w:noWrap/>
            <w:vAlign w:val="bottom"/>
            <w:hideMark/>
          </w:tcPr>
          <w:p w14:paraId="0BBB9442" w14:textId="27D6117A" w:rsidR="00734C7A" w:rsidRPr="009B61D3" w:rsidRDefault="00734C7A" w:rsidP="007618B8">
            <w:pPr>
              <w:spacing w:after="0" w:line="240" w:lineRule="auto"/>
              <w:rPr>
                <w:rFonts w:eastAsia="Times New Roman" w:cstheme="minorHAnsi"/>
                <w:color w:val="000000"/>
                <w:szCs w:val="18"/>
                <w:lang w:eastAsia="hr-HR"/>
              </w:rPr>
            </w:pPr>
            <w:r w:rsidRPr="009B61D3">
              <w:rPr>
                <w:rFonts w:eastAsia="Times New Roman" w:cstheme="minorHAnsi"/>
                <w:color w:val="000000"/>
                <w:szCs w:val="18"/>
                <w:lang w:eastAsia="hr-HR"/>
              </w:rPr>
              <w:lastRenderedPageBreak/>
              <w:t xml:space="preserve">Domovi </w:t>
            </w:r>
            <w:r w:rsidR="00A423E9">
              <w:rPr>
                <w:rFonts w:eastAsia="Times New Roman" w:cstheme="minorHAnsi"/>
                <w:color w:val="000000"/>
                <w:szCs w:val="18"/>
                <w:lang w:eastAsia="hr-HR"/>
              </w:rPr>
              <w:t xml:space="preserve">socijalne skrbi </w:t>
            </w:r>
            <w:r w:rsidRPr="009B61D3">
              <w:rPr>
                <w:rFonts w:eastAsia="Times New Roman" w:cstheme="minorHAnsi"/>
                <w:color w:val="000000"/>
                <w:szCs w:val="18"/>
                <w:lang w:eastAsia="hr-HR"/>
              </w:rPr>
              <w:t>za žrtve nasilja u obitelji</w:t>
            </w:r>
          </w:p>
        </w:tc>
        <w:tc>
          <w:tcPr>
            <w:tcW w:w="509" w:type="pct"/>
            <w:tcBorders>
              <w:top w:val="single" w:sz="8" w:space="0" w:color="F3CFC1"/>
              <w:bottom w:val="single" w:sz="4" w:space="0" w:color="9D1A1F" w:themeColor="accent4"/>
            </w:tcBorders>
            <w:shd w:val="clear" w:color="auto" w:fill="FFFFFF" w:themeFill="background1"/>
            <w:noWrap/>
            <w:vAlign w:val="center"/>
          </w:tcPr>
          <w:p w14:paraId="363359CE" w14:textId="375E3789" w:rsidR="00734C7A" w:rsidRPr="009B61D3" w:rsidRDefault="00706754" w:rsidP="003B2196">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w:t>
            </w:r>
            <w:r w:rsidR="00360E53">
              <w:rPr>
                <w:rStyle w:val="Referencafusnote"/>
                <w:rFonts w:eastAsia="Times New Roman" w:cstheme="minorHAnsi"/>
                <w:color w:val="000000"/>
                <w:szCs w:val="18"/>
                <w:lang w:eastAsia="hr-HR"/>
              </w:rPr>
              <w:footnoteReference w:id="33"/>
            </w:r>
          </w:p>
        </w:tc>
        <w:tc>
          <w:tcPr>
            <w:tcW w:w="595" w:type="pct"/>
            <w:tcBorders>
              <w:top w:val="single" w:sz="8" w:space="0" w:color="F3CFC1"/>
              <w:bottom w:val="single" w:sz="4" w:space="0" w:color="9D1A1F" w:themeColor="accent4"/>
              <w:right w:val="single" w:sz="4" w:space="0" w:color="9D1A1F" w:themeColor="accent4"/>
            </w:tcBorders>
            <w:shd w:val="clear" w:color="auto" w:fill="FFFFFF" w:themeFill="background1"/>
            <w:noWrap/>
            <w:vAlign w:val="center"/>
          </w:tcPr>
          <w:p w14:paraId="6B0905A8"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0</w:t>
            </w:r>
          </w:p>
        </w:tc>
        <w:tc>
          <w:tcPr>
            <w:tcW w:w="532" w:type="pct"/>
            <w:tcBorders>
              <w:top w:val="single" w:sz="8" w:space="0" w:color="F3CFC1"/>
              <w:left w:val="single" w:sz="4" w:space="0" w:color="9D1A1F" w:themeColor="accent4"/>
              <w:bottom w:val="single" w:sz="4" w:space="0" w:color="9D1A1F" w:themeColor="accent4"/>
            </w:tcBorders>
            <w:shd w:val="clear" w:color="auto" w:fill="auto"/>
            <w:noWrap/>
            <w:vAlign w:val="center"/>
            <w:hideMark/>
          </w:tcPr>
          <w:p w14:paraId="542AE55B" w14:textId="77777777" w:rsidR="00734C7A" w:rsidRPr="009B61D3" w:rsidRDefault="00734C7A" w:rsidP="003B2196">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w:t>
            </w:r>
          </w:p>
        </w:tc>
        <w:tc>
          <w:tcPr>
            <w:tcW w:w="590" w:type="pct"/>
            <w:tcBorders>
              <w:top w:val="single" w:sz="8" w:space="0" w:color="F3CFC1"/>
              <w:bottom w:val="single" w:sz="4" w:space="0" w:color="9D1A1F" w:themeColor="accent4"/>
              <w:right w:val="single" w:sz="4" w:space="0" w:color="9D1A1F" w:themeColor="accent4"/>
            </w:tcBorders>
            <w:shd w:val="clear" w:color="auto" w:fill="auto"/>
            <w:noWrap/>
            <w:vAlign w:val="center"/>
            <w:hideMark/>
          </w:tcPr>
          <w:p w14:paraId="0CADC07C" w14:textId="1D640A47" w:rsidR="00734C7A" w:rsidRPr="009B61D3" w:rsidRDefault="003F50C8" w:rsidP="00D2488B">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62</w:t>
            </w:r>
          </w:p>
        </w:tc>
      </w:tr>
    </w:tbl>
    <w:p w14:paraId="13ED0362" w14:textId="4062A613" w:rsidR="008878A0" w:rsidRPr="006525B8" w:rsidRDefault="008878A0" w:rsidP="006525B8">
      <w:pPr>
        <w:autoSpaceDE w:val="0"/>
        <w:autoSpaceDN w:val="0"/>
        <w:adjustRightInd w:val="0"/>
        <w:spacing w:after="0" w:line="240" w:lineRule="auto"/>
        <w:rPr>
          <w:rFonts w:eastAsia="ArialNarrow" w:cstheme="minorHAnsi"/>
          <w:i/>
          <w:color w:val="ABABAB" w:themeColor="text1" w:themeTint="A6"/>
          <w:sz w:val="16"/>
          <w:szCs w:val="16"/>
        </w:rPr>
      </w:pPr>
      <w:r w:rsidRPr="006525B8">
        <w:rPr>
          <w:rFonts w:eastAsia="ArialNarrow" w:cstheme="minorHAnsi"/>
          <w:i/>
          <w:color w:val="ABABAB" w:themeColor="text1" w:themeTint="A6"/>
          <w:sz w:val="16"/>
          <w:szCs w:val="16"/>
        </w:rPr>
        <w:t xml:space="preserve">Izvor: </w:t>
      </w:r>
      <w:bookmarkStart w:id="76" w:name="_Hlk61270457"/>
      <w:r w:rsidR="00424136" w:rsidRPr="006525B8">
        <w:rPr>
          <w:rFonts w:eastAsia="ArialNarrow" w:cstheme="minorHAnsi"/>
          <w:i/>
          <w:color w:val="ABABAB" w:themeColor="text1" w:themeTint="A6"/>
          <w:sz w:val="16"/>
          <w:szCs w:val="16"/>
        </w:rPr>
        <w:t xml:space="preserve">Ministarstvo rada, mirovinskog sustava, obitelji i socijalne politike, </w:t>
      </w:r>
      <w:r w:rsidR="00535CF7" w:rsidRPr="006525B8">
        <w:rPr>
          <w:rFonts w:eastAsia="ArialNarrow" w:cstheme="minorHAnsi"/>
          <w:i/>
          <w:color w:val="ABABAB" w:themeColor="text1" w:themeTint="A6"/>
          <w:sz w:val="16"/>
          <w:szCs w:val="16"/>
        </w:rPr>
        <w:t>Godišnje statističko izvješće o domovima i korisnicima socijalne skrbi 2019.</w:t>
      </w:r>
      <w:r w:rsidR="00A423E9" w:rsidRPr="006525B8">
        <w:rPr>
          <w:rFonts w:eastAsia="ArialNarrow" w:cstheme="minorHAnsi"/>
          <w:i/>
          <w:color w:val="ABABAB" w:themeColor="text1" w:themeTint="A6"/>
          <w:sz w:val="16"/>
          <w:szCs w:val="16"/>
        </w:rPr>
        <w:t>;</w:t>
      </w:r>
      <w:bookmarkEnd w:id="76"/>
      <w:r w:rsidR="00A423E9" w:rsidRPr="006525B8">
        <w:rPr>
          <w:rFonts w:eastAsia="ArialNarrow" w:cstheme="minorHAnsi"/>
          <w:i/>
          <w:color w:val="ABABAB" w:themeColor="text1" w:themeTint="A6"/>
          <w:sz w:val="16"/>
          <w:szCs w:val="16"/>
        </w:rPr>
        <w:t xml:space="preserve"> Ministarstvo rada, mirovinskog sustava, obitelji i socijalne politike, Godišnje statističko izvješće o primijenjenim pravima socijalne skrbi, pravnoj zaštiti djece, mladeži, braka, obitelji i osoba lišenih poslovne sposobnosti, te zaštiti tjelesno ili mentalno oštećenih osoba u Republici Hrvatskoj u 2019. godini</w:t>
      </w:r>
    </w:p>
    <w:p w14:paraId="19BA8467" w14:textId="77777777" w:rsidR="002A186E" w:rsidRDefault="002A186E" w:rsidP="00855D8D">
      <w:pPr>
        <w:pStyle w:val="Izvor"/>
      </w:pPr>
    </w:p>
    <w:p w14:paraId="526BF608" w14:textId="4B35E2BD" w:rsidR="000F2E58" w:rsidRDefault="005D33E9" w:rsidP="000F2E58">
      <w:pPr>
        <w:spacing w:after="0" w:line="240" w:lineRule="auto"/>
        <w:rPr>
          <w:rFonts w:eastAsia="ArialNarrow"/>
        </w:rPr>
      </w:pPr>
      <w:r>
        <w:rPr>
          <w:rFonts w:eastAsia="ArialNarrow"/>
        </w:rPr>
        <w:t>S ciljem</w:t>
      </w:r>
      <w:r w:rsidR="000F2E58">
        <w:rPr>
          <w:rFonts w:eastAsia="ArialNarrow"/>
        </w:rPr>
        <w:t xml:space="preserve"> osigura</w:t>
      </w:r>
      <w:r>
        <w:rPr>
          <w:rFonts w:eastAsia="ArialNarrow"/>
        </w:rPr>
        <w:t>nja</w:t>
      </w:r>
      <w:r w:rsidR="000F2E58">
        <w:rPr>
          <w:rFonts w:eastAsia="ArialNarrow"/>
        </w:rPr>
        <w:t xml:space="preserve"> institucionaln</w:t>
      </w:r>
      <w:r>
        <w:rPr>
          <w:rFonts w:eastAsia="ArialNarrow"/>
        </w:rPr>
        <w:t>e</w:t>
      </w:r>
      <w:r w:rsidR="000F2E58">
        <w:rPr>
          <w:rFonts w:eastAsia="ArialNarrow"/>
        </w:rPr>
        <w:t xml:space="preserve"> i savjetodavn</w:t>
      </w:r>
      <w:r>
        <w:rPr>
          <w:rFonts w:eastAsia="ArialNarrow"/>
        </w:rPr>
        <w:t>e</w:t>
      </w:r>
      <w:r w:rsidR="000F2E58">
        <w:rPr>
          <w:rFonts w:eastAsia="ArialNarrow"/>
        </w:rPr>
        <w:t xml:space="preserve"> podršk</w:t>
      </w:r>
      <w:r>
        <w:rPr>
          <w:rFonts w:eastAsia="ArialNarrow"/>
        </w:rPr>
        <w:t>e</w:t>
      </w:r>
      <w:r w:rsidR="000F2E58">
        <w:rPr>
          <w:rFonts w:eastAsia="ArialNarrow"/>
        </w:rPr>
        <w:t xml:space="preserve"> žrtvama nasilja i žrtvama nasilja u obitelji na području Krapinsko-zagorske županij</w:t>
      </w:r>
      <w:r w:rsidR="003548F9">
        <w:rPr>
          <w:rFonts w:eastAsia="ArialNarrow"/>
        </w:rPr>
        <w:t>e pripremljen</w:t>
      </w:r>
      <w:r w:rsidR="000F2E58">
        <w:rPr>
          <w:rFonts w:eastAsia="ArialNarrow"/>
        </w:rPr>
        <w:t xml:space="preserve"> je projekt Novi početak. </w:t>
      </w:r>
      <w:r w:rsidR="00D2183A">
        <w:rPr>
          <w:rFonts w:eastAsia="ArialNarrow"/>
        </w:rPr>
        <w:t>O</w:t>
      </w:r>
      <w:r w:rsidR="000F2E58">
        <w:rPr>
          <w:rFonts w:eastAsia="ArialNarrow"/>
        </w:rPr>
        <w:t>sim</w:t>
      </w:r>
      <w:r w:rsidR="000F2E58" w:rsidRPr="000B246F">
        <w:rPr>
          <w:rFonts w:eastAsia="Times New Roman" w:cs="Times New Roman"/>
          <w:color w:val="000000"/>
        </w:rPr>
        <w:t xml:space="preserve"> </w:t>
      </w:r>
      <w:r w:rsidR="000F2E58" w:rsidRPr="00CD708B">
        <w:rPr>
          <w:rFonts w:eastAsia="ArialNarrow"/>
        </w:rPr>
        <w:t>same uspostave skloništa i pružanja sustava podrške, savjetovanja i pomoći za vrijeme korištenje usluga te nakon izlaska iz skrbi, predviđeno je i provođenje edukacije osoba koje rade sa žrtvama nasilja u obitelji uz podizanje svijesti javnosti o pravima žrtava nasilja u obitelji i negativnim utjecajima nasilja kroz objavu promotivnih materijala.</w:t>
      </w:r>
      <w:r w:rsidR="00D2183A">
        <w:rPr>
          <w:rFonts w:eastAsia="ArialNarrow"/>
        </w:rPr>
        <w:t xml:space="preserve"> Nositelj projekta je Krapinsko-zagorska županija, a</w:t>
      </w:r>
      <w:r w:rsidR="000F2E58" w:rsidRPr="00CD708B">
        <w:rPr>
          <w:rFonts w:eastAsia="ArialNarrow"/>
        </w:rPr>
        <w:t xml:space="preserve"> </w:t>
      </w:r>
      <w:r w:rsidR="00D2183A">
        <w:rPr>
          <w:rFonts w:eastAsia="ArialNarrow"/>
        </w:rPr>
        <w:t>p</w:t>
      </w:r>
      <w:r w:rsidR="000F2E58" w:rsidRPr="00CD708B">
        <w:rPr>
          <w:rFonts w:eastAsia="ArialNarrow"/>
        </w:rPr>
        <w:t>artneri na projektu su Dom za žrtve obiteljskog nasilja NOVI POČETAK i CZSS Krapina.</w:t>
      </w:r>
      <w:r w:rsidR="003548F9">
        <w:rPr>
          <w:rFonts w:eastAsia="ArialNarrow"/>
        </w:rPr>
        <w:t xml:space="preserve"> Ministarstvo rada, mirovinskog sustava, obitelji i socijalne politike donijelo je Odluku o financiranju projekta te se u skorije vrijeme očekuje potpisivanje Ugovora o dodjeli bespovratnih sredstava. </w:t>
      </w:r>
    </w:p>
    <w:p w14:paraId="529C54BF" w14:textId="3E0044F4" w:rsidR="000F2E58" w:rsidRDefault="000F2E58" w:rsidP="003C2276">
      <w:pPr>
        <w:pStyle w:val="Izvor"/>
      </w:pPr>
    </w:p>
    <w:p w14:paraId="2B62096E" w14:textId="17D0315C" w:rsidR="00DC1C3A" w:rsidRDefault="00DC1C3A" w:rsidP="003E3F3C">
      <w:pPr>
        <w:pStyle w:val="Opisslike"/>
        <w:rPr>
          <w:noProof/>
        </w:rPr>
      </w:pPr>
      <w:r>
        <w:t xml:space="preserve">Tablica </w:t>
      </w:r>
      <w:r w:rsidR="00D179B2">
        <w:rPr>
          <w:noProof/>
        </w:rPr>
        <w:t>2</w:t>
      </w:r>
      <w:r w:rsidR="009A6A08">
        <w:rPr>
          <w:noProof/>
        </w:rPr>
        <w:t>4</w:t>
      </w:r>
      <w:r>
        <w:rPr>
          <w:noProof/>
        </w:rPr>
        <w:t>. Domovi socijalne skrbi u Krapinsko-Zagorskoj županiji u 2019. godini</w:t>
      </w:r>
    </w:p>
    <w:tbl>
      <w:tblPr>
        <w:tblW w:w="0" w:type="auto"/>
        <w:tblBorders>
          <w:top w:val="single" w:sz="4" w:space="0" w:color="FF0000"/>
          <w:left w:val="single" w:sz="4" w:space="0" w:color="FF0000"/>
          <w:bottom w:val="single" w:sz="4" w:space="0" w:color="FF0000"/>
          <w:right w:val="single" w:sz="4" w:space="0" w:color="FF0000"/>
          <w:insideH w:val="single" w:sz="6" w:space="0" w:color="FF0000"/>
          <w:insideV w:val="single" w:sz="6" w:space="0" w:color="FF0000"/>
        </w:tblBorders>
        <w:tblLook w:val="04A0" w:firstRow="1" w:lastRow="0" w:firstColumn="1" w:lastColumn="0" w:noHBand="0" w:noVBand="1"/>
      </w:tblPr>
      <w:tblGrid>
        <w:gridCol w:w="2039"/>
        <w:gridCol w:w="1761"/>
        <w:gridCol w:w="1569"/>
        <w:gridCol w:w="2124"/>
        <w:gridCol w:w="1797"/>
      </w:tblGrid>
      <w:tr w:rsidR="00DC1C3A" w:rsidRPr="00A55B15" w14:paraId="17BBF160" w14:textId="77777777" w:rsidTr="00DC1C3A">
        <w:trPr>
          <w:trHeight w:val="391"/>
          <w:tblHeader/>
        </w:trPr>
        <w:tc>
          <w:tcPr>
            <w:tcW w:w="0" w:type="auto"/>
            <w:gridSpan w:val="5"/>
            <w:shd w:val="clear" w:color="auto" w:fill="F2F2F2"/>
            <w:noWrap/>
            <w:vAlign w:val="center"/>
            <w:hideMark/>
          </w:tcPr>
          <w:p w14:paraId="641F16D6" w14:textId="77777777" w:rsidR="00DC1C3A" w:rsidRPr="00A55B15" w:rsidRDefault="00DC1C3A" w:rsidP="00A06A64">
            <w:pPr>
              <w:spacing w:after="0" w:line="240" w:lineRule="auto"/>
              <w:jc w:val="center"/>
              <w:rPr>
                <w:rFonts w:eastAsia="Times New Roman" w:cs="Calibri"/>
                <w:color w:val="3F3F3F"/>
                <w:szCs w:val="18"/>
                <w:lang w:eastAsia="hr-HR"/>
              </w:rPr>
            </w:pPr>
            <w:r w:rsidRPr="00A55B15">
              <w:rPr>
                <w:rFonts w:eastAsia="Times New Roman" w:cs="Calibri"/>
                <w:color w:val="3F3F3F"/>
                <w:szCs w:val="18"/>
                <w:lang w:eastAsia="hr-HR"/>
              </w:rPr>
              <w:t>DOMOVI SOCIJALNE SKRBI U KZŽ</w:t>
            </w:r>
            <w:r w:rsidRPr="00A55B15">
              <w:rPr>
                <w:rFonts w:eastAsia="Times New Roman" w:cs="Calibri"/>
                <w:color w:val="3F3F3F"/>
                <w:szCs w:val="18"/>
                <w:vertAlign w:val="superscript"/>
                <w:lang w:eastAsia="hr-HR"/>
              </w:rPr>
              <w:footnoteReference w:id="34"/>
            </w:r>
          </w:p>
        </w:tc>
      </w:tr>
      <w:tr w:rsidR="00DC1C3A" w:rsidRPr="00A55B15" w14:paraId="57ADCE4A" w14:textId="77777777" w:rsidTr="00D425ED">
        <w:trPr>
          <w:trHeight w:val="375"/>
          <w:tblHeader/>
        </w:trPr>
        <w:tc>
          <w:tcPr>
            <w:tcW w:w="2043" w:type="dxa"/>
            <w:shd w:val="clear" w:color="auto" w:fill="D2232A"/>
            <w:noWrap/>
            <w:vAlign w:val="center"/>
            <w:hideMark/>
          </w:tcPr>
          <w:p w14:paraId="2027BD5A" w14:textId="77777777" w:rsidR="00DC1C3A" w:rsidRPr="00A55B15" w:rsidRDefault="00DC1C3A" w:rsidP="00DC1C3A">
            <w:pPr>
              <w:spacing w:after="0" w:line="240" w:lineRule="auto"/>
              <w:jc w:val="center"/>
              <w:rPr>
                <w:rFonts w:eastAsia="Times New Roman" w:cs="Calibri"/>
                <w:color w:val="FFFFFF"/>
                <w:szCs w:val="18"/>
                <w:lang w:eastAsia="hr-HR"/>
              </w:rPr>
            </w:pPr>
            <w:r w:rsidRPr="00A55B15">
              <w:rPr>
                <w:rFonts w:eastAsia="Times New Roman" w:cs="Calibri"/>
                <w:color w:val="FFFFFF"/>
                <w:szCs w:val="18"/>
                <w:lang w:eastAsia="hr-HR"/>
              </w:rPr>
              <w:t>Vrsta/naziv</w:t>
            </w:r>
          </w:p>
        </w:tc>
        <w:tc>
          <w:tcPr>
            <w:tcW w:w="1759" w:type="dxa"/>
            <w:shd w:val="clear" w:color="auto" w:fill="D2232A"/>
            <w:noWrap/>
            <w:vAlign w:val="center"/>
            <w:hideMark/>
          </w:tcPr>
          <w:p w14:paraId="2F97F87E" w14:textId="77777777" w:rsidR="00DC1C3A" w:rsidRPr="00A55B15" w:rsidRDefault="00DC1C3A" w:rsidP="00DC1C3A">
            <w:pPr>
              <w:spacing w:after="0" w:line="240" w:lineRule="auto"/>
              <w:jc w:val="center"/>
              <w:rPr>
                <w:rFonts w:eastAsia="Times New Roman" w:cs="Calibri"/>
                <w:color w:val="FFFFFF"/>
                <w:szCs w:val="18"/>
                <w:lang w:eastAsia="hr-HR"/>
              </w:rPr>
            </w:pPr>
            <w:r w:rsidRPr="00A55B15">
              <w:rPr>
                <w:rFonts w:eastAsia="Times New Roman" w:cs="Calibri"/>
                <w:color w:val="FFFFFF"/>
                <w:szCs w:val="18"/>
                <w:lang w:eastAsia="hr-HR"/>
              </w:rPr>
              <w:t>Grad/općina</w:t>
            </w:r>
          </w:p>
        </w:tc>
        <w:tc>
          <w:tcPr>
            <w:tcW w:w="1562" w:type="dxa"/>
            <w:shd w:val="clear" w:color="auto" w:fill="D2232A"/>
            <w:noWrap/>
            <w:vAlign w:val="center"/>
            <w:hideMark/>
          </w:tcPr>
          <w:p w14:paraId="7424C898" w14:textId="77777777" w:rsidR="00DC1C3A" w:rsidRPr="00A55B15" w:rsidRDefault="00DC1C3A" w:rsidP="00DC1C3A">
            <w:pPr>
              <w:spacing w:after="0" w:line="240" w:lineRule="auto"/>
              <w:jc w:val="center"/>
              <w:rPr>
                <w:rFonts w:eastAsia="Times New Roman" w:cs="Calibri"/>
                <w:color w:val="FFFFFF"/>
                <w:szCs w:val="18"/>
                <w:lang w:eastAsia="hr-HR"/>
              </w:rPr>
            </w:pPr>
            <w:r w:rsidRPr="00A55B15">
              <w:rPr>
                <w:rFonts w:eastAsia="Times New Roman" w:cs="Calibri"/>
                <w:color w:val="FFFFFF"/>
                <w:szCs w:val="18"/>
                <w:lang w:eastAsia="hr-HR"/>
              </w:rPr>
              <w:t>Osnivač</w:t>
            </w:r>
          </w:p>
        </w:tc>
        <w:tc>
          <w:tcPr>
            <w:tcW w:w="3926" w:type="dxa"/>
            <w:gridSpan w:val="2"/>
            <w:shd w:val="clear" w:color="auto" w:fill="D2232A"/>
            <w:noWrap/>
            <w:vAlign w:val="center"/>
            <w:hideMark/>
          </w:tcPr>
          <w:p w14:paraId="423072B8" w14:textId="77777777" w:rsidR="00DC1C3A" w:rsidRPr="00A55B15" w:rsidRDefault="00DC1C3A" w:rsidP="00DC1C3A">
            <w:pPr>
              <w:spacing w:after="0" w:line="240" w:lineRule="auto"/>
              <w:jc w:val="center"/>
              <w:rPr>
                <w:rFonts w:eastAsia="Times New Roman" w:cs="Calibri"/>
                <w:color w:val="FFFFFF"/>
                <w:szCs w:val="18"/>
                <w:lang w:eastAsia="hr-HR"/>
              </w:rPr>
            </w:pPr>
            <w:r w:rsidRPr="00A55B15">
              <w:rPr>
                <w:rFonts w:eastAsia="Times New Roman" w:cs="Calibri"/>
                <w:color w:val="FFFFFF"/>
                <w:szCs w:val="18"/>
                <w:lang w:eastAsia="hr-HR"/>
              </w:rPr>
              <w:t>Kapacitet/broj korisnika</w:t>
            </w:r>
            <w:r w:rsidRPr="00DC1C3A">
              <w:rPr>
                <w:rStyle w:val="Referencafusnote"/>
                <w:rFonts w:eastAsia="Times New Roman" w:cstheme="minorHAnsi"/>
                <w:color w:val="FFFFFF" w:themeColor="background1"/>
                <w:szCs w:val="18"/>
                <w:lang w:eastAsia="hr-HR"/>
              </w:rPr>
              <w:footnoteReference w:id="35"/>
            </w:r>
          </w:p>
        </w:tc>
      </w:tr>
      <w:tr w:rsidR="00DC1C3A" w:rsidRPr="00A55B15" w14:paraId="5D93FB85" w14:textId="77777777" w:rsidTr="00D425ED">
        <w:trPr>
          <w:trHeight w:val="283"/>
        </w:trPr>
        <w:tc>
          <w:tcPr>
            <w:tcW w:w="9290" w:type="dxa"/>
            <w:gridSpan w:val="5"/>
            <w:shd w:val="clear" w:color="auto" w:fill="D2232A"/>
            <w:noWrap/>
            <w:vAlign w:val="center"/>
          </w:tcPr>
          <w:p w14:paraId="41CFD7BB" w14:textId="77777777"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Domovi za odrasle osobe s mentalnim oštećenjem (psihički bolesne odrasle osobe)</w:t>
            </w:r>
          </w:p>
        </w:tc>
      </w:tr>
      <w:tr w:rsidR="00DC1C3A" w:rsidRPr="00A55B15" w14:paraId="6AB4E720" w14:textId="77777777" w:rsidTr="00D425ED">
        <w:trPr>
          <w:trHeight w:val="283"/>
        </w:trPr>
        <w:tc>
          <w:tcPr>
            <w:tcW w:w="2043" w:type="dxa"/>
            <w:vMerge w:val="restart"/>
            <w:shd w:val="clear" w:color="auto" w:fill="D2232A"/>
            <w:noWrap/>
            <w:vAlign w:val="center"/>
            <w:hideMark/>
          </w:tcPr>
          <w:p w14:paraId="11250E50" w14:textId="77777777"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 xml:space="preserve">Dom za odrasle osobe "Lobor-Grad" </w:t>
            </w:r>
          </w:p>
        </w:tc>
        <w:tc>
          <w:tcPr>
            <w:tcW w:w="1759" w:type="dxa"/>
            <w:vMerge w:val="restart"/>
            <w:vAlign w:val="center"/>
            <w:hideMark/>
          </w:tcPr>
          <w:p w14:paraId="55A2C33E"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Općina Lobor</w:t>
            </w:r>
          </w:p>
        </w:tc>
        <w:tc>
          <w:tcPr>
            <w:tcW w:w="1562" w:type="dxa"/>
            <w:vMerge w:val="restart"/>
            <w:vAlign w:val="center"/>
            <w:hideMark/>
          </w:tcPr>
          <w:p w14:paraId="6028F37E"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RH</w:t>
            </w:r>
          </w:p>
        </w:tc>
        <w:tc>
          <w:tcPr>
            <w:tcW w:w="2130" w:type="dxa"/>
            <w:noWrap/>
            <w:vAlign w:val="center"/>
            <w:hideMark/>
          </w:tcPr>
          <w:p w14:paraId="1E121E0A"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noWrap/>
            <w:vAlign w:val="center"/>
            <w:hideMark/>
          </w:tcPr>
          <w:p w14:paraId="38172360" w14:textId="203A22C9" w:rsidR="00DC1C3A" w:rsidRPr="00A55B15" w:rsidRDefault="00DC1C3A"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27</w:t>
            </w:r>
            <w:r w:rsidR="00D425ED">
              <w:rPr>
                <w:rFonts w:eastAsia="Times New Roman" w:cs="Calibri"/>
                <w:color w:val="000000"/>
                <w:szCs w:val="18"/>
                <w:lang w:eastAsia="hr-HR"/>
              </w:rPr>
              <w:t>8</w:t>
            </w:r>
          </w:p>
        </w:tc>
      </w:tr>
      <w:tr w:rsidR="00DC1C3A" w:rsidRPr="00A55B15" w14:paraId="49F86B2B" w14:textId="77777777" w:rsidTr="00D425ED">
        <w:trPr>
          <w:trHeight w:val="283"/>
        </w:trPr>
        <w:tc>
          <w:tcPr>
            <w:tcW w:w="2043" w:type="dxa"/>
            <w:vMerge/>
            <w:shd w:val="clear" w:color="auto" w:fill="D2232A"/>
            <w:vAlign w:val="center"/>
            <w:hideMark/>
          </w:tcPr>
          <w:p w14:paraId="39139AE1" w14:textId="77777777" w:rsidR="00DC1C3A" w:rsidRPr="00A55B15" w:rsidRDefault="00DC1C3A" w:rsidP="00A06A64">
            <w:pPr>
              <w:spacing w:after="0"/>
              <w:rPr>
                <w:rFonts w:eastAsia="Times New Roman" w:cs="Calibri"/>
                <w:color w:val="FFFFFF"/>
                <w:szCs w:val="18"/>
                <w:lang w:eastAsia="hr-HR"/>
              </w:rPr>
            </w:pPr>
          </w:p>
        </w:tc>
        <w:tc>
          <w:tcPr>
            <w:tcW w:w="1759" w:type="dxa"/>
            <w:vMerge/>
            <w:vAlign w:val="center"/>
            <w:hideMark/>
          </w:tcPr>
          <w:p w14:paraId="402984ED" w14:textId="77777777" w:rsidR="00DC1C3A" w:rsidRPr="00A55B15" w:rsidRDefault="00DC1C3A" w:rsidP="00A06A64">
            <w:pPr>
              <w:spacing w:after="0"/>
              <w:rPr>
                <w:rFonts w:eastAsia="Times New Roman" w:cs="Calibri"/>
                <w:color w:val="000000"/>
                <w:szCs w:val="18"/>
                <w:lang w:eastAsia="hr-HR"/>
              </w:rPr>
            </w:pPr>
          </w:p>
        </w:tc>
        <w:tc>
          <w:tcPr>
            <w:tcW w:w="1562" w:type="dxa"/>
            <w:vMerge/>
            <w:vAlign w:val="center"/>
            <w:hideMark/>
          </w:tcPr>
          <w:p w14:paraId="13DD541D" w14:textId="77777777" w:rsidR="00DC1C3A" w:rsidRPr="00A55B15" w:rsidRDefault="00DC1C3A" w:rsidP="00A06A64">
            <w:pPr>
              <w:spacing w:after="0"/>
              <w:rPr>
                <w:rFonts w:eastAsia="Times New Roman" w:cs="Calibri"/>
                <w:color w:val="000000"/>
                <w:szCs w:val="18"/>
                <w:lang w:eastAsia="hr-HR"/>
              </w:rPr>
            </w:pPr>
          </w:p>
        </w:tc>
        <w:tc>
          <w:tcPr>
            <w:tcW w:w="2130" w:type="dxa"/>
            <w:noWrap/>
            <w:vAlign w:val="center"/>
            <w:hideMark/>
          </w:tcPr>
          <w:p w14:paraId="2CF0921C"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noWrap/>
            <w:vAlign w:val="center"/>
            <w:hideMark/>
          </w:tcPr>
          <w:p w14:paraId="24221125" w14:textId="73E445C7"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241</w:t>
            </w:r>
          </w:p>
        </w:tc>
      </w:tr>
      <w:tr w:rsidR="00DC1C3A" w:rsidRPr="00A55B15" w14:paraId="430C00A6" w14:textId="77777777" w:rsidTr="00D425ED">
        <w:trPr>
          <w:trHeight w:val="283"/>
        </w:trPr>
        <w:tc>
          <w:tcPr>
            <w:tcW w:w="2043" w:type="dxa"/>
            <w:vMerge w:val="restart"/>
            <w:shd w:val="clear" w:color="auto" w:fill="D2232A"/>
            <w:vAlign w:val="center"/>
          </w:tcPr>
          <w:p w14:paraId="5A342956" w14:textId="77777777"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 xml:space="preserve">Dom za odrasle osobe „Bidružica“ </w:t>
            </w:r>
          </w:p>
        </w:tc>
        <w:tc>
          <w:tcPr>
            <w:tcW w:w="1759" w:type="dxa"/>
            <w:vMerge w:val="restart"/>
            <w:shd w:val="clear" w:color="auto" w:fill="E5E5E5"/>
            <w:vAlign w:val="center"/>
          </w:tcPr>
          <w:p w14:paraId="1E22A47B"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Općina Desinić</w:t>
            </w:r>
          </w:p>
        </w:tc>
        <w:tc>
          <w:tcPr>
            <w:tcW w:w="1562" w:type="dxa"/>
            <w:vMerge w:val="restart"/>
            <w:shd w:val="clear" w:color="auto" w:fill="E5E5E5"/>
            <w:vAlign w:val="center"/>
          </w:tcPr>
          <w:p w14:paraId="320CCD2A"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RH</w:t>
            </w:r>
          </w:p>
        </w:tc>
        <w:tc>
          <w:tcPr>
            <w:tcW w:w="2130" w:type="dxa"/>
            <w:shd w:val="clear" w:color="auto" w:fill="E5E5E5"/>
            <w:noWrap/>
            <w:vAlign w:val="center"/>
          </w:tcPr>
          <w:p w14:paraId="30278CDD"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E5E5E5"/>
            <w:noWrap/>
            <w:vAlign w:val="center"/>
          </w:tcPr>
          <w:p w14:paraId="7853D47F" w14:textId="05A80171"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285</w:t>
            </w:r>
          </w:p>
        </w:tc>
      </w:tr>
      <w:tr w:rsidR="00DC1C3A" w:rsidRPr="00A55B15" w14:paraId="06FB178E" w14:textId="77777777" w:rsidTr="00D425ED">
        <w:trPr>
          <w:trHeight w:val="283"/>
        </w:trPr>
        <w:tc>
          <w:tcPr>
            <w:tcW w:w="2043" w:type="dxa"/>
            <w:vMerge/>
            <w:shd w:val="clear" w:color="auto" w:fill="D2232A"/>
            <w:vAlign w:val="center"/>
          </w:tcPr>
          <w:p w14:paraId="3E81CB87"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E5E5E5"/>
            <w:vAlign w:val="center"/>
          </w:tcPr>
          <w:p w14:paraId="1469D11D"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E5E5E5"/>
            <w:vAlign w:val="center"/>
          </w:tcPr>
          <w:p w14:paraId="3A87FB8F"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E5E5E5"/>
            <w:noWrap/>
            <w:vAlign w:val="center"/>
          </w:tcPr>
          <w:p w14:paraId="0DCA755E"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E5E5E5"/>
            <w:noWrap/>
            <w:vAlign w:val="center"/>
          </w:tcPr>
          <w:p w14:paraId="2B055783" w14:textId="346D28F3"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246</w:t>
            </w:r>
          </w:p>
        </w:tc>
      </w:tr>
      <w:tr w:rsidR="00DC1C3A" w:rsidRPr="00A55B15" w14:paraId="61F49B0B" w14:textId="77777777" w:rsidTr="00D425ED">
        <w:trPr>
          <w:trHeight w:val="283"/>
        </w:trPr>
        <w:tc>
          <w:tcPr>
            <w:tcW w:w="2043" w:type="dxa"/>
            <w:vMerge w:val="restart"/>
            <w:shd w:val="clear" w:color="auto" w:fill="D2232A"/>
            <w:vAlign w:val="center"/>
          </w:tcPr>
          <w:p w14:paraId="69C369B1" w14:textId="77777777" w:rsidR="00DC1C3A" w:rsidRPr="00A55B15" w:rsidRDefault="00DC1C3A" w:rsidP="00A06A64">
            <w:pPr>
              <w:spacing w:after="0"/>
              <w:rPr>
                <w:rFonts w:eastAsia="Times New Roman" w:cs="Calibri"/>
                <w:color w:val="FFFFFF"/>
                <w:szCs w:val="18"/>
                <w:lang w:eastAsia="hr-HR"/>
              </w:rPr>
            </w:pPr>
            <w:r w:rsidRPr="00A55B15">
              <w:rPr>
                <w:rFonts w:eastAsia="Times New Roman" w:cs="Calibri"/>
                <w:color w:val="FFFFFF"/>
                <w:szCs w:val="18"/>
                <w:lang w:eastAsia="hr-HR"/>
              </w:rPr>
              <w:t xml:space="preserve">Dom za odrasle osobe „Zagreb“, Podružnica Mirkovec </w:t>
            </w:r>
          </w:p>
        </w:tc>
        <w:tc>
          <w:tcPr>
            <w:tcW w:w="1759" w:type="dxa"/>
            <w:vMerge w:val="restart"/>
            <w:shd w:val="clear" w:color="auto" w:fill="auto"/>
            <w:vAlign w:val="center"/>
          </w:tcPr>
          <w:p w14:paraId="08BA939B" w14:textId="77777777" w:rsidR="00DC1C3A" w:rsidRPr="00A55B15" w:rsidRDefault="00DC1C3A" w:rsidP="00D425ED">
            <w:pPr>
              <w:spacing w:after="0"/>
              <w:jc w:val="left"/>
              <w:rPr>
                <w:rFonts w:eastAsia="Times New Roman" w:cs="Calibri"/>
                <w:color w:val="000000"/>
                <w:szCs w:val="18"/>
                <w:lang w:eastAsia="hr-HR"/>
              </w:rPr>
            </w:pPr>
            <w:r w:rsidRPr="00A55B15">
              <w:rPr>
                <w:rFonts w:eastAsia="Times New Roman" w:cs="Calibri"/>
                <w:color w:val="000000"/>
                <w:szCs w:val="18"/>
                <w:lang w:eastAsia="hr-HR"/>
              </w:rPr>
              <w:t>Općina Sveti Križ Začretje</w:t>
            </w:r>
          </w:p>
        </w:tc>
        <w:tc>
          <w:tcPr>
            <w:tcW w:w="1562" w:type="dxa"/>
            <w:vMerge w:val="restart"/>
            <w:shd w:val="clear" w:color="auto" w:fill="auto"/>
            <w:vAlign w:val="center"/>
          </w:tcPr>
          <w:p w14:paraId="78BD4EC9"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RH</w:t>
            </w:r>
          </w:p>
        </w:tc>
        <w:tc>
          <w:tcPr>
            <w:tcW w:w="2130" w:type="dxa"/>
            <w:shd w:val="clear" w:color="auto" w:fill="auto"/>
            <w:noWrap/>
            <w:vAlign w:val="center"/>
          </w:tcPr>
          <w:p w14:paraId="11847F0A"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auto"/>
            <w:noWrap/>
            <w:vAlign w:val="center"/>
          </w:tcPr>
          <w:p w14:paraId="230A6C97" w14:textId="53DDE5DC" w:rsidR="00D425ED" w:rsidRPr="00A55B15" w:rsidRDefault="00D425ED" w:rsidP="00D425ED">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68</w:t>
            </w:r>
          </w:p>
        </w:tc>
      </w:tr>
      <w:tr w:rsidR="00DC1C3A" w:rsidRPr="00A55B15" w14:paraId="6ABA86A2" w14:textId="77777777" w:rsidTr="00D425ED">
        <w:trPr>
          <w:trHeight w:val="420"/>
        </w:trPr>
        <w:tc>
          <w:tcPr>
            <w:tcW w:w="2043" w:type="dxa"/>
            <w:vMerge/>
            <w:shd w:val="clear" w:color="auto" w:fill="D2232A"/>
            <w:vAlign w:val="center"/>
          </w:tcPr>
          <w:p w14:paraId="7FECEC0E"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auto"/>
            <w:vAlign w:val="center"/>
          </w:tcPr>
          <w:p w14:paraId="3F28C6FA"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auto"/>
            <w:vAlign w:val="center"/>
          </w:tcPr>
          <w:p w14:paraId="1A664242"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auto"/>
            <w:noWrap/>
            <w:vAlign w:val="center"/>
          </w:tcPr>
          <w:p w14:paraId="6008A4DB"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auto"/>
            <w:noWrap/>
            <w:vAlign w:val="center"/>
          </w:tcPr>
          <w:p w14:paraId="46A95F51" w14:textId="77777777" w:rsidR="00DC1C3A" w:rsidRPr="00A55B15" w:rsidRDefault="00DC1C3A" w:rsidP="00A06A64">
            <w:pPr>
              <w:spacing w:after="0" w:line="240" w:lineRule="auto"/>
              <w:jc w:val="right"/>
              <w:rPr>
                <w:rFonts w:eastAsia="Times New Roman" w:cs="Calibri"/>
                <w:color w:val="000000"/>
                <w:szCs w:val="18"/>
                <w:lang w:eastAsia="hr-HR"/>
              </w:rPr>
            </w:pPr>
            <w:r w:rsidRPr="00A55B15">
              <w:rPr>
                <w:rFonts w:eastAsia="Times New Roman" w:cs="Calibri"/>
                <w:color w:val="000000"/>
                <w:szCs w:val="18"/>
                <w:lang w:eastAsia="hr-HR"/>
              </w:rPr>
              <w:t>70</w:t>
            </w:r>
          </w:p>
        </w:tc>
      </w:tr>
      <w:tr w:rsidR="00DC1C3A" w:rsidRPr="00A55B15" w14:paraId="77129EF8" w14:textId="77777777" w:rsidTr="00D425ED">
        <w:trPr>
          <w:trHeight w:val="283"/>
        </w:trPr>
        <w:tc>
          <w:tcPr>
            <w:tcW w:w="9290" w:type="dxa"/>
            <w:gridSpan w:val="5"/>
            <w:shd w:val="clear" w:color="auto" w:fill="D2232A"/>
            <w:vAlign w:val="center"/>
          </w:tcPr>
          <w:p w14:paraId="10CBD763" w14:textId="77777777"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Domovi za starije i nemoćne osobe</w:t>
            </w:r>
          </w:p>
        </w:tc>
      </w:tr>
      <w:tr w:rsidR="00DC1C3A" w:rsidRPr="00A55B15" w14:paraId="5AABF35F" w14:textId="77777777" w:rsidTr="00D425ED">
        <w:trPr>
          <w:trHeight w:val="283"/>
        </w:trPr>
        <w:tc>
          <w:tcPr>
            <w:tcW w:w="2043" w:type="dxa"/>
            <w:vMerge w:val="restart"/>
            <w:shd w:val="clear" w:color="auto" w:fill="D2232A"/>
            <w:vAlign w:val="center"/>
          </w:tcPr>
          <w:p w14:paraId="20697E2A" w14:textId="77777777" w:rsidR="00DC1C3A" w:rsidRPr="00A55B15" w:rsidRDefault="00DC1C3A" w:rsidP="00A06A64">
            <w:pPr>
              <w:spacing w:after="0"/>
              <w:rPr>
                <w:rFonts w:eastAsia="Times New Roman" w:cs="Calibri"/>
                <w:color w:val="FFFFFF"/>
                <w:szCs w:val="18"/>
                <w:lang w:eastAsia="hr-HR"/>
              </w:rPr>
            </w:pPr>
            <w:r w:rsidRPr="00A55B15">
              <w:rPr>
                <w:rFonts w:eastAsia="Times New Roman" w:cs="Calibri"/>
                <w:color w:val="FFFFFF"/>
                <w:szCs w:val="18"/>
                <w:lang w:eastAsia="hr-HR"/>
              </w:rPr>
              <w:t>Dom za starije i nemoćne osobe „Presečki“</w:t>
            </w:r>
          </w:p>
        </w:tc>
        <w:tc>
          <w:tcPr>
            <w:tcW w:w="1759" w:type="dxa"/>
            <w:vMerge w:val="restart"/>
            <w:shd w:val="clear" w:color="auto" w:fill="E5E5E5"/>
            <w:vAlign w:val="center"/>
          </w:tcPr>
          <w:p w14:paraId="0A19E4A8"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Oroslavje</w:t>
            </w:r>
          </w:p>
        </w:tc>
        <w:tc>
          <w:tcPr>
            <w:tcW w:w="1562" w:type="dxa"/>
            <w:vMerge w:val="restart"/>
            <w:shd w:val="clear" w:color="auto" w:fill="E5E5E5"/>
            <w:vAlign w:val="center"/>
          </w:tcPr>
          <w:p w14:paraId="1E65BAE1"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Privatni</w:t>
            </w:r>
          </w:p>
        </w:tc>
        <w:tc>
          <w:tcPr>
            <w:tcW w:w="2130" w:type="dxa"/>
            <w:shd w:val="clear" w:color="auto" w:fill="E5E5E5"/>
            <w:noWrap/>
            <w:vAlign w:val="center"/>
          </w:tcPr>
          <w:p w14:paraId="3FBF05E8"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E5E5E5"/>
            <w:noWrap/>
            <w:vAlign w:val="center"/>
          </w:tcPr>
          <w:p w14:paraId="1E5269A7" w14:textId="03A82189" w:rsidR="00DC1C3A" w:rsidRPr="00A55B15" w:rsidRDefault="00DC1C3A" w:rsidP="00A06A64">
            <w:pPr>
              <w:spacing w:after="0" w:line="240" w:lineRule="auto"/>
              <w:jc w:val="right"/>
              <w:rPr>
                <w:rFonts w:eastAsia="Times New Roman" w:cs="Calibri"/>
                <w:color w:val="000000"/>
                <w:szCs w:val="18"/>
                <w:lang w:eastAsia="hr-HR"/>
              </w:rPr>
            </w:pPr>
            <w:r w:rsidRPr="00A55B15">
              <w:rPr>
                <w:rFonts w:eastAsia="Times New Roman" w:cs="Calibri"/>
                <w:color w:val="000000"/>
                <w:szCs w:val="18"/>
                <w:lang w:eastAsia="hr-HR"/>
              </w:rPr>
              <w:t>50</w:t>
            </w:r>
          </w:p>
        </w:tc>
      </w:tr>
      <w:tr w:rsidR="00DC1C3A" w:rsidRPr="00A55B15" w14:paraId="42926058" w14:textId="77777777" w:rsidTr="00D425ED">
        <w:trPr>
          <w:trHeight w:val="283"/>
        </w:trPr>
        <w:tc>
          <w:tcPr>
            <w:tcW w:w="2043" w:type="dxa"/>
            <w:vMerge/>
            <w:shd w:val="clear" w:color="auto" w:fill="D2232A"/>
            <w:vAlign w:val="center"/>
          </w:tcPr>
          <w:p w14:paraId="11A47D33"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E5E5E5"/>
            <w:vAlign w:val="center"/>
          </w:tcPr>
          <w:p w14:paraId="6E63C067"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E5E5E5"/>
            <w:vAlign w:val="center"/>
          </w:tcPr>
          <w:p w14:paraId="03D91613"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E5E5E5"/>
            <w:noWrap/>
            <w:vAlign w:val="center"/>
          </w:tcPr>
          <w:p w14:paraId="3A3084AF"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E5E5E5"/>
            <w:noWrap/>
            <w:vAlign w:val="center"/>
          </w:tcPr>
          <w:p w14:paraId="725F06BC" w14:textId="2E7A5193" w:rsidR="00DC1C3A" w:rsidRPr="00A55B15" w:rsidRDefault="00DC1C3A" w:rsidP="00A06A64">
            <w:pPr>
              <w:spacing w:after="0" w:line="240" w:lineRule="auto"/>
              <w:jc w:val="right"/>
              <w:rPr>
                <w:rFonts w:eastAsia="Times New Roman" w:cs="Calibri"/>
                <w:color w:val="000000"/>
                <w:szCs w:val="18"/>
                <w:lang w:eastAsia="hr-HR"/>
              </w:rPr>
            </w:pPr>
            <w:r w:rsidRPr="00A55B15">
              <w:rPr>
                <w:rFonts w:eastAsia="Times New Roman" w:cs="Calibri"/>
                <w:color w:val="000000"/>
                <w:szCs w:val="18"/>
                <w:lang w:eastAsia="hr-HR"/>
              </w:rPr>
              <w:t>3</w:t>
            </w:r>
            <w:r w:rsidR="00D425ED">
              <w:rPr>
                <w:rFonts w:eastAsia="Times New Roman" w:cs="Calibri"/>
                <w:color w:val="000000"/>
                <w:szCs w:val="18"/>
                <w:lang w:eastAsia="hr-HR"/>
              </w:rPr>
              <w:t>9</w:t>
            </w:r>
          </w:p>
        </w:tc>
      </w:tr>
      <w:tr w:rsidR="00DC1C3A" w:rsidRPr="00A55B15" w14:paraId="62DEB950" w14:textId="77777777" w:rsidTr="00D425ED">
        <w:trPr>
          <w:trHeight w:val="332"/>
        </w:trPr>
        <w:tc>
          <w:tcPr>
            <w:tcW w:w="2043" w:type="dxa"/>
            <w:vMerge w:val="restart"/>
            <w:shd w:val="clear" w:color="auto" w:fill="D2232A"/>
            <w:vAlign w:val="center"/>
          </w:tcPr>
          <w:p w14:paraId="0486E82A" w14:textId="77777777" w:rsidR="00DC1C3A" w:rsidRPr="00A55B15" w:rsidRDefault="00DC1C3A" w:rsidP="00A06A64">
            <w:pPr>
              <w:spacing w:after="0"/>
              <w:rPr>
                <w:rFonts w:eastAsia="Times New Roman" w:cs="Calibri"/>
                <w:color w:val="FFFFFF"/>
                <w:szCs w:val="18"/>
                <w:lang w:eastAsia="hr-HR"/>
              </w:rPr>
            </w:pPr>
            <w:r w:rsidRPr="00A55B15">
              <w:rPr>
                <w:rFonts w:eastAsia="Times New Roman" w:cs="Calibri"/>
                <w:color w:val="FFFFFF"/>
                <w:szCs w:val="18"/>
                <w:lang w:eastAsia="hr-HR"/>
              </w:rPr>
              <w:t xml:space="preserve">Dom za starije i nemoćne osobe „Pintar“ </w:t>
            </w:r>
          </w:p>
        </w:tc>
        <w:tc>
          <w:tcPr>
            <w:tcW w:w="1759" w:type="dxa"/>
            <w:vMerge w:val="restart"/>
            <w:shd w:val="clear" w:color="auto" w:fill="auto"/>
            <w:vAlign w:val="center"/>
          </w:tcPr>
          <w:p w14:paraId="46853EB7"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Stubičke Toplice</w:t>
            </w:r>
          </w:p>
        </w:tc>
        <w:tc>
          <w:tcPr>
            <w:tcW w:w="1562" w:type="dxa"/>
            <w:vMerge w:val="restart"/>
            <w:shd w:val="clear" w:color="auto" w:fill="auto"/>
            <w:vAlign w:val="center"/>
          </w:tcPr>
          <w:p w14:paraId="00C3D9D0"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Privatni</w:t>
            </w:r>
          </w:p>
        </w:tc>
        <w:tc>
          <w:tcPr>
            <w:tcW w:w="2130" w:type="dxa"/>
            <w:shd w:val="clear" w:color="auto" w:fill="auto"/>
            <w:noWrap/>
            <w:vAlign w:val="center"/>
          </w:tcPr>
          <w:p w14:paraId="7487A02E"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auto"/>
            <w:noWrap/>
            <w:vAlign w:val="center"/>
          </w:tcPr>
          <w:p w14:paraId="1218F795" w14:textId="7E662AB8" w:rsidR="00DC1C3A" w:rsidRPr="00A55B15" w:rsidRDefault="00DC1C3A"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45</w:t>
            </w:r>
          </w:p>
        </w:tc>
      </w:tr>
      <w:tr w:rsidR="00DC1C3A" w:rsidRPr="00A55B15" w14:paraId="522BE661" w14:textId="77777777" w:rsidTr="00D425ED">
        <w:trPr>
          <w:trHeight w:val="283"/>
        </w:trPr>
        <w:tc>
          <w:tcPr>
            <w:tcW w:w="2043" w:type="dxa"/>
            <w:vMerge/>
            <w:shd w:val="clear" w:color="auto" w:fill="D2232A"/>
            <w:vAlign w:val="center"/>
          </w:tcPr>
          <w:p w14:paraId="15781605"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auto"/>
            <w:vAlign w:val="center"/>
          </w:tcPr>
          <w:p w14:paraId="3AF17D22"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auto"/>
            <w:vAlign w:val="center"/>
          </w:tcPr>
          <w:p w14:paraId="5D5A477C"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auto"/>
            <w:noWrap/>
            <w:vAlign w:val="center"/>
          </w:tcPr>
          <w:p w14:paraId="6B753A7C"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auto"/>
            <w:noWrap/>
            <w:vAlign w:val="center"/>
          </w:tcPr>
          <w:p w14:paraId="0B518A1B" w14:textId="689B9A7A"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39</w:t>
            </w:r>
          </w:p>
        </w:tc>
      </w:tr>
      <w:tr w:rsidR="00DC1C3A" w:rsidRPr="00A55B15" w14:paraId="44E3B315" w14:textId="77777777" w:rsidTr="00D425ED">
        <w:trPr>
          <w:trHeight w:val="286"/>
        </w:trPr>
        <w:tc>
          <w:tcPr>
            <w:tcW w:w="2043" w:type="dxa"/>
            <w:vMerge w:val="restart"/>
            <w:shd w:val="clear" w:color="auto" w:fill="D2232A"/>
            <w:vAlign w:val="center"/>
          </w:tcPr>
          <w:p w14:paraId="7931F665" w14:textId="77777777" w:rsidR="00DC1C3A" w:rsidRPr="00A55B15" w:rsidRDefault="00DC1C3A" w:rsidP="00A06A64">
            <w:pPr>
              <w:spacing w:after="0"/>
              <w:rPr>
                <w:rFonts w:eastAsia="Times New Roman" w:cs="Calibri"/>
                <w:color w:val="FFFFFF"/>
                <w:szCs w:val="18"/>
                <w:lang w:eastAsia="hr-HR"/>
              </w:rPr>
            </w:pPr>
            <w:r w:rsidRPr="00A55B15">
              <w:rPr>
                <w:rFonts w:eastAsia="Times New Roman" w:cs="Calibri"/>
                <w:color w:val="FFFFFF"/>
                <w:szCs w:val="18"/>
                <w:lang w:eastAsia="hr-HR"/>
              </w:rPr>
              <w:t xml:space="preserve">Dom za starije i nemoćne osobe „Dom Sveti Nikola“ </w:t>
            </w:r>
          </w:p>
        </w:tc>
        <w:tc>
          <w:tcPr>
            <w:tcW w:w="1759" w:type="dxa"/>
            <w:vMerge w:val="restart"/>
            <w:shd w:val="clear" w:color="auto" w:fill="E5E5E5"/>
            <w:vAlign w:val="center"/>
          </w:tcPr>
          <w:p w14:paraId="0CC674C2"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Krapina</w:t>
            </w:r>
          </w:p>
        </w:tc>
        <w:tc>
          <w:tcPr>
            <w:tcW w:w="1562" w:type="dxa"/>
            <w:vMerge w:val="restart"/>
            <w:shd w:val="clear" w:color="auto" w:fill="E5E5E5"/>
            <w:vAlign w:val="center"/>
          </w:tcPr>
          <w:p w14:paraId="3479F7E4"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Privatni</w:t>
            </w:r>
          </w:p>
        </w:tc>
        <w:tc>
          <w:tcPr>
            <w:tcW w:w="2130" w:type="dxa"/>
            <w:shd w:val="clear" w:color="auto" w:fill="E5E5E5"/>
            <w:noWrap/>
            <w:vAlign w:val="center"/>
          </w:tcPr>
          <w:p w14:paraId="4627AF42"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E5E5E5"/>
            <w:noWrap/>
            <w:vAlign w:val="center"/>
          </w:tcPr>
          <w:p w14:paraId="7B7B511D" w14:textId="0A68DFA0" w:rsidR="00DC1C3A" w:rsidRPr="00A55B15" w:rsidRDefault="00DC1C3A" w:rsidP="00A06A64">
            <w:pPr>
              <w:spacing w:after="0" w:line="240" w:lineRule="auto"/>
              <w:jc w:val="right"/>
              <w:rPr>
                <w:rFonts w:eastAsia="Times New Roman" w:cs="Calibri"/>
                <w:color w:val="000000"/>
                <w:szCs w:val="18"/>
                <w:lang w:eastAsia="hr-HR"/>
              </w:rPr>
            </w:pPr>
            <w:r w:rsidRPr="00A55B15">
              <w:rPr>
                <w:rFonts w:eastAsia="Times New Roman" w:cs="Calibri"/>
                <w:color w:val="000000"/>
                <w:szCs w:val="18"/>
                <w:lang w:eastAsia="hr-HR"/>
              </w:rPr>
              <w:t>135</w:t>
            </w:r>
          </w:p>
        </w:tc>
      </w:tr>
      <w:tr w:rsidR="00DC1C3A" w:rsidRPr="00A55B15" w14:paraId="2E222776" w14:textId="77777777" w:rsidTr="00D425ED">
        <w:trPr>
          <w:trHeight w:val="283"/>
        </w:trPr>
        <w:tc>
          <w:tcPr>
            <w:tcW w:w="2043" w:type="dxa"/>
            <w:vMerge/>
            <w:shd w:val="clear" w:color="auto" w:fill="D2232A"/>
            <w:vAlign w:val="center"/>
          </w:tcPr>
          <w:p w14:paraId="6E59F5AE"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E5E5E5"/>
            <w:vAlign w:val="center"/>
          </w:tcPr>
          <w:p w14:paraId="0C33183D"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E5E5E5"/>
            <w:vAlign w:val="center"/>
          </w:tcPr>
          <w:p w14:paraId="1F3591BC"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E5E5E5"/>
            <w:noWrap/>
            <w:vAlign w:val="center"/>
          </w:tcPr>
          <w:p w14:paraId="6524AE43"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E5E5E5"/>
            <w:noWrap/>
            <w:vAlign w:val="center"/>
          </w:tcPr>
          <w:p w14:paraId="4B3E3FCB" w14:textId="77777777" w:rsidR="00DC1C3A" w:rsidRPr="00A55B15" w:rsidRDefault="00DC1C3A" w:rsidP="00A06A64">
            <w:pPr>
              <w:spacing w:after="0" w:line="240" w:lineRule="auto"/>
              <w:jc w:val="right"/>
              <w:rPr>
                <w:rFonts w:eastAsia="Times New Roman" w:cs="Calibri"/>
                <w:color w:val="000000"/>
                <w:szCs w:val="18"/>
                <w:lang w:eastAsia="hr-HR"/>
              </w:rPr>
            </w:pPr>
            <w:r w:rsidRPr="00A55B15">
              <w:rPr>
                <w:rFonts w:eastAsia="Times New Roman" w:cs="Calibri"/>
                <w:color w:val="000000"/>
                <w:szCs w:val="18"/>
                <w:lang w:eastAsia="hr-HR"/>
              </w:rPr>
              <w:t>135</w:t>
            </w:r>
          </w:p>
        </w:tc>
      </w:tr>
      <w:tr w:rsidR="00DC1C3A" w:rsidRPr="00A55B15" w14:paraId="5C723CFB" w14:textId="77777777" w:rsidTr="00D425ED">
        <w:trPr>
          <w:trHeight w:val="524"/>
        </w:trPr>
        <w:tc>
          <w:tcPr>
            <w:tcW w:w="2043" w:type="dxa"/>
            <w:vMerge w:val="restart"/>
            <w:shd w:val="clear" w:color="auto" w:fill="D2232A"/>
            <w:vAlign w:val="center"/>
          </w:tcPr>
          <w:p w14:paraId="6F50B61A" w14:textId="77777777" w:rsidR="00DC1C3A" w:rsidRPr="00A55B15" w:rsidRDefault="00DC1C3A" w:rsidP="00A06A64">
            <w:pPr>
              <w:spacing w:after="0"/>
              <w:rPr>
                <w:rFonts w:eastAsia="Times New Roman" w:cs="Calibri"/>
                <w:color w:val="FFFFFF"/>
                <w:szCs w:val="18"/>
                <w:lang w:eastAsia="hr-HR"/>
              </w:rPr>
            </w:pPr>
            <w:r w:rsidRPr="00A55B15">
              <w:rPr>
                <w:rFonts w:eastAsia="Times New Roman" w:cs="Calibri"/>
                <w:color w:val="FFFFFF"/>
                <w:szCs w:val="18"/>
                <w:lang w:eastAsia="hr-HR"/>
              </w:rPr>
              <w:t xml:space="preserve">Dom za starije i nemoćne osobe „Rezidencija Kastelan“ </w:t>
            </w:r>
          </w:p>
        </w:tc>
        <w:tc>
          <w:tcPr>
            <w:tcW w:w="1759" w:type="dxa"/>
            <w:vMerge w:val="restart"/>
            <w:shd w:val="clear" w:color="auto" w:fill="auto"/>
            <w:vAlign w:val="center"/>
          </w:tcPr>
          <w:p w14:paraId="0666F44B"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Tuheljske Toplice</w:t>
            </w:r>
          </w:p>
        </w:tc>
        <w:tc>
          <w:tcPr>
            <w:tcW w:w="1562" w:type="dxa"/>
            <w:vMerge w:val="restart"/>
            <w:shd w:val="clear" w:color="auto" w:fill="auto"/>
            <w:vAlign w:val="center"/>
          </w:tcPr>
          <w:p w14:paraId="36B683A4"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Privatni</w:t>
            </w:r>
          </w:p>
        </w:tc>
        <w:tc>
          <w:tcPr>
            <w:tcW w:w="2130" w:type="dxa"/>
            <w:shd w:val="clear" w:color="auto" w:fill="auto"/>
            <w:noWrap/>
            <w:vAlign w:val="center"/>
          </w:tcPr>
          <w:p w14:paraId="12E4EC5E"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auto"/>
            <w:noWrap/>
            <w:vAlign w:val="center"/>
          </w:tcPr>
          <w:p w14:paraId="734C980E" w14:textId="5EDA9D37"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66</w:t>
            </w:r>
          </w:p>
        </w:tc>
      </w:tr>
      <w:tr w:rsidR="00DC1C3A" w:rsidRPr="00A55B15" w14:paraId="7D83AE9C" w14:textId="77777777" w:rsidTr="00D425ED">
        <w:trPr>
          <w:trHeight w:val="283"/>
        </w:trPr>
        <w:tc>
          <w:tcPr>
            <w:tcW w:w="2043" w:type="dxa"/>
            <w:vMerge/>
            <w:shd w:val="clear" w:color="auto" w:fill="D2232A"/>
            <w:vAlign w:val="center"/>
          </w:tcPr>
          <w:p w14:paraId="259A589B"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auto"/>
            <w:vAlign w:val="center"/>
          </w:tcPr>
          <w:p w14:paraId="2D45E99B"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auto"/>
            <w:vAlign w:val="center"/>
          </w:tcPr>
          <w:p w14:paraId="6E1FBB18"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auto"/>
            <w:noWrap/>
            <w:vAlign w:val="center"/>
          </w:tcPr>
          <w:p w14:paraId="5259751D"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auto"/>
            <w:noWrap/>
            <w:vAlign w:val="center"/>
          </w:tcPr>
          <w:p w14:paraId="4CEEBADE" w14:textId="39AEF220"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72</w:t>
            </w:r>
          </w:p>
        </w:tc>
      </w:tr>
      <w:tr w:rsidR="00DC1C3A" w:rsidRPr="00A55B15" w14:paraId="3B9FE7F6" w14:textId="77777777" w:rsidTr="00D425ED">
        <w:trPr>
          <w:trHeight w:val="283"/>
        </w:trPr>
        <w:tc>
          <w:tcPr>
            <w:tcW w:w="2043" w:type="dxa"/>
            <w:vMerge w:val="restart"/>
            <w:shd w:val="clear" w:color="auto" w:fill="D2232A"/>
            <w:vAlign w:val="center"/>
          </w:tcPr>
          <w:p w14:paraId="3FCEA051" w14:textId="77777777" w:rsidR="00DC1C3A" w:rsidRPr="00A55B15" w:rsidRDefault="00DC1C3A" w:rsidP="00A06A64">
            <w:pPr>
              <w:spacing w:after="0"/>
              <w:rPr>
                <w:rFonts w:eastAsia="Times New Roman" w:cs="Calibri"/>
                <w:color w:val="FFFFFF"/>
                <w:szCs w:val="18"/>
                <w:lang w:eastAsia="hr-HR"/>
              </w:rPr>
            </w:pPr>
            <w:r w:rsidRPr="00A55B15">
              <w:rPr>
                <w:rFonts w:eastAsia="Times New Roman" w:cs="Calibri"/>
                <w:color w:val="FFFFFF"/>
                <w:szCs w:val="18"/>
                <w:lang w:eastAsia="hr-HR"/>
              </w:rPr>
              <w:t xml:space="preserve">Dom za starije i nemoćne osobe „Golubić“ </w:t>
            </w:r>
          </w:p>
        </w:tc>
        <w:tc>
          <w:tcPr>
            <w:tcW w:w="1759" w:type="dxa"/>
            <w:vMerge w:val="restart"/>
            <w:shd w:val="clear" w:color="auto" w:fill="E5E5E5"/>
            <w:vAlign w:val="center"/>
          </w:tcPr>
          <w:p w14:paraId="74E910D3"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Pregrada</w:t>
            </w:r>
          </w:p>
        </w:tc>
        <w:tc>
          <w:tcPr>
            <w:tcW w:w="1562" w:type="dxa"/>
            <w:vMerge w:val="restart"/>
            <w:shd w:val="clear" w:color="auto" w:fill="E5E5E5"/>
            <w:vAlign w:val="center"/>
          </w:tcPr>
          <w:p w14:paraId="2C3760D8"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Privatni</w:t>
            </w:r>
          </w:p>
        </w:tc>
        <w:tc>
          <w:tcPr>
            <w:tcW w:w="2130" w:type="dxa"/>
            <w:shd w:val="clear" w:color="auto" w:fill="E5E5E5"/>
            <w:noWrap/>
            <w:vAlign w:val="center"/>
          </w:tcPr>
          <w:p w14:paraId="638B116A"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E5E5E5"/>
            <w:noWrap/>
            <w:vAlign w:val="center"/>
          </w:tcPr>
          <w:p w14:paraId="6927EC44" w14:textId="0119522E" w:rsidR="00DC1C3A" w:rsidRPr="00A55B15" w:rsidRDefault="00DC1C3A"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w:t>
            </w:r>
            <w:r w:rsidR="00D425ED">
              <w:rPr>
                <w:rFonts w:eastAsia="Times New Roman" w:cs="Calibri"/>
                <w:color w:val="000000"/>
                <w:szCs w:val="18"/>
                <w:lang w:eastAsia="hr-HR"/>
              </w:rPr>
              <w:t>9</w:t>
            </w:r>
          </w:p>
        </w:tc>
      </w:tr>
      <w:tr w:rsidR="00DC1C3A" w:rsidRPr="00A55B15" w14:paraId="47560EDC" w14:textId="77777777" w:rsidTr="00D425ED">
        <w:trPr>
          <w:trHeight w:val="283"/>
        </w:trPr>
        <w:tc>
          <w:tcPr>
            <w:tcW w:w="2043" w:type="dxa"/>
            <w:vMerge/>
            <w:shd w:val="clear" w:color="auto" w:fill="D2232A"/>
            <w:vAlign w:val="center"/>
          </w:tcPr>
          <w:p w14:paraId="00929A7E"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E5E5E5"/>
            <w:vAlign w:val="center"/>
          </w:tcPr>
          <w:p w14:paraId="133D8A40"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E5E5E5"/>
            <w:vAlign w:val="center"/>
          </w:tcPr>
          <w:p w14:paraId="3AED6EC0"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E5E5E5"/>
            <w:noWrap/>
            <w:vAlign w:val="center"/>
          </w:tcPr>
          <w:p w14:paraId="41BE9541"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E5E5E5"/>
            <w:noWrap/>
            <w:vAlign w:val="center"/>
          </w:tcPr>
          <w:p w14:paraId="4770A426" w14:textId="17FEDBD3"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29</w:t>
            </w:r>
          </w:p>
        </w:tc>
      </w:tr>
      <w:tr w:rsidR="00DC1C3A" w:rsidRPr="00A55B15" w14:paraId="5785ECB4" w14:textId="77777777" w:rsidTr="00D425ED">
        <w:trPr>
          <w:trHeight w:val="283"/>
        </w:trPr>
        <w:tc>
          <w:tcPr>
            <w:tcW w:w="2043" w:type="dxa"/>
            <w:vMerge w:val="restart"/>
            <w:shd w:val="clear" w:color="auto" w:fill="D2232A"/>
            <w:vAlign w:val="center"/>
          </w:tcPr>
          <w:p w14:paraId="4B84EB95" w14:textId="400E8AE0" w:rsidR="00DC1C3A" w:rsidRPr="00A55B15" w:rsidRDefault="00DC1C3A" w:rsidP="00A06A64">
            <w:pPr>
              <w:spacing w:after="0"/>
              <w:rPr>
                <w:rFonts w:eastAsia="Times New Roman" w:cs="Calibri"/>
                <w:color w:val="FFFFFF"/>
                <w:szCs w:val="18"/>
                <w:lang w:eastAsia="hr-HR"/>
              </w:rPr>
            </w:pPr>
            <w:bookmarkStart w:id="77" w:name="_Hlk64903298"/>
            <w:r w:rsidRPr="00A55B15">
              <w:rPr>
                <w:rFonts w:eastAsia="Times New Roman" w:cs="Calibri"/>
                <w:color w:val="FFFFFF"/>
                <w:szCs w:val="18"/>
                <w:lang w:eastAsia="hr-HR"/>
              </w:rPr>
              <w:t>Dom za starije i nemoćne osobe „</w:t>
            </w:r>
            <w:r w:rsidR="00D425ED">
              <w:rPr>
                <w:rFonts w:eastAsia="Times New Roman" w:cs="Calibri"/>
                <w:color w:val="FFFFFF"/>
                <w:szCs w:val="18"/>
                <w:lang w:eastAsia="hr-HR"/>
              </w:rPr>
              <w:t>S</w:t>
            </w:r>
            <w:r w:rsidRPr="00A55B15">
              <w:rPr>
                <w:rFonts w:eastAsia="Times New Roman" w:cs="Calibri"/>
                <w:color w:val="FFFFFF"/>
                <w:szCs w:val="18"/>
                <w:lang w:eastAsia="hr-HR"/>
              </w:rPr>
              <w:t>v. Katarina“</w:t>
            </w:r>
          </w:p>
        </w:tc>
        <w:tc>
          <w:tcPr>
            <w:tcW w:w="1759" w:type="dxa"/>
            <w:vMerge w:val="restart"/>
            <w:shd w:val="clear" w:color="auto" w:fill="auto"/>
            <w:vAlign w:val="center"/>
          </w:tcPr>
          <w:p w14:paraId="454E8EEB"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Zagorska Sela</w:t>
            </w:r>
          </w:p>
        </w:tc>
        <w:tc>
          <w:tcPr>
            <w:tcW w:w="1562" w:type="dxa"/>
            <w:vMerge w:val="restart"/>
            <w:shd w:val="clear" w:color="auto" w:fill="auto"/>
            <w:vAlign w:val="center"/>
          </w:tcPr>
          <w:p w14:paraId="71CD9467"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Privatni</w:t>
            </w:r>
          </w:p>
        </w:tc>
        <w:tc>
          <w:tcPr>
            <w:tcW w:w="2130" w:type="dxa"/>
            <w:shd w:val="clear" w:color="auto" w:fill="auto"/>
            <w:noWrap/>
            <w:vAlign w:val="center"/>
          </w:tcPr>
          <w:p w14:paraId="76C314BF"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auto"/>
            <w:noWrap/>
            <w:vAlign w:val="center"/>
          </w:tcPr>
          <w:p w14:paraId="34FFE1CB" w14:textId="6309D22E"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47</w:t>
            </w:r>
          </w:p>
        </w:tc>
      </w:tr>
      <w:tr w:rsidR="00DC1C3A" w:rsidRPr="00A55B15" w14:paraId="1645FBCC" w14:textId="77777777" w:rsidTr="00D425ED">
        <w:trPr>
          <w:trHeight w:val="283"/>
        </w:trPr>
        <w:tc>
          <w:tcPr>
            <w:tcW w:w="2043" w:type="dxa"/>
            <w:vMerge/>
            <w:shd w:val="clear" w:color="auto" w:fill="D2232A"/>
            <w:vAlign w:val="center"/>
          </w:tcPr>
          <w:p w14:paraId="47D6ABED"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auto"/>
            <w:vAlign w:val="center"/>
          </w:tcPr>
          <w:p w14:paraId="118E8A94"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auto"/>
            <w:vAlign w:val="center"/>
          </w:tcPr>
          <w:p w14:paraId="2466FD53"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auto"/>
            <w:noWrap/>
            <w:vAlign w:val="center"/>
          </w:tcPr>
          <w:p w14:paraId="1E111D6A"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auto"/>
            <w:noWrap/>
            <w:vAlign w:val="center"/>
          </w:tcPr>
          <w:p w14:paraId="11A23132" w14:textId="0C8C1596"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47</w:t>
            </w:r>
          </w:p>
        </w:tc>
      </w:tr>
      <w:bookmarkEnd w:id="77"/>
      <w:tr w:rsidR="00DC1C3A" w:rsidRPr="00A55B15" w14:paraId="6DADA064" w14:textId="77777777" w:rsidTr="00D425ED">
        <w:trPr>
          <w:trHeight w:val="283"/>
        </w:trPr>
        <w:tc>
          <w:tcPr>
            <w:tcW w:w="2043" w:type="dxa"/>
            <w:vMerge w:val="restart"/>
            <w:shd w:val="clear" w:color="auto" w:fill="D2232A"/>
            <w:vAlign w:val="center"/>
          </w:tcPr>
          <w:p w14:paraId="15D9702B" w14:textId="77777777" w:rsidR="00DC1C3A" w:rsidRPr="00A55B15" w:rsidRDefault="00DC1C3A" w:rsidP="00A06A64">
            <w:pPr>
              <w:spacing w:after="0"/>
              <w:rPr>
                <w:rFonts w:eastAsia="Times New Roman" w:cs="Calibri"/>
                <w:color w:val="FFFFFF"/>
                <w:szCs w:val="18"/>
                <w:lang w:eastAsia="hr-HR"/>
              </w:rPr>
            </w:pPr>
            <w:r w:rsidRPr="00A55B15">
              <w:rPr>
                <w:rFonts w:eastAsia="Times New Roman" w:cs="Calibri"/>
                <w:color w:val="FFFFFF"/>
                <w:szCs w:val="18"/>
                <w:lang w:eastAsia="hr-HR"/>
              </w:rPr>
              <w:t>Dom za starije osobe „Moj dom Tandarić“</w:t>
            </w:r>
          </w:p>
        </w:tc>
        <w:tc>
          <w:tcPr>
            <w:tcW w:w="1759" w:type="dxa"/>
            <w:vMerge w:val="restart"/>
            <w:shd w:val="clear" w:color="auto" w:fill="E5E5E5"/>
            <w:vAlign w:val="center"/>
          </w:tcPr>
          <w:p w14:paraId="51B0D7CB"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Pregrada</w:t>
            </w:r>
          </w:p>
        </w:tc>
        <w:tc>
          <w:tcPr>
            <w:tcW w:w="1562" w:type="dxa"/>
            <w:vMerge w:val="restart"/>
            <w:shd w:val="clear" w:color="auto" w:fill="E5E5E5"/>
            <w:vAlign w:val="center"/>
          </w:tcPr>
          <w:p w14:paraId="08536D1A"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Privatni</w:t>
            </w:r>
          </w:p>
        </w:tc>
        <w:tc>
          <w:tcPr>
            <w:tcW w:w="2130" w:type="dxa"/>
            <w:shd w:val="clear" w:color="auto" w:fill="E5E5E5"/>
            <w:noWrap/>
            <w:vAlign w:val="center"/>
          </w:tcPr>
          <w:p w14:paraId="038D3692"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E5E5E5"/>
            <w:noWrap/>
            <w:vAlign w:val="center"/>
          </w:tcPr>
          <w:p w14:paraId="5B733463" w14:textId="3081D3A0" w:rsidR="00DC1C3A" w:rsidRPr="00A55B15" w:rsidRDefault="00DC1C3A"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29</w:t>
            </w:r>
          </w:p>
        </w:tc>
      </w:tr>
      <w:tr w:rsidR="00DC1C3A" w:rsidRPr="00A55B15" w14:paraId="2EC3A00D" w14:textId="77777777" w:rsidTr="00D425ED">
        <w:trPr>
          <w:trHeight w:val="283"/>
        </w:trPr>
        <w:tc>
          <w:tcPr>
            <w:tcW w:w="2043" w:type="dxa"/>
            <w:vMerge/>
            <w:shd w:val="clear" w:color="auto" w:fill="D2232A"/>
            <w:vAlign w:val="center"/>
          </w:tcPr>
          <w:p w14:paraId="38EF01C8"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E5E5E5"/>
            <w:vAlign w:val="center"/>
          </w:tcPr>
          <w:p w14:paraId="44242D66"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E5E5E5"/>
            <w:vAlign w:val="center"/>
          </w:tcPr>
          <w:p w14:paraId="3AEE706E"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E5E5E5"/>
            <w:noWrap/>
            <w:vAlign w:val="center"/>
          </w:tcPr>
          <w:p w14:paraId="685C05A6"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E5E5E5"/>
            <w:noWrap/>
            <w:vAlign w:val="center"/>
          </w:tcPr>
          <w:p w14:paraId="2D519B68" w14:textId="631E9585" w:rsidR="00DC1C3A" w:rsidRPr="00A55B15"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22</w:t>
            </w:r>
          </w:p>
        </w:tc>
      </w:tr>
      <w:tr w:rsidR="00D425ED" w:rsidRPr="00A55B15" w14:paraId="1FC405F7" w14:textId="77777777" w:rsidTr="00D425ED">
        <w:trPr>
          <w:trHeight w:val="218"/>
        </w:trPr>
        <w:tc>
          <w:tcPr>
            <w:tcW w:w="2043" w:type="dxa"/>
            <w:vMerge w:val="restart"/>
            <w:shd w:val="clear" w:color="auto" w:fill="D2232A"/>
            <w:noWrap/>
            <w:vAlign w:val="center"/>
          </w:tcPr>
          <w:p w14:paraId="6814CBF1" w14:textId="5F896977" w:rsidR="00D425ED" w:rsidRPr="00A55B15" w:rsidRDefault="00D425ED" w:rsidP="00D425ED">
            <w:pPr>
              <w:spacing w:after="0"/>
              <w:rPr>
                <w:rFonts w:eastAsia="Times New Roman" w:cs="Calibri"/>
                <w:color w:val="FFFFFF"/>
                <w:szCs w:val="18"/>
                <w:lang w:eastAsia="hr-HR"/>
              </w:rPr>
            </w:pPr>
            <w:r>
              <w:rPr>
                <w:rFonts w:eastAsia="Times New Roman" w:cs="Calibri"/>
                <w:color w:val="FFFFFF"/>
                <w:szCs w:val="18"/>
                <w:lang w:eastAsia="hr-HR"/>
              </w:rPr>
              <w:t>Dom za starije i nemoćne osobe ''Leonardo''</w:t>
            </w:r>
          </w:p>
        </w:tc>
        <w:tc>
          <w:tcPr>
            <w:tcW w:w="1759" w:type="dxa"/>
            <w:vMerge w:val="restart"/>
            <w:shd w:val="clear" w:color="auto" w:fill="auto"/>
            <w:vAlign w:val="center"/>
          </w:tcPr>
          <w:p w14:paraId="00E0BC2A" w14:textId="1D6CB89B" w:rsidR="00D425ED" w:rsidRPr="00A55B15" w:rsidRDefault="00D425ED" w:rsidP="00A06A64">
            <w:pPr>
              <w:spacing w:after="0"/>
              <w:rPr>
                <w:rFonts w:eastAsia="Times New Roman" w:cs="Calibri"/>
                <w:color w:val="000000"/>
                <w:szCs w:val="18"/>
                <w:lang w:eastAsia="hr-HR"/>
              </w:rPr>
            </w:pPr>
            <w:r>
              <w:rPr>
                <w:rFonts w:eastAsia="Times New Roman" w:cs="Calibri"/>
                <w:color w:val="000000"/>
                <w:szCs w:val="18"/>
                <w:lang w:eastAsia="hr-HR"/>
              </w:rPr>
              <w:t>Zabok</w:t>
            </w:r>
          </w:p>
        </w:tc>
        <w:tc>
          <w:tcPr>
            <w:tcW w:w="1562" w:type="dxa"/>
            <w:vMerge w:val="restart"/>
            <w:shd w:val="clear" w:color="auto" w:fill="auto"/>
            <w:vAlign w:val="center"/>
          </w:tcPr>
          <w:p w14:paraId="489F420B" w14:textId="4A76CB00" w:rsidR="00D425ED" w:rsidRPr="00A55B15" w:rsidRDefault="00D425ED" w:rsidP="00A06A64">
            <w:pPr>
              <w:spacing w:after="0" w:line="240" w:lineRule="auto"/>
              <w:rPr>
                <w:rFonts w:eastAsia="Times New Roman" w:cs="Calibri"/>
                <w:szCs w:val="18"/>
                <w:lang w:eastAsia="hr-HR"/>
              </w:rPr>
            </w:pPr>
            <w:r>
              <w:rPr>
                <w:rFonts w:eastAsia="Times New Roman" w:cs="Calibri"/>
                <w:szCs w:val="18"/>
                <w:lang w:eastAsia="hr-HR"/>
              </w:rPr>
              <w:t>Privatni</w:t>
            </w:r>
          </w:p>
        </w:tc>
        <w:tc>
          <w:tcPr>
            <w:tcW w:w="2130" w:type="dxa"/>
            <w:shd w:val="clear" w:color="auto" w:fill="auto"/>
            <w:vAlign w:val="center"/>
          </w:tcPr>
          <w:p w14:paraId="20B56EF9" w14:textId="5120F200" w:rsidR="00D425ED" w:rsidRPr="00A55B15" w:rsidRDefault="00D425ED" w:rsidP="00A06A64">
            <w:pPr>
              <w:spacing w:after="0" w:line="240" w:lineRule="auto"/>
              <w:rPr>
                <w:rFonts w:eastAsia="Times New Roman" w:cs="Calibri"/>
                <w:color w:val="000000"/>
                <w:szCs w:val="18"/>
                <w:lang w:eastAsia="hr-HR"/>
              </w:rPr>
            </w:pPr>
            <w:r>
              <w:rPr>
                <w:rFonts w:eastAsia="Times New Roman" w:cs="Calibri"/>
                <w:color w:val="000000"/>
                <w:szCs w:val="18"/>
                <w:lang w:eastAsia="hr-HR"/>
              </w:rPr>
              <w:t>Kapacitet</w:t>
            </w:r>
          </w:p>
        </w:tc>
        <w:tc>
          <w:tcPr>
            <w:tcW w:w="1796" w:type="dxa"/>
            <w:shd w:val="clear" w:color="auto" w:fill="auto"/>
            <w:vAlign w:val="center"/>
          </w:tcPr>
          <w:p w14:paraId="6B6F16A1" w14:textId="38F50306" w:rsidR="00D425ED"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45</w:t>
            </w:r>
          </w:p>
        </w:tc>
      </w:tr>
      <w:tr w:rsidR="00D425ED" w:rsidRPr="00A55B15" w14:paraId="11322545" w14:textId="77777777" w:rsidTr="00D425ED">
        <w:trPr>
          <w:trHeight w:val="217"/>
        </w:trPr>
        <w:tc>
          <w:tcPr>
            <w:tcW w:w="2043" w:type="dxa"/>
            <w:vMerge/>
            <w:shd w:val="clear" w:color="auto" w:fill="D2232A"/>
            <w:noWrap/>
            <w:vAlign w:val="center"/>
          </w:tcPr>
          <w:p w14:paraId="5BC2EBB5" w14:textId="77777777" w:rsidR="00D425ED" w:rsidRDefault="00D425ED" w:rsidP="00A06A64">
            <w:pPr>
              <w:spacing w:after="0" w:line="240" w:lineRule="auto"/>
              <w:rPr>
                <w:rFonts w:eastAsia="Times New Roman" w:cs="Calibri"/>
                <w:color w:val="FFFFFF"/>
                <w:szCs w:val="18"/>
                <w:lang w:eastAsia="hr-HR"/>
              </w:rPr>
            </w:pPr>
          </w:p>
        </w:tc>
        <w:tc>
          <w:tcPr>
            <w:tcW w:w="1759" w:type="dxa"/>
            <w:vMerge/>
            <w:shd w:val="clear" w:color="auto" w:fill="auto"/>
            <w:vAlign w:val="center"/>
          </w:tcPr>
          <w:p w14:paraId="5FD96D32" w14:textId="77777777" w:rsidR="00D425ED" w:rsidRDefault="00D425ED" w:rsidP="00A06A64">
            <w:pPr>
              <w:spacing w:after="0"/>
              <w:rPr>
                <w:rFonts w:eastAsia="Times New Roman" w:cs="Calibri"/>
                <w:color w:val="000000"/>
                <w:szCs w:val="18"/>
                <w:lang w:eastAsia="hr-HR"/>
              </w:rPr>
            </w:pPr>
          </w:p>
        </w:tc>
        <w:tc>
          <w:tcPr>
            <w:tcW w:w="1562" w:type="dxa"/>
            <w:vMerge/>
            <w:shd w:val="clear" w:color="auto" w:fill="auto"/>
            <w:vAlign w:val="center"/>
          </w:tcPr>
          <w:p w14:paraId="333F0D54" w14:textId="77777777" w:rsidR="00D425ED" w:rsidRDefault="00D425ED" w:rsidP="00A06A64">
            <w:pPr>
              <w:spacing w:after="0" w:line="240" w:lineRule="auto"/>
              <w:rPr>
                <w:rFonts w:eastAsia="Times New Roman" w:cs="Calibri"/>
                <w:szCs w:val="18"/>
                <w:lang w:eastAsia="hr-HR"/>
              </w:rPr>
            </w:pPr>
          </w:p>
        </w:tc>
        <w:tc>
          <w:tcPr>
            <w:tcW w:w="2130" w:type="dxa"/>
            <w:shd w:val="clear" w:color="auto" w:fill="auto"/>
            <w:vAlign w:val="center"/>
          </w:tcPr>
          <w:p w14:paraId="14EF1427" w14:textId="0E2D0EF8" w:rsidR="00D425ED" w:rsidRPr="00A55B15" w:rsidRDefault="00D425ED" w:rsidP="00A06A64">
            <w:pPr>
              <w:spacing w:after="0" w:line="240" w:lineRule="auto"/>
              <w:rPr>
                <w:rFonts w:eastAsia="Times New Roman" w:cs="Calibri"/>
                <w:color w:val="000000"/>
                <w:szCs w:val="18"/>
                <w:lang w:eastAsia="hr-HR"/>
              </w:rPr>
            </w:pPr>
            <w:r>
              <w:rPr>
                <w:rFonts w:eastAsia="Times New Roman" w:cs="Calibri"/>
                <w:color w:val="000000"/>
                <w:szCs w:val="18"/>
                <w:lang w:eastAsia="hr-HR"/>
              </w:rPr>
              <w:t>Broj korisnika</w:t>
            </w:r>
          </w:p>
        </w:tc>
        <w:tc>
          <w:tcPr>
            <w:tcW w:w="1796" w:type="dxa"/>
            <w:shd w:val="clear" w:color="auto" w:fill="auto"/>
            <w:vAlign w:val="center"/>
          </w:tcPr>
          <w:p w14:paraId="32E4DE55" w14:textId="50903E98" w:rsidR="00D425ED" w:rsidRDefault="00D425ED"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44</w:t>
            </w:r>
          </w:p>
        </w:tc>
      </w:tr>
      <w:tr w:rsidR="00DC1C3A" w:rsidRPr="00A55B15" w14:paraId="5B5D76A0" w14:textId="77777777" w:rsidTr="00D425ED">
        <w:trPr>
          <w:trHeight w:val="398"/>
        </w:trPr>
        <w:tc>
          <w:tcPr>
            <w:tcW w:w="2043" w:type="dxa"/>
            <w:vMerge w:val="restart"/>
            <w:shd w:val="clear" w:color="auto" w:fill="D2232A"/>
            <w:noWrap/>
            <w:vAlign w:val="center"/>
          </w:tcPr>
          <w:p w14:paraId="21DFE033" w14:textId="74AAD5EB"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Dom za starije Majke Terezije Tauscher</w:t>
            </w:r>
            <w:r w:rsidR="00215D05">
              <w:rPr>
                <w:rStyle w:val="Referencafusnote"/>
                <w:rFonts w:eastAsia="Times New Roman" w:cs="Calibri"/>
                <w:color w:val="FFFFFF"/>
                <w:szCs w:val="18"/>
                <w:lang w:eastAsia="hr-HR"/>
              </w:rPr>
              <w:footnoteReference w:id="36"/>
            </w:r>
          </w:p>
        </w:tc>
        <w:tc>
          <w:tcPr>
            <w:tcW w:w="1759" w:type="dxa"/>
            <w:vMerge w:val="restart"/>
            <w:shd w:val="clear" w:color="auto" w:fill="auto"/>
            <w:vAlign w:val="center"/>
          </w:tcPr>
          <w:p w14:paraId="24A8D753" w14:textId="77777777" w:rsidR="00DC1C3A" w:rsidRPr="00A55B15"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Hum na Sutli</w:t>
            </w:r>
          </w:p>
        </w:tc>
        <w:tc>
          <w:tcPr>
            <w:tcW w:w="1562" w:type="dxa"/>
            <w:vMerge w:val="restart"/>
            <w:shd w:val="clear" w:color="auto" w:fill="auto"/>
            <w:vAlign w:val="center"/>
          </w:tcPr>
          <w:p w14:paraId="7C5959F9" w14:textId="372A8130"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szCs w:val="18"/>
                <w:lang w:eastAsia="hr-HR"/>
              </w:rPr>
              <w:t>Privatni</w:t>
            </w:r>
            <w:r w:rsidR="00215D05">
              <w:rPr>
                <w:rFonts w:eastAsia="Times New Roman" w:cs="Calibri"/>
                <w:szCs w:val="18"/>
                <w:lang w:eastAsia="hr-HR"/>
              </w:rPr>
              <w:t xml:space="preserve"> </w:t>
            </w:r>
          </w:p>
        </w:tc>
        <w:tc>
          <w:tcPr>
            <w:tcW w:w="2130" w:type="dxa"/>
            <w:shd w:val="clear" w:color="auto" w:fill="auto"/>
            <w:vAlign w:val="center"/>
          </w:tcPr>
          <w:p w14:paraId="0ADDA8F6" w14:textId="77777777" w:rsidR="00DC1C3A" w:rsidRPr="00240B8C"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auto"/>
            <w:vAlign w:val="center"/>
          </w:tcPr>
          <w:p w14:paraId="74A79073" w14:textId="3A73B309" w:rsidR="00DC1C3A" w:rsidRPr="00A55B15" w:rsidRDefault="00DC1C3A"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20</w:t>
            </w:r>
          </w:p>
        </w:tc>
      </w:tr>
      <w:tr w:rsidR="00DC1C3A" w:rsidRPr="00A55B15" w14:paraId="61CB3D8C" w14:textId="77777777" w:rsidTr="00D425ED">
        <w:trPr>
          <w:trHeight w:val="404"/>
        </w:trPr>
        <w:tc>
          <w:tcPr>
            <w:tcW w:w="2043" w:type="dxa"/>
            <w:vMerge/>
            <w:shd w:val="clear" w:color="auto" w:fill="D2232A"/>
            <w:noWrap/>
            <w:vAlign w:val="center"/>
          </w:tcPr>
          <w:p w14:paraId="2B9CB2DD" w14:textId="77777777" w:rsidR="00DC1C3A" w:rsidRPr="00A55B15" w:rsidRDefault="00DC1C3A" w:rsidP="00A06A64">
            <w:pPr>
              <w:spacing w:after="0" w:line="240" w:lineRule="auto"/>
              <w:rPr>
                <w:rFonts w:eastAsia="Times New Roman" w:cs="Calibri"/>
                <w:color w:val="FFFFFF"/>
                <w:szCs w:val="18"/>
                <w:lang w:eastAsia="hr-HR"/>
              </w:rPr>
            </w:pPr>
          </w:p>
        </w:tc>
        <w:tc>
          <w:tcPr>
            <w:tcW w:w="1759" w:type="dxa"/>
            <w:vMerge/>
            <w:shd w:val="clear" w:color="auto" w:fill="auto"/>
            <w:vAlign w:val="center"/>
          </w:tcPr>
          <w:p w14:paraId="3586A0DA"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auto"/>
            <w:vAlign w:val="center"/>
          </w:tcPr>
          <w:p w14:paraId="08D59980" w14:textId="77777777" w:rsidR="00DC1C3A" w:rsidRPr="00A55B15" w:rsidRDefault="00DC1C3A" w:rsidP="00A06A64">
            <w:pPr>
              <w:spacing w:after="0" w:line="240" w:lineRule="auto"/>
              <w:rPr>
                <w:rFonts w:eastAsia="Times New Roman" w:cs="Calibri"/>
                <w:szCs w:val="18"/>
                <w:lang w:eastAsia="hr-HR"/>
              </w:rPr>
            </w:pPr>
          </w:p>
        </w:tc>
        <w:tc>
          <w:tcPr>
            <w:tcW w:w="2130" w:type="dxa"/>
            <w:shd w:val="clear" w:color="auto" w:fill="auto"/>
            <w:vAlign w:val="center"/>
          </w:tcPr>
          <w:p w14:paraId="056E6FDD" w14:textId="77777777" w:rsidR="00DC1C3A" w:rsidRPr="00240B8C" w:rsidRDefault="00DC1C3A" w:rsidP="00A06A64">
            <w:pPr>
              <w:spacing w:after="0"/>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auto"/>
            <w:vAlign w:val="center"/>
          </w:tcPr>
          <w:p w14:paraId="78C612C6" w14:textId="3375021C" w:rsidR="00DC1C3A" w:rsidRPr="00240B8C" w:rsidRDefault="00D425ED" w:rsidP="00A06A64">
            <w:pPr>
              <w:spacing w:after="0"/>
              <w:jc w:val="right"/>
              <w:rPr>
                <w:rFonts w:eastAsia="Times New Roman" w:cs="Calibri"/>
                <w:color w:val="000000"/>
                <w:szCs w:val="18"/>
                <w:lang w:eastAsia="hr-HR"/>
              </w:rPr>
            </w:pPr>
            <w:r>
              <w:rPr>
                <w:rFonts w:eastAsia="Times New Roman" w:cs="Calibri"/>
                <w:color w:val="000000"/>
                <w:szCs w:val="18"/>
                <w:lang w:eastAsia="hr-HR"/>
              </w:rPr>
              <w:t>20</w:t>
            </w:r>
          </w:p>
        </w:tc>
      </w:tr>
      <w:tr w:rsidR="00DC1C3A" w:rsidRPr="00A55B15" w14:paraId="57F7DA7C" w14:textId="77777777" w:rsidTr="00A06A64">
        <w:trPr>
          <w:trHeight w:val="283"/>
        </w:trPr>
        <w:tc>
          <w:tcPr>
            <w:tcW w:w="0" w:type="auto"/>
            <w:gridSpan w:val="5"/>
            <w:shd w:val="clear" w:color="auto" w:fill="D2232A"/>
            <w:noWrap/>
            <w:vAlign w:val="center"/>
            <w:hideMark/>
          </w:tcPr>
          <w:p w14:paraId="4D051B5F" w14:textId="77777777"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Domovi socijalne skrbi za djecu s teškoćama u razvoju i odrasle osobe s tjelesnim, intelektualnim i osjetilnim oštećenjima u Krapinsko-zagorskoj županiji</w:t>
            </w:r>
          </w:p>
        </w:tc>
      </w:tr>
      <w:tr w:rsidR="00DC1C3A" w:rsidRPr="00A55B15" w14:paraId="5662B7A3" w14:textId="77777777" w:rsidTr="00D425ED">
        <w:trPr>
          <w:trHeight w:val="283"/>
        </w:trPr>
        <w:tc>
          <w:tcPr>
            <w:tcW w:w="2043" w:type="dxa"/>
            <w:vMerge w:val="restart"/>
            <w:shd w:val="clear" w:color="auto" w:fill="D2232A"/>
            <w:vAlign w:val="center"/>
          </w:tcPr>
          <w:p w14:paraId="5A85B21E" w14:textId="77777777"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 xml:space="preserve">Centar za rehabilitaciju – Varaždin, Podružnica Pustodol </w:t>
            </w:r>
          </w:p>
        </w:tc>
        <w:tc>
          <w:tcPr>
            <w:tcW w:w="1759" w:type="dxa"/>
            <w:vMerge w:val="restart"/>
            <w:shd w:val="clear" w:color="auto" w:fill="E8E8E8"/>
            <w:vAlign w:val="center"/>
          </w:tcPr>
          <w:p w14:paraId="560F1864"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Grad Donja Stubica</w:t>
            </w:r>
          </w:p>
        </w:tc>
        <w:tc>
          <w:tcPr>
            <w:tcW w:w="1562" w:type="dxa"/>
            <w:vMerge w:val="restart"/>
            <w:shd w:val="clear" w:color="auto" w:fill="E8E8E8"/>
            <w:vAlign w:val="center"/>
          </w:tcPr>
          <w:p w14:paraId="1C2798F6"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Krapinsko-zagorska županija</w:t>
            </w:r>
          </w:p>
        </w:tc>
        <w:tc>
          <w:tcPr>
            <w:tcW w:w="2130" w:type="dxa"/>
            <w:shd w:val="clear" w:color="auto" w:fill="E8E8E8"/>
            <w:noWrap/>
            <w:vAlign w:val="center"/>
          </w:tcPr>
          <w:p w14:paraId="3623C6AC"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E8E8E8"/>
            <w:noWrap/>
            <w:vAlign w:val="center"/>
          </w:tcPr>
          <w:p w14:paraId="15897BE5" w14:textId="77777777" w:rsidR="00DC1C3A" w:rsidRPr="00A55B15" w:rsidRDefault="00DC1C3A" w:rsidP="00A06A64">
            <w:pPr>
              <w:spacing w:after="0" w:line="240" w:lineRule="auto"/>
              <w:jc w:val="right"/>
              <w:rPr>
                <w:rFonts w:eastAsia="Times New Roman" w:cs="Calibri"/>
                <w:color w:val="000000"/>
                <w:szCs w:val="18"/>
                <w:lang w:eastAsia="hr-HR"/>
              </w:rPr>
            </w:pPr>
            <w:r w:rsidRPr="00A55B15">
              <w:rPr>
                <w:rFonts w:eastAsia="Times New Roman" w:cs="Calibri"/>
                <w:color w:val="000000"/>
                <w:szCs w:val="18"/>
                <w:lang w:eastAsia="hr-HR"/>
              </w:rPr>
              <w:t>250</w:t>
            </w:r>
            <w:r w:rsidRPr="00A55B15">
              <w:rPr>
                <w:rFonts w:eastAsia="Times New Roman" w:cs="Calibri"/>
                <w:color w:val="000000"/>
                <w:szCs w:val="18"/>
                <w:vertAlign w:val="superscript"/>
                <w:lang w:eastAsia="hr-HR"/>
              </w:rPr>
              <w:footnoteReference w:id="37"/>
            </w:r>
          </w:p>
        </w:tc>
      </w:tr>
      <w:tr w:rsidR="00DC1C3A" w:rsidRPr="00A55B15" w14:paraId="64944C21" w14:textId="77777777" w:rsidTr="00D425ED">
        <w:trPr>
          <w:trHeight w:val="283"/>
        </w:trPr>
        <w:tc>
          <w:tcPr>
            <w:tcW w:w="2043" w:type="dxa"/>
            <w:vMerge/>
            <w:shd w:val="clear" w:color="auto" w:fill="D2232A"/>
            <w:vAlign w:val="center"/>
          </w:tcPr>
          <w:p w14:paraId="242BD1F1" w14:textId="77777777" w:rsidR="00DC1C3A" w:rsidRPr="00A55B15" w:rsidRDefault="00DC1C3A" w:rsidP="00A06A64">
            <w:pPr>
              <w:spacing w:after="0" w:line="240" w:lineRule="auto"/>
              <w:rPr>
                <w:rFonts w:eastAsia="Times New Roman" w:cs="Calibri"/>
                <w:color w:val="FFFFFF"/>
                <w:szCs w:val="18"/>
                <w:lang w:eastAsia="hr-HR"/>
              </w:rPr>
            </w:pPr>
          </w:p>
        </w:tc>
        <w:tc>
          <w:tcPr>
            <w:tcW w:w="1759" w:type="dxa"/>
            <w:vMerge/>
            <w:shd w:val="clear" w:color="auto" w:fill="E8E8E8"/>
            <w:vAlign w:val="center"/>
          </w:tcPr>
          <w:p w14:paraId="4021C957" w14:textId="77777777" w:rsidR="00DC1C3A" w:rsidRPr="00A55B15" w:rsidRDefault="00DC1C3A" w:rsidP="00A06A64">
            <w:pPr>
              <w:spacing w:after="0" w:line="240" w:lineRule="auto"/>
              <w:rPr>
                <w:rFonts w:eastAsia="Times New Roman" w:cs="Calibri"/>
                <w:color w:val="000000"/>
                <w:szCs w:val="18"/>
                <w:lang w:eastAsia="hr-HR"/>
              </w:rPr>
            </w:pPr>
          </w:p>
        </w:tc>
        <w:tc>
          <w:tcPr>
            <w:tcW w:w="1562" w:type="dxa"/>
            <w:vMerge/>
            <w:shd w:val="clear" w:color="auto" w:fill="E8E8E8"/>
            <w:vAlign w:val="center"/>
          </w:tcPr>
          <w:p w14:paraId="6B35F0AF" w14:textId="77777777" w:rsidR="00DC1C3A" w:rsidRPr="00A55B15" w:rsidRDefault="00DC1C3A" w:rsidP="00A06A64">
            <w:pPr>
              <w:spacing w:after="0" w:line="240" w:lineRule="auto"/>
              <w:rPr>
                <w:rFonts w:eastAsia="Times New Roman" w:cs="Calibri"/>
                <w:color w:val="000000"/>
                <w:szCs w:val="18"/>
                <w:lang w:eastAsia="hr-HR"/>
              </w:rPr>
            </w:pPr>
          </w:p>
        </w:tc>
        <w:tc>
          <w:tcPr>
            <w:tcW w:w="2130" w:type="dxa"/>
            <w:shd w:val="clear" w:color="auto" w:fill="E8E8E8"/>
            <w:noWrap/>
            <w:vAlign w:val="center"/>
          </w:tcPr>
          <w:p w14:paraId="0F5F60DD"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E8E8E8"/>
            <w:noWrap/>
            <w:vAlign w:val="center"/>
          </w:tcPr>
          <w:p w14:paraId="5913B85A" w14:textId="3F8DCF7D" w:rsidR="00DC1C3A" w:rsidRPr="00A55B15" w:rsidRDefault="004A5CFE"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250</w:t>
            </w:r>
          </w:p>
        </w:tc>
      </w:tr>
      <w:tr w:rsidR="00DC1C3A" w:rsidRPr="00A55B15" w14:paraId="37B0EA34" w14:textId="77777777" w:rsidTr="00D425ED">
        <w:trPr>
          <w:trHeight w:val="283"/>
        </w:trPr>
        <w:tc>
          <w:tcPr>
            <w:tcW w:w="2043" w:type="dxa"/>
            <w:vMerge w:val="restart"/>
            <w:shd w:val="clear" w:color="auto" w:fill="D2232A"/>
            <w:vAlign w:val="center"/>
            <w:hideMark/>
          </w:tcPr>
          <w:p w14:paraId="28397C5C" w14:textId="77777777"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Centar za odgoj i obrazovanje „Zajezda“</w:t>
            </w:r>
          </w:p>
        </w:tc>
        <w:tc>
          <w:tcPr>
            <w:tcW w:w="1759" w:type="dxa"/>
            <w:vMerge w:val="restart"/>
            <w:shd w:val="clear" w:color="auto" w:fill="auto"/>
            <w:vAlign w:val="center"/>
            <w:hideMark/>
          </w:tcPr>
          <w:p w14:paraId="40649E41"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Općina</w:t>
            </w:r>
          </w:p>
          <w:p w14:paraId="6F17EC5E"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Budinščina</w:t>
            </w:r>
          </w:p>
        </w:tc>
        <w:tc>
          <w:tcPr>
            <w:tcW w:w="1562" w:type="dxa"/>
            <w:vMerge w:val="restart"/>
            <w:shd w:val="clear" w:color="auto" w:fill="auto"/>
            <w:vAlign w:val="center"/>
            <w:hideMark/>
          </w:tcPr>
          <w:p w14:paraId="03D3BA4E"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RH</w:t>
            </w:r>
          </w:p>
        </w:tc>
        <w:tc>
          <w:tcPr>
            <w:tcW w:w="2130" w:type="dxa"/>
            <w:shd w:val="clear" w:color="auto" w:fill="auto"/>
            <w:noWrap/>
            <w:vAlign w:val="center"/>
            <w:hideMark/>
          </w:tcPr>
          <w:p w14:paraId="6C9EE207"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auto"/>
            <w:noWrap/>
            <w:vAlign w:val="center"/>
            <w:hideMark/>
          </w:tcPr>
          <w:p w14:paraId="26522061" w14:textId="40E51B1E" w:rsidR="00DC1C3A" w:rsidRPr="00A55B15" w:rsidRDefault="004A5CFE"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60</w:t>
            </w:r>
          </w:p>
        </w:tc>
      </w:tr>
      <w:tr w:rsidR="00DC1C3A" w:rsidRPr="00A55B15" w14:paraId="591761EB" w14:textId="77777777" w:rsidTr="00D425ED">
        <w:trPr>
          <w:trHeight w:val="283"/>
        </w:trPr>
        <w:tc>
          <w:tcPr>
            <w:tcW w:w="2043" w:type="dxa"/>
            <w:vMerge/>
            <w:shd w:val="clear" w:color="auto" w:fill="D2232A"/>
            <w:vAlign w:val="center"/>
            <w:hideMark/>
          </w:tcPr>
          <w:p w14:paraId="191592E0"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auto"/>
            <w:vAlign w:val="center"/>
            <w:hideMark/>
          </w:tcPr>
          <w:p w14:paraId="6BB067E0"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auto"/>
            <w:vAlign w:val="center"/>
            <w:hideMark/>
          </w:tcPr>
          <w:p w14:paraId="698DE7AC"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auto"/>
            <w:noWrap/>
            <w:vAlign w:val="center"/>
            <w:hideMark/>
          </w:tcPr>
          <w:p w14:paraId="03FD8F86"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auto"/>
            <w:noWrap/>
            <w:vAlign w:val="center"/>
            <w:hideMark/>
          </w:tcPr>
          <w:p w14:paraId="3177B995" w14:textId="357CEE59" w:rsidR="00DC1C3A" w:rsidRPr="00A55B15" w:rsidRDefault="004A5CFE"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32</w:t>
            </w:r>
          </w:p>
        </w:tc>
      </w:tr>
      <w:tr w:rsidR="00DC1C3A" w:rsidRPr="00A55B15" w14:paraId="34708F20" w14:textId="77777777" w:rsidTr="00A06A64">
        <w:trPr>
          <w:trHeight w:val="283"/>
        </w:trPr>
        <w:tc>
          <w:tcPr>
            <w:tcW w:w="0" w:type="auto"/>
            <w:gridSpan w:val="5"/>
            <w:shd w:val="clear" w:color="auto" w:fill="D2232A"/>
            <w:noWrap/>
            <w:vAlign w:val="center"/>
            <w:hideMark/>
          </w:tcPr>
          <w:p w14:paraId="71145793" w14:textId="77777777"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Domovi socijalne skrbi za djecu i mlade s problemima u ponašanju u Krapinsko-zagorskoj županiji</w:t>
            </w:r>
          </w:p>
        </w:tc>
      </w:tr>
      <w:tr w:rsidR="00DC1C3A" w:rsidRPr="00A55B15" w14:paraId="49047945" w14:textId="77777777" w:rsidTr="00D425ED">
        <w:trPr>
          <w:trHeight w:val="283"/>
        </w:trPr>
        <w:tc>
          <w:tcPr>
            <w:tcW w:w="2043" w:type="dxa"/>
            <w:vMerge w:val="restart"/>
            <w:shd w:val="clear" w:color="auto" w:fill="D2232A"/>
            <w:vAlign w:val="center"/>
            <w:hideMark/>
          </w:tcPr>
          <w:p w14:paraId="5D2F87AE" w14:textId="1FA7D25A" w:rsidR="00DC1C3A" w:rsidRPr="00A55B15" w:rsidRDefault="00DC1C3A" w:rsidP="00A06A64">
            <w:pPr>
              <w:spacing w:after="0" w:line="240" w:lineRule="auto"/>
              <w:rPr>
                <w:rFonts w:eastAsia="Times New Roman" w:cs="Calibri"/>
                <w:color w:val="FFFFFF"/>
                <w:szCs w:val="18"/>
                <w:lang w:eastAsia="hr-HR"/>
              </w:rPr>
            </w:pPr>
            <w:r w:rsidRPr="00A55B15">
              <w:rPr>
                <w:rFonts w:eastAsia="Times New Roman" w:cs="Calibri"/>
                <w:color w:val="FFFFFF"/>
                <w:szCs w:val="18"/>
                <w:lang w:eastAsia="hr-HR"/>
              </w:rPr>
              <w:t>Odgojni dom Bedekovčina</w:t>
            </w:r>
          </w:p>
        </w:tc>
        <w:tc>
          <w:tcPr>
            <w:tcW w:w="1759" w:type="dxa"/>
            <w:vMerge w:val="restart"/>
            <w:shd w:val="clear" w:color="auto" w:fill="E8E8E8"/>
            <w:vAlign w:val="center"/>
            <w:hideMark/>
          </w:tcPr>
          <w:p w14:paraId="0374FBE0"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Općina</w:t>
            </w:r>
          </w:p>
          <w:p w14:paraId="39EF75CD"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Bedekovčina</w:t>
            </w:r>
          </w:p>
        </w:tc>
        <w:tc>
          <w:tcPr>
            <w:tcW w:w="1562" w:type="dxa"/>
            <w:vMerge w:val="restart"/>
            <w:shd w:val="clear" w:color="auto" w:fill="E8E8E8"/>
            <w:vAlign w:val="center"/>
            <w:hideMark/>
          </w:tcPr>
          <w:p w14:paraId="32870081"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RH</w:t>
            </w:r>
          </w:p>
        </w:tc>
        <w:tc>
          <w:tcPr>
            <w:tcW w:w="2130" w:type="dxa"/>
            <w:shd w:val="clear" w:color="auto" w:fill="E8E8E8"/>
            <w:noWrap/>
            <w:vAlign w:val="center"/>
            <w:hideMark/>
          </w:tcPr>
          <w:p w14:paraId="002B3633"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Kapacitet</w:t>
            </w:r>
          </w:p>
        </w:tc>
        <w:tc>
          <w:tcPr>
            <w:tcW w:w="1796" w:type="dxa"/>
            <w:shd w:val="clear" w:color="auto" w:fill="E8E8E8"/>
            <w:noWrap/>
            <w:vAlign w:val="center"/>
            <w:hideMark/>
          </w:tcPr>
          <w:p w14:paraId="14CAF422" w14:textId="48535B53" w:rsidR="00DC1C3A" w:rsidRPr="00A55B15" w:rsidRDefault="004A5CFE" w:rsidP="004A5CFE">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11</w:t>
            </w:r>
          </w:p>
        </w:tc>
      </w:tr>
      <w:tr w:rsidR="00DC1C3A" w:rsidRPr="00A55B15" w14:paraId="41B99A90" w14:textId="77777777" w:rsidTr="00D425ED">
        <w:trPr>
          <w:trHeight w:val="283"/>
        </w:trPr>
        <w:tc>
          <w:tcPr>
            <w:tcW w:w="2043" w:type="dxa"/>
            <w:vMerge/>
            <w:shd w:val="clear" w:color="auto" w:fill="D2232A"/>
            <w:vAlign w:val="center"/>
            <w:hideMark/>
          </w:tcPr>
          <w:p w14:paraId="4BAD27C2" w14:textId="77777777" w:rsidR="00DC1C3A" w:rsidRPr="00A55B15" w:rsidRDefault="00DC1C3A" w:rsidP="00A06A64">
            <w:pPr>
              <w:spacing w:after="0"/>
              <w:rPr>
                <w:rFonts w:eastAsia="Times New Roman" w:cs="Calibri"/>
                <w:color w:val="FFFFFF"/>
                <w:szCs w:val="18"/>
                <w:lang w:eastAsia="hr-HR"/>
              </w:rPr>
            </w:pPr>
          </w:p>
        </w:tc>
        <w:tc>
          <w:tcPr>
            <w:tcW w:w="1759" w:type="dxa"/>
            <w:vMerge/>
            <w:shd w:val="clear" w:color="auto" w:fill="E8E8E8"/>
            <w:vAlign w:val="center"/>
            <w:hideMark/>
          </w:tcPr>
          <w:p w14:paraId="4CDB2BC5" w14:textId="77777777" w:rsidR="00DC1C3A" w:rsidRPr="00A55B15" w:rsidRDefault="00DC1C3A" w:rsidP="00A06A64">
            <w:pPr>
              <w:spacing w:after="0"/>
              <w:rPr>
                <w:rFonts w:eastAsia="Times New Roman" w:cs="Calibri"/>
                <w:color w:val="000000"/>
                <w:szCs w:val="18"/>
                <w:lang w:eastAsia="hr-HR"/>
              </w:rPr>
            </w:pPr>
          </w:p>
        </w:tc>
        <w:tc>
          <w:tcPr>
            <w:tcW w:w="1562" w:type="dxa"/>
            <w:vMerge/>
            <w:shd w:val="clear" w:color="auto" w:fill="E8E8E8"/>
            <w:vAlign w:val="center"/>
            <w:hideMark/>
          </w:tcPr>
          <w:p w14:paraId="0F2B0CCC" w14:textId="77777777" w:rsidR="00DC1C3A" w:rsidRPr="00A55B15" w:rsidRDefault="00DC1C3A" w:rsidP="00A06A64">
            <w:pPr>
              <w:spacing w:after="0"/>
              <w:rPr>
                <w:rFonts w:eastAsia="Times New Roman" w:cs="Calibri"/>
                <w:color w:val="000000"/>
                <w:szCs w:val="18"/>
                <w:lang w:eastAsia="hr-HR"/>
              </w:rPr>
            </w:pPr>
          </w:p>
        </w:tc>
        <w:tc>
          <w:tcPr>
            <w:tcW w:w="2130" w:type="dxa"/>
            <w:shd w:val="clear" w:color="auto" w:fill="E8E8E8"/>
            <w:noWrap/>
            <w:vAlign w:val="center"/>
            <w:hideMark/>
          </w:tcPr>
          <w:p w14:paraId="019694A0" w14:textId="77777777" w:rsidR="00DC1C3A" w:rsidRPr="00A55B15" w:rsidRDefault="00DC1C3A" w:rsidP="00A06A64">
            <w:pPr>
              <w:spacing w:after="0" w:line="240" w:lineRule="auto"/>
              <w:rPr>
                <w:rFonts w:eastAsia="Times New Roman" w:cs="Calibri"/>
                <w:color w:val="000000"/>
                <w:szCs w:val="18"/>
                <w:lang w:eastAsia="hr-HR"/>
              </w:rPr>
            </w:pPr>
            <w:r w:rsidRPr="00A55B15">
              <w:rPr>
                <w:rFonts w:eastAsia="Times New Roman" w:cs="Calibri"/>
                <w:color w:val="000000"/>
                <w:szCs w:val="18"/>
                <w:lang w:eastAsia="hr-HR"/>
              </w:rPr>
              <w:t>Broj korisnika</w:t>
            </w:r>
          </w:p>
        </w:tc>
        <w:tc>
          <w:tcPr>
            <w:tcW w:w="1796" w:type="dxa"/>
            <w:shd w:val="clear" w:color="auto" w:fill="E8E8E8"/>
            <w:noWrap/>
            <w:vAlign w:val="center"/>
            <w:hideMark/>
          </w:tcPr>
          <w:p w14:paraId="08D07F8B" w14:textId="09440FAF" w:rsidR="00DC1C3A" w:rsidRPr="00A55B15" w:rsidRDefault="004A5CFE" w:rsidP="00A06A64">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10</w:t>
            </w:r>
          </w:p>
        </w:tc>
      </w:tr>
    </w:tbl>
    <w:p w14:paraId="4525B3CC" w14:textId="1E93BDE9" w:rsidR="000F2E58" w:rsidRDefault="000F2E58" w:rsidP="008C64DE">
      <w:pPr>
        <w:autoSpaceDE w:val="0"/>
        <w:autoSpaceDN w:val="0"/>
        <w:adjustRightInd w:val="0"/>
        <w:spacing w:after="0" w:line="240" w:lineRule="auto"/>
        <w:rPr>
          <w:rFonts w:eastAsia="ArialNarrow" w:cstheme="minorHAnsi"/>
          <w:i/>
          <w:color w:val="ABABAB" w:themeColor="text1" w:themeTint="A6"/>
          <w:sz w:val="16"/>
          <w:szCs w:val="16"/>
        </w:rPr>
      </w:pPr>
      <w:r w:rsidRPr="001077FE">
        <w:rPr>
          <w:rFonts w:eastAsia="ArialNarrow" w:cstheme="minorHAnsi"/>
          <w:i/>
          <w:color w:val="ABABAB" w:themeColor="text1" w:themeTint="A6"/>
          <w:sz w:val="16"/>
          <w:szCs w:val="16"/>
        </w:rPr>
        <w:t>Izvor: KZŽ - Upravni odjel za zdravstvo, socijalnu politiku, branitelje, civilno društvo i mlade, 20</w:t>
      </w:r>
      <w:r w:rsidR="004A5CFE">
        <w:rPr>
          <w:rFonts w:eastAsia="ArialNarrow" w:cstheme="minorHAnsi"/>
          <w:i/>
          <w:color w:val="ABABAB" w:themeColor="text1" w:themeTint="A6"/>
          <w:sz w:val="16"/>
          <w:szCs w:val="16"/>
        </w:rPr>
        <w:t>21</w:t>
      </w:r>
      <w:r w:rsidRPr="001077FE">
        <w:rPr>
          <w:rFonts w:eastAsia="ArialNarrow" w:cstheme="minorHAnsi"/>
          <w:i/>
          <w:color w:val="ABABAB" w:themeColor="text1" w:themeTint="A6"/>
          <w:sz w:val="16"/>
          <w:szCs w:val="16"/>
        </w:rPr>
        <w:t>.</w:t>
      </w:r>
      <w:r w:rsidR="005F155A" w:rsidRPr="001077FE">
        <w:rPr>
          <w:rFonts w:eastAsia="ArialNarrow" w:cstheme="minorHAnsi"/>
          <w:i/>
          <w:color w:val="ABABAB" w:themeColor="text1" w:themeTint="A6"/>
          <w:sz w:val="16"/>
          <w:szCs w:val="16"/>
        </w:rPr>
        <w:t>; Ministarstvo rada, mirovinskog sustava, obitelji i socijalne politike, Godišnje statističko izvješće o domovima i korisnicima socijalne skrbi 2019.;</w:t>
      </w:r>
    </w:p>
    <w:p w14:paraId="24E95C7A" w14:textId="77777777" w:rsidR="001A3C2C" w:rsidRPr="008C64DE" w:rsidRDefault="001A3C2C" w:rsidP="008C64DE">
      <w:pPr>
        <w:autoSpaceDE w:val="0"/>
        <w:autoSpaceDN w:val="0"/>
        <w:adjustRightInd w:val="0"/>
        <w:spacing w:after="0" w:line="240" w:lineRule="auto"/>
        <w:rPr>
          <w:rFonts w:eastAsia="ArialNarrow" w:cstheme="minorHAnsi"/>
          <w:i/>
          <w:color w:val="ABABAB" w:themeColor="text1" w:themeTint="A6"/>
          <w:sz w:val="16"/>
          <w:szCs w:val="16"/>
        </w:rPr>
      </w:pPr>
    </w:p>
    <w:p w14:paraId="1860288A" w14:textId="3914E7E8" w:rsidR="000F2E58" w:rsidRDefault="000A528E" w:rsidP="000F2E58">
      <w:pPr>
        <w:spacing w:after="0" w:line="240" w:lineRule="auto"/>
        <w:rPr>
          <w:rFonts w:eastAsia="ArialNarrow"/>
        </w:rPr>
      </w:pPr>
      <w:r>
        <w:rPr>
          <w:rFonts w:eastAsia="ArialNarrow"/>
        </w:rPr>
        <w:t xml:space="preserve">Osim domova za odrasle osobe, na području Krapinsko-zagorske županije djeluje i 8 privatnih ustanova (kapacitet 446 korisnika), obiteljski dom za osobe s tjelesnim, intelektualnim i osjetilnim oštećenjima te </w:t>
      </w:r>
      <w:r w:rsidR="000F2E58" w:rsidRPr="183EFEC5">
        <w:rPr>
          <w:rFonts w:eastAsia="ArialNarrow"/>
        </w:rPr>
        <w:t>1</w:t>
      </w:r>
      <w:r>
        <w:rPr>
          <w:rFonts w:eastAsia="ArialNarrow"/>
        </w:rPr>
        <w:t>3</w:t>
      </w:r>
      <w:r w:rsidR="000F2E58" w:rsidRPr="183EFEC5">
        <w:rPr>
          <w:rFonts w:eastAsia="ArialNarrow"/>
        </w:rPr>
        <w:t xml:space="preserve"> obiteljskih domova koji pružaju usluge smještaja starijim i nemoćnim osobama. U općinama Veliko Trgovišće i Zlatar Bistrica smještena su po dva obiteljska doma dok je u preostalim općinama i gradovima smješten po jedan.</w:t>
      </w:r>
      <w:r>
        <w:rPr>
          <w:rFonts w:eastAsia="ArialNarrow"/>
        </w:rPr>
        <w:t xml:space="preserve"> Ukupan kapacitet obiteljskih domova je 221 korisnik. </w:t>
      </w:r>
    </w:p>
    <w:p w14:paraId="76E51A6E" w14:textId="77777777" w:rsidR="00E338D8" w:rsidRDefault="00E338D8" w:rsidP="00941871">
      <w:pPr>
        <w:autoSpaceDE w:val="0"/>
        <w:autoSpaceDN w:val="0"/>
        <w:adjustRightInd w:val="0"/>
        <w:spacing w:after="0" w:line="240" w:lineRule="auto"/>
        <w:rPr>
          <w:rFonts w:eastAsia="ArialNarrow" w:cstheme="minorHAnsi"/>
        </w:rPr>
      </w:pPr>
    </w:p>
    <w:p w14:paraId="01E4883C" w14:textId="5B1B68B8" w:rsidR="008878A0" w:rsidRDefault="008878A0" w:rsidP="003E3F3C">
      <w:pPr>
        <w:pStyle w:val="Opisslike"/>
      </w:pPr>
      <w:r>
        <w:t xml:space="preserve">Tablica </w:t>
      </w:r>
      <w:r w:rsidR="0010503B">
        <w:rPr>
          <w:noProof/>
        </w:rPr>
        <w:t>2</w:t>
      </w:r>
      <w:r w:rsidR="009A6A08">
        <w:rPr>
          <w:noProof/>
        </w:rPr>
        <w:t>5</w:t>
      </w:r>
      <w:r w:rsidR="009B61D3">
        <w:rPr>
          <w:noProof/>
        </w:rPr>
        <w:t>.</w:t>
      </w:r>
      <w:r>
        <w:t xml:space="preserve"> Obiteljski domovi i kapacitet, KZŽ 20</w:t>
      </w:r>
      <w:r w:rsidR="00535CF7">
        <w:t>20</w:t>
      </w:r>
      <w:r>
        <w:t xml:space="preserve">. </w:t>
      </w:r>
      <w:r w:rsidR="009B3DCC">
        <w:t>godina</w:t>
      </w:r>
    </w:p>
    <w:tbl>
      <w:tblPr>
        <w:tblW w:w="9293" w:type="dxa"/>
        <w:tblBorders>
          <w:right w:val="single" w:sz="8" w:space="0" w:color="D2232A"/>
          <w:insideH w:val="single" w:sz="8" w:space="0" w:color="F3CFC1"/>
        </w:tblBorders>
        <w:tblLook w:val="04A0" w:firstRow="1" w:lastRow="0" w:firstColumn="1" w:lastColumn="0" w:noHBand="0" w:noVBand="1"/>
      </w:tblPr>
      <w:tblGrid>
        <w:gridCol w:w="593"/>
        <w:gridCol w:w="2459"/>
        <w:gridCol w:w="4869"/>
        <w:gridCol w:w="1372"/>
      </w:tblGrid>
      <w:tr w:rsidR="00942E58" w:rsidRPr="006744F1" w14:paraId="05117A6C" w14:textId="77777777" w:rsidTr="00B150EE">
        <w:trPr>
          <w:trHeight w:val="283"/>
          <w:tblHeader/>
        </w:trPr>
        <w:tc>
          <w:tcPr>
            <w:tcW w:w="0" w:type="auto"/>
            <w:shd w:val="clear" w:color="auto" w:fill="D2232A" w:themeFill="accent1"/>
            <w:noWrap/>
            <w:vAlign w:val="center"/>
            <w:hideMark/>
          </w:tcPr>
          <w:p w14:paraId="54666303" w14:textId="1CE2B53D" w:rsidR="006C25A2" w:rsidRPr="006744F1" w:rsidRDefault="006C25A2" w:rsidP="00F053DD">
            <w:pPr>
              <w:spacing w:after="0" w:line="240" w:lineRule="auto"/>
              <w:jc w:val="left"/>
              <w:rPr>
                <w:rFonts w:eastAsia="Times New Roman" w:cstheme="minorHAnsi"/>
                <w:color w:val="FFFFFF"/>
                <w:szCs w:val="18"/>
                <w:lang w:eastAsia="hr-HR"/>
              </w:rPr>
            </w:pPr>
            <w:bookmarkStart w:id="78" w:name="OLE_LINK1"/>
            <w:r w:rsidRPr="006744F1">
              <w:rPr>
                <w:rFonts w:eastAsia="Times New Roman" w:cstheme="minorHAnsi"/>
                <w:color w:val="FFFFFF"/>
                <w:szCs w:val="18"/>
                <w:lang w:eastAsia="hr-HR"/>
              </w:rPr>
              <w:t>BROJ</w:t>
            </w:r>
          </w:p>
        </w:tc>
        <w:tc>
          <w:tcPr>
            <w:tcW w:w="2459" w:type="dxa"/>
            <w:shd w:val="clear" w:color="auto" w:fill="D2232A" w:themeFill="accent1"/>
            <w:noWrap/>
            <w:vAlign w:val="center"/>
            <w:hideMark/>
          </w:tcPr>
          <w:p w14:paraId="76F14DF7" w14:textId="77777777" w:rsidR="006C25A2" w:rsidRPr="006744F1" w:rsidRDefault="006C25A2" w:rsidP="00F053DD">
            <w:pPr>
              <w:spacing w:after="0" w:line="240" w:lineRule="auto"/>
              <w:jc w:val="left"/>
              <w:rPr>
                <w:rFonts w:eastAsia="Times New Roman" w:cstheme="minorHAnsi"/>
                <w:color w:val="FFFFFF"/>
                <w:szCs w:val="18"/>
                <w:lang w:eastAsia="hr-HR"/>
              </w:rPr>
            </w:pPr>
            <w:r w:rsidRPr="006744F1">
              <w:rPr>
                <w:rFonts w:eastAsia="Times New Roman" w:cstheme="minorHAnsi"/>
                <w:color w:val="FFFFFF"/>
                <w:szCs w:val="18"/>
                <w:lang w:eastAsia="hr-HR"/>
              </w:rPr>
              <w:t>GRAD/OPĆINA</w:t>
            </w:r>
          </w:p>
        </w:tc>
        <w:tc>
          <w:tcPr>
            <w:tcW w:w="4869" w:type="dxa"/>
            <w:shd w:val="clear" w:color="auto" w:fill="D2232A" w:themeFill="accent1"/>
            <w:noWrap/>
            <w:vAlign w:val="center"/>
            <w:hideMark/>
          </w:tcPr>
          <w:p w14:paraId="224901CE" w14:textId="3DC620D1" w:rsidR="006C25A2" w:rsidRPr="006744F1" w:rsidRDefault="006C25A2" w:rsidP="00F053DD">
            <w:pPr>
              <w:spacing w:after="0" w:line="240" w:lineRule="auto"/>
              <w:jc w:val="left"/>
              <w:rPr>
                <w:rFonts w:eastAsia="Times New Roman" w:cstheme="minorHAnsi"/>
                <w:color w:val="FFFFFF"/>
                <w:szCs w:val="18"/>
                <w:lang w:eastAsia="hr-HR"/>
              </w:rPr>
            </w:pPr>
            <w:r w:rsidRPr="006744F1">
              <w:rPr>
                <w:rFonts w:eastAsia="Times New Roman" w:cstheme="minorHAnsi"/>
                <w:color w:val="FFFFFF"/>
                <w:szCs w:val="18"/>
                <w:lang w:eastAsia="hr-HR"/>
              </w:rPr>
              <w:t>NAZIV DOMA</w:t>
            </w:r>
          </w:p>
        </w:tc>
        <w:tc>
          <w:tcPr>
            <w:tcW w:w="1372" w:type="dxa"/>
            <w:shd w:val="clear" w:color="auto" w:fill="D2232A" w:themeFill="accent1"/>
            <w:noWrap/>
            <w:vAlign w:val="center"/>
            <w:hideMark/>
          </w:tcPr>
          <w:p w14:paraId="65D70617" w14:textId="77777777" w:rsidR="006C25A2" w:rsidRPr="006744F1" w:rsidRDefault="006C25A2" w:rsidP="00F053DD">
            <w:pPr>
              <w:spacing w:after="0" w:line="240" w:lineRule="auto"/>
              <w:jc w:val="left"/>
              <w:rPr>
                <w:rFonts w:eastAsia="Times New Roman" w:cstheme="minorHAnsi"/>
                <w:color w:val="FFFFFF"/>
                <w:szCs w:val="18"/>
                <w:lang w:eastAsia="hr-HR"/>
              </w:rPr>
            </w:pPr>
            <w:r w:rsidRPr="006744F1">
              <w:rPr>
                <w:rFonts w:eastAsia="Times New Roman" w:cstheme="minorHAnsi"/>
                <w:color w:val="FFFFFF"/>
                <w:szCs w:val="18"/>
                <w:lang w:eastAsia="hr-HR"/>
              </w:rPr>
              <w:t>KAPACITET</w:t>
            </w:r>
          </w:p>
        </w:tc>
      </w:tr>
      <w:tr w:rsidR="00942E58" w:rsidRPr="006744F1" w14:paraId="530311EF" w14:textId="77777777" w:rsidTr="00B150EE">
        <w:trPr>
          <w:trHeight w:val="283"/>
        </w:trPr>
        <w:tc>
          <w:tcPr>
            <w:tcW w:w="0" w:type="auto"/>
            <w:shd w:val="clear" w:color="auto" w:fill="D2232A" w:themeFill="accent1"/>
            <w:vAlign w:val="center"/>
            <w:hideMark/>
          </w:tcPr>
          <w:p w14:paraId="2308D7AB" w14:textId="226BDF92" w:rsidR="006C25A2" w:rsidRPr="006744F1" w:rsidRDefault="008508BF"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1.</w:t>
            </w:r>
          </w:p>
        </w:tc>
        <w:tc>
          <w:tcPr>
            <w:tcW w:w="2459" w:type="dxa"/>
            <w:shd w:val="clear" w:color="auto" w:fill="auto"/>
            <w:vAlign w:val="center"/>
            <w:hideMark/>
          </w:tcPr>
          <w:p w14:paraId="25468839" w14:textId="1EA59207" w:rsidR="006C25A2" w:rsidRPr="006744F1"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Grad Donja Stubica</w:t>
            </w:r>
          </w:p>
        </w:tc>
        <w:tc>
          <w:tcPr>
            <w:tcW w:w="4869" w:type="dxa"/>
            <w:shd w:val="clear" w:color="auto" w:fill="auto"/>
            <w:vAlign w:val="center"/>
            <w:hideMark/>
          </w:tcPr>
          <w:p w14:paraId="1DE4C907" w14:textId="1E6BD129" w:rsidR="006C25A2" w:rsidRPr="006744F1"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Obiteljski dom za starije i nemoćne osobe ''Pustodol''</w:t>
            </w:r>
          </w:p>
        </w:tc>
        <w:tc>
          <w:tcPr>
            <w:tcW w:w="1372" w:type="dxa"/>
            <w:shd w:val="clear" w:color="auto" w:fill="auto"/>
            <w:noWrap/>
            <w:vAlign w:val="center"/>
            <w:hideMark/>
          </w:tcPr>
          <w:p w14:paraId="6D00CE9B" w14:textId="0BE29440" w:rsidR="006C25A2" w:rsidRPr="006744F1" w:rsidRDefault="00B150EE" w:rsidP="00F053DD">
            <w:pPr>
              <w:spacing w:after="0" w:line="240" w:lineRule="auto"/>
              <w:jc w:val="left"/>
              <w:rPr>
                <w:rFonts w:eastAsia="Times New Roman" w:cstheme="minorHAnsi"/>
                <w:szCs w:val="18"/>
                <w:lang w:eastAsia="hr-HR"/>
              </w:rPr>
            </w:pPr>
            <w:r>
              <w:rPr>
                <w:rFonts w:eastAsia="Times New Roman" w:cstheme="minorHAnsi"/>
                <w:szCs w:val="18"/>
                <w:lang w:eastAsia="hr-HR"/>
              </w:rPr>
              <w:t>20</w:t>
            </w:r>
          </w:p>
        </w:tc>
      </w:tr>
      <w:tr w:rsidR="004A5CFE" w:rsidRPr="006744F1" w14:paraId="00A610FD" w14:textId="77777777" w:rsidTr="00B150EE">
        <w:trPr>
          <w:trHeight w:val="283"/>
        </w:trPr>
        <w:tc>
          <w:tcPr>
            <w:tcW w:w="0" w:type="auto"/>
            <w:shd w:val="clear" w:color="auto" w:fill="D2232A" w:themeFill="accent1"/>
            <w:vAlign w:val="center"/>
          </w:tcPr>
          <w:p w14:paraId="25CEDDF5" w14:textId="0BD142B6" w:rsidR="004A5CFE" w:rsidRDefault="004A5CFE"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2.</w:t>
            </w:r>
          </w:p>
        </w:tc>
        <w:tc>
          <w:tcPr>
            <w:tcW w:w="2459" w:type="dxa"/>
            <w:shd w:val="clear" w:color="auto" w:fill="auto"/>
            <w:vAlign w:val="center"/>
          </w:tcPr>
          <w:p w14:paraId="0C25BDD3" w14:textId="22669138" w:rsidR="004A5CFE" w:rsidRDefault="004A5CF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Grad Oroslavje</w:t>
            </w:r>
          </w:p>
        </w:tc>
        <w:tc>
          <w:tcPr>
            <w:tcW w:w="4869" w:type="dxa"/>
            <w:shd w:val="clear" w:color="auto" w:fill="auto"/>
            <w:vAlign w:val="center"/>
          </w:tcPr>
          <w:p w14:paraId="1EEFF583" w14:textId="0A1817F8" w:rsidR="004A5CFE" w:rsidRDefault="00DD012D"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Obiteljski dom Zlatne godine</w:t>
            </w:r>
          </w:p>
        </w:tc>
        <w:tc>
          <w:tcPr>
            <w:tcW w:w="1372" w:type="dxa"/>
            <w:shd w:val="clear" w:color="auto" w:fill="auto"/>
            <w:noWrap/>
            <w:vAlign w:val="center"/>
          </w:tcPr>
          <w:p w14:paraId="76AA5C5B" w14:textId="4057FD34" w:rsidR="004A5CFE" w:rsidRDefault="00DD012D" w:rsidP="00F053DD">
            <w:pPr>
              <w:spacing w:after="0" w:line="240" w:lineRule="auto"/>
              <w:jc w:val="left"/>
              <w:rPr>
                <w:rFonts w:eastAsia="Times New Roman" w:cstheme="minorHAnsi"/>
                <w:szCs w:val="18"/>
                <w:lang w:eastAsia="hr-HR"/>
              </w:rPr>
            </w:pPr>
            <w:r>
              <w:rPr>
                <w:rFonts w:eastAsia="Times New Roman" w:cstheme="minorHAnsi"/>
                <w:szCs w:val="18"/>
                <w:lang w:eastAsia="hr-HR"/>
              </w:rPr>
              <w:t>14</w:t>
            </w:r>
          </w:p>
        </w:tc>
      </w:tr>
      <w:tr w:rsidR="00B150EE" w:rsidRPr="006744F1" w14:paraId="4CEBED32" w14:textId="77777777" w:rsidTr="00B150EE">
        <w:trPr>
          <w:trHeight w:val="283"/>
        </w:trPr>
        <w:tc>
          <w:tcPr>
            <w:tcW w:w="0" w:type="auto"/>
            <w:shd w:val="clear" w:color="auto" w:fill="D2232A" w:themeFill="accent1"/>
            <w:vAlign w:val="center"/>
          </w:tcPr>
          <w:p w14:paraId="466EEBDA" w14:textId="6678E8DB" w:rsidR="00B150EE" w:rsidRDefault="00DD012D"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3</w:t>
            </w:r>
            <w:r w:rsidR="00B150EE">
              <w:rPr>
                <w:rFonts w:eastAsia="Times New Roman" w:cstheme="minorHAnsi"/>
                <w:color w:val="FFFFFF"/>
                <w:szCs w:val="18"/>
                <w:lang w:eastAsia="hr-HR"/>
              </w:rPr>
              <w:t>.</w:t>
            </w:r>
          </w:p>
        </w:tc>
        <w:tc>
          <w:tcPr>
            <w:tcW w:w="2459" w:type="dxa"/>
            <w:shd w:val="clear" w:color="auto" w:fill="auto"/>
            <w:vAlign w:val="center"/>
          </w:tcPr>
          <w:p w14:paraId="285AD44D" w14:textId="51A6ECDA" w:rsidR="00B150EE" w:rsidRPr="006744F1"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Grad Zlatar</w:t>
            </w:r>
          </w:p>
        </w:tc>
        <w:tc>
          <w:tcPr>
            <w:tcW w:w="4869" w:type="dxa"/>
            <w:shd w:val="clear" w:color="auto" w:fill="auto"/>
            <w:vAlign w:val="center"/>
          </w:tcPr>
          <w:p w14:paraId="3F8F5A1A" w14:textId="2C8C3820" w:rsidR="00B150EE" w:rsidRPr="006744F1"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Obiteljski dom ''ORHIDEJA''</w:t>
            </w:r>
          </w:p>
        </w:tc>
        <w:tc>
          <w:tcPr>
            <w:tcW w:w="1372" w:type="dxa"/>
            <w:shd w:val="clear" w:color="auto" w:fill="auto"/>
            <w:noWrap/>
            <w:vAlign w:val="center"/>
          </w:tcPr>
          <w:p w14:paraId="79805FE6" w14:textId="01150E23" w:rsidR="00B150EE" w:rsidRPr="006744F1" w:rsidRDefault="00B150EE" w:rsidP="00F053DD">
            <w:pPr>
              <w:spacing w:after="0" w:line="240" w:lineRule="auto"/>
              <w:jc w:val="left"/>
              <w:rPr>
                <w:rFonts w:eastAsia="Times New Roman" w:cstheme="minorHAnsi"/>
                <w:szCs w:val="18"/>
                <w:lang w:eastAsia="hr-HR"/>
              </w:rPr>
            </w:pPr>
            <w:r>
              <w:rPr>
                <w:rFonts w:eastAsia="Times New Roman" w:cstheme="minorHAnsi"/>
                <w:szCs w:val="18"/>
                <w:lang w:eastAsia="hr-HR"/>
              </w:rPr>
              <w:t>20</w:t>
            </w:r>
          </w:p>
        </w:tc>
      </w:tr>
      <w:tr w:rsidR="00B150EE" w:rsidRPr="006744F1" w14:paraId="19679D77" w14:textId="77777777" w:rsidTr="00A15ACD">
        <w:trPr>
          <w:trHeight w:val="283"/>
        </w:trPr>
        <w:tc>
          <w:tcPr>
            <w:tcW w:w="0" w:type="auto"/>
            <w:shd w:val="clear" w:color="auto" w:fill="D2232A" w:themeFill="accent1"/>
            <w:vAlign w:val="center"/>
          </w:tcPr>
          <w:p w14:paraId="4B0C884C" w14:textId="1398D2BA" w:rsidR="00B150EE" w:rsidRDefault="00DD012D"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4</w:t>
            </w:r>
            <w:r w:rsidR="00B150EE">
              <w:rPr>
                <w:rFonts w:eastAsia="Times New Roman" w:cstheme="minorHAnsi"/>
                <w:color w:val="FFFFFF"/>
                <w:szCs w:val="18"/>
                <w:lang w:eastAsia="hr-HR"/>
              </w:rPr>
              <w:t>.</w:t>
            </w:r>
          </w:p>
        </w:tc>
        <w:tc>
          <w:tcPr>
            <w:tcW w:w="2459" w:type="dxa"/>
            <w:shd w:val="clear" w:color="auto" w:fill="auto"/>
            <w:vAlign w:val="center"/>
          </w:tcPr>
          <w:p w14:paraId="3AD5B0C3" w14:textId="37A8109D"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Općina Desinić</w:t>
            </w:r>
          </w:p>
        </w:tc>
        <w:tc>
          <w:tcPr>
            <w:tcW w:w="4869" w:type="dxa"/>
            <w:shd w:val="clear" w:color="auto" w:fill="auto"/>
            <w:vAlign w:val="center"/>
          </w:tcPr>
          <w:p w14:paraId="32EB0AEC" w14:textId="768E742A"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Obiteljski dom za starije i nemoćne TRSEK</w:t>
            </w:r>
          </w:p>
        </w:tc>
        <w:tc>
          <w:tcPr>
            <w:tcW w:w="1372" w:type="dxa"/>
            <w:shd w:val="clear" w:color="auto" w:fill="auto"/>
            <w:noWrap/>
            <w:vAlign w:val="center"/>
          </w:tcPr>
          <w:p w14:paraId="7E0ED0A7" w14:textId="5944209C" w:rsidR="00B150EE" w:rsidRDefault="00B150EE" w:rsidP="00F053DD">
            <w:pPr>
              <w:spacing w:after="0" w:line="240" w:lineRule="auto"/>
              <w:jc w:val="left"/>
              <w:rPr>
                <w:rFonts w:eastAsia="Times New Roman" w:cstheme="minorHAnsi"/>
                <w:szCs w:val="18"/>
                <w:lang w:eastAsia="hr-HR"/>
              </w:rPr>
            </w:pPr>
            <w:r>
              <w:rPr>
                <w:rFonts w:eastAsia="Times New Roman" w:cstheme="minorHAnsi"/>
                <w:szCs w:val="18"/>
                <w:lang w:eastAsia="hr-HR"/>
              </w:rPr>
              <w:t>19</w:t>
            </w:r>
          </w:p>
        </w:tc>
      </w:tr>
      <w:tr w:rsidR="00B150EE" w:rsidRPr="006744F1" w14:paraId="655EDDB8" w14:textId="77777777" w:rsidTr="00B150EE">
        <w:trPr>
          <w:trHeight w:val="283"/>
        </w:trPr>
        <w:tc>
          <w:tcPr>
            <w:tcW w:w="0" w:type="auto"/>
            <w:shd w:val="clear" w:color="auto" w:fill="D2232A" w:themeFill="accent1"/>
            <w:vAlign w:val="center"/>
          </w:tcPr>
          <w:p w14:paraId="0046DB20" w14:textId="65AD041C" w:rsidR="00B150EE" w:rsidRDefault="00DD012D"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5</w:t>
            </w:r>
            <w:r w:rsidR="00B150EE">
              <w:rPr>
                <w:rFonts w:eastAsia="Times New Roman" w:cstheme="minorHAnsi"/>
                <w:color w:val="FFFFFF"/>
                <w:szCs w:val="18"/>
                <w:lang w:eastAsia="hr-HR"/>
              </w:rPr>
              <w:t>.</w:t>
            </w:r>
          </w:p>
        </w:tc>
        <w:tc>
          <w:tcPr>
            <w:tcW w:w="2459" w:type="dxa"/>
            <w:shd w:val="clear" w:color="auto" w:fill="auto"/>
            <w:vAlign w:val="center"/>
          </w:tcPr>
          <w:p w14:paraId="395109D5" w14:textId="53CD4EBE"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Općina Hum na Sutli</w:t>
            </w:r>
          </w:p>
        </w:tc>
        <w:tc>
          <w:tcPr>
            <w:tcW w:w="4869" w:type="dxa"/>
            <w:shd w:val="clear" w:color="auto" w:fill="auto"/>
            <w:vAlign w:val="center"/>
          </w:tcPr>
          <w:p w14:paraId="74F2F47D" w14:textId="14E23D35" w:rsidR="00B150EE" w:rsidRPr="00555294" w:rsidRDefault="00B150EE" w:rsidP="00555294">
            <w:pPr>
              <w:spacing w:after="0" w:line="240" w:lineRule="auto"/>
              <w:rPr>
                <w:rFonts w:eastAsia="Times New Roman" w:cstheme="minorHAnsi"/>
                <w:b/>
                <w:bCs/>
                <w:color w:val="000000"/>
                <w:szCs w:val="18"/>
                <w:lang w:eastAsia="hr-HR"/>
              </w:rPr>
            </w:pPr>
            <w:r>
              <w:rPr>
                <w:rFonts w:eastAsia="Times New Roman" w:cstheme="minorHAnsi"/>
                <w:color w:val="000000"/>
                <w:szCs w:val="18"/>
                <w:lang w:eastAsia="hr-HR"/>
              </w:rPr>
              <w:t>Obiteljski dom Štefanije Orel</w:t>
            </w:r>
            <w:r w:rsidR="00555294">
              <w:rPr>
                <w:rFonts w:eastAsia="Times New Roman" w:cstheme="minorHAnsi"/>
                <w:color w:val="000000"/>
                <w:szCs w:val="18"/>
                <w:lang w:eastAsia="hr-HR"/>
              </w:rPr>
              <w:t xml:space="preserve"> </w:t>
            </w:r>
          </w:p>
        </w:tc>
        <w:tc>
          <w:tcPr>
            <w:tcW w:w="1372" w:type="dxa"/>
            <w:shd w:val="clear" w:color="auto" w:fill="auto"/>
            <w:noWrap/>
            <w:vAlign w:val="center"/>
          </w:tcPr>
          <w:p w14:paraId="279A4BE8" w14:textId="74FC02A4" w:rsidR="00B150EE" w:rsidRDefault="00B150EE" w:rsidP="00F053DD">
            <w:pPr>
              <w:spacing w:after="0" w:line="240" w:lineRule="auto"/>
              <w:jc w:val="left"/>
              <w:rPr>
                <w:rFonts w:eastAsia="Times New Roman" w:cstheme="minorHAnsi"/>
                <w:szCs w:val="18"/>
                <w:lang w:eastAsia="hr-HR"/>
              </w:rPr>
            </w:pPr>
            <w:r>
              <w:rPr>
                <w:rFonts w:eastAsia="Times New Roman" w:cstheme="minorHAnsi"/>
                <w:szCs w:val="18"/>
                <w:lang w:eastAsia="hr-HR"/>
              </w:rPr>
              <w:t>9</w:t>
            </w:r>
          </w:p>
        </w:tc>
      </w:tr>
      <w:tr w:rsidR="00B150EE" w:rsidRPr="006744F1" w14:paraId="3354817E" w14:textId="77777777" w:rsidTr="00B150EE">
        <w:trPr>
          <w:trHeight w:val="283"/>
        </w:trPr>
        <w:tc>
          <w:tcPr>
            <w:tcW w:w="0" w:type="auto"/>
            <w:shd w:val="clear" w:color="auto" w:fill="D2232A" w:themeFill="accent1"/>
            <w:vAlign w:val="center"/>
          </w:tcPr>
          <w:p w14:paraId="77777A56" w14:textId="0A7B8396" w:rsidR="00B150EE" w:rsidRDefault="00DD012D"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6</w:t>
            </w:r>
            <w:r w:rsidR="00B150EE">
              <w:rPr>
                <w:rFonts w:eastAsia="Times New Roman" w:cstheme="minorHAnsi"/>
                <w:color w:val="FFFFFF"/>
                <w:szCs w:val="18"/>
                <w:lang w:eastAsia="hr-HR"/>
              </w:rPr>
              <w:t>.</w:t>
            </w:r>
          </w:p>
        </w:tc>
        <w:tc>
          <w:tcPr>
            <w:tcW w:w="2459" w:type="dxa"/>
            <w:shd w:val="clear" w:color="auto" w:fill="auto"/>
            <w:vAlign w:val="center"/>
          </w:tcPr>
          <w:p w14:paraId="3D9D29E8" w14:textId="37692D18"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Općina Krapinske Toplice</w:t>
            </w:r>
          </w:p>
        </w:tc>
        <w:tc>
          <w:tcPr>
            <w:tcW w:w="4869" w:type="dxa"/>
            <w:shd w:val="clear" w:color="auto" w:fill="auto"/>
            <w:vAlign w:val="center"/>
          </w:tcPr>
          <w:p w14:paraId="515D7C14" w14:textId="4227C90C"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 xml:space="preserve">Obiteljski </w:t>
            </w:r>
            <w:r w:rsidR="00DD012D">
              <w:rPr>
                <w:rFonts w:eastAsia="Times New Roman" w:cstheme="minorHAnsi"/>
                <w:color w:val="000000"/>
                <w:szCs w:val="18"/>
                <w:lang w:eastAsia="hr-HR"/>
              </w:rPr>
              <w:t>dom Pernjek</w:t>
            </w:r>
          </w:p>
        </w:tc>
        <w:tc>
          <w:tcPr>
            <w:tcW w:w="1372" w:type="dxa"/>
            <w:shd w:val="clear" w:color="auto" w:fill="auto"/>
            <w:noWrap/>
            <w:vAlign w:val="center"/>
          </w:tcPr>
          <w:p w14:paraId="0A6DDA18" w14:textId="285B9DCD" w:rsidR="00B150EE" w:rsidRDefault="00DD012D" w:rsidP="00F053DD">
            <w:pPr>
              <w:spacing w:after="0" w:line="240" w:lineRule="auto"/>
              <w:jc w:val="left"/>
              <w:rPr>
                <w:rFonts w:eastAsia="Times New Roman" w:cstheme="minorHAnsi"/>
                <w:szCs w:val="18"/>
                <w:lang w:eastAsia="hr-HR"/>
              </w:rPr>
            </w:pPr>
            <w:r>
              <w:rPr>
                <w:rFonts w:eastAsia="Times New Roman" w:cstheme="minorHAnsi"/>
                <w:szCs w:val="18"/>
                <w:lang w:eastAsia="hr-HR"/>
              </w:rPr>
              <w:t>12</w:t>
            </w:r>
          </w:p>
        </w:tc>
      </w:tr>
      <w:tr w:rsidR="00B150EE" w:rsidRPr="006744F1" w14:paraId="44B4AA96" w14:textId="77777777" w:rsidTr="00A15ACD">
        <w:trPr>
          <w:trHeight w:val="283"/>
        </w:trPr>
        <w:tc>
          <w:tcPr>
            <w:tcW w:w="0" w:type="auto"/>
            <w:shd w:val="clear" w:color="auto" w:fill="D2232A" w:themeFill="accent1"/>
            <w:vAlign w:val="center"/>
          </w:tcPr>
          <w:p w14:paraId="4AC22D73" w14:textId="5677F9DA" w:rsidR="00B150EE" w:rsidRDefault="00DD012D"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7</w:t>
            </w:r>
            <w:r w:rsidR="00B150EE">
              <w:rPr>
                <w:rFonts w:eastAsia="Times New Roman" w:cstheme="minorHAnsi"/>
                <w:color w:val="FFFFFF"/>
                <w:szCs w:val="18"/>
                <w:lang w:eastAsia="hr-HR"/>
              </w:rPr>
              <w:t>.</w:t>
            </w:r>
          </w:p>
        </w:tc>
        <w:tc>
          <w:tcPr>
            <w:tcW w:w="2459" w:type="dxa"/>
            <w:shd w:val="clear" w:color="auto" w:fill="auto"/>
            <w:vAlign w:val="center"/>
          </w:tcPr>
          <w:p w14:paraId="165676B6" w14:textId="5FA3A230"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Općina Kumrovec</w:t>
            </w:r>
          </w:p>
        </w:tc>
        <w:tc>
          <w:tcPr>
            <w:tcW w:w="4869" w:type="dxa"/>
            <w:shd w:val="clear" w:color="auto" w:fill="auto"/>
            <w:vAlign w:val="center"/>
          </w:tcPr>
          <w:p w14:paraId="0E14E71B" w14:textId="6229153E"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Obiteljski dom IVIĆ</w:t>
            </w:r>
            <w:r w:rsidR="00815BEE">
              <w:rPr>
                <w:rFonts w:eastAsia="Times New Roman" w:cstheme="minorHAnsi"/>
                <w:color w:val="000000"/>
                <w:szCs w:val="18"/>
                <w:lang w:eastAsia="hr-HR"/>
              </w:rPr>
              <w:t xml:space="preserve"> dom</w:t>
            </w:r>
            <w:r>
              <w:rPr>
                <w:rFonts w:eastAsia="Times New Roman" w:cstheme="minorHAnsi"/>
                <w:color w:val="000000"/>
                <w:szCs w:val="18"/>
                <w:lang w:eastAsia="hr-HR"/>
              </w:rPr>
              <w:t xml:space="preserve"> za starije i nemoćne</w:t>
            </w:r>
            <w:r w:rsidR="00815BEE">
              <w:rPr>
                <w:rFonts w:eastAsia="Times New Roman" w:cstheme="minorHAnsi"/>
                <w:color w:val="000000"/>
                <w:szCs w:val="18"/>
                <w:lang w:eastAsia="hr-HR"/>
              </w:rPr>
              <w:t xml:space="preserve"> osobe</w:t>
            </w:r>
          </w:p>
        </w:tc>
        <w:tc>
          <w:tcPr>
            <w:tcW w:w="1372" w:type="dxa"/>
            <w:shd w:val="clear" w:color="auto" w:fill="auto"/>
            <w:noWrap/>
            <w:vAlign w:val="center"/>
          </w:tcPr>
          <w:p w14:paraId="52F2B91F" w14:textId="0588D2C4" w:rsidR="00B150EE" w:rsidRDefault="00B150EE" w:rsidP="00F053DD">
            <w:pPr>
              <w:spacing w:after="0" w:line="240" w:lineRule="auto"/>
              <w:jc w:val="left"/>
              <w:rPr>
                <w:rFonts w:eastAsia="Times New Roman" w:cstheme="minorHAnsi"/>
                <w:szCs w:val="18"/>
                <w:lang w:eastAsia="hr-HR"/>
              </w:rPr>
            </w:pPr>
            <w:r>
              <w:rPr>
                <w:rFonts w:eastAsia="Times New Roman" w:cstheme="minorHAnsi"/>
                <w:szCs w:val="18"/>
                <w:lang w:eastAsia="hr-HR"/>
              </w:rPr>
              <w:t>1</w:t>
            </w:r>
            <w:r w:rsidR="00DD012D">
              <w:rPr>
                <w:rFonts w:eastAsia="Times New Roman" w:cstheme="minorHAnsi"/>
                <w:szCs w:val="18"/>
                <w:lang w:eastAsia="hr-HR"/>
              </w:rPr>
              <w:t>8</w:t>
            </w:r>
          </w:p>
        </w:tc>
      </w:tr>
      <w:tr w:rsidR="00B150EE" w:rsidRPr="006744F1" w14:paraId="28C8895F" w14:textId="77777777" w:rsidTr="00B150EE">
        <w:trPr>
          <w:trHeight w:val="283"/>
        </w:trPr>
        <w:tc>
          <w:tcPr>
            <w:tcW w:w="0" w:type="auto"/>
            <w:shd w:val="clear" w:color="auto" w:fill="D2232A" w:themeFill="accent1"/>
            <w:vAlign w:val="center"/>
          </w:tcPr>
          <w:p w14:paraId="45E0D20B" w14:textId="7C7964A0" w:rsidR="00B150EE" w:rsidRDefault="00DD012D"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8</w:t>
            </w:r>
            <w:r w:rsidR="00B150EE">
              <w:rPr>
                <w:rFonts w:eastAsia="Times New Roman" w:cstheme="minorHAnsi"/>
                <w:color w:val="FFFFFF"/>
                <w:szCs w:val="18"/>
                <w:lang w:eastAsia="hr-HR"/>
              </w:rPr>
              <w:t>.</w:t>
            </w:r>
          </w:p>
        </w:tc>
        <w:tc>
          <w:tcPr>
            <w:tcW w:w="2459" w:type="dxa"/>
            <w:shd w:val="clear" w:color="auto" w:fill="auto"/>
            <w:vAlign w:val="center"/>
          </w:tcPr>
          <w:p w14:paraId="5CE6D466" w14:textId="7F879641"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Općina Stubičke Toplice</w:t>
            </w:r>
          </w:p>
        </w:tc>
        <w:tc>
          <w:tcPr>
            <w:tcW w:w="4869" w:type="dxa"/>
            <w:shd w:val="clear" w:color="auto" w:fill="auto"/>
            <w:vAlign w:val="center"/>
          </w:tcPr>
          <w:p w14:paraId="1E6F362E" w14:textId="371FADE0"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Obiteljski dom STUBAKI</w:t>
            </w:r>
          </w:p>
        </w:tc>
        <w:tc>
          <w:tcPr>
            <w:tcW w:w="1372" w:type="dxa"/>
            <w:shd w:val="clear" w:color="auto" w:fill="auto"/>
            <w:noWrap/>
            <w:vAlign w:val="center"/>
          </w:tcPr>
          <w:p w14:paraId="2B7E567B" w14:textId="3C8AD9CF" w:rsidR="00B150EE" w:rsidRDefault="00B150EE" w:rsidP="00F053DD">
            <w:pPr>
              <w:spacing w:after="0" w:line="240" w:lineRule="auto"/>
              <w:jc w:val="left"/>
              <w:rPr>
                <w:rFonts w:eastAsia="Times New Roman" w:cstheme="minorHAnsi"/>
                <w:szCs w:val="18"/>
                <w:lang w:eastAsia="hr-HR"/>
              </w:rPr>
            </w:pPr>
            <w:r>
              <w:rPr>
                <w:rFonts w:eastAsia="Times New Roman" w:cstheme="minorHAnsi"/>
                <w:szCs w:val="18"/>
                <w:lang w:eastAsia="hr-HR"/>
              </w:rPr>
              <w:t>8</w:t>
            </w:r>
          </w:p>
        </w:tc>
      </w:tr>
      <w:tr w:rsidR="00B150EE" w:rsidRPr="006744F1" w14:paraId="4EEAB30D" w14:textId="77777777" w:rsidTr="00A15ACD">
        <w:trPr>
          <w:trHeight w:val="283"/>
        </w:trPr>
        <w:tc>
          <w:tcPr>
            <w:tcW w:w="0" w:type="auto"/>
            <w:shd w:val="clear" w:color="auto" w:fill="D2232A" w:themeFill="accent1"/>
            <w:vAlign w:val="center"/>
          </w:tcPr>
          <w:p w14:paraId="6E21096D" w14:textId="69970BF8" w:rsidR="00B150EE" w:rsidRDefault="00DD012D"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9</w:t>
            </w:r>
            <w:r w:rsidR="00B150EE">
              <w:rPr>
                <w:rFonts w:eastAsia="Times New Roman" w:cstheme="minorHAnsi"/>
                <w:color w:val="FFFFFF"/>
                <w:szCs w:val="18"/>
                <w:lang w:eastAsia="hr-HR"/>
              </w:rPr>
              <w:t>.</w:t>
            </w:r>
          </w:p>
        </w:tc>
        <w:tc>
          <w:tcPr>
            <w:tcW w:w="2459" w:type="dxa"/>
            <w:shd w:val="clear" w:color="auto" w:fill="auto"/>
            <w:vAlign w:val="center"/>
          </w:tcPr>
          <w:p w14:paraId="04738ED1" w14:textId="0E51F4D4" w:rsidR="00B150EE" w:rsidRDefault="00B150EE"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Općina Tuheljske Toplice</w:t>
            </w:r>
          </w:p>
        </w:tc>
        <w:tc>
          <w:tcPr>
            <w:tcW w:w="4869" w:type="dxa"/>
            <w:shd w:val="clear" w:color="auto" w:fill="auto"/>
            <w:vAlign w:val="center"/>
          </w:tcPr>
          <w:p w14:paraId="603A90E9" w14:textId="36CE638A" w:rsidR="00B150EE" w:rsidRPr="009C491C" w:rsidRDefault="00B150EE" w:rsidP="00F053DD">
            <w:pPr>
              <w:spacing w:after="0" w:line="240" w:lineRule="auto"/>
              <w:jc w:val="left"/>
              <w:rPr>
                <w:rFonts w:eastAsia="Times New Roman" w:cs="Calibri"/>
                <w:color w:val="000000"/>
                <w:szCs w:val="18"/>
                <w:lang w:eastAsia="hr-HR"/>
              </w:rPr>
            </w:pPr>
            <w:r>
              <w:rPr>
                <w:rFonts w:eastAsia="Times New Roman" w:cs="Calibri"/>
                <w:color w:val="000000"/>
                <w:szCs w:val="18"/>
                <w:lang w:eastAsia="hr-HR"/>
              </w:rPr>
              <w:t>Obiteljski dom ''SANTA VITA''</w:t>
            </w:r>
          </w:p>
        </w:tc>
        <w:tc>
          <w:tcPr>
            <w:tcW w:w="1372" w:type="dxa"/>
            <w:shd w:val="clear" w:color="auto" w:fill="auto"/>
            <w:noWrap/>
            <w:vAlign w:val="center"/>
          </w:tcPr>
          <w:p w14:paraId="41D62232" w14:textId="2090EB55" w:rsidR="00B150EE" w:rsidRDefault="00DD012D" w:rsidP="00F053DD">
            <w:pPr>
              <w:spacing w:after="0" w:line="240" w:lineRule="auto"/>
              <w:jc w:val="left"/>
              <w:rPr>
                <w:rFonts w:eastAsia="Times New Roman" w:cstheme="minorHAnsi"/>
                <w:szCs w:val="18"/>
                <w:lang w:eastAsia="hr-HR"/>
              </w:rPr>
            </w:pPr>
            <w:r>
              <w:rPr>
                <w:rFonts w:eastAsia="Times New Roman" w:cstheme="minorHAnsi"/>
                <w:szCs w:val="18"/>
                <w:lang w:eastAsia="hr-HR"/>
              </w:rPr>
              <w:t>20</w:t>
            </w:r>
          </w:p>
        </w:tc>
      </w:tr>
      <w:tr w:rsidR="001C2C12" w:rsidRPr="006744F1" w14:paraId="6035183E" w14:textId="77777777" w:rsidTr="00A15ACD">
        <w:trPr>
          <w:trHeight w:val="283"/>
        </w:trPr>
        <w:tc>
          <w:tcPr>
            <w:tcW w:w="0" w:type="auto"/>
            <w:shd w:val="clear" w:color="auto" w:fill="D2232A" w:themeFill="accent1"/>
            <w:vAlign w:val="center"/>
            <w:hideMark/>
          </w:tcPr>
          <w:p w14:paraId="37D3E0F5" w14:textId="440D7EBD" w:rsidR="00B150EE" w:rsidRPr="006744F1" w:rsidRDefault="00DD012D"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10</w:t>
            </w:r>
            <w:r w:rsidR="00B150EE">
              <w:rPr>
                <w:rFonts w:eastAsia="Times New Roman" w:cstheme="minorHAnsi"/>
                <w:color w:val="FFFFFF"/>
                <w:szCs w:val="18"/>
                <w:lang w:eastAsia="hr-HR"/>
              </w:rPr>
              <w:t>.</w:t>
            </w:r>
          </w:p>
        </w:tc>
        <w:tc>
          <w:tcPr>
            <w:tcW w:w="2459" w:type="dxa"/>
            <w:vMerge w:val="restart"/>
            <w:shd w:val="clear" w:color="auto" w:fill="auto"/>
            <w:vAlign w:val="center"/>
            <w:hideMark/>
          </w:tcPr>
          <w:p w14:paraId="5669D664" w14:textId="77777777" w:rsidR="001C2C12" w:rsidRPr="006744F1" w:rsidRDefault="001C2C12" w:rsidP="00F053DD">
            <w:pPr>
              <w:spacing w:after="0" w:line="240" w:lineRule="auto"/>
              <w:jc w:val="left"/>
              <w:rPr>
                <w:rFonts w:eastAsia="Times New Roman" w:cstheme="minorHAnsi"/>
                <w:color w:val="000000"/>
                <w:szCs w:val="18"/>
                <w:lang w:eastAsia="hr-HR"/>
              </w:rPr>
            </w:pPr>
            <w:r w:rsidRPr="006744F1">
              <w:rPr>
                <w:rFonts w:eastAsia="Times New Roman" w:cstheme="minorHAnsi"/>
                <w:color w:val="000000"/>
                <w:szCs w:val="18"/>
                <w:lang w:eastAsia="hr-HR"/>
              </w:rPr>
              <w:t>Općina Veliko Trgovišće</w:t>
            </w:r>
          </w:p>
        </w:tc>
        <w:tc>
          <w:tcPr>
            <w:tcW w:w="4869" w:type="dxa"/>
            <w:shd w:val="clear" w:color="auto" w:fill="auto"/>
            <w:vAlign w:val="center"/>
            <w:hideMark/>
          </w:tcPr>
          <w:p w14:paraId="3552ADCB" w14:textId="5166A0AC" w:rsidR="001C2C12" w:rsidRPr="006744F1" w:rsidRDefault="001C2C12" w:rsidP="00F053DD">
            <w:pPr>
              <w:spacing w:after="0" w:line="240" w:lineRule="auto"/>
              <w:jc w:val="left"/>
              <w:rPr>
                <w:rFonts w:eastAsia="Times New Roman" w:cstheme="minorHAnsi"/>
                <w:color w:val="000000"/>
                <w:szCs w:val="18"/>
                <w:lang w:eastAsia="hr-HR"/>
              </w:rPr>
            </w:pPr>
            <w:r w:rsidRPr="006744F1">
              <w:rPr>
                <w:rFonts w:eastAsia="Times New Roman" w:cstheme="minorHAnsi"/>
                <w:color w:val="000000"/>
                <w:szCs w:val="18"/>
                <w:lang w:eastAsia="hr-HR"/>
              </w:rPr>
              <w:t>Obiteljski dom Iveković</w:t>
            </w:r>
            <w:r w:rsidR="00815BEE">
              <w:rPr>
                <w:rFonts w:eastAsia="Times New Roman" w:cstheme="minorHAnsi"/>
                <w:color w:val="000000"/>
                <w:szCs w:val="18"/>
                <w:lang w:eastAsia="hr-HR"/>
              </w:rPr>
              <w:t xml:space="preserve">, dom </w:t>
            </w:r>
            <w:r w:rsidRPr="006744F1">
              <w:rPr>
                <w:rFonts w:eastAsia="Times New Roman" w:cstheme="minorHAnsi"/>
                <w:color w:val="000000"/>
                <w:szCs w:val="18"/>
                <w:lang w:eastAsia="hr-HR"/>
              </w:rPr>
              <w:t>za starije osobe</w:t>
            </w:r>
          </w:p>
        </w:tc>
        <w:tc>
          <w:tcPr>
            <w:tcW w:w="1372" w:type="dxa"/>
            <w:shd w:val="clear" w:color="auto" w:fill="auto"/>
            <w:noWrap/>
            <w:vAlign w:val="center"/>
            <w:hideMark/>
          </w:tcPr>
          <w:p w14:paraId="3FE21B10" w14:textId="77777777" w:rsidR="001C2C12" w:rsidRPr="006744F1" w:rsidRDefault="001C2C12" w:rsidP="00F053DD">
            <w:pPr>
              <w:spacing w:after="0" w:line="240" w:lineRule="auto"/>
              <w:jc w:val="left"/>
              <w:rPr>
                <w:rFonts w:eastAsia="Times New Roman" w:cstheme="minorHAnsi"/>
                <w:szCs w:val="18"/>
                <w:lang w:eastAsia="hr-HR"/>
              </w:rPr>
            </w:pPr>
            <w:r w:rsidRPr="006744F1">
              <w:rPr>
                <w:rFonts w:eastAsia="Times New Roman" w:cstheme="minorHAnsi"/>
                <w:szCs w:val="18"/>
                <w:lang w:eastAsia="hr-HR"/>
              </w:rPr>
              <w:t>15</w:t>
            </w:r>
          </w:p>
        </w:tc>
      </w:tr>
      <w:tr w:rsidR="001C2C12" w:rsidRPr="006744F1" w14:paraId="67DD3A12" w14:textId="77777777" w:rsidTr="00B150EE">
        <w:trPr>
          <w:trHeight w:val="283"/>
        </w:trPr>
        <w:tc>
          <w:tcPr>
            <w:tcW w:w="0" w:type="auto"/>
            <w:shd w:val="clear" w:color="auto" w:fill="D2232A" w:themeFill="accent1"/>
            <w:vAlign w:val="center"/>
          </w:tcPr>
          <w:p w14:paraId="30293B54" w14:textId="76EC36D1" w:rsidR="001C2C12" w:rsidRDefault="008510A6"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11.</w:t>
            </w:r>
          </w:p>
        </w:tc>
        <w:tc>
          <w:tcPr>
            <w:tcW w:w="2459" w:type="dxa"/>
            <w:vMerge/>
            <w:shd w:val="clear" w:color="auto" w:fill="auto"/>
            <w:vAlign w:val="center"/>
          </w:tcPr>
          <w:p w14:paraId="38D5BF70" w14:textId="77777777" w:rsidR="001C2C12" w:rsidRPr="006744F1" w:rsidRDefault="001C2C12" w:rsidP="00F053DD">
            <w:pPr>
              <w:spacing w:after="0" w:line="240" w:lineRule="auto"/>
              <w:jc w:val="left"/>
              <w:rPr>
                <w:rFonts w:eastAsia="Times New Roman" w:cstheme="minorHAnsi"/>
                <w:color w:val="000000"/>
                <w:szCs w:val="18"/>
                <w:lang w:eastAsia="hr-HR"/>
              </w:rPr>
            </w:pPr>
          </w:p>
        </w:tc>
        <w:tc>
          <w:tcPr>
            <w:tcW w:w="4869" w:type="dxa"/>
            <w:shd w:val="clear" w:color="auto" w:fill="auto"/>
            <w:vAlign w:val="center"/>
          </w:tcPr>
          <w:p w14:paraId="7B1DEED2" w14:textId="44C7BAAD" w:rsidR="001C2C12" w:rsidRPr="006744F1" w:rsidRDefault="001C2C12" w:rsidP="00F053DD">
            <w:pPr>
              <w:spacing w:after="0" w:line="240" w:lineRule="auto"/>
              <w:jc w:val="left"/>
              <w:rPr>
                <w:rFonts w:eastAsia="Times New Roman" w:cstheme="minorHAnsi"/>
                <w:color w:val="000000"/>
                <w:szCs w:val="18"/>
                <w:lang w:eastAsia="hr-HR"/>
              </w:rPr>
            </w:pPr>
            <w:r>
              <w:rPr>
                <w:rFonts w:eastAsia="Times New Roman" w:cstheme="minorHAnsi"/>
                <w:color w:val="000000"/>
                <w:szCs w:val="18"/>
                <w:lang w:eastAsia="hr-HR"/>
              </w:rPr>
              <w:t>Obiteljski dom LEONARDO</w:t>
            </w:r>
          </w:p>
        </w:tc>
        <w:tc>
          <w:tcPr>
            <w:tcW w:w="1372" w:type="dxa"/>
            <w:shd w:val="clear" w:color="auto" w:fill="auto"/>
            <w:noWrap/>
            <w:vAlign w:val="center"/>
          </w:tcPr>
          <w:p w14:paraId="465FE4E7" w14:textId="0A73E1B1" w:rsidR="001C2C12" w:rsidRPr="006744F1" w:rsidRDefault="001C2C12" w:rsidP="00F053DD">
            <w:pPr>
              <w:spacing w:after="0" w:line="240" w:lineRule="auto"/>
              <w:jc w:val="left"/>
              <w:rPr>
                <w:rFonts w:eastAsia="Times New Roman" w:cstheme="minorHAnsi"/>
                <w:szCs w:val="18"/>
                <w:lang w:eastAsia="hr-HR"/>
              </w:rPr>
            </w:pPr>
            <w:r>
              <w:rPr>
                <w:rFonts w:eastAsia="Times New Roman" w:cstheme="minorHAnsi"/>
                <w:szCs w:val="18"/>
                <w:lang w:eastAsia="hr-HR"/>
              </w:rPr>
              <w:t>11</w:t>
            </w:r>
          </w:p>
        </w:tc>
      </w:tr>
      <w:tr w:rsidR="00942E58" w:rsidRPr="006744F1" w14:paraId="63270786" w14:textId="77777777" w:rsidTr="00A15ACD">
        <w:trPr>
          <w:trHeight w:val="283"/>
        </w:trPr>
        <w:tc>
          <w:tcPr>
            <w:tcW w:w="0" w:type="auto"/>
            <w:shd w:val="clear" w:color="auto" w:fill="D2232A" w:themeFill="accent1"/>
            <w:vAlign w:val="center"/>
            <w:hideMark/>
          </w:tcPr>
          <w:p w14:paraId="6FEFDDC9" w14:textId="0DE7FFBC" w:rsidR="00B150EE" w:rsidRPr="006744F1" w:rsidRDefault="00B150EE"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1</w:t>
            </w:r>
            <w:r w:rsidR="00DD012D">
              <w:rPr>
                <w:rFonts w:eastAsia="Times New Roman" w:cstheme="minorHAnsi"/>
                <w:color w:val="FFFFFF"/>
                <w:szCs w:val="18"/>
                <w:lang w:eastAsia="hr-HR"/>
              </w:rPr>
              <w:t>2</w:t>
            </w:r>
            <w:r>
              <w:rPr>
                <w:rFonts w:eastAsia="Times New Roman" w:cstheme="minorHAnsi"/>
                <w:color w:val="FFFFFF"/>
                <w:szCs w:val="18"/>
                <w:lang w:eastAsia="hr-HR"/>
              </w:rPr>
              <w:t>.</w:t>
            </w:r>
          </w:p>
        </w:tc>
        <w:tc>
          <w:tcPr>
            <w:tcW w:w="2459" w:type="dxa"/>
            <w:vMerge w:val="restart"/>
            <w:shd w:val="clear" w:color="auto" w:fill="auto"/>
            <w:vAlign w:val="center"/>
            <w:hideMark/>
          </w:tcPr>
          <w:p w14:paraId="601C4B00" w14:textId="77777777" w:rsidR="006C25A2" w:rsidRPr="006744F1" w:rsidRDefault="006C25A2" w:rsidP="00F053DD">
            <w:pPr>
              <w:spacing w:after="0" w:line="240" w:lineRule="auto"/>
              <w:jc w:val="left"/>
              <w:rPr>
                <w:rFonts w:eastAsia="Times New Roman" w:cstheme="minorHAnsi"/>
                <w:color w:val="000000"/>
                <w:szCs w:val="18"/>
                <w:lang w:eastAsia="hr-HR"/>
              </w:rPr>
            </w:pPr>
            <w:r w:rsidRPr="006744F1">
              <w:rPr>
                <w:rFonts w:eastAsia="Times New Roman" w:cstheme="minorHAnsi"/>
                <w:color w:val="000000"/>
                <w:szCs w:val="18"/>
                <w:lang w:eastAsia="hr-HR"/>
              </w:rPr>
              <w:t>Općina Zlatar Bistrica</w:t>
            </w:r>
          </w:p>
        </w:tc>
        <w:tc>
          <w:tcPr>
            <w:tcW w:w="4869" w:type="dxa"/>
            <w:shd w:val="clear" w:color="auto" w:fill="auto"/>
            <w:vAlign w:val="center"/>
            <w:hideMark/>
          </w:tcPr>
          <w:p w14:paraId="387616E4" w14:textId="596F4956" w:rsidR="006C25A2" w:rsidRPr="006744F1" w:rsidRDefault="006C25A2" w:rsidP="00F053DD">
            <w:pPr>
              <w:spacing w:after="0" w:line="240" w:lineRule="auto"/>
              <w:jc w:val="left"/>
              <w:rPr>
                <w:rFonts w:eastAsia="Times New Roman" w:cstheme="minorHAnsi"/>
                <w:color w:val="000000"/>
                <w:szCs w:val="18"/>
                <w:lang w:eastAsia="hr-HR"/>
              </w:rPr>
            </w:pPr>
            <w:r w:rsidRPr="006744F1">
              <w:rPr>
                <w:rFonts w:eastAsia="Times New Roman" w:cstheme="minorHAnsi"/>
                <w:color w:val="000000"/>
                <w:szCs w:val="18"/>
                <w:lang w:eastAsia="hr-HR"/>
              </w:rPr>
              <w:t>Obiteljski dom VITA NOSTRA</w:t>
            </w:r>
          </w:p>
        </w:tc>
        <w:tc>
          <w:tcPr>
            <w:tcW w:w="1372" w:type="dxa"/>
            <w:shd w:val="clear" w:color="auto" w:fill="auto"/>
            <w:noWrap/>
            <w:vAlign w:val="center"/>
            <w:hideMark/>
          </w:tcPr>
          <w:p w14:paraId="25590524" w14:textId="77777777" w:rsidR="006C25A2" w:rsidRPr="006744F1" w:rsidRDefault="006C25A2" w:rsidP="00F053DD">
            <w:pPr>
              <w:spacing w:after="0" w:line="240" w:lineRule="auto"/>
              <w:jc w:val="left"/>
              <w:rPr>
                <w:rFonts w:eastAsia="Times New Roman" w:cstheme="minorHAnsi"/>
                <w:szCs w:val="18"/>
                <w:lang w:eastAsia="hr-HR"/>
              </w:rPr>
            </w:pPr>
            <w:r w:rsidRPr="006744F1">
              <w:rPr>
                <w:rFonts w:eastAsia="Times New Roman" w:cstheme="minorHAnsi"/>
                <w:szCs w:val="18"/>
                <w:lang w:eastAsia="hr-HR"/>
              </w:rPr>
              <w:t>18</w:t>
            </w:r>
          </w:p>
        </w:tc>
      </w:tr>
      <w:tr w:rsidR="00942E58" w:rsidRPr="006744F1" w14:paraId="167969EF" w14:textId="77777777" w:rsidTr="00A15ACD">
        <w:trPr>
          <w:trHeight w:val="283"/>
        </w:trPr>
        <w:tc>
          <w:tcPr>
            <w:tcW w:w="0" w:type="auto"/>
            <w:shd w:val="clear" w:color="auto" w:fill="D2232A" w:themeFill="accent1"/>
            <w:vAlign w:val="center"/>
            <w:hideMark/>
          </w:tcPr>
          <w:p w14:paraId="6B588A86" w14:textId="408B9354" w:rsidR="006C25A2" w:rsidRPr="006744F1" w:rsidRDefault="008510A6" w:rsidP="00F053DD">
            <w:pPr>
              <w:spacing w:after="0" w:line="240" w:lineRule="auto"/>
              <w:jc w:val="left"/>
              <w:rPr>
                <w:rFonts w:eastAsia="Times New Roman" w:cstheme="minorHAnsi"/>
                <w:color w:val="FFFFFF"/>
                <w:szCs w:val="18"/>
                <w:lang w:eastAsia="hr-HR"/>
              </w:rPr>
            </w:pPr>
            <w:r>
              <w:rPr>
                <w:rFonts w:eastAsia="Times New Roman" w:cstheme="minorHAnsi"/>
                <w:color w:val="FFFFFF"/>
                <w:szCs w:val="18"/>
                <w:lang w:eastAsia="hr-HR"/>
              </w:rPr>
              <w:t>13.</w:t>
            </w:r>
          </w:p>
        </w:tc>
        <w:tc>
          <w:tcPr>
            <w:tcW w:w="2459" w:type="dxa"/>
            <w:vMerge/>
            <w:vAlign w:val="center"/>
            <w:hideMark/>
          </w:tcPr>
          <w:p w14:paraId="3EC737A2" w14:textId="77777777" w:rsidR="006C25A2" w:rsidRPr="006744F1" w:rsidRDefault="006C25A2" w:rsidP="00F053DD">
            <w:pPr>
              <w:spacing w:after="0" w:line="240" w:lineRule="auto"/>
              <w:jc w:val="left"/>
              <w:rPr>
                <w:rFonts w:eastAsia="Times New Roman" w:cstheme="minorHAnsi"/>
                <w:color w:val="000000"/>
                <w:szCs w:val="18"/>
                <w:lang w:eastAsia="hr-HR"/>
              </w:rPr>
            </w:pPr>
          </w:p>
        </w:tc>
        <w:tc>
          <w:tcPr>
            <w:tcW w:w="4869" w:type="dxa"/>
            <w:shd w:val="clear" w:color="auto" w:fill="auto"/>
            <w:vAlign w:val="center"/>
            <w:hideMark/>
          </w:tcPr>
          <w:p w14:paraId="7BAE0C8D" w14:textId="62CBFEF3" w:rsidR="006C25A2" w:rsidRPr="006744F1" w:rsidRDefault="006C25A2" w:rsidP="00F053DD">
            <w:pPr>
              <w:spacing w:after="0" w:line="240" w:lineRule="auto"/>
              <w:jc w:val="left"/>
              <w:rPr>
                <w:rFonts w:eastAsia="Times New Roman" w:cstheme="minorHAnsi"/>
                <w:color w:val="000000"/>
                <w:szCs w:val="18"/>
                <w:lang w:eastAsia="hr-HR"/>
              </w:rPr>
            </w:pPr>
            <w:r w:rsidRPr="006744F1">
              <w:rPr>
                <w:rFonts w:eastAsia="Times New Roman" w:cstheme="minorHAnsi"/>
                <w:color w:val="000000"/>
                <w:szCs w:val="18"/>
                <w:lang w:eastAsia="hr-HR"/>
              </w:rPr>
              <w:t xml:space="preserve">Obiteljski dom za starije i nemoćne </w:t>
            </w:r>
            <w:r w:rsidR="00815BEE">
              <w:rPr>
                <w:rFonts w:eastAsia="Times New Roman" w:cstheme="minorHAnsi"/>
                <w:color w:val="000000"/>
                <w:szCs w:val="18"/>
                <w:lang w:eastAsia="hr-HR"/>
              </w:rPr>
              <w:t xml:space="preserve">osobe </w:t>
            </w:r>
            <w:r w:rsidR="008508BF">
              <w:rPr>
                <w:rFonts w:eastAsia="Times New Roman" w:cstheme="minorHAnsi"/>
                <w:color w:val="000000"/>
                <w:szCs w:val="18"/>
                <w:lang w:eastAsia="hr-HR"/>
              </w:rPr>
              <w:t>VIKTORIJA</w:t>
            </w:r>
          </w:p>
        </w:tc>
        <w:tc>
          <w:tcPr>
            <w:tcW w:w="1372" w:type="dxa"/>
            <w:shd w:val="clear" w:color="auto" w:fill="auto"/>
            <w:noWrap/>
            <w:vAlign w:val="center"/>
            <w:hideMark/>
          </w:tcPr>
          <w:p w14:paraId="5F248118" w14:textId="73EF7DA8" w:rsidR="006C25A2" w:rsidRPr="006744F1" w:rsidRDefault="00555294" w:rsidP="00F053DD">
            <w:pPr>
              <w:spacing w:after="0" w:line="240" w:lineRule="auto"/>
              <w:jc w:val="left"/>
              <w:rPr>
                <w:rFonts w:eastAsia="Times New Roman" w:cstheme="minorHAnsi"/>
                <w:szCs w:val="18"/>
                <w:lang w:eastAsia="hr-HR"/>
              </w:rPr>
            </w:pPr>
            <w:r>
              <w:rPr>
                <w:rFonts w:eastAsia="Times New Roman" w:cstheme="minorHAnsi"/>
                <w:szCs w:val="18"/>
                <w:lang w:eastAsia="hr-HR"/>
              </w:rPr>
              <w:t>1</w:t>
            </w:r>
            <w:r w:rsidR="006C25A2" w:rsidRPr="006744F1">
              <w:rPr>
                <w:rFonts w:eastAsia="Times New Roman" w:cstheme="minorHAnsi"/>
                <w:szCs w:val="18"/>
                <w:lang w:eastAsia="hr-HR"/>
              </w:rPr>
              <w:t>7</w:t>
            </w:r>
          </w:p>
        </w:tc>
      </w:tr>
      <w:tr w:rsidR="00DD012D" w:rsidRPr="006744F1" w14:paraId="1B078C9E" w14:textId="77777777" w:rsidTr="008510A6">
        <w:trPr>
          <w:trHeight w:val="283"/>
        </w:trPr>
        <w:tc>
          <w:tcPr>
            <w:tcW w:w="0" w:type="auto"/>
            <w:shd w:val="clear" w:color="auto" w:fill="D2232A"/>
            <w:vAlign w:val="center"/>
          </w:tcPr>
          <w:p w14:paraId="6530D47E" w14:textId="007D150E" w:rsidR="00DD012D" w:rsidRPr="006744F1" w:rsidRDefault="008510A6" w:rsidP="00F053DD">
            <w:pPr>
              <w:spacing w:after="0" w:line="240" w:lineRule="auto"/>
              <w:jc w:val="left"/>
              <w:rPr>
                <w:rFonts w:eastAsia="Times New Roman" w:cstheme="minorHAnsi"/>
                <w:color w:val="FFFFFF"/>
                <w:szCs w:val="18"/>
                <w:lang w:eastAsia="hr-HR"/>
              </w:rPr>
            </w:pPr>
            <w:r w:rsidRPr="008510A6">
              <w:rPr>
                <w:rFonts w:eastAsia="Times New Roman" w:cstheme="minorHAnsi"/>
                <w:color w:val="FFFFFF"/>
                <w:szCs w:val="18"/>
                <w:lang w:eastAsia="hr-HR"/>
              </w:rPr>
              <w:t>14.</w:t>
            </w:r>
          </w:p>
        </w:tc>
        <w:tc>
          <w:tcPr>
            <w:tcW w:w="2459" w:type="dxa"/>
            <w:vAlign w:val="center"/>
          </w:tcPr>
          <w:p w14:paraId="1D54C3A9" w14:textId="027567DF" w:rsidR="00DD012D" w:rsidRPr="008510A6" w:rsidRDefault="008510A6" w:rsidP="00F053DD">
            <w:pPr>
              <w:spacing w:after="0" w:line="240" w:lineRule="auto"/>
              <w:jc w:val="left"/>
              <w:rPr>
                <w:rFonts w:eastAsia="Times New Roman" w:cstheme="minorHAnsi"/>
                <w:color w:val="auto"/>
                <w:szCs w:val="18"/>
                <w:lang w:eastAsia="hr-HR"/>
              </w:rPr>
            </w:pPr>
            <w:r w:rsidRPr="008510A6">
              <w:rPr>
                <w:rFonts w:eastAsia="Times New Roman" w:cstheme="minorHAnsi"/>
                <w:color w:val="auto"/>
                <w:szCs w:val="18"/>
                <w:lang w:eastAsia="hr-HR"/>
              </w:rPr>
              <w:t>Općina Sveti Križ Začretje</w:t>
            </w:r>
          </w:p>
        </w:tc>
        <w:tc>
          <w:tcPr>
            <w:tcW w:w="4869" w:type="dxa"/>
            <w:shd w:val="clear" w:color="auto" w:fill="auto"/>
            <w:vAlign w:val="center"/>
          </w:tcPr>
          <w:p w14:paraId="57E2F4B9" w14:textId="70257631" w:rsidR="00DD012D" w:rsidRPr="008510A6" w:rsidRDefault="008510A6" w:rsidP="00F053DD">
            <w:pPr>
              <w:spacing w:after="0" w:line="240" w:lineRule="auto"/>
              <w:jc w:val="left"/>
              <w:rPr>
                <w:rFonts w:eastAsia="Times New Roman" w:cstheme="minorHAnsi"/>
                <w:color w:val="auto"/>
                <w:szCs w:val="18"/>
                <w:lang w:eastAsia="hr-HR"/>
              </w:rPr>
            </w:pPr>
            <w:r w:rsidRPr="008510A6">
              <w:rPr>
                <w:rFonts w:eastAsia="Times New Roman" w:cstheme="minorHAnsi"/>
                <w:color w:val="auto"/>
                <w:szCs w:val="18"/>
                <w:lang w:eastAsia="hr-HR"/>
              </w:rPr>
              <w:t>Obiteljski dom Bešker</w:t>
            </w:r>
          </w:p>
        </w:tc>
        <w:tc>
          <w:tcPr>
            <w:tcW w:w="1372" w:type="dxa"/>
            <w:shd w:val="clear" w:color="auto" w:fill="auto"/>
            <w:noWrap/>
            <w:vAlign w:val="center"/>
          </w:tcPr>
          <w:p w14:paraId="38D33E3D" w14:textId="34BE04E9" w:rsidR="00DD012D" w:rsidRPr="008510A6" w:rsidRDefault="008510A6" w:rsidP="00F053DD">
            <w:pPr>
              <w:spacing w:after="0" w:line="240" w:lineRule="auto"/>
              <w:jc w:val="left"/>
              <w:rPr>
                <w:rFonts w:eastAsia="Times New Roman" w:cstheme="minorHAnsi"/>
                <w:color w:val="auto"/>
                <w:szCs w:val="18"/>
                <w:lang w:eastAsia="hr-HR"/>
              </w:rPr>
            </w:pPr>
            <w:r w:rsidRPr="008510A6">
              <w:rPr>
                <w:rFonts w:eastAsia="Times New Roman" w:cstheme="minorHAnsi"/>
                <w:color w:val="auto"/>
                <w:szCs w:val="18"/>
                <w:lang w:eastAsia="hr-HR"/>
              </w:rPr>
              <w:t>20</w:t>
            </w:r>
          </w:p>
        </w:tc>
      </w:tr>
      <w:tr w:rsidR="006C25A2" w:rsidRPr="006744F1" w14:paraId="42653EBC" w14:textId="77777777" w:rsidTr="3ECBDAD0">
        <w:trPr>
          <w:trHeight w:val="283"/>
        </w:trPr>
        <w:tc>
          <w:tcPr>
            <w:tcW w:w="7921" w:type="dxa"/>
            <w:gridSpan w:val="3"/>
            <w:shd w:val="clear" w:color="auto" w:fill="E5E5E5" w:themeFill="text1" w:themeFillTint="33"/>
            <w:noWrap/>
            <w:vAlign w:val="center"/>
            <w:hideMark/>
          </w:tcPr>
          <w:p w14:paraId="626B4409" w14:textId="77777777" w:rsidR="006C25A2" w:rsidRPr="006744F1" w:rsidRDefault="006C25A2" w:rsidP="00F053DD">
            <w:pPr>
              <w:spacing w:after="0" w:line="240" w:lineRule="auto"/>
              <w:jc w:val="left"/>
              <w:rPr>
                <w:rFonts w:eastAsia="Times New Roman" w:cstheme="minorHAnsi"/>
                <w:szCs w:val="18"/>
                <w:lang w:eastAsia="hr-HR"/>
              </w:rPr>
            </w:pPr>
            <w:r w:rsidRPr="006744F1">
              <w:rPr>
                <w:rFonts w:eastAsia="Times New Roman" w:cstheme="minorHAnsi"/>
                <w:szCs w:val="18"/>
                <w:lang w:eastAsia="hr-HR"/>
              </w:rPr>
              <w:t>SVEUKUPNO KAPACITET</w:t>
            </w:r>
          </w:p>
        </w:tc>
        <w:tc>
          <w:tcPr>
            <w:tcW w:w="1372" w:type="dxa"/>
            <w:shd w:val="clear" w:color="auto" w:fill="E5E5E5" w:themeFill="text1" w:themeFillTint="33"/>
            <w:noWrap/>
            <w:vAlign w:val="center"/>
            <w:hideMark/>
          </w:tcPr>
          <w:p w14:paraId="481E02FB" w14:textId="77A48C88" w:rsidR="006C25A2" w:rsidRPr="006744F1" w:rsidRDefault="008510A6" w:rsidP="00F053DD">
            <w:pPr>
              <w:spacing w:after="0" w:line="240" w:lineRule="auto"/>
              <w:jc w:val="left"/>
              <w:rPr>
                <w:rFonts w:eastAsia="Times New Roman" w:cstheme="minorHAnsi"/>
                <w:szCs w:val="18"/>
                <w:lang w:eastAsia="hr-HR"/>
              </w:rPr>
            </w:pPr>
            <w:r>
              <w:rPr>
                <w:rFonts w:eastAsia="Times New Roman" w:cstheme="minorHAnsi"/>
                <w:szCs w:val="18"/>
                <w:lang w:eastAsia="hr-HR"/>
              </w:rPr>
              <w:t>221</w:t>
            </w:r>
          </w:p>
        </w:tc>
      </w:tr>
    </w:tbl>
    <w:bookmarkEnd w:id="78"/>
    <w:p w14:paraId="7B65CEDE" w14:textId="7DE8B551" w:rsidR="00C470BE" w:rsidRDefault="003975A2" w:rsidP="008C64DE">
      <w:pPr>
        <w:autoSpaceDE w:val="0"/>
        <w:autoSpaceDN w:val="0"/>
        <w:adjustRightInd w:val="0"/>
        <w:spacing w:after="0" w:line="240" w:lineRule="auto"/>
        <w:rPr>
          <w:rFonts w:eastAsia="ArialNarrow" w:cstheme="minorHAnsi"/>
          <w:i/>
          <w:color w:val="ABABAB" w:themeColor="text1" w:themeTint="A6"/>
          <w:sz w:val="16"/>
          <w:szCs w:val="16"/>
        </w:rPr>
      </w:pPr>
      <w:r w:rsidRPr="001077FE">
        <w:rPr>
          <w:rFonts w:eastAsia="ArialNarrow" w:cstheme="minorHAnsi"/>
          <w:i/>
          <w:color w:val="ABABAB" w:themeColor="text1" w:themeTint="A6"/>
          <w:sz w:val="16"/>
          <w:szCs w:val="16"/>
        </w:rPr>
        <w:lastRenderedPageBreak/>
        <w:t>Izvor: KZŽ - Upravni odjel za zdravstvo, socijalnu politiku, branitelje, civilno društvo i mlade, 20</w:t>
      </w:r>
      <w:r w:rsidR="00535CF7" w:rsidRPr="001077FE">
        <w:rPr>
          <w:rFonts w:eastAsia="ArialNarrow" w:cstheme="minorHAnsi"/>
          <w:i/>
          <w:color w:val="ABABAB" w:themeColor="text1" w:themeTint="A6"/>
          <w:sz w:val="16"/>
          <w:szCs w:val="16"/>
        </w:rPr>
        <w:t>2</w:t>
      </w:r>
      <w:r w:rsidR="00867F86">
        <w:rPr>
          <w:rFonts w:eastAsia="ArialNarrow" w:cstheme="minorHAnsi"/>
          <w:i/>
          <w:color w:val="ABABAB" w:themeColor="text1" w:themeTint="A6"/>
          <w:sz w:val="16"/>
          <w:szCs w:val="16"/>
        </w:rPr>
        <w:t>1</w:t>
      </w:r>
      <w:r w:rsidRPr="001077FE">
        <w:rPr>
          <w:rFonts w:eastAsia="ArialNarrow" w:cstheme="minorHAnsi"/>
          <w:i/>
          <w:color w:val="ABABAB" w:themeColor="text1" w:themeTint="A6"/>
          <w:sz w:val="16"/>
          <w:szCs w:val="16"/>
        </w:rPr>
        <w:t>.</w:t>
      </w:r>
    </w:p>
    <w:p w14:paraId="6380EA52" w14:textId="77777777" w:rsidR="00C9139C" w:rsidRPr="00C9139C" w:rsidRDefault="00C9139C" w:rsidP="008C64DE">
      <w:pPr>
        <w:autoSpaceDE w:val="0"/>
        <w:autoSpaceDN w:val="0"/>
        <w:adjustRightInd w:val="0"/>
        <w:spacing w:after="0" w:line="240" w:lineRule="auto"/>
        <w:rPr>
          <w:rFonts w:eastAsia="ArialNarrow" w:cstheme="minorHAnsi"/>
        </w:rPr>
      </w:pPr>
    </w:p>
    <w:p w14:paraId="7C64B31E" w14:textId="6AA17FE3" w:rsidR="008878A0" w:rsidRDefault="00D179B2" w:rsidP="006207AF">
      <w:pPr>
        <w:pStyle w:val="podpodnaslov111"/>
      </w:pPr>
      <w:bookmarkStart w:id="79" w:name="_Hlk48567639"/>
      <w:bookmarkStart w:id="80" w:name="_Toc85181297"/>
      <w:r>
        <w:t>5</w:t>
      </w:r>
      <w:r w:rsidR="008878A0">
        <w:t>.3.1. Novčane naknade i socijalna pomoć</w:t>
      </w:r>
      <w:bookmarkEnd w:id="80"/>
    </w:p>
    <w:bookmarkEnd w:id="79"/>
    <w:p w14:paraId="3E389370" w14:textId="77777777" w:rsidR="008878A0" w:rsidRDefault="008878A0" w:rsidP="00941871">
      <w:pPr>
        <w:autoSpaceDE w:val="0"/>
        <w:autoSpaceDN w:val="0"/>
        <w:adjustRightInd w:val="0"/>
        <w:spacing w:after="0" w:line="240" w:lineRule="auto"/>
        <w:rPr>
          <w:rFonts w:eastAsia="ArialNarrow" w:cstheme="minorHAnsi"/>
        </w:rPr>
      </w:pPr>
    </w:p>
    <w:p w14:paraId="7B75F072" w14:textId="7A042A0D" w:rsidR="00CD708B" w:rsidRDefault="008878A0" w:rsidP="00941871">
      <w:pPr>
        <w:autoSpaceDE w:val="0"/>
        <w:autoSpaceDN w:val="0"/>
        <w:adjustRightInd w:val="0"/>
        <w:spacing w:after="0" w:line="240" w:lineRule="auto"/>
        <w:rPr>
          <w:rFonts w:eastAsia="ArialNarrow" w:cstheme="minorHAnsi"/>
        </w:rPr>
      </w:pPr>
      <w:r>
        <w:rPr>
          <w:rFonts w:eastAsia="ArialNarrow" w:cstheme="minorHAnsi"/>
        </w:rPr>
        <w:t>Stopa obuhvaćenosti stanovništva s pomoći za uzdržavanje u Krapinsko-zagorskoj županiji u 2</w:t>
      </w:r>
      <w:r w:rsidR="002E2198">
        <w:rPr>
          <w:rFonts w:eastAsia="ArialNarrow" w:cstheme="minorHAnsi"/>
        </w:rPr>
        <w:t>019</w:t>
      </w:r>
      <w:r>
        <w:rPr>
          <w:rFonts w:eastAsia="ArialNarrow" w:cstheme="minorHAnsi"/>
        </w:rPr>
        <w:t>. godini iznosi 0,</w:t>
      </w:r>
      <w:r w:rsidR="002E2198">
        <w:rPr>
          <w:rFonts w:eastAsia="ArialNarrow" w:cstheme="minorHAnsi"/>
        </w:rPr>
        <w:t>6</w:t>
      </w:r>
      <w:r>
        <w:rPr>
          <w:rFonts w:eastAsia="ArialNarrow" w:cstheme="minorHAnsi"/>
        </w:rPr>
        <w:t>% što je manje u odnosu na prosjek Republike Hr</w:t>
      </w:r>
      <w:r w:rsidR="00AB1052">
        <w:rPr>
          <w:rFonts w:eastAsia="ArialNarrow" w:cstheme="minorHAnsi"/>
        </w:rPr>
        <w:t>vatske (</w:t>
      </w:r>
      <w:r w:rsidR="002E2198">
        <w:rPr>
          <w:rFonts w:eastAsia="ArialNarrow" w:cstheme="minorHAnsi"/>
        </w:rPr>
        <w:t>1,5</w:t>
      </w:r>
      <w:r w:rsidR="00AB1052">
        <w:rPr>
          <w:rFonts w:eastAsia="ArialNarrow" w:cstheme="minorHAnsi"/>
        </w:rPr>
        <w:t>). S</w:t>
      </w:r>
      <w:r>
        <w:rPr>
          <w:rFonts w:eastAsia="ArialNarrow" w:cstheme="minorHAnsi"/>
        </w:rPr>
        <w:t>topa obuhvaćenosti stanovništva s pomoći za uzdržavanje u razdoblju 201</w:t>
      </w:r>
      <w:r w:rsidR="002D6E1C">
        <w:rPr>
          <w:rFonts w:eastAsia="ArialNarrow" w:cstheme="minorHAnsi"/>
        </w:rPr>
        <w:t>5</w:t>
      </w:r>
      <w:r>
        <w:rPr>
          <w:rFonts w:eastAsia="ArialNarrow" w:cstheme="minorHAnsi"/>
        </w:rPr>
        <w:t xml:space="preserve">. </w:t>
      </w:r>
      <w:r w:rsidR="001A3C2C">
        <w:rPr>
          <w:rFonts w:eastAsia="ArialNarrow" w:cstheme="minorHAnsi"/>
        </w:rPr>
        <w:t>-</w:t>
      </w:r>
      <w:r>
        <w:rPr>
          <w:rFonts w:eastAsia="ArialNarrow" w:cstheme="minorHAnsi"/>
        </w:rPr>
        <w:t xml:space="preserve"> 201</w:t>
      </w:r>
      <w:r w:rsidR="002E2198">
        <w:rPr>
          <w:rFonts w:eastAsia="ArialNarrow" w:cstheme="minorHAnsi"/>
        </w:rPr>
        <w:t>9</w:t>
      </w:r>
      <w:r>
        <w:rPr>
          <w:rFonts w:eastAsia="ArialNarrow" w:cstheme="minorHAnsi"/>
        </w:rPr>
        <w:t>. godine u Krapinsko-zagorskoj županiji kontinuirano pada.</w:t>
      </w:r>
      <w:r w:rsidR="00A65988">
        <w:rPr>
          <w:rFonts w:eastAsia="ArialNarrow" w:cstheme="minorHAnsi"/>
        </w:rPr>
        <w:t xml:space="preserve"> </w:t>
      </w:r>
      <w:r w:rsidR="00B56513">
        <w:rPr>
          <w:rFonts w:eastAsia="ArialNarrow" w:cstheme="minorHAnsi"/>
        </w:rPr>
        <w:t>K</w:t>
      </w:r>
      <w:r>
        <w:rPr>
          <w:rFonts w:eastAsia="ArialNarrow" w:cstheme="minorHAnsi"/>
        </w:rPr>
        <w:t>retanje opće stope obuhvaćenosti stanovništva s pomoći za uzdržavanje prikazano je u sljedećem grafikonu.</w:t>
      </w:r>
      <w:r w:rsidR="002E2198">
        <w:rPr>
          <w:rFonts w:eastAsia="ArialNarrow" w:cstheme="minorHAnsi"/>
        </w:rPr>
        <w:t xml:space="preserve"> </w:t>
      </w:r>
    </w:p>
    <w:p w14:paraId="1B7D0E2D" w14:textId="1257558A" w:rsidR="008878A0" w:rsidRDefault="008878A0" w:rsidP="00941871">
      <w:pPr>
        <w:autoSpaceDE w:val="0"/>
        <w:autoSpaceDN w:val="0"/>
        <w:adjustRightInd w:val="0"/>
        <w:spacing w:after="0" w:line="240" w:lineRule="auto"/>
        <w:rPr>
          <w:rFonts w:eastAsia="ArialNarrow" w:cstheme="minorHAnsi"/>
        </w:rPr>
      </w:pPr>
    </w:p>
    <w:p w14:paraId="59D2ADA2" w14:textId="10E2CE49" w:rsidR="009B61D3" w:rsidRDefault="009B61D3" w:rsidP="003E3F3C">
      <w:pPr>
        <w:pStyle w:val="Opisslike"/>
      </w:pPr>
      <w:r>
        <w:t xml:space="preserve">Grafikon </w:t>
      </w:r>
      <w:r w:rsidR="00D179B2">
        <w:t>12</w:t>
      </w:r>
      <w:r>
        <w:t xml:space="preserve">. </w:t>
      </w:r>
      <w:r w:rsidRPr="005243A3">
        <w:t>Udjel (%) broja osoba korisnika zajamčene minimalne naknade u broju stanovnika</w:t>
      </w:r>
      <w:r w:rsidR="003D1382">
        <w:t xml:space="preserve"> 2015.-2019.</w:t>
      </w:r>
    </w:p>
    <w:p w14:paraId="09D04FD0" w14:textId="55A7F888" w:rsidR="008878A0" w:rsidRDefault="009C5D61" w:rsidP="00941871">
      <w:pPr>
        <w:autoSpaceDE w:val="0"/>
        <w:autoSpaceDN w:val="0"/>
        <w:adjustRightInd w:val="0"/>
        <w:spacing w:after="0" w:line="240" w:lineRule="auto"/>
        <w:rPr>
          <w:rFonts w:eastAsia="ArialNarrow" w:cstheme="minorHAnsi"/>
          <w:color w:val="auto"/>
          <w:sz w:val="20"/>
        </w:rPr>
      </w:pPr>
      <w:r>
        <w:rPr>
          <w:noProof/>
        </w:rPr>
        <w:drawing>
          <wp:inline distT="0" distB="0" distL="0" distR="0" wp14:anchorId="27F64E3A" wp14:editId="3167258E">
            <wp:extent cx="5480050" cy="2190750"/>
            <wp:effectExtent l="0" t="0" r="6350" b="0"/>
            <wp:docPr id="5" name="Grafikon 5">
              <a:extLst xmlns:a="http://schemas.openxmlformats.org/drawingml/2006/main">
                <a:ext uri="{FF2B5EF4-FFF2-40B4-BE49-F238E27FC236}">
                  <a16:creationId xmlns:a16="http://schemas.microsoft.com/office/drawing/2014/main" id="{446E5778-CAB9-4477-AB57-3AA8F893FE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CA31F2F" w14:textId="40857016" w:rsidR="008878A0" w:rsidRPr="001077FE" w:rsidRDefault="008878A0" w:rsidP="001077FE">
      <w:pPr>
        <w:autoSpaceDE w:val="0"/>
        <w:autoSpaceDN w:val="0"/>
        <w:adjustRightInd w:val="0"/>
        <w:spacing w:after="0" w:line="240" w:lineRule="auto"/>
        <w:rPr>
          <w:rFonts w:eastAsia="ArialNarrow" w:cstheme="minorHAnsi"/>
          <w:i/>
          <w:color w:val="ABABAB" w:themeColor="text1" w:themeTint="A6"/>
          <w:sz w:val="16"/>
          <w:szCs w:val="16"/>
        </w:rPr>
      </w:pPr>
      <w:r w:rsidRPr="001077FE">
        <w:rPr>
          <w:rFonts w:eastAsia="ArialNarrow" w:cstheme="minorHAnsi"/>
          <w:i/>
          <w:color w:val="ABABAB" w:themeColor="text1" w:themeTint="A6"/>
          <w:sz w:val="16"/>
          <w:szCs w:val="16"/>
        </w:rPr>
        <w:t>Izvor:</w:t>
      </w:r>
      <w:r w:rsidR="00B83F39" w:rsidRPr="001077FE">
        <w:rPr>
          <w:rFonts w:eastAsia="ArialNarrow" w:cstheme="minorHAnsi"/>
          <w:i/>
          <w:color w:val="ABABAB" w:themeColor="text1" w:themeTint="A6"/>
          <w:sz w:val="16"/>
          <w:szCs w:val="16"/>
        </w:rPr>
        <w:t xml:space="preserve"> Ministarstvo rada, mirovinskog sustava, obitelji i socijalne politike,</w:t>
      </w:r>
      <w:r w:rsidR="00E03DB3" w:rsidRPr="001077FE">
        <w:rPr>
          <w:rFonts w:eastAsia="ArialNarrow" w:cstheme="minorHAnsi"/>
          <w:i/>
          <w:color w:val="ABABAB" w:themeColor="text1" w:themeTint="A6"/>
          <w:sz w:val="16"/>
          <w:szCs w:val="16"/>
        </w:rPr>
        <w:t xml:space="preserve"> Godišnje statističko izvješće o primijenjenim pravima socijalne skrbi, pravnoj zaštiti djece, </w:t>
      </w:r>
      <w:r w:rsidR="00B276D2" w:rsidRPr="001077FE">
        <w:rPr>
          <w:rFonts w:eastAsia="ArialNarrow" w:cstheme="minorHAnsi"/>
          <w:i/>
          <w:color w:val="ABABAB" w:themeColor="text1" w:themeTint="A6"/>
          <w:sz w:val="16"/>
          <w:szCs w:val="16"/>
        </w:rPr>
        <w:t>mladeži</w:t>
      </w:r>
      <w:r w:rsidR="00E03DB3" w:rsidRPr="001077FE">
        <w:rPr>
          <w:rFonts w:eastAsia="ArialNarrow" w:cstheme="minorHAnsi"/>
          <w:i/>
          <w:color w:val="ABABAB" w:themeColor="text1" w:themeTint="A6"/>
          <w:sz w:val="16"/>
          <w:szCs w:val="16"/>
        </w:rPr>
        <w:t xml:space="preserve">, braka, obitelji i osoba lišenih poslovne sposobnosti te zaštiti tjelesno ili mentalno oštećenih osoba u Republici Hrvatskoj u </w:t>
      </w:r>
      <w:r w:rsidRPr="001077FE">
        <w:rPr>
          <w:rFonts w:eastAsia="ArialNarrow" w:cstheme="minorHAnsi"/>
          <w:i/>
          <w:color w:val="ABABAB" w:themeColor="text1" w:themeTint="A6"/>
          <w:sz w:val="16"/>
          <w:szCs w:val="16"/>
        </w:rPr>
        <w:t xml:space="preserve"> 20</w:t>
      </w:r>
      <w:r w:rsidR="009C5D61" w:rsidRPr="001077FE">
        <w:rPr>
          <w:rFonts w:eastAsia="ArialNarrow" w:cstheme="minorHAnsi"/>
          <w:i/>
          <w:color w:val="ABABAB" w:themeColor="text1" w:themeTint="A6"/>
          <w:sz w:val="16"/>
          <w:szCs w:val="16"/>
        </w:rPr>
        <w:t>15</w:t>
      </w:r>
      <w:r w:rsidRPr="001077FE">
        <w:rPr>
          <w:rFonts w:eastAsia="ArialNarrow" w:cstheme="minorHAnsi"/>
          <w:i/>
          <w:color w:val="ABABAB" w:themeColor="text1" w:themeTint="A6"/>
          <w:sz w:val="16"/>
          <w:szCs w:val="16"/>
        </w:rPr>
        <w:t>., 201</w:t>
      </w:r>
      <w:r w:rsidR="009C5D61" w:rsidRPr="001077FE">
        <w:rPr>
          <w:rFonts w:eastAsia="ArialNarrow" w:cstheme="minorHAnsi"/>
          <w:i/>
          <w:color w:val="ABABAB" w:themeColor="text1" w:themeTint="A6"/>
          <w:sz w:val="16"/>
          <w:szCs w:val="16"/>
        </w:rPr>
        <w:t>6</w:t>
      </w:r>
      <w:r w:rsidRPr="001077FE">
        <w:rPr>
          <w:rFonts w:eastAsia="ArialNarrow" w:cstheme="minorHAnsi"/>
          <w:i/>
          <w:color w:val="ABABAB" w:themeColor="text1" w:themeTint="A6"/>
          <w:sz w:val="16"/>
          <w:szCs w:val="16"/>
        </w:rPr>
        <w:t>., 201</w:t>
      </w:r>
      <w:r w:rsidR="009C5D61" w:rsidRPr="001077FE">
        <w:rPr>
          <w:rFonts w:eastAsia="ArialNarrow" w:cstheme="minorHAnsi"/>
          <w:i/>
          <w:color w:val="ABABAB" w:themeColor="text1" w:themeTint="A6"/>
          <w:sz w:val="16"/>
          <w:szCs w:val="16"/>
        </w:rPr>
        <w:t>7</w:t>
      </w:r>
      <w:r w:rsidRPr="001077FE">
        <w:rPr>
          <w:rFonts w:eastAsia="ArialNarrow" w:cstheme="minorHAnsi"/>
          <w:i/>
          <w:color w:val="ABABAB" w:themeColor="text1" w:themeTint="A6"/>
          <w:sz w:val="16"/>
          <w:szCs w:val="16"/>
        </w:rPr>
        <w:t>., 201</w:t>
      </w:r>
      <w:r w:rsidR="009C5D61" w:rsidRPr="001077FE">
        <w:rPr>
          <w:rFonts w:eastAsia="ArialNarrow" w:cstheme="minorHAnsi"/>
          <w:i/>
          <w:color w:val="ABABAB" w:themeColor="text1" w:themeTint="A6"/>
          <w:sz w:val="16"/>
          <w:szCs w:val="16"/>
        </w:rPr>
        <w:t>8</w:t>
      </w:r>
      <w:r w:rsidRPr="001077FE">
        <w:rPr>
          <w:rFonts w:eastAsia="ArialNarrow" w:cstheme="minorHAnsi"/>
          <w:i/>
          <w:color w:val="ABABAB" w:themeColor="text1" w:themeTint="A6"/>
          <w:sz w:val="16"/>
          <w:szCs w:val="16"/>
        </w:rPr>
        <w:t>.</w:t>
      </w:r>
      <w:r w:rsidR="009C5D61" w:rsidRPr="001077FE">
        <w:rPr>
          <w:rFonts w:eastAsia="ArialNarrow" w:cstheme="minorHAnsi"/>
          <w:i/>
          <w:color w:val="ABABAB" w:themeColor="text1" w:themeTint="A6"/>
          <w:sz w:val="16"/>
          <w:szCs w:val="16"/>
        </w:rPr>
        <w:t xml:space="preserve"> i 2019. </w:t>
      </w:r>
      <w:r w:rsidRPr="001077FE">
        <w:rPr>
          <w:rFonts w:eastAsia="ArialNarrow" w:cstheme="minorHAnsi"/>
          <w:i/>
          <w:color w:val="ABABAB" w:themeColor="text1" w:themeTint="A6"/>
          <w:sz w:val="16"/>
          <w:szCs w:val="16"/>
        </w:rPr>
        <w:t xml:space="preserve"> </w:t>
      </w:r>
      <w:r w:rsidR="00E03DB3" w:rsidRPr="001077FE">
        <w:rPr>
          <w:rFonts w:eastAsia="ArialNarrow" w:cstheme="minorHAnsi"/>
          <w:i/>
          <w:color w:val="ABABAB" w:themeColor="text1" w:themeTint="A6"/>
          <w:sz w:val="16"/>
          <w:szCs w:val="16"/>
        </w:rPr>
        <w:t>godini</w:t>
      </w:r>
    </w:p>
    <w:p w14:paraId="46E83BCD" w14:textId="77777777" w:rsidR="00D00557" w:rsidRPr="00300D80" w:rsidRDefault="00D00557" w:rsidP="00855D8D">
      <w:pPr>
        <w:pStyle w:val="Izvor"/>
      </w:pPr>
    </w:p>
    <w:p w14:paraId="48F03001" w14:textId="61CBFEF3" w:rsidR="008878A0" w:rsidRDefault="008878A0" w:rsidP="00941871">
      <w:pPr>
        <w:autoSpaceDE w:val="0"/>
        <w:autoSpaceDN w:val="0"/>
        <w:adjustRightInd w:val="0"/>
        <w:spacing w:after="0" w:line="240" w:lineRule="auto"/>
        <w:rPr>
          <w:rFonts w:eastAsia="ArialNarrow" w:cstheme="minorHAnsi"/>
          <w:sz w:val="20"/>
        </w:rPr>
      </w:pPr>
      <w:r>
        <w:rPr>
          <w:rFonts w:eastAsia="ArialNarrow" w:cstheme="minorHAnsi"/>
        </w:rPr>
        <w:t>Iz prethodnog grafikona moguće je uočiti da je udjel broja osoba korisnika zajamčene minimalne naknade u promatranom razdoblju od 201</w:t>
      </w:r>
      <w:r w:rsidR="002D6E1C">
        <w:rPr>
          <w:rFonts w:eastAsia="ArialNarrow" w:cstheme="minorHAnsi"/>
        </w:rPr>
        <w:t>5</w:t>
      </w:r>
      <w:r>
        <w:rPr>
          <w:rFonts w:eastAsia="ArialNarrow" w:cstheme="minorHAnsi"/>
        </w:rPr>
        <w:t xml:space="preserve">. </w:t>
      </w:r>
      <w:r w:rsidR="001A3C2C">
        <w:rPr>
          <w:rFonts w:eastAsia="ArialNarrow" w:cstheme="minorHAnsi"/>
        </w:rPr>
        <w:t>-</w:t>
      </w:r>
      <w:r>
        <w:rPr>
          <w:rFonts w:eastAsia="ArialNarrow" w:cstheme="minorHAnsi"/>
        </w:rPr>
        <w:t xml:space="preserve"> 201</w:t>
      </w:r>
      <w:r w:rsidR="002D6E1C">
        <w:rPr>
          <w:rFonts w:eastAsia="ArialNarrow" w:cstheme="minorHAnsi"/>
        </w:rPr>
        <w:t>9</w:t>
      </w:r>
      <w:r>
        <w:rPr>
          <w:rFonts w:eastAsia="ArialNarrow" w:cstheme="minorHAnsi"/>
        </w:rPr>
        <w:t xml:space="preserve">. u kontinuiranom padu. Na razini Republike Hrvatske postotni udjel broja osoba korisnika zajamčene minimalne naknade kretao se od 2,4% do </w:t>
      </w:r>
      <w:r w:rsidR="002D6E1C">
        <w:rPr>
          <w:rFonts w:eastAsia="ArialNarrow" w:cstheme="minorHAnsi"/>
        </w:rPr>
        <w:t>1</w:t>
      </w:r>
      <w:r>
        <w:rPr>
          <w:rFonts w:eastAsia="ArialNarrow" w:cstheme="minorHAnsi"/>
        </w:rPr>
        <w:t>,</w:t>
      </w:r>
      <w:r w:rsidR="002D6E1C">
        <w:rPr>
          <w:rFonts w:eastAsia="ArialNarrow" w:cstheme="minorHAnsi"/>
        </w:rPr>
        <w:t>5</w:t>
      </w:r>
      <w:r>
        <w:rPr>
          <w:rFonts w:eastAsia="ArialNarrow" w:cstheme="minorHAnsi"/>
        </w:rPr>
        <w:t>%</w:t>
      </w:r>
      <w:r w:rsidR="003D1382">
        <w:rPr>
          <w:rFonts w:eastAsia="ArialNarrow" w:cstheme="minorHAnsi"/>
        </w:rPr>
        <w:t>,</w:t>
      </w:r>
      <w:r>
        <w:rPr>
          <w:rFonts w:eastAsia="ArialNarrow" w:cstheme="minorHAnsi"/>
        </w:rPr>
        <w:t xml:space="preserve"> dok se na području Krapinsko-zagorske županije taj broj kretao od </w:t>
      </w:r>
      <w:r w:rsidR="002D6E1C">
        <w:rPr>
          <w:rFonts w:eastAsia="ArialNarrow" w:cstheme="minorHAnsi"/>
        </w:rPr>
        <w:t>0,9</w:t>
      </w:r>
      <w:r>
        <w:rPr>
          <w:rFonts w:eastAsia="ArialNarrow" w:cstheme="minorHAnsi"/>
        </w:rPr>
        <w:t>% do 0,</w:t>
      </w:r>
      <w:r w:rsidR="002D6E1C">
        <w:rPr>
          <w:rFonts w:eastAsia="ArialNarrow" w:cstheme="minorHAnsi"/>
        </w:rPr>
        <w:t>6</w:t>
      </w:r>
      <w:r>
        <w:rPr>
          <w:rFonts w:eastAsia="ArialNarrow" w:cstheme="minorHAnsi"/>
        </w:rPr>
        <w:t>%. Prema pr</w:t>
      </w:r>
      <w:r w:rsidR="003D1382">
        <w:rPr>
          <w:rFonts w:eastAsia="ArialNarrow" w:cstheme="minorHAnsi"/>
        </w:rPr>
        <w:t>ikazanom</w:t>
      </w:r>
      <w:r>
        <w:rPr>
          <w:rFonts w:eastAsia="ArialNarrow" w:cstheme="minorHAnsi"/>
        </w:rPr>
        <w:t xml:space="preserve"> grafikonu</w:t>
      </w:r>
      <w:r w:rsidR="003D1382">
        <w:rPr>
          <w:rFonts w:eastAsia="ArialNarrow" w:cstheme="minorHAnsi"/>
        </w:rPr>
        <w:t>,</w:t>
      </w:r>
      <w:r>
        <w:rPr>
          <w:rFonts w:eastAsia="ArialNarrow" w:cstheme="minorHAnsi"/>
        </w:rPr>
        <w:t xml:space="preserve"> u odnosu na usporedne županije</w:t>
      </w:r>
      <w:r w:rsidR="003D1382">
        <w:rPr>
          <w:rFonts w:eastAsia="ArialNarrow" w:cstheme="minorHAnsi"/>
        </w:rPr>
        <w:t>,</w:t>
      </w:r>
      <w:r>
        <w:rPr>
          <w:rFonts w:eastAsia="ArialNarrow" w:cstheme="minorHAnsi"/>
        </w:rPr>
        <w:t xml:space="preserve"> Krapinsko-zagorska županija ima najmanji broj osoba koje primaju zajamčen</w:t>
      </w:r>
      <w:r w:rsidR="003D1382">
        <w:rPr>
          <w:rFonts w:eastAsia="ArialNarrow" w:cstheme="minorHAnsi"/>
        </w:rPr>
        <w:t>u</w:t>
      </w:r>
      <w:r>
        <w:rPr>
          <w:rFonts w:eastAsia="ArialNarrow" w:cstheme="minorHAnsi"/>
        </w:rPr>
        <w:t xml:space="preserve"> minimaln</w:t>
      </w:r>
      <w:r w:rsidR="003D1382">
        <w:rPr>
          <w:rFonts w:eastAsia="ArialNarrow" w:cstheme="minorHAnsi"/>
        </w:rPr>
        <w:t>u</w:t>
      </w:r>
      <w:r>
        <w:rPr>
          <w:rFonts w:eastAsia="ArialNarrow" w:cstheme="minorHAnsi"/>
        </w:rPr>
        <w:t xml:space="preserve"> naknade</w:t>
      </w:r>
      <w:r>
        <w:rPr>
          <w:rFonts w:eastAsia="ArialNarrow" w:cstheme="minorHAnsi"/>
          <w:sz w:val="20"/>
        </w:rPr>
        <w:t>.</w:t>
      </w:r>
    </w:p>
    <w:p w14:paraId="6A009847" w14:textId="77777777" w:rsidR="00C7687C" w:rsidRDefault="00C7687C" w:rsidP="00941871">
      <w:pPr>
        <w:autoSpaceDE w:val="0"/>
        <w:autoSpaceDN w:val="0"/>
        <w:adjustRightInd w:val="0"/>
        <w:spacing w:after="0" w:line="240" w:lineRule="auto"/>
        <w:rPr>
          <w:rFonts w:eastAsia="ArialNarrow" w:cstheme="minorHAnsi"/>
          <w:sz w:val="20"/>
        </w:rPr>
      </w:pPr>
    </w:p>
    <w:p w14:paraId="1933C8AA" w14:textId="7286FB52" w:rsidR="009B2F5E" w:rsidRDefault="009B2F5E" w:rsidP="00941871">
      <w:pPr>
        <w:autoSpaceDE w:val="0"/>
        <w:autoSpaceDN w:val="0"/>
        <w:adjustRightInd w:val="0"/>
        <w:spacing w:after="0" w:line="240" w:lineRule="auto"/>
        <w:rPr>
          <w:rFonts w:eastAsia="ArialNarrow" w:cstheme="minorHAnsi"/>
          <w:sz w:val="20"/>
        </w:rPr>
      </w:pPr>
      <w:r w:rsidRPr="3ECBDAD0">
        <w:rPr>
          <w:noProof/>
        </w:rPr>
        <w:t xml:space="preserve">Tablica </w:t>
      </w:r>
      <w:r>
        <w:rPr>
          <w:noProof/>
        </w:rPr>
        <w:t>2</w:t>
      </w:r>
      <w:r w:rsidR="000D5E3F">
        <w:rPr>
          <w:noProof/>
        </w:rPr>
        <w:t>6</w:t>
      </w:r>
      <w:r w:rsidRPr="3ECBDAD0">
        <w:rPr>
          <w:noProof/>
        </w:rPr>
        <w:t>. Ostvarena prava socijalne skrbi u Krapinsko-zagorskoj županiji prema Zakonu o socijalnoj skrbi, 201</w:t>
      </w:r>
      <w:r>
        <w:rPr>
          <w:noProof/>
        </w:rPr>
        <w:t>4</w:t>
      </w:r>
      <w:r w:rsidRPr="3ECBDAD0">
        <w:rPr>
          <w:noProof/>
        </w:rPr>
        <w:t xml:space="preserve">. </w:t>
      </w:r>
      <w:r w:rsidR="00D179B2">
        <w:rPr>
          <w:noProof/>
        </w:rPr>
        <w:t>-</w:t>
      </w:r>
      <w:r w:rsidRPr="3ECBDAD0">
        <w:rPr>
          <w:noProof/>
        </w:rPr>
        <w:t xml:space="preserve"> 201</w:t>
      </w:r>
      <w:r>
        <w:rPr>
          <w:noProof/>
        </w:rPr>
        <w:t>9</w:t>
      </w:r>
      <w:r w:rsidRPr="3ECBDAD0">
        <w:rPr>
          <w:noProof/>
        </w:rPr>
        <w:t>. godina</w:t>
      </w:r>
    </w:p>
    <w:tbl>
      <w:tblPr>
        <w:tblW w:w="9356" w:type="dxa"/>
        <w:tblBorders>
          <w:insideH w:val="single" w:sz="8" w:space="0" w:color="F3CFC1"/>
        </w:tblBorders>
        <w:shd w:val="clear" w:color="auto" w:fill="D2232A"/>
        <w:tblLook w:val="04A0" w:firstRow="1" w:lastRow="0" w:firstColumn="1" w:lastColumn="0" w:noHBand="0" w:noVBand="1"/>
      </w:tblPr>
      <w:tblGrid>
        <w:gridCol w:w="554"/>
        <w:gridCol w:w="4266"/>
        <w:gridCol w:w="709"/>
        <w:gridCol w:w="850"/>
        <w:gridCol w:w="709"/>
        <w:gridCol w:w="709"/>
        <w:gridCol w:w="708"/>
        <w:gridCol w:w="851"/>
      </w:tblGrid>
      <w:tr w:rsidR="002A0C86" w:rsidRPr="00DE56D5" w14:paraId="73B8D056" w14:textId="77777777" w:rsidTr="00546DAE">
        <w:trPr>
          <w:trHeight w:val="284"/>
          <w:tblHeader/>
        </w:trPr>
        <w:tc>
          <w:tcPr>
            <w:tcW w:w="4820" w:type="dxa"/>
            <w:gridSpan w:val="2"/>
            <w:vMerge w:val="restart"/>
            <w:tcBorders>
              <w:right w:val="single" w:sz="4" w:space="0" w:color="FFFFFF" w:themeColor="background1"/>
            </w:tcBorders>
            <w:shd w:val="clear" w:color="auto" w:fill="D2232A"/>
            <w:noWrap/>
            <w:vAlign w:val="center"/>
            <w:hideMark/>
          </w:tcPr>
          <w:p w14:paraId="7C3D3046" w14:textId="77777777" w:rsidR="002A0C86" w:rsidRPr="00DE56D5" w:rsidRDefault="002A0C86" w:rsidP="00805373">
            <w:pPr>
              <w:spacing w:after="0" w:line="240" w:lineRule="auto"/>
              <w:jc w:val="center"/>
              <w:rPr>
                <w:rFonts w:eastAsia="Times New Roman" w:cstheme="minorHAnsi"/>
                <w:color w:val="FFFFFF"/>
                <w:szCs w:val="18"/>
                <w:lang w:eastAsia="hr-HR"/>
              </w:rPr>
            </w:pPr>
            <w:r w:rsidRPr="00DE56D5">
              <w:rPr>
                <w:rFonts w:eastAsia="Times New Roman" w:cstheme="minorHAnsi"/>
                <w:color w:val="FFFFFF"/>
                <w:szCs w:val="18"/>
                <w:lang w:eastAsia="hr-HR"/>
              </w:rPr>
              <w:t>PRAVO U SOCIJALNOJ SKRBI</w:t>
            </w:r>
          </w:p>
        </w:tc>
        <w:tc>
          <w:tcPr>
            <w:tcW w:w="4536" w:type="dxa"/>
            <w:gridSpan w:val="6"/>
            <w:tcBorders>
              <w:left w:val="single" w:sz="4" w:space="0" w:color="FFFFFF" w:themeColor="background1"/>
              <w:bottom w:val="single" w:sz="8" w:space="0" w:color="F3CFC1"/>
            </w:tcBorders>
            <w:shd w:val="clear" w:color="auto" w:fill="D2232A"/>
            <w:noWrap/>
            <w:vAlign w:val="center"/>
            <w:hideMark/>
          </w:tcPr>
          <w:p w14:paraId="07DE3C37" w14:textId="1352360D" w:rsidR="002A0C86" w:rsidRPr="00DE56D5" w:rsidRDefault="002A0C86" w:rsidP="002A0C86">
            <w:pPr>
              <w:spacing w:after="0" w:line="240" w:lineRule="auto"/>
              <w:jc w:val="center"/>
              <w:rPr>
                <w:rFonts w:eastAsia="Times New Roman" w:cstheme="minorHAnsi"/>
                <w:color w:val="FFFFFF"/>
                <w:szCs w:val="18"/>
                <w:lang w:eastAsia="hr-HR"/>
              </w:rPr>
            </w:pPr>
            <w:r w:rsidRPr="00DE56D5">
              <w:rPr>
                <w:rFonts w:eastAsia="Times New Roman" w:cstheme="minorHAnsi"/>
                <w:color w:val="FFFFFF"/>
                <w:szCs w:val="18"/>
                <w:lang w:eastAsia="hr-HR"/>
              </w:rPr>
              <w:t>BROJ KORISNIKA POMOĆI</w:t>
            </w:r>
          </w:p>
        </w:tc>
      </w:tr>
      <w:tr w:rsidR="009B2F5E" w:rsidRPr="00DE56D5" w14:paraId="0F603851" w14:textId="77777777" w:rsidTr="00546DAE">
        <w:trPr>
          <w:trHeight w:val="284"/>
          <w:tblHeader/>
        </w:trPr>
        <w:tc>
          <w:tcPr>
            <w:tcW w:w="4820" w:type="dxa"/>
            <w:gridSpan w:val="2"/>
            <w:vMerge/>
            <w:tcBorders>
              <w:right w:val="single" w:sz="4" w:space="0" w:color="FFFFFF" w:themeColor="background1"/>
            </w:tcBorders>
            <w:shd w:val="clear" w:color="auto" w:fill="D2232A"/>
            <w:vAlign w:val="center"/>
            <w:hideMark/>
          </w:tcPr>
          <w:p w14:paraId="141D6297" w14:textId="77777777" w:rsidR="009B2F5E" w:rsidRPr="00DE56D5" w:rsidRDefault="009B2F5E" w:rsidP="00805373">
            <w:pPr>
              <w:spacing w:after="0"/>
              <w:rPr>
                <w:rFonts w:eastAsia="Times New Roman" w:cstheme="minorHAnsi"/>
                <w:color w:val="FFFFFF"/>
                <w:szCs w:val="18"/>
                <w:lang w:eastAsia="hr-HR"/>
              </w:rPr>
            </w:pPr>
          </w:p>
        </w:tc>
        <w:tc>
          <w:tcPr>
            <w:tcW w:w="709" w:type="dxa"/>
            <w:tcBorders>
              <w:top w:val="single" w:sz="8" w:space="0" w:color="F3CFC1"/>
              <w:left w:val="single" w:sz="4" w:space="0" w:color="FFFFFF" w:themeColor="background1"/>
              <w:bottom w:val="single" w:sz="8" w:space="0" w:color="F3CFC1"/>
              <w:right w:val="single" w:sz="8" w:space="0" w:color="F3CFC1"/>
            </w:tcBorders>
            <w:shd w:val="clear" w:color="auto" w:fill="D2232A"/>
            <w:noWrap/>
            <w:vAlign w:val="center"/>
            <w:hideMark/>
          </w:tcPr>
          <w:p w14:paraId="465BEB56"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2014.</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4F6009B9"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2015.</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3261E2FD"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2016.</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704DC326"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2017.</w:t>
            </w:r>
          </w:p>
        </w:tc>
        <w:tc>
          <w:tcPr>
            <w:tcW w:w="708" w:type="dxa"/>
            <w:tcBorders>
              <w:top w:val="single" w:sz="8" w:space="0" w:color="F3CFC1"/>
              <w:left w:val="single" w:sz="8" w:space="0" w:color="F3CFC1"/>
              <w:bottom w:val="single" w:sz="8" w:space="0" w:color="F3CFC1"/>
            </w:tcBorders>
            <w:shd w:val="clear" w:color="auto" w:fill="D2232A"/>
            <w:vAlign w:val="center"/>
          </w:tcPr>
          <w:p w14:paraId="72446E54" w14:textId="77777777" w:rsidR="009B2F5E" w:rsidRPr="00DE56D5" w:rsidRDefault="009B2F5E" w:rsidP="00805373">
            <w:pPr>
              <w:spacing w:after="0" w:line="240" w:lineRule="auto"/>
              <w:jc w:val="right"/>
              <w:rPr>
                <w:rFonts w:eastAsia="Times New Roman" w:cstheme="minorHAnsi"/>
                <w:color w:val="FFFFFF"/>
                <w:szCs w:val="18"/>
                <w:lang w:eastAsia="hr-HR"/>
              </w:rPr>
            </w:pPr>
            <w:r>
              <w:rPr>
                <w:rFonts w:eastAsia="Times New Roman" w:cstheme="minorHAnsi"/>
                <w:color w:val="FFFFFF"/>
                <w:szCs w:val="18"/>
                <w:lang w:eastAsia="hr-HR"/>
              </w:rPr>
              <w:t>2018.</w:t>
            </w:r>
          </w:p>
        </w:tc>
        <w:tc>
          <w:tcPr>
            <w:tcW w:w="851" w:type="dxa"/>
            <w:tcBorders>
              <w:top w:val="single" w:sz="8" w:space="0" w:color="F3CFC1"/>
              <w:left w:val="single" w:sz="8" w:space="0" w:color="F3CFC1"/>
              <w:bottom w:val="single" w:sz="8" w:space="0" w:color="F3CFC1"/>
            </w:tcBorders>
            <w:shd w:val="clear" w:color="auto" w:fill="D2232A"/>
            <w:vAlign w:val="center"/>
          </w:tcPr>
          <w:p w14:paraId="46499183" w14:textId="77777777" w:rsidR="009B2F5E" w:rsidRPr="00DE56D5" w:rsidRDefault="009B2F5E" w:rsidP="00805373">
            <w:pPr>
              <w:spacing w:after="0" w:line="240" w:lineRule="auto"/>
              <w:jc w:val="right"/>
              <w:rPr>
                <w:rFonts w:eastAsia="Times New Roman" w:cstheme="minorHAnsi"/>
                <w:color w:val="FFFFFF"/>
                <w:szCs w:val="18"/>
                <w:lang w:eastAsia="hr-HR"/>
              </w:rPr>
            </w:pPr>
            <w:r>
              <w:rPr>
                <w:rFonts w:eastAsia="Times New Roman" w:cstheme="minorHAnsi"/>
                <w:color w:val="FFFFFF"/>
                <w:szCs w:val="18"/>
                <w:lang w:eastAsia="hr-HR"/>
              </w:rPr>
              <w:t>2019.</w:t>
            </w:r>
          </w:p>
        </w:tc>
      </w:tr>
      <w:tr w:rsidR="009B2F5E" w:rsidRPr="00DE56D5" w14:paraId="1B6B800F" w14:textId="77777777" w:rsidTr="00546DAE">
        <w:trPr>
          <w:trHeight w:val="284"/>
        </w:trPr>
        <w:tc>
          <w:tcPr>
            <w:tcW w:w="554" w:type="dxa"/>
            <w:vMerge w:val="restart"/>
            <w:shd w:val="clear" w:color="auto" w:fill="D2232A"/>
            <w:noWrap/>
            <w:vAlign w:val="center"/>
            <w:hideMark/>
          </w:tcPr>
          <w:p w14:paraId="795D3A36"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I</w:t>
            </w:r>
          </w:p>
        </w:tc>
        <w:tc>
          <w:tcPr>
            <w:tcW w:w="4266" w:type="dxa"/>
            <w:shd w:val="clear" w:color="auto" w:fill="auto"/>
            <w:hideMark/>
          </w:tcPr>
          <w:p w14:paraId="088F3211"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 xml:space="preserve">ZAJAMČENA MINIMALNA NAKNADA: </w:t>
            </w:r>
          </w:p>
          <w:p w14:paraId="788060CF"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1. Ukupno naknada (samaca i kućanstava)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700ECC99"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954</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02CBFCE7"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887</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66B1CC0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826</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4DEC5B5E"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768</w:t>
            </w:r>
          </w:p>
        </w:tc>
        <w:tc>
          <w:tcPr>
            <w:tcW w:w="708" w:type="dxa"/>
            <w:tcBorders>
              <w:top w:val="single" w:sz="8" w:space="0" w:color="F3CFC1"/>
              <w:left w:val="single" w:sz="8" w:space="0" w:color="F3CFC1"/>
              <w:bottom w:val="single" w:sz="8" w:space="0" w:color="F3CFC1"/>
            </w:tcBorders>
            <w:shd w:val="clear" w:color="auto" w:fill="D2232A"/>
            <w:vAlign w:val="center"/>
          </w:tcPr>
          <w:p w14:paraId="7F7A128A"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745</w:t>
            </w:r>
          </w:p>
        </w:tc>
        <w:tc>
          <w:tcPr>
            <w:tcW w:w="851" w:type="dxa"/>
            <w:tcBorders>
              <w:top w:val="single" w:sz="8" w:space="0" w:color="F3CFC1"/>
              <w:left w:val="single" w:sz="8" w:space="0" w:color="F3CFC1"/>
              <w:bottom w:val="single" w:sz="8" w:space="0" w:color="F3CFC1"/>
            </w:tcBorders>
            <w:shd w:val="clear" w:color="auto" w:fill="D2232A"/>
            <w:vAlign w:val="center"/>
          </w:tcPr>
          <w:p w14:paraId="09263FD5"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660</w:t>
            </w:r>
          </w:p>
        </w:tc>
      </w:tr>
      <w:tr w:rsidR="009B2F5E" w:rsidRPr="00DE56D5" w14:paraId="45C49933" w14:textId="77777777" w:rsidTr="00546DAE">
        <w:trPr>
          <w:trHeight w:val="284"/>
        </w:trPr>
        <w:tc>
          <w:tcPr>
            <w:tcW w:w="554" w:type="dxa"/>
            <w:vMerge/>
            <w:shd w:val="clear" w:color="auto" w:fill="D2232A"/>
            <w:vAlign w:val="center"/>
            <w:hideMark/>
          </w:tcPr>
          <w:p w14:paraId="061C8357"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vAlign w:val="center"/>
            <w:hideMark/>
          </w:tcPr>
          <w:p w14:paraId="0EE74373"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2. Ukupno obuhvaćenih osoba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59135803"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1.397</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56243EA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1.261</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4783BAFF"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1.210</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23A9A2ED"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1.085</w:t>
            </w:r>
          </w:p>
        </w:tc>
        <w:tc>
          <w:tcPr>
            <w:tcW w:w="708" w:type="dxa"/>
            <w:tcBorders>
              <w:top w:val="single" w:sz="8" w:space="0" w:color="F3CFC1"/>
              <w:left w:val="single" w:sz="8" w:space="0" w:color="F3CFC1"/>
              <w:bottom w:val="single" w:sz="8" w:space="0" w:color="F3CFC1"/>
            </w:tcBorders>
            <w:shd w:val="clear" w:color="auto" w:fill="D2232A"/>
            <w:vAlign w:val="center"/>
          </w:tcPr>
          <w:p w14:paraId="3DDC3337"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955</w:t>
            </w:r>
          </w:p>
        </w:tc>
        <w:tc>
          <w:tcPr>
            <w:tcW w:w="851" w:type="dxa"/>
            <w:tcBorders>
              <w:top w:val="single" w:sz="8" w:space="0" w:color="F3CFC1"/>
              <w:left w:val="single" w:sz="8" w:space="0" w:color="F3CFC1"/>
              <w:bottom w:val="single" w:sz="8" w:space="0" w:color="F3CFC1"/>
            </w:tcBorders>
            <w:shd w:val="clear" w:color="auto" w:fill="D2232A"/>
            <w:vAlign w:val="center"/>
          </w:tcPr>
          <w:p w14:paraId="43A5AC0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848</w:t>
            </w:r>
          </w:p>
        </w:tc>
      </w:tr>
      <w:tr w:rsidR="009B2F5E" w:rsidRPr="00DE56D5" w14:paraId="3C91A4CA" w14:textId="77777777" w:rsidTr="00546DAE">
        <w:trPr>
          <w:trHeight w:val="284"/>
        </w:trPr>
        <w:tc>
          <w:tcPr>
            <w:tcW w:w="554" w:type="dxa"/>
            <w:shd w:val="clear" w:color="auto" w:fill="D2232A"/>
            <w:noWrap/>
            <w:vAlign w:val="center"/>
            <w:hideMark/>
          </w:tcPr>
          <w:p w14:paraId="22361684"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II</w:t>
            </w:r>
          </w:p>
        </w:tc>
        <w:tc>
          <w:tcPr>
            <w:tcW w:w="4266" w:type="dxa"/>
            <w:shd w:val="clear" w:color="auto" w:fill="auto"/>
            <w:vAlign w:val="center"/>
            <w:hideMark/>
          </w:tcPr>
          <w:p w14:paraId="100A8964"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NAKNADA ZA OSOBNE POTREBE KORISNIKA SMJEŠTAJA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7F458715"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227</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295C34F4"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331</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51684616"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639</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2855A4D7"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661</w:t>
            </w:r>
          </w:p>
        </w:tc>
        <w:tc>
          <w:tcPr>
            <w:tcW w:w="708" w:type="dxa"/>
            <w:tcBorders>
              <w:top w:val="single" w:sz="8" w:space="0" w:color="F3CFC1"/>
              <w:left w:val="single" w:sz="8" w:space="0" w:color="F3CFC1"/>
              <w:bottom w:val="single" w:sz="8" w:space="0" w:color="F3CFC1"/>
            </w:tcBorders>
            <w:shd w:val="clear" w:color="auto" w:fill="D2232A"/>
            <w:vAlign w:val="center"/>
          </w:tcPr>
          <w:p w14:paraId="78A1A6B1"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553</w:t>
            </w:r>
          </w:p>
        </w:tc>
        <w:tc>
          <w:tcPr>
            <w:tcW w:w="851" w:type="dxa"/>
            <w:tcBorders>
              <w:top w:val="single" w:sz="8" w:space="0" w:color="F3CFC1"/>
              <w:left w:val="single" w:sz="8" w:space="0" w:color="F3CFC1"/>
              <w:bottom w:val="single" w:sz="8" w:space="0" w:color="F3CFC1"/>
            </w:tcBorders>
            <w:shd w:val="clear" w:color="auto" w:fill="D2232A"/>
            <w:vAlign w:val="center"/>
          </w:tcPr>
          <w:p w14:paraId="6C84C54A"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619</w:t>
            </w:r>
          </w:p>
        </w:tc>
      </w:tr>
      <w:tr w:rsidR="009B2F5E" w:rsidRPr="00DE56D5" w14:paraId="534D07F4" w14:textId="77777777" w:rsidTr="00546DAE">
        <w:trPr>
          <w:trHeight w:val="284"/>
        </w:trPr>
        <w:tc>
          <w:tcPr>
            <w:tcW w:w="554" w:type="dxa"/>
            <w:vMerge w:val="restart"/>
            <w:shd w:val="clear" w:color="auto" w:fill="D2232A"/>
            <w:noWrap/>
            <w:vAlign w:val="center"/>
            <w:hideMark/>
          </w:tcPr>
          <w:p w14:paraId="3A6BAB6E"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III</w:t>
            </w:r>
          </w:p>
        </w:tc>
        <w:tc>
          <w:tcPr>
            <w:tcW w:w="4266" w:type="dxa"/>
            <w:shd w:val="clear" w:color="auto" w:fill="auto"/>
            <w:hideMark/>
          </w:tcPr>
          <w:p w14:paraId="4F9C70D4"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 xml:space="preserve">JEDNOKRATNA NAKNADA: </w:t>
            </w:r>
          </w:p>
          <w:p w14:paraId="3FA15500"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1. Ukupno naknada u izvještajnoj godini</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2B46AEA1"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3.129</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51A610DB"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3.128</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6AE18E81"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2.579</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6A24C8BF"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2.208</w:t>
            </w:r>
          </w:p>
        </w:tc>
        <w:tc>
          <w:tcPr>
            <w:tcW w:w="708" w:type="dxa"/>
            <w:tcBorders>
              <w:top w:val="single" w:sz="8" w:space="0" w:color="F3CFC1"/>
              <w:left w:val="single" w:sz="8" w:space="0" w:color="F3CFC1"/>
              <w:bottom w:val="single" w:sz="8" w:space="0" w:color="F3CFC1"/>
            </w:tcBorders>
            <w:shd w:val="clear" w:color="auto" w:fill="D2232A"/>
            <w:vAlign w:val="center"/>
          </w:tcPr>
          <w:p w14:paraId="20363828"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2.131</w:t>
            </w:r>
          </w:p>
        </w:tc>
        <w:tc>
          <w:tcPr>
            <w:tcW w:w="851" w:type="dxa"/>
            <w:tcBorders>
              <w:top w:val="single" w:sz="8" w:space="0" w:color="F3CFC1"/>
              <w:left w:val="single" w:sz="8" w:space="0" w:color="F3CFC1"/>
              <w:bottom w:val="single" w:sz="8" w:space="0" w:color="F3CFC1"/>
            </w:tcBorders>
            <w:shd w:val="clear" w:color="auto" w:fill="D2232A"/>
            <w:vAlign w:val="center"/>
          </w:tcPr>
          <w:p w14:paraId="5B15182B"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2.072</w:t>
            </w:r>
          </w:p>
        </w:tc>
      </w:tr>
      <w:tr w:rsidR="009B2F5E" w:rsidRPr="00DE56D5" w14:paraId="00DD01D2" w14:textId="77777777" w:rsidTr="00546DAE">
        <w:trPr>
          <w:trHeight w:val="284"/>
        </w:trPr>
        <w:tc>
          <w:tcPr>
            <w:tcW w:w="554" w:type="dxa"/>
            <w:vMerge/>
            <w:shd w:val="clear" w:color="auto" w:fill="D2232A"/>
            <w:vAlign w:val="center"/>
            <w:hideMark/>
          </w:tcPr>
          <w:p w14:paraId="4D370FC7"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hideMark/>
          </w:tcPr>
          <w:p w14:paraId="546533F6"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 xml:space="preserve">2. Različiti korisnici (samci i kućanstvo) kojima je jednom ili više puta odobrena naknada u izvještajnoj godini </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4987491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2.310</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660B162C"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1.753</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525E7FA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1.395</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0E53480A"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981</w:t>
            </w:r>
          </w:p>
        </w:tc>
        <w:tc>
          <w:tcPr>
            <w:tcW w:w="708" w:type="dxa"/>
            <w:tcBorders>
              <w:top w:val="single" w:sz="8" w:space="0" w:color="F3CFC1"/>
              <w:left w:val="single" w:sz="8" w:space="0" w:color="F3CFC1"/>
              <w:bottom w:val="single" w:sz="8" w:space="0" w:color="F3CFC1"/>
            </w:tcBorders>
            <w:shd w:val="clear" w:color="auto" w:fill="D2232A"/>
            <w:vAlign w:val="center"/>
          </w:tcPr>
          <w:p w14:paraId="2BFF6779"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1.266</w:t>
            </w:r>
          </w:p>
        </w:tc>
        <w:tc>
          <w:tcPr>
            <w:tcW w:w="851" w:type="dxa"/>
            <w:tcBorders>
              <w:top w:val="single" w:sz="8" w:space="0" w:color="F3CFC1"/>
              <w:left w:val="single" w:sz="8" w:space="0" w:color="F3CFC1"/>
              <w:bottom w:val="single" w:sz="8" w:space="0" w:color="F3CFC1"/>
            </w:tcBorders>
            <w:shd w:val="clear" w:color="auto" w:fill="D2232A"/>
            <w:vAlign w:val="center"/>
          </w:tcPr>
          <w:p w14:paraId="00315D8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1.031</w:t>
            </w:r>
          </w:p>
        </w:tc>
      </w:tr>
      <w:tr w:rsidR="009B2F5E" w:rsidRPr="00DE56D5" w14:paraId="70A9A868" w14:textId="77777777" w:rsidTr="00546DAE">
        <w:trPr>
          <w:trHeight w:val="284"/>
        </w:trPr>
        <w:tc>
          <w:tcPr>
            <w:tcW w:w="554" w:type="dxa"/>
            <w:shd w:val="clear" w:color="auto" w:fill="D2232A"/>
            <w:noWrap/>
            <w:vAlign w:val="center"/>
            <w:hideMark/>
          </w:tcPr>
          <w:p w14:paraId="399B949B"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IV</w:t>
            </w:r>
          </w:p>
        </w:tc>
        <w:tc>
          <w:tcPr>
            <w:tcW w:w="4266" w:type="dxa"/>
            <w:shd w:val="clear" w:color="auto" w:fill="auto"/>
            <w:vAlign w:val="center"/>
            <w:hideMark/>
          </w:tcPr>
          <w:p w14:paraId="20A0D2D1"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NAKNADE U VEZI S OBRAZOVANJEM</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54C4662E"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25</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0D90CCC7"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16</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070CAE83"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33</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0C8F7E4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16</w:t>
            </w:r>
          </w:p>
        </w:tc>
        <w:tc>
          <w:tcPr>
            <w:tcW w:w="708" w:type="dxa"/>
            <w:tcBorders>
              <w:top w:val="single" w:sz="8" w:space="0" w:color="F3CFC1"/>
              <w:left w:val="single" w:sz="8" w:space="0" w:color="F3CFC1"/>
              <w:bottom w:val="single" w:sz="8" w:space="0" w:color="F3CFC1"/>
            </w:tcBorders>
            <w:shd w:val="clear" w:color="auto" w:fill="D2232A"/>
            <w:vAlign w:val="center"/>
          </w:tcPr>
          <w:p w14:paraId="77EB52F6"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22</w:t>
            </w:r>
          </w:p>
        </w:tc>
        <w:tc>
          <w:tcPr>
            <w:tcW w:w="851" w:type="dxa"/>
            <w:tcBorders>
              <w:top w:val="single" w:sz="8" w:space="0" w:color="F3CFC1"/>
              <w:left w:val="single" w:sz="8" w:space="0" w:color="F3CFC1"/>
              <w:bottom w:val="single" w:sz="8" w:space="0" w:color="F3CFC1"/>
            </w:tcBorders>
            <w:shd w:val="clear" w:color="auto" w:fill="D2232A"/>
            <w:vAlign w:val="center"/>
          </w:tcPr>
          <w:p w14:paraId="19DA8EEC"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15</w:t>
            </w:r>
          </w:p>
        </w:tc>
      </w:tr>
      <w:tr w:rsidR="009B2F5E" w:rsidRPr="00DE56D5" w14:paraId="5DEB2B92" w14:textId="77777777" w:rsidTr="00546DAE">
        <w:trPr>
          <w:trHeight w:val="284"/>
        </w:trPr>
        <w:tc>
          <w:tcPr>
            <w:tcW w:w="554" w:type="dxa"/>
            <w:shd w:val="clear" w:color="auto" w:fill="D2232A"/>
            <w:noWrap/>
            <w:vAlign w:val="center"/>
            <w:hideMark/>
          </w:tcPr>
          <w:p w14:paraId="37AE9238"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V</w:t>
            </w:r>
          </w:p>
        </w:tc>
        <w:tc>
          <w:tcPr>
            <w:tcW w:w="4266" w:type="dxa"/>
            <w:shd w:val="clear" w:color="auto" w:fill="auto"/>
            <w:vAlign w:val="center"/>
            <w:hideMark/>
          </w:tcPr>
          <w:p w14:paraId="3F2C52AC"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OSOBNA INVALIDNINA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226C72A4"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837</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3576D578"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831</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2AE838E8"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895</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29DBEDBB"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945</w:t>
            </w:r>
          </w:p>
        </w:tc>
        <w:tc>
          <w:tcPr>
            <w:tcW w:w="708" w:type="dxa"/>
            <w:tcBorders>
              <w:top w:val="single" w:sz="8" w:space="0" w:color="F3CFC1"/>
              <w:left w:val="single" w:sz="8" w:space="0" w:color="F3CFC1"/>
              <w:bottom w:val="single" w:sz="8" w:space="0" w:color="F3CFC1"/>
            </w:tcBorders>
            <w:shd w:val="clear" w:color="auto" w:fill="D2232A"/>
            <w:vAlign w:val="center"/>
          </w:tcPr>
          <w:p w14:paraId="753BE36A"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1.077</w:t>
            </w:r>
          </w:p>
        </w:tc>
        <w:tc>
          <w:tcPr>
            <w:tcW w:w="851" w:type="dxa"/>
            <w:tcBorders>
              <w:top w:val="single" w:sz="8" w:space="0" w:color="F3CFC1"/>
              <w:left w:val="single" w:sz="8" w:space="0" w:color="F3CFC1"/>
              <w:bottom w:val="single" w:sz="8" w:space="0" w:color="F3CFC1"/>
            </w:tcBorders>
            <w:shd w:val="clear" w:color="auto" w:fill="D2232A"/>
            <w:vAlign w:val="center"/>
          </w:tcPr>
          <w:p w14:paraId="15905A76"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1.253</w:t>
            </w:r>
          </w:p>
        </w:tc>
      </w:tr>
      <w:tr w:rsidR="009B2F5E" w:rsidRPr="00DE56D5" w14:paraId="43ED1F06" w14:textId="77777777" w:rsidTr="00546DAE">
        <w:trPr>
          <w:trHeight w:val="284"/>
        </w:trPr>
        <w:tc>
          <w:tcPr>
            <w:tcW w:w="554" w:type="dxa"/>
            <w:shd w:val="clear" w:color="auto" w:fill="D2232A"/>
            <w:noWrap/>
            <w:vAlign w:val="center"/>
            <w:hideMark/>
          </w:tcPr>
          <w:p w14:paraId="21F35D8D"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VI</w:t>
            </w:r>
          </w:p>
        </w:tc>
        <w:tc>
          <w:tcPr>
            <w:tcW w:w="4266" w:type="dxa"/>
            <w:shd w:val="clear" w:color="auto" w:fill="auto"/>
            <w:vAlign w:val="center"/>
            <w:hideMark/>
          </w:tcPr>
          <w:p w14:paraId="1058B814"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DOPLATAK ZA POMOĆ I NJEGU</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369A802D"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2.324</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60341EEE"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2.113</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4A936F78"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2.112</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152834B9"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2.128</w:t>
            </w:r>
          </w:p>
        </w:tc>
        <w:tc>
          <w:tcPr>
            <w:tcW w:w="708" w:type="dxa"/>
            <w:tcBorders>
              <w:top w:val="single" w:sz="8" w:space="0" w:color="F3CFC1"/>
              <w:left w:val="single" w:sz="8" w:space="0" w:color="F3CFC1"/>
              <w:bottom w:val="single" w:sz="8" w:space="0" w:color="F3CFC1"/>
            </w:tcBorders>
            <w:shd w:val="clear" w:color="auto" w:fill="D2232A"/>
            <w:vAlign w:val="center"/>
          </w:tcPr>
          <w:p w14:paraId="427B66C9"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2.370</w:t>
            </w:r>
          </w:p>
        </w:tc>
        <w:tc>
          <w:tcPr>
            <w:tcW w:w="851" w:type="dxa"/>
            <w:tcBorders>
              <w:top w:val="single" w:sz="8" w:space="0" w:color="F3CFC1"/>
              <w:left w:val="single" w:sz="8" w:space="0" w:color="F3CFC1"/>
              <w:bottom w:val="single" w:sz="8" w:space="0" w:color="F3CFC1"/>
            </w:tcBorders>
            <w:shd w:val="clear" w:color="auto" w:fill="D2232A"/>
            <w:vAlign w:val="center"/>
          </w:tcPr>
          <w:p w14:paraId="13231519"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2.459</w:t>
            </w:r>
          </w:p>
        </w:tc>
      </w:tr>
      <w:tr w:rsidR="009B2F5E" w:rsidRPr="00DE56D5" w14:paraId="22CFC175" w14:textId="77777777" w:rsidTr="00546DAE">
        <w:trPr>
          <w:trHeight w:val="284"/>
        </w:trPr>
        <w:tc>
          <w:tcPr>
            <w:tcW w:w="554" w:type="dxa"/>
            <w:shd w:val="clear" w:color="auto" w:fill="D2232A"/>
            <w:noWrap/>
            <w:vAlign w:val="center"/>
            <w:hideMark/>
          </w:tcPr>
          <w:p w14:paraId="7ACBF2D5"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VII</w:t>
            </w:r>
          </w:p>
        </w:tc>
        <w:tc>
          <w:tcPr>
            <w:tcW w:w="4266" w:type="dxa"/>
            <w:shd w:val="clear" w:color="auto" w:fill="auto"/>
            <w:vAlign w:val="center"/>
            <w:hideMark/>
          </w:tcPr>
          <w:p w14:paraId="7D2FC46B"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STATUS RODITELJA NJEGOVATELJA ILI NJEGOVATELJ</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2C8F4491"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175</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0F4646B8"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171</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1613C4BB"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143</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0F6F0324"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190</w:t>
            </w:r>
          </w:p>
        </w:tc>
        <w:tc>
          <w:tcPr>
            <w:tcW w:w="708" w:type="dxa"/>
            <w:tcBorders>
              <w:top w:val="single" w:sz="8" w:space="0" w:color="F3CFC1"/>
              <w:left w:val="single" w:sz="8" w:space="0" w:color="F3CFC1"/>
              <w:bottom w:val="single" w:sz="8" w:space="0" w:color="F3CFC1"/>
            </w:tcBorders>
            <w:shd w:val="clear" w:color="auto" w:fill="D2232A"/>
            <w:vAlign w:val="center"/>
          </w:tcPr>
          <w:p w14:paraId="30D84150"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207</w:t>
            </w:r>
          </w:p>
        </w:tc>
        <w:tc>
          <w:tcPr>
            <w:tcW w:w="851" w:type="dxa"/>
            <w:tcBorders>
              <w:top w:val="single" w:sz="8" w:space="0" w:color="F3CFC1"/>
              <w:left w:val="single" w:sz="8" w:space="0" w:color="F3CFC1"/>
              <w:bottom w:val="single" w:sz="8" w:space="0" w:color="F3CFC1"/>
            </w:tcBorders>
            <w:shd w:val="clear" w:color="auto" w:fill="D2232A"/>
            <w:vAlign w:val="center"/>
          </w:tcPr>
          <w:p w14:paraId="734E6D9B"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207</w:t>
            </w:r>
          </w:p>
        </w:tc>
      </w:tr>
      <w:tr w:rsidR="009B2F5E" w:rsidRPr="00DE56D5" w14:paraId="692A00DD" w14:textId="77777777" w:rsidTr="00546DAE">
        <w:trPr>
          <w:trHeight w:val="284"/>
        </w:trPr>
        <w:tc>
          <w:tcPr>
            <w:tcW w:w="554" w:type="dxa"/>
            <w:shd w:val="clear" w:color="auto" w:fill="D2232A"/>
            <w:noWrap/>
            <w:vAlign w:val="center"/>
            <w:hideMark/>
          </w:tcPr>
          <w:p w14:paraId="173D5995"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VIII</w:t>
            </w:r>
          </w:p>
        </w:tc>
        <w:tc>
          <w:tcPr>
            <w:tcW w:w="4266" w:type="dxa"/>
            <w:shd w:val="clear" w:color="auto" w:fill="auto"/>
            <w:vAlign w:val="center"/>
            <w:hideMark/>
          </w:tcPr>
          <w:p w14:paraId="27A265D3"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NAKNADA DO ZAPOSLENJA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1C290813"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209</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6D27921F"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239</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221DAB9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157</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674BC0B3"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140</w:t>
            </w:r>
          </w:p>
        </w:tc>
        <w:tc>
          <w:tcPr>
            <w:tcW w:w="708" w:type="dxa"/>
            <w:tcBorders>
              <w:top w:val="single" w:sz="8" w:space="0" w:color="F3CFC1"/>
              <w:left w:val="single" w:sz="8" w:space="0" w:color="F3CFC1"/>
              <w:bottom w:val="single" w:sz="8" w:space="0" w:color="F3CFC1"/>
            </w:tcBorders>
            <w:shd w:val="clear" w:color="auto" w:fill="D2232A"/>
            <w:vAlign w:val="center"/>
          </w:tcPr>
          <w:p w14:paraId="602C89DD"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115</w:t>
            </w:r>
          </w:p>
        </w:tc>
        <w:tc>
          <w:tcPr>
            <w:tcW w:w="851" w:type="dxa"/>
            <w:tcBorders>
              <w:top w:val="single" w:sz="8" w:space="0" w:color="F3CFC1"/>
              <w:left w:val="single" w:sz="8" w:space="0" w:color="F3CFC1"/>
              <w:bottom w:val="single" w:sz="8" w:space="0" w:color="F3CFC1"/>
            </w:tcBorders>
            <w:shd w:val="clear" w:color="auto" w:fill="D2232A"/>
            <w:vAlign w:val="center"/>
          </w:tcPr>
          <w:p w14:paraId="27B1C046"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92</w:t>
            </w:r>
          </w:p>
        </w:tc>
      </w:tr>
      <w:tr w:rsidR="009B2F5E" w:rsidRPr="00DE56D5" w14:paraId="3C45AA10" w14:textId="77777777" w:rsidTr="00546DAE">
        <w:trPr>
          <w:trHeight w:val="284"/>
        </w:trPr>
        <w:tc>
          <w:tcPr>
            <w:tcW w:w="554" w:type="dxa"/>
            <w:vMerge w:val="restart"/>
            <w:shd w:val="clear" w:color="auto" w:fill="D2232A"/>
            <w:noWrap/>
            <w:vAlign w:val="center"/>
            <w:hideMark/>
          </w:tcPr>
          <w:p w14:paraId="0B700A69" w14:textId="77777777" w:rsidR="009B2F5E" w:rsidRPr="00DE56D5" w:rsidRDefault="009B2F5E" w:rsidP="00805373">
            <w:pPr>
              <w:spacing w:after="0" w:line="240" w:lineRule="auto"/>
              <w:rPr>
                <w:rFonts w:eastAsia="Times New Roman" w:cstheme="minorHAnsi"/>
                <w:color w:val="FFFFFF"/>
                <w:szCs w:val="18"/>
                <w:lang w:eastAsia="hr-HR"/>
              </w:rPr>
            </w:pPr>
            <w:r w:rsidRPr="00DE56D5">
              <w:rPr>
                <w:rFonts w:eastAsia="Times New Roman" w:cstheme="minorHAnsi"/>
                <w:color w:val="FFFFFF"/>
                <w:szCs w:val="18"/>
                <w:lang w:eastAsia="hr-HR"/>
              </w:rPr>
              <w:t>IX</w:t>
            </w:r>
          </w:p>
        </w:tc>
        <w:tc>
          <w:tcPr>
            <w:tcW w:w="4266" w:type="dxa"/>
            <w:shd w:val="clear" w:color="auto" w:fill="auto"/>
            <w:vAlign w:val="center"/>
            <w:hideMark/>
          </w:tcPr>
          <w:p w14:paraId="644C15BD"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SOCIJALNE USLUGE (ukupno korisnika)</w:t>
            </w:r>
          </w:p>
          <w:p w14:paraId="55EAEB52"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POMOĆ U KUĆI</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305285B4"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364</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68E006DB"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255</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7573EFCC"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204</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7BC3690E"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233</w:t>
            </w:r>
          </w:p>
        </w:tc>
        <w:tc>
          <w:tcPr>
            <w:tcW w:w="708" w:type="dxa"/>
            <w:tcBorders>
              <w:top w:val="single" w:sz="8" w:space="0" w:color="F3CFC1"/>
              <w:left w:val="single" w:sz="8" w:space="0" w:color="F3CFC1"/>
              <w:bottom w:val="single" w:sz="8" w:space="0" w:color="F3CFC1"/>
            </w:tcBorders>
            <w:shd w:val="clear" w:color="auto" w:fill="D2232A"/>
            <w:vAlign w:val="center"/>
          </w:tcPr>
          <w:p w14:paraId="12A23959"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222</w:t>
            </w:r>
          </w:p>
        </w:tc>
        <w:tc>
          <w:tcPr>
            <w:tcW w:w="851" w:type="dxa"/>
            <w:tcBorders>
              <w:top w:val="single" w:sz="8" w:space="0" w:color="F3CFC1"/>
              <w:left w:val="single" w:sz="8" w:space="0" w:color="F3CFC1"/>
              <w:bottom w:val="single" w:sz="8" w:space="0" w:color="F3CFC1"/>
            </w:tcBorders>
            <w:shd w:val="clear" w:color="auto" w:fill="D2232A"/>
            <w:vAlign w:val="center"/>
          </w:tcPr>
          <w:p w14:paraId="747EB72A"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243</w:t>
            </w:r>
          </w:p>
        </w:tc>
      </w:tr>
      <w:tr w:rsidR="009B2F5E" w:rsidRPr="00DE56D5" w14:paraId="1930941D" w14:textId="77777777" w:rsidTr="00546DAE">
        <w:trPr>
          <w:trHeight w:val="284"/>
        </w:trPr>
        <w:tc>
          <w:tcPr>
            <w:tcW w:w="554" w:type="dxa"/>
            <w:vMerge/>
            <w:shd w:val="clear" w:color="auto" w:fill="D2232A"/>
            <w:vAlign w:val="center"/>
            <w:hideMark/>
          </w:tcPr>
          <w:p w14:paraId="5799FF8D"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vAlign w:val="center"/>
            <w:hideMark/>
          </w:tcPr>
          <w:p w14:paraId="49EDB8F6"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PSIHOSOCIJALNA PODRŠKA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3FDD8F0F"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4</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31C5F630"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17</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12824AB5"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13</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2B78CF3B"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26</w:t>
            </w:r>
          </w:p>
        </w:tc>
        <w:tc>
          <w:tcPr>
            <w:tcW w:w="708" w:type="dxa"/>
            <w:tcBorders>
              <w:top w:val="single" w:sz="8" w:space="0" w:color="F3CFC1"/>
              <w:left w:val="single" w:sz="8" w:space="0" w:color="F3CFC1"/>
              <w:bottom w:val="single" w:sz="8" w:space="0" w:color="F3CFC1"/>
            </w:tcBorders>
            <w:shd w:val="clear" w:color="auto" w:fill="D2232A"/>
            <w:vAlign w:val="center"/>
          </w:tcPr>
          <w:p w14:paraId="54B2DD3A"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30</w:t>
            </w:r>
          </w:p>
        </w:tc>
        <w:tc>
          <w:tcPr>
            <w:tcW w:w="851" w:type="dxa"/>
            <w:tcBorders>
              <w:top w:val="single" w:sz="8" w:space="0" w:color="F3CFC1"/>
              <w:left w:val="single" w:sz="8" w:space="0" w:color="F3CFC1"/>
              <w:bottom w:val="single" w:sz="8" w:space="0" w:color="F3CFC1"/>
            </w:tcBorders>
            <w:shd w:val="clear" w:color="auto" w:fill="D2232A"/>
            <w:vAlign w:val="center"/>
          </w:tcPr>
          <w:p w14:paraId="6CDDEF41"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36</w:t>
            </w:r>
          </w:p>
        </w:tc>
      </w:tr>
      <w:tr w:rsidR="009B2F5E" w:rsidRPr="00DE56D5" w14:paraId="7867ACB0" w14:textId="77777777" w:rsidTr="00546DAE">
        <w:trPr>
          <w:trHeight w:val="284"/>
        </w:trPr>
        <w:tc>
          <w:tcPr>
            <w:tcW w:w="554" w:type="dxa"/>
            <w:vMerge/>
            <w:shd w:val="clear" w:color="auto" w:fill="D2232A"/>
            <w:vAlign w:val="center"/>
            <w:hideMark/>
          </w:tcPr>
          <w:p w14:paraId="77AEEDFB"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vAlign w:val="center"/>
            <w:hideMark/>
          </w:tcPr>
          <w:p w14:paraId="0CECA109"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RANA INTERVENCIJA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6CEA8AA4"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4</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7CD5B481"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14</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2D7AADAE"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7</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5665A694"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4</w:t>
            </w:r>
          </w:p>
        </w:tc>
        <w:tc>
          <w:tcPr>
            <w:tcW w:w="708" w:type="dxa"/>
            <w:tcBorders>
              <w:top w:val="single" w:sz="8" w:space="0" w:color="F3CFC1"/>
              <w:left w:val="single" w:sz="8" w:space="0" w:color="F3CFC1"/>
              <w:bottom w:val="single" w:sz="8" w:space="0" w:color="F3CFC1"/>
            </w:tcBorders>
            <w:shd w:val="clear" w:color="auto" w:fill="D2232A"/>
            <w:vAlign w:val="center"/>
          </w:tcPr>
          <w:p w14:paraId="14B468B7"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5</w:t>
            </w:r>
          </w:p>
        </w:tc>
        <w:tc>
          <w:tcPr>
            <w:tcW w:w="851" w:type="dxa"/>
            <w:tcBorders>
              <w:top w:val="single" w:sz="8" w:space="0" w:color="F3CFC1"/>
              <w:left w:val="single" w:sz="8" w:space="0" w:color="F3CFC1"/>
              <w:bottom w:val="single" w:sz="8" w:space="0" w:color="F3CFC1"/>
            </w:tcBorders>
            <w:shd w:val="clear" w:color="auto" w:fill="D2232A"/>
            <w:vAlign w:val="center"/>
          </w:tcPr>
          <w:p w14:paraId="6821EC00"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5</w:t>
            </w:r>
          </w:p>
        </w:tc>
      </w:tr>
      <w:tr w:rsidR="009B2F5E" w:rsidRPr="00DE56D5" w14:paraId="2E1B3053" w14:textId="77777777" w:rsidTr="00546DAE">
        <w:trPr>
          <w:trHeight w:val="284"/>
        </w:trPr>
        <w:tc>
          <w:tcPr>
            <w:tcW w:w="554" w:type="dxa"/>
            <w:vMerge/>
            <w:shd w:val="clear" w:color="auto" w:fill="D2232A"/>
            <w:vAlign w:val="center"/>
            <w:hideMark/>
          </w:tcPr>
          <w:p w14:paraId="3C58E355"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vAlign w:val="center"/>
            <w:hideMark/>
          </w:tcPr>
          <w:p w14:paraId="39161669" w14:textId="77777777" w:rsidR="009B2F5E" w:rsidRPr="00DE56D5" w:rsidRDefault="009B2F5E" w:rsidP="00805373">
            <w:pPr>
              <w:spacing w:after="0" w:line="240" w:lineRule="auto"/>
              <w:jc w:val="left"/>
              <w:rPr>
                <w:rFonts w:eastAsia="Times New Roman" w:cstheme="minorHAnsi"/>
                <w:szCs w:val="18"/>
                <w:lang w:eastAsia="hr-HR"/>
              </w:rPr>
            </w:pPr>
            <w:r w:rsidRPr="00DE56D5">
              <w:rPr>
                <w:rFonts w:eastAsia="Times New Roman" w:cstheme="minorHAnsi"/>
                <w:szCs w:val="18"/>
                <w:lang w:eastAsia="hr-HR"/>
              </w:rPr>
              <w:t>POMOĆ PRI UKLJUČIVANJE U PROGRAME ODGOJA I OBRAZOVANJA (INTEGRACIJA)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1F668E84"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3C7625A9"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5</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1B8F97B8"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3</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6EBC20B8"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8</w:t>
            </w:r>
          </w:p>
        </w:tc>
        <w:tc>
          <w:tcPr>
            <w:tcW w:w="708" w:type="dxa"/>
            <w:tcBorders>
              <w:top w:val="single" w:sz="8" w:space="0" w:color="F3CFC1"/>
              <w:left w:val="single" w:sz="8" w:space="0" w:color="F3CFC1"/>
              <w:bottom w:val="single" w:sz="8" w:space="0" w:color="F3CFC1"/>
            </w:tcBorders>
            <w:shd w:val="clear" w:color="auto" w:fill="D2232A"/>
            <w:vAlign w:val="center"/>
          </w:tcPr>
          <w:p w14:paraId="4240197F"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6</w:t>
            </w:r>
          </w:p>
        </w:tc>
        <w:tc>
          <w:tcPr>
            <w:tcW w:w="851" w:type="dxa"/>
            <w:tcBorders>
              <w:top w:val="single" w:sz="8" w:space="0" w:color="F3CFC1"/>
              <w:left w:val="single" w:sz="8" w:space="0" w:color="F3CFC1"/>
              <w:bottom w:val="single" w:sz="8" w:space="0" w:color="F3CFC1"/>
            </w:tcBorders>
            <w:shd w:val="clear" w:color="auto" w:fill="D2232A"/>
            <w:vAlign w:val="center"/>
          </w:tcPr>
          <w:p w14:paraId="301EF148"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7</w:t>
            </w:r>
          </w:p>
        </w:tc>
      </w:tr>
      <w:tr w:rsidR="009B2F5E" w:rsidRPr="00DE56D5" w14:paraId="4D4BBE85" w14:textId="77777777" w:rsidTr="00546DAE">
        <w:trPr>
          <w:trHeight w:val="284"/>
        </w:trPr>
        <w:tc>
          <w:tcPr>
            <w:tcW w:w="554" w:type="dxa"/>
            <w:vMerge/>
            <w:shd w:val="clear" w:color="auto" w:fill="D2232A"/>
            <w:vAlign w:val="center"/>
            <w:hideMark/>
          </w:tcPr>
          <w:p w14:paraId="64199978"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vAlign w:val="center"/>
            <w:hideMark/>
          </w:tcPr>
          <w:p w14:paraId="45218F13"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BORAVAK</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337A96C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36</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00F65591"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60</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053D3AED"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79</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190A3FC3"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83</w:t>
            </w:r>
          </w:p>
        </w:tc>
        <w:tc>
          <w:tcPr>
            <w:tcW w:w="708" w:type="dxa"/>
            <w:tcBorders>
              <w:top w:val="single" w:sz="8" w:space="0" w:color="F3CFC1"/>
              <w:left w:val="single" w:sz="8" w:space="0" w:color="F3CFC1"/>
              <w:bottom w:val="single" w:sz="8" w:space="0" w:color="F3CFC1"/>
            </w:tcBorders>
            <w:shd w:val="clear" w:color="auto" w:fill="D2232A"/>
            <w:vAlign w:val="center"/>
          </w:tcPr>
          <w:p w14:paraId="393CDA83"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82</w:t>
            </w:r>
          </w:p>
        </w:tc>
        <w:tc>
          <w:tcPr>
            <w:tcW w:w="851" w:type="dxa"/>
            <w:tcBorders>
              <w:top w:val="single" w:sz="8" w:space="0" w:color="F3CFC1"/>
              <w:left w:val="single" w:sz="8" w:space="0" w:color="F3CFC1"/>
              <w:bottom w:val="single" w:sz="8" w:space="0" w:color="F3CFC1"/>
            </w:tcBorders>
            <w:shd w:val="clear" w:color="auto" w:fill="D2232A"/>
            <w:vAlign w:val="center"/>
          </w:tcPr>
          <w:p w14:paraId="6E97B6C6"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82</w:t>
            </w:r>
          </w:p>
        </w:tc>
      </w:tr>
      <w:tr w:rsidR="009B2F5E" w:rsidRPr="00DE56D5" w14:paraId="072EE9E7" w14:textId="77777777" w:rsidTr="00546DAE">
        <w:trPr>
          <w:trHeight w:val="284"/>
        </w:trPr>
        <w:tc>
          <w:tcPr>
            <w:tcW w:w="554" w:type="dxa"/>
            <w:vMerge/>
            <w:shd w:val="clear" w:color="auto" w:fill="D2232A"/>
            <w:vAlign w:val="center"/>
            <w:hideMark/>
          </w:tcPr>
          <w:p w14:paraId="6DD8C011"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vAlign w:val="center"/>
            <w:hideMark/>
          </w:tcPr>
          <w:p w14:paraId="2F4D3E85"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SMJEŠTAJ (PRIVREMENI ILI DUGOTRAJNI) U UDOMITELJSKU OBITELJ DJECE I ODRASLIH OSOBA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41642EFC"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237</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3B6B5C01"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246</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20B55FC4"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336</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6927AE07"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268</w:t>
            </w:r>
          </w:p>
        </w:tc>
        <w:tc>
          <w:tcPr>
            <w:tcW w:w="708" w:type="dxa"/>
            <w:tcBorders>
              <w:top w:val="single" w:sz="8" w:space="0" w:color="F3CFC1"/>
              <w:left w:val="single" w:sz="8" w:space="0" w:color="F3CFC1"/>
              <w:bottom w:val="single" w:sz="8" w:space="0" w:color="F3CFC1"/>
            </w:tcBorders>
            <w:shd w:val="clear" w:color="auto" w:fill="D2232A"/>
            <w:vAlign w:val="center"/>
          </w:tcPr>
          <w:p w14:paraId="324C3BDA" w14:textId="1EDE1059" w:rsidR="009B2F5E" w:rsidRPr="00DE56D5" w:rsidRDefault="00230A69"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n/a</w:t>
            </w:r>
          </w:p>
        </w:tc>
        <w:tc>
          <w:tcPr>
            <w:tcW w:w="851" w:type="dxa"/>
            <w:tcBorders>
              <w:top w:val="single" w:sz="8" w:space="0" w:color="F3CFC1"/>
              <w:left w:val="single" w:sz="8" w:space="0" w:color="F3CFC1"/>
              <w:bottom w:val="single" w:sz="8" w:space="0" w:color="F3CFC1"/>
            </w:tcBorders>
            <w:shd w:val="clear" w:color="auto" w:fill="D2232A"/>
            <w:vAlign w:val="center"/>
          </w:tcPr>
          <w:p w14:paraId="31A0F6F5" w14:textId="77587C64" w:rsidR="009B2F5E" w:rsidRPr="00DE56D5" w:rsidRDefault="00230A69"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n/a</w:t>
            </w:r>
          </w:p>
        </w:tc>
      </w:tr>
      <w:tr w:rsidR="009B2F5E" w:rsidRPr="00DE56D5" w14:paraId="3ABFC688" w14:textId="77777777" w:rsidTr="00546DAE">
        <w:trPr>
          <w:trHeight w:val="284"/>
        </w:trPr>
        <w:tc>
          <w:tcPr>
            <w:tcW w:w="554" w:type="dxa"/>
            <w:vMerge/>
            <w:shd w:val="clear" w:color="auto" w:fill="D2232A"/>
            <w:vAlign w:val="center"/>
            <w:hideMark/>
          </w:tcPr>
          <w:p w14:paraId="2DCFEEAD"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vAlign w:val="center"/>
            <w:hideMark/>
          </w:tcPr>
          <w:p w14:paraId="1D043FB0"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DUGOTRAJNI SMJEŠTAJ - SMJEŠTAJ U OBITELJSKI DOM DJECE I ODRASLIH OSOBA</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470BF870"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18</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3146AEB0"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20</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7FA87325"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12</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7C565124"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13</w:t>
            </w:r>
          </w:p>
        </w:tc>
        <w:tc>
          <w:tcPr>
            <w:tcW w:w="708" w:type="dxa"/>
            <w:tcBorders>
              <w:top w:val="single" w:sz="8" w:space="0" w:color="F3CFC1"/>
              <w:left w:val="single" w:sz="8" w:space="0" w:color="F3CFC1"/>
              <w:bottom w:val="single" w:sz="8" w:space="0" w:color="F3CFC1"/>
            </w:tcBorders>
            <w:shd w:val="clear" w:color="auto" w:fill="D2232A"/>
            <w:vAlign w:val="center"/>
          </w:tcPr>
          <w:p w14:paraId="1673D847" w14:textId="36B882E6" w:rsidR="009B2F5E" w:rsidRPr="00DE56D5" w:rsidRDefault="00230A69"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n/a</w:t>
            </w:r>
          </w:p>
        </w:tc>
        <w:tc>
          <w:tcPr>
            <w:tcW w:w="851" w:type="dxa"/>
            <w:tcBorders>
              <w:top w:val="single" w:sz="8" w:space="0" w:color="F3CFC1"/>
              <w:left w:val="single" w:sz="8" w:space="0" w:color="F3CFC1"/>
              <w:bottom w:val="single" w:sz="8" w:space="0" w:color="F3CFC1"/>
            </w:tcBorders>
            <w:shd w:val="clear" w:color="auto" w:fill="D2232A"/>
            <w:vAlign w:val="center"/>
          </w:tcPr>
          <w:p w14:paraId="753CDB8E" w14:textId="45A26403" w:rsidR="009B2F5E" w:rsidRPr="00DE56D5" w:rsidRDefault="00230A69"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n/a</w:t>
            </w:r>
          </w:p>
        </w:tc>
      </w:tr>
      <w:tr w:rsidR="009B2F5E" w:rsidRPr="00DE56D5" w14:paraId="5CE99DBD" w14:textId="77777777" w:rsidTr="00546DAE">
        <w:trPr>
          <w:trHeight w:val="284"/>
        </w:trPr>
        <w:tc>
          <w:tcPr>
            <w:tcW w:w="554" w:type="dxa"/>
            <w:vMerge/>
            <w:shd w:val="clear" w:color="auto" w:fill="D2232A"/>
            <w:vAlign w:val="center"/>
            <w:hideMark/>
          </w:tcPr>
          <w:p w14:paraId="6A301144"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vAlign w:val="center"/>
            <w:hideMark/>
          </w:tcPr>
          <w:p w14:paraId="511350F1"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SMJEŠTAJ U DOM SOCIJALNE SKRBI ZA DJECU I ODRASLE OSOBE</w:t>
            </w:r>
          </w:p>
        </w:tc>
        <w:tc>
          <w:tcPr>
            <w:tcW w:w="709" w:type="dxa"/>
            <w:tcBorders>
              <w:top w:val="single" w:sz="8" w:space="0" w:color="F3CFC1"/>
              <w:bottom w:val="single" w:sz="8" w:space="0" w:color="F3CFC1"/>
              <w:right w:val="single" w:sz="8" w:space="0" w:color="F3CFC1"/>
            </w:tcBorders>
            <w:shd w:val="clear" w:color="auto" w:fill="D2232A"/>
            <w:noWrap/>
            <w:vAlign w:val="center"/>
            <w:hideMark/>
          </w:tcPr>
          <w:p w14:paraId="6D151553"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543</w:t>
            </w:r>
          </w:p>
        </w:tc>
        <w:tc>
          <w:tcPr>
            <w:tcW w:w="850"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5CE000F2"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555</w:t>
            </w:r>
          </w:p>
        </w:tc>
        <w:tc>
          <w:tcPr>
            <w:tcW w:w="709" w:type="dxa"/>
            <w:tcBorders>
              <w:top w:val="single" w:sz="8" w:space="0" w:color="F3CFC1"/>
              <w:left w:val="single" w:sz="8" w:space="0" w:color="F3CFC1"/>
              <w:bottom w:val="single" w:sz="8" w:space="0" w:color="F3CFC1"/>
              <w:right w:val="single" w:sz="8" w:space="0" w:color="F3CFC1"/>
            </w:tcBorders>
            <w:shd w:val="clear" w:color="auto" w:fill="D2232A"/>
            <w:noWrap/>
            <w:vAlign w:val="center"/>
            <w:hideMark/>
          </w:tcPr>
          <w:p w14:paraId="18911E0E"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642</w:t>
            </w:r>
          </w:p>
        </w:tc>
        <w:tc>
          <w:tcPr>
            <w:tcW w:w="709" w:type="dxa"/>
            <w:tcBorders>
              <w:top w:val="single" w:sz="8" w:space="0" w:color="F3CFC1"/>
              <w:left w:val="single" w:sz="8" w:space="0" w:color="F3CFC1"/>
              <w:bottom w:val="single" w:sz="8" w:space="0" w:color="F3CFC1"/>
            </w:tcBorders>
            <w:shd w:val="clear" w:color="auto" w:fill="D2232A"/>
            <w:noWrap/>
            <w:vAlign w:val="center"/>
            <w:hideMark/>
          </w:tcPr>
          <w:p w14:paraId="123AC645"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552</w:t>
            </w:r>
          </w:p>
        </w:tc>
        <w:tc>
          <w:tcPr>
            <w:tcW w:w="708" w:type="dxa"/>
            <w:tcBorders>
              <w:top w:val="single" w:sz="8" w:space="0" w:color="F3CFC1"/>
              <w:left w:val="single" w:sz="8" w:space="0" w:color="F3CFC1"/>
              <w:bottom w:val="single" w:sz="8" w:space="0" w:color="F3CFC1"/>
            </w:tcBorders>
            <w:shd w:val="clear" w:color="auto" w:fill="D2232A"/>
            <w:vAlign w:val="center"/>
          </w:tcPr>
          <w:p w14:paraId="73D50DF8" w14:textId="642633E8" w:rsidR="009B2F5E" w:rsidRPr="00DE56D5" w:rsidRDefault="00230A69"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n/a</w:t>
            </w:r>
          </w:p>
        </w:tc>
        <w:tc>
          <w:tcPr>
            <w:tcW w:w="851" w:type="dxa"/>
            <w:tcBorders>
              <w:top w:val="single" w:sz="8" w:space="0" w:color="F3CFC1"/>
              <w:left w:val="single" w:sz="8" w:space="0" w:color="F3CFC1"/>
              <w:bottom w:val="single" w:sz="8" w:space="0" w:color="F3CFC1"/>
            </w:tcBorders>
            <w:shd w:val="clear" w:color="auto" w:fill="D2232A"/>
            <w:vAlign w:val="center"/>
          </w:tcPr>
          <w:p w14:paraId="4F85D92E" w14:textId="5533F373" w:rsidR="009B2F5E" w:rsidRPr="00DE56D5" w:rsidRDefault="00230A69"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n/a</w:t>
            </w:r>
          </w:p>
        </w:tc>
      </w:tr>
      <w:tr w:rsidR="009B2F5E" w:rsidRPr="00DE56D5" w14:paraId="233CA359" w14:textId="77777777" w:rsidTr="00546DAE">
        <w:trPr>
          <w:trHeight w:val="284"/>
        </w:trPr>
        <w:tc>
          <w:tcPr>
            <w:tcW w:w="554" w:type="dxa"/>
            <w:vMerge/>
            <w:shd w:val="clear" w:color="auto" w:fill="D2232A"/>
            <w:vAlign w:val="center"/>
            <w:hideMark/>
          </w:tcPr>
          <w:p w14:paraId="0955484F" w14:textId="77777777" w:rsidR="009B2F5E" w:rsidRPr="00DE56D5" w:rsidRDefault="009B2F5E" w:rsidP="00805373">
            <w:pPr>
              <w:spacing w:after="0"/>
              <w:rPr>
                <w:rFonts w:eastAsia="Times New Roman" w:cstheme="minorHAnsi"/>
                <w:color w:val="FFFFFF"/>
                <w:szCs w:val="18"/>
                <w:lang w:eastAsia="hr-HR"/>
              </w:rPr>
            </w:pPr>
          </w:p>
        </w:tc>
        <w:tc>
          <w:tcPr>
            <w:tcW w:w="4266" w:type="dxa"/>
            <w:shd w:val="clear" w:color="auto" w:fill="auto"/>
            <w:vAlign w:val="center"/>
            <w:hideMark/>
          </w:tcPr>
          <w:p w14:paraId="27C3C0B6" w14:textId="77777777" w:rsidR="009B2F5E" w:rsidRPr="00DE56D5" w:rsidRDefault="009B2F5E" w:rsidP="00805373">
            <w:pPr>
              <w:spacing w:after="0" w:line="240" w:lineRule="auto"/>
              <w:rPr>
                <w:rFonts w:eastAsia="Times New Roman" w:cstheme="minorHAnsi"/>
                <w:szCs w:val="18"/>
                <w:lang w:eastAsia="hr-HR"/>
              </w:rPr>
            </w:pPr>
            <w:r w:rsidRPr="00DE56D5">
              <w:rPr>
                <w:rFonts w:eastAsia="Times New Roman" w:cstheme="minorHAnsi"/>
                <w:szCs w:val="18"/>
                <w:lang w:eastAsia="hr-HR"/>
              </w:rPr>
              <w:t>ORGANIZIRANO STANOVANJE</w:t>
            </w:r>
          </w:p>
        </w:tc>
        <w:tc>
          <w:tcPr>
            <w:tcW w:w="709" w:type="dxa"/>
            <w:tcBorders>
              <w:top w:val="single" w:sz="8" w:space="0" w:color="F3CFC1"/>
              <w:bottom w:val="nil"/>
              <w:right w:val="single" w:sz="8" w:space="0" w:color="F3CFC1"/>
            </w:tcBorders>
            <w:shd w:val="clear" w:color="auto" w:fill="D2232A"/>
            <w:noWrap/>
            <w:vAlign w:val="center"/>
            <w:hideMark/>
          </w:tcPr>
          <w:p w14:paraId="1BC4E0EF"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12</w:t>
            </w:r>
          </w:p>
        </w:tc>
        <w:tc>
          <w:tcPr>
            <w:tcW w:w="850" w:type="dxa"/>
            <w:tcBorders>
              <w:top w:val="single" w:sz="8" w:space="0" w:color="F3CFC1"/>
              <w:left w:val="single" w:sz="8" w:space="0" w:color="F3CFC1"/>
              <w:bottom w:val="nil"/>
              <w:right w:val="single" w:sz="8" w:space="0" w:color="F3CFC1"/>
            </w:tcBorders>
            <w:shd w:val="clear" w:color="auto" w:fill="D2232A"/>
            <w:noWrap/>
            <w:vAlign w:val="center"/>
            <w:hideMark/>
          </w:tcPr>
          <w:p w14:paraId="6AF5E9FE"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12</w:t>
            </w:r>
          </w:p>
        </w:tc>
        <w:tc>
          <w:tcPr>
            <w:tcW w:w="709" w:type="dxa"/>
            <w:tcBorders>
              <w:top w:val="single" w:sz="8" w:space="0" w:color="F3CFC1"/>
              <w:left w:val="single" w:sz="8" w:space="0" w:color="F3CFC1"/>
              <w:bottom w:val="nil"/>
              <w:right w:val="single" w:sz="8" w:space="0" w:color="F3CFC1"/>
            </w:tcBorders>
            <w:shd w:val="clear" w:color="auto" w:fill="D2232A"/>
            <w:noWrap/>
            <w:vAlign w:val="center"/>
            <w:hideMark/>
          </w:tcPr>
          <w:p w14:paraId="771EA5D0"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13</w:t>
            </w:r>
          </w:p>
        </w:tc>
        <w:tc>
          <w:tcPr>
            <w:tcW w:w="709" w:type="dxa"/>
            <w:tcBorders>
              <w:top w:val="single" w:sz="8" w:space="0" w:color="F3CFC1"/>
              <w:left w:val="single" w:sz="8" w:space="0" w:color="F3CFC1"/>
              <w:bottom w:val="nil"/>
            </w:tcBorders>
            <w:shd w:val="clear" w:color="auto" w:fill="D2232A"/>
            <w:noWrap/>
            <w:vAlign w:val="center"/>
            <w:hideMark/>
          </w:tcPr>
          <w:p w14:paraId="6DCC162B"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sidRPr="00DE56D5">
              <w:rPr>
                <w:rFonts w:eastAsia="Times New Roman" w:cstheme="minorHAnsi"/>
                <w:color w:val="FFFFFF" w:themeColor="background1"/>
                <w:szCs w:val="18"/>
                <w:lang w:eastAsia="hr-HR"/>
              </w:rPr>
              <w:t>9</w:t>
            </w:r>
          </w:p>
        </w:tc>
        <w:tc>
          <w:tcPr>
            <w:tcW w:w="708" w:type="dxa"/>
            <w:tcBorders>
              <w:top w:val="single" w:sz="8" w:space="0" w:color="F3CFC1"/>
              <w:left w:val="single" w:sz="8" w:space="0" w:color="F3CFC1"/>
              <w:bottom w:val="nil"/>
            </w:tcBorders>
            <w:shd w:val="clear" w:color="auto" w:fill="D2232A"/>
            <w:vAlign w:val="center"/>
          </w:tcPr>
          <w:p w14:paraId="497B6855"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22</w:t>
            </w:r>
          </w:p>
        </w:tc>
        <w:tc>
          <w:tcPr>
            <w:tcW w:w="851" w:type="dxa"/>
            <w:tcBorders>
              <w:top w:val="single" w:sz="8" w:space="0" w:color="F3CFC1"/>
              <w:left w:val="single" w:sz="8" w:space="0" w:color="F3CFC1"/>
              <w:bottom w:val="nil"/>
            </w:tcBorders>
            <w:shd w:val="clear" w:color="auto" w:fill="D2232A"/>
            <w:vAlign w:val="center"/>
          </w:tcPr>
          <w:p w14:paraId="1E5E5056" w14:textId="77777777" w:rsidR="009B2F5E" w:rsidRPr="00DE56D5" w:rsidRDefault="009B2F5E" w:rsidP="00805373">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22</w:t>
            </w:r>
          </w:p>
        </w:tc>
      </w:tr>
    </w:tbl>
    <w:p w14:paraId="7F270943" w14:textId="4400EAFF" w:rsidR="009B2F5E" w:rsidRPr="001077FE" w:rsidRDefault="009B2F5E" w:rsidP="001077FE">
      <w:pPr>
        <w:autoSpaceDE w:val="0"/>
        <w:autoSpaceDN w:val="0"/>
        <w:adjustRightInd w:val="0"/>
        <w:spacing w:after="0" w:line="240" w:lineRule="auto"/>
        <w:rPr>
          <w:rFonts w:eastAsia="ArialNarrow" w:cstheme="minorHAnsi"/>
          <w:i/>
          <w:color w:val="ABABAB" w:themeColor="text1" w:themeTint="A6"/>
          <w:sz w:val="16"/>
          <w:szCs w:val="16"/>
        </w:rPr>
      </w:pPr>
      <w:r w:rsidRPr="001077FE">
        <w:rPr>
          <w:rFonts w:eastAsia="ArialNarrow" w:cstheme="minorHAnsi"/>
          <w:i/>
          <w:color w:val="ABABAB" w:themeColor="text1" w:themeTint="A6"/>
          <w:sz w:val="16"/>
          <w:szCs w:val="16"/>
        </w:rPr>
        <w:t>Izvor: Ministarstvo za demografiju, obitelj, mlade i socijalnu politiku, Statistička izvješća za 2014., 2015., 2016., 2017., 2018. i 2019.</w:t>
      </w:r>
    </w:p>
    <w:p w14:paraId="724418EB" w14:textId="77777777" w:rsidR="009B2F5E" w:rsidRDefault="009B2F5E" w:rsidP="00855D8D">
      <w:pPr>
        <w:pStyle w:val="Izvor"/>
      </w:pPr>
    </w:p>
    <w:p w14:paraId="397E7951" w14:textId="199652D3" w:rsidR="009B2F5E" w:rsidRDefault="009B2F5E" w:rsidP="009B2F5E">
      <w:pPr>
        <w:autoSpaceDE w:val="0"/>
        <w:autoSpaceDN w:val="0"/>
        <w:adjustRightInd w:val="0"/>
        <w:spacing w:after="0" w:line="240" w:lineRule="auto"/>
        <w:rPr>
          <w:rFonts w:eastAsia="ArialNarrow" w:cstheme="minorHAnsi"/>
          <w:sz w:val="22"/>
        </w:rPr>
      </w:pPr>
      <w:r>
        <w:rPr>
          <w:rFonts w:eastAsia="ArialNarrow" w:cstheme="minorHAnsi"/>
        </w:rPr>
        <w:t xml:space="preserve">Broj korisnika zajamčene minimalne naknade u periodu od 2014. </w:t>
      </w:r>
      <w:r w:rsidR="001A3C2C">
        <w:rPr>
          <w:rFonts w:eastAsia="ArialNarrow" w:cstheme="minorHAnsi"/>
        </w:rPr>
        <w:t>-</w:t>
      </w:r>
      <w:r>
        <w:rPr>
          <w:rFonts w:eastAsia="ArialNarrow" w:cstheme="minorHAnsi"/>
        </w:rPr>
        <w:t xml:space="preserve"> 2019. godine kontinuirano se smanjivao i to s 1.397 na 848 osoba u 2019. godini. Naknade za osobne potrebe korisnika smještaja (jednokratna naknada) smanjile su se s 3.129 u 2014. godini na 2.072 u 2019. godini. Naknade u vezi s obrazovanjem pale su s 25 u 2014. godini na 15 u 2019. godini. Broj osobnih invalidnina je s 837 u 2014. godini povećan na 1.253 u 2019. godini. Broj isplaćenih doplataka za pomoć i njegu je s 2.324 u 2014. godini povećan na 2.459 u 2019. godini. Status roditelja njegovatelja ili njegovatelja u 2014. godini imalo je sveukupno 175, a u 2019. 207 osoba što je povećanje od 1</w:t>
      </w:r>
      <w:r w:rsidRPr="00FC0573">
        <w:rPr>
          <w:rFonts w:eastAsia="ArialNarrow" w:cstheme="minorHAnsi"/>
        </w:rPr>
        <w:t>8,</w:t>
      </w:r>
      <w:r>
        <w:rPr>
          <w:rFonts w:eastAsia="ArialNarrow" w:cstheme="minorHAnsi"/>
        </w:rPr>
        <w:t>29</w:t>
      </w:r>
      <w:r w:rsidRPr="00FC0573">
        <w:rPr>
          <w:rFonts w:eastAsia="ArialNarrow" w:cstheme="minorHAnsi"/>
        </w:rPr>
        <w:t xml:space="preserve">%. </w:t>
      </w:r>
      <w:r>
        <w:rPr>
          <w:rFonts w:eastAsia="ArialNarrow" w:cstheme="minorHAnsi"/>
        </w:rPr>
        <w:t>Broj osoba koje su primile naknadu do zaposlenja je s 209 u 2014. godini pao na 92 što je smanjenje od 55,98%. Broj osoba korisnika pomoći u kući s 364 u 2014. godini smanjio se na 243 u 2019. godini. Broj pruženih psihosocijalnih podrški bilježi značaj</w:t>
      </w:r>
      <w:r w:rsidR="001A3C2C">
        <w:rPr>
          <w:rFonts w:eastAsia="ArialNarrow" w:cstheme="minorHAnsi"/>
        </w:rPr>
        <w:t>an</w:t>
      </w:r>
      <w:r>
        <w:rPr>
          <w:rFonts w:eastAsia="ArialNarrow" w:cstheme="minorHAnsi"/>
        </w:rPr>
        <w:t xml:space="preserve"> porast i to s 4 u 2014. godini na 36 u 2019. godini. Broj pruženih pomoći pri uključivanju u programe odgoja i obrazovanja s 1 u 2014. godini povećan je na 7 u 2019. godini. </w:t>
      </w:r>
    </w:p>
    <w:p w14:paraId="282B575A" w14:textId="77777777" w:rsidR="009B2F5E" w:rsidRDefault="009B2F5E" w:rsidP="00941871">
      <w:pPr>
        <w:autoSpaceDE w:val="0"/>
        <w:autoSpaceDN w:val="0"/>
        <w:adjustRightInd w:val="0"/>
        <w:spacing w:after="0" w:line="240" w:lineRule="auto"/>
        <w:rPr>
          <w:rFonts w:eastAsia="ArialNarrow" w:cstheme="minorHAnsi"/>
          <w:sz w:val="20"/>
        </w:rPr>
      </w:pPr>
    </w:p>
    <w:p w14:paraId="472931AA" w14:textId="01F7B263" w:rsidR="00300D80" w:rsidRDefault="008878A0" w:rsidP="003E3F3C">
      <w:pPr>
        <w:pStyle w:val="Opisslike"/>
        <w:rPr>
          <w:noProof/>
        </w:rPr>
      </w:pPr>
      <w:r>
        <w:t xml:space="preserve">Tablica </w:t>
      </w:r>
      <w:r w:rsidR="0010503B">
        <w:rPr>
          <w:noProof/>
        </w:rPr>
        <w:t>2</w:t>
      </w:r>
      <w:r w:rsidR="009A6A08">
        <w:rPr>
          <w:noProof/>
        </w:rPr>
        <w:t>7</w:t>
      </w:r>
      <w:r w:rsidR="009B61D3">
        <w:rPr>
          <w:noProof/>
        </w:rPr>
        <w:t>.</w:t>
      </w:r>
      <w:r>
        <w:rPr>
          <w:noProof/>
        </w:rPr>
        <w:t xml:space="preserve"> Rashodi za socijalnu </w:t>
      </w:r>
      <w:r w:rsidR="00237942">
        <w:rPr>
          <w:noProof/>
        </w:rPr>
        <w:t>skrb</w:t>
      </w:r>
      <w:r>
        <w:rPr>
          <w:noProof/>
        </w:rPr>
        <w:t xml:space="preserve"> jedinica lokalne samouprave u Krapinsko-zagorskoj županiji 2015. </w:t>
      </w:r>
      <w:r w:rsidR="00D179B2">
        <w:rPr>
          <w:noProof/>
        </w:rPr>
        <w:t>-</w:t>
      </w:r>
      <w:r>
        <w:rPr>
          <w:noProof/>
        </w:rPr>
        <w:t xml:space="preserve"> 20</w:t>
      </w:r>
      <w:r w:rsidR="003D0D60">
        <w:rPr>
          <w:noProof/>
        </w:rPr>
        <w:t>20</w:t>
      </w:r>
      <w:r>
        <w:rPr>
          <w:noProof/>
        </w:rPr>
        <w:t>. (HRK)</w:t>
      </w:r>
    </w:p>
    <w:tbl>
      <w:tblPr>
        <w:tblW w:w="9225" w:type="dxa"/>
        <w:tblInd w:w="-10" w:type="dxa"/>
        <w:tblBorders>
          <w:insideH w:val="single" w:sz="8" w:space="0" w:color="F3CFC1"/>
        </w:tblBorders>
        <w:tblLook w:val="04A0" w:firstRow="1" w:lastRow="0" w:firstColumn="1" w:lastColumn="0" w:noHBand="0" w:noVBand="1"/>
      </w:tblPr>
      <w:tblGrid>
        <w:gridCol w:w="1277"/>
        <w:gridCol w:w="1271"/>
        <w:gridCol w:w="1271"/>
        <w:gridCol w:w="1348"/>
        <w:gridCol w:w="1349"/>
        <w:gridCol w:w="1271"/>
        <w:gridCol w:w="1438"/>
      </w:tblGrid>
      <w:tr w:rsidR="005D36A5" w:rsidRPr="00DE56D5" w14:paraId="60063B47" w14:textId="77777777" w:rsidTr="00546DAE">
        <w:trPr>
          <w:trHeight w:val="282"/>
          <w:tblHeader/>
        </w:trPr>
        <w:tc>
          <w:tcPr>
            <w:tcW w:w="1111" w:type="dxa"/>
            <w:vMerge w:val="restart"/>
            <w:tcBorders>
              <w:top w:val="nil"/>
              <w:left w:val="single" w:sz="8" w:space="0" w:color="D2232A"/>
              <w:right w:val="single" w:sz="4" w:space="0" w:color="FFFFFF" w:themeColor="background1"/>
            </w:tcBorders>
            <w:shd w:val="clear" w:color="auto" w:fill="D2232A"/>
            <w:vAlign w:val="center"/>
            <w:hideMark/>
          </w:tcPr>
          <w:p w14:paraId="126312F7" w14:textId="77777777" w:rsidR="005D36A5" w:rsidRPr="00DE56D5" w:rsidRDefault="005D36A5" w:rsidP="00941871">
            <w:pPr>
              <w:autoSpaceDE w:val="0"/>
              <w:autoSpaceDN w:val="0"/>
              <w:adjustRightInd w:val="0"/>
              <w:spacing w:after="0"/>
              <w:rPr>
                <w:rFonts w:eastAsia="ArialNarrow" w:cstheme="minorHAnsi"/>
                <w:color w:val="FFFFFF" w:themeColor="background1"/>
                <w:szCs w:val="18"/>
              </w:rPr>
            </w:pPr>
            <w:r w:rsidRPr="00DE56D5">
              <w:rPr>
                <w:rFonts w:eastAsia="ArialNarrow" w:cstheme="minorHAnsi"/>
                <w:color w:val="FFFFFF" w:themeColor="background1"/>
                <w:szCs w:val="18"/>
              </w:rPr>
              <w:t>OPĆINA/</w:t>
            </w:r>
          </w:p>
          <w:p w14:paraId="7DDB36CA" w14:textId="77777777" w:rsidR="005D36A5" w:rsidRPr="00DE56D5" w:rsidRDefault="005D36A5" w:rsidP="00941871">
            <w:pPr>
              <w:autoSpaceDE w:val="0"/>
              <w:autoSpaceDN w:val="0"/>
              <w:adjustRightInd w:val="0"/>
              <w:spacing w:after="0"/>
              <w:rPr>
                <w:rFonts w:eastAsia="ArialNarrow" w:cstheme="minorHAnsi"/>
                <w:color w:val="FFFFFF" w:themeColor="background1"/>
                <w:szCs w:val="18"/>
              </w:rPr>
            </w:pPr>
            <w:r w:rsidRPr="00DE56D5">
              <w:rPr>
                <w:rFonts w:eastAsia="ArialNarrow" w:cstheme="minorHAnsi"/>
                <w:color w:val="FFFFFF" w:themeColor="background1"/>
                <w:szCs w:val="18"/>
              </w:rPr>
              <w:t>GRAD</w:t>
            </w:r>
          </w:p>
        </w:tc>
        <w:tc>
          <w:tcPr>
            <w:tcW w:w="8114" w:type="dxa"/>
            <w:gridSpan w:val="6"/>
            <w:tcBorders>
              <w:top w:val="nil"/>
              <w:left w:val="single" w:sz="4" w:space="0" w:color="FFFFFF" w:themeColor="background1"/>
              <w:bottom w:val="single" w:sz="8" w:space="0" w:color="D2232A"/>
              <w:right w:val="single" w:sz="8" w:space="0" w:color="D2232A"/>
            </w:tcBorders>
            <w:shd w:val="clear" w:color="auto" w:fill="D2232A"/>
            <w:vAlign w:val="center"/>
            <w:hideMark/>
          </w:tcPr>
          <w:p w14:paraId="25A25792" w14:textId="27E8ED1F" w:rsidR="005D36A5" w:rsidRPr="007F5A38" w:rsidRDefault="005D36A5" w:rsidP="002A5B85">
            <w:pPr>
              <w:autoSpaceDE w:val="0"/>
              <w:autoSpaceDN w:val="0"/>
              <w:adjustRightInd w:val="0"/>
              <w:spacing w:after="0"/>
              <w:jc w:val="center"/>
              <w:rPr>
                <w:rFonts w:eastAsia="ArialNarrow" w:cstheme="minorHAnsi"/>
                <w:color w:val="FFFFFF" w:themeColor="background1"/>
                <w:szCs w:val="18"/>
                <w:highlight w:val="yellow"/>
              </w:rPr>
            </w:pPr>
            <w:r w:rsidRPr="00DE56D5">
              <w:rPr>
                <w:rFonts w:eastAsia="ArialNarrow" w:cstheme="minorHAnsi"/>
                <w:color w:val="FFFFFF" w:themeColor="background1"/>
                <w:szCs w:val="18"/>
              </w:rPr>
              <w:t>IZVRŠENJE PRORAČUNA</w:t>
            </w:r>
          </w:p>
        </w:tc>
      </w:tr>
      <w:tr w:rsidR="00194121" w:rsidRPr="00DE56D5" w14:paraId="05D01C46" w14:textId="77777777" w:rsidTr="00546DAE">
        <w:trPr>
          <w:trHeight w:val="282"/>
          <w:tblHeader/>
        </w:trPr>
        <w:tc>
          <w:tcPr>
            <w:tcW w:w="1111" w:type="dxa"/>
            <w:vMerge/>
            <w:tcBorders>
              <w:left w:val="single" w:sz="8" w:space="0" w:color="D2232A"/>
              <w:right w:val="single" w:sz="4" w:space="0" w:color="FFFFFF" w:themeColor="background1"/>
            </w:tcBorders>
            <w:shd w:val="clear" w:color="auto" w:fill="D2232A"/>
            <w:vAlign w:val="center"/>
            <w:hideMark/>
          </w:tcPr>
          <w:p w14:paraId="6A1CF852" w14:textId="77777777" w:rsidR="008878A0" w:rsidRPr="00DE56D5" w:rsidRDefault="008878A0" w:rsidP="00941871">
            <w:pPr>
              <w:spacing w:after="0"/>
              <w:rPr>
                <w:rFonts w:eastAsia="ArialNarrow" w:cstheme="minorHAnsi"/>
                <w:color w:val="FFFFFF" w:themeColor="background1"/>
                <w:szCs w:val="18"/>
              </w:rPr>
            </w:pPr>
          </w:p>
        </w:tc>
        <w:tc>
          <w:tcPr>
            <w:tcW w:w="1271" w:type="dxa"/>
            <w:tcBorders>
              <w:top w:val="single" w:sz="8" w:space="0" w:color="D2232A"/>
              <w:left w:val="single" w:sz="4" w:space="0" w:color="FFFFFF" w:themeColor="background1"/>
            </w:tcBorders>
            <w:shd w:val="clear" w:color="auto" w:fill="D2232A"/>
            <w:vAlign w:val="center"/>
            <w:hideMark/>
          </w:tcPr>
          <w:p w14:paraId="746F4058" w14:textId="38475A79" w:rsidR="008878A0" w:rsidRPr="00DE56D5" w:rsidRDefault="008878A0" w:rsidP="002A5B85">
            <w:pPr>
              <w:autoSpaceDE w:val="0"/>
              <w:autoSpaceDN w:val="0"/>
              <w:adjustRightInd w:val="0"/>
              <w:spacing w:after="0"/>
              <w:jc w:val="center"/>
              <w:rPr>
                <w:rFonts w:eastAsia="ArialNarrow" w:cstheme="minorHAnsi"/>
                <w:color w:val="FFFFFF" w:themeColor="background1"/>
                <w:szCs w:val="18"/>
              </w:rPr>
            </w:pPr>
            <w:r w:rsidRPr="00DE56D5">
              <w:rPr>
                <w:rFonts w:eastAsia="ArialNarrow" w:cstheme="minorHAnsi"/>
                <w:color w:val="FFFFFF" w:themeColor="background1"/>
                <w:szCs w:val="18"/>
              </w:rPr>
              <w:t>2015</w:t>
            </w:r>
            <w:r w:rsidR="002A5B85" w:rsidRPr="00DE56D5">
              <w:rPr>
                <w:rFonts w:eastAsia="ArialNarrow" w:cstheme="minorHAnsi"/>
                <w:color w:val="FFFFFF" w:themeColor="background1"/>
                <w:szCs w:val="18"/>
              </w:rPr>
              <w:t>.</w:t>
            </w:r>
          </w:p>
        </w:tc>
        <w:tc>
          <w:tcPr>
            <w:tcW w:w="1271" w:type="dxa"/>
            <w:tcBorders>
              <w:top w:val="single" w:sz="8" w:space="0" w:color="D2232A"/>
            </w:tcBorders>
            <w:shd w:val="clear" w:color="auto" w:fill="D2232A"/>
            <w:vAlign w:val="center"/>
            <w:hideMark/>
          </w:tcPr>
          <w:p w14:paraId="6B047903" w14:textId="2466B8E3" w:rsidR="008878A0" w:rsidRPr="00DE56D5" w:rsidRDefault="008878A0" w:rsidP="002A5B85">
            <w:pPr>
              <w:autoSpaceDE w:val="0"/>
              <w:autoSpaceDN w:val="0"/>
              <w:adjustRightInd w:val="0"/>
              <w:spacing w:after="0"/>
              <w:jc w:val="center"/>
              <w:rPr>
                <w:rFonts w:eastAsia="ArialNarrow" w:cstheme="minorHAnsi"/>
                <w:color w:val="FFFFFF" w:themeColor="background1"/>
                <w:szCs w:val="18"/>
              </w:rPr>
            </w:pPr>
            <w:r w:rsidRPr="00DE56D5">
              <w:rPr>
                <w:rFonts w:eastAsia="ArialNarrow" w:cstheme="minorHAnsi"/>
                <w:color w:val="FFFFFF" w:themeColor="background1"/>
                <w:szCs w:val="18"/>
              </w:rPr>
              <w:t>2016</w:t>
            </w:r>
            <w:r w:rsidR="002A5B85" w:rsidRPr="00DE56D5">
              <w:rPr>
                <w:rFonts w:eastAsia="ArialNarrow" w:cstheme="minorHAnsi"/>
                <w:color w:val="FFFFFF" w:themeColor="background1"/>
                <w:szCs w:val="18"/>
              </w:rPr>
              <w:t>.</w:t>
            </w:r>
          </w:p>
        </w:tc>
        <w:tc>
          <w:tcPr>
            <w:tcW w:w="1392" w:type="dxa"/>
            <w:tcBorders>
              <w:top w:val="single" w:sz="8" w:space="0" w:color="D2232A"/>
            </w:tcBorders>
            <w:shd w:val="clear" w:color="auto" w:fill="D2232A"/>
            <w:vAlign w:val="center"/>
            <w:hideMark/>
          </w:tcPr>
          <w:p w14:paraId="25A34A79" w14:textId="13CFA9A5" w:rsidR="008878A0" w:rsidRPr="00DE56D5" w:rsidRDefault="008878A0" w:rsidP="002A5B85">
            <w:pPr>
              <w:autoSpaceDE w:val="0"/>
              <w:autoSpaceDN w:val="0"/>
              <w:adjustRightInd w:val="0"/>
              <w:spacing w:after="0"/>
              <w:jc w:val="center"/>
              <w:rPr>
                <w:rFonts w:eastAsia="ArialNarrow" w:cstheme="minorHAnsi"/>
                <w:color w:val="FFFFFF" w:themeColor="background1"/>
                <w:szCs w:val="18"/>
              </w:rPr>
            </w:pPr>
            <w:r w:rsidRPr="00DE56D5">
              <w:rPr>
                <w:rFonts w:eastAsia="ArialNarrow" w:cstheme="minorHAnsi"/>
                <w:color w:val="FFFFFF" w:themeColor="background1"/>
                <w:szCs w:val="18"/>
              </w:rPr>
              <w:t>2017</w:t>
            </w:r>
            <w:r w:rsidR="002A5B85" w:rsidRPr="00DE56D5">
              <w:rPr>
                <w:rFonts w:eastAsia="ArialNarrow" w:cstheme="minorHAnsi"/>
                <w:color w:val="FFFFFF" w:themeColor="background1"/>
                <w:szCs w:val="18"/>
              </w:rPr>
              <w:t>.</w:t>
            </w:r>
          </w:p>
        </w:tc>
        <w:tc>
          <w:tcPr>
            <w:tcW w:w="1393" w:type="dxa"/>
            <w:tcBorders>
              <w:top w:val="single" w:sz="8" w:space="0" w:color="D2232A"/>
            </w:tcBorders>
            <w:shd w:val="clear" w:color="auto" w:fill="D2232A"/>
            <w:vAlign w:val="center"/>
            <w:hideMark/>
          </w:tcPr>
          <w:p w14:paraId="046CCA78" w14:textId="20ABD5DE" w:rsidR="008878A0" w:rsidRPr="00DE56D5" w:rsidRDefault="008878A0" w:rsidP="002A5B85">
            <w:pPr>
              <w:autoSpaceDE w:val="0"/>
              <w:autoSpaceDN w:val="0"/>
              <w:adjustRightInd w:val="0"/>
              <w:spacing w:after="0"/>
              <w:jc w:val="center"/>
              <w:rPr>
                <w:rFonts w:eastAsia="ArialNarrow" w:cstheme="minorHAnsi"/>
                <w:color w:val="FFFFFF" w:themeColor="background1"/>
                <w:szCs w:val="18"/>
              </w:rPr>
            </w:pPr>
            <w:r w:rsidRPr="00DE56D5">
              <w:rPr>
                <w:rFonts w:eastAsia="ArialNarrow" w:cstheme="minorHAnsi"/>
                <w:color w:val="FFFFFF" w:themeColor="background1"/>
                <w:szCs w:val="18"/>
              </w:rPr>
              <w:t>2018</w:t>
            </w:r>
            <w:r w:rsidR="002A5B85" w:rsidRPr="00DE56D5">
              <w:rPr>
                <w:rFonts w:eastAsia="ArialNarrow" w:cstheme="minorHAnsi"/>
                <w:color w:val="FFFFFF" w:themeColor="background1"/>
                <w:szCs w:val="18"/>
              </w:rPr>
              <w:t>.</w:t>
            </w:r>
          </w:p>
        </w:tc>
        <w:tc>
          <w:tcPr>
            <w:tcW w:w="1255" w:type="dxa"/>
            <w:tcBorders>
              <w:top w:val="single" w:sz="8" w:space="0" w:color="D2232A"/>
            </w:tcBorders>
            <w:shd w:val="clear" w:color="auto" w:fill="D2232A"/>
            <w:vAlign w:val="center"/>
            <w:hideMark/>
          </w:tcPr>
          <w:p w14:paraId="5CA00E25" w14:textId="7B385E97" w:rsidR="008878A0" w:rsidRPr="00DE56D5" w:rsidRDefault="008878A0" w:rsidP="002A5B85">
            <w:pPr>
              <w:autoSpaceDE w:val="0"/>
              <w:autoSpaceDN w:val="0"/>
              <w:adjustRightInd w:val="0"/>
              <w:spacing w:after="0"/>
              <w:jc w:val="center"/>
              <w:rPr>
                <w:rFonts w:eastAsia="ArialNarrow" w:cstheme="minorHAnsi"/>
                <w:color w:val="FFFFFF" w:themeColor="background1"/>
                <w:szCs w:val="18"/>
              </w:rPr>
            </w:pPr>
            <w:r w:rsidRPr="00DE56D5">
              <w:rPr>
                <w:rFonts w:eastAsia="ArialNarrow" w:cstheme="minorHAnsi"/>
                <w:color w:val="FFFFFF" w:themeColor="background1"/>
                <w:szCs w:val="18"/>
              </w:rPr>
              <w:t>2019</w:t>
            </w:r>
            <w:r w:rsidR="002A5B85" w:rsidRPr="00DE56D5">
              <w:rPr>
                <w:rFonts w:eastAsia="ArialNarrow" w:cstheme="minorHAnsi"/>
                <w:color w:val="FFFFFF" w:themeColor="background1"/>
                <w:szCs w:val="18"/>
              </w:rPr>
              <w:t>.</w:t>
            </w:r>
          </w:p>
        </w:tc>
        <w:tc>
          <w:tcPr>
            <w:tcW w:w="1532" w:type="dxa"/>
            <w:tcBorders>
              <w:top w:val="single" w:sz="8" w:space="0" w:color="D2232A"/>
              <w:right w:val="single" w:sz="8" w:space="0" w:color="D2232A"/>
            </w:tcBorders>
            <w:shd w:val="clear" w:color="auto" w:fill="D2232A"/>
            <w:vAlign w:val="center"/>
            <w:hideMark/>
          </w:tcPr>
          <w:p w14:paraId="034B9642" w14:textId="4213EAF8" w:rsidR="008878A0" w:rsidRPr="007F5A38" w:rsidRDefault="008878A0" w:rsidP="002A5B85">
            <w:pPr>
              <w:autoSpaceDE w:val="0"/>
              <w:autoSpaceDN w:val="0"/>
              <w:adjustRightInd w:val="0"/>
              <w:spacing w:after="0"/>
              <w:jc w:val="center"/>
              <w:rPr>
                <w:rFonts w:eastAsia="ArialNarrow" w:cstheme="minorHAnsi"/>
                <w:color w:val="FFFFFF" w:themeColor="background1"/>
                <w:szCs w:val="18"/>
                <w:highlight w:val="yellow"/>
              </w:rPr>
            </w:pPr>
            <w:r w:rsidRPr="00502264">
              <w:rPr>
                <w:rFonts w:eastAsia="ArialNarrow" w:cstheme="minorHAnsi"/>
                <w:color w:val="FFFFFF" w:themeColor="background1"/>
                <w:szCs w:val="18"/>
              </w:rPr>
              <w:t>20</w:t>
            </w:r>
            <w:r w:rsidR="00502264">
              <w:rPr>
                <w:rFonts w:eastAsia="ArialNarrow" w:cstheme="minorHAnsi"/>
                <w:color w:val="FFFFFF" w:themeColor="background1"/>
                <w:szCs w:val="18"/>
              </w:rPr>
              <w:t>20</w:t>
            </w:r>
            <w:r w:rsidR="002A5B85" w:rsidRPr="00502264">
              <w:rPr>
                <w:rFonts w:eastAsia="ArialNarrow" w:cstheme="minorHAnsi"/>
                <w:color w:val="FFFFFF" w:themeColor="background1"/>
                <w:szCs w:val="18"/>
              </w:rPr>
              <w:t>.</w:t>
            </w:r>
          </w:p>
        </w:tc>
      </w:tr>
      <w:tr w:rsidR="00966675" w:rsidRPr="00DE56D5" w14:paraId="4FD9B4CC" w14:textId="77777777" w:rsidTr="00546DAE">
        <w:trPr>
          <w:trHeight w:val="282"/>
        </w:trPr>
        <w:tc>
          <w:tcPr>
            <w:tcW w:w="1111" w:type="dxa"/>
            <w:tcBorders>
              <w:left w:val="single" w:sz="8" w:space="0" w:color="D2232A"/>
              <w:right w:val="single" w:sz="8" w:space="0" w:color="D2232A"/>
            </w:tcBorders>
            <w:vAlign w:val="center"/>
            <w:hideMark/>
          </w:tcPr>
          <w:p w14:paraId="1BD9690C" w14:textId="77777777" w:rsidR="008878A0" w:rsidRPr="00DE56D5" w:rsidRDefault="008878A0" w:rsidP="002A5B85">
            <w:pPr>
              <w:autoSpaceDE w:val="0"/>
              <w:autoSpaceDN w:val="0"/>
              <w:adjustRightInd w:val="0"/>
              <w:spacing w:after="0"/>
              <w:jc w:val="left"/>
              <w:rPr>
                <w:rFonts w:eastAsia="ArialNarrow" w:cstheme="minorHAnsi"/>
                <w:color w:val="auto"/>
                <w:szCs w:val="18"/>
              </w:rPr>
            </w:pPr>
            <w:r w:rsidRPr="00DE56D5">
              <w:rPr>
                <w:rFonts w:cstheme="minorHAnsi"/>
                <w:bCs/>
                <w:color w:val="000000"/>
                <w:szCs w:val="18"/>
              </w:rPr>
              <w:t>BEDEKOVČINA</w:t>
            </w:r>
          </w:p>
        </w:tc>
        <w:tc>
          <w:tcPr>
            <w:tcW w:w="1271" w:type="dxa"/>
            <w:tcBorders>
              <w:left w:val="single" w:sz="8" w:space="0" w:color="D2232A"/>
            </w:tcBorders>
            <w:vAlign w:val="center"/>
            <w:hideMark/>
          </w:tcPr>
          <w:p w14:paraId="7E9FC3F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226.405,85</w:t>
            </w:r>
          </w:p>
        </w:tc>
        <w:tc>
          <w:tcPr>
            <w:tcW w:w="1271" w:type="dxa"/>
            <w:vAlign w:val="center"/>
            <w:hideMark/>
          </w:tcPr>
          <w:p w14:paraId="522EE5A4"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177.950,12</w:t>
            </w:r>
          </w:p>
        </w:tc>
        <w:tc>
          <w:tcPr>
            <w:tcW w:w="1392" w:type="dxa"/>
            <w:vAlign w:val="center"/>
            <w:hideMark/>
          </w:tcPr>
          <w:p w14:paraId="6C2C9845"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166.952,32</w:t>
            </w:r>
          </w:p>
        </w:tc>
        <w:tc>
          <w:tcPr>
            <w:tcW w:w="1393" w:type="dxa"/>
            <w:tcBorders>
              <w:right w:val="single" w:sz="8" w:space="0" w:color="D2232A"/>
            </w:tcBorders>
            <w:vAlign w:val="center"/>
            <w:hideMark/>
          </w:tcPr>
          <w:p w14:paraId="05DA8B27" w14:textId="41D55350" w:rsidR="008878A0" w:rsidRPr="00DE56D5" w:rsidRDefault="00D960AD" w:rsidP="00891CD3">
            <w:pPr>
              <w:autoSpaceDE w:val="0"/>
              <w:autoSpaceDN w:val="0"/>
              <w:adjustRightInd w:val="0"/>
              <w:spacing w:after="0"/>
              <w:jc w:val="right"/>
              <w:rPr>
                <w:rFonts w:eastAsia="ArialNarrow" w:cstheme="minorHAnsi"/>
                <w:szCs w:val="18"/>
              </w:rPr>
            </w:pPr>
            <w:r>
              <w:rPr>
                <w:rFonts w:cstheme="minorHAnsi"/>
                <w:color w:val="000000"/>
                <w:szCs w:val="18"/>
              </w:rPr>
              <w:t>860.837,59</w:t>
            </w:r>
          </w:p>
        </w:tc>
        <w:tc>
          <w:tcPr>
            <w:tcW w:w="1255" w:type="dxa"/>
            <w:tcBorders>
              <w:left w:val="single" w:sz="8" w:space="0" w:color="D2232A"/>
              <w:right w:val="single" w:sz="8" w:space="0" w:color="D2232A"/>
            </w:tcBorders>
            <w:vAlign w:val="center"/>
            <w:hideMark/>
          </w:tcPr>
          <w:p w14:paraId="2C1902DA" w14:textId="25EEACC8" w:rsidR="008878A0" w:rsidRPr="00DE56D5" w:rsidRDefault="00502264" w:rsidP="00891CD3">
            <w:pPr>
              <w:autoSpaceDE w:val="0"/>
              <w:autoSpaceDN w:val="0"/>
              <w:adjustRightInd w:val="0"/>
              <w:spacing w:after="0"/>
              <w:jc w:val="right"/>
              <w:rPr>
                <w:rFonts w:eastAsia="ArialNarrow" w:cstheme="minorHAnsi"/>
                <w:szCs w:val="18"/>
              </w:rPr>
            </w:pPr>
            <w:r>
              <w:rPr>
                <w:rFonts w:cstheme="minorHAnsi"/>
                <w:color w:val="000000"/>
                <w:szCs w:val="18"/>
              </w:rPr>
              <w:t>926.967,20</w:t>
            </w:r>
          </w:p>
        </w:tc>
        <w:tc>
          <w:tcPr>
            <w:tcW w:w="1532" w:type="dxa"/>
            <w:tcBorders>
              <w:left w:val="single" w:sz="8" w:space="0" w:color="D2232A"/>
              <w:right w:val="single" w:sz="8" w:space="0" w:color="D2232A"/>
            </w:tcBorders>
            <w:vAlign w:val="center"/>
            <w:hideMark/>
          </w:tcPr>
          <w:p w14:paraId="568F3B10" w14:textId="22361E1C" w:rsidR="008878A0" w:rsidRPr="007F5A38" w:rsidRDefault="005D36A5" w:rsidP="00891CD3">
            <w:pPr>
              <w:autoSpaceDE w:val="0"/>
              <w:autoSpaceDN w:val="0"/>
              <w:adjustRightInd w:val="0"/>
              <w:spacing w:after="0"/>
              <w:jc w:val="right"/>
              <w:rPr>
                <w:rFonts w:eastAsia="ArialNarrow" w:cstheme="minorHAnsi"/>
                <w:szCs w:val="18"/>
                <w:highlight w:val="yellow"/>
              </w:rPr>
            </w:pPr>
            <w:r w:rsidRPr="005D36A5">
              <w:rPr>
                <w:rFonts w:cstheme="minorHAnsi"/>
                <w:color w:val="000000"/>
                <w:szCs w:val="18"/>
              </w:rPr>
              <w:t xml:space="preserve">1.001.196,58 </w:t>
            </w:r>
          </w:p>
        </w:tc>
      </w:tr>
      <w:tr w:rsidR="00966675" w:rsidRPr="00DE56D5" w14:paraId="588561C7" w14:textId="77777777" w:rsidTr="00546DAE">
        <w:trPr>
          <w:trHeight w:val="282"/>
        </w:trPr>
        <w:tc>
          <w:tcPr>
            <w:tcW w:w="1111" w:type="dxa"/>
            <w:tcBorders>
              <w:left w:val="single" w:sz="8" w:space="0" w:color="D2232A"/>
              <w:right w:val="single" w:sz="8" w:space="0" w:color="D2232A"/>
            </w:tcBorders>
            <w:vAlign w:val="center"/>
            <w:hideMark/>
          </w:tcPr>
          <w:p w14:paraId="6DF9C3BC" w14:textId="0593E496"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BUDINŠ</w:t>
            </w:r>
            <w:r w:rsidR="00D77549">
              <w:rPr>
                <w:rFonts w:cstheme="minorHAnsi"/>
                <w:bCs/>
                <w:color w:val="000000"/>
                <w:szCs w:val="18"/>
              </w:rPr>
              <w:t>Č</w:t>
            </w:r>
            <w:r w:rsidRPr="00DE56D5">
              <w:rPr>
                <w:rFonts w:cstheme="minorHAnsi"/>
                <w:bCs/>
                <w:color w:val="000000"/>
                <w:szCs w:val="18"/>
              </w:rPr>
              <w:t>INA</w:t>
            </w:r>
          </w:p>
        </w:tc>
        <w:tc>
          <w:tcPr>
            <w:tcW w:w="1271" w:type="dxa"/>
            <w:tcBorders>
              <w:left w:val="single" w:sz="8" w:space="0" w:color="D2232A"/>
            </w:tcBorders>
            <w:vAlign w:val="center"/>
            <w:hideMark/>
          </w:tcPr>
          <w:p w14:paraId="21D6E408"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238.922,43</w:t>
            </w:r>
          </w:p>
        </w:tc>
        <w:tc>
          <w:tcPr>
            <w:tcW w:w="1271" w:type="dxa"/>
            <w:vAlign w:val="center"/>
            <w:hideMark/>
          </w:tcPr>
          <w:p w14:paraId="4BF6CD9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266.758,43</w:t>
            </w:r>
          </w:p>
        </w:tc>
        <w:tc>
          <w:tcPr>
            <w:tcW w:w="1392" w:type="dxa"/>
            <w:vAlign w:val="center"/>
            <w:hideMark/>
          </w:tcPr>
          <w:p w14:paraId="5638F22A"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290.150,79</w:t>
            </w:r>
          </w:p>
        </w:tc>
        <w:tc>
          <w:tcPr>
            <w:tcW w:w="1393" w:type="dxa"/>
            <w:tcBorders>
              <w:right w:val="single" w:sz="8" w:space="0" w:color="D2232A"/>
            </w:tcBorders>
            <w:vAlign w:val="center"/>
            <w:hideMark/>
          </w:tcPr>
          <w:p w14:paraId="61AF21D4"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331.248,83</w:t>
            </w:r>
          </w:p>
        </w:tc>
        <w:tc>
          <w:tcPr>
            <w:tcW w:w="1255" w:type="dxa"/>
            <w:tcBorders>
              <w:left w:val="single" w:sz="8" w:space="0" w:color="D2232A"/>
              <w:right w:val="single" w:sz="8" w:space="0" w:color="D2232A"/>
            </w:tcBorders>
            <w:vAlign w:val="center"/>
            <w:hideMark/>
          </w:tcPr>
          <w:p w14:paraId="16B1A36D" w14:textId="0960C1A4" w:rsidR="008878A0" w:rsidRPr="00DE56D5" w:rsidRDefault="00237942" w:rsidP="00891CD3">
            <w:pPr>
              <w:autoSpaceDE w:val="0"/>
              <w:autoSpaceDN w:val="0"/>
              <w:adjustRightInd w:val="0"/>
              <w:spacing w:after="0"/>
              <w:jc w:val="right"/>
              <w:rPr>
                <w:rFonts w:eastAsia="ArialNarrow" w:cstheme="minorHAnsi"/>
                <w:szCs w:val="18"/>
              </w:rPr>
            </w:pPr>
            <w:r>
              <w:rPr>
                <w:rFonts w:eastAsia="ArialNarrow" w:cstheme="minorHAnsi"/>
                <w:szCs w:val="18"/>
              </w:rPr>
              <w:t>503.975,94</w:t>
            </w:r>
          </w:p>
        </w:tc>
        <w:tc>
          <w:tcPr>
            <w:tcW w:w="1532" w:type="dxa"/>
            <w:tcBorders>
              <w:left w:val="single" w:sz="8" w:space="0" w:color="D2232A"/>
              <w:right w:val="single" w:sz="8" w:space="0" w:color="D2232A"/>
            </w:tcBorders>
            <w:vAlign w:val="center"/>
            <w:hideMark/>
          </w:tcPr>
          <w:p w14:paraId="37D7452B" w14:textId="779DBFC3" w:rsidR="008878A0" w:rsidRPr="007F5A38" w:rsidRDefault="00421486" w:rsidP="00891CD3">
            <w:pPr>
              <w:autoSpaceDE w:val="0"/>
              <w:autoSpaceDN w:val="0"/>
              <w:adjustRightInd w:val="0"/>
              <w:spacing w:after="0"/>
              <w:jc w:val="right"/>
              <w:rPr>
                <w:rFonts w:eastAsia="ArialNarrow" w:cstheme="minorHAnsi"/>
                <w:szCs w:val="18"/>
                <w:highlight w:val="yellow"/>
              </w:rPr>
            </w:pPr>
            <w:r w:rsidRPr="00421486">
              <w:rPr>
                <w:rFonts w:eastAsia="ArialNarrow" w:cstheme="minorHAnsi"/>
                <w:szCs w:val="18"/>
              </w:rPr>
              <w:t>378.198,04</w:t>
            </w:r>
          </w:p>
        </w:tc>
      </w:tr>
      <w:tr w:rsidR="00966675" w:rsidRPr="00DE56D5" w14:paraId="50B73648" w14:textId="77777777" w:rsidTr="00546DAE">
        <w:trPr>
          <w:trHeight w:val="282"/>
        </w:trPr>
        <w:tc>
          <w:tcPr>
            <w:tcW w:w="1111" w:type="dxa"/>
            <w:tcBorders>
              <w:left w:val="single" w:sz="8" w:space="0" w:color="D2232A"/>
              <w:right w:val="single" w:sz="8" w:space="0" w:color="D2232A"/>
            </w:tcBorders>
            <w:vAlign w:val="center"/>
            <w:hideMark/>
          </w:tcPr>
          <w:p w14:paraId="1005035C"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DESINIĆ</w:t>
            </w:r>
          </w:p>
        </w:tc>
        <w:tc>
          <w:tcPr>
            <w:tcW w:w="1271" w:type="dxa"/>
            <w:tcBorders>
              <w:left w:val="single" w:sz="8" w:space="0" w:color="D2232A"/>
            </w:tcBorders>
            <w:vAlign w:val="center"/>
            <w:hideMark/>
          </w:tcPr>
          <w:p w14:paraId="2B5EA1C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170.755,09</w:t>
            </w:r>
          </w:p>
        </w:tc>
        <w:tc>
          <w:tcPr>
            <w:tcW w:w="1271" w:type="dxa"/>
            <w:vAlign w:val="center"/>
            <w:hideMark/>
          </w:tcPr>
          <w:p w14:paraId="6870784D"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187.644,98</w:t>
            </w:r>
          </w:p>
        </w:tc>
        <w:tc>
          <w:tcPr>
            <w:tcW w:w="1392" w:type="dxa"/>
            <w:vAlign w:val="center"/>
            <w:hideMark/>
          </w:tcPr>
          <w:p w14:paraId="3DC4003C"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212.478,52</w:t>
            </w:r>
          </w:p>
        </w:tc>
        <w:tc>
          <w:tcPr>
            <w:tcW w:w="1393" w:type="dxa"/>
            <w:tcBorders>
              <w:right w:val="single" w:sz="8" w:space="0" w:color="D2232A"/>
            </w:tcBorders>
            <w:vAlign w:val="center"/>
            <w:hideMark/>
          </w:tcPr>
          <w:p w14:paraId="2349C49B" w14:textId="6A78A57F"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210.960</w:t>
            </w:r>
            <w:r w:rsidR="00A019C9">
              <w:rPr>
                <w:rFonts w:cstheme="minorHAnsi"/>
                <w:color w:val="000000"/>
                <w:szCs w:val="18"/>
              </w:rPr>
              <w:t>,</w:t>
            </w:r>
            <w:r w:rsidRPr="00DE56D5">
              <w:rPr>
                <w:rFonts w:cstheme="minorHAnsi"/>
                <w:color w:val="000000"/>
                <w:szCs w:val="18"/>
              </w:rPr>
              <w:t>21</w:t>
            </w:r>
          </w:p>
        </w:tc>
        <w:tc>
          <w:tcPr>
            <w:tcW w:w="1255" w:type="dxa"/>
            <w:tcBorders>
              <w:left w:val="single" w:sz="8" w:space="0" w:color="D2232A"/>
              <w:right w:val="single" w:sz="8" w:space="0" w:color="D2232A"/>
            </w:tcBorders>
            <w:vAlign w:val="center"/>
            <w:hideMark/>
          </w:tcPr>
          <w:p w14:paraId="60083ABC" w14:textId="689B663D" w:rsidR="008878A0" w:rsidRPr="00DE56D5" w:rsidRDefault="00A171CE" w:rsidP="00891CD3">
            <w:pPr>
              <w:autoSpaceDE w:val="0"/>
              <w:autoSpaceDN w:val="0"/>
              <w:adjustRightInd w:val="0"/>
              <w:spacing w:after="0"/>
              <w:jc w:val="right"/>
              <w:rPr>
                <w:rFonts w:eastAsia="ArialNarrow" w:cstheme="minorHAnsi"/>
                <w:szCs w:val="18"/>
              </w:rPr>
            </w:pPr>
            <w:r>
              <w:rPr>
                <w:rFonts w:cstheme="minorHAnsi"/>
                <w:color w:val="000000"/>
                <w:szCs w:val="18"/>
              </w:rPr>
              <w:t>215.478</w:t>
            </w:r>
            <w:r w:rsidR="008878A0" w:rsidRPr="00DE56D5">
              <w:rPr>
                <w:rFonts w:cstheme="minorHAnsi"/>
                <w:color w:val="000000"/>
                <w:szCs w:val="18"/>
              </w:rPr>
              <w:t>,</w:t>
            </w:r>
            <w:r>
              <w:rPr>
                <w:rFonts w:cstheme="minorHAnsi"/>
                <w:color w:val="000000"/>
                <w:szCs w:val="18"/>
              </w:rPr>
              <w:t>81</w:t>
            </w:r>
          </w:p>
        </w:tc>
        <w:tc>
          <w:tcPr>
            <w:tcW w:w="1532" w:type="dxa"/>
            <w:tcBorders>
              <w:left w:val="single" w:sz="8" w:space="0" w:color="D2232A"/>
              <w:right w:val="single" w:sz="8" w:space="0" w:color="D2232A"/>
            </w:tcBorders>
            <w:vAlign w:val="center"/>
            <w:hideMark/>
          </w:tcPr>
          <w:p w14:paraId="36C222A0" w14:textId="07B34F49" w:rsidR="008878A0" w:rsidRPr="007F5A38" w:rsidRDefault="008878A0" w:rsidP="00891CD3">
            <w:pPr>
              <w:autoSpaceDE w:val="0"/>
              <w:autoSpaceDN w:val="0"/>
              <w:adjustRightInd w:val="0"/>
              <w:spacing w:after="0"/>
              <w:jc w:val="right"/>
              <w:rPr>
                <w:rFonts w:eastAsia="ArialNarrow" w:cstheme="minorHAnsi"/>
                <w:szCs w:val="18"/>
                <w:highlight w:val="yellow"/>
              </w:rPr>
            </w:pPr>
            <w:r w:rsidRPr="00A171CE">
              <w:rPr>
                <w:rFonts w:cstheme="minorHAnsi"/>
                <w:color w:val="000000"/>
                <w:szCs w:val="18"/>
              </w:rPr>
              <w:t>26</w:t>
            </w:r>
            <w:r w:rsidR="00A171CE" w:rsidRPr="00A171CE">
              <w:rPr>
                <w:rFonts w:cstheme="minorHAnsi"/>
                <w:color w:val="000000"/>
                <w:szCs w:val="18"/>
              </w:rPr>
              <w:t>3.411,54</w:t>
            </w:r>
          </w:p>
        </w:tc>
      </w:tr>
      <w:tr w:rsidR="00966675" w:rsidRPr="00DE56D5" w14:paraId="22770229" w14:textId="77777777" w:rsidTr="00546DAE">
        <w:trPr>
          <w:trHeight w:val="282"/>
        </w:trPr>
        <w:tc>
          <w:tcPr>
            <w:tcW w:w="1111" w:type="dxa"/>
            <w:tcBorders>
              <w:left w:val="single" w:sz="8" w:space="0" w:color="D2232A"/>
              <w:right w:val="single" w:sz="8" w:space="0" w:color="D2232A"/>
            </w:tcBorders>
            <w:vAlign w:val="center"/>
            <w:hideMark/>
          </w:tcPr>
          <w:p w14:paraId="1FAA400D"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ĐURMANEC</w:t>
            </w:r>
          </w:p>
        </w:tc>
        <w:tc>
          <w:tcPr>
            <w:tcW w:w="1271" w:type="dxa"/>
            <w:tcBorders>
              <w:left w:val="single" w:sz="8" w:space="0" w:color="D2232A"/>
            </w:tcBorders>
            <w:vAlign w:val="center"/>
            <w:hideMark/>
          </w:tcPr>
          <w:p w14:paraId="6167E8AB"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367.276,62</w:t>
            </w:r>
          </w:p>
        </w:tc>
        <w:tc>
          <w:tcPr>
            <w:tcW w:w="1271" w:type="dxa"/>
            <w:vAlign w:val="center"/>
            <w:hideMark/>
          </w:tcPr>
          <w:p w14:paraId="6A55DFE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533.569,35</w:t>
            </w:r>
          </w:p>
        </w:tc>
        <w:tc>
          <w:tcPr>
            <w:tcW w:w="1392" w:type="dxa"/>
            <w:vAlign w:val="center"/>
            <w:hideMark/>
          </w:tcPr>
          <w:p w14:paraId="7B7C984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541.455,05</w:t>
            </w:r>
          </w:p>
        </w:tc>
        <w:tc>
          <w:tcPr>
            <w:tcW w:w="1393" w:type="dxa"/>
            <w:tcBorders>
              <w:right w:val="single" w:sz="8" w:space="0" w:color="D2232A"/>
            </w:tcBorders>
            <w:vAlign w:val="center"/>
            <w:hideMark/>
          </w:tcPr>
          <w:p w14:paraId="75EBE949"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492.929,95</w:t>
            </w:r>
          </w:p>
        </w:tc>
        <w:tc>
          <w:tcPr>
            <w:tcW w:w="1255" w:type="dxa"/>
            <w:tcBorders>
              <w:left w:val="single" w:sz="8" w:space="0" w:color="D2232A"/>
              <w:right w:val="single" w:sz="8" w:space="0" w:color="D2232A"/>
            </w:tcBorders>
            <w:vAlign w:val="center"/>
            <w:hideMark/>
          </w:tcPr>
          <w:p w14:paraId="76618695" w14:textId="79F1128E" w:rsidR="008878A0" w:rsidRPr="00DE56D5" w:rsidRDefault="00334FB0" w:rsidP="00891CD3">
            <w:pPr>
              <w:autoSpaceDE w:val="0"/>
              <w:autoSpaceDN w:val="0"/>
              <w:adjustRightInd w:val="0"/>
              <w:spacing w:after="0"/>
              <w:jc w:val="right"/>
              <w:rPr>
                <w:rFonts w:eastAsia="ArialNarrow" w:cstheme="minorHAnsi"/>
                <w:szCs w:val="18"/>
              </w:rPr>
            </w:pPr>
            <w:r w:rsidRPr="00334FB0">
              <w:rPr>
                <w:rFonts w:cstheme="minorHAnsi"/>
                <w:color w:val="000000"/>
                <w:szCs w:val="18"/>
              </w:rPr>
              <w:t>464.413,59</w:t>
            </w:r>
          </w:p>
        </w:tc>
        <w:tc>
          <w:tcPr>
            <w:tcW w:w="1532" w:type="dxa"/>
            <w:tcBorders>
              <w:left w:val="single" w:sz="8" w:space="0" w:color="D2232A"/>
              <w:right w:val="single" w:sz="8" w:space="0" w:color="D2232A"/>
            </w:tcBorders>
            <w:vAlign w:val="center"/>
            <w:hideMark/>
          </w:tcPr>
          <w:p w14:paraId="16750615" w14:textId="7236FC5A" w:rsidR="008878A0" w:rsidRPr="007F5A38" w:rsidRDefault="00DD5EF0" w:rsidP="00891CD3">
            <w:pPr>
              <w:autoSpaceDE w:val="0"/>
              <w:autoSpaceDN w:val="0"/>
              <w:adjustRightInd w:val="0"/>
              <w:spacing w:after="0"/>
              <w:jc w:val="right"/>
              <w:rPr>
                <w:rFonts w:eastAsia="ArialNarrow" w:cstheme="minorHAnsi"/>
                <w:szCs w:val="18"/>
                <w:highlight w:val="yellow"/>
              </w:rPr>
            </w:pPr>
            <w:r w:rsidRPr="00DD5EF0">
              <w:rPr>
                <w:rFonts w:cstheme="minorHAnsi"/>
                <w:color w:val="000000"/>
                <w:szCs w:val="18"/>
              </w:rPr>
              <w:t>463.451,57</w:t>
            </w:r>
          </w:p>
        </w:tc>
      </w:tr>
      <w:tr w:rsidR="00966675" w:rsidRPr="00DE56D5" w14:paraId="7E54C5BF" w14:textId="77777777" w:rsidTr="00546DAE">
        <w:trPr>
          <w:trHeight w:val="282"/>
        </w:trPr>
        <w:tc>
          <w:tcPr>
            <w:tcW w:w="1111" w:type="dxa"/>
            <w:tcBorders>
              <w:left w:val="single" w:sz="8" w:space="0" w:color="D2232A"/>
              <w:right w:val="single" w:sz="8" w:space="0" w:color="D2232A"/>
            </w:tcBorders>
            <w:vAlign w:val="center"/>
            <w:hideMark/>
          </w:tcPr>
          <w:p w14:paraId="4A9AB104"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GORNJA STUBICA</w:t>
            </w:r>
          </w:p>
        </w:tc>
        <w:tc>
          <w:tcPr>
            <w:tcW w:w="1271" w:type="dxa"/>
            <w:tcBorders>
              <w:left w:val="single" w:sz="8" w:space="0" w:color="D2232A"/>
            </w:tcBorders>
            <w:vAlign w:val="center"/>
            <w:hideMark/>
          </w:tcPr>
          <w:p w14:paraId="2B85C34A"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931.481,43</w:t>
            </w:r>
          </w:p>
        </w:tc>
        <w:tc>
          <w:tcPr>
            <w:tcW w:w="1271" w:type="dxa"/>
            <w:vAlign w:val="center"/>
            <w:hideMark/>
          </w:tcPr>
          <w:p w14:paraId="45A1C9BF"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1.054.609,58</w:t>
            </w:r>
          </w:p>
        </w:tc>
        <w:tc>
          <w:tcPr>
            <w:tcW w:w="1392" w:type="dxa"/>
            <w:vAlign w:val="center"/>
            <w:hideMark/>
          </w:tcPr>
          <w:p w14:paraId="6AC5726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1.004.271,88</w:t>
            </w:r>
          </w:p>
        </w:tc>
        <w:tc>
          <w:tcPr>
            <w:tcW w:w="1393" w:type="dxa"/>
            <w:tcBorders>
              <w:right w:val="single" w:sz="8" w:space="0" w:color="D2232A"/>
            </w:tcBorders>
            <w:vAlign w:val="center"/>
            <w:hideMark/>
          </w:tcPr>
          <w:p w14:paraId="33C21D2D"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1.083.899,99</w:t>
            </w:r>
          </w:p>
        </w:tc>
        <w:tc>
          <w:tcPr>
            <w:tcW w:w="1255" w:type="dxa"/>
            <w:tcBorders>
              <w:left w:val="single" w:sz="8" w:space="0" w:color="D2232A"/>
              <w:right w:val="single" w:sz="8" w:space="0" w:color="D2232A"/>
            </w:tcBorders>
            <w:vAlign w:val="center"/>
            <w:hideMark/>
          </w:tcPr>
          <w:p w14:paraId="38E61FB0" w14:textId="5556B9F7" w:rsidR="008878A0" w:rsidRPr="00DE56D5" w:rsidRDefault="00E21922" w:rsidP="00891CD3">
            <w:pPr>
              <w:autoSpaceDE w:val="0"/>
              <w:autoSpaceDN w:val="0"/>
              <w:adjustRightInd w:val="0"/>
              <w:spacing w:after="0"/>
              <w:jc w:val="right"/>
              <w:rPr>
                <w:rFonts w:eastAsia="ArialNarrow" w:cstheme="minorHAnsi"/>
                <w:szCs w:val="18"/>
              </w:rPr>
            </w:pPr>
            <w:r w:rsidRPr="00E21922">
              <w:rPr>
                <w:rFonts w:eastAsia="ArialNarrow" w:cstheme="minorHAnsi"/>
                <w:szCs w:val="18"/>
              </w:rPr>
              <w:t>1.241.903,68</w:t>
            </w:r>
          </w:p>
        </w:tc>
        <w:tc>
          <w:tcPr>
            <w:tcW w:w="1532" w:type="dxa"/>
            <w:tcBorders>
              <w:left w:val="single" w:sz="8" w:space="0" w:color="D2232A"/>
              <w:right w:val="single" w:sz="8" w:space="0" w:color="D2232A"/>
            </w:tcBorders>
            <w:vAlign w:val="center"/>
            <w:hideMark/>
          </w:tcPr>
          <w:p w14:paraId="6F5A82B1" w14:textId="3FEA2094" w:rsidR="008878A0" w:rsidRPr="007F5A38" w:rsidRDefault="00C03D90" w:rsidP="00891CD3">
            <w:pPr>
              <w:autoSpaceDE w:val="0"/>
              <w:autoSpaceDN w:val="0"/>
              <w:adjustRightInd w:val="0"/>
              <w:spacing w:after="0"/>
              <w:jc w:val="right"/>
              <w:rPr>
                <w:rFonts w:eastAsia="ArialNarrow" w:cstheme="minorHAnsi"/>
                <w:szCs w:val="18"/>
                <w:highlight w:val="yellow"/>
              </w:rPr>
            </w:pPr>
            <w:r w:rsidRPr="00C03D90">
              <w:rPr>
                <w:rFonts w:eastAsia="ArialNarrow" w:cstheme="minorHAnsi"/>
                <w:szCs w:val="18"/>
              </w:rPr>
              <w:t>1.165.541,41</w:t>
            </w:r>
          </w:p>
        </w:tc>
      </w:tr>
      <w:tr w:rsidR="00966675" w:rsidRPr="00DE56D5" w14:paraId="5F2BD059" w14:textId="77777777" w:rsidTr="00546DAE">
        <w:trPr>
          <w:trHeight w:val="282"/>
        </w:trPr>
        <w:tc>
          <w:tcPr>
            <w:tcW w:w="1111" w:type="dxa"/>
            <w:tcBorders>
              <w:left w:val="single" w:sz="8" w:space="0" w:color="D2232A"/>
              <w:right w:val="single" w:sz="8" w:space="0" w:color="D2232A"/>
            </w:tcBorders>
            <w:vAlign w:val="center"/>
            <w:hideMark/>
          </w:tcPr>
          <w:p w14:paraId="15331D8F"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HRAŠĆINA</w:t>
            </w:r>
          </w:p>
        </w:tc>
        <w:tc>
          <w:tcPr>
            <w:tcW w:w="1271" w:type="dxa"/>
            <w:tcBorders>
              <w:left w:val="single" w:sz="8" w:space="0" w:color="D2232A"/>
            </w:tcBorders>
            <w:vAlign w:val="center"/>
            <w:hideMark/>
          </w:tcPr>
          <w:p w14:paraId="6501C37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282.956,17</w:t>
            </w:r>
          </w:p>
        </w:tc>
        <w:tc>
          <w:tcPr>
            <w:tcW w:w="1271" w:type="dxa"/>
            <w:vAlign w:val="center"/>
            <w:hideMark/>
          </w:tcPr>
          <w:p w14:paraId="0FB3FE14"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298.084,94</w:t>
            </w:r>
          </w:p>
        </w:tc>
        <w:tc>
          <w:tcPr>
            <w:tcW w:w="1392" w:type="dxa"/>
            <w:vAlign w:val="center"/>
            <w:hideMark/>
          </w:tcPr>
          <w:p w14:paraId="0726FCF1"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277.440,61</w:t>
            </w:r>
          </w:p>
        </w:tc>
        <w:tc>
          <w:tcPr>
            <w:tcW w:w="1393" w:type="dxa"/>
            <w:tcBorders>
              <w:right w:val="single" w:sz="8" w:space="0" w:color="D2232A"/>
            </w:tcBorders>
            <w:vAlign w:val="center"/>
            <w:hideMark/>
          </w:tcPr>
          <w:p w14:paraId="7DC25B7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316.230,31</w:t>
            </w:r>
          </w:p>
        </w:tc>
        <w:tc>
          <w:tcPr>
            <w:tcW w:w="1255" w:type="dxa"/>
            <w:tcBorders>
              <w:left w:val="single" w:sz="8" w:space="0" w:color="D2232A"/>
              <w:right w:val="single" w:sz="8" w:space="0" w:color="D2232A"/>
            </w:tcBorders>
            <w:vAlign w:val="center"/>
            <w:hideMark/>
          </w:tcPr>
          <w:p w14:paraId="243B49EF" w14:textId="35638E47" w:rsidR="008878A0" w:rsidRPr="00DE56D5" w:rsidRDefault="000931C8" w:rsidP="00891CD3">
            <w:pPr>
              <w:autoSpaceDE w:val="0"/>
              <w:autoSpaceDN w:val="0"/>
              <w:adjustRightInd w:val="0"/>
              <w:spacing w:after="0"/>
              <w:jc w:val="right"/>
              <w:rPr>
                <w:rFonts w:eastAsia="ArialNarrow" w:cstheme="minorHAnsi"/>
                <w:szCs w:val="18"/>
              </w:rPr>
            </w:pPr>
            <w:r w:rsidRPr="000931C8">
              <w:rPr>
                <w:rFonts w:eastAsia="ArialNarrow" w:cstheme="minorHAnsi"/>
                <w:szCs w:val="18"/>
              </w:rPr>
              <w:t>422.483,98</w:t>
            </w:r>
          </w:p>
        </w:tc>
        <w:tc>
          <w:tcPr>
            <w:tcW w:w="1532" w:type="dxa"/>
            <w:tcBorders>
              <w:left w:val="single" w:sz="8" w:space="0" w:color="D2232A"/>
              <w:right w:val="single" w:sz="8" w:space="0" w:color="D2232A"/>
            </w:tcBorders>
            <w:vAlign w:val="center"/>
            <w:hideMark/>
          </w:tcPr>
          <w:p w14:paraId="119012BE" w14:textId="77777777" w:rsidR="008878A0" w:rsidRPr="007F5A38" w:rsidRDefault="008878A0" w:rsidP="00891CD3">
            <w:pPr>
              <w:autoSpaceDE w:val="0"/>
              <w:autoSpaceDN w:val="0"/>
              <w:adjustRightInd w:val="0"/>
              <w:spacing w:after="0"/>
              <w:jc w:val="right"/>
              <w:rPr>
                <w:rFonts w:eastAsia="ArialNarrow" w:cstheme="minorHAnsi"/>
                <w:szCs w:val="18"/>
                <w:highlight w:val="yellow"/>
              </w:rPr>
            </w:pPr>
            <w:r w:rsidRPr="000931C8">
              <w:rPr>
                <w:rFonts w:cstheme="minorHAnsi"/>
                <w:color w:val="000000"/>
                <w:szCs w:val="18"/>
              </w:rPr>
              <w:t>446.350,00</w:t>
            </w:r>
          </w:p>
        </w:tc>
      </w:tr>
      <w:tr w:rsidR="00966675" w:rsidRPr="00DE56D5" w14:paraId="72363B2C" w14:textId="77777777" w:rsidTr="00546DAE">
        <w:trPr>
          <w:trHeight w:val="282"/>
        </w:trPr>
        <w:tc>
          <w:tcPr>
            <w:tcW w:w="1111" w:type="dxa"/>
            <w:tcBorders>
              <w:left w:val="single" w:sz="8" w:space="0" w:color="D2232A"/>
              <w:right w:val="single" w:sz="8" w:space="0" w:color="D2232A"/>
            </w:tcBorders>
            <w:vAlign w:val="center"/>
            <w:hideMark/>
          </w:tcPr>
          <w:p w14:paraId="2EE4D18E"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HUM NA SUTLI</w:t>
            </w:r>
          </w:p>
        </w:tc>
        <w:tc>
          <w:tcPr>
            <w:tcW w:w="1271" w:type="dxa"/>
            <w:tcBorders>
              <w:left w:val="single" w:sz="8" w:space="0" w:color="D2232A"/>
            </w:tcBorders>
            <w:vAlign w:val="center"/>
            <w:hideMark/>
          </w:tcPr>
          <w:p w14:paraId="1B480BA8"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1.117.000,00</w:t>
            </w:r>
          </w:p>
        </w:tc>
        <w:tc>
          <w:tcPr>
            <w:tcW w:w="1271" w:type="dxa"/>
            <w:vAlign w:val="center"/>
            <w:hideMark/>
          </w:tcPr>
          <w:p w14:paraId="35F3E20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1.187.000,00</w:t>
            </w:r>
          </w:p>
        </w:tc>
        <w:tc>
          <w:tcPr>
            <w:tcW w:w="1392" w:type="dxa"/>
            <w:vAlign w:val="center"/>
            <w:hideMark/>
          </w:tcPr>
          <w:p w14:paraId="68340B8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1.119.500,00</w:t>
            </w:r>
          </w:p>
        </w:tc>
        <w:tc>
          <w:tcPr>
            <w:tcW w:w="1393" w:type="dxa"/>
            <w:tcBorders>
              <w:right w:val="single" w:sz="8" w:space="0" w:color="D2232A"/>
            </w:tcBorders>
            <w:vAlign w:val="center"/>
            <w:hideMark/>
          </w:tcPr>
          <w:p w14:paraId="2FAA143A"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1.296.000,00</w:t>
            </w:r>
          </w:p>
        </w:tc>
        <w:tc>
          <w:tcPr>
            <w:tcW w:w="1255" w:type="dxa"/>
            <w:tcBorders>
              <w:left w:val="single" w:sz="8" w:space="0" w:color="D2232A"/>
              <w:right w:val="single" w:sz="8" w:space="0" w:color="D2232A"/>
            </w:tcBorders>
            <w:vAlign w:val="center"/>
            <w:hideMark/>
          </w:tcPr>
          <w:p w14:paraId="2AD6D009" w14:textId="032F1DA2" w:rsidR="008878A0" w:rsidRPr="00DE56D5" w:rsidRDefault="006614C2" w:rsidP="00891CD3">
            <w:pPr>
              <w:autoSpaceDE w:val="0"/>
              <w:autoSpaceDN w:val="0"/>
              <w:adjustRightInd w:val="0"/>
              <w:spacing w:after="0"/>
              <w:jc w:val="right"/>
              <w:rPr>
                <w:rFonts w:eastAsia="ArialNarrow" w:cstheme="minorHAnsi"/>
                <w:szCs w:val="18"/>
              </w:rPr>
            </w:pPr>
            <w:r w:rsidRPr="006614C2">
              <w:rPr>
                <w:rFonts w:eastAsia="ArialNarrow" w:cstheme="minorHAnsi"/>
                <w:szCs w:val="18"/>
              </w:rPr>
              <w:t>1.324.500,00</w:t>
            </w:r>
          </w:p>
        </w:tc>
        <w:tc>
          <w:tcPr>
            <w:tcW w:w="1532" w:type="dxa"/>
            <w:tcBorders>
              <w:left w:val="single" w:sz="8" w:space="0" w:color="D2232A"/>
              <w:right w:val="single" w:sz="8" w:space="0" w:color="D2232A"/>
            </w:tcBorders>
            <w:vAlign w:val="center"/>
            <w:hideMark/>
          </w:tcPr>
          <w:p w14:paraId="0DF7B061" w14:textId="273A3124" w:rsidR="008878A0" w:rsidRPr="007F5A38" w:rsidRDefault="00EC6005" w:rsidP="00891CD3">
            <w:pPr>
              <w:autoSpaceDE w:val="0"/>
              <w:autoSpaceDN w:val="0"/>
              <w:adjustRightInd w:val="0"/>
              <w:spacing w:after="0"/>
              <w:jc w:val="right"/>
              <w:rPr>
                <w:rFonts w:eastAsia="ArialNarrow" w:cstheme="minorHAnsi"/>
                <w:szCs w:val="18"/>
                <w:highlight w:val="yellow"/>
              </w:rPr>
            </w:pPr>
            <w:r>
              <w:rPr>
                <w:rFonts w:eastAsia="ArialNarrow" w:cstheme="minorHAnsi"/>
                <w:szCs w:val="18"/>
              </w:rPr>
              <w:t>1.582.730</w:t>
            </w:r>
            <w:r w:rsidR="00334329">
              <w:rPr>
                <w:rFonts w:eastAsia="ArialNarrow" w:cstheme="minorHAnsi"/>
                <w:szCs w:val="18"/>
              </w:rPr>
              <w:t>, 00</w:t>
            </w:r>
          </w:p>
        </w:tc>
      </w:tr>
      <w:tr w:rsidR="00966675" w:rsidRPr="00DE56D5" w14:paraId="05944AA7" w14:textId="77777777" w:rsidTr="00546DAE">
        <w:trPr>
          <w:trHeight w:val="282"/>
        </w:trPr>
        <w:tc>
          <w:tcPr>
            <w:tcW w:w="1111" w:type="dxa"/>
            <w:tcBorders>
              <w:left w:val="single" w:sz="8" w:space="0" w:color="D2232A"/>
              <w:right w:val="single" w:sz="8" w:space="0" w:color="D2232A"/>
            </w:tcBorders>
            <w:vAlign w:val="center"/>
            <w:hideMark/>
          </w:tcPr>
          <w:p w14:paraId="25890132"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JESENJE</w:t>
            </w:r>
          </w:p>
        </w:tc>
        <w:tc>
          <w:tcPr>
            <w:tcW w:w="1271" w:type="dxa"/>
            <w:tcBorders>
              <w:left w:val="single" w:sz="8" w:space="0" w:color="D2232A"/>
            </w:tcBorders>
            <w:vAlign w:val="center"/>
            <w:hideMark/>
          </w:tcPr>
          <w:p w14:paraId="13FF9889"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329.044,00</w:t>
            </w:r>
          </w:p>
        </w:tc>
        <w:tc>
          <w:tcPr>
            <w:tcW w:w="1271" w:type="dxa"/>
            <w:vAlign w:val="center"/>
            <w:hideMark/>
          </w:tcPr>
          <w:p w14:paraId="4F8B6A2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182.172,00</w:t>
            </w:r>
          </w:p>
        </w:tc>
        <w:tc>
          <w:tcPr>
            <w:tcW w:w="1392" w:type="dxa"/>
            <w:vAlign w:val="center"/>
            <w:hideMark/>
          </w:tcPr>
          <w:p w14:paraId="32753935"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204.324,00</w:t>
            </w:r>
          </w:p>
        </w:tc>
        <w:tc>
          <w:tcPr>
            <w:tcW w:w="1393" w:type="dxa"/>
            <w:tcBorders>
              <w:right w:val="single" w:sz="8" w:space="0" w:color="D2232A"/>
            </w:tcBorders>
            <w:vAlign w:val="center"/>
            <w:hideMark/>
          </w:tcPr>
          <w:p w14:paraId="56207F91"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230.835,00</w:t>
            </w:r>
          </w:p>
        </w:tc>
        <w:tc>
          <w:tcPr>
            <w:tcW w:w="1255" w:type="dxa"/>
            <w:tcBorders>
              <w:left w:val="single" w:sz="8" w:space="0" w:color="D2232A"/>
              <w:right w:val="single" w:sz="8" w:space="0" w:color="D2232A"/>
            </w:tcBorders>
            <w:vAlign w:val="center"/>
            <w:hideMark/>
          </w:tcPr>
          <w:p w14:paraId="37CACB4C"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88.370,00</w:t>
            </w:r>
          </w:p>
        </w:tc>
        <w:tc>
          <w:tcPr>
            <w:tcW w:w="1532" w:type="dxa"/>
            <w:tcBorders>
              <w:left w:val="single" w:sz="8" w:space="0" w:color="D2232A"/>
              <w:right w:val="single" w:sz="8" w:space="0" w:color="D2232A"/>
            </w:tcBorders>
            <w:vAlign w:val="center"/>
            <w:hideMark/>
          </w:tcPr>
          <w:p w14:paraId="79E5F27B" w14:textId="77777777" w:rsidR="008878A0" w:rsidRPr="007F5A38" w:rsidRDefault="008878A0" w:rsidP="00891CD3">
            <w:pPr>
              <w:autoSpaceDE w:val="0"/>
              <w:autoSpaceDN w:val="0"/>
              <w:adjustRightInd w:val="0"/>
              <w:spacing w:after="0"/>
              <w:jc w:val="right"/>
              <w:rPr>
                <w:rFonts w:eastAsia="ArialNarrow" w:cstheme="minorHAnsi"/>
                <w:szCs w:val="18"/>
                <w:highlight w:val="yellow"/>
              </w:rPr>
            </w:pPr>
            <w:r w:rsidRPr="00BF386A">
              <w:rPr>
                <w:rFonts w:cstheme="minorHAnsi"/>
                <w:color w:val="000000"/>
                <w:szCs w:val="18"/>
              </w:rPr>
              <w:t>204.700,00</w:t>
            </w:r>
          </w:p>
        </w:tc>
      </w:tr>
      <w:tr w:rsidR="00966675" w:rsidRPr="00DE56D5" w14:paraId="355E5286" w14:textId="77777777" w:rsidTr="00546DAE">
        <w:trPr>
          <w:trHeight w:val="282"/>
        </w:trPr>
        <w:tc>
          <w:tcPr>
            <w:tcW w:w="1111" w:type="dxa"/>
            <w:tcBorders>
              <w:left w:val="single" w:sz="8" w:space="0" w:color="D2232A"/>
              <w:right w:val="single" w:sz="8" w:space="0" w:color="D2232A"/>
            </w:tcBorders>
            <w:vAlign w:val="center"/>
            <w:hideMark/>
          </w:tcPr>
          <w:p w14:paraId="2500A6C9" w14:textId="15B512FB"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KONJŠ</w:t>
            </w:r>
            <w:r w:rsidR="00D77549">
              <w:rPr>
                <w:rFonts w:cstheme="minorHAnsi"/>
                <w:bCs/>
                <w:color w:val="000000"/>
                <w:szCs w:val="18"/>
              </w:rPr>
              <w:t>Č</w:t>
            </w:r>
            <w:r w:rsidRPr="00DE56D5">
              <w:rPr>
                <w:rFonts w:cstheme="minorHAnsi"/>
                <w:bCs/>
                <w:color w:val="000000"/>
                <w:szCs w:val="18"/>
              </w:rPr>
              <w:t>INA</w:t>
            </w:r>
          </w:p>
        </w:tc>
        <w:tc>
          <w:tcPr>
            <w:tcW w:w="1271" w:type="dxa"/>
            <w:tcBorders>
              <w:left w:val="single" w:sz="8" w:space="0" w:color="D2232A"/>
            </w:tcBorders>
            <w:vAlign w:val="center"/>
            <w:hideMark/>
          </w:tcPr>
          <w:p w14:paraId="250B36C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388.334,84</w:t>
            </w:r>
          </w:p>
        </w:tc>
        <w:tc>
          <w:tcPr>
            <w:tcW w:w="1271" w:type="dxa"/>
            <w:vAlign w:val="center"/>
            <w:hideMark/>
          </w:tcPr>
          <w:p w14:paraId="3A403366"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393.917,90</w:t>
            </w:r>
          </w:p>
        </w:tc>
        <w:tc>
          <w:tcPr>
            <w:tcW w:w="1392" w:type="dxa"/>
            <w:vAlign w:val="center"/>
            <w:hideMark/>
          </w:tcPr>
          <w:p w14:paraId="4C00AD1D"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365.261,98</w:t>
            </w:r>
          </w:p>
        </w:tc>
        <w:tc>
          <w:tcPr>
            <w:tcW w:w="1393" w:type="dxa"/>
            <w:tcBorders>
              <w:right w:val="single" w:sz="8" w:space="0" w:color="D2232A"/>
            </w:tcBorders>
            <w:vAlign w:val="center"/>
            <w:hideMark/>
          </w:tcPr>
          <w:p w14:paraId="50FE224D"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450.019,73</w:t>
            </w:r>
          </w:p>
        </w:tc>
        <w:tc>
          <w:tcPr>
            <w:tcW w:w="1255" w:type="dxa"/>
            <w:tcBorders>
              <w:left w:val="single" w:sz="8" w:space="0" w:color="D2232A"/>
              <w:right w:val="single" w:sz="8" w:space="0" w:color="D2232A"/>
            </w:tcBorders>
            <w:vAlign w:val="center"/>
            <w:hideMark/>
          </w:tcPr>
          <w:p w14:paraId="4076CBF9" w14:textId="2F82B99D" w:rsidR="008878A0" w:rsidRPr="00DE56D5" w:rsidRDefault="00FF3F10" w:rsidP="00891CD3">
            <w:pPr>
              <w:autoSpaceDE w:val="0"/>
              <w:autoSpaceDN w:val="0"/>
              <w:adjustRightInd w:val="0"/>
              <w:spacing w:after="0"/>
              <w:jc w:val="right"/>
              <w:rPr>
                <w:rFonts w:eastAsia="ArialNarrow" w:cstheme="minorHAnsi"/>
                <w:szCs w:val="18"/>
              </w:rPr>
            </w:pPr>
            <w:r w:rsidRPr="00FF3F10">
              <w:rPr>
                <w:rFonts w:cstheme="minorHAnsi"/>
                <w:color w:val="000000"/>
                <w:szCs w:val="18"/>
              </w:rPr>
              <w:t>153</w:t>
            </w:r>
            <w:r>
              <w:rPr>
                <w:rFonts w:cstheme="minorHAnsi"/>
                <w:color w:val="000000"/>
                <w:szCs w:val="18"/>
              </w:rPr>
              <w:t>.</w:t>
            </w:r>
            <w:r w:rsidRPr="00FF3F10">
              <w:rPr>
                <w:rFonts w:cstheme="minorHAnsi"/>
                <w:color w:val="000000"/>
                <w:szCs w:val="18"/>
              </w:rPr>
              <w:t>514,28</w:t>
            </w:r>
          </w:p>
        </w:tc>
        <w:tc>
          <w:tcPr>
            <w:tcW w:w="1532" w:type="dxa"/>
            <w:tcBorders>
              <w:left w:val="single" w:sz="8" w:space="0" w:color="D2232A"/>
              <w:right w:val="single" w:sz="8" w:space="0" w:color="D2232A"/>
            </w:tcBorders>
            <w:vAlign w:val="center"/>
            <w:hideMark/>
          </w:tcPr>
          <w:p w14:paraId="287BEDCB" w14:textId="08850457" w:rsidR="00FF3F10" w:rsidRPr="00FF3F10" w:rsidRDefault="00FF3F10" w:rsidP="00FF3F10">
            <w:pPr>
              <w:autoSpaceDE w:val="0"/>
              <w:autoSpaceDN w:val="0"/>
              <w:adjustRightInd w:val="0"/>
              <w:spacing w:after="0"/>
              <w:jc w:val="right"/>
              <w:rPr>
                <w:rFonts w:cstheme="minorHAnsi"/>
                <w:color w:val="000000"/>
                <w:szCs w:val="18"/>
              </w:rPr>
            </w:pPr>
            <w:r w:rsidRPr="00FF3F10">
              <w:rPr>
                <w:rFonts w:cstheme="minorHAnsi"/>
                <w:color w:val="000000"/>
                <w:szCs w:val="18"/>
              </w:rPr>
              <w:t>277</w:t>
            </w:r>
            <w:r>
              <w:rPr>
                <w:rFonts w:cstheme="minorHAnsi"/>
                <w:color w:val="000000"/>
                <w:szCs w:val="18"/>
              </w:rPr>
              <w:t>.</w:t>
            </w:r>
            <w:r w:rsidRPr="00FF3F10">
              <w:rPr>
                <w:rFonts w:cstheme="minorHAnsi"/>
                <w:color w:val="000000"/>
                <w:szCs w:val="18"/>
              </w:rPr>
              <w:t>830</w:t>
            </w:r>
            <w:r>
              <w:rPr>
                <w:rFonts w:cstheme="minorHAnsi"/>
                <w:color w:val="000000"/>
                <w:szCs w:val="18"/>
              </w:rPr>
              <w:t>,00</w:t>
            </w:r>
          </w:p>
        </w:tc>
      </w:tr>
      <w:tr w:rsidR="00966675" w:rsidRPr="00DE56D5" w14:paraId="57EC4B4F" w14:textId="77777777" w:rsidTr="00546DAE">
        <w:trPr>
          <w:trHeight w:val="282"/>
        </w:trPr>
        <w:tc>
          <w:tcPr>
            <w:tcW w:w="1111" w:type="dxa"/>
            <w:tcBorders>
              <w:left w:val="single" w:sz="8" w:space="0" w:color="D2232A"/>
              <w:right w:val="single" w:sz="8" w:space="0" w:color="D2232A"/>
            </w:tcBorders>
            <w:vAlign w:val="center"/>
            <w:hideMark/>
          </w:tcPr>
          <w:p w14:paraId="7E90A6FB"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KRALJEVEC NA SUTLI</w:t>
            </w:r>
          </w:p>
        </w:tc>
        <w:tc>
          <w:tcPr>
            <w:tcW w:w="1271" w:type="dxa"/>
            <w:tcBorders>
              <w:left w:val="single" w:sz="8" w:space="0" w:color="D2232A"/>
            </w:tcBorders>
            <w:vAlign w:val="center"/>
            <w:hideMark/>
          </w:tcPr>
          <w:p w14:paraId="0E62F641"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269.981,00</w:t>
            </w:r>
          </w:p>
        </w:tc>
        <w:tc>
          <w:tcPr>
            <w:tcW w:w="1271" w:type="dxa"/>
            <w:vAlign w:val="center"/>
            <w:hideMark/>
          </w:tcPr>
          <w:p w14:paraId="058DD3E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279.976,00</w:t>
            </w:r>
          </w:p>
        </w:tc>
        <w:tc>
          <w:tcPr>
            <w:tcW w:w="1392" w:type="dxa"/>
            <w:vAlign w:val="center"/>
            <w:hideMark/>
          </w:tcPr>
          <w:p w14:paraId="2D066EC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242.485,00</w:t>
            </w:r>
          </w:p>
        </w:tc>
        <w:tc>
          <w:tcPr>
            <w:tcW w:w="1393" w:type="dxa"/>
            <w:tcBorders>
              <w:right w:val="single" w:sz="8" w:space="0" w:color="D2232A"/>
            </w:tcBorders>
            <w:vAlign w:val="center"/>
            <w:hideMark/>
          </w:tcPr>
          <w:p w14:paraId="6AD399EF"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259.567,00</w:t>
            </w:r>
          </w:p>
        </w:tc>
        <w:tc>
          <w:tcPr>
            <w:tcW w:w="1255" w:type="dxa"/>
            <w:tcBorders>
              <w:left w:val="single" w:sz="8" w:space="0" w:color="D2232A"/>
              <w:right w:val="single" w:sz="8" w:space="0" w:color="D2232A"/>
            </w:tcBorders>
            <w:vAlign w:val="center"/>
            <w:hideMark/>
          </w:tcPr>
          <w:p w14:paraId="52C54C07" w14:textId="20C7098F" w:rsidR="008878A0" w:rsidRPr="00DE56D5" w:rsidRDefault="00475CB2" w:rsidP="00891CD3">
            <w:pPr>
              <w:autoSpaceDE w:val="0"/>
              <w:autoSpaceDN w:val="0"/>
              <w:adjustRightInd w:val="0"/>
              <w:spacing w:after="0"/>
              <w:jc w:val="right"/>
              <w:rPr>
                <w:rFonts w:eastAsia="ArialNarrow" w:cstheme="minorHAnsi"/>
                <w:szCs w:val="18"/>
              </w:rPr>
            </w:pPr>
            <w:r>
              <w:rPr>
                <w:rFonts w:cstheme="minorHAnsi"/>
                <w:color w:val="000000"/>
                <w:szCs w:val="18"/>
              </w:rPr>
              <w:t>284</w:t>
            </w:r>
            <w:r w:rsidR="008878A0" w:rsidRPr="00DE56D5">
              <w:rPr>
                <w:rFonts w:cstheme="minorHAnsi"/>
                <w:color w:val="000000"/>
                <w:szCs w:val="18"/>
              </w:rPr>
              <w:t>.3</w:t>
            </w:r>
            <w:r>
              <w:rPr>
                <w:rFonts w:cstheme="minorHAnsi"/>
                <w:color w:val="000000"/>
                <w:szCs w:val="18"/>
              </w:rPr>
              <w:t>67</w:t>
            </w:r>
            <w:r w:rsidR="008878A0" w:rsidRPr="00DE56D5">
              <w:rPr>
                <w:rFonts w:cstheme="minorHAnsi"/>
                <w:color w:val="000000"/>
                <w:szCs w:val="18"/>
              </w:rPr>
              <w:t>,</w:t>
            </w:r>
            <w:r>
              <w:rPr>
                <w:rFonts w:cstheme="minorHAnsi"/>
                <w:color w:val="000000"/>
                <w:szCs w:val="18"/>
              </w:rPr>
              <w:t>81</w:t>
            </w:r>
          </w:p>
        </w:tc>
        <w:tc>
          <w:tcPr>
            <w:tcW w:w="1532" w:type="dxa"/>
            <w:tcBorders>
              <w:left w:val="single" w:sz="8" w:space="0" w:color="D2232A"/>
              <w:right w:val="single" w:sz="8" w:space="0" w:color="D2232A"/>
            </w:tcBorders>
            <w:vAlign w:val="center"/>
            <w:hideMark/>
          </w:tcPr>
          <w:p w14:paraId="76027917" w14:textId="17BCAE48" w:rsidR="008878A0" w:rsidRPr="007F5A38" w:rsidRDefault="00475CB2" w:rsidP="00891CD3">
            <w:pPr>
              <w:autoSpaceDE w:val="0"/>
              <w:autoSpaceDN w:val="0"/>
              <w:adjustRightInd w:val="0"/>
              <w:spacing w:after="0"/>
              <w:jc w:val="right"/>
              <w:rPr>
                <w:rFonts w:eastAsia="ArialNarrow" w:cstheme="minorHAnsi"/>
                <w:szCs w:val="18"/>
                <w:highlight w:val="yellow"/>
              </w:rPr>
            </w:pPr>
            <w:r w:rsidRPr="00475CB2">
              <w:rPr>
                <w:rFonts w:cstheme="minorHAnsi"/>
                <w:color w:val="000000"/>
                <w:szCs w:val="18"/>
              </w:rPr>
              <w:t>172.273,49</w:t>
            </w:r>
          </w:p>
        </w:tc>
      </w:tr>
      <w:tr w:rsidR="00966675" w:rsidRPr="00DE56D5" w14:paraId="2666F5B4" w14:textId="77777777" w:rsidTr="00546DAE">
        <w:trPr>
          <w:trHeight w:val="282"/>
        </w:trPr>
        <w:tc>
          <w:tcPr>
            <w:tcW w:w="1111" w:type="dxa"/>
            <w:tcBorders>
              <w:left w:val="single" w:sz="8" w:space="0" w:color="D2232A"/>
              <w:right w:val="single" w:sz="8" w:space="0" w:color="D2232A"/>
            </w:tcBorders>
            <w:vAlign w:val="center"/>
            <w:hideMark/>
          </w:tcPr>
          <w:p w14:paraId="1F11FB87"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KRAPINSKE TOPLICE</w:t>
            </w:r>
          </w:p>
        </w:tc>
        <w:tc>
          <w:tcPr>
            <w:tcW w:w="1271" w:type="dxa"/>
            <w:tcBorders>
              <w:left w:val="single" w:sz="8" w:space="0" w:color="D2232A"/>
            </w:tcBorders>
            <w:vAlign w:val="center"/>
            <w:hideMark/>
          </w:tcPr>
          <w:p w14:paraId="0FEB3E1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598.106,65</w:t>
            </w:r>
          </w:p>
        </w:tc>
        <w:tc>
          <w:tcPr>
            <w:tcW w:w="1271" w:type="dxa"/>
            <w:vAlign w:val="center"/>
            <w:hideMark/>
          </w:tcPr>
          <w:p w14:paraId="4EBAB0BB"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676.130,10</w:t>
            </w:r>
          </w:p>
        </w:tc>
        <w:tc>
          <w:tcPr>
            <w:tcW w:w="1392" w:type="dxa"/>
            <w:vAlign w:val="center"/>
            <w:hideMark/>
          </w:tcPr>
          <w:p w14:paraId="6B1AD9BC"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637.727,08</w:t>
            </w:r>
          </w:p>
        </w:tc>
        <w:tc>
          <w:tcPr>
            <w:tcW w:w="1393" w:type="dxa"/>
            <w:tcBorders>
              <w:right w:val="single" w:sz="8" w:space="0" w:color="D2232A"/>
            </w:tcBorders>
            <w:vAlign w:val="center"/>
            <w:hideMark/>
          </w:tcPr>
          <w:p w14:paraId="001FFF68" w14:textId="2005FB30" w:rsidR="008878A0" w:rsidRPr="00DE56D5" w:rsidRDefault="00193461" w:rsidP="00891CD3">
            <w:pPr>
              <w:autoSpaceDE w:val="0"/>
              <w:autoSpaceDN w:val="0"/>
              <w:adjustRightInd w:val="0"/>
              <w:spacing w:after="0"/>
              <w:jc w:val="right"/>
              <w:rPr>
                <w:rFonts w:eastAsia="ArialNarrow" w:cstheme="minorHAnsi"/>
                <w:szCs w:val="18"/>
              </w:rPr>
            </w:pPr>
            <w:r>
              <w:rPr>
                <w:rFonts w:cstheme="minorHAnsi"/>
                <w:color w:val="000000"/>
                <w:szCs w:val="18"/>
              </w:rPr>
              <w:t>322.000,00</w:t>
            </w:r>
          </w:p>
        </w:tc>
        <w:tc>
          <w:tcPr>
            <w:tcW w:w="1255" w:type="dxa"/>
            <w:tcBorders>
              <w:left w:val="single" w:sz="8" w:space="0" w:color="D2232A"/>
              <w:right w:val="single" w:sz="8" w:space="0" w:color="D2232A"/>
            </w:tcBorders>
            <w:vAlign w:val="center"/>
            <w:hideMark/>
          </w:tcPr>
          <w:p w14:paraId="6695E0DE" w14:textId="54E6E13F" w:rsidR="008878A0" w:rsidRPr="00DE56D5" w:rsidRDefault="00D56F34" w:rsidP="00891CD3">
            <w:pPr>
              <w:autoSpaceDE w:val="0"/>
              <w:autoSpaceDN w:val="0"/>
              <w:adjustRightInd w:val="0"/>
              <w:spacing w:after="0"/>
              <w:jc w:val="right"/>
              <w:rPr>
                <w:rFonts w:eastAsia="ArialNarrow" w:cstheme="minorHAnsi"/>
                <w:szCs w:val="18"/>
              </w:rPr>
            </w:pPr>
            <w:r w:rsidRPr="00D56F34">
              <w:rPr>
                <w:rFonts w:eastAsia="ArialNarrow" w:cstheme="minorHAnsi"/>
                <w:szCs w:val="18"/>
              </w:rPr>
              <w:t>247.521,94</w:t>
            </w:r>
          </w:p>
        </w:tc>
        <w:tc>
          <w:tcPr>
            <w:tcW w:w="1532" w:type="dxa"/>
            <w:tcBorders>
              <w:left w:val="single" w:sz="8" w:space="0" w:color="D2232A"/>
              <w:right w:val="single" w:sz="8" w:space="0" w:color="D2232A"/>
            </w:tcBorders>
            <w:vAlign w:val="center"/>
            <w:hideMark/>
          </w:tcPr>
          <w:p w14:paraId="1EE0854F" w14:textId="28C7DC4C" w:rsidR="008878A0" w:rsidRPr="007F5A38" w:rsidRDefault="00D56F34" w:rsidP="00891CD3">
            <w:pPr>
              <w:autoSpaceDE w:val="0"/>
              <w:autoSpaceDN w:val="0"/>
              <w:adjustRightInd w:val="0"/>
              <w:spacing w:after="0"/>
              <w:jc w:val="right"/>
              <w:rPr>
                <w:rFonts w:eastAsia="ArialNarrow" w:cstheme="minorHAnsi"/>
                <w:szCs w:val="18"/>
                <w:highlight w:val="yellow"/>
              </w:rPr>
            </w:pPr>
            <w:r w:rsidRPr="00D56F34">
              <w:rPr>
                <w:rFonts w:cstheme="minorHAnsi"/>
                <w:color w:val="000000"/>
                <w:szCs w:val="18"/>
              </w:rPr>
              <w:t>274.296,80</w:t>
            </w:r>
          </w:p>
        </w:tc>
      </w:tr>
      <w:tr w:rsidR="00966675" w:rsidRPr="00DE56D5" w14:paraId="33C6381A" w14:textId="77777777" w:rsidTr="00546DAE">
        <w:trPr>
          <w:trHeight w:val="282"/>
        </w:trPr>
        <w:tc>
          <w:tcPr>
            <w:tcW w:w="1111" w:type="dxa"/>
            <w:tcBorders>
              <w:left w:val="single" w:sz="8" w:space="0" w:color="D2232A"/>
              <w:right w:val="single" w:sz="8" w:space="0" w:color="D2232A"/>
            </w:tcBorders>
            <w:vAlign w:val="center"/>
            <w:hideMark/>
          </w:tcPr>
          <w:p w14:paraId="56ECB13D"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KUMROVEC</w:t>
            </w:r>
          </w:p>
        </w:tc>
        <w:tc>
          <w:tcPr>
            <w:tcW w:w="1271" w:type="dxa"/>
            <w:tcBorders>
              <w:left w:val="single" w:sz="8" w:space="0" w:color="D2232A"/>
            </w:tcBorders>
            <w:vAlign w:val="center"/>
            <w:hideMark/>
          </w:tcPr>
          <w:p w14:paraId="5158498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131.788,95</w:t>
            </w:r>
          </w:p>
        </w:tc>
        <w:tc>
          <w:tcPr>
            <w:tcW w:w="1271" w:type="dxa"/>
            <w:vAlign w:val="center"/>
            <w:hideMark/>
          </w:tcPr>
          <w:p w14:paraId="43089342"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117.647,32</w:t>
            </w:r>
          </w:p>
        </w:tc>
        <w:tc>
          <w:tcPr>
            <w:tcW w:w="1392" w:type="dxa"/>
            <w:vAlign w:val="center"/>
            <w:hideMark/>
          </w:tcPr>
          <w:p w14:paraId="3B062A1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88.998,56</w:t>
            </w:r>
          </w:p>
        </w:tc>
        <w:tc>
          <w:tcPr>
            <w:tcW w:w="1393" w:type="dxa"/>
            <w:tcBorders>
              <w:right w:val="single" w:sz="8" w:space="0" w:color="D2232A"/>
            </w:tcBorders>
            <w:vAlign w:val="center"/>
            <w:hideMark/>
          </w:tcPr>
          <w:p w14:paraId="76886E8B"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187.600,00</w:t>
            </w:r>
          </w:p>
        </w:tc>
        <w:tc>
          <w:tcPr>
            <w:tcW w:w="1255" w:type="dxa"/>
            <w:tcBorders>
              <w:left w:val="single" w:sz="8" w:space="0" w:color="D2232A"/>
              <w:right w:val="single" w:sz="8" w:space="0" w:color="D2232A"/>
            </w:tcBorders>
            <w:vAlign w:val="center"/>
            <w:hideMark/>
          </w:tcPr>
          <w:p w14:paraId="6B05B651" w14:textId="1F3B9E66" w:rsidR="008878A0" w:rsidRPr="00DE56D5" w:rsidRDefault="00674335" w:rsidP="00891CD3">
            <w:pPr>
              <w:autoSpaceDE w:val="0"/>
              <w:autoSpaceDN w:val="0"/>
              <w:adjustRightInd w:val="0"/>
              <w:spacing w:after="0"/>
              <w:jc w:val="right"/>
              <w:rPr>
                <w:rFonts w:eastAsia="ArialNarrow" w:cstheme="minorHAnsi"/>
                <w:szCs w:val="18"/>
              </w:rPr>
            </w:pPr>
            <w:r w:rsidRPr="00674335">
              <w:rPr>
                <w:rFonts w:cstheme="minorHAnsi"/>
                <w:color w:val="000000"/>
                <w:szCs w:val="18"/>
              </w:rPr>
              <w:t>231</w:t>
            </w:r>
            <w:r>
              <w:rPr>
                <w:rFonts w:cstheme="minorHAnsi"/>
                <w:color w:val="000000"/>
                <w:szCs w:val="18"/>
              </w:rPr>
              <w:t>.</w:t>
            </w:r>
            <w:r w:rsidRPr="00674335">
              <w:rPr>
                <w:rFonts w:cstheme="minorHAnsi"/>
                <w:color w:val="000000"/>
                <w:szCs w:val="18"/>
              </w:rPr>
              <w:t>045,65</w:t>
            </w:r>
          </w:p>
        </w:tc>
        <w:tc>
          <w:tcPr>
            <w:tcW w:w="1532" w:type="dxa"/>
            <w:tcBorders>
              <w:left w:val="single" w:sz="8" w:space="0" w:color="D2232A"/>
              <w:right w:val="single" w:sz="8" w:space="0" w:color="D2232A"/>
            </w:tcBorders>
            <w:vAlign w:val="center"/>
            <w:hideMark/>
          </w:tcPr>
          <w:p w14:paraId="553029F3" w14:textId="126D40A6" w:rsidR="008878A0" w:rsidRPr="007F5A38" w:rsidRDefault="008878A0" w:rsidP="00891CD3">
            <w:pPr>
              <w:autoSpaceDE w:val="0"/>
              <w:autoSpaceDN w:val="0"/>
              <w:adjustRightInd w:val="0"/>
              <w:spacing w:after="0"/>
              <w:jc w:val="right"/>
              <w:rPr>
                <w:rFonts w:eastAsia="ArialNarrow" w:cstheme="minorHAnsi"/>
                <w:szCs w:val="18"/>
                <w:highlight w:val="yellow"/>
              </w:rPr>
            </w:pPr>
            <w:r w:rsidRPr="00674335">
              <w:rPr>
                <w:rFonts w:cstheme="minorHAnsi"/>
                <w:color w:val="000000"/>
                <w:szCs w:val="18"/>
              </w:rPr>
              <w:t>19</w:t>
            </w:r>
            <w:r w:rsidR="00674335" w:rsidRPr="00674335">
              <w:rPr>
                <w:rFonts w:cstheme="minorHAnsi"/>
                <w:color w:val="000000"/>
                <w:szCs w:val="18"/>
              </w:rPr>
              <w:t>7</w:t>
            </w:r>
            <w:r w:rsidRPr="00674335">
              <w:rPr>
                <w:rFonts w:cstheme="minorHAnsi"/>
                <w:color w:val="000000"/>
                <w:szCs w:val="18"/>
              </w:rPr>
              <w:t>.</w:t>
            </w:r>
            <w:r w:rsidR="00674335" w:rsidRPr="00674335">
              <w:rPr>
                <w:rFonts w:cstheme="minorHAnsi"/>
                <w:color w:val="000000"/>
                <w:szCs w:val="18"/>
              </w:rPr>
              <w:t>626</w:t>
            </w:r>
            <w:r w:rsidRPr="00674335">
              <w:rPr>
                <w:rFonts w:cstheme="minorHAnsi"/>
                <w:color w:val="000000"/>
                <w:szCs w:val="18"/>
              </w:rPr>
              <w:t>,00</w:t>
            </w:r>
          </w:p>
        </w:tc>
      </w:tr>
      <w:tr w:rsidR="00966675" w:rsidRPr="00DE56D5" w14:paraId="266057BB" w14:textId="77777777" w:rsidTr="00546DAE">
        <w:trPr>
          <w:trHeight w:val="282"/>
        </w:trPr>
        <w:tc>
          <w:tcPr>
            <w:tcW w:w="1111" w:type="dxa"/>
            <w:tcBorders>
              <w:left w:val="single" w:sz="8" w:space="0" w:color="D2232A"/>
              <w:right w:val="single" w:sz="8" w:space="0" w:color="D2232A"/>
            </w:tcBorders>
            <w:vAlign w:val="center"/>
            <w:hideMark/>
          </w:tcPr>
          <w:p w14:paraId="56631BB4"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LOBOR</w:t>
            </w:r>
          </w:p>
        </w:tc>
        <w:tc>
          <w:tcPr>
            <w:tcW w:w="1271" w:type="dxa"/>
            <w:tcBorders>
              <w:left w:val="single" w:sz="8" w:space="0" w:color="D2232A"/>
            </w:tcBorders>
            <w:vAlign w:val="center"/>
            <w:hideMark/>
          </w:tcPr>
          <w:p w14:paraId="332AB59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677.581,72</w:t>
            </w:r>
          </w:p>
        </w:tc>
        <w:tc>
          <w:tcPr>
            <w:tcW w:w="1271" w:type="dxa"/>
            <w:vAlign w:val="center"/>
            <w:hideMark/>
          </w:tcPr>
          <w:p w14:paraId="088421B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912.030,72</w:t>
            </w:r>
          </w:p>
        </w:tc>
        <w:tc>
          <w:tcPr>
            <w:tcW w:w="1392" w:type="dxa"/>
            <w:vAlign w:val="center"/>
            <w:hideMark/>
          </w:tcPr>
          <w:p w14:paraId="500F33FD"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951.351,31</w:t>
            </w:r>
          </w:p>
        </w:tc>
        <w:tc>
          <w:tcPr>
            <w:tcW w:w="1393" w:type="dxa"/>
            <w:tcBorders>
              <w:right w:val="single" w:sz="8" w:space="0" w:color="D2232A"/>
            </w:tcBorders>
            <w:vAlign w:val="center"/>
            <w:hideMark/>
          </w:tcPr>
          <w:p w14:paraId="724A531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995.170,62</w:t>
            </w:r>
          </w:p>
        </w:tc>
        <w:tc>
          <w:tcPr>
            <w:tcW w:w="1255" w:type="dxa"/>
            <w:tcBorders>
              <w:left w:val="single" w:sz="8" w:space="0" w:color="D2232A"/>
              <w:right w:val="single" w:sz="8" w:space="0" w:color="D2232A"/>
            </w:tcBorders>
            <w:vAlign w:val="center"/>
            <w:hideMark/>
          </w:tcPr>
          <w:p w14:paraId="28618B12"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437.046,21</w:t>
            </w:r>
          </w:p>
        </w:tc>
        <w:tc>
          <w:tcPr>
            <w:tcW w:w="1532" w:type="dxa"/>
            <w:tcBorders>
              <w:left w:val="single" w:sz="8" w:space="0" w:color="D2232A"/>
              <w:right w:val="single" w:sz="8" w:space="0" w:color="D2232A"/>
            </w:tcBorders>
            <w:vAlign w:val="center"/>
            <w:hideMark/>
          </w:tcPr>
          <w:p w14:paraId="4120E790" w14:textId="37819DCB" w:rsidR="008878A0" w:rsidRPr="007F5A38" w:rsidRDefault="00674335" w:rsidP="00891CD3">
            <w:pPr>
              <w:autoSpaceDE w:val="0"/>
              <w:autoSpaceDN w:val="0"/>
              <w:adjustRightInd w:val="0"/>
              <w:spacing w:after="0"/>
              <w:jc w:val="right"/>
              <w:rPr>
                <w:rFonts w:eastAsia="ArialNarrow" w:cstheme="minorHAnsi"/>
                <w:szCs w:val="18"/>
                <w:highlight w:val="yellow"/>
              </w:rPr>
            </w:pPr>
            <w:r w:rsidRPr="00674335">
              <w:rPr>
                <w:rFonts w:eastAsia="ArialNarrow" w:cstheme="minorHAnsi"/>
                <w:szCs w:val="18"/>
              </w:rPr>
              <w:t>520</w:t>
            </w:r>
            <w:r>
              <w:rPr>
                <w:rFonts w:eastAsia="ArialNarrow" w:cstheme="minorHAnsi"/>
                <w:szCs w:val="18"/>
              </w:rPr>
              <w:t>.</w:t>
            </w:r>
            <w:r w:rsidRPr="00674335">
              <w:rPr>
                <w:rFonts w:eastAsia="ArialNarrow" w:cstheme="minorHAnsi"/>
                <w:szCs w:val="18"/>
              </w:rPr>
              <w:t>599,85</w:t>
            </w:r>
          </w:p>
        </w:tc>
      </w:tr>
      <w:tr w:rsidR="00966675" w:rsidRPr="00DE56D5" w14:paraId="4485AFDE" w14:textId="77777777" w:rsidTr="00546DAE">
        <w:trPr>
          <w:trHeight w:val="282"/>
        </w:trPr>
        <w:tc>
          <w:tcPr>
            <w:tcW w:w="1111" w:type="dxa"/>
            <w:tcBorders>
              <w:left w:val="single" w:sz="8" w:space="0" w:color="D2232A"/>
              <w:right w:val="single" w:sz="8" w:space="0" w:color="D2232A"/>
            </w:tcBorders>
            <w:vAlign w:val="center"/>
            <w:hideMark/>
          </w:tcPr>
          <w:p w14:paraId="5912614C"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MAČE</w:t>
            </w:r>
          </w:p>
        </w:tc>
        <w:tc>
          <w:tcPr>
            <w:tcW w:w="1271" w:type="dxa"/>
            <w:tcBorders>
              <w:left w:val="single" w:sz="8" w:space="0" w:color="D2232A"/>
            </w:tcBorders>
            <w:vAlign w:val="center"/>
            <w:hideMark/>
          </w:tcPr>
          <w:p w14:paraId="312B7B9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401.148,07</w:t>
            </w:r>
          </w:p>
        </w:tc>
        <w:tc>
          <w:tcPr>
            <w:tcW w:w="1271" w:type="dxa"/>
            <w:vAlign w:val="center"/>
            <w:hideMark/>
          </w:tcPr>
          <w:p w14:paraId="6C307D82"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396.067,41</w:t>
            </w:r>
          </w:p>
        </w:tc>
        <w:tc>
          <w:tcPr>
            <w:tcW w:w="1392" w:type="dxa"/>
            <w:vAlign w:val="center"/>
            <w:hideMark/>
          </w:tcPr>
          <w:p w14:paraId="1B4BCC88"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434.915,55</w:t>
            </w:r>
          </w:p>
        </w:tc>
        <w:tc>
          <w:tcPr>
            <w:tcW w:w="1393" w:type="dxa"/>
            <w:tcBorders>
              <w:right w:val="single" w:sz="8" w:space="0" w:color="D2232A"/>
            </w:tcBorders>
            <w:vAlign w:val="center"/>
            <w:hideMark/>
          </w:tcPr>
          <w:p w14:paraId="45F22AE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588.898,46</w:t>
            </w:r>
          </w:p>
        </w:tc>
        <w:tc>
          <w:tcPr>
            <w:tcW w:w="1255" w:type="dxa"/>
            <w:tcBorders>
              <w:left w:val="single" w:sz="8" w:space="0" w:color="D2232A"/>
              <w:right w:val="single" w:sz="8" w:space="0" w:color="D2232A"/>
            </w:tcBorders>
            <w:vAlign w:val="center"/>
            <w:hideMark/>
          </w:tcPr>
          <w:p w14:paraId="76642A1E" w14:textId="749A8847" w:rsidR="003E5622" w:rsidRPr="00C869A4" w:rsidRDefault="00C869A4" w:rsidP="00891CD3">
            <w:pPr>
              <w:autoSpaceDE w:val="0"/>
              <w:autoSpaceDN w:val="0"/>
              <w:adjustRightInd w:val="0"/>
              <w:spacing w:after="0"/>
              <w:jc w:val="right"/>
              <w:rPr>
                <w:rFonts w:eastAsia="ArialNarrow" w:cstheme="minorHAnsi"/>
                <w:szCs w:val="18"/>
              </w:rPr>
            </w:pPr>
            <w:r w:rsidRPr="00C869A4">
              <w:rPr>
                <w:rFonts w:eastAsia="ArialNarrow" w:cstheme="minorHAnsi"/>
                <w:szCs w:val="18"/>
              </w:rPr>
              <w:t>696.004,76</w:t>
            </w:r>
          </w:p>
        </w:tc>
        <w:tc>
          <w:tcPr>
            <w:tcW w:w="1532" w:type="dxa"/>
            <w:tcBorders>
              <w:left w:val="single" w:sz="8" w:space="0" w:color="D2232A"/>
              <w:right w:val="single" w:sz="8" w:space="0" w:color="D2232A"/>
            </w:tcBorders>
            <w:vAlign w:val="center"/>
            <w:hideMark/>
          </w:tcPr>
          <w:p w14:paraId="7BB0B110" w14:textId="6007298F" w:rsidR="008878A0" w:rsidRPr="00C869A4" w:rsidRDefault="00C869A4" w:rsidP="003E5622">
            <w:pPr>
              <w:autoSpaceDE w:val="0"/>
              <w:autoSpaceDN w:val="0"/>
              <w:adjustRightInd w:val="0"/>
              <w:spacing w:after="0"/>
              <w:jc w:val="right"/>
              <w:rPr>
                <w:rFonts w:cstheme="minorHAnsi"/>
                <w:color w:val="000000"/>
                <w:szCs w:val="18"/>
                <w:highlight w:val="yellow"/>
              </w:rPr>
            </w:pPr>
            <w:r w:rsidRPr="00C869A4">
              <w:rPr>
                <w:rFonts w:cstheme="minorHAnsi"/>
                <w:color w:val="000000"/>
                <w:szCs w:val="18"/>
              </w:rPr>
              <w:t>641.246,85</w:t>
            </w:r>
          </w:p>
        </w:tc>
      </w:tr>
      <w:tr w:rsidR="00966675" w:rsidRPr="00DE56D5" w14:paraId="5961B35A" w14:textId="77777777" w:rsidTr="00546DAE">
        <w:trPr>
          <w:trHeight w:val="282"/>
        </w:trPr>
        <w:tc>
          <w:tcPr>
            <w:tcW w:w="1111" w:type="dxa"/>
            <w:tcBorders>
              <w:left w:val="single" w:sz="8" w:space="0" w:color="D2232A"/>
              <w:right w:val="single" w:sz="8" w:space="0" w:color="D2232A"/>
            </w:tcBorders>
            <w:vAlign w:val="center"/>
            <w:hideMark/>
          </w:tcPr>
          <w:p w14:paraId="57B8B7A1"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MARIJA BISTRICA</w:t>
            </w:r>
          </w:p>
        </w:tc>
        <w:tc>
          <w:tcPr>
            <w:tcW w:w="1271" w:type="dxa"/>
            <w:tcBorders>
              <w:left w:val="single" w:sz="8" w:space="0" w:color="D2232A"/>
            </w:tcBorders>
            <w:vAlign w:val="center"/>
            <w:hideMark/>
          </w:tcPr>
          <w:p w14:paraId="64698F7A" w14:textId="1A80F4E5" w:rsidR="008878A0" w:rsidRPr="00DE56D5" w:rsidRDefault="00B6016D" w:rsidP="00891CD3">
            <w:pPr>
              <w:autoSpaceDE w:val="0"/>
              <w:autoSpaceDN w:val="0"/>
              <w:adjustRightInd w:val="0"/>
              <w:spacing w:after="0"/>
              <w:jc w:val="right"/>
              <w:rPr>
                <w:rFonts w:eastAsia="ArialNarrow" w:cstheme="minorHAnsi"/>
                <w:szCs w:val="18"/>
              </w:rPr>
            </w:pPr>
            <w:r w:rsidRPr="00B6016D">
              <w:rPr>
                <w:rFonts w:eastAsia="ArialNarrow" w:cstheme="minorHAnsi"/>
                <w:szCs w:val="18"/>
              </w:rPr>
              <w:t>966.850,46</w:t>
            </w:r>
          </w:p>
        </w:tc>
        <w:tc>
          <w:tcPr>
            <w:tcW w:w="1271" w:type="dxa"/>
            <w:vAlign w:val="center"/>
            <w:hideMark/>
          </w:tcPr>
          <w:p w14:paraId="40B21C0E" w14:textId="5347A4E8" w:rsidR="008878A0" w:rsidRPr="00DE56D5" w:rsidRDefault="003715A4" w:rsidP="00891CD3">
            <w:pPr>
              <w:autoSpaceDE w:val="0"/>
              <w:autoSpaceDN w:val="0"/>
              <w:adjustRightInd w:val="0"/>
              <w:spacing w:after="0"/>
              <w:jc w:val="right"/>
              <w:rPr>
                <w:rFonts w:eastAsia="ArialNarrow" w:cstheme="minorHAnsi"/>
                <w:szCs w:val="18"/>
              </w:rPr>
            </w:pPr>
            <w:r w:rsidRPr="003715A4">
              <w:rPr>
                <w:rFonts w:eastAsia="ArialNarrow" w:cstheme="minorHAnsi"/>
                <w:szCs w:val="18"/>
              </w:rPr>
              <w:t>1.172.800,00</w:t>
            </w:r>
          </w:p>
        </w:tc>
        <w:tc>
          <w:tcPr>
            <w:tcW w:w="1392" w:type="dxa"/>
            <w:vAlign w:val="center"/>
            <w:hideMark/>
          </w:tcPr>
          <w:p w14:paraId="0BEB0BAC" w14:textId="59B9CFF8" w:rsidR="008878A0" w:rsidRPr="0087395D" w:rsidRDefault="0087395D" w:rsidP="00891CD3">
            <w:pPr>
              <w:autoSpaceDE w:val="0"/>
              <w:autoSpaceDN w:val="0"/>
              <w:adjustRightInd w:val="0"/>
              <w:spacing w:after="0"/>
              <w:jc w:val="right"/>
              <w:rPr>
                <w:rFonts w:eastAsia="ArialNarrow" w:cstheme="minorHAnsi"/>
                <w:bCs/>
                <w:szCs w:val="18"/>
              </w:rPr>
            </w:pPr>
            <w:r w:rsidRPr="0087395D">
              <w:rPr>
                <w:rFonts w:cstheme="minorHAnsi"/>
                <w:bCs/>
                <w:color w:val="000000"/>
                <w:szCs w:val="18"/>
              </w:rPr>
              <w:t>1.190.800,00</w:t>
            </w:r>
          </w:p>
        </w:tc>
        <w:tc>
          <w:tcPr>
            <w:tcW w:w="1393" w:type="dxa"/>
            <w:tcBorders>
              <w:right w:val="single" w:sz="8" w:space="0" w:color="D2232A"/>
            </w:tcBorders>
            <w:vAlign w:val="center"/>
            <w:hideMark/>
          </w:tcPr>
          <w:p w14:paraId="532B7D01" w14:textId="25C9476B" w:rsidR="008878A0" w:rsidRPr="0087395D" w:rsidRDefault="0087395D" w:rsidP="00891CD3">
            <w:pPr>
              <w:autoSpaceDE w:val="0"/>
              <w:autoSpaceDN w:val="0"/>
              <w:adjustRightInd w:val="0"/>
              <w:spacing w:after="0"/>
              <w:jc w:val="right"/>
              <w:rPr>
                <w:rFonts w:eastAsia="ArialNarrow" w:cstheme="minorHAnsi"/>
                <w:bCs/>
                <w:szCs w:val="18"/>
              </w:rPr>
            </w:pPr>
            <w:r w:rsidRPr="0087395D">
              <w:rPr>
                <w:rFonts w:eastAsia="ArialNarrow" w:cstheme="minorHAnsi"/>
                <w:bCs/>
                <w:szCs w:val="18"/>
              </w:rPr>
              <w:t>1.120.150,00</w:t>
            </w:r>
          </w:p>
        </w:tc>
        <w:tc>
          <w:tcPr>
            <w:tcW w:w="1255" w:type="dxa"/>
            <w:tcBorders>
              <w:left w:val="single" w:sz="8" w:space="0" w:color="D2232A"/>
              <w:right w:val="single" w:sz="8" w:space="0" w:color="D2232A"/>
            </w:tcBorders>
            <w:vAlign w:val="center"/>
            <w:hideMark/>
          </w:tcPr>
          <w:p w14:paraId="4667800E" w14:textId="0A356DA4" w:rsidR="008878A0" w:rsidRPr="00B16BC3" w:rsidRDefault="00B16BC3" w:rsidP="00891CD3">
            <w:pPr>
              <w:autoSpaceDE w:val="0"/>
              <w:autoSpaceDN w:val="0"/>
              <w:adjustRightInd w:val="0"/>
              <w:spacing w:after="0"/>
              <w:jc w:val="right"/>
              <w:rPr>
                <w:rFonts w:eastAsia="ArialNarrow" w:cstheme="minorHAnsi"/>
                <w:bCs/>
                <w:szCs w:val="18"/>
              </w:rPr>
            </w:pPr>
            <w:r w:rsidRPr="00B16BC3">
              <w:rPr>
                <w:rFonts w:cstheme="minorHAnsi"/>
                <w:bCs/>
                <w:color w:val="000000"/>
                <w:szCs w:val="18"/>
              </w:rPr>
              <w:t>1.183.614,08</w:t>
            </w:r>
          </w:p>
        </w:tc>
        <w:tc>
          <w:tcPr>
            <w:tcW w:w="1532" w:type="dxa"/>
            <w:tcBorders>
              <w:left w:val="single" w:sz="8" w:space="0" w:color="D2232A"/>
              <w:right w:val="single" w:sz="8" w:space="0" w:color="D2232A"/>
            </w:tcBorders>
            <w:shd w:val="clear" w:color="auto" w:fill="auto"/>
            <w:vAlign w:val="center"/>
            <w:hideMark/>
          </w:tcPr>
          <w:p w14:paraId="0BA87A1F" w14:textId="6E54F5B3" w:rsidR="008878A0" w:rsidRPr="007F5A38" w:rsidRDefault="00B16BC3" w:rsidP="00891CD3">
            <w:pPr>
              <w:autoSpaceDE w:val="0"/>
              <w:autoSpaceDN w:val="0"/>
              <w:adjustRightInd w:val="0"/>
              <w:spacing w:after="0"/>
              <w:jc w:val="right"/>
              <w:rPr>
                <w:rFonts w:eastAsia="ArialNarrow" w:cstheme="minorHAnsi"/>
                <w:szCs w:val="18"/>
                <w:highlight w:val="yellow"/>
              </w:rPr>
            </w:pPr>
            <w:r w:rsidRPr="00B16BC3">
              <w:rPr>
                <w:rFonts w:cstheme="minorHAnsi"/>
                <w:color w:val="000000"/>
                <w:szCs w:val="18"/>
              </w:rPr>
              <w:t>973.992,74</w:t>
            </w:r>
          </w:p>
        </w:tc>
      </w:tr>
      <w:tr w:rsidR="00966675" w:rsidRPr="00DE56D5" w14:paraId="438F7872" w14:textId="77777777" w:rsidTr="00546DAE">
        <w:trPr>
          <w:trHeight w:val="282"/>
        </w:trPr>
        <w:tc>
          <w:tcPr>
            <w:tcW w:w="1111" w:type="dxa"/>
            <w:tcBorders>
              <w:left w:val="single" w:sz="8" w:space="0" w:color="D2232A"/>
              <w:right w:val="single" w:sz="8" w:space="0" w:color="D2232A"/>
            </w:tcBorders>
            <w:vAlign w:val="center"/>
            <w:hideMark/>
          </w:tcPr>
          <w:p w14:paraId="142A7776"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MIHOVLJAN</w:t>
            </w:r>
          </w:p>
        </w:tc>
        <w:tc>
          <w:tcPr>
            <w:tcW w:w="1271" w:type="dxa"/>
            <w:tcBorders>
              <w:left w:val="single" w:sz="8" w:space="0" w:color="D2232A"/>
            </w:tcBorders>
            <w:vAlign w:val="center"/>
            <w:hideMark/>
          </w:tcPr>
          <w:p w14:paraId="3C35B5B2" w14:textId="13434A8E" w:rsidR="008878A0" w:rsidRPr="00DE56D5" w:rsidRDefault="00A63468" w:rsidP="00891CD3">
            <w:pPr>
              <w:autoSpaceDE w:val="0"/>
              <w:autoSpaceDN w:val="0"/>
              <w:adjustRightInd w:val="0"/>
              <w:spacing w:after="0"/>
              <w:jc w:val="right"/>
              <w:rPr>
                <w:rFonts w:eastAsia="ArialNarrow" w:cstheme="minorHAnsi"/>
                <w:szCs w:val="18"/>
              </w:rPr>
            </w:pPr>
            <w:r>
              <w:rPr>
                <w:rFonts w:cstheme="minorHAnsi"/>
                <w:color w:val="000000"/>
                <w:szCs w:val="18"/>
              </w:rPr>
              <w:t>146.746,49</w:t>
            </w:r>
          </w:p>
        </w:tc>
        <w:tc>
          <w:tcPr>
            <w:tcW w:w="1271" w:type="dxa"/>
            <w:vAlign w:val="center"/>
            <w:hideMark/>
          </w:tcPr>
          <w:p w14:paraId="7388409B" w14:textId="34CFD22D" w:rsidR="008878A0" w:rsidRPr="00DE56D5" w:rsidRDefault="00D1270D" w:rsidP="00891CD3">
            <w:pPr>
              <w:autoSpaceDE w:val="0"/>
              <w:autoSpaceDN w:val="0"/>
              <w:adjustRightInd w:val="0"/>
              <w:spacing w:after="0"/>
              <w:jc w:val="right"/>
              <w:rPr>
                <w:rFonts w:eastAsia="ArialNarrow" w:cstheme="minorHAnsi"/>
                <w:szCs w:val="18"/>
              </w:rPr>
            </w:pPr>
            <w:r w:rsidRPr="00D1270D">
              <w:rPr>
                <w:rFonts w:cstheme="minorHAnsi"/>
                <w:color w:val="000000"/>
                <w:szCs w:val="18"/>
              </w:rPr>
              <w:t>309.850,70</w:t>
            </w:r>
          </w:p>
        </w:tc>
        <w:tc>
          <w:tcPr>
            <w:tcW w:w="1392" w:type="dxa"/>
            <w:vAlign w:val="center"/>
            <w:hideMark/>
          </w:tcPr>
          <w:p w14:paraId="4D237D6F" w14:textId="59F1A7DC" w:rsidR="008878A0" w:rsidRPr="00DE56D5" w:rsidRDefault="00430FB5" w:rsidP="00891CD3">
            <w:pPr>
              <w:autoSpaceDE w:val="0"/>
              <w:autoSpaceDN w:val="0"/>
              <w:adjustRightInd w:val="0"/>
              <w:spacing w:after="0"/>
              <w:jc w:val="right"/>
              <w:rPr>
                <w:rFonts w:eastAsia="ArialNarrow" w:cstheme="minorHAnsi"/>
                <w:szCs w:val="18"/>
              </w:rPr>
            </w:pPr>
            <w:r>
              <w:rPr>
                <w:rFonts w:cstheme="minorHAnsi"/>
                <w:color w:val="000000"/>
                <w:szCs w:val="18"/>
              </w:rPr>
              <w:t>406.541,09</w:t>
            </w:r>
          </w:p>
        </w:tc>
        <w:tc>
          <w:tcPr>
            <w:tcW w:w="1393" w:type="dxa"/>
            <w:tcBorders>
              <w:right w:val="single" w:sz="8" w:space="0" w:color="D2232A"/>
            </w:tcBorders>
            <w:vAlign w:val="center"/>
            <w:hideMark/>
          </w:tcPr>
          <w:p w14:paraId="658FE05E" w14:textId="7E969FA2" w:rsidR="008878A0" w:rsidRPr="00DE56D5" w:rsidRDefault="007E7ECD" w:rsidP="00891CD3">
            <w:pPr>
              <w:autoSpaceDE w:val="0"/>
              <w:autoSpaceDN w:val="0"/>
              <w:adjustRightInd w:val="0"/>
              <w:spacing w:after="0"/>
              <w:jc w:val="right"/>
              <w:rPr>
                <w:rFonts w:eastAsia="ArialNarrow" w:cstheme="minorHAnsi"/>
                <w:szCs w:val="18"/>
              </w:rPr>
            </w:pPr>
            <w:r>
              <w:rPr>
                <w:rFonts w:cstheme="minorHAnsi"/>
                <w:color w:val="000000"/>
                <w:szCs w:val="18"/>
              </w:rPr>
              <w:t>431.115,04</w:t>
            </w:r>
          </w:p>
        </w:tc>
        <w:tc>
          <w:tcPr>
            <w:tcW w:w="1255" w:type="dxa"/>
            <w:tcBorders>
              <w:left w:val="single" w:sz="8" w:space="0" w:color="D2232A"/>
              <w:right w:val="single" w:sz="8" w:space="0" w:color="D2232A"/>
            </w:tcBorders>
            <w:vAlign w:val="center"/>
            <w:hideMark/>
          </w:tcPr>
          <w:p w14:paraId="5B9F5635" w14:textId="67E6E761" w:rsidR="008878A0" w:rsidRPr="00DE56D5" w:rsidRDefault="00AA1F4D" w:rsidP="00891CD3">
            <w:pPr>
              <w:autoSpaceDE w:val="0"/>
              <w:autoSpaceDN w:val="0"/>
              <w:adjustRightInd w:val="0"/>
              <w:spacing w:after="0"/>
              <w:jc w:val="right"/>
              <w:rPr>
                <w:rFonts w:eastAsia="ArialNarrow" w:cstheme="minorHAnsi"/>
                <w:szCs w:val="18"/>
              </w:rPr>
            </w:pPr>
            <w:r>
              <w:rPr>
                <w:rFonts w:eastAsia="ArialNarrow" w:cstheme="minorHAnsi"/>
                <w:szCs w:val="18"/>
              </w:rPr>
              <w:t>441</w:t>
            </w:r>
            <w:r w:rsidR="007E7ECD">
              <w:rPr>
                <w:rFonts w:eastAsia="ArialNarrow" w:cstheme="minorHAnsi"/>
                <w:szCs w:val="18"/>
              </w:rPr>
              <w:t>.858,46</w:t>
            </w:r>
          </w:p>
        </w:tc>
        <w:tc>
          <w:tcPr>
            <w:tcW w:w="1532" w:type="dxa"/>
            <w:tcBorders>
              <w:left w:val="single" w:sz="8" w:space="0" w:color="D2232A"/>
              <w:right w:val="single" w:sz="8" w:space="0" w:color="D2232A"/>
            </w:tcBorders>
            <w:vAlign w:val="center"/>
            <w:hideMark/>
          </w:tcPr>
          <w:p w14:paraId="0ABB03DA" w14:textId="4A39F3E1" w:rsidR="008878A0" w:rsidRPr="007F5A38" w:rsidRDefault="00D1270D" w:rsidP="00891CD3">
            <w:pPr>
              <w:autoSpaceDE w:val="0"/>
              <w:autoSpaceDN w:val="0"/>
              <w:adjustRightInd w:val="0"/>
              <w:spacing w:after="0"/>
              <w:jc w:val="right"/>
              <w:rPr>
                <w:rFonts w:eastAsia="ArialNarrow" w:cstheme="minorHAnsi"/>
                <w:szCs w:val="18"/>
                <w:highlight w:val="yellow"/>
              </w:rPr>
            </w:pPr>
            <w:r w:rsidRPr="00D1270D">
              <w:rPr>
                <w:rFonts w:cstheme="minorHAnsi"/>
                <w:color w:val="000000"/>
                <w:szCs w:val="18"/>
              </w:rPr>
              <w:t>454.567,75</w:t>
            </w:r>
          </w:p>
        </w:tc>
      </w:tr>
      <w:tr w:rsidR="00966675" w:rsidRPr="00DE56D5" w14:paraId="4992A1EE" w14:textId="77777777" w:rsidTr="00546DAE">
        <w:trPr>
          <w:trHeight w:val="282"/>
        </w:trPr>
        <w:tc>
          <w:tcPr>
            <w:tcW w:w="1111" w:type="dxa"/>
            <w:tcBorders>
              <w:left w:val="single" w:sz="8" w:space="0" w:color="D2232A"/>
              <w:right w:val="single" w:sz="8" w:space="0" w:color="D2232A"/>
            </w:tcBorders>
            <w:vAlign w:val="center"/>
            <w:hideMark/>
          </w:tcPr>
          <w:p w14:paraId="720C745E"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NOVI GOLUBOVEC</w:t>
            </w:r>
          </w:p>
        </w:tc>
        <w:tc>
          <w:tcPr>
            <w:tcW w:w="1271" w:type="dxa"/>
            <w:tcBorders>
              <w:left w:val="single" w:sz="8" w:space="0" w:color="D2232A"/>
            </w:tcBorders>
            <w:vAlign w:val="center"/>
            <w:hideMark/>
          </w:tcPr>
          <w:p w14:paraId="62D93AE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186.939,24</w:t>
            </w:r>
          </w:p>
        </w:tc>
        <w:tc>
          <w:tcPr>
            <w:tcW w:w="1271" w:type="dxa"/>
            <w:vAlign w:val="center"/>
            <w:hideMark/>
          </w:tcPr>
          <w:p w14:paraId="42B47F9D"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170.402,30</w:t>
            </w:r>
          </w:p>
        </w:tc>
        <w:tc>
          <w:tcPr>
            <w:tcW w:w="1392" w:type="dxa"/>
            <w:vAlign w:val="center"/>
            <w:hideMark/>
          </w:tcPr>
          <w:p w14:paraId="21907484"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221.970,03</w:t>
            </w:r>
          </w:p>
        </w:tc>
        <w:tc>
          <w:tcPr>
            <w:tcW w:w="1393" w:type="dxa"/>
            <w:tcBorders>
              <w:right w:val="single" w:sz="8" w:space="0" w:color="D2232A"/>
            </w:tcBorders>
            <w:vAlign w:val="center"/>
            <w:hideMark/>
          </w:tcPr>
          <w:p w14:paraId="3DD2B48F"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283.438,01</w:t>
            </w:r>
          </w:p>
        </w:tc>
        <w:tc>
          <w:tcPr>
            <w:tcW w:w="1255" w:type="dxa"/>
            <w:tcBorders>
              <w:left w:val="single" w:sz="8" w:space="0" w:color="D2232A"/>
              <w:right w:val="single" w:sz="8" w:space="0" w:color="D2232A"/>
            </w:tcBorders>
            <w:vAlign w:val="center"/>
            <w:hideMark/>
          </w:tcPr>
          <w:p w14:paraId="5765AC29" w14:textId="515E2204" w:rsidR="008878A0" w:rsidRPr="00DE56D5" w:rsidRDefault="00D13E1C" w:rsidP="00891CD3">
            <w:pPr>
              <w:autoSpaceDE w:val="0"/>
              <w:autoSpaceDN w:val="0"/>
              <w:adjustRightInd w:val="0"/>
              <w:spacing w:after="0"/>
              <w:jc w:val="right"/>
              <w:rPr>
                <w:rFonts w:eastAsia="ArialNarrow" w:cstheme="minorHAnsi"/>
                <w:szCs w:val="18"/>
              </w:rPr>
            </w:pPr>
            <w:r>
              <w:rPr>
                <w:rFonts w:cstheme="minorHAnsi"/>
                <w:color w:val="000000"/>
                <w:szCs w:val="18"/>
              </w:rPr>
              <w:t>249.000</w:t>
            </w:r>
          </w:p>
        </w:tc>
        <w:tc>
          <w:tcPr>
            <w:tcW w:w="1532" w:type="dxa"/>
            <w:tcBorders>
              <w:left w:val="single" w:sz="8" w:space="0" w:color="D2232A"/>
              <w:right w:val="single" w:sz="8" w:space="0" w:color="D2232A"/>
            </w:tcBorders>
            <w:vAlign w:val="center"/>
            <w:hideMark/>
          </w:tcPr>
          <w:p w14:paraId="728A9568" w14:textId="77B115D3" w:rsidR="008878A0" w:rsidRPr="007F5A38" w:rsidRDefault="00D13E1C" w:rsidP="00891CD3">
            <w:pPr>
              <w:autoSpaceDE w:val="0"/>
              <w:autoSpaceDN w:val="0"/>
              <w:adjustRightInd w:val="0"/>
              <w:spacing w:after="0"/>
              <w:jc w:val="right"/>
              <w:rPr>
                <w:rFonts w:eastAsia="ArialNarrow" w:cstheme="minorHAnsi"/>
                <w:szCs w:val="18"/>
                <w:highlight w:val="yellow"/>
              </w:rPr>
            </w:pPr>
            <w:r w:rsidRPr="00D13E1C">
              <w:rPr>
                <w:rFonts w:eastAsia="ArialNarrow" w:cstheme="minorHAnsi"/>
                <w:szCs w:val="18"/>
              </w:rPr>
              <w:t>339.000,00</w:t>
            </w:r>
          </w:p>
        </w:tc>
      </w:tr>
      <w:tr w:rsidR="00966675" w:rsidRPr="00DE56D5" w14:paraId="65BDFF74" w14:textId="77777777" w:rsidTr="00546DAE">
        <w:trPr>
          <w:trHeight w:val="282"/>
        </w:trPr>
        <w:tc>
          <w:tcPr>
            <w:tcW w:w="1111" w:type="dxa"/>
            <w:tcBorders>
              <w:left w:val="single" w:sz="8" w:space="0" w:color="D2232A"/>
              <w:right w:val="single" w:sz="8" w:space="0" w:color="D2232A"/>
            </w:tcBorders>
            <w:vAlign w:val="center"/>
            <w:hideMark/>
          </w:tcPr>
          <w:p w14:paraId="195AF7B6"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PETROVSKO</w:t>
            </w:r>
          </w:p>
        </w:tc>
        <w:tc>
          <w:tcPr>
            <w:tcW w:w="1271" w:type="dxa"/>
            <w:tcBorders>
              <w:left w:val="single" w:sz="8" w:space="0" w:color="D2232A"/>
            </w:tcBorders>
            <w:vAlign w:val="center"/>
            <w:hideMark/>
          </w:tcPr>
          <w:p w14:paraId="51DDC93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112.218,71</w:t>
            </w:r>
          </w:p>
        </w:tc>
        <w:tc>
          <w:tcPr>
            <w:tcW w:w="1271" w:type="dxa"/>
            <w:vAlign w:val="center"/>
            <w:hideMark/>
          </w:tcPr>
          <w:p w14:paraId="447C795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189.310,25</w:t>
            </w:r>
          </w:p>
        </w:tc>
        <w:tc>
          <w:tcPr>
            <w:tcW w:w="1392" w:type="dxa"/>
            <w:vAlign w:val="center"/>
            <w:hideMark/>
          </w:tcPr>
          <w:p w14:paraId="76475026"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88.619,92</w:t>
            </w:r>
          </w:p>
        </w:tc>
        <w:tc>
          <w:tcPr>
            <w:tcW w:w="1393" w:type="dxa"/>
            <w:tcBorders>
              <w:right w:val="single" w:sz="8" w:space="0" w:color="D2232A"/>
            </w:tcBorders>
            <w:vAlign w:val="center"/>
            <w:hideMark/>
          </w:tcPr>
          <w:p w14:paraId="28DAAA55"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77.064,43</w:t>
            </w:r>
          </w:p>
        </w:tc>
        <w:tc>
          <w:tcPr>
            <w:tcW w:w="1255" w:type="dxa"/>
            <w:tcBorders>
              <w:left w:val="single" w:sz="8" w:space="0" w:color="D2232A"/>
              <w:right w:val="single" w:sz="8" w:space="0" w:color="D2232A"/>
            </w:tcBorders>
            <w:vAlign w:val="center"/>
            <w:hideMark/>
          </w:tcPr>
          <w:p w14:paraId="67C54157" w14:textId="4C9A8441" w:rsidR="008878A0" w:rsidRPr="00DE56D5" w:rsidRDefault="009860FF" w:rsidP="00891CD3">
            <w:pPr>
              <w:autoSpaceDE w:val="0"/>
              <w:autoSpaceDN w:val="0"/>
              <w:adjustRightInd w:val="0"/>
              <w:spacing w:after="0"/>
              <w:jc w:val="right"/>
              <w:rPr>
                <w:rFonts w:eastAsia="ArialNarrow" w:cstheme="minorHAnsi"/>
                <w:szCs w:val="18"/>
              </w:rPr>
            </w:pPr>
            <w:r w:rsidRPr="009860FF">
              <w:rPr>
                <w:rFonts w:eastAsia="ArialNarrow" w:cstheme="minorHAnsi"/>
                <w:szCs w:val="18"/>
              </w:rPr>
              <w:t>333.868,22</w:t>
            </w:r>
          </w:p>
        </w:tc>
        <w:tc>
          <w:tcPr>
            <w:tcW w:w="1532" w:type="dxa"/>
            <w:tcBorders>
              <w:left w:val="single" w:sz="8" w:space="0" w:color="D2232A"/>
              <w:right w:val="single" w:sz="8" w:space="0" w:color="D2232A"/>
            </w:tcBorders>
            <w:shd w:val="clear" w:color="auto" w:fill="auto"/>
            <w:vAlign w:val="center"/>
            <w:hideMark/>
          </w:tcPr>
          <w:p w14:paraId="156884DE" w14:textId="77777777" w:rsidR="008878A0" w:rsidRPr="007F5A38" w:rsidRDefault="008878A0" w:rsidP="00891CD3">
            <w:pPr>
              <w:autoSpaceDE w:val="0"/>
              <w:autoSpaceDN w:val="0"/>
              <w:adjustRightInd w:val="0"/>
              <w:spacing w:after="0"/>
              <w:jc w:val="right"/>
              <w:rPr>
                <w:rFonts w:eastAsia="ArialNarrow" w:cstheme="minorHAnsi"/>
                <w:szCs w:val="18"/>
                <w:highlight w:val="yellow"/>
              </w:rPr>
            </w:pPr>
            <w:r w:rsidRPr="007E1FEC">
              <w:rPr>
                <w:rFonts w:cstheme="minorHAnsi"/>
                <w:color w:val="000000"/>
                <w:szCs w:val="18"/>
              </w:rPr>
              <w:t>80.000,00</w:t>
            </w:r>
          </w:p>
        </w:tc>
      </w:tr>
      <w:tr w:rsidR="00966675" w:rsidRPr="00DE56D5" w14:paraId="2E76DC64" w14:textId="77777777" w:rsidTr="00546DAE">
        <w:trPr>
          <w:trHeight w:val="282"/>
        </w:trPr>
        <w:tc>
          <w:tcPr>
            <w:tcW w:w="1111" w:type="dxa"/>
            <w:tcBorders>
              <w:left w:val="single" w:sz="8" w:space="0" w:color="D2232A"/>
              <w:right w:val="single" w:sz="8" w:space="0" w:color="D2232A"/>
            </w:tcBorders>
            <w:vAlign w:val="center"/>
            <w:hideMark/>
          </w:tcPr>
          <w:p w14:paraId="44FDF7EE"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RADOBOJ</w:t>
            </w:r>
          </w:p>
        </w:tc>
        <w:tc>
          <w:tcPr>
            <w:tcW w:w="1271" w:type="dxa"/>
            <w:tcBorders>
              <w:left w:val="single" w:sz="8" w:space="0" w:color="D2232A"/>
            </w:tcBorders>
            <w:vAlign w:val="center"/>
            <w:hideMark/>
          </w:tcPr>
          <w:p w14:paraId="5E1D49CA"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206.332,04</w:t>
            </w:r>
          </w:p>
        </w:tc>
        <w:tc>
          <w:tcPr>
            <w:tcW w:w="1271" w:type="dxa"/>
            <w:vAlign w:val="center"/>
            <w:hideMark/>
          </w:tcPr>
          <w:p w14:paraId="24A4AC8A"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194.752,81</w:t>
            </w:r>
          </w:p>
        </w:tc>
        <w:tc>
          <w:tcPr>
            <w:tcW w:w="1392" w:type="dxa"/>
            <w:vAlign w:val="center"/>
            <w:hideMark/>
          </w:tcPr>
          <w:p w14:paraId="5C7C0206"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259.607,24</w:t>
            </w:r>
          </w:p>
        </w:tc>
        <w:tc>
          <w:tcPr>
            <w:tcW w:w="1393" w:type="dxa"/>
            <w:tcBorders>
              <w:right w:val="single" w:sz="8" w:space="0" w:color="D2232A"/>
            </w:tcBorders>
            <w:vAlign w:val="center"/>
            <w:hideMark/>
          </w:tcPr>
          <w:p w14:paraId="1C667C7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256.479,60</w:t>
            </w:r>
          </w:p>
        </w:tc>
        <w:tc>
          <w:tcPr>
            <w:tcW w:w="1255" w:type="dxa"/>
            <w:tcBorders>
              <w:left w:val="single" w:sz="8" w:space="0" w:color="D2232A"/>
              <w:right w:val="single" w:sz="8" w:space="0" w:color="D2232A"/>
            </w:tcBorders>
            <w:vAlign w:val="center"/>
            <w:hideMark/>
          </w:tcPr>
          <w:p w14:paraId="22C2BF39" w14:textId="71FBE6E2" w:rsidR="008878A0" w:rsidRPr="00DE56D5" w:rsidRDefault="007E1FEC" w:rsidP="00891CD3">
            <w:pPr>
              <w:autoSpaceDE w:val="0"/>
              <w:autoSpaceDN w:val="0"/>
              <w:adjustRightInd w:val="0"/>
              <w:spacing w:after="0"/>
              <w:jc w:val="right"/>
              <w:rPr>
                <w:rFonts w:eastAsia="ArialNarrow" w:cstheme="minorHAnsi"/>
                <w:szCs w:val="18"/>
              </w:rPr>
            </w:pPr>
            <w:r w:rsidRPr="007E1FEC">
              <w:rPr>
                <w:rFonts w:eastAsia="ArialNarrow" w:cstheme="minorHAnsi"/>
                <w:szCs w:val="18"/>
              </w:rPr>
              <w:t>223.168,77</w:t>
            </w:r>
          </w:p>
        </w:tc>
        <w:tc>
          <w:tcPr>
            <w:tcW w:w="1532" w:type="dxa"/>
            <w:tcBorders>
              <w:left w:val="single" w:sz="8" w:space="0" w:color="D2232A"/>
              <w:right w:val="single" w:sz="8" w:space="0" w:color="D2232A"/>
            </w:tcBorders>
            <w:vAlign w:val="center"/>
            <w:hideMark/>
          </w:tcPr>
          <w:p w14:paraId="242EB232" w14:textId="42AFEA79" w:rsidR="008878A0" w:rsidRPr="007F5A38" w:rsidRDefault="00BA1788" w:rsidP="00891CD3">
            <w:pPr>
              <w:autoSpaceDE w:val="0"/>
              <w:autoSpaceDN w:val="0"/>
              <w:adjustRightInd w:val="0"/>
              <w:spacing w:after="0"/>
              <w:jc w:val="right"/>
              <w:rPr>
                <w:rFonts w:eastAsia="ArialNarrow" w:cstheme="minorHAnsi"/>
                <w:szCs w:val="18"/>
                <w:highlight w:val="yellow"/>
              </w:rPr>
            </w:pPr>
            <w:r w:rsidRPr="00BA1788">
              <w:rPr>
                <w:rFonts w:cstheme="minorHAnsi"/>
                <w:color w:val="000000"/>
                <w:szCs w:val="18"/>
              </w:rPr>
              <w:t>476.040,23</w:t>
            </w:r>
          </w:p>
        </w:tc>
      </w:tr>
      <w:tr w:rsidR="00966675" w:rsidRPr="00DE56D5" w14:paraId="2C55FF3A" w14:textId="77777777" w:rsidTr="00546DAE">
        <w:trPr>
          <w:trHeight w:val="282"/>
        </w:trPr>
        <w:tc>
          <w:tcPr>
            <w:tcW w:w="1111" w:type="dxa"/>
            <w:tcBorders>
              <w:left w:val="single" w:sz="8" w:space="0" w:color="D2232A"/>
              <w:right w:val="single" w:sz="8" w:space="0" w:color="D2232A"/>
            </w:tcBorders>
            <w:vAlign w:val="center"/>
            <w:hideMark/>
          </w:tcPr>
          <w:p w14:paraId="20F1B2F5"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lastRenderedPageBreak/>
              <w:t>STUBIČKE TOPLICE</w:t>
            </w:r>
          </w:p>
        </w:tc>
        <w:tc>
          <w:tcPr>
            <w:tcW w:w="1271" w:type="dxa"/>
            <w:tcBorders>
              <w:left w:val="single" w:sz="8" w:space="0" w:color="D2232A"/>
            </w:tcBorders>
            <w:vAlign w:val="center"/>
            <w:hideMark/>
          </w:tcPr>
          <w:p w14:paraId="736B378B"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589.634,99</w:t>
            </w:r>
          </w:p>
        </w:tc>
        <w:tc>
          <w:tcPr>
            <w:tcW w:w="1271" w:type="dxa"/>
            <w:vAlign w:val="center"/>
            <w:hideMark/>
          </w:tcPr>
          <w:p w14:paraId="733EC7D4"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455.087,82</w:t>
            </w:r>
          </w:p>
        </w:tc>
        <w:tc>
          <w:tcPr>
            <w:tcW w:w="1392" w:type="dxa"/>
            <w:vAlign w:val="center"/>
            <w:hideMark/>
          </w:tcPr>
          <w:p w14:paraId="4A85056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487.716,41</w:t>
            </w:r>
          </w:p>
        </w:tc>
        <w:tc>
          <w:tcPr>
            <w:tcW w:w="1393" w:type="dxa"/>
            <w:tcBorders>
              <w:right w:val="single" w:sz="8" w:space="0" w:color="D2232A"/>
            </w:tcBorders>
            <w:vAlign w:val="center"/>
            <w:hideMark/>
          </w:tcPr>
          <w:p w14:paraId="6C2E18B6"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484.724,18</w:t>
            </w:r>
          </w:p>
        </w:tc>
        <w:tc>
          <w:tcPr>
            <w:tcW w:w="1255" w:type="dxa"/>
            <w:tcBorders>
              <w:left w:val="single" w:sz="8" w:space="0" w:color="D2232A"/>
              <w:right w:val="single" w:sz="8" w:space="0" w:color="D2232A"/>
            </w:tcBorders>
            <w:vAlign w:val="center"/>
            <w:hideMark/>
          </w:tcPr>
          <w:p w14:paraId="3F76F075" w14:textId="7C49946C" w:rsidR="008878A0" w:rsidRPr="00DE56D5" w:rsidRDefault="00E80441" w:rsidP="00891CD3">
            <w:pPr>
              <w:autoSpaceDE w:val="0"/>
              <w:autoSpaceDN w:val="0"/>
              <w:adjustRightInd w:val="0"/>
              <w:spacing w:after="0"/>
              <w:jc w:val="right"/>
              <w:rPr>
                <w:rFonts w:eastAsia="ArialNarrow" w:cstheme="minorHAnsi"/>
                <w:szCs w:val="18"/>
              </w:rPr>
            </w:pPr>
            <w:r w:rsidRPr="00E80441">
              <w:rPr>
                <w:rFonts w:cstheme="minorHAnsi"/>
                <w:color w:val="000000"/>
                <w:szCs w:val="18"/>
              </w:rPr>
              <w:t>446.090,09</w:t>
            </w:r>
          </w:p>
        </w:tc>
        <w:tc>
          <w:tcPr>
            <w:tcW w:w="1532" w:type="dxa"/>
            <w:tcBorders>
              <w:left w:val="single" w:sz="8" w:space="0" w:color="D2232A"/>
              <w:right w:val="single" w:sz="8" w:space="0" w:color="D2232A"/>
            </w:tcBorders>
            <w:vAlign w:val="center"/>
            <w:hideMark/>
          </w:tcPr>
          <w:p w14:paraId="50F39989" w14:textId="35AD3E5A" w:rsidR="008878A0" w:rsidRPr="007F5A38" w:rsidRDefault="00D7170D" w:rsidP="00891CD3">
            <w:pPr>
              <w:autoSpaceDE w:val="0"/>
              <w:autoSpaceDN w:val="0"/>
              <w:adjustRightInd w:val="0"/>
              <w:spacing w:after="0"/>
              <w:jc w:val="right"/>
              <w:rPr>
                <w:rFonts w:eastAsia="ArialNarrow" w:cstheme="minorHAnsi"/>
                <w:szCs w:val="18"/>
                <w:highlight w:val="yellow"/>
              </w:rPr>
            </w:pPr>
            <w:r w:rsidRPr="00D7170D">
              <w:rPr>
                <w:rFonts w:cstheme="minorHAnsi"/>
                <w:color w:val="000000"/>
                <w:szCs w:val="18"/>
              </w:rPr>
              <w:t>432.890,05</w:t>
            </w:r>
          </w:p>
        </w:tc>
      </w:tr>
      <w:tr w:rsidR="00966675" w:rsidRPr="00DE56D5" w14:paraId="6A25B748" w14:textId="77777777" w:rsidTr="00546DAE">
        <w:trPr>
          <w:trHeight w:val="282"/>
        </w:trPr>
        <w:tc>
          <w:tcPr>
            <w:tcW w:w="1111" w:type="dxa"/>
            <w:tcBorders>
              <w:left w:val="single" w:sz="8" w:space="0" w:color="D2232A"/>
              <w:right w:val="single" w:sz="8" w:space="0" w:color="D2232A"/>
            </w:tcBorders>
            <w:vAlign w:val="center"/>
            <w:hideMark/>
          </w:tcPr>
          <w:p w14:paraId="7A2D2178"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SVETI KRIŽ ZAČRETJE</w:t>
            </w:r>
          </w:p>
        </w:tc>
        <w:tc>
          <w:tcPr>
            <w:tcW w:w="1271" w:type="dxa"/>
            <w:tcBorders>
              <w:left w:val="single" w:sz="8" w:space="0" w:color="D2232A"/>
            </w:tcBorders>
            <w:vAlign w:val="center"/>
            <w:hideMark/>
          </w:tcPr>
          <w:p w14:paraId="3069EAC9"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681.306,90</w:t>
            </w:r>
          </w:p>
        </w:tc>
        <w:tc>
          <w:tcPr>
            <w:tcW w:w="1271" w:type="dxa"/>
            <w:vAlign w:val="center"/>
            <w:hideMark/>
          </w:tcPr>
          <w:p w14:paraId="6A60F3F6"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643.639,23</w:t>
            </w:r>
          </w:p>
        </w:tc>
        <w:tc>
          <w:tcPr>
            <w:tcW w:w="1392" w:type="dxa"/>
            <w:vAlign w:val="center"/>
            <w:hideMark/>
          </w:tcPr>
          <w:p w14:paraId="247C277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707.410,35</w:t>
            </w:r>
          </w:p>
        </w:tc>
        <w:tc>
          <w:tcPr>
            <w:tcW w:w="1393" w:type="dxa"/>
            <w:tcBorders>
              <w:right w:val="single" w:sz="8" w:space="0" w:color="D2232A"/>
            </w:tcBorders>
            <w:vAlign w:val="center"/>
            <w:hideMark/>
          </w:tcPr>
          <w:p w14:paraId="4A03E1AB"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680.070,95</w:t>
            </w:r>
          </w:p>
        </w:tc>
        <w:tc>
          <w:tcPr>
            <w:tcW w:w="1255" w:type="dxa"/>
            <w:tcBorders>
              <w:left w:val="single" w:sz="8" w:space="0" w:color="D2232A"/>
              <w:right w:val="single" w:sz="8" w:space="0" w:color="D2232A"/>
            </w:tcBorders>
            <w:vAlign w:val="center"/>
            <w:hideMark/>
          </w:tcPr>
          <w:p w14:paraId="11F52F3F"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657.293,11</w:t>
            </w:r>
          </w:p>
        </w:tc>
        <w:tc>
          <w:tcPr>
            <w:tcW w:w="1532" w:type="dxa"/>
            <w:tcBorders>
              <w:left w:val="single" w:sz="8" w:space="0" w:color="D2232A"/>
              <w:right w:val="single" w:sz="8" w:space="0" w:color="D2232A"/>
            </w:tcBorders>
            <w:vAlign w:val="center"/>
            <w:hideMark/>
          </w:tcPr>
          <w:p w14:paraId="06223A5D" w14:textId="6D7E3130" w:rsidR="008878A0" w:rsidRPr="007F5A38" w:rsidRDefault="008878A0" w:rsidP="00891CD3">
            <w:pPr>
              <w:autoSpaceDE w:val="0"/>
              <w:autoSpaceDN w:val="0"/>
              <w:adjustRightInd w:val="0"/>
              <w:spacing w:after="0"/>
              <w:jc w:val="right"/>
              <w:rPr>
                <w:rFonts w:eastAsia="ArialNarrow" w:cstheme="minorHAnsi"/>
                <w:szCs w:val="18"/>
                <w:highlight w:val="yellow"/>
              </w:rPr>
            </w:pPr>
            <w:r w:rsidRPr="00224243">
              <w:rPr>
                <w:rFonts w:cstheme="minorHAnsi"/>
                <w:color w:val="000000"/>
                <w:szCs w:val="18"/>
              </w:rPr>
              <w:t>2</w:t>
            </w:r>
            <w:r w:rsidR="00224243" w:rsidRPr="00224243">
              <w:rPr>
                <w:rFonts w:cstheme="minorHAnsi"/>
                <w:color w:val="000000"/>
                <w:szCs w:val="18"/>
              </w:rPr>
              <w:t>36.000,00</w:t>
            </w:r>
          </w:p>
        </w:tc>
      </w:tr>
      <w:tr w:rsidR="00966675" w:rsidRPr="00DE56D5" w14:paraId="33C9881A" w14:textId="77777777" w:rsidTr="00546DAE">
        <w:trPr>
          <w:trHeight w:val="282"/>
        </w:trPr>
        <w:tc>
          <w:tcPr>
            <w:tcW w:w="1111" w:type="dxa"/>
            <w:tcBorders>
              <w:left w:val="single" w:sz="8" w:space="0" w:color="D2232A"/>
              <w:right w:val="single" w:sz="8" w:space="0" w:color="D2232A"/>
            </w:tcBorders>
            <w:vAlign w:val="center"/>
            <w:hideMark/>
          </w:tcPr>
          <w:p w14:paraId="43F53985"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TUHELJ</w:t>
            </w:r>
          </w:p>
        </w:tc>
        <w:tc>
          <w:tcPr>
            <w:tcW w:w="1271" w:type="dxa"/>
            <w:tcBorders>
              <w:left w:val="single" w:sz="8" w:space="0" w:color="D2232A"/>
            </w:tcBorders>
            <w:vAlign w:val="center"/>
            <w:hideMark/>
          </w:tcPr>
          <w:p w14:paraId="31AC8087"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548.420,64</w:t>
            </w:r>
          </w:p>
        </w:tc>
        <w:tc>
          <w:tcPr>
            <w:tcW w:w="1271" w:type="dxa"/>
            <w:vAlign w:val="center"/>
            <w:hideMark/>
          </w:tcPr>
          <w:p w14:paraId="41CB9362"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550.025,31</w:t>
            </w:r>
          </w:p>
        </w:tc>
        <w:tc>
          <w:tcPr>
            <w:tcW w:w="1392" w:type="dxa"/>
            <w:vAlign w:val="center"/>
            <w:hideMark/>
          </w:tcPr>
          <w:p w14:paraId="39E1F65C"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474.400,69</w:t>
            </w:r>
          </w:p>
        </w:tc>
        <w:tc>
          <w:tcPr>
            <w:tcW w:w="1393" w:type="dxa"/>
            <w:tcBorders>
              <w:right w:val="single" w:sz="8" w:space="0" w:color="D2232A"/>
            </w:tcBorders>
            <w:vAlign w:val="center"/>
            <w:hideMark/>
          </w:tcPr>
          <w:p w14:paraId="2CB50682"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448.052,28</w:t>
            </w:r>
          </w:p>
        </w:tc>
        <w:tc>
          <w:tcPr>
            <w:tcW w:w="1255" w:type="dxa"/>
            <w:tcBorders>
              <w:left w:val="single" w:sz="8" w:space="0" w:color="D2232A"/>
              <w:right w:val="single" w:sz="8" w:space="0" w:color="D2232A"/>
            </w:tcBorders>
            <w:vAlign w:val="center"/>
            <w:hideMark/>
          </w:tcPr>
          <w:p w14:paraId="37C76FF6" w14:textId="146260DB" w:rsidR="008878A0" w:rsidRPr="00DE56D5" w:rsidRDefault="008A3521" w:rsidP="00891CD3">
            <w:pPr>
              <w:autoSpaceDE w:val="0"/>
              <w:autoSpaceDN w:val="0"/>
              <w:adjustRightInd w:val="0"/>
              <w:spacing w:after="0"/>
              <w:jc w:val="right"/>
              <w:rPr>
                <w:rFonts w:eastAsia="ArialNarrow" w:cstheme="minorHAnsi"/>
                <w:szCs w:val="18"/>
              </w:rPr>
            </w:pPr>
            <w:r w:rsidRPr="008A3521">
              <w:rPr>
                <w:rFonts w:eastAsia="ArialNarrow" w:cstheme="minorHAnsi"/>
                <w:szCs w:val="18"/>
              </w:rPr>
              <w:t>592.890,50</w:t>
            </w:r>
          </w:p>
        </w:tc>
        <w:tc>
          <w:tcPr>
            <w:tcW w:w="1532" w:type="dxa"/>
            <w:tcBorders>
              <w:left w:val="single" w:sz="8" w:space="0" w:color="D2232A"/>
              <w:right w:val="single" w:sz="8" w:space="0" w:color="D2232A"/>
            </w:tcBorders>
            <w:vAlign w:val="center"/>
            <w:hideMark/>
          </w:tcPr>
          <w:p w14:paraId="791EF5D3" w14:textId="473C306A" w:rsidR="008878A0" w:rsidRPr="007F5A38" w:rsidRDefault="008A3521" w:rsidP="00891CD3">
            <w:pPr>
              <w:autoSpaceDE w:val="0"/>
              <w:autoSpaceDN w:val="0"/>
              <w:adjustRightInd w:val="0"/>
              <w:spacing w:after="0"/>
              <w:jc w:val="right"/>
              <w:rPr>
                <w:rFonts w:eastAsia="ArialNarrow" w:cstheme="minorHAnsi"/>
                <w:szCs w:val="18"/>
                <w:highlight w:val="yellow"/>
              </w:rPr>
            </w:pPr>
            <w:r w:rsidRPr="008A3521">
              <w:rPr>
                <w:rFonts w:cstheme="minorHAnsi"/>
                <w:color w:val="000000"/>
                <w:szCs w:val="18"/>
              </w:rPr>
              <w:t>587.281,55</w:t>
            </w:r>
          </w:p>
        </w:tc>
      </w:tr>
      <w:tr w:rsidR="00966675" w:rsidRPr="00DE56D5" w14:paraId="21F2E117" w14:textId="77777777" w:rsidTr="00546DAE">
        <w:trPr>
          <w:trHeight w:val="282"/>
        </w:trPr>
        <w:tc>
          <w:tcPr>
            <w:tcW w:w="1111" w:type="dxa"/>
            <w:tcBorders>
              <w:left w:val="single" w:sz="8" w:space="0" w:color="D2232A"/>
              <w:right w:val="single" w:sz="8" w:space="0" w:color="D2232A"/>
            </w:tcBorders>
            <w:vAlign w:val="center"/>
            <w:hideMark/>
          </w:tcPr>
          <w:p w14:paraId="55772F60"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VELIKO TRGOVIŠĆE</w:t>
            </w:r>
          </w:p>
        </w:tc>
        <w:tc>
          <w:tcPr>
            <w:tcW w:w="1271" w:type="dxa"/>
            <w:tcBorders>
              <w:left w:val="single" w:sz="8" w:space="0" w:color="D2232A"/>
            </w:tcBorders>
            <w:vAlign w:val="center"/>
            <w:hideMark/>
          </w:tcPr>
          <w:p w14:paraId="58615F39"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435.109,01</w:t>
            </w:r>
          </w:p>
        </w:tc>
        <w:tc>
          <w:tcPr>
            <w:tcW w:w="1271" w:type="dxa"/>
            <w:vAlign w:val="center"/>
            <w:hideMark/>
          </w:tcPr>
          <w:p w14:paraId="2A8EF662"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468.040,39</w:t>
            </w:r>
          </w:p>
        </w:tc>
        <w:tc>
          <w:tcPr>
            <w:tcW w:w="1392" w:type="dxa"/>
            <w:vAlign w:val="center"/>
            <w:hideMark/>
          </w:tcPr>
          <w:p w14:paraId="498EDDED"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449.949,25</w:t>
            </w:r>
          </w:p>
        </w:tc>
        <w:tc>
          <w:tcPr>
            <w:tcW w:w="1393" w:type="dxa"/>
            <w:tcBorders>
              <w:right w:val="single" w:sz="8" w:space="0" w:color="D2232A"/>
            </w:tcBorders>
            <w:vAlign w:val="center"/>
            <w:hideMark/>
          </w:tcPr>
          <w:p w14:paraId="08E49C27"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467.076,40</w:t>
            </w:r>
          </w:p>
        </w:tc>
        <w:tc>
          <w:tcPr>
            <w:tcW w:w="1255" w:type="dxa"/>
            <w:tcBorders>
              <w:left w:val="single" w:sz="8" w:space="0" w:color="D2232A"/>
              <w:right w:val="single" w:sz="8" w:space="0" w:color="D2232A"/>
            </w:tcBorders>
            <w:vAlign w:val="center"/>
            <w:hideMark/>
          </w:tcPr>
          <w:p w14:paraId="4547297B" w14:textId="7D0BBEBB" w:rsidR="008878A0" w:rsidRPr="00DE56D5" w:rsidRDefault="00F31733" w:rsidP="00891CD3">
            <w:pPr>
              <w:autoSpaceDE w:val="0"/>
              <w:autoSpaceDN w:val="0"/>
              <w:adjustRightInd w:val="0"/>
              <w:spacing w:after="0"/>
              <w:jc w:val="right"/>
              <w:rPr>
                <w:rFonts w:eastAsia="ArialNarrow" w:cstheme="minorHAnsi"/>
                <w:szCs w:val="18"/>
              </w:rPr>
            </w:pPr>
            <w:r w:rsidRPr="00F31733">
              <w:rPr>
                <w:rFonts w:eastAsia="ArialNarrow" w:cstheme="minorHAnsi"/>
                <w:szCs w:val="18"/>
              </w:rPr>
              <w:t>508,297.83</w:t>
            </w:r>
          </w:p>
        </w:tc>
        <w:tc>
          <w:tcPr>
            <w:tcW w:w="1532" w:type="dxa"/>
            <w:tcBorders>
              <w:left w:val="single" w:sz="8" w:space="0" w:color="D2232A"/>
              <w:right w:val="single" w:sz="8" w:space="0" w:color="D2232A"/>
            </w:tcBorders>
            <w:vAlign w:val="center"/>
            <w:hideMark/>
          </w:tcPr>
          <w:p w14:paraId="560F3F0E" w14:textId="6018155D" w:rsidR="008878A0" w:rsidRPr="007F5A38" w:rsidRDefault="008454ED" w:rsidP="00891CD3">
            <w:pPr>
              <w:autoSpaceDE w:val="0"/>
              <w:autoSpaceDN w:val="0"/>
              <w:adjustRightInd w:val="0"/>
              <w:spacing w:after="0"/>
              <w:jc w:val="right"/>
              <w:rPr>
                <w:rFonts w:eastAsia="ArialNarrow" w:cstheme="minorHAnsi"/>
                <w:szCs w:val="18"/>
                <w:highlight w:val="yellow"/>
              </w:rPr>
            </w:pPr>
            <w:r w:rsidRPr="008454ED">
              <w:rPr>
                <w:rFonts w:cstheme="minorHAnsi"/>
                <w:color w:val="000000"/>
                <w:szCs w:val="18"/>
              </w:rPr>
              <w:t>397.306,33</w:t>
            </w:r>
          </w:p>
        </w:tc>
      </w:tr>
      <w:tr w:rsidR="00966675" w:rsidRPr="00DE56D5" w14:paraId="7D868C3C" w14:textId="77777777" w:rsidTr="00546DAE">
        <w:trPr>
          <w:trHeight w:val="282"/>
        </w:trPr>
        <w:tc>
          <w:tcPr>
            <w:tcW w:w="1111" w:type="dxa"/>
            <w:tcBorders>
              <w:left w:val="single" w:sz="8" w:space="0" w:color="D2232A"/>
              <w:right w:val="single" w:sz="8" w:space="0" w:color="D2232A"/>
            </w:tcBorders>
            <w:vAlign w:val="center"/>
            <w:hideMark/>
          </w:tcPr>
          <w:p w14:paraId="7DB2037F"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ZAGORSKA SELA</w:t>
            </w:r>
          </w:p>
        </w:tc>
        <w:tc>
          <w:tcPr>
            <w:tcW w:w="1271" w:type="dxa"/>
            <w:tcBorders>
              <w:left w:val="single" w:sz="8" w:space="0" w:color="D2232A"/>
            </w:tcBorders>
            <w:vAlign w:val="center"/>
            <w:hideMark/>
          </w:tcPr>
          <w:p w14:paraId="313D1EAA"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122.316,14</w:t>
            </w:r>
          </w:p>
        </w:tc>
        <w:tc>
          <w:tcPr>
            <w:tcW w:w="1271" w:type="dxa"/>
            <w:vAlign w:val="center"/>
            <w:hideMark/>
          </w:tcPr>
          <w:p w14:paraId="10CE3F98"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147.504,25</w:t>
            </w:r>
          </w:p>
        </w:tc>
        <w:tc>
          <w:tcPr>
            <w:tcW w:w="1392" w:type="dxa"/>
            <w:vAlign w:val="center"/>
            <w:hideMark/>
          </w:tcPr>
          <w:p w14:paraId="536A69E8"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188.273,70</w:t>
            </w:r>
          </w:p>
        </w:tc>
        <w:tc>
          <w:tcPr>
            <w:tcW w:w="1393" w:type="dxa"/>
            <w:tcBorders>
              <w:right w:val="single" w:sz="8" w:space="0" w:color="D2232A"/>
            </w:tcBorders>
            <w:vAlign w:val="center"/>
            <w:hideMark/>
          </w:tcPr>
          <w:p w14:paraId="346DD242"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164.454,00</w:t>
            </w:r>
          </w:p>
        </w:tc>
        <w:tc>
          <w:tcPr>
            <w:tcW w:w="1255" w:type="dxa"/>
            <w:tcBorders>
              <w:left w:val="single" w:sz="8" w:space="0" w:color="D2232A"/>
              <w:right w:val="single" w:sz="8" w:space="0" w:color="D2232A"/>
            </w:tcBorders>
            <w:vAlign w:val="center"/>
            <w:hideMark/>
          </w:tcPr>
          <w:p w14:paraId="7427F3CF" w14:textId="770677A8" w:rsidR="008878A0" w:rsidRPr="00DE56D5" w:rsidRDefault="004E2A1F" w:rsidP="00891CD3">
            <w:pPr>
              <w:autoSpaceDE w:val="0"/>
              <w:autoSpaceDN w:val="0"/>
              <w:adjustRightInd w:val="0"/>
              <w:spacing w:after="0"/>
              <w:jc w:val="right"/>
              <w:rPr>
                <w:rFonts w:eastAsia="ArialNarrow" w:cstheme="minorHAnsi"/>
                <w:szCs w:val="18"/>
              </w:rPr>
            </w:pPr>
            <w:r w:rsidRPr="004E2A1F">
              <w:rPr>
                <w:rFonts w:cstheme="minorHAnsi"/>
                <w:color w:val="000000"/>
                <w:szCs w:val="18"/>
              </w:rPr>
              <w:t>139</w:t>
            </w:r>
            <w:r>
              <w:rPr>
                <w:rFonts w:cstheme="minorHAnsi"/>
                <w:color w:val="000000"/>
                <w:szCs w:val="18"/>
              </w:rPr>
              <w:t>.</w:t>
            </w:r>
            <w:r w:rsidRPr="004E2A1F">
              <w:rPr>
                <w:rFonts w:cstheme="minorHAnsi"/>
                <w:color w:val="000000"/>
                <w:szCs w:val="18"/>
              </w:rPr>
              <w:t>077</w:t>
            </w:r>
            <w:r>
              <w:rPr>
                <w:rFonts w:cstheme="minorHAnsi"/>
                <w:color w:val="000000"/>
                <w:szCs w:val="18"/>
              </w:rPr>
              <w:t>,00</w:t>
            </w:r>
          </w:p>
        </w:tc>
        <w:tc>
          <w:tcPr>
            <w:tcW w:w="1532" w:type="dxa"/>
            <w:tcBorders>
              <w:left w:val="single" w:sz="8" w:space="0" w:color="D2232A"/>
              <w:right w:val="single" w:sz="8" w:space="0" w:color="D2232A"/>
            </w:tcBorders>
            <w:vAlign w:val="center"/>
            <w:hideMark/>
          </w:tcPr>
          <w:p w14:paraId="3BC13121" w14:textId="2D3E898E" w:rsidR="008878A0" w:rsidRPr="007F5A38" w:rsidRDefault="00DB3771" w:rsidP="00891CD3">
            <w:pPr>
              <w:autoSpaceDE w:val="0"/>
              <w:autoSpaceDN w:val="0"/>
              <w:adjustRightInd w:val="0"/>
              <w:spacing w:after="0"/>
              <w:jc w:val="right"/>
              <w:rPr>
                <w:rFonts w:eastAsia="ArialNarrow" w:cstheme="minorHAnsi"/>
                <w:szCs w:val="18"/>
                <w:highlight w:val="yellow"/>
              </w:rPr>
            </w:pPr>
            <w:r w:rsidRPr="00DB3771">
              <w:rPr>
                <w:rFonts w:cstheme="minorHAnsi"/>
                <w:color w:val="000000"/>
                <w:szCs w:val="18"/>
              </w:rPr>
              <w:t>152</w:t>
            </w:r>
            <w:r>
              <w:rPr>
                <w:rFonts w:cstheme="minorHAnsi"/>
                <w:color w:val="000000"/>
                <w:szCs w:val="18"/>
              </w:rPr>
              <w:t>.</w:t>
            </w:r>
            <w:r w:rsidRPr="00DB3771">
              <w:rPr>
                <w:rFonts w:cstheme="minorHAnsi"/>
                <w:color w:val="000000"/>
                <w:szCs w:val="18"/>
              </w:rPr>
              <w:t>816,94</w:t>
            </w:r>
          </w:p>
        </w:tc>
      </w:tr>
      <w:tr w:rsidR="00966675" w:rsidRPr="00DE56D5" w14:paraId="378A7407" w14:textId="77777777" w:rsidTr="00546DAE">
        <w:trPr>
          <w:trHeight w:val="282"/>
        </w:trPr>
        <w:tc>
          <w:tcPr>
            <w:tcW w:w="1111" w:type="dxa"/>
            <w:tcBorders>
              <w:left w:val="single" w:sz="8" w:space="0" w:color="D2232A"/>
              <w:right w:val="single" w:sz="8" w:space="0" w:color="D2232A"/>
            </w:tcBorders>
            <w:vAlign w:val="center"/>
            <w:hideMark/>
          </w:tcPr>
          <w:p w14:paraId="2DBEE46A"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ZLATAR BISTRICA</w:t>
            </w:r>
          </w:p>
        </w:tc>
        <w:tc>
          <w:tcPr>
            <w:tcW w:w="1271" w:type="dxa"/>
            <w:tcBorders>
              <w:left w:val="single" w:sz="8" w:space="0" w:color="D2232A"/>
            </w:tcBorders>
            <w:vAlign w:val="center"/>
            <w:hideMark/>
          </w:tcPr>
          <w:p w14:paraId="0F4D91D9"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518.293,45</w:t>
            </w:r>
          </w:p>
        </w:tc>
        <w:tc>
          <w:tcPr>
            <w:tcW w:w="1271" w:type="dxa"/>
            <w:vAlign w:val="center"/>
            <w:hideMark/>
          </w:tcPr>
          <w:p w14:paraId="2DE0F56B"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333.327,86</w:t>
            </w:r>
          </w:p>
        </w:tc>
        <w:tc>
          <w:tcPr>
            <w:tcW w:w="1392" w:type="dxa"/>
            <w:vAlign w:val="center"/>
            <w:hideMark/>
          </w:tcPr>
          <w:p w14:paraId="2A33DD91"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691.801,35</w:t>
            </w:r>
          </w:p>
        </w:tc>
        <w:tc>
          <w:tcPr>
            <w:tcW w:w="1393" w:type="dxa"/>
            <w:tcBorders>
              <w:right w:val="single" w:sz="8" w:space="0" w:color="D2232A"/>
            </w:tcBorders>
            <w:vAlign w:val="center"/>
            <w:hideMark/>
          </w:tcPr>
          <w:p w14:paraId="22C7D965"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595.454,96</w:t>
            </w:r>
          </w:p>
        </w:tc>
        <w:tc>
          <w:tcPr>
            <w:tcW w:w="1255" w:type="dxa"/>
            <w:tcBorders>
              <w:left w:val="single" w:sz="8" w:space="0" w:color="D2232A"/>
              <w:right w:val="single" w:sz="8" w:space="0" w:color="D2232A"/>
            </w:tcBorders>
            <w:vAlign w:val="center"/>
            <w:hideMark/>
          </w:tcPr>
          <w:p w14:paraId="67EBC9BC" w14:textId="4B38438C" w:rsidR="008878A0" w:rsidRPr="00DE56D5" w:rsidRDefault="002B4FAB" w:rsidP="00891CD3">
            <w:pPr>
              <w:autoSpaceDE w:val="0"/>
              <w:autoSpaceDN w:val="0"/>
              <w:adjustRightInd w:val="0"/>
              <w:spacing w:after="0"/>
              <w:jc w:val="right"/>
              <w:rPr>
                <w:rFonts w:eastAsia="ArialNarrow" w:cstheme="minorHAnsi"/>
                <w:szCs w:val="18"/>
              </w:rPr>
            </w:pPr>
            <w:r w:rsidRPr="002B4FAB">
              <w:rPr>
                <w:rFonts w:cstheme="minorHAnsi"/>
                <w:color w:val="000000"/>
                <w:szCs w:val="18"/>
              </w:rPr>
              <w:t>486.023,85</w:t>
            </w:r>
          </w:p>
        </w:tc>
        <w:tc>
          <w:tcPr>
            <w:tcW w:w="1532" w:type="dxa"/>
            <w:tcBorders>
              <w:left w:val="single" w:sz="8" w:space="0" w:color="D2232A"/>
              <w:right w:val="single" w:sz="8" w:space="0" w:color="D2232A"/>
            </w:tcBorders>
            <w:vAlign w:val="center"/>
            <w:hideMark/>
          </w:tcPr>
          <w:p w14:paraId="5BA72D87" w14:textId="5AD6A768" w:rsidR="008878A0" w:rsidRPr="007F5A38" w:rsidRDefault="00422DCE" w:rsidP="00891CD3">
            <w:pPr>
              <w:autoSpaceDE w:val="0"/>
              <w:autoSpaceDN w:val="0"/>
              <w:adjustRightInd w:val="0"/>
              <w:spacing w:after="0"/>
              <w:jc w:val="right"/>
              <w:rPr>
                <w:rFonts w:eastAsia="ArialNarrow" w:cstheme="minorHAnsi"/>
                <w:szCs w:val="18"/>
                <w:highlight w:val="yellow"/>
              </w:rPr>
            </w:pPr>
            <w:r w:rsidRPr="00422DCE">
              <w:rPr>
                <w:rFonts w:eastAsia="ArialNarrow" w:cstheme="minorHAnsi"/>
                <w:szCs w:val="18"/>
              </w:rPr>
              <w:t>597.579,17</w:t>
            </w:r>
          </w:p>
        </w:tc>
      </w:tr>
      <w:tr w:rsidR="00966675" w:rsidRPr="00DE56D5" w14:paraId="08242AFC" w14:textId="77777777" w:rsidTr="00546DAE">
        <w:trPr>
          <w:trHeight w:val="282"/>
        </w:trPr>
        <w:tc>
          <w:tcPr>
            <w:tcW w:w="1111" w:type="dxa"/>
            <w:tcBorders>
              <w:left w:val="single" w:sz="8" w:space="0" w:color="D2232A"/>
              <w:right w:val="single" w:sz="8" w:space="0" w:color="D2232A"/>
            </w:tcBorders>
            <w:vAlign w:val="center"/>
            <w:hideMark/>
          </w:tcPr>
          <w:p w14:paraId="5591FE2B"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DONJA STUBICA</w:t>
            </w:r>
          </w:p>
        </w:tc>
        <w:tc>
          <w:tcPr>
            <w:tcW w:w="1271" w:type="dxa"/>
            <w:tcBorders>
              <w:left w:val="single" w:sz="8" w:space="0" w:color="D2232A"/>
            </w:tcBorders>
            <w:vAlign w:val="center"/>
            <w:hideMark/>
          </w:tcPr>
          <w:p w14:paraId="5CD0985A"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677.702,05</w:t>
            </w:r>
          </w:p>
        </w:tc>
        <w:tc>
          <w:tcPr>
            <w:tcW w:w="1271" w:type="dxa"/>
            <w:vAlign w:val="center"/>
            <w:hideMark/>
          </w:tcPr>
          <w:p w14:paraId="4971A1A4"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663.041,74</w:t>
            </w:r>
          </w:p>
        </w:tc>
        <w:tc>
          <w:tcPr>
            <w:tcW w:w="1392" w:type="dxa"/>
            <w:vAlign w:val="center"/>
            <w:hideMark/>
          </w:tcPr>
          <w:p w14:paraId="2752EE77"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625.268,90</w:t>
            </w:r>
          </w:p>
        </w:tc>
        <w:tc>
          <w:tcPr>
            <w:tcW w:w="1393" w:type="dxa"/>
            <w:tcBorders>
              <w:right w:val="single" w:sz="8" w:space="0" w:color="D2232A"/>
            </w:tcBorders>
            <w:vAlign w:val="center"/>
            <w:hideMark/>
          </w:tcPr>
          <w:p w14:paraId="3393158F"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752.252,36</w:t>
            </w:r>
          </w:p>
        </w:tc>
        <w:tc>
          <w:tcPr>
            <w:tcW w:w="1255" w:type="dxa"/>
            <w:tcBorders>
              <w:left w:val="single" w:sz="8" w:space="0" w:color="D2232A"/>
              <w:right w:val="single" w:sz="8" w:space="0" w:color="D2232A"/>
            </w:tcBorders>
            <w:vAlign w:val="center"/>
            <w:hideMark/>
          </w:tcPr>
          <w:p w14:paraId="2CAEEFFC" w14:textId="2573B5F8" w:rsidR="008878A0" w:rsidRPr="004711BB" w:rsidRDefault="004711BB" w:rsidP="00891CD3">
            <w:pPr>
              <w:autoSpaceDE w:val="0"/>
              <w:autoSpaceDN w:val="0"/>
              <w:adjustRightInd w:val="0"/>
              <w:spacing w:after="0"/>
              <w:jc w:val="right"/>
              <w:rPr>
                <w:rFonts w:eastAsia="ArialNarrow" w:cstheme="minorHAnsi"/>
                <w:szCs w:val="18"/>
              </w:rPr>
            </w:pPr>
            <w:r w:rsidRPr="004711BB">
              <w:rPr>
                <w:rFonts w:cstheme="minorHAnsi"/>
                <w:color w:val="000000"/>
                <w:szCs w:val="18"/>
              </w:rPr>
              <w:t>694.982,21</w:t>
            </w:r>
          </w:p>
        </w:tc>
        <w:tc>
          <w:tcPr>
            <w:tcW w:w="1532" w:type="dxa"/>
            <w:tcBorders>
              <w:left w:val="single" w:sz="8" w:space="0" w:color="D2232A"/>
              <w:right w:val="single" w:sz="8" w:space="0" w:color="D2232A"/>
            </w:tcBorders>
            <w:vAlign w:val="center"/>
            <w:hideMark/>
          </w:tcPr>
          <w:p w14:paraId="4E3952A4" w14:textId="2B08285D" w:rsidR="008878A0" w:rsidRPr="001D0424" w:rsidRDefault="001D0424" w:rsidP="00891CD3">
            <w:pPr>
              <w:autoSpaceDE w:val="0"/>
              <w:autoSpaceDN w:val="0"/>
              <w:adjustRightInd w:val="0"/>
              <w:spacing w:after="0"/>
              <w:jc w:val="right"/>
              <w:rPr>
                <w:rFonts w:eastAsia="ArialNarrow" w:cstheme="minorHAnsi"/>
                <w:szCs w:val="18"/>
                <w:highlight w:val="yellow"/>
              </w:rPr>
            </w:pPr>
            <w:r w:rsidRPr="001D0424">
              <w:rPr>
                <w:rFonts w:cstheme="minorHAnsi"/>
                <w:color w:val="000000"/>
                <w:szCs w:val="18"/>
              </w:rPr>
              <w:t>897.704,81</w:t>
            </w:r>
          </w:p>
        </w:tc>
      </w:tr>
      <w:tr w:rsidR="00966675" w:rsidRPr="00DE56D5" w14:paraId="50F0272F" w14:textId="77777777" w:rsidTr="00546DAE">
        <w:trPr>
          <w:trHeight w:val="282"/>
        </w:trPr>
        <w:tc>
          <w:tcPr>
            <w:tcW w:w="1111" w:type="dxa"/>
            <w:tcBorders>
              <w:left w:val="single" w:sz="8" w:space="0" w:color="D2232A"/>
              <w:right w:val="single" w:sz="8" w:space="0" w:color="D2232A"/>
            </w:tcBorders>
            <w:vAlign w:val="center"/>
            <w:hideMark/>
          </w:tcPr>
          <w:p w14:paraId="6E91AB02"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KLANJEC</w:t>
            </w:r>
          </w:p>
        </w:tc>
        <w:tc>
          <w:tcPr>
            <w:tcW w:w="1271" w:type="dxa"/>
            <w:tcBorders>
              <w:left w:val="single" w:sz="8" w:space="0" w:color="D2232A"/>
            </w:tcBorders>
            <w:vAlign w:val="center"/>
            <w:hideMark/>
          </w:tcPr>
          <w:p w14:paraId="655A6509"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342.292,00</w:t>
            </w:r>
          </w:p>
        </w:tc>
        <w:tc>
          <w:tcPr>
            <w:tcW w:w="1271" w:type="dxa"/>
            <w:vAlign w:val="center"/>
            <w:hideMark/>
          </w:tcPr>
          <w:p w14:paraId="57E2E71B"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311.211,00</w:t>
            </w:r>
          </w:p>
        </w:tc>
        <w:tc>
          <w:tcPr>
            <w:tcW w:w="1392" w:type="dxa"/>
            <w:vAlign w:val="center"/>
            <w:hideMark/>
          </w:tcPr>
          <w:p w14:paraId="36C8D2AC"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267.666,00</w:t>
            </w:r>
          </w:p>
        </w:tc>
        <w:tc>
          <w:tcPr>
            <w:tcW w:w="1393" w:type="dxa"/>
            <w:tcBorders>
              <w:right w:val="single" w:sz="8" w:space="0" w:color="D2232A"/>
            </w:tcBorders>
            <w:vAlign w:val="center"/>
            <w:hideMark/>
          </w:tcPr>
          <w:p w14:paraId="5146DE7C"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353.584,00</w:t>
            </w:r>
          </w:p>
        </w:tc>
        <w:tc>
          <w:tcPr>
            <w:tcW w:w="1255" w:type="dxa"/>
            <w:tcBorders>
              <w:left w:val="single" w:sz="8" w:space="0" w:color="D2232A"/>
              <w:right w:val="single" w:sz="8" w:space="0" w:color="D2232A"/>
            </w:tcBorders>
            <w:vAlign w:val="center"/>
            <w:hideMark/>
          </w:tcPr>
          <w:p w14:paraId="26D21842" w14:textId="2301ABE5" w:rsidR="008878A0" w:rsidRPr="00DE56D5" w:rsidRDefault="00ED6F7E" w:rsidP="00891CD3">
            <w:pPr>
              <w:autoSpaceDE w:val="0"/>
              <w:autoSpaceDN w:val="0"/>
              <w:adjustRightInd w:val="0"/>
              <w:spacing w:after="0"/>
              <w:jc w:val="right"/>
              <w:rPr>
                <w:rFonts w:eastAsia="ArialNarrow" w:cstheme="minorHAnsi"/>
                <w:szCs w:val="18"/>
              </w:rPr>
            </w:pPr>
            <w:r>
              <w:rPr>
                <w:rFonts w:cstheme="minorHAnsi"/>
                <w:color w:val="000000"/>
                <w:szCs w:val="18"/>
              </w:rPr>
              <w:t>4</w:t>
            </w:r>
            <w:r w:rsidR="00282700">
              <w:rPr>
                <w:rFonts w:cstheme="minorHAnsi"/>
                <w:color w:val="000000"/>
                <w:szCs w:val="18"/>
              </w:rPr>
              <w:t>50</w:t>
            </w:r>
            <w:r>
              <w:rPr>
                <w:rFonts w:cstheme="minorHAnsi"/>
                <w:color w:val="000000"/>
                <w:szCs w:val="18"/>
              </w:rPr>
              <w:t>.000</w:t>
            </w:r>
            <w:r w:rsidR="00650BD6">
              <w:rPr>
                <w:rFonts w:cstheme="minorHAnsi"/>
                <w:color w:val="000000"/>
                <w:szCs w:val="18"/>
              </w:rPr>
              <w:t>,00</w:t>
            </w:r>
          </w:p>
        </w:tc>
        <w:tc>
          <w:tcPr>
            <w:tcW w:w="1532" w:type="dxa"/>
            <w:tcBorders>
              <w:left w:val="single" w:sz="8" w:space="0" w:color="D2232A"/>
              <w:right w:val="single" w:sz="8" w:space="0" w:color="D2232A"/>
            </w:tcBorders>
            <w:vAlign w:val="center"/>
            <w:hideMark/>
          </w:tcPr>
          <w:p w14:paraId="64F97451" w14:textId="4EF7F741" w:rsidR="008878A0" w:rsidRPr="007F5A38" w:rsidRDefault="00737C21" w:rsidP="00891CD3">
            <w:pPr>
              <w:autoSpaceDE w:val="0"/>
              <w:autoSpaceDN w:val="0"/>
              <w:adjustRightInd w:val="0"/>
              <w:spacing w:after="0"/>
              <w:jc w:val="right"/>
              <w:rPr>
                <w:rFonts w:eastAsia="ArialNarrow" w:cstheme="minorHAnsi"/>
                <w:szCs w:val="18"/>
                <w:highlight w:val="yellow"/>
              </w:rPr>
            </w:pPr>
            <w:r w:rsidRPr="00737C21">
              <w:rPr>
                <w:rFonts w:eastAsia="ArialNarrow" w:cstheme="minorHAnsi"/>
                <w:szCs w:val="18"/>
              </w:rPr>
              <w:t>535.300,00</w:t>
            </w:r>
          </w:p>
        </w:tc>
      </w:tr>
      <w:tr w:rsidR="00966675" w:rsidRPr="00DE56D5" w14:paraId="426FFA38" w14:textId="77777777" w:rsidTr="00546DAE">
        <w:trPr>
          <w:trHeight w:val="282"/>
        </w:trPr>
        <w:tc>
          <w:tcPr>
            <w:tcW w:w="1111" w:type="dxa"/>
            <w:tcBorders>
              <w:left w:val="single" w:sz="8" w:space="0" w:color="D2232A"/>
              <w:right w:val="single" w:sz="8" w:space="0" w:color="D2232A"/>
            </w:tcBorders>
            <w:vAlign w:val="center"/>
            <w:hideMark/>
          </w:tcPr>
          <w:p w14:paraId="281C1529"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KRAPINA</w:t>
            </w:r>
          </w:p>
        </w:tc>
        <w:tc>
          <w:tcPr>
            <w:tcW w:w="1271" w:type="dxa"/>
            <w:tcBorders>
              <w:left w:val="single" w:sz="8" w:space="0" w:color="D2232A"/>
            </w:tcBorders>
            <w:vAlign w:val="center"/>
            <w:hideMark/>
          </w:tcPr>
          <w:p w14:paraId="58648CA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571.136,00</w:t>
            </w:r>
          </w:p>
        </w:tc>
        <w:tc>
          <w:tcPr>
            <w:tcW w:w="1271" w:type="dxa"/>
            <w:vAlign w:val="center"/>
            <w:hideMark/>
          </w:tcPr>
          <w:p w14:paraId="2473C1F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535.936,00</w:t>
            </w:r>
          </w:p>
        </w:tc>
        <w:tc>
          <w:tcPr>
            <w:tcW w:w="1392" w:type="dxa"/>
            <w:vAlign w:val="center"/>
            <w:hideMark/>
          </w:tcPr>
          <w:p w14:paraId="07E4495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524.490,00</w:t>
            </w:r>
          </w:p>
        </w:tc>
        <w:tc>
          <w:tcPr>
            <w:tcW w:w="1393" w:type="dxa"/>
            <w:tcBorders>
              <w:right w:val="single" w:sz="8" w:space="0" w:color="D2232A"/>
            </w:tcBorders>
            <w:vAlign w:val="center"/>
            <w:hideMark/>
          </w:tcPr>
          <w:p w14:paraId="5BDF5691"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490.596,00</w:t>
            </w:r>
          </w:p>
        </w:tc>
        <w:tc>
          <w:tcPr>
            <w:tcW w:w="1255" w:type="dxa"/>
            <w:tcBorders>
              <w:left w:val="single" w:sz="8" w:space="0" w:color="D2232A"/>
              <w:right w:val="single" w:sz="8" w:space="0" w:color="D2232A"/>
            </w:tcBorders>
            <w:vAlign w:val="center"/>
            <w:hideMark/>
          </w:tcPr>
          <w:p w14:paraId="2208D417" w14:textId="401C37CC" w:rsidR="008878A0" w:rsidRPr="00DE56D5" w:rsidRDefault="000B6D47" w:rsidP="00891CD3">
            <w:pPr>
              <w:autoSpaceDE w:val="0"/>
              <w:autoSpaceDN w:val="0"/>
              <w:adjustRightInd w:val="0"/>
              <w:spacing w:after="0"/>
              <w:jc w:val="right"/>
              <w:rPr>
                <w:rFonts w:eastAsia="ArialNarrow" w:cstheme="minorHAnsi"/>
                <w:szCs w:val="18"/>
              </w:rPr>
            </w:pPr>
            <w:r w:rsidRPr="000B6D47">
              <w:rPr>
                <w:rFonts w:eastAsia="ArialNarrow" w:cstheme="minorHAnsi"/>
                <w:szCs w:val="18"/>
              </w:rPr>
              <w:t>788.272</w:t>
            </w:r>
            <w:r>
              <w:rPr>
                <w:rFonts w:eastAsia="ArialNarrow" w:cstheme="minorHAnsi"/>
                <w:szCs w:val="18"/>
              </w:rPr>
              <w:t>,00</w:t>
            </w:r>
          </w:p>
        </w:tc>
        <w:tc>
          <w:tcPr>
            <w:tcW w:w="1532" w:type="dxa"/>
            <w:tcBorders>
              <w:left w:val="single" w:sz="8" w:space="0" w:color="D2232A"/>
              <w:right w:val="single" w:sz="8" w:space="0" w:color="D2232A"/>
            </w:tcBorders>
            <w:vAlign w:val="center"/>
            <w:hideMark/>
          </w:tcPr>
          <w:p w14:paraId="47BD40E9" w14:textId="64A274E9" w:rsidR="008878A0" w:rsidRPr="007F5A38" w:rsidRDefault="000B6D47" w:rsidP="00891CD3">
            <w:pPr>
              <w:autoSpaceDE w:val="0"/>
              <w:autoSpaceDN w:val="0"/>
              <w:adjustRightInd w:val="0"/>
              <w:spacing w:after="0"/>
              <w:jc w:val="right"/>
              <w:rPr>
                <w:rFonts w:eastAsia="ArialNarrow" w:cstheme="minorHAnsi"/>
                <w:szCs w:val="18"/>
                <w:highlight w:val="yellow"/>
              </w:rPr>
            </w:pPr>
            <w:r w:rsidRPr="000B6D47">
              <w:rPr>
                <w:rFonts w:eastAsia="ArialNarrow" w:cstheme="minorHAnsi"/>
                <w:szCs w:val="18"/>
              </w:rPr>
              <w:t>929.306</w:t>
            </w:r>
            <w:r>
              <w:rPr>
                <w:rFonts w:eastAsia="ArialNarrow" w:cstheme="minorHAnsi"/>
                <w:szCs w:val="18"/>
              </w:rPr>
              <w:t>,00</w:t>
            </w:r>
          </w:p>
        </w:tc>
      </w:tr>
      <w:tr w:rsidR="00966675" w:rsidRPr="00DE56D5" w14:paraId="4A4EF358" w14:textId="77777777" w:rsidTr="00546DAE">
        <w:trPr>
          <w:trHeight w:val="282"/>
        </w:trPr>
        <w:tc>
          <w:tcPr>
            <w:tcW w:w="1111" w:type="dxa"/>
            <w:tcBorders>
              <w:left w:val="single" w:sz="8" w:space="0" w:color="D2232A"/>
              <w:right w:val="single" w:sz="8" w:space="0" w:color="D2232A"/>
            </w:tcBorders>
            <w:vAlign w:val="center"/>
            <w:hideMark/>
          </w:tcPr>
          <w:p w14:paraId="5CDF0C6F"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OROSLAVJE</w:t>
            </w:r>
          </w:p>
        </w:tc>
        <w:tc>
          <w:tcPr>
            <w:tcW w:w="1271" w:type="dxa"/>
            <w:tcBorders>
              <w:left w:val="single" w:sz="8" w:space="0" w:color="D2232A"/>
            </w:tcBorders>
            <w:vAlign w:val="center"/>
            <w:hideMark/>
          </w:tcPr>
          <w:p w14:paraId="73ECF336"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835.894,45</w:t>
            </w:r>
          </w:p>
        </w:tc>
        <w:tc>
          <w:tcPr>
            <w:tcW w:w="1271" w:type="dxa"/>
            <w:vAlign w:val="center"/>
            <w:hideMark/>
          </w:tcPr>
          <w:p w14:paraId="643B463E"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773.215,86</w:t>
            </w:r>
          </w:p>
        </w:tc>
        <w:tc>
          <w:tcPr>
            <w:tcW w:w="1392" w:type="dxa"/>
            <w:vAlign w:val="center"/>
            <w:hideMark/>
          </w:tcPr>
          <w:p w14:paraId="51029A74"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719.182,35</w:t>
            </w:r>
          </w:p>
        </w:tc>
        <w:tc>
          <w:tcPr>
            <w:tcW w:w="1393" w:type="dxa"/>
            <w:tcBorders>
              <w:right w:val="single" w:sz="8" w:space="0" w:color="D2232A"/>
            </w:tcBorders>
            <w:vAlign w:val="center"/>
            <w:hideMark/>
          </w:tcPr>
          <w:p w14:paraId="6BEC3D7D"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925.473,96</w:t>
            </w:r>
          </w:p>
        </w:tc>
        <w:tc>
          <w:tcPr>
            <w:tcW w:w="1255" w:type="dxa"/>
            <w:tcBorders>
              <w:left w:val="single" w:sz="8" w:space="0" w:color="D2232A"/>
              <w:right w:val="single" w:sz="8" w:space="0" w:color="D2232A"/>
            </w:tcBorders>
            <w:vAlign w:val="center"/>
            <w:hideMark/>
          </w:tcPr>
          <w:p w14:paraId="60FFCD15" w14:textId="1990C5D6" w:rsidR="008878A0" w:rsidRPr="00DE56D5" w:rsidRDefault="00034CBC" w:rsidP="00891CD3">
            <w:pPr>
              <w:autoSpaceDE w:val="0"/>
              <w:autoSpaceDN w:val="0"/>
              <w:adjustRightInd w:val="0"/>
              <w:spacing w:after="0"/>
              <w:jc w:val="right"/>
              <w:rPr>
                <w:rFonts w:eastAsia="ArialNarrow" w:cstheme="minorHAnsi"/>
                <w:szCs w:val="18"/>
              </w:rPr>
            </w:pPr>
            <w:r>
              <w:rPr>
                <w:rFonts w:cstheme="minorHAnsi"/>
                <w:color w:val="000000"/>
                <w:szCs w:val="18"/>
              </w:rPr>
              <w:t>735.000,00</w:t>
            </w:r>
          </w:p>
        </w:tc>
        <w:tc>
          <w:tcPr>
            <w:tcW w:w="1532" w:type="dxa"/>
            <w:tcBorders>
              <w:left w:val="single" w:sz="8" w:space="0" w:color="D2232A"/>
              <w:right w:val="single" w:sz="8" w:space="0" w:color="D2232A"/>
            </w:tcBorders>
            <w:vAlign w:val="center"/>
            <w:hideMark/>
          </w:tcPr>
          <w:p w14:paraId="506B9564" w14:textId="41DAC8BC" w:rsidR="008878A0" w:rsidRPr="007F5A38" w:rsidRDefault="00A7606E" w:rsidP="00891CD3">
            <w:pPr>
              <w:autoSpaceDE w:val="0"/>
              <w:autoSpaceDN w:val="0"/>
              <w:adjustRightInd w:val="0"/>
              <w:spacing w:after="0"/>
              <w:jc w:val="right"/>
              <w:rPr>
                <w:rFonts w:eastAsia="ArialNarrow" w:cstheme="minorHAnsi"/>
                <w:szCs w:val="18"/>
                <w:highlight w:val="yellow"/>
              </w:rPr>
            </w:pPr>
            <w:r w:rsidRPr="00A7606E">
              <w:rPr>
                <w:rFonts w:cstheme="minorHAnsi"/>
                <w:color w:val="000000"/>
                <w:szCs w:val="18"/>
              </w:rPr>
              <w:t>987.988,41</w:t>
            </w:r>
          </w:p>
        </w:tc>
      </w:tr>
      <w:tr w:rsidR="00966675" w:rsidRPr="00DE56D5" w14:paraId="12B1B6C8" w14:textId="77777777" w:rsidTr="00546DAE">
        <w:trPr>
          <w:trHeight w:val="282"/>
        </w:trPr>
        <w:tc>
          <w:tcPr>
            <w:tcW w:w="1111" w:type="dxa"/>
            <w:tcBorders>
              <w:left w:val="single" w:sz="8" w:space="0" w:color="D2232A"/>
              <w:right w:val="single" w:sz="8" w:space="0" w:color="D2232A"/>
            </w:tcBorders>
            <w:vAlign w:val="center"/>
            <w:hideMark/>
          </w:tcPr>
          <w:p w14:paraId="51DA64E3"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PREGRADA</w:t>
            </w:r>
          </w:p>
        </w:tc>
        <w:tc>
          <w:tcPr>
            <w:tcW w:w="1271" w:type="dxa"/>
            <w:tcBorders>
              <w:left w:val="single" w:sz="8" w:space="0" w:color="D2232A"/>
            </w:tcBorders>
            <w:vAlign w:val="center"/>
            <w:hideMark/>
          </w:tcPr>
          <w:p w14:paraId="425D4436" w14:textId="689C1A0A" w:rsidR="008878A0" w:rsidRPr="00DE56D5" w:rsidRDefault="00D039C6" w:rsidP="00891CD3">
            <w:pPr>
              <w:autoSpaceDE w:val="0"/>
              <w:autoSpaceDN w:val="0"/>
              <w:adjustRightInd w:val="0"/>
              <w:spacing w:after="0"/>
              <w:jc w:val="right"/>
              <w:rPr>
                <w:rFonts w:eastAsia="ArialNarrow" w:cstheme="minorHAnsi"/>
                <w:szCs w:val="18"/>
              </w:rPr>
            </w:pPr>
            <w:r>
              <w:rPr>
                <w:rFonts w:cstheme="minorHAnsi"/>
                <w:color w:val="000000"/>
                <w:szCs w:val="18"/>
              </w:rPr>
              <w:t>650.197,50</w:t>
            </w:r>
          </w:p>
        </w:tc>
        <w:tc>
          <w:tcPr>
            <w:tcW w:w="1271" w:type="dxa"/>
            <w:vAlign w:val="center"/>
            <w:hideMark/>
          </w:tcPr>
          <w:p w14:paraId="0F0EAD1A" w14:textId="5ACC2FC8" w:rsidR="008878A0" w:rsidRPr="00DE56D5" w:rsidRDefault="007765F6" w:rsidP="00891CD3">
            <w:pPr>
              <w:autoSpaceDE w:val="0"/>
              <w:autoSpaceDN w:val="0"/>
              <w:adjustRightInd w:val="0"/>
              <w:spacing w:after="0"/>
              <w:jc w:val="right"/>
              <w:rPr>
                <w:rFonts w:eastAsia="ArialNarrow" w:cstheme="minorHAnsi"/>
                <w:szCs w:val="18"/>
              </w:rPr>
            </w:pPr>
            <w:r>
              <w:rPr>
                <w:rFonts w:eastAsia="ArialNarrow" w:cstheme="minorHAnsi"/>
                <w:szCs w:val="18"/>
              </w:rPr>
              <w:t>534.635,01</w:t>
            </w:r>
          </w:p>
        </w:tc>
        <w:tc>
          <w:tcPr>
            <w:tcW w:w="1392" w:type="dxa"/>
            <w:vAlign w:val="center"/>
            <w:hideMark/>
          </w:tcPr>
          <w:p w14:paraId="41137DFC" w14:textId="0015D80B" w:rsidR="008878A0" w:rsidRPr="00DE56D5" w:rsidRDefault="007765F6" w:rsidP="00891CD3">
            <w:pPr>
              <w:autoSpaceDE w:val="0"/>
              <w:autoSpaceDN w:val="0"/>
              <w:adjustRightInd w:val="0"/>
              <w:spacing w:after="0"/>
              <w:jc w:val="right"/>
              <w:rPr>
                <w:rFonts w:eastAsia="ArialNarrow" w:cstheme="minorHAnsi"/>
                <w:szCs w:val="18"/>
              </w:rPr>
            </w:pPr>
            <w:r>
              <w:rPr>
                <w:rFonts w:eastAsia="ArialNarrow" w:cstheme="minorHAnsi"/>
                <w:szCs w:val="18"/>
              </w:rPr>
              <w:t>519.494,73</w:t>
            </w:r>
          </w:p>
        </w:tc>
        <w:tc>
          <w:tcPr>
            <w:tcW w:w="1393" w:type="dxa"/>
            <w:tcBorders>
              <w:right w:val="single" w:sz="8" w:space="0" w:color="D2232A"/>
            </w:tcBorders>
            <w:vAlign w:val="center"/>
            <w:hideMark/>
          </w:tcPr>
          <w:p w14:paraId="23D50796" w14:textId="400AF692" w:rsidR="008878A0" w:rsidRPr="00DE56D5" w:rsidRDefault="00BC3738" w:rsidP="00891CD3">
            <w:pPr>
              <w:autoSpaceDE w:val="0"/>
              <w:autoSpaceDN w:val="0"/>
              <w:adjustRightInd w:val="0"/>
              <w:spacing w:after="0"/>
              <w:jc w:val="right"/>
              <w:rPr>
                <w:rFonts w:eastAsia="ArialNarrow" w:cstheme="minorHAnsi"/>
                <w:szCs w:val="18"/>
              </w:rPr>
            </w:pPr>
            <w:r>
              <w:rPr>
                <w:rFonts w:cstheme="minorHAnsi"/>
                <w:color w:val="000000"/>
                <w:szCs w:val="18"/>
              </w:rPr>
              <w:t>803.707,13</w:t>
            </w:r>
          </w:p>
        </w:tc>
        <w:tc>
          <w:tcPr>
            <w:tcW w:w="1255" w:type="dxa"/>
            <w:tcBorders>
              <w:left w:val="single" w:sz="8" w:space="0" w:color="D2232A"/>
              <w:right w:val="single" w:sz="8" w:space="0" w:color="D2232A"/>
            </w:tcBorders>
            <w:vAlign w:val="center"/>
            <w:hideMark/>
          </w:tcPr>
          <w:p w14:paraId="3E90D391" w14:textId="47563B2A" w:rsidR="008878A0" w:rsidRPr="00DE56D5" w:rsidRDefault="00FB1EB3" w:rsidP="00891CD3">
            <w:pPr>
              <w:autoSpaceDE w:val="0"/>
              <w:autoSpaceDN w:val="0"/>
              <w:adjustRightInd w:val="0"/>
              <w:spacing w:after="0"/>
              <w:jc w:val="right"/>
              <w:rPr>
                <w:rFonts w:eastAsia="ArialNarrow" w:cstheme="minorHAnsi"/>
                <w:szCs w:val="18"/>
              </w:rPr>
            </w:pPr>
            <w:r>
              <w:rPr>
                <w:rFonts w:cstheme="minorHAnsi"/>
                <w:color w:val="000000"/>
                <w:szCs w:val="18"/>
              </w:rPr>
              <w:t>8</w:t>
            </w:r>
            <w:r w:rsidR="00BC3738">
              <w:rPr>
                <w:rFonts w:cstheme="minorHAnsi"/>
                <w:color w:val="000000"/>
                <w:szCs w:val="18"/>
              </w:rPr>
              <w:t>24.074,30</w:t>
            </w:r>
          </w:p>
        </w:tc>
        <w:tc>
          <w:tcPr>
            <w:tcW w:w="1532" w:type="dxa"/>
            <w:tcBorders>
              <w:left w:val="single" w:sz="8" w:space="0" w:color="D2232A"/>
              <w:right w:val="single" w:sz="8" w:space="0" w:color="D2232A"/>
            </w:tcBorders>
            <w:vAlign w:val="center"/>
            <w:hideMark/>
          </w:tcPr>
          <w:p w14:paraId="551145DB" w14:textId="7B040F9A" w:rsidR="008878A0" w:rsidRPr="007F5A38" w:rsidRDefault="00023A35" w:rsidP="00891CD3">
            <w:pPr>
              <w:autoSpaceDE w:val="0"/>
              <w:autoSpaceDN w:val="0"/>
              <w:adjustRightInd w:val="0"/>
              <w:spacing w:after="0"/>
              <w:jc w:val="right"/>
              <w:rPr>
                <w:rFonts w:eastAsia="ArialNarrow" w:cstheme="minorHAnsi"/>
                <w:szCs w:val="18"/>
                <w:highlight w:val="yellow"/>
              </w:rPr>
            </w:pPr>
            <w:r w:rsidRPr="000E1FFD">
              <w:rPr>
                <w:rFonts w:cstheme="minorHAnsi"/>
                <w:color w:val="000000"/>
                <w:szCs w:val="18"/>
              </w:rPr>
              <w:t>882.256,75</w:t>
            </w:r>
          </w:p>
        </w:tc>
      </w:tr>
      <w:tr w:rsidR="00966675" w:rsidRPr="00DE56D5" w14:paraId="63AAB50C" w14:textId="77777777" w:rsidTr="00546DAE">
        <w:trPr>
          <w:trHeight w:val="282"/>
        </w:trPr>
        <w:tc>
          <w:tcPr>
            <w:tcW w:w="1111" w:type="dxa"/>
            <w:tcBorders>
              <w:left w:val="single" w:sz="8" w:space="0" w:color="D2232A"/>
              <w:right w:val="single" w:sz="8" w:space="0" w:color="D2232A"/>
            </w:tcBorders>
            <w:vAlign w:val="center"/>
            <w:hideMark/>
          </w:tcPr>
          <w:p w14:paraId="46BDD06D"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ZABOK</w:t>
            </w:r>
          </w:p>
        </w:tc>
        <w:tc>
          <w:tcPr>
            <w:tcW w:w="1271" w:type="dxa"/>
            <w:tcBorders>
              <w:left w:val="single" w:sz="8" w:space="0" w:color="D2232A"/>
            </w:tcBorders>
            <w:vAlign w:val="center"/>
            <w:hideMark/>
          </w:tcPr>
          <w:p w14:paraId="7AF1C128"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1.284.409,23</w:t>
            </w:r>
          </w:p>
        </w:tc>
        <w:tc>
          <w:tcPr>
            <w:tcW w:w="1271" w:type="dxa"/>
            <w:vAlign w:val="center"/>
            <w:hideMark/>
          </w:tcPr>
          <w:p w14:paraId="278C1A63"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1.173.971,35</w:t>
            </w:r>
          </w:p>
        </w:tc>
        <w:tc>
          <w:tcPr>
            <w:tcW w:w="1392" w:type="dxa"/>
            <w:vAlign w:val="center"/>
            <w:hideMark/>
          </w:tcPr>
          <w:p w14:paraId="44DD0F5F"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1.069.977,92</w:t>
            </w:r>
          </w:p>
        </w:tc>
        <w:tc>
          <w:tcPr>
            <w:tcW w:w="1393" w:type="dxa"/>
            <w:tcBorders>
              <w:right w:val="single" w:sz="8" w:space="0" w:color="D2232A"/>
            </w:tcBorders>
            <w:vAlign w:val="center"/>
            <w:hideMark/>
          </w:tcPr>
          <w:p w14:paraId="6FA38D52" w14:textId="51C27FA0" w:rsidR="009F456B" w:rsidRPr="009F456B" w:rsidRDefault="009F456B" w:rsidP="009F456B">
            <w:pPr>
              <w:autoSpaceDE w:val="0"/>
              <w:autoSpaceDN w:val="0"/>
              <w:adjustRightInd w:val="0"/>
              <w:spacing w:after="0"/>
              <w:jc w:val="right"/>
              <w:rPr>
                <w:rFonts w:cstheme="minorHAnsi"/>
                <w:color w:val="000000"/>
                <w:szCs w:val="18"/>
              </w:rPr>
            </w:pPr>
            <w:r w:rsidRPr="009F456B">
              <w:rPr>
                <w:rFonts w:cstheme="minorHAnsi"/>
                <w:color w:val="000000"/>
                <w:szCs w:val="18"/>
              </w:rPr>
              <w:t>3.259.811,56</w:t>
            </w:r>
          </w:p>
        </w:tc>
        <w:tc>
          <w:tcPr>
            <w:tcW w:w="1255" w:type="dxa"/>
            <w:tcBorders>
              <w:left w:val="single" w:sz="8" w:space="0" w:color="D2232A"/>
              <w:right w:val="single" w:sz="8" w:space="0" w:color="D2232A"/>
            </w:tcBorders>
            <w:vAlign w:val="center"/>
            <w:hideMark/>
          </w:tcPr>
          <w:p w14:paraId="70716C83" w14:textId="3A419C47" w:rsidR="008878A0" w:rsidRPr="009F456B" w:rsidRDefault="00601797" w:rsidP="009F456B">
            <w:pPr>
              <w:autoSpaceDE w:val="0"/>
              <w:autoSpaceDN w:val="0"/>
              <w:adjustRightInd w:val="0"/>
              <w:spacing w:after="0"/>
              <w:jc w:val="right"/>
              <w:rPr>
                <w:rFonts w:cstheme="minorHAnsi"/>
                <w:color w:val="000000"/>
                <w:szCs w:val="18"/>
              </w:rPr>
            </w:pPr>
            <w:r w:rsidRPr="009F456B">
              <w:rPr>
                <w:rFonts w:cstheme="minorHAnsi"/>
                <w:color w:val="000000"/>
                <w:szCs w:val="18"/>
              </w:rPr>
              <w:t>5.845.200,00</w:t>
            </w:r>
          </w:p>
        </w:tc>
        <w:tc>
          <w:tcPr>
            <w:tcW w:w="1532" w:type="dxa"/>
            <w:tcBorders>
              <w:left w:val="single" w:sz="8" w:space="0" w:color="D2232A"/>
              <w:right w:val="single" w:sz="8" w:space="0" w:color="D2232A"/>
            </w:tcBorders>
            <w:vAlign w:val="center"/>
            <w:hideMark/>
          </w:tcPr>
          <w:p w14:paraId="4A5CC2D1" w14:textId="3120C9A8" w:rsidR="008878A0" w:rsidRPr="007F5A38" w:rsidRDefault="008D7F6A" w:rsidP="00891CD3">
            <w:pPr>
              <w:autoSpaceDE w:val="0"/>
              <w:autoSpaceDN w:val="0"/>
              <w:adjustRightInd w:val="0"/>
              <w:spacing w:after="0"/>
              <w:jc w:val="right"/>
              <w:rPr>
                <w:rFonts w:eastAsia="ArialNarrow" w:cstheme="minorHAnsi"/>
                <w:szCs w:val="18"/>
                <w:highlight w:val="yellow"/>
              </w:rPr>
            </w:pPr>
            <w:r w:rsidRPr="008D7F6A">
              <w:rPr>
                <w:rFonts w:cstheme="minorHAnsi"/>
                <w:color w:val="000000"/>
                <w:szCs w:val="18"/>
              </w:rPr>
              <w:t>5.226.050,00</w:t>
            </w:r>
          </w:p>
        </w:tc>
      </w:tr>
      <w:tr w:rsidR="00966675" w:rsidRPr="00DE56D5" w14:paraId="5F658372" w14:textId="77777777" w:rsidTr="00546DAE">
        <w:trPr>
          <w:trHeight w:val="282"/>
        </w:trPr>
        <w:tc>
          <w:tcPr>
            <w:tcW w:w="1111" w:type="dxa"/>
            <w:tcBorders>
              <w:left w:val="single" w:sz="8" w:space="0" w:color="D2232A"/>
              <w:right w:val="single" w:sz="8" w:space="0" w:color="D2232A"/>
            </w:tcBorders>
            <w:vAlign w:val="center"/>
            <w:hideMark/>
          </w:tcPr>
          <w:p w14:paraId="26F0877F" w14:textId="77777777" w:rsidR="008878A0" w:rsidRPr="00DE56D5" w:rsidRDefault="008878A0" w:rsidP="002A5B85">
            <w:pPr>
              <w:autoSpaceDE w:val="0"/>
              <w:autoSpaceDN w:val="0"/>
              <w:adjustRightInd w:val="0"/>
              <w:spacing w:after="0"/>
              <w:jc w:val="left"/>
              <w:rPr>
                <w:rFonts w:eastAsia="ArialNarrow" w:cstheme="minorHAnsi"/>
                <w:szCs w:val="18"/>
              </w:rPr>
            </w:pPr>
            <w:r w:rsidRPr="00DE56D5">
              <w:rPr>
                <w:rFonts w:cstheme="minorHAnsi"/>
                <w:bCs/>
                <w:color w:val="000000"/>
                <w:szCs w:val="18"/>
              </w:rPr>
              <w:t>ZLATAR</w:t>
            </w:r>
          </w:p>
        </w:tc>
        <w:tc>
          <w:tcPr>
            <w:tcW w:w="1271" w:type="dxa"/>
            <w:tcBorders>
              <w:left w:val="single" w:sz="8" w:space="0" w:color="D2232A"/>
            </w:tcBorders>
            <w:vAlign w:val="center"/>
            <w:hideMark/>
          </w:tcPr>
          <w:p w14:paraId="748AC975"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399.312,65</w:t>
            </w:r>
          </w:p>
        </w:tc>
        <w:tc>
          <w:tcPr>
            <w:tcW w:w="1271" w:type="dxa"/>
            <w:vAlign w:val="center"/>
            <w:hideMark/>
          </w:tcPr>
          <w:p w14:paraId="0B5F81CC"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431.562,18</w:t>
            </w:r>
          </w:p>
        </w:tc>
        <w:tc>
          <w:tcPr>
            <w:tcW w:w="1392" w:type="dxa"/>
            <w:vAlign w:val="center"/>
            <w:hideMark/>
          </w:tcPr>
          <w:p w14:paraId="6A031EFC"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463.688,36</w:t>
            </w:r>
          </w:p>
        </w:tc>
        <w:tc>
          <w:tcPr>
            <w:tcW w:w="1393" w:type="dxa"/>
            <w:tcBorders>
              <w:right w:val="single" w:sz="8" w:space="0" w:color="D2232A"/>
            </w:tcBorders>
            <w:vAlign w:val="center"/>
            <w:hideMark/>
          </w:tcPr>
          <w:p w14:paraId="14C8AC60" w14:textId="77777777" w:rsidR="008878A0" w:rsidRPr="00DE56D5" w:rsidRDefault="008878A0" w:rsidP="00891CD3">
            <w:pPr>
              <w:autoSpaceDE w:val="0"/>
              <w:autoSpaceDN w:val="0"/>
              <w:adjustRightInd w:val="0"/>
              <w:spacing w:after="0"/>
              <w:jc w:val="right"/>
              <w:rPr>
                <w:rFonts w:eastAsia="ArialNarrow" w:cstheme="minorHAnsi"/>
                <w:szCs w:val="18"/>
              </w:rPr>
            </w:pPr>
            <w:r w:rsidRPr="00DE56D5">
              <w:rPr>
                <w:rFonts w:cstheme="minorHAnsi"/>
                <w:color w:val="000000"/>
                <w:szCs w:val="18"/>
              </w:rPr>
              <w:t>732.706,70</w:t>
            </w:r>
          </w:p>
        </w:tc>
        <w:tc>
          <w:tcPr>
            <w:tcW w:w="1255" w:type="dxa"/>
            <w:tcBorders>
              <w:left w:val="single" w:sz="8" w:space="0" w:color="D2232A"/>
              <w:right w:val="single" w:sz="8" w:space="0" w:color="D2232A"/>
            </w:tcBorders>
            <w:vAlign w:val="center"/>
            <w:hideMark/>
          </w:tcPr>
          <w:p w14:paraId="718997E5" w14:textId="57F9D73A" w:rsidR="008878A0" w:rsidRPr="00DE56D5" w:rsidRDefault="006C6E4C" w:rsidP="00891CD3">
            <w:pPr>
              <w:autoSpaceDE w:val="0"/>
              <w:autoSpaceDN w:val="0"/>
              <w:adjustRightInd w:val="0"/>
              <w:spacing w:after="0"/>
              <w:jc w:val="right"/>
              <w:rPr>
                <w:rFonts w:eastAsia="ArialNarrow" w:cstheme="minorHAnsi"/>
                <w:szCs w:val="18"/>
              </w:rPr>
            </w:pPr>
            <w:r w:rsidRPr="006C6E4C">
              <w:rPr>
                <w:rFonts w:eastAsia="ArialNarrow" w:cstheme="minorHAnsi"/>
                <w:szCs w:val="18"/>
              </w:rPr>
              <w:t>966</w:t>
            </w:r>
            <w:r w:rsidR="00C35E5B">
              <w:rPr>
                <w:rFonts w:eastAsia="ArialNarrow" w:cstheme="minorHAnsi"/>
                <w:szCs w:val="18"/>
              </w:rPr>
              <w:t>.</w:t>
            </w:r>
            <w:r w:rsidRPr="006C6E4C">
              <w:rPr>
                <w:rFonts w:eastAsia="ArialNarrow" w:cstheme="minorHAnsi"/>
                <w:szCs w:val="18"/>
              </w:rPr>
              <w:t>940,94</w:t>
            </w:r>
          </w:p>
        </w:tc>
        <w:tc>
          <w:tcPr>
            <w:tcW w:w="1532" w:type="dxa"/>
            <w:tcBorders>
              <w:left w:val="single" w:sz="8" w:space="0" w:color="D2232A"/>
              <w:right w:val="single" w:sz="8" w:space="0" w:color="D2232A"/>
            </w:tcBorders>
            <w:vAlign w:val="center"/>
            <w:hideMark/>
          </w:tcPr>
          <w:p w14:paraId="46950ECC" w14:textId="30C8A5F8" w:rsidR="008878A0" w:rsidRPr="00A30AAF" w:rsidRDefault="00A30AAF" w:rsidP="00A30AAF">
            <w:pPr>
              <w:autoSpaceDE w:val="0"/>
              <w:autoSpaceDN w:val="0"/>
              <w:adjustRightInd w:val="0"/>
              <w:spacing w:after="0"/>
              <w:jc w:val="right"/>
              <w:rPr>
                <w:rFonts w:cstheme="minorHAnsi"/>
                <w:color w:val="000000"/>
                <w:szCs w:val="18"/>
              </w:rPr>
            </w:pPr>
            <w:r w:rsidRPr="00A30AAF">
              <w:rPr>
                <w:rFonts w:cstheme="minorHAnsi"/>
                <w:color w:val="000000"/>
                <w:szCs w:val="18"/>
              </w:rPr>
              <w:t>960.801,97</w:t>
            </w:r>
          </w:p>
        </w:tc>
      </w:tr>
      <w:tr w:rsidR="00194121" w:rsidRPr="00DE56D5" w14:paraId="14437A35" w14:textId="77777777" w:rsidTr="00490A6E">
        <w:trPr>
          <w:trHeight w:val="282"/>
        </w:trPr>
        <w:tc>
          <w:tcPr>
            <w:tcW w:w="1111" w:type="dxa"/>
            <w:tcBorders>
              <w:left w:val="single" w:sz="8" w:space="0" w:color="D2232A"/>
              <w:bottom w:val="nil"/>
              <w:right w:val="single" w:sz="8" w:space="0" w:color="D2232A"/>
            </w:tcBorders>
            <w:shd w:val="clear" w:color="auto" w:fill="E5E5E5" w:themeFill="text1" w:themeFillTint="33"/>
            <w:vAlign w:val="center"/>
            <w:hideMark/>
          </w:tcPr>
          <w:p w14:paraId="5470965D" w14:textId="77777777" w:rsidR="008878A0" w:rsidRPr="00DE56D5" w:rsidRDefault="008878A0" w:rsidP="002A5B85">
            <w:pPr>
              <w:autoSpaceDE w:val="0"/>
              <w:autoSpaceDN w:val="0"/>
              <w:adjustRightInd w:val="0"/>
              <w:spacing w:after="0"/>
              <w:jc w:val="left"/>
              <w:rPr>
                <w:rFonts w:eastAsiaTheme="minorHAnsi" w:cstheme="minorHAnsi"/>
                <w:bCs/>
                <w:szCs w:val="18"/>
              </w:rPr>
            </w:pPr>
            <w:r w:rsidRPr="00DE56D5">
              <w:rPr>
                <w:rFonts w:cstheme="minorHAnsi"/>
                <w:bCs/>
                <w:szCs w:val="18"/>
              </w:rPr>
              <w:t>SVEUKUPNO</w:t>
            </w:r>
          </w:p>
        </w:tc>
        <w:tc>
          <w:tcPr>
            <w:tcW w:w="1271" w:type="dxa"/>
            <w:tcBorders>
              <w:left w:val="single" w:sz="8" w:space="0" w:color="D2232A"/>
              <w:bottom w:val="nil"/>
            </w:tcBorders>
            <w:shd w:val="clear" w:color="auto" w:fill="E5E5E5" w:themeFill="text1" w:themeFillTint="33"/>
            <w:vAlign w:val="center"/>
            <w:hideMark/>
          </w:tcPr>
          <w:p w14:paraId="7E45417A" w14:textId="0CDB246E" w:rsidR="008878A0" w:rsidRPr="00DE56D5" w:rsidRDefault="008878A0" w:rsidP="00891CD3">
            <w:pPr>
              <w:autoSpaceDE w:val="0"/>
              <w:autoSpaceDN w:val="0"/>
              <w:adjustRightInd w:val="0"/>
              <w:spacing w:after="0"/>
              <w:jc w:val="right"/>
              <w:rPr>
                <w:rFonts w:cstheme="minorHAnsi"/>
                <w:b/>
                <w:szCs w:val="18"/>
              </w:rPr>
            </w:pPr>
            <w:r w:rsidRPr="00DE56D5">
              <w:rPr>
                <w:rFonts w:cstheme="minorHAnsi"/>
                <w:b/>
                <w:szCs w:val="18"/>
              </w:rPr>
              <w:t>1</w:t>
            </w:r>
            <w:r w:rsidR="00B6016D">
              <w:rPr>
                <w:rFonts w:cstheme="minorHAnsi"/>
                <w:b/>
                <w:szCs w:val="18"/>
              </w:rPr>
              <w:t>5</w:t>
            </w:r>
            <w:r w:rsidRPr="00DE56D5">
              <w:rPr>
                <w:rFonts w:cstheme="minorHAnsi"/>
                <w:b/>
                <w:szCs w:val="18"/>
              </w:rPr>
              <w:t>.</w:t>
            </w:r>
            <w:r w:rsidR="003E04A1">
              <w:rPr>
                <w:rFonts w:cstheme="minorHAnsi"/>
                <w:b/>
                <w:szCs w:val="18"/>
              </w:rPr>
              <w:t>405</w:t>
            </w:r>
            <w:r w:rsidRPr="00DE56D5">
              <w:rPr>
                <w:rFonts w:cstheme="minorHAnsi"/>
                <w:b/>
                <w:szCs w:val="18"/>
              </w:rPr>
              <w:t>.</w:t>
            </w:r>
            <w:r w:rsidR="003E04A1">
              <w:rPr>
                <w:rFonts w:cstheme="minorHAnsi"/>
                <w:b/>
                <w:szCs w:val="18"/>
              </w:rPr>
              <w:t>894</w:t>
            </w:r>
            <w:r w:rsidRPr="00DE56D5">
              <w:rPr>
                <w:rFonts w:cstheme="minorHAnsi"/>
                <w:b/>
                <w:szCs w:val="18"/>
              </w:rPr>
              <w:t>,</w:t>
            </w:r>
            <w:r w:rsidR="00AA1F4D">
              <w:rPr>
                <w:rFonts w:cstheme="minorHAnsi"/>
                <w:b/>
                <w:szCs w:val="18"/>
              </w:rPr>
              <w:t>77</w:t>
            </w:r>
          </w:p>
        </w:tc>
        <w:tc>
          <w:tcPr>
            <w:tcW w:w="1271" w:type="dxa"/>
            <w:tcBorders>
              <w:bottom w:val="nil"/>
            </w:tcBorders>
            <w:shd w:val="clear" w:color="auto" w:fill="E5E5E5" w:themeFill="text1" w:themeFillTint="33"/>
            <w:vAlign w:val="center"/>
            <w:hideMark/>
          </w:tcPr>
          <w:p w14:paraId="41EDE167" w14:textId="534A8799" w:rsidR="008878A0" w:rsidRPr="00DE56D5" w:rsidRDefault="008878A0" w:rsidP="00891CD3">
            <w:pPr>
              <w:autoSpaceDE w:val="0"/>
              <w:autoSpaceDN w:val="0"/>
              <w:adjustRightInd w:val="0"/>
              <w:spacing w:after="0"/>
              <w:jc w:val="right"/>
              <w:rPr>
                <w:rFonts w:cstheme="minorHAnsi"/>
                <w:b/>
                <w:szCs w:val="18"/>
              </w:rPr>
            </w:pPr>
            <w:r w:rsidRPr="00DE56D5">
              <w:rPr>
                <w:rFonts w:cstheme="minorHAnsi"/>
                <w:b/>
                <w:szCs w:val="18"/>
              </w:rPr>
              <w:t>1</w:t>
            </w:r>
            <w:r w:rsidR="003715A4">
              <w:rPr>
                <w:rFonts w:cstheme="minorHAnsi"/>
                <w:b/>
                <w:szCs w:val="18"/>
              </w:rPr>
              <w:t>5</w:t>
            </w:r>
            <w:r w:rsidRPr="00DE56D5">
              <w:rPr>
                <w:rFonts w:cstheme="minorHAnsi"/>
                <w:b/>
                <w:szCs w:val="18"/>
              </w:rPr>
              <w:t>.</w:t>
            </w:r>
            <w:r w:rsidR="007765F6">
              <w:rPr>
                <w:rFonts w:cstheme="minorHAnsi"/>
                <w:b/>
                <w:szCs w:val="18"/>
              </w:rPr>
              <w:t>412</w:t>
            </w:r>
            <w:r w:rsidRPr="00DE56D5">
              <w:rPr>
                <w:rFonts w:cstheme="minorHAnsi"/>
                <w:b/>
                <w:szCs w:val="18"/>
              </w:rPr>
              <w:t>.</w:t>
            </w:r>
            <w:r w:rsidR="007765F6">
              <w:rPr>
                <w:rFonts w:cstheme="minorHAnsi"/>
                <w:b/>
                <w:szCs w:val="18"/>
              </w:rPr>
              <w:t>00</w:t>
            </w:r>
            <w:r w:rsidR="00D1270D">
              <w:rPr>
                <w:rFonts w:cstheme="minorHAnsi"/>
                <w:b/>
                <w:szCs w:val="18"/>
              </w:rPr>
              <w:t>2</w:t>
            </w:r>
            <w:r w:rsidRPr="00DE56D5">
              <w:rPr>
                <w:rFonts w:cstheme="minorHAnsi"/>
                <w:b/>
                <w:szCs w:val="18"/>
              </w:rPr>
              <w:t>,</w:t>
            </w:r>
            <w:r w:rsidR="00D1270D">
              <w:rPr>
                <w:rFonts w:cstheme="minorHAnsi"/>
                <w:b/>
                <w:szCs w:val="18"/>
              </w:rPr>
              <w:t>2</w:t>
            </w:r>
            <w:r w:rsidRPr="00DE56D5">
              <w:rPr>
                <w:rFonts w:cstheme="minorHAnsi"/>
                <w:b/>
                <w:szCs w:val="18"/>
              </w:rPr>
              <w:t>1</w:t>
            </w:r>
          </w:p>
        </w:tc>
        <w:tc>
          <w:tcPr>
            <w:tcW w:w="1392" w:type="dxa"/>
            <w:tcBorders>
              <w:bottom w:val="nil"/>
            </w:tcBorders>
            <w:shd w:val="clear" w:color="auto" w:fill="E5E5E5" w:themeFill="text1" w:themeFillTint="33"/>
            <w:vAlign w:val="center"/>
            <w:hideMark/>
          </w:tcPr>
          <w:p w14:paraId="5DECFE77" w14:textId="6A96354C" w:rsidR="008878A0" w:rsidRPr="00DE56D5" w:rsidRDefault="008878A0" w:rsidP="00891CD3">
            <w:pPr>
              <w:autoSpaceDE w:val="0"/>
              <w:autoSpaceDN w:val="0"/>
              <w:adjustRightInd w:val="0"/>
              <w:spacing w:after="0"/>
              <w:jc w:val="right"/>
              <w:rPr>
                <w:rFonts w:cstheme="minorHAnsi"/>
                <w:b/>
                <w:szCs w:val="18"/>
              </w:rPr>
            </w:pPr>
            <w:r w:rsidRPr="00DE56D5">
              <w:rPr>
                <w:rFonts w:cstheme="minorHAnsi"/>
                <w:b/>
                <w:szCs w:val="18"/>
              </w:rPr>
              <w:t>1</w:t>
            </w:r>
            <w:r w:rsidR="0087395D">
              <w:rPr>
                <w:rFonts w:cstheme="minorHAnsi"/>
                <w:b/>
                <w:szCs w:val="18"/>
              </w:rPr>
              <w:t>5</w:t>
            </w:r>
            <w:r w:rsidRPr="00DE56D5">
              <w:rPr>
                <w:rFonts w:cstheme="minorHAnsi"/>
                <w:b/>
                <w:szCs w:val="18"/>
              </w:rPr>
              <w:t>.</w:t>
            </w:r>
            <w:r w:rsidR="00430FB5">
              <w:rPr>
                <w:rFonts w:cstheme="minorHAnsi"/>
                <w:b/>
                <w:szCs w:val="18"/>
              </w:rPr>
              <w:t>8</w:t>
            </w:r>
            <w:r w:rsidR="00BC3738">
              <w:rPr>
                <w:rFonts w:cstheme="minorHAnsi"/>
                <w:b/>
                <w:szCs w:val="18"/>
              </w:rPr>
              <w:t>94</w:t>
            </w:r>
            <w:r w:rsidRPr="00DE56D5">
              <w:rPr>
                <w:rFonts w:cstheme="minorHAnsi"/>
                <w:b/>
                <w:szCs w:val="18"/>
              </w:rPr>
              <w:t>.</w:t>
            </w:r>
            <w:r w:rsidR="00BC3738">
              <w:rPr>
                <w:rFonts w:cstheme="minorHAnsi"/>
                <w:b/>
                <w:szCs w:val="18"/>
              </w:rPr>
              <w:t>170</w:t>
            </w:r>
            <w:r w:rsidRPr="00DE56D5">
              <w:rPr>
                <w:rFonts w:cstheme="minorHAnsi"/>
                <w:b/>
                <w:szCs w:val="18"/>
              </w:rPr>
              <w:t>,</w:t>
            </w:r>
            <w:r w:rsidR="00430FB5">
              <w:rPr>
                <w:rFonts w:cstheme="minorHAnsi"/>
                <w:b/>
                <w:szCs w:val="18"/>
              </w:rPr>
              <w:t>94</w:t>
            </w:r>
          </w:p>
        </w:tc>
        <w:tc>
          <w:tcPr>
            <w:tcW w:w="1393" w:type="dxa"/>
            <w:tcBorders>
              <w:bottom w:val="nil"/>
              <w:right w:val="single" w:sz="8" w:space="0" w:color="D2232A"/>
            </w:tcBorders>
            <w:shd w:val="clear" w:color="auto" w:fill="E5E5E5" w:themeFill="text1" w:themeFillTint="33"/>
            <w:vAlign w:val="center"/>
            <w:hideMark/>
          </w:tcPr>
          <w:p w14:paraId="67EAF119" w14:textId="673BA4ED" w:rsidR="008878A0" w:rsidRPr="00DE56D5" w:rsidRDefault="008878A0" w:rsidP="00891CD3">
            <w:pPr>
              <w:autoSpaceDE w:val="0"/>
              <w:autoSpaceDN w:val="0"/>
              <w:adjustRightInd w:val="0"/>
              <w:spacing w:after="0"/>
              <w:jc w:val="right"/>
              <w:rPr>
                <w:rFonts w:cstheme="minorHAnsi"/>
                <w:b/>
                <w:szCs w:val="18"/>
              </w:rPr>
            </w:pPr>
            <w:r w:rsidRPr="00DE56D5">
              <w:rPr>
                <w:rFonts w:cstheme="minorHAnsi"/>
                <w:b/>
                <w:szCs w:val="18"/>
              </w:rPr>
              <w:t>1</w:t>
            </w:r>
            <w:r w:rsidR="009F456B">
              <w:rPr>
                <w:rFonts w:cstheme="minorHAnsi"/>
                <w:b/>
                <w:szCs w:val="18"/>
              </w:rPr>
              <w:t>9</w:t>
            </w:r>
            <w:r w:rsidRPr="00DE56D5">
              <w:rPr>
                <w:rFonts w:cstheme="minorHAnsi"/>
                <w:b/>
                <w:szCs w:val="18"/>
              </w:rPr>
              <w:t>.</w:t>
            </w:r>
            <w:r w:rsidR="001861E1">
              <w:rPr>
                <w:rFonts w:cstheme="minorHAnsi"/>
                <w:b/>
                <w:szCs w:val="18"/>
              </w:rPr>
              <w:t>952</w:t>
            </w:r>
            <w:r w:rsidRPr="00DE56D5">
              <w:rPr>
                <w:rFonts w:cstheme="minorHAnsi"/>
                <w:b/>
                <w:szCs w:val="18"/>
              </w:rPr>
              <w:t>.</w:t>
            </w:r>
            <w:r w:rsidR="001861E1">
              <w:rPr>
                <w:rFonts w:cstheme="minorHAnsi"/>
                <w:b/>
                <w:szCs w:val="18"/>
              </w:rPr>
              <w:t>409</w:t>
            </w:r>
            <w:r w:rsidRPr="00DE56D5">
              <w:rPr>
                <w:rFonts w:cstheme="minorHAnsi"/>
                <w:b/>
                <w:szCs w:val="18"/>
              </w:rPr>
              <w:t>,</w:t>
            </w:r>
            <w:r w:rsidR="001861E1">
              <w:rPr>
                <w:rFonts w:cstheme="minorHAnsi"/>
                <w:b/>
                <w:szCs w:val="18"/>
              </w:rPr>
              <w:t>25</w:t>
            </w:r>
          </w:p>
        </w:tc>
        <w:tc>
          <w:tcPr>
            <w:tcW w:w="1255" w:type="dxa"/>
            <w:tcBorders>
              <w:left w:val="single" w:sz="8" w:space="0" w:color="D2232A"/>
              <w:bottom w:val="nil"/>
              <w:right w:val="single" w:sz="8" w:space="0" w:color="D2232A"/>
            </w:tcBorders>
            <w:shd w:val="clear" w:color="auto" w:fill="E5E5E5" w:themeFill="text1" w:themeFillTint="33"/>
            <w:vAlign w:val="center"/>
            <w:hideMark/>
          </w:tcPr>
          <w:p w14:paraId="3B302C11" w14:textId="5E1CC2B8" w:rsidR="008878A0" w:rsidRPr="00490A6E" w:rsidRDefault="00194121" w:rsidP="00891CD3">
            <w:pPr>
              <w:autoSpaceDE w:val="0"/>
              <w:autoSpaceDN w:val="0"/>
              <w:adjustRightInd w:val="0"/>
              <w:spacing w:after="0"/>
              <w:jc w:val="right"/>
              <w:rPr>
                <w:rFonts w:cstheme="minorHAnsi"/>
                <w:b/>
                <w:szCs w:val="18"/>
              </w:rPr>
            </w:pPr>
            <w:r w:rsidRPr="00490A6E">
              <w:rPr>
                <w:rFonts w:cstheme="minorHAnsi"/>
                <w:b/>
                <w:szCs w:val="18"/>
              </w:rPr>
              <w:t>22</w:t>
            </w:r>
            <w:r w:rsidR="008878A0" w:rsidRPr="00490A6E">
              <w:rPr>
                <w:rFonts w:cstheme="minorHAnsi"/>
                <w:b/>
                <w:szCs w:val="18"/>
              </w:rPr>
              <w:t>.</w:t>
            </w:r>
            <w:r w:rsidRPr="00490A6E">
              <w:rPr>
                <w:rFonts w:cstheme="minorHAnsi"/>
                <w:b/>
                <w:szCs w:val="18"/>
              </w:rPr>
              <w:t>803</w:t>
            </w:r>
            <w:r w:rsidR="008878A0" w:rsidRPr="00490A6E">
              <w:rPr>
                <w:rFonts w:cstheme="minorHAnsi"/>
                <w:b/>
                <w:szCs w:val="18"/>
              </w:rPr>
              <w:t>.</w:t>
            </w:r>
            <w:r w:rsidRPr="00490A6E">
              <w:rPr>
                <w:rFonts w:cstheme="minorHAnsi"/>
                <w:b/>
                <w:szCs w:val="18"/>
              </w:rPr>
              <w:t>299</w:t>
            </w:r>
            <w:r w:rsidR="008878A0" w:rsidRPr="00490A6E">
              <w:rPr>
                <w:rFonts w:cstheme="minorHAnsi"/>
                <w:b/>
                <w:szCs w:val="18"/>
              </w:rPr>
              <w:t>,</w:t>
            </w:r>
            <w:r w:rsidRPr="00490A6E">
              <w:rPr>
                <w:rFonts w:cstheme="minorHAnsi"/>
                <w:b/>
                <w:szCs w:val="18"/>
              </w:rPr>
              <w:t>21</w:t>
            </w:r>
          </w:p>
        </w:tc>
        <w:tc>
          <w:tcPr>
            <w:tcW w:w="1532" w:type="dxa"/>
            <w:tcBorders>
              <w:left w:val="single" w:sz="8" w:space="0" w:color="D2232A"/>
              <w:bottom w:val="nil"/>
              <w:right w:val="single" w:sz="8" w:space="0" w:color="D2232A"/>
            </w:tcBorders>
            <w:shd w:val="clear" w:color="auto" w:fill="E5E5E5" w:themeFill="text1" w:themeFillTint="33"/>
            <w:vAlign w:val="center"/>
            <w:hideMark/>
          </w:tcPr>
          <w:p w14:paraId="421755CD" w14:textId="5E96457E" w:rsidR="008878A0" w:rsidRPr="00D90959" w:rsidRDefault="00966675" w:rsidP="00891CD3">
            <w:pPr>
              <w:autoSpaceDE w:val="0"/>
              <w:autoSpaceDN w:val="0"/>
              <w:adjustRightInd w:val="0"/>
              <w:spacing w:after="0"/>
              <w:jc w:val="right"/>
              <w:rPr>
                <w:rFonts w:cstheme="minorHAnsi"/>
                <w:b/>
                <w:szCs w:val="18"/>
                <w:highlight w:val="yellow"/>
              </w:rPr>
            </w:pPr>
            <w:r w:rsidRPr="00966675">
              <w:rPr>
                <w:rFonts w:cstheme="minorHAnsi"/>
                <w:b/>
                <w:szCs w:val="18"/>
              </w:rPr>
              <w:t>22.736.334,83</w:t>
            </w:r>
          </w:p>
        </w:tc>
      </w:tr>
    </w:tbl>
    <w:p w14:paraId="7BB409D5" w14:textId="43CBD6E7" w:rsidR="008878A0" w:rsidRPr="001077FE" w:rsidRDefault="008878A0" w:rsidP="001077FE">
      <w:pPr>
        <w:autoSpaceDE w:val="0"/>
        <w:autoSpaceDN w:val="0"/>
        <w:adjustRightInd w:val="0"/>
        <w:spacing w:after="0" w:line="240" w:lineRule="auto"/>
        <w:rPr>
          <w:rFonts w:eastAsia="ArialNarrow" w:cstheme="minorHAnsi"/>
          <w:i/>
          <w:color w:val="ABABAB" w:themeColor="text1" w:themeTint="A6"/>
          <w:sz w:val="16"/>
          <w:szCs w:val="16"/>
        </w:rPr>
      </w:pPr>
      <w:r w:rsidRPr="001077FE">
        <w:rPr>
          <w:rFonts w:eastAsia="ArialNarrow" w:cstheme="minorHAnsi"/>
          <w:i/>
          <w:color w:val="ABABAB" w:themeColor="text1" w:themeTint="A6"/>
          <w:sz w:val="16"/>
          <w:szCs w:val="16"/>
        </w:rPr>
        <w:t>Izvor:</w:t>
      </w:r>
      <w:r w:rsidR="006614C2">
        <w:rPr>
          <w:rFonts w:eastAsia="ArialNarrow" w:cstheme="minorHAnsi"/>
          <w:i/>
          <w:color w:val="ABABAB" w:themeColor="text1" w:themeTint="A6"/>
          <w:sz w:val="16"/>
          <w:szCs w:val="16"/>
        </w:rPr>
        <w:t xml:space="preserve"> </w:t>
      </w:r>
      <w:r w:rsidR="006614C2" w:rsidRPr="006614C2">
        <w:rPr>
          <w:rFonts w:eastAsia="ArialNarrow" w:cstheme="minorHAnsi"/>
          <w:i/>
          <w:color w:val="ABABAB" w:themeColor="text1" w:themeTint="A6"/>
          <w:sz w:val="16"/>
          <w:szCs w:val="16"/>
        </w:rPr>
        <w:t>https://www.proracun.hr/Home/Proracuni</w:t>
      </w:r>
      <w:r w:rsidR="006614C2">
        <w:rPr>
          <w:rFonts w:eastAsia="ArialNarrow" w:cstheme="minorHAnsi"/>
          <w:i/>
          <w:color w:val="ABABAB" w:themeColor="text1" w:themeTint="A6"/>
          <w:sz w:val="16"/>
          <w:szCs w:val="16"/>
        </w:rPr>
        <w:t xml:space="preserve">; </w:t>
      </w:r>
      <w:r w:rsidR="00987099" w:rsidRPr="001077FE">
        <w:rPr>
          <w:rFonts w:eastAsia="ArialNarrow" w:cstheme="minorHAnsi"/>
          <w:i/>
          <w:color w:val="ABABAB" w:themeColor="text1" w:themeTint="A6"/>
          <w:sz w:val="16"/>
          <w:szCs w:val="16"/>
        </w:rPr>
        <w:t>obrada podataka</w:t>
      </w:r>
      <w:r w:rsidR="009B61D3" w:rsidRPr="001077FE">
        <w:rPr>
          <w:rFonts w:eastAsia="ArialNarrow" w:cstheme="minorHAnsi"/>
          <w:i/>
          <w:color w:val="ABABAB" w:themeColor="text1" w:themeTint="A6"/>
          <w:sz w:val="16"/>
          <w:szCs w:val="16"/>
        </w:rPr>
        <w:t xml:space="preserve"> </w:t>
      </w:r>
      <w:r w:rsidRPr="001077FE">
        <w:rPr>
          <w:rFonts w:eastAsia="ArialNarrow" w:cstheme="minorHAnsi"/>
          <w:i/>
          <w:color w:val="ABABAB" w:themeColor="text1" w:themeTint="A6"/>
          <w:sz w:val="16"/>
          <w:szCs w:val="16"/>
        </w:rPr>
        <w:t>Z</w:t>
      </w:r>
      <w:r w:rsidR="009B61D3" w:rsidRPr="001077FE">
        <w:rPr>
          <w:rFonts w:eastAsia="ArialNarrow" w:cstheme="minorHAnsi"/>
          <w:i/>
          <w:color w:val="ABABAB" w:themeColor="text1" w:themeTint="A6"/>
          <w:sz w:val="16"/>
          <w:szCs w:val="16"/>
        </w:rPr>
        <w:t>agorska razvojna agencija, 20</w:t>
      </w:r>
      <w:r w:rsidR="009D6989">
        <w:rPr>
          <w:rFonts w:eastAsia="ArialNarrow" w:cstheme="minorHAnsi"/>
          <w:i/>
          <w:color w:val="ABABAB" w:themeColor="text1" w:themeTint="A6"/>
          <w:sz w:val="16"/>
          <w:szCs w:val="16"/>
        </w:rPr>
        <w:t>21</w:t>
      </w:r>
      <w:r w:rsidR="009B61D3" w:rsidRPr="001077FE">
        <w:rPr>
          <w:rFonts w:eastAsia="ArialNarrow" w:cstheme="minorHAnsi"/>
          <w:i/>
          <w:color w:val="ABABAB" w:themeColor="text1" w:themeTint="A6"/>
          <w:sz w:val="16"/>
          <w:szCs w:val="16"/>
        </w:rPr>
        <w:t>.</w:t>
      </w:r>
    </w:p>
    <w:p w14:paraId="44EA34A1" w14:textId="77777777" w:rsidR="008878A0" w:rsidRDefault="008878A0" w:rsidP="00941871">
      <w:pPr>
        <w:autoSpaceDE w:val="0"/>
        <w:autoSpaceDN w:val="0"/>
        <w:adjustRightInd w:val="0"/>
        <w:spacing w:after="0" w:line="240" w:lineRule="auto"/>
        <w:rPr>
          <w:rFonts w:eastAsia="ArialNarrow" w:cstheme="minorHAnsi"/>
          <w:sz w:val="22"/>
        </w:rPr>
      </w:pPr>
    </w:p>
    <w:p w14:paraId="5FA96B2A" w14:textId="6394E2E5" w:rsidR="0015691E" w:rsidRDefault="0015691E" w:rsidP="0015691E">
      <w:pPr>
        <w:spacing w:after="0" w:line="240" w:lineRule="auto"/>
        <w:rPr>
          <w:rFonts w:ascii="Times New Roman" w:hAnsi="Times New Roman" w:cs="Times New Roman"/>
          <w:color w:val="auto"/>
          <w:sz w:val="24"/>
          <w:szCs w:val="24"/>
          <w:lang w:eastAsia="hr-HR"/>
        </w:rPr>
      </w:pPr>
      <w:r>
        <w:rPr>
          <w:rFonts w:eastAsia="ArialNarrow" w:cstheme="minorHAnsi"/>
          <w:szCs w:val="20"/>
        </w:rPr>
        <w:t>Izdvajanja u proračunu za socijalnu zaštitu jedinica lokalne samouprave u Krapinsko-zagorskoj županiji u razdoblju od 2015. do 201</w:t>
      </w:r>
      <w:r w:rsidR="00B6016D">
        <w:rPr>
          <w:rFonts w:eastAsia="ArialNarrow" w:cstheme="minorHAnsi"/>
          <w:szCs w:val="20"/>
        </w:rPr>
        <w:t>7</w:t>
      </w:r>
      <w:r>
        <w:rPr>
          <w:rFonts w:eastAsia="ArialNarrow" w:cstheme="minorHAnsi"/>
          <w:szCs w:val="20"/>
        </w:rPr>
        <w:t xml:space="preserve">. godine kretala su se na ukupnoj razini od oko </w:t>
      </w:r>
      <w:r w:rsidRPr="00A63468">
        <w:rPr>
          <w:rFonts w:eastAsia="ArialNarrow" w:cstheme="minorHAnsi"/>
          <w:szCs w:val="20"/>
        </w:rPr>
        <w:t>1</w:t>
      </w:r>
      <w:r w:rsidR="00B6016D" w:rsidRPr="00A63468">
        <w:rPr>
          <w:rFonts w:eastAsia="ArialNarrow" w:cstheme="minorHAnsi"/>
          <w:szCs w:val="20"/>
        </w:rPr>
        <w:t>5</w:t>
      </w:r>
      <w:r w:rsidR="00DC7117">
        <w:rPr>
          <w:rFonts w:eastAsia="ArialNarrow" w:cstheme="minorHAnsi"/>
          <w:szCs w:val="20"/>
        </w:rPr>
        <w:t>,5</w:t>
      </w:r>
      <w:r>
        <w:rPr>
          <w:rFonts w:eastAsia="ArialNarrow" w:cstheme="minorHAnsi"/>
          <w:szCs w:val="20"/>
        </w:rPr>
        <w:t xml:space="preserve"> milijuna kuna</w:t>
      </w:r>
      <w:r w:rsidR="00B6016D">
        <w:rPr>
          <w:rFonts w:eastAsia="ArialNarrow" w:cstheme="minorHAnsi"/>
          <w:szCs w:val="20"/>
        </w:rPr>
        <w:t xml:space="preserve">. Od 2018. godine do 2020. godine primjećuje se povećanje u izdvajanju sredstava iz programa socijalne skrbi kod jedinica lokalne samouprave. </w:t>
      </w:r>
      <w:r w:rsidR="008D7F6A">
        <w:rPr>
          <w:rFonts w:eastAsia="ArialNarrow" w:cstheme="minorHAnsi"/>
          <w:szCs w:val="20"/>
        </w:rPr>
        <w:t>U 2020. godini Grad Zabok se može izdvojiti kao jedinica lokalne samouprave koja izdvaja najviše sredstava za program socijalne skrbi</w:t>
      </w:r>
      <w:r w:rsidR="00DC7117">
        <w:rPr>
          <w:rFonts w:eastAsia="ArialNarrow" w:cstheme="minorHAnsi"/>
          <w:szCs w:val="20"/>
        </w:rPr>
        <w:t xml:space="preserve"> (</w:t>
      </w:r>
      <w:r w:rsidR="00DC7117" w:rsidRPr="00DC7117">
        <w:rPr>
          <w:rFonts w:eastAsia="ArialNarrow" w:cstheme="minorHAnsi"/>
          <w:szCs w:val="20"/>
        </w:rPr>
        <w:t>5.226.050,00</w:t>
      </w:r>
      <w:r w:rsidR="00DC7117">
        <w:rPr>
          <w:rFonts w:eastAsia="ArialNarrow" w:cstheme="minorHAnsi"/>
          <w:szCs w:val="20"/>
        </w:rPr>
        <w:t>)</w:t>
      </w:r>
      <w:r w:rsidR="008D7F6A">
        <w:rPr>
          <w:rFonts w:eastAsia="ArialNarrow" w:cstheme="minorHAnsi"/>
          <w:szCs w:val="20"/>
        </w:rPr>
        <w:t xml:space="preserve">, a najveći udio se odnosi na projekt MIPOS (Mi pomažemo starijima) u vrijednosti od </w:t>
      </w:r>
      <w:r w:rsidR="008D7F6A" w:rsidRPr="008D7F6A">
        <w:rPr>
          <w:rFonts w:eastAsia="ArialNarrow" w:cstheme="minorHAnsi"/>
          <w:szCs w:val="20"/>
        </w:rPr>
        <w:t>3.696.050,00</w:t>
      </w:r>
      <w:r w:rsidR="008D7F6A">
        <w:rPr>
          <w:rFonts w:eastAsia="ArialNarrow" w:cstheme="minorHAnsi"/>
          <w:szCs w:val="20"/>
        </w:rPr>
        <w:t xml:space="preserve"> kn</w:t>
      </w:r>
      <w:r w:rsidR="00DC7117">
        <w:rPr>
          <w:rStyle w:val="Referencafusnote"/>
          <w:rFonts w:eastAsia="ArialNarrow" w:cstheme="minorHAnsi"/>
          <w:szCs w:val="20"/>
        </w:rPr>
        <w:footnoteReference w:id="38"/>
      </w:r>
      <w:r w:rsidR="00DC7117">
        <w:rPr>
          <w:rFonts w:eastAsia="ArialNarrow" w:cstheme="minorHAnsi"/>
          <w:szCs w:val="20"/>
        </w:rPr>
        <w:t xml:space="preserve">. </w:t>
      </w:r>
      <w:r w:rsidR="008D7F6A">
        <w:rPr>
          <w:rFonts w:eastAsia="ArialNarrow" w:cstheme="minorHAnsi"/>
          <w:szCs w:val="20"/>
        </w:rPr>
        <w:t xml:space="preserve">Osim Grada Zaboka još se ističu i Općine Bedekovčina </w:t>
      </w:r>
      <w:r w:rsidR="00EC7344">
        <w:rPr>
          <w:rFonts w:eastAsia="ArialNarrow" w:cstheme="minorHAnsi"/>
          <w:szCs w:val="20"/>
        </w:rPr>
        <w:t xml:space="preserve">, </w:t>
      </w:r>
      <w:r w:rsidR="008D7F6A">
        <w:rPr>
          <w:rFonts w:eastAsia="ArialNarrow" w:cstheme="minorHAnsi"/>
          <w:szCs w:val="20"/>
        </w:rPr>
        <w:t>Gornja Stubica</w:t>
      </w:r>
      <w:r w:rsidR="00EC7344">
        <w:rPr>
          <w:rFonts w:eastAsia="ArialNarrow" w:cstheme="minorHAnsi"/>
          <w:szCs w:val="20"/>
        </w:rPr>
        <w:t xml:space="preserve"> i Hum na Sutli</w:t>
      </w:r>
      <w:r w:rsidR="008D7F6A">
        <w:rPr>
          <w:rFonts w:eastAsia="ArialNarrow" w:cstheme="minorHAnsi"/>
          <w:szCs w:val="20"/>
        </w:rPr>
        <w:t xml:space="preserve"> koje su izdvojile više od milijun kuna za socijalna davanja</w:t>
      </w:r>
      <w:r w:rsidR="00334329">
        <w:rPr>
          <w:rFonts w:eastAsia="ArialNarrow" w:cstheme="minorHAnsi"/>
          <w:szCs w:val="20"/>
        </w:rPr>
        <w:t xml:space="preserve"> u 2020. godini</w:t>
      </w:r>
      <w:r w:rsidR="008D7F6A">
        <w:rPr>
          <w:rFonts w:eastAsia="ArialNarrow" w:cstheme="minorHAnsi"/>
          <w:szCs w:val="20"/>
        </w:rPr>
        <w:t>. Općenito jedinice lokalne samouprave putem programa socijalne skrbi imaju za</w:t>
      </w:r>
      <w:r w:rsidR="008D7F6A" w:rsidRPr="008D7F6A">
        <w:rPr>
          <w:rFonts w:eastAsia="ArialNarrow" w:cstheme="minorHAnsi"/>
          <w:szCs w:val="20"/>
        </w:rPr>
        <w:t xml:space="preserve"> cilj pružiti pomoć socijalno ugroženim osobama, osobama u nepovoljnim osobnim ili obiteljskim okolnostima, osobama s invaliditetom, marginaliziranim skupinama, koje uključuju prevenciju, poticanje pozitivnih promjena, pomoć u zadovoljavanju osnovnih životnih potreba, unaprjeđenju i poboljšanju kvalitete života, te osnaživanju pojedinaca u aktivno uključivanje u društvo. Putem rada udruga na području socijalne skrbi pruža</w:t>
      </w:r>
      <w:r w:rsidR="008D7F6A">
        <w:rPr>
          <w:rFonts w:eastAsia="ArialNarrow" w:cstheme="minorHAnsi"/>
          <w:szCs w:val="20"/>
        </w:rPr>
        <w:t>ju</w:t>
      </w:r>
      <w:r w:rsidR="008D7F6A" w:rsidRPr="008D7F6A">
        <w:rPr>
          <w:rFonts w:eastAsia="ArialNarrow" w:cstheme="minorHAnsi"/>
          <w:szCs w:val="20"/>
        </w:rPr>
        <w:t xml:space="preserve"> prije svega potporu novim, inovativnim i kvalitetnim izvaninstitucionalnim programima koji imaju utjecaj na razvoj bolje budućnosti i jednakih mogućnosti, posebno za djecu, te socijalne odgovornosti u društvu. Potiče se volonterski rad kao jedan oblik društvene odgovornosti koji dovodi do osobnog razvoja, te izgradnje humanijeg i ravnopravnijeg društva</w:t>
      </w:r>
      <w:r w:rsidR="008D7F6A">
        <w:rPr>
          <w:rFonts w:eastAsia="ArialNarrow" w:cstheme="minorHAnsi"/>
          <w:szCs w:val="20"/>
        </w:rPr>
        <w:t>.</w:t>
      </w:r>
    </w:p>
    <w:p w14:paraId="7D814094" w14:textId="77777777" w:rsidR="00A65988" w:rsidRDefault="00A65988" w:rsidP="0015691E">
      <w:pPr>
        <w:autoSpaceDE w:val="0"/>
        <w:autoSpaceDN w:val="0"/>
        <w:adjustRightInd w:val="0"/>
        <w:spacing w:after="0" w:line="240" w:lineRule="auto"/>
        <w:rPr>
          <w:rFonts w:eastAsia="ArialNarrow" w:cstheme="minorHAnsi"/>
          <w:szCs w:val="20"/>
        </w:rPr>
      </w:pPr>
    </w:p>
    <w:p w14:paraId="6ADEDFFD" w14:textId="4E0A6E1C" w:rsidR="009B2F5E" w:rsidRDefault="0015691E" w:rsidP="00941871">
      <w:pPr>
        <w:autoSpaceDE w:val="0"/>
        <w:autoSpaceDN w:val="0"/>
        <w:adjustRightInd w:val="0"/>
        <w:spacing w:after="0" w:line="240" w:lineRule="auto"/>
        <w:rPr>
          <w:rFonts w:eastAsia="ArialNarrow" w:cstheme="minorHAnsi"/>
          <w:szCs w:val="20"/>
        </w:rPr>
      </w:pPr>
      <w:r>
        <w:rPr>
          <w:rFonts w:eastAsia="ArialNarrow" w:cstheme="minorHAnsi"/>
          <w:szCs w:val="20"/>
        </w:rPr>
        <w:t xml:space="preserve">U posljednje 3 godine </w:t>
      </w:r>
      <w:r w:rsidR="00F053DD">
        <w:rPr>
          <w:rFonts w:eastAsia="ArialNarrow" w:cstheme="minorHAnsi"/>
          <w:szCs w:val="20"/>
        </w:rPr>
        <w:t xml:space="preserve">Krapinsko-zagorska županija, zajedno s 32 projektna partnera </w:t>
      </w:r>
      <w:r w:rsidR="001A3C2C">
        <w:rPr>
          <w:rFonts w:eastAsia="ArialNarrow" w:cstheme="minorHAnsi"/>
          <w:szCs w:val="20"/>
        </w:rPr>
        <w:t>-</w:t>
      </w:r>
      <w:r w:rsidR="00F053DD">
        <w:rPr>
          <w:rFonts w:eastAsia="ArialNarrow" w:cstheme="minorHAnsi"/>
          <w:szCs w:val="20"/>
        </w:rPr>
        <w:t xml:space="preserve"> 30 osnovnih škola kojima je Županija osnivač te Gradom Krapinom i Općinom Stubičke Toplice koje su osnivači osnovnih škola na svojem području, provodi projekt </w:t>
      </w:r>
      <w:r w:rsidRPr="00E90A49">
        <w:rPr>
          <w:rFonts w:eastAsia="ArialNarrow" w:cstheme="minorHAnsi"/>
          <w:i/>
          <w:iCs/>
          <w:szCs w:val="20"/>
        </w:rPr>
        <w:t>Zalogajček</w:t>
      </w:r>
      <w:r>
        <w:rPr>
          <w:rFonts w:eastAsia="ArialNarrow" w:cstheme="minorHAnsi"/>
          <w:szCs w:val="20"/>
        </w:rPr>
        <w:t xml:space="preserve"> kojim se osigurava školska prehrana za djecu u riziku od siromaštva.</w:t>
      </w:r>
      <w:r w:rsidR="00137E4B">
        <w:rPr>
          <w:rFonts w:eastAsia="ArialNarrow" w:cstheme="minorHAnsi"/>
          <w:szCs w:val="20"/>
        </w:rPr>
        <w:t xml:space="preserve"> </w:t>
      </w:r>
      <w:r>
        <w:rPr>
          <w:rFonts w:eastAsia="ArialNarrow" w:cstheme="minorHAnsi"/>
          <w:szCs w:val="20"/>
        </w:rPr>
        <w:t>P</w:t>
      </w:r>
      <w:r>
        <w:rPr>
          <w:rFonts w:eastAsia="ArialNarrow" w:cstheme="minorHAnsi"/>
          <w:bCs/>
          <w:szCs w:val="20"/>
        </w:rPr>
        <w:t xml:space="preserve">rojektom je </w:t>
      </w:r>
      <w:r w:rsidR="00137E4B">
        <w:rPr>
          <w:rFonts w:eastAsia="ArialNarrow" w:cstheme="minorHAnsi"/>
          <w:bCs/>
          <w:szCs w:val="20"/>
        </w:rPr>
        <w:t xml:space="preserve">u školskoj godini 2018./2019. </w:t>
      </w:r>
      <w:r>
        <w:rPr>
          <w:rFonts w:eastAsia="ArialNarrow" w:cstheme="minorHAnsi"/>
          <w:bCs/>
          <w:szCs w:val="20"/>
        </w:rPr>
        <w:t>obuhvaćeno sveukupno 1.478 učenika</w:t>
      </w:r>
      <w:r>
        <w:rPr>
          <w:rFonts w:eastAsia="ArialNarrow" w:cstheme="minorHAnsi"/>
          <w:szCs w:val="20"/>
        </w:rPr>
        <w:t xml:space="preserve">. Uvažavajući broj nastavnih dana tijekom kojih se osigurava školski obrok u školskoj godini 2018./2019. u pojedinoj školi partneru, ukupno će se tijekom projekta osigurati </w:t>
      </w:r>
      <w:r>
        <w:rPr>
          <w:rFonts w:eastAsia="ArialNarrow" w:cstheme="minorHAnsi"/>
          <w:bCs/>
          <w:szCs w:val="20"/>
        </w:rPr>
        <w:t>260.801 obrok</w:t>
      </w:r>
      <w:r>
        <w:rPr>
          <w:rFonts w:eastAsia="ArialNarrow" w:cstheme="minorHAnsi"/>
          <w:szCs w:val="20"/>
        </w:rPr>
        <w:t>. Ukupna vrijednost projekta u školskoj godini 2018./2019. iznosi 1.497.910,54 kuna što je povećanje vrijednosti za 113% u odnosu na školsku godinu 2016./2017. kada se projekt počeo provoditi i kada je ukupna vrijednost iznosila 702.575,75 kuna.</w:t>
      </w:r>
    </w:p>
    <w:p w14:paraId="15E87949" w14:textId="77777777" w:rsidR="00BD7D63" w:rsidRDefault="00BD7D63" w:rsidP="00941871">
      <w:pPr>
        <w:autoSpaceDE w:val="0"/>
        <w:autoSpaceDN w:val="0"/>
        <w:adjustRightInd w:val="0"/>
        <w:spacing w:after="0" w:line="240" w:lineRule="auto"/>
        <w:rPr>
          <w:rFonts w:eastAsia="ArialNarrow" w:cstheme="minorHAnsi"/>
          <w:szCs w:val="20"/>
        </w:rPr>
      </w:pPr>
    </w:p>
    <w:p w14:paraId="039ED409" w14:textId="5333BC47" w:rsidR="009B2F5E" w:rsidRDefault="00BD7D63" w:rsidP="009B2F5E">
      <w:pPr>
        <w:autoSpaceDE w:val="0"/>
        <w:autoSpaceDN w:val="0"/>
        <w:adjustRightInd w:val="0"/>
        <w:spacing w:after="0" w:line="240" w:lineRule="auto"/>
        <w:rPr>
          <w:rFonts w:eastAsia="ArialNarrow" w:cstheme="minorHAnsi"/>
        </w:rPr>
      </w:pPr>
      <w:r w:rsidRPr="00BD7D63">
        <w:rPr>
          <w:rFonts w:eastAsia="ArialNarrow" w:cstheme="minorHAnsi"/>
        </w:rPr>
        <w:t>Sukladno Pravilniku o uvjetima, kriterijima i postupku dodjele stipendija redovitim učenicima srednjih škola i studentima s područja Krapinsko-zagorske županije stipendije se dodjeljuju u tri kategorije</w:t>
      </w:r>
      <w:r>
        <w:rPr>
          <w:rFonts w:eastAsia="ArialNarrow" w:cstheme="minorHAnsi"/>
        </w:rPr>
        <w:t xml:space="preserve">: </w:t>
      </w:r>
      <w:r w:rsidRPr="00BD7D63">
        <w:rPr>
          <w:rFonts w:eastAsia="ArialNarrow" w:cstheme="minorHAnsi"/>
        </w:rPr>
        <w:t>A - stipendija za nadarene studente, B - stipendija za studente po socijalnom kriteriju, C - stipendije za studente koji su upisali 1. godinu nekog od deficitarnih zanimanja.</w:t>
      </w:r>
      <w:r>
        <w:rPr>
          <w:rFonts w:eastAsia="ArialNarrow" w:cstheme="minorHAnsi"/>
        </w:rPr>
        <w:t xml:space="preserve"> </w:t>
      </w:r>
      <w:r w:rsidR="009B2F5E">
        <w:rPr>
          <w:rFonts w:eastAsia="ArialNarrow" w:cstheme="minorHAnsi"/>
        </w:rPr>
        <w:t>Što se tiče i</w:t>
      </w:r>
      <w:r w:rsidR="00190D20">
        <w:rPr>
          <w:rFonts w:eastAsia="ArialNarrow" w:cstheme="minorHAnsi"/>
        </w:rPr>
        <w:t>zdvajanja novčanih sredstava za i</w:t>
      </w:r>
      <w:r w:rsidR="009B2F5E">
        <w:rPr>
          <w:rFonts w:eastAsia="ArialNarrow" w:cstheme="minorHAnsi"/>
        </w:rPr>
        <w:t>splat</w:t>
      </w:r>
      <w:r w:rsidR="00190D20">
        <w:rPr>
          <w:rFonts w:eastAsia="ArialNarrow" w:cstheme="minorHAnsi"/>
        </w:rPr>
        <w:t>u</w:t>
      </w:r>
      <w:r w:rsidR="009B2F5E">
        <w:rPr>
          <w:rFonts w:eastAsia="ArialNarrow" w:cstheme="minorHAnsi"/>
        </w:rPr>
        <w:t xml:space="preserve"> stipendija učenicima i studentima prema B kategoriji (socijalna kategorija) ispred Upravnog odjela za obrazovanje, kulturu, sport i tehničku kulturu Krapinsko-zagorske županije podaci su slijedeći:</w:t>
      </w:r>
    </w:p>
    <w:p w14:paraId="35916935" w14:textId="77777777" w:rsidR="009B2F5E" w:rsidRDefault="009B2F5E" w:rsidP="009B2F5E">
      <w:pPr>
        <w:autoSpaceDE w:val="0"/>
        <w:autoSpaceDN w:val="0"/>
        <w:adjustRightInd w:val="0"/>
        <w:spacing w:after="0" w:line="240" w:lineRule="auto"/>
        <w:rPr>
          <w:rFonts w:eastAsia="ArialNarrow" w:cstheme="minorHAnsi"/>
        </w:rPr>
      </w:pPr>
    </w:p>
    <w:p w14:paraId="18C32126" w14:textId="3CB01AF9" w:rsidR="009B2F5E" w:rsidRDefault="009B2F5E" w:rsidP="003E3F3C">
      <w:pPr>
        <w:pStyle w:val="Opisslike"/>
        <w:rPr>
          <w:noProof/>
        </w:rPr>
      </w:pPr>
      <w:bookmarkStart w:id="81" w:name="_Hlk61339967"/>
      <w:r>
        <w:rPr>
          <w:noProof/>
        </w:rPr>
        <w:lastRenderedPageBreak/>
        <w:t>Tablica 2</w:t>
      </w:r>
      <w:r w:rsidR="009A6A08">
        <w:rPr>
          <w:noProof/>
        </w:rPr>
        <w:t>8</w:t>
      </w:r>
      <w:r>
        <w:rPr>
          <w:noProof/>
        </w:rPr>
        <w:t>. Isplata stipendija učenicima i studentima prema B kategoriji 2016. -2019.</w:t>
      </w:r>
    </w:p>
    <w:tbl>
      <w:tblPr>
        <w:tblW w:w="0" w:type="auto"/>
        <w:tblBorders>
          <w:right w:val="single" w:sz="8" w:space="0" w:color="D2232A"/>
          <w:insideH w:val="single" w:sz="8" w:space="0" w:color="F3CFC1"/>
        </w:tblBorders>
        <w:tblLook w:val="04A0" w:firstRow="1" w:lastRow="0" w:firstColumn="1" w:lastColumn="0" w:noHBand="0" w:noVBand="1"/>
      </w:tblPr>
      <w:tblGrid>
        <w:gridCol w:w="1875"/>
        <w:gridCol w:w="3615"/>
        <w:gridCol w:w="3755"/>
      </w:tblGrid>
      <w:tr w:rsidR="009B2F5E" w14:paraId="4BF44EB7" w14:textId="77777777" w:rsidTr="00805373">
        <w:trPr>
          <w:trHeight w:val="283"/>
        </w:trPr>
        <w:tc>
          <w:tcPr>
            <w:tcW w:w="9245" w:type="dxa"/>
            <w:gridSpan w:val="3"/>
            <w:shd w:val="clear" w:color="auto" w:fill="D2232A"/>
            <w:vAlign w:val="center"/>
            <w:hideMark/>
          </w:tcPr>
          <w:bookmarkEnd w:id="81"/>
          <w:p w14:paraId="10DB6668" w14:textId="77777777" w:rsidR="009B2F5E" w:rsidRDefault="009B2F5E" w:rsidP="00404EFB">
            <w:pPr>
              <w:autoSpaceDE w:val="0"/>
              <w:autoSpaceDN w:val="0"/>
              <w:adjustRightInd w:val="0"/>
              <w:spacing w:after="0"/>
              <w:jc w:val="center"/>
              <w:rPr>
                <w:rFonts w:eastAsia="ArialNarrow" w:cstheme="minorHAnsi"/>
                <w:color w:val="FFFFFF" w:themeColor="background1"/>
                <w:sz w:val="20"/>
              </w:rPr>
            </w:pPr>
            <w:r>
              <w:rPr>
                <w:rFonts w:eastAsia="ArialNarrow" w:cstheme="minorHAnsi"/>
                <w:color w:val="FFFFFF" w:themeColor="background1"/>
                <w:sz w:val="20"/>
              </w:rPr>
              <w:t>ISPLATA STIPENDIJA UČENICIMA I STUDENTIMA PREMA B KATEGORIJI</w:t>
            </w:r>
          </w:p>
        </w:tc>
      </w:tr>
      <w:tr w:rsidR="009B2F5E" w14:paraId="378E1163" w14:textId="77777777" w:rsidTr="00805373">
        <w:trPr>
          <w:trHeight w:val="283"/>
        </w:trPr>
        <w:tc>
          <w:tcPr>
            <w:tcW w:w="1875" w:type="dxa"/>
            <w:shd w:val="clear" w:color="auto" w:fill="D2232A"/>
            <w:vAlign w:val="center"/>
            <w:hideMark/>
          </w:tcPr>
          <w:p w14:paraId="767C9F63" w14:textId="77777777" w:rsidR="009B2F5E" w:rsidRDefault="009B2F5E" w:rsidP="00805373">
            <w:pPr>
              <w:autoSpaceDE w:val="0"/>
              <w:autoSpaceDN w:val="0"/>
              <w:adjustRightInd w:val="0"/>
              <w:spacing w:after="0"/>
              <w:jc w:val="center"/>
              <w:rPr>
                <w:rFonts w:eastAsia="ArialNarrow" w:cstheme="minorHAnsi"/>
                <w:color w:val="FFFFFF" w:themeColor="background1"/>
                <w:sz w:val="20"/>
              </w:rPr>
            </w:pPr>
            <w:r>
              <w:rPr>
                <w:rFonts w:eastAsia="ArialNarrow" w:cstheme="minorHAnsi"/>
                <w:color w:val="FFFFFF" w:themeColor="background1"/>
                <w:sz w:val="20"/>
              </w:rPr>
              <w:t>Godina</w:t>
            </w:r>
          </w:p>
        </w:tc>
        <w:tc>
          <w:tcPr>
            <w:tcW w:w="3615" w:type="dxa"/>
            <w:shd w:val="clear" w:color="auto" w:fill="D2232A"/>
            <w:vAlign w:val="center"/>
            <w:hideMark/>
          </w:tcPr>
          <w:p w14:paraId="25FBA229" w14:textId="77777777" w:rsidR="009B2F5E" w:rsidRDefault="009B2F5E" w:rsidP="00805373">
            <w:pPr>
              <w:autoSpaceDE w:val="0"/>
              <w:autoSpaceDN w:val="0"/>
              <w:adjustRightInd w:val="0"/>
              <w:spacing w:after="0"/>
              <w:jc w:val="center"/>
              <w:rPr>
                <w:rFonts w:eastAsia="ArialNarrow" w:cstheme="minorHAnsi"/>
                <w:color w:val="FFFFFF" w:themeColor="background1"/>
                <w:sz w:val="20"/>
              </w:rPr>
            </w:pPr>
            <w:r>
              <w:rPr>
                <w:rFonts w:eastAsia="ArialNarrow" w:cstheme="minorHAnsi"/>
                <w:color w:val="FFFFFF" w:themeColor="background1"/>
                <w:sz w:val="20"/>
              </w:rPr>
              <w:t>Učeničke stipendije</w:t>
            </w:r>
          </w:p>
        </w:tc>
        <w:tc>
          <w:tcPr>
            <w:tcW w:w="3755" w:type="dxa"/>
            <w:shd w:val="clear" w:color="auto" w:fill="D2232A"/>
            <w:vAlign w:val="center"/>
            <w:hideMark/>
          </w:tcPr>
          <w:p w14:paraId="4188C8D9" w14:textId="77777777" w:rsidR="009B2F5E" w:rsidRDefault="009B2F5E" w:rsidP="00805373">
            <w:pPr>
              <w:autoSpaceDE w:val="0"/>
              <w:autoSpaceDN w:val="0"/>
              <w:adjustRightInd w:val="0"/>
              <w:spacing w:after="0"/>
              <w:jc w:val="center"/>
              <w:rPr>
                <w:rFonts w:eastAsia="ArialNarrow" w:cstheme="minorHAnsi"/>
                <w:color w:val="FFFFFF" w:themeColor="background1"/>
                <w:sz w:val="20"/>
              </w:rPr>
            </w:pPr>
            <w:r>
              <w:rPr>
                <w:rFonts w:eastAsia="ArialNarrow" w:cstheme="minorHAnsi"/>
                <w:color w:val="FFFFFF" w:themeColor="background1"/>
                <w:sz w:val="20"/>
              </w:rPr>
              <w:t>Studentske stipendije</w:t>
            </w:r>
          </w:p>
        </w:tc>
      </w:tr>
      <w:tr w:rsidR="009B2F5E" w14:paraId="1F4F42E3" w14:textId="77777777" w:rsidTr="00805373">
        <w:trPr>
          <w:trHeight w:val="283"/>
        </w:trPr>
        <w:tc>
          <w:tcPr>
            <w:tcW w:w="1875" w:type="dxa"/>
            <w:shd w:val="clear" w:color="auto" w:fill="D2232A"/>
            <w:vAlign w:val="center"/>
            <w:hideMark/>
          </w:tcPr>
          <w:p w14:paraId="603DD3A9" w14:textId="77777777" w:rsidR="009B2F5E" w:rsidRDefault="009B2F5E" w:rsidP="00805373">
            <w:pPr>
              <w:autoSpaceDE w:val="0"/>
              <w:autoSpaceDN w:val="0"/>
              <w:adjustRightInd w:val="0"/>
              <w:spacing w:after="0"/>
              <w:jc w:val="left"/>
              <w:rPr>
                <w:rFonts w:eastAsia="ArialNarrow" w:cstheme="minorHAnsi"/>
                <w:color w:val="FFFFFF" w:themeColor="background1"/>
                <w:sz w:val="20"/>
              </w:rPr>
            </w:pPr>
            <w:r>
              <w:rPr>
                <w:rFonts w:eastAsia="ArialNarrow" w:cstheme="minorHAnsi"/>
                <w:color w:val="FFFFFF" w:themeColor="background1"/>
                <w:sz w:val="20"/>
              </w:rPr>
              <w:t>2016./2017.</w:t>
            </w:r>
          </w:p>
        </w:tc>
        <w:tc>
          <w:tcPr>
            <w:tcW w:w="3615" w:type="dxa"/>
            <w:vAlign w:val="center"/>
            <w:hideMark/>
          </w:tcPr>
          <w:p w14:paraId="3EEDEC49" w14:textId="77777777" w:rsidR="009B2F5E" w:rsidRDefault="009B2F5E" w:rsidP="00DC1C3A">
            <w:pPr>
              <w:autoSpaceDE w:val="0"/>
              <w:autoSpaceDN w:val="0"/>
              <w:adjustRightInd w:val="0"/>
              <w:spacing w:after="0"/>
              <w:jc w:val="center"/>
              <w:rPr>
                <w:rFonts w:eastAsia="ArialNarrow" w:cstheme="minorHAnsi"/>
                <w:color w:val="auto"/>
                <w:sz w:val="20"/>
              </w:rPr>
            </w:pPr>
            <w:r>
              <w:rPr>
                <w:rFonts w:eastAsia="ArialNarrow" w:cstheme="minorHAnsi"/>
                <w:sz w:val="20"/>
              </w:rPr>
              <w:t>132.000kn</w:t>
            </w:r>
          </w:p>
        </w:tc>
        <w:tc>
          <w:tcPr>
            <w:tcW w:w="3755" w:type="dxa"/>
            <w:vAlign w:val="center"/>
            <w:hideMark/>
          </w:tcPr>
          <w:p w14:paraId="488E89F4" w14:textId="77777777" w:rsidR="009B2F5E" w:rsidRDefault="009B2F5E" w:rsidP="00DC1C3A">
            <w:pPr>
              <w:autoSpaceDE w:val="0"/>
              <w:autoSpaceDN w:val="0"/>
              <w:adjustRightInd w:val="0"/>
              <w:spacing w:after="0"/>
              <w:jc w:val="center"/>
              <w:rPr>
                <w:rFonts w:eastAsia="ArialNarrow" w:cstheme="minorHAnsi"/>
                <w:sz w:val="20"/>
              </w:rPr>
            </w:pPr>
            <w:r>
              <w:rPr>
                <w:rFonts w:eastAsia="ArialNarrow" w:cstheme="minorHAnsi"/>
                <w:sz w:val="20"/>
              </w:rPr>
              <w:t>162.000kn</w:t>
            </w:r>
          </w:p>
        </w:tc>
      </w:tr>
      <w:tr w:rsidR="009B2F5E" w14:paraId="75AE73AF" w14:textId="77777777" w:rsidTr="00805373">
        <w:trPr>
          <w:trHeight w:val="283"/>
        </w:trPr>
        <w:tc>
          <w:tcPr>
            <w:tcW w:w="1875" w:type="dxa"/>
            <w:shd w:val="clear" w:color="auto" w:fill="D2232A"/>
            <w:vAlign w:val="center"/>
            <w:hideMark/>
          </w:tcPr>
          <w:p w14:paraId="3EC5D1DC" w14:textId="77777777" w:rsidR="009B2F5E" w:rsidRDefault="009B2F5E" w:rsidP="00805373">
            <w:pPr>
              <w:autoSpaceDE w:val="0"/>
              <w:autoSpaceDN w:val="0"/>
              <w:adjustRightInd w:val="0"/>
              <w:spacing w:after="0"/>
              <w:jc w:val="left"/>
              <w:rPr>
                <w:rFonts w:eastAsia="ArialNarrow" w:cstheme="minorHAnsi"/>
                <w:color w:val="FFFFFF" w:themeColor="background1"/>
                <w:sz w:val="20"/>
              </w:rPr>
            </w:pPr>
            <w:r>
              <w:rPr>
                <w:rFonts w:eastAsia="ArialNarrow" w:cstheme="minorHAnsi"/>
                <w:color w:val="FFFFFF" w:themeColor="background1"/>
                <w:sz w:val="20"/>
              </w:rPr>
              <w:t>2017./2018.</w:t>
            </w:r>
          </w:p>
        </w:tc>
        <w:tc>
          <w:tcPr>
            <w:tcW w:w="3615" w:type="dxa"/>
            <w:vAlign w:val="center"/>
            <w:hideMark/>
          </w:tcPr>
          <w:p w14:paraId="4610C521" w14:textId="77777777" w:rsidR="009B2F5E" w:rsidRDefault="009B2F5E" w:rsidP="00DC1C3A">
            <w:pPr>
              <w:autoSpaceDE w:val="0"/>
              <w:autoSpaceDN w:val="0"/>
              <w:adjustRightInd w:val="0"/>
              <w:spacing w:after="0"/>
              <w:jc w:val="center"/>
              <w:rPr>
                <w:rFonts w:eastAsia="ArialNarrow" w:cstheme="minorHAnsi"/>
                <w:color w:val="auto"/>
                <w:sz w:val="20"/>
              </w:rPr>
            </w:pPr>
            <w:r>
              <w:rPr>
                <w:rFonts w:eastAsia="ArialNarrow" w:cstheme="minorHAnsi"/>
                <w:sz w:val="20"/>
              </w:rPr>
              <w:t>84.000kn</w:t>
            </w:r>
          </w:p>
        </w:tc>
        <w:tc>
          <w:tcPr>
            <w:tcW w:w="3755" w:type="dxa"/>
            <w:vAlign w:val="center"/>
            <w:hideMark/>
          </w:tcPr>
          <w:p w14:paraId="0C676586" w14:textId="77777777" w:rsidR="009B2F5E" w:rsidRDefault="009B2F5E" w:rsidP="00DC1C3A">
            <w:pPr>
              <w:autoSpaceDE w:val="0"/>
              <w:autoSpaceDN w:val="0"/>
              <w:adjustRightInd w:val="0"/>
              <w:spacing w:after="0"/>
              <w:jc w:val="center"/>
              <w:rPr>
                <w:rFonts w:eastAsia="ArialNarrow" w:cstheme="minorHAnsi"/>
                <w:sz w:val="20"/>
              </w:rPr>
            </w:pPr>
            <w:r>
              <w:rPr>
                <w:rFonts w:eastAsia="ArialNarrow" w:cstheme="minorHAnsi"/>
                <w:sz w:val="20"/>
              </w:rPr>
              <w:t>192.000kn</w:t>
            </w:r>
          </w:p>
        </w:tc>
      </w:tr>
      <w:tr w:rsidR="009B2F5E" w14:paraId="69ED504E" w14:textId="77777777" w:rsidTr="00805373">
        <w:trPr>
          <w:trHeight w:val="283"/>
        </w:trPr>
        <w:tc>
          <w:tcPr>
            <w:tcW w:w="1875" w:type="dxa"/>
            <w:shd w:val="clear" w:color="auto" w:fill="D2232A"/>
            <w:vAlign w:val="center"/>
            <w:hideMark/>
          </w:tcPr>
          <w:p w14:paraId="4098EEA5" w14:textId="77777777" w:rsidR="009B2F5E" w:rsidRDefault="009B2F5E" w:rsidP="00805373">
            <w:pPr>
              <w:autoSpaceDE w:val="0"/>
              <w:autoSpaceDN w:val="0"/>
              <w:adjustRightInd w:val="0"/>
              <w:spacing w:after="0"/>
              <w:jc w:val="left"/>
              <w:rPr>
                <w:rFonts w:eastAsia="ArialNarrow" w:cstheme="minorHAnsi"/>
                <w:color w:val="FFFFFF" w:themeColor="background1"/>
                <w:sz w:val="20"/>
              </w:rPr>
            </w:pPr>
            <w:r>
              <w:rPr>
                <w:rFonts w:eastAsia="ArialNarrow" w:cstheme="minorHAnsi"/>
                <w:color w:val="FFFFFF" w:themeColor="background1"/>
                <w:sz w:val="20"/>
              </w:rPr>
              <w:t>2018./2019.</w:t>
            </w:r>
          </w:p>
        </w:tc>
        <w:tc>
          <w:tcPr>
            <w:tcW w:w="3615" w:type="dxa"/>
            <w:vAlign w:val="center"/>
            <w:hideMark/>
          </w:tcPr>
          <w:p w14:paraId="46080356" w14:textId="77777777" w:rsidR="009B2F5E" w:rsidRDefault="009B2F5E" w:rsidP="00DC1C3A">
            <w:pPr>
              <w:autoSpaceDE w:val="0"/>
              <w:autoSpaceDN w:val="0"/>
              <w:adjustRightInd w:val="0"/>
              <w:spacing w:after="0"/>
              <w:jc w:val="center"/>
              <w:rPr>
                <w:rFonts w:eastAsia="ArialNarrow" w:cstheme="minorHAnsi"/>
                <w:color w:val="auto"/>
                <w:sz w:val="20"/>
              </w:rPr>
            </w:pPr>
            <w:r>
              <w:rPr>
                <w:rFonts w:eastAsia="ArialNarrow" w:cstheme="minorHAnsi"/>
                <w:sz w:val="20"/>
              </w:rPr>
              <w:t>144.000kn</w:t>
            </w:r>
          </w:p>
        </w:tc>
        <w:tc>
          <w:tcPr>
            <w:tcW w:w="3755" w:type="dxa"/>
            <w:vAlign w:val="center"/>
            <w:hideMark/>
          </w:tcPr>
          <w:p w14:paraId="3C74DA73" w14:textId="77777777" w:rsidR="009B2F5E" w:rsidRDefault="009B2F5E" w:rsidP="00DC1C3A">
            <w:pPr>
              <w:autoSpaceDE w:val="0"/>
              <w:autoSpaceDN w:val="0"/>
              <w:adjustRightInd w:val="0"/>
              <w:spacing w:after="0"/>
              <w:jc w:val="center"/>
              <w:rPr>
                <w:rFonts w:eastAsia="ArialNarrow" w:cstheme="minorHAnsi"/>
                <w:sz w:val="20"/>
              </w:rPr>
            </w:pPr>
            <w:r>
              <w:rPr>
                <w:rFonts w:eastAsia="ArialNarrow" w:cstheme="minorHAnsi"/>
                <w:sz w:val="20"/>
              </w:rPr>
              <w:t>238.000kn</w:t>
            </w:r>
          </w:p>
        </w:tc>
      </w:tr>
      <w:tr w:rsidR="00913999" w14:paraId="16816AE8" w14:textId="77777777" w:rsidTr="00805373">
        <w:trPr>
          <w:trHeight w:val="283"/>
        </w:trPr>
        <w:tc>
          <w:tcPr>
            <w:tcW w:w="1875" w:type="dxa"/>
            <w:shd w:val="clear" w:color="auto" w:fill="D2232A"/>
            <w:vAlign w:val="center"/>
          </w:tcPr>
          <w:p w14:paraId="3E082E8B" w14:textId="17314C98" w:rsidR="00913999" w:rsidRDefault="00913999" w:rsidP="00805373">
            <w:pPr>
              <w:autoSpaceDE w:val="0"/>
              <w:autoSpaceDN w:val="0"/>
              <w:adjustRightInd w:val="0"/>
              <w:spacing w:after="0"/>
              <w:jc w:val="left"/>
              <w:rPr>
                <w:rFonts w:eastAsia="ArialNarrow" w:cstheme="minorHAnsi"/>
                <w:color w:val="FFFFFF" w:themeColor="background1"/>
                <w:sz w:val="20"/>
              </w:rPr>
            </w:pPr>
            <w:r>
              <w:rPr>
                <w:rFonts w:eastAsia="ArialNarrow" w:cstheme="minorHAnsi"/>
                <w:color w:val="FFFFFF" w:themeColor="background1"/>
                <w:sz w:val="20"/>
              </w:rPr>
              <w:t>2019./2020.</w:t>
            </w:r>
          </w:p>
        </w:tc>
        <w:tc>
          <w:tcPr>
            <w:tcW w:w="3615" w:type="dxa"/>
            <w:vAlign w:val="center"/>
          </w:tcPr>
          <w:p w14:paraId="5AEE4F6E" w14:textId="59D46111" w:rsidR="00913999" w:rsidRDefault="00913999" w:rsidP="00DC1C3A">
            <w:pPr>
              <w:autoSpaceDE w:val="0"/>
              <w:autoSpaceDN w:val="0"/>
              <w:adjustRightInd w:val="0"/>
              <w:spacing w:after="0"/>
              <w:jc w:val="center"/>
              <w:rPr>
                <w:rFonts w:eastAsia="ArialNarrow" w:cstheme="minorHAnsi"/>
                <w:sz w:val="20"/>
              </w:rPr>
            </w:pPr>
            <w:r>
              <w:rPr>
                <w:rFonts w:eastAsia="ArialNarrow" w:cstheme="minorHAnsi"/>
                <w:sz w:val="20"/>
              </w:rPr>
              <w:t>120.000kn</w:t>
            </w:r>
          </w:p>
        </w:tc>
        <w:tc>
          <w:tcPr>
            <w:tcW w:w="3755" w:type="dxa"/>
            <w:vAlign w:val="center"/>
          </w:tcPr>
          <w:p w14:paraId="036A0D00" w14:textId="239172F2" w:rsidR="00913999" w:rsidRDefault="00913999" w:rsidP="00DC1C3A">
            <w:pPr>
              <w:autoSpaceDE w:val="0"/>
              <w:autoSpaceDN w:val="0"/>
              <w:adjustRightInd w:val="0"/>
              <w:spacing w:after="0"/>
              <w:jc w:val="center"/>
              <w:rPr>
                <w:rFonts w:eastAsia="ArialNarrow" w:cstheme="minorHAnsi"/>
                <w:sz w:val="20"/>
              </w:rPr>
            </w:pPr>
            <w:r>
              <w:rPr>
                <w:rFonts w:eastAsia="ArialNarrow" w:cstheme="minorHAnsi"/>
                <w:sz w:val="20"/>
              </w:rPr>
              <w:t>21</w:t>
            </w:r>
            <w:r w:rsidR="0069117D">
              <w:rPr>
                <w:rFonts w:eastAsia="ArialNarrow" w:cstheme="minorHAnsi"/>
                <w:sz w:val="20"/>
              </w:rPr>
              <w:t>7</w:t>
            </w:r>
            <w:r>
              <w:rPr>
                <w:rFonts w:eastAsia="ArialNarrow" w:cstheme="minorHAnsi"/>
                <w:sz w:val="20"/>
              </w:rPr>
              <w:t>.000kn</w:t>
            </w:r>
          </w:p>
        </w:tc>
      </w:tr>
      <w:tr w:rsidR="00913999" w14:paraId="51EA9860" w14:textId="77777777" w:rsidTr="00805373">
        <w:trPr>
          <w:trHeight w:val="283"/>
        </w:trPr>
        <w:tc>
          <w:tcPr>
            <w:tcW w:w="1875" w:type="dxa"/>
            <w:shd w:val="clear" w:color="auto" w:fill="D2232A"/>
            <w:vAlign w:val="center"/>
          </w:tcPr>
          <w:p w14:paraId="4017175D" w14:textId="04A288D8" w:rsidR="00913999" w:rsidRDefault="00913999" w:rsidP="00805373">
            <w:pPr>
              <w:autoSpaceDE w:val="0"/>
              <w:autoSpaceDN w:val="0"/>
              <w:adjustRightInd w:val="0"/>
              <w:spacing w:after="0"/>
              <w:jc w:val="left"/>
              <w:rPr>
                <w:rFonts w:eastAsia="ArialNarrow" w:cstheme="minorHAnsi"/>
                <w:color w:val="FFFFFF" w:themeColor="background1"/>
                <w:sz w:val="20"/>
              </w:rPr>
            </w:pPr>
            <w:r>
              <w:rPr>
                <w:rFonts w:eastAsia="ArialNarrow" w:cstheme="minorHAnsi"/>
                <w:color w:val="FFFFFF" w:themeColor="background1"/>
                <w:sz w:val="20"/>
              </w:rPr>
              <w:t>2020./2021.</w:t>
            </w:r>
          </w:p>
        </w:tc>
        <w:tc>
          <w:tcPr>
            <w:tcW w:w="3615" w:type="dxa"/>
            <w:vAlign w:val="center"/>
          </w:tcPr>
          <w:p w14:paraId="50E828D2" w14:textId="63DA0EFD" w:rsidR="00913999" w:rsidRDefault="00CA521D" w:rsidP="00DC1C3A">
            <w:pPr>
              <w:autoSpaceDE w:val="0"/>
              <w:autoSpaceDN w:val="0"/>
              <w:adjustRightInd w:val="0"/>
              <w:spacing w:after="0"/>
              <w:jc w:val="center"/>
              <w:rPr>
                <w:rFonts w:eastAsia="ArialNarrow" w:cstheme="minorHAnsi"/>
                <w:sz w:val="20"/>
              </w:rPr>
            </w:pPr>
            <w:r>
              <w:rPr>
                <w:rFonts w:eastAsia="ArialNarrow" w:cstheme="minorHAnsi"/>
                <w:sz w:val="20"/>
              </w:rPr>
              <w:t>124.000kn</w:t>
            </w:r>
          </w:p>
        </w:tc>
        <w:tc>
          <w:tcPr>
            <w:tcW w:w="3755" w:type="dxa"/>
            <w:vAlign w:val="center"/>
          </w:tcPr>
          <w:p w14:paraId="7572D88D" w14:textId="3C1877D5" w:rsidR="00913999" w:rsidRDefault="00913999" w:rsidP="00DC1C3A">
            <w:pPr>
              <w:autoSpaceDE w:val="0"/>
              <w:autoSpaceDN w:val="0"/>
              <w:adjustRightInd w:val="0"/>
              <w:spacing w:after="0"/>
              <w:jc w:val="center"/>
              <w:rPr>
                <w:rFonts w:eastAsia="ArialNarrow" w:cstheme="minorHAnsi"/>
                <w:sz w:val="20"/>
              </w:rPr>
            </w:pPr>
            <w:r>
              <w:rPr>
                <w:rFonts w:eastAsia="ArialNarrow" w:cstheme="minorHAnsi"/>
                <w:sz w:val="20"/>
              </w:rPr>
              <w:t>2</w:t>
            </w:r>
            <w:r w:rsidR="00CA521D">
              <w:rPr>
                <w:rFonts w:eastAsia="ArialNarrow" w:cstheme="minorHAnsi"/>
                <w:sz w:val="20"/>
              </w:rPr>
              <w:t>8</w:t>
            </w:r>
            <w:r>
              <w:rPr>
                <w:rFonts w:eastAsia="ArialNarrow" w:cstheme="minorHAnsi"/>
                <w:sz w:val="20"/>
              </w:rPr>
              <w:t>0.000kn</w:t>
            </w:r>
          </w:p>
        </w:tc>
      </w:tr>
    </w:tbl>
    <w:p w14:paraId="502EBB11" w14:textId="5EBE4241" w:rsidR="009B2F5E" w:rsidRPr="001077FE" w:rsidRDefault="009B2F5E" w:rsidP="001077FE">
      <w:pPr>
        <w:autoSpaceDE w:val="0"/>
        <w:autoSpaceDN w:val="0"/>
        <w:adjustRightInd w:val="0"/>
        <w:spacing w:after="0" w:line="240" w:lineRule="auto"/>
        <w:rPr>
          <w:rFonts w:eastAsia="ArialNarrow" w:cstheme="minorHAnsi"/>
          <w:i/>
          <w:color w:val="ABABAB" w:themeColor="text1" w:themeTint="A6"/>
          <w:sz w:val="16"/>
          <w:szCs w:val="16"/>
        </w:rPr>
      </w:pPr>
      <w:r w:rsidRPr="001077FE">
        <w:rPr>
          <w:rFonts w:eastAsia="ArialNarrow" w:cstheme="minorHAnsi"/>
          <w:i/>
          <w:color w:val="ABABAB" w:themeColor="text1" w:themeTint="A6"/>
          <w:sz w:val="16"/>
          <w:szCs w:val="16"/>
        </w:rPr>
        <w:t>Izvor: Upravni odjel za obrazovanje, kulturu, sport i tehničku kulturu Krapinsko-zagorske županije</w:t>
      </w:r>
      <w:r w:rsidR="00274329" w:rsidRPr="001077FE">
        <w:rPr>
          <w:rFonts w:eastAsia="ArialNarrow" w:cstheme="minorHAnsi"/>
          <w:i/>
          <w:color w:val="ABABAB" w:themeColor="text1" w:themeTint="A6"/>
          <w:sz w:val="16"/>
          <w:szCs w:val="16"/>
        </w:rPr>
        <w:t xml:space="preserve">, </w:t>
      </w:r>
      <w:r w:rsidR="00913999">
        <w:rPr>
          <w:rFonts w:eastAsia="ArialNarrow" w:cstheme="minorHAnsi"/>
          <w:i/>
          <w:color w:val="ABABAB" w:themeColor="text1" w:themeTint="A6"/>
          <w:sz w:val="16"/>
          <w:szCs w:val="16"/>
        </w:rPr>
        <w:t>2021</w:t>
      </w:r>
    </w:p>
    <w:p w14:paraId="1BD4DE9E" w14:textId="7DDD070C" w:rsidR="00BD7D63" w:rsidRDefault="00BD7D63" w:rsidP="00941871">
      <w:pPr>
        <w:autoSpaceDE w:val="0"/>
        <w:autoSpaceDN w:val="0"/>
        <w:adjustRightInd w:val="0"/>
        <w:spacing w:after="0" w:line="240" w:lineRule="auto"/>
        <w:rPr>
          <w:rFonts w:eastAsia="ArialNarrow" w:cstheme="minorHAnsi"/>
          <w:szCs w:val="20"/>
        </w:rPr>
      </w:pPr>
    </w:p>
    <w:p w14:paraId="23645385" w14:textId="0B93F0CD" w:rsidR="00913999" w:rsidRDefault="00913999" w:rsidP="00941871">
      <w:pPr>
        <w:autoSpaceDE w:val="0"/>
        <w:autoSpaceDN w:val="0"/>
        <w:adjustRightInd w:val="0"/>
        <w:spacing w:after="0" w:line="240" w:lineRule="auto"/>
        <w:rPr>
          <w:rFonts w:eastAsia="ArialNarrow" w:cstheme="minorHAnsi"/>
          <w:szCs w:val="20"/>
        </w:rPr>
      </w:pPr>
      <w:r>
        <w:rPr>
          <w:rFonts w:eastAsia="ArialNarrow" w:cstheme="minorHAnsi"/>
          <w:szCs w:val="20"/>
        </w:rPr>
        <w:t xml:space="preserve">Učenička stipendija od 2016. godine iznosi 400kn, a iznos studenske stipendije se povećavao s godinama. U akademskoj godini 2016./2017. studenska stipendija po socijalnom kriteriju iznosila je 600kn, a od akademske godine 2018./2019. iznosi 700kn. </w:t>
      </w:r>
      <w:r w:rsidR="002B5FC6">
        <w:rPr>
          <w:rFonts w:eastAsia="ArialNarrow" w:cstheme="minorHAnsi"/>
          <w:szCs w:val="20"/>
        </w:rPr>
        <w:t>U akademskoj godini 2020./2021. Županija je dodijelila 31 učeničku te 40 studentskih stipendija prema B kategoriji.</w:t>
      </w:r>
    </w:p>
    <w:p w14:paraId="48989E49" w14:textId="1D471120" w:rsidR="00DB0823" w:rsidRDefault="00201691" w:rsidP="0052192B">
      <w:pPr>
        <w:pStyle w:val="Naslov2"/>
        <w:rPr>
          <w:sz w:val="26"/>
          <w:szCs w:val="26"/>
        </w:rPr>
      </w:pPr>
      <w:bookmarkStart w:id="82" w:name="_Toc85181298"/>
      <w:r>
        <w:t>5</w:t>
      </w:r>
      <w:r w:rsidR="00DB0823">
        <w:t>.4. Osobe s invaliditetom</w:t>
      </w:r>
      <w:bookmarkEnd w:id="82"/>
    </w:p>
    <w:p w14:paraId="4802CB20" w14:textId="24E7B547" w:rsidR="00DB0823" w:rsidRDefault="00DB0823" w:rsidP="00941871">
      <w:pPr>
        <w:autoSpaceDE w:val="0"/>
        <w:autoSpaceDN w:val="0"/>
        <w:adjustRightInd w:val="0"/>
        <w:spacing w:after="0" w:line="240" w:lineRule="auto"/>
        <w:rPr>
          <w:rFonts w:eastAsia="ArialNarrow" w:cstheme="minorHAnsi"/>
          <w:szCs w:val="20"/>
        </w:rPr>
      </w:pPr>
    </w:p>
    <w:p w14:paraId="68222D8C" w14:textId="0967F51D" w:rsidR="00A3004D" w:rsidRDefault="00A3004D" w:rsidP="00A3004D">
      <w:pPr>
        <w:autoSpaceDE w:val="0"/>
        <w:autoSpaceDN w:val="0"/>
        <w:adjustRightInd w:val="0"/>
        <w:spacing w:after="0" w:line="240" w:lineRule="auto"/>
        <w:rPr>
          <w:rFonts w:eastAsia="ArialNarrow" w:cstheme="minorHAnsi"/>
          <w:szCs w:val="20"/>
        </w:rPr>
      </w:pPr>
      <w:r w:rsidRPr="001077FE">
        <w:rPr>
          <w:rFonts w:eastAsia="ArialNarrow" w:cstheme="minorHAnsi"/>
          <w:szCs w:val="20"/>
        </w:rPr>
        <w:t>Prema procjenama UN invalidnost je mnogo ra</w:t>
      </w:r>
      <w:r w:rsidRPr="001077FE">
        <w:rPr>
          <w:rFonts w:eastAsia="ArialNarrow" w:cstheme="minorHAnsi" w:hint="eastAsia"/>
          <w:szCs w:val="20"/>
        </w:rPr>
        <w:t>š</w:t>
      </w:r>
      <w:r w:rsidRPr="001077FE">
        <w:rPr>
          <w:rFonts w:eastAsia="ArialNarrow" w:cstheme="minorHAnsi"/>
          <w:szCs w:val="20"/>
        </w:rPr>
        <w:t xml:space="preserve">irenija nego </w:t>
      </w:r>
      <w:r w:rsidRPr="001077FE">
        <w:rPr>
          <w:rFonts w:eastAsia="ArialNarrow" w:cstheme="minorHAnsi" w:hint="eastAsia"/>
          <w:szCs w:val="20"/>
        </w:rPr>
        <w:t>š</w:t>
      </w:r>
      <w:r w:rsidRPr="001077FE">
        <w:rPr>
          <w:rFonts w:eastAsia="ArialNarrow" w:cstheme="minorHAnsi"/>
          <w:szCs w:val="20"/>
        </w:rPr>
        <w:t>to se ina</w:t>
      </w:r>
      <w:r w:rsidRPr="001077FE">
        <w:rPr>
          <w:rFonts w:eastAsia="ArialNarrow" w:cstheme="minorHAnsi" w:hint="eastAsia"/>
          <w:szCs w:val="20"/>
        </w:rPr>
        <w:t>č</w:t>
      </w:r>
      <w:r w:rsidRPr="001077FE">
        <w:rPr>
          <w:rFonts w:eastAsia="ArialNarrow" w:cstheme="minorHAnsi"/>
          <w:szCs w:val="20"/>
        </w:rPr>
        <w:t>e misli: od deset stanovnika svake zemlje bar je jedan u izvjesnoj mjeri invalid</w:t>
      </w:r>
      <w:r w:rsidR="003821B1" w:rsidRPr="00AC28DB">
        <w:rPr>
          <w:rStyle w:val="Referencafusnote"/>
          <w:rFonts w:eastAsia="Times New Roman" w:cstheme="minorHAnsi"/>
          <w:color w:val="000000"/>
          <w:szCs w:val="18"/>
          <w:lang w:eastAsia="hr-HR"/>
        </w:rPr>
        <w:footnoteReference w:id="39"/>
      </w:r>
      <w:r w:rsidRPr="001077FE">
        <w:rPr>
          <w:rFonts w:eastAsia="ArialNarrow" w:cstheme="minorHAnsi"/>
          <w:szCs w:val="20"/>
        </w:rPr>
        <w:t xml:space="preserve"> te je raspolaganje odgovaraju</w:t>
      </w:r>
      <w:r w:rsidRPr="001077FE">
        <w:rPr>
          <w:rFonts w:eastAsia="ArialNarrow" w:cstheme="minorHAnsi" w:hint="eastAsia"/>
          <w:szCs w:val="20"/>
        </w:rPr>
        <w:t>ć</w:t>
      </w:r>
      <w:r w:rsidRPr="001077FE">
        <w:rPr>
          <w:rFonts w:eastAsia="ArialNarrow" w:cstheme="minorHAnsi"/>
          <w:szCs w:val="20"/>
        </w:rPr>
        <w:t>im podacima o dizabilitetu</w:t>
      </w:r>
      <w:r w:rsidRPr="001077FE">
        <w:rPr>
          <w:rFonts w:eastAsia="ArialNarrow" w:cstheme="minorHAnsi" w:hint="eastAsia"/>
          <w:szCs w:val="20"/>
        </w:rPr>
        <w:t>–</w:t>
      </w:r>
      <w:r w:rsidRPr="001077FE">
        <w:rPr>
          <w:rFonts w:eastAsia="ArialNarrow" w:cstheme="minorHAnsi"/>
          <w:szCs w:val="20"/>
        </w:rPr>
        <w:t>invaliditetu preduvjet za planiranje odgovaraju</w:t>
      </w:r>
      <w:r w:rsidRPr="001077FE">
        <w:rPr>
          <w:rFonts w:eastAsia="ArialNarrow" w:cstheme="minorHAnsi" w:hint="eastAsia"/>
          <w:szCs w:val="20"/>
        </w:rPr>
        <w:t>ć</w:t>
      </w:r>
      <w:r w:rsidRPr="001077FE">
        <w:rPr>
          <w:rFonts w:eastAsia="ArialNarrow" w:cstheme="minorHAnsi"/>
          <w:szCs w:val="20"/>
        </w:rPr>
        <w:t>ih preventivnih mjera i dono</w:t>
      </w:r>
      <w:r w:rsidRPr="001077FE">
        <w:rPr>
          <w:rFonts w:eastAsia="ArialNarrow" w:cstheme="minorHAnsi" w:hint="eastAsia"/>
          <w:szCs w:val="20"/>
        </w:rPr>
        <w:t>š</w:t>
      </w:r>
      <w:r w:rsidRPr="001077FE">
        <w:rPr>
          <w:rFonts w:eastAsia="ArialNarrow" w:cstheme="minorHAnsi"/>
          <w:szCs w:val="20"/>
        </w:rPr>
        <w:t>enje programa za osobe s invaliditetom. Hrvatska je donijela Zakon o Hrvatskom registru o osobama s invaliditetom (NN</w:t>
      </w:r>
      <w:r w:rsidR="00325136" w:rsidRPr="001077FE">
        <w:rPr>
          <w:rFonts w:eastAsia="ArialNarrow" w:cstheme="minorHAnsi"/>
          <w:szCs w:val="20"/>
        </w:rPr>
        <w:t xml:space="preserve"> </w:t>
      </w:r>
      <w:r w:rsidRPr="001077FE">
        <w:rPr>
          <w:rFonts w:eastAsia="ArialNarrow" w:cstheme="minorHAnsi"/>
          <w:szCs w:val="20"/>
        </w:rPr>
        <w:t>64/01), koji propisuje na</w:t>
      </w:r>
      <w:r w:rsidRPr="001077FE">
        <w:rPr>
          <w:rFonts w:eastAsia="ArialNarrow" w:cstheme="minorHAnsi" w:hint="eastAsia"/>
          <w:szCs w:val="20"/>
        </w:rPr>
        <w:t>č</w:t>
      </w:r>
      <w:r w:rsidRPr="001077FE">
        <w:rPr>
          <w:rFonts w:eastAsia="ArialNarrow" w:cstheme="minorHAnsi"/>
          <w:szCs w:val="20"/>
        </w:rPr>
        <w:t>in prikupljanja, obrade i za</w:t>
      </w:r>
      <w:r w:rsidRPr="001077FE">
        <w:rPr>
          <w:rFonts w:eastAsia="ArialNarrow" w:cstheme="minorHAnsi" w:hint="eastAsia"/>
          <w:szCs w:val="20"/>
        </w:rPr>
        <w:t>š</w:t>
      </w:r>
      <w:r w:rsidRPr="001077FE">
        <w:rPr>
          <w:rFonts w:eastAsia="ArialNarrow" w:cstheme="minorHAnsi"/>
          <w:szCs w:val="20"/>
        </w:rPr>
        <w:t>tite tajnosti podataka o sobama s invaliditetom. Registar se vodi u Hrvatskom zavodu za javno zdravstvo, a po</w:t>
      </w:r>
      <w:r w:rsidRPr="001077FE">
        <w:rPr>
          <w:rFonts w:eastAsia="ArialNarrow" w:cstheme="minorHAnsi" w:hint="eastAsia"/>
          <w:szCs w:val="20"/>
        </w:rPr>
        <w:t>č</w:t>
      </w:r>
      <w:r w:rsidRPr="001077FE">
        <w:rPr>
          <w:rFonts w:eastAsia="ArialNarrow" w:cstheme="minorHAnsi"/>
          <w:szCs w:val="20"/>
        </w:rPr>
        <w:t>eo je s radom 2002. godine. Prema navedenom Zakonu invaliditet je trajno ograni</w:t>
      </w:r>
      <w:r w:rsidRPr="001077FE">
        <w:rPr>
          <w:rFonts w:eastAsia="ArialNarrow" w:cstheme="minorHAnsi" w:hint="eastAsia"/>
          <w:szCs w:val="20"/>
        </w:rPr>
        <w:t>č</w:t>
      </w:r>
      <w:r w:rsidRPr="001077FE">
        <w:rPr>
          <w:rFonts w:eastAsia="ArialNarrow" w:cstheme="minorHAnsi"/>
          <w:szCs w:val="20"/>
        </w:rPr>
        <w:t>enje, smanjenje ili gubitak sposobnosti (koje proizlazi iz o</w:t>
      </w:r>
      <w:r w:rsidRPr="001077FE">
        <w:rPr>
          <w:rFonts w:eastAsia="ArialNarrow" w:cstheme="minorHAnsi" w:hint="eastAsia"/>
          <w:szCs w:val="20"/>
        </w:rPr>
        <w:t>š</w:t>
      </w:r>
      <w:r w:rsidRPr="001077FE">
        <w:rPr>
          <w:rFonts w:eastAsia="ArialNarrow" w:cstheme="minorHAnsi"/>
          <w:szCs w:val="20"/>
        </w:rPr>
        <w:t>te</w:t>
      </w:r>
      <w:r w:rsidRPr="001077FE">
        <w:rPr>
          <w:rFonts w:eastAsia="ArialNarrow" w:cstheme="minorHAnsi" w:hint="eastAsia"/>
          <w:szCs w:val="20"/>
        </w:rPr>
        <w:t>ć</w:t>
      </w:r>
      <w:r w:rsidRPr="001077FE">
        <w:rPr>
          <w:rFonts w:eastAsia="ArialNarrow" w:cstheme="minorHAnsi"/>
          <w:szCs w:val="20"/>
        </w:rPr>
        <w:t>enja zdravlja) neke fizi</w:t>
      </w:r>
      <w:r w:rsidRPr="001077FE">
        <w:rPr>
          <w:rFonts w:eastAsia="ArialNarrow" w:cstheme="minorHAnsi" w:hint="eastAsia"/>
          <w:szCs w:val="20"/>
        </w:rPr>
        <w:t>č</w:t>
      </w:r>
      <w:r w:rsidRPr="001077FE">
        <w:rPr>
          <w:rFonts w:eastAsia="ArialNarrow" w:cstheme="minorHAnsi"/>
          <w:szCs w:val="20"/>
        </w:rPr>
        <w:t>ke aktivnosti ili psihi</w:t>
      </w:r>
      <w:r w:rsidRPr="001077FE">
        <w:rPr>
          <w:rFonts w:eastAsia="ArialNarrow" w:cstheme="minorHAnsi" w:hint="eastAsia"/>
          <w:szCs w:val="20"/>
        </w:rPr>
        <w:t>č</w:t>
      </w:r>
      <w:r w:rsidRPr="001077FE">
        <w:rPr>
          <w:rFonts w:eastAsia="ArialNarrow" w:cstheme="minorHAnsi"/>
          <w:szCs w:val="20"/>
        </w:rPr>
        <w:t xml:space="preserve">ke funkcije primjerene </w:t>
      </w:r>
      <w:r w:rsidRPr="001077FE">
        <w:rPr>
          <w:rFonts w:eastAsia="ArialNarrow" w:cstheme="minorHAnsi" w:hint="eastAsia"/>
          <w:szCs w:val="20"/>
        </w:rPr>
        <w:t>ž</w:t>
      </w:r>
      <w:r w:rsidRPr="001077FE">
        <w:rPr>
          <w:rFonts w:eastAsia="ArialNarrow" w:cstheme="minorHAnsi"/>
          <w:szCs w:val="20"/>
        </w:rPr>
        <w:t>ivotnoj dobi osobe i odnosi se na sposobnosti, u obliku slo</w:t>
      </w:r>
      <w:r w:rsidRPr="001077FE">
        <w:rPr>
          <w:rFonts w:eastAsia="ArialNarrow" w:cstheme="minorHAnsi" w:hint="eastAsia"/>
          <w:szCs w:val="20"/>
        </w:rPr>
        <w:t>ž</w:t>
      </w:r>
      <w:r w:rsidRPr="001077FE">
        <w:rPr>
          <w:rFonts w:eastAsia="ArialNarrow" w:cstheme="minorHAnsi"/>
          <w:szCs w:val="20"/>
        </w:rPr>
        <w:t>enih aktivnosti i pona</w:t>
      </w:r>
      <w:r w:rsidRPr="001077FE">
        <w:rPr>
          <w:rFonts w:eastAsia="ArialNarrow" w:cstheme="minorHAnsi" w:hint="eastAsia"/>
          <w:szCs w:val="20"/>
        </w:rPr>
        <w:t>š</w:t>
      </w:r>
      <w:r w:rsidRPr="001077FE">
        <w:rPr>
          <w:rFonts w:eastAsia="ArialNarrow" w:cstheme="minorHAnsi"/>
          <w:szCs w:val="20"/>
        </w:rPr>
        <w:t>anja, koje su op</w:t>
      </w:r>
      <w:r w:rsidRPr="001077FE">
        <w:rPr>
          <w:rFonts w:eastAsia="ArialNarrow" w:cstheme="minorHAnsi" w:hint="eastAsia"/>
          <w:szCs w:val="20"/>
        </w:rPr>
        <w:t>ć</w:t>
      </w:r>
      <w:r w:rsidRPr="001077FE">
        <w:rPr>
          <w:rFonts w:eastAsia="ArialNarrow" w:cstheme="minorHAnsi"/>
          <w:szCs w:val="20"/>
        </w:rPr>
        <w:t>enito prihva</w:t>
      </w:r>
      <w:r w:rsidRPr="001077FE">
        <w:rPr>
          <w:rFonts w:eastAsia="ArialNarrow" w:cstheme="minorHAnsi" w:hint="eastAsia"/>
          <w:szCs w:val="20"/>
        </w:rPr>
        <w:t>ć</w:t>
      </w:r>
      <w:r w:rsidRPr="001077FE">
        <w:rPr>
          <w:rFonts w:eastAsia="ArialNarrow" w:cstheme="minorHAnsi"/>
          <w:szCs w:val="20"/>
        </w:rPr>
        <w:t xml:space="preserve">ene kao bitni sastojci svakodnevnog </w:t>
      </w:r>
      <w:r w:rsidRPr="001077FE">
        <w:rPr>
          <w:rFonts w:eastAsia="ArialNarrow" w:cstheme="minorHAnsi" w:hint="eastAsia"/>
          <w:szCs w:val="20"/>
        </w:rPr>
        <w:t>ž</w:t>
      </w:r>
      <w:r w:rsidRPr="001077FE">
        <w:rPr>
          <w:rFonts w:eastAsia="ArialNarrow" w:cstheme="minorHAnsi"/>
          <w:szCs w:val="20"/>
        </w:rPr>
        <w:t>ivota.</w:t>
      </w:r>
    </w:p>
    <w:p w14:paraId="75A00E32" w14:textId="184D8A67" w:rsidR="00316264" w:rsidRPr="001077FE" w:rsidRDefault="00316264" w:rsidP="00A3004D">
      <w:pPr>
        <w:autoSpaceDE w:val="0"/>
        <w:autoSpaceDN w:val="0"/>
        <w:adjustRightInd w:val="0"/>
        <w:spacing w:after="0" w:line="240" w:lineRule="auto"/>
        <w:rPr>
          <w:rFonts w:eastAsia="ArialNarrow" w:cstheme="minorHAnsi"/>
          <w:szCs w:val="20"/>
        </w:rPr>
      </w:pPr>
    </w:p>
    <w:p w14:paraId="71C35D2B" w14:textId="57500B16" w:rsidR="00316264" w:rsidRPr="001077FE" w:rsidRDefault="00316264" w:rsidP="002800B7">
      <w:pPr>
        <w:autoSpaceDE w:val="0"/>
        <w:autoSpaceDN w:val="0"/>
        <w:adjustRightInd w:val="0"/>
        <w:spacing w:after="0" w:line="240" w:lineRule="auto"/>
        <w:rPr>
          <w:rFonts w:eastAsia="ArialNarrow" w:cstheme="minorHAnsi"/>
          <w:szCs w:val="20"/>
        </w:rPr>
      </w:pPr>
      <w:r w:rsidRPr="001077FE">
        <w:rPr>
          <w:rFonts w:eastAsia="ArialNarrow" w:cstheme="minorHAnsi"/>
          <w:szCs w:val="20"/>
        </w:rPr>
        <w:t>Prema izvješću Hrvatskog zavoda za javno zdravstvo o osobama s invaliditetom</w:t>
      </w:r>
      <w:r w:rsidR="00D64ADA" w:rsidRPr="001077FE">
        <w:rPr>
          <w:rFonts w:eastAsia="ArialNarrow" w:cstheme="minorHAnsi"/>
          <w:szCs w:val="20"/>
        </w:rPr>
        <w:t>,</w:t>
      </w:r>
      <w:r w:rsidRPr="001077FE">
        <w:rPr>
          <w:rFonts w:eastAsia="ArialNarrow" w:cstheme="minorHAnsi"/>
          <w:szCs w:val="20"/>
        </w:rPr>
        <w:t xml:space="preserve"> u Hrvatskoj</w:t>
      </w:r>
      <w:r w:rsidR="00D64ADA" w:rsidRPr="001077FE">
        <w:rPr>
          <w:rFonts w:eastAsia="ArialNarrow" w:cstheme="minorHAnsi"/>
          <w:szCs w:val="20"/>
        </w:rPr>
        <w:t xml:space="preserve"> (</w:t>
      </w:r>
      <w:r w:rsidRPr="001077FE">
        <w:rPr>
          <w:rFonts w:eastAsia="ArialNarrow" w:cstheme="minorHAnsi"/>
          <w:szCs w:val="20"/>
        </w:rPr>
        <w:t>stanje na dan 03.05.2019.</w:t>
      </w:r>
      <w:r w:rsidR="00D64ADA" w:rsidRPr="001077FE">
        <w:rPr>
          <w:rFonts w:eastAsia="ArialNarrow" w:cstheme="minorHAnsi"/>
          <w:szCs w:val="20"/>
        </w:rPr>
        <w:t>)</w:t>
      </w:r>
      <w:r w:rsidRPr="001077FE">
        <w:rPr>
          <w:rFonts w:eastAsia="ArialNarrow" w:cstheme="minorHAnsi"/>
          <w:szCs w:val="20"/>
        </w:rPr>
        <w:t xml:space="preserve"> </w:t>
      </w:r>
      <w:r w:rsidRPr="001077FE">
        <w:rPr>
          <w:rFonts w:eastAsia="ArialNarrow" w:cstheme="minorHAnsi" w:hint="eastAsia"/>
          <w:szCs w:val="20"/>
        </w:rPr>
        <w:t>ž</w:t>
      </w:r>
      <w:r w:rsidRPr="001077FE">
        <w:rPr>
          <w:rFonts w:eastAsia="ArialNarrow" w:cstheme="minorHAnsi"/>
          <w:szCs w:val="20"/>
        </w:rPr>
        <w:t xml:space="preserve">ivi 511.281 osoba s invaliditetom od </w:t>
      </w:r>
      <w:r w:rsidRPr="001077FE">
        <w:rPr>
          <w:rFonts w:eastAsia="ArialNarrow" w:cstheme="minorHAnsi" w:hint="eastAsia"/>
          <w:szCs w:val="20"/>
        </w:rPr>
        <w:t>č</w:t>
      </w:r>
      <w:r w:rsidRPr="001077FE">
        <w:rPr>
          <w:rFonts w:eastAsia="ArialNarrow" w:cstheme="minorHAnsi"/>
          <w:szCs w:val="20"/>
        </w:rPr>
        <w:t>ega su 307.647 mu</w:t>
      </w:r>
      <w:r w:rsidRPr="001077FE">
        <w:rPr>
          <w:rFonts w:eastAsia="ArialNarrow" w:cstheme="minorHAnsi" w:hint="eastAsia"/>
          <w:szCs w:val="20"/>
        </w:rPr>
        <w:t>š</w:t>
      </w:r>
      <w:r w:rsidRPr="001077FE">
        <w:rPr>
          <w:rFonts w:eastAsia="ArialNarrow" w:cstheme="minorHAnsi"/>
          <w:szCs w:val="20"/>
        </w:rPr>
        <w:t xml:space="preserve">ki (60%) i 203.634 </w:t>
      </w:r>
      <w:r w:rsidRPr="001077FE">
        <w:rPr>
          <w:rFonts w:eastAsia="ArialNarrow" w:cstheme="minorHAnsi" w:hint="eastAsia"/>
          <w:szCs w:val="20"/>
        </w:rPr>
        <w:t>ž</w:t>
      </w:r>
      <w:r w:rsidRPr="001077FE">
        <w:rPr>
          <w:rFonts w:eastAsia="ArialNarrow" w:cstheme="minorHAnsi"/>
          <w:szCs w:val="20"/>
        </w:rPr>
        <w:t>ene (40%) te na taj na</w:t>
      </w:r>
      <w:r w:rsidRPr="001077FE">
        <w:rPr>
          <w:rFonts w:eastAsia="ArialNarrow" w:cstheme="minorHAnsi" w:hint="eastAsia"/>
          <w:szCs w:val="20"/>
        </w:rPr>
        <w:t>č</w:t>
      </w:r>
      <w:r w:rsidRPr="001077FE">
        <w:rPr>
          <w:rFonts w:eastAsia="ArialNarrow" w:cstheme="minorHAnsi"/>
          <w:szCs w:val="20"/>
        </w:rPr>
        <w:t xml:space="preserve">in osobe s invaliditetom </w:t>
      </w:r>
      <w:r w:rsidRPr="001077FE">
        <w:rPr>
          <w:rFonts w:eastAsia="ArialNarrow" w:cstheme="minorHAnsi" w:hint="eastAsia"/>
          <w:szCs w:val="20"/>
        </w:rPr>
        <w:t>č</w:t>
      </w:r>
      <w:r w:rsidRPr="001077FE">
        <w:rPr>
          <w:rFonts w:eastAsia="ArialNarrow" w:cstheme="minorHAnsi"/>
          <w:szCs w:val="20"/>
        </w:rPr>
        <w:t>ine oko 12,4% ukupnog stanovni</w:t>
      </w:r>
      <w:r w:rsidRPr="001077FE">
        <w:rPr>
          <w:rFonts w:eastAsia="ArialNarrow" w:cstheme="minorHAnsi" w:hint="eastAsia"/>
          <w:szCs w:val="20"/>
        </w:rPr>
        <w:t>š</w:t>
      </w:r>
      <w:r w:rsidRPr="001077FE">
        <w:rPr>
          <w:rFonts w:eastAsia="ArialNarrow" w:cstheme="minorHAnsi"/>
          <w:szCs w:val="20"/>
        </w:rPr>
        <w:t xml:space="preserve">tva RH. </w:t>
      </w:r>
      <w:r w:rsidR="002800B7" w:rsidRPr="001077FE">
        <w:rPr>
          <w:rFonts w:eastAsia="ArialNarrow" w:cstheme="minorHAnsi"/>
          <w:szCs w:val="20"/>
        </w:rPr>
        <w:t>Najve</w:t>
      </w:r>
      <w:r w:rsidR="002800B7" w:rsidRPr="001077FE">
        <w:rPr>
          <w:rFonts w:eastAsia="ArialNarrow" w:cstheme="minorHAnsi" w:hint="eastAsia"/>
          <w:szCs w:val="20"/>
        </w:rPr>
        <w:t>ć</w:t>
      </w:r>
      <w:r w:rsidR="002800B7" w:rsidRPr="001077FE">
        <w:rPr>
          <w:rFonts w:eastAsia="ArialNarrow" w:cstheme="minorHAnsi"/>
          <w:szCs w:val="20"/>
        </w:rPr>
        <w:t>i broj osoba s invaliditetom ima prebivali</w:t>
      </w:r>
      <w:r w:rsidR="002800B7" w:rsidRPr="001077FE">
        <w:rPr>
          <w:rFonts w:eastAsia="ArialNarrow" w:cstheme="minorHAnsi" w:hint="eastAsia"/>
          <w:szCs w:val="20"/>
        </w:rPr>
        <w:t>š</w:t>
      </w:r>
      <w:r w:rsidR="002800B7" w:rsidRPr="001077FE">
        <w:rPr>
          <w:rFonts w:eastAsia="ArialNarrow" w:cstheme="minorHAnsi"/>
          <w:szCs w:val="20"/>
        </w:rPr>
        <w:t xml:space="preserve">te u Gradu Zagrebu i Splitsko-dalmatinskoj </w:t>
      </w:r>
      <w:r w:rsidR="002800B7" w:rsidRPr="001077FE">
        <w:rPr>
          <w:rFonts w:eastAsia="ArialNarrow" w:cstheme="minorHAnsi" w:hint="eastAsia"/>
          <w:szCs w:val="20"/>
        </w:rPr>
        <w:t>ž</w:t>
      </w:r>
      <w:r w:rsidR="002800B7" w:rsidRPr="001077FE">
        <w:rPr>
          <w:rFonts w:eastAsia="ArialNarrow" w:cstheme="minorHAnsi"/>
          <w:szCs w:val="20"/>
        </w:rPr>
        <w:t xml:space="preserve">upaniji. U te dvije </w:t>
      </w:r>
      <w:r w:rsidR="002800B7" w:rsidRPr="001077FE">
        <w:rPr>
          <w:rFonts w:eastAsia="ArialNarrow" w:cstheme="minorHAnsi" w:hint="eastAsia"/>
          <w:szCs w:val="20"/>
        </w:rPr>
        <w:t>ž</w:t>
      </w:r>
      <w:r w:rsidR="002800B7" w:rsidRPr="001077FE">
        <w:rPr>
          <w:rFonts w:eastAsia="ArialNarrow" w:cstheme="minorHAnsi"/>
          <w:szCs w:val="20"/>
        </w:rPr>
        <w:t xml:space="preserve">upanije </w:t>
      </w:r>
      <w:r w:rsidR="002800B7" w:rsidRPr="001077FE">
        <w:rPr>
          <w:rFonts w:eastAsia="ArialNarrow" w:cstheme="minorHAnsi" w:hint="eastAsia"/>
          <w:szCs w:val="20"/>
        </w:rPr>
        <w:t>ž</w:t>
      </w:r>
      <w:r w:rsidR="002800B7" w:rsidRPr="001077FE">
        <w:rPr>
          <w:rFonts w:eastAsia="ArialNarrow" w:cstheme="minorHAnsi"/>
          <w:szCs w:val="20"/>
        </w:rPr>
        <w:t>ivi oko 27% od ukupnog broja osoba s invaliditetom</w:t>
      </w:r>
      <w:r w:rsidR="00E71D20" w:rsidRPr="001077FE">
        <w:rPr>
          <w:rFonts w:eastAsia="ArialNarrow" w:cstheme="minorHAnsi"/>
          <w:szCs w:val="20"/>
        </w:rPr>
        <w:t xml:space="preserve">. </w:t>
      </w:r>
      <w:r w:rsidRPr="001077FE">
        <w:rPr>
          <w:rFonts w:eastAsia="ArialNarrow" w:cstheme="minorHAnsi"/>
          <w:szCs w:val="20"/>
        </w:rPr>
        <w:t>U Krapinsko-zagorskoj županiji živi 18.849 osoba s invaliditetom</w:t>
      </w:r>
      <w:r w:rsidR="00D64ADA" w:rsidRPr="001077FE">
        <w:rPr>
          <w:rFonts w:eastAsia="ArialNarrow" w:cstheme="minorHAnsi"/>
          <w:szCs w:val="20"/>
        </w:rPr>
        <w:t>,</w:t>
      </w:r>
      <w:r w:rsidRPr="001077FE">
        <w:rPr>
          <w:rFonts w:eastAsia="ArialNarrow" w:cstheme="minorHAnsi"/>
          <w:szCs w:val="20"/>
        </w:rPr>
        <w:t xml:space="preserve"> od čega je 10.534 muškog spola (56%) te 8.315 osoba ženskog spola (44%). Osobe s invaliditetom čine 14,9% ukupnog stanovništva županije, a najveći broj osoba s invaliditetom, njih 9.114 (48%) ima navršenih 65 i više godina.</w:t>
      </w:r>
      <w:r w:rsidR="002800B7" w:rsidRPr="001077FE">
        <w:rPr>
          <w:rFonts w:eastAsia="ArialNarrow" w:cstheme="minorHAnsi"/>
          <w:szCs w:val="20"/>
        </w:rPr>
        <w:t xml:space="preserve"> </w:t>
      </w:r>
      <w:r w:rsidR="001179C7" w:rsidRPr="001179C7">
        <w:rPr>
          <w:rFonts w:eastAsia="ArialNarrow" w:cstheme="minorHAnsi"/>
          <w:szCs w:val="20"/>
        </w:rPr>
        <w:t>Iz tablica je mogu</w:t>
      </w:r>
      <w:r w:rsidR="001179C7" w:rsidRPr="001179C7">
        <w:rPr>
          <w:rFonts w:eastAsia="ArialNarrow" w:cstheme="minorHAnsi" w:hint="eastAsia"/>
          <w:szCs w:val="20"/>
        </w:rPr>
        <w:t>ć</w:t>
      </w:r>
      <w:r w:rsidR="001179C7" w:rsidRPr="001179C7">
        <w:rPr>
          <w:rFonts w:eastAsia="ArialNarrow" w:cstheme="minorHAnsi"/>
          <w:szCs w:val="20"/>
        </w:rPr>
        <w:t>e uo</w:t>
      </w:r>
      <w:r w:rsidR="001179C7" w:rsidRPr="001179C7">
        <w:rPr>
          <w:rFonts w:eastAsia="ArialNarrow" w:cstheme="minorHAnsi" w:hint="eastAsia"/>
          <w:szCs w:val="20"/>
        </w:rPr>
        <w:t>č</w:t>
      </w:r>
      <w:r w:rsidR="001179C7" w:rsidRPr="001179C7">
        <w:rPr>
          <w:rFonts w:eastAsia="ArialNarrow" w:cstheme="minorHAnsi"/>
          <w:szCs w:val="20"/>
        </w:rPr>
        <w:t>iti da je invaliditet u Krapinsko-zagorskoj županiji prisutan u svim dobnim skupinama, a u 9% udjelu prisutan je i u dje</w:t>
      </w:r>
      <w:r w:rsidR="001179C7" w:rsidRPr="001179C7">
        <w:rPr>
          <w:rFonts w:eastAsia="ArialNarrow" w:cstheme="minorHAnsi" w:hint="eastAsia"/>
          <w:szCs w:val="20"/>
        </w:rPr>
        <w:t>č</w:t>
      </w:r>
      <w:r w:rsidR="001179C7" w:rsidRPr="001179C7">
        <w:rPr>
          <w:rFonts w:eastAsia="ArialNarrow" w:cstheme="minorHAnsi"/>
          <w:szCs w:val="20"/>
        </w:rPr>
        <w:t>joj dobi, 0-19 godina.</w:t>
      </w:r>
    </w:p>
    <w:p w14:paraId="18B6D304" w14:textId="70A37F10" w:rsidR="00A3004D" w:rsidRDefault="00A3004D" w:rsidP="00A3004D">
      <w:pPr>
        <w:autoSpaceDE w:val="0"/>
        <w:autoSpaceDN w:val="0"/>
        <w:adjustRightInd w:val="0"/>
        <w:spacing w:after="0" w:line="240" w:lineRule="auto"/>
        <w:rPr>
          <w:rFonts w:eastAsia="ArialNarrow" w:cstheme="minorHAnsi"/>
          <w:szCs w:val="20"/>
        </w:rPr>
      </w:pPr>
    </w:p>
    <w:p w14:paraId="4B4E784E" w14:textId="7E7C9BD9" w:rsidR="0093459F" w:rsidRPr="00EF746A" w:rsidRDefault="0093459F" w:rsidP="003E3F3C">
      <w:pPr>
        <w:pStyle w:val="Opisslike"/>
        <w:rPr>
          <w:noProof/>
        </w:rPr>
      </w:pPr>
      <w:r>
        <w:rPr>
          <w:noProof/>
        </w:rPr>
        <w:t>Tablica 2</w:t>
      </w:r>
      <w:r w:rsidR="009A6A08">
        <w:rPr>
          <w:noProof/>
        </w:rPr>
        <w:t>9</w:t>
      </w:r>
      <w:r>
        <w:rPr>
          <w:noProof/>
        </w:rPr>
        <w:t xml:space="preserve">. </w:t>
      </w:r>
      <w:r w:rsidR="00792844">
        <w:rPr>
          <w:noProof/>
        </w:rPr>
        <w:t>Osobe s invaliditetom prema dobi i spolu, stanje na 03.05.20</w:t>
      </w:r>
      <w:r w:rsidR="006F35B3">
        <w:rPr>
          <w:noProof/>
        </w:rPr>
        <w:t>1</w:t>
      </w:r>
      <w:r w:rsidR="00792844">
        <w:rPr>
          <w:noProof/>
        </w:rPr>
        <w:t>9. godine</w:t>
      </w:r>
    </w:p>
    <w:tbl>
      <w:tblPr>
        <w:tblStyle w:val="Style5"/>
        <w:tblW w:w="9218" w:type="dxa"/>
        <w:tblLook w:val="04A0" w:firstRow="1" w:lastRow="0" w:firstColumn="1" w:lastColumn="0" w:noHBand="0" w:noVBand="1"/>
      </w:tblPr>
      <w:tblGrid>
        <w:gridCol w:w="2393"/>
        <w:gridCol w:w="1151"/>
        <w:gridCol w:w="1123"/>
        <w:gridCol w:w="1145"/>
        <w:gridCol w:w="1129"/>
        <w:gridCol w:w="1139"/>
        <w:gridCol w:w="1138"/>
      </w:tblGrid>
      <w:tr w:rsidR="001B085D" w:rsidRPr="00704B4D" w14:paraId="6AC117AC" w14:textId="4BE9048F" w:rsidTr="00EF746A">
        <w:trPr>
          <w:cnfStyle w:val="100000000000" w:firstRow="1" w:lastRow="0" w:firstColumn="0" w:lastColumn="0" w:oddVBand="0" w:evenVBand="0" w:oddHBand="0" w:evenHBand="0" w:firstRowFirstColumn="0" w:firstRowLastColumn="0" w:lastRowFirstColumn="0" w:lastRowLastColumn="0"/>
          <w:trHeight w:val="302"/>
        </w:trPr>
        <w:tc>
          <w:tcPr>
            <w:tcW w:w="2393" w:type="dxa"/>
            <w:vMerge w:val="restart"/>
            <w:tcBorders>
              <w:right w:val="nil"/>
            </w:tcBorders>
            <w:noWrap/>
            <w:hideMark/>
          </w:tcPr>
          <w:p w14:paraId="02327AF9" w14:textId="77777777" w:rsidR="001B085D" w:rsidRPr="00704B4D" w:rsidRDefault="001B085D" w:rsidP="00704B4D">
            <w:pPr>
              <w:autoSpaceDE w:val="0"/>
              <w:autoSpaceDN w:val="0"/>
              <w:adjustRightInd w:val="0"/>
              <w:rPr>
                <w:rFonts w:eastAsia="ArialNarrow" w:cstheme="minorHAnsi"/>
                <w:szCs w:val="20"/>
              </w:rPr>
            </w:pPr>
            <w:r w:rsidRPr="00704B4D">
              <w:rPr>
                <w:rFonts w:ascii="Calibri" w:eastAsia="ArialNarrow" w:hAnsi="Calibri" w:cs="Calibri"/>
                <w:szCs w:val="20"/>
              </w:rPr>
              <w:t> </w:t>
            </w:r>
          </w:p>
        </w:tc>
        <w:tc>
          <w:tcPr>
            <w:tcW w:w="6825" w:type="dxa"/>
            <w:gridSpan w:val="6"/>
            <w:tcBorders>
              <w:left w:val="nil"/>
            </w:tcBorders>
            <w:noWrap/>
            <w:hideMark/>
          </w:tcPr>
          <w:p w14:paraId="4560AFBA" w14:textId="6CD98814" w:rsidR="001B085D" w:rsidRPr="00704B4D" w:rsidRDefault="001B085D" w:rsidP="001B085D">
            <w:pPr>
              <w:autoSpaceDE w:val="0"/>
              <w:autoSpaceDN w:val="0"/>
              <w:adjustRightInd w:val="0"/>
              <w:jc w:val="center"/>
              <w:rPr>
                <w:rFonts w:eastAsia="ArialNarrow" w:cstheme="minorHAnsi"/>
                <w:szCs w:val="20"/>
              </w:rPr>
            </w:pPr>
            <w:r w:rsidRPr="001B085D">
              <w:rPr>
                <w:rFonts w:eastAsia="ArialNarrow" w:cstheme="minorHAnsi"/>
                <w:color w:val="FFFFFF" w:themeColor="background1"/>
                <w:szCs w:val="20"/>
              </w:rPr>
              <w:t>DOBNE SKUPINE</w:t>
            </w:r>
          </w:p>
        </w:tc>
      </w:tr>
      <w:tr w:rsidR="001B085D" w:rsidRPr="00704B4D" w14:paraId="2A19CAC6" w14:textId="77777777" w:rsidTr="00EF746A">
        <w:trPr>
          <w:trHeight w:val="302"/>
        </w:trPr>
        <w:tc>
          <w:tcPr>
            <w:tcW w:w="2393" w:type="dxa"/>
            <w:vMerge/>
            <w:tcBorders>
              <w:right w:val="nil"/>
            </w:tcBorders>
            <w:hideMark/>
          </w:tcPr>
          <w:p w14:paraId="0CB60897" w14:textId="77777777" w:rsidR="00704B4D" w:rsidRPr="00704B4D" w:rsidRDefault="00704B4D" w:rsidP="00704B4D">
            <w:pPr>
              <w:autoSpaceDE w:val="0"/>
              <w:autoSpaceDN w:val="0"/>
              <w:adjustRightInd w:val="0"/>
              <w:rPr>
                <w:rFonts w:eastAsia="ArialNarrow" w:cstheme="minorHAnsi"/>
                <w:szCs w:val="20"/>
              </w:rPr>
            </w:pPr>
          </w:p>
        </w:tc>
        <w:tc>
          <w:tcPr>
            <w:tcW w:w="2274" w:type="dxa"/>
            <w:gridSpan w:val="2"/>
            <w:tcBorders>
              <w:left w:val="nil"/>
              <w:right w:val="single" w:sz="4" w:space="0" w:color="FFFFFF" w:themeColor="background1"/>
            </w:tcBorders>
            <w:shd w:val="clear" w:color="auto" w:fill="BFBFBF" w:themeFill="background1" w:themeFillShade="BF"/>
            <w:noWrap/>
            <w:hideMark/>
          </w:tcPr>
          <w:p w14:paraId="3E7439EF" w14:textId="77777777" w:rsidR="00704B4D" w:rsidRPr="00704B4D" w:rsidRDefault="00704B4D" w:rsidP="001B085D">
            <w:pPr>
              <w:autoSpaceDE w:val="0"/>
              <w:autoSpaceDN w:val="0"/>
              <w:adjustRightInd w:val="0"/>
              <w:jc w:val="center"/>
              <w:rPr>
                <w:rFonts w:eastAsia="ArialNarrow" w:cstheme="minorHAnsi"/>
                <w:szCs w:val="20"/>
              </w:rPr>
            </w:pPr>
            <w:r w:rsidRPr="00704B4D">
              <w:rPr>
                <w:rFonts w:eastAsia="ArialNarrow" w:cstheme="minorHAnsi"/>
                <w:szCs w:val="20"/>
              </w:rPr>
              <w:t>0-19</w:t>
            </w:r>
          </w:p>
        </w:tc>
        <w:tc>
          <w:tcPr>
            <w:tcW w:w="2274" w:type="dxa"/>
            <w:gridSpan w:val="2"/>
            <w:tcBorders>
              <w:left w:val="single" w:sz="4" w:space="0" w:color="FFFFFF" w:themeColor="background1"/>
              <w:right w:val="single" w:sz="4" w:space="0" w:color="FFFFFF" w:themeColor="background1"/>
            </w:tcBorders>
            <w:shd w:val="clear" w:color="auto" w:fill="BFBFBF" w:themeFill="background1" w:themeFillShade="BF"/>
            <w:noWrap/>
            <w:hideMark/>
          </w:tcPr>
          <w:p w14:paraId="0BDF5EB1" w14:textId="77777777" w:rsidR="00704B4D" w:rsidRPr="00704B4D" w:rsidRDefault="00704B4D" w:rsidP="001B085D">
            <w:pPr>
              <w:autoSpaceDE w:val="0"/>
              <w:autoSpaceDN w:val="0"/>
              <w:adjustRightInd w:val="0"/>
              <w:jc w:val="center"/>
              <w:rPr>
                <w:rFonts w:eastAsia="ArialNarrow" w:cstheme="minorHAnsi"/>
                <w:szCs w:val="20"/>
              </w:rPr>
            </w:pPr>
            <w:r w:rsidRPr="00704B4D">
              <w:rPr>
                <w:rFonts w:eastAsia="ArialNarrow" w:cstheme="minorHAnsi"/>
                <w:szCs w:val="20"/>
              </w:rPr>
              <w:t>20-64</w:t>
            </w:r>
          </w:p>
        </w:tc>
        <w:tc>
          <w:tcPr>
            <w:tcW w:w="2277" w:type="dxa"/>
            <w:gridSpan w:val="2"/>
            <w:tcBorders>
              <w:left w:val="single" w:sz="4" w:space="0" w:color="FFFFFF" w:themeColor="background1"/>
            </w:tcBorders>
            <w:shd w:val="clear" w:color="auto" w:fill="BFBFBF" w:themeFill="background1" w:themeFillShade="BF"/>
            <w:noWrap/>
            <w:hideMark/>
          </w:tcPr>
          <w:p w14:paraId="1340701D" w14:textId="77777777" w:rsidR="00704B4D" w:rsidRPr="00704B4D" w:rsidRDefault="00704B4D" w:rsidP="001B085D">
            <w:pPr>
              <w:autoSpaceDE w:val="0"/>
              <w:autoSpaceDN w:val="0"/>
              <w:adjustRightInd w:val="0"/>
              <w:jc w:val="center"/>
              <w:rPr>
                <w:rFonts w:eastAsia="ArialNarrow" w:cstheme="minorHAnsi"/>
                <w:szCs w:val="20"/>
              </w:rPr>
            </w:pPr>
            <w:r w:rsidRPr="00704B4D">
              <w:rPr>
                <w:rFonts w:eastAsia="ArialNarrow" w:cstheme="minorHAnsi"/>
                <w:szCs w:val="20"/>
              </w:rPr>
              <w:t>65+</w:t>
            </w:r>
          </w:p>
        </w:tc>
      </w:tr>
      <w:tr w:rsidR="001B085D" w:rsidRPr="00704B4D" w14:paraId="18646C1A" w14:textId="77777777" w:rsidTr="00EF746A">
        <w:trPr>
          <w:trHeight w:val="302"/>
        </w:trPr>
        <w:tc>
          <w:tcPr>
            <w:tcW w:w="2393" w:type="dxa"/>
            <w:vMerge/>
            <w:tcBorders>
              <w:right w:val="nil"/>
            </w:tcBorders>
            <w:hideMark/>
          </w:tcPr>
          <w:p w14:paraId="3A84D749" w14:textId="77777777" w:rsidR="00704B4D" w:rsidRPr="00704B4D" w:rsidRDefault="00704B4D" w:rsidP="00704B4D">
            <w:pPr>
              <w:autoSpaceDE w:val="0"/>
              <w:autoSpaceDN w:val="0"/>
              <w:adjustRightInd w:val="0"/>
              <w:rPr>
                <w:rFonts w:eastAsia="ArialNarrow" w:cstheme="minorHAnsi"/>
                <w:szCs w:val="20"/>
              </w:rPr>
            </w:pPr>
          </w:p>
        </w:tc>
        <w:tc>
          <w:tcPr>
            <w:tcW w:w="1151" w:type="dxa"/>
            <w:tcBorders>
              <w:left w:val="nil"/>
            </w:tcBorders>
            <w:shd w:val="clear" w:color="auto" w:fill="D9D9D9" w:themeFill="background1" w:themeFillShade="D9"/>
            <w:noWrap/>
            <w:hideMark/>
          </w:tcPr>
          <w:p w14:paraId="1543DEB1" w14:textId="77777777" w:rsidR="00704B4D" w:rsidRPr="00704B4D" w:rsidRDefault="00704B4D" w:rsidP="008B0CC0">
            <w:pPr>
              <w:autoSpaceDE w:val="0"/>
              <w:autoSpaceDN w:val="0"/>
              <w:adjustRightInd w:val="0"/>
              <w:jc w:val="center"/>
              <w:rPr>
                <w:rFonts w:eastAsia="ArialNarrow" w:cstheme="minorHAnsi"/>
                <w:szCs w:val="20"/>
              </w:rPr>
            </w:pPr>
            <w:r w:rsidRPr="00704B4D">
              <w:rPr>
                <w:rFonts w:eastAsia="ArialNarrow" w:cstheme="minorHAnsi"/>
                <w:szCs w:val="20"/>
              </w:rPr>
              <w:t>muškarci</w:t>
            </w:r>
          </w:p>
        </w:tc>
        <w:tc>
          <w:tcPr>
            <w:tcW w:w="1123" w:type="dxa"/>
            <w:tcBorders>
              <w:right w:val="single" w:sz="4" w:space="0" w:color="FFFFFF" w:themeColor="background1"/>
            </w:tcBorders>
            <w:shd w:val="clear" w:color="auto" w:fill="DE3C43" w:themeFill="accent6" w:themeFillShade="BF"/>
            <w:noWrap/>
            <w:hideMark/>
          </w:tcPr>
          <w:p w14:paraId="67C2F79A" w14:textId="77777777" w:rsidR="00704B4D" w:rsidRPr="00704B4D" w:rsidRDefault="00704B4D" w:rsidP="008B0CC0">
            <w:pPr>
              <w:autoSpaceDE w:val="0"/>
              <w:autoSpaceDN w:val="0"/>
              <w:adjustRightInd w:val="0"/>
              <w:jc w:val="center"/>
              <w:rPr>
                <w:rFonts w:eastAsia="ArialNarrow" w:cstheme="minorHAnsi"/>
                <w:szCs w:val="20"/>
              </w:rPr>
            </w:pPr>
            <w:r w:rsidRPr="001B085D">
              <w:rPr>
                <w:rFonts w:eastAsia="ArialNarrow" w:cstheme="minorHAnsi"/>
                <w:color w:val="FFFFFF" w:themeColor="background1"/>
                <w:szCs w:val="20"/>
              </w:rPr>
              <w:t>žene</w:t>
            </w:r>
          </w:p>
        </w:tc>
        <w:tc>
          <w:tcPr>
            <w:tcW w:w="1145" w:type="dxa"/>
            <w:tcBorders>
              <w:left w:val="single" w:sz="4" w:space="0" w:color="FFFFFF" w:themeColor="background1"/>
            </w:tcBorders>
            <w:shd w:val="clear" w:color="auto" w:fill="D9D9D9" w:themeFill="background1" w:themeFillShade="D9"/>
            <w:noWrap/>
            <w:hideMark/>
          </w:tcPr>
          <w:p w14:paraId="3DA1BDD7" w14:textId="77777777" w:rsidR="00704B4D" w:rsidRPr="00704B4D" w:rsidRDefault="00704B4D" w:rsidP="008B0CC0">
            <w:pPr>
              <w:autoSpaceDE w:val="0"/>
              <w:autoSpaceDN w:val="0"/>
              <w:adjustRightInd w:val="0"/>
              <w:jc w:val="center"/>
              <w:rPr>
                <w:rFonts w:eastAsia="ArialNarrow" w:cstheme="minorHAnsi"/>
                <w:szCs w:val="20"/>
              </w:rPr>
            </w:pPr>
            <w:r w:rsidRPr="00704B4D">
              <w:rPr>
                <w:rFonts w:eastAsia="ArialNarrow" w:cstheme="minorHAnsi"/>
                <w:szCs w:val="20"/>
              </w:rPr>
              <w:t>muškarci</w:t>
            </w:r>
          </w:p>
        </w:tc>
        <w:tc>
          <w:tcPr>
            <w:tcW w:w="1129" w:type="dxa"/>
            <w:tcBorders>
              <w:right w:val="single" w:sz="4" w:space="0" w:color="FFFFFF" w:themeColor="background1"/>
            </w:tcBorders>
            <w:shd w:val="clear" w:color="auto" w:fill="DE3C43" w:themeFill="accent6" w:themeFillShade="BF"/>
            <w:noWrap/>
            <w:hideMark/>
          </w:tcPr>
          <w:p w14:paraId="00FCB45B" w14:textId="77777777" w:rsidR="00704B4D" w:rsidRPr="00704B4D" w:rsidRDefault="00704B4D" w:rsidP="008B0CC0">
            <w:pPr>
              <w:autoSpaceDE w:val="0"/>
              <w:autoSpaceDN w:val="0"/>
              <w:adjustRightInd w:val="0"/>
              <w:jc w:val="center"/>
              <w:rPr>
                <w:rFonts w:eastAsia="ArialNarrow" w:cstheme="minorHAnsi"/>
                <w:szCs w:val="20"/>
              </w:rPr>
            </w:pPr>
            <w:r w:rsidRPr="001B085D">
              <w:rPr>
                <w:rFonts w:eastAsia="ArialNarrow" w:cstheme="minorHAnsi"/>
                <w:color w:val="FFFFFF" w:themeColor="background1"/>
                <w:szCs w:val="20"/>
              </w:rPr>
              <w:t>žene</w:t>
            </w:r>
          </w:p>
        </w:tc>
        <w:tc>
          <w:tcPr>
            <w:tcW w:w="1139" w:type="dxa"/>
            <w:tcBorders>
              <w:left w:val="single" w:sz="4" w:space="0" w:color="FFFFFF" w:themeColor="background1"/>
            </w:tcBorders>
            <w:shd w:val="clear" w:color="auto" w:fill="D9D9D9" w:themeFill="background1" w:themeFillShade="D9"/>
            <w:noWrap/>
            <w:hideMark/>
          </w:tcPr>
          <w:p w14:paraId="799FB2F7" w14:textId="77777777" w:rsidR="00704B4D" w:rsidRPr="00704B4D" w:rsidRDefault="00704B4D" w:rsidP="008B0CC0">
            <w:pPr>
              <w:autoSpaceDE w:val="0"/>
              <w:autoSpaceDN w:val="0"/>
              <w:adjustRightInd w:val="0"/>
              <w:jc w:val="center"/>
              <w:rPr>
                <w:rFonts w:eastAsia="ArialNarrow" w:cstheme="minorHAnsi"/>
                <w:szCs w:val="20"/>
              </w:rPr>
            </w:pPr>
            <w:r w:rsidRPr="00704B4D">
              <w:rPr>
                <w:rFonts w:eastAsia="ArialNarrow" w:cstheme="minorHAnsi"/>
                <w:szCs w:val="20"/>
              </w:rPr>
              <w:t>muškarci</w:t>
            </w:r>
          </w:p>
        </w:tc>
        <w:tc>
          <w:tcPr>
            <w:tcW w:w="1138" w:type="dxa"/>
            <w:shd w:val="clear" w:color="auto" w:fill="DE3C43" w:themeFill="accent6" w:themeFillShade="BF"/>
            <w:noWrap/>
            <w:hideMark/>
          </w:tcPr>
          <w:p w14:paraId="7EA19880" w14:textId="77777777" w:rsidR="00704B4D" w:rsidRPr="00704B4D" w:rsidRDefault="00704B4D" w:rsidP="008B0CC0">
            <w:pPr>
              <w:autoSpaceDE w:val="0"/>
              <w:autoSpaceDN w:val="0"/>
              <w:adjustRightInd w:val="0"/>
              <w:jc w:val="center"/>
              <w:rPr>
                <w:rFonts w:eastAsia="ArialNarrow" w:cstheme="minorHAnsi"/>
                <w:szCs w:val="20"/>
              </w:rPr>
            </w:pPr>
            <w:r w:rsidRPr="001B085D">
              <w:rPr>
                <w:rFonts w:eastAsia="ArialNarrow" w:cstheme="minorHAnsi"/>
                <w:color w:val="FFFFFF" w:themeColor="background1"/>
                <w:szCs w:val="20"/>
              </w:rPr>
              <w:t>žene</w:t>
            </w:r>
          </w:p>
        </w:tc>
      </w:tr>
      <w:tr w:rsidR="00EF746A" w:rsidRPr="00704B4D" w14:paraId="219B89FF" w14:textId="77777777" w:rsidTr="00EF746A">
        <w:trPr>
          <w:trHeight w:val="302"/>
        </w:trPr>
        <w:tc>
          <w:tcPr>
            <w:tcW w:w="2393" w:type="dxa"/>
            <w:tcBorders>
              <w:right w:val="single" w:sz="4" w:space="0" w:color="FFFFFF" w:themeColor="background1"/>
            </w:tcBorders>
            <w:shd w:val="clear" w:color="auto" w:fill="D9D9D9" w:themeFill="background1" w:themeFillShade="D9"/>
            <w:noWrap/>
            <w:hideMark/>
          </w:tcPr>
          <w:p w14:paraId="5F93CFD3" w14:textId="00D752DB" w:rsidR="00704B4D" w:rsidRPr="00704B4D" w:rsidRDefault="00704B4D" w:rsidP="00704B4D">
            <w:pPr>
              <w:autoSpaceDE w:val="0"/>
              <w:autoSpaceDN w:val="0"/>
              <w:adjustRightInd w:val="0"/>
              <w:rPr>
                <w:rFonts w:eastAsia="ArialNarrow" w:cstheme="minorHAnsi"/>
                <w:szCs w:val="20"/>
              </w:rPr>
            </w:pPr>
            <w:r w:rsidRPr="00704B4D">
              <w:rPr>
                <w:rFonts w:eastAsia="ArialNarrow" w:cstheme="minorHAnsi"/>
                <w:szCs w:val="20"/>
              </w:rPr>
              <w:t>R</w:t>
            </w:r>
            <w:r w:rsidR="001B085D">
              <w:rPr>
                <w:rFonts w:eastAsia="ArialNarrow" w:cstheme="minorHAnsi"/>
                <w:szCs w:val="20"/>
              </w:rPr>
              <w:t>EPUBLIKA HRVATSKA</w:t>
            </w:r>
          </w:p>
        </w:tc>
        <w:tc>
          <w:tcPr>
            <w:tcW w:w="1151" w:type="dxa"/>
            <w:tcBorders>
              <w:left w:val="single" w:sz="4" w:space="0" w:color="FFFFFF" w:themeColor="background1"/>
            </w:tcBorders>
            <w:noWrap/>
            <w:hideMark/>
          </w:tcPr>
          <w:p w14:paraId="4498BC33" w14:textId="035D282A" w:rsidR="00704B4D" w:rsidRPr="00704B4D" w:rsidRDefault="00EF746A" w:rsidP="00EF746A">
            <w:pPr>
              <w:jc w:val="center"/>
              <w:rPr>
                <w:rFonts w:eastAsia="ArialNarrow" w:cstheme="minorHAnsi"/>
                <w:szCs w:val="20"/>
              </w:rPr>
            </w:pPr>
            <w:r w:rsidRPr="00EF746A">
              <w:rPr>
                <w:rFonts w:eastAsia="Times New Roman" w:cstheme="minorHAnsi"/>
                <w:color w:val="000000"/>
                <w:lang w:val="en-US"/>
              </w:rPr>
              <w:t>28.451</w:t>
            </w:r>
          </w:p>
        </w:tc>
        <w:tc>
          <w:tcPr>
            <w:tcW w:w="1123" w:type="dxa"/>
            <w:tcBorders>
              <w:right w:val="single" w:sz="4" w:space="0" w:color="FFFFFF" w:themeColor="background1"/>
            </w:tcBorders>
            <w:noWrap/>
            <w:hideMark/>
          </w:tcPr>
          <w:p w14:paraId="3278D59B" w14:textId="414E7F35" w:rsidR="00704B4D" w:rsidRPr="00EF746A" w:rsidRDefault="00EF746A" w:rsidP="00EF746A">
            <w:pPr>
              <w:jc w:val="center"/>
              <w:rPr>
                <w:rFonts w:eastAsia="Times New Roman" w:cstheme="minorHAnsi"/>
                <w:color w:val="000000"/>
                <w:lang w:val="en-US"/>
              </w:rPr>
            </w:pPr>
            <w:r>
              <w:rPr>
                <w:rFonts w:eastAsia="Times New Roman" w:cstheme="minorHAnsi"/>
                <w:color w:val="000000"/>
                <w:lang w:val="en-US"/>
              </w:rPr>
              <w:t>16.863</w:t>
            </w:r>
          </w:p>
        </w:tc>
        <w:tc>
          <w:tcPr>
            <w:tcW w:w="1145" w:type="dxa"/>
            <w:tcBorders>
              <w:left w:val="single" w:sz="4" w:space="0" w:color="FFFFFF" w:themeColor="background1"/>
            </w:tcBorders>
            <w:noWrap/>
            <w:hideMark/>
          </w:tcPr>
          <w:p w14:paraId="60A7766B" w14:textId="14A56D24" w:rsidR="00704B4D" w:rsidRPr="00EF746A" w:rsidRDefault="00EF746A" w:rsidP="00EF746A">
            <w:pPr>
              <w:jc w:val="center"/>
              <w:rPr>
                <w:rFonts w:eastAsia="Times New Roman" w:cstheme="minorHAnsi"/>
                <w:color w:val="000000"/>
                <w:lang w:val="en-US"/>
              </w:rPr>
            </w:pPr>
            <w:r>
              <w:rPr>
                <w:rFonts w:eastAsia="Times New Roman" w:cstheme="minorHAnsi"/>
                <w:color w:val="000000"/>
                <w:lang w:val="en-US"/>
              </w:rPr>
              <w:t>146.971</w:t>
            </w:r>
          </w:p>
        </w:tc>
        <w:tc>
          <w:tcPr>
            <w:tcW w:w="1129" w:type="dxa"/>
            <w:tcBorders>
              <w:right w:val="single" w:sz="4" w:space="0" w:color="FFFFFF" w:themeColor="background1"/>
            </w:tcBorders>
            <w:noWrap/>
            <w:hideMark/>
          </w:tcPr>
          <w:p w14:paraId="1376E248" w14:textId="14D191A6" w:rsidR="00704B4D" w:rsidRPr="00EF746A" w:rsidRDefault="00EF746A" w:rsidP="00EF746A">
            <w:pPr>
              <w:jc w:val="center"/>
              <w:rPr>
                <w:rFonts w:eastAsia="Times New Roman" w:cstheme="minorHAnsi"/>
                <w:color w:val="000000"/>
                <w:lang w:val="en-US"/>
              </w:rPr>
            </w:pPr>
            <w:r>
              <w:rPr>
                <w:rFonts w:eastAsia="Times New Roman" w:cstheme="minorHAnsi"/>
                <w:color w:val="000000"/>
                <w:lang w:val="en-US"/>
              </w:rPr>
              <w:t>70.607</w:t>
            </w:r>
          </w:p>
        </w:tc>
        <w:tc>
          <w:tcPr>
            <w:tcW w:w="1139" w:type="dxa"/>
            <w:tcBorders>
              <w:left w:val="single" w:sz="4" w:space="0" w:color="FFFFFF" w:themeColor="background1"/>
            </w:tcBorders>
            <w:noWrap/>
            <w:hideMark/>
          </w:tcPr>
          <w:p w14:paraId="52D39DDA" w14:textId="37A808F2" w:rsidR="00704B4D" w:rsidRPr="00EF746A" w:rsidRDefault="00F96E44" w:rsidP="00EF746A">
            <w:pPr>
              <w:jc w:val="center"/>
              <w:rPr>
                <w:rFonts w:eastAsia="Times New Roman" w:cstheme="minorHAnsi"/>
                <w:color w:val="000000"/>
                <w:lang w:val="en-US"/>
              </w:rPr>
            </w:pPr>
            <w:r>
              <w:rPr>
                <w:rFonts w:eastAsia="Times New Roman" w:cstheme="minorHAnsi"/>
                <w:color w:val="000000"/>
                <w:lang w:val="en-US"/>
              </w:rPr>
              <w:t>132.225</w:t>
            </w:r>
          </w:p>
        </w:tc>
        <w:tc>
          <w:tcPr>
            <w:tcW w:w="1138" w:type="dxa"/>
            <w:noWrap/>
            <w:hideMark/>
          </w:tcPr>
          <w:p w14:paraId="1B5B88CB" w14:textId="2C23A306" w:rsidR="00704B4D" w:rsidRPr="00EF746A" w:rsidRDefault="00F96E44" w:rsidP="00EF746A">
            <w:pPr>
              <w:jc w:val="center"/>
              <w:rPr>
                <w:rFonts w:eastAsia="Times New Roman" w:cstheme="minorHAnsi"/>
                <w:color w:val="000000"/>
                <w:lang w:val="en-US"/>
              </w:rPr>
            </w:pPr>
            <w:r>
              <w:rPr>
                <w:rFonts w:eastAsia="Times New Roman" w:cstheme="minorHAnsi"/>
                <w:color w:val="000000"/>
                <w:lang w:val="en-US"/>
              </w:rPr>
              <w:t>116.164</w:t>
            </w:r>
          </w:p>
        </w:tc>
      </w:tr>
      <w:tr w:rsidR="00EF746A" w:rsidRPr="00704B4D" w14:paraId="40D1F529" w14:textId="77777777" w:rsidTr="00EF746A">
        <w:trPr>
          <w:trHeight w:val="302"/>
        </w:trPr>
        <w:tc>
          <w:tcPr>
            <w:tcW w:w="2393" w:type="dxa"/>
            <w:tcBorders>
              <w:right w:val="single" w:sz="4" w:space="0" w:color="FFFFFF" w:themeColor="background1"/>
            </w:tcBorders>
            <w:shd w:val="clear" w:color="auto" w:fill="D9D9D9" w:themeFill="background1" w:themeFillShade="D9"/>
            <w:noWrap/>
            <w:hideMark/>
          </w:tcPr>
          <w:p w14:paraId="6709C297" w14:textId="77777777" w:rsidR="00704B4D" w:rsidRPr="00704B4D" w:rsidRDefault="00704B4D" w:rsidP="00704B4D">
            <w:pPr>
              <w:autoSpaceDE w:val="0"/>
              <w:autoSpaceDN w:val="0"/>
              <w:adjustRightInd w:val="0"/>
              <w:rPr>
                <w:rFonts w:eastAsia="ArialNarrow" w:cstheme="minorHAnsi"/>
                <w:szCs w:val="20"/>
              </w:rPr>
            </w:pPr>
            <w:r w:rsidRPr="00704B4D">
              <w:rPr>
                <w:rFonts w:eastAsia="ArialNarrow" w:cstheme="minorHAnsi"/>
                <w:szCs w:val="20"/>
              </w:rPr>
              <w:t>SJEVERNA HRVATSKA</w:t>
            </w:r>
          </w:p>
        </w:tc>
        <w:tc>
          <w:tcPr>
            <w:tcW w:w="1151" w:type="dxa"/>
            <w:tcBorders>
              <w:left w:val="single" w:sz="4" w:space="0" w:color="FFFFFF" w:themeColor="background1"/>
            </w:tcBorders>
            <w:noWrap/>
            <w:hideMark/>
          </w:tcPr>
          <w:p w14:paraId="7C7B1B94" w14:textId="7C5E8DB8" w:rsidR="00704B4D" w:rsidRPr="00EF746A" w:rsidRDefault="00EF746A" w:rsidP="00EF746A">
            <w:pPr>
              <w:jc w:val="center"/>
              <w:rPr>
                <w:rFonts w:eastAsia="Times New Roman" w:cstheme="minorHAnsi"/>
                <w:color w:val="000000"/>
                <w:lang w:val="en-US"/>
              </w:rPr>
            </w:pPr>
            <w:r w:rsidRPr="00EF746A">
              <w:rPr>
                <w:rFonts w:eastAsia="Times New Roman" w:cstheme="minorHAnsi"/>
                <w:color w:val="000000"/>
                <w:lang w:val="en-US"/>
              </w:rPr>
              <w:t>7.425</w:t>
            </w:r>
          </w:p>
        </w:tc>
        <w:tc>
          <w:tcPr>
            <w:tcW w:w="1123" w:type="dxa"/>
            <w:tcBorders>
              <w:right w:val="single" w:sz="4" w:space="0" w:color="FFFFFF" w:themeColor="background1"/>
            </w:tcBorders>
            <w:noWrap/>
            <w:hideMark/>
          </w:tcPr>
          <w:p w14:paraId="19DDFF38" w14:textId="12814314" w:rsidR="00704B4D" w:rsidRPr="00EF746A" w:rsidRDefault="00EF746A" w:rsidP="00EF746A">
            <w:pPr>
              <w:jc w:val="center"/>
              <w:rPr>
                <w:rFonts w:eastAsia="Times New Roman" w:cstheme="minorHAnsi"/>
                <w:color w:val="000000"/>
                <w:lang w:val="en-US"/>
              </w:rPr>
            </w:pPr>
            <w:r>
              <w:rPr>
                <w:rFonts w:eastAsia="Times New Roman" w:cstheme="minorHAnsi"/>
                <w:color w:val="000000"/>
                <w:lang w:val="en-US"/>
              </w:rPr>
              <w:t>4.550</w:t>
            </w:r>
          </w:p>
        </w:tc>
        <w:tc>
          <w:tcPr>
            <w:tcW w:w="1145" w:type="dxa"/>
            <w:tcBorders>
              <w:left w:val="single" w:sz="4" w:space="0" w:color="FFFFFF" w:themeColor="background1"/>
            </w:tcBorders>
            <w:noWrap/>
            <w:hideMark/>
          </w:tcPr>
          <w:p w14:paraId="7494C3F5" w14:textId="10E4DD23" w:rsidR="00704B4D" w:rsidRPr="00EF746A" w:rsidRDefault="00EF746A" w:rsidP="00EF746A">
            <w:pPr>
              <w:jc w:val="center"/>
              <w:rPr>
                <w:rFonts w:eastAsia="Times New Roman" w:cstheme="minorHAnsi"/>
                <w:color w:val="000000"/>
                <w:lang w:val="en-US"/>
              </w:rPr>
            </w:pPr>
            <w:r>
              <w:rPr>
                <w:rFonts w:eastAsia="Times New Roman" w:cstheme="minorHAnsi"/>
                <w:color w:val="000000"/>
                <w:lang w:val="en-US"/>
              </w:rPr>
              <w:t>26.580</w:t>
            </w:r>
          </w:p>
        </w:tc>
        <w:tc>
          <w:tcPr>
            <w:tcW w:w="1129" w:type="dxa"/>
            <w:tcBorders>
              <w:right w:val="single" w:sz="4" w:space="0" w:color="FFFFFF" w:themeColor="background1"/>
            </w:tcBorders>
            <w:noWrap/>
            <w:hideMark/>
          </w:tcPr>
          <w:p w14:paraId="0A2E8C30" w14:textId="4121DBEF" w:rsidR="00704B4D" w:rsidRPr="00EF746A" w:rsidRDefault="00EF746A" w:rsidP="00EF746A">
            <w:pPr>
              <w:jc w:val="center"/>
              <w:rPr>
                <w:rFonts w:eastAsia="Times New Roman" w:cstheme="minorHAnsi"/>
                <w:color w:val="000000"/>
                <w:lang w:val="en-US"/>
              </w:rPr>
            </w:pPr>
            <w:r>
              <w:rPr>
                <w:rFonts w:eastAsia="Times New Roman" w:cstheme="minorHAnsi"/>
                <w:color w:val="000000"/>
                <w:lang w:val="en-US"/>
              </w:rPr>
              <w:t>15.675</w:t>
            </w:r>
          </w:p>
        </w:tc>
        <w:tc>
          <w:tcPr>
            <w:tcW w:w="1139" w:type="dxa"/>
            <w:tcBorders>
              <w:left w:val="single" w:sz="4" w:space="0" w:color="FFFFFF" w:themeColor="background1"/>
            </w:tcBorders>
            <w:noWrap/>
            <w:hideMark/>
          </w:tcPr>
          <w:p w14:paraId="36C4BC6B" w14:textId="75AA2A70" w:rsidR="00704B4D" w:rsidRPr="00EF746A" w:rsidRDefault="00F96E44" w:rsidP="00EF746A">
            <w:pPr>
              <w:jc w:val="center"/>
              <w:rPr>
                <w:rFonts w:eastAsia="Times New Roman" w:cstheme="minorHAnsi"/>
                <w:color w:val="000000"/>
                <w:lang w:val="en-US"/>
              </w:rPr>
            </w:pPr>
            <w:r>
              <w:rPr>
                <w:rFonts w:eastAsia="Times New Roman" w:cstheme="minorHAnsi"/>
                <w:color w:val="000000"/>
                <w:lang w:val="en-US"/>
              </w:rPr>
              <w:t>22.985</w:t>
            </w:r>
          </w:p>
        </w:tc>
        <w:tc>
          <w:tcPr>
            <w:tcW w:w="1138" w:type="dxa"/>
            <w:noWrap/>
            <w:hideMark/>
          </w:tcPr>
          <w:p w14:paraId="347D2A71" w14:textId="5CA45690" w:rsidR="00704B4D" w:rsidRPr="00EF746A" w:rsidRDefault="00F96E44" w:rsidP="00EF746A">
            <w:pPr>
              <w:jc w:val="center"/>
              <w:rPr>
                <w:rFonts w:eastAsia="Times New Roman" w:cstheme="minorHAnsi"/>
                <w:color w:val="000000"/>
                <w:lang w:val="en-US"/>
              </w:rPr>
            </w:pPr>
            <w:r>
              <w:rPr>
                <w:rFonts w:eastAsia="Times New Roman" w:cstheme="minorHAnsi"/>
                <w:color w:val="000000"/>
                <w:lang w:val="en-US"/>
              </w:rPr>
              <w:t>22.740</w:t>
            </w:r>
          </w:p>
        </w:tc>
      </w:tr>
      <w:tr w:rsidR="00EF746A" w:rsidRPr="00704B4D" w14:paraId="449D5B2F" w14:textId="77777777" w:rsidTr="00EF746A">
        <w:trPr>
          <w:trHeight w:val="302"/>
        </w:trPr>
        <w:tc>
          <w:tcPr>
            <w:tcW w:w="2393" w:type="dxa"/>
            <w:tcBorders>
              <w:right w:val="single" w:sz="4" w:space="0" w:color="FFFFFF" w:themeColor="background1"/>
            </w:tcBorders>
            <w:shd w:val="clear" w:color="auto" w:fill="F3BBBD" w:themeFill="accent6" w:themeFillTint="99"/>
            <w:noWrap/>
            <w:hideMark/>
          </w:tcPr>
          <w:p w14:paraId="51B70401" w14:textId="77777777" w:rsidR="00704B4D" w:rsidRPr="00EF746A" w:rsidRDefault="00704B4D" w:rsidP="00704B4D">
            <w:pPr>
              <w:autoSpaceDE w:val="0"/>
              <w:autoSpaceDN w:val="0"/>
              <w:adjustRightInd w:val="0"/>
              <w:rPr>
                <w:rFonts w:eastAsia="ArialNarrow" w:cstheme="minorHAnsi"/>
                <w:b/>
                <w:bCs/>
                <w:szCs w:val="20"/>
              </w:rPr>
            </w:pPr>
            <w:r w:rsidRPr="00EF746A">
              <w:rPr>
                <w:rFonts w:eastAsia="ArialNarrow" w:cstheme="minorHAnsi"/>
                <w:b/>
                <w:bCs/>
                <w:szCs w:val="20"/>
              </w:rPr>
              <w:t>KZŽ</w:t>
            </w:r>
          </w:p>
        </w:tc>
        <w:tc>
          <w:tcPr>
            <w:tcW w:w="1151" w:type="dxa"/>
            <w:tcBorders>
              <w:left w:val="single" w:sz="4" w:space="0" w:color="FFFFFF" w:themeColor="background1"/>
            </w:tcBorders>
            <w:shd w:val="clear" w:color="auto" w:fill="F3BBBD" w:themeFill="accent6" w:themeFillTint="99"/>
            <w:noWrap/>
            <w:hideMark/>
          </w:tcPr>
          <w:p w14:paraId="75217998" w14:textId="1B4E4D41" w:rsidR="00704B4D" w:rsidRPr="00EF746A" w:rsidRDefault="00EF746A" w:rsidP="00EF746A">
            <w:pPr>
              <w:jc w:val="center"/>
              <w:rPr>
                <w:rFonts w:eastAsia="Times New Roman" w:cstheme="minorHAnsi"/>
                <w:b/>
                <w:bCs/>
                <w:color w:val="000000"/>
                <w:lang w:val="en-US"/>
              </w:rPr>
            </w:pPr>
            <w:r w:rsidRPr="00EF746A">
              <w:rPr>
                <w:rFonts w:eastAsia="Times New Roman" w:cstheme="minorHAnsi"/>
                <w:b/>
                <w:bCs/>
                <w:color w:val="000000"/>
                <w:lang w:val="en-US"/>
              </w:rPr>
              <w:t>1.051</w:t>
            </w:r>
          </w:p>
        </w:tc>
        <w:tc>
          <w:tcPr>
            <w:tcW w:w="1123" w:type="dxa"/>
            <w:tcBorders>
              <w:right w:val="single" w:sz="4" w:space="0" w:color="FFFFFF" w:themeColor="background1"/>
            </w:tcBorders>
            <w:shd w:val="clear" w:color="auto" w:fill="F3BBBD" w:themeFill="accent6" w:themeFillTint="99"/>
            <w:noWrap/>
            <w:hideMark/>
          </w:tcPr>
          <w:p w14:paraId="2042B741" w14:textId="5B27D16F" w:rsidR="00704B4D" w:rsidRPr="00EF746A" w:rsidRDefault="00EF746A" w:rsidP="00EF746A">
            <w:pPr>
              <w:jc w:val="center"/>
              <w:rPr>
                <w:rFonts w:eastAsia="Times New Roman" w:cstheme="minorHAnsi"/>
                <w:b/>
                <w:bCs/>
                <w:color w:val="000000"/>
                <w:lang w:val="en-US"/>
              </w:rPr>
            </w:pPr>
            <w:r>
              <w:rPr>
                <w:rFonts w:eastAsia="Times New Roman" w:cstheme="minorHAnsi"/>
                <w:b/>
                <w:bCs/>
                <w:color w:val="000000"/>
                <w:lang w:val="en-US"/>
              </w:rPr>
              <w:t>663</w:t>
            </w:r>
          </w:p>
        </w:tc>
        <w:tc>
          <w:tcPr>
            <w:tcW w:w="1145" w:type="dxa"/>
            <w:tcBorders>
              <w:left w:val="single" w:sz="4" w:space="0" w:color="FFFFFF" w:themeColor="background1"/>
            </w:tcBorders>
            <w:shd w:val="clear" w:color="auto" w:fill="F3BBBD" w:themeFill="accent6" w:themeFillTint="99"/>
            <w:noWrap/>
            <w:hideMark/>
          </w:tcPr>
          <w:p w14:paraId="3A7CF5FB" w14:textId="4E27B5EE" w:rsidR="00704B4D" w:rsidRPr="00EF746A" w:rsidRDefault="00EF746A" w:rsidP="00EF746A">
            <w:pPr>
              <w:jc w:val="center"/>
              <w:rPr>
                <w:rFonts w:eastAsia="Times New Roman" w:cstheme="minorHAnsi"/>
                <w:b/>
                <w:bCs/>
                <w:color w:val="000000"/>
                <w:lang w:val="en-US"/>
              </w:rPr>
            </w:pPr>
            <w:r>
              <w:rPr>
                <w:rFonts w:eastAsia="Times New Roman" w:cstheme="minorHAnsi"/>
                <w:b/>
                <w:bCs/>
                <w:color w:val="000000"/>
                <w:lang w:val="en-US"/>
              </w:rPr>
              <w:t>4.832</w:t>
            </w:r>
          </w:p>
        </w:tc>
        <w:tc>
          <w:tcPr>
            <w:tcW w:w="1129" w:type="dxa"/>
            <w:tcBorders>
              <w:right w:val="single" w:sz="4" w:space="0" w:color="FFFFFF" w:themeColor="background1"/>
            </w:tcBorders>
            <w:shd w:val="clear" w:color="auto" w:fill="F3BBBD" w:themeFill="accent6" w:themeFillTint="99"/>
            <w:noWrap/>
            <w:hideMark/>
          </w:tcPr>
          <w:p w14:paraId="66F56EF4" w14:textId="0C554E10" w:rsidR="00704B4D" w:rsidRPr="00EF746A" w:rsidRDefault="00F96E44" w:rsidP="00EF746A">
            <w:pPr>
              <w:jc w:val="center"/>
              <w:rPr>
                <w:rFonts w:eastAsia="Times New Roman" w:cstheme="minorHAnsi"/>
                <w:b/>
                <w:bCs/>
                <w:color w:val="000000"/>
                <w:lang w:val="en-US"/>
              </w:rPr>
            </w:pPr>
            <w:r>
              <w:rPr>
                <w:rFonts w:eastAsia="Times New Roman" w:cstheme="minorHAnsi"/>
                <w:b/>
                <w:bCs/>
                <w:color w:val="000000"/>
                <w:lang w:val="en-US"/>
              </w:rPr>
              <w:t>3.189</w:t>
            </w:r>
          </w:p>
        </w:tc>
        <w:tc>
          <w:tcPr>
            <w:tcW w:w="1139" w:type="dxa"/>
            <w:tcBorders>
              <w:left w:val="single" w:sz="4" w:space="0" w:color="FFFFFF" w:themeColor="background1"/>
            </w:tcBorders>
            <w:shd w:val="clear" w:color="auto" w:fill="F3BBBD" w:themeFill="accent6" w:themeFillTint="99"/>
            <w:noWrap/>
            <w:hideMark/>
          </w:tcPr>
          <w:p w14:paraId="70AE7F7F" w14:textId="19F563B0" w:rsidR="00704B4D" w:rsidRPr="00EF746A" w:rsidRDefault="00F96E44" w:rsidP="00EF746A">
            <w:pPr>
              <w:jc w:val="center"/>
              <w:rPr>
                <w:rFonts w:eastAsia="Times New Roman" w:cstheme="minorHAnsi"/>
                <w:b/>
                <w:bCs/>
                <w:color w:val="000000"/>
                <w:lang w:val="en-US"/>
              </w:rPr>
            </w:pPr>
            <w:r>
              <w:rPr>
                <w:rFonts w:eastAsia="Times New Roman" w:cstheme="minorHAnsi"/>
                <w:b/>
                <w:bCs/>
                <w:color w:val="000000"/>
                <w:lang w:val="en-US"/>
              </w:rPr>
              <w:t>4.651</w:t>
            </w:r>
          </w:p>
        </w:tc>
        <w:tc>
          <w:tcPr>
            <w:tcW w:w="1138" w:type="dxa"/>
            <w:shd w:val="clear" w:color="auto" w:fill="F3BBBD" w:themeFill="accent6" w:themeFillTint="99"/>
            <w:noWrap/>
            <w:hideMark/>
          </w:tcPr>
          <w:p w14:paraId="715E2AD0" w14:textId="4C26C0A1" w:rsidR="00704B4D" w:rsidRPr="00EF746A" w:rsidRDefault="00F96E44" w:rsidP="00EF746A">
            <w:pPr>
              <w:jc w:val="center"/>
              <w:rPr>
                <w:rFonts w:eastAsia="Times New Roman" w:cstheme="minorHAnsi"/>
                <w:b/>
                <w:bCs/>
                <w:color w:val="000000"/>
                <w:lang w:val="en-US"/>
              </w:rPr>
            </w:pPr>
            <w:r>
              <w:rPr>
                <w:rFonts w:eastAsia="Times New Roman" w:cstheme="minorHAnsi"/>
                <w:b/>
                <w:bCs/>
                <w:color w:val="000000"/>
                <w:lang w:val="en-US"/>
              </w:rPr>
              <w:t>4.463</w:t>
            </w:r>
          </w:p>
        </w:tc>
      </w:tr>
    </w:tbl>
    <w:p w14:paraId="779DA803" w14:textId="5F959446" w:rsidR="00C72950" w:rsidRPr="001077FE" w:rsidRDefault="00704B4D" w:rsidP="001077FE">
      <w:pPr>
        <w:autoSpaceDE w:val="0"/>
        <w:autoSpaceDN w:val="0"/>
        <w:adjustRightInd w:val="0"/>
        <w:spacing w:after="0" w:line="240" w:lineRule="auto"/>
        <w:rPr>
          <w:rFonts w:eastAsia="ArialNarrow" w:cstheme="minorHAnsi"/>
          <w:i/>
          <w:color w:val="ABABAB" w:themeColor="text1" w:themeTint="A6"/>
          <w:sz w:val="16"/>
          <w:szCs w:val="16"/>
        </w:rPr>
      </w:pPr>
      <w:bookmarkStart w:id="83" w:name="_Hlk64904799"/>
      <w:r w:rsidRPr="001077FE">
        <w:rPr>
          <w:rFonts w:eastAsia="ArialNarrow" w:cstheme="minorHAnsi"/>
          <w:i/>
          <w:color w:val="ABABAB" w:themeColor="text1" w:themeTint="A6"/>
          <w:sz w:val="16"/>
          <w:szCs w:val="16"/>
        </w:rPr>
        <w:t>Izvor: Izvješće o osobama s invaliditetom u Republici Hrvatskoj, svibanj 2019., Hrvatski zavod za javno zdravstvo</w:t>
      </w:r>
    </w:p>
    <w:bookmarkEnd w:id="83"/>
    <w:p w14:paraId="7E826A9C" w14:textId="77777777" w:rsidR="00056887" w:rsidRDefault="00056887" w:rsidP="00855D8D">
      <w:pPr>
        <w:pStyle w:val="Izvor"/>
      </w:pPr>
    </w:p>
    <w:p w14:paraId="69671268" w14:textId="1C969147" w:rsidR="00056887" w:rsidRPr="00912211" w:rsidRDefault="00056887">
      <w:pPr>
        <w:pStyle w:val="Izvor"/>
        <w:rPr>
          <w:color w:val="3F3F3F" w:themeColor="text1" w:themeShade="80"/>
        </w:rPr>
      </w:pPr>
      <w:r w:rsidRPr="00912211">
        <w:rPr>
          <w:color w:val="3F3F3F" w:themeColor="text1" w:themeShade="80"/>
        </w:rPr>
        <w:t xml:space="preserve">U sljedećoj tablici može se vidjeti da je u razdoblju od 2015. do 2017. godine </w:t>
      </w:r>
      <w:r w:rsidR="004957D2" w:rsidRPr="00912211">
        <w:rPr>
          <w:color w:val="3F3F3F" w:themeColor="text1" w:themeShade="80"/>
        </w:rPr>
        <w:t xml:space="preserve">u dobnim skupinama 0-19 i 20-64 broj muškaraca s invaliditetom veći od broja žena </w:t>
      </w:r>
      <w:r w:rsidRPr="00912211">
        <w:rPr>
          <w:color w:val="3F3F3F" w:themeColor="text1" w:themeShade="80"/>
        </w:rPr>
        <w:t>s nekim oblikom invaliditeta</w:t>
      </w:r>
      <w:r w:rsidR="004957D2" w:rsidRPr="00912211">
        <w:rPr>
          <w:color w:val="3F3F3F" w:themeColor="text1" w:themeShade="80"/>
        </w:rPr>
        <w:t>, dok je u skupini 65+ broj žena s invaliditetom</w:t>
      </w:r>
      <w:r w:rsidRPr="00912211">
        <w:rPr>
          <w:color w:val="3F3F3F" w:themeColor="text1" w:themeShade="80"/>
        </w:rPr>
        <w:t xml:space="preserve"> bio veći od broja muškaraca. U 2019. godini došlo je do promjene te je</w:t>
      </w:r>
      <w:r w:rsidR="004957D2" w:rsidRPr="00912211">
        <w:rPr>
          <w:color w:val="3F3F3F" w:themeColor="text1" w:themeShade="80"/>
        </w:rPr>
        <w:t xml:space="preserve"> i u dobnoj skupini 65+</w:t>
      </w:r>
      <w:r w:rsidRPr="00912211">
        <w:rPr>
          <w:color w:val="3F3F3F" w:themeColor="text1" w:themeShade="80"/>
        </w:rPr>
        <w:t xml:space="preserve"> muškaraca s nekim oblikom invaliditeta bilo više od žena. </w:t>
      </w:r>
    </w:p>
    <w:p w14:paraId="08662D41" w14:textId="77777777" w:rsidR="00056887" w:rsidRPr="007F5A97" w:rsidRDefault="00056887">
      <w:pPr>
        <w:pStyle w:val="Izvor"/>
      </w:pPr>
    </w:p>
    <w:p w14:paraId="19F35578" w14:textId="5753B21D" w:rsidR="0016594B" w:rsidRDefault="0016594B" w:rsidP="003E3F3C">
      <w:pPr>
        <w:pStyle w:val="Opisslike"/>
      </w:pPr>
      <w:r w:rsidRPr="007F5A97">
        <w:lastRenderedPageBreak/>
        <w:t xml:space="preserve">Tablica </w:t>
      </w:r>
      <w:r w:rsidR="009A6A08">
        <w:rPr>
          <w:noProof/>
        </w:rPr>
        <w:t>30</w:t>
      </w:r>
      <w:r w:rsidRPr="007F5A97">
        <w:rPr>
          <w:noProof/>
        </w:rPr>
        <w:t>.</w:t>
      </w:r>
      <w:r w:rsidRPr="007F5A97">
        <w:t xml:space="preserve"> Broj osoba s invaliditetom prema životnoj dobi u Krapinsko-zagorskoj županiji </w:t>
      </w:r>
    </w:p>
    <w:tbl>
      <w:tblPr>
        <w:tblW w:w="9219" w:type="dxa"/>
        <w:tblInd w:w="-5" w:type="dxa"/>
        <w:tblBorders>
          <w:insideH w:val="single" w:sz="8" w:space="0" w:color="F3CFC1"/>
        </w:tblBorders>
        <w:tblLook w:val="04A0" w:firstRow="1" w:lastRow="0" w:firstColumn="1" w:lastColumn="0" w:noHBand="0" w:noVBand="1"/>
      </w:tblPr>
      <w:tblGrid>
        <w:gridCol w:w="1728"/>
        <w:gridCol w:w="1035"/>
        <w:gridCol w:w="1008"/>
        <w:gridCol w:w="1035"/>
        <w:gridCol w:w="1008"/>
        <w:gridCol w:w="1035"/>
        <w:gridCol w:w="1008"/>
        <w:gridCol w:w="1362"/>
      </w:tblGrid>
      <w:tr w:rsidR="0016594B" w14:paraId="174C2644" w14:textId="77777777" w:rsidTr="00202AEC">
        <w:trPr>
          <w:trHeight w:val="312"/>
          <w:tblHeader/>
        </w:trPr>
        <w:tc>
          <w:tcPr>
            <w:tcW w:w="1728" w:type="dxa"/>
            <w:vMerge w:val="restart"/>
            <w:tcBorders>
              <w:right w:val="single" w:sz="8" w:space="0" w:color="F3CFC1"/>
            </w:tcBorders>
            <w:shd w:val="clear" w:color="auto" w:fill="D2232A"/>
            <w:vAlign w:val="center"/>
            <w:hideMark/>
          </w:tcPr>
          <w:p w14:paraId="2722A0CD" w14:textId="77777777" w:rsidR="0016594B" w:rsidRDefault="0016594B" w:rsidP="00336730">
            <w:pPr>
              <w:spacing w:after="0" w:line="240" w:lineRule="auto"/>
              <w:jc w:val="left"/>
              <w:rPr>
                <w:rFonts w:eastAsia="Times New Roman" w:cstheme="minorHAnsi"/>
                <w:color w:val="FFFFFF"/>
                <w:lang w:val="en-US"/>
              </w:rPr>
            </w:pPr>
            <w:r>
              <w:rPr>
                <w:rFonts w:eastAsia="Times New Roman" w:cstheme="minorHAnsi"/>
                <w:color w:val="FFFFFF"/>
                <w:lang w:val="en-US"/>
              </w:rPr>
              <w:t>BROJ OSOBA S INVALIDITETOM</w:t>
            </w:r>
          </w:p>
        </w:tc>
        <w:tc>
          <w:tcPr>
            <w:tcW w:w="2043" w:type="dxa"/>
            <w:gridSpan w:val="2"/>
            <w:tcBorders>
              <w:left w:val="single" w:sz="8" w:space="0" w:color="F3CFC1"/>
            </w:tcBorders>
            <w:shd w:val="clear" w:color="auto" w:fill="D2232A"/>
            <w:noWrap/>
            <w:vAlign w:val="center"/>
            <w:hideMark/>
          </w:tcPr>
          <w:p w14:paraId="767F8F56" w14:textId="77777777" w:rsidR="0016594B" w:rsidRDefault="0016594B" w:rsidP="00336730">
            <w:pPr>
              <w:spacing w:after="0" w:line="240" w:lineRule="auto"/>
              <w:jc w:val="center"/>
              <w:rPr>
                <w:rFonts w:eastAsia="Times New Roman" w:cstheme="minorHAnsi"/>
                <w:color w:val="FFFFFF"/>
                <w:lang w:val="en-US"/>
              </w:rPr>
            </w:pPr>
            <w:r>
              <w:rPr>
                <w:rFonts w:eastAsia="Times New Roman" w:cstheme="minorHAnsi"/>
                <w:color w:val="FFFFFF"/>
                <w:lang w:val="en-US"/>
              </w:rPr>
              <w:t>0-19</w:t>
            </w:r>
          </w:p>
        </w:tc>
        <w:tc>
          <w:tcPr>
            <w:tcW w:w="2043" w:type="dxa"/>
            <w:gridSpan w:val="2"/>
            <w:shd w:val="clear" w:color="auto" w:fill="D2232A"/>
            <w:noWrap/>
            <w:vAlign w:val="center"/>
            <w:hideMark/>
          </w:tcPr>
          <w:p w14:paraId="16AACD15" w14:textId="77777777" w:rsidR="0016594B" w:rsidRDefault="0016594B" w:rsidP="00336730">
            <w:pPr>
              <w:spacing w:after="0" w:line="240" w:lineRule="auto"/>
              <w:jc w:val="center"/>
              <w:rPr>
                <w:rFonts w:eastAsia="Times New Roman" w:cstheme="minorHAnsi"/>
                <w:color w:val="FFFFFF"/>
                <w:lang w:val="en-US"/>
              </w:rPr>
            </w:pPr>
            <w:r>
              <w:rPr>
                <w:rFonts w:eastAsia="Times New Roman" w:cstheme="minorHAnsi"/>
                <w:color w:val="FFFFFF"/>
                <w:lang w:val="en-US"/>
              </w:rPr>
              <w:t>20-64</w:t>
            </w:r>
          </w:p>
        </w:tc>
        <w:tc>
          <w:tcPr>
            <w:tcW w:w="2043" w:type="dxa"/>
            <w:gridSpan w:val="2"/>
            <w:shd w:val="clear" w:color="auto" w:fill="D2232A"/>
            <w:noWrap/>
            <w:vAlign w:val="center"/>
            <w:hideMark/>
          </w:tcPr>
          <w:p w14:paraId="318A5567" w14:textId="77777777" w:rsidR="0016594B" w:rsidRDefault="0016594B" w:rsidP="00336730">
            <w:pPr>
              <w:spacing w:after="0" w:line="240" w:lineRule="auto"/>
              <w:jc w:val="center"/>
              <w:rPr>
                <w:rFonts w:eastAsia="Times New Roman" w:cstheme="minorHAnsi"/>
                <w:color w:val="FFFFFF"/>
                <w:lang w:val="en-US"/>
              </w:rPr>
            </w:pPr>
            <w:r>
              <w:rPr>
                <w:rFonts w:eastAsia="Times New Roman" w:cstheme="minorHAnsi"/>
                <w:color w:val="FFFFFF"/>
                <w:lang w:val="en-US"/>
              </w:rPr>
              <w:t>65+</w:t>
            </w:r>
          </w:p>
        </w:tc>
        <w:tc>
          <w:tcPr>
            <w:tcW w:w="1362" w:type="dxa"/>
            <w:vMerge w:val="restart"/>
            <w:shd w:val="clear" w:color="auto" w:fill="E5E5E5" w:themeFill="text1" w:themeFillTint="33"/>
            <w:noWrap/>
            <w:vAlign w:val="center"/>
            <w:hideMark/>
          </w:tcPr>
          <w:p w14:paraId="22FB21CB" w14:textId="77777777" w:rsidR="0016594B" w:rsidRDefault="0016594B" w:rsidP="00336730">
            <w:pPr>
              <w:spacing w:after="0" w:line="240" w:lineRule="auto"/>
              <w:jc w:val="center"/>
              <w:rPr>
                <w:rFonts w:eastAsia="Times New Roman" w:cstheme="minorHAnsi"/>
                <w:color w:val="FFFFFF"/>
                <w:lang w:val="en-US"/>
              </w:rPr>
            </w:pPr>
            <w:r w:rsidRPr="00591144">
              <w:rPr>
                <w:rFonts w:eastAsia="Times New Roman" w:cstheme="minorHAnsi"/>
                <w:lang w:val="en-US"/>
              </w:rPr>
              <w:t>UKUPNO</w:t>
            </w:r>
          </w:p>
        </w:tc>
      </w:tr>
      <w:tr w:rsidR="0016594B" w14:paraId="1649FC37" w14:textId="77777777" w:rsidTr="00202AEC">
        <w:trPr>
          <w:trHeight w:val="312"/>
        </w:trPr>
        <w:tc>
          <w:tcPr>
            <w:tcW w:w="0" w:type="auto"/>
            <w:vMerge/>
            <w:tcBorders>
              <w:right w:val="single" w:sz="8" w:space="0" w:color="F3CFC1"/>
            </w:tcBorders>
            <w:shd w:val="clear" w:color="auto" w:fill="D2232A"/>
            <w:vAlign w:val="center"/>
            <w:hideMark/>
          </w:tcPr>
          <w:p w14:paraId="5F64B70C" w14:textId="77777777" w:rsidR="0016594B" w:rsidRDefault="0016594B" w:rsidP="00336730">
            <w:pPr>
              <w:spacing w:after="0"/>
              <w:rPr>
                <w:rFonts w:eastAsia="Times New Roman" w:cstheme="minorHAnsi"/>
                <w:color w:val="FFFFFF"/>
                <w:sz w:val="22"/>
                <w:szCs w:val="22"/>
                <w:lang w:val="en-US"/>
              </w:rPr>
            </w:pPr>
          </w:p>
        </w:tc>
        <w:tc>
          <w:tcPr>
            <w:tcW w:w="1035" w:type="dxa"/>
            <w:tcBorders>
              <w:left w:val="single" w:sz="8" w:space="0" w:color="F3CFC1"/>
            </w:tcBorders>
            <w:shd w:val="clear" w:color="auto" w:fill="D2232A"/>
            <w:noWrap/>
            <w:vAlign w:val="center"/>
            <w:hideMark/>
          </w:tcPr>
          <w:p w14:paraId="35CF37FA" w14:textId="77777777" w:rsidR="0016594B" w:rsidRDefault="0016594B" w:rsidP="00336730">
            <w:pPr>
              <w:spacing w:after="0" w:line="240" w:lineRule="auto"/>
              <w:jc w:val="center"/>
              <w:rPr>
                <w:rFonts w:eastAsia="Times New Roman" w:cstheme="minorHAnsi"/>
                <w:color w:val="FFFFFF"/>
                <w:lang w:val="en-US"/>
              </w:rPr>
            </w:pPr>
            <w:r>
              <w:rPr>
                <w:rFonts w:eastAsia="Times New Roman" w:cstheme="minorHAnsi"/>
                <w:color w:val="FFFFFF"/>
                <w:lang w:val="en-US"/>
              </w:rPr>
              <w:t>muškarci</w:t>
            </w:r>
          </w:p>
        </w:tc>
        <w:tc>
          <w:tcPr>
            <w:tcW w:w="1008" w:type="dxa"/>
            <w:shd w:val="clear" w:color="auto" w:fill="D2232A"/>
            <w:noWrap/>
            <w:vAlign w:val="center"/>
            <w:hideMark/>
          </w:tcPr>
          <w:p w14:paraId="69A34BE2" w14:textId="77777777" w:rsidR="0016594B" w:rsidRDefault="0016594B" w:rsidP="00336730">
            <w:pPr>
              <w:spacing w:after="0" w:line="240" w:lineRule="auto"/>
              <w:jc w:val="center"/>
              <w:rPr>
                <w:rFonts w:eastAsia="Times New Roman" w:cstheme="minorHAnsi"/>
                <w:color w:val="FFFFFF"/>
                <w:lang w:val="en-US"/>
              </w:rPr>
            </w:pPr>
            <w:r>
              <w:rPr>
                <w:rFonts w:eastAsia="Times New Roman" w:cstheme="minorHAnsi"/>
                <w:color w:val="FFFFFF"/>
                <w:lang w:val="en-US"/>
              </w:rPr>
              <w:t>žene</w:t>
            </w:r>
          </w:p>
        </w:tc>
        <w:tc>
          <w:tcPr>
            <w:tcW w:w="1035" w:type="dxa"/>
            <w:shd w:val="clear" w:color="auto" w:fill="D2232A"/>
            <w:noWrap/>
            <w:vAlign w:val="center"/>
            <w:hideMark/>
          </w:tcPr>
          <w:p w14:paraId="38A303AE" w14:textId="77777777" w:rsidR="0016594B" w:rsidRDefault="0016594B" w:rsidP="00336730">
            <w:pPr>
              <w:spacing w:after="0" w:line="240" w:lineRule="auto"/>
              <w:jc w:val="center"/>
              <w:rPr>
                <w:rFonts w:eastAsia="Times New Roman" w:cstheme="minorHAnsi"/>
                <w:color w:val="FFFFFF"/>
                <w:lang w:val="en-US"/>
              </w:rPr>
            </w:pPr>
            <w:r>
              <w:rPr>
                <w:rFonts w:eastAsia="Times New Roman" w:cstheme="minorHAnsi"/>
                <w:color w:val="FFFFFF"/>
                <w:lang w:val="en-US"/>
              </w:rPr>
              <w:t>muškarci</w:t>
            </w:r>
          </w:p>
        </w:tc>
        <w:tc>
          <w:tcPr>
            <w:tcW w:w="1008" w:type="dxa"/>
            <w:shd w:val="clear" w:color="auto" w:fill="D2232A"/>
            <w:noWrap/>
            <w:vAlign w:val="center"/>
            <w:hideMark/>
          </w:tcPr>
          <w:p w14:paraId="60D0F73C" w14:textId="77777777" w:rsidR="0016594B" w:rsidRDefault="0016594B" w:rsidP="00336730">
            <w:pPr>
              <w:spacing w:after="0" w:line="240" w:lineRule="auto"/>
              <w:jc w:val="center"/>
              <w:rPr>
                <w:rFonts w:eastAsia="Times New Roman" w:cstheme="minorHAnsi"/>
                <w:color w:val="FFFFFF"/>
                <w:lang w:val="en-US"/>
              </w:rPr>
            </w:pPr>
            <w:r>
              <w:rPr>
                <w:rFonts w:eastAsia="Times New Roman" w:cstheme="minorHAnsi"/>
                <w:color w:val="FFFFFF"/>
                <w:lang w:val="en-US"/>
              </w:rPr>
              <w:t>žene</w:t>
            </w:r>
          </w:p>
        </w:tc>
        <w:tc>
          <w:tcPr>
            <w:tcW w:w="1035" w:type="dxa"/>
            <w:shd w:val="clear" w:color="auto" w:fill="D2232A"/>
            <w:noWrap/>
            <w:vAlign w:val="center"/>
            <w:hideMark/>
          </w:tcPr>
          <w:p w14:paraId="4BA9AE82" w14:textId="77777777" w:rsidR="0016594B" w:rsidRDefault="0016594B" w:rsidP="00336730">
            <w:pPr>
              <w:spacing w:after="0" w:line="240" w:lineRule="auto"/>
              <w:jc w:val="center"/>
              <w:rPr>
                <w:rFonts w:eastAsia="Times New Roman" w:cstheme="minorHAnsi"/>
                <w:color w:val="FFFFFF"/>
                <w:lang w:val="en-US"/>
              </w:rPr>
            </w:pPr>
            <w:r>
              <w:rPr>
                <w:rFonts w:eastAsia="Times New Roman" w:cstheme="minorHAnsi"/>
                <w:color w:val="FFFFFF"/>
                <w:lang w:val="en-US"/>
              </w:rPr>
              <w:t>muškarci</w:t>
            </w:r>
          </w:p>
        </w:tc>
        <w:tc>
          <w:tcPr>
            <w:tcW w:w="1008" w:type="dxa"/>
            <w:shd w:val="clear" w:color="auto" w:fill="D2232A"/>
            <w:noWrap/>
            <w:vAlign w:val="center"/>
            <w:hideMark/>
          </w:tcPr>
          <w:p w14:paraId="479898C7" w14:textId="77777777" w:rsidR="0016594B" w:rsidRDefault="0016594B" w:rsidP="00336730">
            <w:pPr>
              <w:spacing w:after="0" w:line="240" w:lineRule="auto"/>
              <w:jc w:val="center"/>
              <w:rPr>
                <w:rFonts w:eastAsia="Times New Roman" w:cstheme="minorHAnsi"/>
                <w:color w:val="FFFFFF"/>
                <w:lang w:val="en-US"/>
              </w:rPr>
            </w:pPr>
            <w:r>
              <w:rPr>
                <w:rFonts w:eastAsia="Times New Roman" w:cstheme="minorHAnsi"/>
                <w:color w:val="FFFFFF"/>
                <w:lang w:val="en-US"/>
              </w:rPr>
              <w:t>žene</w:t>
            </w:r>
          </w:p>
        </w:tc>
        <w:tc>
          <w:tcPr>
            <w:tcW w:w="1362" w:type="dxa"/>
            <w:vMerge/>
            <w:tcBorders>
              <w:bottom w:val="single" w:sz="4" w:space="0" w:color="FFFFFF"/>
            </w:tcBorders>
            <w:shd w:val="clear" w:color="auto" w:fill="E5E5E5" w:themeFill="text1" w:themeFillTint="33"/>
            <w:vAlign w:val="center"/>
            <w:hideMark/>
          </w:tcPr>
          <w:p w14:paraId="4429E52E" w14:textId="77777777" w:rsidR="0016594B" w:rsidRDefault="0016594B" w:rsidP="00336730">
            <w:pPr>
              <w:spacing w:after="0"/>
              <w:jc w:val="center"/>
              <w:rPr>
                <w:rFonts w:eastAsia="Times New Roman" w:cstheme="minorHAnsi"/>
                <w:color w:val="FFFFFF"/>
                <w:sz w:val="22"/>
                <w:szCs w:val="22"/>
                <w:lang w:val="en-US"/>
              </w:rPr>
            </w:pPr>
          </w:p>
        </w:tc>
      </w:tr>
      <w:tr w:rsidR="0016594B" w14:paraId="7C5FE0BC" w14:textId="77777777" w:rsidTr="00202AEC">
        <w:trPr>
          <w:trHeight w:val="312"/>
        </w:trPr>
        <w:tc>
          <w:tcPr>
            <w:tcW w:w="1728" w:type="dxa"/>
            <w:tcBorders>
              <w:bottom w:val="single" w:sz="4" w:space="0" w:color="FFFFFF"/>
            </w:tcBorders>
            <w:shd w:val="clear" w:color="auto" w:fill="D2232A"/>
            <w:noWrap/>
            <w:vAlign w:val="center"/>
            <w:hideMark/>
          </w:tcPr>
          <w:p w14:paraId="2F5D900A" w14:textId="730E1E72" w:rsidR="0016594B" w:rsidRPr="0093459F" w:rsidRDefault="00FA2B69" w:rsidP="00336730">
            <w:pPr>
              <w:spacing w:after="0" w:line="240" w:lineRule="auto"/>
              <w:jc w:val="center"/>
              <w:rPr>
                <w:rFonts w:eastAsia="Times New Roman" w:cstheme="minorHAnsi"/>
                <w:color w:val="FFFFFF"/>
                <w:highlight w:val="yellow"/>
                <w:lang w:val="en-US"/>
              </w:rPr>
            </w:pPr>
            <w:r>
              <w:rPr>
                <w:rFonts w:eastAsia="Times New Roman" w:cstheme="minorHAnsi"/>
                <w:color w:val="FFFFFF"/>
              </w:rPr>
              <w:t>S</w:t>
            </w:r>
            <w:r w:rsidRPr="00FA2B69">
              <w:rPr>
                <w:rFonts w:eastAsia="Times New Roman" w:cstheme="minorHAnsi"/>
                <w:color w:val="FFFFFF"/>
              </w:rPr>
              <w:t>tanje na dan 12.03.</w:t>
            </w:r>
            <w:r>
              <w:rPr>
                <w:rFonts w:eastAsia="Times New Roman" w:cstheme="minorHAnsi"/>
                <w:color w:val="FFFFFF"/>
              </w:rPr>
              <w:t>2015.</w:t>
            </w:r>
          </w:p>
        </w:tc>
        <w:tc>
          <w:tcPr>
            <w:tcW w:w="1035" w:type="dxa"/>
            <w:noWrap/>
            <w:vAlign w:val="bottom"/>
            <w:hideMark/>
          </w:tcPr>
          <w:p w14:paraId="336BA31B"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987</w:t>
            </w:r>
          </w:p>
        </w:tc>
        <w:tc>
          <w:tcPr>
            <w:tcW w:w="1008" w:type="dxa"/>
            <w:tcBorders>
              <w:right w:val="single" w:sz="8" w:space="0" w:color="D2232A"/>
            </w:tcBorders>
            <w:noWrap/>
            <w:vAlign w:val="bottom"/>
            <w:hideMark/>
          </w:tcPr>
          <w:p w14:paraId="435D039F"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588</w:t>
            </w:r>
          </w:p>
        </w:tc>
        <w:tc>
          <w:tcPr>
            <w:tcW w:w="1035" w:type="dxa"/>
            <w:tcBorders>
              <w:left w:val="single" w:sz="8" w:space="0" w:color="D2232A"/>
            </w:tcBorders>
            <w:noWrap/>
            <w:vAlign w:val="bottom"/>
            <w:hideMark/>
          </w:tcPr>
          <w:p w14:paraId="6260C92B"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5.799</w:t>
            </w:r>
          </w:p>
        </w:tc>
        <w:tc>
          <w:tcPr>
            <w:tcW w:w="1008" w:type="dxa"/>
            <w:tcBorders>
              <w:right w:val="single" w:sz="8" w:space="0" w:color="D2232A"/>
            </w:tcBorders>
            <w:noWrap/>
            <w:vAlign w:val="bottom"/>
            <w:hideMark/>
          </w:tcPr>
          <w:p w14:paraId="361271BB"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3.761</w:t>
            </w:r>
          </w:p>
        </w:tc>
        <w:tc>
          <w:tcPr>
            <w:tcW w:w="1035" w:type="dxa"/>
            <w:tcBorders>
              <w:left w:val="single" w:sz="8" w:space="0" w:color="D2232A"/>
            </w:tcBorders>
            <w:noWrap/>
            <w:vAlign w:val="bottom"/>
            <w:hideMark/>
          </w:tcPr>
          <w:p w14:paraId="7CA1D71D"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3.731</w:t>
            </w:r>
          </w:p>
        </w:tc>
        <w:tc>
          <w:tcPr>
            <w:tcW w:w="1008" w:type="dxa"/>
            <w:noWrap/>
            <w:vAlign w:val="bottom"/>
            <w:hideMark/>
          </w:tcPr>
          <w:p w14:paraId="67C67EF9"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4.081</w:t>
            </w:r>
          </w:p>
        </w:tc>
        <w:tc>
          <w:tcPr>
            <w:tcW w:w="1362" w:type="dxa"/>
            <w:tcBorders>
              <w:top w:val="single" w:sz="4" w:space="0" w:color="FFFFFF"/>
              <w:bottom w:val="single" w:sz="8" w:space="0" w:color="FFFFFF" w:themeColor="background1"/>
            </w:tcBorders>
            <w:shd w:val="clear" w:color="auto" w:fill="E5E5E5" w:themeFill="text1" w:themeFillTint="33"/>
            <w:noWrap/>
            <w:vAlign w:val="bottom"/>
            <w:hideMark/>
          </w:tcPr>
          <w:p w14:paraId="45021802" w14:textId="77777777" w:rsidR="0016594B" w:rsidRPr="00591144" w:rsidRDefault="0016594B" w:rsidP="00336730">
            <w:pPr>
              <w:spacing w:after="0" w:line="240" w:lineRule="auto"/>
              <w:jc w:val="right"/>
              <w:rPr>
                <w:rFonts w:eastAsia="Times New Roman" w:cstheme="minorHAnsi"/>
                <w:lang w:val="en-US"/>
              </w:rPr>
            </w:pPr>
            <w:r w:rsidRPr="00591144">
              <w:rPr>
                <w:rFonts w:eastAsia="Times New Roman" w:cstheme="minorHAnsi"/>
                <w:lang w:val="en-US"/>
              </w:rPr>
              <w:t>18.947</w:t>
            </w:r>
          </w:p>
        </w:tc>
      </w:tr>
      <w:tr w:rsidR="0016594B" w14:paraId="7604F042" w14:textId="77777777" w:rsidTr="00202AEC">
        <w:trPr>
          <w:trHeight w:val="312"/>
        </w:trPr>
        <w:tc>
          <w:tcPr>
            <w:tcW w:w="1728" w:type="dxa"/>
            <w:tcBorders>
              <w:top w:val="single" w:sz="4" w:space="0" w:color="FFFFFF"/>
            </w:tcBorders>
            <w:shd w:val="clear" w:color="auto" w:fill="D2232A"/>
            <w:noWrap/>
            <w:vAlign w:val="center"/>
            <w:hideMark/>
          </w:tcPr>
          <w:p w14:paraId="6FD3E6A3" w14:textId="0C1AB171" w:rsidR="00364636" w:rsidRPr="00364636" w:rsidRDefault="00364636" w:rsidP="00364636">
            <w:pPr>
              <w:spacing w:after="0" w:line="240" w:lineRule="auto"/>
              <w:jc w:val="center"/>
              <w:rPr>
                <w:rFonts w:eastAsia="Times New Roman" w:cstheme="minorHAnsi"/>
                <w:color w:val="FFFFFF"/>
              </w:rPr>
            </w:pPr>
            <w:r>
              <w:rPr>
                <w:rFonts w:eastAsia="Times New Roman" w:cstheme="minorHAnsi"/>
                <w:color w:val="FFFFFF"/>
              </w:rPr>
              <w:t>S</w:t>
            </w:r>
            <w:r w:rsidRPr="00364636">
              <w:rPr>
                <w:rFonts w:eastAsia="Times New Roman" w:cstheme="minorHAnsi"/>
                <w:color w:val="FFFFFF"/>
              </w:rPr>
              <w:t>tanje na dan</w:t>
            </w:r>
          </w:p>
          <w:p w14:paraId="053D8E9A" w14:textId="7716040E" w:rsidR="0016594B" w:rsidRPr="0093459F" w:rsidRDefault="00364636" w:rsidP="00364636">
            <w:pPr>
              <w:spacing w:after="0" w:line="240" w:lineRule="auto"/>
              <w:jc w:val="center"/>
              <w:rPr>
                <w:rFonts w:eastAsia="Times New Roman" w:cstheme="minorHAnsi"/>
                <w:color w:val="FFFFFF"/>
                <w:highlight w:val="yellow"/>
                <w:lang w:val="en-US"/>
              </w:rPr>
            </w:pPr>
            <w:r w:rsidRPr="00364636">
              <w:rPr>
                <w:rFonts w:eastAsia="Times New Roman" w:cstheme="minorHAnsi"/>
                <w:color w:val="FFFFFF"/>
              </w:rPr>
              <w:t>14.03.2016.</w:t>
            </w:r>
            <w:r w:rsidRPr="00364636">
              <w:rPr>
                <w:rFonts w:eastAsia="Times New Roman" w:cstheme="minorHAnsi"/>
                <w:color w:val="FFFFFF"/>
                <w:lang w:val="en-US"/>
              </w:rPr>
              <w:t xml:space="preserve"> </w:t>
            </w:r>
          </w:p>
        </w:tc>
        <w:tc>
          <w:tcPr>
            <w:tcW w:w="1035" w:type="dxa"/>
            <w:noWrap/>
            <w:vAlign w:val="bottom"/>
            <w:hideMark/>
          </w:tcPr>
          <w:p w14:paraId="259458A1"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1.003</w:t>
            </w:r>
          </w:p>
        </w:tc>
        <w:tc>
          <w:tcPr>
            <w:tcW w:w="1008" w:type="dxa"/>
            <w:tcBorders>
              <w:right w:val="single" w:sz="8" w:space="0" w:color="D2232A"/>
            </w:tcBorders>
            <w:noWrap/>
            <w:vAlign w:val="bottom"/>
            <w:hideMark/>
          </w:tcPr>
          <w:p w14:paraId="4718D22F"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613</w:t>
            </w:r>
          </w:p>
        </w:tc>
        <w:tc>
          <w:tcPr>
            <w:tcW w:w="1035" w:type="dxa"/>
            <w:tcBorders>
              <w:left w:val="single" w:sz="8" w:space="0" w:color="D2232A"/>
            </w:tcBorders>
            <w:noWrap/>
            <w:vAlign w:val="bottom"/>
            <w:hideMark/>
          </w:tcPr>
          <w:p w14:paraId="1E4429AC"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5.650</w:t>
            </w:r>
          </w:p>
        </w:tc>
        <w:tc>
          <w:tcPr>
            <w:tcW w:w="1008" w:type="dxa"/>
            <w:tcBorders>
              <w:right w:val="single" w:sz="8" w:space="0" w:color="D2232A"/>
            </w:tcBorders>
            <w:noWrap/>
            <w:vAlign w:val="bottom"/>
            <w:hideMark/>
          </w:tcPr>
          <w:p w14:paraId="37FF61BC"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3.646</w:t>
            </w:r>
          </w:p>
        </w:tc>
        <w:tc>
          <w:tcPr>
            <w:tcW w:w="1035" w:type="dxa"/>
            <w:tcBorders>
              <w:left w:val="single" w:sz="8" w:space="0" w:color="D2232A"/>
            </w:tcBorders>
            <w:noWrap/>
            <w:vAlign w:val="bottom"/>
            <w:hideMark/>
          </w:tcPr>
          <w:p w14:paraId="5B553041"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3.951</w:t>
            </w:r>
          </w:p>
        </w:tc>
        <w:tc>
          <w:tcPr>
            <w:tcW w:w="1008" w:type="dxa"/>
            <w:noWrap/>
            <w:vAlign w:val="bottom"/>
            <w:hideMark/>
          </w:tcPr>
          <w:p w14:paraId="6E2907F9"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4.272</w:t>
            </w:r>
          </w:p>
        </w:tc>
        <w:tc>
          <w:tcPr>
            <w:tcW w:w="1362" w:type="dxa"/>
            <w:tcBorders>
              <w:top w:val="single" w:sz="8" w:space="0" w:color="FFFFFF" w:themeColor="background1"/>
              <w:bottom w:val="single" w:sz="4" w:space="0" w:color="FFFFFF"/>
            </w:tcBorders>
            <w:shd w:val="clear" w:color="auto" w:fill="E5E5E5" w:themeFill="text1" w:themeFillTint="33"/>
            <w:noWrap/>
            <w:vAlign w:val="bottom"/>
            <w:hideMark/>
          </w:tcPr>
          <w:p w14:paraId="3723DDE8" w14:textId="77777777" w:rsidR="0016594B" w:rsidRPr="00591144" w:rsidRDefault="0016594B" w:rsidP="00336730">
            <w:pPr>
              <w:spacing w:after="0" w:line="240" w:lineRule="auto"/>
              <w:jc w:val="right"/>
              <w:rPr>
                <w:rFonts w:eastAsia="Times New Roman" w:cstheme="minorHAnsi"/>
                <w:lang w:val="en-US"/>
              </w:rPr>
            </w:pPr>
            <w:r w:rsidRPr="00591144">
              <w:rPr>
                <w:rFonts w:eastAsia="Times New Roman" w:cstheme="minorHAnsi"/>
                <w:lang w:val="en-US"/>
              </w:rPr>
              <w:t>19.135</w:t>
            </w:r>
          </w:p>
        </w:tc>
      </w:tr>
      <w:tr w:rsidR="0016594B" w14:paraId="04FF3063" w14:textId="77777777" w:rsidTr="00202AEC">
        <w:trPr>
          <w:trHeight w:val="312"/>
        </w:trPr>
        <w:tc>
          <w:tcPr>
            <w:tcW w:w="1728" w:type="dxa"/>
            <w:shd w:val="clear" w:color="auto" w:fill="D2232A"/>
            <w:noWrap/>
            <w:vAlign w:val="center"/>
            <w:hideMark/>
          </w:tcPr>
          <w:p w14:paraId="3DE3DC37" w14:textId="77777777" w:rsidR="00E8507A" w:rsidRPr="00364636" w:rsidRDefault="00E8507A" w:rsidP="00E8507A">
            <w:pPr>
              <w:spacing w:after="0" w:line="240" w:lineRule="auto"/>
              <w:jc w:val="center"/>
              <w:rPr>
                <w:rFonts w:eastAsia="Times New Roman" w:cstheme="minorHAnsi"/>
                <w:color w:val="FFFFFF"/>
              </w:rPr>
            </w:pPr>
            <w:r>
              <w:rPr>
                <w:rFonts w:eastAsia="Times New Roman" w:cstheme="minorHAnsi"/>
                <w:color w:val="FFFFFF"/>
              </w:rPr>
              <w:t>S</w:t>
            </w:r>
            <w:r w:rsidRPr="00364636">
              <w:rPr>
                <w:rFonts w:eastAsia="Times New Roman" w:cstheme="minorHAnsi"/>
                <w:color w:val="FFFFFF"/>
              </w:rPr>
              <w:t>tanje na dan</w:t>
            </w:r>
          </w:p>
          <w:p w14:paraId="36821228" w14:textId="6984107B" w:rsidR="0016594B" w:rsidRPr="0093459F" w:rsidRDefault="00E8507A" w:rsidP="00E8507A">
            <w:pPr>
              <w:spacing w:after="0" w:line="240" w:lineRule="auto"/>
              <w:jc w:val="center"/>
              <w:rPr>
                <w:rFonts w:eastAsia="Times New Roman" w:cstheme="minorHAnsi"/>
                <w:color w:val="FFFFFF"/>
                <w:highlight w:val="yellow"/>
                <w:lang w:val="en-US"/>
              </w:rPr>
            </w:pPr>
            <w:r w:rsidRPr="00364636">
              <w:rPr>
                <w:rFonts w:eastAsia="Times New Roman" w:cstheme="minorHAnsi"/>
                <w:color w:val="FFFFFF"/>
              </w:rPr>
              <w:t>14.03.</w:t>
            </w:r>
            <w:r w:rsidR="0016594B" w:rsidRPr="00C72950">
              <w:rPr>
                <w:rFonts w:eastAsia="Times New Roman" w:cstheme="minorHAnsi"/>
                <w:color w:val="FFFFFF"/>
                <w:lang w:val="en-US"/>
              </w:rPr>
              <w:t>2017.</w:t>
            </w:r>
          </w:p>
        </w:tc>
        <w:tc>
          <w:tcPr>
            <w:tcW w:w="1035" w:type="dxa"/>
            <w:noWrap/>
            <w:vAlign w:val="bottom"/>
            <w:hideMark/>
          </w:tcPr>
          <w:p w14:paraId="36FF5DE0"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898</w:t>
            </w:r>
          </w:p>
        </w:tc>
        <w:tc>
          <w:tcPr>
            <w:tcW w:w="1008" w:type="dxa"/>
            <w:tcBorders>
              <w:right w:val="single" w:sz="8" w:space="0" w:color="D2232A"/>
            </w:tcBorders>
            <w:noWrap/>
            <w:vAlign w:val="bottom"/>
            <w:hideMark/>
          </w:tcPr>
          <w:p w14:paraId="7DC12FF1"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559</w:t>
            </w:r>
          </w:p>
        </w:tc>
        <w:tc>
          <w:tcPr>
            <w:tcW w:w="1035" w:type="dxa"/>
            <w:tcBorders>
              <w:left w:val="single" w:sz="8" w:space="0" w:color="D2232A"/>
            </w:tcBorders>
            <w:noWrap/>
            <w:vAlign w:val="bottom"/>
            <w:hideMark/>
          </w:tcPr>
          <w:p w14:paraId="77591B05"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5.465</w:t>
            </w:r>
          </w:p>
        </w:tc>
        <w:tc>
          <w:tcPr>
            <w:tcW w:w="1008" w:type="dxa"/>
            <w:tcBorders>
              <w:right w:val="single" w:sz="8" w:space="0" w:color="D2232A"/>
            </w:tcBorders>
            <w:noWrap/>
            <w:vAlign w:val="bottom"/>
            <w:hideMark/>
          </w:tcPr>
          <w:p w14:paraId="306E935E"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3.511</w:t>
            </w:r>
          </w:p>
        </w:tc>
        <w:tc>
          <w:tcPr>
            <w:tcW w:w="1035" w:type="dxa"/>
            <w:tcBorders>
              <w:left w:val="single" w:sz="8" w:space="0" w:color="D2232A"/>
            </w:tcBorders>
            <w:noWrap/>
            <w:vAlign w:val="bottom"/>
            <w:hideMark/>
          </w:tcPr>
          <w:p w14:paraId="1D183D11"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4.257</w:t>
            </w:r>
          </w:p>
        </w:tc>
        <w:tc>
          <w:tcPr>
            <w:tcW w:w="1008" w:type="dxa"/>
            <w:noWrap/>
            <w:vAlign w:val="bottom"/>
            <w:hideMark/>
          </w:tcPr>
          <w:p w14:paraId="45EB6654"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4.481</w:t>
            </w:r>
          </w:p>
        </w:tc>
        <w:tc>
          <w:tcPr>
            <w:tcW w:w="1362" w:type="dxa"/>
            <w:tcBorders>
              <w:top w:val="single" w:sz="4" w:space="0" w:color="FFFFFF"/>
              <w:bottom w:val="single" w:sz="4" w:space="0" w:color="FFFFFF"/>
            </w:tcBorders>
            <w:shd w:val="clear" w:color="auto" w:fill="E5E5E5" w:themeFill="text1" w:themeFillTint="33"/>
            <w:noWrap/>
            <w:vAlign w:val="bottom"/>
            <w:hideMark/>
          </w:tcPr>
          <w:p w14:paraId="72C18459" w14:textId="77777777" w:rsidR="0016594B" w:rsidRPr="00591144" w:rsidRDefault="0016594B" w:rsidP="00336730">
            <w:pPr>
              <w:spacing w:after="0" w:line="240" w:lineRule="auto"/>
              <w:jc w:val="right"/>
              <w:rPr>
                <w:rFonts w:eastAsia="Times New Roman" w:cstheme="minorHAnsi"/>
                <w:lang w:val="en-US"/>
              </w:rPr>
            </w:pPr>
            <w:r w:rsidRPr="00591144">
              <w:rPr>
                <w:rFonts w:eastAsia="Times New Roman" w:cstheme="minorHAnsi"/>
                <w:lang w:val="en-US"/>
              </w:rPr>
              <w:t>19.171</w:t>
            </w:r>
          </w:p>
        </w:tc>
      </w:tr>
      <w:tr w:rsidR="0016594B" w14:paraId="1CBE1B40" w14:textId="77777777" w:rsidTr="00202AEC">
        <w:trPr>
          <w:trHeight w:val="312"/>
        </w:trPr>
        <w:tc>
          <w:tcPr>
            <w:tcW w:w="1728" w:type="dxa"/>
            <w:shd w:val="clear" w:color="auto" w:fill="D2232A"/>
            <w:noWrap/>
            <w:vAlign w:val="center"/>
            <w:hideMark/>
          </w:tcPr>
          <w:p w14:paraId="4CF008BA" w14:textId="5981A388" w:rsidR="0016594B" w:rsidRDefault="00470B0D" w:rsidP="00336730">
            <w:pPr>
              <w:spacing w:after="0" w:line="240" w:lineRule="auto"/>
              <w:jc w:val="center"/>
              <w:rPr>
                <w:rFonts w:eastAsia="Times New Roman" w:cstheme="minorHAnsi"/>
                <w:color w:val="FFFFFF"/>
                <w:lang w:val="en-US"/>
              </w:rPr>
            </w:pPr>
            <w:r>
              <w:rPr>
                <w:rFonts w:eastAsia="Times New Roman" w:cstheme="minorHAnsi"/>
                <w:color w:val="FFFFFF"/>
                <w:lang w:val="en-US"/>
              </w:rPr>
              <w:t>Stanje na dan 20.05.</w:t>
            </w:r>
            <w:r w:rsidR="0016594B">
              <w:rPr>
                <w:rFonts w:eastAsia="Times New Roman" w:cstheme="minorHAnsi"/>
                <w:color w:val="FFFFFF"/>
                <w:lang w:val="en-US"/>
              </w:rPr>
              <w:t>201</w:t>
            </w:r>
            <w:r w:rsidR="0093459F">
              <w:rPr>
                <w:rFonts w:eastAsia="Times New Roman" w:cstheme="minorHAnsi"/>
                <w:color w:val="FFFFFF"/>
                <w:lang w:val="en-US"/>
              </w:rPr>
              <w:t>9</w:t>
            </w:r>
            <w:r w:rsidR="0016594B">
              <w:rPr>
                <w:rFonts w:eastAsia="Times New Roman" w:cstheme="minorHAnsi"/>
                <w:color w:val="FFFFFF"/>
                <w:lang w:val="en-US"/>
              </w:rPr>
              <w:t>.</w:t>
            </w:r>
          </w:p>
        </w:tc>
        <w:tc>
          <w:tcPr>
            <w:tcW w:w="1035" w:type="dxa"/>
            <w:noWrap/>
            <w:vAlign w:val="bottom"/>
            <w:hideMark/>
          </w:tcPr>
          <w:p w14:paraId="2F8B9B57"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1.051</w:t>
            </w:r>
          </w:p>
        </w:tc>
        <w:tc>
          <w:tcPr>
            <w:tcW w:w="1008" w:type="dxa"/>
            <w:tcBorders>
              <w:right w:val="single" w:sz="8" w:space="0" w:color="D2232A"/>
            </w:tcBorders>
            <w:noWrap/>
            <w:vAlign w:val="bottom"/>
            <w:hideMark/>
          </w:tcPr>
          <w:p w14:paraId="19D3354B"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663</w:t>
            </w:r>
          </w:p>
        </w:tc>
        <w:tc>
          <w:tcPr>
            <w:tcW w:w="1035" w:type="dxa"/>
            <w:tcBorders>
              <w:left w:val="single" w:sz="8" w:space="0" w:color="D2232A"/>
            </w:tcBorders>
            <w:noWrap/>
            <w:vAlign w:val="bottom"/>
            <w:hideMark/>
          </w:tcPr>
          <w:p w14:paraId="56B04C2C"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4.832</w:t>
            </w:r>
          </w:p>
        </w:tc>
        <w:tc>
          <w:tcPr>
            <w:tcW w:w="1008" w:type="dxa"/>
            <w:tcBorders>
              <w:right w:val="single" w:sz="8" w:space="0" w:color="D2232A"/>
            </w:tcBorders>
            <w:noWrap/>
            <w:vAlign w:val="bottom"/>
            <w:hideMark/>
          </w:tcPr>
          <w:p w14:paraId="44670A3A"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3.189</w:t>
            </w:r>
          </w:p>
        </w:tc>
        <w:tc>
          <w:tcPr>
            <w:tcW w:w="1035" w:type="dxa"/>
            <w:tcBorders>
              <w:left w:val="single" w:sz="8" w:space="0" w:color="D2232A"/>
            </w:tcBorders>
            <w:noWrap/>
            <w:vAlign w:val="bottom"/>
            <w:hideMark/>
          </w:tcPr>
          <w:p w14:paraId="40002F88"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4.651</w:t>
            </w:r>
          </w:p>
        </w:tc>
        <w:tc>
          <w:tcPr>
            <w:tcW w:w="1008" w:type="dxa"/>
            <w:noWrap/>
            <w:vAlign w:val="bottom"/>
            <w:hideMark/>
          </w:tcPr>
          <w:p w14:paraId="622C53CA" w14:textId="77777777" w:rsidR="0016594B" w:rsidRDefault="0016594B" w:rsidP="00336730">
            <w:pPr>
              <w:spacing w:after="0" w:line="240" w:lineRule="auto"/>
              <w:jc w:val="right"/>
              <w:rPr>
                <w:rFonts w:eastAsia="Times New Roman" w:cstheme="minorHAnsi"/>
                <w:color w:val="000000"/>
                <w:lang w:val="en-US"/>
              </w:rPr>
            </w:pPr>
            <w:r>
              <w:rPr>
                <w:rFonts w:eastAsia="Times New Roman" w:cstheme="minorHAnsi"/>
                <w:color w:val="000000"/>
                <w:lang w:val="en-US"/>
              </w:rPr>
              <w:t>4.463</w:t>
            </w:r>
          </w:p>
        </w:tc>
        <w:tc>
          <w:tcPr>
            <w:tcW w:w="1362" w:type="dxa"/>
            <w:tcBorders>
              <w:top w:val="single" w:sz="4" w:space="0" w:color="FFFFFF"/>
            </w:tcBorders>
            <w:shd w:val="clear" w:color="auto" w:fill="E5E5E5" w:themeFill="text1" w:themeFillTint="33"/>
            <w:noWrap/>
            <w:vAlign w:val="bottom"/>
            <w:hideMark/>
          </w:tcPr>
          <w:p w14:paraId="59974EFD" w14:textId="77777777" w:rsidR="0016594B" w:rsidRPr="00591144" w:rsidRDefault="0016594B" w:rsidP="00336730">
            <w:pPr>
              <w:spacing w:after="0" w:line="240" w:lineRule="auto"/>
              <w:jc w:val="right"/>
              <w:rPr>
                <w:rFonts w:eastAsia="Times New Roman" w:cstheme="minorHAnsi"/>
                <w:lang w:val="en-US"/>
              </w:rPr>
            </w:pPr>
            <w:r w:rsidRPr="00591144">
              <w:rPr>
                <w:rFonts w:eastAsia="Times New Roman" w:cstheme="minorHAnsi"/>
                <w:lang w:val="en-US"/>
              </w:rPr>
              <w:t>18.849</w:t>
            </w:r>
          </w:p>
        </w:tc>
      </w:tr>
    </w:tbl>
    <w:p w14:paraId="442829D6" w14:textId="4212DEF8" w:rsidR="0016594B" w:rsidRPr="001077FE" w:rsidRDefault="0016594B" w:rsidP="001077FE">
      <w:pPr>
        <w:autoSpaceDE w:val="0"/>
        <w:autoSpaceDN w:val="0"/>
        <w:adjustRightInd w:val="0"/>
        <w:spacing w:after="0" w:line="240" w:lineRule="auto"/>
        <w:rPr>
          <w:rFonts w:eastAsia="ArialNarrow" w:cstheme="minorHAnsi"/>
          <w:i/>
          <w:color w:val="ABABAB" w:themeColor="text1" w:themeTint="A6"/>
          <w:sz w:val="16"/>
          <w:szCs w:val="16"/>
        </w:rPr>
      </w:pPr>
      <w:bookmarkStart w:id="84" w:name="_Hlk61340623"/>
      <w:r w:rsidRPr="001077FE">
        <w:rPr>
          <w:rFonts w:eastAsia="ArialNarrow" w:cstheme="minorHAnsi"/>
          <w:i/>
          <w:color w:val="ABABAB" w:themeColor="text1" w:themeTint="A6"/>
          <w:sz w:val="16"/>
          <w:szCs w:val="16"/>
        </w:rPr>
        <w:t xml:space="preserve">Izvor: </w:t>
      </w:r>
      <w:bookmarkStart w:id="85" w:name="_Hlk61371012"/>
      <w:r w:rsidR="0093459F" w:rsidRPr="001077FE">
        <w:rPr>
          <w:rFonts w:eastAsia="ArialNarrow" w:cstheme="minorHAnsi"/>
          <w:i/>
          <w:color w:val="ABABAB" w:themeColor="text1" w:themeTint="A6"/>
          <w:sz w:val="16"/>
          <w:szCs w:val="16"/>
        </w:rPr>
        <w:t>Izvješće o osobama s invaliditetom u Republici Hrvatskoj,</w:t>
      </w:r>
      <w:r w:rsidR="00364636">
        <w:rPr>
          <w:rFonts w:eastAsia="ArialNarrow" w:cstheme="minorHAnsi"/>
          <w:i/>
          <w:color w:val="ABABAB" w:themeColor="text1" w:themeTint="A6"/>
          <w:sz w:val="16"/>
          <w:szCs w:val="16"/>
        </w:rPr>
        <w:t xml:space="preserve"> </w:t>
      </w:r>
      <w:bookmarkStart w:id="86" w:name="_Hlk64896778"/>
      <w:r w:rsidR="00364636">
        <w:rPr>
          <w:rFonts w:eastAsia="ArialNarrow" w:cstheme="minorHAnsi"/>
          <w:i/>
          <w:color w:val="ABABAB" w:themeColor="text1" w:themeTint="A6"/>
          <w:sz w:val="16"/>
          <w:szCs w:val="16"/>
        </w:rPr>
        <w:t xml:space="preserve">ožujak 2015., </w:t>
      </w:r>
      <w:r w:rsidR="00364636" w:rsidRPr="00364636">
        <w:rPr>
          <w:rFonts w:eastAsia="ArialNarrow" w:cstheme="minorHAnsi"/>
          <w:i/>
          <w:color w:val="ABABAB" w:themeColor="text1" w:themeTint="A6"/>
          <w:sz w:val="16"/>
          <w:szCs w:val="16"/>
        </w:rPr>
        <w:t>travanj 2016</w:t>
      </w:r>
      <w:r w:rsidR="00E8507A">
        <w:rPr>
          <w:rFonts w:eastAsia="ArialNarrow" w:cstheme="minorHAnsi"/>
          <w:i/>
          <w:color w:val="ABABAB" w:themeColor="text1" w:themeTint="A6"/>
          <w:sz w:val="16"/>
          <w:szCs w:val="16"/>
        </w:rPr>
        <w:t xml:space="preserve">; travanj 2017; svibanj 2019., </w:t>
      </w:r>
      <w:bookmarkEnd w:id="86"/>
      <w:r w:rsidR="0093459F" w:rsidRPr="001077FE">
        <w:rPr>
          <w:rFonts w:eastAsia="ArialNarrow" w:cstheme="minorHAnsi"/>
          <w:i/>
          <w:color w:val="ABABAB" w:themeColor="text1" w:themeTint="A6"/>
          <w:sz w:val="16"/>
          <w:szCs w:val="16"/>
        </w:rPr>
        <w:t>Hrvatski zavod za javno zdravstvo</w:t>
      </w:r>
      <w:bookmarkEnd w:id="85"/>
    </w:p>
    <w:p w14:paraId="43D9AE51" w14:textId="77777777" w:rsidR="00E71D20" w:rsidRDefault="00E71D20" w:rsidP="003C2276">
      <w:pPr>
        <w:pStyle w:val="Izvor"/>
      </w:pPr>
    </w:p>
    <w:bookmarkEnd w:id="84"/>
    <w:p w14:paraId="2CC10966" w14:textId="3F645C98" w:rsidR="00E71D20" w:rsidRDefault="00E71D20" w:rsidP="00912211">
      <w:pPr>
        <w:autoSpaceDE w:val="0"/>
        <w:autoSpaceDN w:val="0"/>
        <w:adjustRightInd w:val="0"/>
        <w:spacing w:after="0" w:line="240" w:lineRule="auto"/>
        <w:rPr>
          <w:rFonts w:eastAsia="ArialNarrow" w:cstheme="minorHAnsi"/>
          <w:szCs w:val="20"/>
        </w:rPr>
      </w:pPr>
      <w:r w:rsidRPr="00912211">
        <w:rPr>
          <w:rFonts w:eastAsia="ArialNarrow" w:cstheme="minorHAnsi"/>
          <w:szCs w:val="20"/>
        </w:rPr>
        <w:t>Ukoliko se razmotri koliki je udio osoba s invaliditetom u ukupnom stanovni</w:t>
      </w:r>
      <w:r w:rsidRPr="00912211">
        <w:rPr>
          <w:rFonts w:eastAsia="ArialNarrow" w:cstheme="minorHAnsi" w:hint="eastAsia"/>
          <w:szCs w:val="20"/>
        </w:rPr>
        <w:t>š</w:t>
      </w:r>
      <w:r w:rsidRPr="00912211">
        <w:rPr>
          <w:rFonts w:eastAsia="ArialNarrow" w:cstheme="minorHAnsi"/>
          <w:szCs w:val="20"/>
        </w:rPr>
        <w:t xml:space="preserve">tvu </w:t>
      </w:r>
      <w:r w:rsidRPr="00912211">
        <w:rPr>
          <w:rFonts w:eastAsia="ArialNarrow" w:cstheme="minorHAnsi" w:hint="eastAsia"/>
          <w:szCs w:val="20"/>
        </w:rPr>
        <w:t>ž</w:t>
      </w:r>
      <w:r w:rsidRPr="00912211">
        <w:rPr>
          <w:rFonts w:eastAsia="ArialNarrow" w:cstheme="minorHAnsi"/>
          <w:szCs w:val="20"/>
        </w:rPr>
        <w:t>upanije, prema navedenim dobnim skupinama, dolazi</w:t>
      </w:r>
      <w:r w:rsidR="00ED288C" w:rsidRPr="00912211">
        <w:rPr>
          <w:rFonts w:eastAsia="ArialNarrow" w:cstheme="minorHAnsi"/>
          <w:szCs w:val="20"/>
        </w:rPr>
        <w:t xml:space="preserve"> se</w:t>
      </w:r>
      <w:r w:rsidRPr="00912211">
        <w:rPr>
          <w:rFonts w:eastAsia="ArialNarrow" w:cstheme="minorHAnsi"/>
          <w:szCs w:val="20"/>
        </w:rPr>
        <w:t xml:space="preserve"> do podatka da je u Krapinsko-zagorskoj </w:t>
      </w:r>
      <w:r w:rsidRPr="00912211">
        <w:rPr>
          <w:rFonts w:eastAsia="ArialNarrow" w:cstheme="minorHAnsi" w:hint="eastAsia"/>
          <w:szCs w:val="20"/>
        </w:rPr>
        <w:t>ž</w:t>
      </w:r>
      <w:r w:rsidRPr="00912211">
        <w:rPr>
          <w:rFonts w:eastAsia="ArialNarrow" w:cstheme="minorHAnsi"/>
          <w:szCs w:val="20"/>
        </w:rPr>
        <w:t>upaniji najve</w:t>
      </w:r>
      <w:r w:rsidRPr="00912211">
        <w:rPr>
          <w:rFonts w:eastAsia="ArialNarrow" w:cstheme="minorHAnsi" w:hint="eastAsia"/>
          <w:szCs w:val="20"/>
        </w:rPr>
        <w:t>ć</w:t>
      </w:r>
      <w:r w:rsidRPr="00912211">
        <w:rPr>
          <w:rFonts w:eastAsia="ArialNarrow" w:cstheme="minorHAnsi"/>
          <w:szCs w:val="20"/>
        </w:rPr>
        <w:t>a prevalencija invaliditeta u RH</w:t>
      </w:r>
      <w:r w:rsidR="00ED288C" w:rsidRPr="00912211">
        <w:rPr>
          <w:rFonts w:eastAsia="ArialNarrow" w:cstheme="minorHAnsi"/>
          <w:szCs w:val="20"/>
        </w:rPr>
        <w:t xml:space="preserve"> (14,9). Prema dobnim skupinama n</w:t>
      </w:r>
      <w:r w:rsidRPr="00912211">
        <w:rPr>
          <w:rFonts w:eastAsia="ArialNarrow" w:cstheme="minorHAnsi"/>
          <w:szCs w:val="20"/>
        </w:rPr>
        <w:t>ajvi</w:t>
      </w:r>
      <w:r w:rsidRPr="00912211">
        <w:rPr>
          <w:rFonts w:eastAsia="ArialNarrow" w:cstheme="minorHAnsi" w:hint="eastAsia"/>
          <w:szCs w:val="20"/>
        </w:rPr>
        <w:t>š</w:t>
      </w:r>
      <w:r w:rsidRPr="00912211">
        <w:rPr>
          <w:rFonts w:eastAsia="ArialNarrow" w:cstheme="minorHAnsi"/>
          <w:szCs w:val="20"/>
        </w:rPr>
        <w:t>a prevalencija u dje</w:t>
      </w:r>
      <w:r w:rsidRPr="00912211">
        <w:rPr>
          <w:rFonts w:eastAsia="ArialNarrow" w:cstheme="minorHAnsi" w:hint="eastAsia"/>
          <w:szCs w:val="20"/>
        </w:rPr>
        <w:t>č</w:t>
      </w:r>
      <w:r w:rsidRPr="00912211">
        <w:rPr>
          <w:rFonts w:eastAsia="ArialNarrow" w:cstheme="minorHAnsi"/>
          <w:szCs w:val="20"/>
        </w:rPr>
        <w:t xml:space="preserve">joj dobi </w:t>
      </w:r>
      <w:r w:rsidR="00ED288C" w:rsidRPr="00912211">
        <w:rPr>
          <w:rFonts w:eastAsia="ArialNarrow" w:cstheme="minorHAnsi"/>
          <w:szCs w:val="20"/>
        </w:rPr>
        <w:t xml:space="preserve">je </w:t>
      </w:r>
      <w:r w:rsidRPr="00912211">
        <w:rPr>
          <w:rFonts w:eastAsia="ArialNarrow" w:cstheme="minorHAnsi"/>
          <w:szCs w:val="20"/>
        </w:rPr>
        <w:t>u Koprivni</w:t>
      </w:r>
      <w:r w:rsidRPr="00912211">
        <w:rPr>
          <w:rFonts w:eastAsia="ArialNarrow" w:cstheme="minorHAnsi" w:hint="eastAsia"/>
          <w:szCs w:val="20"/>
        </w:rPr>
        <w:t>č</w:t>
      </w:r>
      <w:r w:rsidRPr="00912211">
        <w:rPr>
          <w:rFonts w:eastAsia="ArialNarrow" w:cstheme="minorHAnsi"/>
          <w:szCs w:val="20"/>
        </w:rPr>
        <w:t>ko-kri</w:t>
      </w:r>
      <w:r w:rsidRPr="00912211">
        <w:rPr>
          <w:rFonts w:eastAsia="ArialNarrow" w:cstheme="minorHAnsi" w:hint="eastAsia"/>
          <w:szCs w:val="20"/>
        </w:rPr>
        <w:t>ž</w:t>
      </w:r>
      <w:r w:rsidRPr="00912211">
        <w:rPr>
          <w:rFonts w:eastAsia="ArialNarrow" w:cstheme="minorHAnsi"/>
          <w:szCs w:val="20"/>
        </w:rPr>
        <w:t>eva</w:t>
      </w:r>
      <w:r w:rsidRPr="00912211">
        <w:rPr>
          <w:rFonts w:eastAsia="ArialNarrow" w:cstheme="minorHAnsi" w:hint="eastAsia"/>
          <w:szCs w:val="20"/>
        </w:rPr>
        <w:t>č</w:t>
      </w:r>
      <w:r w:rsidRPr="00912211">
        <w:rPr>
          <w:rFonts w:eastAsia="ArialNarrow" w:cstheme="minorHAnsi"/>
          <w:szCs w:val="20"/>
        </w:rPr>
        <w:t xml:space="preserve">koj </w:t>
      </w:r>
      <w:r w:rsidRPr="00912211">
        <w:rPr>
          <w:rFonts w:eastAsia="ArialNarrow" w:cstheme="minorHAnsi" w:hint="eastAsia"/>
          <w:szCs w:val="20"/>
        </w:rPr>
        <w:t>ž</w:t>
      </w:r>
      <w:r w:rsidRPr="00912211">
        <w:rPr>
          <w:rFonts w:eastAsia="ArialNarrow" w:cstheme="minorHAnsi"/>
          <w:szCs w:val="20"/>
        </w:rPr>
        <w:t>upaniji, dok je u Krapinsko-</w:t>
      </w:r>
      <w:r w:rsidR="00ED288C" w:rsidRPr="00912211">
        <w:rPr>
          <w:rFonts w:eastAsia="ArialNarrow" w:cstheme="minorHAnsi"/>
          <w:szCs w:val="20"/>
        </w:rPr>
        <w:t>z</w:t>
      </w:r>
      <w:r w:rsidRPr="00912211">
        <w:rPr>
          <w:rFonts w:eastAsia="ArialNarrow" w:cstheme="minorHAnsi"/>
          <w:szCs w:val="20"/>
        </w:rPr>
        <w:t xml:space="preserve">agorskoj </w:t>
      </w:r>
      <w:r w:rsidRPr="00912211">
        <w:rPr>
          <w:rFonts w:eastAsia="ArialNarrow" w:cstheme="minorHAnsi" w:hint="eastAsia"/>
          <w:szCs w:val="20"/>
        </w:rPr>
        <w:t>ž</w:t>
      </w:r>
      <w:r w:rsidRPr="00912211">
        <w:rPr>
          <w:rFonts w:eastAsia="ArialNarrow" w:cstheme="minorHAnsi"/>
          <w:szCs w:val="20"/>
        </w:rPr>
        <w:t>upaniji najve</w:t>
      </w:r>
      <w:r w:rsidRPr="00912211">
        <w:rPr>
          <w:rFonts w:eastAsia="ArialNarrow" w:cstheme="minorHAnsi" w:hint="eastAsia"/>
          <w:szCs w:val="20"/>
        </w:rPr>
        <w:t>ć</w:t>
      </w:r>
      <w:r w:rsidRPr="00912211">
        <w:rPr>
          <w:rFonts w:eastAsia="ArialNarrow" w:cstheme="minorHAnsi"/>
          <w:szCs w:val="20"/>
        </w:rPr>
        <w:t>a u radno aktivnoj i dobi iznad 65 godina (</w:t>
      </w:r>
      <w:r w:rsidR="00ED288C" w:rsidRPr="00912211">
        <w:rPr>
          <w:rFonts w:eastAsia="ArialNarrow" w:cstheme="minorHAnsi"/>
          <w:szCs w:val="20"/>
        </w:rPr>
        <w:t>T</w:t>
      </w:r>
      <w:r w:rsidRPr="00912211">
        <w:rPr>
          <w:rFonts w:eastAsia="ArialNarrow" w:cstheme="minorHAnsi"/>
          <w:szCs w:val="20"/>
        </w:rPr>
        <w:t>ablica 2</w:t>
      </w:r>
      <w:r w:rsidR="00ED288C" w:rsidRPr="00912211">
        <w:rPr>
          <w:rFonts w:eastAsia="ArialNarrow" w:cstheme="minorHAnsi"/>
          <w:szCs w:val="20"/>
        </w:rPr>
        <w:t>6</w:t>
      </w:r>
      <w:r w:rsidRPr="00912211">
        <w:rPr>
          <w:rFonts w:eastAsia="ArialNarrow" w:cstheme="minorHAnsi"/>
          <w:szCs w:val="20"/>
        </w:rPr>
        <w:t>).</w:t>
      </w:r>
    </w:p>
    <w:p w14:paraId="08410AF7" w14:textId="77777777" w:rsidR="000D5E3F" w:rsidRPr="00912211" w:rsidRDefault="000D5E3F" w:rsidP="00912211">
      <w:pPr>
        <w:autoSpaceDE w:val="0"/>
        <w:autoSpaceDN w:val="0"/>
        <w:adjustRightInd w:val="0"/>
        <w:spacing w:after="0" w:line="240" w:lineRule="auto"/>
        <w:rPr>
          <w:rFonts w:eastAsia="ArialNarrow" w:cstheme="minorHAnsi"/>
          <w:szCs w:val="20"/>
        </w:rPr>
      </w:pPr>
    </w:p>
    <w:p w14:paraId="37F4F9E4" w14:textId="26BEE25C" w:rsidR="0093459F" w:rsidRDefault="0093459F" w:rsidP="003E3F3C">
      <w:pPr>
        <w:pStyle w:val="Opisslike"/>
      </w:pPr>
      <w:r w:rsidRPr="0093459F">
        <w:t xml:space="preserve">Tablica </w:t>
      </w:r>
      <w:r w:rsidR="0018019C">
        <w:t>3</w:t>
      </w:r>
      <w:r w:rsidR="009A6A08">
        <w:t>1</w:t>
      </w:r>
      <w:r w:rsidRPr="007F5A97">
        <w:t xml:space="preserve">. </w:t>
      </w:r>
      <w:r w:rsidR="00704B4D" w:rsidRPr="00704B4D">
        <w:t>Prikaz udjela osoba s invaliditetom u ukupnom stanovni</w:t>
      </w:r>
      <w:r w:rsidR="00704B4D" w:rsidRPr="00704B4D">
        <w:rPr>
          <w:rFonts w:hint="eastAsia"/>
        </w:rPr>
        <w:t>š</w:t>
      </w:r>
      <w:r w:rsidR="00704B4D" w:rsidRPr="00704B4D">
        <w:t xml:space="preserve">tvu </w:t>
      </w:r>
      <w:r w:rsidR="00704B4D" w:rsidRPr="00704B4D">
        <w:rPr>
          <w:rFonts w:hint="eastAsia"/>
        </w:rPr>
        <w:t>ž</w:t>
      </w:r>
      <w:r w:rsidR="00704B4D" w:rsidRPr="00704B4D">
        <w:t>upanije te u pojedinim dobnim skupinama -prevalencija invaliditeta na 100 stanovnika</w:t>
      </w:r>
    </w:p>
    <w:tbl>
      <w:tblPr>
        <w:tblStyle w:val="Tablicareetke4-isticanje3"/>
        <w:tblW w:w="9363" w:type="dxa"/>
        <w:tblLook w:val="04A0" w:firstRow="1" w:lastRow="0" w:firstColumn="1" w:lastColumn="0" w:noHBand="0" w:noVBand="1"/>
      </w:tblPr>
      <w:tblGrid>
        <w:gridCol w:w="3034"/>
        <w:gridCol w:w="1561"/>
        <w:gridCol w:w="1626"/>
        <w:gridCol w:w="1516"/>
        <w:gridCol w:w="1626"/>
      </w:tblGrid>
      <w:tr w:rsidR="009F16B7" w:rsidRPr="009F16B7" w14:paraId="5A51A589" w14:textId="77777777" w:rsidTr="008358D5">
        <w:trPr>
          <w:cnfStyle w:val="100000000000" w:firstRow="1" w:lastRow="0" w:firstColumn="0" w:lastColumn="0" w:oddVBand="0" w:evenVBand="0" w:oddHBand="0" w:evenHBand="0" w:firstRowFirstColumn="0" w:firstRowLastColumn="0" w:lastRowFirstColumn="0" w:lastRowLastColumn="0"/>
          <w:trHeight w:val="986"/>
        </w:trPr>
        <w:tc>
          <w:tcPr>
            <w:cnfStyle w:val="001000000000" w:firstRow="0" w:lastRow="0" w:firstColumn="1" w:lastColumn="0" w:oddVBand="0" w:evenVBand="0" w:oddHBand="0" w:evenHBand="0" w:firstRowFirstColumn="0" w:firstRowLastColumn="0" w:lastRowFirstColumn="0" w:lastRowLastColumn="0"/>
            <w:tcW w:w="3034" w:type="dxa"/>
            <w:shd w:val="clear" w:color="auto" w:fill="C00000"/>
            <w:noWrap/>
            <w:vAlign w:val="center"/>
            <w:hideMark/>
          </w:tcPr>
          <w:p w14:paraId="5E74EBA2" w14:textId="184AE7F7" w:rsidR="009F16B7" w:rsidRPr="00056887" w:rsidRDefault="00B526C8" w:rsidP="00B526C8">
            <w:pPr>
              <w:jc w:val="center"/>
              <w:rPr>
                <w:rFonts w:eastAsia="Times New Roman" w:cstheme="minorHAnsi"/>
                <w:color w:val="FFFFFF"/>
                <w:lang w:val="en-US"/>
              </w:rPr>
            </w:pPr>
            <w:r w:rsidRPr="00056887">
              <w:rPr>
                <w:rFonts w:eastAsia="Times New Roman" w:cstheme="minorHAnsi"/>
                <w:color w:val="FFFFFF"/>
                <w:lang w:val="en-US"/>
              </w:rPr>
              <w:t>ŽUPANIJA</w:t>
            </w:r>
          </w:p>
        </w:tc>
        <w:tc>
          <w:tcPr>
            <w:tcW w:w="1561" w:type="dxa"/>
            <w:shd w:val="clear" w:color="auto" w:fill="C00000"/>
            <w:vAlign w:val="center"/>
            <w:hideMark/>
          </w:tcPr>
          <w:p w14:paraId="46808FCD" w14:textId="77777777" w:rsidR="009F16B7" w:rsidRPr="00056887" w:rsidRDefault="009F16B7" w:rsidP="00B526C8">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lang w:val="en-US"/>
              </w:rPr>
            </w:pPr>
            <w:r w:rsidRPr="00056887">
              <w:rPr>
                <w:rFonts w:eastAsia="Times New Roman" w:cstheme="minorHAnsi"/>
                <w:color w:val="FFFFFF"/>
                <w:lang w:val="en-US"/>
              </w:rPr>
              <w:t>Prevalencija</w:t>
            </w:r>
            <w:r w:rsidRPr="00056887">
              <w:rPr>
                <w:rFonts w:eastAsia="Times New Roman" w:cstheme="minorHAnsi"/>
                <w:color w:val="FFFFFF"/>
                <w:lang w:val="en-US"/>
              </w:rPr>
              <w:br/>
              <w:t>invaliditeta (%)</w:t>
            </w:r>
          </w:p>
        </w:tc>
        <w:tc>
          <w:tcPr>
            <w:tcW w:w="1626" w:type="dxa"/>
            <w:shd w:val="clear" w:color="auto" w:fill="C00000"/>
            <w:vAlign w:val="center"/>
            <w:hideMark/>
          </w:tcPr>
          <w:p w14:paraId="4D197F2B" w14:textId="77777777" w:rsidR="009F16B7" w:rsidRPr="00056887" w:rsidRDefault="009F16B7" w:rsidP="00B526C8">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lang w:val="en-US"/>
              </w:rPr>
            </w:pPr>
            <w:r w:rsidRPr="00056887">
              <w:rPr>
                <w:rFonts w:eastAsia="Times New Roman" w:cstheme="minorHAnsi"/>
                <w:color w:val="FFFFFF"/>
                <w:lang w:val="en-US"/>
              </w:rPr>
              <w:t>Prevalencija</w:t>
            </w:r>
            <w:r w:rsidRPr="00056887">
              <w:rPr>
                <w:rFonts w:eastAsia="Times New Roman" w:cstheme="minorHAnsi"/>
                <w:color w:val="FFFFFF"/>
                <w:lang w:val="en-US"/>
              </w:rPr>
              <w:br/>
              <w:t>invaliditeta u dobnoj skupini</w:t>
            </w:r>
            <w:r w:rsidRPr="00056887">
              <w:rPr>
                <w:rFonts w:eastAsia="Times New Roman" w:cstheme="minorHAnsi"/>
                <w:color w:val="FFFFFF"/>
                <w:lang w:val="en-US"/>
              </w:rPr>
              <w:br/>
              <w:t>0-19 (%)</w:t>
            </w:r>
          </w:p>
        </w:tc>
        <w:tc>
          <w:tcPr>
            <w:tcW w:w="1516" w:type="dxa"/>
            <w:shd w:val="clear" w:color="auto" w:fill="C00000"/>
            <w:vAlign w:val="center"/>
            <w:hideMark/>
          </w:tcPr>
          <w:p w14:paraId="66306A56" w14:textId="77777777" w:rsidR="009F16B7" w:rsidRPr="00056887" w:rsidRDefault="009F16B7" w:rsidP="00B526C8">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lang w:val="en-US"/>
              </w:rPr>
            </w:pPr>
            <w:r w:rsidRPr="00056887">
              <w:rPr>
                <w:rFonts w:eastAsia="Times New Roman" w:cstheme="minorHAnsi"/>
                <w:color w:val="FFFFFF"/>
                <w:lang w:val="en-US"/>
              </w:rPr>
              <w:t>Prevalencija</w:t>
            </w:r>
            <w:r w:rsidRPr="00056887">
              <w:rPr>
                <w:rFonts w:eastAsia="Times New Roman" w:cstheme="minorHAnsi"/>
                <w:color w:val="FFFFFF"/>
                <w:lang w:val="en-US"/>
              </w:rPr>
              <w:br/>
              <w:t>invaliditeta u dobnoj skupini</w:t>
            </w:r>
            <w:r w:rsidRPr="00056887">
              <w:rPr>
                <w:rFonts w:eastAsia="Times New Roman" w:cstheme="minorHAnsi"/>
                <w:color w:val="FFFFFF"/>
                <w:lang w:val="en-US"/>
              </w:rPr>
              <w:br/>
              <w:t>20-64 (%)</w:t>
            </w:r>
          </w:p>
        </w:tc>
        <w:tc>
          <w:tcPr>
            <w:tcW w:w="1626" w:type="dxa"/>
            <w:shd w:val="clear" w:color="auto" w:fill="C00000"/>
            <w:vAlign w:val="center"/>
            <w:hideMark/>
          </w:tcPr>
          <w:p w14:paraId="6A6C5DA6" w14:textId="4582AFA8" w:rsidR="009F16B7" w:rsidRPr="00056887" w:rsidRDefault="009F16B7" w:rsidP="00B526C8">
            <w:pPr>
              <w:jc w:val="center"/>
              <w:cnfStyle w:val="100000000000" w:firstRow="1" w:lastRow="0" w:firstColumn="0" w:lastColumn="0" w:oddVBand="0" w:evenVBand="0" w:oddHBand="0" w:evenHBand="0" w:firstRowFirstColumn="0" w:firstRowLastColumn="0" w:lastRowFirstColumn="0" w:lastRowLastColumn="0"/>
              <w:rPr>
                <w:rFonts w:eastAsia="Times New Roman" w:cstheme="minorHAnsi"/>
                <w:color w:val="FFFFFF"/>
                <w:lang w:val="en-US"/>
              </w:rPr>
            </w:pPr>
            <w:r w:rsidRPr="00056887">
              <w:rPr>
                <w:rFonts w:eastAsia="Times New Roman" w:cstheme="minorHAnsi"/>
                <w:color w:val="FFFFFF"/>
                <w:lang w:val="en-US"/>
              </w:rPr>
              <w:t>Prevalencija</w:t>
            </w:r>
            <w:r w:rsidRPr="00056887">
              <w:rPr>
                <w:rFonts w:eastAsia="Times New Roman" w:cstheme="minorHAnsi"/>
                <w:color w:val="FFFFFF"/>
                <w:lang w:val="en-US"/>
              </w:rPr>
              <w:br/>
              <w:t>invaliditeta</w:t>
            </w:r>
            <w:r w:rsidR="00056887" w:rsidRPr="00056887">
              <w:rPr>
                <w:rFonts w:eastAsia="Times New Roman" w:cstheme="minorHAnsi"/>
                <w:color w:val="FFFFFF"/>
                <w:lang w:val="en-US"/>
              </w:rPr>
              <w:t xml:space="preserve"> </w:t>
            </w:r>
            <w:r w:rsidRPr="00056887">
              <w:rPr>
                <w:rFonts w:eastAsia="Times New Roman" w:cstheme="minorHAnsi"/>
                <w:color w:val="FFFFFF"/>
                <w:lang w:val="en-US"/>
              </w:rPr>
              <w:t>u dobnoj</w:t>
            </w:r>
            <w:r w:rsidRPr="00056887">
              <w:rPr>
                <w:rFonts w:eastAsia="Times New Roman" w:cstheme="minorHAnsi"/>
                <w:color w:val="FFFFFF"/>
                <w:lang w:val="en-US"/>
              </w:rPr>
              <w:br/>
              <w:t>skupini 65</w:t>
            </w:r>
            <w:proofErr w:type="gramStart"/>
            <w:r w:rsidRPr="00056887">
              <w:rPr>
                <w:rFonts w:eastAsia="Times New Roman" w:cstheme="minorHAnsi"/>
                <w:color w:val="FFFFFF"/>
                <w:lang w:val="en-US"/>
              </w:rPr>
              <w:t>+(</w:t>
            </w:r>
            <w:proofErr w:type="gramEnd"/>
            <w:r w:rsidRPr="00056887">
              <w:rPr>
                <w:rFonts w:eastAsia="Times New Roman" w:cstheme="minorHAnsi"/>
                <w:color w:val="FFFFFF"/>
                <w:lang w:val="en-US"/>
              </w:rPr>
              <w:t>%)</w:t>
            </w:r>
          </w:p>
        </w:tc>
      </w:tr>
      <w:tr w:rsidR="00B526C8" w:rsidRPr="009F16B7" w14:paraId="04C46DD5"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shd w:val="clear" w:color="auto" w:fill="EFA4A7" w:themeFill="accent1" w:themeFillTint="66"/>
            <w:noWrap/>
            <w:hideMark/>
          </w:tcPr>
          <w:p w14:paraId="094858C2" w14:textId="77777777" w:rsidR="009F16B7" w:rsidRPr="00B526C8" w:rsidRDefault="009F16B7">
            <w:pPr>
              <w:jc w:val="left"/>
            </w:pPr>
            <w:r w:rsidRPr="00B526C8">
              <w:t>KRAPINSKO-ZAGORSKA</w:t>
            </w:r>
          </w:p>
        </w:tc>
        <w:tc>
          <w:tcPr>
            <w:tcW w:w="1561" w:type="dxa"/>
            <w:shd w:val="clear" w:color="auto" w:fill="EFA4A7" w:themeFill="accent1" w:themeFillTint="66"/>
            <w:noWrap/>
            <w:hideMark/>
          </w:tcPr>
          <w:p w14:paraId="3781B1BD" w14:textId="7276C717"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14,9</w:t>
            </w:r>
          </w:p>
        </w:tc>
        <w:tc>
          <w:tcPr>
            <w:tcW w:w="1626" w:type="dxa"/>
            <w:shd w:val="clear" w:color="auto" w:fill="EFA4A7" w:themeFill="accent1" w:themeFillTint="66"/>
            <w:noWrap/>
            <w:hideMark/>
          </w:tcPr>
          <w:p w14:paraId="058C8065" w14:textId="379454D1"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7,0</w:t>
            </w:r>
          </w:p>
        </w:tc>
        <w:tc>
          <w:tcPr>
            <w:tcW w:w="1516" w:type="dxa"/>
            <w:shd w:val="clear" w:color="auto" w:fill="EFA4A7" w:themeFill="accent1" w:themeFillTint="66"/>
            <w:noWrap/>
            <w:hideMark/>
          </w:tcPr>
          <w:p w14:paraId="7A266945" w14:textId="14237675"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10,3</w:t>
            </w:r>
          </w:p>
        </w:tc>
        <w:tc>
          <w:tcPr>
            <w:tcW w:w="1626" w:type="dxa"/>
            <w:shd w:val="clear" w:color="auto" w:fill="EFA4A7" w:themeFill="accent1" w:themeFillTint="66"/>
            <w:noWrap/>
            <w:hideMark/>
          </w:tcPr>
          <w:p w14:paraId="2EA18051" w14:textId="2DA82D8E"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38,0</w:t>
            </w:r>
          </w:p>
        </w:tc>
      </w:tr>
      <w:tr w:rsidR="009F16B7" w:rsidRPr="009F16B7" w14:paraId="05B83446"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7EB64603" w14:textId="77777777" w:rsidR="009F16B7" w:rsidRPr="00B526C8" w:rsidRDefault="009F16B7" w:rsidP="009F16B7">
            <w:pPr>
              <w:jc w:val="left"/>
              <w:rPr>
                <w:b w:val="0"/>
                <w:bCs w:val="0"/>
              </w:rPr>
            </w:pPr>
            <w:r w:rsidRPr="00B526C8">
              <w:rPr>
                <w:b w:val="0"/>
                <w:bCs w:val="0"/>
              </w:rPr>
              <w:t>KOPRIVNIČKO-KRIŽEVAČKA</w:t>
            </w:r>
          </w:p>
        </w:tc>
        <w:tc>
          <w:tcPr>
            <w:tcW w:w="1561" w:type="dxa"/>
            <w:noWrap/>
            <w:hideMark/>
          </w:tcPr>
          <w:p w14:paraId="31A8E5CA" w14:textId="404B5B7D"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14,0</w:t>
            </w:r>
          </w:p>
        </w:tc>
        <w:tc>
          <w:tcPr>
            <w:tcW w:w="1626" w:type="dxa"/>
            <w:noWrap/>
            <w:hideMark/>
          </w:tcPr>
          <w:p w14:paraId="3784443C" w14:textId="321A1EA6"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10,8</w:t>
            </w:r>
          </w:p>
        </w:tc>
        <w:tc>
          <w:tcPr>
            <w:tcW w:w="1516" w:type="dxa"/>
            <w:noWrap/>
            <w:hideMark/>
          </w:tcPr>
          <w:p w14:paraId="683A8112" w14:textId="30F34E48"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9,3</w:t>
            </w:r>
          </w:p>
        </w:tc>
        <w:tc>
          <w:tcPr>
            <w:tcW w:w="1626" w:type="dxa"/>
            <w:noWrap/>
            <w:hideMark/>
          </w:tcPr>
          <w:p w14:paraId="27767020" w14:textId="06354003"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32,0</w:t>
            </w:r>
          </w:p>
        </w:tc>
      </w:tr>
      <w:tr w:rsidR="009F16B7" w:rsidRPr="009F16B7" w14:paraId="3E2E8C71"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06BA2133" w14:textId="77777777" w:rsidR="009F16B7" w:rsidRPr="00B526C8" w:rsidRDefault="009F16B7" w:rsidP="009F16B7">
            <w:pPr>
              <w:jc w:val="left"/>
              <w:rPr>
                <w:b w:val="0"/>
                <w:bCs w:val="0"/>
              </w:rPr>
            </w:pPr>
            <w:r w:rsidRPr="00B526C8">
              <w:rPr>
                <w:b w:val="0"/>
                <w:bCs w:val="0"/>
              </w:rPr>
              <w:t>KARLOVAČKA</w:t>
            </w:r>
          </w:p>
        </w:tc>
        <w:tc>
          <w:tcPr>
            <w:tcW w:w="1561" w:type="dxa"/>
            <w:noWrap/>
            <w:hideMark/>
          </w:tcPr>
          <w:p w14:paraId="2D9844BF" w14:textId="72D7E4AA"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13,9</w:t>
            </w:r>
          </w:p>
        </w:tc>
        <w:tc>
          <w:tcPr>
            <w:tcW w:w="1626" w:type="dxa"/>
            <w:noWrap/>
            <w:hideMark/>
          </w:tcPr>
          <w:p w14:paraId="45921519" w14:textId="01C8DA59"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5,2</w:t>
            </w:r>
          </w:p>
        </w:tc>
        <w:tc>
          <w:tcPr>
            <w:tcW w:w="1516" w:type="dxa"/>
            <w:noWrap/>
            <w:hideMark/>
          </w:tcPr>
          <w:p w14:paraId="10404563" w14:textId="489EF619"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9,7</w:t>
            </w:r>
          </w:p>
        </w:tc>
        <w:tc>
          <w:tcPr>
            <w:tcW w:w="1626" w:type="dxa"/>
            <w:noWrap/>
            <w:hideMark/>
          </w:tcPr>
          <w:p w14:paraId="0CB2B09F" w14:textId="319731B7"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32,5</w:t>
            </w:r>
          </w:p>
        </w:tc>
      </w:tr>
      <w:tr w:rsidR="009F16B7" w:rsidRPr="009F16B7" w14:paraId="1DDFA8EB"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1ACEAC3C" w14:textId="77777777" w:rsidR="009F16B7" w:rsidRPr="00B526C8" w:rsidRDefault="009F16B7" w:rsidP="009F16B7">
            <w:pPr>
              <w:jc w:val="left"/>
              <w:rPr>
                <w:b w:val="0"/>
                <w:bCs w:val="0"/>
              </w:rPr>
            </w:pPr>
            <w:r w:rsidRPr="00B526C8">
              <w:rPr>
                <w:b w:val="0"/>
                <w:bCs w:val="0"/>
              </w:rPr>
              <w:t>VARAŽDINSKA</w:t>
            </w:r>
          </w:p>
        </w:tc>
        <w:tc>
          <w:tcPr>
            <w:tcW w:w="1561" w:type="dxa"/>
            <w:noWrap/>
            <w:hideMark/>
          </w:tcPr>
          <w:p w14:paraId="05B243D4" w14:textId="183F8259"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13,7</w:t>
            </w:r>
          </w:p>
        </w:tc>
        <w:tc>
          <w:tcPr>
            <w:tcW w:w="1626" w:type="dxa"/>
            <w:noWrap/>
            <w:hideMark/>
          </w:tcPr>
          <w:p w14:paraId="22E0E12D" w14:textId="2FFB365C"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6,0</w:t>
            </w:r>
          </w:p>
        </w:tc>
        <w:tc>
          <w:tcPr>
            <w:tcW w:w="1516" w:type="dxa"/>
            <w:noWrap/>
            <w:hideMark/>
          </w:tcPr>
          <w:p w14:paraId="282B47ED" w14:textId="3037AA0B"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8,9</w:t>
            </w:r>
          </w:p>
        </w:tc>
        <w:tc>
          <w:tcPr>
            <w:tcW w:w="1626" w:type="dxa"/>
            <w:noWrap/>
            <w:hideMark/>
          </w:tcPr>
          <w:p w14:paraId="1F731B01" w14:textId="21A375F0"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37,9</w:t>
            </w:r>
          </w:p>
        </w:tc>
      </w:tr>
      <w:tr w:rsidR="009F16B7" w:rsidRPr="009F16B7" w14:paraId="56A0F565"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285FF1A6" w14:textId="77777777" w:rsidR="009F16B7" w:rsidRPr="00B526C8" w:rsidRDefault="009F16B7" w:rsidP="009F16B7">
            <w:pPr>
              <w:jc w:val="left"/>
              <w:rPr>
                <w:b w:val="0"/>
                <w:bCs w:val="0"/>
              </w:rPr>
            </w:pPr>
            <w:r w:rsidRPr="00B526C8">
              <w:rPr>
                <w:b w:val="0"/>
                <w:bCs w:val="0"/>
              </w:rPr>
              <w:t>SISAČKO-MOSLAVAČKA</w:t>
            </w:r>
          </w:p>
        </w:tc>
        <w:tc>
          <w:tcPr>
            <w:tcW w:w="1561" w:type="dxa"/>
            <w:noWrap/>
            <w:hideMark/>
          </w:tcPr>
          <w:p w14:paraId="03C64294" w14:textId="4AD66980"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13,2</w:t>
            </w:r>
          </w:p>
        </w:tc>
        <w:tc>
          <w:tcPr>
            <w:tcW w:w="1626" w:type="dxa"/>
            <w:noWrap/>
            <w:hideMark/>
          </w:tcPr>
          <w:p w14:paraId="67F4D000" w14:textId="65A4F109"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7,7</w:t>
            </w:r>
          </w:p>
        </w:tc>
        <w:tc>
          <w:tcPr>
            <w:tcW w:w="1516" w:type="dxa"/>
            <w:noWrap/>
            <w:hideMark/>
          </w:tcPr>
          <w:p w14:paraId="35DC7E98" w14:textId="62AFD5FE"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9,6</w:t>
            </w:r>
          </w:p>
        </w:tc>
        <w:tc>
          <w:tcPr>
            <w:tcW w:w="1626" w:type="dxa"/>
            <w:noWrap/>
            <w:hideMark/>
          </w:tcPr>
          <w:p w14:paraId="66F16AF4" w14:textId="1C5F52B4"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27,7</w:t>
            </w:r>
          </w:p>
        </w:tc>
      </w:tr>
      <w:tr w:rsidR="009F16B7" w:rsidRPr="009F16B7" w14:paraId="78402261"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77F30CF6" w14:textId="77777777" w:rsidR="009F16B7" w:rsidRPr="00B526C8" w:rsidRDefault="009F16B7" w:rsidP="009F16B7">
            <w:pPr>
              <w:jc w:val="left"/>
              <w:rPr>
                <w:b w:val="0"/>
                <w:bCs w:val="0"/>
              </w:rPr>
            </w:pPr>
            <w:r w:rsidRPr="00B526C8">
              <w:rPr>
                <w:b w:val="0"/>
                <w:bCs w:val="0"/>
              </w:rPr>
              <w:t>BJELOVARSKO-BILOGORSKA</w:t>
            </w:r>
          </w:p>
        </w:tc>
        <w:tc>
          <w:tcPr>
            <w:tcW w:w="1561" w:type="dxa"/>
            <w:noWrap/>
            <w:hideMark/>
          </w:tcPr>
          <w:p w14:paraId="42454170" w14:textId="7A38C06F"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12,3</w:t>
            </w:r>
          </w:p>
        </w:tc>
        <w:tc>
          <w:tcPr>
            <w:tcW w:w="1626" w:type="dxa"/>
            <w:noWrap/>
            <w:hideMark/>
          </w:tcPr>
          <w:p w14:paraId="75EC3A21" w14:textId="4CDB9F14"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6,9</w:t>
            </w:r>
          </w:p>
        </w:tc>
        <w:tc>
          <w:tcPr>
            <w:tcW w:w="1516" w:type="dxa"/>
            <w:noWrap/>
            <w:hideMark/>
          </w:tcPr>
          <w:p w14:paraId="027EF908" w14:textId="0FB57EF0"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9,1</w:t>
            </w:r>
          </w:p>
        </w:tc>
        <w:tc>
          <w:tcPr>
            <w:tcW w:w="1626" w:type="dxa"/>
            <w:noWrap/>
            <w:hideMark/>
          </w:tcPr>
          <w:p w14:paraId="5C2450E4" w14:textId="406C5FAE"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27,2</w:t>
            </w:r>
          </w:p>
        </w:tc>
      </w:tr>
      <w:tr w:rsidR="009F16B7" w:rsidRPr="009F16B7" w14:paraId="4A2E957D"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4F73D521" w14:textId="77777777" w:rsidR="009F16B7" w:rsidRPr="00B526C8" w:rsidRDefault="009F16B7" w:rsidP="009F16B7">
            <w:pPr>
              <w:jc w:val="left"/>
              <w:rPr>
                <w:b w:val="0"/>
                <w:bCs w:val="0"/>
              </w:rPr>
            </w:pPr>
            <w:r w:rsidRPr="00B526C8">
              <w:rPr>
                <w:b w:val="0"/>
                <w:bCs w:val="0"/>
              </w:rPr>
              <w:t>SPLITSKO-DALMATINSKA</w:t>
            </w:r>
          </w:p>
        </w:tc>
        <w:tc>
          <w:tcPr>
            <w:tcW w:w="1561" w:type="dxa"/>
            <w:noWrap/>
            <w:hideMark/>
          </w:tcPr>
          <w:p w14:paraId="29C4306D" w14:textId="226CCE89"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11,3</w:t>
            </w:r>
          </w:p>
        </w:tc>
        <w:tc>
          <w:tcPr>
            <w:tcW w:w="1626" w:type="dxa"/>
            <w:noWrap/>
            <w:hideMark/>
          </w:tcPr>
          <w:p w14:paraId="66828C7A" w14:textId="784BEB5F"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4,7</w:t>
            </w:r>
          </w:p>
        </w:tc>
        <w:tc>
          <w:tcPr>
            <w:tcW w:w="1516" w:type="dxa"/>
            <w:noWrap/>
            <w:hideMark/>
          </w:tcPr>
          <w:p w14:paraId="39541E14" w14:textId="6EE4313F"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8,5</w:t>
            </w:r>
          </w:p>
        </w:tc>
        <w:tc>
          <w:tcPr>
            <w:tcW w:w="1626" w:type="dxa"/>
            <w:noWrap/>
            <w:hideMark/>
          </w:tcPr>
          <w:p w14:paraId="6B12C579" w14:textId="18B43CF1"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27,5</w:t>
            </w:r>
          </w:p>
        </w:tc>
      </w:tr>
      <w:tr w:rsidR="009F16B7" w:rsidRPr="009F16B7" w14:paraId="756CE749"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7829B0DA" w14:textId="77777777" w:rsidR="009F16B7" w:rsidRPr="00B526C8" w:rsidRDefault="009F16B7" w:rsidP="009F16B7">
            <w:pPr>
              <w:jc w:val="left"/>
              <w:rPr>
                <w:b w:val="0"/>
                <w:bCs w:val="0"/>
              </w:rPr>
            </w:pPr>
            <w:r w:rsidRPr="00B526C8">
              <w:rPr>
                <w:b w:val="0"/>
                <w:bCs w:val="0"/>
              </w:rPr>
              <w:t>POŽEŠKO-SLAVONSKA</w:t>
            </w:r>
          </w:p>
        </w:tc>
        <w:tc>
          <w:tcPr>
            <w:tcW w:w="1561" w:type="dxa"/>
            <w:noWrap/>
            <w:hideMark/>
          </w:tcPr>
          <w:p w14:paraId="7272903B" w14:textId="582BA25E"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11,3</w:t>
            </w:r>
          </w:p>
        </w:tc>
        <w:tc>
          <w:tcPr>
            <w:tcW w:w="1626" w:type="dxa"/>
            <w:noWrap/>
            <w:hideMark/>
          </w:tcPr>
          <w:p w14:paraId="30141D26" w14:textId="04382DAA"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4,6</w:t>
            </w:r>
          </w:p>
        </w:tc>
        <w:tc>
          <w:tcPr>
            <w:tcW w:w="1516" w:type="dxa"/>
            <w:noWrap/>
            <w:hideMark/>
          </w:tcPr>
          <w:p w14:paraId="0EAEFC12" w14:textId="3226FB31"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9,3</w:t>
            </w:r>
          </w:p>
        </w:tc>
        <w:tc>
          <w:tcPr>
            <w:tcW w:w="1626" w:type="dxa"/>
            <w:noWrap/>
            <w:hideMark/>
          </w:tcPr>
          <w:p w14:paraId="6A08FA08" w14:textId="3FB3E46D"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24,4</w:t>
            </w:r>
          </w:p>
        </w:tc>
      </w:tr>
      <w:tr w:rsidR="009F16B7" w:rsidRPr="009F16B7" w14:paraId="467B4499"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6DF1C850" w14:textId="77777777" w:rsidR="009F16B7" w:rsidRPr="00B526C8" w:rsidRDefault="009F16B7" w:rsidP="009F16B7">
            <w:pPr>
              <w:jc w:val="left"/>
              <w:rPr>
                <w:b w:val="0"/>
                <w:bCs w:val="0"/>
              </w:rPr>
            </w:pPr>
            <w:r w:rsidRPr="00B526C8">
              <w:rPr>
                <w:b w:val="0"/>
                <w:bCs w:val="0"/>
              </w:rPr>
              <w:t>GRAD ZAGREB</w:t>
            </w:r>
          </w:p>
        </w:tc>
        <w:tc>
          <w:tcPr>
            <w:tcW w:w="1561" w:type="dxa"/>
            <w:noWrap/>
            <w:hideMark/>
          </w:tcPr>
          <w:p w14:paraId="6F9E9B5F" w14:textId="57CDDCDC"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10,8</w:t>
            </w:r>
          </w:p>
        </w:tc>
        <w:tc>
          <w:tcPr>
            <w:tcW w:w="1626" w:type="dxa"/>
            <w:noWrap/>
            <w:hideMark/>
          </w:tcPr>
          <w:p w14:paraId="32BB8486" w14:textId="50B258DF"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5,5</w:t>
            </w:r>
          </w:p>
        </w:tc>
        <w:tc>
          <w:tcPr>
            <w:tcW w:w="1516" w:type="dxa"/>
            <w:noWrap/>
            <w:hideMark/>
          </w:tcPr>
          <w:p w14:paraId="5ED7C9A4" w14:textId="56F6BD09"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6,8</w:t>
            </w:r>
          </w:p>
        </w:tc>
        <w:tc>
          <w:tcPr>
            <w:tcW w:w="1626" w:type="dxa"/>
            <w:noWrap/>
            <w:hideMark/>
          </w:tcPr>
          <w:p w14:paraId="175F84ED" w14:textId="1CC46E4E"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29,0</w:t>
            </w:r>
          </w:p>
        </w:tc>
      </w:tr>
      <w:tr w:rsidR="009F16B7" w:rsidRPr="009F16B7" w14:paraId="3C2469A0"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02038CE2" w14:textId="77777777" w:rsidR="009F16B7" w:rsidRPr="00B526C8" w:rsidRDefault="009F16B7" w:rsidP="009F16B7">
            <w:pPr>
              <w:jc w:val="left"/>
              <w:rPr>
                <w:b w:val="0"/>
                <w:bCs w:val="0"/>
              </w:rPr>
            </w:pPr>
            <w:r w:rsidRPr="00B526C8">
              <w:rPr>
                <w:b w:val="0"/>
                <w:bCs w:val="0"/>
              </w:rPr>
              <w:t>ZAGREBAČKA</w:t>
            </w:r>
          </w:p>
        </w:tc>
        <w:tc>
          <w:tcPr>
            <w:tcW w:w="1561" w:type="dxa"/>
            <w:noWrap/>
            <w:hideMark/>
          </w:tcPr>
          <w:p w14:paraId="5D4071C6" w14:textId="34E08051"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10,7</w:t>
            </w:r>
          </w:p>
        </w:tc>
        <w:tc>
          <w:tcPr>
            <w:tcW w:w="1626" w:type="dxa"/>
            <w:noWrap/>
            <w:hideMark/>
          </w:tcPr>
          <w:p w14:paraId="0C599133" w14:textId="59E47359"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5,8</w:t>
            </w:r>
          </w:p>
        </w:tc>
        <w:tc>
          <w:tcPr>
            <w:tcW w:w="1516" w:type="dxa"/>
            <w:noWrap/>
            <w:hideMark/>
          </w:tcPr>
          <w:p w14:paraId="63241AF5" w14:textId="018710BF"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7,7</w:t>
            </w:r>
          </w:p>
        </w:tc>
        <w:tc>
          <w:tcPr>
            <w:tcW w:w="1626" w:type="dxa"/>
            <w:noWrap/>
            <w:hideMark/>
          </w:tcPr>
          <w:p w14:paraId="7B2B0324" w14:textId="298DFD53"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25,9</w:t>
            </w:r>
          </w:p>
        </w:tc>
      </w:tr>
      <w:tr w:rsidR="009F16B7" w:rsidRPr="009F16B7" w14:paraId="7B634AA0"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5BF4E82E" w14:textId="77777777" w:rsidR="009F16B7" w:rsidRPr="00B526C8" w:rsidRDefault="009F16B7" w:rsidP="009F16B7">
            <w:pPr>
              <w:jc w:val="left"/>
              <w:rPr>
                <w:b w:val="0"/>
                <w:bCs w:val="0"/>
              </w:rPr>
            </w:pPr>
            <w:r w:rsidRPr="00B526C8">
              <w:rPr>
                <w:b w:val="0"/>
                <w:bCs w:val="0"/>
              </w:rPr>
              <w:t>LIČKO-SENJSKA</w:t>
            </w:r>
          </w:p>
        </w:tc>
        <w:tc>
          <w:tcPr>
            <w:tcW w:w="1561" w:type="dxa"/>
            <w:noWrap/>
            <w:hideMark/>
          </w:tcPr>
          <w:p w14:paraId="5D7C0A5F" w14:textId="2DB493AF"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10,4</w:t>
            </w:r>
          </w:p>
        </w:tc>
        <w:tc>
          <w:tcPr>
            <w:tcW w:w="1626" w:type="dxa"/>
            <w:noWrap/>
            <w:hideMark/>
          </w:tcPr>
          <w:p w14:paraId="7AA6BA4C" w14:textId="1344D8FE"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4,6</w:t>
            </w:r>
          </w:p>
        </w:tc>
        <w:tc>
          <w:tcPr>
            <w:tcW w:w="1516" w:type="dxa"/>
            <w:noWrap/>
            <w:hideMark/>
          </w:tcPr>
          <w:p w14:paraId="6945E301" w14:textId="3D0B68DC"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8,4</w:t>
            </w:r>
          </w:p>
        </w:tc>
        <w:tc>
          <w:tcPr>
            <w:tcW w:w="1626" w:type="dxa"/>
            <w:noWrap/>
            <w:hideMark/>
          </w:tcPr>
          <w:p w14:paraId="39227EB2" w14:textId="0A437771"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19,3</w:t>
            </w:r>
          </w:p>
        </w:tc>
      </w:tr>
      <w:tr w:rsidR="009F16B7" w:rsidRPr="009F16B7" w14:paraId="734D6459"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2B32E5C5" w14:textId="77777777" w:rsidR="009F16B7" w:rsidRPr="00B526C8" w:rsidRDefault="009F16B7" w:rsidP="009F16B7">
            <w:pPr>
              <w:jc w:val="left"/>
              <w:rPr>
                <w:b w:val="0"/>
                <w:bCs w:val="0"/>
              </w:rPr>
            </w:pPr>
            <w:r w:rsidRPr="00B526C8">
              <w:rPr>
                <w:b w:val="0"/>
                <w:bCs w:val="0"/>
              </w:rPr>
              <w:t>VUKOVARSKO-SRIJEMSKA</w:t>
            </w:r>
          </w:p>
        </w:tc>
        <w:tc>
          <w:tcPr>
            <w:tcW w:w="1561" w:type="dxa"/>
            <w:noWrap/>
            <w:hideMark/>
          </w:tcPr>
          <w:p w14:paraId="5AA583F7" w14:textId="38AD3133"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10,3</w:t>
            </w:r>
          </w:p>
        </w:tc>
        <w:tc>
          <w:tcPr>
            <w:tcW w:w="1626" w:type="dxa"/>
            <w:noWrap/>
            <w:hideMark/>
          </w:tcPr>
          <w:p w14:paraId="1AC48CEC" w14:textId="16649CD6"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4,5</w:t>
            </w:r>
          </w:p>
        </w:tc>
        <w:tc>
          <w:tcPr>
            <w:tcW w:w="1516" w:type="dxa"/>
            <w:noWrap/>
            <w:hideMark/>
          </w:tcPr>
          <w:p w14:paraId="015F0CAF" w14:textId="42FB781C"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8,9</w:t>
            </w:r>
          </w:p>
        </w:tc>
        <w:tc>
          <w:tcPr>
            <w:tcW w:w="1626" w:type="dxa"/>
            <w:noWrap/>
            <w:hideMark/>
          </w:tcPr>
          <w:p w14:paraId="36764BF9" w14:textId="2ADC0EEA"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21,3</w:t>
            </w:r>
          </w:p>
        </w:tc>
      </w:tr>
      <w:tr w:rsidR="009F16B7" w:rsidRPr="009F16B7" w14:paraId="2C1DAABB"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7B0FAE47" w14:textId="77777777" w:rsidR="009F16B7" w:rsidRPr="00B526C8" w:rsidRDefault="009F16B7" w:rsidP="009F16B7">
            <w:pPr>
              <w:jc w:val="left"/>
              <w:rPr>
                <w:b w:val="0"/>
                <w:bCs w:val="0"/>
              </w:rPr>
            </w:pPr>
            <w:r w:rsidRPr="00B526C8">
              <w:rPr>
                <w:b w:val="0"/>
                <w:bCs w:val="0"/>
              </w:rPr>
              <w:t>ŠIBENSKO-KNINSKA</w:t>
            </w:r>
          </w:p>
        </w:tc>
        <w:tc>
          <w:tcPr>
            <w:tcW w:w="1561" w:type="dxa"/>
            <w:noWrap/>
            <w:hideMark/>
          </w:tcPr>
          <w:p w14:paraId="239DD50D" w14:textId="1254D511"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10,1</w:t>
            </w:r>
          </w:p>
        </w:tc>
        <w:tc>
          <w:tcPr>
            <w:tcW w:w="1626" w:type="dxa"/>
            <w:noWrap/>
            <w:hideMark/>
          </w:tcPr>
          <w:p w14:paraId="790325EA" w14:textId="3BBBB7A7"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5,1</w:t>
            </w:r>
          </w:p>
        </w:tc>
        <w:tc>
          <w:tcPr>
            <w:tcW w:w="1516" w:type="dxa"/>
            <w:noWrap/>
            <w:hideMark/>
          </w:tcPr>
          <w:p w14:paraId="08D28C2E" w14:textId="45307F45"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8,0</w:t>
            </w:r>
          </w:p>
        </w:tc>
        <w:tc>
          <w:tcPr>
            <w:tcW w:w="1626" w:type="dxa"/>
            <w:noWrap/>
            <w:hideMark/>
          </w:tcPr>
          <w:p w14:paraId="10587218" w14:textId="1C42A61C"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18,7</w:t>
            </w:r>
          </w:p>
        </w:tc>
      </w:tr>
      <w:tr w:rsidR="009F16B7" w:rsidRPr="009F16B7" w14:paraId="0F5B5B3E"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092BA1A0" w14:textId="77777777" w:rsidR="009F16B7" w:rsidRPr="00B526C8" w:rsidRDefault="009F16B7" w:rsidP="009F16B7">
            <w:pPr>
              <w:jc w:val="left"/>
              <w:rPr>
                <w:b w:val="0"/>
                <w:bCs w:val="0"/>
              </w:rPr>
            </w:pPr>
            <w:r w:rsidRPr="00B526C8">
              <w:rPr>
                <w:b w:val="0"/>
                <w:bCs w:val="0"/>
              </w:rPr>
              <w:t>VIROVITIČKO-PODRAVSKA</w:t>
            </w:r>
          </w:p>
        </w:tc>
        <w:tc>
          <w:tcPr>
            <w:tcW w:w="1561" w:type="dxa"/>
            <w:noWrap/>
            <w:hideMark/>
          </w:tcPr>
          <w:p w14:paraId="69E43ADC" w14:textId="037F6239"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10,0</w:t>
            </w:r>
          </w:p>
        </w:tc>
        <w:tc>
          <w:tcPr>
            <w:tcW w:w="1626" w:type="dxa"/>
            <w:noWrap/>
            <w:hideMark/>
          </w:tcPr>
          <w:p w14:paraId="73B2EB8D" w14:textId="6A658F9A"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3,4</w:t>
            </w:r>
          </w:p>
        </w:tc>
        <w:tc>
          <w:tcPr>
            <w:tcW w:w="1516" w:type="dxa"/>
            <w:noWrap/>
            <w:hideMark/>
          </w:tcPr>
          <w:p w14:paraId="32037410" w14:textId="1849F457"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8,6</w:t>
            </w:r>
          </w:p>
        </w:tc>
        <w:tc>
          <w:tcPr>
            <w:tcW w:w="1626" w:type="dxa"/>
            <w:noWrap/>
            <w:hideMark/>
          </w:tcPr>
          <w:p w14:paraId="49885CC2" w14:textId="7BE26712"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21,8</w:t>
            </w:r>
          </w:p>
        </w:tc>
      </w:tr>
      <w:tr w:rsidR="009F16B7" w:rsidRPr="009F16B7" w14:paraId="11BEBE2F"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3EC8080E" w14:textId="77777777" w:rsidR="009F16B7" w:rsidRPr="00B526C8" w:rsidRDefault="009F16B7" w:rsidP="009F16B7">
            <w:pPr>
              <w:jc w:val="left"/>
              <w:rPr>
                <w:b w:val="0"/>
                <w:bCs w:val="0"/>
              </w:rPr>
            </w:pPr>
            <w:r w:rsidRPr="00B526C8">
              <w:rPr>
                <w:b w:val="0"/>
                <w:bCs w:val="0"/>
              </w:rPr>
              <w:t>BRODSKO-POSAVSKA</w:t>
            </w:r>
          </w:p>
        </w:tc>
        <w:tc>
          <w:tcPr>
            <w:tcW w:w="1561" w:type="dxa"/>
            <w:noWrap/>
            <w:hideMark/>
          </w:tcPr>
          <w:p w14:paraId="1AE9D336" w14:textId="6CD4B7DF"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9,6</w:t>
            </w:r>
          </w:p>
        </w:tc>
        <w:tc>
          <w:tcPr>
            <w:tcW w:w="1626" w:type="dxa"/>
            <w:noWrap/>
            <w:hideMark/>
          </w:tcPr>
          <w:p w14:paraId="17587518" w14:textId="0CE0E4A7"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3,4</w:t>
            </w:r>
          </w:p>
        </w:tc>
        <w:tc>
          <w:tcPr>
            <w:tcW w:w="1516" w:type="dxa"/>
            <w:noWrap/>
            <w:hideMark/>
          </w:tcPr>
          <w:p w14:paraId="3790CF38" w14:textId="1755C9B9"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9,0</w:t>
            </w:r>
          </w:p>
        </w:tc>
        <w:tc>
          <w:tcPr>
            <w:tcW w:w="1626" w:type="dxa"/>
            <w:noWrap/>
            <w:hideMark/>
          </w:tcPr>
          <w:p w14:paraId="496A6558" w14:textId="23B8DB4D"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18,7</w:t>
            </w:r>
          </w:p>
        </w:tc>
      </w:tr>
      <w:tr w:rsidR="009F16B7" w:rsidRPr="009F16B7" w14:paraId="036C3D6A"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5D92C30D" w14:textId="77777777" w:rsidR="009F16B7" w:rsidRPr="00B526C8" w:rsidRDefault="009F16B7" w:rsidP="009F16B7">
            <w:pPr>
              <w:jc w:val="left"/>
              <w:rPr>
                <w:b w:val="0"/>
                <w:bCs w:val="0"/>
              </w:rPr>
            </w:pPr>
            <w:r w:rsidRPr="00B526C8">
              <w:rPr>
                <w:b w:val="0"/>
                <w:bCs w:val="0"/>
              </w:rPr>
              <w:t>ZADARSKA</w:t>
            </w:r>
          </w:p>
        </w:tc>
        <w:tc>
          <w:tcPr>
            <w:tcW w:w="1561" w:type="dxa"/>
            <w:noWrap/>
            <w:hideMark/>
          </w:tcPr>
          <w:p w14:paraId="6251A97B" w14:textId="3B735BB8"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8,5</w:t>
            </w:r>
          </w:p>
        </w:tc>
        <w:tc>
          <w:tcPr>
            <w:tcW w:w="1626" w:type="dxa"/>
            <w:noWrap/>
            <w:hideMark/>
          </w:tcPr>
          <w:p w14:paraId="71DFB2C4" w14:textId="63B75C04"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4,1</w:t>
            </w:r>
          </w:p>
        </w:tc>
        <w:tc>
          <w:tcPr>
            <w:tcW w:w="1516" w:type="dxa"/>
            <w:noWrap/>
            <w:hideMark/>
          </w:tcPr>
          <w:p w14:paraId="2DD9F64D" w14:textId="78C42069"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6,5</w:t>
            </w:r>
          </w:p>
        </w:tc>
        <w:tc>
          <w:tcPr>
            <w:tcW w:w="1626" w:type="dxa"/>
            <w:noWrap/>
            <w:hideMark/>
          </w:tcPr>
          <w:p w14:paraId="1DCAAD6F" w14:textId="061B1A41"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18,0</w:t>
            </w:r>
          </w:p>
        </w:tc>
      </w:tr>
      <w:tr w:rsidR="009F16B7" w:rsidRPr="009F16B7" w14:paraId="54B98875"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6A7CC6EC" w14:textId="77777777" w:rsidR="009F16B7" w:rsidRPr="00B526C8" w:rsidRDefault="009F16B7" w:rsidP="009F16B7">
            <w:pPr>
              <w:jc w:val="left"/>
              <w:rPr>
                <w:b w:val="0"/>
                <w:bCs w:val="0"/>
              </w:rPr>
            </w:pPr>
            <w:r w:rsidRPr="00B526C8">
              <w:rPr>
                <w:b w:val="0"/>
                <w:bCs w:val="0"/>
              </w:rPr>
              <w:t>MEĐIMURSKA</w:t>
            </w:r>
          </w:p>
        </w:tc>
        <w:tc>
          <w:tcPr>
            <w:tcW w:w="1561" w:type="dxa"/>
            <w:noWrap/>
            <w:hideMark/>
          </w:tcPr>
          <w:p w14:paraId="4FE84D82" w14:textId="58AD5B87"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8,4</w:t>
            </w:r>
          </w:p>
        </w:tc>
        <w:tc>
          <w:tcPr>
            <w:tcW w:w="1626" w:type="dxa"/>
            <w:noWrap/>
            <w:hideMark/>
          </w:tcPr>
          <w:p w14:paraId="1DF26525" w14:textId="20E15735"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8,7</w:t>
            </w:r>
          </w:p>
        </w:tc>
        <w:tc>
          <w:tcPr>
            <w:tcW w:w="1516" w:type="dxa"/>
            <w:noWrap/>
            <w:hideMark/>
          </w:tcPr>
          <w:p w14:paraId="771F0C03" w14:textId="7B49895A"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6,4</w:t>
            </w:r>
          </w:p>
        </w:tc>
        <w:tc>
          <w:tcPr>
            <w:tcW w:w="1626" w:type="dxa"/>
            <w:noWrap/>
            <w:hideMark/>
          </w:tcPr>
          <w:p w14:paraId="7D1CCB8B" w14:textId="1BF3E63C"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15,2</w:t>
            </w:r>
          </w:p>
        </w:tc>
      </w:tr>
      <w:tr w:rsidR="009F16B7" w:rsidRPr="009F16B7" w14:paraId="3276FA5B"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6CB4DF2C" w14:textId="77777777" w:rsidR="009F16B7" w:rsidRPr="00B526C8" w:rsidRDefault="009F16B7" w:rsidP="009F16B7">
            <w:pPr>
              <w:jc w:val="left"/>
              <w:rPr>
                <w:b w:val="0"/>
                <w:bCs w:val="0"/>
              </w:rPr>
            </w:pPr>
            <w:r w:rsidRPr="00B526C8">
              <w:rPr>
                <w:b w:val="0"/>
                <w:bCs w:val="0"/>
              </w:rPr>
              <w:t>OSJEČKO-BARANJSKA</w:t>
            </w:r>
          </w:p>
        </w:tc>
        <w:tc>
          <w:tcPr>
            <w:tcW w:w="1561" w:type="dxa"/>
            <w:noWrap/>
            <w:hideMark/>
          </w:tcPr>
          <w:p w14:paraId="71E27FAF" w14:textId="456021E9"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7,6</w:t>
            </w:r>
          </w:p>
        </w:tc>
        <w:tc>
          <w:tcPr>
            <w:tcW w:w="1626" w:type="dxa"/>
            <w:noWrap/>
            <w:hideMark/>
          </w:tcPr>
          <w:p w14:paraId="19496193" w14:textId="57CDC5A6"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5,7</w:t>
            </w:r>
          </w:p>
        </w:tc>
        <w:tc>
          <w:tcPr>
            <w:tcW w:w="1516" w:type="dxa"/>
            <w:noWrap/>
            <w:hideMark/>
          </w:tcPr>
          <w:p w14:paraId="2F3107C4" w14:textId="4055D0ED"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6,5</w:t>
            </w:r>
          </w:p>
        </w:tc>
        <w:tc>
          <w:tcPr>
            <w:tcW w:w="1626" w:type="dxa"/>
            <w:noWrap/>
            <w:hideMark/>
          </w:tcPr>
          <w:p w14:paraId="0703A8FF" w14:textId="2192F841"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13,3</w:t>
            </w:r>
          </w:p>
        </w:tc>
      </w:tr>
      <w:tr w:rsidR="009F16B7" w:rsidRPr="009F16B7" w14:paraId="0623CE12"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196F45FC" w14:textId="77777777" w:rsidR="009F16B7" w:rsidRPr="00B526C8" w:rsidRDefault="009F16B7" w:rsidP="009F16B7">
            <w:pPr>
              <w:jc w:val="left"/>
              <w:rPr>
                <w:b w:val="0"/>
                <w:bCs w:val="0"/>
              </w:rPr>
            </w:pPr>
            <w:r w:rsidRPr="00B526C8">
              <w:rPr>
                <w:b w:val="0"/>
                <w:bCs w:val="0"/>
              </w:rPr>
              <w:t>PRIMORSKO-GORANSKA</w:t>
            </w:r>
          </w:p>
        </w:tc>
        <w:tc>
          <w:tcPr>
            <w:tcW w:w="1561" w:type="dxa"/>
            <w:noWrap/>
            <w:hideMark/>
          </w:tcPr>
          <w:p w14:paraId="5CDC8E9D" w14:textId="314568A5"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7,0</w:t>
            </w:r>
          </w:p>
        </w:tc>
        <w:tc>
          <w:tcPr>
            <w:tcW w:w="1626" w:type="dxa"/>
            <w:noWrap/>
            <w:hideMark/>
          </w:tcPr>
          <w:p w14:paraId="14581479" w14:textId="2BC4E465"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5,7</w:t>
            </w:r>
          </w:p>
        </w:tc>
        <w:tc>
          <w:tcPr>
            <w:tcW w:w="1516" w:type="dxa"/>
            <w:noWrap/>
            <w:hideMark/>
          </w:tcPr>
          <w:p w14:paraId="12162DF7" w14:textId="3826D030"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4,4</w:t>
            </w:r>
          </w:p>
        </w:tc>
        <w:tc>
          <w:tcPr>
            <w:tcW w:w="1626" w:type="dxa"/>
            <w:noWrap/>
            <w:hideMark/>
          </w:tcPr>
          <w:p w14:paraId="77EE258F" w14:textId="09FE9D1C"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15,0</w:t>
            </w:r>
          </w:p>
        </w:tc>
      </w:tr>
      <w:tr w:rsidR="009F16B7" w:rsidRPr="009F16B7" w14:paraId="17D1A2BF"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26A54A67" w14:textId="77777777" w:rsidR="009F16B7" w:rsidRPr="00B526C8" w:rsidRDefault="009F16B7" w:rsidP="009F16B7">
            <w:pPr>
              <w:jc w:val="left"/>
              <w:rPr>
                <w:b w:val="0"/>
                <w:bCs w:val="0"/>
              </w:rPr>
            </w:pPr>
            <w:r w:rsidRPr="00B526C8">
              <w:rPr>
                <w:b w:val="0"/>
                <w:bCs w:val="0"/>
              </w:rPr>
              <w:t>DUBROVAČKO-NERETVANSKA</w:t>
            </w:r>
          </w:p>
        </w:tc>
        <w:tc>
          <w:tcPr>
            <w:tcW w:w="1561" w:type="dxa"/>
            <w:noWrap/>
            <w:hideMark/>
          </w:tcPr>
          <w:p w14:paraId="2E241E4C" w14:textId="5AFE23A6"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6,8</w:t>
            </w:r>
          </w:p>
        </w:tc>
        <w:tc>
          <w:tcPr>
            <w:tcW w:w="1626" w:type="dxa"/>
            <w:noWrap/>
            <w:hideMark/>
          </w:tcPr>
          <w:p w14:paraId="3AAB0B06" w14:textId="4FB5A532"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3,5</w:t>
            </w:r>
          </w:p>
        </w:tc>
        <w:tc>
          <w:tcPr>
            <w:tcW w:w="1516" w:type="dxa"/>
            <w:noWrap/>
            <w:hideMark/>
          </w:tcPr>
          <w:p w14:paraId="4ED2AE9C" w14:textId="2F40EE24"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5,8</w:t>
            </w:r>
          </w:p>
        </w:tc>
        <w:tc>
          <w:tcPr>
            <w:tcW w:w="1626" w:type="dxa"/>
            <w:noWrap/>
            <w:hideMark/>
          </w:tcPr>
          <w:p w14:paraId="038170D1" w14:textId="61E2F268"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13,1</w:t>
            </w:r>
          </w:p>
        </w:tc>
      </w:tr>
      <w:tr w:rsidR="009F16B7" w:rsidRPr="009F16B7" w14:paraId="6C4BF2BC" w14:textId="77777777" w:rsidTr="008358D5">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034" w:type="dxa"/>
            <w:noWrap/>
            <w:hideMark/>
          </w:tcPr>
          <w:p w14:paraId="605D424A" w14:textId="77777777" w:rsidR="009F16B7" w:rsidRPr="00B526C8" w:rsidRDefault="009F16B7" w:rsidP="009F16B7">
            <w:pPr>
              <w:jc w:val="left"/>
              <w:rPr>
                <w:b w:val="0"/>
                <w:bCs w:val="0"/>
              </w:rPr>
            </w:pPr>
            <w:r w:rsidRPr="00B526C8">
              <w:rPr>
                <w:b w:val="0"/>
                <w:bCs w:val="0"/>
              </w:rPr>
              <w:t>ISTARSKA</w:t>
            </w:r>
          </w:p>
        </w:tc>
        <w:tc>
          <w:tcPr>
            <w:tcW w:w="1561" w:type="dxa"/>
            <w:noWrap/>
            <w:hideMark/>
          </w:tcPr>
          <w:p w14:paraId="74C506F8" w14:textId="08549AF8" w:rsidR="009F16B7" w:rsidRPr="00E00C7A" w:rsidRDefault="00E00C7A"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6,3</w:t>
            </w:r>
          </w:p>
        </w:tc>
        <w:tc>
          <w:tcPr>
            <w:tcW w:w="1626" w:type="dxa"/>
            <w:noWrap/>
            <w:hideMark/>
          </w:tcPr>
          <w:p w14:paraId="45A93C1F" w14:textId="00FD32FF"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4,8</w:t>
            </w:r>
          </w:p>
        </w:tc>
        <w:tc>
          <w:tcPr>
            <w:tcW w:w="1516" w:type="dxa"/>
            <w:noWrap/>
            <w:hideMark/>
          </w:tcPr>
          <w:p w14:paraId="08745DFD" w14:textId="170CD8C3"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4,4</w:t>
            </w:r>
          </w:p>
        </w:tc>
        <w:tc>
          <w:tcPr>
            <w:tcW w:w="1626" w:type="dxa"/>
            <w:noWrap/>
            <w:hideMark/>
          </w:tcPr>
          <w:p w14:paraId="73465586" w14:textId="4A7D2418" w:rsidR="009F16B7" w:rsidRPr="00F905AB" w:rsidRDefault="00F905AB" w:rsidP="00E00C7A">
            <w:pPr>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13,3</w:t>
            </w:r>
          </w:p>
        </w:tc>
      </w:tr>
      <w:tr w:rsidR="009F16B7" w:rsidRPr="009F16B7" w14:paraId="6B121EF9" w14:textId="77777777" w:rsidTr="008358D5">
        <w:trPr>
          <w:trHeight w:val="290"/>
        </w:trPr>
        <w:tc>
          <w:tcPr>
            <w:cnfStyle w:val="001000000000" w:firstRow="0" w:lastRow="0" w:firstColumn="1" w:lastColumn="0" w:oddVBand="0" w:evenVBand="0" w:oddHBand="0" w:evenHBand="0" w:firstRowFirstColumn="0" w:firstRowLastColumn="0" w:lastRowFirstColumn="0" w:lastRowLastColumn="0"/>
            <w:tcW w:w="3034" w:type="dxa"/>
            <w:shd w:val="clear" w:color="auto" w:fill="EFA4A7" w:themeFill="accent1" w:themeFillTint="66"/>
            <w:noWrap/>
            <w:hideMark/>
          </w:tcPr>
          <w:p w14:paraId="38ABF648" w14:textId="77777777" w:rsidR="009F16B7" w:rsidRPr="00B526C8" w:rsidRDefault="009F16B7" w:rsidP="009F16B7">
            <w:pPr>
              <w:jc w:val="left"/>
            </w:pPr>
            <w:r w:rsidRPr="00B526C8">
              <w:t>RH</w:t>
            </w:r>
          </w:p>
        </w:tc>
        <w:tc>
          <w:tcPr>
            <w:tcW w:w="1561" w:type="dxa"/>
            <w:shd w:val="clear" w:color="auto" w:fill="EFA4A7" w:themeFill="accent1" w:themeFillTint="66"/>
            <w:noWrap/>
            <w:hideMark/>
          </w:tcPr>
          <w:p w14:paraId="3813F5DC" w14:textId="0CA9A4C1" w:rsidR="009F16B7" w:rsidRPr="00E00C7A" w:rsidRDefault="00E00C7A"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E00C7A">
              <w:rPr>
                <w:rFonts w:eastAsia="Times New Roman" w:cstheme="minorHAnsi"/>
                <w:color w:val="000000"/>
                <w:lang w:val="en-US"/>
              </w:rPr>
              <w:t>12,4</w:t>
            </w:r>
          </w:p>
        </w:tc>
        <w:tc>
          <w:tcPr>
            <w:tcW w:w="1626" w:type="dxa"/>
            <w:shd w:val="clear" w:color="auto" w:fill="EFA4A7" w:themeFill="accent1" w:themeFillTint="66"/>
            <w:noWrap/>
            <w:hideMark/>
          </w:tcPr>
          <w:p w14:paraId="70CBBA42" w14:textId="1BA7168B"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5,5</w:t>
            </w:r>
          </w:p>
        </w:tc>
        <w:tc>
          <w:tcPr>
            <w:tcW w:w="1516" w:type="dxa"/>
            <w:shd w:val="clear" w:color="auto" w:fill="EFA4A7" w:themeFill="accent1" w:themeFillTint="66"/>
            <w:noWrap/>
            <w:hideMark/>
          </w:tcPr>
          <w:p w14:paraId="52B55ECD" w14:textId="6B75335E"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8,7</w:t>
            </w:r>
          </w:p>
        </w:tc>
        <w:tc>
          <w:tcPr>
            <w:tcW w:w="1626" w:type="dxa"/>
            <w:shd w:val="clear" w:color="auto" w:fill="EFA4A7" w:themeFill="accent1" w:themeFillTint="66"/>
            <w:noWrap/>
            <w:hideMark/>
          </w:tcPr>
          <w:p w14:paraId="1302BCCF" w14:textId="78167F4C" w:rsidR="009F16B7" w:rsidRPr="00F905AB" w:rsidRDefault="00F905AB" w:rsidP="00E00C7A">
            <w:pPr>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US"/>
              </w:rPr>
            </w:pPr>
            <w:r w:rsidRPr="00F905AB">
              <w:rPr>
                <w:rFonts w:eastAsia="Times New Roman" w:cstheme="minorHAnsi"/>
                <w:color w:val="000000"/>
                <w:lang w:val="en-US"/>
              </w:rPr>
              <w:t>30,4</w:t>
            </w:r>
          </w:p>
        </w:tc>
      </w:tr>
    </w:tbl>
    <w:p w14:paraId="07668C0A" w14:textId="0FE88568" w:rsidR="00704B4D" w:rsidRPr="001077FE" w:rsidRDefault="00A549FD" w:rsidP="001077FE">
      <w:pPr>
        <w:autoSpaceDE w:val="0"/>
        <w:autoSpaceDN w:val="0"/>
        <w:adjustRightInd w:val="0"/>
        <w:spacing w:after="0" w:line="240" w:lineRule="auto"/>
        <w:rPr>
          <w:rFonts w:eastAsia="ArialNarrow" w:cstheme="minorHAnsi"/>
          <w:i/>
          <w:color w:val="ABABAB" w:themeColor="text1" w:themeTint="A6"/>
          <w:sz w:val="16"/>
          <w:szCs w:val="16"/>
        </w:rPr>
      </w:pPr>
      <w:bookmarkStart w:id="87" w:name="_Hlk61372649"/>
      <w:r w:rsidRPr="001077FE">
        <w:rPr>
          <w:rFonts w:eastAsia="ArialNarrow" w:cstheme="minorHAnsi"/>
          <w:i/>
          <w:color w:val="ABABAB" w:themeColor="text1" w:themeTint="A6"/>
          <w:sz w:val="16"/>
          <w:szCs w:val="16"/>
        </w:rPr>
        <w:t xml:space="preserve">Izvor: </w:t>
      </w:r>
      <w:r w:rsidR="00E14B18" w:rsidRPr="001077FE">
        <w:rPr>
          <w:rFonts w:eastAsia="ArialNarrow" w:cstheme="minorHAnsi"/>
          <w:i/>
          <w:color w:val="ABABAB" w:themeColor="text1" w:themeTint="A6"/>
          <w:sz w:val="16"/>
          <w:szCs w:val="16"/>
        </w:rPr>
        <w:t>Izvješće o osobama s invaliditetom u Republici Hrvatskoj, svibanj 2019., Hrvatski zavod za javno zdravstvo</w:t>
      </w:r>
    </w:p>
    <w:bookmarkEnd w:id="87"/>
    <w:p w14:paraId="6BC4C12D" w14:textId="605176FC" w:rsidR="00E14B18" w:rsidRDefault="00E14B18" w:rsidP="00855D8D">
      <w:pPr>
        <w:pStyle w:val="Izvor"/>
      </w:pPr>
    </w:p>
    <w:p w14:paraId="63E720AE" w14:textId="68C08490" w:rsidR="00ED288C" w:rsidRDefault="00ED288C" w:rsidP="00ED288C">
      <w:pPr>
        <w:autoSpaceDE w:val="0"/>
        <w:autoSpaceDN w:val="0"/>
        <w:adjustRightInd w:val="0"/>
        <w:spacing w:after="0" w:line="240" w:lineRule="auto"/>
        <w:rPr>
          <w:rFonts w:eastAsia="ArialNarrow" w:cstheme="minorHAnsi"/>
        </w:rPr>
      </w:pPr>
      <w:r>
        <w:rPr>
          <w:rFonts w:eastAsia="ArialNarrow" w:cstheme="minorHAnsi"/>
        </w:rPr>
        <w:lastRenderedPageBreak/>
        <w:t>Sljedeća</w:t>
      </w:r>
      <w:r w:rsidRPr="00ED288C">
        <w:rPr>
          <w:rFonts w:eastAsia="ArialNarrow" w:cstheme="minorHAnsi"/>
        </w:rPr>
        <w:t xml:space="preserve"> tablica prikazuje kako najviše osoba s nekim oblikom invaliditeta </w:t>
      </w:r>
      <w:r>
        <w:rPr>
          <w:rFonts w:eastAsia="ArialNarrow" w:cstheme="minorHAnsi"/>
        </w:rPr>
        <w:t>(</w:t>
      </w:r>
      <w:r w:rsidRPr="00ED288C">
        <w:rPr>
          <w:rFonts w:eastAsia="ArialNarrow" w:cstheme="minorHAnsi"/>
        </w:rPr>
        <w:t>77%</w:t>
      </w:r>
      <w:r>
        <w:rPr>
          <w:rFonts w:eastAsia="ArialNarrow" w:cstheme="minorHAnsi"/>
        </w:rPr>
        <w:t>)</w:t>
      </w:r>
      <w:r w:rsidRPr="00ED288C">
        <w:rPr>
          <w:rFonts w:eastAsia="ArialNarrow" w:cstheme="minorHAnsi"/>
        </w:rPr>
        <w:t xml:space="preserve"> prema dostupnim podacima o obrazovanju, nema zavr</w:t>
      </w:r>
      <w:r w:rsidRPr="00ED288C">
        <w:rPr>
          <w:rFonts w:eastAsia="ArialNarrow" w:cstheme="minorHAnsi" w:hint="eastAsia"/>
        </w:rPr>
        <w:t>š</w:t>
      </w:r>
      <w:r w:rsidRPr="00ED288C">
        <w:rPr>
          <w:rFonts w:eastAsia="ArialNarrow" w:cstheme="minorHAnsi"/>
        </w:rPr>
        <w:t xml:space="preserve">enu osnovnu </w:t>
      </w:r>
      <w:r w:rsidRPr="00ED288C">
        <w:rPr>
          <w:rFonts w:eastAsia="ArialNarrow" w:cstheme="minorHAnsi" w:hint="eastAsia"/>
        </w:rPr>
        <w:t>š</w:t>
      </w:r>
      <w:r w:rsidRPr="00ED288C">
        <w:rPr>
          <w:rFonts w:eastAsia="ArialNarrow" w:cstheme="minorHAnsi"/>
        </w:rPr>
        <w:t>kolu ili ima samo</w:t>
      </w:r>
      <w:r>
        <w:rPr>
          <w:rFonts w:eastAsia="ArialNarrow" w:cstheme="minorHAnsi"/>
        </w:rPr>
        <w:t xml:space="preserve"> </w:t>
      </w:r>
      <w:r w:rsidRPr="00ED288C">
        <w:rPr>
          <w:rFonts w:eastAsia="ArialNarrow" w:cstheme="minorHAnsi"/>
        </w:rPr>
        <w:t>osnovno</w:t>
      </w:r>
      <w:r w:rsidRPr="00ED288C">
        <w:rPr>
          <w:rFonts w:eastAsia="ArialNarrow" w:cstheme="minorHAnsi" w:hint="eastAsia"/>
        </w:rPr>
        <w:t>š</w:t>
      </w:r>
      <w:r w:rsidRPr="00ED288C">
        <w:rPr>
          <w:rFonts w:eastAsia="ArialNarrow" w:cstheme="minorHAnsi"/>
        </w:rPr>
        <w:t>kolsko obrazovanje</w:t>
      </w:r>
      <w:r>
        <w:rPr>
          <w:rFonts w:eastAsia="ArialNarrow" w:cstheme="minorHAnsi"/>
        </w:rPr>
        <w:t xml:space="preserve">, </w:t>
      </w:r>
      <w:r w:rsidRPr="00ED288C">
        <w:rPr>
          <w:rFonts w:eastAsia="ArialNarrow" w:cstheme="minorHAnsi"/>
        </w:rPr>
        <w:t xml:space="preserve">16% </w:t>
      </w:r>
      <w:r>
        <w:rPr>
          <w:rFonts w:eastAsia="ArialNarrow" w:cstheme="minorHAnsi"/>
        </w:rPr>
        <w:t xml:space="preserve">ih </w:t>
      </w:r>
      <w:r w:rsidRPr="00ED288C">
        <w:rPr>
          <w:rFonts w:eastAsia="ArialNarrow" w:cstheme="minorHAnsi"/>
        </w:rPr>
        <w:t>ima srednju stru</w:t>
      </w:r>
      <w:r w:rsidRPr="00ED288C">
        <w:rPr>
          <w:rFonts w:eastAsia="ArialNarrow" w:cstheme="minorHAnsi" w:hint="eastAsia"/>
        </w:rPr>
        <w:t>č</w:t>
      </w:r>
      <w:r w:rsidRPr="00ED288C">
        <w:rPr>
          <w:rFonts w:eastAsia="ArialNarrow" w:cstheme="minorHAnsi"/>
        </w:rPr>
        <w:t xml:space="preserve">nu spremu dok </w:t>
      </w:r>
      <w:r w:rsidR="006A5428">
        <w:rPr>
          <w:rFonts w:eastAsia="ArialNarrow" w:cstheme="minorHAnsi"/>
        </w:rPr>
        <w:t>samo</w:t>
      </w:r>
      <w:r w:rsidRPr="00ED288C">
        <w:rPr>
          <w:rFonts w:eastAsia="ArialNarrow" w:cstheme="minorHAnsi"/>
        </w:rPr>
        <w:t xml:space="preserve"> 1% osoba </w:t>
      </w:r>
      <w:r w:rsidR="006A5428">
        <w:rPr>
          <w:rFonts w:eastAsia="ArialNarrow" w:cstheme="minorHAnsi"/>
        </w:rPr>
        <w:t xml:space="preserve">ima visoku </w:t>
      </w:r>
      <w:r w:rsidRPr="00ED288C">
        <w:rPr>
          <w:rFonts w:eastAsia="ArialNarrow" w:cstheme="minorHAnsi"/>
        </w:rPr>
        <w:t>ili vi</w:t>
      </w:r>
      <w:r w:rsidRPr="00ED288C">
        <w:rPr>
          <w:rFonts w:eastAsia="ArialNarrow" w:cstheme="minorHAnsi" w:hint="eastAsia"/>
        </w:rPr>
        <w:t>š</w:t>
      </w:r>
      <w:r w:rsidR="006A5428">
        <w:rPr>
          <w:rFonts w:eastAsia="ArialNarrow" w:cstheme="minorHAnsi"/>
        </w:rPr>
        <w:t>u</w:t>
      </w:r>
      <w:r w:rsidRPr="00ED288C">
        <w:rPr>
          <w:rFonts w:eastAsia="ArialNarrow" w:cstheme="minorHAnsi"/>
        </w:rPr>
        <w:t xml:space="preserve"> stru</w:t>
      </w:r>
      <w:r w:rsidRPr="00ED288C">
        <w:rPr>
          <w:rFonts w:eastAsia="ArialNarrow" w:cstheme="minorHAnsi" w:hint="eastAsia"/>
        </w:rPr>
        <w:t>č</w:t>
      </w:r>
      <w:r w:rsidRPr="00ED288C">
        <w:rPr>
          <w:rFonts w:eastAsia="ArialNarrow" w:cstheme="minorHAnsi"/>
        </w:rPr>
        <w:t>n</w:t>
      </w:r>
      <w:r w:rsidR="006A5428">
        <w:rPr>
          <w:rFonts w:eastAsia="ArialNarrow" w:cstheme="minorHAnsi"/>
        </w:rPr>
        <w:t>u</w:t>
      </w:r>
      <w:r w:rsidRPr="00ED288C">
        <w:rPr>
          <w:rFonts w:eastAsia="ArialNarrow" w:cstheme="minorHAnsi"/>
        </w:rPr>
        <w:t xml:space="preserve"> sprem</w:t>
      </w:r>
      <w:r w:rsidR="006A5428">
        <w:rPr>
          <w:rFonts w:eastAsia="ArialNarrow" w:cstheme="minorHAnsi"/>
        </w:rPr>
        <w:t>u</w:t>
      </w:r>
      <w:r w:rsidRPr="00ED288C">
        <w:rPr>
          <w:rFonts w:eastAsia="ArialNarrow" w:cstheme="minorHAnsi"/>
        </w:rPr>
        <w:t>.</w:t>
      </w:r>
      <w:r>
        <w:rPr>
          <w:rFonts w:eastAsia="ArialNarrow" w:cstheme="minorHAnsi"/>
        </w:rPr>
        <w:t xml:space="preserve"> </w:t>
      </w:r>
      <w:r w:rsidRPr="00ED288C">
        <w:rPr>
          <w:rFonts w:eastAsia="ArialNarrow" w:cstheme="minorHAnsi"/>
        </w:rPr>
        <w:t>Specijalno obrazovanje nalazimo kod 6% osoba s invaliditetom.</w:t>
      </w:r>
    </w:p>
    <w:p w14:paraId="304E8880" w14:textId="77777777" w:rsidR="00ED288C" w:rsidRPr="00E14B18" w:rsidRDefault="00ED288C" w:rsidP="003C2276">
      <w:pPr>
        <w:pStyle w:val="Izvor"/>
      </w:pPr>
    </w:p>
    <w:p w14:paraId="7CC005E1" w14:textId="5BC426A3" w:rsidR="0016594B" w:rsidRDefault="0016594B" w:rsidP="003E3F3C">
      <w:pPr>
        <w:pStyle w:val="Opisslike"/>
      </w:pPr>
      <w:r>
        <w:t xml:space="preserve">Tablica </w:t>
      </w:r>
      <w:r w:rsidR="00201691">
        <w:rPr>
          <w:noProof/>
        </w:rPr>
        <w:t>3</w:t>
      </w:r>
      <w:r w:rsidR="009A6A08">
        <w:rPr>
          <w:noProof/>
        </w:rPr>
        <w:t>2</w:t>
      </w:r>
      <w:r>
        <w:rPr>
          <w:noProof/>
        </w:rPr>
        <w:t>.</w:t>
      </w:r>
      <w:r>
        <w:t xml:space="preserve"> Distribucija invaliditeta prema razini obrazovanja</w:t>
      </w:r>
    </w:p>
    <w:tbl>
      <w:tblPr>
        <w:tblW w:w="9387" w:type="dxa"/>
        <w:tblInd w:w="-5" w:type="dxa"/>
        <w:tblBorders>
          <w:insideH w:val="single" w:sz="8" w:space="0" w:color="F3CFC1"/>
        </w:tblBorders>
        <w:tblLook w:val="04A0" w:firstRow="1" w:lastRow="0" w:firstColumn="1" w:lastColumn="0" w:noHBand="0" w:noVBand="1"/>
      </w:tblPr>
      <w:tblGrid>
        <w:gridCol w:w="2201"/>
        <w:gridCol w:w="2053"/>
        <w:gridCol w:w="1173"/>
        <w:gridCol w:w="2200"/>
        <w:gridCol w:w="1760"/>
      </w:tblGrid>
      <w:tr w:rsidR="0016594B" w14:paraId="13FE6506" w14:textId="77777777" w:rsidTr="00A549FD">
        <w:trPr>
          <w:trHeight w:val="291"/>
          <w:tblHeader/>
        </w:trPr>
        <w:tc>
          <w:tcPr>
            <w:tcW w:w="2201" w:type="dxa"/>
            <w:tcBorders>
              <w:top w:val="nil"/>
              <w:bottom w:val="single" w:sz="8" w:space="0" w:color="F3CFC1"/>
            </w:tcBorders>
            <w:shd w:val="clear" w:color="auto" w:fill="D2232A"/>
            <w:vAlign w:val="center"/>
            <w:hideMark/>
          </w:tcPr>
          <w:p w14:paraId="6DAE8F15" w14:textId="77777777" w:rsidR="0016594B" w:rsidRDefault="0016594B" w:rsidP="00336730">
            <w:pPr>
              <w:spacing w:after="0" w:line="240" w:lineRule="auto"/>
              <w:rPr>
                <w:rFonts w:eastAsia="Times New Roman" w:cstheme="minorHAnsi"/>
                <w:color w:val="FFFFFF"/>
                <w:lang w:val="en-US"/>
              </w:rPr>
            </w:pPr>
            <w:r>
              <w:rPr>
                <w:rFonts w:eastAsia="Times New Roman" w:cstheme="minorHAnsi"/>
                <w:color w:val="FFFFFF"/>
                <w:lang w:val="en-US"/>
              </w:rPr>
              <w:t>DISTRIBUCIJA INVALIDITETA</w:t>
            </w:r>
          </w:p>
        </w:tc>
        <w:tc>
          <w:tcPr>
            <w:tcW w:w="2053" w:type="dxa"/>
            <w:tcBorders>
              <w:top w:val="nil"/>
              <w:bottom w:val="single" w:sz="8" w:space="0" w:color="F3CFC1"/>
            </w:tcBorders>
            <w:shd w:val="clear" w:color="auto" w:fill="D2232A"/>
            <w:vAlign w:val="center"/>
            <w:hideMark/>
          </w:tcPr>
          <w:p w14:paraId="5CB40CB1" w14:textId="6FE7A239" w:rsidR="0016594B" w:rsidRDefault="0016594B" w:rsidP="00B949FF">
            <w:pPr>
              <w:spacing w:after="0" w:line="240" w:lineRule="auto"/>
              <w:jc w:val="center"/>
              <w:rPr>
                <w:rFonts w:eastAsia="Times New Roman" w:cstheme="minorHAnsi"/>
                <w:color w:val="FFFFFF"/>
                <w:lang w:val="en-US"/>
              </w:rPr>
            </w:pPr>
            <w:r>
              <w:rPr>
                <w:rFonts w:eastAsia="Times New Roman" w:cstheme="minorHAnsi"/>
                <w:color w:val="FFFFFF"/>
                <w:lang w:val="en-US"/>
              </w:rPr>
              <w:t>NEMA ZAVRŠENU OŠ</w:t>
            </w:r>
            <w:r w:rsidR="006A5428">
              <w:rPr>
                <w:rFonts w:eastAsia="Times New Roman" w:cstheme="minorHAnsi"/>
                <w:color w:val="FFFFFF"/>
                <w:lang w:val="en-US"/>
              </w:rPr>
              <w:t xml:space="preserve"> ILI IMA SAMO OŠ</w:t>
            </w:r>
          </w:p>
        </w:tc>
        <w:tc>
          <w:tcPr>
            <w:tcW w:w="1173" w:type="dxa"/>
            <w:tcBorders>
              <w:top w:val="nil"/>
              <w:bottom w:val="single" w:sz="8" w:space="0" w:color="F3CFC1"/>
            </w:tcBorders>
            <w:shd w:val="clear" w:color="auto" w:fill="D2232A"/>
            <w:noWrap/>
            <w:vAlign w:val="center"/>
            <w:hideMark/>
          </w:tcPr>
          <w:p w14:paraId="0257CA15" w14:textId="77777777" w:rsidR="0016594B" w:rsidRDefault="0016594B" w:rsidP="00B949FF">
            <w:pPr>
              <w:spacing w:after="0" w:line="240" w:lineRule="auto"/>
              <w:jc w:val="center"/>
              <w:rPr>
                <w:rFonts w:eastAsia="Times New Roman" w:cstheme="minorHAnsi"/>
                <w:color w:val="FFFFFF"/>
                <w:lang w:val="en-US"/>
              </w:rPr>
            </w:pPr>
            <w:r>
              <w:rPr>
                <w:rFonts w:eastAsia="Times New Roman" w:cstheme="minorHAnsi"/>
                <w:color w:val="FFFFFF"/>
                <w:lang w:val="en-US"/>
              </w:rPr>
              <w:t>SSS</w:t>
            </w:r>
          </w:p>
        </w:tc>
        <w:tc>
          <w:tcPr>
            <w:tcW w:w="2200" w:type="dxa"/>
            <w:tcBorders>
              <w:top w:val="nil"/>
              <w:bottom w:val="single" w:sz="8" w:space="0" w:color="F3CFC1"/>
            </w:tcBorders>
            <w:shd w:val="clear" w:color="auto" w:fill="D2232A"/>
            <w:vAlign w:val="center"/>
            <w:hideMark/>
          </w:tcPr>
          <w:p w14:paraId="7CF02AB1" w14:textId="77777777" w:rsidR="0016594B" w:rsidRDefault="0016594B" w:rsidP="00B949FF">
            <w:pPr>
              <w:spacing w:after="0" w:line="240" w:lineRule="auto"/>
              <w:jc w:val="center"/>
              <w:rPr>
                <w:rFonts w:eastAsia="Times New Roman" w:cstheme="minorHAnsi"/>
                <w:color w:val="FFFFFF"/>
                <w:lang w:val="en-US"/>
              </w:rPr>
            </w:pPr>
            <w:r>
              <w:rPr>
                <w:rFonts w:eastAsia="Times New Roman" w:cstheme="minorHAnsi"/>
                <w:color w:val="FFFFFF"/>
                <w:lang w:val="en-US"/>
              </w:rPr>
              <w:t>VISOKA ILI VIŠA STRUČNA SPREMA</w:t>
            </w:r>
          </w:p>
        </w:tc>
        <w:tc>
          <w:tcPr>
            <w:tcW w:w="1760" w:type="dxa"/>
            <w:tcBorders>
              <w:top w:val="nil"/>
              <w:bottom w:val="single" w:sz="8" w:space="0" w:color="F3CFC1"/>
              <w:right w:val="single" w:sz="8" w:space="0" w:color="D2232A"/>
            </w:tcBorders>
            <w:shd w:val="clear" w:color="auto" w:fill="D2232A"/>
            <w:vAlign w:val="center"/>
            <w:hideMark/>
          </w:tcPr>
          <w:p w14:paraId="24A2C8CF" w14:textId="77777777" w:rsidR="0016594B" w:rsidRDefault="0016594B" w:rsidP="00B949FF">
            <w:pPr>
              <w:spacing w:after="0" w:line="240" w:lineRule="auto"/>
              <w:jc w:val="center"/>
              <w:rPr>
                <w:rFonts w:eastAsia="Times New Roman" w:cstheme="minorHAnsi"/>
                <w:color w:val="FFFFFF"/>
                <w:lang w:val="en-US"/>
              </w:rPr>
            </w:pPr>
            <w:r>
              <w:rPr>
                <w:rFonts w:eastAsia="Times New Roman" w:cstheme="minorHAnsi"/>
                <w:color w:val="FFFFFF"/>
                <w:lang w:val="en-US"/>
              </w:rPr>
              <w:t>SPECIJALNO OBRAZOVANJE</w:t>
            </w:r>
          </w:p>
        </w:tc>
      </w:tr>
      <w:tr w:rsidR="0016594B" w14:paraId="46CE720B" w14:textId="77777777" w:rsidTr="00A549FD">
        <w:trPr>
          <w:trHeight w:val="291"/>
        </w:trPr>
        <w:tc>
          <w:tcPr>
            <w:tcW w:w="2201" w:type="dxa"/>
            <w:tcBorders>
              <w:top w:val="single" w:sz="8" w:space="0" w:color="F3CFC1"/>
              <w:bottom w:val="single" w:sz="8" w:space="0" w:color="F3CFC1"/>
            </w:tcBorders>
            <w:shd w:val="clear" w:color="auto" w:fill="D2232A"/>
            <w:noWrap/>
            <w:vAlign w:val="center"/>
            <w:hideMark/>
          </w:tcPr>
          <w:p w14:paraId="21765705" w14:textId="77777777" w:rsidR="0016594B" w:rsidRDefault="0016594B" w:rsidP="00336730">
            <w:pPr>
              <w:spacing w:after="0" w:line="240" w:lineRule="auto"/>
              <w:rPr>
                <w:rFonts w:eastAsia="Times New Roman" w:cstheme="minorHAnsi"/>
                <w:color w:val="FFFFFF"/>
                <w:lang w:val="en-US"/>
              </w:rPr>
            </w:pPr>
            <w:r>
              <w:rPr>
                <w:rFonts w:eastAsia="Times New Roman" w:cstheme="minorHAnsi"/>
                <w:color w:val="FFFFFF"/>
                <w:lang w:val="en-US"/>
              </w:rPr>
              <w:t>2015.</w:t>
            </w:r>
          </w:p>
        </w:tc>
        <w:tc>
          <w:tcPr>
            <w:tcW w:w="2053" w:type="dxa"/>
            <w:tcBorders>
              <w:top w:val="single" w:sz="8" w:space="0" w:color="F3CFC1"/>
              <w:bottom w:val="single" w:sz="8" w:space="0" w:color="F3CFC1"/>
              <w:right w:val="single" w:sz="8" w:space="0" w:color="D2232A"/>
            </w:tcBorders>
            <w:noWrap/>
            <w:vAlign w:val="bottom"/>
            <w:hideMark/>
          </w:tcPr>
          <w:p w14:paraId="53F52B5D"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76%</w:t>
            </w:r>
          </w:p>
        </w:tc>
        <w:tc>
          <w:tcPr>
            <w:tcW w:w="1173" w:type="dxa"/>
            <w:tcBorders>
              <w:top w:val="single" w:sz="8" w:space="0" w:color="F3CFC1"/>
              <w:left w:val="single" w:sz="8" w:space="0" w:color="D2232A"/>
              <w:bottom w:val="single" w:sz="8" w:space="0" w:color="F3CFC1"/>
              <w:right w:val="single" w:sz="8" w:space="0" w:color="D2232A"/>
            </w:tcBorders>
            <w:noWrap/>
            <w:vAlign w:val="bottom"/>
            <w:hideMark/>
          </w:tcPr>
          <w:p w14:paraId="7F8D72BC"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17%</w:t>
            </w:r>
          </w:p>
        </w:tc>
        <w:tc>
          <w:tcPr>
            <w:tcW w:w="2200" w:type="dxa"/>
            <w:tcBorders>
              <w:top w:val="single" w:sz="8" w:space="0" w:color="F3CFC1"/>
              <w:left w:val="single" w:sz="8" w:space="0" w:color="D2232A"/>
              <w:bottom w:val="single" w:sz="8" w:space="0" w:color="F3CFC1"/>
              <w:right w:val="single" w:sz="8" w:space="0" w:color="D2232A"/>
            </w:tcBorders>
            <w:noWrap/>
            <w:vAlign w:val="bottom"/>
            <w:hideMark/>
          </w:tcPr>
          <w:p w14:paraId="7077A256"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1%</w:t>
            </w:r>
          </w:p>
        </w:tc>
        <w:tc>
          <w:tcPr>
            <w:tcW w:w="1760" w:type="dxa"/>
            <w:tcBorders>
              <w:top w:val="single" w:sz="8" w:space="0" w:color="F3CFC1"/>
              <w:left w:val="single" w:sz="8" w:space="0" w:color="D2232A"/>
              <w:bottom w:val="single" w:sz="8" w:space="0" w:color="F3CFC1"/>
              <w:right w:val="single" w:sz="8" w:space="0" w:color="D2232A"/>
            </w:tcBorders>
            <w:noWrap/>
            <w:vAlign w:val="bottom"/>
            <w:hideMark/>
          </w:tcPr>
          <w:p w14:paraId="389BA9D0"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6%</w:t>
            </w:r>
          </w:p>
        </w:tc>
      </w:tr>
      <w:tr w:rsidR="0016594B" w14:paraId="3582FC43" w14:textId="77777777" w:rsidTr="006A5428">
        <w:trPr>
          <w:trHeight w:val="291"/>
        </w:trPr>
        <w:tc>
          <w:tcPr>
            <w:tcW w:w="2201" w:type="dxa"/>
            <w:tcBorders>
              <w:top w:val="single" w:sz="8" w:space="0" w:color="F3CFC1"/>
              <w:bottom w:val="single" w:sz="4" w:space="0" w:color="FFFFFF" w:themeColor="background1"/>
            </w:tcBorders>
            <w:shd w:val="clear" w:color="auto" w:fill="D2232A"/>
            <w:noWrap/>
            <w:vAlign w:val="center"/>
            <w:hideMark/>
          </w:tcPr>
          <w:p w14:paraId="78F9F5E5" w14:textId="77777777" w:rsidR="0016594B" w:rsidRDefault="0016594B" w:rsidP="00336730">
            <w:pPr>
              <w:spacing w:after="0" w:line="240" w:lineRule="auto"/>
              <w:rPr>
                <w:rFonts w:eastAsia="Times New Roman" w:cstheme="minorHAnsi"/>
                <w:color w:val="FFFFFF"/>
                <w:lang w:val="en-US"/>
              </w:rPr>
            </w:pPr>
            <w:r>
              <w:rPr>
                <w:rFonts w:eastAsia="Times New Roman" w:cstheme="minorHAnsi"/>
                <w:color w:val="FFFFFF"/>
                <w:lang w:val="en-US"/>
              </w:rPr>
              <w:t>2016.</w:t>
            </w:r>
          </w:p>
        </w:tc>
        <w:tc>
          <w:tcPr>
            <w:tcW w:w="2053" w:type="dxa"/>
            <w:tcBorders>
              <w:top w:val="single" w:sz="8" w:space="0" w:color="F3CFC1"/>
              <w:bottom w:val="single" w:sz="8" w:space="0" w:color="F3CFC1"/>
              <w:right w:val="single" w:sz="8" w:space="0" w:color="D2232A"/>
            </w:tcBorders>
            <w:noWrap/>
            <w:vAlign w:val="bottom"/>
            <w:hideMark/>
          </w:tcPr>
          <w:p w14:paraId="285B5398"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75%</w:t>
            </w:r>
          </w:p>
        </w:tc>
        <w:tc>
          <w:tcPr>
            <w:tcW w:w="1173" w:type="dxa"/>
            <w:tcBorders>
              <w:top w:val="single" w:sz="8" w:space="0" w:color="F3CFC1"/>
              <w:left w:val="single" w:sz="8" w:space="0" w:color="D2232A"/>
              <w:bottom w:val="single" w:sz="8" w:space="0" w:color="F3CFC1"/>
              <w:right w:val="single" w:sz="8" w:space="0" w:color="D2232A"/>
            </w:tcBorders>
            <w:noWrap/>
            <w:vAlign w:val="bottom"/>
            <w:hideMark/>
          </w:tcPr>
          <w:p w14:paraId="52A2BC5E"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18%</w:t>
            </w:r>
          </w:p>
        </w:tc>
        <w:tc>
          <w:tcPr>
            <w:tcW w:w="2200" w:type="dxa"/>
            <w:tcBorders>
              <w:top w:val="single" w:sz="8" w:space="0" w:color="F3CFC1"/>
              <w:left w:val="single" w:sz="8" w:space="0" w:color="D2232A"/>
              <w:bottom w:val="single" w:sz="8" w:space="0" w:color="F3CFC1"/>
              <w:right w:val="single" w:sz="8" w:space="0" w:color="D2232A"/>
            </w:tcBorders>
            <w:noWrap/>
            <w:vAlign w:val="bottom"/>
            <w:hideMark/>
          </w:tcPr>
          <w:p w14:paraId="48214D4C"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1%</w:t>
            </w:r>
          </w:p>
        </w:tc>
        <w:tc>
          <w:tcPr>
            <w:tcW w:w="1760" w:type="dxa"/>
            <w:tcBorders>
              <w:top w:val="single" w:sz="8" w:space="0" w:color="F3CFC1"/>
              <w:left w:val="single" w:sz="8" w:space="0" w:color="D2232A"/>
              <w:bottom w:val="single" w:sz="8" w:space="0" w:color="F3CFC1"/>
              <w:right w:val="single" w:sz="8" w:space="0" w:color="D2232A"/>
            </w:tcBorders>
            <w:noWrap/>
            <w:vAlign w:val="bottom"/>
            <w:hideMark/>
          </w:tcPr>
          <w:p w14:paraId="409F2CB5"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6%</w:t>
            </w:r>
          </w:p>
        </w:tc>
      </w:tr>
      <w:tr w:rsidR="0016594B" w14:paraId="55EFF23E" w14:textId="77777777" w:rsidTr="006A5428">
        <w:trPr>
          <w:trHeight w:val="291"/>
        </w:trPr>
        <w:tc>
          <w:tcPr>
            <w:tcW w:w="2201" w:type="dxa"/>
            <w:tcBorders>
              <w:top w:val="single" w:sz="4" w:space="0" w:color="FFFFFF" w:themeColor="background1"/>
              <w:bottom w:val="single" w:sz="8" w:space="0" w:color="F3CFC1"/>
            </w:tcBorders>
            <w:shd w:val="clear" w:color="auto" w:fill="D2232A"/>
            <w:noWrap/>
            <w:vAlign w:val="center"/>
            <w:hideMark/>
          </w:tcPr>
          <w:p w14:paraId="7D146E61" w14:textId="77777777" w:rsidR="0016594B" w:rsidRDefault="0016594B" w:rsidP="00336730">
            <w:pPr>
              <w:spacing w:after="0" w:line="240" w:lineRule="auto"/>
              <w:rPr>
                <w:rFonts w:eastAsia="Times New Roman" w:cstheme="minorHAnsi"/>
                <w:color w:val="FFFFFF"/>
                <w:lang w:val="en-US"/>
              </w:rPr>
            </w:pPr>
            <w:r>
              <w:rPr>
                <w:rFonts w:eastAsia="Times New Roman" w:cstheme="minorHAnsi"/>
                <w:color w:val="FFFFFF"/>
                <w:lang w:val="en-US"/>
              </w:rPr>
              <w:t>2017.</w:t>
            </w:r>
          </w:p>
        </w:tc>
        <w:tc>
          <w:tcPr>
            <w:tcW w:w="2053" w:type="dxa"/>
            <w:tcBorders>
              <w:top w:val="single" w:sz="8" w:space="0" w:color="F3CFC1"/>
              <w:bottom w:val="single" w:sz="8" w:space="0" w:color="F3CFC1"/>
              <w:right w:val="single" w:sz="8" w:space="0" w:color="D2232A"/>
            </w:tcBorders>
            <w:noWrap/>
            <w:vAlign w:val="bottom"/>
            <w:hideMark/>
          </w:tcPr>
          <w:p w14:paraId="13DB697D"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75%</w:t>
            </w:r>
          </w:p>
        </w:tc>
        <w:tc>
          <w:tcPr>
            <w:tcW w:w="1173" w:type="dxa"/>
            <w:tcBorders>
              <w:top w:val="single" w:sz="8" w:space="0" w:color="F3CFC1"/>
              <w:left w:val="single" w:sz="8" w:space="0" w:color="D2232A"/>
              <w:bottom w:val="single" w:sz="8" w:space="0" w:color="F3CFC1"/>
              <w:right w:val="single" w:sz="8" w:space="0" w:color="D2232A"/>
            </w:tcBorders>
            <w:noWrap/>
            <w:vAlign w:val="bottom"/>
            <w:hideMark/>
          </w:tcPr>
          <w:p w14:paraId="636AA9C3"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18%</w:t>
            </w:r>
          </w:p>
        </w:tc>
        <w:tc>
          <w:tcPr>
            <w:tcW w:w="2200" w:type="dxa"/>
            <w:tcBorders>
              <w:top w:val="single" w:sz="8" w:space="0" w:color="F3CFC1"/>
              <w:left w:val="single" w:sz="8" w:space="0" w:color="D2232A"/>
              <w:bottom w:val="single" w:sz="8" w:space="0" w:color="F3CFC1"/>
              <w:right w:val="single" w:sz="8" w:space="0" w:color="D2232A"/>
            </w:tcBorders>
            <w:noWrap/>
            <w:vAlign w:val="bottom"/>
            <w:hideMark/>
          </w:tcPr>
          <w:p w14:paraId="0DFF9760"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1%</w:t>
            </w:r>
          </w:p>
        </w:tc>
        <w:tc>
          <w:tcPr>
            <w:tcW w:w="1760" w:type="dxa"/>
            <w:tcBorders>
              <w:top w:val="single" w:sz="8" w:space="0" w:color="F3CFC1"/>
              <w:left w:val="single" w:sz="8" w:space="0" w:color="D2232A"/>
              <w:bottom w:val="single" w:sz="8" w:space="0" w:color="F3CFC1"/>
              <w:right w:val="single" w:sz="8" w:space="0" w:color="D2232A"/>
            </w:tcBorders>
            <w:noWrap/>
            <w:vAlign w:val="bottom"/>
            <w:hideMark/>
          </w:tcPr>
          <w:p w14:paraId="215F092E"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6%</w:t>
            </w:r>
          </w:p>
        </w:tc>
      </w:tr>
      <w:tr w:rsidR="0016594B" w14:paraId="3E462DBE" w14:textId="77777777" w:rsidTr="00A549FD">
        <w:trPr>
          <w:trHeight w:val="291"/>
        </w:trPr>
        <w:tc>
          <w:tcPr>
            <w:tcW w:w="2201" w:type="dxa"/>
            <w:tcBorders>
              <w:top w:val="single" w:sz="8" w:space="0" w:color="F3CFC1"/>
              <w:bottom w:val="nil"/>
            </w:tcBorders>
            <w:shd w:val="clear" w:color="auto" w:fill="D2232A"/>
            <w:noWrap/>
            <w:vAlign w:val="center"/>
            <w:hideMark/>
          </w:tcPr>
          <w:p w14:paraId="712D07C4" w14:textId="2BF39E55" w:rsidR="0016594B" w:rsidRDefault="0016594B" w:rsidP="00336730">
            <w:pPr>
              <w:spacing w:after="0" w:line="240" w:lineRule="auto"/>
              <w:rPr>
                <w:rFonts w:eastAsia="Times New Roman" w:cstheme="minorHAnsi"/>
                <w:color w:val="FFFFFF"/>
                <w:lang w:val="en-US"/>
              </w:rPr>
            </w:pPr>
            <w:r>
              <w:rPr>
                <w:rFonts w:eastAsia="Times New Roman" w:cstheme="minorHAnsi"/>
                <w:color w:val="FFFFFF"/>
                <w:lang w:val="en-US"/>
              </w:rPr>
              <w:t>201</w:t>
            </w:r>
            <w:r w:rsidR="00A549FD">
              <w:rPr>
                <w:rFonts w:eastAsia="Times New Roman" w:cstheme="minorHAnsi"/>
                <w:color w:val="FFFFFF"/>
                <w:lang w:val="en-US"/>
              </w:rPr>
              <w:t>9</w:t>
            </w:r>
            <w:r>
              <w:rPr>
                <w:rFonts w:eastAsia="Times New Roman" w:cstheme="minorHAnsi"/>
                <w:color w:val="FFFFFF"/>
                <w:lang w:val="en-US"/>
              </w:rPr>
              <w:t>.</w:t>
            </w:r>
          </w:p>
        </w:tc>
        <w:tc>
          <w:tcPr>
            <w:tcW w:w="2053" w:type="dxa"/>
            <w:tcBorders>
              <w:top w:val="single" w:sz="8" w:space="0" w:color="F3CFC1"/>
              <w:bottom w:val="nil"/>
              <w:right w:val="single" w:sz="8" w:space="0" w:color="D2232A"/>
            </w:tcBorders>
            <w:noWrap/>
            <w:vAlign w:val="bottom"/>
            <w:hideMark/>
          </w:tcPr>
          <w:p w14:paraId="678FE2D6"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77%</w:t>
            </w:r>
          </w:p>
        </w:tc>
        <w:tc>
          <w:tcPr>
            <w:tcW w:w="1173" w:type="dxa"/>
            <w:tcBorders>
              <w:top w:val="single" w:sz="8" w:space="0" w:color="F3CFC1"/>
              <w:left w:val="single" w:sz="8" w:space="0" w:color="D2232A"/>
              <w:bottom w:val="nil"/>
              <w:right w:val="single" w:sz="8" w:space="0" w:color="D2232A"/>
            </w:tcBorders>
            <w:noWrap/>
            <w:vAlign w:val="bottom"/>
            <w:hideMark/>
          </w:tcPr>
          <w:p w14:paraId="15FE16AB"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16%</w:t>
            </w:r>
          </w:p>
        </w:tc>
        <w:tc>
          <w:tcPr>
            <w:tcW w:w="2200" w:type="dxa"/>
            <w:tcBorders>
              <w:top w:val="single" w:sz="8" w:space="0" w:color="F3CFC1"/>
              <w:left w:val="single" w:sz="8" w:space="0" w:color="D2232A"/>
              <w:bottom w:val="nil"/>
              <w:right w:val="single" w:sz="8" w:space="0" w:color="D2232A"/>
            </w:tcBorders>
            <w:noWrap/>
            <w:vAlign w:val="bottom"/>
            <w:hideMark/>
          </w:tcPr>
          <w:p w14:paraId="4FB85950"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1%</w:t>
            </w:r>
          </w:p>
        </w:tc>
        <w:tc>
          <w:tcPr>
            <w:tcW w:w="1760" w:type="dxa"/>
            <w:tcBorders>
              <w:top w:val="single" w:sz="8" w:space="0" w:color="F3CFC1"/>
              <w:left w:val="single" w:sz="8" w:space="0" w:color="D2232A"/>
              <w:bottom w:val="nil"/>
              <w:right w:val="single" w:sz="8" w:space="0" w:color="D2232A"/>
            </w:tcBorders>
            <w:noWrap/>
            <w:vAlign w:val="bottom"/>
            <w:hideMark/>
          </w:tcPr>
          <w:p w14:paraId="6E473EEE" w14:textId="77777777" w:rsidR="0016594B" w:rsidRDefault="0016594B" w:rsidP="00A549FD">
            <w:pPr>
              <w:spacing w:after="0" w:line="240" w:lineRule="auto"/>
              <w:jc w:val="center"/>
              <w:rPr>
                <w:rFonts w:eastAsia="Times New Roman" w:cstheme="minorHAnsi"/>
                <w:color w:val="000000"/>
                <w:lang w:val="en-US"/>
              </w:rPr>
            </w:pPr>
            <w:r>
              <w:rPr>
                <w:rFonts w:eastAsia="Times New Roman" w:cstheme="minorHAnsi"/>
                <w:color w:val="000000"/>
                <w:lang w:val="en-US"/>
              </w:rPr>
              <w:t>6%</w:t>
            </w:r>
          </w:p>
        </w:tc>
      </w:tr>
    </w:tbl>
    <w:p w14:paraId="0485BD43" w14:textId="729A0DDF" w:rsidR="00A549FD" w:rsidRPr="00FD6C73" w:rsidRDefault="00A549FD" w:rsidP="00FD6C73">
      <w:pPr>
        <w:autoSpaceDE w:val="0"/>
        <w:autoSpaceDN w:val="0"/>
        <w:adjustRightInd w:val="0"/>
        <w:spacing w:after="0" w:line="240" w:lineRule="auto"/>
        <w:rPr>
          <w:rFonts w:eastAsia="ArialNarrow" w:cstheme="minorHAnsi"/>
          <w:i/>
          <w:color w:val="ABABAB" w:themeColor="text1" w:themeTint="A6"/>
          <w:sz w:val="16"/>
          <w:szCs w:val="16"/>
        </w:rPr>
      </w:pPr>
      <w:r w:rsidRPr="00FD6C73">
        <w:rPr>
          <w:rFonts w:eastAsia="ArialNarrow" w:cstheme="minorHAnsi"/>
          <w:i/>
          <w:color w:val="ABABAB" w:themeColor="text1" w:themeTint="A6"/>
          <w:sz w:val="16"/>
          <w:szCs w:val="16"/>
        </w:rPr>
        <w:t xml:space="preserve">Izvor: Izvješće o osobama s invaliditetom u Republici Hrvatskoj, </w:t>
      </w:r>
      <w:r w:rsidR="00E8507A" w:rsidRPr="00E8507A">
        <w:rPr>
          <w:rFonts w:eastAsia="ArialNarrow" w:cstheme="minorHAnsi"/>
          <w:i/>
          <w:color w:val="ABABAB" w:themeColor="text1" w:themeTint="A6"/>
          <w:sz w:val="16"/>
          <w:szCs w:val="16"/>
        </w:rPr>
        <w:t>ožujak 2015., travanj 2016; travanj 2017; svibanj 2019</w:t>
      </w:r>
      <w:r w:rsidR="00E8507A">
        <w:rPr>
          <w:rFonts w:eastAsia="ArialNarrow" w:cstheme="minorHAnsi"/>
          <w:i/>
          <w:color w:val="ABABAB" w:themeColor="text1" w:themeTint="A6"/>
          <w:sz w:val="16"/>
          <w:szCs w:val="16"/>
        </w:rPr>
        <w:t xml:space="preserve">., </w:t>
      </w:r>
      <w:r w:rsidRPr="00FD6C73">
        <w:rPr>
          <w:rFonts w:eastAsia="ArialNarrow" w:cstheme="minorHAnsi"/>
          <w:i/>
          <w:color w:val="ABABAB" w:themeColor="text1" w:themeTint="A6"/>
          <w:sz w:val="16"/>
          <w:szCs w:val="16"/>
        </w:rPr>
        <w:t>Hrvatski zavod za javno zdravstvo</w:t>
      </w:r>
    </w:p>
    <w:p w14:paraId="7AB0B287" w14:textId="068D03A8" w:rsidR="00E14B18" w:rsidRDefault="00E14B18" w:rsidP="0016594B">
      <w:pPr>
        <w:autoSpaceDE w:val="0"/>
        <w:autoSpaceDN w:val="0"/>
        <w:adjustRightInd w:val="0"/>
        <w:spacing w:after="0" w:line="240" w:lineRule="auto"/>
        <w:rPr>
          <w:rFonts w:eastAsia="ArialNarrow" w:cstheme="minorHAnsi"/>
        </w:rPr>
      </w:pPr>
    </w:p>
    <w:p w14:paraId="6AD1F21C" w14:textId="4120681F" w:rsidR="007F731A" w:rsidRDefault="007F731A" w:rsidP="0016594B">
      <w:pPr>
        <w:autoSpaceDE w:val="0"/>
        <w:autoSpaceDN w:val="0"/>
        <w:adjustRightInd w:val="0"/>
        <w:spacing w:after="0" w:line="240" w:lineRule="auto"/>
        <w:rPr>
          <w:rFonts w:eastAsia="ArialNarrow" w:cstheme="minorHAnsi"/>
        </w:rPr>
      </w:pPr>
      <w:r>
        <w:rPr>
          <w:rFonts w:eastAsia="ArialNarrow" w:cstheme="minorHAnsi"/>
        </w:rPr>
        <w:t>Prema Izvješću o osobama s invaliditetom (svibanj 2019.) i</w:t>
      </w:r>
      <w:r w:rsidRPr="007F731A">
        <w:rPr>
          <w:rFonts w:eastAsia="ArialNarrow" w:cstheme="minorHAnsi"/>
        </w:rPr>
        <w:t xml:space="preserve">z Krapinsko-zagorske </w:t>
      </w:r>
      <w:r w:rsidRPr="007F731A">
        <w:rPr>
          <w:rFonts w:eastAsia="ArialNarrow" w:cstheme="minorHAnsi" w:hint="eastAsia"/>
        </w:rPr>
        <w:t>ž</w:t>
      </w:r>
      <w:r w:rsidRPr="007F731A">
        <w:rPr>
          <w:rFonts w:eastAsia="ArialNarrow" w:cstheme="minorHAnsi"/>
        </w:rPr>
        <w:t>upanije, u Registar osoba s invaliditetom, pristigla su rje</w:t>
      </w:r>
      <w:r w:rsidRPr="007F731A">
        <w:rPr>
          <w:rFonts w:eastAsia="ArialNarrow" w:cstheme="minorHAnsi" w:hint="eastAsia"/>
        </w:rPr>
        <w:t>š</w:t>
      </w:r>
      <w:r w:rsidRPr="007F731A">
        <w:rPr>
          <w:rFonts w:eastAsia="ArialNarrow" w:cstheme="minorHAnsi"/>
        </w:rPr>
        <w:t xml:space="preserve">enja o primjerenom obliku </w:t>
      </w:r>
      <w:r w:rsidRPr="007F731A">
        <w:rPr>
          <w:rFonts w:eastAsia="ArialNarrow" w:cstheme="minorHAnsi" w:hint="eastAsia"/>
        </w:rPr>
        <w:t>š</w:t>
      </w:r>
      <w:r w:rsidRPr="007F731A">
        <w:rPr>
          <w:rFonts w:eastAsia="ArialNarrow" w:cstheme="minorHAnsi"/>
        </w:rPr>
        <w:t>kolovanja za 2206 osoba s time da je ve</w:t>
      </w:r>
      <w:r w:rsidRPr="007F731A">
        <w:rPr>
          <w:rFonts w:eastAsia="ArialNarrow" w:cstheme="minorHAnsi" w:hint="eastAsia"/>
        </w:rPr>
        <w:t>ć</w:t>
      </w:r>
      <w:r w:rsidRPr="007F731A">
        <w:rPr>
          <w:rFonts w:eastAsia="ArialNarrow" w:cstheme="minorHAnsi"/>
        </w:rPr>
        <w:t>i broj mu</w:t>
      </w:r>
      <w:r w:rsidRPr="007F731A">
        <w:rPr>
          <w:rFonts w:eastAsia="ArialNarrow" w:cstheme="minorHAnsi" w:hint="eastAsia"/>
        </w:rPr>
        <w:t>š</w:t>
      </w:r>
      <w:r w:rsidRPr="007F731A">
        <w:rPr>
          <w:rFonts w:eastAsia="ArialNarrow" w:cstheme="minorHAnsi"/>
        </w:rPr>
        <w:t>kih osoba (65%). O</w:t>
      </w:r>
      <w:r w:rsidRPr="007F731A">
        <w:rPr>
          <w:rFonts w:eastAsia="ArialNarrow" w:cstheme="minorHAnsi" w:hint="eastAsia"/>
        </w:rPr>
        <w:t>š</w:t>
      </w:r>
      <w:r w:rsidRPr="007F731A">
        <w:rPr>
          <w:rFonts w:eastAsia="ArialNarrow" w:cstheme="minorHAnsi"/>
        </w:rPr>
        <w:t>te</w:t>
      </w:r>
      <w:r w:rsidRPr="007F731A">
        <w:rPr>
          <w:rFonts w:eastAsia="ArialNarrow" w:cstheme="minorHAnsi" w:hint="eastAsia"/>
        </w:rPr>
        <w:t>ć</w:t>
      </w:r>
      <w:r w:rsidRPr="007F731A">
        <w:rPr>
          <w:rFonts w:eastAsia="ArialNarrow" w:cstheme="minorHAnsi"/>
        </w:rPr>
        <w:t>enja jezi</w:t>
      </w:r>
      <w:r w:rsidRPr="007F731A">
        <w:rPr>
          <w:rFonts w:eastAsia="ArialNarrow" w:cstheme="minorHAnsi" w:hint="eastAsia"/>
        </w:rPr>
        <w:t>č</w:t>
      </w:r>
      <w:r w:rsidRPr="007F731A">
        <w:rPr>
          <w:rFonts w:eastAsia="ArialNarrow" w:cstheme="minorHAnsi"/>
        </w:rPr>
        <w:t>no-govorne glasovne komunikacije te specifi</w:t>
      </w:r>
      <w:r w:rsidRPr="007F731A">
        <w:rPr>
          <w:rFonts w:eastAsia="ArialNarrow" w:cstheme="minorHAnsi" w:hint="eastAsia"/>
        </w:rPr>
        <w:t>č</w:t>
      </w:r>
      <w:r w:rsidRPr="007F731A">
        <w:rPr>
          <w:rFonts w:eastAsia="ArialNarrow" w:cstheme="minorHAnsi"/>
        </w:rPr>
        <w:t>ne te</w:t>
      </w:r>
      <w:r w:rsidRPr="007F731A">
        <w:rPr>
          <w:rFonts w:eastAsia="ArialNarrow" w:cstheme="minorHAnsi" w:hint="eastAsia"/>
        </w:rPr>
        <w:t>š</w:t>
      </w:r>
      <w:r w:rsidRPr="007F731A">
        <w:rPr>
          <w:rFonts w:eastAsia="ArialNarrow" w:cstheme="minorHAnsi"/>
        </w:rPr>
        <w:t>ko</w:t>
      </w:r>
      <w:r w:rsidRPr="007F731A">
        <w:rPr>
          <w:rFonts w:eastAsia="ArialNarrow" w:cstheme="minorHAnsi" w:hint="eastAsia"/>
        </w:rPr>
        <w:t>ć</w:t>
      </w:r>
      <w:r w:rsidRPr="007F731A">
        <w:rPr>
          <w:rFonts w:eastAsia="ArialNarrow" w:cstheme="minorHAnsi"/>
        </w:rPr>
        <w:t>e u u</w:t>
      </w:r>
      <w:r w:rsidRPr="007F731A">
        <w:rPr>
          <w:rFonts w:eastAsia="ArialNarrow" w:cstheme="minorHAnsi" w:hint="eastAsia"/>
        </w:rPr>
        <w:t>č</w:t>
      </w:r>
      <w:r w:rsidRPr="007F731A">
        <w:rPr>
          <w:rFonts w:eastAsia="ArialNarrow" w:cstheme="minorHAnsi"/>
        </w:rPr>
        <w:t>enju naj</w:t>
      </w:r>
      <w:r w:rsidRPr="007F731A">
        <w:rPr>
          <w:rFonts w:eastAsia="ArialNarrow" w:cstheme="minorHAnsi" w:hint="eastAsia"/>
        </w:rPr>
        <w:t>č</w:t>
      </w:r>
      <w:r w:rsidRPr="007F731A">
        <w:rPr>
          <w:rFonts w:eastAsia="ArialNarrow" w:cstheme="minorHAnsi"/>
        </w:rPr>
        <w:t>e</w:t>
      </w:r>
      <w:r w:rsidRPr="007F731A">
        <w:rPr>
          <w:rFonts w:eastAsia="ArialNarrow" w:cstheme="minorHAnsi" w:hint="eastAsia"/>
        </w:rPr>
        <w:t>šć</w:t>
      </w:r>
      <w:r w:rsidRPr="007F731A">
        <w:rPr>
          <w:rFonts w:eastAsia="ArialNarrow" w:cstheme="minorHAnsi"/>
        </w:rPr>
        <w:t>i su specificirani uzroci koji odre</w:t>
      </w:r>
      <w:r w:rsidRPr="007F731A">
        <w:rPr>
          <w:rFonts w:eastAsia="ArialNarrow" w:cstheme="minorHAnsi" w:hint="eastAsia"/>
        </w:rPr>
        <w:t>đ</w:t>
      </w:r>
      <w:r w:rsidRPr="007F731A">
        <w:rPr>
          <w:rFonts w:eastAsia="ArialNarrow" w:cstheme="minorHAnsi"/>
        </w:rPr>
        <w:t xml:space="preserve">uju potrebu primjerenog oblika </w:t>
      </w:r>
      <w:r w:rsidRPr="007F731A">
        <w:rPr>
          <w:rFonts w:eastAsia="ArialNarrow" w:cstheme="minorHAnsi" w:hint="eastAsia"/>
        </w:rPr>
        <w:t>š</w:t>
      </w:r>
      <w:r w:rsidRPr="007F731A">
        <w:rPr>
          <w:rFonts w:eastAsia="ArialNarrow" w:cstheme="minorHAnsi"/>
        </w:rPr>
        <w:t>kolovanja dok je redoviti program uz prilagodbu sadr</w:t>
      </w:r>
      <w:r w:rsidRPr="007F731A">
        <w:rPr>
          <w:rFonts w:eastAsia="ArialNarrow" w:cstheme="minorHAnsi" w:hint="eastAsia"/>
        </w:rPr>
        <w:t>ž</w:t>
      </w:r>
      <w:r w:rsidRPr="007F731A">
        <w:rPr>
          <w:rFonts w:eastAsia="ArialNarrow" w:cstheme="minorHAnsi"/>
        </w:rPr>
        <w:t>aja i individualizirane postupke naj</w:t>
      </w:r>
      <w:r w:rsidRPr="007F731A">
        <w:rPr>
          <w:rFonts w:eastAsia="ArialNarrow" w:cstheme="minorHAnsi" w:hint="eastAsia"/>
        </w:rPr>
        <w:t>č</w:t>
      </w:r>
      <w:r w:rsidRPr="007F731A">
        <w:rPr>
          <w:rFonts w:eastAsia="ArialNarrow" w:cstheme="minorHAnsi"/>
        </w:rPr>
        <w:t>e</w:t>
      </w:r>
      <w:r w:rsidRPr="007F731A">
        <w:rPr>
          <w:rFonts w:eastAsia="ArialNarrow" w:cstheme="minorHAnsi" w:hint="eastAsia"/>
        </w:rPr>
        <w:t>šć</w:t>
      </w:r>
      <w:r w:rsidRPr="007F731A">
        <w:rPr>
          <w:rFonts w:eastAsia="ArialNarrow" w:cstheme="minorHAnsi"/>
        </w:rPr>
        <w:t>i oblik njezinog specificiranog provo</w:t>
      </w:r>
      <w:r w:rsidRPr="007F731A">
        <w:rPr>
          <w:rFonts w:eastAsia="ArialNarrow" w:cstheme="minorHAnsi" w:hint="eastAsia"/>
        </w:rPr>
        <w:t>đ</w:t>
      </w:r>
      <w:r w:rsidRPr="007F731A">
        <w:rPr>
          <w:rFonts w:eastAsia="ArialNarrow" w:cstheme="minorHAnsi"/>
        </w:rPr>
        <w:t>enja</w:t>
      </w:r>
      <w:r>
        <w:rPr>
          <w:rFonts w:eastAsia="ArialNarrow" w:cstheme="minorHAnsi"/>
        </w:rPr>
        <w:t>.</w:t>
      </w:r>
    </w:p>
    <w:p w14:paraId="7AA9B106" w14:textId="77777777" w:rsidR="000738CE" w:rsidRDefault="00C72950" w:rsidP="007F731A">
      <w:pPr>
        <w:autoSpaceDE w:val="0"/>
        <w:autoSpaceDN w:val="0"/>
        <w:adjustRightInd w:val="0"/>
        <w:spacing w:after="0" w:line="240" w:lineRule="auto"/>
        <w:rPr>
          <w:rFonts w:eastAsia="ArialNarrow" w:cstheme="minorHAnsi"/>
        </w:rPr>
      </w:pPr>
      <w:r w:rsidRPr="007F731A">
        <w:rPr>
          <w:rFonts w:eastAsia="ArialNarrow" w:cstheme="minorHAnsi"/>
          <w:szCs w:val="20"/>
        </w:rPr>
        <w:t>Osobe s invaliditetom, prema dostupnim podacima sustava socijalne skrbi, u najve</w:t>
      </w:r>
      <w:r w:rsidRPr="007F731A">
        <w:rPr>
          <w:rFonts w:eastAsia="ArialNarrow" w:cstheme="minorHAnsi" w:hint="eastAsia"/>
          <w:szCs w:val="20"/>
        </w:rPr>
        <w:t>ć</w:t>
      </w:r>
      <w:r w:rsidRPr="007F731A">
        <w:rPr>
          <w:rFonts w:eastAsia="ArialNarrow" w:cstheme="minorHAnsi"/>
          <w:szCs w:val="20"/>
        </w:rPr>
        <w:t xml:space="preserve">em broju (82%) </w:t>
      </w:r>
      <w:r w:rsidRPr="007F731A">
        <w:rPr>
          <w:rFonts w:eastAsia="ArialNarrow" w:cstheme="minorHAnsi" w:hint="eastAsia"/>
          <w:szCs w:val="20"/>
        </w:rPr>
        <w:t>ž</w:t>
      </w:r>
      <w:r w:rsidRPr="007F731A">
        <w:rPr>
          <w:rFonts w:eastAsia="ArialNarrow" w:cstheme="minorHAnsi"/>
          <w:szCs w:val="20"/>
        </w:rPr>
        <w:t xml:space="preserve">ive u obitelji dok ih oko 16% </w:t>
      </w:r>
      <w:r w:rsidRPr="007F731A">
        <w:rPr>
          <w:rFonts w:eastAsia="ArialNarrow" w:cstheme="minorHAnsi" w:hint="eastAsia"/>
          <w:szCs w:val="20"/>
        </w:rPr>
        <w:t>ž</w:t>
      </w:r>
      <w:r w:rsidRPr="007F731A">
        <w:rPr>
          <w:rFonts w:eastAsia="ArialNarrow" w:cstheme="minorHAnsi"/>
          <w:szCs w:val="20"/>
        </w:rPr>
        <w:t>ivi samo</w:t>
      </w:r>
      <w:r w:rsidR="00E14B18" w:rsidRPr="007F731A">
        <w:rPr>
          <w:rFonts w:eastAsia="ArialNarrow" w:cstheme="minorHAnsi"/>
          <w:szCs w:val="20"/>
        </w:rPr>
        <w:t xml:space="preserve">, </w:t>
      </w:r>
      <w:r w:rsidRPr="007F731A">
        <w:rPr>
          <w:rFonts w:eastAsia="ArialNarrow" w:cstheme="minorHAnsi"/>
          <w:szCs w:val="20"/>
        </w:rPr>
        <w:t>1% ima udomitelja ili skrbnika, a 1% osoba boravi u ustanovi. U nezadovoljavaju</w:t>
      </w:r>
      <w:r w:rsidRPr="007F731A">
        <w:rPr>
          <w:rFonts w:eastAsia="ArialNarrow" w:cstheme="minorHAnsi" w:hint="eastAsia"/>
          <w:szCs w:val="20"/>
        </w:rPr>
        <w:t>ć</w:t>
      </w:r>
      <w:r w:rsidRPr="007F731A">
        <w:rPr>
          <w:rFonts w:eastAsia="ArialNarrow" w:cstheme="minorHAnsi"/>
          <w:szCs w:val="20"/>
        </w:rPr>
        <w:t xml:space="preserve">im uvjetima stanovanja </w:t>
      </w:r>
      <w:r w:rsidRPr="007F731A">
        <w:rPr>
          <w:rFonts w:eastAsia="ArialNarrow" w:cstheme="minorHAnsi" w:hint="eastAsia"/>
          <w:szCs w:val="20"/>
        </w:rPr>
        <w:t>ž</w:t>
      </w:r>
      <w:r w:rsidRPr="007F731A">
        <w:rPr>
          <w:rFonts w:eastAsia="ArialNarrow" w:cstheme="minorHAnsi"/>
          <w:szCs w:val="20"/>
        </w:rPr>
        <w:t>ivi oko 1</w:t>
      </w:r>
      <w:r w:rsidR="00855D8D" w:rsidRPr="007F731A">
        <w:rPr>
          <w:rFonts w:eastAsia="ArialNarrow" w:cstheme="minorHAnsi"/>
          <w:szCs w:val="20"/>
        </w:rPr>
        <w:t>3</w:t>
      </w:r>
      <w:r w:rsidRPr="007F731A">
        <w:rPr>
          <w:rFonts w:eastAsia="ArialNarrow" w:cstheme="minorHAnsi"/>
          <w:szCs w:val="20"/>
        </w:rPr>
        <w:t>% osoba s invaliditetom. Oko 54% osoba, koje ostvaruju prava iz sustava socijalne skrbi, imaju potrebu za pomo</w:t>
      </w:r>
      <w:r w:rsidRPr="007F731A">
        <w:rPr>
          <w:rFonts w:eastAsia="ArialNarrow" w:cstheme="minorHAnsi" w:hint="eastAsia"/>
          <w:szCs w:val="20"/>
        </w:rPr>
        <w:t>ć</w:t>
      </w:r>
      <w:r w:rsidRPr="007F731A">
        <w:rPr>
          <w:rFonts w:eastAsia="ArialNarrow" w:cstheme="minorHAnsi"/>
          <w:szCs w:val="20"/>
        </w:rPr>
        <w:t xml:space="preserve">i i njegom u punom opsegu te im je Barthelov indeks 0-60. U Krapinsko-zagorskoj </w:t>
      </w:r>
      <w:r w:rsidRPr="007F731A">
        <w:rPr>
          <w:rFonts w:eastAsia="ArialNarrow" w:cstheme="minorHAnsi" w:hint="eastAsia"/>
          <w:szCs w:val="20"/>
        </w:rPr>
        <w:t>ž</w:t>
      </w:r>
      <w:r w:rsidRPr="007F731A">
        <w:rPr>
          <w:rFonts w:eastAsia="ArialNarrow" w:cstheme="minorHAnsi"/>
          <w:szCs w:val="20"/>
        </w:rPr>
        <w:t xml:space="preserve">upaniji </w:t>
      </w:r>
      <w:r w:rsidRPr="007F731A">
        <w:rPr>
          <w:rFonts w:eastAsia="ArialNarrow" w:cstheme="minorHAnsi" w:hint="eastAsia"/>
          <w:szCs w:val="20"/>
        </w:rPr>
        <w:t>ž</w:t>
      </w:r>
      <w:r w:rsidRPr="007F731A">
        <w:rPr>
          <w:rFonts w:eastAsia="ArialNarrow" w:cstheme="minorHAnsi"/>
          <w:szCs w:val="20"/>
        </w:rPr>
        <w:t>ivi 566 branitelja s invaliditetom te 83 osobe</w:t>
      </w:r>
      <w:r w:rsidRPr="007F731A">
        <w:rPr>
          <w:rFonts w:eastAsia="ArialNarrow" w:cstheme="minorHAnsi"/>
        </w:rPr>
        <w:t xml:space="preserve"> koje imaju posljedice ratnih djelovanja iz II svjetskog rata ili su civilni invalidi rata i pora</w:t>
      </w:r>
      <w:r w:rsidRPr="007F731A">
        <w:rPr>
          <w:rFonts w:eastAsia="ArialNarrow" w:cstheme="minorHAnsi" w:hint="eastAsia"/>
        </w:rPr>
        <w:t>ć</w:t>
      </w:r>
      <w:r w:rsidRPr="007F731A">
        <w:rPr>
          <w:rFonts w:eastAsia="ArialNarrow" w:cstheme="minorHAnsi"/>
        </w:rPr>
        <w:t>a.</w:t>
      </w:r>
      <w:r w:rsidR="00E71D20" w:rsidRPr="007F731A">
        <w:rPr>
          <w:rFonts w:eastAsia="ArialNarrow" w:cstheme="minorHAnsi"/>
        </w:rPr>
        <w:t xml:space="preserve"> </w:t>
      </w:r>
    </w:p>
    <w:p w14:paraId="0CF5A019" w14:textId="77777777" w:rsidR="0016594B" w:rsidRDefault="0016594B" w:rsidP="0016594B">
      <w:pPr>
        <w:autoSpaceDE w:val="0"/>
        <w:autoSpaceDN w:val="0"/>
        <w:adjustRightInd w:val="0"/>
        <w:spacing w:after="0" w:line="240" w:lineRule="auto"/>
        <w:rPr>
          <w:rFonts w:eastAsia="ArialNarrow" w:cstheme="minorHAnsi"/>
        </w:rPr>
      </w:pPr>
    </w:p>
    <w:p w14:paraId="460BA909" w14:textId="36BAD131" w:rsidR="0016594B" w:rsidRDefault="0016594B" w:rsidP="003E3F3C">
      <w:pPr>
        <w:pStyle w:val="Opisslike"/>
      </w:pPr>
      <w:bookmarkStart w:id="88" w:name="_Hlk64901210"/>
      <w:r>
        <w:t xml:space="preserve">Tablica </w:t>
      </w:r>
      <w:r w:rsidR="00201691">
        <w:rPr>
          <w:noProof/>
        </w:rPr>
        <w:t>3</w:t>
      </w:r>
      <w:r w:rsidR="009A6A08">
        <w:rPr>
          <w:noProof/>
        </w:rPr>
        <w:t>3</w:t>
      </w:r>
      <w:r>
        <w:rPr>
          <w:noProof/>
        </w:rPr>
        <w:t>.</w:t>
      </w:r>
      <w:r>
        <w:t xml:space="preserve"> </w:t>
      </w:r>
      <w:r w:rsidRPr="000738CE">
        <w:t>Ostvarivanje</w:t>
      </w:r>
      <w:r w:rsidRPr="00365D46">
        <w:t xml:space="preserve"> prava na temelju invaliditeta </w:t>
      </w:r>
    </w:p>
    <w:tbl>
      <w:tblPr>
        <w:tblW w:w="9252" w:type="dxa"/>
        <w:tblInd w:w="-5" w:type="dxa"/>
        <w:tblLook w:val="04A0" w:firstRow="1" w:lastRow="0" w:firstColumn="1" w:lastColumn="0" w:noHBand="0" w:noVBand="1"/>
      </w:tblPr>
      <w:tblGrid>
        <w:gridCol w:w="4049"/>
        <w:gridCol w:w="1301"/>
        <w:gridCol w:w="1301"/>
        <w:gridCol w:w="1301"/>
        <w:gridCol w:w="1300"/>
      </w:tblGrid>
      <w:tr w:rsidR="0016594B" w:rsidRPr="00735134" w14:paraId="3EA4B68C" w14:textId="77777777" w:rsidTr="00336730">
        <w:trPr>
          <w:trHeight w:val="367"/>
          <w:tblHeader/>
        </w:trPr>
        <w:tc>
          <w:tcPr>
            <w:tcW w:w="4049" w:type="dxa"/>
            <w:vMerge w:val="restart"/>
            <w:tcBorders>
              <w:right w:val="single" w:sz="4" w:space="0" w:color="FFFFFF"/>
            </w:tcBorders>
            <w:shd w:val="clear" w:color="auto" w:fill="D2232A"/>
            <w:vAlign w:val="center"/>
            <w:hideMark/>
          </w:tcPr>
          <w:bookmarkEnd w:id="88"/>
          <w:p w14:paraId="4860A2D3" w14:textId="77777777" w:rsidR="0016594B" w:rsidRPr="00735134" w:rsidRDefault="0016594B" w:rsidP="00336730">
            <w:pPr>
              <w:spacing w:after="0" w:line="240" w:lineRule="auto"/>
              <w:rPr>
                <w:rFonts w:eastAsia="Times New Roman" w:cstheme="minorHAnsi"/>
                <w:color w:val="FFFFFF"/>
              </w:rPr>
            </w:pPr>
            <w:r w:rsidRPr="00735134">
              <w:rPr>
                <w:rFonts w:eastAsia="Times New Roman" w:cstheme="minorHAnsi"/>
                <w:color w:val="FFFFFF"/>
              </w:rPr>
              <w:t>OSTVARIVANJE PRAVA</w:t>
            </w:r>
          </w:p>
        </w:tc>
        <w:tc>
          <w:tcPr>
            <w:tcW w:w="1301" w:type="dxa"/>
            <w:vMerge w:val="restart"/>
            <w:tcBorders>
              <w:left w:val="single" w:sz="4" w:space="0" w:color="FFFFFF"/>
            </w:tcBorders>
            <w:shd w:val="clear" w:color="auto" w:fill="D2232A"/>
            <w:noWrap/>
            <w:vAlign w:val="center"/>
            <w:hideMark/>
          </w:tcPr>
          <w:p w14:paraId="3E53495A" w14:textId="77777777" w:rsidR="0016594B" w:rsidRPr="00735134" w:rsidRDefault="0016594B" w:rsidP="00336730">
            <w:pPr>
              <w:spacing w:after="0" w:line="240" w:lineRule="auto"/>
              <w:jc w:val="center"/>
              <w:rPr>
                <w:rFonts w:eastAsia="Times New Roman" w:cstheme="minorHAnsi"/>
                <w:color w:val="FFFFFF"/>
              </w:rPr>
            </w:pPr>
            <w:r w:rsidRPr="00735134">
              <w:rPr>
                <w:rFonts w:eastAsia="Times New Roman" w:cstheme="minorHAnsi"/>
                <w:color w:val="FFFFFF"/>
              </w:rPr>
              <w:t>2015.</w:t>
            </w:r>
          </w:p>
        </w:tc>
        <w:tc>
          <w:tcPr>
            <w:tcW w:w="1301" w:type="dxa"/>
            <w:vMerge w:val="restart"/>
            <w:shd w:val="clear" w:color="auto" w:fill="D2232A"/>
            <w:noWrap/>
            <w:vAlign w:val="center"/>
            <w:hideMark/>
          </w:tcPr>
          <w:p w14:paraId="1C31CD3A" w14:textId="77777777" w:rsidR="0016594B" w:rsidRPr="00735134" w:rsidRDefault="0016594B" w:rsidP="00336730">
            <w:pPr>
              <w:spacing w:after="0" w:line="240" w:lineRule="auto"/>
              <w:jc w:val="center"/>
              <w:rPr>
                <w:rFonts w:eastAsia="Times New Roman" w:cstheme="minorHAnsi"/>
                <w:color w:val="FFFFFF"/>
              </w:rPr>
            </w:pPr>
            <w:r w:rsidRPr="00735134">
              <w:rPr>
                <w:rFonts w:eastAsia="Times New Roman" w:cstheme="minorHAnsi"/>
                <w:color w:val="FFFFFF"/>
              </w:rPr>
              <w:t>2016.</w:t>
            </w:r>
          </w:p>
        </w:tc>
        <w:tc>
          <w:tcPr>
            <w:tcW w:w="1301" w:type="dxa"/>
            <w:vMerge w:val="restart"/>
            <w:shd w:val="clear" w:color="auto" w:fill="D2232A"/>
            <w:noWrap/>
            <w:vAlign w:val="center"/>
            <w:hideMark/>
          </w:tcPr>
          <w:p w14:paraId="3D9AE125" w14:textId="77777777" w:rsidR="0016594B" w:rsidRPr="00735134" w:rsidRDefault="0016594B" w:rsidP="00336730">
            <w:pPr>
              <w:spacing w:after="0" w:line="240" w:lineRule="auto"/>
              <w:jc w:val="center"/>
              <w:rPr>
                <w:rFonts w:eastAsia="Times New Roman" w:cstheme="minorHAnsi"/>
                <w:color w:val="FFFFFF"/>
              </w:rPr>
            </w:pPr>
            <w:r w:rsidRPr="00735134">
              <w:rPr>
                <w:rFonts w:eastAsia="Times New Roman" w:cstheme="minorHAnsi"/>
                <w:color w:val="FFFFFF"/>
              </w:rPr>
              <w:t>2017.</w:t>
            </w:r>
          </w:p>
        </w:tc>
        <w:tc>
          <w:tcPr>
            <w:tcW w:w="1300" w:type="dxa"/>
            <w:vMerge w:val="restart"/>
            <w:tcBorders>
              <w:right w:val="single" w:sz="8" w:space="0" w:color="D2232A"/>
            </w:tcBorders>
            <w:shd w:val="clear" w:color="auto" w:fill="D2232A"/>
            <w:noWrap/>
            <w:vAlign w:val="center"/>
            <w:hideMark/>
          </w:tcPr>
          <w:p w14:paraId="79BC0F52" w14:textId="77777777" w:rsidR="0016594B" w:rsidRPr="00735134" w:rsidRDefault="0016594B" w:rsidP="00336730">
            <w:pPr>
              <w:spacing w:after="0" w:line="240" w:lineRule="auto"/>
              <w:jc w:val="center"/>
              <w:rPr>
                <w:rFonts w:eastAsia="Times New Roman" w:cstheme="minorHAnsi"/>
                <w:color w:val="FFFFFF"/>
              </w:rPr>
            </w:pPr>
            <w:r w:rsidRPr="00735134">
              <w:rPr>
                <w:rFonts w:eastAsia="Times New Roman" w:cstheme="minorHAnsi"/>
                <w:color w:val="FFFFFF"/>
              </w:rPr>
              <w:t>2018.</w:t>
            </w:r>
          </w:p>
        </w:tc>
      </w:tr>
      <w:tr w:rsidR="0016594B" w:rsidRPr="00735134" w14:paraId="2ADB92AD" w14:textId="77777777" w:rsidTr="006C35E3">
        <w:trPr>
          <w:trHeight w:val="367"/>
        </w:trPr>
        <w:tc>
          <w:tcPr>
            <w:tcW w:w="0" w:type="auto"/>
            <w:vMerge/>
            <w:tcBorders>
              <w:bottom w:val="single" w:sz="8" w:space="0" w:color="F3CFC1"/>
              <w:right w:val="single" w:sz="4" w:space="0" w:color="FFFFFF"/>
            </w:tcBorders>
            <w:shd w:val="clear" w:color="auto" w:fill="D2232A"/>
            <w:vAlign w:val="center"/>
            <w:hideMark/>
          </w:tcPr>
          <w:p w14:paraId="4FFBF924" w14:textId="77777777" w:rsidR="0016594B" w:rsidRPr="00735134" w:rsidRDefault="0016594B" w:rsidP="00336730">
            <w:pPr>
              <w:spacing w:after="0"/>
              <w:rPr>
                <w:rFonts w:eastAsia="Times New Roman" w:cstheme="minorHAnsi"/>
                <w:color w:val="FFFFFF"/>
                <w:sz w:val="22"/>
                <w:szCs w:val="22"/>
              </w:rPr>
            </w:pPr>
          </w:p>
        </w:tc>
        <w:tc>
          <w:tcPr>
            <w:tcW w:w="0" w:type="auto"/>
            <w:vMerge/>
            <w:tcBorders>
              <w:left w:val="single" w:sz="4" w:space="0" w:color="FFFFFF"/>
            </w:tcBorders>
            <w:shd w:val="clear" w:color="auto" w:fill="D2232A"/>
            <w:vAlign w:val="center"/>
            <w:hideMark/>
          </w:tcPr>
          <w:p w14:paraId="1091C395" w14:textId="77777777" w:rsidR="0016594B" w:rsidRPr="00735134" w:rsidRDefault="0016594B" w:rsidP="00336730">
            <w:pPr>
              <w:spacing w:after="0"/>
              <w:jc w:val="center"/>
              <w:rPr>
                <w:rFonts w:eastAsia="Times New Roman" w:cstheme="minorHAnsi"/>
                <w:color w:val="FFFFFF"/>
                <w:sz w:val="22"/>
                <w:szCs w:val="22"/>
              </w:rPr>
            </w:pPr>
          </w:p>
        </w:tc>
        <w:tc>
          <w:tcPr>
            <w:tcW w:w="0" w:type="auto"/>
            <w:vMerge/>
            <w:shd w:val="clear" w:color="auto" w:fill="D2232A"/>
            <w:vAlign w:val="center"/>
            <w:hideMark/>
          </w:tcPr>
          <w:p w14:paraId="4308D504" w14:textId="77777777" w:rsidR="0016594B" w:rsidRPr="00735134" w:rsidRDefault="0016594B" w:rsidP="00336730">
            <w:pPr>
              <w:spacing w:after="0"/>
              <w:jc w:val="center"/>
              <w:rPr>
                <w:rFonts w:eastAsia="Times New Roman" w:cstheme="minorHAnsi"/>
                <w:color w:val="FFFFFF"/>
                <w:sz w:val="22"/>
                <w:szCs w:val="22"/>
              </w:rPr>
            </w:pPr>
          </w:p>
        </w:tc>
        <w:tc>
          <w:tcPr>
            <w:tcW w:w="0" w:type="auto"/>
            <w:vMerge/>
            <w:shd w:val="clear" w:color="auto" w:fill="D2232A"/>
            <w:vAlign w:val="center"/>
            <w:hideMark/>
          </w:tcPr>
          <w:p w14:paraId="44E0C289" w14:textId="77777777" w:rsidR="0016594B" w:rsidRPr="00735134" w:rsidRDefault="0016594B" w:rsidP="00336730">
            <w:pPr>
              <w:spacing w:after="0"/>
              <w:jc w:val="center"/>
              <w:rPr>
                <w:rFonts w:eastAsia="Times New Roman" w:cstheme="minorHAnsi"/>
                <w:color w:val="FFFFFF"/>
                <w:sz w:val="22"/>
                <w:szCs w:val="22"/>
              </w:rPr>
            </w:pPr>
          </w:p>
        </w:tc>
        <w:tc>
          <w:tcPr>
            <w:tcW w:w="0" w:type="auto"/>
            <w:vMerge/>
            <w:tcBorders>
              <w:right w:val="single" w:sz="8" w:space="0" w:color="D2232A"/>
            </w:tcBorders>
            <w:shd w:val="clear" w:color="auto" w:fill="D2232A"/>
            <w:vAlign w:val="center"/>
            <w:hideMark/>
          </w:tcPr>
          <w:p w14:paraId="7D93D191" w14:textId="77777777" w:rsidR="0016594B" w:rsidRPr="00735134" w:rsidRDefault="0016594B" w:rsidP="00336730">
            <w:pPr>
              <w:spacing w:after="0"/>
              <w:jc w:val="center"/>
              <w:rPr>
                <w:rFonts w:eastAsia="Times New Roman" w:cstheme="minorHAnsi"/>
                <w:color w:val="FFFFFF"/>
                <w:sz w:val="22"/>
                <w:szCs w:val="22"/>
              </w:rPr>
            </w:pPr>
          </w:p>
        </w:tc>
      </w:tr>
      <w:tr w:rsidR="0016594B" w:rsidRPr="00735134" w14:paraId="47A1D182" w14:textId="77777777" w:rsidTr="00336730">
        <w:trPr>
          <w:trHeight w:val="283"/>
        </w:trPr>
        <w:tc>
          <w:tcPr>
            <w:tcW w:w="4049" w:type="dxa"/>
            <w:tcBorders>
              <w:top w:val="single" w:sz="8" w:space="0" w:color="F3CFC1"/>
              <w:bottom w:val="single" w:sz="8" w:space="0" w:color="F3CFC1"/>
            </w:tcBorders>
            <w:shd w:val="clear" w:color="auto" w:fill="D2232A"/>
            <w:noWrap/>
            <w:vAlign w:val="center"/>
            <w:hideMark/>
          </w:tcPr>
          <w:p w14:paraId="4496B902" w14:textId="77777777" w:rsidR="0016594B" w:rsidRPr="00735134" w:rsidRDefault="0016594B" w:rsidP="00336730">
            <w:pPr>
              <w:spacing w:after="0" w:line="240" w:lineRule="auto"/>
              <w:jc w:val="left"/>
              <w:rPr>
                <w:rFonts w:eastAsia="Times New Roman" w:cstheme="minorHAnsi"/>
                <w:color w:val="FFFFFF"/>
              </w:rPr>
            </w:pPr>
            <w:r w:rsidRPr="00735134">
              <w:rPr>
                <w:rFonts w:eastAsia="Times New Roman" w:cstheme="minorHAnsi"/>
                <w:color w:val="FFFFFF"/>
              </w:rPr>
              <w:t>Hrvatski zavod za mirovinsko osiguranje</w:t>
            </w:r>
          </w:p>
        </w:tc>
        <w:tc>
          <w:tcPr>
            <w:tcW w:w="1301" w:type="dxa"/>
            <w:tcBorders>
              <w:bottom w:val="single" w:sz="8" w:space="0" w:color="F3CFC1"/>
              <w:right w:val="single" w:sz="8" w:space="0" w:color="D2232A"/>
            </w:tcBorders>
            <w:noWrap/>
            <w:vAlign w:val="center"/>
            <w:hideMark/>
          </w:tcPr>
          <w:p w14:paraId="65446A79"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13.246</w:t>
            </w:r>
          </w:p>
        </w:tc>
        <w:tc>
          <w:tcPr>
            <w:tcW w:w="1301" w:type="dxa"/>
            <w:tcBorders>
              <w:left w:val="single" w:sz="8" w:space="0" w:color="D2232A"/>
              <w:bottom w:val="single" w:sz="8" w:space="0" w:color="F3CFC1"/>
              <w:right w:val="single" w:sz="8" w:space="0" w:color="D2232A"/>
            </w:tcBorders>
            <w:noWrap/>
            <w:vAlign w:val="center"/>
            <w:hideMark/>
          </w:tcPr>
          <w:p w14:paraId="0CB5A19D"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13.027</w:t>
            </w:r>
          </w:p>
        </w:tc>
        <w:tc>
          <w:tcPr>
            <w:tcW w:w="1301" w:type="dxa"/>
            <w:tcBorders>
              <w:left w:val="single" w:sz="8" w:space="0" w:color="D2232A"/>
              <w:bottom w:val="single" w:sz="8" w:space="0" w:color="F3CFC1"/>
              <w:right w:val="single" w:sz="8" w:space="0" w:color="D2232A"/>
            </w:tcBorders>
            <w:noWrap/>
            <w:vAlign w:val="center"/>
            <w:hideMark/>
          </w:tcPr>
          <w:p w14:paraId="2F05CEF7"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13.030</w:t>
            </w:r>
          </w:p>
        </w:tc>
        <w:tc>
          <w:tcPr>
            <w:tcW w:w="1300" w:type="dxa"/>
            <w:tcBorders>
              <w:left w:val="single" w:sz="8" w:space="0" w:color="D2232A"/>
              <w:bottom w:val="single" w:sz="8" w:space="0" w:color="F3CFC1"/>
              <w:right w:val="single" w:sz="8" w:space="0" w:color="D2232A"/>
            </w:tcBorders>
            <w:noWrap/>
            <w:vAlign w:val="center"/>
            <w:hideMark/>
          </w:tcPr>
          <w:p w14:paraId="0CE1A5C9"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n/a</w:t>
            </w:r>
          </w:p>
        </w:tc>
      </w:tr>
      <w:tr w:rsidR="0016594B" w:rsidRPr="00735134" w14:paraId="4699AC88" w14:textId="77777777" w:rsidTr="00336730">
        <w:trPr>
          <w:trHeight w:val="283"/>
        </w:trPr>
        <w:tc>
          <w:tcPr>
            <w:tcW w:w="4049" w:type="dxa"/>
            <w:tcBorders>
              <w:top w:val="single" w:sz="8" w:space="0" w:color="F3CFC1"/>
              <w:bottom w:val="single" w:sz="8" w:space="0" w:color="F3CFC1"/>
            </w:tcBorders>
            <w:shd w:val="clear" w:color="auto" w:fill="D2232A"/>
            <w:noWrap/>
            <w:vAlign w:val="center"/>
            <w:hideMark/>
          </w:tcPr>
          <w:p w14:paraId="25EF38A0" w14:textId="77777777" w:rsidR="0016594B" w:rsidRPr="00735134" w:rsidRDefault="0016594B" w:rsidP="00336730">
            <w:pPr>
              <w:spacing w:after="0" w:line="240" w:lineRule="auto"/>
              <w:jc w:val="left"/>
              <w:rPr>
                <w:rFonts w:eastAsia="Times New Roman" w:cstheme="minorHAnsi"/>
                <w:color w:val="FFFFFF"/>
              </w:rPr>
            </w:pPr>
            <w:r w:rsidRPr="00735134">
              <w:rPr>
                <w:rFonts w:eastAsia="Times New Roman" w:cstheme="minorHAnsi"/>
                <w:color w:val="FFFFFF"/>
              </w:rPr>
              <w:t>Nalaz i mišljenje tijela vještačenja socijalne skrbi</w:t>
            </w:r>
          </w:p>
        </w:tc>
        <w:tc>
          <w:tcPr>
            <w:tcW w:w="1301" w:type="dxa"/>
            <w:tcBorders>
              <w:top w:val="single" w:sz="8" w:space="0" w:color="F3CFC1"/>
              <w:bottom w:val="single" w:sz="8" w:space="0" w:color="F3CFC1"/>
              <w:right w:val="single" w:sz="8" w:space="0" w:color="D2232A"/>
            </w:tcBorders>
            <w:noWrap/>
            <w:vAlign w:val="center"/>
            <w:hideMark/>
          </w:tcPr>
          <w:p w14:paraId="655C2824"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4.777</w:t>
            </w:r>
          </w:p>
        </w:tc>
        <w:tc>
          <w:tcPr>
            <w:tcW w:w="1301" w:type="dxa"/>
            <w:tcBorders>
              <w:top w:val="single" w:sz="8" w:space="0" w:color="F3CFC1"/>
              <w:left w:val="single" w:sz="8" w:space="0" w:color="D2232A"/>
              <w:bottom w:val="single" w:sz="8" w:space="0" w:color="F3CFC1"/>
              <w:right w:val="single" w:sz="8" w:space="0" w:color="D2232A"/>
            </w:tcBorders>
            <w:noWrap/>
            <w:vAlign w:val="center"/>
            <w:hideMark/>
          </w:tcPr>
          <w:p w14:paraId="1B7CDB00"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5.286</w:t>
            </w:r>
          </w:p>
        </w:tc>
        <w:tc>
          <w:tcPr>
            <w:tcW w:w="1301" w:type="dxa"/>
            <w:tcBorders>
              <w:top w:val="single" w:sz="8" w:space="0" w:color="F3CFC1"/>
              <w:left w:val="single" w:sz="8" w:space="0" w:color="D2232A"/>
              <w:bottom w:val="single" w:sz="8" w:space="0" w:color="F3CFC1"/>
              <w:right w:val="single" w:sz="8" w:space="0" w:color="D2232A"/>
            </w:tcBorders>
            <w:noWrap/>
            <w:vAlign w:val="center"/>
            <w:hideMark/>
          </w:tcPr>
          <w:p w14:paraId="1FEA5463"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5.310</w:t>
            </w:r>
          </w:p>
        </w:tc>
        <w:tc>
          <w:tcPr>
            <w:tcW w:w="1300" w:type="dxa"/>
            <w:tcBorders>
              <w:top w:val="single" w:sz="8" w:space="0" w:color="F3CFC1"/>
              <w:left w:val="single" w:sz="8" w:space="0" w:color="D2232A"/>
              <w:bottom w:val="single" w:sz="8" w:space="0" w:color="F3CFC1"/>
              <w:right w:val="single" w:sz="8" w:space="0" w:color="D2232A"/>
            </w:tcBorders>
            <w:noWrap/>
            <w:vAlign w:val="center"/>
            <w:hideMark/>
          </w:tcPr>
          <w:p w14:paraId="7BB41514"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n/a</w:t>
            </w:r>
          </w:p>
        </w:tc>
      </w:tr>
      <w:tr w:rsidR="0016594B" w:rsidRPr="00735134" w14:paraId="499A0CD5" w14:textId="77777777" w:rsidTr="006A5428">
        <w:trPr>
          <w:trHeight w:val="283"/>
        </w:trPr>
        <w:tc>
          <w:tcPr>
            <w:tcW w:w="4049" w:type="dxa"/>
            <w:tcBorders>
              <w:top w:val="single" w:sz="8" w:space="0" w:color="F3CFC1"/>
              <w:bottom w:val="single" w:sz="4" w:space="0" w:color="FFFFFF" w:themeColor="background1"/>
            </w:tcBorders>
            <w:shd w:val="clear" w:color="auto" w:fill="D2232A"/>
            <w:noWrap/>
            <w:vAlign w:val="center"/>
            <w:hideMark/>
          </w:tcPr>
          <w:p w14:paraId="107CB873" w14:textId="77777777" w:rsidR="0016594B" w:rsidRPr="00735134" w:rsidRDefault="0016594B" w:rsidP="00336730">
            <w:pPr>
              <w:spacing w:after="0" w:line="240" w:lineRule="auto"/>
              <w:jc w:val="left"/>
              <w:rPr>
                <w:rFonts w:eastAsia="Times New Roman" w:cstheme="minorHAnsi"/>
                <w:color w:val="FFFFFF"/>
              </w:rPr>
            </w:pPr>
            <w:r w:rsidRPr="00735134">
              <w:rPr>
                <w:rFonts w:eastAsia="Times New Roman" w:cstheme="minorHAnsi"/>
                <w:color w:val="FFFFFF"/>
              </w:rPr>
              <w:t>Rješenje o primjerenom obliku školovanja</w:t>
            </w:r>
          </w:p>
        </w:tc>
        <w:tc>
          <w:tcPr>
            <w:tcW w:w="1301" w:type="dxa"/>
            <w:tcBorders>
              <w:top w:val="single" w:sz="8" w:space="0" w:color="F3CFC1"/>
              <w:bottom w:val="single" w:sz="8" w:space="0" w:color="F3CFC1"/>
              <w:right w:val="single" w:sz="8" w:space="0" w:color="D2232A"/>
            </w:tcBorders>
            <w:noWrap/>
            <w:vAlign w:val="center"/>
            <w:hideMark/>
          </w:tcPr>
          <w:p w14:paraId="1BBCBB7E"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1.538</w:t>
            </w:r>
          </w:p>
        </w:tc>
        <w:tc>
          <w:tcPr>
            <w:tcW w:w="1301" w:type="dxa"/>
            <w:tcBorders>
              <w:top w:val="single" w:sz="8" w:space="0" w:color="F3CFC1"/>
              <w:left w:val="single" w:sz="8" w:space="0" w:color="D2232A"/>
              <w:bottom w:val="single" w:sz="8" w:space="0" w:color="F3CFC1"/>
              <w:right w:val="single" w:sz="8" w:space="0" w:color="D2232A"/>
            </w:tcBorders>
            <w:noWrap/>
            <w:vAlign w:val="center"/>
            <w:hideMark/>
          </w:tcPr>
          <w:p w14:paraId="32718E97"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1.612</w:t>
            </w:r>
          </w:p>
        </w:tc>
        <w:tc>
          <w:tcPr>
            <w:tcW w:w="1301" w:type="dxa"/>
            <w:tcBorders>
              <w:top w:val="single" w:sz="8" w:space="0" w:color="F3CFC1"/>
              <w:left w:val="single" w:sz="8" w:space="0" w:color="D2232A"/>
              <w:bottom w:val="single" w:sz="8" w:space="0" w:color="F3CFC1"/>
              <w:right w:val="single" w:sz="8" w:space="0" w:color="D2232A"/>
            </w:tcBorders>
            <w:noWrap/>
            <w:vAlign w:val="center"/>
            <w:hideMark/>
          </w:tcPr>
          <w:p w14:paraId="49780B13"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1.636</w:t>
            </w:r>
          </w:p>
        </w:tc>
        <w:tc>
          <w:tcPr>
            <w:tcW w:w="1300" w:type="dxa"/>
            <w:tcBorders>
              <w:top w:val="single" w:sz="8" w:space="0" w:color="F3CFC1"/>
              <w:left w:val="single" w:sz="8" w:space="0" w:color="D2232A"/>
              <w:bottom w:val="single" w:sz="8" w:space="0" w:color="F3CFC1"/>
              <w:right w:val="single" w:sz="8" w:space="0" w:color="D2232A"/>
            </w:tcBorders>
            <w:noWrap/>
            <w:vAlign w:val="center"/>
            <w:hideMark/>
          </w:tcPr>
          <w:p w14:paraId="1D4DB80A"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2.206</w:t>
            </w:r>
          </w:p>
        </w:tc>
      </w:tr>
      <w:tr w:rsidR="0016594B" w:rsidRPr="00735134" w14:paraId="294E2189" w14:textId="77777777" w:rsidTr="006A5428">
        <w:trPr>
          <w:trHeight w:val="283"/>
        </w:trPr>
        <w:tc>
          <w:tcPr>
            <w:tcW w:w="4049" w:type="dxa"/>
            <w:tcBorders>
              <w:top w:val="single" w:sz="4" w:space="0" w:color="FFFFFF" w:themeColor="background1"/>
              <w:bottom w:val="single" w:sz="8" w:space="0" w:color="F3CFC1"/>
            </w:tcBorders>
            <w:shd w:val="clear" w:color="auto" w:fill="D2232A"/>
            <w:noWrap/>
            <w:vAlign w:val="center"/>
            <w:hideMark/>
          </w:tcPr>
          <w:p w14:paraId="35EB1FDF" w14:textId="77777777" w:rsidR="0016594B" w:rsidRPr="00735134" w:rsidRDefault="0016594B" w:rsidP="00336730">
            <w:pPr>
              <w:spacing w:after="0" w:line="240" w:lineRule="auto"/>
              <w:jc w:val="left"/>
              <w:rPr>
                <w:rFonts w:eastAsia="Times New Roman" w:cstheme="minorHAnsi"/>
                <w:color w:val="FFFFFF"/>
              </w:rPr>
            </w:pPr>
            <w:r w:rsidRPr="00735134">
              <w:rPr>
                <w:rFonts w:eastAsia="Times New Roman" w:cstheme="minorHAnsi"/>
                <w:color w:val="FFFFFF"/>
              </w:rPr>
              <w:t>Ministarstvo obitelji, branitelja i međugen</w:t>
            </w:r>
            <w:r>
              <w:rPr>
                <w:rFonts w:eastAsia="Times New Roman" w:cstheme="minorHAnsi"/>
                <w:color w:val="FFFFFF"/>
              </w:rPr>
              <w:t xml:space="preserve">eracijske solidarnosti </w:t>
            </w:r>
            <w:r w:rsidRPr="00735134">
              <w:rPr>
                <w:rFonts w:eastAsia="Times New Roman" w:cstheme="minorHAnsi"/>
                <w:color w:val="FFFFFF"/>
              </w:rPr>
              <w:t>(branitelji)</w:t>
            </w:r>
          </w:p>
        </w:tc>
        <w:tc>
          <w:tcPr>
            <w:tcW w:w="1301" w:type="dxa"/>
            <w:tcBorders>
              <w:top w:val="single" w:sz="8" w:space="0" w:color="F3CFC1"/>
              <w:bottom w:val="single" w:sz="8" w:space="0" w:color="F3CFC1"/>
              <w:right w:val="single" w:sz="8" w:space="0" w:color="D2232A"/>
            </w:tcBorders>
            <w:noWrap/>
            <w:vAlign w:val="center"/>
            <w:hideMark/>
          </w:tcPr>
          <w:p w14:paraId="18327559"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570</w:t>
            </w:r>
          </w:p>
        </w:tc>
        <w:tc>
          <w:tcPr>
            <w:tcW w:w="1301" w:type="dxa"/>
            <w:tcBorders>
              <w:top w:val="single" w:sz="8" w:space="0" w:color="F3CFC1"/>
              <w:left w:val="single" w:sz="8" w:space="0" w:color="D2232A"/>
              <w:bottom w:val="single" w:sz="8" w:space="0" w:color="F3CFC1"/>
              <w:right w:val="single" w:sz="8" w:space="0" w:color="D2232A"/>
            </w:tcBorders>
            <w:noWrap/>
            <w:vAlign w:val="center"/>
            <w:hideMark/>
          </w:tcPr>
          <w:p w14:paraId="62CC87CF"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574</w:t>
            </w:r>
          </w:p>
        </w:tc>
        <w:tc>
          <w:tcPr>
            <w:tcW w:w="1301" w:type="dxa"/>
            <w:tcBorders>
              <w:top w:val="single" w:sz="8" w:space="0" w:color="F3CFC1"/>
              <w:left w:val="single" w:sz="8" w:space="0" w:color="D2232A"/>
              <w:bottom w:val="single" w:sz="8" w:space="0" w:color="F3CFC1"/>
              <w:right w:val="single" w:sz="8" w:space="0" w:color="D2232A"/>
            </w:tcBorders>
            <w:noWrap/>
            <w:vAlign w:val="center"/>
            <w:hideMark/>
          </w:tcPr>
          <w:p w14:paraId="5B82FE0B"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575</w:t>
            </w:r>
          </w:p>
        </w:tc>
        <w:tc>
          <w:tcPr>
            <w:tcW w:w="1300" w:type="dxa"/>
            <w:tcBorders>
              <w:top w:val="single" w:sz="8" w:space="0" w:color="F3CFC1"/>
              <w:left w:val="single" w:sz="8" w:space="0" w:color="D2232A"/>
              <w:bottom w:val="single" w:sz="8" w:space="0" w:color="F3CFC1"/>
              <w:right w:val="single" w:sz="8" w:space="0" w:color="D2232A"/>
            </w:tcBorders>
            <w:noWrap/>
            <w:vAlign w:val="center"/>
            <w:hideMark/>
          </w:tcPr>
          <w:p w14:paraId="4B58D0C6"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566</w:t>
            </w:r>
          </w:p>
        </w:tc>
      </w:tr>
      <w:tr w:rsidR="0016594B" w:rsidRPr="00735134" w14:paraId="6D3610BB" w14:textId="77777777" w:rsidTr="00336730">
        <w:trPr>
          <w:trHeight w:val="283"/>
        </w:trPr>
        <w:tc>
          <w:tcPr>
            <w:tcW w:w="4049" w:type="dxa"/>
            <w:tcBorders>
              <w:top w:val="single" w:sz="8" w:space="0" w:color="F3CFC1"/>
              <w:bottom w:val="single" w:sz="8" w:space="0" w:color="FFFFFF" w:themeColor="background1"/>
            </w:tcBorders>
            <w:shd w:val="clear" w:color="auto" w:fill="D2232A"/>
            <w:noWrap/>
            <w:vAlign w:val="center"/>
            <w:hideMark/>
          </w:tcPr>
          <w:p w14:paraId="356943EF" w14:textId="77777777" w:rsidR="0016594B" w:rsidRPr="00735134" w:rsidRDefault="0016594B" w:rsidP="00336730">
            <w:pPr>
              <w:spacing w:after="0" w:line="240" w:lineRule="auto"/>
              <w:jc w:val="left"/>
              <w:rPr>
                <w:rFonts w:eastAsia="Times New Roman" w:cstheme="minorHAnsi"/>
                <w:color w:val="FFFFFF"/>
              </w:rPr>
            </w:pPr>
            <w:r w:rsidRPr="00735134">
              <w:rPr>
                <w:rFonts w:eastAsia="Times New Roman" w:cstheme="minorHAnsi"/>
                <w:color w:val="FFFFFF"/>
              </w:rPr>
              <w:t xml:space="preserve">Rješenje o priznatom statusu vojnog i/ili civilnog invalida II sv. </w:t>
            </w:r>
            <w:r>
              <w:rPr>
                <w:rFonts w:eastAsia="Times New Roman" w:cstheme="minorHAnsi"/>
                <w:color w:val="FFFFFF"/>
              </w:rPr>
              <w:t>r</w:t>
            </w:r>
            <w:r w:rsidRPr="00735134">
              <w:rPr>
                <w:rFonts w:eastAsia="Times New Roman" w:cstheme="minorHAnsi"/>
                <w:color w:val="FFFFFF"/>
              </w:rPr>
              <w:t>ata i poraća</w:t>
            </w:r>
          </w:p>
        </w:tc>
        <w:tc>
          <w:tcPr>
            <w:tcW w:w="1301" w:type="dxa"/>
            <w:tcBorders>
              <w:top w:val="single" w:sz="8" w:space="0" w:color="F3CFC1"/>
              <w:bottom w:val="single" w:sz="8" w:space="0" w:color="FFFFFF" w:themeColor="background1"/>
              <w:right w:val="single" w:sz="8" w:space="0" w:color="D2232A"/>
            </w:tcBorders>
            <w:noWrap/>
            <w:vAlign w:val="center"/>
            <w:hideMark/>
          </w:tcPr>
          <w:p w14:paraId="22600663"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105</w:t>
            </w:r>
          </w:p>
        </w:tc>
        <w:tc>
          <w:tcPr>
            <w:tcW w:w="1301" w:type="dxa"/>
            <w:tcBorders>
              <w:top w:val="single" w:sz="8" w:space="0" w:color="F3CFC1"/>
              <w:left w:val="single" w:sz="8" w:space="0" w:color="D2232A"/>
              <w:bottom w:val="single" w:sz="8" w:space="0" w:color="FFFFFF" w:themeColor="background1"/>
              <w:right w:val="single" w:sz="8" w:space="0" w:color="D2232A"/>
            </w:tcBorders>
            <w:noWrap/>
            <w:vAlign w:val="center"/>
            <w:hideMark/>
          </w:tcPr>
          <w:p w14:paraId="58E1C048"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102</w:t>
            </w:r>
          </w:p>
        </w:tc>
        <w:tc>
          <w:tcPr>
            <w:tcW w:w="1301" w:type="dxa"/>
            <w:tcBorders>
              <w:top w:val="single" w:sz="8" w:space="0" w:color="F3CFC1"/>
              <w:left w:val="single" w:sz="8" w:space="0" w:color="D2232A"/>
              <w:bottom w:val="single" w:sz="8" w:space="0" w:color="FFFFFF" w:themeColor="background1"/>
              <w:right w:val="single" w:sz="8" w:space="0" w:color="D2232A"/>
            </w:tcBorders>
            <w:noWrap/>
            <w:vAlign w:val="center"/>
            <w:hideMark/>
          </w:tcPr>
          <w:p w14:paraId="679A6C76"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102</w:t>
            </w:r>
          </w:p>
        </w:tc>
        <w:tc>
          <w:tcPr>
            <w:tcW w:w="1300" w:type="dxa"/>
            <w:tcBorders>
              <w:top w:val="single" w:sz="8" w:space="0" w:color="F3CFC1"/>
              <w:left w:val="single" w:sz="8" w:space="0" w:color="D2232A"/>
              <w:bottom w:val="single" w:sz="8" w:space="0" w:color="FFFFFF" w:themeColor="background1"/>
              <w:right w:val="single" w:sz="8" w:space="0" w:color="D2232A"/>
            </w:tcBorders>
            <w:noWrap/>
            <w:vAlign w:val="center"/>
            <w:hideMark/>
          </w:tcPr>
          <w:p w14:paraId="2A3FD0B2" w14:textId="77777777" w:rsidR="0016594B" w:rsidRPr="00735134" w:rsidRDefault="0016594B" w:rsidP="00336730">
            <w:pPr>
              <w:spacing w:after="0" w:line="240" w:lineRule="auto"/>
              <w:jc w:val="right"/>
              <w:rPr>
                <w:rFonts w:eastAsia="Times New Roman" w:cstheme="minorHAnsi"/>
                <w:color w:val="000000"/>
              </w:rPr>
            </w:pPr>
            <w:r w:rsidRPr="00735134">
              <w:rPr>
                <w:rFonts w:eastAsia="Times New Roman" w:cstheme="minorHAnsi"/>
                <w:color w:val="000000"/>
              </w:rPr>
              <w:t>83</w:t>
            </w:r>
          </w:p>
        </w:tc>
      </w:tr>
      <w:tr w:rsidR="0016594B" w:rsidRPr="00735134" w14:paraId="46CC1652" w14:textId="77777777" w:rsidTr="00336730">
        <w:trPr>
          <w:trHeight w:val="283"/>
        </w:trPr>
        <w:tc>
          <w:tcPr>
            <w:tcW w:w="4049" w:type="dxa"/>
            <w:tcBorders>
              <w:top w:val="single" w:sz="8" w:space="0" w:color="FFFFFF" w:themeColor="background1"/>
            </w:tcBorders>
            <w:shd w:val="clear" w:color="auto" w:fill="E5E5E5" w:themeFill="text1" w:themeFillTint="33"/>
            <w:noWrap/>
            <w:vAlign w:val="center"/>
            <w:hideMark/>
          </w:tcPr>
          <w:p w14:paraId="4E2CCE7E" w14:textId="77777777" w:rsidR="0016594B" w:rsidRPr="00735134" w:rsidRDefault="0016594B" w:rsidP="00336730">
            <w:pPr>
              <w:spacing w:after="0" w:line="240" w:lineRule="auto"/>
              <w:rPr>
                <w:rFonts w:eastAsia="Times New Roman" w:cstheme="minorHAnsi"/>
              </w:rPr>
            </w:pPr>
            <w:r w:rsidRPr="00735134">
              <w:rPr>
                <w:rFonts w:eastAsia="Times New Roman" w:cstheme="minorHAnsi"/>
              </w:rPr>
              <w:t>UKUPNO</w:t>
            </w:r>
          </w:p>
        </w:tc>
        <w:tc>
          <w:tcPr>
            <w:tcW w:w="1301" w:type="dxa"/>
            <w:tcBorders>
              <w:top w:val="single" w:sz="8" w:space="0" w:color="FFFFFF" w:themeColor="background1"/>
              <w:right w:val="single" w:sz="8" w:space="0" w:color="D2232A"/>
            </w:tcBorders>
            <w:shd w:val="clear" w:color="auto" w:fill="E5E5E5" w:themeFill="text1" w:themeFillTint="33"/>
            <w:noWrap/>
            <w:vAlign w:val="center"/>
            <w:hideMark/>
          </w:tcPr>
          <w:p w14:paraId="27FA9BA8" w14:textId="77777777" w:rsidR="0016594B" w:rsidRPr="00735134" w:rsidRDefault="0016594B" w:rsidP="00336730">
            <w:pPr>
              <w:spacing w:after="0" w:line="240" w:lineRule="auto"/>
              <w:jc w:val="right"/>
              <w:rPr>
                <w:rFonts w:eastAsia="Times New Roman" w:cstheme="minorHAnsi"/>
              </w:rPr>
            </w:pPr>
            <w:r w:rsidRPr="00735134">
              <w:rPr>
                <w:rFonts w:eastAsia="Times New Roman" w:cstheme="minorHAnsi"/>
              </w:rPr>
              <w:t>20.236</w:t>
            </w:r>
          </w:p>
        </w:tc>
        <w:tc>
          <w:tcPr>
            <w:tcW w:w="1301" w:type="dxa"/>
            <w:tcBorders>
              <w:top w:val="single" w:sz="8" w:space="0" w:color="FFFFFF" w:themeColor="background1"/>
              <w:left w:val="single" w:sz="8" w:space="0" w:color="D2232A"/>
              <w:right w:val="single" w:sz="8" w:space="0" w:color="D2232A"/>
            </w:tcBorders>
            <w:shd w:val="clear" w:color="auto" w:fill="E5E5E5" w:themeFill="text1" w:themeFillTint="33"/>
            <w:noWrap/>
            <w:vAlign w:val="center"/>
            <w:hideMark/>
          </w:tcPr>
          <w:p w14:paraId="54323460" w14:textId="77777777" w:rsidR="0016594B" w:rsidRPr="00735134" w:rsidRDefault="0016594B" w:rsidP="00336730">
            <w:pPr>
              <w:spacing w:after="0" w:line="240" w:lineRule="auto"/>
              <w:jc w:val="right"/>
              <w:rPr>
                <w:rFonts w:eastAsia="Times New Roman" w:cstheme="minorHAnsi"/>
              </w:rPr>
            </w:pPr>
            <w:r w:rsidRPr="00735134">
              <w:rPr>
                <w:rFonts w:eastAsia="Times New Roman" w:cstheme="minorHAnsi"/>
              </w:rPr>
              <w:t>20.601</w:t>
            </w:r>
          </w:p>
        </w:tc>
        <w:tc>
          <w:tcPr>
            <w:tcW w:w="1301" w:type="dxa"/>
            <w:tcBorders>
              <w:top w:val="single" w:sz="8" w:space="0" w:color="FFFFFF" w:themeColor="background1"/>
              <w:left w:val="single" w:sz="8" w:space="0" w:color="D2232A"/>
              <w:right w:val="single" w:sz="8" w:space="0" w:color="D2232A"/>
            </w:tcBorders>
            <w:shd w:val="clear" w:color="auto" w:fill="E5E5E5" w:themeFill="text1" w:themeFillTint="33"/>
            <w:noWrap/>
            <w:vAlign w:val="center"/>
            <w:hideMark/>
          </w:tcPr>
          <w:p w14:paraId="2510377F" w14:textId="77777777" w:rsidR="0016594B" w:rsidRPr="00735134" w:rsidRDefault="0016594B" w:rsidP="00336730">
            <w:pPr>
              <w:spacing w:after="0" w:line="240" w:lineRule="auto"/>
              <w:jc w:val="right"/>
              <w:rPr>
                <w:rFonts w:eastAsia="Times New Roman" w:cstheme="minorHAnsi"/>
              </w:rPr>
            </w:pPr>
            <w:r w:rsidRPr="00735134">
              <w:rPr>
                <w:rFonts w:eastAsia="Times New Roman" w:cstheme="minorHAnsi"/>
              </w:rPr>
              <w:t>20.653</w:t>
            </w:r>
          </w:p>
        </w:tc>
        <w:tc>
          <w:tcPr>
            <w:tcW w:w="1300" w:type="dxa"/>
            <w:tcBorders>
              <w:top w:val="single" w:sz="8" w:space="0" w:color="FFFFFF" w:themeColor="background1"/>
              <w:left w:val="single" w:sz="8" w:space="0" w:color="D2232A"/>
              <w:right w:val="single" w:sz="8" w:space="0" w:color="D2232A"/>
            </w:tcBorders>
            <w:shd w:val="clear" w:color="auto" w:fill="E5E5E5" w:themeFill="text1" w:themeFillTint="33"/>
            <w:noWrap/>
            <w:vAlign w:val="center"/>
            <w:hideMark/>
          </w:tcPr>
          <w:p w14:paraId="7A2DB6D6" w14:textId="77777777" w:rsidR="0016594B" w:rsidRPr="00735134" w:rsidRDefault="0016594B" w:rsidP="00336730">
            <w:pPr>
              <w:spacing w:after="0" w:line="240" w:lineRule="auto"/>
              <w:jc w:val="right"/>
              <w:rPr>
                <w:rFonts w:eastAsia="Times New Roman" w:cstheme="minorHAnsi"/>
              </w:rPr>
            </w:pPr>
            <w:r w:rsidRPr="00735134">
              <w:rPr>
                <w:rFonts w:eastAsia="Times New Roman" w:cstheme="minorHAnsi"/>
              </w:rPr>
              <w:t>2.855</w:t>
            </w:r>
          </w:p>
        </w:tc>
      </w:tr>
    </w:tbl>
    <w:p w14:paraId="1E8114E5" w14:textId="1D5C560C" w:rsidR="0016594B" w:rsidRPr="00FD6C73" w:rsidRDefault="0016594B" w:rsidP="00FD6C73">
      <w:pPr>
        <w:autoSpaceDE w:val="0"/>
        <w:autoSpaceDN w:val="0"/>
        <w:adjustRightInd w:val="0"/>
        <w:spacing w:after="0" w:line="240" w:lineRule="auto"/>
        <w:rPr>
          <w:rFonts w:eastAsia="ArialNarrow" w:cstheme="minorHAnsi"/>
          <w:i/>
          <w:color w:val="ABABAB" w:themeColor="text1" w:themeTint="A6"/>
          <w:sz w:val="16"/>
          <w:szCs w:val="16"/>
        </w:rPr>
      </w:pPr>
      <w:r w:rsidRPr="00FD6C73">
        <w:rPr>
          <w:rFonts w:eastAsia="ArialNarrow" w:cstheme="minorHAnsi"/>
          <w:i/>
          <w:color w:val="ABABAB" w:themeColor="text1" w:themeTint="A6"/>
          <w:sz w:val="16"/>
          <w:szCs w:val="16"/>
        </w:rPr>
        <w:t xml:space="preserve">Izvor: </w:t>
      </w:r>
      <w:r w:rsidR="00364636" w:rsidRPr="00364636">
        <w:rPr>
          <w:rFonts w:eastAsia="ArialNarrow" w:cstheme="minorHAnsi"/>
          <w:i/>
          <w:color w:val="ABABAB" w:themeColor="text1" w:themeTint="A6"/>
          <w:sz w:val="16"/>
          <w:szCs w:val="16"/>
        </w:rPr>
        <w:t>Izvješće o osobama s invaliditetom u Republici Hrvatskoj, Hrvatski zavod za javno zdravstvo</w:t>
      </w:r>
      <w:r w:rsidR="00364636">
        <w:rPr>
          <w:rFonts w:eastAsia="ArialNarrow" w:cstheme="minorHAnsi"/>
          <w:i/>
          <w:color w:val="ABABAB" w:themeColor="text1" w:themeTint="A6"/>
          <w:sz w:val="16"/>
          <w:szCs w:val="16"/>
        </w:rPr>
        <w:t>, obrada podataka WYG savjetovanje d.o.o.</w:t>
      </w:r>
    </w:p>
    <w:p w14:paraId="590B4525" w14:textId="77777777" w:rsidR="0016594B" w:rsidRPr="00B949FF" w:rsidRDefault="0016594B" w:rsidP="00B949FF">
      <w:pPr>
        <w:autoSpaceDE w:val="0"/>
        <w:autoSpaceDN w:val="0"/>
        <w:adjustRightInd w:val="0"/>
        <w:spacing w:after="0" w:line="240" w:lineRule="auto"/>
        <w:rPr>
          <w:rFonts w:eastAsia="ArialNarrow" w:cstheme="minorHAnsi"/>
          <w:szCs w:val="20"/>
        </w:rPr>
      </w:pPr>
    </w:p>
    <w:p w14:paraId="20687FE0" w14:textId="133B20EC" w:rsidR="0016594B" w:rsidRDefault="0016594B" w:rsidP="0016594B">
      <w:pPr>
        <w:autoSpaceDE w:val="0"/>
        <w:autoSpaceDN w:val="0"/>
        <w:adjustRightInd w:val="0"/>
        <w:spacing w:after="0" w:line="240" w:lineRule="auto"/>
        <w:rPr>
          <w:rFonts w:eastAsia="ArialNarrow" w:cstheme="minorHAnsi"/>
        </w:rPr>
      </w:pPr>
      <w:r>
        <w:rPr>
          <w:rFonts w:eastAsia="ArialNarrow" w:cstheme="minorHAnsi"/>
        </w:rPr>
        <w:t>Prethodna tablica prikazuje da se najviše prava na temelju invaliditeta ostvaruje putem Hrvatskog zavoda za mirovinsko osiguranje i to 63% u odnosu na ukupan broj u 2017. godini. Najmanji broj invalidnina ostvaruje se na temelju rješenja o priznatom statusu vojnog i/ili civilnog invalida II. Svjetskog rata i poraća.</w:t>
      </w:r>
    </w:p>
    <w:p w14:paraId="1490547F" w14:textId="04FFF488" w:rsidR="0016594B" w:rsidRDefault="0016594B" w:rsidP="00941871">
      <w:pPr>
        <w:autoSpaceDE w:val="0"/>
        <w:autoSpaceDN w:val="0"/>
        <w:adjustRightInd w:val="0"/>
        <w:spacing w:after="0" w:line="240" w:lineRule="auto"/>
        <w:rPr>
          <w:rFonts w:eastAsia="ArialNarrow" w:cstheme="minorHAnsi"/>
          <w:szCs w:val="20"/>
        </w:rPr>
      </w:pPr>
    </w:p>
    <w:p w14:paraId="6A646142" w14:textId="13BF0668" w:rsidR="00185A7A" w:rsidRPr="009D6769" w:rsidRDefault="009D6769" w:rsidP="009D6769">
      <w:pPr>
        <w:autoSpaceDE w:val="0"/>
        <w:autoSpaceDN w:val="0"/>
        <w:adjustRightInd w:val="0"/>
        <w:spacing w:after="0" w:line="240" w:lineRule="auto"/>
        <w:rPr>
          <w:rFonts w:eastAsia="ArialNarrow" w:cstheme="minorHAnsi"/>
          <w:szCs w:val="20"/>
        </w:rPr>
      </w:pPr>
      <w:bookmarkStart w:id="89" w:name="_Hlk64901167"/>
      <w:r w:rsidRPr="009D6769">
        <w:rPr>
          <w:rFonts w:eastAsia="ArialNarrow" w:cstheme="minorHAnsi"/>
          <w:szCs w:val="20"/>
        </w:rPr>
        <w:t>Naj</w:t>
      </w:r>
      <w:r w:rsidRPr="009D6769">
        <w:rPr>
          <w:rFonts w:eastAsia="ArialNarrow" w:cstheme="minorHAnsi" w:hint="eastAsia"/>
          <w:szCs w:val="20"/>
        </w:rPr>
        <w:t>č</w:t>
      </w:r>
      <w:r w:rsidRPr="009D6769">
        <w:rPr>
          <w:rFonts w:eastAsia="ArialNarrow" w:cstheme="minorHAnsi"/>
          <w:szCs w:val="20"/>
        </w:rPr>
        <w:t>e</w:t>
      </w:r>
      <w:r w:rsidRPr="009D6769">
        <w:rPr>
          <w:rFonts w:eastAsia="ArialNarrow" w:cstheme="minorHAnsi" w:hint="eastAsia"/>
          <w:szCs w:val="20"/>
        </w:rPr>
        <w:t>šć</w:t>
      </w:r>
      <w:r w:rsidRPr="009D6769">
        <w:rPr>
          <w:rFonts w:eastAsia="ArialNarrow" w:cstheme="minorHAnsi"/>
          <w:szCs w:val="20"/>
        </w:rPr>
        <w:t>e vrste o</w:t>
      </w:r>
      <w:r w:rsidRPr="009D6769">
        <w:rPr>
          <w:rFonts w:eastAsia="ArialNarrow" w:cstheme="minorHAnsi" w:hint="eastAsia"/>
          <w:szCs w:val="20"/>
        </w:rPr>
        <w:t>š</w:t>
      </w:r>
      <w:r w:rsidRPr="009D6769">
        <w:rPr>
          <w:rFonts w:eastAsia="ArialNarrow" w:cstheme="minorHAnsi"/>
          <w:szCs w:val="20"/>
        </w:rPr>
        <w:t>te</w:t>
      </w:r>
      <w:r w:rsidRPr="009D6769">
        <w:rPr>
          <w:rFonts w:eastAsia="ArialNarrow" w:cstheme="minorHAnsi" w:hint="eastAsia"/>
          <w:szCs w:val="20"/>
        </w:rPr>
        <w:t>ć</w:t>
      </w:r>
      <w:r w:rsidRPr="009D6769">
        <w:rPr>
          <w:rFonts w:eastAsia="ArialNarrow" w:cstheme="minorHAnsi"/>
          <w:szCs w:val="20"/>
        </w:rPr>
        <w:t>enja kod osoba s invaliditetom s podru</w:t>
      </w:r>
      <w:r w:rsidRPr="009D6769">
        <w:rPr>
          <w:rFonts w:eastAsia="ArialNarrow" w:cstheme="minorHAnsi" w:hint="eastAsia"/>
          <w:szCs w:val="20"/>
        </w:rPr>
        <w:t>č</w:t>
      </w:r>
      <w:r w:rsidRPr="009D6769">
        <w:rPr>
          <w:rFonts w:eastAsia="ArialNarrow" w:cstheme="minorHAnsi"/>
          <w:szCs w:val="20"/>
        </w:rPr>
        <w:t xml:space="preserve">ja Krapinsko-zagorske </w:t>
      </w:r>
      <w:r w:rsidRPr="009D6769">
        <w:rPr>
          <w:rFonts w:eastAsia="ArialNarrow" w:cstheme="minorHAnsi" w:hint="eastAsia"/>
          <w:szCs w:val="20"/>
        </w:rPr>
        <w:t>ž</w:t>
      </w:r>
      <w:r w:rsidRPr="009D6769">
        <w:rPr>
          <w:rFonts w:eastAsia="ArialNarrow" w:cstheme="minorHAnsi"/>
          <w:szCs w:val="20"/>
        </w:rPr>
        <w:t>upanije, na temelju Zakona o Hrvatskom registru o osobama s invaliditetom (NN 64/01), su o</w:t>
      </w:r>
      <w:r w:rsidRPr="009D6769">
        <w:rPr>
          <w:rFonts w:eastAsia="ArialNarrow" w:cstheme="minorHAnsi" w:hint="eastAsia"/>
          <w:szCs w:val="20"/>
        </w:rPr>
        <w:t>š</w:t>
      </w:r>
      <w:r w:rsidRPr="009D6769">
        <w:rPr>
          <w:rFonts w:eastAsia="ArialNarrow" w:cstheme="minorHAnsi"/>
          <w:szCs w:val="20"/>
        </w:rPr>
        <w:t>te</w:t>
      </w:r>
      <w:r w:rsidRPr="009D6769">
        <w:rPr>
          <w:rFonts w:eastAsia="ArialNarrow" w:cstheme="minorHAnsi" w:hint="eastAsia"/>
          <w:szCs w:val="20"/>
        </w:rPr>
        <w:t>ć</w:t>
      </w:r>
      <w:r w:rsidRPr="009D6769">
        <w:rPr>
          <w:rFonts w:eastAsia="ArialNarrow" w:cstheme="minorHAnsi"/>
          <w:szCs w:val="20"/>
        </w:rPr>
        <w:t>enja lokomotornog sustava</w:t>
      </w:r>
      <w:r>
        <w:rPr>
          <w:rFonts w:eastAsia="ArialNarrow" w:cstheme="minorHAnsi"/>
          <w:szCs w:val="20"/>
        </w:rPr>
        <w:t xml:space="preserve"> (6470 osoba)</w:t>
      </w:r>
      <w:r w:rsidRPr="009D6769">
        <w:rPr>
          <w:rFonts w:eastAsia="ArialNarrow" w:cstheme="minorHAnsi"/>
          <w:szCs w:val="20"/>
        </w:rPr>
        <w:t xml:space="preserve"> te mentalna o</w:t>
      </w:r>
      <w:r w:rsidRPr="009D6769">
        <w:rPr>
          <w:rFonts w:eastAsia="ArialNarrow" w:cstheme="minorHAnsi" w:hint="eastAsia"/>
          <w:szCs w:val="20"/>
        </w:rPr>
        <w:t>š</w:t>
      </w:r>
      <w:r w:rsidRPr="009D6769">
        <w:rPr>
          <w:rFonts w:eastAsia="ArialNarrow" w:cstheme="minorHAnsi"/>
          <w:szCs w:val="20"/>
        </w:rPr>
        <w:t>te</w:t>
      </w:r>
      <w:r w:rsidRPr="009D6769">
        <w:rPr>
          <w:rFonts w:eastAsia="ArialNarrow" w:cstheme="minorHAnsi" w:hint="eastAsia"/>
          <w:szCs w:val="20"/>
        </w:rPr>
        <w:t>ć</w:t>
      </w:r>
      <w:r w:rsidRPr="009D6769">
        <w:rPr>
          <w:rFonts w:eastAsia="ArialNarrow" w:cstheme="minorHAnsi"/>
          <w:szCs w:val="20"/>
        </w:rPr>
        <w:t>enja</w:t>
      </w:r>
      <w:r>
        <w:rPr>
          <w:rFonts w:eastAsia="ArialNarrow" w:cstheme="minorHAnsi"/>
          <w:szCs w:val="20"/>
        </w:rPr>
        <w:t xml:space="preserve"> (4973 osobe)</w:t>
      </w:r>
      <w:r w:rsidRPr="009D6769">
        <w:rPr>
          <w:rFonts w:eastAsia="ArialNarrow" w:cstheme="minorHAnsi"/>
          <w:szCs w:val="20"/>
        </w:rPr>
        <w:t>.</w:t>
      </w:r>
    </w:p>
    <w:bookmarkEnd w:id="89"/>
    <w:p w14:paraId="6A54BDFA" w14:textId="431D35BF" w:rsidR="007D47C0" w:rsidRDefault="007D47C0" w:rsidP="00941871">
      <w:pPr>
        <w:autoSpaceDE w:val="0"/>
        <w:autoSpaceDN w:val="0"/>
        <w:adjustRightInd w:val="0"/>
        <w:spacing w:after="0" w:line="240" w:lineRule="auto"/>
        <w:rPr>
          <w:rFonts w:eastAsia="ArialNarrow" w:cstheme="minorHAnsi"/>
          <w:szCs w:val="20"/>
        </w:rPr>
      </w:pPr>
    </w:p>
    <w:p w14:paraId="196F07E1" w14:textId="41DC6C5C" w:rsidR="009D6769" w:rsidRDefault="009D6769" w:rsidP="003E3F3C">
      <w:pPr>
        <w:pStyle w:val="Opisslike"/>
      </w:pPr>
      <w:r>
        <w:t xml:space="preserve">Tablica </w:t>
      </w:r>
      <w:r w:rsidR="00201691">
        <w:rPr>
          <w:noProof/>
        </w:rPr>
        <w:t>3</w:t>
      </w:r>
      <w:r w:rsidR="009A6A08">
        <w:rPr>
          <w:noProof/>
        </w:rPr>
        <w:t>4</w:t>
      </w:r>
      <w:r>
        <w:rPr>
          <w:noProof/>
        </w:rPr>
        <w:t>.</w:t>
      </w:r>
      <w:r>
        <w:t xml:space="preserve"> Najčešće vrste oštećenja kod osoba s invaliditetom s područja KZŽ</w:t>
      </w:r>
      <w:r w:rsidRPr="00365D46">
        <w:t xml:space="preserve"> </w:t>
      </w:r>
    </w:p>
    <w:tbl>
      <w:tblPr>
        <w:tblStyle w:val="Style2"/>
        <w:tblW w:w="0" w:type="auto"/>
        <w:tblLook w:val="04A0" w:firstRow="1" w:lastRow="0" w:firstColumn="1" w:lastColumn="0" w:noHBand="0" w:noVBand="1"/>
      </w:tblPr>
      <w:tblGrid>
        <w:gridCol w:w="3818"/>
        <w:gridCol w:w="2278"/>
        <w:gridCol w:w="3168"/>
      </w:tblGrid>
      <w:tr w:rsidR="00857DFC" w:rsidRPr="00857DFC" w14:paraId="0A886398" w14:textId="77777777" w:rsidTr="00185A7A">
        <w:trPr>
          <w:cnfStyle w:val="100000000000" w:firstRow="1" w:lastRow="0" w:firstColumn="0" w:lastColumn="0" w:oddVBand="0" w:evenVBand="0" w:oddHBand="0" w:evenHBand="0" w:firstRowFirstColumn="0" w:firstRowLastColumn="0" w:lastRowFirstColumn="0" w:lastRowLastColumn="0"/>
          <w:trHeight w:val="573"/>
        </w:trPr>
        <w:tc>
          <w:tcPr>
            <w:cnfStyle w:val="001000000000" w:firstRow="0" w:lastRow="0" w:firstColumn="1" w:lastColumn="0" w:oddVBand="0" w:evenVBand="0" w:oddHBand="0" w:evenHBand="0" w:firstRowFirstColumn="0" w:firstRowLastColumn="0" w:lastRowFirstColumn="0" w:lastRowLastColumn="0"/>
            <w:tcW w:w="3818" w:type="dxa"/>
            <w:noWrap/>
            <w:vAlign w:val="center"/>
            <w:hideMark/>
          </w:tcPr>
          <w:p w14:paraId="47DE7E61" w14:textId="77777777" w:rsidR="00857DFC" w:rsidRPr="00857DFC" w:rsidRDefault="00857DFC" w:rsidP="00185A7A">
            <w:pPr>
              <w:autoSpaceDE w:val="0"/>
              <w:autoSpaceDN w:val="0"/>
              <w:adjustRightInd w:val="0"/>
              <w:jc w:val="center"/>
              <w:rPr>
                <w:rFonts w:eastAsia="ArialNarrow" w:cstheme="minorHAnsi"/>
                <w:szCs w:val="20"/>
              </w:rPr>
            </w:pPr>
            <w:r w:rsidRPr="00857DFC">
              <w:rPr>
                <w:rFonts w:eastAsia="ArialNarrow" w:cstheme="minorHAnsi"/>
                <w:szCs w:val="20"/>
              </w:rPr>
              <w:t>VRSTA OŠTEĆENJA</w:t>
            </w:r>
          </w:p>
        </w:tc>
        <w:tc>
          <w:tcPr>
            <w:tcW w:w="2278" w:type="dxa"/>
            <w:noWrap/>
            <w:vAlign w:val="center"/>
            <w:hideMark/>
          </w:tcPr>
          <w:p w14:paraId="3DA32EB3" w14:textId="77777777" w:rsidR="00857DFC" w:rsidRPr="00857DFC" w:rsidRDefault="00857DFC" w:rsidP="00185A7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eastAsia="ArialNarrow" w:cstheme="minorHAnsi"/>
                <w:szCs w:val="20"/>
              </w:rPr>
            </w:pPr>
            <w:r w:rsidRPr="00857DFC">
              <w:rPr>
                <w:rFonts w:eastAsia="ArialNarrow" w:cstheme="minorHAnsi"/>
                <w:szCs w:val="20"/>
              </w:rPr>
              <w:t>UKUPAN BROJ</w:t>
            </w:r>
          </w:p>
        </w:tc>
        <w:tc>
          <w:tcPr>
            <w:tcW w:w="3168" w:type="dxa"/>
            <w:vAlign w:val="center"/>
            <w:hideMark/>
          </w:tcPr>
          <w:p w14:paraId="384357B4" w14:textId="77777777" w:rsidR="00857DFC" w:rsidRPr="00857DFC" w:rsidRDefault="00857DFC" w:rsidP="00185A7A">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eastAsia="ArialNarrow" w:cstheme="minorHAnsi"/>
                <w:szCs w:val="20"/>
              </w:rPr>
            </w:pPr>
            <w:r w:rsidRPr="00857DFC">
              <w:rPr>
                <w:rFonts w:eastAsia="ArialNarrow" w:cstheme="minorHAnsi"/>
                <w:szCs w:val="20"/>
              </w:rPr>
              <w:t>% OD UKUPNOG BROJA OSOBA S INVALIDITETOM</w:t>
            </w:r>
          </w:p>
        </w:tc>
      </w:tr>
      <w:tr w:rsidR="00857DFC" w:rsidRPr="00857DFC" w14:paraId="5DB89378" w14:textId="77777777" w:rsidTr="00675471">
        <w:trPr>
          <w:trHeight w:val="482"/>
        </w:trPr>
        <w:tc>
          <w:tcPr>
            <w:cnfStyle w:val="001000000000" w:firstRow="0" w:lastRow="0" w:firstColumn="1" w:lastColumn="0" w:oddVBand="0" w:evenVBand="0" w:oddHBand="0" w:evenHBand="0" w:firstRowFirstColumn="0" w:firstRowLastColumn="0" w:lastRowFirstColumn="0" w:lastRowLastColumn="0"/>
            <w:tcW w:w="3818" w:type="dxa"/>
            <w:tcBorders>
              <w:bottom w:val="single" w:sz="4" w:space="0" w:color="FFFFFF" w:themeColor="background1"/>
            </w:tcBorders>
            <w:vAlign w:val="center"/>
            <w:hideMark/>
          </w:tcPr>
          <w:p w14:paraId="2D617179" w14:textId="77777777" w:rsidR="00857DFC" w:rsidRPr="00185A7A" w:rsidRDefault="00857DFC" w:rsidP="008F5A72">
            <w:pPr>
              <w:jc w:val="left"/>
              <w:rPr>
                <w:rFonts w:eastAsia="ArialNarrow" w:cstheme="minorHAnsi"/>
                <w:color w:val="FFFFFF" w:themeColor="background1"/>
                <w:szCs w:val="20"/>
              </w:rPr>
            </w:pPr>
            <w:r w:rsidRPr="008F5A72">
              <w:rPr>
                <w:rFonts w:eastAsia="Times New Roman" w:cstheme="minorHAnsi"/>
                <w:color w:val="FFFFFF"/>
              </w:rPr>
              <w:t>Oštećenje lokomotornog sustava</w:t>
            </w:r>
          </w:p>
        </w:tc>
        <w:tc>
          <w:tcPr>
            <w:tcW w:w="2278" w:type="dxa"/>
            <w:tcBorders>
              <w:bottom w:val="single" w:sz="4" w:space="0" w:color="D2232A" w:themeColor="accent1"/>
              <w:right w:val="single" w:sz="4" w:space="0" w:color="D2232A" w:themeColor="accent1"/>
            </w:tcBorders>
            <w:noWrap/>
            <w:vAlign w:val="center"/>
            <w:hideMark/>
          </w:tcPr>
          <w:p w14:paraId="0E4AEBBA" w14:textId="022C7C40"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6470</w:t>
            </w:r>
          </w:p>
        </w:tc>
        <w:tc>
          <w:tcPr>
            <w:tcW w:w="3168" w:type="dxa"/>
            <w:tcBorders>
              <w:left w:val="single" w:sz="4" w:space="0" w:color="D2232A" w:themeColor="accent1"/>
              <w:bottom w:val="single" w:sz="4" w:space="0" w:color="D2232A" w:themeColor="accent1"/>
              <w:right w:val="single" w:sz="4" w:space="0" w:color="D2232A" w:themeColor="accent1"/>
            </w:tcBorders>
            <w:noWrap/>
            <w:vAlign w:val="center"/>
            <w:hideMark/>
          </w:tcPr>
          <w:p w14:paraId="6B41FDF5" w14:textId="2955362D"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34,3</w:t>
            </w:r>
          </w:p>
        </w:tc>
      </w:tr>
      <w:tr w:rsidR="00857DFC" w:rsidRPr="00857DFC" w14:paraId="2221B871" w14:textId="77777777" w:rsidTr="00675471">
        <w:trPr>
          <w:trHeight w:val="420"/>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FFFFFF" w:themeColor="background1"/>
            </w:tcBorders>
            <w:vAlign w:val="center"/>
            <w:hideMark/>
          </w:tcPr>
          <w:p w14:paraId="0CFE38FD"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t>Mentalna oštećenja</w:t>
            </w:r>
          </w:p>
        </w:tc>
        <w:tc>
          <w:tcPr>
            <w:tcW w:w="2278" w:type="dxa"/>
            <w:tcBorders>
              <w:top w:val="single" w:sz="4" w:space="0" w:color="D2232A" w:themeColor="accent1"/>
              <w:bottom w:val="single" w:sz="4" w:space="0" w:color="D2232A" w:themeColor="accent1"/>
              <w:right w:val="single" w:sz="4" w:space="0" w:color="D2232A" w:themeColor="accent1"/>
            </w:tcBorders>
            <w:noWrap/>
            <w:vAlign w:val="center"/>
            <w:hideMark/>
          </w:tcPr>
          <w:p w14:paraId="0FDD05F3" w14:textId="41377B64" w:rsidR="00675471"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4973</w:t>
            </w:r>
          </w:p>
        </w:tc>
        <w:tc>
          <w:tcPr>
            <w:tcW w:w="3168"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noWrap/>
            <w:vAlign w:val="center"/>
            <w:hideMark/>
          </w:tcPr>
          <w:p w14:paraId="2D39EC0F" w14:textId="1328AADA"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26,4</w:t>
            </w:r>
          </w:p>
        </w:tc>
      </w:tr>
      <w:tr w:rsidR="00857DFC" w:rsidRPr="00857DFC" w14:paraId="6120680D" w14:textId="77777777" w:rsidTr="00675471">
        <w:trPr>
          <w:trHeight w:val="395"/>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FFFFFF" w:themeColor="background1"/>
            </w:tcBorders>
            <w:vAlign w:val="center"/>
            <w:hideMark/>
          </w:tcPr>
          <w:p w14:paraId="02AD9B59"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t>Oštećenja drugih organa</w:t>
            </w:r>
          </w:p>
        </w:tc>
        <w:tc>
          <w:tcPr>
            <w:tcW w:w="2278" w:type="dxa"/>
            <w:tcBorders>
              <w:top w:val="single" w:sz="4" w:space="0" w:color="D2232A" w:themeColor="accent1"/>
              <w:bottom w:val="single" w:sz="4" w:space="0" w:color="D2232A" w:themeColor="accent1"/>
              <w:right w:val="single" w:sz="4" w:space="0" w:color="D2232A" w:themeColor="accent1"/>
            </w:tcBorders>
            <w:noWrap/>
            <w:vAlign w:val="center"/>
            <w:hideMark/>
          </w:tcPr>
          <w:p w14:paraId="592D6612" w14:textId="53383442"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4790</w:t>
            </w:r>
          </w:p>
        </w:tc>
        <w:tc>
          <w:tcPr>
            <w:tcW w:w="3168"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noWrap/>
            <w:vAlign w:val="center"/>
            <w:hideMark/>
          </w:tcPr>
          <w:p w14:paraId="3DB197FC" w14:textId="5598F890"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25,4</w:t>
            </w:r>
          </w:p>
        </w:tc>
      </w:tr>
      <w:tr w:rsidR="00857DFC" w:rsidRPr="00857DFC" w14:paraId="5D2F0614" w14:textId="77777777" w:rsidTr="00675471">
        <w:trPr>
          <w:trHeight w:val="385"/>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FFFFFF" w:themeColor="background1"/>
            </w:tcBorders>
            <w:vAlign w:val="center"/>
            <w:hideMark/>
          </w:tcPr>
          <w:p w14:paraId="33449BD5"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lastRenderedPageBreak/>
              <w:t>Oštećenje središnjeg živčanog sustava</w:t>
            </w:r>
          </w:p>
        </w:tc>
        <w:tc>
          <w:tcPr>
            <w:tcW w:w="2278" w:type="dxa"/>
            <w:tcBorders>
              <w:top w:val="single" w:sz="4" w:space="0" w:color="D2232A" w:themeColor="accent1"/>
              <w:bottom w:val="single" w:sz="4" w:space="0" w:color="D2232A" w:themeColor="accent1"/>
              <w:right w:val="single" w:sz="4" w:space="0" w:color="D2232A" w:themeColor="accent1"/>
            </w:tcBorders>
            <w:noWrap/>
            <w:vAlign w:val="center"/>
            <w:hideMark/>
          </w:tcPr>
          <w:p w14:paraId="6A1AFD70" w14:textId="0927D43E"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3515</w:t>
            </w:r>
          </w:p>
        </w:tc>
        <w:tc>
          <w:tcPr>
            <w:tcW w:w="3168"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noWrap/>
            <w:vAlign w:val="center"/>
            <w:hideMark/>
          </w:tcPr>
          <w:p w14:paraId="2879A155" w14:textId="5C1D229A"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18,6</w:t>
            </w:r>
          </w:p>
        </w:tc>
      </w:tr>
      <w:tr w:rsidR="00857DFC" w:rsidRPr="00857DFC" w14:paraId="015C32A2" w14:textId="77777777" w:rsidTr="00675471">
        <w:trPr>
          <w:trHeight w:val="467"/>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FFFFFF" w:themeColor="background1"/>
            </w:tcBorders>
            <w:vAlign w:val="center"/>
            <w:hideMark/>
          </w:tcPr>
          <w:p w14:paraId="7009230D"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t>Oštećenje glasovno govorne komuikacije</w:t>
            </w:r>
          </w:p>
        </w:tc>
        <w:tc>
          <w:tcPr>
            <w:tcW w:w="2278" w:type="dxa"/>
            <w:tcBorders>
              <w:top w:val="single" w:sz="4" w:space="0" w:color="D2232A" w:themeColor="accent1"/>
              <w:bottom w:val="single" w:sz="4" w:space="0" w:color="D2232A" w:themeColor="accent1"/>
              <w:right w:val="single" w:sz="4" w:space="0" w:color="D2232A" w:themeColor="accent1"/>
            </w:tcBorders>
            <w:noWrap/>
            <w:vAlign w:val="center"/>
            <w:hideMark/>
          </w:tcPr>
          <w:p w14:paraId="2992983E" w14:textId="0AC2EFD1"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1427</w:t>
            </w:r>
          </w:p>
        </w:tc>
        <w:tc>
          <w:tcPr>
            <w:tcW w:w="3168"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noWrap/>
            <w:vAlign w:val="center"/>
            <w:hideMark/>
          </w:tcPr>
          <w:p w14:paraId="77E7595D" w14:textId="45EA2A9D"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7,6</w:t>
            </w:r>
          </w:p>
        </w:tc>
      </w:tr>
      <w:tr w:rsidR="00857DFC" w:rsidRPr="00857DFC" w14:paraId="62ECBB76" w14:textId="77777777" w:rsidTr="00675471">
        <w:trPr>
          <w:trHeight w:val="417"/>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FFFFFF" w:themeColor="background1"/>
            </w:tcBorders>
            <w:vAlign w:val="center"/>
            <w:hideMark/>
          </w:tcPr>
          <w:p w14:paraId="490F2F6B"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t>Intelektualna oštećenja</w:t>
            </w:r>
          </w:p>
        </w:tc>
        <w:tc>
          <w:tcPr>
            <w:tcW w:w="2278" w:type="dxa"/>
            <w:tcBorders>
              <w:top w:val="single" w:sz="4" w:space="0" w:color="D2232A" w:themeColor="accent1"/>
              <w:bottom w:val="single" w:sz="4" w:space="0" w:color="D2232A" w:themeColor="accent1"/>
              <w:right w:val="single" w:sz="4" w:space="0" w:color="D2232A" w:themeColor="accent1"/>
            </w:tcBorders>
            <w:noWrap/>
            <w:vAlign w:val="center"/>
            <w:hideMark/>
          </w:tcPr>
          <w:p w14:paraId="669AE90C" w14:textId="1CBFD4CE"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1149</w:t>
            </w:r>
          </w:p>
        </w:tc>
        <w:tc>
          <w:tcPr>
            <w:tcW w:w="3168"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noWrap/>
            <w:vAlign w:val="center"/>
            <w:hideMark/>
          </w:tcPr>
          <w:p w14:paraId="5FEB5A1C" w14:textId="3BEBFD4F"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6,1</w:t>
            </w:r>
          </w:p>
        </w:tc>
      </w:tr>
      <w:tr w:rsidR="00857DFC" w:rsidRPr="00857DFC" w14:paraId="4C9209C0" w14:textId="77777777" w:rsidTr="00675471">
        <w:trPr>
          <w:trHeight w:val="409"/>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FFFFFF" w:themeColor="background1"/>
            </w:tcBorders>
            <w:vAlign w:val="center"/>
            <w:hideMark/>
          </w:tcPr>
          <w:p w14:paraId="2EE08F29"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t>Oštećenje vida</w:t>
            </w:r>
          </w:p>
        </w:tc>
        <w:tc>
          <w:tcPr>
            <w:tcW w:w="2278" w:type="dxa"/>
            <w:tcBorders>
              <w:top w:val="single" w:sz="4" w:space="0" w:color="D2232A" w:themeColor="accent1"/>
              <w:bottom w:val="single" w:sz="4" w:space="0" w:color="D2232A" w:themeColor="accent1"/>
              <w:right w:val="single" w:sz="4" w:space="0" w:color="D2232A" w:themeColor="accent1"/>
            </w:tcBorders>
            <w:noWrap/>
            <w:vAlign w:val="center"/>
            <w:hideMark/>
          </w:tcPr>
          <w:p w14:paraId="77E0E3F2" w14:textId="54B8036F"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959</w:t>
            </w:r>
          </w:p>
        </w:tc>
        <w:tc>
          <w:tcPr>
            <w:tcW w:w="3168"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noWrap/>
            <w:vAlign w:val="center"/>
            <w:hideMark/>
          </w:tcPr>
          <w:p w14:paraId="0995A2C5" w14:textId="4BBAF9E2"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5,1</w:t>
            </w:r>
          </w:p>
        </w:tc>
      </w:tr>
      <w:tr w:rsidR="00857DFC" w:rsidRPr="00857DFC" w14:paraId="2236F5ED" w14:textId="77777777" w:rsidTr="00675471">
        <w:trPr>
          <w:trHeight w:val="415"/>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FFFFFF" w:themeColor="background1"/>
            </w:tcBorders>
            <w:vAlign w:val="center"/>
            <w:hideMark/>
          </w:tcPr>
          <w:p w14:paraId="198CEEB5"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t>Prirođene anomalije i kromosomopatije</w:t>
            </w:r>
          </w:p>
        </w:tc>
        <w:tc>
          <w:tcPr>
            <w:tcW w:w="2278" w:type="dxa"/>
            <w:tcBorders>
              <w:top w:val="single" w:sz="4" w:space="0" w:color="D2232A" w:themeColor="accent1"/>
              <w:bottom w:val="single" w:sz="4" w:space="0" w:color="D2232A" w:themeColor="accent1"/>
              <w:right w:val="single" w:sz="4" w:space="0" w:color="D2232A" w:themeColor="accent1"/>
            </w:tcBorders>
            <w:noWrap/>
            <w:vAlign w:val="center"/>
            <w:hideMark/>
          </w:tcPr>
          <w:p w14:paraId="4EAE5511" w14:textId="0F1CAE91"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528</w:t>
            </w:r>
          </w:p>
        </w:tc>
        <w:tc>
          <w:tcPr>
            <w:tcW w:w="3168"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noWrap/>
            <w:vAlign w:val="center"/>
            <w:hideMark/>
          </w:tcPr>
          <w:p w14:paraId="110259AD" w14:textId="0C6F9A57"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2,8</w:t>
            </w:r>
          </w:p>
        </w:tc>
      </w:tr>
      <w:tr w:rsidR="00857DFC" w:rsidRPr="00857DFC" w14:paraId="7CCDB768" w14:textId="77777777" w:rsidTr="00675471">
        <w:trPr>
          <w:trHeight w:val="421"/>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FFFFFF" w:themeColor="background1"/>
            </w:tcBorders>
            <w:vAlign w:val="center"/>
            <w:hideMark/>
          </w:tcPr>
          <w:p w14:paraId="318541CA"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t>Oštećenje sluha</w:t>
            </w:r>
          </w:p>
        </w:tc>
        <w:tc>
          <w:tcPr>
            <w:tcW w:w="2278" w:type="dxa"/>
            <w:tcBorders>
              <w:bottom w:val="single" w:sz="4" w:space="0" w:color="D2232A" w:themeColor="accent1"/>
              <w:right w:val="single" w:sz="4" w:space="0" w:color="D2232A" w:themeColor="accent1"/>
            </w:tcBorders>
            <w:noWrap/>
            <w:vAlign w:val="center"/>
            <w:hideMark/>
          </w:tcPr>
          <w:p w14:paraId="6039C12A" w14:textId="37FE43C1"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490</w:t>
            </w:r>
          </w:p>
        </w:tc>
        <w:tc>
          <w:tcPr>
            <w:tcW w:w="3168" w:type="dxa"/>
            <w:tcBorders>
              <w:left w:val="single" w:sz="4" w:space="0" w:color="D2232A" w:themeColor="accent1"/>
              <w:bottom w:val="single" w:sz="4" w:space="0" w:color="D2232A" w:themeColor="accent1"/>
              <w:right w:val="single" w:sz="4" w:space="0" w:color="D2232A" w:themeColor="accent1"/>
            </w:tcBorders>
            <w:noWrap/>
            <w:vAlign w:val="center"/>
            <w:hideMark/>
          </w:tcPr>
          <w:p w14:paraId="22B45FD8" w14:textId="67FED47C"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2,6</w:t>
            </w:r>
          </w:p>
        </w:tc>
      </w:tr>
      <w:tr w:rsidR="00857DFC" w:rsidRPr="00857DFC" w14:paraId="47EAF7A8" w14:textId="77777777" w:rsidTr="00675471">
        <w:trPr>
          <w:trHeight w:val="412"/>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FFFFFF" w:themeColor="background1"/>
            </w:tcBorders>
            <w:vAlign w:val="center"/>
            <w:hideMark/>
          </w:tcPr>
          <w:p w14:paraId="7B021E18"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t>Oštećenje perifernog živčanog sustava</w:t>
            </w:r>
          </w:p>
        </w:tc>
        <w:tc>
          <w:tcPr>
            <w:tcW w:w="2278" w:type="dxa"/>
            <w:tcBorders>
              <w:bottom w:val="single" w:sz="4" w:space="0" w:color="D2232A" w:themeColor="accent1"/>
              <w:right w:val="single" w:sz="4" w:space="0" w:color="D2232A" w:themeColor="accent1"/>
            </w:tcBorders>
            <w:noWrap/>
            <w:vAlign w:val="center"/>
            <w:hideMark/>
          </w:tcPr>
          <w:p w14:paraId="1B496EBD" w14:textId="792C578A"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399</w:t>
            </w:r>
          </w:p>
        </w:tc>
        <w:tc>
          <w:tcPr>
            <w:tcW w:w="3168" w:type="dxa"/>
            <w:tcBorders>
              <w:left w:val="single" w:sz="4" w:space="0" w:color="D2232A" w:themeColor="accent1"/>
              <w:bottom w:val="single" w:sz="4" w:space="0" w:color="D2232A" w:themeColor="accent1"/>
              <w:right w:val="single" w:sz="4" w:space="0" w:color="D2232A" w:themeColor="accent1"/>
            </w:tcBorders>
            <w:noWrap/>
            <w:vAlign w:val="center"/>
            <w:hideMark/>
          </w:tcPr>
          <w:p w14:paraId="6B2A116A" w14:textId="5D898EB2"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2,1</w:t>
            </w:r>
          </w:p>
        </w:tc>
      </w:tr>
      <w:tr w:rsidR="00857DFC" w:rsidRPr="00857DFC" w14:paraId="0338EF3F" w14:textId="77777777" w:rsidTr="00675471">
        <w:trPr>
          <w:trHeight w:val="277"/>
        </w:trPr>
        <w:tc>
          <w:tcPr>
            <w:cnfStyle w:val="001000000000" w:firstRow="0" w:lastRow="0" w:firstColumn="1" w:lastColumn="0" w:oddVBand="0" w:evenVBand="0" w:oddHBand="0" w:evenHBand="0" w:firstRowFirstColumn="0" w:firstRowLastColumn="0" w:lastRowFirstColumn="0" w:lastRowLastColumn="0"/>
            <w:tcW w:w="3818" w:type="dxa"/>
            <w:tcBorders>
              <w:top w:val="single" w:sz="4" w:space="0" w:color="FFFFFF" w:themeColor="background1"/>
              <w:bottom w:val="single" w:sz="4" w:space="0" w:color="D2232A" w:themeColor="accent1"/>
            </w:tcBorders>
            <w:vAlign w:val="center"/>
            <w:hideMark/>
          </w:tcPr>
          <w:p w14:paraId="1C2BD474" w14:textId="77777777" w:rsidR="00857DFC" w:rsidRPr="00185A7A" w:rsidRDefault="00857DFC" w:rsidP="00675471">
            <w:pPr>
              <w:autoSpaceDE w:val="0"/>
              <w:autoSpaceDN w:val="0"/>
              <w:adjustRightInd w:val="0"/>
              <w:jc w:val="left"/>
              <w:rPr>
                <w:rFonts w:eastAsia="ArialNarrow" w:cstheme="minorHAnsi"/>
                <w:color w:val="FFFFFF" w:themeColor="background1"/>
                <w:szCs w:val="20"/>
              </w:rPr>
            </w:pPr>
            <w:r w:rsidRPr="00185A7A">
              <w:rPr>
                <w:rFonts w:eastAsia="ArialNarrow" w:cstheme="minorHAnsi"/>
                <w:color w:val="FFFFFF" w:themeColor="background1"/>
                <w:szCs w:val="20"/>
              </w:rPr>
              <w:t>Autizam</w:t>
            </w:r>
          </w:p>
        </w:tc>
        <w:tc>
          <w:tcPr>
            <w:tcW w:w="2278" w:type="dxa"/>
            <w:tcBorders>
              <w:top w:val="single" w:sz="4" w:space="0" w:color="D2232A" w:themeColor="accent1"/>
              <w:bottom w:val="single" w:sz="4" w:space="0" w:color="D2232A" w:themeColor="accent1"/>
              <w:right w:val="single" w:sz="4" w:space="0" w:color="D2232A" w:themeColor="accent1"/>
            </w:tcBorders>
            <w:noWrap/>
            <w:vAlign w:val="center"/>
            <w:hideMark/>
          </w:tcPr>
          <w:p w14:paraId="5882399C" w14:textId="3B780521" w:rsidR="00857DFC" w:rsidRPr="00857DFC" w:rsidRDefault="00675471"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56</w:t>
            </w:r>
          </w:p>
        </w:tc>
        <w:tc>
          <w:tcPr>
            <w:tcW w:w="3168" w:type="dxa"/>
            <w:tcBorders>
              <w:top w:val="single" w:sz="4" w:space="0" w:color="D2232A" w:themeColor="accent1"/>
              <w:left w:val="single" w:sz="4" w:space="0" w:color="D2232A" w:themeColor="accent1"/>
              <w:bottom w:val="single" w:sz="4" w:space="0" w:color="D2232A" w:themeColor="accent1"/>
              <w:right w:val="single" w:sz="4" w:space="0" w:color="D2232A" w:themeColor="accent1"/>
            </w:tcBorders>
            <w:noWrap/>
            <w:vAlign w:val="center"/>
            <w:hideMark/>
          </w:tcPr>
          <w:p w14:paraId="16E8FCDA" w14:textId="2EE6C704" w:rsidR="00857DFC" w:rsidRPr="00857DFC" w:rsidRDefault="00BB0A6E" w:rsidP="00675471">
            <w:pPr>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eastAsia="ArialNarrow" w:cstheme="minorHAnsi"/>
                <w:szCs w:val="20"/>
              </w:rPr>
            </w:pPr>
            <w:r>
              <w:rPr>
                <w:rFonts w:eastAsia="ArialNarrow" w:cstheme="minorHAnsi"/>
                <w:szCs w:val="20"/>
              </w:rPr>
              <w:t>0,3</w:t>
            </w:r>
          </w:p>
        </w:tc>
      </w:tr>
    </w:tbl>
    <w:p w14:paraId="2DC8190E" w14:textId="77777777" w:rsidR="00185A7A" w:rsidRPr="001077FE" w:rsidRDefault="00185A7A" w:rsidP="00185A7A">
      <w:pPr>
        <w:autoSpaceDE w:val="0"/>
        <w:autoSpaceDN w:val="0"/>
        <w:adjustRightInd w:val="0"/>
        <w:spacing w:after="0" w:line="240" w:lineRule="auto"/>
        <w:rPr>
          <w:rFonts w:eastAsia="ArialNarrow" w:cstheme="minorHAnsi"/>
          <w:i/>
          <w:color w:val="ABABAB" w:themeColor="text1" w:themeTint="A6"/>
          <w:sz w:val="16"/>
          <w:szCs w:val="16"/>
        </w:rPr>
      </w:pPr>
      <w:r w:rsidRPr="001077FE">
        <w:rPr>
          <w:rFonts w:eastAsia="ArialNarrow" w:cstheme="minorHAnsi"/>
          <w:i/>
          <w:color w:val="ABABAB" w:themeColor="text1" w:themeTint="A6"/>
          <w:sz w:val="16"/>
          <w:szCs w:val="16"/>
        </w:rPr>
        <w:t>Izvor: Izvješće o osobama s invaliditetom u Republici Hrvatskoj, svibanj 2019., Hrvatski zavod za javno zdravstvo</w:t>
      </w:r>
    </w:p>
    <w:p w14:paraId="4E1C2F4D" w14:textId="77777777" w:rsidR="00185A7A" w:rsidRDefault="00185A7A" w:rsidP="00857DFC">
      <w:pPr>
        <w:autoSpaceDE w:val="0"/>
        <w:autoSpaceDN w:val="0"/>
        <w:adjustRightInd w:val="0"/>
        <w:spacing w:after="0" w:line="240" w:lineRule="auto"/>
        <w:rPr>
          <w:rFonts w:eastAsia="ArialNarrow" w:cstheme="minorHAnsi"/>
          <w:szCs w:val="20"/>
        </w:rPr>
      </w:pPr>
    </w:p>
    <w:p w14:paraId="3CAB64E9" w14:textId="47FFB1C3" w:rsidR="00857DFC" w:rsidRDefault="00857DFC" w:rsidP="00857DFC">
      <w:pPr>
        <w:autoSpaceDE w:val="0"/>
        <w:autoSpaceDN w:val="0"/>
        <w:adjustRightInd w:val="0"/>
        <w:spacing w:after="0" w:line="240" w:lineRule="auto"/>
        <w:rPr>
          <w:rFonts w:eastAsia="ArialNarrow" w:cstheme="minorHAnsi"/>
          <w:szCs w:val="20"/>
        </w:rPr>
      </w:pPr>
      <w:r w:rsidRPr="00857DFC">
        <w:rPr>
          <w:rFonts w:eastAsia="ArialNarrow" w:cstheme="minorHAnsi"/>
          <w:szCs w:val="20"/>
        </w:rPr>
        <w:t xml:space="preserve">Krapinsko-zagorska županija u suradnji s Koordinacijom udruga osoba s invaliditetom, odnosno predstavnicima svih udruga osoba s invaliditetom na području Krapinsko-zagorske županije tradicionalno </w:t>
      </w:r>
      <w:r>
        <w:rPr>
          <w:rFonts w:eastAsia="ArialNarrow" w:cstheme="minorHAnsi"/>
          <w:szCs w:val="20"/>
        </w:rPr>
        <w:t xml:space="preserve">svake godine </w:t>
      </w:r>
      <w:r w:rsidRPr="00857DFC">
        <w:rPr>
          <w:rFonts w:eastAsia="ArialNarrow" w:cstheme="minorHAnsi"/>
          <w:szCs w:val="20"/>
        </w:rPr>
        <w:t xml:space="preserve">organizira </w:t>
      </w:r>
      <w:r>
        <w:rPr>
          <w:rFonts w:eastAsia="ArialNarrow" w:cstheme="minorHAnsi"/>
          <w:szCs w:val="20"/>
        </w:rPr>
        <w:t>obilježavanje Međunarodnog dana osoba s invaliditetom.</w:t>
      </w:r>
      <w:r w:rsidRPr="00857DFC">
        <w:rPr>
          <w:rFonts w:eastAsia="ArialNarrow" w:cstheme="minorHAnsi"/>
          <w:szCs w:val="20"/>
        </w:rPr>
        <w:t xml:space="preserve"> Ranijih godina obilježavalo se putem manifestacija, okruglih stolova, mimohoda i slično</w:t>
      </w:r>
      <w:r>
        <w:rPr>
          <w:rFonts w:eastAsia="ArialNarrow" w:cstheme="minorHAnsi"/>
          <w:szCs w:val="20"/>
        </w:rPr>
        <w:t xml:space="preserve"> no z</w:t>
      </w:r>
      <w:r w:rsidRPr="00857DFC">
        <w:rPr>
          <w:rFonts w:eastAsia="ArialNarrow" w:cstheme="minorHAnsi"/>
          <w:szCs w:val="20"/>
        </w:rPr>
        <w:t xml:space="preserve">bog epidemiološke situacije </w:t>
      </w:r>
      <w:r>
        <w:rPr>
          <w:rFonts w:eastAsia="ArialNarrow" w:cstheme="minorHAnsi"/>
          <w:szCs w:val="20"/>
        </w:rPr>
        <w:t>u 2020. godini</w:t>
      </w:r>
      <w:r w:rsidRPr="00857DFC">
        <w:rPr>
          <w:rFonts w:eastAsia="ArialNarrow" w:cstheme="minorHAnsi"/>
          <w:szCs w:val="20"/>
        </w:rPr>
        <w:t xml:space="preserve"> </w:t>
      </w:r>
      <w:r>
        <w:rPr>
          <w:rFonts w:eastAsia="ArialNarrow" w:cstheme="minorHAnsi"/>
          <w:szCs w:val="20"/>
        </w:rPr>
        <w:t>dan se obilježio</w:t>
      </w:r>
      <w:r w:rsidRPr="00857DFC">
        <w:rPr>
          <w:rFonts w:eastAsia="ArialNarrow" w:cstheme="minorHAnsi"/>
          <w:szCs w:val="20"/>
        </w:rPr>
        <w:t xml:space="preserve"> zajednički</w:t>
      </w:r>
      <w:r>
        <w:rPr>
          <w:rFonts w:eastAsia="ArialNarrow" w:cstheme="minorHAnsi"/>
          <w:szCs w:val="20"/>
        </w:rPr>
        <w:t>m</w:t>
      </w:r>
      <w:r w:rsidRPr="00857DFC">
        <w:rPr>
          <w:rFonts w:eastAsia="ArialNarrow" w:cstheme="minorHAnsi"/>
          <w:szCs w:val="20"/>
        </w:rPr>
        <w:t xml:space="preserve"> on-line tematski</w:t>
      </w:r>
      <w:r>
        <w:rPr>
          <w:rFonts w:eastAsia="ArialNarrow" w:cstheme="minorHAnsi"/>
          <w:szCs w:val="20"/>
        </w:rPr>
        <w:t xml:space="preserve">m </w:t>
      </w:r>
      <w:r w:rsidRPr="00857DFC">
        <w:rPr>
          <w:rFonts w:eastAsia="ArialNarrow" w:cstheme="minorHAnsi"/>
          <w:szCs w:val="20"/>
        </w:rPr>
        <w:t>sastan</w:t>
      </w:r>
      <w:r>
        <w:rPr>
          <w:rFonts w:eastAsia="ArialNarrow" w:cstheme="minorHAnsi"/>
          <w:szCs w:val="20"/>
        </w:rPr>
        <w:t>kom</w:t>
      </w:r>
      <w:r w:rsidRPr="00857DFC">
        <w:rPr>
          <w:rFonts w:eastAsia="ArialNarrow" w:cstheme="minorHAnsi"/>
          <w:szCs w:val="20"/>
        </w:rPr>
        <w:t xml:space="preserve"> 4. prosinca 2020. godine na temu: Izazovi rada udruga i života pojedinaca u doba pandemije. Na sastanku </w:t>
      </w:r>
      <w:r>
        <w:rPr>
          <w:rFonts w:eastAsia="ArialNarrow" w:cstheme="minorHAnsi"/>
          <w:szCs w:val="20"/>
        </w:rPr>
        <w:t xml:space="preserve">su </w:t>
      </w:r>
      <w:r w:rsidRPr="00857DFC">
        <w:rPr>
          <w:rFonts w:eastAsia="ArialNarrow" w:cstheme="minorHAnsi"/>
          <w:szCs w:val="20"/>
        </w:rPr>
        <w:t>se razmijenila iskustva u funkcioniranju udruga i pokušala iznaći rješenja za što uspješnije prevladavanje teškoća uzrokovanih pandemijom virusa</w:t>
      </w:r>
      <w:r>
        <w:rPr>
          <w:rFonts w:eastAsia="ArialNarrow" w:cstheme="minorHAnsi"/>
          <w:szCs w:val="20"/>
        </w:rPr>
        <w:t xml:space="preserve">. </w:t>
      </w:r>
      <w:r w:rsidRPr="00857DFC">
        <w:rPr>
          <w:rFonts w:eastAsia="ArialNarrow" w:cstheme="minorHAnsi"/>
          <w:szCs w:val="20"/>
        </w:rPr>
        <w:t>Pandemija virusa COVID-19 unijela je značajne promjene u svakodnevicu i radno okruženje. Posebnu pozornost potrebno je obratiti pružanju podrške osobama s invaliditetom, koje ne samo da su u većem riziku od zaraze COVID-19, već imaju i više teškoća u pridržavanju mjera opreza, kao i fizičkog distanciranja. Tu je i pitanje zaštite mentalnog zdravlja, odnosno nošenje sa strahom koji je vezan za virus, a nastavno na sve njihove popratne zdravstvene probleme s kojima se susreću na dnevnoj bazi.</w:t>
      </w:r>
    </w:p>
    <w:p w14:paraId="452928F2" w14:textId="77777777" w:rsidR="00185A7A" w:rsidRPr="00857DFC" w:rsidRDefault="00185A7A" w:rsidP="00857DFC">
      <w:pPr>
        <w:autoSpaceDE w:val="0"/>
        <w:autoSpaceDN w:val="0"/>
        <w:adjustRightInd w:val="0"/>
        <w:spacing w:after="0" w:line="240" w:lineRule="auto"/>
        <w:rPr>
          <w:rFonts w:eastAsia="ArialNarrow" w:cstheme="minorHAnsi"/>
          <w:szCs w:val="20"/>
        </w:rPr>
      </w:pPr>
    </w:p>
    <w:p w14:paraId="79118D18" w14:textId="0E2453DD" w:rsidR="008878A0" w:rsidRDefault="008878A0" w:rsidP="002A5B85">
      <w:pPr>
        <w:shd w:val="clear" w:color="auto" w:fill="E5E5E5" w:themeFill="text1" w:themeFillTint="33"/>
        <w:rPr>
          <w:b/>
          <w:bCs/>
        </w:rPr>
      </w:pPr>
      <w:r w:rsidRPr="0088613C">
        <w:rPr>
          <w:b/>
          <w:bCs/>
        </w:rPr>
        <w:t>Zaključak</w:t>
      </w:r>
    </w:p>
    <w:p w14:paraId="36798808" w14:textId="77777777" w:rsidR="00481816" w:rsidRDefault="00481816" w:rsidP="002A5B85">
      <w:pPr>
        <w:shd w:val="clear" w:color="auto" w:fill="E5E5E5" w:themeFill="text1" w:themeFillTint="33"/>
        <w:rPr>
          <w:rFonts w:eastAsiaTheme="minorHAnsi"/>
          <w:szCs w:val="22"/>
        </w:rPr>
      </w:pPr>
      <w:r w:rsidRPr="00481816">
        <w:rPr>
          <w:rFonts w:eastAsiaTheme="minorHAnsi"/>
          <w:szCs w:val="22"/>
        </w:rPr>
        <w:t xml:space="preserve">Prema podacima Ankete, stopa rizika od siromaštva u 2019. na razini Republike Hrvatske iznosi 18,3%. </w:t>
      </w:r>
      <w:r w:rsidR="002B5D78" w:rsidRPr="002B5D78">
        <w:rPr>
          <w:rFonts w:eastAsiaTheme="minorHAnsi"/>
          <w:szCs w:val="22"/>
        </w:rPr>
        <w:t>Stopa rizika od siromaštva za stanovnike Krapinsko-zagorske županije na približno je istoj razini kao i za stanovnike Republike Hrvatske. Broj korisnika zajamčene minimalne naknade kao i broj jednokratnih naknada je u padu, dok broj osobnih invalidnina i broj isplaćenih doplataka za pomoć i njegu kontinuirano raste. Broj korisnika ostalih vrsta novčanih pomoći i potpora značajno se ne mijenja u promatranom periodu od proteklih nekoliko godina.</w:t>
      </w:r>
    </w:p>
    <w:p w14:paraId="7B3BBC6D" w14:textId="3D2EBC13" w:rsidR="00481816" w:rsidRDefault="002B5D78" w:rsidP="002A5B85">
      <w:pPr>
        <w:shd w:val="clear" w:color="auto" w:fill="E5E5E5" w:themeFill="text1" w:themeFillTint="33"/>
        <w:rPr>
          <w:rFonts w:eastAsiaTheme="minorHAnsi"/>
          <w:szCs w:val="22"/>
        </w:rPr>
      </w:pPr>
      <w:r w:rsidRPr="002B5D78">
        <w:rPr>
          <w:rFonts w:eastAsiaTheme="minorHAnsi"/>
          <w:szCs w:val="22"/>
        </w:rPr>
        <w:t xml:space="preserve">Usluge socijalne skrbi na području Krapinsko-zagorske županije pružaju centri za socijalnu skrb (4 centra za socijalnu skrb: Donja Stubica, Krapina, Zabok i Zlatar Bistrica te tri podružnice: Pregrada, Klanjec i CZSS Krapina - podružnica Obiteljskog centra), </w:t>
      </w:r>
      <w:r w:rsidR="009E734D">
        <w:rPr>
          <w:rFonts w:eastAsiaTheme="minorHAnsi"/>
          <w:szCs w:val="22"/>
        </w:rPr>
        <w:t xml:space="preserve">3 doma </w:t>
      </w:r>
      <w:r w:rsidRPr="002B5D78">
        <w:rPr>
          <w:rFonts w:eastAsiaTheme="minorHAnsi"/>
          <w:szCs w:val="22"/>
        </w:rPr>
        <w:t>socijalne skrbi</w:t>
      </w:r>
      <w:r w:rsidR="009E734D">
        <w:rPr>
          <w:rFonts w:eastAsiaTheme="minorHAnsi"/>
          <w:szCs w:val="22"/>
        </w:rPr>
        <w:t xml:space="preserve"> za odrasle osobe, </w:t>
      </w:r>
      <w:r w:rsidR="00EA37B4">
        <w:rPr>
          <w:rFonts w:eastAsiaTheme="minorHAnsi"/>
          <w:szCs w:val="22"/>
        </w:rPr>
        <w:t>8 ustanova i</w:t>
      </w:r>
      <w:r w:rsidRPr="002B5D78">
        <w:rPr>
          <w:rFonts w:eastAsiaTheme="minorHAnsi"/>
          <w:szCs w:val="22"/>
        </w:rPr>
        <w:t xml:space="preserve"> </w:t>
      </w:r>
      <w:r w:rsidR="009E734D">
        <w:rPr>
          <w:rFonts w:eastAsiaTheme="minorHAnsi"/>
          <w:szCs w:val="22"/>
        </w:rPr>
        <w:t>1</w:t>
      </w:r>
      <w:r w:rsidR="00EA37B4">
        <w:rPr>
          <w:rFonts w:eastAsiaTheme="minorHAnsi"/>
          <w:szCs w:val="22"/>
        </w:rPr>
        <w:t>3</w:t>
      </w:r>
      <w:r w:rsidR="001C7C77" w:rsidRPr="002B5D78">
        <w:rPr>
          <w:rFonts w:eastAsiaTheme="minorHAnsi"/>
          <w:szCs w:val="22"/>
        </w:rPr>
        <w:t xml:space="preserve"> </w:t>
      </w:r>
      <w:r w:rsidRPr="002B5D78">
        <w:rPr>
          <w:rFonts w:eastAsiaTheme="minorHAnsi"/>
          <w:szCs w:val="22"/>
        </w:rPr>
        <w:t>obiteljskih domova koji pružaju usluge smještaja starijim i nemogućnim osobama</w:t>
      </w:r>
      <w:r w:rsidR="00EA37B4">
        <w:rPr>
          <w:rFonts w:eastAsiaTheme="minorHAnsi"/>
          <w:szCs w:val="22"/>
        </w:rPr>
        <w:t>, obiteljski dom za osobe s tjelesnim, intelektualnim i osjetilnim oštećenjima, dom za žrtve nasilja u obitelji</w:t>
      </w:r>
      <w:r w:rsidRPr="002B5D78">
        <w:rPr>
          <w:rFonts w:eastAsiaTheme="minorHAnsi"/>
          <w:szCs w:val="22"/>
        </w:rPr>
        <w:t xml:space="preserve"> </w:t>
      </w:r>
      <w:r w:rsidR="00EA37B4">
        <w:rPr>
          <w:rFonts w:eastAsiaTheme="minorHAnsi"/>
          <w:szCs w:val="22"/>
        </w:rPr>
        <w:t>te 4 druga pružatelja socijalnih usluga</w:t>
      </w:r>
      <w:r w:rsidRPr="002B5D78">
        <w:rPr>
          <w:rFonts w:eastAsiaTheme="minorHAnsi"/>
          <w:szCs w:val="22"/>
        </w:rPr>
        <w:t>. U razvoju i jačanju postojećih i novih socijalnih usluga</w:t>
      </w:r>
      <w:r w:rsidR="00EA37B4">
        <w:rPr>
          <w:rFonts w:eastAsiaTheme="minorHAnsi"/>
          <w:szCs w:val="22"/>
        </w:rPr>
        <w:t xml:space="preserve"> te</w:t>
      </w:r>
      <w:r w:rsidRPr="002B5D78">
        <w:rPr>
          <w:rFonts w:eastAsiaTheme="minorHAnsi"/>
          <w:szCs w:val="22"/>
        </w:rPr>
        <w:t xml:space="preserve"> osiguravanju mogućnosti zapošljavanja osoba u nepovoljnom položaju, važnu ulogu mogu imati projekti i inicijative organizacija civilnog društva i različitih oblika organiziranja u smislu društvenog poduzetništva. Jedan od iznimno važnih projekata za Krapinsko-zagorsku županiju jest projekt Novi početak kojim će se osigurati institucionalna i savjetodavna podrška žrtvama nasilja i žrtvama nasilja u obitelji na području Krapinsko-zagorske županije. </w:t>
      </w:r>
    </w:p>
    <w:p w14:paraId="22B1F40B" w14:textId="03E465DB" w:rsidR="002B5D78" w:rsidRPr="00481816" w:rsidRDefault="00835668" w:rsidP="002A5B85">
      <w:pPr>
        <w:shd w:val="clear" w:color="auto" w:fill="E5E5E5" w:themeFill="text1" w:themeFillTint="33"/>
      </w:pPr>
      <w:r w:rsidRPr="00390E4D">
        <w:t>Unaprjeđenje razine zdravlja ima za cilj povećanje očekivanog trajanja života što podrazumijeva i povećanje broja godina života bez bolesti i invaliditeta. Raspolaganje podacima o invaliditetu, preduvjet je za planiranje odgovarajućih preventivnih mjera i donošenje programa za osobe s invaliditetom. Na razini Republike Hrvatske donesen je Zakon o Hrvatskom registru o osobama s invaliditetom koji se vodi u Hrvatskom zavodu za javno zdravstvo. Prema zadnje dostupnim podacima iz 2019., najveći broj osoba s invaliditetom ima prebivalište na području Grada Zagreba i Splitsko-dalmatinske županije, no udio osoba s invaliditetom u ukupnom stanovništvu županije najveći je upravo u Krapinsko-zagorskoj županiji (najveća prevalencija u radno aktivnoj i dobi iznad 65 godina).</w:t>
      </w:r>
      <w:r w:rsidR="009D6769" w:rsidRPr="009D6769">
        <w:rPr>
          <w:rFonts w:eastAsia="ArialNarrow" w:cstheme="minorHAnsi"/>
          <w:szCs w:val="20"/>
        </w:rPr>
        <w:t xml:space="preserve"> </w:t>
      </w:r>
      <w:r w:rsidR="009D6769" w:rsidRPr="009D6769">
        <w:t>Naj</w:t>
      </w:r>
      <w:r w:rsidR="009D6769" w:rsidRPr="009D6769">
        <w:rPr>
          <w:rFonts w:hint="eastAsia"/>
        </w:rPr>
        <w:t>č</w:t>
      </w:r>
      <w:r w:rsidR="009D6769" w:rsidRPr="009D6769">
        <w:t>e</w:t>
      </w:r>
      <w:r w:rsidR="009D6769" w:rsidRPr="009D6769">
        <w:rPr>
          <w:rFonts w:hint="eastAsia"/>
        </w:rPr>
        <w:t>šć</w:t>
      </w:r>
      <w:r w:rsidR="009D6769" w:rsidRPr="009D6769">
        <w:t>e vrste o</w:t>
      </w:r>
      <w:r w:rsidR="009D6769" w:rsidRPr="009D6769">
        <w:rPr>
          <w:rFonts w:hint="eastAsia"/>
        </w:rPr>
        <w:t>š</w:t>
      </w:r>
      <w:r w:rsidR="009D6769" w:rsidRPr="009D6769">
        <w:t>te</w:t>
      </w:r>
      <w:r w:rsidR="009D6769" w:rsidRPr="009D6769">
        <w:rPr>
          <w:rFonts w:hint="eastAsia"/>
        </w:rPr>
        <w:t>ć</w:t>
      </w:r>
      <w:r w:rsidR="009D6769" w:rsidRPr="009D6769">
        <w:t>enja kod osoba s invaliditetom s podru</w:t>
      </w:r>
      <w:r w:rsidR="009D6769" w:rsidRPr="009D6769">
        <w:rPr>
          <w:rFonts w:hint="eastAsia"/>
        </w:rPr>
        <w:t>č</w:t>
      </w:r>
      <w:r w:rsidR="009D6769" w:rsidRPr="009D6769">
        <w:t xml:space="preserve">ja Krapinsko-zagorske </w:t>
      </w:r>
      <w:r w:rsidR="009D6769" w:rsidRPr="009D6769">
        <w:rPr>
          <w:rFonts w:hint="eastAsia"/>
        </w:rPr>
        <w:t>ž</w:t>
      </w:r>
      <w:r w:rsidR="009D6769" w:rsidRPr="009D6769">
        <w:t>upanije, na temelju Zakona o Hrvatskom registru o osobama s invaliditetom (NN 64/01), su o</w:t>
      </w:r>
      <w:r w:rsidR="009D6769" w:rsidRPr="009D6769">
        <w:rPr>
          <w:rFonts w:hint="eastAsia"/>
        </w:rPr>
        <w:t>š</w:t>
      </w:r>
      <w:r w:rsidR="009D6769" w:rsidRPr="009D6769">
        <w:t>te</w:t>
      </w:r>
      <w:r w:rsidR="009D6769" w:rsidRPr="009D6769">
        <w:rPr>
          <w:rFonts w:hint="eastAsia"/>
        </w:rPr>
        <w:t>ć</w:t>
      </w:r>
      <w:r w:rsidR="009D6769" w:rsidRPr="009D6769">
        <w:t>enja lokomotornog sustava te mentalna o</w:t>
      </w:r>
      <w:r w:rsidR="009D6769" w:rsidRPr="009D6769">
        <w:rPr>
          <w:rFonts w:hint="eastAsia"/>
        </w:rPr>
        <w:t>š</w:t>
      </w:r>
      <w:r w:rsidR="009D6769" w:rsidRPr="009D6769">
        <w:t>te</w:t>
      </w:r>
      <w:r w:rsidR="009D6769" w:rsidRPr="009D6769">
        <w:rPr>
          <w:rFonts w:hint="eastAsia"/>
        </w:rPr>
        <w:t>ć</w:t>
      </w:r>
      <w:r w:rsidR="009D6769" w:rsidRPr="009D6769">
        <w:t>enja.</w:t>
      </w:r>
    </w:p>
    <w:p w14:paraId="2838765B" w14:textId="6DE9DF0A" w:rsidR="008878A0" w:rsidRDefault="0009005A" w:rsidP="005F13D3">
      <w:pPr>
        <w:pStyle w:val="Naslov1"/>
        <w:rPr>
          <w:rStyle w:val="NASLOV"/>
        </w:rPr>
      </w:pPr>
      <w:r>
        <w:rPr>
          <w:rStyle w:val="NASLOV"/>
        </w:rPr>
        <w:br w:type="column"/>
      </w:r>
      <w:bookmarkStart w:id="90" w:name="_Hlk78197408"/>
      <w:r w:rsidR="007D4B63" w:rsidRPr="007D4B63">
        <w:rPr>
          <w:rStyle w:val="NASLOV"/>
        </w:rPr>
        <w:lastRenderedPageBreak/>
        <w:t xml:space="preserve"> </w:t>
      </w:r>
      <w:bookmarkStart w:id="91" w:name="_Toc85181299"/>
      <w:r w:rsidR="007D4B63" w:rsidRPr="007D4B63">
        <w:rPr>
          <w:rStyle w:val="NASLOV"/>
        </w:rPr>
        <w:t>ZDRAVSTV</w:t>
      </w:r>
      <w:bookmarkEnd w:id="90"/>
      <w:r w:rsidR="006D6136">
        <w:rPr>
          <w:rStyle w:val="NASLOV"/>
        </w:rPr>
        <w:t>O</w:t>
      </w:r>
      <w:bookmarkEnd w:id="91"/>
    </w:p>
    <w:p w14:paraId="401E6ADC" w14:textId="77777777" w:rsidR="006D6136" w:rsidRPr="006D6136" w:rsidRDefault="006D6136" w:rsidP="006D6136"/>
    <w:p w14:paraId="192154FB" w14:textId="40FD40F4" w:rsidR="008878A0" w:rsidRDefault="006D6136" w:rsidP="00941871">
      <w:r w:rsidRPr="006D6136">
        <w:t>Krapinsko-zagorska županija kao jedinica područne (regionalne) samouprave ima formalno propisane obveze i mogućnosti kreiranja zdravstvene politike na svom području (popunjavanje mreže javne zdravstvene službe u suradnji s jedinicama lokalne samouprave na svom području, organiziranje rada ustanova kojima je osnivač, koordiniranje i organiziranje rada svih pravnih i fizičkih osoba koje na području županije obavljaju zdravstvenu djelatnost, donošenje plan</w:t>
      </w:r>
      <w:r w:rsidR="007014D1">
        <w:t>a</w:t>
      </w:r>
      <w:r w:rsidRPr="006D6136">
        <w:t xml:space="preserve"> zdravstvene zaštite za područje županije, donošenje jednogodišnjih i trogodišnjih planova promicanja zdravlja, prevencije te ranog otkrivanja bolesti, organiziranje i provođenje javnozdravstvenih mjera, organizacija provedbe postupaka objedinjene javne nabave za zdravstvene ustanove čiji je osnivač te u suradnji s ministarstvom nadležnim za zdravstvo i Hrvatskim zavodom za zdravstveno osiguranje osiguravanje provođenja specifičnih mjera i pružanje zdravstvene zaštite na nerazvijenim područjima).</w:t>
      </w:r>
    </w:p>
    <w:p w14:paraId="3383F00D" w14:textId="77777777" w:rsidR="006D6136" w:rsidRDefault="006D6136" w:rsidP="00941871"/>
    <w:p w14:paraId="2EC5E572" w14:textId="4E6EE691" w:rsidR="008878A0" w:rsidRDefault="00201691" w:rsidP="0052192B">
      <w:pPr>
        <w:pStyle w:val="Naslov2"/>
      </w:pPr>
      <w:bookmarkStart w:id="92" w:name="_Hlk78197833"/>
      <w:bookmarkStart w:id="93" w:name="_Toc85181300"/>
      <w:r>
        <w:t>6</w:t>
      </w:r>
      <w:r w:rsidR="008878A0">
        <w:t>.1. Zdravstvena infrastruktura</w:t>
      </w:r>
      <w:bookmarkEnd w:id="93"/>
      <w:r w:rsidR="00E575D4">
        <w:tab/>
      </w:r>
    </w:p>
    <w:bookmarkEnd w:id="92"/>
    <w:p w14:paraId="79000C18" w14:textId="77777777" w:rsidR="008878A0" w:rsidRDefault="008878A0" w:rsidP="00941871">
      <w:pPr>
        <w:autoSpaceDE w:val="0"/>
        <w:autoSpaceDN w:val="0"/>
        <w:adjustRightInd w:val="0"/>
        <w:spacing w:after="0" w:line="240" w:lineRule="auto"/>
        <w:rPr>
          <w:rFonts w:eastAsia="ArialNarrow" w:cstheme="minorHAnsi"/>
        </w:rPr>
      </w:pPr>
    </w:p>
    <w:p w14:paraId="11DCF214" w14:textId="562AF6E8" w:rsidR="008878A0" w:rsidRDefault="00B07D39" w:rsidP="00941871">
      <w:pPr>
        <w:autoSpaceDE w:val="0"/>
        <w:autoSpaceDN w:val="0"/>
        <w:adjustRightInd w:val="0"/>
        <w:spacing w:after="0" w:line="240" w:lineRule="auto"/>
        <w:rPr>
          <w:rFonts w:eastAsia="ArialNarrow" w:cstheme="minorHAnsi"/>
        </w:rPr>
      </w:pPr>
      <w:r>
        <w:rPr>
          <w:rFonts w:eastAsia="ArialNarrow" w:cstheme="minorHAnsi"/>
        </w:rPr>
        <w:t>K</w:t>
      </w:r>
      <w:r w:rsidR="008878A0">
        <w:rPr>
          <w:rFonts w:eastAsia="ArialNarrow" w:cstheme="minorHAnsi"/>
        </w:rPr>
        <w:t>valitet</w:t>
      </w:r>
      <w:r>
        <w:rPr>
          <w:rFonts w:eastAsia="ArialNarrow" w:cstheme="minorHAnsi"/>
        </w:rPr>
        <w:t>a</w:t>
      </w:r>
      <w:r w:rsidR="008878A0">
        <w:rPr>
          <w:rFonts w:eastAsia="ArialNarrow" w:cstheme="minorHAnsi"/>
        </w:rPr>
        <w:t xml:space="preserve"> zdravstvene usluge u Krapinsko-zagorskoj županiji prikazana je broj</w:t>
      </w:r>
      <w:r>
        <w:rPr>
          <w:rFonts w:eastAsia="ArialNarrow" w:cstheme="minorHAnsi"/>
        </w:rPr>
        <w:t>em</w:t>
      </w:r>
      <w:r w:rsidR="008878A0">
        <w:rPr>
          <w:rFonts w:eastAsia="ArialNarrow" w:cstheme="minorHAnsi"/>
        </w:rPr>
        <w:t xml:space="preserve"> zdravstvenih ustanova i zdravstvenih djelatnika prema područjima rada. </w:t>
      </w:r>
      <w:r>
        <w:rPr>
          <w:rFonts w:eastAsia="ArialNarrow" w:cstheme="minorHAnsi"/>
        </w:rPr>
        <w:t>P</w:t>
      </w:r>
      <w:r w:rsidR="008878A0">
        <w:rPr>
          <w:rFonts w:eastAsia="ArialNarrow" w:cstheme="minorHAnsi"/>
        </w:rPr>
        <w:t xml:space="preserve">odaci </w:t>
      </w:r>
      <w:r>
        <w:rPr>
          <w:rFonts w:eastAsia="ArialNarrow" w:cstheme="minorHAnsi"/>
        </w:rPr>
        <w:t xml:space="preserve">su </w:t>
      </w:r>
      <w:r w:rsidR="008878A0">
        <w:rPr>
          <w:rFonts w:eastAsia="ArialNarrow" w:cstheme="minorHAnsi"/>
        </w:rPr>
        <w:t>predstavljeni u odnosu na 10.000 ili 1.000 stanovnika.</w:t>
      </w:r>
      <w:r w:rsidR="00B95D3E">
        <w:rPr>
          <w:rFonts w:eastAsia="ArialNarrow" w:cstheme="minorHAnsi"/>
        </w:rPr>
        <w:t xml:space="preserve"> </w:t>
      </w:r>
    </w:p>
    <w:p w14:paraId="643F9865" w14:textId="77777777" w:rsidR="008878A0" w:rsidRDefault="008878A0" w:rsidP="00941871">
      <w:pPr>
        <w:autoSpaceDE w:val="0"/>
        <w:autoSpaceDN w:val="0"/>
        <w:adjustRightInd w:val="0"/>
        <w:spacing w:after="0" w:line="240" w:lineRule="auto"/>
        <w:rPr>
          <w:rFonts w:eastAsiaTheme="minorHAnsi" w:cstheme="minorHAnsi"/>
          <w:sz w:val="24"/>
          <w:szCs w:val="22"/>
        </w:rPr>
      </w:pPr>
    </w:p>
    <w:p w14:paraId="76C63E31" w14:textId="122C35AC" w:rsidR="00C472FF" w:rsidRDefault="008878A0" w:rsidP="003E3F3C">
      <w:pPr>
        <w:pStyle w:val="Opisslike"/>
        <w:rPr>
          <w:noProof/>
        </w:rPr>
      </w:pPr>
      <w:r>
        <w:t>Tablica</w:t>
      </w:r>
      <w:r w:rsidR="006326D6">
        <w:t xml:space="preserve"> </w:t>
      </w:r>
      <w:r w:rsidR="00FB7588">
        <w:rPr>
          <w:noProof/>
        </w:rPr>
        <w:t>3</w:t>
      </w:r>
      <w:r w:rsidR="00AF5B79">
        <w:rPr>
          <w:noProof/>
        </w:rPr>
        <w:t>5</w:t>
      </w:r>
      <w:r w:rsidR="009B61D3">
        <w:rPr>
          <w:noProof/>
        </w:rPr>
        <w:t>.</w:t>
      </w:r>
      <w:r>
        <w:rPr>
          <w:noProof/>
        </w:rPr>
        <w:t xml:space="preserve"> Broj zdravstvenih ustanova prema kategorijama u Krapinsko-zagorskoj županiji 2016. – 2019.</w:t>
      </w:r>
    </w:p>
    <w:tbl>
      <w:tblPr>
        <w:tblW w:w="9347" w:type="dxa"/>
        <w:tblBorders>
          <w:right w:val="single" w:sz="8" w:space="0" w:color="D2232A"/>
          <w:insideH w:val="single" w:sz="8" w:space="0" w:color="F3CFC1"/>
        </w:tblBorders>
        <w:tblLook w:val="04A0" w:firstRow="1" w:lastRow="0" w:firstColumn="1" w:lastColumn="0" w:noHBand="0" w:noVBand="1"/>
      </w:tblPr>
      <w:tblGrid>
        <w:gridCol w:w="5702"/>
        <w:gridCol w:w="1022"/>
        <w:gridCol w:w="875"/>
        <w:gridCol w:w="809"/>
        <w:gridCol w:w="939"/>
      </w:tblGrid>
      <w:tr w:rsidR="008878A0" w:rsidRPr="009B61D3" w14:paraId="69B4DA8C" w14:textId="77777777" w:rsidTr="009B61D3">
        <w:trPr>
          <w:trHeight w:val="283"/>
          <w:tblHeader/>
        </w:trPr>
        <w:tc>
          <w:tcPr>
            <w:tcW w:w="5702" w:type="dxa"/>
            <w:shd w:val="clear" w:color="auto" w:fill="D2232A"/>
            <w:noWrap/>
            <w:vAlign w:val="center"/>
            <w:hideMark/>
          </w:tcPr>
          <w:p w14:paraId="572F8FA0"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ZDRAVSTVENE USTANOVE PREMA KATEGORIJAMA</w:t>
            </w:r>
          </w:p>
        </w:tc>
        <w:tc>
          <w:tcPr>
            <w:tcW w:w="1022" w:type="dxa"/>
            <w:shd w:val="clear" w:color="auto" w:fill="D2232A"/>
            <w:noWrap/>
            <w:vAlign w:val="center"/>
            <w:hideMark/>
          </w:tcPr>
          <w:p w14:paraId="56A5CC48" w14:textId="3CF70836" w:rsidR="008878A0" w:rsidRPr="009B61D3" w:rsidRDefault="008878A0" w:rsidP="00AC2F2E">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2016</w:t>
            </w:r>
            <w:r w:rsidR="00AC2F2E" w:rsidRPr="009B61D3">
              <w:rPr>
                <w:rFonts w:eastAsia="Times New Roman" w:cstheme="minorHAnsi"/>
                <w:color w:val="FFFFFF"/>
                <w:szCs w:val="18"/>
                <w:lang w:eastAsia="hr-HR"/>
              </w:rPr>
              <w:t>.</w:t>
            </w:r>
          </w:p>
        </w:tc>
        <w:tc>
          <w:tcPr>
            <w:tcW w:w="875" w:type="dxa"/>
            <w:shd w:val="clear" w:color="auto" w:fill="D2232A"/>
            <w:noWrap/>
            <w:vAlign w:val="center"/>
            <w:hideMark/>
          </w:tcPr>
          <w:p w14:paraId="319ADA39" w14:textId="6C02C779" w:rsidR="008878A0" w:rsidRPr="009B61D3" w:rsidRDefault="008878A0" w:rsidP="00AC2F2E">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2017</w:t>
            </w:r>
            <w:r w:rsidR="00AC2F2E" w:rsidRPr="009B61D3">
              <w:rPr>
                <w:rFonts w:eastAsia="Times New Roman" w:cstheme="minorHAnsi"/>
                <w:color w:val="FFFFFF"/>
                <w:szCs w:val="18"/>
                <w:lang w:eastAsia="hr-HR"/>
              </w:rPr>
              <w:t>.</w:t>
            </w:r>
          </w:p>
        </w:tc>
        <w:tc>
          <w:tcPr>
            <w:tcW w:w="809" w:type="dxa"/>
            <w:shd w:val="clear" w:color="auto" w:fill="D2232A"/>
            <w:noWrap/>
            <w:vAlign w:val="center"/>
            <w:hideMark/>
          </w:tcPr>
          <w:p w14:paraId="1CB27E0C" w14:textId="41AB4E37" w:rsidR="008878A0" w:rsidRPr="009B61D3" w:rsidRDefault="008878A0" w:rsidP="00AC2F2E">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2018</w:t>
            </w:r>
            <w:r w:rsidR="00AC2F2E" w:rsidRPr="009B61D3">
              <w:rPr>
                <w:rFonts w:eastAsia="Times New Roman" w:cstheme="minorHAnsi"/>
                <w:color w:val="FFFFFF"/>
                <w:szCs w:val="18"/>
                <w:lang w:eastAsia="hr-HR"/>
              </w:rPr>
              <w:t>.</w:t>
            </w:r>
          </w:p>
        </w:tc>
        <w:tc>
          <w:tcPr>
            <w:tcW w:w="939" w:type="dxa"/>
            <w:shd w:val="clear" w:color="auto" w:fill="D2232A"/>
            <w:noWrap/>
            <w:vAlign w:val="center"/>
            <w:hideMark/>
          </w:tcPr>
          <w:p w14:paraId="069A54D3" w14:textId="63E46520" w:rsidR="008878A0" w:rsidRPr="009B61D3" w:rsidRDefault="008878A0" w:rsidP="00AC2F2E">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2019</w:t>
            </w:r>
            <w:r w:rsidR="00AC2F2E" w:rsidRPr="009B61D3">
              <w:rPr>
                <w:rFonts w:eastAsia="Times New Roman" w:cstheme="minorHAnsi"/>
                <w:color w:val="FFFFFF"/>
                <w:szCs w:val="18"/>
                <w:lang w:eastAsia="hr-HR"/>
              </w:rPr>
              <w:t>.</w:t>
            </w:r>
          </w:p>
        </w:tc>
      </w:tr>
      <w:tr w:rsidR="008878A0" w:rsidRPr="009B61D3" w14:paraId="5569CA52" w14:textId="77777777" w:rsidTr="009B61D3">
        <w:trPr>
          <w:trHeight w:val="283"/>
        </w:trPr>
        <w:tc>
          <w:tcPr>
            <w:tcW w:w="5702" w:type="dxa"/>
            <w:shd w:val="clear" w:color="auto" w:fill="D2232A"/>
            <w:noWrap/>
            <w:vAlign w:val="center"/>
            <w:hideMark/>
          </w:tcPr>
          <w:p w14:paraId="5A311A07"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Bolnica</w:t>
            </w:r>
          </w:p>
        </w:tc>
        <w:tc>
          <w:tcPr>
            <w:tcW w:w="1022" w:type="dxa"/>
            <w:vAlign w:val="center"/>
            <w:hideMark/>
          </w:tcPr>
          <w:p w14:paraId="28C07156" w14:textId="77777777" w:rsidR="008878A0" w:rsidRPr="009B61D3" w:rsidRDefault="008878A0" w:rsidP="00AC2F2E">
            <w:pPr>
              <w:spacing w:after="0" w:line="240" w:lineRule="auto"/>
              <w:jc w:val="right"/>
              <w:rPr>
                <w:rFonts w:eastAsia="Times New Roman" w:cstheme="minorHAnsi"/>
                <w:color w:val="auto"/>
                <w:szCs w:val="18"/>
                <w:lang w:eastAsia="hr-HR"/>
              </w:rPr>
            </w:pPr>
            <w:r w:rsidRPr="009B61D3">
              <w:rPr>
                <w:rFonts w:eastAsia="Times New Roman" w:cstheme="minorHAnsi"/>
                <w:szCs w:val="18"/>
                <w:lang w:eastAsia="hr-HR"/>
              </w:rPr>
              <w:t>6</w:t>
            </w:r>
          </w:p>
        </w:tc>
        <w:tc>
          <w:tcPr>
            <w:tcW w:w="875" w:type="dxa"/>
            <w:vAlign w:val="center"/>
            <w:hideMark/>
          </w:tcPr>
          <w:p w14:paraId="79C8AE34"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6</w:t>
            </w:r>
          </w:p>
        </w:tc>
        <w:tc>
          <w:tcPr>
            <w:tcW w:w="809" w:type="dxa"/>
            <w:vAlign w:val="center"/>
            <w:hideMark/>
          </w:tcPr>
          <w:p w14:paraId="22D00969"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6</w:t>
            </w:r>
          </w:p>
        </w:tc>
        <w:tc>
          <w:tcPr>
            <w:tcW w:w="939" w:type="dxa"/>
            <w:vAlign w:val="center"/>
            <w:hideMark/>
          </w:tcPr>
          <w:p w14:paraId="2205D930"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6</w:t>
            </w:r>
          </w:p>
        </w:tc>
      </w:tr>
      <w:tr w:rsidR="008878A0" w:rsidRPr="009B61D3" w14:paraId="4386B1EC" w14:textId="77777777" w:rsidTr="009B61D3">
        <w:trPr>
          <w:trHeight w:val="283"/>
        </w:trPr>
        <w:tc>
          <w:tcPr>
            <w:tcW w:w="5702" w:type="dxa"/>
            <w:shd w:val="clear" w:color="auto" w:fill="D2232A"/>
            <w:noWrap/>
            <w:vAlign w:val="center"/>
            <w:hideMark/>
          </w:tcPr>
          <w:p w14:paraId="56839B5B"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Dom zdravlja</w:t>
            </w:r>
          </w:p>
        </w:tc>
        <w:tc>
          <w:tcPr>
            <w:tcW w:w="1022" w:type="dxa"/>
            <w:vAlign w:val="center"/>
            <w:hideMark/>
          </w:tcPr>
          <w:p w14:paraId="11EBDDA9" w14:textId="77777777" w:rsidR="008878A0" w:rsidRPr="009B61D3" w:rsidRDefault="008878A0" w:rsidP="00AC2F2E">
            <w:pPr>
              <w:spacing w:after="0" w:line="240" w:lineRule="auto"/>
              <w:jc w:val="right"/>
              <w:rPr>
                <w:rFonts w:eastAsia="Times New Roman" w:cstheme="minorHAnsi"/>
                <w:color w:val="auto"/>
                <w:szCs w:val="18"/>
                <w:lang w:eastAsia="hr-HR"/>
              </w:rPr>
            </w:pPr>
            <w:r w:rsidRPr="009B61D3">
              <w:rPr>
                <w:rFonts w:eastAsia="Times New Roman" w:cstheme="minorHAnsi"/>
                <w:szCs w:val="18"/>
                <w:lang w:eastAsia="hr-HR"/>
              </w:rPr>
              <w:t>1</w:t>
            </w:r>
          </w:p>
        </w:tc>
        <w:tc>
          <w:tcPr>
            <w:tcW w:w="875" w:type="dxa"/>
            <w:vAlign w:val="center"/>
            <w:hideMark/>
          </w:tcPr>
          <w:p w14:paraId="20A34994"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w:t>
            </w:r>
          </w:p>
        </w:tc>
        <w:tc>
          <w:tcPr>
            <w:tcW w:w="809" w:type="dxa"/>
            <w:vAlign w:val="center"/>
            <w:hideMark/>
          </w:tcPr>
          <w:p w14:paraId="334A7A8C"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w:t>
            </w:r>
          </w:p>
        </w:tc>
        <w:tc>
          <w:tcPr>
            <w:tcW w:w="939" w:type="dxa"/>
            <w:vAlign w:val="center"/>
            <w:hideMark/>
          </w:tcPr>
          <w:p w14:paraId="4B4C2726"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w:t>
            </w:r>
          </w:p>
        </w:tc>
      </w:tr>
      <w:tr w:rsidR="008878A0" w:rsidRPr="009B61D3" w14:paraId="4DFEA4B4" w14:textId="77777777" w:rsidTr="009B61D3">
        <w:trPr>
          <w:trHeight w:val="283"/>
        </w:trPr>
        <w:tc>
          <w:tcPr>
            <w:tcW w:w="5702" w:type="dxa"/>
            <w:shd w:val="clear" w:color="auto" w:fill="D2232A"/>
            <w:noWrap/>
            <w:vAlign w:val="center"/>
            <w:hideMark/>
          </w:tcPr>
          <w:p w14:paraId="216491C3" w14:textId="770D6061" w:rsidR="008878A0" w:rsidRPr="009B61D3" w:rsidRDefault="000746C8" w:rsidP="00941871">
            <w:pPr>
              <w:spacing w:after="0" w:line="240" w:lineRule="auto"/>
              <w:rPr>
                <w:rFonts w:eastAsia="Times New Roman" w:cstheme="minorHAnsi"/>
                <w:color w:val="FFFFFF"/>
                <w:szCs w:val="18"/>
                <w:lang w:eastAsia="hr-HR"/>
              </w:rPr>
            </w:pPr>
            <w:r>
              <w:rPr>
                <w:rFonts w:eastAsia="Times New Roman" w:cstheme="minorHAnsi"/>
                <w:color w:val="FFFFFF"/>
                <w:szCs w:val="18"/>
                <w:lang w:eastAsia="hr-HR"/>
              </w:rPr>
              <w:t>Ordinacija</w:t>
            </w:r>
            <w:r w:rsidR="00CC2B89">
              <w:rPr>
                <w:rFonts w:eastAsia="Times New Roman" w:cstheme="minorHAnsi"/>
                <w:color w:val="FFFFFF"/>
                <w:szCs w:val="18"/>
                <w:lang w:eastAsia="hr-HR"/>
              </w:rPr>
              <w:t xml:space="preserve"> u sklopu Doma zdravlja</w:t>
            </w:r>
          </w:p>
        </w:tc>
        <w:tc>
          <w:tcPr>
            <w:tcW w:w="1022" w:type="dxa"/>
            <w:vAlign w:val="center"/>
            <w:hideMark/>
          </w:tcPr>
          <w:p w14:paraId="2A38B651" w14:textId="77777777" w:rsidR="008878A0" w:rsidRPr="009B61D3" w:rsidRDefault="008878A0" w:rsidP="00AC2F2E">
            <w:pPr>
              <w:spacing w:after="0" w:line="240" w:lineRule="auto"/>
              <w:jc w:val="right"/>
              <w:rPr>
                <w:rFonts w:eastAsia="Times New Roman" w:cstheme="minorHAnsi"/>
                <w:color w:val="auto"/>
                <w:szCs w:val="18"/>
                <w:lang w:eastAsia="hr-HR"/>
              </w:rPr>
            </w:pPr>
            <w:r w:rsidRPr="009B61D3">
              <w:rPr>
                <w:rFonts w:eastAsia="Times New Roman" w:cstheme="minorHAnsi"/>
                <w:szCs w:val="18"/>
                <w:lang w:eastAsia="hr-HR"/>
              </w:rPr>
              <w:t>146</w:t>
            </w:r>
          </w:p>
        </w:tc>
        <w:tc>
          <w:tcPr>
            <w:tcW w:w="875" w:type="dxa"/>
            <w:vAlign w:val="center"/>
            <w:hideMark/>
          </w:tcPr>
          <w:p w14:paraId="5CB6F80C"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147</w:t>
            </w:r>
          </w:p>
        </w:tc>
        <w:tc>
          <w:tcPr>
            <w:tcW w:w="809" w:type="dxa"/>
            <w:vAlign w:val="center"/>
            <w:hideMark/>
          </w:tcPr>
          <w:p w14:paraId="7256CE28"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146</w:t>
            </w:r>
          </w:p>
        </w:tc>
        <w:tc>
          <w:tcPr>
            <w:tcW w:w="939" w:type="dxa"/>
            <w:vAlign w:val="center"/>
            <w:hideMark/>
          </w:tcPr>
          <w:p w14:paraId="072FC0A8"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144</w:t>
            </w:r>
          </w:p>
        </w:tc>
      </w:tr>
      <w:tr w:rsidR="008878A0" w:rsidRPr="009B61D3" w14:paraId="142E5D98" w14:textId="77777777" w:rsidTr="009B61D3">
        <w:trPr>
          <w:trHeight w:val="283"/>
        </w:trPr>
        <w:tc>
          <w:tcPr>
            <w:tcW w:w="5702" w:type="dxa"/>
            <w:shd w:val="clear" w:color="auto" w:fill="D2232A"/>
            <w:noWrap/>
            <w:vAlign w:val="center"/>
            <w:hideMark/>
          </w:tcPr>
          <w:p w14:paraId="3D0165A8"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Ljekarna</w:t>
            </w:r>
          </w:p>
        </w:tc>
        <w:tc>
          <w:tcPr>
            <w:tcW w:w="1022" w:type="dxa"/>
            <w:vAlign w:val="center"/>
            <w:hideMark/>
          </w:tcPr>
          <w:p w14:paraId="79A5B6D1" w14:textId="77777777" w:rsidR="008878A0" w:rsidRPr="009B61D3" w:rsidRDefault="008878A0" w:rsidP="00AC2F2E">
            <w:pPr>
              <w:spacing w:after="0" w:line="240" w:lineRule="auto"/>
              <w:jc w:val="right"/>
              <w:rPr>
                <w:rFonts w:eastAsia="Times New Roman" w:cstheme="minorHAnsi"/>
                <w:color w:val="auto"/>
                <w:szCs w:val="18"/>
                <w:lang w:eastAsia="hr-HR"/>
              </w:rPr>
            </w:pPr>
            <w:r w:rsidRPr="009B61D3">
              <w:rPr>
                <w:rFonts w:eastAsia="Times New Roman" w:cstheme="minorHAnsi"/>
                <w:szCs w:val="18"/>
                <w:lang w:eastAsia="hr-HR"/>
              </w:rPr>
              <w:t>14</w:t>
            </w:r>
          </w:p>
        </w:tc>
        <w:tc>
          <w:tcPr>
            <w:tcW w:w="875" w:type="dxa"/>
            <w:vAlign w:val="center"/>
            <w:hideMark/>
          </w:tcPr>
          <w:p w14:paraId="6563797E"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14</w:t>
            </w:r>
          </w:p>
        </w:tc>
        <w:tc>
          <w:tcPr>
            <w:tcW w:w="809" w:type="dxa"/>
            <w:vAlign w:val="center"/>
            <w:hideMark/>
          </w:tcPr>
          <w:p w14:paraId="3438C37F"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13</w:t>
            </w:r>
          </w:p>
        </w:tc>
        <w:tc>
          <w:tcPr>
            <w:tcW w:w="939" w:type="dxa"/>
            <w:vAlign w:val="center"/>
            <w:hideMark/>
          </w:tcPr>
          <w:p w14:paraId="00B0A81F" w14:textId="04366A26"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46</w:t>
            </w:r>
            <w:r w:rsidR="004B224C">
              <w:rPr>
                <w:rStyle w:val="Referencafusnote"/>
                <w:rFonts w:eastAsia="Times New Roman" w:cstheme="minorHAnsi"/>
                <w:szCs w:val="18"/>
                <w:lang w:eastAsia="hr-HR"/>
              </w:rPr>
              <w:footnoteReference w:id="40"/>
            </w:r>
          </w:p>
        </w:tc>
      </w:tr>
      <w:tr w:rsidR="008878A0" w:rsidRPr="009B61D3" w14:paraId="3AD4CF75" w14:textId="77777777" w:rsidTr="009B61D3">
        <w:trPr>
          <w:trHeight w:val="283"/>
        </w:trPr>
        <w:tc>
          <w:tcPr>
            <w:tcW w:w="5702" w:type="dxa"/>
            <w:shd w:val="clear" w:color="auto" w:fill="D2232A"/>
            <w:noWrap/>
            <w:vAlign w:val="center"/>
            <w:hideMark/>
          </w:tcPr>
          <w:p w14:paraId="51C949C4"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Zavod za javno zdravstvo KZŽ</w:t>
            </w:r>
          </w:p>
        </w:tc>
        <w:tc>
          <w:tcPr>
            <w:tcW w:w="1022" w:type="dxa"/>
            <w:vAlign w:val="center"/>
            <w:hideMark/>
          </w:tcPr>
          <w:p w14:paraId="321FB65D" w14:textId="77777777" w:rsidR="008878A0" w:rsidRPr="009B61D3" w:rsidRDefault="008878A0" w:rsidP="00AC2F2E">
            <w:pPr>
              <w:spacing w:after="0" w:line="240" w:lineRule="auto"/>
              <w:jc w:val="right"/>
              <w:rPr>
                <w:rFonts w:eastAsia="Times New Roman" w:cstheme="minorHAnsi"/>
                <w:color w:val="auto"/>
                <w:szCs w:val="18"/>
                <w:lang w:eastAsia="hr-HR"/>
              </w:rPr>
            </w:pPr>
            <w:r w:rsidRPr="009B61D3">
              <w:rPr>
                <w:rFonts w:eastAsia="Times New Roman" w:cstheme="minorHAnsi"/>
                <w:szCs w:val="18"/>
                <w:lang w:eastAsia="hr-HR"/>
              </w:rPr>
              <w:t>1</w:t>
            </w:r>
          </w:p>
        </w:tc>
        <w:tc>
          <w:tcPr>
            <w:tcW w:w="875" w:type="dxa"/>
            <w:vAlign w:val="center"/>
            <w:hideMark/>
          </w:tcPr>
          <w:p w14:paraId="05A3DAF7"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w:t>
            </w:r>
          </w:p>
        </w:tc>
        <w:tc>
          <w:tcPr>
            <w:tcW w:w="809" w:type="dxa"/>
            <w:vAlign w:val="center"/>
            <w:hideMark/>
          </w:tcPr>
          <w:p w14:paraId="7A13ECA6"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w:t>
            </w:r>
          </w:p>
        </w:tc>
        <w:tc>
          <w:tcPr>
            <w:tcW w:w="939" w:type="dxa"/>
            <w:vAlign w:val="center"/>
            <w:hideMark/>
          </w:tcPr>
          <w:p w14:paraId="696AA1F9"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w:t>
            </w:r>
          </w:p>
        </w:tc>
      </w:tr>
      <w:tr w:rsidR="008878A0" w:rsidRPr="009B61D3" w14:paraId="60765153" w14:textId="77777777" w:rsidTr="009B61D3">
        <w:trPr>
          <w:trHeight w:val="283"/>
        </w:trPr>
        <w:tc>
          <w:tcPr>
            <w:tcW w:w="5702" w:type="dxa"/>
            <w:shd w:val="clear" w:color="auto" w:fill="D2232A"/>
            <w:noWrap/>
            <w:vAlign w:val="center"/>
            <w:hideMark/>
          </w:tcPr>
          <w:p w14:paraId="11279AF7" w14:textId="77777777" w:rsidR="008878A0" w:rsidRPr="009B61D3" w:rsidRDefault="008878A0"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Zavod za hitnu medicinu KZŽ</w:t>
            </w:r>
          </w:p>
        </w:tc>
        <w:tc>
          <w:tcPr>
            <w:tcW w:w="1022" w:type="dxa"/>
            <w:vAlign w:val="center"/>
            <w:hideMark/>
          </w:tcPr>
          <w:p w14:paraId="3770B8F1" w14:textId="77777777" w:rsidR="008878A0" w:rsidRPr="009B61D3" w:rsidRDefault="008878A0" w:rsidP="00AC2F2E">
            <w:pPr>
              <w:spacing w:after="0" w:line="240" w:lineRule="auto"/>
              <w:jc w:val="right"/>
              <w:rPr>
                <w:rFonts w:eastAsia="Times New Roman" w:cstheme="minorHAnsi"/>
                <w:color w:val="auto"/>
                <w:szCs w:val="18"/>
                <w:lang w:eastAsia="hr-HR"/>
              </w:rPr>
            </w:pPr>
            <w:r w:rsidRPr="009B61D3">
              <w:rPr>
                <w:rFonts w:eastAsia="Times New Roman" w:cstheme="minorHAnsi"/>
                <w:szCs w:val="18"/>
                <w:lang w:eastAsia="hr-HR"/>
              </w:rPr>
              <w:t>1</w:t>
            </w:r>
          </w:p>
        </w:tc>
        <w:tc>
          <w:tcPr>
            <w:tcW w:w="875" w:type="dxa"/>
            <w:vAlign w:val="center"/>
            <w:hideMark/>
          </w:tcPr>
          <w:p w14:paraId="7A73CCC4"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w:t>
            </w:r>
          </w:p>
        </w:tc>
        <w:tc>
          <w:tcPr>
            <w:tcW w:w="809" w:type="dxa"/>
            <w:vAlign w:val="center"/>
            <w:hideMark/>
          </w:tcPr>
          <w:p w14:paraId="47836587"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w:t>
            </w:r>
          </w:p>
        </w:tc>
        <w:tc>
          <w:tcPr>
            <w:tcW w:w="939" w:type="dxa"/>
            <w:vAlign w:val="center"/>
            <w:hideMark/>
          </w:tcPr>
          <w:p w14:paraId="16DABC4B" w14:textId="77777777" w:rsidR="008878A0" w:rsidRPr="009B61D3" w:rsidRDefault="008878A0" w:rsidP="00AC2F2E">
            <w:pPr>
              <w:spacing w:after="0" w:line="240" w:lineRule="auto"/>
              <w:jc w:val="right"/>
              <w:rPr>
                <w:rFonts w:eastAsia="Times New Roman" w:cstheme="minorHAnsi"/>
                <w:szCs w:val="18"/>
                <w:lang w:eastAsia="hr-HR"/>
              </w:rPr>
            </w:pPr>
            <w:r w:rsidRPr="009B61D3">
              <w:rPr>
                <w:rFonts w:eastAsia="Times New Roman" w:cstheme="minorHAnsi"/>
                <w:szCs w:val="18"/>
                <w:lang w:eastAsia="hr-HR"/>
              </w:rPr>
              <w:t>1</w:t>
            </w:r>
          </w:p>
        </w:tc>
      </w:tr>
      <w:tr w:rsidR="00C472FF" w:rsidRPr="009B61D3" w14:paraId="581CB0C9" w14:textId="77777777" w:rsidTr="009B61D3">
        <w:trPr>
          <w:trHeight w:val="283"/>
        </w:trPr>
        <w:tc>
          <w:tcPr>
            <w:tcW w:w="5702" w:type="dxa"/>
            <w:shd w:val="clear" w:color="auto" w:fill="E5E5E5" w:themeFill="text1" w:themeFillTint="33"/>
            <w:noWrap/>
            <w:vAlign w:val="center"/>
            <w:hideMark/>
          </w:tcPr>
          <w:p w14:paraId="361AD351" w14:textId="77777777" w:rsidR="008878A0" w:rsidRPr="009B61D3" w:rsidRDefault="008878A0" w:rsidP="00941871">
            <w:pPr>
              <w:spacing w:after="0" w:line="240" w:lineRule="auto"/>
              <w:rPr>
                <w:rFonts w:eastAsia="Times New Roman" w:cstheme="minorHAnsi"/>
                <w:szCs w:val="18"/>
                <w:lang w:eastAsia="hr-HR"/>
              </w:rPr>
            </w:pPr>
            <w:r w:rsidRPr="009B61D3">
              <w:rPr>
                <w:rFonts w:eastAsia="Times New Roman" w:cstheme="minorHAnsi"/>
                <w:szCs w:val="18"/>
                <w:lang w:eastAsia="hr-HR"/>
              </w:rPr>
              <w:t>UKUPNO</w:t>
            </w:r>
          </w:p>
        </w:tc>
        <w:tc>
          <w:tcPr>
            <w:tcW w:w="1022" w:type="dxa"/>
            <w:shd w:val="clear" w:color="auto" w:fill="E5E5E5" w:themeFill="text1" w:themeFillTint="33"/>
            <w:vAlign w:val="center"/>
            <w:hideMark/>
          </w:tcPr>
          <w:p w14:paraId="3E298F0F" w14:textId="4BD73C2C" w:rsidR="008878A0" w:rsidRPr="009B61D3" w:rsidRDefault="008878A0" w:rsidP="00AC2F2E">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16</w:t>
            </w:r>
            <w:r w:rsidR="00E13CA9" w:rsidRPr="009B61D3">
              <w:rPr>
                <w:rFonts w:eastAsia="Times New Roman" w:cstheme="minorHAnsi"/>
                <w:b/>
                <w:bCs/>
                <w:szCs w:val="18"/>
                <w:lang w:eastAsia="hr-HR"/>
              </w:rPr>
              <w:t>9</w:t>
            </w:r>
          </w:p>
        </w:tc>
        <w:tc>
          <w:tcPr>
            <w:tcW w:w="875" w:type="dxa"/>
            <w:shd w:val="clear" w:color="auto" w:fill="E5E5E5" w:themeFill="text1" w:themeFillTint="33"/>
            <w:vAlign w:val="center"/>
            <w:hideMark/>
          </w:tcPr>
          <w:p w14:paraId="5B621AF9" w14:textId="2C125688" w:rsidR="008878A0" w:rsidRPr="009B61D3" w:rsidRDefault="00E13CA9" w:rsidP="00AC2F2E">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170</w:t>
            </w:r>
          </w:p>
        </w:tc>
        <w:tc>
          <w:tcPr>
            <w:tcW w:w="809" w:type="dxa"/>
            <w:shd w:val="clear" w:color="auto" w:fill="E5E5E5" w:themeFill="text1" w:themeFillTint="33"/>
            <w:vAlign w:val="center"/>
            <w:hideMark/>
          </w:tcPr>
          <w:p w14:paraId="5DB1AB35" w14:textId="0A25A86A" w:rsidR="008878A0" w:rsidRPr="009B61D3" w:rsidRDefault="00E13CA9" w:rsidP="00AC2F2E">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168</w:t>
            </w:r>
          </w:p>
        </w:tc>
        <w:tc>
          <w:tcPr>
            <w:tcW w:w="939" w:type="dxa"/>
            <w:shd w:val="clear" w:color="auto" w:fill="E5E5E5" w:themeFill="text1" w:themeFillTint="33"/>
            <w:vAlign w:val="center"/>
            <w:hideMark/>
          </w:tcPr>
          <w:p w14:paraId="0401E78D" w14:textId="5389AD7C" w:rsidR="008878A0" w:rsidRPr="009B61D3" w:rsidRDefault="00E13CA9" w:rsidP="00AC2F2E">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199</w:t>
            </w:r>
          </w:p>
        </w:tc>
      </w:tr>
    </w:tbl>
    <w:p w14:paraId="0ABEE72E" w14:textId="7AC8D79E" w:rsidR="008878A0" w:rsidRPr="00981189" w:rsidRDefault="008878A0" w:rsidP="00981189">
      <w:pPr>
        <w:autoSpaceDE w:val="0"/>
        <w:autoSpaceDN w:val="0"/>
        <w:adjustRightInd w:val="0"/>
        <w:spacing w:after="0" w:line="240" w:lineRule="auto"/>
        <w:rPr>
          <w:rFonts w:eastAsia="ArialNarrow" w:cstheme="minorHAnsi"/>
          <w:i/>
          <w:color w:val="ABABAB" w:themeColor="text1" w:themeTint="A6"/>
          <w:sz w:val="16"/>
          <w:szCs w:val="16"/>
        </w:rPr>
      </w:pPr>
      <w:r w:rsidRPr="00981189">
        <w:rPr>
          <w:rFonts w:eastAsia="ArialNarrow" w:cstheme="minorHAnsi"/>
          <w:i/>
          <w:color w:val="ABABAB" w:themeColor="text1" w:themeTint="A6"/>
          <w:sz w:val="16"/>
          <w:szCs w:val="16"/>
        </w:rPr>
        <w:t>Izvor: Hrvatski zavod za zdravstveno osiguranje</w:t>
      </w:r>
      <w:r w:rsidR="003259BA" w:rsidRPr="00981189">
        <w:rPr>
          <w:rFonts w:eastAsia="ArialNarrow" w:cstheme="minorHAnsi"/>
          <w:i/>
          <w:color w:val="ABABAB" w:themeColor="text1" w:themeTint="A6"/>
          <w:sz w:val="16"/>
          <w:szCs w:val="16"/>
        </w:rPr>
        <w:t>, 2019.</w:t>
      </w:r>
    </w:p>
    <w:p w14:paraId="5FF2AFD3" w14:textId="77777777" w:rsidR="00336730" w:rsidRDefault="00336730" w:rsidP="00E575D4">
      <w:pPr>
        <w:rPr>
          <w:rFonts w:eastAsia="ArialNarrow" w:cstheme="minorHAnsi"/>
        </w:rPr>
      </w:pPr>
    </w:p>
    <w:p w14:paraId="53DBF9FE" w14:textId="71470BB6" w:rsidR="003E1B25" w:rsidRDefault="00BB61E2" w:rsidP="00E575D4">
      <w:pPr>
        <w:rPr>
          <w:rFonts w:eastAsia="ArialNarrow" w:cstheme="minorHAnsi"/>
        </w:rPr>
      </w:pPr>
      <w:r>
        <w:rPr>
          <w:rFonts w:eastAsia="ArialNarrow" w:cstheme="minorHAnsi"/>
        </w:rPr>
        <w:t>U sustavu primarne zdravstvene zaštite na razini Krapinsko-zagorske županije djeluje</w:t>
      </w:r>
      <w:r w:rsidR="00CC2B89">
        <w:rPr>
          <w:rFonts w:eastAsia="ArialNarrow" w:cstheme="minorHAnsi"/>
        </w:rPr>
        <w:t xml:space="preserve"> Dom zdravlja Krapinsko-zagorske županije (6 Ispostava i 144 ordinacije), Zavod za hitnu medicinu Krapinsko-zagorske županije (</w:t>
      </w:r>
      <w:r>
        <w:rPr>
          <w:rFonts w:eastAsia="ArialNarrow" w:cstheme="minorHAnsi"/>
        </w:rPr>
        <w:t>7 Ispostava) i Ljekarne Krapinsko-zagorske županije</w:t>
      </w:r>
      <w:r w:rsidR="00CC2B89">
        <w:rPr>
          <w:rFonts w:eastAsia="ArialNarrow" w:cstheme="minorHAnsi"/>
        </w:rPr>
        <w:t xml:space="preserve">. </w:t>
      </w:r>
      <w:r>
        <w:rPr>
          <w:rFonts w:eastAsia="ArialNarrow" w:cstheme="minorHAnsi"/>
        </w:rPr>
        <w:t>Na području županije nalazi se</w:t>
      </w:r>
      <w:r w:rsidR="00E575D4">
        <w:rPr>
          <w:rFonts w:eastAsia="ArialNarrow" w:cstheme="minorHAnsi"/>
        </w:rPr>
        <w:t xml:space="preserve"> 6 bolnica: Specijalna bolnica za medicinsku rehabilitaciju Krapinske Toplice, Specijalna bolnica za medicinsku rehabilitaciju Stubičke Toplice, Opća bolnica Zabok i bolnica hrvatskih veterana, Klinika Magdalena, Specijalna bolnica za ortopediju, kirurgiju, internu medicinu, neurologiju i fizikalnu medicinu i rehabilitaciju Sveta Katarina i Specijalna bolnica za ortopediju i traumatologiju Akromion. </w:t>
      </w:r>
    </w:p>
    <w:p w14:paraId="2C77DE5E" w14:textId="39125B97" w:rsidR="00BB61E2" w:rsidRDefault="00E575D4" w:rsidP="00941871">
      <w:pPr>
        <w:rPr>
          <w:rFonts w:eastAsia="ArialNarrow" w:cstheme="minorHAnsi"/>
        </w:rPr>
      </w:pPr>
      <w:r>
        <w:rPr>
          <w:rFonts w:eastAsia="ArialNarrow" w:cstheme="minorHAnsi"/>
        </w:rPr>
        <w:t xml:space="preserve">Prema podacima prikupljenim od zdravstvenih ustanova za period od 2016. do 2019. godine uočen je pad broja </w:t>
      </w:r>
      <w:r w:rsidR="00B95D3E">
        <w:rPr>
          <w:rFonts w:eastAsia="ArialNarrow" w:cstheme="minorHAnsi"/>
        </w:rPr>
        <w:t>ordinacija</w:t>
      </w:r>
      <w:r>
        <w:rPr>
          <w:rFonts w:eastAsia="ArialNarrow" w:cstheme="minorHAnsi"/>
        </w:rPr>
        <w:t xml:space="preserve"> dok je broj svih ostalih ustanova ostao </w:t>
      </w:r>
      <w:r w:rsidR="008A352C">
        <w:rPr>
          <w:rFonts w:eastAsia="ArialNarrow" w:cstheme="minorHAnsi"/>
        </w:rPr>
        <w:t>isti.</w:t>
      </w:r>
      <w:r>
        <w:rPr>
          <w:rFonts w:eastAsia="ArialNarrow" w:cstheme="minorHAnsi"/>
        </w:rPr>
        <w:t xml:space="preserve"> Što se ljekarni tiče, njihov broj u 2019. godini je znatno veći što je posljedica metodologije prikaza, a ne stvarnog stanja. S obzirom na to broj ljekarni na svakih 10.000 stanovnika iznosi 3,64. </w:t>
      </w:r>
      <w:r w:rsidR="008A352C">
        <w:rPr>
          <w:rFonts w:eastAsia="ArialNarrow" w:cstheme="minorHAnsi"/>
        </w:rPr>
        <w:t>L</w:t>
      </w:r>
      <w:r>
        <w:rPr>
          <w:rFonts w:eastAsia="ArialNarrow" w:cstheme="minorHAnsi"/>
        </w:rPr>
        <w:t>aboratorija</w:t>
      </w:r>
      <w:r w:rsidR="008A352C">
        <w:rPr>
          <w:rFonts w:eastAsia="ArialNarrow" w:cstheme="minorHAnsi"/>
        </w:rPr>
        <w:t xml:space="preserve"> </w:t>
      </w:r>
      <w:r>
        <w:rPr>
          <w:rFonts w:eastAsia="ArialNarrow" w:cstheme="minorHAnsi"/>
        </w:rPr>
        <w:t xml:space="preserve">je u 2019. godini bilo 7 što na svakih 10.000 stanovnika iznosi 0,55. </w:t>
      </w:r>
      <w:r w:rsidR="008B556C">
        <w:rPr>
          <w:rFonts w:eastAsia="ArialNarrow" w:cstheme="minorHAnsi"/>
        </w:rPr>
        <w:t>Broj ugovornih ordinacija opće medicine u Krapinsko zagorskoj županiji iznosio je 74 (5,85 ordinacija na 10.000 stanovnika). Stomatoloških ordinacija je u 2019. godini bilo 55 što je 4,35 na svakih 10.000 stanovnika. Pedijatrijskih ordinacija bilo je 5, a ginekoloških ordinacija 10.</w:t>
      </w:r>
    </w:p>
    <w:p w14:paraId="264DE24D" w14:textId="14EF7679" w:rsidR="00F03A55" w:rsidRDefault="003E1B25" w:rsidP="00941871">
      <w:pPr>
        <w:rPr>
          <w:rFonts w:eastAsia="ArialNarrow" w:cstheme="minorHAnsi"/>
        </w:rPr>
      </w:pPr>
      <w:r>
        <w:rPr>
          <w:rFonts w:eastAsia="ArialNarrow" w:cstheme="minorHAnsi"/>
        </w:rPr>
        <w:t xml:space="preserve">Daljnji razvoj sustava zdravstvene zaštite temeljit će se na sveobuhvatnom </w:t>
      </w:r>
      <w:r w:rsidR="007D025C">
        <w:rPr>
          <w:rFonts w:eastAsia="ArialNarrow" w:cstheme="minorHAnsi"/>
        </w:rPr>
        <w:t>pristupu</w:t>
      </w:r>
      <w:r>
        <w:rPr>
          <w:rFonts w:eastAsia="ArialNarrow" w:cstheme="minorHAnsi"/>
        </w:rPr>
        <w:t xml:space="preserve"> medicins</w:t>
      </w:r>
      <w:r w:rsidR="007D025C">
        <w:rPr>
          <w:rFonts w:eastAsia="ArialNarrow" w:cstheme="minorHAnsi"/>
        </w:rPr>
        <w:t>ke usluge</w:t>
      </w:r>
      <w:r>
        <w:rPr>
          <w:rFonts w:eastAsia="ArialNarrow" w:cstheme="minorHAnsi"/>
        </w:rPr>
        <w:t xml:space="preserve">, jačanju kapaciteta primarne </w:t>
      </w:r>
      <w:r w:rsidR="007D025C">
        <w:rPr>
          <w:rFonts w:eastAsia="ArialNarrow" w:cstheme="minorHAnsi"/>
        </w:rPr>
        <w:t xml:space="preserve">i sekundarne </w:t>
      </w:r>
      <w:r>
        <w:rPr>
          <w:rFonts w:eastAsia="ArialNarrow" w:cstheme="minorHAnsi"/>
        </w:rPr>
        <w:t>zdravstvene zaštite te jasnoj specijalizaciji bolnica za medicinsku rehabilitaciju</w:t>
      </w:r>
      <w:r w:rsidR="007D025C">
        <w:rPr>
          <w:rFonts w:eastAsia="ArialNarrow" w:cstheme="minorHAnsi"/>
        </w:rPr>
        <w:t xml:space="preserve">. U tom smjeru ide Specijalna bolnica za medicinsku rehabilitaciju Krapinske Toplice pripremom projekta uspostave središnjeg </w:t>
      </w:r>
      <w:r w:rsidR="0006179C">
        <w:rPr>
          <w:rFonts w:eastAsia="ArialNarrow" w:cstheme="minorHAnsi"/>
        </w:rPr>
        <w:t>C</w:t>
      </w:r>
      <w:r w:rsidR="007D025C">
        <w:rPr>
          <w:rFonts w:eastAsia="ArialNarrow" w:cstheme="minorHAnsi"/>
        </w:rPr>
        <w:t>entra za zdravlje srca i mozga te provođenja specifičnih rehabilitacijskih postupaka za stanovništvo</w:t>
      </w:r>
      <w:r w:rsidR="0006179C">
        <w:rPr>
          <w:rFonts w:eastAsia="ArialNarrow" w:cstheme="minorHAnsi"/>
        </w:rPr>
        <w:t xml:space="preserve"> Krapinsko-zagorske županije</w:t>
      </w:r>
      <w:r w:rsidR="007D025C">
        <w:rPr>
          <w:rFonts w:eastAsia="ArialNarrow" w:cstheme="minorHAnsi"/>
        </w:rPr>
        <w:t xml:space="preserve">, </w:t>
      </w:r>
      <w:r w:rsidR="0006179C">
        <w:rPr>
          <w:rFonts w:eastAsia="ArialNarrow" w:cstheme="minorHAnsi"/>
        </w:rPr>
        <w:t xml:space="preserve">Republike </w:t>
      </w:r>
      <w:r w:rsidR="007D025C">
        <w:rPr>
          <w:rFonts w:eastAsia="ArialNarrow" w:cstheme="minorHAnsi"/>
        </w:rPr>
        <w:t>Hrvatsk</w:t>
      </w:r>
      <w:r w:rsidR="0006179C">
        <w:rPr>
          <w:rFonts w:eastAsia="ArialNarrow" w:cstheme="minorHAnsi"/>
        </w:rPr>
        <w:t>e</w:t>
      </w:r>
      <w:r w:rsidR="007D025C">
        <w:rPr>
          <w:rFonts w:eastAsia="ArialNarrow" w:cstheme="minorHAnsi"/>
        </w:rPr>
        <w:t xml:space="preserve"> i </w:t>
      </w:r>
      <w:r w:rsidR="0006179C">
        <w:rPr>
          <w:rFonts w:eastAsia="ArialNarrow" w:cstheme="minorHAnsi"/>
        </w:rPr>
        <w:t>ostale korisnike usluga bolnice.</w:t>
      </w:r>
    </w:p>
    <w:p w14:paraId="11C66A68" w14:textId="0B8ECC02" w:rsidR="008878A0" w:rsidRDefault="00AF5B79" w:rsidP="003E3F3C">
      <w:pPr>
        <w:pStyle w:val="Opisslike"/>
        <w:rPr>
          <w:noProof/>
        </w:rPr>
      </w:pPr>
      <w:r>
        <w:rPr>
          <w:noProof/>
        </w:rPr>
        <w:lastRenderedPageBreak/>
        <w:t xml:space="preserve">Tablica </w:t>
      </w:r>
      <w:r w:rsidR="0024292A">
        <w:rPr>
          <w:noProof/>
        </w:rPr>
        <w:t>3</w:t>
      </w:r>
      <w:r>
        <w:rPr>
          <w:noProof/>
        </w:rPr>
        <w:t>6</w:t>
      </w:r>
      <w:r w:rsidR="009B61D3">
        <w:rPr>
          <w:noProof/>
        </w:rPr>
        <w:t>.</w:t>
      </w:r>
      <w:r w:rsidR="008878A0">
        <w:rPr>
          <w:noProof/>
        </w:rPr>
        <w:t xml:space="preserve"> Broj zdravstvenih djelatnika prema područjima rada u RH i Krapin</w:t>
      </w:r>
      <w:r w:rsidR="00675B81">
        <w:rPr>
          <w:noProof/>
        </w:rPr>
        <w:t>s</w:t>
      </w:r>
      <w:r w:rsidR="008878A0">
        <w:rPr>
          <w:noProof/>
        </w:rPr>
        <w:t>ko-zagorskoj županiji 201</w:t>
      </w:r>
      <w:r w:rsidR="00AD5C50">
        <w:rPr>
          <w:noProof/>
        </w:rPr>
        <w:t>6</w:t>
      </w:r>
      <w:r w:rsidR="008878A0">
        <w:rPr>
          <w:noProof/>
        </w:rPr>
        <w:t xml:space="preserve">. </w:t>
      </w:r>
      <w:r w:rsidR="00201691">
        <w:rPr>
          <w:noProof/>
        </w:rPr>
        <w:t>-</w:t>
      </w:r>
      <w:r w:rsidR="008878A0">
        <w:rPr>
          <w:noProof/>
        </w:rPr>
        <w:t xml:space="preserve"> 201</w:t>
      </w:r>
      <w:r w:rsidR="00F924B7">
        <w:rPr>
          <w:noProof/>
        </w:rPr>
        <w:t>9</w:t>
      </w:r>
      <w:r w:rsidR="008878A0">
        <w:rPr>
          <w:noProof/>
        </w:rPr>
        <w:t>.</w:t>
      </w:r>
    </w:p>
    <w:tbl>
      <w:tblPr>
        <w:tblW w:w="9660" w:type="dxa"/>
        <w:tblBorders>
          <w:insideH w:val="single" w:sz="8" w:space="0" w:color="F3CFC1"/>
        </w:tblBorders>
        <w:tblLook w:val="04A0" w:firstRow="1" w:lastRow="0" w:firstColumn="1" w:lastColumn="0" w:noHBand="0" w:noVBand="1"/>
      </w:tblPr>
      <w:tblGrid>
        <w:gridCol w:w="2986"/>
        <w:gridCol w:w="1172"/>
        <w:gridCol w:w="881"/>
        <w:gridCol w:w="756"/>
        <w:gridCol w:w="743"/>
        <w:gridCol w:w="1062"/>
        <w:gridCol w:w="765"/>
        <w:gridCol w:w="648"/>
        <w:gridCol w:w="628"/>
        <w:gridCol w:w="19"/>
      </w:tblGrid>
      <w:tr w:rsidR="00F924B7" w:rsidRPr="009B61D3" w14:paraId="440F4479" w14:textId="53F3C986" w:rsidTr="00201691">
        <w:trPr>
          <w:gridAfter w:val="1"/>
          <w:wAfter w:w="19" w:type="dxa"/>
          <w:trHeight w:val="250"/>
          <w:tblHeader/>
        </w:trPr>
        <w:tc>
          <w:tcPr>
            <w:tcW w:w="2986" w:type="dxa"/>
            <w:vMerge w:val="restart"/>
            <w:tcBorders>
              <w:top w:val="nil"/>
              <w:bottom w:val="single" w:sz="8" w:space="0" w:color="F3CFC1"/>
              <w:right w:val="single" w:sz="4" w:space="0" w:color="FFFFFF" w:themeColor="background1"/>
            </w:tcBorders>
            <w:shd w:val="clear" w:color="auto" w:fill="D2232A"/>
            <w:noWrap/>
            <w:vAlign w:val="center"/>
            <w:hideMark/>
          </w:tcPr>
          <w:p w14:paraId="3140D1FE" w14:textId="77777777" w:rsidR="00F924B7" w:rsidRPr="009B61D3" w:rsidRDefault="00F924B7" w:rsidP="00941871">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BROJ ZDRAVSTVENIH RADNIKA</w:t>
            </w:r>
          </w:p>
        </w:tc>
        <w:tc>
          <w:tcPr>
            <w:tcW w:w="3552" w:type="dxa"/>
            <w:gridSpan w:val="4"/>
            <w:tcBorders>
              <w:top w:val="nil"/>
              <w:left w:val="single" w:sz="4" w:space="0" w:color="FFFFFF" w:themeColor="background1"/>
              <w:bottom w:val="single" w:sz="8" w:space="0" w:color="F3CFC1"/>
              <w:right w:val="single" w:sz="8" w:space="0" w:color="D2232A"/>
            </w:tcBorders>
            <w:shd w:val="clear" w:color="auto" w:fill="D2232A"/>
            <w:noWrap/>
            <w:vAlign w:val="center"/>
            <w:hideMark/>
          </w:tcPr>
          <w:p w14:paraId="12B37633" w14:textId="22FEA901" w:rsidR="00F924B7" w:rsidRPr="009B61D3" w:rsidRDefault="00F924B7" w:rsidP="007F2B15">
            <w:pPr>
              <w:spacing w:after="0" w:line="240" w:lineRule="auto"/>
              <w:jc w:val="center"/>
              <w:rPr>
                <w:rFonts w:eastAsia="Times New Roman" w:cstheme="minorHAnsi"/>
                <w:szCs w:val="18"/>
                <w:lang w:eastAsia="hr-HR"/>
              </w:rPr>
            </w:pPr>
            <w:r w:rsidRPr="009B61D3">
              <w:rPr>
                <w:rFonts w:eastAsia="Times New Roman" w:cstheme="minorHAnsi"/>
                <w:color w:val="FFFFFF"/>
                <w:szCs w:val="18"/>
                <w:lang w:eastAsia="hr-HR"/>
              </w:rPr>
              <w:t>REPUBLIKA HRVATSKA</w:t>
            </w:r>
          </w:p>
        </w:tc>
        <w:tc>
          <w:tcPr>
            <w:tcW w:w="3103" w:type="dxa"/>
            <w:gridSpan w:val="4"/>
            <w:tcBorders>
              <w:top w:val="nil"/>
              <w:left w:val="single" w:sz="8" w:space="0" w:color="D2232A"/>
              <w:bottom w:val="single" w:sz="8" w:space="0" w:color="F3CFC1"/>
              <w:right w:val="single" w:sz="4" w:space="0" w:color="EC8E92" w:themeColor="accent6"/>
            </w:tcBorders>
            <w:shd w:val="clear" w:color="auto" w:fill="E5E5E5" w:themeFill="text1" w:themeFillTint="33"/>
            <w:noWrap/>
            <w:vAlign w:val="center"/>
            <w:hideMark/>
          </w:tcPr>
          <w:p w14:paraId="4A86E907" w14:textId="3A601286" w:rsidR="00F924B7" w:rsidRPr="009B61D3" w:rsidRDefault="00F924B7" w:rsidP="007F2B15">
            <w:pPr>
              <w:spacing w:after="0" w:line="240" w:lineRule="auto"/>
              <w:jc w:val="center"/>
              <w:rPr>
                <w:rFonts w:eastAsia="Times New Roman" w:cstheme="minorHAnsi"/>
                <w:szCs w:val="18"/>
                <w:lang w:eastAsia="hr-HR"/>
              </w:rPr>
            </w:pPr>
            <w:r w:rsidRPr="009B61D3">
              <w:rPr>
                <w:rFonts w:eastAsia="Times New Roman" w:cstheme="minorHAnsi"/>
                <w:szCs w:val="18"/>
                <w:lang w:eastAsia="hr-HR"/>
              </w:rPr>
              <w:t>KRAPINSKO-ZAGORSKA ŽUPANIJA</w:t>
            </w:r>
          </w:p>
        </w:tc>
      </w:tr>
      <w:tr w:rsidR="00F924B7" w:rsidRPr="009B61D3" w14:paraId="548854B5" w14:textId="34A69918" w:rsidTr="00201691">
        <w:trPr>
          <w:trHeight w:val="250"/>
          <w:tblHeader/>
        </w:trPr>
        <w:tc>
          <w:tcPr>
            <w:tcW w:w="2986" w:type="dxa"/>
            <w:vMerge/>
            <w:tcBorders>
              <w:top w:val="single" w:sz="8" w:space="0" w:color="F3CFC1"/>
              <w:bottom w:val="single" w:sz="8" w:space="0" w:color="F3CFC1"/>
              <w:right w:val="single" w:sz="4" w:space="0" w:color="FFFFFF" w:themeColor="background1"/>
            </w:tcBorders>
            <w:shd w:val="clear" w:color="auto" w:fill="D2232A"/>
            <w:vAlign w:val="center"/>
            <w:hideMark/>
          </w:tcPr>
          <w:p w14:paraId="18C2A41C" w14:textId="77777777" w:rsidR="00F924B7" w:rsidRPr="009B61D3" w:rsidRDefault="00F924B7" w:rsidP="00F924B7">
            <w:pPr>
              <w:spacing w:after="0"/>
              <w:rPr>
                <w:rFonts w:eastAsia="Times New Roman" w:cstheme="minorHAnsi"/>
                <w:color w:val="FFFFFF" w:themeColor="background1"/>
                <w:szCs w:val="18"/>
                <w:lang w:eastAsia="hr-HR"/>
              </w:rPr>
            </w:pPr>
          </w:p>
        </w:tc>
        <w:tc>
          <w:tcPr>
            <w:tcW w:w="1172" w:type="dxa"/>
            <w:tcBorders>
              <w:top w:val="single" w:sz="8" w:space="0" w:color="F3CFC1"/>
              <w:left w:val="single" w:sz="4" w:space="0" w:color="FFFFFF" w:themeColor="background1"/>
              <w:bottom w:val="single" w:sz="8" w:space="0" w:color="F3CFC1"/>
            </w:tcBorders>
            <w:shd w:val="clear" w:color="auto" w:fill="D2232A"/>
            <w:noWrap/>
            <w:vAlign w:val="center"/>
            <w:hideMark/>
          </w:tcPr>
          <w:p w14:paraId="7E1E8AF4" w14:textId="284A66B7" w:rsidR="00F924B7" w:rsidRPr="009B61D3" w:rsidRDefault="00F924B7" w:rsidP="005B7558">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2016.</w:t>
            </w:r>
          </w:p>
        </w:tc>
        <w:tc>
          <w:tcPr>
            <w:tcW w:w="881" w:type="dxa"/>
            <w:tcBorders>
              <w:top w:val="single" w:sz="8" w:space="0" w:color="F3CFC1"/>
              <w:bottom w:val="single" w:sz="8" w:space="0" w:color="F3CFC1"/>
            </w:tcBorders>
            <w:shd w:val="clear" w:color="auto" w:fill="D2232A"/>
            <w:noWrap/>
            <w:vAlign w:val="center"/>
            <w:hideMark/>
          </w:tcPr>
          <w:p w14:paraId="74C5A919" w14:textId="180F3766" w:rsidR="00F924B7" w:rsidRPr="009B61D3" w:rsidRDefault="00F924B7" w:rsidP="005B7558">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2017.</w:t>
            </w:r>
          </w:p>
        </w:tc>
        <w:tc>
          <w:tcPr>
            <w:tcW w:w="756" w:type="dxa"/>
            <w:tcBorders>
              <w:top w:val="single" w:sz="8" w:space="0" w:color="F3CFC1"/>
              <w:bottom w:val="single" w:sz="8" w:space="0" w:color="F3CFC1"/>
              <w:right w:val="single" w:sz="8" w:space="0" w:color="D2232A"/>
            </w:tcBorders>
            <w:shd w:val="clear" w:color="auto" w:fill="D2232A"/>
            <w:noWrap/>
            <w:vAlign w:val="center"/>
            <w:hideMark/>
          </w:tcPr>
          <w:p w14:paraId="5DF52B07" w14:textId="1E46BB48" w:rsidR="00F924B7" w:rsidRPr="009B61D3" w:rsidRDefault="00F924B7" w:rsidP="005B7558">
            <w:pPr>
              <w:spacing w:after="0" w:line="240" w:lineRule="auto"/>
              <w:jc w:val="center"/>
              <w:rPr>
                <w:rFonts w:eastAsia="Times New Roman" w:cstheme="minorHAnsi"/>
                <w:color w:val="FFFFFF"/>
                <w:szCs w:val="18"/>
                <w:lang w:eastAsia="hr-HR"/>
              </w:rPr>
            </w:pPr>
            <w:r w:rsidRPr="009B61D3">
              <w:rPr>
                <w:rFonts w:eastAsia="Times New Roman" w:cstheme="minorHAnsi"/>
                <w:color w:val="FFFFFF"/>
                <w:szCs w:val="18"/>
                <w:lang w:eastAsia="hr-HR"/>
              </w:rPr>
              <w:t>2018.</w:t>
            </w:r>
          </w:p>
        </w:tc>
        <w:tc>
          <w:tcPr>
            <w:tcW w:w="741" w:type="dxa"/>
            <w:tcBorders>
              <w:top w:val="single" w:sz="8" w:space="0" w:color="F3CFC1"/>
              <w:bottom w:val="single" w:sz="8" w:space="0" w:color="F3CFC1"/>
              <w:right w:val="single" w:sz="8" w:space="0" w:color="D2232A"/>
            </w:tcBorders>
            <w:shd w:val="clear" w:color="auto" w:fill="D2232A"/>
            <w:vAlign w:val="center"/>
          </w:tcPr>
          <w:p w14:paraId="2E6C8BB1" w14:textId="2F4CE4C0" w:rsidR="00F924B7" w:rsidRPr="00F924B7" w:rsidRDefault="00F924B7" w:rsidP="005B7558">
            <w:pPr>
              <w:spacing w:after="0" w:line="240" w:lineRule="auto"/>
              <w:jc w:val="center"/>
              <w:rPr>
                <w:rFonts w:eastAsia="Times New Roman" w:cstheme="minorHAnsi"/>
                <w:color w:val="FFFFFF"/>
                <w:szCs w:val="18"/>
                <w:lang w:eastAsia="hr-HR"/>
              </w:rPr>
            </w:pPr>
            <w:r>
              <w:rPr>
                <w:rFonts w:eastAsia="Times New Roman" w:cstheme="minorHAnsi"/>
                <w:color w:val="FFFFFF"/>
                <w:szCs w:val="18"/>
                <w:lang w:eastAsia="hr-HR"/>
              </w:rPr>
              <w:t>2019.</w:t>
            </w:r>
          </w:p>
        </w:tc>
        <w:tc>
          <w:tcPr>
            <w:tcW w:w="1062" w:type="dxa"/>
            <w:tcBorders>
              <w:top w:val="single" w:sz="8" w:space="0" w:color="F3CFC1"/>
              <w:left w:val="single" w:sz="8" w:space="0" w:color="D2232A"/>
              <w:bottom w:val="single" w:sz="8" w:space="0" w:color="F3CFC1"/>
            </w:tcBorders>
            <w:shd w:val="clear" w:color="auto" w:fill="E5E5E5" w:themeFill="text1" w:themeFillTint="33"/>
            <w:noWrap/>
            <w:vAlign w:val="center"/>
            <w:hideMark/>
          </w:tcPr>
          <w:p w14:paraId="21808AA1" w14:textId="09CA3C00" w:rsidR="00F924B7" w:rsidRPr="009B61D3" w:rsidRDefault="00F924B7" w:rsidP="005B7558">
            <w:pPr>
              <w:spacing w:after="0" w:line="240" w:lineRule="auto"/>
              <w:jc w:val="center"/>
              <w:rPr>
                <w:rFonts w:eastAsia="Times New Roman" w:cstheme="minorHAnsi"/>
                <w:szCs w:val="18"/>
                <w:lang w:eastAsia="hr-HR"/>
              </w:rPr>
            </w:pPr>
            <w:r w:rsidRPr="009B61D3">
              <w:rPr>
                <w:rFonts w:eastAsia="Times New Roman" w:cstheme="minorHAnsi"/>
                <w:szCs w:val="18"/>
                <w:lang w:eastAsia="hr-HR"/>
              </w:rPr>
              <w:t>2016.</w:t>
            </w:r>
          </w:p>
        </w:tc>
        <w:tc>
          <w:tcPr>
            <w:tcW w:w="765" w:type="dxa"/>
            <w:tcBorders>
              <w:top w:val="single" w:sz="8" w:space="0" w:color="F3CFC1"/>
              <w:bottom w:val="single" w:sz="8" w:space="0" w:color="F3CFC1"/>
            </w:tcBorders>
            <w:shd w:val="clear" w:color="auto" w:fill="E5E5E5" w:themeFill="text1" w:themeFillTint="33"/>
            <w:noWrap/>
            <w:vAlign w:val="center"/>
            <w:hideMark/>
          </w:tcPr>
          <w:p w14:paraId="5B530938" w14:textId="155B481D" w:rsidR="00F924B7" w:rsidRPr="009B61D3" w:rsidRDefault="00F924B7" w:rsidP="005B7558">
            <w:pPr>
              <w:spacing w:after="0" w:line="240" w:lineRule="auto"/>
              <w:jc w:val="center"/>
              <w:rPr>
                <w:rFonts w:eastAsia="Times New Roman" w:cstheme="minorHAnsi"/>
                <w:szCs w:val="18"/>
                <w:lang w:eastAsia="hr-HR"/>
              </w:rPr>
            </w:pPr>
            <w:r w:rsidRPr="009B61D3">
              <w:rPr>
                <w:rFonts w:eastAsia="Times New Roman" w:cstheme="minorHAnsi"/>
                <w:szCs w:val="18"/>
                <w:lang w:eastAsia="hr-HR"/>
              </w:rPr>
              <w:t>2017.</w:t>
            </w:r>
          </w:p>
        </w:tc>
        <w:tc>
          <w:tcPr>
            <w:tcW w:w="648" w:type="dxa"/>
            <w:tcBorders>
              <w:top w:val="single" w:sz="8" w:space="0" w:color="F3CFC1"/>
              <w:bottom w:val="single" w:sz="8" w:space="0" w:color="F3CFC1"/>
              <w:right w:val="single" w:sz="4" w:space="0" w:color="FFFFFF" w:themeColor="background1"/>
            </w:tcBorders>
            <w:shd w:val="clear" w:color="auto" w:fill="E5E5E5" w:themeFill="text1" w:themeFillTint="33"/>
            <w:noWrap/>
            <w:vAlign w:val="center"/>
            <w:hideMark/>
          </w:tcPr>
          <w:p w14:paraId="1B95952B" w14:textId="38BD04ED" w:rsidR="00F924B7" w:rsidRPr="009B61D3" w:rsidRDefault="00F924B7" w:rsidP="005B7558">
            <w:pPr>
              <w:spacing w:after="0" w:line="240" w:lineRule="auto"/>
              <w:jc w:val="center"/>
              <w:rPr>
                <w:rFonts w:eastAsia="Times New Roman" w:cstheme="minorHAnsi"/>
                <w:szCs w:val="18"/>
                <w:lang w:eastAsia="hr-HR"/>
              </w:rPr>
            </w:pPr>
            <w:r w:rsidRPr="009B61D3">
              <w:rPr>
                <w:rFonts w:eastAsia="Times New Roman" w:cstheme="minorHAnsi"/>
                <w:szCs w:val="18"/>
                <w:lang w:eastAsia="hr-HR"/>
              </w:rPr>
              <w:t>2018.</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shd w:val="clear" w:color="auto" w:fill="E5E5E5" w:themeFill="text1" w:themeFillTint="33"/>
          </w:tcPr>
          <w:p w14:paraId="764C089B" w14:textId="50539B39" w:rsidR="00F924B7" w:rsidRPr="009B61D3" w:rsidRDefault="00F924B7" w:rsidP="005B7558">
            <w:pPr>
              <w:spacing w:after="0" w:line="240" w:lineRule="auto"/>
              <w:jc w:val="center"/>
              <w:rPr>
                <w:rFonts w:eastAsia="Times New Roman" w:cstheme="minorHAnsi"/>
                <w:szCs w:val="18"/>
                <w:lang w:eastAsia="hr-HR"/>
              </w:rPr>
            </w:pPr>
            <w:r>
              <w:rPr>
                <w:rFonts w:eastAsia="Times New Roman" w:cstheme="minorHAnsi"/>
                <w:szCs w:val="18"/>
                <w:lang w:eastAsia="hr-HR"/>
              </w:rPr>
              <w:t>2019.</w:t>
            </w:r>
          </w:p>
        </w:tc>
      </w:tr>
      <w:tr w:rsidR="003E72B2" w:rsidRPr="009B61D3" w14:paraId="0757FCBA" w14:textId="5DF308CF"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0D26858A"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Primarna zdravstvena zaštita</w:t>
            </w:r>
          </w:p>
        </w:tc>
        <w:tc>
          <w:tcPr>
            <w:tcW w:w="1172" w:type="dxa"/>
            <w:tcBorders>
              <w:top w:val="single" w:sz="8" w:space="0" w:color="F3CFC1"/>
              <w:bottom w:val="single" w:sz="8" w:space="0" w:color="F3CFC1"/>
            </w:tcBorders>
            <w:noWrap/>
            <w:vAlign w:val="bottom"/>
            <w:hideMark/>
          </w:tcPr>
          <w:p w14:paraId="19DDB42F" w14:textId="58B8576F"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2.570</w:t>
            </w:r>
          </w:p>
        </w:tc>
        <w:tc>
          <w:tcPr>
            <w:tcW w:w="881" w:type="dxa"/>
            <w:tcBorders>
              <w:top w:val="single" w:sz="8" w:space="0" w:color="F3CFC1"/>
              <w:bottom w:val="single" w:sz="8" w:space="0" w:color="F3CFC1"/>
            </w:tcBorders>
            <w:noWrap/>
            <w:vAlign w:val="bottom"/>
            <w:hideMark/>
          </w:tcPr>
          <w:p w14:paraId="695639A0" w14:textId="7FACB1FA"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2.593</w:t>
            </w:r>
          </w:p>
        </w:tc>
        <w:tc>
          <w:tcPr>
            <w:tcW w:w="756" w:type="dxa"/>
            <w:tcBorders>
              <w:top w:val="single" w:sz="8" w:space="0" w:color="F3CFC1"/>
              <w:bottom w:val="single" w:sz="8" w:space="0" w:color="F3CFC1"/>
              <w:right w:val="single" w:sz="4" w:space="0" w:color="FFFFFF" w:themeColor="background1"/>
            </w:tcBorders>
            <w:noWrap/>
            <w:vAlign w:val="bottom"/>
          </w:tcPr>
          <w:p w14:paraId="2BEDA510" w14:textId="433069B6"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2.568</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17FD21D8" w14:textId="639BE126" w:rsidR="00F924B7" w:rsidRPr="009B61D3" w:rsidRDefault="00F924B7"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2.413</w:t>
            </w:r>
          </w:p>
        </w:tc>
        <w:tc>
          <w:tcPr>
            <w:tcW w:w="1062" w:type="dxa"/>
            <w:tcBorders>
              <w:top w:val="single" w:sz="8" w:space="0" w:color="F3CFC1"/>
              <w:left w:val="single" w:sz="8" w:space="0" w:color="D2232A"/>
              <w:bottom w:val="single" w:sz="8" w:space="0" w:color="F3CFC1"/>
            </w:tcBorders>
            <w:noWrap/>
            <w:vAlign w:val="bottom"/>
            <w:hideMark/>
          </w:tcPr>
          <w:p w14:paraId="56E22CE7" w14:textId="1537C7EA"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78</w:t>
            </w:r>
          </w:p>
        </w:tc>
        <w:tc>
          <w:tcPr>
            <w:tcW w:w="765" w:type="dxa"/>
            <w:tcBorders>
              <w:top w:val="single" w:sz="8" w:space="0" w:color="F3CFC1"/>
              <w:bottom w:val="single" w:sz="8" w:space="0" w:color="F3CFC1"/>
            </w:tcBorders>
            <w:noWrap/>
            <w:vAlign w:val="bottom"/>
            <w:hideMark/>
          </w:tcPr>
          <w:p w14:paraId="3DE18ECE" w14:textId="595E11D9"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78</w:t>
            </w:r>
          </w:p>
        </w:tc>
        <w:tc>
          <w:tcPr>
            <w:tcW w:w="648" w:type="dxa"/>
            <w:tcBorders>
              <w:top w:val="single" w:sz="8" w:space="0" w:color="F3CFC1"/>
              <w:bottom w:val="single" w:sz="8" w:space="0" w:color="F3CFC1"/>
              <w:right w:val="single" w:sz="4" w:space="0" w:color="FFFFFF" w:themeColor="background1"/>
            </w:tcBorders>
            <w:noWrap/>
            <w:vAlign w:val="bottom"/>
          </w:tcPr>
          <w:p w14:paraId="11305C77" w14:textId="16071D9E"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77</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4FA5D99F" w14:textId="3A184BE1" w:rsidR="00F924B7" w:rsidRPr="009B61D3" w:rsidRDefault="00113097"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77</w:t>
            </w:r>
          </w:p>
        </w:tc>
      </w:tr>
      <w:tr w:rsidR="00F924B7" w:rsidRPr="009B61D3" w14:paraId="6F956E9F" w14:textId="289A7C3C"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55872796"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opće medicine</w:t>
            </w:r>
          </w:p>
        </w:tc>
        <w:tc>
          <w:tcPr>
            <w:tcW w:w="1172" w:type="dxa"/>
            <w:tcBorders>
              <w:top w:val="single" w:sz="8" w:space="0" w:color="F3CFC1"/>
              <w:bottom w:val="single" w:sz="8" w:space="0" w:color="F3CFC1"/>
            </w:tcBorders>
            <w:noWrap/>
            <w:vAlign w:val="bottom"/>
            <w:hideMark/>
          </w:tcPr>
          <w:p w14:paraId="3D06924A" w14:textId="4695E8D3"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2.293</w:t>
            </w:r>
          </w:p>
        </w:tc>
        <w:tc>
          <w:tcPr>
            <w:tcW w:w="881" w:type="dxa"/>
            <w:tcBorders>
              <w:top w:val="single" w:sz="8" w:space="0" w:color="F3CFC1"/>
              <w:bottom w:val="single" w:sz="8" w:space="0" w:color="F3CFC1"/>
            </w:tcBorders>
            <w:noWrap/>
            <w:vAlign w:val="bottom"/>
            <w:hideMark/>
          </w:tcPr>
          <w:p w14:paraId="4026F0D5" w14:textId="41B9AE79"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2.316</w:t>
            </w:r>
          </w:p>
        </w:tc>
        <w:tc>
          <w:tcPr>
            <w:tcW w:w="756" w:type="dxa"/>
            <w:tcBorders>
              <w:top w:val="single" w:sz="8" w:space="0" w:color="F3CFC1"/>
              <w:bottom w:val="single" w:sz="8" w:space="0" w:color="F3CFC1"/>
              <w:right w:val="single" w:sz="4" w:space="0" w:color="FFFFFF" w:themeColor="background1"/>
            </w:tcBorders>
            <w:noWrap/>
            <w:vAlign w:val="bottom"/>
          </w:tcPr>
          <w:p w14:paraId="30F1EDF3" w14:textId="3E4A4F95"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2.286</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02DB9873" w14:textId="588F5AFA" w:rsidR="00F924B7" w:rsidRPr="009B61D3" w:rsidRDefault="00113097"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2.168</w:t>
            </w:r>
          </w:p>
        </w:tc>
        <w:tc>
          <w:tcPr>
            <w:tcW w:w="1062" w:type="dxa"/>
            <w:tcBorders>
              <w:top w:val="single" w:sz="8" w:space="0" w:color="F3CFC1"/>
              <w:left w:val="single" w:sz="8" w:space="0" w:color="D2232A"/>
              <w:bottom w:val="single" w:sz="8" w:space="0" w:color="F3CFC1"/>
            </w:tcBorders>
            <w:noWrap/>
            <w:vAlign w:val="bottom"/>
            <w:hideMark/>
          </w:tcPr>
          <w:p w14:paraId="4C42638F" w14:textId="65081A08"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74</w:t>
            </w:r>
          </w:p>
        </w:tc>
        <w:tc>
          <w:tcPr>
            <w:tcW w:w="765" w:type="dxa"/>
            <w:tcBorders>
              <w:top w:val="single" w:sz="8" w:space="0" w:color="F3CFC1"/>
              <w:bottom w:val="single" w:sz="8" w:space="0" w:color="F3CFC1"/>
            </w:tcBorders>
            <w:noWrap/>
            <w:vAlign w:val="bottom"/>
            <w:hideMark/>
          </w:tcPr>
          <w:p w14:paraId="29F24E73" w14:textId="5A59DE12"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74</w:t>
            </w:r>
          </w:p>
        </w:tc>
        <w:tc>
          <w:tcPr>
            <w:tcW w:w="648" w:type="dxa"/>
            <w:tcBorders>
              <w:top w:val="single" w:sz="8" w:space="0" w:color="F3CFC1"/>
              <w:bottom w:val="single" w:sz="8" w:space="0" w:color="F3CFC1"/>
              <w:right w:val="single" w:sz="4" w:space="0" w:color="FFFFFF" w:themeColor="background1"/>
            </w:tcBorders>
            <w:noWrap/>
            <w:vAlign w:val="bottom"/>
          </w:tcPr>
          <w:p w14:paraId="4FB86206" w14:textId="6635119A"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73</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499CCA9C" w14:textId="39817CAF" w:rsidR="00F924B7" w:rsidRPr="009B61D3" w:rsidRDefault="00113097"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73</w:t>
            </w:r>
          </w:p>
        </w:tc>
      </w:tr>
      <w:tr w:rsidR="00F924B7" w:rsidRPr="009B61D3" w14:paraId="2C893421" w14:textId="1F15A115"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52C1BFEC"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zdravstvene zaštite dojenčadi i male djece</w:t>
            </w:r>
          </w:p>
        </w:tc>
        <w:tc>
          <w:tcPr>
            <w:tcW w:w="1172" w:type="dxa"/>
            <w:tcBorders>
              <w:top w:val="single" w:sz="8" w:space="0" w:color="F3CFC1"/>
              <w:bottom w:val="single" w:sz="8" w:space="0" w:color="F3CFC1"/>
            </w:tcBorders>
            <w:noWrap/>
            <w:vAlign w:val="bottom"/>
            <w:hideMark/>
          </w:tcPr>
          <w:p w14:paraId="6DECABCE" w14:textId="13750153"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277</w:t>
            </w:r>
          </w:p>
        </w:tc>
        <w:tc>
          <w:tcPr>
            <w:tcW w:w="881" w:type="dxa"/>
            <w:tcBorders>
              <w:top w:val="single" w:sz="8" w:space="0" w:color="F3CFC1"/>
              <w:bottom w:val="single" w:sz="8" w:space="0" w:color="F3CFC1"/>
            </w:tcBorders>
            <w:noWrap/>
            <w:vAlign w:val="bottom"/>
            <w:hideMark/>
          </w:tcPr>
          <w:p w14:paraId="2B87ED55" w14:textId="155E5A50"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280</w:t>
            </w:r>
          </w:p>
        </w:tc>
        <w:tc>
          <w:tcPr>
            <w:tcW w:w="756" w:type="dxa"/>
            <w:tcBorders>
              <w:top w:val="single" w:sz="8" w:space="0" w:color="F3CFC1"/>
              <w:bottom w:val="single" w:sz="8" w:space="0" w:color="F3CFC1"/>
              <w:right w:val="single" w:sz="4" w:space="0" w:color="FFFFFF" w:themeColor="background1"/>
            </w:tcBorders>
            <w:noWrap/>
            <w:vAlign w:val="bottom"/>
          </w:tcPr>
          <w:p w14:paraId="18A89426" w14:textId="5D247C1C"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279</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2C96F457" w14:textId="4F5688CF" w:rsidR="00F924B7" w:rsidRPr="009B61D3" w:rsidRDefault="00113097"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259</w:t>
            </w:r>
          </w:p>
        </w:tc>
        <w:tc>
          <w:tcPr>
            <w:tcW w:w="1062" w:type="dxa"/>
            <w:tcBorders>
              <w:top w:val="single" w:sz="8" w:space="0" w:color="F3CFC1"/>
              <w:left w:val="single" w:sz="8" w:space="0" w:color="D2232A"/>
              <w:bottom w:val="single" w:sz="8" w:space="0" w:color="F3CFC1"/>
            </w:tcBorders>
            <w:noWrap/>
            <w:vAlign w:val="bottom"/>
            <w:hideMark/>
          </w:tcPr>
          <w:p w14:paraId="1648271C" w14:textId="3D742AB3"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w:t>
            </w:r>
          </w:p>
        </w:tc>
        <w:tc>
          <w:tcPr>
            <w:tcW w:w="765" w:type="dxa"/>
            <w:tcBorders>
              <w:top w:val="single" w:sz="8" w:space="0" w:color="F3CFC1"/>
              <w:bottom w:val="single" w:sz="8" w:space="0" w:color="F3CFC1"/>
            </w:tcBorders>
            <w:noWrap/>
            <w:vAlign w:val="bottom"/>
            <w:hideMark/>
          </w:tcPr>
          <w:p w14:paraId="69112494" w14:textId="2CD3BB71"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w:t>
            </w:r>
          </w:p>
        </w:tc>
        <w:tc>
          <w:tcPr>
            <w:tcW w:w="648" w:type="dxa"/>
            <w:tcBorders>
              <w:top w:val="single" w:sz="8" w:space="0" w:color="F3CFC1"/>
              <w:bottom w:val="single" w:sz="8" w:space="0" w:color="F3CFC1"/>
              <w:right w:val="single" w:sz="4" w:space="0" w:color="FFFFFF" w:themeColor="background1"/>
            </w:tcBorders>
            <w:noWrap/>
            <w:vAlign w:val="bottom"/>
          </w:tcPr>
          <w:p w14:paraId="51B51F93" w14:textId="7E413B91"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1BD17760" w14:textId="42C0560E" w:rsidR="00F924B7" w:rsidRPr="009B61D3" w:rsidRDefault="00113097"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w:t>
            </w:r>
          </w:p>
        </w:tc>
      </w:tr>
      <w:tr w:rsidR="00F924B7" w:rsidRPr="009B61D3" w14:paraId="6F5B2C8E" w14:textId="4DDD620F"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26A194C8"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medicine rada</w:t>
            </w:r>
          </w:p>
        </w:tc>
        <w:tc>
          <w:tcPr>
            <w:tcW w:w="1172" w:type="dxa"/>
            <w:tcBorders>
              <w:top w:val="single" w:sz="8" w:space="0" w:color="F3CFC1"/>
              <w:bottom w:val="single" w:sz="8" w:space="0" w:color="F3CFC1"/>
            </w:tcBorders>
            <w:noWrap/>
            <w:vAlign w:val="bottom"/>
            <w:hideMark/>
          </w:tcPr>
          <w:p w14:paraId="1FD57860" w14:textId="3158C9F9"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392</w:t>
            </w:r>
          </w:p>
        </w:tc>
        <w:tc>
          <w:tcPr>
            <w:tcW w:w="881" w:type="dxa"/>
            <w:tcBorders>
              <w:top w:val="single" w:sz="8" w:space="0" w:color="F3CFC1"/>
              <w:bottom w:val="single" w:sz="8" w:space="0" w:color="F3CFC1"/>
            </w:tcBorders>
            <w:noWrap/>
            <w:vAlign w:val="bottom"/>
            <w:hideMark/>
          </w:tcPr>
          <w:p w14:paraId="5B77CBCC" w14:textId="2D4CCEF3"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383</w:t>
            </w:r>
          </w:p>
        </w:tc>
        <w:tc>
          <w:tcPr>
            <w:tcW w:w="756" w:type="dxa"/>
            <w:tcBorders>
              <w:top w:val="single" w:sz="8" w:space="0" w:color="F3CFC1"/>
              <w:bottom w:val="single" w:sz="8" w:space="0" w:color="F3CFC1"/>
              <w:right w:val="single" w:sz="4" w:space="0" w:color="FFFFFF" w:themeColor="background1"/>
            </w:tcBorders>
            <w:noWrap/>
            <w:vAlign w:val="bottom"/>
          </w:tcPr>
          <w:p w14:paraId="1DD2318B" w14:textId="342D7817"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407</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49D8A97E" w14:textId="60EFE445" w:rsidR="00F924B7" w:rsidRPr="009B61D3" w:rsidRDefault="00113097"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459</w:t>
            </w:r>
          </w:p>
        </w:tc>
        <w:tc>
          <w:tcPr>
            <w:tcW w:w="1062" w:type="dxa"/>
            <w:tcBorders>
              <w:top w:val="single" w:sz="8" w:space="0" w:color="F3CFC1"/>
              <w:left w:val="single" w:sz="8" w:space="0" w:color="D2232A"/>
              <w:bottom w:val="single" w:sz="8" w:space="0" w:color="F3CFC1"/>
            </w:tcBorders>
            <w:noWrap/>
            <w:vAlign w:val="bottom"/>
            <w:hideMark/>
          </w:tcPr>
          <w:p w14:paraId="23C37292" w14:textId="362879E2"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8</w:t>
            </w:r>
          </w:p>
        </w:tc>
        <w:tc>
          <w:tcPr>
            <w:tcW w:w="765" w:type="dxa"/>
            <w:tcBorders>
              <w:top w:val="single" w:sz="8" w:space="0" w:color="F3CFC1"/>
              <w:bottom w:val="single" w:sz="8" w:space="0" w:color="F3CFC1"/>
            </w:tcBorders>
            <w:noWrap/>
            <w:vAlign w:val="bottom"/>
            <w:hideMark/>
          </w:tcPr>
          <w:p w14:paraId="1C0F130C" w14:textId="0EA3BBE7"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10</w:t>
            </w:r>
          </w:p>
        </w:tc>
        <w:tc>
          <w:tcPr>
            <w:tcW w:w="648" w:type="dxa"/>
            <w:tcBorders>
              <w:top w:val="single" w:sz="8" w:space="0" w:color="F3CFC1"/>
              <w:bottom w:val="single" w:sz="8" w:space="0" w:color="F3CFC1"/>
              <w:right w:val="single" w:sz="4" w:space="0" w:color="FFFFFF" w:themeColor="background1"/>
            </w:tcBorders>
            <w:noWrap/>
            <w:vAlign w:val="bottom"/>
          </w:tcPr>
          <w:p w14:paraId="095A7C31" w14:textId="7B9B6414"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6</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4107BE87" w14:textId="01C75C79" w:rsidR="00F924B7" w:rsidRPr="009B61D3" w:rsidRDefault="00113097"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w:t>
            </w:r>
          </w:p>
        </w:tc>
      </w:tr>
      <w:tr w:rsidR="00F924B7" w:rsidRPr="009B61D3" w14:paraId="7FDFBEF7" w14:textId="61251C27"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17C92BBD"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zdravstvene zaštite žena</w:t>
            </w:r>
          </w:p>
        </w:tc>
        <w:tc>
          <w:tcPr>
            <w:tcW w:w="1172" w:type="dxa"/>
            <w:tcBorders>
              <w:top w:val="single" w:sz="8" w:space="0" w:color="F3CFC1"/>
              <w:bottom w:val="single" w:sz="8" w:space="0" w:color="F3CFC1"/>
            </w:tcBorders>
            <w:noWrap/>
            <w:vAlign w:val="bottom"/>
            <w:hideMark/>
          </w:tcPr>
          <w:p w14:paraId="1B9FB7B8" w14:textId="4410DB75"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508</w:t>
            </w:r>
          </w:p>
        </w:tc>
        <w:tc>
          <w:tcPr>
            <w:tcW w:w="881" w:type="dxa"/>
            <w:tcBorders>
              <w:top w:val="single" w:sz="8" w:space="0" w:color="F3CFC1"/>
              <w:bottom w:val="single" w:sz="8" w:space="0" w:color="F3CFC1"/>
            </w:tcBorders>
            <w:noWrap/>
            <w:vAlign w:val="bottom"/>
            <w:hideMark/>
          </w:tcPr>
          <w:p w14:paraId="5957E150" w14:textId="40134936"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511</w:t>
            </w:r>
          </w:p>
        </w:tc>
        <w:tc>
          <w:tcPr>
            <w:tcW w:w="756" w:type="dxa"/>
            <w:tcBorders>
              <w:top w:val="single" w:sz="8" w:space="0" w:color="F3CFC1"/>
              <w:bottom w:val="single" w:sz="8" w:space="0" w:color="F3CFC1"/>
              <w:right w:val="single" w:sz="4" w:space="0" w:color="FFFFFF" w:themeColor="background1"/>
            </w:tcBorders>
            <w:noWrap/>
            <w:vAlign w:val="bottom"/>
          </w:tcPr>
          <w:p w14:paraId="1B6BA13E" w14:textId="7770AB06"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510</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34CA3C21" w14:textId="7766780E"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534</w:t>
            </w:r>
          </w:p>
        </w:tc>
        <w:tc>
          <w:tcPr>
            <w:tcW w:w="1062" w:type="dxa"/>
            <w:tcBorders>
              <w:top w:val="single" w:sz="8" w:space="0" w:color="F3CFC1"/>
              <w:left w:val="single" w:sz="8" w:space="0" w:color="D2232A"/>
              <w:bottom w:val="single" w:sz="8" w:space="0" w:color="F3CFC1"/>
            </w:tcBorders>
            <w:noWrap/>
            <w:vAlign w:val="bottom"/>
            <w:hideMark/>
          </w:tcPr>
          <w:p w14:paraId="0B157F93" w14:textId="17EB312D"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14</w:t>
            </w:r>
          </w:p>
        </w:tc>
        <w:tc>
          <w:tcPr>
            <w:tcW w:w="765" w:type="dxa"/>
            <w:tcBorders>
              <w:top w:val="single" w:sz="8" w:space="0" w:color="F3CFC1"/>
              <w:bottom w:val="single" w:sz="8" w:space="0" w:color="F3CFC1"/>
            </w:tcBorders>
            <w:noWrap/>
            <w:vAlign w:val="bottom"/>
            <w:hideMark/>
          </w:tcPr>
          <w:p w14:paraId="52CBD8C8" w14:textId="53A8E406"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14</w:t>
            </w:r>
          </w:p>
        </w:tc>
        <w:tc>
          <w:tcPr>
            <w:tcW w:w="648" w:type="dxa"/>
            <w:tcBorders>
              <w:top w:val="single" w:sz="8" w:space="0" w:color="F3CFC1"/>
              <w:bottom w:val="single" w:sz="8" w:space="0" w:color="F3CFC1"/>
              <w:right w:val="single" w:sz="4" w:space="0" w:color="FFFFFF" w:themeColor="background1"/>
            </w:tcBorders>
            <w:noWrap/>
            <w:vAlign w:val="bottom"/>
          </w:tcPr>
          <w:p w14:paraId="71485B34" w14:textId="7B454467"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16</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67B5FF93" w14:textId="658368ED"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20</w:t>
            </w:r>
          </w:p>
        </w:tc>
      </w:tr>
      <w:tr w:rsidR="00F924B7" w:rsidRPr="009B61D3" w14:paraId="46F6A7C8" w14:textId="4C1A8A76"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45AE0B48"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hitne medicine</w:t>
            </w:r>
          </w:p>
        </w:tc>
        <w:tc>
          <w:tcPr>
            <w:tcW w:w="1172" w:type="dxa"/>
            <w:tcBorders>
              <w:top w:val="single" w:sz="8" w:space="0" w:color="F3CFC1"/>
              <w:bottom w:val="single" w:sz="8" w:space="0" w:color="F3CFC1"/>
            </w:tcBorders>
            <w:noWrap/>
            <w:vAlign w:val="bottom"/>
            <w:hideMark/>
          </w:tcPr>
          <w:p w14:paraId="40F3A53E" w14:textId="0D86DAD7"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2.061</w:t>
            </w:r>
          </w:p>
        </w:tc>
        <w:tc>
          <w:tcPr>
            <w:tcW w:w="881" w:type="dxa"/>
            <w:tcBorders>
              <w:top w:val="single" w:sz="8" w:space="0" w:color="F3CFC1"/>
              <w:bottom w:val="single" w:sz="8" w:space="0" w:color="F3CFC1"/>
            </w:tcBorders>
            <w:noWrap/>
            <w:vAlign w:val="bottom"/>
            <w:hideMark/>
          </w:tcPr>
          <w:p w14:paraId="5E171E6D" w14:textId="77E1FD8A"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2.268</w:t>
            </w:r>
          </w:p>
        </w:tc>
        <w:tc>
          <w:tcPr>
            <w:tcW w:w="756" w:type="dxa"/>
            <w:tcBorders>
              <w:top w:val="single" w:sz="8" w:space="0" w:color="F3CFC1"/>
              <w:bottom w:val="single" w:sz="8" w:space="0" w:color="F3CFC1"/>
              <w:right w:val="single" w:sz="4" w:space="0" w:color="FFFFFF" w:themeColor="background1"/>
            </w:tcBorders>
            <w:noWrap/>
            <w:vAlign w:val="bottom"/>
          </w:tcPr>
          <w:p w14:paraId="37F732CF" w14:textId="24490F85"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2.335</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1587C37B" w14:textId="328FAFB3"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2.325</w:t>
            </w:r>
          </w:p>
        </w:tc>
        <w:tc>
          <w:tcPr>
            <w:tcW w:w="1062" w:type="dxa"/>
            <w:tcBorders>
              <w:top w:val="single" w:sz="8" w:space="0" w:color="F3CFC1"/>
              <w:left w:val="single" w:sz="8" w:space="0" w:color="D2232A"/>
              <w:bottom w:val="single" w:sz="8" w:space="0" w:color="F3CFC1"/>
            </w:tcBorders>
            <w:noWrap/>
            <w:vAlign w:val="bottom"/>
            <w:hideMark/>
          </w:tcPr>
          <w:p w14:paraId="216508AA" w14:textId="4D717AFB"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74</w:t>
            </w:r>
          </w:p>
        </w:tc>
        <w:tc>
          <w:tcPr>
            <w:tcW w:w="765" w:type="dxa"/>
            <w:tcBorders>
              <w:top w:val="single" w:sz="8" w:space="0" w:color="F3CFC1"/>
              <w:bottom w:val="single" w:sz="8" w:space="0" w:color="F3CFC1"/>
            </w:tcBorders>
            <w:noWrap/>
            <w:vAlign w:val="bottom"/>
            <w:hideMark/>
          </w:tcPr>
          <w:p w14:paraId="3C0A36F4" w14:textId="3B0CAD15"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101</w:t>
            </w:r>
          </w:p>
        </w:tc>
        <w:tc>
          <w:tcPr>
            <w:tcW w:w="648" w:type="dxa"/>
            <w:tcBorders>
              <w:top w:val="single" w:sz="8" w:space="0" w:color="F3CFC1"/>
              <w:bottom w:val="single" w:sz="8" w:space="0" w:color="F3CFC1"/>
              <w:right w:val="single" w:sz="4" w:space="0" w:color="FFFFFF" w:themeColor="background1"/>
            </w:tcBorders>
            <w:noWrap/>
            <w:vAlign w:val="bottom"/>
          </w:tcPr>
          <w:p w14:paraId="6EEAF645" w14:textId="44D1AF32"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105</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313EA576" w14:textId="49A5A258"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104</w:t>
            </w:r>
          </w:p>
        </w:tc>
      </w:tr>
      <w:tr w:rsidR="00F924B7" w:rsidRPr="009B61D3" w14:paraId="40F5E5C8" w14:textId="4B5E7C7A"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7F8F8117"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za zaštitu i liječenje usta i zubi</w:t>
            </w:r>
          </w:p>
        </w:tc>
        <w:tc>
          <w:tcPr>
            <w:tcW w:w="1172" w:type="dxa"/>
            <w:tcBorders>
              <w:top w:val="single" w:sz="8" w:space="0" w:color="F3CFC1"/>
              <w:bottom w:val="single" w:sz="8" w:space="0" w:color="F3CFC1"/>
            </w:tcBorders>
            <w:noWrap/>
            <w:vAlign w:val="bottom"/>
            <w:hideMark/>
          </w:tcPr>
          <w:p w14:paraId="3F583C9A" w14:textId="32BB8079"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1.929</w:t>
            </w:r>
          </w:p>
        </w:tc>
        <w:tc>
          <w:tcPr>
            <w:tcW w:w="881" w:type="dxa"/>
            <w:tcBorders>
              <w:top w:val="single" w:sz="8" w:space="0" w:color="F3CFC1"/>
              <w:bottom w:val="single" w:sz="8" w:space="0" w:color="F3CFC1"/>
            </w:tcBorders>
            <w:noWrap/>
            <w:vAlign w:val="bottom"/>
            <w:hideMark/>
          </w:tcPr>
          <w:p w14:paraId="3719B37E" w14:textId="4D416281"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2.105</w:t>
            </w:r>
          </w:p>
        </w:tc>
        <w:tc>
          <w:tcPr>
            <w:tcW w:w="756" w:type="dxa"/>
            <w:tcBorders>
              <w:top w:val="single" w:sz="8" w:space="0" w:color="F3CFC1"/>
              <w:bottom w:val="single" w:sz="8" w:space="0" w:color="F3CFC1"/>
              <w:right w:val="single" w:sz="4" w:space="0" w:color="FFFFFF" w:themeColor="background1"/>
            </w:tcBorders>
            <w:noWrap/>
            <w:vAlign w:val="bottom"/>
          </w:tcPr>
          <w:p w14:paraId="7007B08D" w14:textId="773C2373"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1.991</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35FA34AD" w14:textId="111F8254"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2.025</w:t>
            </w:r>
          </w:p>
        </w:tc>
        <w:tc>
          <w:tcPr>
            <w:tcW w:w="1062" w:type="dxa"/>
            <w:tcBorders>
              <w:top w:val="single" w:sz="8" w:space="0" w:color="F3CFC1"/>
              <w:left w:val="single" w:sz="8" w:space="0" w:color="D2232A"/>
              <w:bottom w:val="single" w:sz="8" w:space="0" w:color="F3CFC1"/>
            </w:tcBorders>
            <w:noWrap/>
            <w:vAlign w:val="bottom"/>
            <w:hideMark/>
          </w:tcPr>
          <w:p w14:paraId="720D11DF" w14:textId="1463066D"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61</w:t>
            </w:r>
          </w:p>
        </w:tc>
        <w:tc>
          <w:tcPr>
            <w:tcW w:w="765" w:type="dxa"/>
            <w:tcBorders>
              <w:top w:val="single" w:sz="8" w:space="0" w:color="F3CFC1"/>
              <w:bottom w:val="single" w:sz="8" w:space="0" w:color="F3CFC1"/>
            </w:tcBorders>
            <w:noWrap/>
            <w:vAlign w:val="bottom"/>
            <w:hideMark/>
          </w:tcPr>
          <w:p w14:paraId="7A739391" w14:textId="7B51DDE7"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61</w:t>
            </w:r>
          </w:p>
        </w:tc>
        <w:tc>
          <w:tcPr>
            <w:tcW w:w="648" w:type="dxa"/>
            <w:tcBorders>
              <w:top w:val="single" w:sz="8" w:space="0" w:color="F3CFC1"/>
              <w:bottom w:val="single" w:sz="8" w:space="0" w:color="F3CFC1"/>
              <w:right w:val="single" w:sz="4" w:space="0" w:color="FFFFFF" w:themeColor="background1"/>
            </w:tcBorders>
            <w:noWrap/>
            <w:vAlign w:val="bottom"/>
          </w:tcPr>
          <w:p w14:paraId="3EF10FBF" w14:textId="6C834A88"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59</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02DA41A5" w14:textId="49CE572F"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57</w:t>
            </w:r>
          </w:p>
        </w:tc>
      </w:tr>
      <w:tr w:rsidR="00F924B7" w:rsidRPr="009B61D3" w14:paraId="3EFA1270" w14:textId="0A150AF2"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347D09DD"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zdravstvene zaštite školske djece, mladeži i studenata</w:t>
            </w:r>
          </w:p>
        </w:tc>
        <w:tc>
          <w:tcPr>
            <w:tcW w:w="1172" w:type="dxa"/>
            <w:tcBorders>
              <w:top w:val="single" w:sz="8" w:space="0" w:color="F3CFC1"/>
              <w:bottom w:val="single" w:sz="8" w:space="0" w:color="F3CFC1"/>
            </w:tcBorders>
            <w:noWrap/>
            <w:vAlign w:val="bottom"/>
            <w:hideMark/>
          </w:tcPr>
          <w:p w14:paraId="3BF045D1" w14:textId="46376BC3"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n/a</w:t>
            </w:r>
          </w:p>
        </w:tc>
        <w:tc>
          <w:tcPr>
            <w:tcW w:w="881" w:type="dxa"/>
            <w:tcBorders>
              <w:top w:val="single" w:sz="8" w:space="0" w:color="F3CFC1"/>
              <w:bottom w:val="single" w:sz="8" w:space="0" w:color="F3CFC1"/>
            </w:tcBorders>
            <w:noWrap/>
            <w:vAlign w:val="bottom"/>
            <w:hideMark/>
          </w:tcPr>
          <w:p w14:paraId="0BB3374C" w14:textId="1B85F064"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n/a</w:t>
            </w:r>
          </w:p>
        </w:tc>
        <w:tc>
          <w:tcPr>
            <w:tcW w:w="756" w:type="dxa"/>
            <w:tcBorders>
              <w:top w:val="single" w:sz="8" w:space="0" w:color="F3CFC1"/>
              <w:bottom w:val="single" w:sz="8" w:space="0" w:color="F3CFC1"/>
              <w:right w:val="single" w:sz="4" w:space="0" w:color="FFFFFF" w:themeColor="background1"/>
            </w:tcBorders>
            <w:noWrap/>
            <w:vAlign w:val="bottom"/>
          </w:tcPr>
          <w:p w14:paraId="755D2650" w14:textId="28D88FB7"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n/a</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1F52954B" w14:textId="28E46996"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n/a</w:t>
            </w:r>
          </w:p>
        </w:tc>
        <w:tc>
          <w:tcPr>
            <w:tcW w:w="1062" w:type="dxa"/>
            <w:tcBorders>
              <w:top w:val="single" w:sz="8" w:space="0" w:color="F3CFC1"/>
              <w:left w:val="single" w:sz="8" w:space="0" w:color="D2232A"/>
              <w:bottom w:val="single" w:sz="8" w:space="0" w:color="F3CFC1"/>
            </w:tcBorders>
            <w:noWrap/>
            <w:vAlign w:val="bottom"/>
            <w:hideMark/>
          </w:tcPr>
          <w:p w14:paraId="1193C4C0" w14:textId="5AC3A9B6"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n/a</w:t>
            </w:r>
          </w:p>
        </w:tc>
        <w:tc>
          <w:tcPr>
            <w:tcW w:w="765" w:type="dxa"/>
            <w:tcBorders>
              <w:top w:val="single" w:sz="8" w:space="0" w:color="F3CFC1"/>
              <w:bottom w:val="single" w:sz="8" w:space="0" w:color="F3CFC1"/>
            </w:tcBorders>
            <w:noWrap/>
            <w:vAlign w:val="bottom"/>
            <w:hideMark/>
          </w:tcPr>
          <w:p w14:paraId="6CEFACA0" w14:textId="37504C0C"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n/a</w:t>
            </w:r>
          </w:p>
        </w:tc>
        <w:tc>
          <w:tcPr>
            <w:tcW w:w="648" w:type="dxa"/>
            <w:tcBorders>
              <w:top w:val="single" w:sz="8" w:space="0" w:color="F3CFC1"/>
              <w:bottom w:val="single" w:sz="8" w:space="0" w:color="F3CFC1"/>
              <w:right w:val="single" w:sz="4" w:space="0" w:color="FFFFFF" w:themeColor="background1"/>
            </w:tcBorders>
            <w:noWrap/>
            <w:vAlign w:val="bottom"/>
          </w:tcPr>
          <w:p w14:paraId="41BE5CC7" w14:textId="30DCA499"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n/a</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64519BA3" w14:textId="3087D4E9"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n/a</w:t>
            </w:r>
          </w:p>
        </w:tc>
      </w:tr>
      <w:tr w:rsidR="00F924B7" w:rsidRPr="009B61D3" w14:paraId="45812344" w14:textId="29CCB61E"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1AA22BDB"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Zdravstvena njega u kući</w:t>
            </w:r>
          </w:p>
        </w:tc>
        <w:tc>
          <w:tcPr>
            <w:tcW w:w="1172" w:type="dxa"/>
            <w:tcBorders>
              <w:top w:val="single" w:sz="8" w:space="0" w:color="F3CFC1"/>
              <w:bottom w:val="single" w:sz="8" w:space="0" w:color="F3CFC1"/>
            </w:tcBorders>
            <w:noWrap/>
            <w:vAlign w:val="bottom"/>
            <w:hideMark/>
          </w:tcPr>
          <w:p w14:paraId="5A7929E1" w14:textId="1F820884"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1.162</w:t>
            </w:r>
          </w:p>
        </w:tc>
        <w:tc>
          <w:tcPr>
            <w:tcW w:w="881" w:type="dxa"/>
            <w:tcBorders>
              <w:top w:val="single" w:sz="8" w:space="0" w:color="F3CFC1"/>
              <w:bottom w:val="single" w:sz="8" w:space="0" w:color="F3CFC1"/>
            </w:tcBorders>
            <w:noWrap/>
            <w:vAlign w:val="bottom"/>
            <w:hideMark/>
          </w:tcPr>
          <w:p w14:paraId="754874DA" w14:textId="021D0BBC"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1.209</w:t>
            </w:r>
          </w:p>
        </w:tc>
        <w:tc>
          <w:tcPr>
            <w:tcW w:w="756" w:type="dxa"/>
            <w:tcBorders>
              <w:top w:val="single" w:sz="8" w:space="0" w:color="F3CFC1"/>
              <w:bottom w:val="single" w:sz="8" w:space="0" w:color="F3CFC1"/>
              <w:right w:val="single" w:sz="4" w:space="0" w:color="FFFFFF" w:themeColor="background1"/>
            </w:tcBorders>
            <w:noWrap/>
            <w:vAlign w:val="bottom"/>
          </w:tcPr>
          <w:p w14:paraId="77B7C069" w14:textId="6C494BF0"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1.278</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3D88FE67" w14:textId="23D4BF81"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1.168</w:t>
            </w:r>
          </w:p>
        </w:tc>
        <w:tc>
          <w:tcPr>
            <w:tcW w:w="1062" w:type="dxa"/>
            <w:tcBorders>
              <w:top w:val="single" w:sz="8" w:space="0" w:color="F3CFC1"/>
              <w:left w:val="single" w:sz="8" w:space="0" w:color="D2232A"/>
              <w:bottom w:val="single" w:sz="8" w:space="0" w:color="F3CFC1"/>
            </w:tcBorders>
            <w:noWrap/>
            <w:vAlign w:val="bottom"/>
            <w:hideMark/>
          </w:tcPr>
          <w:p w14:paraId="5F5D67AA" w14:textId="3E36207C"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51</w:t>
            </w:r>
          </w:p>
        </w:tc>
        <w:tc>
          <w:tcPr>
            <w:tcW w:w="765" w:type="dxa"/>
            <w:tcBorders>
              <w:top w:val="single" w:sz="8" w:space="0" w:color="F3CFC1"/>
              <w:bottom w:val="single" w:sz="8" w:space="0" w:color="F3CFC1"/>
            </w:tcBorders>
            <w:noWrap/>
            <w:vAlign w:val="bottom"/>
            <w:hideMark/>
          </w:tcPr>
          <w:p w14:paraId="1D5ED7C6" w14:textId="137AEDF4"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89</w:t>
            </w:r>
          </w:p>
        </w:tc>
        <w:tc>
          <w:tcPr>
            <w:tcW w:w="648" w:type="dxa"/>
            <w:tcBorders>
              <w:top w:val="single" w:sz="8" w:space="0" w:color="F3CFC1"/>
              <w:bottom w:val="single" w:sz="8" w:space="0" w:color="F3CFC1"/>
              <w:right w:val="single" w:sz="4" w:space="0" w:color="FFFFFF" w:themeColor="background1"/>
            </w:tcBorders>
            <w:noWrap/>
            <w:vAlign w:val="bottom"/>
          </w:tcPr>
          <w:p w14:paraId="5A8899CD" w14:textId="7D224176"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47</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2D735565" w14:textId="1CE11B14"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59</w:t>
            </w:r>
          </w:p>
        </w:tc>
      </w:tr>
      <w:tr w:rsidR="00F924B7" w:rsidRPr="009B61D3" w14:paraId="565F50DE" w14:textId="3C9FDBE2" w:rsidTr="00152F79">
        <w:trPr>
          <w:trHeight w:val="250"/>
        </w:trPr>
        <w:tc>
          <w:tcPr>
            <w:tcW w:w="2986" w:type="dxa"/>
            <w:tcBorders>
              <w:top w:val="single" w:sz="8" w:space="0" w:color="F3CFC1"/>
              <w:bottom w:val="single" w:sz="8" w:space="0" w:color="F3CFC1"/>
            </w:tcBorders>
            <w:shd w:val="clear" w:color="auto" w:fill="D2232A"/>
            <w:noWrap/>
            <w:vAlign w:val="center"/>
            <w:hideMark/>
          </w:tcPr>
          <w:p w14:paraId="0632C0B9" w14:textId="77777777" w:rsidR="00F924B7" w:rsidRPr="009B61D3" w:rsidRDefault="00F924B7" w:rsidP="00F924B7">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Patronažna djelatnost</w:t>
            </w:r>
          </w:p>
        </w:tc>
        <w:tc>
          <w:tcPr>
            <w:tcW w:w="1172" w:type="dxa"/>
            <w:tcBorders>
              <w:top w:val="single" w:sz="8" w:space="0" w:color="F3CFC1"/>
              <w:bottom w:val="single" w:sz="8" w:space="0" w:color="F3CFC1"/>
            </w:tcBorders>
            <w:noWrap/>
            <w:vAlign w:val="bottom"/>
            <w:hideMark/>
          </w:tcPr>
          <w:p w14:paraId="64182497" w14:textId="5771F5F8"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873</w:t>
            </w:r>
          </w:p>
        </w:tc>
        <w:tc>
          <w:tcPr>
            <w:tcW w:w="881" w:type="dxa"/>
            <w:tcBorders>
              <w:top w:val="single" w:sz="8" w:space="0" w:color="F3CFC1"/>
              <w:bottom w:val="single" w:sz="8" w:space="0" w:color="F3CFC1"/>
            </w:tcBorders>
            <w:noWrap/>
            <w:vAlign w:val="bottom"/>
            <w:hideMark/>
          </w:tcPr>
          <w:p w14:paraId="0D409537" w14:textId="7D3F40F8"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849</w:t>
            </w:r>
          </w:p>
        </w:tc>
        <w:tc>
          <w:tcPr>
            <w:tcW w:w="756" w:type="dxa"/>
            <w:tcBorders>
              <w:top w:val="single" w:sz="8" w:space="0" w:color="F3CFC1"/>
              <w:bottom w:val="single" w:sz="8" w:space="0" w:color="F3CFC1"/>
              <w:right w:val="single" w:sz="4" w:space="0" w:color="FFFFFF" w:themeColor="background1"/>
            </w:tcBorders>
            <w:noWrap/>
            <w:vAlign w:val="bottom"/>
          </w:tcPr>
          <w:p w14:paraId="01A92917" w14:textId="77877211"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865</w:t>
            </w:r>
          </w:p>
        </w:tc>
        <w:tc>
          <w:tcPr>
            <w:tcW w:w="741" w:type="dxa"/>
            <w:tcBorders>
              <w:top w:val="single" w:sz="8" w:space="0" w:color="F3CFC1"/>
              <w:left w:val="single" w:sz="4" w:space="0" w:color="FFFFFF" w:themeColor="background1"/>
              <w:bottom w:val="single" w:sz="8" w:space="0" w:color="F3CFC1"/>
              <w:right w:val="single" w:sz="8" w:space="0" w:color="D2232A"/>
            </w:tcBorders>
            <w:vAlign w:val="bottom"/>
          </w:tcPr>
          <w:p w14:paraId="1C48D429" w14:textId="40034126"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819</w:t>
            </w:r>
          </w:p>
        </w:tc>
        <w:tc>
          <w:tcPr>
            <w:tcW w:w="1062" w:type="dxa"/>
            <w:tcBorders>
              <w:top w:val="single" w:sz="8" w:space="0" w:color="F3CFC1"/>
              <w:left w:val="single" w:sz="8" w:space="0" w:color="D2232A"/>
              <w:bottom w:val="single" w:sz="8" w:space="0" w:color="F3CFC1"/>
            </w:tcBorders>
            <w:noWrap/>
            <w:vAlign w:val="bottom"/>
            <w:hideMark/>
          </w:tcPr>
          <w:p w14:paraId="5199FD1E" w14:textId="4B948897"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26</w:t>
            </w:r>
          </w:p>
        </w:tc>
        <w:tc>
          <w:tcPr>
            <w:tcW w:w="765" w:type="dxa"/>
            <w:tcBorders>
              <w:top w:val="single" w:sz="8" w:space="0" w:color="F3CFC1"/>
              <w:bottom w:val="single" w:sz="8" w:space="0" w:color="F3CFC1"/>
            </w:tcBorders>
            <w:noWrap/>
            <w:vAlign w:val="bottom"/>
            <w:hideMark/>
          </w:tcPr>
          <w:p w14:paraId="1B9056B9" w14:textId="2003A7EB"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25</w:t>
            </w:r>
          </w:p>
        </w:tc>
        <w:tc>
          <w:tcPr>
            <w:tcW w:w="648" w:type="dxa"/>
            <w:tcBorders>
              <w:top w:val="single" w:sz="8" w:space="0" w:color="F3CFC1"/>
              <w:bottom w:val="single" w:sz="8" w:space="0" w:color="F3CFC1"/>
              <w:right w:val="single" w:sz="4" w:space="0" w:color="FFFFFF" w:themeColor="background1"/>
            </w:tcBorders>
            <w:noWrap/>
            <w:vAlign w:val="bottom"/>
          </w:tcPr>
          <w:p w14:paraId="0B5BA897" w14:textId="0A2D554B" w:rsidR="00F924B7" w:rsidRPr="009B61D3" w:rsidRDefault="00F924B7" w:rsidP="00152F79">
            <w:pPr>
              <w:spacing w:after="0" w:line="240" w:lineRule="auto"/>
              <w:jc w:val="right"/>
              <w:rPr>
                <w:rFonts w:eastAsia="Times New Roman" w:cstheme="minorHAnsi"/>
                <w:color w:val="000000"/>
                <w:szCs w:val="18"/>
                <w:lang w:eastAsia="hr-HR"/>
              </w:rPr>
            </w:pPr>
            <w:r w:rsidRPr="009B61D3">
              <w:rPr>
                <w:rFonts w:eastAsia="Times New Roman" w:cstheme="minorHAnsi"/>
                <w:color w:val="000000"/>
                <w:szCs w:val="18"/>
                <w:lang w:eastAsia="hr-HR"/>
              </w:rPr>
              <w:t>25</w:t>
            </w:r>
          </w:p>
        </w:tc>
        <w:tc>
          <w:tcPr>
            <w:tcW w:w="649" w:type="dxa"/>
            <w:gridSpan w:val="2"/>
            <w:tcBorders>
              <w:top w:val="single" w:sz="8" w:space="0" w:color="F3CFC1"/>
              <w:left w:val="single" w:sz="4" w:space="0" w:color="FFFFFF" w:themeColor="background1"/>
              <w:bottom w:val="single" w:sz="8" w:space="0" w:color="F3CFC1"/>
              <w:right w:val="single" w:sz="4" w:space="0" w:color="EC8E92" w:themeColor="accent6"/>
            </w:tcBorders>
            <w:vAlign w:val="bottom"/>
          </w:tcPr>
          <w:p w14:paraId="5BC33EEC" w14:textId="6D3A2F62" w:rsidR="00F924B7" w:rsidRPr="009B61D3" w:rsidRDefault="00432233" w:rsidP="00152F79">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25</w:t>
            </w:r>
          </w:p>
        </w:tc>
      </w:tr>
      <w:tr w:rsidR="00F924B7" w:rsidRPr="009B61D3" w14:paraId="0AF336D1" w14:textId="6C51CB0F" w:rsidTr="00152F79">
        <w:trPr>
          <w:trHeight w:val="250"/>
        </w:trPr>
        <w:tc>
          <w:tcPr>
            <w:tcW w:w="2986" w:type="dxa"/>
            <w:tcBorders>
              <w:top w:val="single" w:sz="8" w:space="0" w:color="F3CFC1"/>
              <w:bottom w:val="nil"/>
            </w:tcBorders>
            <w:shd w:val="clear" w:color="auto" w:fill="E5E5E5" w:themeFill="text1" w:themeFillTint="33"/>
            <w:noWrap/>
            <w:vAlign w:val="center"/>
            <w:hideMark/>
          </w:tcPr>
          <w:p w14:paraId="21AE2E57" w14:textId="77777777" w:rsidR="00F924B7" w:rsidRPr="009B61D3" w:rsidRDefault="00F924B7" w:rsidP="00F924B7">
            <w:pPr>
              <w:spacing w:after="0" w:line="240" w:lineRule="auto"/>
              <w:rPr>
                <w:rFonts w:eastAsia="Times New Roman" w:cstheme="minorHAnsi"/>
                <w:szCs w:val="18"/>
                <w:lang w:eastAsia="hr-HR"/>
              </w:rPr>
            </w:pPr>
            <w:r w:rsidRPr="009B61D3">
              <w:rPr>
                <w:rFonts w:eastAsia="Times New Roman" w:cstheme="minorHAnsi"/>
                <w:szCs w:val="18"/>
                <w:lang w:eastAsia="hr-HR"/>
              </w:rPr>
              <w:t>UKUPNO</w:t>
            </w:r>
          </w:p>
        </w:tc>
        <w:tc>
          <w:tcPr>
            <w:tcW w:w="1172" w:type="dxa"/>
            <w:tcBorders>
              <w:top w:val="single" w:sz="8" w:space="0" w:color="F3CFC1"/>
              <w:bottom w:val="nil"/>
            </w:tcBorders>
            <w:shd w:val="clear" w:color="auto" w:fill="E5E5E5" w:themeFill="text1" w:themeFillTint="33"/>
            <w:noWrap/>
            <w:vAlign w:val="bottom"/>
            <w:hideMark/>
          </w:tcPr>
          <w:p w14:paraId="32348358" w14:textId="35ADABD8" w:rsidR="00F924B7" w:rsidRPr="009B61D3" w:rsidRDefault="00F924B7" w:rsidP="00152F79">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12.065</w:t>
            </w:r>
          </w:p>
        </w:tc>
        <w:tc>
          <w:tcPr>
            <w:tcW w:w="881" w:type="dxa"/>
            <w:tcBorders>
              <w:top w:val="single" w:sz="8" w:space="0" w:color="F3CFC1"/>
              <w:bottom w:val="nil"/>
            </w:tcBorders>
            <w:shd w:val="clear" w:color="auto" w:fill="E5E5E5" w:themeFill="text1" w:themeFillTint="33"/>
            <w:noWrap/>
            <w:vAlign w:val="bottom"/>
            <w:hideMark/>
          </w:tcPr>
          <w:p w14:paraId="239F823D" w14:textId="22D7BEB8" w:rsidR="00F924B7" w:rsidRPr="009B61D3" w:rsidRDefault="00F924B7" w:rsidP="00152F79">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12.514</w:t>
            </w:r>
          </w:p>
        </w:tc>
        <w:tc>
          <w:tcPr>
            <w:tcW w:w="756" w:type="dxa"/>
            <w:tcBorders>
              <w:top w:val="single" w:sz="8" w:space="0" w:color="F3CFC1"/>
              <w:bottom w:val="nil"/>
              <w:right w:val="single" w:sz="4" w:space="0" w:color="FFFFFF" w:themeColor="background1"/>
            </w:tcBorders>
            <w:shd w:val="clear" w:color="auto" w:fill="E5E5E5" w:themeFill="text1" w:themeFillTint="33"/>
            <w:noWrap/>
            <w:vAlign w:val="bottom"/>
          </w:tcPr>
          <w:p w14:paraId="39542BA3" w14:textId="7A74AE2B" w:rsidR="00F924B7" w:rsidRPr="009B61D3" w:rsidRDefault="00F924B7" w:rsidP="00152F79">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12.519</w:t>
            </w:r>
          </w:p>
        </w:tc>
        <w:tc>
          <w:tcPr>
            <w:tcW w:w="741" w:type="dxa"/>
            <w:tcBorders>
              <w:top w:val="single" w:sz="8" w:space="0" w:color="F3CFC1"/>
              <w:left w:val="single" w:sz="4" w:space="0" w:color="FFFFFF" w:themeColor="background1"/>
              <w:bottom w:val="nil"/>
              <w:right w:val="single" w:sz="8" w:space="0" w:color="D2232A"/>
            </w:tcBorders>
            <w:shd w:val="clear" w:color="auto" w:fill="E5E5E5" w:themeFill="text1" w:themeFillTint="33"/>
            <w:vAlign w:val="bottom"/>
          </w:tcPr>
          <w:p w14:paraId="65DDB5D7" w14:textId="2BE136CB" w:rsidR="00F924B7" w:rsidRPr="009B61D3" w:rsidRDefault="00432233" w:rsidP="00152F79">
            <w:pPr>
              <w:spacing w:after="0" w:line="240" w:lineRule="auto"/>
              <w:jc w:val="right"/>
              <w:rPr>
                <w:rFonts w:eastAsia="Times New Roman" w:cstheme="minorHAnsi"/>
                <w:b/>
                <w:bCs/>
                <w:szCs w:val="18"/>
                <w:lang w:eastAsia="hr-HR"/>
              </w:rPr>
            </w:pPr>
            <w:r>
              <w:rPr>
                <w:rFonts w:eastAsia="Times New Roman" w:cstheme="minorHAnsi"/>
                <w:b/>
                <w:bCs/>
                <w:szCs w:val="18"/>
                <w:lang w:eastAsia="hr-HR"/>
              </w:rPr>
              <w:t>12.170</w:t>
            </w:r>
          </w:p>
        </w:tc>
        <w:tc>
          <w:tcPr>
            <w:tcW w:w="1062" w:type="dxa"/>
            <w:tcBorders>
              <w:top w:val="single" w:sz="8" w:space="0" w:color="F3CFC1"/>
              <w:left w:val="single" w:sz="8" w:space="0" w:color="D2232A"/>
              <w:bottom w:val="nil"/>
            </w:tcBorders>
            <w:shd w:val="clear" w:color="auto" w:fill="E5E5E5" w:themeFill="text1" w:themeFillTint="33"/>
            <w:noWrap/>
            <w:vAlign w:val="bottom"/>
            <w:hideMark/>
          </w:tcPr>
          <w:p w14:paraId="6D1ADF02" w14:textId="30FFF16D" w:rsidR="00F924B7" w:rsidRPr="009B61D3" w:rsidRDefault="00F924B7" w:rsidP="00152F79">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390</w:t>
            </w:r>
          </w:p>
        </w:tc>
        <w:tc>
          <w:tcPr>
            <w:tcW w:w="765" w:type="dxa"/>
            <w:tcBorders>
              <w:top w:val="single" w:sz="8" w:space="0" w:color="F3CFC1"/>
              <w:bottom w:val="nil"/>
            </w:tcBorders>
            <w:shd w:val="clear" w:color="auto" w:fill="E5E5E5" w:themeFill="text1" w:themeFillTint="33"/>
            <w:noWrap/>
            <w:vAlign w:val="bottom"/>
            <w:hideMark/>
          </w:tcPr>
          <w:p w14:paraId="3AEA44EA" w14:textId="3D0ECC61" w:rsidR="00F924B7" w:rsidRPr="009B61D3" w:rsidRDefault="00F924B7" w:rsidP="00152F79">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456</w:t>
            </w:r>
          </w:p>
        </w:tc>
        <w:tc>
          <w:tcPr>
            <w:tcW w:w="648" w:type="dxa"/>
            <w:tcBorders>
              <w:top w:val="single" w:sz="8" w:space="0" w:color="F3CFC1"/>
              <w:bottom w:val="nil"/>
              <w:right w:val="single" w:sz="4" w:space="0" w:color="FFFFFF" w:themeColor="background1"/>
            </w:tcBorders>
            <w:shd w:val="clear" w:color="auto" w:fill="E5E5E5" w:themeFill="text1" w:themeFillTint="33"/>
            <w:noWrap/>
            <w:vAlign w:val="bottom"/>
          </w:tcPr>
          <w:p w14:paraId="4862A225" w14:textId="674802E7" w:rsidR="00F924B7" w:rsidRPr="009B61D3" w:rsidRDefault="00F924B7" w:rsidP="00152F79">
            <w:pPr>
              <w:spacing w:after="0" w:line="240" w:lineRule="auto"/>
              <w:jc w:val="right"/>
              <w:rPr>
                <w:rFonts w:eastAsia="Times New Roman" w:cstheme="minorHAnsi"/>
                <w:b/>
                <w:bCs/>
                <w:szCs w:val="18"/>
                <w:lang w:eastAsia="hr-HR"/>
              </w:rPr>
            </w:pPr>
            <w:r w:rsidRPr="009B61D3">
              <w:rPr>
                <w:rFonts w:eastAsia="Times New Roman" w:cstheme="minorHAnsi"/>
                <w:b/>
                <w:bCs/>
                <w:szCs w:val="18"/>
                <w:lang w:eastAsia="hr-HR"/>
              </w:rPr>
              <w:t>412</w:t>
            </w:r>
          </w:p>
        </w:tc>
        <w:tc>
          <w:tcPr>
            <w:tcW w:w="649" w:type="dxa"/>
            <w:gridSpan w:val="2"/>
            <w:tcBorders>
              <w:top w:val="single" w:sz="8" w:space="0" w:color="F3CFC1"/>
              <w:left w:val="single" w:sz="4" w:space="0" w:color="FFFFFF" w:themeColor="background1"/>
              <w:bottom w:val="nil"/>
              <w:right w:val="single" w:sz="4" w:space="0" w:color="EC8E92" w:themeColor="accent6"/>
            </w:tcBorders>
            <w:shd w:val="clear" w:color="auto" w:fill="E5E5E5" w:themeFill="text1" w:themeFillTint="33"/>
            <w:vAlign w:val="bottom"/>
          </w:tcPr>
          <w:p w14:paraId="18E7EACC" w14:textId="785314CF" w:rsidR="00F924B7" w:rsidRPr="009B61D3" w:rsidRDefault="00432233" w:rsidP="00152F79">
            <w:pPr>
              <w:spacing w:after="0" w:line="240" w:lineRule="auto"/>
              <w:jc w:val="right"/>
              <w:rPr>
                <w:rFonts w:eastAsia="Times New Roman" w:cstheme="minorHAnsi"/>
                <w:b/>
                <w:bCs/>
                <w:szCs w:val="18"/>
                <w:lang w:eastAsia="hr-HR"/>
              </w:rPr>
            </w:pPr>
            <w:r>
              <w:rPr>
                <w:rFonts w:eastAsia="Times New Roman" w:cstheme="minorHAnsi"/>
                <w:b/>
                <w:bCs/>
                <w:szCs w:val="18"/>
                <w:lang w:eastAsia="hr-HR"/>
              </w:rPr>
              <w:t>430</w:t>
            </w:r>
          </w:p>
        </w:tc>
      </w:tr>
    </w:tbl>
    <w:p w14:paraId="4F621A5D" w14:textId="35484209" w:rsidR="0073265E" w:rsidRPr="005C256E" w:rsidRDefault="008878A0" w:rsidP="005C256E">
      <w:pPr>
        <w:autoSpaceDE w:val="0"/>
        <w:autoSpaceDN w:val="0"/>
        <w:adjustRightInd w:val="0"/>
        <w:spacing w:after="0" w:line="240" w:lineRule="auto"/>
        <w:rPr>
          <w:rFonts w:eastAsia="ArialNarrow" w:cstheme="minorHAnsi"/>
          <w:i/>
          <w:color w:val="ABABAB" w:themeColor="text1" w:themeTint="A6"/>
          <w:sz w:val="16"/>
          <w:szCs w:val="16"/>
        </w:rPr>
      </w:pPr>
      <w:r w:rsidRPr="00981189">
        <w:rPr>
          <w:rFonts w:eastAsia="ArialNarrow" w:cstheme="minorHAnsi"/>
          <w:i/>
          <w:color w:val="ABABAB" w:themeColor="text1" w:themeTint="A6"/>
          <w:sz w:val="16"/>
          <w:szCs w:val="16"/>
        </w:rPr>
        <w:t>Izvor: Hrvatski zdravstveno statistički ljetopis 201</w:t>
      </w:r>
      <w:r w:rsidR="007D3D29" w:rsidRPr="00981189">
        <w:rPr>
          <w:rFonts w:eastAsia="ArialNarrow" w:cstheme="minorHAnsi"/>
          <w:i/>
          <w:color w:val="ABABAB" w:themeColor="text1" w:themeTint="A6"/>
          <w:sz w:val="16"/>
          <w:szCs w:val="16"/>
        </w:rPr>
        <w:t>9</w:t>
      </w:r>
      <w:r w:rsidRPr="00981189">
        <w:rPr>
          <w:rFonts w:eastAsia="ArialNarrow" w:cstheme="minorHAnsi"/>
          <w:i/>
          <w:color w:val="ABABAB" w:themeColor="text1" w:themeTint="A6"/>
          <w:sz w:val="16"/>
          <w:szCs w:val="16"/>
        </w:rPr>
        <w:t>.</w:t>
      </w:r>
    </w:p>
    <w:p w14:paraId="61A9D852" w14:textId="77777777" w:rsidR="00BA350C" w:rsidRDefault="00BA350C" w:rsidP="00432233">
      <w:pPr>
        <w:autoSpaceDE w:val="0"/>
        <w:autoSpaceDN w:val="0"/>
        <w:adjustRightInd w:val="0"/>
        <w:spacing w:after="0" w:line="240" w:lineRule="auto"/>
        <w:rPr>
          <w:rFonts w:eastAsia="ArialNarrow" w:cstheme="minorHAnsi"/>
        </w:rPr>
      </w:pPr>
    </w:p>
    <w:p w14:paraId="07567323" w14:textId="571B1441" w:rsidR="00432233" w:rsidRPr="00432233" w:rsidRDefault="00432233" w:rsidP="00432233">
      <w:pPr>
        <w:autoSpaceDE w:val="0"/>
        <w:autoSpaceDN w:val="0"/>
        <w:adjustRightInd w:val="0"/>
        <w:spacing w:after="0" w:line="240" w:lineRule="auto"/>
        <w:rPr>
          <w:rFonts w:eastAsia="ArialNarrow" w:cstheme="minorHAnsi"/>
        </w:rPr>
      </w:pPr>
      <w:r w:rsidRPr="00432233">
        <w:rPr>
          <w:rFonts w:eastAsia="ArialNarrow" w:cstheme="minorHAnsi"/>
        </w:rPr>
        <w:t>Ukupan broj zdravstvenih djelatnika na području Republike Hrvatske u 2018. godini povećao</w:t>
      </w:r>
      <w:r w:rsidR="00033D36">
        <w:rPr>
          <w:rFonts w:eastAsia="ArialNarrow" w:cstheme="minorHAnsi"/>
        </w:rPr>
        <w:t xml:space="preserve"> se</w:t>
      </w:r>
      <w:r w:rsidRPr="00432233">
        <w:rPr>
          <w:rFonts w:eastAsia="ArialNarrow" w:cstheme="minorHAnsi"/>
        </w:rPr>
        <w:t xml:space="preserve"> za 3,76% </w:t>
      </w:r>
      <w:bookmarkStart w:id="94" w:name="_Hlk48917894"/>
      <w:r w:rsidRPr="00432233">
        <w:rPr>
          <w:rFonts w:eastAsia="ArialNarrow" w:cstheme="minorHAnsi"/>
        </w:rPr>
        <w:t>odnosno s 12.065 u 2016.</w:t>
      </w:r>
      <w:bookmarkEnd w:id="94"/>
      <w:r w:rsidRPr="00432233">
        <w:rPr>
          <w:rFonts w:eastAsia="ArialNarrow" w:cstheme="minorHAnsi"/>
        </w:rPr>
        <w:t xml:space="preserve"> godini na 12.519 u 2018. godini. U 2019. godini dolazi do smanjenja ukupnog broja zaposlenih djelatnika na području RH u odnosu na 2018. za 2,87%. Što se tiče Krapinsko-zagorske županije, primjetno je kontinuirano povećavanje ukupnog broja zdravstvenih djelatnika. Broj zaposlenih u 2019. veći je za 10,26% u odnosu na 2016. godinu. </w:t>
      </w:r>
    </w:p>
    <w:p w14:paraId="7D6485A4" w14:textId="77777777" w:rsidR="00AC5A71" w:rsidRDefault="00AC5A71" w:rsidP="00941871">
      <w:pPr>
        <w:autoSpaceDE w:val="0"/>
        <w:autoSpaceDN w:val="0"/>
        <w:adjustRightInd w:val="0"/>
        <w:spacing w:after="0" w:line="240" w:lineRule="auto"/>
        <w:rPr>
          <w:rFonts w:eastAsia="ArialNarrow" w:cstheme="minorHAnsi"/>
          <w:sz w:val="22"/>
          <w:szCs w:val="22"/>
        </w:rPr>
      </w:pPr>
    </w:p>
    <w:p w14:paraId="730DEA2B" w14:textId="388C4891" w:rsidR="009B61D3" w:rsidRDefault="009B61D3" w:rsidP="003E3F3C">
      <w:pPr>
        <w:pStyle w:val="Opisslike"/>
      </w:pPr>
      <w:r>
        <w:t xml:space="preserve">Grafikon </w:t>
      </w:r>
      <w:r w:rsidR="00201691">
        <w:t>13</w:t>
      </w:r>
      <w:r>
        <w:t xml:space="preserve">. </w:t>
      </w:r>
      <w:r w:rsidRPr="00FA3EBD">
        <w:t xml:space="preserve">Broj zdravstvenih radnika u predstavljenim područjima - Republika Hrvatska i Krapinsko-zagorska županija 2016. </w:t>
      </w:r>
      <w:r w:rsidR="00201691">
        <w:t>-</w:t>
      </w:r>
      <w:r w:rsidRPr="00FA3EBD">
        <w:t xml:space="preserve"> 201</w:t>
      </w:r>
      <w:r w:rsidR="00432233">
        <w:t>9</w:t>
      </w:r>
      <w:r w:rsidRPr="00FA3EBD">
        <w:t>.</w:t>
      </w:r>
    </w:p>
    <w:p w14:paraId="3B844EB7" w14:textId="520779B7" w:rsidR="008878A0" w:rsidRDefault="00432233" w:rsidP="00941871">
      <w:pPr>
        <w:autoSpaceDE w:val="0"/>
        <w:autoSpaceDN w:val="0"/>
        <w:adjustRightInd w:val="0"/>
        <w:spacing w:after="0" w:line="240" w:lineRule="auto"/>
        <w:rPr>
          <w:rFonts w:eastAsia="ArialNarrow" w:cstheme="minorHAnsi"/>
          <w:sz w:val="20"/>
        </w:rPr>
      </w:pPr>
      <w:r>
        <w:rPr>
          <w:noProof/>
        </w:rPr>
        <w:drawing>
          <wp:inline distT="0" distB="0" distL="0" distR="0" wp14:anchorId="03D54EBB" wp14:editId="771F2424">
            <wp:extent cx="5822950" cy="2717800"/>
            <wp:effectExtent l="0" t="0" r="6350" b="6350"/>
            <wp:docPr id="34" name="Grafikon 34">
              <a:extLst xmlns:a="http://schemas.openxmlformats.org/drawingml/2006/main">
                <a:ext uri="{FF2B5EF4-FFF2-40B4-BE49-F238E27FC236}">
                  <a16:creationId xmlns:a16="http://schemas.microsoft.com/office/drawing/2014/main" id="{F97C4577-CA70-4862-89FC-7559C49F97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E076AF2" w14:textId="639E303D" w:rsidR="006726A9" w:rsidRPr="00981189" w:rsidRDefault="008878A0" w:rsidP="00981189">
      <w:pPr>
        <w:autoSpaceDE w:val="0"/>
        <w:autoSpaceDN w:val="0"/>
        <w:adjustRightInd w:val="0"/>
        <w:spacing w:after="0" w:line="240" w:lineRule="auto"/>
        <w:rPr>
          <w:rFonts w:eastAsia="ArialNarrow" w:cstheme="minorHAnsi"/>
          <w:i/>
          <w:color w:val="ABABAB" w:themeColor="text1" w:themeTint="A6"/>
          <w:sz w:val="16"/>
          <w:szCs w:val="16"/>
        </w:rPr>
      </w:pPr>
      <w:r w:rsidRPr="00981189">
        <w:rPr>
          <w:rFonts w:eastAsia="ArialNarrow" w:cstheme="minorHAnsi"/>
          <w:i/>
          <w:color w:val="ABABAB" w:themeColor="text1" w:themeTint="A6"/>
          <w:sz w:val="16"/>
          <w:szCs w:val="16"/>
        </w:rPr>
        <w:t xml:space="preserve">Izvor: </w:t>
      </w:r>
      <w:r w:rsidR="00432233" w:rsidRPr="00981189">
        <w:rPr>
          <w:rFonts w:eastAsia="ArialNarrow" w:cstheme="minorHAnsi"/>
          <w:i/>
          <w:color w:val="ABABAB" w:themeColor="text1" w:themeTint="A6"/>
          <w:sz w:val="16"/>
          <w:szCs w:val="16"/>
        </w:rPr>
        <w:t>Hrvatski zdravstveno-statistički ljetopis za 2019. – tablični podaci</w:t>
      </w:r>
    </w:p>
    <w:p w14:paraId="0D3665E9" w14:textId="77777777" w:rsidR="008878A0" w:rsidRDefault="008878A0" w:rsidP="00941871">
      <w:pPr>
        <w:autoSpaceDE w:val="0"/>
        <w:autoSpaceDN w:val="0"/>
        <w:adjustRightInd w:val="0"/>
        <w:spacing w:after="0" w:line="240" w:lineRule="auto"/>
        <w:rPr>
          <w:rFonts w:eastAsia="ArialNarrow" w:cstheme="minorHAnsi"/>
        </w:rPr>
      </w:pPr>
    </w:p>
    <w:p w14:paraId="7AF05E07" w14:textId="1E9DB675" w:rsidR="008878A0" w:rsidRDefault="008878A0" w:rsidP="183EFEC5">
      <w:pPr>
        <w:autoSpaceDE w:val="0"/>
        <w:autoSpaceDN w:val="0"/>
        <w:adjustRightInd w:val="0"/>
        <w:spacing w:after="0" w:line="240" w:lineRule="auto"/>
        <w:rPr>
          <w:rFonts w:eastAsia="ArialNarrow"/>
        </w:rPr>
      </w:pPr>
      <w:r w:rsidRPr="183EFEC5">
        <w:rPr>
          <w:rFonts w:eastAsia="ArialNarrow"/>
        </w:rPr>
        <w:t>Tablica u nastavku prikazuje nam broj zdravstvenih radnika na 10.000 stanovnika prema područjima rada u periodu od 201</w:t>
      </w:r>
      <w:r w:rsidR="003B4058" w:rsidRPr="183EFEC5">
        <w:rPr>
          <w:rFonts w:eastAsia="ArialNarrow"/>
        </w:rPr>
        <w:t>6</w:t>
      </w:r>
      <w:r w:rsidRPr="183EFEC5">
        <w:rPr>
          <w:rFonts w:eastAsia="ArialNarrow"/>
        </w:rPr>
        <w:t xml:space="preserve">. </w:t>
      </w:r>
      <w:r w:rsidR="00201691">
        <w:rPr>
          <w:rFonts w:eastAsia="ArialNarrow"/>
        </w:rPr>
        <w:t>-</w:t>
      </w:r>
      <w:r w:rsidRPr="183EFEC5">
        <w:rPr>
          <w:rFonts w:eastAsia="ArialNarrow"/>
        </w:rPr>
        <w:t xml:space="preserve"> 201</w:t>
      </w:r>
      <w:r w:rsidR="00432233">
        <w:rPr>
          <w:rFonts w:eastAsia="ArialNarrow"/>
        </w:rPr>
        <w:t>9</w:t>
      </w:r>
      <w:r w:rsidRPr="183EFEC5">
        <w:rPr>
          <w:rFonts w:eastAsia="ArialNarrow"/>
        </w:rPr>
        <w:t>. godine. Iz tablice se može zamijetiti da podaci o broju radnika na 10.000 stanovnika na razini Krapinsko</w:t>
      </w:r>
      <w:r w:rsidR="00033D36">
        <w:rPr>
          <w:rFonts w:eastAsia="ArialNarrow"/>
        </w:rPr>
        <w:t>-</w:t>
      </w:r>
      <w:r w:rsidRPr="183EFEC5">
        <w:rPr>
          <w:rFonts w:eastAsia="ArialNarrow"/>
        </w:rPr>
        <w:t>zagors</w:t>
      </w:r>
      <w:r w:rsidR="00872CDE" w:rsidRPr="183EFEC5">
        <w:rPr>
          <w:rFonts w:eastAsia="ArialNarrow"/>
        </w:rPr>
        <w:t>ke županije</w:t>
      </w:r>
      <w:r w:rsidRPr="183EFEC5">
        <w:rPr>
          <w:rFonts w:eastAsia="ArialNarrow"/>
        </w:rPr>
        <w:t xml:space="preserve"> </w:t>
      </w:r>
      <w:r w:rsidR="008A352C" w:rsidRPr="183EFEC5">
        <w:rPr>
          <w:rFonts w:eastAsia="ArialNarrow"/>
        </w:rPr>
        <w:t xml:space="preserve">ne odstupaju puno </w:t>
      </w:r>
      <w:r w:rsidR="00E575D4" w:rsidRPr="183EFEC5">
        <w:rPr>
          <w:rFonts w:eastAsia="ArialNarrow"/>
        </w:rPr>
        <w:t xml:space="preserve">od </w:t>
      </w:r>
      <w:r w:rsidRPr="183EFEC5">
        <w:rPr>
          <w:rFonts w:eastAsia="ArialNarrow"/>
        </w:rPr>
        <w:t>prosječnog broja radnika u Republici Hrvatskoj</w:t>
      </w:r>
      <w:r w:rsidR="0A80646A" w:rsidRPr="183EFEC5">
        <w:rPr>
          <w:rFonts w:eastAsia="ArialNarrow"/>
        </w:rPr>
        <w:t>,</w:t>
      </w:r>
      <w:r w:rsidRPr="183EFEC5">
        <w:rPr>
          <w:rFonts w:eastAsia="ArialNarrow"/>
        </w:rPr>
        <w:t xml:space="preserve"> ali </w:t>
      </w:r>
      <w:r w:rsidR="00B11E24" w:rsidRPr="183EFEC5">
        <w:rPr>
          <w:rFonts w:eastAsia="ArialNarrow"/>
        </w:rPr>
        <w:t>postoji</w:t>
      </w:r>
      <w:r w:rsidR="008A352C" w:rsidRPr="183EFEC5">
        <w:rPr>
          <w:rFonts w:eastAsia="ArialNarrow"/>
        </w:rPr>
        <w:t xml:space="preserve"> </w:t>
      </w:r>
      <w:r w:rsidRPr="183EFEC5">
        <w:rPr>
          <w:rFonts w:eastAsia="ArialNarrow"/>
        </w:rPr>
        <w:t>iznimaka.</w:t>
      </w:r>
    </w:p>
    <w:p w14:paraId="72543032" w14:textId="77777777" w:rsidR="008878A0" w:rsidRDefault="008878A0" w:rsidP="00941871">
      <w:pPr>
        <w:autoSpaceDE w:val="0"/>
        <w:autoSpaceDN w:val="0"/>
        <w:adjustRightInd w:val="0"/>
        <w:spacing w:after="0" w:line="240" w:lineRule="auto"/>
        <w:rPr>
          <w:rFonts w:eastAsia="ArialNarrow" w:cstheme="minorHAnsi"/>
        </w:rPr>
      </w:pPr>
    </w:p>
    <w:p w14:paraId="22C9DF88" w14:textId="13ACA45B" w:rsidR="008878A0" w:rsidRDefault="008878A0" w:rsidP="003E3F3C">
      <w:pPr>
        <w:pStyle w:val="Opisslike"/>
      </w:pPr>
      <w:r>
        <w:t xml:space="preserve">Tablica </w:t>
      </w:r>
      <w:r w:rsidR="0018019C">
        <w:rPr>
          <w:noProof/>
        </w:rPr>
        <w:t>3</w:t>
      </w:r>
      <w:r w:rsidR="00AF5B79">
        <w:rPr>
          <w:noProof/>
        </w:rPr>
        <w:t>7</w:t>
      </w:r>
      <w:r w:rsidR="009B61D3">
        <w:rPr>
          <w:noProof/>
        </w:rPr>
        <w:t>.</w:t>
      </w:r>
      <w:r>
        <w:t xml:space="preserve"> Broj zdravstvenih radnika na 10.000 stanovnika 201</w:t>
      </w:r>
      <w:r w:rsidR="004A6EEC">
        <w:t>6</w:t>
      </w:r>
      <w:r>
        <w:t xml:space="preserve">. </w:t>
      </w:r>
      <w:r w:rsidR="00201691">
        <w:t>-</w:t>
      </w:r>
      <w:r>
        <w:t xml:space="preserve"> 201</w:t>
      </w:r>
      <w:r w:rsidR="00432233">
        <w:t>9</w:t>
      </w:r>
      <w:r>
        <w:t>. Republika Hrvatska i Krapinsko-zagorska županija</w:t>
      </w:r>
    </w:p>
    <w:tbl>
      <w:tblPr>
        <w:tblW w:w="9282" w:type="dxa"/>
        <w:tblBorders>
          <w:insideH w:val="single" w:sz="8" w:space="0" w:color="F3CFC1"/>
        </w:tblBorders>
        <w:tblLayout w:type="fixed"/>
        <w:tblLook w:val="04A0" w:firstRow="1" w:lastRow="0" w:firstColumn="1" w:lastColumn="0" w:noHBand="0" w:noVBand="1"/>
      </w:tblPr>
      <w:tblGrid>
        <w:gridCol w:w="3094"/>
        <w:gridCol w:w="765"/>
        <w:gridCol w:w="765"/>
        <w:gridCol w:w="824"/>
        <w:gridCol w:w="740"/>
        <w:gridCol w:w="735"/>
        <w:gridCol w:w="765"/>
        <w:gridCol w:w="765"/>
        <w:gridCol w:w="829"/>
      </w:tblGrid>
      <w:tr w:rsidR="008B066D" w:rsidRPr="009B61D3" w14:paraId="46C7C1EC" w14:textId="78D7C8E0" w:rsidTr="007B70A2">
        <w:trPr>
          <w:trHeight w:val="312"/>
          <w:tblHeader/>
        </w:trPr>
        <w:tc>
          <w:tcPr>
            <w:tcW w:w="3094" w:type="dxa"/>
            <w:vMerge w:val="restart"/>
            <w:tcBorders>
              <w:top w:val="nil"/>
            </w:tcBorders>
            <w:shd w:val="clear" w:color="auto" w:fill="D2232A"/>
            <w:noWrap/>
            <w:vAlign w:val="center"/>
            <w:hideMark/>
          </w:tcPr>
          <w:p w14:paraId="1F0B1433" w14:textId="77777777" w:rsidR="008B066D" w:rsidRPr="009B61D3" w:rsidRDefault="008B066D" w:rsidP="009B61D3">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BROJ ZDRAVSTVENIH RADNIKA NA 10.000 STANOVNIKA</w:t>
            </w:r>
          </w:p>
        </w:tc>
        <w:tc>
          <w:tcPr>
            <w:tcW w:w="3094" w:type="dxa"/>
            <w:gridSpan w:val="4"/>
            <w:tcBorders>
              <w:top w:val="nil"/>
              <w:bottom w:val="single" w:sz="8" w:space="0" w:color="D2232A"/>
            </w:tcBorders>
            <w:shd w:val="clear" w:color="auto" w:fill="D9D9D9" w:themeFill="background1" w:themeFillShade="D9"/>
            <w:noWrap/>
            <w:vAlign w:val="center"/>
            <w:hideMark/>
          </w:tcPr>
          <w:p w14:paraId="3ACF32C1" w14:textId="0319FB24" w:rsidR="008B066D" w:rsidRPr="00D947C8" w:rsidRDefault="00FB6A4F" w:rsidP="009B61D3">
            <w:pPr>
              <w:spacing w:after="0" w:line="240" w:lineRule="auto"/>
              <w:jc w:val="center"/>
              <w:rPr>
                <w:rFonts w:eastAsia="Times New Roman" w:cstheme="minorHAnsi"/>
                <w:szCs w:val="18"/>
                <w:lang w:eastAsia="hr-HR"/>
              </w:rPr>
            </w:pPr>
            <w:r w:rsidRPr="009B61D3">
              <w:rPr>
                <w:rFonts w:eastAsia="Times New Roman" w:cstheme="minorHAnsi"/>
                <w:szCs w:val="18"/>
                <w:lang w:eastAsia="hr-HR"/>
              </w:rPr>
              <w:t>REPUBLIKA HRVATSKA</w:t>
            </w:r>
          </w:p>
        </w:tc>
        <w:tc>
          <w:tcPr>
            <w:tcW w:w="3094" w:type="dxa"/>
            <w:gridSpan w:val="4"/>
            <w:tcBorders>
              <w:top w:val="nil"/>
              <w:right w:val="single" w:sz="8" w:space="0" w:color="D2232A"/>
            </w:tcBorders>
            <w:shd w:val="clear" w:color="auto" w:fill="D2232A" w:themeFill="accent1"/>
            <w:noWrap/>
            <w:vAlign w:val="center"/>
            <w:hideMark/>
          </w:tcPr>
          <w:p w14:paraId="09422FB1" w14:textId="04E28E47" w:rsidR="008B066D" w:rsidRPr="009B61D3" w:rsidRDefault="00FB6A4F" w:rsidP="009B61D3">
            <w:pPr>
              <w:spacing w:after="0" w:line="240" w:lineRule="auto"/>
              <w:jc w:val="center"/>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KRAPINSKO-ZAGORSKA ŽUPANIJA</w:t>
            </w:r>
          </w:p>
        </w:tc>
      </w:tr>
      <w:tr w:rsidR="008B066D" w:rsidRPr="009B61D3" w14:paraId="0366B93D" w14:textId="4B2C4595" w:rsidTr="007B70A2">
        <w:trPr>
          <w:trHeight w:val="312"/>
          <w:tblHeader/>
        </w:trPr>
        <w:tc>
          <w:tcPr>
            <w:tcW w:w="3094" w:type="dxa"/>
            <w:vMerge/>
            <w:shd w:val="clear" w:color="auto" w:fill="D2232A"/>
            <w:vAlign w:val="center"/>
            <w:hideMark/>
          </w:tcPr>
          <w:p w14:paraId="786753D2" w14:textId="77777777" w:rsidR="00840B22" w:rsidRPr="009B61D3" w:rsidRDefault="00840B22" w:rsidP="009B61D3">
            <w:pPr>
              <w:spacing w:after="0"/>
              <w:rPr>
                <w:rFonts w:eastAsia="Times New Roman" w:cstheme="minorHAnsi"/>
                <w:color w:val="FFFFFF"/>
                <w:szCs w:val="18"/>
                <w:lang w:eastAsia="hr-HR"/>
              </w:rPr>
            </w:pPr>
          </w:p>
        </w:tc>
        <w:tc>
          <w:tcPr>
            <w:tcW w:w="765" w:type="dxa"/>
            <w:shd w:val="clear" w:color="auto" w:fill="D9D9D9" w:themeFill="background1" w:themeFillShade="D9"/>
            <w:noWrap/>
            <w:vAlign w:val="center"/>
            <w:hideMark/>
          </w:tcPr>
          <w:p w14:paraId="2F079E5E" w14:textId="76CAC7C0" w:rsidR="00840B22" w:rsidRPr="009B61D3" w:rsidRDefault="00840B22" w:rsidP="00840B22">
            <w:pPr>
              <w:spacing w:after="0" w:line="240" w:lineRule="auto"/>
              <w:jc w:val="center"/>
              <w:rPr>
                <w:rFonts w:eastAsia="Times New Roman" w:cstheme="minorHAnsi"/>
                <w:szCs w:val="18"/>
                <w:lang w:eastAsia="hr-HR"/>
              </w:rPr>
            </w:pPr>
            <w:r w:rsidRPr="009B61D3">
              <w:rPr>
                <w:rFonts w:eastAsia="Times New Roman" w:cstheme="minorHAnsi"/>
                <w:szCs w:val="18"/>
                <w:lang w:eastAsia="hr-HR"/>
              </w:rPr>
              <w:t>2016</w:t>
            </w:r>
            <w:r w:rsidR="00EC3797">
              <w:rPr>
                <w:rFonts w:eastAsia="Times New Roman" w:cstheme="minorHAnsi"/>
                <w:szCs w:val="18"/>
                <w:lang w:eastAsia="hr-HR"/>
              </w:rPr>
              <w:t>.</w:t>
            </w:r>
          </w:p>
        </w:tc>
        <w:tc>
          <w:tcPr>
            <w:tcW w:w="765" w:type="dxa"/>
            <w:shd w:val="clear" w:color="auto" w:fill="D9D9D9" w:themeFill="background1" w:themeFillShade="D9"/>
            <w:noWrap/>
            <w:vAlign w:val="center"/>
            <w:hideMark/>
          </w:tcPr>
          <w:p w14:paraId="52535862" w14:textId="5C5DF54D" w:rsidR="00840B22" w:rsidRPr="009B61D3" w:rsidRDefault="00840B22" w:rsidP="00840B22">
            <w:pPr>
              <w:spacing w:after="0" w:line="240" w:lineRule="auto"/>
              <w:jc w:val="center"/>
              <w:rPr>
                <w:rFonts w:eastAsia="Times New Roman" w:cstheme="minorHAnsi"/>
                <w:szCs w:val="18"/>
                <w:lang w:eastAsia="hr-HR"/>
              </w:rPr>
            </w:pPr>
            <w:r w:rsidRPr="009B61D3">
              <w:rPr>
                <w:rFonts w:eastAsia="Times New Roman" w:cstheme="minorHAnsi"/>
                <w:szCs w:val="18"/>
                <w:lang w:eastAsia="hr-HR"/>
              </w:rPr>
              <w:t>2017</w:t>
            </w:r>
            <w:r w:rsidR="00EC3797">
              <w:rPr>
                <w:rFonts w:eastAsia="Times New Roman" w:cstheme="minorHAnsi"/>
                <w:szCs w:val="18"/>
                <w:lang w:eastAsia="hr-HR"/>
              </w:rPr>
              <w:t>.</w:t>
            </w:r>
          </w:p>
        </w:tc>
        <w:tc>
          <w:tcPr>
            <w:tcW w:w="824" w:type="dxa"/>
            <w:tcBorders>
              <w:top w:val="single" w:sz="8" w:space="0" w:color="F3CFC1"/>
              <w:bottom w:val="single" w:sz="8" w:space="0" w:color="F3CFC1"/>
              <w:right w:val="nil"/>
            </w:tcBorders>
            <w:shd w:val="clear" w:color="auto" w:fill="D9D9D9" w:themeFill="background1" w:themeFillShade="D9"/>
            <w:noWrap/>
            <w:vAlign w:val="center"/>
            <w:hideMark/>
          </w:tcPr>
          <w:p w14:paraId="62729871" w14:textId="1B988230" w:rsidR="00840B22" w:rsidRPr="009B61D3" w:rsidRDefault="00840B22" w:rsidP="00840B22">
            <w:pPr>
              <w:spacing w:after="0" w:line="240" w:lineRule="auto"/>
              <w:jc w:val="center"/>
              <w:rPr>
                <w:rFonts w:eastAsia="Times New Roman" w:cstheme="minorHAnsi"/>
                <w:szCs w:val="18"/>
                <w:lang w:eastAsia="hr-HR"/>
              </w:rPr>
            </w:pPr>
            <w:r w:rsidRPr="009B61D3">
              <w:rPr>
                <w:rFonts w:eastAsia="Times New Roman" w:cstheme="minorHAnsi"/>
                <w:szCs w:val="18"/>
                <w:lang w:eastAsia="hr-HR"/>
              </w:rPr>
              <w:t>2018</w:t>
            </w:r>
            <w:r w:rsidR="00EC3797">
              <w:rPr>
                <w:rFonts w:eastAsia="Times New Roman" w:cstheme="minorHAnsi"/>
                <w:szCs w:val="18"/>
                <w:lang w:eastAsia="hr-HR"/>
              </w:rPr>
              <w:t>.</w:t>
            </w:r>
          </w:p>
        </w:tc>
        <w:tc>
          <w:tcPr>
            <w:tcW w:w="738" w:type="dxa"/>
            <w:tcBorders>
              <w:top w:val="single" w:sz="4" w:space="0" w:color="D2232A"/>
              <w:left w:val="nil"/>
              <w:bottom w:val="single" w:sz="8" w:space="0" w:color="F3CFC1"/>
            </w:tcBorders>
            <w:shd w:val="clear" w:color="auto" w:fill="D9D9D9" w:themeFill="background1" w:themeFillShade="D9"/>
            <w:vAlign w:val="center"/>
          </w:tcPr>
          <w:p w14:paraId="1F5C7381" w14:textId="44C71E8A" w:rsidR="00840B22" w:rsidRPr="009B61D3" w:rsidRDefault="00840B22" w:rsidP="00840B22">
            <w:pPr>
              <w:spacing w:after="0" w:line="240" w:lineRule="auto"/>
              <w:jc w:val="center"/>
              <w:rPr>
                <w:rFonts w:eastAsia="Times New Roman" w:cstheme="minorHAnsi"/>
                <w:color w:val="FFFFFF" w:themeColor="background1"/>
                <w:szCs w:val="18"/>
                <w:lang w:eastAsia="hr-HR"/>
              </w:rPr>
            </w:pPr>
            <w:r w:rsidRPr="008B066D">
              <w:rPr>
                <w:rFonts w:eastAsia="Times New Roman" w:cstheme="minorHAnsi"/>
                <w:color w:val="auto"/>
                <w:szCs w:val="18"/>
                <w:lang w:eastAsia="hr-HR"/>
              </w:rPr>
              <w:t>2019</w:t>
            </w:r>
            <w:r w:rsidR="00EC3797">
              <w:rPr>
                <w:rFonts w:eastAsia="Times New Roman" w:cstheme="minorHAnsi"/>
                <w:color w:val="auto"/>
                <w:szCs w:val="18"/>
                <w:lang w:eastAsia="hr-HR"/>
              </w:rPr>
              <w:t>.</w:t>
            </w:r>
          </w:p>
        </w:tc>
        <w:tc>
          <w:tcPr>
            <w:tcW w:w="735" w:type="dxa"/>
            <w:shd w:val="clear" w:color="auto" w:fill="D2232A" w:themeFill="accent1"/>
            <w:noWrap/>
            <w:vAlign w:val="center"/>
            <w:hideMark/>
          </w:tcPr>
          <w:p w14:paraId="614F1605" w14:textId="25EB6954" w:rsidR="00840B22" w:rsidRPr="009B61D3" w:rsidRDefault="00840B22" w:rsidP="00840B22">
            <w:pPr>
              <w:spacing w:after="0" w:line="240" w:lineRule="auto"/>
              <w:jc w:val="center"/>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2016</w:t>
            </w:r>
            <w:r w:rsidR="00EC3797">
              <w:rPr>
                <w:rFonts w:eastAsia="Times New Roman" w:cstheme="minorHAnsi"/>
                <w:color w:val="FFFFFF" w:themeColor="background1"/>
                <w:szCs w:val="18"/>
                <w:lang w:eastAsia="hr-HR"/>
              </w:rPr>
              <w:t>.</w:t>
            </w:r>
          </w:p>
        </w:tc>
        <w:tc>
          <w:tcPr>
            <w:tcW w:w="765" w:type="dxa"/>
            <w:shd w:val="clear" w:color="auto" w:fill="D2232A" w:themeFill="accent1"/>
            <w:noWrap/>
            <w:vAlign w:val="center"/>
            <w:hideMark/>
          </w:tcPr>
          <w:p w14:paraId="320C9808" w14:textId="53348325" w:rsidR="00840B22" w:rsidRPr="009B61D3" w:rsidRDefault="00840B22" w:rsidP="00840B22">
            <w:pPr>
              <w:spacing w:after="0" w:line="240" w:lineRule="auto"/>
              <w:jc w:val="center"/>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2017</w:t>
            </w:r>
            <w:r w:rsidR="00EC3797">
              <w:rPr>
                <w:rFonts w:eastAsia="Times New Roman" w:cstheme="minorHAnsi"/>
                <w:color w:val="FFFFFF" w:themeColor="background1"/>
                <w:szCs w:val="18"/>
                <w:lang w:eastAsia="hr-HR"/>
              </w:rPr>
              <w:t>.</w:t>
            </w:r>
          </w:p>
        </w:tc>
        <w:tc>
          <w:tcPr>
            <w:tcW w:w="765" w:type="dxa"/>
            <w:tcBorders>
              <w:bottom w:val="single" w:sz="8" w:space="0" w:color="F3CFC1"/>
              <w:right w:val="single" w:sz="8" w:space="0" w:color="D2232A"/>
            </w:tcBorders>
            <w:shd w:val="clear" w:color="auto" w:fill="D2232A" w:themeFill="accent1"/>
            <w:noWrap/>
            <w:vAlign w:val="center"/>
            <w:hideMark/>
          </w:tcPr>
          <w:p w14:paraId="2831390F" w14:textId="20981529" w:rsidR="00840B22" w:rsidRPr="009B61D3" w:rsidRDefault="00840B22" w:rsidP="00840B22">
            <w:pPr>
              <w:spacing w:after="0" w:line="240" w:lineRule="auto"/>
              <w:jc w:val="center"/>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2018</w:t>
            </w:r>
            <w:r w:rsidR="00EC3797">
              <w:rPr>
                <w:rFonts w:eastAsia="Times New Roman" w:cstheme="minorHAnsi"/>
                <w:color w:val="FFFFFF" w:themeColor="background1"/>
                <w:szCs w:val="18"/>
                <w:lang w:eastAsia="hr-HR"/>
              </w:rPr>
              <w:t>.</w:t>
            </w:r>
          </w:p>
        </w:tc>
        <w:tc>
          <w:tcPr>
            <w:tcW w:w="827" w:type="dxa"/>
            <w:tcBorders>
              <w:right w:val="single" w:sz="8" w:space="0" w:color="D2232A"/>
            </w:tcBorders>
            <w:shd w:val="clear" w:color="auto" w:fill="D2232A" w:themeFill="accent1"/>
            <w:vAlign w:val="center"/>
          </w:tcPr>
          <w:p w14:paraId="7C764C60" w14:textId="05707CE5" w:rsidR="00840B22" w:rsidRPr="009B61D3" w:rsidRDefault="00840B22" w:rsidP="00840B22">
            <w:pPr>
              <w:spacing w:after="0" w:line="240" w:lineRule="auto"/>
              <w:jc w:val="center"/>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2019</w:t>
            </w:r>
            <w:r w:rsidR="00EC3797">
              <w:rPr>
                <w:rFonts w:eastAsia="Times New Roman" w:cstheme="minorHAnsi"/>
                <w:color w:val="FFFFFF" w:themeColor="background1"/>
                <w:szCs w:val="18"/>
                <w:lang w:eastAsia="hr-HR"/>
              </w:rPr>
              <w:t>.</w:t>
            </w:r>
          </w:p>
        </w:tc>
      </w:tr>
      <w:tr w:rsidR="000A12C3" w:rsidRPr="009B61D3" w14:paraId="3F82B3C6" w14:textId="615D0A9D" w:rsidTr="007B70A2">
        <w:trPr>
          <w:trHeight w:val="312"/>
        </w:trPr>
        <w:tc>
          <w:tcPr>
            <w:tcW w:w="3094" w:type="dxa"/>
            <w:shd w:val="clear" w:color="auto" w:fill="D2232A"/>
            <w:noWrap/>
            <w:vAlign w:val="center"/>
            <w:hideMark/>
          </w:tcPr>
          <w:p w14:paraId="16DD02E6"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Primarna zdravstvena zaštita</w:t>
            </w:r>
          </w:p>
        </w:tc>
        <w:tc>
          <w:tcPr>
            <w:tcW w:w="765" w:type="dxa"/>
            <w:noWrap/>
            <w:vAlign w:val="center"/>
            <w:hideMark/>
          </w:tcPr>
          <w:p w14:paraId="37C4EBB3" w14:textId="44BDEC37"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6,1</w:t>
            </w:r>
          </w:p>
        </w:tc>
        <w:tc>
          <w:tcPr>
            <w:tcW w:w="765" w:type="dxa"/>
            <w:tcBorders>
              <w:top w:val="single" w:sz="8" w:space="0" w:color="F3CFC1"/>
            </w:tcBorders>
            <w:noWrap/>
            <w:vAlign w:val="center"/>
            <w:hideMark/>
          </w:tcPr>
          <w:p w14:paraId="18930A12" w14:textId="580FCBA8"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6,2</w:t>
            </w:r>
          </w:p>
        </w:tc>
        <w:tc>
          <w:tcPr>
            <w:tcW w:w="824" w:type="dxa"/>
            <w:tcBorders>
              <w:top w:val="single" w:sz="8" w:space="0" w:color="F3CFC1"/>
              <w:bottom w:val="single" w:sz="8" w:space="0" w:color="F3CFC1"/>
              <w:right w:val="nil"/>
            </w:tcBorders>
            <w:noWrap/>
            <w:vAlign w:val="center"/>
            <w:hideMark/>
          </w:tcPr>
          <w:p w14:paraId="5BF6186C" w14:textId="62834703"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6,2</w:t>
            </w:r>
          </w:p>
        </w:tc>
        <w:tc>
          <w:tcPr>
            <w:tcW w:w="738" w:type="dxa"/>
            <w:tcBorders>
              <w:top w:val="single" w:sz="8" w:space="0" w:color="F3CFC1"/>
              <w:left w:val="nil"/>
              <w:bottom w:val="single" w:sz="8" w:space="0" w:color="F3CFC1"/>
              <w:right w:val="single" w:sz="8" w:space="0" w:color="D2232A"/>
            </w:tcBorders>
            <w:vAlign w:val="center"/>
          </w:tcPr>
          <w:p w14:paraId="6732EE34" w14:textId="5ABD42DF" w:rsidR="00840B22" w:rsidRPr="009B61D3" w:rsidRDefault="00840B22" w:rsidP="00281604">
            <w:pPr>
              <w:spacing w:after="0" w:line="240" w:lineRule="auto"/>
              <w:jc w:val="right"/>
              <w:rPr>
                <w:rFonts w:ascii="Calibri" w:hAnsi="Calibri" w:cs="Calibri"/>
                <w:color w:val="000000"/>
                <w:szCs w:val="18"/>
              </w:rPr>
            </w:pPr>
            <w:r>
              <w:rPr>
                <w:rFonts w:ascii="Calibri" w:hAnsi="Calibri" w:cs="Calibri"/>
                <w:color w:val="000000"/>
                <w:szCs w:val="18"/>
              </w:rPr>
              <w:t>5,9</w:t>
            </w:r>
          </w:p>
        </w:tc>
        <w:tc>
          <w:tcPr>
            <w:tcW w:w="735" w:type="dxa"/>
            <w:tcBorders>
              <w:left w:val="single" w:sz="8" w:space="0" w:color="D2232A"/>
            </w:tcBorders>
            <w:noWrap/>
            <w:vAlign w:val="center"/>
            <w:hideMark/>
          </w:tcPr>
          <w:p w14:paraId="0B13D6CE" w14:textId="38C7E1EC"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6,1</w:t>
            </w:r>
          </w:p>
        </w:tc>
        <w:tc>
          <w:tcPr>
            <w:tcW w:w="765" w:type="dxa"/>
            <w:noWrap/>
            <w:vAlign w:val="center"/>
            <w:hideMark/>
          </w:tcPr>
          <w:p w14:paraId="13246213" w14:textId="43B63D38"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6,1</w:t>
            </w:r>
          </w:p>
        </w:tc>
        <w:tc>
          <w:tcPr>
            <w:tcW w:w="765" w:type="dxa"/>
            <w:tcBorders>
              <w:top w:val="single" w:sz="8" w:space="0" w:color="F3CFC1"/>
              <w:bottom w:val="single" w:sz="8" w:space="0" w:color="F3CFC1"/>
              <w:right w:val="nil"/>
            </w:tcBorders>
            <w:noWrap/>
            <w:vAlign w:val="center"/>
            <w:hideMark/>
          </w:tcPr>
          <w:p w14:paraId="75D32015" w14:textId="50BC8C24"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6,1</w:t>
            </w:r>
          </w:p>
        </w:tc>
        <w:tc>
          <w:tcPr>
            <w:tcW w:w="827" w:type="dxa"/>
            <w:tcBorders>
              <w:left w:val="nil"/>
              <w:right w:val="single" w:sz="8" w:space="0" w:color="D2232A"/>
            </w:tcBorders>
            <w:vAlign w:val="center"/>
          </w:tcPr>
          <w:p w14:paraId="496D2019" w14:textId="5AAA0283"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6,1</w:t>
            </w:r>
          </w:p>
        </w:tc>
      </w:tr>
      <w:tr w:rsidR="000A12C3" w:rsidRPr="009B61D3" w14:paraId="5D3355D7" w14:textId="7A752A9B" w:rsidTr="007B70A2">
        <w:trPr>
          <w:trHeight w:val="312"/>
        </w:trPr>
        <w:tc>
          <w:tcPr>
            <w:tcW w:w="3094" w:type="dxa"/>
            <w:shd w:val="clear" w:color="auto" w:fill="D2232A"/>
            <w:noWrap/>
            <w:vAlign w:val="center"/>
            <w:hideMark/>
          </w:tcPr>
          <w:p w14:paraId="14378D5F"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opće medicine</w:t>
            </w:r>
          </w:p>
        </w:tc>
        <w:tc>
          <w:tcPr>
            <w:tcW w:w="765" w:type="dxa"/>
            <w:noWrap/>
            <w:vAlign w:val="center"/>
            <w:hideMark/>
          </w:tcPr>
          <w:p w14:paraId="32373234" w14:textId="2ACCDD74"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5,5</w:t>
            </w:r>
          </w:p>
        </w:tc>
        <w:tc>
          <w:tcPr>
            <w:tcW w:w="765" w:type="dxa"/>
            <w:noWrap/>
            <w:vAlign w:val="center"/>
            <w:hideMark/>
          </w:tcPr>
          <w:p w14:paraId="0A8DD3AE" w14:textId="2F655DAF"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5,5</w:t>
            </w:r>
          </w:p>
        </w:tc>
        <w:tc>
          <w:tcPr>
            <w:tcW w:w="824" w:type="dxa"/>
            <w:tcBorders>
              <w:top w:val="single" w:sz="8" w:space="0" w:color="F3CFC1"/>
              <w:bottom w:val="single" w:sz="8" w:space="0" w:color="F3CFC1"/>
              <w:right w:val="nil"/>
            </w:tcBorders>
            <w:noWrap/>
            <w:vAlign w:val="center"/>
            <w:hideMark/>
          </w:tcPr>
          <w:p w14:paraId="7DFE6511" w14:textId="3299749D"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5,5</w:t>
            </w:r>
          </w:p>
        </w:tc>
        <w:tc>
          <w:tcPr>
            <w:tcW w:w="738" w:type="dxa"/>
            <w:tcBorders>
              <w:top w:val="single" w:sz="8" w:space="0" w:color="F3CFC1"/>
              <w:left w:val="nil"/>
              <w:bottom w:val="single" w:sz="8" w:space="0" w:color="F3CFC1"/>
              <w:right w:val="single" w:sz="8" w:space="0" w:color="D2232A"/>
            </w:tcBorders>
            <w:vAlign w:val="center"/>
          </w:tcPr>
          <w:p w14:paraId="36B2F296" w14:textId="14F6C305" w:rsidR="00840B22" w:rsidRPr="009B61D3" w:rsidRDefault="00840B22" w:rsidP="00281604">
            <w:pPr>
              <w:spacing w:after="0" w:line="240" w:lineRule="auto"/>
              <w:jc w:val="right"/>
              <w:rPr>
                <w:rFonts w:ascii="Calibri" w:hAnsi="Calibri" w:cs="Calibri"/>
                <w:color w:val="000000"/>
                <w:szCs w:val="18"/>
              </w:rPr>
            </w:pPr>
            <w:r>
              <w:rPr>
                <w:rFonts w:ascii="Calibri" w:hAnsi="Calibri" w:cs="Calibri"/>
                <w:color w:val="000000"/>
                <w:szCs w:val="18"/>
              </w:rPr>
              <w:t>5,3</w:t>
            </w:r>
          </w:p>
        </w:tc>
        <w:tc>
          <w:tcPr>
            <w:tcW w:w="735" w:type="dxa"/>
            <w:tcBorders>
              <w:left w:val="single" w:sz="8" w:space="0" w:color="D2232A"/>
            </w:tcBorders>
            <w:noWrap/>
            <w:vAlign w:val="center"/>
            <w:hideMark/>
          </w:tcPr>
          <w:p w14:paraId="2378397C" w14:textId="27E92812"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5,7</w:t>
            </w:r>
          </w:p>
        </w:tc>
        <w:tc>
          <w:tcPr>
            <w:tcW w:w="765" w:type="dxa"/>
            <w:noWrap/>
            <w:vAlign w:val="center"/>
            <w:hideMark/>
          </w:tcPr>
          <w:p w14:paraId="56420AB5" w14:textId="7E6FDC6F"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5,8</w:t>
            </w:r>
          </w:p>
        </w:tc>
        <w:tc>
          <w:tcPr>
            <w:tcW w:w="765" w:type="dxa"/>
            <w:tcBorders>
              <w:top w:val="single" w:sz="8" w:space="0" w:color="F3CFC1"/>
              <w:bottom w:val="single" w:sz="8" w:space="0" w:color="F3CFC1"/>
              <w:right w:val="nil"/>
            </w:tcBorders>
            <w:noWrap/>
            <w:vAlign w:val="center"/>
            <w:hideMark/>
          </w:tcPr>
          <w:p w14:paraId="3EA1B897" w14:textId="5BF6CE5B"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5,8</w:t>
            </w:r>
          </w:p>
        </w:tc>
        <w:tc>
          <w:tcPr>
            <w:tcW w:w="827" w:type="dxa"/>
            <w:tcBorders>
              <w:left w:val="nil"/>
              <w:right w:val="single" w:sz="8" w:space="0" w:color="D2232A"/>
            </w:tcBorders>
            <w:vAlign w:val="center"/>
          </w:tcPr>
          <w:p w14:paraId="7BF0801B" w14:textId="59A87ACD"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5,8</w:t>
            </w:r>
          </w:p>
        </w:tc>
      </w:tr>
      <w:tr w:rsidR="000A12C3" w:rsidRPr="009B61D3" w14:paraId="2637AA08" w14:textId="546F7921" w:rsidTr="007B70A2">
        <w:trPr>
          <w:trHeight w:val="312"/>
        </w:trPr>
        <w:tc>
          <w:tcPr>
            <w:tcW w:w="3094" w:type="dxa"/>
            <w:shd w:val="clear" w:color="auto" w:fill="D2232A"/>
            <w:noWrap/>
            <w:vAlign w:val="center"/>
            <w:hideMark/>
          </w:tcPr>
          <w:p w14:paraId="157102E8"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lastRenderedPageBreak/>
              <w:t>Djelatnost zdravstvene zaštite dojenčadi i male djece</w:t>
            </w:r>
          </w:p>
        </w:tc>
        <w:tc>
          <w:tcPr>
            <w:tcW w:w="765" w:type="dxa"/>
            <w:noWrap/>
            <w:vAlign w:val="center"/>
            <w:hideMark/>
          </w:tcPr>
          <w:p w14:paraId="2B89440B" w14:textId="6E8BD9A1"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0,7</w:t>
            </w:r>
          </w:p>
        </w:tc>
        <w:tc>
          <w:tcPr>
            <w:tcW w:w="765" w:type="dxa"/>
            <w:noWrap/>
            <w:vAlign w:val="center"/>
            <w:hideMark/>
          </w:tcPr>
          <w:p w14:paraId="4C041198" w14:textId="6D2F8FFE"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0,7</w:t>
            </w:r>
          </w:p>
        </w:tc>
        <w:tc>
          <w:tcPr>
            <w:tcW w:w="824" w:type="dxa"/>
            <w:tcBorders>
              <w:top w:val="single" w:sz="8" w:space="0" w:color="F3CFC1"/>
              <w:bottom w:val="single" w:sz="8" w:space="0" w:color="F3CFC1"/>
              <w:right w:val="nil"/>
            </w:tcBorders>
            <w:noWrap/>
            <w:vAlign w:val="center"/>
            <w:hideMark/>
          </w:tcPr>
          <w:p w14:paraId="5323C584" w14:textId="16F3A825"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0,7</w:t>
            </w:r>
          </w:p>
        </w:tc>
        <w:tc>
          <w:tcPr>
            <w:tcW w:w="738" w:type="dxa"/>
            <w:tcBorders>
              <w:top w:val="single" w:sz="8" w:space="0" w:color="F3CFC1"/>
              <w:left w:val="nil"/>
              <w:bottom w:val="single" w:sz="8" w:space="0" w:color="F3CFC1"/>
              <w:right w:val="single" w:sz="8" w:space="0" w:color="D2232A"/>
            </w:tcBorders>
            <w:vAlign w:val="center"/>
          </w:tcPr>
          <w:p w14:paraId="51CD9D58" w14:textId="7CAC2A91" w:rsidR="00840B22" w:rsidRPr="009B61D3" w:rsidRDefault="00840B22" w:rsidP="00281604">
            <w:pPr>
              <w:spacing w:after="0" w:line="240" w:lineRule="auto"/>
              <w:jc w:val="right"/>
              <w:rPr>
                <w:rFonts w:ascii="Calibri" w:hAnsi="Calibri" w:cs="Calibri"/>
                <w:color w:val="000000"/>
                <w:szCs w:val="18"/>
              </w:rPr>
            </w:pPr>
            <w:r>
              <w:rPr>
                <w:rFonts w:ascii="Calibri" w:hAnsi="Calibri" w:cs="Calibri"/>
                <w:color w:val="000000"/>
                <w:szCs w:val="18"/>
              </w:rPr>
              <w:t>0,6</w:t>
            </w:r>
          </w:p>
        </w:tc>
        <w:tc>
          <w:tcPr>
            <w:tcW w:w="735" w:type="dxa"/>
            <w:tcBorders>
              <w:left w:val="single" w:sz="8" w:space="0" w:color="D2232A"/>
            </w:tcBorders>
            <w:noWrap/>
            <w:vAlign w:val="center"/>
            <w:hideMark/>
          </w:tcPr>
          <w:p w14:paraId="1E5D35DE" w14:textId="0A11393D"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0,3</w:t>
            </w:r>
          </w:p>
        </w:tc>
        <w:tc>
          <w:tcPr>
            <w:tcW w:w="765" w:type="dxa"/>
            <w:noWrap/>
            <w:vAlign w:val="center"/>
            <w:hideMark/>
          </w:tcPr>
          <w:p w14:paraId="78E8421D" w14:textId="37532E93"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0,3</w:t>
            </w:r>
          </w:p>
        </w:tc>
        <w:tc>
          <w:tcPr>
            <w:tcW w:w="765" w:type="dxa"/>
            <w:tcBorders>
              <w:top w:val="single" w:sz="8" w:space="0" w:color="F3CFC1"/>
              <w:bottom w:val="single" w:sz="8" w:space="0" w:color="F3CFC1"/>
              <w:right w:val="nil"/>
            </w:tcBorders>
            <w:noWrap/>
            <w:vAlign w:val="center"/>
            <w:hideMark/>
          </w:tcPr>
          <w:p w14:paraId="013D42C8" w14:textId="4DE8E8A7"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0,3</w:t>
            </w:r>
          </w:p>
        </w:tc>
        <w:tc>
          <w:tcPr>
            <w:tcW w:w="827" w:type="dxa"/>
            <w:tcBorders>
              <w:left w:val="nil"/>
              <w:right w:val="single" w:sz="8" w:space="0" w:color="D2232A"/>
            </w:tcBorders>
            <w:vAlign w:val="center"/>
          </w:tcPr>
          <w:p w14:paraId="5386C16D" w14:textId="5D764161"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0,3</w:t>
            </w:r>
          </w:p>
        </w:tc>
      </w:tr>
      <w:tr w:rsidR="000A12C3" w:rsidRPr="009B61D3" w14:paraId="2F0BF675" w14:textId="73B755A6" w:rsidTr="007B70A2">
        <w:trPr>
          <w:trHeight w:val="312"/>
        </w:trPr>
        <w:tc>
          <w:tcPr>
            <w:tcW w:w="3094" w:type="dxa"/>
            <w:shd w:val="clear" w:color="auto" w:fill="D2232A"/>
            <w:noWrap/>
            <w:vAlign w:val="center"/>
            <w:hideMark/>
          </w:tcPr>
          <w:p w14:paraId="4082B14D"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medicine rada</w:t>
            </w:r>
          </w:p>
        </w:tc>
        <w:tc>
          <w:tcPr>
            <w:tcW w:w="765" w:type="dxa"/>
            <w:noWrap/>
            <w:vAlign w:val="center"/>
            <w:hideMark/>
          </w:tcPr>
          <w:p w14:paraId="70D8A562" w14:textId="679A88B0"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0,9</w:t>
            </w:r>
          </w:p>
        </w:tc>
        <w:tc>
          <w:tcPr>
            <w:tcW w:w="765" w:type="dxa"/>
            <w:noWrap/>
            <w:vAlign w:val="center"/>
            <w:hideMark/>
          </w:tcPr>
          <w:p w14:paraId="424D90FF" w14:textId="31FBFCB3"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0,9</w:t>
            </w:r>
          </w:p>
        </w:tc>
        <w:tc>
          <w:tcPr>
            <w:tcW w:w="824" w:type="dxa"/>
            <w:tcBorders>
              <w:top w:val="single" w:sz="8" w:space="0" w:color="F3CFC1"/>
              <w:bottom w:val="single" w:sz="8" w:space="0" w:color="F3CFC1"/>
              <w:right w:val="nil"/>
            </w:tcBorders>
            <w:noWrap/>
            <w:vAlign w:val="center"/>
            <w:hideMark/>
          </w:tcPr>
          <w:p w14:paraId="34C04BCC" w14:textId="24D1332E"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1,0</w:t>
            </w:r>
          </w:p>
        </w:tc>
        <w:tc>
          <w:tcPr>
            <w:tcW w:w="738" w:type="dxa"/>
            <w:tcBorders>
              <w:top w:val="single" w:sz="8" w:space="0" w:color="F3CFC1"/>
              <w:left w:val="nil"/>
              <w:bottom w:val="single" w:sz="8" w:space="0" w:color="F3CFC1"/>
              <w:right w:val="single" w:sz="8" w:space="0" w:color="D2232A"/>
            </w:tcBorders>
            <w:vAlign w:val="center"/>
          </w:tcPr>
          <w:p w14:paraId="7CFF8D78" w14:textId="2739326B" w:rsidR="00840B22" w:rsidRPr="009B61D3" w:rsidRDefault="00840B22" w:rsidP="00281604">
            <w:pPr>
              <w:spacing w:after="0" w:line="240" w:lineRule="auto"/>
              <w:jc w:val="right"/>
              <w:rPr>
                <w:rFonts w:ascii="Calibri" w:hAnsi="Calibri" w:cs="Calibri"/>
                <w:color w:val="000000"/>
                <w:szCs w:val="18"/>
              </w:rPr>
            </w:pPr>
            <w:r>
              <w:rPr>
                <w:rFonts w:ascii="Calibri" w:hAnsi="Calibri" w:cs="Calibri"/>
                <w:color w:val="000000"/>
                <w:szCs w:val="18"/>
              </w:rPr>
              <w:t>1,1</w:t>
            </w:r>
          </w:p>
        </w:tc>
        <w:tc>
          <w:tcPr>
            <w:tcW w:w="735" w:type="dxa"/>
            <w:tcBorders>
              <w:left w:val="single" w:sz="8" w:space="0" w:color="D2232A"/>
            </w:tcBorders>
            <w:noWrap/>
            <w:vAlign w:val="center"/>
            <w:hideMark/>
          </w:tcPr>
          <w:p w14:paraId="50289DAF" w14:textId="581A1E0C"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0,6</w:t>
            </w:r>
          </w:p>
        </w:tc>
        <w:tc>
          <w:tcPr>
            <w:tcW w:w="765" w:type="dxa"/>
            <w:noWrap/>
            <w:vAlign w:val="center"/>
            <w:hideMark/>
          </w:tcPr>
          <w:p w14:paraId="413634D7" w14:textId="24C918E8"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0,8</w:t>
            </w:r>
          </w:p>
        </w:tc>
        <w:tc>
          <w:tcPr>
            <w:tcW w:w="765" w:type="dxa"/>
            <w:tcBorders>
              <w:top w:val="single" w:sz="8" w:space="0" w:color="F3CFC1"/>
              <w:bottom w:val="single" w:sz="8" w:space="0" w:color="F3CFC1"/>
              <w:right w:val="nil"/>
            </w:tcBorders>
            <w:noWrap/>
            <w:vAlign w:val="center"/>
            <w:hideMark/>
          </w:tcPr>
          <w:p w14:paraId="5795F605" w14:textId="4A76D713"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0,5</w:t>
            </w:r>
          </w:p>
        </w:tc>
        <w:tc>
          <w:tcPr>
            <w:tcW w:w="827" w:type="dxa"/>
            <w:tcBorders>
              <w:left w:val="nil"/>
              <w:right w:val="single" w:sz="8" w:space="0" w:color="D2232A"/>
            </w:tcBorders>
            <w:vAlign w:val="center"/>
          </w:tcPr>
          <w:p w14:paraId="5B5DC673" w14:textId="7E9663FA"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0,8</w:t>
            </w:r>
          </w:p>
        </w:tc>
      </w:tr>
      <w:tr w:rsidR="000A12C3" w:rsidRPr="009B61D3" w14:paraId="3FCD951D" w14:textId="37932170" w:rsidTr="007B70A2">
        <w:trPr>
          <w:trHeight w:val="312"/>
        </w:trPr>
        <w:tc>
          <w:tcPr>
            <w:tcW w:w="3094" w:type="dxa"/>
            <w:shd w:val="clear" w:color="auto" w:fill="D2232A"/>
            <w:noWrap/>
            <w:vAlign w:val="center"/>
            <w:hideMark/>
          </w:tcPr>
          <w:p w14:paraId="78FABBC5"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zdravstvene zaštite žena</w:t>
            </w:r>
          </w:p>
        </w:tc>
        <w:tc>
          <w:tcPr>
            <w:tcW w:w="765" w:type="dxa"/>
            <w:noWrap/>
            <w:vAlign w:val="center"/>
            <w:hideMark/>
          </w:tcPr>
          <w:p w14:paraId="46026988" w14:textId="45227E26"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1,2</w:t>
            </w:r>
          </w:p>
        </w:tc>
        <w:tc>
          <w:tcPr>
            <w:tcW w:w="765" w:type="dxa"/>
            <w:noWrap/>
            <w:vAlign w:val="center"/>
            <w:hideMark/>
          </w:tcPr>
          <w:p w14:paraId="65974EB6" w14:textId="71712631"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1,2</w:t>
            </w:r>
          </w:p>
        </w:tc>
        <w:tc>
          <w:tcPr>
            <w:tcW w:w="824" w:type="dxa"/>
            <w:tcBorders>
              <w:top w:val="single" w:sz="8" w:space="0" w:color="F3CFC1"/>
              <w:bottom w:val="single" w:sz="8" w:space="0" w:color="F3CFC1"/>
              <w:right w:val="nil"/>
            </w:tcBorders>
            <w:noWrap/>
            <w:vAlign w:val="center"/>
            <w:hideMark/>
          </w:tcPr>
          <w:p w14:paraId="78B380D1" w14:textId="672FD688"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1,2</w:t>
            </w:r>
          </w:p>
        </w:tc>
        <w:tc>
          <w:tcPr>
            <w:tcW w:w="738" w:type="dxa"/>
            <w:tcBorders>
              <w:top w:val="single" w:sz="8" w:space="0" w:color="F3CFC1"/>
              <w:left w:val="nil"/>
              <w:bottom w:val="single" w:sz="8" w:space="0" w:color="F3CFC1"/>
              <w:right w:val="single" w:sz="8" w:space="0" w:color="D2232A"/>
            </w:tcBorders>
            <w:vAlign w:val="center"/>
          </w:tcPr>
          <w:p w14:paraId="10B55023" w14:textId="62C5F134" w:rsidR="00840B22" w:rsidRPr="009B61D3" w:rsidRDefault="0081158E" w:rsidP="00281604">
            <w:pPr>
              <w:spacing w:after="0" w:line="240" w:lineRule="auto"/>
              <w:jc w:val="right"/>
              <w:rPr>
                <w:rFonts w:ascii="Calibri" w:hAnsi="Calibri" w:cs="Calibri"/>
                <w:color w:val="000000"/>
                <w:szCs w:val="18"/>
              </w:rPr>
            </w:pPr>
            <w:r>
              <w:rPr>
                <w:rFonts w:ascii="Calibri" w:hAnsi="Calibri" w:cs="Calibri"/>
                <w:color w:val="000000"/>
                <w:szCs w:val="18"/>
              </w:rPr>
              <w:t>1,3</w:t>
            </w:r>
          </w:p>
        </w:tc>
        <w:tc>
          <w:tcPr>
            <w:tcW w:w="735" w:type="dxa"/>
            <w:tcBorders>
              <w:left w:val="single" w:sz="8" w:space="0" w:color="D2232A"/>
            </w:tcBorders>
            <w:noWrap/>
            <w:vAlign w:val="center"/>
            <w:hideMark/>
          </w:tcPr>
          <w:p w14:paraId="1961D6ED" w14:textId="72E32FFF"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1,1</w:t>
            </w:r>
          </w:p>
        </w:tc>
        <w:tc>
          <w:tcPr>
            <w:tcW w:w="765" w:type="dxa"/>
            <w:noWrap/>
            <w:vAlign w:val="center"/>
            <w:hideMark/>
          </w:tcPr>
          <w:p w14:paraId="597F0575" w14:textId="22507468"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1,1</w:t>
            </w:r>
          </w:p>
        </w:tc>
        <w:tc>
          <w:tcPr>
            <w:tcW w:w="765" w:type="dxa"/>
            <w:tcBorders>
              <w:top w:val="single" w:sz="8" w:space="0" w:color="F3CFC1"/>
              <w:bottom w:val="single" w:sz="8" w:space="0" w:color="F3CFC1"/>
              <w:right w:val="nil"/>
            </w:tcBorders>
            <w:noWrap/>
            <w:vAlign w:val="center"/>
            <w:hideMark/>
          </w:tcPr>
          <w:p w14:paraId="79013EA7" w14:textId="0BB73AFF"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1,3</w:t>
            </w:r>
          </w:p>
        </w:tc>
        <w:tc>
          <w:tcPr>
            <w:tcW w:w="827" w:type="dxa"/>
            <w:tcBorders>
              <w:left w:val="nil"/>
              <w:right w:val="single" w:sz="8" w:space="0" w:color="D2232A"/>
            </w:tcBorders>
            <w:vAlign w:val="center"/>
          </w:tcPr>
          <w:p w14:paraId="2276A29A" w14:textId="4D72D95D"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1,6</w:t>
            </w:r>
          </w:p>
        </w:tc>
      </w:tr>
      <w:tr w:rsidR="000A12C3" w:rsidRPr="009B61D3" w14:paraId="3AADEF6E" w14:textId="3C48AA6A" w:rsidTr="007B70A2">
        <w:trPr>
          <w:trHeight w:val="312"/>
        </w:trPr>
        <w:tc>
          <w:tcPr>
            <w:tcW w:w="3094" w:type="dxa"/>
            <w:shd w:val="clear" w:color="auto" w:fill="D2232A"/>
            <w:noWrap/>
            <w:vAlign w:val="center"/>
            <w:hideMark/>
          </w:tcPr>
          <w:p w14:paraId="4CDE4A88"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hitne medicine</w:t>
            </w:r>
          </w:p>
        </w:tc>
        <w:tc>
          <w:tcPr>
            <w:tcW w:w="765" w:type="dxa"/>
            <w:noWrap/>
            <w:vAlign w:val="center"/>
            <w:hideMark/>
          </w:tcPr>
          <w:p w14:paraId="06DE2AD0" w14:textId="66074595"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4,9</w:t>
            </w:r>
          </w:p>
        </w:tc>
        <w:tc>
          <w:tcPr>
            <w:tcW w:w="765" w:type="dxa"/>
            <w:noWrap/>
            <w:vAlign w:val="center"/>
            <w:hideMark/>
          </w:tcPr>
          <w:p w14:paraId="141D1427" w14:textId="24A0DE04"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5,4</w:t>
            </w:r>
          </w:p>
        </w:tc>
        <w:tc>
          <w:tcPr>
            <w:tcW w:w="824" w:type="dxa"/>
            <w:tcBorders>
              <w:top w:val="single" w:sz="8" w:space="0" w:color="F3CFC1"/>
              <w:bottom w:val="single" w:sz="8" w:space="0" w:color="F3CFC1"/>
              <w:right w:val="nil"/>
            </w:tcBorders>
            <w:noWrap/>
            <w:vAlign w:val="center"/>
            <w:hideMark/>
          </w:tcPr>
          <w:p w14:paraId="3A9AE48D" w14:textId="15864C54"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5,7</w:t>
            </w:r>
          </w:p>
        </w:tc>
        <w:tc>
          <w:tcPr>
            <w:tcW w:w="738" w:type="dxa"/>
            <w:tcBorders>
              <w:top w:val="single" w:sz="8" w:space="0" w:color="F3CFC1"/>
              <w:left w:val="nil"/>
              <w:bottom w:val="single" w:sz="8" w:space="0" w:color="F3CFC1"/>
              <w:right w:val="single" w:sz="8" w:space="0" w:color="D2232A"/>
            </w:tcBorders>
            <w:vAlign w:val="center"/>
          </w:tcPr>
          <w:p w14:paraId="4535E05E" w14:textId="595F35AA" w:rsidR="00840B22" w:rsidRPr="009B61D3" w:rsidRDefault="0081158E" w:rsidP="00281604">
            <w:pPr>
              <w:spacing w:after="0" w:line="240" w:lineRule="auto"/>
              <w:jc w:val="right"/>
              <w:rPr>
                <w:rFonts w:ascii="Calibri" w:hAnsi="Calibri" w:cs="Calibri"/>
                <w:color w:val="000000"/>
                <w:szCs w:val="18"/>
              </w:rPr>
            </w:pPr>
            <w:r>
              <w:rPr>
                <w:rFonts w:ascii="Calibri" w:hAnsi="Calibri" w:cs="Calibri"/>
                <w:color w:val="000000"/>
                <w:szCs w:val="18"/>
              </w:rPr>
              <w:t>5,7</w:t>
            </w:r>
          </w:p>
        </w:tc>
        <w:tc>
          <w:tcPr>
            <w:tcW w:w="735" w:type="dxa"/>
            <w:tcBorders>
              <w:left w:val="single" w:sz="8" w:space="0" w:color="D2232A"/>
            </w:tcBorders>
            <w:noWrap/>
            <w:vAlign w:val="center"/>
            <w:hideMark/>
          </w:tcPr>
          <w:p w14:paraId="633EBA88" w14:textId="16D003FE"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5,7</w:t>
            </w:r>
          </w:p>
        </w:tc>
        <w:tc>
          <w:tcPr>
            <w:tcW w:w="765" w:type="dxa"/>
            <w:noWrap/>
            <w:vAlign w:val="center"/>
            <w:hideMark/>
          </w:tcPr>
          <w:p w14:paraId="7886CDEB" w14:textId="42074CE3"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7,9</w:t>
            </w:r>
          </w:p>
        </w:tc>
        <w:tc>
          <w:tcPr>
            <w:tcW w:w="765" w:type="dxa"/>
            <w:tcBorders>
              <w:top w:val="single" w:sz="8" w:space="0" w:color="F3CFC1"/>
              <w:bottom w:val="single" w:sz="8" w:space="0" w:color="F3CFC1"/>
              <w:right w:val="nil"/>
            </w:tcBorders>
            <w:noWrap/>
            <w:vAlign w:val="center"/>
            <w:hideMark/>
          </w:tcPr>
          <w:p w14:paraId="66969A65" w14:textId="5CA52E21"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8,3</w:t>
            </w:r>
          </w:p>
        </w:tc>
        <w:tc>
          <w:tcPr>
            <w:tcW w:w="827" w:type="dxa"/>
            <w:tcBorders>
              <w:left w:val="nil"/>
              <w:right w:val="single" w:sz="8" w:space="0" w:color="D2232A"/>
            </w:tcBorders>
            <w:vAlign w:val="center"/>
          </w:tcPr>
          <w:p w14:paraId="4ABE6E63" w14:textId="76E06700"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8,3</w:t>
            </w:r>
          </w:p>
        </w:tc>
      </w:tr>
      <w:tr w:rsidR="000A12C3" w:rsidRPr="009B61D3" w14:paraId="23A55D7A" w14:textId="069DA98E" w:rsidTr="007B70A2">
        <w:trPr>
          <w:trHeight w:val="312"/>
        </w:trPr>
        <w:tc>
          <w:tcPr>
            <w:tcW w:w="3094" w:type="dxa"/>
            <w:shd w:val="clear" w:color="auto" w:fill="D2232A"/>
            <w:noWrap/>
            <w:vAlign w:val="center"/>
            <w:hideMark/>
          </w:tcPr>
          <w:p w14:paraId="3DC72787"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za zaštitu i liječenje usta i zubi</w:t>
            </w:r>
          </w:p>
        </w:tc>
        <w:tc>
          <w:tcPr>
            <w:tcW w:w="765" w:type="dxa"/>
            <w:noWrap/>
            <w:vAlign w:val="center"/>
            <w:hideMark/>
          </w:tcPr>
          <w:p w14:paraId="1C443458" w14:textId="749AF4E2"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4,6</w:t>
            </w:r>
          </w:p>
        </w:tc>
        <w:tc>
          <w:tcPr>
            <w:tcW w:w="765" w:type="dxa"/>
            <w:noWrap/>
            <w:vAlign w:val="center"/>
            <w:hideMark/>
          </w:tcPr>
          <w:p w14:paraId="7F98E6B0" w14:textId="6D9376AB"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5,0</w:t>
            </w:r>
          </w:p>
        </w:tc>
        <w:tc>
          <w:tcPr>
            <w:tcW w:w="824" w:type="dxa"/>
            <w:tcBorders>
              <w:top w:val="single" w:sz="8" w:space="0" w:color="F3CFC1"/>
              <w:bottom w:val="single" w:sz="8" w:space="0" w:color="F3CFC1"/>
              <w:right w:val="nil"/>
            </w:tcBorders>
            <w:noWrap/>
            <w:vAlign w:val="center"/>
            <w:hideMark/>
          </w:tcPr>
          <w:p w14:paraId="27D6DC29" w14:textId="212F3149"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4,8</w:t>
            </w:r>
          </w:p>
        </w:tc>
        <w:tc>
          <w:tcPr>
            <w:tcW w:w="738" w:type="dxa"/>
            <w:tcBorders>
              <w:top w:val="single" w:sz="8" w:space="0" w:color="F3CFC1"/>
              <w:left w:val="nil"/>
              <w:bottom w:val="single" w:sz="8" w:space="0" w:color="F3CFC1"/>
              <w:right w:val="single" w:sz="8" w:space="0" w:color="D2232A"/>
            </w:tcBorders>
            <w:vAlign w:val="center"/>
          </w:tcPr>
          <w:p w14:paraId="337E136D" w14:textId="23376B06" w:rsidR="00840B22" w:rsidRPr="009B61D3" w:rsidRDefault="0081158E" w:rsidP="00281604">
            <w:pPr>
              <w:spacing w:after="0" w:line="240" w:lineRule="auto"/>
              <w:jc w:val="right"/>
              <w:rPr>
                <w:rFonts w:ascii="Calibri" w:hAnsi="Calibri" w:cs="Calibri"/>
                <w:color w:val="000000"/>
                <w:szCs w:val="18"/>
              </w:rPr>
            </w:pPr>
            <w:r>
              <w:rPr>
                <w:rFonts w:ascii="Calibri" w:hAnsi="Calibri" w:cs="Calibri"/>
                <w:color w:val="000000"/>
                <w:szCs w:val="18"/>
              </w:rPr>
              <w:t>4,9</w:t>
            </w:r>
          </w:p>
        </w:tc>
        <w:tc>
          <w:tcPr>
            <w:tcW w:w="735" w:type="dxa"/>
            <w:tcBorders>
              <w:left w:val="single" w:sz="8" w:space="0" w:color="D2232A"/>
            </w:tcBorders>
            <w:noWrap/>
            <w:vAlign w:val="center"/>
            <w:hideMark/>
          </w:tcPr>
          <w:p w14:paraId="78C8CBDC" w14:textId="3EED5FB9"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4,7</w:t>
            </w:r>
          </w:p>
        </w:tc>
        <w:tc>
          <w:tcPr>
            <w:tcW w:w="765" w:type="dxa"/>
            <w:noWrap/>
            <w:vAlign w:val="center"/>
            <w:hideMark/>
          </w:tcPr>
          <w:p w14:paraId="4A41B540" w14:textId="15CAAC1E"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4,8</w:t>
            </w:r>
          </w:p>
        </w:tc>
        <w:tc>
          <w:tcPr>
            <w:tcW w:w="765" w:type="dxa"/>
            <w:tcBorders>
              <w:top w:val="single" w:sz="8" w:space="0" w:color="F3CFC1"/>
              <w:bottom w:val="single" w:sz="8" w:space="0" w:color="F3CFC1"/>
              <w:right w:val="nil"/>
            </w:tcBorders>
            <w:noWrap/>
            <w:vAlign w:val="center"/>
            <w:hideMark/>
          </w:tcPr>
          <w:p w14:paraId="55D33BAE" w14:textId="10BAD557"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4,7</w:t>
            </w:r>
          </w:p>
        </w:tc>
        <w:tc>
          <w:tcPr>
            <w:tcW w:w="827" w:type="dxa"/>
            <w:tcBorders>
              <w:left w:val="nil"/>
              <w:right w:val="single" w:sz="8" w:space="0" w:color="D2232A"/>
            </w:tcBorders>
            <w:vAlign w:val="center"/>
          </w:tcPr>
          <w:p w14:paraId="697E5B0A" w14:textId="17B469ED"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4,5</w:t>
            </w:r>
          </w:p>
        </w:tc>
      </w:tr>
      <w:tr w:rsidR="000A12C3" w:rsidRPr="009B61D3" w14:paraId="49708B5A" w14:textId="2F778027" w:rsidTr="007B70A2">
        <w:trPr>
          <w:trHeight w:val="312"/>
        </w:trPr>
        <w:tc>
          <w:tcPr>
            <w:tcW w:w="3094" w:type="dxa"/>
            <w:shd w:val="clear" w:color="auto" w:fill="D2232A"/>
            <w:noWrap/>
            <w:vAlign w:val="center"/>
            <w:hideMark/>
          </w:tcPr>
          <w:p w14:paraId="19FFCDF1"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Djelatnost zdravstvene zaštite školske djece, mladeži i studenata</w:t>
            </w:r>
          </w:p>
        </w:tc>
        <w:tc>
          <w:tcPr>
            <w:tcW w:w="765" w:type="dxa"/>
            <w:noWrap/>
            <w:vAlign w:val="center"/>
            <w:hideMark/>
          </w:tcPr>
          <w:p w14:paraId="058C4802" w14:textId="6C57B439"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n/a</w:t>
            </w:r>
          </w:p>
        </w:tc>
        <w:tc>
          <w:tcPr>
            <w:tcW w:w="765" w:type="dxa"/>
            <w:noWrap/>
            <w:vAlign w:val="center"/>
            <w:hideMark/>
          </w:tcPr>
          <w:p w14:paraId="71B323B4" w14:textId="41591127"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n/a</w:t>
            </w:r>
          </w:p>
        </w:tc>
        <w:tc>
          <w:tcPr>
            <w:tcW w:w="824" w:type="dxa"/>
            <w:tcBorders>
              <w:top w:val="single" w:sz="8" w:space="0" w:color="F3CFC1"/>
              <w:bottom w:val="single" w:sz="8" w:space="0" w:color="F3CFC1"/>
              <w:right w:val="nil"/>
            </w:tcBorders>
            <w:noWrap/>
            <w:vAlign w:val="center"/>
            <w:hideMark/>
          </w:tcPr>
          <w:p w14:paraId="006DAC54" w14:textId="76E19FD8"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n/a</w:t>
            </w:r>
          </w:p>
        </w:tc>
        <w:tc>
          <w:tcPr>
            <w:tcW w:w="738" w:type="dxa"/>
            <w:tcBorders>
              <w:top w:val="single" w:sz="8" w:space="0" w:color="F3CFC1"/>
              <w:left w:val="nil"/>
              <w:bottom w:val="single" w:sz="8" w:space="0" w:color="F3CFC1"/>
              <w:right w:val="single" w:sz="8" w:space="0" w:color="D2232A"/>
            </w:tcBorders>
            <w:vAlign w:val="center"/>
          </w:tcPr>
          <w:p w14:paraId="756E3E1F" w14:textId="675E6220" w:rsidR="00840B22" w:rsidRPr="009B61D3" w:rsidRDefault="0081158E" w:rsidP="00281604">
            <w:pPr>
              <w:spacing w:after="0" w:line="240" w:lineRule="auto"/>
              <w:jc w:val="right"/>
              <w:rPr>
                <w:rFonts w:ascii="Calibri" w:hAnsi="Calibri" w:cs="Calibri"/>
                <w:color w:val="000000"/>
                <w:szCs w:val="18"/>
              </w:rPr>
            </w:pPr>
            <w:r>
              <w:rPr>
                <w:rFonts w:ascii="Calibri" w:hAnsi="Calibri" w:cs="Calibri"/>
                <w:color w:val="000000"/>
                <w:szCs w:val="18"/>
              </w:rPr>
              <w:t>n/a</w:t>
            </w:r>
          </w:p>
        </w:tc>
        <w:tc>
          <w:tcPr>
            <w:tcW w:w="735" w:type="dxa"/>
            <w:tcBorders>
              <w:left w:val="single" w:sz="8" w:space="0" w:color="D2232A"/>
            </w:tcBorders>
            <w:noWrap/>
            <w:vAlign w:val="center"/>
            <w:hideMark/>
          </w:tcPr>
          <w:p w14:paraId="0A78B06A" w14:textId="06BC0090"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n/a</w:t>
            </w:r>
          </w:p>
        </w:tc>
        <w:tc>
          <w:tcPr>
            <w:tcW w:w="765" w:type="dxa"/>
            <w:noWrap/>
            <w:vAlign w:val="center"/>
            <w:hideMark/>
          </w:tcPr>
          <w:p w14:paraId="53149831" w14:textId="3493C089"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n/a</w:t>
            </w:r>
          </w:p>
        </w:tc>
        <w:tc>
          <w:tcPr>
            <w:tcW w:w="765" w:type="dxa"/>
            <w:tcBorders>
              <w:top w:val="single" w:sz="8" w:space="0" w:color="F3CFC1"/>
              <w:bottom w:val="single" w:sz="8" w:space="0" w:color="F3CFC1"/>
              <w:right w:val="nil"/>
            </w:tcBorders>
            <w:noWrap/>
            <w:vAlign w:val="center"/>
            <w:hideMark/>
          </w:tcPr>
          <w:p w14:paraId="581F724B" w14:textId="0885E2AC"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n/a</w:t>
            </w:r>
          </w:p>
        </w:tc>
        <w:tc>
          <w:tcPr>
            <w:tcW w:w="827" w:type="dxa"/>
            <w:tcBorders>
              <w:left w:val="nil"/>
              <w:right w:val="single" w:sz="8" w:space="0" w:color="D2232A"/>
            </w:tcBorders>
            <w:vAlign w:val="center"/>
          </w:tcPr>
          <w:p w14:paraId="167C12C4" w14:textId="2AA54121"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n/a</w:t>
            </w:r>
          </w:p>
        </w:tc>
      </w:tr>
      <w:tr w:rsidR="000A12C3" w:rsidRPr="009B61D3" w14:paraId="2FE00360" w14:textId="30E89E54" w:rsidTr="007B70A2">
        <w:trPr>
          <w:trHeight w:val="312"/>
        </w:trPr>
        <w:tc>
          <w:tcPr>
            <w:tcW w:w="3094" w:type="dxa"/>
            <w:shd w:val="clear" w:color="auto" w:fill="D2232A"/>
            <w:noWrap/>
            <w:vAlign w:val="center"/>
            <w:hideMark/>
          </w:tcPr>
          <w:p w14:paraId="7D9EC8F1"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Zdravstvena njega u kući</w:t>
            </w:r>
          </w:p>
        </w:tc>
        <w:tc>
          <w:tcPr>
            <w:tcW w:w="765" w:type="dxa"/>
            <w:tcBorders>
              <w:bottom w:val="single" w:sz="8" w:space="0" w:color="F3CFC1"/>
            </w:tcBorders>
            <w:noWrap/>
            <w:vAlign w:val="center"/>
            <w:hideMark/>
          </w:tcPr>
          <w:p w14:paraId="4F8FD02B" w14:textId="3F63E926"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2,8</w:t>
            </w:r>
          </w:p>
        </w:tc>
        <w:tc>
          <w:tcPr>
            <w:tcW w:w="765" w:type="dxa"/>
            <w:tcBorders>
              <w:bottom w:val="single" w:sz="8" w:space="0" w:color="F3CFC1"/>
            </w:tcBorders>
            <w:noWrap/>
            <w:vAlign w:val="center"/>
            <w:hideMark/>
          </w:tcPr>
          <w:p w14:paraId="5B31DCF5" w14:textId="0F546EA1"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2,9</w:t>
            </w:r>
          </w:p>
        </w:tc>
        <w:tc>
          <w:tcPr>
            <w:tcW w:w="824" w:type="dxa"/>
            <w:tcBorders>
              <w:top w:val="single" w:sz="8" w:space="0" w:color="F3CFC1"/>
              <w:bottom w:val="single" w:sz="8" w:space="0" w:color="F3CFC1"/>
              <w:right w:val="nil"/>
            </w:tcBorders>
            <w:noWrap/>
            <w:vAlign w:val="center"/>
            <w:hideMark/>
          </w:tcPr>
          <w:p w14:paraId="22F68CF4" w14:textId="5E22E8E3"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3,1</w:t>
            </w:r>
          </w:p>
        </w:tc>
        <w:tc>
          <w:tcPr>
            <w:tcW w:w="738" w:type="dxa"/>
            <w:tcBorders>
              <w:top w:val="single" w:sz="8" w:space="0" w:color="F3CFC1"/>
              <w:left w:val="nil"/>
              <w:bottom w:val="single" w:sz="8" w:space="0" w:color="F3CFC1"/>
              <w:right w:val="single" w:sz="8" w:space="0" w:color="D2232A"/>
            </w:tcBorders>
            <w:vAlign w:val="center"/>
          </w:tcPr>
          <w:p w14:paraId="64A5B0A7" w14:textId="661655E6" w:rsidR="00840B22" w:rsidRPr="009B61D3" w:rsidRDefault="0081158E" w:rsidP="00281604">
            <w:pPr>
              <w:spacing w:after="0" w:line="240" w:lineRule="auto"/>
              <w:jc w:val="right"/>
              <w:rPr>
                <w:rFonts w:ascii="Calibri" w:hAnsi="Calibri" w:cs="Calibri"/>
                <w:color w:val="000000"/>
                <w:szCs w:val="18"/>
              </w:rPr>
            </w:pPr>
            <w:r>
              <w:rPr>
                <w:rFonts w:ascii="Calibri" w:hAnsi="Calibri" w:cs="Calibri"/>
                <w:color w:val="000000"/>
                <w:szCs w:val="18"/>
              </w:rPr>
              <w:t>2,8</w:t>
            </w:r>
          </w:p>
        </w:tc>
        <w:tc>
          <w:tcPr>
            <w:tcW w:w="735" w:type="dxa"/>
            <w:tcBorders>
              <w:left w:val="single" w:sz="8" w:space="0" w:color="D2232A"/>
              <w:bottom w:val="single" w:sz="8" w:space="0" w:color="F3CFC1"/>
            </w:tcBorders>
            <w:noWrap/>
            <w:vAlign w:val="center"/>
            <w:hideMark/>
          </w:tcPr>
          <w:p w14:paraId="678A4055" w14:textId="215212BD"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4,0</w:t>
            </w:r>
          </w:p>
        </w:tc>
        <w:tc>
          <w:tcPr>
            <w:tcW w:w="765" w:type="dxa"/>
            <w:tcBorders>
              <w:bottom w:val="single" w:sz="8" w:space="0" w:color="F3CFC1"/>
            </w:tcBorders>
            <w:noWrap/>
            <w:vAlign w:val="center"/>
            <w:hideMark/>
          </w:tcPr>
          <w:p w14:paraId="3DD2F8F6" w14:textId="188D3F43"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7,0</w:t>
            </w:r>
          </w:p>
        </w:tc>
        <w:tc>
          <w:tcPr>
            <w:tcW w:w="765" w:type="dxa"/>
            <w:tcBorders>
              <w:top w:val="single" w:sz="8" w:space="0" w:color="F3CFC1"/>
              <w:bottom w:val="single" w:sz="8" w:space="0" w:color="F3CFC1"/>
              <w:right w:val="nil"/>
            </w:tcBorders>
            <w:noWrap/>
            <w:vAlign w:val="center"/>
            <w:hideMark/>
          </w:tcPr>
          <w:p w14:paraId="61A5C769" w14:textId="61B845AA"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3,7</w:t>
            </w:r>
          </w:p>
        </w:tc>
        <w:tc>
          <w:tcPr>
            <w:tcW w:w="827" w:type="dxa"/>
            <w:tcBorders>
              <w:left w:val="nil"/>
              <w:bottom w:val="single" w:sz="8" w:space="0" w:color="F3CFC1"/>
              <w:right w:val="single" w:sz="8" w:space="0" w:color="D2232A"/>
            </w:tcBorders>
            <w:vAlign w:val="center"/>
          </w:tcPr>
          <w:p w14:paraId="670ECE09" w14:textId="4F7AA65D"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4,7</w:t>
            </w:r>
          </w:p>
        </w:tc>
      </w:tr>
      <w:tr w:rsidR="000A12C3" w:rsidRPr="009B61D3" w14:paraId="59D7E81C" w14:textId="3E032116" w:rsidTr="007B70A2">
        <w:trPr>
          <w:trHeight w:val="312"/>
        </w:trPr>
        <w:tc>
          <w:tcPr>
            <w:tcW w:w="3094" w:type="dxa"/>
            <w:tcBorders>
              <w:bottom w:val="nil"/>
            </w:tcBorders>
            <w:shd w:val="clear" w:color="auto" w:fill="D2232A"/>
            <w:noWrap/>
            <w:vAlign w:val="center"/>
            <w:hideMark/>
          </w:tcPr>
          <w:p w14:paraId="3FEE59DC" w14:textId="77777777" w:rsidR="00840B22" w:rsidRPr="009B61D3" w:rsidRDefault="00840B22" w:rsidP="009B61D3">
            <w:pPr>
              <w:spacing w:after="0" w:line="240" w:lineRule="auto"/>
              <w:rPr>
                <w:rFonts w:eastAsia="Times New Roman" w:cstheme="minorHAnsi"/>
                <w:color w:val="FFFFFF" w:themeColor="background1"/>
                <w:szCs w:val="18"/>
                <w:lang w:eastAsia="hr-HR"/>
              </w:rPr>
            </w:pPr>
            <w:r w:rsidRPr="009B61D3">
              <w:rPr>
                <w:rFonts w:eastAsia="Times New Roman" w:cstheme="minorHAnsi"/>
                <w:color w:val="FFFFFF" w:themeColor="background1"/>
                <w:szCs w:val="18"/>
                <w:lang w:eastAsia="hr-HR"/>
              </w:rPr>
              <w:t>Patronažna djelatnost</w:t>
            </w:r>
          </w:p>
        </w:tc>
        <w:tc>
          <w:tcPr>
            <w:tcW w:w="765" w:type="dxa"/>
            <w:tcBorders>
              <w:top w:val="single" w:sz="8" w:space="0" w:color="F3CFC1"/>
              <w:bottom w:val="single" w:sz="4" w:space="0" w:color="D2232A"/>
            </w:tcBorders>
            <w:noWrap/>
            <w:vAlign w:val="center"/>
            <w:hideMark/>
          </w:tcPr>
          <w:p w14:paraId="35FA1A8C" w14:textId="36E00EB7"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2,1</w:t>
            </w:r>
          </w:p>
        </w:tc>
        <w:tc>
          <w:tcPr>
            <w:tcW w:w="765" w:type="dxa"/>
            <w:tcBorders>
              <w:top w:val="single" w:sz="8" w:space="0" w:color="F3CFC1"/>
              <w:bottom w:val="single" w:sz="4" w:space="0" w:color="D2232A"/>
            </w:tcBorders>
            <w:noWrap/>
            <w:vAlign w:val="center"/>
            <w:hideMark/>
          </w:tcPr>
          <w:p w14:paraId="56D94D97" w14:textId="64E10D26"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2,0</w:t>
            </w:r>
          </w:p>
        </w:tc>
        <w:tc>
          <w:tcPr>
            <w:tcW w:w="824" w:type="dxa"/>
            <w:tcBorders>
              <w:top w:val="single" w:sz="8" w:space="0" w:color="F3CFC1"/>
              <w:bottom w:val="single" w:sz="4" w:space="0" w:color="D2232A"/>
              <w:right w:val="nil"/>
            </w:tcBorders>
            <w:noWrap/>
            <w:vAlign w:val="center"/>
            <w:hideMark/>
          </w:tcPr>
          <w:p w14:paraId="698286CD" w14:textId="43EC5048"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2,1</w:t>
            </w:r>
          </w:p>
        </w:tc>
        <w:tc>
          <w:tcPr>
            <w:tcW w:w="738" w:type="dxa"/>
            <w:tcBorders>
              <w:top w:val="single" w:sz="8" w:space="0" w:color="F3CFC1"/>
              <w:left w:val="nil"/>
              <w:bottom w:val="single" w:sz="4" w:space="0" w:color="D2232A"/>
              <w:right w:val="single" w:sz="8" w:space="0" w:color="D2232A"/>
            </w:tcBorders>
            <w:vAlign w:val="center"/>
          </w:tcPr>
          <w:p w14:paraId="43B913E7" w14:textId="7AB8DA1D" w:rsidR="00840B22" w:rsidRPr="009B61D3" w:rsidRDefault="0081158E" w:rsidP="00281604">
            <w:pPr>
              <w:spacing w:after="0" w:line="240" w:lineRule="auto"/>
              <w:jc w:val="right"/>
              <w:rPr>
                <w:rFonts w:ascii="Calibri" w:hAnsi="Calibri" w:cs="Calibri"/>
                <w:color w:val="000000"/>
                <w:szCs w:val="18"/>
              </w:rPr>
            </w:pPr>
            <w:r>
              <w:rPr>
                <w:rFonts w:ascii="Calibri" w:hAnsi="Calibri" w:cs="Calibri"/>
                <w:color w:val="000000"/>
                <w:szCs w:val="18"/>
              </w:rPr>
              <w:t>2,0</w:t>
            </w:r>
          </w:p>
        </w:tc>
        <w:tc>
          <w:tcPr>
            <w:tcW w:w="735" w:type="dxa"/>
            <w:tcBorders>
              <w:top w:val="single" w:sz="8" w:space="0" w:color="F3CFC1"/>
              <w:left w:val="single" w:sz="8" w:space="0" w:color="D2232A"/>
              <w:bottom w:val="single" w:sz="4" w:space="0" w:color="D2232A"/>
            </w:tcBorders>
            <w:noWrap/>
            <w:vAlign w:val="center"/>
            <w:hideMark/>
          </w:tcPr>
          <w:p w14:paraId="4F7A445B" w14:textId="4376E842"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2,0</w:t>
            </w:r>
          </w:p>
        </w:tc>
        <w:tc>
          <w:tcPr>
            <w:tcW w:w="765" w:type="dxa"/>
            <w:tcBorders>
              <w:top w:val="single" w:sz="8" w:space="0" w:color="F3CFC1"/>
              <w:bottom w:val="single" w:sz="4" w:space="0" w:color="D2232A"/>
            </w:tcBorders>
            <w:noWrap/>
            <w:vAlign w:val="center"/>
            <w:hideMark/>
          </w:tcPr>
          <w:p w14:paraId="209D47C1" w14:textId="1E128437"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2,0</w:t>
            </w:r>
          </w:p>
        </w:tc>
        <w:tc>
          <w:tcPr>
            <w:tcW w:w="765" w:type="dxa"/>
            <w:tcBorders>
              <w:top w:val="single" w:sz="8" w:space="0" w:color="F3CFC1"/>
              <w:bottom w:val="single" w:sz="4" w:space="0" w:color="D2232A"/>
              <w:right w:val="nil"/>
            </w:tcBorders>
            <w:noWrap/>
            <w:vAlign w:val="center"/>
            <w:hideMark/>
          </w:tcPr>
          <w:p w14:paraId="4CD671C8" w14:textId="528E9EE4" w:rsidR="00840B22" w:rsidRPr="009B61D3" w:rsidRDefault="00840B22" w:rsidP="00281604">
            <w:pPr>
              <w:spacing w:after="0" w:line="240" w:lineRule="auto"/>
              <w:jc w:val="right"/>
              <w:rPr>
                <w:rFonts w:eastAsia="Times New Roman" w:cstheme="minorHAnsi"/>
                <w:color w:val="000000"/>
                <w:szCs w:val="18"/>
                <w:lang w:eastAsia="hr-HR"/>
              </w:rPr>
            </w:pPr>
            <w:r w:rsidRPr="009B61D3">
              <w:rPr>
                <w:rFonts w:ascii="Calibri" w:hAnsi="Calibri" w:cs="Calibri"/>
                <w:color w:val="000000"/>
                <w:szCs w:val="18"/>
              </w:rPr>
              <w:t>2,0</w:t>
            </w:r>
          </w:p>
        </w:tc>
        <w:tc>
          <w:tcPr>
            <w:tcW w:w="827" w:type="dxa"/>
            <w:tcBorders>
              <w:top w:val="single" w:sz="8" w:space="0" w:color="F3CFC1"/>
              <w:left w:val="nil"/>
              <w:bottom w:val="single" w:sz="4" w:space="0" w:color="D2232A"/>
              <w:right w:val="single" w:sz="8" w:space="0" w:color="D2232A"/>
            </w:tcBorders>
            <w:vAlign w:val="center"/>
          </w:tcPr>
          <w:p w14:paraId="19191F76" w14:textId="4D16D7B2" w:rsidR="00840B22" w:rsidRPr="009B61D3" w:rsidRDefault="00D947C8" w:rsidP="00281604">
            <w:pPr>
              <w:spacing w:after="0" w:line="240" w:lineRule="auto"/>
              <w:jc w:val="right"/>
              <w:rPr>
                <w:rFonts w:ascii="Calibri" w:hAnsi="Calibri" w:cs="Calibri"/>
                <w:color w:val="000000"/>
                <w:szCs w:val="18"/>
              </w:rPr>
            </w:pPr>
            <w:r>
              <w:rPr>
                <w:rFonts w:ascii="Calibri" w:hAnsi="Calibri" w:cs="Calibri"/>
                <w:color w:val="000000"/>
                <w:szCs w:val="18"/>
              </w:rPr>
              <w:t>2,0</w:t>
            </w:r>
          </w:p>
        </w:tc>
      </w:tr>
    </w:tbl>
    <w:p w14:paraId="04B65C05" w14:textId="3D0FDE18" w:rsidR="008878A0" w:rsidRPr="00981189" w:rsidRDefault="008878A0" w:rsidP="00981189">
      <w:pPr>
        <w:autoSpaceDE w:val="0"/>
        <w:autoSpaceDN w:val="0"/>
        <w:adjustRightInd w:val="0"/>
        <w:spacing w:after="0" w:line="240" w:lineRule="auto"/>
        <w:rPr>
          <w:rFonts w:eastAsia="ArialNarrow" w:cstheme="minorHAnsi"/>
          <w:i/>
          <w:color w:val="ABABAB" w:themeColor="text1" w:themeTint="A6"/>
          <w:sz w:val="16"/>
          <w:szCs w:val="16"/>
        </w:rPr>
      </w:pPr>
      <w:r w:rsidRPr="00981189">
        <w:rPr>
          <w:rFonts w:eastAsia="ArialNarrow" w:cstheme="minorHAnsi"/>
          <w:i/>
          <w:color w:val="ABABAB" w:themeColor="text1" w:themeTint="A6"/>
          <w:sz w:val="16"/>
          <w:szCs w:val="16"/>
        </w:rPr>
        <w:t>Izvor: Hrvatski zdravstveno statistički ljetopis 201</w:t>
      </w:r>
      <w:r w:rsidR="00AD3198" w:rsidRPr="00981189">
        <w:rPr>
          <w:rFonts w:eastAsia="ArialNarrow" w:cstheme="minorHAnsi"/>
          <w:i/>
          <w:color w:val="ABABAB" w:themeColor="text1" w:themeTint="A6"/>
          <w:sz w:val="16"/>
          <w:szCs w:val="16"/>
        </w:rPr>
        <w:t>9</w:t>
      </w:r>
      <w:r w:rsidRPr="00981189">
        <w:rPr>
          <w:rFonts w:eastAsia="ArialNarrow" w:cstheme="minorHAnsi"/>
          <w:i/>
          <w:color w:val="ABABAB" w:themeColor="text1" w:themeTint="A6"/>
          <w:sz w:val="16"/>
          <w:szCs w:val="16"/>
        </w:rPr>
        <w:t>.</w:t>
      </w:r>
    </w:p>
    <w:p w14:paraId="24C811D1" w14:textId="77777777" w:rsidR="007B70A2" w:rsidRPr="007618B8" w:rsidRDefault="007B70A2" w:rsidP="003C2276">
      <w:pPr>
        <w:pStyle w:val="Izvor"/>
      </w:pPr>
    </w:p>
    <w:p w14:paraId="62F4D866" w14:textId="7910B938" w:rsidR="008878A0" w:rsidRDefault="008878A0" w:rsidP="183EFEC5">
      <w:pPr>
        <w:autoSpaceDE w:val="0"/>
        <w:autoSpaceDN w:val="0"/>
        <w:adjustRightInd w:val="0"/>
        <w:spacing w:after="0" w:line="240" w:lineRule="auto"/>
        <w:rPr>
          <w:rFonts w:eastAsia="ArialNarrow"/>
          <w:sz w:val="22"/>
          <w:szCs w:val="22"/>
        </w:rPr>
      </w:pPr>
      <w:r w:rsidRPr="183EFEC5">
        <w:rPr>
          <w:rFonts w:eastAsia="ArialNarrow"/>
        </w:rPr>
        <w:t>Broj radnika u djelatnosti zdravstvene zaštite dojenčadi i male djece na 10.000 stanovnika je 201</w:t>
      </w:r>
      <w:r w:rsidR="00D947C8">
        <w:rPr>
          <w:rFonts w:eastAsia="ArialNarrow"/>
        </w:rPr>
        <w:t>9</w:t>
      </w:r>
      <w:r w:rsidRPr="183EFEC5">
        <w:rPr>
          <w:rFonts w:eastAsia="ArialNarrow"/>
        </w:rPr>
        <w:t>. bio 0,</w:t>
      </w:r>
      <w:r w:rsidR="00D947C8">
        <w:rPr>
          <w:rFonts w:eastAsia="ArialNarrow"/>
        </w:rPr>
        <w:t>6</w:t>
      </w:r>
      <w:r w:rsidRPr="183EFEC5">
        <w:rPr>
          <w:rFonts w:eastAsia="ArialNarrow"/>
        </w:rPr>
        <w:t xml:space="preserve"> </w:t>
      </w:r>
      <w:r w:rsidR="008A352C" w:rsidRPr="183EFEC5">
        <w:rPr>
          <w:rFonts w:eastAsia="ArialNarrow"/>
        </w:rPr>
        <w:t>u</w:t>
      </w:r>
      <w:r w:rsidRPr="183EFEC5">
        <w:rPr>
          <w:rFonts w:eastAsia="ArialNarrow"/>
        </w:rPr>
        <w:t xml:space="preserve"> RH, a 0,3 </w:t>
      </w:r>
      <w:r w:rsidR="008A352C" w:rsidRPr="183EFEC5">
        <w:rPr>
          <w:rFonts w:eastAsia="ArialNarrow"/>
        </w:rPr>
        <w:t>u</w:t>
      </w:r>
      <w:r w:rsidRPr="183EFEC5">
        <w:rPr>
          <w:rFonts w:eastAsia="ArialNarrow"/>
        </w:rPr>
        <w:t xml:space="preserve"> KZŽ. Što se tiče broja </w:t>
      </w:r>
      <w:r w:rsidR="001C66AF">
        <w:rPr>
          <w:rFonts w:eastAsia="ArialNarrow"/>
        </w:rPr>
        <w:t>radnika</w:t>
      </w:r>
      <w:r w:rsidRPr="183EFEC5">
        <w:rPr>
          <w:rFonts w:eastAsia="ArialNarrow"/>
        </w:rPr>
        <w:t xml:space="preserve"> u području djelatnosti hitne medicine i zdravstvene njege u kući</w:t>
      </w:r>
      <w:r w:rsidR="008A352C" w:rsidRPr="183EFEC5">
        <w:rPr>
          <w:rFonts w:eastAsia="ArialNarrow"/>
        </w:rPr>
        <w:t>,</w:t>
      </w:r>
      <w:r w:rsidRPr="183EFEC5">
        <w:rPr>
          <w:rFonts w:eastAsia="ArialNarrow"/>
        </w:rPr>
        <w:t xml:space="preserve"> situacija</w:t>
      </w:r>
      <w:r w:rsidR="4F211BB9" w:rsidRPr="183EFEC5">
        <w:rPr>
          <w:rFonts w:eastAsia="ArialNarrow"/>
        </w:rPr>
        <w:t xml:space="preserve"> je</w:t>
      </w:r>
      <w:r w:rsidRPr="183EFEC5">
        <w:rPr>
          <w:rFonts w:eastAsia="ArialNarrow"/>
        </w:rPr>
        <w:t xml:space="preserve"> nešto drugačija. </w:t>
      </w:r>
      <w:r w:rsidR="008A352C" w:rsidRPr="183EFEC5">
        <w:rPr>
          <w:rFonts w:eastAsia="ArialNarrow"/>
        </w:rPr>
        <w:t xml:space="preserve">U </w:t>
      </w:r>
      <w:r w:rsidRPr="183EFEC5">
        <w:rPr>
          <w:rFonts w:eastAsia="ArialNarrow"/>
        </w:rPr>
        <w:t>Republi</w:t>
      </w:r>
      <w:r w:rsidR="008A352C" w:rsidRPr="183EFEC5">
        <w:rPr>
          <w:rFonts w:eastAsia="ArialNarrow"/>
        </w:rPr>
        <w:t>ci</w:t>
      </w:r>
      <w:r w:rsidRPr="183EFEC5">
        <w:rPr>
          <w:rFonts w:eastAsia="ArialNarrow"/>
        </w:rPr>
        <w:t xml:space="preserve"> Hrvatsk</w:t>
      </w:r>
      <w:r w:rsidR="008A352C" w:rsidRPr="183EFEC5">
        <w:rPr>
          <w:rFonts w:eastAsia="ArialNarrow"/>
        </w:rPr>
        <w:t>oj</w:t>
      </w:r>
      <w:r w:rsidR="0097021B" w:rsidRPr="183EFEC5">
        <w:rPr>
          <w:rFonts w:eastAsia="ArialNarrow"/>
        </w:rPr>
        <w:t xml:space="preserve"> </w:t>
      </w:r>
      <w:r w:rsidR="008A352C" w:rsidRPr="183EFEC5">
        <w:rPr>
          <w:rFonts w:eastAsia="ArialNarrow"/>
        </w:rPr>
        <w:t>201</w:t>
      </w:r>
      <w:r w:rsidR="00D947C8">
        <w:rPr>
          <w:rFonts w:eastAsia="ArialNarrow"/>
        </w:rPr>
        <w:t>9</w:t>
      </w:r>
      <w:r w:rsidR="008A352C" w:rsidRPr="183EFEC5">
        <w:rPr>
          <w:rFonts w:eastAsia="ArialNarrow"/>
        </w:rPr>
        <w:t xml:space="preserve">. je bilo 5,7 </w:t>
      </w:r>
      <w:r w:rsidRPr="183EFEC5">
        <w:rPr>
          <w:rFonts w:eastAsia="ArialNarrow"/>
        </w:rPr>
        <w:t xml:space="preserve">broj radnika u djelatnosti hitne </w:t>
      </w:r>
      <w:r w:rsidR="003B4058" w:rsidRPr="183EFEC5">
        <w:rPr>
          <w:rFonts w:eastAsia="ArialNarrow"/>
        </w:rPr>
        <w:t xml:space="preserve">medicine </w:t>
      </w:r>
      <w:r w:rsidR="008A352C" w:rsidRPr="183EFEC5">
        <w:rPr>
          <w:rFonts w:eastAsia="ArialNarrow"/>
        </w:rPr>
        <w:t>na 10.000 stanovnika</w:t>
      </w:r>
      <w:r w:rsidR="00AE037E" w:rsidRPr="183EFEC5">
        <w:rPr>
          <w:rFonts w:eastAsia="ArialNarrow"/>
        </w:rPr>
        <w:t>. U</w:t>
      </w:r>
      <w:r w:rsidRPr="183EFEC5">
        <w:rPr>
          <w:rFonts w:eastAsia="ArialNarrow"/>
        </w:rPr>
        <w:t xml:space="preserve"> Krapinsko-zagorskoj županiji </w:t>
      </w:r>
      <w:r w:rsidR="00AE037E" w:rsidRPr="183EFEC5">
        <w:rPr>
          <w:rFonts w:eastAsia="ArialNarrow"/>
        </w:rPr>
        <w:t xml:space="preserve">taj omjer je iznosio </w:t>
      </w:r>
      <w:r w:rsidR="003B4058" w:rsidRPr="183EFEC5">
        <w:rPr>
          <w:rFonts w:eastAsia="ArialNarrow"/>
        </w:rPr>
        <w:t>8,3</w:t>
      </w:r>
      <w:r w:rsidRPr="183EFEC5">
        <w:rPr>
          <w:rFonts w:eastAsia="ArialNarrow"/>
        </w:rPr>
        <w:t>.</w:t>
      </w:r>
    </w:p>
    <w:p w14:paraId="661E9DD0" w14:textId="77777777" w:rsidR="008878A0" w:rsidRDefault="008878A0" w:rsidP="00941871">
      <w:pPr>
        <w:autoSpaceDE w:val="0"/>
        <w:autoSpaceDN w:val="0"/>
        <w:adjustRightInd w:val="0"/>
        <w:spacing w:after="0" w:line="240" w:lineRule="auto"/>
        <w:rPr>
          <w:rFonts w:eastAsia="ArialNarrow" w:cstheme="minorHAnsi"/>
          <w:sz w:val="20"/>
        </w:rPr>
      </w:pPr>
    </w:p>
    <w:p w14:paraId="72624D97" w14:textId="35F39A6A" w:rsidR="009B61D3" w:rsidRDefault="009B61D3" w:rsidP="003E3F3C">
      <w:pPr>
        <w:pStyle w:val="Opisslike"/>
      </w:pPr>
      <w:r>
        <w:t xml:space="preserve">Grafikon </w:t>
      </w:r>
      <w:r w:rsidR="00201691">
        <w:t>14</w:t>
      </w:r>
      <w:r>
        <w:t xml:space="preserve">. </w:t>
      </w:r>
      <w:r w:rsidRPr="007F3C1C">
        <w:t xml:space="preserve">Broj zdravstvenih radnika na 10.000 stanovnika (Hitna medicina) u RH i Krapinsko-zagorskoj županiji 2016. </w:t>
      </w:r>
      <w:r w:rsidR="00033D36">
        <w:t>-</w:t>
      </w:r>
      <w:r w:rsidRPr="007F3C1C">
        <w:t xml:space="preserve"> 201</w:t>
      </w:r>
      <w:r w:rsidR="00176FD7">
        <w:t>9</w:t>
      </w:r>
      <w:r w:rsidRPr="007F3C1C">
        <w:t>.</w:t>
      </w:r>
    </w:p>
    <w:p w14:paraId="72CC5D68" w14:textId="1385AE9B" w:rsidR="008878A0" w:rsidRDefault="00176FD7" w:rsidP="00941871">
      <w:pPr>
        <w:autoSpaceDE w:val="0"/>
        <w:autoSpaceDN w:val="0"/>
        <w:adjustRightInd w:val="0"/>
        <w:spacing w:after="0" w:line="240" w:lineRule="auto"/>
        <w:rPr>
          <w:rFonts w:eastAsia="ArialNarrow" w:cstheme="minorHAnsi"/>
          <w:color w:val="0070C0"/>
          <w:sz w:val="20"/>
        </w:rPr>
      </w:pPr>
      <w:r>
        <w:rPr>
          <w:noProof/>
        </w:rPr>
        <w:drawing>
          <wp:inline distT="0" distB="0" distL="0" distR="0" wp14:anchorId="0A883CAA" wp14:editId="51AEF13B">
            <wp:extent cx="5836920" cy="2506980"/>
            <wp:effectExtent l="0" t="0" r="11430" b="7620"/>
            <wp:docPr id="35" name="Grafikon 35">
              <a:extLst xmlns:a="http://schemas.openxmlformats.org/drawingml/2006/main">
                <a:ext uri="{FF2B5EF4-FFF2-40B4-BE49-F238E27FC236}">
                  <a16:creationId xmlns:a16="http://schemas.microsoft.com/office/drawing/2014/main" id="{3BAC1472-C498-4210-BACE-1085D2CA873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252861FC" w14:textId="42976D59" w:rsidR="008878A0" w:rsidRPr="00981189" w:rsidRDefault="008878A0" w:rsidP="00981189">
      <w:pPr>
        <w:autoSpaceDE w:val="0"/>
        <w:autoSpaceDN w:val="0"/>
        <w:adjustRightInd w:val="0"/>
        <w:spacing w:after="0" w:line="240" w:lineRule="auto"/>
        <w:rPr>
          <w:rFonts w:eastAsia="ArialNarrow" w:cstheme="minorHAnsi"/>
          <w:i/>
          <w:color w:val="ABABAB" w:themeColor="text1" w:themeTint="A6"/>
          <w:sz w:val="16"/>
          <w:szCs w:val="16"/>
        </w:rPr>
      </w:pPr>
      <w:r w:rsidRPr="00981189">
        <w:rPr>
          <w:rFonts w:eastAsia="ArialNarrow" w:cstheme="minorHAnsi"/>
          <w:i/>
          <w:color w:val="ABABAB" w:themeColor="text1" w:themeTint="A6"/>
          <w:sz w:val="16"/>
          <w:szCs w:val="16"/>
        </w:rPr>
        <w:t xml:space="preserve">Izvor: </w:t>
      </w:r>
      <w:r w:rsidR="00176FD7" w:rsidRPr="00981189">
        <w:rPr>
          <w:rFonts w:eastAsia="ArialNarrow" w:cstheme="minorHAnsi"/>
          <w:i/>
          <w:color w:val="ABABAB" w:themeColor="text1" w:themeTint="A6"/>
          <w:sz w:val="16"/>
          <w:szCs w:val="16"/>
        </w:rPr>
        <w:t>Hrvatski zdravstveno-statistički ljetopis za 2019. – tablični podaci</w:t>
      </w:r>
    </w:p>
    <w:p w14:paraId="1943B620" w14:textId="77777777" w:rsidR="008878A0" w:rsidRDefault="008878A0" w:rsidP="00941871">
      <w:pPr>
        <w:autoSpaceDE w:val="0"/>
        <w:autoSpaceDN w:val="0"/>
        <w:adjustRightInd w:val="0"/>
        <w:spacing w:after="0" w:line="240" w:lineRule="auto"/>
        <w:rPr>
          <w:rFonts w:eastAsia="ArialNarrow" w:cstheme="minorHAnsi"/>
          <w:sz w:val="22"/>
        </w:rPr>
      </w:pPr>
    </w:p>
    <w:p w14:paraId="2612E886" w14:textId="56EE8D08" w:rsidR="007618B8" w:rsidRDefault="008878A0" w:rsidP="005D594A">
      <w:pPr>
        <w:autoSpaceDE w:val="0"/>
        <w:autoSpaceDN w:val="0"/>
        <w:adjustRightInd w:val="0"/>
        <w:spacing w:after="0" w:line="240" w:lineRule="auto"/>
        <w:rPr>
          <w:rFonts w:eastAsia="ArialNarrow" w:cstheme="minorHAnsi"/>
        </w:rPr>
      </w:pPr>
      <w:r>
        <w:rPr>
          <w:rFonts w:eastAsia="ArialNarrow" w:cstheme="minorHAnsi"/>
        </w:rPr>
        <w:t>Ista situacija ponavlja se i u djelatnosti zdravstvene njege u kući gdje je državni prosjek u 201</w:t>
      </w:r>
      <w:r w:rsidR="00A370CB">
        <w:rPr>
          <w:rFonts w:eastAsia="ArialNarrow" w:cstheme="minorHAnsi"/>
        </w:rPr>
        <w:t>9</w:t>
      </w:r>
      <w:r>
        <w:rPr>
          <w:rFonts w:eastAsia="ArialNarrow" w:cstheme="minorHAnsi"/>
        </w:rPr>
        <w:t xml:space="preserve">. godini </w:t>
      </w:r>
      <w:r w:rsidR="00A370CB">
        <w:rPr>
          <w:rFonts w:eastAsia="ArialNarrow" w:cstheme="minorHAnsi"/>
        </w:rPr>
        <w:t>2</w:t>
      </w:r>
      <w:r>
        <w:rPr>
          <w:rFonts w:eastAsia="ArialNarrow" w:cstheme="minorHAnsi"/>
        </w:rPr>
        <w:t>,</w:t>
      </w:r>
      <w:r w:rsidR="00A370CB">
        <w:rPr>
          <w:rFonts w:eastAsia="ArialNarrow" w:cstheme="minorHAnsi"/>
        </w:rPr>
        <w:t>8</w:t>
      </w:r>
      <w:r>
        <w:rPr>
          <w:rFonts w:eastAsia="ArialNarrow" w:cstheme="minorHAnsi"/>
        </w:rPr>
        <w:t xml:space="preserve"> dok je u Krapinsko-zagorskoj županiji </w:t>
      </w:r>
      <w:r w:rsidR="00A370CB">
        <w:rPr>
          <w:rFonts w:eastAsia="ArialNarrow" w:cstheme="minorHAnsi"/>
        </w:rPr>
        <w:t>4</w:t>
      </w:r>
      <w:r>
        <w:rPr>
          <w:rFonts w:eastAsia="ArialNarrow" w:cstheme="minorHAnsi"/>
        </w:rPr>
        <w:t>,</w:t>
      </w:r>
      <w:r w:rsidR="00FC758F">
        <w:rPr>
          <w:rFonts w:eastAsia="ArialNarrow" w:cstheme="minorHAnsi"/>
        </w:rPr>
        <w:t>7</w:t>
      </w:r>
      <w:r>
        <w:rPr>
          <w:rFonts w:eastAsia="ArialNarrow" w:cstheme="minorHAnsi"/>
        </w:rPr>
        <w:t xml:space="preserve">. Broj radnika u dijelu primarne zdravstvene zaštite na području Republike Hrvatske </w:t>
      </w:r>
      <w:r w:rsidR="00281604">
        <w:rPr>
          <w:rFonts w:eastAsia="ArialNarrow" w:cstheme="minorHAnsi"/>
        </w:rPr>
        <w:t>kontinuirano opada te</w:t>
      </w:r>
      <w:r w:rsidR="00BE1C34">
        <w:rPr>
          <w:rFonts w:eastAsia="ArialNarrow" w:cstheme="minorHAnsi"/>
        </w:rPr>
        <w:t xml:space="preserve"> je</w:t>
      </w:r>
      <w:r w:rsidR="00281604">
        <w:rPr>
          <w:rFonts w:eastAsia="ArialNarrow" w:cstheme="minorHAnsi"/>
        </w:rPr>
        <w:t xml:space="preserve"> u</w:t>
      </w:r>
      <w:r>
        <w:rPr>
          <w:rFonts w:eastAsia="ArialNarrow" w:cstheme="minorHAnsi"/>
        </w:rPr>
        <w:t xml:space="preserve"> 201</w:t>
      </w:r>
      <w:r w:rsidR="00A370CB">
        <w:rPr>
          <w:rFonts w:eastAsia="ArialNarrow" w:cstheme="minorHAnsi"/>
        </w:rPr>
        <w:t>9</w:t>
      </w:r>
      <w:r>
        <w:rPr>
          <w:rFonts w:eastAsia="ArialNarrow" w:cstheme="minorHAnsi"/>
        </w:rPr>
        <w:t xml:space="preserve">. godini </w:t>
      </w:r>
      <w:r w:rsidR="00281604">
        <w:rPr>
          <w:rFonts w:eastAsia="ArialNarrow" w:cstheme="minorHAnsi"/>
        </w:rPr>
        <w:t>manji</w:t>
      </w:r>
      <w:r w:rsidR="00A370CB">
        <w:rPr>
          <w:rFonts w:eastAsia="ArialNarrow" w:cstheme="minorHAnsi"/>
        </w:rPr>
        <w:t xml:space="preserve"> u odnosu na 2018. za 6,42%</w:t>
      </w:r>
      <w:r w:rsidR="00052864">
        <w:rPr>
          <w:rFonts w:eastAsia="ArialNarrow" w:cstheme="minorHAnsi"/>
        </w:rPr>
        <w:t xml:space="preserve"> odnosno s</w:t>
      </w:r>
      <w:r w:rsidR="00281604">
        <w:rPr>
          <w:rFonts w:eastAsia="ArialNarrow" w:cstheme="minorHAnsi"/>
        </w:rPr>
        <w:t xml:space="preserve">manjen je s </w:t>
      </w:r>
      <w:r w:rsidR="00052864">
        <w:rPr>
          <w:rFonts w:eastAsia="ArialNarrow" w:cstheme="minorHAnsi"/>
        </w:rPr>
        <w:t>2.568 na 2.413 zaposlen</w:t>
      </w:r>
      <w:r w:rsidR="00033D36">
        <w:rPr>
          <w:rFonts w:eastAsia="ArialNarrow" w:cstheme="minorHAnsi"/>
        </w:rPr>
        <w:t>ih</w:t>
      </w:r>
      <w:r w:rsidR="00052864">
        <w:rPr>
          <w:rFonts w:eastAsia="ArialNarrow" w:cstheme="minorHAnsi"/>
        </w:rPr>
        <w:t xml:space="preserve"> radnika</w:t>
      </w:r>
      <w:r>
        <w:rPr>
          <w:rFonts w:eastAsia="ArialNarrow" w:cstheme="minorHAnsi"/>
        </w:rPr>
        <w:t xml:space="preserve">. U Krapinsko-zagorskoj županiji broj radnika primarne zdravstvene zaštite </w:t>
      </w:r>
      <w:r w:rsidR="00052864">
        <w:rPr>
          <w:rFonts w:eastAsia="ArialNarrow" w:cstheme="minorHAnsi"/>
        </w:rPr>
        <w:t>u 2019. nije se mijenjao u odnosu na 201</w:t>
      </w:r>
      <w:r w:rsidR="00033D36">
        <w:rPr>
          <w:rFonts w:eastAsia="ArialNarrow" w:cstheme="minorHAnsi"/>
        </w:rPr>
        <w:t>8</w:t>
      </w:r>
      <w:r w:rsidR="00052864">
        <w:rPr>
          <w:rFonts w:eastAsia="ArialNarrow" w:cstheme="minorHAnsi"/>
        </w:rPr>
        <w:t>. godinu te i dalje iznosi 77</w:t>
      </w:r>
      <w:r>
        <w:rPr>
          <w:rFonts w:eastAsia="ArialNarrow" w:cstheme="minorHAnsi"/>
        </w:rPr>
        <w:t>.</w:t>
      </w:r>
    </w:p>
    <w:p w14:paraId="3E6F3565" w14:textId="77777777" w:rsidR="007618B8" w:rsidRDefault="007618B8" w:rsidP="007618B8">
      <w:pPr>
        <w:autoSpaceDE w:val="0"/>
        <w:autoSpaceDN w:val="0"/>
        <w:adjustRightInd w:val="0"/>
        <w:spacing w:after="0" w:line="240" w:lineRule="auto"/>
        <w:rPr>
          <w:rFonts w:eastAsia="ArialNarrow" w:cstheme="minorHAnsi"/>
        </w:rPr>
      </w:pPr>
    </w:p>
    <w:p w14:paraId="41DF92D7" w14:textId="120489D7" w:rsidR="009B61D3" w:rsidRDefault="009B61D3" w:rsidP="003E3F3C">
      <w:pPr>
        <w:pStyle w:val="Opisslike"/>
      </w:pPr>
      <w:r>
        <w:lastRenderedPageBreak/>
        <w:t xml:space="preserve">Grafikon </w:t>
      </w:r>
      <w:r w:rsidR="00201691">
        <w:t>15</w:t>
      </w:r>
      <w:r>
        <w:t xml:space="preserve">. </w:t>
      </w:r>
      <w:r w:rsidRPr="00C602B0">
        <w:t xml:space="preserve">Broj zdravstvenih radnika na 10.000 stanovnika (Primarna zdravstvena zaštita) u Republici Hrvatskoj i Krapinsko-zagorskoj županiji 2016. </w:t>
      </w:r>
      <w:r w:rsidR="00201691">
        <w:t>-</w:t>
      </w:r>
      <w:r w:rsidRPr="00C602B0">
        <w:t xml:space="preserve"> 201</w:t>
      </w:r>
      <w:r w:rsidR="00281604">
        <w:t>9</w:t>
      </w:r>
      <w:r w:rsidRPr="00C602B0">
        <w:t>.</w:t>
      </w:r>
    </w:p>
    <w:p w14:paraId="6B178127" w14:textId="537A17D7" w:rsidR="008878A0" w:rsidRDefault="00281604" w:rsidP="00941871">
      <w:pPr>
        <w:autoSpaceDE w:val="0"/>
        <w:autoSpaceDN w:val="0"/>
        <w:adjustRightInd w:val="0"/>
        <w:spacing w:after="0" w:line="240" w:lineRule="auto"/>
        <w:rPr>
          <w:rFonts w:eastAsia="ArialNarrow" w:cstheme="minorHAnsi"/>
          <w:color w:val="auto"/>
          <w:sz w:val="20"/>
        </w:rPr>
      </w:pPr>
      <w:r>
        <w:rPr>
          <w:noProof/>
        </w:rPr>
        <w:drawing>
          <wp:inline distT="0" distB="0" distL="0" distR="0" wp14:anchorId="0DF17364" wp14:editId="40303E04">
            <wp:extent cx="5928360" cy="2110740"/>
            <wp:effectExtent l="0" t="0" r="15240" b="3810"/>
            <wp:docPr id="40" name="Grafikon 40">
              <a:extLst xmlns:a="http://schemas.openxmlformats.org/drawingml/2006/main">
                <a:ext uri="{FF2B5EF4-FFF2-40B4-BE49-F238E27FC236}">
                  <a16:creationId xmlns:a16="http://schemas.microsoft.com/office/drawing/2014/main" id="{6B13E949-D670-4941-8F42-A27EEAFB8E5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FC2B5BE" w14:textId="13A3C0AD" w:rsidR="008878A0" w:rsidRPr="00981189" w:rsidRDefault="008878A0" w:rsidP="00981189">
      <w:pPr>
        <w:autoSpaceDE w:val="0"/>
        <w:autoSpaceDN w:val="0"/>
        <w:adjustRightInd w:val="0"/>
        <w:spacing w:after="0" w:line="240" w:lineRule="auto"/>
        <w:rPr>
          <w:rFonts w:eastAsia="ArialNarrow" w:cstheme="minorHAnsi"/>
          <w:i/>
          <w:color w:val="ABABAB" w:themeColor="text1" w:themeTint="A6"/>
          <w:sz w:val="16"/>
          <w:szCs w:val="16"/>
        </w:rPr>
      </w:pPr>
      <w:r w:rsidRPr="00981189">
        <w:rPr>
          <w:rFonts w:eastAsia="ArialNarrow" w:cstheme="minorHAnsi"/>
          <w:i/>
          <w:color w:val="ABABAB" w:themeColor="text1" w:themeTint="A6"/>
          <w:sz w:val="16"/>
          <w:szCs w:val="16"/>
        </w:rPr>
        <w:t xml:space="preserve">Izvor: </w:t>
      </w:r>
      <w:r w:rsidR="00A370CB" w:rsidRPr="00981189">
        <w:rPr>
          <w:rFonts w:eastAsia="ArialNarrow" w:cstheme="minorHAnsi"/>
          <w:i/>
          <w:color w:val="ABABAB" w:themeColor="text1" w:themeTint="A6"/>
          <w:sz w:val="16"/>
          <w:szCs w:val="16"/>
        </w:rPr>
        <w:t>Hrvatski zdravstveno-statistički ljetopis za 2019. – tablični podaci</w:t>
      </w:r>
    </w:p>
    <w:p w14:paraId="0C236460" w14:textId="77777777" w:rsidR="0073265E" w:rsidRDefault="0073265E" w:rsidP="00855D8D">
      <w:pPr>
        <w:pStyle w:val="Izvor"/>
      </w:pPr>
    </w:p>
    <w:p w14:paraId="6BC32E89" w14:textId="67F7C50D" w:rsidR="008878A0" w:rsidRDefault="00281604" w:rsidP="00AA14B4">
      <w:pPr>
        <w:autoSpaceDE w:val="0"/>
        <w:autoSpaceDN w:val="0"/>
        <w:adjustRightInd w:val="0"/>
        <w:spacing w:after="0" w:line="240" w:lineRule="auto"/>
        <w:rPr>
          <w:rFonts w:eastAsia="ArialNarrow" w:cstheme="minorHAnsi"/>
        </w:rPr>
      </w:pPr>
      <w:r>
        <w:rPr>
          <w:rFonts w:eastAsia="ArialNarrow" w:cstheme="minorHAnsi"/>
        </w:rPr>
        <w:t>S padom broja</w:t>
      </w:r>
      <w:r w:rsidR="008878A0">
        <w:rPr>
          <w:rFonts w:eastAsia="ArialNarrow" w:cstheme="minorHAnsi"/>
        </w:rPr>
        <w:t xml:space="preserve"> </w:t>
      </w:r>
      <w:r w:rsidR="001C66AF">
        <w:rPr>
          <w:rFonts w:eastAsia="ArialNarrow" w:cstheme="minorHAnsi"/>
        </w:rPr>
        <w:t>zdravstvenih radnika</w:t>
      </w:r>
      <w:r w:rsidR="008878A0">
        <w:rPr>
          <w:rFonts w:eastAsia="ArialNarrow" w:cstheme="minorHAnsi"/>
        </w:rPr>
        <w:t xml:space="preserve"> u primarnoj zdravstvenoj zaštiti</w:t>
      </w:r>
      <w:r w:rsidR="001C66AF">
        <w:rPr>
          <w:rFonts w:eastAsia="ArialNarrow" w:cstheme="minorHAnsi"/>
        </w:rPr>
        <w:t xml:space="preserve"> na razini Republike Hrvatske</w:t>
      </w:r>
      <w:r>
        <w:rPr>
          <w:rFonts w:eastAsia="ArialNarrow" w:cstheme="minorHAnsi"/>
        </w:rPr>
        <w:t>, smanjuje se i njihov udio</w:t>
      </w:r>
      <w:r w:rsidR="008878A0">
        <w:rPr>
          <w:rFonts w:eastAsia="ArialNarrow" w:cstheme="minorHAnsi"/>
        </w:rPr>
        <w:t xml:space="preserve"> na 10.000 stanovnika</w:t>
      </w:r>
      <w:r w:rsidR="00AA14B4">
        <w:rPr>
          <w:rFonts w:eastAsia="ArialNarrow" w:cstheme="minorHAnsi"/>
        </w:rPr>
        <w:t xml:space="preserve"> </w:t>
      </w:r>
      <w:r>
        <w:rPr>
          <w:rFonts w:eastAsia="ArialNarrow" w:cstheme="minorHAnsi"/>
        </w:rPr>
        <w:t>te</w:t>
      </w:r>
      <w:r w:rsidR="00AA14B4">
        <w:rPr>
          <w:rFonts w:eastAsia="ArialNarrow" w:cstheme="minorHAnsi"/>
        </w:rPr>
        <w:t xml:space="preserve"> u 201</w:t>
      </w:r>
      <w:r>
        <w:rPr>
          <w:rFonts w:eastAsia="ArialNarrow" w:cstheme="minorHAnsi"/>
        </w:rPr>
        <w:t>9</w:t>
      </w:r>
      <w:r w:rsidR="00AA14B4">
        <w:rPr>
          <w:rFonts w:eastAsia="ArialNarrow" w:cstheme="minorHAnsi"/>
        </w:rPr>
        <w:t xml:space="preserve">. </w:t>
      </w:r>
      <w:r>
        <w:rPr>
          <w:rFonts w:eastAsia="ArialNarrow" w:cstheme="minorHAnsi"/>
        </w:rPr>
        <w:t xml:space="preserve">iznosi 5,9. </w:t>
      </w:r>
      <w:r w:rsidR="008878A0">
        <w:rPr>
          <w:rFonts w:eastAsia="ArialNarrow" w:cstheme="minorHAnsi"/>
        </w:rPr>
        <w:t xml:space="preserve">U </w:t>
      </w:r>
      <w:r w:rsidR="001C66AF">
        <w:rPr>
          <w:rFonts w:eastAsia="ArialNarrow" w:cstheme="minorHAnsi"/>
        </w:rPr>
        <w:t xml:space="preserve">Krapinsko-zagorskoj županiji u razdoblju od 2016. do </w:t>
      </w:r>
      <w:r w:rsidR="008878A0">
        <w:rPr>
          <w:rFonts w:eastAsia="ArialNarrow" w:cstheme="minorHAnsi"/>
        </w:rPr>
        <w:t>201</w:t>
      </w:r>
      <w:r w:rsidR="001C66AF">
        <w:rPr>
          <w:rFonts w:eastAsia="ArialNarrow" w:cstheme="minorHAnsi"/>
        </w:rPr>
        <w:t>9</w:t>
      </w:r>
      <w:r w:rsidR="008878A0">
        <w:rPr>
          <w:rFonts w:eastAsia="ArialNarrow" w:cstheme="minorHAnsi"/>
        </w:rPr>
        <w:t>. godin</w:t>
      </w:r>
      <w:r w:rsidR="001C66AF">
        <w:rPr>
          <w:rFonts w:eastAsia="ArialNarrow" w:cstheme="minorHAnsi"/>
        </w:rPr>
        <w:t>e nije došlo do promjene omjera broja zdravstvenih radnika u primarnoj zdravstvenoj zaštiti na 10.000 stanovnika te je njihov udio</w:t>
      </w:r>
      <w:r w:rsidR="00033D36">
        <w:rPr>
          <w:rFonts w:eastAsia="ArialNarrow" w:cstheme="minorHAnsi"/>
        </w:rPr>
        <w:t xml:space="preserve"> i dalje</w:t>
      </w:r>
      <w:r w:rsidR="001C66AF">
        <w:rPr>
          <w:rFonts w:eastAsia="ArialNarrow" w:cstheme="minorHAnsi"/>
        </w:rPr>
        <w:t xml:space="preserve"> 6,1.</w:t>
      </w:r>
    </w:p>
    <w:p w14:paraId="3D390749" w14:textId="77777777" w:rsidR="0073265E" w:rsidRDefault="0073265E" w:rsidP="00AA14B4">
      <w:pPr>
        <w:autoSpaceDE w:val="0"/>
        <w:autoSpaceDN w:val="0"/>
        <w:adjustRightInd w:val="0"/>
        <w:spacing w:after="0" w:line="240" w:lineRule="auto"/>
        <w:rPr>
          <w:rFonts w:eastAsia="ArialNarrow" w:cstheme="minorHAnsi"/>
          <w:sz w:val="22"/>
          <w:szCs w:val="22"/>
        </w:rPr>
      </w:pPr>
    </w:p>
    <w:p w14:paraId="71CB91A5" w14:textId="0EAAC311" w:rsidR="009B61D3" w:rsidRDefault="009B61D3" w:rsidP="003E3F3C">
      <w:pPr>
        <w:pStyle w:val="Opisslike"/>
      </w:pPr>
      <w:r>
        <w:t xml:space="preserve">Grafikon </w:t>
      </w:r>
      <w:r w:rsidR="0098661B">
        <w:t>1</w:t>
      </w:r>
      <w:r w:rsidR="00201691">
        <w:t>6</w:t>
      </w:r>
      <w:r>
        <w:t xml:space="preserve">. </w:t>
      </w:r>
      <w:r w:rsidRPr="006A329A">
        <w:t xml:space="preserve">Broj zdravstvenih djelatnika opće medicine na 10.000 stanovnika (Opća medicina) u Republici Hrvatskoj i Krapinsko-zagorskoj županiji 2016. </w:t>
      </w:r>
      <w:r w:rsidR="00201691">
        <w:t>-</w:t>
      </w:r>
      <w:r w:rsidRPr="006A329A">
        <w:t xml:space="preserve"> 201</w:t>
      </w:r>
      <w:r w:rsidR="00052864">
        <w:t>9</w:t>
      </w:r>
      <w:r w:rsidRPr="006A329A">
        <w:t>.</w:t>
      </w:r>
    </w:p>
    <w:p w14:paraId="5987757A" w14:textId="464BCA41" w:rsidR="004A53B3" w:rsidRDefault="00052864" w:rsidP="00941871">
      <w:pPr>
        <w:autoSpaceDE w:val="0"/>
        <w:autoSpaceDN w:val="0"/>
        <w:adjustRightInd w:val="0"/>
        <w:spacing w:after="0" w:line="240" w:lineRule="auto"/>
        <w:rPr>
          <w:rFonts w:eastAsia="ArialNarrow" w:cstheme="minorHAnsi"/>
          <w:color w:val="auto"/>
          <w:sz w:val="20"/>
        </w:rPr>
      </w:pPr>
      <w:r>
        <w:rPr>
          <w:noProof/>
        </w:rPr>
        <w:drawing>
          <wp:inline distT="0" distB="0" distL="0" distR="0" wp14:anchorId="649AEAFD" wp14:editId="336FD6E0">
            <wp:extent cx="5882640" cy="2545080"/>
            <wp:effectExtent l="0" t="0" r="3810" b="7620"/>
            <wp:docPr id="39" name="Grafikon 39">
              <a:extLst xmlns:a="http://schemas.openxmlformats.org/drawingml/2006/main">
                <a:ext uri="{FF2B5EF4-FFF2-40B4-BE49-F238E27FC236}">
                  <a16:creationId xmlns:a16="http://schemas.microsoft.com/office/drawing/2014/main" id="{93BB5CD9-B83A-4CA3-843D-3B9E841B2FE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8E9969C" w14:textId="488F1BF6" w:rsidR="008878A0" w:rsidRPr="00981189" w:rsidRDefault="008878A0" w:rsidP="00981189">
      <w:pPr>
        <w:autoSpaceDE w:val="0"/>
        <w:autoSpaceDN w:val="0"/>
        <w:adjustRightInd w:val="0"/>
        <w:spacing w:after="0" w:line="240" w:lineRule="auto"/>
        <w:rPr>
          <w:rFonts w:eastAsia="ArialNarrow" w:cstheme="minorHAnsi"/>
          <w:i/>
          <w:color w:val="ABABAB" w:themeColor="text1" w:themeTint="A6"/>
          <w:sz w:val="16"/>
          <w:szCs w:val="16"/>
        </w:rPr>
      </w:pPr>
      <w:r w:rsidRPr="00981189">
        <w:rPr>
          <w:rFonts w:eastAsia="ArialNarrow" w:cstheme="minorHAnsi"/>
          <w:i/>
          <w:color w:val="ABABAB" w:themeColor="text1" w:themeTint="A6"/>
          <w:sz w:val="16"/>
          <w:szCs w:val="16"/>
        </w:rPr>
        <w:t xml:space="preserve">Izvor: </w:t>
      </w:r>
      <w:r w:rsidR="00052864" w:rsidRPr="00981189">
        <w:rPr>
          <w:rFonts w:eastAsia="ArialNarrow" w:cstheme="minorHAnsi"/>
          <w:i/>
          <w:color w:val="ABABAB" w:themeColor="text1" w:themeTint="A6"/>
          <w:sz w:val="16"/>
          <w:szCs w:val="16"/>
        </w:rPr>
        <w:t>Hrvatski zdravstveno-statistički ljetopis za 2019. – tablični podaci</w:t>
      </w:r>
      <w:r w:rsidRPr="00981189">
        <w:rPr>
          <w:rFonts w:eastAsia="ArialNarrow" w:cstheme="minorHAnsi"/>
          <w:i/>
          <w:color w:val="ABABAB" w:themeColor="text1" w:themeTint="A6"/>
          <w:sz w:val="16"/>
          <w:szCs w:val="16"/>
        </w:rPr>
        <w:t>.</w:t>
      </w:r>
    </w:p>
    <w:p w14:paraId="404F3100" w14:textId="39179A2D" w:rsidR="00AA14B4" w:rsidRDefault="00AA14B4" w:rsidP="00941871">
      <w:pPr>
        <w:autoSpaceDE w:val="0"/>
        <w:autoSpaceDN w:val="0"/>
        <w:adjustRightInd w:val="0"/>
        <w:spacing w:after="0" w:line="240" w:lineRule="auto"/>
        <w:rPr>
          <w:rFonts w:eastAsia="ArialNarrow" w:cstheme="minorHAnsi"/>
        </w:rPr>
      </w:pPr>
    </w:p>
    <w:p w14:paraId="0206BDE3" w14:textId="622CB485" w:rsidR="00BB7B27" w:rsidRDefault="00AA14B4" w:rsidP="00AA14B4">
      <w:pPr>
        <w:spacing w:after="0" w:line="240" w:lineRule="auto"/>
        <w:rPr>
          <w:rFonts w:eastAsia="ArialNarrow" w:cstheme="minorHAnsi"/>
          <w:szCs w:val="20"/>
        </w:rPr>
      </w:pPr>
      <w:r>
        <w:rPr>
          <w:rFonts w:eastAsia="ArialNarrow" w:cstheme="minorHAnsi"/>
          <w:szCs w:val="20"/>
        </w:rPr>
        <w:t>Prethodni grafikon prikazuje kretanje broja zdravstvenih radnika opće medicine u periodu</w:t>
      </w:r>
      <w:r w:rsidR="00BB7B27">
        <w:rPr>
          <w:rFonts w:eastAsia="ArialNarrow" w:cstheme="minorHAnsi"/>
          <w:szCs w:val="20"/>
        </w:rPr>
        <w:t xml:space="preserve"> </w:t>
      </w:r>
      <w:r w:rsidR="001074D5">
        <w:rPr>
          <w:rFonts w:eastAsia="ArialNarrow" w:cstheme="minorHAnsi"/>
          <w:szCs w:val="20"/>
        </w:rPr>
        <w:t>od 201</w:t>
      </w:r>
      <w:r w:rsidR="004E30C4">
        <w:rPr>
          <w:rFonts w:eastAsia="ArialNarrow" w:cstheme="minorHAnsi"/>
          <w:szCs w:val="20"/>
        </w:rPr>
        <w:t>6</w:t>
      </w:r>
      <w:r w:rsidR="001074D5">
        <w:rPr>
          <w:rFonts w:eastAsia="ArialNarrow" w:cstheme="minorHAnsi"/>
          <w:szCs w:val="20"/>
        </w:rPr>
        <w:t>. do 201</w:t>
      </w:r>
      <w:r w:rsidR="004E30C4">
        <w:rPr>
          <w:rFonts w:eastAsia="ArialNarrow" w:cstheme="minorHAnsi"/>
          <w:szCs w:val="20"/>
        </w:rPr>
        <w:t>9</w:t>
      </w:r>
      <w:r w:rsidR="001074D5">
        <w:rPr>
          <w:rFonts w:eastAsia="ArialNarrow" w:cstheme="minorHAnsi"/>
          <w:szCs w:val="20"/>
        </w:rPr>
        <w:t>. godine</w:t>
      </w:r>
      <w:r>
        <w:rPr>
          <w:rFonts w:eastAsia="ArialNarrow" w:cstheme="minorHAnsi"/>
          <w:szCs w:val="20"/>
        </w:rPr>
        <w:t xml:space="preserve">. </w:t>
      </w:r>
      <w:r w:rsidR="00AD3198">
        <w:rPr>
          <w:rFonts w:eastAsia="ArialNarrow" w:cstheme="minorHAnsi"/>
          <w:szCs w:val="20"/>
        </w:rPr>
        <w:t>Prema podacima Hrvatskog zdravstveno-statističkog ljetopisa, n</w:t>
      </w:r>
      <w:r>
        <w:rPr>
          <w:rFonts w:eastAsia="ArialNarrow" w:cstheme="minorHAnsi"/>
          <w:szCs w:val="20"/>
        </w:rPr>
        <w:t xml:space="preserve">a </w:t>
      </w:r>
      <w:r w:rsidRPr="00BB7B27">
        <w:rPr>
          <w:rFonts w:eastAsia="ArialNarrow" w:cstheme="minorHAnsi"/>
          <w:szCs w:val="20"/>
        </w:rPr>
        <w:t xml:space="preserve">području </w:t>
      </w:r>
      <w:r w:rsidR="00BB7B27" w:rsidRPr="00BB7B27">
        <w:t>Sjever</w:t>
      </w:r>
      <w:r w:rsidR="00AE037E">
        <w:t>ne</w:t>
      </w:r>
      <w:r w:rsidRPr="00BB7B27">
        <w:t xml:space="preserve"> Hrvatske</w:t>
      </w:r>
      <w:r>
        <w:rPr>
          <w:rFonts w:eastAsia="ArialNarrow" w:cstheme="minorHAnsi"/>
          <w:szCs w:val="20"/>
        </w:rPr>
        <w:t xml:space="preserve"> i cijele Republike Hrvatske </w:t>
      </w:r>
      <w:r w:rsidRPr="004C6D2F">
        <w:rPr>
          <w:rFonts w:eastAsia="ArialNarrow" w:cstheme="minorHAnsi"/>
          <w:szCs w:val="20"/>
        </w:rPr>
        <w:t>može se zamijetiti p</w:t>
      </w:r>
      <w:r w:rsidR="004C6D2F" w:rsidRPr="004C6D2F">
        <w:rPr>
          <w:rFonts w:eastAsia="ArialNarrow" w:cstheme="minorHAnsi"/>
          <w:szCs w:val="20"/>
        </w:rPr>
        <w:t>ad</w:t>
      </w:r>
      <w:r w:rsidRPr="004C6D2F">
        <w:rPr>
          <w:rFonts w:eastAsia="ArialNarrow" w:cstheme="minorHAnsi"/>
          <w:szCs w:val="20"/>
        </w:rPr>
        <w:t xml:space="preserve"> broja</w:t>
      </w:r>
      <w:r w:rsidR="00BB7B27" w:rsidRPr="004C6D2F">
        <w:rPr>
          <w:rFonts w:eastAsia="ArialNarrow" w:cstheme="minorHAnsi"/>
          <w:szCs w:val="20"/>
        </w:rPr>
        <w:t xml:space="preserve"> zdravstvenih</w:t>
      </w:r>
      <w:r w:rsidRPr="004C6D2F">
        <w:rPr>
          <w:rFonts w:eastAsia="ArialNarrow" w:cstheme="minorHAnsi"/>
          <w:szCs w:val="20"/>
        </w:rPr>
        <w:t xml:space="preserve"> radnika na 10.000 stanovnika</w:t>
      </w:r>
      <w:r>
        <w:rPr>
          <w:rFonts w:eastAsia="ArialNarrow" w:cstheme="minorHAnsi"/>
          <w:szCs w:val="20"/>
        </w:rPr>
        <w:t xml:space="preserve"> dok na području Krapinsko-zagorske županije </w:t>
      </w:r>
      <w:r w:rsidR="00BB7B27">
        <w:rPr>
          <w:rFonts w:eastAsia="ArialNarrow" w:cstheme="minorHAnsi"/>
          <w:szCs w:val="20"/>
        </w:rPr>
        <w:t xml:space="preserve">u </w:t>
      </w:r>
      <w:r w:rsidR="004C6D2F">
        <w:rPr>
          <w:rFonts w:eastAsia="ArialNarrow" w:cstheme="minorHAnsi"/>
          <w:szCs w:val="20"/>
        </w:rPr>
        <w:t>istom</w:t>
      </w:r>
      <w:r w:rsidR="00BB7B27">
        <w:rPr>
          <w:rFonts w:eastAsia="ArialNarrow" w:cstheme="minorHAnsi"/>
          <w:szCs w:val="20"/>
        </w:rPr>
        <w:t xml:space="preserve"> razdoblju broj zdravstvenih r</w:t>
      </w:r>
      <w:r w:rsidR="00AE037E">
        <w:rPr>
          <w:rFonts w:eastAsia="ArialNarrow" w:cstheme="minorHAnsi"/>
          <w:szCs w:val="20"/>
        </w:rPr>
        <w:t>a</w:t>
      </w:r>
      <w:r w:rsidR="00BB7B27">
        <w:rPr>
          <w:rFonts w:eastAsia="ArialNarrow" w:cstheme="minorHAnsi"/>
          <w:szCs w:val="20"/>
        </w:rPr>
        <w:t xml:space="preserve">dnika na 10.000 stanovnika oscilira (pad broja zdravstvenih radnika u 2016. godini te ponovan rast u 2017. godini do razine iz 2015. godine). </w:t>
      </w:r>
    </w:p>
    <w:p w14:paraId="56FB553F" w14:textId="77777777" w:rsidR="009B61D3" w:rsidRDefault="009B61D3" w:rsidP="00AA14B4">
      <w:pPr>
        <w:spacing w:after="0" w:line="240" w:lineRule="auto"/>
        <w:rPr>
          <w:rFonts w:eastAsia="ArialNarrow" w:cstheme="minorHAnsi"/>
          <w:szCs w:val="20"/>
        </w:rPr>
      </w:pPr>
    </w:p>
    <w:p w14:paraId="3EDEDD91" w14:textId="1F932FC3" w:rsidR="00C472FF" w:rsidRPr="00C472FF" w:rsidRDefault="008878A0" w:rsidP="003E3F3C">
      <w:pPr>
        <w:pStyle w:val="Opisslike"/>
      </w:pPr>
      <w:r>
        <w:t xml:space="preserve">Tablica </w:t>
      </w:r>
      <w:r w:rsidR="00804453">
        <w:rPr>
          <w:noProof/>
        </w:rPr>
        <w:t>3</w:t>
      </w:r>
      <w:r w:rsidR="00AF5B79">
        <w:rPr>
          <w:noProof/>
        </w:rPr>
        <w:t>8</w:t>
      </w:r>
      <w:r w:rsidR="009B61D3">
        <w:rPr>
          <w:noProof/>
        </w:rPr>
        <w:t>.</w:t>
      </w:r>
      <w:r>
        <w:t xml:space="preserve"> Broj postelja, broj postelja na 1.000 stanovnika i broj doktora u stacionarnim ustanovama RH, </w:t>
      </w:r>
      <w:r w:rsidR="00C7437E">
        <w:t>Sjevern</w:t>
      </w:r>
      <w:r w:rsidR="00AF7234">
        <w:t>a</w:t>
      </w:r>
      <w:r>
        <w:t xml:space="preserve"> Hrvatska i Krapinsko zagorska županija 201</w:t>
      </w:r>
      <w:r w:rsidR="00042B79">
        <w:t>6</w:t>
      </w:r>
      <w:r>
        <w:t xml:space="preserve">. </w:t>
      </w:r>
      <w:r w:rsidR="00201691">
        <w:t>-</w:t>
      </w:r>
      <w:r>
        <w:t xml:space="preserve"> 201</w:t>
      </w:r>
      <w:r w:rsidR="008333D5">
        <w:t>9</w:t>
      </w:r>
      <w:r>
        <w:t>.</w:t>
      </w:r>
    </w:p>
    <w:tbl>
      <w:tblPr>
        <w:tblW w:w="9781" w:type="dxa"/>
        <w:tblBorders>
          <w:insideH w:val="single" w:sz="8" w:space="0" w:color="F3CFC1"/>
        </w:tblBorders>
        <w:tblLayout w:type="fixed"/>
        <w:tblLook w:val="04A0" w:firstRow="1" w:lastRow="0" w:firstColumn="1" w:lastColumn="0" w:noHBand="0" w:noVBand="1"/>
      </w:tblPr>
      <w:tblGrid>
        <w:gridCol w:w="1231"/>
        <w:gridCol w:w="703"/>
        <w:gridCol w:w="690"/>
        <w:gridCol w:w="690"/>
        <w:gridCol w:w="668"/>
        <w:gridCol w:w="668"/>
        <w:gridCol w:w="654"/>
        <w:gridCol w:w="775"/>
        <w:gridCol w:w="695"/>
        <w:gridCol w:w="747"/>
        <w:gridCol w:w="843"/>
        <w:gridCol w:w="708"/>
        <w:gridCol w:w="709"/>
      </w:tblGrid>
      <w:tr w:rsidR="00CB2796" w:rsidRPr="009B61D3" w14:paraId="48DAF2B2" w14:textId="209BDB7D" w:rsidTr="00303A32">
        <w:trPr>
          <w:trHeight w:val="306"/>
          <w:tblHeader/>
        </w:trPr>
        <w:tc>
          <w:tcPr>
            <w:tcW w:w="1231" w:type="dxa"/>
            <w:vMerge w:val="restart"/>
            <w:tcBorders>
              <w:top w:val="nil"/>
              <w:right w:val="single" w:sz="4" w:space="0" w:color="FFFFFF" w:themeColor="background1"/>
            </w:tcBorders>
            <w:shd w:val="clear" w:color="auto" w:fill="D2232A"/>
            <w:noWrap/>
            <w:vAlign w:val="center"/>
            <w:hideMark/>
          </w:tcPr>
          <w:p w14:paraId="06E6E71C" w14:textId="77777777" w:rsidR="00CB2796" w:rsidRPr="009B61D3" w:rsidRDefault="00CB2796" w:rsidP="00941871">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Rad stacionarnih ustanova</w:t>
            </w:r>
          </w:p>
        </w:tc>
        <w:tc>
          <w:tcPr>
            <w:tcW w:w="2751" w:type="dxa"/>
            <w:gridSpan w:val="4"/>
            <w:tcBorders>
              <w:top w:val="nil"/>
              <w:left w:val="single" w:sz="4" w:space="0" w:color="FFFFFF" w:themeColor="background1"/>
              <w:bottom w:val="single" w:sz="8" w:space="0" w:color="F3CFC1"/>
              <w:right w:val="single" w:sz="8" w:space="0" w:color="D2232A"/>
            </w:tcBorders>
            <w:shd w:val="clear" w:color="auto" w:fill="D2232A"/>
            <w:noWrap/>
            <w:vAlign w:val="center"/>
            <w:hideMark/>
          </w:tcPr>
          <w:p w14:paraId="54B8000A" w14:textId="1F3483DE" w:rsidR="00CB2796" w:rsidRDefault="00CB2796" w:rsidP="007F2B15">
            <w:pPr>
              <w:spacing w:after="0" w:line="240" w:lineRule="auto"/>
              <w:jc w:val="center"/>
              <w:rPr>
                <w:rFonts w:eastAsia="Times New Roman" w:cstheme="minorHAnsi"/>
                <w:szCs w:val="18"/>
                <w:lang w:eastAsia="hr-HR"/>
              </w:rPr>
            </w:pPr>
            <w:r w:rsidRPr="009B61D3">
              <w:rPr>
                <w:rFonts w:eastAsia="Times New Roman" w:cstheme="minorHAnsi"/>
                <w:color w:val="FFFFFF"/>
                <w:szCs w:val="18"/>
                <w:lang w:eastAsia="hr-HR"/>
              </w:rPr>
              <w:t>KRAPINSKO-ZAGORSKA ŽUPANIJA</w:t>
            </w:r>
          </w:p>
        </w:tc>
        <w:tc>
          <w:tcPr>
            <w:tcW w:w="2792" w:type="dxa"/>
            <w:gridSpan w:val="4"/>
            <w:tcBorders>
              <w:top w:val="nil"/>
              <w:left w:val="single" w:sz="8" w:space="0" w:color="D2232A"/>
              <w:bottom w:val="single" w:sz="8" w:space="0" w:color="FFFFFF" w:themeColor="background1"/>
              <w:right w:val="single" w:sz="8" w:space="0" w:color="D2232A"/>
            </w:tcBorders>
            <w:shd w:val="clear" w:color="auto" w:fill="E5E5E5" w:themeFill="text1" w:themeFillTint="33"/>
            <w:noWrap/>
            <w:vAlign w:val="center"/>
            <w:hideMark/>
          </w:tcPr>
          <w:p w14:paraId="7988927E" w14:textId="2193701E" w:rsidR="00CB2796" w:rsidRPr="009B61D3" w:rsidRDefault="00CB2796" w:rsidP="007F2B15">
            <w:pPr>
              <w:spacing w:after="0" w:line="240" w:lineRule="auto"/>
              <w:jc w:val="center"/>
              <w:rPr>
                <w:rFonts w:eastAsia="Times New Roman" w:cstheme="minorHAnsi"/>
                <w:szCs w:val="18"/>
                <w:lang w:eastAsia="hr-HR"/>
              </w:rPr>
            </w:pPr>
            <w:r>
              <w:rPr>
                <w:rFonts w:eastAsia="Times New Roman" w:cstheme="minorHAnsi"/>
                <w:szCs w:val="18"/>
                <w:lang w:eastAsia="hr-HR"/>
              </w:rPr>
              <w:t>SJEVERN</w:t>
            </w:r>
            <w:r w:rsidRPr="009B61D3">
              <w:rPr>
                <w:rFonts w:eastAsia="Times New Roman" w:cstheme="minorHAnsi"/>
                <w:szCs w:val="18"/>
                <w:lang w:eastAsia="hr-HR"/>
              </w:rPr>
              <w:t>A HRVATSKA</w:t>
            </w:r>
          </w:p>
        </w:tc>
        <w:tc>
          <w:tcPr>
            <w:tcW w:w="3007" w:type="dxa"/>
            <w:gridSpan w:val="4"/>
            <w:tcBorders>
              <w:top w:val="nil"/>
              <w:left w:val="single" w:sz="8" w:space="0" w:color="D2232A"/>
              <w:bottom w:val="single" w:sz="8" w:space="0" w:color="FFFFFF" w:themeColor="background1"/>
              <w:right w:val="single" w:sz="8" w:space="0" w:color="D2232A"/>
            </w:tcBorders>
            <w:shd w:val="clear" w:color="auto" w:fill="E5E5E5" w:themeFill="text1" w:themeFillTint="33"/>
            <w:noWrap/>
            <w:vAlign w:val="center"/>
            <w:hideMark/>
          </w:tcPr>
          <w:p w14:paraId="163FFFB0" w14:textId="2F3B36C2" w:rsidR="00CB2796" w:rsidRPr="009B61D3" w:rsidRDefault="00CB2796" w:rsidP="007F2B15">
            <w:pPr>
              <w:spacing w:after="0" w:line="240" w:lineRule="auto"/>
              <w:jc w:val="center"/>
              <w:rPr>
                <w:rFonts w:eastAsia="Times New Roman" w:cstheme="minorHAnsi"/>
                <w:szCs w:val="18"/>
                <w:lang w:eastAsia="hr-HR"/>
              </w:rPr>
            </w:pPr>
            <w:r w:rsidRPr="009B61D3">
              <w:rPr>
                <w:rFonts w:eastAsia="Times New Roman" w:cstheme="minorHAnsi"/>
                <w:szCs w:val="18"/>
                <w:lang w:eastAsia="hr-HR"/>
              </w:rPr>
              <w:t>REPUBLIKA HRVATSKA</w:t>
            </w:r>
          </w:p>
        </w:tc>
      </w:tr>
      <w:tr w:rsidR="00565F25" w:rsidRPr="009B61D3" w14:paraId="3A2A1166" w14:textId="3040BC09" w:rsidTr="00303A32">
        <w:trPr>
          <w:trHeight w:val="306"/>
          <w:tblHeader/>
        </w:trPr>
        <w:tc>
          <w:tcPr>
            <w:tcW w:w="1231" w:type="dxa"/>
            <w:vMerge/>
            <w:tcBorders>
              <w:bottom w:val="single" w:sz="4" w:space="0" w:color="FFFFFF"/>
              <w:right w:val="single" w:sz="4" w:space="0" w:color="FFFFFF" w:themeColor="background1"/>
            </w:tcBorders>
            <w:shd w:val="clear" w:color="auto" w:fill="D2232A"/>
            <w:vAlign w:val="center"/>
            <w:hideMark/>
          </w:tcPr>
          <w:p w14:paraId="129D6C3C" w14:textId="77777777" w:rsidR="00CB2796" w:rsidRPr="009B61D3" w:rsidRDefault="00CB2796" w:rsidP="00941871">
            <w:pPr>
              <w:spacing w:after="0"/>
              <w:rPr>
                <w:rFonts w:eastAsia="Times New Roman" w:cstheme="minorHAnsi"/>
                <w:color w:val="FFFFFF"/>
                <w:szCs w:val="18"/>
                <w:lang w:eastAsia="hr-HR"/>
              </w:rPr>
            </w:pPr>
          </w:p>
        </w:tc>
        <w:tc>
          <w:tcPr>
            <w:tcW w:w="703" w:type="dxa"/>
            <w:tcBorders>
              <w:top w:val="single" w:sz="8" w:space="0" w:color="F3CFC1"/>
              <w:left w:val="single" w:sz="4" w:space="0" w:color="FFFFFF" w:themeColor="background1"/>
              <w:bottom w:val="nil"/>
              <w:right w:val="nil"/>
            </w:tcBorders>
            <w:shd w:val="clear" w:color="auto" w:fill="D2232A"/>
            <w:noWrap/>
            <w:vAlign w:val="center"/>
            <w:hideMark/>
          </w:tcPr>
          <w:p w14:paraId="3C4DFDE8" w14:textId="6FF03C37" w:rsidR="00CB2796" w:rsidRPr="008F643B" w:rsidRDefault="00CB2796" w:rsidP="00303A32">
            <w:pPr>
              <w:spacing w:after="0" w:line="240" w:lineRule="auto"/>
              <w:jc w:val="left"/>
              <w:rPr>
                <w:rFonts w:eastAsia="Times New Roman" w:cstheme="minorHAnsi"/>
                <w:color w:val="FFFFFF"/>
                <w:sz w:val="16"/>
                <w:szCs w:val="16"/>
                <w:lang w:eastAsia="hr-HR"/>
              </w:rPr>
            </w:pPr>
            <w:r w:rsidRPr="008F643B">
              <w:rPr>
                <w:rFonts w:eastAsia="Times New Roman" w:cstheme="minorHAnsi"/>
                <w:color w:val="FFFFFF"/>
                <w:sz w:val="16"/>
                <w:szCs w:val="16"/>
                <w:lang w:eastAsia="hr-HR"/>
              </w:rPr>
              <w:t>201</w:t>
            </w:r>
            <w:r w:rsidR="00565F25" w:rsidRPr="008F643B">
              <w:rPr>
                <w:rFonts w:eastAsia="Times New Roman" w:cstheme="minorHAnsi"/>
                <w:color w:val="FFFFFF"/>
                <w:sz w:val="16"/>
                <w:szCs w:val="16"/>
                <w:lang w:eastAsia="hr-HR"/>
              </w:rPr>
              <w:t>6</w:t>
            </w:r>
            <w:r w:rsidRPr="008F643B">
              <w:rPr>
                <w:rFonts w:eastAsia="Times New Roman" w:cstheme="minorHAnsi"/>
                <w:color w:val="FFFFFF"/>
                <w:sz w:val="16"/>
                <w:szCs w:val="16"/>
                <w:lang w:eastAsia="hr-HR"/>
              </w:rPr>
              <w:t>.</w:t>
            </w:r>
          </w:p>
        </w:tc>
        <w:tc>
          <w:tcPr>
            <w:tcW w:w="690" w:type="dxa"/>
            <w:tcBorders>
              <w:top w:val="single" w:sz="8" w:space="0" w:color="F3CFC1"/>
              <w:left w:val="nil"/>
              <w:bottom w:val="nil"/>
              <w:right w:val="nil"/>
            </w:tcBorders>
            <w:shd w:val="clear" w:color="auto" w:fill="D2232A"/>
            <w:noWrap/>
            <w:vAlign w:val="center"/>
            <w:hideMark/>
          </w:tcPr>
          <w:p w14:paraId="17128B65" w14:textId="435FCEBB" w:rsidR="00CB2796" w:rsidRPr="008F643B" w:rsidRDefault="00CB2796" w:rsidP="00303A32">
            <w:pPr>
              <w:spacing w:after="0" w:line="240" w:lineRule="auto"/>
              <w:jc w:val="left"/>
              <w:rPr>
                <w:rFonts w:eastAsia="Times New Roman" w:cstheme="minorHAnsi"/>
                <w:color w:val="FFFFFF"/>
                <w:sz w:val="16"/>
                <w:szCs w:val="16"/>
                <w:lang w:eastAsia="hr-HR"/>
              </w:rPr>
            </w:pPr>
            <w:r w:rsidRPr="008F643B">
              <w:rPr>
                <w:rFonts w:eastAsia="Times New Roman" w:cstheme="minorHAnsi"/>
                <w:color w:val="FFFFFF"/>
                <w:sz w:val="16"/>
                <w:szCs w:val="16"/>
                <w:lang w:eastAsia="hr-HR"/>
              </w:rPr>
              <w:t>2017.</w:t>
            </w:r>
          </w:p>
        </w:tc>
        <w:tc>
          <w:tcPr>
            <w:tcW w:w="690" w:type="dxa"/>
            <w:tcBorders>
              <w:top w:val="single" w:sz="8" w:space="0" w:color="F3CFC1"/>
              <w:left w:val="nil"/>
              <w:bottom w:val="nil"/>
              <w:right w:val="single" w:sz="8" w:space="0" w:color="D2232A"/>
            </w:tcBorders>
            <w:shd w:val="clear" w:color="auto" w:fill="D2232A"/>
            <w:noWrap/>
            <w:vAlign w:val="center"/>
            <w:hideMark/>
          </w:tcPr>
          <w:p w14:paraId="3D7A5A90" w14:textId="7FF4CD28" w:rsidR="00CB2796" w:rsidRPr="008F643B" w:rsidRDefault="00CB2796" w:rsidP="00303A32">
            <w:pPr>
              <w:spacing w:after="0" w:line="240" w:lineRule="auto"/>
              <w:jc w:val="left"/>
              <w:rPr>
                <w:rFonts w:eastAsia="Times New Roman" w:cstheme="minorHAnsi"/>
                <w:color w:val="FFFFFF"/>
                <w:sz w:val="16"/>
                <w:szCs w:val="16"/>
                <w:lang w:eastAsia="hr-HR"/>
              </w:rPr>
            </w:pPr>
            <w:r w:rsidRPr="008F643B">
              <w:rPr>
                <w:rFonts w:eastAsia="Times New Roman" w:cstheme="minorHAnsi"/>
                <w:color w:val="FFFFFF"/>
                <w:sz w:val="16"/>
                <w:szCs w:val="16"/>
                <w:lang w:eastAsia="hr-HR"/>
              </w:rPr>
              <w:t>2018.</w:t>
            </w:r>
          </w:p>
        </w:tc>
        <w:tc>
          <w:tcPr>
            <w:tcW w:w="668" w:type="dxa"/>
            <w:tcBorders>
              <w:top w:val="single" w:sz="8" w:space="0" w:color="FFFFFF" w:themeColor="background1"/>
              <w:left w:val="single" w:sz="8" w:space="0" w:color="D2232A"/>
              <w:bottom w:val="nil"/>
              <w:right w:val="single" w:sz="8" w:space="0" w:color="D2232A"/>
            </w:tcBorders>
            <w:shd w:val="clear" w:color="auto" w:fill="D2232A" w:themeFill="accent1"/>
            <w:vAlign w:val="center"/>
          </w:tcPr>
          <w:p w14:paraId="6D67E41A" w14:textId="675E42AA" w:rsidR="00CB2796" w:rsidRPr="008F643B" w:rsidRDefault="00CB2796" w:rsidP="00303A32">
            <w:pPr>
              <w:spacing w:after="0" w:line="240" w:lineRule="auto"/>
              <w:jc w:val="left"/>
              <w:rPr>
                <w:rFonts w:eastAsia="Times New Roman" w:cstheme="minorHAnsi"/>
                <w:color w:val="FFFFFF"/>
                <w:sz w:val="16"/>
                <w:szCs w:val="16"/>
                <w:lang w:eastAsia="hr-HR"/>
              </w:rPr>
            </w:pPr>
            <w:r w:rsidRPr="008F643B">
              <w:rPr>
                <w:rFonts w:eastAsia="Times New Roman" w:cstheme="minorHAnsi"/>
                <w:color w:val="FFFFFF"/>
                <w:sz w:val="16"/>
                <w:szCs w:val="16"/>
                <w:lang w:eastAsia="hr-HR"/>
              </w:rPr>
              <w:t>2019.</w:t>
            </w:r>
          </w:p>
        </w:tc>
        <w:tc>
          <w:tcPr>
            <w:tcW w:w="668" w:type="dxa"/>
            <w:tcBorders>
              <w:top w:val="single" w:sz="8" w:space="0" w:color="FFFFFF" w:themeColor="background1"/>
              <w:left w:val="single" w:sz="8" w:space="0" w:color="D2232A"/>
              <w:bottom w:val="nil"/>
              <w:right w:val="nil"/>
            </w:tcBorders>
            <w:shd w:val="clear" w:color="auto" w:fill="E5E5E5" w:themeFill="text1" w:themeFillTint="33"/>
            <w:noWrap/>
            <w:vAlign w:val="center"/>
            <w:hideMark/>
          </w:tcPr>
          <w:p w14:paraId="19F11AFC" w14:textId="31E65C18" w:rsidR="00CB2796" w:rsidRPr="008F643B" w:rsidRDefault="00CB2796" w:rsidP="00303A32">
            <w:pPr>
              <w:spacing w:after="0" w:line="240" w:lineRule="auto"/>
              <w:jc w:val="left"/>
              <w:rPr>
                <w:rFonts w:eastAsia="Times New Roman" w:cstheme="minorHAnsi"/>
                <w:sz w:val="16"/>
                <w:szCs w:val="16"/>
                <w:lang w:eastAsia="hr-HR"/>
              </w:rPr>
            </w:pPr>
            <w:r w:rsidRPr="008F643B">
              <w:rPr>
                <w:rFonts w:eastAsia="Times New Roman" w:cstheme="minorHAnsi"/>
                <w:sz w:val="16"/>
                <w:szCs w:val="16"/>
                <w:lang w:eastAsia="hr-HR"/>
              </w:rPr>
              <w:t>2016.</w:t>
            </w:r>
          </w:p>
        </w:tc>
        <w:tc>
          <w:tcPr>
            <w:tcW w:w="654" w:type="dxa"/>
            <w:tcBorders>
              <w:top w:val="single" w:sz="8" w:space="0" w:color="FFFFFF" w:themeColor="background1"/>
              <w:left w:val="nil"/>
              <w:bottom w:val="nil"/>
              <w:right w:val="nil"/>
            </w:tcBorders>
            <w:shd w:val="clear" w:color="auto" w:fill="E5E5E5" w:themeFill="text1" w:themeFillTint="33"/>
            <w:noWrap/>
            <w:vAlign w:val="center"/>
            <w:hideMark/>
          </w:tcPr>
          <w:p w14:paraId="51A4F2C3" w14:textId="07073460" w:rsidR="00CB2796" w:rsidRPr="008F643B" w:rsidRDefault="00CB2796" w:rsidP="00303A32">
            <w:pPr>
              <w:spacing w:after="0" w:line="240" w:lineRule="auto"/>
              <w:jc w:val="left"/>
              <w:rPr>
                <w:rFonts w:eastAsia="Times New Roman" w:cstheme="minorHAnsi"/>
                <w:sz w:val="16"/>
                <w:szCs w:val="16"/>
                <w:lang w:eastAsia="hr-HR"/>
              </w:rPr>
            </w:pPr>
            <w:r w:rsidRPr="008F643B">
              <w:rPr>
                <w:rFonts w:eastAsia="Times New Roman" w:cstheme="minorHAnsi"/>
                <w:sz w:val="16"/>
                <w:szCs w:val="16"/>
                <w:lang w:eastAsia="hr-HR"/>
              </w:rPr>
              <w:t>2017.</w:t>
            </w:r>
          </w:p>
        </w:tc>
        <w:tc>
          <w:tcPr>
            <w:tcW w:w="775" w:type="dxa"/>
            <w:tcBorders>
              <w:top w:val="single" w:sz="8" w:space="0" w:color="FFFFFF" w:themeColor="background1"/>
              <w:left w:val="nil"/>
              <w:bottom w:val="nil"/>
              <w:right w:val="nil"/>
            </w:tcBorders>
            <w:shd w:val="clear" w:color="auto" w:fill="E5E5E5" w:themeFill="text1" w:themeFillTint="33"/>
            <w:noWrap/>
            <w:vAlign w:val="center"/>
            <w:hideMark/>
          </w:tcPr>
          <w:p w14:paraId="40020C0A" w14:textId="5119385D" w:rsidR="00CB2796" w:rsidRPr="008F643B" w:rsidRDefault="00CB2796" w:rsidP="00303A32">
            <w:pPr>
              <w:spacing w:after="0" w:line="240" w:lineRule="auto"/>
              <w:jc w:val="left"/>
              <w:rPr>
                <w:rFonts w:eastAsia="Times New Roman" w:cstheme="minorHAnsi"/>
                <w:sz w:val="16"/>
                <w:szCs w:val="16"/>
                <w:lang w:eastAsia="hr-HR"/>
              </w:rPr>
            </w:pPr>
            <w:r w:rsidRPr="008F643B">
              <w:rPr>
                <w:rFonts w:eastAsia="Times New Roman" w:cstheme="minorHAnsi"/>
                <w:sz w:val="16"/>
                <w:szCs w:val="16"/>
                <w:lang w:eastAsia="hr-HR"/>
              </w:rPr>
              <w:t>2018.</w:t>
            </w:r>
          </w:p>
        </w:tc>
        <w:tc>
          <w:tcPr>
            <w:tcW w:w="695" w:type="dxa"/>
            <w:tcBorders>
              <w:top w:val="single" w:sz="8" w:space="0" w:color="FFFFFF" w:themeColor="background1"/>
              <w:left w:val="nil"/>
              <w:bottom w:val="nil"/>
              <w:right w:val="single" w:sz="8" w:space="0" w:color="D2232A"/>
            </w:tcBorders>
            <w:shd w:val="clear" w:color="auto" w:fill="E5E5E5" w:themeFill="text1" w:themeFillTint="33"/>
            <w:vAlign w:val="center"/>
          </w:tcPr>
          <w:p w14:paraId="5E852F53" w14:textId="2D769F69" w:rsidR="00CB2796" w:rsidRPr="008F643B" w:rsidRDefault="00CB2796" w:rsidP="00303A32">
            <w:pPr>
              <w:spacing w:after="0" w:line="240" w:lineRule="auto"/>
              <w:jc w:val="left"/>
              <w:rPr>
                <w:rFonts w:eastAsia="Times New Roman" w:cstheme="minorHAnsi"/>
                <w:sz w:val="16"/>
                <w:szCs w:val="16"/>
                <w:lang w:eastAsia="hr-HR"/>
              </w:rPr>
            </w:pPr>
            <w:r w:rsidRPr="008F643B">
              <w:rPr>
                <w:rFonts w:eastAsia="Times New Roman" w:cstheme="minorHAnsi"/>
                <w:sz w:val="16"/>
                <w:szCs w:val="16"/>
                <w:lang w:eastAsia="hr-HR"/>
              </w:rPr>
              <w:t>2019.</w:t>
            </w:r>
          </w:p>
        </w:tc>
        <w:tc>
          <w:tcPr>
            <w:tcW w:w="747" w:type="dxa"/>
            <w:tcBorders>
              <w:top w:val="single" w:sz="8" w:space="0" w:color="FFFFFF" w:themeColor="background1"/>
              <w:left w:val="single" w:sz="8" w:space="0" w:color="D2232A"/>
              <w:bottom w:val="nil"/>
              <w:right w:val="nil"/>
            </w:tcBorders>
            <w:shd w:val="clear" w:color="auto" w:fill="E5E5E5" w:themeFill="text1" w:themeFillTint="33"/>
            <w:noWrap/>
            <w:vAlign w:val="center"/>
            <w:hideMark/>
          </w:tcPr>
          <w:p w14:paraId="2994B65F" w14:textId="0768E77C" w:rsidR="00CB2796" w:rsidRPr="008F643B" w:rsidRDefault="00CB2796" w:rsidP="00303A32">
            <w:pPr>
              <w:spacing w:after="0" w:line="240" w:lineRule="auto"/>
              <w:jc w:val="left"/>
              <w:rPr>
                <w:rFonts w:eastAsia="Times New Roman" w:cstheme="minorHAnsi"/>
                <w:sz w:val="16"/>
                <w:szCs w:val="16"/>
                <w:lang w:eastAsia="hr-HR"/>
              </w:rPr>
            </w:pPr>
            <w:r w:rsidRPr="008F643B">
              <w:rPr>
                <w:rFonts w:eastAsia="Times New Roman" w:cstheme="minorHAnsi"/>
                <w:sz w:val="16"/>
                <w:szCs w:val="16"/>
                <w:lang w:eastAsia="hr-HR"/>
              </w:rPr>
              <w:t>2016.</w:t>
            </w:r>
          </w:p>
        </w:tc>
        <w:tc>
          <w:tcPr>
            <w:tcW w:w="843" w:type="dxa"/>
            <w:tcBorders>
              <w:top w:val="single" w:sz="8" w:space="0" w:color="FFFFFF" w:themeColor="background1"/>
              <w:left w:val="nil"/>
              <w:bottom w:val="nil"/>
              <w:right w:val="nil"/>
            </w:tcBorders>
            <w:shd w:val="clear" w:color="auto" w:fill="E5E5E5" w:themeFill="text1" w:themeFillTint="33"/>
            <w:noWrap/>
            <w:vAlign w:val="center"/>
            <w:hideMark/>
          </w:tcPr>
          <w:p w14:paraId="49253314" w14:textId="1DDD93E6" w:rsidR="00CB2796" w:rsidRPr="008F643B" w:rsidRDefault="00CB2796" w:rsidP="00303A32">
            <w:pPr>
              <w:spacing w:after="0" w:line="240" w:lineRule="auto"/>
              <w:jc w:val="left"/>
              <w:rPr>
                <w:rFonts w:eastAsia="Times New Roman" w:cstheme="minorHAnsi"/>
                <w:sz w:val="16"/>
                <w:szCs w:val="16"/>
                <w:lang w:eastAsia="hr-HR"/>
              </w:rPr>
            </w:pPr>
            <w:r w:rsidRPr="008F643B">
              <w:rPr>
                <w:rFonts w:eastAsia="Times New Roman" w:cstheme="minorHAnsi"/>
                <w:sz w:val="16"/>
                <w:szCs w:val="16"/>
                <w:lang w:eastAsia="hr-HR"/>
              </w:rPr>
              <w:t>2017.</w:t>
            </w:r>
          </w:p>
        </w:tc>
        <w:tc>
          <w:tcPr>
            <w:tcW w:w="708" w:type="dxa"/>
            <w:tcBorders>
              <w:top w:val="single" w:sz="8" w:space="0" w:color="FFFFFF" w:themeColor="background1"/>
              <w:left w:val="nil"/>
              <w:bottom w:val="nil"/>
              <w:right w:val="nil"/>
            </w:tcBorders>
            <w:shd w:val="clear" w:color="auto" w:fill="E5E5E5" w:themeFill="text1" w:themeFillTint="33"/>
            <w:noWrap/>
            <w:vAlign w:val="center"/>
            <w:hideMark/>
          </w:tcPr>
          <w:p w14:paraId="33255491" w14:textId="05541558" w:rsidR="00CB2796" w:rsidRPr="008F643B" w:rsidRDefault="00CB2796" w:rsidP="00303A32">
            <w:pPr>
              <w:spacing w:after="0" w:line="240" w:lineRule="auto"/>
              <w:jc w:val="left"/>
              <w:rPr>
                <w:rFonts w:eastAsia="Times New Roman" w:cstheme="minorHAnsi"/>
                <w:sz w:val="16"/>
                <w:szCs w:val="16"/>
                <w:lang w:eastAsia="hr-HR"/>
              </w:rPr>
            </w:pPr>
            <w:r w:rsidRPr="008F643B">
              <w:rPr>
                <w:rFonts w:eastAsia="Times New Roman" w:cstheme="minorHAnsi"/>
                <w:sz w:val="16"/>
                <w:szCs w:val="16"/>
                <w:lang w:eastAsia="hr-HR"/>
              </w:rPr>
              <w:t>2018.</w:t>
            </w:r>
          </w:p>
        </w:tc>
        <w:tc>
          <w:tcPr>
            <w:tcW w:w="709" w:type="dxa"/>
            <w:tcBorders>
              <w:top w:val="single" w:sz="8" w:space="0" w:color="FFFFFF" w:themeColor="background1"/>
              <w:left w:val="nil"/>
              <w:bottom w:val="nil"/>
              <w:right w:val="single" w:sz="8" w:space="0" w:color="D2232A"/>
            </w:tcBorders>
            <w:shd w:val="clear" w:color="auto" w:fill="E5E5E5" w:themeFill="text1" w:themeFillTint="33"/>
            <w:vAlign w:val="center"/>
          </w:tcPr>
          <w:p w14:paraId="3E7A687B" w14:textId="0495CEE5" w:rsidR="00CB2796" w:rsidRPr="008F643B" w:rsidRDefault="00CB2796" w:rsidP="00303A32">
            <w:pPr>
              <w:spacing w:after="0" w:line="240" w:lineRule="auto"/>
              <w:jc w:val="left"/>
              <w:rPr>
                <w:rFonts w:eastAsia="Times New Roman" w:cstheme="minorHAnsi"/>
                <w:sz w:val="16"/>
                <w:szCs w:val="16"/>
                <w:lang w:eastAsia="hr-HR"/>
              </w:rPr>
            </w:pPr>
            <w:r w:rsidRPr="008F643B">
              <w:rPr>
                <w:rFonts w:eastAsia="Times New Roman" w:cstheme="minorHAnsi"/>
                <w:sz w:val="16"/>
                <w:szCs w:val="16"/>
                <w:lang w:eastAsia="hr-HR"/>
              </w:rPr>
              <w:t>2019.</w:t>
            </w:r>
          </w:p>
        </w:tc>
      </w:tr>
      <w:tr w:rsidR="00565F25" w:rsidRPr="009B61D3" w14:paraId="4422C8E2" w14:textId="79070DE6" w:rsidTr="00303A32">
        <w:trPr>
          <w:trHeight w:val="306"/>
        </w:trPr>
        <w:tc>
          <w:tcPr>
            <w:tcW w:w="1231" w:type="dxa"/>
            <w:tcBorders>
              <w:top w:val="single" w:sz="8" w:space="0" w:color="F3CFC1"/>
              <w:bottom w:val="single" w:sz="8" w:space="0" w:color="F3CFC1"/>
              <w:right w:val="single" w:sz="4" w:space="0" w:color="FFFFFF"/>
            </w:tcBorders>
            <w:shd w:val="clear" w:color="auto" w:fill="D2232A"/>
            <w:noWrap/>
            <w:vAlign w:val="center"/>
            <w:hideMark/>
          </w:tcPr>
          <w:p w14:paraId="7AEA3DE8" w14:textId="77777777" w:rsidR="00CB2796" w:rsidRPr="009B61D3" w:rsidRDefault="00CB2796" w:rsidP="007E7A72">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Broj postelja</w:t>
            </w:r>
          </w:p>
        </w:tc>
        <w:tc>
          <w:tcPr>
            <w:tcW w:w="703" w:type="dxa"/>
            <w:tcBorders>
              <w:top w:val="nil"/>
              <w:left w:val="single" w:sz="4" w:space="0" w:color="FFFFFF"/>
              <w:bottom w:val="single" w:sz="8" w:space="0" w:color="F3CFC1"/>
            </w:tcBorders>
            <w:noWrap/>
            <w:vAlign w:val="center"/>
            <w:hideMark/>
          </w:tcPr>
          <w:p w14:paraId="0755F4E8" w14:textId="67870F5B"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1.196</w:t>
            </w:r>
          </w:p>
        </w:tc>
        <w:tc>
          <w:tcPr>
            <w:tcW w:w="690" w:type="dxa"/>
            <w:tcBorders>
              <w:top w:val="nil"/>
              <w:bottom w:val="single" w:sz="8" w:space="0" w:color="F3CFC1"/>
            </w:tcBorders>
            <w:noWrap/>
            <w:vAlign w:val="center"/>
            <w:hideMark/>
          </w:tcPr>
          <w:p w14:paraId="07A11312" w14:textId="1747C332"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1.194</w:t>
            </w:r>
          </w:p>
        </w:tc>
        <w:tc>
          <w:tcPr>
            <w:tcW w:w="690" w:type="dxa"/>
            <w:tcBorders>
              <w:top w:val="nil"/>
              <w:bottom w:val="single" w:sz="8" w:space="0" w:color="F3CFC1"/>
              <w:right w:val="nil"/>
            </w:tcBorders>
            <w:noWrap/>
            <w:vAlign w:val="center"/>
          </w:tcPr>
          <w:p w14:paraId="49654226" w14:textId="7102DB81"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1.209</w:t>
            </w:r>
          </w:p>
        </w:tc>
        <w:tc>
          <w:tcPr>
            <w:tcW w:w="668" w:type="dxa"/>
            <w:tcBorders>
              <w:top w:val="nil"/>
              <w:left w:val="nil"/>
              <w:bottom w:val="single" w:sz="8" w:space="0" w:color="F3CFC1"/>
              <w:right w:val="single" w:sz="8" w:space="0" w:color="D2232A"/>
            </w:tcBorders>
            <w:vAlign w:val="center"/>
          </w:tcPr>
          <w:p w14:paraId="23BD7A10" w14:textId="6751B814"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1.247</w:t>
            </w:r>
          </w:p>
        </w:tc>
        <w:tc>
          <w:tcPr>
            <w:tcW w:w="668" w:type="dxa"/>
            <w:tcBorders>
              <w:top w:val="nil"/>
              <w:left w:val="single" w:sz="8" w:space="0" w:color="D2232A"/>
              <w:bottom w:val="single" w:sz="8" w:space="0" w:color="F3CFC1"/>
            </w:tcBorders>
            <w:shd w:val="clear" w:color="auto" w:fill="auto"/>
            <w:noWrap/>
            <w:vAlign w:val="center"/>
          </w:tcPr>
          <w:p w14:paraId="4CA796E0" w14:textId="45A69C0D"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3.961</w:t>
            </w:r>
          </w:p>
        </w:tc>
        <w:tc>
          <w:tcPr>
            <w:tcW w:w="654" w:type="dxa"/>
            <w:tcBorders>
              <w:top w:val="nil"/>
              <w:bottom w:val="single" w:sz="8" w:space="0" w:color="F3CFC1"/>
            </w:tcBorders>
            <w:shd w:val="clear" w:color="auto" w:fill="auto"/>
            <w:noWrap/>
            <w:vAlign w:val="center"/>
          </w:tcPr>
          <w:p w14:paraId="5453FEDE" w14:textId="495ACF7E"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3.913</w:t>
            </w:r>
          </w:p>
        </w:tc>
        <w:tc>
          <w:tcPr>
            <w:tcW w:w="775" w:type="dxa"/>
            <w:tcBorders>
              <w:top w:val="nil"/>
              <w:bottom w:val="single" w:sz="8" w:space="0" w:color="F3CFC1"/>
              <w:right w:val="nil"/>
            </w:tcBorders>
            <w:shd w:val="clear" w:color="auto" w:fill="auto"/>
            <w:noWrap/>
            <w:vAlign w:val="center"/>
          </w:tcPr>
          <w:p w14:paraId="35656F47" w14:textId="6B38AF03"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3.927</w:t>
            </w:r>
          </w:p>
        </w:tc>
        <w:tc>
          <w:tcPr>
            <w:tcW w:w="695" w:type="dxa"/>
            <w:tcBorders>
              <w:top w:val="nil"/>
              <w:left w:val="nil"/>
              <w:bottom w:val="single" w:sz="8" w:space="0" w:color="F3CFC1"/>
              <w:right w:val="single" w:sz="4" w:space="0" w:color="D2232A"/>
            </w:tcBorders>
            <w:vAlign w:val="center"/>
          </w:tcPr>
          <w:p w14:paraId="5306C535" w14:textId="7EEF14D4" w:rsidR="00CB2796" w:rsidRPr="00A06A64" w:rsidRDefault="00D42A3A"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3.975</w:t>
            </w:r>
          </w:p>
        </w:tc>
        <w:tc>
          <w:tcPr>
            <w:tcW w:w="747" w:type="dxa"/>
            <w:tcBorders>
              <w:top w:val="nil"/>
              <w:left w:val="single" w:sz="4" w:space="0" w:color="D2232A"/>
              <w:bottom w:val="single" w:sz="8" w:space="0" w:color="F3CFC1"/>
            </w:tcBorders>
            <w:noWrap/>
            <w:vAlign w:val="center"/>
            <w:hideMark/>
          </w:tcPr>
          <w:p w14:paraId="0F6ACE76" w14:textId="36757498"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23.088</w:t>
            </w:r>
          </w:p>
        </w:tc>
        <w:tc>
          <w:tcPr>
            <w:tcW w:w="843" w:type="dxa"/>
            <w:tcBorders>
              <w:top w:val="nil"/>
              <w:bottom w:val="single" w:sz="8" w:space="0" w:color="F3CFC1"/>
            </w:tcBorders>
            <w:noWrap/>
            <w:vAlign w:val="center"/>
            <w:hideMark/>
          </w:tcPr>
          <w:p w14:paraId="0F7F4C47" w14:textId="1FA3136C"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23.049</w:t>
            </w:r>
          </w:p>
        </w:tc>
        <w:tc>
          <w:tcPr>
            <w:tcW w:w="708" w:type="dxa"/>
            <w:tcBorders>
              <w:top w:val="nil"/>
              <w:bottom w:val="single" w:sz="8" w:space="0" w:color="F3CFC1"/>
              <w:right w:val="nil"/>
            </w:tcBorders>
            <w:noWrap/>
            <w:vAlign w:val="center"/>
          </w:tcPr>
          <w:p w14:paraId="219DF73E" w14:textId="37689024"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23.130</w:t>
            </w:r>
          </w:p>
        </w:tc>
        <w:tc>
          <w:tcPr>
            <w:tcW w:w="709" w:type="dxa"/>
            <w:tcBorders>
              <w:top w:val="nil"/>
              <w:left w:val="nil"/>
              <w:bottom w:val="single" w:sz="8" w:space="0" w:color="F3CFC1"/>
              <w:right w:val="single" w:sz="8" w:space="0" w:color="D2232A"/>
            </w:tcBorders>
            <w:vAlign w:val="center"/>
          </w:tcPr>
          <w:p w14:paraId="1EAD1AE1" w14:textId="1FFFF24D"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23.221</w:t>
            </w:r>
          </w:p>
        </w:tc>
      </w:tr>
      <w:tr w:rsidR="00565F25" w:rsidRPr="009B61D3" w14:paraId="0F47C43F" w14:textId="71ECF9FC" w:rsidTr="00303A32">
        <w:trPr>
          <w:trHeight w:val="306"/>
        </w:trPr>
        <w:tc>
          <w:tcPr>
            <w:tcW w:w="1231" w:type="dxa"/>
            <w:tcBorders>
              <w:top w:val="single" w:sz="8" w:space="0" w:color="F3CFC1"/>
              <w:bottom w:val="single" w:sz="8" w:space="0" w:color="F3CFC1"/>
              <w:right w:val="single" w:sz="4" w:space="0" w:color="FFFFFF"/>
            </w:tcBorders>
            <w:shd w:val="clear" w:color="auto" w:fill="D2232A"/>
            <w:noWrap/>
            <w:vAlign w:val="center"/>
            <w:hideMark/>
          </w:tcPr>
          <w:p w14:paraId="05816B42" w14:textId="3D6EB575" w:rsidR="00CB2796" w:rsidRPr="009B61D3" w:rsidRDefault="00CB2796" w:rsidP="007E7A72">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Broj postelja na 1.000 st</w:t>
            </w:r>
            <w:r w:rsidR="00A06A64">
              <w:rPr>
                <w:rFonts w:eastAsia="Times New Roman" w:cstheme="minorHAnsi"/>
                <w:color w:val="FFFFFF"/>
                <w:szCs w:val="18"/>
                <w:lang w:eastAsia="hr-HR"/>
              </w:rPr>
              <w:t>.</w:t>
            </w:r>
          </w:p>
        </w:tc>
        <w:tc>
          <w:tcPr>
            <w:tcW w:w="703" w:type="dxa"/>
            <w:tcBorders>
              <w:top w:val="single" w:sz="8" w:space="0" w:color="F3CFC1"/>
              <w:left w:val="single" w:sz="4" w:space="0" w:color="FFFFFF"/>
              <w:bottom w:val="single" w:sz="8" w:space="0" w:color="F3CFC1"/>
            </w:tcBorders>
            <w:noWrap/>
            <w:vAlign w:val="center"/>
            <w:hideMark/>
          </w:tcPr>
          <w:p w14:paraId="50FC7EB2" w14:textId="3399C483"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9,00</w:t>
            </w:r>
          </w:p>
        </w:tc>
        <w:tc>
          <w:tcPr>
            <w:tcW w:w="690" w:type="dxa"/>
            <w:tcBorders>
              <w:top w:val="single" w:sz="8" w:space="0" w:color="F3CFC1"/>
              <w:bottom w:val="single" w:sz="8" w:space="0" w:color="F3CFC1"/>
            </w:tcBorders>
            <w:noWrap/>
            <w:vAlign w:val="center"/>
            <w:hideMark/>
          </w:tcPr>
          <w:p w14:paraId="01954397" w14:textId="0E7836AE"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8,98</w:t>
            </w:r>
          </w:p>
        </w:tc>
        <w:tc>
          <w:tcPr>
            <w:tcW w:w="690" w:type="dxa"/>
            <w:tcBorders>
              <w:top w:val="single" w:sz="8" w:space="0" w:color="F3CFC1"/>
              <w:bottom w:val="single" w:sz="8" w:space="0" w:color="F3CFC1"/>
              <w:right w:val="nil"/>
            </w:tcBorders>
            <w:noWrap/>
            <w:vAlign w:val="center"/>
          </w:tcPr>
          <w:p w14:paraId="564EB1ED" w14:textId="64BA3920"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9,10</w:t>
            </w:r>
          </w:p>
        </w:tc>
        <w:tc>
          <w:tcPr>
            <w:tcW w:w="668" w:type="dxa"/>
            <w:tcBorders>
              <w:top w:val="single" w:sz="8" w:space="0" w:color="F3CFC1"/>
              <w:left w:val="nil"/>
              <w:bottom w:val="single" w:sz="8" w:space="0" w:color="F3CFC1"/>
              <w:right w:val="single" w:sz="8" w:space="0" w:color="D2232A"/>
            </w:tcBorders>
            <w:vAlign w:val="center"/>
          </w:tcPr>
          <w:p w14:paraId="288ACBC0" w14:textId="1C651F11"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9,38</w:t>
            </w:r>
          </w:p>
        </w:tc>
        <w:tc>
          <w:tcPr>
            <w:tcW w:w="668" w:type="dxa"/>
            <w:tcBorders>
              <w:top w:val="single" w:sz="8" w:space="0" w:color="F3CFC1"/>
              <w:left w:val="single" w:sz="8" w:space="0" w:color="D2232A"/>
              <w:bottom w:val="single" w:sz="8" w:space="0" w:color="F3CFC1"/>
            </w:tcBorders>
            <w:shd w:val="clear" w:color="auto" w:fill="auto"/>
            <w:noWrap/>
            <w:vAlign w:val="center"/>
          </w:tcPr>
          <w:p w14:paraId="240CA22C" w14:textId="37007B66"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5,2</w:t>
            </w:r>
          </w:p>
        </w:tc>
        <w:tc>
          <w:tcPr>
            <w:tcW w:w="654" w:type="dxa"/>
            <w:tcBorders>
              <w:top w:val="single" w:sz="8" w:space="0" w:color="F3CFC1"/>
              <w:bottom w:val="single" w:sz="8" w:space="0" w:color="F3CFC1"/>
            </w:tcBorders>
            <w:shd w:val="clear" w:color="auto" w:fill="auto"/>
            <w:noWrap/>
            <w:vAlign w:val="center"/>
          </w:tcPr>
          <w:p w14:paraId="13B64575" w14:textId="24D57860"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5,16</w:t>
            </w:r>
          </w:p>
        </w:tc>
        <w:tc>
          <w:tcPr>
            <w:tcW w:w="775" w:type="dxa"/>
            <w:tcBorders>
              <w:top w:val="single" w:sz="8" w:space="0" w:color="F3CFC1"/>
              <w:bottom w:val="single" w:sz="8" w:space="0" w:color="F3CFC1"/>
              <w:right w:val="nil"/>
            </w:tcBorders>
            <w:shd w:val="clear" w:color="auto" w:fill="auto"/>
            <w:noWrap/>
            <w:vAlign w:val="center"/>
          </w:tcPr>
          <w:p w14:paraId="52935A51" w14:textId="2C931B39"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5,18</w:t>
            </w:r>
          </w:p>
        </w:tc>
        <w:tc>
          <w:tcPr>
            <w:tcW w:w="695" w:type="dxa"/>
            <w:tcBorders>
              <w:top w:val="single" w:sz="8" w:space="0" w:color="F3CFC1"/>
              <w:left w:val="nil"/>
              <w:bottom w:val="single" w:sz="8" w:space="0" w:color="F3CFC1"/>
              <w:right w:val="single" w:sz="4" w:space="0" w:color="D2232A"/>
            </w:tcBorders>
            <w:vAlign w:val="center"/>
          </w:tcPr>
          <w:p w14:paraId="335F2C6F" w14:textId="723F6FFC" w:rsidR="00CB2796" w:rsidRPr="00A06A64" w:rsidRDefault="00D42A3A"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5,25</w:t>
            </w:r>
          </w:p>
        </w:tc>
        <w:tc>
          <w:tcPr>
            <w:tcW w:w="747" w:type="dxa"/>
            <w:tcBorders>
              <w:top w:val="single" w:sz="8" w:space="0" w:color="F3CFC1"/>
              <w:left w:val="single" w:sz="4" w:space="0" w:color="D2232A"/>
              <w:bottom w:val="single" w:sz="8" w:space="0" w:color="F3CFC1"/>
            </w:tcBorders>
            <w:noWrap/>
            <w:vAlign w:val="center"/>
            <w:hideMark/>
          </w:tcPr>
          <w:p w14:paraId="79FCB3D5" w14:textId="45C861DD"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5,39</w:t>
            </w:r>
          </w:p>
        </w:tc>
        <w:tc>
          <w:tcPr>
            <w:tcW w:w="843" w:type="dxa"/>
            <w:tcBorders>
              <w:top w:val="single" w:sz="8" w:space="0" w:color="F3CFC1"/>
              <w:bottom w:val="single" w:sz="8" w:space="0" w:color="F3CFC1"/>
            </w:tcBorders>
            <w:noWrap/>
            <w:vAlign w:val="center"/>
            <w:hideMark/>
          </w:tcPr>
          <w:p w14:paraId="6E8BED7C" w14:textId="35D85C3B"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5,38</w:t>
            </w:r>
          </w:p>
        </w:tc>
        <w:tc>
          <w:tcPr>
            <w:tcW w:w="708" w:type="dxa"/>
            <w:tcBorders>
              <w:top w:val="single" w:sz="8" w:space="0" w:color="F3CFC1"/>
              <w:bottom w:val="single" w:sz="8" w:space="0" w:color="F3CFC1"/>
              <w:right w:val="nil"/>
            </w:tcBorders>
            <w:noWrap/>
            <w:vAlign w:val="center"/>
          </w:tcPr>
          <w:p w14:paraId="092298AC" w14:textId="4ADB9CDE"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5,4</w:t>
            </w:r>
          </w:p>
        </w:tc>
        <w:tc>
          <w:tcPr>
            <w:tcW w:w="709" w:type="dxa"/>
            <w:tcBorders>
              <w:top w:val="single" w:sz="8" w:space="0" w:color="F3CFC1"/>
              <w:left w:val="nil"/>
              <w:bottom w:val="single" w:sz="8" w:space="0" w:color="F3CFC1"/>
              <w:right w:val="single" w:sz="8" w:space="0" w:color="D2232A"/>
            </w:tcBorders>
            <w:vAlign w:val="center"/>
          </w:tcPr>
          <w:p w14:paraId="2B3F26FE" w14:textId="72233BC2"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5,42</w:t>
            </w:r>
          </w:p>
        </w:tc>
      </w:tr>
      <w:tr w:rsidR="00565F25" w:rsidRPr="009B61D3" w14:paraId="6B93B7AE" w14:textId="30C7AE39" w:rsidTr="00303A32">
        <w:trPr>
          <w:trHeight w:val="306"/>
        </w:trPr>
        <w:tc>
          <w:tcPr>
            <w:tcW w:w="1231" w:type="dxa"/>
            <w:tcBorders>
              <w:top w:val="single" w:sz="8" w:space="0" w:color="F3CFC1"/>
              <w:bottom w:val="nil"/>
              <w:right w:val="single" w:sz="4" w:space="0" w:color="FFFFFF"/>
            </w:tcBorders>
            <w:shd w:val="clear" w:color="auto" w:fill="D2232A"/>
            <w:noWrap/>
            <w:vAlign w:val="center"/>
            <w:hideMark/>
          </w:tcPr>
          <w:p w14:paraId="4F405C7C" w14:textId="77777777" w:rsidR="00CB2796" w:rsidRPr="009B61D3" w:rsidRDefault="00CB2796" w:rsidP="007E7A72">
            <w:pPr>
              <w:spacing w:after="0" w:line="240" w:lineRule="auto"/>
              <w:rPr>
                <w:rFonts w:eastAsia="Times New Roman" w:cstheme="minorHAnsi"/>
                <w:color w:val="FFFFFF"/>
                <w:szCs w:val="18"/>
                <w:lang w:eastAsia="hr-HR"/>
              </w:rPr>
            </w:pPr>
            <w:r w:rsidRPr="009B61D3">
              <w:rPr>
                <w:rFonts w:eastAsia="Times New Roman" w:cstheme="minorHAnsi"/>
                <w:color w:val="FFFFFF"/>
                <w:szCs w:val="18"/>
                <w:lang w:eastAsia="hr-HR"/>
              </w:rPr>
              <w:t>Broj doktora</w:t>
            </w:r>
          </w:p>
        </w:tc>
        <w:tc>
          <w:tcPr>
            <w:tcW w:w="703" w:type="dxa"/>
            <w:tcBorders>
              <w:top w:val="single" w:sz="8" w:space="0" w:color="F3CFC1"/>
              <w:left w:val="single" w:sz="4" w:space="0" w:color="FFFFFF"/>
              <w:bottom w:val="single" w:sz="4" w:space="0" w:color="D2232A"/>
            </w:tcBorders>
            <w:noWrap/>
            <w:vAlign w:val="center"/>
            <w:hideMark/>
          </w:tcPr>
          <w:p w14:paraId="7328D257" w14:textId="7067137C"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188</w:t>
            </w:r>
          </w:p>
        </w:tc>
        <w:tc>
          <w:tcPr>
            <w:tcW w:w="690" w:type="dxa"/>
            <w:tcBorders>
              <w:top w:val="single" w:sz="8" w:space="0" w:color="F3CFC1"/>
              <w:bottom w:val="single" w:sz="4" w:space="0" w:color="D2232A"/>
            </w:tcBorders>
            <w:noWrap/>
            <w:vAlign w:val="center"/>
            <w:hideMark/>
          </w:tcPr>
          <w:p w14:paraId="001A56E2" w14:textId="3BDD45A3"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184</w:t>
            </w:r>
          </w:p>
        </w:tc>
        <w:tc>
          <w:tcPr>
            <w:tcW w:w="690" w:type="dxa"/>
            <w:tcBorders>
              <w:top w:val="single" w:sz="8" w:space="0" w:color="F3CFC1"/>
              <w:bottom w:val="single" w:sz="4" w:space="0" w:color="D2232A"/>
              <w:right w:val="nil"/>
            </w:tcBorders>
            <w:noWrap/>
            <w:vAlign w:val="center"/>
          </w:tcPr>
          <w:p w14:paraId="0D83D892" w14:textId="6DC51193"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183</w:t>
            </w:r>
          </w:p>
        </w:tc>
        <w:tc>
          <w:tcPr>
            <w:tcW w:w="668" w:type="dxa"/>
            <w:tcBorders>
              <w:top w:val="single" w:sz="8" w:space="0" w:color="F3CFC1"/>
              <w:left w:val="nil"/>
              <w:bottom w:val="single" w:sz="4" w:space="0" w:color="D2232A"/>
              <w:right w:val="single" w:sz="8" w:space="0" w:color="D2232A"/>
            </w:tcBorders>
            <w:vAlign w:val="center"/>
          </w:tcPr>
          <w:p w14:paraId="68167FA3" w14:textId="14D7ECF9"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209</w:t>
            </w:r>
          </w:p>
        </w:tc>
        <w:tc>
          <w:tcPr>
            <w:tcW w:w="668" w:type="dxa"/>
            <w:tcBorders>
              <w:top w:val="single" w:sz="8" w:space="0" w:color="F3CFC1"/>
              <w:left w:val="single" w:sz="8" w:space="0" w:color="D2232A"/>
              <w:bottom w:val="single" w:sz="4" w:space="0" w:color="D2232A"/>
            </w:tcBorders>
            <w:shd w:val="clear" w:color="auto" w:fill="auto"/>
            <w:noWrap/>
            <w:vAlign w:val="center"/>
          </w:tcPr>
          <w:p w14:paraId="161822EC" w14:textId="6FB75A77"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676</w:t>
            </w:r>
          </w:p>
        </w:tc>
        <w:tc>
          <w:tcPr>
            <w:tcW w:w="654" w:type="dxa"/>
            <w:tcBorders>
              <w:top w:val="single" w:sz="8" w:space="0" w:color="F3CFC1"/>
              <w:bottom w:val="single" w:sz="4" w:space="0" w:color="D2232A"/>
            </w:tcBorders>
            <w:shd w:val="clear" w:color="auto" w:fill="auto"/>
            <w:noWrap/>
            <w:vAlign w:val="center"/>
          </w:tcPr>
          <w:p w14:paraId="37007D53" w14:textId="73A3B840"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660</w:t>
            </w:r>
          </w:p>
        </w:tc>
        <w:tc>
          <w:tcPr>
            <w:tcW w:w="775" w:type="dxa"/>
            <w:tcBorders>
              <w:top w:val="single" w:sz="8" w:space="0" w:color="F3CFC1"/>
              <w:bottom w:val="single" w:sz="4" w:space="0" w:color="D2232A"/>
              <w:right w:val="nil"/>
            </w:tcBorders>
            <w:shd w:val="clear" w:color="auto" w:fill="auto"/>
            <w:noWrap/>
            <w:vAlign w:val="center"/>
          </w:tcPr>
          <w:p w14:paraId="28D4B107" w14:textId="17D03261" w:rsidR="00CB2796" w:rsidRPr="00A06A64" w:rsidRDefault="00CB2796" w:rsidP="00303A32">
            <w:pPr>
              <w:spacing w:after="0" w:line="240" w:lineRule="auto"/>
              <w:jc w:val="left"/>
              <w:rPr>
                <w:rFonts w:eastAsia="Times New Roman" w:cstheme="minorHAnsi"/>
                <w:sz w:val="16"/>
                <w:szCs w:val="16"/>
                <w:lang w:eastAsia="hr-HR"/>
              </w:rPr>
            </w:pPr>
            <w:r w:rsidRPr="00A06A64">
              <w:rPr>
                <w:rFonts w:eastAsia="Times New Roman" w:cstheme="minorHAnsi"/>
                <w:sz w:val="16"/>
                <w:szCs w:val="16"/>
                <w:lang w:eastAsia="hr-HR"/>
              </w:rPr>
              <w:t>660</w:t>
            </w:r>
          </w:p>
        </w:tc>
        <w:tc>
          <w:tcPr>
            <w:tcW w:w="695" w:type="dxa"/>
            <w:tcBorders>
              <w:top w:val="single" w:sz="8" w:space="0" w:color="F3CFC1"/>
              <w:left w:val="nil"/>
              <w:bottom w:val="single" w:sz="4" w:space="0" w:color="D2232A"/>
              <w:right w:val="single" w:sz="4" w:space="0" w:color="D2232A"/>
            </w:tcBorders>
            <w:vAlign w:val="center"/>
          </w:tcPr>
          <w:p w14:paraId="40C5E7AF" w14:textId="192F3673" w:rsidR="00CB2796" w:rsidRPr="00A06A64" w:rsidRDefault="00D42A3A"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736</w:t>
            </w:r>
          </w:p>
        </w:tc>
        <w:tc>
          <w:tcPr>
            <w:tcW w:w="747" w:type="dxa"/>
            <w:tcBorders>
              <w:top w:val="single" w:sz="8" w:space="0" w:color="F3CFC1"/>
              <w:left w:val="single" w:sz="4" w:space="0" w:color="D2232A"/>
              <w:bottom w:val="single" w:sz="4" w:space="0" w:color="D2232A"/>
            </w:tcBorders>
            <w:noWrap/>
            <w:vAlign w:val="center"/>
            <w:hideMark/>
          </w:tcPr>
          <w:p w14:paraId="0298175D" w14:textId="65386D4C"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6.510</w:t>
            </w:r>
          </w:p>
        </w:tc>
        <w:tc>
          <w:tcPr>
            <w:tcW w:w="843" w:type="dxa"/>
            <w:tcBorders>
              <w:top w:val="single" w:sz="8" w:space="0" w:color="F3CFC1"/>
              <w:bottom w:val="single" w:sz="4" w:space="0" w:color="D2232A"/>
            </w:tcBorders>
            <w:noWrap/>
            <w:vAlign w:val="center"/>
            <w:hideMark/>
          </w:tcPr>
          <w:p w14:paraId="1FC4F8A5" w14:textId="3E355709"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6.642</w:t>
            </w:r>
          </w:p>
        </w:tc>
        <w:tc>
          <w:tcPr>
            <w:tcW w:w="708" w:type="dxa"/>
            <w:tcBorders>
              <w:top w:val="single" w:sz="8" w:space="0" w:color="F3CFC1"/>
              <w:bottom w:val="single" w:sz="4" w:space="0" w:color="D2232A"/>
              <w:right w:val="nil"/>
            </w:tcBorders>
            <w:noWrap/>
            <w:vAlign w:val="center"/>
          </w:tcPr>
          <w:p w14:paraId="62838BB6" w14:textId="3A3CC2F8"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6.838</w:t>
            </w:r>
          </w:p>
        </w:tc>
        <w:tc>
          <w:tcPr>
            <w:tcW w:w="709" w:type="dxa"/>
            <w:tcBorders>
              <w:top w:val="single" w:sz="8" w:space="0" w:color="F3CFC1"/>
              <w:left w:val="nil"/>
              <w:bottom w:val="single" w:sz="4" w:space="0" w:color="D2232A"/>
              <w:right w:val="single" w:sz="8" w:space="0" w:color="D2232A"/>
            </w:tcBorders>
            <w:vAlign w:val="center"/>
          </w:tcPr>
          <w:p w14:paraId="77739346" w14:textId="1ED3253D" w:rsidR="00CB2796" w:rsidRPr="00A06A64" w:rsidRDefault="00CB2796" w:rsidP="00303A32">
            <w:pPr>
              <w:spacing w:after="0" w:line="240" w:lineRule="auto"/>
              <w:jc w:val="left"/>
              <w:rPr>
                <w:rFonts w:eastAsia="Times New Roman" w:cstheme="minorHAnsi"/>
                <w:color w:val="000000"/>
                <w:sz w:val="16"/>
                <w:szCs w:val="16"/>
                <w:lang w:eastAsia="hr-HR"/>
              </w:rPr>
            </w:pPr>
            <w:r w:rsidRPr="00A06A64">
              <w:rPr>
                <w:rFonts w:eastAsia="Times New Roman" w:cstheme="minorHAnsi"/>
                <w:color w:val="000000"/>
                <w:sz w:val="16"/>
                <w:szCs w:val="16"/>
                <w:lang w:eastAsia="hr-HR"/>
              </w:rPr>
              <w:t>7.117</w:t>
            </w:r>
          </w:p>
        </w:tc>
      </w:tr>
    </w:tbl>
    <w:p w14:paraId="51A6BC28" w14:textId="0184EAB2" w:rsidR="008878A0" w:rsidRDefault="008878A0" w:rsidP="00981189">
      <w:pPr>
        <w:autoSpaceDE w:val="0"/>
        <w:autoSpaceDN w:val="0"/>
        <w:adjustRightInd w:val="0"/>
        <w:spacing w:after="0" w:line="240" w:lineRule="auto"/>
        <w:rPr>
          <w:rFonts w:eastAsia="ArialNarrow" w:cstheme="minorHAnsi"/>
          <w:i/>
          <w:color w:val="ABABAB" w:themeColor="text1" w:themeTint="A6"/>
          <w:sz w:val="16"/>
          <w:szCs w:val="16"/>
        </w:rPr>
      </w:pPr>
      <w:r w:rsidRPr="00981189">
        <w:rPr>
          <w:rFonts w:eastAsia="ArialNarrow" w:cstheme="minorHAnsi"/>
          <w:i/>
          <w:color w:val="ABABAB" w:themeColor="text1" w:themeTint="A6"/>
          <w:sz w:val="16"/>
          <w:szCs w:val="16"/>
        </w:rPr>
        <w:lastRenderedPageBreak/>
        <w:t xml:space="preserve">Izvor: Hrvatski zdravstveno statistički ljetopis </w:t>
      </w:r>
      <w:r w:rsidR="00BA7693" w:rsidRPr="00981189">
        <w:rPr>
          <w:rFonts w:eastAsia="ArialNarrow" w:cstheme="minorHAnsi"/>
          <w:i/>
          <w:color w:val="ABABAB" w:themeColor="text1" w:themeTint="A6"/>
          <w:sz w:val="16"/>
          <w:szCs w:val="16"/>
        </w:rPr>
        <w:t xml:space="preserve">2016., 2017., </w:t>
      </w:r>
      <w:r w:rsidRPr="00981189">
        <w:rPr>
          <w:rFonts w:eastAsia="ArialNarrow" w:cstheme="minorHAnsi"/>
          <w:i/>
          <w:color w:val="ABABAB" w:themeColor="text1" w:themeTint="A6"/>
          <w:sz w:val="16"/>
          <w:szCs w:val="16"/>
        </w:rPr>
        <w:t>201</w:t>
      </w:r>
      <w:r w:rsidR="00042B79" w:rsidRPr="00981189">
        <w:rPr>
          <w:rFonts w:eastAsia="ArialNarrow" w:cstheme="minorHAnsi"/>
          <w:i/>
          <w:color w:val="ABABAB" w:themeColor="text1" w:themeTint="A6"/>
          <w:sz w:val="16"/>
          <w:szCs w:val="16"/>
        </w:rPr>
        <w:t>8</w:t>
      </w:r>
      <w:r w:rsidRPr="00981189">
        <w:rPr>
          <w:rFonts w:eastAsia="ArialNarrow" w:cstheme="minorHAnsi"/>
          <w:i/>
          <w:color w:val="ABABAB" w:themeColor="text1" w:themeTint="A6"/>
          <w:sz w:val="16"/>
          <w:szCs w:val="16"/>
        </w:rPr>
        <w:t>.</w:t>
      </w:r>
      <w:r w:rsidR="00A03517" w:rsidRPr="00981189">
        <w:rPr>
          <w:rFonts w:eastAsia="ArialNarrow" w:cstheme="minorHAnsi"/>
          <w:i/>
          <w:color w:val="ABABAB" w:themeColor="text1" w:themeTint="A6"/>
          <w:sz w:val="16"/>
          <w:szCs w:val="16"/>
        </w:rPr>
        <w:t>; Hrvatski zdravstveno-statistički ljetopis za 2019. – tablični podaci.</w:t>
      </w:r>
    </w:p>
    <w:p w14:paraId="632C56C0" w14:textId="77777777" w:rsidR="00981189" w:rsidRPr="00981189" w:rsidRDefault="00981189" w:rsidP="00981189">
      <w:pPr>
        <w:autoSpaceDE w:val="0"/>
        <w:autoSpaceDN w:val="0"/>
        <w:adjustRightInd w:val="0"/>
        <w:spacing w:after="0" w:line="240" w:lineRule="auto"/>
        <w:rPr>
          <w:rFonts w:eastAsia="ArialNarrow" w:cstheme="minorHAnsi"/>
          <w:i/>
          <w:color w:val="ABABAB" w:themeColor="text1" w:themeTint="A6"/>
          <w:sz w:val="16"/>
          <w:szCs w:val="16"/>
        </w:rPr>
      </w:pPr>
    </w:p>
    <w:p w14:paraId="3AD4310A" w14:textId="77777777" w:rsidR="00620ED1" w:rsidRDefault="008878A0" w:rsidP="00620ED1">
      <w:pPr>
        <w:autoSpaceDE w:val="0"/>
        <w:autoSpaceDN w:val="0"/>
        <w:adjustRightInd w:val="0"/>
        <w:spacing w:after="0" w:line="240" w:lineRule="auto"/>
        <w:rPr>
          <w:rFonts w:eastAsia="ArialNarrow" w:cstheme="minorHAnsi"/>
        </w:rPr>
      </w:pPr>
      <w:r>
        <w:rPr>
          <w:rFonts w:eastAsia="ArialNarrow" w:cstheme="minorHAnsi"/>
        </w:rPr>
        <w:t>Iz prethodne tablice moguće je primijetiti</w:t>
      </w:r>
      <w:r w:rsidR="009947BD">
        <w:rPr>
          <w:rFonts w:eastAsia="ArialNarrow" w:cstheme="minorHAnsi"/>
        </w:rPr>
        <w:t xml:space="preserve"> manje oscilacije u promjeni broja </w:t>
      </w:r>
      <w:r>
        <w:rPr>
          <w:rFonts w:eastAsia="ArialNarrow" w:cstheme="minorHAnsi"/>
        </w:rPr>
        <w:t xml:space="preserve">postelja </w:t>
      </w:r>
      <w:r w:rsidR="009947BD">
        <w:rPr>
          <w:rFonts w:eastAsia="ArialNarrow" w:cstheme="minorHAnsi"/>
        </w:rPr>
        <w:t>u svim promatranim područjima te da Krapinsko-zagorska županija</w:t>
      </w:r>
      <w:r w:rsidR="00AE4834">
        <w:rPr>
          <w:rFonts w:eastAsia="ArialNarrow" w:cstheme="minorHAnsi"/>
        </w:rPr>
        <w:t xml:space="preserve"> (9 postelja na 1.000 stanovnika)</w:t>
      </w:r>
      <w:r w:rsidR="009947BD">
        <w:rPr>
          <w:rFonts w:eastAsia="ArialNarrow" w:cstheme="minorHAnsi"/>
        </w:rPr>
        <w:t xml:space="preserve"> ima dvostruko više postelja na 1.000 stanovnika u odnosu na Sjever</w:t>
      </w:r>
      <w:r w:rsidR="00AE037E">
        <w:rPr>
          <w:rFonts w:eastAsia="ArialNarrow" w:cstheme="minorHAnsi"/>
        </w:rPr>
        <w:t>nu</w:t>
      </w:r>
      <w:r>
        <w:rPr>
          <w:rFonts w:eastAsia="ArialNarrow" w:cstheme="minorHAnsi"/>
        </w:rPr>
        <w:t xml:space="preserve"> Hrvatsk</w:t>
      </w:r>
      <w:r w:rsidR="009947BD">
        <w:rPr>
          <w:rFonts w:eastAsia="ArialNarrow" w:cstheme="minorHAnsi"/>
        </w:rPr>
        <w:t>u</w:t>
      </w:r>
      <w:r>
        <w:rPr>
          <w:rFonts w:eastAsia="ArialNarrow" w:cstheme="minorHAnsi"/>
        </w:rPr>
        <w:t xml:space="preserve"> i cijel</w:t>
      </w:r>
      <w:r w:rsidR="009947BD">
        <w:rPr>
          <w:rFonts w:eastAsia="ArialNarrow" w:cstheme="minorHAnsi"/>
        </w:rPr>
        <w:t>u</w:t>
      </w:r>
      <w:r>
        <w:rPr>
          <w:rFonts w:eastAsia="ArialNarrow" w:cstheme="minorHAnsi"/>
        </w:rPr>
        <w:t xml:space="preserve"> Republik</w:t>
      </w:r>
      <w:r w:rsidR="009947BD">
        <w:rPr>
          <w:rFonts w:eastAsia="ArialNarrow" w:cstheme="minorHAnsi"/>
        </w:rPr>
        <w:t xml:space="preserve">u </w:t>
      </w:r>
      <w:r>
        <w:rPr>
          <w:rFonts w:eastAsia="ArialNarrow" w:cstheme="minorHAnsi"/>
        </w:rPr>
        <w:t>Hrvatsk</w:t>
      </w:r>
      <w:r w:rsidR="009947BD">
        <w:rPr>
          <w:rFonts w:eastAsia="ArialNarrow" w:cstheme="minorHAnsi"/>
        </w:rPr>
        <w:t>u</w:t>
      </w:r>
      <w:r w:rsidR="00AE4834">
        <w:rPr>
          <w:rFonts w:eastAsia="ArialNarrow" w:cstheme="minorHAnsi"/>
        </w:rPr>
        <w:t xml:space="preserve"> (5 postelja na 1.000 stanovnika)</w:t>
      </w:r>
      <w:r w:rsidR="009947BD">
        <w:rPr>
          <w:rFonts w:eastAsia="ArialNarrow" w:cstheme="minorHAnsi"/>
        </w:rPr>
        <w:t xml:space="preserve">. Broj postelja na 1.000 stanovnika </w:t>
      </w:r>
      <w:r>
        <w:rPr>
          <w:rFonts w:eastAsia="ArialNarrow" w:cstheme="minorHAnsi"/>
        </w:rPr>
        <w:t>na području Krapinsko-zagorske županije</w:t>
      </w:r>
      <w:r w:rsidR="009947BD">
        <w:rPr>
          <w:rFonts w:eastAsia="ArialNarrow" w:cstheme="minorHAnsi"/>
        </w:rPr>
        <w:t xml:space="preserve"> se</w:t>
      </w:r>
      <w:r>
        <w:rPr>
          <w:rFonts w:eastAsia="ArialNarrow" w:cstheme="minorHAnsi"/>
        </w:rPr>
        <w:t xml:space="preserve"> povećao i to </w:t>
      </w:r>
      <w:r w:rsidR="00B65CB6">
        <w:rPr>
          <w:rFonts w:eastAsia="ArialNarrow" w:cstheme="minorHAnsi"/>
        </w:rPr>
        <w:t>od 1.</w:t>
      </w:r>
      <w:r w:rsidR="00A03517">
        <w:rPr>
          <w:rFonts w:eastAsia="ArialNarrow" w:cstheme="minorHAnsi"/>
        </w:rPr>
        <w:t>196</w:t>
      </w:r>
      <w:r w:rsidR="00B65CB6">
        <w:rPr>
          <w:rFonts w:eastAsia="ArialNarrow" w:cstheme="minorHAnsi"/>
        </w:rPr>
        <w:t xml:space="preserve"> u 201</w:t>
      </w:r>
      <w:r w:rsidR="00A03517">
        <w:rPr>
          <w:rFonts w:eastAsia="ArialNarrow" w:cstheme="minorHAnsi"/>
        </w:rPr>
        <w:t>6</w:t>
      </w:r>
      <w:r w:rsidR="00B65CB6">
        <w:rPr>
          <w:rFonts w:eastAsia="ArialNarrow" w:cstheme="minorHAnsi"/>
        </w:rPr>
        <w:t xml:space="preserve">. godini </w:t>
      </w:r>
      <w:r>
        <w:rPr>
          <w:rFonts w:eastAsia="ArialNarrow" w:cstheme="minorHAnsi"/>
        </w:rPr>
        <w:t>n</w:t>
      </w:r>
      <w:r w:rsidR="00137EA3">
        <w:rPr>
          <w:rFonts w:eastAsia="ArialNarrow" w:cstheme="minorHAnsi"/>
        </w:rPr>
        <w:t>a</w:t>
      </w:r>
      <w:r>
        <w:rPr>
          <w:rFonts w:eastAsia="ArialNarrow" w:cstheme="minorHAnsi"/>
        </w:rPr>
        <w:t xml:space="preserve"> 1.</w:t>
      </w:r>
      <w:r w:rsidR="00C45E6E">
        <w:rPr>
          <w:rFonts w:eastAsia="ArialNarrow" w:cstheme="minorHAnsi"/>
        </w:rPr>
        <w:t>2</w:t>
      </w:r>
      <w:r w:rsidR="00A03517">
        <w:rPr>
          <w:rFonts w:eastAsia="ArialNarrow" w:cstheme="minorHAnsi"/>
        </w:rPr>
        <w:t>47</w:t>
      </w:r>
      <w:r w:rsidR="009947BD">
        <w:rPr>
          <w:rFonts w:eastAsia="ArialNarrow" w:cstheme="minorHAnsi"/>
        </w:rPr>
        <w:t xml:space="preserve"> postelja</w:t>
      </w:r>
      <w:r>
        <w:rPr>
          <w:rFonts w:eastAsia="ArialNarrow" w:cstheme="minorHAnsi"/>
        </w:rPr>
        <w:t xml:space="preserve"> u 201</w:t>
      </w:r>
      <w:r w:rsidR="00A03517">
        <w:rPr>
          <w:rFonts w:eastAsia="ArialNarrow" w:cstheme="minorHAnsi"/>
        </w:rPr>
        <w:t>9</w:t>
      </w:r>
      <w:r>
        <w:rPr>
          <w:rFonts w:eastAsia="ArialNarrow" w:cstheme="minorHAnsi"/>
        </w:rPr>
        <w:t xml:space="preserve">. godini. </w:t>
      </w:r>
    </w:p>
    <w:p w14:paraId="770DF03D" w14:textId="77777777" w:rsidR="00620ED1" w:rsidRDefault="00620ED1" w:rsidP="00620ED1">
      <w:pPr>
        <w:autoSpaceDE w:val="0"/>
        <w:autoSpaceDN w:val="0"/>
        <w:adjustRightInd w:val="0"/>
        <w:spacing w:after="0" w:line="240" w:lineRule="auto"/>
        <w:rPr>
          <w:rFonts w:eastAsia="ArialNarrow" w:cstheme="minorHAnsi"/>
        </w:rPr>
      </w:pPr>
    </w:p>
    <w:p w14:paraId="6D1CC333" w14:textId="0F8DC003" w:rsidR="005744B6" w:rsidRPr="007B70A2" w:rsidRDefault="005744B6" w:rsidP="003E3F3C">
      <w:pPr>
        <w:pStyle w:val="Opisslike"/>
      </w:pPr>
      <w:r>
        <w:t xml:space="preserve">Grafikon </w:t>
      </w:r>
      <w:r w:rsidR="0098661B">
        <w:t>1</w:t>
      </w:r>
      <w:r w:rsidR="00201691">
        <w:t>7</w:t>
      </w:r>
      <w:r w:rsidR="0026418E">
        <w:t>.</w:t>
      </w:r>
      <w:r>
        <w:t xml:space="preserve"> </w:t>
      </w:r>
      <w:bookmarkStart w:id="95" w:name="_Hlk67040167"/>
      <w:r>
        <w:t>Broj postelja na 1.000 stanovnika u stacionarnim ustanovama Krapinsko-zagorska županija</w:t>
      </w:r>
      <w:bookmarkEnd w:id="95"/>
      <w:r>
        <w:t xml:space="preserve">, </w:t>
      </w:r>
      <w:r w:rsidR="00C7437E">
        <w:t>Sjevern</w:t>
      </w:r>
      <w:r>
        <w:t>a Hrvatska i Republika Hrvatska 2016.</w:t>
      </w:r>
      <w:r w:rsidR="00201691">
        <w:t xml:space="preserve"> </w:t>
      </w:r>
      <w:r>
        <w:t>-</w:t>
      </w:r>
      <w:r w:rsidR="00201691">
        <w:t xml:space="preserve"> </w:t>
      </w:r>
      <w:r>
        <w:t>201</w:t>
      </w:r>
      <w:r w:rsidR="00BF2A39">
        <w:t>9</w:t>
      </w:r>
      <w:r>
        <w:t>.</w:t>
      </w:r>
    </w:p>
    <w:p w14:paraId="3CF9AA71" w14:textId="4C0BDF5F" w:rsidR="00DB655B" w:rsidRDefault="00BF2A39" w:rsidP="00201691">
      <w:pPr>
        <w:pStyle w:val="Izvor"/>
      </w:pPr>
      <w:r>
        <w:rPr>
          <w:noProof/>
        </w:rPr>
        <w:drawing>
          <wp:inline distT="0" distB="0" distL="0" distR="0" wp14:anchorId="35DF0372" wp14:editId="7960E040">
            <wp:extent cx="5854700" cy="1898650"/>
            <wp:effectExtent l="0" t="0" r="12700" b="6350"/>
            <wp:docPr id="41" name="Grafikon 41">
              <a:extLst xmlns:a="http://schemas.openxmlformats.org/drawingml/2006/main">
                <a:ext uri="{FF2B5EF4-FFF2-40B4-BE49-F238E27FC236}">
                  <a16:creationId xmlns:a16="http://schemas.microsoft.com/office/drawing/2014/main" id="{E6CD0D86-0FAE-430E-BBCD-1BB57E228F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008878A0" w:rsidRPr="00981189">
        <w:rPr>
          <w:i/>
          <w:color w:val="ABABAB" w:themeColor="text1" w:themeTint="A6"/>
          <w:sz w:val="16"/>
          <w:szCs w:val="16"/>
        </w:rPr>
        <w:t xml:space="preserve">Izvor: Hrvatski zdravstveno statistički ljetopis </w:t>
      </w:r>
      <w:r w:rsidR="004D037A" w:rsidRPr="00981189">
        <w:rPr>
          <w:i/>
          <w:color w:val="ABABAB" w:themeColor="text1" w:themeTint="A6"/>
          <w:sz w:val="16"/>
          <w:szCs w:val="16"/>
        </w:rPr>
        <w:t xml:space="preserve">2016., 2017., </w:t>
      </w:r>
      <w:r w:rsidR="008878A0" w:rsidRPr="00981189">
        <w:rPr>
          <w:i/>
          <w:color w:val="ABABAB" w:themeColor="text1" w:themeTint="A6"/>
          <w:sz w:val="16"/>
          <w:szCs w:val="16"/>
        </w:rPr>
        <w:t>201</w:t>
      </w:r>
      <w:r w:rsidR="00DB335E" w:rsidRPr="00981189">
        <w:rPr>
          <w:i/>
          <w:color w:val="ABABAB" w:themeColor="text1" w:themeTint="A6"/>
          <w:sz w:val="16"/>
          <w:szCs w:val="16"/>
        </w:rPr>
        <w:t>8</w:t>
      </w:r>
      <w:r w:rsidR="008878A0" w:rsidRPr="00981189">
        <w:rPr>
          <w:i/>
          <w:color w:val="ABABAB" w:themeColor="text1" w:themeTint="A6"/>
          <w:sz w:val="16"/>
          <w:szCs w:val="16"/>
        </w:rPr>
        <w:t>.</w:t>
      </w:r>
      <w:r w:rsidR="000E0938" w:rsidRPr="00981189">
        <w:rPr>
          <w:i/>
          <w:color w:val="ABABAB" w:themeColor="text1" w:themeTint="A6"/>
          <w:sz w:val="16"/>
          <w:szCs w:val="16"/>
        </w:rPr>
        <w:t>; Hrvatski zdravstveno-statistički ljetopis za 2019. – tablični podaci</w:t>
      </w:r>
    </w:p>
    <w:p w14:paraId="24B0E5E9" w14:textId="7EAD62B9" w:rsidR="007B70A2" w:rsidRDefault="00DB655B" w:rsidP="007B70A2">
      <w:pPr>
        <w:autoSpaceDE w:val="0"/>
        <w:autoSpaceDN w:val="0"/>
        <w:adjustRightInd w:val="0"/>
        <w:spacing w:after="0" w:line="240" w:lineRule="auto"/>
      </w:pPr>
      <w:r w:rsidRPr="00DB655B">
        <w:rPr>
          <w:rFonts w:eastAsia="ArialNarrow" w:cstheme="minorHAnsi"/>
          <w:szCs w:val="20"/>
        </w:rPr>
        <w:t xml:space="preserve">Grafikon u nastavku prikazuje broj </w:t>
      </w:r>
      <w:r>
        <w:rPr>
          <w:rFonts w:eastAsia="ArialNarrow" w:cstheme="minorHAnsi"/>
          <w:szCs w:val="20"/>
        </w:rPr>
        <w:t>liječnika</w:t>
      </w:r>
      <w:r w:rsidRPr="00DB655B">
        <w:rPr>
          <w:rFonts w:eastAsia="ArialNarrow" w:cstheme="minorHAnsi"/>
          <w:szCs w:val="20"/>
        </w:rPr>
        <w:t xml:space="preserve"> u stacionarnim ustanovama na području Republike Hrvatske, </w:t>
      </w:r>
      <w:r w:rsidR="00C7437E">
        <w:t>Sjevern</w:t>
      </w:r>
      <w:r w:rsidR="00F35284">
        <w:t>e</w:t>
      </w:r>
      <w:r w:rsidRPr="00DB655B">
        <w:t xml:space="preserve"> Hrvatske</w:t>
      </w:r>
      <w:r w:rsidRPr="00DB655B">
        <w:rPr>
          <w:rFonts w:eastAsia="ArialNarrow" w:cstheme="minorHAnsi"/>
          <w:szCs w:val="20"/>
        </w:rPr>
        <w:t xml:space="preserve"> i Krapinsko-zagorske županije u periodu od 201</w:t>
      </w:r>
      <w:r w:rsidR="00F35284">
        <w:rPr>
          <w:rFonts w:eastAsia="ArialNarrow" w:cstheme="minorHAnsi"/>
          <w:szCs w:val="20"/>
        </w:rPr>
        <w:t xml:space="preserve">6. godine do </w:t>
      </w:r>
      <w:r w:rsidRPr="00DB655B">
        <w:rPr>
          <w:rFonts w:eastAsia="ArialNarrow" w:cstheme="minorHAnsi"/>
          <w:szCs w:val="20"/>
        </w:rPr>
        <w:t>201</w:t>
      </w:r>
      <w:r w:rsidR="00D42A3A">
        <w:rPr>
          <w:rFonts w:eastAsia="ArialNarrow" w:cstheme="minorHAnsi"/>
          <w:szCs w:val="20"/>
        </w:rPr>
        <w:t>9</w:t>
      </w:r>
      <w:r w:rsidRPr="00DB655B">
        <w:rPr>
          <w:rFonts w:eastAsia="ArialNarrow" w:cstheme="minorHAnsi"/>
          <w:szCs w:val="20"/>
        </w:rPr>
        <w:t>. godine. Tako je na području Republike Hrvatske 201</w:t>
      </w:r>
      <w:r w:rsidR="00D42A3A">
        <w:rPr>
          <w:rFonts w:eastAsia="ArialNarrow" w:cstheme="minorHAnsi"/>
          <w:szCs w:val="20"/>
        </w:rPr>
        <w:t>9</w:t>
      </w:r>
      <w:r w:rsidRPr="00DB655B">
        <w:rPr>
          <w:rFonts w:eastAsia="ArialNarrow" w:cstheme="minorHAnsi"/>
          <w:szCs w:val="20"/>
        </w:rPr>
        <w:t>. godin</w:t>
      </w:r>
      <w:r w:rsidR="00AE037E">
        <w:rPr>
          <w:rFonts w:eastAsia="ArialNarrow" w:cstheme="minorHAnsi"/>
          <w:szCs w:val="20"/>
        </w:rPr>
        <w:t>e</w:t>
      </w:r>
      <w:r w:rsidRPr="00DB655B">
        <w:rPr>
          <w:rFonts w:eastAsia="ArialNarrow" w:cstheme="minorHAnsi"/>
          <w:szCs w:val="20"/>
        </w:rPr>
        <w:t xml:space="preserve"> bi</w:t>
      </w:r>
      <w:r w:rsidR="00AE037E">
        <w:rPr>
          <w:rFonts w:eastAsia="ArialNarrow" w:cstheme="minorHAnsi"/>
          <w:szCs w:val="20"/>
        </w:rPr>
        <w:t>l</w:t>
      </w:r>
      <w:r w:rsidRPr="00DB655B">
        <w:rPr>
          <w:rFonts w:eastAsia="ArialNarrow" w:cstheme="minorHAnsi"/>
          <w:szCs w:val="20"/>
        </w:rPr>
        <w:t xml:space="preserve">o </w:t>
      </w:r>
      <w:r w:rsidR="00D42A3A">
        <w:rPr>
          <w:rFonts w:eastAsia="ArialNarrow" w:cstheme="minorHAnsi"/>
          <w:szCs w:val="20"/>
        </w:rPr>
        <w:t>7.117</w:t>
      </w:r>
      <w:r w:rsidRPr="00DB655B">
        <w:rPr>
          <w:rFonts w:eastAsia="ArialNarrow" w:cstheme="minorHAnsi"/>
          <w:szCs w:val="20"/>
        </w:rPr>
        <w:t xml:space="preserve"> </w:t>
      </w:r>
      <w:r w:rsidR="00AE037E">
        <w:rPr>
          <w:rFonts w:eastAsia="ArialNarrow" w:cstheme="minorHAnsi"/>
          <w:szCs w:val="20"/>
        </w:rPr>
        <w:t xml:space="preserve">doktora, </w:t>
      </w:r>
      <w:r w:rsidR="00D42A3A">
        <w:rPr>
          <w:rFonts w:eastAsia="ArialNarrow" w:cstheme="minorHAnsi"/>
          <w:szCs w:val="20"/>
        </w:rPr>
        <w:t>607</w:t>
      </w:r>
      <w:r w:rsidRPr="00DB655B">
        <w:rPr>
          <w:rFonts w:eastAsia="ArialNarrow" w:cstheme="minorHAnsi"/>
          <w:szCs w:val="20"/>
        </w:rPr>
        <w:t xml:space="preserve"> </w:t>
      </w:r>
      <w:r w:rsidR="00AE037E">
        <w:rPr>
          <w:rFonts w:eastAsia="ArialNarrow" w:cstheme="minorHAnsi"/>
          <w:szCs w:val="20"/>
        </w:rPr>
        <w:t>više nego</w:t>
      </w:r>
      <w:r w:rsidRPr="00DB655B">
        <w:rPr>
          <w:rFonts w:eastAsia="ArialNarrow" w:cstheme="minorHAnsi"/>
          <w:szCs w:val="20"/>
        </w:rPr>
        <w:t xml:space="preserve"> 201</w:t>
      </w:r>
      <w:r w:rsidR="00D42A3A">
        <w:rPr>
          <w:rFonts w:eastAsia="ArialNarrow" w:cstheme="minorHAnsi"/>
          <w:szCs w:val="20"/>
        </w:rPr>
        <w:t>6</w:t>
      </w:r>
      <w:r w:rsidRPr="00DB655B">
        <w:rPr>
          <w:rFonts w:eastAsia="ArialNarrow" w:cstheme="minorHAnsi"/>
          <w:szCs w:val="20"/>
        </w:rPr>
        <w:t>. godin</w:t>
      </w:r>
      <w:r w:rsidR="005C256E">
        <w:rPr>
          <w:rFonts w:eastAsia="ArialNarrow" w:cstheme="minorHAnsi"/>
          <w:szCs w:val="20"/>
        </w:rPr>
        <w:t>e</w:t>
      </w:r>
      <w:r w:rsidRPr="00DB655B">
        <w:rPr>
          <w:rFonts w:eastAsia="ArialNarrow" w:cstheme="minorHAnsi"/>
          <w:szCs w:val="20"/>
        </w:rPr>
        <w:t>.</w:t>
      </w:r>
      <w:r w:rsidR="00D42A3A">
        <w:rPr>
          <w:rFonts w:eastAsia="ArialNarrow" w:cstheme="minorHAnsi"/>
          <w:szCs w:val="20"/>
        </w:rPr>
        <w:t xml:space="preserve"> Na razini Krapinsko-zagorske županije</w:t>
      </w:r>
      <w:r w:rsidR="00DF7D25">
        <w:rPr>
          <w:rFonts w:eastAsia="ArialNarrow" w:cstheme="minorHAnsi"/>
          <w:szCs w:val="20"/>
        </w:rPr>
        <w:t xml:space="preserve"> i Sjeverne Hrvatske</w:t>
      </w:r>
      <w:r w:rsidR="00D42A3A">
        <w:rPr>
          <w:rFonts w:eastAsia="ArialNarrow" w:cstheme="minorHAnsi"/>
          <w:szCs w:val="20"/>
        </w:rPr>
        <w:t xml:space="preserve"> također je došlo do povećanja broja doktora u 2019. godini</w:t>
      </w:r>
      <w:r w:rsidR="00DF7D25">
        <w:rPr>
          <w:rFonts w:eastAsia="ArialNarrow" w:cstheme="minorHAnsi"/>
          <w:szCs w:val="20"/>
        </w:rPr>
        <w:t>. U Krapinsko-zagorskoj županiji sada ih je više za</w:t>
      </w:r>
      <w:r w:rsidR="00D42A3A">
        <w:rPr>
          <w:rFonts w:eastAsia="ArialNarrow" w:cstheme="minorHAnsi"/>
          <w:szCs w:val="20"/>
        </w:rPr>
        <w:t xml:space="preserve"> 21 u odnosu na 2016. godinu</w:t>
      </w:r>
      <w:r w:rsidR="00DF7D25">
        <w:rPr>
          <w:rFonts w:eastAsia="ArialNarrow" w:cstheme="minorHAnsi"/>
          <w:szCs w:val="20"/>
        </w:rPr>
        <w:t>, dok ih je</w:t>
      </w:r>
      <w:r w:rsidR="00F40974">
        <w:rPr>
          <w:rFonts w:eastAsia="ArialNarrow" w:cstheme="minorHAnsi"/>
          <w:szCs w:val="20"/>
        </w:rPr>
        <w:t xml:space="preserve"> na</w:t>
      </w:r>
      <w:r w:rsidRPr="00DB655B">
        <w:rPr>
          <w:rFonts w:eastAsia="ArialNarrow" w:cstheme="minorHAnsi"/>
          <w:szCs w:val="20"/>
        </w:rPr>
        <w:t xml:space="preserve"> razini </w:t>
      </w:r>
      <w:r w:rsidR="00C7437E">
        <w:rPr>
          <w:rFonts w:eastAsia="ArialNarrow" w:cstheme="minorHAnsi"/>
          <w:szCs w:val="20"/>
        </w:rPr>
        <w:t>Sjevern</w:t>
      </w:r>
      <w:r w:rsidR="004A5D9B">
        <w:rPr>
          <w:rFonts w:eastAsia="ArialNarrow" w:cstheme="minorHAnsi"/>
          <w:szCs w:val="20"/>
        </w:rPr>
        <w:t>e</w:t>
      </w:r>
      <w:r w:rsidRPr="00DB655B">
        <w:t xml:space="preserve"> Hrvatske</w:t>
      </w:r>
      <w:r w:rsidR="00F40974">
        <w:t xml:space="preserve"> </w:t>
      </w:r>
      <w:r w:rsidR="00DF7D25">
        <w:t xml:space="preserve">u 2019. više za 60. </w:t>
      </w:r>
    </w:p>
    <w:p w14:paraId="550ACD47" w14:textId="77777777" w:rsidR="007B70A2" w:rsidRDefault="007B70A2" w:rsidP="007B70A2">
      <w:pPr>
        <w:autoSpaceDE w:val="0"/>
        <w:autoSpaceDN w:val="0"/>
        <w:adjustRightInd w:val="0"/>
        <w:spacing w:after="0" w:line="240" w:lineRule="auto"/>
      </w:pPr>
    </w:p>
    <w:p w14:paraId="6943CEE4" w14:textId="776957B2" w:rsidR="00CB5C97" w:rsidRPr="007B70A2" w:rsidRDefault="00CB5C97" w:rsidP="003E3F3C">
      <w:pPr>
        <w:pStyle w:val="Opisslike"/>
      </w:pPr>
      <w:r>
        <w:t xml:space="preserve">Grafikon </w:t>
      </w:r>
      <w:r w:rsidR="0098661B">
        <w:t>1</w:t>
      </w:r>
      <w:r w:rsidR="00201691">
        <w:t>8</w:t>
      </w:r>
      <w:r w:rsidR="0026418E">
        <w:t>.</w:t>
      </w:r>
      <w:r>
        <w:t xml:space="preserve"> </w:t>
      </w:r>
      <w:r w:rsidRPr="00BF28AE">
        <w:t xml:space="preserve">Broj liječnika u stacionarnim ustanovama RH, </w:t>
      </w:r>
      <w:r w:rsidR="00C7437E">
        <w:t>Sjevern</w:t>
      </w:r>
      <w:r w:rsidR="00AF7234">
        <w:t>a</w:t>
      </w:r>
      <w:r w:rsidRPr="00BF28AE">
        <w:t xml:space="preserve"> Hrvatska i Krapinsko-zagorska županija 2016. </w:t>
      </w:r>
      <w:r w:rsidR="00223A66">
        <w:t>-</w:t>
      </w:r>
      <w:r w:rsidRPr="00BF28AE">
        <w:t xml:space="preserve"> 201</w:t>
      </w:r>
      <w:r w:rsidR="00EE3ECB">
        <w:t>9</w:t>
      </w:r>
      <w:r w:rsidRPr="00BF28AE">
        <w:t>.</w:t>
      </w:r>
    </w:p>
    <w:p w14:paraId="26FC145C" w14:textId="2C28546F" w:rsidR="00CB5C97" w:rsidRDefault="00EE3ECB" w:rsidP="00DB655B">
      <w:pPr>
        <w:autoSpaceDE w:val="0"/>
        <w:autoSpaceDN w:val="0"/>
        <w:adjustRightInd w:val="0"/>
        <w:spacing w:after="0" w:line="240" w:lineRule="auto"/>
        <w:rPr>
          <w:rFonts w:eastAsia="ArialNarrow" w:cstheme="minorHAnsi"/>
          <w:szCs w:val="20"/>
        </w:rPr>
      </w:pPr>
      <w:r>
        <w:rPr>
          <w:noProof/>
        </w:rPr>
        <w:drawing>
          <wp:inline distT="0" distB="0" distL="0" distR="0" wp14:anchorId="223BF4DA" wp14:editId="6951E140">
            <wp:extent cx="5873750" cy="2432050"/>
            <wp:effectExtent l="0" t="0" r="12700" b="6350"/>
            <wp:docPr id="42" name="Grafikon 42">
              <a:extLst xmlns:a="http://schemas.openxmlformats.org/drawingml/2006/main">
                <a:ext uri="{FF2B5EF4-FFF2-40B4-BE49-F238E27FC236}">
                  <a16:creationId xmlns:a16="http://schemas.microsoft.com/office/drawing/2014/main" id="{6D7FBA73-C077-4F86-A57C-6CE792869E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1FA8D5F" w14:textId="585E7B7C" w:rsidR="00EE3ECB" w:rsidRDefault="00EE3ECB" w:rsidP="003C2276">
      <w:pPr>
        <w:pStyle w:val="Izvor"/>
        <w:rPr>
          <w:i/>
          <w:color w:val="ABABAB" w:themeColor="text1" w:themeTint="A6"/>
          <w:sz w:val="16"/>
          <w:szCs w:val="16"/>
        </w:rPr>
      </w:pPr>
      <w:r w:rsidRPr="00981189">
        <w:rPr>
          <w:i/>
          <w:color w:val="ABABAB" w:themeColor="text1" w:themeTint="A6"/>
          <w:sz w:val="16"/>
          <w:szCs w:val="16"/>
        </w:rPr>
        <w:t>Izvor: Hrvatski zdravstveno statistički ljetopis 2016., 2017., 2018.; Hrvatski zdravstveno-statistički ljetopis za 2019. – tablični podaci</w:t>
      </w:r>
    </w:p>
    <w:p w14:paraId="3BB43590" w14:textId="77777777" w:rsidR="009C7626" w:rsidRDefault="009C7626" w:rsidP="003C2276">
      <w:pPr>
        <w:pStyle w:val="Izvor"/>
        <w:rPr>
          <w:i/>
          <w:color w:val="ABABAB" w:themeColor="text1" w:themeTint="A6"/>
          <w:sz w:val="16"/>
          <w:szCs w:val="16"/>
        </w:rPr>
      </w:pPr>
    </w:p>
    <w:p w14:paraId="0C79A839" w14:textId="2F5332CF" w:rsidR="007014D1" w:rsidRDefault="007014D1" w:rsidP="007014D1">
      <w:pPr>
        <w:pStyle w:val="Naslov2"/>
      </w:pPr>
      <w:bookmarkStart w:id="96" w:name="_Toc85181301"/>
      <w:r>
        <w:t>6.2. Bolesti stanovništva</w:t>
      </w:r>
      <w:bookmarkEnd w:id="96"/>
      <w:r>
        <w:tab/>
      </w:r>
    </w:p>
    <w:p w14:paraId="47B590B8" w14:textId="77777777" w:rsidR="00591144" w:rsidRDefault="00591144" w:rsidP="00941871">
      <w:pPr>
        <w:autoSpaceDE w:val="0"/>
        <w:autoSpaceDN w:val="0"/>
        <w:adjustRightInd w:val="0"/>
        <w:spacing w:after="0" w:line="240" w:lineRule="auto"/>
        <w:rPr>
          <w:rFonts w:eastAsia="ArialNarrow" w:cstheme="minorHAnsi"/>
        </w:rPr>
      </w:pPr>
    </w:p>
    <w:p w14:paraId="05CB3FFF" w14:textId="77777777" w:rsidR="006A441C" w:rsidRDefault="008878A0" w:rsidP="002A3D97">
      <w:pPr>
        <w:autoSpaceDE w:val="0"/>
        <w:autoSpaceDN w:val="0"/>
        <w:adjustRightInd w:val="0"/>
        <w:spacing w:after="0" w:line="240" w:lineRule="auto"/>
        <w:rPr>
          <w:rFonts w:eastAsia="ArialNarrow" w:cstheme="minorHAnsi"/>
        </w:rPr>
      </w:pPr>
      <w:r>
        <w:rPr>
          <w:rFonts w:eastAsia="ArialNarrow" w:cstheme="minorHAnsi"/>
        </w:rPr>
        <w:t>Najčešći uzroci umiranja stanovništva Krapinsko-zagorske županije su bolesti cirkulacijskog sustava, zatim novotvorine</w:t>
      </w:r>
      <w:r w:rsidR="00504EAA">
        <w:rPr>
          <w:rFonts w:eastAsia="ArialNarrow" w:cstheme="minorHAnsi"/>
        </w:rPr>
        <w:t xml:space="preserve">, a za njima </w:t>
      </w:r>
      <w:r>
        <w:rPr>
          <w:rFonts w:eastAsia="ArialNarrow" w:cstheme="minorHAnsi"/>
        </w:rPr>
        <w:t>bolesti dišnog sustava.</w:t>
      </w:r>
      <w:r w:rsidR="006A441C">
        <w:rPr>
          <w:rFonts w:eastAsia="ArialNarrow" w:cstheme="minorHAnsi"/>
        </w:rPr>
        <w:t xml:space="preserve"> </w:t>
      </w:r>
    </w:p>
    <w:p w14:paraId="24DCB4CC" w14:textId="77777777" w:rsidR="006A441C" w:rsidRDefault="006A441C" w:rsidP="002A3D97">
      <w:pPr>
        <w:autoSpaceDE w:val="0"/>
        <w:autoSpaceDN w:val="0"/>
        <w:adjustRightInd w:val="0"/>
        <w:spacing w:after="0" w:line="240" w:lineRule="auto"/>
        <w:rPr>
          <w:rFonts w:eastAsia="ArialNarrow" w:cstheme="minorHAnsi"/>
        </w:rPr>
      </w:pPr>
    </w:p>
    <w:p w14:paraId="1A8382AC" w14:textId="6162C2EC" w:rsidR="002A3D97" w:rsidRPr="006A441C" w:rsidRDefault="008878A0" w:rsidP="002A3D97">
      <w:pPr>
        <w:autoSpaceDE w:val="0"/>
        <w:autoSpaceDN w:val="0"/>
        <w:adjustRightInd w:val="0"/>
        <w:spacing w:after="0" w:line="240" w:lineRule="auto"/>
        <w:rPr>
          <w:rFonts w:eastAsia="ArialNarrow" w:cstheme="minorHAnsi"/>
        </w:rPr>
      </w:pPr>
      <w:r>
        <w:rPr>
          <w:rFonts w:eastAsia="ArialNarrow" w:cstheme="minorHAnsi"/>
        </w:rPr>
        <w:t>Krapinsko-zagorska županija je među prvim županijama u Republici Hrvatskoj koja je donijela Plan za zdravlje. To je strateški dokument kojim se utvrđuju ciljevi, prioritetni zadaci, nositelji i izvršitelji pojedinih zadataka, mogući izvori financiranja, kontrola provođenja aktivnosti te uključivanje stanovništva i medija u aktivnosti koje se provode na poboljšanju zdravlja i kvalitete života na području Županije.</w:t>
      </w:r>
      <w:r w:rsidR="006A441C">
        <w:rPr>
          <w:rFonts w:eastAsia="ArialNarrow" w:cstheme="minorHAnsi"/>
        </w:rPr>
        <w:t xml:space="preserve"> </w:t>
      </w:r>
      <w:r w:rsidR="002A3D97">
        <w:rPr>
          <w:rFonts w:eastAsia="ArialNarrow" w:cstheme="minorHAnsi"/>
          <w:szCs w:val="20"/>
        </w:rPr>
        <w:t xml:space="preserve">Utvrđeni prioriteti zdravstva su povećanje kontrole vode za piće, </w:t>
      </w:r>
      <w:r w:rsidR="00E96938">
        <w:rPr>
          <w:rFonts w:eastAsia="ArialNarrow" w:cstheme="minorHAnsi"/>
          <w:szCs w:val="20"/>
        </w:rPr>
        <w:t xml:space="preserve">usporavanje </w:t>
      </w:r>
      <w:r w:rsidR="002A3D97">
        <w:rPr>
          <w:rFonts w:eastAsia="ArialNarrow" w:cstheme="minorHAnsi"/>
          <w:szCs w:val="20"/>
        </w:rPr>
        <w:t xml:space="preserve">depopulacije, smanjenje </w:t>
      </w:r>
      <w:r w:rsidR="002A3D97">
        <w:rPr>
          <w:rFonts w:eastAsia="ArialNarrow" w:cstheme="minorHAnsi"/>
          <w:szCs w:val="20"/>
        </w:rPr>
        <w:lastRenderedPageBreak/>
        <w:t xml:space="preserve">broja konzumenata alkoholnih pića kod djece srednjoškolske i osnovnoškolske dobi, unaprjeđenje skrbi o starijim osobama te rad na prevenciji bolesti </w:t>
      </w:r>
      <w:r w:rsidR="00E96938">
        <w:rPr>
          <w:rFonts w:eastAsia="ArialNarrow" w:cstheme="minorHAnsi"/>
          <w:szCs w:val="20"/>
        </w:rPr>
        <w:t>krvožilnog</w:t>
      </w:r>
      <w:r w:rsidR="002A3D97">
        <w:rPr>
          <w:rFonts w:eastAsia="ArialNarrow" w:cstheme="minorHAnsi"/>
          <w:szCs w:val="20"/>
        </w:rPr>
        <w:t xml:space="preserve"> sustava.</w:t>
      </w:r>
    </w:p>
    <w:p w14:paraId="1670A450" w14:textId="7A5C5AB7" w:rsidR="002A3D97" w:rsidRDefault="002A3D97" w:rsidP="00941871">
      <w:pPr>
        <w:autoSpaceDE w:val="0"/>
        <w:autoSpaceDN w:val="0"/>
        <w:adjustRightInd w:val="0"/>
        <w:spacing w:after="0" w:line="240" w:lineRule="auto"/>
        <w:rPr>
          <w:rFonts w:eastAsia="ArialNarrow" w:cstheme="minorHAnsi"/>
        </w:rPr>
      </w:pPr>
    </w:p>
    <w:p w14:paraId="22BA0866" w14:textId="37ACF774" w:rsidR="008878A0" w:rsidRDefault="008878A0" w:rsidP="003E3F3C">
      <w:pPr>
        <w:pStyle w:val="Opisslike"/>
      </w:pPr>
      <w:r>
        <w:t xml:space="preserve">Tablica </w:t>
      </w:r>
      <w:r w:rsidR="00804453">
        <w:rPr>
          <w:noProof/>
        </w:rPr>
        <w:t>3</w:t>
      </w:r>
      <w:r w:rsidR="00AF5B79">
        <w:rPr>
          <w:noProof/>
        </w:rPr>
        <w:t>9</w:t>
      </w:r>
      <w:r w:rsidR="0026418E">
        <w:rPr>
          <w:noProof/>
        </w:rPr>
        <w:t>.</w:t>
      </w:r>
      <w:r>
        <w:t xml:space="preserve"> Udio određenih skupina bolesti u ukupnom broju smrti na području Krapinsko-zagorske županije 201</w:t>
      </w:r>
      <w:r w:rsidR="002B065F">
        <w:t>6</w:t>
      </w:r>
      <w:r>
        <w:t xml:space="preserve">. </w:t>
      </w:r>
      <w:r w:rsidR="00223A66">
        <w:t>-</w:t>
      </w:r>
      <w:r>
        <w:t xml:space="preserve"> 201</w:t>
      </w:r>
      <w:r w:rsidR="003E5DFA">
        <w:t>9</w:t>
      </w:r>
      <w:r>
        <w:t>.</w:t>
      </w:r>
    </w:p>
    <w:tbl>
      <w:tblPr>
        <w:tblW w:w="9225" w:type="dxa"/>
        <w:tblBorders>
          <w:insideH w:val="single" w:sz="8" w:space="0" w:color="F3CFC1"/>
        </w:tblBorders>
        <w:tblLayout w:type="fixed"/>
        <w:tblLook w:val="04A0" w:firstRow="1" w:lastRow="0" w:firstColumn="1" w:lastColumn="0" w:noHBand="0" w:noVBand="1"/>
      </w:tblPr>
      <w:tblGrid>
        <w:gridCol w:w="2723"/>
        <w:gridCol w:w="946"/>
        <w:gridCol w:w="566"/>
        <w:gridCol w:w="220"/>
        <w:gridCol w:w="786"/>
        <w:gridCol w:w="507"/>
        <w:gridCol w:w="279"/>
        <w:gridCol w:w="786"/>
        <w:gridCol w:w="786"/>
        <w:gridCol w:w="115"/>
        <w:gridCol w:w="671"/>
        <w:gridCol w:w="387"/>
        <w:gridCol w:w="453"/>
      </w:tblGrid>
      <w:tr w:rsidR="00F85094" w14:paraId="2C3D4EBA" w14:textId="521D66D0" w:rsidTr="007B70A2">
        <w:trPr>
          <w:trHeight w:val="283"/>
          <w:tblHeader/>
        </w:trPr>
        <w:tc>
          <w:tcPr>
            <w:tcW w:w="2723" w:type="dxa"/>
            <w:vMerge w:val="restart"/>
            <w:tcBorders>
              <w:top w:val="nil"/>
              <w:bottom w:val="single" w:sz="8" w:space="0" w:color="F3CFC1"/>
              <w:right w:val="single" w:sz="4" w:space="0" w:color="FFFFFF"/>
            </w:tcBorders>
            <w:shd w:val="clear" w:color="auto" w:fill="D2232A"/>
            <w:noWrap/>
            <w:vAlign w:val="center"/>
            <w:hideMark/>
          </w:tcPr>
          <w:p w14:paraId="3388DA97" w14:textId="77777777" w:rsidR="00F85094" w:rsidRDefault="00F85094" w:rsidP="00941871">
            <w:pPr>
              <w:spacing w:after="0" w:line="240" w:lineRule="auto"/>
              <w:rPr>
                <w:rFonts w:eastAsia="Times New Roman" w:cstheme="minorHAnsi"/>
                <w:color w:val="FFFFFF"/>
                <w:sz w:val="20"/>
                <w:lang w:eastAsia="hr-HR"/>
              </w:rPr>
            </w:pPr>
            <w:r>
              <w:rPr>
                <w:rFonts w:eastAsia="Times New Roman" w:cstheme="minorHAnsi"/>
                <w:color w:val="FFFFFF"/>
                <w:lang w:val="en-US"/>
              </w:rPr>
              <w:t>SKUPINE BOLESTI</w:t>
            </w:r>
          </w:p>
        </w:tc>
        <w:tc>
          <w:tcPr>
            <w:tcW w:w="1512" w:type="dxa"/>
            <w:gridSpan w:val="2"/>
            <w:tcBorders>
              <w:top w:val="nil"/>
              <w:left w:val="single" w:sz="4" w:space="0" w:color="FFFFFF"/>
              <w:bottom w:val="single" w:sz="8" w:space="0" w:color="F3CFC1"/>
              <w:right w:val="single" w:sz="8" w:space="0" w:color="D2232A"/>
            </w:tcBorders>
            <w:shd w:val="clear" w:color="auto" w:fill="D2232A"/>
            <w:noWrap/>
            <w:vAlign w:val="center"/>
            <w:hideMark/>
          </w:tcPr>
          <w:p w14:paraId="2436AE0C" w14:textId="4574D9DB" w:rsidR="00F85094" w:rsidRDefault="00F85094" w:rsidP="00D71EE3">
            <w:pPr>
              <w:spacing w:after="0" w:line="240" w:lineRule="auto"/>
              <w:jc w:val="center"/>
              <w:rPr>
                <w:rFonts w:eastAsia="Times New Roman" w:cstheme="minorHAnsi"/>
                <w:color w:val="FFFFFF"/>
                <w:sz w:val="20"/>
                <w:lang w:eastAsia="hr-HR"/>
              </w:rPr>
            </w:pPr>
            <w:r>
              <w:rPr>
                <w:rFonts w:eastAsia="Times New Roman" w:cstheme="minorHAnsi"/>
                <w:color w:val="FFFFFF"/>
                <w:lang w:val="en-US"/>
              </w:rPr>
              <w:t>2016.</w:t>
            </w:r>
          </w:p>
        </w:tc>
        <w:tc>
          <w:tcPr>
            <w:tcW w:w="1513" w:type="dxa"/>
            <w:gridSpan w:val="3"/>
            <w:tcBorders>
              <w:top w:val="nil"/>
              <w:left w:val="single" w:sz="8" w:space="0" w:color="D2232A"/>
              <w:bottom w:val="single" w:sz="8" w:space="0" w:color="F3CFC1"/>
              <w:right w:val="single" w:sz="8" w:space="0" w:color="D2232A"/>
            </w:tcBorders>
            <w:shd w:val="clear" w:color="auto" w:fill="D2232A"/>
            <w:noWrap/>
            <w:vAlign w:val="center"/>
            <w:hideMark/>
          </w:tcPr>
          <w:p w14:paraId="60BFB802" w14:textId="48212026" w:rsidR="00F85094" w:rsidRDefault="00F85094" w:rsidP="002B065F">
            <w:pPr>
              <w:spacing w:after="0" w:line="240" w:lineRule="auto"/>
              <w:jc w:val="center"/>
              <w:rPr>
                <w:rFonts w:eastAsia="Times New Roman" w:cstheme="minorHAnsi"/>
                <w:color w:val="FFFFFF"/>
                <w:sz w:val="20"/>
                <w:lang w:eastAsia="hr-HR"/>
              </w:rPr>
            </w:pPr>
            <w:r>
              <w:rPr>
                <w:rFonts w:eastAsia="Times New Roman" w:cstheme="minorHAnsi"/>
                <w:color w:val="FFFFFF"/>
                <w:lang w:val="en-US"/>
              </w:rPr>
              <w:t>2017.</w:t>
            </w:r>
          </w:p>
        </w:tc>
        <w:tc>
          <w:tcPr>
            <w:tcW w:w="1966" w:type="dxa"/>
            <w:gridSpan w:val="4"/>
            <w:tcBorders>
              <w:top w:val="nil"/>
              <w:left w:val="single" w:sz="8" w:space="0" w:color="D2232A"/>
              <w:bottom w:val="single" w:sz="8" w:space="0" w:color="F3CFC1"/>
              <w:right w:val="single" w:sz="8" w:space="0" w:color="D2232A"/>
            </w:tcBorders>
            <w:shd w:val="clear" w:color="auto" w:fill="D2232A"/>
            <w:noWrap/>
            <w:vAlign w:val="center"/>
            <w:hideMark/>
          </w:tcPr>
          <w:p w14:paraId="360300AA" w14:textId="147FA282" w:rsidR="00F85094" w:rsidRDefault="00F85094" w:rsidP="002B065F">
            <w:pPr>
              <w:spacing w:after="0" w:line="240" w:lineRule="auto"/>
              <w:jc w:val="center"/>
              <w:rPr>
                <w:rFonts w:eastAsia="Times New Roman" w:cstheme="minorHAnsi"/>
                <w:color w:val="FFFFFF"/>
                <w:sz w:val="20"/>
                <w:lang w:eastAsia="hr-HR"/>
              </w:rPr>
            </w:pPr>
            <w:r>
              <w:rPr>
                <w:rFonts w:eastAsia="Times New Roman" w:cstheme="minorHAnsi"/>
                <w:color w:val="FFFFFF"/>
                <w:lang w:val="en-US"/>
              </w:rPr>
              <w:t>2018.</w:t>
            </w:r>
          </w:p>
        </w:tc>
        <w:tc>
          <w:tcPr>
            <w:tcW w:w="1058" w:type="dxa"/>
            <w:gridSpan w:val="2"/>
            <w:tcBorders>
              <w:top w:val="nil"/>
              <w:left w:val="single" w:sz="8" w:space="0" w:color="D2232A"/>
              <w:bottom w:val="single" w:sz="8" w:space="0" w:color="F3CFC1"/>
              <w:right w:val="single" w:sz="8" w:space="0" w:color="D2232A"/>
            </w:tcBorders>
            <w:shd w:val="clear" w:color="auto" w:fill="D2232A"/>
          </w:tcPr>
          <w:p w14:paraId="50E98B56" w14:textId="03D8455F" w:rsidR="00F85094" w:rsidRDefault="00F85094" w:rsidP="002B065F">
            <w:pPr>
              <w:spacing w:after="0" w:line="240" w:lineRule="auto"/>
              <w:jc w:val="center"/>
              <w:rPr>
                <w:rFonts w:eastAsia="Times New Roman" w:cstheme="minorHAnsi"/>
                <w:color w:val="FFFFFF"/>
                <w:lang w:val="en-US"/>
              </w:rPr>
            </w:pPr>
            <w:r>
              <w:rPr>
                <w:rFonts w:eastAsia="Times New Roman" w:cstheme="minorHAnsi"/>
                <w:color w:val="FFFFFF"/>
                <w:lang w:val="en-US"/>
              </w:rPr>
              <w:t>2019.</w:t>
            </w:r>
          </w:p>
        </w:tc>
        <w:tc>
          <w:tcPr>
            <w:tcW w:w="453" w:type="dxa"/>
            <w:tcBorders>
              <w:top w:val="nil"/>
              <w:left w:val="single" w:sz="8" w:space="0" w:color="D2232A"/>
              <w:bottom w:val="single" w:sz="8" w:space="0" w:color="F3CFC1"/>
              <w:right w:val="single" w:sz="8" w:space="0" w:color="D2232A"/>
            </w:tcBorders>
            <w:shd w:val="clear" w:color="auto" w:fill="D2232A"/>
          </w:tcPr>
          <w:p w14:paraId="4CFE2AA1" w14:textId="77777777" w:rsidR="00F85094" w:rsidRDefault="00F85094" w:rsidP="002B065F">
            <w:pPr>
              <w:spacing w:after="0" w:line="240" w:lineRule="auto"/>
              <w:jc w:val="center"/>
              <w:rPr>
                <w:rFonts w:eastAsia="Times New Roman" w:cstheme="minorHAnsi"/>
                <w:color w:val="FFFFFF"/>
                <w:lang w:val="en-US"/>
              </w:rPr>
            </w:pPr>
          </w:p>
        </w:tc>
      </w:tr>
      <w:tr w:rsidR="00F85094" w14:paraId="66C016DC" w14:textId="4DB64000" w:rsidTr="007B70A2">
        <w:trPr>
          <w:trHeight w:val="283"/>
          <w:tblHeader/>
        </w:trPr>
        <w:tc>
          <w:tcPr>
            <w:tcW w:w="2723" w:type="dxa"/>
            <w:vMerge/>
            <w:tcBorders>
              <w:top w:val="single" w:sz="8" w:space="0" w:color="F3CFC1"/>
              <w:bottom w:val="single" w:sz="8" w:space="0" w:color="F3CFC1"/>
              <w:right w:val="single" w:sz="4" w:space="0" w:color="FFFFFF"/>
            </w:tcBorders>
            <w:shd w:val="clear" w:color="auto" w:fill="D2232A"/>
            <w:vAlign w:val="center"/>
            <w:hideMark/>
          </w:tcPr>
          <w:p w14:paraId="47020EA9" w14:textId="77777777" w:rsidR="00F85094" w:rsidRDefault="00F85094" w:rsidP="00941871">
            <w:pPr>
              <w:spacing w:after="0"/>
              <w:rPr>
                <w:rFonts w:eastAsia="Times New Roman" w:cstheme="minorHAnsi"/>
                <w:color w:val="FFFFFF"/>
                <w:sz w:val="20"/>
                <w:lang w:eastAsia="hr-HR"/>
              </w:rPr>
            </w:pPr>
          </w:p>
        </w:tc>
        <w:tc>
          <w:tcPr>
            <w:tcW w:w="946" w:type="dxa"/>
            <w:tcBorders>
              <w:top w:val="single" w:sz="8" w:space="0" w:color="F3CFC1"/>
              <w:left w:val="single" w:sz="4" w:space="0" w:color="FFFFFF"/>
              <w:bottom w:val="single" w:sz="8" w:space="0" w:color="F3CFC1"/>
            </w:tcBorders>
            <w:shd w:val="clear" w:color="auto" w:fill="D2232A"/>
            <w:noWrap/>
            <w:vAlign w:val="center"/>
            <w:hideMark/>
          </w:tcPr>
          <w:p w14:paraId="34F9421C" w14:textId="77777777" w:rsidR="00F85094" w:rsidRDefault="00F85094" w:rsidP="008932D7">
            <w:pPr>
              <w:spacing w:after="0" w:line="240" w:lineRule="auto"/>
              <w:jc w:val="center"/>
              <w:rPr>
                <w:rFonts w:eastAsia="Times New Roman" w:cstheme="minorHAnsi"/>
                <w:color w:val="FFFFFF"/>
                <w:sz w:val="20"/>
                <w:lang w:eastAsia="hr-HR"/>
              </w:rPr>
            </w:pPr>
            <w:r>
              <w:rPr>
                <w:rFonts w:eastAsia="Times New Roman" w:cstheme="minorHAnsi"/>
                <w:color w:val="FFFFFF"/>
                <w:lang w:val="en-US"/>
              </w:rPr>
              <w:t>broj</w:t>
            </w:r>
          </w:p>
        </w:tc>
        <w:tc>
          <w:tcPr>
            <w:tcW w:w="786" w:type="dxa"/>
            <w:gridSpan w:val="2"/>
            <w:tcBorders>
              <w:top w:val="single" w:sz="8" w:space="0" w:color="F3CFC1"/>
              <w:bottom w:val="single" w:sz="8" w:space="0" w:color="F3CFC1"/>
              <w:right w:val="single" w:sz="8" w:space="0" w:color="D2232A"/>
            </w:tcBorders>
            <w:shd w:val="clear" w:color="auto" w:fill="D2232A"/>
            <w:noWrap/>
            <w:vAlign w:val="center"/>
            <w:hideMark/>
          </w:tcPr>
          <w:p w14:paraId="596A0868" w14:textId="77777777" w:rsidR="00F85094" w:rsidRDefault="00F85094" w:rsidP="008932D7">
            <w:pPr>
              <w:spacing w:after="0" w:line="240" w:lineRule="auto"/>
              <w:jc w:val="center"/>
              <w:rPr>
                <w:rFonts w:eastAsia="Times New Roman" w:cstheme="minorHAnsi"/>
                <w:color w:val="FFFFFF"/>
                <w:sz w:val="20"/>
                <w:lang w:eastAsia="hr-HR"/>
              </w:rPr>
            </w:pPr>
            <w:r>
              <w:rPr>
                <w:rFonts w:eastAsia="Times New Roman" w:cstheme="minorHAnsi"/>
                <w:color w:val="FFFFFF"/>
                <w:lang w:val="en-US"/>
              </w:rPr>
              <w:t>%</w:t>
            </w:r>
          </w:p>
        </w:tc>
        <w:tc>
          <w:tcPr>
            <w:tcW w:w="786" w:type="dxa"/>
            <w:tcBorders>
              <w:top w:val="single" w:sz="8" w:space="0" w:color="F3CFC1"/>
              <w:left w:val="single" w:sz="8" w:space="0" w:color="D2232A"/>
              <w:bottom w:val="single" w:sz="8" w:space="0" w:color="F3CFC1"/>
            </w:tcBorders>
            <w:shd w:val="clear" w:color="auto" w:fill="D2232A"/>
            <w:noWrap/>
            <w:vAlign w:val="center"/>
            <w:hideMark/>
          </w:tcPr>
          <w:p w14:paraId="53D16E9F" w14:textId="77777777" w:rsidR="00F85094" w:rsidRDefault="00F85094" w:rsidP="008932D7">
            <w:pPr>
              <w:spacing w:after="0" w:line="240" w:lineRule="auto"/>
              <w:jc w:val="center"/>
              <w:rPr>
                <w:rFonts w:eastAsia="Times New Roman" w:cstheme="minorHAnsi"/>
                <w:color w:val="FFFFFF"/>
                <w:sz w:val="20"/>
                <w:lang w:eastAsia="hr-HR"/>
              </w:rPr>
            </w:pPr>
            <w:r>
              <w:rPr>
                <w:rFonts w:eastAsia="Times New Roman" w:cstheme="minorHAnsi"/>
                <w:color w:val="FFFFFF"/>
                <w:lang w:val="en-US"/>
              </w:rPr>
              <w:t>broj</w:t>
            </w:r>
          </w:p>
        </w:tc>
        <w:tc>
          <w:tcPr>
            <w:tcW w:w="786" w:type="dxa"/>
            <w:gridSpan w:val="2"/>
            <w:tcBorders>
              <w:top w:val="single" w:sz="8" w:space="0" w:color="F3CFC1"/>
              <w:bottom w:val="single" w:sz="8" w:space="0" w:color="F3CFC1"/>
              <w:right w:val="single" w:sz="8" w:space="0" w:color="D2232A"/>
            </w:tcBorders>
            <w:shd w:val="clear" w:color="auto" w:fill="D2232A"/>
            <w:noWrap/>
            <w:vAlign w:val="center"/>
            <w:hideMark/>
          </w:tcPr>
          <w:p w14:paraId="248DB8BC" w14:textId="77777777" w:rsidR="00F85094" w:rsidRDefault="00F85094" w:rsidP="008932D7">
            <w:pPr>
              <w:spacing w:after="0" w:line="240" w:lineRule="auto"/>
              <w:jc w:val="center"/>
              <w:rPr>
                <w:rFonts w:eastAsia="Times New Roman" w:cstheme="minorHAnsi"/>
                <w:color w:val="FFFFFF"/>
                <w:sz w:val="20"/>
                <w:lang w:eastAsia="hr-HR"/>
              </w:rPr>
            </w:pPr>
            <w:r>
              <w:rPr>
                <w:rFonts w:eastAsia="Times New Roman" w:cstheme="minorHAnsi"/>
                <w:color w:val="FFFFFF"/>
                <w:lang w:val="en-US"/>
              </w:rPr>
              <w:t>%</w:t>
            </w:r>
          </w:p>
        </w:tc>
        <w:tc>
          <w:tcPr>
            <w:tcW w:w="786" w:type="dxa"/>
            <w:tcBorders>
              <w:top w:val="single" w:sz="8" w:space="0" w:color="F3CFC1"/>
              <w:left w:val="single" w:sz="8" w:space="0" w:color="D2232A"/>
              <w:bottom w:val="single" w:sz="8" w:space="0" w:color="F3CFC1"/>
            </w:tcBorders>
            <w:shd w:val="clear" w:color="auto" w:fill="D2232A"/>
            <w:noWrap/>
            <w:vAlign w:val="center"/>
            <w:hideMark/>
          </w:tcPr>
          <w:p w14:paraId="6BF4B825" w14:textId="77777777" w:rsidR="00F85094" w:rsidRDefault="00F85094" w:rsidP="008932D7">
            <w:pPr>
              <w:spacing w:after="0" w:line="240" w:lineRule="auto"/>
              <w:jc w:val="center"/>
              <w:rPr>
                <w:rFonts w:eastAsia="Times New Roman" w:cstheme="minorHAnsi"/>
                <w:color w:val="FFFFFF"/>
                <w:sz w:val="20"/>
                <w:lang w:eastAsia="hr-HR"/>
              </w:rPr>
            </w:pPr>
            <w:r>
              <w:rPr>
                <w:rFonts w:eastAsia="Times New Roman" w:cstheme="minorHAnsi"/>
                <w:color w:val="FFFFFF"/>
                <w:lang w:val="en-US"/>
              </w:rPr>
              <w:t>broj</w:t>
            </w:r>
          </w:p>
        </w:tc>
        <w:tc>
          <w:tcPr>
            <w:tcW w:w="786" w:type="dxa"/>
            <w:tcBorders>
              <w:top w:val="single" w:sz="8" w:space="0" w:color="F3CFC1"/>
              <w:bottom w:val="single" w:sz="8" w:space="0" w:color="F3CFC1"/>
              <w:right w:val="single" w:sz="8" w:space="0" w:color="D2232A"/>
            </w:tcBorders>
            <w:shd w:val="clear" w:color="auto" w:fill="D2232A"/>
            <w:noWrap/>
            <w:vAlign w:val="center"/>
            <w:hideMark/>
          </w:tcPr>
          <w:p w14:paraId="264957F5" w14:textId="77777777" w:rsidR="00F85094" w:rsidRDefault="00F85094" w:rsidP="008932D7">
            <w:pPr>
              <w:spacing w:after="0" w:line="240" w:lineRule="auto"/>
              <w:jc w:val="center"/>
              <w:rPr>
                <w:rFonts w:eastAsia="Times New Roman" w:cstheme="minorHAnsi"/>
                <w:color w:val="FFFFFF"/>
                <w:sz w:val="20"/>
                <w:lang w:eastAsia="hr-HR"/>
              </w:rPr>
            </w:pPr>
            <w:r>
              <w:rPr>
                <w:rFonts w:eastAsia="Times New Roman" w:cstheme="minorHAnsi"/>
                <w:color w:val="FFFFFF"/>
                <w:lang w:val="en-US"/>
              </w:rPr>
              <w:t>%</w:t>
            </w:r>
          </w:p>
        </w:tc>
        <w:tc>
          <w:tcPr>
            <w:tcW w:w="786" w:type="dxa"/>
            <w:gridSpan w:val="2"/>
            <w:tcBorders>
              <w:top w:val="single" w:sz="8" w:space="0" w:color="F3CFC1"/>
              <w:bottom w:val="single" w:sz="8" w:space="0" w:color="F3CFC1"/>
              <w:right w:val="single" w:sz="8" w:space="0" w:color="D2232A"/>
            </w:tcBorders>
            <w:shd w:val="clear" w:color="auto" w:fill="D2232A"/>
          </w:tcPr>
          <w:p w14:paraId="6DA2C13B" w14:textId="782FB99C" w:rsidR="00F85094" w:rsidRDefault="00F85094" w:rsidP="008932D7">
            <w:pPr>
              <w:spacing w:after="0" w:line="240" w:lineRule="auto"/>
              <w:jc w:val="center"/>
              <w:rPr>
                <w:rFonts w:eastAsia="Times New Roman" w:cstheme="minorHAnsi"/>
                <w:color w:val="FFFFFF"/>
                <w:lang w:val="en-US"/>
              </w:rPr>
            </w:pPr>
            <w:r>
              <w:rPr>
                <w:rFonts w:eastAsia="Times New Roman" w:cstheme="minorHAnsi"/>
                <w:color w:val="FFFFFF"/>
                <w:lang w:val="en-US"/>
              </w:rPr>
              <w:t>broj</w:t>
            </w:r>
          </w:p>
        </w:tc>
        <w:tc>
          <w:tcPr>
            <w:tcW w:w="838" w:type="dxa"/>
            <w:gridSpan w:val="2"/>
            <w:tcBorders>
              <w:top w:val="single" w:sz="8" w:space="0" w:color="F3CFC1"/>
              <w:bottom w:val="single" w:sz="8" w:space="0" w:color="F3CFC1"/>
              <w:right w:val="single" w:sz="8" w:space="0" w:color="D2232A"/>
            </w:tcBorders>
            <w:shd w:val="clear" w:color="auto" w:fill="D2232A"/>
          </w:tcPr>
          <w:p w14:paraId="63C20DD9" w14:textId="5B63E232" w:rsidR="00F85094" w:rsidRDefault="00F85094" w:rsidP="008932D7">
            <w:pPr>
              <w:spacing w:after="0" w:line="240" w:lineRule="auto"/>
              <w:jc w:val="center"/>
              <w:rPr>
                <w:rFonts w:eastAsia="Times New Roman" w:cstheme="minorHAnsi"/>
                <w:color w:val="FFFFFF"/>
                <w:lang w:val="en-US"/>
              </w:rPr>
            </w:pPr>
            <w:r>
              <w:rPr>
                <w:rFonts w:eastAsia="Times New Roman" w:cstheme="minorHAnsi"/>
                <w:color w:val="FFFFFF"/>
                <w:lang w:val="en-US"/>
              </w:rPr>
              <w:t>%</w:t>
            </w:r>
          </w:p>
        </w:tc>
      </w:tr>
      <w:tr w:rsidR="00F85094" w14:paraId="3AC78E49" w14:textId="269A3379" w:rsidTr="00403395">
        <w:trPr>
          <w:trHeight w:val="283"/>
        </w:trPr>
        <w:tc>
          <w:tcPr>
            <w:tcW w:w="2723" w:type="dxa"/>
            <w:tcBorders>
              <w:top w:val="single" w:sz="8" w:space="0" w:color="F3CFC1"/>
              <w:bottom w:val="single" w:sz="4" w:space="0" w:color="FFFFFF" w:themeColor="background1"/>
            </w:tcBorders>
            <w:shd w:val="clear" w:color="auto" w:fill="D2232A"/>
            <w:noWrap/>
            <w:vAlign w:val="center"/>
            <w:hideMark/>
          </w:tcPr>
          <w:p w14:paraId="7239F359" w14:textId="77777777" w:rsidR="00F85094" w:rsidRDefault="00F85094" w:rsidP="002B065F">
            <w:pPr>
              <w:spacing w:after="0" w:line="240" w:lineRule="auto"/>
              <w:rPr>
                <w:rFonts w:eastAsia="Times New Roman" w:cstheme="minorHAnsi"/>
                <w:color w:val="FFFFFF"/>
                <w:sz w:val="20"/>
                <w:lang w:eastAsia="hr-HR"/>
              </w:rPr>
            </w:pPr>
            <w:r>
              <w:rPr>
                <w:rFonts w:eastAsia="Times New Roman" w:cstheme="minorHAnsi"/>
                <w:color w:val="FFFFFF"/>
                <w:lang w:val="en-US"/>
              </w:rPr>
              <w:t>Ukupno umrlih</w:t>
            </w:r>
          </w:p>
        </w:tc>
        <w:tc>
          <w:tcPr>
            <w:tcW w:w="946" w:type="dxa"/>
            <w:tcBorders>
              <w:top w:val="single" w:sz="8" w:space="0" w:color="F3CFC1"/>
              <w:bottom w:val="single" w:sz="8" w:space="0" w:color="F3CFC1"/>
            </w:tcBorders>
            <w:noWrap/>
            <w:vAlign w:val="center"/>
            <w:hideMark/>
          </w:tcPr>
          <w:p w14:paraId="3439A015" w14:textId="0554AD47"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1.834</w:t>
            </w:r>
          </w:p>
        </w:tc>
        <w:tc>
          <w:tcPr>
            <w:tcW w:w="786" w:type="dxa"/>
            <w:gridSpan w:val="2"/>
            <w:tcBorders>
              <w:top w:val="single" w:sz="8" w:space="0" w:color="F3CFC1"/>
              <w:bottom w:val="single" w:sz="8" w:space="0" w:color="F3CFC1"/>
              <w:right w:val="single" w:sz="8" w:space="0" w:color="D2232A"/>
            </w:tcBorders>
            <w:noWrap/>
            <w:vAlign w:val="center"/>
            <w:hideMark/>
          </w:tcPr>
          <w:p w14:paraId="21BF1E1F" w14:textId="30D00BCF"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100</w:t>
            </w:r>
          </w:p>
        </w:tc>
        <w:tc>
          <w:tcPr>
            <w:tcW w:w="786" w:type="dxa"/>
            <w:tcBorders>
              <w:top w:val="single" w:sz="8" w:space="0" w:color="F3CFC1"/>
              <w:left w:val="single" w:sz="8" w:space="0" w:color="D2232A"/>
              <w:bottom w:val="single" w:sz="8" w:space="0" w:color="F3CFC1"/>
            </w:tcBorders>
            <w:noWrap/>
            <w:vAlign w:val="center"/>
            <w:hideMark/>
          </w:tcPr>
          <w:p w14:paraId="3BF35298" w14:textId="210F1800"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1.845</w:t>
            </w:r>
          </w:p>
        </w:tc>
        <w:tc>
          <w:tcPr>
            <w:tcW w:w="786" w:type="dxa"/>
            <w:gridSpan w:val="2"/>
            <w:tcBorders>
              <w:top w:val="single" w:sz="8" w:space="0" w:color="F3CFC1"/>
              <w:bottom w:val="single" w:sz="8" w:space="0" w:color="F3CFC1"/>
              <w:right w:val="single" w:sz="8" w:space="0" w:color="D2232A"/>
            </w:tcBorders>
            <w:noWrap/>
            <w:vAlign w:val="center"/>
            <w:hideMark/>
          </w:tcPr>
          <w:p w14:paraId="00B46811" w14:textId="564E217B"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100</w:t>
            </w:r>
          </w:p>
        </w:tc>
        <w:tc>
          <w:tcPr>
            <w:tcW w:w="786" w:type="dxa"/>
            <w:tcBorders>
              <w:top w:val="single" w:sz="8" w:space="0" w:color="F3CFC1"/>
              <w:left w:val="single" w:sz="8" w:space="0" w:color="D2232A"/>
              <w:bottom w:val="single" w:sz="8" w:space="0" w:color="F3CFC1"/>
            </w:tcBorders>
            <w:noWrap/>
            <w:vAlign w:val="center"/>
          </w:tcPr>
          <w:p w14:paraId="2408F54C" w14:textId="69CD3432"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1.906</w:t>
            </w:r>
          </w:p>
        </w:tc>
        <w:tc>
          <w:tcPr>
            <w:tcW w:w="786" w:type="dxa"/>
            <w:tcBorders>
              <w:top w:val="single" w:sz="8" w:space="0" w:color="F3CFC1"/>
              <w:bottom w:val="single" w:sz="8" w:space="0" w:color="F3CFC1"/>
              <w:right w:val="single" w:sz="8" w:space="0" w:color="D2232A"/>
            </w:tcBorders>
            <w:noWrap/>
            <w:vAlign w:val="center"/>
          </w:tcPr>
          <w:p w14:paraId="06B72308" w14:textId="1664334D"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100</w:t>
            </w:r>
          </w:p>
        </w:tc>
        <w:tc>
          <w:tcPr>
            <w:tcW w:w="786" w:type="dxa"/>
            <w:gridSpan w:val="2"/>
            <w:tcBorders>
              <w:top w:val="single" w:sz="8" w:space="0" w:color="F3CFC1"/>
              <w:bottom w:val="single" w:sz="8" w:space="0" w:color="F3CFC1"/>
              <w:right w:val="nil"/>
            </w:tcBorders>
          </w:tcPr>
          <w:p w14:paraId="6811D354" w14:textId="5236D72A"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1.725</w:t>
            </w:r>
          </w:p>
        </w:tc>
        <w:tc>
          <w:tcPr>
            <w:tcW w:w="838" w:type="dxa"/>
            <w:gridSpan w:val="2"/>
            <w:tcBorders>
              <w:top w:val="single" w:sz="8" w:space="0" w:color="F3CFC1"/>
              <w:left w:val="nil"/>
              <w:bottom w:val="single" w:sz="8" w:space="0" w:color="F3CFC1"/>
              <w:right w:val="single" w:sz="8" w:space="0" w:color="D2232A"/>
            </w:tcBorders>
          </w:tcPr>
          <w:p w14:paraId="04B5632E" w14:textId="0089127A"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100</w:t>
            </w:r>
          </w:p>
        </w:tc>
      </w:tr>
      <w:tr w:rsidR="00F85094" w14:paraId="662638A2" w14:textId="3DAA945B" w:rsidTr="00403395">
        <w:trPr>
          <w:trHeight w:val="283"/>
        </w:trPr>
        <w:tc>
          <w:tcPr>
            <w:tcW w:w="2723" w:type="dxa"/>
            <w:tcBorders>
              <w:top w:val="single" w:sz="4" w:space="0" w:color="FFFFFF" w:themeColor="background1"/>
              <w:bottom w:val="single" w:sz="8" w:space="0" w:color="F3CFC1"/>
            </w:tcBorders>
            <w:shd w:val="clear" w:color="auto" w:fill="D2232A"/>
            <w:noWrap/>
            <w:vAlign w:val="center"/>
            <w:hideMark/>
          </w:tcPr>
          <w:p w14:paraId="14AA5456" w14:textId="77777777" w:rsidR="00F85094" w:rsidRDefault="00F85094" w:rsidP="002B065F">
            <w:pPr>
              <w:spacing w:after="0" w:line="240" w:lineRule="auto"/>
              <w:rPr>
                <w:rFonts w:eastAsia="Times New Roman" w:cstheme="minorHAnsi"/>
                <w:color w:val="FFFFFF"/>
                <w:sz w:val="20"/>
                <w:lang w:eastAsia="hr-HR"/>
              </w:rPr>
            </w:pPr>
            <w:r>
              <w:rPr>
                <w:rFonts w:eastAsia="Times New Roman" w:cstheme="minorHAnsi"/>
                <w:color w:val="FFFFFF"/>
                <w:lang w:val="en-US"/>
              </w:rPr>
              <w:t>Bolesti cirkulacijskog sustava</w:t>
            </w:r>
          </w:p>
        </w:tc>
        <w:tc>
          <w:tcPr>
            <w:tcW w:w="946" w:type="dxa"/>
            <w:tcBorders>
              <w:top w:val="single" w:sz="8" w:space="0" w:color="F3CFC1"/>
              <w:bottom w:val="single" w:sz="8" w:space="0" w:color="F3CFC1"/>
            </w:tcBorders>
            <w:noWrap/>
            <w:vAlign w:val="center"/>
            <w:hideMark/>
          </w:tcPr>
          <w:p w14:paraId="65721FE3" w14:textId="193A693A"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815</w:t>
            </w:r>
          </w:p>
        </w:tc>
        <w:tc>
          <w:tcPr>
            <w:tcW w:w="786" w:type="dxa"/>
            <w:gridSpan w:val="2"/>
            <w:tcBorders>
              <w:top w:val="single" w:sz="8" w:space="0" w:color="F3CFC1"/>
              <w:bottom w:val="single" w:sz="8" w:space="0" w:color="F3CFC1"/>
              <w:right w:val="single" w:sz="8" w:space="0" w:color="D2232A"/>
            </w:tcBorders>
            <w:noWrap/>
            <w:vAlign w:val="center"/>
            <w:hideMark/>
          </w:tcPr>
          <w:p w14:paraId="663E2D97" w14:textId="43CEABB5"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44,2</w:t>
            </w:r>
          </w:p>
        </w:tc>
        <w:tc>
          <w:tcPr>
            <w:tcW w:w="786" w:type="dxa"/>
            <w:tcBorders>
              <w:top w:val="single" w:sz="8" w:space="0" w:color="F3CFC1"/>
              <w:left w:val="single" w:sz="8" w:space="0" w:color="D2232A"/>
              <w:bottom w:val="single" w:sz="8" w:space="0" w:color="F3CFC1"/>
            </w:tcBorders>
            <w:noWrap/>
            <w:vAlign w:val="center"/>
            <w:hideMark/>
          </w:tcPr>
          <w:p w14:paraId="7A67E9CC" w14:textId="2EBCEAFE"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724</w:t>
            </w:r>
          </w:p>
        </w:tc>
        <w:tc>
          <w:tcPr>
            <w:tcW w:w="786" w:type="dxa"/>
            <w:gridSpan w:val="2"/>
            <w:tcBorders>
              <w:top w:val="single" w:sz="8" w:space="0" w:color="F3CFC1"/>
              <w:bottom w:val="single" w:sz="8" w:space="0" w:color="F3CFC1"/>
              <w:right w:val="single" w:sz="8" w:space="0" w:color="D2232A"/>
            </w:tcBorders>
            <w:noWrap/>
            <w:vAlign w:val="center"/>
            <w:hideMark/>
          </w:tcPr>
          <w:p w14:paraId="7F811F2E" w14:textId="02F88492"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39,3</w:t>
            </w:r>
          </w:p>
        </w:tc>
        <w:tc>
          <w:tcPr>
            <w:tcW w:w="786" w:type="dxa"/>
            <w:tcBorders>
              <w:top w:val="single" w:sz="8" w:space="0" w:color="F3CFC1"/>
              <w:left w:val="single" w:sz="8" w:space="0" w:color="D2232A"/>
              <w:bottom w:val="single" w:sz="8" w:space="0" w:color="F3CFC1"/>
            </w:tcBorders>
            <w:noWrap/>
            <w:vAlign w:val="center"/>
          </w:tcPr>
          <w:p w14:paraId="17963374" w14:textId="72608A8B"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790</w:t>
            </w:r>
          </w:p>
        </w:tc>
        <w:tc>
          <w:tcPr>
            <w:tcW w:w="786" w:type="dxa"/>
            <w:tcBorders>
              <w:top w:val="single" w:sz="8" w:space="0" w:color="F3CFC1"/>
              <w:bottom w:val="single" w:sz="8" w:space="0" w:color="F3CFC1"/>
              <w:right w:val="single" w:sz="8" w:space="0" w:color="D2232A"/>
            </w:tcBorders>
            <w:noWrap/>
            <w:vAlign w:val="center"/>
          </w:tcPr>
          <w:p w14:paraId="7840B9D6" w14:textId="250EEF54"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42,9</w:t>
            </w:r>
          </w:p>
        </w:tc>
        <w:tc>
          <w:tcPr>
            <w:tcW w:w="786" w:type="dxa"/>
            <w:gridSpan w:val="2"/>
            <w:tcBorders>
              <w:top w:val="single" w:sz="8" w:space="0" w:color="F3CFC1"/>
              <w:bottom w:val="single" w:sz="8" w:space="0" w:color="F3CFC1"/>
              <w:right w:val="nil"/>
            </w:tcBorders>
          </w:tcPr>
          <w:p w14:paraId="07BA98D8" w14:textId="0662DD91"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707</w:t>
            </w:r>
          </w:p>
        </w:tc>
        <w:tc>
          <w:tcPr>
            <w:tcW w:w="838" w:type="dxa"/>
            <w:gridSpan w:val="2"/>
            <w:tcBorders>
              <w:top w:val="single" w:sz="8" w:space="0" w:color="F3CFC1"/>
              <w:left w:val="nil"/>
              <w:bottom w:val="single" w:sz="8" w:space="0" w:color="F3CFC1"/>
              <w:right w:val="single" w:sz="8" w:space="0" w:color="D2232A"/>
            </w:tcBorders>
          </w:tcPr>
          <w:p w14:paraId="540A4D2F" w14:textId="3B655BF2"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40,99</w:t>
            </w:r>
          </w:p>
        </w:tc>
      </w:tr>
      <w:tr w:rsidR="00F85094" w14:paraId="44855B62" w14:textId="2A3FF405" w:rsidTr="007B70A2">
        <w:trPr>
          <w:trHeight w:val="283"/>
        </w:trPr>
        <w:tc>
          <w:tcPr>
            <w:tcW w:w="2723" w:type="dxa"/>
            <w:tcBorders>
              <w:top w:val="single" w:sz="8" w:space="0" w:color="F3CFC1"/>
              <w:bottom w:val="single" w:sz="8" w:space="0" w:color="F3CFC1"/>
            </w:tcBorders>
            <w:shd w:val="clear" w:color="auto" w:fill="D2232A"/>
            <w:noWrap/>
            <w:vAlign w:val="center"/>
            <w:hideMark/>
          </w:tcPr>
          <w:p w14:paraId="63577C49" w14:textId="77777777" w:rsidR="00F85094" w:rsidRDefault="00F85094" w:rsidP="002B065F">
            <w:pPr>
              <w:spacing w:after="0" w:line="240" w:lineRule="auto"/>
              <w:rPr>
                <w:rFonts w:eastAsia="Times New Roman" w:cstheme="minorHAnsi"/>
                <w:color w:val="FFFFFF"/>
                <w:sz w:val="20"/>
                <w:lang w:eastAsia="hr-HR"/>
              </w:rPr>
            </w:pPr>
            <w:r>
              <w:rPr>
                <w:rFonts w:eastAsia="Times New Roman" w:cstheme="minorHAnsi"/>
                <w:color w:val="FFFFFF"/>
                <w:lang w:val="en-US"/>
              </w:rPr>
              <w:t>Novotvorine</w:t>
            </w:r>
          </w:p>
        </w:tc>
        <w:tc>
          <w:tcPr>
            <w:tcW w:w="946" w:type="dxa"/>
            <w:tcBorders>
              <w:top w:val="single" w:sz="8" w:space="0" w:color="F3CFC1"/>
              <w:bottom w:val="single" w:sz="8" w:space="0" w:color="F3CFC1"/>
            </w:tcBorders>
            <w:noWrap/>
            <w:vAlign w:val="center"/>
            <w:hideMark/>
          </w:tcPr>
          <w:p w14:paraId="2E47E9C4" w14:textId="39A6BA1E"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408</w:t>
            </w:r>
          </w:p>
        </w:tc>
        <w:tc>
          <w:tcPr>
            <w:tcW w:w="786" w:type="dxa"/>
            <w:gridSpan w:val="2"/>
            <w:tcBorders>
              <w:top w:val="single" w:sz="8" w:space="0" w:color="F3CFC1"/>
              <w:bottom w:val="single" w:sz="8" w:space="0" w:color="F3CFC1"/>
              <w:right w:val="single" w:sz="8" w:space="0" w:color="D2232A"/>
            </w:tcBorders>
            <w:noWrap/>
            <w:vAlign w:val="center"/>
            <w:hideMark/>
          </w:tcPr>
          <w:p w14:paraId="17DFD79A" w14:textId="6A7859D9"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22,1</w:t>
            </w:r>
          </w:p>
        </w:tc>
        <w:tc>
          <w:tcPr>
            <w:tcW w:w="786" w:type="dxa"/>
            <w:tcBorders>
              <w:top w:val="single" w:sz="8" w:space="0" w:color="F3CFC1"/>
              <w:left w:val="single" w:sz="8" w:space="0" w:color="D2232A"/>
              <w:bottom w:val="single" w:sz="8" w:space="0" w:color="F3CFC1"/>
            </w:tcBorders>
            <w:noWrap/>
            <w:vAlign w:val="center"/>
            <w:hideMark/>
          </w:tcPr>
          <w:p w14:paraId="015EE8CB" w14:textId="521D5EF8"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435</w:t>
            </w:r>
          </w:p>
        </w:tc>
        <w:tc>
          <w:tcPr>
            <w:tcW w:w="786" w:type="dxa"/>
            <w:gridSpan w:val="2"/>
            <w:tcBorders>
              <w:top w:val="single" w:sz="8" w:space="0" w:color="F3CFC1"/>
              <w:bottom w:val="single" w:sz="8" w:space="0" w:color="F3CFC1"/>
              <w:right w:val="single" w:sz="8" w:space="0" w:color="D2232A"/>
            </w:tcBorders>
            <w:noWrap/>
            <w:vAlign w:val="center"/>
            <w:hideMark/>
          </w:tcPr>
          <w:p w14:paraId="31156FEA" w14:textId="31DDEC06"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23,6</w:t>
            </w:r>
          </w:p>
        </w:tc>
        <w:tc>
          <w:tcPr>
            <w:tcW w:w="786" w:type="dxa"/>
            <w:tcBorders>
              <w:top w:val="single" w:sz="8" w:space="0" w:color="F3CFC1"/>
              <w:left w:val="single" w:sz="8" w:space="0" w:color="D2232A"/>
              <w:bottom w:val="single" w:sz="8" w:space="0" w:color="F3CFC1"/>
            </w:tcBorders>
            <w:noWrap/>
            <w:vAlign w:val="center"/>
          </w:tcPr>
          <w:p w14:paraId="1E733861" w14:textId="1036409A"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479</w:t>
            </w:r>
          </w:p>
        </w:tc>
        <w:tc>
          <w:tcPr>
            <w:tcW w:w="786" w:type="dxa"/>
            <w:tcBorders>
              <w:top w:val="single" w:sz="8" w:space="0" w:color="F3CFC1"/>
              <w:bottom w:val="single" w:sz="8" w:space="0" w:color="F3CFC1"/>
              <w:right w:val="single" w:sz="8" w:space="0" w:color="D2232A"/>
            </w:tcBorders>
            <w:noWrap/>
            <w:vAlign w:val="center"/>
          </w:tcPr>
          <w:p w14:paraId="4546B472" w14:textId="78366C59"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26,0</w:t>
            </w:r>
          </w:p>
        </w:tc>
        <w:tc>
          <w:tcPr>
            <w:tcW w:w="786" w:type="dxa"/>
            <w:gridSpan w:val="2"/>
            <w:tcBorders>
              <w:top w:val="single" w:sz="8" w:space="0" w:color="F3CFC1"/>
              <w:bottom w:val="single" w:sz="8" w:space="0" w:color="F3CFC1"/>
              <w:right w:val="nil"/>
            </w:tcBorders>
          </w:tcPr>
          <w:p w14:paraId="66AA3C44" w14:textId="02D812B4"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423</w:t>
            </w:r>
          </w:p>
        </w:tc>
        <w:tc>
          <w:tcPr>
            <w:tcW w:w="838" w:type="dxa"/>
            <w:gridSpan w:val="2"/>
            <w:tcBorders>
              <w:top w:val="single" w:sz="8" w:space="0" w:color="F3CFC1"/>
              <w:left w:val="nil"/>
              <w:bottom w:val="single" w:sz="8" w:space="0" w:color="F3CFC1"/>
              <w:right w:val="single" w:sz="8" w:space="0" w:color="D2232A"/>
            </w:tcBorders>
          </w:tcPr>
          <w:p w14:paraId="72812587" w14:textId="5392840D"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24,52</w:t>
            </w:r>
          </w:p>
        </w:tc>
      </w:tr>
      <w:tr w:rsidR="00F85094" w14:paraId="45DFD71C" w14:textId="5F899158" w:rsidTr="007B70A2">
        <w:trPr>
          <w:trHeight w:val="283"/>
        </w:trPr>
        <w:tc>
          <w:tcPr>
            <w:tcW w:w="2723" w:type="dxa"/>
            <w:tcBorders>
              <w:top w:val="single" w:sz="8" w:space="0" w:color="D2232A"/>
              <w:bottom w:val="single" w:sz="8" w:space="0" w:color="F3CFC1"/>
            </w:tcBorders>
            <w:shd w:val="clear" w:color="auto" w:fill="D2232A"/>
            <w:noWrap/>
            <w:vAlign w:val="center"/>
            <w:hideMark/>
          </w:tcPr>
          <w:p w14:paraId="4B0F9837" w14:textId="77777777" w:rsidR="00F85094" w:rsidRDefault="00F85094" w:rsidP="002B065F">
            <w:pPr>
              <w:spacing w:after="0" w:line="240" w:lineRule="auto"/>
              <w:rPr>
                <w:rFonts w:eastAsia="Times New Roman" w:cstheme="minorHAnsi"/>
                <w:color w:val="FFFFFF"/>
                <w:sz w:val="20"/>
                <w:lang w:eastAsia="hr-HR"/>
              </w:rPr>
            </w:pPr>
            <w:r>
              <w:rPr>
                <w:rFonts w:eastAsia="Times New Roman" w:cstheme="minorHAnsi"/>
                <w:color w:val="FFFFFF"/>
                <w:lang w:val="en-US"/>
              </w:rPr>
              <w:t>Bolesti probavnog sustava</w:t>
            </w:r>
          </w:p>
        </w:tc>
        <w:tc>
          <w:tcPr>
            <w:tcW w:w="946" w:type="dxa"/>
            <w:tcBorders>
              <w:top w:val="single" w:sz="8" w:space="0" w:color="F3CFC1"/>
              <w:bottom w:val="single" w:sz="8" w:space="0" w:color="F3CFC1"/>
            </w:tcBorders>
            <w:noWrap/>
            <w:vAlign w:val="center"/>
            <w:hideMark/>
          </w:tcPr>
          <w:p w14:paraId="304F591D" w14:textId="1D0DE5DE"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131</w:t>
            </w:r>
          </w:p>
        </w:tc>
        <w:tc>
          <w:tcPr>
            <w:tcW w:w="786" w:type="dxa"/>
            <w:gridSpan w:val="2"/>
            <w:tcBorders>
              <w:top w:val="single" w:sz="8" w:space="0" w:color="F3CFC1"/>
              <w:bottom w:val="single" w:sz="8" w:space="0" w:color="F3CFC1"/>
              <w:right w:val="single" w:sz="8" w:space="0" w:color="D2232A"/>
            </w:tcBorders>
            <w:noWrap/>
            <w:vAlign w:val="center"/>
            <w:hideMark/>
          </w:tcPr>
          <w:p w14:paraId="6F1A6CEC" w14:textId="3A38462D"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7,1</w:t>
            </w:r>
          </w:p>
        </w:tc>
        <w:tc>
          <w:tcPr>
            <w:tcW w:w="786" w:type="dxa"/>
            <w:tcBorders>
              <w:top w:val="single" w:sz="8" w:space="0" w:color="F3CFC1"/>
              <w:left w:val="single" w:sz="8" w:space="0" w:color="D2232A"/>
              <w:bottom w:val="single" w:sz="8" w:space="0" w:color="F3CFC1"/>
            </w:tcBorders>
            <w:noWrap/>
            <w:vAlign w:val="center"/>
            <w:hideMark/>
          </w:tcPr>
          <w:p w14:paraId="63D18D32" w14:textId="0A93CE2D"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107</w:t>
            </w:r>
          </w:p>
        </w:tc>
        <w:tc>
          <w:tcPr>
            <w:tcW w:w="786" w:type="dxa"/>
            <w:gridSpan w:val="2"/>
            <w:tcBorders>
              <w:top w:val="single" w:sz="8" w:space="0" w:color="F3CFC1"/>
              <w:bottom w:val="single" w:sz="8" w:space="0" w:color="F3CFC1"/>
              <w:right w:val="single" w:sz="8" w:space="0" w:color="D2232A"/>
            </w:tcBorders>
            <w:noWrap/>
            <w:vAlign w:val="center"/>
            <w:hideMark/>
          </w:tcPr>
          <w:p w14:paraId="7922B3EB" w14:textId="7242258A"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5,8</w:t>
            </w:r>
          </w:p>
        </w:tc>
        <w:tc>
          <w:tcPr>
            <w:tcW w:w="786" w:type="dxa"/>
            <w:tcBorders>
              <w:top w:val="single" w:sz="8" w:space="0" w:color="F3CFC1"/>
              <w:left w:val="single" w:sz="8" w:space="0" w:color="D2232A"/>
              <w:bottom w:val="single" w:sz="8" w:space="0" w:color="F3CFC1"/>
            </w:tcBorders>
            <w:noWrap/>
            <w:vAlign w:val="center"/>
          </w:tcPr>
          <w:p w14:paraId="435D28C5" w14:textId="68E95063"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138</w:t>
            </w:r>
          </w:p>
        </w:tc>
        <w:tc>
          <w:tcPr>
            <w:tcW w:w="786" w:type="dxa"/>
            <w:tcBorders>
              <w:top w:val="single" w:sz="8" w:space="0" w:color="F3CFC1"/>
              <w:bottom w:val="single" w:sz="8" w:space="0" w:color="F3CFC1"/>
              <w:right w:val="single" w:sz="8" w:space="0" w:color="D2232A"/>
            </w:tcBorders>
            <w:noWrap/>
            <w:vAlign w:val="center"/>
          </w:tcPr>
          <w:p w14:paraId="67F1E4B5" w14:textId="75B388FA"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7,5</w:t>
            </w:r>
          </w:p>
        </w:tc>
        <w:tc>
          <w:tcPr>
            <w:tcW w:w="786" w:type="dxa"/>
            <w:gridSpan w:val="2"/>
            <w:tcBorders>
              <w:top w:val="single" w:sz="8" w:space="0" w:color="F3CFC1"/>
              <w:bottom w:val="single" w:sz="8" w:space="0" w:color="F3CFC1"/>
              <w:right w:val="nil"/>
            </w:tcBorders>
          </w:tcPr>
          <w:p w14:paraId="6E27AAB0" w14:textId="2857F49F" w:rsidR="00F85094" w:rsidRDefault="003E5DFA"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98</w:t>
            </w:r>
          </w:p>
        </w:tc>
        <w:tc>
          <w:tcPr>
            <w:tcW w:w="838" w:type="dxa"/>
            <w:gridSpan w:val="2"/>
            <w:tcBorders>
              <w:top w:val="single" w:sz="8" w:space="0" w:color="F3CFC1"/>
              <w:left w:val="nil"/>
              <w:bottom w:val="single" w:sz="8" w:space="0" w:color="F3CFC1"/>
              <w:right w:val="single" w:sz="8" w:space="0" w:color="D2232A"/>
            </w:tcBorders>
          </w:tcPr>
          <w:p w14:paraId="3B99CCFD" w14:textId="3CE31D1F" w:rsidR="00F85094" w:rsidRDefault="003E5DFA"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5,68</w:t>
            </w:r>
          </w:p>
        </w:tc>
      </w:tr>
      <w:tr w:rsidR="00F85094" w14:paraId="33D228B6" w14:textId="1659CE98" w:rsidTr="007B70A2">
        <w:trPr>
          <w:trHeight w:val="283"/>
        </w:trPr>
        <w:tc>
          <w:tcPr>
            <w:tcW w:w="2723" w:type="dxa"/>
            <w:tcBorders>
              <w:top w:val="single" w:sz="8" w:space="0" w:color="F3CFC1"/>
              <w:bottom w:val="single" w:sz="8" w:space="0" w:color="F7D1D2" w:themeColor="accent6" w:themeTint="66"/>
            </w:tcBorders>
            <w:shd w:val="clear" w:color="auto" w:fill="D2232A"/>
            <w:noWrap/>
            <w:vAlign w:val="center"/>
            <w:hideMark/>
          </w:tcPr>
          <w:p w14:paraId="374C2178" w14:textId="77777777" w:rsidR="00F85094" w:rsidRDefault="00F85094" w:rsidP="002B065F">
            <w:pPr>
              <w:spacing w:after="0" w:line="240" w:lineRule="auto"/>
              <w:rPr>
                <w:rFonts w:eastAsia="Times New Roman" w:cstheme="minorHAnsi"/>
                <w:color w:val="FFFFFF"/>
                <w:sz w:val="20"/>
                <w:lang w:eastAsia="hr-HR"/>
              </w:rPr>
            </w:pPr>
            <w:r>
              <w:rPr>
                <w:rFonts w:eastAsia="Times New Roman" w:cstheme="minorHAnsi"/>
                <w:color w:val="FFFFFF"/>
                <w:lang w:val="en-US"/>
              </w:rPr>
              <w:t>Ozljede, trovanja i dr. poslj. vanjskih uzroka</w:t>
            </w:r>
          </w:p>
        </w:tc>
        <w:tc>
          <w:tcPr>
            <w:tcW w:w="946" w:type="dxa"/>
            <w:tcBorders>
              <w:top w:val="single" w:sz="8" w:space="0" w:color="F3CFC1"/>
              <w:bottom w:val="single" w:sz="8" w:space="0" w:color="F3CFC1"/>
            </w:tcBorders>
            <w:noWrap/>
            <w:vAlign w:val="center"/>
            <w:hideMark/>
          </w:tcPr>
          <w:p w14:paraId="7EACB954" w14:textId="56D5A324"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113</w:t>
            </w:r>
          </w:p>
        </w:tc>
        <w:tc>
          <w:tcPr>
            <w:tcW w:w="786" w:type="dxa"/>
            <w:gridSpan w:val="2"/>
            <w:tcBorders>
              <w:top w:val="single" w:sz="8" w:space="0" w:color="F3CFC1"/>
              <w:bottom w:val="single" w:sz="8" w:space="0" w:color="F3CFC1"/>
              <w:right w:val="single" w:sz="8" w:space="0" w:color="D2232A"/>
            </w:tcBorders>
            <w:noWrap/>
            <w:vAlign w:val="center"/>
            <w:hideMark/>
          </w:tcPr>
          <w:p w14:paraId="434EC952" w14:textId="26BC9887"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6,1</w:t>
            </w:r>
          </w:p>
        </w:tc>
        <w:tc>
          <w:tcPr>
            <w:tcW w:w="786" w:type="dxa"/>
            <w:tcBorders>
              <w:top w:val="single" w:sz="8" w:space="0" w:color="F3CFC1"/>
              <w:left w:val="single" w:sz="8" w:space="0" w:color="D2232A"/>
              <w:bottom w:val="single" w:sz="8" w:space="0" w:color="F3CFC1"/>
            </w:tcBorders>
            <w:noWrap/>
            <w:vAlign w:val="center"/>
            <w:hideMark/>
          </w:tcPr>
          <w:p w14:paraId="408E27BB" w14:textId="1964BADB"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107</w:t>
            </w:r>
          </w:p>
        </w:tc>
        <w:tc>
          <w:tcPr>
            <w:tcW w:w="786" w:type="dxa"/>
            <w:gridSpan w:val="2"/>
            <w:tcBorders>
              <w:top w:val="single" w:sz="8" w:space="0" w:color="F3CFC1"/>
              <w:bottom w:val="single" w:sz="8" w:space="0" w:color="F3CFC1"/>
              <w:right w:val="single" w:sz="8" w:space="0" w:color="D2232A"/>
            </w:tcBorders>
            <w:noWrap/>
            <w:vAlign w:val="center"/>
            <w:hideMark/>
          </w:tcPr>
          <w:p w14:paraId="2896FBB7" w14:textId="512D7563"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5,8</w:t>
            </w:r>
          </w:p>
        </w:tc>
        <w:tc>
          <w:tcPr>
            <w:tcW w:w="786" w:type="dxa"/>
            <w:tcBorders>
              <w:top w:val="single" w:sz="8" w:space="0" w:color="F3CFC1"/>
              <w:left w:val="single" w:sz="8" w:space="0" w:color="D2232A"/>
              <w:bottom w:val="single" w:sz="8" w:space="0" w:color="F3CFC1"/>
            </w:tcBorders>
            <w:noWrap/>
            <w:vAlign w:val="center"/>
          </w:tcPr>
          <w:p w14:paraId="43435999" w14:textId="1353430F"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114</w:t>
            </w:r>
          </w:p>
        </w:tc>
        <w:tc>
          <w:tcPr>
            <w:tcW w:w="786" w:type="dxa"/>
            <w:tcBorders>
              <w:top w:val="single" w:sz="8" w:space="0" w:color="F3CFC1"/>
              <w:bottom w:val="single" w:sz="8" w:space="0" w:color="F3CFC1"/>
              <w:right w:val="single" w:sz="8" w:space="0" w:color="D2232A"/>
            </w:tcBorders>
            <w:noWrap/>
            <w:vAlign w:val="center"/>
          </w:tcPr>
          <w:p w14:paraId="09D10C51" w14:textId="795C1735"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6,2</w:t>
            </w:r>
          </w:p>
        </w:tc>
        <w:tc>
          <w:tcPr>
            <w:tcW w:w="786" w:type="dxa"/>
            <w:gridSpan w:val="2"/>
            <w:tcBorders>
              <w:top w:val="single" w:sz="8" w:space="0" w:color="F3CFC1"/>
              <w:bottom w:val="single" w:sz="8" w:space="0" w:color="F3CFC1"/>
              <w:right w:val="nil"/>
            </w:tcBorders>
          </w:tcPr>
          <w:p w14:paraId="6B46BC68" w14:textId="19621B7F" w:rsidR="00F85094" w:rsidRDefault="003E5DFA"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100</w:t>
            </w:r>
          </w:p>
        </w:tc>
        <w:tc>
          <w:tcPr>
            <w:tcW w:w="838" w:type="dxa"/>
            <w:gridSpan w:val="2"/>
            <w:tcBorders>
              <w:top w:val="single" w:sz="8" w:space="0" w:color="F3CFC1"/>
              <w:left w:val="nil"/>
              <w:bottom w:val="single" w:sz="8" w:space="0" w:color="F3CFC1"/>
              <w:right w:val="single" w:sz="8" w:space="0" w:color="D2232A"/>
            </w:tcBorders>
          </w:tcPr>
          <w:p w14:paraId="0E57580A" w14:textId="24507F8B" w:rsidR="00F85094" w:rsidRDefault="003E5DFA"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5,80</w:t>
            </w:r>
          </w:p>
        </w:tc>
      </w:tr>
      <w:tr w:rsidR="00F85094" w14:paraId="76B44ED9" w14:textId="47D941A9" w:rsidTr="007B70A2">
        <w:trPr>
          <w:trHeight w:val="283"/>
        </w:trPr>
        <w:tc>
          <w:tcPr>
            <w:tcW w:w="2723" w:type="dxa"/>
            <w:tcBorders>
              <w:top w:val="single" w:sz="8" w:space="0" w:color="F7D1D2" w:themeColor="accent6" w:themeTint="66"/>
              <w:bottom w:val="nil"/>
            </w:tcBorders>
            <w:shd w:val="clear" w:color="auto" w:fill="D2232A"/>
            <w:noWrap/>
            <w:vAlign w:val="center"/>
            <w:hideMark/>
          </w:tcPr>
          <w:p w14:paraId="2070AB2E" w14:textId="77777777" w:rsidR="00F85094" w:rsidRDefault="00F85094" w:rsidP="002B065F">
            <w:pPr>
              <w:spacing w:after="0" w:line="240" w:lineRule="auto"/>
              <w:rPr>
                <w:rFonts w:eastAsia="Times New Roman" w:cstheme="minorHAnsi"/>
                <w:color w:val="FFFFFF"/>
                <w:sz w:val="20"/>
                <w:lang w:eastAsia="hr-HR"/>
              </w:rPr>
            </w:pPr>
            <w:r>
              <w:rPr>
                <w:rFonts w:eastAsia="Times New Roman" w:cstheme="minorHAnsi"/>
                <w:color w:val="FFFFFF"/>
                <w:lang w:val="en-US"/>
              </w:rPr>
              <w:t>Bolesti dišnog sustava</w:t>
            </w:r>
          </w:p>
        </w:tc>
        <w:tc>
          <w:tcPr>
            <w:tcW w:w="946" w:type="dxa"/>
            <w:tcBorders>
              <w:top w:val="single" w:sz="8" w:space="0" w:color="F3CFC1"/>
              <w:bottom w:val="nil"/>
            </w:tcBorders>
            <w:noWrap/>
            <w:vAlign w:val="center"/>
            <w:hideMark/>
          </w:tcPr>
          <w:p w14:paraId="1D63CE1E" w14:textId="44662956"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117</w:t>
            </w:r>
          </w:p>
        </w:tc>
        <w:tc>
          <w:tcPr>
            <w:tcW w:w="786" w:type="dxa"/>
            <w:gridSpan w:val="2"/>
            <w:tcBorders>
              <w:top w:val="single" w:sz="8" w:space="0" w:color="F3CFC1"/>
              <w:bottom w:val="nil"/>
              <w:right w:val="single" w:sz="8" w:space="0" w:color="D2232A"/>
            </w:tcBorders>
            <w:noWrap/>
            <w:vAlign w:val="center"/>
            <w:hideMark/>
          </w:tcPr>
          <w:p w14:paraId="18E7168A" w14:textId="29A8419F"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6,3</w:t>
            </w:r>
          </w:p>
        </w:tc>
        <w:tc>
          <w:tcPr>
            <w:tcW w:w="786" w:type="dxa"/>
            <w:tcBorders>
              <w:top w:val="single" w:sz="8" w:space="0" w:color="F3CFC1"/>
              <w:left w:val="single" w:sz="8" w:space="0" w:color="D2232A"/>
              <w:bottom w:val="nil"/>
            </w:tcBorders>
            <w:noWrap/>
            <w:vAlign w:val="center"/>
            <w:hideMark/>
          </w:tcPr>
          <w:p w14:paraId="7458641A" w14:textId="28A4D0BB"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157</w:t>
            </w:r>
          </w:p>
        </w:tc>
        <w:tc>
          <w:tcPr>
            <w:tcW w:w="786" w:type="dxa"/>
            <w:gridSpan w:val="2"/>
            <w:tcBorders>
              <w:top w:val="single" w:sz="8" w:space="0" w:color="F3CFC1"/>
              <w:bottom w:val="nil"/>
              <w:right w:val="single" w:sz="8" w:space="0" w:color="D2232A"/>
            </w:tcBorders>
            <w:noWrap/>
            <w:vAlign w:val="center"/>
            <w:hideMark/>
          </w:tcPr>
          <w:p w14:paraId="7E052D95" w14:textId="5068585C"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lang w:val="en-US"/>
              </w:rPr>
              <w:t>8,5</w:t>
            </w:r>
          </w:p>
        </w:tc>
        <w:tc>
          <w:tcPr>
            <w:tcW w:w="786" w:type="dxa"/>
            <w:tcBorders>
              <w:top w:val="single" w:sz="8" w:space="0" w:color="F3CFC1"/>
              <w:left w:val="single" w:sz="8" w:space="0" w:color="D2232A"/>
              <w:bottom w:val="nil"/>
            </w:tcBorders>
            <w:noWrap/>
            <w:vAlign w:val="center"/>
          </w:tcPr>
          <w:p w14:paraId="27B29BF3" w14:textId="3AB28F13"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112</w:t>
            </w:r>
          </w:p>
        </w:tc>
        <w:tc>
          <w:tcPr>
            <w:tcW w:w="786" w:type="dxa"/>
            <w:tcBorders>
              <w:top w:val="single" w:sz="8" w:space="0" w:color="F3CFC1"/>
              <w:bottom w:val="nil"/>
              <w:right w:val="single" w:sz="8" w:space="0" w:color="D2232A"/>
            </w:tcBorders>
            <w:noWrap/>
            <w:vAlign w:val="center"/>
          </w:tcPr>
          <w:p w14:paraId="0A1585A2" w14:textId="65A7D0F0" w:rsidR="00F85094" w:rsidRDefault="00F85094"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6,1</w:t>
            </w:r>
          </w:p>
        </w:tc>
        <w:tc>
          <w:tcPr>
            <w:tcW w:w="786" w:type="dxa"/>
            <w:gridSpan w:val="2"/>
            <w:tcBorders>
              <w:top w:val="single" w:sz="8" w:space="0" w:color="F3CFC1"/>
              <w:bottom w:val="nil"/>
              <w:right w:val="nil"/>
            </w:tcBorders>
          </w:tcPr>
          <w:p w14:paraId="69870F1D" w14:textId="67A85AA0" w:rsidR="00F85094" w:rsidRDefault="003E5DFA"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114</w:t>
            </w:r>
          </w:p>
        </w:tc>
        <w:tc>
          <w:tcPr>
            <w:tcW w:w="838" w:type="dxa"/>
            <w:gridSpan w:val="2"/>
            <w:tcBorders>
              <w:top w:val="single" w:sz="8" w:space="0" w:color="F3CFC1"/>
              <w:left w:val="nil"/>
              <w:bottom w:val="nil"/>
              <w:right w:val="single" w:sz="8" w:space="0" w:color="D2232A"/>
            </w:tcBorders>
          </w:tcPr>
          <w:p w14:paraId="74B8DBEA" w14:textId="6F6D86F4" w:rsidR="00F85094" w:rsidRDefault="003E5DFA" w:rsidP="002B065F">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6,61</w:t>
            </w:r>
          </w:p>
        </w:tc>
      </w:tr>
    </w:tbl>
    <w:p w14:paraId="2C7CB0FF" w14:textId="77777777" w:rsidR="00F85094" w:rsidRPr="00981189" w:rsidRDefault="008878A0" w:rsidP="003C2276">
      <w:pPr>
        <w:pStyle w:val="Izvor"/>
        <w:rPr>
          <w:i/>
          <w:color w:val="ABABAB" w:themeColor="text1" w:themeTint="A6"/>
          <w:sz w:val="16"/>
          <w:szCs w:val="16"/>
        </w:rPr>
      </w:pPr>
      <w:r w:rsidRPr="00981189">
        <w:rPr>
          <w:i/>
          <w:color w:val="ABABAB" w:themeColor="text1" w:themeTint="A6"/>
          <w:sz w:val="16"/>
          <w:szCs w:val="16"/>
        </w:rPr>
        <w:t>Izvor: Hrvatski zdravstveno statistički ljetopis 201</w:t>
      </w:r>
      <w:r w:rsidR="002E6343" w:rsidRPr="00981189">
        <w:rPr>
          <w:i/>
          <w:color w:val="ABABAB" w:themeColor="text1" w:themeTint="A6"/>
          <w:sz w:val="16"/>
          <w:szCs w:val="16"/>
        </w:rPr>
        <w:t>8</w:t>
      </w:r>
      <w:r w:rsidR="00F85094" w:rsidRPr="00981189">
        <w:rPr>
          <w:i/>
          <w:color w:val="ABABAB" w:themeColor="text1" w:themeTint="A6"/>
          <w:sz w:val="16"/>
          <w:szCs w:val="16"/>
        </w:rPr>
        <w:t>; Hrvatski zdravstveno-statistički ljetopis za 2019. – tablični podaci.</w:t>
      </w:r>
    </w:p>
    <w:p w14:paraId="23CDEDB8" w14:textId="77777777" w:rsidR="008878A0" w:rsidRDefault="008878A0" w:rsidP="00941871">
      <w:pPr>
        <w:autoSpaceDE w:val="0"/>
        <w:autoSpaceDN w:val="0"/>
        <w:adjustRightInd w:val="0"/>
        <w:spacing w:after="0" w:line="240" w:lineRule="auto"/>
        <w:rPr>
          <w:rFonts w:eastAsia="ArialNarrow" w:cstheme="minorHAnsi"/>
        </w:rPr>
      </w:pPr>
    </w:p>
    <w:p w14:paraId="2E256E62" w14:textId="2001B65A" w:rsidR="008878A0" w:rsidRDefault="008878A0" w:rsidP="00941871">
      <w:pPr>
        <w:autoSpaceDE w:val="0"/>
        <w:autoSpaceDN w:val="0"/>
        <w:adjustRightInd w:val="0"/>
        <w:spacing w:after="0" w:line="240" w:lineRule="auto"/>
        <w:rPr>
          <w:rFonts w:eastAsia="ArialNarrow" w:cstheme="minorHAnsi"/>
        </w:rPr>
      </w:pPr>
      <w:r>
        <w:rPr>
          <w:rFonts w:eastAsia="ArialNarrow" w:cstheme="minorHAnsi"/>
        </w:rPr>
        <w:t xml:space="preserve">Iz prethodne tablice može se vidjeti da su najveći uzročnik smrti </w:t>
      </w:r>
      <w:r w:rsidR="00B65CB6">
        <w:rPr>
          <w:rFonts w:eastAsia="ArialNarrow" w:cstheme="minorHAnsi"/>
        </w:rPr>
        <w:t>u</w:t>
      </w:r>
      <w:r>
        <w:rPr>
          <w:rFonts w:eastAsia="ArialNarrow" w:cstheme="minorHAnsi"/>
        </w:rPr>
        <w:t xml:space="preserve"> </w:t>
      </w:r>
      <w:r w:rsidR="006326D6">
        <w:rPr>
          <w:rFonts w:eastAsia="ArialNarrow" w:cstheme="minorHAnsi"/>
        </w:rPr>
        <w:t>periodu 2016.-201</w:t>
      </w:r>
      <w:r w:rsidR="003E5DFA">
        <w:rPr>
          <w:rFonts w:eastAsia="ArialNarrow" w:cstheme="minorHAnsi"/>
        </w:rPr>
        <w:t>9</w:t>
      </w:r>
      <w:r w:rsidR="006326D6">
        <w:rPr>
          <w:rFonts w:eastAsia="ArialNarrow" w:cstheme="minorHAnsi"/>
        </w:rPr>
        <w:t xml:space="preserve">. u </w:t>
      </w:r>
      <w:r>
        <w:rPr>
          <w:rFonts w:eastAsia="ArialNarrow" w:cstheme="minorHAnsi"/>
        </w:rPr>
        <w:t xml:space="preserve">Krapinsko-zagorskoj županiji bolesti cirkulacijskog sustava i to s udjelom od </w:t>
      </w:r>
      <w:r w:rsidR="00EC0ADA">
        <w:rPr>
          <w:rFonts w:eastAsia="ArialNarrow" w:cstheme="minorHAnsi"/>
        </w:rPr>
        <w:t>4</w:t>
      </w:r>
      <w:r w:rsidR="003E5DFA">
        <w:rPr>
          <w:rFonts w:eastAsia="ArialNarrow" w:cstheme="minorHAnsi"/>
        </w:rPr>
        <w:t>0,99</w:t>
      </w:r>
      <w:r>
        <w:rPr>
          <w:rFonts w:eastAsia="ArialNarrow" w:cstheme="minorHAnsi"/>
        </w:rPr>
        <w:t>% u 201</w:t>
      </w:r>
      <w:r w:rsidR="003E5DFA">
        <w:rPr>
          <w:rFonts w:eastAsia="ArialNarrow" w:cstheme="minorHAnsi"/>
        </w:rPr>
        <w:t>9</w:t>
      </w:r>
      <w:r>
        <w:rPr>
          <w:rFonts w:eastAsia="ArialNarrow" w:cstheme="minorHAnsi"/>
        </w:rPr>
        <w:t xml:space="preserve">. godini. </w:t>
      </w:r>
      <w:r w:rsidR="000026B6">
        <w:rPr>
          <w:rFonts w:eastAsia="ArialNarrow" w:cstheme="minorHAnsi"/>
        </w:rPr>
        <w:t>B</w:t>
      </w:r>
      <w:r>
        <w:rPr>
          <w:rFonts w:eastAsia="ArialNarrow" w:cstheme="minorHAnsi"/>
        </w:rPr>
        <w:t xml:space="preserve">olesti </w:t>
      </w:r>
      <w:r w:rsidR="003E5DFA">
        <w:rPr>
          <w:rFonts w:eastAsia="ArialNarrow" w:cstheme="minorHAnsi"/>
        </w:rPr>
        <w:t>probavnog sustava</w:t>
      </w:r>
      <w:r>
        <w:rPr>
          <w:rFonts w:eastAsia="ArialNarrow" w:cstheme="minorHAnsi"/>
        </w:rPr>
        <w:t xml:space="preserve"> najmanje su zastupljen</w:t>
      </w:r>
      <w:r w:rsidR="00783327">
        <w:rPr>
          <w:rFonts w:eastAsia="ArialNarrow" w:cstheme="minorHAnsi"/>
        </w:rPr>
        <w:t>e</w:t>
      </w:r>
      <w:r>
        <w:rPr>
          <w:rFonts w:eastAsia="ArialNarrow" w:cstheme="minorHAnsi"/>
        </w:rPr>
        <w:t xml:space="preserve"> u ukupnom broju i to pojedinačno sa </w:t>
      </w:r>
      <w:r w:rsidR="003E5DFA">
        <w:rPr>
          <w:rFonts w:eastAsia="ArialNarrow" w:cstheme="minorHAnsi"/>
        </w:rPr>
        <w:t>98</w:t>
      </w:r>
      <w:r>
        <w:rPr>
          <w:rFonts w:eastAsia="ArialNarrow" w:cstheme="minorHAnsi"/>
        </w:rPr>
        <w:t xml:space="preserve"> zabilježenih slučajeva što čini </w:t>
      </w:r>
      <w:r w:rsidR="003E5DFA">
        <w:rPr>
          <w:rFonts w:eastAsia="ArialNarrow" w:cstheme="minorHAnsi"/>
        </w:rPr>
        <w:t>5</w:t>
      </w:r>
      <w:r>
        <w:rPr>
          <w:rFonts w:eastAsia="ArialNarrow" w:cstheme="minorHAnsi"/>
        </w:rPr>
        <w:t>,</w:t>
      </w:r>
      <w:r w:rsidR="003E5DFA">
        <w:rPr>
          <w:rFonts w:eastAsia="ArialNarrow" w:cstheme="minorHAnsi"/>
        </w:rPr>
        <w:t>68</w:t>
      </w:r>
      <w:r>
        <w:rPr>
          <w:rFonts w:eastAsia="ArialNarrow" w:cstheme="minorHAnsi"/>
        </w:rPr>
        <w:t xml:space="preserve">%. </w:t>
      </w:r>
    </w:p>
    <w:p w14:paraId="386AE0FA" w14:textId="77777777" w:rsidR="00832FC9" w:rsidRDefault="00832FC9" w:rsidP="00941871">
      <w:pPr>
        <w:autoSpaceDE w:val="0"/>
        <w:autoSpaceDN w:val="0"/>
        <w:adjustRightInd w:val="0"/>
        <w:spacing w:after="0" w:line="240" w:lineRule="auto"/>
        <w:rPr>
          <w:rFonts w:eastAsia="ArialNarrow"/>
        </w:rPr>
      </w:pPr>
    </w:p>
    <w:p w14:paraId="180346DC" w14:textId="055A6BB2" w:rsidR="00952322" w:rsidRPr="002870F1" w:rsidRDefault="00832FC9" w:rsidP="009369DA">
      <w:pPr>
        <w:autoSpaceDE w:val="0"/>
        <w:autoSpaceDN w:val="0"/>
        <w:adjustRightInd w:val="0"/>
        <w:spacing w:after="0" w:line="240" w:lineRule="auto"/>
        <w:rPr>
          <w:rFonts w:eastAsia="ArialNarrow" w:cstheme="minorHAnsi"/>
        </w:rPr>
      </w:pPr>
      <w:bookmarkStart w:id="97" w:name="_Hlk64269876"/>
      <w:r w:rsidRPr="002870F1">
        <w:rPr>
          <w:rFonts w:eastAsia="ArialNarrow" w:cstheme="minorHAnsi"/>
        </w:rPr>
        <w:t xml:space="preserve">Virus SARS-CoV-2 </w:t>
      </w:r>
      <w:r w:rsidR="00F57869" w:rsidRPr="002870F1">
        <w:rPr>
          <w:rFonts w:eastAsia="ArialNarrow" w:cstheme="minorHAnsi"/>
        </w:rPr>
        <w:t xml:space="preserve">pojavio </w:t>
      </w:r>
      <w:r w:rsidRPr="002870F1">
        <w:rPr>
          <w:rFonts w:eastAsia="ArialNarrow" w:cstheme="minorHAnsi"/>
        </w:rPr>
        <w:t xml:space="preserve">se krajem 2019. u Kini i u kratkom se roku proširio izvan Kine i Azije. Bolest uzrokovana virusom, COVID-19, ubrzo je poprimila pandemijske razmjere. Ministar zdravstva je 11.03.2020. proglasio epidemiju bolesti COVID 19 na prijedlog Hrvatskog zavoda za javno zdravstvo. </w:t>
      </w:r>
    </w:p>
    <w:bookmarkEnd w:id="97"/>
    <w:p w14:paraId="7CA3277F" w14:textId="77777777" w:rsidR="009369DA" w:rsidRPr="00727BF3" w:rsidRDefault="009369DA" w:rsidP="009369DA">
      <w:pPr>
        <w:autoSpaceDE w:val="0"/>
        <w:autoSpaceDN w:val="0"/>
        <w:adjustRightInd w:val="0"/>
        <w:spacing w:after="0" w:line="240" w:lineRule="auto"/>
        <w:rPr>
          <w:rFonts w:eastAsia="ArialNarrow" w:cstheme="minorHAnsi"/>
          <w:color w:val="FF0000"/>
        </w:rPr>
      </w:pPr>
    </w:p>
    <w:p w14:paraId="15165332" w14:textId="4973F590" w:rsidR="009369DA" w:rsidRPr="009369DA" w:rsidRDefault="00804453" w:rsidP="003E3F3C">
      <w:pPr>
        <w:pStyle w:val="Opisslike"/>
      </w:pPr>
      <w:r>
        <w:t xml:space="preserve">Tablica </w:t>
      </w:r>
      <w:r w:rsidR="00AF5B79">
        <w:rPr>
          <w:noProof/>
        </w:rPr>
        <w:t>40</w:t>
      </w:r>
      <w:r>
        <w:rPr>
          <w:noProof/>
        </w:rPr>
        <w:t>.</w:t>
      </w:r>
      <w:r>
        <w:t xml:space="preserve"> Slučajevi zaraze </w:t>
      </w:r>
      <w:r w:rsidRPr="00804453">
        <w:t>SARS CoV-2 infekcijom</w:t>
      </w:r>
      <w:r>
        <w:t xml:space="preserve"> u svijetu, RH i KZŽ na dan 11.01.2021.</w:t>
      </w:r>
      <w:r w:rsidR="009369DA">
        <w:rPr>
          <w:rFonts w:eastAsia="ArialNarrow"/>
        </w:rPr>
        <w:fldChar w:fldCharType="begin"/>
      </w:r>
      <w:r w:rsidR="009369DA">
        <w:rPr>
          <w:rFonts w:eastAsia="ArialNarrow"/>
        </w:rPr>
        <w:instrText xml:space="preserve"> LINK Excel.Sheet.12 "\\\\194.152.214.169\\Dokumenti\\STRATEGIJE\\04_PLAN RAZVOJA KZŽ\\BAZA PODATAKA ZA PRKZŽ\\SOCIJALNA SKRB\\4. SOCIJALNO UKLJUČIVANJE I USLUGE SOCIJALNE SKRBI.xlsx" "SARS CoV2!R4C2:R7C5" \a \f 4 \h  \* MERGEFORMAT </w:instrText>
      </w:r>
      <w:r w:rsidR="009369DA">
        <w:rPr>
          <w:rFonts w:eastAsia="ArialNarrow"/>
        </w:rPr>
        <w:fldChar w:fldCharType="separate"/>
      </w:r>
    </w:p>
    <w:tbl>
      <w:tblPr>
        <w:tblW w:w="9277" w:type="dxa"/>
        <w:tblLook w:val="04A0" w:firstRow="1" w:lastRow="0" w:firstColumn="1" w:lastColumn="0" w:noHBand="0" w:noVBand="1"/>
      </w:tblPr>
      <w:tblGrid>
        <w:gridCol w:w="1655"/>
        <w:gridCol w:w="2449"/>
        <w:gridCol w:w="2828"/>
        <w:gridCol w:w="2345"/>
      </w:tblGrid>
      <w:tr w:rsidR="009369DA" w:rsidRPr="009369DA" w14:paraId="4B2782D9" w14:textId="77777777" w:rsidTr="0038288D">
        <w:trPr>
          <w:trHeight w:val="361"/>
        </w:trPr>
        <w:tc>
          <w:tcPr>
            <w:tcW w:w="1655" w:type="dxa"/>
            <w:tcBorders>
              <w:top w:val="nil"/>
              <w:left w:val="nil"/>
              <w:bottom w:val="single" w:sz="4" w:space="0" w:color="FBE8E8" w:themeColor="accent6" w:themeTint="33"/>
              <w:right w:val="nil"/>
            </w:tcBorders>
            <w:shd w:val="clear" w:color="000000" w:fill="D2232A"/>
            <w:vAlign w:val="center"/>
            <w:hideMark/>
          </w:tcPr>
          <w:p w14:paraId="72CBFE98" w14:textId="74E52055" w:rsidR="009369DA" w:rsidRPr="009369DA" w:rsidRDefault="009369DA" w:rsidP="009369DA">
            <w:pPr>
              <w:spacing w:after="0" w:line="240" w:lineRule="auto"/>
              <w:jc w:val="left"/>
              <w:rPr>
                <w:rFonts w:eastAsia="Times New Roman" w:cs="Calibri"/>
                <w:color w:val="FFFFFF"/>
                <w:szCs w:val="18"/>
                <w:lang w:eastAsia="hr-HR"/>
              </w:rPr>
            </w:pPr>
            <w:r w:rsidRPr="009369DA">
              <w:rPr>
                <w:rFonts w:ascii="Calibri" w:eastAsia="Times New Roman" w:hAnsi="Calibri" w:cs="Calibri"/>
                <w:color w:val="FFFFFF"/>
                <w:szCs w:val="18"/>
                <w:lang w:eastAsia="hr-HR"/>
              </w:rPr>
              <w:t> </w:t>
            </w:r>
          </w:p>
        </w:tc>
        <w:tc>
          <w:tcPr>
            <w:tcW w:w="2449" w:type="dxa"/>
            <w:tcBorders>
              <w:top w:val="nil"/>
              <w:left w:val="nil"/>
              <w:bottom w:val="single" w:sz="4" w:space="0" w:color="FBE8E8" w:themeColor="accent6" w:themeTint="33"/>
              <w:right w:val="nil"/>
            </w:tcBorders>
            <w:shd w:val="clear" w:color="000000" w:fill="D2232A"/>
            <w:vAlign w:val="center"/>
            <w:hideMark/>
          </w:tcPr>
          <w:p w14:paraId="16F2F3A6" w14:textId="77777777" w:rsidR="009369DA" w:rsidRPr="009369DA" w:rsidRDefault="009369DA" w:rsidP="009369DA">
            <w:pPr>
              <w:spacing w:after="0" w:line="240" w:lineRule="auto"/>
              <w:jc w:val="center"/>
              <w:rPr>
                <w:rFonts w:eastAsia="Times New Roman" w:cs="Calibri"/>
                <w:color w:val="FFFFFF"/>
                <w:szCs w:val="18"/>
                <w:lang w:eastAsia="hr-HR"/>
              </w:rPr>
            </w:pPr>
            <w:r w:rsidRPr="009369DA">
              <w:rPr>
                <w:rFonts w:eastAsia="Times New Roman" w:cs="Calibri"/>
                <w:color w:val="FFFFFF"/>
                <w:szCs w:val="18"/>
                <w:lang w:eastAsia="hr-HR"/>
              </w:rPr>
              <w:t>SLUČAJEVI</w:t>
            </w:r>
          </w:p>
        </w:tc>
        <w:tc>
          <w:tcPr>
            <w:tcW w:w="2828" w:type="dxa"/>
            <w:tcBorders>
              <w:top w:val="nil"/>
              <w:left w:val="nil"/>
              <w:bottom w:val="single" w:sz="4" w:space="0" w:color="FBE8E8" w:themeColor="accent6" w:themeTint="33"/>
              <w:right w:val="nil"/>
            </w:tcBorders>
            <w:shd w:val="clear" w:color="000000" w:fill="D2232A"/>
            <w:vAlign w:val="center"/>
            <w:hideMark/>
          </w:tcPr>
          <w:p w14:paraId="0179E679" w14:textId="77777777" w:rsidR="009369DA" w:rsidRPr="009369DA" w:rsidRDefault="009369DA" w:rsidP="009369DA">
            <w:pPr>
              <w:spacing w:after="0" w:line="240" w:lineRule="auto"/>
              <w:jc w:val="center"/>
              <w:rPr>
                <w:rFonts w:eastAsia="Times New Roman" w:cs="Calibri"/>
                <w:color w:val="FFFFFF"/>
                <w:szCs w:val="18"/>
                <w:lang w:eastAsia="hr-HR"/>
              </w:rPr>
            </w:pPr>
            <w:r w:rsidRPr="009369DA">
              <w:rPr>
                <w:rFonts w:eastAsia="Times New Roman" w:cs="Calibri"/>
                <w:color w:val="FFFFFF"/>
                <w:szCs w:val="18"/>
                <w:lang w:eastAsia="hr-HR"/>
              </w:rPr>
              <w:t>OPORAVLJENI</w:t>
            </w:r>
          </w:p>
        </w:tc>
        <w:tc>
          <w:tcPr>
            <w:tcW w:w="2345" w:type="dxa"/>
            <w:tcBorders>
              <w:top w:val="nil"/>
              <w:left w:val="nil"/>
              <w:bottom w:val="single" w:sz="4" w:space="0" w:color="FBE8E8" w:themeColor="accent6" w:themeTint="33"/>
              <w:right w:val="nil"/>
            </w:tcBorders>
            <w:shd w:val="clear" w:color="000000" w:fill="D2232A"/>
            <w:vAlign w:val="center"/>
            <w:hideMark/>
          </w:tcPr>
          <w:p w14:paraId="3C8B6827" w14:textId="77777777" w:rsidR="009369DA" w:rsidRPr="009369DA" w:rsidRDefault="009369DA" w:rsidP="009369DA">
            <w:pPr>
              <w:spacing w:after="0" w:line="240" w:lineRule="auto"/>
              <w:jc w:val="center"/>
              <w:rPr>
                <w:rFonts w:eastAsia="Times New Roman" w:cs="Calibri"/>
                <w:color w:val="FFFFFF"/>
                <w:szCs w:val="18"/>
                <w:lang w:eastAsia="hr-HR"/>
              </w:rPr>
            </w:pPr>
            <w:r w:rsidRPr="009369DA">
              <w:rPr>
                <w:rFonts w:eastAsia="Times New Roman" w:cs="Calibri"/>
                <w:color w:val="FFFFFF"/>
                <w:szCs w:val="18"/>
                <w:lang w:eastAsia="hr-HR"/>
              </w:rPr>
              <w:t>PREMINULI</w:t>
            </w:r>
          </w:p>
        </w:tc>
      </w:tr>
      <w:tr w:rsidR="009369DA" w:rsidRPr="009369DA" w14:paraId="3320EF46" w14:textId="77777777" w:rsidTr="0038288D">
        <w:trPr>
          <w:trHeight w:val="361"/>
        </w:trPr>
        <w:tc>
          <w:tcPr>
            <w:tcW w:w="1655" w:type="dxa"/>
            <w:tcBorders>
              <w:top w:val="single" w:sz="4" w:space="0" w:color="FBE8E8" w:themeColor="accent6" w:themeTint="33"/>
              <w:left w:val="single" w:sz="4" w:space="0" w:color="auto"/>
              <w:bottom w:val="single" w:sz="4" w:space="0" w:color="FBE8E8" w:themeColor="accent6" w:themeTint="33"/>
              <w:right w:val="single" w:sz="4" w:space="0" w:color="auto"/>
            </w:tcBorders>
            <w:shd w:val="clear" w:color="000000" w:fill="D2232A"/>
            <w:vAlign w:val="center"/>
            <w:hideMark/>
          </w:tcPr>
          <w:p w14:paraId="45D3AC9A" w14:textId="77777777" w:rsidR="009369DA" w:rsidRPr="009369DA" w:rsidRDefault="009369DA" w:rsidP="009369DA">
            <w:pPr>
              <w:spacing w:after="0" w:line="240" w:lineRule="auto"/>
              <w:jc w:val="left"/>
              <w:rPr>
                <w:rFonts w:eastAsia="Times New Roman" w:cs="Calibri"/>
                <w:color w:val="FFFFFF"/>
                <w:szCs w:val="18"/>
                <w:lang w:eastAsia="hr-HR"/>
              </w:rPr>
            </w:pPr>
            <w:r w:rsidRPr="009369DA">
              <w:rPr>
                <w:rFonts w:eastAsia="Times New Roman" w:cs="Calibri"/>
                <w:color w:val="FFFFFF"/>
                <w:szCs w:val="18"/>
                <w:lang w:eastAsia="hr-HR"/>
              </w:rPr>
              <w:t>SVIJET</w:t>
            </w:r>
          </w:p>
        </w:tc>
        <w:tc>
          <w:tcPr>
            <w:tcW w:w="2449" w:type="dxa"/>
            <w:tcBorders>
              <w:top w:val="single" w:sz="4" w:space="0" w:color="FBE8E8" w:themeColor="accent6" w:themeTint="33"/>
              <w:left w:val="nil"/>
              <w:bottom w:val="single" w:sz="4" w:space="0" w:color="F3BBBD" w:themeColor="accent6" w:themeTint="99"/>
              <w:right w:val="single" w:sz="4" w:space="0" w:color="auto"/>
            </w:tcBorders>
            <w:shd w:val="clear" w:color="auto" w:fill="auto"/>
            <w:noWrap/>
            <w:vAlign w:val="bottom"/>
            <w:hideMark/>
          </w:tcPr>
          <w:p w14:paraId="64916DC1" w14:textId="77777777" w:rsidR="009369DA" w:rsidRPr="009369DA" w:rsidRDefault="009369DA" w:rsidP="009369DA">
            <w:pPr>
              <w:spacing w:after="0" w:line="240" w:lineRule="auto"/>
              <w:jc w:val="center"/>
              <w:rPr>
                <w:rFonts w:eastAsia="Times New Roman" w:cstheme="minorHAnsi"/>
                <w:lang w:val="en-US"/>
              </w:rPr>
            </w:pPr>
            <w:r w:rsidRPr="009369DA">
              <w:rPr>
                <w:rFonts w:eastAsia="Times New Roman" w:cstheme="minorHAnsi"/>
                <w:lang w:val="en-US"/>
              </w:rPr>
              <w:t>90.702.906</w:t>
            </w:r>
          </w:p>
        </w:tc>
        <w:tc>
          <w:tcPr>
            <w:tcW w:w="2828" w:type="dxa"/>
            <w:tcBorders>
              <w:top w:val="single" w:sz="4" w:space="0" w:color="FBE8E8" w:themeColor="accent6" w:themeTint="33"/>
              <w:left w:val="nil"/>
              <w:bottom w:val="single" w:sz="4" w:space="0" w:color="F3BBBD" w:themeColor="accent6" w:themeTint="99"/>
              <w:right w:val="single" w:sz="4" w:space="0" w:color="auto"/>
            </w:tcBorders>
            <w:shd w:val="clear" w:color="auto" w:fill="auto"/>
            <w:noWrap/>
            <w:vAlign w:val="bottom"/>
            <w:hideMark/>
          </w:tcPr>
          <w:p w14:paraId="3A2C6ED6" w14:textId="77777777" w:rsidR="009369DA" w:rsidRPr="009369DA" w:rsidRDefault="009369DA" w:rsidP="009369DA">
            <w:pPr>
              <w:spacing w:after="0" w:line="240" w:lineRule="auto"/>
              <w:jc w:val="center"/>
              <w:rPr>
                <w:rFonts w:eastAsia="Times New Roman" w:cstheme="minorHAnsi"/>
                <w:lang w:val="en-US"/>
              </w:rPr>
            </w:pPr>
            <w:r w:rsidRPr="009369DA">
              <w:rPr>
                <w:rFonts w:eastAsia="Times New Roman" w:cstheme="minorHAnsi"/>
                <w:lang w:val="en-US"/>
              </w:rPr>
              <w:t>64.825.048</w:t>
            </w:r>
          </w:p>
        </w:tc>
        <w:tc>
          <w:tcPr>
            <w:tcW w:w="2345" w:type="dxa"/>
            <w:tcBorders>
              <w:top w:val="single" w:sz="4" w:space="0" w:color="FBE8E8" w:themeColor="accent6" w:themeTint="33"/>
              <w:left w:val="nil"/>
              <w:bottom w:val="single" w:sz="4" w:space="0" w:color="F3BBBD" w:themeColor="accent6" w:themeTint="99"/>
              <w:right w:val="single" w:sz="4" w:space="0" w:color="auto"/>
            </w:tcBorders>
            <w:shd w:val="clear" w:color="auto" w:fill="auto"/>
            <w:noWrap/>
            <w:vAlign w:val="bottom"/>
            <w:hideMark/>
          </w:tcPr>
          <w:p w14:paraId="55A4ECE5" w14:textId="77777777" w:rsidR="009369DA" w:rsidRPr="009369DA" w:rsidRDefault="009369DA" w:rsidP="009369DA">
            <w:pPr>
              <w:spacing w:after="0" w:line="240" w:lineRule="auto"/>
              <w:jc w:val="center"/>
              <w:rPr>
                <w:rFonts w:eastAsia="Times New Roman" w:cstheme="minorHAnsi"/>
                <w:lang w:val="en-US"/>
              </w:rPr>
            </w:pPr>
            <w:r w:rsidRPr="009369DA">
              <w:rPr>
                <w:rFonts w:eastAsia="Times New Roman" w:cstheme="minorHAnsi"/>
                <w:lang w:val="en-US"/>
              </w:rPr>
              <w:t>1.943.432</w:t>
            </w:r>
          </w:p>
        </w:tc>
      </w:tr>
      <w:tr w:rsidR="009369DA" w:rsidRPr="009369DA" w14:paraId="07DC7720" w14:textId="77777777" w:rsidTr="0038288D">
        <w:trPr>
          <w:trHeight w:val="361"/>
        </w:trPr>
        <w:tc>
          <w:tcPr>
            <w:tcW w:w="1655" w:type="dxa"/>
            <w:tcBorders>
              <w:top w:val="single" w:sz="4" w:space="0" w:color="FBE8E8" w:themeColor="accent6" w:themeTint="33"/>
              <w:left w:val="single" w:sz="4" w:space="0" w:color="auto"/>
              <w:bottom w:val="single" w:sz="4" w:space="0" w:color="FBE8E8" w:themeColor="accent6" w:themeTint="33"/>
              <w:right w:val="single" w:sz="4" w:space="0" w:color="auto"/>
            </w:tcBorders>
            <w:shd w:val="clear" w:color="000000" w:fill="D2232A"/>
            <w:vAlign w:val="center"/>
            <w:hideMark/>
          </w:tcPr>
          <w:p w14:paraId="1188215B" w14:textId="77777777" w:rsidR="009369DA" w:rsidRPr="009369DA" w:rsidRDefault="009369DA" w:rsidP="009369DA">
            <w:pPr>
              <w:spacing w:after="0" w:line="240" w:lineRule="auto"/>
              <w:jc w:val="left"/>
              <w:rPr>
                <w:rFonts w:eastAsia="Times New Roman" w:cs="Calibri"/>
                <w:color w:val="FFFFFF"/>
                <w:szCs w:val="18"/>
                <w:lang w:eastAsia="hr-HR"/>
              </w:rPr>
            </w:pPr>
            <w:r w:rsidRPr="009369DA">
              <w:rPr>
                <w:rFonts w:eastAsia="Times New Roman" w:cs="Calibri"/>
                <w:color w:val="FFFFFF"/>
                <w:szCs w:val="18"/>
                <w:lang w:eastAsia="hr-HR"/>
              </w:rPr>
              <w:t>RH</w:t>
            </w:r>
          </w:p>
        </w:tc>
        <w:tc>
          <w:tcPr>
            <w:tcW w:w="2449" w:type="dxa"/>
            <w:tcBorders>
              <w:top w:val="single" w:sz="4" w:space="0" w:color="F3BBBD" w:themeColor="accent6" w:themeTint="99"/>
              <w:left w:val="nil"/>
              <w:bottom w:val="single" w:sz="4" w:space="0" w:color="F3BBBD" w:themeColor="accent6" w:themeTint="99"/>
              <w:right w:val="single" w:sz="4" w:space="0" w:color="auto"/>
            </w:tcBorders>
            <w:shd w:val="clear" w:color="auto" w:fill="auto"/>
            <w:noWrap/>
            <w:vAlign w:val="bottom"/>
            <w:hideMark/>
          </w:tcPr>
          <w:p w14:paraId="2E745A21" w14:textId="77777777" w:rsidR="009369DA" w:rsidRPr="009369DA" w:rsidRDefault="009369DA" w:rsidP="009369DA">
            <w:pPr>
              <w:spacing w:after="0" w:line="240" w:lineRule="auto"/>
              <w:jc w:val="center"/>
              <w:rPr>
                <w:rFonts w:eastAsia="Times New Roman" w:cstheme="minorHAnsi"/>
                <w:lang w:val="en-US"/>
              </w:rPr>
            </w:pPr>
            <w:r w:rsidRPr="009369DA">
              <w:rPr>
                <w:rFonts w:eastAsia="Times New Roman" w:cstheme="minorHAnsi"/>
                <w:lang w:val="en-US"/>
              </w:rPr>
              <w:t>220.223</w:t>
            </w:r>
          </w:p>
        </w:tc>
        <w:tc>
          <w:tcPr>
            <w:tcW w:w="2828" w:type="dxa"/>
            <w:tcBorders>
              <w:top w:val="single" w:sz="4" w:space="0" w:color="F3BBBD" w:themeColor="accent6" w:themeTint="99"/>
              <w:left w:val="nil"/>
              <w:bottom w:val="single" w:sz="4" w:space="0" w:color="F3BBBD" w:themeColor="accent6" w:themeTint="99"/>
              <w:right w:val="single" w:sz="4" w:space="0" w:color="auto"/>
            </w:tcBorders>
            <w:shd w:val="clear" w:color="auto" w:fill="auto"/>
            <w:noWrap/>
            <w:vAlign w:val="bottom"/>
            <w:hideMark/>
          </w:tcPr>
          <w:p w14:paraId="40B27510" w14:textId="77777777" w:rsidR="009369DA" w:rsidRPr="009369DA" w:rsidRDefault="009369DA" w:rsidP="009369DA">
            <w:pPr>
              <w:spacing w:after="0" w:line="240" w:lineRule="auto"/>
              <w:jc w:val="center"/>
              <w:rPr>
                <w:rFonts w:eastAsia="Times New Roman" w:cstheme="minorHAnsi"/>
                <w:lang w:val="en-US"/>
              </w:rPr>
            </w:pPr>
            <w:r w:rsidRPr="009369DA">
              <w:rPr>
                <w:rFonts w:eastAsia="Times New Roman" w:cstheme="minorHAnsi"/>
                <w:lang w:val="en-US"/>
              </w:rPr>
              <w:t>210.844</w:t>
            </w:r>
          </w:p>
        </w:tc>
        <w:tc>
          <w:tcPr>
            <w:tcW w:w="2345" w:type="dxa"/>
            <w:tcBorders>
              <w:top w:val="single" w:sz="4" w:space="0" w:color="F3BBBD" w:themeColor="accent6" w:themeTint="99"/>
              <w:left w:val="nil"/>
              <w:bottom w:val="single" w:sz="4" w:space="0" w:color="F3BBBD" w:themeColor="accent6" w:themeTint="99"/>
              <w:right w:val="single" w:sz="4" w:space="0" w:color="auto"/>
            </w:tcBorders>
            <w:shd w:val="clear" w:color="auto" w:fill="auto"/>
            <w:noWrap/>
            <w:vAlign w:val="bottom"/>
            <w:hideMark/>
          </w:tcPr>
          <w:p w14:paraId="1941AED2" w14:textId="77777777" w:rsidR="009369DA" w:rsidRPr="009369DA" w:rsidRDefault="009369DA" w:rsidP="009369DA">
            <w:pPr>
              <w:spacing w:after="0" w:line="240" w:lineRule="auto"/>
              <w:jc w:val="center"/>
              <w:rPr>
                <w:rFonts w:eastAsia="Times New Roman" w:cstheme="minorHAnsi"/>
                <w:lang w:val="en-US"/>
              </w:rPr>
            </w:pPr>
            <w:r w:rsidRPr="009369DA">
              <w:rPr>
                <w:rFonts w:eastAsia="Times New Roman" w:cstheme="minorHAnsi"/>
                <w:lang w:val="en-US"/>
              </w:rPr>
              <w:t>4.403</w:t>
            </w:r>
          </w:p>
        </w:tc>
      </w:tr>
      <w:tr w:rsidR="009369DA" w:rsidRPr="009369DA" w14:paraId="4D3EE3CB" w14:textId="77777777" w:rsidTr="0038288D">
        <w:trPr>
          <w:trHeight w:val="361"/>
        </w:trPr>
        <w:tc>
          <w:tcPr>
            <w:tcW w:w="1655" w:type="dxa"/>
            <w:tcBorders>
              <w:top w:val="single" w:sz="4" w:space="0" w:color="FBE8E8" w:themeColor="accent6" w:themeTint="33"/>
              <w:left w:val="single" w:sz="4" w:space="0" w:color="auto"/>
              <w:bottom w:val="single" w:sz="4" w:space="0" w:color="auto"/>
              <w:right w:val="single" w:sz="4" w:space="0" w:color="auto"/>
            </w:tcBorders>
            <w:shd w:val="clear" w:color="000000" w:fill="AEAAAA"/>
            <w:vAlign w:val="center"/>
            <w:hideMark/>
          </w:tcPr>
          <w:p w14:paraId="2FD2A905" w14:textId="77777777" w:rsidR="009369DA" w:rsidRPr="009369DA" w:rsidRDefault="009369DA" w:rsidP="009369DA">
            <w:pPr>
              <w:spacing w:after="0" w:line="240" w:lineRule="auto"/>
              <w:jc w:val="left"/>
              <w:rPr>
                <w:rFonts w:eastAsia="Times New Roman" w:cs="Calibri"/>
                <w:color w:val="FFFFFF"/>
                <w:szCs w:val="18"/>
                <w:lang w:eastAsia="hr-HR"/>
              </w:rPr>
            </w:pPr>
            <w:r w:rsidRPr="009369DA">
              <w:rPr>
                <w:rFonts w:eastAsia="Times New Roman" w:cs="Calibri"/>
                <w:color w:val="FFFFFF"/>
                <w:szCs w:val="18"/>
                <w:lang w:eastAsia="hr-HR"/>
              </w:rPr>
              <w:t>KZŽ</w:t>
            </w:r>
          </w:p>
        </w:tc>
        <w:tc>
          <w:tcPr>
            <w:tcW w:w="2449" w:type="dxa"/>
            <w:tcBorders>
              <w:top w:val="single" w:sz="4" w:space="0" w:color="F3BBBD" w:themeColor="accent6" w:themeTint="99"/>
              <w:left w:val="nil"/>
              <w:bottom w:val="single" w:sz="4" w:space="0" w:color="auto"/>
              <w:right w:val="single" w:sz="4" w:space="0" w:color="auto"/>
            </w:tcBorders>
            <w:shd w:val="clear" w:color="000000" w:fill="AEAAAA"/>
            <w:noWrap/>
            <w:vAlign w:val="bottom"/>
            <w:hideMark/>
          </w:tcPr>
          <w:p w14:paraId="3FAAE69B" w14:textId="77777777" w:rsidR="009369DA" w:rsidRPr="009369DA" w:rsidRDefault="009369DA" w:rsidP="009369DA">
            <w:pPr>
              <w:spacing w:after="0" w:line="240" w:lineRule="auto"/>
              <w:jc w:val="center"/>
              <w:rPr>
                <w:rFonts w:eastAsia="Times New Roman" w:cstheme="minorHAnsi"/>
                <w:lang w:val="en-US"/>
              </w:rPr>
            </w:pPr>
            <w:r w:rsidRPr="009369DA">
              <w:rPr>
                <w:rFonts w:eastAsia="Times New Roman" w:cstheme="minorHAnsi"/>
                <w:lang w:val="en-US"/>
              </w:rPr>
              <w:t>8682</w:t>
            </w:r>
          </w:p>
        </w:tc>
        <w:tc>
          <w:tcPr>
            <w:tcW w:w="2828" w:type="dxa"/>
            <w:tcBorders>
              <w:top w:val="single" w:sz="4" w:space="0" w:color="F3BBBD" w:themeColor="accent6" w:themeTint="99"/>
              <w:left w:val="nil"/>
              <w:bottom w:val="single" w:sz="4" w:space="0" w:color="auto"/>
              <w:right w:val="single" w:sz="4" w:space="0" w:color="auto"/>
            </w:tcBorders>
            <w:shd w:val="clear" w:color="000000" w:fill="AEAAAA"/>
            <w:noWrap/>
            <w:vAlign w:val="bottom"/>
            <w:hideMark/>
          </w:tcPr>
          <w:p w14:paraId="1A5D8E38" w14:textId="24C08D56" w:rsidR="009369DA" w:rsidRPr="009369DA" w:rsidRDefault="008C211A" w:rsidP="009369DA">
            <w:pPr>
              <w:spacing w:after="0" w:line="240" w:lineRule="auto"/>
              <w:jc w:val="center"/>
              <w:rPr>
                <w:rFonts w:eastAsia="Times New Roman" w:cstheme="minorHAnsi"/>
                <w:lang w:val="en-US"/>
              </w:rPr>
            </w:pPr>
            <w:r>
              <w:rPr>
                <w:rFonts w:eastAsia="Times New Roman" w:cstheme="minorHAnsi"/>
                <w:lang w:val="en-US"/>
              </w:rPr>
              <w:t>n/p</w:t>
            </w:r>
          </w:p>
        </w:tc>
        <w:tc>
          <w:tcPr>
            <w:tcW w:w="2345" w:type="dxa"/>
            <w:tcBorders>
              <w:top w:val="single" w:sz="4" w:space="0" w:color="F3BBBD" w:themeColor="accent6" w:themeTint="99"/>
              <w:left w:val="nil"/>
              <w:bottom w:val="single" w:sz="4" w:space="0" w:color="auto"/>
              <w:right w:val="single" w:sz="4" w:space="0" w:color="auto"/>
            </w:tcBorders>
            <w:shd w:val="clear" w:color="000000" w:fill="AEAAAA"/>
            <w:noWrap/>
            <w:vAlign w:val="bottom"/>
            <w:hideMark/>
          </w:tcPr>
          <w:p w14:paraId="1225BFE1" w14:textId="77777777" w:rsidR="009369DA" w:rsidRPr="009369DA" w:rsidRDefault="009369DA" w:rsidP="009369DA">
            <w:pPr>
              <w:spacing w:after="0" w:line="240" w:lineRule="auto"/>
              <w:jc w:val="center"/>
              <w:rPr>
                <w:rFonts w:eastAsia="Times New Roman" w:cstheme="minorHAnsi"/>
                <w:lang w:val="en-US"/>
              </w:rPr>
            </w:pPr>
            <w:r w:rsidRPr="009369DA">
              <w:rPr>
                <w:rFonts w:eastAsia="Times New Roman" w:cstheme="minorHAnsi"/>
                <w:lang w:val="en-US"/>
              </w:rPr>
              <w:t>238</w:t>
            </w:r>
          </w:p>
        </w:tc>
      </w:tr>
    </w:tbl>
    <w:p w14:paraId="62230A0F" w14:textId="0D9DC1E7" w:rsidR="006A441C" w:rsidRPr="00981189" w:rsidRDefault="009369DA" w:rsidP="003C2276">
      <w:pPr>
        <w:pStyle w:val="Izvor"/>
        <w:rPr>
          <w:i/>
          <w:color w:val="ABABAB" w:themeColor="text1" w:themeTint="A6"/>
          <w:sz w:val="16"/>
          <w:szCs w:val="16"/>
        </w:rPr>
      </w:pPr>
      <w:r>
        <w:fldChar w:fldCharType="end"/>
      </w:r>
      <w:bookmarkStart w:id="98" w:name="_Hlk78187837"/>
      <w:r w:rsidRPr="00981189">
        <w:rPr>
          <w:i/>
          <w:color w:val="ABABAB" w:themeColor="text1" w:themeTint="A6"/>
          <w:sz w:val="16"/>
          <w:szCs w:val="16"/>
        </w:rPr>
        <w:t>Izvor: Hrvatski zavod za javno zdravstvo (</w:t>
      </w:r>
      <w:hyperlink r:id="rId47" w:history="1">
        <w:r w:rsidRPr="00981189">
          <w:rPr>
            <w:i/>
            <w:color w:val="ABABAB" w:themeColor="text1" w:themeTint="A6"/>
            <w:sz w:val="16"/>
            <w:szCs w:val="16"/>
          </w:rPr>
          <w:t>https://www.koronavirus.hr/zupanije/krapinsko-zagorska-zupanija/174</w:t>
        </w:r>
      </w:hyperlink>
      <w:r w:rsidRPr="00981189">
        <w:rPr>
          <w:i/>
          <w:color w:val="ABABAB" w:themeColor="text1" w:themeTint="A6"/>
          <w:sz w:val="16"/>
          <w:szCs w:val="16"/>
        </w:rPr>
        <w:t xml:space="preserve"> , ažurirano 11.01.2021. u 11:05)</w:t>
      </w:r>
    </w:p>
    <w:bookmarkEnd w:id="98"/>
    <w:p w14:paraId="7735637F" w14:textId="1A2F1B5D" w:rsidR="00C55218" w:rsidRDefault="00C55218" w:rsidP="00941871">
      <w:pPr>
        <w:autoSpaceDE w:val="0"/>
        <w:autoSpaceDN w:val="0"/>
        <w:adjustRightInd w:val="0"/>
        <w:spacing w:after="0" w:line="240" w:lineRule="auto"/>
        <w:rPr>
          <w:rFonts w:eastAsia="ArialNarrow" w:cstheme="minorHAnsi"/>
        </w:rPr>
      </w:pPr>
    </w:p>
    <w:p w14:paraId="0812A0D3" w14:textId="4987CB46" w:rsidR="009369DA" w:rsidRPr="007D025C" w:rsidRDefault="009369DA" w:rsidP="009369DA">
      <w:pPr>
        <w:autoSpaceDE w:val="0"/>
        <w:autoSpaceDN w:val="0"/>
        <w:adjustRightInd w:val="0"/>
        <w:spacing w:after="0" w:line="240" w:lineRule="auto"/>
        <w:rPr>
          <w:rFonts w:eastAsia="ArialNarrow" w:cstheme="minorHAnsi"/>
        </w:rPr>
      </w:pPr>
      <w:r w:rsidRPr="00981189">
        <w:rPr>
          <w:rFonts w:eastAsia="ArialNarrow" w:cstheme="minorHAnsi"/>
        </w:rPr>
        <w:t>Do 11.</w:t>
      </w:r>
      <w:r w:rsidR="00591D6F" w:rsidRPr="00981189">
        <w:rPr>
          <w:rFonts w:eastAsia="ArialNarrow" w:cstheme="minorHAnsi"/>
        </w:rPr>
        <w:t xml:space="preserve"> siječnja </w:t>
      </w:r>
      <w:r w:rsidRPr="00981189">
        <w:rPr>
          <w:rFonts w:eastAsia="ArialNarrow" w:cstheme="minorHAnsi"/>
        </w:rPr>
        <w:t xml:space="preserve">2021. </w:t>
      </w:r>
      <w:r w:rsidR="00591D6F" w:rsidRPr="00981189">
        <w:rPr>
          <w:rFonts w:eastAsia="ArialNarrow" w:cstheme="minorHAnsi"/>
        </w:rPr>
        <w:t xml:space="preserve">godine </w:t>
      </w:r>
      <w:r w:rsidRPr="00981189">
        <w:rPr>
          <w:rFonts w:eastAsia="ArialNarrow" w:cstheme="minorHAnsi"/>
        </w:rPr>
        <w:t>na području Krapinsko-zagorske županije evidentirano je 8.682 slučajeva SARS CoV-2 te je do sada preminulo 238 osoba od korono</w:t>
      </w:r>
      <w:r w:rsidRPr="007D025C">
        <w:rPr>
          <w:rFonts w:eastAsia="ArialNarrow" w:cstheme="minorHAnsi"/>
        </w:rPr>
        <w:t>virusa</w:t>
      </w:r>
      <w:r w:rsidR="00A833E9" w:rsidRPr="00A833E9">
        <w:rPr>
          <w:rStyle w:val="Referencafusnote"/>
          <w:rFonts w:eastAsia="ArialNarrow" w:cstheme="minorHAnsi"/>
          <w:color w:val="auto"/>
        </w:rPr>
        <w:footnoteReference w:id="41"/>
      </w:r>
      <w:r w:rsidRPr="00A833E9">
        <w:rPr>
          <w:rFonts w:eastAsia="ArialNarrow" w:cstheme="minorHAnsi"/>
          <w:color w:val="auto"/>
        </w:rPr>
        <w:t>.</w:t>
      </w:r>
      <w:r w:rsidRPr="007D025C">
        <w:rPr>
          <w:rFonts w:eastAsia="ArialNarrow" w:cstheme="minorHAnsi"/>
        </w:rPr>
        <w:t xml:space="preserve"> </w:t>
      </w:r>
      <w:r w:rsidRPr="002870F1">
        <w:rPr>
          <w:rFonts w:eastAsia="ArialNarrow" w:cstheme="minorHAnsi"/>
        </w:rPr>
        <w:t>Na dan 11.01.2021. trenutni broj aktivnih slučajeva zaraze osoba s područja Krapinsko-zagorske županije bio je 147. U samoizolaciji se nalazilo 891 osoba. Na COVID odjelu Specijalne bolnice za medicinsku rehabilitaciju Stubičke Toplice nalazilo se 5 pacijenata sa SARS CoV-2 infekcijom. Na COVID odjelu Specijalne bolnice za medicinsku rehabilitaciju Krapinske Toplice nalazilo se 17 pacijenata, od kojih 1 na respiratoru dok se u Općoj bolnici Zabok i bolnici hrvatskih veterana nalazilo 77 pacijenata pozitivnih na SARS CoV-2, od kojih je 12 bilo na respiratoru. Zbog izvanredne situacije epidemije koronavirusa</w:t>
      </w:r>
      <w:r w:rsidRPr="007D025C">
        <w:rPr>
          <w:rFonts w:eastAsia="ArialNarrow" w:cstheme="minorHAnsi"/>
        </w:rPr>
        <w:t> </w:t>
      </w:r>
      <w:r w:rsidRPr="002870F1">
        <w:rPr>
          <w:rFonts w:eastAsia="ArialNarrow" w:cstheme="minorHAnsi"/>
        </w:rPr>
        <w:t>u Republici Hrvatskoj su na snazi</w:t>
      </w:r>
      <w:r w:rsidRPr="007D025C">
        <w:rPr>
          <w:rFonts w:eastAsia="ArialNarrow" w:cstheme="minorHAnsi"/>
        </w:rPr>
        <w:t> </w:t>
      </w:r>
      <w:r w:rsidRPr="002870F1">
        <w:rPr>
          <w:rFonts w:eastAsia="ArialNarrow" w:cstheme="minorHAnsi"/>
        </w:rPr>
        <w:t xml:space="preserve">preporučene epidemiološke mjere resornih institucija. </w:t>
      </w:r>
      <w:r w:rsidR="00553C64" w:rsidRPr="002870F1">
        <w:rPr>
          <w:rFonts w:eastAsia="ArialNarrow" w:cstheme="minorHAnsi"/>
        </w:rPr>
        <w:t>Krajem 2020.</w:t>
      </w:r>
      <w:r w:rsidR="0063082C" w:rsidRPr="002870F1">
        <w:rPr>
          <w:rFonts w:eastAsia="ArialNarrow" w:cstheme="minorHAnsi"/>
        </w:rPr>
        <w:t xml:space="preserve"> godine</w:t>
      </w:r>
      <w:r w:rsidR="00553C64" w:rsidRPr="002870F1">
        <w:rPr>
          <w:rFonts w:eastAsia="ArialNarrow" w:cstheme="minorHAnsi"/>
        </w:rPr>
        <w:t xml:space="preserve"> započelo je cijepljenje</w:t>
      </w:r>
      <w:r w:rsidR="00591D6F" w:rsidRPr="002870F1">
        <w:rPr>
          <w:rFonts w:eastAsia="ArialNarrow" w:cstheme="minorHAnsi"/>
        </w:rPr>
        <w:t xml:space="preserve"> </w:t>
      </w:r>
      <w:r w:rsidR="00553C64" w:rsidRPr="002870F1">
        <w:rPr>
          <w:rFonts w:eastAsia="ArialNarrow" w:cstheme="minorHAnsi"/>
        </w:rPr>
        <w:t xml:space="preserve">u Krapinsko-zagorskoj županiji u prostorima Zavoda za hitnu medicinu. </w:t>
      </w:r>
      <w:r w:rsidR="0063082C" w:rsidRPr="002870F1">
        <w:rPr>
          <w:rFonts w:eastAsia="ArialNarrow" w:cstheme="minorHAnsi"/>
        </w:rPr>
        <w:t>Prve doze cjepiva</w:t>
      </w:r>
      <w:r w:rsidR="00384830" w:rsidRPr="002870F1">
        <w:rPr>
          <w:rFonts w:eastAsia="ArialNarrow" w:cstheme="minorHAnsi"/>
        </w:rPr>
        <w:t xml:space="preserve"> </w:t>
      </w:r>
      <w:r w:rsidR="00553C64" w:rsidRPr="002870F1">
        <w:rPr>
          <w:rFonts w:eastAsia="ArialNarrow" w:cstheme="minorHAnsi"/>
        </w:rPr>
        <w:t xml:space="preserve"> predviđen</w:t>
      </w:r>
      <w:r w:rsidR="0063082C" w:rsidRPr="002870F1">
        <w:rPr>
          <w:rFonts w:eastAsia="ArialNarrow" w:cstheme="minorHAnsi"/>
        </w:rPr>
        <w:t>e</w:t>
      </w:r>
      <w:r w:rsidR="00553C64" w:rsidRPr="002870F1">
        <w:rPr>
          <w:rFonts w:eastAsia="ArialNarrow" w:cstheme="minorHAnsi"/>
        </w:rPr>
        <w:t xml:space="preserve"> </w:t>
      </w:r>
      <w:r w:rsidR="0063082C" w:rsidRPr="002870F1">
        <w:rPr>
          <w:rFonts w:eastAsia="ArialNarrow" w:cstheme="minorHAnsi"/>
        </w:rPr>
        <w:t xml:space="preserve">su </w:t>
      </w:r>
      <w:r w:rsidR="00553C64" w:rsidRPr="002870F1">
        <w:rPr>
          <w:rFonts w:eastAsia="ArialNarrow" w:cstheme="minorHAnsi"/>
        </w:rPr>
        <w:t xml:space="preserve">za </w:t>
      </w:r>
      <w:r w:rsidR="00591D6F" w:rsidRPr="002870F1">
        <w:rPr>
          <w:rFonts w:eastAsia="ArialNarrow" w:cstheme="minorHAnsi"/>
        </w:rPr>
        <w:t>prioritetne skupine odnosno zdravstvene djelatnike i korisnike domova za starije i nemoćne osobe.</w:t>
      </w:r>
      <w:r w:rsidR="0063082C" w:rsidRPr="002870F1">
        <w:rPr>
          <w:rFonts w:eastAsia="ArialNarrow" w:cstheme="minorHAnsi"/>
        </w:rPr>
        <w:t xml:space="preserve"> Cijepljenje se nastavlja početkom 2021. godine kada su zaprimljene nove doze </w:t>
      </w:r>
      <w:r w:rsidR="00591D6F" w:rsidRPr="002870F1">
        <w:rPr>
          <w:rFonts w:eastAsia="ArialNarrow" w:cstheme="minorHAnsi"/>
        </w:rPr>
        <w:t>osigurane za zdravstveni sustav i domove za starije i nemoćne osobe. Uz dobru epidemiološku situaciju očekuje se povećanje dinamike cijepljenja kako bi se što prije mogle cijepiti i kronično bolesne osobe te osobe starije od 65 godina</w:t>
      </w:r>
      <w:r w:rsidR="00A833E9">
        <w:rPr>
          <w:rStyle w:val="Referencafusnote"/>
          <w:rFonts w:eastAsia="ArialNarrow" w:cstheme="minorHAnsi"/>
        </w:rPr>
        <w:footnoteReference w:id="42"/>
      </w:r>
      <w:r w:rsidR="00591D6F" w:rsidRPr="007D025C">
        <w:rPr>
          <w:rFonts w:eastAsia="ArialNarrow" w:cstheme="minorHAnsi"/>
        </w:rPr>
        <w:t xml:space="preserve">. </w:t>
      </w:r>
    </w:p>
    <w:p w14:paraId="221DB33D" w14:textId="3BC0CA1C" w:rsidR="00BB5237" w:rsidRDefault="00BB5237" w:rsidP="00941871">
      <w:pPr>
        <w:autoSpaceDE w:val="0"/>
        <w:autoSpaceDN w:val="0"/>
        <w:adjustRightInd w:val="0"/>
        <w:spacing w:after="0" w:line="240" w:lineRule="auto"/>
        <w:rPr>
          <w:rFonts w:eastAsia="ArialNarrow" w:cstheme="minorHAnsi"/>
        </w:rPr>
      </w:pPr>
    </w:p>
    <w:p w14:paraId="6AC41A93" w14:textId="7078C7E9" w:rsidR="007014D1" w:rsidRDefault="007014D1" w:rsidP="007014D1">
      <w:pPr>
        <w:pStyle w:val="Naslov2"/>
      </w:pPr>
      <w:bookmarkStart w:id="99" w:name="_Toc85181302"/>
      <w:r>
        <w:t>6.3. Palijativna skrb</w:t>
      </w:r>
      <w:bookmarkEnd w:id="99"/>
      <w:r>
        <w:tab/>
      </w:r>
    </w:p>
    <w:p w14:paraId="6CD398B8" w14:textId="0C96A9B5" w:rsidR="00502E8C" w:rsidRDefault="00502E8C" w:rsidP="00941871">
      <w:pPr>
        <w:autoSpaceDE w:val="0"/>
        <w:autoSpaceDN w:val="0"/>
        <w:adjustRightInd w:val="0"/>
        <w:spacing w:after="0" w:line="240" w:lineRule="auto"/>
        <w:rPr>
          <w:rFonts w:eastAsia="ArialNarrow" w:cstheme="minorHAnsi"/>
        </w:rPr>
      </w:pPr>
    </w:p>
    <w:p w14:paraId="28492F9F" w14:textId="4D78A36A" w:rsidR="00502370" w:rsidRDefault="00B1481C" w:rsidP="00845ED0">
      <w:pPr>
        <w:rPr>
          <w:rFonts w:eastAsia="ArialNarrow" w:cstheme="minorHAnsi"/>
        </w:rPr>
      </w:pPr>
      <w:r w:rsidRPr="00B1481C">
        <w:rPr>
          <w:rFonts w:eastAsia="ArialNarrow" w:cstheme="minorHAnsi"/>
        </w:rPr>
        <w:t>Palijativna skrb je sveobuhvatna (zdravstvena, psihološka, socijalna i duhovna) skrb s ciljem pružanja potrebne njege bolesnicima s neizlječivom bolešću</w:t>
      </w:r>
      <w:r>
        <w:rPr>
          <w:rFonts w:eastAsia="ArialNarrow" w:cstheme="minorHAnsi"/>
        </w:rPr>
        <w:t xml:space="preserve">. </w:t>
      </w:r>
      <w:r w:rsidR="00502370" w:rsidRPr="00502370">
        <w:rPr>
          <w:rFonts w:eastAsia="ArialNarrow" w:cstheme="minorHAnsi"/>
        </w:rPr>
        <w:t xml:space="preserve">Palijativna skrb </w:t>
      </w:r>
      <w:r>
        <w:rPr>
          <w:rFonts w:eastAsia="ArialNarrow" w:cstheme="minorHAnsi"/>
        </w:rPr>
        <w:t>u</w:t>
      </w:r>
      <w:r w:rsidR="00502370" w:rsidRPr="00502370">
        <w:rPr>
          <w:rFonts w:eastAsia="ArialNarrow" w:cstheme="minorHAnsi"/>
        </w:rPr>
        <w:t xml:space="preserve">smjerena je na olakšavanje simptoma, boli i stresa od teške bolesti - bez obzira na </w:t>
      </w:r>
      <w:r w:rsidR="00502370" w:rsidRPr="00502370">
        <w:rPr>
          <w:rFonts w:eastAsia="ArialNarrow" w:cstheme="minorHAnsi"/>
        </w:rPr>
        <w:lastRenderedPageBreak/>
        <w:t>prognozu. Cilj je poboljšati kvalitetu života, kako pacijenta, tako i njegove obitelji.</w:t>
      </w:r>
      <w:r w:rsidR="00502370">
        <w:rPr>
          <w:rFonts w:eastAsia="ArialNarrow" w:cstheme="minorHAnsi"/>
        </w:rPr>
        <w:t xml:space="preserve"> </w:t>
      </w:r>
      <w:r w:rsidR="00502370" w:rsidRPr="00502370">
        <w:rPr>
          <w:rFonts w:eastAsia="ArialNarrow" w:cstheme="minorHAnsi"/>
        </w:rPr>
        <w:t xml:space="preserve">Palijativnu skrb omogućuje tim liječnika, medicinskih sestara te drugih stručnjaka koji rade zajedno radi pružanja dodatne podrške. </w:t>
      </w:r>
    </w:p>
    <w:p w14:paraId="2D58BCB0" w14:textId="77777777" w:rsidR="00F94FF5" w:rsidRDefault="00502370" w:rsidP="00845ED0">
      <w:pPr>
        <w:rPr>
          <w:rFonts w:eastAsia="ArialNarrow" w:cstheme="minorHAnsi"/>
        </w:rPr>
      </w:pPr>
      <w:r w:rsidRPr="00502370">
        <w:rPr>
          <w:rFonts w:eastAsia="ArialNarrow" w:cstheme="minorHAnsi"/>
        </w:rPr>
        <w:t>Uspostava sustava palijativne skrbi sastavni je dio Nacionalne strategije razvoja zdravstva 2012.-2020. koja sadrži opis organizacijskog i zakonskog okvira palijativne skrbi te prioritetne mjere vezane uz strateški razvoj palijativne skrbi.</w:t>
      </w:r>
      <w:r w:rsidR="00877F32">
        <w:rPr>
          <w:rFonts w:eastAsia="ArialNarrow" w:cstheme="minorHAnsi"/>
        </w:rPr>
        <w:t xml:space="preserve"> </w:t>
      </w:r>
      <w:r w:rsidR="00780B69" w:rsidRPr="00780B69">
        <w:rPr>
          <w:rFonts w:eastAsia="ArialNarrow" w:cstheme="minorHAnsi"/>
        </w:rPr>
        <w:t>Nacionalnim programom razvoja palijativne skrbi u Republici Hrvatskoj definirano je da svaka županija mora imati izrađenu Strategiju razvoja palijativne skrbi na svojem području. Strategija razvoja palijativne skrbi na području Krapinsko-zagorske županije 20</w:t>
      </w:r>
      <w:r w:rsidR="00780B69">
        <w:rPr>
          <w:rFonts w:eastAsia="ArialNarrow" w:cstheme="minorHAnsi"/>
        </w:rPr>
        <w:t>20</w:t>
      </w:r>
      <w:r w:rsidR="00780B69" w:rsidRPr="00780B69">
        <w:rPr>
          <w:rFonts w:eastAsia="ArialNarrow" w:cstheme="minorHAnsi"/>
        </w:rPr>
        <w:t>.-202</w:t>
      </w:r>
      <w:r w:rsidR="00780B69">
        <w:rPr>
          <w:rFonts w:eastAsia="ArialNarrow" w:cstheme="minorHAnsi"/>
        </w:rPr>
        <w:t>3</w:t>
      </w:r>
      <w:r w:rsidR="00780B69" w:rsidRPr="00780B69">
        <w:rPr>
          <w:rFonts w:eastAsia="ArialNarrow" w:cstheme="minorHAnsi"/>
        </w:rPr>
        <w:t>. strateški je dokument u području palijativne skrbi i predstavlja temelj za organizaciju i razvoj dostupne, kvalitetne i sveobuhvatne palijativne skrbi na području cijele Krapinsko-zagorske županije.</w:t>
      </w:r>
      <w:r w:rsidR="00780B69">
        <w:rPr>
          <w:rFonts w:eastAsia="ArialNarrow" w:cstheme="minorHAnsi"/>
        </w:rPr>
        <w:t xml:space="preserve"> </w:t>
      </w:r>
      <w:r w:rsidR="00780B69" w:rsidRPr="00780B69">
        <w:rPr>
          <w:rFonts w:eastAsia="ArialNarrow" w:cstheme="minorHAnsi"/>
        </w:rPr>
        <w:t xml:space="preserve">Smjernice sadržane u </w:t>
      </w:r>
      <w:r w:rsidR="006562FB">
        <w:rPr>
          <w:rFonts w:eastAsia="ArialNarrow" w:cstheme="minorHAnsi"/>
        </w:rPr>
        <w:t>Strategiji</w:t>
      </w:r>
      <w:r w:rsidR="00780B69" w:rsidRPr="00780B69">
        <w:rPr>
          <w:rFonts w:eastAsia="ArialNarrow" w:cstheme="minorHAnsi"/>
        </w:rPr>
        <w:t xml:space="preserve"> omogućavaju Krapinsko-zagorskoj županiji uspostavu sustava palijativne skrbi u organizacijskom i zakonodavnom okviru, kao jednog od prioritetnih razvojnih područja zdravstvene zaštite na području Krapinsko-županije.</w:t>
      </w:r>
      <w:r w:rsidR="00780B69">
        <w:rPr>
          <w:rFonts w:eastAsia="ArialNarrow" w:cstheme="minorHAnsi"/>
        </w:rPr>
        <w:t xml:space="preserve"> </w:t>
      </w:r>
    </w:p>
    <w:p w14:paraId="294FD7E2" w14:textId="3B43E3D1" w:rsidR="00F94FF5" w:rsidRDefault="00F94FF5" w:rsidP="00845ED0">
      <w:pPr>
        <w:rPr>
          <w:rFonts w:eastAsia="ArialNarrow" w:cstheme="minorHAnsi"/>
        </w:rPr>
      </w:pPr>
      <w:r w:rsidRPr="00F94FF5">
        <w:rPr>
          <w:rFonts w:eastAsia="ArialNarrow" w:cstheme="minorHAnsi"/>
        </w:rPr>
        <w:t>Sustav palijativne skrbi u Krapinsko-zagorskoj županiji trenutno čine: 1. Projektni tim za razvoj palijativne skrbi Krapinsko-zagorske županije 2. Centar za razvoj palijativne skrbi Krapinsko-zagorske županije - koordinator 3. Mobilni palijativni tim 4. Palijativni bolnički kreveti, dnevna bolnica 5. Komunikacijski put za provođenje palijativne skrbi (smjernice postupanja) 6. Posudionice pomagala. Potrebno je uspostaviti ili dodatno uz postojeći sustav razviti i: 1. bolničku palijativnu skrb, 2. stacionar odnosno hospicij za palijativne pacijente i 3. volonterstvo u području palijativne skrbi</w:t>
      </w:r>
      <w:r>
        <w:rPr>
          <w:rFonts w:eastAsia="ArialNarrow" w:cstheme="minorHAnsi"/>
        </w:rPr>
        <w:t>.</w:t>
      </w:r>
    </w:p>
    <w:p w14:paraId="715EB9B6" w14:textId="404B718C" w:rsidR="00780B69" w:rsidRDefault="00780B69" w:rsidP="00845ED0">
      <w:pPr>
        <w:rPr>
          <w:rFonts w:eastAsia="ArialNarrow" w:cstheme="minorHAnsi"/>
        </w:rPr>
      </w:pPr>
      <w:r w:rsidRPr="00780B69">
        <w:rPr>
          <w:rFonts w:eastAsia="ArialNarrow" w:cstheme="minorHAnsi"/>
        </w:rPr>
        <w:t>U 2014. godin</w:t>
      </w:r>
      <w:r>
        <w:rPr>
          <w:rFonts w:eastAsia="ArialNarrow" w:cstheme="minorHAnsi"/>
        </w:rPr>
        <w:t>i</w:t>
      </w:r>
      <w:r w:rsidRPr="00780B69">
        <w:rPr>
          <w:rFonts w:eastAsia="ArialNarrow" w:cstheme="minorHAnsi"/>
        </w:rPr>
        <w:t xml:space="preserve"> osnovan je Projektni tim za razvoj palijativne skrbi Krapinsko</w:t>
      </w:r>
      <w:r>
        <w:rPr>
          <w:rFonts w:eastAsia="ArialNarrow" w:cstheme="minorHAnsi"/>
        </w:rPr>
        <w:t>-</w:t>
      </w:r>
      <w:r w:rsidRPr="00780B69">
        <w:rPr>
          <w:rFonts w:eastAsia="ArialNarrow" w:cstheme="minorHAnsi"/>
        </w:rPr>
        <w:t>zagorske županije</w:t>
      </w:r>
      <w:r w:rsidR="002F7D98">
        <w:rPr>
          <w:rFonts w:eastAsia="ArialNarrow" w:cstheme="minorHAnsi"/>
        </w:rPr>
        <w:t xml:space="preserve"> koji je sudjelovao u izradi Strategije, a č</w:t>
      </w:r>
      <w:r w:rsidR="002F7D98" w:rsidRPr="002F7D98">
        <w:rPr>
          <w:rFonts w:eastAsia="ArialNarrow" w:cstheme="minorHAnsi"/>
        </w:rPr>
        <w:t>ine ga predstavnici ključnih ustanova i pružatelja zdravstvenih usluga palijativnim bolesnicima: Doma zdravlja Krapinsko-zagorske županije, Opće bolnice Zabok i bolnice hrvatskih veterana, zdravstvene njege u kući i civilnog društva-volontera u palijativnoj skrbi</w:t>
      </w:r>
      <w:r w:rsidR="002F7D98">
        <w:rPr>
          <w:rFonts w:eastAsia="ArialNarrow" w:cstheme="minorHAnsi"/>
        </w:rPr>
        <w:t>.</w:t>
      </w:r>
      <w:r w:rsidR="00B94D35">
        <w:rPr>
          <w:rFonts w:eastAsia="ArialNarrow" w:cstheme="minorHAnsi"/>
        </w:rPr>
        <w:t xml:space="preserve"> Z</w:t>
      </w:r>
      <w:r w:rsidR="00B94D35" w:rsidRPr="00B94D35">
        <w:rPr>
          <w:rFonts w:eastAsia="ArialNarrow" w:cstheme="minorHAnsi"/>
        </w:rPr>
        <w:t>adaća Projektnog tima je da koordinira sve aktivnosti uz uspostavu i organizaciju palijativne skrbi.</w:t>
      </w:r>
    </w:p>
    <w:p w14:paraId="6D8EA58A" w14:textId="7219A9F9" w:rsidR="00F91A5B" w:rsidRDefault="0069692C" w:rsidP="00F91A5B">
      <w:pPr>
        <w:rPr>
          <w:rFonts w:eastAsia="ArialNarrow" w:cstheme="minorHAnsi"/>
        </w:rPr>
      </w:pPr>
      <w:r w:rsidRPr="0069692C">
        <w:rPr>
          <w:rFonts w:eastAsia="ArialNarrow" w:cstheme="minorHAnsi"/>
        </w:rPr>
        <w:t>U Krapinsko-zagorskoj županiji, kao i u cijeloj Hrvatskoj, potrebe za palijativnom skrbi su u porastu. Razlog tome je sve veći udio starijeg stanovništva, a s time u korelaciji je i sve veća prevalencija kroničnih nezaraznih bolesti (prije svega malignih i cerebrovaskularnih). Često su potrebe za palijativnom skrbi i veće od procijenjenih.</w:t>
      </w:r>
      <w:r>
        <w:rPr>
          <w:rStyle w:val="Referencafusnote"/>
          <w:rFonts w:eastAsia="ArialNarrow" w:cstheme="minorHAnsi"/>
        </w:rPr>
        <w:footnoteReference w:id="43"/>
      </w:r>
      <w:r w:rsidR="00F91A5B">
        <w:rPr>
          <w:rFonts w:eastAsia="ArialNarrow" w:cstheme="minorHAnsi"/>
        </w:rPr>
        <w:t xml:space="preserve">. </w:t>
      </w:r>
      <w:r w:rsidR="00DE77E7" w:rsidRPr="00DE77E7">
        <w:rPr>
          <w:rFonts w:eastAsia="ArialNarrow" w:cstheme="minorHAnsi"/>
        </w:rPr>
        <w:t>Osnova za procjenu potreba u palijativnoj skrbi su podaci o uzrocima smrti na području Županije</w:t>
      </w:r>
      <w:r w:rsidR="006F48FC">
        <w:rPr>
          <w:rFonts w:eastAsia="ArialNarrow" w:cstheme="minorHAnsi"/>
        </w:rPr>
        <w:t xml:space="preserve"> (Tablica 39.). </w:t>
      </w:r>
      <w:r w:rsidR="00F91A5B" w:rsidRPr="00F91A5B">
        <w:rPr>
          <w:rFonts w:eastAsia="ArialNarrow" w:cstheme="minorHAnsi"/>
        </w:rPr>
        <w:t>Prema popisu stanovništva iz 2011. godine Krapinsko-zagorska županija ima 132.892 stanovnika, od toga je 17,6 % stanovnika starije od 65 godina</w:t>
      </w:r>
      <w:r w:rsidR="00F91A5B">
        <w:rPr>
          <w:rFonts w:eastAsia="ArialNarrow" w:cstheme="minorHAnsi"/>
        </w:rPr>
        <w:t xml:space="preserve">. </w:t>
      </w:r>
    </w:p>
    <w:p w14:paraId="2B39D4E3" w14:textId="6583458B" w:rsidR="001026A1" w:rsidRDefault="00F91A5B" w:rsidP="00FB5E66">
      <w:pPr>
        <w:rPr>
          <w:rFonts w:eastAsia="ArialNarrow" w:cstheme="minorHAnsi"/>
        </w:rPr>
      </w:pPr>
      <w:r>
        <w:rPr>
          <w:rFonts w:eastAsia="ArialNarrow" w:cstheme="minorHAnsi"/>
        </w:rPr>
        <w:t>R</w:t>
      </w:r>
      <w:r w:rsidRPr="00F91A5B">
        <w:rPr>
          <w:rFonts w:eastAsia="ArialNarrow" w:cstheme="minorHAnsi"/>
        </w:rPr>
        <w:t>azvoj palijativne skrbi</w:t>
      </w:r>
      <w:r>
        <w:rPr>
          <w:rFonts w:eastAsia="ArialNarrow" w:cstheme="minorHAnsi"/>
        </w:rPr>
        <w:t xml:space="preserve"> u Krapinsko-zagorskoj županiji podupire se </w:t>
      </w:r>
      <w:r w:rsidRPr="00F91A5B">
        <w:rPr>
          <w:rFonts w:eastAsia="ArialNarrow" w:cstheme="minorHAnsi"/>
        </w:rPr>
        <w:t>kroz: omogućavanje dodatne edukacije zdravstvenih djelatnika, opremanje posudionica ortopedskih pomagala, uključivanje dodatnih stručnjaka u rad mobilnog palijativnog tima te grupe samopodrške za palijativne bolesnike i članove obitelji te financiranje aktivnosti senzibilizacije zdravstvenih i nezdravstvenih radnika, ali i društva općenito.</w:t>
      </w:r>
      <w:r>
        <w:rPr>
          <w:rFonts w:eastAsia="ArialNarrow" w:cstheme="minorHAnsi"/>
        </w:rPr>
        <w:t xml:space="preserve"> U </w:t>
      </w:r>
      <w:r w:rsidRPr="00F91A5B">
        <w:rPr>
          <w:rFonts w:eastAsia="ArialNarrow" w:cstheme="minorHAnsi"/>
        </w:rPr>
        <w:t>2013. godin</w:t>
      </w:r>
      <w:r>
        <w:rPr>
          <w:rFonts w:eastAsia="ArialNarrow" w:cstheme="minorHAnsi"/>
        </w:rPr>
        <w:t>i</w:t>
      </w:r>
      <w:r w:rsidRPr="00F91A5B">
        <w:rPr>
          <w:rFonts w:eastAsia="ArialNarrow" w:cstheme="minorHAnsi"/>
        </w:rPr>
        <w:t xml:space="preserve"> Krapinsko-zagorska županija organizirala </w:t>
      </w:r>
      <w:r>
        <w:rPr>
          <w:rFonts w:eastAsia="ArialNarrow" w:cstheme="minorHAnsi"/>
        </w:rPr>
        <w:t xml:space="preserve">je </w:t>
      </w:r>
      <w:r w:rsidRPr="00F91A5B">
        <w:rPr>
          <w:rFonts w:eastAsia="ArialNarrow" w:cstheme="minorHAnsi"/>
        </w:rPr>
        <w:t xml:space="preserve">prvi stručni skup o palijativnoj skrbi u Krapinsko-zagorskoj županiji pod nazivom „Palijativna skrb - izazovi i mogućnosti“. </w:t>
      </w:r>
      <w:r w:rsidR="00FB5E66">
        <w:rPr>
          <w:rFonts w:eastAsia="ArialNarrow" w:cstheme="minorHAnsi"/>
        </w:rPr>
        <w:t xml:space="preserve">U </w:t>
      </w:r>
      <w:r w:rsidR="00FB5E66" w:rsidRPr="00FB5E66">
        <w:rPr>
          <w:rFonts w:eastAsia="ArialNarrow" w:cstheme="minorHAnsi"/>
        </w:rPr>
        <w:t xml:space="preserve">2019. godine također je održan stručni skup na temu Posebnosti palijativne skrbi u organizaciji Krapinsko-zagorske županije i Povjerenstva za zaštitu prava pacijenata na području KZŽ. </w:t>
      </w:r>
      <w:r w:rsidR="00FB5E66">
        <w:rPr>
          <w:rFonts w:eastAsia="ArialNarrow" w:cstheme="minorHAnsi"/>
        </w:rPr>
        <w:t>K</w:t>
      </w:r>
      <w:r w:rsidRPr="00F91A5B">
        <w:rPr>
          <w:rFonts w:eastAsia="ArialNarrow" w:cstheme="minorHAnsi"/>
        </w:rPr>
        <w:t xml:space="preserve">rajem 2013. godine za opremanje postojećih posudionica pri gradskim društvima Crvenog križa Županija je izdvojila ukupno 54.000,00 kn, odnosno po 9.000,00 kn za nabavku najpotrebnije opreme za svaku posudionicu. Za edukacije djelatnika županijskog upravnog odjela nadležnog za zdravstvo, u 2014. je izdvojeno 7.000,00 kn, u 2015. godini 2.000,00 kn, u 2016. godini 2.000,00 kn i 2017. godini 12.000,00 kn za specijalističke tečajeve iz palijativne medicine za djelatnike zdravstvenih ustanova. Nakon uspostave Mobilnog palijativnog tima i uspostave posudionice ortopedskih pomagala pri Domu zdravlja KZŽ, Krapinsko-zagorska županija osigurala je krajem 2015. godine sredstva u iznosu 11.000,00 kn za tiskanje letaka s osnovnim informacijama za građane dostupnim uslugama palijativne skrbi. </w:t>
      </w:r>
      <w:r>
        <w:rPr>
          <w:rFonts w:eastAsia="ArialNarrow" w:cstheme="minorHAnsi"/>
        </w:rPr>
        <w:t>I</w:t>
      </w:r>
      <w:r w:rsidRPr="00F91A5B">
        <w:rPr>
          <w:rFonts w:eastAsia="ArialNarrow" w:cstheme="minorHAnsi"/>
        </w:rPr>
        <w:t>zrađena je i podstranica na temu palijativne skrbi</w:t>
      </w:r>
      <w:r>
        <w:rPr>
          <w:rFonts w:eastAsia="ArialNarrow" w:cstheme="minorHAnsi"/>
        </w:rPr>
        <w:t xml:space="preserve"> (</w:t>
      </w:r>
      <w:hyperlink r:id="rId48" w:history="1">
        <w:r w:rsidR="00CA35EC" w:rsidRPr="00C0682B">
          <w:rPr>
            <w:rStyle w:val="Hiperveza"/>
            <w:rFonts w:eastAsia="ArialNarrow" w:cstheme="minorHAnsi"/>
          </w:rPr>
          <w:t>http://www.kzz.hr/palijativna-skrb</w:t>
        </w:r>
      </w:hyperlink>
      <w:r>
        <w:rPr>
          <w:rFonts w:eastAsia="ArialNarrow" w:cstheme="minorHAnsi"/>
        </w:rPr>
        <w:t>)</w:t>
      </w:r>
      <w:r w:rsidRPr="00F91A5B">
        <w:rPr>
          <w:rFonts w:eastAsia="ArialNarrow" w:cstheme="minorHAnsi"/>
        </w:rPr>
        <w:t xml:space="preserve">. </w:t>
      </w:r>
    </w:p>
    <w:p w14:paraId="3A1F3FB2" w14:textId="5ED4C9B2" w:rsidR="00CA35EC" w:rsidRPr="00CA35EC" w:rsidRDefault="00CA35EC" w:rsidP="00CA35EC">
      <w:pPr>
        <w:rPr>
          <w:rFonts w:eastAsia="ArialNarrow" w:cstheme="minorHAnsi"/>
        </w:rPr>
      </w:pPr>
      <w:r w:rsidRPr="00CA35EC">
        <w:rPr>
          <w:rFonts w:eastAsia="ArialNarrow" w:cstheme="minorHAnsi"/>
        </w:rPr>
        <w:t>Dom zdravlja Krapinsko-zagorske županije određen je kao ustanova koja će osigurati ugovaranje koordinatora i mobilnih palijativnih timova. U tom smislu, Dom zdravlja osigurava minimalne uvjete u pogledu prostora, radnika i medicinsko-tehničke opreme za djelatnost palijativne skrbi kroz Centar za palijativnu skrb i koordinira djelatnost palijativne skrbi, koordinatore i mobilni palijativni tim na području Županije. Uvjet za koordinatora u pogledu radnika je prvostupnik/ca sestrinstva s posebnom edukacijom iz palijativne skrbi, a u pogledu prostora potrebno je osigurati prostoriju najmanje 12 m</w:t>
      </w:r>
      <w:r w:rsidRPr="00CA35EC">
        <w:rPr>
          <w:rFonts w:eastAsia="ArialNarrow" w:cstheme="minorHAnsi"/>
          <w:vertAlign w:val="superscript"/>
        </w:rPr>
        <w:t>2</w:t>
      </w:r>
      <w:r w:rsidRPr="00CA35EC">
        <w:rPr>
          <w:rFonts w:eastAsia="ArialNarrow" w:cstheme="minorHAnsi"/>
        </w:rPr>
        <w:t xml:space="preserve">. </w:t>
      </w:r>
      <w:r w:rsidR="00592567" w:rsidRPr="00592567">
        <w:rPr>
          <w:rFonts w:eastAsia="ArialNarrow" w:cstheme="minorHAnsi"/>
        </w:rPr>
        <w:t>Koordinator za palijativnu skrb nije dio mobilnog palijativnog tima već je samostalan u svom radu i predstavlja samostalnu organizacijsku jedinicu. Surađuje u pružanju i razvoju palijativne skrbi s mobilnim palijativnim timom i drugim dionicima palijativne skrbi u Županiji. Koordinator za Krapinsko-zagorsku županiju ugovoren je početkom travnja 2018. godine</w:t>
      </w:r>
      <w:r w:rsidR="00592567">
        <w:rPr>
          <w:rFonts w:eastAsia="ArialNarrow" w:cstheme="minorHAnsi"/>
        </w:rPr>
        <w:t xml:space="preserve">. </w:t>
      </w:r>
      <w:r w:rsidRPr="00CA35EC">
        <w:rPr>
          <w:rFonts w:eastAsia="ArialNarrow" w:cstheme="minorHAnsi"/>
        </w:rPr>
        <w:t>Centar je smješten u Domu zdravlja Krapinsko-zagorske županije u Oroslavju. U tom centru, sukladno predviđenom standardu zaposlen je koordinator, zdravstveni djelatnik, sa stupnjem obrazovanja prvostupnika te s dodatnom edukacijom iz palijativne skrbi.</w:t>
      </w:r>
    </w:p>
    <w:p w14:paraId="18FBE259" w14:textId="43B83408" w:rsidR="001026A1" w:rsidRDefault="001026A1" w:rsidP="001026A1">
      <w:pPr>
        <w:rPr>
          <w:rFonts w:eastAsia="ArialNarrow" w:cstheme="minorHAnsi"/>
        </w:rPr>
      </w:pPr>
      <w:r>
        <w:rPr>
          <w:rFonts w:eastAsia="ArialNarrow" w:cstheme="minorHAnsi"/>
        </w:rPr>
        <w:t xml:space="preserve">U travnju 2015. godine osnovan je mobilni palijativni tim. </w:t>
      </w:r>
      <w:r w:rsidR="00FB5E66" w:rsidRPr="00FB5E66">
        <w:rPr>
          <w:rFonts w:eastAsia="ArialNarrow" w:cstheme="minorHAnsi"/>
        </w:rPr>
        <w:t>Mobilni palijativni tim</w:t>
      </w:r>
      <w:r w:rsidR="00FB5E66" w:rsidRPr="00FB5E66">
        <w:rPr>
          <w:rFonts w:ascii="Calibri" w:eastAsia="ArialNarrow" w:hAnsi="Calibri" w:cs="Calibri"/>
        </w:rPr>
        <w:t> </w:t>
      </w:r>
      <w:r w:rsidR="00FB5E66" w:rsidRPr="00FB5E66">
        <w:rPr>
          <w:rFonts w:eastAsia="ArialNarrow" w:cstheme="minorHAnsi"/>
        </w:rPr>
        <w:t>osnovan je s ciljem da se neizlje</w:t>
      </w:r>
      <w:r w:rsidR="00FB5E66" w:rsidRPr="00FB5E66">
        <w:rPr>
          <w:rFonts w:eastAsia="ArialNarrow" w:cs="Newslab"/>
        </w:rPr>
        <w:t>č</w:t>
      </w:r>
      <w:r w:rsidR="00FB5E66" w:rsidRPr="00FB5E66">
        <w:rPr>
          <w:rFonts w:eastAsia="ArialNarrow" w:cstheme="minorHAnsi"/>
        </w:rPr>
        <w:t>ivo bolesnim pacijentima osigura što bolja kvaliteta života do samog kraja, a njihovim obiteljima olakša skrb za takvog bolesnika.</w:t>
      </w:r>
      <w:r w:rsidR="00FB5E66">
        <w:rPr>
          <w:rFonts w:eastAsia="ArialNarrow" w:cstheme="minorHAnsi"/>
        </w:rPr>
        <w:t xml:space="preserve"> </w:t>
      </w:r>
      <w:r w:rsidR="00FB5E66" w:rsidRPr="00FB5E66">
        <w:rPr>
          <w:rFonts w:eastAsia="ArialNarrow" w:cstheme="minorHAnsi"/>
        </w:rPr>
        <w:t xml:space="preserve">Mobilni </w:t>
      </w:r>
      <w:r w:rsidR="00FB5E66" w:rsidRPr="00FB5E66">
        <w:rPr>
          <w:rFonts w:eastAsia="ArialNarrow" w:cstheme="minorHAnsi"/>
        </w:rPr>
        <w:lastRenderedPageBreak/>
        <w:t>palijativni tim pri Domu zdravlja Krapinsko-zagorske županije obuhvaća</w:t>
      </w:r>
      <w:r w:rsidR="00FB5E66">
        <w:rPr>
          <w:rFonts w:eastAsia="ArialNarrow" w:cstheme="minorHAnsi"/>
        </w:rPr>
        <w:t xml:space="preserve"> </w:t>
      </w:r>
      <w:r w:rsidR="00FB5E66">
        <w:rPr>
          <w:rFonts w:eastAsia="ArialNarrow" w:cstheme="minorHAnsi"/>
          <w:b/>
          <w:bCs/>
        </w:rPr>
        <w:t>m</w:t>
      </w:r>
      <w:r w:rsidR="00FB5E66" w:rsidRPr="00FB5E66">
        <w:rPr>
          <w:rFonts w:eastAsia="ArialNarrow" w:cstheme="minorHAnsi"/>
          <w:b/>
          <w:bCs/>
        </w:rPr>
        <w:t>edicinsku pomoć</w:t>
      </w:r>
      <w:r w:rsidR="00FB5E66" w:rsidRPr="00FB5E66">
        <w:rPr>
          <w:rFonts w:ascii="Calibri" w:eastAsia="ArialNarrow" w:hAnsi="Calibri" w:cs="Calibri"/>
        </w:rPr>
        <w:t> </w:t>
      </w:r>
      <w:r w:rsidR="00FB5E66" w:rsidRPr="00FB5E66">
        <w:rPr>
          <w:rFonts w:eastAsia="ArialNarrow" w:cstheme="minorHAnsi"/>
        </w:rPr>
        <w:t>u v</w:t>
      </w:r>
      <w:r w:rsidR="00FB5E66">
        <w:rPr>
          <w:rFonts w:eastAsia="ArialNarrow" w:cstheme="minorHAnsi"/>
        </w:rPr>
        <w:t xml:space="preserve">lastitom </w:t>
      </w:r>
      <w:r w:rsidR="00FB5E66" w:rsidRPr="00FB5E66">
        <w:rPr>
          <w:rFonts w:eastAsia="ArialNarrow" w:cstheme="minorHAnsi"/>
        </w:rPr>
        <w:t>domu</w:t>
      </w:r>
      <w:r w:rsidR="00FB5E66">
        <w:rPr>
          <w:rFonts w:eastAsia="ArialNarrow" w:cstheme="minorHAnsi"/>
        </w:rPr>
        <w:t xml:space="preserve"> te </w:t>
      </w:r>
      <w:r w:rsidR="00FB5E66">
        <w:rPr>
          <w:rFonts w:eastAsia="ArialNarrow" w:cstheme="minorHAnsi"/>
          <w:b/>
          <w:bCs/>
        </w:rPr>
        <w:t>p</w:t>
      </w:r>
      <w:r w:rsidR="00FB5E66" w:rsidRPr="00FB5E66">
        <w:rPr>
          <w:rFonts w:eastAsia="ArialNarrow" w:cstheme="minorHAnsi"/>
          <w:b/>
          <w:bCs/>
        </w:rPr>
        <w:t>sihološku pomoć</w:t>
      </w:r>
      <w:r w:rsidR="00FB5E66" w:rsidRPr="00FB5E66">
        <w:rPr>
          <w:rFonts w:ascii="Calibri" w:eastAsia="ArialNarrow" w:hAnsi="Calibri" w:cs="Calibri"/>
        </w:rPr>
        <w:t> </w:t>
      </w:r>
      <w:r w:rsidR="00FB5E66" w:rsidRPr="00FB5E66">
        <w:rPr>
          <w:rFonts w:eastAsia="ArialNarrow" w:cstheme="minorHAnsi"/>
        </w:rPr>
        <w:t>bolesniku i članovima obitelji tijekom bolesti i u žalovanju u domu ili kroz grupu za potporu za oboljele od malignih bolesti i njihove obitelji</w:t>
      </w:r>
      <w:r w:rsidR="00FB5E66">
        <w:rPr>
          <w:rFonts w:eastAsia="ArialNarrow" w:cstheme="minorHAnsi"/>
        </w:rPr>
        <w:t>.</w:t>
      </w:r>
      <w:r>
        <w:rPr>
          <w:rFonts w:eastAsia="ArialNarrow" w:cstheme="minorHAnsi"/>
        </w:rPr>
        <w:t xml:space="preserve"> Prema registru kojeg vodi koordinator </w:t>
      </w:r>
      <w:r w:rsidRPr="001026A1">
        <w:rPr>
          <w:rFonts w:eastAsia="ArialNarrow" w:cstheme="minorHAnsi"/>
        </w:rPr>
        <w:t>591 pacijent je bio korisnik neke od usluga mobilnog palijativnog tima</w:t>
      </w:r>
      <w:r>
        <w:rPr>
          <w:rFonts w:eastAsia="ArialNarrow" w:cstheme="minorHAnsi"/>
        </w:rPr>
        <w:t xml:space="preserve"> na području KZŽ (stanje na </w:t>
      </w:r>
      <w:r w:rsidRPr="001026A1">
        <w:rPr>
          <w:rFonts w:eastAsia="ArialNarrow" w:cstheme="minorHAnsi"/>
        </w:rPr>
        <w:t>31.12.2017</w:t>
      </w:r>
      <w:r>
        <w:rPr>
          <w:rFonts w:eastAsia="ArialNarrow" w:cstheme="minorHAnsi"/>
        </w:rPr>
        <w:t xml:space="preserve">) te se taj broj povećao na </w:t>
      </w:r>
      <w:r w:rsidRPr="001026A1">
        <w:rPr>
          <w:rFonts w:eastAsia="ArialNarrow" w:cstheme="minorHAnsi"/>
        </w:rPr>
        <w:t xml:space="preserve">916 pacijenata </w:t>
      </w:r>
      <w:r>
        <w:rPr>
          <w:rFonts w:eastAsia="ArialNarrow" w:cstheme="minorHAnsi"/>
        </w:rPr>
        <w:t xml:space="preserve">korisnika neke od usluga u samo godinu dana (stanje na </w:t>
      </w:r>
      <w:r w:rsidRPr="001026A1">
        <w:rPr>
          <w:rFonts w:eastAsia="ArialNarrow" w:cstheme="minorHAnsi"/>
        </w:rPr>
        <w:t>31.12.2018.</w:t>
      </w:r>
      <w:r>
        <w:rPr>
          <w:rFonts w:eastAsia="ArialNarrow" w:cstheme="minorHAnsi"/>
        </w:rPr>
        <w:t>).</w:t>
      </w:r>
      <w:r w:rsidR="006262DB">
        <w:rPr>
          <w:rFonts w:eastAsia="ArialNarrow" w:cstheme="minorHAnsi"/>
        </w:rPr>
        <w:t xml:space="preserve"> </w:t>
      </w:r>
      <w:r w:rsidR="00D22C92" w:rsidRPr="00D22C92">
        <w:rPr>
          <w:rFonts w:eastAsia="ArialNarrow" w:cstheme="minorHAnsi"/>
        </w:rPr>
        <w:t>Tijekom 2019. godine nabavljeno je i vozilo kako bi tim bio što učinkovitiji i dostupniji.</w:t>
      </w:r>
    </w:p>
    <w:p w14:paraId="3766AF9E" w14:textId="4D2E8F2B" w:rsidR="001026A1" w:rsidRDefault="006262DB" w:rsidP="001026A1">
      <w:pPr>
        <w:rPr>
          <w:rFonts w:eastAsia="ArialNarrow" w:cstheme="minorHAnsi"/>
        </w:rPr>
      </w:pPr>
      <w:r w:rsidRPr="006262DB">
        <w:rPr>
          <w:rFonts w:eastAsia="ArialNarrow" w:cstheme="minorHAnsi"/>
        </w:rPr>
        <w:t xml:space="preserve">Prema podacima Doma zdravlja KZŽ u registru palijativnih bolesnika je u 2018. godini bilo ukupno 325 pacijenata s potrebom za palijativnom skrbi. Za usporedbu 2015. godine </w:t>
      </w:r>
      <w:r>
        <w:rPr>
          <w:rFonts w:eastAsia="ArialNarrow" w:cstheme="minorHAnsi"/>
        </w:rPr>
        <w:t>upisano je bilo</w:t>
      </w:r>
      <w:r w:rsidRPr="006262DB">
        <w:rPr>
          <w:rFonts w:eastAsia="ArialNarrow" w:cstheme="minorHAnsi"/>
        </w:rPr>
        <w:t xml:space="preserve"> samo njih 152, a 2016. godine ukupno 202 pacijenta. Sa šifrom Z.51.5 u 2018. godini je bilo ukupno 46% palijativnih pacijenata. Taj postotak kontinuirano raste obzirom da je 2015. godine on iznosio samo 14%, 2016. godine 24%, a 2017. godine 40%. Od ukupnog broja umrlih osoba s palijativnom dijagnozom u kući je umrlo njih 43%, a u bolnicama 57%. Zanimljiv je podatak da su onkološki pacijenti činili 67% pacijenata s potrebom za palijativnom skrbi.</w:t>
      </w:r>
      <w:r>
        <w:rPr>
          <w:rStyle w:val="Referencafusnote"/>
          <w:rFonts w:eastAsia="ArialNarrow" w:cstheme="minorHAnsi"/>
        </w:rPr>
        <w:footnoteReference w:id="44"/>
      </w:r>
    </w:p>
    <w:p w14:paraId="0E3733E6" w14:textId="77777777" w:rsidR="00551E15" w:rsidRDefault="00551E15" w:rsidP="001026A1">
      <w:pPr>
        <w:rPr>
          <w:rFonts w:eastAsia="ArialNarrow" w:cstheme="minorHAnsi"/>
        </w:rPr>
      </w:pPr>
    </w:p>
    <w:p w14:paraId="4235C999" w14:textId="68A2D8EB" w:rsidR="001026A1" w:rsidRPr="001026A1" w:rsidRDefault="00113AF2" w:rsidP="001026A1">
      <w:pPr>
        <w:rPr>
          <w:rFonts w:eastAsia="ArialNarrow" w:cstheme="minorHAnsi"/>
        </w:rPr>
      </w:pPr>
      <w:r>
        <w:rPr>
          <w:rFonts w:eastAsia="ArialNarrow" w:cstheme="minorHAnsi"/>
        </w:rPr>
        <w:t xml:space="preserve">Grafikon 19. Udio umrlih osoba u Krapinsko-zagorskoj županiji kojima je bila potrebna palijativna skrb (minimalne procjene) koji su prošli kroz bazu </w:t>
      </w:r>
    </w:p>
    <w:p w14:paraId="6591D84D" w14:textId="28E5D26D" w:rsidR="00502370" w:rsidRPr="00113AF2" w:rsidRDefault="000C401B" w:rsidP="00113AF2">
      <w:pPr>
        <w:autoSpaceDE w:val="0"/>
        <w:autoSpaceDN w:val="0"/>
        <w:adjustRightInd w:val="0"/>
        <w:spacing w:after="0" w:line="240" w:lineRule="auto"/>
        <w:rPr>
          <w:noProof/>
        </w:rPr>
      </w:pPr>
      <w:r w:rsidRPr="00113AF2">
        <w:rPr>
          <w:noProof/>
        </w:rPr>
        <w:drawing>
          <wp:inline distT="0" distB="0" distL="0" distR="0" wp14:anchorId="1DBE9BCE" wp14:editId="77D111C0">
            <wp:extent cx="5897880" cy="2628900"/>
            <wp:effectExtent l="0" t="0" r="7620" b="0"/>
            <wp:docPr id="234" name="Grafikon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0A3E84C" w14:textId="36879EF2" w:rsidR="00113AF2" w:rsidRDefault="00113AF2" w:rsidP="00113AF2">
      <w:pPr>
        <w:autoSpaceDE w:val="0"/>
        <w:autoSpaceDN w:val="0"/>
        <w:adjustRightInd w:val="0"/>
        <w:spacing w:after="0" w:line="240" w:lineRule="auto"/>
        <w:rPr>
          <w:rFonts w:eastAsia="ArialNarrow" w:cstheme="minorHAnsi"/>
          <w:i/>
          <w:color w:val="ABABAB" w:themeColor="text1" w:themeTint="A6"/>
          <w:sz w:val="16"/>
          <w:szCs w:val="16"/>
        </w:rPr>
      </w:pPr>
      <w:bookmarkStart w:id="101" w:name="_Hlk78189494"/>
      <w:r w:rsidRPr="00113AF2">
        <w:rPr>
          <w:rFonts w:eastAsia="ArialNarrow" w:cstheme="minorHAnsi"/>
          <w:i/>
          <w:color w:val="ABABAB" w:themeColor="text1" w:themeTint="A6"/>
          <w:sz w:val="16"/>
          <w:szCs w:val="16"/>
        </w:rPr>
        <w:t>Izvor: Strategija razvoja palijativne skrbi u Krapinsko-zagorskoj županiji za razdoblje 2020. - 2023. godine, veljača 2020.</w:t>
      </w:r>
    </w:p>
    <w:p w14:paraId="0BE97179" w14:textId="77777777" w:rsidR="00F94FF5" w:rsidRDefault="00F94FF5" w:rsidP="00113AF2">
      <w:pPr>
        <w:autoSpaceDE w:val="0"/>
        <w:autoSpaceDN w:val="0"/>
        <w:adjustRightInd w:val="0"/>
        <w:spacing w:after="0" w:line="240" w:lineRule="auto"/>
        <w:rPr>
          <w:rFonts w:eastAsia="ArialNarrow" w:cstheme="minorHAnsi"/>
          <w:i/>
          <w:color w:val="ABABAB" w:themeColor="text1" w:themeTint="A6"/>
          <w:sz w:val="16"/>
          <w:szCs w:val="16"/>
        </w:rPr>
      </w:pPr>
    </w:p>
    <w:bookmarkEnd w:id="101"/>
    <w:p w14:paraId="3F48F371" w14:textId="12897305" w:rsidR="00592567" w:rsidRDefault="00592567" w:rsidP="00DB6573">
      <w:pPr>
        <w:rPr>
          <w:rFonts w:eastAsia="ArialNarrow" w:cstheme="minorHAnsi"/>
        </w:rPr>
      </w:pPr>
      <w:r w:rsidRPr="00DB6573">
        <w:rPr>
          <w:rFonts w:eastAsia="ArialNarrow" w:cstheme="minorHAnsi"/>
        </w:rPr>
        <w:t>U sklopu Opće bolnice Zabok i bolnice hrvatskih veterana, kao akutne bolnice, a prema Mreži javno zdravstvene službe, od 11-13 procijenjenih potrebnih palijativnih postelja za akutno liječenje uključene su 2 postelje za palijativnu skrb. Ne postoji posebni odjel za palijativne pacijente, već su palijativne postolje na raspolaganju na odjelu gdje se pacijent liječi.</w:t>
      </w:r>
    </w:p>
    <w:p w14:paraId="3E0E3C04" w14:textId="7FA0DC59" w:rsidR="00DB6573" w:rsidRDefault="00DB6573" w:rsidP="00DB6573">
      <w:pPr>
        <w:rPr>
          <w:rFonts w:eastAsia="ArialNarrow" w:cstheme="minorHAnsi"/>
        </w:rPr>
      </w:pPr>
      <w:r w:rsidRPr="00DB6573">
        <w:rPr>
          <w:rFonts w:eastAsia="ArialNarrow" w:cstheme="minorHAnsi"/>
        </w:rPr>
        <w:t>Zavod za hitnu medicinu Krapinsko-zagorske županije vodi bazu palijativnih pacijenata - Uvidom u „Pregled potreba za palijativnom skrbi pri DZ KZŽ” na mjesečnoj bazi, uspoređuje se broj intervencija pri tim pacijentima u Zavodu za hitnu medicinu Krapinsko-zagorske županije. Hitna medicinska služba Krapinsko-zagorske županije svakodnevno zbrinjava palijativne pacijente, pogotovo noću i vikendom kada im nisu dostupne druge službe.</w:t>
      </w:r>
    </w:p>
    <w:p w14:paraId="593248E7" w14:textId="53576717" w:rsidR="00DB6573" w:rsidRDefault="00DB6573" w:rsidP="00DB6573">
      <w:pPr>
        <w:rPr>
          <w:rFonts w:eastAsia="ArialNarrow" w:cstheme="minorHAnsi"/>
        </w:rPr>
      </w:pPr>
      <w:r w:rsidRPr="00DB6573">
        <w:rPr>
          <w:rFonts w:eastAsia="ArialNarrow" w:cstheme="minorHAnsi"/>
        </w:rPr>
        <w:t>Ustanove za zdravstvenu njegu u kući zapošljavaju uz medicinske sestre opće njege i medicinske sestre prvostupnice, diplomirane medicinske sestre i magistre sestrinstva te su osigurale dodatnu edukaciju zaposlenih medicinskih sestara iz područja palijativne skrbi i spremne su osigurati dostupnost, kontinuiranost i kvalitetu provođenja zdravstvene njege palijativnih pacijenata čime se osigurava adekvatna zdravstvena njega bolesniku i ostanak u vlastitom domu.</w:t>
      </w:r>
      <w:r>
        <w:rPr>
          <w:rFonts w:eastAsia="ArialNarrow" w:cstheme="minorHAnsi"/>
        </w:rPr>
        <w:t xml:space="preserve"> </w:t>
      </w:r>
      <w:r w:rsidRPr="00DB6573">
        <w:rPr>
          <w:rFonts w:eastAsia="ArialNarrow" w:cstheme="minorHAnsi"/>
        </w:rPr>
        <w:t>Edukaciju iz palijativne skrbi pod nazivom „Osnovne palijativne skrbi“ u Centru za palijativnu medicinu, medicinsku etiku i komunikacijske vještine (CEPAMET) pri Medicinskom fakultetu sveučilišta u Zagrebu završilo je ukupno 15 osoba (liječnika i medicinskih sestara). Krapinsko</w:t>
      </w:r>
      <w:r>
        <w:rPr>
          <w:rFonts w:eastAsia="ArialNarrow" w:cstheme="minorHAnsi"/>
        </w:rPr>
        <w:t>-</w:t>
      </w:r>
      <w:r w:rsidRPr="00DB6573">
        <w:rPr>
          <w:rFonts w:eastAsia="ArialNarrow" w:cstheme="minorHAnsi"/>
        </w:rPr>
        <w:t>zagorska županija financirala je edukaciju za ukupno 12 osoba.</w:t>
      </w:r>
    </w:p>
    <w:p w14:paraId="5B1AB4CC" w14:textId="697DD916" w:rsidR="006E3426" w:rsidRDefault="006E3426" w:rsidP="00DB6573">
      <w:pPr>
        <w:rPr>
          <w:rFonts w:eastAsia="ArialNarrow" w:cstheme="minorHAnsi"/>
        </w:rPr>
      </w:pPr>
    </w:p>
    <w:p w14:paraId="1BFE10B6" w14:textId="77777777" w:rsidR="006E3426" w:rsidRDefault="006E3426" w:rsidP="00DB6573">
      <w:pPr>
        <w:rPr>
          <w:rFonts w:eastAsia="ArialNarrow" w:cstheme="minorHAnsi"/>
        </w:rPr>
      </w:pPr>
    </w:p>
    <w:p w14:paraId="4931A050" w14:textId="389F3D0F" w:rsidR="00DB6573" w:rsidRDefault="00DB6573" w:rsidP="00DB6573">
      <w:pPr>
        <w:rPr>
          <w:rFonts w:eastAsia="ArialNarrow" w:cstheme="minorHAnsi"/>
        </w:rPr>
      </w:pPr>
      <w:r w:rsidRPr="0097126C">
        <w:rPr>
          <w:rFonts w:eastAsia="ArialNarrow" w:cstheme="minorHAnsi"/>
        </w:rPr>
        <w:lastRenderedPageBreak/>
        <w:t>Tablica 41.</w:t>
      </w:r>
      <w:r w:rsidRPr="00DB6573">
        <w:rPr>
          <w:rFonts w:eastAsia="ArialNarrow" w:cstheme="minorHAnsi"/>
        </w:rPr>
        <w:t xml:space="preserve"> Popis zdravstvenih djelatnika koji su pohađali edukaciju iz palijativne skrbi na CEPAMETU pri Medicinskom fakultetu</w:t>
      </w:r>
    </w:p>
    <w:tbl>
      <w:tblPr>
        <w:tblStyle w:val="Reetkatablice"/>
        <w:tblW w:w="0" w:type="auto"/>
        <w:tblInd w:w="0" w:type="dxa"/>
        <w:tblLook w:val="04A0" w:firstRow="1" w:lastRow="0" w:firstColumn="1" w:lastColumn="0" w:noHBand="0" w:noVBand="1"/>
      </w:tblPr>
      <w:tblGrid>
        <w:gridCol w:w="4591"/>
        <w:gridCol w:w="4591"/>
      </w:tblGrid>
      <w:tr w:rsidR="006177E1" w14:paraId="4F55B6C0" w14:textId="77777777" w:rsidTr="0097126C">
        <w:trPr>
          <w:trHeight w:val="321"/>
        </w:trPr>
        <w:tc>
          <w:tcPr>
            <w:tcW w:w="4591" w:type="dxa"/>
            <w:shd w:val="clear" w:color="auto" w:fill="C00000"/>
            <w:vAlign w:val="center"/>
          </w:tcPr>
          <w:p w14:paraId="56CA41C9" w14:textId="4EBDF656" w:rsidR="006177E1" w:rsidRPr="006177E1" w:rsidRDefault="006177E1" w:rsidP="006177E1">
            <w:pPr>
              <w:jc w:val="center"/>
              <w:rPr>
                <w:rFonts w:eastAsia="ArialNarrow" w:cstheme="minorHAnsi"/>
                <w:b/>
                <w:bCs/>
                <w:color w:val="FFFFFF" w:themeColor="background1"/>
              </w:rPr>
            </w:pPr>
            <w:r w:rsidRPr="006177E1">
              <w:rPr>
                <w:rFonts w:eastAsia="ArialNarrow" w:cstheme="minorHAnsi"/>
                <w:b/>
                <w:bCs/>
                <w:color w:val="FFFFFF" w:themeColor="background1"/>
              </w:rPr>
              <w:t>USTANOVA</w:t>
            </w:r>
          </w:p>
        </w:tc>
        <w:tc>
          <w:tcPr>
            <w:tcW w:w="4591" w:type="dxa"/>
            <w:shd w:val="clear" w:color="auto" w:fill="C00000"/>
            <w:vAlign w:val="center"/>
          </w:tcPr>
          <w:p w14:paraId="284A8ED1" w14:textId="075BA6FA" w:rsidR="006177E1" w:rsidRPr="006177E1" w:rsidRDefault="006177E1" w:rsidP="006177E1">
            <w:pPr>
              <w:jc w:val="center"/>
              <w:rPr>
                <w:rFonts w:eastAsia="ArialNarrow" w:cstheme="minorHAnsi"/>
                <w:b/>
                <w:bCs/>
                <w:color w:val="FFFFFF" w:themeColor="background1"/>
              </w:rPr>
            </w:pPr>
            <w:r w:rsidRPr="006177E1">
              <w:rPr>
                <w:rFonts w:eastAsia="ArialNarrow" w:cstheme="minorHAnsi"/>
                <w:b/>
                <w:bCs/>
                <w:color w:val="FFFFFF" w:themeColor="background1"/>
              </w:rPr>
              <w:t>BROJ ZDRAVSTVENIH DJELATNIKA</w:t>
            </w:r>
          </w:p>
        </w:tc>
      </w:tr>
      <w:tr w:rsidR="006177E1" w14:paraId="61F5169F" w14:textId="77777777" w:rsidTr="008C6C3F">
        <w:trPr>
          <w:trHeight w:val="265"/>
        </w:trPr>
        <w:tc>
          <w:tcPr>
            <w:tcW w:w="4591" w:type="dxa"/>
            <w:vAlign w:val="center"/>
          </w:tcPr>
          <w:p w14:paraId="2650C0E3" w14:textId="0B8ABB98" w:rsidR="006177E1" w:rsidRDefault="006177E1" w:rsidP="006177E1">
            <w:pPr>
              <w:jc w:val="left"/>
              <w:rPr>
                <w:rFonts w:eastAsia="ArialNarrow" w:cstheme="minorHAnsi"/>
              </w:rPr>
            </w:pPr>
            <w:r w:rsidRPr="00DB6573">
              <w:rPr>
                <w:rFonts w:eastAsia="ArialNarrow" w:cstheme="minorHAnsi"/>
              </w:rPr>
              <w:t>Dom zdravlja Krapinsko-zagorske županije</w:t>
            </w:r>
          </w:p>
        </w:tc>
        <w:tc>
          <w:tcPr>
            <w:tcW w:w="4591" w:type="dxa"/>
            <w:vAlign w:val="center"/>
          </w:tcPr>
          <w:p w14:paraId="030495D7" w14:textId="189A7A1B" w:rsidR="006177E1" w:rsidRDefault="006177E1" w:rsidP="006177E1">
            <w:pPr>
              <w:jc w:val="center"/>
              <w:rPr>
                <w:rFonts w:eastAsia="ArialNarrow" w:cstheme="minorHAnsi"/>
              </w:rPr>
            </w:pPr>
            <w:r w:rsidRPr="00DB6573">
              <w:rPr>
                <w:rFonts w:eastAsia="ArialNarrow" w:cstheme="minorHAnsi"/>
              </w:rPr>
              <w:t>3</w:t>
            </w:r>
          </w:p>
        </w:tc>
      </w:tr>
      <w:tr w:rsidR="006177E1" w14:paraId="49FE55FA" w14:textId="77777777" w:rsidTr="008C6C3F">
        <w:trPr>
          <w:trHeight w:val="269"/>
        </w:trPr>
        <w:tc>
          <w:tcPr>
            <w:tcW w:w="4591" w:type="dxa"/>
            <w:vAlign w:val="center"/>
          </w:tcPr>
          <w:p w14:paraId="1271B07A" w14:textId="43A6FC6C" w:rsidR="006177E1" w:rsidRDefault="006177E1" w:rsidP="006177E1">
            <w:pPr>
              <w:jc w:val="left"/>
              <w:rPr>
                <w:rFonts w:eastAsia="ArialNarrow" w:cstheme="minorHAnsi"/>
              </w:rPr>
            </w:pPr>
            <w:r w:rsidRPr="00DB6573">
              <w:rPr>
                <w:rFonts w:eastAsia="ArialNarrow" w:cstheme="minorHAnsi"/>
              </w:rPr>
              <w:t>Opća bolnica Zabok i bolnica hrvatskih veterana</w:t>
            </w:r>
          </w:p>
        </w:tc>
        <w:tc>
          <w:tcPr>
            <w:tcW w:w="4591" w:type="dxa"/>
            <w:vAlign w:val="center"/>
          </w:tcPr>
          <w:p w14:paraId="2E8BF337" w14:textId="6B460DBE" w:rsidR="006177E1" w:rsidRDefault="006177E1" w:rsidP="006177E1">
            <w:pPr>
              <w:jc w:val="center"/>
              <w:rPr>
                <w:rFonts w:eastAsia="ArialNarrow" w:cstheme="minorHAnsi"/>
              </w:rPr>
            </w:pPr>
            <w:r w:rsidRPr="00DB6573">
              <w:rPr>
                <w:rFonts w:eastAsia="ArialNarrow" w:cstheme="minorHAnsi"/>
              </w:rPr>
              <w:t>5</w:t>
            </w:r>
          </w:p>
        </w:tc>
      </w:tr>
      <w:tr w:rsidR="006177E1" w14:paraId="7C222DC6" w14:textId="77777777" w:rsidTr="0097126C">
        <w:trPr>
          <w:trHeight w:val="463"/>
        </w:trPr>
        <w:tc>
          <w:tcPr>
            <w:tcW w:w="4591" w:type="dxa"/>
            <w:vAlign w:val="center"/>
          </w:tcPr>
          <w:p w14:paraId="3D353F39" w14:textId="4A7DD214" w:rsidR="006177E1" w:rsidRDefault="006177E1" w:rsidP="006177E1">
            <w:pPr>
              <w:jc w:val="left"/>
              <w:rPr>
                <w:rFonts w:eastAsia="ArialNarrow" w:cstheme="minorHAnsi"/>
              </w:rPr>
            </w:pPr>
            <w:r w:rsidRPr="00DB6573">
              <w:rPr>
                <w:rFonts w:eastAsia="ArialNarrow" w:cstheme="minorHAnsi"/>
              </w:rPr>
              <w:t>Specijalna bolnica za medicinsku rehabilitaciju Krapinske Toplice</w:t>
            </w:r>
          </w:p>
        </w:tc>
        <w:tc>
          <w:tcPr>
            <w:tcW w:w="4591" w:type="dxa"/>
            <w:vAlign w:val="center"/>
          </w:tcPr>
          <w:p w14:paraId="3EC73AA9" w14:textId="2711E2C3" w:rsidR="006177E1" w:rsidRDefault="006177E1" w:rsidP="006177E1">
            <w:pPr>
              <w:jc w:val="center"/>
              <w:rPr>
                <w:rFonts w:eastAsia="ArialNarrow" w:cstheme="minorHAnsi"/>
              </w:rPr>
            </w:pPr>
            <w:r w:rsidRPr="00DB6573">
              <w:rPr>
                <w:rFonts w:eastAsia="ArialNarrow" w:cstheme="minorHAnsi"/>
              </w:rPr>
              <w:t>1</w:t>
            </w:r>
          </w:p>
        </w:tc>
      </w:tr>
      <w:tr w:rsidR="006177E1" w14:paraId="72413865" w14:textId="77777777" w:rsidTr="0097126C">
        <w:trPr>
          <w:trHeight w:val="450"/>
        </w:trPr>
        <w:tc>
          <w:tcPr>
            <w:tcW w:w="4591" w:type="dxa"/>
            <w:vAlign w:val="center"/>
          </w:tcPr>
          <w:p w14:paraId="4642F09A" w14:textId="18A0835E" w:rsidR="006177E1" w:rsidRDefault="006177E1" w:rsidP="006177E1">
            <w:pPr>
              <w:jc w:val="left"/>
              <w:rPr>
                <w:rFonts w:eastAsia="ArialNarrow" w:cstheme="minorHAnsi"/>
              </w:rPr>
            </w:pPr>
            <w:r w:rsidRPr="00DB6573">
              <w:rPr>
                <w:rFonts w:eastAsia="ArialNarrow" w:cstheme="minorHAnsi"/>
              </w:rPr>
              <w:t>Specijalna bolnica za medicinsku rehabilitaciju Stubičke Toplice</w:t>
            </w:r>
          </w:p>
        </w:tc>
        <w:tc>
          <w:tcPr>
            <w:tcW w:w="4591" w:type="dxa"/>
            <w:vAlign w:val="center"/>
          </w:tcPr>
          <w:p w14:paraId="11151E89" w14:textId="61EDEAF7" w:rsidR="006177E1" w:rsidRDefault="006177E1" w:rsidP="006177E1">
            <w:pPr>
              <w:jc w:val="center"/>
              <w:rPr>
                <w:rFonts w:eastAsia="ArialNarrow" w:cstheme="minorHAnsi"/>
              </w:rPr>
            </w:pPr>
            <w:r w:rsidRPr="00DB6573">
              <w:rPr>
                <w:rFonts w:eastAsia="ArialNarrow" w:cstheme="minorHAnsi"/>
              </w:rPr>
              <w:t>0</w:t>
            </w:r>
          </w:p>
        </w:tc>
      </w:tr>
      <w:tr w:rsidR="006177E1" w14:paraId="4978C85B" w14:textId="77777777" w:rsidTr="008C6C3F">
        <w:trPr>
          <w:trHeight w:val="343"/>
        </w:trPr>
        <w:tc>
          <w:tcPr>
            <w:tcW w:w="4591" w:type="dxa"/>
            <w:vAlign w:val="center"/>
          </w:tcPr>
          <w:p w14:paraId="4B1D7799" w14:textId="46D7EE42" w:rsidR="006177E1" w:rsidRDefault="006177E1" w:rsidP="006177E1">
            <w:pPr>
              <w:jc w:val="left"/>
              <w:rPr>
                <w:rFonts w:eastAsia="ArialNarrow" w:cstheme="minorHAnsi"/>
              </w:rPr>
            </w:pPr>
            <w:r w:rsidRPr="00DB6573">
              <w:rPr>
                <w:rFonts w:eastAsia="ArialNarrow" w:cstheme="minorHAnsi"/>
              </w:rPr>
              <w:t>Zdravstvena njega u kući</w:t>
            </w:r>
          </w:p>
        </w:tc>
        <w:tc>
          <w:tcPr>
            <w:tcW w:w="4591" w:type="dxa"/>
            <w:vAlign w:val="center"/>
          </w:tcPr>
          <w:p w14:paraId="4481FAA1" w14:textId="20F6097A" w:rsidR="006177E1" w:rsidRDefault="006177E1" w:rsidP="006177E1">
            <w:pPr>
              <w:jc w:val="center"/>
              <w:rPr>
                <w:rFonts w:eastAsia="ArialNarrow" w:cstheme="minorHAnsi"/>
              </w:rPr>
            </w:pPr>
            <w:r w:rsidRPr="00DB6573">
              <w:rPr>
                <w:rFonts w:eastAsia="ArialNarrow" w:cstheme="minorHAnsi"/>
              </w:rPr>
              <w:t>6</w:t>
            </w:r>
          </w:p>
        </w:tc>
      </w:tr>
      <w:tr w:rsidR="006177E1" w14:paraId="4F9A3E7E" w14:textId="77777777" w:rsidTr="0097126C">
        <w:trPr>
          <w:trHeight w:val="377"/>
        </w:trPr>
        <w:tc>
          <w:tcPr>
            <w:tcW w:w="4591" w:type="dxa"/>
            <w:shd w:val="clear" w:color="auto" w:fill="BFBFBF" w:themeFill="background1" w:themeFillShade="BF"/>
            <w:vAlign w:val="center"/>
          </w:tcPr>
          <w:p w14:paraId="39AB2B0B" w14:textId="639892A0" w:rsidR="006177E1" w:rsidRPr="006177E1" w:rsidRDefault="006177E1" w:rsidP="006177E1">
            <w:pPr>
              <w:jc w:val="center"/>
              <w:rPr>
                <w:rFonts w:eastAsia="ArialNarrow" w:cstheme="minorHAnsi"/>
                <w:b/>
                <w:bCs/>
                <w:color w:val="FFFFFF" w:themeColor="background1"/>
              </w:rPr>
            </w:pPr>
            <w:r w:rsidRPr="006177E1">
              <w:rPr>
                <w:rFonts w:eastAsia="ArialNarrow" w:cstheme="minorHAnsi"/>
                <w:b/>
                <w:bCs/>
                <w:color w:val="FFFFFF" w:themeColor="background1"/>
              </w:rPr>
              <w:t>UKUPNO</w:t>
            </w:r>
          </w:p>
        </w:tc>
        <w:tc>
          <w:tcPr>
            <w:tcW w:w="4591" w:type="dxa"/>
            <w:shd w:val="clear" w:color="auto" w:fill="BFBFBF" w:themeFill="background1" w:themeFillShade="BF"/>
            <w:vAlign w:val="center"/>
          </w:tcPr>
          <w:p w14:paraId="769F129E" w14:textId="0E7073DC" w:rsidR="006177E1" w:rsidRPr="006177E1" w:rsidRDefault="006177E1" w:rsidP="006177E1">
            <w:pPr>
              <w:spacing w:after="120" w:line="264" w:lineRule="auto"/>
              <w:jc w:val="center"/>
              <w:rPr>
                <w:rFonts w:eastAsia="ArialNarrow" w:cstheme="minorHAnsi"/>
                <w:b/>
                <w:bCs/>
                <w:color w:val="FFFFFF" w:themeColor="background1"/>
                <w:szCs w:val="21"/>
              </w:rPr>
            </w:pPr>
            <w:r w:rsidRPr="006177E1">
              <w:rPr>
                <w:rFonts w:eastAsia="ArialNarrow" w:cstheme="minorHAnsi"/>
                <w:b/>
                <w:bCs/>
                <w:color w:val="FFFFFF" w:themeColor="background1"/>
              </w:rPr>
              <w:t>15</w:t>
            </w:r>
          </w:p>
        </w:tc>
      </w:tr>
    </w:tbl>
    <w:p w14:paraId="4864E1E3" w14:textId="77777777" w:rsidR="006177E1" w:rsidRDefault="006177E1" w:rsidP="006177E1">
      <w:pPr>
        <w:autoSpaceDE w:val="0"/>
        <w:autoSpaceDN w:val="0"/>
        <w:adjustRightInd w:val="0"/>
        <w:spacing w:after="0" w:line="240" w:lineRule="auto"/>
        <w:rPr>
          <w:rFonts w:eastAsia="ArialNarrow" w:cstheme="minorHAnsi"/>
          <w:i/>
          <w:color w:val="ABABAB" w:themeColor="text1" w:themeTint="A6"/>
          <w:sz w:val="16"/>
          <w:szCs w:val="16"/>
        </w:rPr>
      </w:pPr>
      <w:r w:rsidRPr="00113AF2">
        <w:rPr>
          <w:rFonts w:eastAsia="ArialNarrow" w:cstheme="minorHAnsi"/>
          <w:i/>
          <w:color w:val="ABABAB" w:themeColor="text1" w:themeTint="A6"/>
          <w:sz w:val="16"/>
          <w:szCs w:val="16"/>
        </w:rPr>
        <w:t>Izvor: Strategija razvoja palijativne skrbi u Krapinsko-zagorskoj županiji za razdoblje 2020. - 2023. godine, veljača 2020.</w:t>
      </w:r>
    </w:p>
    <w:p w14:paraId="4FF649C8" w14:textId="1F273F18" w:rsidR="006177E1" w:rsidRDefault="006177E1" w:rsidP="00DB6573">
      <w:pPr>
        <w:rPr>
          <w:rFonts w:eastAsia="ArialNarrow" w:cstheme="minorHAnsi"/>
        </w:rPr>
      </w:pPr>
    </w:p>
    <w:p w14:paraId="11981A4C" w14:textId="753DCE62" w:rsidR="00E43B37" w:rsidRDefault="00E43B37" w:rsidP="00DB6573">
      <w:pPr>
        <w:rPr>
          <w:rFonts w:eastAsia="ArialNarrow" w:cstheme="minorHAnsi"/>
        </w:rPr>
      </w:pPr>
      <w:r w:rsidRPr="00E43B37">
        <w:rPr>
          <w:rFonts w:eastAsia="ArialNarrow" w:cstheme="minorHAnsi"/>
        </w:rPr>
        <w:t>Jedna od ključnih aktivnosti u uspostavi palijativne skrbi na području Županije je uspostava i ustrojavanje posudionice pomagala. Teška i dugotrajna pomoć pogoršava socijalnu i materijalnu situaciju u obitelji koja nije u mogućnosti kupiti ortopedsko ili medicinsko pomagalo. Sukladno potrebama palijativnih bolesnika za ortopedskim i medicinskim pomagalima kontinuirano treba raditi nabavku potrebnih pomagala, voditi brigu o njihovoj kvaliteti i dostupnosti na području županije. U sklopu Doma zdravlja KZŽ djeluje Posudionica pomagala koja se pokazala kao praktičan oblik pomoći. Pravo posuđivanja pomagala imaju bolesnici kod kojih postoji potreba, a ne ostvaruju je preko HZZO-a ili su u fazi rješavanja odobrenja za potrebno pomagalo. Pomagala su besplatna, a posuđuju se na privremeno korištenje ovisno o potrebi. Pomagalo se posuđuje uz medicinsku dokumentaciju na uvid iz koje je vidljiva potreba za korištenjem pomagala. Po prestanku potrebe za pomagalom pomagalo se vraća u posudionicu. Pomagala su nabavljena donacijama Krapinsko-zagorske županije, zdravstvenih ustanova čiji je osnivač Krapinsko-zagorska županija i HZZO Krapina. Također, manje posudionice djeluju i pri svim Gradskim društvima Crvenog križa na području Krapinsko-zagorske županije.</w:t>
      </w:r>
    </w:p>
    <w:p w14:paraId="3FAC33B1" w14:textId="133585F1" w:rsidR="008269CC" w:rsidRDefault="008269CC" w:rsidP="00DB6573">
      <w:pPr>
        <w:rPr>
          <w:rFonts w:eastAsia="ArialNarrow" w:cstheme="minorHAnsi"/>
        </w:rPr>
      </w:pPr>
      <w:r w:rsidRPr="008269CC">
        <w:rPr>
          <w:rFonts w:eastAsia="ArialNarrow" w:cstheme="minorHAnsi"/>
        </w:rPr>
        <w:t>Razvoj sustava palijativne skrbi Županija će i dalje podupirati, a osim navedenog područja rada, sada će se još usredotočiti na razvoj volonteri</w:t>
      </w:r>
      <w:r w:rsidR="00E629BE">
        <w:rPr>
          <w:rFonts w:eastAsia="ArialNarrow" w:cstheme="minorHAnsi"/>
        </w:rPr>
        <w:t>z</w:t>
      </w:r>
      <w:r w:rsidRPr="008269CC">
        <w:rPr>
          <w:rFonts w:eastAsia="ArialNarrow" w:cstheme="minorHAnsi"/>
        </w:rPr>
        <w:t>ma u palijativnoj skrbi i nastojanje za razvijanjem skrbi za palijativne bolesnike u njihovom domu dostupne 24h na dan i sve dane u tjednu.</w:t>
      </w:r>
      <w:r w:rsidR="00E629BE">
        <w:rPr>
          <w:rFonts w:eastAsia="ArialNarrow" w:cstheme="minorHAnsi"/>
        </w:rPr>
        <w:t xml:space="preserve"> Strategijom je zaključeno kako je p</w:t>
      </w:r>
      <w:r w:rsidRPr="008269CC">
        <w:rPr>
          <w:rFonts w:eastAsia="ArialNarrow" w:cstheme="minorHAnsi"/>
        </w:rPr>
        <w:t>otrebno razvijati uključivanje volontera Crvenog križa u psihosocijalnu podršku uz praktičnu podršku, što bi značajno doprinijelo palijativnoj skrbi. Pomoć volontera je moguća kroz pružanje psihosocijalne podrške bolesniku i obitelji te pomoć i njegu u kući (nabava namirnica, plaćanje računa, kuhanje, čišćenje, pomoć kod osobne njege i sl.)</w:t>
      </w:r>
      <w:r w:rsidR="00E629BE">
        <w:rPr>
          <w:rFonts w:eastAsia="ArialNarrow" w:cstheme="minorHAnsi"/>
        </w:rPr>
        <w:t>.</w:t>
      </w:r>
    </w:p>
    <w:p w14:paraId="002B9E59" w14:textId="69F6A64D" w:rsidR="00F94FF5" w:rsidRDefault="00F94FF5" w:rsidP="00DB6573">
      <w:pPr>
        <w:rPr>
          <w:rFonts w:eastAsia="ArialNarrow" w:cstheme="minorHAnsi"/>
        </w:rPr>
      </w:pPr>
    </w:p>
    <w:p w14:paraId="07B060A2" w14:textId="77777777" w:rsidR="002C2A74" w:rsidRDefault="002C2A74" w:rsidP="002C2A74">
      <w:pPr>
        <w:shd w:val="clear" w:color="auto" w:fill="E5E5E5" w:themeFill="text1" w:themeFillTint="33"/>
        <w:rPr>
          <w:b/>
          <w:bCs/>
        </w:rPr>
      </w:pPr>
      <w:r w:rsidRPr="0088613C">
        <w:rPr>
          <w:b/>
          <w:bCs/>
        </w:rPr>
        <w:t>Zaključak</w:t>
      </w:r>
    </w:p>
    <w:p w14:paraId="1477D22A" w14:textId="77777777" w:rsidR="002C2A74" w:rsidRDefault="002C2A74" w:rsidP="002C2A74">
      <w:pPr>
        <w:shd w:val="clear" w:color="auto" w:fill="E5E5E5" w:themeFill="text1" w:themeFillTint="33"/>
      </w:pPr>
      <w:r w:rsidRPr="00390E4D">
        <w:t xml:space="preserve">Temeljni ciljevi zdravstvene politike odnose </w:t>
      </w:r>
      <w:r>
        <w:t xml:space="preserve">se </w:t>
      </w:r>
      <w:r w:rsidRPr="00390E4D">
        <w:t xml:space="preserve">na produživanje očekivanog trajanja života i poboljšanje kvalitete življenja, za što je potrebno kontinuirano unaprjeđenje i razvoj zdravstvene službe uz promicanje razvoja zdravih načina življenja te smanjenje ili eliminaciju zdravstvenih rizika koji se mogu spriječiti. Zdravstvena zaštita i zdravlje stanovništva ne ovise isključivo o djelovanju zdravstvenog sustava i ne mogu se promatrati odvojeno od demografskih, gospodarstvenih i ekoloških pokazatelja te obrazovne strukture stanovništva. </w:t>
      </w:r>
      <w:r>
        <w:t xml:space="preserve">Na području Krapinsko-zagorske županije postoji primarna, sekundarna i tercijarna razina zdravstvene zaštite, a daljnji razvoj zdravstvenog sustava predviđa se u koordinaciji s razvojem sustava socijalne skrbi na način da se usluge međusobno nadopunjuju.  </w:t>
      </w:r>
    </w:p>
    <w:p w14:paraId="53C64848" w14:textId="77777777" w:rsidR="002C2A74" w:rsidRPr="00390E4D" w:rsidRDefault="002C2A74" w:rsidP="002C2A74">
      <w:pPr>
        <w:shd w:val="clear" w:color="auto" w:fill="E5E5E5" w:themeFill="text1" w:themeFillTint="33"/>
      </w:pPr>
      <w:r w:rsidRPr="00390E4D">
        <w:t xml:space="preserve">Kvaliteta zdravstvene usluge u Krapinsko-zagorskoj županiji prikazana je brojem zdravstvenih ustanova i zdravstvenih djelatnika prema područjima rada koji su uključili primarnu zdravstvenu zaštitu, djelatnost opće medicine, zdravstvene zaštite dojenčadi i male djece, medicine rada, zdravstvene zaštite žena, hitne medicine, zaštite i liječenja usta i zubi, zdravstvenu zaštitu školske djece, mladeži i studenata, zdravstvenu njegu u kući te patronažnu djelatnost. Zdravstvena infrastruktura organizirana je kroz mrežu 6 bolnica u županijskom ili privatnom vlasništvu, Dom zdravlja Krapinsko-zagorske županije, ljekarne te dva Zavoda koji djeluju </w:t>
      </w:r>
      <w:r>
        <w:t>na području županije</w:t>
      </w:r>
      <w:r w:rsidRPr="00390E4D">
        <w:t xml:space="preserve"> – Zavod za javno zdravstvo Krapinsko-zagorske županije i Zavod za hitnu medicinu Krapinsko-zagorske županije. Dom zdravlja Krapinsko-zagorske županije horizontalno je podijeljen na 6 ispostava, po jedna u svakom gradu unutar županije, a koje uključuju ukupno 144 </w:t>
      </w:r>
      <w:r>
        <w:t>ordinacije</w:t>
      </w:r>
      <w:r w:rsidRPr="00390E4D">
        <w:t xml:space="preserve"> kako bi se osiguralo pružanje zdravstvenih usluga svim stanovnicima Krapinsko-zagorske županije. Unatoč nedostatku zdravstvenog osoblja i potencijalnom iseljavanju stručnjaka iz svih grana djelatnosti, na razini Krapinsko-zagorske županije primjetan je rast broja ukupno zaposlenih zdravstvenih radnika. U razdoblju od 2016. do 2019. broj zaposlenih povećao se za 10,26</w:t>
      </w:r>
      <w:r>
        <w:t>%</w:t>
      </w:r>
      <w:r w:rsidRPr="00390E4D">
        <w:t xml:space="preserve">. Broj zdravstvenih radnika u odnosu na broj stanovnika u primarnoj zdravstvenoj zaštiti, djelatnosti opće medicine, zdravstvene zaštite dojenčadi i male djece, zaštite i liječenja usta i zubi i patronažne djelatnosti u razdoblju od 2016. do 2019. nije se značajno mijenjao. Najviše liječnika u odnosu na broj stanovnika </w:t>
      </w:r>
      <w:r w:rsidRPr="00390E4D">
        <w:lastRenderedPageBreak/>
        <w:t>ima u primarnoj zdravstvenoj zaštiti, a koji su ujedno i prva kontaktna točka u zdravstvenom sustavu. Najmanje liječnika na 10.000 stanovnika je u djelatnosti zdravstvene zaštite dojenčadi i male djece, svega 0,3. Broj zdravstvenih radnika na 10.000 stanovnika u području medicine rada, zdravstvene zaštite žena, hitne medicine i zdravstvene njege u kući se povećao u 2019. godini, dok se broj radnika u području liječenja usta i zubi u odnosu na broj stanovnika smanjio. Najviše zdravstvenih radnika u odnosu na broj stanovnika je u djelatnosti hitne medicine (8,3).</w:t>
      </w:r>
    </w:p>
    <w:p w14:paraId="78CFE6BE" w14:textId="77777777" w:rsidR="002C2A74" w:rsidRDefault="002C2A74" w:rsidP="002C2A74">
      <w:pPr>
        <w:shd w:val="clear" w:color="auto" w:fill="E5E5E5" w:themeFill="text1" w:themeFillTint="33"/>
      </w:pPr>
      <w:r w:rsidRPr="00390E4D">
        <w:t>Krapinsko-zagorska županija ima gotovo dvostruko više bolničkih kreveta na 1.000 stanovnika (u prosjeku 9 na 1.000 stanovnika)</w:t>
      </w:r>
      <w:r>
        <w:t xml:space="preserve"> u odnosu na Republiku Hrvatsku i regiju Sjeverna Hrvatska (u prosjeku 5 na 1.000 stanovnika)</w:t>
      </w:r>
      <w:r w:rsidRPr="00390E4D">
        <w:t xml:space="preserve">. U 2019. godini broj kreveta se povećao </w:t>
      </w:r>
      <w:r>
        <w:t>za</w:t>
      </w:r>
      <w:r w:rsidRPr="00390E4D">
        <w:t xml:space="preserve"> 4,26% u odnosu na 2016.</w:t>
      </w:r>
      <w:r>
        <w:t xml:space="preserve"> godinu.</w:t>
      </w:r>
      <w:r w:rsidRPr="00390E4D">
        <w:t xml:space="preserve"> Broj liječnika u stacionarnim ustanovama u 2019. povećao se u odnosu na prethodne godine, kako na razini Republike Hrvatske, tako i na razini Krapinsko-zagorske županije i NUTS 2 regije Sjeverna Hrvatska. Podaci za razdoblje 2016.-2019. pokazuju kako su najveći uzročnik smrti na području Krapinsko-zagorske županije bolesti cirkulacijskog sustava čiji udio iznosi 40,99% u 2019. godini. Najmanje su zastupljene bolesti probavnog sustava, u 2019. 5,68%. </w:t>
      </w:r>
      <w:r>
        <w:t>K</w:t>
      </w:r>
      <w:r w:rsidRPr="006B2A71">
        <w:t xml:space="preserve">rajem 2019. </w:t>
      </w:r>
      <w:r>
        <w:t>pojavio se v</w:t>
      </w:r>
      <w:r w:rsidRPr="006B2A71">
        <w:t xml:space="preserve">irus SARS-CoV-2 </w:t>
      </w:r>
      <w:r>
        <w:t>koji se</w:t>
      </w:r>
      <w:r w:rsidRPr="006B2A71">
        <w:t xml:space="preserve"> u kratkom roku proširio </w:t>
      </w:r>
      <w:r>
        <w:t>u cijelom svijetu, a b</w:t>
      </w:r>
      <w:r w:rsidRPr="006B2A71">
        <w:t xml:space="preserve">olest uzrokovana virusom, COVID-19, ubrzo je poprimila pandemijske razmjere. </w:t>
      </w:r>
      <w:r>
        <w:t xml:space="preserve">U ožujku 2020. godine proglašena je epidemija bolesti COVID-19 te su uvedene epidemiološke mjere s ciljem sprječavanja širenja bolesti. Uz mjere ograničavanja kretanja i samoizolaciju zaraženih osoba, započelo se s ubrzanim razvojem cjepiva, a prve doze isporučene su </w:t>
      </w:r>
      <w:r w:rsidRPr="007062B0">
        <w:t>krajem 2020. godine. Cijepljenje prioritetnih skupina</w:t>
      </w:r>
      <w:r w:rsidRPr="007062B0">
        <w:rPr>
          <w:rFonts w:eastAsia="ArialNarrow" w:cstheme="minorHAnsi"/>
          <w:color w:val="auto"/>
        </w:rPr>
        <w:t xml:space="preserve"> </w:t>
      </w:r>
      <w:r w:rsidRPr="007062B0">
        <w:t>(zdravstveni djelatnici i korisnici domova za starije i nemoćne osobe) započelo je po primitku cjepiva u prosincu 2020. te je nastavljeno i početkom 2021. godine. Uz osiguranje novih doza cjepiva i dobru epidemiološku situaciju Krapinsko-zagorske županije, cijepljenje će se osigurati i za kronično bolesne osobe te osobe starije od 65 godina, a potom i opću populaciju.</w:t>
      </w:r>
      <w:r>
        <w:t xml:space="preserve"> </w:t>
      </w:r>
    </w:p>
    <w:p w14:paraId="5AD3F923" w14:textId="77777777" w:rsidR="002C2A74" w:rsidRPr="00B97DA9" w:rsidRDefault="002C2A74" w:rsidP="002C2A74">
      <w:pPr>
        <w:shd w:val="clear" w:color="auto" w:fill="E5E5E5" w:themeFill="text1" w:themeFillTint="33"/>
      </w:pPr>
      <w:r w:rsidRPr="00B97DA9">
        <w:t>U Krapinsko-zagorskoj županiji, kao i u cijeloj Hrvatskoj, potrebe za palijativnom skrbi su u porastu. Razlog tome je sve veći udio starijeg stanovništva, a s time u korelaciji je i sve veća prevalencija kroničnih nezaraznih bolesti (prije svega malignih i cerebrovaskularnih). Često su potrebe za palijativnom skrbi i veće od procijenjenih</w:t>
      </w:r>
      <w:r>
        <w:t>.</w:t>
      </w:r>
      <w:r w:rsidRPr="00B97DA9">
        <w:t xml:space="preserve"> Osnova za procjenu potreba u palijativnoj skrbi su podaci o uzrocima smrti na području Županije Prema popisu stanovništva iz 2011. godine Krapinsko-zagorska županija ima 132.892 stanovnika, od toga je 17,6 % stanovnika starije od 65 godina</w:t>
      </w:r>
      <w:r>
        <w:t xml:space="preserve">. </w:t>
      </w:r>
      <w:r w:rsidRPr="00B97DA9">
        <w:t>Sustav palijativne skrbi u Krapinsko-zagorskoj županiji trenutno čine: 1. Projektni tim za razvoj palijativne skrbi Krapinsko-zagorske županije 2. Centar za razvoj palijativne skrbi Krapinsko-zagorske županije - koordinator 3. Mobilni palijativni tim 4. Palijativni bolnički kreveti, dnevna bolnica 5. Komunikacijski put za provođenje palijativne skrbi (smjernice postupanja) 6. Posudionice pomagala. Potrebno je uspostaviti ili dodatno uz postojeći sustav razviti i: 1. bolničku palijativnu skrb, 2. stacionar odnosno hospicij za palijativne pacijente i 3. volonterstvo u području palijativne skrbi.</w:t>
      </w:r>
    </w:p>
    <w:p w14:paraId="3D3D9B02" w14:textId="5FFFAA7F" w:rsidR="00801E52" w:rsidRDefault="00801E52">
      <w:pPr>
        <w:jc w:val="left"/>
        <w:rPr>
          <w:rFonts w:eastAsia="ArialNarrow" w:cstheme="minorHAnsi"/>
        </w:rPr>
      </w:pPr>
      <w:r>
        <w:rPr>
          <w:rFonts w:eastAsia="ArialNarrow" w:cstheme="minorHAnsi"/>
        </w:rPr>
        <w:br w:type="page"/>
      </w:r>
    </w:p>
    <w:p w14:paraId="6D023B9D" w14:textId="6E9EAA6E" w:rsidR="006D6136" w:rsidRPr="006D6136" w:rsidRDefault="006D6136" w:rsidP="006D6136">
      <w:pPr>
        <w:pStyle w:val="Naslov1"/>
        <w:rPr>
          <w:rStyle w:val="NASLOV"/>
        </w:rPr>
      </w:pPr>
      <w:bookmarkStart w:id="102" w:name="_Toc85181303"/>
      <w:r w:rsidRPr="007D4B63">
        <w:rPr>
          <w:rStyle w:val="NASLOV"/>
        </w:rPr>
        <w:lastRenderedPageBreak/>
        <w:t>DRUŠTVENA</w:t>
      </w:r>
      <w:r>
        <w:rPr>
          <w:rStyle w:val="NASLOV"/>
        </w:rPr>
        <w:t xml:space="preserve"> </w:t>
      </w:r>
      <w:r w:rsidRPr="007D4B63">
        <w:rPr>
          <w:rStyle w:val="NASLOV"/>
        </w:rPr>
        <w:t>INFRASTRUKTURA</w:t>
      </w:r>
      <w:bookmarkEnd w:id="102"/>
    </w:p>
    <w:p w14:paraId="1734BDE7" w14:textId="642D8C7C" w:rsidR="008878A0" w:rsidRDefault="006D6136" w:rsidP="0052192B">
      <w:pPr>
        <w:pStyle w:val="Naslov2"/>
        <w:rPr>
          <w:szCs w:val="26"/>
        </w:rPr>
      </w:pPr>
      <w:bookmarkStart w:id="103" w:name="_Toc85181304"/>
      <w:r>
        <w:t>7</w:t>
      </w:r>
      <w:r w:rsidR="008878A0">
        <w:t>.</w:t>
      </w:r>
      <w:r>
        <w:t>1</w:t>
      </w:r>
      <w:r w:rsidR="008878A0">
        <w:t>. Društvena infrastruktura</w:t>
      </w:r>
      <w:bookmarkEnd w:id="103"/>
    </w:p>
    <w:p w14:paraId="5D65FEAA" w14:textId="77777777" w:rsidR="008878A0" w:rsidRDefault="008878A0" w:rsidP="00941871">
      <w:pPr>
        <w:autoSpaceDE w:val="0"/>
        <w:autoSpaceDN w:val="0"/>
        <w:adjustRightInd w:val="0"/>
        <w:spacing w:after="0" w:line="240" w:lineRule="auto"/>
        <w:rPr>
          <w:rFonts w:eastAsia="ArialNarrow" w:cstheme="minorHAnsi"/>
        </w:rPr>
      </w:pPr>
    </w:p>
    <w:p w14:paraId="3D958514" w14:textId="77777777" w:rsidR="0024292A" w:rsidRDefault="00824C54" w:rsidP="00701AC1">
      <w:pPr>
        <w:rPr>
          <w:rFonts w:eastAsia="ArialNarrow" w:cstheme="minorHAnsi"/>
        </w:rPr>
      </w:pPr>
      <w:r>
        <w:rPr>
          <w:rFonts w:eastAsia="ArialNarrow" w:cstheme="minorHAnsi"/>
        </w:rPr>
        <w:t xml:space="preserve">Društvena </w:t>
      </w:r>
      <w:r w:rsidR="008878A0">
        <w:rPr>
          <w:rFonts w:eastAsia="ArialNarrow" w:cstheme="minorHAnsi"/>
        </w:rPr>
        <w:t>infrastruktur</w:t>
      </w:r>
      <w:r>
        <w:rPr>
          <w:rFonts w:eastAsia="ArialNarrow" w:cstheme="minorHAnsi"/>
        </w:rPr>
        <w:t>a</w:t>
      </w:r>
      <w:r w:rsidR="008878A0">
        <w:rPr>
          <w:rFonts w:eastAsia="ArialNarrow" w:cstheme="minorHAnsi"/>
        </w:rPr>
        <w:t xml:space="preserve"> u području kulture i umjetnosti prikazana je u narednom dijelu stanj</w:t>
      </w:r>
      <w:r>
        <w:rPr>
          <w:rFonts w:eastAsia="ArialNarrow" w:cstheme="minorHAnsi"/>
        </w:rPr>
        <w:t>em i razmještajem</w:t>
      </w:r>
      <w:r w:rsidR="008878A0">
        <w:rPr>
          <w:rFonts w:eastAsia="ArialNarrow" w:cstheme="minorHAnsi"/>
        </w:rPr>
        <w:t xml:space="preserve"> kazališta, kina, radio postaja, kinematografa, odašiljača i knjižnica. </w:t>
      </w:r>
      <w:r w:rsidR="00860E6C">
        <w:rPr>
          <w:rFonts w:eastAsia="ArialNarrow" w:cstheme="minorHAnsi"/>
        </w:rPr>
        <w:t>P</w:t>
      </w:r>
      <w:r w:rsidR="008878A0">
        <w:rPr>
          <w:rFonts w:eastAsia="ArialNarrow" w:cstheme="minorHAnsi"/>
        </w:rPr>
        <w:t xml:space="preserve">redstavljen je </w:t>
      </w:r>
      <w:r w:rsidR="00860E6C">
        <w:rPr>
          <w:rFonts w:eastAsia="ArialNarrow" w:cstheme="minorHAnsi"/>
        </w:rPr>
        <w:t xml:space="preserve">i </w:t>
      </w:r>
      <w:r w:rsidR="008878A0">
        <w:rPr>
          <w:rFonts w:eastAsia="ArialNarrow" w:cstheme="minorHAnsi"/>
        </w:rPr>
        <w:t>broj orkestara, ansamb</w:t>
      </w:r>
      <w:r>
        <w:rPr>
          <w:rFonts w:eastAsia="ArialNarrow" w:cstheme="minorHAnsi"/>
        </w:rPr>
        <w:t>ala</w:t>
      </w:r>
      <w:r w:rsidR="008878A0">
        <w:rPr>
          <w:rFonts w:eastAsia="ArialNarrow" w:cstheme="minorHAnsi"/>
        </w:rPr>
        <w:t>, zborova</w:t>
      </w:r>
      <w:r>
        <w:rPr>
          <w:rFonts w:eastAsia="ArialNarrow" w:cstheme="minorHAnsi"/>
        </w:rPr>
        <w:t xml:space="preserve"> te</w:t>
      </w:r>
      <w:r w:rsidR="008878A0">
        <w:rPr>
          <w:rFonts w:eastAsia="ArialNarrow" w:cstheme="minorHAnsi"/>
        </w:rPr>
        <w:t xml:space="preserve"> radijskih i TV pretplatnika ka</w:t>
      </w:r>
      <w:r w:rsidR="00A06C9A">
        <w:rPr>
          <w:rFonts w:eastAsia="ArialNarrow" w:cstheme="minorHAnsi"/>
        </w:rPr>
        <w:t>k</w:t>
      </w:r>
      <w:r w:rsidR="008878A0">
        <w:rPr>
          <w:rFonts w:eastAsia="ArialNarrow" w:cstheme="minorHAnsi"/>
        </w:rPr>
        <w:t xml:space="preserve">o bi se upotpunila slika o korištenju te infrastrukture. </w:t>
      </w:r>
    </w:p>
    <w:p w14:paraId="2CE79EFE" w14:textId="227B6632" w:rsidR="008878A0" w:rsidRDefault="008878A0" w:rsidP="00701AC1">
      <w:pPr>
        <w:rPr>
          <w:rFonts w:eastAsia="ArialNarrow" w:cstheme="minorHAnsi"/>
        </w:rPr>
      </w:pPr>
      <w:r>
        <w:rPr>
          <w:rFonts w:eastAsia="ArialNarrow" w:cstheme="minorHAnsi"/>
        </w:rPr>
        <w:t xml:space="preserve">U Krapinsko-zagorskoj županiji u periodu od 2014. </w:t>
      </w:r>
      <w:r w:rsidR="00A833E9">
        <w:rPr>
          <w:rFonts w:eastAsia="ArialNarrow" w:cstheme="minorHAnsi"/>
        </w:rPr>
        <w:t>-</w:t>
      </w:r>
      <w:r>
        <w:rPr>
          <w:rFonts w:eastAsia="ArialNarrow" w:cstheme="minorHAnsi"/>
        </w:rPr>
        <w:t xml:space="preserve"> 201</w:t>
      </w:r>
      <w:r w:rsidR="001C6928">
        <w:rPr>
          <w:rFonts w:eastAsia="ArialNarrow" w:cstheme="minorHAnsi"/>
        </w:rPr>
        <w:t>8</w:t>
      </w:r>
      <w:r>
        <w:rPr>
          <w:rFonts w:eastAsia="ArialNarrow" w:cstheme="minorHAnsi"/>
        </w:rPr>
        <w:t xml:space="preserve">. </w:t>
      </w:r>
      <w:r w:rsidR="00A06C9A">
        <w:rPr>
          <w:rFonts w:eastAsia="ArialNarrow" w:cstheme="minorHAnsi"/>
        </w:rPr>
        <w:t>g</w:t>
      </w:r>
      <w:r>
        <w:rPr>
          <w:rFonts w:eastAsia="ArialNarrow" w:cstheme="minorHAnsi"/>
        </w:rPr>
        <w:t>odine</w:t>
      </w:r>
      <w:r w:rsidR="00860E6C">
        <w:rPr>
          <w:rFonts w:eastAsia="ArialNarrow" w:cstheme="minorHAnsi"/>
        </w:rPr>
        <w:t xml:space="preserve"> djelovala su 2 kazališta</w:t>
      </w:r>
      <w:r>
        <w:rPr>
          <w:rFonts w:eastAsia="ArialNarrow" w:cstheme="minorHAnsi"/>
        </w:rPr>
        <w:t xml:space="preserve">. Na području </w:t>
      </w:r>
      <w:r w:rsidR="00C7437E">
        <w:rPr>
          <w:rFonts w:eastAsia="ArialNarrow" w:cstheme="minorHAnsi"/>
        </w:rPr>
        <w:t>Sjevern</w:t>
      </w:r>
      <w:r w:rsidR="00493DE3">
        <w:rPr>
          <w:rFonts w:eastAsia="ArialNarrow" w:cstheme="minorHAnsi"/>
        </w:rPr>
        <w:t>e</w:t>
      </w:r>
      <w:r>
        <w:rPr>
          <w:rFonts w:eastAsia="ArialNarrow" w:cstheme="minorHAnsi"/>
        </w:rPr>
        <w:t xml:space="preserve"> Hrvatske </w:t>
      </w:r>
      <w:r w:rsidR="00860E6C">
        <w:rPr>
          <w:rFonts w:eastAsia="ArialNarrow" w:cstheme="minorHAnsi"/>
        </w:rPr>
        <w:t xml:space="preserve">taj </w:t>
      </w:r>
      <w:r w:rsidR="00A833E9">
        <w:rPr>
          <w:rFonts w:eastAsia="ArialNarrow" w:cstheme="minorHAnsi"/>
        </w:rPr>
        <w:t xml:space="preserve">se </w:t>
      </w:r>
      <w:r>
        <w:rPr>
          <w:rFonts w:eastAsia="ArialNarrow" w:cstheme="minorHAnsi"/>
        </w:rPr>
        <w:t>broj</w:t>
      </w:r>
      <w:r w:rsidR="00860E6C">
        <w:rPr>
          <w:rFonts w:eastAsia="ArialNarrow" w:cstheme="minorHAnsi"/>
        </w:rPr>
        <w:t xml:space="preserve"> </w:t>
      </w:r>
      <w:r>
        <w:rPr>
          <w:rFonts w:eastAsia="ArialNarrow" w:cstheme="minorHAnsi"/>
        </w:rPr>
        <w:t>k</w:t>
      </w:r>
      <w:r w:rsidR="00493DE3">
        <w:rPr>
          <w:rFonts w:eastAsia="ArialNarrow" w:cstheme="minorHAnsi"/>
        </w:rPr>
        <w:t>retao između 24 u 2014. godini i 27. u 2</w:t>
      </w:r>
      <w:r w:rsidR="001C6928">
        <w:rPr>
          <w:rFonts w:eastAsia="ArialNarrow" w:cstheme="minorHAnsi"/>
        </w:rPr>
        <w:t>018</w:t>
      </w:r>
      <w:r w:rsidR="00493DE3">
        <w:rPr>
          <w:rFonts w:eastAsia="ArialNarrow" w:cstheme="minorHAnsi"/>
        </w:rPr>
        <w:t xml:space="preserve">. godini </w:t>
      </w:r>
      <w:r>
        <w:rPr>
          <w:rFonts w:eastAsia="ArialNarrow" w:cstheme="minorHAnsi"/>
        </w:rPr>
        <w:t xml:space="preserve">dok je </w:t>
      </w:r>
      <w:r w:rsidR="00860E6C">
        <w:rPr>
          <w:rFonts w:eastAsia="ArialNarrow" w:cstheme="minorHAnsi"/>
        </w:rPr>
        <w:t xml:space="preserve">u </w:t>
      </w:r>
      <w:r>
        <w:rPr>
          <w:rFonts w:eastAsia="ArialNarrow" w:cstheme="minorHAnsi"/>
        </w:rPr>
        <w:t>Republi</w:t>
      </w:r>
      <w:r w:rsidR="00860E6C">
        <w:rPr>
          <w:rFonts w:eastAsia="ArialNarrow" w:cstheme="minorHAnsi"/>
        </w:rPr>
        <w:t>ci</w:t>
      </w:r>
      <w:r>
        <w:rPr>
          <w:rFonts w:eastAsia="ArialNarrow" w:cstheme="minorHAnsi"/>
        </w:rPr>
        <w:t xml:space="preserve"> Hrvatsk</w:t>
      </w:r>
      <w:r w:rsidR="00860E6C">
        <w:rPr>
          <w:rFonts w:eastAsia="ArialNarrow" w:cstheme="minorHAnsi"/>
        </w:rPr>
        <w:t>oj</w:t>
      </w:r>
      <w:r>
        <w:rPr>
          <w:rFonts w:eastAsia="ArialNarrow" w:cstheme="minorHAnsi"/>
        </w:rPr>
        <w:t xml:space="preserve"> p</w:t>
      </w:r>
      <w:r w:rsidR="001C6928">
        <w:rPr>
          <w:rFonts w:eastAsia="ArialNarrow" w:cstheme="minorHAnsi"/>
        </w:rPr>
        <w:t>ao</w:t>
      </w:r>
      <w:r>
        <w:rPr>
          <w:rFonts w:eastAsia="ArialNarrow" w:cstheme="minorHAnsi"/>
        </w:rPr>
        <w:t xml:space="preserve"> sa 18</w:t>
      </w:r>
      <w:r w:rsidR="001C6928">
        <w:rPr>
          <w:rFonts w:eastAsia="ArialNarrow" w:cstheme="minorHAnsi"/>
        </w:rPr>
        <w:t>6</w:t>
      </w:r>
      <w:r>
        <w:rPr>
          <w:rFonts w:eastAsia="ArialNarrow" w:cstheme="minorHAnsi"/>
        </w:rPr>
        <w:t xml:space="preserve"> na 1</w:t>
      </w:r>
      <w:r w:rsidR="001C6928">
        <w:rPr>
          <w:rFonts w:eastAsia="ArialNarrow" w:cstheme="minorHAnsi"/>
        </w:rPr>
        <w:t>76</w:t>
      </w:r>
      <w:r>
        <w:rPr>
          <w:rFonts w:eastAsia="ArialNarrow" w:cstheme="minorHAnsi"/>
        </w:rPr>
        <w:t xml:space="preserve"> kazališta. U Hrvatskoj djeluje samo jedan Zbor (Lado) dok broj orkestara i ansamba</w:t>
      </w:r>
      <w:r w:rsidR="00824C54">
        <w:rPr>
          <w:rFonts w:eastAsia="ArialNarrow" w:cstheme="minorHAnsi"/>
        </w:rPr>
        <w:t>la</w:t>
      </w:r>
      <w:r>
        <w:rPr>
          <w:rFonts w:eastAsia="ArialNarrow" w:cstheme="minorHAnsi"/>
        </w:rPr>
        <w:t xml:space="preserve"> bilježi smanjenje </w:t>
      </w:r>
      <w:r w:rsidR="00493DE3">
        <w:rPr>
          <w:rFonts w:eastAsia="ArialNarrow" w:cstheme="minorHAnsi"/>
        </w:rPr>
        <w:t xml:space="preserve">s 48 na </w:t>
      </w:r>
      <w:r w:rsidR="001C6928">
        <w:rPr>
          <w:rFonts w:eastAsia="ArialNarrow" w:cstheme="minorHAnsi"/>
        </w:rPr>
        <w:t>41</w:t>
      </w:r>
      <w:r w:rsidR="00860E6C">
        <w:rPr>
          <w:rFonts w:eastAsia="ArialNarrow" w:cstheme="minorHAnsi"/>
        </w:rPr>
        <w:t>.</w:t>
      </w:r>
      <w:r w:rsidR="00493DE3">
        <w:rPr>
          <w:rFonts w:eastAsia="ArialNarrow" w:cstheme="minorHAnsi"/>
        </w:rPr>
        <w:t xml:space="preserve"> </w:t>
      </w:r>
      <w:r>
        <w:rPr>
          <w:rFonts w:eastAsia="ArialNarrow" w:cstheme="minorHAnsi"/>
        </w:rPr>
        <w:t>Najveća koncentracija kazališta je na području grada Zagreba što je i očekivano</w:t>
      </w:r>
      <w:r w:rsidR="00493DE3">
        <w:rPr>
          <w:rFonts w:eastAsia="ArialNarrow" w:cstheme="minorHAnsi"/>
        </w:rPr>
        <w:t>.</w:t>
      </w:r>
    </w:p>
    <w:p w14:paraId="757DD150" w14:textId="77777777" w:rsidR="0098661B" w:rsidRDefault="0098661B" w:rsidP="00941871">
      <w:pPr>
        <w:autoSpaceDE w:val="0"/>
        <w:autoSpaceDN w:val="0"/>
        <w:adjustRightInd w:val="0"/>
        <w:spacing w:after="0" w:line="240" w:lineRule="auto"/>
        <w:rPr>
          <w:rFonts w:eastAsia="ArialNarrow" w:cstheme="minorHAnsi"/>
        </w:rPr>
      </w:pPr>
    </w:p>
    <w:p w14:paraId="2E06E322" w14:textId="1B7FD997" w:rsidR="008878A0" w:rsidRDefault="008878A0" w:rsidP="003E3F3C">
      <w:pPr>
        <w:pStyle w:val="Opisslike"/>
      </w:pPr>
      <w:r>
        <w:t xml:space="preserve">Tablica </w:t>
      </w:r>
      <w:r w:rsidR="0018019C" w:rsidRPr="00D51238">
        <w:rPr>
          <w:noProof/>
        </w:rPr>
        <w:t>4</w:t>
      </w:r>
      <w:r w:rsidR="00D51238" w:rsidRPr="00D51238">
        <w:rPr>
          <w:noProof/>
        </w:rPr>
        <w:t>2</w:t>
      </w:r>
      <w:r w:rsidR="0026418E" w:rsidRPr="00D51238">
        <w:rPr>
          <w:noProof/>
        </w:rPr>
        <w:t>.</w:t>
      </w:r>
      <w:r>
        <w:t xml:space="preserve"> Kazališta, orkestri ansambli i zborovi, </w:t>
      </w:r>
      <w:r w:rsidR="00EE3FEB">
        <w:t xml:space="preserve">Krapinsko-zagorska županija, </w:t>
      </w:r>
      <w:r w:rsidR="00C7437E">
        <w:t>Sjevern</w:t>
      </w:r>
      <w:r w:rsidR="00183351">
        <w:t>a</w:t>
      </w:r>
      <w:r>
        <w:t xml:space="preserve"> Hrvatska i </w:t>
      </w:r>
      <w:r w:rsidR="00EE3FEB">
        <w:t xml:space="preserve">Republika Hrvatska </w:t>
      </w:r>
      <w:r>
        <w:t xml:space="preserve">2014. </w:t>
      </w:r>
      <w:r w:rsidR="00223A66">
        <w:t>-</w:t>
      </w:r>
      <w:r>
        <w:t xml:space="preserve"> 201</w:t>
      </w:r>
      <w:r w:rsidR="001C6928">
        <w:t>8</w:t>
      </w:r>
      <w:r>
        <w:t>.</w:t>
      </w:r>
    </w:p>
    <w:tbl>
      <w:tblPr>
        <w:tblW w:w="0" w:type="auto"/>
        <w:tblBorders>
          <w:insideH w:val="single" w:sz="8" w:space="0" w:color="F3CFC1"/>
        </w:tblBorders>
        <w:tblLayout w:type="fixed"/>
        <w:tblLook w:val="04A0" w:firstRow="1" w:lastRow="0" w:firstColumn="1" w:lastColumn="0" w:noHBand="0" w:noVBand="1"/>
      </w:tblPr>
      <w:tblGrid>
        <w:gridCol w:w="988"/>
        <w:gridCol w:w="992"/>
        <w:gridCol w:w="1051"/>
        <w:gridCol w:w="650"/>
        <w:gridCol w:w="992"/>
        <w:gridCol w:w="992"/>
        <w:gridCol w:w="709"/>
        <w:gridCol w:w="992"/>
        <w:gridCol w:w="993"/>
        <w:gridCol w:w="703"/>
      </w:tblGrid>
      <w:tr w:rsidR="008878A0" w:rsidRPr="00FA42E2" w14:paraId="5C9D1717" w14:textId="77777777" w:rsidTr="008658ED">
        <w:trPr>
          <w:trHeight w:val="300"/>
          <w:tblHeader/>
        </w:trPr>
        <w:tc>
          <w:tcPr>
            <w:tcW w:w="988" w:type="dxa"/>
            <w:vMerge w:val="restart"/>
            <w:tcBorders>
              <w:top w:val="nil"/>
              <w:right w:val="single" w:sz="4" w:space="0" w:color="FFFFFF"/>
            </w:tcBorders>
            <w:shd w:val="clear" w:color="auto" w:fill="D2232A"/>
            <w:vAlign w:val="center"/>
            <w:hideMark/>
          </w:tcPr>
          <w:p w14:paraId="2D11D62D" w14:textId="4F210F24" w:rsidR="008878A0" w:rsidRPr="00FA42E2" w:rsidRDefault="008878A0" w:rsidP="00941871">
            <w:pPr>
              <w:spacing w:after="0" w:line="240" w:lineRule="auto"/>
              <w:rPr>
                <w:rFonts w:eastAsia="Times New Roman" w:cstheme="minorHAnsi"/>
                <w:color w:val="FFFFFF"/>
                <w:szCs w:val="18"/>
                <w:lang w:eastAsia="hr-HR"/>
              </w:rPr>
            </w:pPr>
          </w:p>
        </w:tc>
        <w:tc>
          <w:tcPr>
            <w:tcW w:w="2693" w:type="dxa"/>
            <w:gridSpan w:val="3"/>
            <w:tcBorders>
              <w:top w:val="nil"/>
              <w:left w:val="single" w:sz="4" w:space="0" w:color="FFFFFF"/>
            </w:tcBorders>
            <w:shd w:val="clear" w:color="auto" w:fill="D2232A"/>
            <w:noWrap/>
            <w:vAlign w:val="center"/>
            <w:hideMark/>
          </w:tcPr>
          <w:p w14:paraId="205254EA" w14:textId="330E5E3B" w:rsidR="008878A0" w:rsidRPr="00FA42E2" w:rsidRDefault="00463866" w:rsidP="000F3983">
            <w:pPr>
              <w:spacing w:after="0" w:line="240" w:lineRule="auto"/>
              <w:jc w:val="center"/>
              <w:rPr>
                <w:rFonts w:eastAsia="Times New Roman" w:cstheme="minorHAnsi"/>
                <w:color w:val="FFFFFF"/>
                <w:szCs w:val="18"/>
                <w:lang w:eastAsia="hr-HR"/>
              </w:rPr>
            </w:pPr>
            <w:r w:rsidRPr="00FA42E2">
              <w:rPr>
                <w:rFonts w:eastAsia="Times New Roman" w:cstheme="minorHAnsi"/>
                <w:color w:val="FFFFFF"/>
                <w:szCs w:val="18"/>
                <w:lang w:eastAsia="hr-HR"/>
              </w:rPr>
              <w:t>KRAPINSKO-ZAGORSKA ŽUPANIJA</w:t>
            </w:r>
          </w:p>
        </w:tc>
        <w:tc>
          <w:tcPr>
            <w:tcW w:w="2693" w:type="dxa"/>
            <w:gridSpan w:val="3"/>
            <w:tcBorders>
              <w:top w:val="nil"/>
              <w:bottom w:val="single" w:sz="4" w:space="0" w:color="FFFFFF"/>
              <w:right w:val="single" w:sz="8" w:space="0" w:color="D2232A"/>
            </w:tcBorders>
            <w:shd w:val="clear" w:color="auto" w:fill="E5E5E5" w:themeFill="text1" w:themeFillTint="33"/>
            <w:noWrap/>
            <w:vAlign w:val="center"/>
            <w:hideMark/>
          </w:tcPr>
          <w:p w14:paraId="11906350" w14:textId="1C56A609" w:rsidR="008878A0" w:rsidRPr="00FA42E2" w:rsidRDefault="00C7437E" w:rsidP="000F3983">
            <w:pPr>
              <w:spacing w:after="0" w:line="240" w:lineRule="auto"/>
              <w:jc w:val="center"/>
              <w:rPr>
                <w:rFonts w:eastAsia="Times New Roman" w:cstheme="minorHAnsi"/>
                <w:szCs w:val="18"/>
                <w:lang w:eastAsia="hr-HR"/>
              </w:rPr>
            </w:pPr>
            <w:r>
              <w:rPr>
                <w:rFonts w:eastAsia="Times New Roman" w:cstheme="minorHAnsi"/>
                <w:szCs w:val="18"/>
                <w:lang w:eastAsia="hr-HR"/>
              </w:rPr>
              <w:t>SJEVERN</w:t>
            </w:r>
            <w:r w:rsidR="00463866" w:rsidRPr="00FA42E2">
              <w:rPr>
                <w:rFonts w:eastAsia="Times New Roman" w:cstheme="minorHAnsi"/>
                <w:szCs w:val="18"/>
                <w:lang w:eastAsia="hr-HR"/>
              </w:rPr>
              <w:t>A HRVATSKA</w:t>
            </w:r>
          </w:p>
        </w:tc>
        <w:tc>
          <w:tcPr>
            <w:tcW w:w="2688" w:type="dxa"/>
            <w:gridSpan w:val="3"/>
            <w:tcBorders>
              <w:top w:val="nil"/>
              <w:left w:val="single" w:sz="8" w:space="0" w:color="D2232A"/>
              <w:bottom w:val="single" w:sz="8" w:space="0" w:color="FFFFFF" w:themeColor="background1"/>
              <w:right w:val="single" w:sz="8" w:space="0" w:color="D2232A"/>
            </w:tcBorders>
            <w:shd w:val="clear" w:color="auto" w:fill="E5E5E5" w:themeFill="text1" w:themeFillTint="33"/>
            <w:noWrap/>
            <w:vAlign w:val="center"/>
            <w:hideMark/>
          </w:tcPr>
          <w:p w14:paraId="6B3EA06B" w14:textId="142E7C09" w:rsidR="008878A0" w:rsidRPr="00FA42E2" w:rsidRDefault="00463866" w:rsidP="000F3983">
            <w:pPr>
              <w:spacing w:after="0" w:line="240" w:lineRule="auto"/>
              <w:jc w:val="center"/>
              <w:rPr>
                <w:rFonts w:eastAsia="Times New Roman" w:cstheme="minorHAnsi"/>
                <w:szCs w:val="18"/>
                <w:lang w:eastAsia="hr-HR"/>
              </w:rPr>
            </w:pPr>
            <w:r w:rsidRPr="00FA42E2">
              <w:rPr>
                <w:rFonts w:eastAsia="Times New Roman" w:cstheme="minorHAnsi"/>
                <w:szCs w:val="18"/>
                <w:lang w:eastAsia="hr-HR"/>
              </w:rPr>
              <w:t>REPUBLIKA HRVATSKA</w:t>
            </w:r>
          </w:p>
        </w:tc>
      </w:tr>
      <w:tr w:rsidR="008878A0" w:rsidRPr="00FA42E2" w14:paraId="45005550" w14:textId="77777777" w:rsidTr="008658ED">
        <w:trPr>
          <w:trHeight w:val="300"/>
          <w:tblHeader/>
        </w:trPr>
        <w:tc>
          <w:tcPr>
            <w:tcW w:w="988" w:type="dxa"/>
            <w:vMerge/>
            <w:tcBorders>
              <w:right w:val="single" w:sz="4" w:space="0" w:color="FFFFFF"/>
            </w:tcBorders>
            <w:shd w:val="clear" w:color="auto" w:fill="D2232A"/>
            <w:vAlign w:val="center"/>
            <w:hideMark/>
          </w:tcPr>
          <w:p w14:paraId="118BAEB1" w14:textId="77777777" w:rsidR="008878A0" w:rsidRPr="00FA42E2" w:rsidRDefault="008878A0" w:rsidP="00941871">
            <w:pPr>
              <w:spacing w:after="0"/>
              <w:rPr>
                <w:rFonts w:eastAsia="Times New Roman" w:cstheme="minorHAnsi"/>
                <w:color w:val="FFFFFF"/>
                <w:szCs w:val="18"/>
                <w:lang w:eastAsia="hr-HR"/>
              </w:rPr>
            </w:pPr>
          </w:p>
        </w:tc>
        <w:tc>
          <w:tcPr>
            <w:tcW w:w="992" w:type="dxa"/>
            <w:tcBorders>
              <w:left w:val="single" w:sz="4" w:space="0" w:color="FFFFFF"/>
            </w:tcBorders>
            <w:shd w:val="clear" w:color="auto" w:fill="D2232A"/>
            <w:noWrap/>
            <w:vAlign w:val="center"/>
            <w:hideMark/>
          </w:tcPr>
          <w:p w14:paraId="36B96DE7" w14:textId="77777777" w:rsidR="008878A0" w:rsidRPr="00FA42E2" w:rsidRDefault="008878A0" w:rsidP="009C4BF3">
            <w:pPr>
              <w:spacing w:after="0" w:line="240" w:lineRule="auto"/>
              <w:jc w:val="center"/>
              <w:rPr>
                <w:rFonts w:eastAsia="Times New Roman" w:cstheme="minorHAnsi"/>
                <w:color w:val="FFFFFF"/>
                <w:szCs w:val="18"/>
                <w:lang w:eastAsia="hr-HR"/>
              </w:rPr>
            </w:pPr>
            <w:r w:rsidRPr="00FA42E2">
              <w:rPr>
                <w:rFonts w:eastAsia="Times New Roman" w:cstheme="minorHAnsi"/>
                <w:color w:val="FFFFFF"/>
                <w:szCs w:val="18"/>
                <w:lang w:eastAsia="hr-HR"/>
              </w:rPr>
              <w:t>Kazališta</w:t>
            </w:r>
          </w:p>
        </w:tc>
        <w:tc>
          <w:tcPr>
            <w:tcW w:w="1051" w:type="dxa"/>
            <w:shd w:val="clear" w:color="auto" w:fill="D2232A"/>
            <w:noWrap/>
            <w:vAlign w:val="center"/>
            <w:hideMark/>
          </w:tcPr>
          <w:p w14:paraId="02BA1A34" w14:textId="77777777" w:rsidR="008878A0" w:rsidRPr="00FA42E2" w:rsidRDefault="008878A0" w:rsidP="009C4BF3">
            <w:pPr>
              <w:spacing w:after="0" w:line="240" w:lineRule="auto"/>
              <w:jc w:val="center"/>
              <w:rPr>
                <w:rFonts w:eastAsia="Times New Roman" w:cstheme="minorHAnsi"/>
                <w:color w:val="FFFFFF"/>
                <w:szCs w:val="18"/>
                <w:lang w:eastAsia="hr-HR"/>
              </w:rPr>
            </w:pPr>
            <w:r w:rsidRPr="00FA42E2">
              <w:rPr>
                <w:rFonts w:eastAsia="Times New Roman" w:cstheme="minorHAnsi"/>
                <w:color w:val="FFFFFF"/>
                <w:szCs w:val="18"/>
                <w:lang w:eastAsia="hr-HR"/>
              </w:rPr>
              <w:t>Orkestri i ansambli</w:t>
            </w:r>
          </w:p>
        </w:tc>
        <w:tc>
          <w:tcPr>
            <w:tcW w:w="650" w:type="dxa"/>
            <w:tcBorders>
              <w:top w:val="single" w:sz="8" w:space="0" w:color="F3CFC1"/>
            </w:tcBorders>
            <w:shd w:val="clear" w:color="auto" w:fill="D2232A"/>
            <w:noWrap/>
            <w:vAlign w:val="center"/>
            <w:hideMark/>
          </w:tcPr>
          <w:p w14:paraId="388BE3DB" w14:textId="77777777" w:rsidR="008878A0" w:rsidRPr="00FA42E2" w:rsidRDefault="008878A0" w:rsidP="009C4BF3">
            <w:pPr>
              <w:spacing w:after="0" w:line="240" w:lineRule="auto"/>
              <w:jc w:val="center"/>
              <w:rPr>
                <w:rFonts w:eastAsia="Times New Roman" w:cstheme="minorHAnsi"/>
                <w:color w:val="FFFFFF"/>
                <w:szCs w:val="18"/>
                <w:lang w:eastAsia="hr-HR"/>
              </w:rPr>
            </w:pPr>
            <w:r w:rsidRPr="00FA42E2">
              <w:rPr>
                <w:rFonts w:eastAsia="Times New Roman" w:cstheme="minorHAnsi"/>
                <w:color w:val="FFFFFF"/>
                <w:szCs w:val="18"/>
                <w:lang w:eastAsia="hr-HR"/>
              </w:rPr>
              <w:t>Zbor</w:t>
            </w:r>
          </w:p>
        </w:tc>
        <w:tc>
          <w:tcPr>
            <w:tcW w:w="992" w:type="dxa"/>
            <w:tcBorders>
              <w:top w:val="single" w:sz="8" w:space="0" w:color="FFFFFF" w:themeColor="background1"/>
            </w:tcBorders>
            <w:shd w:val="clear" w:color="auto" w:fill="E5E5E5" w:themeFill="text1" w:themeFillTint="33"/>
            <w:noWrap/>
            <w:vAlign w:val="center"/>
            <w:hideMark/>
          </w:tcPr>
          <w:p w14:paraId="69B10D6B" w14:textId="77777777" w:rsidR="008878A0" w:rsidRPr="00FA42E2" w:rsidRDefault="008878A0" w:rsidP="009C4BF3">
            <w:pPr>
              <w:spacing w:after="0" w:line="240" w:lineRule="auto"/>
              <w:jc w:val="center"/>
              <w:rPr>
                <w:rFonts w:eastAsia="Times New Roman" w:cstheme="minorHAnsi"/>
                <w:szCs w:val="18"/>
                <w:lang w:eastAsia="hr-HR"/>
              </w:rPr>
            </w:pPr>
            <w:r w:rsidRPr="00FA42E2">
              <w:rPr>
                <w:rFonts w:eastAsia="Times New Roman" w:cstheme="minorHAnsi"/>
                <w:szCs w:val="18"/>
                <w:lang w:eastAsia="hr-HR"/>
              </w:rPr>
              <w:t>Kazališta</w:t>
            </w:r>
          </w:p>
        </w:tc>
        <w:tc>
          <w:tcPr>
            <w:tcW w:w="992" w:type="dxa"/>
            <w:tcBorders>
              <w:top w:val="single" w:sz="8" w:space="0" w:color="FFFFFF" w:themeColor="background1"/>
            </w:tcBorders>
            <w:shd w:val="clear" w:color="auto" w:fill="E5E5E5" w:themeFill="text1" w:themeFillTint="33"/>
            <w:noWrap/>
            <w:vAlign w:val="center"/>
            <w:hideMark/>
          </w:tcPr>
          <w:p w14:paraId="485CAFF1" w14:textId="77777777" w:rsidR="008878A0" w:rsidRPr="00FA42E2" w:rsidRDefault="008878A0" w:rsidP="009C4BF3">
            <w:pPr>
              <w:spacing w:after="0" w:line="240" w:lineRule="auto"/>
              <w:jc w:val="center"/>
              <w:rPr>
                <w:rFonts w:eastAsia="Times New Roman" w:cstheme="minorHAnsi"/>
                <w:szCs w:val="18"/>
                <w:lang w:eastAsia="hr-HR"/>
              </w:rPr>
            </w:pPr>
            <w:r w:rsidRPr="00FA42E2">
              <w:rPr>
                <w:rFonts w:eastAsia="Times New Roman" w:cstheme="minorHAnsi"/>
                <w:szCs w:val="18"/>
                <w:lang w:eastAsia="hr-HR"/>
              </w:rPr>
              <w:t>Orkestri i ansambli</w:t>
            </w:r>
          </w:p>
        </w:tc>
        <w:tc>
          <w:tcPr>
            <w:tcW w:w="709" w:type="dxa"/>
            <w:tcBorders>
              <w:top w:val="single" w:sz="8" w:space="0" w:color="FFFFFF" w:themeColor="background1"/>
              <w:right w:val="single" w:sz="8" w:space="0" w:color="D2232A"/>
            </w:tcBorders>
            <w:shd w:val="clear" w:color="auto" w:fill="E5E5E5" w:themeFill="text1" w:themeFillTint="33"/>
            <w:noWrap/>
            <w:vAlign w:val="center"/>
            <w:hideMark/>
          </w:tcPr>
          <w:p w14:paraId="26D683DF" w14:textId="77777777" w:rsidR="008878A0" w:rsidRPr="00FA42E2" w:rsidRDefault="008878A0" w:rsidP="009C4BF3">
            <w:pPr>
              <w:spacing w:after="0" w:line="240" w:lineRule="auto"/>
              <w:jc w:val="center"/>
              <w:rPr>
                <w:rFonts w:eastAsia="Times New Roman" w:cstheme="minorHAnsi"/>
                <w:szCs w:val="18"/>
                <w:lang w:eastAsia="hr-HR"/>
              </w:rPr>
            </w:pPr>
            <w:r w:rsidRPr="00FA42E2">
              <w:rPr>
                <w:rFonts w:eastAsia="Times New Roman" w:cstheme="minorHAnsi"/>
                <w:szCs w:val="18"/>
                <w:lang w:eastAsia="hr-HR"/>
              </w:rPr>
              <w:t>Zbor</w:t>
            </w:r>
          </w:p>
        </w:tc>
        <w:tc>
          <w:tcPr>
            <w:tcW w:w="992" w:type="dxa"/>
            <w:tcBorders>
              <w:top w:val="single" w:sz="8" w:space="0" w:color="FFFFFF" w:themeColor="background1"/>
              <w:left w:val="single" w:sz="8" w:space="0" w:color="D2232A"/>
            </w:tcBorders>
            <w:shd w:val="clear" w:color="auto" w:fill="E5E5E5" w:themeFill="text1" w:themeFillTint="33"/>
            <w:noWrap/>
            <w:vAlign w:val="center"/>
            <w:hideMark/>
          </w:tcPr>
          <w:p w14:paraId="0E8DDB41" w14:textId="77777777" w:rsidR="008878A0" w:rsidRPr="00FA42E2" w:rsidRDefault="008878A0" w:rsidP="009C4BF3">
            <w:pPr>
              <w:spacing w:after="0" w:line="240" w:lineRule="auto"/>
              <w:jc w:val="center"/>
              <w:rPr>
                <w:rFonts w:eastAsia="Times New Roman" w:cstheme="minorHAnsi"/>
                <w:szCs w:val="18"/>
                <w:lang w:eastAsia="hr-HR"/>
              </w:rPr>
            </w:pPr>
            <w:r w:rsidRPr="00FA42E2">
              <w:rPr>
                <w:rFonts w:eastAsia="Times New Roman" w:cstheme="minorHAnsi"/>
                <w:szCs w:val="18"/>
                <w:lang w:eastAsia="hr-HR"/>
              </w:rPr>
              <w:t>Kazališta</w:t>
            </w:r>
          </w:p>
        </w:tc>
        <w:tc>
          <w:tcPr>
            <w:tcW w:w="993" w:type="dxa"/>
            <w:tcBorders>
              <w:top w:val="single" w:sz="8" w:space="0" w:color="FFFFFF" w:themeColor="background1"/>
            </w:tcBorders>
            <w:shd w:val="clear" w:color="auto" w:fill="E5E5E5" w:themeFill="text1" w:themeFillTint="33"/>
            <w:noWrap/>
            <w:vAlign w:val="center"/>
            <w:hideMark/>
          </w:tcPr>
          <w:p w14:paraId="73210CE6" w14:textId="77777777" w:rsidR="008878A0" w:rsidRPr="00FA42E2" w:rsidRDefault="008878A0" w:rsidP="009C4BF3">
            <w:pPr>
              <w:spacing w:after="0" w:line="240" w:lineRule="auto"/>
              <w:jc w:val="center"/>
              <w:rPr>
                <w:rFonts w:eastAsia="Times New Roman" w:cstheme="minorHAnsi"/>
                <w:szCs w:val="18"/>
                <w:lang w:eastAsia="hr-HR"/>
              </w:rPr>
            </w:pPr>
            <w:r w:rsidRPr="00FA42E2">
              <w:rPr>
                <w:rFonts w:eastAsia="Times New Roman" w:cstheme="minorHAnsi"/>
                <w:szCs w:val="18"/>
                <w:lang w:eastAsia="hr-HR"/>
              </w:rPr>
              <w:t>Orkestri i ansambli</w:t>
            </w:r>
          </w:p>
        </w:tc>
        <w:tc>
          <w:tcPr>
            <w:tcW w:w="703" w:type="dxa"/>
            <w:tcBorders>
              <w:top w:val="single" w:sz="8" w:space="0" w:color="FFFFFF" w:themeColor="background1"/>
              <w:right w:val="single" w:sz="8" w:space="0" w:color="D2232A"/>
            </w:tcBorders>
            <w:shd w:val="clear" w:color="auto" w:fill="E5E5E5" w:themeFill="text1" w:themeFillTint="33"/>
            <w:noWrap/>
            <w:vAlign w:val="center"/>
            <w:hideMark/>
          </w:tcPr>
          <w:p w14:paraId="55F8CDE9" w14:textId="77777777" w:rsidR="008878A0" w:rsidRPr="00FA42E2" w:rsidRDefault="008878A0" w:rsidP="009C4BF3">
            <w:pPr>
              <w:spacing w:after="0" w:line="240" w:lineRule="auto"/>
              <w:jc w:val="center"/>
              <w:rPr>
                <w:rFonts w:eastAsia="Times New Roman" w:cstheme="minorHAnsi"/>
                <w:szCs w:val="18"/>
                <w:lang w:eastAsia="hr-HR"/>
              </w:rPr>
            </w:pPr>
            <w:r w:rsidRPr="00FA42E2">
              <w:rPr>
                <w:rFonts w:eastAsia="Times New Roman" w:cstheme="minorHAnsi"/>
                <w:szCs w:val="18"/>
                <w:lang w:eastAsia="hr-HR"/>
              </w:rPr>
              <w:t>Zbor</w:t>
            </w:r>
          </w:p>
        </w:tc>
      </w:tr>
      <w:tr w:rsidR="008878A0" w:rsidRPr="00FA42E2" w14:paraId="0DE2C72B" w14:textId="77777777" w:rsidTr="00183351">
        <w:trPr>
          <w:trHeight w:val="300"/>
        </w:trPr>
        <w:tc>
          <w:tcPr>
            <w:tcW w:w="988" w:type="dxa"/>
            <w:shd w:val="clear" w:color="auto" w:fill="D2232A"/>
            <w:noWrap/>
            <w:vAlign w:val="center"/>
            <w:hideMark/>
          </w:tcPr>
          <w:p w14:paraId="38D5A698" w14:textId="6C523CD0" w:rsidR="008878A0" w:rsidRPr="00FA42E2" w:rsidRDefault="008878A0" w:rsidP="00941871">
            <w:pPr>
              <w:spacing w:after="0" w:line="240" w:lineRule="auto"/>
              <w:rPr>
                <w:rFonts w:eastAsia="Times New Roman" w:cstheme="minorHAnsi"/>
                <w:color w:val="FFFFFF"/>
                <w:szCs w:val="18"/>
                <w:lang w:eastAsia="hr-HR"/>
              </w:rPr>
            </w:pPr>
            <w:r w:rsidRPr="00FA42E2">
              <w:rPr>
                <w:rFonts w:eastAsia="Times New Roman" w:cstheme="minorHAnsi"/>
                <w:color w:val="FFFFFF"/>
                <w:szCs w:val="18"/>
                <w:lang w:eastAsia="hr-HR"/>
              </w:rPr>
              <w:t>2014</w:t>
            </w:r>
            <w:r w:rsidR="005E4CB7">
              <w:rPr>
                <w:rFonts w:eastAsia="Times New Roman" w:cstheme="minorHAnsi"/>
                <w:color w:val="FFFFFF"/>
                <w:szCs w:val="18"/>
                <w:lang w:eastAsia="hr-HR"/>
              </w:rPr>
              <w:t>.</w:t>
            </w:r>
          </w:p>
        </w:tc>
        <w:tc>
          <w:tcPr>
            <w:tcW w:w="992" w:type="dxa"/>
            <w:noWrap/>
            <w:vAlign w:val="center"/>
            <w:hideMark/>
          </w:tcPr>
          <w:p w14:paraId="7764E876"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2</w:t>
            </w:r>
          </w:p>
        </w:tc>
        <w:tc>
          <w:tcPr>
            <w:tcW w:w="1051" w:type="dxa"/>
            <w:noWrap/>
            <w:vAlign w:val="center"/>
            <w:hideMark/>
          </w:tcPr>
          <w:p w14:paraId="7536EF80"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650" w:type="dxa"/>
            <w:tcBorders>
              <w:right w:val="single" w:sz="8" w:space="0" w:color="D2232A"/>
            </w:tcBorders>
            <w:noWrap/>
            <w:vAlign w:val="center"/>
            <w:hideMark/>
          </w:tcPr>
          <w:p w14:paraId="578EEC6C"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992" w:type="dxa"/>
            <w:tcBorders>
              <w:left w:val="single" w:sz="8" w:space="0" w:color="D2232A"/>
            </w:tcBorders>
            <w:noWrap/>
            <w:vAlign w:val="center"/>
          </w:tcPr>
          <w:p w14:paraId="2110CCDE" w14:textId="00E0E1B6" w:rsidR="008878A0" w:rsidRPr="00FA42E2" w:rsidRDefault="00493DE3"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24</w:t>
            </w:r>
          </w:p>
        </w:tc>
        <w:tc>
          <w:tcPr>
            <w:tcW w:w="992" w:type="dxa"/>
            <w:noWrap/>
            <w:vAlign w:val="center"/>
          </w:tcPr>
          <w:p w14:paraId="1C902E20" w14:textId="4E3FA3A3" w:rsidR="008878A0" w:rsidRPr="00FA42E2" w:rsidRDefault="00493DE3"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4</w:t>
            </w:r>
          </w:p>
        </w:tc>
        <w:tc>
          <w:tcPr>
            <w:tcW w:w="709" w:type="dxa"/>
            <w:tcBorders>
              <w:right w:val="single" w:sz="8" w:space="0" w:color="D2232A"/>
            </w:tcBorders>
            <w:noWrap/>
            <w:vAlign w:val="center"/>
          </w:tcPr>
          <w:p w14:paraId="6246546B" w14:textId="077A8759" w:rsidR="008878A0" w:rsidRPr="00FA42E2" w:rsidRDefault="00493DE3"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992" w:type="dxa"/>
            <w:tcBorders>
              <w:left w:val="single" w:sz="8" w:space="0" w:color="D2232A"/>
            </w:tcBorders>
            <w:noWrap/>
            <w:vAlign w:val="center"/>
            <w:hideMark/>
          </w:tcPr>
          <w:p w14:paraId="3F21820F"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184</w:t>
            </w:r>
          </w:p>
        </w:tc>
        <w:tc>
          <w:tcPr>
            <w:tcW w:w="993" w:type="dxa"/>
            <w:noWrap/>
            <w:vAlign w:val="center"/>
            <w:hideMark/>
          </w:tcPr>
          <w:p w14:paraId="03875697"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48</w:t>
            </w:r>
          </w:p>
        </w:tc>
        <w:tc>
          <w:tcPr>
            <w:tcW w:w="703" w:type="dxa"/>
            <w:tcBorders>
              <w:right w:val="single" w:sz="8" w:space="0" w:color="D2232A"/>
            </w:tcBorders>
            <w:noWrap/>
            <w:vAlign w:val="center"/>
            <w:hideMark/>
          </w:tcPr>
          <w:p w14:paraId="7A1189DC"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1</w:t>
            </w:r>
          </w:p>
        </w:tc>
      </w:tr>
      <w:tr w:rsidR="008878A0" w:rsidRPr="00FA42E2" w14:paraId="0971C648" w14:textId="77777777" w:rsidTr="008F5A72">
        <w:trPr>
          <w:trHeight w:val="300"/>
        </w:trPr>
        <w:tc>
          <w:tcPr>
            <w:tcW w:w="988" w:type="dxa"/>
            <w:tcBorders>
              <w:bottom w:val="single" w:sz="4" w:space="0" w:color="FFFFFF" w:themeColor="background1"/>
            </w:tcBorders>
            <w:shd w:val="clear" w:color="auto" w:fill="D2232A"/>
            <w:noWrap/>
            <w:vAlign w:val="center"/>
            <w:hideMark/>
          </w:tcPr>
          <w:p w14:paraId="4FFF750B" w14:textId="29F3E868" w:rsidR="008878A0" w:rsidRPr="00FA42E2" w:rsidRDefault="008878A0" w:rsidP="00941871">
            <w:pPr>
              <w:spacing w:after="0" w:line="240" w:lineRule="auto"/>
              <w:rPr>
                <w:rFonts w:eastAsia="Times New Roman" w:cstheme="minorHAnsi"/>
                <w:color w:val="FFFFFF"/>
                <w:szCs w:val="18"/>
                <w:lang w:eastAsia="hr-HR"/>
              </w:rPr>
            </w:pPr>
            <w:r w:rsidRPr="00FA42E2">
              <w:rPr>
                <w:rFonts w:eastAsia="Times New Roman" w:cstheme="minorHAnsi"/>
                <w:color w:val="FFFFFF"/>
                <w:szCs w:val="18"/>
                <w:lang w:eastAsia="hr-HR"/>
              </w:rPr>
              <w:t>2015</w:t>
            </w:r>
            <w:r w:rsidR="005E4CB7">
              <w:rPr>
                <w:rFonts w:eastAsia="Times New Roman" w:cstheme="minorHAnsi"/>
                <w:color w:val="FFFFFF"/>
                <w:szCs w:val="18"/>
                <w:lang w:eastAsia="hr-HR"/>
              </w:rPr>
              <w:t>.</w:t>
            </w:r>
          </w:p>
        </w:tc>
        <w:tc>
          <w:tcPr>
            <w:tcW w:w="992" w:type="dxa"/>
            <w:noWrap/>
            <w:vAlign w:val="center"/>
            <w:hideMark/>
          </w:tcPr>
          <w:p w14:paraId="1639F839"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2</w:t>
            </w:r>
          </w:p>
        </w:tc>
        <w:tc>
          <w:tcPr>
            <w:tcW w:w="1051" w:type="dxa"/>
            <w:noWrap/>
            <w:vAlign w:val="center"/>
            <w:hideMark/>
          </w:tcPr>
          <w:p w14:paraId="48F45249"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650" w:type="dxa"/>
            <w:tcBorders>
              <w:right w:val="single" w:sz="8" w:space="0" w:color="D2232A"/>
            </w:tcBorders>
            <w:noWrap/>
            <w:vAlign w:val="center"/>
            <w:hideMark/>
          </w:tcPr>
          <w:p w14:paraId="6005A178"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992" w:type="dxa"/>
            <w:tcBorders>
              <w:left w:val="single" w:sz="8" w:space="0" w:color="D2232A"/>
            </w:tcBorders>
            <w:noWrap/>
            <w:vAlign w:val="center"/>
          </w:tcPr>
          <w:p w14:paraId="53106876" w14:textId="0C09C8AD" w:rsidR="008878A0" w:rsidRPr="00FA42E2" w:rsidRDefault="00493DE3"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26</w:t>
            </w:r>
          </w:p>
        </w:tc>
        <w:tc>
          <w:tcPr>
            <w:tcW w:w="992" w:type="dxa"/>
            <w:noWrap/>
            <w:vAlign w:val="center"/>
          </w:tcPr>
          <w:p w14:paraId="378457FA" w14:textId="6E645C7A" w:rsidR="008878A0" w:rsidRPr="00FA42E2" w:rsidRDefault="00493DE3"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4</w:t>
            </w:r>
          </w:p>
        </w:tc>
        <w:tc>
          <w:tcPr>
            <w:tcW w:w="709" w:type="dxa"/>
            <w:tcBorders>
              <w:right w:val="single" w:sz="8" w:space="0" w:color="D2232A"/>
            </w:tcBorders>
            <w:noWrap/>
            <w:vAlign w:val="center"/>
          </w:tcPr>
          <w:p w14:paraId="6B2FD4E1" w14:textId="567B081F" w:rsidR="008878A0" w:rsidRPr="00FA42E2" w:rsidRDefault="00183351"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992" w:type="dxa"/>
            <w:tcBorders>
              <w:left w:val="single" w:sz="8" w:space="0" w:color="D2232A"/>
            </w:tcBorders>
            <w:noWrap/>
            <w:vAlign w:val="center"/>
            <w:hideMark/>
          </w:tcPr>
          <w:p w14:paraId="2506AB62"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176</w:t>
            </w:r>
          </w:p>
        </w:tc>
        <w:tc>
          <w:tcPr>
            <w:tcW w:w="993" w:type="dxa"/>
            <w:noWrap/>
            <w:vAlign w:val="center"/>
            <w:hideMark/>
          </w:tcPr>
          <w:p w14:paraId="0BE99AF5"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45</w:t>
            </w:r>
          </w:p>
        </w:tc>
        <w:tc>
          <w:tcPr>
            <w:tcW w:w="703" w:type="dxa"/>
            <w:tcBorders>
              <w:right w:val="single" w:sz="8" w:space="0" w:color="D2232A"/>
            </w:tcBorders>
            <w:noWrap/>
            <w:vAlign w:val="center"/>
            <w:hideMark/>
          </w:tcPr>
          <w:p w14:paraId="1BEA6001"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1</w:t>
            </w:r>
          </w:p>
        </w:tc>
      </w:tr>
      <w:tr w:rsidR="008878A0" w:rsidRPr="00FA42E2" w14:paraId="639F54E3" w14:textId="77777777" w:rsidTr="008F5A72">
        <w:trPr>
          <w:trHeight w:val="300"/>
        </w:trPr>
        <w:tc>
          <w:tcPr>
            <w:tcW w:w="988" w:type="dxa"/>
            <w:tcBorders>
              <w:top w:val="single" w:sz="4" w:space="0" w:color="FFFFFF" w:themeColor="background1"/>
            </w:tcBorders>
            <w:shd w:val="clear" w:color="auto" w:fill="D2232A"/>
            <w:noWrap/>
            <w:vAlign w:val="center"/>
            <w:hideMark/>
          </w:tcPr>
          <w:p w14:paraId="6CD0694F" w14:textId="0D27A68A" w:rsidR="008878A0" w:rsidRPr="00FA42E2" w:rsidRDefault="008878A0" w:rsidP="00941871">
            <w:pPr>
              <w:spacing w:after="0" w:line="240" w:lineRule="auto"/>
              <w:rPr>
                <w:rFonts w:eastAsia="Times New Roman" w:cstheme="minorHAnsi"/>
                <w:color w:val="FFFFFF"/>
                <w:szCs w:val="18"/>
                <w:lang w:eastAsia="hr-HR"/>
              </w:rPr>
            </w:pPr>
            <w:r w:rsidRPr="00FA42E2">
              <w:rPr>
                <w:rFonts w:eastAsia="Times New Roman" w:cstheme="minorHAnsi"/>
                <w:color w:val="FFFFFF"/>
                <w:szCs w:val="18"/>
                <w:lang w:eastAsia="hr-HR"/>
              </w:rPr>
              <w:t>2016</w:t>
            </w:r>
            <w:r w:rsidR="005E4CB7">
              <w:rPr>
                <w:rFonts w:eastAsia="Times New Roman" w:cstheme="minorHAnsi"/>
                <w:color w:val="FFFFFF"/>
                <w:szCs w:val="18"/>
                <w:lang w:eastAsia="hr-HR"/>
              </w:rPr>
              <w:t>.</w:t>
            </w:r>
          </w:p>
        </w:tc>
        <w:tc>
          <w:tcPr>
            <w:tcW w:w="992" w:type="dxa"/>
            <w:noWrap/>
            <w:vAlign w:val="center"/>
            <w:hideMark/>
          </w:tcPr>
          <w:p w14:paraId="1264DB89"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2</w:t>
            </w:r>
          </w:p>
        </w:tc>
        <w:tc>
          <w:tcPr>
            <w:tcW w:w="1051" w:type="dxa"/>
            <w:noWrap/>
            <w:vAlign w:val="center"/>
            <w:hideMark/>
          </w:tcPr>
          <w:p w14:paraId="4246D689"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650" w:type="dxa"/>
            <w:tcBorders>
              <w:right w:val="single" w:sz="8" w:space="0" w:color="D2232A"/>
            </w:tcBorders>
            <w:noWrap/>
            <w:vAlign w:val="center"/>
            <w:hideMark/>
          </w:tcPr>
          <w:p w14:paraId="32A10F5A"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992" w:type="dxa"/>
            <w:tcBorders>
              <w:left w:val="single" w:sz="8" w:space="0" w:color="D2232A"/>
            </w:tcBorders>
            <w:noWrap/>
            <w:vAlign w:val="center"/>
          </w:tcPr>
          <w:p w14:paraId="67D6B168" w14:textId="5EF2D994" w:rsidR="008878A0" w:rsidRPr="00FA42E2" w:rsidRDefault="00493DE3"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24</w:t>
            </w:r>
          </w:p>
        </w:tc>
        <w:tc>
          <w:tcPr>
            <w:tcW w:w="992" w:type="dxa"/>
            <w:noWrap/>
            <w:vAlign w:val="center"/>
          </w:tcPr>
          <w:p w14:paraId="3260C816" w14:textId="4B73D624" w:rsidR="00493DE3" w:rsidRPr="00FA42E2" w:rsidRDefault="00493DE3"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4</w:t>
            </w:r>
          </w:p>
        </w:tc>
        <w:tc>
          <w:tcPr>
            <w:tcW w:w="709" w:type="dxa"/>
            <w:tcBorders>
              <w:right w:val="single" w:sz="8" w:space="0" w:color="D2232A"/>
            </w:tcBorders>
            <w:noWrap/>
            <w:vAlign w:val="center"/>
          </w:tcPr>
          <w:p w14:paraId="45E8BDA6" w14:textId="48F36DFE" w:rsidR="008878A0" w:rsidRPr="00FA42E2" w:rsidRDefault="00183351"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992" w:type="dxa"/>
            <w:tcBorders>
              <w:left w:val="single" w:sz="8" w:space="0" w:color="D2232A"/>
            </w:tcBorders>
            <w:noWrap/>
            <w:vAlign w:val="center"/>
            <w:hideMark/>
          </w:tcPr>
          <w:p w14:paraId="0CC051FD"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177</w:t>
            </w:r>
          </w:p>
        </w:tc>
        <w:tc>
          <w:tcPr>
            <w:tcW w:w="993" w:type="dxa"/>
            <w:noWrap/>
            <w:vAlign w:val="center"/>
            <w:hideMark/>
          </w:tcPr>
          <w:p w14:paraId="491611BB"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44</w:t>
            </w:r>
          </w:p>
        </w:tc>
        <w:tc>
          <w:tcPr>
            <w:tcW w:w="703" w:type="dxa"/>
            <w:tcBorders>
              <w:right w:val="single" w:sz="8" w:space="0" w:color="D2232A"/>
            </w:tcBorders>
            <w:noWrap/>
            <w:vAlign w:val="center"/>
            <w:hideMark/>
          </w:tcPr>
          <w:p w14:paraId="6EB2FCF6"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1</w:t>
            </w:r>
          </w:p>
        </w:tc>
      </w:tr>
      <w:tr w:rsidR="008878A0" w:rsidRPr="00FA42E2" w14:paraId="5D1B2D98" w14:textId="77777777" w:rsidTr="00044486">
        <w:trPr>
          <w:trHeight w:val="300"/>
        </w:trPr>
        <w:tc>
          <w:tcPr>
            <w:tcW w:w="988" w:type="dxa"/>
            <w:shd w:val="clear" w:color="auto" w:fill="D2232A"/>
            <w:noWrap/>
            <w:vAlign w:val="center"/>
            <w:hideMark/>
          </w:tcPr>
          <w:p w14:paraId="72887B7A" w14:textId="452CBDEB" w:rsidR="008878A0" w:rsidRPr="00FA42E2" w:rsidRDefault="008878A0" w:rsidP="00941871">
            <w:pPr>
              <w:spacing w:after="0" w:line="240" w:lineRule="auto"/>
              <w:rPr>
                <w:rFonts w:eastAsia="Times New Roman" w:cstheme="minorHAnsi"/>
                <w:color w:val="FFFFFF"/>
                <w:szCs w:val="18"/>
                <w:lang w:eastAsia="hr-HR"/>
              </w:rPr>
            </w:pPr>
            <w:r w:rsidRPr="00FA42E2">
              <w:rPr>
                <w:rFonts w:eastAsia="Times New Roman" w:cstheme="minorHAnsi"/>
                <w:color w:val="FFFFFF"/>
                <w:szCs w:val="18"/>
                <w:lang w:eastAsia="hr-HR"/>
              </w:rPr>
              <w:t>2017</w:t>
            </w:r>
            <w:r w:rsidR="005E4CB7">
              <w:rPr>
                <w:rFonts w:eastAsia="Times New Roman" w:cstheme="minorHAnsi"/>
                <w:color w:val="FFFFFF"/>
                <w:szCs w:val="18"/>
                <w:lang w:eastAsia="hr-HR"/>
              </w:rPr>
              <w:t>.</w:t>
            </w:r>
          </w:p>
        </w:tc>
        <w:tc>
          <w:tcPr>
            <w:tcW w:w="992" w:type="dxa"/>
            <w:noWrap/>
            <w:vAlign w:val="center"/>
            <w:hideMark/>
          </w:tcPr>
          <w:p w14:paraId="78F5F08D"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2</w:t>
            </w:r>
          </w:p>
        </w:tc>
        <w:tc>
          <w:tcPr>
            <w:tcW w:w="1051" w:type="dxa"/>
            <w:noWrap/>
            <w:vAlign w:val="center"/>
            <w:hideMark/>
          </w:tcPr>
          <w:p w14:paraId="0E1A4D88"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650" w:type="dxa"/>
            <w:tcBorders>
              <w:right w:val="single" w:sz="8" w:space="0" w:color="D2232A"/>
            </w:tcBorders>
            <w:noWrap/>
            <w:vAlign w:val="center"/>
            <w:hideMark/>
          </w:tcPr>
          <w:p w14:paraId="221D1B12"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992" w:type="dxa"/>
            <w:tcBorders>
              <w:left w:val="single" w:sz="8" w:space="0" w:color="D2232A"/>
            </w:tcBorders>
            <w:noWrap/>
            <w:vAlign w:val="center"/>
          </w:tcPr>
          <w:p w14:paraId="51A45203" w14:textId="30E47371" w:rsidR="008878A0" w:rsidRPr="00FA42E2" w:rsidRDefault="00183351"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27</w:t>
            </w:r>
          </w:p>
        </w:tc>
        <w:tc>
          <w:tcPr>
            <w:tcW w:w="992" w:type="dxa"/>
            <w:noWrap/>
            <w:vAlign w:val="center"/>
          </w:tcPr>
          <w:p w14:paraId="27EB1A14" w14:textId="472D713E" w:rsidR="008878A0" w:rsidRPr="00FA42E2" w:rsidRDefault="00183351"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4</w:t>
            </w:r>
          </w:p>
        </w:tc>
        <w:tc>
          <w:tcPr>
            <w:tcW w:w="709" w:type="dxa"/>
            <w:tcBorders>
              <w:right w:val="single" w:sz="8" w:space="0" w:color="D2232A"/>
            </w:tcBorders>
            <w:noWrap/>
            <w:vAlign w:val="center"/>
          </w:tcPr>
          <w:p w14:paraId="015434B5" w14:textId="355E4465" w:rsidR="008878A0" w:rsidRPr="00FA42E2" w:rsidRDefault="00183351"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0</w:t>
            </w:r>
          </w:p>
        </w:tc>
        <w:tc>
          <w:tcPr>
            <w:tcW w:w="992" w:type="dxa"/>
            <w:tcBorders>
              <w:left w:val="single" w:sz="8" w:space="0" w:color="D2232A"/>
            </w:tcBorders>
            <w:noWrap/>
            <w:vAlign w:val="center"/>
            <w:hideMark/>
          </w:tcPr>
          <w:p w14:paraId="1676A327"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186</w:t>
            </w:r>
          </w:p>
        </w:tc>
        <w:tc>
          <w:tcPr>
            <w:tcW w:w="993" w:type="dxa"/>
            <w:noWrap/>
            <w:vAlign w:val="center"/>
            <w:hideMark/>
          </w:tcPr>
          <w:p w14:paraId="605DC6C4"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43</w:t>
            </w:r>
          </w:p>
        </w:tc>
        <w:tc>
          <w:tcPr>
            <w:tcW w:w="703" w:type="dxa"/>
            <w:tcBorders>
              <w:right w:val="single" w:sz="8" w:space="0" w:color="D2232A"/>
            </w:tcBorders>
            <w:noWrap/>
            <w:vAlign w:val="center"/>
            <w:hideMark/>
          </w:tcPr>
          <w:p w14:paraId="089F2A01" w14:textId="77777777" w:rsidR="008878A0" w:rsidRPr="00FA42E2" w:rsidRDefault="008878A0" w:rsidP="005E4CB7">
            <w:pPr>
              <w:spacing w:after="0" w:line="240" w:lineRule="auto"/>
              <w:jc w:val="right"/>
              <w:rPr>
                <w:rFonts w:eastAsia="Times New Roman" w:cstheme="minorHAnsi"/>
                <w:color w:val="000000"/>
                <w:szCs w:val="18"/>
                <w:lang w:eastAsia="hr-HR"/>
              </w:rPr>
            </w:pPr>
            <w:r w:rsidRPr="00FA42E2">
              <w:rPr>
                <w:rFonts w:eastAsia="Times New Roman" w:cstheme="minorHAnsi"/>
                <w:color w:val="000000"/>
                <w:szCs w:val="18"/>
                <w:lang w:eastAsia="hr-HR"/>
              </w:rPr>
              <w:t>1</w:t>
            </w:r>
          </w:p>
        </w:tc>
      </w:tr>
      <w:tr w:rsidR="00044486" w:rsidRPr="00FA42E2" w14:paraId="3C15624C" w14:textId="77777777" w:rsidTr="00183351">
        <w:trPr>
          <w:trHeight w:val="300"/>
        </w:trPr>
        <w:tc>
          <w:tcPr>
            <w:tcW w:w="988" w:type="dxa"/>
            <w:tcBorders>
              <w:bottom w:val="nil"/>
            </w:tcBorders>
            <w:shd w:val="clear" w:color="auto" w:fill="D2232A"/>
            <w:noWrap/>
            <w:vAlign w:val="center"/>
          </w:tcPr>
          <w:p w14:paraId="4A149D42" w14:textId="3F5C05B9" w:rsidR="00044486" w:rsidRPr="00FA42E2" w:rsidRDefault="00044486" w:rsidP="00941871">
            <w:pPr>
              <w:spacing w:after="0" w:line="240" w:lineRule="auto"/>
              <w:rPr>
                <w:rFonts w:eastAsia="Times New Roman" w:cstheme="minorHAnsi"/>
                <w:color w:val="FFFFFF"/>
                <w:szCs w:val="18"/>
                <w:lang w:eastAsia="hr-HR"/>
              </w:rPr>
            </w:pPr>
            <w:r>
              <w:rPr>
                <w:rFonts w:eastAsia="Times New Roman" w:cstheme="minorHAnsi"/>
                <w:color w:val="FFFFFF"/>
                <w:szCs w:val="18"/>
                <w:lang w:eastAsia="hr-HR"/>
              </w:rPr>
              <w:t>2018.</w:t>
            </w:r>
          </w:p>
        </w:tc>
        <w:tc>
          <w:tcPr>
            <w:tcW w:w="992" w:type="dxa"/>
            <w:tcBorders>
              <w:bottom w:val="nil"/>
            </w:tcBorders>
            <w:noWrap/>
            <w:vAlign w:val="center"/>
          </w:tcPr>
          <w:p w14:paraId="13E1DB46" w14:textId="485454C3" w:rsidR="00044486" w:rsidRPr="00FA42E2" w:rsidRDefault="00044486"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w:t>
            </w:r>
          </w:p>
        </w:tc>
        <w:tc>
          <w:tcPr>
            <w:tcW w:w="1051" w:type="dxa"/>
            <w:tcBorders>
              <w:bottom w:val="nil"/>
            </w:tcBorders>
            <w:noWrap/>
            <w:vAlign w:val="center"/>
          </w:tcPr>
          <w:p w14:paraId="5AA5CE4A" w14:textId="66448C69" w:rsidR="00044486" w:rsidRPr="00FA42E2" w:rsidRDefault="00044486"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0</w:t>
            </w:r>
          </w:p>
        </w:tc>
        <w:tc>
          <w:tcPr>
            <w:tcW w:w="650" w:type="dxa"/>
            <w:tcBorders>
              <w:bottom w:val="nil"/>
              <w:right w:val="single" w:sz="8" w:space="0" w:color="D2232A"/>
            </w:tcBorders>
            <w:noWrap/>
            <w:vAlign w:val="center"/>
          </w:tcPr>
          <w:p w14:paraId="25E7E020" w14:textId="6ECB9499" w:rsidR="00044486" w:rsidRPr="00FA42E2" w:rsidRDefault="00044486"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0</w:t>
            </w:r>
          </w:p>
        </w:tc>
        <w:tc>
          <w:tcPr>
            <w:tcW w:w="992" w:type="dxa"/>
            <w:tcBorders>
              <w:left w:val="single" w:sz="8" w:space="0" w:color="D2232A"/>
              <w:bottom w:val="nil"/>
            </w:tcBorders>
            <w:noWrap/>
            <w:vAlign w:val="center"/>
          </w:tcPr>
          <w:p w14:paraId="4B8DED09" w14:textId="00CF3139" w:rsidR="00044486" w:rsidRPr="00FA42E2" w:rsidRDefault="00044486"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27</w:t>
            </w:r>
          </w:p>
        </w:tc>
        <w:tc>
          <w:tcPr>
            <w:tcW w:w="992" w:type="dxa"/>
            <w:tcBorders>
              <w:bottom w:val="nil"/>
            </w:tcBorders>
            <w:noWrap/>
            <w:vAlign w:val="center"/>
          </w:tcPr>
          <w:p w14:paraId="1ECB6211" w14:textId="244CB4FD" w:rsidR="00044486" w:rsidRPr="00FA42E2"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w:t>
            </w:r>
          </w:p>
        </w:tc>
        <w:tc>
          <w:tcPr>
            <w:tcW w:w="709" w:type="dxa"/>
            <w:tcBorders>
              <w:bottom w:val="nil"/>
              <w:right w:val="single" w:sz="8" w:space="0" w:color="D2232A"/>
            </w:tcBorders>
            <w:noWrap/>
            <w:vAlign w:val="center"/>
          </w:tcPr>
          <w:p w14:paraId="7B7DD9F3" w14:textId="2DC806B5" w:rsidR="00044486" w:rsidRPr="00FA42E2"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0</w:t>
            </w:r>
          </w:p>
        </w:tc>
        <w:tc>
          <w:tcPr>
            <w:tcW w:w="992" w:type="dxa"/>
            <w:tcBorders>
              <w:left w:val="single" w:sz="8" w:space="0" w:color="D2232A"/>
              <w:bottom w:val="nil"/>
            </w:tcBorders>
            <w:noWrap/>
            <w:vAlign w:val="center"/>
          </w:tcPr>
          <w:p w14:paraId="261F2CD3" w14:textId="2EEDD8EE" w:rsidR="00044486" w:rsidRPr="00FA42E2"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176</w:t>
            </w:r>
          </w:p>
        </w:tc>
        <w:tc>
          <w:tcPr>
            <w:tcW w:w="993" w:type="dxa"/>
            <w:tcBorders>
              <w:bottom w:val="nil"/>
            </w:tcBorders>
            <w:noWrap/>
            <w:vAlign w:val="center"/>
          </w:tcPr>
          <w:p w14:paraId="150763B6" w14:textId="49335FE2" w:rsidR="00044486" w:rsidRPr="00FA42E2"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41</w:t>
            </w:r>
          </w:p>
        </w:tc>
        <w:tc>
          <w:tcPr>
            <w:tcW w:w="703" w:type="dxa"/>
            <w:tcBorders>
              <w:bottom w:val="nil"/>
              <w:right w:val="single" w:sz="8" w:space="0" w:color="D2232A"/>
            </w:tcBorders>
            <w:noWrap/>
            <w:vAlign w:val="center"/>
          </w:tcPr>
          <w:p w14:paraId="5788F46A" w14:textId="52F24FEB" w:rsidR="00044486" w:rsidRPr="00FA42E2"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w:t>
            </w:r>
          </w:p>
        </w:tc>
      </w:tr>
    </w:tbl>
    <w:p w14:paraId="03442BC6" w14:textId="1F05A262" w:rsidR="008878A0" w:rsidRPr="003D517E" w:rsidRDefault="008878A0" w:rsidP="003C2276">
      <w:pPr>
        <w:pStyle w:val="Izvor"/>
        <w:rPr>
          <w:i/>
          <w:color w:val="ABABAB" w:themeColor="text1" w:themeTint="A6"/>
          <w:sz w:val="16"/>
          <w:szCs w:val="16"/>
        </w:rPr>
      </w:pPr>
      <w:r w:rsidRPr="003D517E">
        <w:rPr>
          <w:i/>
          <w:color w:val="ABABAB" w:themeColor="text1" w:themeTint="A6"/>
          <w:sz w:val="16"/>
          <w:szCs w:val="16"/>
        </w:rPr>
        <w:t>DZS, Statistička izvješća, Kultura i umjetnost 2014., 2015., 2016.</w:t>
      </w:r>
      <w:r w:rsidR="001C6928" w:rsidRPr="003D517E">
        <w:rPr>
          <w:i/>
          <w:color w:val="ABABAB" w:themeColor="text1" w:themeTint="A6"/>
          <w:sz w:val="16"/>
          <w:szCs w:val="16"/>
        </w:rPr>
        <w:t>, 2017. i 2018.</w:t>
      </w:r>
    </w:p>
    <w:p w14:paraId="363349BE" w14:textId="77777777" w:rsidR="0024292A" w:rsidRDefault="0024292A" w:rsidP="00855D8D">
      <w:pPr>
        <w:pStyle w:val="Izvor"/>
      </w:pPr>
    </w:p>
    <w:p w14:paraId="694FFF01" w14:textId="3A6D8BAB" w:rsidR="008878A0" w:rsidRDefault="008878A0" w:rsidP="00941871">
      <w:pPr>
        <w:autoSpaceDE w:val="0"/>
        <w:autoSpaceDN w:val="0"/>
        <w:adjustRightInd w:val="0"/>
        <w:spacing w:after="0" w:line="240" w:lineRule="auto"/>
        <w:rPr>
          <w:rFonts w:eastAsia="ArialNarrow" w:cstheme="minorHAnsi"/>
          <w:sz w:val="22"/>
        </w:rPr>
      </w:pPr>
      <w:r>
        <w:rPr>
          <w:rFonts w:eastAsia="ArialNarrow" w:cstheme="minorHAnsi"/>
        </w:rPr>
        <w:t xml:space="preserve">Broj kinematografa je na području Krapinsko-zagorske županije u periodu od 2014. </w:t>
      </w:r>
      <w:r w:rsidR="00A833E9">
        <w:rPr>
          <w:rFonts w:eastAsia="ArialNarrow" w:cstheme="minorHAnsi"/>
        </w:rPr>
        <w:t>-</w:t>
      </w:r>
      <w:r>
        <w:rPr>
          <w:rFonts w:eastAsia="ArialNarrow" w:cstheme="minorHAnsi"/>
        </w:rPr>
        <w:t xml:space="preserve"> 201</w:t>
      </w:r>
      <w:r w:rsidR="001C6928">
        <w:rPr>
          <w:rFonts w:eastAsia="ArialNarrow" w:cstheme="minorHAnsi"/>
        </w:rPr>
        <w:t>8</w:t>
      </w:r>
      <w:r>
        <w:rPr>
          <w:rFonts w:eastAsia="ArialNarrow" w:cstheme="minorHAnsi"/>
        </w:rPr>
        <w:t>. godine također ostao ist</w:t>
      </w:r>
      <w:r w:rsidR="00720FF2">
        <w:rPr>
          <w:rFonts w:eastAsia="ArialNarrow" w:cstheme="minorHAnsi"/>
        </w:rPr>
        <w:t>i, samo</w:t>
      </w:r>
      <w:r>
        <w:rPr>
          <w:rFonts w:eastAsia="ArialNarrow" w:cstheme="minorHAnsi"/>
        </w:rPr>
        <w:t xml:space="preserve"> 1</w:t>
      </w:r>
      <w:r w:rsidR="00720FF2">
        <w:rPr>
          <w:rFonts w:eastAsia="ArialNarrow" w:cstheme="minorHAnsi"/>
        </w:rPr>
        <w:t>,</w:t>
      </w:r>
      <w:r>
        <w:rPr>
          <w:rFonts w:eastAsia="ArialNarrow" w:cstheme="minorHAnsi"/>
        </w:rPr>
        <w:t xml:space="preserve"> dok </w:t>
      </w:r>
      <w:r w:rsidR="005E4CB7">
        <w:rPr>
          <w:rFonts w:eastAsia="ArialNarrow" w:cstheme="minorHAnsi"/>
        </w:rPr>
        <w:t xml:space="preserve">je na području </w:t>
      </w:r>
      <w:r w:rsidR="00C7437E">
        <w:rPr>
          <w:rFonts w:eastAsia="ArialNarrow" w:cstheme="minorHAnsi"/>
        </w:rPr>
        <w:t>Sjevern</w:t>
      </w:r>
      <w:r w:rsidR="005E4CB7">
        <w:rPr>
          <w:rFonts w:eastAsia="ArialNarrow" w:cstheme="minorHAnsi"/>
        </w:rPr>
        <w:t>e H</w:t>
      </w:r>
      <w:r>
        <w:rPr>
          <w:rFonts w:eastAsia="ArialNarrow" w:cstheme="minorHAnsi"/>
        </w:rPr>
        <w:t>rvatske</w:t>
      </w:r>
      <w:r w:rsidR="005E4CB7">
        <w:rPr>
          <w:rFonts w:eastAsia="ArialNarrow" w:cstheme="minorHAnsi"/>
        </w:rPr>
        <w:t xml:space="preserve"> u promatranom periodu bilo manjih oscilacija da bi u 2017. godini bio zabilježen isti broj kinematografa kao i 2014. godine, njih 10.</w:t>
      </w:r>
    </w:p>
    <w:p w14:paraId="3DBF3E93" w14:textId="77777777" w:rsidR="004431C8" w:rsidRDefault="004431C8" w:rsidP="00941871">
      <w:pPr>
        <w:autoSpaceDE w:val="0"/>
        <w:autoSpaceDN w:val="0"/>
        <w:adjustRightInd w:val="0"/>
        <w:spacing w:after="0" w:line="240" w:lineRule="auto"/>
        <w:rPr>
          <w:rFonts w:eastAsia="ArialNarrow" w:cstheme="minorHAnsi"/>
        </w:rPr>
      </w:pPr>
    </w:p>
    <w:p w14:paraId="110B6D8E" w14:textId="3363EA41" w:rsidR="00260F9C" w:rsidRPr="00260F9C" w:rsidRDefault="008878A0" w:rsidP="003E3F3C">
      <w:pPr>
        <w:pStyle w:val="Opisslike"/>
      </w:pPr>
      <w:r w:rsidRPr="00260F9C">
        <w:t xml:space="preserve">Tablica </w:t>
      </w:r>
      <w:r w:rsidR="00223A66">
        <w:rPr>
          <w:noProof/>
        </w:rPr>
        <w:t>4</w:t>
      </w:r>
      <w:r w:rsidR="00D51238">
        <w:rPr>
          <w:noProof/>
        </w:rPr>
        <w:t>3</w:t>
      </w:r>
      <w:r w:rsidRPr="00260F9C">
        <w:t xml:space="preserve"> </w:t>
      </w:r>
      <w:r w:rsidR="0026418E">
        <w:t>.</w:t>
      </w:r>
      <w:r w:rsidRPr="00260F9C">
        <w:t xml:space="preserve">Broj kinematografa Krapinsko-zagorska županija, </w:t>
      </w:r>
      <w:r w:rsidR="00C7437E">
        <w:t>Sjevern</w:t>
      </w:r>
      <w:r w:rsidR="00397988">
        <w:t>a</w:t>
      </w:r>
      <w:r w:rsidRPr="00260F9C">
        <w:t xml:space="preserve"> Hrvatska i RH 2014. </w:t>
      </w:r>
      <w:r w:rsidR="00223A66">
        <w:t>-</w:t>
      </w:r>
      <w:r w:rsidRPr="00260F9C">
        <w:t xml:space="preserve"> 201</w:t>
      </w:r>
      <w:r w:rsidR="001C6928">
        <w:t>9</w:t>
      </w:r>
      <w:r w:rsidRPr="00260F9C">
        <w:t>. godina</w:t>
      </w:r>
    </w:p>
    <w:tbl>
      <w:tblPr>
        <w:tblW w:w="9072" w:type="dxa"/>
        <w:tblBorders>
          <w:insideH w:val="single" w:sz="8" w:space="0" w:color="F3CFC1"/>
        </w:tblBorders>
        <w:tblLayout w:type="fixed"/>
        <w:tblLook w:val="04A0" w:firstRow="1" w:lastRow="0" w:firstColumn="1" w:lastColumn="0" w:noHBand="0" w:noVBand="1"/>
      </w:tblPr>
      <w:tblGrid>
        <w:gridCol w:w="993"/>
        <w:gridCol w:w="1346"/>
        <w:gridCol w:w="1347"/>
        <w:gridCol w:w="1346"/>
        <w:gridCol w:w="1347"/>
        <w:gridCol w:w="1346"/>
        <w:gridCol w:w="1347"/>
      </w:tblGrid>
      <w:tr w:rsidR="008878A0" w:rsidRPr="005E4CB7" w14:paraId="7D398B85" w14:textId="77777777" w:rsidTr="005E4CB7">
        <w:trPr>
          <w:trHeight w:val="310"/>
          <w:tblHeader/>
        </w:trPr>
        <w:tc>
          <w:tcPr>
            <w:tcW w:w="993" w:type="dxa"/>
            <w:vMerge w:val="restart"/>
            <w:tcBorders>
              <w:top w:val="nil"/>
              <w:right w:val="single" w:sz="8" w:space="0" w:color="F3CFC1"/>
            </w:tcBorders>
            <w:shd w:val="clear" w:color="auto" w:fill="D2232A"/>
            <w:vAlign w:val="center"/>
          </w:tcPr>
          <w:p w14:paraId="7E7690FC" w14:textId="424EAE8C" w:rsidR="008878A0" w:rsidRPr="005E4CB7" w:rsidRDefault="008878A0" w:rsidP="00941871">
            <w:pPr>
              <w:spacing w:after="0" w:line="240" w:lineRule="auto"/>
              <w:rPr>
                <w:rFonts w:eastAsia="Times New Roman" w:cstheme="minorHAnsi"/>
                <w:color w:val="FFFFFF"/>
                <w:szCs w:val="18"/>
                <w:lang w:eastAsia="hr-HR"/>
              </w:rPr>
            </w:pPr>
          </w:p>
        </w:tc>
        <w:tc>
          <w:tcPr>
            <w:tcW w:w="2693" w:type="dxa"/>
            <w:gridSpan w:val="2"/>
            <w:tcBorders>
              <w:top w:val="nil"/>
              <w:left w:val="single" w:sz="8" w:space="0" w:color="F3CFC1"/>
            </w:tcBorders>
            <w:shd w:val="clear" w:color="auto" w:fill="D2232A"/>
            <w:noWrap/>
            <w:vAlign w:val="center"/>
            <w:hideMark/>
          </w:tcPr>
          <w:p w14:paraId="25A520CA" w14:textId="3370450D" w:rsidR="008878A0" w:rsidRPr="005E4CB7" w:rsidRDefault="00463866" w:rsidP="005E4CB7">
            <w:pPr>
              <w:spacing w:after="0" w:line="240" w:lineRule="auto"/>
              <w:jc w:val="center"/>
              <w:rPr>
                <w:rFonts w:eastAsia="Times New Roman" w:cstheme="minorHAnsi"/>
                <w:color w:val="FFFFFF"/>
                <w:szCs w:val="18"/>
                <w:lang w:eastAsia="hr-HR"/>
              </w:rPr>
            </w:pPr>
            <w:r w:rsidRPr="005E4CB7">
              <w:rPr>
                <w:rFonts w:eastAsia="Times New Roman" w:cstheme="minorHAnsi"/>
                <w:color w:val="FFFFFF"/>
                <w:szCs w:val="18"/>
                <w:lang w:eastAsia="hr-HR"/>
              </w:rPr>
              <w:t>KRAPINSKO-ZAGORSKA ŽUPANIJA</w:t>
            </w:r>
          </w:p>
        </w:tc>
        <w:tc>
          <w:tcPr>
            <w:tcW w:w="2693" w:type="dxa"/>
            <w:gridSpan w:val="2"/>
            <w:tcBorders>
              <w:top w:val="nil"/>
              <w:bottom w:val="single" w:sz="4" w:space="0" w:color="FFFFFF"/>
              <w:right w:val="single" w:sz="8" w:space="0" w:color="D2232A"/>
            </w:tcBorders>
            <w:shd w:val="clear" w:color="auto" w:fill="E5E5E5" w:themeFill="text1" w:themeFillTint="33"/>
            <w:noWrap/>
            <w:vAlign w:val="center"/>
            <w:hideMark/>
          </w:tcPr>
          <w:p w14:paraId="4AE7A7FE" w14:textId="57ED684A" w:rsidR="008878A0" w:rsidRPr="005E4CB7" w:rsidRDefault="00C7437E" w:rsidP="005E4CB7">
            <w:pPr>
              <w:spacing w:after="0" w:line="240" w:lineRule="auto"/>
              <w:jc w:val="center"/>
              <w:rPr>
                <w:rFonts w:eastAsia="Times New Roman" w:cstheme="minorHAnsi"/>
                <w:szCs w:val="18"/>
                <w:lang w:eastAsia="hr-HR"/>
              </w:rPr>
            </w:pPr>
            <w:r>
              <w:rPr>
                <w:rFonts w:eastAsia="Times New Roman" w:cstheme="minorHAnsi"/>
                <w:szCs w:val="18"/>
                <w:lang w:eastAsia="hr-HR"/>
              </w:rPr>
              <w:t>SJEVERN</w:t>
            </w:r>
            <w:r w:rsidR="00463866" w:rsidRPr="005E4CB7">
              <w:rPr>
                <w:rFonts w:eastAsia="Times New Roman" w:cstheme="minorHAnsi"/>
                <w:szCs w:val="18"/>
                <w:lang w:eastAsia="hr-HR"/>
              </w:rPr>
              <w:t>A HRVATSKA</w:t>
            </w:r>
          </w:p>
        </w:tc>
        <w:tc>
          <w:tcPr>
            <w:tcW w:w="2693" w:type="dxa"/>
            <w:gridSpan w:val="2"/>
            <w:tcBorders>
              <w:top w:val="nil"/>
              <w:left w:val="single" w:sz="8" w:space="0" w:color="D2232A"/>
              <w:bottom w:val="single" w:sz="8" w:space="0" w:color="FFFFFF" w:themeColor="background1"/>
              <w:right w:val="single" w:sz="8" w:space="0" w:color="D2232A"/>
            </w:tcBorders>
            <w:shd w:val="clear" w:color="auto" w:fill="E5E5E5" w:themeFill="text1" w:themeFillTint="33"/>
            <w:noWrap/>
            <w:vAlign w:val="center"/>
            <w:hideMark/>
          </w:tcPr>
          <w:p w14:paraId="3424A779" w14:textId="7E9466E4" w:rsidR="008878A0" w:rsidRPr="005E4CB7" w:rsidRDefault="00463866" w:rsidP="005E4CB7">
            <w:pPr>
              <w:spacing w:after="0" w:line="240" w:lineRule="auto"/>
              <w:jc w:val="center"/>
              <w:rPr>
                <w:rFonts w:eastAsia="Times New Roman" w:cstheme="minorHAnsi"/>
                <w:szCs w:val="18"/>
                <w:lang w:eastAsia="hr-HR"/>
              </w:rPr>
            </w:pPr>
            <w:r w:rsidRPr="005E4CB7">
              <w:rPr>
                <w:rFonts w:eastAsia="Times New Roman" w:cstheme="minorHAnsi"/>
                <w:szCs w:val="18"/>
                <w:lang w:eastAsia="hr-HR"/>
              </w:rPr>
              <w:t>REPUBLIKA HRVATSKA</w:t>
            </w:r>
          </w:p>
        </w:tc>
      </w:tr>
      <w:tr w:rsidR="008878A0" w:rsidRPr="005E4CB7" w14:paraId="57078C9F" w14:textId="77777777" w:rsidTr="005E4CB7">
        <w:trPr>
          <w:trHeight w:val="310"/>
          <w:tblHeader/>
        </w:trPr>
        <w:tc>
          <w:tcPr>
            <w:tcW w:w="993" w:type="dxa"/>
            <w:vMerge/>
            <w:tcBorders>
              <w:right w:val="single" w:sz="8" w:space="0" w:color="F3CFC1"/>
            </w:tcBorders>
            <w:shd w:val="clear" w:color="auto" w:fill="D2232A"/>
            <w:vAlign w:val="center"/>
            <w:hideMark/>
          </w:tcPr>
          <w:p w14:paraId="23AA60DC" w14:textId="77777777" w:rsidR="008878A0" w:rsidRPr="005E4CB7" w:rsidRDefault="008878A0" w:rsidP="00941871">
            <w:pPr>
              <w:spacing w:after="0"/>
              <w:rPr>
                <w:rFonts w:eastAsia="Times New Roman" w:cstheme="minorHAnsi"/>
                <w:color w:val="FFFFFF"/>
                <w:szCs w:val="18"/>
                <w:lang w:eastAsia="hr-HR"/>
              </w:rPr>
            </w:pPr>
          </w:p>
        </w:tc>
        <w:tc>
          <w:tcPr>
            <w:tcW w:w="1346" w:type="dxa"/>
            <w:tcBorders>
              <w:left w:val="single" w:sz="8" w:space="0" w:color="F3CFC1"/>
              <w:bottom w:val="single" w:sz="4" w:space="0" w:color="FFFFFF"/>
            </w:tcBorders>
            <w:shd w:val="clear" w:color="auto" w:fill="D2232A"/>
            <w:noWrap/>
            <w:vAlign w:val="center"/>
            <w:hideMark/>
          </w:tcPr>
          <w:p w14:paraId="5A528EFE" w14:textId="77777777" w:rsidR="008878A0" w:rsidRPr="005E4CB7" w:rsidRDefault="008878A0" w:rsidP="00941871">
            <w:pPr>
              <w:spacing w:after="0" w:line="240" w:lineRule="auto"/>
              <w:rPr>
                <w:rFonts w:eastAsia="Times New Roman" w:cstheme="minorHAnsi"/>
                <w:color w:val="FFFFFF"/>
                <w:sz w:val="16"/>
                <w:szCs w:val="16"/>
                <w:lang w:eastAsia="hr-HR"/>
              </w:rPr>
            </w:pPr>
            <w:r w:rsidRPr="005E4CB7">
              <w:rPr>
                <w:rFonts w:eastAsia="Times New Roman" w:cstheme="minorHAnsi"/>
                <w:color w:val="FFFFFF"/>
                <w:sz w:val="16"/>
                <w:szCs w:val="16"/>
                <w:lang w:eastAsia="hr-HR"/>
              </w:rPr>
              <w:t>Kinematografi</w:t>
            </w:r>
          </w:p>
        </w:tc>
        <w:tc>
          <w:tcPr>
            <w:tcW w:w="1347" w:type="dxa"/>
            <w:tcBorders>
              <w:top w:val="single" w:sz="4" w:space="0" w:color="FFFFFF"/>
              <w:bottom w:val="single" w:sz="4" w:space="0" w:color="FFFFFF"/>
            </w:tcBorders>
            <w:shd w:val="clear" w:color="auto" w:fill="D2232A"/>
            <w:noWrap/>
            <w:vAlign w:val="center"/>
            <w:hideMark/>
          </w:tcPr>
          <w:p w14:paraId="2C449385" w14:textId="77777777" w:rsidR="008878A0" w:rsidRPr="005E4CB7" w:rsidRDefault="008878A0" w:rsidP="00941871">
            <w:pPr>
              <w:spacing w:after="0" w:line="240" w:lineRule="auto"/>
              <w:rPr>
                <w:rFonts w:eastAsia="Times New Roman" w:cstheme="minorHAnsi"/>
                <w:color w:val="FFFFFF"/>
                <w:sz w:val="16"/>
                <w:szCs w:val="16"/>
                <w:lang w:eastAsia="hr-HR"/>
              </w:rPr>
            </w:pPr>
            <w:r w:rsidRPr="005E4CB7">
              <w:rPr>
                <w:rFonts w:eastAsia="Times New Roman" w:cstheme="minorHAnsi"/>
                <w:color w:val="FFFFFF"/>
                <w:sz w:val="16"/>
                <w:szCs w:val="16"/>
                <w:lang w:eastAsia="hr-HR"/>
              </w:rPr>
              <w:t>Gledatelji</w:t>
            </w:r>
          </w:p>
        </w:tc>
        <w:tc>
          <w:tcPr>
            <w:tcW w:w="1346" w:type="dxa"/>
            <w:tcBorders>
              <w:top w:val="single" w:sz="4" w:space="0" w:color="FFFFFF"/>
              <w:bottom w:val="single" w:sz="4" w:space="0" w:color="FFFFFF"/>
            </w:tcBorders>
            <w:shd w:val="clear" w:color="auto" w:fill="E5E5E5" w:themeFill="text1" w:themeFillTint="33"/>
            <w:noWrap/>
            <w:vAlign w:val="center"/>
            <w:hideMark/>
          </w:tcPr>
          <w:p w14:paraId="5DDC28B6" w14:textId="77777777" w:rsidR="008878A0" w:rsidRPr="005E4CB7" w:rsidRDefault="008878A0" w:rsidP="00941871">
            <w:pPr>
              <w:spacing w:after="0" w:line="240" w:lineRule="auto"/>
              <w:rPr>
                <w:rFonts w:eastAsia="Times New Roman" w:cstheme="minorHAnsi"/>
                <w:sz w:val="16"/>
                <w:szCs w:val="16"/>
                <w:lang w:eastAsia="hr-HR"/>
              </w:rPr>
            </w:pPr>
            <w:r w:rsidRPr="005E4CB7">
              <w:rPr>
                <w:rFonts w:eastAsia="Times New Roman" w:cstheme="minorHAnsi"/>
                <w:sz w:val="16"/>
                <w:szCs w:val="16"/>
                <w:lang w:eastAsia="hr-HR"/>
              </w:rPr>
              <w:t>Kinematografi</w:t>
            </w:r>
          </w:p>
        </w:tc>
        <w:tc>
          <w:tcPr>
            <w:tcW w:w="1347" w:type="dxa"/>
            <w:tcBorders>
              <w:top w:val="single" w:sz="4" w:space="0" w:color="FFFFFF"/>
              <w:bottom w:val="single" w:sz="4" w:space="0" w:color="FFFFFF"/>
              <w:right w:val="single" w:sz="8" w:space="0" w:color="D2232A"/>
            </w:tcBorders>
            <w:shd w:val="clear" w:color="auto" w:fill="E5E5E5" w:themeFill="text1" w:themeFillTint="33"/>
            <w:noWrap/>
            <w:vAlign w:val="center"/>
            <w:hideMark/>
          </w:tcPr>
          <w:p w14:paraId="6212AE53" w14:textId="77777777" w:rsidR="008878A0" w:rsidRPr="005E4CB7" w:rsidRDefault="008878A0" w:rsidP="00941871">
            <w:pPr>
              <w:spacing w:after="0" w:line="240" w:lineRule="auto"/>
              <w:rPr>
                <w:rFonts w:eastAsia="Times New Roman" w:cstheme="minorHAnsi"/>
                <w:sz w:val="16"/>
                <w:szCs w:val="16"/>
                <w:lang w:eastAsia="hr-HR"/>
              </w:rPr>
            </w:pPr>
            <w:r w:rsidRPr="005E4CB7">
              <w:rPr>
                <w:rFonts w:eastAsia="Times New Roman" w:cstheme="minorHAnsi"/>
                <w:sz w:val="16"/>
                <w:szCs w:val="16"/>
                <w:lang w:eastAsia="hr-HR"/>
              </w:rPr>
              <w:t>Gledatelji</w:t>
            </w:r>
          </w:p>
        </w:tc>
        <w:tc>
          <w:tcPr>
            <w:tcW w:w="1346" w:type="dxa"/>
            <w:tcBorders>
              <w:top w:val="single" w:sz="8" w:space="0" w:color="FFFFFF" w:themeColor="background1"/>
              <w:left w:val="single" w:sz="8" w:space="0" w:color="D2232A"/>
              <w:bottom w:val="single" w:sz="4" w:space="0" w:color="FFFFFF"/>
            </w:tcBorders>
            <w:shd w:val="clear" w:color="auto" w:fill="E5E5E5" w:themeFill="text1" w:themeFillTint="33"/>
            <w:noWrap/>
            <w:vAlign w:val="center"/>
            <w:hideMark/>
          </w:tcPr>
          <w:p w14:paraId="01B688B0" w14:textId="77777777" w:rsidR="008878A0" w:rsidRPr="005E4CB7" w:rsidRDefault="008878A0" w:rsidP="00941871">
            <w:pPr>
              <w:spacing w:after="0" w:line="240" w:lineRule="auto"/>
              <w:rPr>
                <w:rFonts w:eastAsia="Times New Roman" w:cstheme="minorHAnsi"/>
                <w:sz w:val="16"/>
                <w:szCs w:val="16"/>
                <w:lang w:eastAsia="hr-HR"/>
              </w:rPr>
            </w:pPr>
            <w:r w:rsidRPr="005E4CB7">
              <w:rPr>
                <w:rFonts w:eastAsia="Times New Roman" w:cstheme="minorHAnsi"/>
                <w:sz w:val="16"/>
                <w:szCs w:val="16"/>
                <w:lang w:eastAsia="hr-HR"/>
              </w:rPr>
              <w:t>Kinematografi</w:t>
            </w:r>
          </w:p>
        </w:tc>
        <w:tc>
          <w:tcPr>
            <w:tcW w:w="1347" w:type="dxa"/>
            <w:tcBorders>
              <w:top w:val="single" w:sz="8" w:space="0" w:color="FFFFFF" w:themeColor="background1"/>
              <w:bottom w:val="single" w:sz="4" w:space="0" w:color="FFFFFF"/>
              <w:right w:val="single" w:sz="8" w:space="0" w:color="D2232A"/>
            </w:tcBorders>
            <w:shd w:val="clear" w:color="auto" w:fill="E5E5E5" w:themeFill="text1" w:themeFillTint="33"/>
            <w:noWrap/>
            <w:vAlign w:val="center"/>
            <w:hideMark/>
          </w:tcPr>
          <w:p w14:paraId="52A675F1" w14:textId="77777777" w:rsidR="008878A0" w:rsidRPr="005E4CB7" w:rsidRDefault="008878A0" w:rsidP="00941871">
            <w:pPr>
              <w:spacing w:after="0" w:line="240" w:lineRule="auto"/>
              <w:rPr>
                <w:rFonts w:eastAsia="Times New Roman" w:cstheme="minorHAnsi"/>
                <w:sz w:val="16"/>
                <w:szCs w:val="16"/>
                <w:lang w:eastAsia="hr-HR"/>
              </w:rPr>
            </w:pPr>
            <w:r w:rsidRPr="005E4CB7">
              <w:rPr>
                <w:rFonts w:eastAsia="Times New Roman" w:cstheme="minorHAnsi"/>
                <w:sz w:val="16"/>
                <w:szCs w:val="16"/>
                <w:lang w:eastAsia="hr-HR"/>
              </w:rPr>
              <w:t>Gledatelji</w:t>
            </w:r>
          </w:p>
        </w:tc>
      </w:tr>
      <w:tr w:rsidR="008878A0" w:rsidRPr="005E4CB7" w14:paraId="6250746D" w14:textId="77777777" w:rsidTr="005E4CB7">
        <w:trPr>
          <w:trHeight w:val="310"/>
        </w:trPr>
        <w:tc>
          <w:tcPr>
            <w:tcW w:w="993" w:type="dxa"/>
            <w:shd w:val="clear" w:color="auto" w:fill="D2232A"/>
            <w:noWrap/>
            <w:vAlign w:val="center"/>
            <w:hideMark/>
          </w:tcPr>
          <w:p w14:paraId="57AA9A15" w14:textId="607ECCA4" w:rsidR="008878A0" w:rsidRPr="005E4CB7" w:rsidRDefault="008878A0" w:rsidP="00941871">
            <w:pPr>
              <w:spacing w:after="0" w:line="240" w:lineRule="auto"/>
              <w:rPr>
                <w:rFonts w:eastAsia="Times New Roman" w:cstheme="minorHAnsi"/>
                <w:color w:val="FFFFFF"/>
                <w:szCs w:val="18"/>
                <w:lang w:eastAsia="hr-HR"/>
              </w:rPr>
            </w:pPr>
            <w:r w:rsidRPr="005E4CB7">
              <w:rPr>
                <w:rFonts w:eastAsia="Times New Roman" w:cstheme="minorHAnsi"/>
                <w:color w:val="FFFFFF"/>
                <w:szCs w:val="18"/>
                <w:lang w:eastAsia="hr-HR"/>
              </w:rPr>
              <w:t>2014</w:t>
            </w:r>
            <w:r w:rsidR="005E4CB7">
              <w:rPr>
                <w:rFonts w:eastAsia="Times New Roman" w:cstheme="minorHAnsi"/>
                <w:color w:val="FFFFFF"/>
                <w:szCs w:val="18"/>
                <w:lang w:eastAsia="hr-HR"/>
              </w:rPr>
              <w:t>.</w:t>
            </w:r>
          </w:p>
        </w:tc>
        <w:tc>
          <w:tcPr>
            <w:tcW w:w="1346" w:type="dxa"/>
            <w:tcBorders>
              <w:top w:val="single" w:sz="4" w:space="0" w:color="FFFFFF"/>
            </w:tcBorders>
            <w:noWrap/>
            <w:vAlign w:val="center"/>
            <w:hideMark/>
          </w:tcPr>
          <w:p w14:paraId="46E60E2A"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w:t>
            </w:r>
          </w:p>
        </w:tc>
        <w:tc>
          <w:tcPr>
            <w:tcW w:w="1347" w:type="dxa"/>
            <w:tcBorders>
              <w:top w:val="single" w:sz="4" w:space="0" w:color="FFFFFF"/>
              <w:right w:val="single" w:sz="8" w:space="0" w:color="D2232A"/>
            </w:tcBorders>
            <w:noWrap/>
            <w:vAlign w:val="center"/>
            <w:hideMark/>
          </w:tcPr>
          <w:p w14:paraId="02BA48BD"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4.623</w:t>
            </w:r>
          </w:p>
        </w:tc>
        <w:tc>
          <w:tcPr>
            <w:tcW w:w="1346" w:type="dxa"/>
            <w:tcBorders>
              <w:top w:val="single" w:sz="4" w:space="0" w:color="FFFFFF"/>
              <w:left w:val="single" w:sz="8" w:space="0" w:color="D2232A"/>
            </w:tcBorders>
            <w:noWrap/>
            <w:vAlign w:val="center"/>
          </w:tcPr>
          <w:p w14:paraId="3F852838" w14:textId="3B340F39" w:rsidR="008878A0" w:rsidRPr="005E4CB7" w:rsidRDefault="005E4CB7"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10</w:t>
            </w:r>
          </w:p>
        </w:tc>
        <w:tc>
          <w:tcPr>
            <w:tcW w:w="1347" w:type="dxa"/>
            <w:tcBorders>
              <w:top w:val="single" w:sz="4" w:space="0" w:color="FFFFFF"/>
              <w:right w:val="single" w:sz="8" w:space="0" w:color="D2232A"/>
            </w:tcBorders>
            <w:noWrap/>
            <w:vAlign w:val="center"/>
          </w:tcPr>
          <w:p w14:paraId="7264B09A" w14:textId="27A6F83F" w:rsidR="008878A0" w:rsidRPr="005E4CB7" w:rsidRDefault="005E4CB7"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245.101</w:t>
            </w:r>
          </w:p>
        </w:tc>
        <w:tc>
          <w:tcPr>
            <w:tcW w:w="1346" w:type="dxa"/>
            <w:tcBorders>
              <w:top w:val="single" w:sz="4" w:space="0" w:color="FFFFFF"/>
              <w:left w:val="single" w:sz="8" w:space="0" w:color="D2232A"/>
              <w:right w:val="single" w:sz="8" w:space="0" w:color="FFFFFF" w:themeColor="background1"/>
            </w:tcBorders>
            <w:noWrap/>
            <w:vAlign w:val="center"/>
            <w:hideMark/>
          </w:tcPr>
          <w:p w14:paraId="1BD806FF"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67</w:t>
            </w:r>
          </w:p>
        </w:tc>
        <w:tc>
          <w:tcPr>
            <w:tcW w:w="1347" w:type="dxa"/>
            <w:tcBorders>
              <w:top w:val="single" w:sz="4" w:space="0" w:color="FFFFFF"/>
              <w:left w:val="single" w:sz="8" w:space="0" w:color="FFFFFF" w:themeColor="background1"/>
              <w:right w:val="single" w:sz="8" w:space="0" w:color="D2232A"/>
            </w:tcBorders>
            <w:noWrap/>
            <w:vAlign w:val="center"/>
            <w:hideMark/>
          </w:tcPr>
          <w:p w14:paraId="499132A3"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4.079.522</w:t>
            </w:r>
          </w:p>
        </w:tc>
      </w:tr>
      <w:tr w:rsidR="008878A0" w:rsidRPr="005E4CB7" w14:paraId="70D8EA7F" w14:textId="77777777" w:rsidTr="005E4CB7">
        <w:trPr>
          <w:trHeight w:val="310"/>
        </w:trPr>
        <w:tc>
          <w:tcPr>
            <w:tcW w:w="993" w:type="dxa"/>
            <w:shd w:val="clear" w:color="auto" w:fill="D2232A"/>
            <w:noWrap/>
            <w:vAlign w:val="center"/>
            <w:hideMark/>
          </w:tcPr>
          <w:p w14:paraId="438F51F0" w14:textId="7B7D9B79" w:rsidR="008878A0" w:rsidRPr="005E4CB7" w:rsidRDefault="008878A0" w:rsidP="00941871">
            <w:pPr>
              <w:spacing w:after="0" w:line="240" w:lineRule="auto"/>
              <w:rPr>
                <w:rFonts w:eastAsia="Times New Roman" w:cstheme="minorHAnsi"/>
                <w:color w:val="FFFFFF"/>
                <w:szCs w:val="18"/>
                <w:lang w:eastAsia="hr-HR"/>
              </w:rPr>
            </w:pPr>
            <w:r w:rsidRPr="005E4CB7">
              <w:rPr>
                <w:rFonts w:eastAsia="Times New Roman" w:cstheme="minorHAnsi"/>
                <w:color w:val="FFFFFF"/>
                <w:szCs w:val="18"/>
                <w:lang w:eastAsia="hr-HR"/>
              </w:rPr>
              <w:t>2015</w:t>
            </w:r>
            <w:r w:rsidR="005E4CB7">
              <w:rPr>
                <w:rFonts w:eastAsia="Times New Roman" w:cstheme="minorHAnsi"/>
                <w:color w:val="FFFFFF"/>
                <w:szCs w:val="18"/>
                <w:lang w:eastAsia="hr-HR"/>
              </w:rPr>
              <w:t>.</w:t>
            </w:r>
          </w:p>
        </w:tc>
        <w:tc>
          <w:tcPr>
            <w:tcW w:w="1346" w:type="dxa"/>
            <w:noWrap/>
            <w:vAlign w:val="center"/>
            <w:hideMark/>
          </w:tcPr>
          <w:p w14:paraId="6C4743F2"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w:t>
            </w:r>
          </w:p>
        </w:tc>
        <w:tc>
          <w:tcPr>
            <w:tcW w:w="1347" w:type="dxa"/>
            <w:tcBorders>
              <w:right w:val="single" w:sz="8" w:space="0" w:color="D2232A"/>
            </w:tcBorders>
            <w:noWrap/>
            <w:vAlign w:val="center"/>
            <w:hideMark/>
          </w:tcPr>
          <w:p w14:paraId="05067A01"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5.881</w:t>
            </w:r>
          </w:p>
        </w:tc>
        <w:tc>
          <w:tcPr>
            <w:tcW w:w="1346" w:type="dxa"/>
            <w:tcBorders>
              <w:left w:val="single" w:sz="8" w:space="0" w:color="D2232A"/>
            </w:tcBorders>
            <w:noWrap/>
            <w:vAlign w:val="center"/>
          </w:tcPr>
          <w:p w14:paraId="648318CE" w14:textId="39D1B19F" w:rsidR="008878A0" w:rsidRPr="005E4CB7" w:rsidRDefault="005E4CB7"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11</w:t>
            </w:r>
          </w:p>
        </w:tc>
        <w:tc>
          <w:tcPr>
            <w:tcW w:w="1347" w:type="dxa"/>
            <w:tcBorders>
              <w:right w:val="single" w:sz="8" w:space="0" w:color="D2232A"/>
            </w:tcBorders>
            <w:noWrap/>
            <w:vAlign w:val="center"/>
          </w:tcPr>
          <w:p w14:paraId="145B89A1" w14:textId="65A39B22" w:rsidR="008878A0" w:rsidRPr="005E4CB7" w:rsidRDefault="005E4CB7"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269.998</w:t>
            </w:r>
          </w:p>
        </w:tc>
        <w:tc>
          <w:tcPr>
            <w:tcW w:w="1346" w:type="dxa"/>
            <w:tcBorders>
              <w:left w:val="single" w:sz="8" w:space="0" w:color="D2232A"/>
              <w:right w:val="single" w:sz="8" w:space="0" w:color="FFFFFF" w:themeColor="background1"/>
            </w:tcBorders>
            <w:noWrap/>
            <w:vAlign w:val="center"/>
            <w:hideMark/>
          </w:tcPr>
          <w:p w14:paraId="16BBA375"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78</w:t>
            </w:r>
          </w:p>
        </w:tc>
        <w:tc>
          <w:tcPr>
            <w:tcW w:w="1347" w:type="dxa"/>
            <w:tcBorders>
              <w:left w:val="single" w:sz="8" w:space="0" w:color="FFFFFF" w:themeColor="background1"/>
              <w:right w:val="single" w:sz="8" w:space="0" w:color="D2232A"/>
            </w:tcBorders>
            <w:noWrap/>
            <w:vAlign w:val="center"/>
            <w:hideMark/>
          </w:tcPr>
          <w:p w14:paraId="377A7B4C"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4.347.959</w:t>
            </w:r>
          </w:p>
        </w:tc>
      </w:tr>
      <w:tr w:rsidR="008878A0" w:rsidRPr="005E4CB7" w14:paraId="0716E41A" w14:textId="77777777" w:rsidTr="005E4CB7">
        <w:trPr>
          <w:trHeight w:val="310"/>
        </w:trPr>
        <w:tc>
          <w:tcPr>
            <w:tcW w:w="993" w:type="dxa"/>
            <w:tcBorders>
              <w:bottom w:val="single" w:sz="8" w:space="0" w:color="F3CFC1"/>
            </w:tcBorders>
            <w:shd w:val="clear" w:color="auto" w:fill="D2232A"/>
            <w:noWrap/>
            <w:vAlign w:val="center"/>
            <w:hideMark/>
          </w:tcPr>
          <w:p w14:paraId="4CA90CD0" w14:textId="1CC26061" w:rsidR="008878A0" w:rsidRPr="005E4CB7" w:rsidRDefault="008878A0" w:rsidP="00941871">
            <w:pPr>
              <w:spacing w:after="0" w:line="240" w:lineRule="auto"/>
              <w:rPr>
                <w:rFonts w:eastAsia="Times New Roman" w:cstheme="minorHAnsi"/>
                <w:color w:val="FFFFFF"/>
                <w:szCs w:val="18"/>
                <w:lang w:eastAsia="hr-HR"/>
              </w:rPr>
            </w:pPr>
            <w:r w:rsidRPr="005E4CB7">
              <w:rPr>
                <w:rFonts w:eastAsia="Times New Roman" w:cstheme="minorHAnsi"/>
                <w:color w:val="FFFFFF"/>
                <w:szCs w:val="18"/>
                <w:lang w:eastAsia="hr-HR"/>
              </w:rPr>
              <w:t>2016</w:t>
            </w:r>
            <w:r w:rsidR="005E4CB7">
              <w:rPr>
                <w:rFonts w:eastAsia="Times New Roman" w:cstheme="minorHAnsi"/>
                <w:color w:val="FFFFFF"/>
                <w:szCs w:val="18"/>
                <w:lang w:eastAsia="hr-HR"/>
              </w:rPr>
              <w:t>.</w:t>
            </w:r>
          </w:p>
        </w:tc>
        <w:tc>
          <w:tcPr>
            <w:tcW w:w="1346" w:type="dxa"/>
            <w:noWrap/>
            <w:vAlign w:val="center"/>
            <w:hideMark/>
          </w:tcPr>
          <w:p w14:paraId="0C5D5903"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w:t>
            </w:r>
          </w:p>
        </w:tc>
        <w:tc>
          <w:tcPr>
            <w:tcW w:w="1347" w:type="dxa"/>
            <w:tcBorders>
              <w:right w:val="single" w:sz="8" w:space="0" w:color="D2232A"/>
            </w:tcBorders>
            <w:noWrap/>
            <w:vAlign w:val="center"/>
            <w:hideMark/>
          </w:tcPr>
          <w:p w14:paraId="742C8C92"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6.118</w:t>
            </w:r>
          </w:p>
        </w:tc>
        <w:tc>
          <w:tcPr>
            <w:tcW w:w="1346" w:type="dxa"/>
            <w:tcBorders>
              <w:left w:val="single" w:sz="8" w:space="0" w:color="D2232A"/>
            </w:tcBorders>
            <w:noWrap/>
            <w:vAlign w:val="center"/>
          </w:tcPr>
          <w:p w14:paraId="6C19BDFD" w14:textId="3C97E253" w:rsidR="008878A0" w:rsidRPr="005E4CB7" w:rsidRDefault="005E4CB7"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9</w:t>
            </w:r>
          </w:p>
        </w:tc>
        <w:tc>
          <w:tcPr>
            <w:tcW w:w="1347" w:type="dxa"/>
            <w:tcBorders>
              <w:right w:val="single" w:sz="8" w:space="0" w:color="D2232A"/>
            </w:tcBorders>
            <w:noWrap/>
            <w:vAlign w:val="center"/>
          </w:tcPr>
          <w:p w14:paraId="329A83FA" w14:textId="1D337DE9" w:rsidR="008878A0" w:rsidRPr="005E4CB7" w:rsidRDefault="005E4CB7"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289.527</w:t>
            </w:r>
          </w:p>
        </w:tc>
        <w:tc>
          <w:tcPr>
            <w:tcW w:w="1346" w:type="dxa"/>
            <w:tcBorders>
              <w:left w:val="single" w:sz="8" w:space="0" w:color="D2232A"/>
              <w:right w:val="single" w:sz="8" w:space="0" w:color="FFFFFF" w:themeColor="background1"/>
            </w:tcBorders>
            <w:noWrap/>
            <w:vAlign w:val="center"/>
            <w:hideMark/>
          </w:tcPr>
          <w:p w14:paraId="6CC5EB67"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70</w:t>
            </w:r>
          </w:p>
        </w:tc>
        <w:tc>
          <w:tcPr>
            <w:tcW w:w="1347" w:type="dxa"/>
            <w:tcBorders>
              <w:left w:val="single" w:sz="8" w:space="0" w:color="FFFFFF" w:themeColor="background1"/>
              <w:right w:val="single" w:sz="8" w:space="0" w:color="D2232A"/>
            </w:tcBorders>
            <w:noWrap/>
            <w:vAlign w:val="center"/>
            <w:hideMark/>
          </w:tcPr>
          <w:p w14:paraId="7FE4C999"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4.531.922</w:t>
            </w:r>
          </w:p>
        </w:tc>
      </w:tr>
      <w:tr w:rsidR="008878A0" w:rsidRPr="005E4CB7" w14:paraId="29C780A0" w14:textId="77777777" w:rsidTr="001C6928">
        <w:trPr>
          <w:trHeight w:val="310"/>
        </w:trPr>
        <w:tc>
          <w:tcPr>
            <w:tcW w:w="993" w:type="dxa"/>
            <w:tcBorders>
              <w:top w:val="single" w:sz="8" w:space="0" w:color="F3CFC1"/>
              <w:bottom w:val="single" w:sz="8" w:space="0" w:color="F3CFC1"/>
            </w:tcBorders>
            <w:shd w:val="clear" w:color="auto" w:fill="D2232A"/>
            <w:noWrap/>
            <w:vAlign w:val="center"/>
            <w:hideMark/>
          </w:tcPr>
          <w:p w14:paraId="1439741E" w14:textId="67F8209C" w:rsidR="008878A0" w:rsidRPr="005E4CB7" w:rsidRDefault="008878A0" w:rsidP="00941871">
            <w:pPr>
              <w:spacing w:after="0" w:line="240" w:lineRule="auto"/>
              <w:rPr>
                <w:rFonts w:eastAsia="Times New Roman" w:cstheme="minorHAnsi"/>
                <w:color w:val="FFFFFF"/>
                <w:szCs w:val="18"/>
                <w:lang w:eastAsia="hr-HR"/>
              </w:rPr>
            </w:pPr>
            <w:r w:rsidRPr="005E4CB7">
              <w:rPr>
                <w:rFonts w:eastAsia="Times New Roman" w:cstheme="minorHAnsi"/>
                <w:color w:val="FFFFFF"/>
                <w:szCs w:val="18"/>
                <w:lang w:eastAsia="hr-HR"/>
              </w:rPr>
              <w:t>2017</w:t>
            </w:r>
            <w:r w:rsidR="005E4CB7">
              <w:rPr>
                <w:rFonts w:eastAsia="Times New Roman" w:cstheme="minorHAnsi"/>
                <w:color w:val="FFFFFF"/>
                <w:szCs w:val="18"/>
                <w:lang w:eastAsia="hr-HR"/>
              </w:rPr>
              <w:t>.</w:t>
            </w:r>
          </w:p>
        </w:tc>
        <w:tc>
          <w:tcPr>
            <w:tcW w:w="1346" w:type="dxa"/>
            <w:noWrap/>
            <w:vAlign w:val="center"/>
            <w:hideMark/>
          </w:tcPr>
          <w:p w14:paraId="7B285EFD"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w:t>
            </w:r>
          </w:p>
        </w:tc>
        <w:tc>
          <w:tcPr>
            <w:tcW w:w="1347" w:type="dxa"/>
            <w:tcBorders>
              <w:right w:val="single" w:sz="8" w:space="0" w:color="D2232A"/>
            </w:tcBorders>
            <w:noWrap/>
            <w:vAlign w:val="center"/>
            <w:hideMark/>
          </w:tcPr>
          <w:p w14:paraId="56D103AC"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7.479</w:t>
            </w:r>
          </w:p>
        </w:tc>
        <w:tc>
          <w:tcPr>
            <w:tcW w:w="1346" w:type="dxa"/>
            <w:tcBorders>
              <w:left w:val="single" w:sz="8" w:space="0" w:color="D2232A"/>
            </w:tcBorders>
            <w:noWrap/>
            <w:vAlign w:val="center"/>
          </w:tcPr>
          <w:p w14:paraId="2B86CFC0" w14:textId="06F3FD38" w:rsidR="008878A0" w:rsidRPr="005E4CB7" w:rsidRDefault="005E4CB7"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10</w:t>
            </w:r>
          </w:p>
        </w:tc>
        <w:tc>
          <w:tcPr>
            <w:tcW w:w="1347" w:type="dxa"/>
            <w:tcBorders>
              <w:right w:val="single" w:sz="8" w:space="0" w:color="D2232A"/>
            </w:tcBorders>
            <w:noWrap/>
            <w:vAlign w:val="center"/>
          </w:tcPr>
          <w:p w14:paraId="6DDCD2A9" w14:textId="31A80E1C" w:rsidR="008878A0" w:rsidRPr="005E4CB7" w:rsidRDefault="005E4CB7"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337.042</w:t>
            </w:r>
          </w:p>
        </w:tc>
        <w:tc>
          <w:tcPr>
            <w:tcW w:w="1346" w:type="dxa"/>
            <w:tcBorders>
              <w:left w:val="single" w:sz="8" w:space="0" w:color="D2232A"/>
              <w:right w:val="single" w:sz="8" w:space="0" w:color="FFFFFF" w:themeColor="background1"/>
            </w:tcBorders>
            <w:noWrap/>
            <w:vAlign w:val="center"/>
            <w:hideMark/>
          </w:tcPr>
          <w:p w14:paraId="4B8A9C66"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71</w:t>
            </w:r>
          </w:p>
        </w:tc>
        <w:tc>
          <w:tcPr>
            <w:tcW w:w="1347" w:type="dxa"/>
            <w:tcBorders>
              <w:left w:val="single" w:sz="8" w:space="0" w:color="FFFFFF" w:themeColor="background1"/>
              <w:right w:val="single" w:sz="8" w:space="0" w:color="D2232A"/>
            </w:tcBorders>
            <w:noWrap/>
            <w:vAlign w:val="center"/>
            <w:hideMark/>
          </w:tcPr>
          <w:p w14:paraId="1F9ECA66"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4.813.538</w:t>
            </w:r>
          </w:p>
        </w:tc>
      </w:tr>
      <w:tr w:rsidR="001C6928" w:rsidRPr="005E4CB7" w14:paraId="4CC13D82" w14:textId="77777777" w:rsidTr="001C6928">
        <w:trPr>
          <w:trHeight w:val="310"/>
        </w:trPr>
        <w:tc>
          <w:tcPr>
            <w:tcW w:w="993" w:type="dxa"/>
            <w:tcBorders>
              <w:top w:val="single" w:sz="8" w:space="0" w:color="F3CFC1"/>
              <w:bottom w:val="single" w:sz="8" w:space="0" w:color="F3CFC1"/>
            </w:tcBorders>
            <w:shd w:val="clear" w:color="auto" w:fill="D2232A"/>
            <w:noWrap/>
            <w:vAlign w:val="center"/>
          </w:tcPr>
          <w:p w14:paraId="558AFFF6" w14:textId="501653F4" w:rsidR="001C6928" w:rsidRPr="005E4CB7" w:rsidRDefault="001C6928" w:rsidP="00941871">
            <w:pPr>
              <w:spacing w:after="0" w:line="240" w:lineRule="auto"/>
              <w:rPr>
                <w:rFonts w:eastAsia="Times New Roman" w:cstheme="minorHAnsi"/>
                <w:color w:val="FFFFFF"/>
                <w:szCs w:val="18"/>
                <w:lang w:eastAsia="hr-HR"/>
              </w:rPr>
            </w:pPr>
            <w:r>
              <w:rPr>
                <w:rFonts w:eastAsia="Times New Roman" w:cstheme="minorHAnsi"/>
                <w:color w:val="FFFFFF"/>
                <w:szCs w:val="18"/>
                <w:lang w:eastAsia="hr-HR"/>
              </w:rPr>
              <w:t>2018.</w:t>
            </w:r>
          </w:p>
        </w:tc>
        <w:tc>
          <w:tcPr>
            <w:tcW w:w="1346" w:type="dxa"/>
            <w:noWrap/>
            <w:vAlign w:val="center"/>
          </w:tcPr>
          <w:p w14:paraId="508A64EC" w14:textId="4D8FDB90"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w:t>
            </w:r>
          </w:p>
        </w:tc>
        <w:tc>
          <w:tcPr>
            <w:tcW w:w="1347" w:type="dxa"/>
            <w:tcBorders>
              <w:right w:val="single" w:sz="8" w:space="0" w:color="D2232A"/>
            </w:tcBorders>
            <w:noWrap/>
            <w:vAlign w:val="center"/>
          </w:tcPr>
          <w:p w14:paraId="684E826E" w14:textId="58E34118"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7.140</w:t>
            </w:r>
          </w:p>
        </w:tc>
        <w:tc>
          <w:tcPr>
            <w:tcW w:w="1346" w:type="dxa"/>
            <w:tcBorders>
              <w:left w:val="single" w:sz="8" w:space="0" w:color="D2232A"/>
            </w:tcBorders>
            <w:noWrap/>
            <w:vAlign w:val="center"/>
          </w:tcPr>
          <w:p w14:paraId="26EEA7DB" w14:textId="2CA4F34A"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w:t>
            </w:r>
          </w:p>
        </w:tc>
        <w:tc>
          <w:tcPr>
            <w:tcW w:w="1347" w:type="dxa"/>
            <w:tcBorders>
              <w:right w:val="single" w:sz="8" w:space="0" w:color="D2232A"/>
            </w:tcBorders>
            <w:noWrap/>
            <w:vAlign w:val="center"/>
          </w:tcPr>
          <w:p w14:paraId="2CAA33A2" w14:textId="2EAFB744"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347.299</w:t>
            </w:r>
          </w:p>
        </w:tc>
        <w:tc>
          <w:tcPr>
            <w:tcW w:w="1346" w:type="dxa"/>
            <w:tcBorders>
              <w:left w:val="single" w:sz="8" w:space="0" w:color="D2232A"/>
              <w:right w:val="single" w:sz="8" w:space="0" w:color="FFFFFF" w:themeColor="background1"/>
            </w:tcBorders>
            <w:noWrap/>
            <w:vAlign w:val="center"/>
          </w:tcPr>
          <w:p w14:paraId="188B94BD" w14:textId="2AAA112D"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77</w:t>
            </w:r>
          </w:p>
        </w:tc>
        <w:tc>
          <w:tcPr>
            <w:tcW w:w="1347" w:type="dxa"/>
            <w:tcBorders>
              <w:left w:val="single" w:sz="8" w:space="0" w:color="FFFFFF" w:themeColor="background1"/>
              <w:right w:val="single" w:sz="8" w:space="0" w:color="D2232A"/>
            </w:tcBorders>
            <w:noWrap/>
            <w:vAlign w:val="center"/>
          </w:tcPr>
          <w:p w14:paraId="3DD5C3B1" w14:textId="56332981"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4.859.686</w:t>
            </w:r>
          </w:p>
        </w:tc>
      </w:tr>
      <w:tr w:rsidR="001C6928" w:rsidRPr="005E4CB7" w14:paraId="5598B21D" w14:textId="77777777" w:rsidTr="005E4CB7">
        <w:trPr>
          <w:trHeight w:val="310"/>
        </w:trPr>
        <w:tc>
          <w:tcPr>
            <w:tcW w:w="993" w:type="dxa"/>
            <w:tcBorders>
              <w:top w:val="single" w:sz="8" w:space="0" w:color="F3CFC1"/>
              <w:bottom w:val="nil"/>
            </w:tcBorders>
            <w:shd w:val="clear" w:color="auto" w:fill="D2232A"/>
            <w:noWrap/>
            <w:vAlign w:val="center"/>
          </w:tcPr>
          <w:p w14:paraId="5876DE9F" w14:textId="594BB0A7" w:rsidR="001C6928" w:rsidRPr="005E4CB7" w:rsidRDefault="001C6928" w:rsidP="00941871">
            <w:pPr>
              <w:spacing w:after="0" w:line="240" w:lineRule="auto"/>
              <w:rPr>
                <w:rFonts w:eastAsia="Times New Roman" w:cstheme="minorHAnsi"/>
                <w:color w:val="FFFFFF"/>
                <w:szCs w:val="18"/>
                <w:lang w:eastAsia="hr-HR"/>
              </w:rPr>
            </w:pPr>
            <w:r>
              <w:rPr>
                <w:rFonts w:eastAsia="Times New Roman" w:cstheme="minorHAnsi"/>
                <w:color w:val="FFFFFF"/>
                <w:szCs w:val="18"/>
                <w:lang w:eastAsia="hr-HR"/>
              </w:rPr>
              <w:t>2019.</w:t>
            </w:r>
          </w:p>
        </w:tc>
        <w:tc>
          <w:tcPr>
            <w:tcW w:w="1346" w:type="dxa"/>
            <w:tcBorders>
              <w:bottom w:val="nil"/>
            </w:tcBorders>
            <w:noWrap/>
            <w:vAlign w:val="center"/>
          </w:tcPr>
          <w:p w14:paraId="63475971" w14:textId="22E70F96"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w:t>
            </w:r>
          </w:p>
        </w:tc>
        <w:tc>
          <w:tcPr>
            <w:tcW w:w="1347" w:type="dxa"/>
            <w:tcBorders>
              <w:bottom w:val="nil"/>
              <w:right w:val="single" w:sz="8" w:space="0" w:color="D2232A"/>
            </w:tcBorders>
            <w:noWrap/>
            <w:vAlign w:val="center"/>
          </w:tcPr>
          <w:p w14:paraId="433F4288" w14:textId="4B2F8C4A"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8.030</w:t>
            </w:r>
          </w:p>
        </w:tc>
        <w:tc>
          <w:tcPr>
            <w:tcW w:w="1346" w:type="dxa"/>
            <w:tcBorders>
              <w:left w:val="single" w:sz="8" w:space="0" w:color="D2232A"/>
              <w:bottom w:val="nil"/>
            </w:tcBorders>
            <w:noWrap/>
            <w:vAlign w:val="center"/>
          </w:tcPr>
          <w:p w14:paraId="6CE82642" w14:textId="1F28AB21"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w:t>
            </w:r>
          </w:p>
        </w:tc>
        <w:tc>
          <w:tcPr>
            <w:tcW w:w="1347" w:type="dxa"/>
            <w:tcBorders>
              <w:bottom w:val="nil"/>
              <w:right w:val="single" w:sz="8" w:space="0" w:color="D2232A"/>
            </w:tcBorders>
            <w:noWrap/>
            <w:vAlign w:val="center"/>
          </w:tcPr>
          <w:p w14:paraId="21109D6D" w14:textId="26167FED"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387.243</w:t>
            </w:r>
          </w:p>
        </w:tc>
        <w:tc>
          <w:tcPr>
            <w:tcW w:w="1346" w:type="dxa"/>
            <w:tcBorders>
              <w:left w:val="single" w:sz="8" w:space="0" w:color="D2232A"/>
              <w:bottom w:val="nil"/>
              <w:right w:val="single" w:sz="8" w:space="0" w:color="FFFFFF" w:themeColor="background1"/>
            </w:tcBorders>
            <w:noWrap/>
            <w:vAlign w:val="center"/>
          </w:tcPr>
          <w:p w14:paraId="1574245C" w14:textId="46A9B73C"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75</w:t>
            </w:r>
          </w:p>
        </w:tc>
        <w:tc>
          <w:tcPr>
            <w:tcW w:w="1347" w:type="dxa"/>
            <w:tcBorders>
              <w:left w:val="single" w:sz="8" w:space="0" w:color="FFFFFF" w:themeColor="background1"/>
              <w:bottom w:val="nil"/>
              <w:right w:val="single" w:sz="8" w:space="0" w:color="D2232A"/>
            </w:tcBorders>
            <w:noWrap/>
            <w:vAlign w:val="center"/>
          </w:tcPr>
          <w:p w14:paraId="23A39505" w14:textId="23FCDB2A" w:rsidR="001C6928" w:rsidRPr="005E4CB7" w:rsidRDefault="001C6928"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5.026.447</w:t>
            </w:r>
          </w:p>
        </w:tc>
      </w:tr>
    </w:tbl>
    <w:p w14:paraId="02C661E9" w14:textId="526C188E" w:rsidR="008878A0" w:rsidRPr="003D517E" w:rsidRDefault="008878A0" w:rsidP="003C2276">
      <w:pPr>
        <w:pStyle w:val="Izvor"/>
        <w:rPr>
          <w:i/>
          <w:color w:val="ABABAB" w:themeColor="text1" w:themeTint="A6"/>
          <w:sz w:val="16"/>
          <w:szCs w:val="16"/>
        </w:rPr>
      </w:pPr>
      <w:r w:rsidRPr="003D517E">
        <w:rPr>
          <w:i/>
          <w:color w:val="ABABAB" w:themeColor="text1" w:themeTint="A6"/>
          <w:sz w:val="16"/>
          <w:szCs w:val="16"/>
        </w:rPr>
        <w:t>DZS, Statistička izvješća, Kultura i umjetnost 2014., 2015., 2016.</w:t>
      </w:r>
      <w:r w:rsidR="001C6928" w:rsidRPr="003D517E">
        <w:rPr>
          <w:i/>
          <w:color w:val="ABABAB" w:themeColor="text1" w:themeTint="A6"/>
          <w:sz w:val="16"/>
          <w:szCs w:val="16"/>
        </w:rPr>
        <w:t>, 2017.</w:t>
      </w:r>
      <w:r w:rsidR="00962400" w:rsidRPr="003D517E">
        <w:rPr>
          <w:i/>
          <w:color w:val="ABABAB" w:themeColor="text1" w:themeTint="A6"/>
          <w:sz w:val="16"/>
          <w:szCs w:val="16"/>
        </w:rPr>
        <w:t>, 2018. i 2019.</w:t>
      </w:r>
    </w:p>
    <w:p w14:paraId="7A8F2D19" w14:textId="77777777" w:rsidR="0024292A" w:rsidRDefault="0024292A" w:rsidP="00941871">
      <w:pPr>
        <w:autoSpaceDE w:val="0"/>
        <w:autoSpaceDN w:val="0"/>
        <w:adjustRightInd w:val="0"/>
        <w:spacing w:after="0" w:line="240" w:lineRule="auto"/>
        <w:rPr>
          <w:rFonts w:eastAsia="ArialNarrow" w:cstheme="minorHAnsi"/>
        </w:rPr>
      </w:pPr>
    </w:p>
    <w:p w14:paraId="0FA6E085" w14:textId="68A0C414" w:rsidR="008878A0" w:rsidRDefault="008878A0" w:rsidP="00941871">
      <w:pPr>
        <w:autoSpaceDE w:val="0"/>
        <w:autoSpaceDN w:val="0"/>
        <w:adjustRightInd w:val="0"/>
        <w:spacing w:after="0" w:line="240" w:lineRule="auto"/>
        <w:rPr>
          <w:rFonts w:eastAsia="ArialNarrow" w:cstheme="minorHAnsi"/>
          <w:sz w:val="22"/>
        </w:rPr>
      </w:pPr>
      <w:r>
        <w:rPr>
          <w:rFonts w:eastAsia="ArialNarrow" w:cstheme="minorHAnsi"/>
        </w:rPr>
        <w:t xml:space="preserve">Što se Krapinsko-zagorske županije tiče zabilježeni broj gledatelja porastao je s 4.623 u 2014. godini na </w:t>
      </w:r>
      <w:r w:rsidR="001C6928">
        <w:rPr>
          <w:rFonts w:eastAsia="ArialNarrow" w:cstheme="minorHAnsi"/>
        </w:rPr>
        <w:t>8.030</w:t>
      </w:r>
      <w:r>
        <w:rPr>
          <w:rFonts w:eastAsia="ArialNarrow" w:cstheme="minorHAnsi"/>
        </w:rPr>
        <w:t xml:space="preserve"> u 201</w:t>
      </w:r>
      <w:r w:rsidR="001C6928">
        <w:rPr>
          <w:rFonts w:eastAsia="ArialNarrow" w:cstheme="minorHAnsi"/>
        </w:rPr>
        <w:t>9</w:t>
      </w:r>
      <w:r>
        <w:rPr>
          <w:rFonts w:eastAsia="ArialNarrow" w:cstheme="minorHAnsi"/>
        </w:rPr>
        <w:t xml:space="preserve">. što je nominalno povećanje od </w:t>
      </w:r>
      <w:r w:rsidR="001C6928">
        <w:rPr>
          <w:rFonts w:eastAsia="ArialNarrow" w:cstheme="minorHAnsi"/>
        </w:rPr>
        <w:t>3.407</w:t>
      </w:r>
      <w:r>
        <w:rPr>
          <w:rFonts w:eastAsia="ArialNarrow" w:cstheme="minorHAnsi"/>
        </w:rPr>
        <w:t xml:space="preserve"> </w:t>
      </w:r>
      <w:r w:rsidR="00860E6C">
        <w:rPr>
          <w:rFonts w:eastAsia="ArialNarrow" w:cstheme="minorHAnsi"/>
        </w:rPr>
        <w:t>(</w:t>
      </w:r>
      <w:r w:rsidR="001C6928">
        <w:rPr>
          <w:rFonts w:eastAsia="ArialNarrow" w:cstheme="minorHAnsi"/>
        </w:rPr>
        <w:t>73,7</w:t>
      </w:r>
      <w:r>
        <w:rPr>
          <w:rFonts w:eastAsia="ArialNarrow" w:cstheme="minorHAnsi"/>
        </w:rPr>
        <w:t>%</w:t>
      </w:r>
      <w:r w:rsidR="00860E6C">
        <w:rPr>
          <w:rFonts w:eastAsia="ArialNarrow" w:cstheme="minorHAnsi"/>
        </w:rPr>
        <w:t>)</w:t>
      </w:r>
      <w:r>
        <w:rPr>
          <w:rFonts w:eastAsia="ArialNarrow" w:cstheme="minorHAnsi"/>
        </w:rPr>
        <w:t xml:space="preserve">. </w:t>
      </w:r>
      <w:r w:rsidRPr="00FB33ED">
        <w:rPr>
          <w:rFonts w:eastAsia="ArialNarrow" w:cstheme="minorHAnsi"/>
        </w:rPr>
        <w:t xml:space="preserve">U istom periodu </w:t>
      </w:r>
      <w:r w:rsidR="00860E6C">
        <w:rPr>
          <w:rFonts w:eastAsia="ArialNarrow" w:cstheme="minorHAnsi"/>
        </w:rPr>
        <w:t xml:space="preserve">u </w:t>
      </w:r>
      <w:r w:rsidR="00FB33ED" w:rsidRPr="00FB33ED">
        <w:rPr>
          <w:rFonts w:eastAsia="ArialNarrow" w:cstheme="minorHAnsi"/>
        </w:rPr>
        <w:t>Sjever</w:t>
      </w:r>
      <w:r w:rsidR="00860E6C">
        <w:rPr>
          <w:rFonts w:eastAsia="ArialNarrow" w:cstheme="minorHAnsi"/>
        </w:rPr>
        <w:t xml:space="preserve">noj </w:t>
      </w:r>
      <w:r w:rsidRPr="00FB33ED">
        <w:rPr>
          <w:rFonts w:eastAsia="ArialNarrow" w:cstheme="minorHAnsi"/>
        </w:rPr>
        <w:t>Hrvatsk</w:t>
      </w:r>
      <w:r w:rsidR="00860E6C">
        <w:rPr>
          <w:rFonts w:eastAsia="ArialNarrow" w:cstheme="minorHAnsi"/>
        </w:rPr>
        <w:t>oj</w:t>
      </w:r>
      <w:r w:rsidRPr="00FB33ED">
        <w:rPr>
          <w:rFonts w:eastAsia="ArialNarrow" w:cstheme="minorHAnsi"/>
        </w:rPr>
        <w:t xml:space="preserve"> broj gledatelja porastao je s </w:t>
      </w:r>
      <w:r w:rsidR="00FB33ED" w:rsidRPr="00FB33ED">
        <w:rPr>
          <w:rFonts w:eastAsia="ArialNarrow" w:cstheme="minorHAnsi"/>
        </w:rPr>
        <w:t>245.101</w:t>
      </w:r>
      <w:r w:rsidRPr="00FB33ED">
        <w:rPr>
          <w:rFonts w:eastAsia="ArialNarrow" w:cstheme="minorHAnsi"/>
        </w:rPr>
        <w:t xml:space="preserve"> na </w:t>
      </w:r>
      <w:r w:rsidR="00FB33ED" w:rsidRPr="00FB33ED">
        <w:rPr>
          <w:rFonts w:eastAsia="ArialNarrow" w:cstheme="minorHAnsi"/>
        </w:rPr>
        <w:t>3</w:t>
      </w:r>
      <w:r w:rsidR="00962400">
        <w:rPr>
          <w:rFonts w:eastAsia="ArialNarrow" w:cstheme="minorHAnsi"/>
        </w:rPr>
        <w:t>87.243</w:t>
      </w:r>
      <w:r w:rsidRPr="00FB33ED">
        <w:rPr>
          <w:rFonts w:eastAsia="ArialNarrow" w:cstheme="minorHAnsi"/>
        </w:rPr>
        <w:t xml:space="preserve"> što je nominalno povećanje od</w:t>
      </w:r>
      <w:r w:rsidR="00962400">
        <w:rPr>
          <w:rFonts w:eastAsia="ArialNarrow" w:cstheme="minorHAnsi"/>
        </w:rPr>
        <w:t xml:space="preserve"> 142.142</w:t>
      </w:r>
      <w:r w:rsidRPr="00FB33ED">
        <w:rPr>
          <w:rFonts w:eastAsia="ArialNarrow" w:cstheme="minorHAnsi"/>
        </w:rPr>
        <w:t xml:space="preserve"> ili </w:t>
      </w:r>
      <w:r w:rsidR="00962400">
        <w:rPr>
          <w:rFonts w:eastAsia="ArialNarrow" w:cstheme="minorHAnsi"/>
        </w:rPr>
        <w:t>57,9</w:t>
      </w:r>
      <w:r w:rsidRPr="00FB33ED">
        <w:rPr>
          <w:rFonts w:eastAsia="ArialNarrow" w:cstheme="minorHAnsi"/>
        </w:rPr>
        <w:t xml:space="preserve">%. Na razini Republike Hrvatske povećanje je iznosilo </w:t>
      </w:r>
      <w:r w:rsidR="00962400">
        <w:rPr>
          <w:rFonts w:eastAsia="ArialNarrow" w:cstheme="minorHAnsi"/>
        </w:rPr>
        <w:t>943.925</w:t>
      </w:r>
      <w:r w:rsidRPr="00FB33ED">
        <w:rPr>
          <w:rFonts w:eastAsia="ArialNarrow" w:cstheme="minorHAnsi"/>
        </w:rPr>
        <w:t xml:space="preserve"> gledatelja odnosno </w:t>
      </w:r>
      <w:r w:rsidR="00962400">
        <w:rPr>
          <w:rFonts w:eastAsia="ArialNarrow" w:cstheme="minorHAnsi"/>
        </w:rPr>
        <w:t>23</w:t>
      </w:r>
      <w:r w:rsidRPr="00FB33ED">
        <w:rPr>
          <w:rFonts w:eastAsia="ArialNarrow" w:cstheme="minorHAnsi"/>
        </w:rPr>
        <w:t>%.</w:t>
      </w:r>
    </w:p>
    <w:p w14:paraId="0FFFFCA1" w14:textId="77777777" w:rsidR="008878A0" w:rsidRDefault="008878A0" w:rsidP="00941871">
      <w:pPr>
        <w:autoSpaceDE w:val="0"/>
        <w:autoSpaceDN w:val="0"/>
        <w:adjustRightInd w:val="0"/>
        <w:spacing w:after="0" w:line="240" w:lineRule="auto"/>
        <w:rPr>
          <w:rFonts w:eastAsia="ArialNarrow" w:cstheme="minorHAnsi"/>
        </w:rPr>
      </w:pPr>
    </w:p>
    <w:p w14:paraId="6A8B5A58" w14:textId="7C9FA70A" w:rsidR="008878A0" w:rsidRDefault="008878A0" w:rsidP="003E3F3C">
      <w:pPr>
        <w:pStyle w:val="Opisslike"/>
      </w:pPr>
      <w:r>
        <w:t xml:space="preserve">Tablica </w:t>
      </w:r>
      <w:r w:rsidR="00223A66">
        <w:rPr>
          <w:noProof/>
        </w:rPr>
        <w:t>4</w:t>
      </w:r>
      <w:r w:rsidR="00D51238">
        <w:rPr>
          <w:noProof/>
        </w:rPr>
        <w:t>4</w:t>
      </w:r>
      <w:r w:rsidR="0026418E">
        <w:rPr>
          <w:noProof/>
        </w:rPr>
        <w:t>.</w:t>
      </w:r>
      <w:r>
        <w:t xml:space="preserve"> Broj radio postaja i odašiljača, Krapinsko-zagorska županija, </w:t>
      </w:r>
      <w:r w:rsidR="00C7437E">
        <w:t>Sjevern</w:t>
      </w:r>
      <w:r w:rsidR="00EE3FEB">
        <w:t>a</w:t>
      </w:r>
      <w:r>
        <w:t xml:space="preserve"> Hrvatska i R</w:t>
      </w:r>
      <w:r w:rsidR="00EE3FEB">
        <w:t xml:space="preserve">epublika Hrvatska </w:t>
      </w:r>
      <w:r>
        <w:t xml:space="preserve">2014. </w:t>
      </w:r>
      <w:r w:rsidR="00223A66">
        <w:t>-</w:t>
      </w:r>
      <w:r>
        <w:t xml:space="preserve"> 201</w:t>
      </w:r>
      <w:r w:rsidR="00962400">
        <w:t>8</w:t>
      </w:r>
      <w:r>
        <w:t>. godina</w:t>
      </w:r>
    </w:p>
    <w:tbl>
      <w:tblPr>
        <w:tblW w:w="9209" w:type="dxa"/>
        <w:tblBorders>
          <w:insideH w:val="single" w:sz="8" w:space="0" w:color="F3CFC1"/>
        </w:tblBorders>
        <w:tblLook w:val="04A0" w:firstRow="1" w:lastRow="0" w:firstColumn="1" w:lastColumn="0" w:noHBand="0" w:noVBand="1"/>
      </w:tblPr>
      <w:tblGrid>
        <w:gridCol w:w="868"/>
        <w:gridCol w:w="1633"/>
        <w:gridCol w:w="1332"/>
        <w:gridCol w:w="1321"/>
        <w:gridCol w:w="1220"/>
        <w:gridCol w:w="1418"/>
        <w:gridCol w:w="1417"/>
      </w:tblGrid>
      <w:tr w:rsidR="008878A0" w:rsidRPr="005E4CB7" w14:paraId="79F8915E" w14:textId="77777777" w:rsidTr="00463866">
        <w:trPr>
          <w:trHeight w:val="283"/>
          <w:tblHeader/>
        </w:trPr>
        <w:tc>
          <w:tcPr>
            <w:tcW w:w="0" w:type="auto"/>
            <w:vMerge w:val="restart"/>
            <w:tcBorders>
              <w:top w:val="nil"/>
              <w:right w:val="single" w:sz="4" w:space="0" w:color="FFFFFF"/>
            </w:tcBorders>
            <w:shd w:val="clear" w:color="auto" w:fill="D2232A"/>
            <w:vAlign w:val="center"/>
            <w:hideMark/>
          </w:tcPr>
          <w:p w14:paraId="00C43B03" w14:textId="3507E36E" w:rsidR="008878A0" w:rsidRPr="005E4CB7" w:rsidRDefault="008878A0" w:rsidP="00941871">
            <w:pPr>
              <w:spacing w:after="0" w:line="240" w:lineRule="auto"/>
              <w:rPr>
                <w:rFonts w:eastAsia="Times New Roman" w:cstheme="minorHAnsi"/>
                <w:color w:val="FFFFFF"/>
                <w:szCs w:val="18"/>
                <w:lang w:eastAsia="hr-HR"/>
              </w:rPr>
            </w:pPr>
          </w:p>
        </w:tc>
        <w:tc>
          <w:tcPr>
            <w:tcW w:w="2512" w:type="dxa"/>
            <w:gridSpan w:val="2"/>
            <w:tcBorders>
              <w:top w:val="nil"/>
              <w:left w:val="single" w:sz="4" w:space="0" w:color="FFFFFF"/>
              <w:bottom w:val="single" w:sz="4" w:space="0" w:color="FFFFFF"/>
              <w:right w:val="single" w:sz="8" w:space="0" w:color="D2232A"/>
            </w:tcBorders>
            <w:shd w:val="clear" w:color="auto" w:fill="D2232A"/>
            <w:noWrap/>
            <w:vAlign w:val="center"/>
            <w:hideMark/>
          </w:tcPr>
          <w:p w14:paraId="0318945F" w14:textId="04C9D7A9" w:rsidR="008878A0" w:rsidRPr="005E4CB7" w:rsidRDefault="00463866" w:rsidP="007F2B15">
            <w:pPr>
              <w:spacing w:after="0" w:line="240" w:lineRule="auto"/>
              <w:jc w:val="center"/>
              <w:rPr>
                <w:rFonts w:eastAsia="Times New Roman" w:cstheme="minorHAnsi"/>
                <w:color w:val="FFFFFF"/>
                <w:szCs w:val="18"/>
                <w:lang w:eastAsia="hr-HR"/>
              </w:rPr>
            </w:pPr>
            <w:r w:rsidRPr="005E4CB7">
              <w:rPr>
                <w:rFonts w:eastAsia="Times New Roman" w:cstheme="minorHAnsi"/>
                <w:color w:val="FFFFFF"/>
                <w:szCs w:val="18"/>
                <w:lang w:eastAsia="hr-HR"/>
              </w:rPr>
              <w:t>KRAPINSKO-ZAGORSKA ŽUPANIJA</w:t>
            </w:r>
          </w:p>
        </w:tc>
        <w:tc>
          <w:tcPr>
            <w:tcW w:w="2541" w:type="dxa"/>
            <w:gridSpan w:val="2"/>
            <w:tcBorders>
              <w:top w:val="nil"/>
              <w:left w:val="single" w:sz="8" w:space="0" w:color="D2232A"/>
              <w:bottom w:val="single" w:sz="4" w:space="0" w:color="FFFFFF"/>
              <w:right w:val="single" w:sz="8" w:space="0" w:color="D2232A"/>
            </w:tcBorders>
            <w:shd w:val="clear" w:color="auto" w:fill="E5E5E5" w:themeFill="text1" w:themeFillTint="33"/>
            <w:noWrap/>
            <w:vAlign w:val="center"/>
            <w:hideMark/>
          </w:tcPr>
          <w:p w14:paraId="6100AF6B" w14:textId="5F74DA8B" w:rsidR="008878A0" w:rsidRPr="005E4CB7" w:rsidRDefault="00C7437E" w:rsidP="007F2B15">
            <w:pPr>
              <w:spacing w:after="0" w:line="240" w:lineRule="auto"/>
              <w:jc w:val="center"/>
              <w:rPr>
                <w:rFonts w:eastAsia="Times New Roman" w:cstheme="minorHAnsi"/>
                <w:szCs w:val="18"/>
                <w:lang w:eastAsia="hr-HR"/>
              </w:rPr>
            </w:pPr>
            <w:r>
              <w:rPr>
                <w:rFonts w:eastAsia="Times New Roman" w:cstheme="minorHAnsi"/>
                <w:szCs w:val="18"/>
                <w:lang w:eastAsia="hr-HR"/>
              </w:rPr>
              <w:t>SJEVERN</w:t>
            </w:r>
            <w:r w:rsidR="00463866" w:rsidRPr="005E4CB7">
              <w:rPr>
                <w:rFonts w:eastAsia="Times New Roman" w:cstheme="minorHAnsi"/>
                <w:szCs w:val="18"/>
                <w:lang w:eastAsia="hr-HR"/>
              </w:rPr>
              <w:t>A HRVATSKA</w:t>
            </w:r>
          </w:p>
        </w:tc>
        <w:tc>
          <w:tcPr>
            <w:tcW w:w="2835" w:type="dxa"/>
            <w:gridSpan w:val="2"/>
            <w:tcBorders>
              <w:top w:val="nil"/>
              <w:left w:val="single" w:sz="8" w:space="0" w:color="D2232A"/>
              <w:right w:val="single" w:sz="8" w:space="0" w:color="D2232A"/>
            </w:tcBorders>
            <w:shd w:val="clear" w:color="auto" w:fill="E5E5E5" w:themeFill="text1" w:themeFillTint="33"/>
            <w:noWrap/>
            <w:vAlign w:val="center"/>
            <w:hideMark/>
          </w:tcPr>
          <w:p w14:paraId="725675F8" w14:textId="2B5D3CEE" w:rsidR="008878A0" w:rsidRPr="005E4CB7" w:rsidRDefault="00463866" w:rsidP="007F2B15">
            <w:pPr>
              <w:spacing w:after="0" w:line="240" w:lineRule="auto"/>
              <w:jc w:val="center"/>
              <w:rPr>
                <w:rFonts w:eastAsia="Times New Roman" w:cstheme="minorHAnsi"/>
                <w:szCs w:val="18"/>
                <w:lang w:eastAsia="hr-HR"/>
              </w:rPr>
            </w:pPr>
            <w:r w:rsidRPr="005E4CB7">
              <w:rPr>
                <w:rFonts w:eastAsia="Times New Roman" w:cstheme="minorHAnsi"/>
                <w:szCs w:val="18"/>
                <w:lang w:eastAsia="hr-HR"/>
              </w:rPr>
              <w:t>REPUBLIKA HRVATSKA</w:t>
            </w:r>
          </w:p>
        </w:tc>
      </w:tr>
      <w:tr w:rsidR="008878A0" w:rsidRPr="005E4CB7" w14:paraId="6A854A07" w14:textId="77777777" w:rsidTr="00463866">
        <w:trPr>
          <w:trHeight w:val="283"/>
          <w:tblHeader/>
        </w:trPr>
        <w:tc>
          <w:tcPr>
            <w:tcW w:w="0" w:type="auto"/>
            <w:vMerge/>
            <w:tcBorders>
              <w:right w:val="single" w:sz="4" w:space="0" w:color="FFFFFF"/>
            </w:tcBorders>
            <w:shd w:val="clear" w:color="auto" w:fill="D2232A"/>
            <w:vAlign w:val="center"/>
            <w:hideMark/>
          </w:tcPr>
          <w:p w14:paraId="4FEDC11A" w14:textId="77777777" w:rsidR="008878A0" w:rsidRPr="005E4CB7" w:rsidRDefault="008878A0" w:rsidP="00941871">
            <w:pPr>
              <w:spacing w:after="0"/>
              <w:rPr>
                <w:rFonts w:eastAsia="Times New Roman" w:cstheme="minorHAnsi"/>
                <w:color w:val="FFFFFF"/>
                <w:szCs w:val="18"/>
                <w:lang w:eastAsia="hr-HR"/>
              </w:rPr>
            </w:pPr>
          </w:p>
        </w:tc>
        <w:tc>
          <w:tcPr>
            <w:tcW w:w="0" w:type="auto"/>
            <w:tcBorders>
              <w:top w:val="single" w:sz="4" w:space="0" w:color="FFFFFF"/>
              <w:left w:val="single" w:sz="4" w:space="0" w:color="FFFFFF"/>
            </w:tcBorders>
            <w:shd w:val="clear" w:color="auto" w:fill="D2232A"/>
            <w:noWrap/>
            <w:vAlign w:val="center"/>
            <w:hideMark/>
          </w:tcPr>
          <w:p w14:paraId="6F15E952" w14:textId="77777777" w:rsidR="008878A0" w:rsidRPr="005E4CB7" w:rsidRDefault="008878A0" w:rsidP="00941871">
            <w:pPr>
              <w:spacing w:after="0" w:line="240" w:lineRule="auto"/>
              <w:rPr>
                <w:rFonts w:eastAsia="Times New Roman" w:cstheme="minorHAnsi"/>
                <w:color w:val="FFFFFF"/>
                <w:sz w:val="16"/>
                <w:szCs w:val="16"/>
                <w:lang w:eastAsia="hr-HR"/>
              </w:rPr>
            </w:pPr>
            <w:r w:rsidRPr="005E4CB7">
              <w:rPr>
                <w:rFonts w:eastAsia="Times New Roman" w:cstheme="minorHAnsi"/>
                <w:color w:val="FFFFFF"/>
                <w:sz w:val="16"/>
                <w:szCs w:val="16"/>
                <w:lang w:eastAsia="hr-HR"/>
              </w:rPr>
              <w:t>Radio postaje</w:t>
            </w:r>
          </w:p>
        </w:tc>
        <w:tc>
          <w:tcPr>
            <w:tcW w:w="1242" w:type="dxa"/>
            <w:tcBorders>
              <w:top w:val="single" w:sz="4" w:space="0" w:color="FFFFFF"/>
              <w:right w:val="single" w:sz="8" w:space="0" w:color="D2232A"/>
            </w:tcBorders>
            <w:shd w:val="clear" w:color="auto" w:fill="D2232A"/>
            <w:noWrap/>
            <w:vAlign w:val="center"/>
            <w:hideMark/>
          </w:tcPr>
          <w:p w14:paraId="36A4D7B1" w14:textId="77777777" w:rsidR="008878A0" w:rsidRPr="005E4CB7" w:rsidRDefault="008878A0" w:rsidP="00941871">
            <w:pPr>
              <w:spacing w:after="0" w:line="240" w:lineRule="auto"/>
              <w:rPr>
                <w:rFonts w:eastAsia="Times New Roman" w:cstheme="minorHAnsi"/>
                <w:color w:val="FFFFFF"/>
                <w:sz w:val="16"/>
                <w:szCs w:val="16"/>
                <w:lang w:eastAsia="hr-HR"/>
              </w:rPr>
            </w:pPr>
            <w:r w:rsidRPr="005E4CB7">
              <w:rPr>
                <w:rFonts w:eastAsia="Times New Roman" w:cstheme="minorHAnsi"/>
                <w:color w:val="FFFFFF"/>
                <w:sz w:val="16"/>
                <w:szCs w:val="16"/>
                <w:lang w:eastAsia="hr-HR"/>
              </w:rPr>
              <w:t>Odašiljači</w:t>
            </w:r>
          </w:p>
        </w:tc>
        <w:tc>
          <w:tcPr>
            <w:tcW w:w="1321" w:type="dxa"/>
            <w:tcBorders>
              <w:top w:val="single" w:sz="4" w:space="0" w:color="FFFFFF"/>
              <w:left w:val="single" w:sz="8" w:space="0" w:color="D2232A"/>
            </w:tcBorders>
            <w:shd w:val="clear" w:color="auto" w:fill="E5E5E5" w:themeFill="text1" w:themeFillTint="33"/>
            <w:noWrap/>
            <w:vAlign w:val="center"/>
            <w:hideMark/>
          </w:tcPr>
          <w:p w14:paraId="6CF3602A" w14:textId="77777777" w:rsidR="008878A0" w:rsidRPr="005E4CB7" w:rsidRDefault="008878A0" w:rsidP="00941871">
            <w:pPr>
              <w:spacing w:after="0" w:line="240" w:lineRule="auto"/>
              <w:rPr>
                <w:rFonts w:eastAsia="Times New Roman" w:cstheme="minorHAnsi"/>
                <w:sz w:val="16"/>
                <w:szCs w:val="16"/>
                <w:lang w:eastAsia="hr-HR"/>
              </w:rPr>
            </w:pPr>
            <w:r w:rsidRPr="005E4CB7">
              <w:rPr>
                <w:rFonts w:eastAsia="Times New Roman" w:cstheme="minorHAnsi"/>
                <w:sz w:val="16"/>
                <w:szCs w:val="16"/>
                <w:lang w:eastAsia="hr-HR"/>
              </w:rPr>
              <w:t>Radio postaje</w:t>
            </w:r>
          </w:p>
        </w:tc>
        <w:tc>
          <w:tcPr>
            <w:tcW w:w="1220" w:type="dxa"/>
            <w:tcBorders>
              <w:top w:val="single" w:sz="4" w:space="0" w:color="FFFFFF"/>
              <w:right w:val="single" w:sz="8" w:space="0" w:color="D2232A"/>
            </w:tcBorders>
            <w:shd w:val="clear" w:color="auto" w:fill="E5E5E5" w:themeFill="text1" w:themeFillTint="33"/>
            <w:noWrap/>
            <w:vAlign w:val="center"/>
            <w:hideMark/>
          </w:tcPr>
          <w:p w14:paraId="4FBD144F" w14:textId="77777777" w:rsidR="008878A0" w:rsidRPr="005E4CB7" w:rsidRDefault="008878A0" w:rsidP="00941871">
            <w:pPr>
              <w:spacing w:after="0" w:line="240" w:lineRule="auto"/>
              <w:rPr>
                <w:rFonts w:eastAsia="Times New Roman" w:cstheme="minorHAnsi"/>
                <w:sz w:val="16"/>
                <w:szCs w:val="16"/>
                <w:lang w:eastAsia="hr-HR"/>
              </w:rPr>
            </w:pPr>
            <w:r w:rsidRPr="005E4CB7">
              <w:rPr>
                <w:rFonts w:eastAsia="Times New Roman" w:cstheme="minorHAnsi"/>
                <w:sz w:val="16"/>
                <w:szCs w:val="16"/>
                <w:lang w:eastAsia="hr-HR"/>
              </w:rPr>
              <w:t>Odašiljači</w:t>
            </w:r>
          </w:p>
        </w:tc>
        <w:tc>
          <w:tcPr>
            <w:tcW w:w="1418" w:type="dxa"/>
            <w:tcBorders>
              <w:left w:val="single" w:sz="8" w:space="0" w:color="D2232A"/>
            </w:tcBorders>
            <w:shd w:val="clear" w:color="auto" w:fill="E5E5E5" w:themeFill="text1" w:themeFillTint="33"/>
            <w:noWrap/>
            <w:vAlign w:val="center"/>
            <w:hideMark/>
          </w:tcPr>
          <w:p w14:paraId="23C0E7A7" w14:textId="77777777" w:rsidR="008878A0" w:rsidRPr="005E4CB7" w:rsidRDefault="008878A0" w:rsidP="00941871">
            <w:pPr>
              <w:spacing w:after="0" w:line="240" w:lineRule="auto"/>
              <w:rPr>
                <w:rFonts w:eastAsia="Times New Roman" w:cstheme="minorHAnsi"/>
                <w:sz w:val="16"/>
                <w:szCs w:val="16"/>
                <w:lang w:eastAsia="hr-HR"/>
              </w:rPr>
            </w:pPr>
            <w:r w:rsidRPr="005E4CB7">
              <w:rPr>
                <w:rFonts w:eastAsia="Times New Roman" w:cstheme="minorHAnsi"/>
                <w:sz w:val="16"/>
                <w:szCs w:val="16"/>
                <w:lang w:eastAsia="hr-HR"/>
              </w:rPr>
              <w:t>Radio postaje</w:t>
            </w:r>
          </w:p>
        </w:tc>
        <w:tc>
          <w:tcPr>
            <w:tcW w:w="1417" w:type="dxa"/>
            <w:tcBorders>
              <w:right w:val="single" w:sz="8" w:space="0" w:color="D2232A"/>
            </w:tcBorders>
            <w:shd w:val="clear" w:color="auto" w:fill="E5E5E5" w:themeFill="text1" w:themeFillTint="33"/>
            <w:noWrap/>
            <w:vAlign w:val="center"/>
            <w:hideMark/>
          </w:tcPr>
          <w:p w14:paraId="3A83BA0D" w14:textId="77777777" w:rsidR="008878A0" w:rsidRPr="005E4CB7" w:rsidRDefault="008878A0" w:rsidP="00941871">
            <w:pPr>
              <w:spacing w:after="0" w:line="240" w:lineRule="auto"/>
              <w:rPr>
                <w:rFonts w:eastAsia="Times New Roman" w:cstheme="minorHAnsi"/>
                <w:sz w:val="16"/>
                <w:szCs w:val="16"/>
                <w:lang w:eastAsia="hr-HR"/>
              </w:rPr>
            </w:pPr>
            <w:r w:rsidRPr="005E4CB7">
              <w:rPr>
                <w:rFonts w:eastAsia="Times New Roman" w:cstheme="minorHAnsi"/>
                <w:sz w:val="16"/>
                <w:szCs w:val="16"/>
                <w:lang w:eastAsia="hr-HR"/>
              </w:rPr>
              <w:t>Odašiljači</w:t>
            </w:r>
          </w:p>
        </w:tc>
      </w:tr>
      <w:tr w:rsidR="008878A0" w:rsidRPr="005E4CB7" w14:paraId="3056C862" w14:textId="77777777" w:rsidTr="00F83654">
        <w:trPr>
          <w:trHeight w:val="283"/>
        </w:trPr>
        <w:tc>
          <w:tcPr>
            <w:tcW w:w="0" w:type="auto"/>
            <w:tcBorders>
              <w:bottom w:val="single" w:sz="4" w:space="0" w:color="FFFFFF" w:themeColor="background1"/>
              <w:right w:val="single" w:sz="4" w:space="0" w:color="FFFFFF"/>
            </w:tcBorders>
            <w:shd w:val="clear" w:color="auto" w:fill="D2232A"/>
            <w:noWrap/>
            <w:vAlign w:val="center"/>
            <w:hideMark/>
          </w:tcPr>
          <w:p w14:paraId="1675EF6C" w14:textId="15B8CF88" w:rsidR="008878A0" w:rsidRPr="005E4CB7" w:rsidRDefault="008878A0" w:rsidP="00941871">
            <w:pPr>
              <w:spacing w:after="0" w:line="240" w:lineRule="auto"/>
              <w:rPr>
                <w:rFonts w:eastAsia="Times New Roman" w:cstheme="minorHAnsi"/>
                <w:color w:val="FFFFFF"/>
                <w:szCs w:val="18"/>
                <w:lang w:eastAsia="hr-HR"/>
              </w:rPr>
            </w:pPr>
            <w:r w:rsidRPr="005E4CB7">
              <w:rPr>
                <w:rFonts w:eastAsia="Times New Roman" w:cstheme="minorHAnsi"/>
                <w:color w:val="FFFFFF"/>
                <w:szCs w:val="18"/>
                <w:lang w:eastAsia="hr-HR"/>
              </w:rPr>
              <w:t>2014</w:t>
            </w:r>
            <w:r w:rsidR="00A51230" w:rsidRPr="005E4CB7">
              <w:rPr>
                <w:rFonts w:eastAsia="Times New Roman" w:cstheme="minorHAnsi"/>
                <w:color w:val="FFFFFF"/>
                <w:szCs w:val="18"/>
                <w:lang w:eastAsia="hr-HR"/>
              </w:rPr>
              <w:t>.</w:t>
            </w:r>
          </w:p>
        </w:tc>
        <w:tc>
          <w:tcPr>
            <w:tcW w:w="0" w:type="auto"/>
            <w:tcBorders>
              <w:left w:val="single" w:sz="4" w:space="0" w:color="FFFFFF"/>
            </w:tcBorders>
            <w:noWrap/>
            <w:vAlign w:val="center"/>
            <w:hideMark/>
          </w:tcPr>
          <w:p w14:paraId="456EC5E5"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5</w:t>
            </w:r>
          </w:p>
        </w:tc>
        <w:tc>
          <w:tcPr>
            <w:tcW w:w="1242" w:type="dxa"/>
            <w:tcBorders>
              <w:right w:val="single" w:sz="8" w:space="0" w:color="D2232A"/>
            </w:tcBorders>
            <w:noWrap/>
            <w:vAlign w:val="center"/>
            <w:hideMark/>
          </w:tcPr>
          <w:p w14:paraId="45AABCDB"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11</w:t>
            </w:r>
          </w:p>
        </w:tc>
        <w:tc>
          <w:tcPr>
            <w:tcW w:w="1321" w:type="dxa"/>
            <w:tcBorders>
              <w:left w:val="single" w:sz="8" w:space="0" w:color="D2232A"/>
            </w:tcBorders>
            <w:noWrap/>
            <w:vAlign w:val="center"/>
          </w:tcPr>
          <w:p w14:paraId="421BEF28" w14:textId="4580B311" w:rsidR="008878A0" w:rsidRPr="005E4CB7" w:rsidRDefault="00493DE3"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29</w:t>
            </w:r>
          </w:p>
        </w:tc>
        <w:tc>
          <w:tcPr>
            <w:tcW w:w="1220" w:type="dxa"/>
            <w:tcBorders>
              <w:right w:val="single" w:sz="8" w:space="0" w:color="D2232A"/>
            </w:tcBorders>
            <w:noWrap/>
            <w:vAlign w:val="center"/>
          </w:tcPr>
          <w:p w14:paraId="44B2A3F4" w14:textId="468095FC" w:rsidR="008878A0" w:rsidRPr="005E4CB7" w:rsidRDefault="00EE3FEB"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53</w:t>
            </w:r>
          </w:p>
        </w:tc>
        <w:tc>
          <w:tcPr>
            <w:tcW w:w="1418" w:type="dxa"/>
            <w:tcBorders>
              <w:left w:val="single" w:sz="8" w:space="0" w:color="D2232A"/>
            </w:tcBorders>
            <w:noWrap/>
            <w:vAlign w:val="center"/>
            <w:hideMark/>
          </w:tcPr>
          <w:p w14:paraId="144899FD"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138</w:t>
            </w:r>
          </w:p>
        </w:tc>
        <w:tc>
          <w:tcPr>
            <w:tcW w:w="1417" w:type="dxa"/>
            <w:tcBorders>
              <w:right w:val="single" w:sz="8" w:space="0" w:color="D2232A"/>
            </w:tcBorders>
            <w:noWrap/>
            <w:vAlign w:val="center"/>
            <w:hideMark/>
          </w:tcPr>
          <w:p w14:paraId="40484A4A"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633</w:t>
            </w:r>
          </w:p>
        </w:tc>
      </w:tr>
      <w:tr w:rsidR="008878A0" w:rsidRPr="005E4CB7" w14:paraId="1DAE82D3" w14:textId="77777777" w:rsidTr="00F83654">
        <w:trPr>
          <w:trHeight w:val="283"/>
        </w:trPr>
        <w:tc>
          <w:tcPr>
            <w:tcW w:w="0" w:type="auto"/>
            <w:tcBorders>
              <w:top w:val="single" w:sz="4" w:space="0" w:color="FFFFFF" w:themeColor="background1"/>
              <w:right w:val="single" w:sz="4" w:space="0" w:color="FFFFFF"/>
            </w:tcBorders>
            <w:shd w:val="clear" w:color="auto" w:fill="D2232A"/>
            <w:noWrap/>
            <w:vAlign w:val="center"/>
            <w:hideMark/>
          </w:tcPr>
          <w:p w14:paraId="0C5226BB" w14:textId="6DFE40FC" w:rsidR="008878A0" w:rsidRPr="005E4CB7" w:rsidRDefault="008878A0" w:rsidP="00941871">
            <w:pPr>
              <w:spacing w:after="0" w:line="240" w:lineRule="auto"/>
              <w:rPr>
                <w:rFonts w:eastAsia="Times New Roman" w:cstheme="minorHAnsi"/>
                <w:color w:val="FFFFFF"/>
                <w:szCs w:val="18"/>
                <w:lang w:eastAsia="hr-HR"/>
              </w:rPr>
            </w:pPr>
            <w:r w:rsidRPr="005E4CB7">
              <w:rPr>
                <w:rFonts w:eastAsia="Times New Roman" w:cstheme="minorHAnsi"/>
                <w:color w:val="FFFFFF"/>
                <w:szCs w:val="18"/>
                <w:lang w:eastAsia="hr-HR"/>
              </w:rPr>
              <w:lastRenderedPageBreak/>
              <w:t>2015</w:t>
            </w:r>
            <w:r w:rsidR="00A51230" w:rsidRPr="005E4CB7">
              <w:rPr>
                <w:rFonts w:eastAsia="Times New Roman" w:cstheme="minorHAnsi"/>
                <w:color w:val="FFFFFF"/>
                <w:szCs w:val="18"/>
                <w:lang w:eastAsia="hr-HR"/>
              </w:rPr>
              <w:t>.</w:t>
            </w:r>
          </w:p>
        </w:tc>
        <w:tc>
          <w:tcPr>
            <w:tcW w:w="0" w:type="auto"/>
            <w:tcBorders>
              <w:left w:val="single" w:sz="4" w:space="0" w:color="FFFFFF"/>
            </w:tcBorders>
            <w:noWrap/>
            <w:vAlign w:val="center"/>
            <w:hideMark/>
          </w:tcPr>
          <w:p w14:paraId="46A48037"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5</w:t>
            </w:r>
          </w:p>
        </w:tc>
        <w:tc>
          <w:tcPr>
            <w:tcW w:w="1242" w:type="dxa"/>
            <w:tcBorders>
              <w:right w:val="single" w:sz="8" w:space="0" w:color="D2232A"/>
            </w:tcBorders>
            <w:noWrap/>
            <w:vAlign w:val="center"/>
            <w:hideMark/>
          </w:tcPr>
          <w:p w14:paraId="2FD7A53C"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11</w:t>
            </w:r>
          </w:p>
        </w:tc>
        <w:tc>
          <w:tcPr>
            <w:tcW w:w="1321" w:type="dxa"/>
            <w:tcBorders>
              <w:left w:val="single" w:sz="8" w:space="0" w:color="D2232A"/>
            </w:tcBorders>
            <w:noWrap/>
            <w:vAlign w:val="center"/>
          </w:tcPr>
          <w:p w14:paraId="7EEAADCF" w14:textId="75FBD407" w:rsidR="008878A0" w:rsidRPr="005E4CB7" w:rsidRDefault="00EE3FEB"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29</w:t>
            </w:r>
          </w:p>
        </w:tc>
        <w:tc>
          <w:tcPr>
            <w:tcW w:w="1220" w:type="dxa"/>
            <w:tcBorders>
              <w:right w:val="single" w:sz="8" w:space="0" w:color="D2232A"/>
            </w:tcBorders>
            <w:noWrap/>
            <w:vAlign w:val="center"/>
          </w:tcPr>
          <w:p w14:paraId="0C1AD530" w14:textId="7681CE8A" w:rsidR="008878A0" w:rsidRPr="005E4CB7" w:rsidRDefault="00EE3FEB"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53</w:t>
            </w:r>
          </w:p>
        </w:tc>
        <w:tc>
          <w:tcPr>
            <w:tcW w:w="1418" w:type="dxa"/>
            <w:tcBorders>
              <w:left w:val="single" w:sz="8" w:space="0" w:color="D2232A"/>
            </w:tcBorders>
            <w:noWrap/>
            <w:vAlign w:val="center"/>
            <w:hideMark/>
          </w:tcPr>
          <w:p w14:paraId="7C7156FE"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136</w:t>
            </w:r>
          </w:p>
        </w:tc>
        <w:tc>
          <w:tcPr>
            <w:tcW w:w="1417" w:type="dxa"/>
            <w:tcBorders>
              <w:right w:val="single" w:sz="8" w:space="0" w:color="D2232A"/>
            </w:tcBorders>
            <w:noWrap/>
            <w:vAlign w:val="center"/>
            <w:hideMark/>
          </w:tcPr>
          <w:p w14:paraId="23235632"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643</w:t>
            </w:r>
          </w:p>
        </w:tc>
      </w:tr>
      <w:tr w:rsidR="008878A0" w:rsidRPr="005E4CB7" w14:paraId="4FDB26CF" w14:textId="77777777" w:rsidTr="005E4CB7">
        <w:trPr>
          <w:trHeight w:val="283"/>
        </w:trPr>
        <w:tc>
          <w:tcPr>
            <w:tcW w:w="0" w:type="auto"/>
            <w:tcBorders>
              <w:right w:val="single" w:sz="4" w:space="0" w:color="FFFFFF"/>
            </w:tcBorders>
            <w:shd w:val="clear" w:color="auto" w:fill="D2232A"/>
            <w:noWrap/>
            <w:vAlign w:val="center"/>
            <w:hideMark/>
          </w:tcPr>
          <w:p w14:paraId="4ADD9724" w14:textId="4E1006AC" w:rsidR="008878A0" w:rsidRPr="005E4CB7" w:rsidRDefault="008878A0" w:rsidP="00941871">
            <w:pPr>
              <w:spacing w:after="0" w:line="240" w:lineRule="auto"/>
              <w:rPr>
                <w:rFonts w:eastAsia="Times New Roman" w:cstheme="minorHAnsi"/>
                <w:color w:val="FFFFFF"/>
                <w:szCs w:val="18"/>
                <w:lang w:eastAsia="hr-HR"/>
              </w:rPr>
            </w:pPr>
            <w:r w:rsidRPr="005E4CB7">
              <w:rPr>
                <w:rFonts w:eastAsia="Times New Roman" w:cstheme="minorHAnsi"/>
                <w:color w:val="FFFFFF"/>
                <w:szCs w:val="18"/>
                <w:lang w:eastAsia="hr-HR"/>
              </w:rPr>
              <w:t>2016</w:t>
            </w:r>
            <w:r w:rsidR="00A51230" w:rsidRPr="005E4CB7">
              <w:rPr>
                <w:rFonts w:eastAsia="Times New Roman" w:cstheme="minorHAnsi"/>
                <w:color w:val="FFFFFF"/>
                <w:szCs w:val="18"/>
                <w:lang w:eastAsia="hr-HR"/>
              </w:rPr>
              <w:t>.</w:t>
            </w:r>
          </w:p>
        </w:tc>
        <w:tc>
          <w:tcPr>
            <w:tcW w:w="0" w:type="auto"/>
            <w:tcBorders>
              <w:left w:val="single" w:sz="4" w:space="0" w:color="FFFFFF"/>
            </w:tcBorders>
            <w:noWrap/>
            <w:vAlign w:val="center"/>
            <w:hideMark/>
          </w:tcPr>
          <w:p w14:paraId="31FC2CA7"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5</w:t>
            </w:r>
          </w:p>
        </w:tc>
        <w:tc>
          <w:tcPr>
            <w:tcW w:w="1242" w:type="dxa"/>
            <w:tcBorders>
              <w:right w:val="single" w:sz="8" w:space="0" w:color="D2232A"/>
            </w:tcBorders>
            <w:noWrap/>
            <w:vAlign w:val="center"/>
            <w:hideMark/>
          </w:tcPr>
          <w:p w14:paraId="3249BDB6"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11</w:t>
            </w:r>
          </w:p>
        </w:tc>
        <w:tc>
          <w:tcPr>
            <w:tcW w:w="1321" w:type="dxa"/>
            <w:tcBorders>
              <w:left w:val="single" w:sz="8" w:space="0" w:color="D2232A"/>
            </w:tcBorders>
            <w:noWrap/>
            <w:vAlign w:val="center"/>
          </w:tcPr>
          <w:p w14:paraId="51FFCE0D" w14:textId="06564995" w:rsidR="008878A0" w:rsidRPr="005E4CB7" w:rsidRDefault="00EE3FEB"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29</w:t>
            </w:r>
          </w:p>
        </w:tc>
        <w:tc>
          <w:tcPr>
            <w:tcW w:w="1220" w:type="dxa"/>
            <w:tcBorders>
              <w:right w:val="single" w:sz="8" w:space="0" w:color="D2232A"/>
            </w:tcBorders>
            <w:noWrap/>
            <w:vAlign w:val="center"/>
          </w:tcPr>
          <w:p w14:paraId="5D90A7E1" w14:textId="4FF057F2" w:rsidR="008878A0" w:rsidRPr="005E4CB7" w:rsidRDefault="00EE3FEB"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51</w:t>
            </w:r>
          </w:p>
        </w:tc>
        <w:tc>
          <w:tcPr>
            <w:tcW w:w="1418" w:type="dxa"/>
            <w:tcBorders>
              <w:left w:val="single" w:sz="8" w:space="0" w:color="D2232A"/>
            </w:tcBorders>
            <w:noWrap/>
            <w:vAlign w:val="center"/>
            <w:hideMark/>
          </w:tcPr>
          <w:p w14:paraId="118556CE"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135</w:t>
            </w:r>
          </w:p>
        </w:tc>
        <w:tc>
          <w:tcPr>
            <w:tcW w:w="1417" w:type="dxa"/>
            <w:tcBorders>
              <w:right w:val="single" w:sz="8" w:space="0" w:color="D2232A"/>
            </w:tcBorders>
            <w:noWrap/>
            <w:vAlign w:val="center"/>
            <w:hideMark/>
          </w:tcPr>
          <w:p w14:paraId="435FDE2C"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637</w:t>
            </w:r>
          </w:p>
        </w:tc>
      </w:tr>
      <w:tr w:rsidR="008878A0" w:rsidRPr="005E4CB7" w14:paraId="60DD4FB0" w14:textId="77777777" w:rsidTr="00962400">
        <w:trPr>
          <w:trHeight w:val="283"/>
        </w:trPr>
        <w:tc>
          <w:tcPr>
            <w:tcW w:w="0" w:type="auto"/>
            <w:tcBorders>
              <w:right w:val="single" w:sz="4" w:space="0" w:color="FFFFFF"/>
            </w:tcBorders>
            <w:shd w:val="clear" w:color="auto" w:fill="D2232A"/>
            <w:noWrap/>
            <w:vAlign w:val="center"/>
            <w:hideMark/>
          </w:tcPr>
          <w:p w14:paraId="256CB176" w14:textId="57DCC987" w:rsidR="008878A0" w:rsidRPr="005E4CB7" w:rsidRDefault="008878A0" w:rsidP="00941871">
            <w:pPr>
              <w:spacing w:after="0" w:line="240" w:lineRule="auto"/>
              <w:rPr>
                <w:rFonts w:eastAsia="Times New Roman" w:cstheme="minorHAnsi"/>
                <w:color w:val="FFFFFF"/>
                <w:szCs w:val="18"/>
                <w:lang w:eastAsia="hr-HR"/>
              </w:rPr>
            </w:pPr>
            <w:r w:rsidRPr="005E4CB7">
              <w:rPr>
                <w:rFonts w:eastAsia="Times New Roman" w:cstheme="minorHAnsi"/>
                <w:color w:val="FFFFFF"/>
                <w:szCs w:val="18"/>
                <w:lang w:eastAsia="hr-HR"/>
              </w:rPr>
              <w:t>2017</w:t>
            </w:r>
            <w:r w:rsidR="00A51230" w:rsidRPr="005E4CB7">
              <w:rPr>
                <w:rFonts w:eastAsia="Times New Roman" w:cstheme="minorHAnsi"/>
                <w:color w:val="FFFFFF"/>
                <w:szCs w:val="18"/>
                <w:lang w:eastAsia="hr-HR"/>
              </w:rPr>
              <w:t>.</w:t>
            </w:r>
          </w:p>
        </w:tc>
        <w:tc>
          <w:tcPr>
            <w:tcW w:w="0" w:type="auto"/>
            <w:tcBorders>
              <w:left w:val="single" w:sz="4" w:space="0" w:color="FFFFFF"/>
            </w:tcBorders>
            <w:noWrap/>
            <w:vAlign w:val="center"/>
            <w:hideMark/>
          </w:tcPr>
          <w:p w14:paraId="55E0C2AC"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5</w:t>
            </w:r>
          </w:p>
        </w:tc>
        <w:tc>
          <w:tcPr>
            <w:tcW w:w="1242" w:type="dxa"/>
            <w:tcBorders>
              <w:right w:val="single" w:sz="8" w:space="0" w:color="D2232A"/>
            </w:tcBorders>
            <w:noWrap/>
            <w:vAlign w:val="center"/>
            <w:hideMark/>
          </w:tcPr>
          <w:p w14:paraId="2A993347"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15</w:t>
            </w:r>
          </w:p>
        </w:tc>
        <w:tc>
          <w:tcPr>
            <w:tcW w:w="1321" w:type="dxa"/>
            <w:tcBorders>
              <w:left w:val="single" w:sz="8" w:space="0" w:color="D2232A"/>
            </w:tcBorders>
            <w:noWrap/>
            <w:vAlign w:val="center"/>
          </w:tcPr>
          <w:p w14:paraId="5250E8C2" w14:textId="6155EBC5" w:rsidR="008878A0" w:rsidRPr="005E4CB7" w:rsidRDefault="00EE3FEB"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32</w:t>
            </w:r>
          </w:p>
        </w:tc>
        <w:tc>
          <w:tcPr>
            <w:tcW w:w="1220" w:type="dxa"/>
            <w:tcBorders>
              <w:right w:val="single" w:sz="8" w:space="0" w:color="D2232A"/>
            </w:tcBorders>
            <w:noWrap/>
            <w:vAlign w:val="center"/>
          </w:tcPr>
          <w:p w14:paraId="04FE3CA3" w14:textId="74FF5CE5" w:rsidR="008878A0" w:rsidRPr="005E4CB7" w:rsidRDefault="00EE3FEB"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61</w:t>
            </w:r>
          </w:p>
        </w:tc>
        <w:tc>
          <w:tcPr>
            <w:tcW w:w="1418" w:type="dxa"/>
            <w:tcBorders>
              <w:left w:val="single" w:sz="8" w:space="0" w:color="D2232A"/>
            </w:tcBorders>
            <w:noWrap/>
            <w:vAlign w:val="center"/>
            <w:hideMark/>
          </w:tcPr>
          <w:p w14:paraId="2868EABF"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147</w:t>
            </w:r>
          </w:p>
        </w:tc>
        <w:tc>
          <w:tcPr>
            <w:tcW w:w="1417" w:type="dxa"/>
            <w:tcBorders>
              <w:right w:val="single" w:sz="8" w:space="0" w:color="D2232A"/>
            </w:tcBorders>
            <w:noWrap/>
            <w:vAlign w:val="center"/>
            <w:hideMark/>
          </w:tcPr>
          <w:p w14:paraId="5C025755" w14:textId="77777777" w:rsidR="008878A0" w:rsidRPr="005E4CB7" w:rsidRDefault="008878A0" w:rsidP="005E4CB7">
            <w:pPr>
              <w:spacing w:after="0" w:line="240" w:lineRule="auto"/>
              <w:jc w:val="right"/>
              <w:rPr>
                <w:rFonts w:eastAsia="Times New Roman" w:cstheme="minorHAnsi"/>
                <w:color w:val="000000"/>
                <w:szCs w:val="18"/>
                <w:lang w:eastAsia="hr-HR"/>
              </w:rPr>
            </w:pPr>
            <w:r w:rsidRPr="005E4CB7">
              <w:rPr>
                <w:rFonts w:eastAsia="Times New Roman" w:cstheme="minorHAnsi"/>
                <w:color w:val="000000"/>
                <w:szCs w:val="18"/>
                <w:lang w:eastAsia="hr-HR"/>
              </w:rPr>
              <w:t>654</w:t>
            </w:r>
          </w:p>
        </w:tc>
      </w:tr>
      <w:tr w:rsidR="00962400" w:rsidRPr="005E4CB7" w14:paraId="5BA50900" w14:textId="77777777" w:rsidTr="005E4CB7">
        <w:trPr>
          <w:trHeight w:val="283"/>
        </w:trPr>
        <w:tc>
          <w:tcPr>
            <w:tcW w:w="0" w:type="auto"/>
            <w:tcBorders>
              <w:bottom w:val="nil"/>
              <w:right w:val="single" w:sz="4" w:space="0" w:color="FFFFFF"/>
            </w:tcBorders>
            <w:shd w:val="clear" w:color="auto" w:fill="D2232A"/>
            <w:noWrap/>
            <w:vAlign w:val="center"/>
          </w:tcPr>
          <w:p w14:paraId="68B65821" w14:textId="16AEC030" w:rsidR="00962400" w:rsidRPr="005E4CB7" w:rsidRDefault="00962400" w:rsidP="00941871">
            <w:pPr>
              <w:spacing w:after="0" w:line="240" w:lineRule="auto"/>
              <w:rPr>
                <w:rFonts w:eastAsia="Times New Roman" w:cstheme="minorHAnsi"/>
                <w:color w:val="FFFFFF"/>
                <w:szCs w:val="18"/>
                <w:lang w:eastAsia="hr-HR"/>
              </w:rPr>
            </w:pPr>
            <w:r>
              <w:rPr>
                <w:rFonts w:eastAsia="Times New Roman" w:cstheme="minorHAnsi"/>
                <w:color w:val="FFFFFF"/>
                <w:szCs w:val="18"/>
                <w:lang w:eastAsia="hr-HR"/>
              </w:rPr>
              <w:t>2018.</w:t>
            </w:r>
          </w:p>
        </w:tc>
        <w:tc>
          <w:tcPr>
            <w:tcW w:w="0" w:type="auto"/>
            <w:tcBorders>
              <w:left w:val="single" w:sz="4" w:space="0" w:color="FFFFFF"/>
              <w:bottom w:val="nil"/>
            </w:tcBorders>
            <w:noWrap/>
            <w:vAlign w:val="center"/>
          </w:tcPr>
          <w:p w14:paraId="365FE373" w14:textId="319BF018" w:rsidR="00962400" w:rsidRPr="005E4CB7" w:rsidRDefault="00962400"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w:t>
            </w:r>
          </w:p>
        </w:tc>
        <w:tc>
          <w:tcPr>
            <w:tcW w:w="1242" w:type="dxa"/>
            <w:tcBorders>
              <w:bottom w:val="nil"/>
              <w:right w:val="single" w:sz="8" w:space="0" w:color="D2232A"/>
            </w:tcBorders>
            <w:noWrap/>
            <w:vAlign w:val="center"/>
          </w:tcPr>
          <w:p w14:paraId="17A5771D" w14:textId="05988EC3" w:rsidR="00962400" w:rsidRPr="005E4CB7" w:rsidRDefault="00962400"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15</w:t>
            </w:r>
          </w:p>
        </w:tc>
        <w:tc>
          <w:tcPr>
            <w:tcW w:w="1321" w:type="dxa"/>
            <w:tcBorders>
              <w:left w:val="single" w:sz="8" w:space="0" w:color="D2232A"/>
              <w:bottom w:val="nil"/>
            </w:tcBorders>
            <w:noWrap/>
            <w:vAlign w:val="center"/>
          </w:tcPr>
          <w:p w14:paraId="41D76030" w14:textId="29C5716D" w:rsidR="00962400" w:rsidRPr="005E4CB7" w:rsidRDefault="00962400"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31</w:t>
            </w:r>
          </w:p>
        </w:tc>
        <w:tc>
          <w:tcPr>
            <w:tcW w:w="1220" w:type="dxa"/>
            <w:tcBorders>
              <w:bottom w:val="nil"/>
              <w:right w:val="single" w:sz="8" w:space="0" w:color="D2232A"/>
            </w:tcBorders>
            <w:noWrap/>
            <w:vAlign w:val="center"/>
          </w:tcPr>
          <w:p w14:paraId="7E91E44E" w14:textId="28B16B89" w:rsidR="00962400" w:rsidRPr="005E4CB7" w:rsidRDefault="00962400"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56</w:t>
            </w:r>
          </w:p>
        </w:tc>
        <w:tc>
          <w:tcPr>
            <w:tcW w:w="1418" w:type="dxa"/>
            <w:tcBorders>
              <w:left w:val="single" w:sz="8" w:space="0" w:color="D2232A"/>
              <w:bottom w:val="nil"/>
            </w:tcBorders>
            <w:noWrap/>
            <w:vAlign w:val="center"/>
          </w:tcPr>
          <w:p w14:paraId="3DF0807E" w14:textId="16E20F61" w:rsidR="00962400" w:rsidRPr="005E4CB7" w:rsidRDefault="00962400"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144</w:t>
            </w:r>
          </w:p>
        </w:tc>
        <w:tc>
          <w:tcPr>
            <w:tcW w:w="1417" w:type="dxa"/>
            <w:tcBorders>
              <w:bottom w:val="nil"/>
              <w:right w:val="single" w:sz="8" w:space="0" w:color="D2232A"/>
            </w:tcBorders>
            <w:noWrap/>
            <w:vAlign w:val="center"/>
          </w:tcPr>
          <w:p w14:paraId="4E7E3ADD" w14:textId="2809ADBF" w:rsidR="00962400" w:rsidRPr="005E4CB7" w:rsidRDefault="00962400" w:rsidP="005E4CB7">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649</w:t>
            </w:r>
          </w:p>
        </w:tc>
      </w:tr>
    </w:tbl>
    <w:p w14:paraId="2F82E29C" w14:textId="41E60D60" w:rsidR="008878A0" w:rsidRPr="003D517E" w:rsidRDefault="008878A0" w:rsidP="003C2276">
      <w:pPr>
        <w:pStyle w:val="Izvor"/>
        <w:rPr>
          <w:i/>
          <w:color w:val="ABABAB" w:themeColor="text1" w:themeTint="A6"/>
          <w:sz w:val="16"/>
          <w:szCs w:val="16"/>
        </w:rPr>
      </w:pPr>
      <w:r w:rsidRPr="003D517E">
        <w:rPr>
          <w:i/>
          <w:color w:val="ABABAB" w:themeColor="text1" w:themeTint="A6"/>
          <w:sz w:val="16"/>
          <w:szCs w:val="16"/>
        </w:rPr>
        <w:t>DZS, Statistička izvješća, Kultura i umjetnost 2014., 2015., 2016.</w:t>
      </w:r>
      <w:r w:rsidR="00962400" w:rsidRPr="003D517E">
        <w:rPr>
          <w:i/>
          <w:color w:val="ABABAB" w:themeColor="text1" w:themeTint="A6"/>
          <w:sz w:val="16"/>
          <w:szCs w:val="16"/>
        </w:rPr>
        <w:t>, 2017. i 2018.</w:t>
      </w:r>
    </w:p>
    <w:p w14:paraId="6A6A6575" w14:textId="77777777" w:rsidR="0024292A" w:rsidRDefault="0024292A" w:rsidP="00941871">
      <w:pPr>
        <w:autoSpaceDE w:val="0"/>
        <w:autoSpaceDN w:val="0"/>
        <w:adjustRightInd w:val="0"/>
        <w:spacing w:after="0" w:line="240" w:lineRule="auto"/>
        <w:rPr>
          <w:rFonts w:eastAsia="ArialNarrow" w:cstheme="minorHAnsi"/>
        </w:rPr>
      </w:pPr>
    </w:p>
    <w:p w14:paraId="4B3C454D" w14:textId="2ED787FA" w:rsidR="008878A0" w:rsidRDefault="008878A0" w:rsidP="00941871">
      <w:pPr>
        <w:autoSpaceDE w:val="0"/>
        <w:autoSpaceDN w:val="0"/>
        <w:adjustRightInd w:val="0"/>
        <w:spacing w:after="0" w:line="240" w:lineRule="auto"/>
        <w:rPr>
          <w:rFonts w:eastAsia="ArialNarrow" w:cstheme="minorHAnsi"/>
          <w:sz w:val="22"/>
          <w:szCs w:val="22"/>
        </w:rPr>
      </w:pPr>
      <w:r>
        <w:rPr>
          <w:rFonts w:eastAsia="ArialNarrow" w:cstheme="minorHAnsi"/>
        </w:rPr>
        <w:t xml:space="preserve">U Krapinsko-zagorskoj županiji broj radio postaja u periodu od 2014. </w:t>
      </w:r>
      <w:r w:rsidR="00943AF1">
        <w:rPr>
          <w:rFonts w:eastAsia="ArialNarrow" w:cstheme="minorHAnsi"/>
        </w:rPr>
        <w:t xml:space="preserve">do </w:t>
      </w:r>
      <w:r w:rsidR="00BF4C2B">
        <w:rPr>
          <w:rFonts w:eastAsia="ArialNarrow" w:cstheme="minorHAnsi"/>
        </w:rPr>
        <w:t>201</w:t>
      </w:r>
      <w:r w:rsidR="00962400">
        <w:rPr>
          <w:rFonts w:eastAsia="ArialNarrow" w:cstheme="minorHAnsi"/>
        </w:rPr>
        <w:t>8</w:t>
      </w:r>
      <w:r w:rsidR="00BF4C2B">
        <w:rPr>
          <w:rFonts w:eastAsia="ArialNarrow" w:cstheme="minorHAnsi"/>
        </w:rPr>
        <w:t>. godine ostao je isti</w:t>
      </w:r>
      <w:r>
        <w:rPr>
          <w:rFonts w:eastAsia="ArialNarrow" w:cstheme="minorHAnsi"/>
        </w:rPr>
        <w:t xml:space="preserve"> dok se broj odašiljača povećao </w:t>
      </w:r>
      <w:r w:rsidR="00BF4C2B">
        <w:rPr>
          <w:rFonts w:eastAsia="ArialNarrow" w:cstheme="minorHAnsi"/>
        </w:rPr>
        <w:t xml:space="preserve">za </w:t>
      </w:r>
      <w:r>
        <w:rPr>
          <w:rFonts w:eastAsia="ArialNarrow" w:cstheme="minorHAnsi"/>
        </w:rPr>
        <w:t>36%</w:t>
      </w:r>
      <w:r w:rsidR="007E544D">
        <w:rPr>
          <w:rFonts w:eastAsia="ArialNarrow" w:cstheme="minorHAnsi"/>
        </w:rPr>
        <w:t>,</w:t>
      </w:r>
      <w:r>
        <w:rPr>
          <w:rFonts w:eastAsia="ArialNarrow" w:cstheme="minorHAnsi"/>
        </w:rPr>
        <w:t xml:space="preserve"> s</w:t>
      </w:r>
      <w:r w:rsidR="00BF4C2B">
        <w:rPr>
          <w:rFonts w:eastAsia="ArialNarrow" w:cstheme="minorHAnsi"/>
        </w:rPr>
        <w:t xml:space="preserve"> 11 na 15 tokom 2017. godine</w:t>
      </w:r>
      <w:r w:rsidR="00962400">
        <w:rPr>
          <w:rFonts w:eastAsia="ArialNarrow" w:cstheme="minorHAnsi"/>
        </w:rPr>
        <w:t xml:space="preserve"> te je isti broj i u 2018. godini</w:t>
      </w:r>
      <w:r w:rsidR="00BF4C2B">
        <w:rPr>
          <w:rFonts w:eastAsia="ArialNarrow" w:cstheme="minorHAnsi"/>
        </w:rPr>
        <w:t xml:space="preserve">. U </w:t>
      </w:r>
      <w:r w:rsidR="00C7437E">
        <w:rPr>
          <w:rFonts w:eastAsia="ArialNarrow" w:cstheme="minorHAnsi"/>
        </w:rPr>
        <w:t>Sjevern</w:t>
      </w:r>
      <w:r w:rsidR="00FA42E2">
        <w:rPr>
          <w:rFonts w:eastAsia="ArialNarrow" w:cstheme="minorHAnsi"/>
        </w:rPr>
        <w:t>oj</w:t>
      </w:r>
      <w:r>
        <w:rPr>
          <w:rFonts w:eastAsia="ArialNarrow" w:cstheme="minorHAnsi"/>
        </w:rPr>
        <w:t xml:space="preserve"> Hrvatsk</w:t>
      </w:r>
      <w:r w:rsidR="00BF4C2B">
        <w:rPr>
          <w:rFonts w:eastAsia="ArialNarrow" w:cstheme="minorHAnsi"/>
        </w:rPr>
        <w:t>oj</w:t>
      </w:r>
      <w:r>
        <w:rPr>
          <w:rFonts w:eastAsia="ArialNarrow" w:cstheme="minorHAnsi"/>
        </w:rPr>
        <w:t xml:space="preserve"> broj radio postaja u istom periodu povećao se </w:t>
      </w:r>
      <w:r w:rsidR="00FA42E2">
        <w:rPr>
          <w:rFonts w:eastAsia="ArialNarrow" w:cstheme="minorHAnsi"/>
        </w:rPr>
        <w:t xml:space="preserve">za 10% </w:t>
      </w:r>
      <w:r>
        <w:rPr>
          <w:rFonts w:eastAsia="ArialNarrow" w:cstheme="minorHAnsi"/>
        </w:rPr>
        <w:t xml:space="preserve">s </w:t>
      </w:r>
      <w:r w:rsidR="00FA42E2">
        <w:rPr>
          <w:rFonts w:eastAsia="ArialNarrow" w:cstheme="minorHAnsi"/>
        </w:rPr>
        <w:t>29</w:t>
      </w:r>
      <w:r>
        <w:rPr>
          <w:rFonts w:eastAsia="ArialNarrow" w:cstheme="minorHAnsi"/>
        </w:rPr>
        <w:t xml:space="preserve"> na </w:t>
      </w:r>
      <w:r w:rsidR="00FA42E2">
        <w:rPr>
          <w:rFonts w:eastAsia="ArialNarrow" w:cstheme="minorHAnsi"/>
        </w:rPr>
        <w:t>32 (tri nove radio postaje osnovane su na području Zagrebačke županije u 2017. godini)</w:t>
      </w:r>
      <w:r w:rsidR="00962400">
        <w:rPr>
          <w:rFonts w:eastAsia="ArialNarrow" w:cstheme="minorHAnsi"/>
        </w:rPr>
        <w:t xml:space="preserve"> te potom smanjen u 2018. na 31.</w:t>
      </w:r>
      <w:r>
        <w:rPr>
          <w:rFonts w:eastAsia="ArialNarrow" w:cstheme="minorHAnsi"/>
        </w:rPr>
        <w:t xml:space="preserve"> </w:t>
      </w:r>
      <w:r w:rsidR="00962400">
        <w:rPr>
          <w:rFonts w:eastAsia="ArialNarrow" w:cstheme="minorHAnsi"/>
        </w:rPr>
        <w:t>B</w:t>
      </w:r>
      <w:r>
        <w:rPr>
          <w:rFonts w:eastAsia="ArialNarrow" w:cstheme="minorHAnsi"/>
        </w:rPr>
        <w:t>roj oda</w:t>
      </w:r>
      <w:r w:rsidR="00BF4C2B">
        <w:rPr>
          <w:rFonts w:eastAsia="ArialNarrow" w:cstheme="minorHAnsi"/>
        </w:rPr>
        <w:t xml:space="preserve">šiljača povećao </w:t>
      </w:r>
      <w:r w:rsidR="00962400">
        <w:rPr>
          <w:rFonts w:eastAsia="ArialNarrow" w:cstheme="minorHAnsi"/>
        </w:rPr>
        <w:t xml:space="preserve">se </w:t>
      </w:r>
      <w:r w:rsidR="00BF4C2B">
        <w:rPr>
          <w:rFonts w:eastAsia="ArialNarrow" w:cstheme="minorHAnsi"/>
        </w:rPr>
        <w:t xml:space="preserve">za </w:t>
      </w:r>
      <w:r w:rsidR="00FA42E2">
        <w:rPr>
          <w:rFonts w:eastAsia="ArialNarrow" w:cstheme="minorHAnsi"/>
        </w:rPr>
        <w:t>15</w:t>
      </w:r>
      <w:r w:rsidR="00BF4C2B">
        <w:rPr>
          <w:rFonts w:eastAsia="ArialNarrow" w:cstheme="minorHAnsi"/>
        </w:rPr>
        <w:t>% odnosno s</w:t>
      </w:r>
      <w:r>
        <w:rPr>
          <w:rFonts w:eastAsia="ArialNarrow" w:cstheme="minorHAnsi"/>
        </w:rPr>
        <w:t xml:space="preserve"> </w:t>
      </w:r>
      <w:r w:rsidR="00FA42E2">
        <w:rPr>
          <w:rFonts w:eastAsia="ArialNarrow" w:cstheme="minorHAnsi"/>
        </w:rPr>
        <w:t>53</w:t>
      </w:r>
      <w:r>
        <w:rPr>
          <w:rFonts w:eastAsia="ArialNarrow" w:cstheme="minorHAnsi"/>
        </w:rPr>
        <w:t xml:space="preserve"> na </w:t>
      </w:r>
      <w:r w:rsidR="00FA42E2">
        <w:rPr>
          <w:rFonts w:eastAsia="ArialNarrow" w:cstheme="minorHAnsi"/>
        </w:rPr>
        <w:t>61</w:t>
      </w:r>
      <w:r w:rsidR="00962400">
        <w:rPr>
          <w:rFonts w:eastAsia="ArialNarrow" w:cstheme="minorHAnsi"/>
        </w:rPr>
        <w:t xml:space="preserve"> u 2017. godini</w:t>
      </w:r>
      <w:r>
        <w:rPr>
          <w:rFonts w:eastAsia="ArialNarrow" w:cstheme="minorHAnsi"/>
        </w:rPr>
        <w:t>.</w:t>
      </w:r>
      <w:r w:rsidR="00962400">
        <w:rPr>
          <w:rFonts w:eastAsia="ArialNarrow" w:cstheme="minorHAnsi"/>
        </w:rPr>
        <w:t xml:space="preserve"> Tijekom 2018. došlo je do smanjenja broja odašiljača te ih je sad</w:t>
      </w:r>
      <w:r w:rsidR="007E544D">
        <w:rPr>
          <w:rFonts w:eastAsia="ArialNarrow" w:cstheme="minorHAnsi"/>
        </w:rPr>
        <w:t>a</w:t>
      </w:r>
      <w:r w:rsidR="00962400">
        <w:rPr>
          <w:rFonts w:eastAsia="ArialNarrow" w:cstheme="minorHAnsi"/>
        </w:rPr>
        <w:t xml:space="preserve"> 56.</w:t>
      </w:r>
      <w:r>
        <w:rPr>
          <w:rFonts w:eastAsia="ArialNarrow" w:cstheme="minorHAnsi"/>
        </w:rPr>
        <w:t xml:space="preserve"> Na području cijele Republike Hrvatske broj radio postaja povećao se za 7% odnosno sa 138 na 147</w:t>
      </w:r>
      <w:r w:rsidR="00962400">
        <w:rPr>
          <w:rFonts w:eastAsia="ArialNarrow" w:cstheme="minorHAnsi"/>
        </w:rPr>
        <w:t xml:space="preserve"> u 2017. godini</w:t>
      </w:r>
      <w:r w:rsidR="007E544D">
        <w:rPr>
          <w:rFonts w:eastAsia="ArialNarrow" w:cstheme="minorHAnsi"/>
        </w:rPr>
        <w:t>.</w:t>
      </w:r>
      <w:r w:rsidR="00962400">
        <w:rPr>
          <w:rFonts w:eastAsia="ArialNarrow" w:cstheme="minorHAnsi"/>
        </w:rPr>
        <w:t xml:space="preserve"> I ovdje dolazi do pada njihova broja u 2018. godini</w:t>
      </w:r>
      <w:r w:rsidR="00BE322E">
        <w:rPr>
          <w:rFonts w:eastAsia="ArialNarrow" w:cstheme="minorHAnsi"/>
        </w:rPr>
        <w:t xml:space="preserve"> sa 147 na 144.</w:t>
      </w:r>
      <w:r>
        <w:rPr>
          <w:rFonts w:eastAsia="ArialNarrow" w:cstheme="minorHAnsi"/>
        </w:rPr>
        <w:t xml:space="preserve"> Ukupan broj odašiljača porastao je za 3% odnosno sa 633 na 654 u</w:t>
      </w:r>
      <w:r w:rsidR="00BE322E">
        <w:rPr>
          <w:rFonts w:eastAsia="ArialNarrow" w:cstheme="minorHAnsi"/>
        </w:rPr>
        <w:t xml:space="preserve"> periodu do 2017. godine. Ponovno, tijekom 2018. primjetan je pad broja odašiljača za 0,8% odnosno s 654 u 2017. na 649.</w:t>
      </w:r>
    </w:p>
    <w:p w14:paraId="623B7183" w14:textId="77777777" w:rsidR="008878A0" w:rsidRDefault="008878A0" w:rsidP="00941871">
      <w:pPr>
        <w:autoSpaceDE w:val="0"/>
        <w:autoSpaceDN w:val="0"/>
        <w:adjustRightInd w:val="0"/>
        <w:spacing w:after="0" w:line="240" w:lineRule="auto"/>
        <w:rPr>
          <w:rFonts w:eastAsia="ArialNarrow" w:cstheme="minorHAnsi"/>
          <w:sz w:val="20"/>
        </w:rPr>
      </w:pPr>
    </w:p>
    <w:p w14:paraId="1D7EA6ED" w14:textId="6549986C" w:rsidR="008878A0" w:rsidRDefault="008878A0" w:rsidP="003E3F3C">
      <w:pPr>
        <w:pStyle w:val="Opisslike"/>
      </w:pPr>
      <w:r>
        <w:t xml:space="preserve">Tablica </w:t>
      </w:r>
      <w:r w:rsidR="00223A66">
        <w:rPr>
          <w:noProof/>
        </w:rPr>
        <w:t>4</w:t>
      </w:r>
      <w:r w:rsidR="00D51238">
        <w:rPr>
          <w:noProof/>
        </w:rPr>
        <w:t>5</w:t>
      </w:r>
      <w:r w:rsidR="0026418E">
        <w:rPr>
          <w:noProof/>
        </w:rPr>
        <w:t>.</w:t>
      </w:r>
      <w:r>
        <w:rPr>
          <w:noProof/>
        </w:rPr>
        <w:t xml:space="preserve"> </w:t>
      </w:r>
      <w:r>
        <w:t xml:space="preserve">Broj radio i televizijskih pretplatnika, Krapinsko-zagorska županija, </w:t>
      </w:r>
      <w:r w:rsidR="00C7437E">
        <w:t>Sjevern</w:t>
      </w:r>
      <w:r w:rsidR="00A51230">
        <w:t>a</w:t>
      </w:r>
      <w:r>
        <w:t xml:space="preserve"> Hrvatska i R</w:t>
      </w:r>
      <w:r w:rsidR="00A51230">
        <w:t>epublika Hrvatska</w:t>
      </w:r>
      <w:r>
        <w:t xml:space="preserve"> 2014. – 201</w:t>
      </w:r>
      <w:r w:rsidR="0024292A">
        <w:t>8</w:t>
      </w:r>
      <w:r>
        <w:t>. godina</w:t>
      </w:r>
    </w:p>
    <w:tbl>
      <w:tblPr>
        <w:tblW w:w="9209" w:type="dxa"/>
        <w:tblBorders>
          <w:insideH w:val="single" w:sz="8" w:space="0" w:color="F3CFC1"/>
        </w:tblBorders>
        <w:tblLook w:val="04A0" w:firstRow="1" w:lastRow="0" w:firstColumn="1" w:lastColumn="0" w:noHBand="0" w:noVBand="1"/>
      </w:tblPr>
      <w:tblGrid>
        <w:gridCol w:w="1129"/>
        <w:gridCol w:w="2694"/>
        <w:gridCol w:w="2551"/>
        <w:gridCol w:w="2835"/>
      </w:tblGrid>
      <w:tr w:rsidR="008878A0" w:rsidRPr="00A51230" w14:paraId="1D395847" w14:textId="77777777" w:rsidTr="005E380B">
        <w:trPr>
          <w:trHeight w:val="283"/>
        </w:trPr>
        <w:tc>
          <w:tcPr>
            <w:tcW w:w="9209" w:type="dxa"/>
            <w:gridSpan w:val="4"/>
            <w:tcBorders>
              <w:top w:val="nil"/>
              <w:right w:val="single" w:sz="8" w:space="0" w:color="D2232A"/>
            </w:tcBorders>
            <w:shd w:val="clear" w:color="auto" w:fill="D2232A"/>
            <w:noWrap/>
            <w:vAlign w:val="center"/>
            <w:hideMark/>
          </w:tcPr>
          <w:p w14:paraId="2AEB3ABE" w14:textId="77777777" w:rsidR="008878A0" w:rsidRPr="00A51230" w:rsidRDefault="008878A0" w:rsidP="00512348">
            <w:pPr>
              <w:spacing w:after="0" w:line="240" w:lineRule="auto"/>
              <w:jc w:val="center"/>
              <w:rPr>
                <w:rFonts w:eastAsia="Times New Roman" w:cstheme="minorHAnsi"/>
                <w:color w:val="FFFFFF"/>
                <w:szCs w:val="18"/>
                <w:lang w:eastAsia="hr-HR"/>
              </w:rPr>
            </w:pPr>
            <w:r w:rsidRPr="00A51230">
              <w:rPr>
                <w:rFonts w:eastAsia="Times New Roman" w:cstheme="minorHAnsi"/>
                <w:color w:val="FFFFFF"/>
                <w:szCs w:val="18"/>
                <w:lang w:eastAsia="hr-HR"/>
              </w:rPr>
              <w:t>Radio pretplatnici</w:t>
            </w:r>
          </w:p>
        </w:tc>
      </w:tr>
      <w:tr w:rsidR="008878A0" w:rsidRPr="00A51230" w14:paraId="39AAB952" w14:textId="77777777" w:rsidTr="005E380B">
        <w:trPr>
          <w:trHeight w:val="283"/>
        </w:trPr>
        <w:tc>
          <w:tcPr>
            <w:tcW w:w="1129" w:type="dxa"/>
            <w:shd w:val="clear" w:color="auto" w:fill="D2232A"/>
            <w:noWrap/>
            <w:vAlign w:val="center"/>
            <w:hideMark/>
          </w:tcPr>
          <w:p w14:paraId="3BFC59AF" w14:textId="77777777"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Godina</w:t>
            </w:r>
          </w:p>
        </w:tc>
        <w:tc>
          <w:tcPr>
            <w:tcW w:w="2694" w:type="dxa"/>
            <w:shd w:val="clear" w:color="auto" w:fill="D2232A"/>
            <w:noWrap/>
            <w:vAlign w:val="center"/>
            <w:hideMark/>
          </w:tcPr>
          <w:p w14:paraId="5B0969C3" w14:textId="77777777" w:rsidR="008878A0" w:rsidRPr="00A51230" w:rsidRDefault="008878A0" w:rsidP="00384494">
            <w:pPr>
              <w:spacing w:after="0" w:line="240" w:lineRule="auto"/>
              <w:jc w:val="center"/>
              <w:rPr>
                <w:rFonts w:eastAsia="Times New Roman" w:cstheme="minorHAnsi"/>
                <w:color w:val="FFFFFF"/>
                <w:szCs w:val="18"/>
                <w:lang w:eastAsia="hr-HR"/>
              </w:rPr>
            </w:pPr>
            <w:r w:rsidRPr="00A51230">
              <w:rPr>
                <w:rFonts w:eastAsia="Times New Roman" w:cstheme="minorHAnsi"/>
                <w:color w:val="FFFFFF"/>
                <w:szCs w:val="18"/>
                <w:lang w:eastAsia="hr-HR"/>
              </w:rPr>
              <w:t>Krapinsko-zagorska županija</w:t>
            </w:r>
          </w:p>
        </w:tc>
        <w:tc>
          <w:tcPr>
            <w:tcW w:w="2551" w:type="dxa"/>
            <w:shd w:val="clear" w:color="auto" w:fill="E5E5E5" w:themeFill="text1" w:themeFillTint="33"/>
            <w:noWrap/>
            <w:vAlign w:val="center"/>
            <w:hideMark/>
          </w:tcPr>
          <w:p w14:paraId="132B39DB" w14:textId="6EA10796" w:rsidR="008878A0" w:rsidRPr="00A51230" w:rsidRDefault="00C7437E" w:rsidP="00384494">
            <w:pPr>
              <w:spacing w:after="0" w:line="240" w:lineRule="auto"/>
              <w:jc w:val="center"/>
              <w:rPr>
                <w:rFonts w:eastAsia="Times New Roman" w:cstheme="minorHAnsi"/>
                <w:color w:val="FFFFFF"/>
                <w:szCs w:val="18"/>
                <w:lang w:eastAsia="hr-HR"/>
              </w:rPr>
            </w:pPr>
            <w:r>
              <w:rPr>
                <w:rFonts w:eastAsia="Times New Roman" w:cstheme="minorHAnsi"/>
                <w:szCs w:val="18"/>
                <w:lang w:eastAsia="hr-HR"/>
              </w:rPr>
              <w:t>Sjevern</w:t>
            </w:r>
            <w:r w:rsidR="00A51230" w:rsidRPr="00A51230">
              <w:rPr>
                <w:rFonts w:eastAsia="Times New Roman" w:cstheme="minorHAnsi"/>
                <w:szCs w:val="18"/>
                <w:lang w:eastAsia="hr-HR"/>
              </w:rPr>
              <w:t>a</w:t>
            </w:r>
            <w:r w:rsidR="008878A0" w:rsidRPr="00A51230">
              <w:rPr>
                <w:rFonts w:eastAsia="Times New Roman" w:cstheme="minorHAnsi"/>
                <w:szCs w:val="18"/>
                <w:lang w:eastAsia="hr-HR"/>
              </w:rPr>
              <w:t xml:space="preserve"> Hrvatska</w:t>
            </w:r>
          </w:p>
        </w:tc>
        <w:tc>
          <w:tcPr>
            <w:tcW w:w="2835" w:type="dxa"/>
            <w:tcBorders>
              <w:right w:val="single" w:sz="8" w:space="0" w:color="D2232A"/>
            </w:tcBorders>
            <w:shd w:val="clear" w:color="auto" w:fill="E5E5E5" w:themeFill="text1" w:themeFillTint="33"/>
            <w:noWrap/>
            <w:vAlign w:val="center"/>
            <w:hideMark/>
          </w:tcPr>
          <w:p w14:paraId="7C573C21" w14:textId="77777777" w:rsidR="008878A0" w:rsidRPr="00A51230" w:rsidRDefault="008878A0" w:rsidP="00384494">
            <w:pPr>
              <w:spacing w:after="0" w:line="240" w:lineRule="auto"/>
              <w:jc w:val="center"/>
              <w:rPr>
                <w:rFonts w:eastAsia="Times New Roman" w:cstheme="minorHAnsi"/>
                <w:szCs w:val="18"/>
                <w:lang w:eastAsia="hr-HR"/>
              </w:rPr>
            </w:pPr>
            <w:r w:rsidRPr="00A51230">
              <w:rPr>
                <w:rFonts w:eastAsia="Times New Roman" w:cstheme="minorHAnsi"/>
                <w:szCs w:val="18"/>
                <w:lang w:eastAsia="hr-HR"/>
              </w:rPr>
              <w:t>Republika Hrvatska</w:t>
            </w:r>
          </w:p>
        </w:tc>
      </w:tr>
      <w:tr w:rsidR="008878A0" w:rsidRPr="00A51230" w14:paraId="05B2B631" w14:textId="77777777" w:rsidTr="005E380B">
        <w:trPr>
          <w:trHeight w:val="283"/>
        </w:trPr>
        <w:tc>
          <w:tcPr>
            <w:tcW w:w="1129" w:type="dxa"/>
            <w:shd w:val="clear" w:color="auto" w:fill="D2232A"/>
            <w:noWrap/>
            <w:vAlign w:val="center"/>
            <w:hideMark/>
          </w:tcPr>
          <w:p w14:paraId="65945807" w14:textId="1ECDFF3B"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2014</w:t>
            </w:r>
            <w:r w:rsidR="00384494" w:rsidRPr="00A51230">
              <w:rPr>
                <w:rFonts w:eastAsia="Times New Roman" w:cstheme="minorHAnsi"/>
                <w:color w:val="FFFFFF"/>
                <w:szCs w:val="18"/>
                <w:lang w:eastAsia="hr-HR"/>
              </w:rPr>
              <w:t>.</w:t>
            </w:r>
          </w:p>
        </w:tc>
        <w:tc>
          <w:tcPr>
            <w:tcW w:w="2694" w:type="dxa"/>
            <w:noWrap/>
            <w:vAlign w:val="center"/>
            <w:hideMark/>
          </w:tcPr>
          <w:p w14:paraId="0701EB33"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36.194</w:t>
            </w:r>
          </w:p>
        </w:tc>
        <w:tc>
          <w:tcPr>
            <w:tcW w:w="2551" w:type="dxa"/>
            <w:noWrap/>
            <w:vAlign w:val="center"/>
          </w:tcPr>
          <w:p w14:paraId="6FA8B128" w14:textId="1F16F695" w:rsidR="008878A0" w:rsidRPr="00A51230" w:rsidRDefault="00955545"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239.104</w:t>
            </w:r>
          </w:p>
        </w:tc>
        <w:tc>
          <w:tcPr>
            <w:tcW w:w="2835" w:type="dxa"/>
            <w:tcBorders>
              <w:right w:val="single" w:sz="8" w:space="0" w:color="D2232A"/>
            </w:tcBorders>
            <w:noWrap/>
            <w:vAlign w:val="center"/>
            <w:hideMark/>
          </w:tcPr>
          <w:p w14:paraId="35A13D20" w14:textId="77777777" w:rsidR="008878A0" w:rsidRPr="00A51230" w:rsidRDefault="008878A0" w:rsidP="00512348">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1.386.992</w:t>
            </w:r>
          </w:p>
        </w:tc>
      </w:tr>
      <w:tr w:rsidR="008878A0" w:rsidRPr="00A51230" w14:paraId="5DF9CF7C" w14:textId="77777777" w:rsidTr="005E380B">
        <w:trPr>
          <w:trHeight w:val="283"/>
        </w:trPr>
        <w:tc>
          <w:tcPr>
            <w:tcW w:w="1129" w:type="dxa"/>
            <w:shd w:val="clear" w:color="auto" w:fill="D2232A"/>
            <w:noWrap/>
            <w:vAlign w:val="center"/>
            <w:hideMark/>
          </w:tcPr>
          <w:p w14:paraId="340426CE" w14:textId="08CA7A54"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2015</w:t>
            </w:r>
            <w:r w:rsidR="00384494" w:rsidRPr="00A51230">
              <w:rPr>
                <w:rFonts w:eastAsia="Times New Roman" w:cstheme="minorHAnsi"/>
                <w:color w:val="FFFFFF"/>
                <w:szCs w:val="18"/>
                <w:lang w:eastAsia="hr-HR"/>
              </w:rPr>
              <w:t>.</w:t>
            </w:r>
          </w:p>
        </w:tc>
        <w:tc>
          <w:tcPr>
            <w:tcW w:w="2694" w:type="dxa"/>
            <w:noWrap/>
            <w:vAlign w:val="center"/>
            <w:hideMark/>
          </w:tcPr>
          <w:p w14:paraId="1E517EBC"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35.858</w:t>
            </w:r>
          </w:p>
        </w:tc>
        <w:tc>
          <w:tcPr>
            <w:tcW w:w="2551" w:type="dxa"/>
            <w:noWrap/>
            <w:vAlign w:val="center"/>
          </w:tcPr>
          <w:p w14:paraId="3777BA3B" w14:textId="28C7B58C" w:rsidR="008878A0" w:rsidRPr="00A51230" w:rsidRDefault="00955545"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236.516</w:t>
            </w:r>
          </w:p>
        </w:tc>
        <w:tc>
          <w:tcPr>
            <w:tcW w:w="2835" w:type="dxa"/>
            <w:tcBorders>
              <w:right w:val="single" w:sz="8" w:space="0" w:color="D2232A"/>
            </w:tcBorders>
            <w:noWrap/>
            <w:vAlign w:val="center"/>
            <w:hideMark/>
          </w:tcPr>
          <w:p w14:paraId="07302B4D" w14:textId="77777777" w:rsidR="008878A0" w:rsidRPr="00A51230" w:rsidRDefault="008878A0" w:rsidP="00512348">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1.394.425</w:t>
            </w:r>
          </w:p>
        </w:tc>
      </w:tr>
      <w:tr w:rsidR="008878A0" w:rsidRPr="00A51230" w14:paraId="77A048A7" w14:textId="77777777" w:rsidTr="00A8673E">
        <w:trPr>
          <w:trHeight w:val="283"/>
        </w:trPr>
        <w:tc>
          <w:tcPr>
            <w:tcW w:w="1129" w:type="dxa"/>
            <w:tcBorders>
              <w:bottom w:val="single" w:sz="4" w:space="0" w:color="FFFFFF"/>
            </w:tcBorders>
            <w:shd w:val="clear" w:color="auto" w:fill="D2232A"/>
            <w:noWrap/>
            <w:vAlign w:val="center"/>
            <w:hideMark/>
          </w:tcPr>
          <w:p w14:paraId="5399AFD2" w14:textId="5AC3A641"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2016</w:t>
            </w:r>
            <w:r w:rsidR="00384494" w:rsidRPr="00A51230">
              <w:rPr>
                <w:rFonts w:eastAsia="Times New Roman" w:cstheme="minorHAnsi"/>
                <w:color w:val="FFFFFF"/>
                <w:szCs w:val="18"/>
                <w:lang w:eastAsia="hr-HR"/>
              </w:rPr>
              <w:t>.</w:t>
            </w:r>
          </w:p>
        </w:tc>
        <w:tc>
          <w:tcPr>
            <w:tcW w:w="2694" w:type="dxa"/>
            <w:noWrap/>
            <w:vAlign w:val="center"/>
            <w:hideMark/>
          </w:tcPr>
          <w:p w14:paraId="49FAFB15"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36.216</w:t>
            </w:r>
          </w:p>
        </w:tc>
        <w:tc>
          <w:tcPr>
            <w:tcW w:w="2551" w:type="dxa"/>
            <w:noWrap/>
            <w:vAlign w:val="center"/>
          </w:tcPr>
          <w:p w14:paraId="3C7F2EC5" w14:textId="2CA6D6D4" w:rsidR="008878A0" w:rsidRPr="00A51230" w:rsidRDefault="00B7447C"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238.184</w:t>
            </w:r>
          </w:p>
        </w:tc>
        <w:tc>
          <w:tcPr>
            <w:tcW w:w="2835" w:type="dxa"/>
            <w:tcBorders>
              <w:right w:val="single" w:sz="8" w:space="0" w:color="D2232A"/>
            </w:tcBorders>
            <w:noWrap/>
            <w:vAlign w:val="center"/>
            <w:hideMark/>
          </w:tcPr>
          <w:p w14:paraId="763202BF" w14:textId="77777777" w:rsidR="008878A0" w:rsidRPr="00A51230" w:rsidRDefault="008878A0" w:rsidP="00512348">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1.408.717</w:t>
            </w:r>
          </w:p>
        </w:tc>
      </w:tr>
      <w:tr w:rsidR="008878A0" w:rsidRPr="00A51230" w14:paraId="39E1E084" w14:textId="77777777" w:rsidTr="00A8673E">
        <w:trPr>
          <w:trHeight w:val="283"/>
        </w:trPr>
        <w:tc>
          <w:tcPr>
            <w:tcW w:w="1129" w:type="dxa"/>
            <w:tcBorders>
              <w:top w:val="single" w:sz="4" w:space="0" w:color="FFFFFF"/>
            </w:tcBorders>
            <w:shd w:val="clear" w:color="auto" w:fill="D2232A"/>
            <w:noWrap/>
            <w:vAlign w:val="center"/>
            <w:hideMark/>
          </w:tcPr>
          <w:p w14:paraId="5B1024D4" w14:textId="454F2851"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2017</w:t>
            </w:r>
            <w:r w:rsidR="00384494" w:rsidRPr="00A51230">
              <w:rPr>
                <w:rFonts w:eastAsia="Times New Roman" w:cstheme="minorHAnsi"/>
                <w:color w:val="FFFFFF"/>
                <w:szCs w:val="18"/>
                <w:lang w:eastAsia="hr-HR"/>
              </w:rPr>
              <w:t>.</w:t>
            </w:r>
          </w:p>
        </w:tc>
        <w:tc>
          <w:tcPr>
            <w:tcW w:w="2694" w:type="dxa"/>
            <w:noWrap/>
            <w:vAlign w:val="center"/>
            <w:hideMark/>
          </w:tcPr>
          <w:p w14:paraId="1561C417"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36.229</w:t>
            </w:r>
          </w:p>
        </w:tc>
        <w:tc>
          <w:tcPr>
            <w:tcW w:w="2551" w:type="dxa"/>
            <w:noWrap/>
            <w:vAlign w:val="center"/>
          </w:tcPr>
          <w:p w14:paraId="62AC6F7C" w14:textId="31CC8A5D" w:rsidR="008878A0" w:rsidRPr="00A51230" w:rsidRDefault="005E380B"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238.135</w:t>
            </w:r>
          </w:p>
        </w:tc>
        <w:tc>
          <w:tcPr>
            <w:tcW w:w="2835" w:type="dxa"/>
            <w:tcBorders>
              <w:right w:val="single" w:sz="8" w:space="0" w:color="D2232A"/>
            </w:tcBorders>
            <w:noWrap/>
            <w:vAlign w:val="center"/>
            <w:hideMark/>
          </w:tcPr>
          <w:p w14:paraId="0C3DCCAE" w14:textId="77777777" w:rsidR="008878A0" w:rsidRPr="00A51230" w:rsidRDefault="008878A0" w:rsidP="00512348">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1.412.827</w:t>
            </w:r>
          </w:p>
        </w:tc>
      </w:tr>
      <w:tr w:rsidR="00BE322E" w:rsidRPr="00A51230" w14:paraId="62D8B9BE" w14:textId="77777777" w:rsidTr="00A8673E">
        <w:trPr>
          <w:trHeight w:val="283"/>
        </w:trPr>
        <w:tc>
          <w:tcPr>
            <w:tcW w:w="1129" w:type="dxa"/>
            <w:tcBorders>
              <w:top w:val="single" w:sz="4" w:space="0" w:color="FFFFFF"/>
            </w:tcBorders>
            <w:shd w:val="clear" w:color="auto" w:fill="D2232A"/>
            <w:noWrap/>
            <w:vAlign w:val="center"/>
          </w:tcPr>
          <w:p w14:paraId="17D33035" w14:textId="7558935B" w:rsidR="00BE322E" w:rsidRPr="00A51230" w:rsidRDefault="00BE322E" w:rsidP="00941871">
            <w:pPr>
              <w:spacing w:after="0" w:line="240" w:lineRule="auto"/>
              <w:rPr>
                <w:rFonts w:eastAsia="Times New Roman" w:cstheme="minorHAnsi"/>
                <w:color w:val="FFFFFF"/>
                <w:szCs w:val="18"/>
                <w:lang w:eastAsia="hr-HR"/>
              </w:rPr>
            </w:pPr>
            <w:r>
              <w:rPr>
                <w:rFonts w:eastAsia="Times New Roman" w:cstheme="minorHAnsi"/>
                <w:color w:val="FFFFFF"/>
                <w:szCs w:val="18"/>
                <w:lang w:eastAsia="hr-HR"/>
              </w:rPr>
              <w:t>2018.</w:t>
            </w:r>
          </w:p>
        </w:tc>
        <w:tc>
          <w:tcPr>
            <w:tcW w:w="2694" w:type="dxa"/>
            <w:noWrap/>
            <w:vAlign w:val="center"/>
          </w:tcPr>
          <w:p w14:paraId="1BED1FF9" w14:textId="3FEA55D7" w:rsidR="00BE322E" w:rsidRPr="00A51230" w:rsidRDefault="00BE322E"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36.193</w:t>
            </w:r>
          </w:p>
        </w:tc>
        <w:tc>
          <w:tcPr>
            <w:tcW w:w="2551" w:type="dxa"/>
            <w:noWrap/>
            <w:vAlign w:val="center"/>
          </w:tcPr>
          <w:p w14:paraId="72F04834" w14:textId="65CF37DD" w:rsidR="00BE322E" w:rsidRDefault="00BE322E"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237.873</w:t>
            </w:r>
          </w:p>
        </w:tc>
        <w:tc>
          <w:tcPr>
            <w:tcW w:w="2835" w:type="dxa"/>
            <w:tcBorders>
              <w:right w:val="single" w:sz="8" w:space="0" w:color="D2232A"/>
            </w:tcBorders>
            <w:noWrap/>
            <w:vAlign w:val="center"/>
          </w:tcPr>
          <w:p w14:paraId="070EEE4D" w14:textId="3540A447" w:rsidR="00BE322E" w:rsidRPr="00A51230" w:rsidRDefault="00BE322E" w:rsidP="00512348">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1.423.650</w:t>
            </w:r>
          </w:p>
        </w:tc>
      </w:tr>
      <w:tr w:rsidR="008878A0" w:rsidRPr="00A51230" w14:paraId="1FE17A3C" w14:textId="77777777" w:rsidTr="005E380B">
        <w:trPr>
          <w:trHeight w:val="283"/>
        </w:trPr>
        <w:tc>
          <w:tcPr>
            <w:tcW w:w="9209" w:type="dxa"/>
            <w:gridSpan w:val="4"/>
            <w:tcBorders>
              <w:right w:val="single" w:sz="8" w:space="0" w:color="D2232A"/>
            </w:tcBorders>
            <w:shd w:val="clear" w:color="auto" w:fill="D2232A"/>
            <w:noWrap/>
            <w:vAlign w:val="center"/>
            <w:hideMark/>
          </w:tcPr>
          <w:p w14:paraId="296EEF5D" w14:textId="77777777" w:rsidR="008878A0" w:rsidRPr="00A51230" w:rsidRDefault="008878A0" w:rsidP="005E380B">
            <w:pPr>
              <w:spacing w:after="0" w:line="240" w:lineRule="auto"/>
              <w:jc w:val="center"/>
              <w:rPr>
                <w:rFonts w:eastAsia="Times New Roman" w:cstheme="minorHAnsi"/>
                <w:color w:val="FFFFFF"/>
                <w:szCs w:val="18"/>
                <w:lang w:eastAsia="hr-HR"/>
              </w:rPr>
            </w:pPr>
            <w:r w:rsidRPr="00A51230">
              <w:rPr>
                <w:rFonts w:eastAsia="Times New Roman" w:cstheme="minorHAnsi"/>
                <w:color w:val="FFFFFF"/>
                <w:szCs w:val="18"/>
                <w:lang w:eastAsia="hr-HR"/>
              </w:rPr>
              <w:t>Televizijski pretplatnici</w:t>
            </w:r>
          </w:p>
        </w:tc>
      </w:tr>
      <w:tr w:rsidR="008878A0" w:rsidRPr="00A51230" w14:paraId="55A57F13" w14:textId="77777777" w:rsidTr="005E380B">
        <w:trPr>
          <w:trHeight w:val="283"/>
        </w:trPr>
        <w:tc>
          <w:tcPr>
            <w:tcW w:w="1129" w:type="dxa"/>
            <w:shd w:val="clear" w:color="auto" w:fill="D2232A"/>
            <w:noWrap/>
            <w:vAlign w:val="center"/>
            <w:hideMark/>
          </w:tcPr>
          <w:p w14:paraId="281B1329" w14:textId="77777777"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Godina</w:t>
            </w:r>
          </w:p>
        </w:tc>
        <w:tc>
          <w:tcPr>
            <w:tcW w:w="2694" w:type="dxa"/>
            <w:shd w:val="clear" w:color="auto" w:fill="D2232A"/>
            <w:noWrap/>
            <w:vAlign w:val="center"/>
            <w:hideMark/>
          </w:tcPr>
          <w:p w14:paraId="31BACAB0" w14:textId="77777777" w:rsidR="008878A0" w:rsidRPr="00A51230" w:rsidRDefault="008878A0" w:rsidP="00384494">
            <w:pPr>
              <w:spacing w:after="0" w:line="240" w:lineRule="auto"/>
              <w:jc w:val="center"/>
              <w:rPr>
                <w:rFonts w:eastAsia="Times New Roman" w:cstheme="minorHAnsi"/>
                <w:color w:val="FFFFFF"/>
                <w:szCs w:val="18"/>
                <w:lang w:eastAsia="hr-HR"/>
              </w:rPr>
            </w:pPr>
            <w:r w:rsidRPr="00A51230">
              <w:rPr>
                <w:rFonts w:eastAsia="Times New Roman" w:cstheme="minorHAnsi"/>
                <w:color w:val="FFFFFF"/>
                <w:szCs w:val="18"/>
                <w:lang w:eastAsia="hr-HR"/>
              </w:rPr>
              <w:t>Krapinsko-zagorska županija</w:t>
            </w:r>
          </w:p>
        </w:tc>
        <w:tc>
          <w:tcPr>
            <w:tcW w:w="2551" w:type="dxa"/>
            <w:shd w:val="clear" w:color="auto" w:fill="E5E5E5" w:themeFill="text1" w:themeFillTint="33"/>
            <w:noWrap/>
            <w:vAlign w:val="center"/>
            <w:hideMark/>
          </w:tcPr>
          <w:p w14:paraId="65FE7DA7" w14:textId="2ED51C9F" w:rsidR="008878A0" w:rsidRPr="00A51230" w:rsidRDefault="00C7437E" w:rsidP="00384494">
            <w:pPr>
              <w:spacing w:after="0" w:line="240" w:lineRule="auto"/>
              <w:jc w:val="center"/>
              <w:rPr>
                <w:rFonts w:eastAsia="Times New Roman" w:cstheme="minorHAnsi"/>
                <w:color w:val="FFFFFF"/>
                <w:szCs w:val="18"/>
                <w:lang w:eastAsia="hr-HR"/>
              </w:rPr>
            </w:pPr>
            <w:r>
              <w:rPr>
                <w:rFonts w:eastAsia="Times New Roman" w:cstheme="minorHAnsi"/>
                <w:szCs w:val="18"/>
                <w:lang w:eastAsia="hr-HR"/>
              </w:rPr>
              <w:t>Sjevern</w:t>
            </w:r>
            <w:r w:rsidR="00955545">
              <w:rPr>
                <w:rFonts w:eastAsia="Times New Roman" w:cstheme="minorHAnsi"/>
                <w:szCs w:val="18"/>
                <w:lang w:eastAsia="hr-HR"/>
              </w:rPr>
              <w:t>a</w:t>
            </w:r>
            <w:r w:rsidR="008878A0" w:rsidRPr="00A51230">
              <w:rPr>
                <w:rFonts w:eastAsia="Times New Roman" w:cstheme="minorHAnsi"/>
                <w:szCs w:val="18"/>
                <w:lang w:eastAsia="hr-HR"/>
              </w:rPr>
              <w:t xml:space="preserve"> Hrvatska</w:t>
            </w:r>
          </w:p>
        </w:tc>
        <w:tc>
          <w:tcPr>
            <w:tcW w:w="2835" w:type="dxa"/>
            <w:tcBorders>
              <w:right w:val="single" w:sz="8" w:space="0" w:color="D2232A"/>
            </w:tcBorders>
            <w:shd w:val="clear" w:color="auto" w:fill="E5E5E5" w:themeFill="text1" w:themeFillTint="33"/>
            <w:noWrap/>
            <w:vAlign w:val="center"/>
            <w:hideMark/>
          </w:tcPr>
          <w:p w14:paraId="6F2766F4" w14:textId="77777777" w:rsidR="008878A0" w:rsidRPr="00A51230" w:rsidRDefault="008878A0" w:rsidP="00384494">
            <w:pPr>
              <w:spacing w:after="0" w:line="240" w:lineRule="auto"/>
              <w:jc w:val="center"/>
              <w:rPr>
                <w:rFonts w:eastAsia="Times New Roman" w:cstheme="minorHAnsi"/>
                <w:color w:val="FFFFFF"/>
                <w:szCs w:val="18"/>
                <w:lang w:eastAsia="hr-HR"/>
              </w:rPr>
            </w:pPr>
            <w:r w:rsidRPr="00A51230">
              <w:rPr>
                <w:rFonts w:eastAsia="Times New Roman" w:cstheme="minorHAnsi"/>
                <w:szCs w:val="18"/>
                <w:lang w:eastAsia="hr-HR"/>
              </w:rPr>
              <w:t>Republika Hrvatska</w:t>
            </w:r>
          </w:p>
        </w:tc>
      </w:tr>
      <w:tr w:rsidR="008878A0" w:rsidRPr="00A51230" w14:paraId="346B89E2" w14:textId="77777777" w:rsidTr="00A8673E">
        <w:trPr>
          <w:trHeight w:val="283"/>
        </w:trPr>
        <w:tc>
          <w:tcPr>
            <w:tcW w:w="1129" w:type="dxa"/>
            <w:tcBorders>
              <w:bottom w:val="single" w:sz="4" w:space="0" w:color="FFFFFF"/>
            </w:tcBorders>
            <w:shd w:val="clear" w:color="auto" w:fill="D2232A"/>
            <w:noWrap/>
            <w:vAlign w:val="center"/>
            <w:hideMark/>
          </w:tcPr>
          <w:p w14:paraId="4908CD0D" w14:textId="254C65EE"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2014</w:t>
            </w:r>
            <w:r w:rsidR="00384494" w:rsidRPr="00A51230">
              <w:rPr>
                <w:rFonts w:eastAsia="Times New Roman" w:cstheme="minorHAnsi"/>
                <w:color w:val="FFFFFF"/>
                <w:szCs w:val="18"/>
                <w:lang w:eastAsia="hr-HR"/>
              </w:rPr>
              <w:t>.</w:t>
            </w:r>
          </w:p>
        </w:tc>
        <w:tc>
          <w:tcPr>
            <w:tcW w:w="2694" w:type="dxa"/>
            <w:noWrap/>
            <w:vAlign w:val="center"/>
            <w:hideMark/>
          </w:tcPr>
          <w:p w14:paraId="71AF3AB2"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32.770</w:t>
            </w:r>
          </w:p>
        </w:tc>
        <w:tc>
          <w:tcPr>
            <w:tcW w:w="2551" w:type="dxa"/>
            <w:noWrap/>
            <w:vAlign w:val="center"/>
          </w:tcPr>
          <w:p w14:paraId="6A6BA9BC" w14:textId="74EBF4D8" w:rsidR="00955545" w:rsidRPr="00A51230" w:rsidRDefault="00955545" w:rsidP="00955545">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204.281</w:t>
            </w:r>
          </w:p>
        </w:tc>
        <w:tc>
          <w:tcPr>
            <w:tcW w:w="2835" w:type="dxa"/>
            <w:tcBorders>
              <w:right w:val="single" w:sz="8" w:space="0" w:color="D2232A"/>
            </w:tcBorders>
            <w:noWrap/>
            <w:vAlign w:val="center"/>
            <w:hideMark/>
          </w:tcPr>
          <w:p w14:paraId="3F5B80DE"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1.260.711</w:t>
            </w:r>
          </w:p>
        </w:tc>
      </w:tr>
      <w:tr w:rsidR="008878A0" w:rsidRPr="00A51230" w14:paraId="1D7D9B75" w14:textId="77777777" w:rsidTr="00A8673E">
        <w:trPr>
          <w:trHeight w:val="283"/>
        </w:trPr>
        <w:tc>
          <w:tcPr>
            <w:tcW w:w="1129" w:type="dxa"/>
            <w:tcBorders>
              <w:top w:val="single" w:sz="4" w:space="0" w:color="FFFFFF"/>
              <w:bottom w:val="single" w:sz="4" w:space="0" w:color="FFFFFF"/>
            </w:tcBorders>
            <w:shd w:val="clear" w:color="auto" w:fill="D2232A"/>
            <w:noWrap/>
            <w:vAlign w:val="center"/>
            <w:hideMark/>
          </w:tcPr>
          <w:p w14:paraId="1C9576A6" w14:textId="7EEF0FAF"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2015</w:t>
            </w:r>
            <w:r w:rsidR="00384494" w:rsidRPr="00A51230">
              <w:rPr>
                <w:rFonts w:eastAsia="Times New Roman" w:cstheme="minorHAnsi"/>
                <w:color w:val="FFFFFF"/>
                <w:szCs w:val="18"/>
                <w:lang w:eastAsia="hr-HR"/>
              </w:rPr>
              <w:t>.</w:t>
            </w:r>
          </w:p>
        </w:tc>
        <w:tc>
          <w:tcPr>
            <w:tcW w:w="2694" w:type="dxa"/>
            <w:noWrap/>
            <w:vAlign w:val="center"/>
            <w:hideMark/>
          </w:tcPr>
          <w:p w14:paraId="2CF58616"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32.485</w:t>
            </w:r>
          </w:p>
        </w:tc>
        <w:tc>
          <w:tcPr>
            <w:tcW w:w="2551" w:type="dxa"/>
            <w:noWrap/>
            <w:vAlign w:val="center"/>
          </w:tcPr>
          <w:p w14:paraId="6225D447" w14:textId="0CCF4572" w:rsidR="008878A0" w:rsidRPr="00A51230" w:rsidRDefault="00955545"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215.600</w:t>
            </w:r>
          </w:p>
        </w:tc>
        <w:tc>
          <w:tcPr>
            <w:tcW w:w="2835" w:type="dxa"/>
            <w:tcBorders>
              <w:right w:val="single" w:sz="8" w:space="0" w:color="D2232A"/>
            </w:tcBorders>
            <w:noWrap/>
            <w:vAlign w:val="center"/>
            <w:hideMark/>
          </w:tcPr>
          <w:p w14:paraId="604DA346"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1.266.449</w:t>
            </w:r>
          </w:p>
        </w:tc>
      </w:tr>
      <w:tr w:rsidR="008878A0" w:rsidRPr="00A51230" w14:paraId="4B90A02E" w14:textId="77777777" w:rsidTr="00A8673E">
        <w:trPr>
          <w:trHeight w:val="283"/>
        </w:trPr>
        <w:tc>
          <w:tcPr>
            <w:tcW w:w="1129" w:type="dxa"/>
            <w:tcBorders>
              <w:top w:val="single" w:sz="4" w:space="0" w:color="FFFFFF"/>
            </w:tcBorders>
            <w:shd w:val="clear" w:color="auto" w:fill="D2232A"/>
            <w:noWrap/>
            <w:vAlign w:val="center"/>
            <w:hideMark/>
          </w:tcPr>
          <w:p w14:paraId="76C1A7F9" w14:textId="34399D91"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2016</w:t>
            </w:r>
            <w:r w:rsidR="00384494" w:rsidRPr="00A51230">
              <w:rPr>
                <w:rFonts w:eastAsia="Times New Roman" w:cstheme="minorHAnsi"/>
                <w:color w:val="FFFFFF"/>
                <w:szCs w:val="18"/>
                <w:lang w:eastAsia="hr-HR"/>
              </w:rPr>
              <w:t>.</w:t>
            </w:r>
          </w:p>
        </w:tc>
        <w:tc>
          <w:tcPr>
            <w:tcW w:w="2694" w:type="dxa"/>
            <w:noWrap/>
            <w:vAlign w:val="center"/>
            <w:hideMark/>
          </w:tcPr>
          <w:p w14:paraId="7E55FECE"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32.585</w:t>
            </w:r>
          </w:p>
        </w:tc>
        <w:tc>
          <w:tcPr>
            <w:tcW w:w="2551" w:type="dxa"/>
            <w:noWrap/>
            <w:vAlign w:val="center"/>
          </w:tcPr>
          <w:p w14:paraId="441D0EB6" w14:textId="20685BD5" w:rsidR="00B7447C" w:rsidRPr="00A51230" w:rsidRDefault="00B7447C" w:rsidP="00B7447C">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215.386</w:t>
            </w:r>
          </w:p>
        </w:tc>
        <w:tc>
          <w:tcPr>
            <w:tcW w:w="2835" w:type="dxa"/>
            <w:tcBorders>
              <w:right w:val="single" w:sz="8" w:space="0" w:color="D2232A"/>
            </w:tcBorders>
            <w:noWrap/>
            <w:vAlign w:val="center"/>
            <w:hideMark/>
          </w:tcPr>
          <w:p w14:paraId="29CA28EC"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1.271.464</w:t>
            </w:r>
          </w:p>
        </w:tc>
      </w:tr>
      <w:tr w:rsidR="008878A0" w:rsidRPr="00A51230" w14:paraId="2897C24C" w14:textId="77777777" w:rsidTr="00BE322E">
        <w:trPr>
          <w:trHeight w:val="283"/>
        </w:trPr>
        <w:tc>
          <w:tcPr>
            <w:tcW w:w="1129" w:type="dxa"/>
            <w:shd w:val="clear" w:color="auto" w:fill="D2232A"/>
            <w:noWrap/>
            <w:vAlign w:val="center"/>
            <w:hideMark/>
          </w:tcPr>
          <w:p w14:paraId="065DD244" w14:textId="215E9A38" w:rsidR="008878A0" w:rsidRPr="00A51230" w:rsidRDefault="008878A0" w:rsidP="00941871">
            <w:pPr>
              <w:spacing w:after="0" w:line="240" w:lineRule="auto"/>
              <w:rPr>
                <w:rFonts w:eastAsia="Times New Roman" w:cstheme="minorHAnsi"/>
                <w:color w:val="FFFFFF"/>
                <w:szCs w:val="18"/>
                <w:lang w:eastAsia="hr-HR"/>
              </w:rPr>
            </w:pPr>
            <w:r w:rsidRPr="00A51230">
              <w:rPr>
                <w:rFonts w:eastAsia="Times New Roman" w:cstheme="minorHAnsi"/>
                <w:color w:val="FFFFFF"/>
                <w:szCs w:val="18"/>
                <w:lang w:eastAsia="hr-HR"/>
              </w:rPr>
              <w:t>2017</w:t>
            </w:r>
            <w:r w:rsidR="00384494" w:rsidRPr="00A51230">
              <w:rPr>
                <w:rFonts w:eastAsia="Times New Roman" w:cstheme="minorHAnsi"/>
                <w:color w:val="FFFFFF"/>
                <w:szCs w:val="18"/>
                <w:lang w:eastAsia="hr-HR"/>
              </w:rPr>
              <w:t>.</w:t>
            </w:r>
          </w:p>
        </w:tc>
        <w:tc>
          <w:tcPr>
            <w:tcW w:w="2694" w:type="dxa"/>
            <w:noWrap/>
            <w:vAlign w:val="center"/>
            <w:hideMark/>
          </w:tcPr>
          <w:p w14:paraId="58582E1A"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32.630</w:t>
            </w:r>
          </w:p>
        </w:tc>
        <w:tc>
          <w:tcPr>
            <w:tcW w:w="2551" w:type="dxa"/>
            <w:noWrap/>
            <w:vAlign w:val="center"/>
          </w:tcPr>
          <w:p w14:paraId="49ED8C83" w14:textId="7030277F" w:rsidR="008878A0" w:rsidRPr="00A51230" w:rsidRDefault="005E380B"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215.213</w:t>
            </w:r>
          </w:p>
        </w:tc>
        <w:tc>
          <w:tcPr>
            <w:tcW w:w="2835" w:type="dxa"/>
            <w:tcBorders>
              <w:right w:val="single" w:sz="8" w:space="0" w:color="D2232A"/>
            </w:tcBorders>
            <w:noWrap/>
            <w:vAlign w:val="center"/>
            <w:hideMark/>
          </w:tcPr>
          <w:p w14:paraId="39345B1A" w14:textId="77777777" w:rsidR="008878A0" w:rsidRPr="00A51230" w:rsidRDefault="008878A0" w:rsidP="00384494">
            <w:pPr>
              <w:spacing w:after="0" w:line="240" w:lineRule="auto"/>
              <w:jc w:val="right"/>
              <w:rPr>
                <w:rFonts w:eastAsia="Times New Roman" w:cstheme="minorHAnsi"/>
                <w:color w:val="000000"/>
                <w:szCs w:val="18"/>
                <w:lang w:eastAsia="hr-HR"/>
              </w:rPr>
            </w:pPr>
            <w:r w:rsidRPr="00A51230">
              <w:rPr>
                <w:rFonts w:eastAsia="Times New Roman" w:cstheme="minorHAnsi"/>
                <w:color w:val="000000"/>
                <w:szCs w:val="18"/>
                <w:lang w:eastAsia="hr-HR"/>
              </w:rPr>
              <w:t>1.274.137</w:t>
            </w:r>
          </w:p>
        </w:tc>
      </w:tr>
      <w:tr w:rsidR="00BE322E" w:rsidRPr="00A51230" w14:paraId="2AF7FEEA" w14:textId="77777777" w:rsidTr="005E380B">
        <w:trPr>
          <w:trHeight w:val="283"/>
        </w:trPr>
        <w:tc>
          <w:tcPr>
            <w:tcW w:w="1129" w:type="dxa"/>
            <w:tcBorders>
              <w:bottom w:val="nil"/>
            </w:tcBorders>
            <w:shd w:val="clear" w:color="auto" w:fill="D2232A"/>
            <w:noWrap/>
            <w:vAlign w:val="center"/>
          </w:tcPr>
          <w:p w14:paraId="707A7EAF" w14:textId="2B186D43" w:rsidR="00BE322E" w:rsidRPr="00A51230" w:rsidRDefault="00BE322E" w:rsidP="00941871">
            <w:pPr>
              <w:spacing w:after="0" w:line="240" w:lineRule="auto"/>
              <w:rPr>
                <w:rFonts w:eastAsia="Times New Roman" w:cstheme="minorHAnsi"/>
                <w:color w:val="FFFFFF"/>
                <w:szCs w:val="18"/>
                <w:lang w:eastAsia="hr-HR"/>
              </w:rPr>
            </w:pPr>
            <w:r>
              <w:rPr>
                <w:rFonts w:eastAsia="Times New Roman" w:cstheme="minorHAnsi"/>
                <w:color w:val="FFFFFF"/>
                <w:szCs w:val="18"/>
                <w:lang w:eastAsia="hr-HR"/>
              </w:rPr>
              <w:t>2018.</w:t>
            </w:r>
          </w:p>
        </w:tc>
        <w:tc>
          <w:tcPr>
            <w:tcW w:w="2694" w:type="dxa"/>
            <w:tcBorders>
              <w:bottom w:val="nil"/>
            </w:tcBorders>
            <w:noWrap/>
            <w:vAlign w:val="center"/>
          </w:tcPr>
          <w:p w14:paraId="265AEB53" w14:textId="1CD9209E" w:rsidR="00BE322E" w:rsidRPr="00A51230" w:rsidRDefault="00BE322E"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32.578</w:t>
            </w:r>
          </w:p>
        </w:tc>
        <w:tc>
          <w:tcPr>
            <w:tcW w:w="2551" w:type="dxa"/>
            <w:tcBorders>
              <w:bottom w:val="nil"/>
            </w:tcBorders>
            <w:noWrap/>
            <w:vAlign w:val="center"/>
          </w:tcPr>
          <w:p w14:paraId="09028A6D" w14:textId="5DEEDBE1" w:rsidR="00BE322E" w:rsidRDefault="00BE322E"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214.471</w:t>
            </w:r>
          </w:p>
        </w:tc>
        <w:tc>
          <w:tcPr>
            <w:tcW w:w="2835" w:type="dxa"/>
            <w:tcBorders>
              <w:bottom w:val="nil"/>
              <w:right w:val="single" w:sz="8" w:space="0" w:color="D2232A"/>
            </w:tcBorders>
            <w:noWrap/>
            <w:vAlign w:val="center"/>
          </w:tcPr>
          <w:p w14:paraId="41851EB6" w14:textId="2CD8EAFC" w:rsidR="00BE322E" w:rsidRPr="00A51230" w:rsidRDefault="00BE322E" w:rsidP="0038449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1.281.122</w:t>
            </w:r>
          </w:p>
        </w:tc>
      </w:tr>
    </w:tbl>
    <w:p w14:paraId="31C63AAF" w14:textId="0311A999" w:rsidR="008878A0" w:rsidRPr="003D517E" w:rsidRDefault="008878A0" w:rsidP="003C2276">
      <w:pPr>
        <w:pStyle w:val="Izvor"/>
        <w:rPr>
          <w:i/>
          <w:color w:val="ABABAB" w:themeColor="text1" w:themeTint="A6"/>
          <w:sz w:val="16"/>
          <w:szCs w:val="16"/>
        </w:rPr>
      </w:pPr>
      <w:r w:rsidRPr="003D517E">
        <w:rPr>
          <w:i/>
          <w:color w:val="ABABAB" w:themeColor="text1" w:themeTint="A6"/>
          <w:sz w:val="16"/>
          <w:szCs w:val="16"/>
        </w:rPr>
        <w:t>DZS, Statistička izvješća, Kultura i umjetnost 2014., 2015., 2016.</w:t>
      </w:r>
      <w:r w:rsidR="00BE322E" w:rsidRPr="003D517E">
        <w:rPr>
          <w:i/>
          <w:color w:val="ABABAB" w:themeColor="text1" w:themeTint="A6"/>
          <w:sz w:val="16"/>
          <w:szCs w:val="16"/>
        </w:rPr>
        <w:t>, 2017. i 2018.</w:t>
      </w:r>
    </w:p>
    <w:p w14:paraId="03B5995C" w14:textId="77777777" w:rsidR="0024292A" w:rsidRDefault="0024292A" w:rsidP="005E380B">
      <w:pPr>
        <w:autoSpaceDE w:val="0"/>
        <w:autoSpaceDN w:val="0"/>
        <w:adjustRightInd w:val="0"/>
        <w:spacing w:after="0" w:line="240" w:lineRule="auto"/>
        <w:rPr>
          <w:rFonts w:eastAsia="ArialNarrow" w:cstheme="minorHAnsi"/>
        </w:rPr>
      </w:pPr>
    </w:p>
    <w:p w14:paraId="1CC62A96" w14:textId="53695EF8" w:rsidR="008878A0" w:rsidRDefault="008878A0" w:rsidP="005E380B">
      <w:pPr>
        <w:autoSpaceDE w:val="0"/>
        <w:autoSpaceDN w:val="0"/>
        <w:adjustRightInd w:val="0"/>
        <w:spacing w:after="0" w:line="240" w:lineRule="auto"/>
        <w:rPr>
          <w:rFonts w:eastAsia="ArialNarrow" w:cstheme="minorHAnsi"/>
        </w:rPr>
      </w:pPr>
      <w:r>
        <w:rPr>
          <w:rFonts w:eastAsia="ArialNarrow" w:cstheme="minorHAnsi"/>
        </w:rPr>
        <w:t xml:space="preserve">Broj radio pretplatnika u Krapinsko-zagorskoj županiji u periodu od 2014. </w:t>
      </w:r>
      <w:r w:rsidR="007E544D">
        <w:rPr>
          <w:rFonts w:eastAsia="ArialNarrow" w:cstheme="minorHAnsi"/>
        </w:rPr>
        <w:t>-</w:t>
      </w:r>
      <w:r>
        <w:rPr>
          <w:rFonts w:eastAsia="ArialNarrow" w:cstheme="minorHAnsi"/>
        </w:rPr>
        <w:t xml:space="preserve"> 201</w:t>
      </w:r>
      <w:r w:rsidR="00BE322E">
        <w:rPr>
          <w:rFonts w:eastAsia="ArialNarrow" w:cstheme="minorHAnsi"/>
        </w:rPr>
        <w:t>8</w:t>
      </w:r>
      <w:r>
        <w:rPr>
          <w:rFonts w:eastAsia="ArialNarrow" w:cstheme="minorHAnsi"/>
        </w:rPr>
        <w:t xml:space="preserve">. godine ostao je gotovo </w:t>
      </w:r>
      <w:r w:rsidR="00244B15">
        <w:rPr>
          <w:rFonts w:eastAsia="ArialNarrow" w:cstheme="minorHAnsi"/>
        </w:rPr>
        <w:t>ist</w:t>
      </w:r>
      <w:r w:rsidR="00CF28ED">
        <w:rPr>
          <w:rFonts w:eastAsia="ArialNarrow" w:cstheme="minorHAnsi"/>
        </w:rPr>
        <w:t>i</w:t>
      </w:r>
      <w:r>
        <w:rPr>
          <w:rFonts w:eastAsia="ArialNarrow" w:cstheme="minorHAnsi"/>
        </w:rPr>
        <w:t xml:space="preserve">. </w:t>
      </w:r>
      <w:r w:rsidR="005E380B">
        <w:rPr>
          <w:rFonts w:eastAsia="ArialNarrow" w:cstheme="minorHAnsi"/>
        </w:rPr>
        <w:t xml:space="preserve">Na razini </w:t>
      </w:r>
      <w:r w:rsidR="00C7437E">
        <w:rPr>
          <w:rFonts w:eastAsia="ArialNarrow" w:cstheme="minorHAnsi"/>
        </w:rPr>
        <w:t>Sjevern</w:t>
      </w:r>
      <w:r w:rsidR="005E380B">
        <w:rPr>
          <w:rFonts w:eastAsia="ArialNarrow" w:cstheme="minorHAnsi"/>
        </w:rPr>
        <w:t>e Hrvatske</w:t>
      </w:r>
      <w:r w:rsidR="00F109EF">
        <w:rPr>
          <w:rFonts w:eastAsia="ArialNarrow" w:cstheme="minorHAnsi"/>
        </w:rPr>
        <w:t xml:space="preserve"> generalno je zabilježen pad broja evidentiranih radio pretplatnika s 239.104 u 2014. godini na 23</w:t>
      </w:r>
      <w:r w:rsidR="00BE322E">
        <w:rPr>
          <w:rFonts w:eastAsia="ArialNarrow" w:cstheme="minorHAnsi"/>
        </w:rPr>
        <w:t>7.873</w:t>
      </w:r>
      <w:r w:rsidR="00F109EF">
        <w:rPr>
          <w:rFonts w:eastAsia="ArialNarrow" w:cstheme="minorHAnsi"/>
        </w:rPr>
        <w:t xml:space="preserve"> u 201</w:t>
      </w:r>
      <w:r w:rsidR="00541AC1">
        <w:rPr>
          <w:rFonts w:eastAsia="ArialNarrow" w:cstheme="minorHAnsi"/>
        </w:rPr>
        <w:t>8</w:t>
      </w:r>
      <w:r w:rsidR="00F109EF">
        <w:rPr>
          <w:rFonts w:eastAsia="ArialNarrow" w:cstheme="minorHAnsi"/>
        </w:rPr>
        <w:t xml:space="preserve">. godini, dok je na razini </w:t>
      </w:r>
      <w:r w:rsidR="005E380B">
        <w:rPr>
          <w:rFonts w:eastAsia="ArialNarrow" w:cstheme="minorHAnsi"/>
        </w:rPr>
        <w:t xml:space="preserve">Republike Hrvatske zabilježen blagi rast </w:t>
      </w:r>
      <w:r>
        <w:rPr>
          <w:rFonts w:eastAsia="ArialNarrow" w:cstheme="minorHAnsi"/>
        </w:rPr>
        <w:t xml:space="preserve">od </w:t>
      </w:r>
      <w:r w:rsidR="00541AC1">
        <w:rPr>
          <w:rFonts w:eastAsia="ArialNarrow" w:cstheme="minorHAnsi"/>
        </w:rPr>
        <w:t>2,64</w:t>
      </w:r>
      <w:r>
        <w:rPr>
          <w:rFonts w:eastAsia="ArialNarrow" w:cstheme="minorHAnsi"/>
        </w:rPr>
        <w:t>%</w:t>
      </w:r>
      <w:r w:rsidR="002C77D2">
        <w:rPr>
          <w:rFonts w:eastAsia="ArialNarrow" w:cstheme="minorHAnsi"/>
        </w:rPr>
        <w:t xml:space="preserve"> </w:t>
      </w:r>
      <w:r w:rsidR="005E380B">
        <w:rPr>
          <w:rFonts w:eastAsia="ArialNarrow" w:cstheme="minorHAnsi"/>
        </w:rPr>
        <w:t>u</w:t>
      </w:r>
      <w:r>
        <w:rPr>
          <w:rFonts w:eastAsia="ArialNarrow" w:cstheme="minorHAnsi"/>
        </w:rPr>
        <w:t xml:space="preserve"> 201</w:t>
      </w:r>
      <w:r w:rsidR="00541AC1">
        <w:rPr>
          <w:rFonts w:eastAsia="ArialNarrow" w:cstheme="minorHAnsi"/>
        </w:rPr>
        <w:t>8</w:t>
      </w:r>
      <w:r>
        <w:rPr>
          <w:rFonts w:eastAsia="ArialNarrow" w:cstheme="minorHAnsi"/>
        </w:rPr>
        <w:t>. godini</w:t>
      </w:r>
      <w:r w:rsidR="00541AC1">
        <w:rPr>
          <w:rFonts w:eastAsia="ArialNarrow" w:cstheme="minorHAnsi"/>
        </w:rPr>
        <w:t xml:space="preserve"> kada je</w:t>
      </w:r>
      <w:r w:rsidR="005E380B">
        <w:rPr>
          <w:rFonts w:eastAsia="ArialNarrow" w:cstheme="minorHAnsi"/>
        </w:rPr>
        <w:t xml:space="preserve"> b</w:t>
      </w:r>
      <w:r>
        <w:rPr>
          <w:rFonts w:eastAsia="ArialNarrow" w:cstheme="minorHAnsi"/>
        </w:rPr>
        <w:t xml:space="preserve">ilo </w:t>
      </w:r>
      <w:r w:rsidR="00541AC1">
        <w:rPr>
          <w:rFonts w:eastAsia="ArialNarrow" w:cstheme="minorHAnsi"/>
        </w:rPr>
        <w:t>36.658</w:t>
      </w:r>
      <w:r>
        <w:rPr>
          <w:rFonts w:eastAsia="ArialNarrow" w:cstheme="minorHAnsi"/>
        </w:rPr>
        <w:t xml:space="preserve"> radijskih pretplatnika više nego u 2014. godini. Što se broja televizijskih pretplatnika tiče</w:t>
      </w:r>
      <w:r w:rsidR="00244B15">
        <w:rPr>
          <w:rFonts w:eastAsia="ArialNarrow" w:cstheme="minorHAnsi"/>
        </w:rPr>
        <w:t xml:space="preserve"> njihov broj je</w:t>
      </w:r>
      <w:r>
        <w:rPr>
          <w:rFonts w:eastAsia="ArialNarrow" w:cstheme="minorHAnsi"/>
        </w:rPr>
        <w:t xml:space="preserve">, kao i kod radio pretplatnika na razini Krapinsko-zagorske županije </w:t>
      </w:r>
      <w:r w:rsidR="00244B15">
        <w:rPr>
          <w:rFonts w:eastAsia="ArialNarrow" w:cstheme="minorHAnsi"/>
        </w:rPr>
        <w:t xml:space="preserve">u periodu </w:t>
      </w:r>
      <w:r>
        <w:rPr>
          <w:rFonts w:eastAsia="ArialNarrow" w:cstheme="minorHAnsi"/>
        </w:rPr>
        <w:t xml:space="preserve">od 2014. </w:t>
      </w:r>
      <w:r w:rsidR="002C77D2">
        <w:rPr>
          <w:rFonts w:eastAsia="ArialNarrow" w:cstheme="minorHAnsi"/>
        </w:rPr>
        <w:t>do</w:t>
      </w:r>
      <w:r>
        <w:rPr>
          <w:rFonts w:eastAsia="ArialNarrow" w:cstheme="minorHAnsi"/>
        </w:rPr>
        <w:t xml:space="preserve"> 201</w:t>
      </w:r>
      <w:r w:rsidR="00541AC1">
        <w:rPr>
          <w:rFonts w:eastAsia="ArialNarrow" w:cstheme="minorHAnsi"/>
        </w:rPr>
        <w:t>8</w:t>
      </w:r>
      <w:r>
        <w:rPr>
          <w:rFonts w:eastAsia="ArialNarrow" w:cstheme="minorHAnsi"/>
        </w:rPr>
        <w:t>. godine ostao približno ist</w:t>
      </w:r>
      <w:r w:rsidR="00244B15">
        <w:rPr>
          <w:rFonts w:eastAsia="ArialNarrow" w:cstheme="minorHAnsi"/>
        </w:rPr>
        <w:t>i</w:t>
      </w:r>
      <w:r w:rsidR="00CF28ED">
        <w:rPr>
          <w:rFonts w:eastAsia="ArialNarrow" w:cstheme="minorHAnsi"/>
        </w:rPr>
        <w:t>,</w:t>
      </w:r>
      <w:r>
        <w:rPr>
          <w:rFonts w:eastAsia="ArialNarrow" w:cstheme="minorHAnsi"/>
        </w:rPr>
        <w:t xml:space="preserve"> 32.</w:t>
      </w:r>
      <w:r w:rsidR="00541AC1">
        <w:rPr>
          <w:rFonts w:eastAsia="ArialNarrow" w:cstheme="minorHAnsi"/>
        </w:rPr>
        <w:t>578</w:t>
      </w:r>
      <w:r w:rsidR="00244B15">
        <w:rPr>
          <w:rFonts w:eastAsia="ArialNarrow" w:cstheme="minorHAnsi"/>
        </w:rPr>
        <w:t>.</w:t>
      </w:r>
      <w:r>
        <w:rPr>
          <w:rFonts w:eastAsia="ArialNarrow" w:cstheme="minorHAnsi"/>
        </w:rPr>
        <w:t xml:space="preserve"> </w:t>
      </w:r>
      <w:r w:rsidR="002C77D2" w:rsidRPr="004C6834">
        <w:rPr>
          <w:rFonts w:eastAsia="ArialNarrow" w:cstheme="minorHAnsi"/>
        </w:rPr>
        <w:t xml:space="preserve">Na području </w:t>
      </w:r>
      <w:r w:rsidR="00C7437E" w:rsidRPr="004C6834">
        <w:rPr>
          <w:rFonts w:eastAsia="ArialNarrow" w:cstheme="minorHAnsi"/>
        </w:rPr>
        <w:t>Sjevern</w:t>
      </w:r>
      <w:r w:rsidR="002C77D2" w:rsidRPr="004C6834">
        <w:rPr>
          <w:rFonts w:eastAsia="ArialNarrow" w:cstheme="minorHAnsi"/>
        </w:rPr>
        <w:t xml:space="preserve">e </w:t>
      </w:r>
      <w:r w:rsidRPr="004C6834">
        <w:rPr>
          <w:rFonts w:eastAsia="ArialNarrow" w:cstheme="minorHAnsi"/>
        </w:rPr>
        <w:t>Hrvatsk</w:t>
      </w:r>
      <w:r w:rsidR="00CF28ED" w:rsidRPr="004C6834">
        <w:rPr>
          <w:rFonts w:eastAsia="ArialNarrow" w:cstheme="minorHAnsi"/>
        </w:rPr>
        <w:t>e</w:t>
      </w:r>
      <w:r w:rsidRPr="004C6834">
        <w:rPr>
          <w:rFonts w:eastAsia="ArialNarrow" w:cstheme="minorHAnsi"/>
        </w:rPr>
        <w:t xml:space="preserve"> bilježi se </w:t>
      </w:r>
      <w:r w:rsidR="002C77D2" w:rsidRPr="004C6834">
        <w:rPr>
          <w:rFonts w:eastAsia="ArialNarrow" w:cstheme="minorHAnsi"/>
        </w:rPr>
        <w:t xml:space="preserve">porast </w:t>
      </w:r>
      <w:r w:rsidRPr="004C6834">
        <w:rPr>
          <w:rFonts w:eastAsia="ArialNarrow" w:cstheme="minorHAnsi"/>
        </w:rPr>
        <w:t xml:space="preserve">broja pretplatnika s </w:t>
      </w:r>
      <w:r w:rsidR="002C77D2" w:rsidRPr="004C6834">
        <w:rPr>
          <w:rFonts w:eastAsia="ArialNarrow" w:cstheme="minorHAnsi"/>
        </w:rPr>
        <w:t>204.281</w:t>
      </w:r>
      <w:r w:rsidRPr="004C6834">
        <w:rPr>
          <w:rFonts w:eastAsia="ArialNarrow" w:cstheme="minorHAnsi"/>
        </w:rPr>
        <w:t xml:space="preserve"> u 2014. na </w:t>
      </w:r>
      <w:r w:rsidR="002C77D2" w:rsidRPr="004C6834">
        <w:rPr>
          <w:rFonts w:eastAsia="ArialNarrow" w:cstheme="minorHAnsi"/>
        </w:rPr>
        <w:t>215.3</w:t>
      </w:r>
      <w:r w:rsidR="004C6834" w:rsidRPr="004C6834">
        <w:rPr>
          <w:rFonts w:eastAsia="ArialNarrow" w:cstheme="minorHAnsi"/>
        </w:rPr>
        <w:t>13</w:t>
      </w:r>
      <w:r w:rsidRPr="004C6834">
        <w:rPr>
          <w:rFonts w:eastAsia="ArialNarrow" w:cstheme="minorHAnsi"/>
        </w:rPr>
        <w:t xml:space="preserve"> u </w:t>
      </w:r>
      <w:r w:rsidR="003B54AF" w:rsidRPr="004C6834">
        <w:rPr>
          <w:rFonts w:eastAsia="ArialNarrow" w:cstheme="minorHAnsi"/>
        </w:rPr>
        <w:t>2017</w:t>
      </w:r>
      <w:r w:rsidRPr="004C6834">
        <w:rPr>
          <w:rFonts w:eastAsia="ArialNarrow" w:cstheme="minorHAnsi"/>
        </w:rPr>
        <w:t xml:space="preserve"> godini.</w:t>
      </w:r>
      <w:r w:rsidR="00541AC1">
        <w:rPr>
          <w:rFonts w:eastAsia="ArialNarrow" w:cstheme="minorHAnsi"/>
        </w:rPr>
        <w:t xml:space="preserve"> Tijekom 2018. dolazi do pada na 214.471 pretplatnika.</w:t>
      </w:r>
      <w:r>
        <w:rPr>
          <w:rFonts w:eastAsia="ArialNarrow" w:cstheme="minorHAnsi"/>
        </w:rPr>
        <w:t xml:space="preserve"> Na razini Republike Hrvatske </w:t>
      </w:r>
      <w:r w:rsidR="002C77D2">
        <w:rPr>
          <w:rFonts w:eastAsia="ArialNarrow" w:cstheme="minorHAnsi"/>
        </w:rPr>
        <w:t xml:space="preserve">također je zamjetan porast broja televizijskih pretplatnika koji je </w:t>
      </w:r>
      <w:r>
        <w:rPr>
          <w:rFonts w:eastAsia="ArialNarrow" w:cstheme="minorHAnsi"/>
        </w:rPr>
        <w:t>porastao za 1</w:t>
      </w:r>
      <w:r w:rsidR="00541AC1">
        <w:rPr>
          <w:rFonts w:eastAsia="ArialNarrow" w:cstheme="minorHAnsi"/>
        </w:rPr>
        <w:t>,6</w:t>
      </w:r>
      <w:r>
        <w:rPr>
          <w:rFonts w:eastAsia="ArialNarrow" w:cstheme="minorHAnsi"/>
        </w:rPr>
        <w:t>% odnosno s 1.260.711 u 2014. godini na 1.2</w:t>
      </w:r>
      <w:r w:rsidR="00541AC1">
        <w:rPr>
          <w:rFonts w:eastAsia="ArialNarrow" w:cstheme="minorHAnsi"/>
        </w:rPr>
        <w:t>81.122</w:t>
      </w:r>
      <w:r>
        <w:rPr>
          <w:rFonts w:eastAsia="ArialNarrow" w:cstheme="minorHAnsi"/>
        </w:rPr>
        <w:t xml:space="preserve"> u 201</w:t>
      </w:r>
      <w:r w:rsidR="00541AC1">
        <w:rPr>
          <w:rFonts w:eastAsia="ArialNarrow" w:cstheme="minorHAnsi"/>
        </w:rPr>
        <w:t>8</w:t>
      </w:r>
      <w:r>
        <w:rPr>
          <w:rFonts w:eastAsia="ArialNarrow" w:cstheme="minorHAnsi"/>
        </w:rPr>
        <w:t>. godini.</w:t>
      </w:r>
    </w:p>
    <w:p w14:paraId="0C6D33FA" w14:textId="77777777" w:rsidR="00D51238" w:rsidRDefault="00D51238" w:rsidP="005E380B">
      <w:pPr>
        <w:autoSpaceDE w:val="0"/>
        <w:autoSpaceDN w:val="0"/>
        <w:adjustRightInd w:val="0"/>
        <w:spacing w:after="0" w:line="240" w:lineRule="auto"/>
        <w:rPr>
          <w:rFonts w:eastAsia="ArialNarrow" w:cstheme="minorHAnsi"/>
          <w:sz w:val="22"/>
        </w:rPr>
      </w:pPr>
    </w:p>
    <w:p w14:paraId="6C17B98E" w14:textId="5CAC59E0" w:rsidR="008878A0" w:rsidRDefault="008878A0" w:rsidP="003E3F3C">
      <w:pPr>
        <w:pStyle w:val="Opisslike"/>
      </w:pPr>
      <w:r>
        <w:t xml:space="preserve">Tablica </w:t>
      </w:r>
      <w:r w:rsidR="00FB7588">
        <w:rPr>
          <w:noProof/>
        </w:rPr>
        <w:t>4</w:t>
      </w:r>
      <w:r w:rsidR="00D51238">
        <w:rPr>
          <w:noProof/>
        </w:rPr>
        <w:t>6</w:t>
      </w:r>
      <w:r w:rsidR="0026418E">
        <w:rPr>
          <w:noProof/>
        </w:rPr>
        <w:t>.</w:t>
      </w:r>
      <w:r>
        <w:rPr>
          <w:noProof/>
        </w:rPr>
        <w:t xml:space="preserve"> </w:t>
      </w:r>
      <w:r>
        <w:t xml:space="preserve">Broj knjižnica, Krapinsko-zagorska županija, </w:t>
      </w:r>
      <w:r w:rsidR="00C7437E">
        <w:t>Sjevern</w:t>
      </w:r>
      <w:r w:rsidR="001274FB">
        <w:t>a</w:t>
      </w:r>
      <w:r>
        <w:t xml:space="preserve"> Hrvatska i RH 2014. – 2017. godina</w:t>
      </w:r>
    </w:p>
    <w:tbl>
      <w:tblPr>
        <w:tblW w:w="9082" w:type="dxa"/>
        <w:tblBorders>
          <w:insideH w:val="single" w:sz="8" w:space="0" w:color="F3CFC1"/>
        </w:tblBorders>
        <w:tblLook w:val="04A0" w:firstRow="1" w:lastRow="0" w:firstColumn="1" w:lastColumn="0" w:noHBand="0" w:noVBand="1"/>
      </w:tblPr>
      <w:tblGrid>
        <w:gridCol w:w="1229"/>
        <w:gridCol w:w="3309"/>
        <w:gridCol w:w="2205"/>
        <w:gridCol w:w="2339"/>
      </w:tblGrid>
      <w:tr w:rsidR="008878A0" w14:paraId="1317DD1B" w14:textId="77777777" w:rsidTr="00A879CB">
        <w:trPr>
          <w:trHeight w:val="307"/>
          <w:tblHeader/>
        </w:trPr>
        <w:tc>
          <w:tcPr>
            <w:tcW w:w="0" w:type="auto"/>
            <w:tcBorders>
              <w:top w:val="nil"/>
              <w:bottom w:val="single" w:sz="8" w:space="0" w:color="F3CFC1"/>
            </w:tcBorders>
            <w:shd w:val="clear" w:color="auto" w:fill="D2232A"/>
            <w:vAlign w:val="center"/>
            <w:hideMark/>
          </w:tcPr>
          <w:p w14:paraId="72C64C83" w14:textId="77777777" w:rsidR="008878A0" w:rsidRDefault="008878A0" w:rsidP="00941871">
            <w:pPr>
              <w:spacing w:after="0" w:line="240" w:lineRule="auto"/>
              <w:rPr>
                <w:rFonts w:eastAsia="Times New Roman" w:cstheme="minorHAnsi"/>
                <w:color w:val="FFFFFF"/>
                <w:sz w:val="20"/>
                <w:lang w:eastAsia="hr-HR"/>
              </w:rPr>
            </w:pPr>
            <w:r>
              <w:rPr>
                <w:rFonts w:eastAsia="Times New Roman" w:cstheme="minorHAnsi"/>
                <w:color w:val="FFFFFF"/>
                <w:sz w:val="20"/>
                <w:lang w:eastAsia="hr-HR"/>
              </w:rPr>
              <w:t>Knjižnice</w:t>
            </w:r>
          </w:p>
        </w:tc>
        <w:tc>
          <w:tcPr>
            <w:tcW w:w="0" w:type="auto"/>
            <w:tcBorders>
              <w:top w:val="nil"/>
              <w:bottom w:val="single" w:sz="8" w:space="0" w:color="F3CFC1"/>
              <w:right w:val="single" w:sz="8" w:space="0" w:color="D2232A"/>
            </w:tcBorders>
            <w:shd w:val="clear" w:color="auto" w:fill="D2232A"/>
            <w:noWrap/>
            <w:vAlign w:val="center"/>
            <w:hideMark/>
          </w:tcPr>
          <w:p w14:paraId="3C722C56" w14:textId="77777777" w:rsidR="008878A0" w:rsidRDefault="008878A0" w:rsidP="004F6BD6">
            <w:pPr>
              <w:spacing w:after="0" w:line="240" w:lineRule="auto"/>
              <w:jc w:val="center"/>
              <w:rPr>
                <w:rFonts w:eastAsia="Times New Roman" w:cstheme="minorHAnsi"/>
                <w:color w:val="FFFFFF"/>
                <w:sz w:val="20"/>
                <w:lang w:eastAsia="hr-HR"/>
              </w:rPr>
            </w:pPr>
            <w:r>
              <w:rPr>
                <w:rFonts w:eastAsia="Times New Roman" w:cstheme="minorHAnsi"/>
                <w:color w:val="FFFFFF"/>
                <w:sz w:val="20"/>
                <w:lang w:eastAsia="hr-HR"/>
              </w:rPr>
              <w:t>Krapinsko-zagorska županija</w:t>
            </w:r>
          </w:p>
        </w:tc>
        <w:tc>
          <w:tcPr>
            <w:tcW w:w="0" w:type="auto"/>
            <w:tcBorders>
              <w:top w:val="nil"/>
              <w:left w:val="single" w:sz="8" w:space="0" w:color="D2232A"/>
              <w:bottom w:val="single" w:sz="8" w:space="0" w:color="F3CFC1"/>
              <w:right w:val="single" w:sz="8" w:space="0" w:color="D2232A"/>
            </w:tcBorders>
            <w:shd w:val="clear" w:color="auto" w:fill="E5E5E5" w:themeFill="text1" w:themeFillTint="33"/>
            <w:noWrap/>
            <w:vAlign w:val="center"/>
            <w:hideMark/>
          </w:tcPr>
          <w:p w14:paraId="031BA4B4" w14:textId="4E55D583" w:rsidR="008878A0" w:rsidRDefault="00C7437E" w:rsidP="004F6BD6">
            <w:pPr>
              <w:spacing w:after="0" w:line="240" w:lineRule="auto"/>
              <w:jc w:val="center"/>
              <w:rPr>
                <w:rFonts w:eastAsia="Times New Roman" w:cstheme="minorHAnsi"/>
                <w:color w:val="FFFFFF"/>
                <w:sz w:val="20"/>
                <w:lang w:eastAsia="hr-HR"/>
              </w:rPr>
            </w:pPr>
            <w:r>
              <w:rPr>
                <w:rFonts w:eastAsia="Times New Roman" w:cstheme="minorHAnsi"/>
                <w:sz w:val="20"/>
                <w:lang w:eastAsia="hr-HR"/>
              </w:rPr>
              <w:t>Sjevern</w:t>
            </w:r>
            <w:r w:rsidR="001274FB">
              <w:rPr>
                <w:rFonts w:eastAsia="Times New Roman" w:cstheme="minorHAnsi"/>
                <w:sz w:val="20"/>
                <w:lang w:eastAsia="hr-HR"/>
              </w:rPr>
              <w:t>a</w:t>
            </w:r>
            <w:r w:rsidR="008878A0" w:rsidRPr="00F66144">
              <w:rPr>
                <w:rFonts w:eastAsia="Times New Roman" w:cstheme="minorHAnsi"/>
                <w:sz w:val="20"/>
                <w:lang w:eastAsia="hr-HR"/>
              </w:rPr>
              <w:t xml:space="preserve"> Hrvatska</w:t>
            </w:r>
          </w:p>
        </w:tc>
        <w:tc>
          <w:tcPr>
            <w:tcW w:w="0" w:type="auto"/>
            <w:tcBorders>
              <w:top w:val="nil"/>
              <w:left w:val="single" w:sz="8" w:space="0" w:color="D2232A"/>
              <w:bottom w:val="single" w:sz="8" w:space="0" w:color="F3CFC1"/>
              <w:right w:val="single" w:sz="8" w:space="0" w:color="D2232A"/>
            </w:tcBorders>
            <w:shd w:val="clear" w:color="auto" w:fill="E5E5E5" w:themeFill="text1" w:themeFillTint="33"/>
            <w:noWrap/>
            <w:vAlign w:val="center"/>
            <w:hideMark/>
          </w:tcPr>
          <w:p w14:paraId="568A4F7A" w14:textId="77777777" w:rsidR="008878A0" w:rsidRDefault="008878A0" w:rsidP="004F6BD6">
            <w:pPr>
              <w:spacing w:after="0" w:line="240" w:lineRule="auto"/>
              <w:jc w:val="center"/>
              <w:rPr>
                <w:rFonts w:eastAsia="Times New Roman" w:cstheme="minorHAnsi"/>
                <w:color w:val="FFFFFF"/>
                <w:sz w:val="20"/>
                <w:lang w:eastAsia="hr-HR"/>
              </w:rPr>
            </w:pPr>
            <w:r w:rsidRPr="004F6BD6">
              <w:rPr>
                <w:rFonts w:eastAsia="Times New Roman" w:cstheme="minorHAnsi"/>
                <w:sz w:val="20"/>
                <w:lang w:eastAsia="hr-HR"/>
              </w:rPr>
              <w:t>Republika Hrvatska</w:t>
            </w:r>
          </w:p>
        </w:tc>
      </w:tr>
      <w:tr w:rsidR="008878A0" w14:paraId="43114232" w14:textId="77777777" w:rsidTr="00A879CB">
        <w:trPr>
          <w:trHeight w:val="307"/>
        </w:trPr>
        <w:tc>
          <w:tcPr>
            <w:tcW w:w="0" w:type="auto"/>
            <w:tcBorders>
              <w:top w:val="single" w:sz="8" w:space="0" w:color="F3CFC1"/>
              <w:bottom w:val="single" w:sz="4" w:space="0" w:color="FFFFFF" w:themeColor="background1"/>
            </w:tcBorders>
            <w:shd w:val="clear" w:color="auto" w:fill="D2232A"/>
            <w:noWrap/>
            <w:vAlign w:val="center"/>
            <w:hideMark/>
          </w:tcPr>
          <w:p w14:paraId="158A20DD" w14:textId="2170D18D" w:rsidR="008878A0" w:rsidRDefault="008878A0" w:rsidP="00941871">
            <w:pPr>
              <w:spacing w:after="0" w:line="240" w:lineRule="auto"/>
              <w:rPr>
                <w:rFonts w:eastAsia="Times New Roman" w:cstheme="minorHAnsi"/>
                <w:color w:val="FFFFFF"/>
                <w:sz w:val="20"/>
                <w:lang w:eastAsia="hr-HR"/>
              </w:rPr>
            </w:pPr>
            <w:r>
              <w:rPr>
                <w:rFonts w:eastAsia="Times New Roman" w:cstheme="minorHAnsi"/>
                <w:color w:val="FFFFFF"/>
                <w:sz w:val="20"/>
                <w:lang w:eastAsia="hr-HR"/>
              </w:rPr>
              <w:t>201</w:t>
            </w:r>
            <w:r w:rsidR="005E4CB7">
              <w:rPr>
                <w:rFonts w:eastAsia="Times New Roman" w:cstheme="minorHAnsi"/>
                <w:color w:val="FFFFFF"/>
                <w:sz w:val="20"/>
                <w:lang w:eastAsia="hr-HR"/>
              </w:rPr>
              <w:t>4</w:t>
            </w:r>
            <w:r w:rsidR="00E055B0">
              <w:rPr>
                <w:rFonts w:eastAsia="Times New Roman" w:cstheme="minorHAnsi"/>
                <w:color w:val="FFFFFF"/>
                <w:sz w:val="20"/>
                <w:lang w:eastAsia="hr-HR"/>
              </w:rPr>
              <w:t>.</w:t>
            </w:r>
          </w:p>
        </w:tc>
        <w:tc>
          <w:tcPr>
            <w:tcW w:w="0" w:type="auto"/>
            <w:tcBorders>
              <w:top w:val="single" w:sz="8" w:space="0" w:color="F3CFC1"/>
              <w:bottom w:val="single" w:sz="8" w:space="0" w:color="F3CFC1"/>
              <w:right w:val="single" w:sz="8" w:space="0" w:color="D2232A"/>
            </w:tcBorders>
            <w:noWrap/>
            <w:vAlign w:val="center"/>
            <w:hideMark/>
          </w:tcPr>
          <w:p w14:paraId="6F1B7FC5" w14:textId="77777777" w:rsidR="008878A0" w:rsidRDefault="008878A0" w:rsidP="004F6BD6">
            <w:pPr>
              <w:spacing w:after="0" w:line="240" w:lineRule="auto"/>
              <w:jc w:val="right"/>
              <w:rPr>
                <w:rFonts w:eastAsia="Times New Roman" w:cstheme="minorHAnsi"/>
                <w:color w:val="000000"/>
                <w:sz w:val="20"/>
                <w:lang w:eastAsia="hr-HR"/>
              </w:rPr>
            </w:pPr>
            <w:r>
              <w:rPr>
                <w:rFonts w:eastAsia="Times New Roman" w:cstheme="minorHAnsi"/>
                <w:color w:val="000000"/>
                <w:sz w:val="20"/>
                <w:lang w:eastAsia="hr-HR"/>
              </w:rPr>
              <w:t>50</w:t>
            </w:r>
          </w:p>
        </w:tc>
        <w:tc>
          <w:tcPr>
            <w:tcW w:w="0" w:type="auto"/>
            <w:tcBorders>
              <w:top w:val="single" w:sz="8" w:space="0" w:color="F3CFC1"/>
              <w:left w:val="single" w:sz="8" w:space="0" w:color="D2232A"/>
              <w:bottom w:val="single" w:sz="8" w:space="0" w:color="F3CFC1"/>
              <w:right w:val="single" w:sz="8" w:space="0" w:color="D2232A"/>
            </w:tcBorders>
            <w:noWrap/>
            <w:vAlign w:val="center"/>
          </w:tcPr>
          <w:p w14:paraId="0D019F55" w14:textId="78F3E627" w:rsidR="008878A0" w:rsidRDefault="005E4CB7" w:rsidP="004F6BD6">
            <w:pPr>
              <w:spacing w:after="0" w:line="240" w:lineRule="auto"/>
              <w:jc w:val="right"/>
              <w:rPr>
                <w:rFonts w:eastAsia="Times New Roman" w:cstheme="minorHAnsi"/>
                <w:color w:val="000000"/>
                <w:sz w:val="20"/>
                <w:lang w:eastAsia="hr-HR"/>
              </w:rPr>
            </w:pPr>
            <w:r>
              <w:rPr>
                <w:rFonts w:eastAsia="Times New Roman" w:cstheme="minorHAnsi"/>
                <w:color w:val="000000"/>
                <w:sz w:val="20"/>
                <w:lang w:eastAsia="hr-HR"/>
              </w:rPr>
              <w:t>271</w:t>
            </w:r>
          </w:p>
        </w:tc>
        <w:tc>
          <w:tcPr>
            <w:tcW w:w="0" w:type="auto"/>
            <w:tcBorders>
              <w:top w:val="single" w:sz="8" w:space="0" w:color="F3CFC1"/>
              <w:left w:val="single" w:sz="8" w:space="0" w:color="D2232A"/>
              <w:bottom w:val="single" w:sz="8" w:space="0" w:color="F3CFC1"/>
              <w:right w:val="single" w:sz="8" w:space="0" w:color="D2232A"/>
            </w:tcBorders>
            <w:noWrap/>
            <w:vAlign w:val="center"/>
            <w:hideMark/>
          </w:tcPr>
          <w:p w14:paraId="124A2F9D" w14:textId="77777777" w:rsidR="008878A0" w:rsidRDefault="008878A0" w:rsidP="004F6BD6">
            <w:pPr>
              <w:spacing w:after="0" w:line="240" w:lineRule="auto"/>
              <w:jc w:val="right"/>
              <w:rPr>
                <w:rFonts w:eastAsia="Times New Roman" w:cstheme="minorHAnsi"/>
                <w:color w:val="000000"/>
                <w:sz w:val="20"/>
                <w:lang w:eastAsia="hr-HR"/>
              </w:rPr>
            </w:pPr>
            <w:r>
              <w:rPr>
                <w:rFonts w:eastAsia="Times New Roman" w:cstheme="minorHAnsi"/>
                <w:color w:val="000000"/>
                <w:sz w:val="20"/>
                <w:lang w:eastAsia="hr-HR"/>
              </w:rPr>
              <w:t>1.781</w:t>
            </w:r>
          </w:p>
        </w:tc>
      </w:tr>
      <w:tr w:rsidR="005E4CB7" w14:paraId="67057468" w14:textId="77777777" w:rsidTr="00A879CB">
        <w:trPr>
          <w:trHeight w:val="307"/>
        </w:trPr>
        <w:tc>
          <w:tcPr>
            <w:tcW w:w="0" w:type="auto"/>
            <w:tcBorders>
              <w:top w:val="single" w:sz="4" w:space="0" w:color="FFFFFF" w:themeColor="background1"/>
              <w:bottom w:val="single" w:sz="8" w:space="0" w:color="F3CFC1"/>
            </w:tcBorders>
            <w:shd w:val="clear" w:color="auto" w:fill="D2232A"/>
            <w:noWrap/>
            <w:vAlign w:val="center"/>
            <w:hideMark/>
          </w:tcPr>
          <w:p w14:paraId="08255FCB" w14:textId="772F5D2B" w:rsidR="005E4CB7" w:rsidRDefault="005E4CB7" w:rsidP="005E4CB7">
            <w:pPr>
              <w:spacing w:after="0" w:line="240" w:lineRule="auto"/>
              <w:rPr>
                <w:rFonts w:eastAsia="Times New Roman" w:cstheme="minorHAnsi"/>
                <w:color w:val="FFFFFF"/>
                <w:sz w:val="20"/>
                <w:lang w:eastAsia="hr-HR"/>
              </w:rPr>
            </w:pPr>
            <w:r>
              <w:rPr>
                <w:rFonts w:eastAsia="Times New Roman" w:cstheme="minorHAnsi"/>
                <w:color w:val="FFFFFF"/>
                <w:sz w:val="20"/>
                <w:lang w:eastAsia="hr-HR"/>
              </w:rPr>
              <w:t>2015.</w:t>
            </w:r>
          </w:p>
        </w:tc>
        <w:tc>
          <w:tcPr>
            <w:tcW w:w="0" w:type="auto"/>
            <w:tcBorders>
              <w:top w:val="single" w:sz="8" w:space="0" w:color="F3CFC1"/>
              <w:bottom w:val="single" w:sz="8" w:space="0" w:color="F3CFC1"/>
              <w:right w:val="single" w:sz="8" w:space="0" w:color="D2232A"/>
            </w:tcBorders>
            <w:noWrap/>
            <w:vAlign w:val="center"/>
            <w:hideMark/>
          </w:tcPr>
          <w:p w14:paraId="1CD8AA3E" w14:textId="43916116" w:rsidR="005E4CB7" w:rsidRDefault="00F844F8" w:rsidP="005E4CB7">
            <w:pPr>
              <w:spacing w:after="0" w:line="240" w:lineRule="auto"/>
              <w:jc w:val="right"/>
              <w:rPr>
                <w:rFonts w:eastAsia="Times New Roman" w:cstheme="minorHAnsi"/>
                <w:color w:val="000000"/>
                <w:sz w:val="20"/>
                <w:lang w:eastAsia="hr-HR"/>
              </w:rPr>
            </w:pPr>
            <w:r>
              <w:rPr>
                <w:rFonts w:eastAsia="Times New Roman" w:cstheme="minorHAnsi"/>
                <w:color w:val="000000"/>
                <w:sz w:val="20"/>
                <w:lang w:eastAsia="hr-HR"/>
              </w:rPr>
              <w:t>n/a</w:t>
            </w:r>
          </w:p>
        </w:tc>
        <w:tc>
          <w:tcPr>
            <w:tcW w:w="0" w:type="auto"/>
            <w:tcBorders>
              <w:top w:val="single" w:sz="8" w:space="0" w:color="F3CFC1"/>
              <w:left w:val="single" w:sz="8" w:space="0" w:color="D2232A"/>
              <w:bottom w:val="single" w:sz="8" w:space="0" w:color="F3CFC1"/>
              <w:right w:val="single" w:sz="8" w:space="0" w:color="D2232A"/>
            </w:tcBorders>
            <w:noWrap/>
            <w:vAlign w:val="center"/>
          </w:tcPr>
          <w:p w14:paraId="3F07C88B" w14:textId="138FD67B" w:rsidR="005E4CB7" w:rsidRDefault="00F844F8" w:rsidP="005E4CB7">
            <w:pPr>
              <w:spacing w:after="0" w:line="240" w:lineRule="auto"/>
              <w:jc w:val="right"/>
              <w:rPr>
                <w:rFonts w:eastAsia="Times New Roman" w:cstheme="minorHAnsi"/>
                <w:color w:val="000000"/>
                <w:sz w:val="20"/>
                <w:lang w:eastAsia="hr-HR"/>
              </w:rPr>
            </w:pPr>
            <w:r>
              <w:rPr>
                <w:rFonts w:eastAsia="Times New Roman" w:cstheme="minorHAnsi"/>
                <w:color w:val="000000"/>
                <w:sz w:val="20"/>
                <w:lang w:eastAsia="hr-HR"/>
              </w:rPr>
              <w:t>n/a</w:t>
            </w:r>
          </w:p>
        </w:tc>
        <w:tc>
          <w:tcPr>
            <w:tcW w:w="0" w:type="auto"/>
            <w:tcBorders>
              <w:top w:val="single" w:sz="8" w:space="0" w:color="F3CFC1"/>
              <w:left w:val="single" w:sz="8" w:space="0" w:color="D2232A"/>
              <w:bottom w:val="single" w:sz="8" w:space="0" w:color="F3CFC1"/>
              <w:right w:val="single" w:sz="8" w:space="0" w:color="D2232A"/>
            </w:tcBorders>
            <w:noWrap/>
            <w:vAlign w:val="center"/>
            <w:hideMark/>
          </w:tcPr>
          <w:p w14:paraId="28A542EE" w14:textId="4BE2707D" w:rsidR="005E4CB7" w:rsidRDefault="00F844F8" w:rsidP="005E4CB7">
            <w:pPr>
              <w:spacing w:after="0" w:line="240" w:lineRule="auto"/>
              <w:jc w:val="right"/>
              <w:rPr>
                <w:rFonts w:eastAsia="Times New Roman" w:cstheme="minorHAnsi"/>
                <w:color w:val="000000"/>
                <w:sz w:val="20"/>
                <w:lang w:eastAsia="hr-HR"/>
              </w:rPr>
            </w:pPr>
            <w:r>
              <w:rPr>
                <w:rFonts w:eastAsia="Times New Roman" w:cstheme="minorHAnsi"/>
                <w:color w:val="000000"/>
                <w:sz w:val="20"/>
                <w:lang w:eastAsia="hr-HR"/>
              </w:rPr>
              <w:t>n/a</w:t>
            </w:r>
          </w:p>
        </w:tc>
      </w:tr>
      <w:tr w:rsidR="005E4CB7" w14:paraId="56CDEEA3" w14:textId="77777777" w:rsidTr="00A879CB">
        <w:trPr>
          <w:trHeight w:val="307"/>
        </w:trPr>
        <w:tc>
          <w:tcPr>
            <w:tcW w:w="0" w:type="auto"/>
            <w:tcBorders>
              <w:top w:val="single" w:sz="8" w:space="0" w:color="F3CFC1"/>
              <w:bottom w:val="single" w:sz="8" w:space="0" w:color="F3CFC1"/>
            </w:tcBorders>
            <w:shd w:val="clear" w:color="auto" w:fill="D2232A"/>
            <w:noWrap/>
            <w:vAlign w:val="center"/>
            <w:hideMark/>
          </w:tcPr>
          <w:p w14:paraId="574FB2B7" w14:textId="442BE194" w:rsidR="005E4CB7" w:rsidRDefault="005E4CB7" w:rsidP="005E4CB7">
            <w:pPr>
              <w:spacing w:after="0" w:line="240" w:lineRule="auto"/>
              <w:rPr>
                <w:rFonts w:eastAsia="Times New Roman" w:cstheme="minorHAnsi"/>
                <w:color w:val="FFFFFF"/>
                <w:sz w:val="20"/>
                <w:lang w:eastAsia="hr-HR"/>
              </w:rPr>
            </w:pPr>
            <w:r>
              <w:rPr>
                <w:rFonts w:eastAsia="Times New Roman" w:cstheme="minorHAnsi"/>
                <w:color w:val="FFFFFF"/>
                <w:sz w:val="20"/>
                <w:lang w:eastAsia="hr-HR"/>
              </w:rPr>
              <w:t>2016.</w:t>
            </w:r>
          </w:p>
        </w:tc>
        <w:tc>
          <w:tcPr>
            <w:tcW w:w="0" w:type="auto"/>
            <w:tcBorders>
              <w:top w:val="single" w:sz="8" w:space="0" w:color="F3CFC1"/>
              <w:bottom w:val="single" w:sz="8" w:space="0" w:color="F3CFC1"/>
              <w:right w:val="single" w:sz="8" w:space="0" w:color="D2232A"/>
            </w:tcBorders>
            <w:noWrap/>
            <w:vAlign w:val="center"/>
          </w:tcPr>
          <w:p w14:paraId="2787F6C4" w14:textId="6CAD07CA" w:rsidR="005E4CB7" w:rsidRDefault="005E4CB7" w:rsidP="005E4CB7">
            <w:pPr>
              <w:spacing w:after="0" w:line="240" w:lineRule="auto"/>
              <w:jc w:val="right"/>
              <w:rPr>
                <w:rFonts w:eastAsia="Times New Roman" w:cstheme="minorHAnsi"/>
                <w:color w:val="000000"/>
                <w:sz w:val="20"/>
                <w:lang w:eastAsia="hr-HR"/>
              </w:rPr>
            </w:pPr>
            <w:r>
              <w:rPr>
                <w:rFonts w:eastAsia="Times New Roman" w:cstheme="minorHAnsi"/>
                <w:color w:val="000000"/>
                <w:sz w:val="20"/>
                <w:lang w:eastAsia="hr-HR"/>
              </w:rPr>
              <w:t>49</w:t>
            </w:r>
          </w:p>
        </w:tc>
        <w:tc>
          <w:tcPr>
            <w:tcW w:w="0" w:type="auto"/>
            <w:tcBorders>
              <w:top w:val="single" w:sz="8" w:space="0" w:color="F3CFC1"/>
              <w:left w:val="single" w:sz="8" w:space="0" w:color="D2232A"/>
              <w:bottom w:val="single" w:sz="8" w:space="0" w:color="F3CFC1"/>
              <w:right w:val="single" w:sz="8" w:space="0" w:color="D2232A"/>
            </w:tcBorders>
            <w:noWrap/>
            <w:vAlign w:val="center"/>
          </w:tcPr>
          <w:p w14:paraId="26128057" w14:textId="3C52F7F6" w:rsidR="005E4CB7" w:rsidRDefault="001219FF" w:rsidP="005E4CB7">
            <w:pPr>
              <w:spacing w:after="0" w:line="240" w:lineRule="auto"/>
              <w:jc w:val="right"/>
              <w:rPr>
                <w:rFonts w:eastAsia="Times New Roman" w:cstheme="minorHAnsi"/>
                <w:color w:val="000000"/>
                <w:sz w:val="20"/>
                <w:lang w:eastAsia="hr-HR"/>
              </w:rPr>
            </w:pPr>
            <w:r>
              <w:rPr>
                <w:rFonts w:eastAsia="Times New Roman" w:cstheme="minorHAnsi"/>
                <w:color w:val="000000"/>
                <w:sz w:val="20"/>
                <w:lang w:eastAsia="hr-HR"/>
              </w:rPr>
              <w:t>278</w:t>
            </w:r>
          </w:p>
        </w:tc>
        <w:tc>
          <w:tcPr>
            <w:tcW w:w="0" w:type="auto"/>
            <w:tcBorders>
              <w:top w:val="single" w:sz="8" w:space="0" w:color="F3CFC1"/>
              <w:left w:val="single" w:sz="8" w:space="0" w:color="D2232A"/>
              <w:bottom w:val="single" w:sz="8" w:space="0" w:color="F3CFC1"/>
              <w:right w:val="single" w:sz="8" w:space="0" w:color="D2232A"/>
            </w:tcBorders>
            <w:noWrap/>
            <w:vAlign w:val="center"/>
          </w:tcPr>
          <w:p w14:paraId="2ED259DB" w14:textId="4510BB01" w:rsidR="005E4CB7" w:rsidRDefault="005E4CB7" w:rsidP="005E4CB7">
            <w:pPr>
              <w:spacing w:after="0" w:line="240" w:lineRule="auto"/>
              <w:jc w:val="right"/>
              <w:rPr>
                <w:rFonts w:eastAsia="Times New Roman" w:cstheme="minorHAnsi"/>
                <w:color w:val="000000"/>
                <w:sz w:val="20"/>
                <w:lang w:eastAsia="hr-HR"/>
              </w:rPr>
            </w:pPr>
            <w:r>
              <w:rPr>
                <w:rFonts w:eastAsia="Times New Roman" w:cstheme="minorHAnsi"/>
                <w:color w:val="000000"/>
                <w:sz w:val="20"/>
                <w:lang w:eastAsia="hr-HR"/>
              </w:rPr>
              <w:t>1.768</w:t>
            </w:r>
          </w:p>
        </w:tc>
      </w:tr>
    </w:tbl>
    <w:p w14:paraId="16729900" w14:textId="6161A263" w:rsidR="008878A0" w:rsidRDefault="008878A0" w:rsidP="003C2276">
      <w:pPr>
        <w:pStyle w:val="Izvor"/>
        <w:rPr>
          <w:i/>
          <w:color w:val="ABABAB" w:themeColor="text1" w:themeTint="A6"/>
          <w:sz w:val="16"/>
          <w:szCs w:val="16"/>
        </w:rPr>
      </w:pPr>
      <w:r w:rsidRPr="003D517E">
        <w:rPr>
          <w:i/>
          <w:color w:val="ABABAB" w:themeColor="text1" w:themeTint="A6"/>
          <w:sz w:val="16"/>
          <w:szCs w:val="16"/>
        </w:rPr>
        <w:t>Izvor: DZS, Statistička izvješća, Kultura i umjetnost 2014., 2015., 2016</w:t>
      </w:r>
      <w:r w:rsidR="00BB5237">
        <w:rPr>
          <w:i/>
          <w:color w:val="ABABAB" w:themeColor="text1" w:themeTint="A6"/>
          <w:sz w:val="16"/>
          <w:szCs w:val="16"/>
        </w:rPr>
        <w:t xml:space="preserve">; </w:t>
      </w:r>
    </w:p>
    <w:p w14:paraId="38D0F1A7" w14:textId="77777777" w:rsidR="003D517E" w:rsidRPr="003D517E" w:rsidRDefault="003D517E" w:rsidP="003C2276">
      <w:pPr>
        <w:pStyle w:val="Izvor"/>
        <w:rPr>
          <w:i/>
          <w:color w:val="ABABAB" w:themeColor="text1" w:themeTint="A6"/>
          <w:sz w:val="16"/>
          <w:szCs w:val="16"/>
        </w:rPr>
      </w:pPr>
    </w:p>
    <w:p w14:paraId="5D88E037" w14:textId="01497D6F" w:rsidR="00F66144" w:rsidRDefault="008878A0" w:rsidP="00941871">
      <w:pPr>
        <w:autoSpaceDE w:val="0"/>
        <w:autoSpaceDN w:val="0"/>
        <w:adjustRightInd w:val="0"/>
        <w:spacing w:after="0" w:line="240" w:lineRule="auto"/>
        <w:rPr>
          <w:rFonts w:eastAsia="ArialNarrow" w:cstheme="minorHAnsi"/>
        </w:rPr>
      </w:pPr>
      <w:r>
        <w:rPr>
          <w:rFonts w:eastAsia="ArialNarrow" w:cstheme="minorHAnsi"/>
        </w:rPr>
        <w:lastRenderedPageBreak/>
        <w:t>U Krapinsko-zagorskoj županiji u periodu od 201</w:t>
      </w:r>
      <w:r w:rsidR="001219FF">
        <w:rPr>
          <w:rFonts w:eastAsia="ArialNarrow" w:cstheme="minorHAnsi"/>
        </w:rPr>
        <w:t>4</w:t>
      </w:r>
      <w:r>
        <w:rPr>
          <w:rFonts w:eastAsia="ArialNarrow" w:cstheme="minorHAnsi"/>
        </w:rPr>
        <w:t>. do 2016. godine</w:t>
      </w:r>
      <w:r w:rsidR="00551498">
        <w:rPr>
          <w:rStyle w:val="Referencafusnote"/>
          <w:rFonts w:eastAsia="ArialNarrow" w:cstheme="minorHAnsi"/>
        </w:rPr>
        <w:footnoteReference w:id="45"/>
      </w:r>
      <w:r w:rsidR="007E544D">
        <w:rPr>
          <w:rFonts w:eastAsia="ArialNarrow" w:cstheme="minorHAnsi"/>
        </w:rPr>
        <w:t xml:space="preserve"> </w:t>
      </w:r>
      <w:r>
        <w:rPr>
          <w:rFonts w:eastAsia="ArialNarrow" w:cstheme="minorHAnsi"/>
        </w:rPr>
        <w:t>broj knjižnica smanjio se s 50 na 49</w:t>
      </w:r>
      <w:r w:rsidR="001219FF">
        <w:rPr>
          <w:rFonts w:eastAsia="ArialNarrow" w:cstheme="minorHAnsi"/>
        </w:rPr>
        <w:t xml:space="preserve">, dok je </w:t>
      </w:r>
      <w:r w:rsidR="00CF28ED">
        <w:rPr>
          <w:rFonts w:eastAsia="ArialNarrow" w:cstheme="minorHAnsi"/>
        </w:rPr>
        <w:t xml:space="preserve">u </w:t>
      </w:r>
      <w:r w:rsidR="001219FF">
        <w:rPr>
          <w:rFonts w:eastAsia="ArialNarrow" w:cstheme="minorHAnsi"/>
        </w:rPr>
        <w:t>Sjever</w:t>
      </w:r>
      <w:r w:rsidR="00CF28ED">
        <w:rPr>
          <w:rFonts w:eastAsia="ArialNarrow" w:cstheme="minorHAnsi"/>
        </w:rPr>
        <w:t>noj</w:t>
      </w:r>
      <w:r w:rsidR="001219FF">
        <w:rPr>
          <w:rFonts w:eastAsia="ArialNarrow" w:cstheme="minorHAnsi"/>
        </w:rPr>
        <w:t xml:space="preserve"> Hrvatsk</w:t>
      </w:r>
      <w:r w:rsidR="00CF28ED">
        <w:rPr>
          <w:rFonts w:eastAsia="ArialNarrow" w:cstheme="minorHAnsi"/>
        </w:rPr>
        <w:t>oj</w:t>
      </w:r>
      <w:r w:rsidR="001219FF">
        <w:rPr>
          <w:rFonts w:eastAsia="ArialNarrow" w:cstheme="minorHAnsi"/>
        </w:rPr>
        <w:t xml:space="preserve"> broj knjižnica </w:t>
      </w:r>
      <w:r w:rsidR="00CF28ED">
        <w:rPr>
          <w:rFonts w:eastAsia="ArialNarrow" w:cstheme="minorHAnsi"/>
        </w:rPr>
        <w:t xml:space="preserve">porastao </w:t>
      </w:r>
      <w:r w:rsidR="001219FF">
        <w:rPr>
          <w:rFonts w:eastAsia="ArialNarrow" w:cstheme="minorHAnsi"/>
        </w:rPr>
        <w:t xml:space="preserve">s 271 na 278. Na nacionalnoj razini zabilježen je pad </w:t>
      </w:r>
      <w:r>
        <w:rPr>
          <w:rFonts w:eastAsia="ArialNarrow" w:cstheme="minorHAnsi"/>
        </w:rPr>
        <w:t xml:space="preserve">broja knjižnica s 1.781 na 1.768 odnosno sveukupno 0,7%. U broj knjižnica ubrojene su samostalne knjižnice, knjižnice u sastavu druge knjižnice i knjižnice u </w:t>
      </w:r>
      <w:r w:rsidR="004254D2">
        <w:rPr>
          <w:rFonts w:eastAsia="ArialNarrow" w:cstheme="minorHAnsi"/>
        </w:rPr>
        <w:t>sastavu ustanove ili poduzeća (sveučilišne knjižnice, v</w:t>
      </w:r>
      <w:r>
        <w:rPr>
          <w:rFonts w:eastAsia="ArialNarrow" w:cstheme="minorHAnsi"/>
        </w:rPr>
        <w:t xml:space="preserve">isokoškolske knjižnice, </w:t>
      </w:r>
      <w:r w:rsidR="00CF28ED">
        <w:rPr>
          <w:rFonts w:eastAsia="ArialNarrow" w:cstheme="minorHAnsi"/>
        </w:rPr>
        <w:t>o</w:t>
      </w:r>
      <w:r>
        <w:rPr>
          <w:rFonts w:eastAsia="ArialNarrow" w:cstheme="minorHAnsi"/>
        </w:rPr>
        <w:t xml:space="preserve">pćeznanstvene knjižnice, </w:t>
      </w:r>
      <w:r w:rsidR="00CF28ED">
        <w:rPr>
          <w:rFonts w:eastAsia="ArialNarrow" w:cstheme="minorHAnsi"/>
        </w:rPr>
        <w:t>s</w:t>
      </w:r>
      <w:r>
        <w:rPr>
          <w:rFonts w:eastAsia="ArialNarrow" w:cstheme="minorHAnsi"/>
        </w:rPr>
        <w:t xml:space="preserve">pecijalne knjižnice, </w:t>
      </w:r>
      <w:r w:rsidR="00CF28ED">
        <w:rPr>
          <w:rFonts w:eastAsia="ArialNarrow" w:cstheme="minorHAnsi"/>
        </w:rPr>
        <w:t>n</w:t>
      </w:r>
      <w:r>
        <w:rPr>
          <w:rFonts w:eastAsia="ArialNarrow" w:cstheme="minorHAnsi"/>
        </w:rPr>
        <w:t xml:space="preserve">arodne knjižnice, knjižnice osnovnih škola i knjižnice srednjih škola). </w:t>
      </w:r>
      <w:r w:rsidR="00CF28ED">
        <w:rPr>
          <w:rFonts w:eastAsia="ArialNarrow" w:cstheme="minorHAnsi"/>
        </w:rPr>
        <w:t xml:space="preserve">U </w:t>
      </w:r>
      <w:r>
        <w:rPr>
          <w:rFonts w:eastAsia="ArialNarrow" w:cstheme="minorHAnsi"/>
        </w:rPr>
        <w:t>Krapinsko-zagorsk</w:t>
      </w:r>
      <w:r w:rsidR="00CF28ED">
        <w:rPr>
          <w:rFonts w:eastAsia="ArialNarrow" w:cstheme="minorHAnsi"/>
        </w:rPr>
        <w:t>oj</w:t>
      </w:r>
      <w:r>
        <w:rPr>
          <w:rFonts w:eastAsia="ArialNarrow" w:cstheme="minorHAnsi"/>
        </w:rPr>
        <w:t xml:space="preserve"> županij</w:t>
      </w:r>
      <w:r w:rsidR="00CF28ED">
        <w:rPr>
          <w:rFonts w:eastAsia="ArialNarrow" w:cstheme="minorHAnsi"/>
        </w:rPr>
        <w:t>i</w:t>
      </w:r>
      <w:r>
        <w:rPr>
          <w:rFonts w:eastAsia="ArialNarrow" w:cstheme="minorHAnsi"/>
        </w:rPr>
        <w:t xml:space="preserve"> na svakih 10.000 stanovnika dolaz</w:t>
      </w:r>
      <w:r w:rsidR="008A6CFE">
        <w:rPr>
          <w:rFonts w:eastAsia="ArialNarrow" w:cstheme="minorHAnsi"/>
        </w:rPr>
        <w:t>e</w:t>
      </w:r>
      <w:r>
        <w:rPr>
          <w:rFonts w:eastAsia="ArialNarrow" w:cstheme="minorHAnsi"/>
        </w:rPr>
        <w:t xml:space="preserve"> 3,84 knjižnice dok je taj broj na razini </w:t>
      </w:r>
      <w:r w:rsidR="00C7437E">
        <w:rPr>
          <w:rFonts w:eastAsia="ArialNarrow" w:cstheme="minorHAnsi"/>
        </w:rPr>
        <w:t>Sjevern</w:t>
      </w:r>
      <w:r w:rsidR="00E76609">
        <w:rPr>
          <w:rFonts w:eastAsia="ArialNarrow" w:cstheme="minorHAnsi"/>
        </w:rPr>
        <w:t>e</w:t>
      </w:r>
      <w:r>
        <w:rPr>
          <w:rFonts w:eastAsia="ArialNarrow" w:cstheme="minorHAnsi"/>
        </w:rPr>
        <w:t xml:space="preserve"> Hrvatske 3,</w:t>
      </w:r>
      <w:r w:rsidR="00E76609">
        <w:rPr>
          <w:rFonts w:eastAsia="ArialNarrow" w:cstheme="minorHAnsi"/>
        </w:rPr>
        <w:t>3</w:t>
      </w:r>
      <w:r>
        <w:rPr>
          <w:rFonts w:eastAsia="ArialNarrow" w:cstheme="minorHAnsi"/>
        </w:rPr>
        <w:t>6</w:t>
      </w:r>
      <w:r w:rsidR="007E544D">
        <w:rPr>
          <w:rFonts w:eastAsia="ArialNarrow" w:cstheme="minorHAnsi"/>
        </w:rPr>
        <w:t>,</w:t>
      </w:r>
      <w:r>
        <w:rPr>
          <w:rFonts w:eastAsia="ArialNarrow" w:cstheme="minorHAnsi"/>
        </w:rPr>
        <w:t xml:space="preserve"> a na razini cijele Republike Hrvatske nešto viši i iznosi 4,24 knjižnice na svakih 10.000 stanovnika.</w:t>
      </w:r>
      <w:r w:rsidR="00BB5237">
        <w:rPr>
          <w:rFonts w:eastAsia="ArialNarrow" w:cstheme="minorHAnsi"/>
        </w:rPr>
        <w:t xml:space="preserve"> U </w:t>
      </w:r>
      <w:r w:rsidR="00BB5237" w:rsidRPr="00BB5237">
        <w:rPr>
          <w:rFonts w:eastAsia="ArialNarrow" w:cstheme="minorHAnsi"/>
        </w:rPr>
        <w:t>Upisnik knjižnica u Republici Hrvatskoj</w:t>
      </w:r>
      <w:r w:rsidR="00BB5237">
        <w:rPr>
          <w:rFonts w:eastAsia="ArialNarrow" w:cstheme="minorHAnsi"/>
        </w:rPr>
        <w:t xml:space="preserve"> u 2021. godini sa područja Krapinsko-zagorske županije upisano je  55 knjižnica</w:t>
      </w:r>
      <w:r w:rsidR="00BB5237">
        <w:rPr>
          <w:rStyle w:val="Referencafusnote"/>
          <w:rFonts w:eastAsia="ArialNarrow" w:cstheme="minorHAnsi"/>
          <w:sz w:val="22"/>
        </w:rPr>
        <w:footnoteReference w:id="46"/>
      </w:r>
      <w:r w:rsidR="00551498">
        <w:rPr>
          <w:rFonts w:eastAsia="ArialNarrow" w:cstheme="minorHAnsi"/>
        </w:rPr>
        <w:t xml:space="preserve">. </w:t>
      </w:r>
      <w:r w:rsidR="00551498" w:rsidRPr="00551498">
        <w:rPr>
          <w:rFonts w:eastAsia="ArialNarrow" w:cstheme="minorHAnsi"/>
        </w:rPr>
        <w:t>Sve je veći broj knjižnica s pristupom internetu</w:t>
      </w:r>
      <w:r w:rsidR="00551498">
        <w:rPr>
          <w:rFonts w:eastAsia="ArialNarrow" w:cstheme="minorHAnsi"/>
        </w:rPr>
        <w:t xml:space="preserve"> te</w:t>
      </w:r>
      <w:r w:rsidR="007E544D">
        <w:rPr>
          <w:rFonts w:eastAsia="ArialNarrow" w:cstheme="minorHAnsi"/>
        </w:rPr>
        <w:t xml:space="preserve"> se</w:t>
      </w:r>
      <w:r w:rsidR="00551498">
        <w:rPr>
          <w:rFonts w:eastAsia="ArialNarrow" w:cstheme="minorHAnsi"/>
        </w:rPr>
        <w:t xml:space="preserve"> </w:t>
      </w:r>
      <w:r w:rsidR="009823C4">
        <w:rPr>
          <w:rFonts w:eastAsia="ArialNarrow" w:cstheme="minorHAnsi"/>
        </w:rPr>
        <w:t xml:space="preserve">s </w:t>
      </w:r>
      <w:r w:rsidR="00551498">
        <w:rPr>
          <w:rFonts w:eastAsia="ArialNarrow" w:cstheme="minorHAnsi"/>
        </w:rPr>
        <w:t>r</w:t>
      </w:r>
      <w:r w:rsidR="00551498" w:rsidRPr="00551498">
        <w:rPr>
          <w:rFonts w:eastAsia="ArialNarrow" w:cstheme="minorHAnsi"/>
        </w:rPr>
        <w:t>azvojem digitalnog društva uočava tendencija virtualnih posjeta knjižnicama</w:t>
      </w:r>
      <w:r w:rsidR="00551498">
        <w:rPr>
          <w:rFonts w:eastAsia="ArialNarrow" w:cstheme="minorHAnsi"/>
        </w:rPr>
        <w:t>.</w:t>
      </w:r>
    </w:p>
    <w:p w14:paraId="7B5DC95D" w14:textId="77777777" w:rsidR="00AF5B79" w:rsidRPr="007E544D" w:rsidRDefault="00AF5B79" w:rsidP="00941871">
      <w:pPr>
        <w:autoSpaceDE w:val="0"/>
        <w:autoSpaceDN w:val="0"/>
        <w:adjustRightInd w:val="0"/>
        <w:spacing w:after="0" w:line="240" w:lineRule="auto"/>
        <w:rPr>
          <w:rFonts w:eastAsia="ArialNarrow" w:cstheme="minorHAnsi"/>
          <w:sz w:val="22"/>
        </w:rPr>
      </w:pPr>
    </w:p>
    <w:p w14:paraId="3419E24D" w14:textId="46E36F44" w:rsidR="008878A0" w:rsidRDefault="008878A0" w:rsidP="003E3F3C">
      <w:pPr>
        <w:pStyle w:val="Opisslike"/>
      </w:pPr>
      <w:r>
        <w:t xml:space="preserve">Tablica </w:t>
      </w:r>
      <w:r w:rsidR="005B7558">
        <w:rPr>
          <w:noProof/>
        </w:rPr>
        <w:t>4</w:t>
      </w:r>
      <w:r w:rsidR="00D51238">
        <w:rPr>
          <w:noProof/>
        </w:rPr>
        <w:t>7</w:t>
      </w:r>
      <w:r w:rsidR="0026418E">
        <w:rPr>
          <w:noProof/>
        </w:rPr>
        <w:t>.</w:t>
      </w:r>
      <w:r>
        <w:rPr>
          <w:noProof/>
        </w:rPr>
        <w:t xml:space="preserve"> </w:t>
      </w:r>
      <w:r>
        <w:t>Pregled objekata društvene infrastrukture po gradovima i općinama u Krapinsko-zagorskoj županiji, 2019. godina</w:t>
      </w:r>
    </w:p>
    <w:tbl>
      <w:tblPr>
        <w:tblW w:w="9437" w:type="dxa"/>
        <w:tblBorders>
          <w:right w:val="single" w:sz="8" w:space="0" w:color="D2232A"/>
          <w:insideH w:val="single" w:sz="8" w:space="0" w:color="F3CFC1"/>
          <w:insideV w:val="single" w:sz="8" w:space="0" w:color="D2232A"/>
        </w:tblBorders>
        <w:tblLayout w:type="fixed"/>
        <w:tblLook w:val="04A0" w:firstRow="1" w:lastRow="0" w:firstColumn="1" w:lastColumn="0" w:noHBand="0" w:noVBand="1"/>
      </w:tblPr>
      <w:tblGrid>
        <w:gridCol w:w="1418"/>
        <w:gridCol w:w="992"/>
        <w:gridCol w:w="1009"/>
        <w:gridCol w:w="957"/>
        <w:gridCol w:w="2873"/>
        <w:gridCol w:w="684"/>
        <w:gridCol w:w="684"/>
        <w:gridCol w:w="820"/>
      </w:tblGrid>
      <w:tr w:rsidR="00FE050F" w:rsidRPr="00502563" w14:paraId="7AC2E60C" w14:textId="77777777" w:rsidTr="00C94190">
        <w:trPr>
          <w:trHeight w:val="358"/>
          <w:tblHeader/>
        </w:trPr>
        <w:tc>
          <w:tcPr>
            <w:tcW w:w="1418" w:type="dxa"/>
            <w:shd w:val="clear" w:color="auto" w:fill="D2232A" w:themeFill="accent1"/>
            <w:vAlign w:val="center"/>
            <w:hideMark/>
          </w:tcPr>
          <w:p w14:paraId="350B990B" w14:textId="77777777" w:rsidR="00FE050F" w:rsidRPr="00502563" w:rsidRDefault="00FE050F" w:rsidP="00FE050F">
            <w:pPr>
              <w:spacing w:after="0" w:line="240" w:lineRule="auto"/>
              <w:jc w:val="left"/>
              <w:rPr>
                <w:rFonts w:eastAsia="Times New Roman" w:cstheme="minorHAnsi"/>
                <w:color w:val="FFFFFF"/>
                <w:szCs w:val="18"/>
                <w:lang w:eastAsia="hr-HR"/>
              </w:rPr>
            </w:pPr>
            <w:r w:rsidRPr="00502563">
              <w:rPr>
                <w:rFonts w:eastAsia="Times New Roman" w:cstheme="minorHAnsi"/>
                <w:color w:val="FFFFFF"/>
                <w:szCs w:val="18"/>
                <w:lang w:eastAsia="hr-HR"/>
              </w:rPr>
              <w:t>Općina/</w:t>
            </w:r>
          </w:p>
          <w:p w14:paraId="18FB1609" w14:textId="77777777" w:rsidR="00FE050F" w:rsidRPr="00502563" w:rsidRDefault="00FE050F" w:rsidP="00FE050F">
            <w:pPr>
              <w:spacing w:after="0" w:line="240" w:lineRule="auto"/>
              <w:jc w:val="left"/>
              <w:rPr>
                <w:rFonts w:eastAsia="Times New Roman" w:cstheme="minorHAnsi"/>
                <w:color w:val="FFFFFF"/>
                <w:szCs w:val="18"/>
                <w:lang w:eastAsia="hr-HR"/>
              </w:rPr>
            </w:pPr>
            <w:r w:rsidRPr="00502563">
              <w:rPr>
                <w:rFonts w:eastAsia="Times New Roman" w:cstheme="minorHAnsi"/>
                <w:color w:val="FFFFFF"/>
                <w:szCs w:val="18"/>
                <w:lang w:eastAsia="hr-HR"/>
              </w:rPr>
              <w:t>grad</w:t>
            </w:r>
          </w:p>
        </w:tc>
        <w:tc>
          <w:tcPr>
            <w:tcW w:w="992" w:type="dxa"/>
            <w:shd w:val="clear" w:color="auto" w:fill="D2232A" w:themeFill="accent1"/>
            <w:vAlign w:val="center"/>
            <w:hideMark/>
          </w:tcPr>
          <w:p w14:paraId="73892558" w14:textId="77777777" w:rsidR="00FE050F" w:rsidRPr="00502563" w:rsidRDefault="00FE050F" w:rsidP="004F6BD6">
            <w:pPr>
              <w:spacing w:after="0" w:line="240" w:lineRule="auto"/>
              <w:jc w:val="center"/>
              <w:rPr>
                <w:rFonts w:eastAsia="Times New Roman" w:cstheme="minorHAnsi"/>
                <w:color w:val="FFFFFF"/>
                <w:szCs w:val="18"/>
                <w:lang w:eastAsia="hr-HR"/>
              </w:rPr>
            </w:pPr>
            <w:r w:rsidRPr="00502563">
              <w:rPr>
                <w:rFonts w:eastAsia="Times New Roman" w:cstheme="minorHAnsi"/>
                <w:color w:val="FFFFFF"/>
                <w:szCs w:val="18"/>
                <w:lang w:eastAsia="hr-HR"/>
              </w:rPr>
              <w:t>Sportsko igralište</w:t>
            </w:r>
          </w:p>
        </w:tc>
        <w:tc>
          <w:tcPr>
            <w:tcW w:w="1009" w:type="dxa"/>
            <w:shd w:val="clear" w:color="auto" w:fill="D2232A" w:themeFill="accent1"/>
            <w:vAlign w:val="center"/>
            <w:hideMark/>
          </w:tcPr>
          <w:p w14:paraId="6F6A8525" w14:textId="77777777" w:rsidR="00FE050F" w:rsidRPr="00502563" w:rsidRDefault="00FE050F" w:rsidP="004F6BD6">
            <w:pPr>
              <w:spacing w:after="0" w:line="240" w:lineRule="auto"/>
              <w:jc w:val="center"/>
              <w:rPr>
                <w:rFonts w:eastAsia="Times New Roman" w:cstheme="minorHAnsi"/>
                <w:color w:val="FFFFFF"/>
                <w:szCs w:val="18"/>
                <w:lang w:eastAsia="hr-HR"/>
              </w:rPr>
            </w:pPr>
            <w:r w:rsidRPr="00502563">
              <w:rPr>
                <w:rFonts w:eastAsia="Times New Roman" w:cstheme="minorHAnsi"/>
                <w:color w:val="FFFFFF"/>
                <w:szCs w:val="18"/>
                <w:lang w:eastAsia="hr-HR"/>
              </w:rPr>
              <w:t>Dječje igralište</w:t>
            </w:r>
          </w:p>
        </w:tc>
        <w:tc>
          <w:tcPr>
            <w:tcW w:w="957" w:type="dxa"/>
            <w:shd w:val="clear" w:color="auto" w:fill="D2232A" w:themeFill="accent1"/>
            <w:vAlign w:val="center"/>
            <w:hideMark/>
          </w:tcPr>
          <w:p w14:paraId="6482D719" w14:textId="77777777" w:rsidR="00FE050F" w:rsidRPr="00502563" w:rsidRDefault="00FE050F" w:rsidP="004F6BD6">
            <w:pPr>
              <w:spacing w:after="0" w:line="240" w:lineRule="auto"/>
              <w:jc w:val="center"/>
              <w:rPr>
                <w:rFonts w:eastAsia="Times New Roman" w:cstheme="minorHAnsi"/>
                <w:color w:val="FFFFFF"/>
                <w:szCs w:val="18"/>
                <w:lang w:eastAsia="hr-HR"/>
              </w:rPr>
            </w:pPr>
            <w:r w:rsidRPr="00502563">
              <w:rPr>
                <w:rFonts w:eastAsia="Times New Roman" w:cstheme="minorHAnsi"/>
                <w:color w:val="FFFFFF"/>
                <w:szCs w:val="18"/>
                <w:lang w:eastAsia="hr-HR"/>
              </w:rPr>
              <w:t>Sportska dvorana</w:t>
            </w:r>
          </w:p>
        </w:tc>
        <w:tc>
          <w:tcPr>
            <w:tcW w:w="2873" w:type="dxa"/>
            <w:shd w:val="clear" w:color="auto" w:fill="D2232A" w:themeFill="accent1"/>
            <w:vAlign w:val="center"/>
            <w:hideMark/>
          </w:tcPr>
          <w:p w14:paraId="0A82C143" w14:textId="77777777" w:rsidR="00FE050F" w:rsidRPr="00502563" w:rsidRDefault="00FE050F" w:rsidP="004F6BD6">
            <w:pPr>
              <w:spacing w:after="0" w:line="240" w:lineRule="auto"/>
              <w:jc w:val="center"/>
              <w:rPr>
                <w:rFonts w:eastAsia="Times New Roman" w:cstheme="minorHAnsi"/>
                <w:color w:val="FFFFFF"/>
                <w:szCs w:val="18"/>
                <w:lang w:eastAsia="hr-HR"/>
              </w:rPr>
            </w:pPr>
            <w:r w:rsidRPr="00502563">
              <w:rPr>
                <w:rFonts w:eastAsia="Times New Roman" w:cstheme="minorHAnsi"/>
                <w:color w:val="FFFFFF"/>
                <w:szCs w:val="18"/>
                <w:lang w:eastAsia="hr-HR"/>
              </w:rPr>
              <w:t>Domovi kulture</w:t>
            </w:r>
          </w:p>
        </w:tc>
        <w:tc>
          <w:tcPr>
            <w:tcW w:w="684" w:type="dxa"/>
            <w:shd w:val="clear" w:color="auto" w:fill="D2232A" w:themeFill="accent1"/>
            <w:vAlign w:val="center"/>
            <w:hideMark/>
          </w:tcPr>
          <w:p w14:paraId="553CDF63" w14:textId="77777777" w:rsidR="00FE050F" w:rsidRPr="00502563" w:rsidRDefault="00FE050F" w:rsidP="004F6BD6">
            <w:pPr>
              <w:spacing w:after="0" w:line="240" w:lineRule="auto"/>
              <w:jc w:val="center"/>
              <w:rPr>
                <w:rFonts w:eastAsia="Times New Roman" w:cstheme="minorHAnsi"/>
                <w:color w:val="FFFFFF"/>
                <w:szCs w:val="18"/>
                <w:lang w:eastAsia="hr-HR"/>
              </w:rPr>
            </w:pPr>
            <w:r w:rsidRPr="00502563">
              <w:rPr>
                <w:rFonts w:eastAsia="Times New Roman" w:cstheme="minorHAnsi"/>
                <w:color w:val="FFFFFF"/>
                <w:szCs w:val="18"/>
                <w:lang w:eastAsia="hr-HR"/>
              </w:rPr>
              <w:t>Pošta</w:t>
            </w:r>
          </w:p>
        </w:tc>
        <w:tc>
          <w:tcPr>
            <w:tcW w:w="684" w:type="dxa"/>
            <w:shd w:val="clear" w:color="auto" w:fill="D2232A" w:themeFill="accent1"/>
            <w:vAlign w:val="center"/>
            <w:hideMark/>
          </w:tcPr>
          <w:p w14:paraId="1B52ADB6" w14:textId="77777777" w:rsidR="00FE050F" w:rsidRPr="00502563" w:rsidRDefault="00FE050F" w:rsidP="004F6BD6">
            <w:pPr>
              <w:spacing w:after="0" w:line="240" w:lineRule="auto"/>
              <w:jc w:val="center"/>
              <w:rPr>
                <w:rFonts w:eastAsia="Times New Roman" w:cstheme="minorHAnsi"/>
                <w:color w:val="FFFFFF"/>
                <w:szCs w:val="18"/>
                <w:lang w:eastAsia="hr-HR"/>
              </w:rPr>
            </w:pPr>
            <w:r w:rsidRPr="00502563">
              <w:rPr>
                <w:rFonts w:eastAsia="Times New Roman" w:cstheme="minorHAnsi"/>
                <w:color w:val="FFFFFF"/>
                <w:szCs w:val="18"/>
                <w:lang w:eastAsia="hr-HR"/>
              </w:rPr>
              <w:t>Sud</w:t>
            </w:r>
          </w:p>
        </w:tc>
        <w:tc>
          <w:tcPr>
            <w:tcW w:w="820" w:type="dxa"/>
            <w:shd w:val="clear" w:color="auto" w:fill="D2232A" w:themeFill="accent1"/>
            <w:vAlign w:val="center"/>
            <w:hideMark/>
          </w:tcPr>
          <w:p w14:paraId="4DDEE34D" w14:textId="77777777" w:rsidR="00FE050F" w:rsidRPr="00502563" w:rsidRDefault="00FE050F" w:rsidP="004F6BD6">
            <w:pPr>
              <w:spacing w:after="0" w:line="240" w:lineRule="auto"/>
              <w:jc w:val="center"/>
              <w:rPr>
                <w:rFonts w:eastAsia="Times New Roman" w:cstheme="minorHAnsi"/>
                <w:color w:val="FFFFFF"/>
                <w:szCs w:val="18"/>
                <w:lang w:eastAsia="hr-HR"/>
              </w:rPr>
            </w:pPr>
            <w:r w:rsidRPr="00502563">
              <w:rPr>
                <w:rFonts w:eastAsia="Times New Roman" w:cstheme="minorHAnsi"/>
                <w:color w:val="FFFFFF"/>
                <w:szCs w:val="18"/>
                <w:lang w:eastAsia="hr-HR"/>
              </w:rPr>
              <w:t>Policija</w:t>
            </w:r>
          </w:p>
        </w:tc>
      </w:tr>
      <w:tr w:rsidR="00FE050F" w:rsidRPr="00502563" w14:paraId="19CAC1D6" w14:textId="77777777" w:rsidTr="00C94190">
        <w:trPr>
          <w:trHeight w:val="256"/>
        </w:trPr>
        <w:tc>
          <w:tcPr>
            <w:tcW w:w="1418" w:type="dxa"/>
            <w:shd w:val="clear" w:color="auto" w:fill="E5E5E5" w:themeFill="text1" w:themeFillTint="33"/>
            <w:noWrap/>
            <w:vAlign w:val="center"/>
            <w:hideMark/>
          </w:tcPr>
          <w:p w14:paraId="22005BD6"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Bedekovčina</w:t>
            </w:r>
          </w:p>
        </w:tc>
        <w:tc>
          <w:tcPr>
            <w:tcW w:w="992" w:type="dxa"/>
            <w:shd w:val="clear" w:color="auto" w:fill="FFFFFF" w:themeFill="background1"/>
            <w:noWrap/>
          </w:tcPr>
          <w:p w14:paraId="02CFF5CA"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 xml:space="preserve">2, 1 igralište u izgradnji </w:t>
            </w:r>
          </w:p>
        </w:tc>
        <w:tc>
          <w:tcPr>
            <w:tcW w:w="1009" w:type="dxa"/>
            <w:shd w:val="clear" w:color="auto" w:fill="FFFFFF" w:themeFill="background1"/>
            <w:noWrap/>
          </w:tcPr>
          <w:p w14:paraId="7F150013"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 xml:space="preserve">3, 4 u izgradnji </w:t>
            </w:r>
          </w:p>
        </w:tc>
        <w:tc>
          <w:tcPr>
            <w:tcW w:w="957" w:type="dxa"/>
            <w:shd w:val="clear" w:color="auto" w:fill="FFFFFF" w:themeFill="background1"/>
            <w:noWrap/>
          </w:tcPr>
          <w:p w14:paraId="63B0D3DC"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3</w:t>
            </w:r>
          </w:p>
        </w:tc>
        <w:tc>
          <w:tcPr>
            <w:tcW w:w="2873" w:type="dxa"/>
            <w:shd w:val="clear" w:color="auto" w:fill="FFFFFF" w:themeFill="background1"/>
            <w:noWrap/>
          </w:tcPr>
          <w:p w14:paraId="11BC928A" w14:textId="51568124"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5 domova DVD, 2 sportska doma uz nogometna igrališta, 2 lov</w:t>
            </w:r>
            <w:r w:rsidR="00E41ED7">
              <w:rPr>
                <w:rFonts w:cstheme="minorHAnsi"/>
                <w:szCs w:val="18"/>
              </w:rPr>
              <w:t>a</w:t>
            </w:r>
            <w:r w:rsidRPr="00502563">
              <w:rPr>
                <w:rFonts w:cstheme="minorHAnsi"/>
                <w:szCs w:val="18"/>
              </w:rPr>
              <w:t>čka doma, 1 ribički dom, 5 društvenih domova, kino dvorana, dvije zgrade stare škole</w:t>
            </w:r>
          </w:p>
        </w:tc>
        <w:tc>
          <w:tcPr>
            <w:tcW w:w="684" w:type="dxa"/>
            <w:shd w:val="clear" w:color="auto" w:fill="FFFFFF" w:themeFill="background1"/>
            <w:noWrap/>
            <w:vAlign w:val="center"/>
          </w:tcPr>
          <w:p w14:paraId="0A4E7607"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da</w:t>
            </w:r>
          </w:p>
        </w:tc>
        <w:tc>
          <w:tcPr>
            <w:tcW w:w="684" w:type="dxa"/>
            <w:shd w:val="clear" w:color="auto" w:fill="FFFFFF" w:themeFill="background1"/>
            <w:noWrap/>
            <w:vAlign w:val="center"/>
          </w:tcPr>
          <w:p w14:paraId="7F129F5D"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ne</w:t>
            </w:r>
          </w:p>
        </w:tc>
        <w:tc>
          <w:tcPr>
            <w:tcW w:w="820" w:type="dxa"/>
            <w:shd w:val="clear" w:color="auto" w:fill="FFFFFF" w:themeFill="background1"/>
            <w:noWrap/>
            <w:vAlign w:val="center"/>
          </w:tcPr>
          <w:p w14:paraId="0878B52A"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ne</w:t>
            </w:r>
          </w:p>
        </w:tc>
      </w:tr>
      <w:tr w:rsidR="00FE050F" w:rsidRPr="00502563" w14:paraId="0401185C" w14:textId="77777777" w:rsidTr="00C94190">
        <w:trPr>
          <w:trHeight w:val="256"/>
        </w:trPr>
        <w:tc>
          <w:tcPr>
            <w:tcW w:w="1418" w:type="dxa"/>
            <w:shd w:val="clear" w:color="auto" w:fill="E5E5E5" w:themeFill="text1" w:themeFillTint="33"/>
            <w:noWrap/>
            <w:vAlign w:val="center"/>
            <w:hideMark/>
          </w:tcPr>
          <w:p w14:paraId="127ADD5A" w14:textId="13DFDEF1"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Budinš</w:t>
            </w:r>
            <w:r w:rsidR="00E41ED7">
              <w:rPr>
                <w:rFonts w:eastAsia="Times New Roman" w:cstheme="minorHAnsi"/>
                <w:szCs w:val="18"/>
                <w:lang w:eastAsia="hr-HR"/>
              </w:rPr>
              <w:t>č</w:t>
            </w:r>
            <w:r w:rsidRPr="00502563">
              <w:rPr>
                <w:rFonts w:eastAsia="Times New Roman" w:cstheme="minorHAnsi"/>
                <w:szCs w:val="18"/>
                <w:lang w:eastAsia="hr-HR"/>
              </w:rPr>
              <w:t>ina</w:t>
            </w:r>
          </w:p>
        </w:tc>
        <w:tc>
          <w:tcPr>
            <w:tcW w:w="992" w:type="dxa"/>
            <w:shd w:val="clear" w:color="auto" w:fill="FFFFFF" w:themeFill="background1"/>
            <w:noWrap/>
          </w:tcPr>
          <w:p w14:paraId="0E8A786D"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4</w:t>
            </w:r>
          </w:p>
        </w:tc>
        <w:tc>
          <w:tcPr>
            <w:tcW w:w="1009" w:type="dxa"/>
            <w:shd w:val="clear" w:color="auto" w:fill="FFFFFF" w:themeFill="background1"/>
            <w:noWrap/>
          </w:tcPr>
          <w:p w14:paraId="713A9FF2"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1</w:t>
            </w:r>
          </w:p>
        </w:tc>
        <w:tc>
          <w:tcPr>
            <w:tcW w:w="957" w:type="dxa"/>
            <w:shd w:val="clear" w:color="auto" w:fill="FFFFFF" w:themeFill="background1"/>
            <w:noWrap/>
          </w:tcPr>
          <w:p w14:paraId="71170983"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0</w:t>
            </w:r>
          </w:p>
        </w:tc>
        <w:tc>
          <w:tcPr>
            <w:tcW w:w="2873" w:type="dxa"/>
            <w:shd w:val="clear" w:color="auto" w:fill="FFFFFF" w:themeFill="background1"/>
            <w:noWrap/>
          </w:tcPr>
          <w:p w14:paraId="1BD4D782" w14:textId="77777777" w:rsidR="00FE050F" w:rsidRPr="00502563" w:rsidRDefault="00FE050F" w:rsidP="004F6BD6">
            <w:pPr>
              <w:spacing w:after="0" w:line="240" w:lineRule="auto"/>
              <w:jc w:val="right"/>
              <w:rPr>
                <w:rFonts w:cstheme="minorHAnsi"/>
                <w:szCs w:val="18"/>
              </w:rPr>
            </w:pPr>
            <w:r w:rsidRPr="00502563">
              <w:rPr>
                <w:rFonts w:cstheme="minorHAnsi"/>
                <w:szCs w:val="18"/>
              </w:rPr>
              <w:t>1 dom kulture, 4 društvena doma, 1 dom DVD Budinščina, 1 lovački dom, 1 planinarski dom</w:t>
            </w:r>
          </w:p>
        </w:tc>
        <w:tc>
          <w:tcPr>
            <w:tcW w:w="684" w:type="dxa"/>
            <w:shd w:val="clear" w:color="auto" w:fill="FFFFFF" w:themeFill="background1"/>
            <w:noWrap/>
            <w:vAlign w:val="center"/>
          </w:tcPr>
          <w:p w14:paraId="4F5C65E0"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da</w:t>
            </w:r>
          </w:p>
        </w:tc>
        <w:tc>
          <w:tcPr>
            <w:tcW w:w="684" w:type="dxa"/>
            <w:shd w:val="clear" w:color="auto" w:fill="FFFFFF" w:themeFill="background1"/>
            <w:noWrap/>
            <w:vAlign w:val="center"/>
          </w:tcPr>
          <w:p w14:paraId="26BD1F70"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ne</w:t>
            </w:r>
          </w:p>
        </w:tc>
        <w:tc>
          <w:tcPr>
            <w:tcW w:w="820" w:type="dxa"/>
            <w:shd w:val="clear" w:color="auto" w:fill="FFFFFF" w:themeFill="background1"/>
            <w:noWrap/>
            <w:vAlign w:val="center"/>
          </w:tcPr>
          <w:p w14:paraId="406BD617" w14:textId="77777777" w:rsidR="00FE050F" w:rsidRPr="00502563" w:rsidRDefault="00FE050F" w:rsidP="004F6BD6">
            <w:pPr>
              <w:spacing w:after="0" w:line="240" w:lineRule="auto"/>
              <w:jc w:val="right"/>
              <w:rPr>
                <w:rFonts w:eastAsia="Times New Roman" w:cstheme="minorHAnsi"/>
                <w:color w:val="000000"/>
                <w:szCs w:val="18"/>
                <w:lang w:eastAsia="hr-HR"/>
              </w:rPr>
            </w:pPr>
            <w:r w:rsidRPr="00502563">
              <w:rPr>
                <w:rFonts w:cstheme="minorHAnsi"/>
                <w:szCs w:val="18"/>
              </w:rPr>
              <w:t>ne</w:t>
            </w:r>
          </w:p>
        </w:tc>
      </w:tr>
      <w:tr w:rsidR="00FE050F" w:rsidRPr="00502563" w14:paraId="7199F4F1" w14:textId="77777777" w:rsidTr="00C94190">
        <w:trPr>
          <w:trHeight w:val="256"/>
        </w:trPr>
        <w:tc>
          <w:tcPr>
            <w:tcW w:w="1418" w:type="dxa"/>
            <w:shd w:val="clear" w:color="auto" w:fill="E5E5E5" w:themeFill="text1" w:themeFillTint="33"/>
            <w:noWrap/>
            <w:vAlign w:val="center"/>
            <w:hideMark/>
          </w:tcPr>
          <w:p w14:paraId="39103965" w14:textId="7EA534CA"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Des</w:t>
            </w:r>
            <w:r w:rsidR="00E41ED7">
              <w:rPr>
                <w:rFonts w:eastAsia="Times New Roman" w:cstheme="minorHAnsi"/>
                <w:szCs w:val="18"/>
                <w:lang w:eastAsia="hr-HR"/>
              </w:rPr>
              <w:t>i</w:t>
            </w:r>
            <w:r w:rsidRPr="00502563">
              <w:rPr>
                <w:rFonts w:eastAsia="Times New Roman" w:cstheme="minorHAnsi"/>
                <w:szCs w:val="18"/>
                <w:lang w:eastAsia="hr-HR"/>
              </w:rPr>
              <w:t>nić</w:t>
            </w:r>
          </w:p>
        </w:tc>
        <w:tc>
          <w:tcPr>
            <w:tcW w:w="992" w:type="dxa"/>
            <w:shd w:val="clear" w:color="auto" w:fill="FFFFFF" w:themeFill="background1"/>
            <w:noWrap/>
          </w:tcPr>
          <w:p w14:paraId="3E76A578" w14:textId="77777777" w:rsidR="00FE050F" w:rsidRPr="00502563" w:rsidRDefault="00FE050F" w:rsidP="004F6BD6">
            <w:pPr>
              <w:spacing w:after="0" w:line="240" w:lineRule="auto"/>
              <w:jc w:val="right"/>
              <w:rPr>
                <w:rFonts w:cstheme="minorHAnsi"/>
                <w:szCs w:val="18"/>
              </w:rPr>
            </w:pPr>
            <w:r w:rsidRPr="00502563">
              <w:rPr>
                <w:rFonts w:cstheme="minorHAnsi"/>
                <w:szCs w:val="18"/>
              </w:rPr>
              <w:t>5</w:t>
            </w:r>
          </w:p>
        </w:tc>
        <w:tc>
          <w:tcPr>
            <w:tcW w:w="1009" w:type="dxa"/>
            <w:shd w:val="clear" w:color="auto" w:fill="FFFFFF" w:themeFill="background1"/>
            <w:noWrap/>
          </w:tcPr>
          <w:p w14:paraId="68B6B4E6" w14:textId="77777777" w:rsidR="00FE050F" w:rsidRPr="00502563" w:rsidRDefault="00FE050F" w:rsidP="004F6BD6">
            <w:pPr>
              <w:spacing w:after="0" w:line="240" w:lineRule="auto"/>
              <w:jc w:val="right"/>
              <w:rPr>
                <w:rFonts w:cstheme="minorHAnsi"/>
                <w:szCs w:val="18"/>
              </w:rPr>
            </w:pPr>
            <w:r w:rsidRPr="00502563">
              <w:rPr>
                <w:rFonts w:cstheme="minorHAnsi"/>
                <w:szCs w:val="18"/>
              </w:rPr>
              <w:t>4</w:t>
            </w:r>
          </w:p>
        </w:tc>
        <w:tc>
          <w:tcPr>
            <w:tcW w:w="957" w:type="dxa"/>
            <w:shd w:val="clear" w:color="auto" w:fill="FFFFFF" w:themeFill="background1"/>
            <w:noWrap/>
          </w:tcPr>
          <w:p w14:paraId="4446C042"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694A829C" w14:textId="77777777" w:rsidR="00FE050F" w:rsidRPr="00502563" w:rsidRDefault="00FE050F" w:rsidP="004F6BD6">
            <w:pPr>
              <w:spacing w:after="0" w:line="240" w:lineRule="auto"/>
              <w:jc w:val="right"/>
              <w:rPr>
                <w:rFonts w:cstheme="minorHAnsi"/>
                <w:szCs w:val="18"/>
              </w:rPr>
            </w:pPr>
            <w:r w:rsidRPr="00502563">
              <w:rPr>
                <w:rFonts w:cstheme="minorHAnsi"/>
                <w:szCs w:val="18"/>
              </w:rPr>
              <w:t xml:space="preserve">3 (Dom DVD Desinić, Lovački dom, prostorija za društvene djelatnosti iznad DV Tratinčica) </w:t>
            </w:r>
          </w:p>
        </w:tc>
        <w:tc>
          <w:tcPr>
            <w:tcW w:w="684" w:type="dxa"/>
            <w:shd w:val="clear" w:color="auto" w:fill="FFFFFF" w:themeFill="background1"/>
            <w:noWrap/>
            <w:vAlign w:val="center"/>
          </w:tcPr>
          <w:p w14:paraId="6A818452"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05BE1BFA"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694405A8"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61B67526" w14:textId="77777777" w:rsidTr="00C94190">
        <w:trPr>
          <w:trHeight w:val="256"/>
        </w:trPr>
        <w:tc>
          <w:tcPr>
            <w:tcW w:w="1418" w:type="dxa"/>
            <w:shd w:val="clear" w:color="auto" w:fill="E5E5E5" w:themeFill="text1" w:themeFillTint="33"/>
            <w:noWrap/>
            <w:vAlign w:val="center"/>
            <w:hideMark/>
          </w:tcPr>
          <w:p w14:paraId="3A56A581"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Donja Stubica</w:t>
            </w:r>
          </w:p>
        </w:tc>
        <w:tc>
          <w:tcPr>
            <w:tcW w:w="992" w:type="dxa"/>
            <w:shd w:val="clear" w:color="auto" w:fill="FFFFFF" w:themeFill="background1"/>
            <w:noWrap/>
          </w:tcPr>
          <w:p w14:paraId="29182BB1" w14:textId="77777777" w:rsidR="00FE050F" w:rsidRPr="00502563" w:rsidRDefault="00FE050F" w:rsidP="004F6BD6">
            <w:pPr>
              <w:spacing w:after="0" w:line="240" w:lineRule="auto"/>
              <w:jc w:val="right"/>
              <w:rPr>
                <w:rFonts w:cstheme="minorHAnsi"/>
                <w:szCs w:val="18"/>
              </w:rPr>
            </w:pPr>
            <w:r w:rsidRPr="00502563">
              <w:rPr>
                <w:rFonts w:cstheme="minorHAnsi"/>
                <w:szCs w:val="18"/>
              </w:rPr>
              <w:t>5</w:t>
            </w:r>
          </w:p>
        </w:tc>
        <w:tc>
          <w:tcPr>
            <w:tcW w:w="1009" w:type="dxa"/>
            <w:shd w:val="clear" w:color="auto" w:fill="FFFFFF" w:themeFill="background1"/>
            <w:noWrap/>
          </w:tcPr>
          <w:p w14:paraId="1F50F95F" w14:textId="77777777" w:rsidR="00FE050F" w:rsidRPr="00502563" w:rsidRDefault="00FE050F" w:rsidP="004F6BD6">
            <w:pPr>
              <w:spacing w:after="0" w:line="240" w:lineRule="auto"/>
              <w:jc w:val="right"/>
              <w:rPr>
                <w:rFonts w:cstheme="minorHAnsi"/>
                <w:szCs w:val="18"/>
              </w:rPr>
            </w:pPr>
            <w:r w:rsidRPr="00502563">
              <w:rPr>
                <w:rFonts w:cstheme="minorHAnsi"/>
                <w:szCs w:val="18"/>
              </w:rPr>
              <w:t>8</w:t>
            </w:r>
          </w:p>
        </w:tc>
        <w:tc>
          <w:tcPr>
            <w:tcW w:w="957" w:type="dxa"/>
            <w:shd w:val="clear" w:color="auto" w:fill="FFFFFF" w:themeFill="background1"/>
            <w:noWrap/>
          </w:tcPr>
          <w:p w14:paraId="007B83B6" w14:textId="77777777" w:rsidR="00FE050F" w:rsidRPr="00502563" w:rsidRDefault="00FE050F" w:rsidP="004F6BD6">
            <w:pPr>
              <w:spacing w:after="0" w:line="240" w:lineRule="auto"/>
              <w:jc w:val="right"/>
              <w:rPr>
                <w:rFonts w:cstheme="minorHAnsi"/>
                <w:szCs w:val="18"/>
              </w:rPr>
            </w:pPr>
            <w:r w:rsidRPr="00502563">
              <w:rPr>
                <w:rFonts w:cstheme="minorHAnsi"/>
                <w:szCs w:val="18"/>
              </w:rPr>
              <w:t xml:space="preserve">1 završena sportska dvorana </w:t>
            </w:r>
          </w:p>
        </w:tc>
        <w:tc>
          <w:tcPr>
            <w:tcW w:w="2873" w:type="dxa"/>
            <w:shd w:val="clear" w:color="auto" w:fill="FFFFFF" w:themeFill="background1"/>
            <w:noWrap/>
          </w:tcPr>
          <w:p w14:paraId="1D789A90" w14:textId="77777777" w:rsidR="00FE050F" w:rsidRPr="00502563" w:rsidRDefault="00FE050F" w:rsidP="004F6BD6">
            <w:pPr>
              <w:spacing w:after="0" w:line="240" w:lineRule="auto"/>
              <w:jc w:val="right"/>
              <w:rPr>
                <w:rFonts w:cstheme="minorHAnsi"/>
                <w:szCs w:val="18"/>
              </w:rPr>
            </w:pPr>
            <w:r w:rsidRPr="00502563">
              <w:rPr>
                <w:rFonts w:cstheme="minorHAnsi"/>
                <w:szCs w:val="18"/>
              </w:rPr>
              <w:t>1 dom kulture, 1 DVD dom, 7 društvenih domova (1 nije u funkciji), 1 pučko otvoreno učilište s knjižnicom, 1 multimedijalni centar</w:t>
            </w:r>
          </w:p>
        </w:tc>
        <w:tc>
          <w:tcPr>
            <w:tcW w:w="684" w:type="dxa"/>
            <w:shd w:val="clear" w:color="auto" w:fill="FFFFFF" w:themeFill="background1"/>
            <w:noWrap/>
            <w:vAlign w:val="center"/>
          </w:tcPr>
          <w:p w14:paraId="36CE37B1"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203B5B2E"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820" w:type="dxa"/>
            <w:shd w:val="clear" w:color="auto" w:fill="FFFFFF" w:themeFill="background1"/>
            <w:noWrap/>
            <w:vAlign w:val="center"/>
          </w:tcPr>
          <w:p w14:paraId="2025B5A6"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r>
      <w:tr w:rsidR="00FE050F" w:rsidRPr="00502563" w14:paraId="608495D4" w14:textId="77777777" w:rsidTr="00C94190">
        <w:trPr>
          <w:trHeight w:val="256"/>
        </w:trPr>
        <w:tc>
          <w:tcPr>
            <w:tcW w:w="1418" w:type="dxa"/>
            <w:shd w:val="clear" w:color="auto" w:fill="E5E5E5" w:themeFill="text1" w:themeFillTint="33"/>
            <w:noWrap/>
            <w:vAlign w:val="center"/>
            <w:hideMark/>
          </w:tcPr>
          <w:p w14:paraId="2FB91676"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Đurmanec</w:t>
            </w:r>
          </w:p>
        </w:tc>
        <w:tc>
          <w:tcPr>
            <w:tcW w:w="992" w:type="dxa"/>
            <w:shd w:val="clear" w:color="auto" w:fill="FFFFFF" w:themeFill="background1"/>
            <w:noWrap/>
          </w:tcPr>
          <w:p w14:paraId="6A9F76AB" w14:textId="77777777" w:rsidR="00FE050F" w:rsidRPr="00502563" w:rsidRDefault="00FE050F" w:rsidP="004F6BD6">
            <w:pPr>
              <w:spacing w:after="0" w:line="240" w:lineRule="auto"/>
              <w:jc w:val="right"/>
              <w:rPr>
                <w:rFonts w:cstheme="minorHAnsi"/>
                <w:szCs w:val="18"/>
              </w:rPr>
            </w:pPr>
            <w:r w:rsidRPr="00502563">
              <w:rPr>
                <w:rFonts w:cstheme="minorHAnsi"/>
                <w:szCs w:val="18"/>
              </w:rPr>
              <w:t>9</w:t>
            </w:r>
          </w:p>
        </w:tc>
        <w:tc>
          <w:tcPr>
            <w:tcW w:w="1009" w:type="dxa"/>
            <w:shd w:val="clear" w:color="auto" w:fill="FFFFFF" w:themeFill="background1"/>
            <w:noWrap/>
          </w:tcPr>
          <w:p w14:paraId="02987B1B"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957" w:type="dxa"/>
            <w:shd w:val="clear" w:color="auto" w:fill="FFFFFF" w:themeFill="background1"/>
            <w:noWrap/>
          </w:tcPr>
          <w:p w14:paraId="2EB76D63"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4DEC39BF" w14:textId="77777777" w:rsidR="00FE050F" w:rsidRPr="00502563" w:rsidRDefault="00FE050F" w:rsidP="004F6BD6">
            <w:pPr>
              <w:spacing w:after="0" w:line="240" w:lineRule="auto"/>
              <w:jc w:val="right"/>
              <w:rPr>
                <w:rFonts w:cstheme="minorHAnsi"/>
                <w:szCs w:val="18"/>
              </w:rPr>
            </w:pPr>
            <w:r w:rsidRPr="00502563">
              <w:rPr>
                <w:rFonts w:cstheme="minorHAnsi"/>
                <w:szCs w:val="18"/>
              </w:rPr>
              <w:t>1 DVD, Dom na Hromcu, zgrada stare šk. Kuhinje</w:t>
            </w:r>
          </w:p>
        </w:tc>
        <w:tc>
          <w:tcPr>
            <w:tcW w:w="684" w:type="dxa"/>
            <w:shd w:val="clear" w:color="auto" w:fill="FFFFFF" w:themeFill="background1"/>
            <w:noWrap/>
            <w:vAlign w:val="center"/>
          </w:tcPr>
          <w:p w14:paraId="7A702981"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3BF520E4"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45FB9B60"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3C374C32" w14:textId="77777777" w:rsidTr="00C94190">
        <w:trPr>
          <w:trHeight w:val="256"/>
        </w:trPr>
        <w:tc>
          <w:tcPr>
            <w:tcW w:w="1418" w:type="dxa"/>
            <w:shd w:val="clear" w:color="auto" w:fill="E5E5E5" w:themeFill="text1" w:themeFillTint="33"/>
            <w:noWrap/>
            <w:vAlign w:val="center"/>
            <w:hideMark/>
          </w:tcPr>
          <w:p w14:paraId="5974CBB1"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Gornja Stubica</w:t>
            </w:r>
          </w:p>
        </w:tc>
        <w:tc>
          <w:tcPr>
            <w:tcW w:w="992" w:type="dxa"/>
            <w:shd w:val="clear" w:color="auto" w:fill="FFFFFF" w:themeFill="background1"/>
            <w:noWrap/>
          </w:tcPr>
          <w:p w14:paraId="70B731CB" w14:textId="77777777" w:rsidR="00FE050F" w:rsidRPr="00502563" w:rsidRDefault="00FE050F" w:rsidP="004F6BD6">
            <w:pPr>
              <w:spacing w:after="0" w:line="240" w:lineRule="auto"/>
              <w:jc w:val="right"/>
              <w:rPr>
                <w:rFonts w:cstheme="minorHAnsi"/>
                <w:szCs w:val="18"/>
              </w:rPr>
            </w:pPr>
            <w:r w:rsidRPr="00502563">
              <w:rPr>
                <w:rFonts w:cstheme="minorHAnsi"/>
                <w:szCs w:val="18"/>
              </w:rPr>
              <w:t>7</w:t>
            </w:r>
          </w:p>
        </w:tc>
        <w:tc>
          <w:tcPr>
            <w:tcW w:w="1009" w:type="dxa"/>
            <w:shd w:val="clear" w:color="auto" w:fill="FFFFFF" w:themeFill="background1"/>
            <w:noWrap/>
          </w:tcPr>
          <w:p w14:paraId="3EFE398C"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957" w:type="dxa"/>
            <w:shd w:val="clear" w:color="auto" w:fill="FFFFFF" w:themeFill="background1"/>
            <w:noWrap/>
          </w:tcPr>
          <w:p w14:paraId="39F292FD"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29FDD9AA" w14:textId="77777777" w:rsidR="00FE050F" w:rsidRPr="00502563" w:rsidRDefault="00FE050F" w:rsidP="004F6BD6">
            <w:pPr>
              <w:spacing w:after="0" w:line="240" w:lineRule="auto"/>
              <w:jc w:val="right"/>
              <w:rPr>
                <w:rFonts w:cstheme="minorHAnsi"/>
                <w:szCs w:val="18"/>
              </w:rPr>
            </w:pPr>
            <w:r w:rsidRPr="00502563">
              <w:rPr>
                <w:rFonts w:cstheme="minorHAnsi"/>
                <w:szCs w:val="18"/>
              </w:rPr>
              <w:t>1 društveni dom, 1 zgrada stare škole, 1 lovački dom, 1 planinarski dom</w:t>
            </w:r>
          </w:p>
        </w:tc>
        <w:tc>
          <w:tcPr>
            <w:tcW w:w="684" w:type="dxa"/>
            <w:shd w:val="clear" w:color="auto" w:fill="FFFFFF" w:themeFill="background1"/>
            <w:noWrap/>
            <w:vAlign w:val="center"/>
          </w:tcPr>
          <w:p w14:paraId="0A941BDD"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6EFD9D3D"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12861098"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1A621782" w14:textId="77777777" w:rsidTr="00C94190">
        <w:trPr>
          <w:trHeight w:val="256"/>
        </w:trPr>
        <w:tc>
          <w:tcPr>
            <w:tcW w:w="1418" w:type="dxa"/>
            <w:shd w:val="clear" w:color="auto" w:fill="E5E5E5" w:themeFill="text1" w:themeFillTint="33"/>
            <w:noWrap/>
            <w:vAlign w:val="center"/>
            <w:hideMark/>
          </w:tcPr>
          <w:p w14:paraId="3072DDC0"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Hrašćina</w:t>
            </w:r>
          </w:p>
        </w:tc>
        <w:tc>
          <w:tcPr>
            <w:tcW w:w="992" w:type="dxa"/>
            <w:shd w:val="clear" w:color="auto" w:fill="FFFFFF" w:themeFill="background1"/>
            <w:noWrap/>
          </w:tcPr>
          <w:p w14:paraId="41B1E272"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1009" w:type="dxa"/>
            <w:shd w:val="clear" w:color="auto" w:fill="FFFFFF" w:themeFill="background1"/>
            <w:noWrap/>
          </w:tcPr>
          <w:p w14:paraId="60490521" w14:textId="77777777" w:rsidR="00FE050F" w:rsidRPr="00502563" w:rsidRDefault="00FE050F" w:rsidP="004F6BD6">
            <w:pPr>
              <w:spacing w:after="0" w:line="240" w:lineRule="auto"/>
              <w:jc w:val="right"/>
              <w:rPr>
                <w:rFonts w:cstheme="minorHAnsi"/>
                <w:szCs w:val="18"/>
              </w:rPr>
            </w:pPr>
            <w:r w:rsidRPr="00502563">
              <w:rPr>
                <w:rFonts w:cstheme="minorHAnsi"/>
                <w:szCs w:val="18"/>
              </w:rPr>
              <w:t>0</w:t>
            </w:r>
          </w:p>
        </w:tc>
        <w:tc>
          <w:tcPr>
            <w:tcW w:w="957" w:type="dxa"/>
            <w:shd w:val="clear" w:color="auto" w:fill="FFFFFF" w:themeFill="background1"/>
            <w:noWrap/>
          </w:tcPr>
          <w:p w14:paraId="6C56BB65" w14:textId="77777777" w:rsidR="00FE050F" w:rsidRPr="00502563" w:rsidRDefault="00FE050F" w:rsidP="004F6BD6">
            <w:pPr>
              <w:spacing w:after="0" w:line="240" w:lineRule="auto"/>
              <w:jc w:val="right"/>
              <w:rPr>
                <w:rFonts w:cstheme="minorHAnsi"/>
                <w:szCs w:val="18"/>
              </w:rPr>
            </w:pPr>
            <w:r w:rsidRPr="00502563">
              <w:rPr>
                <w:rFonts w:cstheme="minorHAnsi"/>
                <w:szCs w:val="18"/>
              </w:rPr>
              <w:t>u izgradnji</w:t>
            </w:r>
          </w:p>
        </w:tc>
        <w:tc>
          <w:tcPr>
            <w:tcW w:w="2873" w:type="dxa"/>
            <w:shd w:val="clear" w:color="auto" w:fill="FFFFFF" w:themeFill="background1"/>
            <w:noWrap/>
          </w:tcPr>
          <w:p w14:paraId="56600DEC" w14:textId="77777777" w:rsidR="00FE050F" w:rsidRPr="00502563" w:rsidRDefault="00FE050F" w:rsidP="004F6BD6">
            <w:pPr>
              <w:spacing w:after="0" w:line="240" w:lineRule="auto"/>
              <w:jc w:val="right"/>
              <w:rPr>
                <w:rFonts w:cstheme="minorHAnsi"/>
                <w:szCs w:val="18"/>
              </w:rPr>
            </w:pPr>
            <w:r w:rsidRPr="00502563">
              <w:rPr>
                <w:rFonts w:cstheme="minorHAnsi"/>
                <w:szCs w:val="18"/>
              </w:rPr>
              <w:t>1 DVD dom, 1 Lovački dom</w:t>
            </w:r>
          </w:p>
        </w:tc>
        <w:tc>
          <w:tcPr>
            <w:tcW w:w="684" w:type="dxa"/>
            <w:shd w:val="clear" w:color="auto" w:fill="FFFFFF" w:themeFill="background1"/>
            <w:noWrap/>
            <w:vAlign w:val="center"/>
          </w:tcPr>
          <w:p w14:paraId="3E02F6DE"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12C57E37"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3D87B61C"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3B503696" w14:textId="77777777" w:rsidTr="00C94190">
        <w:trPr>
          <w:trHeight w:val="256"/>
        </w:trPr>
        <w:tc>
          <w:tcPr>
            <w:tcW w:w="1418" w:type="dxa"/>
            <w:shd w:val="clear" w:color="auto" w:fill="E5E5E5" w:themeFill="text1" w:themeFillTint="33"/>
            <w:noWrap/>
            <w:vAlign w:val="center"/>
            <w:hideMark/>
          </w:tcPr>
          <w:p w14:paraId="402C86B5"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Hum na Sutli</w:t>
            </w:r>
          </w:p>
        </w:tc>
        <w:tc>
          <w:tcPr>
            <w:tcW w:w="992" w:type="dxa"/>
            <w:shd w:val="clear" w:color="auto" w:fill="FFFFFF" w:themeFill="background1"/>
            <w:noWrap/>
          </w:tcPr>
          <w:p w14:paraId="0738953D" w14:textId="77777777" w:rsidR="00FE050F" w:rsidRPr="00502563" w:rsidRDefault="00FE050F" w:rsidP="004F6BD6">
            <w:pPr>
              <w:spacing w:after="0" w:line="240" w:lineRule="auto"/>
              <w:jc w:val="right"/>
              <w:rPr>
                <w:rFonts w:cstheme="minorHAnsi"/>
                <w:szCs w:val="18"/>
              </w:rPr>
            </w:pPr>
            <w:r w:rsidRPr="00502563">
              <w:rPr>
                <w:rFonts w:cstheme="minorHAnsi"/>
                <w:szCs w:val="18"/>
              </w:rPr>
              <w:t>9</w:t>
            </w:r>
          </w:p>
        </w:tc>
        <w:tc>
          <w:tcPr>
            <w:tcW w:w="1009" w:type="dxa"/>
            <w:shd w:val="clear" w:color="auto" w:fill="FFFFFF" w:themeFill="background1"/>
            <w:noWrap/>
          </w:tcPr>
          <w:p w14:paraId="20C20394"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957" w:type="dxa"/>
            <w:shd w:val="clear" w:color="auto" w:fill="FFFFFF" w:themeFill="background1"/>
            <w:noWrap/>
          </w:tcPr>
          <w:p w14:paraId="4E100401"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57767FE4" w14:textId="77777777" w:rsidR="00FE050F" w:rsidRPr="00502563" w:rsidRDefault="00FE050F" w:rsidP="004F6BD6">
            <w:pPr>
              <w:spacing w:after="0" w:line="240" w:lineRule="auto"/>
              <w:jc w:val="right"/>
              <w:rPr>
                <w:rFonts w:cstheme="minorHAnsi"/>
                <w:szCs w:val="18"/>
              </w:rPr>
            </w:pPr>
            <w:r w:rsidRPr="00502563">
              <w:rPr>
                <w:rFonts w:cstheme="minorHAnsi"/>
                <w:szCs w:val="18"/>
              </w:rPr>
              <w:t>1 kino dvorana</w:t>
            </w:r>
          </w:p>
        </w:tc>
        <w:tc>
          <w:tcPr>
            <w:tcW w:w="684" w:type="dxa"/>
            <w:shd w:val="clear" w:color="auto" w:fill="FFFFFF" w:themeFill="background1"/>
            <w:noWrap/>
            <w:vAlign w:val="center"/>
          </w:tcPr>
          <w:p w14:paraId="78152C62"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5F54B4A5"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4FA30052"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434B6691" w14:textId="77777777" w:rsidTr="00C94190">
        <w:trPr>
          <w:trHeight w:val="256"/>
        </w:trPr>
        <w:tc>
          <w:tcPr>
            <w:tcW w:w="1418" w:type="dxa"/>
            <w:shd w:val="clear" w:color="auto" w:fill="E5E5E5" w:themeFill="text1" w:themeFillTint="33"/>
            <w:noWrap/>
            <w:vAlign w:val="center"/>
            <w:hideMark/>
          </w:tcPr>
          <w:p w14:paraId="0F4AE872"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Jesenje</w:t>
            </w:r>
          </w:p>
        </w:tc>
        <w:tc>
          <w:tcPr>
            <w:tcW w:w="992" w:type="dxa"/>
            <w:shd w:val="clear" w:color="auto" w:fill="FFFFFF" w:themeFill="background1"/>
            <w:noWrap/>
          </w:tcPr>
          <w:p w14:paraId="47C4099F" w14:textId="77777777" w:rsidR="00FE050F" w:rsidRPr="00502563" w:rsidRDefault="00FE050F" w:rsidP="004F6BD6">
            <w:pPr>
              <w:spacing w:after="0" w:line="240" w:lineRule="auto"/>
              <w:jc w:val="right"/>
              <w:rPr>
                <w:rFonts w:cstheme="minorHAnsi"/>
                <w:szCs w:val="18"/>
              </w:rPr>
            </w:pPr>
            <w:r w:rsidRPr="00502563">
              <w:rPr>
                <w:rFonts w:cstheme="minorHAnsi"/>
                <w:szCs w:val="18"/>
              </w:rPr>
              <w:t>4</w:t>
            </w:r>
          </w:p>
        </w:tc>
        <w:tc>
          <w:tcPr>
            <w:tcW w:w="1009" w:type="dxa"/>
            <w:shd w:val="clear" w:color="auto" w:fill="FFFFFF" w:themeFill="background1"/>
            <w:noWrap/>
          </w:tcPr>
          <w:p w14:paraId="46B1F90B"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957" w:type="dxa"/>
            <w:shd w:val="clear" w:color="auto" w:fill="FFFFFF" w:themeFill="background1"/>
            <w:noWrap/>
          </w:tcPr>
          <w:p w14:paraId="34AC047F"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46354C63" w14:textId="77777777" w:rsidR="00FE050F" w:rsidRPr="00502563" w:rsidRDefault="00FE050F" w:rsidP="004F6BD6">
            <w:pPr>
              <w:spacing w:after="0" w:line="240" w:lineRule="auto"/>
              <w:jc w:val="right"/>
              <w:rPr>
                <w:rFonts w:cstheme="minorHAnsi"/>
                <w:szCs w:val="18"/>
              </w:rPr>
            </w:pPr>
            <w:r w:rsidRPr="00502563">
              <w:rPr>
                <w:rFonts w:cstheme="minorHAnsi"/>
                <w:szCs w:val="18"/>
              </w:rPr>
              <w:t>1 dom kulture, 1 DVD dom, 1 Lovački dom, 1 dom uz igralište</w:t>
            </w:r>
          </w:p>
        </w:tc>
        <w:tc>
          <w:tcPr>
            <w:tcW w:w="684" w:type="dxa"/>
            <w:shd w:val="clear" w:color="auto" w:fill="FFFFFF" w:themeFill="background1"/>
            <w:noWrap/>
            <w:vAlign w:val="center"/>
          </w:tcPr>
          <w:p w14:paraId="05C03A0D"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3A7FAE29"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4F491F87"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3C94FB35" w14:textId="77777777" w:rsidTr="00C94190">
        <w:trPr>
          <w:trHeight w:val="256"/>
        </w:trPr>
        <w:tc>
          <w:tcPr>
            <w:tcW w:w="1418" w:type="dxa"/>
            <w:shd w:val="clear" w:color="auto" w:fill="E5E5E5" w:themeFill="text1" w:themeFillTint="33"/>
            <w:noWrap/>
            <w:vAlign w:val="center"/>
            <w:hideMark/>
          </w:tcPr>
          <w:p w14:paraId="3EAAB16D"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Klanjec</w:t>
            </w:r>
          </w:p>
        </w:tc>
        <w:tc>
          <w:tcPr>
            <w:tcW w:w="992" w:type="dxa"/>
            <w:shd w:val="clear" w:color="auto" w:fill="FFFFFF" w:themeFill="background1"/>
            <w:noWrap/>
          </w:tcPr>
          <w:p w14:paraId="356579E4" w14:textId="77777777" w:rsidR="00FE050F" w:rsidRPr="00502563" w:rsidRDefault="00FE050F" w:rsidP="004F6BD6">
            <w:pPr>
              <w:spacing w:after="0" w:line="240" w:lineRule="auto"/>
              <w:jc w:val="right"/>
              <w:rPr>
                <w:rFonts w:cstheme="minorHAnsi"/>
                <w:szCs w:val="18"/>
              </w:rPr>
            </w:pPr>
            <w:r w:rsidRPr="00502563">
              <w:rPr>
                <w:rFonts w:cstheme="minorHAnsi"/>
                <w:szCs w:val="18"/>
              </w:rPr>
              <w:t>6</w:t>
            </w:r>
          </w:p>
        </w:tc>
        <w:tc>
          <w:tcPr>
            <w:tcW w:w="1009" w:type="dxa"/>
            <w:shd w:val="clear" w:color="auto" w:fill="FFFFFF" w:themeFill="background1"/>
            <w:noWrap/>
          </w:tcPr>
          <w:p w14:paraId="1101EAC2" w14:textId="77777777" w:rsidR="00FE050F" w:rsidRPr="00502563" w:rsidRDefault="00FE050F" w:rsidP="004F6BD6">
            <w:pPr>
              <w:spacing w:after="0" w:line="240" w:lineRule="auto"/>
              <w:jc w:val="right"/>
              <w:rPr>
                <w:rFonts w:cstheme="minorHAnsi"/>
                <w:szCs w:val="18"/>
              </w:rPr>
            </w:pPr>
            <w:r w:rsidRPr="00502563">
              <w:rPr>
                <w:rFonts w:cstheme="minorHAnsi"/>
                <w:szCs w:val="18"/>
              </w:rPr>
              <w:t>4</w:t>
            </w:r>
          </w:p>
        </w:tc>
        <w:tc>
          <w:tcPr>
            <w:tcW w:w="957" w:type="dxa"/>
            <w:shd w:val="clear" w:color="auto" w:fill="FFFFFF" w:themeFill="background1"/>
            <w:noWrap/>
          </w:tcPr>
          <w:p w14:paraId="1197E088"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0A8D82E6" w14:textId="77777777" w:rsidR="00FE050F" w:rsidRPr="00502563" w:rsidRDefault="00FE050F" w:rsidP="004F6BD6">
            <w:pPr>
              <w:spacing w:after="0" w:line="240" w:lineRule="auto"/>
              <w:jc w:val="right"/>
              <w:rPr>
                <w:rFonts w:cstheme="minorHAnsi"/>
                <w:szCs w:val="18"/>
              </w:rPr>
            </w:pPr>
            <w:r w:rsidRPr="00502563">
              <w:rPr>
                <w:rFonts w:cstheme="minorHAnsi"/>
                <w:szCs w:val="18"/>
              </w:rPr>
              <w:t>4 DVD doma, 1 lovački dom, 1 gradska dvorana</w:t>
            </w:r>
          </w:p>
        </w:tc>
        <w:tc>
          <w:tcPr>
            <w:tcW w:w="684" w:type="dxa"/>
            <w:shd w:val="clear" w:color="auto" w:fill="FFFFFF" w:themeFill="background1"/>
            <w:noWrap/>
            <w:vAlign w:val="center"/>
          </w:tcPr>
          <w:p w14:paraId="71E35B96"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3A3D85E0"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820" w:type="dxa"/>
            <w:shd w:val="clear" w:color="auto" w:fill="FFFFFF" w:themeFill="background1"/>
            <w:noWrap/>
            <w:vAlign w:val="center"/>
          </w:tcPr>
          <w:p w14:paraId="6545A9EE"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r>
      <w:tr w:rsidR="00FE050F" w:rsidRPr="00502563" w14:paraId="4C9CDCE5" w14:textId="77777777" w:rsidTr="00C94190">
        <w:trPr>
          <w:trHeight w:val="256"/>
        </w:trPr>
        <w:tc>
          <w:tcPr>
            <w:tcW w:w="1418" w:type="dxa"/>
            <w:shd w:val="clear" w:color="auto" w:fill="E5E5E5" w:themeFill="text1" w:themeFillTint="33"/>
            <w:noWrap/>
            <w:vAlign w:val="center"/>
            <w:hideMark/>
          </w:tcPr>
          <w:p w14:paraId="3A7601BC"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Kraljevec na Sutli</w:t>
            </w:r>
          </w:p>
        </w:tc>
        <w:tc>
          <w:tcPr>
            <w:tcW w:w="992" w:type="dxa"/>
            <w:shd w:val="clear" w:color="auto" w:fill="FFFFFF" w:themeFill="background1"/>
            <w:noWrap/>
          </w:tcPr>
          <w:p w14:paraId="5C2D6F33" w14:textId="77777777" w:rsidR="00FE050F" w:rsidRPr="00502563" w:rsidRDefault="00FE050F" w:rsidP="004F6BD6">
            <w:pPr>
              <w:spacing w:after="0" w:line="240" w:lineRule="auto"/>
              <w:jc w:val="right"/>
              <w:rPr>
                <w:rFonts w:cstheme="minorHAnsi"/>
                <w:szCs w:val="18"/>
              </w:rPr>
            </w:pPr>
            <w:r w:rsidRPr="00502563">
              <w:rPr>
                <w:rFonts w:cstheme="minorHAnsi"/>
                <w:szCs w:val="18"/>
              </w:rPr>
              <w:t>2</w:t>
            </w:r>
          </w:p>
        </w:tc>
        <w:tc>
          <w:tcPr>
            <w:tcW w:w="1009" w:type="dxa"/>
            <w:shd w:val="clear" w:color="auto" w:fill="FFFFFF" w:themeFill="background1"/>
            <w:noWrap/>
          </w:tcPr>
          <w:p w14:paraId="560FD290" w14:textId="77777777" w:rsidR="00FE050F" w:rsidRPr="00502563" w:rsidRDefault="00FE050F" w:rsidP="004F6BD6">
            <w:pPr>
              <w:spacing w:after="0" w:line="240" w:lineRule="auto"/>
              <w:jc w:val="right"/>
              <w:rPr>
                <w:rFonts w:cstheme="minorHAnsi"/>
                <w:szCs w:val="18"/>
              </w:rPr>
            </w:pPr>
            <w:r w:rsidRPr="00502563">
              <w:rPr>
                <w:rFonts w:cstheme="minorHAnsi"/>
                <w:szCs w:val="18"/>
              </w:rPr>
              <w:t>4 ( 2 dječja igrališta u sklopu PŠ i OŠ + 2 dječja igrališta - naselja Draše i Gornji Čemehovec</w:t>
            </w:r>
          </w:p>
        </w:tc>
        <w:tc>
          <w:tcPr>
            <w:tcW w:w="957" w:type="dxa"/>
            <w:shd w:val="clear" w:color="auto" w:fill="FFFFFF" w:themeFill="background1"/>
            <w:noWrap/>
          </w:tcPr>
          <w:p w14:paraId="380DD2C0" w14:textId="77777777" w:rsidR="00FE050F" w:rsidRPr="00502563" w:rsidRDefault="00FE050F" w:rsidP="004F6BD6">
            <w:pPr>
              <w:spacing w:after="0" w:line="240" w:lineRule="auto"/>
              <w:jc w:val="right"/>
              <w:rPr>
                <w:rFonts w:cstheme="minorHAnsi"/>
                <w:szCs w:val="18"/>
              </w:rPr>
            </w:pPr>
            <w:r w:rsidRPr="00502563">
              <w:rPr>
                <w:rFonts w:cstheme="minorHAnsi"/>
                <w:szCs w:val="18"/>
              </w:rPr>
              <w:t>1 - sportska dvorana u sklopu OŠ Pavla Štoosa Kraljevec na Sutli</w:t>
            </w:r>
          </w:p>
        </w:tc>
        <w:tc>
          <w:tcPr>
            <w:tcW w:w="2873" w:type="dxa"/>
            <w:shd w:val="clear" w:color="auto" w:fill="FFFFFF" w:themeFill="background1"/>
            <w:noWrap/>
          </w:tcPr>
          <w:p w14:paraId="055AF3EF" w14:textId="77777777" w:rsidR="00FE050F" w:rsidRPr="00502563" w:rsidRDefault="00FE050F" w:rsidP="004F6BD6">
            <w:pPr>
              <w:spacing w:after="0" w:line="240" w:lineRule="auto"/>
              <w:jc w:val="right"/>
              <w:rPr>
                <w:rFonts w:cstheme="minorHAnsi"/>
                <w:szCs w:val="18"/>
              </w:rPr>
            </w:pPr>
            <w:r w:rsidRPr="00502563">
              <w:rPr>
                <w:rFonts w:cstheme="minorHAnsi"/>
                <w:szCs w:val="18"/>
              </w:rPr>
              <w:t>1 dom za puhački orkestar, 1 lovački dom, 6 DVD domova</w:t>
            </w:r>
          </w:p>
        </w:tc>
        <w:tc>
          <w:tcPr>
            <w:tcW w:w="684" w:type="dxa"/>
            <w:shd w:val="clear" w:color="auto" w:fill="FFFFFF" w:themeFill="background1"/>
            <w:noWrap/>
            <w:vAlign w:val="center"/>
          </w:tcPr>
          <w:p w14:paraId="0D4CC5AF"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55488458"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5A09FF88"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66734AEB" w14:textId="77777777" w:rsidTr="00C94190">
        <w:trPr>
          <w:trHeight w:val="256"/>
        </w:trPr>
        <w:tc>
          <w:tcPr>
            <w:tcW w:w="1418" w:type="dxa"/>
            <w:shd w:val="clear" w:color="auto" w:fill="E5E5E5" w:themeFill="text1" w:themeFillTint="33"/>
            <w:noWrap/>
            <w:vAlign w:val="center"/>
            <w:hideMark/>
          </w:tcPr>
          <w:p w14:paraId="38D32AE3"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Krapina</w:t>
            </w:r>
          </w:p>
        </w:tc>
        <w:tc>
          <w:tcPr>
            <w:tcW w:w="992" w:type="dxa"/>
            <w:shd w:val="clear" w:color="auto" w:fill="FFFFFF" w:themeFill="background1"/>
            <w:noWrap/>
          </w:tcPr>
          <w:p w14:paraId="18211D4F" w14:textId="77777777" w:rsidR="00FE050F" w:rsidRPr="00502563" w:rsidRDefault="00FE050F" w:rsidP="004F6BD6">
            <w:pPr>
              <w:spacing w:after="0" w:line="240" w:lineRule="auto"/>
              <w:jc w:val="right"/>
              <w:rPr>
                <w:rFonts w:cstheme="minorHAnsi"/>
                <w:szCs w:val="18"/>
              </w:rPr>
            </w:pPr>
            <w:r w:rsidRPr="00502563">
              <w:rPr>
                <w:rFonts w:cstheme="minorHAnsi"/>
                <w:szCs w:val="18"/>
              </w:rPr>
              <w:t>19</w:t>
            </w:r>
          </w:p>
        </w:tc>
        <w:tc>
          <w:tcPr>
            <w:tcW w:w="1009" w:type="dxa"/>
            <w:shd w:val="clear" w:color="auto" w:fill="FFFFFF" w:themeFill="background1"/>
            <w:noWrap/>
          </w:tcPr>
          <w:p w14:paraId="496E272E" w14:textId="77777777" w:rsidR="00FE050F" w:rsidRPr="00502563" w:rsidRDefault="00FE050F" w:rsidP="004F6BD6">
            <w:pPr>
              <w:spacing w:after="0" w:line="240" w:lineRule="auto"/>
              <w:jc w:val="right"/>
              <w:rPr>
                <w:rFonts w:cstheme="minorHAnsi"/>
                <w:szCs w:val="18"/>
              </w:rPr>
            </w:pPr>
            <w:r w:rsidRPr="00502563">
              <w:rPr>
                <w:rFonts w:cstheme="minorHAnsi"/>
                <w:szCs w:val="18"/>
              </w:rPr>
              <w:t>18</w:t>
            </w:r>
          </w:p>
        </w:tc>
        <w:tc>
          <w:tcPr>
            <w:tcW w:w="957" w:type="dxa"/>
            <w:shd w:val="clear" w:color="auto" w:fill="FFFFFF" w:themeFill="background1"/>
            <w:noWrap/>
          </w:tcPr>
          <w:p w14:paraId="21E1F47E"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2873" w:type="dxa"/>
            <w:shd w:val="clear" w:color="auto" w:fill="FFFFFF" w:themeFill="background1"/>
            <w:noWrap/>
          </w:tcPr>
          <w:p w14:paraId="746D4503" w14:textId="77777777" w:rsidR="00FE050F" w:rsidRPr="00502563" w:rsidRDefault="00FE050F" w:rsidP="004F6BD6">
            <w:pPr>
              <w:spacing w:after="0" w:line="240" w:lineRule="auto"/>
              <w:jc w:val="right"/>
              <w:rPr>
                <w:rFonts w:cstheme="minorHAnsi"/>
                <w:szCs w:val="18"/>
              </w:rPr>
            </w:pPr>
            <w:r w:rsidRPr="00502563">
              <w:rPr>
                <w:rFonts w:cstheme="minorHAnsi"/>
                <w:szCs w:val="18"/>
              </w:rPr>
              <w:t>pučko otvoreno učilište</w:t>
            </w:r>
          </w:p>
        </w:tc>
        <w:tc>
          <w:tcPr>
            <w:tcW w:w="684" w:type="dxa"/>
            <w:shd w:val="clear" w:color="auto" w:fill="FFFFFF" w:themeFill="background1"/>
            <w:noWrap/>
            <w:vAlign w:val="center"/>
          </w:tcPr>
          <w:p w14:paraId="1EFD699F"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7AC9B108"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820" w:type="dxa"/>
            <w:shd w:val="clear" w:color="auto" w:fill="FFFFFF" w:themeFill="background1"/>
            <w:noWrap/>
            <w:vAlign w:val="center"/>
          </w:tcPr>
          <w:p w14:paraId="2699698F"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r>
      <w:tr w:rsidR="00FE050F" w:rsidRPr="00502563" w14:paraId="298C6CC8" w14:textId="77777777" w:rsidTr="00C94190">
        <w:trPr>
          <w:trHeight w:val="256"/>
        </w:trPr>
        <w:tc>
          <w:tcPr>
            <w:tcW w:w="1418" w:type="dxa"/>
            <w:shd w:val="clear" w:color="auto" w:fill="E5E5E5" w:themeFill="text1" w:themeFillTint="33"/>
            <w:noWrap/>
            <w:vAlign w:val="center"/>
            <w:hideMark/>
          </w:tcPr>
          <w:p w14:paraId="700E0D82"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Krapinske toplice</w:t>
            </w:r>
          </w:p>
        </w:tc>
        <w:tc>
          <w:tcPr>
            <w:tcW w:w="992" w:type="dxa"/>
            <w:shd w:val="clear" w:color="auto" w:fill="FFFFFF" w:themeFill="background1"/>
            <w:noWrap/>
          </w:tcPr>
          <w:p w14:paraId="662922E5" w14:textId="77777777" w:rsidR="00FE050F" w:rsidRPr="00502563" w:rsidRDefault="00FE050F" w:rsidP="004F6BD6">
            <w:pPr>
              <w:spacing w:after="0" w:line="240" w:lineRule="auto"/>
              <w:jc w:val="right"/>
              <w:rPr>
                <w:rFonts w:cstheme="minorHAnsi"/>
                <w:szCs w:val="18"/>
              </w:rPr>
            </w:pPr>
            <w:r w:rsidRPr="00502563">
              <w:rPr>
                <w:rFonts w:cstheme="minorHAnsi"/>
                <w:szCs w:val="18"/>
              </w:rPr>
              <w:t>10</w:t>
            </w:r>
          </w:p>
        </w:tc>
        <w:tc>
          <w:tcPr>
            <w:tcW w:w="1009" w:type="dxa"/>
            <w:shd w:val="clear" w:color="auto" w:fill="FFFFFF" w:themeFill="background1"/>
            <w:noWrap/>
          </w:tcPr>
          <w:p w14:paraId="532C8FF8" w14:textId="70B0180C" w:rsidR="00FE050F" w:rsidRPr="00502563" w:rsidRDefault="00FE050F" w:rsidP="004F6BD6">
            <w:pPr>
              <w:spacing w:after="0" w:line="240" w:lineRule="auto"/>
              <w:jc w:val="right"/>
              <w:rPr>
                <w:rFonts w:cstheme="minorHAnsi"/>
                <w:szCs w:val="18"/>
              </w:rPr>
            </w:pPr>
            <w:r w:rsidRPr="00502563">
              <w:rPr>
                <w:rFonts w:cstheme="minorHAnsi"/>
                <w:szCs w:val="18"/>
              </w:rPr>
              <w:t xml:space="preserve">4 (po jedno igralište: </w:t>
            </w:r>
            <w:r w:rsidRPr="00502563">
              <w:rPr>
                <w:rFonts w:cstheme="minorHAnsi"/>
                <w:szCs w:val="18"/>
              </w:rPr>
              <w:lastRenderedPageBreak/>
              <w:t>osnovna škola, Centar za odgoj i usmjereno obrazo</w:t>
            </w:r>
            <w:r w:rsidR="004F6BD6" w:rsidRPr="00502563">
              <w:rPr>
                <w:rFonts w:cstheme="minorHAnsi"/>
                <w:szCs w:val="18"/>
              </w:rPr>
              <w:t>-</w:t>
            </w:r>
            <w:r w:rsidRPr="00502563">
              <w:rPr>
                <w:rFonts w:cstheme="minorHAnsi"/>
                <w:szCs w:val="18"/>
              </w:rPr>
              <w:t>v</w:t>
            </w:r>
            <w:r w:rsidR="004F6BD6" w:rsidRPr="00502563">
              <w:rPr>
                <w:rFonts w:cstheme="minorHAnsi"/>
                <w:szCs w:val="18"/>
              </w:rPr>
              <w:t>a</w:t>
            </w:r>
            <w:r w:rsidRPr="00502563">
              <w:rPr>
                <w:rFonts w:cstheme="minorHAnsi"/>
                <w:szCs w:val="18"/>
              </w:rPr>
              <w:t>nje, te 2 dječja igrališta u vlasni</w:t>
            </w:r>
            <w:r w:rsidR="004F6BD6" w:rsidRPr="00502563">
              <w:rPr>
                <w:rFonts w:cstheme="minorHAnsi"/>
                <w:szCs w:val="18"/>
              </w:rPr>
              <w:t>-</w:t>
            </w:r>
            <w:r w:rsidRPr="00502563">
              <w:rPr>
                <w:rFonts w:cstheme="minorHAnsi"/>
                <w:szCs w:val="18"/>
              </w:rPr>
              <w:t xml:space="preserve">štvu udruga) </w:t>
            </w:r>
          </w:p>
        </w:tc>
        <w:tc>
          <w:tcPr>
            <w:tcW w:w="957" w:type="dxa"/>
            <w:shd w:val="clear" w:color="auto" w:fill="FFFFFF" w:themeFill="background1"/>
            <w:noWrap/>
          </w:tcPr>
          <w:p w14:paraId="6F9C02B2" w14:textId="77777777" w:rsidR="00FE050F" w:rsidRPr="00502563" w:rsidRDefault="00FE050F" w:rsidP="004F6BD6">
            <w:pPr>
              <w:spacing w:after="0" w:line="240" w:lineRule="auto"/>
              <w:jc w:val="right"/>
              <w:rPr>
                <w:rFonts w:cstheme="minorHAnsi"/>
                <w:szCs w:val="18"/>
              </w:rPr>
            </w:pPr>
            <w:r w:rsidRPr="00502563">
              <w:rPr>
                <w:rFonts w:cstheme="minorHAnsi"/>
                <w:szCs w:val="18"/>
              </w:rPr>
              <w:lastRenderedPageBreak/>
              <w:t xml:space="preserve">1 ( u osnovnoj školi), u </w:t>
            </w:r>
            <w:r w:rsidRPr="00502563">
              <w:rPr>
                <w:rFonts w:cstheme="minorHAnsi"/>
                <w:szCs w:val="18"/>
              </w:rPr>
              <w:lastRenderedPageBreak/>
              <w:t>planu izgradnja nove dvorane u osnovnoj školi</w:t>
            </w:r>
          </w:p>
        </w:tc>
        <w:tc>
          <w:tcPr>
            <w:tcW w:w="2873" w:type="dxa"/>
            <w:shd w:val="clear" w:color="auto" w:fill="FFFFFF" w:themeFill="background1"/>
            <w:noWrap/>
          </w:tcPr>
          <w:p w14:paraId="4F204C31" w14:textId="77777777" w:rsidR="00FE050F" w:rsidRPr="00502563" w:rsidRDefault="00FE050F" w:rsidP="004F6BD6">
            <w:pPr>
              <w:spacing w:after="0" w:line="240" w:lineRule="auto"/>
              <w:jc w:val="right"/>
              <w:rPr>
                <w:rFonts w:cstheme="minorHAnsi"/>
                <w:szCs w:val="18"/>
              </w:rPr>
            </w:pPr>
            <w:r w:rsidRPr="00502563">
              <w:rPr>
                <w:rFonts w:cstheme="minorHAnsi"/>
                <w:szCs w:val="18"/>
              </w:rPr>
              <w:lastRenderedPageBreak/>
              <w:t xml:space="preserve">1 dom kulture s kino dvoranom (u izradi projektna dokumentacija za rekonstrukciju i prenamjenu u </w:t>
            </w:r>
            <w:r w:rsidRPr="00502563">
              <w:rPr>
                <w:rFonts w:cstheme="minorHAnsi"/>
                <w:szCs w:val="18"/>
              </w:rPr>
              <w:lastRenderedPageBreak/>
              <w:t>multimedijalni centar), 2 društvena doma, 1 lovački dom, 2 vatrogasna doma, izrađena projektna dokumentacija i ishođena građevinska dozvola za gradnju vatrogasnog doma za DVD K. Toplice, u postupku prijava na natječaj za bespovratna sredstva, 2 društvena doma u vlasništvu udruga</w:t>
            </w:r>
          </w:p>
        </w:tc>
        <w:tc>
          <w:tcPr>
            <w:tcW w:w="684" w:type="dxa"/>
            <w:shd w:val="clear" w:color="auto" w:fill="FFFFFF" w:themeFill="background1"/>
            <w:noWrap/>
            <w:vAlign w:val="center"/>
          </w:tcPr>
          <w:p w14:paraId="2517D270" w14:textId="77777777" w:rsidR="00FE050F" w:rsidRPr="00502563" w:rsidRDefault="00FE050F" w:rsidP="004F6BD6">
            <w:pPr>
              <w:spacing w:after="0" w:line="240" w:lineRule="auto"/>
              <w:jc w:val="right"/>
              <w:rPr>
                <w:rFonts w:cstheme="minorHAnsi"/>
                <w:szCs w:val="18"/>
              </w:rPr>
            </w:pPr>
            <w:r w:rsidRPr="00502563">
              <w:rPr>
                <w:rFonts w:cstheme="minorHAnsi"/>
                <w:szCs w:val="18"/>
              </w:rPr>
              <w:lastRenderedPageBreak/>
              <w:t>da</w:t>
            </w:r>
          </w:p>
        </w:tc>
        <w:tc>
          <w:tcPr>
            <w:tcW w:w="684" w:type="dxa"/>
            <w:shd w:val="clear" w:color="auto" w:fill="FFFFFF" w:themeFill="background1"/>
            <w:noWrap/>
            <w:vAlign w:val="center"/>
          </w:tcPr>
          <w:p w14:paraId="1DF0D5FA"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3B4D8FA4"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356F9B3C" w14:textId="77777777" w:rsidTr="00C94190">
        <w:trPr>
          <w:trHeight w:val="256"/>
        </w:trPr>
        <w:tc>
          <w:tcPr>
            <w:tcW w:w="1418" w:type="dxa"/>
            <w:shd w:val="clear" w:color="auto" w:fill="E5E5E5" w:themeFill="text1" w:themeFillTint="33"/>
            <w:noWrap/>
            <w:vAlign w:val="center"/>
            <w:hideMark/>
          </w:tcPr>
          <w:p w14:paraId="0B360535" w14:textId="0E7886FD"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Konjš</w:t>
            </w:r>
            <w:r w:rsidR="00E41ED7">
              <w:rPr>
                <w:rFonts w:eastAsia="Times New Roman" w:cstheme="minorHAnsi"/>
                <w:szCs w:val="18"/>
                <w:lang w:eastAsia="hr-HR"/>
              </w:rPr>
              <w:t>č</w:t>
            </w:r>
            <w:r w:rsidRPr="00502563">
              <w:rPr>
                <w:rFonts w:eastAsia="Times New Roman" w:cstheme="minorHAnsi"/>
                <w:szCs w:val="18"/>
                <w:lang w:eastAsia="hr-HR"/>
              </w:rPr>
              <w:t>ina</w:t>
            </w:r>
          </w:p>
        </w:tc>
        <w:tc>
          <w:tcPr>
            <w:tcW w:w="992" w:type="dxa"/>
            <w:shd w:val="clear" w:color="auto" w:fill="FFFFFF" w:themeFill="background1"/>
            <w:noWrap/>
          </w:tcPr>
          <w:p w14:paraId="32727FD9" w14:textId="77777777" w:rsidR="00FE050F" w:rsidRPr="00502563" w:rsidRDefault="00FE050F" w:rsidP="004F6BD6">
            <w:pPr>
              <w:spacing w:after="0" w:line="240" w:lineRule="auto"/>
              <w:jc w:val="right"/>
              <w:rPr>
                <w:rFonts w:cstheme="minorHAnsi"/>
                <w:szCs w:val="18"/>
              </w:rPr>
            </w:pPr>
            <w:r w:rsidRPr="00502563">
              <w:rPr>
                <w:rFonts w:cstheme="minorHAnsi"/>
                <w:szCs w:val="18"/>
              </w:rPr>
              <w:t>2</w:t>
            </w:r>
          </w:p>
        </w:tc>
        <w:tc>
          <w:tcPr>
            <w:tcW w:w="1009" w:type="dxa"/>
            <w:shd w:val="clear" w:color="auto" w:fill="FFFFFF" w:themeFill="background1"/>
            <w:noWrap/>
          </w:tcPr>
          <w:p w14:paraId="6D9F6725" w14:textId="77777777" w:rsidR="00FE050F" w:rsidRPr="00502563" w:rsidRDefault="00FE050F" w:rsidP="004F6BD6">
            <w:pPr>
              <w:spacing w:after="0" w:line="240" w:lineRule="auto"/>
              <w:jc w:val="right"/>
              <w:rPr>
                <w:rFonts w:cstheme="minorHAnsi"/>
                <w:szCs w:val="18"/>
              </w:rPr>
            </w:pPr>
            <w:r w:rsidRPr="00502563">
              <w:rPr>
                <w:rFonts w:cstheme="minorHAnsi"/>
                <w:szCs w:val="18"/>
              </w:rPr>
              <w:t>2</w:t>
            </w:r>
          </w:p>
        </w:tc>
        <w:tc>
          <w:tcPr>
            <w:tcW w:w="957" w:type="dxa"/>
            <w:shd w:val="clear" w:color="auto" w:fill="FFFFFF" w:themeFill="background1"/>
            <w:noWrap/>
          </w:tcPr>
          <w:p w14:paraId="1744E2F1"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48C2EBA0" w14:textId="77777777" w:rsidR="00FE050F" w:rsidRPr="00502563" w:rsidRDefault="00FE050F" w:rsidP="004F6BD6">
            <w:pPr>
              <w:spacing w:after="0" w:line="240" w:lineRule="auto"/>
              <w:jc w:val="right"/>
              <w:rPr>
                <w:rFonts w:cstheme="minorHAnsi"/>
                <w:szCs w:val="18"/>
              </w:rPr>
            </w:pPr>
            <w:r w:rsidRPr="00502563">
              <w:rPr>
                <w:rFonts w:cstheme="minorHAnsi"/>
                <w:szCs w:val="18"/>
              </w:rPr>
              <w:t>1 + 5 društvenih domova po Mjesnim odborima</w:t>
            </w:r>
          </w:p>
        </w:tc>
        <w:tc>
          <w:tcPr>
            <w:tcW w:w="684" w:type="dxa"/>
            <w:shd w:val="clear" w:color="auto" w:fill="FFFFFF" w:themeFill="background1"/>
            <w:noWrap/>
            <w:vAlign w:val="center"/>
          </w:tcPr>
          <w:p w14:paraId="78D63C2D"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4DCF8F7F"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2EC0CC6F"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26032476" w14:textId="77777777" w:rsidTr="00C94190">
        <w:trPr>
          <w:trHeight w:val="256"/>
        </w:trPr>
        <w:tc>
          <w:tcPr>
            <w:tcW w:w="1418" w:type="dxa"/>
            <w:shd w:val="clear" w:color="auto" w:fill="E5E5E5" w:themeFill="text1" w:themeFillTint="33"/>
            <w:noWrap/>
            <w:vAlign w:val="center"/>
            <w:hideMark/>
          </w:tcPr>
          <w:p w14:paraId="15A32FA1"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Kumrovec</w:t>
            </w:r>
          </w:p>
        </w:tc>
        <w:tc>
          <w:tcPr>
            <w:tcW w:w="992" w:type="dxa"/>
            <w:shd w:val="clear" w:color="auto" w:fill="FFFFFF" w:themeFill="background1"/>
            <w:noWrap/>
          </w:tcPr>
          <w:p w14:paraId="3066FD5E" w14:textId="77777777" w:rsidR="00FE050F" w:rsidRPr="00502563" w:rsidRDefault="00FE050F" w:rsidP="004F6BD6">
            <w:pPr>
              <w:spacing w:after="0" w:line="240" w:lineRule="auto"/>
              <w:jc w:val="right"/>
              <w:rPr>
                <w:rFonts w:cstheme="minorHAnsi"/>
                <w:szCs w:val="18"/>
              </w:rPr>
            </w:pPr>
            <w:r w:rsidRPr="00502563">
              <w:rPr>
                <w:rFonts w:cstheme="minorHAnsi"/>
                <w:szCs w:val="18"/>
              </w:rPr>
              <w:t>5</w:t>
            </w:r>
          </w:p>
        </w:tc>
        <w:tc>
          <w:tcPr>
            <w:tcW w:w="1009" w:type="dxa"/>
            <w:shd w:val="clear" w:color="auto" w:fill="FFFFFF" w:themeFill="background1"/>
            <w:noWrap/>
          </w:tcPr>
          <w:p w14:paraId="7A12DCBB" w14:textId="77777777" w:rsidR="00FE050F" w:rsidRPr="00502563" w:rsidRDefault="00FE050F" w:rsidP="004F6BD6">
            <w:pPr>
              <w:spacing w:after="0" w:line="240" w:lineRule="auto"/>
              <w:jc w:val="right"/>
              <w:rPr>
                <w:rFonts w:cstheme="minorHAnsi"/>
                <w:szCs w:val="18"/>
              </w:rPr>
            </w:pPr>
            <w:r w:rsidRPr="00502563">
              <w:rPr>
                <w:rFonts w:cstheme="minorHAnsi"/>
                <w:szCs w:val="18"/>
              </w:rPr>
              <w:t>2</w:t>
            </w:r>
          </w:p>
        </w:tc>
        <w:tc>
          <w:tcPr>
            <w:tcW w:w="957" w:type="dxa"/>
            <w:shd w:val="clear" w:color="auto" w:fill="FFFFFF" w:themeFill="background1"/>
            <w:noWrap/>
          </w:tcPr>
          <w:p w14:paraId="40AAED1E"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7857630C" w14:textId="77777777" w:rsidR="00FE050F" w:rsidRPr="00502563" w:rsidRDefault="00FE050F" w:rsidP="004F6BD6">
            <w:pPr>
              <w:spacing w:after="0" w:line="240" w:lineRule="auto"/>
              <w:jc w:val="right"/>
              <w:rPr>
                <w:rFonts w:cstheme="minorHAnsi"/>
                <w:szCs w:val="18"/>
              </w:rPr>
            </w:pPr>
            <w:r w:rsidRPr="00502563">
              <w:rPr>
                <w:rFonts w:cstheme="minorHAnsi"/>
                <w:szCs w:val="18"/>
              </w:rPr>
              <w:t>1 dom kulture u postupku izrade, 1 centar za posjetitelje - otvorenje očekujemo krajem mjeseca studenog 2019. godine</w:t>
            </w:r>
          </w:p>
        </w:tc>
        <w:tc>
          <w:tcPr>
            <w:tcW w:w="684" w:type="dxa"/>
            <w:shd w:val="clear" w:color="auto" w:fill="FFFFFF" w:themeFill="background1"/>
            <w:noWrap/>
            <w:vAlign w:val="center"/>
          </w:tcPr>
          <w:p w14:paraId="4B7FCAAE"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008F50DA"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151D744B"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63729AC7" w14:textId="77777777" w:rsidTr="00C94190">
        <w:trPr>
          <w:trHeight w:val="256"/>
        </w:trPr>
        <w:tc>
          <w:tcPr>
            <w:tcW w:w="1418" w:type="dxa"/>
            <w:shd w:val="clear" w:color="auto" w:fill="E5E5E5" w:themeFill="text1" w:themeFillTint="33"/>
            <w:noWrap/>
            <w:vAlign w:val="center"/>
            <w:hideMark/>
          </w:tcPr>
          <w:p w14:paraId="619A7F38"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Lobor</w:t>
            </w:r>
          </w:p>
        </w:tc>
        <w:tc>
          <w:tcPr>
            <w:tcW w:w="992" w:type="dxa"/>
            <w:shd w:val="clear" w:color="auto" w:fill="FFFFFF" w:themeFill="background1"/>
            <w:noWrap/>
          </w:tcPr>
          <w:p w14:paraId="7F0F8050" w14:textId="77777777" w:rsidR="00FE050F" w:rsidRPr="00502563" w:rsidRDefault="00FE050F" w:rsidP="004F6BD6">
            <w:pPr>
              <w:spacing w:after="0" w:line="240" w:lineRule="auto"/>
              <w:jc w:val="right"/>
              <w:rPr>
                <w:rFonts w:cstheme="minorHAnsi"/>
                <w:szCs w:val="18"/>
              </w:rPr>
            </w:pPr>
            <w:r w:rsidRPr="00502563">
              <w:rPr>
                <w:rFonts w:cstheme="minorHAnsi"/>
                <w:szCs w:val="18"/>
              </w:rPr>
              <w:t>6</w:t>
            </w:r>
          </w:p>
        </w:tc>
        <w:tc>
          <w:tcPr>
            <w:tcW w:w="1009" w:type="dxa"/>
            <w:shd w:val="clear" w:color="auto" w:fill="FFFFFF" w:themeFill="background1"/>
            <w:noWrap/>
          </w:tcPr>
          <w:p w14:paraId="10BA740D" w14:textId="77777777" w:rsidR="00FE050F" w:rsidRPr="00502563" w:rsidRDefault="00FE050F" w:rsidP="004F6BD6">
            <w:pPr>
              <w:spacing w:after="0" w:line="240" w:lineRule="auto"/>
              <w:jc w:val="right"/>
              <w:rPr>
                <w:rFonts w:cstheme="minorHAnsi"/>
                <w:szCs w:val="18"/>
              </w:rPr>
            </w:pPr>
            <w:r w:rsidRPr="00502563">
              <w:rPr>
                <w:rFonts w:cstheme="minorHAnsi"/>
                <w:szCs w:val="18"/>
              </w:rPr>
              <w:t>2</w:t>
            </w:r>
          </w:p>
        </w:tc>
        <w:tc>
          <w:tcPr>
            <w:tcW w:w="957" w:type="dxa"/>
            <w:shd w:val="clear" w:color="auto" w:fill="FFFFFF" w:themeFill="background1"/>
            <w:noWrap/>
          </w:tcPr>
          <w:p w14:paraId="5C02DB48"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74A33AB6" w14:textId="77777777" w:rsidR="00FE050F" w:rsidRPr="00502563" w:rsidRDefault="00FE050F" w:rsidP="004F6BD6">
            <w:pPr>
              <w:spacing w:after="0" w:line="240" w:lineRule="auto"/>
              <w:jc w:val="right"/>
              <w:rPr>
                <w:rFonts w:cstheme="minorHAnsi"/>
                <w:szCs w:val="18"/>
              </w:rPr>
            </w:pPr>
            <w:r w:rsidRPr="00502563">
              <w:rPr>
                <w:rFonts w:cstheme="minorHAnsi"/>
                <w:szCs w:val="18"/>
              </w:rPr>
              <w:t>4</w:t>
            </w:r>
          </w:p>
        </w:tc>
        <w:tc>
          <w:tcPr>
            <w:tcW w:w="684" w:type="dxa"/>
            <w:shd w:val="clear" w:color="auto" w:fill="FFFFFF" w:themeFill="background1"/>
            <w:noWrap/>
            <w:vAlign w:val="center"/>
          </w:tcPr>
          <w:p w14:paraId="351044FD"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4C3374E7"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6D189755"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0CD889A1" w14:textId="77777777" w:rsidTr="00C94190">
        <w:trPr>
          <w:trHeight w:val="256"/>
        </w:trPr>
        <w:tc>
          <w:tcPr>
            <w:tcW w:w="1418" w:type="dxa"/>
            <w:shd w:val="clear" w:color="auto" w:fill="E5E5E5" w:themeFill="text1" w:themeFillTint="33"/>
            <w:noWrap/>
            <w:vAlign w:val="center"/>
            <w:hideMark/>
          </w:tcPr>
          <w:p w14:paraId="3EA8AAB8"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Mače</w:t>
            </w:r>
          </w:p>
        </w:tc>
        <w:tc>
          <w:tcPr>
            <w:tcW w:w="992" w:type="dxa"/>
            <w:shd w:val="clear" w:color="auto" w:fill="FFFFFF" w:themeFill="background1"/>
            <w:noWrap/>
          </w:tcPr>
          <w:p w14:paraId="67AA3A4B" w14:textId="77777777" w:rsidR="00FE050F" w:rsidRPr="00502563" w:rsidRDefault="00FE050F" w:rsidP="004F6BD6">
            <w:pPr>
              <w:spacing w:after="0" w:line="240" w:lineRule="auto"/>
              <w:jc w:val="right"/>
              <w:rPr>
                <w:rFonts w:cstheme="minorHAnsi"/>
                <w:szCs w:val="18"/>
              </w:rPr>
            </w:pPr>
            <w:r w:rsidRPr="00502563">
              <w:rPr>
                <w:rFonts w:cstheme="minorHAnsi"/>
                <w:szCs w:val="18"/>
              </w:rPr>
              <w:t>5</w:t>
            </w:r>
          </w:p>
        </w:tc>
        <w:tc>
          <w:tcPr>
            <w:tcW w:w="1009" w:type="dxa"/>
            <w:shd w:val="clear" w:color="auto" w:fill="FFFFFF" w:themeFill="background1"/>
            <w:noWrap/>
          </w:tcPr>
          <w:p w14:paraId="088B4D34" w14:textId="77777777" w:rsidR="00FE050F" w:rsidRPr="00502563" w:rsidRDefault="00FE050F" w:rsidP="004F6BD6">
            <w:pPr>
              <w:spacing w:after="0" w:line="240" w:lineRule="auto"/>
              <w:jc w:val="right"/>
              <w:rPr>
                <w:rFonts w:cstheme="minorHAnsi"/>
                <w:szCs w:val="18"/>
              </w:rPr>
            </w:pPr>
            <w:r w:rsidRPr="00502563">
              <w:rPr>
                <w:rFonts w:cstheme="minorHAnsi"/>
                <w:szCs w:val="18"/>
              </w:rPr>
              <w:t>0</w:t>
            </w:r>
          </w:p>
        </w:tc>
        <w:tc>
          <w:tcPr>
            <w:tcW w:w="957" w:type="dxa"/>
            <w:shd w:val="clear" w:color="auto" w:fill="FFFFFF" w:themeFill="background1"/>
            <w:noWrap/>
          </w:tcPr>
          <w:p w14:paraId="631D8454"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7E6A6C72"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684" w:type="dxa"/>
            <w:shd w:val="clear" w:color="auto" w:fill="FFFFFF" w:themeFill="background1"/>
            <w:noWrap/>
            <w:vAlign w:val="center"/>
          </w:tcPr>
          <w:p w14:paraId="53CF3AC3"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500E33AA"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4BE0DF04"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1E09B1F5" w14:textId="77777777" w:rsidTr="00C94190">
        <w:trPr>
          <w:trHeight w:val="256"/>
        </w:trPr>
        <w:tc>
          <w:tcPr>
            <w:tcW w:w="1418" w:type="dxa"/>
            <w:shd w:val="clear" w:color="auto" w:fill="E5E5E5" w:themeFill="text1" w:themeFillTint="33"/>
            <w:noWrap/>
            <w:vAlign w:val="center"/>
            <w:hideMark/>
          </w:tcPr>
          <w:p w14:paraId="6A248B8D"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Marija Bistrica</w:t>
            </w:r>
          </w:p>
        </w:tc>
        <w:tc>
          <w:tcPr>
            <w:tcW w:w="992" w:type="dxa"/>
            <w:shd w:val="clear" w:color="auto" w:fill="FFFFFF" w:themeFill="background1"/>
            <w:noWrap/>
          </w:tcPr>
          <w:p w14:paraId="170A848E" w14:textId="77777777" w:rsidR="00FE050F" w:rsidRPr="00502563" w:rsidRDefault="00FE050F" w:rsidP="004F6BD6">
            <w:pPr>
              <w:spacing w:after="0" w:line="240" w:lineRule="auto"/>
              <w:jc w:val="right"/>
              <w:rPr>
                <w:rFonts w:cstheme="minorHAnsi"/>
                <w:szCs w:val="18"/>
              </w:rPr>
            </w:pPr>
            <w:r w:rsidRPr="00502563">
              <w:rPr>
                <w:rFonts w:cstheme="minorHAnsi"/>
                <w:szCs w:val="18"/>
              </w:rPr>
              <w:t>6</w:t>
            </w:r>
          </w:p>
        </w:tc>
        <w:tc>
          <w:tcPr>
            <w:tcW w:w="1009" w:type="dxa"/>
            <w:shd w:val="clear" w:color="auto" w:fill="FFFFFF" w:themeFill="background1"/>
            <w:noWrap/>
          </w:tcPr>
          <w:p w14:paraId="098BF762" w14:textId="77777777" w:rsidR="00FE050F" w:rsidRPr="00502563" w:rsidRDefault="00FE050F" w:rsidP="004F6BD6">
            <w:pPr>
              <w:spacing w:after="0" w:line="240" w:lineRule="auto"/>
              <w:jc w:val="right"/>
              <w:rPr>
                <w:rFonts w:cstheme="minorHAnsi"/>
                <w:szCs w:val="18"/>
              </w:rPr>
            </w:pPr>
            <w:r w:rsidRPr="00502563">
              <w:rPr>
                <w:rFonts w:cstheme="minorHAnsi"/>
                <w:szCs w:val="18"/>
              </w:rPr>
              <w:t>7</w:t>
            </w:r>
          </w:p>
        </w:tc>
        <w:tc>
          <w:tcPr>
            <w:tcW w:w="957" w:type="dxa"/>
            <w:shd w:val="clear" w:color="auto" w:fill="FFFFFF" w:themeFill="background1"/>
            <w:noWrap/>
          </w:tcPr>
          <w:p w14:paraId="599E1C21"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21A9FA4D"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684" w:type="dxa"/>
            <w:shd w:val="clear" w:color="auto" w:fill="FFFFFF" w:themeFill="background1"/>
            <w:noWrap/>
            <w:vAlign w:val="center"/>
          </w:tcPr>
          <w:p w14:paraId="10F42D6C"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027F4CB9"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68AF096E"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705E15F7" w14:textId="77777777" w:rsidTr="00C94190">
        <w:trPr>
          <w:trHeight w:val="256"/>
        </w:trPr>
        <w:tc>
          <w:tcPr>
            <w:tcW w:w="1418" w:type="dxa"/>
            <w:shd w:val="clear" w:color="auto" w:fill="E5E5E5" w:themeFill="text1" w:themeFillTint="33"/>
            <w:noWrap/>
            <w:vAlign w:val="center"/>
            <w:hideMark/>
          </w:tcPr>
          <w:p w14:paraId="74FCCB2F"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Mihovljan</w:t>
            </w:r>
          </w:p>
        </w:tc>
        <w:tc>
          <w:tcPr>
            <w:tcW w:w="992" w:type="dxa"/>
            <w:shd w:val="clear" w:color="auto" w:fill="FFFFFF" w:themeFill="background1"/>
            <w:noWrap/>
          </w:tcPr>
          <w:p w14:paraId="210BB958"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1009" w:type="dxa"/>
            <w:shd w:val="clear" w:color="auto" w:fill="FFFFFF" w:themeFill="background1"/>
            <w:noWrap/>
          </w:tcPr>
          <w:p w14:paraId="59D234C4"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957" w:type="dxa"/>
            <w:shd w:val="clear" w:color="auto" w:fill="FFFFFF" w:themeFill="background1"/>
            <w:noWrap/>
          </w:tcPr>
          <w:p w14:paraId="703F2E33"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42DC430D" w14:textId="77777777" w:rsidR="00FE050F" w:rsidRPr="00502563" w:rsidRDefault="00FE050F" w:rsidP="004F6BD6">
            <w:pPr>
              <w:spacing w:after="0" w:line="240" w:lineRule="auto"/>
              <w:jc w:val="right"/>
              <w:rPr>
                <w:rFonts w:cstheme="minorHAnsi"/>
                <w:szCs w:val="18"/>
              </w:rPr>
            </w:pPr>
            <w:r w:rsidRPr="00502563">
              <w:rPr>
                <w:rFonts w:cstheme="minorHAnsi"/>
                <w:szCs w:val="18"/>
              </w:rPr>
              <w:t>1 lovački dom, 1 društveni dom</w:t>
            </w:r>
          </w:p>
        </w:tc>
        <w:tc>
          <w:tcPr>
            <w:tcW w:w="684" w:type="dxa"/>
            <w:shd w:val="clear" w:color="auto" w:fill="FFFFFF" w:themeFill="background1"/>
            <w:noWrap/>
            <w:vAlign w:val="center"/>
          </w:tcPr>
          <w:p w14:paraId="1705328D"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3D71031F"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33918312"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5702BE3B" w14:textId="77777777" w:rsidTr="00C94190">
        <w:trPr>
          <w:trHeight w:val="256"/>
        </w:trPr>
        <w:tc>
          <w:tcPr>
            <w:tcW w:w="1418" w:type="dxa"/>
            <w:shd w:val="clear" w:color="auto" w:fill="E5E5E5" w:themeFill="text1" w:themeFillTint="33"/>
            <w:noWrap/>
            <w:vAlign w:val="center"/>
            <w:hideMark/>
          </w:tcPr>
          <w:p w14:paraId="647D890F"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Novi Golubovec</w:t>
            </w:r>
          </w:p>
        </w:tc>
        <w:tc>
          <w:tcPr>
            <w:tcW w:w="992" w:type="dxa"/>
            <w:shd w:val="clear" w:color="auto" w:fill="FFFFFF" w:themeFill="background1"/>
            <w:noWrap/>
          </w:tcPr>
          <w:p w14:paraId="3EFFE6AE" w14:textId="77777777" w:rsidR="00FE050F" w:rsidRPr="00502563" w:rsidRDefault="00FE050F" w:rsidP="004F6BD6">
            <w:pPr>
              <w:spacing w:after="0" w:line="240" w:lineRule="auto"/>
              <w:jc w:val="right"/>
              <w:rPr>
                <w:rFonts w:cstheme="minorHAnsi"/>
                <w:szCs w:val="18"/>
              </w:rPr>
            </w:pPr>
            <w:r w:rsidRPr="00502563">
              <w:rPr>
                <w:rFonts w:cstheme="minorHAnsi"/>
                <w:szCs w:val="18"/>
              </w:rPr>
              <w:t>4</w:t>
            </w:r>
          </w:p>
        </w:tc>
        <w:tc>
          <w:tcPr>
            <w:tcW w:w="1009" w:type="dxa"/>
            <w:shd w:val="clear" w:color="auto" w:fill="FFFFFF" w:themeFill="background1"/>
            <w:noWrap/>
          </w:tcPr>
          <w:p w14:paraId="7A418011"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957" w:type="dxa"/>
            <w:shd w:val="clear" w:color="auto" w:fill="FFFFFF" w:themeFill="background1"/>
            <w:noWrap/>
          </w:tcPr>
          <w:p w14:paraId="3DDB0ABB"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173779D5" w14:textId="77777777" w:rsidR="00FE050F" w:rsidRPr="00502563" w:rsidRDefault="00FE050F" w:rsidP="004F6BD6">
            <w:pPr>
              <w:spacing w:after="0" w:line="240" w:lineRule="auto"/>
              <w:jc w:val="right"/>
              <w:rPr>
                <w:rFonts w:cstheme="minorHAnsi"/>
                <w:szCs w:val="18"/>
              </w:rPr>
            </w:pPr>
            <w:r w:rsidRPr="00502563">
              <w:rPr>
                <w:rFonts w:cstheme="minorHAnsi"/>
                <w:szCs w:val="18"/>
              </w:rPr>
              <w:t>3 ( DVD- 1; društveni dom 2)</w:t>
            </w:r>
          </w:p>
        </w:tc>
        <w:tc>
          <w:tcPr>
            <w:tcW w:w="684" w:type="dxa"/>
            <w:shd w:val="clear" w:color="auto" w:fill="FFFFFF" w:themeFill="background1"/>
            <w:noWrap/>
            <w:vAlign w:val="center"/>
          </w:tcPr>
          <w:p w14:paraId="4649A84F"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12CAC6ED"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083E3EFA"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0917D9F5" w14:textId="77777777" w:rsidTr="00C94190">
        <w:trPr>
          <w:trHeight w:val="256"/>
        </w:trPr>
        <w:tc>
          <w:tcPr>
            <w:tcW w:w="1418" w:type="dxa"/>
            <w:shd w:val="clear" w:color="auto" w:fill="E5E5E5" w:themeFill="text1" w:themeFillTint="33"/>
            <w:noWrap/>
            <w:vAlign w:val="center"/>
            <w:hideMark/>
          </w:tcPr>
          <w:p w14:paraId="1F48CD3B" w14:textId="40DF5DAB"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Oroslav</w:t>
            </w:r>
            <w:r w:rsidR="00E41ED7">
              <w:rPr>
                <w:rFonts w:eastAsia="Times New Roman" w:cstheme="minorHAnsi"/>
                <w:szCs w:val="18"/>
                <w:lang w:eastAsia="hr-HR"/>
              </w:rPr>
              <w:t>j</w:t>
            </w:r>
            <w:r w:rsidRPr="00502563">
              <w:rPr>
                <w:rFonts w:eastAsia="Times New Roman" w:cstheme="minorHAnsi"/>
                <w:szCs w:val="18"/>
                <w:lang w:eastAsia="hr-HR"/>
              </w:rPr>
              <w:t>e</w:t>
            </w:r>
          </w:p>
        </w:tc>
        <w:tc>
          <w:tcPr>
            <w:tcW w:w="992" w:type="dxa"/>
            <w:shd w:val="clear" w:color="auto" w:fill="FFFFFF" w:themeFill="background1"/>
            <w:noWrap/>
          </w:tcPr>
          <w:p w14:paraId="46F60435" w14:textId="77777777" w:rsidR="00FE050F" w:rsidRPr="00502563" w:rsidRDefault="00FE050F" w:rsidP="004F6BD6">
            <w:pPr>
              <w:spacing w:after="0" w:line="240" w:lineRule="auto"/>
              <w:jc w:val="right"/>
              <w:rPr>
                <w:rFonts w:cstheme="minorHAnsi"/>
                <w:szCs w:val="18"/>
              </w:rPr>
            </w:pPr>
            <w:r w:rsidRPr="00502563">
              <w:rPr>
                <w:rFonts w:cstheme="minorHAnsi"/>
                <w:szCs w:val="18"/>
              </w:rPr>
              <w:t>5</w:t>
            </w:r>
          </w:p>
        </w:tc>
        <w:tc>
          <w:tcPr>
            <w:tcW w:w="1009" w:type="dxa"/>
            <w:shd w:val="clear" w:color="auto" w:fill="FFFFFF" w:themeFill="background1"/>
            <w:noWrap/>
          </w:tcPr>
          <w:p w14:paraId="670C52CC" w14:textId="77777777" w:rsidR="00FE050F" w:rsidRPr="00502563" w:rsidRDefault="00FE050F" w:rsidP="004F6BD6">
            <w:pPr>
              <w:spacing w:after="0" w:line="240" w:lineRule="auto"/>
              <w:jc w:val="right"/>
              <w:rPr>
                <w:rFonts w:cstheme="minorHAnsi"/>
                <w:szCs w:val="18"/>
              </w:rPr>
            </w:pPr>
            <w:r w:rsidRPr="00502563">
              <w:rPr>
                <w:rFonts w:cstheme="minorHAnsi"/>
                <w:szCs w:val="18"/>
              </w:rPr>
              <w:t>8</w:t>
            </w:r>
          </w:p>
        </w:tc>
        <w:tc>
          <w:tcPr>
            <w:tcW w:w="957" w:type="dxa"/>
            <w:shd w:val="clear" w:color="auto" w:fill="FFFFFF" w:themeFill="background1"/>
            <w:noWrap/>
          </w:tcPr>
          <w:p w14:paraId="5ED14B60"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1E4597F7" w14:textId="77777777" w:rsidR="00FE050F" w:rsidRPr="00502563" w:rsidRDefault="00FE050F" w:rsidP="004F6BD6">
            <w:pPr>
              <w:spacing w:after="0" w:line="240" w:lineRule="auto"/>
              <w:jc w:val="right"/>
              <w:rPr>
                <w:rFonts w:cstheme="minorHAnsi"/>
                <w:szCs w:val="18"/>
              </w:rPr>
            </w:pPr>
            <w:r w:rsidRPr="00502563">
              <w:rPr>
                <w:rFonts w:cstheme="minorHAnsi"/>
                <w:szCs w:val="18"/>
              </w:rPr>
              <w:t>1 Dom kulture, 4 Društvena doma, 1 DVD dom, 2 lovačka doma</w:t>
            </w:r>
          </w:p>
        </w:tc>
        <w:tc>
          <w:tcPr>
            <w:tcW w:w="684" w:type="dxa"/>
            <w:shd w:val="clear" w:color="auto" w:fill="FFFFFF" w:themeFill="background1"/>
            <w:noWrap/>
            <w:vAlign w:val="center"/>
          </w:tcPr>
          <w:p w14:paraId="6EE39C65"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2CF3BB57"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1D66BAC5"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5C46368F" w14:textId="77777777" w:rsidTr="00C94190">
        <w:trPr>
          <w:trHeight w:val="256"/>
        </w:trPr>
        <w:tc>
          <w:tcPr>
            <w:tcW w:w="1418" w:type="dxa"/>
            <w:shd w:val="clear" w:color="auto" w:fill="E5E5E5" w:themeFill="text1" w:themeFillTint="33"/>
            <w:noWrap/>
            <w:vAlign w:val="center"/>
            <w:hideMark/>
          </w:tcPr>
          <w:p w14:paraId="73113CEE"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Petrovsko</w:t>
            </w:r>
          </w:p>
        </w:tc>
        <w:tc>
          <w:tcPr>
            <w:tcW w:w="992" w:type="dxa"/>
            <w:shd w:val="clear" w:color="auto" w:fill="FFFFFF" w:themeFill="background1"/>
            <w:noWrap/>
          </w:tcPr>
          <w:p w14:paraId="775B67C0" w14:textId="77777777" w:rsidR="00FE050F" w:rsidRPr="00502563" w:rsidRDefault="00FE050F" w:rsidP="004F6BD6">
            <w:pPr>
              <w:spacing w:after="0" w:line="240" w:lineRule="auto"/>
              <w:jc w:val="right"/>
              <w:rPr>
                <w:rFonts w:cstheme="minorHAnsi"/>
                <w:szCs w:val="18"/>
              </w:rPr>
            </w:pPr>
            <w:r w:rsidRPr="00502563">
              <w:rPr>
                <w:rFonts w:cstheme="minorHAnsi"/>
                <w:szCs w:val="18"/>
              </w:rPr>
              <w:t>5</w:t>
            </w:r>
          </w:p>
        </w:tc>
        <w:tc>
          <w:tcPr>
            <w:tcW w:w="1009" w:type="dxa"/>
            <w:shd w:val="clear" w:color="auto" w:fill="FFFFFF" w:themeFill="background1"/>
            <w:noWrap/>
          </w:tcPr>
          <w:p w14:paraId="08A8232B"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957" w:type="dxa"/>
            <w:shd w:val="clear" w:color="auto" w:fill="FFFFFF" w:themeFill="background1"/>
            <w:noWrap/>
          </w:tcPr>
          <w:p w14:paraId="3559EA2F" w14:textId="6512CDDC" w:rsidR="00FE050F" w:rsidRPr="00502563" w:rsidRDefault="00FE050F" w:rsidP="004F6BD6">
            <w:pPr>
              <w:spacing w:after="0" w:line="240" w:lineRule="auto"/>
              <w:jc w:val="right"/>
              <w:rPr>
                <w:rFonts w:cstheme="minorHAnsi"/>
                <w:szCs w:val="18"/>
              </w:rPr>
            </w:pPr>
            <w:r w:rsidRPr="00502563">
              <w:rPr>
                <w:rFonts w:cstheme="minorHAnsi"/>
                <w:szCs w:val="18"/>
              </w:rPr>
              <w:t>U pripremi je projektna dokume</w:t>
            </w:r>
            <w:r w:rsidR="004F6BD6" w:rsidRPr="00502563">
              <w:rPr>
                <w:rFonts w:cstheme="minorHAnsi"/>
                <w:szCs w:val="18"/>
              </w:rPr>
              <w:t>-</w:t>
            </w:r>
            <w:r w:rsidRPr="00502563">
              <w:rPr>
                <w:rFonts w:cstheme="minorHAnsi"/>
                <w:szCs w:val="18"/>
              </w:rPr>
              <w:t>ntacija</w:t>
            </w:r>
          </w:p>
        </w:tc>
        <w:tc>
          <w:tcPr>
            <w:tcW w:w="2873" w:type="dxa"/>
            <w:shd w:val="clear" w:color="auto" w:fill="FFFFFF" w:themeFill="background1"/>
            <w:noWrap/>
          </w:tcPr>
          <w:p w14:paraId="5579E471" w14:textId="77777777" w:rsidR="00FE050F" w:rsidRPr="00502563" w:rsidRDefault="00FE050F" w:rsidP="004F6BD6">
            <w:pPr>
              <w:spacing w:after="0" w:line="240" w:lineRule="auto"/>
              <w:jc w:val="right"/>
              <w:rPr>
                <w:rFonts w:cstheme="minorHAnsi"/>
                <w:szCs w:val="18"/>
              </w:rPr>
            </w:pPr>
            <w:r w:rsidRPr="00502563">
              <w:rPr>
                <w:rFonts w:cstheme="minorHAnsi"/>
                <w:szCs w:val="18"/>
              </w:rPr>
              <w:t xml:space="preserve">1 lovački dom, 1 planinarski dom, 1 dom DVD, 1 dom kojem treba obnova i 1 nedovršeni dom </w:t>
            </w:r>
          </w:p>
        </w:tc>
        <w:tc>
          <w:tcPr>
            <w:tcW w:w="684" w:type="dxa"/>
            <w:shd w:val="clear" w:color="auto" w:fill="FFFFFF" w:themeFill="background1"/>
            <w:noWrap/>
            <w:vAlign w:val="center"/>
          </w:tcPr>
          <w:p w14:paraId="403D94F3"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1587F636"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1BFD377B"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1A408EBC" w14:textId="77777777" w:rsidTr="00C94190">
        <w:trPr>
          <w:trHeight w:val="256"/>
        </w:trPr>
        <w:tc>
          <w:tcPr>
            <w:tcW w:w="1418" w:type="dxa"/>
            <w:shd w:val="clear" w:color="auto" w:fill="E5E5E5" w:themeFill="text1" w:themeFillTint="33"/>
            <w:noWrap/>
            <w:vAlign w:val="center"/>
            <w:hideMark/>
          </w:tcPr>
          <w:p w14:paraId="0CA7F3BA"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Pregrada</w:t>
            </w:r>
          </w:p>
        </w:tc>
        <w:tc>
          <w:tcPr>
            <w:tcW w:w="992" w:type="dxa"/>
            <w:shd w:val="clear" w:color="auto" w:fill="FFFFFF" w:themeFill="background1"/>
            <w:noWrap/>
          </w:tcPr>
          <w:p w14:paraId="223DF001" w14:textId="77777777" w:rsidR="00FE050F" w:rsidRPr="00502563" w:rsidRDefault="00FE050F" w:rsidP="004F6BD6">
            <w:pPr>
              <w:spacing w:after="0" w:line="240" w:lineRule="auto"/>
              <w:jc w:val="right"/>
              <w:rPr>
                <w:rFonts w:cstheme="minorHAnsi"/>
                <w:szCs w:val="18"/>
              </w:rPr>
            </w:pPr>
            <w:r w:rsidRPr="00502563">
              <w:rPr>
                <w:rFonts w:cstheme="minorHAnsi"/>
                <w:szCs w:val="18"/>
              </w:rPr>
              <w:t>15</w:t>
            </w:r>
          </w:p>
        </w:tc>
        <w:tc>
          <w:tcPr>
            <w:tcW w:w="1009" w:type="dxa"/>
            <w:shd w:val="clear" w:color="auto" w:fill="FFFFFF" w:themeFill="background1"/>
            <w:noWrap/>
          </w:tcPr>
          <w:p w14:paraId="3D2D0A24" w14:textId="77777777" w:rsidR="00FE050F" w:rsidRPr="00502563" w:rsidRDefault="00FE050F" w:rsidP="004F6BD6">
            <w:pPr>
              <w:spacing w:after="0" w:line="240" w:lineRule="auto"/>
              <w:jc w:val="right"/>
              <w:rPr>
                <w:rFonts w:cstheme="minorHAnsi"/>
                <w:szCs w:val="18"/>
              </w:rPr>
            </w:pPr>
            <w:r w:rsidRPr="00502563">
              <w:rPr>
                <w:rFonts w:cstheme="minorHAnsi"/>
                <w:szCs w:val="18"/>
              </w:rPr>
              <w:t>5</w:t>
            </w:r>
          </w:p>
        </w:tc>
        <w:tc>
          <w:tcPr>
            <w:tcW w:w="957" w:type="dxa"/>
            <w:shd w:val="clear" w:color="auto" w:fill="FFFFFF" w:themeFill="background1"/>
            <w:noWrap/>
          </w:tcPr>
          <w:p w14:paraId="03EACE44" w14:textId="77777777" w:rsidR="00FE050F" w:rsidRPr="00502563" w:rsidRDefault="00FE050F" w:rsidP="004F6BD6">
            <w:pPr>
              <w:spacing w:after="0" w:line="240" w:lineRule="auto"/>
              <w:jc w:val="right"/>
              <w:rPr>
                <w:rFonts w:cstheme="minorHAnsi"/>
                <w:szCs w:val="18"/>
              </w:rPr>
            </w:pPr>
            <w:r w:rsidRPr="00502563">
              <w:rPr>
                <w:rFonts w:cstheme="minorHAnsi"/>
                <w:szCs w:val="18"/>
              </w:rPr>
              <w:t>2</w:t>
            </w:r>
          </w:p>
        </w:tc>
        <w:tc>
          <w:tcPr>
            <w:tcW w:w="2873" w:type="dxa"/>
            <w:shd w:val="clear" w:color="auto" w:fill="FFFFFF" w:themeFill="background1"/>
            <w:noWrap/>
          </w:tcPr>
          <w:p w14:paraId="61F7A93E" w14:textId="77777777" w:rsidR="00FE050F" w:rsidRPr="00502563" w:rsidRDefault="00FE050F" w:rsidP="004F6BD6">
            <w:pPr>
              <w:spacing w:after="0" w:line="240" w:lineRule="auto"/>
              <w:jc w:val="right"/>
              <w:rPr>
                <w:rFonts w:cstheme="minorHAnsi"/>
                <w:szCs w:val="18"/>
              </w:rPr>
            </w:pPr>
            <w:r w:rsidRPr="00502563">
              <w:rPr>
                <w:rFonts w:cstheme="minorHAnsi"/>
                <w:szCs w:val="18"/>
              </w:rPr>
              <w:t>4 DVD doma, 1 lovački dom, 1 planinarski dom, kino dvorana koja će se rekonstruirati, prostor Gradske vijećnice, 1 zgrada Knjižnice i Muzeja, 1 zgrada društvene namjene u kojoj djeluju udruge, 1 zgrada nogometnog kluba u kojoj djeluju udruge u sportu</w:t>
            </w:r>
          </w:p>
        </w:tc>
        <w:tc>
          <w:tcPr>
            <w:tcW w:w="684" w:type="dxa"/>
            <w:shd w:val="clear" w:color="auto" w:fill="FFFFFF" w:themeFill="background1"/>
            <w:noWrap/>
            <w:vAlign w:val="center"/>
          </w:tcPr>
          <w:p w14:paraId="7524A59C"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19F235B4"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820" w:type="dxa"/>
            <w:shd w:val="clear" w:color="auto" w:fill="FFFFFF" w:themeFill="background1"/>
            <w:noWrap/>
            <w:vAlign w:val="center"/>
          </w:tcPr>
          <w:p w14:paraId="7C0300BF"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r>
      <w:tr w:rsidR="00FE050F" w:rsidRPr="00502563" w14:paraId="36B5FE09" w14:textId="77777777" w:rsidTr="00C94190">
        <w:trPr>
          <w:trHeight w:val="256"/>
        </w:trPr>
        <w:tc>
          <w:tcPr>
            <w:tcW w:w="1418" w:type="dxa"/>
            <w:shd w:val="clear" w:color="auto" w:fill="E5E5E5" w:themeFill="text1" w:themeFillTint="33"/>
            <w:noWrap/>
            <w:vAlign w:val="center"/>
            <w:hideMark/>
          </w:tcPr>
          <w:p w14:paraId="39B072C7"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Radoboj</w:t>
            </w:r>
          </w:p>
        </w:tc>
        <w:tc>
          <w:tcPr>
            <w:tcW w:w="992" w:type="dxa"/>
            <w:shd w:val="clear" w:color="auto" w:fill="FFFFFF" w:themeFill="background1"/>
            <w:noWrap/>
          </w:tcPr>
          <w:p w14:paraId="413003C6" w14:textId="77777777" w:rsidR="00FE050F" w:rsidRPr="00502563" w:rsidRDefault="00FE050F" w:rsidP="004F6BD6">
            <w:pPr>
              <w:spacing w:after="0" w:line="240" w:lineRule="auto"/>
              <w:jc w:val="right"/>
              <w:rPr>
                <w:rFonts w:cstheme="minorHAnsi"/>
                <w:szCs w:val="18"/>
              </w:rPr>
            </w:pPr>
            <w:r w:rsidRPr="00502563">
              <w:rPr>
                <w:rFonts w:cstheme="minorHAnsi"/>
                <w:szCs w:val="18"/>
              </w:rPr>
              <w:t>9</w:t>
            </w:r>
          </w:p>
        </w:tc>
        <w:tc>
          <w:tcPr>
            <w:tcW w:w="1009" w:type="dxa"/>
            <w:shd w:val="clear" w:color="auto" w:fill="FFFFFF" w:themeFill="background1"/>
            <w:noWrap/>
          </w:tcPr>
          <w:p w14:paraId="6A0DA7B5" w14:textId="77777777" w:rsidR="00FE050F" w:rsidRPr="00502563" w:rsidRDefault="00FE050F" w:rsidP="004F6BD6">
            <w:pPr>
              <w:spacing w:after="0" w:line="240" w:lineRule="auto"/>
              <w:jc w:val="right"/>
              <w:rPr>
                <w:rFonts w:cstheme="minorHAnsi"/>
                <w:szCs w:val="18"/>
              </w:rPr>
            </w:pPr>
            <w:r w:rsidRPr="00502563">
              <w:rPr>
                <w:rFonts w:cstheme="minorHAnsi"/>
                <w:szCs w:val="18"/>
              </w:rPr>
              <w:t>9</w:t>
            </w:r>
          </w:p>
        </w:tc>
        <w:tc>
          <w:tcPr>
            <w:tcW w:w="957" w:type="dxa"/>
            <w:shd w:val="clear" w:color="auto" w:fill="FFFFFF" w:themeFill="background1"/>
            <w:noWrap/>
          </w:tcPr>
          <w:p w14:paraId="28E7B05C"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5B657896" w14:textId="77777777" w:rsidR="00FE050F" w:rsidRPr="00502563" w:rsidRDefault="00FE050F" w:rsidP="004F6BD6">
            <w:pPr>
              <w:spacing w:after="0" w:line="240" w:lineRule="auto"/>
              <w:jc w:val="right"/>
              <w:rPr>
                <w:rFonts w:cstheme="minorHAnsi"/>
                <w:szCs w:val="18"/>
              </w:rPr>
            </w:pPr>
            <w:r w:rsidRPr="00502563">
              <w:rPr>
                <w:rFonts w:cstheme="minorHAnsi"/>
                <w:szCs w:val="18"/>
              </w:rPr>
              <w:t>1 u funkciji</w:t>
            </w:r>
          </w:p>
        </w:tc>
        <w:tc>
          <w:tcPr>
            <w:tcW w:w="684" w:type="dxa"/>
            <w:shd w:val="clear" w:color="auto" w:fill="FFFFFF" w:themeFill="background1"/>
            <w:noWrap/>
            <w:vAlign w:val="center"/>
          </w:tcPr>
          <w:p w14:paraId="5ECFF10D"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6A5F6267"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684EEBB9"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6CA530C1" w14:textId="77777777" w:rsidTr="00C94190">
        <w:trPr>
          <w:trHeight w:val="256"/>
        </w:trPr>
        <w:tc>
          <w:tcPr>
            <w:tcW w:w="1418" w:type="dxa"/>
            <w:shd w:val="clear" w:color="auto" w:fill="E5E5E5" w:themeFill="text1" w:themeFillTint="33"/>
            <w:noWrap/>
            <w:vAlign w:val="center"/>
            <w:hideMark/>
          </w:tcPr>
          <w:p w14:paraId="7EDF7356"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Stubičke toplice</w:t>
            </w:r>
          </w:p>
        </w:tc>
        <w:tc>
          <w:tcPr>
            <w:tcW w:w="992" w:type="dxa"/>
            <w:shd w:val="clear" w:color="auto" w:fill="FFFFFF" w:themeFill="background1"/>
            <w:noWrap/>
          </w:tcPr>
          <w:p w14:paraId="5D58A2CD"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1009" w:type="dxa"/>
            <w:shd w:val="clear" w:color="auto" w:fill="FFFFFF" w:themeFill="background1"/>
            <w:noWrap/>
          </w:tcPr>
          <w:p w14:paraId="2C6A765B" w14:textId="77777777" w:rsidR="00FE050F" w:rsidRPr="00502563" w:rsidRDefault="00FE050F" w:rsidP="004F6BD6">
            <w:pPr>
              <w:spacing w:after="0" w:line="240" w:lineRule="auto"/>
              <w:jc w:val="right"/>
              <w:rPr>
                <w:rFonts w:cstheme="minorHAnsi"/>
                <w:szCs w:val="18"/>
              </w:rPr>
            </w:pPr>
            <w:r w:rsidRPr="00502563">
              <w:rPr>
                <w:rFonts w:cstheme="minorHAnsi"/>
                <w:szCs w:val="18"/>
              </w:rPr>
              <w:t>5</w:t>
            </w:r>
          </w:p>
        </w:tc>
        <w:tc>
          <w:tcPr>
            <w:tcW w:w="957" w:type="dxa"/>
            <w:shd w:val="clear" w:color="auto" w:fill="FFFFFF" w:themeFill="background1"/>
            <w:noWrap/>
          </w:tcPr>
          <w:p w14:paraId="0B4B3969" w14:textId="77777777" w:rsidR="00FE050F" w:rsidRPr="00502563" w:rsidRDefault="00FE050F" w:rsidP="004F6BD6">
            <w:pPr>
              <w:spacing w:after="0" w:line="240" w:lineRule="auto"/>
              <w:jc w:val="right"/>
              <w:rPr>
                <w:rFonts w:cstheme="minorHAnsi"/>
                <w:szCs w:val="18"/>
              </w:rPr>
            </w:pPr>
            <w:r w:rsidRPr="00502563">
              <w:rPr>
                <w:rFonts w:cstheme="minorHAnsi"/>
                <w:szCs w:val="18"/>
              </w:rPr>
              <w:t>0</w:t>
            </w:r>
          </w:p>
        </w:tc>
        <w:tc>
          <w:tcPr>
            <w:tcW w:w="2873" w:type="dxa"/>
            <w:shd w:val="clear" w:color="auto" w:fill="FFFFFF" w:themeFill="background1"/>
            <w:noWrap/>
          </w:tcPr>
          <w:p w14:paraId="5FE61509" w14:textId="77777777" w:rsidR="00FE050F" w:rsidRPr="00502563" w:rsidRDefault="00FE050F" w:rsidP="004F6BD6">
            <w:pPr>
              <w:spacing w:after="0" w:line="240" w:lineRule="auto"/>
              <w:jc w:val="right"/>
              <w:rPr>
                <w:rFonts w:cstheme="minorHAnsi"/>
                <w:szCs w:val="18"/>
              </w:rPr>
            </w:pPr>
            <w:r w:rsidRPr="00502563">
              <w:rPr>
                <w:rFonts w:cstheme="minorHAnsi"/>
                <w:szCs w:val="18"/>
              </w:rPr>
              <w:t>0</w:t>
            </w:r>
          </w:p>
        </w:tc>
        <w:tc>
          <w:tcPr>
            <w:tcW w:w="684" w:type="dxa"/>
            <w:shd w:val="clear" w:color="auto" w:fill="FFFFFF" w:themeFill="background1"/>
            <w:noWrap/>
            <w:vAlign w:val="center"/>
          </w:tcPr>
          <w:p w14:paraId="18C1D456"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5EFBA774"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77540087"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25C841F9" w14:textId="77777777" w:rsidTr="00C94190">
        <w:trPr>
          <w:trHeight w:val="256"/>
        </w:trPr>
        <w:tc>
          <w:tcPr>
            <w:tcW w:w="1418" w:type="dxa"/>
            <w:shd w:val="clear" w:color="auto" w:fill="E5E5E5" w:themeFill="text1" w:themeFillTint="33"/>
            <w:noWrap/>
            <w:vAlign w:val="center"/>
            <w:hideMark/>
          </w:tcPr>
          <w:p w14:paraId="184C43BE" w14:textId="77777777" w:rsidR="00FE050F" w:rsidRPr="00502563" w:rsidRDefault="00FE050F" w:rsidP="00091FDD">
            <w:pPr>
              <w:spacing w:after="0" w:line="240" w:lineRule="auto"/>
              <w:jc w:val="left"/>
              <w:rPr>
                <w:rFonts w:eastAsia="Times New Roman" w:cstheme="minorHAnsi"/>
                <w:szCs w:val="18"/>
                <w:lang w:eastAsia="hr-HR"/>
              </w:rPr>
            </w:pPr>
            <w:r w:rsidRPr="00502563">
              <w:rPr>
                <w:rFonts w:eastAsia="Times New Roman" w:cstheme="minorHAnsi"/>
                <w:szCs w:val="18"/>
                <w:lang w:eastAsia="hr-HR"/>
              </w:rPr>
              <w:t>Sveti Križ Začretje</w:t>
            </w:r>
          </w:p>
        </w:tc>
        <w:tc>
          <w:tcPr>
            <w:tcW w:w="992" w:type="dxa"/>
            <w:shd w:val="clear" w:color="auto" w:fill="FFFFFF" w:themeFill="background1"/>
            <w:noWrap/>
          </w:tcPr>
          <w:p w14:paraId="40CF8B97" w14:textId="77777777" w:rsidR="00FE050F" w:rsidRPr="00502563" w:rsidRDefault="00FE050F" w:rsidP="004F6BD6">
            <w:pPr>
              <w:spacing w:after="0" w:line="240" w:lineRule="auto"/>
              <w:jc w:val="right"/>
              <w:rPr>
                <w:rFonts w:cstheme="minorHAnsi"/>
                <w:szCs w:val="18"/>
              </w:rPr>
            </w:pPr>
            <w:r w:rsidRPr="00502563">
              <w:rPr>
                <w:rFonts w:cstheme="minorHAnsi"/>
                <w:szCs w:val="18"/>
              </w:rPr>
              <w:t>15</w:t>
            </w:r>
          </w:p>
        </w:tc>
        <w:tc>
          <w:tcPr>
            <w:tcW w:w="1009" w:type="dxa"/>
            <w:shd w:val="clear" w:color="auto" w:fill="FFFFFF" w:themeFill="background1"/>
            <w:noWrap/>
          </w:tcPr>
          <w:p w14:paraId="752B0934" w14:textId="77777777" w:rsidR="00FE050F" w:rsidRPr="00502563" w:rsidRDefault="00FE050F" w:rsidP="004F6BD6">
            <w:pPr>
              <w:spacing w:after="0" w:line="240" w:lineRule="auto"/>
              <w:jc w:val="right"/>
              <w:rPr>
                <w:rFonts w:cstheme="minorHAnsi"/>
                <w:szCs w:val="18"/>
              </w:rPr>
            </w:pPr>
            <w:r w:rsidRPr="00502563">
              <w:rPr>
                <w:rFonts w:cstheme="minorHAnsi"/>
                <w:szCs w:val="18"/>
              </w:rPr>
              <w:t>14</w:t>
            </w:r>
          </w:p>
        </w:tc>
        <w:tc>
          <w:tcPr>
            <w:tcW w:w="957" w:type="dxa"/>
            <w:shd w:val="clear" w:color="auto" w:fill="FFFFFF" w:themeFill="background1"/>
            <w:noWrap/>
          </w:tcPr>
          <w:p w14:paraId="0F0CF892"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7FA8A312" w14:textId="77777777" w:rsidR="00FE050F" w:rsidRPr="00502563" w:rsidRDefault="00FE050F" w:rsidP="004F6BD6">
            <w:pPr>
              <w:spacing w:after="0" w:line="240" w:lineRule="auto"/>
              <w:jc w:val="right"/>
              <w:rPr>
                <w:rFonts w:cstheme="minorHAnsi"/>
                <w:szCs w:val="18"/>
              </w:rPr>
            </w:pPr>
            <w:r w:rsidRPr="00502563">
              <w:rPr>
                <w:rFonts w:cstheme="minorHAnsi"/>
                <w:szCs w:val="18"/>
              </w:rPr>
              <w:t>2 DVD, 2 društvena doma u potpunosti dovršena i u funkciji, zgrada u kojoj je smještena Knjižnica i prostorije koje koriste udruge, 1 nedovršeni društveni dom,  4 lovačka doma. Pastoralni centar</w:t>
            </w:r>
          </w:p>
        </w:tc>
        <w:tc>
          <w:tcPr>
            <w:tcW w:w="684" w:type="dxa"/>
            <w:shd w:val="clear" w:color="auto" w:fill="FFFFFF" w:themeFill="background1"/>
            <w:noWrap/>
            <w:vAlign w:val="center"/>
          </w:tcPr>
          <w:p w14:paraId="0384E5ED"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1C75564B"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5C7C40A1"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71B92C3F" w14:textId="77777777" w:rsidTr="00C94190">
        <w:trPr>
          <w:trHeight w:val="256"/>
        </w:trPr>
        <w:tc>
          <w:tcPr>
            <w:tcW w:w="1418" w:type="dxa"/>
            <w:shd w:val="clear" w:color="auto" w:fill="E5E5E5" w:themeFill="text1" w:themeFillTint="33"/>
            <w:noWrap/>
            <w:vAlign w:val="center"/>
            <w:hideMark/>
          </w:tcPr>
          <w:p w14:paraId="0E97AD00"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Tuhelj</w:t>
            </w:r>
          </w:p>
        </w:tc>
        <w:tc>
          <w:tcPr>
            <w:tcW w:w="992" w:type="dxa"/>
            <w:shd w:val="clear" w:color="auto" w:fill="FFFFFF" w:themeFill="background1"/>
            <w:noWrap/>
          </w:tcPr>
          <w:p w14:paraId="6BD48DAC"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1009" w:type="dxa"/>
            <w:shd w:val="clear" w:color="auto" w:fill="FFFFFF" w:themeFill="background1"/>
            <w:noWrap/>
          </w:tcPr>
          <w:p w14:paraId="544BF3EC"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957" w:type="dxa"/>
            <w:shd w:val="clear" w:color="auto" w:fill="FFFFFF" w:themeFill="background1"/>
            <w:noWrap/>
          </w:tcPr>
          <w:p w14:paraId="00D98911"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2873" w:type="dxa"/>
            <w:shd w:val="clear" w:color="auto" w:fill="FFFFFF" w:themeFill="background1"/>
            <w:noWrap/>
          </w:tcPr>
          <w:p w14:paraId="346C0CF8" w14:textId="77777777" w:rsidR="00FE050F" w:rsidRPr="00502563" w:rsidRDefault="00FE050F" w:rsidP="004F6BD6">
            <w:pPr>
              <w:spacing w:after="0" w:line="240" w:lineRule="auto"/>
              <w:jc w:val="right"/>
              <w:rPr>
                <w:rFonts w:cstheme="minorHAnsi"/>
                <w:szCs w:val="18"/>
              </w:rPr>
            </w:pPr>
            <w:r w:rsidRPr="00502563">
              <w:rPr>
                <w:rFonts w:cstheme="minorHAnsi"/>
                <w:szCs w:val="18"/>
              </w:rPr>
              <w:t>1 DVD, Lovački dom u Tuhlju, Seljački dom u Proseniku</w:t>
            </w:r>
          </w:p>
        </w:tc>
        <w:tc>
          <w:tcPr>
            <w:tcW w:w="684" w:type="dxa"/>
            <w:shd w:val="clear" w:color="auto" w:fill="FFFFFF" w:themeFill="background1"/>
            <w:noWrap/>
            <w:vAlign w:val="center"/>
          </w:tcPr>
          <w:p w14:paraId="303A5DFD"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4A34745C"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5960CD84"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7D7EB97D" w14:textId="77777777" w:rsidTr="00C94190">
        <w:trPr>
          <w:trHeight w:val="256"/>
        </w:trPr>
        <w:tc>
          <w:tcPr>
            <w:tcW w:w="1418" w:type="dxa"/>
            <w:shd w:val="clear" w:color="auto" w:fill="E5E5E5" w:themeFill="text1" w:themeFillTint="33"/>
            <w:noWrap/>
            <w:vAlign w:val="center"/>
            <w:hideMark/>
          </w:tcPr>
          <w:p w14:paraId="67E37148"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Veliko Trgovišće</w:t>
            </w:r>
          </w:p>
        </w:tc>
        <w:tc>
          <w:tcPr>
            <w:tcW w:w="992" w:type="dxa"/>
            <w:shd w:val="clear" w:color="auto" w:fill="FFFFFF" w:themeFill="background1"/>
            <w:noWrap/>
          </w:tcPr>
          <w:p w14:paraId="59E9F12E" w14:textId="77777777" w:rsidR="004F6BD6" w:rsidRPr="00502563" w:rsidRDefault="00FE050F" w:rsidP="004F6BD6">
            <w:pPr>
              <w:spacing w:after="0" w:line="240" w:lineRule="auto"/>
              <w:jc w:val="right"/>
              <w:rPr>
                <w:rFonts w:cstheme="minorHAnsi"/>
                <w:szCs w:val="18"/>
              </w:rPr>
            </w:pPr>
            <w:r w:rsidRPr="00502563">
              <w:rPr>
                <w:rFonts w:cstheme="minorHAnsi"/>
                <w:szCs w:val="18"/>
              </w:rPr>
              <w:t>4</w:t>
            </w:r>
          </w:p>
          <w:p w14:paraId="1B7DD5DD" w14:textId="183FFDD6" w:rsidR="00FE050F" w:rsidRPr="00502563" w:rsidRDefault="00FE050F" w:rsidP="004F6BD6">
            <w:pPr>
              <w:spacing w:after="0" w:line="240" w:lineRule="auto"/>
              <w:jc w:val="right"/>
              <w:rPr>
                <w:rFonts w:cstheme="minorHAnsi"/>
                <w:szCs w:val="18"/>
              </w:rPr>
            </w:pPr>
            <w:r w:rsidRPr="00502563">
              <w:rPr>
                <w:rFonts w:cstheme="minorHAnsi"/>
                <w:szCs w:val="18"/>
              </w:rPr>
              <w:t>+ rekonstrukcije</w:t>
            </w:r>
            <w:r w:rsidR="004F6BD6" w:rsidRPr="00502563">
              <w:rPr>
                <w:rFonts w:cstheme="minorHAnsi"/>
                <w:szCs w:val="18"/>
              </w:rPr>
              <w:t xml:space="preserve"> </w:t>
            </w:r>
            <w:r w:rsidRPr="00502563">
              <w:rPr>
                <w:rFonts w:cstheme="minorHAnsi"/>
                <w:szCs w:val="18"/>
              </w:rPr>
              <w:t>i</w:t>
            </w:r>
            <w:r w:rsidR="004F6BD6" w:rsidRPr="00502563">
              <w:rPr>
                <w:rFonts w:cstheme="minorHAnsi"/>
                <w:szCs w:val="18"/>
              </w:rPr>
              <w:t xml:space="preserve"> </w:t>
            </w:r>
            <w:r w:rsidRPr="00502563">
              <w:rPr>
                <w:rFonts w:cstheme="minorHAnsi"/>
                <w:szCs w:val="18"/>
              </w:rPr>
              <w:t>izgradnje u planu</w:t>
            </w:r>
          </w:p>
        </w:tc>
        <w:tc>
          <w:tcPr>
            <w:tcW w:w="1009" w:type="dxa"/>
            <w:shd w:val="clear" w:color="auto" w:fill="FFFFFF" w:themeFill="background1"/>
            <w:noWrap/>
          </w:tcPr>
          <w:p w14:paraId="458238AE"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957" w:type="dxa"/>
            <w:shd w:val="clear" w:color="auto" w:fill="FFFFFF" w:themeFill="background1"/>
            <w:noWrap/>
          </w:tcPr>
          <w:p w14:paraId="38E556D3" w14:textId="77777777" w:rsidR="004F6BD6" w:rsidRPr="00502563" w:rsidRDefault="00FE050F" w:rsidP="004F6BD6">
            <w:pPr>
              <w:spacing w:after="0" w:line="240" w:lineRule="auto"/>
              <w:jc w:val="right"/>
              <w:rPr>
                <w:rFonts w:cstheme="minorHAnsi"/>
                <w:szCs w:val="18"/>
              </w:rPr>
            </w:pPr>
            <w:r w:rsidRPr="00502563">
              <w:rPr>
                <w:rFonts w:cstheme="minorHAnsi"/>
                <w:szCs w:val="18"/>
              </w:rPr>
              <w:t>1</w:t>
            </w:r>
          </w:p>
          <w:p w14:paraId="2FC54A4C" w14:textId="575A290A" w:rsidR="00FE050F" w:rsidRPr="00502563" w:rsidRDefault="00FE050F" w:rsidP="004F6BD6">
            <w:pPr>
              <w:spacing w:after="0" w:line="240" w:lineRule="auto"/>
              <w:jc w:val="right"/>
              <w:rPr>
                <w:rFonts w:cstheme="minorHAnsi"/>
                <w:szCs w:val="18"/>
              </w:rPr>
            </w:pPr>
            <w:r w:rsidRPr="00502563">
              <w:rPr>
                <w:rFonts w:cstheme="minorHAnsi"/>
                <w:szCs w:val="18"/>
              </w:rPr>
              <w:t>+ izgradnja u planu</w:t>
            </w:r>
          </w:p>
        </w:tc>
        <w:tc>
          <w:tcPr>
            <w:tcW w:w="2873" w:type="dxa"/>
            <w:shd w:val="clear" w:color="auto" w:fill="FFFFFF" w:themeFill="background1"/>
            <w:noWrap/>
          </w:tcPr>
          <w:p w14:paraId="3EC00C58" w14:textId="77777777" w:rsidR="00FE050F" w:rsidRPr="00502563" w:rsidRDefault="00FE050F" w:rsidP="004F6BD6">
            <w:pPr>
              <w:spacing w:after="0" w:line="240" w:lineRule="auto"/>
              <w:jc w:val="right"/>
              <w:rPr>
                <w:rFonts w:cstheme="minorHAnsi"/>
                <w:szCs w:val="18"/>
              </w:rPr>
            </w:pPr>
            <w:r w:rsidRPr="00502563">
              <w:rPr>
                <w:rFonts w:cstheme="minorHAnsi"/>
                <w:szCs w:val="18"/>
              </w:rPr>
              <w:t>1 dom kulture, 3 DVD doma, 5 Lovačkih domova, 3 sportska doma, 4 društvena doma</w:t>
            </w:r>
          </w:p>
        </w:tc>
        <w:tc>
          <w:tcPr>
            <w:tcW w:w="684" w:type="dxa"/>
            <w:shd w:val="clear" w:color="auto" w:fill="FFFFFF" w:themeFill="background1"/>
            <w:noWrap/>
            <w:vAlign w:val="center"/>
          </w:tcPr>
          <w:p w14:paraId="68A6516D"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4F8EAB0C"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2F44CD24"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5DC01A03" w14:textId="77777777" w:rsidTr="00C94190">
        <w:trPr>
          <w:trHeight w:val="256"/>
        </w:trPr>
        <w:tc>
          <w:tcPr>
            <w:tcW w:w="1418" w:type="dxa"/>
            <w:shd w:val="clear" w:color="auto" w:fill="E5E5E5" w:themeFill="text1" w:themeFillTint="33"/>
            <w:noWrap/>
            <w:vAlign w:val="center"/>
            <w:hideMark/>
          </w:tcPr>
          <w:p w14:paraId="019EE155"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Zabok</w:t>
            </w:r>
          </w:p>
        </w:tc>
        <w:tc>
          <w:tcPr>
            <w:tcW w:w="992" w:type="dxa"/>
            <w:shd w:val="clear" w:color="auto" w:fill="FFFFFF" w:themeFill="background1"/>
            <w:noWrap/>
          </w:tcPr>
          <w:p w14:paraId="4737232A" w14:textId="77777777" w:rsidR="00FE050F" w:rsidRPr="00502563" w:rsidRDefault="00FE050F" w:rsidP="004F6BD6">
            <w:pPr>
              <w:spacing w:after="0" w:line="240" w:lineRule="auto"/>
              <w:jc w:val="right"/>
              <w:rPr>
                <w:rFonts w:cstheme="minorHAnsi"/>
                <w:szCs w:val="18"/>
              </w:rPr>
            </w:pPr>
            <w:r w:rsidRPr="00502563">
              <w:rPr>
                <w:rFonts w:cstheme="minorHAnsi"/>
                <w:szCs w:val="18"/>
              </w:rPr>
              <w:t>9</w:t>
            </w:r>
          </w:p>
        </w:tc>
        <w:tc>
          <w:tcPr>
            <w:tcW w:w="1009" w:type="dxa"/>
            <w:shd w:val="clear" w:color="auto" w:fill="FFFFFF" w:themeFill="background1"/>
            <w:noWrap/>
          </w:tcPr>
          <w:p w14:paraId="294CDF52" w14:textId="77777777" w:rsidR="00FE050F" w:rsidRPr="00502563" w:rsidRDefault="00FE050F" w:rsidP="004F6BD6">
            <w:pPr>
              <w:spacing w:after="0" w:line="240" w:lineRule="auto"/>
              <w:jc w:val="right"/>
              <w:rPr>
                <w:rFonts w:cstheme="minorHAnsi"/>
                <w:szCs w:val="18"/>
              </w:rPr>
            </w:pPr>
            <w:r w:rsidRPr="00502563">
              <w:rPr>
                <w:rFonts w:cstheme="minorHAnsi"/>
                <w:szCs w:val="18"/>
              </w:rPr>
              <w:t>26</w:t>
            </w:r>
          </w:p>
        </w:tc>
        <w:tc>
          <w:tcPr>
            <w:tcW w:w="957" w:type="dxa"/>
            <w:shd w:val="clear" w:color="auto" w:fill="FFFFFF" w:themeFill="background1"/>
            <w:noWrap/>
          </w:tcPr>
          <w:p w14:paraId="052022A9"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2873" w:type="dxa"/>
            <w:shd w:val="clear" w:color="auto" w:fill="FFFFFF" w:themeFill="background1"/>
            <w:noWrap/>
          </w:tcPr>
          <w:p w14:paraId="3CDE6704" w14:textId="54194715" w:rsidR="00FE050F" w:rsidRPr="00502563" w:rsidRDefault="00FE050F" w:rsidP="004F6BD6">
            <w:pPr>
              <w:spacing w:after="0" w:line="240" w:lineRule="auto"/>
              <w:jc w:val="right"/>
              <w:rPr>
                <w:rFonts w:cstheme="minorHAnsi"/>
                <w:szCs w:val="18"/>
              </w:rPr>
            </w:pPr>
            <w:r w:rsidRPr="00502563">
              <w:rPr>
                <w:rFonts w:cstheme="minorHAnsi"/>
                <w:szCs w:val="18"/>
              </w:rPr>
              <w:t xml:space="preserve">16 i 1 nije u funkciji = 5 su društvene namjene, 4 DVD doma, 2 lovačka </w:t>
            </w:r>
            <w:r w:rsidRPr="00502563">
              <w:rPr>
                <w:rFonts w:cstheme="minorHAnsi"/>
                <w:szCs w:val="18"/>
              </w:rPr>
              <w:lastRenderedPageBreak/>
              <w:t>doma, 2 ribička doma, 1 planinarski dom, 2 NK doma, 1 dom SC, Kino Zabok, Gradska galerija Zabok, Gradska knjižnica K. Š. Gj</w:t>
            </w:r>
            <w:r w:rsidR="00E41ED7">
              <w:rPr>
                <w:rFonts w:cstheme="minorHAnsi"/>
                <w:szCs w:val="18"/>
              </w:rPr>
              <w:t>al</w:t>
            </w:r>
            <w:r w:rsidRPr="00502563">
              <w:rPr>
                <w:rFonts w:cstheme="minorHAnsi"/>
                <w:szCs w:val="18"/>
              </w:rPr>
              <w:t>ski Zabok</w:t>
            </w:r>
          </w:p>
        </w:tc>
        <w:tc>
          <w:tcPr>
            <w:tcW w:w="684" w:type="dxa"/>
            <w:shd w:val="clear" w:color="auto" w:fill="FFFFFF" w:themeFill="background1"/>
            <w:noWrap/>
            <w:vAlign w:val="center"/>
          </w:tcPr>
          <w:p w14:paraId="3B22D214" w14:textId="77777777" w:rsidR="00FE050F" w:rsidRPr="00502563" w:rsidRDefault="00FE050F" w:rsidP="004F6BD6">
            <w:pPr>
              <w:spacing w:after="0" w:line="240" w:lineRule="auto"/>
              <w:jc w:val="right"/>
              <w:rPr>
                <w:rFonts w:cstheme="minorHAnsi"/>
                <w:szCs w:val="18"/>
              </w:rPr>
            </w:pPr>
            <w:r w:rsidRPr="00502563">
              <w:rPr>
                <w:rFonts w:cstheme="minorHAnsi"/>
                <w:szCs w:val="18"/>
              </w:rPr>
              <w:lastRenderedPageBreak/>
              <w:t>da</w:t>
            </w:r>
          </w:p>
        </w:tc>
        <w:tc>
          <w:tcPr>
            <w:tcW w:w="684" w:type="dxa"/>
            <w:shd w:val="clear" w:color="auto" w:fill="FFFFFF" w:themeFill="background1"/>
            <w:noWrap/>
            <w:vAlign w:val="center"/>
          </w:tcPr>
          <w:p w14:paraId="41E22A00" w14:textId="3651D8AC" w:rsidR="00FE050F" w:rsidRPr="00502563" w:rsidRDefault="00FE050F" w:rsidP="004F6BD6">
            <w:pPr>
              <w:spacing w:after="0" w:line="240" w:lineRule="auto"/>
              <w:jc w:val="right"/>
              <w:rPr>
                <w:rFonts w:cstheme="minorHAnsi"/>
                <w:szCs w:val="18"/>
              </w:rPr>
            </w:pPr>
            <w:r w:rsidRPr="00502563">
              <w:rPr>
                <w:rFonts w:cstheme="minorHAnsi"/>
                <w:szCs w:val="18"/>
              </w:rPr>
              <w:t xml:space="preserve">općinski </w:t>
            </w:r>
            <w:r w:rsidRPr="00502563">
              <w:rPr>
                <w:rFonts w:cstheme="minorHAnsi"/>
                <w:szCs w:val="18"/>
              </w:rPr>
              <w:lastRenderedPageBreak/>
              <w:t>sud - stalna slu</w:t>
            </w:r>
            <w:r w:rsidR="004F6BD6" w:rsidRPr="00502563">
              <w:rPr>
                <w:rFonts w:cstheme="minorHAnsi"/>
                <w:szCs w:val="18"/>
              </w:rPr>
              <w:t>-</w:t>
            </w:r>
            <w:r w:rsidRPr="00502563">
              <w:rPr>
                <w:rFonts w:cstheme="minorHAnsi"/>
                <w:szCs w:val="18"/>
              </w:rPr>
              <w:t>žba</w:t>
            </w:r>
          </w:p>
        </w:tc>
        <w:tc>
          <w:tcPr>
            <w:tcW w:w="820" w:type="dxa"/>
            <w:shd w:val="clear" w:color="auto" w:fill="FFFFFF" w:themeFill="background1"/>
            <w:noWrap/>
            <w:vAlign w:val="center"/>
          </w:tcPr>
          <w:p w14:paraId="1C720896" w14:textId="77777777" w:rsidR="00FE050F" w:rsidRPr="00502563" w:rsidRDefault="00FE050F" w:rsidP="004F6BD6">
            <w:pPr>
              <w:spacing w:after="0" w:line="240" w:lineRule="auto"/>
              <w:jc w:val="right"/>
              <w:rPr>
                <w:rFonts w:cstheme="minorHAnsi"/>
                <w:szCs w:val="18"/>
              </w:rPr>
            </w:pPr>
            <w:r w:rsidRPr="00502563">
              <w:rPr>
                <w:rFonts w:cstheme="minorHAnsi"/>
                <w:szCs w:val="18"/>
              </w:rPr>
              <w:lastRenderedPageBreak/>
              <w:t>da</w:t>
            </w:r>
          </w:p>
        </w:tc>
      </w:tr>
      <w:tr w:rsidR="00FE050F" w:rsidRPr="00502563" w14:paraId="35F97071" w14:textId="77777777" w:rsidTr="00C94190">
        <w:trPr>
          <w:trHeight w:val="256"/>
        </w:trPr>
        <w:tc>
          <w:tcPr>
            <w:tcW w:w="1418" w:type="dxa"/>
            <w:shd w:val="clear" w:color="auto" w:fill="E5E5E5" w:themeFill="text1" w:themeFillTint="33"/>
            <w:noWrap/>
            <w:vAlign w:val="center"/>
            <w:hideMark/>
          </w:tcPr>
          <w:p w14:paraId="2DB2D5C9"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Zagorska sela</w:t>
            </w:r>
          </w:p>
        </w:tc>
        <w:tc>
          <w:tcPr>
            <w:tcW w:w="992" w:type="dxa"/>
            <w:shd w:val="clear" w:color="auto" w:fill="FFFFFF" w:themeFill="background1"/>
            <w:noWrap/>
          </w:tcPr>
          <w:p w14:paraId="40C03AB0" w14:textId="77777777" w:rsidR="00FE050F" w:rsidRPr="00502563" w:rsidRDefault="00FE050F" w:rsidP="004F6BD6">
            <w:pPr>
              <w:spacing w:after="0" w:line="240" w:lineRule="auto"/>
              <w:jc w:val="right"/>
              <w:rPr>
                <w:rFonts w:cstheme="minorHAnsi"/>
                <w:szCs w:val="18"/>
              </w:rPr>
            </w:pPr>
            <w:r w:rsidRPr="00502563">
              <w:rPr>
                <w:rFonts w:cstheme="minorHAnsi"/>
                <w:szCs w:val="18"/>
              </w:rPr>
              <w:t>4</w:t>
            </w:r>
          </w:p>
        </w:tc>
        <w:tc>
          <w:tcPr>
            <w:tcW w:w="1009" w:type="dxa"/>
            <w:shd w:val="clear" w:color="auto" w:fill="FFFFFF" w:themeFill="background1"/>
            <w:noWrap/>
          </w:tcPr>
          <w:p w14:paraId="29985465" w14:textId="77777777" w:rsidR="00FE050F" w:rsidRPr="00502563" w:rsidRDefault="00FE050F" w:rsidP="004F6BD6">
            <w:pPr>
              <w:spacing w:after="0" w:line="240" w:lineRule="auto"/>
              <w:jc w:val="right"/>
              <w:rPr>
                <w:rFonts w:cstheme="minorHAnsi"/>
                <w:szCs w:val="18"/>
              </w:rPr>
            </w:pPr>
            <w:r w:rsidRPr="00502563">
              <w:rPr>
                <w:rFonts w:cstheme="minorHAnsi"/>
                <w:szCs w:val="18"/>
              </w:rPr>
              <w:t>2</w:t>
            </w:r>
          </w:p>
        </w:tc>
        <w:tc>
          <w:tcPr>
            <w:tcW w:w="957" w:type="dxa"/>
            <w:shd w:val="clear" w:color="auto" w:fill="FFFFFF" w:themeFill="background1"/>
            <w:noWrap/>
          </w:tcPr>
          <w:p w14:paraId="53EA7417" w14:textId="77777777" w:rsidR="00FE050F" w:rsidRPr="00502563" w:rsidRDefault="00FE050F" w:rsidP="004F6BD6">
            <w:pPr>
              <w:spacing w:after="0" w:line="240" w:lineRule="auto"/>
              <w:jc w:val="right"/>
              <w:rPr>
                <w:rFonts w:cstheme="minorHAnsi"/>
                <w:szCs w:val="18"/>
              </w:rPr>
            </w:pPr>
            <w:r w:rsidRPr="00502563">
              <w:rPr>
                <w:rFonts w:cstheme="minorHAnsi"/>
                <w:szCs w:val="18"/>
              </w:rPr>
              <w:t>0</w:t>
            </w:r>
          </w:p>
        </w:tc>
        <w:tc>
          <w:tcPr>
            <w:tcW w:w="2873" w:type="dxa"/>
            <w:shd w:val="clear" w:color="auto" w:fill="FFFFFF" w:themeFill="background1"/>
            <w:noWrap/>
          </w:tcPr>
          <w:p w14:paraId="6474888B" w14:textId="77777777" w:rsidR="00FE050F" w:rsidRPr="00502563" w:rsidRDefault="00FE050F" w:rsidP="004F6BD6">
            <w:pPr>
              <w:spacing w:after="0" w:line="240" w:lineRule="auto"/>
              <w:jc w:val="right"/>
              <w:rPr>
                <w:rFonts w:cstheme="minorHAnsi"/>
                <w:szCs w:val="18"/>
              </w:rPr>
            </w:pPr>
            <w:r w:rsidRPr="00502563">
              <w:rPr>
                <w:rFonts w:cstheme="minorHAnsi"/>
                <w:szCs w:val="18"/>
              </w:rPr>
              <w:t xml:space="preserve">2 vatrogasna doma, 1 lovački dom, 1 kulturni centar, 1 društveni dom u rekonstrukciji </w:t>
            </w:r>
          </w:p>
        </w:tc>
        <w:tc>
          <w:tcPr>
            <w:tcW w:w="684" w:type="dxa"/>
            <w:shd w:val="clear" w:color="auto" w:fill="FFFFFF" w:themeFill="background1"/>
            <w:noWrap/>
            <w:vAlign w:val="center"/>
          </w:tcPr>
          <w:p w14:paraId="65A735CE"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5AC7FC99"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45324E7A"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73612E00" w14:textId="77777777" w:rsidTr="00C94190">
        <w:trPr>
          <w:trHeight w:val="256"/>
        </w:trPr>
        <w:tc>
          <w:tcPr>
            <w:tcW w:w="1418" w:type="dxa"/>
            <w:shd w:val="clear" w:color="auto" w:fill="E5E5E5" w:themeFill="text1" w:themeFillTint="33"/>
            <w:noWrap/>
            <w:vAlign w:val="center"/>
            <w:hideMark/>
          </w:tcPr>
          <w:p w14:paraId="3D5B7BE3"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Zlatar</w:t>
            </w:r>
          </w:p>
        </w:tc>
        <w:tc>
          <w:tcPr>
            <w:tcW w:w="992" w:type="dxa"/>
            <w:shd w:val="clear" w:color="auto" w:fill="FFFFFF" w:themeFill="background1"/>
            <w:noWrap/>
          </w:tcPr>
          <w:p w14:paraId="79AC8F53"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1009" w:type="dxa"/>
            <w:shd w:val="clear" w:color="auto" w:fill="FFFFFF" w:themeFill="background1"/>
            <w:noWrap/>
          </w:tcPr>
          <w:p w14:paraId="6C035783" w14:textId="77777777" w:rsidR="00FE050F" w:rsidRPr="00502563" w:rsidRDefault="00FE050F" w:rsidP="004F6BD6">
            <w:pPr>
              <w:spacing w:after="0" w:line="240" w:lineRule="auto"/>
              <w:jc w:val="right"/>
              <w:rPr>
                <w:rFonts w:cstheme="minorHAnsi"/>
                <w:szCs w:val="18"/>
              </w:rPr>
            </w:pPr>
            <w:r w:rsidRPr="00502563">
              <w:rPr>
                <w:rFonts w:cstheme="minorHAnsi"/>
                <w:szCs w:val="18"/>
              </w:rPr>
              <w:t>6</w:t>
            </w:r>
          </w:p>
        </w:tc>
        <w:tc>
          <w:tcPr>
            <w:tcW w:w="957" w:type="dxa"/>
            <w:shd w:val="clear" w:color="auto" w:fill="FFFFFF" w:themeFill="background1"/>
            <w:noWrap/>
          </w:tcPr>
          <w:p w14:paraId="5741403D" w14:textId="77777777" w:rsidR="00FE050F" w:rsidRPr="00502563" w:rsidRDefault="00FE050F" w:rsidP="004F6BD6">
            <w:pPr>
              <w:spacing w:after="0" w:line="240" w:lineRule="auto"/>
              <w:jc w:val="right"/>
              <w:rPr>
                <w:rFonts w:cstheme="minorHAnsi"/>
                <w:szCs w:val="18"/>
              </w:rPr>
            </w:pPr>
            <w:r w:rsidRPr="00502563">
              <w:rPr>
                <w:rFonts w:cstheme="minorHAnsi"/>
                <w:szCs w:val="18"/>
              </w:rPr>
              <w:t>0</w:t>
            </w:r>
          </w:p>
        </w:tc>
        <w:tc>
          <w:tcPr>
            <w:tcW w:w="2873" w:type="dxa"/>
            <w:shd w:val="clear" w:color="auto" w:fill="FFFFFF" w:themeFill="background1"/>
            <w:noWrap/>
          </w:tcPr>
          <w:p w14:paraId="7D4A438A" w14:textId="77777777" w:rsidR="00FE050F" w:rsidRPr="00502563" w:rsidRDefault="00FE050F" w:rsidP="004F6BD6">
            <w:pPr>
              <w:spacing w:after="0" w:line="240" w:lineRule="auto"/>
              <w:jc w:val="right"/>
              <w:rPr>
                <w:rFonts w:cstheme="minorHAnsi"/>
                <w:szCs w:val="18"/>
              </w:rPr>
            </w:pPr>
            <w:r w:rsidRPr="00502563">
              <w:rPr>
                <w:rFonts w:cstheme="minorHAnsi"/>
                <w:szCs w:val="18"/>
              </w:rPr>
              <w:t>1 (nije u funkciji)</w:t>
            </w:r>
          </w:p>
        </w:tc>
        <w:tc>
          <w:tcPr>
            <w:tcW w:w="684" w:type="dxa"/>
            <w:shd w:val="clear" w:color="auto" w:fill="FFFFFF" w:themeFill="background1"/>
            <w:noWrap/>
            <w:vAlign w:val="center"/>
          </w:tcPr>
          <w:p w14:paraId="250E0E1B"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273FD6C9"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820" w:type="dxa"/>
            <w:shd w:val="clear" w:color="auto" w:fill="FFFFFF" w:themeFill="background1"/>
            <w:noWrap/>
            <w:vAlign w:val="center"/>
          </w:tcPr>
          <w:p w14:paraId="571FA09B"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r>
      <w:tr w:rsidR="00FE050F" w:rsidRPr="00502563" w14:paraId="0DA6ECAF" w14:textId="77777777" w:rsidTr="00C94190">
        <w:trPr>
          <w:trHeight w:val="256"/>
        </w:trPr>
        <w:tc>
          <w:tcPr>
            <w:tcW w:w="1418" w:type="dxa"/>
            <w:shd w:val="clear" w:color="auto" w:fill="E5E5E5" w:themeFill="text1" w:themeFillTint="33"/>
            <w:noWrap/>
            <w:vAlign w:val="center"/>
            <w:hideMark/>
          </w:tcPr>
          <w:p w14:paraId="722EB214" w14:textId="77777777" w:rsidR="00FE050F" w:rsidRPr="00502563" w:rsidRDefault="00FE050F" w:rsidP="00B06F0B">
            <w:pPr>
              <w:spacing w:after="0" w:line="240" w:lineRule="auto"/>
              <w:rPr>
                <w:rFonts w:eastAsia="Times New Roman" w:cstheme="minorHAnsi"/>
                <w:szCs w:val="18"/>
                <w:lang w:eastAsia="hr-HR"/>
              </w:rPr>
            </w:pPr>
            <w:r w:rsidRPr="00502563">
              <w:rPr>
                <w:rFonts w:eastAsia="Times New Roman" w:cstheme="minorHAnsi"/>
                <w:szCs w:val="18"/>
                <w:lang w:eastAsia="hr-HR"/>
              </w:rPr>
              <w:t>Zlatar Bistrica</w:t>
            </w:r>
          </w:p>
        </w:tc>
        <w:tc>
          <w:tcPr>
            <w:tcW w:w="992" w:type="dxa"/>
            <w:shd w:val="clear" w:color="auto" w:fill="FFFFFF" w:themeFill="background1"/>
            <w:noWrap/>
          </w:tcPr>
          <w:p w14:paraId="0472A1AE" w14:textId="77777777" w:rsidR="00FE050F" w:rsidRPr="00502563" w:rsidRDefault="00FE050F" w:rsidP="004F6BD6">
            <w:pPr>
              <w:spacing w:after="0" w:line="240" w:lineRule="auto"/>
              <w:jc w:val="right"/>
              <w:rPr>
                <w:rFonts w:cstheme="minorHAnsi"/>
                <w:szCs w:val="18"/>
              </w:rPr>
            </w:pPr>
            <w:r w:rsidRPr="00502563">
              <w:rPr>
                <w:rFonts w:cstheme="minorHAnsi"/>
                <w:szCs w:val="18"/>
              </w:rPr>
              <w:t>1</w:t>
            </w:r>
          </w:p>
        </w:tc>
        <w:tc>
          <w:tcPr>
            <w:tcW w:w="1009" w:type="dxa"/>
            <w:shd w:val="clear" w:color="auto" w:fill="FFFFFF" w:themeFill="background1"/>
            <w:noWrap/>
          </w:tcPr>
          <w:p w14:paraId="59F33327" w14:textId="77777777" w:rsidR="004F6BD6" w:rsidRPr="00502563" w:rsidRDefault="00FE050F" w:rsidP="004F6BD6">
            <w:pPr>
              <w:spacing w:after="0" w:line="240" w:lineRule="auto"/>
              <w:jc w:val="right"/>
              <w:rPr>
                <w:rFonts w:cstheme="minorHAnsi"/>
                <w:szCs w:val="18"/>
              </w:rPr>
            </w:pPr>
            <w:r w:rsidRPr="00502563">
              <w:rPr>
                <w:rFonts w:cstheme="minorHAnsi"/>
                <w:szCs w:val="18"/>
              </w:rPr>
              <w:t xml:space="preserve">3 </w:t>
            </w:r>
          </w:p>
          <w:p w14:paraId="3CB13FCA" w14:textId="54FF1C72" w:rsidR="00FE050F" w:rsidRPr="00502563" w:rsidRDefault="00FE050F" w:rsidP="004F6BD6">
            <w:pPr>
              <w:spacing w:after="0" w:line="240" w:lineRule="auto"/>
              <w:jc w:val="right"/>
              <w:rPr>
                <w:rFonts w:cstheme="minorHAnsi"/>
                <w:szCs w:val="18"/>
              </w:rPr>
            </w:pPr>
            <w:r w:rsidRPr="00502563">
              <w:rPr>
                <w:rFonts w:cstheme="minorHAnsi"/>
                <w:szCs w:val="18"/>
              </w:rPr>
              <w:t>+ 2 u planu izgradnje</w:t>
            </w:r>
          </w:p>
        </w:tc>
        <w:tc>
          <w:tcPr>
            <w:tcW w:w="957" w:type="dxa"/>
            <w:shd w:val="clear" w:color="auto" w:fill="FFFFFF" w:themeFill="background1"/>
            <w:noWrap/>
          </w:tcPr>
          <w:p w14:paraId="2DB35CE2" w14:textId="77777777" w:rsidR="004F6BD6" w:rsidRPr="00502563" w:rsidRDefault="00FE050F" w:rsidP="004F6BD6">
            <w:pPr>
              <w:spacing w:after="0" w:line="240" w:lineRule="auto"/>
              <w:jc w:val="right"/>
              <w:rPr>
                <w:rFonts w:cstheme="minorHAnsi"/>
                <w:szCs w:val="18"/>
              </w:rPr>
            </w:pPr>
            <w:r w:rsidRPr="00502563">
              <w:rPr>
                <w:rFonts w:cstheme="minorHAnsi"/>
                <w:szCs w:val="18"/>
              </w:rPr>
              <w:t>0</w:t>
            </w:r>
          </w:p>
          <w:p w14:paraId="76E90F55" w14:textId="6F766FFE" w:rsidR="00FE050F" w:rsidRPr="00502563" w:rsidRDefault="00FE050F" w:rsidP="004F6BD6">
            <w:pPr>
              <w:spacing w:after="0" w:line="240" w:lineRule="auto"/>
              <w:jc w:val="right"/>
              <w:rPr>
                <w:rFonts w:cstheme="minorHAnsi"/>
                <w:szCs w:val="18"/>
              </w:rPr>
            </w:pPr>
            <w:r w:rsidRPr="00502563">
              <w:rPr>
                <w:rFonts w:cstheme="minorHAnsi"/>
                <w:szCs w:val="18"/>
              </w:rPr>
              <w:t xml:space="preserve">(1 dvorana u izgradnji) </w:t>
            </w:r>
          </w:p>
        </w:tc>
        <w:tc>
          <w:tcPr>
            <w:tcW w:w="2873" w:type="dxa"/>
            <w:shd w:val="clear" w:color="auto" w:fill="FFFFFF" w:themeFill="background1"/>
            <w:noWrap/>
          </w:tcPr>
          <w:p w14:paraId="65FE1FBF" w14:textId="77777777" w:rsidR="00FE050F" w:rsidRPr="00502563" w:rsidRDefault="00FE050F" w:rsidP="004F6BD6">
            <w:pPr>
              <w:spacing w:after="0" w:line="240" w:lineRule="auto"/>
              <w:jc w:val="right"/>
              <w:rPr>
                <w:rFonts w:cstheme="minorHAnsi"/>
                <w:szCs w:val="18"/>
              </w:rPr>
            </w:pPr>
            <w:r w:rsidRPr="00502563">
              <w:rPr>
                <w:rFonts w:cstheme="minorHAnsi"/>
                <w:szCs w:val="18"/>
              </w:rPr>
              <w:t>3</w:t>
            </w:r>
          </w:p>
        </w:tc>
        <w:tc>
          <w:tcPr>
            <w:tcW w:w="684" w:type="dxa"/>
            <w:shd w:val="clear" w:color="auto" w:fill="FFFFFF" w:themeFill="background1"/>
            <w:noWrap/>
            <w:vAlign w:val="center"/>
          </w:tcPr>
          <w:p w14:paraId="6114C391"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c>
          <w:tcPr>
            <w:tcW w:w="684" w:type="dxa"/>
            <w:shd w:val="clear" w:color="auto" w:fill="FFFFFF" w:themeFill="background1"/>
            <w:noWrap/>
            <w:vAlign w:val="center"/>
          </w:tcPr>
          <w:p w14:paraId="749F8211" w14:textId="77777777" w:rsidR="00FE050F" w:rsidRPr="00502563" w:rsidRDefault="00FE050F" w:rsidP="004F6BD6">
            <w:pPr>
              <w:spacing w:after="0" w:line="240" w:lineRule="auto"/>
              <w:jc w:val="right"/>
              <w:rPr>
                <w:rFonts w:cstheme="minorHAnsi"/>
                <w:szCs w:val="18"/>
              </w:rPr>
            </w:pPr>
            <w:r w:rsidRPr="00502563">
              <w:rPr>
                <w:rFonts w:cstheme="minorHAnsi"/>
                <w:szCs w:val="18"/>
              </w:rPr>
              <w:t>ne</w:t>
            </w:r>
          </w:p>
        </w:tc>
        <w:tc>
          <w:tcPr>
            <w:tcW w:w="820" w:type="dxa"/>
            <w:shd w:val="clear" w:color="auto" w:fill="FFFFFF" w:themeFill="background1"/>
            <w:noWrap/>
            <w:vAlign w:val="center"/>
          </w:tcPr>
          <w:p w14:paraId="264DB1B3" w14:textId="77777777" w:rsidR="00FE050F" w:rsidRPr="00502563" w:rsidRDefault="00FE050F" w:rsidP="004F6BD6">
            <w:pPr>
              <w:spacing w:after="0" w:line="240" w:lineRule="auto"/>
              <w:jc w:val="right"/>
              <w:rPr>
                <w:rFonts w:cstheme="minorHAnsi"/>
                <w:szCs w:val="18"/>
              </w:rPr>
            </w:pPr>
            <w:r w:rsidRPr="00502563">
              <w:rPr>
                <w:rFonts w:cstheme="minorHAnsi"/>
                <w:szCs w:val="18"/>
              </w:rPr>
              <w:t>da</w:t>
            </w:r>
          </w:p>
        </w:tc>
      </w:tr>
    </w:tbl>
    <w:p w14:paraId="23286940" w14:textId="7222B196" w:rsidR="008878A0" w:rsidRPr="003D517E" w:rsidRDefault="008878A0" w:rsidP="003C2276">
      <w:pPr>
        <w:pStyle w:val="Izvor"/>
        <w:rPr>
          <w:i/>
          <w:color w:val="ABABAB" w:themeColor="text1" w:themeTint="A6"/>
          <w:sz w:val="16"/>
          <w:szCs w:val="16"/>
        </w:rPr>
      </w:pPr>
      <w:r w:rsidRPr="003D517E">
        <w:rPr>
          <w:i/>
          <w:color w:val="ABABAB" w:themeColor="text1" w:themeTint="A6"/>
          <w:sz w:val="16"/>
          <w:szCs w:val="16"/>
        </w:rPr>
        <w:t xml:space="preserve">Izvor: </w:t>
      </w:r>
      <w:r w:rsidR="0026418E" w:rsidRPr="003D517E">
        <w:rPr>
          <w:i/>
          <w:color w:val="ABABAB" w:themeColor="text1" w:themeTint="A6"/>
          <w:sz w:val="16"/>
          <w:szCs w:val="16"/>
        </w:rPr>
        <w:t xml:space="preserve">Zagorska razvojna agencija, 2019. </w:t>
      </w:r>
    </w:p>
    <w:p w14:paraId="605A8DFF" w14:textId="77777777" w:rsidR="008878A0" w:rsidRDefault="008878A0" w:rsidP="00941871">
      <w:pPr>
        <w:autoSpaceDE w:val="0"/>
        <w:autoSpaceDN w:val="0"/>
        <w:adjustRightInd w:val="0"/>
        <w:spacing w:after="0" w:line="240" w:lineRule="auto"/>
        <w:rPr>
          <w:rFonts w:eastAsia="ArialNarrow" w:cstheme="minorHAnsi"/>
          <w:sz w:val="22"/>
        </w:rPr>
      </w:pPr>
    </w:p>
    <w:p w14:paraId="0D064FFF" w14:textId="70D8CCF9" w:rsidR="008878A0" w:rsidRDefault="008878A0" w:rsidP="00941871">
      <w:pPr>
        <w:autoSpaceDE w:val="0"/>
        <w:autoSpaceDN w:val="0"/>
        <w:adjustRightInd w:val="0"/>
        <w:spacing w:after="0" w:line="240" w:lineRule="auto"/>
        <w:rPr>
          <w:rFonts w:eastAsia="ArialNarrow" w:cstheme="minorHAnsi"/>
        </w:rPr>
      </w:pPr>
      <w:r>
        <w:rPr>
          <w:rFonts w:eastAsia="ArialNarrow" w:cstheme="minorHAnsi"/>
        </w:rPr>
        <w:t xml:space="preserve">U </w:t>
      </w:r>
      <w:r w:rsidR="00403C3D">
        <w:rPr>
          <w:rFonts w:eastAsia="ArialNarrow" w:cstheme="minorHAnsi"/>
        </w:rPr>
        <w:t>G</w:t>
      </w:r>
      <w:r>
        <w:rPr>
          <w:rFonts w:eastAsia="ArialNarrow" w:cstheme="minorHAnsi"/>
        </w:rPr>
        <w:t xml:space="preserve">radu Krapini kao </w:t>
      </w:r>
      <w:r w:rsidR="007E544D">
        <w:rPr>
          <w:rFonts w:eastAsia="ArialNarrow" w:cstheme="minorHAnsi"/>
        </w:rPr>
        <w:t>županijskom</w:t>
      </w:r>
      <w:r>
        <w:rPr>
          <w:rFonts w:eastAsia="ArialNarrow" w:cstheme="minorHAnsi"/>
        </w:rPr>
        <w:t xml:space="preserve"> središtu najviše je sportskih igrališta</w:t>
      </w:r>
      <w:r w:rsidR="00943AF1">
        <w:rPr>
          <w:rFonts w:eastAsia="ArialNarrow" w:cstheme="minorHAnsi"/>
        </w:rPr>
        <w:t>,</w:t>
      </w:r>
      <w:r>
        <w:rPr>
          <w:rFonts w:eastAsia="ArialNarrow" w:cstheme="minorHAnsi"/>
        </w:rPr>
        <w:t xml:space="preserve"> njih 19. </w:t>
      </w:r>
      <w:r w:rsidR="00654FD3">
        <w:rPr>
          <w:rFonts w:eastAsia="ArialNarrow" w:cstheme="minorHAnsi"/>
        </w:rPr>
        <w:t xml:space="preserve">Potom slijede </w:t>
      </w:r>
      <w:r w:rsidR="00943AF1">
        <w:rPr>
          <w:rFonts w:eastAsia="ArialNarrow" w:cstheme="minorHAnsi"/>
        </w:rPr>
        <w:t>Grad</w:t>
      </w:r>
      <w:r>
        <w:rPr>
          <w:rFonts w:eastAsia="ArialNarrow" w:cstheme="minorHAnsi"/>
        </w:rPr>
        <w:t xml:space="preserve"> Pregrada i </w:t>
      </w:r>
      <w:r w:rsidR="00943AF1">
        <w:rPr>
          <w:rFonts w:eastAsia="ArialNarrow" w:cstheme="minorHAnsi"/>
        </w:rPr>
        <w:t xml:space="preserve">Općina </w:t>
      </w:r>
      <w:r>
        <w:rPr>
          <w:rFonts w:eastAsia="ArialNarrow" w:cstheme="minorHAnsi"/>
        </w:rPr>
        <w:t>Sveti Križ Začretje</w:t>
      </w:r>
      <w:r w:rsidR="00654FD3">
        <w:rPr>
          <w:rFonts w:eastAsia="ArialNarrow" w:cstheme="minorHAnsi"/>
        </w:rPr>
        <w:t xml:space="preserve"> koji</w:t>
      </w:r>
      <w:r>
        <w:rPr>
          <w:rFonts w:eastAsia="ArialNarrow" w:cstheme="minorHAnsi"/>
        </w:rPr>
        <w:t xml:space="preserve"> imaju po 15 sportskih igrališta</w:t>
      </w:r>
      <w:r w:rsidR="00CF28ED">
        <w:rPr>
          <w:rFonts w:eastAsia="ArialNarrow" w:cstheme="minorHAnsi"/>
        </w:rPr>
        <w:t xml:space="preserve">. </w:t>
      </w:r>
      <w:r w:rsidR="00654FD3">
        <w:rPr>
          <w:rFonts w:eastAsia="ArialNarrow" w:cstheme="minorHAnsi"/>
        </w:rPr>
        <w:t>Ostali gradovi i općine kreću se u rasponu od 1 do 9 sportskih igrališta</w:t>
      </w:r>
      <w:r>
        <w:rPr>
          <w:rFonts w:eastAsia="ArialNarrow" w:cstheme="minorHAnsi"/>
        </w:rPr>
        <w:t xml:space="preserve">. </w:t>
      </w:r>
      <w:r w:rsidR="00654FD3">
        <w:rPr>
          <w:rFonts w:eastAsia="ArialNarrow" w:cstheme="minorHAnsi"/>
        </w:rPr>
        <w:t>Što se tiče sportskih dvorana, po 3 dvorane</w:t>
      </w:r>
      <w:r w:rsidR="00403C3D">
        <w:rPr>
          <w:rFonts w:eastAsia="ArialNarrow" w:cstheme="minorHAnsi"/>
        </w:rPr>
        <w:t xml:space="preserve"> nalaz</w:t>
      </w:r>
      <w:r w:rsidR="00654FD3">
        <w:rPr>
          <w:rFonts w:eastAsia="ArialNarrow" w:cstheme="minorHAnsi"/>
        </w:rPr>
        <w:t>e</w:t>
      </w:r>
      <w:r w:rsidR="00403C3D">
        <w:rPr>
          <w:rFonts w:eastAsia="ArialNarrow" w:cstheme="minorHAnsi"/>
        </w:rPr>
        <w:t xml:space="preserve"> se u Gradu Krapini</w:t>
      </w:r>
      <w:r w:rsidR="00654FD3">
        <w:rPr>
          <w:rFonts w:eastAsia="ArialNarrow" w:cstheme="minorHAnsi"/>
        </w:rPr>
        <w:t xml:space="preserve">, Gradu Zaboku te </w:t>
      </w:r>
      <w:r w:rsidR="00403C3D">
        <w:rPr>
          <w:rFonts w:eastAsia="ArialNarrow" w:cstheme="minorHAnsi"/>
        </w:rPr>
        <w:t>Općini Bedekovčina</w:t>
      </w:r>
      <w:r w:rsidR="00654FD3">
        <w:rPr>
          <w:rFonts w:eastAsia="ArialNarrow" w:cstheme="minorHAnsi"/>
        </w:rPr>
        <w:t>. Grad Pregrada ima 2 sportske dvorane, dok ostali gradovi i općine imaju 1. Prema zadnje dostupnim podacima 5 jedinica lokalne samouprave nema sportsku dvoranu.</w:t>
      </w:r>
      <w:r w:rsidR="00403C3D">
        <w:rPr>
          <w:rFonts w:eastAsia="ArialNarrow" w:cstheme="minorHAnsi"/>
        </w:rPr>
        <w:t xml:space="preserve"> </w:t>
      </w:r>
      <w:r w:rsidR="00CF28ED">
        <w:rPr>
          <w:rFonts w:eastAsia="ArialNarrow" w:cstheme="minorHAnsi"/>
        </w:rPr>
        <w:t xml:space="preserve">Najviše </w:t>
      </w:r>
      <w:r>
        <w:rPr>
          <w:rFonts w:eastAsia="ArialNarrow" w:cstheme="minorHAnsi"/>
        </w:rPr>
        <w:t xml:space="preserve">dječjih igrališta je u </w:t>
      </w:r>
      <w:r w:rsidR="00943AF1">
        <w:rPr>
          <w:rFonts w:eastAsia="ArialNarrow" w:cstheme="minorHAnsi"/>
        </w:rPr>
        <w:t xml:space="preserve">Gradu </w:t>
      </w:r>
      <w:r>
        <w:rPr>
          <w:rFonts w:eastAsia="ArialNarrow" w:cstheme="minorHAnsi"/>
        </w:rPr>
        <w:t>Zaboku</w:t>
      </w:r>
      <w:r w:rsidR="006271C8">
        <w:rPr>
          <w:rFonts w:eastAsia="ArialNarrow" w:cstheme="minorHAnsi"/>
        </w:rPr>
        <w:t>,</w:t>
      </w:r>
      <w:r>
        <w:rPr>
          <w:rFonts w:eastAsia="ArialNarrow" w:cstheme="minorHAnsi"/>
        </w:rPr>
        <w:t xml:space="preserve"> njih 26.</w:t>
      </w:r>
      <w:r w:rsidR="00943AF1">
        <w:rPr>
          <w:rFonts w:eastAsia="ArialNarrow" w:cstheme="minorHAnsi"/>
        </w:rPr>
        <w:t xml:space="preserve"> Grad</w:t>
      </w:r>
      <w:r>
        <w:rPr>
          <w:rFonts w:eastAsia="ArialNarrow" w:cstheme="minorHAnsi"/>
        </w:rPr>
        <w:t xml:space="preserve"> Krapina slijedi s 18 dječjih igrališta dok je u ostalim općinama </w:t>
      </w:r>
      <w:r w:rsidR="00403C3D">
        <w:rPr>
          <w:rFonts w:eastAsia="ArialNarrow" w:cstheme="minorHAnsi"/>
        </w:rPr>
        <w:t xml:space="preserve">njihov broj nešto niži i kreće se do 14 </w:t>
      </w:r>
      <w:r w:rsidR="006271C8">
        <w:rPr>
          <w:rFonts w:eastAsia="ArialNarrow" w:cstheme="minorHAnsi"/>
        </w:rPr>
        <w:t>koliko ih je u</w:t>
      </w:r>
      <w:r w:rsidR="00943AF1">
        <w:rPr>
          <w:rFonts w:eastAsia="ArialNarrow" w:cstheme="minorHAnsi"/>
        </w:rPr>
        <w:t xml:space="preserve"> </w:t>
      </w:r>
      <w:r w:rsidR="00403C3D">
        <w:rPr>
          <w:rFonts w:eastAsia="ArialNarrow" w:cstheme="minorHAnsi"/>
        </w:rPr>
        <w:t xml:space="preserve">Općini </w:t>
      </w:r>
      <w:r>
        <w:rPr>
          <w:rFonts w:eastAsia="ArialNarrow" w:cstheme="minorHAnsi"/>
        </w:rPr>
        <w:t>Svet</w:t>
      </w:r>
      <w:r w:rsidR="00943AF1">
        <w:rPr>
          <w:rFonts w:eastAsia="ArialNarrow" w:cstheme="minorHAnsi"/>
        </w:rPr>
        <w:t xml:space="preserve">i </w:t>
      </w:r>
      <w:r>
        <w:rPr>
          <w:rFonts w:eastAsia="ArialNarrow" w:cstheme="minorHAnsi"/>
        </w:rPr>
        <w:t>Križ Začretj</w:t>
      </w:r>
      <w:r w:rsidR="006271C8">
        <w:rPr>
          <w:rFonts w:eastAsia="ArialNarrow" w:cstheme="minorHAnsi"/>
        </w:rPr>
        <w:t>e</w:t>
      </w:r>
      <w:r>
        <w:rPr>
          <w:rFonts w:eastAsia="ArialNarrow" w:cstheme="minorHAnsi"/>
        </w:rPr>
        <w:t xml:space="preserve">. Što se domova kulture tiče tu </w:t>
      </w:r>
      <w:r w:rsidR="0026238F">
        <w:rPr>
          <w:rFonts w:eastAsia="ArialNarrow" w:cstheme="minorHAnsi"/>
        </w:rPr>
        <w:t xml:space="preserve">spadaju </w:t>
      </w:r>
      <w:r>
        <w:rPr>
          <w:rFonts w:eastAsia="ArialNarrow" w:cstheme="minorHAnsi"/>
        </w:rPr>
        <w:t>vatrogasni domovi, lovački domovi, ribički domovi, planinarski domovi, gradske galerije, knjižni</w:t>
      </w:r>
      <w:r w:rsidR="0026238F">
        <w:rPr>
          <w:rFonts w:eastAsia="ArialNarrow" w:cstheme="minorHAnsi"/>
        </w:rPr>
        <w:t>ce, kulturni centri itd. P</w:t>
      </w:r>
      <w:r>
        <w:rPr>
          <w:rFonts w:eastAsia="ArialNarrow" w:cstheme="minorHAnsi"/>
        </w:rPr>
        <w:t xml:space="preserve">ojedini </w:t>
      </w:r>
      <w:r w:rsidR="0026238F">
        <w:rPr>
          <w:rFonts w:eastAsia="ArialNarrow" w:cstheme="minorHAnsi"/>
        </w:rPr>
        <w:t xml:space="preserve">su </w:t>
      </w:r>
      <w:r>
        <w:rPr>
          <w:rFonts w:eastAsia="ArialNarrow" w:cstheme="minorHAnsi"/>
        </w:rPr>
        <w:t>od njih zastupljeni u svim gradovima i općinama.</w:t>
      </w:r>
    </w:p>
    <w:p w14:paraId="31B70040" w14:textId="5491731C" w:rsidR="00F43132" w:rsidRDefault="00F43132" w:rsidP="00941871">
      <w:pPr>
        <w:autoSpaceDE w:val="0"/>
        <w:autoSpaceDN w:val="0"/>
        <w:adjustRightInd w:val="0"/>
        <w:spacing w:after="0" w:line="240" w:lineRule="auto"/>
        <w:rPr>
          <w:rFonts w:eastAsia="ArialNarrow" w:cstheme="minorHAnsi"/>
        </w:rPr>
      </w:pPr>
    </w:p>
    <w:p w14:paraId="103759E3" w14:textId="19618EBF" w:rsidR="00F43132" w:rsidRPr="00F43132" w:rsidRDefault="00F43132" w:rsidP="00F43132">
      <w:pPr>
        <w:pStyle w:val="Naslov2"/>
      </w:pPr>
      <w:bookmarkStart w:id="104" w:name="_Toc85181305"/>
      <w:r>
        <w:t>7.2. Stanogradnja i stanovanje</w:t>
      </w:r>
      <w:bookmarkEnd w:id="104"/>
    </w:p>
    <w:p w14:paraId="36801F60" w14:textId="77777777" w:rsidR="00F43132" w:rsidRDefault="00F43132" w:rsidP="00F43132">
      <w:pPr>
        <w:autoSpaceDE w:val="0"/>
        <w:autoSpaceDN w:val="0"/>
        <w:adjustRightInd w:val="0"/>
        <w:spacing w:after="0" w:line="240" w:lineRule="auto"/>
        <w:rPr>
          <w:rFonts w:eastAsia="ArialNarrow" w:cstheme="minorHAnsi"/>
          <w:sz w:val="20"/>
        </w:rPr>
      </w:pPr>
    </w:p>
    <w:p w14:paraId="6C406B68" w14:textId="3E2D7A7C" w:rsidR="00F43132" w:rsidRDefault="00F43132" w:rsidP="00F43132">
      <w:pPr>
        <w:autoSpaceDE w:val="0"/>
        <w:autoSpaceDN w:val="0"/>
        <w:adjustRightInd w:val="0"/>
        <w:spacing w:after="0" w:line="240" w:lineRule="auto"/>
        <w:rPr>
          <w:rFonts w:eastAsia="ArialNarrow" w:cstheme="minorHAnsi"/>
          <w:sz w:val="20"/>
        </w:rPr>
      </w:pPr>
      <w:r>
        <w:rPr>
          <w:rFonts w:eastAsia="ArialNarrow" w:cstheme="minorHAnsi"/>
        </w:rPr>
        <w:t>Kvaliteta stanovanja ukazuje na kvalitetu života koju nudi određeni prostor, ali podrazumijeva i primjenu standarda kvalitete u prostornom planiranju stambenih naselja. Kvalitetno stanovanje podrazumijeva osiguravanje potrebnih sadržaja u susjedstvu, mobilnost i dostupnost javne mreže te društvene infrastrukture. Sustavno podizanje kvalitete stanovanja preduvjet je za podizanje kulture stanovanja, dok je visoka razina društvene svijesti o značaju izgrađenog prostora preduvjet za ostvarivanje njegove kvalitete.</w:t>
      </w:r>
      <w:r>
        <w:rPr>
          <w:rFonts w:cstheme="minorHAnsi"/>
          <w:vertAlign w:val="superscript"/>
        </w:rPr>
        <w:footnoteReference w:id="47"/>
      </w:r>
      <w:r>
        <w:rPr>
          <w:rFonts w:eastAsia="ArialNarrow" w:cstheme="minorHAnsi"/>
          <w:sz w:val="20"/>
        </w:rPr>
        <w:t xml:space="preserve"> </w:t>
      </w:r>
    </w:p>
    <w:p w14:paraId="71C0C9E0" w14:textId="5086B01B" w:rsidR="00C15A90" w:rsidRDefault="00C15A90" w:rsidP="00F43132">
      <w:pPr>
        <w:autoSpaceDE w:val="0"/>
        <w:autoSpaceDN w:val="0"/>
        <w:adjustRightInd w:val="0"/>
        <w:spacing w:after="0" w:line="240" w:lineRule="auto"/>
        <w:rPr>
          <w:rFonts w:eastAsia="ArialNarrow" w:cstheme="minorHAnsi"/>
          <w:sz w:val="20"/>
        </w:rPr>
      </w:pPr>
    </w:p>
    <w:p w14:paraId="0BC0BD63" w14:textId="588F1265" w:rsidR="00E14B3D" w:rsidRDefault="00C15A90" w:rsidP="00F43132">
      <w:pPr>
        <w:autoSpaceDE w:val="0"/>
        <w:autoSpaceDN w:val="0"/>
        <w:adjustRightInd w:val="0"/>
        <w:spacing w:after="0" w:line="240" w:lineRule="auto"/>
        <w:rPr>
          <w:rFonts w:eastAsia="ArialNarrow" w:cstheme="minorHAnsi"/>
        </w:rPr>
      </w:pPr>
      <w:r w:rsidRPr="006154B8">
        <w:rPr>
          <w:rFonts w:eastAsia="ArialNarrow" w:cstheme="minorHAnsi"/>
        </w:rPr>
        <w:t xml:space="preserve">U 2020.godini na području Krapinsko-zagorske županije </w:t>
      </w:r>
      <w:r w:rsidR="00FD1F86" w:rsidRPr="006154B8">
        <w:rPr>
          <w:rFonts w:eastAsia="ArialNarrow" w:cstheme="minorHAnsi"/>
        </w:rPr>
        <w:t>završena je 151 zgrada, manje nego u 2019. godini (164). Od toga je 64% stambenih zgrada i 36% nestambenih zgrada.</w:t>
      </w:r>
      <w:r w:rsidR="00504FD9" w:rsidRPr="00504FD9">
        <w:rPr>
          <w:rFonts w:eastAsia="ArialNarrow" w:cstheme="minorHAnsi"/>
        </w:rPr>
        <w:t xml:space="preserve"> Površina završenih zgrada iznosila je 51 439 m</w:t>
      </w:r>
      <w:r w:rsidR="00504FD9" w:rsidRPr="00504FD9">
        <w:rPr>
          <w:rFonts w:eastAsia="ArialNarrow" w:cstheme="minorHAnsi"/>
          <w:vertAlign w:val="superscript"/>
        </w:rPr>
        <w:t>2</w:t>
      </w:r>
      <w:r w:rsidR="00504FD9" w:rsidRPr="00504FD9">
        <w:rPr>
          <w:rFonts w:eastAsia="ArialNarrow" w:cstheme="minorHAnsi"/>
        </w:rPr>
        <w:t>, više nego u 2019 (51.313 m</w:t>
      </w:r>
      <w:r w:rsidR="00504FD9" w:rsidRPr="00504FD9">
        <w:rPr>
          <w:rFonts w:eastAsia="ArialNarrow" w:cstheme="minorHAnsi"/>
          <w:vertAlign w:val="superscript"/>
        </w:rPr>
        <w:t>2</w:t>
      </w:r>
      <w:r w:rsidR="00504FD9" w:rsidRPr="00504FD9">
        <w:rPr>
          <w:rFonts w:eastAsia="ArialNarrow" w:cstheme="minorHAnsi"/>
        </w:rPr>
        <w:t>). Ukupno je završeno 151 novih stanova s prosječnom korisnom površinom od 0,93 m</w:t>
      </w:r>
      <w:r w:rsidR="00504FD9" w:rsidRPr="00504FD9">
        <w:rPr>
          <w:rFonts w:eastAsia="ArialNarrow" w:cstheme="minorHAnsi"/>
          <w:vertAlign w:val="superscript"/>
        </w:rPr>
        <w:t>2</w:t>
      </w:r>
      <w:r w:rsidR="00504FD9" w:rsidRPr="00504FD9">
        <w:rPr>
          <w:rFonts w:eastAsia="ArialNarrow" w:cstheme="minorHAnsi"/>
        </w:rPr>
        <w:t xml:space="preserve"> .</w:t>
      </w:r>
      <w:r w:rsidR="00D770FC">
        <w:rPr>
          <w:rFonts w:eastAsia="ArialNarrow" w:cstheme="minorHAnsi"/>
        </w:rPr>
        <w:t xml:space="preserve">U usporedbi sa županijama Sjeverne Hrvatske Krapinsko-zagorska županija ima najmanje izgrađenih </w:t>
      </w:r>
      <w:r w:rsidR="00504FD9">
        <w:rPr>
          <w:rFonts w:eastAsia="ArialNarrow" w:cstheme="minorHAnsi"/>
        </w:rPr>
        <w:t>zgrada</w:t>
      </w:r>
      <w:r w:rsidR="00D770FC">
        <w:rPr>
          <w:rFonts w:eastAsia="ArialNarrow" w:cstheme="minorHAnsi"/>
        </w:rPr>
        <w:t>. Općenito, n</w:t>
      </w:r>
      <w:r w:rsidR="00E14B3D">
        <w:rPr>
          <w:rFonts w:eastAsia="ArialNarrow" w:cstheme="minorHAnsi"/>
        </w:rPr>
        <w:t xml:space="preserve">ajviše završenih zgrada </w:t>
      </w:r>
      <w:r w:rsidR="00D770FC">
        <w:rPr>
          <w:rFonts w:eastAsia="ArialNarrow" w:cstheme="minorHAnsi"/>
        </w:rPr>
        <w:t>u Republici Hrvatskoj je u Zadarskoj županiji (816).</w:t>
      </w:r>
    </w:p>
    <w:p w14:paraId="6B5B3E71" w14:textId="26776991" w:rsidR="00D770FC" w:rsidRDefault="00D770FC" w:rsidP="00F43132">
      <w:pPr>
        <w:autoSpaceDE w:val="0"/>
        <w:autoSpaceDN w:val="0"/>
        <w:adjustRightInd w:val="0"/>
        <w:spacing w:after="0" w:line="240" w:lineRule="auto"/>
        <w:rPr>
          <w:rFonts w:eastAsia="ArialNarrow" w:cstheme="minorHAnsi"/>
        </w:rPr>
      </w:pPr>
    </w:p>
    <w:p w14:paraId="7C99592A" w14:textId="51094BB6" w:rsidR="00D770FC" w:rsidRPr="00D770FC" w:rsidRDefault="00D770FC" w:rsidP="00504FD9">
      <w:pPr>
        <w:pStyle w:val="Opisslike"/>
      </w:pPr>
      <w:r w:rsidRPr="00D770FC">
        <w:t>Tablica 4</w:t>
      </w:r>
      <w:r w:rsidR="000D5E3F">
        <w:t>8</w:t>
      </w:r>
      <w:r w:rsidRPr="00D770FC">
        <w:t xml:space="preserve">. </w:t>
      </w:r>
      <w:r w:rsidRPr="00504FD9">
        <w:t xml:space="preserve">Broj i građevinske veličine završenih zgrada </w:t>
      </w:r>
      <w:r w:rsidRPr="00D770FC">
        <w:t>201</w:t>
      </w:r>
      <w:r w:rsidRPr="00504FD9">
        <w:t>9</w:t>
      </w:r>
      <w:r w:rsidRPr="00D770FC">
        <w:t>. - 20</w:t>
      </w:r>
      <w:r w:rsidRPr="00504FD9">
        <w:t>20</w:t>
      </w:r>
      <w:r w:rsidRPr="00D770FC">
        <w:t>. godina</w:t>
      </w:r>
      <w:r w:rsidR="00504FD9">
        <w:t xml:space="preserve"> u </w:t>
      </w:r>
      <w:r w:rsidR="00504FD9" w:rsidRPr="00D770FC">
        <w:t>Republi</w:t>
      </w:r>
      <w:r w:rsidR="00504FD9">
        <w:t>ci</w:t>
      </w:r>
      <w:r w:rsidR="00504FD9" w:rsidRPr="00D770FC">
        <w:t xml:space="preserve"> Hrvatsk</w:t>
      </w:r>
      <w:r w:rsidR="00504FD9">
        <w:t>oj,</w:t>
      </w:r>
      <w:r w:rsidR="00504FD9" w:rsidRPr="00504FD9">
        <w:t xml:space="preserve"> </w:t>
      </w:r>
      <w:r w:rsidRPr="00D770FC">
        <w:t>Sjevern</w:t>
      </w:r>
      <w:r w:rsidR="00504FD9">
        <w:t>oj</w:t>
      </w:r>
      <w:r w:rsidRPr="00D770FC">
        <w:t xml:space="preserve"> Hrvatsk</w:t>
      </w:r>
      <w:r w:rsidR="00504FD9">
        <w:t>oj</w:t>
      </w:r>
      <w:r w:rsidRPr="00D770FC">
        <w:t xml:space="preserve"> i </w:t>
      </w:r>
      <w:r w:rsidR="00504FD9">
        <w:t>Krapinsko-zagorskoj županiji</w:t>
      </w:r>
    </w:p>
    <w:tbl>
      <w:tblPr>
        <w:tblW w:w="9280" w:type="dxa"/>
        <w:jc w:val="center"/>
        <w:tblBorders>
          <w:insideH w:val="single" w:sz="8" w:space="0" w:color="F3CFC1"/>
        </w:tblBorders>
        <w:tblLook w:val="04A0" w:firstRow="1" w:lastRow="0" w:firstColumn="1" w:lastColumn="0" w:noHBand="0" w:noVBand="1"/>
      </w:tblPr>
      <w:tblGrid>
        <w:gridCol w:w="1154"/>
        <w:gridCol w:w="630"/>
        <w:gridCol w:w="1134"/>
        <w:gridCol w:w="1052"/>
        <w:gridCol w:w="1259"/>
        <w:gridCol w:w="629"/>
        <w:gridCol w:w="1023"/>
        <w:gridCol w:w="1140"/>
        <w:gridCol w:w="1259"/>
      </w:tblGrid>
      <w:tr w:rsidR="007436EF" w:rsidRPr="00D770FC" w14:paraId="6E0946FE" w14:textId="146F8C80" w:rsidTr="007436EF">
        <w:trPr>
          <w:trHeight w:val="318"/>
          <w:tblHeader/>
          <w:jc w:val="center"/>
        </w:trPr>
        <w:tc>
          <w:tcPr>
            <w:tcW w:w="1154" w:type="dxa"/>
            <w:tcBorders>
              <w:top w:val="nil"/>
              <w:left w:val="single" w:sz="8" w:space="0" w:color="D2232A"/>
              <w:right w:val="single" w:sz="4" w:space="0" w:color="FFFFFF" w:themeColor="background1"/>
            </w:tcBorders>
            <w:shd w:val="clear" w:color="auto" w:fill="D2232A"/>
            <w:vAlign w:val="center"/>
          </w:tcPr>
          <w:p w14:paraId="58B72F83" w14:textId="5AF2049D" w:rsidR="007436EF" w:rsidRPr="00504FD9" w:rsidRDefault="007436EF" w:rsidP="00D770FC">
            <w:pPr>
              <w:autoSpaceDE w:val="0"/>
              <w:autoSpaceDN w:val="0"/>
              <w:adjustRightInd w:val="0"/>
              <w:spacing w:after="0" w:line="240" w:lineRule="auto"/>
              <w:rPr>
                <w:rFonts w:eastAsia="ArialNarrow" w:cstheme="minorHAnsi"/>
                <w:b/>
                <w:bCs/>
                <w:color w:val="FFFFFF" w:themeColor="background1"/>
              </w:rPr>
            </w:pPr>
            <w:r w:rsidRPr="00504FD9">
              <w:rPr>
                <w:rFonts w:eastAsia="ArialNarrow" w:cstheme="minorHAnsi"/>
                <w:b/>
                <w:bCs/>
                <w:color w:val="FFFFFF" w:themeColor="background1"/>
              </w:rPr>
              <w:t>Godina</w:t>
            </w:r>
          </w:p>
        </w:tc>
        <w:tc>
          <w:tcPr>
            <w:tcW w:w="4075" w:type="dxa"/>
            <w:gridSpan w:val="4"/>
            <w:tcBorders>
              <w:top w:val="nil"/>
              <w:left w:val="single" w:sz="4" w:space="0" w:color="FFFFFF" w:themeColor="background1"/>
              <w:right w:val="single" w:sz="4" w:space="0" w:color="FFFFFF" w:themeColor="background1"/>
            </w:tcBorders>
            <w:shd w:val="clear" w:color="auto" w:fill="D2232A"/>
            <w:vAlign w:val="center"/>
          </w:tcPr>
          <w:p w14:paraId="3088CF0F" w14:textId="105582CB" w:rsidR="007436EF" w:rsidRPr="00504FD9" w:rsidRDefault="007436EF" w:rsidP="00D770FC">
            <w:pPr>
              <w:autoSpaceDE w:val="0"/>
              <w:autoSpaceDN w:val="0"/>
              <w:adjustRightInd w:val="0"/>
              <w:spacing w:after="0" w:line="240" w:lineRule="auto"/>
              <w:jc w:val="center"/>
              <w:rPr>
                <w:rFonts w:eastAsia="ArialNarrow" w:cstheme="minorHAnsi"/>
                <w:b/>
                <w:bCs/>
                <w:color w:val="FFFFFF" w:themeColor="background1"/>
              </w:rPr>
            </w:pPr>
            <w:r w:rsidRPr="00504FD9">
              <w:rPr>
                <w:rFonts w:eastAsia="ArialNarrow" w:cstheme="minorHAnsi"/>
                <w:b/>
                <w:bCs/>
                <w:color w:val="FFFFFF" w:themeColor="background1"/>
              </w:rPr>
              <w:t>2019</w:t>
            </w:r>
          </w:p>
        </w:tc>
        <w:tc>
          <w:tcPr>
            <w:tcW w:w="4051" w:type="dxa"/>
            <w:gridSpan w:val="4"/>
            <w:tcBorders>
              <w:top w:val="nil"/>
              <w:left w:val="single" w:sz="4" w:space="0" w:color="FFFFFF" w:themeColor="background1"/>
              <w:right w:val="single" w:sz="8" w:space="0" w:color="D2232A"/>
            </w:tcBorders>
            <w:shd w:val="clear" w:color="auto" w:fill="D2232A"/>
            <w:vAlign w:val="center"/>
          </w:tcPr>
          <w:p w14:paraId="166DC805" w14:textId="2607675D" w:rsidR="007436EF" w:rsidRPr="00504FD9" w:rsidRDefault="007436EF" w:rsidP="007436EF">
            <w:pPr>
              <w:autoSpaceDE w:val="0"/>
              <w:autoSpaceDN w:val="0"/>
              <w:adjustRightInd w:val="0"/>
              <w:spacing w:after="0" w:line="240" w:lineRule="auto"/>
              <w:jc w:val="center"/>
              <w:rPr>
                <w:rFonts w:eastAsia="ArialNarrow" w:cstheme="minorHAnsi"/>
                <w:b/>
                <w:bCs/>
                <w:color w:val="FFFFFF" w:themeColor="background1"/>
              </w:rPr>
            </w:pPr>
            <w:r w:rsidRPr="00504FD9">
              <w:rPr>
                <w:rFonts w:eastAsia="ArialNarrow" w:cstheme="minorHAnsi"/>
                <w:b/>
                <w:bCs/>
                <w:color w:val="FFFFFF" w:themeColor="background1"/>
              </w:rPr>
              <w:t>2020.</w:t>
            </w:r>
          </w:p>
        </w:tc>
      </w:tr>
      <w:tr w:rsidR="007436EF" w:rsidRPr="00D770FC" w14:paraId="0BF44BD7" w14:textId="0C9F202A" w:rsidTr="007436EF">
        <w:trPr>
          <w:trHeight w:val="318"/>
          <w:tblHeader/>
          <w:jc w:val="center"/>
        </w:trPr>
        <w:tc>
          <w:tcPr>
            <w:tcW w:w="1154" w:type="dxa"/>
            <w:tcBorders>
              <w:top w:val="nil"/>
              <w:left w:val="single" w:sz="8" w:space="0" w:color="D2232A"/>
              <w:right w:val="single" w:sz="4" w:space="0" w:color="FFFFFF" w:themeColor="background1"/>
            </w:tcBorders>
            <w:shd w:val="clear" w:color="auto" w:fill="D2232A"/>
            <w:vAlign w:val="center"/>
            <w:hideMark/>
          </w:tcPr>
          <w:p w14:paraId="21FE99CB" w14:textId="089457B8" w:rsidR="007436EF" w:rsidRPr="00D770FC" w:rsidRDefault="007436EF" w:rsidP="00D770FC">
            <w:pPr>
              <w:autoSpaceDE w:val="0"/>
              <w:autoSpaceDN w:val="0"/>
              <w:adjustRightInd w:val="0"/>
              <w:spacing w:after="0" w:line="240" w:lineRule="auto"/>
              <w:rPr>
                <w:rFonts w:eastAsia="ArialNarrow" w:cstheme="minorHAnsi"/>
                <w:b/>
                <w:bCs/>
                <w:color w:val="FFFFFF" w:themeColor="background1"/>
              </w:rPr>
            </w:pPr>
            <w:r w:rsidRPr="00504FD9">
              <w:rPr>
                <w:rFonts w:eastAsia="ArialNarrow" w:cstheme="minorHAnsi"/>
                <w:b/>
                <w:bCs/>
                <w:color w:val="FFFFFF" w:themeColor="background1"/>
              </w:rPr>
              <w:t>Završene zgrade</w:t>
            </w:r>
          </w:p>
        </w:tc>
        <w:tc>
          <w:tcPr>
            <w:tcW w:w="1764" w:type="dxa"/>
            <w:gridSpan w:val="2"/>
            <w:tcBorders>
              <w:top w:val="nil"/>
              <w:left w:val="single" w:sz="4" w:space="0" w:color="FFFFFF" w:themeColor="background1"/>
              <w:right w:val="single" w:sz="4" w:space="0" w:color="FFFFFF" w:themeColor="background1"/>
            </w:tcBorders>
            <w:shd w:val="clear" w:color="auto" w:fill="D2232A"/>
            <w:vAlign w:val="center"/>
          </w:tcPr>
          <w:p w14:paraId="3F5ECC33" w14:textId="7E6F8542" w:rsidR="007436EF" w:rsidRPr="00D770FC" w:rsidRDefault="007436EF" w:rsidP="00D770FC">
            <w:pPr>
              <w:autoSpaceDE w:val="0"/>
              <w:autoSpaceDN w:val="0"/>
              <w:adjustRightInd w:val="0"/>
              <w:spacing w:after="0" w:line="240" w:lineRule="auto"/>
              <w:jc w:val="center"/>
              <w:rPr>
                <w:rFonts w:eastAsia="ArialNarrow" w:cstheme="minorHAnsi"/>
                <w:b/>
                <w:bCs/>
                <w:color w:val="FFFFFF" w:themeColor="background1"/>
              </w:rPr>
            </w:pPr>
            <w:r w:rsidRPr="00504FD9">
              <w:rPr>
                <w:rFonts w:eastAsia="ArialNarrow" w:cstheme="minorHAnsi"/>
                <w:b/>
                <w:bCs/>
                <w:color w:val="FFFFFF" w:themeColor="background1"/>
              </w:rPr>
              <w:t>UKUPNO</w:t>
            </w:r>
          </w:p>
        </w:tc>
        <w:tc>
          <w:tcPr>
            <w:tcW w:w="1052" w:type="dxa"/>
            <w:tcBorders>
              <w:top w:val="nil"/>
              <w:left w:val="single" w:sz="4" w:space="0" w:color="FFFFFF" w:themeColor="background1"/>
              <w:right w:val="single" w:sz="4" w:space="0" w:color="FFFFFF" w:themeColor="background1"/>
            </w:tcBorders>
            <w:shd w:val="clear" w:color="auto" w:fill="D2232A"/>
            <w:noWrap/>
            <w:vAlign w:val="center"/>
          </w:tcPr>
          <w:p w14:paraId="32CC96FF" w14:textId="48298B29" w:rsidR="007436EF" w:rsidRPr="00D770FC" w:rsidRDefault="007436EF" w:rsidP="00D770FC">
            <w:pPr>
              <w:autoSpaceDE w:val="0"/>
              <w:autoSpaceDN w:val="0"/>
              <w:adjustRightInd w:val="0"/>
              <w:spacing w:after="0" w:line="240" w:lineRule="auto"/>
              <w:jc w:val="center"/>
              <w:rPr>
                <w:rFonts w:eastAsia="ArialNarrow" w:cstheme="minorHAnsi"/>
                <w:b/>
                <w:bCs/>
                <w:color w:val="FFFFFF" w:themeColor="background1"/>
              </w:rPr>
            </w:pPr>
            <w:r w:rsidRPr="00504FD9">
              <w:rPr>
                <w:rFonts w:eastAsia="ArialNarrow" w:cstheme="minorHAnsi"/>
                <w:b/>
                <w:bCs/>
                <w:color w:val="FFFFFF" w:themeColor="background1"/>
              </w:rPr>
              <w:t>STAMBENE</w:t>
            </w:r>
          </w:p>
        </w:tc>
        <w:tc>
          <w:tcPr>
            <w:tcW w:w="1259" w:type="dxa"/>
            <w:tcBorders>
              <w:top w:val="nil"/>
              <w:left w:val="single" w:sz="4" w:space="0" w:color="FFFFFF" w:themeColor="background1"/>
              <w:right w:val="single" w:sz="4" w:space="0" w:color="FFFFFF" w:themeColor="background1"/>
            </w:tcBorders>
            <w:shd w:val="clear" w:color="auto" w:fill="D2232A"/>
            <w:noWrap/>
            <w:vAlign w:val="center"/>
          </w:tcPr>
          <w:p w14:paraId="6DC97FA3" w14:textId="37E554B6" w:rsidR="007436EF" w:rsidRPr="00D770FC" w:rsidRDefault="007436EF" w:rsidP="00D770FC">
            <w:pPr>
              <w:autoSpaceDE w:val="0"/>
              <w:autoSpaceDN w:val="0"/>
              <w:adjustRightInd w:val="0"/>
              <w:spacing w:after="0" w:line="240" w:lineRule="auto"/>
              <w:jc w:val="center"/>
              <w:rPr>
                <w:rFonts w:eastAsia="ArialNarrow" w:cstheme="minorHAnsi"/>
                <w:b/>
                <w:bCs/>
                <w:color w:val="FFFFFF" w:themeColor="background1"/>
              </w:rPr>
            </w:pPr>
            <w:r w:rsidRPr="00504FD9">
              <w:rPr>
                <w:rFonts w:eastAsia="ArialNarrow" w:cstheme="minorHAnsi"/>
                <w:b/>
                <w:bCs/>
                <w:color w:val="FFFFFF" w:themeColor="background1"/>
              </w:rPr>
              <w:t>NESTAMBENE</w:t>
            </w:r>
          </w:p>
        </w:tc>
        <w:tc>
          <w:tcPr>
            <w:tcW w:w="1652" w:type="dxa"/>
            <w:gridSpan w:val="2"/>
            <w:tcBorders>
              <w:top w:val="nil"/>
              <w:left w:val="single" w:sz="4" w:space="0" w:color="FFFFFF" w:themeColor="background1"/>
              <w:right w:val="single" w:sz="4" w:space="0" w:color="FFFFFF" w:themeColor="background1"/>
            </w:tcBorders>
            <w:shd w:val="clear" w:color="auto" w:fill="D2232A"/>
            <w:vAlign w:val="center"/>
          </w:tcPr>
          <w:p w14:paraId="3BD59650" w14:textId="1AD52047" w:rsidR="007436EF" w:rsidRPr="00D770FC" w:rsidRDefault="007436EF"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UKUPNO</w:t>
            </w:r>
          </w:p>
        </w:tc>
        <w:tc>
          <w:tcPr>
            <w:tcW w:w="1140" w:type="dxa"/>
            <w:tcBorders>
              <w:top w:val="nil"/>
              <w:left w:val="single" w:sz="4" w:space="0" w:color="FFFFFF" w:themeColor="background1"/>
              <w:right w:val="single" w:sz="4" w:space="0" w:color="FFFFFF" w:themeColor="background1"/>
            </w:tcBorders>
            <w:shd w:val="clear" w:color="auto" w:fill="D2232A"/>
            <w:vAlign w:val="center"/>
          </w:tcPr>
          <w:p w14:paraId="35401041" w14:textId="3EF327C8" w:rsidR="007436EF" w:rsidRPr="00D770FC" w:rsidRDefault="007436EF"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STAMBENE</w:t>
            </w:r>
          </w:p>
        </w:tc>
        <w:tc>
          <w:tcPr>
            <w:tcW w:w="1259" w:type="dxa"/>
            <w:tcBorders>
              <w:top w:val="nil"/>
              <w:left w:val="single" w:sz="4" w:space="0" w:color="FFFFFF" w:themeColor="background1"/>
              <w:right w:val="single" w:sz="8" w:space="0" w:color="D2232A"/>
            </w:tcBorders>
            <w:shd w:val="clear" w:color="auto" w:fill="D2232A"/>
            <w:vAlign w:val="center"/>
          </w:tcPr>
          <w:p w14:paraId="4FA1B583" w14:textId="1F24EA7B" w:rsidR="007436EF" w:rsidRDefault="007436EF"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NESTAMBENE</w:t>
            </w:r>
          </w:p>
        </w:tc>
      </w:tr>
      <w:tr w:rsidR="007436EF" w:rsidRPr="00D770FC" w14:paraId="77B97BC8" w14:textId="09BD3CA8" w:rsidTr="007436EF">
        <w:trPr>
          <w:trHeight w:val="318"/>
          <w:tblHeader/>
          <w:jc w:val="center"/>
        </w:trPr>
        <w:tc>
          <w:tcPr>
            <w:tcW w:w="1154" w:type="dxa"/>
            <w:tcBorders>
              <w:top w:val="nil"/>
              <w:left w:val="single" w:sz="8" w:space="0" w:color="D2232A"/>
              <w:right w:val="single" w:sz="4" w:space="0" w:color="FFFFFF" w:themeColor="background1"/>
            </w:tcBorders>
            <w:shd w:val="clear" w:color="auto" w:fill="D2232A"/>
            <w:vAlign w:val="center"/>
          </w:tcPr>
          <w:p w14:paraId="4F8FE8DD" w14:textId="010A6534" w:rsidR="007436EF" w:rsidRPr="00504FD9" w:rsidRDefault="007436EF" w:rsidP="00D770FC">
            <w:pPr>
              <w:autoSpaceDE w:val="0"/>
              <w:autoSpaceDN w:val="0"/>
              <w:adjustRightInd w:val="0"/>
              <w:spacing w:after="0" w:line="240" w:lineRule="auto"/>
              <w:rPr>
                <w:rFonts w:eastAsia="ArialNarrow" w:cstheme="minorHAnsi"/>
                <w:b/>
                <w:bCs/>
                <w:color w:val="FFFFFF" w:themeColor="background1"/>
              </w:rPr>
            </w:pPr>
            <w:r w:rsidRPr="00504FD9">
              <w:rPr>
                <w:rFonts w:eastAsia="ArialNarrow" w:cstheme="minorHAnsi"/>
                <w:b/>
                <w:bCs/>
                <w:color w:val="FFFFFF" w:themeColor="background1"/>
              </w:rPr>
              <w:t>Županija</w:t>
            </w:r>
          </w:p>
        </w:tc>
        <w:tc>
          <w:tcPr>
            <w:tcW w:w="630" w:type="dxa"/>
            <w:tcBorders>
              <w:top w:val="nil"/>
              <w:left w:val="single" w:sz="4" w:space="0" w:color="FFFFFF" w:themeColor="background1"/>
            </w:tcBorders>
            <w:shd w:val="clear" w:color="auto" w:fill="D2232A"/>
            <w:vAlign w:val="center"/>
          </w:tcPr>
          <w:p w14:paraId="0C45571C" w14:textId="1F31BE11" w:rsidR="007436EF" w:rsidRPr="00504FD9" w:rsidRDefault="007436EF" w:rsidP="00D770FC">
            <w:pPr>
              <w:autoSpaceDE w:val="0"/>
              <w:autoSpaceDN w:val="0"/>
              <w:adjustRightInd w:val="0"/>
              <w:spacing w:after="0" w:line="240" w:lineRule="auto"/>
              <w:jc w:val="center"/>
              <w:rPr>
                <w:rFonts w:eastAsia="ArialNarrow" w:cstheme="minorHAnsi"/>
                <w:b/>
                <w:bCs/>
                <w:color w:val="FFFFFF" w:themeColor="background1"/>
              </w:rPr>
            </w:pPr>
            <w:r w:rsidRPr="00504FD9">
              <w:rPr>
                <w:rFonts w:eastAsia="ArialNarrow" w:cstheme="minorHAnsi"/>
                <w:b/>
                <w:bCs/>
                <w:color w:val="FFFFFF" w:themeColor="background1"/>
              </w:rPr>
              <w:t>Broj</w:t>
            </w:r>
          </w:p>
        </w:tc>
        <w:tc>
          <w:tcPr>
            <w:tcW w:w="1134" w:type="dxa"/>
            <w:tcBorders>
              <w:top w:val="nil"/>
              <w:right w:val="single" w:sz="4" w:space="0" w:color="FFFFFF" w:themeColor="background1"/>
            </w:tcBorders>
            <w:shd w:val="clear" w:color="auto" w:fill="D2232A"/>
            <w:noWrap/>
            <w:vAlign w:val="center"/>
          </w:tcPr>
          <w:p w14:paraId="5EE533FC" w14:textId="35B5AC85" w:rsidR="007436EF" w:rsidRPr="00504FD9" w:rsidRDefault="007436EF" w:rsidP="00D770FC">
            <w:pPr>
              <w:autoSpaceDE w:val="0"/>
              <w:autoSpaceDN w:val="0"/>
              <w:adjustRightInd w:val="0"/>
              <w:spacing w:after="0" w:line="240" w:lineRule="auto"/>
              <w:jc w:val="center"/>
              <w:rPr>
                <w:rFonts w:eastAsia="ArialNarrow" w:cstheme="minorHAnsi"/>
                <w:b/>
                <w:bCs/>
                <w:color w:val="FFFFFF" w:themeColor="background1"/>
              </w:rPr>
            </w:pPr>
            <w:r w:rsidRPr="00504FD9">
              <w:rPr>
                <w:rFonts w:eastAsia="ArialNarrow" w:cstheme="minorHAnsi"/>
                <w:b/>
                <w:bCs/>
                <w:color w:val="FFFFFF" w:themeColor="background1"/>
              </w:rPr>
              <w:t>Površina</w:t>
            </w:r>
            <w:r>
              <w:rPr>
                <w:rFonts w:eastAsia="ArialNarrow" w:cstheme="minorHAnsi"/>
                <w:b/>
                <w:bCs/>
                <w:color w:val="FFFFFF" w:themeColor="background1"/>
              </w:rPr>
              <w:t xml:space="preserve"> (m</w:t>
            </w:r>
            <w:r w:rsidRPr="00504FD9">
              <w:rPr>
                <w:rFonts w:eastAsia="ArialNarrow" w:cstheme="minorHAnsi"/>
                <w:b/>
                <w:bCs/>
                <w:color w:val="FFFFFF" w:themeColor="background1"/>
                <w:vertAlign w:val="superscript"/>
              </w:rPr>
              <w:t>2</w:t>
            </w:r>
            <w:r>
              <w:rPr>
                <w:rFonts w:eastAsia="ArialNarrow" w:cstheme="minorHAnsi"/>
                <w:b/>
                <w:bCs/>
                <w:color w:val="FFFFFF" w:themeColor="background1"/>
              </w:rPr>
              <w:t>)</w:t>
            </w:r>
          </w:p>
        </w:tc>
        <w:tc>
          <w:tcPr>
            <w:tcW w:w="1052" w:type="dxa"/>
            <w:tcBorders>
              <w:top w:val="nil"/>
              <w:left w:val="single" w:sz="4" w:space="0" w:color="FFFFFF" w:themeColor="background1"/>
              <w:right w:val="single" w:sz="4" w:space="0" w:color="FFFFFF" w:themeColor="background1"/>
            </w:tcBorders>
            <w:shd w:val="clear" w:color="auto" w:fill="D2232A"/>
            <w:noWrap/>
            <w:vAlign w:val="center"/>
          </w:tcPr>
          <w:p w14:paraId="1A083240" w14:textId="7810E913" w:rsidR="007436EF" w:rsidRPr="00504FD9" w:rsidRDefault="007436EF" w:rsidP="00D770FC">
            <w:pPr>
              <w:autoSpaceDE w:val="0"/>
              <w:autoSpaceDN w:val="0"/>
              <w:adjustRightInd w:val="0"/>
              <w:spacing w:after="0" w:line="240" w:lineRule="auto"/>
              <w:rPr>
                <w:rFonts w:eastAsia="ArialNarrow" w:cstheme="minorHAnsi"/>
                <w:b/>
                <w:bCs/>
                <w:color w:val="FFFFFF" w:themeColor="background1"/>
              </w:rPr>
            </w:pPr>
            <w:r w:rsidRPr="00504FD9">
              <w:rPr>
                <w:rFonts w:eastAsia="ArialNarrow" w:cstheme="minorHAnsi"/>
                <w:b/>
                <w:bCs/>
                <w:color w:val="FFFFFF" w:themeColor="background1"/>
              </w:rPr>
              <w:t>Broj</w:t>
            </w:r>
          </w:p>
        </w:tc>
        <w:tc>
          <w:tcPr>
            <w:tcW w:w="1259" w:type="dxa"/>
            <w:tcBorders>
              <w:top w:val="nil"/>
              <w:left w:val="single" w:sz="4" w:space="0" w:color="FFFFFF" w:themeColor="background1"/>
              <w:right w:val="single" w:sz="4" w:space="0" w:color="FFFFFF" w:themeColor="background1"/>
            </w:tcBorders>
            <w:shd w:val="clear" w:color="auto" w:fill="D2232A"/>
            <w:noWrap/>
            <w:vAlign w:val="center"/>
          </w:tcPr>
          <w:p w14:paraId="477C83B6" w14:textId="6F250D29" w:rsidR="007436EF" w:rsidRPr="00504FD9" w:rsidRDefault="007436EF" w:rsidP="00D770FC">
            <w:pPr>
              <w:autoSpaceDE w:val="0"/>
              <w:autoSpaceDN w:val="0"/>
              <w:adjustRightInd w:val="0"/>
              <w:spacing w:after="0" w:line="240" w:lineRule="auto"/>
              <w:rPr>
                <w:rFonts w:eastAsia="ArialNarrow" w:cstheme="minorHAnsi"/>
                <w:b/>
                <w:bCs/>
                <w:color w:val="FFFFFF" w:themeColor="background1"/>
              </w:rPr>
            </w:pPr>
            <w:r w:rsidRPr="00504FD9">
              <w:rPr>
                <w:rFonts w:eastAsia="ArialNarrow" w:cstheme="minorHAnsi"/>
                <w:b/>
                <w:bCs/>
                <w:color w:val="FFFFFF" w:themeColor="background1"/>
              </w:rPr>
              <w:t>Broj</w:t>
            </w:r>
          </w:p>
        </w:tc>
        <w:tc>
          <w:tcPr>
            <w:tcW w:w="629" w:type="dxa"/>
            <w:tcBorders>
              <w:top w:val="nil"/>
              <w:left w:val="single" w:sz="4" w:space="0" w:color="FFFFFF" w:themeColor="background1"/>
              <w:right w:val="single" w:sz="4" w:space="0" w:color="FFFFFF" w:themeColor="background1"/>
            </w:tcBorders>
            <w:shd w:val="clear" w:color="auto" w:fill="D2232A"/>
            <w:vAlign w:val="center"/>
          </w:tcPr>
          <w:p w14:paraId="0ED5BB61" w14:textId="0E97DA3D" w:rsidR="007436EF" w:rsidRPr="00504FD9" w:rsidRDefault="007436EF"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Broj</w:t>
            </w:r>
          </w:p>
        </w:tc>
        <w:tc>
          <w:tcPr>
            <w:tcW w:w="1023" w:type="dxa"/>
            <w:tcBorders>
              <w:top w:val="nil"/>
              <w:left w:val="single" w:sz="4" w:space="0" w:color="FFFFFF" w:themeColor="background1"/>
              <w:right w:val="single" w:sz="4" w:space="0" w:color="FFFFFF" w:themeColor="background1"/>
            </w:tcBorders>
            <w:shd w:val="clear" w:color="auto" w:fill="D2232A"/>
            <w:vAlign w:val="center"/>
          </w:tcPr>
          <w:p w14:paraId="38823F0C" w14:textId="654D595A" w:rsidR="007436EF" w:rsidRPr="00504FD9" w:rsidRDefault="007436EF" w:rsidP="007436EF">
            <w:pPr>
              <w:autoSpaceDE w:val="0"/>
              <w:autoSpaceDN w:val="0"/>
              <w:adjustRightInd w:val="0"/>
              <w:spacing w:after="0" w:line="240" w:lineRule="auto"/>
              <w:jc w:val="center"/>
              <w:rPr>
                <w:rFonts w:eastAsia="ArialNarrow" w:cstheme="minorHAnsi"/>
                <w:b/>
                <w:bCs/>
                <w:color w:val="FFFFFF" w:themeColor="background1"/>
              </w:rPr>
            </w:pPr>
            <w:r w:rsidRPr="007436EF">
              <w:rPr>
                <w:rFonts w:eastAsia="ArialNarrow" w:cstheme="minorHAnsi"/>
                <w:b/>
                <w:bCs/>
                <w:color w:val="FFFFFF" w:themeColor="background1"/>
              </w:rPr>
              <w:t>Površina (m</w:t>
            </w:r>
            <w:r w:rsidRPr="007436EF">
              <w:rPr>
                <w:rFonts w:eastAsia="ArialNarrow" w:cstheme="minorHAnsi"/>
                <w:b/>
                <w:bCs/>
                <w:color w:val="FFFFFF" w:themeColor="background1"/>
                <w:vertAlign w:val="superscript"/>
              </w:rPr>
              <w:t>2</w:t>
            </w:r>
            <w:r w:rsidRPr="007436EF">
              <w:rPr>
                <w:rFonts w:eastAsia="ArialNarrow" w:cstheme="minorHAnsi"/>
                <w:b/>
                <w:bCs/>
                <w:color w:val="FFFFFF" w:themeColor="background1"/>
              </w:rPr>
              <w:t>)</w:t>
            </w:r>
          </w:p>
        </w:tc>
        <w:tc>
          <w:tcPr>
            <w:tcW w:w="1140" w:type="dxa"/>
            <w:tcBorders>
              <w:top w:val="nil"/>
              <w:left w:val="single" w:sz="4" w:space="0" w:color="FFFFFF" w:themeColor="background1"/>
              <w:right w:val="single" w:sz="4" w:space="0" w:color="FFFFFF" w:themeColor="background1"/>
            </w:tcBorders>
            <w:shd w:val="clear" w:color="auto" w:fill="D2232A"/>
            <w:vAlign w:val="center"/>
          </w:tcPr>
          <w:p w14:paraId="586F1816" w14:textId="3866AD6C" w:rsidR="007436EF" w:rsidRPr="00504FD9" w:rsidRDefault="007436EF"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Broj</w:t>
            </w:r>
          </w:p>
        </w:tc>
        <w:tc>
          <w:tcPr>
            <w:tcW w:w="1259" w:type="dxa"/>
            <w:tcBorders>
              <w:top w:val="nil"/>
              <w:left w:val="single" w:sz="4" w:space="0" w:color="FFFFFF" w:themeColor="background1"/>
              <w:right w:val="single" w:sz="8" w:space="0" w:color="D2232A"/>
            </w:tcBorders>
            <w:shd w:val="clear" w:color="auto" w:fill="D2232A"/>
            <w:vAlign w:val="center"/>
          </w:tcPr>
          <w:p w14:paraId="3BCCB93F" w14:textId="3B0C60AE" w:rsidR="007436EF" w:rsidRDefault="007436EF"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Broj</w:t>
            </w:r>
          </w:p>
        </w:tc>
      </w:tr>
      <w:tr w:rsidR="007436EF" w:rsidRPr="00D770FC" w14:paraId="3345B1A9" w14:textId="37EB72EA" w:rsidTr="007436EF">
        <w:trPr>
          <w:trHeight w:val="318"/>
          <w:jc w:val="center"/>
        </w:trPr>
        <w:tc>
          <w:tcPr>
            <w:tcW w:w="1154" w:type="dxa"/>
            <w:tcBorders>
              <w:left w:val="single" w:sz="8" w:space="0" w:color="D2232A"/>
              <w:bottom w:val="single" w:sz="8" w:space="0" w:color="FFFFFF" w:themeColor="background1"/>
              <w:right w:val="single" w:sz="4" w:space="0" w:color="FFFFFF" w:themeColor="background1"/>
            </w:tcBorders>
            <w:shd w:val="clear" w:color="auto" w:fill="E5E5E5" w:themeFill="text1" w:themeFillTint="33"/>
            <w:noWrap/>
            <w:vAlign w:val="center"/>
            <w:hideMark/>
          </w:tcPr>
          <w:p w14:paraId="360E233D" w14:textId="31970726" w:rsidR="007436EF" w:rsidRPr="00D770FC" w:rsidRDefault="007436EF" w:rsidP="00D770FC">
            <w:pPr>
              <w:autoSpaceDE w:val="0"/>
              <w:autoSpaceDN w:val="0"/>
              <w:adjustRightInd w:val="0"/>
              <w:spacing w:after="0" w:line="240" w:lineRule="auto"/>
              <w:rPr>
                <w:rFonts w:eastAsia="ArialNarrow" w:cstheme="minorHAnsi"/>
              </w:rPr>
            </w:pPr>
            <w:r>
              <w:rPr>
                <w:rFonts w:eastAsia="ArialNarrow" w:cstheme="minorHAnsi"/>
              </w:rPr>
              <w:t>RH</w:t>
            </w:r>
          </w:p>
        </w:tc>
        <w:tc>
          <w:tcPr>
            <w:tcW w:w="630" w:type="dxa"/>
            <w:tcBorders>
              <w:left w:val="single" w:sz="4" w:space="0" w:color="FFFFFF" w:themeColor="background1"/>
              <w:bottom w:val="single" w:sz="8" w:space="0" w:color="FFFFFF" w:themeColor="background1"/>
            </w:tcBorders>
            <w:shd w:val="clear" w:color="auto" w:fill="E5E5E5" w:themeFill="text1" w:themeFillTint="33"/>
            <w:vAlign w:val="center"/>
          </w:tcPr>
          <w:p w14:paraId="2E357A83" w14:textId="447099C1" w:rsidR="007436EF" w:rsidRPr="00D770FC" w:rsidRDefault="007436EF" w:rsidP="007436EF">
            <w:pPr>
              <w:autoSpaceDE w:val="0"/>
              <w:autoSpaceDN w:val="0"/>
              <w:adjustRightInd w:val="0"/>
              <w:spacing w:after="0" w:line="240" w:lineRule="auto"/>
              <w:jc w:val="center"/>
              <w:rPr>
                <w:rFonts w:eastAsia="ArialNarrow" w:cstheme="minorHAnsi"/>
              </w:rPr>
            </w:pPr>
            <w:r w:rsidRPr="00504FD9">
              <w:rPr>
                <w:rFonts w:eastAsia="ArialNarrow" w:cstheme="minorHAnsi"/>
              </w:rPr>
              <w:t>5</w:t>
            </w:r>
            <w:r>
              <w:rPr>
                <w:rFonts w:eastAsia="ArialNarrow" w:cstheme="minorHAnsi"/>
              </w:rPr>
              <w:t>.</w:t>
            </w:r>
            <w:r w:rsidRPr="00504FD9">
              <w:rPr>
                <w:rFonts w:eastAsia="ArialNarrow" w:cstheme="minorHAnsi"/>
              </w:rPr>
              <w:t>521</w:t>
            </w:r>
          </w:p>
        </w:tc>
        <w:tc>
          <w:tcPr>
            <w:tcW w:w="1134" w:type="dxa"/>
            <w:tcBorders>
              <w:bottom w:val="single" w:sz="8" w:space="0" w:color="FFFFFF" w:themeColor="background1"/>
              <w:right w:val="single" w:sz="4" w:space="0" w:color="FFFFFF" w:themeColor="background1"/>
            </w:tcBorders>
            <w:shd w:val="clear" w:color="auto" w:fill="E5E5E5" w:themeFill="text1" w:themeFillTint="33"/>
            <w:noWrap/>
            <w:vAlign w:val="center"/>
          </w:tcPr>
          <w:p w14:paraId="576AB479" w14:textId="4EF3343E" w:rsidR="007436EF" w:rsidRPr="00D770FC" w:rsidRDefault="007436EF" w:rsidP="007436EF">
            <w:pPr>
              <w:autoSpaceDE w:val="0"/>
              <w:autoSpaceDN w:val="0"/>
              <w:adjustRightInd w:val="0"/>
              <w:spacing w:after="0" w:line="240" w:lineRule="auto"/>
              <w:jc w:val="center"/>
              <w:rPr>
                <w:rFonts w:eastAsia="ArialNarrow" w:cstheme="minorHAnsi"/>
              </w:rPr>
            </w:pPr>
            <w:r w:rsidRPr="00504FD9">
              <w:rPr>
                <w:rFonts w:eastAsia="ArialNarrow" w:cstheme="minorHAnsi"/>
              </w:rPr>
              <w:t>2</w:t>
            </w:r>
            <w:r>
              <w:rPr>
                <w:rFonts w:eastAsia="ArialNarrow" w:cstheme="minorHAnsi"/>
              </w:rPr>
              <w:t>.</w:t>
            </w:r>
            <w:r w:rsidRPr="00504FD9">
              <w:rPr>
                <w:rFonts w:eastAsia="ArialNarrow" w:cstheme="minorHAnsi"/>
              </w:rPr>
              <w:t>567</w:t>
            </w:r>
            <w:r>
              <w:rPr>
                <w:rFonts w:eastAsia="ArialNarrow" w:cstheme="minorHAnsi"/>
              </w:rPr>
              <w:t>.</w:t>
            </w:r>
            <w:r w:rsidRPr="00504FD9">
              <w:rPr>
                <w:rFonts w:eastAsia="ArialNarrow" w:cstheme="minorHAnsi"/>
              </w:rPr>
              <w:t>133</w:t>
            </w:r>
          </w:p>
        </w:tc>
        <w:tc>
          <w:tcPr>
            <w:tcW w:w="1052" w:type="dxa"/>
            <w:tcBorders>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noWrap/>
            <w:vAlign w:val="center"/>
          </w:tcPr>
          <w:p w14:paraId="339A7394" w14:textId="0EF73333" w:rsidR="007436EF" w:rsidRPr="00D770FC" w:rsidRDefault="00E8350B" w:rsidP="007436EF">
            <w:pPr>
              <w:autoSpaceDE w:val="0"/>
              <w:autoSpaceDN w:val="0"/>
              <w:adjustRightInd w:val="0"/>
              <w:spacing w:after="0" w:line="240" w:lineRule="auto"/>
              <w:jc w:val="center"/>
              <w:rPr>
                <w:rFonts w:eastAsia="ArialNarrow" w:cstheme="minorHAnsi"/>
              </w:rPr>
            </w:pPr>
            <w:r>
              <w:rPr>
                <w:rFonts w:eastAsia="ArialNarrow" w:cstheme="minorHAnsi"/>
              </w:rPr>
              <w:t>4.316</w:t>
            </w:r>
          </w:p>
        </w:tc>
        <w:tc>
          <w:tcPr>
            <w:tcW w:w="1259" w:type="dxa"/>
            <w:tcBorders>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noWrap/>
            <w:vAlign w:val="center"/>
          </w:tcPr>
          <w:p w14:paraId="4750C4A4" w14:textId="0FC5F634" w:rsidR="007436EF" w:rsidRPr="00D770FC" w:rsidRDefault="00E8350B" w:rsidP="007436EF">
            <w:pPr>
              <w:autoSpaceDE w:val="0"/>
              <w:autoSpaceDN w:val="0"/>
              <w:adjustRightInd w:val="0"/>
              <w:spacing w:after="0" w:line="240" w:lineRule="auto"/>
              <w:jc w:val="center"/>
              <w:rPr>
                <w:rFonts w:eastAsia="ArialNarrow" w:cstheme="minorHAnsi"/>
              </w:rPr>
            </w:pPr>
            <w:r>
              <w:rPr>
                <w:rFonts w:eastAsia="ArialNarrow" w:cstheme="minorHAnsi"/>
              </w:rPr>
              <w:t>1.205</w:t>
            </w:r>
          </w:p>
        </w:tc>
        <w:tc>
          <w:tcPr>
            <w:tcW w:w="629" w:type="dxa"/>
            <w:tcBorders>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vAlign w:val="center"/>
          </w:tcPr>
          <w:p w14:paraId="0094932F" w14:textId="41CD9EF0" w:rsidR="007436EF" w:rsidRPr="00D770FC" w:rsidRDefault="00445472" w:rsidP="007436EF">
            <w:pPr>
              <w:autoSpaceDE w:val="0"/>
              <w:autoSpaceDN w:val="0"/>
              <w:adjustRightInd w:val="0"/>
              <w:spacing w:after="0" w:line="240" w:lineRule="auto"/>
              <w:jc w:val="center"/>
              <w:rPr>
                <w:rFonts w:eastAsia="ArialNarrow" w:cstheme="minorHAnsi"/>
              </w:rPr>
            </w:pPr>
            <w:r>
              <w:rPr>
                <w:rFonts w:eastAsia="ArialNarrow" w:cstheme="minorHAnsi"/>
              </w:rPr>
              <w:t>5.745</w:t>
            </w:r>
          </w:p>
        </w:tc>
        <w:tc>
          <w:tcPr>
            <w:tcW w:w="1023" w:type="dxa"/>
            <w:tcBorders>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vAlign w:val="center"/>
          </w:tcPr>
          <w:p w14:paraId="5EDF301D" w14:textId="79A64734" w:rsidR="007436EF" w:rsidRPr="00D770FC" w:rsidRDefault="00445472" w:rsidP="007436EF">
            <w:pPr>
              <w:autoSpaceDE w:val="0"/>
              <w:autoSpaceDN w:val="0"/>
              <w:adjustRightInd w:val="0"/>
              <w:spacing w:after="0" w:line="240" w:lineRule="auto"/>
              <w:jc w:val="center"/>
              <w:rPr>
                <w:rFonts w:eastAsia="ArialNarrow" w:cstheme="minorHAnsi"/>
              </w:rPr>
            </w:pPr>
            <w:r>
              <w:rPr>
                <w:rFonts w:eastAsia="ArialNarrow" w:cstheme="minorHAnsi"/>
              </w:rPr>
              <w:t>2.465.305</w:t>
            </w:r>
          </w:p>
        </w:tc>
        <w:tc>
          <w:tcPr>
            <w:tcW w:w="1140" w:type="dxa"/>
            <w:tcBorders>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vAlign w:val="center"/>
          </w:tcPr>
          <w:p w14:paraId="33CFEB27" w14:textId="297DEF83" w:rsidR="007436EF" w:rsidRPr="00D770FC" w:rsidRDefault="00445472" w:rsidP="007436EF">
            <w:pPr>
              <w:autoSpaceDE w:val="0"/>
              <w:autoSpaceDN w:val="0"/>
              <w:adjustRightInd w:val="0"/>
              <w:spacing w:after="0" w:line="240" w:lineRule="auto"/>
              <w:jc w:val="center"/>
              <w:rPr>
                <w:rFonts w:eastAsia="ArialNarrow" w:cstheme="minorHAnsi"/>
              </w:rPr>
            </w:pPr>
            <w:r>
              <w:rPr>
                <w:rFonts w:eastAsia="ArialNarrow" w:cstheme="minorHAnsi"/>
              </w:rPr>
              <w:t>4580</w:t>
            </w:r>
          </w:p>
        </w:tc>
        <w:tc>
          <w:tcPr>
            <w:tcW w:w="1259" w:type="dxa"/>
            <w:tcBorders>
              <w:left w:val="single" w:sz="4" w:space="0" w:color="FFFFFF" w:themeColor="background1"/>
              <w:bottom w:val="single" w:sz="8" w:space="0" w:color="FFFFFF" w:themeColor="background1"/>
              <w:right w:val="single" w:sz="8" w:space="0" w:color="D2232A"/>
            </w:tcBorders>
            <w:shd w:val="clear" w:color="auto" w:fill="E5E5E5" w:themeFill="text1" w:themeFillTint="33"/>
            <w:vAlign w:val="center"/>
          </w:tcPr>
          <w:p w14:paraId="5EA44A5B" w14:textId="6C3C030C" w:rsidR="007436EF" w:rsidRPr="00D770FC" w:rsidRDefault="00445472" w:rsidP="007436EF">
            <w:pPr>
              <w:autoSpaceDE w:val="0"/>
              <w:autoSpaceDN w:val="0"/>
              <w:adjustRightInd w:val="0"/>
              <w:spacing w:after="0" w:line="240" w:lineRule="auto"/>
              <w:jc w:val="center"/>
              <w:rPr>
                <w:rFonts w:eastAsia="ArialNarrow" w:cstheme="minorHAnsi"/>
              </w:rPr>
            </w:pPr>
            <w:r>
              <w:rPr>
                <w:rFonts w:eastAsia="ArialNarrow" w:cstheme="minorHAnsi"/>
              </w:rPr>
              <w:t>1165</w:t>
            </w:r>
          </w:p>
        </w:tc>
      </w:tr>
      <w:tr w:rsidR="007436EF" w:rsidRPr="00D770FC" w14:paraId="7BA6C339" w14:textId="5FC56C9C" w:rsidTr="007436EF">
        <w:trPr>
          <w:trHeight w:val="318"/>
          <w:jc w:val="center"/>
        </w:trPr>
        <w:tc>
          <w:tcPr>
            <w:tcW w:w="1154" w:type="dxa"/>
            <w:tcBorders>
              <w:top w:val="single" w:sz="8" w:space="0" w:color="FFFFFF" w:themeColor="background1"/>
              <w:left w:val="single" w:sz="8" w:space="0" w:color="D2232A"/>
              <w:bottom w:val="single" w:sz="8" w:space="0" w:color="FFFFFF" w:themeColor="background1"/>
              <w:right w:val="single" w:sz="4" w:space="0" w:color="FFFFFF" w:themeColor="background1"/>
            </w:tcBorders>
            <w:shd w:val="clear" w:color="auto" w:fill="E5E5E5" w:themeFill="text1" w:themeFillTint="33"/>
            <w:noWrap/>
            <w:vAlign w:val="center"/>
            <w:hideMark/>
          </w:tcPr>
          <w:p w14:paraId="13BD7FA2" w14:textId="77777777" w:rsidR="007436EF" w:rsidRPr="00D770FC" w:rsidRDefault="007436EF" w:rsidP="00D770FC">
            <w:pPr>
              <w:autoSpaceDE w:val="0"/>
              <w:autoSpaceDN w:val="0"/>
              <w:adjustRightInd w:val="0"/>
              <w:spacing w:after="0" w:line="240" w:lineRule="auto"/>
              <w:rPr>
                <w:rFonts w:eastAsia="ArialNarrow" w:cstheme="minorHAnsi"/>
              </w:rPr>
            </w:pPr>
            <w:r w:rsidRPr="00D770FC">
              <w:rPr>
                <w:rFonts w:eastAsia="ArialNarrow" w:cstheme="minorHAnsi"/>
              </w:rPr>
              <w:t>Sjeverna Hrvatska</w:t>
            </w:r>
          </w:p>
        </w:tc>
        <w:tc>
          <w:tcPr>
            <w:tcW w:w="630" w:type="dxa"/>
            <w:tcBorders>
              <w:top w:val="single" w:sz="8" w:space="0" w:color="FFFFFF" w:themeColor="background1"/>
              <w:left w:val="single" w:sz="4" w:space="0" w:color="FFFFFF" w:themeColor="background1"/>
              <w:bottom w:val="single" w:sz="8" w:space="0" w:color="FFFFFF" w:themeColor="background1"/>
            </w:tcBorders>
            <w:shd w:val="clear" w:color="auto" w:fill="E5E5E5" w:themeFill="text1" w:themeFillTint="33"/>
            <w:vAlign w:val="center"/>
          </w:tcPr>
          <w:p w14:paraId="11ADC177" w14:textId="5FCFEC87" w:rsidR="007436EF" w:rsidRPr="00D770FC" w:rsidRDefault="00E8350B" w:rsidP="007436EF">
            <w:pPr>
              <w:autoSpaceDE w:val="0"/>
              <w:autoSpaceDN w:val="0"/>
              <w:adjustRightInd w:val="0"/>
              <w:spacing w:after="0" w:line="240" w:lineRule="auto"/>
              <w:jc w:val="center"/>
              <w:rPr>
                <w:rFonts w:eastAsia="ArialNarrow" w:cstheme="minorHAnsi"/>
              </w:rPr>
            </w:pPr>
            <w:r>
              <w:rPr>
                <w:rFonts w:eastAsia="ArialNarrow" w:cstheme="minorHAnsi"/>
              </w:rPr>
              <w:t>1.167</w:t>
            </w:r>
          </w:p>
        </w:tc>
        <w:tc>
          <w:tcPr>
            <w:tcW w:w="1134" w:type="dxa"/>
            <w:tcBorders>
              <w:top w:val="single" w:sz="8" w:space="0" w:color="FFFFFF" w:themeColor="background1"/>
              <w:bottom w:val="single" w:sz="8" w:space="0" w:color="FFFFFF" w:themeColor="background1"/>
              <w:right w:val="single" w:sz="4" w:space="0" w:color="FFFFFF" w:themeColor="background1"/>
            </w:tcBorders>
            <w:shd w:val="clear" w:color="auto" w:fill="E5E5E5" w:themeFill="text1" w:themeFillTint="33"/>
            <w:noWrap/>
            <w:vAlign w:val="center"/>
          </w:tcPr>
          <w:p w14:paraId="67D61828" w14:textId="4C4B94EC" w:rsidR="007436EF" w:rsidRPr="00D770FC" w:rsidRDefault="00E8350B" w:rsidP="007436EF">
            <w:pPr>
              <w:autoSpaceDE w:val="0"/>
              <w:autoSpaceDN w:val="0"/>
              <w:adjustRightInd w:val="0"/>
              <w:spacing w:after="0" w:line="240" w:lineRule="auto"/>
              <w:jc w:val="center"/>
              <w:rPr>
                <w:rFonts w:eastAsia="ArialNarrow" w:cstheme="minorHAnsi"/>
              </w:rPr>
            </w:pPr>
            <w:r>
              <w:rPr>
                <w:rFonts w:eastAsia="ArialNarrow" w:cstheme="minorHAnsi"/>
              </w:rPr>
              <w:t>479.915</w:t>
            </w:r>
          </w:p>
        </w:tc>
        <w:tc>
          <w:tcPr>
            <w:tcW w:w="1052"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noWrap/>
            <w:vAlign w:val="center"/>
          </w:tcPr>
          <w:p w14:paraId="1B699A1D" w14:textId="1AA4CFD3" w:rsidR="007436EF" w:rsidRPr="00D770FC" w:rsidRDefault="00E8350B" w:rsidP="007436EF">
            <w:pPr>
              <w:autoSpaceDE w:val="0"/>
              <w:autoSpaceDN w:val="0"/>
              <w:adjustRightInd w:val="0"/>
              <w:spacing w:after="0" w:line="240" w:lineRule="auto"/>
              <w:jc w:val="center"/>
              <w:rPr>
                <w:rFonts w:eastAsia="ArialNarrow" w:cstheme="minorHAnsi"/>
              </w:rPr>
            </w:pPr>
            <w:r>
              <w:rPr>
                <w:rFonts w:eastAsia="ArialNarrow" w:cstheme="minorHAnsi"/>
              </w:rPr>
              <w:t>766</w:t>
            </w:r>
          </w:p>
        </w:tc>
        <w:tc>
          <w:tcPr>
            <w:tcW w:w="1259"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noWrap/>
            <w:vAlign w:val="center"/>
          </w:tcPr>
          <w:p w14:paraId="3D4A0D5F" w14:textId="54C32767" w:rsidR="007436EF" w:rsidRPr="00D770FC" w:rsidRDefault="00E8350B" w:rsidP="007436EF">
            <w:pPr>
              <w:autoSpaceDE w:val="0"/>
              <w:autoSpaceDN w:val="0"/>
              <w:adjustRightInd w:val="0"/>
              <w:spacing w:after="0" w:line="240" w:lineRule="auto"/>
              <w:jc w:val="center"/>
              <w:rPr>
                <w:rFonts w:eastAsia="ArialNarrow" w:cstheme="minorHAnsi"/>
              </w:rPr>
            </w:pPr>
            <w:r>
              <w:rPr>
                <w:rFonts w:eastAsia="ArialNarrow" w:cstheme="minorHAnsi"/>
              </w:rPr>
              <w:t>401</w:t>
            </w:r>
          </w:p>
        </w:tc>
        <w:tc>
          <w:tcPr>
            <w:tcW w:w="629"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vAlign w:val="center"/>
          </w:tcPr>
          <w:p w14:paraId="5CEFD040" w14:textId="6ACDB937" w:rsidR="007436EF" w:rsidRPr="00D770FC" w:rsidRDefault="006E464F" w:rsidP="007436EF">
            <w:pPr>
              <w:autoSpaceDE w:val="0"/>
              <w:autoSpaceDN w:val="0"/>
              <w:adjustRightInd w:val="0"/>
              <w:spacing w:after="0" w:line="240" w:lineRule="auto"/>
              <w:jc w:val="center"/>
              <w:rPr>
                <w:rFonts w:eastAsia="ArialNarrow" w:cstheme="minorHAnsi"/>
              </w:rPr>
            </w:pPr>
            <w:r w:rsidRPr="006E464F">
              <w:rPr>
                <w:rFonts w:eastAsia="ArialNarrow" w:cstheme="minorHAnsi"/>
              </w:rPr>
              <w:t>1.134</w:t>
            </w:r>
          </w:p>
        </w:tc>
        <w:tc>
          <w:tcPr>
            <w:tcW w:w="1023"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vAlign w:val="center"/>
          </w:tcPr>
          <w:p w14:paraId="7714FFD0" w14:textId="0B681BB6" w:rsidR="007436EF" w:rsidRPr="00D770FC" w:rsidRDefault="006E464F" w:rsidP="007436EF">
            <w:pPr>
              <w:autoSpaceDE w:val="0"/>
              <w:autoSpaceDN w:val="0"/>
              <w:adjustRightInd w:val="0"/>
              <w:spacing w:after="0" w:line="240" w:lineRule="auto"/>
              <w:jc w:val="center"/>
              <w:rPr>
                <w:rFonts w:eastAsia="ArialNarrow" w:cstheme="minorHAnsi"/>
              </w:rPr>
            </w:pPr>
            <w:r>
              <w:rPr>
                <w:rFonts w:eastAsia="ArialNarrow" w:cstheme="minorHAnsi"/>
              </w:rPr>
              <w:t>437.737</w:t>
            </w:r>
          </w:p>
        </w:tc>
        <w:tc>
          <w:tcPr>
            <w:tcW w:w="1140"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vAlign w:val="center"/>
          </w:tcPr>
          <w:p w14:paraId="38F722F0" w14:textId="1339AA99" w:rsidR="007436EF" w:rsidRPr="00D770FC" w:rsidRDefault="006E464F" w:rsidP="007436EF">
            <w:pPr>
              <w:autoSpaceDE w:val="0"/>
              <w:autoSpaceDN w:val="0"/>
              <w:adjustRightInd w:val="0"/>
              <w:spacing w:after="0" w:line="240" w:lineRule="auto"/>
              <w:jc w:val="center"/>
              <w:rPr>
                <w:rFonts w:eastAsia="ArialNarrow" w:cstheme="minorHAnsi"/>
              </w:rPr>
            </w:pPr>
            <w:r>
              <w:rPr>
                <w:rFonts w:eastAsia="ArialNarrow" w:cstheme="minorHAnsi"/>
              </w:rPr>
              <w:t>773</w:t>
            </w:r>
          </w:p>
        </w:tc>
        <w:tc>
          <w:tcPr>
            <w:tcW w:w="1259" w:type="dxa"/>
            <w:tcBorders>
              <w:top w:val="single" w:sz="8" w:space="0" w:color="FFFFFF" w:themeColor="background1"/>
              <w:left w:val="single" w:sz="4" w:space="0" w:color="FFFFFF" w:themeColor="background1"/>
              <w:bottom w:val="single" w:sz="8" w:space="0" w:color="FFFFFF" w:themeColor="background1"/>
              <w:right w:val="single" w:sz="8" w:space="0" w:color="D2232A"/>
            </w:tcBorders>
            <w:shd w:val="clear" w:color="auto" w:fill="E5E5E5" w:themeFill="text1" w:themeFillTint="33"/>
            <w:vAlign w:val="center"/>
          </w:tcPr>
          <w:p w14:paraId="33E47790" w14:textId="373B497E" w:rsidR="007436EF" w:rsidRPr="00D770FC" w:rsidRDefault="006E464F" w:rsidP="007436EF">
            <w:pPr>
              <w:autoSpaceDE w:val="0"/>
              <w:autoSpaceDN w:val="0"/>
              <w:adjustRightInd w:val="0"/>
              <w:spacing w:after="0" w:line="240" w:lineRule="auto"/>
              <w:jc w:val="center"/>
              <w:rPr>
                <w:rFonts w:eastAsia="ArialNarrow" w:cstheme="minorHAnsi"/>
              </w:rPr>
            </w:pPr>
            <w:r>
              <w:rPr>
                <w:rFonts w:eastAsia="ArialNarrow" w:cstheme="minorHAnsi"/>
              </w:rPr>
              <w:t>361</w:t>
            </w:r>
          </w:p>
        </w:tc>
      </w:tr>
      <w:tr w:rsidR="007436EF" w:rsidRPr="00D770FC" w14:paraId="5A7A9C63" w14:textId="5ECB8F73" w:rsidTr="007436EF">
        <w:trPr>
          <w:trHeight w:val="318"/>
          <w:jc w:val="center"/>
        </w:trPr>
        <w:tc>
          <w:tcPr>
            <w:tcW w:w="1154" w:type="dxa"/>
            <w:tcBorders>
              <w:top w:val="single" w:sz="8" w:space="0" w:color="FFFFFF" w:themeColor="background1"/>
              <w:left w:val="single" w:sz="8" w:space="0" w:color="D2232A"/>
              <w:bottom w:val="single" w:sz="8" w:space="0" w:color="FFFFFF" w:themeColor="background1"/>
              <w:right w:val="single" w:sz="4" w:space="0" w:color="FFFFFF" w:themeColor="background1"/>
            </w:tcBorders>
            <w:shd w:val="clear" w:color="auto" w:fill="D2232A" w:themeFill="accent1"/>
            <w:noWrap/>
            <w:vAlign w:val="center"/>
            <w:hideMark/>
          </w:tcPr>
          <w:p w14:paraId="479C5ADE" w14:textId="6E39D737" w:rsidR="007436EF" w:rsidRPr="00D770FC" w:rsidRDefault="007436EF" w:rsidP="00504FD9">
            <w:pPr>
              <w:autoSpaceDE w:val="0"/>
              <w:autoSpaceDN w:val="0"/>
              <w:adjustRightInd w:val="0"/>
              <w:spacing w:after="0" w:line="240" w:lineRule="auto"/>
              <w:jc w:val="left"/>
              <w:rPr>
                <w:rFonts w:eastAsia="ArialNarrow" w:cstheme="minorHAnsi"/>
                <w:b/>
                <w:bCs/>
                <w:color w:val="FFFFFF" w:themeColor="background1"/>
              </w:rPr>
            </w:pPr>
            <w:r w:rsidRPr="00504FD9">
              <w:rPr>
                <w:rFonts w:eastAsia="ArialNarrow" w:cstheme="minorHAnsi"/>
                <w:b/>
                <w:bCs/>
                <w:color w:val="FFFFFF" w:themeColor="background1"/>
              </w:rPr>
              <w:t>KZŽ</w:t>
            </w:r>
          </w:p>
        </w:tc>
        <w:tc>
          <w:tcPr>
            <w:tcW w:w="630" w:type="dxa"/>
            <w:tcBorders>
              <w:top w:val="single" w:sz="8" w:space="0" w:color="FFFFFF" w:themeColor="background1"/>
              <w:left w:val="single" w:sz="4" w:space="0" w:color="FFFFFF" w:themeColor="background1"/>
              <w:bottom w:val="single" w:sz="8" w:space="0" w:color="FFFFFF" w:themeColor="background1"/>
            </w:tcBorders>
            <w:shd w:val="clear" w:color="auto" w:fill="D2232A" w:themeFill="accent1"/>
            <w:vAlign w:val="center"/>
          </w:tcPr>
          <w:p w14:paraId="2392B6DC" w14:textId="059A58EA" w:rsidR="007436EF" w:rsidRPr="00504FD9" w:rsidRDefault="00E8350B"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164</w:t>
            </w:r>
          </w:p>
        </w:tc>
        <w:tc>
          <w:tcPr>
            <w:tcW w:w="1134" w:type="dxa"/>
            <w:tcBorders>
              <w:top w:val="single" w:sz="8" w:space="0" w:color="FFFFFF" w:themeColor="background1"/>
              <w:bottom w:val="single" w:sz="8" w:space="0" w:color="FFFFFF" w:themeColor="background1"/>
              <w:right w:val="single" w:sz="4" w:space="0" w:color="FFFFFF" w:themeColor="background1"/>
            </w:tcBorders>
            <w:shd w:val="clear" w:color="auto" w:fill="D2232A" w:themeFill="accent1"/>
            <w:noWrap/>
            <w:vAlign w:val="center"/>
          </w:tcPr>
          <w:p w14:paraId="5456C58C" w14:textId="2040D7CD" w:rsidR="007436EF" w:rsidRPr="00D770FC" w:rsidRDefault="00E8350B"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51.313</w:t>
            </w:r>
          </w:p>
        </w:tc>
        <w:tc>
          <w:tcPr>
            <w:tcW w:w="1052"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D2232A" w:themeFill="accent1"/>
            <w:noWrap/>
            <w:vAlign w:val="center"/>
          </w:tcPr>
          <w:p w14:paraId="1FE56FF7" w14:textId="0B07B463" w:rsidR="007436EF" w:rsidRPr="00D770FC" w:rsidRDefault="00E8350B"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103</w:t>
            </w:r>
          </w:p>
        </w:tc>
        <w:tc>
          <w:tcPr>
            <w:tcW w:w="1259"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D2232A" w:themeFill="accent1"/>
            <w:noWrap/>
            <w:vAlign w:val="center"/>
          </w:tcPr>
          <w:p w14:paraId="400523FB" w14:textId="2DDB0B71" w:rsidR="007436EF" w:rsidRPr="00D770FC" w:rsidRDefault="00E8350B"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61</w:t>
            </w:r>
          </w:p>
        </w:tc>
        <w:tc>
          <w:tcPr>
            <w:tcW w:w="629"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D2232A" w:themeFill="accent1"/>
            <w:vAlign w:val="center"/>
          </w:tcPr>
          <w:p w14:paraId="20423871" w14:textId="334C69B9" w:rsidR="007436EF" w:rsidRPr="00D770FC" w:rsidRDefault="00445472"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151</w:t>
            </w:r>
          </w:p>
        </w:tc>
        <w:tc>
          <w:tcPr>
            <w:tcW w:w="1023"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D2232A" w:themeFill="accent1"/>
            <w:vAlign w:val="center"/>
          </w:tcPr>
          <w:p w14:paraId="277BFBE1" w14:textId="51EAE28B" w:rsidR="007436EF" w:rsidRPr="00D770FC" w:rsidRDefault="00445472"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51.439</w:t>
            </w:r>
          </w:p>
        </w:tc>
        <w:tc>
          <w:tcPr>
            <w:tcW w:w="1140" w:type="dxa"/>
            <w:tcBorders>
              <w:top w:val="single" w:sz="8"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D2232A" w:themeFill="accent1"/>
            <w:vAlign w:val="center"/>
          </w:tcPr>
          <w:p w14:paraId="444D1BBC" w14:textId="4D8C4721" w:rsidR="007436EF" w:rsidRPr="00D770FC" w:rsidRDefault="00445472"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96</w:t>
            </w:r>
          </w:p>
        </w:tc>
        <w:tc>
          <w:tcPr>
            <w:tcW w:w="1259" w:type="dxa"/>
            <w:tcBorders>
              <w:top w:val="single" w:sz="8" w:space="0" w:color="FFFFFF" w:themeColor="background1"/>
              <w:left w:val="single" w:sz="4" w:space="0" w:color="FFFFFF" w:themeColor="background1"/>
              <w:bottom w:val="single" w:sz="8" w:space="0" w:color="FFFFFF" w:themeColor="background1"/>
              <w:right w:val="single" w:sz="8" w:space="0" w:color="D2232A"/>
            </w:tcBorders>
            <w:shd w:val="clear" w:color="auto" w:fill="D2232A" w:themeFill="accent1"/>
            <w:vAlign w:val="center"/>
          </w:tcPr>
          <w:p w14:paraId="424B1B33" w14:textId="040E9544" w:rsidR="007436EF" w:rsidRPr="00D770FC" w:rsidRDefault="00445472" w:rsidP="007436EF">
            <w:pPr>
              <w:autoSpaceDE w:val="0"/>
              <w:autoSpaceDN w:val="0"/>
              <w:adjustRightInd w:val="0"/>
              <w:spacing w:after="0" w:line="240" w:lineRule="auto"/>
              <w:jc w:val="center"/>
              <w:rPr>
                <w:rFonts w:eastAsia="ArialNarrow" w:cstheme="minorHAnsi"/>
                <w:b/>
                <w:bCs/>
                <w:color w:val="FFFFFF" w:themeColor="background1"/>
              </w:rPr>
            </w:pPr>
            <w:r>
              <w:rPr>
                <w:rFonts w:eastAsia="ArialNarrow" w:cstheme="minorHAnsi"/>
                <w:b/>
                <w:bCs/>
                <w:color w:val="FFFFFF" w:themeColor="background1"/>
              </w:rPr>
              <w:t>55</w:t>
            </w:r>
          </w:p>
        </w:tc>
      </w:tr>
    </w:tbl>
    <w:p w14:paraId="77FD1426" w14:textId="493AB8F1" w:rsidR="007436EF" w:rsidRPr="007436EF" w:rsidRDefault="007436EF" w:rsidP="007436EF">
      <w:pPr>
        <w:pStyle w:val="Izvor"/>
        <w:rPr>
          <w:i/>
          <w:color w:val="ABABAB" w:themeColor="text1" w:themeTint="A6"/>
          <w:sz w:val="16"/>
          <w:szCs w:val="16"/>
        </w:rPr>
      </w:pPr>
      <w:r w:rsidRPr="007436EF">
        <w:rPr>
          <w:i/>
          <w:color w:val="ABABAB" w:themeColor="text1" w:themeTint="A6"/>
          <w:sz w:val="16"/>
          <w:szCs w:val="16"/>
        </w:rPr>
        <w:t>Izvor: DZS, Završene zgrade i stanovi 2019. i 2020. godina</w:t>
      </w:r>
    </w:p>
    <w:p w14:paraId="7E656432" w14:textId="5D9E0B1C" w:rsidR="00F43132" w:rsidRDefault="00F43132" w:rsidP="00F43132">
      <w:pPr>
        <w:autoSpaceDE w:val="0"/>
        <w:autoSpaceDN w:val="0"/>
        <w:adjustRightInd w:val="0"/>
        <w:spacing w:after="0" w:line="240" w:lineRule="auto"/>
        <w:rPr>
          <w:rFonts w:eastAsia="ArialNarrow" w:cstheme="minorHAnsi"/>
          <w:sz w:val="20"/>
        </w:rPr>
      </w:pPr>
    </w:p>
    <w:p w14:paraId="6C59179D" w14:textId="45F9F588" w:rsidR="006154B8" w:rsidRPr="006154B8" w:rsidRDefault="006154B8" w:rsidP="006154B8">
      <w:pPr>
        <w:autoSpaceDE w:val="0"/>
        <w:autoSpaceDN w:val="0"/>
        <w:adjustRightInd w:val="0"/>
        <w:spacing w:after="0" w:line="240" w:lineRule="auto"/>
        <w:rPr>
          <w:rFonts w:eastAsia="ArialNarrow" w:cstheme="minorHAnsi"/>
        </w:rPr>
      </w:pPr>
      <w:r w:rsidRPr="006154B8">
        <w:rPr>
          <w:rFonts w:eastAsia="ArialNarrow" w:cstheme="minorHAnsi"/>
        </w:rPr>
        <w:t xml:space="preserve">Najviše završenih stanova na području Republike Hrvatske očekivano je u gradu Zagrebu. Uz Grad Zagreb još se ističu Zadarska, Splitsko-dalmatinska i Istarska županija. </w:t>
      </w:r>
      <w:r w:rsidR="00B5475D">
        <w:rPr>
          <w:rFonts w:eastAsia="ArialNarrow" w:cstheme="minorHAnsi"/>
        </w:rPr>
        <w:t xml:space="preserve">Krapinsko- zagorska županija u promatranom razdoblju od 2015. do 2019. godine bilježi </w:t>
      </w:r>
      <w:r w:rsidR="00B5475D">
        <w:rPr>
          <w:rFonts w:eastAsia="ArialNarrow" w:cstheme="minorHAnsi"/>
        </w:rPr>
        <w:lastRenderedPageBreak/>
        <w:t>porast u novoizgrađenim stanovima sve do 2020. godine kada bilježi pad. U</w:t>
      </w:r>
      <w:r w:rsidRPr="006154B8">
        <w:rPr>
          <w:rFonts w:eastAsia="ArialNarrow" w:cstheme="minorHAnsi"/>
        </w:rPr>
        <w:t xml:space="preserve"> promatranom razdoblju bilježi nešto više od 100 novoizgrađenih stanova </w:t>
      </w:r>
      <w:r w:rsidR="00B5475D">
        <w:rPr>
          <w:rFonts w:eastAsia="ArialNarrow" w:cstheme="minorHAnsi"/>
        </w:rPr>
        <w:t>godišnje</w:t>
      </w:r>
      <w:r w:rsidRPr="006154B8">
        <w:rPr>
          <w:rFonts w:eastAsia="ArialNarrow" w:cstheme="minorHAnsi"/>
        </w:rPr>
        <w:t xml:space="preserve"> te je s obzirom na to jedna od županija s najmanje izgrađenih stanova na godišnjoj razini. U </w:t>
      </w:r>
      <w:r w:rsidR="00B5475D">
        <w:rPr>
          <w:rFonts w:eastAsia="ArialNarrow" w:cstheme="minorHAnsi"/>
        </w:rPr>
        <w:t>2020. godini</w:t>
      </w:r>
      <w:r w:rsidRPr="006154B8">
        <w:rPr>
          <w:rFonts w:eastAsia="ArialNarrow" w:cstheme="minorHAnsi"/>
        </w:rPr>
        <w:t xml:space="preserve"> </w:t>
      </w:r>
      <w:r w:rsidR="00B5475D">
        <w:rPr>
          <w:rFonts w:eastAsia="ArialNarrow" w:cstheme="minorHAnsi"/>
        </w:rPr>
        <w:t>Sisačko-moslavačka</w:t>
      </w:r>
      <w:r w:rsidRPr="006154B8">
        <w:rPr>
          <w:rFonts w:eastAsia="ArialNarrow" w:cstheme="minorHAnsi"/>
        </w:rPr>
        <w:t xml:space="preserve"> županija je županija s najmanje izgrađenih stanova.</w:t>
      </w:r>
      <w:r w:rsidR="00920A5D">
        <w:rPr>
          <w:rFonts w:eastAsia="ArialNarrow" w:cstheme="minorHAnsi"/>
        </w:rPr>
        <w:t xml:space="preserve"> U Krapinsko- zagorskoj županiji u 2020. godini najviše je novoizgrađenih 4-sobnih stanova prema broju soba (40), a najmanje 8-sobnih i višesobnih (1).</w:t>
      </w:r>
    </w:p>
    <w:p w14:paraId="131D09E4" w14:textId="5C1125B3" w:rsidR="006154B8" w:rsidRDefault="006154B8" w:rsidP="00F43132">
      <w:pPr>
        <w:autoSpaceDE w:val="0"/>
        <w:autoSpaceDN w:val="0"/>
        <w:adjustRightInd w:val="0"/>
        <w:spacing w:after="0" w:line="240" w:lineRule="auto"/>
        <w:rPr>
          <w:rFonts w:eastAsia="ArialNarrow" w:cstheme="minorHAnsi"/>
          <w:sz w:val="20"/>
        </w:rPr>
      </w:pPr>
    </w:p>
    <w:p w14:paraId="12C1D644" w14:textId="379476C0" w:rsidR="00F43132" w:rsidRPr="0080798F" w:rsidRDefault="00F43132" w:rsidP="00F43132">
      <w:pPr>
        <w:pStyle w:val="Opisslike"/>
      </w:pPr>
      <w:bookmarkStart w:id="105" w:name="_Hlk85010626"/>
      <w:r>
        <w:t xml:space="preserve">Tablica </w:t>
      </w:r>
      <w:r>
        <w:rPr>
          <w:noProof/>
        </w:rPr>
        <w:t>49.</w:t>
      </w:r>
      <w:r>
        <w:t xml:space="preserve"> Završeni stanovi za stanovanje 2015. - 20</w:t>
      </w:r>
      <w:r w:rsidR="00B12AB2">
        <w:t>20</w:t>
      </w:r>
      <w:r w:rsidR="00084FC8">
        <w:t>11</w:t>
      </w:r>
      <w:r>
        <w:t>. godina pregled po županijama, Sjeverna Hrvatska i Republika Hrvatska</w:t>
      </w:r>
    </w:p>
    <w:tbl>
      <w:tblPr>
        <w:tblW w:w="9073" w:type="dxa"/>
        <w:jc w:val="center"/>
        <w:tblBorders>
          <w:insideH w:val="single" w:sz="8" w:space="0" w:color="F3CFC1"/>
        </w:tblBorders>
        <w:tblLook w:val="04A0" w:firstRow="1" w:lastRow="0" w:firstColumn="1" w:lastColumn="0" w:noHBand="0" w:noVBand="1"/>
      </w:tblPr>
      <w:tblGrid>
        <w:gridCol w:w="3164"/>
        <w:gridCol w:w="798"/>
        <w:gridCol w:w="798"/>
        <w:gridCol w:w="911"/>
        <w:gridCol w:w="1134"/>
        <w:gridCol w:w="1134"/>
        <w:gridCol w:w="1134"/>
      </w:tblGrid>
      <w:tr w:rsidR="00432A4E" w:rsidRPr="0026418E" w14:paraId="2B055146" w14:textId="685178C2" w:rsidTr="00432A4E">
        <w:trPr>
          <w:trHeight w:val="310"/>
          <w:tblHeader/>
          <w:jc w:val="center"/>
        </w:trPr>
        <w:tc>
          <w:tcPr>
            <w:tcW w:w="0" w:type="auto"/>
            <w:tcBorders>
              <w:top w:val="nil"/>
              <w:left w:val="single" w:sz="8" w:space="0" w:color="D2232A"/>
            </w:tcBorders>
            <w:shd w:val="clear" w:color="auto" w:fill="D2232A"/>
            <w:vAlign w:val="center"/>
            <w:hideMark/>
          </w:tcPr>
          <w:p w14:paraId="3145AB2C" w14:textId="77777777" w:rsidR="00432A4E" w:rsidRPr="00432A4E" w:rsidRDefault="00432A4E" w:rsidP="00232104">
            <w:pPr>
              <w:spacing w:after="0" w:line="240" w:lineRule="auto"/>
              <w:rPr>
                <w:rFonts w:eastAsia="Times New Roman" w:cstheme="minorHAnsi"/>
                <w:b/>
                <w:bCs/>
                <w:color w:val="FFFFFF"/>
                <w:szCs w:val="18"/>
                <w:lang w:eastAsia="hr-HR"/>
              </w:rPr>
            </w:pPr>
            <w:r w:rsidRPr="00432A4E">
              <w:rPr>
                <w:rFonts w:eastAsia="Times New Roman" w:cstheme="minorHAnsi"/>
                <w:b/>
                <w:bCs/>
                <w:color w:val="FFFFFF"/>
                <w:szCs w:val="18"/>
                <w:lang w:eastAsia="hr-HR"/>
              </w:rPr>
              <w:t>Završeni stanovi za stanovanje</w:t>
            </w:r>
          </w:p>
        </w:tc>
        <w:tc>
          <w:tcPr>
            <w:tcW w:w="0" w:type="auto"/>
            <w:tcBorders>
              <w:top w:val="nil"/>
            </w:tcBorders>
            <w:shd w:val="clear" w:color="auto" w:fill="D2232A"/>
            <w:noWrap/>
            <w:vAlign w:val="center"/>
            <w:hideMark/>
          </w:tcPr>
          <w:p w14:paraId="58C480DD" w14:textId="77777777" w:rsidR="00432A4E" w:rsidRPr="00432A4E" w:rsidRDefault="00432A4E" w:rsidP="00232104">
            <w:pPr>
              <w:spacing w:after="0" w:line="240" w:lineRule="auto"/>
              <w:jc w:val="right"/>
              <w:rPr>
                <w:rFonts w:eastAsia="Times New Roman" w:cstheme="minorHAnsi"/>
                <w:b/>
                <w:bCs/>
                <w:color w:val="FFFFFF"/>
                <w:szCs w:val="18"/>
                <w:lang w:eastAsia="hr-HR"/>
              </w:rPr>
            </w:pPr>
            <w:r w:rsidRPr="00432A4E">
              <w:rPr>
                <w:rFonts w:eastAsia="Times New Roman" w:cstheme="minorHAnsi"/>
                <w:b/>
                <w:bCs/>
                <w:color w:val="FFFFFF"/>
                <w:szCs w:val="18"/>
                <w:lang w:eastAsia="hr-HR"/>
              </w:rPr>
              <w:t>2015.</w:t>
            </w:r>
          </w:p>
        </w:tc>
        <w:tc>
          <w:tcPr>
            <w:tcW w:w="0" w:type="auto"/>
            <w:tcBorders>
              <w:top w:val="nil"/>
            </w:tcBorders>
            <w:shd w:val="clear" w:color="auto" w:fill="D2232A"/>
            <w:noWrap/>
            <w:vAlign w:val="center"/>
            <w:hideMark/>
          </w:tcPr>
          <w:p w14:paraId="05907BE0" w14:textId="77777777" w:rsidR="00432A4E" w:rsidRPr="00432A4E" w:rsidRDefault="00432A4E" w:rsidP="00232104">
            <w:pPr>
              <w:spacing w:after="0" w:line="240" w:lineRule="auto"/>
              <w:jc w:val="right"/>
              <w:rPr>
                <w:rFonts w:eastAsia="Times New Roman" w:cstheme="minorHAnsi"/>
                <w:b/>
                <w:bCs/>
                <w:color w:val="FFFFFF"/>
                <w:szCs w:val="18"/>
                <w:lang w:eastAsia="hr-HR"/>
              </w:rPr>
            </w:pPr>
            <w:r w:rsidRPr="00432A4E">
              <w:rPr>
                <w:rFonts w:eastAsia="Times New Roman" w:cstheme="minorHAnsi"/>
                <w:b/>
                <w:bCs/>
                <w:color w:val="FFFFFF"/>
                <w:szCs w:val="18"/>
                <w:lang w:eastAsia="hr-HR"/>
              </w:rPr>
              <w:t>2016.</w:t>
            </w:r>
          </w:p>
        </w:tc>
        <w:tc>
          <w:tcPr>
            <w:tcW w:w="911" w:type="dxa"/>
            <w:tcBorders>
              <w:top w:val="nil"/>
              <w:right w:val="single" w:sz="8" w:space="0" w:color="D2232A"/>
            </w:tcBorders>
            <w:shd w:val="clear" w:color="auto" w:fill="D2232A"/>
            <w:noWrap/>
            <w:vAlign w:val="center"/>
            <w:hideMark/>
          </w:tcPr>
          <w:p w14:paraId="12ECEED5" w14:textId="77777777" w:rsidR="00432A4E" w:rsidRPr="00432A4E" w:rsidRDefault="00432A4E" w:rsidP="00232104">
            <w:pPr>
              <w:spacing w:after="0" w:line="240" w:lineRule="auto"/>
              <w:jc w:val="right"/>
              <w:rPr>
                <w:rFonts w:eastAsia="Times New Roman" w:cstheme="minorHAnsi"/>
                <w:b/>
                <w:bCs/>
                <w:color w:val="FFFFFF"/>
                <w:szCs w:val="18"/>
                <w:lang w:eastAsia="hr-HR"/>
              </w:rPr>
            </w:pPr>
            <w:r w:rsidRPr="00432A4E">
              <w:rPr>
                <w:rFonts w:eastAsia="Times New Roman" w:cstheme="minorHAnsi"/>
                <w:b/>
                <w:bCs/>
                <w:color w:val="FFFFFF"/>
                <w:szCs w:val="18"/>
                <w:lang w:eastAsia="hr-HR"/>
              </w:rPr>
              <w:t>2017.</w:t>
            </w:r>
          </w:p>
        </w:tc>
        <w:tc>
          <w:tcPr>
            <w:tcW w:w="1134" w:type="dxa"/>
            <w:tcBorders>
              <w:top w:val="nil"/>
              <w:right w:val="single" w:sz="8" w:space="0" w:color="D2232A"/>
            </w:tcBorders>
            <w:shd w:val="clear" w:color="auto" w:fill="D2232A"/>
            <w:vAlign w:val="center"/>
          </w:tcPr>
          <w:p w14:paraId="26932C89" w14:textId="77777777" w:rsidR="00432A4E" w:rsidRPr="00432A4E" w:rsidRDefault="00432A4E" w:rsidP="00232104">
            <w:pPr>
              <w:spacing w:after="0" w:line="240" w:lineRule="auto"/>
              <w:jc w:val="center"/>
              <w:rPr>
                <w:rFonts w:eastAsia="Times New Roman" w:cstheme="minorHAnsi"/>
                <w:b/>
                <w:bCs/>
                <w:color w:val="FFFFFF"/>
                <w:szCs w:val="18"/>
                <w:lang w:eastAsia="hr-HR"/>
              </w:rPr>
            </w:pPr>
            <w:r w:rsidRPr="00432A4E">
              <w:rPr>
                <w:rFonts w:eastAsia="Times New Roman" w:cstheme="minorHAnsi"/>
                <w:b/>
                <w:bCs/>
                <w:color w:val="FFFFFF"/>
                <w:szCs w:val="18"/>
                <w:lang w:eastAsia="hr-HR"/>
              </w:rPr>
              <w:t>2018.</w:t>
            </w:r>
          </w:p>
        </w:tc>
        <w:tc>
          <w:tcPr>
            <w:tcW w:w="1134" w:type="dxa"/>
            <w:tcBorders>
              <w:top w:val="nil"/>
              <w:right w:val="single" w:sz="8" w:space="0" w:color="D2232A"/>
            </w:tcBorders>
            <w:shd w:val="clear" w:color="auto" w:fill="D2232A"/>
            <w:vAlign w:val="center"/>
          </w:tcPr>
          <w:p w14:paraId="77203E5C" w14:textId="77777777" w:rsidR="00432A4E" w:rsidRPr="00432A4E" w:rsidRDefault="00432A4E" w:rsidP="00232104">
            <w:pPr>
              <w:spacing w:after="0" w:line="240" w:lineRule="auto"/>
              <w:jc w:val="center"/>
              <w:rPr>
                <w:rFonts w:eastAsia="Times New Roman" w:cstheme="minorHAnsi"/>
                <w:b/>
                <w:bCs/>
                <w:color w:val="FFFFFF"/>
                <w:szCs w:val="18"/>
                <w:lang w:eastAsia="hr-HR"/>
              </w:rPr>
            </w:pPr>
            <w:r w:rsidRPr="00432A4E">
              <w:rPr>
                <w:rFonts w:eastAsia="Times New Roman" w:cstheme="minorHAnsi"/>
                <w:b/>
                <w:bCs/>
                <w:color w:val="FFFFFF"/>
                <w:szCs w:val="18"/>
                <w:lang w:eastAsia="hr-HR"/>
              </w:rPr>
              <w:t>2019.</w:t>
            </w:r>
          </w:p>
        </w:tc>
        <w:tc>
          <w:tcPr>
            <w:tcW w:w="1134" w:type="dxa"/>
            <w:tcBorders>
              <w:top w:val="nil"/>
              <w:right w:val="single" w:sz="8" w:space="0" w:color="D2232A"/>
            </w:tcBorders>
            <w:shd w:val="clear" w:color="auto" w:fill="D2232A"/>
            <w:vAlign w:val="center"/>
          </w:tcPr>
          <w:p w14:paraId="18929F71" w14:textId="4B886359" w:rsidR="00432A4E" w:rsidRPr="00432A4E" w:rsidRDefault="00432A4E" w:rsidP="00432A4E">
            <w:pPr>
              <w:spacing w:after="0" w:line="240" w:lineRule="auto"/>
              <w:jc w:val="center"/>
              <w:rPr>
                <w:rFonts w:eastAsia="Times New Roman" w:cstheme="minorHAnsi"/>
                <w:b/>
                <w:bCs/>
                <w:color w:val="FFFFFF"/>
                <w:szCs w:val="18"/>
                <w:lang w:eastAsia="hr-HR"/>
              </w:rPr>
            </w:pPr>
            <w:r w:rsidRPr="00432A4E">
              <w:rPr>
                <w:rFonts w:eastAsia="Times New Roman" w:cstheme="minorHAnsi"/>
                <w:b/>
                <w:bCs/>
                <w:color w:val="FFFFFF"/>
                <w:szCs w:val="18"/>
                <w:lang w:eastAsia="hr-HR"/>
              </w:rPr>
              <w:t>2020.</w:t>
            </w:r>
          </w:p>
        </w:tc>
      </w:tr>
      <w:tr w:rsidR="00432A4E" w:rsidRPr="0026418E" w14:paraId="635FB1FE" w14:textId="4BFB7A48" w:rsidTr="00432A4E">
        <w:trPr>
          <w:trHeight w:val="310"/>
          <w:jc w:val="center"/>
        </w:trPr>
        <w:tc>
          <w:tcPr>
            <w:tcW w:w="0" w:type="auto"/>
            <w:tcBorders>
              <w:left w:val="single" w:sz="8" w:space="0" w:color="D2232A"/>
              <w:bottom w:val="single" w:sz="8" w:space="0" w:color="FFFFFF" w:themeColor="background1"/>
            </w:tcBorders>
            <w:shd w:val="clear" w:color="auto" w:fill="E5E5E5" w:themeFill="text1" w:themeFillTint="33"/>
            <w:noWrap/>
            <w:vAlign w:val="center"/>
            <w:hideMark/>
          </w:tcPr>
          <w:p w14:paraId="060BBC08"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Republika Hrvatska</w:t>
            </w:r>
          </w:p>
        </w:tc>
        <w:tc>
          <w:tcPr>
            <w:tcW w:w="0" w:type="auto"/>
            <w:tcBorders>
              <w:bottom w:val="single" w:sz="8" w:space="0" w:color="FFFFFF" w:themeColor="background1"/>
            </w:tcBorders>
            <w:shd w:val="clear" w:color="auto" w:fill="E5E5E5" w:themeFill="text1" w:themeFillTint="33"/>
            <w:noWrap/>
            <w:vAlign w:val="center"/>
            <w:hideMark/>
          </w:tcPr>
          <w:p w14:paraId="0B392AF8" w14:textId="77777777" w:rsidR="00432A4E" w:rsidRPr="0026418E" w:rsidRDefault="00432A4E" w:rsidP="00232104">
            <w:pPr>
              <w:spacing w:after="0" w:line="240" w:lineRule="auto"/>
              <w:jc w:val="right"/>
              <w:rPr>
                <w:rFonts w:eastAsia="Times New Roman" w:cstheme="minorHAnsi"/>
                <w:szCs w:val="18"/>
                <w:lang w:eastAsia="hr-HR"/>
              </w:rPr>
            </w:pPr>
            <w:r w:rsidRPr="0026418E">
              <w:rPr>
                <w:rFonts w:eastAsia="Times New Roman" w:cstheme="minorHAnsi"/>
                <w:szCs w:val="18"/>
                <w:lang w:eastAsia="hr-HR"/>
              </w:rPr>
              <w:t>8.059</w:t>
            </w:r>
          </w:p>
        </w:tc>
        <w:tc>
          <w:tcPr>
            <w:tcW w:w="0" w:type="auto"/>
            <w:tcBorders>
              <w:bottom w:val="single" w:sz="8" w:space="0" w:color="FFFFFF" w:themeColor="background1"/>
            </w:tcBorders>
            <w:shd w:val="clear" w:color="auto" w:fill="E5E5E5" w:themeFill="text1" w:themeFillTint="33"/>
            <w:noWrap/>
            <w:vAlign w:val="center"/>
            <w:hideMark/>
          </w:tcPr>
          <w:p w14:paraId="2B321814" w14:textId="77777777" w:rsidR="00432A4E" w:rsidRPr="0026418E" w:rsidRDefault="00432A4E" w:rsidP="00232104">
            <w:pPr>
              <w:spacing w:after="0" w:line="240" w:lineRule="auto"/>
              <w:jc w:val="right"/>
              <w:rPr>
                <w:rFonts w:eastAsia="Times New Roman" w:cstheme="minorHAnsi"/>
                <w:szCs w:val="18"/>
                <w:lang w:eastAsia="hr-HR"/>
              </w:rPr>
            </w:pPr>
            <w:r w:rsidRPr="0026418E">
              <w:rPr>
                <w:rFonts w:eastAsia="Times New Roman" w:cstheme="minorHAnsi"/>
                <w:szCs w:val="18"/>
                <w:lang w:eastAsia="hr-HR"/>
              </w:rPr>
              <w:t>7.809</w:t>
            </w:r>
          </w:p>
        </w:tc>
        <w:tc>
          <w:tcPr>
            <w:tcW w:w="911" w:type="dxa"/>
            <w:tcBorders>
              <w:bottom w:val="single" w:sz="8" w:space="0" w:color="FFFFFF" w:themeColor="background1"/>
              <w:right w:val="single" w:sz="8" w:space="0" w:color="D2232A"/>
            </w:tcBorders>
            <w:shd w:val="clear" w:color="auto" w:fill="E5E5E5" w:themeFill="text1" w:themeFillTint="33"/>
            <w:noWrap/>
            <w:vAlign w:val="center"/>
            <w:hideMark/>
          </w:tcPr>
          <w:p w14:paraId="3BD282A5" w14:textId="77777777" w:rsidR="00432A4E" w:rsidRPr="0026418E" w:rsidRDefault="00432A4E" w:rsidP="00232104">
            <w:pPr>
              <w:spacing w:after="0" w:line="240" w:lineRule="auto"/>
              <w:jc w:val="right"/>
              <w:rPr>
                <w:rFonts w:eastAsia="Times New Roman" w:cstheme="minorHAnsi"/>
                <w:szCs w:val="18"/>
                <w:lang w:eastAsia="hr-HR"/>
              </w:rPr>
            </w:pPr>
            <w:r w:rsidRPr="0026418E">
              <w:rPr>
                <w:rFonts w:eastAsia="Times New Roman" w:cstheme="minorHAnsi"/>
                <w:szCs w:val="18"/>
                <w:lang w:eastAsia="hr-HR"/>
              </w:rPr>
              <w:t>8.496</w:t>
            </w:r>
          </w:p>
        </w:tc>
        <w:tc>
          <w:tcPr>
            <w:tcW w:w="1134" w:type="dxa"/>
            <w:tcBorders>
              <w:bottom w:val="single" w:sz="8" w:space="0" w:color="FFFFFF" w:themeColor="background1"/>
              <w:right w:val="single" w:sz="8" w:space="0" w:color="D2232A"/>
            </w:tcBorders>
            <w:shd w:val="clear" w:color="auto" w:fill="E5E5E5" w:themeFill="text1" w:themeFillTint="33"/>
          </w:tcPr>
          <w:p w14:paraId="15EAC371" w14:textId="77777777" w:rsidR="00432A4E" w:rsidRPr="0026418E" w:rsidRDefault="00432A4E" w:rsidP="00232104">
            <w:pPr>
              <w:spacing w:after="0" w:line="240" w:lineRule="auto"/>
              <w:jc w:val="right"/>
              <w:rPr>
                <w:rFonts w:eastAsia="Times New Roman" w:cstheme="minorHAnsi"/>
                <w:szCs w:val="18"/>
                <w:lang w:eastAsia="hr-HR"/>
              </w:rPr>
            </w:pPr>
            <w:r w:rsidRPr="0026418E">
              <w:rPr>
                <w:rFonts w:eastAsia="Times New Roman" w:cstheme="minorHAnsi"/>
                <w:szCs w:val="18"/>
                <w:lang w:eastAsia="hr-HR"/>
              </w:rPr>
              <w:t>10.141</w:t>
            </w:r>
          </w:p>
        </w:tc>
        <w:tc>
          <w:tcPr>
            <w:tcW w:w="1134" w:type="dxa"/>
            <w:tcBorders>
              <w:bottom w:val="single" w:sz="8" w:space="0" w:color="FFFFFF" w:themeColor="background1"/>
              <w:right w:val="single" w:sz="8" w:space="0" w:color="D2232A"/>
            </w:tcBorders>
            <w:shd w:val="clear" w:color="auto" w:fill="E5E5E5" w:themeFill="text1" w:themeFillTint="33"/>
          </w:tcPr>
          <w:p w14:paraId="6A58952C" w14:textId="77777777" w:rsidR="00432A4E" w:rsidRPr="0026418E" w:rsidRDefault="00432A4E" w:rsidP="00232104">
            <w:pPr>
              <w:spacing w:after="0" w:line="240" w:lineRule="auto"/>
              <w:jc w:val="right"/>
              <w:rPr>
                <w:rFonts w:eastAsia="Times New Roman" w:cstheme="minorHAnsi"/>
                <w:szCs w:val="18"/>
                <w:lang w:eastAsia="hr-HR"/>
              </w:rPr>
            </w:pPr>
            <w:r>
              <w:rPr>
                <w:rFonts w:eastAsia="Times New Roman" w:cstheme="minorHAnsi"/>
                <w:szCs w:val="18"/>
                <w:lang w:eastAsia="hr-HR"/>
              </w:rPr>
              <w:t>11.726</w:t>
            </w:r>
          </w:p>
        </w:tc>
        <w:tc>
          <w:tcPr>
            <w:tcW w:w="1134" w:type="dxa"/>
            <w:tcBorders>
              <w:bottom w:val="single" w:sz="8" w:space="0" w:color="FFFFFF" w:themeColor="background1"/>
              <w:right w:val="single" w:sz="8" w:space="0" w:color="D2232A"/>
            </w:tcBorders>
            <w:shd w:val="clear" w:color="auto" w:fill="E5E5E5" w:themeFill="text1" w:themeFillTint="33"/>
          </w:tcPr>
          <w:p w14:paraId="098EF9E5" w14:textId="77A4D0A3" w:rsidR="00432A4E" w:rsidRDefault="00432A4E" w:rsidP="00232104">
            <w:pPr>
              <w:spacing w:after="0" w:line="240" w:lineRule="auto"/>
              <w:jc w:val="right"/>
              <w:rPr>
                <w:rFonts w:eastAsia="Times New Roman" w:cstheme="minorHAnsi"/>
                <w:szCs w:val="18"/>
                <w:lang w:eastAsia="hr-HR"/>
              </w:rPr>
            </w:pPr>
            <w:r>
              <w:rPr>
                <w:rFonts w:eastAsia="Times New Roman" w:cstheme="minorHAnsi"/>
                <w:szCs w:val="18"/>
                <w:lang w:eastAsia="hr-HR"/>
              </w:rPr>
              <w:t>11.957</w:t>
            </w:r>
          </w:p>
        </w:tc>
      </w:tr>
      <w:tr w:rsidR="00432A4E" w:rsidRPr="0026418E" w14:paraId="2D0F55BA" w14:textId="4D158295" w:rsidTr="00432A4E">
        <w:trPr>
          <w:trHeight w:val="310"/>
          <w:jc w:val="center"/>
        </w:trPr>
        <w:tc>
          <w:tcPr>
            <w:tcW w:w="0" w:type="auto"/>
            <w:tcBorders>
              <w:top w:val="single" w:sz="8" w:space="0" w:color="FFFFFF" w:themeColor="background1"/>
              <w:left w:val="single" w:sz="8" w:space="0" w:color="D2232A"/>
              <w:bottom w:val="single" w:sz="8" w:space="0" w:color="FFFFFF" w:themeColor="background1"/>
            </w:tcBorders>
            <w:shd w:val="clear" w:color="auto" w:fill="E5E5E5" w:themeFill="text1" w:themeFillTint="33"/>
            <w:noWrap/>
            <w:vAlign w:val="center"/>
            <w:hideMark/>
          </w:tcPr>
          <w:p w14:paraId="693C4486" w14:textId="77777777" w:rsidR="00432A4E" w:rsidRPr="0026418E" w:rsidRDefault="00432A4E" w:rsidP="00232104">
            <w:pPr>
              <w:spacing w:after="0" w:line="240" w:lineRule="auto"/>
              <w:rPr>
                <w:rFonts w:eastAsia="Times New Roman" w:cstheme="minorHAnsi"/>
                <w:szCs w:val="18"/>
                <w:lang w:eastAsia="hr-HR"/>
              </w:rPr>
            </w:pPr>
            <w:r>
              <w:rPr>
                <w:rFonts w:eastAsia="Times New Roman" w:cstheme="minorHAnsi"/>
                <w:szCs w:val="18"/>
                <w:lang w:eastAsia="hr-HR"/>
              </w:rPr>
              <w:t>Sjevern</w:t>
            </w:r>
            <w:r w:rsidRPr="0026418E">
              <w:rPr>
                <w:rFonts w:eastAsia="Times New Roman" w:cstheme="minorHAnsi"/>
                <w:szCs w:val="18"/>
                <w:lang w:eastAsia="hr-HR"/>
              </w:rPr>
              <w:t>a Hrvatska</w:t>
            </w:r>
          </w:p>
        </w:tc>
        <w:tc>
          <w:tcPr>
            <w:tcW w:w="0" w:type="auto"/>
            <w:tcBorders>
              <w:top w:val="single" w:sz="8" w:space="0" w:color="FFFFFF" w:themeColor="background1"/>
              <w:bottom w:val="single" w:sz="8" w:space="0" w:color="FFFFFF" w:themeColor="background1"/>
            </w:tcBorders>
            <w:shd w:val="clear" w:color="auto" w:fill="E5E5E5" w:themeFill="text1" w:themeFillTint="33"/>
            <w:noWrap/>
            <w:vAlign w:val="center"/>
          </w:tcPr>
          <w:p w14:paraId="481DAE0F" w14:textId="77777777" w:rsidR="00432A4E" w:rsidRPr="0026418E" w:rsidRDefault="00432A4E" w:rsidP="00232104">
            <w:pPr>
              <w:spacing w:after="0" w:line="240" w:lineRule="auto"/>
              <w:jc w:val="right"/>
              <w:rPr>
                <w:rFonts w:eastAsia="Times New Roman" w:cstheme="minorHAnsi"/>
                <w:szCs w:val="18"/>
                <w:lang w:eastAsia="hr-HR"/>
              </w:rPr>
            </w:pPr>
            <w:r w:rsidRPr="0026418E">
              <w:rPr>
                <w:rFonts w:eastAsia="Times New Roman" w:cstheme="minorHAnsi"/>
                <w:szCs w:val="18"/>
                <w:lang w:eastAsia="hr-HR"/>
              </w:rPr>
              <w:t>990</w:t>
            </w:r>
          </w:p>
        </w:tc>
        <w:tc>
          <w:tcPr>
            <w:tcW w:w="0" w:type="auto"/>
            <w:tcBorders>
              <w:top w:val="single" w:sz="8" w:space="0" w:color="FFFFFF" w:themeColor="background1"/>
              <w:bottom w:val="single" w:sz="8" w:space="0" w:color="FFFFFF" w:themeColor="background1"/>
            </w:tcBorders>
            <w:shd w:val="clear" w:color="auto" w:fill="E5E5E5" w:themeFill="text1" w:themeFillTint="33"/>
            <w:noWrap/>
            <w:vAlign w:val="center"/>
          </w:tcPr>
          <w:p w14:paraId="35AB4613" w14:textId="77777777" w:rsidR="00432A4E" w:rsidRPr="0026418E" w:rsidRDefault="00432A4E" w:rsidP="00232104">
            <w:pPr>
              <w:spacing w:after="0" w:line="240" w:lineRule="auto"/>
              <w:jc w:val="right"/>
              <w:rPr>
                <w:rFonts w:eastAsia="Times New Roman" w:cstheme="minorHAnsi"/>
                <w:szCs w:val="18"/>
                <w:lang w:eastAsia="hr-HR"/>
              </w:rPr>
            </w:pPr>
            <w:r w:rsidRPr="0026418E">
              <w:rPr>
                <w:rFonts w:eastAsia="Times New Roman" w:cstheme="minorHAnsi"/>
                <w:szCs w:val="18"/>
                <w:lang w:eastAsia="hr-HR"/>
              </w:rPr>
              <w:t>1.226</w:t>
            </w:r>
          </w:p>
        </w:tc>
        <w:tc>
          <w:tcPr>
            <w:tcW w:w="911" w:type="dxa"/>
            <w:tcBorders>
              <w:top w:val="single" w:sz="8" w:space="0" w:color="FFFFFF" w:themeColor="background1"/>
              <w:bottom w:val="single" w:sz="8" w:space="0" w:color="FFFFFF" w:themeColor="background1"/>
              <w:right w:val="single" w:sz="8" w:space="0" w:color="D2232A"/>
            </w:tcBorders>
            <w:shd w:val="clear" w:color="auto" w:fill="E5E5E5" w:themeFill="text1" w:themeFillTint="33"/>
            <w:noWrap/>
            <w:vAlign w:val="center"/>
            <w:hideMark/>
          </w:tcPr>
          <w:p w14:paraId="06AC0B77" w14:textId="77777777" w:rsidR="00432A4E" w:rsidRPr="0026418E" w:rsidRDefault="00432A4E" w:rsidP="00232104">
            <w:pPr>
              <w:spacing w:after="0" w:line="240" w:lineRule="auto"/>
              <w:jc w:val="right"/>
              <w:rPr>
                <w:rFonts w:eastAsia="Times New Roman" w:cstheme="minorHAnsi"/>
                <w:szCs w:val="18"/>
                <w:lang w:eastAsia="hr-HR"/>
              </w:rPr>
            </w:pPr>
            <w:r w:rsidRPr="0026418E">
              <w:rPr>
                <w:rFonts w:eastAsia="Times New Roman" w:cstheme="minorHAnsi"/>
                <w:szCs w:val="18"/>
                <w:lang w:eastAsia="hr-HR"/>
              </w:rPr>
              <w:t>1.123</w:t>
            </w:r>
          </w:p>
        </w:tc>
        <w:tc>
          <w:tcPr>
            <w:tcW w:w="1134" w:type="dxa"/>
            <w:tcBorders>
              <w:top w:val="single" w:sz="8" w:space="0" w:color="FFFFFF" w:themeColor="background1"/>
              <w:bottom w:val="single" w:sz="8" w:space="0" w:color="FFFFFF" w:themeColor="background1"/>
              <w:right w:val="single" w:sz="8" w:space="0" w:color="D2232A"/>
            </w:tcBorders>
            <w:shd w:val="clear" w:color="auto" w:fill="E5E5E5" w:themeFill="text1" w:themeFillTint="33"/>
          </w:tcPr>
          <w:p w14:paraId="11408F6D" w14:textId="77777777" w:rsidR="00432A4E" w:rsidRPr="0026418E" w:rsidRDefault="00432A4E" w:rsidP="00232104">
            <w:pPr>
              <w:spacing w:after="0" w:line="240" w:lineRule="auto"/>
              <w:jc w:val="right"/>
              <w:rPr>
                <w:rFonts w:eastAsia="Times New Roman" w:cstheme="minorHAnsi"/>
                <w:szCs w:val="18"/>
                <w:lang w:eastAsia="hr-HR"/>
              </w:rPr>
            </w:pPr>
            <w:r w:rsidRPr="0026418E">
              <w:rPr>
                <w:rFonts w:eastAsia="Times New Roman" w:cstheme="minorHAnsi"/>
                <w:szCs w:val="18"/>
                <w:lang w:eastAsia="hr-HR"/>
              </w:rPr>
              <w:t>1.087</w:t>
            </w:r>
          </w:p>
        </w:tc>
        <w:tc>
          <w:tcPr>
            <w:tcW w:w="1134" w:type="dxa"/>
            <w:tcBorders>
              <w:top w:val="single" w:sz="8" w:space="0" w:color="FFFFFF" w:themeColor="background1"/>
              <w:bottom w:val="single" w:sz="8" w:space="0" w:color="FFFFFF" w:themeColor="background1"/>
              <w:right w:val="single" w:sz="8" w:space="0" w:color="D2232A"/>
            </w:tcBorders>
            <w:shd w:val="clear" w:color="auto" w:fill="E5E5E5" w:themeFill="text1" w:themeFillTint="33"/>
          </w:tcPr>
          <w:p w14:paraId="74CB0F1A" w14:textId="77777777" w:rsidR="00432A4E" w:rsidRPr="0026418E" w:rsidRDefault="00432A4E" w:rsidP="00232104">
            <w:pPr>
              <w:spacing w:after="0" w:line="240" w:lineRule="auto"/>
              <w:jc w:val="right"/>
              <w:rPr>
                <w:rFonts w:eastAsia="Times New Roman" w:cstheme="minorHAnsi"/>
                <w:szCs w:val="18"/>
                <w:lang w:eastAsia="hr-HR"/>
              </w:rPr>
            </w:pPr>
            <w:r>
              <w:rPr>
                <w:rFonts w:eastAsia="Times New Roman" w:cstheme="minorHAnsi"/>
                <w:szCs w:val="18"/>
                <w:lang w:eastAsia="hr-HR"/>
              </w:rPr>
              <w:t>1.438</w:t>
            </w:r>
          </w:p>
        </w:tc>
        <w:tc>
          <w:tcPr>
            <w:tcW w:w="1134" w:type="dxa"/>
            <w:tcBorders>
              <w:top w:val="single" w:sz="8" w:space="0" w:color="FFFFFF" w:themeColor="background1"/>
              <w:bottom w:val="single" w:sz="8" w:space="0" w:color="FFFFFF" w:themeColor="background1"/>
              <w:right w:val="single" w:sz="8" w:space="0" w:color="D2232A"/>
            </w:tcBorders>
            <w:shd w:val="clear" w:color="auto" w:fill="E5E5E5" w:themeFill="text1" w:themeFillTint="33"/>
          </w:tcPr>
          <w:p w14:paraId="4D3F7767" w14:textId="6D8D6CF2" w:rsidR="00432A4E" w:rsidRDefault="00920A5D" w:rsidP="00232104">
            <w:pPr>
              <w:spacing w:after="0" w:line="240" w:lineRule="auto"/>
              <w:jc w:val="right"/>
              <w:rPr>
                <w:rFonts w:eastAsia="Times New Roman" w:cstheme="minorHAnsi"/>
                <w:szCs w:val="18"/>
                <w:lang w:eastAsia="hr-HR"/>
              </w:rPr>
            </w:pPr>
            <w:r>
              <w:rPr>
                <w:rFonts w:eastAsia="Times New Roman" w:cstheme="minorHAnsi"/>
                <w:szCs w:val="18"/>
                <w:lang w:eastAsia="hr-HR"/>
              </w:rPr>
              <w:t>1.436</w:t>
            </w:r>
          </w:p>
        </w:tc>
      </w:tr>
      <w:tr w:rsidR="00432A4E" w:rsidRPr="0026418E" w14:paraId="422A5506" w14:textId="16D48C21" w:rsidTr="00432A4E">
        <w:trPr>
          <w:trHeight w:val="310"/>
          <w:jc w:val="center"/>
        </w:trPr>
        <w:tc>
          <w:tcPr>
            <w:tcW w:w="0" w:type="auto"/>
            <w:tcBorders>
              <w:top w:val="single" w:sz="8" w:space="0" w:color="FFFFFF" w:themeColor="background1"/>
              <w:left w:val="single" w:sz="8" w:space="0" w:color="D2232A"/>
              <w:bottom w:val="single" w:sz="8" w:space="0" w:color="FFFFFF" w:themeColor="background1"/>
            </w:tcBorders>
            <w:shd w:val="clear" w:color="auto" w:fill="D2232A" w:themeFill="accent1"/>
            <w:noWrap/>
            <w:vAlign w:val="center"/>
            <w:hideMark/>
          </w:tcPr>
          <w:p w14:paraId="40588F05" w14:textId="77777777" w:rsidR="00432A4E" w:rsidRPr="0026418E" w:rsidRDefault="00432A4E" w:rsidP="00232104">
            <w:pPr>
              <w:spacing w:after="0" w:line="240" w:lineRule="auto"/>
              <w:rPr>
                <w:rFonts w:eastAsia="Times New Roman" w:cstheme="minorHAnsi"/>
                <w:color w:val="FFFFFF" w:themeColor="background1"/>
                <w:szCs w:val="18"/>
                <w:lang w:eastAsia="hr-HR"/>
              </w:rPr>
            </w:pPr>
            <w:r w:rsidRPr="0026418E">
              <w:rPr>
                <w:rFonts w:eastAsia="Times New Roman" w:cstheme="minorHAnsi"/>
                <w:color w:val="FFFFFF" w:themeColor="background1"/>
                <w:szCs w:val="18"/>
                <w:lang w:eastAsia="hr-HR"/>
              </w:rPr>
              <w:t>Krapinsko-zagorska</w:t>
            </w:r>
          </w:p>
        </w:tc>
        <w:tc>
          <w:tcPr>
            <w:tcW w:w="0" w:type="auto"/>
            <w:tcBorders>
              <w:top w:val="single" w:sz="8" w:space="0" w:color="FFFFFF" w:themeColor="background1"/>
              <w:bottom w:val="single" w:sz="8" w:space="0" w:color="FFFFFF" w:themeColor="background1"/>
            </w:tcBorders>
            <w:shd w:val="clear" w:color="auto" w:fill="D2232A" w:themeFill="accent1"/>
            <w:noWrap/>
            <w:vAlign w:val="center"/>
            <w:hideMark/>
          </w:tcPr>
          <w:p w14:paraId="2073937A" w14:textId="77777777" w:rsidR="00432A4E" w:rsidRPr="0026418E" w:rsidRDefault="00432A4E" w:rsidP="00432A4E">
            <w:pPr>
              <w:spacing w:after="0" w:line="240" w:lineRule="auto"/>
              <w:jc w:val="center"/>
              <w:rPr>
                <w:rFonts w:eastAsia="Times New Roman" w:cstheme="minorHAnsi"/>
                <w:color w:val="FFFFFF" w:themeColor="background1"/>
                <w:szCs w:val="18"/>
                <w:lang w:eastAsia="hr-HR"/>
              </w:rPr>
            </w:pPr>
            <w:r w:rsidRPr="0026418E">
              <w:rPr>
                <w:rFonts w:eastAsia="Times New Roman" w:cstheme="minorHAnsi"/>
                <w:color w:val="FFFFFF" w:themeColor="background1"/>
                <w:szCs w:val="18"/>
                <w:lang w:eastAsia="hr-HR"/>
              </w:rPr>
              <w:t>115</w:t>
            </w:r>
          </w:p>
        </w:tc>
        <w:tc>
          <w:tcPr>
            <w:tcW w:w="0" w:type="auto"/>
            <w:tcBorders>
              <w:top w:val="single" w:sz="8" w:space="0" w:color="FFFFFF" w:themeColor="background1"/>
              <w:bottom w:val="single" w:sz="8" w:space="0" w:color="FFFFFF" w:themeColor="background1"/>
            </w:tcBorders>
            <w:shd w:val="clear" w:color="auto" w:fill="D2232A" w:themeFill="accent1"/>
            <w:noWrap/>
            <w:vAlign w:val="center"/>
            <w:hideMark/>
          </w:tcPr>
          <w:p w14:paraId="0CED6EF0" w14:textId="77777777" w:rsidR="00432A4E" w:rsidRPr="0026418E" w:rsidRDefault="00432A4E" w:rsidP="00432A4E">
            <w:pPr>
              <w:spacing w:after="0" w:line="240" w:lineRule="auto"/>
              <w:jc w:val="center"/>
              <w:rPr>
                <w:rFonts w:eastAsia="Times New Roman" w:cstheme="minorHAnsi"/>
                <w:color w:val="FFFFFF" w:themeColor="background1"/>
                <w:szCs w:val="18"/>
                <w:lang w:eastAsia="hr-HR"/>
              </w:rPr>
            </w:pPr>
            <w:r w:rsidRPr="0026418E">
              <w:rPr>
                <w:rFonts w:eastAsia="Times New Roman" w:cstheme="minorHAnsi"/>
                <w:color w:val="FFFFFF" w:themeColor="background1"/>
                <w:szCs w:val="18"/>
                <w:lang w:eastAsia="hr-HR"/>
              </w:rPr>
              <w:t>101</w:t>
            </w:r>
          </w:p>
        </w:tc>
        <w:tc>
          <w:tcPr>
            <w:tcW w:w="911" w:type="dxa"/>
            <w:tcBorders>
              <w:top w:val="single" w:sz="8" w:space="0" w:color="FFFFFF" w:themeColor="background1"/>
              <w:bottom w:val="single" w:sz="8" w:space="0" w:color="FFFFFF" w:themeColor="background1"/>
              <w:right w:val="single" w:sz="8" w:space="0" w:color="D2232A"/>
            </w:tcBorders>
            <w:shd w:val="clear" w:color="auto" w:fill="D2232A" w:themeFill="accent1"/>
            <w:noWrap/>
            <w:vAlign w:val="center"/>
            <w:hideMark/>
          </w:tcPr>
          <w:p w14:paraId="0BC5A8D5" w14:textId="77777777" w:rsidR="00432A4E" w:rsidRPr="0026418E" w:rsidRDefault="00432A4E" w:rsidP="00432A4E">
            <w:pPr>
              <w:spacing w:after="0" w:line="240" w:lineRule="auto"/>
              <w:jc w:val="center"/>
              <w:rPr>
                <w:rFonts w:eastAsia="Times New Roman" w:cstheme="minorHAnsi"/>
                <w:color w:val="FFFFFF" w:themeColor="background1"/>
                <w:szCs w:val="18"/>
                <w:lang w:eastAsia="hr-HR"/>
              </w:rPr>
            </w:pPr>
            <w:r w:rsidRPr="0026418E">
              <w:rPr>
                <w:rFonts w:eastAsia="Times New Roman" w:cstheme="minorHAnsi"/>
                <w:color w:val="FFFFFF" w:themeColor="background1"/>
                <w:szCs w:val="18"/>
                <w:lang w:eastAsia="hr-HR"/>
              </w:rPr>
              <w:t>102</w:t>
            </w:r>
          </w:p>
        </w:tc>
        <w:tc>
          <w:tcPr>
            <w:tcW w:w="1134" w:type="dxa"/>
            <w:tcBorders>
              <w:top w:val="single" w:sz="8" w:space="0" w:color="FFFFFF" w:themeColor="background1"/>
              <w:bottom w:val="single" w:sz="8" w:space="0" w:color="FFFFFF" w:themeColor="background1"/>
              <w:right w:val="single" w:sz="8" w:space="0" w:color="D2232A"/>
            </w:tcBorders>
            <w:shd w:val="clear" w:color="auto" w:fill="D2232A" w:themeFill="accent1"/>
            <w:vAlign w:val="center"/>
          </w:tcPr>
          <w:p w14:paraId="38EABD55" w14:textId="77777777" w:rsidR="00432A4E" w:rsidRPr="0026418E" w:rsidRDefault="00432A4E" w:rsidP="00432A4E">
            <w:pPr>
              <w:spacing w:after="0" w:line="240" w:lineRule="auto"/>
              <w:jc w:val="center"/>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138</w:t>
            </w:r>
          </w:p>
        </w:tc>
        <w:tc>
          <w:tcPr>
            <w:tcW w:w="1134" w:type="dxa"/>
            <w:tcBorders>
              <w:top w:val="single" w:sz="8" w:space="0" w:color="FFFFFF" w:themeColor="background1"/>
              <w:bottom w:val="single" w:sz="8" w:space="0" w:color="FFFFFF" w:themeColor="background1"/>
              <w:right w:val="single" w:sz="8" w:space="0" w:color="D2232A"/>
            </w:tcBorders>
            <w:shd w:val="clear" w:color="auto" w:fill="D2232A" w:themeFill="accent1"/>
            <w:vAlign w:val="center"/>
          </w:tcPr>
          <w:p w14:paraId="206E4A6F" w14:textId="77777777" w:rsidR="00432A4E" w:rsidRDefault="00432A4E" w:rsidP="00432A4E">
            <w:pPr>
              <w:spacing w:after="0" w:line="240" w:lineRule="auto"/>
              <w:jc w:val="center"/>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159</w:t>
            </w:r>
          </w:p>
        </w:tc>
        <w:tc>
          <w:tcPr>
            <w:tcW w:w="1134" w:type="dxa"/>
            <w:tcBorders>
              <w:top w:val="single" w:sz="8" w:space="0" w:color="FFFFFF" w:themeColor="background1"/>
              <w:bottom w:val="single" w:sz="8" w:space="0" w:color="FFFFFF" w:themeColor="background1"/>
              <w:right w:val="single" w:sz="8" w:space="0" w:color="D2232A"/>
            </w:tcBorders>
            <w:shd w:val="clear" w:color="auto" w:fill="D2232A" w:themeFill="accent1"/>
            <w:vAlign w:val="center"/>
          </w:tcPr>
          <w:p w14:paraId="73107C11" w14:textId="14B04A7C" w:rsidR="00432A4E" w:rsidRDefault="00432A4E" w:rsidP="00432A4E">
            <w:pPr>
              <w:spacing w:after="0" w:line="240" w:lineRule="auto"/>
              <w:jc w:val="center"/>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151</w:t>
            </w:r>
          </w:p>
        </w:tc>
      </w:tr>
      <w:tr w:rsidR="00432A4E" w:rsidRPr="0026418E" w14:paraId="6AA14B99" w14:textId="5A748D36" w:rsidTr="00432A4E">
        <w:trPr>
          <w:trHeight w:val="310"/>
          <w:jc w:val="center"/>
        </w:trPr>
        <w:tc>
          <w:tcPr>
            <w:tcW w:w="0" w:type="auto"/>
            <w:tcBorders>
              <w:top w:val="single" w:sz="8" w:space="0" w:color="FFFFFF" w:themeColor="background1"/>
              <w:left w:val="single" w:sz="8" w:space="0" w:color="D2232A"/>
            </w:tcBorders>
            <w:shd w:val="clear" w:color="auto" w:fill="auto"/>
            <w:noWrap/>
            <w:vAlign w:val="center"/>
            <w:hideMark/>
          </w:tcPr>
          <w:p w14:paraId="6D0C92B4"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Zagrebačka</w:t>
            </w:r>
          </w:p>
        </w:tc>
        <w:tc>
          <w:tcPr>
            <w:tcW w:w="0" w:type="auto"/>
            <w:tcBorders>
              <w:top w:val="single" w:sz="8" w:space="0" w:color="FFFFFF" w:themeColor="background1"/>
            </w:tcBorders>
            <w:noWrap/>
            <w:vAlign w:val="center"/>
            <w:hideMark/>
          </w:tcPr>
          <w:p w14:paraId="16650731"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414</w:t>
            </w:r>
          </w:p>
        </w:tc>
        <w:tc>
          <w:tcPr>
            <w:tcW w:w="0" w:type="auto"/>
            <w:tcBorders>
              <w:top w:val="single" w:sz="8" w:space="0" w:color="FFFFFF" w:themeColor="background1"/>
            </w:tcBorders>
            <w:noWrap/>
            <w:vAlign w:val="center"/>
            <w:hideMark/>
          </w:tcPr>
          <w:p w14:paraId="3CD1A9C2"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393</w:t>
            </w:r>
          </w:p>
        </w:tc>
        <w:tc>
          <w:tcPr>
            <w:tcW w:w="911" w:type="dxa"/>
            <w:tcBorders>
              <w:top w:val="single" w:sz="8" w:space="0" w:color="FFFFFF" w:themeColor="background1"/>
              <w:right w:val="single" w:sz="8" w:space="0" w:color="D2232A"/>
            </w:tcBorders>
            <w:noWrap/>
            <w:vAlign w:val="center"/>
            <w:hideMark/>
          </w:tcPr>
          <w:p w14:paraId="526A51D7"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452</w:t>
            </w:r>
          </w:p>
        </w:tc>
        <w:tc>
          <w:tcPr>
            <w:tcW w:w="1134" w:type="dxa"/>
            <w:tcBorders>
              <w:top w:val="single" w:sz="8" w:space="0" w:color="FFFFFF" w:themeColor="background1"/>
              <w:right w:val="single" w:sz="8" w:space="0" w:color="D2232A"/>
            </w:tcBorders>
          </w:tcPr>
          <w:p w14:paraId="53D28131"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414</w:t>
            </w:r>
          </w:p>
        </w:tc>
        <w:tc>
          <w:tcPr>
            <w:tcW w:w="1134" w:type="dxa"/>
            <w:tcBorders>
              <w:top w:val="single" w:sz="8" w:space="0" w:color="FFFFFF" w:themeColor="background1"/>
              <w:right w:val="single" w:sz="8" w:space="0" w:color="D2232A"/>
            </w:tcBorders>
          </w:tcPr>
          <w:p w14:paraId="4DB317B5"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426</w:t>
            </w:r>
          </w:p>
        </w:tc>
        <w:tc>
          <w:tcPr>
            <w:tcW w:w="1134" w:type="dxa"/>
            <w:tcBorders>
              <w:top w:val="single" w:sz="8" w:space="0" w:color="FFFFFF" w:themeColor="background1"/>
              <w:right w:val="single" w:sz="8" w:space="0" w:color="D2232A"/>
            </w:tcBorders>
          </w:tcPr>
          <w:p w14:paraId="445A4654" w14:textId="3884EE5E"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529</w:t>
            </w:r>
          </w:p>
        </w:tc>
      </w:tr>
      <w:tr w:rsidR="00432A4E" w:rsidRPr="0026418E" w14:paraId="56EDF71A" w14:textId="5648EC11" w:rsidTr="00432A4E">
        <w:trPr>
          <w:trHeight w:val="310"/>
          <w:jc w:val="center"/>
        </w:trPr>
        <w:tc>
          <w:tcPr>
            <w:tcW w:w="0" w:type="auto"/>
            <w:tcBorders>
              <w:left w:val="single" w:sz="8" w:space="0" w:color="D2232A"/>
            </w:tcBorders>
            <w:shd w:val="clear" w:color="auto" w:fill="auto"/>
            <w:noWrap/>
            <w:vAlign w:val="center"/>
            <w:hideMark/>
          </w:tcPr>
          <w:p w14:paraId="48DE2C69"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Sisačko-moslavačka</w:t>
            </w:r>
          </w:p>
        </w:tc>
        <w:tc>
          <w:tcPr>
            <w:tcW w:w="0" w:type="auto"/>
            <w:noWrap/>
            <w:vAlign w:val="center"/>
            <w:hideMark/>
          </w:tcPr>
          <w:p w14:paraId="0E5A8D57"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94</w:t>
            </w:r>
          </w:p>
        </w:tc>
        <w:tc>
          <w:tcPr>
            <w:tcW w:w="0" w:type="auto"/>
            <w:noWrap/>
            <w:vAlign w:val="center"/>
            <w:hideMark/>
          </w:tcPr>
          <w:p w14:paraId="42ED0A3D"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88</w:t>
            </w:r>
          </w:p>
        </w:tc>
        <w:tc>
          <w:tcPr>
            <w:tcW w:w="911" w:type="dxa"/>
            <w:tcBorders>
              <w:right w:val="single" w:sz="8" w:space="0" w:color="D2232A"/>
            </w:tcBorders>
            <w:noWrap/>
            <w:vAlign w:val="center"/>
            <w:hideMark/>
          </w:tcPr>
          <w:p w14:paraId="1AAE9284"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83</w:t>
            </w:r>
          </w:p>
        </w:tc>
        <w:tc>
          <w:tcPr>
            <w:tcW w:w="1134" w:type="dxa"/>
            <w:tcBorders>
              <w:right w:val="single" w:sz="8" w:space="0" w:color="D2232A"/>
            </w:tcBorders>
          </w:tcPr>
          <w:p w14:paraId="363788F4"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101</w:t>
            </w:r>
          </w:p>
        </w:tc>
        <w:tc>
          <w:tcPr>
            <w:tcW w:w="1134" w:type="dxa"/>
            <w:tcBorders>
              <w:right w:val="single" w:sz="8" w:space="0" w:color="D2232A"/>
            </w:tcBorders>
          </w:tcPr>
          <w:p w14:paraId="0B8DB88F"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52</w:t>
            </w:r>
          </w:p>
        </w:tc>
        <w:tc>
          <w:tcPr>
            <w:tcW w:w="1134" w:type="dxa"/>
            <w:tcBorders>
              <w:right w:val="single" w:sz="8" w:space="0" w:color="D2232A"/>
            </w:tcBorders>
          </w:tcPr>
          <w:p w14:paraId="46952310" w14:textId="09B58AA5"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61</w:t>
            </w:r>
          </w:p>
        </w:tc>
      </w:tr>
      <w:tr w:rsidR="00432A4E" w:rsidRPr="0026418E" w14:paraId="748C83FA" w14:textId="626F0350" w:rsidTr="00432A4E">
        <w:trPr>
          <w:trHeight w:val="310"/>
          <w:jc w:val="center"/>
        </w:trPr>
        <w:tc>
          <w:tcPr>
            <w:tcW w:w="0" w:type="auto"/>
            <w:tcBorders>
              <w:left w:val="single" w:sz="8" w:space="0" w:color="D2232A"/>
              <w:bottom w:val="single" w:sz="8" w:space="0" w:color="F3CFC1"/>
            </w:tcBorders>
            <w:shd w:val="clear" w:color="auto" w:fill="auto"/>
            <w:noWrap/>
            <w:vAlign w:val="center"/>
            <w:hideMark/>
          </w:tcPr>
          <w:p w14:paraId="022D8048"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Karlovačka</w:t>
            </w:r>
          </w:p>
        </w:tc>
        <w:tc>
          <w:tcPr>
            <w:tcW w:w="0" w:type="auto"/>
            <w:noWrap/>
            <w:vAlign w:val="center"/>
            <w:hideMark/>
          </w:tcPr>
          <w:p w14:paraId="269F09D9"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113</w:t>
            </w:r>
          </w:p>
        </w:tc>
        <w:tc>
          <w:tcPr>
            <w:tcW w:w="0" w:type="auto"/>
            <w:noWrap/>
            <w:vAlign w:val="center"/>
            <w:hideMark/>
          </w:tcPr>
          <w:p w14:paraId="3E498C72"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133</w:t>
            </w:r>
          </w:p>
        </w:tc>
        <w:tc>
          <w:tcPr>
            <w:tcW w:w="911" w:type="dxa"/>
            <w:tcBorders>
              <w:right w:val="single" w:sz="8" w:space="0" w:color="D2232A"/>
            </w:tcBorders>
            <w:noWrap/>
            <w:vAlign w:val="center"/>
            <w:hideMark/>
          </w:tcPr>
          <w:p w14:paraId="269DCE41"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130</w:t>
            </w:r>
          </w:p>
        </w:tc>
        <w:tc>
          <w:tcPr>
            <w:tcW w:w="1134" w:type="dxa"/>
            <w:tcBorders>
              <w:right w:val="single" w:sz="8" w:space="0" w:color="D2232A"/>
            </w:tcBorders>
          </w:tcPr>
          <w:p w14:paraId="0EFE491E"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124</w:t>
            </w:r>
          </w:p>
        </w:tc>
        <w:tc>
          <w:tcPr>
            <w:tcW w:w="1134" w:type="dxa"/>
            <w:tcBorders>
              <w:right w:val="single" w:sz="8" w:space="0" w:color="D2232A"/>
            </w:tcBorders>
          </w:tcPr>
          <w:p w14:paraId="4C47AB89"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190</w:t>
            </w:r>
          </w:p>
        </w:tc>
        <w:tc>
          <w:tcPr>
            <w:tcW w:w="1134" w:type="dxa"/>
            <w:tcBorders>
              <w:right w:val="single" w:sz="8" w:space="0" w:color="D2232A"/>
            </w:tcBorders>
          </w:tcPr>
          <w:p w14:paraId="57DF007C" w14:textId="6745FBC8"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135</w:t>
            </w:r>
          </w:p>
        </w:tc>
      </w:tr>
      <w:tr w:rsidR="00432A4E" w:rsidRPr="0026418E" w14:paraId="0FE7270F" w14:textId="21226885" w:rsidTr="00432A4E">
        <w:trPr>
          <w:trHeight w:val="310"/>
          <w:jc w:val="center"/>
        </w:trPr>
        <w:tc>
          <w:tcPr>
            <w:tcW w:w="0" w:type="auto"/>
            <w:tcBorders>
              <w:top w:val="single" w:sz="8" w:space="0" w:color="F3CFC1"/>
              <w:left w:val="single" w:sz="8" w:space="0" w:color="D2232A"/>
              <w:bottom w:val="single" w:sz="8" w:space="0" w:color="F3CFC1"/>
            </w:tcBorders>
            <w:shd w:val="clear" w:color="auto" w:fill="auto"/>
            <w:noWrap/>
            <w:vAlign w:val="center"/>
            <w:hideMark/>
          </w:tcPr>
          <w:p w14:paraId="4DB00C86"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Varaždinska</w:t>
            </w:r>
          </w:p>
        </w:tc>
        <w:tc>
          <w:tcPr>
            <w:tcW w:w="0" w:type="auto"/>
            <w:noWrap/>
            <w:vAlign w:val="center"/>
            <w:hideMark/>
          </w:tcPr>
          <w:p w14:paraId="75DD5083"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162</w:t>
            </w:r>
          </w:p>
        </w:tc>
        <w:tc>
          <w:tcPr>
            <w:tcW w:w="0" w:type="auto"/>
            <w:noWrap/>
            <w:vAlign w:val="center"/>
            <w:hideMark/>
          </w:tcPr>
          <w:p w14:paraId="466697A4"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339</w:t>
            </w:r>
          </w:p>
        </w:tc>
        <w:tc>
          <w:tcPr>
            <w:tcW w:w="911" w:type="dxa"/>
            <w:tcBorders>
              <w:right w:val="single" w:sz="8" w:space="0" w:color="D2232A"/>
            </w:tcBorders>
            <w:noWrap/>
            <w:vAlign w:val="center"/>
            <w:hideMark/>
          </w:tcPr>
          <w:p w14:paraId="68D457B3"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208</w:t>
            </w:r>
          </w:p>
        </w:tc>
        <w:tc>
          <w:tcPr>
            <w:tcW w:w="1134" w:type="dxa"/>
            <w:tcBorders>
              <w:right w:val="single" w:sz="8" w:space="0" w:color="D2232A"/>
            </w:tcBorders>
          </w:tcPr>
          <w:p w14:paraId="35356829"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236</w:t>
            </w:r>
          </w:p>
        </w:tc>
        <w:tc>
          <w:tcPr>
            <w:tcW w:w="1134" w:type="dxa"/>
            <w:tcBorders>
              <w:right w:val="single" w:sz="8" w:space="0" w:color="D2232A"/>
            </w:tcBorders>
          </w:tcPr>
          <w:p w14:paraId="5CE9C994"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289</w:t>
            </w:r>
          </w:p>
        </w:tc>
        <w:tc>
          <w:tcPr>
            <w:tcW w:w="1134" w:type="dxa"/>
            <w:tcBorders>
              <w:right w:val="single" w:sz="8" w:space="0" w:color="D2232A"/>
            </w:tcBorders>
          </w:tcPr>
          <w:p w14:paraId="40107721" w14:textId="3F09C002"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184</w:t>
            </w:r>
          </w:p>
        </w:tc>
      </w:tr>
      <w:tr w:rsidR="00432A4E" w:rsidRPr="0026418E" w14:paraId="15E57CFB" w14:textId="52B70B66" w:rsidTr="00432A4E">
        <w:trPr>
          <w:trHeight w:val="310"/>
          <w:jc w:val="center"/>
        </w:trPr>
        <w:tc>
          <w:tcPr>
            <w:tcW w:w="0" w:type="auto"/>
            <w:tcBorders>
              <w:top w:val="single" w:sz="8" w:space="0" w:color="F3CFC1"/>
              <w:left w:val="single" w:sz="8" w:space="0" w:color="D2232A"/>
            </w:tcBorders>
            <w:shd w:val="clear" w:color="auto" w:fill="auto"/>
            <w:noWrap/>
            <w:vAlign w:val="center"/>
            <w:hideMark/>
          </w:tcPr>
          <w:p w14:paraId="31D21A54"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Koprivničko-križevačka</w:t>
            </w:r>
          </w:p>
        </w:tc>
        <w:tc>
          <w:tcPr>
            <w:tcW w:w="0" w:type="auto"/>
            <w:noWrap/>
            <w:vAlign w:val="center"/>
            <w:hideMark/>
          </w:tcPr>
          <w:p w14:paraId="6448E4FA"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141</w:t>
            </w:r>
          </w:p>
        </w:tc>
        <w:tc>
          <w:tcPr>
            <w:tcW w:w="0" w:type="auto"/>
            <w:noWrap/>
            <w:vAlign w:val="center"/>
            <w:hideMark/>
          </w:tcPr>
          <w:p w14:paraId="5B852A34"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125</w:t>
            </w:r>
          </w:p>
        </w:tc>
        <w:tc>
          <w:tcPr>
            <w:tcW w:w="911" w:type="dxa"/>
            <w:tcBorders>
              <w:right w:val="single" w:sz="8" w:space="0" w:color="D2232A"/>
            </w:tcBorders>
            <w:noWrap/>
            <w:vAlign w:val="center"/>
            <w:hideMark/>
          </w:tcPr>
          <w:p w14:paraId="1EB0EF80"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120</w:t>
            </w:r>
          </w:p>
        </w:tc>
        <w:tc>
          <w:tcPr>
            <w:tcW w:w="1134" w:type="dxa"/>
            <w:tcBorders>
              <w:right w:val="single" w:sz="8" w:space="0" w:color="D2232A"/>
            </w:tcBorders>
          </w:tcPr>
          <w:p w14:paraId="04E0B67A"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100</w:t>
            </w:r>
          </w:p>
        </w:tc>
        <w:tc>
          <w:tcPr>
            <w:tcW w:w="1134" w:type="dxa"/>
            <w:tcBorders>
              <w:right w:val="single" w:sz="8" w:space="0" w:color="D2232A"/>
            </w:tcBorders>
          </w:tcPr>
          <w:p w14:paraId="3BC529E8"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263</w:t>
            </w:r>
          </w:p>
        </w:tc>
        <w:tc>
          <w:tcPr>
            <w:tcW w:w="1134" w:type="dxa"/>
            <w:tcBorders>
              <w:right w:val="single" w:sz="8" w:space="0" w:color="D2232A"/>
            </w:tcBorders>
          </w:tcPr>
          <w:p w14:paraId="533D1CCC" w14:textId="26287A22"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141</w:t>
            </w:r>
          </w:p>
        </w:tc>
      </w:tr>
      <w:tr w:rsidR="00432A4E" w:rsidRPr="0026418E" w14:paraId="74B51C54" w14:textId="6A86A8A8" w:rsidTr="00432A4E">
        <w:trPr>
          <w:trHeight w:val="310"/>
          <w:jc w:val="center"/>
        </w:trPr>
        <w:tc>
          <w:tcPr>
            <w:tcW w:w="0" w:type="auto"/>
            <w:tcBorders>
              <w:left w:val="single" w:sz="8" w:space="0" w:color="D2232A"/>
            </w:tcBorders>
            <w:shd w:val="clear" w:color="auto" w:fill="auto"/>
            <w:noWrap/>
            <w:vAlign w:val="center"/>
            <w:hideMark/>
          </w:tcPr>
          <w:p w14:paraId="1FF8588A"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Bjelovarsko-bilogorska</w:t>
            </w:r>
          </w:p>
        </w:tc>
        <w:tc>
          <w:tcPr>
            <w:tcW w:w="0" w:type="auto"/>
            <w:noWrap/>
            <w:vAlign w:val="center"/>
            <w:hideMark/>
          </w:tcPr>
          <w:p w14:paraId="1569782F"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101</w:t>
            </w:r>
          </w:p>
        </w:tc>
        <w:tc>
          <w:tcPr>
            <w:tcW w:w="0" w:type="auto"/>
            <w:noWrap/>
            <w:vAlign w:val="center"/>
            <w:hideMark/>
          </w:tcPr>
          <w:p w14:paraId="0A345295"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116</w:t>
            </w:r>
          </w:p>
        </w:tc>
        <w:tc>
          <w:tcPr>
            <w:tcW w:w="911" w:type="dxa"/>
            <w:tcBorders>
              <w:right w:val="single" w:sz="8" w:space="0" w:color="D2232A"/>
            </w:tcBorders>
            <w:noWrap/>
            <w:vAlign w:val="center"/>
            <w:hideMark/>
          </w:tcPr>
          <w:p w14:paraId="1450D7C0"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74</w:t>
            </w:r>
          </w:p>
        </w:tc>
        <w:tc>
          <w:tcPr>
            <w:tcW w:w="1134" w:type="dxa"/>
            <w:tcBorders>
              <w:right w:val="single" w:sz="8" w:space="0" w:color="D2232A"/>
            </w:tcBorders>
          </w:tcPr>
          <w:p w14:paraId="7C71AE5F"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102</w:t>
            </w:r>
          </w:p>
        </w:tc>
        <w:tc>
          <w:tcPr>
            <w:tcW w:w="1134" w:type="dxa"/>
            <w:tcBorders>
              <w:right w:val="single" w:sz="8" w:space="0" w:color="D2232A"/>
            </w:tcBorders>
          </w:tcPr>
          <w:p w14:paraId="303B799C"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123</w:t>
            </w:r>
          </w:p>
        </w:tc>
        <w:tc>
          <w:tcPr>
            <w:tcW w:w="1134" w:type="dxa"/>
            <w:tcBorders>
              <w:right w:val="single" w:sz="8" w:space="0" w:color="D2232A"/>
            </w:tcBorders>
          </w:tcPr>
          <w:p w14:paraId="4B011A1C" w14:textId="66B49966"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157</w:t>
            </w:r>
          </w:p>
        </w:tc>
      </w:tr>
      <w:tr w:rsidR="00432A4E" w:rsidRPr="0026418E" w14:paraId="1AAEBA0F" w14:textId="04537F4A" w:rsidTr="00432A4E">
        <w:trPr>
          <w:trHeight w:val="310"/>
          <w:jc w:val="center"/>
        </w:trPr>
        <w:tc>
          <w:tcPr>
            <w:tcW w:w="0" w:type="auto"/>
            <w:tcBorders>
              <w:left w:val="single" w:sz="8" w:space="0" w:color="D2232A"/>
            </w:tcBorders>
            <w:shd w:val="clear" w:color="auto" w:fill="auto"/>
            <w:noWrap/>
            <w:vAlign w:val="center"/>
            <w:hideMark/>
          </w:tcPr>
          <w:p w14:paraId="630CA75E"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Primorsko-goranska</w:t>
            </w:r>
          </w:p>
        </w:tc>
        <w:tc>
          <w:tcPr>
            <w:tcW w:w="0" w:type="auto"/>
            <w:noWrap/>
            <w:vAlign w:val="center"/>
            <w:hideMark/>
          </w:tcPr>
          <w:p w14:paraId="777DADDE"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741</w:t>
            </w:r>
          </w:p>
        </w:tc>
        <w:tc>
          <w:tcPr>
            <w:tcW w:w="0" w:type="auto"/>
            <w:noWrap/>
            <w:vAlign w:val="center"/>
            <w:hideMark/>
          </w:tcPr>
          <w:p w14:paraId="2B840CFE"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831</w:t>
            </w:r>
          </w:p>
        </w:tc>
        <w:tc>
          <w:tcPr>
            <w:tcW w:w="911" w:type="dxa"/>
            <w:tcBorders>
              <w:right w:val="single" w:sz="8" w:space="0" w:color="D2232A"/>
            </w:tcBorders>
            <w:noWrap/>
            <w:vAlign w:val="center"/>
            <w:hideMark/>
          </w:tcPr>
          <w:p w14:paraId="03F3431F"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865</w:t>
            </w:r>
          </w:p>
        </w:tc>
        <w:tc>
          <w:tcPr>
            <w:tcW w:w="1134" w:type="dxa"/>
            <w:tcBorders>
              <w:right w:val="single" w:sz="8" w:space="0" w:color="D2232A"/>
            </w:tcBorders>
          </w:tcPr>
          <w:p w14:paraId="26629D62"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756</w:t>
            </w:r>
          </w:p>
        </w:tc>
        <w:tc>
          <w:tcPr>
            <w:tcW w:w="1134" w:type="dxa"/>
            <w:tcBorders>
              <w:right w:val="single" w:sz="8" w:space="0" w:color="D2232A"/>
            </w:tcBorders>
          </w:tcPr>
          <w:p w14:paraId="303C7705"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901</w:t>
            </w:r>
          </w:p>
        </w:tc>
        <w:tc>
          <w:tcPr>
            <w:tcW w:w="1134" w:type="dxa"/>
            <w:tcBorders>
              <w:right w:val="single" w:sz="8" w:space="0" w:color="D2232A"/>
            </w:tcBorders>
          </w:tcPr>
          <w:p w14:paraId="1246E891" w14:textId="3DB32F3E"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852</w:t>
            </w:r>
          </w:p>
        </w:tc>
      </w:tr>
      <w:tr w:rsidR="00432A4E" w:rsidRPr="0026418E" w14:paraId="232AAB7D" w14:textId="4554BC5F" w:rsidTr="00432A4E">
        <w:trPr>
          <w:trHeight w:val="310"/>
          <w:jc w:val="center"/>
        </w:trPr>
        <w:tc>
          <w:tcPr>
            <w:tcW w:w="0" w:type="auto"/>
            <w:tcBorders>
              <w:left w:val="single" w:sz="8" w:space="0" w:color="D2232A"/>
            </w:tcBorders>
            <w:shd w:val="clear" w:color="auto" w:fill="auto"/>
            <w:noWrap/>
            <w:vAlign w:val="center"/>
            <w:hideMark/>
          </w:tcPr>
          <w:p w14:paraId="3C24909D"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Ličko-senjska</w:t>
            </w:r>
          </w:p>
        </w:tc>
        <w:tc>
          <w:tcPr>
            <w:tcW w:w="0" w:type="auto"/>
            <w:noWrap/>
            <w:vAlign w:val="center"/>
            <w:hideMark/>
          </w:tcPr>
          <w:p w14:paraId="61CCB598"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271</w:t>
            </w:r>
          </w:p>
        </w:tc>
        <w:tc>
          <w:tcPr>
            <w:tcW w:w="0" w:type="auto"/>
            <w:noWrap/>
            <w:vAlign w:val="center"/>
            <w:hideMark/>
          </w:tcPr>
          <w:p w14:paraId="055F6AE7"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196</w:t>
            </w:r>
          </w:p>
        </w:tc>
        <w:tc>
          <w:tcPr>
            <w:tcW w:w="911" w:type="dxa"/>
            <w:tcBorders>
              <w:right w:val="single" w:sz="8" w:space="0" w:color="D2232A"/>
            </w:tcBorders>
            <w:noWrap/>
            <w:vAlign w:val="center"/>
            <w:hideMark/>
          </w:tcPr>
          <w:p w14:paraId="3894DBDD"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299</w:t>
            </w:r>
          </w:p>
        </w:tc>
        <w:tc>
          <w:tcPr>
            <w:tcW w:w="1134" w:type="dxa"/>
            <w:tcBorders>
              <w:right w:val="single" w:sz="8" w:space="0" w:color="D2232A"/>
            </w:tcBorders>
          </w:tcPr>
          <w:p w14:paraId="41C36CC0"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237</w:t>
            </w:r>
          </w:p>
        </w:tc>
        <w:tc>
          <w:tcPr>
            <w:tcW w:w="1134" w:type="dxa"/>
            <w:tcBorders>
              <w:right w:val="single" w:sz="8" w:space="0" w:color="D2232A"/>
            </w:tcBorders>
          </w:tcPr>
          <w:p w14:paraId="012FD5D3"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177</w:t>
            </w:r>
          </w:p>
        </w:tc>
        <w:tc>
          <w:tcPr>
            <w:tcW w:w="1134" w:type="dxa"/>
            <w:tcBorders>
              <w:right w:val="single" w:sz="8" w:space="0" w:color="D2232A"/>
            </w:tcBorders>
          </w:tcPr>
          <w:p w14:paraId="5ECB5D1B" w14:textId="0953E4A7"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292</w:t>
            </w:r>
          </w:p>
        </w:tc>
      </w:tr>
      <w:tr w:rsidR="00432A4E" w:rsidRPr="0026418E" w14:paraId="479AB1C8" w14:textId="3ABFB16C" w:rsidTr="00432A4E">
        <w:trPr>
          <w:trHeight w:val="310"/>
          <w:jc w:val="center"/>
        </w:trPr>
        <w:tc>
          <w:tcPr>
            <w:tcW w:w="0" w:type="auto"/>
            <w:tcBorders>
              <w:left w:val="single" w:sz="8" w:space="0" w:color="D2232A"/>
            </w:tcBorders>
            <w:shd w:val="clear" w:color="auto" w:fill="auto"/>
            <w:noWrap/>
            <w:vAlign w:val="center"/>
            <w:hideMark/>
          </w:tcPr>
          <w:p w14:paraId="370197DA"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Virovitičko-podravska</w:t>
            </w:r>
          </w:p>
        </w:tc>
        <w:tc>
          <w:tcPr>
            <w:tcW w:w="0" w:type="auto"/>
            <w:noWrap/>
            <w:vAlign w:val="center"/>
            <w:hideMark/>
          </w:tcPr>
          <w:p w14:paraId="532B6970"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46</w:t>
            </w:r>
          </w:p>
        </w:tc>
        <w:tc>
          <w:tcPr>
            <w:tcW w:w="0" w:type="auto"/>
            <w:noWrap/>
            <w:vAlign w:val="center"/>
            <w:hideMark/>
          </w:tcPr>
          <w:p w14:paraId="4378CAC0"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80</w:t>
            </w:r>
          </w:p>
        </w:tc>
        <w:tc>
          <w:tcPr>
            <w:tcW w:w="911" w:type="dxa"/>
            <w:tcBorders>
              <w:right w:val="single" w:sz="8" w:space="0" w:color="D2232A"/>
            </w:tcBorders>
            <w:noWrap/>
            <w:vAlign w:val="center"/>
            <w:hideMark/>
          </w:tcPr>
          <w:p w14:paraId="0C06F228"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36</w:t>
            </w:r>
          </w:p>
        </w:tc>
        <w:tc>
          <w:tcPr>
            <w:tcW w:w="1134" w:type="dxa"/>
            <w:tcBorders>
              <w:right w:val="single" w:sz="8" w:space="0" w:color="D2232A"/>
            </w:tcBorders>
          </w:tcPr>
          <w:p w14:paraId="0184AA2C"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64</w:t>
            </w:r>
          </w:p>
        </w:tc>
        <w:tc>
          <w:tcPr>
            <w:tcW w:w="1134" w:type="dxa"/>
            <w:tcBorders>
              <w:right w:val="single" w:sz="8" w:space="0" w:color="D2232A"/>
            </w:tcBorders>
          </w:tcPr>
          <w:p w14:paraId="598111F4"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64</w:t>
            </w:r>
          </w:p>
        </w:tc>
        <w:tc>
          <w:tcPr>
            <w:tcW w:w="1134" w:type="dxa"/>
            <w:tcBorders>
              <w:right w:val="single" w:sz="8" w:space="0" w:color="D2232A"/>
            </w:tcBorders>
          </w:tcPr>
          <w:p w14:paraId="67064330" w14:textId="7052AA93"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86</w:t>
            </w:r>
          </w:p>
        </w:tc>
      </w:tr>
      <w:tr w:rsidR="00432A4E" w:rsidRPr="0026418E" w14:paraId="58C27F23" w14:textId="764C8929" w:rsidTr="00432A4E">
        <w:trPr>
          <w:trHeight w:val="310"/>
          <w:jc w:val="center"/>
        </w:trPr>
        <w:tc>
          <w:tcPr>
            <w:tcW w:w="0" w:type="auto"/>
            <w:tcBorders>
              <w:left w:val="single" w:sz="8" w:space="0" w:color="D2232A"/>
            </w:tcBorders>
            <w:shd w:val="clear" w:color="auto" w:fill="auto"/>
            <w:noWrap/>
            <w:vAlign w:val="center"/>
            <w:hideMark/>
          </w:tcPr>
          <w:p w14:paraId="14A3196E"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Požeško-slavonska</w:t>
            </w:r>
          </w:p>
        </w:tc>
        <w:tc>
          <w:tcPr>
            <w:tcW w:w="0" w:type="auto"/>
            <w:noWrap/>
            <w:vAlign w:val="center"/>
            <w:hideMark/>
          </w:tcPr>
          <w:p w14:paraId="50134749"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46</w:t>
            </w:r>
          </w:p>
        </w:tc>
        <w:tc>
          <w:tcPr>
            <w:tcW w:w="0" w:type="auto"/>
            <w:noWrap/>
            <w:vAlign w:val="center"/>
            <w:hideMark/>
          </w:tcPr>
          <w:p w14:paraId="0EA28973"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102</w:t>
            </w:r>
          </w:p>
        </w:tc>
        <w:tc>
          <w:tcPr>
            <w:tcW w:w="911" w:type="dxa"/>
            <w:tcBorders>
              <w:right w:val="single" w:sz="8" w:space="0" w:color="D2232A"/>
            </w:tcBorders>
            <w:noWrap/>
            <w:vAlign w:val="center"/>
            <w:hideMark/>
          </w:tcPr>
          <w:p w14:paraId="0C7FB0A9"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77</w:t>
            </w:r>
          </w:p>
        </w:tc>
        <w:tc>
          <w:tcPr>
            <w:tcW w:w="1134" w:type="dxa"/>
            <w:tcBorders>
              <w:right w:val="single" w:sz="8" w:space="0" w:color="D2232A"/>
            </w:tcBorders>
          </w:tcPr>
          <w:p w14:paraId="19A8F97F"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75</w:t>
            </w:r>
          </w:p>
        </w:tc>
        <w:tc>
          <w:tcPr>
            <w:tcW w:w="1134" w:type="dxa"/>
            <w:tcBorders>
              <w:right w:val="single" w:sz="8" w:space="0" w:color="D2232A"/>
            </w:tcBorders>
          </w:tcPr>
          <w:p w14:paraId="02783629"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56</w:t>
            </w:r>
          </w:p>
        </w:tc>
        <w:tc>
          <w:tcPr>
            <w:tcW w:w="1134" w:type="dxa"/>
            <w:tcBorders>
              <w:right w:val="single" w:sz="8" w:space="0" w:color="D2232A"/>
            </w:tcBorders>
          </w:tcPr>
          <w:p w14:paraId="7136EC58" w14:textId="37BB97C8"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81</w:t>
            </w:r>
          </w:p>
        </w:tc>
      </w:tr>
      <w:tr w:rsidR="00432A4E" w:rsidRPr="0026418E" w14:paraId="2BBD384C" w14:textId="6315CEF2" w:rsidTr="00432A4E">
        <w:trPr>
          <w:trHeight w:val="310"/>
          <w:jc w:val="center"/>
        </w:trPr>
        <w:tc>
          <w:tcPr>
            <w:tcW w:w="0" w:type="auto"/>
            <w:tcBorders>
              <w:left w:val="single" w:sz="8" w:space="0" w:color="D2232A"/>
            </w:tcBorders>
            <w:shd w:val="clear" w:color="auto" w:fill="auto"/>
            <w:noWrap/>
            <w:vAlign w:val="center"/>
            <w:hideMark/>
          </w:tcPr>
          <w:p w14:paraId="38943D0E"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Brodsko-posavska</w:t>
            </w:r>
          </w:p>
        </w:tc>
        <w:tc>
          <w:tcPr>
            <w:tcW w:w="0" w:type="auto"/>
            <w:noWrap/>
            <w:vAlign w:val="center"/>
            <w:hideMark/>
          </w:tcPr>
          <w:p w14:paraId="29F71CAD"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103</w:t>
            </w:r>
          </w:p>
        </w:tc>
        <w:tc>
          <w:tcPr>
            <w:tcW w:w="0" w:type="auto"/>
            <w:noWrap/>
            <w:vAlign w:val="center"/>
            <w:hideMark/>
          </w:tcPr>
          <w:p w14:paraId="0813E37B"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246</w:t>
            </w:r>
          </w:p>
        </w:tc>
        <w:tc>
          <w:tcPr>
            <w:tcW w:w="911" w:type="dxa"/>
            <w:tcBorders>
              <w:right w:val="single" w:sz="8" w:space="0" w:color="D2232A"/>
            </w:tcBorders>
            <w:noWrap/>
            <w:vAlign w:val="center"/>
            <w:hideMark/>
          </w:tcPr>
          <w:p w14:paraId="7E0A95DC"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156</w:t>
            </w:r>
          </w:p>
        </w:tc>
        <w:tc>
          <w:tcPr>
            <w:tcW w:w="1134" w:type="dxa"/>
            <w:tcBorders>
              <w:right w:val="single" w:sz="8" w:space="0" w:color="D2232A"/>
            </w:tcBorders>
          </w:tcPr>
          <w:p w14:paraId="77241141"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164</w:t>
            </w:r>
          </w:p>
        </w:tc>
        <w:tc>
          <w:tcPr>
            <w:tcW w:w="1134" w:type="dxa"/>
            <w:tcBorders>
              <w:right w:val="single" w:sz="8" w:space="0" w:color="D2232A"/>
            </w:tcBorders>
          </w:tcPr>
          <w:p w14:paraId="3DB6E007"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184</w:t>
            </w:r>
          </w:p>
        </w:tc>
        <w:tc>
          <w:tcPr>
            <w:tcW w:w="1134" w:type="dxa"/>
            <w:tcBorders>
              <w:right w:val="single" w:sz="8" w:space="0" w:color="D2232A"/>
            </w:tcBorders>
          </w:tcPr>
          <w:p w14:paraId="56B1182B" w14:textId="10DCD442"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136</w:t>
            </w:r>
          </w:p>
        </w:tc>
      </w:tr>
      <w:tr w:rsidR="00432A4E" w:rsidRPr="0026418E" w14:paraId="1CAC33E7" w14:textId="62F905EE" w:rsidTr="00432A4E">
        <w:trPr>
          <w:trHeight w:val="310"/>
          <w:jc w:val="center"/>
        </w:trPr>
        <w:tc>
          <w:tcPr>
            <w:tcW w:w="0" w:type="auto"/>
            <w:tcBorders>
              <w:left w:val="single" w:sz="8" w:space="0" w:color="D2232A"/>
            </w:tcBorders>
            <w:shd w:val="clear" w:color="auto" w:fill="auto"/>
            <w:noWrap/>
            <w:vAlign w:val="center"/>
            <w:hideMark/>
          </w:tcPr>
          <w:p w14:paraId="15258797"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Zadarska</w:t>
            </w:r>
          </w:p>
        </w:tc>
        <w:tc>
          <w:tcPr>
            <w:tcW w:w="0" w:type="auto"/>
            <w:noWrap/>
            <w:vAlign w:val="center"/>
            <w:hideMark/>
          </w:tcPr>
          <w:p w14:paraId="5BCF6660"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950</w:t>
            </w:r>
          </w:p>
        </w:tc>
        <w:tc>
          <w:tcPr>
            <w:tcW w:w="0" w:type="auto"/>
            <w:noWrap/>
            <w:vAlign w:val="center"/>
            <w:hideMark/>
          </w:tcPr>
          <w:p w14:paraId="3E974565"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1.154</w:t>
            </w:r>
          </w:p>
        </w:tc>
        <w:tc>
          <w:tcPr>
            <w:tcW w:w="911" w:type="dxa"/>
            <w:tcBorders>
              <w:right w:val="single" w:sz="8" w:space="0" w:color="D2232A"/>
            </w:tcBorders>
            <w:noWrap/>
            <w:vAlign w:val="center"/>
            <w:hideMark/>
          </w:tcPr>
          <w:p w14:paraId="4C4E0956"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1.191</w:t>
            </w:r>
          </w:p>
        </w:tc>
        <w:tc>
          <w:tcPr>
            <w:tcW w:w="1134" w:type="dxa"/>
            <w:tcBorders>
              <w:right w:val="single" w:sz="8" w:space="0" w:color="D2232A"/>
            </w:tcBorders>
          </w:tcPr>
          <w:p w14:paraId="68C8F351"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1.308</w:t>
            </w:r>
          </w:p>
        </w:tc>
        <w:tc>
          <w:tcPr>
            <w:tcW w:w="1134" w:type="dxa"/>
            <w:tcBorders>
              <w:right w:val="single" w:sz="8" w:space="0" w:color="D2232A"/>
            </w:tcBorders>
          </w:tcPr>
          <w:p w14:paraId="002B6AC8"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2.083</w:t>
            </w:r>
          </w:p>
        </w:tc>
        <w:tc>
          <w:tcPr>
            <w:tcW w:w="1134" w:type="dxa"/>
            <w:tcBorders>
              <w:right w:val="single" w:sz="8" w:space="0" w:color="D2232A"/>
            </w:tcBorders>
          </w:tcPr>
          <w:p w14:paraId="06657346" w14:textId="1215A2BC"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2.123</w:t>
            </w:r>
          </w:p>
        </w:tc>
      </w:tr>
      <w:tr w:rsidR="00432A4E" w:rsidRPr="0026418E" w14:paraId="39B5A550" w14:textId="7D0408E9" w:rsidTr="00432A4E">
        <w:trPr>
          <w:trHeight w:val="310"/>
          <w:jc w:val="center"/>
        </w:trPr>
        <w:tc>
          <w:tcPr>
            <w:tcW w:w="0" w:type="auto"/>
            <w:tcBorders>
              <w:left w:val="single" w:sz="8" w:space="0" w:color="D2232A"/>
            </w:tcBorders>
            <w:shd w:val="clear" w:color="auto" w:fill="auto"/>
            <w:noWrap/>
            <w:vAlign w:val="center"/>
            <w:hideMark/>
          </w:tcPr>
          <w:p w14:paraId="154FF612"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Osječko-baranjska</w:t>
            </w:r>
          </w:p>
        </w:tc>
        <w:tc>
          <w:tcPr>
            <w:tcW w:w="0" w:type="auto"/>
            <w:noWrap/>
            <w:vAlign w:val="center"/>
            <w:hideMark/>
          </w:tcPr>
          <w:p w14:paraId="379FC78A"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274</w:t>
            </w:r>
          </w:p>
        </w:tc>
        <w:tc>
          <w:tcPr>
            <w:tcW w:w="0" w:type="auto"/>
            <w:noWrap/>
            <w:vAlign w:val="center"/>
            <w:hideMark/>
          </w:tcPr>
          <w:p w14:paraId="07B6B90D"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295</w:t>
            </w:r>
          </w:p>
        </w:tc>
        <w:tc>
          <w:tcPr>
            <w:tcW w:w="911" w:type="dxa"/>
            <w:tcBorders>
              <w:right w:val="single" w:sz="8" w:space="0" w:color="D2232A"/>
            </w:tcBorders>
            <w:noWrap/>
            <w:vAlign w:val="center"/>
            <w:hideMark/>
          </w:tcPr>
          <w:p w14:paraId="07E5D8E1"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216</w:t>
            </w:r>
          </w:p>
        </w:tc>
        <w:tc>
          <w:tcPr>
            <w:tcW w:w="1134" w:type="dxa"/>
            <w:tcBorders>
              <w:right w:val="single" w:sz="8" w:space="0" w:color="D2232A"/>
            </w:tcBorders>
          </w:tcPr>
          <w:p w14:paraId="17BDE936"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202</w:t>
            </w:r>
          </w:p>
        </w:tc>
        <w:tc>
          <w:tcPr>
            <w:tcW w:w="1134" w:type="dxa"/>
            <w:tcBorders>
              <w:right w:val="single" w:sz="8" w:space="0" w:color="D2232A"/>
            </w:tcBorders>
          </w:tcPr>
          <w:p w14:paraId="6BA87C4E"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366</w:t>
            </w:r>
          </w:p>
        </w:tc>
        <w:tc>
          <w:tcPr>
            <w:tcW w:w="1134" w:type="dxa"/>
            <w:tcBorders>
              <w:right w:val="single" w:sz="8" w:space="0" w:color="D2232A"/>
            </w:tcBorders>
          </w:tcPr>
          <w:p w14:paraId="1ED6D399" w14:textId="791BD170"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301</w:t>
            </w:r>
          </w:p>
        </w:tc>
      </w:tr>
      <w:tr w:rsidR="00432A4E" w:rsidRPr="0026418E" w14:paraId="202094B9" w14:textId="32805F49" w:rsidTr="00432A4E">
        <w:trPr>
          <w:trHeight w:val="310"/>
          <w:jc w:val="center"/>
        </w:trPr>
        <w:tc>
          <w:tcPr>
            <w:tcW w:w="0" w:type="auto"/>
            <w:tcBorders>
              <w:left w:val="single" w:sz="8" w:space="0" w:color="D2232A"/>
            </w:tcBorders>
            <w:shd w:val="clear" w:color="auto" w:fill="auto"/>
            <w:noWrap/>
            <w:vAlign w:val="center"/>
            <w:hideMark/>
          </w:tcPr>
          <w:p w14:paraId="0893B3F9"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Šibensko-kninska</w:t>
            </w:r>
          </w:p>
        </w:tc>
        <w:tc>
          <w:tcPr>
            <w:tcW w:w="0" w:type="auto"/>
            <w:noWrap/>
            <w:vAlign w:val="center"/>
            <w:hideMark/>
          </w:tcPr>
          <w:p w14:paraId="256C1CFE"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337</w:t>
            </w:r>
          </w:p>
        </w:tc>
        <w:tc>
          <w:tcPr>
            <w:tcW w:w="0" w:type="auto"/>
            <w:noWrap/>
            <w:vAlign w:val="center"/>
            <w:hideMark/>
          </w:tcPr>
          <w:p w14:paraId="3FA10554"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133</w:t>
            </w:r>
          </w:p>
        </w:tc>
        <w:tc>
          <w:tcPr>
            <w:tcW w:w="911" w:type="dxa"/>
            <w:tcBorders>
              <w:right w:val="single" w:sz="8" w:space="0" w:color="D2232A"/>
            </w:tcBorders>
            <w:noWrap/>
            <w:vAlign w:val="center"/>
            <w:hideMark/>
          </w:tcPr>
          <w:p w14:paraId="1F56452E"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277</w:t>
            </w:r>
          </w:p>
        </w:tc>
        <w:tc>
          <w:tcPr>
            <w:tcW w:w="1134" w:type="dxa"/>
            <w:tcBorders>
              <w:right w:val="single" w:sz="8" w:space="0" w:color="D2232A"/>
            </w:tcBorders>
          </w:tcPr>
          <w:p w14:paraId="4BA8AB22"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265</w:t>
            </w:r>
          </w:p>
        </w:tc>
        <w:tc>
          <w:tcPr>
            <w:tcW w:w="1134" w:type="dxa"/>
            <w:tcBorders>
              <w:right w:val="single" w:sz="8" w:space="0" w:color="D2232A"/>
            </w:tcBorders>
          </w:tcPr>
          <w:p w14:paraId="20BA24C0"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323</w:t>
            </w:r>
          </w:p>
        </w:tc>
        <w:tc>
          <w:tcPr>
            <w:tcW w:w="1134" w:type="dxa"/>
            <w:tcBorders>
              <w:right w:val="single" w:sz="8" w:space="0" w:color="D2232A"/>
            </w:tcBorders>
          </w:tcPr>
          <w:p w14:paraId="01D45109" w14:textId="12B41E0D"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258</w:t>
            </w:r>
          </w:p>
        </w:tc>
      </w:tr>
      <w:tr w:rsidR="00432A4E" w:rsidRPr="0026418E" w14:paraId="4150357A" w14:textId="49356DC2" w:rsidTr="00432A4E">
        <w:trPr>
          <w:trHeight w:val="310"/>
          <w:jc w:val="center"/>
        </w:trPr>
        <w:tc>
          <w:tcPr>
            <w:tcW w:w="0" w:type="auto"/>
            <w:tcBorders>
              <w:left w:val="single" w:sz="8" w:space="0" w:color="D2232A"/>
            </w:tcBorders>
            <w:shd w:val="clear" w:color="auto" w:fill="auto"/>
            <w:noWrap/>
            <w:vAlign w:val="center"/>
            <w:hideMark/>
          </w:tcPr>
          <w:p w14:paraId="1CF62ED0"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Vukovarsko-srijemska</w:t>
            </w:r>
          </w:p>
        </w:tc>
        <w:tc>
          <w:tcPr>
            <w:tcW w:w="0" w:type="auto"/>
            <w:noWrap/>
            <w:vAlign w:val="center"/>
            <w:hideMark/>
          </w:tcPr>
          <w:p w14:paraId="2B6E9E7B"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378</w:t>
            </w:r>
          </w:p>
        </w:tc>
        <w:tc>
          <w:tcPr>
            <w:tcW w:w="0" w:type="auto"/>
            <w:noWrap/>
            <w:vAlign w:val="center"/>
            <w:hideMark/>
          </w:tcPr>
          <w:p w14:paraId="4DC2A202"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137</w:t>
            </w:r>
          </w:p>
        </w:tc>
        <w:tc>
          <w:tcPr>
            <w:tcW w:w="911" w:type="dxa"/>
            <w:tcBorders>
              <w:right w:val="single" w:sz="8" w:space="0" w:color="D2232A"/>
            </w:tcBorders>
            <w:noWrap/>
            <w:vAlign w:val="center"/>
            <w:hideMark/>
          </w:tcPr>
          <w:p w14:paraId="3ECE11F3"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138</w:t>
            </w:r>
          </w:p>
        </w:tc>
        <w:tc>
          <w:tcPr>
            <w:tcW w:w="1134" w:type="dxa"/>
            <w:tcBorders>
              <w:right w:val="single" w:sz="8" w:space="0" w:color="D2232A"/>
            </w:tcBorders>
          </w:tcPr>
          <w:p w14:paraId="02936E59"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166</w:t>
            </w:r>
          </w:p>
        </w:tc>
        <w:tc>
          <w:tcPr>
            <w:tcW w:w="1134" w:type="dxa"/>
            <w:tcBorders>
              <w:right w:val="single" w:sz="8" w:space="0" w:color="D2232A"/>
            </w:tcBorders>
          </w:tcPr>
          <w:p w14:paraId="6CFD025A"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223</w:t>
            </w:r>
          </w:p>
        </w:tc>
        <w:tc>
          <w:tcPr>
            <w:tcW w:w="1134" w:type="dxa"/>
            <w:tcBorders>
              <w:right w:val="single" w:sz="8" w:space="0" w:color="D2232A"/>
            </w:tcBorders>
          </w:tcPr>
          <w:p w14:paraId="21C07AC1" w14:textId="527171CB"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123</w:t>
            </w:r>
          </w:p>
        </w:tc>
      </w:tr>
      <w:tr w:rsidR="00432A4E" w:rsidRPr="0026418E" w14:paraId="4243024F" w14:textId="70320F55" w:rsidTr="00432A4E">
        <w:trPr>
          <w:trHeight w:val="310"/>
          <w:jc w:val="center"/>
        </w:trPr>
        <w:tc>
          <w:tcPr>
            <w:tcW w:w="0" w:type="auto"/>
            <w:tcBorders>
              <w:left w:val="single" w:sz="8" w:space="0" w:color="D2232A"/>
            </w:tcBorders>
            <w:shd w:val="clear" w:color="auto" w:fill="auto"/>
            <w:noWrap/>
            <w:vAlign w:val="center"/>
            <w:hideMark/>
          </w:tcPr>
          <w:p w14:paraId="3D2060C3"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Splitsko-dalmatinska</w:t>
            </w:r>
          </w:p>
        </w:tc>
        <w:tc>
          <w:tcPr>
            <w:tcW w:w="0" w:type="auto"/>
            <w:noWrap/>
            <w:vAlign w:val="center"/>
            <w:hideMark/>
          </w:tcPr>
          <w:p w14:paraId="1E2CF1B5"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999</w:t>
            </w:r>
          </w:p>
        </w:tc>
        <w:tc>
          <w:tcPr>
            <w:tcW w:w="0" w:type="auto"/>
            <w:noWrap/>
            <w:vAlign w:val="center"/>
            <w:hideMark/>
          </w:tcPr>
          <w:p w14:paraId="3D417091"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858</w:t>
            </w:r>
          </w:p>
        </w:tc>
        <w:tc>
          <w:tcPr>
            <w:tcW w:w="911" w:type="dxa"/>
            <w:tcBorders>
              <w:right w:val="single" w:sz="8" w:space="0" w:color="D2232A"/>
            </w:tcBorders>
            <w:noWrap/>
            <w:vAlign w:val="center"/>
            <w:hideMark/>
          </w:tcPr>
          <w:p w14:paraId="12882CEA"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1.045</w:t>
            </w:r>
          </w:p>
        </w:tc>
        <w:tc>
          <w:tcPr>
            <w:tcW w:w="1134" w:type="dxa"/>
            <w:tcBorders>
              <w:right w:val="single" w:sz="8" w:space="0" w:color="D2232A"/>
            </w:tcBorders>
          </w:tcPr>
          <w:p w14:paraId="0D2FD65E"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1.626</w:t>
            </w:r>
          </w:p>
        </w:tc>
        <w:tc>
          <w:tcPr>
            <w:tcW w:w="1134" w:type="dxa"/>
            <w:tcBorders>
              <w:right w:val="single" w:sz="8" w:space="0" w:color="D2232A"/>
            </w:tcBorders>
          </w:tcPr>
          <w:p w14:paraId="7F3F80F4"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1.397</w:t>
            </w:r>
          </w:p>
        </w:tc>
        <w:tc>
          <w:tcPr>
            <w:tcW w:w="1134" w:type="dxa"/>
            <w:tcBorders>
              <w:right w:val="single" w:sz="8" w:space="0" w:color="D2232A"/>
            </w:tcBorders>
          </w:tcPr>
          <w:p w14:paraId="4B832C2F" w14:textId="71F23E48"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1.548</w:t>
            </w:r>
          </w:p>
        </w:tc>
      </w:tr>
      <w:tr w:rsidR="00432A4E" w:rsidRPr="0026418E" w14:paraId="75669FD9" w14:textId="0242EE1B" w:rsidTr="00432A4E">
        <w:trPr>
          <w:trHeight w:val="310"/>
          <w:jc w:val="center"/>
        </w:trPr>
        <w:tc>
          <w:tcPr>
            <w:tcW w:w="0" w:type="auto"/>
            <w:tcBorders>
              <w:left w:val="single" w:sz="8" w:space="0" w:color="D2232A"/>
            </w:tcBorders>
            <w:shd w:val="clear" w:color="auto" w:fill="auto"/>
            <w:noWrap/>
            <w:vAlign w:val="center"/>
            <w:hideMark/>
          </w:tcPr>
          <w:p w14:paraId="1FBC594F"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Istarska</w:t>
            </w:r>
          </w:p>
        </w:tc>
        <w:tc>
          <w:tcPr>
            <w:tcW w:w="0" w:type="auto"/>
            <w:noWrap/>
            <w:vAlign w:val="center"/>
            <w:hideMark/>
          </w:tcPr>
          <w:p w14:paraId="17BADF8D"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588</w:t>
            </w:r>
          </w:p>
        </w:tc>
        <w:tc>
          <w:tcPr>
            <w:tcW w:w="0" w:type="auto"/>
            <w:noWrap/>
            <w:vAlign w:val="center"/>
            <w:hideMark/>
          </w:tcPr>
          <w:p w14:paraId="771EF25F"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775</w:t>
            </w:r>
          </w:p>
        </w:tc>
        <w:tc>
          <w:tcPr>
            <w:tcW w:w="911" w:type="dxa"/>
            <w:tcBorders>
              <w:right w:val="single" w:sz="8" w:space="0" w:color="D2232A"/>
            </w:tcBorders>
            <w:noWrap/>
            <w:vAlign w:val="center"/>
            <w:hideMark/>
          </w:tcPr>
          <w:p w14:paraId="794511A8"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805</w:t>
            </w:r>
          </w:p>
        </w:tc>
        <w:tc>
          <w:tcPr>
            <w:tcW w:w="1134" w:type="dxa"/>
            <w:tcBorders>
              <w:right w:val="single" w:sz="8" w:space="0" w:color="D2232A"/>
            </w:tcBorders>
          </w:tcPr>
          <w:p w14:paraId="69C350A4"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736</w:t>
            </w:r>
          </w:p>
        </w:tc>
        <w:tc>
          <w:tcPr>
            <w:tcW w:w="1134" w:type="dxa"/>
            <w:tcBorders>
              <w:right w:val="single" w:sz="8" w:space="0" w:color="D2232A"/>
            </w:tcBorders>
          </w:tcPr>
          <w:p w14:paraId="04F9921A"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1.144</w:t>
            </w:r>
          </w:p>
        </w:tc>
        <w:tc>
          <w:tcPr>
            <w:tcW w:w="1134" w:type="dxa"/>
            <w:tcBorders>
              <w:right w:val="single" w:sz="8" w:space="0" w:color="D2232A"/>
            </w:tcBorders>
          </w:tcPr>
          <w:p w14:paraId="5CB52BEB" w14:textId="42324970"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1.313</w:t>
            </w:r>
          </w:p>
        </w:tc>
      </w:tr>
      <w:tr w:rsidR="00432A4E" w:rsidRPr="0026418E" w14:paraId="3326C758" w14:textId="2D62B35C" w:rsidTr="00432A4E">
        <w:trPr>
          <w:trHeight w:val="310"/>
          <w:jc w:val="center"/>
        </w:trPr>
        <w:tc>
          <w:tcPr>
            <w:tcW w:w="0" w:type="auto"/>
            <w:tcBorders>
              <w:left w:val="single" w:sz="8" w:space="0" w:color="D2232A"/>
            </w:tcBorders>
            <w:shd w:val="clear" w:color="auto" w:fill="auto"/>
            <w:noWrap/>
            <w:vAlign w:val="center"/>
            <w:hideMark/>
          </w:tcPr>
          <w:p w14:paraId="7D0F2EB5"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Dubrovačko-neretvanska</w:t>
            </w:r>
          </w:p>
        </w:tc>
        <w:tc>
          <w:tcPr>
            <w:tcW w:w="0" w:type="auto"/>
            <w:noWrap/>
            <w:vAlign w:val="center"/>
            <w:hideMark/>
          </w:tcPr>
          <w:p w14:paraId="4A7FBEBA"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230</w:t>
            </w:r>
          </w:p>
        </w:tc>
        <w:tc>
          <w:tcPr>
            <w:tcW w:w="0" w:type="auto"/>
            <w:noWrap/>
            <w:vAlign w:val="center"/>
            <w:hideMark/>
          </w:tcPr>
          <w:p w14:paraId="21C4D1D8"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374</w:t>
            </w:r>
          </w:p>
        </w:tc>
        <w:tc>
          <w:tcPr>
            <w:tcW w:w="911" w:type="dxa"/>
            <w:tcBorders>
              <w:right w:val="single" w:sz="8" w:space="0" w:color="D2232A"/>
            </w:tcBorders>
            <w:noWrap/>
            <w:vAlign w:val="center"/>
            <w:hideMark/>
          </w:tcPr>
          <w:p w14:paraId="16B31101"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309</w:t>
            </w:r>
          </w:p>
        </w:tc>
        <w:tc>
          <w:tcPr>
            <w:tcW w:w="1134" w:type="dxa"/>
            <w:tcBorders>
              <w:right w:val="single" w:sz="8" w:space="0" w:color="D2232A"/>
            </w:tcBorders>
          </w:tcPr>
          <w:p w14:paraId="6EA01C6A"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382</w:t>
            </w:r>
          </w:p>
        </w:tc>
        <w:tc>
          <w:tcPr>
            <w:tcW w:w="1134" w:type="dxa"/>
            <w:tcBorders>
              <w:right w:val="single" w:sz="8" w:space="0" w:color="D2232A"/>
            </w:tcBorders>
          </w:tcPr>
          <w:p w14:paraId="0F6F1289"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340</w:t>
            </w:r>
          </w:p>
        </w:tc>
        <w:tc>
          <w:tcPr>
            <w:tcW w:w="1134" w:type="dxa"/>
            <w:tcBorders>
              <w:right w:val="single" w:sz="8" w:space="0" w:color="D2232A"/>
            </w:tcBorders>
          </w:tcPr>
          <w:p w14:paraId="3E87AADC" w14:textId="1213A998"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407</w:t>
            </w:r>
          </w:p>
        </w:tc>
      </w:tr>
      <w:tr w:rsidR="00432A4E" w:rsidRPr="0026418E" w14:paraId="79470615" w14:textId="75B29CF9" w:rsidTr="00432A4E">
        <w:trPr>
          <w:trHeight w:val="310"/>
          <w:jc w:val="center"/>
        </w:trPr>
        <w:tc>
          <w:tcPr>
            <w:tcW w:w="0" w:type="auto"/>
            <w:tcBorders>
              <w:left w:val="single" w:sz="8" w:space="0" w:color="D2232A"/>
            </w:tcBorders>
            <w:shd w:val="clear" w:color="auto" w:fill="auto"/>
            <w:noWrap/>
            <w:vAlign w:val="center"/>
            <w:hideMark/>
          </w:tcPr>
          <w:p w14:paraId="71BA4FEF"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Međimurska</w:t>
            </w:r>
          </w:p>
        </w:tc>
        <w:tc>
          <w:tcPr>
            <w:tcW w:w="0" w:type="auto"/>
            <w:noWrap/>
            <w:vAlign w:val="center"/>
            <w:hideMark/>
          </w:tcPr>
          <w:p w14:paraId="13998348"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158</w:t>
            </w:r>
          </w:p>
        </w:tc>
        <w:tc>
          <w:tcPr>
            <w:tcW w:w="0" w:type="auto"/>
            <w:noWrap/>
            <w:vAlign w:val="center"/>
            <w:hideMark/>
          </w:tcPr>
          <w:p w14:paraId="034E1396"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268</w:t>
            </w:r>
          </w:p>
        </w:tc>
        <w:tc>
          <w:tcPr>
            <w:tcW w:w="911" w:type="dxa"/>
            <w:tcBorders>
              <w:right w:val="single" w:sz="8" w:space="0" w:color="D2232A"/>
            </w:tcBorders>
            <w:noWrap/>
            <w:vAlign w:val="center"/>
            <w:hideMark/>
          </w:tcPr>
          <w:p w14:paraId="65521E55"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241</w:t>
            </w:r>
          </w:p>
        </w:tc>
        <w:tc>
          <w:tcPr>
            <w:tcW w:w="1134" w:type="dxa"/>
            <w:tcBorders>
              <w:right w:val="single" w:sz="8" w:space="0" w:color="D2232A"/>
            </w:tcBorders>
          </w:tcPr>
          <w:p w14:paraId="1A628F9B"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199</w:t>
            </w:r>
          </w:p>
        </w:tc>
        <w:tc>
          <w:tcPr>
            <w:tcW w:w="1134" w:type="dxa"/>
            <w:tcBorders>
              <w:right w:val="single" w:sz="8" w:space="0" w:color="D2232A"/>
            </w:tcBorders>
          </w:tcPr>
          <w:p w14:paraId="522BE6ED"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301</w:t>
            </w:r>
          </w:p>
        </w:tc>
        <w:tc>
          <w:tcPr>
            <w:tcW w:w="1134" w:type="dxa"/>
            <w:tcBorders>
              <w:right w:val="single" w:sz="8" w:space="0" w:color="D2232A"/>
            </w:tcBorders>
          </w:tcPr>
          <w:p w14:paraId="603D019A" w14:textId="2363F212"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431</w:t>
            </w:r>
          </w:p>
        </w:tc>
      </w:tr>
      <w:tr w:rsidR="00432A4E" w:rsidRPr="0026418E" w14:paraId="3AEE3992" w14:textId="1F73689C" w:rsidTr="00432A4E">
        <w:trPr>
          <w:trHeight w:val="310"/>
          <w:jc w:val="center"/>
        </w:trPr>
        <w:tc>
          <w:tcPr>
            <w:tcW w:w="0" w:type="auto"/>
            <w:tcBorders>
              <w:left w:val="single" w:sz="8" w:space="0" w:color="D2232A"/>
              <w:bottom w:val="nil"/>
            </w:tcBorders>
            <w:shd w:val="clear" w:color="auto" w:fill="auto"/>
            <w:noWrap/>
            <w:vAlign w:val="center"/>
            <w:hideMark/>
          </w:tcPr>
          <w:p w14:paraId="34C15ABA" w14:textId="77777777" w:rsidR="00432A4E" w:rsidRPr="0026418E" w:rsidRDefault="00432A4E" w:rsidP="00232104">
            <w:pPr>
              <w:spacing w:after="0" w:line="240" w:lineRule="auto"/>
              <w:rPr>
                <w:rFonts w:eastAsia="Times New Roman" w:cstheme="minorHAnsi"/>
                <w:szCs w:val="18"/>
                <w:lang w:eastAsia="hr-HR"/>
              </w:rPr>
            </w:pPr>
            <w:r w:rsidRPr="0026418E">
              <w:rPr>
                <w:rFonts w:eastAsia="Times New Roman" w:cstheme="minorHAnsi"/>
                <w:szCs w:val="18"/>
                <w:lang w:eastAsia="hr-HR"/>
              </w:rPr>
              <w:t>Grad Zagreb</w:t>
            </w:r>
          </w:p>
        </w:tc>
        <w:tc>
          <w:tcPr>
            <w:tcW w:w="0" w:type="auto"/>
            <w:tcBorders>
              <w:bottom w:val="nil"/>
            </w:tcBorders>
            <w:noWrap/>
            <w:vAlign w:val="center"/>
            <w:hideMark/>
          </w:tcPr>
          <w:p w14:paraId="78C25839"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1.798</w:t>
            </w:r>
          </w:p>
        </w:tc>
        <w:tc>
          <w:tcPr>
            <w:tcW w:w="0" w:type="auto"/>
            <w:tcBorders>
              <w:bottom w:val="nil"/>
            </w:tcBorders>
            <w:noWrap/>
            <w:vAlign w:val="center"/>
            <w:hideMark/>
          </w:tcPr>
          <w:p w14:paraId="52BF8DEC"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1.065</w:t>
            </w:r>
          </w:p>
        </w:tc>
        <w:tc>
          <w:tcPr>
            <w:tcW w:w="911" w:type="dxa"/>
            <w:tcBorders>
              <w:bottom w:val="nil"/>
              <w:right w:val="single" w:sz="8" w:space="0" w:color="D2232A"/>
            </w:tcBorders>
            <w:noWrap/>
            <w:vAlign w:val="center"/>
            <w:hideMark/>
          </w:tcPr>
          <w:p w14:paraId="19B48375"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1.672</w:t>
            </w:r>
          </w:p>
        </w:tc>
        <w:tc>
          <w:tcPr>
            <w:tcW w:w="1134" w:type="dxa"/>
            <w:tcBorders>
              <w:bottom w:val="nil"/>
              <w:right w:val="single" w:sz="8" w:space="0" w:color="D2232A"/>
            </w:tcBorders>
          </w:tcPr>
          <w:p w14:paraId="3D23E87C" w14:textId="77777777" w:rsidR="00432A4E" w:rsidRPr="0026418E" w:rsidRDefault="00432A4E" w:rsidP="00232104">
            <w:pPr>
              <w:spacing w:after="0" w:line="240" w:lineRule="auto"/>
              <w:jc w:val="right"/>
              <w:rPr>
                <w:rFonts w:eastAsia="Times New Roman" w:cstheme="minorHAnsi"/>
                <w:color w:val="000000"/>
                <w:szCs w:val="18"/>
                <w:lang w:eastAsia="hr-HR"/>
              </w:rPr>
            </w:pPr>
            <w:r w:rsidRPr="0026418E">
              <w:rPr>
                <w:rFonts w:eastAsia="Times New Roman" w:cstheme="minorHAnsi"/>
                <w:color w:val="000000"/>
                <w:szCs w:val="18"/>
                <w:lang w:eastAsia="hr-HR"/>
              </w:rPr>
              <w:t>2.746</w:t>
            </w:r>
          </w:p>
        </w:tc>
        <w:tc>
          <w:tcPr>
            <w:tcW w:w="1134" w:type="dxa"/>
            <w:tcBorders>
              <w:bottom w:val="nil"/>
              <w:right w:val="single" w:sz="8" w:space="0" w:color="D2232A"/>
            </w:tcBorders>
          </w:tcPr>
          <w:p w14:paraId="259AB3BE" w14:textId="77777777" w:rsidR="00432A4E" w:rsidRPr="0026418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2.665</w:t>
            </w:r>
          </w:p>
        </w:tc>
        <w:tc>
          <w:tcPr>
            <w:tcW w:w="1134" w:type="dxa"/>
            <w:tcBorders>
              <w:bottom w:val="nil"/>
              <w:right w:val="single" w:sz="8" w:space="0" w:color="D2232A"/>
            </w:tcBorders>
          </w:tcPr>
          <w:p w14:paraId="2980DF39" w14:textId="6B6CC150" w:rsidR="00432A4E" w:rsidRDefault="00432A4E"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2.648</w:t>
            </w:r>
          </w:p>
        </w:tc>
      </w:tr>
    </w:tbl>
    <w:bookmarkEnd w:id="105"/>
    <w:p w14:paraId="60235CB2" w14:textId="77777777" w:rsidR="00F43132" w:rsidRPr="003D517E" w:rsidRDefault="00F43132" w:rsidP="00F43132">
      <w:pPr>
        <w:pStyle w:val="Izvor"/>
        <w:rPr>
          <w:i/>
          <w:color w:val="ABABAB" w:themeColor="text1" w:themeTint="A6"/>
          <w:sz w:val="16"/>
          <w:szCs w:val="16"/>
        </w:rPr>
      </w:pPr>
      <w:r w:rsidRPr="003D517E">
        <w:rPr>
          <w:i/>
          <w:color w:val="ABABAB" w:themeColor="text1" w:themeTint="A6"/>
          <w:sz w:val="16"/>
          <w:szCs w:val="16"/>
        </w:rPr>
        <w:t>Izvor: DZS, Završene zgrade i stanovi 2015., 2016., 2017., 2018. i 2019.</w:t>
      </w:r>
    </w:p>
    <w:p w14:paraId="5C68FF16" w14:textId="239D0AC8" w:rsidR="00F43132" w:rsidRDefault="00F43132" w:rsidP="00F43132">
      <w:pPr>
        <w:autoSpaceDE w:val="0"/>
        <w:autoSpaceDN w:val="0"/>
        <w:adjustRightInd w:val="0"/>
        <w:spacing w:after="0" w:line="240" w:lineRule="auto"/>
        <w:rPr>
          <w:rFonts w:eastAsia="ArialNarrow" w:cstheme="minorHAnsi"/>
        </w:rPr>
      </w:pPr>
    </w:p>
    <w:p w14:paraId="306C6A9D" w14:textId="77777777" w:rsidR="00432A4E" w:rsidRPr="00432A4E" w:rsidRDefault="00432A4E" w:rsidP="00432A4E">
      <w:pPr>
        <w:autoSpaceDE w:val="0"/>
        <w:autoSpaceDN w:val="0"/>
        <w:adjustRightInd w:val="0"/>
        <w:spacing w:after="0" w:line="240" w:lineRule="auto"/>
        <w:rPr>
          <w:rFonts w:eastAsia="ArialNarrow" w:cstheme="minorHAnsi"/>
        </w:rPr>
      </w:pPr>
      <w:r w:rsidRPr="00432A4E">
        <w:rPr>
          <w:rFonts w:eastAsia="ArialNarrow" w:cstheme="minorHAnsi"/>
        </w:rPr>
        <w:t xml:space="preserve">Prema podacima za 2019. godinu najmanji broj stanovnika po stambenoj jedinici zabilježen je u Zadarskoj županiji (81), a najveći broj u Sisačko-Moslavačkoj županiji (2.806). U Krapinsko-zagorskoj županiji na jedan novoizgrađeni stan u 2019. godini dolazi 783 stanovnika. </w:t>
      </w:r>
    </w:p>
    <w:p w14:paraId="5AB36D13" w14:textId="77777777" w:rsidR="00432A4E" w:rsidRDefault="00432A4E" w:rsidP="00F43132">
      <w:pPr>
        <w:autoSpaceDE w:val="0"/>
        <w:autoSpaceDN w:val="0"/>
        <w:adjustRightInd w:val="0"/>
        <w:spacing w:after="0" w:line="240" w:lineRule="auto"/>
        <w:rPr>
          <w:rFonts w:eastAsia="ArialNarrow" w:cstheme="minorHAnsi"/>
        </w:rPr>
      </w:pPr>
    </w:p>
    <w:p w14:paraId="430ECDED" w14:textId="77777777" w:rsidR="00F43132" w:rsidRDefault="00F43132" w:rsidP="00F43132">
      <w:pPr>
        <w:pStyle w:val="Opisslike"/>
      </w:pPr>
      <w:r>
        <w:t xml:space="preserve">Tablica </w:t>
      </w:r>
      <w:r>
        <w:rPr>
          <w:noProof/>
        </w:rPr>
        <w:t>50.</w:t>
      </w:r>
      <w:r>
        <w:t xml:space="preserve"> Broj stanovnika po izgrađenom stanu 2019. godina pregled po županijama, Sjeverna Hrvatska i Republika Hrvatska</w:t>
      </w:r>
    </w:p>
    <w:tbl>
      <w:tblPr>
        <w:tblW w:w="0" w:type="auto"/>
        <w:jc w:val="center"/>
        <w:tblLook w:val="04A0" w:firstRow="1" w:lastRow="0" w:firstColumn="1" w:lastColumn="0" w:noHBand="0" w:noVBand="1"/>
      </w:tblPr>
      <w:tblGrid>
        <w:gridCol w:w="3141"/>
        <w:gridCol w:w="1422"/>
        <w:gridCol w:w="2197"/>
        <w:gridCol w:w="2365"/>
      </w:tblGrid>
      <w:tr w:rsidR="00F43132" w:rsidRPr="0026418E" w14:paraId="1E7813D6" w14:textId="77777777" w:rsidTr="00232104">
        <w:trPr>
          <w:trHeight w:val="298"/>
          <w:tblHeader/>
          <w:jc w:val="center"/>
        </w:trPr>
        <w:tc>
          <w:tcPr>
            <w:tcW w:w="3141" w:type="dxa"/>
            <w:tcBorders>
              <w:left w:val="single" w:sz="8" w:space="0" w:color="D2232A"/>
            </w:tcBorders>
            <w:shd w:val="clear" w:color="auto" w:fill="D2232A"/>
            <w:vAlign w:val="center"/>
            <w:hideMark/>
          </w:tcPr>
          <w:p w14:paraId="29FEDC42" w14:textId="77777777" w:rsidR="00F43132" w:rsidRPr="0026418E" w:rsidRDefault="00F43132" w:rsidP="00232104">
            <w:pPr>
              <w:spacing w:after="0" w:line="240" w:lineRule="auto"/>
              <w:rPr>
                <w:rFonts w:eastAsia="Times New Roman" w:cstheme="minorHAnsi"/>
                <w:color w:val="FFFFFF"/>
                <w:szCs w:val="18"/>
                <w:lang w:eastAsia="hr-HR"/>
              </w:rPr>
            </w:pPr>
            <w:r w:rsidRPr="0026418E">
              <w:rPr>
                <w:rFonts w:eastAsia="Times New Roman" w:cstheme="minorHAnsi"/>
                <w:color w:val="FFFFFF"/>
                <w:szCs w:val="18"/>
                <w:lang w:eastAsia="hr-HR"/>
              </w:rPr>
              <w:t>Županija</w:t>
            </w:r>
          </w:p>
        </w:tc>
        <w:tc>
          <w:tcPr>
            <w:tcW w:w="1422" w:type="dxa"/>
            <w:tcBorders>
              <w:right w:val="single" w:sz="8" w:space="0" w:color="D2232A"/>
            </w:tcBorders>
            <w:shd w:val="clear" w:color="auto" w:fill="D2232A"/>
            <w:noWrap/>
            <w:vAlign w:val="center"/>
            <w:hideMark/>
          </w:tcPr>
          <w:p w14:paraId="31549DAE" w14:textId="77777777" w:rsidR="00F43132" w:rsidRPr="0026418E" w:rsidRDefault="00F43132" w:rsidP="00232104">
            <w:pPr>
              <w:spacing w:after="0" w:line="240" w:lineRule="auto"/>
              <w:jc w:val="right"/>
              <w:rPr>
                <w:rFonts w:eastAsia="Times New Roman" w:cstheme="minorHAnsi"/>
                <w:color w:val="FFFFFF"/>
                <w:szCs w:val="18"/>
                <w:lang w:eastAsia="hr-HR"/>
              </w:rPr>
            </w:pPr>
            <w:r w:rsidRPr="0026418E">
              <w:rPr>
                <w:rFonts w:eastAsia="Times New Roman" w:cstheme="minorHAnsi"/>
                <w:color w:val="FFFFFF"/>
                <w:szCs w:val="18"/>
                <w:lang w:eastAsia="hr-HR"/>
              </w:rPr>
              <w:t>Broj stanova</w:t>
            </w:r>
          </w:p>
        </w:tc>
        <w:tc>
          <w:tcPr>
            <w:tcW w:w="2197" w:type="dxa"/>
            <w:tcBorders>
              <w:left w:val="single" w:sz="8" w:space="0" w:color="D2232A"/>
              <w:right w:val="single" w:sz="8" w:space="0" w:color="D2232A"/>
            </w:tcBorders>
            <w:shd w:val="clear" w:color="auto" w:fill="D2232A"/>
            <w:noWrap/>
            <w:vAlign w:val="center"/>
            <w:hideMark/>
          </w:tcPr>
          <w:p w14:paraId="1631DD8D" w14:textId="77777777" w:rsidR="00F43132" w:rsidRPr="0026418E" w:rsidRDefault="00F43132" w:rsidP="00232104">
            <w:pPr>
              <w:spacing w:after="0" w:line="240" w:lineRule="auto"/>
              <w:jc w:val="right"/>
              <w:rPr>
                <w:rFonts w:eastAsia="Times New Roman" w:cstheme="minorHAnsi"/>
                <w:color w:val="FFFFFF"/>
                <w:szCs w:val="18"/>
                <w:lang w:eastAsia="hr-HR"/>
              </w:rPr>
            </w:pPr>
            <w:r w:rsidRPr="0026418E">
              <w:rPr>
                <w:rFonts w:eastAsia="Times New Roman" w:cstheme="minorHAnsi"/>
                <w:color w:val="FFFFFF"/>
                <w:szCs w:val="18"/>
                <w:lang w:eastAsia="hr-HR"/>
              </w:rPr>
              <w:t>Procjena broja stanovnika 201</w:t>
            </w:r>
            <w:r>
              <w:rPr>
                <w:rFonts w:eastAsia="Times New Roman" w:cstheme="minorHAnsi"/>
                <w:color w:val="FFFFFF"/>
                <w:szCs w:val="18"/>
                <w:lang w:eastAsia="hr-HR"/>
              </w:rPr>
              <w:t>9.</w:t>
            </w:r>
          </w:p>
        </w:tc>
        <w:tc>
          <w:tcPr>
            <w:tcW w:w="2365" w:type="dxa"/>
            <w:tcBorders>
              <w:left w:val="single" w:sz="8" w:space="0" w:color="D2232A"/>
              <w:right w:val="single" w:sz="8" w:space="0" w:color="D2232A"/>
            </w:tcBorders>
            <w:shd w:val="clear" w:color="auto" w:fill="D2232A"/>
            <w:noWrap/>
            <w:vAlign w:val="center"/>
            <w:hideMark/>
          </w:tcPr>
          <w:p w14:paraId="120D2CB0" w14:textId="77777777" w:rsidR="00F43132" w:rsidRPr="0026418E" w:rsidRDefault="00F43132" w:rsidP="00232104">
            <w:pPr>
              <w:spacing w:after="0" w:line="240" w:lineRule="auto"/>
              <w:jc w:val="right"/>
              <w:rPr>
                <w:rFonts w:eastAsia="Times New Roman" w:cstheme="minorHAnsi"/>
                <w:color w:val="FFFFFF"/>
                <w:szCs w:val="18"/>
                <w:lang w:eastAsia="hr-HR"/>
              </w:rPr>
            </w:pPr>
            <w:r w:rsidRPr="0026418E">
              <w:rPr>
                <w:rFonts w:eastAsia="Times New Roman" w:cstheme="minorHAnsi"/>
                <w:color w:val="FFFFFF"/>
                <w:szCs w:val="18"/>
                <w:lang w:eastAsia="hr-HR"/>
              </w:rPr>
              <w:t>Broj stanovnika po završenom stanu</w:t>
            </w:r>
          </w:p>
        </w:tc>
      </w:tr>
      <w:tr w:rsidR="00F43132" w:rsidRPr="0026418E" w14:paraId="51717D9E" w14:textId="77777777" w:rsidTr="00232104">
        <w:trPr>
          <w:trHeight w:val="298"/>
          <w:jc w:val="center"/>
        </w:trPr>
        <w:tc>
          <w:tcPr>
            <w:tcW w:w="3141" w:type="dxa"/>
            <w:tcBorders>
              <w:left w:val="single" w:sz="8" w:space="0" w:color="D2232A"/>
              <w:bottom w:val="single" w:sz="8" w:space="0" w:color="F3CFC1"/>
            </w:tcBorders>
            <w:shd w:val="clear" w:color="auto" w:fill="auto"/>
            <w:noWrap/>
            <w:vAlign w:val="center"/>
            <w:hideMark/>
          </w:tcPr>
          <w:p w14:paraId="7F9DBF8C"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Republika Hrvatska</w:t>
            </w:r>
          </w:p>
        </w:tc>
        <w:tc>
          <w:tcPr>
            <w:tcW w:w="1422" w:type="dxa"/>
            <w:tcBorders>
              <w:bottom w:val="single" w:sz="8" w:space="0" w:color="F3CFC1"/>
              <w:right w:val="single" w:sz="8" w:space="0" w:color="D2232A"/>
            </w:tcBorders>
            <w:shd w:val="clear" w:color="auto" w:fill="auto"/>
            <w:noWrap/>
            <w:vAlign w:val="center"/>
            <w:hideMark/>
          </w:tcPr>
          <w:p w14:paraId="61CA50A6" w14:textId="77777777" w:rsidR="00F43132" w:rsidRPr="0026418E" w:rsidRDefault="00F43132" w:rsidP="00232104">
            <w:pPr>
              <w:spacing w:after="0" w:line="240" w:lineRule="auto"/>
              <w:jc w:val="right"/>
              <w:rPr>
                <w:rFonts w:eastAsia="Times New Roman" w:cstheme="minorHAnsi"/>
                <w:szCs w:val="18"/>
                <w:lang w:eastAsia="hr-HR"/>
              </w:rPr>
            </w:pPr>
            <w:r>
              <w:rPr>
                <w:rFonts w:eastAsia="Times New Roman" w:cstheme="minorHAnsi"/>
                <w:szCs w:val="18"/>
                <w:lang w:eastAsia="hr-HR"/>
              </w:rPr>
              <w:t>11.726</w:t>
            </w:r>
          </w:p>
        </w:tc>
        <w:tc>
          <w:tcPr>
            <w:tcW w:w="2197" w:type="dxa"/>
            <w:tcBorders>
              <w:left w:val="single" w:sz="8" w:space="0" w:color="D2232A"/>
              <w:bottom w:val="single" w:sz="8" w:space="0" w:color="F3CFC1"/>
              <w:right w:val="single" w:sz="8" w:space="0" w:color="D2232A"/>
            </w:tcBorders>
            <w:shd w:val="clear" w:color="auto" w:fill="auto"/>
            <w:noWrap/>
            <w:vAlign w:val="center"/>
            <w:hideMark/>
          </w:tcPr>
          <w:p w14:paraId="2984D4A3" w14:textId="77777777" w:rsidR="00F43132" w:rsidRPr="0026418E" w:rsidRDefault="00F43132" w:rsidP="00232104">
            <w:pPr>
              <w:spacing w:after="0" w:line="240" w:lineRule="auto"/>
              <w:jc w:val="right"/>
              <w:rPr>
                <w:rFonts w:eastAsia="Times New Roman" w:cstheme="minorHAnsi"/>
                <w:szCs w:val="18"/>
                <w:lang w:eastAsia="hr-HR"/>
              </w:rPr>
            </w:pPr>
            <w:r w:rsidRPr="00C3658A">
              <w:rPr>
                <w:rFonts w:cstheme="minorHAnsi"/>
                <w:szCs w:val="18"/>
              </w:rPr>
              <w:t>4</w:t>
            </w:r>
            <w:r>
              <w:rPr>
                <w:rFonts w:cstheme="minorHAnsi"/>
                <w:szCs w:val="18"/>
              </w:rPr>
              <w:t>.</w:t>
            </w:r>
            <w:r w:rsidRPr="00C3658A">
              <w:rPr>
                <w:rFonts w:cstheme="minorHAnsi"/>
                <w:szCs w:val="18"/>
              </w:rPr>
              <w:t>065</w:t>
            </w:r>
            <w:r>
              <w:rPr>
                <w:rFonts w:cstheme="minorHAnsi"/>
                <w:szCs w:val="18"/>
              </w:rPr>
              <w:t>.</w:t>
            </w:r>
            <w:r w:rsidRPr="00C3658A">
              <w:rPr>
                <w:rFonts w:cstheme="minorHAnsi"/>
                <w:szCs w:val="18"/>
              </w:rPr>
              <w:t>253</w:t>
            </w:r>
          </w:p>
        </w:tc>
        <w:tc>
          <w:tcPr>
            <w:tcW w:w="2365" w:type="dxa"/>
            <w:tcBorders>
              <w:left w:val="single" w:sz="8" w:space="0" w:color="D2232A"/>
              <w:bottom w:val="single" w:sz="8" w:space="0" w:color="F3CFC1"/>
              <w:right w:val="single" w:sz="8" w:space="0" w:color="D2232A"/>
            </w:tcBorders>
            <w:shd w:val="clear" w:color="auto" w:fill="auto"/>
            <w:noWrap/>
            <w:vAlign w:val="center"/>
            <w:hideMark/>
          </w:tcPr>
          <w:p w14:paraId="67DE2D01" w14:textId="77777777" w:rsidR="00F43132" w:rsidRPr="0026418E" w:rsidRDefault="00F43132" w:rsidP="00232104">
            <w:pPr>
              <w:spacing w:after="0" w:line="240" w:lineRule="auto"/>
              <w:jc w:val="right"/>
              <w:rPr>
                <w:rFonts w:eastAsia="Times New Roman" w:cstheme="minorHAnsi"/>
                <w:szCs w:val="18"/>
                <w:lang w:eastAsia="hr-HR"/>
              </w:rPr>
            </w:pPr>
            <w:r>
              <w:rPr>
                <w:rFonts w:eastAsia="Times New Roman" w:cstheme="minorHAnsi"/>
                <w:szCs w:val="18"/>
                <w:lang w:eastAsia="hr-HR"/>
              </w:rPr>
              <w:t>347</w:t>
            </w:r>
          </w:p>
        </w:tc>
      </w:tr>
      <w:tr w:rsidR="00F43132" w:rsidRPr="0026418E" w14:paraId="4848BEAD"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09ECF2B7" w14:textId="77777777" w:rsidR="00F43132" w:rsidRPr="0026418E" w:rsidRDefault="00F43132" w:rsidP="00232104">
            <w:pPr>
              <w:spacing w:after="0" w:line="240" w:lineRule="auto"/>
              <w:rPr>
                <w:rFonts w:eastAsia="Times New Roman" w:cstheme="minorHAnsi"/>
                <w:szCs w:val="18"/>
                <w:lang w:eastAsia="hr-HR"/>
              </w:rPr>
            </w:pPr>
            <w:r>
              <w:rPr>
                <w:rFonts w:eastAsia="Times New Roman" w:cstheme="minorHAnsi"/>
                <w:szCs w:val="18"/>
                <w:lang w:eastAsia="hr-HR"/>
              </w:rPr>
              <w:t>Sjevern</w:t>
            </w:r>
            <w:r w:rsidRPr="0026418E">
              <w:rPr>
                <w:rFonts w:eastAsia="Times New Roman" w:cstheme="minorHAnsi"/>
                <w:szCs w:val="18"/>
                <w:lang w:eastAsia="hr-HR"/>
              </w:rPr>
              <w:t>a Hrvatska</w:t>
            </w:r>
          </w:p>
        </w:tc>
        <w:tc>
          <w:tcPr>
            <w:tcW w:w="1422" w:type="dxa"/>
            <w:tcBorders>
              <w:top w:val="single" w:sz="8" w:space="0" w:color="F3CFC1"/>
              <w:bottom w:val="single" w:sz="8" w:space="0" w:color="F3CFC1"/>
              <w:right w:val="single" w:sz="8" w:space="0" w:color="D2232A"/>
            </w:tcBorders>
            <w:shd w:val="clear" w:color="auto" w:fill="auto"/>
            <w:noWrap/>
            <w:vAlign w:val="center"/>
          </w:tcPr>
          <w:p w14:paraId="62280190" w14:textId="77777777" w:rsidR="00F43132" w:rsidRPr="0026418E" w:rsidRDefault="00F43132" w:rsidP="00232104">
            <w:pPr>
              <w:spacing w:after="0" w:line="240" w:lineRule="auto"/>
              <w:jc w:val="right"/>
              <w:rPr>
                <w:rFonts w:eastAsia="Times New Roman" w:cstheme="minorHAnsi"/>
                <w:szCs w:val="18"/>
                <w:lang w:eastAsia="hr-HR"/>
              </w:rPr>
            </w:pPr>
            <w:r w:rsidRPr="00C3658A">
              <w:rPr>
                <w:rFonts w:eastAsia="Times New Roman" w:cstheme="minorHAnsi"/>
                <w:szCs w:val="18"/>
                <w:lang w:eastAsia="hr-HR"/>
              </w:rPr>
              <w:t>1.438</w:t>
            </w:r>
          </w:p>
        </w:tc>
        <w:tc>
          <w:tcPr>
            <w:tcW w:w="2197" w:type="dxa"/>
            <w:tcBorders>
              <w:top w:val="single" w:sz="8" w:space="0" w:color="F3CFC1"/>
              <w:left w:val="single" w:sz="8" w:space="0" w:color="D2232A"/>
              <w:bottom w:val="single" w:sz="8" w:space="0" w:color="F3CFC1"/>
              <w:right w:val="single" w:sz="8" w:space="0" w:color="D2232A"/>
            </w:tcBorders>
            <w:shd w:val="clear" w:color="auto" w:fill="auto"/>
            <w:noWrap/>
            <w:vAlign w:val="center"/>
          </w:tcPr>
          <w:p w14:paraId="33D0DC29" w14:textId="77777777" w:rsidR="00F43132" w:rsidRPr="0026418E" w:rsidRDefault="00F43132" w:rsidP="00232104">
            <w:pPr>
              <w:spacing w:after="0" w:line="240" w:lineRule="auto"/>
              <w:jc w:val="right"/>
              <w:rPr>
                <w:rFonts w:eastAsia="Times New Roman" w:cstheme="minorHAnsi"/>
                <w:szCs w:val="18"/>
                <w:lang w:eastAsia="hr-HR"/>
              </w:rPr>
            </w:pPr>
            <w:r w:rsidRPr="0026418E">
              <w:rPr>
                <w:rFonts w:eastAsia="Times New Roman" w:cstheme="minorHAnsi"/>
                <w:szCs w:val="18"/>
                <w:lang w:eastAsia="hr-HR"/>
              </w:rPr>
              <w:t>8</w:t>
            </w:r>
            <w:r>
              <w:rPr>
                <w:rFonts w:eastAsia="Times New Roman" w:cstheme="minorHAnsi"/>
                <w:szCs w:val="18"/>
                <w:lang w:eastAsia="hr-HR"/>
              </w:rPr>
              <w:t>15.397</w:t>
            </w:r>
          </w:p>
        </w:tc>
        <w:tc>
          <w:tcPr>
            <w:tcW w:w="2365" w:type="dxa"/>
            <w:tcBorders>
              <w:top w:val="single" w:sz="8" w:space="0" w:color="F3CFC1"/>
              <w:left w:val="single" w:sz="8" w:space="0" w:color="D2232A"/>
              <w:bottom w:val="single" w:sz="8" w:space="0" w:color="F3CFC1"/>
              <w:right w:val="single" w:sz="8" w:space="0" w:color="D2232A"/>
            </w:tcBorders>
            <w:shd w:val="clear" w:color="auto" w:fill="auto"/>
            <w:noWrap/>
            <w:vAlign w:val="center"/>
          </w:tcPr>
          <w:p w14:paraId="6E9AEB7B" w14:textId="77777777" w:rsidR="00F43132" w:rsidRPr="0026418E" w:rsidRDefault="00F43132" w:rsidP="00232104">
            <w:pPr>
              <w:spacing w:after="0" w:line="240" w:lineRule="auto"/>
              <w:jc w:val="right"/>
              <w:rPr>
                <w:rFonts w:eastAsia="Times New Roman" w:cstheme="minorHAnsi"/>
                <w:szCs w:val="18"/>
                <w:lang w:eastAsia="hr-HR"/>
              </w:rPr>
            </w:pPr>
            <w:r>
              <w:rPr>
                <w:rFonts w:eastAsia="Times New Roman" w:cstheme="minorHAnsi"/>
                <w:szCs w:val="18"/>
                <w:lang w:eastAsia="hr-HR"/>
              </w:rPr>
              <w:t>567</w:t>
            </w:r>
          </w:p>
        </w:tc>
      </w:tr>
      <w:tr w:rsidR="00F43132" w:rsidRPr="0026418E" w14:paraId="6A2B1605" w14:textId="77777777" w:rsidTr="00232104">
        <w:trPr>
          <w:trHeight w:val="298"/>
          <w:jc w:val="center"/>
        </w:trPr>
        <w:tc>
          <w:tcPr>
            <w:tcW w:w="3141" w:type="dxa"/>
            <w:tcBorders>
              <w:top w:val="single" w:sz="8" w:space="0" w:color="F3CFC1"/>
              <w:left w:val="single" w:sz="8" w:space="0" w:color="D2232A"/>
              <w:bottom w:val="single" w:sz="8" w:space="0" w:color="FFFFFF" w:themeColor="background1"/>
            </w:tcBorders>
            <w:shd w:val="clear" w:color="auto" w:fill="D2232A" w:themeFill="accent1"/>
            <w:noWrap/>
            <w:vAlign w:val="center"/>
            <w:hideMark/>
          </w:tcPr>
          <w:p w14:paraId="29C7C964" w14:textId="77777777" w:rsidR="00F43132" w:rsidRPr="0026418E" w:rsidRDefault="00F43132" w:rsidP="00232104">
            <w:pPr>
              <w:spacing w:after="0" w:line="240" w:lineRule="auto"/>
              <w:rPr>
                <w:rFonts w:eastAsia="Times New Roman" w:cstheme="minorHAnsi"/>
                <w:color w:val="FFFFFF" w:themeColor="background1"/>
                <w:szCs w:val="18"/>
                <w:lang w:eastAsia="hr-HR"/>
              </w:rPr>
            </w:pPr>
            <w:r w:rsidRPr="0026418E">
              <w:rPr>
                <w:rFonts w:eastAsia="Times New Roman" w:cstheme="minorHAnsi"/>
                <w:color w:val="FFFFFF" w:themeColor="background1"/>
                <w:szCs w:val="18"/>
                <w:lang w:eastAsia="hr-HR"/>
              </w:rPr>
              <w:t>Krapinsko-zagorska</w:t>
            </w:r>
          </w:p>
        </w:tc>
        <w:tc>
          <w:tcPr>
            <w:tcW w:w="1422" w:type="dxa"/>
            <w:tcBorders>
              <w:top w:val="single" w:sz="8" w:space="0" w:color="F3CFC1"/>
              <w:bottom w:val="single" w:sz="8" w:space="0" w:color="FFFFFF" w:themeColor="background1"/>
              <w:right w:val="single" w:sz="8" w:space="0" w:color="D2232A"/>
            </w:tcBorders>
            <w:shd w:val="clear" w:color="auto" w:fill="D2232A" w:themeFill="accent1"/>
            <w:noWrap/>
            <w:vAlign w:val="center"/>
            <w:hideMark/>
          </w:tcPr>
          <w:p w14:paraId="7085D34C" w14:textId="77777777" w:rsidR="00F43132" w:rsidRPr="0026418E" w:rsidRDefault="00F43132" w:rsidP="00232104">
            <w:pPr>
              <w:spacing w:after="0" w:line="240" w:lineRule="auto"/>
              <w:jc w:val="right"/>
              <w:rPr>
                <w:rFonts w:eastAsia="Times New Roman" w:cstheme="minorHAnsi"/>
                <w:color w:val="FFFFFF" w:themeColor="background1"/>
                <w:szCs w:val="18"/>
                <w:lang w:eastAsia="hr-HR"/>
              </w:rPr>
            </w:pPr>
            <w:r w:rsidRPr="0026418E">
              <w:rPr>
                <w:rFonts w:cstheme="minorHAnsi"/>
                <w:color w:val="FFFFFF" w:themeColor="background1"/>
                <w:szCs w:val="18"/>
              </w:rPr>
              <w:t>1</w:t>
            </w:r>
            <w:r>
              <w:rPr>
                <w:rFonts w:cstheme="minorHAnsi"/>
                <w:color w:val="FFFFFF" w:themeColor="background1"/>
                <w:szCs w:val="18"/>
              </w:rPr>
              <w:t>59</w:t>
            </w:r>
          </w:p>
        </w:tc>
        <w:tc>
          <w:tcPr>
            <w:tcW w:w="2197" w:type="dxa"/>
            <w:tcBorders>
              <w:top w:val="single" w:sz="8" w:space="0" w:color="F3CFC1"/>
              <w:left w:val="single" w:sz="8" w:space="0" w:color="D2232A"/>
              <w:bottom w:val="single" w:sz="8" w:space="0" w:color="FFFFFF" w:themeColor="background1"/>
              <w:right w:val="single" w:sz="8" w:space="0" w:color="D2232A"/>
            </w:tcBorders>
            <w:shd w:val="clear" w:color="auto" w:fill="D2232A" w:themeFill="accent1"/>
            <w:noWrap/>
            <w:vAlign w:val="center"/>
            <w:hideMark/>
          </w:tcPr>
          <w:p w14:paraId="5907FFDF" w14:textId="77777777" w:rsidR="00F43132" w:rsidRPr="0026418E" w:rsidRDefault="00F43132" w:rsidP="00232104">
            <w:pPr>
              <w:spacing w:after="0" w:line="240" w:lineRule="auto"/>
              <w:jc w:val="right"/>
              <w:rPr>
                <w:rFonts w:eastAsia="Times New Roman" w:cstheme="minorHAnsi"/>
                <w:color w:val="FFFFFF" w:themeColor="background1"/>
                <w:szCs w:val="18"/>
                <w:lang w:eastAsia="hr-HR"/>
              </w:rPr>
            </w:pPr>
            <w:r w:rsidRPr="00C3658A">
              <w:rPr>
                <w:rFonts w:cstheme="minorHAnsi"/>
                <w:color w:val="FFFFFF" w:themeColor="background1"/>
                <w:szCs w:val="18"/>
              </w:rPr>
              <w:t>124</w:t>
            </w:r>
            <w:r>
              <w:rPr>
                <w:rFonts w:cstheme="minorHAnsi"/>
                <w:color w:val="FFFFFF" w:themeColor="background1"/>
                <w:szCs w:val="18"/>
              </w:rPr>
              <w:t>.</w:t>
            </w:r>
            <w:r w:rsidRPr="00C3658A">
              <w:rPr>
                <w:rFonts w:cstheme="minorHAnsi"/>
                <w:color w:val="FFFFFF" w:themeColor="background1"/>
                <w:szCs w:val="18"/>
              </w:rPr>
              <w:t>517</w:t>
            </w:r>
          </w:p>
        </w:tc>
        <w:tc>
          <w:tcPr>
            <w:tcW w:w="2365" w:type="dxa"/>
            <w:tcBorders>
              <w:top w:val="single" w:sz="8" w:space="0" w:color="F3CFC1"/>
              <w:left w:val="single" w:sz="8" w:space="0" w:color="D2232A"/>
              <w:bottom w:val="single" w:sz="8" w:space="0" w:color="FFFFFF" w:themeColor="background1"/>
              <w:right w:val="single" w:sz="8" w:space="0" w:color="D2232A"/>
            </w:tcBorders>
            <w:shd w:val="clear" w:color="auto" w:fill="D2232A" w:themeFill="accent1"/>
            <w:noWrap/>
            <w:vAlign w:val="center"/>
            <w:hideMark/>
          </w:tcPr>
          <w:p w14:paraId="22EFF231" w14:textId="77777777" w:rsidR="00F43132" w:rsidRPr="0026418E" w:rsidRDefault="00F43132" w:rsidP="00232104">
            <w:pPr>
              <w:spacing w:after="0" w:line="240" w:lineRule="auto"/>
              <w:jc w:val="right"/>
              <w:rPr>
                <w:rFonts w:eastAsia="Times New Roman" w:cstheme="minorHAnsi"/>
                <w:color w:val="FFFFFF" w:themeColor="background1"/>
                <w:szCs w:val="18"/>
                <w:lang w:eastAsia="hr-HR"/>
              </w:rPr>
            </w:pPr>
            <w:r>
              <w:rPr>
                <w:rFonts w:eastAsia="Times New Roman" w:cstheme="minorHAnsi"/>
                <w:color w:val="FFFFFF" w:themeColor="background1"/>
                <w:szCs w:val="18"/>
                <w:lang w:eastAsia="hr-HR"/>
              </w:rPr>
              <w:t>783</w:t>
            </w:r>
          </w:p>
        </w:tc>
      </w:tr>
      <w:tr w:rsidR="00F43132" w:rsidRPr="0026418E" w14:paraId="071361DA"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11F89DF4"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Zagrebačka</w:t>
            </w:r>
          </w:p>
        </w:tc>
        <w:tc>
          <w:tcPr>
            <w:tcW w:w="1422" w:type="dxa"/>
            <w:tcBorders>
              <w:top w:val="single" w:sz="8" w:space="0" w:color="F3CFC1"/>
              <w:bottom w:val="single" w:sz="8" w:space="0" w:color="F3CFC1"/>
              <w:right w:val="single" w:sz="8" w:space="0" w:color="D2232A"/>
            </w:tcBorders>
            <w:noWrap/>
            <w:vAlign w:val="center"/>
            <w:hideMark/>
          </w:tcPr>
          <w:p w14:paraId="09D04ED8"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426</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176D6699"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309.169</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5B05C2EA"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726</w:t>
            </w:r>
          </w:p>
        </w:tc>
      </w:tr>
      <w:tr w:rsidR="00F43132" w:rsidRPr="0026418E" w14:paraId="7CE339A3"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0D9DAFAE"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Sisačko-moslavačka</w:t>
            </w:r>
          </w:p>
        </w:tc>
        <w:tc>
          <w:tcPr>
            <w:tcW w:w="1422" w:type="dxa"/>
            <w:tcBorders>
              <w:top w:val="single" w:sz="8" w:space="0" w:color="F3CFC1"/>
              <w:bottom w:val="single" w:sz="8" w:space="0" w:color="F3CFC1"/>
              <w:right w:val="single" w:sz="8" w:space="0" w:color="D2232A"/>
            </w:tcBorders>
            <w:noWrap/>
            <w:vAlign w:val="center"/>
            <w:hideMark/>
          </w:tcPr>
          <w:p w14:paraId="756964A0"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52</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674633BA"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145.904</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0B3B4C1A"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2.806</w:t>
            </w:r>
          </w:p>
        </w:tc>
      </w:tr>
      <w:tr w:rsidR="00F43132" w:rsidRPr="0026418E" w14:paraId="0F700ACD"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34272B42"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Karlovačka</w:t>
            </w:r>
          </w:p>
        </w:tc>
        <w:tc>
          <w:tcPr>
            <w:tcW w:w="1422" w:type="dxa"/>
            <w:tcBorders>
              <w:top w:val="single" w:sz="8" w:space="0" w:color="F3CFC1"/>
              <w:bottom w:val="single" w:sz="8" w:space="0" w:color="F3CFC1"/>
              <w:right w:val="single" w:sz="8" w:space="0" w:color="D2232A"/>
            </w:tcBorders>
            <w:noWrap/>
            <w:vAlign w:val="center"/>
            <w:hideMark/>
          </w:tcPr>
          <w:p w14:paraId="5DB3655B"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190</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464440DB"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115.484</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4378E182"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608</w:t>
            </w:r>
          </w:p>
        </w:tc>
      </w:tr>
      <w:tr w:rsidR="00F43132" w:rsidRPr="0026418E" w14:paraId="1F2FD0D2"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585B1464"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Varaždinska</w:t>
            </w:r>
          </w:p>
        </w:tc>
        <w:tc>
          <w:tcPr>
            <w:tcW w:w="1422" w:type="dxa"/>
            <w:tcBorders>
              <w:top w:val="single" w:sz="8" w:space="0" w:color="F3CFC1"/>
              <w:bottom w:val="single" w:sz="8" w:space="0" w:color="F3CFC1"/>
              <w:right w:val="single" w:sz="8" w:space="0" w:color="D2232A"/>
            </w:tcBorders>
            <w:noWrap/>
            <w:vAlign w:val="center"/>
            <w:hideMark/>
          </w:tcPr>
          <w:p w14:paraId="392A29D4"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289</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21937A44"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166.112</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31C64AC9"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575</w:t>
            </w:r>
          </w:p>
        </w:tc>
      </w:tr>
      <w:tr w:rsidR="00F43132" w:rsidRPr="0026418E" w14:paraId="19641D37"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086ACCED"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lastRenderedPageBreak/>
              <w:t>Koprivničko-križevačka</w:t>
            </w:r>
          </w:p>
        </w:tc>
        <w:tc>
          <w:tcPr>
            <w:tcW w:w="1422" w:type="dxa"/>
            <w:tcBorders>
              <w:top w:val="single" w:sz="8" w:space="0" w:color="F3CFC1"/>
              <w:bottom w:val="single" w:sz="8" w:space="0" w:color="F3CFC1"/>
              <w:right w:val="single" w:sz="8" w:space="0" w:color="D2232A"/>
            </w:tcBorders>
            <w:noWrap/>
            <w:vAlign w:val="center"/>
            <w:hideMark/>
          </w:tcPr>
          <w:p w14:paraId="04446243"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263</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4E7A66BA"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106.367</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48C3C4DD"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404</w:t>
            </w:r>
          </w:p>
        </w:tc>
      </w:tr>
      <w:tr w:rsidR="00F43132" w:rsidRPr="0026418E" w14:paraId="45C24C3F"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30C19309"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Bjelovarsko-bilogorska</w:t>
            </w:r>
          </w:p>
        </w:tc>
        <w:tc>
          <w:tcPr>
            <w:tcW w:w="1422" w:type="dxa"/>
            <w:tcBorders>
              <w:top w:val="single" w:sz="8" w:space="0" w:color="F3CFC1"/>
              <w:bottom w:val="single" w:sz="8" w:space="0" w:color="F3CFC1"/>
              <w:right w:val="single" w:sz="8" w:space="0" w:color="D2232A"/>
            </w:tcBorders>
            <w:noWrap/>
            <w:vAlign w:val="center"/>
            <w:hideMark/>
          </w:tcPr>
          <w:p w14:paraId="0D3281C3"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123</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65A8BFDF"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106.258</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15D5CA65"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864</w:t>
            </w:r>
          </w:p>
        </w:tc>
      </w:tr>
      <w:tr w:rsidR="00F43132" w:rsidRPr="0026418E" w14:paraId="76B193BD"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49F3F8A2"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Primorsko-goranska</w:t>
            </w:r>
          </w:p>
        </w:tc>
        <w:tc>
          <w:tcPr>
            <w:tcW w:w="1422" w:type="dxa"/>
            <w:tcBorders>
              <w:top w:val="single" w:sz="8" w:space="0" w:color="F3CFC1"/>
              <w:bottom w:val="single" w:sz="8" w:space="0" w:color="F3CFC1"/>
              <w:right w:val="single" w:sz="8" w:space="0" w:color="D2232A"/>
            </w:tcBorders>
            <w:noWrap/>
            <w:vAlign w:val="center"/>
            <w:hideMark/>
          </w:tcPr>
          <w:p w14:paraId="2F964056"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901</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322EE2C8"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282.730</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4BBEEDB2"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319</w:t>
            </w:r>
          </w:p>
        </w:tc>
      </w:tr>
      <w:tr w:rsidR="00F43132" w:rsidRPr="0026418E" w14:paraId="7832A352"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157D9DD8"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Ličko-senjska</w:t>
            </w:r>
          </w:p>
        </w:tc>
        <w:tc>
          <w:tcPr>
            <w:tcW w:w="1422" w:type="dxa"/>
            <w:tcBorders>
              <w:top w:val="single" w:sz="8" w:space="0" w:color="F3CFC1"/>
              <w:bottom w:val="single" w:sz="8" w:space="0" w:color="F3CFC1"/>
              <w:right w:val="single" w:sz="8" w:space="0" w:color="D2232A"/>
            </w:tcBorders>
            <w:noWrap/>
            <w:vAlign w:val="center"/>
            <w:hideMark/>
          </w:tcPr>
          <w:p w14:paraId="0F1D1567"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177</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69CAD127"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44.625</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24C6C2F9"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252</w:t>
            </w:r>
          </w:p>
        </w:tc>
      </w:tr>
      <w:tr w:rsidR="00F43132" w:rsidRPr="0026418E" w14:paraId="22A8C9C9"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49B06AF6"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Virovitičko-podravska</w:t>
            </w:r>
          </w:p>
        </w:tc>
        <w:tc>
          <w:tcPr>
            <w:tcW w:w="1422" w:type="dxa"/>
            <w:tcBorders>
              <w:top w:val="single" w:sz="8" w:space="0" w:color="F3CFC1"/>
              <w:bottom w:val="single" w:sz="8" w:space="0" w:color="F3CFC1"/>
              <w:right w:val="single" w:sz="8" w:space="0" w:color="D2232A"/>
            </w:tcBorders>
            <w:noWrap/>
            <w:vAlign w:val="center"/>
            <w:hideMark/>
          </w:tcPr>
          <w:p w14:paraId="1004480C" w14:textId="77777777" w:rsidR="00F43132" w:rsidRPr="00C3658A" w:rsidRDefault="00F43132" w:rsidP="00232104">
            <w:pPr>
              <w:spacing w:after="0" w:line="240" w:lineRule="auto"/>
              <w:jc w:val="right"/>
              <w:rPr>
                <w:rFonts w:cstheme="minorHAnsi"/>
                <w:color w:val="000000"/>
                <w:szCs w:val="18"/>
              </w:rPr>
            </w:pPr>
            <w:r>
              <w:rPr>
                <w:rFonts w:cstheme="minorHAnsi"/>
                <w:color w:val="000000"/>
                <w:szCs w:val="18"/>
              </w:rPr>
              <w:t>64</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0F4C9E53"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73.641</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09627ED8"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1.151</w:t>
            </w:r>
          </w:p>
        </w:tc>
      </w:tr>
      <w:tr w:rsidR="00F43132" w:rsidRPr="0026418E" w14:paraId="373E32BA"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4051E907"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Požeško-slavonska</w:t>
            </w:r>
          </w:p>
        </w:tc>
        <w:tc>
          <w:tcPr>
            <w:tcW w:w="1422" w:type="dxa"/>
            <w:tcBorders>
              <w:top w:val="single" w:sz="8" w:space="0" w:color="F3CFC1"/>
              <w:bottom w:val="single" w:sz="8" w:space="0" w:color="F3CFC1"/>
              <w:right w:val="single" w:sz="8" w:space="0" w:color="D2232A"/>
            </w:tcBorders>
            <w:noWrap/>
            <w:vAlign w:val="center"/>
            <w:hideMark/>
          </w:tcPr>
          <w:p w14:paraId="2165968C"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56</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514D4D01"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66.256</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1D8FF888"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1.183</w:t>
            </w:r>
          </w:p>
        </w:tc>
      </w:tr>
      <w:tr w:rsidR="00F43132" w:rsidRPr="0026418E" w14:paraId="1DA5DCF0"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682CE1AF"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Brodsko-posavska</w:t>
            </w:r>
          </w:p>
        </w:tc>
        <w:tc>
          <w:tcPr>
            <w:tcW w:w="1422" w:type="dxa"/>
            <w:tcBorders>
              <w:top w:val="single" w:sz="8" w:space="0" w:color="F3CFC1"/>
              <w:bottom w:val="single" w:sz="8" w:space="0" w:color="F3CFC1"/>
              <w:right w:val="single" w:sz="8" w:space="0" w:color="D2232A"/>
            </w:tcBorders>
            <w:noWrap/>
            <w:vAlign w:val="center"/>
            <w:hideMark/>
          </w:tcPr>
          <w:p w14:paraId="1CDAE7CB"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184</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14FB1BD5"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137.487</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00677FFE"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747</w:t>
            </w:r>
          </w:p>
        </w:tc>
      </w:tr>
      <w:tr w:rsidR="00F43132" w:rsidRPr="0026418E" w14:paraId="055C52BA"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7F19965D"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Zadarska</w:t>
            </w:r>
          </w:p>
        </w:tc>
        <w:tc>
          <w:tcPr>
            <w:tcW w:w="1422" w:type="dxa"/>
            <w:tcBorders>
              <w:top w:val="single" w:sz="8" w:space="0" w:color="F3CFC1"/>
              <w:bottom w:val="single" w:sz="8" w:space="0" w:color="F3CFC1"/>
              <w:right w:val="single" w:sz="8" w:space="0" w:color="D2232A"/>
            </w:tcBorders>
            <w:noWrap/>
            <w:vAlign w:val="center"/>
            <w:hideMark/>
          </w:tcPr>
          <w:p w14:paraId="13AA5856"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2.083</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090B9A1C"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168.213</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1D23E6DC"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81</w:t>
            </w:r>
          </w:p>
        </w:tc>
      </w:tr>
      <w:tr w:rsidR="00F43132" w:rsidRPr="0026418E" w14:paraId="0E3C56E4"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41DE6404"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Osječko-baranjska</w:t>
            </w:r>
          </w:p>
        </w:tc>
        <w:tc>
          <w:tcPr>
            <w:tcW w:w="1422" w:type="dxa"/>
            <w:tcBorders>
              <w:top w:val="single" w:sz="8" w:space="0" w:color="F3CFC1"/>
              <w:bottom w:val="single" w:sz="8" w:space="0" w:color="F3CFC1"/>
              <w:right w:val="single" w:sz="8" w:space="0" w:color="D2232A"/>
            </w:tcBorders>
            <w:noWrap/>
            <w:vAlign w:val="center"/>
            <w:hideMark/>
          </w:tcPr>
          <w:p w14:paraId="0BAFBB02"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366</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6FA5EF20"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272.673</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4BD38FB1"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745</w:t>
            </w:r>
          </w:p>
        </w:tc>
      </w:tr>
      <w:tr w:rsidR="00F43132" w:rsidRPr="0026418E" w14:paraId="22B46EA8"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3BDE1749"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Šibensko-kninska</w:t>
            </w:r>
          </w:p>
        </w:tc>
        <w:tc>
          <w:tcPr>
            <w:tcW w:w="1422" w:type="dxa"/>
            <w:tcBorders>
              <w:top w:val="single" w:sz="8" w:space="0" w:color="F3CFC1"/>
              <w:bottom w:val="single" w:sz="8" w:space="0" w:color="F3CFC1"/>
              <w:right w:val="single" w:sz="8" w:space="0" w:color="D2232A"/>
            </w:tcBorders>
            <w:noWrap/>
            <w:vAlign w:val="center"/>
            <w:hideMark/>
          </w:tcPr>
          <w:p w14:paraId="523016AC"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323</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19E2A572"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99.210</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26F1BB8A"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307</w:t>
            </w:r>
          </w:p>
        </w:tc>
      </w:tr>
      <w:tr w:rsidR="00F43132" w:rsidRPr="0026418E" w14:paraId="1440C6B2"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7F05EE7B"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Vukovarsko-srijemska</w:t>
            </w:r>
          </w:p>
        </w:tc>
        <w:tc>
          <w:tcPr>
            <w:tcW w:w="1422" w:type="dxa"/>
            <w:tcBorders>
              <w:top w:val="single" w:sz="8" w:space="0" w:color="F3CFC1"/>
              <w:bottom w:val="single" w:sz="8" w:space="0" w:color="F3CFC1"/>
              <w:right w:val="single" w:sz="8" w:space="0" w:color="D2232A"/>
            </w:tcBorders>
            <w:noWrap/>
            <w:vAlign w:val="center"/>
            <w:hideMark/>
          </w:tcPr>
          <w:p w14:paraId="219AE184"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223</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4DCA501B"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150.985</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656FFCC4"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677</w:t>
            </w:r>
          </w:p>
        </w:tc>
      </w:tr>
      <w:tr w:rsidR="00F43132" w:rsidRPr="0026418E" w14:paraId="1F4A3422"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141345D3"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Splitsko-dalmatinska</w:t>
            </w:r>
          </w:p>
        </w:tc>
        <w:tc>
          <w:tcPr>
            <w:tcW w:w="1422" w:type="dxa"/>
            <w:tcBorders>
              <w:top w:val="single" w:sz="8" w:space="0" w:color="F3CFC1"/>
              <w:bottom w:val="single" w:sz="8" w:space="0" w:color="F3CFC1"/>
              <w:right w:val="single" w:sz="8" w:space="0" w:color="D2232A"/>
            </w:tcBorders>
            <w:noWrap/>
            <w:vAlign w:val="center"/>
            <w:hideMark/>
          </w:tcPr>
          <w:p w14:paraId="426A7B1B"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1.397</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0A019148"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447.747</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792F1BCB"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321</w:t>
            </w:r>
          </w:p>
        </w:tc>
      </w:tr>
      <w:tr w:rsidR="00F43132" w:rsidRPr="0026418E" w14:paraId="3CBC0744"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7CBEB9B7"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Istarska</w:t>
            </w:r>
          </w:p>
        </w:tc>
        <w:tc>
          <w:tcPr>
            <w:tcW w:w="1422" w:type="dxa"/>
            <w:tcBorders>
              <w:top w:val="single" w:sz="8" w:space="0" w:color="F3CFC1"/>
              <w:bottom w:val="single" w:sz="8" w:space="0" w:color="F3CFC1"/>
              <w:right w:val="single" w:sz="8" w:space="0" w:color="D2232A"/>
            </w:tcBorders>
            <w:noWrap/>
            <w:vAlign w:val="center"/>
            <w:hideMark/>
          </w:tcPr>
          <w:p w14:paraId="3BE7989E"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1.144</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3ED6B80B"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209.573</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4E5F653F"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183</w:t>
            </w:r>
          </w:p>
        </w:tc>
      </w:tr>
      <w:tr w:rsidR="00F43132" w:rsidRPr="0026418E" w14:paraId="0430D7CC"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146F8C54"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Dubrovačko-neretvanska</w:t>
            </w:r>
          </w:p>
        </w:tc>
        <w:tc>
          <w:tcPr>
            <w:tcW w:w="1422" w:type="dxa"/>
            <w:tcBorders>
              <w:top w:val="single" w:sz="8" w:space="0" w:color="F3CFC1"/>
              <w:bottom w:val="single" w:sz="8" w:space="0" w:color="F3CFC1"/>
              <w:right w:val="single" w:sz="8" w:space="0" w:color="D2232A"/>
            </w:tcBorders>
            <w:noWrap/>
            <w:vAlign w:val="center"/>
            <w:hideMark/>
          </w:tcPr>
          <w:p w14:paraId="16673714"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340</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10B8B576"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121.816</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19163661"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358</w:t>
            </w:r>
          </w:p>
        </w:tc>
      </w:tr>
      <w:tr w:rsidR="00F43132" w:rsidRPr="0026418E" w14:paraId="3702A313" w14:textId="77777777" w:rsidTr="00232104">
        <w:trPr>
          <w:trHeight w:val="298"/>
          <w:jc w:val="center"/>
        </w:trPr>
        <w:tc>
          <w:tcPr>
            <w:tcW w:w="3141" w:type="dxa"/>
            <w:tcBorders>
              <w:top w:val="single" w:sz="8" w:space="0" w:color="F3CFC1"/>
              <w:left w:val="single" w:sz="8" w:space="0" w:color="D2232A"/>
              <w:bottom w:val="single" w:sz="8" w:space="0" w:color="F3CFC1"/>
            </w:tcBorders>
            <w:shd w:val="clear" w:color="auto" w:fill="auto"/>
            <w:noWrap/>
            <w:vAlign w:val="center"/>
            <w:hideMark/>
          </w:tcPr>
          <w:p w14:paraId="60D35532"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Međimurska</w:t>
            </w:r>
          </w:p>
        </w:tc>
        <w:tc>
          <w:tcPr>
            <w:tcW w:w="1422" w:type="dxa"/>
            <w:tcBorders>
              <w:top w:val="single" w:sz="8" w:space="0" w:color="F3CFC1"/>
              <w:bottom w:val="single" w:sz="8" w:space="0" w:color="F3CFC1"/>
              <w:right w:val="single" w:sz="8" w:space="0" w:color="D2232A"/>
            </w:tcBorders>
            <w:noWrap/>
            <w:vAlign w:val="center"/>
            <w:hideMark/>
          </w:tcPr>
          <w:p w14:paraId="26783FD3"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301</w:t>
            </w:r>
          </w:p>
        </w:tc>
        <w:tc>
          <w:tcPr>
            <w:tcW w:w="2197" w:type="dxa"/>
            <w:tcBorders>
              <w:top w:val="single" w:sz="8" w:space="0" w:color="F3CFC1"/>
              <w:left w:val="single" w:sz="8" w:space="0" w:color="D2232A"/>
              <w:bottom w:val="single" w:sz="8" w:space="0" w:color="F3CFC1"/>
              <w:right w:val="single" w:sz="8" w:space="0" w:color="D2232A"/>
            </w:tcBorders>
            <w:noWrap/>
            <w:vAlign w:val="center"/>
            <w:hideMark/>
          </w:tcPr>
          <w:p w14:paraId="6E354144"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109.232</w:t>
            </w:r>
          </w:p>
        </w:tc>
        <w:tc>
          <w:tcPr>
            <w:tcW w:w="2365" w:type="dxa"/>
            <w:tcBorders>
              <w:top w:val="single" w:sz="8" w:space="0" w:color="F3CFC1"/>
              <w:left w:val="single" w:sz="8" w:space="0" w:color="D2232A"/>
              <w:bottom w:val="single" w:sz="8" w:space="0" w:color="F3CFC1"/>
              <w:right w:val="single" w:sz="8" w:space="0" w:color="D2232A"/>
            </w:tcBorders>
            <w:noWrap/>
            <w:vAlign w:val="center"/>
            <w:hideMark/>
          </w:tcPr>
          <w:p w14:paraId="0C15AFB6"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363</w:t>
            </w:r>
          </w:p>
        </w:tc>
      </w:tr>
      <w:tr w:rsidR="00F43132" w:rsidRPr="0026418E" w14:paraId="17649B03" w14:textId="77777777" w:rsidTr="00232104">
        <w:trPr>
          <w:trHeight w:val="298"/>
          <w:jc w:val="center"/>
        </w:trPr>
        <w:tc>
          <w:tcPr>
            <w:tcW w:w="3141" w:type="dxa"/>
            <w:tcBorders>
              <w:top w:val="single" w:sz="8" w:space="0" w:color="F3CFC1"/>
              <w:left w:val="single" w:sz="8" w:space="0" w:color="D2232A"/>
            </w:tcBorders>
            <w:shd w:val="clear" w:color="auto" w:fill="auto"/>
            <w:noWrap/>
            <w:vAlign w:val="center"/>
            <w:hideMark/>
          </w:tcPr>
          <w:p w14:paraId="7B36CE17" w14:textId="77777777" w:rsidR="00F43132" w:rsidRPr="0026418E" w:rsidRDefault="00F43132" w:rsidP="00232104">
            <w:pPr>
              <w:spacing w:after="0" w:line="240" w:lineRule="auto"/>
              <w:rPr>
                <w:rFonts w:eastAsia="Times New Roman" w:cstheme="minorHAnsi"/>
                <w:szCs w:val="18"/>
                <w:lang w:eastAsia="hr-HR"/>
              </w:rPr>
            </w:pPr>
            <w:r w:rsidRPr="0026418E">
              <w:rPr>
                <w:rFonts w:eastAsia="Times New Roman" w:cstheme="minorHAnsi"/>
                <w:szCs w:val="18"/>
                <w:lang w:eastAsia="hr-HR"/>
              </w:rPr>
              <w:t>Grad Zagreb</w:t>
            </w:r>
          </w:p>
        </w:tc>
        <w:tc>
          <w:tcPr>
            <w:tcW w:w="1422" w:type="dxa"/>
            <w:tcBorders>
              <w:top w:val="single" w:sz="8" w:space="0" w:color="F3CFC1"/>
              <w:right w:val="single" w:sz="8" w:space="0" w:color="D2232A"/>
            </w:tcBorders>
            <w:noWrap/>
            <w:vAlign w:val="center"/>
            <w:hideMark/>
          </w:tcPr>
          <w:p w14:paraId="008D3F6C"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2.665</w:t>
            </w:r>
          </w:p>
        </w:tc>
        <w:tc>
          <w:tcPr>
            <w:tcW w:w="2197" w:type="dxa"/>
            <w:tcBorders>
              <w:top w:val="single" w:sz="8" w:space="0" w:color="F3CFC1"/>
              <w:left w:val="single" w:sz="8" w:space="0" w:color="D2232A"/>
              <w:right w:val="single" w:sz="8" w:space="0" w:color="D2232A"/>
            </w:tcBorders>
            <w:noWrap/>
            <w:vAlign w:val="center"/>
            <w:hideMark/>
          </w:tcPr>
          <w:p w14:paraId="45C6B779"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807.254</w:t>
            </w:r>
          </w:p>
        </w:tc>
        <w:tc>
          <w:tcPr>
            <w:tcW w:w="2365" w:type="dxa"/>
            <w:tcBorders>
              <w:top w:val="single" w:sz="8" w:space="0" w:color="F3CFC1"/>
              <w:left w:val="single" w:sz="8" w:space="0" w:color="D2232A"/>
              <w:right w:val="single" w:sz="8" w:space="0" w:color="D2232A"/>
            </w:tcBorders>
            <w:noWrap/>
            <w:vAlign w:val="center"/>
            <w:hideMark/>
          </w:tcPr>
          <w:p w14:paraId="7379815C" w14:textId="77777777" w:rsidR="00F43132" w:rsidRPr="0026418E" w:rsidRDefault="00F43132" w:rsidP="00232104">
            <w:pPr>
              <w:spacing w:after="0" w:line="240" w:lineRule="auto"/>
              <w:jc w:val="right"/>
              <w:rPr>
                <w:rFonts w:eastAsia="Times New Roman" w:cstheme="minorHAnsi"/>
                <w:color w:val="000000"/>
                <w:szCs w:val="18"/>
                <w:lang w:eastAsia="hr-HR"/>
              </w:rPr>
            </w:pPr>
            <w:r>
              <w:rPr>
                <w:rFonts w:eastAsia="Times New Roman" w:cstheme="minorHAnsi"/>
                <w:color w:val="000000"/>
                <w:szCs w:val="18"/>
                <w:lang w:eastAsia="hr-HR"/>
              </w:rPr>
              <w:t>303</w:t>
            </w:r>
          </w:p>
        </w:tc>
      </w:tr>
    </w:tbl>
    <w:p w14:paraId="099B8DD9" w14:textId="77777777" w:rsidR="00F43132" w:rsidRPr="003D517E" w:rsidRDefault="00F43132" w:rsidP="00F43132">
      <w:pPr>
        <w:pStyle w:val="Izvor"/>
        <w:rPr>
          <w:i/>
          <w:color w:val="ABABAB" w:themeColor="text1" w:themeTint="A6"/>
          <w:sz w:val="16"/>
          <w:szCs w:val="16"/>
        </w:rPr>
      </w:pPr>
      <w:r w:rsidRPr="003D517E">
        <w:rPr>
          <w:i/>
          <w:color w:val="ABABAB" w:themeColor="text1" w:themeTint="A6"/>
          <w:sz w:val="16"/>
          <w:szCs w:val="16"/>
        </w:rPr>
        <w:t>Izvor: DZS, Završene zgrade i stanovi 2019.</w:t>
      </w:r>
    </w:p>
    <w:p w14:paraId="2F9D6373" w14:textId="77777777" w:rsidR="00F43132" w:rsidRDefault="00F43132" w:rsidP="00F43132">
      <w:pPr>
        <w:autoSpaceDE w:val="0"/>
        <w:autoSpaceDN w:val="0"/>
        <w:adjustRightInd w:val="0"/>
        <w:spacing w:after="0" w:line="240" w:lineRule="auto"/>
        <w:rPr>
          <w:rFonts w:eastAsia="ArialNarrow" w:cstheme="minorHAnsi"/>
        </w:rPr>
      </w:pPr>
    </w:p>
    <w:p w14:paraId="59285121" w14:textId="77777777" w:rsidR="00F43132" w:rsidRPr="003F7FF1" w:rsidRDefault="00F43132" w:rsidP="00F43132">
      <w:r w:rsidRPr="003F7FF1">
        <w:t xml:space="preserve">U Krapinsko-zagorskoj županiji prosječan broj stanovnika po novoizgrađenom stanu odskače za 38% od prosječnog broja za </w:t>
      </w:r>
      <w:r>
        <w:t>Sjevernu</w:t>
      </w:r>
      <w:r w:rsidRPr="005759D3">
        <w:t xml:space="preserve"> Hrvatsku</w:t>
      </w:r>
      <w:r w:rsidRPr="003F7FF1">
        <w:t xml:space="preserve">, dok u odnosu na Republiku Hrvatsku odskače za 125,6%. U promatranom razdoblju, od 2016. godine do 2019. godine, u Republici Hrvatskoj izgrađeno je sveukupno 46.231 stan s prosjekom od 9.246 godišnje. Na području </w:t>
      </w:r>
      <w:r>
        <w:t>Sjeverne</w:t>
      </w:r>
      <w:r w:rsidRPr="005759D3">
        <w:t xml:space="preserve"> Hrvatske</w:t>
      </w:r>
      <w:r w:rsidRPr="003F7FF1">
        <w:t xml:space="preserve"> broj novoizgrađenih stanova u istom razdoblju iznosi 5.864 s prosjekom od 1.173 stana godišnje. U Krapinsko-zagorskoj županiji, u periodu od 2016. </w:t>
      </w:r>
      <w:r>
        <w:t>-</w:t>
      </w:r>
      <w:r w:rsidRPr="003F7FF1">
        <w:t xml:space="preserve"> 2019. godine, izgrađeno je ukupno 615 stanova, prosječno 123 novih stanova godišnje.</w:t>
      </w:r>
    </w:p>
    <w:p w14:paraId="68B3C5BD" w14:textId="77777777" w:rsidR="00F43132" w:rsidRDefault="00F43132" w:rsidP="00941871">
      <w:pPr>
        <w:autoSpaceDE w:val="0"/>
        <w:autoSpaceDN w:val="0"/>
        <w:adjustRightInd w:val="0"/>
        <w:spacing w:after="0" w:line="240" w:lineRule="auto"/>
        <w:rPr>
          <w:rFonts w:eastAsia="ArialNarrow" w:cstheme="minorHAnsi"/>
        </w:rPr>
      </w:pPr>
    </w:p>
    <w:p w14:paraId="61F74C26" w14:textId="0138730C" w:rsidR="008878A0" w:rsidRDefault="00C97178" w:rsidP="0052192B">
      <w:pPr>
        <w:pStyle w:val="Naslov2"/>
        <w:rPr>
          <w:szCs w:val="26"/>
        </w:rPr>
      </w:pPr>
      <w:bookmarkStart w:id="106" w:name="_Toc85181306"/>
      <w:r>
        <w:t>7</w:t>
      </w:r>
      <w:r w:rsidR="008878A0">
        <w:t>.</w:t>
      </w:r>
      <w:r w:rsidR="00F43132">
        <w:t>3</w:t>
      </w:r>
      <w:r w:rsidR="008878A0">
        <w:t>. Civilno društvo</w:t>
      </w:r>
      <w:bookmarkEnd w:id="106"/>
    </w:p>
    <w:p w14:paraId="67313C9F" w14:textId="77777777" w:rsidR="008878A0" w:rsidRDefault="008878A0" w:rsidP="00941871">
      <w:pPr>
        <w:autoSpaceDE w:val="0"/>
        <w:autoSpaceDN w:val="0"/>
        <w:adjustRightInd w:val="0"/>
        <w:spacing w:after="0" w:line="240" w:lineRule="auto"/>
        <w:rPr>
          <w:rFonts w:eastAsia="ArialNarrow" w:cstheme="minorHAnsi"/>
          <w:sz w:val="20"/>
        </w:rPr>
      </w:pPr>
    </w:p>
    <w:p w14:paraId="7D1F162B" w14:textId="559CF4AF" w:rsidR="001A10E3" w:rsidRDefault="001A10E3" w:rsidP="001A10E3">
      <w:pPr>
        <w:autoSpaceDE w:val="0"/>
        <w:autoSpaceDN w:val="0"/>
        <w:adjustRightInd w:val="0"/>
        <w:spacing w:after="0" w:line="240" w:lineRule="auto"/>
        <w:rPr>
          <w:rFonts w:eastAsia="ArialNarrow" w:cstheme="minorHAnsi"/>
          <w:szCs w:val="18"/>
        </w:rPr>
      </w:pPr>
      <w:bookmarkStart w:id="107" w:name="_Hlk66712552"/>
      <w:r w:rsidRPr="000B2632">
        <w:rPr>
          <w:rFonts w:eastAsia="ArialNarrow" w:cstheme="minorHAnsi"/>
          <w:szCs w:val="18"/>
        </w:rPr>
        <w:t xml:space="preserve">Uvidom u Registar udruga Republike Hrvatske, vidljivo je da na području Krapinsko-zagorske županije u </w:t>
      </w:r>
      <w:r w:rsidR="000B2632" w:rsidRPr="000B2632">
        <w:rPr>
          <w:rFonts w:eastAsia="ArialNarrow" w:cstheme="minorHAnsi"/>
          <w:szCs w:val="18"/>
        </w:rPr>
        <w:t>veljači</w:t>
      </w:r>
      <w:r w:rsidRPr="000B2632">
        <w:rPr>
          <w:rFonts w:eastAsia="ArialNarrow" w:cstheme="minorHAnsi"/>
          <w:szCs w:val="18"/>
        </w:rPr>
        <w:t xml:space="preserve"> 20</w:t>
      </w:r>
      <w:r w:rsidR="000C6213">
        <w:rPr>
          <w:rFonts w:eastAsia="ArialNarrow" w:cstheme="minorHAnsi"/>
          <w:szCs w:val="18"/>
        </w:rPr>
        <w:t>21</w:t>
      </w:r>
      <w:r w:rsidR="008904B7" w:rsidRPr="000B2632">
        <w:rPr>
          <w:rFonts w:eastAsia="ArialNarrow" w:cstheme="minorHAnsi"/>
          <w:szCs w:val="18"/>
        </w:rPr>
        <w:t>.</w:t>
      </w:r>
      <w:r w:rsidRPr="000B2632">
        <w:rPr>
          <w:rFonts w:eastAsia="ArialNarrow" w:cstheme="minorHAnsi"/>
          <w:szCs w:val="18"/>
        </w:rPr>
        <w:t xml:space="preserve"> godine djeluje 1.</w:t>
      </w:r>
      <w:r w:rsidR="002A42CB">
        <w:rPr>
          <w:rFonts w:eastAsia="ArialNarrow" w:cstheme="minorHAnsi"/>
          <w:szCs w:val="18"/>
        </w:rPr>
        <w:t>184</w:t>
      </w:r>
      <w:r w:rsidRPr="000B2632">
        <w:rPr>
          <w:rFonts w:eastAsia="ArialNarrow" w:cstheme="minorHAnsi"/>
          <w:szCs w:val="18"/>
        </w:rPr>
        <w:t xml:space="preserve"> aktivnih udruga</w:t>
      </w:r>
      <w:bookmarkEnd w:id="107"/>
      <w:r w:rsidRPr="000B2632">
        <w:rPr>
          <w:rFonts w:eastAsia="ArialNarrow" w:cstheme="minorHAnsi"/>
          <w:szCs w:val="18"/>
        </w:rPr>
        <w:t xml:space="preserve">. </w:t>
      </w:r>
      <w:r w:rsidR="002454AC">
        <w:rPr>
          <w:rFonts w:eastAsia="ArialNarrow" w:cstheme="minorHAnsi"/>
          <w:szCs w:val="18"/>
        </w:rPr>
        <w:t xml:space="preserve">Pojedine udruge </w:t>
      </w:r>
      <w:r w:rsidR="002454AC" w:rsidRPr="002454AC">
        <w:rPr>
          <w:rFonts w:eastAsia="ArialNarrow" w:cstheme="minorHAnsi"/>
          <w:szCs w:val="18"/>
        </w:rPr>
        <w:t>usmjeren</w:t>
      </w:r>
      <w:r w:rsidR="002454AC">
        <w:rPr>
          <w:rFonts w:eastAsia="ArialNarrow" w:cstheme="minorHAnsi"/>
          <w:szCs w:val="18"/>
        </w:rPr>
        <w:t>e</w:t>
      </w:r>
      <w:r w:rsidR="002454AC" w:rsidRPr="002454AC">
        <w:rPr>
          <w:rFonts w:eastAsia="ArialNarrow" w:cstheme="minorHAnsi"/>
          <w:szCs w:val="18"/>
        </w:rPr>
        <w:t xml:space="preserve"> </w:t>
      </w:r>
      <w:r w:rsidR="002454AC">
        <w:rPr>
          <w:rFonts w:eastAsia="ArialNarrow" w:cstheme="minorHAnsi"/>
          <w:szCs w:val="18"/>
        </w:rPr>
        <w:t xml:space="preserve">su </w:t>
      </w:r>
      <w:r w:rsidR="002454AC" w:rsidRPr="002454AC">
        <w:rPr>
          <w:rFonts w:eastAsia="ArialNarrow" w:cstheme="minorHAnsi"/>
          <w:szCs w:val="18"/>
        </w:rPr>
        <w:t>u jedno ili više područja djelovanja</w:t>
      </w:r>
      <w:r w:rsidR="002454AC">
        <w:rPr>
          <w:rFonts w:eastAsia="ArialNarrow" w:cstheme="minorHAnsi"/>
          <w:szCs w:val="18"/>
        </w:rPr>
        <w:t xml:space="preserve">. </w:t>
      </w:r>
      <w:r w:rsidRPr="000B2632">
        <w:rPr>
          <w:rFonts w:eastAsia="ArialNarrow" w:cstheme="minorHAnsi"/>
          <w:szCs w:val="18"/>
        </w:rPr>
        <w:t>Ne postoji jedinstveni dokument u kojem bi se iščitali neki od osnovnih zbirnih podataka, a iako je veći dio tih udruga usmjeren na svoju lokalnu zajednicu i potrebe koje se u njoj javljaju, ključno je imati na umu da civilno društvo ima iznimno značajnu ulogu u pretvaranju globalnih standarda i ciljeva u strateške dokumente niže razine</w:t>
      </w:r>
      <w:r w:rsidRPr="002454AC">
        <w:rPr>
          <w:rFonts w:eastAsia="ArialNarrow" w:cstheme="minorHAnsi"/>
          <w:szCs w:val="18"/>
        </w:rPr>
        <w:t>. Što se broja udruga tiče</w:t>
      </w:r>
      <w:r w:rsidR="007E544D">
        <w:rPr>
          <w:rFonts w:eastAsia="ArialNarrow" w:cstheme="minorHAnsi"/>
          <w:szCs w:val="18"/>
        </w:rPr>
        <w:t>,</w:t>
      </w:r>
      <w:r w:rsidRPr="002454AC">
        <w:rPr>
          <w:rFonts w:eastAsia="ArialNarrow" w:cstheme="minorHAnsi"/>
          <w:szCs w:val="18"/>
        </w:rPr>
        <w:t xml:space="preserve"> najviše ih je registrirano iz područja sporta, kulture i umjetnosti </w:t>
      </w:r>
      <w:r w:rsidR="007E544D">
        <w:rPr>
          <w:rFonts w:eastAsia="ArialNarrow" w:cstheme="minorHAnsi"/>
          <w:szCs w:val="18"/>
        </w:rPr>
        <w:t>te</w:t>
      </w:r>
      <w:r w:rsidRPr="002454AC">
        <w:rPr>
          <w:rFonts w:eastAsia="ArialNarrow" w:cstheme="minorHAnsi"/>
          <w:szCs w:val="18"/>
        </w:rPr>
        <w:t xml:space="preserve"> gospodarstva</w:t>
      </w:r>
      <w:r w:rsidR="007E544D">
        <w:rPr>
          <w:rFonts w:eastAsia="ArialNarrow" w:cstheme="minorHAnsi"/>
          <w:szCs w:val="18"/>
        </w:rPr>
        <w:t>,</w:t>
      </w:r>
      <w:r w:rsidRPr="002454AC">
        <w:rPr>
          <w:rFonts w:eastAsia="ArialNarrow" w:cstheme="minorHAnsi"/>
          <w:szCs w:val="18"/>
        </w:rPr>
        <w:t xml:space="preserve"> dok je najmanji broj njih iz ostalih područja, duhovnosti i hobističkih djelatnosti.</w:t>
      </w:r>
    </w:p>
    <w:p w14:paraId="581CB800" w14:textId="77777777" w:rsidR="000B2632" w:rsidRPr="000B2632" w:rsidRDefault="000B2632" w:rsidP="001A10E3">
      <w:pPr>
        <w:autoSpaceDE w:val="0"/>
        <w:autoSpaceDN w:val="0"/>
        <w:adjustRightInd w:val="0"/>
        <w:spacing w:after="0" w:line="240" w:lineRule="auto"/>
        <w:rPr>
          <w:rFonts w:eastAsia="ArialNarrow" w:cstheme="minorHAnsi"/>
          <w:szCs w:val="18"/>
        </w:rPr>
      </w:pPr>
    </w:p>
    <w:p w14:paraId="6D2EA91E" w14:textId="537D80FF" w:rsidR="001A10E3" w:rsidRPr="000B2632" w:rsidRDefault="001A10E3" w:rsidP="001A10E3">
      <w:pPr>
        <w:autoSpaceDE w:val="0"/>
        <w:autoSpaceDN w:val="0"/>
        <w:adjustRightInd w:val="0"/>
        <w:spacing w:after="0" w:line="240" w:lineRule="auto"/>
        <w:rPr>
          <w:rFonts w:asciiTheme="minorHAnsi" w:eastAsia="ArialNarrow" w:hAnsiTheme="minorHAnsi" w:cstheme="minorHAnsi"/>
          <w:color w:val="auto"/>
          <w:szCs w:val="18"/>
        </w:rPr>
      </w:pPr>
      <w:r w:rsidRPr="000B2632">
        <w:rPr>
          <w:rFonts w:eastAsia="ArialNarrow" w:cstheme="minorHAnsi"/>
          <w:szCs w:val="18"/>
        </w:rPr>
        <w:t>Sve organizacije civilnog društva promiču i odražavaju prisutnost i razinu demokracije u društvu</w:t>
      </w:r>
      <w:r w:rsidR="00D43C31">
        <w:rPr>
          <w:rFonts w:eastAsia="ArialNarrow" w:cstheme="minorHAnsi"/>
          <w:szCs w:val="18"/>
        </w:rPr>
        <w:t>. S</w:t>
      </w:r>
      <w:r w:rsidRPr="000B2632">
        <w:rPr>
          <w:rFonts w:eastAsia="ArialNarrow" w:cstheme="minorHAnsi"/>
          <w:szCs w:val="18"/>
        </w:rPr>
        <w:t xml:space="preserve">vojim radom nastoje skrenuti pažnju na razvojne mogućnosti, ali i na probleme koji mogu biti lokalnog, ali i globalnog karaktera. Veliki broj i različitost organizacija civilnog društva omogućava im fleksibilnost i brzo djelovanje kada su u pitanju ekonomski, politički, društveni i ostali aspekti koji se tiču razvoja društva te su na osnovu toga veoma važna skupina dionika u svim procesima. </w:t>
      </w:r>
    </w:p>
    <w:p w14:paraId="25749EBA" w14:textId="77777777" w:rsidR="008878A0" w:rsidRDefault="008878A0" w:rsidP="00941871">
      <w:pPr>
        <w:autoSpaceDE w:val="0"/>
        <w:autoSpaceDN w:val="0"/>
        <w:adjustRightInd w:val="0"/>
        <w:spacing w:after="0" w:line="240" w:lineRule="auto"/>
        <w:rPr>
          <w:rFonts w:eastAsia="ArialNarrow" w:cstheme="minorHAnsi"/>
          <w:sz w:val="20"/>
        </w:rPr>
      </w:pPr>
    </w:p>
    <w:p w14:paraId="05FA0291" w14:textId="3E95E548" w:rsidR="008878A0" w:rsidRDefault="008878A0" w:rsidP="003E3F3C">
      <w:pPr>
        <w:pStyle w:val="Opisslike"/>
      </w:pPr>
      <w:r>
        <w:t xml:space="preserve">Tablica </w:t>
      </w:r>
      <w:r w:rsidR="00CD512D">
        <w:rPr>
          <w:noProof/>
        </w:rPr>
        <w:t>4</w:t>
      </w:r>
      <w:r w:rsidR="00D51238">
        <w:rPr>
          <w:noProof/>
        </w:rPr>
        <w:t>8</w:t>
      </w:r>
      <w:r w:rsidR="0026418E">
        <w:t>.</w:t>
      </w:r>
      <w:r w:rsidR="00A5785A">
        <w:t xml:space="preserve"> </w:t>
      </w:r>
      <w:r>
        <w:t xml:space="preserve">Broj udruga i područje njihova djelovanja u Krapinsko-zagorskoj županiji </w:t>
      </w:r>
    </w:p>
    <w:tbl>
      <w:tblPr>
        <w:tblW w:w="0" w:type="auto"/>
        <w:jc w:val="center"/>
        <w:tblBorders>
          <w:insideH w:val="single" w:sz="8" w:space="0" w:color="F3CFC1"/>
        </w:tblBorders>
        <w:shd w:val="clear" w:color="auto" w:fill="D2232A"/>
        <w:tblLook w:val="04A0" w:firstRow="1" w:lastRow="0" w:firstColumn="1" w:lastColumn="0" w:noHBand="0" w:noVBand="1"/>
      </w:tblPr>
      <w:tblGrid>
        <w:gridCol w:w="2748"/>
        <w:gridCol w:w="1724"/>
      </w:tblGrid>
      <w:tr w:rsidR="008878A0" w:rsidRPr="000B2632" w14:paraId="25E74D5C" w14:textId="77777777" w:rsidTr="0026418E">
        <w:trPr>
          <w:trHeight w:val="283"/>
          <w:tblHeader/>
          <w:jc w:val="center"/>
        </w:trPr>
        <w:tc>
          <w:tcPr>
            <w:tcW w:w="0" w:type="auto"/>
            <w:tcBorders>
              <w:top w:val="nil"/>
            </w:tcBorders>
            <w:shd w:val="clear" w:color="auto" w:fill="D2232A"/>
            <w:vAlign w:val="center"/>
            <w:hideMark/>
          </w:tcPr>
          <w:p w14:paraId="54D97B69"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PODRUČJE DJELOVANJA</w:t>
            </w:r>
          </w:p>
        </w:tc>
        <w:tc>
          <w:tcPr>
            <w:tcW w:w="1724" w:type="dxa"/>
            <w:tcBorders>
              <w:top w:val="nil"/>
              <w:right w:val="single" w:sz="8" w:space="0" w:color="D2232A"/>
            </w:tcBorders>
            <w:shd w:val="clear" w:color="auto" w:fill="D2232A"/>
            <w:vAlign w:val="center"/>
            <w:hideMark/>
          </w:tcPr>
          <w:p w14:paraId="36604296" w14:textId="77777777" w:rsidR="008878A0" w:rsidRPr="000B2632" w:rsidRDefault="008878A0" w:rsidP="00091FDD">
            <w:pPr>
              <w:spacing w:after="0" w:line="240" w:lineRule="auto"/>
              <w:jc w:val="center"/>
              <w:rPr>
                <w:rFonts w:eastAsia="Times New Roman" w:cstheme="minorHAnsi"/>
                <w:color w:val="FFFFFF"/>
                <w:szCs w:val="18"/>
                <w:lang w:eastAsia="hr-HR"/>
              </w:rPr>
            </w:pPr>
            <w:r w:rsidRPr="000B2632">
              <w:rPr>
                <w:rFonts w:eastAsia="Times New Roman" w:cstheme="minorHAnsi"/>
                <w:color w:val="FFFFFF"/>
                <w:szCs w:val="18"/>
                <w:lang w:eastAsia="hr-HR"/>
              </w:rPr>
              <w:t>Broj udruga</w:t>
            </w:r>
          </w:p>
        </w:tc>
      </w:tr>
      <w:tr w:rsidR="008878A0" w:rsidRPr="000B2632" w14:paraId="2A1318A0" w14:textId="77777777" w:rsidTr="0026418E">
        <w:trPr>
          <w:trHeight w:val="283"/>
          <w:jc w:val="center"/>
        </w:trPr>
        <w:tc>
          <w:tcPr>
            <w:tcW w:w="0" w:type="auto"/>
            <w:shd w:val="clear" w:color="auto" w:fill="D2232A"/>
            <w:noWrap/>
            <w:vAlign w:val="center"/>
            <w:hideMark/>
          </w:tcPr>
          <w:p w14:paraId="358F863C"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Branitelji i stradalnici</w:t>
            </w:r>
          </w:p>
        </w:tc>
        <w:tc>
          <w:tcPr>
            <w:tcW w:w="1724" w:type="dxa"/>
            <w:tcBorders>
              <w:right w:val="single" w:sz="8" w:space="0" w:color="D2232A"/>
            </w:tcBorders>
            <w:shd w:val="clear" w:color="auto" w:fill="auto"/>
            <w:noWrap/>
            <w:vAlign w:val="center"/>
            <w:hideMark/>
          </w:tcPr>
          <w:p w14:paraId="5E1D6E08" w14:textId="31FA7EF8" w:rsidR="008878A0" w:rsidRPr="000B2632" w:rsidRDefault="002A42CB" w:rsidP="004F6BD6">
            <w:pPr>
              <w:spacing w:after="0" w:line="240" w:lineRule="auto"/>
              <w:jc w:val="center"/>
              <w:rPr>
                <w:rFonts w:eastAsia="Times New Roman" w:cstheme="minorHAnsi"/>
                <w:color w:val="000000"/>
                <w:szCs w:val="18"/>
                <w:lang w:eastAsia="hr-HR"/>
              </w:rPr>
            </w:pPr>
            <w:r>
              <w:rPr>
                <w:rFonts w:eastAsia="Times New Roman" w:cstheme="minorHAnsi"/>
                <w:color w:val="000000"/>
                <w:szCs w:val="18"/>
                <w:lang w:eastAsia="hr-HR"/>
              </w:rPr>
              <w:t>40</w:t>
            </w:r>
          </w:p>
        </w:tc>
      </w:tr>
      <w:tr w:rsidR="008878A0" w:rsidRPr="000B2632" w14:paraId="7D29FC89" w14:textId="77777777" w:rsidTr="00DF684A">
        <w:trPr>
          <w:trHeight w:val="283"/>
          <w:jc w:val="center"/>
        </w:trPr>
        <w:tc>
          <w:tcPr>
            <w:tcW w:w="0" w:type="auto"/>
            <w:tcBorders>
              <w:bottom w:val="single" w:sz="4" w:space="0" w:color="FFFFFF" w:themeColor="background1"/>
            </w:tcBorders>
            <w:shd w:val="clear" w:color="auto" w:fill="D2232A"/>
            <w:noWrap/>
            <w:vAlign w:val="center"/>
            <w:hideMark/>
          </w:tcPr>
          <w:p w14:paraId="39A4854C"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Demokratska politička kultura</w:t>
            </w:r>
          </w:p>
        </w:tc>
        <w:tc>
          <w:tcPr>
            <w:tcW w:w="1724" w:type="dxa"/>
            <w:tcBorders>
              <w:right w:val="single" w:sz="8" w:space="0" w:color="D2232A"/>
            </w:tcBorders>
            <w:shd w:val="clear" w:color="auto" w:fill="auto"/>
            <w:noWrap/>
            <w:vAlign w:val="center"/>
            <w:hideMark/>
          </w:tcPr>
          <w:p w14:paraId="779A7FE9" w14:textId="1A1AFE46" w:rsidR="008878A0" w:rsidRPr="000B2632" w:rsidRDefault="00D95CF3" w:rsidP="004F6BD6">
            <w:pPr>
              <w:spacing w:after="0" w:line="240" w:lineRule="auto"/>
              <w:jc w:val="center"/>
              <w:rPr>
                <w:rFonts w:eastAsia="Times New Roman" w:cstheme="minorHAnsi"/>
                <w:color w:val="000000"/>
                <w:szCs w:val="18"/>
                <w:lang w:eastAsia="hr-HR"/>
              </w:rPr>
            </w:pPr>
            <w:r>
              <w:rPr>
                <w:rFonts w:eastAsia="Times New Roman" w:cstheme="minorHAnsi"/>
                <w:color w:val="000000"/>
                <w:szCs w:val="18"/>
                <w:lang w:eastAsia="hr-HR"/>
              </w:rPr>
              <w:t>102</w:t>
            </w:r>
          </w:p>
        </w:tc>
      </w:tr>
      <w:tr w:rsidR="008878A0" w:rsidRPr="000B2632" w14:paraId="3ED289DF" w14:textId="77777777" w:rsidTr="00DF684A">
        <w:trPr>
          <w:trHeight w:val="283"/>
          <w:jc w:val="center"/>
        </w:trPr>
        <w:tc>
          <w:tcPr>
            <w:tcW w:w="0" w:type="auto"/>
            <w:tcBorders>
              <w:top w:val="single" w:sz="4" w:space="0" w:color="FFFFFF" w:themeColor="background1"/>
            </w:tcBorders>
            <w:shd w:val="clear" w:color="auto" w:fill="D2232A"/>
            <w:noWrap/>
            <w:vAlign w:val="center"/>
            <w:hideMark/>
          </w:tcPr>
          <w:p w14:paraId="4ECA0D61"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Duhovnost</w:t>
            </w:r>
          </w:p>
        </w:tc>
        <w:tc>
          <w:tcPr>
            <w:tcW w:w="1724" w:type="dxa"/>
            <w:tcBorders>
              <w:right w:val="single" w:sz="8" w:space="0" w:color="D2232A"/>
            </w:tcBorders>
            <w:shd w:val="clear" w:color="auto" w:fill="auto"/>
            <w:noWrap/>
            <w:vAlign w:val="center"/>
            <w:hideMark/>
          </w:tcPr>
          <w:p w14:paraId="38701496" w14:textId="5422A08E" w:rsidR="008878A0" w:rsidRPr="000B2632" w:rsidRDefault="008878A0"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2</w:t>
            </w:r>
            <w:r w:rsidR="00D95CF3">
              <w:rPr>
                <w:rFonts w:eastAsia="Times New Roman" w:cstheme="minorHAnsi"/>
                <w:color w:val="000000"/>
                <w:szCs w:val="18"/>
                <w:lang w:eastAsia="hr-HR"/>
              </w:rPr>
              <w:t>6</w:t>
            </w:r>
          </w:p>
        </w:tc>
      </w:tr>
      <w:tr w:rsidR="008878A0" w:rsidRPr="000B2632" w14:paraId="24D32621" w14:textId="77777777" w:rsidTr="0026418E">
        <w:trPr>
          <w:trHeight w:val="283"/>
          <w:jc w:val="center"/>
        </w:trPr>
        <w:tc>
          <w:tcPr>
            <w:tcW w:w="0" w:type="auto"/>
            <w:shd w:val="clear" w:color="auto" w:fill="D2232A"/>
            <w:noWrap/>
            <w:vAlign w:val="center"/>
            <w:hideMark/>
          </w:tcPr>
          <w:p w14:paraId="2DFFFF83"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Gospodarstvo</w:t>
            </w:r>
          </w:p>
        </w:tc>
        <w:tc>
          <w:tcPr>
            <w:tcW w:w="1724" w:type="dxa"/>
            <w:tcBorders>
              <w:right w:val="single" w:sz="8" w:space="0" w:color="D2232A"/>
            </w:tcBorders>
            <w:shd w:val="clear" w:color="auto" w:fill="auto"/>
            <w:noWrap/>
            <w:vAlign w:val="center"/>
            <w:hideMark/>
          </w:tcPr>
          <w:p w14:paraId="50FA13B7" w14:textId="0600CC8D" w:rsidR="008878A0" w:rsidRPr="000B2632" w:rsidRDefault="008878A0"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22</w:t>
            </w:r>
            <w:r w:rsidR="00D95CF3">
              <w:rPr>
                <w:rFonts w:eastAsia="Times New Roman" w:cstheme="minorHAnsi"/>
                <w:color w:val="000000"/>
                <w:szCs w:val="18"/>
                <w:lang w:eastAsia="hr-HR"/>
              </w:rPr>
              <w:t>5</w:t>
            </w:r>
          </w:p>
        </w:tc>
      </w:tr>
      <w:tr w:rsidR="008878A0" w:rsidRPr="000B2632" w14:paraId="7FAD1ABC" w14:textId="77777777" w:rsidTr="0026418E">
        <w:trPr>
          <w:trHeight w:val="283"/>
          <w:jc w:val="center"/>
        </w:trPr>
        <w:tc>
          <w:tcPr>
            <w:tcW w:w="0" w:type="auto"/>
            <w:tcBorders>
              <w:bottom w:val="single" w:sz="8" w:space="0" w:color="F3CFC1"/>
            </w:tcBorders>
            <w:shd w:val="clear" w:color="auto" w:fill="D2232A"/>
            <w:noWrap/>
            <w:vAlign w:val="center"/>
            <w:hideMark/>
          </w:tcPr>
          <w:p w14:paraId="536A80E0"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Hobistička djelatnost</w:t>
            </w:r>
          </w:p>
        </w:tc>
        <w:tc>
          <w:tcPr>
            <w:tcW w:w="1724" w:type="dxa"/>
            <w:tcBorders>
              <w:right w:val="single" w:sz="8" w:space="0" w:color="D2232A"/>
            </w:tcBorders>
            <w:shd w:val="clear" w:color="auto" w:fill="auto"/>
            <w:noWrap/>
            <w:vAlign w:val="center"/>
            <w:hideMark/>
          </w:tcPr>
          <w:p w14:paraId="37DEF6C1" w14:textId="7C5C9DC0" w:rsidR="008878A0" w:rsidRPr="000B2632" w:rsidRDefault="008878A0"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2</w:t>
            </w:r>
            <w:r w:rsidR="00D95CF3">
              <w:rPr>
                <w:rFonts w:eastAsia="Times New Roman" w:cstheme="minorHAnsi"/>
                <w:color w:val="000000"/>
                <w:szCs w:val="18"/>
                <w:lang w:eastAsia="hr-HR"/>
              </w:rPr>
              <w:t>6</w:t>
            </w:r>
          </w:p>
        </w:tc>
      </w:tr>
      <w:tr w:rsidR="008878A0" w:rsidRPr="000B2632" w14:paraId="1519E64D" w14:textId="77777777" w:rsidTr="0026418E">
        <w:trPr>
          <w:trHeight w:val="283"/>
          <w:jc w:val="center"/>
        </w:trPr>
        <w:tc>
          <w:tcPr>
            <w:tcW w:w="0" w:type="auto"/>
            <w:tcBorders>
              <w:top w:val="single" w:sz="8" w:space="0" w:color="F3CFC1"/>
            </w:tcBorders>
            <w:shd w:val="clear" w:color="auto" w:fill="D2232A"/>
            <w:noWrap/>
            <w:vAlign w:val="center"/>
            <w:hideMark/>
          </w:tcPr>
          <w:p w14:paraId="2EE78939"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Kultura i umjetnost</w:t>
            </w:r>
          </w:p>
        </w:tc>
        <w:tc>
          <w:tcPr>
            <w:tcW w:w="1724" w:type="dxa"/>
            <w:tcBorders>
              <w:right w:val="single" w:sz="8" w:space="0" w:color="D2232A"/>
            </w:tcBorders>
            <w:shd w:val="clear" w:color="auto" w:fill="auto"/>
            <w:noWrap/>
            <w:vAlign w:val="center"/>
            <w:hideMark/>
          </w:tcPr>
          <w:p w14:paraId="03880AFB" w14:textId="5167D8FA" w:rsidR="008878A0" w:rsidRPr="000B2632" w:rsidRDefault="00502563"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31</w:t>
            </w:r>
            <w:r w:rsidR="00D95CF3">
              <w:rPr>
                <w:rFonts w:eastAsia="Times New Roman" w:cstheme="minorHAnsi"/>
                <w:color w:val="000000"/>
                <w:szCs w:val="18"/>
                <w:lang w:eastAsia="hr-HR"/>
              </w:rPr>
              <w:t>8</w:t>
            </w:r>
          </w:p>
        </w:tc>
      </w:tr>
      <w:tr w:rsidR="008878A0" w:rsidRPr="000B2632" w14:paraId="525E4F72" w14:textId="77777777" w:rsidTr="0026418E">
        <w:trPr>
          <w:trHeight w:val="283"/>
          <w:jc w:val="center"/>
        </w:trPr>
        <w:tc>
          <w:tcPr>
            <w:tcW w:w="0" w:type="auto"/>
            <w:shd w:val="clear" w:color="auto" w:fill="D2232A"/>
            <w:noWrap/>
            <w:vAlign w:val="center"/>
            <w:hideMark/>
          </w:tcPr>
          <w:p w14:paraId="1DA4C468"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Ljudska prava</w:t>
            </w:r>
          </w:p>
        </w:tc>
        <w:tc>
          <w:tcPr>
            <w:tcW w:w="1724" w:type="dxa"/>
            <w:tcBorders>
              <w:right w:val="single" w:sz="8" w:space="0" w:color="D2232A"/>
            </w:tcBorders>
            <w:shd w:val="clear" w:color="auto" w:fill="auto"/>
            <w:noWrap/>
            <w:vAlign w:val="center"/>
            <w:hideMark/>
          </w:tcPr>
          <w:p w14:paraId="550F989B" w14:textId="32AF5D29" w:rsidR="008878A0" w:rsidRPr="000B2632" w:rsidRDefault="00502563"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10</w:t>
            </w:r>
            <w:r w:rsidR="00D95CF3">
              <w:rPr>
                <w:rFonts w:eastAsia="Times New Roman" w:cstheme="minorHAnsi"/>
                <w:color w:val="000000"/>
                <w:szCs w:val="18"/>
                <w:lang w:eastAsia="hr-HR"/>
              </w:rPr>
              <w:t>9</w:t>
            </w:r>
          </w:p>
        </w:tc>
      </w:tr>
      <w:tr w:rsidR="008878A0" w:rsidRPr="000B2632" w14:paraId="39F23144" w14:textId="77777777" w:rsidTr="0026418E">
        <w:trPr>
          <w:trHeight w:val="283"/>
          <w:jc w:val="center"/>
        </w:trPr>
        <w:tc>
          <w:tcPr>
            <w:tcW w:w="0" w:type="auto"/>
            <w:shd w:val="clear" w:color="auto" w:fill="D2232A"/>
            <w:noWrap/>
            <w:vAlign w:val="center"/>
            <w:hideMark/>
          </w:tcPr>
          <w:p w14:paraId="071A99CA"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lastRenderedPageBreak/>
              <w:t>Međunarodna suradnja</w:t>
            </w:r>
          </w:p>
        </w:tc>
        <w:tc>
          <w:tcPr>
            <w:tcW w:w="1724" w:type="dxa"/>
            <w:tcBorders>
              <w:right w:val="single" w:sz="8" w:space="0" w:color="D2232A"/>
            </w:tcBorders>
            <w:shd w:val="clear" w:color="auto" w:fill="auto"/>
            <w:noWrap/>
            <w:vAlign w:val="center"/>
          </w:tcPr>
          <w:p w14:paraId="228A97E7" w14:textId="67D1B7D7" w:rsidR="008878A0" w:rsidRPr="000B2632" w:rsidRDefault="00502563"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11</w:t>
            </w:r>
            <w:r w:rsidR="00D95CF3">
              <w:rPr>
                <w:rFonts w:eastAsia="Times New Roman" w:cstheme="minorHAnsi"/>
                <w:color w:val="000000"/>
                <w:szCs w:val="18"/>
                <w:lang w:eastAsia="hr-HR"/>
              </w:rPr>
              <w:t>9</w:t>
            </w:r>
          </w:p>
        </w:tc>
      </w:tr>
      <w:tr w:rsidR="008878A0" w:rsidRPr="000B2632" w14:paraId="54365EC0" w14:textId="77777777" w:rsidTr="0026418E">
        <w:trPr>
          <w:trHeight w:val="283"/>
          <w:jc w:val="center"/>
        </w:trPr>
        <w:tc>
          <w:tcPr>
            <w:tcW w:w="0" w:type="auto"/>
            <w:shd w:val="clear" w:color="auto" w:fill="D2232A"/>
            <w:noWrap/>
            <w:vAlign w:val="center"/>
            <w:hideMark/>
          </w:tcPr>
          <w:p w14:paraId="1B58C7F6"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Nomenklatura sportova</w:t>
            </w:r>
          </w:p>
        </w:tc>
        <w:tc>
          <w:tcPr>
            <w:tcW w:w="1724" w:type="dxa"/>
            <w:tcBorders>
              <w:right w:val="single" w:sz="8" w:space="0" w:color="D2232A"/>
            </w:tcBorders>
            <w:shd w:val="clear" w:color="auto" w:fill="auto"/>
            <w:noWrap/>
            <w:vAlign w:val="center"/>
          </w:tcPr>
          <w:p w14:paraId="37FBDC12" w14:textId="0DD0FAF5" w:rsidR="008878A0" w:rsidRPr="000B2632" w:rsidRDefault="00502563"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20</w:t>
            </w:r>
            <w:r w:rsidR="00D95CF3">
              <w:rPr>
                <w:rFonts w:eastAsia="Times New Roman" w:cstheme="minorHAnsi"/>
                <w:color w:val="000000"/>
                <w:szCs w:val="18"/>
                <w:lang w:eastAsia="hr-HR"/>
              </w:rPr>
              <w:t>5</w:t>
            </w:r>
          </w:p>
        </w:tc>
      </w:tr>
      <w:tr w:rsidR="008878A0" w:rsidRPr="000B2632" w14:paraId="65493826" w14:textId="77777777" w:rsidTr="0026418E">
        <w:trPr>
          <w:trHeight w:val="283"/>
          <w:jc w:val="center"/>
        </w:trPr>
        <w:tc>
          <w:tcPr>
            <w:tcW w:w="0" w:type="auto"/>
            <w:shd w:val="clear" w:color="auto" w:fill="D2232A"/>
            <w:noWrap/>
            <w:vAlign w:val="center"/>
            <w:hideMark/>
          </w:tcPr>
          <w:p w14:paraId="44DDDF24"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Obrazovanje, znanost i istraživanje</w:t>
            </w:r>
          </w:p>
        </w:tc>
        <w:tc>
          <w:tcPr>
            <w:tcW w:w="1724" w:type="dxa"/>
            <w:tcBorders>
              <w:right w:val="single" w:sz="8" w:space="0" w:color="D2232A"/>
            </w:tcBorders>
            <w:shd w:val="clear" w:color="auto" w:fill="auto"/>
            <w:noWrap/>
            <w:vAlign w:val="center"/>
          </w:tcPr>
          <w:p w14:paraId="0EC6376E" w14:textId="7A8EBFAE" w:rsidR="008878A0" w:rsidRPr="000B2632" w:rsidRDefault="00502563"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12</w:t>
            </w:r>
            <w:r w:rsidR="00D95CF3">
              <w:rPr>
                <w:rFonts w:eastAsia="Times New Roman" w:cstheme="minorHAnsi"/>
                <w:color w:val="000000"/>
                <w:szCs w:val="18"/>
                <w:lang w:eastAsia="hr-HR"/>
              </w:rPr>
              <w:t>7</w:t>
            </w:r>
          </w:p>
        </w:tc>
      </w:tr>
      <w:tr w:rsidR="008878A0" w:rsidRPr="000B2632" w14:paraId="0F9FE4E6" w14:textId="77777777" w:rsidTr="0026418E">
        <w:trPr>
          <w:trHeight w:val="283"/>
          <w:jc w:val="center"/>
        </w:trPr>
        <w:tc>
          <w:tcPr>
            <w:tcW w:w="0" w:type="auto"/>
            <w:shd w:val="clear" w:color="auto" w:fill="D2232A"/>
            <w:noWrap/>
            <w:vAlign w:val="center"/>
            <w:hideMark/>
          </w:tcPr>
          <w:p w14:paraId="44FBE4B1"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Održivi razvoj</w:t>
            </w:r>
          </w:p>
        </w:tc>
        <w:tc>
          <w:tcPr>
            <w:tcW w:w="1724" w:type="dxa"/>
            <w:tcBorders>
              <w:right w:val="single" w:sz="8" w:space="0" w:color="D2232A"/>
            </w:tcBorders>
            <w:shd w:val="clear" w:color="auto" w:fill="auto"/>
            <w:noWrap/>
            <w:vAlign w:val="center"/>
          </w:tcPr>
          <w:p w14:paraId="0E8140CE" w14:textId="601E35F2" w:rsidR="008878A0" w:rsidRPr="000B2632" w:rsidRDefault="00502563"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6</w:t>
            </w:r>
            <w:r w:rsidR="00D95CF3">
              <w:rPr>
                <w:rFonts w:eastAsia="Times New Roman" w:cstheme="minorHAnsi"/>
                <w:color w:val="000000"/>
                <w:szCs w:val="18"/>
                <w:lang w:eastAsia="hr-HR"/>
              </w:rPr>
              <w:t>5</w:t>
            </w:r>
          </w:p>
        </w:tc>
      </w:tr>
      <w:tr w:rsidR="008878A0" w:rsidRPr="000B2632" w14:paraId="4A788973" w14:textId="77777777" w:rsidTr="0026418E">
        <w:trPr>
          <w:trHeight w:val="283"/>
          <w:jc w:val="center"/>
        </w:trPr>
        <w:tc>
          <w:tcPr>
            <w:tcW w:w="0" w:type="auto"/>
            <w:shd w:val="clear" w:color="auto" w:fill="D2232A"/>
            <w:noWrap/>
            <w:vAlign w:val="center"/>
            <w:hideMark/>
          </w:tcPr>
          <w:p w14:paraId="041CF8AA"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Ostala područja djelovanja</w:t>
            </w:r>
          </w:p>
        </w:tc>
        <w:tc>
          <w:tcPr>
            <w:tcW w:w="1724" w:type="dxa"/>
            <w:tcBorders>
              <w:right w:val="single" w:sz="8" w:space="0" w:color="D2232A"/>
            </w:tcBorders>
            <w:shd w:val="clear" w:color="auto" w:fill="auto"/>
            <w:noWrap/>
            <w:vAlign w:val="center"/>
          </w:tcPr>
          <w:p w14:paraId="667C5292" w14:textId="32C54589" w:rsidR="008878A0" w:rsidRPr="000B2632" w:rsidRDefault="00502563"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1</w:t>
            </w:r>
            <w:r w:rsidR="002454AC">
              <w:rPr>
                <w:rFonts w:eastAsia="Times New Roman" w:cstheme="minorHAnsi"/>
                <w:color w:val="000000"/>
                <w:szCs w:val="18"/>
                <w:lang w:eastAsia="hr-HR"/>
              </w:rPr>
              <w:t>1</w:t>
            </w:r>
          </w:p>
        </w:tc>
      </w:tr>
      <w:tr w:rsidR="008878A0" w:rsidRPr="000B2632" w14:paraId="4CF9B85D" w14:textId="77777777" w:rsidTr="0026418E">
        <w:trPr>
          <w:trHeight w:val="283"/>
          <w:jc w:val="center"/>
        </w:trPr>
        <w:tc>
          <w:tcPr>
            <w:tcW w:w="0" w:type="auto"/>
            <w:shd w:val="clear" w:color="auto" w:fill="D2232A"/>
            <w:noWrap/>
            <w:vAlign w:val="center"/>
            <w:hideMark/>
          </w:tcPr>
          <w:p w14:paraId="0D3DD586"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Socijalna djelatnost</w:t>
            </w:r>
          </w:p>
        </w:tc>
        <w:tc>
          <w:tcPr>
            <w:tcW w:w="1724" w:type="dxa"/>
            <w:tcBorders>
              <w:right w:val="single" w:sz="8" w:space="0" w:color="D2232A"/>
            </w:tcBorders>
            <w:shd w:val="clear" w:color="auto" w:fill="auto"/>
            <w:noWrap/>
            <w:vAlign w:val="center"/>
          </w:tcPr>
          <w:p w14:paraId="183539DE" w14:textId="66451EEE" w:rsidR="008878A0" w:rsidRPr="000B2632" w:rsidRDefault="00502563"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17</w:t>
            </w:r>
            <w:r w:rsidR="002454AC">
              <w:rPr>
                <w:rFonts w:eastAsia="Times New Roman" w:cstheme="minorHAnsi"/>
                <w:color w:val="000000"/>
                <w:szCs w:val="18"/>
                <w:lang w:eastAsia="hr-HR"/>
              </w:rPr>
              <w:t>9</w:t>
            </w:r>
          </w:p>
        </w:tc>
      </w:tr>
      <w:tr w:rsidR="008878A0" w:rsidRPr="000B2632" w14:paraId="06659BA5" w14:textId="77777777" w:rsidTr="0026418E">
        <w:trPr>
          <w:trHeight w:val="283"/>
          <w:jc w:val="center"/>
        </w:trPr>
        <w:tc>
          <w:tcPr>
            <w:tcW w:w="0" w:type="auto"/>
            <w:shd w:val="clear" w:color="auto" w:fill="D2232A"/>
            <w:noWrap/>
            <w:vAlign w:val="center"/>
            <w:hideMark/>
          </w:tcPr>
          <w:p w14:paraId="2322A2E6" w14:textId="77777777" w:rsidR="008878A0" w:rsidRPr="000B2632" w:rsidRDefault="008878A0" w:rsidP="00941871">
            <w:pPr>
              <w:spacing w:after="0" w:line="240" w:lineRule="auto"/>
              <w:rPr>
                <w:rFonts w:eastAsia="Times New Roman" w:cstheme="minorHAnsi"/>
                <w:color w:val="FFFFFF"/>
                <w:szCs w:val="18"/>
                <w:lang w:eastAsia="hr-HR"/>
              </w:rPr>
            </w:pPr>
            <w:r w:rsidRPr="000B2632">
              <w:rPr>
                <w:rFonts w:eastAsia="Times New Roman" w:cstheme="minorHAnsi"/>
                <w:color w:val="FFFFFF"/>
                <w:szCs w:val="18"/>
                <w:lang w:eastAsia="hr-HR"/>
              </w:rPr>
              <w:t>Sport</w:t>
            </w:r>
          </w:p>
        </w:tc>
        <w:tc>
          <w:tcPr>
            <w:tcW w:w="1724" w:type="dxa"/>
            <w:tcBorders>
              <w:right w:val="single" w:sz="8" w:space="0" w:color="D2232A"/>
            </w:tcBorders>
            <w:shd w:val="clear" w:color="auto" w:fill="auto"/>
            <w:noWrap/>
            <w:vAlign w:val="center"/>
          </w:tcPr>
          <w:p w14:paraId="02D0269A" w14:textId="65841497" w:rsidR="008878A0" w:rsidRPr="000B2632" w:rsidRDefault="00502563" w:rsidP="004F6BD6">
            <w:pPr>
              <w:spacing w:after="0" w:line="240" w:lineRule="auto"/>
              <w:jc w:val="center"/>
              <w:rPr>
                <w:rFonts w:eastAsia="Times New Roman" w:cstheme="minorHAnsi"/>
                <w:color w:val="000000"/>
                <w:szCs w:val="18"/>
                <w:lang w:eastAsia="hr-HR"/>
              </w:rPr>
            </w:pPr>
            <w:r w:rsidRPr="000B2632">
              <w:rPr>
                <w:rFonts w:eastAsia="Times New Roman" w:cstheme="minorHAnsi"/>
                <w:color w:val="000000"/>
                <w:szCs w:val="18"/>
                <w:lang w:eastAsia="hr-HR"/>
              </w:rPr>
              <w:t>40</w:t>
            </w:r>
            <w:r w:rsidR="002454AC">
              <w:rPr>
                <w:rFonts w:eastAsia="Times New Roman" w:cstheme="minorHAnsi"/>
                <w:color w:val="000000"/>
                <w:szCs w:val="18"/>
                <w:lang w:eastAsia="hr-HR"/>
              </w:rPr>
              <w:t>9</w:t>
            </w:r>
          </w:p>
        </w:tc>
      </w:tr>
      <w:tr w:rsidR="008878A0" w:rsidRPr="000B2632" w14:paraId="2019A3DB" w14:textId="77777777" w:rsidTr="0026418E">
        <w:trPr>
          <w:trHeight w:val="283"/>
          <w:jc w:val="center"/>
        </w:trPr>
        <w:tc>
          <w:tcPr>
            <w:tcW w:w="0" w:type="auto"/>
            <w:tcBorders>
              <w:bottom w:val="nil"/>
            </w:tcBorders>
            <w:shd w:val="clear" w:color="auto" w:fill="E5E5E5" w:themeFill="text1" w:themeFillTint="33"/>
            <w:noWrap/>
            <w:vAlign w:val="center"/>
            <w:hideMark/>
          </w:tcPr>
          <w:p w14:paraId="0310B72E" w14:textId="2FAF8DE1" w:rsidR="008878A0" w:rsidRPr="000B2632" w:rsidRDefault="008878A0" w:rsidP="002454AC">
            <w:pPr>
              <w:spacing w:after="0" w:line="240" w:lineRule="auto"/>
              <w:jc w:val="left"/>
              <w:rPr>
                <w:rFonts w:eastAsia="Times New Roman" w:cstheme="minorHAnsi"/>
                <w:szCs w:val="18"/>
                <w:lang w:eastAsia="hr-HR"/>
              </w:rPr>
            </w:pPr>
            <w:r w:rsidRPr="000B2632">
              <w:rPr>
                <w:rFonts w:eastAsia="Times New Roman" w:cstheme="minorHAnsi"/>
                <w:szCs w:val="18"/>
                <w:lang w:eastAsia="hr-HR"/>
              </w:rPr>
              <w:t>UKUPNO</w:t>
            </w:r>
            <w:r w:rsidR="002454AC">
              <w:rPr>
                <w:rFonts w:eastAsia="Times New Roman" w:cstheme="minorHAnsi"/>
                <w:szCs w:val="18"/>
                <w:lang w:eastAsia="hr-HR"/>
              </w:rPr>
              <w:t xml:space="preserve"> AKTIVNIH UDRUGA</w:t>
            </w:r>
          </w:p>
        </w:tc>
        <w:tc>
          <w:tcPr>
            <w:tcW w:w="1724" w:type="dxa"/>
            <w:tcBorders>
              <w:bottom w:val="nil"/>
              <w:right w:val="single" w:sz="8" w:space="0" w:color="D2232A"/>
            </w:tcBorders>
            <w:shd w:val="clear" w:color="auto" w:fill="E5E5E5" w:themeFill="text1" w:themeFillTint="33"/>
            <w:noWrap/>
            <w:vAlign w:val="center"/>
            <w:hideMark/>
          </w:tcPr>
          <w:p w14:paraId="33500697" w14:textId="4BC2C74F" w:rsidR="008878A0" w:rsidRPr="000B2632" w:rsidRDefault="00502563" w:rsidP="004F6BD6">
            <w:pPr>
              <w:spacing w:after="0" w:line="240" w:lineRule="auto"/>
              <w:jc w:val="center"/>
              <w:rPr>
                <w:rFonts w:eastAsia="Times New Roman" w:cstheme="minorHAnsi"/>
                <w:szCs w:val="18"/>
                <w:lang w:eastAsia="hr-HR"/>
              </w:rPr>
            </w:pPr>
            <w:r w:rsidRPr="000B2632">
              <w:rPr>
                <w:rFonts w:eastAsia="Times New Roman" w:cstheme="minorHAnsi"/>
                <w:szCs w:val="18"/>
                <w:lang w:eastAsia="hr-HR"/>
              </w:rPr>
              <w:t>1.</w:t>
            </w:r>
            <w:r w:rsidR="002454AC">
              <w:rPr>
                <w:rFonts w:eastAsia="Times New Roman" w:cstheme="minorHAnsi"/>
                <w:szCs w:val="18"/>
                <w:lang w:eastAsia="hr-HR"/>
              </w:rPr>
              <w:t>184</w:t>
            </w:r>
          </w:p>
        </w:tc>
      </w:tr>
    </w:tbl>
    <w:p w14:paraId="7F3FC3BA" w14:textId="395A4396" w:rsidR="008878A0" w:rsidRPr="003D517E" w:rsidRDefault="008878A0" w:rsidP="003C2276">
      <w:pPr>
        <w:pStyle w:val="Izvor"/>
        <w:rPr>
          <w:i/>
          <w:color w:val="ABABAB" w:themeColor="text1" w:themeTint="A6"/>
          <w:sz w:val="16"/>
          <w:szCs w:val="16"/>
        </w:rPr>
      </w:pPr>
      <w:r w:rsidRPr="003D517E">
        <w:rPr>
          <w:i/>
          <w:color w:val="ABABAB" w:themeColor="text1" w:themeTint="A6"/>
          <w:sz w:val="16"/>
          <w:szCs w:val="16"/>
        </w:rPr>
        <w:t>Izvor: Registar udruga Republike Hrvatske 20</w:t>
      </w:r>
      <w:r w:rsidR="002A42CB">
        <w:rPr>
          <w:i/>
          <w:color w:val="ABABAB" w:themeColor="text1" w:themeTint="A6"/>
          <w:sz w:val="16"/>
          <w:szCs w:val="16"/>
        </w:rPr>
        <w:t>21</w:t>
      </w:r>
      <w:r w:rsidRPr="003D517E">
        <w:rPr>
          <w:i/>
          <w:color w:val="ABABAB" w:themeColor="text1" w:themeTint="A6"/>
          <w:sz w:val="16"/>
          <w:szCs w:val="16"/>
        </w:rPr>
        <w:t>., pristup bazi</w:t>
      </w:r>
      <w:r w:rsidR="00502563" w:rsidRPr="003D517E">
        <w:rPr>
          <w:i/>
          <w:color w:val="ABABAB" w:themeColor="text1" w:themeTint="A6"/>
          <w:sz w:val="16"/>
          <w:szCs w:val="16"/>
        </w:rPr>
        <w:t xml:space="preserve"> 2</w:t>
      </w:r>
      <w:r w:rsidRPr="003D517E">
        <w:rPr>
          <w:i/>
          <w:color w:val="ABABAB" w:themeColor="text1" w:themeTint="A6"/>
          <w:sz w:val="16"/>
          <w:szCs w:val="16"/>
        </w:rPr>
        <w:t>/20</w:t>
      </w:r>
      <w:r w:rsidR="00850517">
        <w:rPr>
          <w:i/>
          <w:color w:val="ABABAB" w:themeColor="text1" w:themeTint="A6"/>
          <w:sz w:val="16"/>
          <w:szCs w:val="16"/>
        </w:rPr>
        <w:t>21</w:t>
      </w:r>
    </w:p>
    <w:p w14:paraId="1CB595E0" w14:textId="77777777" w:rsidR="00007563" w:rsidRDefault="00007563" w:rsidP="00855D8D">
      <w:pPr>
        <w:pStyle w:val="Izvor"/>
      </w:pPr>
    </w:p>
    <w:p w14:paraId="3BB78E2E" w14:textId="76961878" w:rsidR="008878A0" w:rsidRPr="003F7FF1" w:rsidRDefault="008878A0" w:rsidP="003F7FF1">
      <w:r w:rsidRPr="003F7FF1">
        <w:t>Savjet za razvoj civilnoga društva Krapinsko-zagorske županije savjetodavno je tijelo Županijske skupštine osnovan</w:t>
      </w:r>
      <w:r w:rsidR="00E96FBB" w:rsidRPr="003F7FF1">
        <w:t>o</w:t>
      </w:r>
      <w:r w:rsidRPr="003F7FF1">
        <w:t xml:space="preserve"> 2015. godine. Savjet djeluje kroz suradnju izabranih predstavnika organizacija civilnog društva s područja županije s predstavnicima regionalne samouprave te ustanovama kojima je osnivač sama Županija. Ciljevi djelovanja organizacija civilnog društva mogu se sažeti u aktivnosti koje su usmjerene na sudjelovanje u praćenju i kreiranju politika koje se odnose na organizacije civilnog društva, davanje mišljenja o pitanjima koja se tiču civilnog društva, razvoj međusektorske suradnje, dobrotvornog rada i drugih aktivnosti vezanih uz razvoj civilnog društva. </w:t>
      </w:r>
      <w:bookmarkStart w:id="108" w:name="_Hlk66712740"/>
      <w:r w:rsidRPr="003F7FF1">
        <w:t xml:space="preserve">Najčešći problemi s kojima se organizacije civilnog društva susreću u svom svakodnevnom radu su nedostatnost prostora za djelovanje, nedostatnost financijskih i ostalih materijalnih sredstava, nedovoljan broj te ponekad i nedovoljna stručnost kadra koji je zadužen za </w:t>
      </w:r>
      <w:r w:rsidR="00D43C31" w:rsidRPr="003F7FF1">
        <w:t xml:space="preserve">prijavu </w:t>
      </w:r>
      <w:r w:rsidRPr="003F7FF1">
        <w:t>i provođenje projekta iz domene djelovanja. Kako bi se osigurao što kvalitetniji rad organizacija radi se na intenziviranju međusektorske suradnje. Na taj način organizacijama civilnog društva omogućeno je povezivanje i suradnja koja rezultira podizanjem sveopće kvalitete rada. Organizacije civilnog društva najčešće se povezuju putem partnerskog vijeća za tržište rada te putem lokalnih akcijskih grupa</w:t>
      </w:r>
      <w:bookmarkEnd w:id="108"/>
      <w:r w:rsidRPr="003F7FF1">
        <w:t>. Intenziviranje suradnje među organizacijama je neupitn</w:t>
      </w:r>
      <w:r w:rsidR="00D43C31" w:rsidRPr="003F7FF1">
        <w:t>o</w:t>
      </w:r>
      <w:r w:rsidR="00A5785A" w:rsidRPr="003F7FF1">
        <w:t>,</w:t>
      </w:r>
      <w:r w:rsidRPr="003F7FF1">
        <w:t xml:space="preserve"> ali daljnji rad na podizanju svijesti o potrebi suradnje se očekuje kako bi se ostvarivali bolji rezultati prilikom pisanja pr</w:t>
      </w:r>
      <w:r w:rsidR="00E96FBB" w:rsidRPr="003F7FF1">
        <w:t>ojektnih prijava prvenstveno onih</w:t>
      </w:r>
      <w:r w:rsidRPr="003F7FF1">
        <w:t xml:space="preserve"> kojima se omogućava multipliciranje učinaka ukoliko se povlače sredstva iz fondova Europske Unije. Financijska nestabilnost organizacija civilnog društva prvenstveno proizla</w:t>
      </w:r>
      <w:r w:rsidR="00E96FBB" w:rsidRPr="003F7FF1">
        <w:t>zi iz nedostatne podrške kako</w:t>
      </w:r>
      <w:r w:rsidRPr="003F7FF1">
        <w:t xml:space="preserve"> </w:t>
      </w:r>
      <w:r w:rsidR="00D43C31" w:rsidRPr="003F7FF1">
        <w:t xml:space="preserve">na </w:t>
      </w:r>
      <w:r w:rsidRPr="003F7FF1">
        <w:t>lokaln</w:t>
      </w:r>
      <w:r w:rsidR="00D43C31" w:rsidRPr="003F7FF1">
        <w:t>oj</w:t>
      </w:r>
      <w:r w:rsidRPr="003F7FF1">
        <w:t xml:space="preserve"> tako i </w:t>
      </w:r>
      <w:r w:rsidR="00D43C31" w:rsidRPr="003F7FF1">
        <w:t>na</w:t>
      </w:r>
      <w:r w:rsidRPr="003F7FF1">
        <w:t xml:space="preserve"> nacionaln</w:t>
      </w:r>
      <w:r w:rsidR="00D43C31" w:rsidRPr="003F7FF1">
        <w:t>oj</w:t>
      </w:r>
      <w:r w:rsidRPr="003F7FF1">
        <w:t xml:space="preserve"> razin</w:t>
      </w:r>
      <w:r w:rsidR="00D43C31" w:rsidRPr="003F7FF1">
        <w:t>i</w:t>
      </w:r>
      <w:r w:rsidRPr="003F7FF1">
        <w:t>.</w:t>
      </w:r>
    </w:p>
    <w:p w14:paraId="2B900EE3" w14:textId="5D048B66" w:rsidR="008961B6" w:rsidRPr="003F7FF1" w:rsidRDefault="008878A0" w:rsidP="003F7FF1">
      <w:r w:rsidRPr="003F7FF1">
        <w:t xml:space="preserve">Društveno odnosno socijalno poduzetništvo </w:t>
      </w:r>
      <w:r w:rsidR="00D43C31" w:rsidRPr="003F7FF1">
        <w:t>sve je češći</w:t>
      </w:r>
      <w:r w:rsidRPr="003F7FF1">
        <w:t xml:space="preserve"> oblik ekonomskog djelovanja te je zamjetan rast broja društvenih poduzetnika koj</w:t>
      </w:r>
      <w:r w:rsidR="00D43C31" w:rsidRPr="003F7FF1">
        <w:t xml:space="preserve">e </w:t>
      </w:r>
      <w:r w:rsidRPr="003F7FF1">
        <w:t>su osnova</w:t>
      </w:r>
      <w:r w:rsidR="00D43C31" w:rsidRPr="003F7FF1">
        <w:t>le</w:t>
      </w:r>
      <w:r w:rsidRPr="003F7FF1">
        <w:t xml:space="preserve"> organizacij</w:t>
      </w:r>
      <w:r w:rsidR="00D43C31" w:rsidRPr="003F7FF1">
        <w:t>e</w:t>
      </w:r>
      <w:r w:rsidRPr="003F7FF1">
        <w:t xml:space="preserve"> civilnog društva. Kako bi se doprinijelo društveno-ekonomskom razvoju potrebno je pružiti svu moguću podršku organizacijama civilnog društva koje se odluče na osnivanje poslovnih subjekata iz domene društvenog poduzetništva.</w:t>
      </w:r>
      <w:r w:rsidR="00AA1390" w:rsidRPr="003F7FF1">
        <w:t xml:space="preserve"> Važnosti društvenog poduzetništva posvećena je pažnja i prilikom izrade nove Strategije razvoja ljudskih potencijala Krapinsko-zagorske županije za razdoblje 20</w:t>
      </w:r>
      <w:r w:rsidR="00D23615">
        <w:t>21</w:t>
      </w:r>
      <w:r w:rsidR="00AA1390" w:rsidRPr="003F7FF1">
        <w:t>.-20</w:t>
      </w:r>
      <w:r w:rsidR="00D23615">
        <w:t>27</w:t>
      </w:r>
      <w:r w:rsidR="00AA1390" w:rsidRPr="003F7FF1">
        <w:t xml:space="preserve">. godine te je kreirana mjera 1.5. ''Promicati i poticati razvoj društvenog poduzetništva'' kojom se želi pridonijeti širenju koncepta te potaknuti ciljane skupine na takav oblik poslovanja. </w:t>
      </w:r>
      <w:r w:rsidRPr="003F7FF1">
        <w:t>Organizacije civilnog društva na području Krapinsko-zagorske županije za s</w:t>
      </w:r>
      <w:r w:rsidR="00A03B00" w:rsidRPr="003F7FF1">
        <w:t>obom</w:t>
      </w:r>
      <w:r w:rsidRPr="003F7FF1">
        <w:t xml:space="preserve"> imaju dosta projek</w:t>
      </w:r>
      <w:r w:rsidR="00A03B00" w:rsidRPr="003F7FF1">
        <w:t>a</w:t>
      </w:r>
      <w:r w:rsidRPr="003F7FF1">
        <w:t xml:space="preserve">ta i provedenih programa iz područja socijalnih inovacija ili usluga. </w:t>
      </w:r>
      <w:r w:rsidR="00D43C31" w:rsidRPr="003F7FF1">
        <w:t xml:space="preserve">Manji </w:t>
      </w:r>
      <w:r w:rsidRPr="003F7FF1">
        <w:t>broj organiza</w:t>
      </w:r>
      <w:r w:rsidR="00A03B00" w:rsidRPr="003F7FF1">
        <w:t>cija civilnog društva</w:t>
      </w:r>
      <w:r w:rsidRPr="003F7FF1">
        <w:t xml:space="preserve"> bavi </w:t>
      </w:r>
      <w:r w:rsidR="00A03B00" w:rsidRPr="003F7FF1">
        <w:t xml:space="preserve">se </w:t>
      </w:r>
      <w:r w:rsidRPr="003F7FF1">
        <w:t>i društvenim poduzetništvom</w:t>
      </w:r>
      <w:r w:rsidR="00AA1390" w:rsidRPr="003F7FF1">
        <w:t>,</w:t>
      </w:r>
      <w:r w:rsidRPr="003F7FF1">
        <w:t xml:space="preserve"> ali kroz obavljanje u tom smislu dopuštenih gospodarskih djelatnosti. Uspostava socijalnih zadruga odnosno pokretanje društvenog poduzetništva mjera je kojom se razvijaju dobra i usluge kojima će se unaprijediti lepeza rješenja za socijalne probleme. Osnivanjem socijalnih zadruga povećavaju se poduzetničke aktivnosti kojima se širi društveno djelovanje putem stvaranja dobara i usluga čiji će posredni</w:t>
      </w:r>
      <w:r w:rsidR="00AA1390" w:rsidRPr="003F7FF1">
        <w:t>,</w:t>
      </w:r>
      <w:r w:rsidRPr="003F7FF1">
        <w:t xml:space="preserve"> a ponekad i multiplikacijski učinci utjecati na rješavanje određenih društvenih problema kao što su negativni trendovi na tržištu rada te posebno </w:t>
      </w:r>
      <w:r w:rsidR="00A03B00" w:rsidRPr="003F7FF1">
        <w:t xml:space="preserve">na </w:t>
      </w:r>
      <w:r w:rsidRPr="003F7FF1">
        <w:t>efikasn</w:t>
      </w:r>
      <w:r w:rsidR="00D43C31" w:rsidRPr="003F7FF1">
        <w:t>iju</w:t>
      </w:r>
      <w:r w:rsidRPr="003F7FF1">
        <w:t xml:space="preserve"> borbu protiv siromaštva, socijalne isključenosti i marginalizacije. Socijalne usluge mogu biti pružene kao izvan institucijske (najčešće ih pružaju organizacije civilnog društva) ili kao institucijske (npr. usluge koje pružaju centri za socijalnu skrb)</w:t>
      </w:r>
      <w:r w:rsidR="00D23615">
        <w:t>,</w:t>
      </w:r>
      <w:r w:rsidRPr="003F7FF1">
        <w:t xml:space="preserve"> a usmjerene su na pravovremeno prepoznavanje i rješavanje problema pojedinaca, skupina ili cjelokupnih zajednica s ciljem povećanja kvalitete življenja. Takve usluge najčešće su pružene u obliku informiranja, savjetovanja, direktne pomoći</w:t>
      </w:r>
      <w:r w:rsidR="00D23615">
        <w:t>,</w:t>
      </w:r>
      <w:r w:rsidRPr="003F7FF1">
        <w:t xml:space="preserve"> ali i smještaja ili boravka za pojedince.</w:t>
      </w:r>
      <w:r w:rsidR="00AA1390" w:rsidRPr="003F7FF1">
        <w:t xml:space="preserve"> </w:t>
      </w:r>
    </w:p>
    <w:p w14:paraId="434312CF" w14:textId="0163B039" w:rsidR="009348B2" w:rsidRPr="009348B2" w:rsidRDefault="008961B6" w:rsidP="009348B2">
      <w:r w:rsidRPr="003F7FF1">
        <w:t>Krapinsko-zagorska županija nositelj je projekta „Business Angel Impact Fund</w:t>
      </w:r>
      <w:r w:rsidR="005F0732" w:rsidRPr="003F7FF1">
        <w:t xml:space="preserve">“ koji je prijavljen u okviru programa Europske komisije pod nazivom Aktivnosti za jačanje razvoja financijskog tržišta za društvene poduzetnike. </w:t>
      </w:r>
      <w:r w:rsidR="006F79B6" w:rsidRPr="003F7FF1">
        <w:t xml:space="preserve">Partneri na projektu su Hrvatska udruga poslodavaca, Feelsgood Capital Partners d.o.o. (fond za ulaganja s društvenim utjecajem), Zagorska razvojna agencija i Poduzetnički centar Krapinsko-zagorske županije d.o.o., a cilj </w:t>
      </w:r>
      <w:r w:rsidR="005F0732" w:rsidRPr="003F7FF1">
        <w:t>projekta je stvoriti novi financijski instrument za ulaganja u poduzeća s istaknutim društvenim utjecajem u Republici Hrvatskoj.</w:t>
      </w:r>
      <w:r w:rsidR="006F79B6" w:rsidRPr="003F7FF1">
        <w:t xml:space="preserve"> </w:t>
      </w:r>
      <w:r w:rsidR="00D026BE">
        <w:t xml:space="preserve">Projekt je započeo s provedbom u prosincu 2020. godine, </w:t>
      </w:r>
      <w:r w:rsidR="00D026BE" w:rsidRPr="00D026BE">
        <w:t xml:space="preserve">a </w:t>
      </w:r>
      <w:r w:rsidR="00D026BE" w:rsidRPr="00D026BE">
        <w:lastRenderedPageBreak/>
        <w:t>najavna konferencija projekta BAIF održana je u veljači 2021. godi</w:t>
      </w:r>
      <w:r w:rsidR="003142F0">
        <w:t>n</w:t>
      </w:r>
      <w:r w:rsidR="000C6213">
        <w:t>e</w:t>
      </w:r>
      <w:r w:rsidR="00D026BE">
        <w:rPr>
          <w:rStyle w:val="Referencafusnote"/>
        </w:rPr>
        <w:footnoteReference w:id="48"/>
      </w:r>
      <w:r w:rsidR="002A42CB">
        <w:t>. A</w:t>
      </w:r>
      <w:r w:rsidR="002A42CB" w:rsidRPr="002A42CB">
        <w:t>ktivnosti projekta, će se uz potporu</w:t>
      </w:r>
      <w:r w:rsidR="002A42CB" w:rsidRPr="002A42CB">
        <w:rPr>
          <w:rFonts w:ascii="Calibri" w:hAnsi="Calibri" w:cs="Calibri"/>
        </w:rPr>
        <w:t> </w:t>
      </w:r>
      <w:r w:rsidR="002A42CB" w:rsidRPr="002A42CB">
        <w:t>Europske komisije</w:t>
      </w:r>
      <w:r w:rsidR="002A42CB" w:rsidRPr="002A42CB">
        <w:rPr>
          <w:rFonts w:ascii="Calibri" w:hAnsi="Calibri" w:cs="Calibri"/>
        </w:rPr>
        <w:t> </w:t>
      </w:r>
      <w:r w:rsidR="002A42CB" w:rsidRPr="002A42CB">
        <w:t>provoditi</w:t>
      </w:r>
      <w:r w:rsidR="002A42CB" w:rsidRPr="002A42CB">
        <w:rPr>
          <w:rFonts w:ascii="Calibri" w:hAnsi="Calibri" w:cs="Calibri"/>
        </w:rPr>
        <w:t> </w:t>
      </w:r>
      <w:r w:rsidR="002A42CB" w:rsidRPr="002A42CB">
        <w:t>narednih 18 mjeseci.</w:t>
      </w:r>
      <w:r w:rsidR="009348B2">
        <w:t xml:space="preserve"> </w:t>
      </w:r>
    </w:p>
    <w:p w14:paraId="0BD6427F" w14:textId="24345659" w:rsidR="008878A0" w:rsidRPr="003F7FF1" w:rsidRDefault="009348B2" w:rsidP="009348B2">
      <w:r w:rsidRPr="009348B2">
        <w:t>Kako bi dodatno osigurala vidljivost i promociju društvene ekonomije te projekta BAIF, na otvoreni poziv tijekom veljače</w:t>
      </w:r>
      <w:r w:rsidR="00D23615">
        <w:t xml:space="preserve"> 2021. godine</w:t>
      </w:r>
      <w:r w:rsidRPr="009348B2">
        <w:t xml:space="preserve"> za priključenje inicijativi ESER</w:t>
      </w:r>
      <w:r>
        <w:rPr>
          <w:rStyle w:val="Referencafusnote"/>
        </w:rPr>
        <w:footnoteReference w:id="49"/>
      </w:r>
      <w:r w:rsidR="00D23615">
        <w:t xml:space="preserve"> </w:t>
      </w:r>
      <w:r w:rsidRPr="009348B2">
        <w:t xml:space="preserve">prijavila se i Krapinsko-zagorska županija. Ključni cilj ESER inicijative jest podizanje svijesti o društvenoj ekonomiji na regionalnoj i lokalnoj razini te izgradnja regionalnih mreža dionika društvene ekonomije. Početkom ožujka </w:t>
      </w:r>
      <w:r>
        <w:t>2021.</w:t>
      </w:r>
      <w:r w:rsidR="00D23615">
        <w:t xml:space="preserve"> </w:t>
      </w:r>
      <w:r>
        <w:t xml:space="preserve">godine </w:t>
      </w:r>
      <w:r w:rsidRPr="009348B2">
        <w:t xml:space="preserve">kandidatura je prihvaćena te je, uz Grad Zagreb, Krapinsko-zagorska županija jedina hrvatska </w:t>
      </w:r>
      <w:r w:rsidR="00D23615">
        <w:t>županija</w:t>
      </w:r>
      <w:r w:rsidRPr="009348B2">
        <w:t xml:space="preserve"> koja će u narednim mjesecima pod pokroviteljstvom i uz isticanje ESER vizualnog identiteta promovirati društvenu ekonomiju u Hrvatskoj.</w:t>
      </w:r>
    </w:p>
    <w:p w14:paraId="0F6D5013" w14:textId="36B2F3BC" w:rsidR="008878A0" w:rsidRDefault="008878A0" w:rsidP="00941871">
      <w:pPr>
        <w:autoSpaceDE w:val="0"/>
        <w:autoSpaceDN w:val="0"/>
        <w:adjustRightInd w:val="0"/>
        <w:spacing w:after="0" w:line="240" w:lineRule="auto"/>
        <w:rPr>
          <w:rFonts w:eastAsia="ArialNarrow" w:cstheme="minorHAnsi"/>
        </w:rPr>
      </w:pPr>
    </w:p>
    <w:p w14:paraId="3E14166E" w14:textId="30A4DF3B" w:rsidR="008878A0" w:rsidRDefault="008878A0" w:rsidP="00091FDD">
      <w:pPr>
        <w:shd w:val="clear" w:color="auto" w:fill="E5E5E5" w:themeFill="text1" w:themeFillTint="33"/>
        <w:rPr>
          <w:b/>
          <w:bCs/>
        </w:rPr>
      </w:pPr>
      <w:bookmarkStart w:id="109" w:name="_Hlk78198629"/>
      <w:r w:rsidRPr="0088613C">
        <w:rPr>
          <w:b/>
          <w:bCs/>
        </w:rPr>
        <w:t>Zaključak</w:t>
      </w:r>
    </w:p>
    <w:bookmarkEnd w:id="109"/>
    <w:p w14:paraId="4014ABE2" w14:textId="0C017D8F" w:rsidR="00390E4D" w:rsidRDefault="00390E4D" w:rsidP="00091FDD">
      <w:pPr>
        <w:shd w:val="clear" w:color="auto" w:fill="E5E5E5" w:themeFill="text1" w:themeFillTint="33"/>
      </w:pPr>
      <w:r w:rsidRPr="00390E4D">
        <w:t>Društvena infrastruktura Krapinsko-zagorske županije u području kulture i umjetnosti prikazana je stanjem i razmještajem kazališta, kina, radio postaja, kinematografa, odašiljača i knjižnica. U periodu od 2014. do 2018. godine u Krapinsko-zagorskoj županiji djelovala su 2 kazališta, broj kinematografa je ostao isti (samo 1), kao i broj radio postaja</w:t>
      </w:r>
      <w:r w:rsidR="00087464">
        <w:t xml:space="preserve"> (5 postaja)</w:t>
      </w:r>
      <w:r w:rsidRPr="00390E4D">
        <w:t xml:space="preserve">. Na području Sjeverne Hrvatske broj </w:t>
      </w:r>
      <w:r w:rsidR="00087464">
        <w:t>kazališta</w:t>
      </w:r>
      <w:r w:rsidRPr="00390E4D">
        <w:t xml:space="preserve"> se kretao između 24 u 2014. godini i 27. u 2018. godini, a broj kinematografa je porastao i sada ih je 11. Na području Republike Hrvatske smanjen je broj kazališta (trenutno 176), kao i broj orkestara i ansambala. Što se tiče zabilježenog broja gledatelja, u Krapinsko-zagorskoj županiji </w:t>
      </w:r>
      <w:r w:rsidR="00087464">
        <w:t>došlo je do</w:t>
      </w:r>
      <w:r w:rsidRPr="00390E4D">
        <w:t xml:space="preserve"> nominalno</w:t>
      </w:r>
      <w:r w:rsidR="00087464">
        <w:t>g</w:t>
      </w:r>
      <w:r w:rsidRPr="00390E4D">
        <w:t xml:space="preserve"> povećanj</w:t>
      </w:r>
      <w:r w:rsidR="00087464">
        <w:t>a</w:t>
      </w:r>
      <w:r w:rsidRPr="00390E4D">
        <w:t xml:space="preserve"> od 73,7% u odnosu na 2016. U istom periodu u Sjevernoj Hrvatskoj broj gledatelja porastao je za 57,9%, a na razini Republike Hrvatske povećanje je iznosilo 23%. Iako je broj radio postaja ostao isti, na razini županije broj odašiljača povećao </w:t>
      </w:r>
      <w:r w:rsidR="000C3E04">
        <w:t xml:space="preserve">se </w:t>
      </w:r>
      <w:r w:rsidRPr="00390E4D">
        <w:t xml:space="preserve">za 36% tokom 2017. godine. U Sjevernoj Hrvatskoj broj radio postaja smanjen </w:t>
      </w:r>
      <w:r w:rsidR="000C3E04">
        <w:t xml:space="preserve">je </w:t>
      </w:r>
      <w:r w:rsidRPr="00390E4D">
        <w:t xml:space="preserve">u 2018. na 31, a u istom razdoblju došlo je i do smanjenja broja odašiljača </w:t>
      </w:r>
      <w:r w:rsidR="000C3E04">
        <w:t>kojih</w:t>
      </w:r>
      <w:r w:rsidRPr="00390E4D">
        <w:t xml:space="preserve">  je sad</w:t>
      </w:r>
      <w:r w:rsidR="000C3E04">
        <w:t>a</w:t>
      </w:r>
      <w:r w:rsidRPr="00390E4D">
        <w:t xml:space="preserve"> 56. Na području Republike Hrvatske broj radio postaja smanjio se u 2018. godini na 144. Također, tijekom 2018. primjetan je pad broja odašiljača za 0,8%. Broj radio pretplatnika u Krapinsko-zagorskoj županiji u periodu od 2014. – 2018. godine ostao je gotovo isti. Na razini Sjeverne Hrvatske generalno je zabilježen pad broja evidentiranih radio pretplatnika, dok je na razini Republike Hrvatske zabilježen blagi rast od 2,64%, u 2018. godini. Što se broja televizijskih pretplatnika tiče njihov broj je, kao i kod radio pretplatnika na razini Krapinsko-zagorske županije u periodu od 2014. do 2018. godine ostao približno isti. Na području Sjeverne Hrvatske tijekom 2018. dolazi do pada, a na razini Republike Hrvatske zamjetan je porast broja televizijskih pretplatnika za 1,6%. Na području jedinica lokalne samouprave </w:t>
      </w:r>
      <w:r w:rsidR="000C3E04">
        <w:t xml:space="preserve">u </w:t>
      </w:r>
      <w:r w:rsidRPr="00390E4D">
        <w:t>Krapinsko-zagorsk</w:t>
      </w:r>
      <w:r w:rsidR="000C3E04">
        <w:t>oj</w:t>
      </w:r>
      <w:r w:rsidRPr="00390E4D">
        <w:t xml:space="preserve"> županij</w:t>
      </w:r>
      <w:r w:rsidR="000C3E04">
        <w:t>i</w:t>
      </w:r>
      <w:r w:rsidRPr="00390E4D">
        <w:t>, najviše je zastupljeno sportskih i dječjih igrališta te sportskih dvorana, dok su ostale vrste društvene infrastrukture zastupljene pojedinačno u svim gradovima i općinama.</w:t>
      </w:r>
    </w:p>
    <w:p w14:paraId="303A91D8" w14:textId="4236FE96" w:rsidR="00F43132" w:rsidRDefault="00F43132" w:rsidP="00091FDD">
      <w:pPr>
        <w:shd w:val="clear" w:color="auto" w:fill="E5E5E5" w:themeFill="text1" w:themeFillTint="33"/>
      </w:pPr>
      <w:r w:rsidRPr="00F43132">
        <w:t>Kvalitetno stanovanje podrazumijeva osiguravanje potrebnih sadržaja u susjedstvu, mobilnost i dostupnost javne mreže te društvene infrastrukture</w:t>
      </w:r>
      <w:r>
        <w:t xml:space="preserve">. Prema podacima Državnog zavoda za statistiku Krapinsko-zagorska županija </w:t>
      </w:r>
      <w:r w:rsidR="006E464F">
        <w:t>u</w:t>
      </w:r>
      <w:r w:rsidR="006E464F" w:rsidRPr="006E464F">
        <w:t xml:space="preserve"> usporedbi sa županijama Sjeverne Hrvatske ima najmanje izgrađenih zgrada</w:t>
      </w:r>
      <w:r w:rsidR="006E464F">
        <w:t xml:space="preserve"> (151 u 2020. godini). Također </w:t>
      </w:r>
      <w:r>
        <w:t xml:space="preserve">jedna </w:t>
      </w:r>
      <w:r w:rsidR="006E464F">
        <w:t xml:space="preserve">je i </w:t>
      </w:r>
      <w:r>
        <w:t xml:space="preserve">od županija s </w:t>
      </w:r>
      <w:r w:rsidR="008F5C7A">
        <w:t>najmanje izgrađenih stanova na godišnjoj razini</w:t>
      </w:r>
      <w:r w:rsidR="006E464F">
        <w:t xml:space="preserve">. </w:t>
      </w:r>
      <w:r w:rsidRPr="00F43132">
        <w:t>Najviše završenih stanova na području Republike Hrvatske očekivano je u gradu Zagrebu. Uz Grad Zagreb još se ističu Zadarska, Splitsko-dalmatinska i Istarska županija.</w:t>
      </w:r>
    </w:p>
    <w:p w14:paraId="58880C78" w14:textId="4E9CE877" w:rsidR="009348B2" w:rsidRDefault="009348B2" w:rsidP="009348B2">
      <w:pPr>
        <w:shd w:val="clear" w:color="auto" w:fill="E5E5E5" w:themeFill="text1" w:themeFillTint="33"/>
      </w:pPr>
      <w:r w:rsidRPr="009348B2">
        <w:t>Uvidom u Registar udruga Republike Hrvatske, vidljivo je da na području Krapinsko-zagorske županije u veljači 2019. godine djeluje 1.184 aktivnih udruga</w:t>
      </w:r>
      <w:r>
        <w:t>. N</w:t>
      </w:r>
      <w:r w:rsidRPr="009348B2">
        <w:t>ajviše ih je registrirano iz područja sporta, kulture i umjetnosti i gospodarstva dok je najmanji broj njih iz ostalih područja, duhovnosti i hobističkih djelatnosti.</w:t>
      </w:r>
      <w:r>
        <w:t xml:space="preserve"> Od </w:t>
      </w:r>
      <w:r w:rsidRPr="009348B2">
        <w:t>2015. godine</w:t>
      </w:r>
      <w:r>
        <w:t xml:space="preserve"> djeluje savjet za razvoj civilnog društva Krapinsko-zagorske županije.</w:t>
      </w:r>
      <w:r w:rsidRPr="009348B2">
        <w:t xml:space="preserve"> Najčešći problemi s kojima se organizacije civilnog društva susreću u svom svakodnevnom radu su nedostatnost prostora za djelovanje, nedostatnost financijskih i ostalih materijalnih sredstava, nedovoljan broj te ponekad i nedovoljna stručnost kadra koji je zadužen za prijavu i provođenje projekta iz domene djelovanja. Kako bi se osigurao što kvalitetniji rad organizacija radi se na intenziviranju međusektorske suradnje. Na taj način organizacijama civilnog društva omogućeno je povezivanje i suradnja koja rezultira podizanjem sveopće kvalitete rada. Organizacije civilnog društva najčešće se povezuju putem partnerskog vijeća za tržište rada te putem lokalnih akcijskih grupa</w:t>
      </w:r>
    </w:p>
    <w:p w14:paraId="3DAA6CC9" w14:textId="1DA7E58B" w:rsidR="009348B2" w:rsidRPr="009348B2" w:rsidRDefault="003142F0" w:rsidP="009348B2">
      <w:pPr>
        <w:shd w:val="clear" w:color="auto" w:fill="E5E5E5" w:themeFill="text1" w:themeFillTint="33"/>
      </w:pPr>
      <w:r w:rsidRPr="003142F0">
        <w:t>Društveno odnosno socijalno poduzetništvo sve je češći oblik ekonomskog djelovanja te je zamjetan rast broja društvenih poduzetnika koje su osnovale organizacije civilnog društva</w:t>
      </w:r>
      <w:r>
        <w:t xml:space="preserve">. </w:t>
      </w:r>
      <w:r w:rsidRPr="003142F0">
        <w:t>Važnosti društvenog poduzetništva posvećena je pažnja i prilikom izrade nove Strategije razvoja ljudskih potencijala Krapinsko-zagorske županije za razdoblje 2021.-20</w:t>
      </w:r>
      <w:r w:rsidR="00087464">
        <w:t>2</w:t>
      </w:r>
      <w:r w:rsidRPr="003142F0">
        <w:t xml:space="preserve">7. godine te je kreirana mjera </w:t>
      </w:r>
      <w:r>
        <w:t>„</w:t>
      </w:r>
      <w:r w:rsidRPr="003142F0">
        <w:t>Promicati i poticati razvoj društvenog poduzetništva'' kojom se želi pridonijeti širenju koncepta te potaknuti ciljane skupine na takav oblik poslovanja</w:t>
      </w:r>
      <w:r>
        <w:t xml:space="preserve">. </w:t>
      </w:r>
      <w:r w:rsidR="009348B2" w:rsidRPr="009348B2">
        <w:t xml:space="preserve">Kako bi </w:t>
      </w:r>
      <w:r>
        <w:t xml:space="preserve">se </w:t>
      </w:r>
      <w:r w:rsidR="009348B2" w:rsidRPr="009348B2">
        <w:t>dodatno osigurala vidljivost i promocij</w:t>
      </w:r>
      <w:r>
        <w:t>a</w:t>
      </w:r>
      <w:r w:rsidR="009348B2" w:rsidRPr="009348B2">
        <w:t xml:space="preserve"> društvene ekonomije te projekta BAIF, u 2021.</w:t>
      </w:r>
      <w:r w:rsidR="00087464">
        <w:t xml:space="preserve"> </w:t>
      </w:r>
      <w:r w:rsidR="009348B2" w:rsidRPr="009348B2">
        <w:t>godini</w:t>
      </w:r>
      <w:r>
        <w:t xml:space="preserve"> </w:t>
      </w:r>
      <w:r w:rsidRPr="009348B2">
        <w:t>Krapinsko-zagorska županija</w:t>
      </w:r>
      <w:r w:rsidRPr="003142F0">
        <w:t xml:space="preserve"> </w:t>
      </w:r>
      <w:r>
        <w:t xml:space="preserve">prijavila se </w:t>
      </w:r>
      <w:r w:rsidR="009348B2" w:rsidRPr="009348B2">
        <w:t>za priključenje inicijativi ESER</w:t>
      </w:r>
      <w:r>
        <w:t xml:space="preserve">. </w:t>
      </w:r>
      <w:r w:rsidR="009348B2" w:rsidRPr="009348B2">
        <w:t>Ključni cilj ESER inicijative jest podizanje svijesti o društvenoj ekonomiji na regionalnoj i lokalnoj razini te izgradnja regionalnih mreža dionika društvene ekonomije. Početkom ožujka 2021.</w:t>
      </w:r>
      <w:r w:rsidR="008F5C7A">
        <w:t xml:space="preserve"> </w:t>
      </w:r>
      <w:r w:rsidR="009348B2" w:rsidRPr="009348B2">
        <w:t xml:space="preserve">godine kandidatura je prihvaćena te je, uz Grad Zagreb, Krapinsko-zagorska županija jedina hrvatska </w:t>
      </w:r>
      <w:r w:rsidR="00087464">
        <w:lastRenderedPageBreak/>
        <w:t>županija</w:t>
      </w:r>
      <w:r w:rsidR="009348B2" w:rsidRPr="009348B2">
        <w:t xml:space="preserve"> koja će u narednim mjesecima pod pokroviteljstvom i uz isticanje ESER vizualnog identiteta promovirati društvenu ekonomiju u Hrvatskoj.</w:t>
      </w:r>
    </w:p>
    <w:p w14:paraId="617DEE69" w14:textId="657B0699" w:rsidR="00A824FB" w:rsidRDefault="00315513" w:rsidP="00FA64DA">
      <w:pPr>
        <w:jc w:val="left"/>
        <w:rPr>
          <w:rFonts w:eastAsia="ArialNarrow" w:cstheme="minorHAnsi"/>
        </w:rPr>
      </w:pPr>
      <w:r>
        <w:rPr>
          <w:rFonts w:eastAsia="ArialNarrow" w:cstheme="minorHAnsi"/>
        </w:rPr>
        <w:br w:type="page"/>
      </w:r>
    </w:p>
    <w:p w14:paraId="7E3BE063" w14:textId="0AEE0C03" w:rsidR="008878A0" w:rsidRPr="00FE050F" w:rsidRDefault="00FE050F" w:rsidP="005F13D3">
      <w:pPr>
        <w:pStyle w:val="Naslov1"/>
        <w:rPr>
          <w:rStyle w:val="NASLOV"/>
        </w:rPr>
      </w:pPr>
      <w:r w:rsidRPr="00FE050F">
        <w:rPr>
          <w:rStyle w:val="NASLOV"/>
        </w:rPr>
        <w:lastRenderedPageBreak/>
        <w:t xml:space="preserve"> </w:t>
      </w:r>
      <w:bookmarkStart w:id="110" w:name="_Toc85181307"/>
      <w:r w:rsidRPr="00FE050F">
        <w:rPr>
          <w:rStyle w:val="NASLOV"/>
        </w:rPr>
        <w:t>OBRAZOVANJE</w:t>
      </w:r>
      <w:bookmarkEnd w:id="110"/>
      <w:r w:rsidRPr="00FE050F">
        <w:rPr>
          <w:rStyle w:val="NASLOV"/>
        </w:rPr>
        <w:t xml:space="preserve"> </w:t>
      </w:r>
    </w:p>
    <w:p w14:paraId="5A1C3A70" w14:textId="77777777" w:rsidR="008878A0" w:rsidRDefault="008878A0" w:rsidP="00941871"/>
    <w:p w14:paraId="07FAB9ED" w14:textId="2DFAE1A8" w:rsidR="008878A0" w:rsidRDefault="00C47264" w:rsidP="0052192B">
      <w:pPr>
        <w:pStyle w:val="Naslov2"/>
      </w:pPr>
      <w:bookmarkStart w:id="111" w:name="_Toc85181308"/>
      <w:r>
        <w:t>8</w:t>
      </w:r>
      <w:r w:rsidR="008878A0">
        <w:t>.1. Obrazovna struktura</w:t>
      </w:r>
      <w:bookmarkEnd w:id="111"/>
    </w:p>
    <w:p w14:paraId="38BB6767" w14:textId="77777777" w:rsidR="008878A0" w:rsidRDefault="008878A0" w:rsidP="00941871"/>
    <w:p w14:paraId="087ABE00" w14:textId="2E500536" w:rsidR="008878A0" w:rsidRDefault="008878A0" w:rsidP="00941871">
      <w:r>
        <w:t>Odgoj i obrazovanje ključni su elementi gospodarskog i društvenog razvoja čija važnost u suvremenom društvu sve više raste. Adekvatno obrazovana radna snaga više je no ikad nužna pretpostavka za postizanje željenog gospodarskog rasta te kulturnog i</w:t>
      </w:r>
      <w:r w:rsidR="00417F61">
        <w:t xml:space="preserve"> </w:t>
      </w:r>
      <w:r w:rsidR="00C426FB">
        <w:t xml:space="preserve">društvenog </w:t>
      </w:r>
      <w:r>
        <w:t>razvoja.</w:t>
      </w:r>
    </w:p>
    <w:p w14:paraId="67D7C8D5" w14:textId="7C86CF92" w:rsidR="008878A0" w:rsidRDefault="00A44D72" w:rsidP="00941871">
      <w:bookmarkStart w:id="112" w:name="_Hlk65779918"/>
      <w:r>
        <w:t>Prema podacima navedenim u Popisu stanovništva 2011., o</w:t>
      </w:r>
      <w:r w:rsidR="008878A0">
        <w:t>brazovn</w:t>
      </w:r>
      <w:r>
        <w:t xml:space="preserve">u strukturu </w:t>
      </w:r>
      <w:r w:rsidR="008878A0">
        <w:t xml:space="preserve">stanovništva Krapinsko-zagorske županije </w:t>
      </w:r>
      <w:r>
        <w:t xml:space="preserve">najvećim djelom čine osobe </w:t>
      </w:r>
      <w:r w:rsidR="008878A0">
        <w:t>sa završenom osnovnom školom (44,92%). Značajan udio čine i osobe koje su završile trogodišnju ili četverogodišnju strukovnu školu (39,22%), dok je 3,60% osoba sa završenom gimnazijom. Fakultetski obrazovane osobe, one koje su stekle akademski ili stručni naziv prvostupnika, magistra i doktora znanosti, čine 10,68% stanovništva</w:t>
      </w:r>
      <w:r w:rsidR="008878A0">
        <w:rPr>
          <w:rStyle w:val="Referencafusnote"/>
        </w:rPr>
        <w:footnoteReference w:id="50"/>
      </w:r>
      <w:r w:rsidR="008878A0">
        <w:t xml:space="preserve">. </w:t>
      </w:r>
    </w:p>
    <w:bookmarkEnd w:id="112"/>
    <w:p w14:paraId="5AD61F7B" w14:textId="77777777" w:rsidR="00871486" w:rsidRDefault="00871486" w:rsidP="00941871"/>
    <w:p w14:paraId="0E241BAB" w14:textId="323D38AF" w:rsidR="0088613C" w:rsidRPr="0088613C" w:rsidRDefault="008878A0" w:rsidP="003E3F3C">
      <w:pPr>
        <w:pStyle w:val="Opisslike"/>
      </w:pPr>
      <w:r>
        <w:t xml:space="preserve">Grafikon </w:t>
      </w:r>
      <w:r w:rsidR="0097126C">
        <w:rPr>
          <w:noProof/>
        </w:rPr>
        <w:t>20</w:t>
      </w:r>
      <w:r w:rsidR="00825CD8">
        <w:rPr>
          <w:noProof/>
        </w:rPr>
        <w:t>.</w:t>
      </w:r>
      <w:r>
        <w:t xml:space="preserve"> Obrazovna struktura stanovništva Krapinsko-zagorske županije (2011.)</w:t>
      </w:r>
      <w:r w:rsidR="00825CD8">
        <w:rPr>
          <w:noProof/>
          <w:lang w:eastAsia="hr-HR"/>
        </w:rPr>
        <w:drawing>
          <wp:anchor distT="0" distB="0" distL="114300" distR="114300" simplePos="0" relativeHeight="251674624" behindDoc="0" locked="0" layoutInCell="1" allowOverlap="1" wp14:anchorId="30CBB17E" wp14:editId="4EA98EDB">
            <wp:simplePos x="0" y="0"/>
            <wp:positionH relativeFrom="column">
              <wp:posOffset>635</wp:posOffset>
            </wp:positionH>
            <wp:positionV relativeFrom="paragraph">
              <wp:posOffset>236855</wp:posOffset>
            </wp:positionV>
            <wp:extent cx="5831205" cy="2852420"/>
            <wp:effectExtent l="0" t="0" r="17145" b="5080"/>
            <wp:wrapSquare wrapText="bothSides"/>
            <wp:docPr id="239" name="Chart 239">
              <a:extLst xmlns:a="http://schemas.openxmlformats.org/drawingml/2006/main">
                <a:ext uri="{FF2B5EF4-FFF2-40B4-BE49-F238E27FC236}">
                  <a16:creationId xmlns:a16="http://schemas.microsoft.com/office/drawing/2014/main" id="{8A8777B7-BC01-448D-97F1-AA7BDF6511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margin">
              <wp14:pctWidth>0</wp14:pctWidth>
            </wp14:sizeRelH>
            <wp14:sizeRelV relativeFrom="margin">
              <wp14:pctHeight>0</wp14:pctHeight>
            </wp14:sizeRelV>
          </wp:anchor>
        </w:drawing>
      </w:r>
    </w:p>
    <w:p w14:paraId="21F5648D" w14:textId="2FC0B684" w:rsidR="008878A0" w:rsidRPr="00C85E60" w:rsidRDefault="008878A0" w:rsidP="003C2276">
      <w:pPr>
        <w:pStyle w:val="Izvor"/>
        <w:rPr>
          <w:i/>
          <w:color w:val="ABABAB" w:themeColor="text1" w:themeTint="A6"/>
          <w:sz w:val="16"/>
          <w:szCs w:val="16"/>
        </w:rPr>
      </w:pPr>
      <w:r w:rsidRPr="00C85E60">
        <w:rPr>
          <w:i/>
          <w:color w:val="ABABAB" w:themeColor="text1" w:themeTint="A6"/>
          <w:sz w:val="16"/>
          <w:szCs w:val="16"/>
        </w:rPr>
        <w:t>Izvor: DZS, Stanovništvo staro 15 i više godina prema najvišoj završenoj školi, obrazovnim područjima i spolu, Popis 2011.</w:t>
      </w:r>
    </w:p>
    <w:p w14:paraId="672BBA4E" w14:textId="77777777" w:rsidR="00A824FB" w:rsidRDefault="00A824FB" w:rsidP="00941871"/>
    <w:p w14:paraId="3A9724D3" w14:textId="4DCC2CC1" w:rsidR="008878A0" w:rsidRDefault="00C47264" w:rsidP="0052192B">
      <w:pPr>
        <w:pStyle w:val="Naslov2"/>
      </w:pPr>
      <w:bookmarkStart w:id="113" w:name="_Toc85181309"/>
      <w:r>
        <w:t>8</w:t>
      </w:r>
      <w:r w:rsidR="008878A0">
        <w:t>.2. Predškolski odgoj i obrazovanje</w:t>
      </w:r>
      <w:bookmarkEnd w:id="113"/>
    </w:p>
    <w:p w14:paraId="55B46F35" w14:textId="77777777" w:rsidR="00710B5F" w:rsidRPr="005F4C2F" w:rsidRDefault="00710B5F" w:rsidP="005F4C2F"/>
    <w:p w14:paraId="7BC5DDC1" w14:textId="3B8391C4" w:rsidR="00710B5F" w:rsidRDefault="008878A0" w:rsidP="008658ED">
      <w:r>
        <w:t xml:space="preserve">Predškolski odgoj organizira se i provodi za djecu od navršenih šest mjeseci života do polaska u osnovnu školu. </w:t>
      </w:r>
      <w:r w:rsidR="00417F61">
        <w:t xml:space="preserve">Na području Krapinsko- zagorske županije </w:t>
      </w:r>
      <w:r w:rsidR="00A824FB">
        <w:t xml:space="preserve">prema DZS-u </w:t>
      </w:r>
      <w:r w:rsidR="00A44D72">
        <w:t>u pedagoškoj godini 201</w:t>
      </w:r>
      <w:r w:rsidR="00A824FB">
        <w:t>9</w:t>
      </w:r>
      <w:r w:rsidR="00A44D72">
        <w:t>./</w:t>
      </w:r>
      <w:r w:rsidR="00411D05">
        <w:t>2020</w:t>
      </w:r>
      <w:r w:rsidR="00A44D72">
        <w:t xml:space="preserve">. </w:t>
      </w:r>
      <w:r w:rsidR="00BD537A">
        <w:t>djeluj</w:t>
      </w:r>
      <w:r w:rsidR="00411D05">
        <w:t>u</w:t>
      </w:r>
      <w:r w:rsidR="00BD537A">
        <w:t xml:space="preserve"> </w:t>
      </w:r>
      <w:r w:rsidR="00411D05">
        <w:t xml:space="preserve">23 </w:t>
      </w:r>
      <w:r w:rsidR="00BD537A">
        <w:t>dječj</w:t>
      </w:r>
      <w:r w:rsidR="00411D05">
        <w:t>a</w:t>
      </w:r>
      <w:r w:rsidR="00A824FB">
        <w:t xml:space="preserve"> </w:t>
      </w:r>
      <w:r w:rsidR="00BD537A">
        <w:t>vrtić</w:t>
      </w:r>
      <w:r w:rsidR="00411D05">
        <w:t>a</w:t>
      </w:r>
      <w:r w:rsidR="003D172A">
        <w:t xml:space="preserve"> </w:t>
      </w:r>
      <w:r w:rsidR="00A824FB">
        <w:t xml:space="preserve">i druge pravne osobe koje ostvaruju programe predškolskog odgoja. Na području županije </w:t>
      </w:r>
      <w:r w:rsidR="00864455">
        <w:t>d</w:t>
      </w:r>
      <w:r w:rsidR="003D172A">
        <w:t xml:space="preserve">evet ustanova predškolskog odgoja imaju vrtićki program. </w:t>
      </w:r>
    </w:p>
    <w:p w14:paraId="49E1E67C" w14:textId="3805A72C" w:rsidR="008878A0" w:rsidRDefault="008878A0" w:rsidP="003E3F3C">
      <w:pPr>
        <w:pStyle w:val="Opisslike"/>
      </w:pPr>
      <w:r>
        <w:t xml:space="preserve">Tablica </w:t>
      </w:r>
      <w:r w:rsidR="009442AC">
        <w:rPr>
          <w:noProof/>
        </w:rPr>
        <w:t>51</w:t>
      </w:r>
      <w:r w:rsidR="00825CD8">
        <w:rPr>
          <w:noProof/>
        </w:rPr>
        <w:t>.</w:t>
      </w:r>
      <w:r>
        <w:t xml:space="preserve"> Popis ustanova predškolskog odgoja koje djeluju na području Krapinsko-zagorske županije</w:t>
      </w:r>
    </w:p>
    <w:tbl>
      <w:tblPr>
        <w:tblW w:w="0" w:type="auto"/>
        <w:tblBorders>
          <w:right w:val="single" w:sz="8" w:space="0" w:color="D2232A"/>
          <w:insideH w:val="single" w:sz="8" w:space="0" w:color="F3CFC1"/>
        </w:tblBorders>
        <w:tblLook w:val="04A0" w:firstRow="1" w:lastRow="0" w:firstColumn="1" w:lastColumn="0" w:noHBand="0" w:noVBand="1"/>
      </w:tblPr>
      <w:tblGrid>
        <w:gridCol w:w="495"/>
        <w:gridCol w:w="3895"/>
        <w:gridCol w:w="4672"/>
      </w:tblGrid>
      <w:tr w:rsidR="008878A0" w14:paraId="23A4EE82" w14:textId="77777777" w:rsidTr="008658ED">
        <w:trPr>
          <w:trHeight w:val="340"/>
        </w:trPr>
        <w:tc>
          <w:tcPr>
            <w:tcW w:w="4390" w:type="dxa"/>
            <w:gridSpan w:val="2"/>
            <w:shd w:val="clear" w:color="auto" w:fill="D2232A"/>
            <w:vAlign w:val="center"/>
            <w:hideMark/>
          </w:tcPr>
          <w:p w14:paraId="06581CC4" w14:textId="77777777" w:rsidR="008878A0" w:rsidRPr="005603C2" w:rsidRDefault="008878A0" w:rsidP="00E12B41">
            <w:pPr>
              <w:spacing w:after="0"/>
              <w:jc w:val="center"/>
              <w:rPr>
                <w:color w:val="FFFFFF" w:themeColor="background1"/>
                <w:sz w:val="22"/>
                <w:szCs w:val="22"/>
              </w:rPr>
            </w:pPr>
            <w:r w:rsidRPr="005603C2">
              <w:rPr>
                <w:color w:val="FFFFFF" w:themeColor="background1"/>
              </w:rPr>
              <w:t>NAZIV USTANOVE</w:t>
            </w:r>
          </w:p>
        </w:tc>
        <w:tc>
          <w:tcPr>
            <w:tcW w:w="4672" w:type="dxa"/>
            <w:shd w:val="clear" w:color="auto" w:fill="D2232A"/>
            <w:vAlign w:val="center"/>
            <w:hideMark/>
          </w:tcPr>
          <w:p w14:paraId="7D543C94" w14:textId="77777777" w:rsidR="008878A0" w:rsidRPr="005603C2" w:rsidRDefault="008878A0" w:rsidP="00E12B41">
            <w:pPr>
              <w:spacing w:after="0"/>
              <w:jc w:val="center"/>
              <w:rPr>
                <w:color w:val="FFFFFF" w:themeColor="background1"/>
              </w:rPr>
            </w:pPr>
            <w:r w:rsidRPr="005603C2">
              <w:rPr>
                <w:color w:val="FFFFFF" w:themeColor="background1"/>
              </w:rPr>
              <w:t>OPĆINA/GRAD</w:t>
            </w:r>
          </w:p>
        </w:tc>
      </w:tr>
      <w:tr w:rsidR="008878A0" w14:paraId="260F131E" w14:textId="77777777" w:rsidTr="008658ED">
        <w:trPr>
          <w:trHeight w:val="340"/>
        </w:trPr>
        <w:tc>
          <w:tcPr>
            <w:tcW w:w="495" w:type="dxa"/>
            <w:shd w:val="clear" w:color="auto" w:fill="D2232A"/>
            <w:vAlign w:val="center"/>
            <w:hideMark/>
          </w:tcPr>
          <w:p w14:paraId="095EA4B5" w14:textId="77777777" w:rsidR="008878A0" w:rsidRPr="005603C2" w:rsidRDefault="008878A0" w:rsidP="00941871">
            <w:pPr>
              <w:spacing w:after="0"/>
              <w:rPr>
                <w:color w:val="FFFFFF" w:themeColor="background1"/>
              </w:rPr>
            </w:pPr>
            <w:r w:rsidRPr="005603C2">
              <w:rPr>
                <w:color w:val="FFFFFF" w:themeColor="background1"/>
              </w:rPr>
              <w:t>1.</w:t>
            </w:r>
          </w:p>
        </w:tc>
        <w:tc>
          <w:tcPr>
            <w:tcW w:w="3895" w:type="dxa"/>
            <w:shd w:val="clear" w:color="auto" w:fill="D2232A"/>
            <w:noWrap/>
            <w:vAlign w:val="center"/>
            <w:hideMark/>
          </w:tcPr>
          <w:p w14:paraId="0EE15F11" w14:textId="6DB7605D" w:rsidR="008878A0" w:rsidRPr="005603C2" w:rsidRDefault="00BE616D" w:rsidP="00941871">
            <w:pPr>
              <w:spacing w:after="0"/>
              <w:rPr>
                <w:color w:val="FFFFFF" w:themeColor="background1"/>
              </w:rPr>
            </w:pPr>
            <w:r w:rsidRPr="005603C2">
              <w:rPr>
                <w:color w:val="FFFFFF" w:themeColor="background1"/>
              </w:rPr>
              <w:t>Dječji vrtić "Bubamara"</w:t>
            </w:r>
          </w:p>
        </w:tc>
        <w:tc>
          <w:tcPr>
            <w:tcW w:w="4672" w:type="dxa"/>
            <w:vAlign w:val="center"/>
            <w:hideMark/>
          </w:tcPr>
          <w:p w14:paraId="7708C233" w14:textId="740FCB05" w:rsidR="008878A0" w:rsidRDefault="00BE616D" w:rsidP="00941871">
            <w:pPr>
              <w:spacing w:after="0"/>
            </w:pPr>
            <w:r>
              <w:t>Grad Donja Stubica</w:t>
            </w:r>
          </w:p>
        </w:tc>
      </w:tr>
      <w:tr w:rsidR="008878A0" w14:paraId="01873C2D" w14:textId="77777777" w:rsidTr="008658ED">
        <w:trPr>
          <w:trHeight w:val="340"/>
        </w:trPr>
        <w:tc>
          <w:tcPr>
            <w:tcW w:w="495" w:type="dxa"/>
            <w:shd w:val="clear" w:color="auto" w:fill="D2232A"/>
            <w:vAlign w:val="center"/>
            <w:hideMark/>
          </w:tcPr>
          <w:p w14:paraId="2B5D31A7" w14:textId="77777777" w:rsidR="008878A0" w:rsidRPr="005603C2" w:rsidRDefault="008878A0" w:rsidP="00941871">
            <w:pPr>
              <w:spacing w:after="0"/>
              <w:rPr>
                <w:color w:val="FFFFFF" w:themeColor="background1"/>
              </w:rPr>
            </w:pPr>
            <w:r w:rsidRPr="005603C2">
              <w:rPr>
                <w:color w:val="FFFFFF" w:themeColor="background1"/>
              </w:rPr>
              <w:t>2.</w:t>
            </w:r>
          </w:p>
        </w:tc>
        <w:tc>
          <w:tcPr>
            <w:tcW w:w="3895" w:type="dxa"/>
            <w:shd w:val="clear" w:color="auto" w:fill="D2232A"/>
            <w:noWrap/>
            <w:vAlign w:val="center"/>
            <w:hideMark/>
          </w:tcPr>
          <w:p w14:paraId="31469FA5" w14:textId="31C4D58A" w:rsidR="008878A0" w:rsidRPr="005603C2" w:rsidRDefault="00BE616D" w:rsidP="00941871">
            <w:pPr>
              <w:spacing w:after="0"/>
              <w:rPr>
                <w:color w:val="FFFFFF" w:themeColor="background1"/>
              </w:rPr>
            </w:pPr>
            <w:r w:rsidRPr="005603C2">
              <w:rPr>
                <w:color w:val="FFFFFF" w:themeColor="background1"/>
              </w:rPr>
              <w:t>Dječji vrtić "Kesten"</w:t>
            </w:r>
          </w:p>
        </w:tc>
        <w:tc>
          <w:tcPr>
            <w:tcW w:w="4672" w:type="dxa"/>
            <w:vAlign w:val="center"/>
            <w:hideMark/>
          </w:tcPr>
          <w:p w14:paraId="7D675DD2" w14:textId="7B6D4869" w:rsidR="008878A0" w:rsidRDefault="00BE616D" w:rsidP="00941871">
            <w:pPr>
              <w:spacing w:after="0"/>
            </w:pPr>
            <w:r>
              <w:t>Grad Klanjec</w:t>
            </w:r>
          </w:p>
        </w:tc>
      </w:tr>
      <w:tr w:rsidR="00A824FB" w14:paraId="34F68995" w14:textId="77777777" w:rsidTr="008658ED">
        <w:trPr>
          <w:trHeight w:val="340"/>
        </w:trPr>
        <w:tc>
          <w:tcPr>
            <w:tcW w:w="495" w:type="dxa"/>
            <w:shd w:val="clear" w:color="auto" w:fill="D2232A"/>
            <w:vAlign w:val="center"/>
            <w:hideMark/>
          </w:tcPr>
          <w:p w14:paraId="3C1C39A1" w14:textId="77777777" w:rsidR="00A824FB" w:rsidRPr="005603C2" w:rsidRDefault="00A824FB" w:rsidP="00941871">
            <w:pPr>
              <w:spacing w:after="0"/>
              <w:rPr>
                <w:color w:val="FFFFFF" w:themeColor="background1"/>
              </w:rPr>
            </w:pPr>
            <w:r w:rsidRPr="005603C2">
              <w:rPr>
                <w:color w:val="FFFFFF" w:themeColor="background1"/>
              </w:rPr>
              <w:t>3.</w:t>
            </w:r>
          </w:p>
        </w:tc>
        <w:tc>
          <w:tcPr>
            <w:tcW w:w="3895" w:type="dxa"/>
            <w:shd w:val="clear" w:color="auto" w:fill="D2232A"/>
            <w:noWrap/>
            <w:vAlign w:val="center"/>
            <w:hideMark/>
          </w:tcPr>
          <w:p w14:paraId="21DBA092" w14:textId="653B577E" w:rsidR="00A824FB" w:rsidRPr="005603C2" w:rsidRDefault="00A824FB" w:rsidP="00941871">
            <w:pPr>
              <w:spacing w:after="0"/>
              <w:rPr>
                <w:color w:val="FFFFFF" w:themeColor="background1"/>
              </w:rPr>
            </w:pPr>
            <w:r w:rsidRPr="005603C2">
              <w:rPr>
                <w:color w:val="FFFFFF" w:themeColor="background1"/>
              </w:rPr>
              <w:t>Dječji vrtić "Gustav Krklec"</w:t>
            </w:r>
          </w:p>
        </w:tc>
        <w:tc>
          <w:tcPr>
            <w:tcW w:w="4672" w:type="dxa"/>
            <w:vMerge w:val="restart"/>
            <w:vAlign w:val="center"/>
            <w:hideMark/>
          </w:tcPr>
          <w:p w14:paraId="01ABC022" w14:textId="189A572C" w:rsidR="00A824FB" w:rsidRDefault="00A824FB" w:rsidP="00941871">
            <w:pPr>
              <w:spacing w:after="0"/>
            </w:pPr>
            <w:r>
              <w:t>Grad Krapina</w:t>
            </w:r>
          </w:p>
        </w:tc>
      </w:tr>
      <w:tr w:rsidR="00A824FB" w14:paraId="07AED07C" w14:textId="77777777" w:rsidTr="008658ED">
        <w:trPr>
          <w:trHeight w:val="340"/>
        </w:trPr>
        <w:tc>
          <w:tcPr>
            <w:tcW w:w="495" w:type="dxa"/>
            <w:shd w:val="clear" w:color="auto" w:fill="D2232A"/>
            <w:vAlign w:val="center"/>
          </w:tcPr>
          <w:p w14:paraId="76261CCE" w14:textId="5315F6AC" w:rsidR="00A824FB" w:rsidRPr="005603C2" w:rsidRDefault="00A824FB" w:rsidP="00941871">
            <w:pPr>
              <w:spacing w:after="0"/>
              <w:rPr>
                <w:color w:val="FFFFFF" w:themeColor="background1"/>
              </w:rPr>
            </w:pPr>
            <w:r w:rsidRPr="005603C2">
              <w:rPr>
                <w:color w:val="FFFFFF" w:themeColor="background1"/>
              </w:rPr>
              <w:lastRenderedPageBreak/>
              <w:t>4.</w:t>
            </w:r>
          </w:p>
        </w:tc>
        <w:tc>
          <w:tcPr>
            <w:tcW w:w="3895" w:type="dxa"/>
            <w:shd w:val="clear" w:color="auto" w:fill="D2232A"/>
            <w:noWrap/>
            <w:vAlign w:val="center"/>
          </w:tcPr>
          <w:p w14:paraId="2F2BF755" w14:textId="014C9788" w:rsidR="00A824FB" w:rsidRPr="005603C2" w:rsidRDefault="00A824FB" w:rsidP="00941871">
            <w:pPr>
              <w:spacing w:after="0"/>
              <w:rPr>
                <w:color w:val="FFFFFF" w:themeColor="background1"/>
              </w:rPr>
            </w:pPr>
            <w:r w:rsidRPr="005603C2">
              <w:rPr>
                <w:color w:val="FFFFFF" w:themeColor="background1"/>
              </w:rPr>
              <w:t>Dječji vrtić "Mali Kaj"</w:t>
            </w:r>
          </w:p>
        </w:tc>
        <w:tc>
          <w:tcPr>
            <w:tcW w:w="4672" w:type="dxa"/>
            <w:vMerge/>
            <w:vAlign w:val="center"/>
          </w:tcPr>
          <w:p w14:paraId="44BC5251" w14:textId="49B52C71" w:rsidR="00A824FB" w:rsidRDefault="00A824FB" w:rsidP="00941871">
            <w:pPr>
              <w:spacing w:after="0"/>
            </w:pPr>
          </w:p>
        </w:tc>
      </w:tr>
      <w:tr w:rsidR="00A824FB" w14:paraId="4BFC41F5" w14:textId="77777777" w:rsidTr="008658ED">
        <w:trPr>
          <w:trHeight w:val="340"/>
        </w:trPr>
        <w:tc>
          <w:tcPr>
            <w:tcW w:w="495" w:type="dxa"/>
            <w:shd w:val="clear" w:color="auto" w:fill="D2232A"/>
            <w:vAlign w:val="center"/>
            <w:hideMark/>
          </w:tcPr>
          <w:p w14:paraId="7108D991" w14:textId="62B41617" w:rsidR="00A824FB" w:rsidRPr="005603C2" w:rsidRDefault="00A824FB" w:rsidP="00941871">
            <w:pPr>
              <w:spacing w:after="0"/>
              <w:rPr>
                <w:color w:val="FFFFFF" w:themeColor="background1"/>
              </w:rPr>
            </w:pPr>
            <w:r w:rsidRPr="005603C2">
              <w:rPr>
                <w:color w:val="FFFFFF" w:themeColor="background1"/>
              </w:rPr>
              <w:t>5.</w:t>
            </w:r>
          </w:p>
        </w:tc>
        <w:tc>
          <w:tcPr>
            <w:tcW w:w="3895" w:type="dxa"/>
            <w:shd w:val="clear" w:color="auto" w:fill="D2232A"/>
            <w:noWrap/>
            <w:vAlign w:val="center"/>
            <w:hideMark/>
          </w:tcPr>
          <w:p w14:paraId="7B8F889B" w14:textId="7EDAB675" w:rsidR="00A824FB" w:rsidRPr="005603C2" w:rsidRDefault="00A824FB" w:rsidP="00941871">
            <w:pPr>
              <w:spacing w:after="0"/>
              <w:rPr>
                <w:color w:val="FFFFFF" w:themeColor="background1"/>
              </w:rPr>
            </w:pPr>
            <w:r w:rsidRPr="005603C2">
              <w:rPr>
                <w:color w:val="FFFFFF" w:themeColor="background1"/>
              </w:rPr>
              <w:t>Dječji vrtić "Sunčica"</w:t>
            </w:r>
          </w:p>
        </w:tc>
        <w:tc>
          <w:tcPr>
            <w:tcW w:w="4672" w:type="dxa"/>
            <w:vMerge/>
            <w:vAlign w:val="center"/>
            <w:hideMark/>
          </w:tcPr>
          <w:p w14:paraId="4C78A91B" w14:textId="2FD970A5" w:rsidR="00A824FB" w:rsidRDefault="00A824FB" w:rsidP="00941871">
            <w:pPr>
              <w:spacing w:after="0"/>
            </w:pPr>
          </w:p>
        </w:tc>
      </w:tr>
      <w:tr w:rsidR="00A824FB" w14:paraId="6234736A" w14:textId="77777777" w:rsidTr="008658ED">
        <w:trPr>
          <w:trHeight w:val="340"/>
        </w:trPr>
        <w:tc>
          <w:tcPr>
            <w:tcW w:w="495" w:type="dxa"/>
            <w:shd w:val="clear" w:color="auto" w:fill="D2232A"/>
            <w:vAlign w:val="center"/>
            <w:hideMark/>
          </w:tcPr>
          <w:p w14:paraId="277B22FB" w14:textId="227E4033" w:rsidR="00A824FB" w:rsidRPr="005603C2" w:rsidRDefault="00A824FB" w:rsidP="00941871">
            <w:pPr>
              <w:spacing w:after="0"/>
              <w:rPr>
                <w:color w:val="FFFFFF" w:themeColor="background1"/>
              </w:rPr>
            </w:pPr>
            <w:r w:rsidRPr="005603C2">
              <w:rPr>
                <w:color w:val="FFFFFF" w:themeColor="background1"/>
              </w:rPr>
              <w:t>6.</w:t>
            </w:r>
          </w:p>
        </w:tc>
        <w:tc>
          <w:tcPr>
            <w:tcW w:w="3895" w:type="dxa"/>
            <w:shd w:val="clear" w:color="auto" w:fill="D2232A"/>
            <w:noWrap/>
            <w:vAlign w:val="center"/>
            <w:hideMark/>
          </w:tcPr>
          <w:p w14:paraId="39F9BBE5" w14:textId="3D32DD63" w:rsidR="00A824FB" w:rsidRPr="005603C2" w:rsidRDefault="00A824FB" w:rsidP="00941871">
            <w:pPr>
              <w:spacing w:after="0"/>
              <w:rPr>
                <w:color w:val="FFFFFF" w:themeColor="background1"/>
              </w:rPr>
            </w:pPr>
            <w:r w:rsidRPr="005603C2">
              <w:rPr>
                <w:color w:val="FFFFFF" w:themeColor="background1"/>
              </w:rPr>
              <w:t>Dječji vrtić "Cvrkutić"</w:t>
            </w:r>
          </w:p>
        </w:tc>
        <w:tc>
          <w:tcPr>
            <w:tcW w:w="4672" w:type="dxa"/>
            <w:vMerge w:val="restart"/>
            <w:vAlign w:val="center"/>
            <w:hideMark/>
          </w:tcPr>
          <w:p w14:paraId="3CAA0952" w14:textId="093696A7" w:rsidR="00A824FB" w:rsidRDefault="00A824FB" w:rsidP="00941871">
            <w:pPr>
              <w:spacing w:after="0"/>
            </w:pPr>
            <w:r>
              <w:t>Grad Oroslavje</w:t>
            </w:r>
          </w:p>
        </w:tc>
      </w:tr>
      <w:tr w:rsidR="00A824FB" w14:paraId="1A4FA647" w14:textId="77777777" w:rsidTr="008658ED">
        <w:trPr>
          <w:trHeight w:val="340"/>
        </w:trPr>
        <w:tc>
          <w:tcPr>
            <w:tcW w:w="495" w:type="dxa"/>
            <w:shd w:val="clear" w:color="auto" w:fill="D2232A"/>
            <w:vAlign w:val="center"/>
            <w:hideMark/>
          </w:tcPr>
          <w:p w14:paraId="113CA78A" w14:textId="391918E5" w:rsidR="00A824FB" w:rsidRPr="005603C2" w:rsidRDefault="00A824FB" w:rsidP="00941871">
            <w:pPr>
              <w:spacing w:after="0"/>
              <w:rPr>
                <w:color w:val="FFFFFF" w:themeColor="background1"/>
              </w:rPr>
            </w:pPr>
            <w:r w:rsidRPr="005603C2">
              <w:rPr>
                <w:color w:val="FFFFFF" w:themeColor="background1"/>
              </w:rPr>
              <w:t>7.</w:t>
            </w:r>
          </w:p>
        </w:tc>
        <w:tc>
          <w:tcPr>
            <w:tcW w:w="3895" w:type="dxa"/>
            <w:shd w:val="clear" w:color="auto" w:fill="D2232A"/>
            <w:noWrap/>
            <w:vAlign w:val="center"/>
            <w:hideMark/>
          </w:tcPr>
          <w:p w14:paraId="5EF4208A" w14:textId="6363E1CD" w:rsidR="00A824FB" w:rsidRPr="005603C2" w:rsidRDefault="00A824FB" w:rsidP="00941871">
            <w:pPr>
              <w:spacing w:after="0"/>
              <w:rPr>
                <w:color w:val="FFFFFF" w:themeColor="background1"/>
              </w:rPr>
            </w:pPr>
            <w:r w:rsidRPr="005603C2">
              <w:rPr>
                <w:color w:val="FFFFFF" w:themeColor="background1"/>
              </w:rPr>
              <w:t>Dječji vrtić "Šlapica"</w:t>
            </w:r>
          </w:p>
        </w:tc>
        <w:tc>
          <w:tcPr>
            <w:tcW w:w="4672" w:type="dxa"/>
            <w:vMerge/>
            <w:vAlign w:val="center"/>
            <w:hideMark/>
          </w:tcPr>
          <w:p w14:paraId="56912BF1" w14:textId="1ED1CE7E" w:rsidR="00A824FB" w:rsidRDefault="00A824FB" w:rsidP="00941871">
            <w:pPr>
              <w:spacing w:after="0"/>
            </w:pPr>
          </w:p>
        </w:tc>
      </w:tr>
      <w:tr w:rsidR="008878A0" w14:paraId="7C858C6F" w14:textId="77777777" w:rsidTr="008658ED">
        <w:trPr>
          <w:trHeight w:val="340"/>
        </w:trPr>
        <w:tc>
          <w:tcPr>
            <w:tcW w:w="495" w:type="dxa"/>
            <w:shd w:val="clear" w:color="auto" w:fill="D2232A"/>
            <w:vAlign w:val="center"/>
            <w:hideMark/>
          </w:tcPr>
          <w:p w14:paraId="7CAAB094" w14:textId="42E9F663" w:rsidR="008878A0" w:rsidRPr="005603C2" w:rsidRDefault="005233D7" w:rsidP="00941871">
            <w:pPr>
              <w:spacing w:after="0"/>
              <w:rPr>
                <w:color w:val="FFFFFF" w:themeColor="background1"/>
              </w:rPr>
            </w:pPr>
            <w:r w:rsidRPr="005603C2">
              <w:rPr>
                <w:color w:val="FFFFFF" w:themeColor="background1"/>
              </w:rPr>
              <w:t>8.</w:t>
            </w:r>
          </w:p>
        </w:tc>
        <w:tc>
          <w:tcPr>
            <w:tcW w:w="3895" w:type="dxa"/>
            <w:shd w:val="clear" w:color="auto" w:fill="D2232A"/>
            <w:noWrap/>
            <w:vAlign w:val="center"/>
            <w:hideMark/>
          </w:tcPr>
          <w:p w14:paraId="3B452636" w14:textId="6BB4B8E5" w:rsidR="008878A0" w:rsidRPr="005603C2" w:rsidRDefault="004453C9" w:rsidP="00941871">
            <w:pPr>
              <w:spacing w:after="0"/>
              <w:rPr>
                <w:color w:val="FFFFFF" w:themeColor="background1"/>
              </w:rPr>
            </w:pPr>
            <w:r w:rsidRPr="005603C2">
              <w:rPr>
                <w:color w:val="FFFFFF" w:themeColor="background1"/>
              </w:rPr>
              <w:t>Dječji vrtić "Naša radost"</w:t>
            </w:r>
          </w:p>
        </w:tc>
        <w:tc>
          <w:tcPr>
            <w:tcW w:w="4672" w:type="dxa"/>
            <w:vAlign w:val="center"/>
            <w:hideMark/>
          </w:tcPr>
          <w:p w14:paraId="66D7B69D" w14:textId="3F4C9FB4" w:rsidR="008878A0" w:rsidRDefault="004453C9" w:rsidP="00941871">
            <w:pPr>
              <w:spacing w:after="0"/>
            </w:pPr>
            <w:r>
              <w:t>Grad Pregrada</w:t>
            </w:r>
          </w:p>
        </w:tc>
      </w:tr>
      <w:tr w:rsidR="008878A0" w14:paraId="695BB340" w14:textId="77777777" w:rsidTr="008658ED">
        <w:trPr>
          <w:trHeight w:val="340"/>
        </w:trPr>
        <w:tc>
          <w:tcPr>
            <w:tcW w:w="495" w:type="dxa"/>
            <w:shd w:val="clear" w:color="auto" w:fill="D2232A"/>
            <w:vAlign w:val="center"/>
            <w:hideMark/>
          </w:tcPr>
          <w:p w14:paraId="2A6971A4" w14:textId="48E7C412" w:rsidR="008878A0" w:rsidRPr="005603C2" w:rsidRDefault="005233D7" w:rsidP="00941871">
            <w:pPr>
              <w:spacing w:after="0"/>
              <w:rPr>
                <w:color w:val="FFFFFF" w:themeColor="background1"/>
              </w:rPr>
            </w:pPr>
            <w:r w:rsidRPr="005603C2">
              <w:rPr>
                <w:color w:val="FFFFFF" w:themeColor="background1"/>
              </w:rPr>
              <w:t>9.</w:t>
            </w:r>
          </w:p>
        </w:tc>
        <w:tc>
          <w:tcPr>
            <w:tcW w:w="3895" w:type="dxa"/>
            <w:shd w:val="clear" w:color="auto" w:fill="D2232A"/>
            <w:noWrap/>
            <w:vAlign w:val="center"/>
            <w:hideMark/>
          </w:tcPr>
          <w:p w14:paraId="2A396909" w14:textId="2B02A14E" w:rsidR="008878A0" w:rsidRPr="005603C2" w:rsidRDefault="004453C9" w:rsidP="00941871">
            <w:pPr>
              <w:spacing w:after="0"/>
              <w:rPr>
                <w:color w:val="FFFFFF" w:themeColor="background1"/>
              </w:rPr>
            </w:pPr>
            <w:r w:rsidRPr="005603C2">
              <w:rPr>
                <w:color w:val="FFFFFF" w:themeColor="background1"/>
              </w:rPr>
              <w:t>Dječji vrtić Zipkica</w:t>
            </w:r>
          </w:p>
        </w:tc>
        <w:tc>
          <w:tcPr>
            <w:tcW w:w="4672" w:type="dxa"/>
            <w:vAlign w:val="center"/>
            <w:hideMark/>
          </w:tcPr>
          <w:p w14:paraId="777F4A8B" w14:textId="0C3A2441" w:rsidR="008878A0" w:rsidRDefault="004453C9" w:rsidP="00941871">
            <w:pPr>
              <w:spacing w:after="0"/>
            </w:pPr>
            <w:r>
              <w:t>Grad Zabok</w:t>
            </w:r>
          </w:p>
        </w:tc>
      </w:tr>
      <w:tr w:rsidR="008878A0" w14:paraId="54FC1910" w14:textId="77777777" w:rsidTr="008658ED">
        <w:trPr>
          <w:trHeight w:val="340"/>
        </w:trPr>
        <w:tc>
          <w:tcPr>
            <w:tcW w:w="495" w:type="dxa"/>
            <w:shd w:val="clear" w:color="auto" w:fill="D2232A"/>
            <w:vAlign w:val="center"/>
            <w:hideMark/>
          </w:tcPr>
          <w:p w14:paraId="7DF888B8" w14:textId="0580AD34" w:rsidR="008878A0" w:rsidRPr="005603C2" w:rsidRDefault="005233D7" w:rsidP="00941871">
            <w:pPr>
              <w:spacing w:after="0"/>
              <w:rPr>
                <w:color w:val="FFFFFF" w:themeColor="background1"/>
              </w:rPr>
            </w:pPr>
            <w:r w:rsidRPr="005603C2">
              <w:rPr>
                <w:color w:val="FFFFFF" w:themeColor="background1"/>
              </w:rPr>
              <w:t>10.</w:t>
            </w:r>
          </w:p>
        </w:tc>
        <w:tc>
          <w:tcPr>
            <w:tcW w:w="3895" w:type="dxa"/>
            <w:shd w:val="clear" w:color="auto" w:fill="D2232A"/>
            <w:noWrap/>
            <w:vAlign w:val="center"/>
            <w:hideMark/>
          </w:tcPr>
          <w:p w14:paraId="42A1FF51" w14:textId="5C2DAF79" w:rsidR="008878A0" w:rsidRPr="005603C2" w:rsidRDefault="004453C9" w:rsidP="00941871">
            <w:pPr>
              <w:spacing w:after="0"/>
              <w:rPr>
                <w:color w:val="FFFFFF" w:themeColor="background1"/>
              </w:rPr>
            </w:pPr>
            <w:r w:rsidRPr="005603C2">
              <w:rPr>
                <w:color w:val="FFFFFF" w:themeColor="background1"/>
              </w:rPr>
              <w:t>Dječji vrtić "Uzdanica"</w:t>
            </w:r>
          </w:p>
        </w:tc>
        <w:tc>
          <w:tcPr>
            <w:tcW w:w="4672" w:type="dxa"/>
            <w:vAlign w:val="center"/>
            <w:hideMark/>
          </w:tcPr>
          <w:p w14:paraId="5BCCA5A9" w14:textId="3BDF3AF4" w:rsidR="008878A0" w:rsidRDefault="004453C9" w:rsidP="00941871">
            <w:pPr>
              <w:spacing w:after="0"/>
            </w:pPr>
            <w:r>
              <w:t>Grad Zlatar</w:t>
            </w:r>
          </w:p>
        </w:tc>
      </w:tr>
      <w:tr w:rsidR="008878A0" w14:paraId="2E791539" w14:textId="77777777" w:rsidTr="008658ED">
        <w:trPr>
          <w:trHeight w:val="340"/>
        </w:trPr>
        <w:tc>
          <w:tcPr>
            <w:tcW w:w="495" w:type="dxa"/>
            <w:shd w:val="clear" w:color="auto" w:fill="D2232A"/>
            <w:vAlign w:val="center"/>
            <w:hideMark/>
          </w:tcPr>
          <w:p w14:paraId="665A5E64" w14:textId="477E8F71" w:rsidR="008878A0" w:rsidRPr="005603C2" w:rsidRDefault="005233D7" w:rsidP="00941871">
            <w:pPr>
              <w:spacing w:after="0"/>
              <w:rPr>
                <w:color w:val="FFFFFF" w:themeColor="background1"/>
              </w:rPr>
            </w:pPr>
            <w:r w:rsidRPr="005603C2">
              <w:rPr>
                <w:color w:val="FFFFFF" w:themeColor="background1"/>
              </w:rPr>
              <w:t>11.</w:t>
            </w:r>
          </w:p>
        </w:tc>
        <w:tc>
          <w:tcPr>
            <w:tcW w:w="3895" w:type="dxa"/>
            <w:shd w:val="clear" w:color="auto" w:fill="D2232A"/>
            <w:noWrap/>
            <w:vAlign w:val="center"/>
            <w:hideMark/>
          </w:tcPr>
          <w:p w14:paraId="33E40B87" w14:textId="4E5CDE61" w:rsidR="008878A0" w:rsidRPr="005603C2" w:rsidRDefault="004453C9" w:rsidP="00941871">
            <w:pPr>
              <w:spacing w:after="0"/>
              <w:rPr>
                <w:color w:val="FFFFFF" w:themeColor="background1"/>
              </w:rPr>
            </w:pPr>
            <w:r w:rsidRPr="005603C2">
              <w:rPr>
                <w:color w:val="FFFFFF" w:themeColor="background1"/>
              </w:rPr>
              <w:t>Dječji vrtić "Bedekovčina"</w:t>
            </w:r>
          </w:p>
        </w:tc>
        <w:tc>
          <w:tcPr>
            <w:tcW w:w="4672" w:type="dxa"/>
            <w:vAlign w:val="center"/>
            <w:hideMark/>
          </w:tcPr>
          <w:p w14:paraId="4E9B14C8" w14:textId="4C068719" w:rsidR="008878A0" w:rsidRDefault="004453C9" w:rsidP="00941871">
            <w:pPr>
              <w:spacing w:after="0"/>
            </w:pPr>
            <w:r>
              <w:t>Općina Bedekovčina</w:t>
            </w:r>
          </w:p>
        </w:tc>
      </w:tr>
      <w:tr w:rsidR="008878A0" w14:paraId="4FEE781C" w14:textId="77777777" w:rsidTr="008658ED">
        <w:trPr>
          <w:trHeight w:val="340"/>
        </w:trPr>
        <w:tc>
          <w:tcPr>
            <w:tcW w:w="495" w:type="dxa"/>
            <w:shd w:val="clear" w:color="auto" w:fill="D2232A"/>
            <w:vAlign w:val="center"/>
            <w:hideMark/>
          </w:tcPr>
          <w:p w14:paraId="762FFA01" w14:textId="08A2F6D6" w:rsidR="008878A0" w:rsidRPr="005603C2" w:rsidRDefault="005233D7" w:rsidP="00941871">
            <w:pPr>
              <w:spacing w:after="0"/>
              <w:rPr>
                <w:color w:val="FFFFFF" w:themeColor="background1"/>
              </w:rPr>
            </w:pPr>
            <w:r w:rsidRPr="005603C2">
              <w:rPr>
                <w:color w:val="FFFFFF" w:themeColor="background1"/>
              </w:rPr>
              <w:t>12.</w:t>
            </w:r>
          </w:p>
        </w:tc>
        <w:tc>
          <w:tcPr>
            <w:tcW w:w="3895" w:type="dxa"/>
            <w:shd w:val="clear" w:color="auto" w:fill="D2232A"/>
            <w:noWrap/>
            <w:vAlign w:val="center"/>
            <w:hideMark/>
          </w:tcPr>
          <w:p w14:paraId="2996F173" w14:textId="281FF1EC" w:rsidR="008878A0" w:rsidRPr="005603C2" w:rsidRDefault="005233D7" w:rsidP="00941871">
            <w:pPr>
              <w:spacing w:after="0"/>
              <w:rPr>
                <w:color w:val="FFFFFF" w:themeColor="background1"/>
              </w:rPr>
            </w:pPr>
            <w:r w:rsidRPr="005603C2">
              <w:rPr>
                <w:color w:val="FFFFFF" w:themeColor="background1"/>
              </w:rPr>
              <w:t>Dječji vrtić "Tratinčica"</w:t>
            </w:r>
          </w:p>
        </w:tc>
        <w:tc>
          <w:tcPr>
            <w:tcW w:w="4672" w:type="dxa"/>
            <w:vAlign w:val="center"/>
            <w:hideMark/>
          </w:tcPr>
          <w:p w14:paraId="1EB990A3" w14:textId="1F5FA741" w:rsidR="008878A0" w:rsidRDefault="00F519D2" w:rsidP="00941871">
            <w:pPr>
              <w:spacing w:after="0"/>
            </w:pPr>
            <w:r>
              <w:t>Općina Desinić</w:t>
            </w:r>
          </w:p>
        </w:tc>
      </w:tr>
      <w:tr w:rsidR="008878A0" w14:paraId="6828CFBB" w14:textId="77777777" w:rsidTr="008658ED">
        <w:trPr>
          <w:trHeight w:val="340"/>
        </w:trPr>
        <w:tc>
          <w:tcPr>
            <w:tcW w:w="495" w:type="dxa"/>
            <w:shd w:val="clear" w:color="auto" w:fill="D2232A"/>
            <w:vAlign w:val="center"/>
            <w:hideMark/>
          </w:tcPr>
          <w:p w14:paraId="0A829B2C" w14:textId="3BBFA901" w:rsidR="008878A0" w:rsidRPr="005603C2" w:rsidRDefault="005233D7" w:rsidP="00941871">
            <w:pPr>
              <w:spacing w:after="0"/>
              <w:rPr>
                <w:color w:val="FFFFFF" w:themeColor="background1"/>
              </w:rPr>
            </w:pPr>
            <w:r w:rsidRPr="005603C2">
              <w:rPr>
                <w:color w:val="FFFFFF" w:themeColor="background1"/>
              </w:rPr>
              <w:t>13.</w:t>
            </w:r>
          </w:p>
        </w:tc>
        <w:tc>
          <w:tcPr>
            <w:tcW w:w="3895" w:type="dxa"/>
            <w:shd w:val="clear" w:color="auto" w:fill="D2232A"/>
            <w:noWrap/>
            <w:vAlign w:val="center"/>
            <w:hideMark/>
          </w:tcPr>
          <w:p w14:paraId="4F87A806" w14:textId="7ECB6EC4" w:rsidR="008878A0" w:rsidRPr="005603C2" w:rsidRDefault="005233D7" w:rsidP="00941871">
            <w:pPr>
              <w:spacing w:after="0"/>
              <w:rPr>
                <w:color w:val="FFFFFF" w:themeColor="background1"/>
              </w:rPr>
            </w:pPr>
            <w:r w:rsidRPr="005603C2">
              <w:rPr>
                <w:color w:val="FFFFFF" w:themeColor="background1"/>
              </w:rPr>
              <w:t>Dječji vrtići "Balončica"</w:t>
            </w:r>
          </w:p>
        </w:tc>
        <w:tc>
          <w:tcPr>
            <w:tcW w:w="4672" w:type="dxa"/>
            <w:vAlign w:val="center"/>
            <w:hideMark/>
          </w:tcPr>
          <w:p w14:paraId="2245BB22" w14:textId="6FABB80C" w:rsidR="008878A0" w:rsidRDefault="00F519D2" w:rsidP="00941871">
            <w:pPr>
              <w:spacing w:after="0"/>
            </w:pPr>
            <w:r>
              <w:t>Općina Hum na Sutli</w:t>
            </w:r>
          </w:p>
        </w:tc>
      </w:tr>
      <w:tr w:rsidR="008878A0" w14:paraId="6A8AE530" w14:textId="77777777" w:rsidTr="008658ED">
        <w:trPr>
          <w:trHeight w:val="340"/>
        </w:trPr>
        <w:tc>
          <w:tcPr>
            <w:tcW w:w="495" w:type="dxa"/>
            <w:shd w:val="clear" w:color="auto" w:fill="D2232A"/>
            <w:vAlign w:val="center"/>
            <w:hideMark/>
          </w:tcPr>
          <w:p w14:paraId="00B6249C" w14:textId="7995C3BB" w:rsidR="008878A0" w:rsidRPr="005603C2" w:rsidRDefault="005233D7" w:rsidP="00941871">
            <w:pPr>
              <w:spacing w:after="0"/>
              <w:rPr>
                <w:color w:val="FFFFFF" w:themeColor="background1"/>
              </w:rPr>
            </w:pPr>
            <w:r w:rsidRPr="005603C2">
              <w:rPr>
                <w:color w:val="FFFFFF" w:themeColor="background1"/>
              </w:rPr>
              <w:t>14.</w:t>
            </w:r>
          </w:p>
        </w:tc>
        <w:tc>
          <w:tcPr>
            <w:tcW w:w="3895" w:type="dxa"/>
            <w:shd w:val="clear" w:color="auto" w:fill="D2232A"/>
            <w:noWrap/>
            <w:vAlign w:val="center"/>
            <w:hideMark/>
          </w:tcPr>
          <w:p w14:paraId="66A728D2" w14:textId="1B6DA923" w:rsidR="008878A0" w:rsidRPr="005603C2" w:rsidRDefault="005233D7" w:rsidP="00941871">
            <w:pPr>
              <w:spacing w:after="0"/>
              <w:rPr>
                <w:color w:val="FFFFFF" w:themeColor="background1"/>
              </w:rPr>
            </w:pPr>
            <w:r w:rsidRPr="005603C2">
              <w:rPr>
                <w:color w:val="FFFFFF" w:themeColor="background1"/>
              </w:rPr>
              <w:t>Dječji vrtić "Konjščina"</w:t>
            </w:r>
          </w:p>
        </w:tc>
        <w:tc>
          <w:tcPr>
            <w:tcW w:w="4672" w:type="dxa"/>
            <w:vAlign w:val="center"/>
            <w:hideMark/>
          </w:tcPr>
          <w:p w14:paraId="35D5EA51" w14:textId="29C096ED" w:rsidR="008878A0" w:rsidRDefault="00F519D2" w:rsidP="00941871">
            <w:pPr>
              <w:spacing w:after="0"/>
            </w:pPr>
            <w:r>
              <w:t>Općina Konjščina</w:t>
            </w:r>
          </w:p>
        </w:tc>
      </w:tr>
      <w:tr w:rsidR="008878A0" w14:paraId="70612CBF" w14:textId="77777777" w:rsidTr="008658ED">
        <w:trPr>
          <w:trHeight w:val="340"/>
        </w:trPr>
        <w:tc>
          <w:tcPr>
            <w:tcW w:w="495" w:type="dxa"/>
            <w:shd w:val="clear" w:color="auto" w:fill="D2232A"/>
            <w:vAlign w:val="center"/>
            <w:hideMark/>
          </w:tcPr>
          <w:p w14:paraId="6D875261" w14:textId="5B68D0FB" w:rsidR="008878A0" w:rsidRPr="005603C2" w:rsidRDefault="005233D7" w:rsidP="00941871">
            <w:pPr>
              <w:spacing w:after="0"/>
              <w:rPr>
                <w:color w:val="FFFFFF" w:themeColor="background1"/>
              </w:rPr>
            </w:pPr>
            <w:r w:rsidRPr="005603C2">
              <w:rPr>
                <w:color w:val="FFFFFF" w:themeColor="background1"/>
              </w:rPr>
              <w:t>15.</w:t>
            </w:r>
          </w:p>
        </w:tc>
        <w:tc>
          <w:tcPr>
            <w:tcW w:w="3895" w:type="dxa"/>
            <w:shd w:val="clear" w:color="auto" w:fill="D2232A"/>
            <w:noWrap/>
            <w:vAlign w:val="center"/>
            <w:hideMark/>
          </w:tcPr>
          <w:p w14:paraId="7B703B4F" w14:textId="393E8B10" w:rsidR="008878A0" w:rsidRPr="005603C2" w:rsidRDefault="005233D7" w:rsidP="00941871">
            <w:pPr>
              <w:spacing w:after="0"/>
              <w:rPr>
                <w:color w:val="FFFFFF" w:themeColor="background1"/>
              </w:rPr>
            </w:pPr>
            <w:r w:rsidRPr="005603C2">
              <w:rPr>
                <w:color w:val="FFFFFF" w:themeColor="background1"/>
              </w:rPr>
              <w:t>Dječji vrtić "Maslačak"</w:t>
            </w:r>
          </w:p>
        </w:tc>
        <w:tc>
          <w:tcPr>
            <w:tcW w:w="4672" w:type="dxa"/>
            <w:vAlign w:val="center"/>
            <w:hideMark/>
          </w:tcPr>
          <w:p w14:paraId="1BA05171" w14:textId="394686C3" w:rsidR="008878A0" w:rsidRDefault="00F519D2" w:rsidP="00941871">
            <w:pPr>
              <w:spacing w:after="0"/>
            </w:pPr>
            <w:r>
              <w:t>Općina Krapinske Toplice</w:t>
            </w:r>
          </w:p>
        </w:tc>
      </w:tr>
      <w:tr w:rsidR="008878A0" w14:paraId="623966F8" w14:textId="77777777" w:rsidTr="008658ED">
        <w:trPr>
          <w:trHeight w:val="340"/>
        </w:trPr>
        <w:tc>
          <w:tcPr>
            <w:tcW w:w="495" w:type="dxa"/>
            <w:shd w:val="clear" w:color="auto" w:fill="D2232A"/>
            <w:vAlign w:val="center"/>
            <w:hideMark/>
          </w:tcPr>
          <w:p w14:paraId="5AFE8D47" w14:textId="06891A2C" w:rsidR="008878A0" w:rsidRPr="005603C2" w:rsidRDefault="005233D7" w:rsidP="00941871">
            <w:pPr>
              <w:spacing w:after="0"/>
              <w:rPr>
                <w:color w:val="FFFFFF" w:themeColor="background1"/>
              </w:rPr>
            </w:pPr>
            <w:r w:rsidRPr="005603C2">
              <w:rPr>
                <w:color w:val="FFFFFF" w:themeColor="background1"/>
              </w:rPr>
              <w:t>16.</w:t>
            </w:r>
          </w:p>
        </w:tc>
        <w:tc>
          <w:tcPr>
            <w:tcW w:w="3895" w:type="dxa"/>
            <w:shd w:val="clear" w:color="auto" w:fill="D2232A"/>
            <w:noWrap/>
            <w:vAlign w:val="center"/>
            <w:hideMark/>
          </w:tcPr>
          <w:p w14:paraId="727EBA3A" w14:textId="54633E9D" w:rsidR="008878A0" w:rsidRPr="005603C2" w:rsidRDefault="005233D7" w:rsidP="00941871">
            <w:pPr>
              <w:spacing w:after="0"/>
              <w:rPr>
                <w:color w:val="FFFFFF" w:themeColor="background1"/>
              </w:rPr>
            </w:pPr>
            <w:r w:rsidRPr="005603C2">
              <w:rPr>
                <w:color w:val="FFFFFF" w:themeColor="background1"/>
              </w:rPr>
              <w:t>Dječji vrtić "Jaglac"</w:t>
            </w:r>
          </w:p>
        </w:tc>
        <w:tc>
          <w:tcPr>
            <w:tcW w:w="4672" w:type="dxa"/>
            <w:vAlign w:val="center"/>
            <w:hideMark/>
          </w:tcPr>
          <w:p w14:paraId="02BB3052" w14:textId="61ACBDE8" w:rsidR="008878A0" w:rsidRDefault="00F519D2" w:rsidP="00941871">
            <w:pPr>
              <w:spacing w:after="0"/>
            </w:pPr>
            <w:r>
              <w:t>Općina Kumrovec</w:t>
            </w:r>
          </w:p>
        </w:tc>
      </w:tr>
      <w:tr w:rsidR="008878A0" w14:paraId="285730A7" w14:textId="77777777" w:rsidTr="008658ED">
        <w:trPr>
          <w:trHeight w:val="340"/>
        </w:trPr>
        <w:tc>
          <w:tcPr>
            <w:tcW w:w="495" w:type="dxa"/>
            <w:shd w:val="clear" w:color="auto" w:fill="D2232A"/>
            <w:vAlign w:val="center"/>
            <w:hideMark/>
          </w:tcPr>
          <w:p w14:paraId="4F30263D" w14:textId="60E36634" w:rsidR="008878A0" w:rsidRPr="005603C2" w:rsidRDefault="005233D7" w:rsidP="00941871">
            <w:pPr>
              <w:spacing w:after="0"/>
              <w:rPr>
                <w:color w:val="FFFFFF" w:themeColor="background1"/>
              </w:rPr>
            </w:pPr>
            <w:r w:rsidRPr="005603C2">
              <w:rPr>
                <w:color w:val="FFFFFF" w:themeColor="background1"/>
              </w:rPr>
              <w:t>17.</w:t>
            </w:r>
          </w:p>
        </w:tc>
        <w:tc>
          <w:tcPr>
            <w:tcW w:w="3895" w:type="dxa"/>
            <w:shd w:val="clear" w:color="auto" w:fill="D2232A"/>
            <w:noWrap/>
            <w:vAlign w:val="center"/>
            <w:hideMark/>
          </w:tcPr>
          <w:p w14:paraId="0537E375" w14:textId="7E65DCFB" w:rsidR="008878A0" w:rsidRPr="005603C2" w:rsidRDefault="005233D7" w:rsidP="00941871">
            <w:pPr>
              <w:spacing w:after="0"/>
              <w:rPr>
                <w:color w:val="FFFFFF" w:themeColor="background1"/>
              </w:rPr>
            </w:pPr>
            <w:r w:rsidRPr="005603C2">
              <w:rPr>
                <w:color w:val="FFFFFF" w:themeColor="background1"/>
              </w:rPr>
              <w:t>Dječji vrtić "Pušlek"</w:t>
            </w:r>
          </w:p>
        </w:tc>
        <w:tc>
          <w:tcPr>
            <w:tcW w:w="4672" w:type="dxa"/>
            <w:vAlign w:val="center"/>
            <w:hideMark/>
          </w:tcPr>
          <w:p w14:paraId="4C1DA531" w14:textId="51AAF95F" w:rsidR="008878A0" w:rsidRDefault="00F519D2" w:rsidP="00941871">
            <w:pPr>
              <w:spacing w:after="0"/>
            </w:pPr>
            <w:r>
              <w:t>Općina Marija Bistrica</w:t>
            </w:r>
          </w:p>
        </w:tc>
      </w:tr>
      <w:tr w:rsidR="008878A0" w14:paraId="7C64E4AA" w14:textId="77777777" w:rsidTr="008658ED">
        <w:trPr>
          <w:trHeight w:val="340"/>
        </w:trPr>
        <w:tc>
          <w:tcPr>
            <w:tcW w:w="495" w:type="dxa"/>
            <w:shd w:val="clear" w:color="auto" w:fill="D2232A"/>
            <w:vAlign w:val="center"/>
            <w:hideMark/>
          </w:tcPr>
          <w:p w14:paraId="33F24711" w14:textId="0A2C7352" w:rsidR="008878A0" w:rsidRPr="005603C2" w:rsidRDefault="005233D7" w:rsidP="00941871">
            <w:pPr>
              <w:spacing w:after="0"/>
              <w:rPr>
                <w:color w:val="FFFFFF" w:themeColor="background1"/>
              </w:rPr>
            </w:pPr>
            <w:r w:rsidRPr="005603C2">
              <w:rPr>
                <w:color w:val="FFFFFF" w:themeColor="background1"/>
              </w:rPr>
              <w:t>18.</w:t>
            </w:r>
          </w:p>
        </w:tc>
        <w:tc>
          <w:tcPr>
            <w:tcW w:w="3895" w:type="dxa"/>
            <w:shd w:val="clear" w:color="auto" w:fill="D2232A"/>
            <w:noWrap/>
            <w:vAlign w:val="center"/>
            <w:hideMark/>
          </w:tcPr>
          <w:p w14:paraId="709D2D31" w14:textId="0F07B2A6" w:rsidR="008878A0" w:rsidRPr="005603C2" w:rsidRDefault="005233D7" w:rsidP="00941871">
            <w:pPr>
              <w:spacing w:after="0"/>
              <w:rPr>
                <w:color w:val="FFFFFF" w:themeColor="background1"/>
              </w:rPr>
            </w:pPr>
            <w:r w:rsidRPr="005603C2">
              <w:rPr>
                <w:color w:val="FFFFFF" w:themeColor="background1"/>
              </w:rPr>
              <w:t>Dječji vrtić Škrinjica</w:t>
            </w:r>
          </w:p>
        </w:tc>
        <w:tc>
          <w:tcPr>
            <w:tcW w:w="4672" w:type="dxa"/>
            <w:vAlign w:val="center"/>
            <w:hideMark/>
          </w:tcPr>
          <w:p w14:paraId="58DB9EB8" w14:textId="4D0BC8DC" w:rsidR="008878A0" w:rsidRDefault="00F519D2" w:rsidP="00941871">
            <w:pPr>
              <w:spacing w:after="0"/>
            </w:pPr>
            <w:r>
              <w:t>Općina Radoboj</w:t>
            </w:r>
          </w:p>
        </w:tc>
      </w:tr>
      <w:tr w:rsidR="008878A0" w14:paraId="681F750F" w14:textId="77777777" w:rsidTr="008658ED">
        <w:trPr>
          <w:trHeight w:val="340"/>
        </w:trPr>
        <w:tc>
          <w:tcPr>
            <w:tcW w:w="495" w:type="dxa"/>
            <w:shd w:val="clear" w:color="auto" w:fill="D2232A"/>
            <w:vAlign w:val="center"/>
            <w:hideMark/>
          </w:tcPr>
          <w:p w14:paraId="45A53635" w14:textId="1B9FD1DB" w:rsidR="008878A0" w:rsidRPr="005603C2" w:rsidRDefault="005233D7" w:rsidP="00941871">
            <w:pPr>
              <w:spacing w:after="0"/>
              <w:rPr>
                <w:color w:val="FFFFFF" w:themeColor="background1"/>
              </w:rPr>
            </w:pPr>
            <w:r w:rsidRPr="005603C2">
              <w:rPr>
                <w:color w:val="FFFFFF" w:themeColor="background1"/>
              </w:rPr>
              <w:t>19.</w:t>
            </w:r>
          </w:p>
        </w:tc>
        <w:tc>
          <w:tcPr>
            <w:tcW w:w="3895" w:type="dxa"/>
            <w:shd w:val="clear" w:color="auto" w:fill="D2232A"/>
            <w:noWrap/>
            <w:vAlign w:val="center"/>
            <w:hideMark/>
          </w:tcPr>
          <w:p w14:paraId="6E1D712F" w14:textId="6F81F6BA" w:rsidR="008878A0" w:rsidRPr="005603C2" w:rsidRDefault="005233D7" w:rsidP="00941871">
            <w:pPr>
              <w:spacing w:after="0"/>
              <w:rPr>
                <w:color w:val="FFFFFF" w:themeColor="background1"/>
              </w:rPr>
            </w:pPr>
            <w:r w:rsidRPr="005603C2">
              <w:rPr>
                <w:color w:val="FFFFFF" w:themeColor="background1"/>
              </w:rPr>
              <w:t>Dječji vrtić Zvirek</w:t>
            </w:r>
          </w:p>
        </w:tc>
        <w:tc>
          <w:tcPr>
            <w:tcW w:w="4672" w:type="dxa"/>
            <w:vAlign w:val="center"/>
            <w:hideMark/>
          </w:tcPr>
          <w:p w14:paraId="7A8C016C" w14:textId="240BC49F" w:rsidR="008878A0" w:rsidRDefault="00F519D2" w:rsidP="00941871">
            <w:pPr>
              <w:spacing w:after="0"/>
            </w:pPr>
            <w:r>
              <w:t>Općina Stubičke Toplice</w:t>
            </w:r>
          </w:p>
        </w:tc>
      </w:tr>
      <w:tr w:rsidR="008878A0" w14:paraId="08DCDB4A" w14:textId="77777777" w:rsidTr="008658ED">
        <w:trPr>
          <w:trHeight w:val="340"/>
        </w:trPr>
        <w:tc>
          <w:tcPr>
            <w:tcW w:w="495" w:type="dxa"/>
            <w:shd w:val="clear" w:color="auto" w:fill="D2232A"/>
            <w:vAlign w:val="center"/>
            <w:hideMark/>
          </w:tcPr>
          <w:p w14:paraId="19DA9EC9" w14:textId="05556DA2" w:rsidR="008878A0" w:rsidRPr="005603C2" w:rsidRDefault="005233D7" w:rsidP="00941871">
            <w:pPr>
              <w:spacing w:after="0"/>
              <w:rPr>
                <w:color w:val="FFFFFF" w:themeColor="background1"/>
              </w:rPr>
            </w:pPr>
            <w:r w:rsidRPr="005603C2">
              <w:rPr>
                <w:color w:val="FFFFFF" w:themeColor="background1"/>
              </w:rPr>
              <w:t>20.</w:t>
            </w:r>
          </w:p>
        </w:tc>
        <w:tc>
          <w:tcPr>
            <w:tcW w:w="3895" w:type="dxa"/>
            <w:shd w:val="clear" w:color="auto" w:fill="D2232A"/>
            <w:noWrap/>
            <w:vAlign w:val="center"/>
            <w:hideMark/>
          </w:tcPr>
          <w:p w14:paraId="730A52CB" w14:textId="3E72F908" w:rsidR="008878A0" w:rsidRPr="005603C2" w:rsidRDefault="005233D7" w:rsidP="00941871">
            <w:pPr>
              <w:spacing w:after="0"/>
              <w:rPr>
                <w:color w:val="FFFFFF" w:themeColor="background1"/>
              </w:rPr>
            </w:pPr>
            <w:r w:rsidRPr="005603C2">
              <w:rPr>
                <w:color w:val="FFFFFF" w:themeColor="background1"/>
              </w:rPr>
              <w:t>Dječji vrtić "Rožica"</w:t>
            </w:r>
          </w:p>
        </w:tc>
        <w:tc>
          <w:tcPr>
            <w:tcW w:w="4672" w:type="dxa"/>
            <w:vAlign w:val="center"/>
            <w:hideMark/>
          </w:tcPr>
          <w:p w14:paraId="6E17246A" w14:textId="4B152C0C" w:rsidR="008878A0" w:rsidRDefault="00F519D2" w:rsidP="00941871">
            <w:pPr>
              <w:spacing w:after="0"/>
            </w:pPr>
            <w:r>
              <w:t>Općina Veliko Trgovišće</w:t>
            </w:r>
          </w:p>
        </w:tc>
      </w:tr>
      <w:tr w:rsidR="008878A0" w14:paraId="0F155A70" w14:textId="77777777" w:rsidTr="008658ED">
        <w:trPr>
          <w:trHeight w:val="340"/>
        </w:trPr>
        <w:tc>
          <w:tcPr>
            <w:tcW w:w="495" w:type="dxa"/>
            <w:shd w:val="clear" w:color="auto" w:fill="D2232A"/>
            <w:vAlign w:val="center"/>
            <w:hideMark/>
          </w:tcPr>
          <w:p w14:paraId="1BD56533" w14:textId="3DEF6087" w:rsidR="008878A0" w:rsidRPr="005603C2" w:rsidRDefault="005233D7" w:rsidP="00941871">
            <w:pPr>
              <w:spacing w:after="0"/>
              <w:rPr>
                <w:color w:val="FFFFFF" w:themeColor="background1"/>
              </w:rPr>
            </w:pPr>
            <w:r w:rsidRPr="005603C2">
              <w:rPr>
                <w:color w:val="FFFFFF" w:themeColor="background1"/>
              </w:rPr>
              <w:t>2</w:t>
            </w:r>
            <w:r>
              <w:rPr>
                <w:color w:val="FFFFFF" w:themeColor="background1"/>
              </w:rPr>
              <w:t>1.</w:t>
            </w:r>
          </w:p>
        </w:tc>
        <w:tc>
          <w:tcPr>
            <w:tcW w:w="3895" w:type="dxa"/>
            <w:shd w:val="clear" w:color="auto" w:fill="D2232A"/>
            <w:noWrap/>
            <w:vAlign w:val="center"/>
            <w:hideMark/>
          </w:tcPr>
          <w:p w14:paraId="64981BA9" w14:textId="43B3735E" w:rsidR="008878A0" w:rsidRPr="005603C2" w:rsidRDefault="005233D7" w:rsidP="00941871">
            <w:pPr>
              <w:spacing w:after="0"/>
              <w:rPr>
                <w:color w:val="FFFFFF" w:themeColor="background1"/>
              </w:rPr>
            </w:pPr>
            <w:r w:rsidRPr="005603C2">
              <w:rPr>
                <w:color w:val="FFFFFF" w:themeColor="background1"/>
              </w:rPr>
              <w:t xml:space="preserve">Dječji vrtić "Zlatni dani" </w:t>
            </w:r>
          </w:p>
        </w:tc>
        <w:tc>
          <w:tcPr>
            <w:tcW w:w="4672" w:type="dxa"/>
            <w:vAlign w:val="center"/>
            <w:hideMark/>
          </w:tcPr>
          <w:p w14:paraId="3A69FCD5" w14:textId="7282C5E0" w:rsidR="008878A0" w:rsidRDefault="00F519D2" w:rsidP="00941871">
            <w:pPr>
              <w:spacing w:after="0"/>
            </w:pPr>
            <w:r>
              <w:t>Općina Zlatar-Bistrica</w:t>
            </w:r>
          </w:p>
        </w:tc>
      </w:tr>
      <w:tr w:rsidR="008878A0" w14:paraId="26AD2242" w14:textId="77777777" w:rsidTr="008658ED">
        <w:trPr>
          <w:trHeight w:val="340"/>
        </w:trPr>
        <w:tc>
          <w:tcPr>
            <w:tcW w:w="495" w:type="dxa"/>
            <w:shd w:val="clear" w:color="auto" w:fill="D2232A"/>
            <w:vAlign w:val="center"/>
            <w:hideMark/>
          </w:tcPr>
          <w:p w14:paraId="30EF6B7E" w14:textId="62B5E431" w:rsidR="008878A0" w:rsidRPr="005603C2" w:rsidRDefault="005233D7" w:rsidP="00941871">
            <w:pPr>
              <w:spacing w:after="0"/>
              <w:rPr>
                <w:color w:val="FFFFFF" w:themeColor="background1"/>
              </w:rPr>
            </w:pPr>
            <w:r>
              <w:rPr>
                <w:color w:val="FFFFFF" w:themeColor="background1"/>
              </w:rPr>
              <w:t>22.</w:t>
            </w:r>
          </w:p>
        </w:tc>
        <w:tc>
          <w:tcPr>
            <w:tcW w:w="3895" w:type="dxa"/>
            <w:shd w:val="clear" w:color="auto" w:fill="D2232A"/>
            <w:noWrap/>
            <w:vAlign w:val="center"/>
            <w:hideMark/>
          </w:tcPr>
          <w:p w14:paraId="6BFB8974" w14:textId="6D58B162" w:rsidR="008878A0" w:rsidRPr="005603C2" w:rsidRDefault="0011775F" w:rsidP="00E12B41">
            <w:pPr>
              <w:spacing w:after="0"/>
              <w:jc w:val="left"/>
              <w:rPr>
                <w:color w:val="FFFFFF" w:themeColor="background1"/>
              </w:rPr>
            </w:pPr>
            <w:r w:rsidRPr="005603C2">
              <w:rPr>
                <w:color w:val="FFFFFF" w:themeColor="background1"/>
              </w:rPr>
              <w:t xml:space="preserve">Program predškolskog odgoja pri OŠ Vladimira Nazora </w:t>
            </w:r>
          </w:p>
        </w:tc>
        <w:tc>
          <w:tcPr>
            <w:tcW w:w="4672" w:type="dxa"/>
            <w:vAlign w:val="center"/>
            <w:hideMark/>
          </w:tcPr>
          <w:p w14:paraId="2BD50853" w14:textId="454F74A3" w:rsidR="008878A0" w:rsidRDefault="00FC7B58" w:rsidP="00941871">
            <w:pPr>
              <w:spacing w:after="0"/>
            </w:pPr>
            <w:r>
              <w:t xml:space="preserve">Općina Budinščina </w:t>
            </w:r>
          </w:p>
        </w:tc>
      </w:tr>
      <w:tr w:rsidR="008878A0" w14:paraId="01A6A594" w14:textId="77777777" w:rsidTr="008658ED">
        <w:trPr>
          <w:trHeight w:val="340"/>
        </w:trPr>
        <w:tc>
          <w:tcPr>
            <w:tcW w:w="495" w:type="dxa"/>
            <w:shd w:val="clear" w:color="auto" w:fill="D2232A"/>
            <w:vAlign w:val="center"/>
            <w:hideMark/>
          </w:tcPr>
          <w:p w14:paraId="5B080A1A" w14:textId="77777777" w:rsidR="008878A0" w:rsidRPr="005603C2" w:rsidRDefault="008878A0" w:rsidP="00941871">
            <w:pPr>
              <w:spacing w:after="0"/>
              <w:rPr>
                <w:color w:val="FFFFFF" w:themeColor="background1"/>
              </w:rPr>
            </w:pPr>
            <w:r w:rsidRPr="005603C2">
              <w:rPr>
                <w:color w:val="FFFFFF" w:themeColor="background1"/>
              </w:rPr>
              <w:t>23.</w:t>
            </w:r>
          </w:p>
        </w:tc>
        <w:tc>
          <w:tcPr>
            <w:tcW w:w="3895" w:type="dxa"/>
            <w:shd w:val="clear" w:color="auto" w:fill="D2232A"/>
            <w:noWrap/>
            <w:vAlign w:val="center"/>
            <w:hideMark/>
          </w:tcPr>
          <w:p w14:paraId="5E787643" w14:textId="07A7BD71" w:rsidR="008878A0" w:rsidRPr="005603C2" w:rsidRDefault="0011775F" w:rsidP="00E12B41">
            <w:pPr>
              <w:spacing w:after="0"/>
              <w:jc w:val="left"/>
              <w:rPr>
                <w:color w:val="FFFFFF" w:themeColor="background1"/>
              </w:rPr>
            </w:pPr>
            <w:r w:rsidRPr="005603C2">
              <w:rPr>
                <w:color w:val="FFFFFF" w:themeColor="background1"/>
              </w:rPr>
              <w:t>Program predškolskog odgoja pri OŠ Matije Gupca Gornja Stubica</w:t>
            </w:r>
          </w:p>
        </w:tc>
        <w:tc>
          <w:tcPr>
            <w:tcW w:w="4672" w:type="dxa"/>
            <w:vAlign w:val="center"/>
            <w:hideMark/>
          </w:tcPr>
          <w:p w14:paraId="4E5DDAFB" w14:textId="00C8E78F" w:rsidR="008878A0" w:rsidRDefault="00FC7B58" w:rsidP="00941871">
            <w:pPr>
              <w:spacing w:after="0"/>
            </w:pPr>
            <w:r>
              <w:t>Općina Gornja Stubica</w:t>
            </w:r>
          </w:p>
        </w:tc>
      </w:tr>
      <w:tr w:rsidR="008878A0" w14:paraId="0BFC8F95" w14:textId="77777777" w:rsidTr="008658ED">
        <w:trPr>
          <w:trHeight w:val="340"/>
        </w:trPr>
        <w:tc>
          <w:tcPr>
            <w:tcW w:w="495" w:type="dxa"/>
            <w:shd w:val="clear" w:color="auto" w:fill="D2232A"/>
            <w:vAlign w:val="center"/>
            <w:hideMark/>
          </w:tcPr>
          <w:p w14:paraId="712AE2CC" w14:textId="77777777" w:rsidR="008878A0" w:rsidRPr="005603C2" w:rsidRDefault="008878A0" w:rsidP="00941871">
            <w:pPr>
              <w:spacing w:after="0"/>
              <w:rPr>
                <w:color w:val="FFFFFF" w:themeColor="background1"/>
              </w:rPr>
            </w:pPr>
            <w:r w:rsidRPr="005603C2">
              <w:rPr>
                <w:color w:val="FFFFFF" w:themeColor="background1"/>
              </w:rPr>
              <w:t>24.</w:t>
            </w:r>
          </w:p>
        </w:tc>
        <w:tc>
          <w:tcPr>
            <w:tcW w:w="3895" w:type="dxa"/>
            <w:shd w:val="clear" w:color="auto" w:fill="D2232A"/>
            <w:noWrap/>
            <w:vAlign w:val="center"/>
            <w:hideMark/>
          </w:tcPr>
          <w:p w14:paraId="154BA99E" w14:textId="0820637D" w:rsidR="008878A0" w:rsidRPr="005603C2" w:rsidRDefault="0011775F" w:rsidP="00E12B41">
            <w:pPr>
              <w:spacing w:after="0"/>
              <w:jc w:val="left"/>
              <w:rPr>
                <w:color w:val="FFFFFF" w:themeColor="background1"/>
              </w:rPr>
            </w:pPr>
            <w:r w:rsidRPr="005603C2">
              <w:rPr>
                <w:color w:val="FFFFFF" w:themeColor="background1"/>
              </w:rPr>
              <w:t>Program predškole pri OŠ Pavla Štoosa</w:t>
            </w:r>
          </w:p>
        </w:tc>
        <w:tc>
          <w:tcPr>
            <w:tcW w:w="4672" w:type="dxa"/>
            <w:vAlign w:val="center"/>
            <w:hideMark/>
          </w:tcPr>
          <w:p w14:paraId="12B6DB02" w14:textId="63BA72D8" w:rsidR="008878A0" w:rsidRDefault="00FC7B58" w:rsidP="00941871">
            <w:pPr>
              <w:spacing w:after="0"/>
            </w:pPr>
            <w:r>
              <w:t>Općina Kraljevec na Sutli</w:t>
            </w:r>
          </w:p>
        </w:tc>
      </w:tr>
      <w:tr w:rsidR="008878A0" w14:paraId="08CD18BE" w14:textId="77777777" w:rsidTr="008658ED">
        <w:trPr>
          <w:trHeight w:val="340"/>
        </w:trPr>
        <w:tc>
          <w:tcPr>
            <w:tcW w:w="495" w:type="dxa"/>
            <w:shd w:val="clear" w:color="auto" w:fill="D2232A"/>
            <w:vAlign w:val="center"/>
            <w:hideMark/>
          </w:tcPr>
          <w:p w14:paraId="731CEEEA" w14:textId="77777777" w:rsidR="008878A0" w:rsidRPr="005603C2" w:rsidRDefault="008878A0" w:rsidP="00941871">
            <w:pPr>
              <w:spacing w:after="0"/>
              <w:rPr>
                <w:color w:val="FFFFFF" w:themeColor="background1"/>
              </w:rPr>
            </w:pPr>
            <w:r w:rsidRPr="005603C2">
              <w:rPr>
                <w:color w:val="FFFFFF" w:themeColor="background1"/>
              </w:rPr>
              <w:t>25.</w:t>
            </w:r>
          </w:p>
        </w:tc>
        <w:tc>
          <w:tcPr>
            <w:tcW w:w="3895" w:type="dxa"/>
            <w:shd w:val="clear" w:color="auto" w:fill="D2232A"/>
            <w:noWrap/>
            <w:vAlign w:val="center"/>
            <w:hideMark/>
          </w:tcPr>
          <w:p w14:paraId="38067228" w14:textId="7CEA9134" w:rsidR="008878A0" w:rsidRPr="005603C2" w:rsidRDefault="0011775F" w:rsidP="00E12B41">
            <w:pPr>
              <w:spacing w:after="0"/>
              <w:jc w:val="left"/>
              <w:rPr>
                <w:color w:val="FFFFFF" w:themeColor="background1"/>
              </w:rPr>
            </w:pPr>
            <w:r w:rsidRPr="005603C2">
              <w:rPr>
                <w:color w:val="FFFFFF" w:themeColor="background1"/>
              </w:rPr>
              <w:t xml:space="preserve">Program predškolskog odgoja pri Centru za odgoj i obrazovanje Krapinske Toplice </w:t>
            </w:r>
          </w:p>
        </w:tc>
        <w:tc>
          <w:tcPr>
            <w:tcW w:w="4672" w:type="dxa"/>
            <w:vAlign w:val="center"/>
            <w:hideMark/>
          </w:tcPr>
          <w:p w14:paraId="6A5638C7" w14:textId="3EEA8CEC" w:rsidR="008878A0" w:rsidRDefault="00FC7B58" w:rsidP="00941871">
            <w:pPr>
              <w:spacing w:after="0"/>
            </w:pPr>
            <w:r>
              <w:t>Općina Krapinske Toplice</w:t>
            </w:r>
          </w:p>
        </w:tc>
      </w:tr>
      <w:tr w:rsidR="008878A0" w14:paraId="3065B6EE" w14:textId="77777777" w:rsidTr="008658ED">
        <w:trPr>
          <w:trHeight w:val="340"/>
        </w:trPr>
        <w:tc>
          <w:tcPr>
            <w:tcW w:w="495" w:type="dxa"/>
            <w:shd w:val="clear" w:color="auto" w:fill="D2232A"/>
            <w:vAlign w:val="center"/>
            <w:hideMark/>
          </w:tcPr>
          <w:p w14:paraId="3F3ADA76" w14:textId="77777777" w:rsidR="008878A0" w:rsidRPr="005603C2" w:rsidRDefault="008878A0" w:rsidP="00941871">
            <w:pPr>
              <w:spacing w:after="0"/>
              <w:rPr>
                <w:color w:val="FFFFFF" w:themeColor="background1"/>
              </w:rPr>
            </w:pPr>
            <w:r w:rsidRPr="005603C2">
              <w:rPr>
                <w:color w:val="FFFFFF" w:themeColor="background1"/>
              </w:rPr>
              <w:t>26.</w:t>
            </w:r>
          </w:p>
        </w:tc>
        <w:tc>
          <w:tcPr>
            <w:tcW w:w="3895" w:type="dxa"/>
            <w:shd w:val="clear" w:color="auto" w:fill="D2232A"/>
            <w:noWrap/>
            <w:vAlign w:val="center"/>
            <w:hideMark/>
          </w:tcPr>
          <w:p w14:paraId="4FDBA580" w14:textId="15D1B492" w:rsidR="008878A0" w:rsidRPr="005603C2" w:rsidRDefault="0011775F" w:rsidP="00E12B41">
            <w:pPr>
              <w:spacing w:after="0"/>
              <w:jc w:val="left"/>
              <w:rPr>
                <w:color w:val="FFFFFF" w:themeColor="background1"/>
              </w:rPr>
            </w:pPr>
            <w:r w:rsidRPr="005603C2">
              <w:rPr>
                <w:color w:val="FFFFFF" w:themeColor="background1"/>
              </w:rPr>
              <w:t xml:space="preserve">Program predškole pri OŠ Franje Horvata Kiša </w:t>
            </w:r>
          </w:p>
        </w:tc>
        <w:tc>
          <w:tcPr>
            <w:tcW w:w="4672" w:type="dxa"/>
            <w:vAlign w:val="center"/>
            <w:hideMark/>
          </w:tcPr>
          <w:p w14:paraId="38690807" w14:textId="5FE441C6" w:rsidR="008878A0" w:rsidRDefault="00FC7B58" w:rsidP="00941871">
            <w:pPr>
              <w:spacing w:after="0"/>
            </w:pPr>
            <w:r>
              <w:t>Općina Lobor</w:t>
            </w:r>
          </w:p>
        </w:tc>
      </w:tr>
      <w:tr w:rsidR="008878A0" w14:paraId="2C13E836" w14:textId="77777777" w:rsidTr="008658ED">
        <w:trPr>
          <w:trHeight w:val="340"/>
        </w:trPr>
        <w:tc>
          <w:tcPr>
            <w:tcW w:w="495" w:type="dxa"/>
            <w:shd w:val="clear" w:color="auto" w:fill="D2232A"/>
            <w:vAlign w:val="center"/>
            <w:hideMark/>
          </w:tcPr>
          <w:p w14:paraId="49279FC1" w14:textId="77777777" w:rsidR="008878A0" w:rsidRPr="005603C2" w:rsidRDefault="008878A0" w:rsidP="00941871">
            <w:pPr>
              <w:spacing w:after="0"/>
              <w:rPr>
                <w:color w:val="FFFFFF" w:themeColor="background1"/>
              </w:rPr>
            </w:pPr>
            <w:r w:rsidRPr="005603C2">
              <w:rPr>
                <w:color w:val="FFFFFF" w:themeColor="background1"/>
              </w:rPr>
              <w:t>27.</w:t>
            </w:r>
          </w:p>
        </w:tc>
        <w:tc>
          <w:tcPr>
            <w:tcW w:w="3895" w:type="dxa"/>
            <w:shd w:val="clear" w:color="auto" w:fill="D2232A"/>
            <w:noWrap/>
            <w:vAlign w:val="center"/>
            <w:hideMark/>
          </w:tcPr>
          <w:p w14:paraId="10287A0B" w14:textId="77777777" w:rsidR="008878A0" w:rsidRPr="005603C2" w:rsidRDefault="008878A0" w:rsidP="00E12B41">
            <w:pPr>
              <w:spacing w:after="0"/>
              <w:jc w:val="left"/>
              <w:rPr>
                <w:color w:val="FFFFFF" w:themeColor="background1"/>
              </w:rPr>
            </w:pPr>
            <w:r w:rsidRPr="005603C2">
              <w:rPr>
                <w:color w:val="FFFFFF" w:themeColor="background1"/>
              </w:rPr>
              <w:t>Program predškole pri OŠ Mače</w:t>
            </w:r>
          </w:p>
        </w:tc>
        <w:tc>
          <w:tcPr>
            <w:tcW w:w="4672" w:type="dxa"/>
            <w:vAlign w:val="center"/>
            <w:hideMark/>
          </w:tcPr>
          <w:p w14:paraId="7BDEC40C" w14:textId="77777777" w:rsidR="008878A0" w:rsidRDefault="008878A0" w:rsidP="00941871">
            <w:pPr>
              <w:spacing w:after="0"/>
            </w:pPr>
            <w:r>
              <w:t>Općina Mače</w:t>
            </w:r>
          </w:p>
        </w:tc>
      </w:tr>
      <w:tr w:rsidR="008878A0" w14:paraId="1F49E9D2" w14:textId="77777777" w:rsidTr="008658ED">
        <w:trPr>
          <w:trHeight w:val="340"/>
        </w:trPr>
        <w:tc>
          <w:tcPr>
            <w:tcW w:w="495" w:type="dxa"/>
            <w:shd w:val="clear" w:color="auto" w:fill="D2232A"/>
            <w:vAlign w:val="center"/>
            <w:hideMark/>
          </w:tcPr>
          <w:p w14:paraId="12C0302B" w14:textId="77777777" w:rsidR="008878A0" w:rsidRPr="005603C2" w:rsidRDefault="008878A0" w:rsidP="00941871">
            <w:pPr>
              <w:spacing w:after="0"/>
              <w:rPr>
                <w:color w:val="FFFFFF" w:themeColor="background1"/>
              </w:rPr>
            </w:pPr>
            <w:r w:rsidRPr="005603C2">
              <w:rPr>
                <w:color w:val="FFFFFF" w:themeColor="background1"/>
              </w:rPr>
              <w:t>28.</w:t>
            </w:r>
          </w:p>
        </w:tc>
        <w:tc>
          <w:tcPr>
            <w:tcW w:w="3895" w:type="dxa"/>
            <w:shd w:val="clear" w:color="auto" w:fill="D2232A"/>
            <w:noWrap/>
            <w:vAlign w:val="center"/>
            <w:hideMark/>
          </w:tcPr>
          <w:p w14:paraId="72049F36" w14:textId="4DD1667C" w:rsidR="008878A0" w:rsidRPr="005603C2" w:rsidRDefault="0011775F" w:rsidP="00E12B41">
            <w:pPr>
              <w:spacing w:after="0"/>
              <w:jc w:val="left"/>
              <w:rPr>
                <w:color w:val="FFFFFF" w:themeColor="background1"/>
              </w:rPr>
            </w:pPr>
            <w:r w:rsidRPr="005603C2">
              <w:rPr>
                <w:color w:val="FFFFFF" w:themeColor="background1"/>
              </w:rPr>
              <w:t>Program predškole pri OŠ Ljudevita Gaja</w:t>
            </w:r>
          </w:p>
        </w:tc>
        <w:tc>
          <w:tcPr>
            <w:tcW w:w="4672" w:type="dxa"/>
            <w:vAlign w:val="center"/>
            <w:hideMark/>
          </w:tcPr>
          <w:p w14:paraId="365CC04C" w14:textId="472D1D04" w:rsidR="008878A0" w:rsidRDefault="00FC7B58" w:rsidP="00941871">
            <w:pPr>
              <w:spacing w:after="0"/>
            </w:pPr>
            <w:r>
              <w:t>Općina Mihovljan</w:t>
            </w:r>
          </w:p>
        </w:tc>
      </w:tr>
      <w:tr w:rsidR="008878A0" w14:paraId="57FBF3C8" w14:textId="77777777" w:rsidTr="008658ED">
        <w:trPr>
          <w:trHeight w:val="340"/>
        </w:trPr>
        <w:tc>
          <w:tcPr>
            <w:tcW w:w="495" w:type="dxa"/>
            <w:shd w:val="clear" w:color="auto" w:fill="D2232A"/>
            <w:vAlign w:val="center"/>
            <w:hideMark/>
          </w:tcPr>
          <w:p w14:paraId="719BD854" w14:textId="77777777" w:rsidR="008878A0" w:rsidRPr="005603C2" w:rsidRDefault="008878A0" w:rsidP="00941871">
            <w:pPr>
              <w:spacing w:after="0"/>
              <w:rPr>
                <w:color w:val="FFFFFF" w:themeColor="background1"/>
              </w:rPr>
            </w:pPr>
            <w:r w:rsidRPr="005603C2">
              <w:rPr>
                <w:color w:val="FFFFFF" w:themeColor="background1"/>
              </w:rPr>
              <w:t>29.</w:t>
            </w:r>
          </w:p>
        </w:tc>
        <w:tc>
          <w:tcPr>
            <w:tcW w:w="3895" w:type="dxa"/>
            <w:shd w:val="clear" w:color="auto" w:fill="D2232A"/>
            <w:noWrap/>
            <w:vAlign w:val="center"/>
            <w:hideMark/>
          </w:tcPr>
          <w:p w14:paraId="02C713D1" w14:textId="7E99F635" w:rsidR="008878A0" w:rsidRPr="005603C2" w:rsidRDefault="0011775F" w:rsidP="00E12B41">
            <w:pPr>
              <w:spacing w:after="0"/>
              <w:jc w:val="left"/>
              <w:rPr>
                <w:color w:val="FFFFFF" w:themeColor="background1"/>
              </w:rPr>
            </w:pPr>
            <w:r w:rsidRPr="005603C2">
              <w:rPr>
                <w:color w:val="FFFFFF" w:themeColor="background1"/>
              </w:rPr>
              <w:t>Program predškolskog odgoja pri OŠ Sveti Križ Začretje</w:t>
            </w:r>
          </w:p>
        </w:tc>
        <w:tc>
          <w:tcPr>
            <w:tcW w:w="4672" w:type="dxa"/>
            <w:vAlign w:val="center"/>
            <w:hideMark/>
          </w:tcPr>
          <w:p w14:paraId="2A4FF1CC" w14:textId="260B6F34" w:rsidR="008878A0" w:rsidRDefault="00FC7B58" w:rsidP="00941871">
            <w:pPr>
              <w:spacing w:after="0"/>
            </w:pPr>
            <w:r>
              <w:t>Općina Sveti Križ Začretje</w:t>
            </w:r>
          </w:p>
        </w:tc>
      </w:tr>
      <w:tr w:rsidR="008878A0" w14:paraId="614153BE" w14:textId="77777777" w:rsidTr="008658ED">
        <w:trPr>
          <w:trHeight w:val="340"/>
        </w:trPr>
        <w:tc>
          <w:tcPr>
            <w:tcW w:w="495" w:type="dxa"/>
            <w:shd w:val="clear" w:color="auto" w:fill="D2232A"/>
            <w:vAlign w:val="center"/>
            <w:hideMark/>
          </w:tcPr>
          <w:p w14:paraId="77C413DF" w14:textId="77777777" w:rsidR="008878A0" w:rsidRPr="005603C2" w:rsidRDefault="008878A0" w:rsidP="00941871">
            <w:pPr>
              <w:spacing w:after="0"/>
              <w:rPr>
                <w:color w:val="FFFFFF" w:themeColor="background1"/>
              </w:rPr>
            </w:pPr>
            <w:r w:rsidRPr="005603C2">
              <w:rPr>
                <w:color w:val="FFFFFF" w:themeColor="background1"/>
              </w:rPr>
              <w:t>30.</w:t>
            </w:r>
          </w:p>
        </w:tc>
        <w:tc>
          <w:tcPr>
            <w:tcW w:w="3895" w:type="dxa"/>
            <w:shd w:val="clear" w:color="auto" w:fill="D2232A"/>
            <w:noWrap/>
            <w:vAlign w:val="center"/>
            <w:hideMark/>
          </w:tcPr>
          <w:p w14:paraId="383B5882" w14:textId="29090E65" w:rsidR="008878A0" w:rsidRPr="005603C2" w:rsidRDefault="0011775F" w:rsidP="00E12B41">
            <w:pPr>
              <w:spacing w:after="0"/>
              <w:jc w:val="left"/>
              <w:rPr>
                <w:color w:val="FFFFFF" w:themeColor="background1"/>
              </w:rPr>
            </w:pPr>
            <w:r w:rsidRPr="005603C2">
              <w:rPr>
                <w:color w:val="FFFFFF" w:themeColor="background1"/>
              </w:rPr>
              <w:t>Program predškole pri OŠ Lijepa naša</w:t>
            </w:r>
          </w:p>
        </w:tc>
        <w:tc>
          <w:tcPr>
            <w:tcW w:w="4672" w:type="dxa"/>
            <w:vAlign w:val="center"/>
            <w:hideMark/>
          </w:tcPr>
          <w:p w14:paraId="57BF4EDD" w14:textId="52BC3666" w:rsidR="008878A0" w:rsidRDefault="00FC7B58" w:rsidP="00941871">
            <w:pPr>
              <w:spacing w:after="0"/>
            </w:pPr>
            <w:r>
              <w:t>Općina Tuhelj</w:t>
            </w:r>
          </w:p>
        </w:tc>
      </w:tr>
    </w:tbl>
    <w:p w14:paraId="25E9FCFF" w14:textId="493AC569" w:rsidR="00411D05" w:rsidRPr="006B5411" w:rsidRDefault="008878A0" w:rsidP="003C2276">
      <w:pPr>
        <w:pStyle w:val="Izvor"/>
        <w:rPr>
          <w:i/>
          <w:color w:val="ABABAB" w:themeColor="text1" w:themeTint="A6"/>
          <w:sz w:val="16"/>
          <w:szCs w:val="16"/>
        </w:rPr>
      </w:pPr>
      <w:r w:rsidRPr="006B5411">
        <w:rPr>
          <w:i/>
          <w:color w:val="ABABAB" w:themeColor="text1" w:themeTint="A6"/>
          <w:sz w:val="16"/>
          <w:szCs w:val="16"/>
        </w:rPr>
        <w:t xml:space="preserve">Izvor: </w:t>
      </w:r>
      <w:r w:rsidR="00417F61" w:rsidRPr="006B5411">
        <w:rPr>
          <w:i/>
          <w:color w:val="ABABAB" w:themeColor="text1" w:themeTint="A6"/>
          <w:sz w:val="16"/>
          <w:szCs w:val="16"/>
        </w:rPr>
        <w:t>Zagorska razvojna agencija, 2019. godina</w:t>
      </w:r>
    </w:p>
    <w:p w14:paraId="6EB41E4A" w14:textId="77777777" w:rsidR="00864455" w:rsidRPr="00864455" w:rsidRDefault="00864455" w:rsidP="00855D8D">
      <w:pPr>
        <w:pStyle w:val="Izvor"/>
      </w:pPr>
    </w:p>
    <w:p w14:paraId="64D516C2" w14:textId="2E63CDD5" w:rsidR="00EC6833" w:rsidRDefault="00EC6833" w:rsidP="00EC6833">
      <w:r w:rsidRPr="00BC3FB3">
        <w:t>Što se tiče prostornog razmještaja vrtića, u 1</w:t>
      </w:r>
      <w:r>
        <w:t>3</w:t>
      </w:r>
      <w:r w:rsidRPr="00BC3FB3">
        <w:t xml:space="preserve"> jedinica lokalne samouprave ne postoji dječji vrtić (Budinščina, Đurmanec, Gornja Stubica, Hrašćina, Jesenje, Kraljevec na Sutli, Lobor, Mače, Mihovljan, Novi Golubovec, Petrovsko</w:t>
      </w:r>
      <w:r>
        <w:t xml:space="preserve">, Tuhelj i </w:t>
      </w:r>
      <w:r w:rsidRPr="00BC3FB3">
        <w:t xml:space="preserve">Zagorska Sela). Djeca s područja navedenih jedinica lokalne samouprave polaznici su odgojno-obrazovnog programa predškolskog odgoja u drugim ustanovama ili susjednim jedinicama lokalne samouprave. </w:t>
      </w:r>
    </w:p>
    <w:p w14:paraId="4214C358" w14:textId="0391F6FD" w:rsidR="00EC6833" w:rsidRPr="00EC6833" w:rsidRDefault="00EC6833" w:rsidP="00941871">
      <w:pPr>
        <w:rPr>
          <w:rFonts w:ascii="Times New Roman" w:hAnsi="Times New Roman" w:cs="Times New Roman"/>
          <w:sz w:val="24"/>
          <w:szCs w:val="24"/>
          <w:lang w:eastAsia="hr-HR"/>
        </w:rPr>
      </w:pPr>
      <w:r w:rsidRPr="00BC3FB3">
        <w:t xml:space="preserve">U 2019. godine započela je izgradnja dječjih vrtića u </w:t>
      </w:r>
      <w:r>
        <w:t xml:space="preserve">Općini </w:t>
      </w:r>
      <w:r w:rsidRPr="00BC3FB3">
        <w:t>Tuh</w:t>
      </w:r>
      <w:r>
        <w:t>el</w:t>
      </w:r>
      <w:r w:rsidRPr="00BC3FB3">
        <w:t>j</w:t>
      </w:r>
      <w:r>
        <w:t xml:space="preserve">, </w:t>
      </w:r>
      <w:r w:rsidRPr="00BC3FB3">
        <w:t>Svetom Križu Začretju</w:t>
      </w:r>
      <w:r>
        <w:t xml:space="preserve"> i Gradu Klanjcu. Izgradnja novih vrtića planira se i u općinama Mihovljan, Mače, Lobor, Budinščina, Gornja Stubica, Đurmanec i Marija Bistrica. U gradovima Zlatar i Oroslavje izvodi se nadogradnja dječjih vrtića. </w:t>
      </w:r>
      <w:r w:rsidRPr="00BC3FB3">
        <w:t xml:space="preserve">Izgradnja vrtića sufinancirana je sredstvima iz natječaja Agencije za plaćanja u poljoprivredi, ribarstvu i ruralnom razvoju za tip operacije 7.4.1. „Ulaganje u pokretanje, poboljšanje ili proširenje lokalnih temeljnih usluga za ruralno stanovništvo, uključujući slobodno vrijeme i kulturne aktivnosti te povezanu infrastrukturu“. </w:t>
      </w:r>
    </w:p>
    <w:p w14:paraId="12330F80" w14:textId="44D88936" w:rsidR="008878A0" w:rsidRDefault="008878A0" w:rsidP="00941871">
      <w:r>
        <w:lastRenderedPageBreak/>
        <w:t>Programi predškolskog odgoja mogu se ostvarivati pri osnovnim školama, kao kraći programi odgojno-obrazovnog rada s djecom rane i predškolske dobi (igraonice), pri knjižnicama, zdravstvenim, socijalnim, kulturnim i sportskim ustanovama, udrugama te drugim pravnim i fizičkim osobama – obrtnicima. U većini slučajeva boravak djece u vrtićima sufinancira</w:t>
      </w:r>
      <w:r w:rsidR="00FF365C">
        <w:t>ju</w:t>
      </w:r>
      <w:r>
        <w:t xml:space="preserve"> JLS u iznosu od 50 posto od ekonomske cijene redovnog programa vrtića. </w:t>
      </w:r>
    </w:p>
    <w:p w14:paraId="4BE6629D" w14:textId="77777777" w:rsidR="008878A0" w:rsidRDefault="008878A0" w:rsidP="00941871">
      <w:r>
        <w:t>Svi vrtići provode redoviti cjelodnevni program u trajanju od 7 do 10 sati dnevno, a od dodatnih programa provode se programi ranog učenja stranog jezika, glazbeni, likovni i dramsko-scenski programi te športski i drugi programi.  Odgojno-obrazovne skupine ustrojavaju se prema dobi djece, vrsti i trajanju programa, sposobnostima, potrebama i interesima djece i roditelja.</w:t>
      </w:r>
    </w:p>
    <w:p w14:paraId="6061F4F4" w14:textId="63D50109" w:rsidR="008878A0" w:rsidRDefault="008878A0" w:rsidP="00941871">
      <w:r>
        <w:t>U pedagoškoj godini 201</w:t>
      </w:r>
      <w:r w:rsidR="00AD3E11">
        <w:t>9</w:t>
      </w:r>
      <w:r>
        <w:t>./20</w:t>
      </w:r>
      <w:r w:rsidR="00AD3E11">
        <w:t>20</w:t>
      </w:r>
      <w:r>
        <w:t xml:space="preserve">. u dječjim vrtićima na području Županije u prosjeku je bilo upisano </w:t>
      </w:r>
      <w:r w:rsidRPr="00AD3E11">
        <w:t>14</w:t>
      </w:r>
      <w:r w:rsidR="00AD3E11" w:rsidRPr="00AD3E11">
        <w:t>1</w:t>
      </w:r>
      <w:r>
        <w:t xml:space="preserve"> d</w:t>
      </w:r>
      <w:r w:rsidR="00AD3E11">
        <w:t>i</w:t>
      </w:r>
      <w:r>
        <w:t>je</w:t>
      </w:r>
      <w:r w:rsidR="00AD3E11">
        <w:t>te</w:t>
      </w:r>
      <w:r>
        <w:t xml:space="preserve"> po vrtiću</w:t>
      </w:r>
      <w:r w:rsidR="00FE0711">
        <w:t xml:space="preserve">, </w:t>
      </w:r>
      <w:r w:rsidR="008902DA">
        <w:t xml:space="preserve">a </w:t>
      </w:r>
      <w:r w:rsidR="00FE0711">
        <w:t xml:space="preserve">najviše </w:t>
      </w:r>
      <w:r w:rsidR="004F3A31">
        <w:t xml:space="preserve">upisane </w:t>
      </w:r>
      <w:r w:rsidR="00FE0711">
        <w:t xml:space="preserve">djece po dječjem vrtiću </w:t>
      </w:r>
      <w:r w:rsidR="008902DA">
        <w:t xml:space="preserve">po županijama </w:t>
      </w:r>
      <w:r w:rsidR="00FE0711">
        <w:t xml:space="preserve">ima u </w:t>
      </w:r>
      <w:r w:rsidR="00807C1C">
        <w:t xml:space="preserve">Virovitičko-podravskoj </w:t>
      </w:r>
      <w:r w:rsidR="00FE0711">
        <w:t>županiji (</w:t>
      </w:r>
      <w:r w:rsidR="00807C1C">
        <w:t>248</w:t>
      </w:r>
      <w:r w:rsidR="00FE0711">
        <w:t>)</w:t>
      </w:r>
      <w:r w:rsidR="009A0BBF">
        <w:t xml:space="preserve">. </w:t>
      </w:r>
      <w:r>
        <w:t xml:space="preserve">Na razini </w:t>
      </w:r>
      <w:r w:rsidR="00C7437E">
        <w:t>Sjevern</w:t>
      </w:r>
      <w:r w:rsidR="00FE0711">
        <w:t>e</w:t>
      </w:r>
      <w:r>
        <w:t xml:space="preserve"> Hrvatske (na čijem se području nalazi ukupno </w:t>
      </w:r>
      <w:r w:rsidR="004F3A31">
        <w:t xml:space="preserve">321 </w:t>
      </w:r>
      <w:r>
        <w:t>vrtić i drug</w:t>
      </w:r>
      <w:r w:rsidR="004F3A31">
        <w:t>e</w:t>
      </w:r>
      <w:r>
        <w:t xml:space="preserve"> pravn</w:t>
      </w:r>
      <w:r w:rsidR="004F3A31">
        <w:t>e</w:t>
      </w:r>
      <w:r>
        <w:t xml:space="preserve"> osob</w:t>
      </w:r>
      <w:r w:rsidR="004F3A31">
        <w:t>e</w:t>
      </w:r>
      <w:r>
        <w:t xml:space="preserve"> koje se bave predškolskim odgojem) prosječan broj djece po dječjem vrtiću iznosi </w:t>
      </w:r>
      <w:r w:rsidR="00F46B8F">
        <w:t>84</w:t>
      </w:r>
      <w:r>
        <w:t xml:space="preserve">, a za Republiku Hrvatsku taj pokazatelj iznosi </w:t>
      </w:r>
      <w:r w:rsidR="00F46B8F">
        <w:t>93</w:t>
      </w:r>
      <w:r>
        <w:t xml:space="preserve">. </w:t>
      </w:r>
      <w:r w:rsidRPr="00EE2C10">
        <w:t xml:space="preserve">Prema </w:t>
      </w:r>
      <w:r w:rsidR="006C1D84">
        <w:t xml:space="preserve">prikupljenim podacima dječjih vrtića </w:t>
      </w:r>
      <w:r w:rsidRPr="00EE2C10">
        <w:t xml:space="preserve">za </w:t>
      </w:r>
      <w:r w:rsidR="009A0BBF" w:rsidRPr="00EE2C10">
        <w:t>pedagošku</w:t>
      </w:r>
      <w:r w:rsidRPr="00EE2C10">
        <w:t xml:space="preserve"> godinu 2018./2019., u </w:t>
      </w:r>
      <w:r w:rsidR="00EE2C10" w:rsidRPr="00EE2C10">
        <w:t>21</w:t>
      </w:r>
      <w:r w:rsidRPr="00EE2C10">
        <w:t xml:space="preserve"> </w:t>
      </w:r>
      <w:r w:rsidR="00FE0711" w:rsidRPr="00EE2C10">
        <w:t>dječj</w:t>
      </w:r>
      <w:r w:rsidR="00EE2C10" w:rsidRPr="00EE2C10">
        <w:t>em</w:t>
      </w:r>
      <w:r w:rsidR="00FE0711" w:rsidRPr="00EE2C10">
        <w:t xml:space="preserve"> vr</w:t>
      </w:r>
      <w:r w:rsidRPr="00EE2C10">
        <w:t>tić</w:t>
      </w:r>
      <w:r w:rsidR="00EE2C10" w:rsidRPr="00EE2C10">
        <w:t>u</w:t>
      </w:r>
      <w:r w:rsidRPr="00EE2C10">
        <w:t xml:space="preserve"> na području Krapinsko-zagorske županije postoje jasličke grupe u koje je upisano ukupno </w:t>
      </w:r>
      <w:r w:rsidRPr="00D25751">
        <w:t>5</w:t>
      </w:r>
      <w:r w:rsidR="00EE2C10" w:rsidRPr="00D25751">
        <w:t xml:space="preserve">77 </w:t>
      </w:r>
      <w:r w:rsidRPr="00D25751">
        <w:t>djece.</w:t>
      </w:r>
      <w:r>
        <w:t xml:space="preserve"> </w:t>
      </w:r>
      <w:r w:rsidR="00303EE7">
        <w:t xml:space="preserve">Na području Krapinsko- zagorske županije jedino </w:t>
      </w:r>
      <w:r w:rsidR="006C1D84">
        <w:t xml:space="preserve">Dječji vrtić Tratinčica nije imao jasličku grupu u šk.godini 2018. /2019. </w:t>
      </w:r>
    </w:p>
    <w:p w14:paraId="380AAE6E" w14:textId="58D34D28" w:rsidR="001E7E0F" w:rsidRDefault="00BC3D7D" w:rsidP="001E7E0F">
      <w:r w:rsidRPr="00BC3D7D">
        <w:t xml:space="preserve">U odnosu na broj </w:t>
      </w:r>
      <w:r w:rsidR="00F07E79">
        <w:t>odgojitelj</w:t>
      </w:r>
      <w:r w:rsidR="008902DA" w:rsidRPr="00BC3D7D">
        <w:t xml:space="preserve">a, </w:t>
      </w:r>
      <w:r w:rsidRPr="00BC3D7D">
        <w:t xml:space="preserve">broj djece po </w:t>
      </w:r>
      <w:r w:rsidR="00F07E79">
        <w:t>odgojitelj</w:t>
      </w:r>
      <w:r w:rsidRPr="00BC3D7D">
        <w:t>u u Krapinsko-zagorskoj županiji u pedagoškoj godini 201</w:t>
      </w:r>
      <w:r w:rsidR="002C7E17">
        <w:t>9</w:t>
      </w:r>
      <w:r w:rsidRPr="00BC3D7D">
        <w:t>./20</w:t>
      </w:r>
      <w:r w:rsidR="002C7E17">
        <w:t>20</w:t>
      </w:r>
      <w:r w:rsidRPr="00BC3D7D">
        <w:t>. iznosi 11,</w:t>
      </w:r>
      <w:r w:rsidR="003665E9">
        <w:t>58</w:t>
      </w:r>
      <w:r w:rsidR="003665E9" w:rsidRPr="00BC3D7D">
        <w:t xml:space="preserve"> </w:t>
      </w:r>
      <w:r w:rsidRPr="00BC3D7D">
        <w:t>(</w:t>
      </w:r>
      <w:r w:rsidR="00C7437E">
        <w:t>Sjevern</w:t>
      </w:r>
      <w:r w:rsidR="009A0BBF">
        <w:t>a</w:t>
      </w:r>
      <w:r w:rsidRPr="00BC3D7D">
        <w:t xml:space="preserve"> Hrvatska = </w:t>
      </w:r>
      <w:r w:rsidR="003665E9">
        <w:t>10</w:t>
      </w:r>
      <w:r w:rsidR="009A0BBF">
        <w:t>,</w:t>
      </w:r>
      <w:r w:rsidR="003665E9">
        <w:t>98</w:t>
      </w:r>
      <w:r w:rsidRPr="00BC3D7D">
        <w:t>, Republika Hrvatska = 10,</w:t>
      </w:r>
      <w:r w:rsidR="003665E9">
        <w:t>25</w:t>
      </w:r>
      <w:r w:rsidRPr="00BC3D7D">
        <w:t>). Broj potrebnih odgojitelja po odgojno-obrazovnoj skupini propisan je Državnim pedagoškim standardom</w:t>
      </w:r>
      <w:r>
        <w:rPr>
          <w:rStyle w:val="Referencafusnote"/>
        </w:rPr>
        <w:footnoteReference w:id="51"/>
      </w:r>
      <w:r w:rsidRPr="00BC3D7D">
        <w:t xml:space="preserve"> te ovisi o vrsti i trajanju pojedinog programa. Tako su za provedbu cjelodnevnog programa u trajanju od 7 do 10 sati dnevno predviđena dva </w:t>
      </w:r>
      <w:r w:rsidR="00F07E79">
        <w:t>odgojitelj</w:t>
      </w:r>
      <w:r w:rsidRPr="00BC3D7D">
        <w:t xml:space="preserve">a s punim radnim vremenom. Također je propisano da broj djece u jednoj odgojno-obrazovnoj skupini ne može biti veći od 20, odnosno 10 na jednog </w:t>
      </w:r>
      <w:r w:rsidR="00F07E79">
        <w:t>odgojitelj</w:t>
      </w:r>
      <w:r w:rsidRPr="00BC3D7D">
        <w:t xml:space="preserve">a po skupini. Iako nema značajnijih odstupanja broj </w:t>
      </w:r>
      <w:r w:rsidR="00F07E79">
        <w:t>odgojitelj</w:t>
      </w:r>
      <w:r w:rsidRPr="00BC3D7D">
        <w:t>a u ustanovama predškolskog odgoja u Krapinsko-zagorskoj županiji premalen je i ne udovoljava propisanim pedagoškim standardima.</w:t>
      </w:r>
    </w:p>
    <w:p w14:paraId="3D43CD1A" w14:textId="77777777" w:rsidR="00EC322E" w:rsidRDefault="00EC322E" w:rsidP="001E7E0F"/>
    <w:p w14:paraId="062961F6" w14:textId="2DA2C56B" w:rsidR="00B61760" w:rsidRDefault="008878A0" w:rsidP="003E3F3C">
      <w:pPr>
        <w:pStyle w:val="Opisslike"/>
      </w:pPr>
      <w:r>
        <w:t xml:space="preserve">Tablica </w:t>
      </w:r>
      <w:r w:rsidR="0018019C">
        <w:rPr>
          <w:noProof/>
        </w:rPr>
        <w:t>5</w:t>
      </w:r>
      <w:r w:rsidR="00004F7D">
        <w:rPr>
          <w:noProof/>
        </w:rPr>
        <w:t>2</w:t>
      </w:r>
      <w:r w:rsidR="00825CD8">
        <w:rPr>
          <w:noProof/>
        </w:rPr>
        <w:t>.</w:t>
      </w:r>
      <w:r>
        <w:t xml:space="preserve"> Broj upisane djece i zaposlenih </w:t>
      </w:r>
      <w:r w:rsidR="00F07E79">
        <w:t>odgojitelj</w:t>
      </w:r>
      <w:r>
        <w:t xml:space="preserve">a i učitelja u dječjim vrtićima </w:t>
      </w:r>
    </w:p>
    <w:tbl>
      <w:tblPr>
        <w:tblW w:w="9349" w:type="dxa"/>
        <w:tblBorders>
          <w:insideH w:val="single" w:sz="8" w:space="0" w:color="F3CFC1"/>
        </w:tblBorders>
        <w:tblLayout w:type="fixed"/>
        <w:tblLook w:val="04A0" w:firstRow="1" w:lastRow="0" w:firstColumn="1" w:lastColumn="0" w:noHBand="0" w:noVBand="1"/>
      </w:tblPr>
      <w:tblGrid>
        <w:gridCol w:w="1039"/>
        <w:gridCol w:w="909"/>
        <w:gridCol w:w="726"/>
        <w:gridCol w:w="850"/>
        <w:gridCol w:w="730"/>
        <w:gridCol w:w="850"/>
        <w:gridCol w:w="729"/>
        <w:gridCol w:w="851"/>
        <w:gridCol w:w="851"/>
        <w:gridCol w:w="998"/>
        <w:gridCol w:w="816"/>
      </w:tblGrid>
      <w:tr w:rsidR="001E7E0F" w:rsidRPr="009A0BBF" w14:paraId="68BE3098" w14:textId="572FD0A9" w:rsidTr="005C77AC">
        <w:trPr>
          <w:trHeight w:val="175"/>
        </w:trPr>
        <w:tc>
          <w:tcPr>
            <w:tcW w:w="1039" w:type="dxa"/>
            <w:tcBorders>
              <w:top w:val="nil"/>
              <w:bottom w:val="single" w:sz="8" w:space="0" w:color="F3CFC1"/>
              <w:right w:val="single" w:sz="4" w:space="0" w:color="FFFFFF" w:themeColor="background1"/>
            </w:tcBorders>
            <w:shd w:val="clear" w:color="auto" w:fill="D2232A"/>
            <w:vAlign w:val="center"/>
            <w:hideMark/>
          </w:tcPr>
          <w:p w14:paraId="18FF10C6" w14:textId="77777777" w:rsidR="001E7E0F" w:rsidRPr="009A0BBF" w:rsidRDefault="001E7E0F" w:rsidP="00941871">
            <w:pPr>
              <w:spacing w:after="0"/>
              <w:rPr>
                <w:color w:val="FFFFFF" w:themeColor="background1"/>
                <w:szCs w:val="18"/>
              </w:rPr>
            </w:pPr>
            <w:r w:rsidRPr="009A0BBF">
              <w:rPr>
                <w:color w:val="FFFFFF" w:themeColor="background1"/>
                <w:szCs w:val="18"/>
              </w:rPr>
              <w:t>Školska godina</w:t>
            </w:r>
          </w:p>
        </w:tc>
        <w:tc>
          <w:tcPr>
            <w:tcW w:w="1635" w:type="dxa"/>
            <w:gridSpan w:val="2"/>
            <w:tcBorders>
              <w:top w:val="nil"/>
              <w:left w:val="single" w:sz="4" w:space="0" w:color="FFFFFF" w:themeColor="background1"/>
              <w:bottom w:val="single" w:sz="8" w:space="0" w:color="F3CFC1"/>
              <w:right w:val="single" w:sz="4" w:space="0" w:color="FFFFFF" w:themeColor="background1"/>
            </w:tcBorders>
            <w:shd w:val="clear" w:color="auto" w:fill="D2232A"/>
            <w:vAlign w:val="center"/>
            <w:hideMark/>
          </w:tcPr>
          <w:p w14:paraId="0C333BFF" w14:textId="77777777" w:rsidR="001E7E0F" w:rsidRPr="009A0BBF" w:rsidRDefault="001E7E0F" w:rsidP="00E12B41">
            <w:pPr>
              <w:spacing w:after="0"/>
              <w:jc w:val="center"/>
              <w:rPr>
                <w:color w:val="FFFFFF" w:themeColor="background1"/>
                <w:szCs w:val="18"/>
              </w:rPr>
            </w:pPr>
            <w:r w:rsidRPr="009A0BBF">
              <w:rPr>
                <w:color w:val="FFFFFF" w:themeColor="background1"/>
                <w:szCs w:val="18"/>
              </w:rPr>
              <w:t>2015./2016.</w:t>
            </w:r>
          </w:p>
        </w:tc>
        <w:tc>
          <w:tcPr>
            <w:tcW w:w="1580" w:type="dxa"/>
            <w:gridSpan w:val="2"/>
            <w:tcBorders>
              <w:top w:val="nil"/>
              <w:left w:val="single" w:sz="4" w:space="0" w:color="FFFFFF" w:themeColor="background1"/>
              <w:bottom w:val="single" w:sz="8" w:space="0" w:color="F3CFC1"/>
              <w:right w:val="single" w:sz="4" w:space="0" w:color="FFFFFF" w:themeColor="background1"/>
            </w:tcBorders>
            <w:shd w:val="clear" w:color="auto" w:fill="D2232A"/>
            <w:vAlign w:val="center"/>
            <w:hideMark/>
          </w:tcPr>
          <w:p w14:paraId="249164BA" w14:textId="77777777" w:rsidR="001E7E0F" w:rsidRPr="009A0BBF" w:rsidRDefault="001E7E0F" w:rsidP="00E12B41">
            <w:pPr>
              <w:spacing w:after="0"/>
              <w:jc w:val="center"/>
              <w:rPr>
                <w:color w:val="FFFFFF" w:themeColor="background1"/>
                <w:szCs w:val="18"/>
              </w:rPr>
            </w:pPr>
            <w:r w:rsidRPr="009A0BBF">
              <w:rPr>
                <w:color w:val="FFFFFF" w:themeColor="background1"/>
                <w:szCs w:val="18"/>
              </w:rPr>
              <w:t>2016./2017.</w:t>
            </w:r>
          </w:p>
        </w:tc>
        <w:tc>
          <w:tcPr>
            <w:tcW w:w="1579" w:type="dxa"/>
            <w:gridSpan w:val="2"/>
            <w:tcBorders>
              <w:top w:val="nil"/>
              <w:left w:val="single" w:sz="4" w:space="0" w:color="FFFFFF" w:themeColor="background1"/>
              <w:bottom w:val="single" w:sz="8" w:space="0" w:color="F3CFC1"/>
              <w:right w:val="single" w:sz="4" w:space="0" w:color="FFFFFF" w:themeColor="background1"/>
            </w:tcBorders>
            <w:shd w:val="clear" w:color="auto" w:fill="D2232A"/>
            <w:vAlign w:val="center"/>
            <w:hideMark/>
          </w:tcPr>
          <w:p w14:paraId="78D20B29" w14:textId="77777777" w:rsidR="001E7E0F" w:rsidRPr="009A0BBF" w:rsidRDefault="001E7E0F" w:rsidP="00E12B41">
            <w:pPr>
              <w:spacing w:after="0"/>
              <w:jc w:val="center"/>
              <w:rPr>
                <w:color w:val="FFFFFF" w:themeColor="background1"/>
                <w:szCs w:val="18"/>
              </w:rPr>
            </w:pPr>
            <w:r w:rsidRPr="009A0BBF">
              <w:rPr>
                <w:color w:val="FFFFFF" w:themeColor="background1"/>
                <w:szCs w:val="18"/>
              </w:rPr>
              <w:t>2017./2018.</w:t>
            </w:r>
          </w:p>
        </w:tc>
        <w:tc>
          <w:tcPr>
            <w:tcW w:w="1702" w:type="dxa"/>
            <w:gridSpan w:val="2"/>
            <w:tcBorders>
              <w:top w:val="nil"/>
              <w:left w:val="single" w:sz="4" w:space="0" w:color="FFFFFF" w:themeColor="background1"/>
              <w:bottom w:val="single" w:sz="8" w:space="0" w:color="F3CFC1"/>
              <w:right w:val="single" w:sz="4" w:space="0" w:color="FFFFFF" w:themeColor="background1"/>
            </w:tcBorders>
            <w:shd w:val="clear" w:color="auto" w:fill="D2232A"/>
            <w:vAlign w:val="center"/>
            <w:hideMark/>
          </w:tcPr>
          <w:p w14:paraId="2D030AB3" w14:textId="77777777" w:rsidR="001E7E0F" w:rsidRPr="009A0BBF" w:rsidRDefault="001E7E0F" w:rsidP="00E12B41">
            <w:pPr>
              <w:spacing w:after="0"/>
              <w:jc w:val="center"/>
              <w:rPr>
                <w:color w:val="FFFFFF" w:themeColor="background1"/>
                <w:szCs w:val="18"/>
              </w:rPr>
            </w:pPr>
            <w:r w:rsidRPr="009A0BBF">
              <w:rPr>
                <w:color w:val="FFFFFF" w:themeColor="background1"/>
                <w:szCs w:val="18"/>
              </w:rPr>
              <w:t>2018./2019.</w:t>
            </w:r>
          </w:p>
        </w:tc>
        <w:tc>
          <w:tcPr>
            <w:tcW w:w="1814" w:type="dxa"/>
            <w:gridSpan w:val="2"/>
            <w:tcBorders>
              <w:top w:val="nil"/>
              <w:left w:val="single" w:sz="4" w:space="0" w:color="FFFFFF" w:themeColor="background1"/>
              <w:bottom w:val="single" w:sz="8" w:space="0" w:color="F3CFC1"/>
              <w:right w:val="single" w:sz="8" w:space="0" w:color="D2232A"/>
            </w:tcBorders>
            <w:shd w:val="clear" w:color="auto" w:fill="D2232A"/>
            <w:vAlign w:val="center"/>
          </w:tcPr>
          <w:p w14:paraId="6064D3B6" w14:textId="0E8CF3F0" w:rsidR="001E7E0F" w:rsidRPr="009A0BBF" w:rsidRDefault="001E7E0F" w:rsidP="001E7E0F">
            <w:pPr>
              <w:spacing w:after="0"/>
              <w:jc w:val="center"/>
              <w:rPr>
                <w:color w:val="FFFFFF" w:themeColor="background1"/>
                <w:szCs w:val="18"/>
              </w:rPr>
            </w:pPr>
            <w:r>
              <w:rPr>
                <w:color w:val="FFFFFF" w:themeColor="background1"/>
                <w:szCs w:val="18"/>
              </w:rPr>
              <w:t>2019./2020.</w:t>
            </w:r>
          </w:p>
        </w:tc>
      </w:tr>
      <w:tr w:rsidR="001E7E0F" w:rsidRPr="009A0BBF" w14:paraId="2055E76A" w14:textId="171AD1AC" w:rsidTr="009442AC">
        <w:trPr>
          <w:trHeight w:val="175"/>
        </w:trPr>
        <w:tc>
          <w:tcPr>
            <w:tcW w:w="1039" w:type="dxa"/>
            <w:tcBorders>
              <w:top w:val="single" w:sz="8" w:space="0" w:color="F3CFC1"/>
              <w:bottom w:val="single" w:sz="8" w:space="0" w:color="F3CFC1"/>
            </w:tcBorders>
            <w:shd w:val="clear" w:color="auto" w:fill="D2232A"/>
            <w:vAlign w:val="center"/>
            <w:hideMark/>
          </w:tcPr>
          <w:p w14:paraId="635B2091" w14:textId="6C7517C7" w:rsidR="001E7E0F" w:rsidRPr="009A0BBF" w:rsidRDefault="001E7E0F" w:rsidP="00941871">
            <w:pPr>
              <w:spacing w:after="0"/>
              <w:rPr>
                <w:color w:val="FFFFFF" w:themeColor="background1"/>
                <w:szCs w:val="18"/>
              </w:rPr>
            </w:pPr>
            <w:r w:rsidRPr="009A0BBF">
              <w:rPr>
                <w:color w:val="FFFFFF" w:themeColor="background1"/>
                <w:szCs w:val="18"/>
              </w:rPr>
              <w:t>Pokazatelj</w:t>
            </w:r>
          </w:p>
        </w:tc>
        <w:tc>
          <w:tcPr>
            <w:tcW w:w="909" w:type="dxa"/>
            <w:tcBorders>
              <w:top w:val="single" w:sz="8" w:space="0" w:color="F3CFC1"/>
              <w:bottom w:val="single" w:sz="8" w:space="0" w:color="F3CFC1"/>
              <w:right w:val="single" w:sz="8" w:space="0" w:color="D2232A"/>
            </w:tcBorders>
            <w:shd w:val="clear" w:color="auto" w:fill="D9D9D9" w:themeFill="background1" w:themeFillShade="D9"/>
            <w:vAlign w:val="center"/>
            <w:hideMark/>
          </w:tcPr>
          <w:p w14:paraId="39FD435A" w14:textId="77777777" w:rsidR="001E7E0F" w:rsidRPr="009A0BBF" w:rsidRDefault="001E7E0F" w:rsidP="00E12B41">
            <w:pPr>
              <w:spacing w:after="0"/>
              <w:jc w:val="center"/>
              <w:rPr>
                <w:szCs w:val="18"/>
              </w:rPr>
            </w:pPr>
            <w:r w:rsidRPr="009A0BBF">
              <w:rPr>
                <w:szCs w:val="18"/>
              </w:rPr>
              <w:t>Broj upisane djece</w:t>
            </w:r>
          </w:p>
        </w:tc>
        <w:tc>
          <w:tcPr>
            <w:tcW w:w="725" w:type="dxa"/>
            <w:tcBorders>
              <w:top w:val="single" w:sz="8" w:space="0" w:color="F3CFC1"/>
              <w:left w:val="single" w:sz="8" w:space="0" w:color="D2232A"/>
              <w:bottom w:val="single" w:sz="8" w:space="0" w:color="F3CFC1"/>
              <w:right w:val="single" w:sz="8" w:space="0" w:color="D2232A"/>
            </w:tcBorders>
            <w:shd w:val="clear" w:color="auto" w:fill="D9D9D9" w:themeFill="background1" w:themeFillShade="D9"/>
            <w:vAlign w:val="center"/>
            <w:hideMark/>
          </w:tcPr>
          <w:p w14:paraId="440DA405" w14:textId="19137105" w:rsidR="001E7E0F" w:rsidRPr="009A0BBF" w:rsidRDefault="001E7E0F" w:rsidP="00E12B41">
            <w:pPr>
              <w:spacing w:after="0"/>
              <w:jc w:val="center"/>
              <w:rPr>
                <w:szCs w:val="18"/>
              </w:rPr>
            </w:pPr>
            <w:r w:rsidRPr="009A0BBF">
              <w:rPr>
                <w:szCs w:val="18"/>
              </w:rPr>
              <w:t>Odg</w:t>
            </w:r>
            <w:r w:rsidR="00807C1C">
              <w:rPr>
                <w:szCs w:val="18"/>
              </w:rPr>
              <w:t>o</w:t>
            </w:r>
            <w:r w:rsidRPr="009A0BBF">
              <w:rPr>
                <w:szCs w:val="18"/>
              </w:rPr>
              <w:t>j</w:t>
            </w:r>
            <w:r w:rsidR="00807C1C">
              <w:rPr>
                <w:szCs w:val="18"/>
              </w:rPr>
              <w:t>i</w:t>
            </w:r>
            <w:r w:rsidRPr="009A0BBF">
              <w:rPr>
                <w:szCs w:val="18"/>
              </w:rPr>
              <w:t>-telji i učitelji</w:t>
            </w:r>
          </w:p>
        </w:tc>
        <w:tc>
          <w:tcPr>
            <w:tcW w:w="850" w:type="dxa"/>
            <w:tcBorders>
              <w:top w:val="single" w:sz="8" w:space="0" w:color="F3CFC1"/>
              <w:left w:val="single" w:sz="8" w:space="0" w:color="D2232A"/>
              <w:bottom w:val="single" w:sz="8" w:space="0" w:color="F3CFC1"/>
              <w:right w:val="single" w:sz="8" w:space="0" w:color="D2232A"/>
            </w:tcBorders>
            <w:shd w:val="clear" w:color="auto" w:fill="D9D9D9" w:themeFill="background1" w:themeFillShade="D9"/>
            <w:vAlign w:val="center"/>
            <w:hideMark/>
          </w:tcPr>
          <w:p w14:paraId="5A5A22DD" w14:textId="77777777" w:rsidR="001E7E0F" w:rsidRPr="009A0BBF" w:rsidRDefault="001E7E0F" w:rsidP="00E12B41">
            <w:pPr>
              <w:spacing w:after="0"/>
              <w:jc w:val="center"/>
              <w:rPr>
                <w:szCs w:val="18"/>
              </w:rPr>
            </w:pPr>
            <w:r w:rsidRPr="009A0BBF">
              <w:rPr>
                <w:szCs w:val="18"/>
              </w:rPr>
              <w:t>Broj upisane djece</w:t>
            </w:r>
          </w:p>
        </w:tc>
        <w:tc>
          <w:tcPr>
            <w:tcW w:w="730" w:type="dxa"/>
            <w:tcBorders>
              <w:top w:val="single" w:sz="8" w:space="0" w:color="F3CFC1"/>
              <w:left w:val="single" w:sz="8" w:space="0" w:color="D2232A"/>
              <w:bottom w:val="single" w:sz="8" w:space="0" w:color="F3CFC1"/>
              <w:right w:val="single" w:sz="8" w:space="0" w:color="D2232A"/>
            </w:tcBorders>
            <w:shd w:val="clear" w:color="auto" w:fill="D9D9D9" w:themeFill="background1" w:themeFillShade="D9"/>
            <w:vAlign w:val="center"/>
            <w:hideMark/>
          </w:tcPr>
          <w:p w14:paraId="4EF86A53" w14:textId="198140D9" w:rsidR="001E7E0F" w:rsidRPr="009A0BBF" w:rsidRDefault="001E7E0F" w:rsidP="00E12B41">
            <w:pPr>
              <w:spacing w:after="0"/>
              <w:jc w:val="center"/>
              <w:rPr>
                <w:szCs w:val="18"/>
              </w:rPr>
            </w:pPr>
            <w:r w:rsidRPr="009A0BBF">
              <w:rPr>
                <w:szCs w:val="18"/>
              </w:rPr>
              <w:t>Odg</w:t>
            </w:r>
            <w:r w:rsidR="00807C1C">
              <w:rPr>
                <w:szCs w:val="18"/>
              </w:rPr>
              <w:t>o</w:t>
            </w:r>
            <w:r w:rsidRPr="009A0BBF">
              <w:rPr>
                <w:szCs w:val="18"/>
              </w:rPr>
              <w:t>j</w:t>
            </w:r>
            <w:r w:rsidR="00807C1C">
              <w:rPr>
                <w:szCs w:val="18"/>
              </w:rPr>
              <w:t>i</w:t>
            </w:r>
            <w:r w:rsidRPr="009A0BBF">
              <w:rPr>
                <w:szCs w:val="18"/>
              </w:rPr>
              <w:t>-telji i učitelji</w:t>
            </w:r>
          </w:p>
        </w:tc>
        <w:tc>
          <w:tcPr>
            <w:tcW w:w="850" w:type="dxa"/>
            <w:tcBorders>
              <w:top w:val="single" w:sz="8" w:space="0" w:color="F3CFC1"/>
              <w:left w:val="single" w:sz="8" w:space="0" w:color="D2232A"/>
              <w:bottom w:val="single" w:sz="8" w:space="0" w:color="F3CFC1"/>
              <w:right w:val="single" w:sz="8" w:space="0" w:color="D2232A"/>
            </w:tcBorders>
            <w:shd w:val="clear" w:color="auto" w:fill="D9D9D9" w:themeFill="background1" w:themeFillShade="D9"/>
            <w:vAlign w:val="center"/>
            <w:hideMark/>
          </w:tcPr>
          <w:p w14:paraId="2B13DD87" w14:textId="77777777" w:rsidR="001E7E0F" w:rsidRPr="009A0BBF" w:rsidRDefault="001E7E0F" w:rsidP="00E12B41">
            <w:pPr>
              <w:spacing w:after="0"/>
              <w:jc w:val="center"/>
              <w:rPr>
                <w:szCs w:val="18"/>
              </w:rPr>
            </w:pPr>
            <w:r w:rsidRPr="009A0BBF">
              <w:rPr>
                <w:szCs w:val="18"/>
              </w:rPr>
              <w:t>Broj upisane djece</w:t>
            </w:r>
          </w:p>
        </w:tc>
        <w:tc>
          <w:tcPr>
            <w:tcW w:w="729" w:type="dxa"/>
            <w:tcBorders>
              <w:top w:val="single" w:sz="8" w:space="0" w:color="F3CFC1"/>
              <w:left w:val="single" w:sz="8" w:space="0" w:color="D2232A"/>
              <w:bottom w:val="single" w:sz="8" w:space="0" w:color="F3CFC1"/>
              <w:right w:val="single" w:sz="8" w:space="0" w:color="D2232A"/>
            </w:tcBorders>
            <w:shd w:val="clear" w:color="auto" w:fill="D9D9D9" w:themeFill="background1" w:themeFillShade="D9"/>
            <w:vAlign w:val="center"/>
            <w:hideMark/>
          </w:tcPr>
          <w:p w14:paraId="342642AF" w14:textId="02146307" w:rsidR="001E7E0F" w:rsidRPr="009A0BBF" w:rsidRDefault="001E7E0F" w:rsidP="00E12B41">
            <w:pPr>
              <w:spacing w:after="0"/>
              <w:jc w:val="center"/>
              <w:rPr>
                <w:szCs w:val="18"/>
              </w:rPr>
            </w:pPr>
            <w:r w:rsidRPr="009A0BBF">
              <w:rPr>
                <w:szCs w:val="18"/>
              </w:rPr>
              <w:t>Odg</w:t>
            </w:r>
            <w:r w:rsidR="00807C1C">
              <w:rPr>
                <w:szCs w:val="18"/>
              </w:rPr>
              <w:t>o</w:t>
            </w:r>
            <w:r w:rsidRPr="009A0BBF">
              <w:rPr>
                <w:szCs w:val="18"/>
              </w:rPr>
              <w:t>j</w:t>
            </w:r>
            <w:r w:rsidR="00807C1C">
              <w:rPr>
                <w:szCs w:val="18"/>
              </w:rPr>
              <w:t>i</w:t>
            </w:r>
            <w:r w:rsidRPr="009A0BBF">
              <w:rPr>
                <w:szCs w:val="18"/>
              </w:rPr>
              <w:t>-telji i učitelji</w:t>
            </w:r>
          </w:p>
        </w:tc>
        <w:tc>
          <w:tcPr>
            <w:tcW w:w="851" w:type="dxa"/>
            <w:tcBorders>
              <w:top w:val="single" w:sz="8" w:space="0" w:color="F3CFC1"/>
              <w:left w:val="single" w:sz="8" w:space="0" w:color="D2232A"/>
              <w:bottom w:val="single" w:sz="8" w:space="0" w:color="F3CFC1"/>
              <w:right w:val="single" w:sz="8" w:space="0" w:color="D2232A"/>
            </w:tcBorders>
            <w:shd w:val="clear" w:color="auto" w:fill="D9D9D9" w:themeFill="background1" w:themeFillShade="D9"/>
            <w:vAlign w:val="center"/>
            <w:hideMark/>
          </w:tcPr>
          <w:p w14:paraId="3AD907B8" w14:textId="77777777" w:rsidR="001E7E0F" w:rsidRPr="009A0BBF" w:rsidRDefault="001E7E0F" w:rsidP="00E12B41">
            <w:pPr>
              <w:spacing w:after="0"/>
              <w:jc w:val="center"/>
              <w:rPr>
                <w:szCs w:val="18"/>
              </w:rPr>
            </w:pPr>
            <w:r w:rsidRPr="009A0BBF">
              <w:rPr>
                <w:szCs w:val="18"/>
              </w:rPr>
              <w:t>Broj upisane djece</w:t>
            </w:r>
          </w:p>
        </w:tc>
        <w:tc>
          <w:tcPr>
            <w:tcW w:w="851" w:type="dxa"/>
            <w:tcBorders>
              <w:top w:val="single" w:sz="8" w:space="0" w:color="F3CFC1"/>
              <w:left w:val="single" w:sz="8" w:space="0" w:color="D2232A"/>
              <w:bottom w:val="single" w:sz="8" w:space="0" w:color="F3CFC1"/>
              <w:right w:val="single" w:sz="8" w:space="0" w:color="D2232A"/>
            </w:tcBorders>
            <w:shd w:val="clear" w:color="auto" w:fill="D9D9D9" w:themeFill="background1" w:themeFillShade="D9"/>
            <w:vAlign w:val="center"/>
            <w:hideMark/>
          </w:tcPr>
          <w:p w14:paraId="3309F702" w14:textId="34087BF4" w:rsidR="001E7E0F" w:rsidRPr="009A0BBF" w:rsidRDefault="001E7E0F" w:rsidP="00E12B41">
            <w:pPr>
              <w:spacing w:after="0"/>
              <w:jc w:val="center"/>
              <w:rPr>
                <w:szCs w:val="18"/>
              </w:rPr>
            </w:pPr>
            <w:r w:rsidRPr="009A0BBF">
              <w:rPr>
                <w:szCs w:val="18"/>
              </w:rPr>
              <w:t>Odg</w:t>
            </w:r>
            <w:r w:rsidR="00807C1C">
              <w:rPr>
                <w:szCs w:val="18"/>
              </w:rPr>
              <w:t>o</w:t>
            </w:r>
            <w:r w:rsidRPr="009A0BBF">
              <w:rPr>
                <w:szCs w:val="18"/>
              </w:rPr>
              <w:t>j</w:t>
            </w:r>
            <w:r w:rsidR="00807C1C">
              <w:rPr>
                <w:szCs w:val="18"/>
              </w:rPr>
              <w:t>i</w:t>
            </w:r>
            <w:r w:rsidRPr="009A0BBF">
              <w:rPr>
                <w:szCs w:val="18"/>
              </w:rPr>
              <w:t>-telji i učitelji</w:t>
            </w:r>
          </w:p>
        </w:tc>
        <w:tc>
          <w:tcPr>
            <w:tcW w:w="998" w:type="dxa"/>
            <w:tcBorders>
              <w:top w:val="single" w:sz="8" w:space="0" w:color="F3CFC1"/>
              <w:left w:val="single" w:sz="8" w:space="0" w:color="D2232A"/>
              <w:bottom w:val="single" w:sz="8" w:space="0" w:color="F3CFC1"/>
              <w:right w:val="single" w:sz="8" w:space="0" w:color="D2232A"/>
            </w:tcBorders>
            <w:shd w:val="clear" w:color="auto" w:fill="D9D9D9" w:themeFill="background1" w:themeFillShade="D9"/>
          </w:tcPr>
          <w:p w14:paraId="56595CF6" w14:textId="66E49F71" w:rsidR="001E7E0F" w:rsidRPr="009A0BBF" w:rsidRDefault="001E7E0F" w:rsidP="00E12B41">
            <w:pPr>
              <w:spacing w:after="0"/>
              <w:jc w:val="center"/>
              <w:rPr>
                <w:szCs w:val="18"/>
              </w:rPr>
            </w:pPr>
            <w:r w:rsidRPr="009A0BBF">
              <w:rPr>
                <w:szCs w:val="18"/>
              </w:rPr>
              <w:t>Broj upisane djece</w:t>
            </w:r>
          </w:p>
        </w:tc>
        <w:tc>
          <w:tcPr>
            <w:tcW w:w="815" w:type="dxa"/>
            <w:tcBorders>
              <w:top w:val="single" w:sz="8" w:space="0" w:color="F3CFC1"/>
              <w:left w:val="single" w:sz="8" w:space="0" w:color="D2232A"/>
              <w:bottom w:val="single" w:sz="8" w:space="0" w:color="F3CFC1"/>
              <w:right w:val="single" w:sz="8" w:space="0" w:color="D2232A"/>
            </w:tcBorders>
            <w:shd w:val="clear" w:color="auto" w:fill="D9D9D9" w:themeFill="background1" w:themeFillShade="D9"/>
          </w:tcPr>
          <w:p w14:paraId="7AEA842E" w14:textId="79E3D63E" w:rsidR="001E7E0F" w:rsidRPr="009A0BBF" w:rsidRDefault="001E7E0F" w:rsidP="00E12B41">
            <w:pPr>
              <w:spacing w:after="0"/>
              <w:jc w:val="center"/>
              <w:rPr>
                <w:szCs w:val="18"/>
              </w:rPr>
            </w:pPr>
            <w:r w:rsidRPr="009A0BBF">
              <w:rPr>
                <w:szCs w:val="18"/>
              </w:rPr>
              <w:t>Odg</w:t>
            </w:r>
            <w:r w:rsidR="00807C1C">
              <w:rPr>
                <w:szCs w:val="18"/>
              </w:rPr>
              <w:t>o</w:t>
            </w:r>
            <w:r w:rsidRPr="009A0BBF">
              <w:rPr>
                <w:szCs w:val="18"/>
              </w:rPr>
              <w:t>j</w:t>
            </w:r>
            <w:r w:rsidR="00807C1C">
              <w:rPr>
                <w:szCs w:val="18"/>
              </w:rPr>
              <w:t>i</w:t>
            </w:r>
            <w:r w:rsidRPr="009A0BBF">
              <w:rPr>
                <w:szCs w:val="18"/>
              </w:rPr>
              <w:t>-telji i učitelji</w:t>
            </w:r>
          </w:p>
        </w:tc>
      </w:tr>
      <w:tr w:rsidR="001E7E0F" w:rsidRPr="009A0BBF" w14:paraId="2BB690CA" w14:textId="11DDCA9B" w:rsidTr="009442AC">
        <w:trPr>
          <w:trHeight w:val="441"/>
        </w:trPr>
        <w:tc>
          <w:tcPr>
            <w:tcW w:w="1039" w:type="dxa"/>
            <w:tcBorders>
              <w:top w:val="single" w:sz="8" w:space="0" w:color="F3CFC1"/>
              <w:bottom w:val="single" w:sz="8" w:space="0" w:color="F3CFC1"/>
            </w:tcBorders>
            <w:shd w:val="clear" w:color="auto" w:fill="D2232A"/>
            <w:vAlign w:val="center"/>
            <w:hideMark/>
          </w:tcPr>
          <w:p w14:paraId="1A9B7F43" w14:textId="557E3AC6" w:rsidR="001E7E0F" w:rsidRPr="009A0BBF" w:rsidRDefault="001E7E0F" w:rsidP="00941871">
            <w:pPr>
              <w:spacing w:after="0"/>
              <w:rPr>
                <w:color w:val="FFFFFF" w:themeColor="background1"/>
                <w:szCs w:val="18"/>
              </w:rPr>
            </w:pPr>
            <w:r>
              <w:rPr>
                <w:color w:val="FFFFFF" w:themeColor="background1"/>
                <w:szCs w:val="18"/>
              </w:rPr>
              <w:t>KZŽ</w:t>
            </w:r>
          </w:p>
        </w:tc>
        <w:tc>
          <w:tcPr>
            <w:tcW w:w="909" w:type="dxa"/>
            <w:tcBorders>
              <w:top w:val="single" w:sz="8" w:space="0" w:color="F3CFC1"/>
              <w:bottom w:val="single" w:sz="8" w:space="0" w:color="F3CFC1"/>
              <w:right w:val="single" w:sz="8" w:space="0" w:color="D2232A"/>
            </w:tcBorders>
            <w:vAlign w:val="center"/>
            <w:hideMark/>
          </w:tcPr>
          <w:p w14:paraId="5A6DF831" w14:textId="77777777" w:rsidR="001E7E0F" w:rsidRPr="009442AC" w:rsidRDefault="001E7E0F" w:rsidP="009442AC">
            <w:pPr>
              <w:spacing w:after="0"/>
              <w:jc w:val="center"/>
              <w:rPr>
                <w:sz w:val="16"/>
                <w:szCs w:val="16"/>
              </w:rPr>
            </w:pPr>
            <w:r w:rsidRPr="009442AC">
              <w:rPr>
                <w:sz w:val="16"/>
                <w:szCs w:val="16"/>
              </w:rPr>
              <w:t>3.179</w:t>
            </w:r>
          </w:p>
        </w:tc>
        <w:tc>
          <w:tcPr>
            <w:tcW w:w="725" w:type="dxa"/>
            <w:tcBorders>
              <w:top w:val="single" w:sz="8" w:space="0" w:color="F3CFC1"/>
              <w:left w:val="single" w:sz="8" w:space="0" w:color="D2232A"/>
              <w:bottom w:val="single" w:sz="8" w:space="0" w:color="F3CFC1"/>
              <w:right w:val="single" w:sz="8" w:space="0" w:color="D2232A"/>
            </w:tcBorders>
            <w:vAlign w:val="center"/>
            <w:hideMark/>
          </w:tcPr>
          <w:p w14:paraId="47D75B3F" w14:textId="77777777" w:rsidR="001E7E0F" w:rsidRPr="009442AC" w:rsidRDefault="001E7E0F" w:rsidP="009442AC">
            <w:pPr>
              <w:spacing w:after="0"/>
              <w:jc w:val="center"/>
              <w:rPr>
                <w:sz w:val="16"/>
                <w:szCs w:val="16"/>
              </w:rPr>
            </w:pPr>
            <w:r w:rsidRPr="009442AC">
              <w:rPr>
                <w:sz w:val="16"/>
                <w:szCs w:val="16"/>
              </w:rPr>
              <w:t>217</w:t>
            </w:r>
          </w:p>
        </w:tc>
        <w:tc>
          <w:tcPr>
            <w:tcW w:w="850" w:type="dxa"/>
            <w:tcBorders>
              <w:top w:val="single" w:sz="8" w:space="0" w:color="F3CFC1"/>
              <w:left w:val="single" w:sz="8" w:space="0" w:color="D2232A"/>
              <w:bottom w:val="single" w:sz="8" w:space="0" w:color="F3CFC1"/>
              <w:right w:val="single" w:sz="8" w:space="0" w:color="D2232A"/>
            </w:tcBorders>
            <w:vAlign w:val="center"/>
            <w:hideMark/>
          </w:tcPr>
          <w:p w14:paraId="2BD46BDC" w14:textId="77777777" w:rsidR="001E7E0F" w:rsidRPr="009442AC" w:rsidRDefault="001E7E0F" w:rsidP="009442AC">
            <w:pPr>
              <w:spacing w:after="0"/>
              <w:jc w:val="center"/>
              <w:rPr>
                <w:sz w:val="16"/>
                <w:szCs w:val="16"/>
              </w:rPr>
            </w:pPr>
            <w:r w:rsidRPr="009442AC">
              <w:rPr>
                <w:sz w:val="16"/>
                <w:szCs w:val="16"/>
              </w:rPr>
              <w:t>3.077</w:t>
            </w:r>
          </w:p>
        </w:tc>
        <w:tc>
          <w:tcPr>
            <w:tcW w:w="730" w:type="dxa"/>
            <w:tcBorders>
              <w:top w:val="single" w:sz="8" w:space="0" w:color="F3CFC1"/>
              <w:left w:val="single" w:sz="8" w:space="0" w:color="D2232A"/>
              <w:bottom w:val="single" w:sz="8" w:space="0" w:color="F3CFC1"/>
              <w:right w:val="single" w:sz="8" w:space="0" w:color="D2232A"/>
            </w:tcBorders>
            <w:vAlign w:val="center"/>
            <w:hideMark/>
          </w:tcPr>
          <w:p w14:paraId="0F3AA6F3" w14:textId="77777777" w:rsidR="001E7E0F" w:rsidRPr="009442AC" w:rsidRDefault="001E7E0F" w:rsidP="009442AC">
            <w:pPr>
              <w:spacing w:after="0"/>
              <w:jc w:val="center"/>
              <w:rPr>
                <w:sz w:val="16"/>
                <w:szCs w:val="16"/>
              </w:rPr>
            </w:pPr>
            <w:r w:rsidRPr="009442AC">
              <w:rPr>
                <w:sz w:val="16"/>
                <w:szCs w:val="16"/>
              </w:rPr>
              <w:t>244</w:t>
            </w:r>
          </w:p>
        </w:tc>
        <w:tc>
          <w:tcPr>
            <w:tcW w:w="850" w:type="dxa"/>
            <w:tcBorders>
              <w:top w:val="single" w:sz="8" w:space="0" w:color="F3CFC1"/>
              <w:left w:val="single" w:sz="8" w:space="0" w:color="D2232A"/>
              <w:bottom w:val="single" w:sz="8" w:space="0" w:color="F3CFC1"/>
              <w:right w:val="single" w:sz="8" w:space="0" w:color="D2232A"/>
            </w:tcBorders>
            <w:vAlign w:val="center"/>
            <w:hideMark/>
          </w:tcPr>
          <w:p w14:paraId="58236B74" w14:textId="77777777" w:rsidR="001E7E0F" w:rsidRPr="009442AC" w:rsidRDefault="001E7E0F" w:rsidP="009442AC">
            <w:pPr>
              <w:spacing w:after="0"/>
              <w:jc w:val="center"/>
              <w:rPr>
                <w:sz w:val="16"/>
                <w:szCs w:val="16"/>
              </w:rPr>
            </w:pPr>
            <w:r w:rsidRPr="009442AC">
              <w:rPr>
                <w:sz w:val="16"/>
                <w:szCs w:val="16"/>
              </w:rPr>
              <w:t>3.328</w:t>
            </w:r>
          </w:p>
        </w:tc>
        <w:tc>
          <w:tcPr>
            <w:tcW w:w="729" w:type="dxa"/>
            <w:tcBorders>
              <w:top w:val="single" w:sz="8" w:space="0" w:color="F3CFC1"/>
              <w:left w:val="single" w:sz="8" w:space="0" w:color="D2232A"/>
              <w:bottom w:val="single" w:sz="8" w:space="0" w:color="F3CFC1"/>
              <w:right w:val="single" w:sz="8" w:space="0" w:color="D2232A"/>
            </w:tcBorders>
            <w:vAlign w:val="center"/>
            <w:hideMark/>
          </w:tcPr>
          <w:p w14:paraId="61DE1D4D" w14:textId="77777777" w:rsidR="001E7E0F" w:rsidRPr="009442AC" w:rsidRDefault="001E7E0F" w:rsidP="009442AC">
            <w:pPr>
              <w:spacing w:after="0"/>
              <w:jc w:val="center"/>
              <w:rPr>
                <w:sz w:val="16"/>
                <w:szCs w:val="16"/>
              </w:rPr>
            </w:pPr>
            <w:r w:rsidRPr="009442AC">
              <w:rPr>
                <w:sz w:val="16"/>
                <w:szCs w:val="16"/>
              </w:rPr>
              <w:t>267</w:t>
            </w:r>
          </w:p>
        </w:tc>
        <w:tc>
          <w:tcPr>
            <w:tcW w:w="851" w:type="dxa"/>
            <w:tcBorders>
              <w:top w:val="single" w:sz="8" w:space="0" w:color="F3CFC1"/>
              <w:left w:val="single" w:sz="8" w:space="0" w:color="D2232A"/>
              <w:bottom w:val="single" w:sz="8" w:space="0" w:color="F3CFC1"/>
              <w:right w:val="single" w:sz="8" w:space="0" w:color="D2232A"/>
            </w:tcBorders>
            <w:vAlign w:val="center"/>
            <w:hideMark/>
          </w:tcPr>
          <w:p w14:paraId="2116FCD9" w14:textId="77777777" w:rsidR="001E7E0F" w:rsidRPr="009442AC" w:rsidRDefault="001E7E0F" w:rsidP="009442AC">
            <w:pPr>
              <w:spacing w:after="0"/>
              <w:jc w:val="center"/>
              <w:rPr>
                <w:sz w:val="16"/>
                <w:szCs w:val="16"/>
              </w:rPr>
            </w:pPr>
            <w:r w:rsidRPr="009442AC">
              <w:rPr>
                <w:sz w:val="16"/>
                <w:szCs w:val="16"/>
              </w:rPr>
              <w:t>3.371</w:t>
            </w:r>
          </w:p>
        </w:tc>
        <w:tc>
          <w:tcPr>
            <w:tcW w:w="851" w:type="dxa"/>
            <w:tcBorders>
              <w:top w:val="single" w:sz="8" w:space="0" w:color="F3CFC1"/>
              <w:left w:val="single" w:sz="8" w:space="0" w:color="D2232A"/>
              <w:bottom w:val="single" w:sz="8" w:space="0" w:color="F3CFC1"/>
              <w:right w:val="single" w:sz="8" w:space="0" w:color="D2232A"/>
            </w:tcBorders>
            <w:vAlign w:val="center"/>
            <w:hideMark/>
          </w:tcPr>
          <w:p w14:paraId="09EEDD90" w14:textId="77777777" w:rsidR="001E7E0F" w:rsidRPr="009442AC" w:rsidRDefault="001E7E0F" w:rsidP="009442AC">
            <w:pPr>
              <w:spacing w:after="0"/>
              <w:jc w:val="center"/>
              <w:rPr>
                <w:sz w:val="16"/>
                <w:szCs w:val="16"/>
              </w:rPr>
            </w:pPr>
            <w:r w:rsidRPr="009442AC">
              <w:rPr>
                <w:sz w:val="16"/>
                <w:szCs w:val="16"/>
              </w:rPr>
              <w:t>295</w:t>
            </w:r>
          </w:p>
        </w:tc>
        <w:tc>
          <w:tcPr>
            <w:tcW w:w="998" w:type="dxa"/>
            <w:tcBorders>
              <w:top w:val="single" w:sz="8" w:space="0" w:color="F3CFC1"/>
              <w:left w:val="single" w:sz="8" w:space="0" w:color="D2232A"/>
              <w:bottom w:val="single" w:sz="8" w:space="0" w:color="F3CFC1"/>
              <w:right w:val="single" w:sz="8" w:space="0" w:color="D2232A"/>
            </w:tcBorders>
            <w:vAlign w:val="center"/>
          </w:tcPr>
          <w:p w14:paraId="4854C38D" w14:textId="54FFA907" w:rsidR="001E7E0F" w:rsidRPr="009442AC" w:rsidRDefault="002C7E17" w:rsidP="009442AC">
            <w:pPr>
              <w:spacing w:after="0"/>
              <w:jc w:val="center"/>
              <w:rPr>
                <w:sz w:val="16"/>
                <w:szCs w:val="16"/>
              </w:rPr>
            </w:pPr>
            <w:r w:rsidRPr="009442AC">
              <w:rPr>
                <w:sz w:val="16"/>
                <w:szCs w:val="16"/>
              </w:rPr>
              <w:t>3.245</w:t>
            </w:r>
          </w:p>
        </w:tc>
        <w:tc>
          <w:tcPr>
            <w:tcW w:w="815" w:type="dxa"/>
            <w:tcBorders>
              <w:top w:val="single" w:sz="8" w:space="0" w:color="F3CFC1"/>
              <w:left w:val="single" w:sz="8" w:space="0" w:color="D2232A"/>
              <w:bottom w:val="single" w:sz="8" w:space="0" w:color="F3CFC1"/>
              <w:right w:val="single" w:sz="8" w:space="0" w:color="D2232A"/>
            </w:tcBorders>
            <w:vAlign w:val="center"/>
          </w:tcPr>
          <w:p w14:paraId="04B25363" w14:textId="77AA7D66" w:rsidR="001E7E0F" w:rsidRPr="009442AC" w:rsidRDefault="002C7E17" w:rsidP="009442AC">
            <w:pPr>
              <w:spacing w:after="0"/>
              <w:jc w:val="center"/>
              <w:rPr>
                <w:sz w:val="16"/>
                <w:szCs w:val="16"/>
              </w:rPr>
            </w:pPr>
            <w:r w:rsidRPr="009442AC">
              <w:rPr>
                <w:sz w:val="16"/>
                <w:szCs w:val="16"/>
              </w:rPr>
              <w:t>280</w:t>
            </w:r>
          </w:p>
        </w:tc>
      </w:tr>
      <w:tr w:rsidR="001E7E0F" w:rsidRPr="009A0BBF" w14:paraId="1BFA39CE" w14:textId="48359D7C" w:rsidTr="009442AC">
        <w:trPr>
          <w:trHeight w:val="175"/>
        </w:trPr>
        <w:tc>
          <w:tcPr>
            <w:tcW w:w="1039" w:type="dxa"/>
            <w:tcBorders>
              <w:top w:val="single" w:sz="8" w:space="0" w:color="F3CFC1"/>
              <w:bottom w:val="single" w:sz="8" w:space="0" w:color="F3CFC1"/>
            </w:tcBorders>
            <w:shd w:val="clear" w:color="auto" w:fill="D9D9D9" w:themeFill="accent2" w:themeFillTint="33"/>
            <w:vAlign w:val="center"/>
          </w:tcPr>
          <w:p w14:paraId="1B14F0D6" w14:textId="778BE353" w:rsidR="001E7E0F" w:rsidRPr="009A0BBF" w:rsidRDefault="001E7E0F" w:rsidP="00234E77">
            <w:pPr>
              <w:spacing w:after="0"/>
              <w:rPr>
                <w:color w:val="FFFFFF" w:themeColor="background1"/>
                <w:szCs w:val="18"/>
              </w:rPr>
            </w:pPr>
            <w:r>
              <w:rPr>
                <w:szCs w:val="18"/>
              </w:rPr>
              <w:t>Sjevern</w:t>
            </w:r>
            <w:r w:rsidRPr="009A0BBF">
              <w:rPr>
                <w:szCs w:val="18"/>
              </w:rPr>
              <w:t>a Hrvatska</w:t>
            </w:r>
          </w:p>
        </w:tc>
        <w:tc>
          <w:tcPr>
            <w:tcW w:w="909" w:type="dxa"/>
            <w:tcBorders>
              <w:top w:val="single" w:sz="8" w:space="0" w:color="F3CFC1"/>
              <w:bottom w:val="single" w:sz="8" w:space="0" w:color="F3CFC1"/>
              <w:right w:val="single" w:sz="8" w:space="0" w:color="D2232A"/>
            </w:tcBorders>
            <w:vAlign w:val="center"/>
          </w:tcPr>
          <w:p w14:paraId="0D680AA7" w14:textId="1F2BCE1F" w:rsidR="001E7E0F" w:rsidRPr="009442AC" w:rsidRDefault="001E7E0F" w:rsidP="009442AC">
            <w:pPr>
              <w:spacing w:after="0"/>
              <w:jc w:val="center"/>
              <w:rPr>
                <w:sz w:val="16"/>
                <w:szCs w:val="16"/>
              </w:rPr>
            </w:pPr>
            <w:r w:rsidRPr="009442AC">
              <w:rPr>
                <w:sz w:val="16"/>
                <w:szCs w:val="16"/>
              </w:rPr>
              <w:t>25.087</w:t>
            </w:r>
          </w:p>
        </w:tc>
        <w:tc>
          <w:tcPr>
            <w:tcW w:w="725" w:type="dxa"/>
            <w:tcBorders>
              <w:top w:val="single" w:sz="8" w:space="0" w:color="F3CFC1"/>
              <w:left w:val="single" w:sz="8" w:space="0" w:color="D2232A"/>
              <w:bottom w:val="single" w:sz="8" w:space="0" w:color="F3CFC1"/>
              <w:right w:val="single" w:sz="8" w:space="0" w:color="D2232A"/>
            </w:tcBorders>
            <w:vAlign w:val="center"/>
          </w:tcPr>
          <w:p w14:paraId="6B6D5207" w14:textId="452E8B69" w:rsidR="001E7E0F" w:rsidRPr="009442AC" w:rsidRDefault="001E7E0F" w:rsidP="009442AC">
            <w:pPr>
              <w:spacing w:after="0"/>
              <w:jc w:val="center"/>
              <w:rPr>
                <w:sz w:val="16"/>
                <w:szCs w:val="16"/>
              </w:rPr>
            </w:pPr>
            <w:r w:rsidRPr="009442AC">
              <w:rPr>
                <w:sz w:val="16"/>
                <w:szCs w:val="16"/>
              </w:rPr>
              <w:t>2.268</w:t>
            </w:r>
          </w:p>
        </w:tc>
        <w:tc>
          <w:tcPr>
            <w:tcW w:w="850" w:type="dxa"/>
            <w:tcBorders>
              <w:top w:val="single" w:sz="8" w:space="0" w:color="F3CFC1"/>
              <w:left w:val="single" w:sz="8" w:space="0" w:color="D2232A"/>
              <w:bottom w:val="single" w:sz="8" w:space="0" w:color="F3CFC1"/>
              <w:right w:val="single" w:sz="8" w:space="0" w:color="D2232A"/>
            </w:tcBorders>
            <w:vAlign w:val="center"/>
          </w:tcPr>
          <w:p w14:paraId="5BF0BA92" w14:textId="6A59725F" w:rsidR="001E7E0F" w:rsidRPr="009442AC" w:rsidRDefault="001E7E0F" w:rsidP="009442AC">
            <w:pPr>
              <w:spacing w:after="0"/>
              <w:jc w:val="center"/>
              <w:rPr>
                <w:sz w:val="16"/>
                <w:szCs w:val="16"/>
              </w:rPr>
            </w:pPr>
            <w:r w:rsidRPr="009442AC">
              <w:rPr>
                <w:sz w:val="16"/>
                <w:szCs w:val="16"/>
              </w:rPr>
              <w:t>26.700</w:t>
            </w:r>
          </w:p>
        </w:tc>
        <w:tc>
          <w:tcPr>
            <w:tcW w:w="730" w:type="dxa"/>
            <w:tcBorders>
              <w:top w:val="single" w:sz="8" w:space="0" w:color="F3CFC1"/>
              <w:left w:val="single" w:sz="8" w:space="0" w:color="D2232A"/>
              <w:bottom w:val="single" w:sz="8" w:space="0" w:color="F3CFC1"/>
              <w:right w:val="single" w:sz="8" w:space="0" w:color="D2232A"/>
            </w:tcBorders>
            <w:vAlign w:val="center"/>
          </w:tcPr>
          <w:p w14:paraId="3D325FC3" w14:textId="509CE13C" w:rsidR="001E7E0F" w:rsidRPr="009442AC" w:rsidRDefault="001E7E0F" w:rsidP="009442AC">
            <w:pPr>
              <w:spacing w:after="0"/>
              <w:jc w:val="center"/>
              <w:rPr>
                <w:sz w:val="16"/>
                <w:szCs w:val="16"/>
              </w:rPr>
            </w:pPr>
            <w:r w:rsidRPr="009442AC">
              <w:rPr>
                <w:sz w:val="16"/>
                <w:szCs w:val="16"/>
              </w:rPr>
              <w:t>2.179</w:t>
            </w:r>
          </w:p>
        </w:tc>
        <w:tc>
          <w:tcPr>
            <w:tcW w:w="850" w:type="dxa"/>
            <w:tcBorders>
              <w:top w:val="single" w:sz="8" w:space="0" w:color="F3CFC1"/>
              <w:left w:val="single" w:sz="8" w:space="0" w:color="D2232A"/>
              <w:bottom w:val="single" w:sz="8" w:space="0" w:color="F3CFC1"/>
              <w:right w:val="single" w:sz="8" w:space="0" w:color="D2232A"/>
            </w:tcBorders>
            <w:vAlign w:val="center"/>
          </w:tcPr>
          <w:p w14:paraId="509084D2" w14:textId="0A6272B6" w:rsidR="001E7E0F" w:rsidRPr="009442AC" w:rsidRDefault="001E7E0F" w:rsidP="009442AC">
            <w:pPr>
              <w:spacing w:after="0"/>
              <w:jc w:val="center"/>
              <w:rPr>
                <w:sz w:val="16"/>
                <w:szCs w:val="16"/>
              </w:rPr>
            </w:pPr>
            <w:r w:rsidRPr="009442AC">
              <w:rPr>
                <w:sz w:val="16"/>
                <w:szCs w:val="16"/>
              </w:rPr>
              <w:t>26.855</w:t>
            </w:r>
          </w:p>
        </w:tc>
        <w:tc>
          <w:tcPr>
            <w:tcW w:w="729" w:type="dxa"/>
            <w:tcBorders>
              <w:top w:val="single" w:sz="8" w:space="0" w:color="F3CFC1"/>
              <w:left w:val="single" w:sz="8" w:space="0" w:color="D2232A"/>
              <w:bottom w:val="single" w:sz="8" w:space="0" w:color="F3CFC1"/>
              <w:right w:val="single" w:sz="8" w:space="0" w:color="D2232A"/>
            </w:tcBorders>
            <w:vAlign w:val="center"/>
          </w:tcPr>
          <w:p w14:paraId="534442FB" w14:textId="7DD755E1" w:rsidR="001E7E0F" w:rsidRPr="009442AC" w:rsidRDefault="001E7E0F" w:rsidP="009442AC">
            <w:pPr>
              <w:spacing w:after="0"/>
              <w:jc w:val="center"/>
              <w:rPr>
                <w:sz w:val="16"/>
                <w:szCs w:val="16"/>
              </w:rPr>
            </w:pPr>
            <w:r w:rsidRPr="009442AC">
              <w:rPr>
                <w:sz w:val="16"/>
                <w:szCs w:val="16"/>
              </w:rPr>
              <w:t>2.254</w:t>
            </w:r>
          </w:p>
        </w:tc>
        <w:tc>
          <w:tcPr>
            <w:tcW w:w="851" w:type="dxa"/>
            <w:tcBorders>
              <w:top w:val="single" w:sz="8" w:space="0" w:color="F3CFC1"/>
              <w:left w:val="single" w:sz="8" w:space="0" w:color="D2232A"/>
              <w:bottom w:val="single" w:sz="8" w:space="0" w:color="F3CFC1"/>
              <w:right w:val="single" w:sz="8" w:space="0" w:color="D2232A"/>
            </w:tcBorders>
            <w:vAlign w:val="center"/>
          </w:tcPr>
          <w:p w14:paraId="7CCA7717" w14:textId="226AC41E" w:rsidR="001E7E0F" w:rsidRPr="009442AC" w:rsidRDefault="001E7E0F" w:rsidP="009442AC">
            <w:pPr>
              <w:spacing w:after="0"/>
              <w:jc w:val="center"/>
              <w:rPr>
                <w:sz w:val="16"/>
                <w:szCs w:val="16"/>
              </w:rPr>
            </w:pPr>
            <w:r w:rsidRPr="009442AC">
              <w:rPr>
                <w:sz w:val="16"/>
                <w:szCs w:val="16"/>
              </w:rPr>
              <w:t>26.743</w:t>
            </w:r>
          </w:p>
        </w:tc>
        <w:tc>
          <w:tcPr>
            <w:tcW w:w="851" w:type="dxa"/>
            <w:tcBorders>
              <w:top w:val="single" w:sz="8" w:space="0" w:color="F3CFC1"/>
              <w:left w:val="single" w:sz="8" w:space="0" w:color="D2232A"/>
              <w:bottom w:val="single" w:sz="8" w:space="0" w:color="F3CFC1"/>
              <w:right w:val="single" w:sz="8" w:space="0" w:color="D2232A"/>
            </w:tcBorders>
            <w:vAlign w:val="center"/>
          </w:tcPr>
          <w:p w14:paraId="7E479A5F" w14:textId="55EC903A" w:rsidR="001E7E0F" w:rsidRPr="009442AC" w:rsidRDefault="001E7E0F" w:rsidP="009442AC">
            <w:pPr>
              <w:spacing w:after="0"/>
              <w:jc w:val="center"/>
              <w:rPr>
                <w:sz w:val="16"/>
                <w:szCs w:val="16"/>
              </w:rPr>
            </w:pPr>
            <w:r w:rsidRPr="009442AC">
              <w:rPr>
                <w:sz w:val="16"/>
                <w:szCs w:val="16"/>
              </w:rPr>
              <w:t>2.385</w:t>
            </w:r>
          </w:p>
        </w:tc>
        <w:tc>
          <w:tcPr>
            <w:tcW w:w="998" w:type="dxa"/>
            <w:tcBorders>
              <w:top w:val="single" w:sz="8" w:space="0" w:color="F3CFC1"/>
              <w:left w:val="single" w:sz="8" w:space="0" w:color="D2232A"/>
              <w:bottom w:val="single" w:sz="8" w:space="0" w:color="F3CFC1"/>
              <w:right w:val="single" w:sz="8" w:space="0" w:color="D2232A"/>
            </w:tcBorders>
            <w:vAlign w:val="center"/>
          </w:tcPr>
          <w:p w14:paraId="5F8086B6" w14:textId="65EF8ECA" w:rsidR="001E7E0F" w:rsidRPr="009442AC" w:rsidRDefault="002C7E17" w:rsidP="009442AC">
            <w:pPr>
              <w:spacing w:after="0"/>
              <w:jc w:val="center"/>
              <w:rPr>
                <w:sz w:val="16"/>
                <w:szCs w:val="16"/>
              </w:rPr>
            </w:pPr>
            <w:r w:rsidRPr="009442AC">
              <w:rPr>
                <w:sz w:val="16"/>
                <w:szCs w:val="16"/>
              </w:rPr>
              <w:t>26.947</w:t>
            </w:r>
          </w:p>
        </w:tc>
        <w:tc>
          <w:tcPr>
            <w:tcW w:w="815" w:type="dxa"/>
            <w:tcBorders>
              <w:top w:val="single" w:sz="8" w:space="0" w:color="F3CFC1"/>
              <w:left w:val="single" w:sz="8" w:space="0" w:color="D2232A"/>
              <w:bottom w:val="single" w:sz="8" w:space="0" w:color="F3CFC1"/>
              <w:right w:val="single" w:sz="8" w:space="0" w:color="D2232A"/>
            </w:tcBorders>
            <w:vAlign w:val="center"/>
          </w:tcPr>
          <w:p w14:paraId="4BE77171" w14:textId="1451F924" w:rsidR="001E7E0F" w:rsidRPr="009442AC" w:rsidRDefault="002C7E17" w:rsidP="009442AC">
            <w:pPr>
              <w:spacing w:after="0"/>
              <w:jc w:val="center"/>
              <w:rPr>
                <w:sz w:val="16"/>
                <w:szCs w:val="16"/>
              </w:rPr>
            </w:pPr>
            <w:r w:rsidRPr="009442AC">
              <w:rPr>
                <w:sz w:val="16"/>
                <w:szCs w:val="16"/>
              </w:rPr>
              <w:t>2.452</w:t>
            </w:r>
          </w:p>
        </w:tc>
      </w:tr>
      <w:tr w:rsidR="001E7E0F" w:rsidRPr="009A0BBF" w14:paraId="73E46BAF" w14:textId="08F7DC43" w:rsidTr="00460D3A">
        <w:trPr>
          <w:trHeight w:val="413"/>
        </w:trPr>
        <w:tc>
          <w:tcPr>
            <w:tcW w:w="1039" w:type="dxa"/>
            <w:tcBorders>
              <w:top w:val="single" w:sz="8" w:space="0" w:color="F3CFC1"/>
              <w:bottom w:val="single" w:sz="8" w:space="0" w:color="F3CFC1"/>
            </w:tcBorders>
            <w:shd w:val="clear" w:color="auto" w:fill="E5E5E5" w:themeFill="text1" w:themeFillTint="33"/>
            <w:vAlign w:val="center"/>
            <w:hideMark/>
          </w:tcPr>
          <w:p w14:paraId="15DD670F" w14:textId="35B4E796" w:rsidR="001E7E0F" w:rsidRPr="009A0BBF" w:rsidRDefault="00460D3A" w:rsidP="00941871">
            <w:pPr>
              <w:spacing w:after="0"/>
              <w:rPr>
                <w:szCs w:val="18"/>
              </w:rPr>
            </w:pPr>
            <w:r>
              <w:rPr>
                <w:szCs w:val="18"/>
              </w:rPr>
              <w:t>RH</w:t>
            </w:r>
          </w:p>
        </w:tc>
        <w:tc>
          <w:tcPr>
            <w:tcW w:w="909" w:type="dxa"/>
            <w:tcBorders>
              <w:top w:val="single" w:sz="8" w:space="0" w:color="F3CFC1"/>
              <w:bottom w:val="single" w:sz="8" w:space="0" w:color="F3CFC1"/>
              <w:right w:val="single" w:sz="8" w:space="0" w:color="D2232A"/>
            </w:tcBorders>
            <w:vAlign w:val="center"/>
            <w:hideMark/>
          </w:tcPr>
          <w:p w14:paraId="69C75D79" w14:textId="77777777" w:rsidR="001E7E0F" w:rsidRPr="009442AC" w:rsidRDefault="001E7E0F" w:rsidP="009442AC">
            <w:pPr>
              <w:spacing w:after="0"/>
              <w:jc w:val="center"/>
              <w:rPr>
                <w:sz w:val="16"/>
                <w:szCs w:val="16"/>
              </w:rPr>
            </w:pPr>
            <w:r w:rsidRPr="009442AC">
              <w:rPr>
                <w:sz w:val="16"/>
                <w:szCs w:val="16"/>
              </w:rPr>
              <w:t>134.573</w:t>
            </w:r>
          </w:p>
        </w:tc>
        <w:tc>
          <w:tcPr>
            <w:tcW w:w="725" w:type="dxa"/>
            <w:tcBorders>
              <w:top w:val="single" w:sz="8" w:space="0" w:color="F3CFC1"/>
              <w:left w:val="single" w:sz="8" w:space="0" w:color="D2232A"/>
              <w:bottom w:val="single" w:sz="8" w:space="0" w:color="F3CFC1"/>
              <w:right w:val="single" w:sz="8" w:space="0" w:color="D2232A"/>
            </w:tcBorders>
            <w:vAlign w:val="center"/>
            <w:hideMark/>
          </w:tcPr>
          <w:p w14:paraId="2059DF8C" w14:textId="77777777" w:rsidR="001E7E0F" w:rsidRPr="009442AC" w:rsidRDefault="001E7E0F" w:rsidP="009442AC">
            <w:pPr>
              <w:spacing w:after="0"/>
              <w:jc w:val="center"/>
              <w:rPr>
                <w:sz w:val="16"/>
                <w:szCs w:val="16"/>
              </w:rPr>
            </w:pPr>
            <w:r w:rsidRPr="009442AC">
              <w:rPr>
                <w:sz w:val="16"/>
                <w:szCs w:val="16"/>
              </w:rPr>
              <w:t>11.538</w:t>
            </w:r>
          </w:p>
        </w:tc>
        <w:tc>
          <w:tcPr>
            <w:tcW w:w="850" w:type="dxa"/>
            <w:tcBorders>
              <w:top w:val="single" w:sz="8" w:space="0" w:color="F3CFC1"/>
              <w:left w:val="single" w:sz="8" w:space="0" w:color="D2232A"/>
              <w:bottom w:val="single" w:sz="8" w:space="0" w:color="F3CFC1"/>
              <w:right w:val="single" w:sz="8" w:space="0" w:color="D2232A"/>
            </w:tcBorders>
            <w:vAlign w:val="center"/>
            <w:hideMark/>
          </w:tcPr>
          <w:p w14:paraId="32E1C99D" w14:textId="77777777" w:rsidR="001E7E0F" w:rsidRPr="009442AC" w:rsidRDefault="001E7E0F" w:rsidP="009442AC">
            <w:pPr>
              <w:spacing w:after="0"/>
              <w:jc w:val="center"/>
              <w:rPr>
                <w:sz w:val="16"/>
                <w:szCs w:val="16"/>
              </w:rPr>
            </w:pPr>
            <w:r w:rsidRPr="009442AC">
              <w:rPr>
                <w:sz w:val="16"/>
                <w:szCs w:val="16"/>
              </w:rPr>
              <w:t>143.878</w:t>
            </w:r>
          </w:p>
        </w:tc>
        <w:tc>
          <w:tcPr>
            <w:tcW w:w="730" w:type="dxa"/>
            <w:tcBorders>
              <w:top w:val="single" w:sz="8" w:space="0" w:color="F3CFC1"/>
              <w:left w:val="single" w:sz="8" w:space="0" w:color="D2232A"/>
              <w:bottom w:val="single" w:sz="8" w:space="0" w:color="F3CFC1"/>
              <w:right w:val="single" w:sz="8" w:space="0" w:color="D2232A"/>
            </w:tcBorders>
            <w:vAlign w:val="center"/>
            <w:hideMark/>
          </w:tcPr>
          <w:p w14:paraId="1B005804" w14:textId="77777777" w:rsidR="001E7E0F" w:rsidRPr="009442AC" w:rsidRDefault="001E7E0F" w:rsidP="009442AC">
            <w:pPr>
              <w:spacing w:after="0"/>
              <w:jc w:val="center"/>
              <w:rPr>
                <w:sz w:val="16"/>
                <w:szCs w:val="16"/>
              </w:rPr>
            </w:pPr>
            <w:r w:rsidRPr="009442AC">
              <w:rPr>
                <w:sz w:val="16"/>
                <w:szCs w:val="16"/>
              </w:rPr>
              <w:t>12.396</w:t>
            </w:r>
          </w:p>
        </w:tc>
        <w:tc>
          <w:tcPr>
            <w:tcW w:w="850" w:type="dxa"/>
            <w:tcBorders>
              <w:top w:val="single" w:sz="8" w:space="0" w:color="F3CFC1"/>
              <w:left w:val="single" w:sz="8" w:space="0" w:color="D2232A"/>
              <w:bottom w:val="single" w:sz="8" w:space="0" w:color="F3CFC1"/>
              <w:right w:val="single" w:sz="8" w:space="0" w:color="D2232A"/>
            </w:tcBorders>
            <w:vAlign w:val="center"/>
            <w:hideMark/>
          </w:tcPr>
          <w:p w14:paraId="773D4BF8" w14:textId="77777777" w:rsidR="001E7E0F" w:rsidRPr="009442AC" w:rsidRDefault="001E7E0F" w:rsidP="009442AC">
            <w:pPr>
              <w:spacing w:after="0"/>
              <w:jc w:val="center"/>
              <w:rPr>
                <w:sz w:val="16"/>
                <w:szCs w:val="16"/>
              </w:rPr>
            </w:pPr>
            <w:r w:rsidRPr="009442AC">
              <w:rPr>
                <w:sz w:val="16"/>
                <w:szCs w:val="16"/>
              </w:rPr>
              <w:t>139.228</w:t>
            </w:r>
          </w:p>
        </w:tc>
        <w:tc>
          <w:tcPr>
            <w:tcW w:w="729" w:type="dxa"/>
            <w:tcBorders>
              <w:top w:val="single" w:sz="8" w:space="0" w:color="F3CFC1"/>
              <w:left w:val="single" w:sz="8" w:space="0" w:color="D2232A"/>
              <w:bottom w:val="single" w:sz="8" w:space="0" w:color="F3CFC1"/>
              <w:right w:val="single" w:sz="8" w:space="0" w:color="D2232A"/>
            </w:tcBorders>
            <w:vAlign w:val="center"/>
            <w:hideMark/>
          </w:tcPr>
          <w:p w14:paraId="059863FB" w14:textId="77777777" w:rsidR="001E7E0F" w:rsidRPr="009442AC" w:rsidRDefault="001E7E0F" w:rsidP="009442AC">
            <w:pPr>
              <w:spacing w:after="0"/>
              <w:jc w:val="center"/>
              <w:rPr>
                <w:sz w:val="16"/>
                <w:szCs w:val="16"/>
              </w:rPr>
            </w:pPr>
            <w:r w:rsidRPr="009442AC">
              <w:rPr>
                <w:sz w:val="16"/>
                <w:szCs w:val="16"/>
              </w:rPr>
              <w:t>12.601</w:t>
            </w:r>
          </w:p>
        </w:tc>
        <w:tc>
          <w:tcPr>
            <w:tcW w:w="851" w:type="dxa"/>
            <w:tcBorders>
              <w:top w:val="single" w:sz="8" w:space="0" w:color="F3CFC1"/>
              <w:left w:val="single" w:sz="8" w:space="0" w:color="D2232A"/>
              <w:bottom w:val="single" w:sz="8" w:space="0" w:color="F3CFC1"/>
              <w:right w:val="single" w:sz="8" w:space="0" w:color="D2232A"/>
            </w:tcBorders>
            <w:vAlign w:val="center"/>
            <w:hideMark/>
          </w:tcPr>
          <w:p w14:paraId="42404377" w14:textId="77777777" w:rsidR="001E7E0F" w:rsidRPr="009442AC" w:rsidRDefault="001E7E0F" w:rsidP="009442AC">
            <w:pPr>
              <w:spacing w:after="0"/>
              <w:jc w:val="center"/>
              <w:rPr>
                <w:sz w:val="16"/>
                <w:szCs w:val="16"/>
              </w:rPr>
            </w:pPr>
            <w:r w:rsidRPr="009442AC">
              <w:rPr>
                <w:sz w:val="16"/>
                <w:szCs w:val="16"/>
              </w:rPr>
              <w:t>139.378</w:t>
            </w:r>
          </w:p>
        </w:tc>
        <w:tc>
          <w:tcPr>
            <w:tcW w:w="851" w:type="dxa"/>
            <w:tcBorders>
              <w:top w:val="single" w:sz="8" w:space="0" w:color="F3CFC1"/>
              <w:left w:val="single" w:sz="8" w:space="0" w:color="D2232A"/>
              <w:bottom w:val="single" w:sz="8" w:space="0" w:color="F3CFC1"/>
              <w:right w:val="single" w:sz="8" w:space="0" w:color="D2232A"/>
            </w:tcBorders>
            <w:vAlign w:val="center"/>
            <w:hideMark/>
          </w:tcPr>
          <w:p w14:paraId="3668F74F" w14:textId="77777777" w:rsidR="001E7E0F" w:rsidRPr="009442AC" w:rsidRDefault="001E7E0F" w:rsidP="009442AC">
            <w:pPr>
              <w:spacing w:after="0"/>
              <w:jc w:val="center"/>
              <w:rPr>
                <w:sz w:val="16"/>
                <w:szCs w:val="16"/>
              </w:rPr>
            </w:pPr>
            <w:r w:rsidRPr="009442AC">
              <w:rPr>
                <w:sz w:val="16"/>
                <w:szCs w:val="16"/>
              </w:rPr>
              <w:t>13.088</w:t>
            </w:r>
          </w:p>
        </w:tc>
        <w:tc>
          <w:tcPr>
            <w:tcW w:w="998" w:type="dxa"/>
            <w:tcBorders>
              <w:top w:val="single" w:sz="8" w:space="0" w:color="F3CFC1"/>
              <w:left w:val="single" w:sz="8" w:space="0" w:color="D2232A"/>
              <w:bottom w:val="single" w:sz="8" w:space="0" w:color="F3CFC1"/>
              <w:right w:val="single" w:sz="8" w:space="0" w:color="D2232A"/>
            </w:tcBorders>
            <w:vAlign w:val="center"/>
          </w:tcPr>
          <w:p w14:paraId="4A8B8FC1" w14:textId="3210FE17" w:rsidR="001E7E0F" w:rsidRPr="009442AC" w:rsidRDefault="000E4751" w:rsidP="009442AC">
            <w:pPr>
              <w:spacing w:after="0"/>
              <w:jc w:val="center"/>
              <w:rPr>
                <w:sz w:val="16"/>
                <w:szCs w:val="16"/>
              </w:rPr>
            </w:pPr>
            <w:r w:rsidRPr="009442AC">
              <w:rPr>
                <w:sz w:val="16"/>
                <w:szCs w:val="16"/>
              </w:rPr>
              <w:t>139.682</w:t>
            </w:r>
          </w:p>
        </w:tc>
        <w:tc>
          <w:tcPr>
            <w:tcW w:w="815" w:type="dxa"/>
            <w:tcBorders>
              <w:top w:val="single" w:sz="8" w:space="0" w:color="F3CFC1"/>
              <w:left w:val="single" w:sz="8" w:space="0" w:color="D2232A"/>
              <w:bottom w:val="single" w:sz="8" w:space="0" w:color="F3CFC1"/>
              <w:right w:val="single" w:sz="8" w:space="0" w:color="D2232A"/>
            </w:tcBorders>
            <w:vAlign w:val="center"/>
          </w:tcPr>
          <w:p w14:paraId="27C9B282" w14:textId="7D7261DB" w:rsidR="001E7E0F" w:rsidRPr="009442AC" w:rsidRDefault="000E4751" w:rsidP="009442AC">
            <w:pPr>
              <w:spacing w:after="0"/>
              <w:jc w:val="center"/>
              <w:rPr>
                <w:sz w:val="16"/>
                <w:szCs w:val="16"/>
              </w:rPr>
            </w:pPr>
            <w:r w:rsidRPr="009442AC">
              <w:rPr>
                <w:sz w:val="16"/>
                <w:szCs w:val="16"/>
              </w:rPr>
              <w:t>13</w:t>
            </w:r>
            <w:r w:rsidR="009442AC">
              <w:rPr>
                <w:sz w:val="16"/>
                <w:szCs w:val="16"/>
              </w:rPr>
              <w:t>.</w:t>
            </w:r>
            <w:r w:rsidRPr="009442AC">
              <w:rPr>
                <w:sz w:val="16"/>
                <w:szCs w:val="16"/>
              </w:rPr>
              <w:t>617</w:t>
            </w:r>
          </w:p>
        </w:tc>
      </w:tr>
    </w:tbl>
    <w:p w14:paraId="305F728B" w14:textId="400164A6" w:rsidR="008878A0" w:rsidRPr="006B5411" w:rsidRDefault="008878A0" w:rsidP="003C2276">
      <w:pPr>
        <w:pStyle w:val="Izvor"/>
        <w:rPr>
          <w:i/>
          <w:color w:val="ABABAB" w:themeColor="text1" w:themeTint="A6"/>
          <w:sz w:val="16"/>
          <w:szCs w:val="16"/>
        </w:rPr>
      </w:pPr>
      <w:r w:rsidRPr="006B5411">
        <w:rPr>
          <w:i/>
          <w:color w:val="ABABAB" w:themeColor="text1" w:themeTint="A6"/>
          <w:sz w:val="16"/>
          <w:szCs w:val="16"/>
        </w:rPr>
        <w:t>Izvor: DZS, Priopćenje, Dječji vrtići i druge pravne osobe koje ostvaruju program predškolskog odgoja, početak pedagoške godine 2015./2016., 2016./2017., 2017./2018.</w:t>
      </w:r>
      <w:r w:rsidR="001E7E0F" w:rsidRPr="006B5411">
        <w:rPr>
          <w:i/>
          <w:color w:val="ABABAB" w:themeColor="text1" w:themeTint="A6"/>
          <w:sz w:val="16"/>
          <w:szCs w:val="16"/>
        </w:rPr>
        <w:t xml:space="preserve">, </w:t>
      </w:r>
      <w:r w:rsidRPr="006B5411">
        <w:rPr>
          <w:i/>
          <w:color w:val="ABABAB" w:themeColor="text1" w:themeTint="A6"/>
          <w:sz w:val="16"/>
          <w:szCs w:val="16"/>
        </w:rPr>
        <w:t>2018./2019.</w:t>
      </w:r>
      <w:r w:rsidR="001E7E0F" w:rsidRPr="006B5411">
        <w:rPr>
          <w:i/>
          <w:color w:val="ABABAB" w:themeColor="text1" w:themeTint="A6"/>
          <w:sz w:val="16"/>
          <w:szCs w:val="16"/>
        </w:rPr>
        <w:t xml:space="preserve"> i 2019./2020.</w:t>
      </w:r>
    </w:p>
    <w:p w14:paraId="54DF7857" w14:textId="77777777" w:rsidR="00825CD8" w:rsidRDefault="00825CD8" w:rsidP="00855D8D">
      <w:pPr>
        <w:pStyle w:val="Izvor"/>
      </w:pPr>
    </w:p>
    <w:p w14:paraId="04DA7FB3" w14:textId="79ABF9A4" w:rsidR="00EC322E" w:rsidRDefault="00BC3D7D" w:rsidP="00941871">
      <w:r w:rsidRPr="00BC3D7D">
        <w:t xml:space="preserve">Program predškole obvezan je za svu djecu u godini dana prije polaska u osnovnu školu. U promatranom razdoblju od šk. godine 2015./2016. do šk. godine 2018./2019. upis djece u predškolu, tzv. „malu školu“ je stopostotni te </w:t>
      </w:r>
      <w:r w:rsidR="00510D74">
        <w:t>je imao</w:t>
      </w:r>
      <w:r w:rsidRPr="00BC3D7D">
        <w:t xml:space="preserve"> trend rasta </w:t>
      </w:r>
      <w:r w:rsidR="00510D74">
        <w:t xml:space="preserve">broja upisane djece </w:t>
      </w:r>
      <w:r w:rsidR="007763D0">
        <w:t xml:space="preserve">sve </w:t>
      </w:r>
      <w:r w:rsidR="00510D74">
        <w:t>do šk. godine 2019</w:t>
      </w:r>
      <w:r w:rsidR="00A55C80">
        <w:t>.</w:t>
      </w:r>
      <w:r w:rsidR="00510D74">
        <w:t xml:space="preserve">/2020. </w:t>
      </w:r>
      <w:r w:rsidRPr="00BC3D7D">
        <w:t>kako je vidljivo u grafikonu u nastavku.</w:t>
      </w:r>
      <w:r w:rsidR="00510D74">
        <w:t xml:space="preserve"> U školskoj godini 2019./2020. primjetan je manji broj upisane djec</w:t>
      </w:r>
      <w:r w:rsidR="00A55C80">
        <w:t>e (približno</w:t>
      </w:r>
      <w:r w:rsidR="00510D74">
        <w:t xml:space="preserve"> 500 predškolaraca</w:t>
      </w:r>
      <w:r w:rsidR="00A55C80">
        <w:t>)</w:t>
      </w:r>
      <w:r w:rsidR="00510D74">
        <w:t xml:space="preserve"> u odnosu na prethodne godine. </w:t>
      </w:r>
      <w:r w:rsidR="007763D0">
        <w:t>U školskoj godini u program predškole upisano je 1.753 djece.</w:t>
      </w:r>
    </w:p>
    <w:p w14:paraId="210E69D1" w14:textId="1B87A06F" w:rsidR="008878A0" w:rsidRDefault="008878A0" w:rsidP="003E3F3C">
      <w:pPr>
        <w:pStyle w:val="Opisslike"/>
      </w:pPr>
      <w:r>
        <w:lastRenderedPageBreak/>
        <w:t xml:space="preserve">Grafikon </w:t>
      </w:r>
      <w:r w:rsidR="00E41C26">
        <w:t>2</w:t>
      </w:r>
      <w:r w:rsidR="00A668BF">
        <w:t>1</w:t>
      </w:r>
      <w:r w:rsidR="00825CD8">
        <w:rPr>
          <w:noProof/>
        </w:rPr>
        <w:t>.</w:t>
      </w:r>
      <w:r>
        <w:t xml:space="preserve"> Broj upisane djece u predškolske ustanove na području Krapinsko-zagorske županije </w:t>
      </w:r>
    </w:p>
    <w:p w14:paraId="74AD178F" w14:textId="1D00880A" w:rsidR="008878A0" w:rsidRPr="00A55C80" w:rsidRDefault="00A55C80" w:rsidP="00941871">
      <w:r>
        <w:rPr>
          <w:noProof/>
        </w:rPr>
        <w:drawing>
          <wp:inline distT="0" distB="0" distL="0" distR="0" wp14:anchorId="1D17333F" wp14:editId="0B19B07D">
            <wp:extent cx="5905500" cy="2797175"/>
            <wp:effectExtent l="0" t="0" r="0" b="3175"/>
            <wp:docPr id="2" name="Grafikon 2">
              <a:extLst xmlns:a="http://schemas.openxmlformats.org/drawingml/2006/main">
                <a:ext uri="{FF2B5EF4-FFF2-40B4-BE49-F238E27FC236}">
                  <a16:creationId xmlns:a16="http://schemas.microsoft.com/office/drawing/2014/main" id="{D04FDD24-12BD-4F5F-9902-53356204D0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F6DCBDA" w14:textId="53E9E52D" w:rsidR="008878A0" w:rsidRPr="006B5411" w:rsidRDefault="008878A0" w:rsidP="003C2276">
      <w:pPr>
        <w:pStyle w:val="Izvor"/>
        <w:rPr>
          <w:i/>
          <w:color w:val="ABABAB" w:themeColor="text1" w:themeTint="A6"/>
          <w:sz w:val="16"/>
          <w:szCs w:val="16"/>
        </w:rPr>
      </w:pPr>
      <w:r w:rsidRPr="006B5411">
        <w:rPr>
          <w:i/>
          <w:color w:val="ABABAB" w:themeColor="text1" w:themeTint="A6"/>
          <w:sz w:val="16"/>
          <w:szCs w:val="16"/>
        </w:rPr>
        <w:t>Izvor: Upravni odjel za obrazovanje, kulturu, šport i tehničku kulturu</w:t>
      </w:r>
      <w:r w:rsidR="00A55C80" w:rsidRPr="006B5411">
        <w:rPr>
          <w:i/>
          <w:color w:val="ABABAB" w:themeColor="text1" w:themeTint="A6"/>
          <w:sz w:val="16"/>
          <w:szCs w:val="16"/>
        </w:rPr>
        <w:t>, 2021</w:t>
      </w:r>
    </w:p>
    <w:p w14:paraId="7EE8E35C" w14:textId="77777777" w:rsidR="00EC6833" w:rsidRDefault="00EC6833" w:rsidP="00855D8D">
      <w:pPr>
        <w:pStyle w:val="Izvor"/>
      </w:pPr>
    </w:p>
    <w:p w14:paraId="6F3559FE" w14:textId="58198BE1" w:rsidR="00825CD8" w:rsidRDefault="00F60177" w:rsidP="00AB5CAC">
      <w:r>
        <w:t xml:space="preserve">U odgojno-obrazovnim ustanovama predškolskog odgoja na području Krapinsko-zagorske županije samo šest ustanova u školskoj godini 2018./2019. imalo je osigurano barem jednog pomoćnika za djecu s teškoćama </w:t>
      </w:r>
      <w:r w:rsidR="00F975E9">
        <w:t xml:space="preserve">u razvoju </w:t>
      </w:r>
      <w:r>
        <w:t>na puno, odnosno pola radnog vremena. Prisutna je izražena potreba za uvođenjem većeg broja pomoćnika za djecu predškolskog odgoja. U školskoj godini 2018./2019. u program predškolskog odgoja upisano je osam puta više djece (61 dijete) no što je pomoćnika u nastavi (7,5).</w:t>
      </w:r>
      <w:r w:rsidR="00A10FCA" w:rsidRPr="00A10FCA">
        <w:t xml:space="preserve"> </w:t>
      </w:r>
      <w:r w:rsidR="00A10FCA">
        <w:t>Po broju pomoćnika (tri pomoćnika na troje djece u šk. godini 2018./2019.) ističe se program predškole pri Osnovnoj školi Franje Horvata Kiša u općini Lobor koja kontinuirano ima jednak broj pomoćnika na broj djece kojima je potrebna njihova pomoć.</w:t>
      </w:r>
    </w:p>
    <w:p w14:paraId="26DC3DEA" w14:textId="77777777" w:rsidR="00A55C80" w:rsidRDefault="00A55C80" w:rsidP="00AB5CAC"/>
    <w:p w14:paraId="3A3EF1FB" w14:textId="551B4025" w:rsidR="008878A0" w:rsidRDefault="00C47264" w:rsidP="0052192B">
      <w:pPr>
        <w:pStyle w:val="Naslov2"/>
      </w:pPr>
      <w:bookmarkStart w:id="114" w:name="_Toc85181310"/>
      <w:r>
        <w:t>8</w:t>
      </w:r>
      <w:r w:rsidR="008878A0">
        <w:t>.3. Osnovnoškolski odgoj i obrazovanje</w:t>
      </w:r>
      <w:bookmarkEnd w:id="114"/>
      <w:r w:rsidR="008878A0">
        <w:t xml:space="preserve"> </w:t>
      </w:r>
    </w:p>
    <w:p w14:paraId="527D833C" w14:textId="77777777" w:rsidR="009209DE" w:rsidRPr="009209DE" w:rsidRDefault="009209DE" w:rsidP="009209DE"/>
    <w:p w14:paraId="74AA2B48" w14:textId="4DDB8004" w:rsidR="00896C03" w:rsidRDefault="008878A0" w:rsidP="00896C03">
      <w:r>
        <w:t xml:space="preserve">Mreža osnovnih škola na području Krapinsko-zagorske županije obuhvaća 34 ustanove koje obavljaju osnovnoškolsku djelatnost u objektima matičnih škola i 54 područne škole, jedino u općini Zagorska Sela nema ni jedne škole te djeca s tog područja pohađaju osnovnu školu u Kumrovcu. </w:t>
      </w:r>
      <w:r w:rsidR="00152DB1" w:rsidRPr="00152DB1">
        <w:t>Na području Krapinsko - zagorske županije osnovno obrazovanje djece i mladeži s većim teškoćama i poremećajima u razvoju provodi se u Centru za odgoj i obrazovanje Krapinske Toplice te Zajezdi, pri Zavodu za rehabilitaciju.</w:t>
      </w:r>
    </w:p>
    <w:p w14:paraId="377F8239" w14:textId="77777777" w:rsidR="00EC322E" w:rsidRDefault="00EC322E" w:rsidP="00896C03"/>
    <w:p w14:paraId="2AAED875" w14:textId="37EBD040" w:rsidR="00896C03" w:rsidRDefault="00896C03" w:rsidP="003E3F3C">
      <w:pPr>
        <w:pStyle w:val="Opisslike"/>
      </w:pPr>
      <w:r>
        <w:t xml:space="preserve">Tablica </w:t>
      </w:r>
      <w:r w:rsidR="00151FD4">
        <w:t>5</w:t>
      </w:r>
      <w:r w:rsidR="00004F7D">
        <w:t>3</w:t>
      </w:r>
      <w:r w:rsidR="00825CD8">
        <w:rPr>
          <w:noProof/>
        </w:rPr>
        <w:t>.</w:t>
      </w:r>
      <w:r>
        <w:t xml:space="preserve"> </w:t>
      </w:r>
      <w:r w:rsidRPr="00405380">
        <w:t>Popis matičnih i područnih osnovnih škola na području Krapinsko-zagorske županije</w:t>
      </w:r>
    </w:p>
    <w:tbl>
      <w:tblPr>
        <w:tblStyle w:val="Style5"/>
        <w:tblW w:w="0" w:type="auto"/>
        <w:tblLook w:val="04A0" w:firstRow="1" w:lastRow="0" w:firstColumn="1" w:lastColumn="0" w:noHBand="0" w:noVBand="1"/>
      </w:tblPr>
      <w:tblGrid>
        <w:gridCol w:w="562"/>
        <w:gridCol w:w="2127"/>
        <w:gridCol w:w="567"/>
        <w:gridCol w:w="5806"/>
      </w:tblGrid>
      <w:tr w:rsidR="00896C03" w:rsidRPr="00825CD8" w14:paraId="088E6E39" w14:textId="77777777" w:rsidTr="52B514CE">
        <w:trPr>
          <w:cnfStyle w:val="100000000000" w:firstRow="1" w:lastRow="0" w:firstColumn="0" w:lastColumn="0" w:oddVBand="0" w:evenVBand="0" w:oddHBand="0" w:evenHBand="0" w:firstRowFirstColumn="0" w:firstRowLastColumn="0" w:lastRowFirstColumn="0" w:lastRowLastColumn="0"/>
          <w:trHeight w:val="300"/>
          <w:tblHeader/>
        </w:trPr>
        <w:tc>
          <w:tcPr>
            <w:tcW w:w="2689" w:type="dxa"/>
            <w:gridSpan w:val="2"/>
            <w:noWrap/>
            <w:vAlign w:val="center"/>
            <w:hideMark/>
          </w:tcPr>
          <w:p w14:paraId="4079DD0A" w14:textId="77777777" w:rsidR="00896C03" w:rsidRPr="00825CD8" w:rsidRDefault="00896C03" w:rsidP="00825CD8">
            <w:pPr>
              <w:spacing w:line="264" w:lineRule="auto"/>
              <w:jc w:val="left"/>
              <w:rPr>
                <w:rFonts w:eastAsia="Times New Roman" w:cs="Calibri"/>
                <w:color w:val="000000"/>
                <w:szCs w:val="18"/>
                <w:lang w:eastAsia="hr-HR"/>
              </w:rPr>
            </w:pPr>
            <w:r w:rsidRPr="00825CD8">
              <w:rPr>
                <w:color w:val="FFFFFF" w:themeColor="background1"/>
                <w:szCs w:val="18"/>
              </w:rPr>
              <w:t>MATIČNA ŠKOLA</w:t>
            </w:r>
          </w:p>
        </w:tc>
        <w:tc>
          <w:tcPr>
            <w:tcW w:w="6373" w:type="dxa"/>
            <w:gridSpan w:val="2"/>
            <w:noWrap/>
            <w:vAlign w:val="center"/>
            <w:hideMark/>
          </w:tcPr>
          <w:p w14:paraId="1E218F98" w14:textId="77777777" w:rsidR="00896C03" w:rsidRPr="00825CD8" w:rsidRDefault="00896C03" w:rsidP="00825CD8">
            <w:pPr>
              <w:spacing w:line="264" w:lineRule="auto"/>
              <w:jc w:val="left"/>
              <w:rPr>
                <w:rFonts w:eastAsia="Times New Roman" w:cs="Calibri"/>
                <w:color w:val="000000"/>
                <w:szCs w:val="18"/>
                <w:lang w:eastAsia="hr-HR"/>
              </w:rPr>
            </w:pPr>
            <w:r w:rsidRPr="00825CD8">
              <w:rPr>
                <w:color w:val="FFFFFF" w:themeColor="background1"/>
                <w:szCs w:val="18"/>
              </w:rPr>
              <w:t>PODRUČNA ŠKOLA</w:t>
            </w:r>
          </w:p>
        </w:tc>
      </w:tr>
      <w:tr w:rsidR="00896C03" w:rsidRPr="00825CD8" w14:paraId="1D8E0F24" w14:textId="77777777" w:rsidTr="52B514CE">
        <w:trPr>
          <w:trHeight w:val="300"/>
        </w:trPr>
        <w:tc>
          <w:tcPr>
            <w:tcW w:w="562" w:type="dxa"/>
            <w:vMerge w:val="restart"/>
            <w:noWrap/>
            <w:vAlign w:val="center"/>
            <w:hideMark/>
          </w:tcPr>
          <w:p w14:paraId="5B27366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w:t>
            </w:r>
          </w:p>
        </w:tc>
        <w:tc>
          <w:tcPr>
            <w:tcW w:w="2127" w:type="dxa"/>
            <w:vMerge w:val="restart"/>
            <w:noWrap/>
            <w:vAlign w:val="center"/>
            <w:hideMark/>
          </w:tcPr>
          <w:p w14:paraId="0A5FFCDF"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Donja Stubica</w:t>
            </w:r>
          </w:p>
        </w:tc>
        <w:tc>
          <w:tcPr>
            <w:tcW w:w="567" w:type="dxa"/>
            <w:noWrap/>
            <w:vAlign w:val="center"/>
            <w:hideMark/>
          </w:tcPr>
          <w:p w14:paraId="1F74A18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w:t>
            </w:r>
          </w:p>
        </w:tc>
        <w:tc>
          <w:tcPr>
            <w:tcW w:w="5806" w:type="dxa"/>
            <w:noWrap/>
            <w:vAlign w:val="center"/>
            <w:hideMark/>
          </w:tcPr>
          <w:p w14:paraId="58645E9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Donja Stubica - Područna škola Lepa Ves</w:t>
            </w:r>
            <w:r w:rsidRPr="00825CD8">
              <w:rPr>
                <w:rFonts w:ascii="Calibri" w:eastAsia="Times New Roman" w:hAnsi="Calibri" w:cs="Calibri"/>
                <w:color w:val="000000"/>
                <w:szCs w:val="18"/>
                <w:lang w:eastAsia="hr-HR"/>
              </w:rPr>
              <w:t> </w:t>
            </w:r>
          </w:p>
        </w:tc>
      </w:tr>
      <w:tr w:rsidR="00896C03" w:rsidRPr="00825CD8" w14:paraId="718C17C6" w14:textId="77777777" w:rsidTr="52B514CE">
        <w:trPr>
          <w:trHeight w:val="300"/>
        </w:trPr>
        <w:tc>
          <w:tcPr>
            <w:tcW w:w="562" w:type="dxa"/>
            <w:vMerge/>
            <w:vAlign w:val="center"/>
            <w:hideMark/>
          </w:tcPr>
          <w:p w14:paraId="6DE79FB5"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69E6D578"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57983A0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w:t>
            </w:r>
          </w:p>
        </w:tc>
        <w:tc>
          <w:tcPr>
            <w:tcW w:w="5806" w:type="dxa"/>
            <w:noWrap/>
            <w:vAlign w:val="center"/>
            <w:hideMark/>
          </w:tcPr>
          <w:p w14:paraId="05F70BCB"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Donja Stubica - Područna škola Vučak</w:t>
            </w:r>
          </w:p>
        </w:tc>
      </w:tr>
      <w:tr w:rsidR="00896C03" w:rsidRPr="00825CD8" w14:paraId="13A951E6" w14:textId="77777777" w:rsidTr="52B514CE">
        <w:trPr>
          <w:trHeight w:val="300"/>
        </w:trPr>
        <w:tc>
          <w:tcPr>
            <w:tcW w:w="562" w:type="dxa"/>
            <w:noWrap/>
            <w:vAlign w:val="center"/>
            <w:hideMark/>
          </w:tcPr>
          <w:p w14:paraId="26790D8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w:t>
            </w:r>
          </w:p>
        </w:tc>
        <w:tc>
          <w:tcPr>
            <w:tcW w:w="2127" w:type="dxa"/>
            <w:noWrap/>
            <w:vAlign w:val="center"/>
            <w:hideMark/>
          </w:tcPr>
          <w:p w14:paraId="0D07CA0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Vladimir Bosnar Stubičke Toplice</w:t>
            </w:r>
          </w:p>
        </w:tc>
        <w:tc>
          <w:tcPr>
            <w:tcW w:w="567" w:type="dxa"/>
            <w:noWrap/>
            <w:vAlign w:val="center"/>
            <w:hideMark/>
          </w:tcPr>
          <w:p w14:paraId="7EDE6946" w14:textId="77777777" w:rsidR="00896C03" w:rsidRPr="00825CD8" w:rsidRDefault="00896C03" w:rsidP="00825CD8">
            <w:pPr>
              <w:jc w:val="left"/>
              <w:rPr>
                <w:rFonts w:eastAsia="Times New Roman" w:cs="Calibri"/>
                <w:color w:val="000000"/>
                <w:szCs w:val="18"/>
                <w:lang w:eastAsia="hr-HR"/>
              </w:rPr>
            </w:pPr>
          </w:p>
        </w:tc>
        <w:tc>
          <w:tcPr>
            <w:tcW w:w="5806" w:type="dxa"/>
            <w:noWrap/>
            <w:vAlign w:val="center"/>
            <w:hideMark/>
          </w:tcPr>
          <w:p w14:paraId="35799080" w14:textId="3FF1B749" w:rsidR="00896C03" w:rsidRPr="00825CD8" w:rsidRDefault="00896C03" w:rsidP="00825CD8">
            <w:pPr>
              <w:jc w:val="left"/>
              <w:rPr>
                <w:rFonts w:eastAsia="Times New Roman" w:cs="Times New Roman"/>
                <w:szCs w:val="18"/>
                <w:lang w:eastAsia="hr-HR"/>
              </w:rPr>
            </w:pPr>
            <w:r w:rsidRPr="00825CD8">
              <w:rPr>
                <w:rFonts w:eastAsia="Times New Roman" w:cs="Times New Roman"/>
                <w:szCs w:val="18"/>
                <w:lang w:eastAsia="hr-HR"/>
              </w:rPr>
              <w:t>-</w:t>
            </w:r>
          </w:p>
        </w:tc>
      </w:tr>
      <w:tr w:rsidR="00896C03" w:rsidRPr="00825CD8" w14:paraId="3DCA2798" w14:textId="77777777" w:rsidTr="52B514CE">
        <w:trPr>
          <w:trHeight w:val="300"/>
        </w:trPr>
        <w:tc>
          <w:tcPr>
            <w:tcW w:w="562" w:type="dxa"/>
            <w:noWrap/>
            <w:vAlign w:val="center"/>
            <w:hideMark/>
          </w:tcPr>
          <w:p w14:paraId="61B79E6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w:t>
            </w:r>
          </w:p>
        </w:tc>
        <w:tc>
          <w:tcPr>
            <w:tcW w:w="2127" w:type="dxa"/>
            <w:noWrap/>
            <w:vAlign w:val="center"/>
            <w:hideMark/>
          </w:tcPr>
          <w:p w14:paraId="5C44919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Antuna Mihanovića</w:t>
            </w:r>
          </w:p>
        </w:tc>
        <w:tc>
          <w:tcPr>
            <w:tcW w:w="567" w:type="dxa"/>
            <w:noWrap/>
            <w:vAlign w:val="center"/>
            <w:hideMark/>
          </w:tcPr>
          <w:p w14:paraId="4D91FBDC"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w:t>
            </w:r>
          </w:p>
        </w:tc>
        <w:tc>
          <w:tcPr>
            <w:tcW w:w="5806" w:type="dxa"/>
            <w:noWrap/>
            <w:vAlign w:val="center"/>
            <w:hideMark/>
          </w:tcPr>
          <w:p w14:paraId="747814F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Antuna Mihanovića - Područna škola Lučelnica</w:t>
            </w:r>
          </w:p>
        </w:tc>
      </w:tr>
      <w:tr w:rsidR="00896C03" w:rsidRPr="00825CD8" w14:paraId="255B34FE" w14:textId="77777777" w:rsidTr="52B514CE">
        <w:trPr>
          <w:trHeight w:val="300"/>
        </w:trPr>
        <w:tc>
          <w:tcPr>
            <w:tcW w:w="562" w:type="dxa"/>
            <w:vMerge w:val="restart"/>
            <w:noWrap/>
            <w:vAlign w:val="center"/>
            <w:hideMark/>
          </w:tcPr>
          <w:p w14:paraId="0F5DCB7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w:t>
            </w:r>
          </w:p>
        </w:tc>
        <w:tc>
          <w:tcPr>
            <w:tcW w:w="2127" w:type="dxa"/>
            <w:vMerge w:val="restart"/>
            <w:noWrap/>
            <w:vAlign w:val="center"/>
            <w:hideMark/>
          </w:tcPr>
          <w:p w14:paraId="1C532E2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Augusta Cesarca, Krapina</w:t>
            </w:r>
          </w:p>
        </w:tc>
        <w:tc>
          <w:tcPr>
            <w:tcW w:w="567" w:type="dxa"/>
            <w:noWrap/>
            <w:vAlign w:val="center"/>
            <w:hideMark/>
          </w:tcPr>
          <w:p w14:paraId="3E1E888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w:t>
            </w:r>
          </w:p>
        </w:tc>
        <w:tc>
          <w:tcPr>
            <w:tcW w:w="5806" w:type="dxa"/>
            <w:noWrap/>
            <w:vAlign w:val="center"/>
            <w:hideMark/>
          </w:tcPr>
          <w:p w14:paraId="34686E4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Augusta Cesarca, Krapina - Područna škola Podgora</w:t>
            </w:r>
            <w:r w:rsidRPr="00825CD8">
              <w:rPr>
                <w:rFonts w:ascii="Calibri" w:eastAsia="Times New Roman" w:hAnsi="Calibri" w:cs="Calibri"/>
                <w:color w:val="000000"/>
                <w:szCs w:val="18"/>
                <w:lang w:eastAsia="hr-HR"/>
              </w:rPr>
              <w:t> </w:t>
            </w:r>
          </w:p>
        </w:tc>
      </w:tr>
      <w:tr w:rsidR="00896C03" w:rsidRPr="00825CD8" w14:paraId="681A87B2" w14:textId="77777777" w:rsidTr="52B514CE">
        <w:trPr>
          <w:trHeight w:val="300"/>
        </w:trPr>
        <w:tc>
          <w:tcPr>
            <w:tcW w:w="562" w:type="dxa"/>
            <w:vMerge/>
            <w:vAlign w:val="center"/>
            <w:hideMark/>
          </w:tcPr>
          <w:p w14:paraId="370CCBA4"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00ED247B"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249D244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5.</w:t>
            </w:r>
          </w:p>
        </w:tc>
        <w:tc>
          <w:tcPr>
            <w:tcW w:w="5806" w:type="dxa"/>
            <w:noWrap/>
            <w:vAlign w:val="center"/>
            <w:hideMark/>
          </w:tcPr>
          <w:p w14:paraId="3B84937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Augusta Cesarca, Krapina - Područna škola Škarićevo</w:t>
            </w:r>
          </w:p>
        </w:tc>
      </w:tr>
      <w:tr w:rsidR="00896C03" w:rsidRPr="00825CD8" w14:paraId="566A879A" w14:textId="77777777" w:rsidTr="52B514CE">
        <w:trPr>
          <w:trHeight w:val="300"/>
        </w:trPr>
        <w:tc>
          <w:tcPr>
            <w:tcW w:w="562" w:type="dxa"/>
            <w:vMerge/>
            <w:vAlign w:val="center"/>
            <w:hideMark/>
          </w:tcPr>
          <w:p w14:paraId="5CD4AE0D"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66260243"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5B31A08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6.</w:t>
            </w:r>
          </w:p>
        </w:tc>
        <w:tc>
          <w:tcPr>
            <w:tcW w:w="5806" w:type="dxa"/>
            <w:noWrap/>
            <w:vAlign w:val="center"/>
            <w:hideMark/>
          </w:tcPr>
          <w:p w14:paraId="19E7386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glazbena škola pri Osnovnoj školi Augusta Cesarca</w:t>
            </w:r>
          </w:p>
        </w:tc>
      </w:tr>
      <w:tr w:rsidR="00896C03" w:rsidRPr="00825CD8" w14:paraId="30B849CC" w14:textId="77777777" w:rsidTr="52B514CE">
        <w:trPr>
          <w:trHeight w:val="300"/>
        </w:trPr>
        <w:tc>
          <w:tcPr>
            <w:tcW w:w="562" w:type="dxa"/>
            <w:vMerge w:val="restart"/>
            <w:noWrap/>
            <w:vAlign w:val="center"/>
            <w:hideMark/>
          </w:tcPr>
          <w:p w14:paraId="4FE0F8C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5.</w:t>
            </w:r>
          </w:p>
        </w:tc>
        <w:tc>
          <w:tcPr>
            <w:tcW w:w="2127" w:type="dxa"/>
            <w:vMerge w:val="restart"/>
            <w:noWrap/>
            <w:vAlign w:val="center"/>
            <w:hideMark/>
          </w:tcPr>
          <w:p w14:paraId="04B508B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Ljudevit Gaj u Krapini</w:t>
            </w:r>
          </w:p>
        </w:tc>
        <w:tc>
          <w:tcPr>
            <w:tcW w:w="567" w:type="dxa"/>
            <w:noWrap/>
            <w:vAlign w:val="center"/>
            <w:hideMark/>
          </w:tcPr>
          <w:p w14:paraId="301B47B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7.</w:t>
            </w:r>
          </w:p>
        </w:tc>
        <w:tc>
          <w:tcPr>
            <w:tcW w:w="5806" w:type="dxa"/>
            <w:noWrap/>
            <w:vAlign w:val="center"/>
            <w:hideMark/>
          </w:tcPr>
          <w:p w14:paraId="219A1F8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"Ljudevit Gaj" u Krapini - Područna škola Donja Šemnica</w:t>
            </w:r>
            <w:r w:rsidRPr="00825CD8">
              <w:rPr>
                <w:rFonts w:ascii="Calibri" w:eastAsia="Times New Roman" w:hAnsi="Calibri" w:cs="Calibri"/>
                <w:color w:val="000000"/>
                <w:szCs w:val="18"/>
                <w:lang w:eastAsia="hr-HR"/>
              </w:rPr>
              <w:t> </w:t>
            </w:r>
          </w:p>
        </w:tc>
      </w:tr>
      <w:tr w:rsidR="00896C03" w:rsidRPr="00825CD8" w14:paraId="4B1226D2" w14:textId="77777777" w:rsidTr="52B514CE">
        <w:trPr>
          <w:trHeight w:val="300"/>
        </w:trPr>
        <w:tc>
          <w:tcPr>
            <w:tcW w:w="562" w:type="dxa"/>
            <w:vMerge/>
            <w:vAlign w:val="center"/>
            <w:hideMark/>
          </w:tcPr>
          <w:p w14:paraId="28F3E317"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2F5BA3E0"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69AA9CE4"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8.</w:t>
            </w:r>
          </w:p>
        </w:tc>
        <w:tc>
          <w:tcPr>
            <w:tcW w:w="5806" w:type="dxa"/>
            <w:noWrap/>
            <w:vAlign w:val="center"/>
            <w:hideMark/>
          </w:tcPr>
          <w:p w14:paraId="5151D2D5"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"Ljudevit Gaj" u Krapini - Područna škola Lepajci</w:t>
            </w:r>
            <w:r w:rsidRPr="00825CD8">
              <w:rPr>
                <w:rFonts w:ascii="Calibri" w:eastAsia="Times New Roman" w:hAnsi="Calibri" w:cs="Calibri"/>
                <w:color w:val="000000"/>
                <w:szCs w:val="18"/>
                <w:lang w:eastAsia="hr-HR"/>
              </w:rPr>
              <w:t> </w:t>
            </w:r>
          </w:p>
        </w:tc>
      </w:tr>
      <w:tr w:rsidR="00896C03" w:rsidRPr="00825CD8" w14:paraId="46257F61" w14:textId="77777777" w:rsidTr="52B514CE">
        <w:trPr>
          <w:trHeight w:val="300"/>
        </w:trPr>
        <w:tc>
          <w:tcPr>
            <w:tcW w:w="562" w:type="dxa"/>
            <w:vMerge w:val="restart"/>
            <w:noWrap/>
            <w:vAlign w:val="center"/>
            <w:hideMark/>
          </w:tcPr>
          <w:p w14:paraId="1268204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lastRenderedPageBreak/>
              <w:t>6.</w:t>
            </w:r>
          </w:p>
        </w:tc>
        <w:tc>
          <w:tcPr>
            <w:tcW w:w="2127" w:type="dxa"/>
            <w:vMerge w:val="restart"/>
            <w:noWrap/>
            <w:vAlign w:val="center"/>
            <w:hideMark/>
          </w:tcPr>
          <w:p w14:paraId="3FAB236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Ksavera Šandora Gjalskog</w:t>
            </w:r>
          </w:p>
        </w:tc>
        <w:tc>
          <w:tcPr>
            <w:tcW w:w="567" w:type="dxa"/>
            <w:noWrap/>
            <w:vAlign w:val="center"/>
            <w:hideMark/>
          </w:tcPr>
          <w:p w14:paraId="2379F79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9.</w:t>
            </w:r>
          </w:p>
        </w:tc>
        <w:tc>
          <w:tcPr>
            <w:tcW w:w="5806" w:type="dxa"/>
            <w:noWrap/>
            <w:vAlign w:val="center"/>
            <w:hideMark/>
          </w:tcPr>
          <w:p w14:paraId="191B44A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Ksavera Šandora Gjalskog - Područna škola Martinišće</w:t>
            </w:r>
          </w:p>
        </w:tc>
      </w:tr>
      <w:tr w:rsidR="00896C03" w:rsidRPr="00825CD8" w14:paraId="18EC35D1" w14:textId="77777777" w:rsidTr="52B514CE">
        <w:trPr>
          <w:trHeight w:val="300"/>
        </w:trPr>
        <w:tc>
          <w:tcPr>
            <w:tcW w:w="562" w:type="dxa"/>
            <w:vMerge/>
            <w:vAlign w:val="center"/>
            <w:hideMark/>
          </w:tcPr>
          <w:p w14:paraId="2794755F"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05677BC8"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6E0458F5"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10.</w:t>
            </w:r>
          </w:p>
        </w:tc>
        <w:tc>
          <w:tcPr>
            <w:tcW w:w="5806" w:type="dxa"/>
            <w:noWrap/>
            <w:vAlign w:val="center"/>
            <w:hideMark/>
          </w:tcPr>
          <w:p w14:paraId="37D59CC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Ksavera Šandora Gjalskog - Područna škola Špičkovina</w:t>
            </w:r>
            <w:r w:rsidRPr="00825CD8">
              <w:rPr>
                <w:rFonts w:ascii="Calibri" w:eastAsia="Times New Roman" w:hAnsi="Calibri" w:cs="Calibri"/>
                <w:color w:val="000000"/>
                <w:szCs w:val="18"/>
                <w:lang w:eastAsia="hr-HR"/>
              </w:rPr>
              <w:t> </w:t>
            </w:r>
          </w:p>
        </w:tc>
      </w:tr>
      <w:tr w:rsidR="00896C03" w:rsidRPr="00825CD8" w14:paraId="030AD156" w14:textId="77777777" w:rsidTr="52B514CE">
        <w:trPr>
          <w:trHeight w:val="300"/>
        </w:trPr>
        <w:tc>
          <w:tcPr>
            <w:tcW w:w="562" w:type="dxa"/>
            <w:noWrap/>
            <w:vAlign w:val="center"/>
            <w:hideMark/>
          </w:tcPr>
          <w:p w14:paraId="38D95D4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7.</w:t>
            </w:r>
          </w:p>
        </w:tc>
        <w:tc>
          <w:tcPr>
            <w:tcW w:w="2127" w:type="dxa"/>
            <w:noWrap/>
            <w:vAlign w:val="center"/>
            <w:hideMark/>
          </w:tcPr>
          <w:p w14:paraId="05DB67A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Zlatar Bistrica</w:t>
            </w:r>
          </w:p>
        </w:tc>
        <w:tc>
          <w:tcPr>
            <w:tcW w:w="567" w:type="dxa"/>
            <w:noWrap/>
            <w:vAlign w:val="center"/>
            <w:hideMark/>
          </w:tcPr>
          <w:p w14:paraId="4D240766" w14:textId="77777777" w:rsidR="00896C03" w:rsidRPr="00825CD8" w:rsidRDefault="00896C03" w:rsidP="00825CD8">
            <w:pPr>
              <w:jc w:val="left"/>
              <w:rPr>
                <w:rFonts w:eastAsia="Times New Roman" w:cs="Calibri"/>
                <w:color w:val="000000"/>
                <w:szCs w:val="18"/>
                <w:lang w:eastAsia="hr-HR"/>
              </w:rPr>
            </w:pPr>
          </w:p>
        </w:tc>
        <w:tc>
          <w:tcPr>
            <w:tcW w:w="5806" w:type="dxa"/>
            <w:noWrap/>
            <w:vAlign w:val="center"/>
            <w:hideMark/>
          </w:tcPr>
          <w:p w14:paraId="7A3CA174" w14:textId="54C90C82" w:rsidR="00896C03" w:rsidRPr="00825CD8" w:rsidRDefault="00896C03" w:rsidP="00825CD8">
            <w:pPr>
              <w:jc w:val="left"/>
              <w:rPr>
                <w:rFonts w:eastAsia="Times New Roman" w:cs="Times New Roman"/>
                <w:szCs w:val="18"/>
                <w:lang w:eastAsia="hr-HR"/>
              </w:rPr>
            </w:pPr>
            <w:r w:rsidRPr="00825CD8">
              <w:rPr>
                <w:rFonts w:eastAsia="Times New Roman" w:cs="Times New Roman"/>
                <w:szCs w:val="18"/>
                <w:lang w:eastAsia="hr-HR"/>
              </w:rPr>
              <w:t>-</w:t>
            </w:r>
          </w:p>
        </w:tc>
      </w:tr>
      <w:tr w:rsidR="00896C03" w:rsidRPr="00825CD8" w14:paraId="2BFF7667" w14:textId="77777777" w:rsidTr="52B514CE">
        <w:trPr>
          <w:trHeight w:val="300"/>
        </w:trPr>
        <w:tc>
          <w:tcPr>
            <w:tcW w:w="562" w:type="dxa"/>
            <w:vMerge w:val="restart"/>
            <w:noWrap/>
            <w:vAlign w:val="center"/>
            <w:hideMark/>
          </w:tcPr>
          <w:p w14:paraId="510D7CD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8.</w:t>
            </w:r>
          </w:p>
        </w:tc>
        <w:tc>
          <w:tcPr>
            <w:tcW w:w="2127" w:type="dxa"/>
            <w:vMerge w:val="restart"/>
            <w:noWrap/>
            <w:vAlign w:val="center"/>
            <w:hideMark/>
          </w:tcPr>
          <w:p w14:paraId="0D7A876B"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Janka Leskovara</w:t>
            </w:r>
          </w:p>
        </w:tc>
        <w:tc>
          <w:tcPr>
            <w:tcW w:w="567" w:type="dxa"/>
            <w:noWrap/>
            <w:vAlign w:val="center"/>
            <w:hideMark/>
          </w:tcPr>
          <w:p w14:paraId="30A9D96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11.</w:t>
            </w:r>
          </w:p>
        </w:tc>
        <w:tc>
          <w:tcPr>
            <w:tcW w:w="5806" w:type="dxa"/>
            <w:noWrap/>
            <w:vAlign w:val="center"/>
            <w:hideMark/>
          </w:tcPr>
          <w:p w14:paraId="7F0633D5"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Janka Leskovara - Područna škola Benkovo</w:t>
            </w:r>
            <w:r w:rsidRPr="00825CD8">
              <w:rPr>
                <w:rFonts w:ascii="Calibri" w:eastAsia="Times New Roman" w:hAnsi="Calibri" w:cs="Calibri"/>
                <w:color w:val="000000"/>
                <w:szCs w:val="18"/>
                <w:lang w:eastAsia="hr-HR"/>
              </w:rPr>
              <w:t> </w:t>
            </w:r>
          </w:p>
        </w:tc>
      </w:tr>
      <w:tr w:rsidR="00896C03" w:rsidRPr="00825CD8" w14:paraId="6457F035" w14:textId="77777777" w:rsidTr="52B514CE">
        <w:trPr>
          <w:trHeight w:val="300"/>
        </w:trPr>
        <w:tc>
          <w:tcPr>
            <w:tcW w:w="562" w:type="dxa"/>
            <w:vMerge/>
            <w:vAlign w:val="center"/>
            <w:hideMark/>
          </w:tcPr>
          <w:p w14:paraId="026E295C"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57355D07"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353EAEA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12.</w:t>
            </w:r>
          </w:p>
        </w:tc>
        <w:tc>
          <w:tcPr>
            <w:tcW w:w="5806" w:type="dxa"/>
            <w:noWrap/>
            <w:vAlign w:val="center"/>
            <w:hideMark/>
          </w:tcPr>
          <w:p w14:paraId="40BE6C9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Janka Leskovara - Područna škola Gorjakovo</w:t>
            </w:r>
            <w:r w:rsidRPr="00825CD8">
              <w:rPr>
                <w:rFonts w:ascii="Calibri" w:eastAsia="Times New Roman" w:hAnsi="Calibri" w:cs="Calibri"/>
                <w:color w:val="000000"/>
                <w:szCs w:val="18"/>
                <w:lang w:eastAsia="hr-HR"/>
              </w:rPr>
              <w:t> </w:t>
            </w:r>
          </w:p>
        </w:tc>
      </w:tr>
      <w:tr w:rsidR="00896C03" w:rsidRPr="00825CD8" w14:paraId="1E797CA2" w14:textId="77777777" w:rsidTr="52B514CE">
        <w:trPr>
          <w:trHeight w:val="300"/>
        </w:trPr>
        <w:tc>
          <w:tcPr>
            <w:tcW w:w="562" w:type="dxa"/>
            <w:vMerge/>
            <w:vAlign w:val="center"/>
            <w:hideMark/>
          </w:tcPr>
          <w:p w14:paraId="1CA712EC"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508DB044"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66AFF3F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13.</w:t>
            </w:r>
          </w:p>
        </w:tc>
        <w:tc>
          <w:tcPr>
            <w:tcW w:w="5806" w:type="dxa"/>
            <w:noWrap/>
            <w:vAlign w:val="center"/>
            <w:hideMark/>
          </w:tcPr>
          <w:p w14:paraId="072E838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Janka Leskovara - Područna škola Kostel</w:t>
            </w:r>
            <w:r w:rsidRPr="00825CD8">
              <w:rPr>
                <w:rFonts w:ascii="Calibri" w:eastAsia="Times New Roman" w:hAnsi="Calibri" w:cs="Calibri"/>
                <w:color w:val="000000"/>
                <w:szCs w:val="18"/>
                <w:lang w:eastAsia="hr-HR"/>
              </w:rPr>
              <w:t> </w:t>
            </w:r>
          </w:p>
        </w:tc>
      </w:tr>
      <w:tr w:rsidR="00896C03" w:rsidRPr="00825CD8" w14:paraId="4FCD2E93" w14:textId="77777777" w:rsidTr="52B514CE">
        <w:trPr>
          <w:trHeight w:val="300"/>
        </w:trPr>
        <w:tc>
          <w:tcPr>
            <w:tcW w:w="562" w:type="dxa"/>
            <w:vMerge/>
            <w:vAlign w:val="center"/>
            <w:hideMark/>
          </w:tcPr>
          <w:p w14:paraId="35AF2679"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1B63BEB6"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5C97FBEC"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14.</w:t>
            </w:r>
          </w:p>
        </w:tc>
        <w:tc>
          <w:tcPr>
            <w:tcW w:w="5806" w:type="dxa"/>
            <w:noWrap/>
            <w:vAlign w:val="center"/>
            <w:hideMark/>
          </w:tcPr>
          <w:p w14:paraId="4DA8623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Janka Leskovara- Područna škola Sopot</w:t>
            </w:r>
            <w:r w:rsidRPr="00825CD8">
              <w:rPr>
                <w:rFonts w:ascii="Calibri" w:eastAsia="Times New Roman" w:hAnsi="Calibri" w:cs="Calibri"/>
                <w:color w:val="000000"/>
                <w:szCs w:val="18"/>
                <w:lang w:eastAsia="hr-HR"/>
              </w:rPr>
              <w:t> </w:t>
            </w:r>
          </w:p>
        </w:tc>
      </w:tr>
      <w:tr w:rsidR="00896C03" w:rsidRPr="00825CD8" w14:paraId="2047F3A5" w14:textId="77777777" w:rsidTr="52B514CE">
        <w:trPr>
          <w:trHeight w:val="300"/>
        </w:trPr>
        <w:tc>
          <w:tcPr>
            <w:tcW w:w="562" w:type="dxa"/>
            <w:vMerge/>
            <w:vAlign w:val="center"/>
            <w:hideMark/>
          </w:tcPr>
          <w:p w14:paraId="0D809FA3"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1A78E8B7"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2B84664F"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15.</w:t>
            </w:r>
          </w:p>
        </w:tc>
        <w:tc>
          <w:tcPr>
            <w:tcW w:w="5806" w:type="dxa"/>
            <w:noWrap/>
            <w:vAlign w:val="center"/>
            <w:hideMark/>
          </w:tcPr>
          <w:p w14:paraId="1155B68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Janka Leskovara - Područna škola Stipernica</w:t>
            </w:r>
            <w:r w:rsidRPr="00825CD8">
              <w:rPr>
                <w:rFonts w:ascii="Calibri" w:eastAsia="Times New Roman" w:hAnsi="Calibri" w:cs="Calibri"/>
                <w:color w:val="000000"/>
                <w:szCs w:val="18"/>
                <w:lang w:eastAsia="hr-HR"/>
              </w:rPr>
              <w:t> </w:t>
            </w:r>
          </w:p>
        </w:tc>
      </w:tr>
      <w:tr w:rsidR="00896C03" w:rsidRPr="00825CD8" w14:paraId="0C087333" w14:textId="77777777" w:rsidTr="52B514CE">
        <w:trPr>
          <w:trHeight w:val="300"/>
        </w:trPr>
        <w:tc>
          <w:tcPr>
            <w:tcW w:w="562" w:type="dxa"/>
            <w:noWrap/>
            <w:vAlign w:val="center"/>
            <w:hideMark/>
          </w:tcPr>
          <w:p w14:paraId="035AC6E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9.</w:t>
            </w:r>
          </w:p>
        </w:tc>
        <w:tc>
          <w:tcPr>
            <w:tcW w:w="2127" w:type="dxa"/>
            <w:noWrap/>
            <w:vAlign w:val="center"/>
            <w:hideMark/>
          </w:tcPr>
          <w:p w14:paraId="4C8E3E9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Bedekovčina</w:t>
            </w:r>
          </w:p>
        </w:tc>
        <w:tc>
          <w:tcPr>
            <w:tcW w:w="567" w:type="dxa"/>
            <w:noWrap/>
            <w:vAlign w:val="center"/>
            <w:hideMark/>
          </w:tcPr>
          <w:p w14:paraId="08045EE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16.</w:t>
            </w:r>
          </w:p>
        </w:tc>
        <w:tc>
          <w:tcPr>
            <w:tcW w:w="5806" w:type="dxa"/>
            <w:noWrap/>
            <w:vAlign w:val="center"/>
            <w:hideMark/>
          </w:tcPr>
          <w:p w14:paraId="2AB8BBC6" w14:textId="484A0072"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Bedekovčina - Područna škola Poznanovec</w:t>
            </w:r>
            <w:r w:rsidRPr="00825CD8">
              <w:rPr>
                <w:rFonts w:ascii="Calibri" w:eastAsia="Times New Roman" w:hAnsi="Calibri" w:cs="Calibri"/>
                <w:color w:val="000000"/>
                <w:szCs w:val="18"/>
                <w:lang w:eastAsia="hr-HR"/>
              </w:rPr>
              <w:t> </w:t>
            </w:r>
            <w:r w:rsidRPr="00825CD8">
              <w:rPr>
                <w:rFonts w:eastAsia="Times New Roman" w:cs="Calibri"/>
                <w:color w:val="000000"/>
                <w:szCs w:val="18"/>
                <w:lang w:eastAsia="hr-HR"/>
              </w:rPr>
              <w:t>,</w:t>
            </w:r>
          </w:p>
        </w:tc>
      </w:tr>
      <w:tr w:rsidR="00896C03" w:rsidRPr="00825CD8" w14:paraId="29761E38" w14:textId="77777777" w:rsidTr="52B514CE">
        <w:trPr>
          <w:trHeight w:val="300"/>
        </w:trPr>
        <w:tc>
          <w:tcPr>
            <w:tcW w:w="562" w:type="dxa"/>
            <w:noWrap/>
            <w:vAlign w:val="center"/>
            <w:hideMark/>
          </w:tcPr>
          <w:p w14:paraId="3B381DF4"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10.</w:t>
            </w:r>
          </w:p>
        </w:tc>
        <w:tc>
          <w:tcPr>
            <w:tcW w:w="2127" w:type="dxa"/>
            <w:noWrap/>
            <w:vAlign w:val="center"/>
            <w:hideMark/>
          </w:tcPr>
          <w:p w14:paraId="72E1FCD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Stjepana Radića Brestovec Orehovički</w:t>
            </w:r>
          </w:p>
        </w:tc>
        <w:tc>
          <w:tcPr>
            <w:tcW w:w="567" w:type="dxa"/>
            <w:noWrap/>
            <w:vAlign w:val="center"/>
            <w:hideMark/>
          </w:tcPr>
          <w:p w14:paraId="62ADD73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17.</w:t>
            </w:r>
          </w:p>
        </w:tc>
        <w:tc>
          <w:tcPr>
            <w:tcW w:w="5806" w:type="dxa"/>
            <w:noWrap/>
            <w:vAlign w:val="center"/>
            <w:hideMark/>
          </w:tcPr>
          <w:p w14:paraId="42253BDB"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Stjepana Radića Brestovec Orehovički - Područna škola Orehovica</w:t>
            </w:r>
            <w:r w:rsidRPr="00825CD8">
              <w:rPr>
                <w:rFonts w:ascii="Calibri" w:eastAsia="Times New Roman" w:hAnsi="Calibri" w:cs="Calibri"/>
                <w:color w:val="000000"/>
                <w:szCs w:val="18"/>
                <w:lang w:eastAsia="hr-HR"/>
              </w:rPr>
              <w:t> </w:t>
            </w:r>
          </w:p>
        </w:tc>
      </w:tr>
      <w:tr w:rsidR="00896C03" w:rsidRPr="00825CD8" w14:paraId="3EC8A1AA" w14:textId="77777777" w:rsidTr="52B514CE">
        <w:trPr>
          <w:trHeight w:val="300"/>
        </w:trPr>
        <w:tc>
          <w:tcPr>
            <w:tcW w:w="562" w:type="dxa"/>
            <w:noWrap/>
            <w:vAlign w:val="center"/>
            <w:hideMark/>
          </w:tcPr>
          <w:p w14:paraId="3372262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11.</w:t>
            </w:r>
          </w:p>
        </w:tc>
        <w:tc>
          <w:tcPr>
            <w:tcW w:w="2127" w:type="dxa"/>
            <w:noWrap/>
            <w:vAlign w:val="center"/>
            <w:hideMark/>
          </w:tcPr>
          <w:p w14:paraId="3D2DAD6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 xml:space="preserve">Osnovna škola Vladimir Nazor Budiščina </w:t>
            </w:r>
          </w:p>
        </w:tc>
        <w:tc>
          <w:tcPr>
            <w:tcW w:w="567" w:type="dxa"/>
            <w:noWrap/>
            <w:vAlign w:val="center"/>
            <w:hideMark/>
          </w:tcPr>
          <w:p w14:paraId="1C6169F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18.</w:t>
            </w:r>
          </w:p>
        </w:tc>
        <w:tc>
          <w:tcPr>
            <w:tcW w:w="5806" w:type="dxa"/>
            <w:noWrap/>
            <w:vAlign w:val="center"/>
            <w:hideMark/>
          </w:tcPr>
          <w:p w14:paraId="6029CDC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Vladimir Nazor Budiščina - Područna škola Hrašćina</w:t>
            </w:r>
            <w:r w:rsidRPr="00825CD8">
              <w:rPr>
                <w:rFonts w:ascii="Calibri" w:eastAsia="Times New Roman" w:hAnsi="Calibri" w:cs="Calibri"/>
                <w:color w:val="000000"/>
                <w:szCs w:val="18"/>
                <w:lang w:eastAsia="hr-HR"/>
              </w:rPr>
              <w:t> </w:t>
            </w:r>
          </w:p>
        </w:tc>
      </w:tr>
      <w:tr w:rsidR="00896C03" w:rsidRPr="00825CD8" w14:paraId="5EEDABFC" w14:textId="77777777" w:rsidTr="52B514CE">
        <w:trPr>
          <w:trHeight w:val="300"/>
        </w:trPr>
        <w:tc>
          <w:tcPr>
            <w:tcW w:w="562" w:type="dxa"/>
            <w:noWrap/>
            <w:vAlign w:val="center"/>
            <w:hideMark/>
          </w:tcPr>
          <w:p w14:paraId="31EEC41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12.</w:t>
            </w:r>
          </w:p>
        </w:tc>
        <w:tc>
          <w:tcPr>
            <w:tcW w:w="2127" w:type="dxa"/>
            <w:noWrap/>
            <w:vAlign w:val="center"/>
            <w:hideMark/>
          </w:tcPr>
          <w:p w14:paraId="2FE544D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Centar za odgoj i obrazovanje Zajezda</w:t>
            </w:r>
          </w:p>
        </w:tc>
        <w:tc>
          <w:tcPr>
            <w:tcW w:w="567" w:type="dxa"/>
            <w:noWrap/>
            <w:vAlign w:val="center"/>
            <w:hideMark/>
          </w:tcPr>
          <w:p w14:paraId="098F3644" w14:textId="77777777" w:rsidR="00896C03" w:rsidRPr="00825CD8" w:rsidRDefault="00896C03" w:rsidP="00825CD8">
            <w:pPr>
              <w:jc w:val="left"/>
              <w:rPr>
                <w:rFonts w:eastAsia="Times New Roman" w:cs="Calibri"/>
                <w:color w:val="000000"/>
                <w:szCs w:val="18"/>
                <w:lang w:eastAsia="hr-HR"/>
              </w:rPr>
            </w:pPr>
          </w:p>
        </w:tc>
        <w:tc>
          <w:tcPr>
            <w:tcW w:w="5806" w:type="dxa"/>
            <w:noWrap/>
            <w:vAlign w:val="center"/>
            <w:hideMark/>
          </w:tcPr>
          <w:p w14:paraId="562184BA" w14:textId="287B32E0" w:rsidR="00896C03" w:rsidRPr="00825CD8" w:rsidRDefault="00896C03" w:rsidP="00825CD8">
            <w:pPr>
              <w:jc w:val="left"/>
              <w:rPr>
                <w:rFonts w:eastAsia="Times New Roman" w:cs="Times New Roman"/>
                <w:szCs w:val="18"/>
                <w:lang w:eastAsia="hr-HR"/>
              </w:rPr>
            </w:pPr>
            <w:r w:rsidRPr="00825CD8">
              <w:rPr>
                <w:rFonts w:eastAsia="Times New Roman" w:cs="Times New Roman"/>
                <w:szCs w:val="18"/>
                <w:lang w:eastAsia="hr-HR"/>
              </w:rPr>
              <w:t>-</w:t>
            </w:r>
          </w:p>
        </w:tc>
      </w:tr>
      <w:tr w:rsidR="00896C03" w:rsidRPr="00825CD8" w14:paraId="7185A3FD" w14:textId="77777777" w:rsidTr="52B514CE">
        <w:trPr>
          <w:trHeight w:val="300"/>
        </w:trPr>
        <w:tc>
          <w:tcPr>
            <w:tcW w:w="562" w:type="dxa"/>
            <w:vMerge w:val="restart"/>
            <w:noWrap/>
            <w:vAlign w:val="center"/>
            <w:hideMark/>
          </w:tcPr>
          <w:p w14:paraId="5EEBC94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13.</w:t>
            </w:r>
          </w:p>
        </w:tc>
        <w:tc>
          <w:tcPr>
            <w:tcW w:w="2127" w:type="dxa"/>
            <w:vMerge w:val="restart"/>
            <w:noWrap/>
            <w:vAlign w:val="center"/>
            <w:hideMark/>
          </w:tcPr>
          <w:p w14:paraId="16955D65"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 xml:space="preserve">Osnovna škola Đure Prejca Desinić </w:t>
            </w:r>
          </w:p>
        </w:tc>
        <w:tc>
          <w:tcPr>
            <w:tcW w:w="567" w:type="dxa"/>
            <w:noWrap/>
            <w:vAlign w:val="center"/>
            <w:hideMark/>
          </w:tcPr>
          <w:p w14:paraId="7B2CB2CC"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19.</w:t>
            </w:r>
          </w:p>
        </w:tc>
        <w:tc>
          <w:tcPr>
            <w:tcW w:w="5806" w:type="dxa"/>
            <w:noWrap/>
            <w:vAlign w:val="center"/>
            <w:hideMark/>
          </w:tcPr>
          <w:p w14:paraId="7CD4246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Đure Prejca Desinić - Područna škola Velika Horvatska</w:t>
            </w:r>
            <w:r w:rsidRPr="00825CD8">
              <w:rPr>
                <w:rFonts w:ascii="Calibri" w:eastAsia="Times New Roman" w:hAnsi="Calibri" w:cs="Calibri"/>
                <w:color w:val="000000"/>
                <w:szCs w:val="18"/>
                <w:lang w:eastAsia="hr-HR"/>
              </w:rPr>
              <w:t> </w:t>
            </w:r>
          </w:p>
        </w:tc>
      </w:tr>
      <w:tr w:rsidR="00896C03" w:rsidRPr="00825CD8" w14:paraId="0E35621A" w14:textId="77777777" w:rsidTr="52B514CE">
        <w:trPr>
          <w:trHeight w:val="300"/>
        </w:trPr>
        <w:tc>
          <w:tcPr>
            <w:tcW w:w="562" w:type="dxa"/>
            <w:vMerge/>
            <w:vAlign w:val="center"/>
            <w:hideMark/>
          </w:tcPr>
          <w:p w14:paraId="2EF104A4"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6F4BD86C"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4BBAA71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20.</w:t>
            </w:r>
          </w:p>
        </w:tc>
        <w:tc>
          <w:tcPr>
            <w:tcW w:w="5806" w:type="dxa"/>
            <w:noWrap/>
            <w:vAlign w:val="center"/>
            <w:hideMark/>
          </w:tcPr>
          <w:p w14:paraId="52A7E62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Đure Prejca Desinić  - Područna škola Vinagora</w:t>
            </w:r>
          </w:p>
        </w:tc>
      </w:tr>
      <w:tr w:rsidR="00896C03" w:rsidRPr="00825CD8" w14:paraId="50C69970" w14:textId="77777777" w:rsidTr="52B514CE">
        <w:trPr>
          <w:trHeight w:val="300"/>
        </w:trPr>
        <w:tc>
          <w:tcPr>
            <w:tcW w:w="562" w:type="dxa"/>
            <w:vMerge w:val="restart"/>
            <w:noWrap/>
            <w:vAlign w:val="center"/>
            <w:hideMark/>
          </w:tcPr>
          <w:p w14:paraId="3101438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14.</w:t>
            </w:r>
          </w:p>
        </w:tc>
        <w:tc>
          <w:tcPr>
            <w:tcW w:w="2127" w:type="dxa"/>
            <w:vMerge w:val="restart"/>
            <w:noWrap/>
            <w:vAlign w:val="center"/>
            <w:hideMark/>
          </w:tcPr>
          <w:p w14:paraId="18897CB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Đurmanec</w:t>
            </w:r>
          </w:p>
        </w:tc>
        <w:tc>
          <w:tcPr>
            <w:tcW w:w="567" w:type="dxa"/>
            <w:noWrap/>
            <w:vAlign w:val="center"/>
            <w:hideMark/>
          </w:tcPr>
          <w:p w14:paraId="6D8197E5"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21.</w:t>
            </w:r>
          </w:p>
        </w:tc>
        <w:tc>
          <w:tcPr>
            <w:tcW w:w="5806" w:type="dxa"/>
            <w:noWrap/>
            <w:vAlign w:val="center"/>
            <w:hideMark/>
          </w:tcPr>
          <w:p w14:paraId="1FAD273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Đurmanec - Područna škola Hromec</w:t>
            </w:r>
            <w:r w:rsidRPr="00825CD8">
              <w:rPr>
                <w:rFonts w:ascii="Calibri" w:eastAsia="Times New Roman" w:hAnsi="Calibri" w:cs="Calibri"/>
                <w:color w:val="000000"/>
                <w:szCs w:val="18"/>
                <w:lang w:eastAsia="hr-HR"/>
              </w:rPr>
              <w:t> </w:t>
            </w:r>
          </w:p>
        </w:tc>
      </w:tr>
      <w:tr w:rsidR="00896C03" w:rsidRPr="00825CD8" w14:paraId="56C29327" w14:textId="77777777" w:rsidTr="52B514CE">
        <w:trPr>
          <w:trHeight w:val="300"/>
        </w:trPr>
        <w:tc>
          <w:tcPr>
            <w:tcW w:w="562" w:type="dxa"/>
            <w:vMerge/>
            <w:vAlign w:val="center"/>
            <w:hideMark/>
          </w:tcPr>
          <w:p w14:paraId="6DF92E75"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0B78375E"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1DF0C42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22.</w:t>
            </w:r>
          </w:p>
        </w:tc>
        <w:tc>
          <w:tcPr>
            <w:tcW w:w="5806" w:type="dxa"/>
            <w:noWrap/>
            <w:vAlign w:val="center"/>
            <w:hideMark/>
          </w:tcPr>
          <w:p w14:paraId="38A2C09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Đurmanec - Područna škola Macelj</w:t>
            </w:r>
            <w:r w:rsidRPr="00825CD8">
              <w:rPr>
                <w:rFonts w:ascii="Calibri" w:eastAsia="Times New Roman" w:hAnsi="Calibri" w:cs="Calibri"/>
                <w:color w:val="000000"/>
                <w:szCs w:val="18"/>
                <w:lang w:eastAsia="hr-HR"/>
              </w:rPr>
              <w:t> </w:t>
            </w:r>
          </w:p>
        </w:tc>
      </w:tr>
      <w:tr w:rsidR="00896C03" w:rsidRPr="00825CD8" w14:paraId="4AB8DD41" w14:textId="77777777" w:rsidTr="52B514CE">
        <w:trPr>
          <w:trHeight w:val="300"/>
        </w:trPr>
        <w:tc>
          <w:tcPr>
            <w:tcW w:w="562" w:type="dxa"/>
            <w:vMerge/>
            <w:vAlign w:val="center"/>
            <w:hideMark/>
          </w:tcPr>
          <w:p w14:paraId="01943183"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2D3C291C"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7801EBB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23.</w:t>
            </w:r>
          </w:p>
        </w:tc>
        <w:tc>
          <w:tcPr>
            <w:tcW w:w="5806" w:type="dxa"/>
            <w:noWrap/>
            <w:vAlign w:val="center"/>
            <w:hideMark/>
          </w:tcPr>
          <w:p w14:paraId="7CBBC67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Đurmanec - Područna škola Putkovec</w:t>
            </w:r>
            <w:r w:rsidRPr="00825CD8">
              <w:rPr>
                <w:rFonts w:ascii="Calibri" w:eastAsia="Times New Roman" w:hAnsi="Calibri" w:cs="Calibri"/>
                <w:color w:val="000000"/>
                <w:szCs w:val="18"/>
                <w:lang w:eastAsia="hr-HR"/>
              </w:rPr>
              <w:t> </w:t>
            </w:r>
          </w:p>
        </w:tc>
      </w:tr>
      <w:tr w:rsidR="00896C03" w:rsidRPr="00825CD8" w14:paraId="36CB5D8D" w14:textId="77777777" w:rsidTr="52B514CE">
        <w:trPr>
          <w:trHeight w:val="300"/>
        </w:trPr>
        <w:tc>
          <w:tcPr>
            <w:tcW w:w="562" w:type="dxa"/>
            <w:vMerge w:val="restart"/>
            <w:noWrap/>
            <w:vAlign w:val="center"/>
            <w:hideMark/>
          </w:tcPr>
          <w:p w14:paraId="310CD85C"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15.</w:t>
            </w:r>
          </w:p>
        </w:tc>
        <w:tc>
          <w:tcPr>
            <w:tcW w:w="2127" w:type="dxa"/>
            <w:vMerge w:val="restart"/>
            <w:noWrap/>
            <w:vAlign w:val="center"/>
            <w:hideMark/>
          </w:tcPr>
          <w:p w14:paraId="54D521C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Matije Gupca</w:t>
            </w:r>
          </w:p>
        </w:tc>
        <w:tc>
          <w:tcPr>
            <w:tcW w:w="567" w:type="dxa"/>
            <w:noWrap/>
            <w:vAlign w:val="center"/>
            <w:hideMark/>
          </w:tcPr>
          <w:p w14:paraId="0F7DBFC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24.</w:t>
            </w:r>
          </w:p>
        </w:tc>
        <w:tc>
          <w:tcPr>
            <w:tcW w:w="5806" w:type="dxa"/>
            <w:noWrap/>
            <w:vAlign w:val="center"/>
            <w:hideMark/>
          </w:tcPr>
          <w:p w14:paraId="663267F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Matije Gupca - Područna škola Dobri Zdenci</w:t>
            </w:r>
          </w:p>
        </w:tc>
      </w:tr>
      <w:tr w:rsidR="00896C03" w:rsidRPr="00825CD8" w14:paraId="75EE8A0B" w14:textId="77777777" w:rsidTr="52B514CE">
        <w:trPr>
          <w:trHeight w:val="300"/>
        </w:trPr>
        <w:tc>
          <w:tcPr>
            <w:tcW w:w="562" w:type="dxa"/>
            <w:vMerge/>
            <w:vAlign w:val="center"/>
            <w:hideMark/>
          </w:tcPr>
          <w:p w14:paraId="32D0B680"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0BF622E5"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7CA56F3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25.</w:t>
            </w:r>
          </w:p>
        </w:tc>
        <w:tc>
          <w:tcPr>
            <w:tcW w:w="5806" w:type="dxa"/>
            <w:noWrap/>
            <w:vAlign w:val="center"/>
            <w:hideMark/>
          </w:tcPr>
          <w:p w14:paraId="71A8DB3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Matije Gupca - Područna škola Dubovec</w:t>
            </w:r>
          </w:p>
        </w:tc>
      </w:tr>
      <w:tr w:rsidR="00896C03" w:rsidRPr="00825CD8" w14:paraId="731368EA" w14:textId="77777777" w:rsidTr="52B514CE">
        <w:trPr>
          <w:trHeight w:val="300"/>
        </w:trPr>
        <w:tc>
          <w:tcPr>
            <w:tcW w:w="562" w:type="dxa"/>
            <w:vMerge/>
            <w:vAlign w:val="center"/>
            <w:hideMark/>
          </w:tcPr>
          <w:p w14:paraId="5B32C9B2"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46709BB0"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6911899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26.</w:t>
            </w:r>
          </w:p>
        </w:tc>
        <w:tc>
          <w:tcPr>
            <w:tcW w:w="5806" w:type="dxa"/>
            <w:noWrap/>
            <w:vAlign w:val="center"/>
            <w:hideMark/>
          </w:tcPr>
          <w:p w14:paraId="60D8AA8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Matije Gupca - Područna škola Hum Stubički</w:t>
            </w:r>
          </w:p>
        </w:tc>
      </w:tr>
      <w:tr w:rsidR="00896C03" w:rsidRPr="00825CD8" w14:paraId="610E8D16" w14:textId="77777777" w:rsidTr="52B514CE">
        <w:trPr>
          <w:trHeight w:val="300"/>
        </w:trPr>
        <w:tc>
          <w:tcPr>
            <w:tcW w:w="562" w:type="dxa"/>
            <w:vMerge/>
            <w:vAlign w:val="center"/>
            <w:hideMark/>
          </w:tcPr>
          <w:p w14:paraId="4AACD1B8"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62F64B4B"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1DB37914"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27.</w:t>
            </w:r>
          </w:p>
        </w:tc>
        <w:tc>
          <w:tcPr>
            <w:tcW w:w="5806" w:type="dxa"/>
            <w:noWrap/>
            <w:vAlign w:val="center"/>
            <w:hideMark/>
          </w:tcPr>
          <w:p w14:paraId="0938BF4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Matije Gupca - Područna škola Sveti Matej</w:t>
            </w:r>
          </w:p>
        </w:tc>
      </w:tr>
      <w:tr w:rsidR="00896C03" w:rsidRPr="00825CD8" w14:paraId="1FD25A2C" w14:textId="77777777" w:rsidTr="52B514CE">
        <w:trPr>
          <w:trHeight w:val="300"/>
        </w:trPr>
        <w:tc>
          <w:tcPr>
            <w:tcW w:w="562" w:type="dxa"/>
            <w:vMerge w:val="restart"/>
            <w:noWrap/>
            <w:vAlign w:val="center"/>
            <w:hideMark/>
          </w:tcPr>
          <w:p w14:paraId="064768B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16.</w:t>
            </w:r>
          </w:p>
        </w:tc>
        <w:tc>
          <w:tcPr>
            <w:tcW w:w="2127" w:type="dxa"/>
            <w:vMerge w:val="restart"/>
            <w:noWrap/>
            <w:vAlign w:val="center"/>
            <w:hideMark/>
          </w:tcPr>
          <w:p w14:paraId="7C8951F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Viktora Kovačića</w:t>
            </w:r>
          </w:p>
        </w:tc>
        <w:tc>
          <w:tcPr>
            <w:tcW w:w="567" w:type="dxa"/>
            <w:noWrap/>
            <w:vAlign w:val="center"/>
            <w:hideMark/>
          </w:tcPr>
          <w:p w14:paraId="3B1ADCA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28.</w:t>
            </w:r>
          </w:p>
        </w:tc>
        <w:tc>
          <w:tcPr>
            <w:tcW w:w="5806" w:type="dxa"/>
            <w:noWrap/>
            <w:vAlign w:val="center"/>
            <w:hideMark/>
          </w:tcPr>
          <w:p w14:paraId="1090D89B"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Viktora Kovačića - Područna škola Brezno</w:t>
            </w:r>
          </w:p>
        </w:tc>
      </w:tr>
      <w:tr w:rsidR="00896C03" w:rsidRPr="00825CD8" w14:paraId="37974997" w14:textId="77777777" w:rsidTr="52B514CE">
        <w:trPr>
          <w:trHeight w:val="300"/>
        </w:trPr>
        <w:tc>
          <w:tcPr>
            <w:tcW w:w="562" w:type="dxa"/>
            <w:vMerge/>
            <w:vAlign w:val="center"/>
            <w:hideMark/>
          </w:tcPr>
          <w:p w14:paraId="63DA15BC"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4080BFA3"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2644B11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29.</w:t>
            </w:r>
          </w:p>
        </w:tc>
        <w:tc>
          <w:tcPr>
            <w:tcW w:w="5806" w:type="dxa"/>
            <w:noWrap/>
            <w:vAlign w:val="center"/>
            <w:hideMark/>
          </w:tcPr>
          <w:p w14:paraId="344AE09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Viktora Kovačića - Područna škola Druškovec</w:t>
            </w:r>
          </w:p>
        </w:tc>
      </w:tr>
      <w:tr w:rsidR="00896C03" w:rsidRPr="00825CD8" w14:paraId="02CDF168" w14:textId="77777777" w:rsidTr="52B514CE">
        <w:trPr>
          <w:trHeight w:val="300"/>
        </w:trPr>
        <w:tc>
          <w:tcPr>
            <w:tcW w:w="562" w:type="dxa"/>
            <w:vMerge/>
            <w:vAlign w:val="center"/>
            <w:hideMark/>
          </w:tcPr>
          <w:p w14:paraId="41EEF0EF"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069DDAD1"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70E03D2B"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30.</w:t>
            </w:r>
          </w:p>
        </w:tc>
        <w:tc>
          <w:tcPr>
            <w:tcW w:w="5806" w:type="dxa"/>
            <w:noWrap/>
            <w:vAlign w:val="center"/>
            <w:hideMark/>
          </w:tcPr>
          <w:p w14:paraId="6597922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Viktora Kovačića - Područna škola Lupinjak</w:t>
            </w:r>
          </w:p>
        </w:tc>
      </w:tr>
      <w:tr w:rsidR="00896C03" w:rsidRPr="00825CD8" w14:paraId="1A7BC447" w14:textId="77777777" w:rsidTr="52B514CE">
        <w:trPr>
          <w:trHeight w:val="300"/>
        </w:trPr>
        <w:tc>
          <w:tcPr>
            <w:tcW w:w="562" w:type="dxa"/>
            <w:vMerge/>
            <w:vAlign w:val="center"/>
            <w:hideMark/>
          </w:tcPr>
          <w:p w14:paraId="31B2C819"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32B32C18"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1EAF6A5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31.</w:t>
            </w:r>
          </w:p>
        </w:tc>
        <w:tc>
          <w:tcPr>
            <w:tcW w:w="5806" w:type="dxa"/>
            <w:noWrap/>
            <w:vAlign w:val="center"/>
            <w:hideMark/>
          </w:tcPr>
          <w:p w14:paraId="4A903CD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Viktora Kovačića - Područna škola Prišlin</w:t>
            </w:r>
          </w:p>
        </w:tc>
      </w:tr>
      <w:tr w:rsidR="00896C03" w:rsidRPr="00825CD8" w14:paraId="44848C71" w14:textId="77777777" w:rsidTr="52B514CE">
        <w:trPr>
          <w:trHeight w:val="300"/>
        </w:trPr>
        <w:tc>
          <w:tcPr>
            <w:tcW w:w="562" w:type="dxa"/>
            <w:noWrap/>
            <w:vAlign w:val="center"/>
            <w:hideMark/>
          </w:tcPr>
          <w:p w14:paraId="1925910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17.</w:t>
            </w:r>
          </w:p>
        </w:tc>
        <w:tc>
          <w:tcPr>
            <w:tcW w:w="2127" w:type="dxa"/>
            <w:noWrap/>
            <w:vAlign w:val="center"/>
            <w:hideMark/>
          </w:tcPr>
          <w:p w14:paraId="5139FDC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 xml:space="preserve">Osnovna škola Pavla Štoosa </w:t>
            </w:r>
          </w:p>
        </w:tc>
        <w:tc>
          <w:tcPr>
            <w:tcW w:w="567" w:type="dxa"/>
            <w:noWrap/>
            <w:vAlign w:val="center"/>
            <w:hideMark/>
          </w:tcPr>
          <w:p w14:paraId="38C9B0A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32.</w:t>
            </w:r>
          </w:p>
        </w:tc>
        <w:tc>
          <w:tcPr>
            <w:tcW w:w="5806" w:type="dxa"/>
            <w:noWrap/>
            <w:vAlign w:val="center"/>
            <w:hideMark/>
          </w:tcPr>
          <w:p w14:paraId="2C89FB9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Pavla Štoosa  - Područna škola Radakovo</w:t>
            </w:r>
          </w:p>
        </w:tc>
      </w:tr>
      <w:tr w:rsidR="00896C03" w:rsidRPr="00825CD8" w14:paraId="55FAADD8" w14:textId="77777777" w:rsidTr="52B514CE">
        <w:trPr>
          <w:trHeight w:val="300"/>
        </w:trPr>
        <w:tc>
          <w:tcPr>
            <w:tcW w:w="562" w:type="dxa"/>
            <w:noWrap/>
            <w:vAlign w:val="center"/>
            <w:hideMark/>
          </w:tcPr>
          <w:p w14:paraId="2C0CAFA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18.</w:t>
            </w:r>
          </w:p>
        </w:tc>
        <w:tc>
          <w:tcPr>
            <w:tcW w:w="2127" w:type="dxa"/>
            <w:noWrap/>
            <w:vAlign w:val="center"/>
            <w:hideMark/>
          </w:tcPr>
          <w:p w14:paraId="7DBC7DE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 xml:space="preserve">Osnovna škola Lijepa naša Tuhelj </w:t>
            </w:r>
          </w:p>
        </w:tc>
        <w:tc>
          <w:tcPr>
            <w:tcW w:w="567" w:type="dxa"/>
            <w:noWrap/>
            <w:vAlign w:val="center"/>
            <w:hideMark/>
          </w:tcPr>
          <w:p w14:paraId="4335E825" w14:textId="77777777" w:rsidR="00896C03" w:rsidRPr="00825CD8" w:rsidRDefault="00896C03" w:rsidP="00825CD8">
            <w:pPr>
              <w:jc w:val="left"/>
              <w:rPr>
                <w:rFonts w:eastAsia="Times New Roman" w:cs="Calibri"/>
                <w:color w:val="000000"/>
                <w:szCs w:val="18"/>
                <w:lang w:eastAsia="hr-HR"/>
              </w:rPr>
            </w:pPr>
          </w:p>
        </w:tc>
        <w:tc>
          <w:tcPr>
            <w:tcW w:w="5806" w:type="dxa"/>
            <w:noWrap/>
            <w:vAlign w:val="center"/>
            <w:hideMark/>
          </w:tcPr>
          <w:p w14:paraId="0617B155" w14:textId="195B901F" w:rsidR="00896C03" w:rsidRPr="00825CD8" w:rsidRDefault="00896C03" w:rsidP="00825CD8">
            <w:pPr>
              <w:jc w:val="left"/>
              <w:rPr>
                <w:rFonts w:eastAsia="Times New Roman" w:cs="Times New Roman"/>
                <w:szCs w:val="18"/>
                <w:lang w:eastAsia="hr-HR"/>
              </w:rPr>
            </w:pPr>
            <w:r w:rsidRPr="00825CD8">
              <w:rPr>
                <w:rFonts w:eastAsia="Times New Roman" w:cs="Times New Roman"/>
                <w:szCs w:val="18"/>
                <w:lang w:eastAsia="hr-HR"/>
              </w:rPr>
              <w:t>-</w:t>
            </w:r>
          </w:p>
        </w:tc>
      </w:tr>
      <w:tr w:rsidR="00896C03" w:rsidRPr="00825CD8" w14:paraId="5DB5FC9E" w14:textId="77777777" w:rsidTr="52B514CE">
        <w:trPr>
          <w:trHeight w:val="300"/>
        </w:trPr>
        <w:tc>
          <w:tcPr>
            <w:tcW w:w="562" w:type="dxa"/>
            <w:noWrap/>
            <w:vAlign w:val="center"/>
            <w:hideMark/>
          </w:tcPr>
          <w:p w14:paraId="0CEC188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19.</w:t>
            </w:r>
          </w:p>
        </w:tc>
        <w:tc>
          <w:tcPr>
            <w:tcW w:w="2127" w:type="dxa"/>
            <w:noWrap/>
            <w:vAlign w:val="center"/>
            <w:hideMark/>
          </w:tcPr>
          <w:p w14:paraId="5874C8F4"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 xml:space="preserve">Osnovna škola Konjščina </w:t>
            </w:r>
          </w:p>
        </w:tc>
        <w:tc>
          <w:tcPr>
            <w:tcW w:w="567" w:type="dxa"/>
            <w:noWrap/>
            <w:vAlign w:val="center"/>
            <w:hideMark/>
          </w:tcPr>
          <w:p w14:paraId="134E2C6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33.</w:t>
            </w:r>
          </w:p>
        </w:tc>
        <w:tc>
          <w:tcPr>
            <w:tcW w:w="5806" w:type="dxa"/>
            <w:noWrap/>
            <w:vAlign w:val="center"/>
            <w:hideMark/>
          </w:tcPr>
          <w:p w14:paraId="390A5D9C"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Konjščina  - Područna škola Jertovec</w:t>
            </w:r>
          </w:p>
        </w:tc>
      </w:tr>
      <w:tr w:rsidR="00896C03" w:rsidRPr="00825CD8" w14:paraId="6ABB5DE3" w14:textId="77777777" w:rsidTr="52B514CE">
        <w:trPr>
          <w:trHeight w:val="300"/>
        </w:trPr>
        <w:tc>
          <w:tcPr>
            <w:tcW w:w="562" w:type="dxa"/>
            <w:vMerge w:val="restart"/>
            <w:noWrap/>
            <w:vAlign w:val="center"/>
            <w:hideMark/>
          </w:tcPr>
          <w:p w14:paraId="29A9162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20.</w:t>
            </w:r>
          </w:p>
        </w:tc>
        <w:tc>
          <w:tcPr>
            <w:tcW w:w="2127" w:type="dxa"/>
            <w:vMerge w:val="restart"/>
            <w:noWrap/>
            <w:vAlign w:val="center"/>
            <w:hideMark/>
          </w:tcPr>
          <w:p w14:paraId="56C3F7CA" w14:textId="798A3F07" w:rsidR="00896C03" w:rsidRPr="00825CD8" w:rsidRDefault="00896C03" w:rsidP="52B514CE">
            <w:pPr>
              <w:jc w:val="left"/>
              <w:rPr>
                <w:rFonts w:eastAsia="Times New Roman" w:cs="Calibri"/>
                <w:color w:val="000000"/>
                <w:lang w:eastAsia="hr-HR"/>
              </w:rPr>
            </w:pPr>
            <w:r w:rsidRPr="52B514CE">
              <w:rPr>
                <w:rFonts w:eastAsia="Times New Roman" w:cs="Calibri"/>
                <w:color w:val="000000"/>
                <w:lang w:eastAsia="hr-HR"/>
              </w:rPr>
              <w:t xml:space="preserve">Osnovna škola Krapinske </w:t>
            </w:r>
            <w:r w:rsidR="3B649DE6" w:rsidRPr="52B514CE">
              <w:rPr>
                <w:rFonts w:eastAsia="Times New Roman" w:cs="Calibri"/>
                <w:color w:val="000000"/>
                <w:lang w:eastAsia="hr-HR"/>
              </w:rPr>
              <w:t>T</w:t>
            </w:r>
            <w:r w:rsidRPr="52B514CE">
              <w:rPr>
                <w:rFonts w:eastAsia="Times New Roman" w:cs="Calibri"/>
                <w:color w:val="000000"/>
                <w:lang w:eastAsia="hr-HR"/>
              </w:rPr>
              <w:t xml:space="preserve">oplice </w:t>
            </w:r>
          </w:p>
        </w:tc>
        <w:tc>
          <w:tcPr>
            <w:tcW w:w="567" w:type="dxa"/>
            <w:noWrap/>
            <w:vAlign w:val="center"/>
            <w:hideMark/>
          </w:tcPr>
          <w:p w14:paraId="3705D28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34.</w:t>
            </w:r>
          </w:p>
        </w:tc>
        <w:tc>
          <w:tcPr>
            <w:tcW w:w="5806" w:type="dxa"/>
            <w:noWrap/>
            <w:vAlign w:val="center"/>
            <w:hideMark/>
          </w:tcPr>
          <w:p w14:paraId="75697BB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Krapinske toplice  - Područna škola Gregurovec</w:t>
            </w:r>
          </w:p>
        </w:tc>
      </w:tr>
      <w:tr w:rsidR="00896C03" w:rsidRPr="00825CD8" w14:paraId="4338A69C" w14:textId="77777777" w:rsidTr="52B514CE">
        <w:trPr>
          <w:trHeight w:val="300"/>
        </w:trPr>
        <w:tc>
          <w:tcPr>
            <w:tcW w:w="562" w:type="dxa"/>
            <w:vMerge/>
            <w:vAlign w:val="center"/>
            <w:hideMark/>
          </w:tcPr>
          <w:p w14:paraId="310DC1FB"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77D77EF7"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212EC03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35.</w:t>
            </w:r>
          </w:p>
        </w:tc>
        <w:tc>
          <w:tcPr>
            <w:tcW w:w="5806" w:type="dxa"/>
            <w:noWrap/>
            <w:vAlign w:val="center"/>
            <w:hideMark/>
          </w:tcPr>
          <w:p w14:paraId="198FF86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Krapinske toplice  - Područna škola Mala Erpenja</w:t>
            </w:r>
            <w:r w:rsidRPr="00825CD8">
              <w:rPr>
                <w:rFonts w:ascii="Calibri" w:eastAsia="Times New Roman" w:hAnsi="Calibri" w:cs="Calibri"/>
                <w:color w:val="000000"/>
                <w:szCs w:val="18"/>
                <w:lang w:eastAsia="hr-HR"/>
              </w:rPr>
              <w:t> </w:t>
            </w:r>
          </w:p>
        </w:tc>
      </w:tr>
      <w:tr w:rsidR="00896C03" w:rsidRPr="00825CD8" w14:paraId="7B4342F1" w14:textId="77777777" w:rsidTr="52B514CE">
        <w:trPr>
          <w:trHeight w:val="285"/>
        </w:trPr>
        <w:tc>
          <w:tcPr>
            <w:tcW w:w="562" w:type="dxa"/>
            <w:noWrap/>
            <w:vAlign w:val="center"/>
            <w:hideMark/>
          </w:tcPr>
          <w:p w14:paraId="6F5C94CC" w14:textId="77777777" w:rsidR="00896C03" w:rsidRPr="000D5E3F" w:rsidRDefault="00896C03" w:rsidP="00825CD8">
            <w:pPr>
              <w:jc w:val="left"/>
              <w:rPr>
                <w:rFonts w:eastAsia="Times New Roman" w:cs="Calibri"/>
                <w:color w:val="000000"/>
                <w:szCs w:val="18"/>
                <w:lang w:eastAsia="hr-HR"/>
              </w:rPr>
            </w:pPr>
            <w:r w:rsidRPr="000D5E3F">
              <w:rPr>
                <w:rFonts w:eastAsia="Times New Roman" w:cs="Calibri"/>
                <w:color w:val="000000"/>
                <w:szCs w:val="18"/>
                <w:lang w:eastAsia="hr-HR"/>
              </w:rPr>
              <w:t>21.</w:t>
            </w:r>
          </w:p>
        </w:tc>
        <w:tc>
          <w:tcPr>
            <w:tcW w:w="2127" w:type="dxa"/>
            <w:noWrap/>
            <w:vAlign w:val="center"/>
            <w:hideMark/>
          </w:tcPr>
          <w:p w14:paraId="4DC5460D" w14:textId="77777777" w:rsidR="00896C03" w:rsidRPr="000D5E3F" w:rsidRDefault="00896C03" w:rsidP="00825CD8">
            <w:pPr>
              <w:jc w:val="left"/>
              <w:rPr>
                <w:rFonts w:eastAsia="Times New Roman" w:cs="Calibri"/>
                <w:color w:val="000000"/>
                <w:szCs w:val="18"/>
                <w:lang w:eastAsia="hr-HR"/>
              </w:rPr>
            </w:pPr>
            <w:r w:rsidRPr="000D5E3F">
              <w:rPr>
                <w:rFonts w:eastAsia="Times New Roman" w:cs="Calibri"/>
                <w:color w:val="000000"/>
                <w:szCs w:val="18"/>
                <w:lang w:eastAsia="hr-HR"/>
              </w:rPr>
              <w:t>Centar za odgoj i obrazovanje Krapinske Toplice</w:t>
            </w:r>
          </w:p>
        </w:tc>
        <w:tc>
          <w:tcPr>
            <w:tcW w:w="567" w:type="dxa"/>
            <w:noWrap/>
            <w:vAlign w:val="center"/>
            <w:hideMark/>
          </w:tcPr>
          <w:p w14:paraId="241D48F3" w14:textId="77777777" w:rsidR="00896C03" w:rsidRPr="00825CD8" w:rsidRDefault="00896C03" w:rsidP="00825CD8">
            <w:pPr>
              <w:jc w:val="left"/>
              <w:rPr>
                <w:rFonts w:eastAsia="Times New Roman" w:cs="Calibri"/>
                <w:color w:val="000000"/>
                <w:szCs w:val="18"/>
                <w:lang w:eastAsia="hr-HR"/>
              </w:rPr>
            </w:pPr>
          </w:p>
        </w:tc>
        <w:tc>
          <w:tcPr>
            <w:tcW w:w="5806" w:type="dxa"/>
            <w:noWrap/>
            <w:vAlign w:val="center"/>
            <w:hideMark/>
          </w:tcPr>
          <w:p w14:paraId="12845F28" w14:textId="68B4B972" w:rsidR="00896C03" w:rsidRPr="00825CD8" w:rsidRDefault="00896C03" w:rsidP="00825CD8">
            <w:pPr>
              <w:jc w:val="left"/>
              <w:rPr>
                <w:rFonts w:eastAsia="Times New Roman" w:cs="Times New Roman"/>
                <w:szCs w:val="18"/>
                <w:lang w:eastAsia="hr-HR"/>
              </w:rPr>
            </w:pPr>
            <w:r w:rsidRPr="00825CD8">
              <w:rPr>
                <w:rFonts w:eastAsia="Times New Roman" w:cs="Times New Roman"/>
                <w:szCs w:val="18"/>
                <w:lang w:eastAsia="hr-HR"/>
              </w:rPr>
              <w:t>-</w:t>
            </w:r>
          </w:p>
        </w:tc>
      </w:tr>
      <w:tr w:rsidR="00896C03" w:rsidRPr="00825CD8" w14:paraId="792FDC44" w14:textId="77777777" w:rsidTr="52B514CE">
        <w:trPr>
          <w:trHeight w:val="300"/>
        </w:trPr>
        <w:tc>
          <w:tcPr>
            <w:tcW w:w="562" w:type="dxa"/>
            <w:noWrap/>
            <w:vAlign w:val="center"/>
            <w:hideMark/>
          </w:tcPr>
          <w:p w14:paraId="5E6C075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22.</w:t>
            </w:r>
          </w:p>
        </w:tc>
        <w:tc>
          <w:tcPr>
            <w:tcW w:w="2127" w:type="dxa"/>
            <w:noWrap/>
            <w:vAlign w:val="center"/>
            <w:hideMark/>
          </w:tcPr>
          <w:p w14:paraId="7162951B"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Franje Horvata Kiša</w:t>
            </w:r>
          </w:p>
        </w:tc>
        <w:tc>
          <w:tcPr>
            <w:tcW w:w="567" w:type="dxa"/>
            <w:noWrap/>
            <w:vAlign w:val="center"/>
            <w:hideMark/>
          </w:tcPr>
          <w:p w14:paraId="6DFF1A5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36.</w:t>
            </w:r>
          </w:p>
        </w:tc>
        <w:tc>
          <w:tcPr>
            <w:tcW w:w="5806" w:type="dxa"/>
            <w:noWrap/>
            <w:vAlign w:val="center"/>
            <w:hideMark/>
          </w:tcPr>
          <w:p w14:paraId="6EA2DE1C"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Franje Horvata Kiša - Područna škola Petrova Gora</w:t>
            </w:r>
            <w:r w:rsidRPr="00825CD8">
              <w:rPr>
                <w:rFonts w:ascii="Calibri" w:eastAsia="Times New Roman" w:hAnsi="Calibri" w:cs="Calibri"/>
                <w:color w:val="000000"/>
                <w:szCs w:val="18"/>
                <w:lang w:eastAsia="hr-HR"/>
              </w:rPr>
              <w:t> </w:t>
            </w:r>
          </w:p>
        </w:tc>
      </w:tr>
      <w:tr w:rsidR="00896C03" w:rsidRPr="00825CD8" w14:paraId="61808496" w14:textId="77777777" w:rsidTr="52B514CE">
        <w:trPr>
          <w:trHeight w:val="300"/>
        </w:trPr>
        <w:tc>
          <w:tcPr>
            <w:tcW w:w="562" w:type="dxa"/>
            <w:noWrap/>
            <w:vAlign w:val="center"/>
            <w:hideMark/>
          </w:tcPr>
          <w:p w14:paraId="3C2225E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23.</w:t>
            </w:r>
          </w:p>
        </w:tc>
        <w:tc>
          <w:tcPr>
            <w:tcW w:w="2127" w:type="dxa"/>
            <w:noWrap/>
            <w:vAlign w:val="center"/>
            <w:hideMark/>
          </w:tcPr>
          <w:p w14:paraId="0514B28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Mače</w:t>
            </w:r>
          </w:p>
        </w:tc>
        <w:tc>
          <w:tcPr>
            <w:tcW w:w="567" w:type="dxa"/>
            <w:noWrap/>
            <w:vAlign w:val="center"/>
            <w:hideMark/>
          </w:tcPr>
          <w:p w14:paraId="061109C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37.</w:t>
            </w:r>
          </w:p>
        </w:tc>
        <w:tc>
          <w:tcPr>
            <w:tcW w:w="5806" w:type="dxa"/>
            <w:noWrap/>
            <w:vAlign w:val="center"/>
            <w:hideMark/>
          </w:tcPr>
          <w:p w14:paraId="56B10E5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Mače - Područna škola Peršaves</w:t>
            </w:r>
          </w:p>
        </w:tc>
      </w:tr>
      <w:tr w:rsidR="00896C03" w:rsidRPr="00825CD8" w14:paraId="474CF0CE" w14:textId="77777777" w:rsidTr="52B514CE">
        <w:trPr>
          <w:trHeight w:val="300"/>
        </w:trPr>
        <w:tc>
          <w:tcPr>
            <w:tcW w:w="562" w:type="dxa"/>
            <w:vMerge w:val="restart"/>
            <w:noWrap/>
            <w:vAlign w:val="center"/>
            <w:hideMark/>
          </w:tcPr>
          <w:p w14:paraId="1A6B4BE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24.</w:t>
            </w:r>
          </w:p>
        </w:tc>
        <w:tc>
          <w:tcPr>
            <w:tcW w:w="2127" w:type="dxa"/>
            <w:vMerge w:val="restart"/>
            <w:noWrap/>
            <w:vAlign w:val="center"/>
            <w:hideMark/>
          </w:tcPr>
          <w:p w14:paraId="214CB058"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Marija Bistrica</w:t>
            </w:r>
          </w:p>
        </w:tc>
        <w:tc>
          <w:tcPr>
            <w:tcW w:w="567" w:type="dxa"/>
            <w:noWrap/>
            <w:vAlign w:val="center"/>
            <w:hideMark/>
          </w:tcPr>
          <w:p w14:paraId="1615F35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38.</w:t>
            </w:r>
          </w:p>
        </w:tc>
        <w:tc>
          <w:tcPr>
            <w:tcW w:w="5806" w:type="dxa"/>
            <w:noWrap/>
            <w:vAlign w:val="center"/>
            <w:hideMark/>
          </w:tcPr>
          <w:p w14:paraId="632616F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Marija Bistrica - Područna škola Globočec</w:t>
            </w:r>
            <w:r w:rsidRPr="00825CD8">
              <w:rPr>
                <w:rFonts w:ascii="Calibri" w:eastAsia="Times New Roman" w:hAnsi="Calibri" w:cs="Calibri"/>
                <w:color w:val="000000"/>
                <w:szCs w:val="18"/>
                <w:lang w:eastAsia="hr-HR"/>
              </w:rPr>
              <w:t> </w:t>
            </w:r>
          </w:p>
        </w:tc>
      </w:tr>
      <w:tr w:rsidR="00896C03" w:rsidRPr="00825CD8" w14:paraId="3756DEE4" w14:textId="77777777" w:rsidTr="52B514CE">
        <w:trPr>
          <w:trHeight w:val="300"/>
        </w:trPr>
        <w:tc>
          <w:tcPr>
            <w:tcW w:w="562" w:type="dxa"/>
            <w:vMerge/>
            <w:vAlign w:val="center"/>
            <w:hideMark/>
          </w:tcPr>
          <w:p w14:paraId="6DBEE334"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4F1F2FF6"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7A7FC3C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39.</w:t>
            </w:r>
          </w:p>
        </w:tc>
        <w:tc>
          <w:tcPr>
            <w:tcW w:w="5806" w:type="dxa"/>
            <w:noWrap/>
            <w:vAlign w:val="center"/>
            <w:hideMark/>
          </w:tcPr>
          <w:p w14:paraId="1285F00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Marija Bistrica - Područna škola Laz</w:t>
            </w:r>
          </w:p>
        </w:tc>
      </w:tr>
      <w:tr w:rsidR="00896C03" w:rsidRPr="00825CD8" w14:paraId="360E075E" w14:textId="77777777" w:rsidTr="52B514CE">
        <w:trPr>
          <w:trHeight w:val="300"/>
        </w:trPr>
        <w:tc>
          <w:tcPr>
            <w:tcW w:w="562" w:type="dxa"/>
            <w:vMerge/>
            <w:vAlign w:val="center"/>
            <w:hideMark/>
          </w:tcPr>
          <w:p w14:paraId="1AB1A533"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2C1B5D3C"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30D49A1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40.</w:t>
            </w:r>
          </w:p>
        </w:tc>
        <w:tc>
          <w:tcPr>
            <w:tcW w:w="5806" w:type="dxa"/>
            <w:noWrap/>
            <w:vAlign w:val="center"/>
            <w:hideMark/>
          </w:tcPr>
          <w:p w14:paraId="67294A2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Marija Bistrica - Područna škola Selnica</w:t>
            </w:r>
            <w:r w:rsidRPr="00825CD8">
              <w:rPr>
                <w:rFonts w:ascii="Calibri" w:eastAsia="Times New Roman" w:hAnsi="Calibri" w:cs="Calibri"/>
                <w:color w:val="000000"/>
                <w:szCs w:val="18"/>
                <w:lang w:eastAsia="hr-HR"/>
              </w:rPr>
              <w:t> </w:t>
            </w:r>
          </w:p>
        </w:tc>
      </w:tr>
      <w:tr w:rsidR="00896C03" w:rsidRPr="00825CD8" w14:paraId="6322C356" w14:textId="77777777" w:rsidTr="52B514CE">
        <w:trPr>
          <w:trHeight w:val="300"/>
        </w:trPr>
        <w:tc>
          <w:tcPr>
            <w:tcW w:w="562" w:type="dxa"/>
            <w:vMerge w:val="restart"/>
            <w:noWrap/>
            <w:vAlign w:val="center"/>
            <w:hideMark/>
          </w:tcPr>
          <w:p w14:paraId="533D7524"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25.</w:t>
            </w:r>
          </w:p>
        </w:tc>
        <w:tc>
          <w:tcPr>
            <w:tcW w:w="2127" w:type="dxa"/>
            <w:vMerge w:val="restart"/>
            <w:noWrap/>
            <w:vAlign w:val="center"/>
            <w:hideMark/>
          </w:tcPr>
          <w:p w14:paraId="77C3D7AB"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Ljudevit Gaj Mihovljan</w:t>
            </w:r>
          </w:p>
        </w:tc>
        <w:tc>
          <w:tcPr>
            <w:tcW w:w="567" w:type="dxa"/>
            <w:noWrap/>
            <w:vAlign w:val="center"/>
            <w:hideMark/>
          </w:tcPr>
          <w:p w14:paraId="2F35A30C"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41.</w:t>
            </w:r>
          </w:p>
        </w:tc>
        <w:tc>
          <w:tcPr>
            <w:tcW w:w="5806" w:type="dxa"/>
            <w:noWrap/>
            <w:vAlign w:val="center"/>
            <w:hideMark/>
          </w:tcPr>
          <w:p w14:paraId="37BCDAC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Ljudevit Gaj Mihovljan - Područna škola Golubovec</w:t>
            </w:r>
            <w:r w:rsidRPr="00825CD8">
              <w:rPr>
                <w:rFonts w:ascii="Calibri" w:eastAsia="Times New Roman" w:hAnsi="Calibri" w:cs="Calibri"/>
                <w:color w:val="000000"/>
                <w:szCs w:val="18"/>
                <w:lang w:eastAsia="hr-HR"/>
              </w:rPr>
              <w:t> </w:t>
            </w:r>
          </w:p>
        </w:tc>
      </w:tr>
      <w:tr w:rsidR="00896C03" w:rsidRPr="00825CD8" w14:paraId="3DE50D49" w14:textId="77777777" w:rsidTr="52B514CE">
        <w:trPr>
          <w:trHeight w:val="300"/>
        </w:trPr>
        <w:tc>
          <w:tcPr>
            <w:tcW w:w="562" w:type="dxa"/>
            <w:vMerge/>
            <w:vAlign w:val="center"/>
            <w:hideMark/>
          </w:tcPr>
          <w:p w14:paraId="47ACA46A"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452C5F1C"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52497E8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42.</w:t>
            </w:r>
          </w:p>
        </w:tc>
        <w:tc>
          <w:tcPr>
            <w:tcW w:w="5806" w:type="dxa"/>
            <w:noWrap/>
            <w:vAlign w:val="center"/>
            <w:hideMark/>
          </w:tcPr>
          <w:p w14:paraId="6887D43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Ljudevit Gaj Mihovljan - Područna škola Gregurovec</w:t>
            </w:r>
            <w:r w:rsidRPr="00825CD8">
              <w:rPr>
                <w:rFonts w:ascii="Calibri" w:eastAsia="Times New Roman" w:hAnsi="Calibri" w:cs="Calibri"/>
                <w:color w:val="000000"/>
                <w:szCs w:val="18"/>
                <w:lang w:eastAsia="hr-HR"/>
              </w:rPr>
              <w:t> </w:t>
            </w:r>
          </w:p>
        </w:tc>
      </w:tr>
      <w:tr w:rsidR="00896C03" w:rsidRPr="00825CD8" w14:paraId="48223A92" w14:textId="77777777" w:rsidTr="52B514CE">
        <w:trPr>
          <w:trHeight w:val="300"/>
        </w:trPr>
        <w:tc>
          <w:tcPr>
            <w:tcW w:w="562" w:type="dxa"/>
            <w:noWrap/>
            <w:vAlign w:val="center"/>
            <w:hideMark/>
          </w:tcPr>
          <w:p w14:paraId="173B720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26.</w:t>
            </w:r>
          </w:p>
        </w:tc>
        <w:tc>
          <w:tcPr>
            <w:tcW w:w="2127" w:type="dxa"/>
            <w:noWrap/>
            <w:vAlign w:val="center"/>
            <w:hideMark/>
          </w:tcPr>
          <w:p w14:paraId="5E932FF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Oroslavje</w:t>
            </w:r>
          </w:p>
        </w:tc>
        <w:tc>
          <w:tcPr>
            <w:tcW w:w="567" w:type="dxa"/>
            <w:noWrap/>
            <w:vAlign w:val="center"/>
            <w:hideMark/>
          </w:tcPr>
          <w:p w14:paraId="4FA40F5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43.</w:t>
            </w:r>
          </w:p>
        </w:tc>
        <w:tc>
          <w:tcPr>
            <w:tcW w:w="5806" w:type="dxa"/>
            <w:noWrap/>
            <w:vAlign w:val="center"/>
            <w:hideMark/>
          </w:tcPr>
          <w:p w14:paraId="63EE4D8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Oroslavje - Područna škola Krušljevo Selo</w:t>
            </w:r>
            <w:r w:rsidRPr="00825CD8">
              <w:rPr>
                <w:rFonts w:ascii="Calibri" w:eastAsia="Times New Roman" w:hAnsi="Calibri" w:cs="Calibri"/>
                <w:color w:val="000000"/>
                <w:szCs w:val="18"/>
                <w:lang w:eastAsia="hr-HR"/>
              </w:rPr>
              <w:t> </w:t>
            </w:r>
          </w:p>
        </w:tc>
      </w:tr>
      <w:tr w:rsidR="00896C03" w:rsidRPr="00825CD8" w14:paraId="26CA96C8" w14:textId="77777777" w:rsidTr="52B514CE">
        <w:trPr>
          <w:trHeight w:val="300"/>
        </w:trPr>
        <w:tc>
          <w:tcPr>
            <w:tcW w:w="562" w:type="dxa"/>
            <w:noWrap/>
            <w:vAlign w:val="center"/>
            <w:hideMark/>
          </w:tcPr>
          <w:p w14:paraId="642DC1C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27.</w:t>
            </w:r>
          </w:p>
        </w:tc>
        <w:tc>
          <w:tcPr>
            <w:tcW w:w="2127" w:type="dxa"/>
            <w:noWrap/>
            <w:vAlign w:val="center"/>
            <w:hideMark/>
          </w:tcPr>
          <w:p w14:paraId="4A70388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Antuna Mihanovića Petrovsko</w:t>
            </w:r>
          </w:p>
        </w:tc>
        <w:tc>
          <w:tcPr>
            <w:tcW w:w="567" w:type="dxa"/>
            <w:noWrap/>
            <w:vAlign w:val="center"/>
            <w:hideMark/>
          </w:tcPr>
          <w:p w14:paraId="4E364EB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44.</w:t>
            </w:r>
          </w:p>
        </w:tc>
        <w:tc>
          <w:tcPr>
            <w:tcW w:w="5806" w:type="dxa"/>
            <w:noWrap/>
            <w:vAlign w:val="center"/>
            <w:hideMark/>
          </w:tcPr>
          <w:p w14:paraId="1476A5F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Antuna Mihanovića Petrovsko - Područna škola Slatina</w:t>
            </w:r>
          </w:p>
        </w:tc>
      </w:tr>
      <w:tr w:rsidR="00896C03" w:rsidRPr="00825CD8" w14:paraId="1E79C02E" w14:textId="77777777" w:rsidTr="52B514CE">
        <w:trPr>
          <w:trHeight w:val="300"/>
        </w:trPr>
        <w:tc>
          <w:tcPr>
            <w:tcW w:w="562" w:type="dxa"/>
            <w:vMerge w:val="restart"/>
            <w:noWrap/>
            <w:vAlign w:val="center"/>
            <w:hideMark/>
          </w:tcPr>
          <w:p w14:paraId="45072F2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28.</w:t>
            </w:r>
          </w:p>
        </w:tc>
        <w:tc>
          <w:tcPr>
            <w:tcW w:w="2127" w:type="dxa"/>
            <w:vMerge w:val="restart"/>
            <w:noWrap/>
            <w:vAlign w:val="center"/>
            <w:hideMark/>
          </w:tcPr>
          <w:p w14:paraId="3FA8C35C"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 xml:space="preserve">Osnovna škola Side Košutić Radoboj </w:t>
            </w:r>
          </w:p>
        </w:tc>
        <w:tc>
          <w:tcPr>
            <w:tcW w:w="567" w:type="dxa"/>
            <w:noWrap/>
            <w:vAlign w:val="center"/>
            <w:hideMark/>
          </w:tcPr>
          <w:p w14:paraId="485B723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45.</w:t>
            </w:r>
          </w:p>
        </w:tc>
        <w:tc>
          <w:tcPr>
            <w:tcW w:w="5806" w:type="dxa"/>
            <w:noWrap/>
            <w:vAlign w:val="center"/>
            <w:hideMark/>
          </w:tcPr>
          <w:p w14:paraId="773A9BD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Side Košutić Radoboj  - Područna škola Jazvine</w:t>
            </w:r>
            <w:r w:rsidRPr="00825CD8">
              <w:rPr>
                <w:rFonts w:ascii="Calibri" w:eastAsia="Times New Roman" w:hAnsi="Calibri" w:cs="Calibri"/>
                <w:color w:val="000000"/>
                <w:szCs w:val="18"/>
                <w:lang w:eastAsia="hr-HR"/>
              </w:rPr>
              <w:t> </w:t>
            </w:r>
          </w:p>
        </w:tc>
      </w:tr>
      <w:tr w:rsidR="00896C03" w:rsidRPr="00825CD8" w14:paraId="0E6329BE" w14:textId="77777777" w:rsidTr="52B514CE">
        <w:trPr>
          <w:trHeight w:val="300"/>
        </w:trPr>
        <w:tc>
          <w:tcPr>
            <w:tcW w:w="562" w:type="dxa"/>
            <w:vMerge/>
            <w:vAlign w:val="center"/>
            <w:hideMark/>
          </w:tcPr>
          <w:p w14:paraId="3FCE715D"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6DDFCFA7"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3E2E35D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46.</w:t>
            </w:r>
          </w:p>
        </w:tc>
        <w:tc>
          <w:tcPr>
            <w:tcW w:w="5806" w:type="dxa"/>
            <w:noWrap/>
            <w:vAlign w:val="center"/>
            <w:hideMark/>
          </w:tcPr>
          <w:p w14:paraId="0DD3B8BF"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Side Košutić Radoboj - Područna škola Gornja Šemnica</w:t>
            </w:r>
            <w:r w:rsidRPr="00825CD8">
              <w:rPr>
                <w:rFonts w:ascii="Calibri" w:eastAsia="Times New Roman" w:hAnsi="Calibri" w:cs="Calibri"/>
                <w:color w:val="000000"/>
                <w:szCs w:val="18"/>
                <w:lang w:eastAsia="hr-HR"/>
              </w:rPr>
              <w:t> </w:t>
            </w:r>
          </w:p>
        </w:tc>
      </w:tr>
      <w:tr w:rsidR="00896C03" w:rsidRPr="00825CD8" w14:paraId="03DD0402" w14:textId="77777777" w:rsidTr="52B514CE">
        <w:trPr>
          <w:trHeight w:val="300"/>
        </w:trPr>
        <w:tc>
          <w:tcPr>
            <w:tcW w:w="562" w:type="dxa"/>
            <w:vMerge w:val="restart"/>
            <w:noWrap/>
            <w:vAlign w:val="center"/>
            <w:hideMark/>
          </w:tcPr>
          <w:p w14:paraId="0D4513E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29.</w:t>
            </w:r>
          </w:p>
        </w:tc>
        <w:tc>
          <w:tcPr>
            <w:tcW w:w="2127" w:type="dxa"/>
            <w:vMerge w:val="restart"/>
            <w:noWrap/>
            <w:vAlign w:val="center"/>
            <w:hideMark/>
          </w:tcPr>
          <w:p w14:paraId="2E19290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 xml:space="preserve">Osnovna škola Sveti Križ Začretje </w:t>
            </w:r>
          </w:p>
        </w:tc>
        <w:tc>
          <w:tcPr>
            <w:tcW w:w="567" w:type="dxa"/>
            <w:noWrap/>
            <w:vAlign w:val="center"/>
            <w:hideMark/>
          </w:tcPr>
          <w:p w14:paraId="164806E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47.</w:t>
            </w:r>
          </w:p>
        </w:tc>
        <w:tc>
          <w:tcPr>
            <w:tcW w:w="5806" w:type="dxa"/>
            <w:noWrap/>
            <w:vAlign w:val="center"/>
            <w:hideMark/>
          </w:tcPr>
          <w:p w14:paraId="643C999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Sveti Križ Začretje - Područna škola Kozjak</w:t>
            </w:r>
          </w:p>
        </w:tc>
      </w:tr>
      <w:tr w:rsidR="00896C03" w:rsidRPr="00825CD8" w14:paraId="07356F65" w14:textId="77777777" w:rsidTr="52B514CE">
        <w:trPr>
          <w:trHeight w:val="300"/>
        </w:trPr>
        <w:tc>
          <w:tcPr>
            <w:tcW w:w="562" w:type="dxa"/>
            <w:vMerge/>
            <w:vAlign w:val="center"/>
            <w:hideMark/>
          </w:tcPr>
          <w:p w14:paraId="50EF8583"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0FE1C2B1"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62F6BA7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48.</w:t>
            </w:r>
          </w:p>
        </w:tc>
        <w:tc>
          <w:tcPr>
            <w:tcW w:w="5806" w:type="dxa"/>
            <w:noWrap/>
            <w:vAlign w:val="center"/>
            <w:hideMark/>
          </w:tcPr>
          <w:p w14:paraId="2E5B7F75"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Sveti Križ Začretje - Područna škola Mirkovec</w:t>
            </w:r>
          </w:p>
        </w:tc>
      </w:tr>
      <w:tr w:rsidR="00896C03" w:rsidRPr="00825CD8" w14:paraId="749A8243" w14:textId="77777777" w:rsidTr="52B514CE">
        <w:trPr>
          <w:trHeight w:val="300"/>
        </w:trPr>
        <w:tc>
          <w:tcPr>
            <w:tcW w:w="562" w:type="dxa"/>
            <w:vMerge/>
            <w:vAlign w:val="center"/>
            <w:hideMark/>
          </w:tcPr>
          <w:p w14:paraId="27FF1889"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005D0502"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0B95CAE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49.</w:t>
            </w:r>
          </w:p>
        </w:tc>
        <w:tc>
          <w:tcPr>
            <w:tcW w:w="5806" w:type="dxa"/>
            <w:noWrap/>
            <w:vAlign w:val="center"/>
            <w:hideMark/>
          </w:tcPr>
          <w:p w14:paraId="0C96146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Sveti Križ Začretje - Područna škola Sekirišće</w:t>
            </w:r>
          </w:p>
        </w:tc>
      </w:tr>
      <w:tr w:rsidR="00896C03" w:rsidRPr="00825CD8" w14:paraId="4D05A4C6" w14:textId="77777777" w:rsidTr="52B514CE">
        <w:trPr>
          <w:trHeight w:val="300"/>
        </w:trPr>
        <w:tc>
          <w:tcPr>
            <w:tcW w:w="562" w:type="dxa"/>
            <w:vMerge w:val="restart"/>
            <w:noWrap/>
            <w:vAlign w:val="center"/>
            <w:hideMark/>
          </w:tcPr>
          <w:p w14:paraId="66842BC4"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30.</w:t>
            </w:r>
          </w:p>
        </w:tc>
        <w:tc>
          <w:tcPr>
            <w:tcW w:w="2127" w:type="dxa"/>
            <w:vMerge w:val="restart"/>
            <w:noWrap/>
            <w:vAlign w:val="center"/>
            <w:hideMark/>
          </w:tcPr>
          <w:p w14:paraId="778FF90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Veliko Trgovišće</w:t>
            </w:r>
          </w:p>
        </w:tc>
        <w:tc>
          <w:tcPr>
            <w:tcW w:w="567" w:type="dxa"/>
            <w:noWrap/>
            <w:vAlign w:val="center"/>
            <w:hideMark/>
          </w:tcPr>
          <w:p w14:paraId="6950B6C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50.</w:t>
            </w:r>
          </w:p>
        </w:tc>
        <w:tc>
          <w:tcPr>
            <w:tcW w:w="5806" w:type="dxa"/>
            <w:noWrap/>
            <w:vAlign w:val="center"/>
            <w:hideMark/>
          </w:tcPr>
          <w:p w14:paraId="58804C8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Veliko Trgovišće - Područna škola Dubrovčan</w:t>
            </w:r>
            <w:r w:rsidRPr="00825CD8">
              <w:rPr>
                <w:rFonts w:ascii="Calibri" w:eastAsia="Times New Roman" w:hAnsi="Calibri" w:cs="Calibri"/>
                <w:color w:val="000000"/>
                <w:szCs w:val="18"/>
                <w:lang w:eastAsia="hr-HR"/>
              </w:rPr>
              <w:t> </w:t>
            </w:r>
          </w:p>
        </w:tc>
      </w:tr>
      <w:tr w:rsidR="00896C03" w:rsidRPr="00825CD8" w14:paraId="447262B2" w14:textId="77777777" w:rsidTr="52B514CE">
        <w:trPr>
          <w:trHeight w:val="300"/>
        </w:trPr>
        <w:tc>
          <w:tcPr>
            <w:tcW w:w="562" w:type="dxa"/>
            <w:vMerge/>
            <w:vAlign w:val="center"/>
            <w:hideMark/>
          </w:tcPr>
          <w:p w14:paraId="6C8F1AD1"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4904AA6D"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530B0405"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51.</w:t>
            </w:r>
          </w:p>
        </w:tc>
        <w:tc>
          <w:tcPr>
            <w:tcW w:w="5806" w:type="dxa"/>
            <w:noWrap/>
            <w:vAlign w:val="center"/>
            <w:hideMark/>
          </w:tcPr>
          <w:p w14:paraId="68A60749"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Veliko Trgovišće - Područna škola Strmec</w:t>
            </w:r>
          </w:p>
        </w:tc>
      </w:tr>
      <w:tr w:rsidR="00896C03" w:rsidRPr="00825CD8" w14:paraId="57CD7A90" w14:textId="77777777" w:rsidTr="52B514CE">
        <w:trPr>
          <w:trHeight w:val="300"/>
        </w:trPr>
        <w:tc>
          <w:tcPr>
            <w:tcW w:w="562" w:type="dxa"/>
            <w:vMerge w:val="restart"/>
            <w:noWrap/>
            <w:vAlign w:val="center"/>
            <w:hideMark/>
          </w:tcPr>
          <w:p w14:paraId="7341251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31.</w:t>
            </w:r>
          </w:p>
        </w:tc>
        <w:tc>
          <w:tcPr>
            <w:tcW w:w="2127" w:type="dxa"/>
            <w:vMerge w:val="restart"/>
            <w:noWrap/>
            <w:vAlign w:val="center"/>
            <w:hideMark/>
          </w:tcPr>
          <w:p w14:paraId="25381EA6"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Ante Kovačića</w:t>
            </w:r>
          </w:p>
        </w:tc>
        <w:tc>
          <w:tcPr>
            <w:tcW w:w="567" w:type="dxa"/>
            <w:noWrap/>
            <w:vAlign w:val="center"/>
            <w:hideMark/>
          </w:tcPr>
          <w:p w14:paraId="74FC8A90"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52.</w:t>
            </w:r>
          </w:p>
        </w:tc>
        <w:tc>
          <w:tcPr>
            <w:tcW w:w="5806" w:type="dxa"/>
            <w:noWrap/>
            <w:vAlign w:val="center"/>
            <w:hideMark/>
          </w:tcPr>
          <w:p w14:paraId="175CA25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Ante Kovačića - Područna škola Donja Batina</w:t>
            </w:r>
          </w:p>
        </w:tc>
      </w:tr>
      <w:tr w:rsidR="00896C03" w:rsidRPr="00825CD8" w14:paraId="0876839F" w14:textId="77777777" w:rsidTr="52B514CE">
        <w:trPr>
          <w:trHeight w:val="300"/>
        </w:trPr>
        <w:tc>
          <w:tcPr>
            <w:tcW w:w="562" w:type="dxa"/>
            <w:vMerge/>
            <w:vAlign w:val="center"/>
            <w:hideMark/>
          </w:tcPr>
          <w:p w14:paraId="00E3C9AC" w14:textId="77777777" w:rsidR="00896C03" w:rsidRPr="00825CD8" w:rsidRDefault="00896C03" w:rsidP="00825CD8">
            <w:pPr>
              <w:jc w:val="left"/>
              <w:rPr>
                <w:rFonts w:eastAsia="Times New Roman" w:cs="Calibri"/>
                <w:color w:val="000000"/>
                <w:szCs w:val="18"/>
                <w:lang w:eastAsia="hr-HR"/>
              </w:rPr>
            </w:pPr>
          </w:p>
        </w:tc>
        <w:tc>
          <w:tcPr>
            <w:tcW w:w="2127" w:type="dxa"/>
            <w:vMerge/>
            <w:vAlign w:val="center"/>
            <w:hideMark/>
          </w:tcPr>
          <w:p w14:paraId="3DBC796A" w14:textId="77777777" w:rsidR="00896C03" w:rsidRPr="00825CD8" w:rsidRDefault="00896C03" w:rsidP="00825CD8">
            <w:pPr>
              <w:jc w:val="left"/>
              <w:rPr>
                <w:rFonts w:eastAsia="Times New Roman" w:cs="Calibri"/>
                <w:color w:val="000000"/>
                <w:szCs w:val="18"/>
                <w:lang w:eastAsia="hr-HR"/>
              </w:rPr>
            </w:pPr>
          </w:p>
        </w:tc>
        <w:tc>
          <w:tcPr>
            <w:tcW w:w="567" w:type="dxa"/>
            <w:noWrap/>
            <w:vAlign w:val="center"/>
            <w:hideMark/>
          </w:tcPr>
          <w:p w14:paraId="028ABE9D"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53.</w:t>
            </w:r>
          </w:p>
        </w:tc>
        <w:tc>
          <w:tcPr>
            <w:tcW w:w="5806" w:type="dxa"/>
            <w:noWrap/>
            <w:vAlign w:val="center"/>
            <w:hideMark/>
          </w:tcPr>
          <w:p w14:paraId="1FBF4994"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Ante Kovačića - Područna škola Martinšćina</w:t>
            </w:r>
            <w:r w:rsidRPr="00825CD8">
              <w:rPr>
                <w:rFonts w:ascii="Calibri" w:eastAsia="Times New Roman" w:hAnsi="Calibri" w:cs="Calibri"/>
                <w:color w:val="000000"/>
                <w:szCs w:val="18"/>
                <w:lang w:eastAsia="hr-HR"/>
              </w:rPr>
              <w:t> </w:t>
            </w:r>
          </w:p>
        </w:tc>
      </w:tr>
      <w:tr w:rsidR="00896C03" w:rsidRPr="00825CD8" w14:paraId="31AADE29" w14:textId="77777777" w:rsidTr="52B514CE">
        <w:trPr>
          <w:trHeight w:val="300"/>
        </w:trPr>
        <w:tc>
          <w:tcPr>
            <w:tcW w:w="562" w:type="dxa"/>
            <w:noWrap/>
            <w:vAlign w:val="center"/>
            <w:hideMark/>
          </w:tcPr>
          <w:p w14:paraId="45A40E81"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32.</w:t>
            </w:r>
          </w:p>
        </w:tc>
        <w:tc>
          <w:tcPr>
            <w:tcW w:w="2127" w:type="dxa"/>
            <w:noWrap/>
            <w:vAlign w:val="center"/>
            <w:hideMark/>
          </w:tcPr>
          <w:p w14:paraId="41CD36FE"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Belec</w:t>
            </w:r>
          </w:p>
        </w:tc>
        <w:tc>
          <w:tcPr>
            <w:tcW w:w="567" w:type="dxa"/>
            <w:noWrap/>
            <w:vAlign w:val="center"/>
            <w:hideMark/>
          </w:tcPr>
          <w:p w14:paraId="78C376BA"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54.</w:t>
            </w:r>
          </w:p>
        </w:tc>
        <w:tc>
          <w:tcPr>
            <w:tcW w:w="5806" w:type="dxa"/>
            <w:noWrap/>
            <w:vAlign w:val="center"/>
            <w:hideMark/>
          </w:tcPr>
          <w:p w14:paraId="7DAEB035"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Belec - Područna škola Petruševec</w:t>
            </w:r>
            <w:r w:rsidRPr="00825CD8">
              <w:rPr>
                <w:rFonts w:ascii="Calibri" w:eastAsia="Times New Roman" w:hAnsi="Calibri" w:cs="Calibri"/>
                <w:color w:val="000000"/>
                <w:szCs w:val="18"/>
                <w:lang w:eastAsia="hr-HR"/>
              </w:rPr>
              <w:t> </w:t>
            </w:r>
          </w:p>
        </w:tc>
      </w:tr>
      <w:tr w:rsidR="00896C03" w:rsidRPr="00825CD8" w14:paraId="61260E2A" w14:textId="77777777" w:rsidTr="52B514CE">
        <w:trPr>
          <w:trHeight w:val="300"/>
        </w:trPr>
        <w:tc>
          <w:tcPr>
            <w:tcW w:w="562" w:type="dxa"/>
            <w:noWrap/>
            <w:vAlign w:val="center"/>
            <w:hideMark/>
          </w:tcPr>
          <w:p w14:paraId="03199CF2"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33.</w:t>
            </w:r>
          </w:p>
        </w:tc>
        <w:tc>
          <w:tcPr>
            <w:tcW w:w="2127" w:type="dxa"/>
            <w:noWrap/>
            <w:vAlign w:val="center"/>
            <w:hideMark/>
          </w:tcPr>
          <w:p w14:paraId="08A69F6C"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 xml:space="preserve">Osnovna škola Gornje Jesenje </w:t>
            </w:r>
          </w:p>
        </w:tc>
        <w:tc>
          <w:tcPr>
            <w:tcW w:w="567" w:type="dxa"/>
            <w:noWrap/>
            <w:vAlign w:val="center"/>
            <w:hideMark/>
          </w:tcPr>
          <w:p w14:paraId="7B3EABDA" w14:textId="77777777" w:rsidR="00896C03" w:rsidRPr="00825CD8" w:rsidRDefault="00896C03" w:rsidP="00825CD8">
            <w:pPr>
              <w:jc w:val="left"/>
              <w:rPr>
                <w:rFonts w:eastAsia="Times New Roman" w:cs="Calibri"/>
                <w:color w:val="000000"/>
                <w:szCs w:val="18"/>
                <w:lang w:eastAsia="hr-HR"/>
              </w:rPr>
            </w:pPr>
          </w:p>
        </w:tc>
        <w:tc>
          <w:tcPr>
            <w:tcW w:w="5806" w:type="dxa"/>
            <w:noWrap/>
            <w:vAlign w:val="center"/>
            <w:hideMark/>
          </w:tcPr>
          <w:p w14:paraId="2E53D52E" w14:textId="783B2F7D" w:rsidR="00896C03" w:rsidRPr="00825CD8" w:rsidRDefault="00896C03" w:rsidP="00825CD8">
            <w:pPr>
              <w:jc w:val="left"/>
              <w:rPr>
                <w:rFonts w:eastAsia="Times New Roman" w:cs="Times New Roman"/>
                <w:szCs w:val="18"/>
                <w:lang w:eastAsia="hr-HR"/>
              </w:rPr>
            </w:pPr>
            <w:r w:rsidRPr="00825CD8">
              <w:rPr>
                <w:rFonts w:eastAsia="Times New Roman" w:cs="Times New Roman"/>
                <w:szCs w:val="18"/>
                <w:lang w:eastAsia="hr-HR"/>
              </w:rPr>
              <w:t>-</w:t>
            </w:r>
          </w:p>
        </w:tc>
      </w:tr>
      <w:tr w:rsidR="00896C03" w:rsidRPr="00825CD8" w14:paraId="6EFC143E" w14:textId="77777777" w:rsidTr="52B514CE">
        <w:trPr>
          <w:trHeight w:val="300"/>
        </w:trPr>
        <w:tc>
          <w:tcPr>
            <w:tcW w:w="562" w:type="dxa"/>
            <w:noWrap/>
            <w:vAlign w:val="center"/>
            <w:hideMark/>
          </w:tcPr>
          <w:p w14:paraId="0BFA53E7"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34.</w:t>
            </w:r>
          </w:p>
        </w:tc>
        <w:tc>
          <w:tcPr>
            <w:tcW w:w="2127" w:type="dxa"/>
            <w:noWrap/>
            <w:vAlign w:val="center"/>
            <w:hideMark/>
          </w:tcPr>
          <w:p w14:paraId="1D7174F3" w14:textId="77777777" w:rsidR="00896C03" w:rsidRPr="00825CD8" w:rsidRDefault="00896C03" w:rsidP="00825CD8">
            <w:pPr>
              <w:jc w:val="left"/>
              <w:rPr>
                <w:rFonts w:eastAsia="Times New Roman" w:cs="Calibri"/>
                <w:color w:val="000000"/>
                <w:szCs w:val="18"/>
                <w:lang w:eastAsia="hr-HR"/>
              </w:rPr>
            </w:pPr>
            <w:r w:rsidRPr="00825CD8">
              <w:rPr>
                <w:rFonts w:eastAsia="Times New Roman" w:cs="Calibri"/>
                <w:color w:val="000000"/>
                <w:szCs w:val="18"/>
                <w:lang w:eastAsia="hr-HR"/>
              </w:rPr>
              <w:t>Osnovna škola Josipa Broza</w:t>
            </w:r>
          </w:p>
        </w:tc>
        <w:tc>
          <w:tcPr>
            <w:tcW w:w="567" w:type="dxa"/>
            <w:noWrap/>
            <w:vAlign w:val="center"/>
            <w:hideMark/>
          </w:tcPr>
          <w:p w14:paraId="24A05250" w14:textId="77777777" w:rsidR="00896C03" w:rsidRPr="00825CD8" w:rsidRDefault="00896C03" w:rsidP="00825CD8">
            <w:pPr>
              <w:jc w:val="left"/>
              <w:rPr>
                <w:rFonts w:eastAsia="Times New Roman" w:cs="Calibri"/>
                <w:color w:val="000000"/>
                <w:szCs w:val="18"/>
                <w:lang w:eastAsia="hr-HR"/>
              </w:rPr>
            </w:pPr>
          </w:p>
        </w:tc>
        <w:tc>
          <w:tcPr>
            <w:tcW w:w="5806" w:type="dxa"/>
            <w:noWrap/>
            <w:vAlign w:val="center"/>
            <w:hideMark/>
          </w:tcPr>
          <w:p w14:paraId="35829E34" w14:textId="1199CFE4" w:rsidR="00896C03" w:rsidRPr="00825CD8" w:rsidRDefault="00896C03" w:rsidP="00825CD8">
            <w:pPr>
              <w:jc w:val="left"/>
              <w:rPr>
                <w:rFonts w:eastAsia="Times New Roman" w:cs="Times New Roman"/>
                <w:szCs w:val="18"/>
                <w:lang w:eastAsia="hr-HR"/>
              </w:rPr>
            </w:pPr>
            <w:r w:rsidRPr="00825CD8">
              <w:rPr>
                <w:rFonts w:eastAsia="Times New Roman" w:cs="Times New Roman"/>
                <w:szCs w:val="18"/>
                <w:lang w:eastAsia="hr-HR"/>
              </w:rPr>
              <w:t>-</w:t>
            </w:r>
          </w:p>
        </w:tc>
      </w:tr>
    </w:tbl>
    <w:p w14:paraId="190EE94C" w14:textId="31B3A84A" w:rsidR="00E001C6" w:rsidRPr="006B5411" w:rsidRDefault="008878A0" w:rsidP="003C2276">
      <w:pPr>
        <w:pStyle w:val="Izvor"/>
        <w:rPr>
          <w:i/>
          <w:color w:val="ABABAB" w:themeColor="text1" w:themeTint="A6"/>
          <w:sz w:val="16"/>
          <w:szCs w:val="16"/>
        </w:rPr>
      </w:pPr>
      <w:r w:rsidRPr="006B5411">
        <w:rPr>
          <w:i/>
          <w:color w:val="ABABAB" w:themeColor="text1" w:themeTint="A6"/>
          <w:sz w:val="16"/>
          <w:szCs w:val="16"/>
        </w:rPr>
        <w:t>Izvor: Ministarstvo znanosti i obrazovanja,</w:t>
      </w:r>
      <w:r w:rsidR="00EC322E" w:rsidRPr="006B5411">
        <w:rPr>
          <w:i/>
          <w:color w:val="ABABAB" w:themeColor="text1" w:themeTint="A6"/>
          <w:sz w:val="16"/>
          <w:szCs w:val="16"/>
        </w:rPr>
        <w:t xml:space="preserve"> </w:t>
      </w:r>
      <w:r w:rsidR="00825CD8" w:rsidRPr="006B5411">
        <w:rPr>
          <w:i/>
          <w:color w:val="ABABAB" w:themeColor="text1" w:themeTint="A6"/>
          <w:sz w:val="16"/>
          <w:szCs w:val="16"/>
        </w:rPr>
        <w:t>2019.</w:t>
      </w:r>
      <w:r w:rsidRPr="006B5411">
        <w:rPr>
          <w:i/>
          <w:color w:val="ABABAB" w:themeColor="text1" w:themeTint="A6"/>
          <w:sz w:val="16"/>
          <w:szCs w:val="16"/>
        </w:rPr>
        <w:t xml:space="preserve"> </w:t>
      </w:r>
      <w:hyperlink r:id="rId52" w:history="1">
        <w:r w:rsidRPr="006B5411">
          <w:rPr>
            <w:i/>
            <w:color w:val="ABABAB" w:themeColor="text1" w:themeTint="A6"/>
            <w:sz w:val="16"/>
            <w:szCs w:val="16"/>
          </w:rPr>
          <w:t>http://mzos.hr/dbApp/pregled.aspx?search=2&amp;appName=OS</w:t>
        </w:r>
      </w:hyperlink>
      <w:r w:rsidRPr="006B5411">
        <w:rPr>
          <w:i/>
          <w:color w:val="ABABAB" w:themeColor="text1" w:themeTint="A6"/>
          <w:sz w:val="16"/>
          <w:szCs w:val="16"/>
        </w:rPr>
        <w:t xml:space="preserve"> </w:t>
      </w:r>
    </w:p>
    <w:p w14:paraId="6C18C214" w14:textId="77777777" w:rsidR="00B06F0B" w:rsidRDefault="00B06F0B" w:rsidP="00941871"/>
    <w:p w14:paraId="190A2570" w14:textId="72AFF44B" w:rsidR="0005196F" w:rsidRDefault="00C04EEB" w:rsidP="00C04EEB">
      <w:r>
        <w:t>Prema podacima upravnog odjela za obrazovanje, kulturu, šport i tehničku kulturu u školskoj godini 2020./2021. upisano je u osnovne škol</w:t>
      </w:r>
      <w:r w:rsidR="00307094">
        <w:t xml:space="preserve">e </w:t>
      </w:r>
      <w:r>
        <w:t xml:space="preserve">9.369 učenika. </w:t>
      </w:r>
      <w:r w:rsidR="008878A0">
        <w:t xml:space="preserve">Kretanje broja učenika u osnovnim školama pokazuje nastavak trenda </w:t>
      </w:r>
      <w:r w:rsidR="00F60177">
        <w:t>pada</w:t>
      </w:r>
      <w:r w:rsidR="008878A0">
        <w:t xml:space="preserve"> što je i očekivano s obzirom na negativni natalitet i povećano iseljavanje stanovništva, a posebice mladih obitelji. </w:t>
      </w:r>
      <w:r w:rsidRPr="00C04EEB">
        <w:t xml:space="preserve">Pad broja učenika osnovnih škola </w:t>
      </w:r>
      <w:r>
        <w:t xml:space="preserve">u Republici Hrvatskoj </w:t>
      </w:r>
      <w:r w:rsidRPr="00C04EEB">
        <w:t>traje već četvrt stoljeća</w:t>
      </w:r>
      <w:r w:rsidRPr="00C04EEB">
        <w:rPr>
          <w:rStyle w:val="Referencafusnote"/>
        </w:rPr>
        <w:footnoteReference w:id="52"/>
      </w:r>
      <w:r>
        <w:t>.</w:t>
      </w:r>
    </w:p>
    <w:p w14:paraId="633BD229" w14:textId="77777777" w:rsidR="00F45033" w:rsidRPr="00C04EEB" w:rsidRDefault="00F45033" w:rsidP="00C04EEB"/>
    <w:p w14:paraId="5B9AE7FE" w14:textId="701653BC" w:rsidR="008878A0" w:rsidRDefault="008878A0" w:rsidP="003E3F3C">
      <w:pPr>
        <w:pStyle w:val="Opisslike"/>
      </w:pPr>
      <w:r>
        <w:t xml:space="preserve">Grafikon </w:t>
      </w:r>
      <w:r w:rsidR="00151FD4">
        <w:t>2</w:t>
      </w:r>
      <w:r w:rsidR="00A668BF">
        <w:t>2</w:t>
      </w:r>
      <w:r w:rsidR="00825CD8">
        <w:rPr>
          <w:noProof/>
        </w:rPr>
        <w:t xml:space="preserve">. </w:t>
      </w:r>
      <w:r>
        <w:t xml:space="preserve">Broj upisanih učenika u osnovnim školama Krapinsko zagorske županije </w:t>
      </w:r>
    </w:p>
    <w:p w14:paraId="6B2ED053" w14:textId="76FF9C63" w:rsidR="00291130" w:rsidRPr="00291130" w:rsidRDefault="00291130" w:rsidP="00291130">
      <w:r>
        <w:rPr>
          <w:noProof/>
        </w:rPr>
        <w:drawing>
          <wp:inline distT="0" distB="0" distL="0" distR="0" wp14:anchorId="451AC7AE" wp14:editId="412D7106">
            <wp:extent cx="5937250" cy="2286000"/>
            <wp:effectExtent l="0" t="0" r="6350" b="0"/>
            <wp:docPr id="228" name="Grafikon 228">
              <a:extLst xmlns:a="http://schemas.openxmlformats.org/drawingml/2006/main">
                <a:ext uri="{FF2B5EF4-FFF2-40B4-BE49-F238E27FC236}">
                  <a16:creationId xmlns:a16="http://schemas.microsoft.com/office/drawing/2014/main" id="{36086154-F1DA-4061-9CA9-A2F79FAAC7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8BE0A8E" w14:textId="0F6E964F" w:rsidR="00825CD8" w:rsidRPr="006B5411" w:rsidRDefault="00DF2A68" w:rsidP="003C2276">
      <w:pPr>
        <w:pStyle w:val="Izvor"/>
        <w:rPr>
          <w:i/>
          <w:color w:val="ABABAB" w:themeColor="text1" w:themeTint="A6"/>
          <w:sz w:val="16"/>
          <w:szCs w:val="16"/>
        </w:rPr>
      </w:pPr>
      <w:r w:rsidRPr="006B5411">
        <w:rPr>
          <w:i/>
          <w:color w:val="ABABAB" w:themeColor="text1" w:themeTint="A6"/>
          <w:sz w:val="16"/>
          <w:szCs w:val="16"/>
        </w:rPr>
        <w:t>Izvor: Upravni odjel za obrazovanje, kulturu, šport i tehničku kulturu</w:t>
      </w:r>
      <w:r w:rsidR="00291130" w:rsidRPr="006B5411">
        <w:rPr>
          <w:i/>
          <w:color w:val="ABABAB" w:themeColor="text1" w:themeTint="A6"/>
          <w:sz w:val="16"/>
          <w:szCs w:val="16"/>
        </w:rPr>
        <w:t>, 2021</w:t>
      </w:r>
    </w:p>
    <w:p w14:paraId="208900FC" w14:textId="77777777" w:rsidR="009C43F3" w:rsidRDefault="009C43F3" w:rsidP="00855D8D">
      <w:pPr>
        <w:pStyle w:val="Izvor"/>
      </w:pPr>
    </w:p>
    <w:p w14:paraId="587A61B7" w14:textId="5B426E69" w:rsidR="005F7B35" w:rsidRDefault="00307094" w:rsidP="00941871">
      <w:r w:rsidRPr="00307094">
        <w:t>Prema podacima</w:t>
      </w:r>
      <w:r w:rsidR="00C04EEB" w:rsidRPr="00307094">
        <w:t xml:space="preserve"> Državnog zavoda za statistiku n</w:t>
      </w:r>
      <w:r w:rsidR="00BC3FB3" w:rsidRPr="00307094">
        <w:t xml:space="preserve">a području Krapinsko-zagorske županije u školskoj godini 2019./2020. u osnovno školskom sustavu u prosjeku po školi ima 108 učenika, dok </w:t>
      </w:r>
      <w:r w:rsidR="00C7437E" w:rsidRPr="00307094">
        <w:t>u</w:t>
      </w:r>
      <w:r w:rsidR="00BC3FB3" w:rsidRPr="00307094">
        <w:t xml:space="preserve"> županija</w:t>
      </w:r>
      <w:r w:rsidR="00C7437E" w:rsidRPr="00307094">
        <w:t>ma</w:t>
      </w:r>
      <w:r w:rsidR="00BC3FB3" w:rsidRPr="00307094">
        <w:t xml:space="preserve"> </w:t>
      </w:r>
      <w:r w:rsidR="00C7437E" w:rsidRPr="00307094">
        <w:t>Sjevern</w:t>
      </w:r>
      <w:r w:rsidR="00B64447" w:rsidRPr="00307094">
        <w:t>e</w:t>
      </w:r>
      <w:r w:rsidR="00BC3FB3" w:rsidRPr="00307094">
        <w:t xml:space="preserve"> Hrvatske u prosjeku svaku školu pohađa 151 učenik. Smanjenje broja upisane djece u osnovne škole zabilježeno je</w:t>
      </w:r>
      <w:r w:rsidR="00C04EEB" w:rsidRPr="00307094">
        <w:t xml:space="preserve"> i</w:t>
      </w:r>
      <w:r w:rsidR="00BC3FB3" w:rsidRPr="00307094">
        <w:t xml:space="preserve"> u svim županijama </w:t>
      </w:r>
      <w:r w:rsidR="00C7437E" w:rsidRPr="00307094">
        <w:t>Sjevern</w:t>
      </w:r>
      <w:r w:rsidR="00C00DD9" w:rsidRPr="00307094">
        <w:t xml:space="preserve">e </w:t>
      </w:r>
      <w:r w:rsidR="00BC3FB3" w:rsidRPr="00307094">
        <w:t>Hrvatske</w:t>
      </w:r>
      <w:r w:rsidR="00C00DD9" w:rsidRPr="00307094">
        <w:t>. N</w:t>
      </w:r>
      <w:r w:rsidR="00BC3FB3" w:rsidRPr="00307094">
        <w:t xml:space="preserve">ajviše učenika po </w:t>
      </w:r>
      <w:r w:rsidR="00BC3FB3" w:rsidRPr="00307094">
        <w:lastRenderedPageBreak/>
        <w:t>školi ima u Zagrebačkoj županiji (196 učenika) te Varaždinskoj županiji (181 učenik). Najmanje upisane djece po školi ima u Virovitičko-podravskoj županiji (76 učenika) i Bjelovarsko-bilogorskoj županiji (82 učenika).</w:t>
      </w:r>
    </w:p>
    <w:p w14:paraId="1E9289E3" w14:textId="77777777" w:rsidR="005F78CB" w:rsidRDefault="005F78CB" w:rsidP="00941871"/>
    <w:p w14:paraId="0F1856EB" w14:textId="74C562C7" w:rsidR="00C04EEB" w:rsidRDefault="005F7B35" w:rsidP="003E3F3C">
      <w:pPr>
        <w:pStyle w:val="Opisslike"/>
      </w:pPr>
      <w:r>
        <w:t xml:space="preserve">Tablica </w:t>
      </w:r>
      <w:r w:rsidR="00151FD4">
        <w:t>5</w:t>
      </w:r>
      <w:r w:rsidR="00004F7D">
        <w:t>4</w:t>
      </w:r>
      <w:r w:rsidR="0018019C">
        <w:t>.</w:t>
      </w:r>
      <w:r>
        <w:t xml:space="preserve"> Broj učenika i učitelja u osnovnim školama na početku školske godine 2019./2020.</w:t>
      </w:r>
    </w:p>
    <w:tbl>
      <w:tblPr>
        <w:tblStyle w:val="Style2"/>
        <w:tblW w:w="9309" w:type="dxa"/>
        <w:tblLook w:val="04A0" w:firstRow="1" w:lastRow="0" w:firstColumn="1" w:lastColumn="0" w:noHBand="0" w:noVBand="1"/>
      </w:tblPr>
      <w:tblGrid>
        <w:gridCol w:w="2263"/>
        <w:gridCol w:w="2095"/>
        <w:gridCol w:w="1766"/>
        <w:gridCol w:w="1345"/>
        <w:gridCol w:w="1840"/>
      </w:tblGrid>
      <w:tr w:rsidR="00DB4245" w:rsidRPr="00DB4245" w14:paraId="573DD979" w14:textId="77777777" w:rsidTr="00BE0B33">
        <w:trPr>
          <w:cnfStyle w:val="100000000000" w:firstRow="1" w:lastRow="0" w:firstColumn="0" w:lastColumn="0" w:oddVBand="0" w:evenVBand="0" w:oddHBand="0" w:evenHBand="0" w:firstRowFirstColumn="0" w:firstRowLastColumn="0" w:lastRowFirstColumn="0" w:lastRowLastColumn="0"/>
          <w:trHeight w:val="637"/>
        </w:trPr>
        <w:tc>
          <w:tcPr>
            <w:cnfStyle w:val="001000000000" w:firstRow="0" w:lastRow="0" w:firstColumn="1" w:lastColumn="0" w:oddVBand="0" w:evenVBand="0" w:oddHBand="0" w:evenHBand="0" w:firstRowFirstColumn="0" w:firstRowLastColumn="0" w:lastRowFirstColumn="0" w:lastRowLastColumn="0"/>
            <w:tcW w:w="2263" w:type="dxa"/>
            <w:tcBorders>
              <w:bottom w:val="single" w:sz="4" w:space="0" w:color="FFFFFF" w:themeColor="background1"/>
            </w:tcBorders>
            <w:shd w:val="clear" w:color="auto" w:fill="C00000"/>
            <w:noWrap/>
            <w:hideMark/>
          </w:tcPr>
          <w:p w14:paraId="42BF5482" w14:textId="77777777" w:rsidR="00DB4245" w:rsidRPr="00DB4245" w:rsidRDefault="00DB4245" w:rsidP="00DB4245">
            <w:pPr>
              <w:jc w:val="center"/>
              <w:rPr>
                <w:b/>
                <w:bCs/>
                <w:color w:val="FFFFFF" w:themeColor="background1"/>
              </w:rPr>
            </w:pPr>
            <w:r w:rsidRPr="00DB4245">
              <w:rPr>
                <w:b/>
                <w:bCs/>
                <w:color w:val="FFFFFF" w:themeColor="background1"/>
              </w:rPr>
              <w:t>ŽUPANIJA</w:t>
            </w:r>
          </w:p>
        </w:tc>
        <w:tc>
          <w:tcPr>
            <w:tcW w:w="2095" w:type="dxa"/>
            <w:shd w:val="clear" w:color="auto" w:fill="C00000"/>
            <w:hideMark/>
          </w:tcPr>
          <w:p w14:paraId="27F8B519" w14:textId="031AF015" w:rsidR="00DB4245" w:rsidRPr="00DB4245" w:rsidRDefault="00DB4245" w:rsidP="00DB4245">
            <w:pPr>
              <w:jc w:val="center"/>
              <w:cnfStyle w:val="100000000000" w:firstRow="1" w:lastRow="0" w:firstColumn="0" w:lastColumn="0" w:oddVBand="0" w:evenVBand="0" w:oddHBand="0" w:evenHBand="0" w:firstRowFirstColumn="0" w:firstRowLastColumn="0" w:lastRowFirstColumn="0" w:lastRowLastColumn="0"/>
              <w:rPr>
                <w:b/>
                <w:bCs/>
                <w:color w:val="FFFFFF" w:themeColor="background1"/>
              </w:rPr>
            </w:pPr>
            <w:r w:rsidRPr="00DB4245">
              <w:rPr>
                <w:b/>
                <w:bCs/>
                <w:color w:val="FFFFFF" w:themeColor="background1"/>
              </w:rPr>
              <w:t>BROJ ŠKOLA</w:t>
            </w:r>
          </w:p>
          <w:p w14:paraId="4119C489" w14:textId="6CDD5BE2" w:rsidR="00DB4245" w:rsidRPr="00DB4245" w:rsidRDefault="00DB4245" w:rsidP="00DB4245">
            <w:pPr>
              <w:jc w:val="center"/>
              <w:cnfStyle w:val="100000000000" w:firstRow="1" w:lastRow="0" w:firstColumn="0" w:lastColumn="0" w:oddVBand="0" w:evenVBand="0" w:oddHBand="0" w:evenHBand="0" w:firstRowFirstColumn="0" w:firstRowLastColumn="0" w:lastRowFirstColumn="0" w:lastRowLastColumn="0"/>
              <w:rPr>
                <w:b/>
                <w:bCs/>
                <w:color w:val="FFFFFF" w:themeColor="background1"/>
              </w:rPr>
            </w:pPr>
            <w:r w:rsidRPr="00DB4245">
              <w:rPr>
                <w:b/>
                <w:bCs/>
                <w:color w:val="FFFFFF" w:themeColor="background1"/>
              </w:rPr>
              <w:t>(matične i područne)</w:t>
            </w:r>
          </w:p>
        </w:tc>
        <w:tc>
          <w:tcPr>
            <w:tcW w:w="1766" w:type="dxa"/>
            <w:shd w:val="clear" w:color="auto" w:fill="C00000"/>
            <w:hideMark/>
          </w:tcPr>
          <w:p w14:paraId="14959649" w14:textId="77777777" w:rsidR="00DB4245" w:rsidRPr="00DB4245" w:rsidRDefault="00DB4245" w:rsidP="00DB4245">
            <w:pPr>
              <w:jc w:val="center"/>
              <w:cnfStyle w:val="100000000000" w:firstRow="1" w:lastRow="0" w:firstColumn="0" w:lastColumn="0" w:oddVBand="0" w:evenVBand="0" w:oddHBand="0" w:evenHBand="0" w:firstRowFirstColumn="0" w:firstRowLastColumn="0" w:lastRowFirstColumn="0" w:lastRowLastColumn="0"/>
              <w:rPr>
                <w:b/>
                <w:bCs/>
                <w:color w:val="FFFFFF" w:themeColor="background1"/>
              </w:rPr>
            </w:pPr>
            <w:r w:rsidRPr="00DB4245">
              <w:rPr>
                <w:b/>
                <w:bCs/>
                <w:color w:val="FFFFFF" w:themeColor="background1"/>
              </w:rPr>
              <w:t>BROJ RAZREDNIH ODJELA</w:t>
            </w:r>
          </w:p>
        </w:tc>
        <w:tc>
          <w:tcPr>
            <w:tcW w:w="1345" w:type="dxa"/>
            <w:shd w:val="clear" w:color="auto" w:fill="C00000"/>
            <w:noWrap/>
            <w:hideMark/>
          </w:tcPr>
          <w:p w14:paraId="49B3322E" w14:textId="77777777" w:rsidR="00DB4245" w:rsidRPr="00DB4245" w:rsidRDefault="00DB4245" w:rsidP="00DB4245">
            <w:pPr>
              <w:jc w:val="center"/>
              <w:cnfStyle w:val="100000000000" w:firstRow="1" w:lastRow="0" w:firstColumn="0" w:lastColumn="0" w:oddVBand="0" w:evenVBand="0" w:oddHBand="0" w:evenHBand="0" w:firstRowFirstColumn="0" w:firstRowLastColumn="0" w:lastRowFirstColumn="0" w:lastRowLastColumn="0"/>
              <w:rPr>
                <w:b/>
                <w:bCs/>
                <w:color w:val="FFFFFF" w:themeColor="background1"/>
              </w:rPr>
            </w:pPr>
            <w:r w:rsidRPr="00DB4245">
              <w:rPr>
                <w:b/>
                <w:bCs/>
                <w:color w:val="FFFFFF" w:themeColor="background1"/>
              </w:rPr>
              <w:t>UČITELJI</w:t>
            </w:r>
          </w:p>
        </w:tc>
        <w:tc>
          <w:tcPr>
            <w:tcW w:w="1840" w:type="dxa"/>
            <w:shd w:val="clear" w:color="auto" w:fill="C00000"/>
            <w:hideMark/>
          </w:tcPr>
          <w:p w14:paraId="2A8AC313" w14:textId="77777777" w:rsidR="00DB4245" w:rsidRPr="00DB4245" w:rsidRDefault="00DB4245" w:rsidP="00DB4245">
            <w:pPr>
              <w:jc w:val="center"/>
              <w:cnfStyle w:val="100000000000" w:firstRow="1" w:lastRow="0" w:firstColumn="0" w:lastColumn="0" w:oddVBand="0" w:evenVBand="0" w:oddHBand="0" w:evenHBand="0" w:firstRowFirstColumn="0" w:firstRowLastColumn="0" w:lastRowFirstColumn="0" w:lastRowLastColumn="0"/>
              <w:rPr>
                <w:b/>
                <w:bCs/>
                <w:color w:val="FFFFFF" w:themeColor="background1"/>
              </w:rPr>
            </w:pPr>
            <w:r w:rsidRPr="00DB4245">
              <w:rPr>
                <w:b/>
                <w:bCs/>
                <w:color w:val="FFFFFF" w:themeColor="background1"/>
              </w:rPr>
              <w:t xml:space="preserve">BROJ UČENIKA </w:t>
            </w:r>
          </w:p>
          <w:p w14:paraId="7A98E95F" w14:textId="3B78F639" w:rsidR="00DB4245" w:rsidRPr="00DB4245" w:rsidRDefault="00DB4245" w:rsidP="00DB4245">
            <w:pPr>
              <w:jc w:val="center"/>
              <w:cnfStyle w:val="100000000000" w:firstRow="1" w:lastRow="0" w:firstColumn="0" w:lastColumn="0" w:oddVBand="0" w:evenVBand="0" w:oddHBand="0" w:evenHBand="0" w:firstRowFirstColumn="0" w:firstRowLastColumn="0" w:lastRowFirstColumn="0" w:lastRowLastColumn="0"/>
              <w:rPr>
                <w:b/>
                <w:bCs/>
                <w:color w:val="FFFFFF" w:themeColor="background1"/>
              </w:rPr>
            </w:pPr>
            <w:r w:rsidRPr="00DB4245">
              <w:rPr>
                <w:b/>
                <w:bCs/>
                <w:color w:val="FFFFFF" w:themeColor="background1"/>
              </w:rPr>
              <w:t>(od 1-8.razred)</w:t>
            </w:r>
          </w:p>
        </w:tc>
      </w:tr>
      <w:tr w:rsidR="00DB4245" w:rsidRPr="00DB4245" w14:paraId="75D17508" w14:textId="77777777" w:rsidTr="00BE0B33">
        <w:trPr>
          <w:trHeight w:val="282"/>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left w:val="single" w:sz="4" w:space="0" w:color="FFFFFF" w:themeColor="background1"/>
              <w:bottom w:val="single" w:sz="4" w:space="0" w:color="FFFFFF" w:themeColor="background1"/>
            </w:tcBorders>
            <w:shd w:val="clear" w:color="auto" w:fill="CECECE" w:themeFill="accent5" w:themeFillShade="E6"/>
            <w:noWrap/>
            <w:hideMark/>
          </w:tcPr>
          <w:p w14:paraId="7ACCC973" w14:textId="02C55119" w:rsidR="00DB4245" w:rsidRPr="00DB4245" w:rsidRDefault="00DB4245" w:rsidP="00BE0B33">
            <w:pPr>
              <w:jc w:val="center"/>
              <w:rPr>
                <w:b/>
                <w:bCs/>
                <w:color w:val="auto"/>
              </w:rPr>
            </w:pPr>
            <w:r w:rsidRPr="00DB4245">
              <w:rPr>
                <w:b/>
                <w:bCs/>
                <w:color w:val="auto"/>
              </w:rPr>
              <w:t>Krapinsko- zagorska</w:t>
            </w:r>
          </w:p>
        </w:tc>
        <w:tc>
          <w:tcPr>
            <w:tcW w:w="2095" w:type="dxa"/>
            <w:tcBorders>
              <w:bottom w:val="single" w:sz="4" w:space="0" w:color="EC8E92" w:themeColor="accent6"/>
            </w:tcBorders>
            <w:noWrap/>
            <w:hideMark/>
          </w:tcPr>
          <w:p w14:paraId="1D594075" w14:textId="10E7E923" w:rsidR="00DB4245" w:rsidRPr="00DB4245" w:rsidRDefault="00BE0B33" w:rsidP="00BE0B33">
            <w:pPr>
              <w:jc w:val="center"/>
              <w:cnfStyle w:val="000000000000" w:firstRow="0" w:lastRow="0" w:firstColumn="0" w:lastColumn="0" w:oddVBand="0" w:evenVBand="0" w:oddHBand="0" w:evenHBand="0" w:firstRowFirstColumn="0" w:firstRowLastColumn="0" w:lastRowFirstColumn="0" w:lastRowLastColumn="0"/>
            </w:pPr>
            <w:r>
              <w:t>87</w:t>
            </w:r>
          </w:p>
        </w:tc>
        <w:tc>
          <w:tcPr>
            <w:tcW w:w="1766" w:type="dxa"/>
            <w:tcBorders>
              <w:bottom w:val="single" w:sz="4" w:space="0" w:color="EC8E92" w:themeColor="accent6"/>
            </w:tcBorders>
            <w:noWrap/>
            <w:hideMark/>
          </w:tcPr>
          <w:p w14:paraId="040A8FC4" w14:textId="54C4C8F4" w:rsidR="00DB4245" w:rsidRPr="00DB4245" w:rsidRDefault="00BE0B33" w:rsidP="00BE0B33">
            <w:pPr>
              <w:jc w:val="center"/>
              <w:cnfStyle w:val="000000000000" w:firstRow="0" w:lastRow="0" w:firstColumn="0" w:lastColumn="0" w:oddVBand="0" w:evenVBand="0" w:oddHBand="0" w:evenHBand="0" w:firstRowFirstColumn="0" w:firstRowLastColumn="0" w:lastRowFirstColumn="0" w:lastRowLastColumn="0"/>
            </w:pPr>
            <w:r>
              <w:t>606</w:t>
            </w:r>
          </w:p>
        </w:tc>
        <w:tc>
          <w:tcPr>
            <w:tcW w:w="1345" w:type="dxa"/>
            <w:tcBorders>
              <w:bottom w:val="single" w:sz="4" w:space="0" w:color="EC8E92" w:themeColor="accent6"/>
            </w:tcBorders>
            <w:noWrap/>
            <w:hideMark/>
          </w:tcPr>
          <w:p w14:paraId="2439FBB7" w14:textId="301268F7" w:rsidR="00DB4245" w:rsidRPr="00DB4245" w:rsidRDefault="00BE0B33" w:rsidP="00BE0B33">
            <w:pPr>
              <w:jc w:val="center"/>
              <w:cnfStyle w:val="000000000000" w:firstRow="0" w:lastRow="0" w:firstColumn="0" w:lastColumn="0" w:oddVBand="0" w:evenVBand="0" w:oddHBand="0" w:evenHBand="0" w:firstRowFirstColumn="0" w:firstRowLastColumn="0" w:lastRowFirstColumn="0" w:lastRowLastColumn="0"/>
            </w:pPr>
            <w:r>
              <w:t>1.094</w:t>
            </w:r>
          </w:p>
        </w:tc>
        <w:tc>
          <w:tcPr>
            <w:tcW w:w="1840" w:type="dxa"/>
            <w:tcBorders>
              <w:bottom w:val="single" w:sz="4" w:space="0" w:color="EC8E92" w:themeColor="accent6"/>
            </w:tcBorders>
            <w:noWrap/>
            <w:hideMark/>
          </w:tcPr>
          <w:p w14:paraId="5F7A6715" w14:textId="041E68F5" w:rsidR="00DB4245" w:rsidRPr="00DB4245" w:rsidRDefault="00BE0B33" w:rsidP="00BE0B33">
            <w:pPr>
              <w:jc w:val="center"/>
              <w:cnfStyle w:val="000000000000" w:firstRow="0" w:lastRow="0" w:firstColumn="0" w:lastColumn="0" w:oddVBand="0" w:evenVBand="0" w:oddHBand="0" w:evenHBand="0" w:firstRowFirstColumn="0" w:firstRowLastColumn="0" w:lastRowFirstColumn="0" w:lastRowLastColumn="0"/>
            </w:pPr>
            <w:r>
              <w:t>9.402</w:t>
            </w:r>
          </w:p>
        </w:tc>
      </w:tr>
      <w:tr w:rsidR="00DB4245" w:rsidRPr="00DB4245" w14:paraId="06C43528" w14:textId="77777777" w:rsidTr="00BE0B33">
        <w:trPr>
          <w:trHeight w:val="282"/>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ECECE" w:themeFill="accent5" w:themeFillShade="E6"/>
            <w:noWrap/>
            <w:hideMark/>
          </w:tcPr>
          <w:p w14:paraId="7F839D07" w14:textId="77777777" w:rsidR="00DB4245" w:rsidRPr="00DB4245" w:rsidRDefault="00DB4245" w:rsidP="00BE0B33">
            <w:pPr>
              <w:jc w:val="center"/>
              <w:rPr>
                <w:b/>
                <w:bCs/>
                <w:color w:val="auto"/>
              </w:rPr>
            </w:pPr>
            <w:r w:rsidRPr="00DB4245">
              <w:rPr>
                <w:b/>
                <w:bCs/>
                <w:color w:val="auto"/>
              </w:rPr>
              <w:t>Zagrebačka</w:t>
            </w:r>
          </w:p>
        </w:tc>
        <w:tc>
          <w:tcPr>
            <w:tcW w:w="2095" w:type="dxa"/>
            <w:tcBorders>
              <w:top w:val="single" w:sz="4" w:space="0" w:color="EC8E92" w:themeColor="accent6"/>
              <w:left w:val="single" w:sz="4" w:space="0" w:color="FFFFFF" w:themeColor="background1"/>
              <w:bottom w:val="single" w:sz="4" w:space="0" w:color="EC8E92" w:themeColor="accent6"/>
            </w:tcBorders>
            <w:noWrap/>
            <w:hideMark/>
          </w:tcPr>
          <w:p w14:paraId="772C0FBF" w14:textId="3F813FCA" w:rsidR="00DB4245" w:rsidRPr="00DB4245" w:rsidRDefault="00CD4A6C" w:rsidP="00BE0B33">
            <w:pPr>
              <w:jc w:val="center"/>
              <w:cnfStyle w:val="000000000000" w:firstRow="0" w:lastRow="0" w:firstColumn="0" w:lastColumn="0" w:oddVBand="0" w:evenVBand="0" w:oddHBand="0" w:evenHBand="0" w:firstRowFirstColumn="0" w:firstRowLastColumn="0" w:lastRowFirstColumn="0" w:lastRowLastColumn="0"/>
            </w:pPr>
            <w:r>
              <w:t>130</w:t>
            </w:r>
          </w:p>
        </w:tc>
        <w:tc>
          <w:tcPr>
            <w:tcW w:w="1766" w:type="dxa"/>
            <w:tcBorders>
              <w:top w:val="single" w:sz="4" w:space="0" w:color="EC8E92" w:themeColor="accent6"/>
              <w:bottom w:val="single" w:sz="4" w:space="0" w:color="EC8E92" w:themeColor="accent6"/>
            </w:tcBorders>
            <w:noWrap/>
            <w:hideMark/>
          </w:tcPr>
          <w:p w14:paraId="70651C7A" w14:textId="4BBE0ABD" w:rsidR="00DB4245" w:rsidRPr="00DB4245" w:rsidRDefault="00CD4A6C" w:rsidP="00BE0B33">
            <w:pPr>
              <w:jc w:val="center"/>
              <w:cnfStyle w:val="000000000000" w:firstRow="0" w:lastRow="0" w:firstColumn="0" w:lastColumn="0" w:oddVBand="0" w:evenVBand="0" w:oddHBand="0" w:evenHBand="0" w:firstRowFirstColumn="0" w:firstRowLastColumn="0" w:lastRowFirstColumn="0" w:lastRowLastColumn="0"/>
            </w:pPr>
            <w:r>
              <w:t>1.361</w:t>
            </w:r>
          </w:p>
        </w:tc>
        <w:tc>
          <w:tcPr>
            <w:tcW w:w="1345" w:type="dxa"/>
            <w:tcBorders>
              <w:top w:val="single" w:sz="4" w:space="0" w:color="EC8E92" w:themeColor="accent6"/>
              <w:bottom w:val="single" w:sz="4" w:space="0" w:color="EC8E92" w:themeColor="accent6"/>
            </w:tcBorders>
            <w:noWrap/>
            <w:hideMark/>
          </w:tcPr>
          <w:p w14:paraId="72026B87" w14:textId="651A59B9" w:rsidR="00DB4245" w:rsidRPr="00DB4245" w:rsidRDefault="00CD4A6C" w:rsidP="00BE0B33">
            <w:pPr>
              <w:jc w:val="center"/>
              <w:cnfStyle w:val="000000000000" w:firstRow="0" w:lastRow="0" w:firstColumn="0" w:lastColumn="0" w:oddVBand="0" w:evenVBand="0" w:oddHBand="0" w:evenHBand="0" w:firstRowFirstColumn="0" w:firstRowLastColumn="0" w:lastRowFirstColumn="0" w:lastRowLastColumn="0"/>
            </w:pPr>
            <w:r>
              <w:t>2.352</w:t>
            </w:r>
          </w:p>
        </w:tc>
        <w:tc>
          <w:tcPr>
            <w:tcW w:w="1840" w:type="dxa"/>
            <w:tcBorders>
              <w:top w:val="single" w:sz="4" w:space="0" w:color="EC8E92" w:themeColor="accent6"/>
              <w:bottom w:val="single" w:sz="4" w:space="0" w:color="EC8E92" w:themeColor="accent6"/>
            </w:tcBorders>
            <w:noWrap/>
            <w:hideMark/>
          </w:tcPr>
          <w:p w14:paraId="61E419F2" w14:textId="280E1D76" w:rsidR="00DB4245" w:rsidRPr="00DB4245" w:rsidRDefault="00CD4A6C" w:rsidP="00BE0B33">
            <w:pPr>
              <w:jc w:val="center"/>
              <w:cnfStyle w:val="000000000000" w:firstRow="0" w:lastRow="0" w:firstColumn="0" w:lastColumn="0" w:oddVBand="0" w:evenVBand="0" w:oddHBand="0" w:evenHBand="0" w:firstRowFirstColumn="0" w:firstRowLastColumn="0" w:lastRowFirstColumn="0" w:lastRowLastColumn="0"/>
            </w:pPr>
            <w:r>
              <w:t>25.474</w:t>
            </w:r>
          </w:p>
        </w:tc>
      </w:tr>
      <w:tr w:rsidR="00DB4245" w:rsidRPr="00DB4245" w14:paraId="4B15D209" w14:textId="77777777" w:rsidTr="00BE0B33">
        <w:trPr>
          <w:trHeight w:val="282"/>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ECECE" w:themeFill="accent5" w:themeFillShade="E6"/>
            <w:noWrap/>
            <w:hideMark/>
          </w:tcPr>
          <w:p w14:paraId="3037E3A6" w14:textId="77777777" w:rsidR="00DB4245" w:rsidRPr="00DB4245" w:rsidRDefault="00DB4245" w:rsidP="00BE0B33">
            <w:pPr>
              <w:jc w:val="center"/>
              <w:rPr>
                <w:b/>
                <w:bCs/>
                <w:color w:val="auto"/>
              </w:rPr>
            </w:pPr>
            <w:r w:rsidRPr="00DB4245">
              <w:rPr>
                <w:b/>
                <w:bCs/>
                <w:color w:val="auto"/>
              </w:rPr>
              <w:t>Varaždinska</w:t>
            </w:r>
          </w:p>
        </w:tc>
        <w:tc>
          <w:tcPr>
            <w:tcW w:w="2095" w:type="dxa"/>
            <w:tcBorders>
              <w:top w:val="single" w:sz="4" w:space="0" w:color="EC8E92" w:themeColor="accent6"/>
              <w:left w:val="single" w:sz="4" w:space="0" w:color="FFFFFF" w:themeColor="background1"/>
              <w:bottom w:val="single" w:sz="4" w:space="0" w:color="EC8E92" w:themeColor="accent6"/>
            </w:tcBorders>
            <w:noWrap/>
            <w:hideMark/>
          </w:tcPr>
          <w:p w14:paraId="6B251FE8" w14:textId="406A52A5"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74</w:t>
            </w:r>
          </w:p>
        </w:tc>
        <w:tc>
          <w:tcPr>
            <w:tcW w:w="1766" w:type="dxa"/>
            <w:tcBorders>
              <w:top w:val="single" w:sz="4" w:space="0" w:color="EC8E92" w:themeColor="accent6"/>
              <w:bottom w:val="single" w:sz="4" w:space="0" w:color="EC8E92" w:themeColor="accent6"/>
            </w:tcBorders>
            <w:noWrap/>
            <w:hideMark/>
          </w:tcPr>
          <w:p w14:paraId="0A4607DD" w14:textId="26126F3D"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788</w:t>
            </w:r>
          </w:p>
        </w:tc>
        <w:tc>
          <w:tcPr>
            <w:tcW w:w="1345" w:type="dxa"/>
            <w:tcBorders>
              <w:top w:val="single" w:sz="4" w:space="0" w:color="EC8E92" w:themeColor="accent6"/>
              <w:bottom w:val="single" w:sz="4" w:space="0" w:color="EC8E92" w:themeColor="accent6"/>
            </w:tcBorders>
            <w:noWrap/>
            <w:hideMark/>
          </w:tcPr>
          <w:p w14:paraId="3BA85113" w14:textId="21DC7CFF"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1.442</w:t>
            </w:r>
          </w:p>
        </w:tc>
        <w:tc>
          <w:tcPr>
            <w:tcW w:w="1840" w:type="dxa"/>
            <w:tcBorders>
              <w:top w:val="single" w:sz="4" w:space="0" w:color="EC8E92" w:themeColor="accent6"/>
              <w:bottom w:val="single" w:sz="4" w:space="0" w:color="EC8E92" w:themeColor="accent6"/>
            </w:tcBorders>
            <w:noWrap/>
            <w:hideMark/>
          </w:tcPr>
          <w:p w14:paraId="433B0AB0" w14:textId="0394ADF6"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13.290</w:t>
            </w:r>
          </w:p>
        </w:tc>
      </w:tr>
      <w:tr w:rsidR="00DB4245" w:rsidRPr="00DB4245" w14:paraId="05609A9B" w14:textId="77777777" w:rsidTr="00BE0B33">
        <w:trPr>
          <w:trHeight w:val="357"/>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ECECE" w:themeFill="accent5" w:themeFillShade="E6"/>
            <w:hideMark/>
          </w:tcPr>
          <w:p w14:paraId="1F2783C8" w14:textId="36C6CB5C" w:rsidR="00DB4245" w:rsidRPr="00DB4245" w:rsidRDefault="00DB4245" w:rsidP="00BE0B33">
            <w:pPr>
              <w:jc w:val="center"/>
              <w:rPr>
                <w:b/>
                <w:bCs/>
                <w:color w:val="auto"/>
              </w:rPr>
            </w:pPr>
            <w:r w:rsidRPr="00DB4245">
              <w:rPr>
                <w:b/>
                <w:bCs/>
                <w:color w:val="auto"/>
              </w:rPr>
              <w:t>Koprivničko- križevačka</w:t>
            </w:r>
          </w:p>
        </w:tc>
        <w:tc>
          <w:tcPr>
            <w:tcW w:w="2095" w:type="dxa"/>
            <w:tcBorders>
              <w:top w:val="single" w:sz="4" w:space="0" w:color="EC8E92" w:themeColor="accent6"/>
              <w:left w:val="single" w:sz="4" w:space="0" w:color="FFFFFF" w:themeColor="background1"/>
              <w:bottom w:val="single" w:sz="4" w:space="0" w:color="EC8E92" w:themeColor="accent6"/>
            </w:tcBorders>
            <w:noWrap/>
            <w:hideMark/>
          </w:tcPr>
          <w:p w14:paraId="49F74155" w14:textId="4B14F9EC"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92</w:t>
            </w:r>
          </w:p>
        </w:tc>
        <w:tc>
          <w:tcPr>
            <w:tcW w:w="1766" w:type="dxa"/>
            <w:tcBorders>
              <w:top w:val="single" w:sz="4" w:space="0" w:color="EC8E92" w:themeColor="accent6"/>
              <w:bottom w:val="single" w:sz="4" w:space="0" w:color="EC8E92" w:themeColor="accent6"/>
              <w:right w:val="single" w:sz="4" w:space="0" w:color="FFFFFF" w:themeColor="background1"/>
            </w:tcBorders>
            <w:noWrap/>
            <w:hideMark/>
          </w:tcPr>
          <w:p w14:paraId="2D924421" w14:textId="17BB8BB9"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533</w:t>
            </w:r>
          </w:p>
        </w:tc>
        <w:tc>
          <w:tcPr>
            <w:tcW w:w="1345" w:type="dxa"/>
            <w:tcBorders>
              <w:top w:val="single" w:sz="4" w:space="0" w:color="EC8E92" w:themeColor="accent6"/>
              <w:left w:val="single" w:sz="4" w:space="0" w:color="FFFFFF" w:themeColor="background1"/>
              <w:bottom w:val="single" w:sz="4" w:space="0" w:color="EC8E92" w:themeColor="accent6"/>
              <w:right w:val="single" w:sz="4" w:space="0" w:color="FFFFFF" w:themeColor="background1"/>
            </w:tcBorders>
            <w:noWrap/>
            <w:hideMark/>
          </w:tcPr>
          <w:p w14:paraId="5F4C6F31" w14:textId="4D31E5D1"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968</w:t>
            </w:r>
          </w:p>
        </w:tc>
        <w:tc>
          <w:tcPr>
            <w:tcW w:w="1840" w:type="dxa"/>
            <w:tcBorders>
              <w:top w:val="single" w:sz="4" w:space="0" w:color="EC8E92" w:themeColor="accent6"/>
              <w:left w:val="single" w:sz="4" w:space="0" w:color="FFFFFF" w:themeColor="background1"/>
              <w:bottom w:val="single" w:sz="4" w:space="0" w:color="EC8E92" w:themeColor="accent6"/>
            </w:tcBorders>
            <w:noWrap/>
            <w:hideMark/>
          </w:tcPr>
          <w:p w14:paraId="12529667" w14:textId="5E56FB27"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8.508</w:t>
            </w:r>
          </w:p>
        </w:tc>
      </w:tr>
      <w:tr w:rsidR="00DB4245" w:rsidRPr="00DB4245" w14:paraId="6526C1A2" w14:textId="77777777" w:rsidTr="00BE0B33">
        <w:trPr>
          <w:trHeight w:val="282"/>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CECECE" w:themeFill="accent5" w:themeFillShade="E6"/>
            <w:noWrap/>
            <w:hideMark/>
          </w:tcPr>
          <w:p w14:paraId="6617CDBA" w14:textId="2B969311" w:rsidR="00DB4245" w:rsidRPr="00DB4245" w:rsidRDefault="00DB4245" w:rsidP="00BE0B33">
            <w:pPr>
              <w:jc w:val="center"/>
              <w:rPr>
                <w:b/>
                <w:bCs/>
                <w:color w:val="auto"/>
              </w:rPr>
            </w:pPr>
            <w:r w:rsidRPr="00DB4245">
              <w:rPr>
                <w:b/>
                <w:bCs/>
                <w:color w:val="auto"/>
              </w:rPr>
              <w:t>Međimurska</w:t>
            </w:r>
          </w:p>
        </w:tc>
        <w:tc>
          <w:tcPr>
            <w:tcW w:w="2095" w:type="dxa"/>
            <w:tcBorders>
              <w:top w:val="single" w:sz="4" w:space="0" w:color="EC8E92" w:themeColor="accent6"/>
              <w:left w:val="single" w:sz="4" w:space="0" w:color="FFFFFF" w:themeColor="background1"/>
              <w:bottom w:val="single" w:sz="4" w:space="0" w:color="EC8E92" w:themeColor="accent6"/>
            </w:tcBorders>
            <w:noWrap/>
            <w:hideMark/>
          </w:tcPr>
          <w:p w14:paraId="3A3C32DC" w14:textId="45CC9C2D"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59</w:t>
            </w:r>
          </w:p>
        </w:tc>
        <w:tc>
          <w:tcPr>
            <w:tcW w:w="1766" w:type="dxa"/>
            <w:tcBorders>
              <w:top w:val="single" w:sz="4" w:space="0" w:color="EC8E92" w:themeColor="accent6"/>
              <w:bottom w:val="single" w:sz="4" w:space="0" w:color="EC8E92" w:themeColor="accent6"/>
            </w:tcBorders>
            <w:noWrap/>
            <w:hideMark/>
          </w:tcPr>
          <w:p w14:paraId="3277F70B" w14:textId="5A8BC31E"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580</w:t>
            </w:r>
          </w:p>
        </w:tc>
        <w:tc>
          <w:tcPr>
            <w:tcW w:w="1345" w:type="dxa"/>
            <w:tcBorders>
              <w:top w:val="single" w:sz="4" w:space="0" w:color="EC8E92" w:themeColor="accent6"/>
              <w:bottom w:val="single" w:sz="4" w:space="0" w:color="EC8E92" w:themeColor="accent6"/>
            </w:tcBorders>
            <w:noWrap/>
            <w:hideMark/>
          </w:tcPr>
          <w:p w14:paraId="3F4D21A9" w14:textId="0C4D97CE"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1.098</w:t>
            </w:r>
          </w:p>
        </w:tc>
        <w:tc>
          <w:tcPr>
            <w:tcW w:w="1840" w:type="dxa"/>
            <w:tcBorders>
              <w:top w:val="single" w:sz="4" w:space="0" w:color="EC8E92" w:themeColor="accent6"/>
              <w:bottom w:val="single" w:sz="4" w:space="0" w:color="EC8E92" w:themeColor="accent6"/>
            </w:tcBorders>
            <w:noWrap/>
            <w:hideMark/>
          </w:tcPr>
          <w:p w14:paraId="0D1120DF" w14:textId="489C2635" w:rsidR="00DB4245" w:rsidRPr="00DB4245" w:rsidRDefault="00780110" w:rsidP="00BE0B33">
            <w:pPr>
              <w:jc w:val="center"/>
              <w:cnfStyle w:val="000000000000" w:firstRow="0" w:lastRow="0" w:firstColumn="0" w:lastColumn="0" w:oddVBand="0" w:evenVBand="0" w:oddHBand="0" w:evenHBand="0" w:firstRowFirstColumn="0" w:firstRowLastColumn="0" w:lastRowFirstColumn="0" w:lastRowLastColumn="0"/>
            </w:pPr>
            <w:r>
              <w:t>9.278</w:t>
            </w:r>
          </w:p>
        </w:tc>
      </w:tr>
      <w:tr w:rsidR="00DB4245" w:rsidRPr="00DB4245" w14:paraId="4BBC98CF" w14:textId="77777777" w:rsidTr="00BE0B33">
        <w:trPr>
          <w:trHeight w:val="282"/>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FFFFFF" w:themeColor="background1"/>
            </w:tcBorders>
            <w:noWrap/>
            <w:hideMark/>
          </w:tcPr>
          <w:p w14:paraId="1ADF4DA7" w14:textId="77777777" w:rsidR="00DB4245" w:rsidRPr="00DB4245" w:rsidRDefault="00DB4245" w:rsidP="00BE0B33">
            <w:pPr>
              <w:jc w:val="center"/>
              <w:rPr>
                <w:color w:val="auto"/>
              </w:rPr>
            </w:pPr>
            <w:r w:rsidRPr="00DB4245">
              <w:rPr>
                <w:color w:val="auto"/>
              </w:rPr>
              <w:t>RH</w:t>
            </w:r>
          </w:p>
        </w:tc>
        <w:tc>
          <w:tcPr>
            <w:tcW w:w="2095" w:type="dxa"/>
            <w:tcBorders>
              <w:top w:val="single" w:sz="4" w:space="0" w:color="EC8E92" w:themeColor="accent6"/>
              <w:bottom w:val="single" w:sz="4" w:space="0" w:color="EC8E92" w:themeColor="accent6"/>
            </w:tcBorders>
            <w:noWrap/>
            <w:hideMark/>
          </w:tcPr>
          <w:p w14:paraId="03B2C56E" w14:textId="4D5192E9" w:rsidR="00DB4245" w:rsidRPr="00DB4245" w:rsidRDefault="00DB4245" w:rsidP="00BE0B33">
            <w:pPr>
              <w:jc w:val="center"/>
              <w:cnfStyle w:val="000000000000" w:firstRow="0" w:lastRow="0" w:firstColumn="0" w:lastColumn="0" w:oddVBand="0" w:evenVBand="0" w:oddHBand="0" w:evenHBand="0" w:firstRowFirstColumn="0" w:firstRowLastColumn="0" w:lastRowFirstColumn="0" w:lastRowLastColumn="0"/>
              <w:rPr>
                <w:color w:val="auto"/>
              </w:rPr>
            </w:pPr>
            <w:r w:rsidRPr="00DB4245">
              <w:rPr>
                <w:color w:val="auto"/>
              </w:rPr>
              <w:t>2</w:t>
            </w:r>
            <w:r w:rsidR="00BE0B33">
              <w:rPr>
                <w:color w:val="auto"/>
              </w:rPr>
              <w:t>.</w:t>
            </w:r>
            <w:r w:rsidRPr="00DB4245">
              <w:rPr>
                <w:color w:val="auto"/>
              </w:rPr>
              <w:t>103</w:t>
            </w:r>
          </w:p>
        </w:tc>
        <w:tc>
          <w:tcPr>
            <w:tcW w:w="1766" w:type="dxa"/>
            <w:tcBorders>
              <w:top w:val="single" w:sz="4" w:space="0" w:color="EC8E92" w:themeColor="accent6"/>
              <w:bottom w:val="single" w:sz="4" w:space="0" w:color="EC8E92" w:themeColor="accent6"/>
            </w:tcBorders>
            <w:noWrap/>
            <w:hideMark/>
          </w:tcPr>
          <w:p w14:paraId="7C4CC48E" w14:textId="4D7DE3EA" w:rsidR="00DB4245" w:rsidRPr="00DB4245" w:rsidRDefault="00DB4245" w:rsidP="00BE0B33">
            <w:pPr>
              <w:jc w:val="center"/>
              <w:cnfStyle w:val="000000000000" w:firstRow="0" w:lastRow="0" w:firstColumn="0" w:lastColumn="0" w:oddVBand="0" w:evenVBand="0" w:oddHBand="0" w:evenHBand="0" w:firstRowFirstColumn="0" w:firstRowLastColumn="0" w:lastRowFirstColumn="0" w:lastRowLastColumn="0"/>
              <w:rPr>
                <w:color w:val="auto"/>
              </w:rPr>
            </w:pPr>
            <w:r w:rsidRPr="00DB4245">
              <w:rPr>
                <w:color w:val="auto"/>
              </w:rPr>
              <w:t>18</w:t>
            </w:r>
            <w:r w:rsidR="00BE0B33">
              <w:rPr>
                <w:color w:val="auto"/>
              </w:rPr>
              <w:t>.</w:t>
            </w:r>
            <w:r w:rsidRPr="00DB4245">
              <w:rPr>
                <w:color w:val="auto"/>
              </w:rPr>
              <w:t>403</w:t>
            </w:r>
          </w:p>
        </w:tc>
        <w:tc>
          <w:tcPr>
            <w:tcW w:w="1345" w:type="dxa"/>
            <w:tcBorders>
              <w:top w:val="single" w:sz="4" w:space="0" w:color="EC8E92" w:themeColor="accent6"/>
              <w:bottom w:val="single" w:sz="4" w:space="0" w:color="EC8E92" w:themeColor="accent6"/>
            </w:tcBorders>
            <w:noWrap/>
            <w:hideMark/>
          </w:tcPr>
          <w:p w14:paraId="281D7340" w14:textId="719D57BB" w:rsidR="00DB4245" w:rsidRPr="00DB4245" w:rsidRDefault="00DB4245" w:rsidP="00BE0B33">
            <w:pPr>
              <w:jc w:val="center"/>
              <w:cnfStyle w:val="000000000000" w:firstRow="0" w:lastRow="0" w:firstColumn="0" w:lastColumn="0" w:oddVBand="0" w:evenVBand="0" w:oddHBand="0" w:evenHBand="0" w:firstRowFirstColumn="0" w:firstRowLastColumn="0" w:lastRowFirstColumn="0" w:lastRowLastColumn="0"/>
              <w:rPr>
                <w:color w:val="auto"/>
              </w:rPr>
            </w:pPr>
            <w:r w:rsidRPr="00DB4245">
              <w:rPr>
                <w:color w:val="auto"/>
              </w:rPr>
              <w:t>35</w:t>
            </w:r>
            <w:r w:rsidR="00BE0B33">
              <w:rPr>
                <w:color w:val="auto"/>
              </w:rPr>
              <w:t>.</w:t>
            </w:r>
            <w:r w:rsidRPr="00DB4245">
              <w:rPr>
                <w:color w:val="auto"/>
              </w:rPr>
              <w:t>043</w:t>
            </w:r>
          </w:p>
        </w:tc>
        <w:tc>
          <w:tcPr>
            <w:tcW w:w="1840" w:type="dxa"/>
            <w:tcBorders>
              <w:top w:val="single" w:sz="4" w:space="0" w:color="EC8E92" w:themeColor="accent6"/>
              <w:bottom w:val="single" w:sz="4" w:space="0" w:color="EC8E92" w:themeColor="accent6"/>
            </w:tcBorders>
            <w:noWrap/>
            <w:hideMark/>
          </w:tcPr>
          <w:p w14:paraId="0CDB14E0" w14:textId="3C3B84F7" w:rsidR="00DB4245" w:rsidRPr="00DB4245" w:rsidRDefault="00DB4245" w:rsidP="00BE0B33">
            <w:pPr>
              <w:jc w:val="center"/>
              <w:cnfStyle w:val="000000000000" w:firstRow="0" w:lastRow="0" w:firstColumn="0" w:lastColumn="0" w:oddVBand="0" w:evenVBand="0" w:oddHBand="0" w:evenHBand="0" w:firstRowFirstColumn="0" w:firstRowLastColumn="0" w:lastRowFirstColumn="0" w:lastRowLastColumn="0"/>
              <w:rPr>
                <w:color w:val="auto"/>
              </w:rPr>
            </w:pPr>
            <w:r w:rsidRPr="00DB4245">
              <w:rPr>
                <w:color w:val="auto"/>
              </w:rPr>
              <w:t>314</w:t>
            </w:r>
            <w:r w:rsidR="00BE0B33">
              <w:rPr>
                <w:color w:val="auto"/>
              </w:rPr>
              <w:t>.</w:t>
            </w:r>
            <w:r w:rsidRPr="00DB4245">
              <w:rPr>
                <w:color w:val="auto"/>
              </w:rPr>
              <w:t>148</w:t>
            </w:r>
          </w:p>
        </w:tc>
      </w:tr>
    </w:tbl>
    <w:p w14:paraId="5D2A5E17" w14:textId="76C097D6" w:rsidR="005F7B35" w:rsidRPr="006B5411" w:rsidRDefault="00BE0B33" w:rsidP="003C2276">
      <w:pPr>
        <w:pStyle w:val="Izvor"/>
        <w:rPr>
          <w:i/>
          <w:color w:val="ABABAB" w:themeColor="text1" w:themeTint="A6"/>
          <w:sz w:val="16"/>
          <w:szCs w:val="16"/>
        </w:rPr>
      </w:pPr>
      <w:r w:rsidRPr="006B5411">
        <w:rPr>
          <w:i/>
          <w:color w:val="ABABAB" w:themeColor="text1" w:themeTint="A6"/>
          <w:sz w:val="16"/>
          <w:szCs w:val="16"/>
        </w:rPr>
        <w:t>Izvor: Osnovne škole kraj šk. god 2018./2019. i početak školske godine 2019./2020., DZS</w:t>
      </w:r>
    </w:p>
    <w:p w14:paraId="558DECCB" w14:textId="77777777" w:rsidR="005F78CB" w:rsidRDefault="005F78CB" w:rsidP="00855D8D">
      <w:pPr>
        <w:pStyle w:val="Izvor"/>
      </w:pPr>
    </w:p>
    <w:p w14:paraId="6922EE65" w14:textId="2E69E225" w:rsidR="008878A0" w:rsidRDefault="008878A0" w:rsidP="00941871">
      <w:r>
        <w:t>Krapinsko-zagorska županija veliku pozornost pridaje djeci koja imaju posebne odgojno-obrazovne potrebe, kako djeci s poteškoćama, tako i darovitoj djeci. S ciljem poboljšanja uvjeta školovanja darovite djece osnovana je Radna skupina za podršku darovitim učenicima Krapinsko-zagorske županije „Futura“ koju sačinjavaju odgojno-obrazovni djelatnici koji kroz informiranje javnosti i organizaciju radionica za darovite učenike rade na unapređenju podrške te promicanju prava i potreba darovitih učenika Krapinsko-zagorske županije.</w:t>
      </w:r>
      <w:r w:rsidR="000B11FB">
        <w:t xml:space="preserve"> Članovi radne skupine sastaju se više puta godišnje te donose plan aktivnosti rada za poticanje darovitosti kod djece za svaku školsku godinu te su tako početkom 2020. godine dogovorene </w:t>
      </w:r>
      <w:r w:rsidR="000B11FB" w:rsidRPr="000B11FB">
        <w:t xml:space="preserve">nove aktivnosti koje bi se planirale u sljedećoj školskog godini 2020./2021., kao što je kontinuirano održavanje radionica subotom iz različitih područja u školama koje su bile partneri </w:t>
      </w:r>
      <w:r w:rsidR="000B11FB">
        <w:t xml:space="preserve">u sklopu </w:t>
      </w:r>
      <w:r w:rsidR="000B11FB" w:rsidRPr="000B11FB">
        <w:t>projekt</w:t>
      </w:r>
      <w:r w:rsidR="000B11FB">
        <w:t>a</w:t>
      </w:r>
      <w:r w:rsidR="000B11FB" w:rsidRPr="000B11FB">
        <w:t xml:space="preserve"> Lumen i u okviru kojeg su se educirale i specijalizirale za određena područja</w:t>
      </w:r>
      <w:r w:rsidR="000B11FB">
        <w:t xml:space="preserve"> definirana s ciljem</w:t>
      </w:r>
      <w:r w:rsidR="000B11FB" w:rsidRPr="000B11FB">
        <w:t xml:space="preserve"> prepoznavanj</w:t>
      </w:r>
      <w:r w:rsidR="000B11FB">
        <w:t>a</w:t>
      </w:r>
      <w:r w:rsidR="000B11FB" w:rsidRPr="000B11FB">
        <w:t xml:space="preserve"> i usmjeravanj</w:t>
      </w:r>
      <w:r w:rsidR="000B11FB">
        <w:t>a</w:t>
      </w:r>
      <w:r w:rsidR="000B11FB" w:rsidRPr="000B11FB">
        <w:t xml:space="preserve"> darovit</w:t>
      </w:r>
      <w:r w:rsidR="000B11FB">
        <w:t xml:space="preserve">osti </w:t>
      </w:r>
      <w:r w:rsidR="000B11FB" w:rsidRPr="000B11FB">
        <w:t>učenika</w:t>
      </w:r>
      <w:r w:rsidR="000B11FB">
        <w:t>.</w:t>
      </w:r>
    </w:p>
    <w:p w14:paraId="7A122DF8" w14:textId="024316AD" w:rsidR="007E3DE9" w:rsidRDefault="007E3DE9" w:rsidP="007E3DE9">
      <w:r>
        <w:t>U sklopu projekta „LUMEN“ sufinanciranim iz Europskog socijalnog fonda, čiji je nositelj Krapinsko-zagorska županija, održane su edukacije o prepoznavanju i usmjeravanju darovitih učenika</w:t>
      </w:r>
      <w:r w:rsidR="00F13917">
        <w:t xml:space="preserve"> za </w:t>
      </w:r>
      <w:r w:rsidR="00F13917" w:rsidRPr="00F13917">
        <w:t>više od 400 nastavnika, stručnih suradnika i predstavnika institucija</w:t>
      </w:r>
      <w:r w:rsidR="00F13917">
        <w:t xml:space="preserve">. </w:t>
      </w:r>
      <w:r w:rsidR="00F13917" w:rsidRPr="00F13917">
        <w:t>Edukacije su bile usmjerene na upoznavanje novih metoda, strategija i alata za prepoznavanje darovitosti, načina uvođenja novih pristupa u postojeću praksu, te praćenje i evaluacija darovitih učenika.</w:t>
      </w:r>
      <w:r w:rsidR="00B73622">
        <w:t xml:space="preserve"> </w:t>
      </w:r>
      <w:r>
        <w:t xml:space="preserve">Pružena je podrška nastavnicima, profesorima i stručnim suradnicima osnovnih i srednjih škola koji su u okviru pet tematskih područja (društveno-humanističko-jezično, matematičko-informatičko-tehničko, umjetničko, prirodoslovlje te razredna nastava i stručni suradnici) stekli nova znanja i vještine te razvili inovativne sadržaje </w:t>
      </w:r>
      <w:r w:rsidR="00F60177">
        <w:t>za rad</w:t>
      </w:r>
      <w:r>
        <w:t xml:space="preserve"> s darovitim učenicima</w:t>
      </w:r>
      <w:r w:rsidR="00C7437E">
        <w:t xml:space="preserve">. Edukacije </w:t>
      </w:r>
      <w:r>
        <w:t>su proveden</w:t>
      </w:r>
      <w:r w:rsidR="00C7437E">
        <w:t>e</w:t>
      </w:r>
      <w:r>
        <w:t xml:space="preserve"> u radu s ukupno 160 učenika u 9 škola na području Krapinsko-zagorske županije koje po završetku projekta (lipanj 2019. godine) postaju Centar izvrsnosti.</w:t>
      </w:r>
      <w:r w:rsidR="000B11FB">
        <w:t xml:space="preserve"> Osim edukacija sa djecom </w:t>
      </w:r>
      <w:r w:rsidR="000B11FB" w:rsidRPr="000B11FB">
        <w:t>kroz projekt Lumen educiralo</w:t>
      </w:r>
      <w:r w:rsidR="000B11FB">
        <w:t xml:space="preserve"> se</w:t>
      </w:r>
      <w:r w:rsidR="000B11FB" w:rsidRPr="000B11FB">
        <w:t xml:space="preserve"> iz područja poticanja darovitosti velik broj odgojno obrazovnih djelatnica i djelatnika</w:t>
      </w:r>
      <w:r w:rsidR="000B11FB">
        <w:t>. N</w:t>
      </w:r>
      <w:r w:rsidR="000B11FB" w:rsidRPr="000B11FB">
        <w:t xml:space="preserve">astali </w:t>
      </w:r>
      <w:r w:rsidR="000B11FB">
        <w:t xml:space="preserve">su </w:t>
      </w:r>
      <w:r w:rsidR="000B11FB" w:rsidRPr="000B11FB">
        <w:t>programi poticanja darovitost</w:t>
      </w:r>
      <w:r w:rsidR="000B11FB">
        <w:t xml:space="preserve">i </w:t>
      </w:r>
      <w:r w:rsidR="000B11FB" w:rsidRPr="000B11FB">
        <w:t>iz matematičko-informatičko, umjetničkog, prirodoslovnog i društveno-humanističkog područja koji se mogu preuzeti na web platformi</w:t>
      </w:r>
      <w:r w:rsidR="000B11FB" w:rsidRPr="000B11FB">
        <w:rPr>
          <w:rFonts w:ascii="Calibri" w:hAnsi="Calibri" w:cs="Calibri"/>
        </w:rPr>
        <w:t> </w:t>
      </w:r>
      <w:hyperlink r:id="rId54" w:history="1">
        <w:r w:rsidR="000B11FB" w:rsidRPr="000B11FB">
          <w:rPr>
            <w:rStyle w:val="Hiperveza"/>
          </w:rPr>
          <w:t>https://kzz-lumen.net/</w:t>
        </w:r>
      </w:hyperlink>
      <w:r w:rsidR="000B11FB" w:rsidRPr="000B11FB">
        <w:rPr>
          <w:rFonts w:ascii="Calibri" w:hAnsi="Calibri" w:cs="Calibri"/>
        </w:rPr>
        <w:t> </w:t>
      </w:r>
      <w:r w:rsidR="000B11FB" w:rsidRPr="000B11FB">
        <w:t>)</w:t>
      </w:r>
      <w:r w:rsidR="000B11FB">
        <w:t xml:space="preserve">. Programi se </w:t>
      </w:r>
      <w:r w:rsidR="000B11FB" w:rsidRPr="000B11FB">
        <w:t xml:space="preserve">koriste u </w:t>
      </w:r>
      <w:r w:rsidR="000B11FB" w:rsidRPr="000B11FB">
        <w:rPr>
          <w:rFonts w:cs="Newslab"/>
        </w:rPr>
        <w:t>š</w:t>
      </w:r>
      <w:r w:rsidR="000B11FB" w:rsidRPr="000B11FB">
        <w:t xml:space="preserve">kolama i </w:t>
      </w:r>
      <w:r w:rsidR="000B11FB">
        <w:t xml:space="preserve">zahvaljujući projektu sve više škola </w:t>
      </w:r>
      <w:r w:rsidR="000B11FB" w:rsidRPr="000B11FB">
        <w:t>prepozna</w:t>
      </w:r>
      <w:r w:rsidR="000B11FB">
        <w:t>je</w:t>
      </w:r>
      <w:r w:rsidR="000B11FB" w:rsidRPr="000B11FB">
        <w:t xml:space="preserve"> potrebu kontinuiranog rada s darovitom djecom.</w:t>
      </w:r>
    </w:p>
    <w:p w14:paraId="0C3ADE0B" w14:textId="2EBD7F4C" w:rsidR="00453C3C" w:rsidRDefault="007E3DE9" w:rsidP="007E3DE9">
      <w:r>
        <w:t xml:space="preserve">Učenici s teškoćama </w:t>
      </w:r>
      <w:r w:rsidR="00A8442C">
        <w:t xml:space="preserve">u razvoju </w:t>
      </w:r>
      <w:r>
        <w:t>u redovnom se obrazovanju prate kroz prilagođene nastavne programe i kroz osiguravanje pomoćnika u nastavi.</w:t>
      </w:r>
      <w:r w:rsidR="00A76151">
        <w:t xml:space="preserve"> </w:t>
      </w:r>
      <w:r>
        <w:t>Program pomoćnika u nastavi sufinancira se putem javnih radova (mjera Hrvatskog zavoda za zapošljavanje) ili putem udruga (Ministarstvo znanosti i obrazovanja) te iz sredstava ESF-a kroz projekt „Baltazar 4“ čiji je nositelj Krapinsko-zagorska županija. Projektom „Baltazar 4“ osigurana je potrebna podrška za ukupno 60 učenika s teškoćama u razvoju putem zapošljavanja 60 pomoćnika u nastavi u osnovnim i srednjim školama županije u razdoblju od šk. god. 2017/2018. do 2020/2021. godine.</w:t>
      </w:r>
      <w:r w:rsidR="00925180">
        <w:t xml:space="preserve"> </w:t>
      </w:r>
      <w:r w:rsidR="00925180" w:rsidRPr="00925180">
        <w:t>U školskoj godini 2020./2021. 101 pomoćnik u nastavi pruža</w:t>
      </w:r>
      <w:r w:rsidR="003355DE">
        <w:t>o je</w:t>
      </w:r>
      <w:r w:rsidR="00925180" w:rsidRPr="00925180">
        <w:t xml:space="preserve"> podršku</w:t>
      </w:r>
      <w:r w:rsidR="00925180">
        <w:t xml:space="preserve"> u obrazovanju</w:t>
      </w:r>
      <w:r w:rsidR="00925180" w:rsidRPr="00925180">
        <w:t xml:space="preserve"> učenicima s teškoćama</w:t>
      </w:r>
      <w:r w:rsidR="00874E18">
        <w:t xml:space="preserve"> u razvoju</w:t>
      </w:r>
      <w:r w:rsidR="00925180" w:rsidRPr="00925180">
        <w:t xml:space="preserve"> u osnovnim školama na području Krapinsko- zagorske županije.</w:t>
      </w:r>
    </w:p>
    <w:p w14:paraId="36C943FA" w14:textId="77777777" w:rsidR="00180174" w:rsidRDefault="00180174" w:rsidP="007E3DE9"/>
    <w:p w14:paraId="55343B71" w14:textId="7CCD6574" w:rsidR="00445C71" w:rsidRPr="00445C71" w:rsidRDefault="008878A0" w:rsidP="003E3F3C">
      <w:pPr>
        <w:pStyle w:val="Opisslike"/>
      </w:pPr>
      <w:r>
        <w:lastRenderedPageBreak/>
        <w:t xml:space="preserve">Grafikon </w:t>
      </w:r>
      <w:r w:rsidR="00151FD4">
        <w:t>2</w:t>
      </w:r>
      <w:r w:rsidR="00A668BF">
        <w:t>3</w:t>
      </w:r>
      <w:r w:rsidR="00825CD8">
        <w:t>.</w:t>
      </w:r>
      <w:r>
        <w:t xml:space="preserve"> </w:t>
      </w:r>
      <w:r w:rsidR="00445C71">
        <w:t>Kretanje b</w:t>
      </w:r>
      <w:r>
        <w:t>roj</w:t>
      </w:r>
      <w:r w:rsidR="00445C71">
        <w:t>a</w:t>
      </w:r>
      <w:r w:rsidR="00453C3C">
        <w:t xml:space="preserve"> </w:t>
      </w:r>
      <w:r>
        <w:t>pomoćnika u nastavi za učenike s teškoćama</w:t>
      </w:r>
      <w:r w:rsidR="00C04B1E">
        <w:t xml:space="preserve"> u razvoju</w:t>
      </w:r>
      <w:r w:rsidR="00445C71">
        <w:t xml:space="preserve"> u osnovnim školama</w:t>
      </w:r>
    </w:p>
    <w:p w14:paraId="4AEFBFB6" w14:textId="2424F233" w:rsidR="00445C71" w:rsidRPr="007C4E2E" w:rsidRDefault="00445C71" w:rsidP="00151FD4">
      <w:pPr>
        <w:pStyle w:val="Izvor"/>
        <w:spacing w:after="0"/>
        <w:rPr>
          <w:i/>
          <w:color w:val="ABABAB" w:themeColor="text1" w:themeTint="A6"/>
          <w:sz w:val="16"/>
          <w:szCs w:val="16"/>
        </w:rPr>
      </w:pPr>
      <w:r w:rsidRPr="007C4E2E">
        <w:rPr>
          <w:i/>
          <w:noProof/>
          <w:color w:val="ABABAB" w:themeColor="text1" w:themeTint="A6"/>
          <w:sz w:val="16"/>
          <w:szCs w:val="16"/>
        </w:rPr>
        <w:drawing>
          <wp:inline distT="0" distB="0" distL="0" distR="0" wp14:anchorId="4926FCFB" wp14:editId="10793C09">
            <wp:extent cx="5969000" cy="2698750"/>
            <wp:effectExtent l="0" t="0" r="12700" b="6350"/>
            <wp:docPr id="233" name="Grafikon 233">
              <a:extLst xmlns:a="http://schemas.openxmlformats.org/drawingml/2006/main">
                <a:ext uri="{FF2B5EF4-FFF2-40B4-BE49-F238E27FC236}">
                  <a16:creationId xmlns:a16="http://schemas.microsoft.com/office/drawing/2014/main" id="{7918E92F-96A1-498C-975E-15B0ACB270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D8F8D11" w14:textId="1E405DFE" w:rsidR="00445C71" w:rsidRPr="007C4E2E" w:rsidRDefault="00445C71" w:rsidP="00151FD4">
      <w:pPr>
        <w:pStyle w:val="Izvor"/>
        <w:spacing w:after="0"/>
        <w:rPr>
          <w:i/>
          <w:color w:val="ABABAB" w:themeColor="text1" w:themeTint="A6"/>
          <w:sz w:val="16"/>
          <w:szCs w:val="16"/>
        </w:rPr>
      </w:pPr>
      <w:bookmarkStart w:id="115" w:name="_Hlk62212146"/>
      <w:r w:rsidRPr="007C4E2E">
        <w:rPr>
          <w:i/>
          <w:color w:val="ABABAB" w:themeColor="text1" w:themeTint="A6"/>
          <w:sz w:val="16"/>
          <w:szCs w:val="16"/>
        </w:rPr>
        <w:t>Izvor: Upravni odjel za obrazovanje, kulturu, šport i tehničku kulturu, 2021</w:t>
      </w:r>
    </w:p>
    <w:bookmarkEnd w:id="115"/>
    <w:p w14:paraId="312B3F7D" w14:textId="51816CC8" w:rsidR="008878A0" w:rsidRDefault="008878A0" w:rsidP="00941871">
      <w:pPr>
        <w:rPr>
          <w:sz w:val="22"/>
          <w:szCs w:val="22"/>
        </w:rPr>
      </w:pPr>
    </w:p>
    <w:p w14:paraId="6D370A4C" w14:textId="2416B585" w:rsidR="00D237C8" w:rsidRPr="007C4E2E" w:rsidRDefault="00305976" w:rsidP="00941871">
      <w:pPr>
        <w:rPr>
          <w:iCs/>
        </w:rPr>
      </w:pPr>
      <w:r>
        <w:rPr>
          <w:iCs/>
        </w:rPr>
        <w:t xml:space="preserve">Učenicima osnovnih škola omogućeno je uključivanje u izvanškolske aktivnosti s naglaskom na razvoj ključnih kompetencija te građanskog odgoja i obrazovanja. </w:t>
      </w:r>
      <w:r w:rsidRPr="00305976">
        <w:rPr>
          <w:iCs/>
        </w:rPr>
        <w:t>Građanski odgoj i obrazovanje u Krapinsko–zagorskoj županiji do šk. god. 2019./20</w:t>
      </w:r>
      <w:r>
        <w:rPr>
          <w:iCs/>
        </w:rPr>
        <w:t xml:space="preserve">20. </w:t>
      </w:r>
      <w:r w:rsidRPr="00305976">
        <w:rPr>
          <w:iCs/>
        </w:rPr>
        <w:t xml:space="preserve">provodio </w:t>
      </w:r>
      <w:r>
        <w:rPr>
          <w:iCs/>
        </w:rPr>
        <w:t xml:space="preserve">se </w:t>
      </w:r>
      <w:r w:rsidRPr="00305976">
        <w:rPr>
          <w:iCs/>
        </w:rPr>
        <w:t>parcijalno</w:t>
      </w:r>
      <w:r>
        <w:rPr>
          <w:iCs/>
        </w:rPr>
        <w:t xml:space="preserve">, </w:t>
      </w:r>
      <w:r w:rsidRPr="00305976">
        <w:rPr>
          <w:iCs/>
        </w:rPr>
        <w:t>po</w:t>
      </w:r>
      <w:r>
        <w:rPr>
          <w:iCs/>
        </w:rPr>
        <w:t>č</w:t>
      </w:r>
      <w:r w:rsidRPr="00305976">
        <w:rPr>
          <w:iCs/>
        </w:rPr>
        <w:t>eci sežu još u 1999. godinu, kad je donesen Nacionalni program odgoja i obrazovanja za ljudska prava</w:t>
      </w:r>
      <w:r>
        <w:rPr>
          <w:iCs/>
        </w:rPr>
        <w:t>. O</w:t>
      </w:r>
      <w:r w:rsidRPr="00305976">
        <w:rPr>
          <w:iCs/>
        </w:rPr>
        <w:t>d 2005. godine učitelji i srednjoškolski profesori zagorskih škola bili su uključeni u edukacije i određene aktivnosti u suradnji s Agencijom za odgoj i obrazovanje</w:t>
      </w:r>
      <w:r w:rsidR="00FA7F91">
        <w:rPr>
          <w:iCs/>
        </w:rPr>
        <w:t>. N</w:t>
      </w:r>
      <w:r w:rsidRPr="00305976">
        <w:rPr>
          <w:iCs/>
        </w:rPr>
        <w:t xml:space="preserve">iz godina se provodi Projekt građanin te </w:t>
      </w:r>
      <w:r w:rsidR="00FA7F91">
        <w:rPr>
          <w:iCs/>
        </w:rPr>
        <w:t xml:space="preserve">se </w:t>
      </w:r>
      <w:r w:rsidRPr="00305976">
        <w:rPr>
          <w:iCs/>
        </w:rPr>
        <w:t>od 2005. godine prijavlj</w:t>
      </w:r>
      <w:r w:rsidR="00FA7F91">
        <w:rPr>
          <w:iCs/>
        </w:rPr>
        <w:t xml:space="preserve">uju i </w:t>
      </w:r>
      <w:r w:rsidRPr="00305976">
        <w:rPr>
          <w:iCs/>
        </w:rPr>
        <w:t xml:space="preserve">projekti učenika škola </w:t>
      </w:r>
      <w:r w:rsidR="00FA7F91">
        <w:rPr>
          <w:iCs/>
        </w:rPr>
        <w:t xml:space="preserve">sa područja županije </w:t>
      </w:r>
      <w:r w:rsidRPr="00305976">
        <w:rPr>
          <w:iCs/>
        </w:rPr>
        <w:t>za državne smotre</w:t>
      </w:r>
      <w:r w:rsidR="00FA7F91">
        <w:rPr>
          <w:iCs/>
        </w:rPr>
        <w:t xml:space="preserve">. Krapinsko- zagorska županija je </w:t>
      </w:r>
      <w:r w:rsidRPr="00305976">
        <w:rPr>
          <w:iCs/>
        </w:rPr>
        <w:t>među prve tri županije koja kontinuirano provodi županijske smotre projekata od 2008. godine, a koja se u školama provodi kroz module, kao obvezna međupredmetna tema te kao izvannastavna i izvanškolska aktivnost</w:t>
      </w:r>
      <w:r w:rsidR="00FA7F91">
        <w:rPr>
          <w:iCs/>
        </w:rPr>
        <w:t>. O</w:t>
      </w:r>
      <w:r w:rsidRPr="00305976">
        <w:rPr>
          <w:iCs/>
        </w:rPr>
        <w:t xml:space="preserve">d školske godine 2019./2020. temeljem ovakvog modela Građanski odgoj uveden je u 30 škola </w:t>
      </w:r>
      <w:r w:rsidR="00334D5E">
        <w:rPr>
          <w:iCs/>
        </w:rPr>
        <w:t xml:space="preserve">na području županije </w:t>
      </w:r>
      <w:r w:rsidRPr="00305976">
        <w:rPr>
          <w:iCs/>
        </w:rPr>
        <w:t xml:space="preserve">kao izvanškolska aktivnost, u kojoj sudjeluje preko 380 učenika </w:t>
      </w:r>
    </w:p>
    <w:p w14:paraId="22EEA81B" w14:textId="24726DA7" w:rsidR="005A4AB2" w:rsidRDefault="005A4AB2" w:rsidP="005A4AB2">
      <w:r>
        <w:t xml:space="preserve">Krapinsko-zagorska županija zajedno sa svojim općinama i gradovima financira nabavu radnih bilježnica za </w:t>
      </w:r>
      <w:r w:rsidR="004E4E19">
        <w:t xml:space="preserve">obvezne i izborne predmete </w:t>
      </w:r>
      <w:r>
        <w:t>za učenike osnovnih škola. Za šk. god. 2019./2020. financijska sredstva za nabavu udžbenika su odlukom Ministarstva znanosti i obrazovanja RH, sukladno Zakonu o udžbenicima i drugim obrazovnim materijalima za osnovnu i srednju školu NN 1146/18, čl. 10., st.6. osigurana u Državnom proračunu. Udžbenike za obvezne i izborne predmete nabavljaju škole pa su udžbenici njihovo vlasništvo, a predaju se učenicima na korištenje.</w:t>
      </w:r>
    </w:p>
    <w:p w14:paraId="7FB86FD6" w14:textId="38B3E688" w:rsidR="005A4AB2" w:rsidRDefault="005A4AB2" w:rsidP="005A4AB2">
      <w:r>
        <w:t>S obzirom na tendencije informatizacije školskog sustava Republike Hrvatske, Hrvatska akademska i istraživačka mreža – CARNET, u razdoblju od 2015. do 2018. godine, započela je s provedbom pilot projekta „e-škole: Uspostava sustava razvoja digitalno zrelih škola“ u kojoj je sudjelovalo šest osnovnih i dvije srednje škole s područja Krapinsko-zagorske županije. Na temelju iskustava i rezultata pilot projekta CARNET je u rujnu 2018. godine započeo s provedbom druge faze programa „e-Škole: Razvoj sustava digitalno zrelih škola (II. faza)” kojom će se digitalno transformirati nastavni i poslovni procesi u svim školama u Republici Hrvatskoj financiranim iz državnoga proračuna.</w:t>
      </w:r>
    </w:p>
    <w:p w14:paraId="0F1D504C" w14:textId="77777777" w:rsidR="007C4E2E" w:rsidRDefault="008878A0" w:rsidP="00941871">
      <w:r>
        <w:t>Iako je napredak u digitalizaciji obrazovanja vidljiv još uvijek postoji problem nedostatka adekvatne infrastrukture, opreme i ljudskih resursa za provođenje nastave u većini područnih škola, dok je situacija u matičnim školama nešto bolja. U 2019. godine završen</w:t>
      </w:r>
      <w:r w:rsidR="00985648">
        <w:t>a je</w:t>
      </w:r>
      <w:r>
        <w:t xml:space="preserve"> energetsk</w:t>
      </w:r>
      <w:r w:rsidR="00985648">
        <w:t>a</w:t>
      </w:r>
      <w:r>
        <w:t xml:space="preserve"> obnov</w:t>
      </w:r>
      <w:r w:rsidR="00985648">
        <w:t>a</w:t>
      </w:r>
      <w:r>
        <w:t xml:space="preserve"> Osnovne škole Janka Leskovara u Pregradi, Osnovne škole Viktora Kovačića u Humu na Sutli, te Osnovne škole Ksavera Šandora Gjalskog u Zaboku.</w:t>
      </w:r>
      <w:r w:rsidR="00C30729">
        <w:t xml:space="preserve"> </w:t>
      </w:r>
      <w:r w:rsidR="00985648">
        <w:t>E</w:t>
      </w:r>
      <w:r>
        <w:t>nergetsk</w:t>
      </w:r>
      <w:r w:rsidR="00985648">
        <w:t xml:space="preserve">i se obnavljaju i </w:t>
      </w:r>
      <w:r>
        <w:t>Osnovn</w:t>
      </w:r>
      <w:r w:rsidR="00985648">
        <w:t>a</w:t>
      </w:r>
      <w:r>
        <w:t xml:space="preserve"> škol</w:t>
      </w:r>
      <w:r w:rsidR="00985648">
        <w:t>a</w:t>
      </w:r>
      <w:r>
        <w:t xml:space="preserve"> Mače, Osnovn</w:t>
      </w:r>
      <w:r w:rsidR="00985648">
        <w:t>a</w:t>
      </w:r>
      <w:r>
        <w:t xml:space="preserve"> škol</w:t>
      </w:r>
      <w:r w:rsidR="00985648">
        <w:t>a</w:t>
      </w:r>
      <w:r>
        <w:t xml:space="preserve"> Matije Gupca u Gornjoj Stubici, Osnovn</w:t>
      </w:r>
      <w:r w:rsidR="00985648">
        <w:t>a</w:t>
      </w:r>
      <w:r>
        <w:t xml:space="preserve"> škol</w:t>
      </w:r>
      <w:r w:rsidR="00985648">
        <w:t>a</w:t>
      </w:r>
      <w:r>
        <w:t xml:space="preserve"> Josipa Broza u Kumrovcu, te Osnovn</w:t>
      </w:r>
      <w:r w:rsidR="00985648">
        <w:t>a</w:t>
      </w:r>
      <w:r>
        <w:t xml:space="preserve"> škol</w:t>
      </w:r>
      <w:r w:rsidR="00985648">
        <w:t>a</w:t>
      </w:r>
      <w:r>
        <w:t xml:space="preserve"> Đurmanec. </w:t>
      </w:r>
      <w:r w:rsidR="00C26B1C">
        <w:t xml:space="preserve">Planira se </w:t>
      </w:r>
      <w:r>
        <w:t xml:space="preserve">i energetska obnova osnovne i srednje škole u Konjščini </w:t>
      </w:r>
      <w:r w:rsidR="00985648">
        <w:t>i</w:t>
      </w:r>
      <w:r>
        <w:t xml:space="preserve"> srednje škole u Bedekovčini. Zbog velikog broja učenika u 21 od 34 matične osnovne škole nastava se provodi u dvije smjene koje se rotiraju</w:t>
      </w:r>
      <w:r w:rsidR="00543015">
        <w:t xml:space="preserve">. </w:t>
      </w:r>
    </w:p>
    <w:p w14:paraId="2B8E5FCA" w14:textId="2E97FF85" w:rsidR="008A219B" w:rsidRDefault="00543015" w:rsidP="00941871">
      <w:r>
        <w:t xml:space="preserve">U školskoj godini 2020./2021. </w:t>
      </w:r>
      <w:r w:rsidR="008878A0" w:rsidRPr="00D237C8">
        <w:t xml:space="preserve">samo </w:t>
      </w:r>
      <w:r w:rsidRPr="00D237C8">
        <w:t>7</w:t>
      </w:r>
      <w:r w:rsidR="008878A0" w:rsidRPr="00D237C8">
        <w:t xml:space="preserve"> osnovnih škola </w:t>
      </w:r>
      <w:r w:rsidR="008878A0" w:rsidRPr="00543015">
        <w:t>imalo je osiguran program produženog boravka.</w:t>
      </w:r>
      <w:r w:rsidR="008878A0">
        <w:t xml:space="preserve"> </w:t>
      </w:r>
      <w:r w:rsidRPr="00543015">
        <w:t>Produženi boravak je posebni oblik odgojno-obrazovnoga rada koji se organizira za učenike izvan redovite nastave. Može se izvoditi i u vrijeme odmora za učenike, što se propisuje školskim kurikulumom i godišnjim planom i programom</w:t>
      </w:r>
      <w:r>
        <w:t xml:space="preserve">. </w:t>
      </w:r>
    </w:p>
    <w:p w14:paraId="183258A7" w14:textId="77777777" w:rsidR="00151FD4" w:rsidRDefault="00151FD4" w:rsidP="00941871"/>
    <w:p w14:paraId="237255D0" w14:textId="5B565412" w:rsidR="00B62A4C" w:rsidRPr="00B62A4C" w:rsidRDefault="00B62A4C" w:rsidP="003E3F3C">
      <w:pPr>
        <w:pStyle w:val="Opisslike"/>
      </w:pPr>
      <w:r w:rsidRPr="00B62A4C">
        <w:lastRenderedPageBreak/>
        <w:t xml:space="preserve">Tablica </w:t>
      </w:r>
      <w:r w:rsidR="00151FD4">
        <w:t>5</w:t>
      </w:r>
      <w:r w:rsidR="00004F7D">
        <w:t>5</w:t>
      </w:r>
      <w:r w:rsidRPr="00B62A4C">
        <w:t>. Broj učenika u produženom boravku u osnovnim školama</w:t>
      </w:r>
      <w:r w:rsidR="00D237C8">
        <w:t xml:space="preserve"> Krapinsko-zagorske županije </w:t>
      </w:r>
    </w:p>
    <w:tbl>
      <w:tblPr>
        <w:tblStyle w:val="Tamnatablicareetke5-isticanje11"/>
        <w:tblW w:w="9090" w:type="dxa"/>
        <w:tblInd w:w="-5" w:type="dxa"/>
        <w:tblLook w:val="04A0" w:firstRow="1" w:lastRow="0" w:firstColumn="1" w:lastColumn="0" w:noHBand="0" w:noVBand="1"/>
      </w:tblPr>
      <w:tblGrid>
        <w:gridCol w:w="3078"/>
        <w:gridCol w:w="2843"/>
        <w:gridCol w:w="3169"/>
      </w:tblGrid>
      <w:tr w:rsidR="00634A13" w:rsidRPr="00634A13" w14:paraId="2FF3C68E" w14:textId="77777777" w:rsidTr="00DD5924">
        <w:trPr>
          <w:cnfStyle w:val="100000000000" w:firstRow="1" w:lastRow="0" w:firstColumn="0" w:lastColumn="0" w:oddVBand="0" w:evenVBand="0" w:oddHBand="0"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3078" w:type="dxa"/>
            <w:noWrap/>
            <w:vAlign w:val="center"/>
            <w:hideMark/>
          </w:tcPr>
          <w:p w14:paraId="2151B388" w14:textId="53E0E96B" w:rsidR="00634A13" w:rsidRPr="00DD5924" w:rsidRDefault="00DD5924" w:rsidP="00DD5924">
            <w:pPr>
              <w:spacing w:line="264" w:lineRule="auto"/>
              <w:jc w:val="center"/>
              <w:rPr>
                <w:rFonts w:eastAsiaTheme="minorEastAsia"/>
                <w:color w:val="FFFFFF" w:themeColor="background1"/>
              </w:rPr>
            </w:pPr>
            <w:r w:rsidRPr="00DD5924">
              <w:rPr>
                <w:rFonts w:eastAsiaTheme="minorEastAsia"/>
                <w:color w:val="FFFFFF" w:themeColor="background1"/>
              </w:rPr>
              <w:t>ŠK. GODINA</w:t>
            </w:r>
          </w:p>
        </w:tc>
        <w:tc>
          <w:tcPr>
            <w:tcW w:w="2843" w:type="dxa"/>
            <w:noWrap/>
            <w:vAlign w:val="center"/>
            <w:hideMark/>
          </w:tcPr>
          <w:p w14:paraId="56613D4D" w14:textId="0C29F218" w:rsidR="00634A13" w:rsidRPr="00DD5924" w:rsidRDefault="00DD5924" w:rsidP="00DD5924">
            <w:pPr>
              <w:spacing w:line="264" w:lineRule="auto"/>
              <w:jc w:val="center"/>
              <w:cnfStyle w:val="100000000000" w:firstRow="1" w:lastRow="0" w:firstColumn="0" w:lastColumn="0" w:oddVBand="0" w:evenVBand="0" w:oddHBand="0" w:evenHBand="0" w:firstRowFirstColumn="0" w:firstRowLastColumn="0" w:lastRowFirstColumn="0" w:lastRowLastColumn="0"/>
              <w:rPr>
                <w:rFonts w:eastAsiaTheme="minorEastAsia"/>
                <w:color w:val="FFFFFF" w:themeColor="background1"/>
              </w:rPr>
            </w:pPr>
            <w:r w:rsidRPr="00DD5924">
              <w:rPr>
                <w:rFonts w:eastAsiaTheme="minorEastAsia"/>
                <w:color w:val="FFFFFF" w:themeColor="background1"/>
              </w:rPr>
              <w:t>BROJ ŠKOLA</w:t>
            </w:r>
          </w:p>
        </w:tc>
        <w:tc>
          <w:tcPr>
            <w:tcW w:w="3169" w:type="dxa"/>
            <w:noWrap/>
            <w:vAlign w:val="center"/>
            <w:hideMark/>
          </w:tcPr>
          <w:p w14:paraId="6B798517" w14:textId="4039324C" w:rsidR="00634A13" w:rsidRPr="00DD5924" w:rsidRDefault="00DD5924" w:rsidP="00DD5924">
            <w:pPr>
              <w:spacing w:line="264" w:lineRule="auto"/>
              <w:jc w:val="center"/>
              <w:cnfStyle w:val="100000000000" w:firstRow="1" w:lastRow="0" w:firstColumn="0" w:lastColumn="0" w:oddVBand="0" w:evenVBand="0" w:oddHBand="0" w:evenHBand="0" w:firstRowFirstColumn="0" w:firstRowLastColumn="0" w:lastRowFirstColumn="0" w:lastRowLastColumn="0"/>
              <w:rPr>
                <w:rFonts w:eastAsiaTheme="minorEastAsia"/>
                <w:color w:val="FFFFFF" w:themeColor="background1"/>
              </w:rPr>
            </w:pPr>
            <w:r w:rsidRPr="00DD5924">
              <w:rPr>
                <w:rFonts w:eastAsiaTheme="minorEastAsia"/>
                <w:color w:val="FFFFFF" w:themeColor="background1"/>
              </w:rPr>
              <w:t>BROJ UČENIKA</w:t>
            </w:r>
          </w:p>
        </w:tc>
      </w:tr>
      <w:tr w:rsidR="00634A13" w:rsidRPr="00634A13" w14:paraId="07D37669" w14:textId="77777777" w:rsidTr="00DD5924">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3078" w:type="dxa"/>
            <w:noWrap/>
            <w:vAlign w:val="center"/>
            <w:hideMark/>
          </w:tcPr>
          <w:p w14:paraId="36151186" w14:textId="77777777" w:rsidR="00634A13" w:rsidRPr="00DD5924" w:rsidRDefault="00634A13" w:rsidP="00DD5924">
            <w:pPr>
              <w:spacing w:line="264" w:lineRule="auto"/>
              <w:jc w:val="center"/>
              <w:rPr>
                <w:rFonts w:eastAsiaTheme="minorEastAsia"/>
                <w:color w:val="FFFFFF" w:themeColor="background1"/>
              </w:rPr>
            </w:pPr>
            <w:r w:rsidRPr="00DD5924">
              <w:rPr>
                <w:rFonts w:eastAsiaTheme="minorEastAsia"/>
                <w:color w:val="FFFFFF" w:themeColor="background1"/>
              </w:rPr>
              <w:t>2019./2020.</w:t>
            </w:r>
          </w:p>
        </w:tc>
        <w:tc>
          <w:tcPr>
            <w:tcW w:w="2843" w:type="dxa"/>
            <w:tcBorders>
              <w:bottom w:val="single" w:sz="4" w:space="0" w:color="EC8E92" w:themeColor="accent6"/>
              <w:right w:val="single" w:sz="4" w:space="0" w:color="EC8E92" w:themeColor="accent6"/>
            </w:tcBorders>
            <w:shd w:val="clear" w:color="auto" w:fill="auto"/>
            <w:noWrap/>
            <w:vAlign w:val="center"/>
            <w:hideMark/>
          </w:tcPr>
          <w:p w14:paraId="614E16A6" w14:textId="77777777" w:rsidR="00634A13" w:rsidRPr="00DD5924" w:rsidRDefault="00634A13" w:rsidP="00DD5924">
            <w:pPr>
              <w:jc w:val="center"/>
              <w:cnfStyle w:val="000000100000" w:firstRow="0" w:lastRow="0" w:firstColumn="0" w:lastColumn="0" w:oddVBand="0" w:evenVBand="0" w:oddHBand="1" w:evenHBand="0" w:firstRowFirstColumn="0" w:firstRowLastColumn="0" w:lastRowFirstColumn="0" w:lastRowLastColumn="0"/>
              <w:rPr>
                <w:rFonts w:ascii="Newslab Light" w:eastAsia="Times New Roman" w:hAnsi="Newslab Light" w:cs="Times New Roman"/>
                <w:color w:val="000000"/>
                <w:szCs w:val="18"/>
                <w:lang w:eastAsia="hr-HR"/>
              </w:rPr>
            </w:pPr>
            <w:r w:rsidRPr="00DD5924">
              <w:rPr>
                <w:rFonts w:ascii="Newslab Light" w:eastAsia="Times New Roman" w:hAnsi="Newslab Light" w:cs="Times New Roman"/>
                <w:color w:val="000000"/>
                <w:szCs w:val="18"/>
                <w:lang w:eastAsia="hr-HR"/>
              </w:rPr>
              <w:t>4</w:t>
            </w:r>
          </w:p>
        </w:tc>
        <w:tc>
          <w:tcPr>
            <w:tcW w:w="3169" w:type="dxa"/>
            <w:tcBorders>
              <w:left w:val="single" w:sz="4" w:space="0" w:color="EC8E92" w:themeColor="accent6"/>
              <w:bottom w:val="single" w:sz="4" w:space="0" w:color="EC8E92" w:themeColor="accent6"/>
              <w:right w:val="single" w:sz="4" w:space="0" w:color="EC8E92" w:themeColor="accent6"/>
            </w:tcBorders>
            <w:shd w:val="clear" w:color="auto" w:fill="auto"/>
            <w:noWrap/>
            <w:vAlign w:val="center"/>
            <w:hideMark/>
          </w:tcPr>
          <w:p w14:paraId="0BC7B766" w14:textId="77777777" w:rsidR="00634A13" w:rsidRPr="00DD5924" w:rsidRDefault="00634A13" w:rsidP="00DD5924">
            <w:pPr>
              <w:jc w:val="center"/>
              <w:cnfStyle w:val="000000100000" w:firstRow="0" w:lastRow="0" w:firstColumn="0" w:lastColumn="0" w:oddVBand="0" w:evenVBand="0" w:oddHBand="1" w:evenHBand="0" w:firstRowFirstColumn="0" w:firstRowLastColumn="0" w:lastRowFirstColumn="0" w:lastRowLastColumn="0"/>
              <w:rPr>
                <w:rFonts w:ascii="Newslab Light" w:eastAsia="Times New Roman" w:hAnsi="Newslab Light" w:cs="Times New Roman"/>
                <w:color w:val="000000"/>
                <w:szCs w:val="18"/>
                <w:lang w:eastAsia="hr-HR"/>
              </w:rPr>
            </w:pPr>
            <w:r w:rsidRPr="00DD5924">
              <w:rPr>
                <w:rFonts w:ascii="Newslab Light" w:eastAsia="Times New Roman" w:hAnsi="Newslab Light" w:cs="Times New Roman"/>
                <w:color w:val="000000"/>
                <w:szCs w:val="18"/>
                <w:lang w:eastAsia="hr-HR"/>
              </w:rPr>
              <w:t>105</w:t>
            </w:r>
          </w:p>
        </w:tc>
      </w:tr>
      <w:tr w:rsidR="00634A13" w:rsidRPr="00634A13" w14:paraId="2AA3FE45" w14:textId="77777777" w:rsidTr="00DD5924">
        <w:trPr>
          <w:trHeight w:val="368"/>
        </w:trPr>
        <w:tc>
          <w:tcPr>
            <w:cnfStyle w:val="001000000000" w:firstRow="0" w:lastRow="0" w:firstColumn="1" w:lastColumn="0" w:oddVBand="0" w:evenVBand="0" w:oddHBand="0" w:evenHBand="0" w:firstRowFirstColumn="0" w:firstRowLastColumn="0" w:lastRowFirstColumn="0" w:lastRowLastColumn="0"/>
            <w:tcW w:w="3078" w:type="dxa"/>
            <w:noWrap/>
            <w:vAlign w:val="center"/>
            <w:hideMark/>
          </w:tcPr>
          <w:p w14:paraId="56725004" w14:textId="77777777" w:rsidR="00634A13" w:rsidRPr="00DD5924" w:rsidRDefault="00634A13" w:rsidP="00DD5924">
            <w:pPr>
              <w:spacing w:line="264" w:lineRule="auto"/>
              <w:jc w:val="center"/>
              <w:rPr>
                <w:rFonts w:eastAsiaTheme="minorEastAsia"/>
                <w:color w:val="FFFFFF" w:themeColor="background1"/>
              </w:rPr>
            </w:pPr>
            <w:r w:rsidRPr="00DD5924">
              <w:rPr>
                <w:rFonts w:eastAsiaTheme="minorEastAsia"/>
                <w:color w:val="FFFFFF" w:themeColor="background1"/>
              </w:rPr>
              <w:t>2020./2021.</w:t>
            </w:r>
          </w:p>
        </w:tc>
        <w:tc>
          <w:tcPr>
            <w:tcW w:w="2843" w:type="dxa"/>
            <w:tcBorders>
              <w:top w:val="single" w:sz="4" w:space="0" w:color="EC8E92" w:themeColor="accent6"/>
              <w:bottom w:val="single" w:sz="4" w:space="0" w:color="EC8E92" w:themeColor="accent6"/>
              <w:right w:val="single" w:sz="4" w:space="0" w:color="EC8E92" w:themeColor="accent6"/>
            </w:tcBorders>
            <w:shd w:val="clear" w:color="auto" w:fill="auto"/>
            <w:noWrap/>
            <w:vAlign w:val="center"/>
            <w:hideMark/>
          </w:tcPr>
          <w:p w14:paraId="7A749A4B" w14:textId="77777777" w:rsidR="00634A13" w:rsidRPr="00DD5924" w:rsidRDefault="00634A13" w:rsidP="00DD5924">
            <w:pPr>
              <w:jc w:val="center"/>
              <w:cnfStyle w:val="000000000000" w:firstRow="0" w:lastRow="0" w:firstColumn="0" w:lastColumn="0" w:oddVBand="0" w:evenVBand="0" w:oddHBand="0" w:evenHBand="0" w:firstRowFirstColumn="0" w:firstRowLastColumn="0" w:lastRowFirstColumn="0" w:lastRowLastColumn="0"/>
              <w:rPr>
                <w:rFonts w:ascii="Newslab Light" w:eastAsia="Times New Roman" w:hAnsi="Newslab Light" w:cs="Times New Roman"/>
                <w:color w:val="000000"/>
                <w:szCs w:val="18"/>
                <w:lang w:eastAsia="hr-HR"/>
              </w:rPr>
            </w:pPr>
            <w:r w:rsidRPr="00DD5924">
              <w:rPr>
                <w:rFonts w:ascii="Newslab Light" w:eastAsia="Times New Roman" w:hAnsi="Newslab Light" w:cs="Times New Roman"/>
                <w:color w:val="000000"/>
                <w:szCs w:val="18"/>
                <w:lang w:eastAsia="hr-HR"/>
              </w:rPr>
              <w:t>7</w:t>
            </w:r>
          </w:p>
        </w:tc>
        <w:tc>
          <w:tcPr>
            <w:tcW w:w="3169"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auto"/>
            <w:noWrap/>
            <w:vAlign w:val="center"/>
            <w:hideMark/>
          </w:tcPr>
          <w:p w14:paraId="66501E36" w14:textId="77777777" w:rsidR="00634A13" w:rsidRPr="00DD5924" w:rsidRDefault="00634A13" w:rsidP="00DD5924">
            <w:pPr>
              <w:jc w:val="center"/>
              <w:cnfStyle w:val="000000000000" w:firstRow="0" w:lastRow="0" w:firstColumn="0" w:lastColumn="0" w:oddVBand="0" w:evenVBand="0" w:oddHBand="0" w:evenHBand="0" w:firstRowFirstColumn="0" w:firstRowLastColumn="0" w:lastRowFirstColumn="0" w:lastRowLastColumn="0"/>
              <w:rPr>
                <w:rFonts w:ascii="Newslab Light" w:eastAsia="Times New Roman" w:hAnsi="Newslab Light" w:cs="Times New Roman"/>
                <w:color w:val="000000"/>
                <w:szCs w:val="18"/>
                <w:lang w:eastAsia="hr-HR"/>
              </w:rPr>
            </w:pPr>
            <w:r w:rsidRPr="00DD5924">
              <w:rPr>
                <w:rFonts w:ascii="Newslab Light" w:eastAsia="Times New Roman" w:hAnsi="Newslab Light" w:cs="Times New Roman"/>
                <w:color w:val="000000"/>
                <w:szCs w:val="18"/>
                <w:lang w:eastAsia="hr-HR"/>
              </w:rPr>
              <w:t>148</w:t>
            </w:r>
          </w:p>
        </w:tc>
      </w:tr>
    </w:tbl>
    <w:p w14:paraId="29676D8F" w14:textId="77777777" w:rsidR="00634A13" w:rsidRPr="007C4E2E" w:rsidRDefault="00634A13" w:rsidP="003C2276">
      <w:pPr>
        <w:pStyle w:val="Izvor"/>
        <w:rPr>
          <w:i/>
          <w:color w:val="ABABAB" w:themeColor="text1" w:themeTint="A6"/>
          <w:sz w:val="16"/>
          <w:szCs w:val="16"/>
        </w:rPr>
      </w:pPr>
      <w:r w:rsidRPr="007C4E2E">
        <w:rPr>
          <w:i/>
          <w:color w:val="ABABAB" w:themeColor="text1" w:themeTint="A6"/>
          <w:sz w:val="16"/>
          <w:szCs w:val="16"/>
        </w:rPr>
        <w:t>Izvor: Upravni odjel za obrazovanje, kulturu, šport i tehničku kulturu, 2021</w:t>
      </w:r>
    </w:p>
    <w:p w14:paraId="17F418E5" w14:textId="77777777" w:rsidR="00D237C8" w:rsidRDefault="00D237C8" w:rsidP="00941871"/>
    <w:p w14:paraId="4E358C36" w14:textId="5CFC263B" w:rsidR="008878A0" w:rsidRDefault="00C47264" w:rsidP="0052192B">
      <w:pPr>
        <w:pStyle w:val="Naslov2"/>
      </w:pPr>
      <w:bookmarkStart w:id="116" w:name="_Toc85181311"/>
      <w:r>
        <w:t>8</w:t>
      </w:r>
      <w:r w:rsidR="008878A0">
        <w:t>.4. Srednjoškolski odgoj i obrazovanje</w:t>
      </w:r>
      <w:bookmarkEnd w:id="116"/>
      <w:r w:rsidR="008878A0">
        <w:t xml:space="preserve"> </w:t>
      </w:r>
    </w:p>
    <w:p w14:paraId="16D9E4FA" w14:textId="77777777" w:rsidR="008658ED" w:rsidRPr="008658ED" w:rsidRDefault="008658ED" w:rsidP="008658ED"/>
    <w:p w14:paraId="173EFF9A" w14:textId="3E4F5228" w:rsidR="00825CD8" w:rsidRDefault="005A4AB2" w:rsidP="008A219B">
      <w:r w:rsidRPr="005A4AB2">
        <w:t>U Krapinsko-zagorskoj županiji djeluje 10 ustanova srednjoškolskog obrazovanja. Osnivači su Krapinsko-zagorska županija (9 srednjih škola) i JLS (srednja škola u Pregradi</w:t>
      </w:r>
      <w:r w:rsidR="008A219B">
        <w:t>,</w:t>
      </w:r>
      <w:r w:rsidRPr="005A4AB2">
        <w:t xml:space="preserve"> a provode se programi trogodišnjeg, četverogodišnjeg i petogodišnjeg obrazovanja (program za medicinsku sestru, odnosno medicinskog tehničara opće njege).</w:t>
      </w:r>
    </w:p>
    <w:p w14:paraId="040F94D0" w14:textId="77777777" w:rsidR="00193EDF" w:rsidRDefault="00193EDF" w:rsidP="008A219B"/>
    <w:p w14:paraId="7043260E" w14:textId="61295ECF" w:rsidR="008878A0" w:rsidRDefault="008878A0" w:rsidP="003E3F3C">
      <w:pPr>
        <w:pStyle w:val="Opisslike"/>
      </w:pPr>
      <w:r>
        <w:t xml:space="preserve">Tablica </w:t>
      </w:r>
      <w:r w:rsidR="005A0078">
        <w:rPr>
          <w:noProof/>
        </w:rPr>
        <w:t>5</w:t>
      </w:r>
      <w:r w:rsidR="00004F7D">
        <w:rPr>
          <w:noProof/>
        </w:rPr>
        <w:t>6</w:t>
      </w:r>
      <w:r w:rsidR="00825CD8">
        <w:rPr>
          <w:noProof/>
        </w:rPr>
        <w:t>.</w:t>
      </w:r>
      <w:r>
        <w:t xml:space="preserve"> Ustanove srednjoškolskog obrazovanja na području Krapinsko-zagorske županije</w:t>
      </w:r>
    </w:p>
    <w:tbl>
      <w:tblPr>
        <w:tblW w:w="0" w:type="auto"/>
        <w:tblBorders>
          <w:insideH w:val="single" w:sz="8" w:space="0" w:color="F3CFC1"/>
        </w:tblBorders>
        <w:tblLook w:val="04A0" w:firstRow="1" w:lastRow="0" w:firstColumn="1" w:lastColumn="0" w:noHBand="0" w:noVBand="1"/>
      </w:tblPr>
      <w:tblGrid>
        <w:gridCol w:w="495"/>
        <w:gridCol w:w="5039"/>
        <w:gridCol w:w="3544"/>
      </w:tblGrid>
      <w:tr w:rsidR="008878A0" w14:paraId="288657E0" w14:textId="77777777" w:rsidTr="00DF2A68">
        <w:trPr>
          <w:trHeight w:val="283"/>
        </w:trPr>
        <w:tc>
          <w:tcPr>
            <w:tcW w:w="5534" w:type="dxa"/>
            <w:gridSpan w:val="2"/>
            <w:tcBorders>
              <w:top w:val="nil"/>
              <w:left w:val="single" w:sz="8" w:space="0" w:color="D2232A"/>
              <w:bottom w:val="single" w:sz="8" w:space="0" w:color="F3CFC1"/>
            </w:tcBorders>
            <w:shd w:val="clear" w:color="auto" w:fill="D2232A"/>
            <w:vAlign w:val="center"/>
            <w:hideMark/>
          </w:tcPr>
          <w:p w14:paraId="3D2DE95B" w14:textId="77777777" w:rsidR="008878A0" w:rsidRPr="00096498" w:rsidRDefault="008878A0" w:rsidP="00CB6046">
            <w:pPr>
              <w:spacing w:after="0"/>
              <w:jc w:val="center"/>
              <w:rPr>
                <w:color w:val="FFFFFF" w:themeColor="background1"/>
                <w:sz w:val="22"/>
                <w:szCs w:val="22"/>
              </w:rPr>
            </w:pPr>
            <w:r w:rsidRPr="00096498">
              <w:rPr>
                <w:color w:val="FFFFFF" w:themeColor="background1"/>
              </w:rPr>
              <w:t>NAZIV USTANOVE</w:t>
            </w:r>
          </w:p>
        </w:tc>
        <w:tc>
          <w:tcPr>
            <w:tcW w:w="3544" w:type="dxa"/>
            <w:tcBorders>
              <w:top w:val="nil"/>
              <w:bottom w:val="single" w:sz="8" w:space="0" w:color="F3CFC1"/>
              <w:right w:val="single" w:sz="8" w:space="0" w:color="D2232A"/>
            </w:tcBorders>
            <w:shd w:val="clear" w:color="auto" w:fill="D2232A"/>
            <w:vAlign w:val="center"/>
            <w:hideMark/>
          </w:tcPr>
          <w:p w14:paraId="255E2A37" w14:textId="77777777" w:rsidR="008878A0" w:rsidRPr="00096498" w:rsidRDefault="008878A0" w:rsidP="00CB6046">
            <w:pPr>
              <w:spacing w:after="0"/>
              <w:jc w:val="center"/>
              <w:rPr>
                <w:color w:val="FFFFFF" w:themeColor="background1"/>
              </w:rPr>
            </w:pPr>
            <w:r w:rsidRPr="00096498">
              <w:rPr>
                <w:color w:val="FFFFFF" w:themeColor="background1"/>
              </w:rPr>
              <w:t>OPĆINA/GRAD</w:t>
            </w:r>
          </w:p>
        </w:tc>
      </w:tr>
      <w:tr w:rsidR="008878A0" w14:paraId="6B11418C" w14:textId="77777777" w:rsidTr="00DF2A68">
        <w:trPr>
          <w:trHeight w:val="283"/>
        </w:trPr>
        <w:tc>
          <w:tcPr>
            <w:tcW w:w="495" w:type="dxa"/>
            <w:tcBorders>
              <w:top w:val="single" w:sz="8" w:space="0" w:color="F3CFC1"/>
              <w:left w:val="single" w:sz="8" w:space="0" w:color="D2232A"/>
              <w:bottom w:val="single" w:sz="8" w:space="0" w:color="F3CFC1"/>
            </w:tcBorders>
            <w:hideMark/>
          </w:tcPr>
          <w:p w14:paraId="44E5E253" w14:textId="77777777" w:rsidR="008878A0" w:rsidRDefault="008878A0" w:rsidP="00941871">
            <w:pPr>
              <w:spacing w:after="0"/>
            </w:pPr>
            <w:r>
              <w:t>1.</w:t>
            </w:r>
          </w:p>
        </w:tc>
        <w:tc>
          <w:tcPr>
            <w:tcW w:w="5039" w:type="dxa"/>
            <w:tcBorders>
              <w:top w:val="single" w:sz="8" w:space="0" w:color="F3CFC1"/>
              <w:bottom w:val="single" w:sz="8" w:space="0" w:color="F3CFC1"/>
              <w:right w:val="single" w:sz="8" w:space="0" w:color="D2232A"/>
            </w:tcBorders>
            <w:hideMark/>
          </w:tcPr>
          <w:p w14:paraId="42285B99" w14:textId="77777777" w:rsidR="008878A0" w:rsidRDefault="008878A0" w:rsidP="00941871">
            <w:pPr>
              <w:spacing w:after="0"/>
            </w:pPr>
            <w:r>
              <w:t>Srednja škola Krapina</w:t>
            </w:r>
          </w:p>
        </w:tc>
        <w:tc>
          <w:tcPr>
            <w:tcW w:w="3544" w:type="dxa"/>
            <w:tcBorders>
              <w:top w:val="single" w:sz="8" w:space="0" w:color="F3CFC1"/>
              <w:left w:val="single" w:sz="8" w:space="0" w:color="D2232A"/>
              <w:bottom w:val="single" w:sz="8" w:space="0" w:color="F3CFC1"/>
              <w:right w:val="single" w:sz="8" w:space="0" w:color="D2232A"/>
            </w:tcBorders>
            <w:hideMark/>
          </w:tcPr>
          <w:p w14:paraId="214EE76F" w14:textId="77777777" w:rsidR="008878A0" w:rsidRDefault="008878A0" w:rsidP="00941871">
            <w:pPr>
              <w:spacing w:after="0"/>
            </w:pPr>
            <w:r>
              <w:t>Grad Krapina</w:t>
            </w:r>
          </w:p>
        </w:tc>
      </w:tr>
      <w:tr w:rsidR="00D237C8" w14:paraId="74E51AC0" w14:textId="77777777" w:rsidTr="00D237C8">
        <w:trPr>
          <w:trHeight w:val="283"/>
        </w:trPr>
        <w:tc>
          <w:tcPr>
            <w:tcW w:w="495" w:type="dxa"/>
            <w:tcBorders>
              <w:top w:val="single" w:sz="8" w:space="0" w:color="F3CFC1"/>
              <w:left w:val="single" w:sz="8" w:space="0" w:color="D2232A"/>
              <w:bottom w:val="single" w:sz="8" w:space="0" w:color="F3CFC1"/>
            </w:tcBorders>
            <w:hideMark/>
          </w:tcPr>
          <w:p w14:paraId="100C88DB" w14:textId="77777777" w:rsidR="00D237C8" w:rsidRDefault="00D237C8" w:rsidP="00941871">
            <w:pPr>
              <w:spacing w:after="0"/>
            </w:pPr>
            <w:r>
              <w:t>2.</w:t>
            </w:r>
          </w:p>
        </w:tc>
        <w:tc>
          <w:tcPr>
            <w:tcW w:w="5039" w:type="dxa"/>
            <w:tcBorders>
              <w:top w:val="single" w:sz="8" w:space="0" w:color="F3CFC1"/>
              <w:bottom w:val="single" w:sz="8" w:space="0" w:color="F3CFC1"/>
              <w:right w:val="single" w:sz="8" w:space="0" w:color="D2232A"/>
            </w:tcBorders>
            <w:hideMark/>
          </w:tcPr>
          <w:p w14:paraId="4BEAE9BD" w14:textId="77777777" w:rsidR="00D237C8" w:rsidRDefault="00D237C8" w:rsidP="00941871">
            <w:pPr>
              <w:spacing w:after="0"/>
            </w:pPr>
            <w:r>
              <w:t>Srednja škola Zabok</w:t>
            </w:r>
          </w:p>
        </w:tc>
        <w:tc>
          <w:tcPr>
            <w:tcW w:w="3544" w:type="dxa"/>
            <w:vMerge w:val="restart"/>
            <w:tcBorders>
              <w:top w:val="single" w:sz="8" w:space="0" w:color="F3CFC1"/>
              <w:left w:val="single" w:sz="8" w:space="0" w:color="D2232A"/>
              <w:right w:val="single" w:sz="8" w:space="0" w:color="D2232A"/>
            </w:tcBorders>
            <w:vAlign w:val="center"/>
            <w:hideMark/>
          </w:tcPr>
          <w:p w14:paraId="0E15C9A3" w14:textId="2E73E8DB" w:rsidR="00D237C8" w:rsidRDefault="00D237C8" w:rsidP="00D237C8">
            <w:pPr>
              <w:spacing w:after="0"/>
              <w:jc w:val="left"/>
            </w:pPr>
            <w:r>
              <w:t>Grad Zabok</w:t>
            </w:r>
          </w:p>
        </w:tc>
      </w:tr>
      <w:tr w:rsidR="00D237C8" w14:paraId="2077777B" w14:textId="77777777" w:rsidTr="00D237C8">
        <w:trPr>
          <w:trHeight w:val="283"/>
        </w:trPr>
        <w:tc>
          <w:tcPr>
            <w:tcW w:w="495" w:type="dxa"/>
            <w:tcBorders>
              <w:top w:val="single" w:sz="8" w:space="0" w:color="F3CFC1"/>
              <w:left w:val="single" w:sz="8" w:space="0" w:color="D2232A"/>
              <w:bottom w:val="single" w:sz="8" w:space="0" w:color="F3CFC1"/>
            </w:tcBorders>
            <w:hideMark/>
          </w:tcPr>
          <w:p w14:paraId="14401BDB" w14:textId="77777777" w:rsidR="00D237C8" w:rsidRDefault="00D237C8" w:rsidP="00941871">
            <w:pPr>
              <w:spacing w:after="0"/>
            </w:pPr>
            <w:r>
              <w:t>3.</w:t>
            </w:r>
          </w:p>
        </w:tc>
        <w:tc>
          <w:tcPr>
            <w:tcW w:w="5039" w:type="dxa"/>
            <w:tcBorders>
              <w:top w:val="single" w:sz="8" w:space="0" w:color="F3CFC1"/>
              <w:bottom w:val="single" w:sz="8" w:space="0" w:color="F3CFC1"/>
              <w:right w:val="single" w:sz="8" w:space="0" w:color="D2232A"/>
            </w:tcBorders>
            <w:hideMark/>
          </w:tcPr>
          <w:p w14:paraId="7A796DCE" w14:textId="77777777" w:rsidR="00D237C8" w:rsidRDefault="00D237C8" w:rsidP="00941871">
            <w:pPr>
              <w:spacing w:after="0"/>
            </w:pPr>
            <w:r>
              <w:t>Škola za umjetnost, dizajn, grafiku i odjeću Zabok</w:t>
            </w:r>
          </w:p>
        </w:tc>
        <w:tc>
          <w:tcPr>
            <w:tcW w:w="3544" w:type="dxa"/>
            <w:vMerge/>
            <w:tcBorders>
              <w:left w:val="single" w:sz="8" w:space="0" w:color="D2232A"/>
              <w:right w:val="single" w:sz="8" w:space="0" w:color="D2232A"/>
            </w:tcBorders>
            <w:hideMark/>
          </w:tcPr>
          <w:p w14:paraId="1F768275" w14:textId="2400CAF4" w:rsidR="00D237C8" w:rsidRDefault="00D237C8" w:rsidP="00941871">
            <w:pPr>
              <w:spacing w:after="0"/>
            </w:pPr>
          </w:p>
        </w:tc>
      </w:tr>
      <w:tr w:rsidR="00D237C8" w14:paraId="7BC470FE" w14:textId="77777777" w:rsidTr="00D237C8">
        <w:trPr>
          <w:trHeight w:val="283"/>
        </w:trPr>
        <w:tc>
          <w:tcPr>
            <w:tcW w:w="495" w:type="dxa"/>
            <w:tcBorders>
              <w:top w:val="single" w:sz="8" w:space="0" w:color="F3CFC1"/>
              <w:left w:val="single" w:sz="8" w:space="0" w:color="D2232A"/>
              <w:bottom w:val="single" w:sz="8" w:space="0" w:color="F3CFC1"/>
            </w:tcBorders>
            <w:hideMark/>
          </w:tcPr>
          <w:p w14:paraId="222F6D45" w14:textId="77777777" w:rsidR="00D237C8" w:rsidRDefault="00D237C8" w:rsidP="00941871">
            <w:pPr>
              <w:spacing w:after="0"/>
            </w:pPr>
            <w:r>
              <w:t>4.</w:t>
            </w:r>
          </w:p>
        </w:tc>
        <w:tc>
          <w:tcPr>
            <w:tcW w:w="5039" w:type="dxa"/>
            <w:tcBorders>
              <w:top w:val="single" w:sz="8" w:space="0" w:color="F3CFC1"/>
              <w:bottom w:val="single" w:sz="8" w:space="0" w:color="F3CFC1"/>
              <w:right w:val="single" w:sz="8" w:space="0" w:color="D2232A"/>
            </w:tcBorders>
            <w:hideMark/>
          </w:tcPr>
          <w:p w14:paraId="107FC3C4" w14:textId="77777777" w:rsidR="00D237C8" w:rsidRDefault="00D237C8" w:rsidP="00941871">
            <w:pPr>
              <w:spacing w:after="0"/>
            </w:pPr>
            <w:r>
              <w:t xml:space="preserve">Gimnazija Antuna Gustava Matoša </w:t>
            </w:r>
          </w:p>
        </w:tc>
        <w:tc>
          <w:tcPr>
            <w:tcW w:w="3544" w:type="dxa"/>
            <w:vMerge/>
            <w:tcBorders>
              <w:left w:val="single" w:sz="8" w:space="0" w:color="D2232A"/>
              <w:bottom w:val="single" w:sz="8" w:space="0" w:color="F3CFC1"/>
              <w:right w:val="single" w:sz="8" w:space="0" w:color="D2232A"/>
            </w:tcBorders>
            <w:hideMark/>
          </w:tcPr>
          <w:p w14:paraId="1085E590" w14:textId="2EDC590A" w:rsidR="00D237C8" w:rsidRDefault="00D237C8" w:rsidP="00941871">
            <w:pPr>
              <w:spacing w:after="0"/>
            </w:pPr>
          </w:p>
        </w:tc>
      </w:tr>
      <w:tr w:rsidR="008878A0" w14:paraId="51C98704" w14:textId="77777777" w:rsidTr="00DF2A68">
        <w:trPr>
          <w:trHeight w:val="283"/>
        </w:trPr>
        <w:tc>
          <w:tcPr>
            <w:tcW w:w="495" w:type="dxa"/>
            <w:tcBorders>
              <w:top w:val="single" w:sz="8" w:space="0" w:color="F3CFC1"/>
              <w:left w:val="single" w:sz="8" w:space="0" w:color="D2232A"/>
              <w:bottom w:val="single" w:sz="8" w:space="0" w:color="F3CFC1"/>
            </w:tcBorders>
            <w:hideMark/>
          </w:tcPr>
          <w:p w14:paraId="3A2FBC81" w14:textId="77777777" w:rsidR="008878A0" w:rsidRDefault="008878A0" w:rsidP="00941871">
            <w:pPr>
              <w:spacing w:after="0"/>
            </w:pPr>
            <w:r>
              <w:t>5.</w:t>
            </w:r>
          </w:p>
        </w:tc>
        <w:tc>
          <w:tcPr>
            <w:tcW w:w="5039" w:type="dxa"/>
            <w:tcBorders>
              <w:top w:val="single" w:sz="8" w:space="0" w:color="F3CFC1"/>
              <w:bottom w:val="single" w:sz="8" w:space="0" w:color="F3CFC1"/>
              <w:right w:val="single" w:sz="8" w:space="0" w:color="D2232A"/>
            </w:tcBorders>
            <w:hideMark/>
          </w:tcPr>
          <w:p w14:paraId="545F80FF" w14:textId="77777777" w:rsidR="008878A0" w:rsidRDefault="008878A0" w:rsidP="00941871">
            <w:pPr>
              <w:spacing w:after="0"/>
            </w:pPr>
            <w:r>
              <w:t>Srednja škola Pregrada</w:t>
            </w:r>
          </w:p>
        </w:tc>
        <w:tc>
          <w:tcPr>
            <w:tcW w:w="3544" w:type="dxa"/>
            <w:tcBorders>
              <w:top w:val="single" w:sz="8" w:space="0" w:color="F3CFC1"/>
              <w:left w:val="single" w:sz="8" w:space="0" w:color="D2232A"/>
              <w:bottom w:val="single" w:sz="8" w:space="0" w:color="F3CFC1"/>
              <w:right w:val="single" w:sz="8" w:space="0" w:color="D2232A"/>
            </w:tcBorders>
            <w:hideMark/>
          </w:tcPr>
          <w:p w14:paraId="6EE49232" w14:textId="77777777" w:rsidR="008878A0" w:rsidRDefault="008878A0" w:rsidP="00941871">
            <w:pPr>
              <w:spacing w:after="0"/>
            </w:pPr>
            <w:r>
              <w:t>Grad Pregrada</w:t>
            </w:r>
          </w:p>
        </w:tc>
      </w:tr>
      <w:tr w:rsidR="008878A0" w14:paraId="1277A101" w14:textId="77777777" w:rsidTr="00DF2A68">
        <w:trPr>
          <w:trHeight w:val="283"/>
        </w:trPr>
        <w:tc>
          <w:tcPr>
            <w:tcW w:w="495" w:type="dxa"/>
            <w:tcBorders>
              <w:top w:val="single" w:sz="8" w:space="0" w:color="F3CFC1"/>
              <w:left w:val="single" w:sz="8" w:space="0" w:color="D2232A"/>
              <w:bottom w:val="single" w:sz="8" w:space="0" w:color="F3CFC1"/>
            </w:tcBorders>
            <w:hideMark/>
          </w:tcPr>
          <w:p w14:paraId="3B4D9239" w14:textId="77777777" w:rsidR="008878A0" w:rsidRDefault="008878A0" w:rsidP="00941871">
            <w:pPr>
              <w:spacing w:after="0"/>
            </w:pPr>
            <w:r>
              <w:t>6.</w:t>
            </w:r>
          </w:p>
        </w:tc>
        <w:tc>
          <w:tcPr>
            <w:tcW w:w="5039" w:type="dxa"/>
            <w:tcBorders>
              <w:top w:val="single" w:sz="8" w:space="0" w:color="F3CFC1"/>
              <w:bottom w:val="single" w:sz="8" w:space="0" w:color="F3CFC1"/>
              <w:right w:val="single" w:sz="8" w:space="0" w:color="D2232A"/>
            </w:tcBorders>
            <w:hideMark/>
          </w:tcPr>
          <w:p w14:paraId="29EF7285" w14:textId="77777777" w:rsidR="008878A0" w:rsidRDefault="008878A0" w:rsidP="00941871">
            <w:pPr>
              <w:spacing w:after="0"/>
            </w:pPr>
            <w:r>
              <w:t>Srednja škola Bedekovčina</w:t>
            </w:r>
          </w:p>
        </w:tc>
        <w:tc>
          <w:tcPr>
            <w:tcW w:w="3544" w:type="dxa"/>
            <w:tcBorders>
              <w:top w:val="single" w:sz="8" w:space="0" w:color="F3CFC1"/>
              <w:left w:val="single" w:sz="8" w:space="0" w:color="D2232A"/>
              <w:bottom w:val="single" w:sz="8" w:space="0" w:color="F3CFC1"/>
              <w:right w:val="single" w:sz="8" w:space="0" w:color="D2232A"/>
            </w:tcBorders>
            <w:hideMark/>
          </w:tcPr>
          <w:p w14:paraId="62091BAD" w14:textId="77777777" w:rsidR="008878A0" w:rsidRDefault="008878A0" w:rsidP="00941871">
            <w:pPr>
              <w:spacing w:after="0"/>
            </w:pPr>
            <w:r>
              <w:t>Općina Bedekovčina</w:t>
            </w:r>
          </w:p>
        </w:tc>
      </w:tr>
      <w:tr w:rsidR="008878A0" w14:paraId="480E5C1A" w14:textId="77777777" w:rsidTr="00DF2A68">
        <w:trPr>
          <w:trHeight w:val="283"/>
        </w:trPr>
        <w:tc>
          <w:tcPr>
            <w:tcW w:w="495" w:type="dxa"/>
            <w:tcBorders>
              <w:top w:val="single" w:sz="8" w:space="0" w:color="F3CFC1"/>
              <w:left w:val="single" w:sz="8" w:space="0" w:color="D2232A"/>
              <w:bottom w:val="single" w:sz="8" w:space="0" w:color="F3CFC1"/>
            </w:tcBorders>
            <w:hideMark/>
          </w:tcPr>
          <w:p w14:paraId="12685F16" w14:textId="77777777" w:rsidR="008878A0" w:rsidRDefault="008878A0" w:rsidP="00941871">
            <w:pPr>
              <w:spacing w:after="0"/>
            </w:pPr>
            <w:r>
              <w:t>7.</w:t>
            </w:r>
          </w:p>
        </w:tc>
        <w:tc>
          <w:tcPr>
            <w:tcW w:w="5039" w:type="dxa"/>
            <w:tcBorders>
              <w:top w:val="single" w:sz="8" w:space="0" w:color="F3CFC1"/>
              <w:bottom w:val="single" w:sz="8" w:space="0" w:color="F3CFC1"/>
              <w:right w:val="single" w:sz="8" w:space="0" w:color="D2232A"/>
            </w:tcBorders>
            <w:hideMark/>
          </w:tcPr>
          <w:p w14:paraId="4914798D" w14:textId="77777777" w:rsidR="008878A0" w:rsidRDefault="008878A0" w:rsidP="00941871">
            <w:pPr>
              <w:spacing w:after="0"/>
            </w:pPr>
            <w:r>
              <w:t>Centar za odgoj i obrazovanje Zajezda</w:t>
            </w:r>
          </w:p>
        </w:tc>
        <w:tc>
          <w:tcPr>
            <w:tcW w:w="3544" w:type="dxa"/>
            <w:tcBorders>
              <w:top w:val="single" w:sz="8" w:space="0" w:color="F3CFC1"/>
              <w:left w:val="single" w:sz="8" w:space="0" w:color="D2232A"/>
              <w:bottom w:val="single" w:sz="8" w:space="0" w:color="F3CFC1"/>
              <w:right w:val="single" w:sz="8" w:space="0" w:color="D2232A"/>
            </w:tcBorders>
            <w:hideMark/>
          </w:tcPr>
          <w:p w14:paraId="3187F6A8" w14:textId="77777777" w:rsidR="008878A0" w:rsidRDefault="008878A0" w:rsidP="00941871">
            <w:pPr>
              <w:spacing w:after="0"/>
            </w:pPr>
            <w:r>
              <w:t xml:space="preserve">Općina Budinščina </w:t>
            </w:r>
          </w:p>
        </w:tc>
      </w:tr>
      <w:tr w:rsidR="008878A0" w14:paraId="2A87F396" w14:textId="77777777" w:rsidTr="00DF2A68">
        <w:trPr>
          <w:trHeight w:val="283"/>
        </w:trPr>
        <w:tc>
          <w:tcPr>
            <w:tcW w:w="495" w:type="dxa"/>
            <w:tcBorders>
              <w:top w:val="single" w:sz="8" w:space="0" w:color="F3CFC1"/>
              <w:left w:val="single" w:sz="8" w:space="0" w:color="D2232A"/>
              <w:bottom w:val="single" w:sz="8" w:space="0" w:color="F3CFC1"/>
            </w:tcBorders>
            <w:hideMark/>
          </w:tcPr>
          <w:p w14:paraId="69F03FD0" w14:textId="77777777" w:rsidR="008878A0" w:rsidRDefault="008878A0" w:rsidP="00941871">
            <w:pPr>
              <w:spacing w:after="0"/>
            </w:pPr>
            <w:r>
              <w:t>8.</w:t>
            </w:r>
          </w:p>
        </w:tc>
        <w:tc>
          <w:tcPr>
            <w:tcW w:w="5039" w:type="dxa"/>
            <w:tcBorders>
              <w:top w:val="single" w:sz="8" w:space="0" w:color="F3CFC1"/>
              <w:bottom w:val="single" w:sz="8" w:space="0" w:color="F3CFC1"/>
              <w:right w:val="single" w:sz="8" w:space="0" w:color="D2232A"/>
            </w:tcBorders>
            <w:hideMark/>
          </w:tcPr>
          <w:p w14:paraId="40CCFDC2" w14:textId="3653850F" w:rsidR="008878A0" w:rsidRDefault="008878A0" w:rsidP="00941871">
            <w:pPr>
              <w:spacing w:after="0"/>
            </w:pPr>
            <w:r>
              <w:t>Srednja škola Konjščina</w:t>
            </w:r>
          </w:p>
        </w:tc>
        <w:tc>
          <w:tcPr>
            <w:tcW w:w="3544" w:type="dxa"/>
            <w:tcBorders>
              <w:top w:val="single" w:sz="8" w:space="0" w:color="F3CFC1"/>
              <w:left w:val="single" w:sz="8" w:space="0" w:color="D2232A"/>
              <w:bottom w:val="single" w:sz="8" w:space="0" w:color="F3CFC1"/>
              <w:right w:val="single" w:sz="8" w:space="0" w:color="D2232A"/>
            </w:tcBorders>
            <w:hideMark/>
          </w:tcPr>
          <w:p w14:paraId="132FC43C" w14:textId="77777777" w:rsidR="008878A0" w:rsidRDefault="008878A0" w:rsidP="00941871">
            <w:pPr>
              <w:spacing w:after="0"/>
            </w:pPr>
            <w:r>
              <w:t>Općina Konjščina</w:t>
            </w:r>
          </w:p>
        </w:tc>
      </w:tr>
      <w:tr w:rsidR="008878A0" w14:paraId="54465653" w14:textId="77777777" w:rsidTr="00DF2A68">
        <w:trPr>
          <w:trHeight w:val="283"/>
        </w:trPr>
        <w:tc>
          <w:tcPr>
            <w:tcW w:w="495" w:type="dxa"/>
            <w:tcBorders>
              <w:top w:val="single" w:sz="8" w:space="0" w:color="F3CFC1"/>
              <w:left w:val="single" w:sz="8" w:space="0" w:color="D2232A"/>
              <w:bottom w:val="single" w:sz="8" w:space="0" w:color="F3CFC1"/>
            </w:tcBorders>
            <w:hideMark/>
          </w:tcPr>
          <w:p w14:paraId="3C988767" w14:textId="77777777" w:rsidR="008878A0" w:rsidRDefault="008878A0" w:rsidP="00941871">
            <w:pPr>
              <w:spacing w:after="0"/>
            </w:pPr>
            <w:r>
              <w:t>9.</w:t>
            </w:r>
          </w:p>
        </w:tc>
        <w:tc>
          <w:tcPr>
            <w:tcW w:w="5039" w:type="dxa"/>
            <w:tcBorders>
              <w:top w:val="single" w:sz="8" w:space="0" w:color="F3CFC1"/>
              <w:bottom w:val="single" w:sz="8" w:space="0" w:color="F3CFC1"/>
              <w:right w:val="single" w:sz="8" w:space="0" w:color="D2232A"/>
            </w:tcBorders>
            <w:hideMark/>
          </w:tcPr>
          <w:p w14:paraId="428F3FF4" w14:textId="77777777" w:rsidR="008878A0" w:rsidRDefault="008878A0" w:rsidP="00941871">
            <w:pPr>
              <w:spacing w:after="0"/>
            </w:pPr>
            <w:r>
              <w:t>Srednja škola Oroslavje</w:t>
            </w:r>
          </w:p>
        </w:tc>
        <w:tc>
          <w:tcPr>
            <w:tcW w:w="3544" w:type="dxa"/>
            <w:tcBorders>
              <w:top w:val="single" w:sz="8" w:space="0" w:color="F3CFC1"/>
              <w:left w:val="single" w:sz="8" w:space="0" w:color="D2232A"/>
              <w:bottom w:val="single" w:sz="8" w:space="0" w:color="F3CFC1"/>
              <w:right w:val="single" w:sz="8" w:space="0" w:color="D2232A"/>
            </w:tcBorders>
            <w:hideMark/>
          </w:tcPr>
          <w:p w14:paraId="0C953CB3" w14:textId="77777777" w:rsidR="008878A0" w:rsidRDefault="008878A0" w:rsidP="00941871">
            <w:pPr>
              <w:spacing w:after="0"/>
            </w:pPr>
            <w:r>
              <w:t>Grad Oroslavje</w:t>
            </w:r>
          </w:p>
        </w:tc>
      </w:tr>
      <w:tr w:rsidR="008878A0" w14:paraId="339A78E9" w14:textId="77777777" w:rsidTr="00DF2A68">
        <w:trPr>
          <w:trHeight w:val="283"/>
        </w:trPr>
        <w:tc>
          <w:tcPr>
            <w:tcW w:w="495" w:type="dxa"/>
            <w:tcBorders>
              <w:top w:val="single" w:sz="8" w:space="0" w:color="F3CFC1"/>
              <w:left w:val="single" w:sz="8" w:space="0" w:color="D2232A"/>
              <w:bottom w:val="nil"/>
            </w:tcBorders>
            <w:hideMark/>
          </w:tcPr>
          <w:p w14:paraId="296A89F1" w14:textId="77777777" w:rsidR="008878A0" w:rsidRDefault="008878A0" w:rsidP="00941871">
            <w:pPr>
              <w:spacing w:after="0"/>
            </w:pPr>
            <w:r>
              <w:t>10.</w:t>
            </w:r>
          </w:p>
        </w:tc>
        <w:tc>
          <w:tcPr>
            <w:tcW w:w="5039" w:type="dxa"/>
            <w:tcBorders>
              <w:top w:val="single" w:sz="8" w:space="0" w:color="F3CFC1"/>
              <w:bottom w:val="nil"/>
              <w:right w:val="single" w:sz="8" w:space="0" w:color="D2232A"/>
            </w:tcBorders>
            <w:hideMark/>
          </w:tcPr>
          <w:p w14:paraId="773AA994" w14:textId="77777777" w:rsidR="008878A0" w:rsidRDefault="008878A0" w:rsidP="00941871">
            <w:pPr>
              <w:spacing w:after="0"/>
            </w:pPr>
            <w:r>
              <w:t>Srednja škola Zlatar</w:t>
            </w:r>
          </w:p>
        </w:tc>
        <w:tc>
          <w:tcPr>
            <w:tcW w:w="3544" w:type="dxa"/>
            <w:tcBorders>
              <w:top w:val="single" w:sz="8" w:space="0" w:color="F3CFC1"/>
              <w:left w:val="single" w:sz="8" w:space="0" w:color="D2232A"/>
              <w:bottom w:val="nil"/>
              <w:right w:val="single" w:sz="8" w:space="0" w:color="D2232A"/>
            </w:tcBorders>
            <w:hideMark/>
          </w:tcPr>
          <w:p w14:paraId="20889A77" w14:textId="77777777" w:rsidR="008878A0" w:rsidRDefault="008878A0" w:rsidP="00941871">
            <w:pPr>
              <w:spacing w:after="0"/>
            </w:pPr>
            <w:r>
              <w:t>Grad Zlatar</w:t>
            </w:r>
          </w:p>
        </w:tc>
      </w:tr>
    </w:tbl>
    <w:p w14:paraId="2627989D" w14:textId="77777777" w:rsidR="008878A0" w:rsidRPr="00075292" w:rsidRDefault="008878A0" w:rsidP="003C2276">
      <w:pPr>
        <w:pStyle w:val="Izvor"/>
        <w:rPr>
          <w:i/>
          <w:color w:val="ABABAB" w:themeColor="text1" w:themeTint="A6"/>
          <w:sz w:val="16"/>
          <w:szCs w:val="16"/>
        </w:rPr>
      </w:pPr>
      <w:r w:rsidRPr="00075292">
        <w:rPr>
          <w:i/>
          <w:color w:val="ABABAB" w:themeColor="text1" w:themeTint="A6"/>
          <w:sz w:val="16"/>
          <w:szCs w:val="16"/>
        </w:rPr>
        <w:t xml:space="preserve">Izvor: Ministarstvo znanosti i obrazovanja,  </w:t>
      </w:r>
      <w:hyperlink r:id="rId56" w:history="1">
        <w:r w:rsidRPr="00075292">
          <w:rPr>
            <w:i/>
            <w:color w:val="ABABAB" w:themeColor="text1" w:themeTint="A6"/>
            <w:sz w:val="16"/>
            <w:szCs w:val="16"/>
          </w:rPr>
          <w:t>ŠeR - Školski e-Rudnik</w:t>
        </w:r>
      </w:hyperlink>
    </w:p>
    <w:p w14:paraId="58168445" w14:textId="77777777" w:rsidR="008878A0" w:rsidRDefault="008878A0" w:rsidP="00941871">
      <w:pPr>
        <w:rPr>
          <w:sz w:val="22"/>
          <w:szCs w:val="22"/>
        </w:rPr>
      </w:pPr>
    </w:p>
    <w:p w14:paraId="72DD1E9C" w14:textId="698AD2FC" w:rsidR="008878A0" w:rsidRDefault="008878A0" w:rsidP="00941871">
      <w:r>
        <w:t>Srednje škole su organizirane kao gimnazije, strukovne, umjetničke (glazbene, likovne) i gospodarske škole. Gimnazija Antuna Gustava Matoša u Zaboku jedina je srednja škola koja je isključivo samo gimnazija, dok gimnazijski program postoji još u četiri srednje škole na području Krapinsko-zagorske županije (Srednja škola Krapina, Srednja škola Pregrada, Srednja škola Oroslavje, Srednja škola Zlatar). Srednje škole s gimnazijskim programima provode obrazovanje općeg, jezičnog, prirodoslovnog te prirodoslovno-matematičkog smjera.</w:t>
      </w:r>
    </w:p>
    <w:p w14:paraId="48205D66" w14:textId="2D3859DC" w:rsidR="004A26B1" w:rsidRDefault="004A26B1" w:rsidP="004A26B1">
      <w:r>
        <w:t>Srednj</w:t>
      </w:r>
      <w:r w:rsidR="00985648">
        <w:t>e</w:t>
      </w:r>
      <w:r>
        <w:t xml:space="preserve"> škol</w:t>
      </w:r>
      <w:r w:rsidR="00985648">
        <w:t>e</w:t>
      </w:r>
      <w:r>
        <w:t xml:space="preserve"> u Bedekovčini i Pregradi provode petogodišnji program za medicinske sestre i tehničare. Od četverogodišnjih srednjoškolskih programa na području županije provode se strukovni programi za zanimanja ekonomist, komercijalist, upravni referent, hotelijersko turistički tehničar, turističko-hotelijerski komercijalist, kao i programi obrazovanja iz područja elektrotehnike (tehničar za mehatroniku, tehničar za računalstvo, tehničar za električne strojeve s primijenjenim računalstvom) i strojarstvo (računalni tehničar za strojarstvo, strojarski računalni tehničar). Osim toga srednjoškolske institucije obrazuju učenike za zanimanje agrotehničara, tehničara za logistiku i špediciju i arhitektonskog te građevinskog tehničara. Programi iz područja zdravstva obrazuju učenike za zanimanje fizioterapeutskog, farmaceutskog te dentalnog tehničara. </w:t>
      </w:r>
    </w:p>
    <w:p w14:paraId="0DCCF207" w14:textId="1CABE2C1" w:rsidR="004A26B1" w:rsidRDefault="004A26B1" w:rsidP="004A26B1">
      <w:r>
        <w:t>Škola za umjetnost, dizajn, grafiku i odjeću Zabok provodi četverogodišnje programe iz područja likovne i glazbene umjetnosti čime je učenicima omogućeno stjecanje znanja i vještina za zanimanje grafički dizajner, industrijski dizajner ili dizajner odjeće. Navedeni programi provode se u okviru programa likovna umjetnost i dizajn (do izbora zanimanja) prema kojem svi učenici u I. godini obrazovanja pohađaju zajednički program, a u II. godini se opredjeljuju za jedno od navedenih zanimanja. Od ostalih programa učenici mogu odabrati jedno od zanimanja iz područja audiovizualnog oblikovanja (web dizajner, medijski tehničar, grafički tehničar) ili iz područja glazbene umjetnosti koje podrazumijeva općeobrazovni i stručni dio. Općeobrazovni dio programa učenici mogu pohađati u postojećim razrednim odjelima likovne umjetnosti i dizajna ili audiovizualnog oblikovanja, ali i u drugoj srednjoj školi ili gimnaziji, a upisati samo stručni dio glazbenog programa.</w:t>
      </w:r>
    </w:p>
    <w:p w14:paraId="1BEDFA94" w14:textId="4DC72123" w:rsidR="00825CD8" w:rsidRDefault="008878A0" w:rsidP="00941871">
      <w:r>
        <w:lastRenderedPageBreak/>
        <w:t>Na području Krapinsko-zagorske županije sedam srednjih škola provodi trogodišnje programe obrazovanja za zanimanje: prodavač, kuhar, konobar, slastičar, pomoćni kuhar i slastičar, kozmetičar, frizer, cvjećar, njegovatelj, poljoprivredni gospodarstvenik, pomoćni vrtlar, elektroinstalater, elektromehaničar, autoelektričar, automehatroničar, autolakirer, mehaničar poljoprivredne mehanizacije, CNC operater, bravar, rukovatelj samohodnim građevinskim strojevima, kao i za zanimanja zidar, monter suhe gradnje, stolar, tokar, tesar, keramičar-oblagač, soboslikar ličilac dekorater, soboslikar ličilac, instalater grijanja i klimatizacije, plinoinstalater, vodoinstalater, strojobravar.</w:t>
      </w:r>
    </w:p>
    <w:p w14:paraId="6B4F2BE1" w14:textId="77777777" w:rsidR="007823F0" w:rsidRDefault="007823F0" w:rsidP="00941871"/>
    <w:p w14:paraId="617EF0E3" w14:textId="6FF5B1C9" w:rsidR="008878A0" w:rsidRDefault="008878A0" w:rsidP="003E3F3C">
      <w:pPr>
        <w:pStyle w:val="Opisslike"/>
      </w:pPr>
      <w:r>
        <w:t xml:space="preserve">Grafikon </w:t>
      </w:r>
      <w:r w:rsidR="00151FD4">
        <w:t>2</w:t>
      </w:r>
      <w:r w:rsidR="00A668BF">
        <w:t>4</w:t>
      </w:r>
      <w:r w:rsidR="00825CD8">
        <w:rPr>
          <w:noProof/>
        </w:rPr>
        <w:t>.</w:t>
      </w:r>
      <w:r>
        <w:t xml:space="preserve"> Broj učenika prema programima srednjih škola </w:t>
      </w:r>
      <w:r w:rsidRPr="00554737">
        <w:t>(201</w:t>
      </w:r>
      <w:r w:rsidR="00554737" w:rsidRPr="00554737">
        <w:t>6</w:t>
      </w:r>
      <w:r w:rsidRPr="00554737">
        <w:t>.-20</w:t>
      </w:r>
      <w:r w:rsidR="00554737" w:rsidRPr="00554737">
        <w:t>20</w:t>
      </w:r>
      <w:r w:rsidRPr="00554737">
        <w:t>.)</w:t>
      </w:r>
    </w:p>
    <w:p w14:paraId="4862C4AA" w14:textId="61AE9CC0" w:rsidR="008878A0" w:rsidRDefault="00554737" w:rsidP="00151FD4">
      <w:pPr>
        <w:spacing w:after="0"/>
      </w:pPr>
      <w:r>
        <w:rPr>
          <w:noProof/>
        </w:rPr>
        <w:drawing>
          <wp:inline distT="0" distB="0" distL="0" distR="0" wp14:anchorId="0C2BC611" wp14:editId="3580372F">
            <wp:extent cx="5829300" cy="2324100"/>
            <wp:effectExtent l="0" t="0" r="0" b="0"/>
            <wp:docPr id="24" name="Grafikon 24">
              <a:extLst xmlns:a="http://schemas.openxmlformats.org/drawingml/2006/main">
                <a:ext uri="{FF2B5EF4-FFF2-40B4-BE49-F238E27FC236}">
                  <a16:creationId xmlns:a16="http://schemas.microsoft.com/office/drawing/2014/main" id="{52952A6B-5ABA-4773-AAA3-B6FC9F4AD0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698D3A0" w14:textId="01FF4F4E" w:rsidR="008878A0" w:rsidRDefault="008878A0" w:rsidP="00151FD4">
      <w:pPr>
        <w:pStyle w:val="Izvor"/>
        <w:spacing w:after="0"/>
        <w:rPr>
          <w:i/>
          <w:color w:val="ABABAB" w:themeColor="text1" w:themeTint="A6"/>
          <w:sz w:val="16"/>
          <w:szCs w:val="16"/>
        </w:rPr>
      </w:pPr>
      <w:r w:rsidRPr="00075292">
        <w:rPr>
          <w:i/>
          <w:color w:val="ABABAB" w:themeColor="text1" w:themeTint="A6"/>
          <w:sz w:val="16"/>
          <w:szCs w:val="16"/>
        </w:rPr>
        <w:t>Izvor: Upravni odjel za obrazovanje, kulturu, šport i tehničku kulturu</w:t>
      </w:r>
      <w:r w:rsidR="00075292" w:rsidRPr="00075292">
        <w:rPr>
          <w:i/>
          <w:color w:val="ABABAB" w:themeColor="text1" w:themeTint="A6"/>
          <w:sz w:val="16"/>
          <w:szCs w:val="16"/>
        </w:rPr>
        <w:t>, 2021</w:t>
      </w:r>
    </w:p>
    <w:p w14:paraId="63C8B534" w14:textId="68FB6929" w:rsidR="00C26B1C" w:rsidRDefault="000C6C8D" w:rsidP="00C26B1C">
      <w:pPr>
        <w:rPr>
          <w:rFonts w:asciiTheme="minorHAnsi" w:hAnsiTheme="minorHAnsi"/>
          <w:color w:val="auto"/>
          <w:sz w:val="22"/>
        </w:rPr>
      </w:pPr>
      <w:r>
        <w:t>Promatrajući</w:t>
      </w:r>
      <w:r w:rsidR="00C26B1C">
        <w:t xml:space="preserve"> kretanj</w:t>
      </w:r>
      <w:r>
        <w:t>e</w:t>
      </w:r>
      <w:r w:rsidR="00C26B1C">
        <w:t xml:space="preserve"> broja učenika po srednjoškolskim programima</w:t>
      </w:r>
      <w:r>
        <w:t xml:space="preserve"> vidljivo je da</w:t>
      </w:r>
      <w:r w:rsidR="00C26B1C">
        <w:t xml:space="preserve"> najveći dio učenika upisuje programe četverogodišnjeg strukovnog obrazovanja</w:t>
      </w:r>
      <w:r w:rsidR="00537B64">
        <w:t xml:space="preserve"> te gimnazijske programe. </w:t>
      </w:r>
      <w:r w:rsidR="00C26B1C">
        <w:t>Broj učenika koji upisuju spomenute programe se smanjuje što je u skladu s negativnim demografskim kretanjima, ali je istovremeno primjetan porast interesa učenika za upis programa trogodišnjeg strukovnog obrazovanja (posebice u šk. god. 20</w:t>
      </w:r>
      <w:r w:rsidR="00537B64">
        <w:t>20</w:t>
      </w:r>
      <w:r w:rsidR="00C26B1C">
        <w:t>./202</w:t>
      </w:r>
      <w:r w:rsidR="00537B64">
        <w:t>1</w:t>
      </w:r>
      <w:r w:rsidR="00C26B1C">
        <w:t xml:space="preserve">.), što ujedno karakterizira povezanost s gospodarskim kretanjima i potrebama tržišta rada. Programi obrazovanja u trogodišnjem trajanju pripremaju učenike za rad u industriji, gospodarstvu i obrtništvu s primarnim ciljem pripreme učenika za rad u određenom zanimanju, uz naglasak na brzo uključivanje na tržište rada. </w:t>
      </w:r>
    </w:p>
    <w:p w14:paraId="1AC51489" w14:textId="704F112D" w:rsidR="008658ED" w:rsidRDefault="004A26B1" w:rsidP="004A26B1">
      <w:r>
        <w:t>Broj upisanih učenika u srednje škole Krapinsko-zagorske županije u razdoblju od 2015./2016. godine do 20</w:t>
      </w:r>
      <w:r w:rsidR="00FF2B3D">
        <w:t>20</w:t>
      </w:r>
      <w:r>
        <w:t>./202</w:t>
      </w:r>
      <w:r w:rsidR="00FF2B3D">
        <w:t>1</w:t>
      </w:r>
      <w:r>
        <w:t>. godine opada što je posljedica dugogodišnjih negativnih demografskih kretanja na regionalnoj i nacionalnoj razini.</w:t>
      </w:r>
      <w:r w:rsidR="008878A0">
        <w:t xml:space="preserve"> Odlukom o upisu učenika u I. razred srednje škole u školskoj godini 20</w:t>
      </w:r>
      <w:r w:rsidR="00FF2B3D">
        <w:t>20</w:t>
      </w:r>
      <w:r w:rsidR="008878A0">
        <w:t>./202</w:t>
      </w:r>
      <w:r w:rsidR="00FF2B3D">
        <w:t>1</w:t>
      </w:r>
      <w:r w:rsidR="008878A0">
        <w:t>. Ministarstva znanosti i obrazovanja u 1</w:t>
      </w:r>
      <w:r w:rsidR="00FF2B3D">
        <w:t>1</w:t>
      </w:r>
      <w:r w:rsidR="00FF2B3D">
        <w:rPr>
          <w:rStyle w:val="Referencafusnote"/>
        </w:rPr>
        <w:footnoteReference w:id="53"/>
      </w:r>
      <w:r w:rsidR="008878A0">
        <w:t xml:space="preserve"> srednjih škola Krapinsko-zagorske županije predviđeno je 1.41</w:t>
      </w:r>
      <w:r w:rsidR="00FF2B3D">
        <w:t>5</w:t>
      </w:r>
      <w:r w:rsidR="008878A0">
        <w:t xml:space="preserve"> upisnih mjesta u ukupno 67 razrednih odjela</w:t>
      </w:r>
      <w:r w:rsidR="008878A0">
        <w:rPr>
          <w:rStyle w:val="Referencafusnote"/>
        </w:rPr>
        <w:footnoteReference w:id="54"/>
      </w:r>
      <w:r w:rsidR="008878A0">
        <w:t xml:space="preserve">. </w:t>
      </w:r>
    </w:p>
    <w:p w14:paraId="7306966C" w14:textId="032A8693" w:rsidR="008878A0" w:rsidRDefault="008878A0" w:rsidP="00941871">
      <w:r>
        <w:t>Upis učenika vrši se elektroničkim načinom putem mrežne stranice Nacionalnoga informacijskog sustava prijava i upisa u srednje škole (</w:t>
      </w:r>
      <w:hyperlink r:id="rId58" w:history="1">
        <w:r>
          <w:rPr>
            <w:rStyle w:val="Hiperveza"/>
          </w:rPr>
          <w:t>www.upisi.hr</w:t>
        </w:r>
      </w:hyperlink>
      <w:r>
        <w:t>), a na temelju natječaja za upis koji raspisuju i objavljuju škole.</w:t>
      </w:r>
      <w:r w:rsidR="00A869AE">
        <w:t xml:space="preserve"> </w:t>
      </w:r>
      <w:r>
        <w:t>Broj upisnih mjesta u skladu je s brojem učenika koji završavaju 8</w:t>
      </w:r>
      <w:r w:rsidR="00985648">
        <w:t>.</w:t>
      </w:r>
      <w:r>
        <w:t xml:space="preserve"> razred osnovne škole uvećan za 200 s obzirom da upisno područje za srednje škole nije ograničeno već je jedinstveno za cijelu državu te je učenicima iz drugih županija omogućeno da upišu srednju školu u Krapinsko-zagorskoj županiji</w:t>
      </w:r>
      <w:r w:rsidR="00985648">
        <w:t>. To</w:t>
      </w:r>
      <w:r>
        <w:t xml:space="preserve"> vrijedi i za upis učenika iz Krapinsko-zagorske županije u srednju školu neke druge županije.</w:t>
      </w:r>
    </w:p>
    <w:p w14:paraId="5EC5B0F5" w14:textId="77777777" w:rsidR="00096498" w:rsidRDefault="00096498" w:rsidP="00941871"/>
    <w:p w14:paraId="61228D6E" w14:textId="3784BFC5" w:rsidR="008878A0" w:rsidRDefault="008878A0" w:rsidP="003E3F3C">
      <w:pPr>
        <w:pStyle w:val="Opisslike"/>
      </w:pPr>
      <w:r>
        <w:lastRenderedPageBreak/>
        <w:t xml:space="preserve">Grafikon </w:t>
      </w:r>
      <w:r w:rsidR="00151FD4">
        <w:rPr>
          <w:noProof/>
        </w:rPr>
        <w:t>2</w:t>
      </w:r>
      <w:r w:rsidR="00A668BF">
        <w:rPr>
          <w:noProof/>
        </w:rPr>
        <w:t>5</w:t>
      </w:r>
      <w:r w:rsidR="00FB11F9">
        <w:rPr>
          <w:noProof/>
        </w:rPr>
        <w:t>.</w:t>
      </w:r>
      <w:r w:rsidR="00825CD8">
        <w:t xml:space="preserve"> </w:t>
      </w:r>
      <w:r>
        <w:t>Broj učenika u srednjim školama Krapinsko-zagorske županije (201</w:t>
      </w:r>
      <w:r w:rsidR="009C690C">
        <w:t>6</w:t>
      </w:r>
      <w:r>
        <w:t>.-20</w:t>
      </w:r>
      <w:r w:rsidR="009C690C">
        <w:t>20</w:t>
      </w:r>
      <w:r>
        <w:t>.)</w:t>
      </w:r>
    </w:p>
    <w:p w14:paraId="4A68AC19" w14:textId="58142C23" w:rsidR="008878A0" w:rsidRPr="0047074D" w:rsidRDefault="009C690C" w:rsidP="00151FD4">
      <w:pPr>
        <w:spacing w:after="0"/>
      </w:pPr>
      <w:r>
        <w:rPr>
          <w:noProof/>
        </w:rPr>
        <w:drawing>
          <wp:inline distT="0" distB="0" distL="0" distR="0" wp14:anchorId="6DBD532C" wp14:editId="62FC1651">
            <wp:extent cx="5783580" cy="2758440"/>
            <wp:effectExtent l="0" t="0" r="7620" b="3810"/>
            <wp:docPr id="23" name="Grafikon 23">
              <a:extLst xmlns:a="http://schemas.openxmlformats.org/drawingml/2006/main">
                <a:ext uri="{FF2B5EF4-FFF2-40B4-BE49-F238E27FC236}">
                  <a16:creationId xmlns:a16="http://schemas.microsoft.com/office/drawing/2014/main" id="{3B9F12A6-51E6-4FB5-A1E0-8D5016987F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6FE3BD08" w14:textId="19867EDF" w:rsidR="008878A0" w:rsidRPr="009C690C" w:rsidRDefault="008878A0" w:rsidP="00151FD4">
      <w:pPr>
        <w:pStyle w:val="Izvor"/>
        <w:spacing w:after="0"/>
        <w:rPr>
          <w:i/>
          <w:color w:val="ABABAB" w:themeColor="text1" w:themeTint="A6"/>
          <w:sz w:val="16"/>
          <w:szCs w:val="16"/>
        </w:rPr>
      </w:pPr>
      <w:r w:rsidRPr="009C690C">
        <w:rPr>
          <w:i/>
          <w:color w:val="ABABAB" w:themeColor="text1" w:themeTint="A6"/>
          <w:sz w:val="16"/>
          <w:szCs w:val="16"/>
        </w:rPr>
        <w:t>Izvor: Upravni odjel za obrazovanje, kulturu, šport i tehničku kulturu</w:t>
      </w:r>
      <w:r w:rsidR="009C690C">
        <w:rPr>
          <w:i/>
          <w:color w:val="ABABAB" w:themeColor="text1" w:themeTint="A6"/>
          <w:sz w:val="16"/>
          <w:szCs w:val="16"/>
        </w:rPr>
        <w:t>, 2021</w:t>
      </w:r>
    </w:p>
    <w:p w14:paraId="0ED7C542" w14:textId="77777777" w:rsidR="008878A0" w:rsidRDefault="008878A0" w:rsidP="00941871">
      <w:pPr>
        <w:rPr>
          <w:color w:val="auto"/>
        </w:rPr>
      </w:pPr>
    </w:p>
    <w:p w14:paraId="17103A90" w14:textId="59A9F021" w:rsidR="00B74FA7" w:rsidRDefault="004A26B1" w:rsidP="00941871">
      <w:r w:rsidRPr="004A26B1">
        <w:t>U školskoj godini 20</w:t>
      </w:r>
      <w:r w:rsidR="00F66B4B">
        <w:t>20</w:t>
      </w:r>
      <w:r w:rsidRPr="004A26B1">
        <w:t>./202</w:t>
      </w:r>
      <w:r w:rsidR="00F66B4B">
        <w:t>1</w:t>
      </w:r>
      <w:r w:rsidRPr="004A26B1">
        <w:t xml:space="preserve">. prosječan broj učenika po srednjoj školi u Krapinsko-zagorskoj županiji iznosi </w:t>
      </w:r>
      <w:r w:rsidR="007C30A7" w:rsidRPr="004A26B1">
        <w:t>43</w:t>
      </w:r>
      <w:r w:rsidR="007C30A7">
        <w:t>2</w:t>
      </w:r>
      <w:r w:rsidR="007C30A7" w:rsidRPr="004A26B1">
        <w:t xml:space="preserve"> </w:t>
      </w:r>
      <w:r w:rsidRPr="004A26B1">
        <w:t>učenika</w:t>
      </w:r>
      <w:r w:rsidR="00E217A0">
        <w:t xml:space="preserve">. </w:t>
      </w:r>
      <w:r w:rsidRPr="004A26B1">
        <w:t xml:space="preserve">S obzirom na nedostatne kapacitete većina srednjih škola radi u dvije smjene, a samo dvije škole rade u jednoj smjeni koja se ne rotira (Gimnazija Antuna Gustava Matoša u Zaboku te Srednja škola Konjščina). </w:t>
      </w:r>
      <w:r w:rsidR="00005FE7">
        <w:t xml:space="preserve">Na početku školske godine 2019./2020. </w:t>
      </w:r>
      <w:commentRangeStart w:id="117"/>
      <w:r w:rsidRPr="004A26B1">
        <w:t xml:space="preserve">Na razini </w:t>
      </w:r>
      <w:r w:rsidR="00C7437E">
        <w:t>Sjevern</w:t>
      </w:r>
      <w:r w:rsidR="00681866">
        <w:t>e</w:t>
      </w:r>
      <w:r w:rsidRPr="004A26B1">
        <w:t xml:space="preserve"> Hrvatske prosječan broj učenika po </w:t>
      </w:r>
      <w:r w:rsidR="0084738A">
        <w:t xml:space="preserve">srednjoj </w:t>
      </w:r>
      <w:r w:rsidRPr="004A26B1">
        <w:t xml:space="preserve">školi iznosi </w:t>
      </w:r>
      <w:r w:rsidR="00681866">
        <w:t>432</w:t>
      </w:r>
      <w:r w:rsidRPr="004A26B1">
        <w:t xml:space="preserve"> učenika, a na razini Republike Hrvatske 360. </w:t>
      </w:r>
      <w:commentRangeEnd w:id="117"/>
      <w:r w:rsidR="0015128E">
        <w:rPr>
          <w:rStyle w:val="Referencakomentara"/>
          <w:rFonts w:asciiTheme="minorHAnsi" w:eastAsiaTheme="minorHAnsi" w:hAnsiTheme="minorHAnsi"/>
          <w:color w:val="auto"/>
        </w:rPr>
        <w:commentReference w:id="117"/>
      </w:r>
    </w:p>
    <w:p w14:paraId="0220F946" w14:textId="62AF8811" w:rsidR="004A26B1" w:rsidRDefault="004A26B1" w:rsidP="00941871">
      <w:r w:rsidRPr="004A26B1">
        <w:t>Iako se broj učenika smanjuje i dalje u većini slučajeva nedosta</w:t>
      </w:r>
      <w:r w:rsidR="0084738A">
        <w:t>je</w:t>
      </w:r>
      <w:r w:rsidRPr="004A26B1">
        <w:t xml:space="preserve"> infrastruktur</w:t>
      </w:r>
      <w:r w:rsidR="0084738A">
        <w:t>a</w:t>
      </w:r>
      <w:r w:rsidRPr="004A26B1">
        <w:t xml:space="preserve"> za adekvatno održavanje nastave</w:t>
      </w:r>
      <w:r w:rsidR="0084738A">
        <w:t>. U</w:t>
      </w:r>
      <w:r w:rsidRPr="004A26B1">
        <w:t xml:space="preserve"> srednjim strukovnim školama</w:t>
      </w:r>
      <w:r w:rsidR="00AA16BA">
        <w:t xml:space="preserve"> </w:t>
      </w:r>
      <w:r w:rsidRPr="004A26B1">
        <w:t>oprem</w:t>
      </w:r>
      <w:r w:rsidR="0084738A">
        <w:t>a</w:t>
      </w:r>
      <w:r w:rsidRPr="004A26B1">
        <w:t xml:space="preserve"> i pomagala za održavanje nastave</w:t>
      </w:r>
      <w:r w:rsidR="0084738A">
        <w:t xml:space="preserve"> su zastarjela ili ih nema</w:t>
      </w:r>
      <w:r w:rsidRPr="004A26B1">
        <w:t>. Pozitivan pomak vidljiv je u pogledu izgradnje i opremanja lokalne računalne mreže srednjih škola Krapinsko-zagorske županije kroz projekt „e-škole“ Hrvatske akademske i istraživačke mreže – CARNET. Projektom će se uspostaviti i opremiti lokalna računalna mreža škole koja će biti korištena u nastavnim i poslovnim procesima škole.</w:t>
      </w:r>
      <w:r w:rsidR="00B74FA7">
        <w:t xml:space="preserve"> </w:t>
      </w:r>
      <w:r w:rsidR="00B74FA7" w:rsidRPr="00B74FA7">
        <w:t>Većina srednjih škola etablirane su obrazovne ustanove s brojnim uspjesima svojih učenika i nastavnika, nizom provedenih projekata sufinanciranih s nacionalne i europske razine te bogatim izvanškolskim programima.</w:t>
      </w:r>
    </w:p>
    <w:p w14:paraId="3DD6A1F3" w14:textId="77777777" w:rsidR="008878A0" w:rsidRDefault="008878A0" w:rsidP="00941871">
      <w:r>
        <w:t>Krapinsko-zagorska županija već dugi niz godina dodjeljuje županijske stipendije učenicima srednjih škola i studentima koji imaju prebivalište na području Krapinsko-zagorske županije. Stipendije se dodjeljuju putem natječaja za dodjelu stipendija koji provodi Upravni odjel za obrazovanje, kulturu, šport i tehničku kulturu, a županijske stipendije se dodjeljuju u tri kategorije: stipendije za nadarene učenike i studente, stipendije za učenike i studente po socijalnom kriteriju te stipendije za učenike i studente koji se školuju za deficitarna zanimanja</w:t>
      </w:r>
      <w:r>
        <w:rPr>
          <w:rStyle w:val="Referencafusnote"/>
        </w:rPr>
        <w:footnoteReference w:id="55"/>
      </w:r>
      <w:r>
        <w:t>.</w:t>
      </w:r>
    </w:p>
    <w:p w14:paraId="69EC8956" w14:textId="4AC7A8C4" w:rsidR="00A869AE" w:rsidRPr="00A869AE" w:rsidRDefault="004A26B1" w:rsidP="00A869AE">
      <w:r w:rsidRPr="004A26B1">
        <w:t>U protekle tri godine broj upisanih učenika u obrazovni program deficitarnih zanimanja porastao je s 49 (šk. god. 2017./2018.) na 117 u šk. god. 2019./2020.</w:t>
      </w:r>
      <w:r w:rsidR="002E2192">
        <w:t xml:space="preserve"> </w:t>
      </w:r>
      <w:r w:rsidR="002E2192" w:rsidRPr="002E2192">
        <w:t xml:space="preserve">dok se u školskoj godini 2020./2021. </w:t>
      </w:r>
      <w:r w:rsidR="002E2192">
        <w:t xml:space="preserve">ta </w:t>
      </w:r>
      <w:r w:rsidR="002E2192" w:rsidRPr="002E2192">
        <w:t xml:space="preserve">brojka malo smanjuje te broj učenika koji upisuje obrazovni program deficitarnih zanimanja </w:t>
      </w:r>
      <w:r w:rsidR="002E2192">
        <w:t>iznosi</w:t>
      </w:r>
      <w:r w:rsidR="002E2192" w:rsidRPr="002E2192">
        <w:t xml:space="preserve"> 93.</w:t>
      </w:r>
      <w:r w:rsidR="00A869AE">
        <w:t xml:space="preserve"> </w:t>
      </w:r>
      <w:r w:rsidR="00A869AE" w:rsidRPr="00A869AE">
        <w:t>Uz stipendije Županije za učenike koji upisuju obrazovne programe deficitarnih zanimanja, velik utjecaj na popularizaciju upisa deficitarnih zanimanja može se pripisati i provedbi promotivnih aktivnosti u organizaciji Krapinsko-zagorske županije, županijske Obrtničke komore, Hrvatske gospodarske komore -Županijska komora Krapina te Hrvatskog zavoda za zapošljavanje - Područni ured Krapina u suradnji sa srednjim školama Krapinsko-zagorske županije. Promocija deficitarnih zanimanja putem brošura i održavanja sajma poslova provodi se i projektom „ENTER-Entrepreneurship for Employment“ čiji je nositelj Zagorska razvojna agencija.</w:t>
      </w:r>
      <w:r w:rsidR="00A869AE">
        <w:t>, a provedba je započela u 2018. godini.</w:t>
      </w:r>
    </w:p>
    <w:p w14:paraId="7E3F9B35" w14:textId="77777777" w:rsidR="004A26B1" w:rsidRDefault="004A26B1" w:rsidP="00941871"/>
    <w:p w14:paraId="12D7FAAE" w14:textId="1662DE62" w:rsidR="004E4E19" w:rsidRPr="004E4E19" w:rsidRDefault="008878A0" w:rsidP="003E3F3C">
      <w:pPr>
        <w:pStyle w:val="Opisslike"/>
      </w:pPr>
      <w:r>
        <w:t xml:space="preserve">Tablica </w:t>
      </w:r>
      <w:r w:rsidR="000134D7">
        <w:rPr>
          <w:noProof/>
        </w:rPr>
        <w:t>5</w:t>
      </w:r>
      <w:r w:rsidR="00004F7D">
        <w:rPr>
          <w:noProof/>
        </w:rPr>
        <w:t>7</w:t>
      </w:r>
      <w:r w:rsidR="0018019C">
        <w:rPr>
          <w:noProof/>
        </w:rPr>
        <w:t>.</w:t>
      </w:r>
      <w:r w:rsidR="00825CD8">
        <w:t xml:space="preserve"> </w:t>
      </w:r>
      <w:r>
        <w:t>Pregled strukture upisa deficitarnih zanimanja u srednjim školama (2017.-20</w:t>
      </w:r>
      <w:r w:rsidR="002E2192">
        <w:t>20)</w:t>
      </w:r>
    </w:p>
    <w:tbl>
      <w:tblPr>
        <w:tblW w:w="4959" w:type="pct"/>
        <w:tblLook w:val="04A0" w:firstRow="1" w:lastRow="0" w:firstColumn="1" w:lastColumn="0" w:noHBand="0" w:noVBand="1"/>
      </w:tblPr>
      <w:tblGrid>
        <w:gridCol w:w="3101"/>
        <w:gridCol w:w="1541"/>
        <w:gridCol w:w="1541"/>
        <w:gridCol w:w="1472"/>
        <w:gridCol w:w="1559"/>
      </w:tblGrid>
      <w:tr w:rsidR="002E2192" w14:paraId="2E0AE81B" w14:textId="51A3526D" w:rsidTr="002E2192">
        <w:trPr>
          <w:trHeight w:val="283"/>
          <w:tblHeader/>
        </w:trPr>
        <w:tc>
          <w:tcPr>
            <w:tcW w:w="1683" w:type="pct"/>
            <w:tcBorders>
              <w:bottom w:val="single" w:sz="8" w:space="0" w:color="F3CFC1"/>
            </w:tcBorders>
            <w:shd w:val="clear" w:color="auto" w:fill="D2232A"/>
            <w:noWrap/>
            <w:vAlign w:val="center"/>
            <w:hideMark/>
          </w:tcPr>
          <w:p w14:paraId="410E5A77" w14:textId="77777777" w:rsidR="002E2192" w:rsidRPr="00096498" w:rsidRDefault="002E2192" w:rsidP="00C26B1C">
            <w:pPr>
              <w:spacing w:after="0"/>
              <w:jc w:val="center"/>
              <w:rPr>
                <w:color w:val="FFFFFF" w:themeColor="background1"/>
              </w:rPr>
            </w:pPr>
            <w:r w:rsidRPr="00096498">
              <w:rPr>
                <w:color w:val="FFFFFF" w:themeColor="background1"/>
              </w:rPr>
              <w:t>DEFICITARNO ZANIMANJE</w:t>
            </w:r>
          </w:p>
        </w:tc>
        <w:tc>
          <w:tcPr>
            <w:tcW w:w="836" w:type="pct"/>
            <w:tcBorders>
              <w:bottom w:val="single" w:sz="8" w:space="0" w:color="F3CFC1"/>
            </w:tcBorders>
            <w:shd w:val="clear" w:color="auto" w:fill="D2232A"/>
            <w:noWrap/>
            <w:vAlign w:val="center"/>
            <w:hideMark/>
          </w:tcPr>
          <w:p w14:paraId="5EB1638A" w14:textId="64B8955A" w:rsidR="002E2192" w:rsidRPr="00096498" w:rsidRDefault="002E2192" w:rsidP="00C26B1C">
            <w:pPr>
              <w:spacing w:after="0"/>
              <w:jc w:val="center"/>
              <w:rPr>
                <w:color w:val="FFFFFF" w:themeColor="background1"/>
              </w:rPr>
            </w:pPr>
            <w:r w:rsidRPr="00096498">
              <w:rPr>
                <w:color w:val="FFFFFF" w:themeColor="background1"/>
              </w:rPr>
              <w:t>Školska godina</w:t>
            </w:r>
          </w:p>
          <w:p w14:paraId="56449CF1" w14:textId="77777777" w:rsidR="002E2192" w:rsidRPr="00096498" w:rsidRDefault="002E2192" w:rsidP="00C26B1C">
            <w:pPr>
              <w:spacing w:after="0"/>
              <w:jc w:val="center"/>
              <w:rPr>
                <w:color w:val="FFFFFF" w:themeColor="background1"/>
              </w:rPr>
            </w:pPr>
            <w:r w:rsidRPr="00096498">
              <w:rPr>
                <w:color w:val="FFFFFF" w:themeColor="background1"/>
              </w:rPr>
              <w:t>2017./2018.</w:t>
            </w:r>
          </w:p>
        </w:tc>
        <w:tc>
          <w:tcPr>
            <w:tcW w:w="836" w:type="pct"/>
            <w:tcBorders>
              <w:bottom w:val="single" w:sz="8" w:space="0" w:color="F3CFC1"/>
            </w:tcBorders>
            <w:shd w:val="clear" w:color="auto" w:fill="D2232A"/>
            <w:noWrap/>
            <w:vAlign w:val="center"/>
            <w:hideMark/>
          </w:tcPr>
          <w:p w14:paraId="2145B467" w14:textId="77777777" w:rsidR="002E2192" w:rsidRPr="00096498" w:rsidRDefault="002E2192" w:rsidP="00C26B1C">
            <w:pPr>
              <w:spacing w:after="0"/>
              <w:jc w:val="center"/>
              <w:rPr>
                <w:color w:val="FFFFFF" w:themeColor="background1"/>
              </w:rPr>
            </w:pPr>
            <w:r w:rsidRPr="00096498">
              <w:rPr>
                <w:color w:val="FFFFFF" w:themeColor="background1"/>
              </w:rPr>
              <w:t>Školska godina</w:t>
            </w:r>
          </w:p>
          <w:p w14:paraId="0A2687A6" w14:textId="77777777" w:rsidR="002E2192" w:rsidRPr="00096498" w:rsidRDefault="002E2192" w:rsidP="00C26B1C">
            <w:pPr>
              <w:spacing w:after="0"/>
              <w:jc w:val="center"/>
              <w:rPr>
                <w:color w:val="FFFFFF" w:themeColor="background1"/>
              </w:rPr>
            </w:pPr>
            <w:r w:rsidRPr="00096498">
              <w:rPr>
                <w:color w:val="FFFFFF" w:themeColor="background1"/>
              </w:rPr>
              <w:t>2018./2019.</w:t>
            </w:r>
          </w:p>
        </w:tc>
        <w:tc>
          <w:tcPr>
            <w:tcW w:w="799" w:type="pct"/>
            <w:tcBorders>
              <w:bottom w:val="single" w:sz="8" w:space="0" w:color="F3CFC1"/>
              <w:right w:val="single" w:sz="8" w:space="0" w:color="D2232A"/>
            </w:tcBorders>
            <w:shd w:val="clear" w:color="auto" w:fill="D2232A"/>
            <w:noWrap/>
            <w:vAlign w:val="center"/>
            <w:hideMark/>
          </w:tcPr>
          <w:p w14:paraId="032E8F93" w14:textId="184695BC" w:rsidR="002E2192" w:rsidRPr="00096498" w:rsidRDefault="002E2192" w:rsidP="00C26B1C">
            <w:pPr>
              <w:spacing w:after="0"/>
              <w:jc w:val="center"/>
              <w:rPr>
                <w:color w:val="FFFFFF" w:themeColor="background1"/>
              </w:rPr>
            </w:pPr>
            <w:r w:rsidRPr="00096498">
              <w:rPr>
                <w:color w:val="FFFFFF" w:themeColor="background1"/>
              </w:rPr>
              <w:t>Školska godina</w:t>
            </w:r>
          </w:p>
          <w:p w14:paraId="2C46AA95" w14:textId="77777777" w:rsidR="002E2192" w:rsidRPr="00096498" w:rsidRDefault="002E2192" w:rsidP="00C26B1C">
            <w:pPr>
              <w:spacing w:after="0"/>
              <w:jc w:val="center"/>
              <w:rPr>
                <w:color w:val="FFFFFF" w:themeColor="background1"/>
              </w:rPr>
            </w:pPr>
            <w:r w:rsidRPr="00096498">
              <w:rPr>
                <w:color w:val="FFFFFF" w:themeColor="background1"/>
              </w:rPr>
              <w:t>2019./2020.</w:t>
            </w:r>
          </w:p>
        </w:tc>
        <w:tc>
          <w:tcPr>
            <w:tcW w:w="846" w:type="pct"/>
            <w:tcBorders>
              <w:bottom w:val="single" w:sz="8" w:space="0" w:color="F3CFC1"/>
              <w:right w:val="single" w:sz="8" w:space="0" w:color="D2232A"/>
            </w:tcBorders>
            <w:shd w:val="clear" w:color="auto" w:fill="D2232A"/>
          </w:tcPr>
          <w:p w14:paraId="7A1E4450" w14:textId="77777777" w:rsidR="002E2192" w:rsidRPr="00096498" w:rsidRDefault="002E2192" w:rsidP="002E2192">
            <w:pPr>
              <w:spacing w:after="0"/>
              <w:jc w:val="center"/>
              <w:rPr>
                <w:color w:val="FFFFFF" w:themeColor="background1"/>
              </w:rPr>
            </w:pPr>
            <w:r w:rsidRPr="00096498">
              <w:rPr>
                <w:color w:val="FFFFFF" w:themeColor="background1"/>
              </w:rPr>
              <w:t>Školska godina</w:t>
            </w:r>
          </w:p>
          <w:p w14:paraId="019E05CE" w14:textId="79C29A42" w:rsidR="002E2192" w:rsidRPr="00096498" w:rsidRDefault="002E2192" w:rsidP="002E2192">
            <w:pPr>
              <w:spacing w:after="0"/>
              <w:jc w:val="center"/>
              <w:rPr>
                <w:color w:val="FFFFFF" w:themeColor="background1"/>
              </w:rPr>
            </w:pPr>
            <w:r w:rsidRPr="00096498">
              <w:rPr>
                <w:color w:val="FFFFFF" w:themeColor="background1"/>
              </w:rPr>
              <w:t>20</w:t>
            </w:r>
            <w:r>
              <w:rPr>
                <w:color w:val="FFFFFF" w:themeColor="background1"/>
              </w:rPr>
              <w:t>20</w:t>
            </w:r>
            <w:r w:rsidRPr="00096498">
              <w:rPr>
                <w:color w:val="FFFFFF" w:themeColor="background1"/>
              </w:rPr>
              <w:t>./202</w:t>
            </w:r>
            <w:r>
              <w:rPr>
                <w:color w:val="FFFFFF" w:themeColor="background1"/>
              </w:rPr>
              <w:t>1</w:t>
            </w:r>
            <w:r w:rsidRPr="00096498">
              <w:rPr>
                <w:color w:val="FFFFFF" w:themeColor="background1"/>
              </w:rPr>
              <w:t>.</w:t>
            </w:r>
          </w:p>
        </w:tc>
      </w:tr>
      <w:tr w:rsidR="002E2192" w14:paraId="477D7C98" w14:textId="26515A06"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73771358" w14:textId="77777777" w:rsidR="002E2192" w:rsidRPr="00096498" w:rsidRDefault="002E2192" w:rsidP="00C26B1C">
            <w:pPr>
              <w:spacing w:after="0"/>
              <w:rPr>
                <w:color w:val="FFFFFF" w:themeColor="background1"/>
              </w:rPr>
            </w:pPr>
            <w:r w:rsidRPr="00096498">
              <w:rPr>
                <w:color w:val="FFFFFF" w:themeColor="background1"/>
              </w:rPr>
              <w:t>zidar/zidarica</w:t>
            </w:r>
          </w:p>
        </w:tc>
        <w:tc>
          <w:tcPr>
            <w:tcW w:w="836" w:type="pct"/>
            <w:tcBorders>
              <w:top w:val="single" w:sz="8" w:space="0" w:color="F3CFC1"/>
              <w:bottom w:val="single" w:sz="8" w:space="0" w:color="F3CFC1"/>
              <w:right w:val="single" w:sz="8" w:space="0" w:color="D2232A"/>
            </w:tcBorders>
            <w:noWrap/>
            <w:vAlign w:val="center"/>
            <w:hideMark/>
          </w:tcPr>
          <w:p w14:paraId="3A2E185F" w14:textId="77777777" w:rsidR="002E2192" w:rsidRDefault="002E2192" w:rsidP="00C26B1C">
            <w:pPr>
              <w:spacing w:after="0"/>
              <w:jc w:val="right"/>
            </w:pPr>
            <w:r>
              <w:t>0</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1569C2AA" w14:textId="77777777" w:rsidR="002E2192" w:rsidRDefault="002E2192" w:rsidP="00C26B1C">
            <w:pPr>
              <w:spacing w:after="0"/>
              <w:jc w:val="right"/>
            </w:pPr>
            <w:r>
              <w:t>5</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155DB88B" w14:textId="77777777" w:rsidR="002E2192" w:rsidRDefault="002E2192" w:rsidP="00C26B1C">
            <w:pPr>
              <w:spacing w:after="0"/>
              <w:jc w:val="right"/>
            </w:pPr>
            <w:r>
              <w:t>0</w:t>
            </w:r>
          </w:p>
        </w:tc>
        <w:tc>
          <w:tcPr>
            <w:tcW w:w="846" w:type="pct"/>
            <w:tcBorders>
              <w:top w:val="single" w:sz="8" w:space="0" w:color="F3CFC1"/>
              <w:left w:val="single" w:sz="8" w:space="0" w:color="D2232A"/>
              <w:bottom w:val="single" w:sz="8" w:space="0" w:color="F3CFC1"/>
              <w:right w:val="single" w:sz="8" w:space="0" w:color="D2232A"/>
            </w:tcBorders>
          </w:tcPr>
          <w:p w14:paraId="19F755C6" w14:textId="15410B86" w:rsidR="002E2192" w:rsidRDefault="002E2192" w:rsidP="00C26B1C">
            <w:pPr>
              <w:spacing w:after="0"/>
              <w:jc w:val="right"/>
            </w:pPr>
            <w:r>
              <w:t>0</w:t>
            </w:r>
          </w:p>
        </w:tc>
      </w:tr>
      <w:tr w:rsidR="002E2192" w14:paraId="1BBE80C9" w14:textId="40A257BF"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3421B3BA" w14:textId="77777777" w:rsidR="002E2192" w:rsidRPr="00096498" w:rsidRDefault="002E2192" w:rsidP="00C26B1C">
            <w:pPr>
              <w:spacing w:after="0"/>
              <w:rPr>
                <w:color w:val="FFFFFF" w:themeColor="background1"/>
              </w:rPr>
            </w:pPr>
            <w:r w:rsidRPr="00096498">
              <w:rPr>
                <w:color w:val="FFFFFF" w:themeColor="background1"/>
              </w:rPr>
              <w:lastRenderedPageBreak/>
              <w:t>tesar/tesarica</w:t>
            </w:r>
          </w:p>
        </w:tc>
        <w:tc>
          <w:tcPr>
            <w:tcW w:w="836" w:type="pct"/>
            <w:tcBorders>
              <w:top w:val="single" w:sz="8" w:space="0" w:color="F3CFC1"/>
              <w:bottom w:val="single" w:sz="8" w:space="0" w:color="F3CFC1"/>
              <w:right w:val="single" w:sz="8" w:space="0" w:color="D2232A"/>
            </w:tcBorders>
            <w:noWrap/>
            <w:vAlign w:val="center"/>
            <w:hideMark/>
          </w:tcPr>
          <w:p w14:paraId="0BF8BE9D" w14:textId="77777777" w:rsidR="002E2192" w:rsidRDefault="002E2192" w:rsidP="00C26B1C">
            <w:pPr>
              <w:spacing w:after="0"/>
              <w:jc w:val="right"/>
            </w:pPr>
            <w:r>
              <w:t>5</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60B550EB" w14:textId="128E3FFF" w:rsidR="002E2192" w:rsidRDefault="002E2192" w:rsidP="00C26B1C">
            <w:pPr>
              <w:spacing w:after="0"/>
              <w:jc w:val="right"/>
            </w:pPr>
            <w:r>
              <w:t>0</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26EE36F1" w14:textId="7639CFF5" w:rsidR="002E2192" w:rsidRDefault="002E2192" w:rsidP="00C26B1C">
            <w:pPr>
              <w:spacing w:after="0"/>
              <w:jc w:val="right"/>
              <w:rPr>
                <w:sz w:val="20"/>
              </w:rPr>
            </w:pPr>
            <w:r>
              <w:rPr>
                <w:sz w:val="20"/>
              </w:rPr>
              <w:t>0</w:t>
            </w:r>
          </w:p>
        </w:tc>
        <w:tc>
          <w:tcPr>
            <w:tcW w:w="846" w:type="pct"/>
            <w:tcBorders>
              <w:top w:val="single" w:sz="8" w:space="0" w:color="F3CFC1"/>
              <w:left w:val="single" w:sz="8" w:space="0" w:color="D2232A"/>
              <w:bottom w:val="single" w:sz="8" w:space="0" w:color="F3CFC1"/>
              <w:right w:val="single" w:sz="8" w:space="0" w:color="D2232A"/>
            </w:tcBorders>
          </w:tcPr>
          <w:p w14:paraId="2F0D0F2B" w14:textId="7B63D11E" w:rsidR="002E2192" w:rsidRDefault="002E2192" w:rsidP="00C26B1C">
            <w:pPr>
              <w:spacing w:after="0"/>
              <w:jc w:val="right"/>
              <w:rPr>
                <w:sz w:val="20"/>
              </w:rPr>
            </w:pPr>
            <w:r>
              <w:rPr>
                <w:sz w:val="20"/>
              </w:rPr>
              <w:t>3</w:t>
            </w:r>
          </w:p>
        </w:tc>
      </w:tr>
      <w:tr w:rsidR="002E2192" w14:paraId="072CA719" w14:textId="230BBF70"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765F7290" w14:textId="77777777" w:rsidR="002E2192" w:rsidRPr="00096498" w:rsidRDefault="002E2192" w:rsidP="00C26B1C">
            <w:pPr>
              <w:spacing w:after="0"/>
              <w:rPr>
                <w:color w:val="FFFFFF" w:themeColor="background1"/>
                <w:sz w:val="22"/>
                <w:szCs w:val="22"/>
              </w:rPr>
            </w:pPr>
            <w:r w:rsidRPr="00096498">
              <w:rPr>
                <w:color w:val="FFFFFF" w:themeColor="background1"/>
              </w:rPr>
              <w:t>stolar/stolarica</w:t>
            </w:r>
          </w:p>
        </w:tc>
        <w:tc>
          <w:tcPr>
            <w:tcW w:w="836" w:type="pct"/>
            <w:tcBorders>
              <w:top w:val="single" w:sz="8" w:space="0" w:color="F3CFC1"/>
              <w:bottom w:val="single" w:sz="8" w:space="0" w:color="F3CFC1"/>
              <w:right w:val="single" w:sz="8" w:space="0" w:color="D2232A"/>
            </w:tcBorders>
            <w:noWrap/>
            <w:vAlign w:val="center"/>
            <w:hideMark/>
          </w:tcPr>
          <w:p w14:paraId="46BAEC75" w14:textId="77777777" w:rsidR="002E2192" w:rsidRDefault="002E2192" w:rsidP="00C26B1C">
            <w:pPr>
              <w:spacing w:after="0"/>
              <w:jc w:val="right"/>
            </w:pPr>
            <w:r>
              <w:t>7</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0C0E1EF2" w14:textId="77777777" w:rsidR="002E2192" w:rsidRDefault="002E2192" w:rsidP="00C26B1C">
            <w:pPr>
              <w:spacing w:after="0"/>
              <w:jc w:val="right"/>
            </w:pPr>
            <w:r>
              <w:t>8</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14C5E69C" w14:textId="77777777" w:rsidR="002E2192" w:rsidRDefault="002E2192" w:rsidP="00C26B1C">
            <w:pPr>
              <w:spacing w:after="0"/>
              <w:jc w:val="right"/>
            </w:pPr>
            <w:r>
              <w:t>8</w:t>
            </w:r>
          </w:p>
        </w:tc>
        <w:tc>
          <w:tcPr>
            <w:tcW w:w="846" w:type="pct"/>
            <w:tcBorders>
              <w:top w:val="single" w:sz="8" w:space="0" w:color="F3CFC1"/>
              <w:left w:val="single" w:sz="8" w:space="0" w:color="D2232A"/>
              <w:bottom w:val="single" w:sz="8" w:space="0" w:color="F3CFC1"/>
              <w:right w:val="single" w:sz="8" w:space="0" w:color="D2232A"/>
            </w:tcBorders>
          </w:tcPr>
          <w:p w14:paraId="14BBE4DC" w14:textId="3F5A6A01" w:rsidR="002E2192" w:rsidRDefault="002E2192" w:rsidP="00C26B1C">
            <w:pPr>
              <w:spacing w:after="0"/>
              <w:jc w:val="right"/>
            </w:pPr>
            <w:r>
              <w:t>8</w:t>
            </w:r>
          </w:p>
        </w:tc>
      </w:tr>
      <w:tr w:rsidR="002E2192" w14:paraId="4EF33A02" w14:textId="0747961B"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571314F1" w14:textId="77777777" w:rsidR="002E2192" w:rsidRPr="00096498" w:rsidRDefault="002E2192" w:rsidP="00C26B1C">
            <w:pPr>
              <w:spacing w:after="0"/>
              <w:rPr>
                <w:color w:val="FFFFFF" w:themeColor="background1"/>
              </w:rPr>
            </w:pPr>
            <w:r w:rsidRPr="00096498">
              <w:rPr>
                <w:color w:val="FFFFFF" w:themeColor="background1"/>
              </w:rPr>
              <w:t>monter/monterka suhe gradnje</w:t>
            </w:r>
          </w:p>
        </w:tc>
        <w:tc>
          <w:tcPr>
            <w:tcW w:w="836" w:type="pct"/>
            <w:tcBorders>
              <w:top w:val="single" w:sz="8" w:space="0" w:color="F3CFC1"/>
              <w:bottom w:val="single" w:sz="8" w:space="0" w:color="F3CFC1"/>
              <w:right w:val="single" w:sz="8" w:space="0" w:color="D2232A"/>
            </w:tcBorders>
            <w:noWrap/>
            <w:vAlign w:val="center"/>
            <w:hideMark/>
          </w:tcPr>
          <w:p w14:paraId="1217377F" w14:textId="77777777" w:rsidR="002E2192" w:rsidRDefault="002E2192" w:rsidP="00C26B1C">
            <w:pPr>
              <w:spacing w:after="0"/>
              <w:jc w:val="right"/>
            </w:pPr>
            <w:r>
              <w:t>12</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1FB8C3BA" w14:textId="68DB060B" w:rsidR="002E2192" w:rsidRDefault="002E2192" w:rsidP="00C26B1C">
            <w:pPr>
              <w:spacing w:after="0"/>
              <w:jc w:val="right"/>
            </w:pPr>
            <w:r w:rsidRPr="00326C0A">
              <w:t>0</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0E398014" w14:textId="22EBDE4B" w:rsidR="002E2192" w:rsidRDefault="002E2192" w:rsidP="00C26B1C">
            <w:pPr>
              <w:spacing w:after="0"/>
              <w:jc w:val="right"/>
              <w:rPr>
                <w:sz w:val="20"/>
              </w:rPr>
            </w:pPr>
            <w:r>
              <w:rPr>
                <w:sz w:val="20"/>
              </w:rPr>
              <w:t>0</w:t>
            </w:r>
          </w:p>
        </w:tc>
        <w:tc>
          <w:tcPr>
            <w:tcW w:w="846" w:type="pct"/>
            <w:tcBorders>
              <w:top w:val="single" w:sz="8" w:space="0" w:color="F3CFC1"/>
              <w:left w:val="single" w:sz="8" w:space="0" w:color="D2232A"/>
              <w:bottom w:val="single" w:sz="8" w:space="0" w:color="F3CFC1"/>
              <w:right w:val="single" w:sz="8" w:space="0" w:color="D2232A"/>
            </w:tcBorders>
          </w:tcPr>
          <w:p w14:paraId="6056368A" w14:textId="0AA176D1" w:rsidR="002E2192" w:rsidRDefault="002E2192" w:rsidP="00C26B1C">
            <w:pPr>
              <w:spacing w:after="0"/>
              <w:jc w:val="right"/>
              <w:rPr>
                <w:sz w:val="20"/>
              </w:rPr>
            </w:pPr>
            <w:r>
              <w:rPr>
                <w:sz w:val="20"/>
              </w:rPr>
              <w:t>0</w:t>
            </w:r>
          </w:p>
        </w:tc>
      </w:tr>
      <w:tr w:rsidR="002E2192" w14:paraId="37A8D0D4" w14:textId="667736D4"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64054826" w14:textId="77777777" w:rsidR="002E2192" w:rsidRPr="00096498" w:rsidRDefault="002E2192" w:rsidP="00C26B1C">
            <w:pPr>
              <w:spacing w:after="0"/>
              <w:rPr>
                <w:color w:val="FFFFFF" w:themeColor="background1"/>
                <w:sz w:val="22"/>
                <w:szCs w:val="22"/>
              </w:rPr>
            </w:pPr>
            <w:r w:rsidRPr="00096498">
              <w:rPr>
                <w:color w:val="FFFFFF" w:themeColor="background1"/>
              </w:rPr>
              <w:t>tokar/tokarica</w:t>
            </w:r>
          </w:p>
        </w:tc>
        <w:tc>
          <w:tcPr>
            <w:tcW w:w="836" w:type="pct"/>
            <w:tcBorders>
              <w:top w:val="single" w:sz="8" w:space="0" w:color="F3CFC1"/>
              <w:bottom w:val="single" w:sz="8" w:space="0" w:color="F3CFC1"/>
              <w:right w:val="single" w:sz="8" w:space="0" w:color="D2232A"/>
            </w:tcBorders>
            <w:noWrap/>
            <w:vAlign w:val="center"/>
            <w:hideMark/>
          </w:tcPr>
          <w:p w14:paraId="39ADC973" w14:textId="77777777" w:rsidR="002E2192" w:rsidRDefault="002E2192" w:rsidP="00C26B1C">
            <w:pPr>
              <w:spacing w:after="0"/>
              <w:jc w:val="right"/>
            </w:pPr>
            <w:r>
              <w:t>8</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5B160CFA" w14:textId="3583C0DE" w:rsidR="002E2192" w:rsidRDefault="002E2192" w:rsidP="00C26B1C">
            <w:pPr>
              <w:spacing w:after="0"/>
              <w:jc w:val="right"/>
            </w:pPr>
            <w:r w:rsidRPr="00326C0A">
              <w:t>0</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77FCC89B" w14:textId="0555278E" w:rsidR="002E2192" w:rsidRDefault="002E2192" w:rsidP="00C26B1C">
            <w:pPr>
              <w:spacing w:after="0"/>
              <w:jc w:val="right"/>
              <w:rPr>
                <w:sz w:val="20"/>
              </w:rPr>
            </w:pPr>
            <w:r w:rsidRPr="001A0884">
              <w:t>0</w:t>
            </w:r>
          </w:p>
        </w:tc>
        <w:tc>
          <w:tcPr>
            <w:tcW w:w="846" w:type="pct"/>
            <w:tcBorders>
              <w:top w:val="single" w:sz="8" w:space="0" w:color="F3CFC1"/>
              <w:left w:val="single" w:sz="8" w:space="0" w:color="D2232A"/>
              <w:bottom w:val="single" w:sz="8" w:space="0" w:color="F3CFC1"/>
              <w:right w:val="single" w:sz="8" w:space="0" w:color="D2232A"/>
            </w:tcBorders>
          </w:tcPr>
          <w:p w14:paraId="067F5609" w14:textId="6F57EA38" w:rsidR="002E2192" w:rsidRPr="001A0884" w:rsidRDefault="002E2192" w:rsidP="00C26B1C">
            <w:pPr>
              <w:spacing w:after="0"/>
              <w:jc w:val="right"/>
            </w:pPr>
            <w:r>
              <w:t>0</w:t>
            </w:r>
          </w:p>
        </w:tc>
      </w:tr>
      <w:tr w:rsidR="002E2192" w14:paraId="6B7305BB" w14:textId="5E1443C7"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62602BDB" w14:textId="77777777" w:rsidR="002E2192" w:rsidRPr="00096498" w:rsidRDefault="002E2192" w:rsidP="00C26B1C">
            <w:pPr>
              <w:spacing w:after="0"/>
              <w:rPr>
                <w:color w:val="FFFFFF" w:themeColor="background1"/>
                <w:sz w:val="22"/>
                <w:szCs w:val="22"/>
              </w:rPr>
            </w:pPr>
            <w:r w:rsidRPr="00096498">
              <w:rPr>
                <w:color w:val="FFFFFF" w:themeColor="background1"/>
              </w:rPr>
              <w:t>bravar/bravarica</w:t>
            </w:r>
          </w:p>
        </w:tc>
        <w:tc>
          <w:tcPr>
            <w:tcW w:w="836" w:type="pct"/>
            <w:tcBorders>
              <w:top w:val="single" w:sz="8" w:space="0" w:color="F3CFC1"/>
              <w:bottom w:val="single" w:sz="8" w:space="0" w:color="F3CFC1"/>
              <w:right w:val="single" w:sz="8" w:space="0" w:color="D2232A"/>
            </w:tcBorders>
            <w:noWrap/>
            <w:vAlign w:val="center"/>
            <w:hideMark/>
          </w:tcPr>
          <w:p w14:paraId="1E7F5E68" w14:textId="77777777" w:rsidR="002E2192" w:rsidRDefault="002E2192" w:rsidP="00C26B1C">
            <w:pPr>
              <w:spacing w:after="0"/>
              <w:jc w:val="right"/>
            </w:pPr>
            <w:r>
              <w:t>17</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17557A33" w14:textId="1A8ADB91" w:rsidR="002E2192" w:rsidRDefault="002E2192" w:rsidP="00C26B1C">
            <w:pPr>
              <w:spacing w:after="0"/>
              <w:jc w:val="right"/>
            </w:pPr>
            <w:r w:rsidRPr="00326C0A">
              <w:t>0</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453DB5C4" w14:textId="2EDB38A5" w:rsidR="002E2192" w:rsidRDefault="002E2192" w:rsidP="00C26B1C">
            <w:pPr>
              <w:spacing w:after="0"/>
              <w:jc w:val="right"/>
              <w:rPr>
                <w:sz w:val="20"/>
              </w:rPr>
            </w:pPr>
            <w:r w:rsidRPr="001A0884">
              <w:t>0</w:t>
            </w:r>
          </w:p>
        </w:tc>
        <w:tc>
          <w:tcPr>
            <w:tcW w:w="846" w:type="pct"/>
            <w:tcBorders>
              <w:top w:val="single" w:sz="8" w:space="0" w:color="F3CFC1"/>
              <w:left w:val="single" w:sz="8" w:space="0" w:color="D2232A"/>
              <w:bottom w:val="single" w:sz="8" w:space="0" w:color="F3CFC1"/>
              <w:right w:val="single" w:sz="8" w:space="0" w:color="D2232A"/>
            </w:tcBorders>
          </w:tcPr>
          <w:p w14:paraId="4A78FF16" w14:textId="1AC14C53" w:rsidR="002E2192" w:rsidRPr="001A0884" w:rsidRDefault="002E2192" w:rsidP="00C26B1C">
            <w:pPr>
              <w:spacing w:after="0"/>
              <w:jc w:val="right"/>
            </w:pPr>
            <w:r>
              <w:t>0</w:t>
            </w:r>
          </w:p>
        </w:tc>
      </w:tr>
      <w:tr w:rsidR="002E2192" w14:paraId="29D0EB00" w14:textId="1EDEC802"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36AFB57E" w14:textId="77777777" w:rsidR="002E2192" w:rsidRPr="00096498" w:rsidRDefault="002E2192" w:rsidP="00C26B1C">
            <w:pPr>
              <w:spacing w:after="0"/>
              <w:rPr>
                <w:color w:val="FFFFFF" w:themeColor="background1"/>
                <w:sz w:val="22"/>
                <w:szCs w:val="22"/>
              </w:rPr>
            </w:pPr>
            <w:r w:rsidRPr="00096498">
              <w:rPr>
                <w:color w:val="FFFFFF" w:themeColor="background1"/>
              </w:rPr>
              <w:t>keramičar/keramičarka</w:t>
            </w:r>
          </w:p>
        </w:tc>
        <w:tc>
          <w:tcPr>
            <w:tcW w:w="836" w:type="pct"/>
            <w:tcBorders>
              <w:top w:val="single" w:sz="8" w:space="0" w:color="F3CFC1"/>
              <w:bottom w:val="single" w:sz="8" w:space="0" w:color="F3CFC1"/>
              <w:right w:val="single" w:sz="8" w:space="0" w:color="D2232A"/>
            </w:tcBorders>
            <w:noWrap/>
            <w:vAlign w:val="center"/>
            <w:hideMark/>
          </w:tcPr>
          <w:p w14:paraId="0DD2859B" w14:textId="48696C86" w:rsidR="002E2192" w:rsidRDefault="002E2192" w:rsidP="00C26B1C">
            <w:pPr>
              <w:spacing w:after="0"/>
              <w:jc w:val="right"/>
            </w:pPr>
            <w:r w:rsidRPr="00221090">
              <w:t>0</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605C5530" w14:textId="77777777" w:rsidR="002E2192" w:rsidRDefault="002E2192" w:rsidP="00C26B1C">
            <w:pPr>
              <w:spacing w:after="0"/>
              <w:jc w:val="right"/>
              <w:rPr>
                <w:sz w:val="22"/>
                <w:szCs w:val="22"/>
              </w:rPr>
            </w:pPr>
            <w:r>
              <w:t>7</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513CF006" w14:textId="77777777" w:rsidR="002E2192" w:rsidRDefault="002E2192" w:rsidP="00C26B1C">
            <w:pPr>
              <w:spacing w:after="0"/>
              <w:jc w:val="right"/>
            </w:pPr>
            <w:r>
              <w:t>11</w:t>
            </w:r>
          </w:p>
        </w:tc>
        <w:tc>
          <w:tcPr>
            <w:tcW w:w="846" w:type="pct"/>
            <w:tcBorders>
              <w:top w:val="single" w:sz="8" w:space="0" w:color="F3CFC1"/>
              <w:left w:val="single" w:sz="8" w:space="0" w:color="D2232A"/>
              <w:bottom w:val="single" w:sz="8" w:space="0" w:color="F3CFC1"/>
              <w:right w:val="single" w:sz="8" w:space="0" w:color="D2232A"/>
            </w:tcBorders>
          </w:tcPr>
          <w:p w14:paraId="63ABC679" w14:textId="0499C7E0" w:rsidR="002E2192" w:rsidRDefault="002E2192" w:rsidP="00C26B1C">
            <w:pPr>
              <w:spacing w:after="0"/>
              <w:jc w:val="right"/>
            </w:pPr>
            <w:r>
              <w:t>8</w:t>
            </w:r>
          </w:p>
        </w:tc>
      </w:tr>
      <w:tr w:rsidR="002E2192" w14:paraId="79B052E6" w14:textId="4FE9F050"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4ED42A27" w14:textId="77777777" w:rsidR="002E2192" w:rsidRPr="00096498" w:rsidRDefault="002E2192" w:rsidP="00C26B1C">
            <w:pPr>
              <w:spacing w:after="0"/>
              <w:rPr>
                <w:color w:val="FFFFFF" w:themeColor="background1"/>
              </w:rPr>
            </w:pPr>
            <w:r w:rsidRPr="00096498">
              <w:rPr>
                <w:color w:val="FFFFFF" w:themeColor="background1"/>
              </w:rPr>
              <w:t>vodoinstalater/vodoinstalaterka</w:t>
            </w:r>
          </w:p>
        </w:tc>
        <w:tc>
          <w:tcPr>
            <w:tcW w:w="836" w:type="pct"/>
            <w:tcBorders>
              <w:top w:val="single" w:sz="8" w:space="0" w:color="F3CFC1"/>
              <w:bottom w:val="single" w:sz="8" w:space="0" w:color="F3CFC1"/>
              <w:right w:val="single" w:sz="8" w:space="0" w:color="D2232A"/>
            </w:tcBorders>
            <w:noWrap/>
            <w:vAlign w:val="center"/>
            <w:hideMark/>
          </w:tcPr>
          <w:p w14:paraId="3C61FB20" w14:textId="1FB3020C" w:rsidR="002E2192" w:rsidRDefault="002E2192" w:rsidP="00C26B1C">
            <w:pPr>
              <w:spacing w:after="0"/>
              <w:jc w:val="right"/>
            </w:pPr>
            <w:r w:rsidRPr="00221090">
              <w:t>0</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15EBD61E" w14:textId="77777777" w:rsidR="002E2192" w:rsidRDefault="002E2192" w:rsidP="00C26B1C">
            <w:pPr>
              <w:spacing w:after="0"/>
              <w:jc w:val="right"/>
              <w:rPr>
                <w:sz w:val="22"/>
                <w:szCs w:val="22"/>
              </w:rPr>
            </w:pPr>
            <w:r>
              <w:t>14</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1381E80F" w14:textId="77777777" w:rsidR="002E2192" w:rsidRDefault="002E2192" w:rsidP="00C26B1C">
            <w:pPr>
              <w:spacing w:after="0"/>
              <w:jc w:val="right"/>
            </w:pPr>
            <w:r>
              <w:t>9</w:t>
            </w:r>
          </w:p>
        </w:tc>
        <w:tc>
          <w:tcPr>
            <w:tcW w:w="846" w:type="pct"/>
            <w:tcBorders>
              <w:top w:val="single" w:sz="8" w:space="0" w:color="F3CFC1"/>
              <w:left w:val="single" w:sz="8" w:space="0" w:color="D2232A"/>
              <w:bottom w:val="single" w:sz="8" w:space="0" w:color="F3CFC1"/>
              <w:right w:val="single" w:sz="8" w:space="0" w:color="D2232A"/>
            </w:tcBorders>
          </w:tcPr>
          <w:p w14:paraId="5CB51D87" w14:textId="1A9586F0" w:rsidR="002E2192" w:rsidRDefault="002E2192" w:rsidP="00C26B1C">
            <w:pPr>
              <w:spacing w:after="0"/>
              <w:jc w:val="right"/>
            </w:pPr>
            <w:r>
              <w:t>5</w:t>
            </w:r>
          </w:p>
        </w:tc>
      </w:tr>
      <w:tr w:rsidR="002E2192" w14:paraId="1F941AA5" w14:textId="2B3AB689"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7C693E62" w14:textId="77777777" w:rsidR="002E2192" w:rsidRPr="00096498" w:rsidRDefault="002E2192" w:rsidP="00C26B1C">
            <w:pPr>
              <w:spacing w:after="0"/>
              <w:rPr>
                <w:color w:val="FFFFFF" w:themeColor="background1"/>
              </w:rPr>
            </w:pPr>
            <w:r w:rsidRPr="00096498">
              <w:rPr>
                <w:color w:val="FFFFFF" w:themeColor="background1"/>
              </w:rPr>
              <w:t>konobar/konobarica</w:t>
            </w:r>
          </w:p>
        </w:tc>
        <w:tc>
          <w:tcPr>
            <w:tcW w:w="836" w:type="pct"/>
            <w:tcBorders>
              <w:top w:val="single" w:sz="8" w:space="0" w:color="F3CFC1"/>
              <w:bottom w:val="single" w:sz="8" w:space="0" w:color="F3CFC1"/>
              <w:right w:val="single" w:sz="8" w:space="0" w:color="D2232A"/>
            </w:tcBorders>
            <w:noWrap/>
            <w:vAlign w:val="center"/>
            <w:hideMark/>
          </w:tcPr>
          <w:p w14:paraId="6C8B271E" w14:textId="22EF5A48" w:rsidR="002E2192" w:rsidRDefault="002E2192" w:rsidP="00C26B1C">
            <w:pPr>
              <w:spacing w:after="0"/>
              <w:jc w:val="right"/>
            </w:pPr>
            <w:r w:rsidRPr="00221090">
              <w:t>0</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31688AEF" w14:textId="77777777" w:rsidR="002E2192" w:rsidRDefault="002E2192" w:rsidP="00C26B1C">
            <w:pPr>
              <w:spacing w:after="0"/>
              <w:jc w:val="right"/>
              <w:rPr>
                <w:sz w:val="22"/>
                <w:szCs w:val="22"/>
              </w:rPr>
            </w:pPr>
            <w:r>
              <w:t>19</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12A6AEFF" w14:textId="77777777" w:rsidR="002E2192" w:rsidRDefault="002E2192" w:rsidP="00C26B1C">
            <w:pPr>
              <w:spacing w:after="0"/>
              <w:jc w:val="right"/>
            </w:pPr>
            <w:r>
              <w:t>21</w:t>
            </w:r>
          </w:p>
        </w:tc>
        <w:tc>
          <w:tcPr>
            <w:tcW w:w="846" w:type="pct"/>
            <w:tcBorders>
              <w:top w:val="single" w:sz="8" w:space="0" w:color="F3CFC1"/>
              <w:left w:val="single" w:sz="8" w:space="0" w:color="D2232A"/>
              <w:bottom w:val="single" w:sz="8" w:space="0" w:color="F3CFC1"/>
              <w:right w:val="single" w:sz="8" w:space="0" w:color="D2232A"/>
            </w:tcBorders>
          </w:tcPr>
          <w:p w14:paraId="06796E3B" w14:textId="75665F41" w:rsidR="002E2192" w:rsidRDefault="002E2192" w:rsidP="00C26B1C">
            <w:pPr>
              <w:spacing w:after="0"/>
              <w:jc w:val="right"/>
            </w:pPr>
            <w:r>
              <w:t>6</w:t>
            </w:r>
          </w:p>
        </w:tc>
      </w:tr>
      <w:tr w:rsidR="002E2192" w14:paraId="6C9FE7AE" w14:textId="7B867358"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0FCEF3A7" w14:textId="77777777" w:rsidR="002E2192" w:rsidRPr="00096498" w:rsidRDefault="002E2192" w:rsidP="00C26B1C">
            <w:pPr>
              <w:spacing w:after="0"/>
              <w:rPr>
                <w:color w:val="FFFFFF" w:themeColor="background1"/>
              </w:rPr>
            </w:pPr>
            <w:r w:rsidRPr="00096498">
              <w:rPr>
                <w:color w:val="FFFFFF" w:themeColor="background1"/>
              </w:rPr>
              <w:t>kuhar/kuharica</w:t>
            </w:r>
          </w:p>
        </w:tc>
        <w:tc>
          <w:tcPr>
            <w:tcW w:w="836" w:type="pct"/>
            <w:tcBorders>
              <w:top w:val="single" w:sz="8" w:space="0" w:color="F3CFC1"/>
              <w:bottom w:val="single" w:sz="8" w:space="0" w:color="F3CFC1"/>
              <w:right w:val="single" w:sz="8" w:space="0" w:color="D2232A"/>
            </w:tcBorders>
            <w:noWrap/>
            <w:vAlign w:val="center"/>
            <w:hideMark/>
          </w:tcPr>
          <w:p w14:paraId="1165FAA1" w14:textId="3E1E8C06" w:rsidR="002E2192" w:rsidRDefault="002E2192" w:rsidP="00C26B1C">
            <w:pPr>
              <w:spacing w:after="0"/>
              <w:jc w:val="right"/>
            </w:pPr>
            <w:r w:rsidRPr="00221090">
              <w:t>0</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104CA55E" w14:textId="42613E43" w:rsidR="002E2192" w:rsidRDefault="002E2192" w:rsidP="00C26B1C">
            <w:pPr>
              <w:spacing w:after="0"/>
              <w:jc w:val="right"/>
              <w:rPr>
                <w:sz w:val="20"/>
              </w:rPr>
            </w:pPr>
            <w:r w:rsidRPr="001B6ED6">
              <w:t>0</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6770C76F" w14:textId="77777777" w:rsidR="002E2192" w:rsidRDefault="002E2192" w:rsidP="00C26B1C">
            <w:pPr>
              <w:spacing w:after="0"/>
              <w:jc w:val="right"/>
              <w:rPr>
                <w:sz w:val="22"/>
                <w:szCs w:val="22"/>
              </w:rPr>
            </w:pPr>
            <w:r>
              <w:t>37</w:t>
            </w:r>
          </w:p>
        </w:tc>
        <w:tc>
          <w:tcPr>
            <w:tcW w:w="846" w:type="pct"/>
            <w:tcBorders>
              <w:top w:val="single" w:sz="8" w:space="0" w:color="F3CFC1"/>
              <w:left w:val="single" w:sz="8" w:space="0" w:color="D2232A"/>
              <w:bottom w:val="single" w:sz="8" w:space="0" w:color="F3CFC1"/>
              <w:right w:val="single" w:sz="8" w:space="0" w:color="D2232A"/>
            </w:tcBorders>
          </w:tcPr>
          <w:p w14:paraId="7003F3B9" w14:textId="73B012E0" w:rsidR="002E2192" w:rsidRDefault="002E2192" w:rsidP="00C26B1C">
            <w:pPr>
              <w:spacing w:after="0"/>
              <w:jc w:val="right"/>
            </w:pPr>
            <w:r>
              <w:t>30</w:t>
            </w:r>
          </w:p>
        </w:tc>
      </w:tr>
      <w:tr w:rsidR="002E2192" w14:paraId="09795C1A" w14:textId="62A9EAAE"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4D87EFCD" w14:textId="77777777" w:rsidR="002E2192" w:rsidRPr="00096498" w:rsidRDefault="002E2192" w:rsidP="00C26B1C">
            <w:pPr>
              <w:spacing w:after="0"/>
              <w:rPr>
                <w:color w:val="FFFFFF" w:themeColor="background1"/>
              </w:rPr>
            </w:pPr>
            <w:r w:rsidRPr="00096498">
              <w:rPr>
                <w:color w:val="FFFFFF" w:themeColor="background1"/>
              </w:rPr>
              <w:t>strojobravar/strojobravarica</w:t>
            </w:r>
          </w:p>
        </w:tc>
        <w:tc>
          <w:tcPr>
            <w:tcW w:w="836" w:type="pct"/>
            <w:tcBorders>
              <w:top w:val="single" w:sz="8" w:space="0" w:color="F3CFC1"/>
              <w:bottom w:val="single" w:sz="8" w:space="0" w:color="F3CFC1"/>
              <w:right w:val="single" w:sz="8" w:space="0" w:color="D2232A"/>
            </w:tcBorders>
            <w:noWrap/>
            <w:vAlign w:val="center"/>
            <w:hideMark/>
          </w:tcPr>
          <w:p w14:paraId="73077365" w14:textId="424B8D53" w:rsidR="002E2192" w:rsidRDefault="002E2192" w:rsidP="00C26B1C">
            <w:pPr>
              <w:spacing w:after="0"/>
              <w:jc w:val="right"/>
            </w:pPr>
            <w:r w:rsidRPr="00221090">
              <w:t>0</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7FE2E76B" w14:textId="279E78A4" w:rsidR="002E2192" w:rsidRDefault="002E2192" w:rsidP="00C26B1C">
            <w:pPr>
              <w:spacing w:after="0"/>
              <w:jc w:val="right"/>
              <w:rPr>
                <w:sz w:val="20"/>
              </w:rPr>
            </w:pPr>
            <w:r w:rsidRPr="001B6ED6">
              <w:t>0</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3ED4EC48" w14:textId="77777777" w:rsidR="002E2192" w:rsidRDefault="002E2192" w:rsidP="00C26B1C">
            <w:pPr>
              <w:spacing w:after="0"/>
              <w:jc w:val="right"/>
              <w:rPr>
                <w:sz w:val="22"/>
                <w:szCs w:val="22"/>
              </w:rPr>
            </w:pPr>
            <w:r>
              <w:t>13</w:t>
            </w:r>
          </w:p>
        </w:tc>
        <w:tc>
          <w:tcPr>
            <w:tcW w:w="846" w:type="pct"/>
            <w:tcBorders>
              <w:top w:val="single" w:sz="8" w:space="0" w:color="F3CFC1"/>
              <w:left w:val="single" w:sz="8" w:space="0" w:color="D2232A"/>
              <w:bottom w:val="single" w:sz="8" w:space="0" w:color="F3CFC1"/>
              <w:right w:val="single" w:sz="8" w:space="0" w:color="D2232A"/>
            </w:tcBorders>
          </w:tcPr>
          <w:p w14:paraId="2B9CF366" w14:textId="44D11895" w:rsidR="002E2192" w:rsidRDefault="002E2192" w:rsidP="00C26B1C">
            <w:pPr>
              <w:spacing w:after="0"/>
              <w:jc w:val="right"/>
            </w:pPr>
            <w:r>
              <w:t>8</w:t>
            </w:r>
          </w:p>
        </w:tc>
      </w:tr>
      <w:tr w:rsidR="002E2192" w14:paraId="0EC580F2" w14:textId="3F324FE5"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0FCF1209" w14:textId="77777777" w:rsidR="002E2192" w:rsidRPr="00096498" w:rsidRDefault="002E2192" w:rsidP="00C26B1C">
            <w:pPr>
              <w:spacing w:after="0"/>
              <w:rPr>
                <w:color w:val="FFFFFF" w:themeColor="background1"/>
              </w:rPr>
            </w:pPr>
            <w:r w:rsidRPr="00096498">
              <w:rPr>
                <w:color w:val="FFFFFF" w:themeColor="background1"/>
              </w:rPr>
              <w:t>autolimar/autolimarica</w:t>
            </w:r>
          </w:p>
        </w:tc>
        <w:tc>
          <w:tcPr>
            <w:tcW w:w="836" w:type="pct"/>
            <w:tcBorders>
              <w:top w:val="single" w:sz="8" w:space="0" w:color="F3CFC1"/>
              <w:bottom w:val="single" w:sz="8" w:space="0" w:color="F3CFC1"/>
              <w:right w:val="single" w:sz="8" w:space="0" w:color="D2232A"/>
            </w:tcBorders>
            <w:noWrap/>
            <w:vAlign w:val="center"/>
            <w:hideMark/>
          </w:tcPr>
          <w:p w14:paraId="15F3ACC7" w14:textId="391C590B" w:rsidR="002E2192" w:rsidRDefault="002E2192" w:rsidP="00C26B1C">
            <w:pPr>
              <w:spacing w:after="0"/>
              <w:jc w:val="right"/>
            </w:pPr>
            <w:r w:rsidRPr="00221090">
              <w:t>0</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40380909" w14:textId="0586FF6D" w:rsidR="002E2192" w:rsidRDefault="002E2192" w:rsidP="00C26B1C">
            <w:pPr>
              <w:spacing w:after="0"/>
              <w:jc w:val="right"/>
              <w:rPr>
                <w:sz w:val="20"/>
              </w:rPr>
            </w:pPr>
            <w:r w:rsidRPr="001B6ED6">
              <w:t>0</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40BF87B2" w14:textId="77777777" w:rsidR="002E2192" w:rsidRDefault="002E2192" w:rsidP="00C26B1C">
            <w:pPr>
              <w:spacing w:after="0"/>
              <w:jc w:val="right"/>
              <w:rPr>
                <w:sz w:val="22"/>
                <w:szCs w:val="22"/>
              </w:rPr>
            </w:pPr>
            <w:r>
              <w:t>0</w:t>
            </w:r>
          </w:p>
        </w:tc>
        <w:tc>
          <w:tcPr>
            <w:tcW w:w="846" w:type="pct"/>
            <w:tcBorders>
              <w:top w:val="single" w:sz="8" w:space="0" w:color="F3CFC1"/>
              <w:left w:val="single" w:sz="8" w:space="0" w:color="D2232A"/>
              <w:bottom w:val="single" w:sz="8" w:space="0" w:color="F3CFC1"/>
              <w:right w:val="single" w:sz="8" w:space="0" w:color="D2232A"/>
            </w:tcBorders>
          </w:tcPr>
          <w:p w14:paraId="082FD4BE" w14:textId="24A8D3B0" w:rsidR="002E2192" w:rsidRDefault="002E2192" w:rsidP="00C26B1C">
            <w:pPr>
              <w:spacing w:after="0"/>
              <w:jc w:val="right"/>
            </w:pPr>
            <w:r>
              <w:t>0</w:t>
            </w:r>
          </w:p>
        </w:tc>
      </w:tr>
      <w:tr w:rsidR="002E2192" w14:paraId="4784A31B" w14:textId="2E013A9E" w:rsidTr="002E2192">
        <w:trPr>
          <w:trHeight w:val="283"/>
        </w:trPr>
        <w:tc>
          <w:tcPr>
            <w:tcW w:w="1683" w:type="pct"/>
            <w:tcBorders>
              <w:top w:val="single" w:sz="8" w:space="0" w:color="F3CFC1"/>
              <w:bottom w:val="single" w:sz="8" w:space="0" w:color="F3CFC1"/>
            </w:tcBorders>
            <w:shd w:val="clear" w:color="auto" w:fill="D2232A"/>
            <w:noWrap/>
            <w:vAlign w:val="center"/>
            <w:hideMark/>
          </w:tcPr>
          <w:p w14:paraId="49F0901E" w14:textId="77777777" w:rsidR="002E2192" w:rsidRPr="00096498" w:rsidRDefault="002E2192" w:rsidP="00C26B1C">
            <w:pPr>
              <w:spacing w:after="0"/>
              <w:rPr>
                <w:color w:val="FFFFFF" w:themeColor="background1"/>
              </w:rPr>
            </w:pPr>
            <w:r w:rsidRPr="00096498">
              <w:rPr>
                <w:color w:val="FFFFFF" w:themeColor="background1"/>
              </w:rPr>
              <w:t>autolakirer/autolakirerica</w:t>
            </w:r>
          </w:p>
        </w:tc>
        <w:tc>
          <w:tcPr>
            <w:tcW w:w="836" w:type="pct"/>
            <w:tcBorders>
              <w:top w:val="single" w:sz="8" w:space="0" w:color="F3CFC1"/>
              <w:bottom w:val="single" w:sz="8" w:space="0" w:color="F3CFC1"/>
              <w:right w:val="single" w:sz="8" w:space="0" w:color="D2232A"/>
            </w:tcBorders>
            <w:noWrap/>
            <w:vAlign w:val="center"/>
            <w:hideMark/>
          </w:tcPr>
          <w:p w14:paraId="2CD59E53" w14:textId="432ABCF0" w:rsidR="002E2192" w:rsidRDefault="002E2192" w:rsidP="00C26B1C">
            <w:pPr>
              <w:spacing w:after="0"/>
              <w:jc w:val="right"/>
            </w:pPr>
            <w:r w:rsidRPr="00221090">
              <w:t>0</w:t>
            </w:r>
          </w:p>
        </w:tc>
        <w:tc>
          <w:tcPr>
            <w:tcW w:w="836" w:type="pct"/>
            <w:tcBorders>
              <w:top w:val="single" w:sz="8" w:space="0" w:color="F3CFC1"/>
              <w:left w:val="single" w:sz="8" w:space="0" w:color="D2232A"/>
              <w:bottom w:val="single" w:sz="8" w:space="0" w:color="F3CFC1"/>
              <w:right w:val="single" w:sz="8" w:space="0" w:color="D2232A"/>
            </w:tcBorders>
            <w:noWrap/>
            <w:vAlign w:val="center"/>
            <w:hideMark/>
          </w:tcPr>
          <w:p w14:paraId="1A279E50" w14:textId="2701B5E4" w:rsidR="002E2192" w:rsidRDefault="002E2192" w:rsidP="00C26B1C">
            <w:pPr>
              <w:spacing w:after="0"/>
              <w:jc w:val="right"/>
              <w:rPr>
                <w:sz w:val="20"/>
              </w:rPr>
            </w:pPr>
            <w:r w:rsidRPr="001B6ED6">
              <w:t>0</w:t>
            </w:r>
          </w:p>
        </w:tc>
        <w:tc>
          <w:tcPr>
            <w:tcW w:w="799" w:type="pct"/>
            <w:tcBorders>
              <w:top w:val="single" w:sz="8" w:space="0" w:color="F3CFC1"/>
              <w:left w:val="single" w:sz="8" w:space="0" w:color="D2232A"/>
              <w:bottom w:val="single" w:sz="8" w:space="0" w:color="F3CFC1"/>
              <w:right w:val="single" w:sz="8" w:space="0" w:color="D2232A"/>
            </w:tcBorders>
            <w:noWrap/>
            <w:vAlign w:val="center"/>
            <w:hideMark/>
          </w:tcPr>
          <w:p w14:paraId="7CF11376" w14:textId="77777777" w:rsidR="002E2192" w:rsidRDefault="002E2192" w:rsidP="00C26B1C">
            <w:pPr>
              <w:spacing w:after="0"/>
              <w:jc w:val="right"/>
              <w:rPr>
                <w:sz w:val="22"/>
                <w:szCs w:val="22"/>
              </w:rPr>
            </w:pPr>
            <w:r>
              <w:t>6</w:t>
            </w:r>
          </w:p>
        </w:tc>
        <w:tc>
          <w:tcPr>
            <w:tcW w:w="846" w:type="pct"/>
            <w:tcBorders>
              <w:top w:val="single" w:sz="8" w:space="0" w:color="F3CFC1"/>
              <w:left w:val="single" w:sz="8" w:space="0" w:color="D2232A"/>
              <w:bottom w:val="single" w:sz="8" w:space="0" w:color="F3CFC1"/>
              <w:right w:val="single" w:sz="8" w:space="0" w:color="D2232A"/>
            </w:tcBorders>
          </w:tcPr>
          <w:p w14:paraId="00327EB8" w14:textId="7BCDCC51" w:rsidR="002E2192" w:rsidRDefault="002E2192" w:rsidP="00C26B1C">
            <w:pPr>
              <w:spacing w:after="0"/>
              <w:jc w:val="right"/>
            </w:pPr>
            <w:r>
              <w:t>4</w:t>
            </w:r>
          </w:p>
        </w:tc>
      </w:tr>
      <w:tr w:rsidR="002E2192" w14:paraId="3FAE6CC2" w14:textId="2C33F89D" w:rsidTr="002E2192">
        <w:trPr>
          <w:trHeight w:val="283"/>
        </w:trPr>
        <w:tc>
          <w:tcPr>
            <w:tcW w:w="1683" w:type="pct"/>
            <w:tcBorders>
              <w:top w:val="single" w:sz="8" w:space="0" w:color="F3CFC1"/>
            </w:tcBorders>
            <w:shd w:val="clear" w:color="auto" w:fill="D2232A"/>
            <w:vAlign w:val="center"/>
            <w:hideMark/>
          </w:tcPr>
          <w:p w14:paraId="46722BC8" w14:textId="77777777" w:rsidR="002E2192" w:rsidRPr="00096498" w:rsidRDefault="002E2192" w:rsidP="00C26B1C">
            <w:pPr>
              <w:spacing w:after="0"/>
              <w:rPr>
                <w:color w:val="FFFFFF" w:themeColor="background1"/>
              </w:rPr>
            </w:pPr>
            <w:r w:rsidRPr="00096498">
              <w:rPr>
                <w:color w:val="FFFFFF" w:themeColor="background1"/>
              </w:rPr>
              <w:t>instalater/instalaterka grijanja i klimatizacije</w:t>
            </w:r>
          </w:p>
        </w:tc>
        <w:tc>
          <w:tcPr>
            <w:tcW w:w="836" w:type="pct"/>
            <w:tcBorders>
              <w:top w:val="single" w:sz="8" w:space="0" w:color="F3CFC1"/>
              <w:right w:val="single" w:sz="8" w:space="0" w:color="D2232A"/>
            </w:tcBorders>
            <w:noWrap/>
            <w:vAlign w:val="center"/>
            <w:hideMark/>
          </w:tcPr>
          <w:p w14:paraId="250683DB" w14:textId="49CFF434" w:rsidR="002E2192" w:rsidRDefault="002E2192" w:rsidP="00C26B1C">
            <w:pPr>
              <w:spacing w:after="0"/>
              <w:jc w:val="right"/>
            </w:pPr>
            <w:r w:rsidRPr="00221090">
              <w:t>0</w:t>
            </w:r>
          </w:p>
        </w:tc>
        <w:tc>
          <w:tcPr>
            <w:tcW w:w="836" w:type="pct"/>
            <w:tcBorders>
              <w:top w:val="single" w:sz="8" w:space="0" w:color="F3CFC1"/>
              <w:left w:val="single" w:sz="8" w:space="0" w:color="D2232A"/>
              <w:right w:val="single" w:sz="8" w:space="0" w:color="D2232A"/>
            </w:tcBorders>
            <w:noWrap/>
            <w:vAlign w:val="center"/>
            <w:hideMark/>
          </w:tcPr>
          <w:p w14:paraId="05FD2721" w14:textId="07ABB5A3" w:rsidR="002E2192" w:rsidRDefault="002E2192" w:rsidP="00C26B1C">
            <w:pPr>
              <w:spacing w:after="0"/>
              <w:jc w:val="right"/>
              <w:rPr>
                <w:sz w:val="20"/>
              </w:rPr>
            </w:pPr>
            <w:r w:rsidRPr="001B6ED6">
              <w:t>0</w:t>
            </w:r>
          </w:p>
        </w:tc>
        <w:tc>
          <w:tcPr>
            <w:tcW w:w="799" w:type="pct"/>
            <w:tcBorders>
              <w:top w:val="single" w:sz="8" w:space="0" w:color="F3CFC1"/>
              <w:left w:val="single" w:sz="8" w:space="0" w:color="D2232A"/>
              <w:right w:val="single" w:sz="8" w:space="0" w:color="D2232A"/>
            </w:tcBorders>
            <w:noWrap/>
            <w:vAlign w:val="center"/>
            <w:hideMark/>
          </w:tcPr>
          <w:p w14:paraId="5BD2C3CD" w14:textId="77777777" w:rsidR="002E2192" w:rsidRDefault="002E2192" w:rsidP="00C26B1C">
            <w:pPr>
              <w:spacing w:after="0"/>
              <w:jc w:val="right"/>
              <w:rPr>
                <w:sz w:val="22"/>
                <w:szCs w:val="22"/>
              </w:rPr>
            </w:pPr>
            <w:r>
              <w:t>12</w:t>
            </w:r>
          </w:p>
        </w:tc>
        <w:tc>
          <w:tcPr>
            <w:tcW w:w="846" w:type="pct"/>
            <w:tcBorders>
              <w:top w:val="single" w:sz="8" w:space="0" w:color="F3CFC1"/>
              <w:left w:val="single" w:sz="8" w:space="0" w:color="D2232A"/>
              <w:right w:val="single" w:sz="8" w:space="0" w:color="D2232A"/>
            </w:tcBorders>
            <w:vAlign w:val="center"/>
          </w:tcPr>
          <w:p w14:paraId="60D57979" w14:textId="21244746" w:rsidR="002E2192" w:rsidRDefault="002E2192" w:rsidP="002E2192">
            <w:pPr>
              <w:spacing w:after="0"/>
              <w:jc w:val="right"/>
            </w:pPr>
            <w:r>
              <w:t>9</w:t>
            </w:r>
          </w:p>
        </w:tc>
      </w:tr>
      <w:tr w:rsidR="002E2192" w14:paraId="59C58E61" w14:textId="77777777" w:rsidTr="002E2192">
        <w:trPr>
          <w:trHeight w:val="283"/>
        </w:trPr>
        <w:tc>
          <w:tcPr>
            <w:tcW w:w="1683" w:type="pct"/>
            <w:tcBorders>
              <w:top w:val="single" w:sz="8" w:space="0" w:color="F3CFC1"/>
            </w:tcBorders>
            <w:shd w:val="clear" w:color="auto" w:fill="D2232A"/>
            <w:vAlign w:val="center"/>
          </w:tcPr>
          <w:p w14:paraId="1C4A803F" w14:textId="05924125" w:rsidR="002E2192" w:rsidRPr="00096498" w:rsidRDefault="00F44992" w:rsidP="00C26B1C">
            <w:pPr>
              <w:spacing w:after="0"/>
              <w:rPr>
                <w:color w:val="FFFFFF" w:themeColor="background1"/>
              </w:rPr>
            </w:pPr>
            <w:r w:rsidRPr="00F44992">
              <w:rPr>
                <w:color w:val="FFFFFF" w:themeColor="background1"/>
              </w:rPr>
              <w:t xml:space="preserve">vozač motornog vozila/vozačica motornog vozila </w:t>
            </w:r>
          </w:p>
        </w:tc>
        <w:tc>
          <w:tcPr>
            <w:tcW w:w="836" w:type="pct"/>
            <w:tcBorders>
              <w:top w:val="single" w:sz="8" w:space="0" w:color="F3CFC1"/>
              <w:right w:val="single" w:sz="8" w:space="0" w:color="D2232A"/>
            </w:tcBorders>
            <w:noWrap/>
            <w:vAlign w:val="center"/>
          </w:tcPr>
          <w:p w14:paraId="7126BCF0" w14:textId="23E7DFA8" w:rsidR="002E2192" w:rsidRPr="00221090" w:rsidRDefault="00F44992" w:rsidP="00C26B1C">
            <w:pPr>
              <w:spacing w:after="0"/>
              <w:jc w:val="right"/>
            </w:pPr>
            <w:r>
              <w:t>0</w:t>
            </w:r>
          </w:p>
        </w:tc>
        <w:tc>
          <w:tcPr>
            <w:tcW w:w="836" w:type="pct"/>
            <w:tcBorders>
              <w:top w:val="single" w:sz="8" w:space="0" w:color="F3CFC1"/>
              <w:left w:val="single" w:sz="8" w:space="0" w:color="D2232A"/>
              <w:right w:val="single" w:sz="8" w:space="0" w:color="D2232A"/>
            </w:tcBorders>
            <w:noWrap/>
            <w:vAlign w:val="center"/>
          </w:tcPr>
          <w:p w14:paraId="762B2B09" w14:textId="4E270B39" w:rsidR="002E2192" w:rsidRPr="001B6ED6" w:rsidRDefault="00F44992" w:rsidP="00C26B1C">
            <w:pPr>
              <w:spacing w:after="0"/>
              <w:jc w:val="right"/>
            </w:pPr>
            <w:r>
              <w:t>0</w:t>
            </w:r>
          </w:p>
        </w:tc>
        <w:tc>
          <w:tcPr>
            <w:tcW w:w="799" w:type="pct"/>
            <w:tcBorders>
              <w:top w:val="single" w:sz="8" w:space="0" w:color="F3CFC1"/>
              <w:left w:val="single" w:sz="8" w:space="0" w:color="D2232A"/>
              <w:right w:val="single" w:sz="8" w:space="0" w:color="D2232A"/>
            </w:tcBorders>
            <w:noWrap/>
            <w:vAlign w:val="center"/>
          </w:tcPr>
          <w:p w14:paraId="711EEF2E" w14:textId="4AE66FC2" w:rsidR="002E2192" w:rsidRDefault="00F44992" w:rsidP="00C26B1C">
            <w:pPr>
              <w:spacing w:after="0"/>
              <w:jc w:val="right"/>
            </w:pPr>
            <w:r>
              <w:t>0</w:t>
            </w:r>
          </w:p>
        </w:tc>
        <w:tc>
          <w:tcPr>
            <w:tcW w:w="846" w:type="pct"/>
            <w:tcBorders>
              <w:top w:val="single" w:sz="8" w:space="0" w:color="F3CFC1"/>
              <w:left w:val="single" w:sz="8" w:space="0" w:color="D2232A"/>
              <w:right w:val="single" w:sz="8" w:space="0" w:color="D2232A"/>
            </w:tcBorders>
          </w:tcPr>
          <w:p w14:paraId="4ACA9BBD" w14:textId="4FE040D2" w:rsidR="002E2192" w:rsidRDefault="002E2192" w:rsidP="00C26B1C">
            <w:pPr>
              <w:spacing w:after="0"/>
              <w:jc w:val="right"/>
            </w:pPr>
            <w:r>
              <w:t>12</w:t>
            </w:r>
          </w:p>
        </w:tc>
      </w:tr>
      <w:tr w:rsidR="002E2192" w14:paraId="4DEA39D6" w14:textId="78A20865" w:rsidTr="002E2192">
        <w:trPr>
          <w:trHeight w:val="283"/>
        </w:trPr>
        <w:tc>
          <w:tcPr>
            <w:tcW w:w="1683" w:type="pct"/>
            <w:shd w:val="clear" w:color="auto" w:fill="E5E5E5" w:themeFill="text1" w:themeFillTint="33"/>
            <w:noWrap/>
            <w:vAlign w:val="center"/>
            <w:hideMark/>
          </w:tcPr>
          <w:p w14:paraId="218F2DCA" w14:textId="77777777" w:rsidR="002E2192" w:rsidRDefault="002E2192" w:rsidP="00C26B1C">
            <w:pPr>
              <w:spacing w:after="0"/>
              <w:rPr>
                <w:b/>
                <w:bCs/>
              </w:rPr>
            </w:pPr>
            <w:r>
              <w:rPr>
                <w:b/>
                <w:bCs/>
              </w:rPr>
              <w:t>UKUPNO</w:t>
            </w:r>
          </w:p>
        </w:tc>
        <w:tc>
          <w:tcPr>
            <w:tcW w:w="836" w:type="pct"/>
            <w:tcBorders>
              <w:right w:val="single" w:sz="8" w:space="0" w:color="D2232A"/>
            </w:tcBorders>
            <w:shd w:val="clear" w:color="auto" w:fill="E5E5E5" w:themeFill="text1" w:themeFillTint="33"/>
            <w:noWrap/>
            <w:vAlign w:val="center"/>
            <w:hideMark/>
          </w:tcPr>
          <w:p w14:paraId="0CDC53A9" w14:textId="77777777" w:rsidR="002E2192" w:rsidRDefault="002E2192" w:rsidP="00C26B1C">
            <w:pPr>
              <w:spacing w:after="0"/>
              <w:jc w:val="right"/>
              <w:rPr>
                <w:b/>
                <w:bCs/>
              </w:rPr>
            </w:pPr>
            <w:r>
              <w:rPr>
                <w:b/>
                <w:bCs/>
              </w:rPr>
              <w:t>49</w:t>
            </w:r>
          </w:p>
        </w:tc>
        <w:tc>
          <w:tcPr>
            <w:tcW w:w="836" w:type="pct"/>
            <w:tcBorders>
              <w:left w:val="single" w:sz="8" w:space="0" w:color="D2232A"/>
              <w:right w:val="single" w:sz="8" w:space="0" w:color="D2232A"/>
            </w:tcBorders>
            <w:shd w:val="clear" w:color="auto" w:fill="E5E5E5" w:themeFill="text1" w:themeFillTint="33"/>
            <w:noWrap/>
            <w:vAlign w:val="center"/>
            <w:hideMark/>
          </w:tcPr>
          <w:p w14:paraId="7B82337D" w14:textId="77777777" w:rsidR="002E2192" w:rsidRDefault="002E2192" w:rsidP="00C26B1C">
            <w:pPr>
              <w:spacing w:after="0"/>
              <w:jc w:val="right"/>
              <w:rPr>
                <w:b/>
                <w:bCs/>
              </w:rPr>
            </w:pPr>
            <w:r>
              <w:rPr>
                <w:b/>
                <w:bCs/>
              </w:rPr>
              <w:t>53</w:t>
            </w:r>
          </w:p>
        </w:tc>
        <w:tc>
          <w:tcPr>
            <w:tcW w:w="799" w:type="pct"/>
            <w:tcBorders>
              <w:left w:val="single" w:sz="8" w:space="0" w:color="D2232A"/>
              <w:right w:val="single" w:sz="8" w:space="0" w:color="D2232A"/>
            </w:tcBorders>
            <w:shd w:val="clear" w:color="auto" w:fill="E5E5E5" w:themeFill="text1" w:themeFillTint="33"/>
            <w:noWrap/>
            <w:vAlign w:val="center"/>
            <w:hideMark/>
          </w:tcPr>
          <w:p w14:paraId="4CFE2BFC" w14:textId="77777777" w:rsidR="002E2192" w:rsidRDefault="002E2192" w:rsidP="00C26B1C">
            <w:pPr>
              <w:spacing w:after="0"/>
              <w:jc w:val="right"/>
              <w:rPr>
                <w:b/>
                <w:bCs/>
              </w:rPr>
            </w:pPr>
            <w:r>
              <w:rPr>
                <w:b/>
                <w:bCs/>
              </w:rPr>
              <w:t>117</w:t>
            </w:r>
          </w:p>
        </w:tc>
        <w:tc>
          <w:tcPr>
            <w:tcW w:w="846" w:type="pct"/>
            <w:tcBorders>
              <w:left w:val="single" w:sz="8" w:space="0" w:color="D2232A"/>
              <w:right w:val="single" w:sz="8" w:space="0" w:color="D2232A"/>
            </w:tcBorders>
            <w:shd w:val="clear" w:color="auto" w:fill="E5E5E5" w:themeFill="text1" w:themeFillTint="33"/>
          </w:tcPr>
          <w:p w14:paraId="7B290B0A" w14:textId="358B26EE" w:rsidR="002E2192" w:rsidRDefault="002E2192" w:rsidP="00C26B1C">
            <w:pPr>
              <w:spacing w:after="0"/>
              <w:jc w:val="right"/>
              <w:rPr>
                <w:b/>
                <w:bCs/>
              </w:rPr>
            </w:pPr>
            <w:r>
              <w:rPr>
                <w:b/>
                <w:bCs/>
              </w:rPr>
              <w:t>93</w:t>
            </w:r>
          </w:p>
        </w:tc>
      </w:tr>
    </w:tbl>
    <w:p w14:paraId="48D5FD52" w14:textId="1298F89F" w:rsidR="00C23A0A" w:rsidRPr="0015128E" w:rsidRDefault="008878A0" w:rsidP="003C2276">
      <w:pPr>
        <w:pStyle w:val="Izvor"/>
        <w:rPr>
          <w:i/>
          <w:color w:val="ABABAB" w:themeColor="text1" w:themeTint="A6"/>
          <w:sz w:val="16"/>
          <w:szCs w:val="16"/>
        </w:rPr>
      </w:pPr>
      <w:r w:rsidRPr="0015128E">
        <w:rPr>
          <w:i/>
          <w:color w:val="ABABAB" w:themeColor="text1" w:themeTint="A6"/>
          <w:sz w:val="16"/>
          <w:szCs w:val="16"/>
        </w:rPr>
        <w:t>Izvor: Upravni odjel za obrazovanje, kulturu, šport i tehničku kulturu</w:t>
      </w:r>
      <w:r w:rsidR="002E2192">
        <w:rPr>
          <w:i/>
          <w:color w:val="ABABAB" w:themeColor="text1" w:themeTint="A6"/>
          <w:sz w:val="16"/>
          <w:szCs w:val="16"/>
        </w:rPr>
        <w:t>,2021</w:t>
      </w:r>
    </w:p>
    <w:p w14:paraId="693221EF" w14:textId="77777777" w:rsidR="00F07DB4" w:rsidRDefault="00F07DB4" w:rsidP="00F07DB4"/>
    <w:p w14:paraId="225990D4" w14:textId="29B7DC1C" w:rsidR="00F07DB4" w:rsidRDefault="0084738A" w:rsidP="00F07DB4">
      <w:r>
        <w:t>S</w:t>
      </w:r>
      <w:r w:rsidR="008878A0">
        <w:t xml:space="preserve">rednje škole Krapinsko-zagorske županije razmještene su u skladu s uobičajenim gravitacijskim tokovima lokalnog stanovništva, u općinama i gradovima s većim brojem stanovnika te su dobro prometno povezane. Troškovi javnog linijskog prijevoza, u cestovnom i željezničkom prijevozu, redovitih učenika srednjih škola koji imaju prebivalište ili boravište na području Krapinsko-zagorske županije udaljeno </w:t>
      </w:r>
      <w:r>
        <w:t xml:space="preserve">od škole </w:t>
      </w:r>
      <w:r w:rsidR="008878A0">
        <w:t>više od 5 kilometara</w:t>
      </w:r>
      <w:r>
        <w:t>,</w:t>
      </w:r>
      <w:r w:rsidR="008878A0">
        <w:t xml:space="preserve"> sufinanciraju se iz državnog proračuna (75%), </w:t>
      </w:r>
      <w:r w:rsidR="00857BB2">
        <w:rPr>
          <w:rStyle w:val="Referencafusnote"/>
        </w:rPr>
        <w:footnoteReference w:id="56"/>
      </w:r>
      <w:r>
        <w:t xml:space="preserve">i iz proračuna </w:t>
      </w:r>
      <w:r w:rsidR="008878A0">
        <w:t xml:space="preserve">Županije </w:t>
      </w:r>
      <w:r>
        <w:t>(</w:t>
      </w:r>
      <w:r w:rsidR="008878A0">
        <w:t>12,5%</w:t>
      </w:r>
      <w:r>
        <w:t>). P</w:t>
      </w:r>
      <w:r w:rsidR="008878A0">
        <w:t>reostalih 12,5% sufinanciraju JLS, ukoliko odluče sufinancirati učeničke prijevozne karte. Uz spomenuto, na područjima gdje nema odgovarajućeg javnog prijevoza iz županijskog proračuna se sufinancira prijevoz učenika drugim oblikom prijevoza.</w:t>
      </w:r>
      <w:r w:rsidR="00F07DB4">
        <w:t xml:space="preserve"> </w:t>
      </w:r>
    </w:p>
    <w:p w14:paraId="5C92E67C" w14:textId="2C77B52F" w:rsidR="00F07DB4" w:rsidRDefault="00F07DB4" w:rsidP="00F07DB4">
      <w:r>
        <w:t>Za učenike koj</w:t>
      </w:r>
      <w:r w:rsidR="008D512F">
        <w:t>i</w:t>
      </w:r>
      <w:r>
        <w:t xml:space="preserve"> stanuju unutar tri kilometra od škole jedan od glavnih problema su neosigurane prometnice (nepostojanje nogostupa, neobilježene trake za pješake, neodgovarajuća vertikalna i horizontalna signalizacija), neobilježena i neosigurana autobusna stajališta čime se ugrožavaju pješaci u prometu.</w:t>
      </w:r>
    </w:p>
    <w:p w14:paraId="718D2320" w14:textId="07771E8B" w:rsidR="00AF65C1" w:rsidRDefault="00AF65C1" w:rsidP="00941871">
      <w:r w:rsidRPr="00AF65C1">
        <w:t xml:space="preserve">Uz srednje škole u Bedekovčini i Pregradi postoje učenički domovi u koje se može smjestiti do </w:t>
      </w:r>
      <w:r w:rsidR="00857BB2">
        <w:t>311</w:t>
      </w:r>
      <w:r w:rsidR="00857BB2">
        <w:rPr>
          <w:rStyle w:val="Referencafusnote"/>
        </w:rPr>
        <w:footnoteReference w:id="57"/>
      </w:r>
      <w:r w:rsidR="00857BB2">
        <w:t xml:space="preserve"> </w:t>
      </w:r>
      <w:r w:rsidRPr="00AF65C1">
        <w:t>učenika (svake školske godine popunjenost je oko 90%). Iako postojeći kapaciteti učeničkih domova zadovoljavaju potreb</w:t>
      </w:r>
      <w:r w:rsidR="0084738A">
        <w:t>e</w:t>
      </w:r>
      <w:r w:rsidRPr="00AF65C1">
        <w:t>, iz godine u godinu  roditelji izražavaju želju za o otvaranjem učeničkih domova u Krapini i Zaboku.</w:t>
      </w:r>
    </w:p>
    <w:p w14:paraId="080D39C7" w14:textId="77777777" w:rsidR="004813BD" w:rsidRDefault="004813BD" w:rsidP="00941871"/>
    <w:p w14:paraId="0370D8AA" w14:textId="3134B059" w:rsidR="008878A0" w:rsidRDefault="00C47264" w:rsidP="0052192B">
      <w:pPr>
        <w:pStyle w:val="Naslov2"/>
      </w:pPr>
      <w:bookmarkStart w:id="118" w:name="_Toc85181312"/>
      <w:r>
        <w:t>8</w:t>
      </w:r>
      <w:r w:rsidR="008878A0">
        <w:t>.5. Visoko obrazovanje</w:t>
      </w:r>
      <w:bookmarkEnd w:id="118"/>
      <w:r w:rsidR="008878A0">
        <w:t xml:space="preserve"> </w:t>
      </w:r>
    </w:p>
    <w:p w14:paraId="24CE77F9" w14:textId="77777777" w:rsidR="00A91A65" w:rsidRPr="00A91A65" w:rsidRDefault="00A91A65" w:rsidP="00A91A65"/>
    <w:p w14:paraId="130BFC6F" w14:textId="77777777" w:rsidR="00AF65C1" w:rsidRDefault="00AF65C1" w:rsidP="00941871">
      <w:r w:rsidRPr="00AF65C1">
        <w:t xml:space="preserve">Ustanove visokog obrazovanja na području Krapinsko-zagorske županije nalaze se u Krapini, Pregradi i Zaboku. Studiji u Pregradi i Zaboku organizirani su kao dislocirani odjeli visokih učilišta iz drugih županija. </w:t>
      </w:r>
    </w:p>
    <w:p w14:paraId="4A15352B" w14:textId="73A81A75" w:rsidR="00AF65C1" w:rsidRDefault="00AF65C1" w:rsidP="00941871">
      <w:r w:rsidRPr="00AF65C1">
        <w:t>U prostoru Srednje škole Pregrada djeluje dislocirani studij Sestrinstva</w:t>
      </w:r>
      <w:r w:rsidRPr="00AF65C1">
        <w:rPr>
          <w:i/>
          <w:iCs/>
        </w:rPr>
        <w:t xml:space="preserve"> Fakulteta za dentalnu medicinu i zdravstvo Osijek</w:t>
      </w:r>
      <w:r w:rsidRPr="00AF65C1">
        <w:t xml:space="preserve">, dok u prostorima Pučkog otvorenog učilišta u Zaboku djeluje dislocirani studij Poslovne ekonomije u turizmu i ugostiteljstvu </w:t>
      </w:r>
      <w:r w:rsidRPr="00AF65C1">
        <w:rPr>
          <w:i/>
          <w:iCs/>
        </w:rPr>
        <w:t>Fakulteta za menadžment u turizmu i ugostiteljstvu Opatija</w:t>
      </w:r>
      <w:r w:rsidRPr="00AF65C1">
        <w:t xml:space="preserve">, Učiteljski </w:t>
      </w:r>
      <w:r w:rsidRPr="00AF65C1">
        <w:rPr>
          <w:i/>
          <w:iCs/>
        </w:rPr>
        <w:t>studij Fakulteta za odgojne i obrazovne znanosti Sveučilišta J. J. Strossmayer iz Osijeka</w:t>
      </w:r>
      <w:r w:rsidRPr="00AF65C1">
        <w:t xml:space="preserve"> te dislocirani studij Primjene informacijske tehnologije u poslovanju </w:t>
      </w:r>
      <w:r w:rsidRPr="00DC4726">
        <w:rPr>
          <w:i/>
          <w:iCs/>
        </w:rPr>
        <w:t>Fakulteta organizacije i informatike u Varaždinu</w:t>
      </w:r>
      <w:r w:rsidRPr="00AF65C1">
        <w:t>.</w:t>
      </w:r>
    </w:p>
    <w:p w14:paraId="77A870D9" w14:textId="62A5DA49" w:rsidR="008878A0" w:rsidRDefault="008878A0" w:rsidP="00941871">
      <w:r>
        <w:lastRenderedPageBreak/>
        <w:t xml:space="preserve">Kao autonomna visokoškolska institucija izdvaja se </w:t>
      </w:r>
      <w:r>
        <w:rPr>
          <w:i/>
          <w:iCs/>
        </w:rPr>
        <w:t>Veleučilište Hrvatsko Zagorje u Krapini</w:t>
      </w:r>
      <w:r>
        <w:t xml:space="preserve"> pri kojem se izvode studijski programi informatike, operativnog menadžmenta i prometne logistike. Ugovorom o poslovnoj suradnji i najmu prostora s </w:t>
      </w:r>
      <w:r w:rsidRPr="004D1864">
        <w:rPr>
          <w:i/>
          <w:iCs/>
        </w:rPr>
        <w:t>Pučkim otvorenim učilištem</w:t>
      </w:r>
      <w:r w:rsidR="004D1864" w:rsidRPr="004D1864">
        <w:rPr>
          <w:i/>
          <w:iCs/>
        </w:rPr>
        <w:t xml:space="preserve"> Krapina</w:t>
      </w:r>
      <w:r w:rsidR="004D1864">
        <w:t xml:space="preserve"> </w:t>
      </w:r>
      <w:r>
        <w:t xml:space="preserve">te Ugovorom o zakupu poslovnog prostora sa </w:t>
      </w:r>
      <w:r w:rsidRPr="00B23FDE">
        <w:rPr>
          <w:i/>
          <w:iCs/>
        </w:rPr>
        <w:t>Srednjom školom Krapina</w:t>
      </w:r>
      <w:r>
        <w:t xml:space="preserve"> osiguran je sav potreban prostor i oprema za rad studenata, nastavnog i nenastavnog osoblja u provedbi sva tri studijska programa Veleučilišta. </w:t>
      </w:r>
    </w:p>
    <w:p w14:paraId="13FE363C" w14:textId="575353B8" w:rsidR="008878A0" w:rsidRDefault="008878A0" w:rsidP="00941871">
      <w:r>
        <w:t>U akademskoj godini 201</w:t>
      </w:r>
      <w:r w:rsidR="00E26C35">
        <w:t>9</w:t>
      </w:r>
      <w:r>
        <w:t>./20</w:t>
      </w:r>
      <w:r w:rsidR="00E26C35">
        <w:t>20</w:t>
      </w:r>
      <w:r>
        <w:t>. studijske programe spomenutih visokih učilišta na području Krapinsko-zagorske županije upisalo je 1.</w:t>
      </w:r>
      <w:r w:rsidR="00E26C35">
        <w:t>305</w:t>
      </w:r>
      <w:r>
        <w:t xml:space="preserve"> studenata</w:t>
      </w:r>
      <w:r w:rsidR="00B97529">
        <w:t>,</w:t>
      </w:r>
      <w:r>
        <w:t xml:space="preserve"> a postotak od ukupnog broja prema navedenim visokim učilištima prikazan je sljedećim grafikonom. </w:t>
      </w:r>
      <w:r w:rsidR="00B97529">
        <w:t xml:space="preserve">U odnosu na prethodnu akademsku godinu broj upisanih studenata porastao je za 79. </w:t>
      </w:r>
      <w:r>
        <w:t xml:space="preserve">Dio studenata čine studenti s prebivalištem u Krapinsko-zagorskoj županiji, a dio studenti iz drugih županija Republike Hrvatske. </w:t>
      </w:r>
    </w:p>
    <w:p w14:paraId="32BF92C9" w14:textId="77777777" w:rsidR="007823F0" w:rsidRDefault="007823F0" w:rsidP="00941871"/>
    <w:p w14:paraId="1A7369F3" w14:textId="5BD80CF6" w:rsidR="008878A0" w:rsidRDefault="008878A0" w:rsidP="003E3F3C">
      <w:pPr>
        <w:pStyle w:val="Opisslike"/>
      </w:pPr>
      <w:r>
        <w:t xml:space="preserve">Grafikon </w:t>
      </w:r>
      <w:r w:rsidR="00151FD4">
        <w:t>2</w:t>
      </w:r>
      <w:r w:rsidR="00A668BF">
        <w:t>6</w:t>
      </w:r>
      <w:r w:rsidR="00825CD8">
        <w:rPr>
          <w:noProof/>
        </w:rPr>
        <w:t>.</w:t>
      </w:r>
      <w:r>
        <w:t xml:space="preserve"> Studenti na visokim učilištima na području Krapinsko-zagorske županije (201</w:t>
      </w:r>
      <w:r w:rsidR="00B950C6">
        <w:t>9</w:t>
      </w:r>
      <w:r>
        <w:t>./20</w:t>
      </w:r>
      <w:r w:rsidR="00B950C6">
        <w:t>20</w:t>
      </w:r>
      <w:r>
        <w:t>.)</w:t>
      </w:r>
    </w:p>
    <w:p w14:paraId="58B4540F" w14:textId="7A1CD4A7" w:rsidR="008878A0" w:rsidRPr="000134D7" w:rsidRDefault="00B950C6" w:rsidP="00151FD4">
      <w:pPr>
        <w:spacing w:after="0"/>
      </w:pPr>
      <w:r>
        <w:rPr>
          <w:noProof/>
        </w:rPr>
        <w:drawing>
          <wp:inline distT="0" distB="0" distL="0" distR="0" wp14:anchorId="4A1E0F42" wp14:editId="64AFA847">
            <wp:extent cx="5918200" cy="2844800"/>
            <wp:effectExtent l="0" t="0" r="6350" b="12700"/>
            <wp:docPr id="237" name="Grafikon 237">
              <a:extLst xmlns:a="http://schemas.openxmlformats.org/drawingml/2006/main">
                <a:ext uri="{FF2B5EF4-FFF2-40B4-BE49-F238E27FC236}">
                  <a16:creationId xmlns:a16="http://schemas.microsoft.com/office/drawing/2014/main" id="{A7D60CD4-BB74-489F-9E3F-6D38CA0D36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909B9EA" w14:textId="1E8755DC" w:rsidR="008878A0" w:rsidRPr="000134D7" w:rsidRDefault="008878A0" w:rsidP="009E69A4">
      <w:pPr>
        <w:pStyle w:val="Izvor"/>
        <w:rPr>
          <w:i/>
          <w:color w:val="ABABAB" w:themeColor="text1" w:themeTint="A6"/>
          <w:sz w:val="16"/>
          <w:szCs w:val="16"/>
        </w:rPr>
      </w:pPr>
      <w:r w:rsidRPr="000134D7">
        <w:rPr>
          <w:i/>
          <w:color w:val="ABABAB" w:themeColor="text1" w:themeTint="A6"/>
          <w:sz w:val="16"/>
          <w:szCs w:val="16"/>
        </w:rPr>
        <w:t>Izvor: Upravni odjel za obrazovanje, kulturu, šport i tehničku kulturu</w:t>
      </w:r>
      <w:r w:rsidR="000134D7" w:rsidRPr="000134D7">
        <w:rPr>
          <w:i/>
          <w:color w:val="ABABAB" w:themeColor="text1" w:themeTint="A6"/>
          <w:sz w:val="16"/>
          <w:szCs w:val="16"/>
        </w:rPr>
        <w:t>, 2020.</w:t>
      </w:r>
    </w:p>
    <w:p w14:paraId="3383A4B9" w14:textId="77777777" w:rsidR="00E20BBD" w:rsidRDefault="00E20BBD" w:rsidP="00855D8D">
      <w:pPr>
        <w:pStyle w:val="Izvor"/>
      </w:pPr>
    </w:p>
    <w:p w14:paraId="0761F944" w14:textId="7E99F8F4" w:rsidR="00DC4726" w:rsidRPr="005936F9" w:rsidRDefault="00DC4726" w:rsidP="00941871">
      <w:pPr>
        <w:rPr>
          <w:highlight w:val="yellow"/>
        </w:rPr>
      </w:pPr>
      <w:r w:rsidRPr="00A0456D">
        <w:t>U akademskoj godini 201</w:t>
      </w:r>
      <w:r w:rsidR="00A0456D" w:rsidRPr="00A0456D">
        <w:t>9</w:t>
      </w:r>
      <w:r w:rsidRPr="00A0456D">
        <w:t>./20</w:t>
      </w:r>
      <w:r w:rsidR="00A0456D" w:rsidRPr="00A0456D">
        <w:t>20</w:t>
      </w:r>
      <w:r w:rsidRPr="00A0456D">
        <w:t>., 4.</w:t>
      </w:r>
      <w:r w:rsidR="00A0456D" w:rsidRPr="00A0456D">
        <w:t>130</w:t>
      </w:r>
      <w:r w:rsidRPr="00A0456D">
        <w:t xml:space="preserve"> studenata s prebivalištem u Krapinsko-zagorskoj županiji upisalo je stručni ili sveučilišni studij. </w:t>
      </w:r>
      <w:r w:rsidR="00725607">
        <w:t>U razdoblju od 2015./2016. do 201</w:t>
      </w:r>
      <w:r w:rsidR="000F4291">
        <w:t>8</w:t>
      </w:r>
      <w:r w:rsidR="00725607">
        <w:t>./201</w:t>
      </w:r>
      <w:r w:rsidR="000F4291">
        <w:t>9</w:t>
      </w:r>
      <w:r w:rsidR="00725607">
        <w:t xml:space="preserve">. godine </w:t>
      </w:r>
      <w:r w:rsidR="00725607" w:rsidRPr="00725607">
        <w:t>v</w:t>
      </w:r>
      <w:r w:rsidRPr="00725607">
        <w:t>idljiv je pad prosječnog broja studenata na 1.000 stanovnika u Krapinsko-zagorskoj županiji (od 32 studenta na 1.000 stanovnika u akademskoj godini 2015./2016. do prosjeka od 3</w:t>
      </w:r>
      <w:r w:rsidR="00725607">
        <w:t>0</w:t>
      </w:r>
      <w:r w:rsidRPr="00725607">
        <w:t xml:space="preserve"> studenta na 1.000 stanovnika</w:t>
      </w:r>
      <w:r w:rsidR="00725607">
        <w:t xml:space="preserve"> u akademskoj godini 2018./2019. godini</w:t>
      </w:r>
      <w:r w:rsidRPr="00725607">
        <w:t>)</w:t>
      </w:r>
      <w:r w:rsidR="0009528D">
        <w:t>. U</w:t>
      </w:r>
      <w:r w:rsidR="00B13B47">
        <w:t xml:space="preserve"> </w:t>
      </w:r>
      <w:r w:rsidR="000F4291" w:rsidRPr="000F4291">
        <w:t xml:space="preserve">promatranoj godini, broj studenata na 1.000 stanovnika </w:t>
      </w:r>
      <w:r w:rsidR="0009528D">
        <w:t xml:space="preserve">je porastao i </w:t>
      </w:r>
      <w:r w:rsidR="000F4291" w:rsidRPr="000F4291">
        <w:t>iznosio je 33.</w:t>
      </w:r>
    </w:p>
    <w:p w14:paraId="70C8B035" w14:textId="65BCCD43" w:rsidR="008878A0" w:rsidRDefault="008878A0" w:rsidP="00941871">
      <w:r w:rsidRPr="0001759D">
        <w:t>Prema dostupnim podacima Državnog zavoda za statistiku za 201</w:t>
      </w:r>
      <w:r w:rsidR="0001759D" w:rsidRPr="0001759D">
        <w:t>9</w:t>
      </w:r>
      <w:r w:rsidRPr="0001759D">
        <w:t xml:space="preserve">. godinu, </w:t>
      </w:r>
      <w:r w:rsidR="0001759D" w:rsidRPr="0001759D">
        <w:t>893</w:t>
      </w:r>
      <w:r w:rsidRPr="0001759D">
        <w:t xml:space="preserve"> studenta s područja Krapinsko-zagorske županije završilo je sveučilišni ili stručni studij. </w:t>
      </w:r>
      <w:r w:rsidRPr="00680E4A">
        <w:t>U promatranom razdoblju od 2015. do 201</w:t>
      </w:r>
      <w:r w:rsidR="0001759D" w:rsidRPr="00680E4A">
        <w:t>8</w:t>
      </w:r>
      <w:r w:rsidRPr="00680E4A">
        <w:t xml:space="preserve">. godine primjetna je konstanta broja studenata koji su završili sveučilišni ili stručni studij </w:t>
      </w:r>
      <w:r w:rsidR="00680E4A">
        <w:t>dok je u 2019.godini primjetno</w:t>
      </w:r>
      <w:r w:rsidRPr="00922BC7">
        <w:t xml:space="preserve"> </w:t>
      </w:r>
      <w:r w:rsidRPr="00680E4A">
        <w:t>manje odstupanje</w:t>
      </w:r>
      <w:r w:rsidR="00680E4A" w:rsidRPr="00680E4A">
        <w:t xml:space="preserve"> </w:t>
      </w:r>
      <w:r w:rsidRPr="00680E4A">
        <w:t>(pokazatelj za 2015.g. = 935; 2016.g. = 930; 2017.g. = 916 studenata</w:t>
      </w:r>
      <w:r w:rsidR="00680E4A" w:rsidRPr="00680E4A">
        <w:t>; 2018.g. = 926</w:t>
      </w:r>
      <w:r w:rsidRPr="00680E4A">
        <w:t xml:space="preserve">). </w:t>
      </w:r>
      <w:r w:rsidRPr="002010FD">
        <w:t>Broj diplomiranih studenata na 1.000 stanovnika u Krapinsko-zagorskoj županiji u 201</w:t>
      </w:r>
      <w:r w:rsidR="002010FD" w:rsidRPr="002010FD">
        <w:t>9</w:t>
      </w:r>
      <w:r w:rsidRPr="002010FD">
        <w:t xml:space="preserve">. godini iznosi </w:t>
      </w:r>
      <w:r w:rsidR="002010FD" w:rsidRPr="00317818">
        <w:t>7</w:t>
      </w:r>
      <w:r w:rsidR="00680E4A" w:rsidRPr="00317818">
        <w:rPr>
          <w:rStyle w:val="Referencafusnote"/>
        </w:rPr>
        <w:footnoteReference w:id="58"/>
      </w:r>
      <w:r w:rsidRPr="00317818">
        <w:t>.</w:t>
      </w:r>
      <w:r>
        <w:t xml:space="preserve"> </w:t>
      </w:r>
    </w:p>
    <w:p w14:paraId="44D8DF22" w14:textId="77777777" w:rsidR="00E20BBD" w:rsidRDefault="00E20BBD" w:rsidP="00941871"/>
    <w:p w14:paraId="799590FD" w14:textId="3B239471" w:rsidR="00E20BBD" w:rsidRPr="00E20BBD" w:rsidRDefault="008878A0" w:rsidP="003E3F3C">
      <w:pPr>
        <w:pStyle w:val="Opisslike"/>
      </w:pPr>
      <w:r>
        <w:lastRenderedPageBreak/>
        <w:t xml:space="preserve">Tablica </w:t>
      </w:r>
      <w:r w:rsidR="00F67950">
        <w:rPr>
          <w:noProof/>
        </w:rPr>
        <w:t>5</w:t>
      </w:r>
      <w:r w:rsidR="00004F7D">
        <w:rPr>
          <w:noProof/>
        </w:rPr>
        <w:t>8</w:t>
      </w:r>
      <w:r w:rsidR="00825CD8">
        <w:rPr>
          <w:noProof/>
        </w:rPr>
        <w:t>.</w:t>
      </w:r>
      <w:r>
        <w:t xml:space="preserve"> Upisani studenti s prebivalištem u Krapinsko-zagorskoj županiji te s prebivalištem u nekoj drugoj županiji RH na studije koji se izvode u Krapinsko-zagorskoj županiji (2015.-</w:t>
      </w:r>
      <w:r w:rsidR="00151FD4">
        <w:t xml:space="preserve"> </w:t>
      </w:r>
      <w:r>
        <w:t>201</w:t>
      </w:r>
      <w:r w:rsidR="00F67950">
        <w:t>9</w:t>
      </w:r>
      <w:r>
        <w:t>.)</w:t>
      </w:r>
    </w:p>
    <w:tbl>
      <w:tblPr>
        <w:tblW w:w="5000" w:type="pct"/>
        <w:tblBorders>
          <w:insideH w:val="single" w:sz="8" w:space="0" w:color="F3CFC1"/>
        </w:tblBorders>
        <w:tblLayout w:type="fixed"/>
        <w:tblLook w:val="04A0" w:firstRow="1" w:lastRow="0" w:firstColumn="1" w:lastColumn="0" w:noHBand="0" w:noVBand="1"/>
      </w:tblPr>
      <w:tblGrid>
        <w:gridCol w:w="2164"/>
        <w:gridCol w:w="1317"/>
        <w:gridCol w:w="517"/>
        <w:gridCol w:w="647"/>
        <w:gridCol w:w="386"/>
        <w:gridCol w:w="386"/>
        <w:gridCol w:w="517"/>
        <w:gridCol w:w="569"/>
        <w:gridCol w:w="726"/>
        <w:gridCol w:w="567"/>
        <w:gridCol w:w="656"/>
        <w:gridCol w:w="838"/>
      </w:tblGrid>
      <w:tr w:rsidR="001742E0" w:rsidRPr="00825CD8" w14:paraId="4AE89871" w14:textId="312D2462" w:rsidTr="00287903">
        <w:trPr>
          <w:trHeight w:val="283"/>
          <w:tblHeader/>
        </w:trPr>
        <w:tc>
          <w:tcPr>
            <w:tcW w:w="1874" w:type="pct"/>
            <w:gridSpan w:val="2"/>
            <w:vMerge w:val="restart"/>
            <w:tcBorders>
              <w:top w:val="nil"/>
              <w:right w:val="single" w:sz="4" w:space="0" w:color="FFFFFF" w:themeColor="background1"/>
            </w:tcBorders>
            <w:shd w:val="clear" w:color="auto" w:fill="D2232A"/>
            <w:noWrap/>
            <w:vAlign w:val="center"/>
            <w:hideMark/>
          </w:tcPr>
          <w:p w14:paraId="66409381" w14:textId="7BDE3C00" w:rsidR="001742E0" w:rsidRPr="00825CD8" w:rsidRDefault="001742E0" w:rsidP="007F2B15">
            <w:pPr>
              <w:spacing w:after="0" w:line="240" w:lineRule="auto"/>
              <w:jc w:val="center"/>
              <w:rPr>
                <w:rFonts w:eastAsia="Times New Roman" w:cs="Calibri"/>
                <w:color w:val="FFFFFF" w:themeColor="background1"/>
                <w:szCs w:val="18"/>
                <w:lang w:eastAsia="hr-HR"/>
              </w:rPr>
            </w:pPr>
            <w:r w:rsidRPr="00825CD8">
              <w:rPr>
                <w:rFonts w:eastAsia="Times New Roman" w:cs="Calibri"/>
                <w:color w:val="FFFFFF" w:themeColor="background1"/>
                <w:szCs w:val="18"/>
                <w:lang w:eastAsia="hr-HR"/>
              </w:rPr>
              <w:t>Naziv ustanove visokog obrazovanja i</w:t>
            </w:r>
          </w:p>
          <w:p w14:paraId="5667B579" w14:textId="17B0B653" w:rsidR="001742E0" w:rsidRPr="00825CD8" w:rsidRDefault="001742E0" w:rsidP="007F2B15">
            <w:pPr>
              <w:spacing w:after="0" w:line="240" w:lineRule="auto"/>
              <w:jc w:val="center"/>
              <w:rPr>
                <w:rFonts w:eastAsia="Times New Roman" w:cs="Calibri"/>
                <w:color w:val="FFFFFF" w:themeColor="background1"/>
                <w:szCs w:val="18"/>
                <w:lang w:eastAsia="hr-HR"/>
              </w:rPr>
            </w:pPr>
            <w:r w:rsidRPr="00825CD8">
              <w:rPr>
                <w:rFonts w:eastAsia="Times New Roman" w:cs="Calibri"/>
                <w:color w:val="FFFFFF" w:themeColor="background1"/>
                <w:szCs w:val="18"/>
                <w:lang w:eastAsia="hr-HR"/>
              </w:rPr>
              <w:t>studijskog programa</w:t>
            </w:r>
          </w:p>
        </w:tc>
        <w:tc>
          <w:tcPr>
            <w:tcW w:w="626" w:type="pct"/>
            <w:gridSpan w:val="2"/>
            <w:tcBorders>
              <w:top w:val="nil"/>
              <w:left w:val="single" w:sz="4" w:space="0" w:color="FFFFFF" w:themeColor="background1"/>
              <w:bottom w:val="single" w:sz="4" w:space="0" w:color="FFFFFF" w:themeColor="background1"/>
              <w:right w:val="single" w:sz="8" w:space="0" w:color="FFFFFF" w:themeColor="background1"/>
            </w:tcBorders>
            <w:shd w:val="clear" w:color="auto" w:fill="D2232A"/>
            <w:noWrap/>
            <w:vAlign w:val="center"/>
            <w:hideMark/>
          </w:tcPr>
          <w:p w14:paraId="49F63B45" w14:textId="77777777" w:rsidR="001742E0" w:rsidRPr="00825CD8" w:rsidRDefault="001742E0" w:rsidP="001742E0">
            <w:pPr>
              <w:spacing w:after="0" w:line="240" w:lineRule="auto"/>
              <w:jc w:val="center"/>
              <w:rPr>
                <w:rFonts w:eastAsia="Times New Roman" w:cs="Calibri"/>
                <w:b/>
                <w:bCs/>
                <w:color w:val="FFFFFF" w:themeColor="background1"/>
                <w:szCs w:val="18"/>
                <w:lang w:eastAsia="hr-HR"/>
              </w:rPr>
            </w:pPr>
            <w:r w:rsidRPr="00825CD8">
              <w:rPr>
                <w:rFonts w:eastAsia="Times New Roman" w:cs="Calibri"/>
                <w:b/>
                <w:bCs/>
                <w:color w:val="FFFFFF" w:themeColor="background1"/>
                <w:szCs w:val="18"/>
                <w:lang w:eastAsia="hr-HR"/>
              </w:rPr>
              <w:t>2015.</w:t>
            </w:r>
          </w:p>
          <w:p w14:paraId="63A9B53A" w14:textId="473D1AD2" w:rsidR="001742E0" w:rsidRPr="00825CD8" w:rsidRDefault="001742E0" w:rsidP="001742E0">
            <w:pPr>
              <w:spacing w:after="0" w:line="240" w:lineRule="auto"/>
              <w:jc w:val="center"/>
              <w:rPr>
                <w:rFonts w:eastAsia="Times New Roman" w:cs="Calibri"/>
                <w:b/>
                <w:bCs/>
                <w:color w:val="FFFFFF" w:themeColor="background1"/>
                <w:szCs w:val="18"/>
                <w:lang w:eastAsia="hr-HR"/>
              </w:rPr>
            </w:pPr>
            <w:r w:rsidRPr="00825CD8">
              <w:rPr>
                <w:rFonts w:eastAsia="Times New Roman" w:cs="Calibri"/>
                <w:b/>
                <w:bCs/>
                <w:color w:val="FFFFFF" w:themeColor="background1"/>
                <w:szCs w:val="18"/>
                <w:lang w:eastAsia="hr-HR"/>
              </w:rPr>
              <w:t>/2016.</w:t>
            </w:r>
          </w:p>
        </w:tc>
        <w:tc>
          <w:tcPr>
            <w:tcW w:w="416" w:type="pct"/>
            <w:gridSpan w:val="2"/>
            <w:tcBorders>
              <w:top w:val="nil"/>
              <w:left w:val="single" w:sz="8" w:space="0" w:color="FFFFFF" w:themeColor="background1"/>
              <w:bottom w:val="single" w:sz="4" w:space="0" w:color="FFFFFF" w:themeColor="background1"/>
              <w:right w:val="single" w:sz="8" w:space="0" w:color="FFFFFF" w:themeColor="background1"/>
            </w:tcBorders>
            <w:shd w:val="clear" w:color="auto" w:fill="D2232A"/>
            <w:noWrap/>
            <w:vAlign w:val="center"/>
            <w:hideMark/>
          </w:tcPr>
          <w:p w14:paraId="747D43FC" w14:textId="77777777" w:rsidR="001742E0" w:rsidRPr="00825CD8" w:rsidRDefault="001742E0" w:rsidP="001742E0">
            <w:pPr>
              <w:spacing w:after="0" w:line="240" w:lineRule="auto"/>
              <w:jc w:val="center"/>
              <w:rPr>
                <w:rFonts w:eastAsia="Times New Roman" w:cs="Calibri"/>
                <w:b/>
                <w:bCs/>
                <w:color w:val="FFFFFF" w:themeColor="background1"/>
                <w:szCs w:val="18"/>
                <w:lang w:eastAsia="hr-HR"/>
              </w:rPr>
            </w:pPr>
            <w:r w:rsidRPr="00825CD8">
              <w:rPr>
                <w:rFonts w:eastAsia="Times New Roman" w:cs="Calibri"/>
                <w:b/>
                <w:bCs/>
                <w:color w:val="FFFFFF" w:themeColor="background1"/>
                <w:szCs w:val="18"/>
                <w:lang w:eastAsia="hr-HR"/>
              </w:rPr>
              <w:t>2016.</w:t>
            </w:r>
          </w:p>
          <w:p w14:paraId="009A5CD9" w14:textId="529D3814" w:rsidR="001742E0" w:rsidRPr="00825CD8" w:rsidRDefault="001742E0" w:rsidP="001742E0">
            <w:pPr>
              <w:spacing w:after="0" w:line="240" w:lineRule="auto"/>
              <w:jc w:val="center"/>
              <w:rPr>
                <w:rFonts w:eastAsia="Times New Roman" w:cs="Calibri"/>
                <w:b/>
                <w:bCs/>
                <w:color w:val="FFFFFF" w:themeColor="background1"/>
                <w:szCs w:val="18"/>
                <w:lang w:eastAsia="hr-HR"/>
              </w:rPr>
            </w:pPr>
            <w:r w:rsidRPr="00825CD8">
              <w:rPr>
                <w:rFonts w:eastAsia="Times New Roman" w:cs="Calibri"/>
                <w:b/>
                <w:bCs/>
                <w:color w:val="FFFFFF" w:themeColor="background1"/>
                <w:szCs w:val="18"/>
                <w:lang w:eastAsia="hr-HR"/>
              </w:rPr>
              <w:t>/2017.</w:t>
            </w:r>
          </w:p>
        </w:tc>
        <w:tc>
          <w:tcPr>
            <w:tcW w:w="584" w:type="pct"/>
            <w:gridSpan w:val="2"/>
            <w:tcBorders>
              <w:top w:val="nil"/>
              <w:left w:val="single" w:sz="8" w:space="0" w:color="FFFFFF" w:themeColor="background1"/>
              <w:bottom w:val="single" w:sz="4" w:space="0" w:color="FFFFFF" w:themeColor="background1"/>
              <w:right w:val="single" w:sz="8" w:space="0" w:color="FFFFFF" w:themeColor="background1"/>
            </w:tcBorders>
            <w:shd w:val="clear" w:color="auto" w:fill="D2232A"/>
            <w:noWrap/>
            <w:vAlign w:val="center"/>
            <w:hideMark/>
          </w:tcPr>
          <w:p w14:paraId="70D646AB" w14:textId="77777777" w:rsidR="001742E0" w:rsidRPr="00825CD8" w:rsidRDefault="001742E0" w:rsidP="001742E0">
            <w:pPr>
              <w:spacing w:after="0" w:line="240" w:lineRule="auto"/>
              <w:jc w:val="center"/>
              <w:rPr>
                <w:rFonts w:eastAsia="Times New Roman" w:cs="Calibri"/>
                <w:b/>
                <w:bCs/>
                <w:color w:val="FFFFFF" w:themeColor="background1"/>
                <w:szCs w:val="18"/>
                <w:lang w:eastAsia="hr-HR"/>
              </w:rPr>
            </w:pPr>
            <w:r w:rsidRPr="00825CD8">
              <w:rPr>
                <w:rFonts w:eastAsia="Times New Roman" w:cs="Calibri"/>
                <w:b/>
                <w:bCs/>
                <w:color w:val="FFFFFF" w:themeColor="background1"/>
                <w:szCs w:val="18"/>
                <w:lang w:eastAsia="hr-HR"/>
              </w:rPr>
              <w:t>2017.</w:t>
            </w:r>
          </w:p>
          <w:p w14:paraId="3CE89E17" w14:textId="350C17A9" w:rsidR="001742E0" w:rsidRPr="00825CD8" w:rsidRDefault="001742E0" w:rsidP="001742E0">
            <w:pPr>
              <w:spacing w:after="0" w:line="240" w:lineRule="auto"/>
              <w:jc w:val="center"/>
              <w:rPr>
                <w:rFonts w:eastAsia="Times New Roman" w:cs="Calibri"/>
                <w:b/>
                <w:bCs/>
                <w:color w:val="FFFFFF" w:themeColor="background1"/>
                <w:szCs w:val="18"/>
                <w:lang w:eastAsia="hr-HR"/>
              </w:rPr>
            </w:pPr>
            <w:r w:rsidRPr="00825CD8">
              <w:rPr>
                <w:rFonts w:eastAsia="Times New Roman" w:cs="Calibri"/>
                <w:b/>
                <w:bCs/>
                <w:color w:val="FFFFFF" w:themeColor="background1"/>
                <w:szCs w:val="18"/>
                <w:lang w:eastAsia="hr-HR"/>
              </w:rPr>
              <w:t>/2018.</w:t>
            </w:r>
          </w:p>
        </w:tc>
        <w:tc>
          <w:tcPr>
            <w:tcW w:w="696" w:type="pct"/>
            <w:gridSpan w:val="2"/>
            <w:tcBorders>
              <w:top w:val="nil"/>
              <w:left w:val="single" w:sz="8"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5D356D53" w14:textId="65AFE876" w:rsidR="001742E0" w:rsidRPr="00825CD8" w:rsidRDefault="001742E0" w:rsidP="001742E0">
            <w:pPr>
              <w:spacing w:after="0" w:line="240" w:lineRule="auto"/>
              <w:jc w:val="center"/>
              <w:rPr>
                <w:rFonts w:eastAsia="Times New Roman" w:cs="Calibri"/>
                <w:b/>
                <w:bCs/>
                <w:color w:val="FFFFFF" w:themeColor="background1"/>
                <w:szCs w:val="18"/>
                <w:lang w:eastAsia="hr-HR"/>
              </w:rPr>
            </w:pPr>
            <w:r w:rsidRPr="00825CD8">
              <w:rPr>
                <w:rFonts w:eastAsia="Times New Roman" w:cs="Calibri"/>
                <w:b/>
                <w:bCs/>
                <w:color w:val="FFFFFF" w:themeColor="background1"/>
                <w:szCs w:val="18"/>
                <w:lang w:eastAsia="hr-HR"/>
              </w:rPr>
              <w:t>2018.</w:t>
            </w:r>
          </w:p>
          <w:p w14:paraId="4305A71B" w14:textId="2C0FF95D" w:rsidR="001742E0" w:rsidRPr="00825CD8" w:rsidRDefault="001742E0" w:rsidP="001742E0">
            <w:pPr>
              <w:spacing w:after="0" w:line="240" w:lineRule="auto"/>
              <w:jc w:val="center"/>
              <w:rPr>
                <w:rFonts w:eastAsia="Times New Roman" w:cs="Calibri"/>
                <w:b/>
                <w:bCs/>
                <w:color w:val="FFFFFF" w:themeColor="background1"/>
                <w:szCs w:val="18"/>
                <w:lang w:eastAsia="hr-HR"/>
              </w:rPr>
            </w:pPr>
            <w:r w:rsidRPr="00825CD8">
              <w:rPr>
                <w:rFonts w:eastAsia="Times New Roman" w:cs="Calibri"/>
                <w:b/>
                <w:bCs/>
                <w:color w:val="FFFFFF" w:themeColor="background1"/>
                <w:szCs w:val="18"/>
                <w:lang w:eastAsia="hr-HR"/>
              </w:rPr>
              <w:t>/2019.</w:t>
            </w:r>
          </w:p>
        </w:tc>
        <w:tc>
          <w:tcPr>
            <w:tcW w:w="804" w:type="pct"/>
            <w:gridSpan w:val="2"/>
            <w:tcBorders>
              <w:top w:val="nil"/>
              <w:left w:val="single" w:sz="4" w:space="0" w:color="FFFFFF" w:themeColor="background1"/>
              <w:bottom w:val="single" w:sz="4" w:space="0" w:color="FFFFFF" w:themeColor="background1"/>
              <w:right w:val="single" w:sz="8" w:space="0" w:color="D2232A"/>
            </w:tcBorders>
            <w:shd w:val="clear" w:color="auto" w:fill="D2232A"/>
          </w:tcPr>
          <w:p w14:paraId="1AFFDF24" w14:textId="77777777" w:rsidR="001742E0" w:rsidRPr="001742E0" w:rsidRDefault="001742E0" w:rsidP="001742E0">
            <w:pPr>
              <w:spacing w:after="0" w:line="240" w:lineRule="auto"/>
              <w:jc w:val="center"/>
              <w:rPr>
                <w:rFonts w:eastAsia="Times New Roman" w:cs="Calibri"/>
                <w:b/>
                <w:bCs/>
                <w:color w:val="FFFFFF" w:themeColor="background1"/>
                <w:szCs w:val="18"/>
                <w:lang w:eastAsia="hr-HR"/>
              </w:rPr>
            </w:pPr>
            <w:r w:rsidRPr="001742E0">
              <w:rPr>
                <w:rFonts w:eastAsia="Times New Roman" w:cs="Calibri"/>
                <w:b/>
                <w:bCs/>
                <w:color w:val="FFFFFF" w:themeColor="background1"/>
                <w:szCs w:val="18"/>
                <w:lang w:eastAsia="hr-HR"/>
              </w:rPr>
              <w:t>201</w:t>
            </w:r>
            <w:r>
              <w:rPr>
                <w:rFonts w:eastAsia="Times New Roman" w:cs="Calibri"/>
                <w:b/>
                <w:bCs/>
                <w:color w:val="FFFFFF" w:themeColor="background1"/>
                <w:szCs w:val="18"/>
                <w:lang w:eastAsia="hr-HR"/>
              </w:rPr>
              <w:t>9</w:t>
            </w:r>
          </w:p>
          <w:p w14:paraId="2BD9870A" w14:textId="652021FF" w:rsidR="001742E0" w:rsidRPr="001742E0" w:rsidRDefault="001742E0" w:rsidP="001742E0">
            <w:pPr>
              <w:spacing w:after="0" w:line="240" w:lineRule="auto"/>
              <w:jc w:val="center"/>
              <w:rPr>
                <w:rFonts w:eastAsia="Times New Roman" w:cs="Calibri"/>
                <w:b/>
                <w:bCs/>
                <w:color w:val="FFFFFF" w:themeColor="background1"/>
                <w:szCs w:val="18"/>
                <w:lang w:eastAsia="hr-HR"/>
              </w:rPr>
            </w:pPr>
            <w:r w:rsidRPr="001742E0">
              <w:rPr>
                <w:rFonts w:eastAsia="Times New Roman" w:cs="Calibri"/>
                <w:b/>
                <w:bCs/>
                <w:color w:val="FFFFFF" w:themeColor="background1"/>
                <w:szCs w:val="18"/>
                <w:lang w:eastAsia="hr-HR"/>
              </w:rPr>
              <w:t>/20</w:t>
            </w:r>
            <w:r>
              <w:rPr>
                <w:rFonts w:eastAsia="Times New Roman" w:cs="Calibri"/>
                <w:b/>
                <w:bCs/>
                <w:color w:val="FFFFFF" w:themeColor="background1"/>
                <w:szCs w:val="18"/>
                <w:lang w:eastAsia="hr-HR"/>
              </w:rPr>
              <w:t>20</w:t>
            </w:r>
            <w:r w:rsidRPr="001742E0">
              <w:rPr>
                <w:rFonts w:eastAsia="Times New Roman" w:cs="Calibri"/>
                <w:b/>
                <w:bCs/>
                <w:color w:val="FFFFFF" w:themeColor="background1"/>
                <w:szCs w:val="18"/>
                <w:lang w:eastAsia="hr-HR"/>
              </w:rPr>
              <w:t>.</w:t>
            </w:r>
          </w:p>
        </w:tc>
      </w:tr>
      <w:tr w:rsidR="001742E0" w:rsidRPr="00825CD8" w14:paraId="50C0598F" w14:textId="531E5064" w:rsidTr="00287903">
        <w:trPr>
          <w:cantSplit/>
          <w:trHeight w:val="1924"/>
          <w:tblHeader/>
        </w:trPr>
        <w:tc>
          <w:tcPr>
            <w:tcW w:w="1874" w:type="pct"/>
            <w:gridSpan w:val="2"/>
            <w:vMerge/>
            <w:tcBorders>
              <w:right w:val="single" w:sz="4" w:space="0" w:color="FFFFFF" w:themeColor="background1"/>
            </w:tcBorders>
            <w:shd w:val="clear" w:color="auto" w:fill="D2232A"/>
            <w:vAlign w:val="center"/>
            <w:hideMark/>
          </w:tcPr>
          <w:p w14:paraId="582CF487" w14:textId="77777777" w:rsidR="001742E0" w:rsidRPr="00825CD8" w:rsidRDefault="001742E0" w:rsidP="00825CD8">
            <w:pPr>
              <w:spacing w:after="0"/>
              <w:rPr>
                <w:rFonts w:eastAsia="Times New Roman" w:cs="Calibri"/>
                <w:color w:val="FFFFFF" w:themeColor="background1"/>
                <w:szCs w:val="18"/>
                <w:lang w:eastAsia="hr-HR"/>
              </w:rPr>
            </w:pPr>
          </w:p>
        </w:tc>
        <w:tc>
          <w:tcPr>
            <w:tcW w:w="278" w:type="pct"/>
            <w:tcBorders>
              <w:top w:val="single" w:sz="4" w:space="0" w:color="FFFFFF" w:themeColor="background1"/>
              <w:left w:val="single" w:sz="4" w:space="0" w:color="FFFFFF" w:themeColor="background1"/>
              <w:right w:val="single" w:sz="4" w:space="0" w:color="FFFFFF" w:themeColor="background1"/>
            </w:tcBorders>
            <w:shd w:val="clear" w:color="auto" w:fill="D2232A"/>
            <w:textDirection w:val="btLr"/>
            <w:vAlign w:val="center"/>
            <w:hideMark/>
          </w:tcPr>
          <w:p w14:paraId="4FADB1D7" w14:textId="77777777" w:rsidR="001742E0" w:rsidRPr="00825CD8" w:rsidRDefault="001742E0" w:rsidP="00825CD8">
            <w:pPr>
              <w:spacing w:after="0" w:line="240" w:lineRule="auto"/>
              <w:ind w:left="113" w:right="113"/>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u KZŽ</w:t>
            </w:r>
          </w:p>
        </w:tc>
        <w:tc>
          <w:tcPr>
            <w:tcW w:w="348" w:type="pct"/>
            <w:tcBorders>
              <w:top w:val="single" w:sz="4" w:space="0" w:color="FFFFFF" w:themeColor="background1"/>
              <w:left w:val="single" w:sz="4" w:space="0" w:color="FFFFFF" w:themeColor="background1"/>
              <w:right w:val="single" w:sz="8" w:space="0" w:color="FFFFFF" w:themeColor="background1"/>
            </w:tcBorders>
            <w:shd w:val="clear" w:color="auto" w:fill="D2232A"/>
            <w:textDirection w:val="btLr"/>
            <w:vAlign w:val="center"/>
            <w:hideMark/>
          </w:tcPr>
          <w:p w14:paraId="558C53EE" w14:textId="77777777" w:rsidR="001742E0" w:rsidRPr="00825CD8" w:rsidRDefault="001742E0" w:rsidP="00825CD8">
            <w:pPr>
              <w:spacing w:after="0" w:line="240" w:lineRule="auto"/>
              <w:ind w:left="113" w:right="113"/>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izvan KZŽ</w:t>
            </w:r>
          </w:p>
        </w:tc>
        <w:tc>
          <w:tcPr>
            <w:tcW w:w="208" w:type="pct"/>
            <w:tcBorders>
              <w:top w:val="single" w:sz="4" w:space="0" w:color="FFFFFF" w:themeColor="background1"/>
              <w:left w:val="single" w:sz="8" w:space="0" w:color="FFFFFF" w:themeColor="background1"/>
              <w:right w:val="single" w:sz="4" w:space="0" w:color="FFFFFF" w:themeColor="background1"/>
            </w:tcBorders>
            <w:shd w:val="clear" w:color="auto" w:fill="D2232A"/>
            <w:textDirection w:val="btLr"/>
            <w:vAlign w:val="center"/>
            <w:hideMark/>
          </w:tcPr>
          <w:p w14:paraId="037CAE9A" w14:textId="77777777" w:rsidR="001742E0" w:rsidRPr="00825CD8" w:rsidRDefault="001742E0" w:rsidP="00825CD8">
            <w:pPr>
              <w:spacing w:after="0" w:line="240" w:lineRule="auto"/>
              <w:ind w:left="113" w:right="113"/>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u KZŽ</w:t>
            </w:r>
          </w:p>
        </w:tc>
        <w:tc>
          <w:tcPr>
            <w:tcW w:w="208" w:type="pct"/>
            <w:tcBorders>
              <w:top w:val="single" w:sz="4" w:space="0" w:color="FFFFFF" w:themeColor="background1"/>
              <w:left w:val="single" w:sz="4" w:space="0" w:color="FFFFFF" w:themeColor="background1"/>
              <w:right w:val="single" w:sz="8" w:space="0" w:color="FFFFFF" w:themeColor="background1"/>
            </w:tcBorders>
            <w:shd w:val="clear" w:color="auto" w:fill="D2232A"/>
            <w:textDirection w:val="btLr"/>
            <w:vAlign w:val="center"/>
            <w:hideMark/>
          </w:tcPr>
          <w:p w14:paraId="6142F4F4" w14:textId="77777777" w:rsidR="001742E0" w:rsidRPr="00825CD8" w:rsidRDefault="001742E0" w:rsidP="00825CD8">
            <w:pPr>
              <w:spacing w:after="0" w:line="240" w:lineRule="auto"/>
              <w:ind w:left="113" w:right="113"/>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izvan KZŽ</w:t>
            </w:r>
          </w:p>
        </w:tc>
        <w:tc>
          <w:tcPr>
            <w:tcW w:w="278" w:type="pct"/>
            <w:tcBorders>
              <w:top w:val="single" w:sz="4" w:space="0" w:color="FFFFFF" w:themeColor="background1"/>
              <w:left w:val="single" w:sz="8" w:space="0" w:color="FFFFFF" w:themeColor="background1"/>
              <w:right w:val="single" w:sz="4" w:space="0" w:color="FFFFFF" w:themeColor="background1"/>
            </w:tcBorders>
            <w:shd w:val="clear" w:color="auto" w:fill="D2232A"/>
            <w:textDirection w:val="btLr"/>
            <w:vAlign w:val="center"/>
            <w:hideMark/>
          </w:tcPr>
          <w:p w14:paraId="60BC1885" w14:textId="77777777" w:rsidR="001742E0" w:rsidRPr="00825CD8" w:rsidRDefault="001742E0" w:rsidP="00825CD8">
            <w:pPr>
              <w:spacing w:after="0" w:line="240" w:lineRule="auto"/>
              <w:ind w:left="113" w:right="113"/>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u KZŽ</w:t>
            </w:r>
          </w:p>
        </w:tc>
        <w:tc>
          <w:tcPr>
            <w:tcW w:w="306" w:type="pct"/>
            <w:tcBorders>
              <w:top w:val="single" w:sz="4" w:space="0" w:color="FFFFFF" w:themeColor="background1"/>
              <w:left w:val="single" w:sz="4" w:space="0" w:color="FFFFFF" w:themeColor="background1"/>
              <w:right w:val="single" w:sz="8" w:space="0" w:color="FFFFFF" w:themeColor="background1"/>
            </w:tcBorders>
            <w:shd w:val="clear" w:color="auto" w:fill="D2232A"/>
            <w:textDirection w:val="btLr"/>
            <w:vAlign w:val="center"/>
            <w:hideMark/>
          </w:tcPr>
          <w:p w14:paraId="2B058507" w14:textId="77777777" w:rsidR="001742E0" w:rsidRPr="00825CD8" w:rsidRDefault="001742E0" w:rsidP="00825CD8">
            <w:pPr>
              <w:spacing w:after="0" w:line="240" w:lineRule="auto"/>
              <w:ind w:left="113" w:right="113"/>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izvan KZŽ</w:t>
            </w:r>
          </w:p>
        </w:tc>
        <w:tc>
          <w:tcPr>
            <w:tcW w:w="391" w:type="pct"/>
            <w:tcBorders>
              <w:top w:val="single" w:sz="4" w:space="0" w:color="FFFFFF" w:themeColor="background1"/>
              <w:left w:val="single" w:sz="8" w:space="0" w:color="FFFFFF" w:themeColor="background1"/>
              <w:right w:val="single" w:sz="4" w:space="0" w:color="FFFFFF" w:themeColor="background1"/>
            </w:tcBorders>
            <w:shd w:val="clear" w:color="auto" w:fill="D2232A"/>
            <w:textDirection w:val="btLr"/>
            <w:vAlign w:val="center"/>
            <w:hideMark/>
          </w:tcPr>
          <w:p w14:paraId="0DCD27CD" w14:textId="77777777" w:rsidR="001742E0" w:rsidRPr="00825CD8" w:rsidRDefault="001742E0" w:rsidP="00825CD8">
            <w:pPr>
              <w:spacing w:after="0" w:line="240" w:lineRule="auto"/>
              <w:ind w:left="113" w:right="113"/>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u KZŽ</w:t>
            </w:r>
          </w:p>
        </w:tc>
        <w:tc>
          <w:tcPr>
            <w:tcW w:w="305" w:type="pct"/>
            <w:tcBorders>
              <w:top w:val="single" w:sz="4" w:space="0" w:color="FFFFFF" w:themeColor="background1"/>
              <w:left w:val="single" w:sz="4" w:space="0" w:color="FFFFFF" w:themeColor="background1"/>
              <w:right w:val="single" w:sz="4" w:space="0" w:color="FFFFFF" w:themeColor="background1"/>
            </w:tcBorders>
            <w:shd w:val="clear" w:color="auto" w:fill="D2232A"/>
            <w:textDirection w:val="btLr"/>
            <w:vAlign w:val="center"/>
            <w:hideMark/>
          </w:tcPr>
          <w:p w14:paraId="127C972D" w14:textId="77777777" w:rsidR="001742E0" w:rsidRPr="00825CD8" w:rsidRDefault="001742E0" w:rsidP="00825CD8">
            <w:pPr>
              <w:spacing w:after="0" w:line="240" w:lineRule="auto"/>
              <w:ind w:left="113" w:right="113"/>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izvan KZŽ</w:t>
            </w:r>
          </w:p>
        </w:tc>
        <w:tc>
          <w:tcPr>
            <w:tcW w:w="353" w:type="pct"/>
            <w:tcBorders>
              <w:top w:val="single" w:sz="4" w:space="0" w:color="FFFFFF" w:themeColor="background1"/>
              <w:left w:val="single" w:sz="4" w:space="0" w:color="FFFFFF" w:themeColor="background1"/>
              <w:right w:val="single" w:sz="4" w:space="0" w:color="FFFFFF" w:themeColor="background1"/>
            </w:tcBorders>
            <w:shd w:val="clear" w:color="auto" w:fill="D2232A"/>
            <w:textDirection w:val="btLr"/>
            <w:vAlign w:val="center"/>
          </w:tcPr>
          <w:p w14:paraId="437F5F3E" w14:textId="7C67468A" w:rsidR="001742E0" w:rsidRPr="00825CD8" w:rsidRDefault="001742E0" w:rsidP="00287903">
            <w:pPr>
              <w:spacing w:after="0" w:line="240" w:lineRule="auto"/>
              <w:ind w:left="113" w:right="113"/>
              <w:jc w:val="center"/>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u KZŽ</w:t>
            </w:r>
          </w:p>
        </w:tc>
        <w:tc>
          <w:tcPr>
            <w:tcW w:w="451" w:type="pct"/>
            <w:tcBorders>
              <w:top w:val="single" w:sz="4" w:space="0" w:color="FFFFFF" w:themeColor="background1"/>
              <w:left w:val="single" w:sz="4" w:space="0" w:color="FFFFFF" w:themeColor="background1"/>
              <w:right w:val="single" w:sz="8" w:space="0" w:color="D2232A"/>
            </w:tcBorders>
            <w:shd w:val="clear" w:color="auto" w:fill="D2232A"/>
            <w:textDirection w:val="btLr"/>
            <w:vAlign w:val="center"/>
          </w:tcPr>
          <w:p w14:paraId="4CFEEA4A" w14:textId="5F01A6CF" w:rsidR="001742E0" w:rsidRPr="00825CD8" w:rsidRDefault="001742E0" w:rsidP="00287903">
            <w:pPr>
              <w:spacing w:after="0" w:line="240" w:lineRule="auto"/>
              <w:ind w:left="113" w:right="113"/>
              <w:jc w:val="center"/>
              <w:rPr>
                <w:rFonts w:eastAsia="Times New Roman" w:cs="Calibri"/>
                <w:b/>
                <w:bCs/>
                <w:color w:val="FFFFFF" w:themeColor="background1"/>
                <w:sz w:val="16"/>
                <w:szCs w:val="16"/>
                <w:lang w:eastAsia="hr-HR"/>
              </w:rPr>
            </w:pPr>
            <w:r w:rsidRPr="00825CD8">
              <w:rPr>
                <w:rFonts w:eastAsia="Times New Roman" w:cs="Calibri"/>
                <w:b/>
                <w:bCs/>
                <w:color w:val="FFFFFF" w:themeColor="background1"/>
                <w:sz w:val="16"/>
                <w:szCs w:val="16"/>
                <w:lang w:eastAsia="hr-HR"/>
              </w:rPr>
              <w:t>Prebivalište izvan KZŽ</w:t>
            </w:r>
          </w:p>
        </w:tc>
      </w:tr>
      <w:tr w:rsidR="001742E0" w:rsidRPr="00825CD8" w14:paraId="2C61CC95" w14:textId="6A6EEA2E" w:rsidTr="00287903">
        <w:trPr>
          <w:trHeight w:val="283"/>
        </w:trPr>
        <w:tc>
          <w:tcPr>
            <w:tcW w:w="1165" w:type="pct"/>
            <w:vMerge w:val="restart"/>
            <w:vAlign w:val="center"/>
            <w:hideMark/>
          </w:tcPr>
          <w:p w14:paraId="7E38B656"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Veleučilište Hrvatsko zagorje Krapina</w:t>
            </w:r>
          </w:p>
        </w:tc>
        <w:tc>
          <w:tcPr>
            <w:tcW w:w="709" w:type="pct"/>
            <w:tcBorders>
              <w:right w:val="single" w:sz="8" w:space="0" w:color="D2232A"/>
            </w:tcBorders>
            <w:noWrap/>
            <w:vAlign w:val="center"/>
            <w:hideMark/>
          </w:tcPr>
          <w:p w14:paraId="60B7F6F4"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Informatika</w:t>
            </w:r>
          </w:p>
        </w:tc>
        <w:tc>
          <w:tcPr>
            <w:tcW w:w="278" w:type="pct"/>
            <w:tcBorders>
              <w:left w:val="single" w:sz="8" w:space="0" w:color="D2232A"/>
            </w:tcBorders>
            <w:noWrap/>
            <w:vAlign w:val="center"/>
            <w:hideMark/>
          </w:tcPr>
          <w:p w14:paraId="0C89D645"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42</w:t>
            </w:r>
          </w:p>
        </w:tc>
        <w:tc>
          <w:tcPr>
            <w:tcW w:w="348" w:type="pct"/>
            <w:tcBorders>
              <w:right w:val="single" w:sz="8" w:space="0" w:color="D2232A"/>
            </w:tcBorders>
            <w:noWrap/>
            <w:vAlign w:val="center"/>
            <w:hideMark/>
          </w:tcPr>
          <w:p w14:paraId="1EEDD090"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11</w:t>
            </w:r>
          </w:p>
        </w:tc>
        <w:tc>
          <w:tcPr>
            <w:tcW w:w="208" w:type="pct"/>
            <w:tcBorders>
              <w:left w:val="single" w:sz="8" w:space="0" w:color="D2232A"/>
            </w:tcBorders>
            <w:noWrap/>
            <w:vAlign w:val="center"/>
            <w:hideMark/>
          </w:tcPr>
          <w:p w14:paraId="2466E055"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08" w:type="pct"/>
            <w:tcBorders>
              <w:right w:val="single" w:sz="8" w:space="0" w:color="D2232A"/>
            </w:tcBorders>
            <w:noWrap/>
            <w:vAlign w:val="center"/>
            <w:hideMark/>
          </w:tcPr>
          <w:p w14:paraId="19B8E350"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78" w:type="pct"/>
            <w:tcBorders>
              <w:left w:val="single" w:sz="8" w:space="0" w:color="D2232A"/>
            </w:tcBorders>
            <w:noWrap/>
            <w:vAlign w:val="center"/>
            <w:hideMark/>
          </w:tcPr>
          <w:p w14:paraId="64F54402"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32</w:t>
            </w:r>
          </w:p>
        </w:tc>
        <w:tc>
          <w:tcPr>
            <w:tcW w:w="306" w:type="pct"/>
            <w:tcBorders>
              <w:right w:val="single" w:sz="8" w:space="0" w:color="D2232A"/>
            </w:tcBorders>
            <w:noWrap/>
            <w:vAlign w:val="center"/>
            <w:hideMark/>
          </w:tcPr>
          <w:p w14:paraId="303EF9AA"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19</w:t>
            </w:r>
          </w:p>
        </w:tc>
        <w:tc>
          <w:tcPr>
            <w:tcW w:w="391" w:type="pct"/>
            <w:tcBorders>
              <w:left w:val="single" w:sz="8" w:space="0" w:color="D2232A"/>
            </w:tcBorders>
            <w:noWrap/>
            <w:vAlign w:val="center"/>
            <w:hideMark/>
          </w:tcPr>
          <w:p w14:paraId="7AFCA8AD"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15</w:t>
            </w:r>
          </w:p>
        </w:tc>
        <w:tc>
          <w:tcPr>
            <w:tcW w:w="305" w:type="pct"/>
            <w:tcBorders>
              <w:right w:val="single" w:sz="8" w:space="0" w:color="D2232A"/>
            </w:tcBorders>
            <w:noWrap/>
            <w:vAlign w:val="center"/>
            <w:hideMark/>
          </w:tcPr>
          <w:p w14:paraId="49DFDE59"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6</w:t>
            </w:r>
          </w:p>
        </w:tc>
        <w:tc>
          <w:tcPr>
            <w:tcW w:w="353" w:type="pct"/>
            <w:tcBorders>
              <w:right w:val="single" w:sz="8" w:space="0" w:color="D2232A"/>
            </w:tcBorders>
            <w:vAlign w:val="center"/>
          </w:tcPr>
          <w:p w14:paraId="23019F36" w14:textId="278DE834" w:rsidR="001742E0" w:rsidRPr="00825CD8" w:rsidRDefault="00287903" w:rsidP="00287903">
            <w:pPr>
              <w:spacing w:after="0" w:line="240" w:lineRule="auto"/>
              <w:jc w:val="center"/>
              <w:rPr>
                <w:rFonts w:eastAsia="Times New Roman" w:cs="Calibri"/>
                <w:szCs w:val="18"/>
                <w:lang w:eastAsia="hr-HR"/>
              </w:rPr>
            </w:pPr>
            <w:r>
              <w:rPr>
                <w:rFonts w:eastAsia="Times New Roman" w:cs="Calibri"/>
                <w:szCs w:val="18"/>
                <w:lang w:eastAsia="hr-HR"/>
              </w:rPr>
              <w:t>41</w:t>
            </w:r>
          </w:p>
        </w:tc>
        <w:tc>
          <w:tcPr>
            <w:tcW w:w="451" w:type="pct"/>
            <w:tcBorders>
              <w:right w:val="single" w:sz="8" w:space="0" w:color="D2232A"/>
            </w:tcBorders>
            <w:vAlign w:val="center"/>
          </w:tcPr>
          <w:p w14:paraId="3C1AC39F" w14:textId="67725021" w:rsidR="001742E0" w:rsidRPr="00825CD8" w:rsidRDefault="00287903" w:rsidP="00287903">
            <w:pPr>
              <w:spacing w:after="0" w:line="240" w:lineRule="auto"/>
              <w:jc w:val="center"/>
              <w:rPr>
                <w:rFonts w:eastAsia="Times New Roman" w:cs="Calibri"/>
                <w:szCs w:val="18"/>
                <w:lang w:eastAsia="hr-HR"/>
              </w:rPr>
            </w:pPr>
            <w:r>
              <w:rPr>
                <w:rFonts w:eastAsia="Times New Roman" w:cs="Calibri"/>
                <w:szCs w:val="18"/>
                <w:lang w:eastAsia="hr-HR"/>
              </w:rPr>
              <w:t>19</w:t>
            </w:r>
          </w:p>
        </w:tc>
      </w:tr>
      <w:tr w:rsidR="001742E0" w:rsidRPr="00825CD8" w14:paraId="12F662D8" w14:textId="69CF8D97" w:rsidTr="00287903">
        <w:trPr>
          <w:trHeight w:val="283"/>
        </w:trPr>
        <w:tc>
          <w:tcPr>
            <w:tcW w:w="1165" w:type="pct"/>
            <w:vMerge/>
            <w:vAlign w:val="center"/>
            <w:hideMark/>
          </w:tcPr>
          <w:p w14:paraId="3EF23836" w14:textId="77777777" w:rsidR="001742E0" w:rsidRPr="00825CD8" w:rsidRDefault="001742E0" w:rsidP="00825CD8">
            <w:pPr>
              <w:spacing w:after="0"/>
              <w:jc w:val="left"/>
              <w:rPr>
                <w:rFonts w:eastAsia="Times New Roman" w:cs="Calibri"/>
                <w:szCs w:val="18"/>
                <w:lang w:eastAsia="hr-HR"/>
              </w:rPr>
            </w:pPr>
          </w:p>
        </w:tc>
        <w:tc>
          <w:tcPr>
            <w:tcW w:w="709" w:type="pct"/>
            <w:tcBorders>
              <w:right w:val="single" w:sz="8" w:space="0" w:color="D2232A"/>
            </w:tcBorders>
            <w:noWrap/>
            <w:vAlign w:val="center"/>
            <w:hideMark/>
          </w:tcPr>
          <w:p w14:paraId="6D633F6A"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Prometna logistika</w:t>
            </w:r>
          </w:p>
        </w:tc>
        <w:tc>
          <w:tcPr>
            <w:tcW w:w="278" w:type="pct"/>
            <w:tcBorders>
              <w:left w:val="single" w:sz="8" w:space="0" w:color="D2232A"/>
            </w:tcBorders>
            <w:noWrap/>
            <w:vAlign w:val="center"/>
            <w:hideMark/>
          </w:tcPr>
          <w:p w14:paraId="1384B082"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49</w:t>
            </w:r>
          </w:p>
        </w:tc>
        <w:tc>
          <w:tcPr>
            <w:tcW w:w="348" w:type="pct"/>
            <w:tcBorders>
              <w:right w:val="single" w:sz="8" w:space="0" w:color="D2232A"/>
            </w:tcBorders>
            <w:noWrap/>
            <w:vAlign w:val="center"/>
            <w:hideMark/>
          </w:tcPr>
          <w:p w14:paraId="64742D63"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17</w:t>
            </w:r>
          </w:p>
        </w:tc>
        <w:tc>
          <w:tcPr>
            <w:tcW w:w="208" w:type="pct"/>
            <w:tcBorders>
              <w:left w:val="single" w:sz="8" w:space="0" w:color="D2232A"/>
            </w:tcBorders>
            <w:noWrap/>
            <w:vAlign w:val="center"/>
            <w:hideMark/>
          </w:tcPr>
          <w:p w14:paraId="57FE17B7"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08" w:type="pct"/>
            <w:tcBorders>
              <w:right w:val="single" w:sz="8" w:space="0" w:color="D2232A"/>
            </w:tcBorders>
            <w:noWrap/>
            <w:vAlign w:val="center"/>
            <w:hideMark/>
          </w:tcPr>
          <w:p w14:paraId="49E09EC6"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78" w:type="pct"/>
            <w:tcBorders>
              <w:left w:val="single" w:sz="8" w:space="0" w:color="D2232A"/>
            </w:tcBorders>
            <w:noWrap/>
            <w:vAlign w:val="center"/>
            <w:hideMark/>
          </w:tcPr>
          <w:p w14:paraId="4937DCDC"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37</w:t>
            </w:r>
          </w:p>
        </w:tc>
        <w:tc>
          <w:tcPr>
            <w:tcW w:w="306" w:type="pct"/>
            <w:tcBorders>
              <w:right w:val="single" w:sz="8" w:space="0" w:color="D2232A"/>
            </w:tcBorders>
            <w:noWrap/>
            <w:vAlign w:val="center"/>
            <w:hideMark/>
          </w:tcPr>
          <w:p w14:paraId="7F20AFF8"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17</w:t>
            </w:r>
          </w:p>
        </w:tc>
        <w:tc>
          <w:tcPr>
            <w:tcW w:w="391" w:type="pct"/>
            <w:tcBorders>
              <w:left w:val="single" w:sz="8" w:space="0" w:color="D2232A"/>
            </w:tcBorders>
            <w:noWrap/>
            <w:vAlign w:val="center"/>
            <w:hideMark/>
          </w:tcPr>
          <w:p w14:paraId="240BCB4F"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37</w:t>
            </w:r>
          </w:p>
        </w:tc>
        <w:tc>
          <w:tcPr>
            <w:tcW w:w="305" w:type="pct"/>
            <w:tcBorders>
              <w:right w:val="single" w:sz="8" w:space="0" w:color="D2232A"/>
            </w:tcBorders>
            <w:noWrap/>
            <w:vAlign w:val="center"/>
            <w:hideMark/>
          </w:tcPr>
          <w:p w14:paraId="7383663F"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12</w:t>
            </w:r>
          </w:p>
        </w:tc>
        <w:tc>
          <w:tcPr>
            <w:tcW w:w="353" w:type="pct"/>
            <w:tcBorders>
              <w:right w:val="single" w:sz="8" w:space="0" w:color="D2232A"/>
            </w:tcBorders>
            <w:vAlign w:val="center"/>
          </w:tcPr>
          <w:p w14:paraId="5AA7BB04" w14:textId="6417545B" w:rsidR="001742E0" w:rsidRPr="00825CD8" w:rsidRDefault="00287903" w:rsidP="00287903">
            <w:pPr>
              <w:spacing w:after="0" w:line="240" w:lineRule="auto"/>
              <w:jc w:val="center"/>
              <w:rPr>
                <w:rFonts w:eastAsia="Times New Roman" w:cs="Calibri"/>
                <w:szCs w:val="18"/>
                <w:lang w:eastAsia="hr-HR"/>
              </w:rPr>
            </w:pPr>
            <w:r>
              <w:rPr>
                <w:rFonts w:eastAsia="Times New Roman" w:cs="Calibri"/>
                <w:szCs w:val="18"/>
                <w:lang w:eastAsia="hr-HR"/>
              </w:rPr>
              <w:t>53</w:t>
            </w:r>
          </w:p>
        </w:tc>
        <w:tc>
          <w:tcPr>
            <w:tcW w:w="451" w:type="pct"/>
            <w:tcBorders>
              <w:right w:val="single" w:sz="8" w:space="0" w:color="D2232A"/>
            </w:tcBorders>
            <w:vAlign w:val="center"/>
          </w:tcPr>
          <w:p w14:paraId="5A77CA19" w14:textId="60F521E9" w:rsidR="001742E0" w:rsidRPr="00825CD8" w:rsidRDefault="00287903" w:rsidP="00287903">
            <w:pPr>
              <w:spacing w:after="0" w:line="240" w:lineRule="auto"/>
              <w:jc w:val="center"/>
              <w:rPr>
                <w:rFonts w:eastAsia="Times New Roman" w:cs="Calibri"/>
                <w:szCs w:val="18"/>
                <w:lang w:eastAsia="hr-HR"/>
              </w:rPr>
            </w:pPr>
            <w:r>
              <w:rPr>
                <w:rFonts w:eastAsia="Times New Roman" w:cs="Calibri"/>
                <w:szCs w:val="18"/>
                <w:lang w:eastAsia="hr-HR"/>
              </w:rPr>
              <w:t>16</w:t>
            </w:r>
          </w:p>
        </w:tc>
      </w:tr>
      <w:tr w:rsidR="001742E0" w:rsidRPr="00825CD8" w14:paraId="37FE7848" w14:textId="4090FEAB" w:rsidTr="00287903">
        <w:trPr>
          <w:trHeight w:val="283"/>
        </w:trPr>
        <w:tc>
          <w:tcPr>
            <w:tcW w:w="1165" w:type="pct"/>
            <w:vMerge/>
            <w:vAlign w:val="center"/>
            <w:hideMark/>
          </w:tcPr>
          <w:p w14:paraId="113AB7F0" w14:textId="77777777" w:rsidR="001742E0" w:rsidRPr="00825CD8" w:rsidRDefault="001742E0" w:rsidP="00825CD8">
            <w:pPr>
              <w:spacing w:after="0"/>
              <w:jc w:val="left"/>
              <w:rPr>
                <w:rFonts w:eastAsia="Times New Roman" w:cs="Calibri"/>
                <w:szCs w:val="18"/>
                <w:lang w:eastAsia="hr-HR"/>
              </w:rPr>
            </w:pPr>
          </w:p>
        </w:tc>
        <w:tc>
          <w:tcPr>
            <w:tcW w:w="709" w:type="pct"/>
            <w:tcBorders>
              <w:right w:val="single" w:sz="8" w:space="0" w:color="D2232A"/>
            </w:tcBorders>
            <w:noWrap/>
            <w:vAlign w:val="center"/>
            <w:hideMark/>
          </w:tcPr>
          <w:p w14:paraId="14AF1FE6"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Operativni menadžment</w:t>
            </w:r>
          </w:p>
        </w:tc>
        <w:tc>
          <w:tcPr>
            <w:tcW w:w="278" w:type="pct"/>
            <w:tcBorders>
              <w:left w:val="single" w:sz="8" w:space="0" w:color="D2232A"/>
            </w:tcBorders>
            <w:noWrap/>
            <w:vAlign w:val="center"/>
            <w:hideMark/>
          </w:tcPr>
          <w:p w14:paraId="1D676664"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97</w:t>
            </w:r>
          </w:p>
        </w:tc>
        <w:tc>
          <w:tcPr>
            <w:tcW w:w="348" w:type="pct"/>
            <w:tcBorders>
              <w:right w:val="single" w:sz="8" w:space="0" w:color="D2232A"/>
            </w:tcBorders>
            <w:noWrap/>
            <w:vAlign w:val="center"/>
            <w:hideMark/>
          </w:tcPr>
          <w:p w14:paraId="22CFC7C5"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22</w:t>
            </w:r>
          </w:p>
        </w:tc>
        <w:tc>
          <w:tcPr>
            <w:tcW w:w="208" w:type="pct"/>
            <w:tcBorders>
              <w:left w:val="single" w:sz="8" w:space="0" w:color="D2232A"/>
            </w:tcBorders>
            <w:noWrap/>
            <w:vAlign w:val="center"/>
            <w:hideMark/>
          </w:tcPr>
          <w:p w14:paraId="182FA84F"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08" w:type="pct"/>
            <w:tcBorders>
              <w:right w:val="single" w:sz="8" w:space="0" w:color="D2232A"/>
            </w:tcBorders>
            <w:noWrap/>
            <w:vAlign w:val="center"/>
            <w:hideMark/>
          </w:tcPr>
          <w:p w14:paraId="7758AD12"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78" w:type="pct"/>
            <w:tcBorders>
              <w:left w:val="single" w:sz="8" w:space="0" w:color="D2232A"/>
            </w:tcBorders>
            <w:noWrap/>
            <w:vAlign w:val="center"/>
            <w:hideMark/>
          </w:tcPr>
          <w:p w14:paraId="1FF48B98"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67</w:t>
            </w:r>
          </w:p>
        </w:tc>
        <w:tc>
          <w:tcPr>
            <w:tcW w:w="306" w:type="pct"/>
            <w:tcBorders>
              <w:right w:val="single" w:sz="8" w:space="0" w:color="D2232A"/>
            </w:tcBorders>
            <w:noWrap/>
            <w:vAlign w:val="center"/>
            <w:hideMark/>
          </w:tcPr>
          <w:p w14:paraId="039C0A08"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6</w:t>
            </w:r>
          </w:p>
        </w:tc>
        <w:tc>
          <w:tcPr>
            <w:tcW w:w="391" w:type="pct"/>
            <w:tcBorders>
              <w:left w:val="single" w:sz="8" w:space="0" w:color="D2232A"/>
            </w:tcBorders>
            <w:noWrap/>
            <w:vAlign w:val="center"/>
            <w:hideMark/>
          </w:tcPr>
          <w:p w14:paraId="14399725"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53</w:t>
            </w:r>
          </w:p>
        </w:tc>
        <w:tc>
          <w:tcPr>
            <w:tcW w:w="305" w:type="pct"/>
            <w:tcBorders>
              <w:right w:val="single" w:sz="8" w:space="0" w:color="D2232A"/>
            </w:tcBorders>
            <w:noWrap/>
            <w:vAlign w:val="center"/>
            <w:hideMark/>
          </w:tcPr>
          <w:p w14:paraId="00682FCD"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6</w:t>
            </w:r>
          </w:p>
        </w:tc>
        <w:tc>
          <w:tcPr>
            <w:tcW w:w="353" w:type="pct"/>
            <w:tcBorders>
              <w:right w:val="single" w:sz="8" w:space="0" w:color="D2232A"/>
            </w:tcBorders>
            <w:vAlign w:val="center"/>
          </w:tcPr>
          <w:p w14:paraId="757A4CAA" w14:textId="41D93AF5"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89</w:t>
            </w:r>
          </w:p>
        </w:tc>
        <w:tc>
          <w:tcPr>
            <w:tcW w:w="451" w:type="pct"/>
            <w:tcBorders>
              <w:right w:val="single" w:sz="8" w:space="0" w:color="D2232A"/>
            </w:tcBorders>
            <w:vAlign w:val="center"/>
          </w:tcPr>
          <w:p w14:paraId="1586BAF1" w14:textId="328A17A6"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11</w:t>
            </w:r>
          </w:p>
        </w:tc>
      </w:tr>
      <w:tr w:rsidR="001742E0" w:rsidRPr="00825CD8" w14:paraId="4587DB84" w14:textId="6CBE7AB4" w:rsidTr="00287903">
        <w:trPr>
          <w:trHeight w:val="283"/>
        </w:trPr>
        <w:tc>
          <w:tcPr>
            <w:tcW w:w="1165" w:type="pct"/>
            <w:noWrap/>
            <w:vAlign w:val="center"/>
            <w:hideMark/>
          </w:tcPr>
          <w:p w14:paraId="38592D76"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Fakultet za dentalnu medicinu i zdravstvo (Osijek)</w:t>
            </w:r>
          </w:p>
        </w:tc>
        <w:tc>
          <w:tcPr>
            <w:tcW w:w="709" w:type="pct"/>
            <w:tcBorders>
              <w:right w:val="single" w:sz="8" w:space="0" w:color="D2232A"/>
            </w:tcBorders>
            <w:noWrap/>
            <w:vAlign w:val="center"/>
            <w:hideMark/>
          </w:tcPr>
          <w:p w14:paraId="5031DEC9"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Sestrinstvo</w:t>
            </w:r>
          </w:p>
        </w:tc>
        <w:tc>
          <w:tcPr>
            <w:tcW w:w="278" w:type="pct"/>
            <w:tcBorders>
              <w:left w:val="single" w:sz="8" w:space="0" w:color="D2232A"/>
            </w:tcBorders>
            <w:noWrap/>
            <w:vAlign w:val="center"/>
            <w:hideMark/>
          </w:tcPr>
          <w:p w14:paraId="243C9379"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58</w:t>
            </w:r>
          </w:p>
        </w:tc>
        <w:tc>
          <w:tcPr>
            <w:tcW w:w="348" w:type="pct"/>
            <w:tcBorders>
              <w:right w:val="single" w:sz="8" w:space="0" w:color="D2232A"/>
            </w:tcBorders>
            <w:noWrap/>
            <w:vAlign w:val="center"/>
            <w:hideMark/>
          </w:tcPr>
          <w:p w14:paraId="42F24340"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62</w:t>
            </w:r>
          </w:p>
        </w:tc>
        <w:tc>
          <w:tcPr>
            <w:tcW w:w="208" w:type="pct"/>
            <w:tcBorders>
              <w:left w:val="single" w:sz="8" w:space="0" w:color="D2232A"/>
            </w:tcBorders>
            <w:noWrap/>
            <w:vAlign w:val="center"/>
            <w:hideMark/>
          </w:tcPr>
          <w:p w14:paraId="630AD43A"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08" w:type="pct"/>
            <w:tcBorders>
              <w:right w:val="single" w:sz="8" w:space="0" w:color="D2232A"/>
            </w:tcBorders>
            <w:noWrap/>
            <w:vAlign w:val="center"/>
            <w:hideMark/>
          </w:tcPr>
          <w:p w14:paraId="317C9714"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78" w:type="pct"/>
            <w:tcBorders>
              <w:left w:val="single" w:sz="8" w:space="0" w:color="D2232A"/>
            </w:tcBorders>
            <w:noWrap/>
            <w:vAlign w:val="center"/>
            <w:hideMark/>
          </w:tcPr>
          <w:p w14:paraId="13BCA439"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90</w:t>
            </w:r>
          </w:p>
        </w:tc>
        <w:tc>
          <w:tcPr>
            <w:tcW w:w="306" w:type="pct"/>
            <w:tcBorders>
              <w:right w:val="single" w:sz="8" w:space="0" w:color="D2232A"/>
            </w:tcBorders>
            <w:noWrap/>
            <w:vAlign w:val="center"/>
            <w:hideMark/>
          </w:tcPr>
          <w:p w14:paraId="46F4DCE6"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58</w:t>
            </w:r>
          </w:p>
        </w:tc>
        <w:tc>
          <w:tcPr>
            <w:tcW w:w="391" w:type="pct"/>
            <w:tcBorders>
              <w:left w:val="single" w:sz="8" w:space="0" w:color="D2232A"/>
            </w:tcBorders>
            <w:noWrap/>
            <w:vAlign w:val="center"/>
            <w:hideMark/>
          </w:tcPr>
          <w:p w14:paraId="3ACB3441"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94</w:t>
            </w:r>
          </w:p>
        </w:tc>
        <w:tc>
          <w:tcPr>
            <w:tcW w:w="305" w:type="pct"/>
            <w:tcBorders>
              <w:right w:val="single" w:sz="8" w:space="0" w:color="D2232A"/>
            </w:tcBorders>
            <w:noWrap/>
            <w:vAlign w:val="center"/>
            <w:hideMark/>
          </w:tcPr>
          <w:p w14:paraId="20A06D25"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80</w:t>
            </w:r>
          </w:p>
        </w:tc>
        <w:tc>
          <w:tcPr>
            <w:tcW w:w="353" w:type="pct"/>
            <w:tcBorders>
              <w:right w:val="single" w:sz="8" w:space="0" w:color="D2232A"/>
            </w:tcBorders>
            <w:vAlign w:val="center"/>
          </w:tcPr>
          <w:p w14:paraId="69DE8921" w14:textId="59A4F6D0"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99</w:t>
            </w:r>
          </w:p>
        </w:tc>
        <w:tc>
          <w:tcPr>
            <w:tcW w:w="451" w:type="pct"/>
            <w:tcBorders>
              <w:right w:val="single" w:sz="8" w:space="0" w:color="D2232A"/>
            </w:tcBorders>
            <w:vAlign w:val="center"/>
          </w:tcPr>
          <w:p w14:paraId="62762C59" w14:textId="324F1955"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69</w:t>
            </w:r>
          </w:p>
        </w:tc>
      </w:tr>
      <w:tr w:rsidR="001742E0" w:rsidRPr="00825CD8" w14:paraId="58EC7770" w14:textId="6A902DF8" w:rsidTr="00287903">
        <w:trPr>
          <w:trHeight w:val="283"/>
        </w:trPr>
        <w:tc>
          <w:tcPr>
            <w:tcW w:w="1165" w:type="pct"/>
            <w:noWrap/>
            <w:vAlign w:val="center"/>
            <w:hideMark/>
          </w:tcPr>
          <w:p w14:paraId="07FD1DD7"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Fakultet za menadžment u turizmu i ugostiteljstvu (Opatija)</w:t>
            </w:r>
          </w:p>
        </w:tc>
        <w:tc>
          <w:tcPr>
            <w:tcW w:w="709" w:type="pct"/>
            <w:tcBorders>
              <w:right w:val="single" w:sz="8" w:space="0" w:color="D2232A"/>
            </w:tcBorders>
            <w:noWrap/>
            <w:vAlign w:val="center"/>
            <w:hideMark/>
          </w:tcPr>
          <w:p w14:paraId="146E6E24"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Turizam i hotelijerstvo</w:t>
            </w:r>
          </w:p>
        </w:tc>
        <w:tc>
          <w:tcPr>
            <w:tcW w:w="278" w:type="pct"/>
            <w:tcBorders>
              <w:left w:val="single" w:sz="8" w:space="0" w:color="D2232A"/>
            </w:tcBorders>
            <w:noWrap/>
            <w:vAlign w:val="center"/>
            <w:hideMark/>
          </w:tcPr>
          <w:p w14:paraId="6B8414EC"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205</w:t>
            </w:r>
          </w:p>
        </w:tc>
        <w:tc>
          <w:tcPr>
            <w:tcW w:w="348" w:type="pct"/>
            <w:tcBorders>
              <w:right w:val="single" w:sz="8" w:space="0" w:color="D2232A"/>
            </w:tcBorders>
            <w:noWrap/>
            <w:vAlign w:val="center"/>
            <w:hideMark/>
          </w:tcPr>
          <w:p w14:paraId="45238444"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150</w:t>
            </w:r>
          </w:p>
        </w:tc>
        <w:tc>
          <w:tcPr>
            <w:tcW w:w="208" w:type="pct"/>
            <w:tcBorders>
              <w:left w:val="single" w:sz="8" w:space="0" w:color="D2232A"/>
            </w:tcBorders>
            <w:noWrap/>
            <w:vAlign w:val="center"/>
            <w:hideMark/>
          </w:tcPr>
          <w:p w14:paraId="7E95F925"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08" w:type="pct"/>
            <w:tcBorders>
              <w:right w:val="single" w:sz="8" w:space="0" w:color="D2232A"/>
            </w:tcBorders>
            <w:noWrap/>
            <w:vAlign w:val="center"/>
            <w:hideMark/>
          </w:tcPr>
          <w:p w14:paraId="5A83F57A"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78" w:type="pct"/>
            <w:tcBorders>
              <w:left w:val="single" w:sz="8" w:space="0" w:color="D2232A"/>
            </w:tcBorders>
            <w:noWrap/>
            <w:vAlign w:val="center"/>
            <w:hideMark/>
          </w:tcPr>
          <w:p w14:paraId="136D3F09"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114</w:t>
            </w:r>
          </w:p>
        </w:tc>
        <w:tc>
          <w:tcPr>
            <w:tcW w:w="306" w:type="pct"/>
            <w:tcBorders>
              <w:right w:val="single" w:sz="8" w:space="0" w:color="D2232A"/>
            </w:tcBorders>
            <w:noWrap/>
            <w:vAlign w:val="center"/>
            <w:hideMark/>
          </w:tcPr>
          <w:p w14:paraId="6117FD75"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105</w:t>
            </w:r>
          </w:p>
        </w:tc>
        <w:tc>
          <w:tcPr>
            <w:tcW w:w="391" w:type="pct"/>
            <w:tcBorders>
              <w:left w:val="single" w:sz="8" w:space="0" w:color="D2232A"/>
            </w:tcBorders>
            <w:noWrap/>
            <w:vAlign w:val="center"/>
            <w:hideMark/>
          </w:tcPr>
          <w:p w14:paraId="70634C64"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1045</w:t>
            </w:r>
          </w:p>
        </w:tc>
        <w:tc>
          <w:tcPr>
            <w:tcW w:w="305" w:type="pct"/>
            <w:tcBorders>
              <w:right w:val="single" w:sz="8" w:space="0" w:color="D2232A"/>
            </w:tcBorders>
            <w:noWrap/>
            <w:vAlign w:val="center"/>
            <w:hideMark/>
          </w:tcPr>
          <w:p w14:paraId="2C767ED5"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98</w:t>
            </w:r>
          </w:p>
        </w:tc>
        <w:tc>
          <w:tcPr>
            <w:tcW w:w="353" w:type="pct"/>
            <w:tcBorders>
              <w:right w:val="single" w:sz="8" w:space="0" w:color="D2232A"/>
            </w:tcBorders>
            <w:vAlign w:val="center"/>
          </w:tcPr>
          <w:p w14:paraId="38C60E1E" w14:textId="3D8B9577"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104</w:t>
            </w:r>
          </w:p>
        </w:tc>
        <w:tc>
          <w:tcPr>
            <w:tcW w:w="451" w:type="pct"/>
            <w:tcBorders>
              <w:right w:val="single" w:sz="8" w:space="0" w:color="D2232A"/>
            </w:tcBorders>
            <w:vAlign w:val="center"/>
          </w:tcPr>
          <w:p w14:paraId="3840628E" w14:textId="5FC1AEDF"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640</w:t>
            </w:r>
          </w:p>
        </w:tc>
      </w:tr>
      <w:tr w:rsidR="001742E0" w:rsidRPr="00825CD8" w14:paraId="14016068" w14:textId="1911A4CD" w:rsidTr="00287903">
        <w:trPr>
          <w:trHeight w:val="283"/>
        </w:trPr>
        <w:tc>
          <w:tcPr>
            <w:tcW w:w="1165" w:type="pct"/>
            <w:noWrap/>
            <w:vAlign w:val="center"/>
            <w:hideMark/>
          </w:tcPr>
          <w:p w14:paraId="02AED729"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Fakultet za odgojne i obrazovne znanosti (Osijek)</w:t>
            </w:r>
          </w:p>
        </w:tc>
        <w:tc>
          <w:tcPr>
            <w:tcW w:w="709" w:type="pct"/>
            <w:tcBorders>
              <w:right w:val="single" w:sz="8" w:space="0" w:color="D2232A"/>
            </w:tcBorders>
            <w:noWrap/>
            <w:vAlign w:val="center"/>
            <w:hideMark/>
          </w:tcPr>
          <w:p w14:paraId="088100B6"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Učiteljski fakultet</w:t>
            </w:r>
          </w:p>
        </w:tc>
        <w:tc>
          <w:tcPr>
            <w:tcW w:w="278" w:type="pct"/>
            <w:tcBorders>
              <w:left w:val="single" w:sz="8" w:space="0" w:color="D2232A"/>
            </w:tcBorders>
            <w:noWrap/>
            <w:vAlign w:val="center"/>
            <w:hideMark/>
          </w:tcPr>
          <w:p w14:paraId="5804FE2A"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6</w:t>
            </w:r>
          </w:p>
        </w:tc>
        <w:tc>
          <w:tcPr>
            <w:tcW w:w="348" w:type="pct"/>
            <w:tcBorders>
              <w:right w:val="single" w:sz="8" w:space="0" w:color="D2232A"/>
            </w:tcBorders>
            <w:noWrap/>
            <w:vAlign w:val="center"/>
            <w:hideMark/>
          </w:tcPr>
          <w:p w14:paraId="52977CFF"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9</w:t>
            </w:r>
          </w:p>
        </w:tc>
        <w:tc>
          <w:tcPr>
            <w:tcW w:w="208" w:type="pct"/>
            <w:tcBorders>
              <w:left w:val="single" w:sz="8" w:space="0" w:color="D2232A"/>
            </w:tcBorders>
            <w:noWrap/>
            <w:vAlign w:val="center"/>
            <w:hideMark/>
          </w:tcPr>
          <w:p w14:paraId="18A314D6"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08" w:type="pct"/>
            <w:tcBorders>
              <w:right w:val="single" w:sz="8" w:space="0" w:color="D2232A"/>
            </w:tcBorders>
            <w:noWrap/>
            <w:vAlign w:val="center"/>
            <w:hideMark/>
          </w:tcPr>
          <w:p w14:paraId="4363132F"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78" w:type="pct"/>
            <w:tcBorders>
              <w:left w:val="single" w:sz="8" w:space="0" w:color="D2232A"/>
            </w:tcBorders>
            <w:noWrap/>
            <w:vAlign w:val="center"/>
            <w:hideMark/>
          </w:tcPr>
          <w:p w14:paraId="4AE3C9D1"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25</w:t>
            </w:r>
          </w:p>
        </w:tc>
        <w:tc>
          <w:tcPr>
            <w:tcW w:w="306" w:type="pct"/>
            <w:tcBorders>
              <w:right w:val="single" w:sz="8" w:space="0" w:color="D2232A"/>
            </w:tcBorders>
            <w:noWrap/>
            <w:vAlign w:val="center"/>
            <w:hideMark/>
          </w:tcPr>
          <w:p w14:paraId="1FC2254E"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43</w:t>
            </w:r>
          </w:p>
        </w:tc>
        <w:tc>
          <w:tcPr>
            <w:tcW w:w="391" w:type="pct"/>
            <w:tcBorders>
              <w:left w:val="single" w:sz="8" w:space="0" w:color="D2232A"/>
            </w:tcBorders>
            <w:noWrap/>
            <w:vAlign w:val="center"/>
            <w:hideMark/>
          </w:tcPr>
          <w:p w14:paraId="761DD4A9"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14</w:t>
            </w:r>
          </w:p>
        </w:tc>
        <w:tc>
          <w:tcPr>
            <w:tcW w:w="305" w:type="pct"/>
            <w:tcBorders>
              <w:right w:val="single" w:sz="8" w:space="0" w:color="D2232A"/>
            </w:tcBorders>
            <w:noWrap/>
            <w:vAlign w:val="center"/>
            <w:hideMark/>
          </w:tcPr>
          <w:p w14:paraId="7174417E"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3</w:t>
            </w:r>
          </w:p>
        </w:tc>
        <w:tc>
          <w:tcPr>
            <w:tcW w:w="353" w:type="pct"/>
            <w:tcBorders>
              <w:right w:val="single" w:sz="8" w:space="0" w:color="D2232A"/>
            </w:tcBorders>
            <w:vAlign w:val="center"/>
          </w:tcPr>
          <w:p w14:paraId="3EF03644" w14:textId="50112BDB"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n/a</w:t>
            </w:r>
          </w:p>
        </w:tc>
        <w:tc>
          <w:tcPr>
            <w:tcW w:w="451" w:type="pct"/>
            <w:tcBorders>
              <w:right w:val="single" w:sz="8" w:space="0" w:color="D2232A"/>
            </w:tcBorders>
            <w:vAlign w:val="center"/>
          </w:tcPr>
          <w:p w14:paraId="54EBFD53" w14:textId="205676FB"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n/a</w:t>
            </w:r>
          </w:p>
        </w:tc>
      </w:tr>
      <w:tr w:rsidR="001742E0" w:rsidRPr="00825CD8" w14:paraId="7416DB0B" w14:textId="7C624379" w:rsidTr="00287903">
        <w:trPr>
          <w:trHeight w:val="283"/>
        </w:trPr>
        <w:tc>
          <w:tcPr>
            <w:tcW w:w="1165" w:type="pct"/>
            <w:tcBorders>
              <w:bottom w:val="nil"/>
            </w:tcBorders>
            <w:noWrap/>
            <w:vAlign w:val="center"/>
            <w:hideMark/>
          </w:tcPr>
          <w:p w14:paraId="13DC4356"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Fakultet organizacije i informatike (Varaždin)</w:t>
            </w:r>
          </w:p>
        </w:tc>
        <w:tc>
          <w:tcPr>
            <w:tcW w:w="709" w:type="pct"/>
            <w:tcBorders>
              <w:bottom w:val="nil"/>
              <w:right w:val="single" w:sz="8" w:space="0" w:color="D2232A"/>
            </w:tcBorders>
            <w:noWrap/>
            <w:vAlign w:val="center"/>
            <w:hideMark/>
          </w:tcPr>
          <w:p w14:paraId="040FEDA6" w14:textId="77777777" w:rsidR="001742E0" w:rsidRPr="00825CD8" w:rsidRDefault="001742E0" w:rsidP="00825CD8">
            <w:pPr>
              <w:spacing w:after="0" w:line="240" w:lineRule="auto"/>
              <w:jc w:val="left"/>
              <w:rPr>
                <w:rFonts w:eastAsia="Times New Roman" w:cs="Calibri"/>
                <w:szCs w:val="18"/>
                <w:lang w:eastAsia="hr-HR"/>
              </w:rPr>
            </w:pPr>
            <w:r w:rsidRPr="00825CD8">
              <w:rPr>
                <w:rFonts w:eastAsia="Times New Roman" w:cs="Calibri"/>
                <w:szCs w:val="18"/>
                <w:lang w:eastAsia="hr-HR"/>
              </w:rPr>
              <w:t>Informatika</w:t>
            </w:r>
          </w:p>
        </w:tc>
        <w:tc>
          <w:tcPr>
            <w:tcW w:w="278" w:type="pct"/>
            <w:tcBorders>
              <w:left w:val="single" w:sz="8" w:space="0" w:color="D2232A"/>
              <w:bottom w:val="nil"/>
            </w:tcBorders>
            <w:noWrap/>
            <w:vAlign w:val="center"/>
            <w:hideMark/>
          </w:tcPr>
          <w:p w14:paraId="721C9DA4"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87</w:t>
            </w:r>
          </w:p>
        </w:tc>
        <w:tc>
          <w:tcPr>
            <w:tcW w:w="348" w:type="pct"/>
            <w:tcBorders>
              <w:bottom w:val="nil"/>
              <w:right w:val="single" w:sz="8" w:space="0" w:color="D2232A"/>
            </w:tcBorders>
            <w:noWrap/>
            <w:vAlign w:val="center"/>
            <w:hideMark/>
          </w:tcPr>
          <w:p w14:paraId="4ED8A074"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117</w:t>
            </w:r>
          </w:p>
        </w:tc>
        <w:tc>
          <w:tcPr>
            <w:tcW w:w="208" w:type="pct"/>
            <w:tcBorders>
              <w:left w:val="single" w:sz="8" w:space="0" w:color="D2232A"/>
              <w:bottom w:val="nil"/>
            </w:tcBorders>
            <w:noWrap/>
            <w:vAlign w:val="center"/>
            <w:hideMark/>
          </w:tcPr>
          <w:p w14:paraId="67904FFD"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08" w:type="pct"/>
            <w:tcBorders>
              <w:bottom w:val="nil"/>
              <w:right w:val="single" w:sz="8" w:space="0" w:color="D2232A"/>
            </w:tcBorders>
            <w:noWrap/>
            <w:vAlign w:val="center"/>
            <w:hideMark/>
          </w:tcPr>
          <w:p w14:paraId="2659928D"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w:t>
            </w:r>
          </w:p>
        </w:tc>
        <w:tc>
          <w:tcPr>
            <w:tcW w:w="278" w:type="pct"/>
            <w:tcBorders>
              <w:left w:val="single" w:sz="8" w:space="0" w:color="D2232A"/>
              <w:bottom w:val="nil"/>
            </w:tcBorders>
            <w:noWrap/>
            <w:vAlign w:val="center"/>
            <w:hideMark/>
          </w:tcPr>
          <w:p w14:paraId="5557E571"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74</w:t>
            </w:r>
          </w:p>
        </w:tc>
        <w:tc>
          <w:tcPr>
            <w:tcW w:w="306" w:type="pct"/>
            <w:tcBorders>
              <w:bottom w:val="nil"/>
              <w:right w:val="single" w:sz="8" w:space="0" w:color="D2232A"/>
            </w:tcBorders>
            <w:noWrap/>
            <w:vAlign w:val="center"/>
            <w:hideMark/>
          </w:tcPr>
          <w:p w14:paraId="2809FF10"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152</w:t>
            </w:r>
          </w:p>
        </w:tc>
        <w:tc>
          <w:tcPr>
            <w:tcW w:w="391" w:type="pct"/>
            <w:tcBorders>
              <w:left w:val="single" w:sz="8" w:space="0" w:color="D2232A"/>
              <w:bottom w:val="nil"/>
            </w:tcBorders>
            <w:noWrap/>
            <w:vAlign w:val="center"/>
            <w:hideMark/>
          </w:tcPr>
          <w:p w14:paraId="228AC894"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63</w:t>
            </w:r>
          </w:p>
        </w:tc>
        <w:tc>
          <w:tcPr>
            <w:tcW w:w="305" w:type="pct"/>
            <w:tcBorders>
              <w:bottom w:val="nil"/>
              <w:right w:val="single" w:sz="8" w:space="0" w:color="D2232A"/>
            </w:tcBorders>
            <w:noWrap/>
            <w:vAlign w:val="center"/>
            <w:hideMark/>
          </w:tcPr>
          <w:p w14:paraId="413D9F58" w14:textId="77777777" w:rsidR="001742E0" w:rsidRPr="00825CD8" w:rsidRDefault="001742E0" w:rsidP="001742E0">
            <w:pPr>
              <w:spacing w:after="0" w:line="240" w:lineRule="auto"/>
              <w:jc w:val="center"/>
              <w:rPr>
                <w:rFonts w:eastAsia="Times New Roman" w:cs="Calibri"/>
                <w:szCs w:val="18"/>
                <w:lang w:eastAsia="hr-HR"/>
              </w:rPr>
            </w:pPr>
            <w:r w:rsidRPr="00825CD8">
              <w:rPr>
                <w:rFonts w:eastAsia="Times New Roman" w:cs="Calibri"/>
                <w:szCs w:val="18"/>
                <w:lang w:eastAsia="hr-HR"/>
              </w:rPr>
              <w:t>112</w:t>
            </w:r>
          </w:p>
        </w:tc>
        <w:tc>
          <w:tcPr>
            <w:tcW w:w="353" w:type="pct"/>
            <w:tcBorders>
              <w:bottom w:val="nil"/>
              <w:right w:val="single" w:sz="8" w:space="0" w:color="D2232A"/>
            </w:tcBorders>
            <w:vAlign w:val="center"/>
          </w:tcPr>
          <w:p w14:paraId="6B8E617E" w14:textId="39A97FE9"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65</w:t>
            </w:r>
          </w:p>
        </w:tc>
        <w:tc>
          <w:tcPr>
            <w:tcW w:w="451" w:type="pct"/>
            <w:tcBorders>
              <w:bottom w:val="nil"/>
              <w:right w:val="single" w:sz="8" w:space="0" w:color="D2232A"/>
            </w:tcBorders>
            <w:vAlign w:val="center"/>
          </w:tcPr>
          <w:p w14:paraId="60C36F7E" w14:textId="3921F77C" w:rsidR="001742E0" w:rsidRPr="00825CD8" w:rsidRDefault="00F67950" w:rsidP="00287903">
            <w:pPr>
              <w:spacing w:after="0" w:line="240" w:lineRule="auto"/>
              <w:jc w:val="center"/>
              <w:rPr>
                <w:rFonts w:eastAsia="Times New Roman" w:cs="Calibri"/>
                <w:szCs w:val="18"/>
                <w:lang w:eastAsia="hr-HR"/>
              </w:rPr>
            </w:pPr>
            <w:r>
              <w:rPr>
                <w:rFonts w:eastAsia="Times New Roman" w:cs="Calibri"/>
                <w:szCs w:val="18"/>
                <w:lang w:eastAsia="hr-HR"/>
              </w:rPr>
              <w:t>99</w:t>
            </w:r>
          </w:p>
        </w:tc>
      </w:tr>
    </w:tbl>
    <w:p w14:paraId="02A3C5A2" w14:textId="54525400" w:rsidR="008878A0" w:rsidRPr="00F67950" w:rsidRDefault="008878A0" w:rsidP="003C2276">
      <w:pPr>
        <w:pStyle w:val="Izvor"/>
        <w:rPr>
          <w:i/>
          <w:color w:val="ABABAB" w:themeColor="text1" w:themeTint="A6"/>
          <w:sz w:val="16"/>
          <w:szCs w:val="16"/>
        </w:rPr>
      </w:pPr>
      <w:r w:rsidRPr="00F67950">
        <w:rPr>
          <w:i/>
          <w:color w:val="ABABAB" w:themeColor="text1" w:themeTint="A6"/>
          <w:sz w:val="16"/>
          <w:szCs w:val="16"/>
        </w:rPr>
        <w:t>Izvor: Upravni odjel za obrazovanje, kulturu, šport i tehničku kulturu</w:t>
      </w:r>
      <w:r w:rsidR="00F67950">
        <w:rPr>
          <w:i/>
          <w:color w:val="ABABAB" w:themeColor="text1" w:themeTint="A6"/>
          <w:sz w:val="16"/>
          <w:szCs w:val="16"/>
        </w:rPr>
        <w:t>, 2021.</w:t>
      </w:r>
    </w:p>
    <w:p w14:paraId="5FE17A2B" w14:textId="65CB1B67" w:rsidR="008878A0" w:rsidRDefault="008878A0" w:rsidP="00855D8D">
      <w:pPr>
        <w:pStyle w:val="Izvor"/>
      </w:pPr>
    </w:p>
    <w:p w14:paraId="5E05300C" w14:textId="6C2A5092" w:rsidR="00555F83" w:rsidRDefault="000D57FF" w:rsidP="00555F83">
      <w:r w:rsidRPr="00F368A7">
        <w:t>Grafikon u nastavku prikazuje raspodjelu diplomiranih studenata s obzirom na vrstu studija u razdoblju od 2015. do 201</w:t>
      </w:r>
      <w:r w:rsidR="005936F9" w:rsidRPr="00F368A7">
        <w:t>9</w:t>
      </w:r>
      <w:r w:rsidRPr="00F368A7">
        <w:t xml:space="preserve">. godine. </w:t>
      </w:r>
      <w:r w:rsidRPr="004C6AA8">
        <w:t xml:space="preserve">Kako je već navedeno, u odnosu na </w:t>
      </w:r>
      <w:r w:rsidR="00F368A7" w:rsidRPr="004C6AA8">
        <w:t xml:space="preserve">tri </w:t>
      </w:r>
      <w:r w:rsidRPr="004C6AA8">
        <w:t>prethodne godine, u 201</w:t>
      </w:r>
      <w:r w:rsidR="00F368A7" w:rsidRPr="004C6AA8">
        <w:t>9</w:t>
      </w:r>
      <w:r w:rsidRPr="004C6AA8">
        <w:t xml:space="preserve">. godini je zabilježeno smanjenje broja diplomiranih studenata – </w:t>
      </w:r>
      <w:r w:rsidR="00F368A7" w:rsidRPr="004C6AA8">
        <w:t>893</w:t>
      </w:r>
      <w:r w:rsidRPr="004C6AA8">
        <w:t xml:space="preserve"> studenata – od kojih je 6</w:t>
      </w:r>
      <w:r w:rsidR="00F368A7" w:rsidRPr="004C6AA8">
        <w:t>19</w:t>
      </w:r>
      <w:r w:rsidRPr="004C6AA8">
        <w:t xml:space="preserve"> završilo sveučilišni studij, a </w:t>
      </w:r>
      <w:r w:rsidR="00F368A7" w:rsidRPr="004C6AA8">
        <w:t xml:space="preserve">68 </w:t>
      </w:r>
      <w:r w:rsidRPr="004C6AA8">
        <w:t>stručni studij. Većina diplomiranih studenata, gotovo 7</w:t>
      </w:r>
      <w:r w:rsidR="00F368A7" w:rsidRPr="004C6AA8">
        <w:t>0</w:t>
      </w:r>
      <w:r w:rsidRPr="004C6AA8">
        <w:t>%, bili su redoviti studenti. S obzirom na prebivalište, najviše je diplomiranih studenata s prebivalištem u gradu Krapini (10</w:t>
      </w:r>
      <w:r w:rsidR="00F368A7" w:rsidRPr="004C6AA8">
        <w:t>7</w:t>
      </w:r>
      <w:r w:rsidRPr="004C6AA8">
        <w:t>) te Zaboku (</w:t>
      </w:r>
      <w:r w:rsidR="00F368A7" w:rsidRPr="004C6AA8">
        <w:t>82</w:t>
      </w:r>
      <w:r w:rsidRPr="004C6AA8">
        <w:t>), a od općina u Bedekovčini (4</w:t>
      </w:r>
      <w:r w:rsidR="00F368A7" w:rsidRPr="004C6AA8">
        <w:t>3</w:t>
      </w:r>
      <w:r w:rsidRPr="004C6AA8">
        <w:t xml:space="preserve">), Svetom Križu Začretju (44) te u Krapinskim </w:t>
      </w:r>
      <w:r w:rsidR="00F368A7" w:rsidRPr="004C6AA8">
        <w:t>T</w:t>
      </w:r>
      <w:r w:rsidRPr="004C6AA8">
        <w:t xml:space="preserve">oplicama i </w:t>
      </w:r>
      <w:r w:rsidR="00F368A7" w:rsidRPr="004C6AA8">
        <w:t>Gornjoj Stubici</w:t>
      </w:r>
      <w:r w:rsidRPr="004C6AA8">
        <w:t xml:space="preserve"> gdje je zabilježeno po </w:t>
      </w:r>
      <w:r w:rsidR="00F368A7" w:rsidRPr="004C6AA8">
        <w:t>36</w:t>
      </w:r>
      <w:r w:rsidRPr="004C6AA8">
        <w:t xml:space="preserve"> diplomiran</w:t>
      </w:r>
      <w:r w:rsidR="00F368A7" w:rsidRPr="004C6AA8">
        <w:t>ih</w:t>
      </w:r>
      <w:r w:rsidRPr="004C6AA8">
        <w:t xml:space="preserve"> studenta u 201</w:t>
      </w:r>
      <w:r w:rsidR="00F368A7" w:rsidRPr="004C6AA8">
        <w:t>9</w:t>
      </w:r>
      <w:r w:rsidRPr="004C6AA8">
        <w:t>. godini.</w:t>
      </w:r>
    </w:p>
    <w:p w14:paraId="2E61D96A" w14:textId="77777777" w:rsidR="00BD2AB0" w:rsidRDefault="00BD2AB0" w:rsidP="00555F83"/>
    <w:p w14:paraId="1367CABF" w14:textId="71F64574" w:rsidR="005936F9" w:rsidRPr="005936F9" w:rsidRDefault="008878A0" w:rsidP="003E3F3C">
      <w:pPr>
        <w:pStyle w:val="Opisslike"/>
      </w:pPr>
      <w:r w:rsidRPr="005936F9">
        <w:lastRenderedPageBreak/>
        <w:t xml:space="preserve">Grafikon </w:t>
      </w:r>
      <w:r w:rsidR="005936F9">
        <w:t>2</w:t>
      </w:r>
      <w:r w:rsidR="00A668BF">
        <w:t>7</w:t>
      </w:r>
      <w:r w:rsidR="00151FD4">
        <w:t>.</w:t>
      </w:r>
      <w:r w:rsidRPr="005936F9">
        <w:t xml:space="preserve"> Diplomirani studenti s prebivalištem na području Krapinsko-zagorske županije prema vrsti studija (2015.-201</w:t>
      </w:r>
      <w:r w:rsidR="005936F9">
        <w:t>9</w:t>
      </w:r>
      <w:r w:rsidRPr="005936F9">
        <w:t>.)</w:t>
      </w:r>
    </w:p>
    <w:p w14:paraId="40D94E1B" w14:textId="336753DD" w:rsidR="008878A0" w:rsidRPr="005936F9" w:rsidRDefault="005936F9" w:rsidP="00151FD4">
      <w:pPr>
        <w:spacing w:after="0"/>
        <w:rPr>
          <w:i/>
          <w:iCs/>
          <w:noProof/>
        </w:rPr>
      </w:pPr>
      <w:r>
        <w:rPr>
          <w:noProof/>
        </w:rPr>
        <w:drawing>
          <wp:inline distT="0" distB="0" distL="0" distR="0" wp14:anchorId="7655EB76" wp14:editId="01223372">
            <wp:extent cx="6153150" cy="3517900"/>
            <wp:effectExtent l="0" t="0" r="0" b="6350"/>
            <wp:docPr id="240" name="Grafikon 240">
              <a:extLst xmlns:a="http://schemas.openxmlformats.org/drawingml/2006/main">
                <a:ext uri="{FF2B5EF4-FFF2-40B4-BE49-F238E27FC236}">
                  <a16:creationId xmlns:a16="http://schemas.microsoft.com/office/drawing/2014/main" id="{4FBDE91B-0DCB-43FB-A596-A1C6805737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6B962F35" w14:textId="3E7C9FBF" w:rsidR="008878A0" w:rsidRDefault="008878A0" w:rsidP="009E69A4">
      <w:pPr>
        <w:pStyle w:val="Izvor"/>
        <w:rPr>
          <w:i/>
          <w:color w:val="ABABAB" w:themeColor="text1" w:themeTint="A6"/>
          <w:sz w:val="16"/>
          <w:szCs w:val="16"/>
        </w:rPr>
      </w:pPr>
      <w:r w:rsidRPr="005936F9">
        <w:rPr>
          <w:i/>
          <w:color w:val="ABABAB" w:themeColor="text1" w:themeTint="A6"/>
          <w:sz w:val="16"/>
          <w:szCs w:val="16"/>
        </w:rPr>
        <w:t>Izvor: DZS, Gradovi u statistici</w:t>
      </w:r>
    </w:p>
    <w:p w14:paraId="4E093615" w14:textId="77777777" w:rsidR="00BD2AB0" w:rsidRPr="005936F9" w:rsidRDefault="00BD2AB0" w:rsidP="003C2276">
      <w:pPr>
        <w:pStyle w:val="Izvor"/>
        <w:rPr>
          <w:i/>
          <w:color w:val="ABABAB" w:themeColor="text1" w:themeTint="A6"/>
          <w:sz w:val="16"/>
          <w:szCs w:val="16"/>
        </w:rPr>
      </w:pPr>
    </w:p>
    <w:p w14:paraId="7B9DF671" w14:textId="1B94FAA2" w:rsidR="008878A0" w:rsidRPr="00F368A7" w:rsidRDefault="008878A0" w:rsidP="00941871">
      <w:r>
        <w:t xml:space="preserve">S ciljem smanjenja strukturne neusklađenosti između ponude rada i potražnje za radom Hrvatski zavod za zapošljavanje izrađuje Plan i metodologiju praćenja, analize i predviđanja potreba tržišta rada za pojedinim zvanjima te daje Preporuku za obrazovnu upisnu politiku. </w:t>
      </w:r>
      <w:r w:rsidR="00A7798A">
        <w:t xml:space="preserve">Prema </w:t>
      </w:r>
      <w:r>
        <w:t>Preporuci za obrazovnu upisnu politiku i politiku stipendiranja za 20</w:t>
      </w:r>
      <w:r w:rsidR="00F368A7">
        <w:t>20</w:t>
      </w:r>
      <w:r>
        <w:t xml:space="preserve">. godinu </w:t>
      </w:r>
      <w:r w:rsidR="0084738A">
        <w:t>u</w:t>
      </w:r>
      <w:r>
        <w:t xml:space="preserve"> Krapinsko-zagorsk</w:t>
      </w:r>
      <w:r w:rsidR="0084738A">
        <w:t>oj</w:t>
      </w:r>
      <w:r>
        <w:t xml:space="preserve"> županij</w:t>
      </w:r>
      <w:r w:rsidR="0084738A">
        <w:t>i</w:t>
      </w:r>
      <w:r>
        <w:t xml:space="preserve"> broj upisanih i stipendiranih studenata</w:t>
      </w:r>
      <w:r w:rsidR="0084738A">
        <w:t xml:space="preserve"> treba smanjiti u slijedećim obrazovnim programima</w:t>
      </w:r>
      <w:r>
        <w:t xml:space="preserve">: stručni studij poslovne ekonomije te poslovne ekonomije u turizmu i ugostiteljstvu, kao i sveučilišni studij poslovne ekonomije. Obrazovni programi u kojima je potrebno povećati broj upisanih i stipendiranih studenata </w:t>
      </w:r>
      <w:r w:rsidR="00A7798A">
        <w:t>su</w:t>
      </w:r>
      <w:r>
        <w:t xml:space="preserve"> stručni studij ranog i predškolskog odgoja i obrazovanja, sveučilišni studij medicine, farmacije, dentalne medicine, edukacijsko rehabilitacijski studij, kao i studij strojarstva, građevinarstva, matematike, </w:t>
      </w:r>
      <w:r w:rsidR="00F368A7" w:rsidRPr="00F368A7">
        <w:t xml:space="preserve">fizike, biologije, kemije, informatike, logopedije, elektrotehnike te anglistike i germanistike. </w:t>
      </w:r>
    </w:p>
    <w:p w14:paraId="6CDF4E02" w14:textId="417A800A" w:rsidR="006D117E" w:rsidRDefault="008878A0" w:rsidP="006D117E">
      <w:r>
        <w:t>Krapinsko-zagorska županija kontinuirano dodjeljuje studentske stipendije, sukladno Pravilniku o stipendiranju, koji među kriterijima – osim uspjeha, natjecanja, socijalnog statusa te otežavajućih okolnosti u obitelji - obuhvaća i dodatno bodovanje ako je riječ o školovanju za zanimanja od prioritetnog interesa za Županiju. Stipendija za redovite studente koji su u akademskoj godini 20</w:t>
      </w:r>
      <w:r w:rsidR="00F368A7">
        <w:t>20</w:t>
      </w:r>
      <w:r>
        <w:t>./202</w:t>
      </w:r>
      <w:r w:rsidR="00F368A7">
        <w:t>1</w:t>
      </w:r>
      <w:r>
        <w:t>. upisali studij deficitarnog zanimanja (medicina, farmacija, matematika</w:t>
      </w:r>
      <w:r w:rsidR="00F368A7">
        <w:t xml:space="preserve">, </w:t>
      </w:r>
      <w:r>
        <w:t>fizika</w:t>
      </w:r>
      <w:r w:rsidR="00F368A7">
        <w:t>, biologija i kemija</w:t>
      </w:r>
      <w:r>
        <w:t xml:space="preserve">) iznosi </w:t>
      </w:r>
      <w:r w:rsidR="00F368A7">
        <w:t>8</w:t>
      </w:r>
      <w:r>
        <w:t xml:space="preserve">00,00 kuna mjesečno. </w:t>
      </w:r>
      <w:r w:rsidR="00F368A7">
        <w:t>I</w:t>
      </w:r>
      <w:r>
        <w:t xml:space="preserve">znos </w:t>
      </w:r>
      <w:r w:rsidR="00F368A7">
        <w:t xml:space="preserve">od 700,00 kuna </w:t>
      </w:r>
      <w:r>
        <w:t xml:space="preserve">dodjeljuje se i studentima po socijalnom kriteriju (30 studenata) te nadarenim studentima (30 studenata). </w:t>
      </w:r>
    </w:p>
    <w:p w14:paraId="138EDC66" w14:textId="77777777" w:rsidR="006D117E" w:rsidRDefault="006D117E" w:rsidP="006D117E"/>
    <w:p w14:paraId="32854DB8" w14:textId="25D1C798" w:rsidR="006D117E" w:rsidRDefault="006D117E" w:rsidP="006D117E">
      <w:pPr>
        <w:pStyle w:val="Naslov2"/>
      </w:pPr>
      <w:bookmarkStart w:id="119" w:name="_Toc85181313"/>
      <w:r w:rsidRPr="006D117E">
        <w:t xml:space="preserve">8.6. </w:t>
      </w:r>
      <w:r>
        <w:t>STEM</w:t>
      </w:r>
      <w:bookmarkEnd w:id="119"/>
      <w:r>
        <w:t xml:space="preserve"> </w:t>
      </w:r>
    </w:p>
    <w:p w14:paraId="7BE2CE3C" w14:textId="77777777" w:rsidR="006D117E" w:rsidRPr="006D117E" w:rsidRDefault="006D117E" w:rsidP="006D117E"/>
    <w:p w14:paraId="4A64CE40" w14:textId="77777777" w:rsidR="00471AC3" w:rsidRDefault="006D117E" w:rsidP="006D117E">
      <w:r w:rsidRPr="006D117E">
        <w:t xml:space="preserve">Veliki broj zanimanja koja potpadaju pod akronim STEM (science, technology, engineering &amp; mathematics) deficitarna su, dobro plaćena, a unatoč tome interes mladih za studiranjem istih ne raste. S obzirom na nedostatak mlade populacije koja želi ići na vrhunske specijalističke studije, potrebno je pronaći način da se potakne mlade u Hrvatskoj na studiranje grana iz oblasti STEM-a, jer se do poslova dolazi </w:t>
      </w:r>
      <w:r w:rsidR="00471AC3">
        <w:t>znatno brže</w:t>
      </w:r>
      <w:r w:rsidRPr="006D117E">
        <w:t xml:space="preserve">, a uz to ti su poslovi uglavnom </w:t>
      </w:r>
      <w:r w:rsidR="00471AC3">
        <w:t>više</w:t>
      </w:r>
      <w:r w:rsidRPr="006D117E">
        <w:t xml:space="preserve"> plaćeni, čak i uvjetima stagnacije gospodarstva. Većina inovacija prije svega rezultat je rada posebno talentiranih pojedinaca. Takvi izuzetni pojedinci mogu kreirati inovacije koje će značajno promijeniti poslovanje ne samo određene organizacije, već i život šire društvene zajednice, pri čemu je identifikacija i usmjeravanje takvih talenata jedna od glavnih zadaća obrazovanja uopće. </w:t>
      </w:r>
    </w:p>
    <w:p w14:paraId="7407E97D" w14:textId="747383B2" w:rsidR="006D117E" w:rsidRDefault="006D117E" w:rsidP="006D117E">
      <w:r w:rsidRPr="006D117E">
        <w:t xml:space="preserve">Prema podacima Krapinsko-zagorske županije, učenici osnovnih i srednjih škola Krapinsko-zagorske županije u posljednje 3 godine ostvaruju značajna postignuća na državnim i međunarodnim natjecanjima. Prema podacima u tablici koja slijedi vidljivo </w:t>
      </w:r>
      <w:r w:rsidRPr="006D117E">
        <w:lastRenderedPageBreak/>
        <w:t>je da izvrsnost u pojedinim područjima u školama varira, što uvelike ovisi i o stručnim i administrativnim kapacitetima samih učitelja koji pripremaju učenike za natjecanja. Ujedno, dostignuća u osnovnim školama u STEM području, vidljivo se smanjuju.</w:t>
      </w:r>
    </w:p>
    <w:p w14:paraId="0E902839" w14:textId="77777777" w:rsidR="00471AC3" w:rsidRPr="006D117E" w:rsidRDefault="00471AC3" w:rsidP="006D117E"/>
    <w:p w14:paraId="6E955AD7" w14:textId="3C927279" w:rsidR="006D117E" w:rsidRPr="006D117E" w:rsidRDefault="006D117E" w:rsidP="00471AC3">
      <w:pPr>
        <w:pStyle w:val="Opisslike"/>
      </w:pPr>
      <w:r w:rsidRPr="006D117E">
        <w:t xml:space="preserve">Tablica </w:t>
      </w:r>
      <w:r w:rsidR="00471AC3" w:rsidRPr="00471AC3">
        <w:t>59</w:t>
      </w:r>
      <w:r w:rsidRPr="006D117E">
        <w:t>. Postignuća učenika osnovnih i srednjih škola – osvojeno I., II. ili III. mjesto na državnim natjecanjima, Krapinsko-zagorska županija</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004"/>
        <w:gridCol w:w="1133"/>
        <w:gridCol w:w="1135"/>
        <w:gridCol w:w="1018"/>
      </w:tblGrid>
      <w:tr w:rsidR="006D117E" w:rsidRPr="006D117E" w14:paraId="6C6C3760" w14:textId="77777777" w:rsidTr="00233B24">
        <w:trPr>
          <w:trHeight w:val="299"/>
        </w:trPr>
        <w:tc>
          <w:tcPr>
            <w:tcW w:w="5000" w:type="pct"/>
            <w:gridSpan w:val="4"/>
            <w:shd w:val="clear" w:color="auto" w:fill="D2222A"/>
          </w:tcPr>
          <w:p w14:paraId="72CAE2D0" w14:textId="77777777" w:rsidR="006D117E" w:rsidRPr="006D117E" w:rsidRDefault="006D117E" w:rsidP="006D117E">
            <w:pPr>
              <w:rPr>
                <w:b/>
                <w:bCs/>
                <w:lang w:val="bs"/>
              </w:rPr>
            </w:pPr>
            <w:r w:rsidRPr="006D117E">
              <w:rPr>
                <w:b/>
                <w:bCs/>
                <w:color w:val="FFFFFF" w:themeColor="background1"/>
                <w:lang w:val="bs"/>
              </w:rPr>
              <w:t>OSNOVNA ŠKOLA</w:t>
            </w:r>
          </w:p>
        </w:tc>
      </w:tr>
      <w:tr w:rsidR="006D117E" w:rsidRPr="006D117E" w14:paraId="2D4774FF" w14:textId="77777777" w:rsidTr="00233B24">
        <w:trPr>
          <w:trHeight w:val="302"/>
        </w:trPr>
        <w:tc>
          <w:tcPr>
            <w:tcW w:w="3231" w:type="pct"/>
            <w:shd w:val="clear" w:color="auto" w:fill="F9D3D3"/>
          </w:tcPr>
          <w:p w14:paraId="0E955AC9" w14:textId="77777777" w:rsidR="006D117E" w:rsidRPr="006D117E" w:rsidRDefault="006D117E" w:rsidP="006D117E">
            <w:pPr>
              <w:rPr>
                <w:lang w:val="bs"/>
              </w:rPr>
            </w:pPr>
          </w:p>
        </w:tc>
        <w:tc>
          <w:tcPr>
            <w:tcW w:w="610" w:type="pct"/>
            <w:shd w:val="clear" w:color="auto" w:fill="F9D3D3"/>
          </w:tcPr>
          <w:p w14:paraId="12C87CB5" w14:textId="77777777" w:rsidR="006D117E" w:rsidRPr="006D117E" w:rsidRDefault="006D117E" w:rsidP="006D117E">
            <w:pPr>
              <w:rPr>
                <w:b/>
                <w:bCs/>
                <w:color w:val="auto"/>
                <w:lang w:val="bs"/>
              </w:rPr>
            </w:pPr>
            <w:r w:rsidRPr="006D117E">
              <w:rPr>
                <w:b/>
                <w:bCs/>
                <w:color w:val="auto"/>
                <w:lang w:val="bs"/>
              </w:rPr>
              <w:t>2021.</w:t>
            </w:r>
          </w:p>
        </w:tc>
        <w:tc>
          <w:tcPr>
            <w:tcW w:w="611" w:type="pct"/>
            <w:shd w:val="clear" w:color="auto" w:fill="F9D3D3"/>
          </w:tcPr>
          <w:p w14:paraId="3064DB42" w14:textId="77777777" w:rsidR="006D117E" w:rsidRPr="006D117E" w:rsidRDefault="006D117E" w:rsidP="006D117E">
            <w:pPr>
              <w:rPr>
                <w:b/>
                <w:bCs/>
                <w:color w:val="auto"/>
                <w:lang w:val="bs"/>
              </w:rPr>
            </w:pPr>
            <w:r w:rsidRPr="006D117E">
              <w:rPr>
                <w:b/>
                <w:bCs/>
                <w:color w:val="auto"/>
                <w:lang w:val="bs"/>
              </w:rPr>
              <w:t>2020.</w:t>
            </w:r>
          </w:p>
        </w:tc>
        <w:tc>
          <w:tcPr>
            <w:tcW w:w="548" w:type="pct"/>
            <w:shd w:val="clear" w:color="auto" w:fill="F9D3D3"/>
          </w:tcPr>
          <w:p w14:paraId="283C52F6" w14:textId="77777777" w:rsidR="006D117E" w:rsidRPr="006D117E" w:rsidRDefault="006D117E" w:rsidP="006D117E">
            <w:pPr>
              <w:rPr>
                <w:b/>
                <w:bCs/>
                <w:color w:val="auto"/>
                <w:lang w:val="bs"/>
              </w:rPr>
            </w:pPr>
            <w:r w:rsidRPr="006D117E">
              <w:rPr>
                <w:b/>
                <w:bCs/>
                <w:color w:val="auto"/>
                <w:lang w:val="bs"/>
              </w:rPr>
              <w:t>2019.</w:t>
            </w:r>
          </w:p>
        </w:tc>
      </w:tr>
      <w:tr w:rsidR="006D117E" w:rsidRPr="006D117E" w14:paraId="795AE551" w14:textId="77777777" w:rsidTr="00233B24">
        <w:trPr>
          <w:trHeight w:val="299"/>
        </w:trPr>
        <w:tc>
          <w:tcPr>
            <w:tcW w:w="3231" w:type="pct"/>
          </w:tcPr>
          <w:p w14:paraId="29601502" w14:textId="77777777" w:rsidR="006D117E" w:rsidRPr="006D117E" w:rsidRDefault="006D117E" w:rsidP="006D117E">
            <w:pPr>
              <w:rPr>
                <w:lang w:val="bs"/>
              </w:rPr>
            </w:pPr>
            <w:r w:rsidRPr="006D117E">
              <w:rPr>
                <w:lang w:val="bs"/>
              </w:rPr>
              <w:t>STEM područje</w:t>
            </w:r>
          </w:p>
        </w:tc>
        <w:tc>
          <w:tcPr>
            <w:tcW w:w="610" w:type="pct"/>
          </w:tcPr>
          <w:p w14:paraId="6612B44F" w14:textId="77777777" w:rsidR="006D117E" w:rsidRPr="006D117E" w:rsidRDefault="006D117E" w:rsidP="006D117E">
            <w:pPr>
              <w:rPr>
                <w:lang w:val="bs"/>
              </w:rPr>
            </w:pPr>
            <w:r w:rsidRPr="006D117E">
              <w:rPr>
                <w:lang w:val="bs"/>
              </w:rPr>
              <w:t>4</w:t>
            </w:r>
          </w:p>
        </w:tc>
        <w:tc>
          <w:tcPr>
            <w:tcW w:w="611" w:type="pct"/>
          </w:tcPr>
          <w:p w14:paraId="769C1895" w14:textId="77777777" w:rsidR="006D117E" w:rsidRPr="006D117E" w:rsidRDefault="006D117E" w:rsidP="006D117E">
            <w:pPr>
              <w:rPr>
                <w:lang w:val="bs"/>
              </w:rPr>
            </w:pPr>
            <w:r w:rsidRPr="006D117E">
              <w:rPr>
                <w:lang w:val="bs"/>
              </w:rPr>
              <w:t>10</w:t>
            </w:r>
          </w:p>
        </w:tc>
        <w:tc>
          <w:tcPr>
            <w:tcW w:w="548" w:type="pct"/>
          </w:tcPr>
          <w:p w14:paraId="5D67FCD2" w14:textId="77777777" w:rsidR="006D117E" w:rsidRPr="006D117E" w:rsidRDefault="006D117E" w:rsidP="006D117E">
            <w:pPr>
              <w:rPr>
                <w:lang w:val="bs"/>
              </w:rPr>
            </w:pPr>
            <w:r w:rsidRPr="006D117E">
              <w:rPr>
                <w:lang w:val="bs"/>
              </w:rPr>
              <w:t>15</w:t>
            </w:r>
          </w:p>
        </w:tc>
      </w:tr>
      <w:tr w:rsidR="006D117E" w:rsidRPr="006D117E" w14:paraId="7A014CB8" w14:textId="77777777" w:rsidTr="00233B24">
        <w:trPr>
          <w:trHeight w:val="299"/>
        </w:trPr>
        <w:tc>
          <w:tcPr>
            <w:tcW w:w="3231" w:type="pct"/>
          </w:tcPr>
          <w:p w14:paraId="2F1C5D3F" w14:textId="77777777" w:rsidR="006D117E" w:rsidRPr="006D117E" w:rsidRDefault="006D117E" w:rsidP="006D117E">
            <w:pPr>
              <w:rPr>
                <w:lang w:val="bs"/>
              </w:rPr>
            </w:pPr>
            <w:r w:rsidRPr="006D117E">
              <w:rPr>
                <w:lang w:val="bs"/>
              </w:rPr>
              <w:t>društveno-humanistička područja</w:t>
            </w:r>
          </w:p>
        </w:tc>
        <w:tc>
          <w:tcPr>
            <w:tcW w:w="610" w:type="pct"/>
          </w:tcPr>
          <w:p w14:paraId="6E32076F" w14:textId="77777777" w:rsidR="006D117E" w:rsidRPr="006D117E" w:rsidRDefault="006D117E" w:rsidP="006D117E">
            <w:pPr>
              <w:rPr>
                <w:lang w:val="bs"/>
              </w:rPr>
            </w:pPr>
            <w:r w:rsidRPr="006D117E">
              <w:rPr>
                <w:lang w:val="bs"/>
              </w:rPr>
              <w:t>2</w:t>
            </w:r>
          </w:p>
        </w:tc>
        <w:tc>
          <w:tcPr>
            <w:tcW w:w="611" w:type="pct"/>
          </w:tcPr>
          <w:p w14:paraId="10542D74" w14:textId="77777777" w:rsidR="006D117E" w:rsidRPr="006D117E" w:rsidRDefault="006D117E" w:rsidP="006D117E">
            <w:pPr>
              <w:rPr>
                <w:lang w:val="bs"/>
              </w:rPr>
            </w:pPr>
            <w:r w:rsidRPr="006D117E">
              <w:rPr>
                <w:lang w:val="bs"/>
              </w:rPr>
              <w:t>0</w:t>
            </w:r>
          </w:p>
        </w:tc>
        <w:tc>
          <w:tcPr>
            <w:tcW w:w="548" w:type="pct"/>
          </w:tcPr>
          <w:p w14:paraId="086085FF" w14:textId="77777777" w:rsidR="006D117E" w:rsidRPr="006D117E" w:rsidRDefault="006D117E" w:rsidP="006D117E">
            <w:pPr>
              <w:rPr>
                <w:lang w:val="bs"/>
              </w:rPr>
            </w:pPr>
            <w:r w:rsidRPr="006D117E">
              <w:rPr>
                <w:lang w:val="bs"/>
              </w:rPr>
              <w:t>0</w:t>
            </w:r>
          </w:p>
        </w:tc>
      </w:tr>
      <w:tr w:rsidR="006D117E" w:rsidRPr="006D117E" w14:paraId="3BCAB612" w14:textId="77777777" w:rsidTr="00233B24">
        <w:trPr>
          <w:trHeight w:val="299"/>
        </w:trPr>
        <w:tc>
          <w:tcPr>
            <w:tcW w:w="3231" w:type="pct"/>
          </w:tcPr>
          <w:p w14:paraId="1EE91AD1" w14:textId="77777777" w:rsidR="006D117E" w:rsidRPr="006D117E" w:rsidRDefault="006D117E" w:rsidP="006D117E">
            <w:pPr>
              <w:rPr>
                <w:lang w:val="bs"/>
              </w:rPr>
            </w:pPr>
            <w:r w:rsidRPr="006D117E">
              <w:rPr>
                <w:lang w:val="bs"/>
              </w:rPr>
              <w:t>umjetnost</w:t>
            </w:r>
          </w:p>
        </w:tc>
        <w:tc>
          <w:tcPr>
            <w:tcW w:w="610" w:type="pct"/>
          </w:tcPr>
          <w:p w14:paraId="6FB69406" w14:textId="77777777" w:rsidR="006D117E" w:rsidRPr="006D117E" w:rsidRDefault="006D117E" w:rsidP="006D117E">
            <w:pPr>
              <w:rPr>
                <w:lang w:val="bs"/>
              </w:rPr>
            </w:pPr>
            <w:r w:rsidRPr="006D117E">
              <w:rPr>
                <w:lang w:val="bs"/>
              </w:rPr>
              <w:t>1</w:t>
            </w:r>
          </w:p>
        </w:tc>
        <w:tc>
          <w:tcPr>
            <w:tcW w:w="611" w:type="pct"/>
          </w:tcPr>
          <w:p w14:paraId="4A598AB0" w14:textId="77777777" w:rsidR="006D117E" w:rsidRPr="006D117E" w:rsidRDefault="006D117E" w:rsidP="006D117E">
            <w:pPr>
              <w:rPr>
                <w:lang w:val="bs"/>
              </w:rPr>
            </w:pPr>
            <w:r w:rsidRPr="006D117E">
              <w:rPr>
                <w:lang w:val="bs"/>
              </w:rPr>
              <w:t>0</w:t>
            </w:r>
          </w:p>
        </w:tc>
        <w:tc>
          <w:tcPr>
            <w:tcW w:w="548" w:type="pct"/>
          </w:tcPr>
          <w:p w14:paraId="682A59FA" w14:textId="77777777" w:rsidR="006D117E" w:rsidRPr="006D117E" w:rsidRDefault="006D117E" w:rsidP="006D117E">
            <w:pPr>
              <w:rPr>
                <w:lang w:val="bs"/>
              </w:rPr>
            </w:pPr>
            <w:r w:rsidRPr="006D117E">
              <w:rPr>
                <w:lang w:val="bs"/>
              </w:rPr>
              <w:t>2</w:t>
            </w:r>
          </w:p>
        </w:tc>
      </w:tr>
      <w:tr w:rsidR="006D117E" w:rsidRPr="006D117E" w14:paraId="2091F99F" w14:textId="77777777" w:rsidTr="00233B24">
        <w:trPr>
          <w:trHeight w:val="299"/>
        </w:trPr>
        <w:tc>
          <w:tcPr>
            <w:tcW w:w="5000" w:type="pct"/>
            <w:gridSpan w:val="4"/>
            <w:shd w:val="clear" w:color="auto" w:fill="D2222A"/>
          </w:tcPr>
          <w:p w14:paraId="6AB799BE" w14:textId="77777777" w:rsidR="006D117E" w:rsidRPr="006D117E" w:rsidRDefault="006D117E" w:rsidP="006D117E">
            <w:pPr>
              <w:rPr>
                <w:b/>
                <w:bCs/>
                <w:lang w:val="bs"/>
              </w:rPr>
            </w:pPr>
            <w:r w:rsidRPr="006D117E">
              <w:rPr>
                <w:b/>
                <w:bCs/>
                <w:color w:val="FFFFFF" w:themeColor="background1"/>
                <w:lang w:val="bs"/>
              </w:rPr>
              <w:t>SREDNJA ŠKOLA</w:t>
            </w:r>
          </w:p>
        </w:tc>
      </w:tr>
      <w:tr w:rsidR="006D117E" w:rsidRPr="006D117E" w14:paraId="6697D96D" w14:textId="77777777" w:rsidTr="00233B24">
        <w:trPr>
          <w:trHeight w:val="299"/>
        </w:trPr>
        <w:tc>
          <w:tcPr>
            <w:tcW w:w="3231" w:type="pct"/>
          </w:tcPr>
          <w:p w14:paraId="1B221C4F" w14:textId="77777777" w:rsidR="006D117E" w:rsidRPr="006D117E" w:rsidRDefault="006D117E" w:rsidP="006D117E">
            <w:pPr>
              <w:rPr>
                <w:lang w:val="bs"/>
              </w:rPr>
            </w:pPr>
            <w:r w:rsidRPr="006D117E">
              <w:rPr>
                <w:lang w:val="bs"/>
              </w:rPr>
              <w:t>STEM područje</w:t>
            </w:r>
          </w:p>
        </w:tc>
        <w:tc>
          <w:tcPr>
            <w:tcW w:w="610" w:type="pct"/>
          </w:tcPr>
          <w:p w14:paraId="06A4CA7C" w14:textId="77777777" w:rsidR="006D117E" w:rsidRPr="006D117E" w:rsidRDefault="006D117E" w:rsidP="006D117E">
            <w:pPr>
              <w:rPr>
                <w:lang w:val="bs"/>
              </w:rPr>
            </w:pPr>
            <w:r w:rsidRPr="006D117E">
              <w:rPr>
                <w:lang w:val="bs"/>
              </w:rPr>
              <w:t>33</w:t>
            </w:r>
          </w:p>
        </w:tc>
        <w:tc>
          <w:tcPr>
            <w:tcW w:w="611" w:type="pct"/>
          </w:tcPr>
          <w:p w14:paraId="7AF8AAF8" w14:textId="77777777" w:rsidR="006D117E" w:rsidRPr="006D117E" w:rsidRDefault="006D117E" w:rsidP="006D117E">
            <w:pPr>
              <w:rPr>
                <w:lang w:val="bs"/>
              </w:rPr>
            </w:pPr>
            <w:r w:rsidRPr="006D117E">
              <w:rPr>
                <w:lang w:val="bs"/>
              </w:rPr>
              <w:t>2</w:t>
            </w:r>
          </w:p>
        </w:tc>
        <w:tc>
          <w:tcPr>
            <w:tcW w:w="548" w:type="pct"/>
          </w:tcPr>
          <w:p w14:paraId="30C3E794" w14:textId="77777777" w:rsidR="006D117E" w:rsidRPr="006D117E" w:rsidRDefault="006D117E" w:rsidP="006D117E">
            <w:pPr>
              <w:rPr>
                <w:lang w:val="bs"/>
              </w:rPr>
            </w:pPr>
            <w:r w:rsidRPr="006D117E">
              <w:rPr>
                <w:lang w:val="bs"/>
              </w:rPr>
              <w:t>24</w:t>
            </w:r>
          </w:p>
        </w:tc>
      </w:tr>
      <w:tr w:rsidR="006D117E" w:rsidRPr="006D117E" w14:paraId="28539203" w14:textId="77777777" w:rsidTr="00233B24">
        <w:trPr>
          <w:trHeight w:val="301"/>
        </w:trPr>
        <w:tc>
          <w:tcPr>
            <w:tcW w:w="3231" w:type="pct"/>
          </w:tcPr>
          <w:p w14:paraId="6A7D216F" w14:textId="77777777" w:rsidR="006D117E" w:rsidRPr="006D117E" w:rsidRDefault="006D117E" w:rsidP="006D117E">
            <w:pPr>
              <w:rPr>
                <w:lang w:val="bs"/>
              </w:rPr>
            </w:pPr>
            <w:r w:rsidRPr="006D117E">
              <w:rPr>
                <w:lang w:val="bs"/>
              </w:rPr>
              <w:t>društveno-humanistička područja</w:t>
            </w:r>
          </w:p>
        </w:tc>
        <w:tc>
          <w:tcPr>
            <w:tcW w:w="610" w:type="pct"/>
          </w:tcPr>
          <w:p w14:paraId="5D787C4F" w14:textId="77777777" w:rsidR="006D117E" w:rsidRPr="006D117E" w:rsidRDefault="006D117E" w:rsidP="006D117E">
            <w:pPr>
              <w:rPr>
                <w:lang w:val="bs"/>
              </w:rPr>
            </w:pPr>
            <w:r w:rsidRPr="006D117E">
              <w:rPr>
                <w:lang w:val="bs"/>
              </w:rPr>
              <w:t>6</w:t>
            </w:r>
          </w:p>
        </w:tc>
        <w:tc>
          <w:tcPr>
            <w:tcW w:w="611" w:type="pct"/>
          </w:tcPr>
          <w:p w14:paraId="7245CC7F" w14:textId="77777777" w:rsidR="006D117E" w:rsidRPr="006D117E" w:rsidRDefault="006D117E" w:rsidP="006D117E">
            <w:pPr>
              <w:rPr>
                <w:lang w:val="bs"/>
              </w:rPr>
            </w:pPr>
            <w:r w:rsidRPr="006D117E">
              <w:rPr>
                <w:lang w:val="bs"/>
              </w:rPr>
              <w:t>0</w:t>
            </w:r>
          </w:p>
        </w:tc>
        <w:tc>
          <w:tcPr>
            <w:tcW w:w="548" w:type="pct"/>
          </w:tcPr>
          <w:p w14:paraId="7AC31041" w14:textId="77777777" w:rsidR="006D117E" w:rsidRPr="006D117E" w:rsidRDefault="006D117E" w:rsidP="006D117E">
            <w:pPr>
              <w:rPr>
                <w:lang w:val="bs"/>
              </w:rPr>
            </w:pPr>
            <w:r w:rsidRPr="006D117E">
              <w:rPr>
                <w:lang w:val="bs"/>
              </w:rPr>
              <w:t>4</w:t>
            </w:r>
          </w:p>
        </w:tc>
      </w:tr>
      <w:tr w:rsidR="006D117E" w:rsidRPr="006D117E" w14:paraId="60E9359F" w14:textId="77777777" w:rsidTr="00233B24">
        <w:trPr>
          <w:trHeight w:val="299"/>
        </w:trPr>
        <w:tc>
          <w:tcPr>
            <w:tcW w:w="3231" w:type="pct"/>
          </w:tcPr>
          <w:p w14:paraId="2915556F" w14:textId="77777777" w:rsidR="006D117E" w:rsidRPr="006D117E" w:rsidRDefault="006D117E" w:rsidP="006D117E">
            <w:pPr>
              <w:rPr>
                <w:lang w:val="bs"/>
              </w:rPr>
            </w:pPr>
            <w:r w:rsidRPr="006D117E">
              <w:rPr>
                <w:lang w:val="bs"/>
              </w:rPr>
              <w:t>umjetnost</w:t>
            </w:r>
          </w:p>
        </w:tc>
        <w:tc>
          <w:tcPr>
            <w:tcW w:w="610" w:type="pct"/>
          </w:tcPr>
          <w:p w14:paraId="327B3CB8" w14:textId="77777777" w:rsidR="006D117E" w:rsidRPr="006D117E" w:rsidRDefault="006D117E" w:rsidP="006D117E">
            <w:pPr>
              <w:rPr>
                <w:lang w:val="bs"/>
              </w:rPr>
            </w:pPr>
            <w:r w:rsidRPr="006D117E">
              <w:rPr>
                <w:lang w:val="bs"/>
              </w:rPr>
              <w:t>4</w:t>
            </w:r>
          </w:p>
        </w:tc>
        <w:tc>
          <w:tcPr>
            <w:tcW w:w="611" w:type="pct"/>
          </w:tcPr>
          <w:p w14:paraId="3CD53DEE" w14:textId="77777777" w:rsidR="006D117E" w:rsidRPr="006D117E" w:rsidRDefault="006D117E" w:rsidP="006D117E">
            <w:pPr>
              <w:rPr>
                <w:lang w:val="bs"/>
              </w:rPr>
            </w:pPr>
            <w:r w:rsidRPr="006D117E">
              <w:rPr>
                <w:lang w:val="bs"/>
              </w:rPr>
              <w:t>0</w:t>
            </w:r>
          </w:p>
        </w:tc>
        <w:tc>
          <w:tcPr>
            <w:tcW w:w="548" w:type="pct"/>
          </w:tcPr>
          <w:p w14:paraId="5BB59A31" w14:textId="77777777" w:rsidR="006D117E" w:rsidRPr="006D117E" w:rsidRDefault="006D117E" w:rsidP="006D117E">
            <w:pPr>
              <w:rPr>
                <w:lang w:val="bs"/>
              </w:rPr>
            </w:pPr>
            <w:r w:rsidRPr="006D117E">
              <w:rPr>
                <w:lang w:val="bs"/>
              </w:rPr>
              <w:t>2</w:t>
            </w:r>
          </w:p>
        </w:tc>
      </w:tr>
    </w:tbl>
    <w:p w14:paraId="6DBAFD36" w14:textId="2F31CA05" w:rsidR="006D117E" w:rsidRDefault="006D117E" w:rsidP="00471AC3">
      <w:pPr>
        <w:pStyle w:val="Izvor"/>
        <w:rPr>
          <w:i/>
          <w:color w:val="ABABAB" w:themeColor="text1" w:themeTint="A6"/>
          <w:sz w:val="16"/>
          <w:szCs w:val="16"/>
        </w:rPr>
      </w:pPr>
      <w:r w:rsidRPr="006D117E">
        <w:rPr>
          <w:i/>
          <w:color w:val="ABABAB" w:themeColor="text1" w:themeTint="A6"/>
          <w:sz w:val="16"/>
          <w:szCs w:val="16"/>
        </w:rPr>
        <w:t>Izvor: Upravni odjel za obrazovanje, Krapinsko-zagorska županija, lipanj 2021. godine</w:t>
      </w:r>
    </w:p>
    <w:p w14:paraId="241FDBBD" w14:textId="77777777" w:rsidR="00471AC3" w:rsidRPr="006D117E" w:rsidRDefault="00471AC3" w:rsidP="00471AC3">
      <w:pPr>
        <w:pStyle w:val="Izvor"/>
        <w:rPr>
          <w:i/>
          <w:color w:val="ABABAB" w:themeColor="text1" w:themeTint="A6"/>
          <w:sz w:val="16"/>
          <w:szCs w:val="16"/>
        </w:rPr>
      </w:pPr>
    </w:p>
    <w:p w14:paraId="3990E266" w14:textId="77777777" w:rsidR="006D117E" w:rsidRPr="006D117E" w:rsidRDefault="006D117E" w:rsidP="006D117E">
      <w:r w:rsidRPr="006D117E">
        <w:t>Formalni sustav obrazovanja ne odgovara potrebama modernog digitalnog društva i razvoja poduzetništva budućnosti, a ograničeni financijski kapaciteti države kao prvog financijera obrazovanja te županije kao osnivača doprinose nemogućnosti jačeg razvoja kompetencija odgojno-obrazovnih djelatnika u STEAM području koji bi bili generatori mini STEAM revolucije na ovom području.</w:t>
      </w:r>
    </w:p>
    <w:p w14:paraId="064A3E8C" w14:textId="77777777" w:rsidR="006D117E" w:rsidRPr="006D117E" w:rsidRDefault="006D117E" w:rsidP="006D117E">
      <w:r w:rsidRPr="006D117E">
        <w:t>Krapinsko-zagorska županija s partnerima u posljednje četiri godine priprema projekt Znanstveno-edukativno zabavnog centra Zagorje (ZEZ centar Zagorje) u kojem se, posebno osmišljenim sadržajima i prezentacijom istih, javnosti približava znanost, odnosno omogućuje vizualizacija hrvatskih i svjetskih dostignuća. Prostor ZEZ-a smješten je u Donjoj Stubici te se planira obnoviti dvorac Golubovec kao zaštićeno kulturno dobro unutar kojeg se planira uspostaviti interaktivan muzejski prostor uz multifunkcionalni prostor za centar za poticanje darovitosti i jačanje STE(a)M vještina djece, mladih i odraslih. Drugu funkcionalnu cjelinu čini znanstveni park s igralištem i rekonstruiranom konjušnicom koja će imati funkciju ulaznog prostora te co-working prostora za poticanje poduzetništva mladih. Treća funkcionalna cjelina obuhvaća prilazni put i prostor parkirališta za posjetitelje. Projektom će se stvoriti baza za razvoj STEM vještina kod obje ciljne skupine: učitelj/odgojno-obrazovni radnik te učenik. Uspostavljen regionalni znanstveni centar imat će misiju uspostaviti odnos između znanosti, tehnologije i društva te tu istu misiju prezentirati kroz multidimenzionalni pristup o tome kako će znanost izgledati u budućnosti, radije nego kako je izgledala u prošlosti. Centar će biti otvoren za sve zainteresirane posjetitelje bez obzira na njihovu razinu znanja, opredjeljenje i kulturu, angažirat će dostupne multimedijske alate u službi napredne prezentacije znanosti te facilitiranja interakcije i atrakcije znanosti, umrežit će se sa sličnim organizacijama kako bi se stvorio jači društveni utjecaj i služiti kao centar za cjeloživotno obrazovanje.</w:t>
      </w:r>
    </w:p>
    <w:p w14:paraId="2B6B0046" w14:textId="77777777" w:rsidR="00A91A65" w:rsidRDefault="00A91A65" w:rsidP="00020747"/>
    <w:p w14:paraId="2551DC10" w14:textId="1BFF572B" w:rsidR="008878A0" w:rsidRDefault="00C47264" w:rsidP="0052192B">
      <w:pPr>
        <w:pStyle w:val="Naslov2"/>
      </w:pPr>
      <w:bookmarkStart w:id="120" w:name="_Hlk65578654"/>
      <w:bookmarkStart w:id="121" w:name="_Toc85181314"/>
      <w:r>
        <w:t>8</w:t>
      </w:r>
      <w:r w:rsidR="008878A0">
        <w:t>.</w:t>
      </w:r>
      <w:r w:rsidR="006D117E">
        <w:t>7</w:t>
      </w:r>
      <w:r w:rsidR="008878A0">
        <w:t>. Obrazovanje odraslih</w:t>
      </w:r>
      <w:bookmarkEnd w:id="121"/>
    </w:p>
    <w:bookmarkEnd w:id="120"/>
    <w:p w14:paraId="158A064A" w14:textId="77777777" w:rsidR="00A91A65" w:rsidRPr="00A91A65" w:rsidRDefault="00A91A65" w:rsidP="00A91A65"/>
    <w:p w14:paraId="47CC2D76" w14:textId="5E1CB8AE" w:rsidR="00A91A65" w:rsidRDefault="008878A0" w:rsidP="00941871">
      <w:r>
        <w:t>U Krapinsko-zagorskoj županiji u području obrazovanja i prekvalifikacije odraslih koje se provodi kroz formalne i neformalne oblike djeluje više institucija. Osim srednjih škola koje imaju odobrenje za izvođenje programa obrazovanja odraslih (Srednja škola Bedekovčina, Srednja škola Konjščina, Srednja škola Oroslavje, te Škola za umjetnost, dizajn, grafiku i odjeću Zabok), verificirane programe obrazovanja odraslih provode pučka otvorena učilišta u Krapini, Zaboku i Donjoj Stubici. Pučka otvorena učilišta provode velik broj programa osposobljavanja odobrenih od strane Ministarstva znanosti i obrazovanja koji se upisuju u matičnu evidenciju Hrvatskog zavoda za mirovinsko osiguranje. Popis programa osposobljavanja za rad navedeni su u nastavku.</w:t>
      </w:r>
    </w:p>
    <w:p w14:paraId="5C8301D8" w14:textId="0B2EBE97" w:rsidR="00E20BBD" w:rsidRPr="00E20BBD" w:rsidRDefault="008878A0" w:rsidP="003E3F3C">
      <w:pPr>
        <w:pStyle w:val="Opisslike"/>
      </w:pPr>
      <w:r>
        <w:lastRenderedPageBreak/>
        <w:t>Tablica</w:t>
      </w:r>
      <w:r w:rsidR="005A7EEC">
        <w:t xml:space="preserve"> </w:t>
      </w:r>
      <w:r w:rsidR="000D5E3F">
        <w:rPr>
          <w:noProof/>
        </w:rPr>
        <w:t>60</w:t>
      </w:r>
      <w:r w:rsidR="006F533F">
        <w:rPr>
          <w:noProof/>
        </w:rPr>
        <w:t>.</w:t>
      </w:r>
      <w:r>
        <w:t xml:space="preserve"> Programi osposobljavanja pučkih otvorenih učilišta na području Krapinsko-zagorske županije </w:t>
      </w:r>
    </w:p>
    <w:tbl>
      <w:tblPr>
        <w:tblW w:w="0" w:type="auto"/>
        <w:tblLook w:val="04A0" w:firstRow="1" w:lastRow="0" w:firstColumn="1" w:lastColumn="0" w:noHBand="0" w:noVBand="1"/>
      </w:tblPr>
      <w:tblGrid>
        <w:gridCol w:w="3083"/>
        <w:gridCol w:w="3084"/>
        <w:gridCol w:w="3084"/>
      </w:tblGrid>
      <w:tr w:rsidR="008878A0" w14:paraId="2E9EA140" w14:textId="77777777" w:rsidTr="005F134F">
        <w:trPr>
          <w:trHeight w:val="435"/>
          <w:tblHeader/>
        </w:trPr>
        <w:tc>
          <w:tcPr>
            <w:tcW w:w="3083" w:type="dxa"/>
            <w:tcBorders>
              <w:left w:val="single" w:sz="8" w:space="0" w:color="D2232A"/>
            </w:tcBorders>
            <w:shd w:val="clear" w:color="auto" w:fill="D2232A"/>
            <w:vAlign w:val="center"/>
            <w:hideMark/>
          </w:tcPr>
          <w:p w14:paraId="2F7E1995" w14:textId="77777777" w:rsidR="008878A0" w:rsidRPr="00793971" w:rsidRDefault="008878A0" w:rsidP="00CB6046">
            <w:pPr>
              <w:spacing w:after="0"/>
              <w:jc w:val="center"/>
              <w:rPr>
                <w:color w:val="FFFFFF" w:themeColor="background1"/>
                <w:sz w:val="22"/>
                <w:szCs w:val="22"/>
              </w:rPr>
            </w:pPr>
            <w:r w:rsidRPr="00793971">
              <w:rPr>
                <w:color w:val="FFFFFF" w:themeColor="background1"/>
              </w:rPr>
              <w:t>Pučko otvoreno učilište Krapina</w:t>
            </w:r>
          </w:p>
        </w:tc>
        <w:tc>
          <w:tcPr>
            <w:tcW w:w="3084" w:type="dxa"/>
            <w:shd w:val="clear" w:color="auto" w:fill="D2232A"/>
            <w:vAlign w:val="center"/>
            <w:hideMark/>
          </w:tcPr>
          <w:p w14:paraId="13A8266C" w14:textId="77777777" w:rsidR="008878A0" w:rsidRPr="00793971" w:rsidRDefault="008878A0" w:rsidP="00CB6046">
            <w:pPr>
              <w:spacing w:after="0"/>
              <w:jc w:val="center"/>
              <w:rPr>
                <w:color w:val="FFFFFF" w:themeColor="background1"/>
              </w:rPr>
            </w:pPr>
            <w:r w:rsidRPr="00793971">
              <w:rPr>
                <w:color w:val="FFFFFF" w:themeColor="background1"/>
              </w:rPr>
              <w:t>Pučko otvoreno učilište Zabok</w:t>
            </w:r>
          </w:p>
        </w:tc>
        <w:tc>
          <w:tcPr>
            <w:tcW w:w="3084" w:type="dxa"/>
            <w:tcBorders>
              <w:right w:val="single" w:sz="8" w:space="0" w:color="D2232A"/>
            </w:tcBorders>
            <w:shd w:val="clear" w:color="auto" w:fill="D2232A"/>
            <w:vAlign w:val="center"/>
            <w:hideMark/>
          </w:tcPr>
          <w:p w14:paraId="34D6C70A" w14:textId="77777777" w:rsidR="008878A0" w:rsidRPr="00793971" w:rsidRDefault="008878A0" w:rsidP="00CB6046">
            <w:pPr>
              <w:spacing w:after="0"/>
              <w:jc w:val="center"/>
              <w:rPr>
                <w:color w:val="FFFFFF" w:themeColor="background1"/>
              </w:rPr>
            </w:pPr>
            <w:r w:rsidRPr="00793971">
              <w:rPr>
                <w:color w:val="FFFFFF" w:themeColor="background1"/>
              </w:rPr>
              <w:t>Pučko otvoreno učilište Donja Stubica</w:t>
            </w:r>
          </w:p>
        </w:tc>
      </w:tr>
      <w:tr w:rsidR="008878A0" w14:paraId="30A9EBF8" w14:textId="77777777" w:rsidTr="005F134F">
        <w:trPr>
          <w:trHeight w:val="5591"/>
        </w:trPr>
        <w:tc>
          <w:tcPr>
            <w:tcW w:w="3083" w:type="dxa"/>
            <w:tcBorders>
              <w:left w:val="single" w:sz="8" w:space="0" w:color="D2232A"/>
              <w:right w:val="single" w:sz="8" w:space="0" w:color="D2232A"/>
            </w:tcBorders>
            <w:hideMark/>
          </w:tcPr>
          <w:p w14:paraId="169CED31"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samostalni knjigovođa</w:t>
            </w:r>
          </w:p>
          <w:p w14:paraId="1D443B95"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računalni operater</w:t>
            </w:r>
          </w:p>
          <w:p w14:paraId="5DAE813E"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vinogradar-podrumar</w:t>
            </w:r>
          </w:p>
          <w:p w14:paraId="0AA1179F"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pčelar</w:t>
            </w:r>
          </w:p>
          <w:p w14:paraId="6113D80C"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pomoćnik u nastavu u radu s učenicima s poteškoćama</w:t>
            </w:r>
          </w:p>
          <w:p w14:paraId="5154216B"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destiler</w:t>
            </w:r>
          </w:p>
          <w:p w14:paraId="2392F6A4"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voćar</w:t>
            </w:r>
          </w:p>
          <w:p w14:paraId="580CB337"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knjigovođa za OPG</w:t>
            </w:r>
          </w:p>
          <w:p w14:paraId="7A442350"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proizvođač poljoprivrednih kultura na ekološki način</w:t>
            </w:r>
          </w:p>
          <w:p w14:paraId="230BA834"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rukovatelj motornom pilom</w:t>
            </w:r>
          </w:p>
          <w:p w14:paraId="11409B59"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rukovatelj trimerom</w:t>
            </w:r>
          </w:p>
          <w:p w14:paraId="7694719B"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rukovatelj motornom kosilicom</w:t>
            </w:r>
          </w:p>
          <w:p w14:paraId="37D74411" w14:textId="30936D08"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gerontodomaćin</w:t>
            </w:r>
            <w:r w:rsidR="00B81839" w:rsidRPr="005F134F">
              <w:rPr>
                <w:sz w:val="16"/>
                <w:szCs w:val="16"/>
              </w:rPr>
              <w:t>/ca</w:t>
            </w:r>
          </w:p>
          <w:p w14:paraId="585B0449" w14:textId="77777777" w:rsidR="008878A0" w:rsidRPr="005F134F" w:rsidRDefault="008878A0" w:rsidP="002F13CF">
            <w:pPr>
              <w:pStyle w:val="Odlomakpopisa"/>
              <w:numPr>
                <w:ilvl w:val="0"/>
                <w:numId w:val="4"/>
              </w:numPr>
              <w:spacing w:after="0" w:line="276" w:lineRule="auto"/>
              <w:ind w:left="447"/>
              <w:jc w:val="left"/>
              <w:rPr>
                <w:sz w:val="16"/>
                <w:szCs w:val="16"/>
              </w:rPr>
            </w:pPr>
            <w:r w:rsidRPr="005F134F">
              <w:rPr>
                <w:sz w:val="16"/>
                <w:szCs w:val="16"/>
              </w:rPr>
              <w:t>protupožarna zaštita</w:t>
            </w:r>
          </w:p>
          <w:p w14:paraId="36C042A1" w14:textId="184BE720" w:rsidR="008878A0" w:rsidRPr="005F134F" w:rsidRDefault="006F533F" w:rsidP="002F13CF">
            <w:pPr>
              <w:pStyle w:val="Odlomakpopisa"/>
              <w:numPr>
                <w:ilvl w:val="0"/>
                <w:numId w:val="4"/>
              </w:numPr>
              <w:spacing w:after="0" w:line="276" w:lineRule="auto"/>
              <w:ind w:left="447"/>
              <w:jc w:val="left"/>
              <w:rPr>
                <w:sz w:val="16"/>
                <w:szCs w:val="16"/>
              </w:rPr>
            </w:pPr>
            <w:r w:rsidRPr="005F134F">
              <w:rPr>
                <w:sz w:val="16"/>
                <w:szCs w:val="16"/>
              </w:rPr>
              <w:t>njegovateljica starijih i nemoćnih osoba</w:t>
            </w:r>
          </w:p>
        </w:tc>
        <w:tc>
          <w:tcPr>
            <w:tcW w:w="3084" w:type="dxa"/>
            <w:tcBorders>
              <w:left w:val="single" w:sz="8" w:space="0" w:color="D2232A"/>
              <w:right w:val="single" w:sz="8" w:space="0" w:color="D2232A"/>
            </w:tcBorders>
            <w:hideMark/>
          </w:tcPr>
          <w:p w14:paraId="08C8F9BA" w14:textId="77777777" w:rsidR="008878A0" w:rsidRPr="005F134F" w:rsidRDefault="008878A0" w:rsidP="002F13CF">
            <w:pPr>
              <w:pStyle w:val="Odlomakpopisa"/>
              <w:numPr>
                <w:ilvl w:val="0"/>
                <w:numId w:val="5"/>
              </w:numPr>
              <w:spacing w:after="0" w:line="276" w:lineRule="auto"/>
              <w:ind w:left="410"/>
              <w:jc w:val="left"/>
              <w:rPr>
                <w:sz w:val="16"/>
                <w:szCs w:val="16"/>
              </w:rPr>
            </w:pPr>
            <w:r w:rsidRPr="005F134F">
              <w:rPr>
                <w:sz w:val="16"/>
                <w:szCs w:val="16"/>
              </w:rPr>
              <w:t>pomoćni kuhar</w:t>
            </w:r>
          </w:p>
          <w:p w14:paraId="212102E1" w14:textId="77777777" w:rsidR="008878A0" w:rsidRPr="005F134F" w:rsidRDefault="008878A0" w:rsidP="002F13CF">
            <w:pPr>
              <w:pStyle w:val="Odlomakpopisa"/>
              <w:numPr>
                <w:ilvl w:val="0"/>
                <w:numId w:val="5"/>
              </w:numPr>
              <w:spacing w:after="0" w:line="276" w:lineRule="auto"/>
              <w:ind w:left="410"/>
              <w:jc w:val="left"/>
              <w:rPr>
                <w:sz w:val="16"/>
                <w:szCs w:val="16"/>
              </w:rPr>
            </w:pPr>
            <w:r w:rsidRPr="005F134F">
              <w:rPr>
                <w:sz w:val="16"/>
                <w:szCs w:val="16"/>
              </w:rPr>
              <w:t>pomoćni konobar</w:t>
            </w:r>
          </w:p>
          <w:p w14:paraId="0A782EF5" w14:textId="77777777" w:rsidR="008878A0" w:rsidRPr="005F134F" w:rsidRDefault="008878A0" w:rsidP="002F13CF">
            <w:pPr>
              <w:pStyle w:val="Odlomakpopisa"/>
              <w:numPr>
                <w:ilvl w:val="0"/>
                <w:numId w:val="5"/>
              </w:numPr>
              <w:spacing w:after="0" w:line="276" w:lineRule="auto"/>
              <w:ind w:left="410"/>
              <w:jc w:val="left"/>
              <w:rPr>
                <w:sz w:val="16"/>
                <w:szCs w:val="16"/>
              </w:rPr>
            </w:pPr>
            <w:r w:rsidRPr="005F134F">
              <w:rPr>
                <w:sz w:val="16"/>
                <w:szCs w:val="16"/>
              </w:rPr>
              <w:t>sobarica</w:t>
            </w:r>
          </w:p>
          <w:p w14:paraId="3FAE2FD7" w14:textId="77777777" w:rsidR="008878A0" w:rsidRPr="005F134F" w:rsidRDefault="008878A0" w:rsidP="002F13CF">
            <w:pPr>
              <w:pStyle w:val="Odlomakpopisa"/>
              <w:numPr>
                <w:ilvl w:val="0"/>
                <w:numId w:val="5"/>
              </w:numPr>
              <w:spacing w:after="0" w:line="276" w:lineRule="auto"/>
              <w:ind w:left="410"/>
              <w:jc w:val="left"/>
              <w:rPr>
                <w:sz w:val="16"/>
                <w:szCs w:val="16"/>
              </w:rPr>
            </w:pPr>
            <w:r w:rsidRPr="005F134F">
              <w:rPr>
                <w:sz w:val="16"/>
                <w:szCs w:val="16"/>
              </w:rPr>
              <w:t>pomoćni knjigovođa</w:t>
            </w:r>
          </w:p>
          <w:p w14:paraId="186E25D9" w14:textId="77777777" w:rsidR="008878A0" w:rsidRPr="005F134F" w:rsidRDefault="008878A0" w:rsidP="002F13CF">
            <w:pPr>
              <w:pStyle w:val="Odlomakpopisa"/>
              <w:numPr>
                <w:ilvl w:val="0"/>
                <w:numId w:val="5"/>
              </w:numPr>
              <w:spacing w:after="0" w:line="276" w:lineRule="auto"/>
              <w:ind w:left="410"/>
              <w:jc w:val="left"/>
              <w:rPr>
                <w:sz w:val="16"/>
                <w:szCs w:val="16"/>
              </w:rPr>
            </w:pPr>
            <w:r w:rsidRPr="005F134F">
              <w:rPr>
                <w:sz w:val="16"/>
                <w:szCs w:val="16"/>
              </w:rPr>
              <w:t>vinar i podrumar</w:t>
            </w:r>
          </w:p>
          <w:p w14:paraId="54AEA808" w14:textId="77777777" w:rsidR="008878A0" w:rsidRPr="005F134F" w:rsidRDefault="008878A0" w:rsidP="002F13CF">
            <w:pPr>
              <w:pStyle w:val="Odlomakpopisa"/>
              <w:numPr>
                <w:ilvl w:val="0"/>
                <w:numId w:val="5"/>
              </w:numPr>
              <w:spacing w:after="0" w:line="276" w:lineRule="auto"/>
              <w:ind w:left="410"/>
              <w:jc w:val="left"/>
              <w:rPr>
                <w:sz w:val="16"/>
                <w:szCs w:val="16"/>
              </w:rPr>
            </w:pPr>
            <w:r w:rsidRPr="005F134F">
              <w:rPr>
                <w:sz w:val="16"/>
                <w:szCs w:val="16"/>
              </w:rPr>
              <w:t>kompjuterski daktilograf</w:t>
            </w:r>
          </w:p>
          <w:p w14:paraId="4B712F92" w14:textId="77777777" w:rsidR="008878A0" w:rsidRPr="005F134F" w:rsidRDefault="008878A0" w:rsidP="002F13CF">
            <w:pPr>
              <w:pStyle w:val="Odlomakpopisa"/>
              <w:numPr>
                <w:ilvl w:val="0"/>
                <w:numId w:val="5"/>
              </w:numPr>
              <w:spacing w:after="0" w:line="276" w:lineRule="auto"/>
              <w:ind w:left="410"/>
              <w:jc w:val="left"/>
              <w:rPr>
                <w:sz w:val="16"/>
                <w:szCs w:val="16"/>
              </w:rPr>
            </w:pPr>
            <w:r w:rsidRPr="005F134F">
              <w:rPr>
                <w:sz w:val="16"/>
                <w:szCs w:val="16"/>
              </w:rPr>
              <w:t xml:space="preserve">kratki tečajevi iz informatike </w:t>
            </w:r>
          </w:p>
          <w:p w14:paraId="503AC6C2" w14:textId="4389D161" w:rsidR="008878A0" w:rsidRPr="005F134F" w:rsidRDefault="008878A0" w:rsidP="002F13CF">
            <w:pPr>
              <w:pStyle w:val="Odlomakpopisa"/>
              <w:numPr>
                <w:ilvl w:val="0"/>
                <w:numId w:val="5"/>
              </w:numPr>
              <w:spacing w:after="0" w:line="276" w:lineRule="auto"/>
              <w:ind w:left="410"/>
              <w:jc w:val="left"/>
              <w:rPr>
                <w:sz w:val="16"/>
                <w:szCs w:val="16"/>
              </w:rPr>
            </w:pPr>
            <w:r w:rsidRPr="005F134F">
              <w:rPr>
                <w:sz w:val="16"/>
                <w:szCs w:val="16"/>
              </w:rPr>
              <w:t>gerontodomaći</w:t>
            </w:r>
            <w:r w:rsidR="00B81839" w:rsidRPr="005F134F">
              <w:rPr>
                <w:sz w:val="16"/>
                <w:szCs w:val="16"/>
              </w:rPr>
              <w:t>n/ca</w:t>
            </w:r>
          </w:p>
          <w:p w14:paraId="79E7EEB1" w14:textId="77777777" w:rsidR="008878A0" w:rsidRPr="005F134F" w:rsidRDefault="008878A0" w:rsidP="002F13CF">
            <w:pPr>
              <w:pStyle w:val="Odlomakpopisa"/>
              <w:numPr>
                <w:ilvl w:val="0"/>
                <w:numId w:val="5"/>
              </w:numPr>
              <w:spacing w:after="0" w:line="276" w:lineRule="auto"/>
              <w:ind w:left="410"/>
              <w:jc w:val="left"/>
              <w:rPr>
                <w:sz w:val="16"/>
                <w:szCs w:val="16"/>
              </w:rPr>
            </w:pPr>
            <w:r w:rsidRPr="005F134F">
              <w:rPr>
                <w:sz w:val="16"/>
                <w:szCs w:val="16"/>
              </w:rPr>
              <w:t>njegovateljica</w:t>
            </w:r>
          </w:p>
        </w:tc>
        <w:tc>
          <w:tcPr>
            <w:tcW w:w="3084" w:type="dxa"/>
            <w:tcBorders>
              <w:left w:val="single" w:sz="8" w:space="0" w:color="D2232A"/>
              <w:right w:val="single" w:sz="8" w:space="0" w:color="D2232A"/>
            </w:tcBorders>
            <w:hideMark/>
          </w:tcPr>
          <w:p w14:paraId="51BD03EC"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 xml:space="preserve">računalni operator </w:t>
            </w:r>
          </w:p>
          <w:p w14:paraId="5B4C45E1"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samostalni knjigovođa</w:t>
            </w:r>
          </w:p>
          <w:p w14:paraId="1821BE14"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obavljanje knjigovodstvenih i računovodstvenih poslova</w:t>
            </w:r>
          </w:p>
          <w:p w14:paraId="6185C9F9"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poslovni tajnik</w:t>
            </w:r>
          </w:p>
          <w:p w14:paraId="64A244F3"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računalni daktilograf</w:t>
            </w:r>
          </w:p>
          <w:p w14:paraId="403C02E8"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dadilja</w:t>
            </w:r>
            <w:r w:rsidRPr="005F134F">
              <w:rPr>
                <w:sz w:val="16"/>
                <w:szCs w:val="16"/>
              </w:rPr>
              <w:tab/>
            </w:r>
          </w:p>
          <w:p w14:paraId="594855F2"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njegovatelj starijih i nemoćnih osoba</w:t>
            </w:r>
          </w:p>
          <w:p w14:paraId="471612AF"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vinogradar-podrumar</w:t>
            </w:r>
          </w:p>
          <w:p w14:paraId="34D7A163"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voćar</w:t>
            </w:r>
          </w:p>
          <w:p w14:paraId="4F571653"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mljekar-sirar</w:t>
            </w:r>
          </w:p>
          <w:p w14:paraId="5B00534E"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pčelar</w:t>
            </w:r>
          </w:p>
          <w:p w14:paraId="3688B96B"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maslinar</w:t>
            </w:r>
          </w:p>
          <w:p w14:paraId="363E0ECB"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 xml:space="preserve">mesar </w:t>
            </w:r>
          </w:p>
          <w:p w14:paraId="05CA622F"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slastičar</w:t>
            </w:r>
          </w:p>
          <w:p w14:paraId="40254FC9"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proizvođač humusa</w:t>
            </w:r>
          </w:p>
          <w:p w14:paraId="72729A06"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proizvođač poljoprivrednih kultura na ekološki način</w:t>
            </w:r>
          </w:p>
          <w:p w14:paraId="318BC760"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pekar</w:t>
            </w:r>
          </w:p>
          <w:p w14:paraId="5A6C76A1"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konobar</w:t>
            </w:r>
          </w:p>
          <w:p w14:paraId="0E0FE6A4"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kuhar</w:t>
            </w:r>
          </w:p>
          <w:p w14:paraId="130FE77D" w14:textId="77777777"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sobar</w:t>
            </w:r>
          </w:p>
          <w:p w14:paraId="64306BF1" w14:textId="10A0EA41" w:rsidR="008878A0" w:rsidRPr="005F134F" w:rsidRDefault="008878A0" w:rsidP="002F13CF">
            <w:pPr>
              <w:pStyle w:val="Odlomakpopisa"/>
              <w:numPr>
                <w:ilvl w:val="0"/>
                <w:numId w:val="6"/>
              </w:numPr>
              <w:spacing w:after="0" w:line="276" w:lineRule="auto"/>
              <w:ind w:left="372"/>
              <w:jc w:val="left"/>
              <w:rPr>
                <w:sz w:val="16"/>
                <w:szCs w:val="16"/>
              </w:rPr>
            </w:pPr>
            <w:r w:rsidRPr="005F134F">
              <w:rPr>
                <w:sz w:val="16"/>
                <w:szCs w:val="16"/>
              </w:rPr>
              <w:t>gerontodomaćin</w:t>
            </w:r>
            <w:r w:rsidR="000F38B1" w:rsidRPr="005F134F">
              <w:rPr>
                <w:sz w:val="16"/>
                <w:szCs w:val="16"/>
              </w:rPr>
              <w:t>/ca</w:t>
            </w:r>
          </w:p>
        </w:tc>
      </w:tr>
    </w:tbl>
    <w:p w14:paraId="6648D5E6" w14:textId="231BF4C9" w:rsidR="008878A0" w:rsidRPr="005F134F" w:rsidRDefault="008878A0" w:rsidP="003C2276">
      <w:pPr>
        <w:pStyle w:val="Izvor"/>
        <w:rPr>
          <w:i/>
          <w:color w:val="ABABAB" w:themeColor="text1" w:themeTint="A6"/>
          <w:sz w:val="16"/>
          <w:szCs w:val="16"/>
        </w:rPr>
      </w:pPr>
      <w:r w:rsidRPr="005F134F">
        <w:rPr>
          <w:i/>
          <w:color w:val="ABABAB" w:themeColor="text1" w:themeTint="A6"/>
          <w:sz w:val="16"/>
          <w:szCs w:val="16"/>
        </w:rPr>
        <w:t xml:space="preserve">Izvor: </w:t>
      </w:r>
      <w:r w:rsidR="008D41EE" w:rsidRPr="005F134F">
        <w:rPr>
          <w:i/>
          <w:color w:val="ABABAB" w:themeColor="text1" w:themeTint="A6"/>
          <w:sz w:val="16"/>
          <w:szCs w:val="16"/>
        </w:rPr>
        <w:t xml:space="preserve">POU </w:t>
      </w:r>
      <w:r w:rsidRPr="005F134F">
        <w:rPr>
          <w:i/>
          <w:color w:val="ABABAB" w:themeColor="text1" w:themeTint="A6"/>
          <w:sz w:val="16"/>
          <w:szCs w:val="16"/>
        </w:rPr>
        <w:t xml:space="preserve">Krapina </w:t>
      </w:r>
      <w:r w:rsidR="006F533F" w:rsidRPr="005F134F">
        <w:rPr>
          <w:i/>
          <w:color w:val="ABABAB" w:themeColor="text1" w:themeTint="A6"/>
          <w:sz w:val="16"/>
          <w:szCs w:val="16"/>
        </w:rPr>
        <w:t>(https://krapina.net/obrazovanje/osposobljavanja/</w:t>
      </w:r>
      <w:r w:rsidRPr="005F134F">
        <w:rPr>
          <w:i/>
          <w:color w:val="ABABAB" w:themeColor="text1" w:themeTint="A6"/>
          <w:sz w:val="16"/>
          <w:szCs w:val="16"/>
        </w:rPr>
        <w:t>), POU Zabok (</w:t>
      </w:r>
      <w:hyperlink r:id="rId66" w:history="1">
        <w:r w:rsidRPr="005F134F">
          <w:rPr>
            <w:i/>
            <w:color w:val="ABABAB" w:themeColor="text1" w:themeTint="A6"/>
            <w:sz w:val="16"/>
            <w:szCs w:val="16"/>
          </w:rPr>
          <w:t>http://www.pou-zabok.hr/stranica/srednje-obrazovanje</w:t>
        </w:r>
      </w:hyperlink>
      <w:r w:rsidRPr="005F134F">
        <w:rPr>
          <w:i/>
          <w:color w:val="ABABAB" w:themeColor="text1" w:themeTint="A6"/>
          <w:sz w:val="16"/>
          <w:szCs w:val="16"/>
        </w:rPr>
        <w:t>), POU Donja Stubica (</w:t>
      </w:r>
      <w:hyperlink r:id="rId67" w:history="1">
        <w:r w:rsidRPr="005F134F">
          <w:rPr>
            <w:i/>
            <w:color w:val="ABABAB" w:themeColor="text1" w:themeTint="A6"/>
            <w:sz w:val="16"/>
            <w:szCs w:val="16"/>
          </w:rPr>
          <w:t>http://www.pou-stubica.hr/defaultcont.asp?id=2&amp;n=3</w:t>
        </w:r>
      </w:hyperlink>
      <w:r w:rsidRPr="005F134F">
        <w:rPr>
          <w:i/>
          <w:color w:val="ABABAB" w:themeColor="text1" w:themeTint="A6"/>
          <w:sz w:val="16"/>
          <w:szCs w:val="16"/>
        </w:rPr>
        <w:t xml:space="preserve">); </w:t>
      </w:r>
      <w:r w:rsidR="006F533F" w:rsidRPr="005F134F">
        <w:rPr>
          <w:i/>
          <w:color w:val="ABABAB" w:themeColor="text1" w:themeTint="A6"/>
          <w:sz w:val="16"/>
          <w:szCs w:val="16"/>
        </w:rPr>
        <w:t>veljača</w:t>
      </w:r>
      <w:r w:rsidRPr="005F134F">
        <w:rPr>
          <w:i/>
          <w:color w:val="ABABAB" w:themeColor="text1" w:themeTint="A6"/>
          <w:sz w:val="16"/>
          <w:szCs w:val="16"/>
        </w:rPr>
        <w:t xml:space="preserve"> 20</w:t>
      </w:r>
      <w:r w:rsidR="006F533F" w:rsidRPr="005F134F">
        <w:rPr>
          <w:i/>
          <w:color w:val="ABABAB" w:themeColor="text1" w:themeTint="A6"/>
          <w:sz w:val="16"/>
          <w:szCs w:val="16"/>
        </w:rPr>
        <w:t>21</w:t>
      </w:r>
      <w:r w:rsidRPr="005F134F">
        <w:rPr>
          <w:i/>
          <w:color w:val="ABABAB" w:themeColor="text1" w:themeTint="A6"/>
          <w:sz w:val="16"/>
          <w:szCs w:val="16"/>
        </w:rPr>
        <w:t xml:space="preserve">. </w:t>
      </w:r>
    </w:p>
    <w:p w14:paraId="7E6AD026" w14:textId="77777777" w:rsidR="00A91A65" w:rsidRDefault="00A91A65" w:rsidP="00855D8D">
      <w:pPr>
        <w:pStyle w:val="Izvor"/>
      </w:pPr>
    </w:p>
    <w:p w14:paraId="1342C5F5" w14:textId="77777777" w:rsidR="008878A0" w:rsidRDefault="008878A0" w:rsidP="00941871">
      <w:pPr>
        <w:rPr>
          <w:sz w:val="22"/>
          <w:szCs w:val="22"/>
        </w:rPr>
      </w:pPr>
      <w:r>
        <w:t xml:space="preserve">Uz navedene programe osposobljavanja u okviru pučkih otvorenih učilišta provode se i mnogi drugi programi neformalnog obrazovanja i usavršavanja. Ponuda pučkih otvorenih učilišta uključuje tečajeve stranih jezika koje također izvode i dva privatna učilišta stranih jezika u Krapini (Škola stranih jezika Educa, VERSUS JEZICI d.o.o.). </w:t>
      </w:r>
    </w:p>
    <w:p w14:paraId="606630F3" w14:textId="6316CD17" w:rsidR="006F533F" w:rsidRPr="006F533F" w:rsidRDefault="008878A0" w:rsidP="006F533F">
      <w:r>
        <w:t>Prema podacima navedena tri učilišta, u promatranom razdoblju došlo je do pada broja polaznika programa obrazovanja odraslih – od 449  polaznika u različitih programa obrazovanja koji su svoje obrazovanje završili u šk. godini 2015./2016. do 135 polaznika u šk. godini 2018./2019.</w:t>
      </w:r>
      <w:r w:rsidR="006F533F">
        <w:t xml:space="preserve"> </w:t>
      </w:r>
      <w:r w:rsidR="006F533F" w:rsidRPr="006F533F">
        <w:t xml:space="preserve">U šk. godini 2019./2020. dolazi do osjetnog povećanja broja polaznika formalnog i neformalnog obrazovanja u odnosu na protekle godine te iznosi 528 polaznika. </w:t>
      </w:r>
    </w:p>
    <w:p w14:paraId="367E9CF0" w14:textId="77777777" w:rsidR="00793971" w:rsidRDefault="00793971" w:rsidP="00941871"/>
    <w:p w14:paraId="262A2D94" w14:textId="415D60AE" w:rsidR="00E20BBD" w:rsidRPr="00E20BBD" w:rsidRDefault="008878A0" w:rsidP="003E3F3C">
      <w:pPr>
        <w:pStyle w:val="Opisslike"/>
      </w:pPr>
      <w:r>
        <w:t xml:space="preserve">Tablica </w:t>
      </w:r>
      <w:r w:rsidR="00004F7D">
        <w:rPr>
          <w:noProof/>
        </w:rPr>
        <w:t>6</w:t>
      </w:r>
      <w:r w:rsidR="000D5E3F">
        <w:rPr>
          <w:noProof/>
        </w:rPr>
        <w:t>1</w:t>
      </w:r>
      <w:r w:rsidR="00555F83">
        <w:rPr>
          <w:noProof/>
        </w:rPr>
        <w:t>.</w:t>
      </w:r>
      <w:r>
        <w:t xml:space="preserve"> Broj polaznika programa obrazovanja </w:t>
      </w:r>
      <w:r w:rsidR="00537490">
        <w:rPr>
          <w:rStyle w:val="Referencafusnote"/>
        </w:rPr>
        <w:footnoteReference w:id="59"/>
      </w:r>
      <w:r>
        <w:t>odraslih na području Krapinsko-zagorske županije (2015.-2019.)</w:t>
      </w:r>
    </w:p>
    <w:tbl>
      <w:tblPr>
        <w:tblW w:w="9214" w:type="dxa"/>
        <w:tblLayout w:type="fixed"/>
        <w:tblLook w:val="04A0" w:firstRow="1" w:lastRow="0" w:firstColumn="1" w:lastColumn="0" w:noHBand="0" w:noVBand="1"/>
      </w:tblPr>
      <w:tblGrid>
        <w:gridCol w:w="1725"/>
        <w:gridCol w:w="1394"/>
        <w:gridCol w:w="1559"/>
        <w:gridCol w:w="1559"/>
        <w:gridCol w:w="1560"/>
        <w:gridCol w:w="1417"/>
      </w:tblGrid>
      <w:tr w:rsidR="008878A0" w14:paraId="08EE6F63" w14:textId="77777777" w:rsidTr="007B351D">
        <w:trPr>
          <w:trHeight w:val="371"/>
        </w:trPr>
        <w:tc>
          <w:tcPr>
            <w:tcW w:w="1725" w:type="dxa"/>
            <w:shd w:val="clear" w:color="auto" w:fill="D2232A"/>
            <w:noWrap/>
            <w:vAlign w:val="center"/>
            <w:hideMark/>
          </w:tcPr>
          <w:p w14:paraId="55E7C55F" w14:textId="2DAEEA84" w:rsidR="008878A0" w:rsidRPr="002F5BF7" w:rsidRDefault="008878A0" w:rsidP="00CB6046">
            <w:pPr>
              <w:spacing w:after="0" w:line="240" w:lineRule="auto"/>
              <w:jc w:val="center"/>
              <w:rPr>
                <w:rFonts w:eastAsia="Times New Roman" w:cs="Calibri"/>
                <w:color w:val="FFFFFF" w:themeColor="background1"/>
                <w:sz w:val="22"/>
                <w:szCs w:val="22"/>
                <w:lang w:eastAsia="hr-HR"/>
              </w:rPr>
            </w:pPr>
            <w:r w:rsidRPr="002F5BF7">
              <w:rPr>
                <w:rFonts w:eastAsia="Times New Roman" w:cs="Calibri"/>
                <w:color w:val="FFFFFF" w:themeColor="background1"/>
                <w:lang w:eastAsia="hr-HR"/>
              </w:rPr>
              <w:t>Ustanova</w:t>
            </w:r>
          </w:p>
        </w:tc>
        <w:tc>
          <w:tcPr>
            <w:tcW w:w="1394" w:type="dxa"/>
            <w:shd w:val="clear" w:color="auto" w:fill="D2232A"/>
            <w:vAlign w:val="center"/>
            <w:hideMark/>
          </w:tcPr>
          <w:p w14:paraId="378BA8B3" w14:textId="77777777" w:rsidR="008878A0" w:rsidRPr="002F5BF7" w:rsidRDefault="008878A0" w:rsidP="00CB6046">
            <w:pPr>
              <w:spacing w:after="0" w:line="240" w:lineRule="auto"/>
              <w:jc w:val="center"/>
              <w:rPr>
                <w:rFonts w:eastAsia="Times New Roman" w:cs="Calibri"/>
                <w:color w:val="FFFFFF" w:themeColor="background1"/>
                <w:lang w:eastAsia="hr-HR"/>
              </w:rPr>
            </w:pPr>
            <w:r w:rsidRPr="002F5BF7">
              <w:rPr>
                <w:rFonts w:eastAsia="Times New Roman" w:cs="Calibri"/>
                <w:color w:val="FFFFFF" w:themeColor="background1"/>
                <w:lang w:eastAsia="hr-HR"/>
              </w:rPr>
              <w:t xml:space="preserve">šk. godina </w:t>
            </w:r>
            <w:r w:rsidRPr="002F5BF7">
              <w:rPr>
                <w:rFonts w:eastAsia="Times New Roman" w:cs="Calibri"/>
                <w:color w:val="FFFFFF" w:themeColor="background1"/>
                <w:lang w:eastAsia="hr-HR"/>
              </w:rPr>
              <w:br/>
              <w:t>2015./2016.</w:t>
            </w:r>
          </w:p>
        </w:tc>
        <w:tc>
          <w:tcPr>
            <w:tcW w:w="1559" w:type="dxa"/>
            <w:shd w:val="clear" w:color="auto" w:fill="D2232A"/>
            <w:vAlign w:val="center"/>
            <w:hideMark/>
          </w:tcPr>
          <w:p w14:paraId="03D3B70B" w14:textId="77777777" w:rsidR="008878A0" w:rsidRPr="002F5BF7" w:rsidRDefault="008878A0" w:rsidP="00CB6046">
            <w:pPr>
              <w:spacing w:after="0" w:line="240" w:lineRule="auto"/>
              <w:jc w:val="center"/>
              <w:rPr>
                <w:rFonts w:eastAsia="Times New Roman" w:cs="Calibri"/>
                <w:color w:val="FFFFFF" w:themeColor="background1"/>
                <w:lang w:eastAsia="hr-HR"/>
              </w:rPr>
            </w:pPr>
            <w:r w:rsidRPr="002F5BF7">
              <w:rPr>
                <w:rFonts w:eastAsia="Times New Roman" w:cs="Calibri"/>
                <w:color w:val="FFFFFF" w:themeColor="background1"/>
                <w:lang w:eastAsia="hr-HR"/>
              </w:rPr>
              <w:t xml:space="preserve">šk. godina </w:t>
            </w:r>
            <w:r w:rsidRPr="002F5BF7">
              <w:rPr>
                <w:rFonts w:eastAsia="Times New Roman" w:cs="Calibri"/>
                <w:color w:val="FFFFFF" w:themeColor="background1"/>
                <w:lang w:eastAsia="hr-HR"/>
              </w:rPr>
              <w:br/>
              <w:t>2016./2017.</w:t>
            </w:r>
          </w:p>
        </w:tc>
        <w:tc>
          <w:tcPr>
            <w:tcW w:w="1559" w:type="dxa"/>
            <w:shd w:val="clear" w:color="auto" w:fill="D2232A"/>
            <w:vAlign w:val="center"/>
            <w:hideMark/>
          </w:tcPr>
          <w:p w14:paraId="6C21D691" w14:textId="77777777" w:rsidR="008878A0" w:rsidRPr="002F5BF7" w:rsidRDefault="008878A0" w:rsidP="00CB6046">
            <w:pPr>
              <w:spacing w:after="0" w:line="240" w:lineRule="auto"/>
              <w:jc w:val="center"/>
              <w:rPr>
                <w:rFonts w:eastAsia="Times New Roman" w:cs="Calibri"/>
                <w:color w:val="FFFFFF" w:themeColor="background1"/>
                <w:lang w:eastAsia="hr-HR"/>
              </w:rPr>
            </w:pPr>
            <w:r w:rsidRPr="002F5BF7">
              <w:rPr>
                <w:rFonts w:eastAsia="Times New Roman" w:cs="Calibri"/>
                <w:color w:val="FFFFFF" w:themeColor="background1"/>
                <w:lang w:eastAsia="hr-HR"/>
              </w:rPr>
              <w:t xml:space="preserve">šk. godina </w:t>
            </w:r>
            <w:r w:rsidRPr="002F5BF7">
              <w:rPr>
                <w:rFonts w:eastAsia="Times New Roman" w:cs="Calibri"/>
                <w:color w:val="FFFFFF" w:themeColor="background1"/>
                <w:lang w:eastAsia="hr-HR"/>
              </w:rPr>
              <w:br/>
              <w:t>2017./2018.</w:t>
            </w:r>
          </w:p>
        </w:tc>
        <w:tc>
          <w:tcPr>
            <w:tcW w:w="1560" w:type="dxa"/>
            <w:shd w:val="clear" w:color="auto" w:fill="D2232A"/>
            <w:vAlign w:val="center"/>
            <w:hideMark/>
          </w:tcPr>
          <w:p w14:paraId="69317401" w14:textId="77777777" w:rsidR="008878A0" w:rsidRPr="002F5BF7" w:rsidRDefault="008878A0" w:rsidP="00CB6046">
            <w:pPr>
              <w:spacing w:after="0" w:line="240" w:lineRule="auto"/>
              <w:jc w:val="center"/>
              <w:rPr>
                <w:rFonts w:eastAsia="Times New Roman" w:cs="Calibri"/>
                <w:color w:val="FFFFFF" w:themeColor="background1"/>
                <w:lang w:eastAsia="hr-HR"/>
              </w:rPr>
            </w:pPr>
            <w:r w:rsidRPr="002F5BF7">
              <w:rPr>
                <w:rFonts w:eastAsia="Times New Roman" w:cs="Calibri"/>
                <w:color w:val="FFFFFF" w:themeColor="background1"/>
                <w:lang w:eastAsia="hr-HR"/>
              </w:rPr>
              <w:t xml:space="preserve">šk. godina </w:t>
            </w:r>
            <w:r w:rsidRPr="002F5BF7">
              <w:rPr>
                <w:rFonts w:eastAsia="Times New Roman" w:cs="Calibri"/>
                <w:color w:val="FFFFFF" w:themeColor="background1"/>
                <w:lang w:eastAsia="hr-HR"/>
              </w:rPr>
              <w:br/>
              <w:t>2018./2019.</w:t>
            </w:r>
          </w:p>
        </w:tc>
        <w:tc>
          <w:tcPr>
            <w:tcW w:w="1417" w:type="dxa"/>
            <w:tcBorders>
              <w:right w:val="single" w:sz="8" w:space="0" w:color="D2232A"/>
            </w:tcBorders>
            <w:shd w:val="clear" w:color="auto" w:fill="D2232A"/>
            <w:vAlign w:val="center"/>
            <w:hideMark/>
          </w:tcPr>
          <w:p w14:paraId="293C49F8" w14:textId="77777777" w:rsidR="008878A0" w:rsidRPr="002F5BF7" w:rsidRDefault="008878A0" w:rsidP="00CB6046">
            <w:pPr>
              <w:spacing w:after="0" w:line="240" w:lineRule="auto"/>
              <w:jc w:val="center"/>
              <w:rPr>
                <w:rFonts w:eastAsia="Times New Roman" w:cs="Calibri"/>
                <w:color w:val="FFFFFF" w:themeColor="background1"/>
                <w:lang w:eastAsia="hr-HR"/>
              </w:rPr>
            </w:pPr>
            <w:r w:rsidRPr="002F5BF7">
              <w:rPr>
                <w:rFonts w:eastAsia="Times New Roman" w:cs="Calibri"/>
                <w:color w:val="FFFFFF" w:themeColor="background1"/>
                <w:lang w:eastAsia="hr-HR"/>
              </w:rPr>
              <w:t xml:space="preserve">šk. godina </w:t>
            </w:r>
            <w:r w:rsidRPr="002F5BF7">
              <w:rPr>
                <w:rFonts w:eastAsia="Times New Roman" w:cs="Calibri"/>
                <w:color w:val="FFFFFF" w:themeColor="background1"/>
                <w:lang w:eastAsia="hr-HR"/>
              </w:rPr>
              <w:br/>
              <w:t>2019./2020.</w:t>
            </w:r>
          </w:p>
        </w:tc>
      </w:tr>
      <w:tr w:rsidR="008878A0" w14:paraId="7461D33B" w14:textId="77777777" w:rsidTr="007B351D">
        <w:trPr>
          <w:trHeight w:val="371"/>
        </w:trPr>
        <w:tc>
          <w:tcPr>
            <w:tcW w:w="1725" w:type="dxa"/>
            <w:tcBorders>
              <w:bottom w:val="single" w:sz="8" w:space="0" w:color="F3CFC1"/>
            </w:tcBorders>
            <w:shd w:val="clear" w:color="auto" w:fill="D2232A"/>
            <w:noWrap/>
            <w:vAlign w:val="center"/>
            <w:hideMark/>
          </w:tcPr>
          <w:p w14:paraId="3E33D699" w14:textId="77777777" w:rsidR="008878A0" w:rsidRPr="002F5BF7" w:rsidRDefault="008878A0" w:rsidP="00CB6046">
            <w:pPr>
              <w:spacing w:after="0" w:line="240" w:lineRule="auto"/>
              <w:jc w:val="left"/>
              <w:rPr>
                <w:rFonts w:eastAsia="Times New Roman" w:cs="Calibri"/>
                <w:color w:val="FFFFFF" w:themeColor="background1"/>
                <w:lang w:eastAsia="hr-HR"/>
              </w:rPr>
            </w:pPr>
            <w:r w:rsidRPr="002F5BF7">
              <w:rPr>
                <w:rFonts w:eastAsia="Times New Roman" w:cs="Calibri"/>
                <w:color w:val="FFFFFF" w:themeColor="background1"/>
                <w:lang w:eastAsia="hr-HR"/>
              </w:rPr>
              <w:t>POU Krapina</w:t>
            </w:r>
          </w:p>
        </w:tc>
        <w:tc>
          <w:tcPr>
            <w:tcW w:w="1394" w:type="dxa"/>
            <w:tcBorders>
              <w:bottom w:val="single" w:sz="8" w:space="0" w:color="F3CFC1"/>
              <w:right w:val="single" w:sz="8" w:space="0" w:color="D2232A"/>
            </w:tcBorders>
            <w:noWrap/>
            <w:vAlign w:val="center"/>
            <w:hideMark/>
          </w:tcPr>
          <w:p w14:paraId="65BC76CF"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37</w:t>
            </w:r>
          </w:p>
        </w:tc>
        <w:tc>
          <w:tcPr>
            <w:tcW w:w="1559" w:type="dxa"/>
            <w:tcBorders>
              <w:left w:val="single" w:sz="8" w:space="0" w:color="D2232A"/>
              <w:bottom w:val="single" w:sz="8" w:space="0" w:color="F3CFC1"/>
              <w:right w:val="single" w:sz="8" w:space="0" w:color="D2232A"/>
            </w:tcBorders>
            <w:noWrap/>
            <w:vAlign w:val="center"/>
            <w:hideMark/>
          </w:tcPr>
          <w:p w14:paraId="0A26CB21"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15</w:t>
            </w:r>
          </w:p>
        </w:tc>
        <w:tc>
          <w:tcPr>
            <w:tcW w:w="1559" w:type="dxa"/>
            <w:tcBorders>
              <w:left w:val="single" w:sz="8" w:space="0" w:color="D2232A"/>
              <w:bottom w:val="single" w:sz="8" w:space="0" w:color="F3CFC1"/>
              <w:right w:val="single" w:sz="8" w:space="0" w:color="D2232A"/>
            </w:tcBorders>
            <w:noWrap/>
            <w:vAlign w:val="center"/>
            <w:hideMark/>
          </w:tcPr>
          <w:p w14:paraId="0D4B61FF"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58</w:t>
            </w:r>
          </w:p>
        </w:tc>
        <w:tc>
          <w:tcPr>
            <w:tcW w:w="1560" w:type="dxa"/>
            <w:tcBorders>
              <w:left w:val="single" w:sz="8" w:space="0" w:color="D2232A"/>
              <w:bottom w:val="single" w:sz="8" w:space="0" w:color="F3CFC1"/>
              <w:right w:val="single" w:sz="8" w:space="0" w:color="D2232A"/>
            </w:tcBorders>
            <w:noWrap/>
            <w:vAlign w:val="center"/>
            <w:hideMark/>
          </w:tcPr>
          <w:p w14:paraId="1FFB1F2C"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w:t>
            </w:r>
          </w:p>
        </w:tc>
        <w:tc>
          <w:tcPr>
            <w:tcW w:w="1417" w:type="dxa"/>
            <w:tcBorders>
              <w:left w:val="single" w:sz="8" w:space="0" w:color="D2232A"/>
              <w:bottom w:val="single" w:sz="8" w:space="0" w:color="F3CFC1"/>
              <w:right w:val="single" w:sz="8" w:space="0" w:color="D2232A"/>
            </w:tcBorders>
            <w:noWrap/>
            <w:vAlign w:val="center"/>
            <w:hideMark/>
          </w:tcPr>
          <w:p w14:paraId="7FE7A2E9" w14:textId="2933BAEB" w:rsidR="008878A0" w:rsidRPr="002F5BF7" w:rsidRDefault="007B351D" w:rsidP="00CB6046">
            <w:pPr>
              <w:spacing w:after="0" w:line="240" w:lineRule="auto"/>
              <w:jc w:val="right"/>
              <w:rPr>
                <w:rFonts w:eastAsia="Times New Roman" w:cs="Calibri"/>
                <w:color w:val="000000"/>
                <w:lang w:eastAsia="hr-HR"/>
              </w:rPr>
            </w:pPr>
            <w:r>
              <w:rPr>
                <w:rFonts w:eastAsia="Times New Roman" w:cs="Calibri"/>
                <w:color w:val="000000"/>
                <w:lang w:eastAsia="hr-HR"/>
              </w:rPr>
              <w:t>90</w:t>
            </w:r>
          </w:p>
        </w:tc>
      </w:tr>
      <w:tr w:rsidR="008878A0" w14:paraId="4E70FE81" w14:textId="77777777" w:rsidTr="007B351D">
        <w:trPr>
          <w:trHeight w:val="371"/>
        </w:trPr>
        <w:tc>
          <w:tcPr>
            <w:tcW w:w="1725" w:type="dxa"/>
            <w:tcBorders>
              <w:top w:val="single" w:sz="8" w:space="0" w:color="F3CFC1"/>
              <w:bottom w:val="single" w:sz="8" w:space="0" w:color="F3CFC1"/>
            </w:tcBorders>
            <w:shd w:val="clear" w:color="auto" w:fill="D2232A"/>
            <w:noWrap/>
            <w:vAlign w:val="center"/>
            <w:hideMark/>
          </w:tcPr>
          <w:p w14:paraId="67F171BF" w14:textId="77777777" w:rsidR="008878A0" w:rsidRPr="002F5BF7" w:rsidRDefault="008878A0" w:rsidP="00CB6046">
            <w:pPr>
              <w:spacing w:after="0" w:line="240" w:lineRule="auto"/>
              <w:jc w:val="left"/>
              <w:rPr>
                <w:rFonts w:eastAsia="Times New Roman" w:cs="Calibri"/>
                <w:color w:val="FFFFFF" w:themeColor="background1"/>
                <w:lang w:eastAsia="hr-HR"/>
              </w:rPr>
            </w:pPr>
            <w:r w:rsidRPr="002F5BF7">
              <w:rPr>
                <w:rFonts w:eastAsia="Times New Roman" w:cs="Calibri"/>
                <w:color w:val="FFFFFF" w:themeColor="background1"/>
                <w:lang w:eastAsia="hr-HR"/>
              </w:rPr>
              <w:t>POU Zabok</w:t>
            </w:r>
          </w:p>
        </w:tc>
        <w:tc>
          <w:tcPr>
            <w:tcW w:w="1394" w:type="dxa"/>
            <w:tcBorders>
              <w:top w:val="single" w:sz="8" w:space="0" w:color="F3CFC1"/>
              <w:bottom w:val="single" w:sz="8" w:space="0" w:color="F3CFC1"/>
              <w:right w:val="single" w:sz="8" w:space="0" w:color="D2232A"/>
            </w:tcBorders>
            <w:noWrap/>
            <w:vAlign w:val="center"/>
            <w:hideMark/>
          </w:tcPr>
          <w:p w14:paraId="34A59B35"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44</w:t>
            </w:r>
          </w:p>
        </w:tc>
        <w:tc>
          <w:tcPr>
            <w:tcW w:w="1559" w:type="dxa"/>
            <w:tcBorders>
              <w:top w:val="single" w:sz="8" w:space="0" w:color="F3CFC1"/>
              <w:left w:val="single" w:sz="8" w:space="0" w:color="D2232A"/>
              <w:bottom w:val="single" w:sz="8" w:space="0" w:color="F3CFC1"/>
              <w:right w:val="single" w:sz="8" w:space="0" w:color="D2232A"/>
            </w:tcBorders>
            <w:noWrap/>
            <w:vAlign w:val="center"/>
            <w:hideMark/>
          </w:tcPr>
          <w:p w14:paraId="50400C88"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58</w:t>
            </w:r>
          </w:p>
        </w:tc>
        <w:tc>
          <w:tcPr>
            <w:tcW w:w="1559" w:type="dxa"/>
            <w:tcBorders>
              <w:top w:val="single" w:sz="8" w:space="0" w:color="F3CFC1"/>
              <w:left w:val="single" w:sz="8" w:space="0" w:color="D2232A"/>
              <w:bottom w:val="single" w:sz="8" w:space="0" w:color="F3CFC1"/>
              <w:right w:val="single" w:sz="8" w:space="0" w:color="D2232A"/>
            </w:tcBorders>
            <w:noWrap/>
            <w:vAlign w:val="center"/>
            <w:hideMark/>
          </w:tcPr>
          <w:p w14:paraId="442D93CC"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42</w:t>
            </w:r>
          </w:p>
        </w:tc>
        <w:tc>
          <w:tcPr>
            <w:tcW w:w="1560" w:type="dxa"/>
            <w:tcBorders>
              <w:top w:val="single" w:sz="8" w:space="0" w:color="F3CFC1"/>
              <w:left w:val="single" w:sz="8" w:space="0" w:color="D2232A"/>
              <w:bottom w:val="single" w:sz="8" w:space="0" w:color="F3CFC1"/>
              <w:right w:val="single" w:sz="8" w:space="0" w:color="D2232A"/>
            </w:tcBorders>
            <w:noWrap/>
            <w:vAlign w:val="center"/>
            <w:hideMark/>
          </w:tcPr>
          <w:p w14:paraId="238BE382"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35</w:t>
            </w:r>
          </w:p>
        </w:tc>
        <w:tc>
          <w:tcPr>
            <w:tcW w:w="1417" w:type="dxa"/>
            <w:tcBorders>
              <w:top w:val="single" w:sz="8" w:space="0" w:color="F3CFC1"/>
              <w:left w:val="single" w:sz="8" w:space="0" w:color="D2232A"/>
              <w:bottom w:val="single" w:sz="8" w:space="0" w:color="F3CFC1"/>
              <w:right w:val="single" w:sz="8" w:space="0" w:color="D2232A"/>
            </w:tcBorders>
            <w:noWrap/>
            <w:vAlign w:val="center"/>
            <w:hideMark/>
          </w:tcPr>
          <w:p w14:paraId="48A3C95E" w14:textId="06FB16DE" w:rsidR="008878A0" w:rsidRPr="002F5BF7" w:rsidRDefault="007B351D" w:rsidP="00CB6046">
            <w:pPr>
              <w:spacing w:after="0" w:line="240" w:lineRule="auto"/>
              <w:jc w:val="right"/>
              <w:rPr>
                <w:rFonts w:eastAsia="Times New Roman" w:cs="Calibri"/>
                <w:color w:val="000000"/>
                <w:lang w:eastAsia="hr-HR"/>
              </w:rPr>
            </w:pPr>
            <w:r>
              <w:rPr>
                <w:rFonts w:eastAsia="Times New Roman" w:cs="Calibri"/>
                <w:color w:val="000000"/>
                <w:lang w:eastAsia="hr-HR"/>
              </w:rPr>
              <w:t>277</w:t>
            </w:r>
          </w:p>
        </w:tc>
      </w:tr>
      <w:tr w:rsidR="008878A0" w14:paraId="65152264" w14:textId="77777777" w:rsidTr="007B351D">
        <w:trPr>
          <w:trHeight w:val="371"/>
        </w:trPr>
        <w:tc>
          <w:tcPr>
            <w:tcW w:w="1725" w:type="dxa"/>
            <w:tcBorders>
              <w:top w:val="single" w:sz="8" w:space="0" w:color="F3CFC1"/>
            </w:tcBorders>
            <w:shd w:val="clear" w:color="auto" w:fill="D2232A"/>
            <w:noWrap/>
            <w:vAlign w:val="center"/>
            <w:hideMark/>
          </w:tcPr>
          <w:p w14:paraId="5FE06F28" w14:textId="77777777" w:rsidR="008878A0" w:rsidRPr="002F5BF7" w:rsidRDefault="008878A0" w:rsidP="00CB6046">
            <w:pPr>
              <w:spacing w:after="0" w:line="240" w:lineRule="auto"/>
              <w:jc w:val="left"/>
              <w:rPr>
                <w:rFonts w:eastAsia="Times New Roman" w:cs="Calibri"/>
                <w:color w:val="FFFFFF" w:themeColor="background1"/>
                <w:lang w:eastAsia="hr-HR"/>
              </w:rPr>
            </w:pPr>
            <w:r w:rsidRPr="002F5BF7">
              <w:rPr>
                <w:rFonts w:eastAsia="Times New Roman" w:cs="Calibri"/>
                <w:color w:val="FFFFFF" w:themeColor="background1"/>
                <w:lang w:eastAsia="hr-HR"/>
              </w:rPr>
              <w:t>POU Donja Stubica</w:t>
            </w:r>
          </w:p>
        </w:tc>
        <w:tc>
          <w:tcPr>
            <w:tcW w:w="1394" w:type="dxa"/>
            <w:tcBorders>
              <w:top w:val="single" w:sz="8" w:space="0" w:color="F3CFC1"/>
              <w:right w:val="single" w:sz="8" w:space="0" w:color="D2232A"/>
            </w:tcBorders>
            <w:noWrap/>
            <w:vAlign w:val="center"/>
            <w:hideMark/>
          </w:tcPr>
          <w:p w14:paraId="401538A2"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368</w:t>
            </w:r>
          </w:p>
        </w:tc>
        <w:tc>
          <w:tcPr>
            <w:tcW w:w="1559" w:type="dxa"/>
            <w:tcBorders>
              <w:top w:val="single" w:sz="8" w:space="0" w:color="F3CFC1"/>
              <w:left w:val="single" w:sz="8" w:space="0" w:color="D2232A"/>
              <w:right w:val="single" w:sz="8" w:space="0" w:color="D2232A"/>
            </w:tcBorders>
            <w:noWrap/>
            <w:vAlign w:val="center"/>
            <w:hideMark/>
          </w:tcPr>
          <w:p w14:paraId="092A764C"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133</w:t>
            </w:r>
          </w:p>
        </w:tc>
        <w:tc>
          <w:tcPr>
            <w:tcW w:w="1559" w:type="dxa"/>
            <w:tcBorders>
              <w:top w:val="single" w:sz="8" w:space="0" w:color="F3CFC1"/>
              <w:left w:val="single" w:sz="8" w:space="0" w:color="D2232A"/>
              <w:right w:val="single" w:sz="8" w:space="0" w:color="D2232A"/>
            </w:tcBorders>
            <w:noWrap/>
            <w:vAlign w:val="center"/>
            <w:hideMark/>
          </w:tcPr>
          <w:p w14:paraId="3D08F41D"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63</w:t>
            </w:r>
          </w:p>
        </w:tc>
        <w:tc>
          <w:tcPr>
            <w:tcW w:w="1560" w:type="dxa"/>
            <w:tcBorders>
              <w:top w:val="single" w:sz="8" w:space="0" w:color="F3CFC1"/>
              <w:left w:val="single" w:sz="8" w:space="0" w:color="D2232A"/>
              <w:right w:val="single" w:sz="8" w:space="0" w:color="D2232A"/>
            </w:tcBorders>
            <w:noWrap/>
            <w:vAlign w:val="center"/>
            <w:hideMark/>
          </w:tcPr>
          <w:p w14:paraId="1B89C059" w14:textId="77777777" w:rsidR="008878A0" w:rsidRPr="002F5BF7" w:rsidRDefault="008878A0" w:rsidP="00CB6046">
            <w:pPr>
              <w:spacing w:after="0" w:line="240" w:lineRule="auto"/>
              <w:jc w:val="right"/>
              <w:rPr>
                <w:rFonts w:eastAsia="Times New Roman" w:cs="Calibri"/>
                <w:color w:val="000000"/>
                <w:lang w:eastAsia="hr-HR"/>
              </w:rPr>
            </w:pPr>
            <w:r w:rsidRPr="002F5BF7">
              <w:rPr>
                <w:rFonts w:eastAsia="Times New Roman" w:cs="Calibri"/>
                <w:color w:val="000000"/>
                <w:lang w:eastAsia="hr-HR"/>
              </w:rPr>
              <w:t>100</w:t>
            </w:r>
          </w:p>
        </w:tc>
        <w:tc>
          <w:tcPr>
            <w:tcW w:w="1417" w:type="dxa"/>
            <w:tcBorders>
              <w:top w:val="single" w:sz="8" w:space="0" w:color="F3CFC1"/>
              <w:left w:val="single" w:sz="8" w:space="0" w:color="D2232A"/>
              <w:right w:val="single" w:sz="8" w:space="0" w:color="D2232A"/>
            </w:tcBorders>
            <w:noWrap/>
            <w:vAlign w:val="center"/>
            <w:hideMark/>
          </w:tcPr>
          <w:p w14:paraId="0EA4D892" w14:textId="60D1DC0C" w:rsidR="008878A0" w:rsidRPr="002F5BF7" w:rsidRDefault="007B351D" w:rsidP="00CB6046">
            <w:pPr>
              <w:spacing w:after="0" w:line="240" w:lineRule="auto"/>
              <w:jc w:val="right"/>
              <w:rPr>
                <w:rFonts w:eastAsia="Times New Roman" w:cs="Calibri"/>
                <w:color w:val="000000"/>
                <w:lang w:eastAsia="hr-HR"/>
              </w:rPr>
            </w:pPr>
            <w:r>
              <w:rPr>
                <w:rFonts w:eastAsia="Times New Roman" w:cs="Calibri"/>
                <w:color w:val="000000"/>
                <w:lang w:eastAsia="hr-HR"/>
              </w:rPr>
              <w:t>161</w:t>
            </w:r>
          </w:p>
        </w:tc>
      </w:tr>
      <w:tr w:rsidR="008878A0" w14:paraId="3155556E" w14:textId="77777777" w:rsidTr="007B351D">
        <w:trPr>
          <w:trHeight w:val="371"/>
        </w:trPr>
        <w:tc>
          <w:tcPr>
            <w:tcW w:w="1725" w:type="dxa"/>
            <w:shd w:val="clear" w:color="auto" w:fill="E5E5E5" w:themeFill="text1" w:themeFillTint="33"/>
            <w:noWrap/>
            <w:vAlign w:val="center"/>
            <w:hideMark/>
          </w:tcPr>
          <w:p w14:paraId="76D54FDC" w14:textId="77777777" w:rsidR="008878A0" w:rsidRPr="002F5BF7" w:rsidRDefault="008878A0" w:rsidP="00941871">
            <w:pPr>
              <w:spacing w:after="0" w:line="240" w:lineRule="auto"/>
              <w:rPr>
                <w:rFonts w:eastAsia="Times New Roman" w:cs="Calibri"/>
                <w:b/>
                <w:bCs/>
                <w:lang w:eastAsia="hr-HR"/>
              </w:rPr>
            </w:pPr>
            <w:r w:rsidRPr="002F5BF7">
              <w:rPr>
                <w:rFonts w:eastAsia="Times New Roman" w:cs="Calibri"/>
                <w:b/>
                <w:bCs/>
                <w:lang w:eastAsia="hr-HR"/>
              </w:rPr>
              <w:t>UKUPNO</w:t>
            </w:r>
          </w:p>
        </w:tc>
        <w:tc>
          <w:tcPr>
            <w:tcW w:w="1394" w:type="dxa"/>
            <w:tcBorders>
              <w:right w:val="single" w:sz="8" w:space="0" w:color="D2232A"/>
            </w:tcBorders>
            <w:shd w:val="clear" w:color="auto" w:fill="E5E5E5" w:themeFill="text1" w:themeFillTint="33"/>
            <w:noWrap/>
            <w:vAlign w:val="center"/>
            <w:hideMark/>
          </w:tcPr>
          <w:p w14:paraId="70659C96" w14:textId="77777777" w:rsidR="008878A0" w:rsidRPr="002F5BF7" w:rsidRDefault="008878A0" w:rsidP="00CB6046">
            <w:pPr>
              <w:spacing w:after="0" w:line="240" w:lineRule="auto"/>
              <w:jc w:val="right"/>
              <w:rPr>
                <w:rFonts w:eastAsia="Times New Roman" w:cs="Calibri"/>
                <w:b/>
                <w:bCs/>
                <w:lang w:eastAsia="hr-HR"/>
              </w:rPr>
            </w:pPr>
            <w:r w:rsidRPr="002F5BF7">
              <w:rPr>
                <w:rFonts w:eastAsia="Times New Roman" w:cs="Calibri"/>
                <w:b/>
                <w:bCs/>
                <w:lang w:eastAsia="hr-HR"/>
              </w:rPr>
              <w:t>449</w:t>
            </w:r>
          </w:p>
        </w:tc>
        <w:tc>
          <w:tcPr>
            <w:tcW w:w="1559" w:type="dxa"/>
            <w:tcBorders>
              <w:left w:val="single" w:sz="8" w:space="0" w:color="D2232A"/>
              <w:right w:val="single" w:sz="8" w:space="0" w:color="D2232A"/>
            </w:tcBorders>
            <w:shd w:val="clear" w:color="auto" w:fill="E5E5E5" w:themeFill="text1" w:themeFillTint="33"/>
            <w:noWrap/>
            <w:vAlign w:val="center"/>
            <w:hideMark/>
          </w:tcPr>
          <w:p w14:paraId="05351577" w14:textId="77777777" w:rsidR="008878A0" w:rsidRPr="002F5BF7" w:rsidRDefault="008878A0" w:rsidP="00CB6046">
            <w:pPr>
              <w:spacing w:after="0" w:line="240" w:lineRule="auto"/>
              <w:jc w:val="right"/>
              <w:rPr>
                <w:rFonts w:eastAsia="Times New Roman" w:cs="Calibri"/>
                <w:b/>
                <w:bCs/>
                <w:lang w:eastAsia="hr-HR"/>
              </w:rPr>
            </w:pPr>
            <w:r w:rsidRPr="002F5BF7">
              <w:rPr>
                <w:rFonts w:eastAsia="Times New Roman" w:cs="Calibri"/>
                <w:b/>
                <w:bCs/>
                <w:lang w:eastAsia="hr-HR"/>
              </w:rPr>
              <w:t>206</w:t>
            </w:r>
          </w:p>
        </w:tc>
        <w:tc>
          <w:tcPr>
            <w:tcW w:w="1559" w:type="dxa"/>
            <w:tcBorders>
              <w:left w:val="single" w:sz="8" w:space="0" w:color="D2232A"/>
              <w:right w:val="single" w:sz="8" w:space="0" w:color="D2232A"/>
            </w:tcBorders>
            <w:shd w:val="clear" w:color="auto" w:fill="E5E5E5" w:themeFill="text1" w:themeFillTint="33"/>
            <w:noWrap/>
            <w:vAlign w:val="center"/>
            <w:hideMark/>
          </w:tcPr>
          <w:p w14:paraId="60852A27" w14:textId="77777777" w:rsidR="008878A0" w:rsidRPr="002F5BF7" w:rsidRDefault="008878A0" w:rsidP="00CB6046">
            <w:pPr>
              <w:spacing w:after="0" w:line="240" w:lineRule="auto"/>
              <w:jc w:val="right"/>
              <w:rPr>
                <w:rFonts w:eastAsia="Times New Roman" w:cs="Calibri"/>
                <w:b/>
                <w:bCs/>
                <w:lang w:eastAsia="hr-HR"/>
              </w:rPr>
            </w:pPr>
            <w:r w:rsidRPr="002F5BF7">
              <w:rPr>
                <w:rFonts w:eastAsia="Times New Roman" w:cs="Calibri"/>
                <w:b/>
                <w:bCs/>
                <w:lang w:eastAsia="hr-HR"/>
              </w:rPr>
              <w:t>163</w:t>
            </w:r>
          </w:p>
        </w:tc>
        <w:tc>
          <w:tcPr>
            <w:tcW w:w="1560" w:type="dxa"/>
            <w:tcBorders>
              <w:left w:val="single" w:sz="8" w:space="0" w:color="D2232A"/>
              <w:right w:val="single" w:sz="8" w:space="0" w:color="D2232A"/>
            </w:tcBorders>
            <w:shd w:val="clear" w:color="auto" w:fill="E5E5E5" w:themeFill="text1" w:themeFillTint="33"/>
            <w:noWrap/>
            <w:vAlign w:val="center"/>
            <w:hideMark/>
          </w:tcPr>
          <w:p w14:paraId="6FAF15A6" w14:textId="77777777" w:rsidR="008878A0" w:rsidRPr="002F5BF7" w:rsidRDefault="008878A0" w:rsidP="00CB6046">
            <w:pPr>
              <w:spacing w:after="0" w:line="240" w:lineRule="auto"/>
              <w:jc w:val="right"/>
              <w:rPr>
                <w:rFonts w:eastAsia="Times New Roman" w:cs="Calibri"/>
                <w:b/>
                <w:bCs/>
                <w:lang w:eastAsia="hr-HR"/>
              </w:rPr>
            </w:pPr>
            <w:r w:rsidRPr="002F5BF7">
              <w:rPr>
                <w:rFonts w:eastAsia="Times New Roman" w:cs="Calibri"/>
                <w:b/>
                <w:bCs/>
                <w:lang w:eastAsia="hr-HR"/>
              </w:rPr>
              <w:t>135</w:t>
            </w:r>
          </w:p>
        </w:tc>
        <w:tc>
          <w:tcPr>
            <w:tcW w:w="1417" w:type="dxa"/>
            <w:tcBorders>
              <w:left w:val="single" w:sz="8" w:space="0" w:color="D2232A"/>
              <w:right w:val="single" w:sz="8" w:space="0" w:color="D2232A"/>
            </w:tcBorders>
            <w:shd w:val="clear" w:color="auto" w:fill="E5E5E5" w:themeFill="text1" w:themeFillTint="33"/>
            <w:noWrap/>
            <w:vAlign w:val="center"/>
            <w:hideMark/>
          </w:tcPr>
          <w:p w14:paraId="2ADE6855" w14:textId="7C503235" w:rsidR="008878A0" w:rsidRPr="002F5BF7" w:rsidRDefault="007B351D" w:rsidP="00CB6046">
            <w:pPr>
              <w:spacing w:after="0" w:line="240" w:lineRule="auto"/>
              <w:jc w:val="right"/>
              <w:rPr>
                <w:rFonts w:eastAsia="Times New Roman" w:cs="Calibri"/>
                <w:b/>
                <w:bCs/>
                <w:lang w:eastAsia="hr-HR"/>
              </w:rPr>
            </w:pPr>
            <w:r>
              <w:rPr>
                <w:rFonts w:eastAsia="Times New Roman" w:cs="Calibri"/>
                <w:b/>
                <w:bCs/>
                <w:lang w:eastAsia="hr-HR"/>
              </w:rPr>
              <w:t>528</w:t>
            </w:r>
          </w:p>
        </w:tc>
      </w:tr>
    </w:tbl>
    <w:p w14:paraId="71F678E6" w14:textId="7BA323DA" w:rsidR="008878A0" w:rsidRDefault="008878A0" w:rsidP="003C2276">
      <w:pPr>
        <w:pStyle w:val="Izvor"/>
        <w:rPr>
          <w:i/>
          <w:color w:val="ABABAB" w:themeColor="text1" w:themeTint="A6"/>
          <w:sz w:val="16"/>
          <w:szCs w:val="16"/>
        </w:rPr>
      </w:pPr>
      <w:r w:rsidRPr="005F134F">
        <w:rPr>
          <w:i/>
          <w:color w:val="ABABAB" w:themeColor="text1" w:themeTint="A6"/>
          <w:sz w:val="16"/>
          <w:szCs w:val="16"/>
        </w:rPr>
        <w:t>Izvor: POU Krapina, Zabok i Donja Stubica</w:t>
      </w:r>
      <w:r w:rsidR="00B23FDE" w:rsidRPr="005F134F">
        <w:rPr>
          <w:i/>
          <w:color w:val="ABABAB" w:themeColor="text1" w:themeTint="A6"/>
          <w:sz w:val="16"/>
          <w:szCs w:val="16"/>
        </w:rPr>
        <w:t>, 20</w:t>
      </w:r>
      <w:r w:rsidR="005F134F" w:rsidRPr="005F134F">
        <w:rPr>
          <w:i/>
          <w:color w:val="ABABAB" w:themeColor="text1" w:themeTint="A6"/>
          <w:sz w:val="16"/>
          <w:szCs w:val="16"/>
        </w:rPr>
        <w:t>21</w:t>
      </w:r>
      <w:r w:rsidR="00B23FDE" w:rsidRPr="005F134F">
        <w:rPr>
          <w:i/>
          <w:color w:val="ABABAB" w:themeColor="text1" w:themeTint="A6"/>
          <w:sz w:val="16"/>
          <w:szCs w:val="16"/>
        </w:rPr>
        <w:t xml:space="preserve">., </w:t>
      </w:r>
      <w:r w:rsidRPr="005F134F">
        <w:rPr>
          <w:i/>
          <w:color w:val="ABABAB" w:themeColor="text1" w:themeTint="A6"/>
          <w:sz w:val="16"/>
          <w:szCs w:val="16"/>
        </w:rPr>
        <w:t>obrada autora</w:t>
      </w:r>
    </w:p>
    <w:p w14:paraId="3CA36266" w14:textId="77777777" w:rsidR="00990019" w:rsidRDefault="00990019" w:rsidP="003C2276">
      <w:pPr>
        <w:pStyle w:val="Izvor"/>
        <w:rPr>
          <w:i/>
          <w:color w:val="ABABAB" w:themeColor="text1" w:themeTint="A6"/>
          <w:sz w:val="16"/>
          <w:szCs w:val="16"/>
        </w:rPr>
      </w:pPr>
    </w:p>
    <w:p w14:paraId="1416CCE6" w14:textId="326281D6" w:rsidR="00B23FDE" w:rsidRDefault="008878A0" w:rsidP="00B23FDE">
      <w:pPr>
        <w:rPr>
          <w:rFonts w:ascii="Times New Roman" w:hAnsi="Times New Roman" w:cs="Times New Roman"/>
          <w:color w:val="auto"/>
          <w:sz w:val="24"/>
          <w:szCs w:val="24"/>
          <w:lang w:eastAsia="hr-HR"/>
        </w:rPr>
      </w:pPr>
      <w:r>
        <w:t>U okviru mjera obrazovanja nezaposlenih osoba djeluje Hrvatski zavod za zapošljavanje preko kojeg je u 20</w:t>
      </w:r>
      <w:r w:rsidR="00537490">
        <w:t>20</w:t>
      </w:r>
      <w:r>
        <w:t xml:space="preserve">. godini </w:t>
      </w:r>
      <w:r w:rsidR="00537490">
        <w:t>49</w:t>
      </w:r>
      <w:r>
        <w:t xml:space="preserve"> nezaposlenih osoba bilo upućeno na dodatno obrazovanje ili prekvalifikaciju</w:t>
      </w:r>
      <w:r w:rsidR="00A7798A">
        <w:t>. P</w:t>
      </w:r>
      <w:r>
        <w:t>o završetku obrazovanja</w:t>
      </w:r>
      <w:r w:rsidR="00A7798A">
        <w:t xml:space="preserve"> zaposlilo ih se </w:t>
      </w:r>
      <w:r w:rsidR="00537490">
        <w:t>15</w:t>
      </w:r>
      <w:r>
        <w:t xml:space="preserve">. Grafikon u nastavku prikazuje broj osoba koje su prošle obrazovanje putem mjera Zavoda te udio onih koje su se nakon toga </w:t>
      </w:r>
      <w:r>
        <w:lastRenderedPageBreak/>
        <w:t>zaposlile u razdoblju od 2015. do 20</w:t>
      </w:r>
      <w:r w:rsidR="00537490">
        <w:t>20</w:t>
      </w:r>
      <w:r>
        <w:t xml:space="preserve">. godine. Tijekom 2016. godine zamjetan je značajan porast broja osoba upućenih na dodatno obrazovanje, na što je izravno utjecao znatno veći iznos financijskih sredstava za ovu mjeru iz državnog proračuna, no u narednim godinama broj se vratio na uobičajene prosjeke, a mjere su usmjerene više prema poslodavcima. Nakon provedbe </w:t>
      </w:r>
      <w:r w:rsidR="00B23FDE">
        <w:t xml:space="preserve">osposobljavanja u prosjeku se zaposli </w:t>
      </w:r>
      <w:r w:rsidR="00537490">
        <w:t>64</w:t>
      </w:r>
      <w:r w:rsidR="00B23FDE">
        <w:t>% polaznika.</w:t>
      </w:r>
      <w:r w:rsidR="00B23FDE">
        <w:rPr>
          <w:rFonts w:ascii="Times New Roman" w:hAnsi="Times New Roman" w:cs="Times New Roman"/>
          <w:sz w:val="24"/>
          <w:szCs w:val="24"/>
          <w:lang w:eastAsia="hr-HR"/>
        </w:rPr>
        <w:t xml:space="preserve"> </w:t>
      </w:r>
    </w:p>
    <w:p w14:paraId="7D3A5928" w14:textId="77777777" w:rsidR="00793971" w:rsidRDefault="00793971" w:rsidP="00941871"/>
    <w:p w14:paraId="427B5CF3" w14:textId="3C3C5CE4" w:rsidR="008878A0" w:rsidRDefault="008878A0" w:rsidP="003E3F3C">
      <w:pPr>
        <w:pStyle w:val="Opisslike"/>
      </w:pPr>
      <w:r>
        <w:t xml:space="preserve">Grafikon </w:t>
      </w:r>
      <w:r w:rsidR="00537490">
        <w:rPr>
          <w:noProof/>
        </w:rPr>
        <w:t>2</w:t>
      </w:r>
      <w:r w:rsidR="00A668BF">
        <w:rPr>
          <w:noProof/>
        </w:rPr>
        <w:t>8</w:t>
      </w:r>
      <w:r w:rsidR="00555F83">
        <w:rPr>
          <w:noProof/>
        </w:rPr>
        <w:t>.</w:t>
      </w:r>
      <w:r>
        <w:t xml:space="preserve"> Broj osoba zaposlenih nakon obrazovanja</w:t>
      </w:r>
      <w:r w:rsidR="007F04FE">
        <w:t>/osposobljavanja</w:t>
      </w:r>
      <w:r>
        <w:t xml:space="preserve"> (2015.-20</w:t>
      </w:r>
      <w:r w:rsidR="00C425D9">
        <w:t>20</w:t>
      </w:r>
      <w:r>
        <w:t>.)</w:t>
      </w:r>
    </w:p>
    <w:p w14:paraId="3699B7C7" w14:textId="771BD43B" w:rsidR="008878A0" w:rsidRPr="00C425D9" w:rsidRDefault="00C425D9" w:rsidP="00941871">
      <w:r>
        <w:rPr>
          <w:noProof/>
        </w:rPr>
        <w:drawing>
          <wp:inline distT="0" distB="0" distL="0" distR="0" wp14:anchorId="09E3CD5C" wp14:editId="3EA7B48A">
            <wp:extent cx="5791200" cy="2743200"/>
            <wp:effectExtent l="0" t="0" r="0" b="0"/>
            <wp:docPr id="241" name="Grafikon 241">
              <a:extLst xmlns:a="http://schemas.openxmlformats.org/drawingml/2006/main">
                <a:ext uri="{FF2B5EF4-FFF2-40B4-BE49-F238E27FC236}">
                  <a16:creationId xmlns:a16="http://schemas.microsoft.com/office/drawing/2014/main" id="{7BF2D5B9-0DE8-4A9B-90A0-02F05B9B1CE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22C1AFE" w14:textId="2795ABBA" w:rsidR="008878A0" w:rsidRPr="00537490" w:rsidRDefault="008878A0" w:rsidP="003C2276">
      <w:pPr>
        <w:pStyle w:val="Izvor"/>
        <w:rPr>
          <w:i/>
          <w:color w:val="ABABAB" w:themeColor="text1" w:themeTint="A6"/>
          <w:sz w:val="16"/>
          <w:szCs w:val="16"/>
        </w:rPr>
      </w:pPr>
      <w:r w:rsidRPr="00537490">
        <w:rPr>
          <w:i/>
          <w:color w:val="ABABAB" w:themeColor="text1" w:themeTint="A6"/>
          <w:sz w:val="16"/>
          <w:szCs w:val="16"/>
        </w:rPr>
        <w:t>Izvor: HZZ PU Krapina,</w:t>
      </w:r>
      <w:r w:rsidR="00537490" w:rsidRPr="00537490">
        <w:rPr>
          <w:i/>
          <w:color w:val="ABABAB" w:themeColor="text1" w:themeTint="A6"/>
          <w:sz w:val="16"/>
          <w:szCs w:val="16"/>
        </w:rPr>
        <w:t xml:space="preserve"> siječanj</w:t>
      </w:r>
      <w:r w:rsidRPr="00537490">
        <w:rPr>
          <w:i/>
          <w:color w:val="ABABAB" w:themeColor="text1" w:themeTint="A6"/>
          <w:sz w:val="16"/>
          <w:szCs w:val="16"/>
        </w:rPr>
        <w:t xml:space="preserve"> 20</w:t>
      </w:r>
      <w:r w:rsidR="00537490" w:rsidRPr="00537490">
        <w:rPr>
          <w:i/>
          <w:color w:val="ABABAB" w:themeColor="text1" w:themeTint="A6"/>
          <w:sz w:val="16"/>
          <w:szCs w:val="16"/>
        </w:rPr>
        <w:t>21</w:t>
      </w:r>
      <w:r w:rsidRPr="00537490">
        <w:rPr>
          <w:i/>
          <w:color w:val="ABABAB" w:themeColor="text1" w:themeTint="A6"/>
          <w:sz w:val="16"/>
          <w:szCs w:val="16"/>
        </w:rPr>
        <w:t>. (Napomena: podaci se odnose na zapošljavanje u bilo kojem roku nakon završetka obrazovanja/osposobljavanja)</w:t>
      </w:r>
    </w:p>
    <w:p w14:paraId="311469FA" w14:textId="77777777" w:rsidR="008878A0" w:rsidRDefault="008878A0" w:rsidP="00941871">
      <w:pPr>
        <w:rPr>
          <w:sz w:val="22"/>
          <w:szCs w:val="22"/>
          <w:highlight w:val="green"/>
        </w:rPr>
      </w:pPr>
    </w:p>
    <w:p w14:paraId="77325E47" w14:textId="77777777" w:rsidR="008878A0" w:rsidRDefault="008878A0" w:rsidP="00941871">
      <w:r>
        <w:t xml:space="preserve">U pravilu sve osobe koje su upućene na osposobljavanje za rad preko Hrvatskog zavoda za zapošljavanje završe program obrazovanja. Do odstupanja je došlo u 2018. godini kada je od 111 osoba njih 103 završilo program obrazovanja na koji su bili upućeni. Broj polaznika pojedinih obrazovnih programa u okviru mjera aktivne politike zapošljavanja prikazan je u tablici u nastavku. </w:t>
      </w:r>
    </w:p>
    <w:p w14:paraId="5D96A5D4" w14:textId="5CD24E8C" w:rsidR="00793971" w:rsidRDefault="00793971" w:rsidP="00941871">
      <w:pPr>
        <w:rPr>
          <w:rFonts w:cstheme="minorHAnsi"/>
          <w:bCs/>
          <w:i/>
          <w:szCs w:val="22"/>
        </w:rPr>
      </w:pPr>
    </w:p>
    <w:p w14:paraId="77649060" w14:textId="221E170F" w:rsidR="008878A0" w:rsidRDefault="008878A0" w:rsidP="003E3F3C">
      <w:pPr>
        <w:pStyle w:val="Opisslike"/>
      </w:pPr>
      <w:r>
        <w:t xml:space="preserve">Tablica </w:t>
      </w:r>
      <w:r w:rsidR="00004F7D">
        <w:rPr>
          <w:noProof/>
        </w:rPr>
        <w:t>6</w:t>
      </w:r>
      <w:r w:rsidR="000D5E3F">
        <w:rPr>
          <w:noProof/>
        </w:rPr>
        <w:t>2</w:t>
      </w:r>
      <w:r>
        <w:t xml:space="preserve"> </w:t>
      </w:r>
      <w:r w:rsidR="00FD7F29">
        <w:t>.</w:t>
      </w:r>
      <w:r>
        <w:t xml:space="preserve">Broj polaznika obrazovnih programa za dodatno obrazovanje ili prekvalifikaciju u okviru mjera aktivne politike zapošljavanja na području Krapinsko-zagorske županije (2015.-2018.) </w:t>
      </w:r>
    </w:p>
    <w:tbl>
      <w:tblPr>
        <w:tblW w:w="4955" w:type="pct"/>
        <w:tblBorders>
          <w:right w:val="single" w:sz="8" w:space="0" w:color="D2232A"/>
          <w:insideH w:val="single" w:sz="8" w:space="0" w:color="F3CFC1"/>
          <w:insideV w:val="single" w:sz="8" w:space="0" w:color="D2232A"/>
        </w:tblBorders>
        <w:tblLook w:val="04A0" w:firstRow="1" w:lastRow="0" w:firstColumn="1" w:lastColumn="0" w:noHBand="0" w:noVBand="1"/>
      </w:tblPr>
      <w:tblGrid>
        <w:gridCol w:w="3902"/>
        <w:gridCol w:w="1326"/>
        <w:gridCol w:w="1326"/>
        <w:gridCol w:w="1326"/>
        <w:gridCol w:w="1326"/>
      </w:tblGrid>
      <w:tr w:rsidR="008878A0" w14:paraId="03E88CBE" w14:textId="77777777" w:rsidTr="007F04FE">
        <w:trPr>
          <w:trHeight w:val="292"/>
          <w:tblHeader/>
        </w:trPr>
        <w:tc>
          <w:tcPr>
            <w:tcW w:w="2119" w:type="pct"/>
            <w:shd w:val="clear" w:color="auto" w:fill="D2232A"/>
            <w:noWrap/>
            <w:vAlign w:val="center"/>
            <w:hideMark/>
          </w:tcPr>
          <w:p w14:paraId="71501421" w14:textId="77777777" w:rsidR="008878A0" w:rsidRPr="00171C5D" w:rsidRDefault="008878A0" w:rsidP="00941871">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OBRAZOVNI PROGRAM </w:t>
            </w:r>
          </w:p>
        </w:tc>
        <w:tc>
          <w:tcPr>
            <w:tcW w:w="720" w:type="pct"/>
            <w:shd w:val="clear" w:color="auto" w:fill="D2232A"/>
            <w:noWrap/>
            <w:vAlign w:val="center"/>
            <w:hideMark/>
          </w:tcPr>
          <w:p w14:paraId="2821342B" w14:textId="77777777" w:rsidR="008878A0" w:rsidRPr="00171C5D" w:rsidRDefault="008878A0" w:rsidP="00941871">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2015./2016.</w:t>
            </w:r>
          </w:p>
        </w:tc>
        <w:tc>
          <w:tcPr>
            <w:tcW w:w="720" w:type="pct"/>
            <w:shd w:val="clear" w:color="auto" w:fill="D2232A"/>
            <w:noWrap/>
            <w:vAlign w:val="center"/>
            <w:hideMark/>
          </w:tcPr>
          <w:p w14:paraId="1CDB2AF8" w14:textId="77777777" w:rsidR="008878A0" w:rsidRPr="00171C5D" w:rsidRDefault="008878A0" w:rsidP="00941871">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2016./2017.</w:t>
            </w:r>
          </w:p>
        </w:tc>
        <w:tc>
          <w:tcPr>
            <w:tcW w:w="720" w:type="pct"/>
            <w:shd w:val="clear" w:color="auto" w:fill="D2232A"/>
            <w:noWrap/>
            <w:vAlign w:val="center"/>
            <w:hideMark/>
          </w:tcPr>
          <w:p w14:paraId="1F0C1B4D" w14:textId="77777777" w:rsidR="008878A0" w:rsidRPr="00171C5D" w:rsidRDefault="008878A0" w:rsidP="00941871">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2017./2018.</w:t>
            </w:r>
          </w:p>
        </w:tc>
        <w:tc>
          <w:tcPr>
            <w:tcW w:w="720" w:type="pct"/>
            <w:shd w:val="clear" w:color="auto" w:fill="D2232A"/>
            <w:noWrap/>
            <w:vAlign w:val="center"/>
            <w:hideMark/>
          </w:tcPr>
          <w:p w14:paraId="2E801D15" w14:textId="77777777" w:rsidR="008878A0" w:rsidRPr="00171C5D" w:rsidRDefault="008878A0" w:rsidP="00941871">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2018./2019.</w:t>
            </w:r>
          </w:p>
        </w:tc>
      </w:tr>
      <w:tr w:rsidR="008878A0" w14:paraId="6A60A4C4" w14:textId="77777777" w:rsidTr="007F04FE">
        <w:trPr>
          <w:trHeight w:val="292"/>
        </w:trPr>
        <w:tc>
          <w:tcPr>
            <w:tcW w:w="2119" w:type="pct"/>
            <w:shd w:val="clear" w:color="auto" w:fill="D2232A"/>
            <w:vAlign w:val="bottom"/>
            <w:hideMark/>
          </w:tcPr>
          <w:p w14:paraId="0B6C0DE6" w14:textId="77777777" w:rsidR="008878A0" w:rsidRPr="00171C5D" w:rsidRDefault="008878A0" w:rsidP="00941871">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pekar </w:t>
            </w:r>
          </w:p>
        </w:tc>
        <w:tc>
          <w:tcPr>
            <w:tcW w:w="720" w:type="pct"/>
            <w:noWrap/>
            <w:vAlign w:val="center"/>
            <w:hideMark/>
          </w:tcPr>
          <w:p w14:paraId="4B5DDEDC" w14:textId="77777777" w:rsidR="008878A0" w:rsidRPr="00171C5D" w:rsidRDefault="008878A0"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5</w:t>
            </w:r>
          </w:p>
        </w:tc>
        <w:tc>
          <w:tcPr>
            <w:tcW w:w="720" w:type="pct"/>
            <w:vAlign w:val="center"/>
            <w:hideMark/>
          </w:tcPr>
          <w:p w14:paraId="6B3B8180" w14:textId="51248CB9" w:rsidR="008878A0" w:rsidRPr="00171C5D" w:rsidRDefault="007F04FE" w:rsidP="007F04FE">
            <w:pPr>
              <w:spacing w:after="0"/>
              <w:jc w:val="right"/>
              <w:rPr>
                <w:rFonts w:eastAsia="Times New Roman" w:cs="Calibri"/>
                <w:color w:val="000000"/>
                <w:szCs w:val="18"/>
                <w:lang w:eastAsia="hr-HR"/>
              </w:rPr>
            </w:pPr>
            <w:r>
              <w:rPr>
                <w:rFonts w:eastAsia="Times New Roman" w:cs="Calibri"/>
                <w:color w:val="000000"/>
                <w:szCs w:val="18"/>
                <w:lang w:eastAsia="hr-HR"/>
              </w:rPr>
              <w:t>0</w:t>
            </w:r>
          </w:p>
        </w:tc>
        <w:tc>
          <w:tcPr>
            <w:tcW w:w="720" w:type="pct"/>
            <w:noWrap/>
            <w:vAlign w:val="center"/>
            <w:hideMark/>
          </w:tcPr>
          <w:p w14:paraId="64E3F4B3" w14:textId="77777777" w:rsidR="008878A0" w:rsidRPr="00171C5D" w:rsidRDefault="008878A0"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7</w:t>
            </w:r>
          </w:p>
        </w:tc>
        <w:tc>
          <w:tcPr>
            <w:tcW w:w="720" w:type="pct"/>
            <w:noWrap/>
            <w:vAlign w:val="center"/>
            <w:hideMark/>
          </w:tcPr>
          <w:p w14:paraId="182F51C5" w14:textId="77777777" w:rsidR="008878A0" w:rsidRPr="00171C5D" w:rsidRDefault="008878A0"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6</w:t>
            </w:r>
          </w:p>
        </w:tc>
      </w:tr>
      <w:tr w:rsidR="008878A0" w14:paraId="5FC8D695" w14:textId="77777777" w:rsidTr="007F04FE">
        <w:trPr>
          <w:trHeight w:val="292"/>
        </w:trPr>
        <w:tc>
          <w:tcPr>
            <w:tcW w:w="2119" w:type="pct"/>
            <w:shd w:val="clear" w:color="auto" w:fill="D2232A"/>
            <w:vAlign w:val="bottom"/>
            <w:hideMark/>
          </w:tcPr>
          <w:p w14:paraId="189DE7DF" w14:textId="77777777" w:rsidR="008878A0" w:rsidRPr="00171C5D" w:rsidRDefault="008878A0" w:rsidP="00941871">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pomoćni konobar </w:t>
            </w:r>
          </w:p>
        </w:tc>
        <w:tc>
          <w:tcPr>
            <w:tcW w:w="720" w:type="pct"/>
            <w:noWrap/>
            <w:vAlign w:val="center"/>
            <w:hideMark/>
          </w:tcPr>
          <w:p w14:paraId="7CD5025E" w14:textId="77777777" w:rsidR="008878A0" w:rsidRPr="00171C5D" w:rsidRDefault="008878A0"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7</w:t>
            </w:r>
          </w:p>
        </w:tc>
        <w:tc>
          <w:tcPr>
            <w:tcW w:w="720" w:type="pct"/>
            <w:vAlign w:val="center"/>
            <w:hideMark/>
          </w:tcPr>
          <w:p w14:paraId="12C8BE5F" w14:textId="77777777" w:rsidR="008878A0" w:rsidRPr="00171C5D" w:rsidRDefault="008878A0"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9</w:t>
            </w:r>
          </w:p>
        </w:tc>
        <w:tc>
          <w:tcPr>
            <w:tcW w:w="720" w:type="pct"/>
            <w:noWrap/>
            <w:vAlign w:val="center"/>
            <w:hideMark/>
          </w:tcPr>
          <w:p w14:paraId="3A3BFD7B" w14:textId="242D4B37" w:rsidR="008878A0" w:rsidRPr="00171C5D" w:rsidRDefault="007F04FE" w:rsidP="007F04FE">
            <w:pPr>
              <w:spacing w:after="0"/>
              <w:jc w:val="right"/>
              <w:rPr>
                <w:rFonts w:eastAsia="Times New Roman" w:cs="Calibri"/>
                <w:color w:val="000000"/>
                <w:szCs w:val="18"/>
                <w:lang w:eastAsia="hr-HR"/>
              </w:rPr>
            </w:pPr>
            <w:r>
              <w:rPr>
                <w:rFonts w:eastAsia="Times New Roman" w:cs="Calibri"/>
                <w:color w:val="000000"/>
                <w:szCs w:val="18"/>
                <w:lang w:eastAsia="hr-HR"/>
              </w:rPr>
              <w:t>0</w:t>
            </w:r>
          </w:p>
        </w:tc>
        <w:tc>
          <w:tcPr>
            <w:tcW w:w="720" w:type="pct"/>
            <w:noWrap/>
            <w:vAlign w:val="center"/>
            <w:hideMark/>
          </w:tcPr>
          <w:p w14:paraId="2A782FA7" w14:textId="0237726C" w:rsidR="008878A0" w:rsidRPr="00171C5D" w:rsidRDefault="007F04FE" w:rsidP="007F04FE">
            <w:pPr>
              <w:spacing w:after="0"/>
              <w:jc w:val="right"/>
              <w:rPr>
                <w:szCs w:val="18"/>
                <w:lang w:eastAsia="hr-HR"/>
              </w:rPr>
            </w:pPr>
            <w:r>
              <w:rPr>
                <w:rFonts w:eastAsia="Times New Roman" w:cs="Calibri"/>
                <w:color w:val="000000"/>
                <w:szCs w:val="18"/>
                <w:lang w:eastAsia="hr-HR"/>
              </w:rPr>
              <w:t>0</w:t>
            </w:r>
          </w:p>
        </w:tc>
      </w:tr>
      <w:tr w:rsidR="008878A0" w14:paraId="518CB452" w14:textId="77777777" w:rsidTr="007F04FE">
        <w:trPr>
          <w:trHeight w:val="292"/>
        </w:trPr>
        <w:tc>
          <w:tcPr>
            <w:tcW w:w="2119" w:type="pct"/>
            <w:shd w:val="clear" w:color="auto" w:fill="D2232A"/>
            <w:vAlign w:val="bottom"/>
            <w:hideMark/>
          </w:tcPr>
          <w:p w14:paraId="36DD05D2" w14:textId="77777777" w:rsidR="008878A0" w:rsidRPr="00171C5D" w:rsidRDefault="008878A0" w:rsidP="00941871">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barmen</w:t>
            </w:r>
          </w:p>
        </w:tc>
        <w:tc>
          <w:tcPr>
            <w:tcW w:w="720" w:type="pct"/>
            <w:noWrap/>
            <w:vAlign w:val="center"/>
            <w:hideMark/>
          </w:tcPr>
          <w:p w14:paraId="58350E26" w14:textId="023A3736" w:rsidR="008878A0" w:rsidRPr="00171C5D" w:rsidRDefault="007F04FE" w:rsidP="007F04FE">
            <w:pPr>
              <w:spacing w:after="0" w:line="240" w:lineRule="auto"/>
              <w:jc w:val="right"/>
              <w:rPr>
                <w:rFonts w:eastAsia="Times New Roman" w:cs="Calibri"/>
                <w:color w:val="000000"/>
                <w:szCs w:val="18"/>
                <w:lang w:eastAsia="hr-HR"/>
              </w:rPr>
            </w:pPr>
            <w:r>
              <w:rPr>
                <w:rFonts w:eastAsia="Times New Roman" w:cs="Calibri"/>
                <w:color w:val="000000"/>
                <w:szCs w:val="18"/>
                <w:lang w:eastAsia="hr-HR"/>
              </w:rPr>
              <w:t>0</w:t>
            </w:r>
          </w:p>
        </w:tc>
        <w:tc>
          <w:tcPr>
            <w:tcW w:w="720" w:type="pct"/>
            <w:noWrap/>
            <w:vAlign w:val="center"/>
            <w:hideMark/>
          </w:tcPr>
          <w:p w14:paraId="066C9EE0" w14:textId="5FF83C0C" w:rsidR="008878A0" w:rsidRPr="00171C5D" w:rsidRDefault="007F04FE" w:rsidP="007F04FE">
            <w:pPr>
              <w:spacing w:after="0"/>
              <w:jc w:val="right"/>
              <w:rPr>
                <w:szCs w:val="18"/>
                <w:lang w:eastAsia="hr-HR"/>
              </w:rPr>
            </w:pPr>
            <w:r>
              <w:rPr>
                <w:rFonts w:eastAsia="Times New Roman" w:cs="Calibri"/>
                <w:color w:val="000000"/>
                <w:szCs w:val="18"/>
                <w:lang w:eastAsia="hr-HR"/>
              </w:rPr>
              <w:t>0</w:t>
            </w:r>
          </w:p>
        </w:tc>
        <w:tc>
          <w:tcPr>
            <w:tcW w:w="720" w:type="pct"/>
            <w:noWrap/>
            <w:vAlign w:val="center"/>
            <w:hideMark/>
          </w:tcPr>
          <w:p w14:paraId="1017AD67" w14:textId="77777777" w:rsidR="008878A0" w:rsidRPr="00171C5D" w:rsidRDefault="008878A0"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9</w:t>
            </w:r>
          </w:p>
        </w:tc>
        <w:tc>
          <w:tcPr>
            <w:tcW w:w="720" w:type="pct"/>
            <w:noWrap/>
            <w:vAlign w:val="center"/>
            <w:hideMark/>
          </w:tcPr>
          <w:p w14:paraId="7763FA78" w14:textId="77777777" w:rsidR="008878A0" w:rsidRPr="00171C5D" w:rsidRDefault="008878A0"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11</w:t>
            </w:r>
          </w:p>
        </w:tc>
      </w:tr>
      <w:tr w:rsidR="007F04FE" w14:paraId="559BEF8F" w14:textId="77777777" w:rsidTr="007F04FE">
        <w:trPr>
          <w:trHeight w:val="292"/>
        </w:trPr>
        <w:tc>
          <w:tcPr>
            <w:tcW w:w="2119" w:type="pct"/>
            <w:shd w:val="clear" w:color="auto" w:fill="D2232A"/>
            <w:vAlign w:val="bottom"/>
            <w:hideMark/>
          </w:tcPr>
          <w:p w14:paraId="1DEE88D4"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poslužitelj jela i pića </w:t>
            </w:r>
          </w:p>
        </w:tc>
        <w:tc>
          <w:tcPr>
            <w:tcW w:w="720" w:type="pct"/>
            <w:vAlign w:val="center"/>
            <w:hideMark/>
          </w:tcPr>
          <w:p w14:paraId="6303FB17" w14:textId="20159502" w:rsidR="007F04FE" w:rsidRPr="00171C5D" w:rsidRDefault="007F04FE" w:rsidP="007F04FE">
            <w:pPr>
              <w:spacing w:after="0"/>
              <w:jc w:val="right"/>
              <w:rPr>
                <w:rFonts w:eastAsia="Times New Roman" w:cs="Calibri"/>
                <w:color w:val="000000"/>
                <w:szCs w:val="18"/>
                <w:lang w:eastAsia="hr-HR"/>
              </w:rPr>
            </w:pPr>
            <w:r w:rsidRPr="00B40AA9">
              <w:rPr>
                <w:rFonts w:eastAsia="Times New Roman" w:cs="Calibri"/>
                <w:color w:val="000000"/>
                <w:szCs w:val="18"/>
                <w:lang w:eastAsia="hr-HR"/>
              </w:rPr>
              <w:t>0</w:t>
            </w:r>
          </w:p>
        </w:tc>
        <w:tc>
          <w:tcPr>
            <w:tcW w:w="720" w:type="pct"/>
            <w:vAlign w:val="center"/>
            <w:hideMark/>
          </w:tcPr>
          <w:p w14:paraId="2AC48589"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w:t>
            </w:r>
          </w:p>
        </w:tc>
        <w:tc>
          <w:tcPr>
            <w:tcW w:w="720" w:type="pct"/>
            <w:noWrap/>
            <w:vAlign w:val="center"/>
            <w:hideMark/>
          </w:tcPr>
          <w:p w14:paraId="5043ACFD" w14:textId="6B81AF94" w:rsidR="007F04FE" w:rsidRPr="00171C5D" w:rsidRDefault="007F04FE" w:rsidP="007F04FE">
            <w:pPr>
              <w:spacing w:after="0"/>
              <w:jc w:val="right"/>
              <w:rPr>
                <w:rFonts w:eastAsia="Times New Roman" w:cs="Calibri"/>
                <w:color w:val="000000"/>
                <w:szCs w:val="18"/>
                <w:lang w:eastAsia="hr-HR"/>
              </w:rPr>
            </w:pPr>
            <w:r w:rsidRPr="007B1ECD">
              <w:rPr>
                <w:rFonts w:eastAsia="Times New Roman" w:cs="Calibri"/>
                <w:color w:val="000000"/>
                <w:szCs w:val="18"/>
                <w:lang w:eastAsia="hr-HR"/>
              </w:rPr>
              <w:t>0</w:t>
            </w:r>
          </w:p>
        </w:tc>
        <w:tc>
          <w:tcPr>
            <w:tcW w:w="720" w:type="pct"/>
            <w:noWrap/>
            <w:vAlign w:val="center"/>
            <w:hideMark/>
          </w:tcPr>
          <w:p w14:paraId="4F50460B" w14:textId="068C75F5" w:rsidR="007F04FE" w:rsidRPr="00171C5D" w:rsidRDefault="007F04FE" w:rsidP="007F04FE">
            <w:pPr>
              <w:spacing w:after="0"/>
              <w:jc w:val="right"/>
              <w:rPr>
                <w:szCs w:val="18"/>
                <w:lang w:eastAsia="hr-HR"/>
              </w:rPr>
            </w:pPr>
            <w:r w:rsidRPr="007B1ECD">
              <w:rPr>
                <w:rFonts w:eastAsia="Times New Roman" w:cs="Calibri"/>
                <w:color w:val="000000"/>
                <w:szCs w:val="18"/>
                <w:lang w:eastAsia="hr-HR"/>
              </w:rPr>
              <w:t>0</w:t>
            </w:r>
          </w:p>
        </w:tc>
      </w:tr>
      <w:tr w:rsidR="007F04FE" w14:paraId="605665B2" w14:textId="77777777" w:rsidTr="007F04FE">
        <w:trPr>
          <w:trHeight w:val="292"/>
        </w:trPr>
        <w:tc>
          <w:tcPr>
            <w:tcW w:w="2119" w:type="pct"/>
            <w:shd w:val="clear" w:color="auto" w:fill="D2232A"/>
            <w:vAlign w:val="bottom"/>
            <w:hideMark/>
          </w:tcPr>
          <w:p w14:paraId="5A421970"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priprematelj bureka i pizze </w:t>
            </w:r>
          </w:p>
        </w:tc>
        <w:tc>
          <w:tcPr>
            <w:tcW w:w="720" w:type="pct"/>
            <w:vAlign w:val="center"/>
            <w:hideMark/>
          </w:tcPr>
          <w:p w14:paraId="34D6CB62" w14:textId="7702429E" w:rsidR="007F04FE" w:rsidRPr="00171C5D" w:rsidRDefault="007F04FE" w:rsidP="007F04FE">
            <w:pPr>
              <w:spacing w:after="0"/>
              <w:jc w:val="right"/>
              <w:rPr>
                <w:rFonts w:eastAsia="Times New Roman" w:cs="Calibri"/>
                <w:color w:val="000000"/>
                <w:szCs w:val="18"/>
                <w:lang w:eastAsia="hr-HR"/>
              </w:rPr>
            </w:pPr>
            <w:r w:rsidRPr="00B40AA9">
              <w:rPr>
                <w:rFonts w:eastAsia="Times New Roman" w:cs="Calibri"/>
                <w:color w:val="000000"/>
                <w:szCs w:val="18"/>
                <w:lang w:eastAsia="hr-HR"/>
              </w:rPr>
              <w:t>0</w:t>
            </w:r>
          </w:p>
        </w:tc>
        <w:tc>
          <w:tcPr>
            <w:tcW w:w="720" w:type="pct"/>
            <w:vAlign w:val="center"/>
            <w:hideMark/>
          </w:tcPr>
          <w:p w14:paraId="2F454572"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3</w:t>
            </w:r>
          </w:p>
        </w:tc>
        <w:tc>
          <w:tcPr>
            <w:tcW w:w="720" w:type="pct"/>
            <w:noWrap/>
            <w:vAlign w:val="center"/>
            <w:hideMark/>
          </w:tcPr>
          <w:p w14:paraId="0F85EDE6" w14:textId="6939A28B" w:rsidR="007F04FE" w:rsidRPr="00171C5D" w:rsidRDefault="007F04FE" w:rsidP="007F04FE">
            <w:pPr>
              <w:spacing w:after="0"/>
              <w:jc w:val="right"/>
              <w:rPr>
                <w:rFonts w:eastAsia="Times New Roman" w:cs="Calibri"/>
                <w:color w:val="000000"/>
                <w:szCs w:val="18"/>
                <w:lang w:eastAsia="hr-HR"/>
              </w:rPr>
            </w:pPr>
            <w:r w:rsidRPr="007B1ECD">
              <w:rPr>
                <w:rFonts w:eastAsia="Times New Roman" w:cs="Calibri"/>
                <w:color w:val="000000"/>
                <w:szCs w:val="18"/>
                <w:lang w:eastAsia="hr-HR"/>
              </w:rPr>
              <w:t>0</w:t>
            </w:r>
          </w:p>
        </w:tc>
        <w:tc>
          <w:tcPr>
            <w:tcW w:w="720" w:type="pct"/>
            <w:noWrap/>
            <w:vAlign w:val="center"/>
            <w:hideMark/>
          </w:tcPr>
          <w:p w14:paraId="20044EF9" w14:textId="5595E4A9" w:rsidR="007F04FE" w:rsidRPr="00171C5D" w:rsidRDefault="007F04FE" w:rsidP="007F04FE">
            <w:pPr>
              <w:spacing w:after="0"/>
              <w:jc w:val="right"/>
              <w:rPr>
                <w:szCs w:val="18"/>
                <w:lang w:eastAsia="hr-HR"/>
              </w:rPr>
            </w:pPr>
            <w:r w:rsidRPr="007B1ECD">
              <w:rPr>
                <w:rFonts w:eastAsia="Times New Roman" w:cs="Calibri"/>
                <w:color w:val="000000"/>
                <w:szCs w:val="18"/>
                <w:lang w:eastAsia="hr-HR"/>
              </w:rPr>
              <w:t>0</w:t>
            </w:r>
          </w:p>
        </w:tc>
      </w:tr>
      <w:tr w:rsidR="007F04FE" w14:paraId="6CD1793D" w14:textId="77777777" w:rsidTr="007F04FE">
        <w:trPr>
          <w:trHeight w:val="292"/>
        </w:trPr>
        <w:tc>
          <w:tcPr>
            <w:tcW w:w="2119" w:type="pct"/>
            <w:shd w:val="clear" w:color="auto" w:fill="D2232A"/>
            <w:vAlign w:val="bottom"/>
            <w:hideMark/>
          </w:tcPr>
          <w:p w14:paraId="6D884330"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priprematelj jednostavnih jela i slastica</w:t>
            </w:r>
          </w:p>
        </w:tc>
        <w:tc>
          <w:tcPr>
            <w:tcW w:w="720" w:type="pct"/>
            <w:vAlign w:val="center"/>
            <w:hideMark/>
          </w:tcPr>
          <w:p w14:paraId="1F868D5D" w14:textId="2CC29FE2" w:rsidR="007F04FE" w:rsidRPr="00171C5D" w:rsidRDefault="007F04FE" w:rsidP="007F04FE">
            <w:pPr>
              <w:spacing w:after="0"/>
              <w:jc w:val="right"/>
              <w:rPr>
                <w:rFonts w:eastAsia="Times New Roman" w:cs="Calibri"/>
                <w:color w:val="000000"/>
                <w:szCs w:val="18"/>
                <w:lang w:eastAsia="hr-HR"/>
              </w:rPr>
            </w:pPr>
            <w:r w:rsidRPr="00B40AA9">
              <w:rPr>
                <w:rFonts w:eastAsia="Times New Roman" w:cs="Calibri"/>
                <w:color w:val="000000"/>
                <w:szCs w:val="18"/>
                <w:lang w:eastAsia="hr-HR"/>
              </w:rPr>
              <w:t>0</w:t>
            </w:r>
          </w:p>
        </w:tc>
        <w:tc>
          <w:tcPr>
            <w:tcW w:w="720" w:type="pct"/>
            <w:vAlign w:val="center"/>
            <w:hideMark/>
          </w:tcPr>
          <w:p w14:paraId="07E9E542"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4</w:t>
            </w:r>
          </w:p>
        </w:tc>
        <w:tc>
          <w:tcPr>
            <w:tcW w:w="720" w:type="pct"/>
            <w:noWrap/>
            <w:vAlign w:val="center"/>
            <w:hideMark/>
          </w:tcPr>
          <w:p w14:paraId="330CB87E" w14:textId="631DB058" w:rsidR="007F04FE" w:rsidRPr="00171C5D" w:rsidRDefault="007F04FE" w:rsidP="007F04FE">
            <w:pPr>
              <w:spacing w:after="0"/>
              <w:jc w:val="right"/>
              <w:rPr>
                <w:rFonts w:eastAsia="Times New Roman" w:cs="Calibri"/>
                <w:color w:val="000000"/>
                <w:szCs w:val="18"/>
                <w:lang w:eastAsia="hr-HR"/>
              </w:rPr>
            </w:pPr>
            <w:r w:rsidRPr="007B1ECD">
              <w:rPr>
                <w:rFonts w:eastAsia="Times New Roman" w:cs="Calibri"/>
                <w:color w:val="000000"/>
                <w:szCs w:val="18"/>
                <w:lang w:eastAsia="hr-HR"/>
              </w:rPr>
              <w:t>0</w:t>
            </w:r>
          </w:p>
        </w:tc>
        <w:tc>
          <w:tcPr>
            <w:tcW w:w="720" w:type="pct"/>
            <w:noWrap/>
            <w:vAlign w:val="center"/>
            <w:hideMark/>
          </w:tcPr>
          <w:p w14:paraId="0A0E975D" w14:textId="72720B1F" w:rsidR="007F04FE" w:rsidRPr="00171C5D" w:rsidRDefault="007F04FE" w:rsidP="007F04FE">
            <w:pPr>
              <w:spacing w:after="0"/>
              <w:jc w:val="right"/>
              <w:rPr>
                <w:szCs w:val="18"/>
                <w:lang w:eastAsia="hr-HR"/>
              </w:rPr>
            </w:pPr>
            <w:r w:rsidRPr="007B1ECD">
              <w:rPr>
                <w:rFonts w:eastAsia="Times New Roman" w:cs="Calibri"/>
                <w:color w:val="000000"/>
                <w:szCs w:val="18"/>
                <w:lang w:eastAsia="hr-HR"/>
              </w:rPr>
              <w:t>0</w:t>
            </w:r>
          </w:p>
        </w:tc>
      </w:tr>
      <w:tr w:rsidR="007F04FE" w14:paraId="4FE339AE" w14:textId="77777777" w:rsidTr="007F04FE">
        <w:trPr>
          <w:trHeight w:val="292"/>
        </w:trPr>
        <w:tc>
          <w:tcPr>
            <w:tcW w:w="2119" w:type="pct"/>
            <w:shd w:val="clear" w:color="auto" w:fill="D2232A"/>
            <w:vAlign w:val="bottom"/>
            <w:hideMark/>
          </w:tcPr>
          <w:p w14:paraId="3B250AAD"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sobarica </w:t>
            </w:r>
          </w:p>
        </w:tc>
        <w:tc>
          <w:tcPr>
            <w:tcW w:w="720" w:type="pct"/>
            <w:vAlign w:val="center"/>
            <w:hideMark/>
          </w:tcPr>
          <w:p w14:paraId="17176FE2" w14:textId="417C7DF0" w:rsidR="007F04FE" w:rsidRPr="00171C5D" w:rsidRDefault="007F04FE" w:rsidP="007F04FE">
            <w:pPr>
              <w:spacing w:after="0"/>
              <w:jc w:val="right"/>
              <w:rPr>
                <w:rFonts w:eastAsia="Times New Roman" w:cs="Calibri"/>
                <w:color w:val="000000"/>
                <w:szCs w:val="18"/>
                <w:lang w:eastAsia="hr-HR"/>
              </w:rPr>
            </w:pPr>
            <w:r w:rsidRPr="00B40AA9">
              <w:rPr>
                <w:rFonts w:eastAsia="Times New Roman" w:cs="Calibri"/>
                <w:color w:val="000000"/>
                <w:szCs w:val="18"/>
                <w:lang w:eastAsia="hr-HR"/>
              </w:rPr>
              <w:t>0</w:t>
            </w:r>
          </w:p>
        </w:tc>
        <w:tc>
          <w:tcPr>
            <w:tcW w:w="720" w:type="pct"/>
            <w:noWrap/>
            <w:vAlign w:val="center"/>
            <w:hideMark/>
          </w:tcPr>
          <w:p w14:paraId="792BED31"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2</w:t>
            </w:r>
          </w:p>
        </w:tc>
        <w:tc>
          <w:tcPr>
            <w:tcW w:w="720" w:type="pct"/>
            <w:noWrap/>
            <w:vAlign w:val="center"/>
            <w:hideMark/>
          </w:tcPr>
          <w:p w14:paraId="25376491" w14:textId="050317DC" w:rsidR="007F04FE" w:rsidRPr="00171C5D" w:rsidRDefault="007F04FE" w:rsidP="007F04FE">
            <w:pPr>
              <w:spacing w:after="0"/>
              <w:jc w:val="right"/>
              <w:rPr>
                <w:rFonts w:eastAsia="Times New Roman" w:cs="Calibri"/>
                <w:color w:val="000000"/>
                <w:szCs w:val="18"/>
                <w:lang w:eastAsia="hr-HR"/>
              </w:rPr>
            </w:pPr>
            <w:r w:rsidRPr="007B1ECD">
              <w:rPr>
                <w:rFonts w:eastAsia="Times New Roman" w:cs="Calibri"/>
                <w:color w:val="000000"/>
                <w:szCs w:val="18"/>
                <w:lang w:eastAsia="hr-HR"/>
              </w:rPr>
              <w:t>0</w:t>
            </w:r>
          </w:p>
        </w:tc>
        <w:tc>
          <w:tcPr>
            <w:tcW w:w="720" w:type="pct"/>
            <w:noWrap/>
            <w:vAlign w:val="center"/>
            <w:hideMark/>
          </w:tcPr>
          <w:p w14:paraId="5919DA94" w14:textId="1C219B66" w:rsidR="007F04FE" w:rsidRPr="00171C5D" w:rsidRDefault="007F04FE" w:rsidP="007F04FE">
            <w:pPr>
              <w:spacing w:after="0"/>
              <w:jc w:val="right"/>
              <w:rPr>
                <w:szCs w:val="18"/>
                <w:lang w:eastAsia="hr-HR"/>
              </w:rPr>
            </w:pPr>
            <w:r w:rsidRPr="007B1ECD">
              <w:rPr>
                <w:rFonts w:eastAsia="Times New Roman" w:cs="Calibri"/>
                <w:color w:val="000000"/>
                <w:szCs w:val="18"/>
                <w:lang w:eastAsia="hr-HR"/>
              </w:rPr>
              <w:t>0</w:t>
            </w:r>
          </w:p>
        </w:tc>
      </w:tr>
      <w:tr w:rsidR="007F04FE" w14:paraId="046D588A" w14:textId="77777777" w:rsidTr="007F04FE">
        <w:trPr>
          <w:trHeight w:val="292"/>
        </w:trPr>
        <w:tc>
          <w:tcPr>
            <w:tcW w:w="2119" w:type="pct"/>
            <w:shd w:val="clear" w:color="auto" w:fill="D2232A"/>
            <w:vAlign w:val="bottom"/>
            <w:hideMark/>
          </w:tcPr>
          <w:p w14:paraId="5B28A0DA"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šivač </w:t>
            </w:r>
          </w:p>
        </w:tc>
        <w:tc>
          <w:tcPr>
            <w:tcW w:w="720" w:type="pct"/>
            <w:noWrap/>
            <w:vAlign w:val="center"/>
            <w:hideMark/>
          </w:tcPr>
          <w:p w14:paraId="40AFA077"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20</w:t>
            </w:r>
          </w:p>
        </w:tc>
        <w:tc>
          <w:tcPr>
            <w:tcW w:w="720" w:type="pct"/>
            <w:vAlign w:val="center"/>
            <w:hideMark/>
          </w:tcPr>
          <w:p w14:paraId="2CABC3D5"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16</w:t>
            </w:r>
          </w:p>
        </w:tc>
        <w:tc>
          <w:tcPr>
            <w:tcW w:w="720" w:type="pct"/>
            <w:noWrap/>
            <w:vAlign w:val="center"/>
            <w:hideMark/>
          </w:tcPr>
          <w:p w14:paraId="54848A9C" w14:textId="62B6F802" w:rsidR="007F04FE" w:rsidRPr="00171C5D" w:rsidRDefault="007F04FE" w:rsidP="007F04FE">
            <w:pPr>
              <w:spacing w:after="0"/>
              <w:jc w:val="right"/>
              <w:rPr>
                <w:rFonts w:eastAsia="Times New Roman" w:cs="Calibri"/>
                <w:color w:val="000000"/>
                <w:szCs w:val="18"/>
                <w:lang w:eastAsia="hr-HR"/>
              </w:rPr>
            </w:pPr>
            <w:r w:rsidRPr="007B1ECD">
              <w:rPr>
                <w:rFonts w:eastAsia="Times New Roman" w:cs="Calibri"/>
                <w:color w:val="000000"/>
                <w:szCs w:val="18"/>
                <w:lang w:eastAsia="hr-HR"/>
              </w:rPr>
              <w:t>0</w:t>
            </w:r>
          </w:p>
        </w:tc>
        <w:tc>
          <w:tcPr>
            <w:tcW w:w="720" w:type="pct"/>
            <w:noWrap/>
            <w:vAlign w:val="center"/>
            <w:hideMark/>
          </w:tcPr>
          <w:p w14:paraId="7BC66067" w14:textId="50536AB3" w:rsidR="007F04FE" w:rsidRPr="00171C5D" w:rsidRDefault="007F04FE" w:rsidP="007F04FE">
            <w:pPr>
              <w:spacing w:after="0"/>
              <w:jc w:val="right"/>
              <w:rPr>
                <w:szCs w:val="18"/>
                <w:lang w:eastAsia="hr-HR"/>
              </w:rPr>
            </w:pPr>
            <w:r w:rsidRPr="007B1ECD">
              <w:rPr>
                <w:rFonts w:eastAsia="Times New Roman" w:cs="Calibri"/>
                <w:color w:val="000000"/>
                <w:szCs w:val="18"/>
                <w:lang w:eastAsia="hr-HR"/>
              </w:rPr>
              <w:t>0</w:t>
            </w:r>
          </w:p>
        </w:tc>
      </w:tr>
      <w:tr w:rsidR="007F04FE" w14:paraId="4AD67772" w14:textId="77777777" w:rsidTr="007F04FE">
        <w:trPr>
          <w:trHeight w:val="277"/>
        </w:trPr>
        <w:tc>
          <w:tcPr>
            <w:tcW w:w="2119" w:type="pct"/>
            <w:shd w:val="clear" w:color="auto" w:fill="D2232A"/>
            <w:vAlign w:val="bottom"/>
            <w:hideMark/>
          </w:tcPr>
          <w:p w14:paraId="71EA6931"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pomoćnik u nastavi u radu s učenicima s teškoćama </w:t>
            </w:r>
          </w:p>
        </w:tc>
        <w:tc>
          <w:tcPr>
            <w:tcW w:w="720" w:type="pct"/>
            <w:noWrap/>
            <w:vAlign w:val="center"/>
            <w:hideMark/>
          </w:tcPr>
          <w:p w14:paraId="48D26C72"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21</w:t>
            </w:r>
          </w:p>
        </w:tc>
        <w:tc>
          <w:tcPr>
            <w:tcW w:w="720" w:type="pct"/>
            <w:vAlign w:val="center"/>
            <w:hideMark/>
          </w:tcPr>
          <w:p w14:paraId="4B971DC4" w14:textId="186EC04D" w:rsidR="007F04FE" w:rsidRPr="00171C5D" w:rsidRDefault="007F04FE" w:rsidP="007F04FE">
            <w:pPr>
              <w:spacing w:after="0"/>
              <w:jc w:val="right"/>
              <w:rPr>
                <w:rFonts w:eastAsia="Times New Roman" w:cs="Calibri"/>
                <w:color w:val="000000"/>
                <w:szCs w:val="18"/>
                <w:lang w:eastAsia="hr-HR"/>
              </w:rPr>
            </w:pPr>
            <w:r>
              <w:rPr>
                <w:rFonts w:eastAsia="Times New Roman" w:cs="Calibri"/>
                <w:color w:val="000000"/>
                <w:szCs w:val="18"/>
                <w:lang w:eastAsia="hr-HR"/>
              </w:rPr>
              <w:t>0</w:t>
            </w:r>
          </w:p>
        </w:tc>
        <w:tc>
          <w:tcPr>
            <w:tcW w:w="720" w:type="pct"/>
            <w:noWrap/>
            <w:vAlign w:val="center"/>
            <w:hideMark/>
          </w:tcPr>
          <w:p w14:paraId="7F5DC58F" w14:textId="2055618F" w:rsidR="007F04FE" w:rsidRPr="00171C5D" w:rsidRDefault="007F04FE" w:rsidP="007F04FE">
            <w:pPr>
              <w:spacing w:after="0"/>
              <w:jc w:val="right"/>
              <w:rPr>
                <w:szCs w:val="18"/>
                <w:lang w:eastAsia="hr-HR"/>
              </w:rPr>
            </w:pPr>
            <w:r w:rsidRPr="007B1ECD">
              <w:rPr>
                <w:rFonts w:eastAsia="Times New Roman" w:cs="Calibri"/>
                <w:color w:val="000000"/>
                <w:szCs w:val="18"/>
                <w:lang w:eastAsia="hr-HR"/>
              </w:rPr>
              <w:t>0</w:t>
            </w:r>
          </w:p>
        </w:tc>
        <w:tc>
          <w:tcPr>
            <w:tcW w:w="720" w:type="pct"/>
            <w:noWrap/>
            <w:vAlign w:val="center"/>
            <w:hideMark/>
          </w:tcPr>
          <w:p w14:paraId="4B710B97" w14:textId="2B313C48" w:rsidR="007F04FE" w:rsidRPr="00171C5D" w:rsidRDefault="007F04FE" w:rsidP="007F04FE">
            <w:pPr>
              <w:spacing w:after="0"/>
              <w:jc w:val="right"/>
              <w:rPr>
                <w:szCs w:val="18"/>
                <w:lang w:eastAsia="hr-HR"/>
              </w:rPr>
            </w:pPr>
            <w:r w:rsidRPr="007B1ECD">
              <w:rPr>
                <w:rFonts w:eastAsia="Times New Roman" w:cs="Calibri"/>
                <w:color w:val="000000"/>
                <w:szCs w:val="18"/>
                <w:lang w:eastAsia="hr-HR"/>
              </w:rPr>
              <w:t>0</w:t>
            </w:r>
          </w:p>
        </w:tc>
      </w:tr>
      <w:tr w:rsidR="007F04FE" w14:paraId="62B105FE" w14:textId="77777777" w:rsidTr="007F04FE">
        <w:trPr>
          <w:trHeight w:val="292"/>
        </w:trPr>
        <w:tc>
          <w:tcPr>
            <w:tcW w:w="2119" w:type="pct"/>
            <w:shd w:val="clear" w:color="auto" w:fill="D2232A"/>
            <w:vAlign w:val="bottom"/>
            <w:hideMark/>
          </w:tcPr>
          <w:p w14:paraId="20B13738"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strani jezici (engleski, njemački, talijanski) </w:t>
            </w:r>
          </w:p>
        </w:tc>
        <w:tc>
          <w:tcPr>
            <w:tcW w:w="720" w:type="pct"/>
            <w:noWrap/>
            <w:vAlign w:val="center"/>
            <w:hideMark/>
          </w:tcPr>
          <w:p w14:paraId="49A01AE9" w14:textId="20B706A2" w:rsidR="007F04FE" w:rsidRPr="00171C5D" w:rsidRDefault="007F04FE" w:rsidP="007F04FE">
            <w:pPr>
              <w:spacing w:after="0"/>
              <w:jc w:val="right"/>
              <w:rPr>
                <w:rFonts w:eastAsia="Times New Roman" w:cs="Calibri"/>
                <w:color w:val="000000"/>
                <w:szCs w:val="18"/>
                <w:lang w:eastAsia="hr-HR"/>
              </w:rPr>
            </w:pPr>
            <w:r w:rsidRPr="00156A8C">
              <w:rPr>
                <w:rFonts w:eastAsia="Times New Roman" w:cs="Calibri"/>
                <w:color w:val="000000"/>
                <w:szCs w:val="18"/>
                <w:lang w:eastAsia="hr-HR"/>
              </w:rPr>
              <w:t>0</w:t>
            </w:r>
          </w:p>
        </w:tc>
        <w:tc>
          <w:tcPr>
            <w:tcW w:w="720" w:type="pct"/>
            <w:noWrap/>
            <w:vAlign w:val="center"/>
            <w:hideMark/>
          </w:tcPr>
          <w:p w14:paraId="1E3545FF" w14:textId="28862B54" w:rsidR="007F04FE" w:rsidRPr="00171C5D" w:rsidRDefault="007F04FE" w:rsidP="007F04FE">
            <w:pPr>
              <w:spacing w:after="0"/>
              <w:jc w:val="right"/>
              <w:rPr>
                <w:szCs w:val="18"/>
                <w:lang w:eastAsia="hr-HR"/>
              </w:rPr>
            </w:pPr>
            <w:r w:rsidRPr="00156A8C">
              <w:rPr>
                <w:rFonts w:eastAsia="Times New Roman" w:cs="Calibri"/>
                <w:color w:val="000000"/>
                <w:szCs w:val="18"/>
                <w:lang w:eastAsia="hr-HR"/>
              </w:rPr>
              <w:t>0</w:t>
            </w:r>
          </w:p>
        </w:tc>
        <w:tc>
          <w:tcPr>
            <w:tcW w:w="720" w:type="pct"/>
            <w:noWrap/>
            <w:vAlign w:val="center"/>
            <w:hideMark/>
          </w:tcPr>
          <w:p w14:paraId="7CCB09F2" w14:textId="3E38EB04" w:rsidR="007F04FE" w:rsidRPr="00171C5D" w:rsidRDefault="007F04FE" w:rsidP="007F04FE">
            <w:pPr>
              <w:spacing w:after="0"/>
              <w:jc w:val="right"/>
              <w:rPr>
                <w:szCs w:val="18"/>
                <w:lang w:eastAsia="hr-HR"/>
              </w:rPr>
            </w:pPr>
            <w:r w:rsidRPr="00156A8C">
              <w:rPr>
                <w:rFonts w:eastAsia="Times New Roman" w:cs="Calibri"/>
                <w:color w:val="000000"/>
                <w:szCs w:val="18"/>
                <w:lang w:eastAsia="hr-HR"/>
              </w:rPr>
              <w:t>0</w:t>
            </w:r>
          </w:p>
        </w:tc>
        <w:tc>
          <w:tcPr>
            <w:tcW w:w="720" w:type="pct"/>
            <w:noWrap/>
            <w:vAlign w:val="center"/>
            <w:hideMark/>
          </w:tcPr>
          <w:p w14:paraId="14497F9A"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27</w:t>
            </w:r>
          </w:p>
        </w:tc>
      </w:tr>
      <w:tr w:rsidR="007F04FE" w14:paraId="5584C581" w14:textId="77777777" w:rsidTr="007F04FE">
        <w:trPr>
          <w:trHeight w:val="292"/>
        </w:trPr>
        <w:tc>
          <w:tcPr>
            <w:tcW w:w="2119" w:type="pct"/>
            <w:shd w:val="clear" w:color="auto" w:fill="D2232A"/>
            <w:vAlign w:val="bottom"/>
            <w:hideMark/>
          </w:tcPr>
          <w:p w14:paraId="3C3FD351"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voditelj izrade i provedbe projekata financiranih iz EU fondova </w:t>
            </w:r>
          </w:p>
        </w:tc>
        <w:tc>
          <w:tcPr>
            <w:tcW w:w="720" w:type="pct"/>
            <w:vAlign w:val="center"/>
            <w:hideMark/>
          </w:tcPr>
          <w:p w14:paraId="779A8F6F" w14:textId="6FD06ACE"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vAlign w:val="center"/>
            <w:hideMark/>
          </w:tcPr>
          <w:p w14:paraId="7F7D7A53"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10</w:t>
            </w:r>
          </w:p>
        </w:tc>
        <w:tc>
          <w:tcPr>
            <w:tcW w:w="720" w:type="pct"/>
            <w:noWrap/>
            <w:vAlign w:val="center"/>
            <w:hideMark/>
          </w:tcPr>
          <w:p w14:paraId="0BCABCAA" w14:textId="0DF8F04C" w:rsidR="007F04FE" w:rsidRPr="00171C5D" w:rsidRDefault="007F04FE" w:rsidP="007F04FE">
            <w:pPr>
              <w:spacing w:after="0"/>
              <w:jc w:val="right"/>
              <w:rPr>
                <w:rFonts w:eastAsia="Times New Roman" w:cs="Calibri"/>
                <w:color w:val="000000"/>
                <w:szCs w:val="18"/>
                <w:lang w:eastAsia="hr-HR"/>
              </w:rPr>
            </w:pPr>
            <w:r>
              <w:rPr>
                <w:rFonts w:eastAsia="Times New Roman" w:cs="Calibri"/>
                <w:color w:val="000000"/>
                <w:szCs w:val="18"/>
                <w:lang w:eastAsia="hr-HR"/>
              </w:rPr>
              <w:t>0</w:t>
            </w:r>
          </w:p>
        </w:tc>
        <w:tc>
          <w:tcPr>
            <w:tcW w:w="720" w:type="pct"/>
            <w:noWrap/>
            <w:vAlign w:val="center"/>
            <w:hideMark/>
          </w:tcPr>
          <w:p w14:paraId="7BB478A1" w14:textId="22275E77" w:rsidR="007F04FE" w:rsidRPr="00171C5D" w:rsidRDefault="007F04FE" w:rsidP="007F04FE">
            <w:pPr>
              <w:spacing w:after="0"/>
              <w:jc w:val="right"/>
              <w:rPr>
                <w:szCs w:val="18"/>
                <w:lang w:eastAsia="hr-HR"/>
              </w:rPr>
            </w:pPr>
            <w:r>
              <w:rPr>
                <w:rFonts w:eastAsia="Times New Roman" w:cs="Calibri"/>
                <w:color w:val="000000"/>
                <w:szCs w:val="18"/>
                <w:lang w:eastAsia="hr-HR"/>
              </w:rPr>
              <w:t>0</w:t>
            </w:r>
          </w:p>
        </w:tc>
      </w:tr>
      <w:tr w:rsidR="007F04FE" w14:paraId="2376C1C2" w14:textId="77777777" w:rsidTr="007F04FE">
        <w:trPr>
          <w:trHeight w:val="292"/>
        </w:trPr>
        <w:tc>
          <w:tcPr>
            <w:tcW w:w="2119" w:type="pct"/>
            <w:shd w:val="clear" w:color="auto" w:fill="D2232A"/>
            <w:vAlign w:val="bottom"/>
            <w:hideMark/>
          </w:tcPr>
          <w:p w14:paraId="6199BA02"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operater na računalima </w:t>
            </w:r>
          </w:p>
        </w:tc>
        <w:tc>
          <w:tcPr>
            <w:tcW w:w="720" w:type="pct"/>
            <w:vAlign w:val="center"/>
            <w:hideMark/>
          </w:tcPr>
          <w:p w14:paraId="6181B7E4" w14:textId="299E4146"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vAlign w:val="center"/>
            <w:hideMark/>
          </w:tcPr>
          <w:p w14:paraId="48788583" w14:textId="7740DA05" w:rsidR="007F04FE" w:rsidRPr="00171C5D" w:rsidRDefault="007F04FE" w:rsidP="007F04FE">
            <w:pPr>
              <w:spacing w:after="0"/>
              <w:jc w:val="right"/>
              <w:rPr>
                <w:szCs w:val="18"/>
                <w:lang w:eastAsia="hr-HR"/>
              </w:rPr>
            </w:pPr>
            <w:r>
              <w:rPr>
                <w:rFonts w:eastAsia="Times New Roman" w:cs="Calibri"/>
                <w:color w:val="000000"/>
                <w:szCs w:val="18"/>
                <w:lang w:eastAsia="hr-HR"/>
              </w:rPr>
              <w:t>0</w:t>
            </w:r>
          </w:p>
        </w:tc>
        <w:tc>
          <w:tcPr>
            <w:tcW w:w="720" w:type="pct"/>
            <w:noWrap/>
            <w:vAlign w:val="center"/>
            <w:hideMark/>
          </w:tcPr>
          <w:p w14:paraId="52A6CAB4"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33</w:t>
            </w:r>
          </w:p>
        </w:tc>
        <w:tc>
          <w:tcPr>
            <w:tcW w:w="720" w:type="pct"/>
            <w:noWrap/>
            <w:vAlign w:val="center"/>
            <w:hideMark/>
          </w:tcPr>
          <w:p w14:paraId="63BB4C9B" w14:textId="7BECAD1C" w:rsidR="007F04FE" w:rsidRPr="00171C5D" w:rsidRDefault="007F04FE" w:rsidP="007F04FE">
            <w:pPr>
              <w:spacing w:after="0"/>
              <w:jc w:val="right"/>
              <w:rPr>
                <w:rFonts w:eastAsia="Times New Roman" w:cs="Calibri"/>
                <w:color w:val="000000"/>
                <w:szCs w:val="18"/>
                <w:lang w:eastAsia="hr-HR"/>
              </w:rPr>
            </w:pPr>
            <w:r>
              <w:rPr>
                <w:rFonts w:eastAsia="Times New Roman" w:cs="Calibri"/>
                <w:color w:val="000000"/>
                <w:szCs w:val="18"/>
                <w:lang w:eastAsia="hr-HR"/>
              </w:rPr>
              <w:t>0</w:t>
            </w:r>
          </w:p>
        </w:tc>
      </w:tr>
      <w:tr w:rsidR="007F04FE" w14:paraId="59538041" w14:textId="77777777" w:rsidTr="007F04FE">
        <w:trPr>
          <w:trHeight w:val="292"/>
        </w:trPr>
        <w:tc>
          <w:tcPr>
            <w:tcW w:w="2119" w:type="pct"/>
            <w:shd w:val="clear" w:color="auto" w:fill="D2232A"/>
            <w:vAlign w:val="bottom"/>
            <w:hideMark/>
          </w:tcPr>
          <w:p w14:paraId="1DF3F516"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računalni operater </w:t>
            </w:r>
          </w:p>
        </w:tc>
        <w:tc>
          <w:tcPr>
            <w:tcW w:w="720" w:type="pct"/>
            <w:vAlign w:val="center"/>
            <w:hideMark/>
          </w:tcPr>
          <w:p w14:paraId="330E1D04" w14:textId="373AD0C1"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vAlign w:val="center"/>
            <w:hideMark/>
          </w:tcPr>
          <w:p w14:paraId="3F7BFBFE"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5</w:t>
            </w:r>
          </w:p>
        </w:tc>
        <w:tc>
          <w:tcPr>
            <w:tcW w:w="720" w:type="pct"/>
            <w:noWrap/>
            <w:vAlign w:val="center"/>
            <w:hideMark/>
          </w:tcPr>
          <w:p w14:paraId="127F1B70" w14:textId="098C4EAD" w:rsidR="007F04FE" w:rsidRPr="00171C5D" w:rsidRDefault="007F04FE" w:rsidP="007F04FE">
            <w:pPr>
              <w:spacing w:after="0"/>
              <w:jc w:val="right"/>
              <w:rPr>
                <w:rFonts w:eastAsia="Times New Roman" w:cs="Calibri"/>
                <w:color w:val="000000"/>
                <w:szCs w:val="18"/>
                <w:lang w:eastAsia="hr-HR"/>
              </w:rPr>
            </w:pPr>
            <w:r w:rsidRPr="00E7321D">
              <w:rPr>
                <w:rFonts w:eastAsia="Times New Roman" w:cs="Calibri"/>
                <w:color w:val="000000"/>
                <w:szCs w:val="18"/>
                <w:lang w:eastAsia="hr-HR"/>
              </w:rPr>
              <w:t>0</w:t>
            </w:r>
          </w:p>
        </w:tc>
        <w:tc>
          <w:tcPr>
            <w:tcW w:w="720" w:type="pct"/>
            <w:noWrap/>
            <w:vAlign w:val="center"/>
            <w:hideMark/>
          </w:tcPr>
          <w:p w14:paraId="314C5B33" w14:textId="1D0B0BD1" w:rsidR="007F04FE" w:rsidRPr="00171C5D" w:rsidRDefault="007F04FE" w:rsidP="007F04FE">
            <w:pPr>
              <w:spacing w:after="0"/>
              <w:jc w:val="right"/>
              <w:rPr>
                <w:szCs w:val="18"/>
                <w:lang w:eastAsia="hr-HR"/>
              </w:rPr>
            </w:pPr>
            <w:r w:rsidRPr="00E7321D">
              <w:rPr>
                <w:rFonts w:eastAsia="Times New Roman" w:cs="Calibri"/>
                <w:color w:val="000000"/>
                <w:szCs w:val="18"/>
                <w:lang w:eastAsia="hr-HR"/>
              </w:rPr>
              <w:t>0</w:t>
            </w:r>
          </w:p>
        </w:tc>
      </w:tr>
      <w:tr w:rsidR="007F04FE" w14:paraId="05177BCE" w14:textId="77777777" w:rsidTr="007F04FE">
        <w:trPr>
          <w:trHeight w:val="292"/>
        </w:trPr>
        <w:tc>
          <w:tcPr>
            <w:tcW w:w="2119" w:type="pct"/>
            <w:shd w:val="clear" w:color="auto" w:fill="D2232A"/>
            <w:vAlign w:val="bottom"/>
            <w:hideMark/>
          </w:tcPr>
          <w:p w14:paraId="736C1773"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lastRenderedPageBreak/>
              <w:t xml:space="preserve">zavarivač </w:t>
            </w:r>
          </w:p>
        </w:tc>
        <w:tc>
          <w:tcPr>
            <w:tcW w:w="720" w:type="pct"/>
            <w:vAlign w:val="center"/>
            <w:hideMark/>
          </w:tcPr>
          <w:p w14:paraId="14CC8ED1" w14:textId="66674A09"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vAlign w:val="center"/>
            <w:hideMark/>
          </w:tcPr>
          <w:p w14:paraId="068F9B1B"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13</w:t>
            </w:r>
          </w:p>
        </w:tc>
        <w:tc>
          <w:tcPr>
            <w:tcW w:w="720" w:type="pct"/>
            <w:noWrap/>
            <w:vAlign w:val="center"/>
            <w:hideMark/>
          </w:tcPr>
          <w:p w14:paraId="4E3E109B" w14:textId="66B2F978" w:rsidR="007F04FE" w:rsidRPr="00171C5D" w:rsidRDefault="007F04FE" w:rsidP="007F04FE">
            <w:pPr>
              <w:spacing w:after="0"/>
              <w:jc w:val="right"/>
              <w:rPr>
                <w:rFonts w:eastAsia="Times New Roman" w:cs="Calibri"/>
                <w:color w:val="000000"/>
                <w:szCs w:val="18"/>
                <w:lang w:eastAsia="hr-HR"/>
              </w:rPr>
            </w:pPr>
            <w:r w:rsidRPr="00E7321D">
              <w:rPr>
                <w:rFonts w:eastAsia="Times New Roman" w:cs="Calibri"/>
                <w:color w:val="000000"/>
                <w:szCs w:val="18"/>
                <w:lang w:eastAsia="hr-HR"/>
              </w:rPr>
              <w:t>0</w:t>
            </w:r>
          </w:p>
        </w:tc>
        <w:tc>
          <w:tcPr>
            <w:tcW w:w="720" w:type="pct"/>
            <w:noWrap/>
            <w:vAlign w:val="center"/>
            <w:hideMark/>
          </w:tcPr>
          <w:p w14:paraId="3E0FF42F" w14:textId="4BD102D4" w:rsidR="007F04FE" w:rsidRPr="00171C5D" w:rsidRDefault="007F04FE" w:rsidP="007F04FE">
            <w:pPr>
              <w:spacing w:after="0"/>
              <w:jc w:val="right"/>
              <w:rPr>
                <w:szCs w:val="18"/>
                <w:lang w:eastAsia="hr-HR"/>
              </w:rPr>
            </w:pPr>
            <w:r w:rsidRPr="00E7321D">
              <w:rPr>
                <w:rFonts w:eastAsia="Times New Roman" w:cs="Calibri"/>
                <w:color w:val="000000"/>
                <w:szCs w:val="18"/>
                <w:lang w:eastAsia="hr-HR"/>
              </w:rPr>
              <w:t>0</w:t>
            </w:r>
          </w:p>
        </w:tc>
      </w:tr>
      <w:tr w:rsidR="007F04FE" w14:paraId="4758CC79" w14:textId="77777777" w:rsidTr="007F04FE">
        <w:trPr>
          <w:trHeight w:val="292"/>
        </w:trPr>
        <w:tc>
          <w:tcPr>
            <w:tcW w:w="2119" w:type="pct"/>
            <w:shd w:val="clear" w:color="auto" w:fill="D2232A"/>
            <w:vAlign w:val="bottom"/>
            <w:hideMark/>
          </w:tcPr>
          <w:p w14:paraId="70F5414F"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zavarivač TIG postupkom </w:t>
            </w:r>
          </w:p>
        </w:tc>
        <w:tc>
          <w:tcPr>
            <w:tcW w:w="720" w:type="pct"/>
            <w:vAlign w:val="center"/>
            <w:hideMark/>
          </w:tcPr>
          <w:p w14:paraId="0BD76BBD" w14:textId="239037E1"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vAlign w:val="center"/>
            <w:hideMark/>
          </w:tcPr>
          <w:p w14:paraId="624CE4D6"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4</w:t>
            </w:r>
          </w:p>
        </w:tc>
        <w:tc>
          <w:tcPr>
            <w:tcW w:w="720" w:type="pct"/>
            <w:noWrap/>
            <w:vAlign w:val="center"/>
            <w:hideMark/>
          </w:tcPr>
          <w:p w14:paraId="3AF3C1E8" w14:textId="7B195A64" w:rsidR="007F04FE" w:rsidRPr="00171C5D" w:rsidRDefault="007F04FE" w:rsidP="007F04FE">
            <w:pPr>
              <w:spacing w:after="0"/>
              <w:jc w:val="right"/>
              <w:rPr>
                <w:rFonts w:eastAsia="Times New Roman" w:cs="Calibri"/>
                <w:color w:val="000000"/>
                <w:szCs w:val="18"/>
                <w:lang w:eastAsia="hr-HR"/>
              </w:rPr>
            </w:pPr>
            <w:r w:rsidRPr="00E7321D">
              <w:rPr>
                <w:rFonts w:eastAsia="Times New Roman" w:cs="Calibri"/>
                <w:color w:val="000000"/>
                <w:szCs w:val="18"/>
                <w:lang w:eastAsia="hr-HR"/>
              </w:rPr>
              <w:t>0</w:t>
            </w:r>
          </w:p>
        </w:tc>
        <w:tc>
          <w:tcPr>
            <w:tcW w:w="720" w:type="pct"/>
            <w:noWrap/>
            <w:vAlign w:val="center"/>
            <w:hideMark/>
          </w:tcPr>
          <w:p w14:paraId="3462A4CB" w14:textId="2C6657CF" w:rsidR="007F04FE" w:rsidRPr="00171C5D" w:rsidRDefault="007F04FE" w:rsidP="007F04FE">
            <w:pPr>
              <w:spacing w:after="0"/>
              <w:jc w:val="right"/>
              <w:rPr>
                <w:szCs w:val="18"/>
                <w:lang w:eastAsia="hr-HR"/>
              </w:rPr>
            </w:pPr>
            <w:r w:rsidRPr="00E7321D">
              <w:rPr>
                <w:rFonts w:eastAsia="Times New Roman" w:cs="Calibri"/>
                <w:color w:val="000000"/>
                <w:szCs w:val="18"/>
                <w:lang w:eastAsia="hr-HR"/>
              </w:rPr>
              <w:t>0</w:t>
            </w:r>
          </w:p>
        </w:tc>
      </w:tr>
      <w:tr w:rsidR="007F04FE" w14:paraId="4408CCDD" w14:textId="77777777" w:rsidTr="007F04FE">
        <w:trPr>
          <w:trHeight w:val="292"/>
        </w:trPr>
        <w:tc>
          <w:tcPr>
            <w:tcW w:w="2119" w:type="pct"/>
            <w:shd w:val="clear" w:color="auto" w:fill="D2232A"/>
            <w:vAlign w:val="bottom"/>
            <w:hideMark/>
          </w:tcPr>
          <w:p w14:paraId="34A917CC"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autolimar </w:t>
            </w:r>
          </w:p>
        </w:tc>
        <w:tc>
          <w:tcPr>
            <w:tcW w:w="720" w:type="pct"/>
            <w:vAlign w:val="center"/>
            <w:hideMark/>
          </w:tcPr>
          <w:p w14:paraId="5602BEC8" w14:textId="6EBC68D6"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vAlign w:val="center"/>
            <w:hideMark/>
          </w:tcPr>
          <w:p w14:paraId="425DD80C"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w:t>
            </w:r>
          </w:p>
        </w:tc>
        <w:tc>
          <w:tcPr>
            <w:tcW w:w="720" w:type="pct"/>
            <w:noWrap/>
            <w:vAlign w:val="center"/>
            <w:hideMark/>
          </w:tcPr>
          <w:p w14:paraId="25361296" w14:textId="16AD9A74" w:rsidR="007F04FE" w:rsidRPr="00171C5D" w:rsidRDefault="007F04FE" w:rsidP="007F04FE">
            <w:pPr>
              <w:spacing w:after="0"/>
              <w:jc w:val="right"/>
              <w:rPr>
                <w:rFonts w:eastAsia="Times New Roman" w:cs="Calibri"/>
                <w:color w:val="000000"/>
                <w:szCs w:val="18"/>
                <w:lang w:eastAsia="hr-HR"/>
              </w:rPr>
            </w:pPr>
            <w:r w:rsidRPr="00E7321D">
              <w:rPr>
                <w:rFonts w:eastAsia="Times New Roman" w:cs="Calibri"/>
                <w:color w:val="000000"/>
                <w:szCs w:val="18"/>
                <w:lang w:eastAsia="hr-HR"/>
              </w:rPr>
              <w:t>0</w:t>
            </w:r>
          </w:p>
        </w:tc>
        <w:tc>
          <w:tcPr>
            <w:tcW w:w="720" w:type="pct"/>
            <w:noWrap/>
            <w:vAlign w:val="center"/>
            <w:hideMark/>
          </w:tcPr>
          <w:p w14:paraId="2673D03F" w14:textId="6D435D0A" w:rsidR="007F04FE" w:rsidRPr="00171C5D" w:rsidRDefault="007F04FE" w:rsidP="007F04FE">
            <w:pPr>
              <w:spacing w:after="0"/>
              <w:jc w:val="right"/>
              <w:rPr>
                <w:szCs w:val="18"/>
                <w:lang w:eastAsia="hr-HR"/>
              </w:rPr>
            </w:pPr>
            <w:r w:rsidRPr="00E7321D">
              <w:rPr>
                <w:rFonts w:eastAsia="Times New Roman" w:cs="Calibri"/>
                <w:color w:val="000000"/>
                <w:szCs w:val="18"/>
                <w:lang w:eastAsia="hr-HR"/>
              </w:rPr>
              <w:t>0</w:t>
            </w:r>
          </w:p>
        </w:tc>
      </w:tr>
      <w:tr w:rsidR="007F04FE" w14:paraId="595111B9" w14:textId="77777777" w:rsidTr="007F04FE">
        <w:trPr>
          <w:trHeight w:val="292"/>
        </w:trPr>
        <w:tc>
          <w:tcPr>
            <w:tcW w:w="2119" w:type="pct"/>
            <w:shd w:val="clear" w:color="auto" w:fill="D2232A"/>
            <w:vAlign w:val="bottom"/>
            <w:hideMark/>
          </w:tcPr>
          <w:p w14:paraId="20A81B2B"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rukovatelj rovokopačem-utovarivačem</w:t>
            </w:r>
          </w:p>
        </w:tc>
        <w:tc>
          <w:tcPr>
            <w:tcW w:w="720" w:type="pct"/>
            <w:noWrap/>
            <w:vAlign w:val="center"/>
            <w:hideMark/>
          </w:tcPr>
          <w:p w14:paraId="6C271523" w14:textId="4D0EB920"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noWrap/>
            <w:vAlign w:val="center"/>
            <w:hideMark/>
          </w:tcPr>
          <w:p w14:paraId="3262DBB9" w14:textId="71428667" w:rsidR="007F04FE" w:rsidRPr="00171C5D" w:rsidRDefault="007F04FE" w:rsidP="007F04FE">
            <w:pPr>
              <w:spacing w:after="0"/>
              <w:jc w:val="right"/>
              <w:rPr>
                <w:szCs w:val="18"/>
                <w:lang w:eastAsia="hr-HR"/>
              </w:rPr>
            </w:pPr>
            <w:r w:rsidRPr="0057038B">
              <w:rPr>
                <w:rFonts w:eastAsia="Times New Roman" w:cs="Calibri"/>
                <w:color w:val="000000"/>
                <w:szCs w:val="18"/>
                <w:lang w:eastAsia="hr-HR"/>
              </w:rPr>
              <w:t>0</w:t>
            </w:r>
          </w:p>
        </w:tc>
        <w:tc>
          <w:tcPr>
            <w:tcW w:w="720" w:type="pct"/>
            <w:noWrap/>
            <w:vAlign w:val="center"/>
            <w:hideMark/>
          </w:tcPr>
          <w:p w14:paraId="1594135D"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10</w:t>
            </w:r>
          </w:p>
        </w:tc>
        <w:tc>
          <w:tcPr>
            <w:tcW w:w="720" w:type="pct"/>
            <w:noWrap/>
            <w:vAlign w:val="center"/>
            <w:hideMark/>
          </w:tcPr>
          <w:p w14:paraId="6CB79160" w14:textId="4C55355A" w:rsidR="007F04FE" w:rsidRPr="00171C5D" w:rsidRDefault="007F04FE" w:rsidP="007F04FE">
            <w:pPr>
              <w:spacing w:after="0"/>
              <w:jc w:val="right"/>
              <w:rPr>
                <w:rFonts w:eastAsia="Times New Roman" w:cs="Calibri"/>
                <w:color w:val="000000"/>
                <w:szCs w:val="18"/>
                <w:lang w:eastAsia="hr-HR"/>
              </w:rPr>
            </w:pPr>
            <w:r>
              <w:rPr>
                <w:rFonts w:eastAsia="Times New Roman" w:cs="Calibri"/>
                <w:color w:val="000000"/>
                <w:szCs w:val="18"/>
                <w:lang w:eastAsia="hr-HR"/>
              </w:rPr>
              <w:t>0</w:t>
            </w:r>
          </w:p>
        </w:tc>
      </w:tr>
      <w:tr w:rsidR="007F04FE" w14:paraId="6860A080" w14:textId="77777777" w:rsidTr="007F04FE">
        <w:trPr>
          <w:trHeight w:val="292"/>
        </w:trPr>
        <w:tc>
          <w:tcPr>
            <w:tcW w:w="2119" w:type="pct"/>
            <w:shd w:val="clear" w:color="auto" w:fill="D2232A"/>
            <w:vAlign w:val="bottom"/>
            <w:hideMark/>
          </w:tcPr>
          <w:p w14:paraId="1621DE2C"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monter suhe gradnje</w:t>
            </w:r>
          </w:p>
        </w:tc>
        <w:tc>
          <w:tcPr>
            <w:tcW w:w="720" w:type="pct"/>
            <w:noWrap/>
            <w:vAlign w:val="center"/>
            <w:hideMark/>
          </w:tcPr>
          <w:p w14:paraId="2C54EA0B" w14:textId="48E0E34E"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noWrap/>
            <w:vAlign w:val="center"/>
            <w:hideMark/>
          </w:tcPr>
          <w:p w14:paraId="50A37A57" w14:textId="202B238B" w:rsidR="007F04FE" w:rsidRPr="00171C5D" w:rsidRDefault="007F04FE" w:rsidP="007F04FE">
            <w:pPr>
              <w:spacing w:after="0"/>
              <w:jc w:val="right"/>
              <w:rPr>
                <w:szCs w:val="18"/>
                <w:lang w:eastAsia="hr-HR"/>
              </w:rPr>
            </w:pPr>
            <w:r w:rsidRPr="0057038B">
              <w:rPr>
                <w:rFonts w:eastAsia="Times New Roman" w:cs="Calibri"/>
                <w:color w:val="000000"/>
                <w:szCs w:val="18"/>
                <w:lang w:eastAsia="hr-HR"/>
              </w:rPr>
              <w:t>0</w:t>
            </w:r>
          </w:p>
        </w:tc>
        <w:tc>
          <w:tcPr>
            <w:tcW w:w="720" w:type="pct"/>
            <w:noWrap/>
            <w:vAlign w:val="center"/>
            <w:hideMark/>
          </w:tcPr>
          <w:p w14:paraId="2A994D59" w14:textId="063471EE" w:rsidR="007F04FE" w:rsidRPr="00171C5D" w:rsidRDefault="007F04FE" w:rsidP="007F04FE">
            <w:pPr>
              <w:spacing w:after="0"/>
              <w:jc w:val="right"/>
              <w:rPr>
                <w:szCs w:val="18"/>
                <w:lang w:eastAsia="hr-HR"/>
              </w:rPr>
            </w:pPr>
            <w:r w:rsidRPr="00CF1343">
              <w:rPr>
                <w:rFonts w:eastAsia="Times New Roman" w:cs="Calibri"/>
                <w:color w:val="000000"/>
                <w:szCs w:val="18"/>
                <w:lang w:eastAsia="hr-HR"/>
              </w:rPr>
              <w:t>0</w:t>
            </w:r>
          </w:p>
        </w:tc>
        <w:tc>
          <w:tcPr>
            <w:tcW w:w="720" w:type="pct"/>
            <w:noWrap/>
            <w:vAlign w:val="center"/>
            <w:hideMark/>
          </w:tcPr>
          <w:p w14:paraId="56391ED4"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6</w:t>
            </w:r>
          </w:p>
        </w:tc>
      </w:tr>
      <w:tr w:rsidR="007F04FE" w14:paraId="3BE1EAA1" w14:textId="77777777" w:rsidTr="007F04FE">
        <w:trPr>
          <w:trHeight w:val="292"/>
        </w:trPr>
        <w:tc>
          <w:tcPr>
            <w:tcW w:w="2119" w:type="pct"/>
            <w:shd w:val="clear" w:color="auto" w:fill="D2232A"/>
            <w:vAlign w:val="bottom"/>
            <w:hideMark/>
          </w:tcPr>
          <w:p w14:paraId="5DFA4782"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rukovatelj viličarom</w:t>
            </w:r>
          </w:p>
        </w:tc>
        <w:tc>
          <w:tcPr>
            <w:tcW w:w="720" w:type="pct"/>
            <w:noWrap/>
            <w:vAlign w:val="center"/>
            <w:hideMark/>
          </w:tcPr>
          <w:p w14:paraId="65962D7A" w14:textId="767D09A4"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noWrap/>
            <w:vAlign w:val="center"/>
            <w:hideMark/>
          </w:tcPr>
          <w:p w14:paraId="4D5B86B3" w14:textId="31FF445E" w:rsidR="007F04FE" w:rsidRPr="00171C5D" w:rsidRDefault="007F04FE" w:rsidP="007F04FE">
            <w:pPr>
              <w:spacing w:after="0"/>
              <w:jc w:val="right"/>
              <w:rPr>
                <w:szCs w:val="18"/>
                <w:lang w:eastAsia="hr-HR"/>
              </w:rPr>
            </w:pPr>
            <w:r w:rsidRPr="0057038B">
              <w:rPr>
                <w:rFonts w:eastAsia="Times New Roman" w:cs="Calibri"/>
                <w:color w:val="000000"/>
                <w:szCs w:val="18"/>
                <w:lang w:eastAsia="hr-HR"/>
              </w:rPr>
              <w:t>0</w:t>
            </w:r>
          </w:p>
        </w:tc>
        <w:tc>
          <w:tcPr>
            <w:tcW w:w="720" w:type="pct"/>
            <w:noWrap/>
            <w:vAlign w:val="center"/>
            <w:hideMark/>
          </w:tcPr>
          <w:p w14:paraId="4B4B51A6" w14:textId="250371E8" w:rsidR="007F04FE" w:rsidRPr="00171C5D" w:rsidRDefault="007F04FE" w:rsidP="007F04FE">
            <w:pPr>
              <w:spacing w:after="0"/>
              <w:jc w:val="right"/>
              <w:rPr>
                <w:szCs w:val="18"/>
                <w:lang w:eastAsia="hr-HR"/>
              </w:rPr>
            </w:pPr>
            <w:r w:rsidRPr="00CF1343">
              <w:rPr>
                <w:rFonts w:eastAsia="Times New Roman" w:cs="Calibri"/>
                <w:color w:val="000000"/>
                <w:szCs w:val="18"/>
                <w:lang w:eastAsia="hr-HR"/>
              </w:rPr>
              <w:t>0</w:t>
            </w:r>
          </w:p>
        </w:tc>
        <w:tc>
          <w:tcPr>
            <w:tcW w:w="720" w:type="pct"/>
            <w:noWrap/>
            <w:vAlign w:val="center"/>
            <w:hideMark/>
          </w:tcPr>
          <w:p w14:paraId="2388383B"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6</w:t>
            </w:r>
          </w:p>
        </w:tc>
      </w:tr>
      <w:tr w:rsidR="007F04FE" w14:paraId="21A5D0E9" w14:textId="77777777" w:rsidTr="007F04FE">
        <w:trPr>
          <w:trHeight w:val="292"/>
        </w:trPr>
        <w:tc>
          <w:tcPr>
            <w:tcW w:w="2119" w:type="pct"/>
            <w:shd w:val="clear" w:color="auto" w:fill="D2232A"/>
            <w:vAlign w:val="bottom"/>
            <w:hideMark/>
          </w:tcPr>
          <w:p w14:paraId="64F2E8FE"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vozač C kategorije</w:t>
            </w:r>
          </w:p>
        </w:tc>
        <w:tc>
          <w:tcPr>
            <w:tcW w:w="720" w:type="pct"/>
            <w:vAlign w:val="center"/>
            <w:hideMark/>
          </w:tcPr>
          <w:p w14:paraId="55E1558D" w14:textId="35E7BE68"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vAlign w:val="center"/>
            <w:hideMark/>
          </w:tcPr>
          <w:p w14:paraId="409BF709"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8</w:t>
            </w:r>
          </w:p>
        </w:tc>
        <w:tc>
          <w:tcPr>
            <w:tcW w:w="720" w:type="pct"/>
            <w:noWrap/>
            <w:vAlign w:val="center"/>
            <w:hideMark/>
          </w:tcPr>
          <w:p w14:paraId="3A60F4ED" w14:textId="10359ED6" w:rsidR="007F04FE" w:rsidRPr="00171C5D" w:rsidRDefault="007F04FE" w:rsidP="007F04FE">
            <w:pPr>
              <w:spacing w:after="0"/>
              <w:jc w:val="right"/>
              <w:rPr>
                <w:rFonts w:eastAsia="Times New Roman" w:cs="Calibri"/>
                <w:color w:val="000000"/>
                <w:szCs w:val="18"/>
                <w:lang w:eastAsia="hr-HR"/>
              </w:rPr>
            </w:pPr>
            <w:r w:rsidRPr="00CF1343">
              <w:rPr>
                <w:rFonts w:eastAsia="Times New Roman" w:cs="Calibri"/>
                <w:color w:val="000000"/>
                <w:szCs w:val="18"/>
                <w:lang w:eastAsia="hr-HR"/>
              </w:rPr>
              <w:t>0</w:t>
            </w:r>
          </w:p>
        </w:tc>
        <w:tc>
          <w:tcPr>
            <w:tcW w:w="720" w:type="pct"/>
            <w:noWrap/>
            <w:vAlign w:val="center"/>
            <w:hideMark/>
          </w:tcPr>
          <w:p w14:paraId="34A10E13"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11</w:t>
            </w:r>
          </w:p>
        </w:tc>
      </w:tr>
      <w:tr w:rsidR="007F04FE" w14:paraId="4942740B" w14:textId="77777777" w:rsidTr="007F04FE">
        <w:trPr>
          <w:trHeight w:val="292"/>
        </w:trPr>
        <w:tc>
          <w:tcPr>
            <w:tcW w:w="2119" w:type="pct"/>
            <w:shd w:val="clear" w:color="auto" w:fill="D2232A"/>
            <w:vAlign w:val="bottom"/>
            <w:hideMark/>
          </w:tcPr>
          <w:p w14:paraId="714C4499"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vozač D kategorije </w:t>
            </w:r>
          </w:p>
        </w:tc>
        <w:tc>
          <w:tcPr>
            <w:tcW w:w="720" w:type="pct"/>
            <w:noWrap/>
            <w:vAlign w:val="center"/>
            <w:hideMark/>
          </w:tcPr>
          <w:p w14:paraId="15F08624" w14:textId="16806FEE"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noWrap/>
            <w:vAlign w:val="center"/>
            <w:hideMark/>
          </w:tcPr>
          <w:p w14:paraId="4756BD90" w14:textId="28EE9ED2" w:rsidR="007F04FE" w:rsidRPr="00171C5D" w:rsidRDefault="007F04FE" w:rsidP="007F04FE">
            <w:pPr>
              <w:spacing w:after="0"/>
              <w:jc w:val="right"/>
              <w:rPr>
                <w:szCs w:val="18"/>
                <w:lang w:eastAsia="hr-HR"/>
              </w:rPr>
            </w:pPr>
            <w:r>
              <w:rPr>
                <w:rFonts w:eastAsia="Times New Roman" w:cs="Calibri"/>
                <w:color w:val="000000"/>
                <w:szCs w:val="18"/>
                <w:lang w:eastAsia="hr-HR"/>
              </w:rPr>
              <w:t>0</w:t>
            </w:r>
          </w:p>
        </w:tc>
        <w:tc>
          <w:tcPr>
            <w:tcW w:w="720" w:type="pct"/>
            <w:noWrap/>
            <w:vAlign w:val="center"/>
            <w:hideMark/>
          </w:tcPr>
          <w:p w14:paraId="65B316C6" w14:textId="741B2B24" w:rsidR="007F04FE" w:rsidRPr="00171C5D" w:rsidRDefault="007F04FE" w:rsidP="007F04FE">
            <w:pPr>
              <w:spacing w:after="0"/>
              <w:jc w:val="right"/>
              <w:rPr>
                <w:szCs w:val="18"/>
                <w:lang w:eastAsia="hr-HR"/>
              </w:rPr>
            </w:pPr>
            <w:r w:rsidRPr="00CF1343">
              <w:rPr>
                <w:rFonts w:eastAsia="Times New Roman" w:cs="Calibri"/>
                <w:color w:val="000000"/>
                <w:szCs w:val="18"/>
                <w:lang w:eastAsia="hr-HR"/>
              </w:rPr>
              <w:t>0</w:t>
            </w:r>
          </w:p>
        </w:tc>
        <w:tc>
          <w:tcPr>
            <w:tcW w:w="720" w:type="pct"/>
            <w:noWrap/>
            <w:vAlign w:val="center"/>
            <w:hideMark/>
          </w:tcPr>
          <w:p w14:paraId="227DA57D"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6</w:t>
            </w:r>
          </w:p>
        </w:tc>
      </w:tr>
      <w:tr w:rsidR="007F04FE" w14:paraId="4AF3BEF6" w14:textId="77777777" w:rsidTr="007F04FE">
        <w:trPr>
          <w:trHeight w:val="292"/>
        </w:trPr>
        <w:tc>
          <w:tcPr>
            <w:tcW w:w="2119" w:type="pct"/>
            <w:shd w:val="clear" w:color="auto" w:fill="D2232A"/>
            <w:vAlign w:val="bottom"/>
            <w:hideMark/>
          </w:tcPr>
          <w:p w14:paraId="156A965A"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vozač motornog vozila</w:t>
            </w:r>
          </w:p>
        </w:tc>
        <w:tc>
          <w:tcPr>
            <w:tcW w:w="720" w:type="pct"/>
            <w:vAlign w:val="center"/>
            <w:hideMark/>
          </w:tcPr>
          <w:p w14:paraId="3516B1B2" w14:textId="5852B043" w:rsidR="007F04FE" w:rsidRPr="00171C5D" w:rsidRDefault="007F04FE" w:rsidP="007F04FE">
            <w:pPr>
              <w:spacing w:after="0"/>
              <w:jc w:val="right"/>
              <w:rPr>
                <w:rFonts w:eastAsia="Times New Roman" w:cs="Calibri"/>
                <w:color w:val="000000"/>
                <w:szCs w:val="18"/>
                <w:lang w:eastAsia="hr-HR"/>
              </w:rPr>
            </w:pPr>
            <w:r w:rsidRPr="00B6743E">
              <w:rPr>
                <w:rFonts w:eastAsia="Times New Roman" w:cs="Calibri"/>
                <w:color w:val="000000"/>
                <w:szCs w:val="18"/>
                <w:lang w:eastAsia="hr-HR"/>
              </w:rPr>
              <w:t>0</w:t>
            </w:r>
          </w:p>
        </w:tc>
        <w:tc>
          <w:tcPr>
            <w:tcW w:w="720" w:type="pct"/>
            <w:vAlign w:val="center"/>
            <w:hideMark/>
          </w:tcPr>
          <w:p w14:paraId="42ABB994"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9</w:t>
            </w:r>
          </w:p>
        </w:tc>
        <w:tc>
          <w:tcPr>
            <w:tcW w:w="720" w:type="pct"/>
            <w:noWrap/>
            <w:vAlign w:val="center"/>
            <w:hideMark/>
          </w:tcPr>
          <w:p w14:paraId="50FB3A48"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8</w:t>
            </w:r>
          </w:p>
        </w:tc>
        <w:tc>
          <w:tcPr>
            <w:tcW w:w="720" w:type="pct"/>
            <w:noWrap/>
            <w:vAlign w:val="center"/>
            <w:hideMark/>
          </w:tcPr>
          <w:p w14:paraId="50F7BBFD"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12</w:t>
            </w:r>
          </w:p>
        </w:tc>
      </w:tr>
      <w:tr w:rsidR="008878A0" w14:paraId="29184011" w14:textId="77777777" w:rsidTr="007F04FE">
        <w:trPr>
          <w:trHeight w:val="292"/>
        </w:trPr>
        <w:tc>
          <w:tcPr>
            <w:tcW w:w="2119" w:type="pct"/>
            <w:shd w:val="clear" w:color="auto" w:fill="D2232A"/>
            <w:vAlign w:val="bottom"/>
            <w:hideMark/>
          </w:tcPr>
          <w:p w14:paraId="03F1CC59" w14:textId="77777777" w:rsidR="008878A0" w:rsidRPr="00171C5D" w:rsidRDefault="008878A0" w:rsidP="00941871">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obrađivač na numerički upravljanim alatnim strojevima </w:t>
            </w:r>
          </w:p>
        </w:tc>
        <w:tc>
          <w:tcPr>
            <w:tcW w:w="720" w:type="pct"/>
            <w:noWrap/>
            <w:vAlign w:val="center"/>
            <w:hideMark/>
          </w:tcPr>
          <w:p w14:paraId="6E3911CD" w14:textId="77777777" w:rsidR="008878A0" w:rsidRPr="00171C5D" w:rsidRDefault="008878A0"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12</w:t>
            </w:r>
          </w:p>
        </w:tc>
        <w:tc>
          <w:tcPr>
            <w:tcW w:w="720" w:type="pct"/>
            <w:noWrap/>
            <w:vAlign w:val="center"/>
            <w:hideMark/>
          </w:tcPr>
          <w:p w14:paraId="1E6CCA67" w14:textId="77777777" w:rsidR="008878A0" w:rsidRPr="00171C5D" w:rsidRDefault="008878A0"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14</w:t>
            </w:r>
          </w:p>
        </w:tc>
        <w:tc>
          <w:tcPr>
            <w:tcW w:w="720" w:type="pct"/>
            <w:noWrap/>
            <w:vAlign w:val="center"/>
            <w:hideMark/>
          </w:tcPr>
          <w:p w14:paraId="4E9D9EAB" w14:textId="654F9B81" w:rsidR="008878A0" w:rsidRPr="00171C5D" w:rsidRDefault="007F04FE" w:rsidP="007F04FE">
            <w:pPr>
              <w:spacing w:after="0"/>
              <w:jc w:val="right"/>
              <w:rPr>
                <w:rFonts w:eastAsia="Times New Roman" w:cs="Calibri"/>
                <w:color w:val="000000"/>
                <w:szCs w:val="18"/>
                <w:lang w:eastAsia="hr-HR"/>
              </w:rPr>
            </w:pPr>
            <w:r>
              <w:rPr>
                <w:rFonts w:eastAsia="Times New Roman" w:cs="Calibri"/>
                <w:color w:val="000000"/>
                <w:szCs w:val="18"/>
                <w:lang w:eastAsia="hr-HR"/>
              </w:rPr>
              <w:t>0</w:t>
            </w:r>
          </w:p>
        </w:tc>
        <w:tc>
          <w:tcPr>
            <w:tcW w:w="720" w:type="pct"/>
            <w:noWrap/>
            <w:vAlign w:val="center"/>
            <w:hideMark/>
          </w:tcPr>
          <w:p w14:paraId="0FDCEA61" w14:textId="574FF223" w:rsidR="008878A0" w:rsidRPr="00171C5D" w:rsidRDefault="007F04FE" w:rsidP="007F04FE">
            <w:pPr>
              <w:spacing w:after="0"/>
              <w:jc w:val="right"/>
              <w:rPr>
                <w:szCs w:val="18"/>
                <w:lang w:eastAsia="hr-HR"/>
              </w:rPr>
            </w:pPr>
            <w:r>
              <w:rPr>
                <w:rFonts w:eastAsia="Times New Roman" w:cs="Calibri"/>
                <w:color w:val="000000"/>
                <w:szCs w:val="18"/>
                <w:lang w:eastAsia="hr-HR"/>
              </w:rPr>
              <w:t>0</w:t>
            </w:r>
          </w:p>
        </w:tc>
      </w:tr>
      <w:tr w:rsidR="007F04FE" w14:paraId="72AE5AE5" w14:textId="77777777" w:rsidTr="007F04FE">
        <w:trPr>
          <w:trHeight w:val="292"/>
        </w:trPr>
        <w:tc>
          <w:tcPr>
            <w:tcW w:w="2119" w:type="pct"/>
            <w:shd w:val="clear" w:color="auto" w:fill="D2232A"/>
            <w:vAlign w:val="bottom"/>
            <w:hideMark/>
          </w:tcPr>
          <w:p w14:paraId="225E81D4"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CNC operater/CNC operaterka </w:t>
            </w:r>
          </w:p>
        </w:tc>
        <w:tc>
          <w:tcPr>
            <w:tcW w:w="720" w:type="pct"/>
            <w:noWrap/>
            <w:vAlign w:val="center"/>
            <w:hideMark/>
          </w:tcPr>
          <w:p w14:paraId="1EA75797" w14:textId="5C21FFD2" w:rsidR="007F04FE" w:rsidRPr="00171C5D" w:rsidRDefault="007F04FE" w:rsidP="007F04FE">
            <w:pPr>
              <w:spacing w:after="0"/>
              <w:jc w:val="right"/>
              <w:rPr>
                <w:rFonts w:eastAsia="Times New Roman" w:cs="Calibri"/>
                <w:color w:val="000000"/>
                <w:szCs w:val="18"/>
                <w:lang w:eastAsia="hr-HR"/>
              </w:rPr>
            </w:pPr>
            <w:r w:rsidRPr="009D61C4">
              <w:rPr>
                <w:rFonts w:eastAsia="Times New Roman" w:cs="Calibri"/>
                <w:color w:val="000000"/>
                <w:szCs w:val="18"/>
                <w:lang w:eastAsia="hr-HR"/>
              </w:rPr>
              <w:t>0</w:t>
            </w:r>
          </w:p>
        </w:tc>
        <w:tc>
          <w:tcPr>
            <w:tcW w:w="720" w:type="pct"/>
            <w:noWrap/>
            <w:vAlign w:val="center"/>
            <w:hideMark/>
          </w:tcPr>
          <w:p w14:paraId="14D810D4"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10</w:t>
            </w:r>
          </w:p>
        </w:tc>
        <w:tc>
          <w:tcPr>
            <w:tcW w:w="720" w:type="pct"/>
            <w:noWrap/>
            <w:vAlign w:val="center"/>
            <w:hideMark/>
          </w:tcPr>
          <w:p w14:paraId="400A47BE" w14:textId="4DCA0755" w:rsidR="007F04FE" w:rsidRPr="00171C5D" w:rsidRDefault="007F04FE" w:rsidP="007F04FE">
            <w:pPr>
              <w:spacing w:after="0"/>
              <w:jc w:val="right"/>
              <w:rPr>
                <w:rFonts w:eastAsia="Times New Roman" w:cs="Calibri"/>
                <w:color w:val="000000"/>
                <w:szCs w:val="18"/>
                <w:lang w:eastAsia="hr-HR"/>
              </w:rPr>
            </w:pPr>
            <w:r w:rsidRPr="00113AEB">
              <w:rPr>
                <w:rFonts w:eastAsia="Times New Roman" w:cs="Calibri"/>
                <w:color w:val="000000"/>
                <w:szCs w:val="18"/>
                <w:lang w:eastAsia="hr-HR"/>
              </w:rPr>
              <w:t>0</w:t>
            </w:r>
          </w:p>
        </w:tc>
        <w:tc>
          <w:tcPr>
            <w:tcW w:w="720" w:type="pct"/>
            <w:noWrap/>
            <w:vAlign w:val="center"/>
            <w:hideMark/>
          </w:tcPr>
          <w:p w14:paraId="656F1CBD"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8</w:t>
            </w:r>
          </w:p>
        </w:tc>
      </w:tr>
      <w:tr w:rsidR="007F04FE" w14:paraId="711B606C" w14:textId="77777777" w:rsidTr="007F04FE">
        <w:trPr>
          <w:trHeight w:val="292"/>
        </w:trPr>
        <w:tc>
          <w:tcPr>
            <w:tcW w:w="2119" w:type="pct"/>
            <w:shd w:val="clear" w:color="auto" w:fill="D2232A"/>
            <w:vAlign w:val="bottom"/>
            <w:hideMark/>
          </w:tcPr>
          <w:p w14:paraId="25E1F409" w14:textId="77777777" w:rsidR="007F04FE" w:rsidRPr="00171C5D" w:rsidRDefault="007F04FE" w:rsidP="007F04FE">
            <w:pPr>
              <w:spacing w:after="0" w:line="240" w:lineRule="auto"/>
              <w:rPr>
                <w:rFonts w:eastAsia="Times New Roman" w:cs="Calibri"/>
                <w:color w:val="FFFFFF" w:themeColor="background1"/>
                <w:szCs w:val="18"/>
                <w:lang w:eastAsia="hr-HR"/>
              </w:rPr>
            </w:pPr>
            <w:r w:rsidRPr="00171C5D">
              <w:rPr>
                <w:rFonts w:eastAsia="Times New Roman" w:cs="Calibri"/>
                <w:color w:val="FFFFFF" w:themeColor="background1"/>
                <w:szCs w:val="18"/>
                <w:lang w:eastAsia="hr-HR"/>
              </w:rPr>
              <w:t xml:space="preserve">poslužitelj CNC strojem </w:t>
            </w:r>
          </w:p>
        </w:tc>
        <w:tc>
          <w:tcPr>
            <w:tcW w:w="720" w:type="pct"/>
            <w:noWrap/>
            <w:vAlign w:val="center"/>
            <w:hideMark/>
          </w:tcPr>
          <w:p w14:paraId="685BC606" w14:textId="1F5FF0B6" w:rsidR="007F04FE" w:rsidRPr="00171C5D" w:rsidRDefault="007F04FE" w:rsidP="007F04FE">
            <w:pPr>
              <w:spacing w:after="0"/>
              <w:jc w:val="right"/>
              <w:rPr>
                <w:rFonts w:eastAsia="Times New Roman" w:cs="Calibri"/>
                <w:color w:val="000000"/>
                <w:szCs w:val="18"/>
                <w:lang w:eastAsia="hr-HR"/>
              </w:rPr>
            </w:pPr>
            <w:r w:rsidRPr="009D61C4">
              <w:rPr>
                <w:rFonts w:eastAsia="Times New Roman" w:cs="Calibri"/>
                <w:color w:val="000000"/>
                <w:szCs w:val="18"/>
                <w:lang w:eastAsia="hr-HR"/>
              </w:rPr>
              <w:t>0</w:t>
            </w:r>
          </w:p>
        </w:tc>
        <w:tc>
          <w:tcPr>
            <w:tcW w:w="720" w:type="pct"/>
            <w:noWrap/>
            <w:vAlign w:val="center"/>
            <w:hideMark/>
          </w:tcPr>
          <w:p w14:paraId="23C8BC55" w14:textId="31090973" w:rsidR="007F04FE" w:rsidRPr="00171C5D" w:rsidRDefault="007F04FE" w:rsidP="007F04FE">
            <w:pPr>
              <w:spacing w:after="0"/>
              <w:jc w:val="right"/>
              <w:rPr>
                <w:szCs w:val="18"/>
                <w:lang w:eastAsia="hr-HR"/>
              </w:rPr>
            </w:pPr>
            <w:r>
              <w:rPr>
                <w:rFonts w:eastAsia="Times New Roman" w:cs="Calibri"/>
                <w:color w:val="000000"/>
                <w:szCs w:val="18"/>
                <w:lang w:eastAsia="hr-HR"/>
              </w:rPr>
              <w:t>0</w:t>
            </w:r>
          </w:p>
        </w:tc>
        <w:tc>
          <w:tcPr>
            <w:tcW w:w="720" w:type="pct"/>
            <w:noWrap/>
            <w:vAlign w:val="center"/>
            <w:hideMark/>
          </w:tcPr>
          <w:p w14:paraId="66EDCEC9" w14:textId="32EA085F" w:rsidR="007F04FE" w:rsidRPr="00171C5D" w:rsidRDefault="007F04FE" w:rsidP="007F04FE">
            <w:pPr>
              <w:spacing w:after="0"/>
              <w:jc w:val="right"/>
              <w:rPr>
                <w:szCs w:val="18"/>
                <w:lang w:eastAsia="hr-HR"/>
              </w:rPr>
            </w:pPr>
            <w:r w:rsidRPr="00113AEB">
              <w:rPr>
                <w:rFonts w:eastAsia="Times New Roman" w:cs="Calibri"/>
                <w:color w:val="000000"/>
                <w:szCs w:val="18"/>
                <w:lang w:eastAsia="hr-HR"/>
              </w:rPr>
              <w:t>0</w:t>
            </w:r>
          </w:p>
        </w:tc>
        <w:tc>
          <w:tcPr>
            <w:tcW w:w="720" w:type="pct"/>
            <w:noWrap/>
            <w:vAlign w:val="center"/>
            <w:hideMark/>
          </w:tcPr>
          <w:p w14:paraId="4C22E0EA" w14:textId="77777777" w:rsidR="007F04FE" w:rsidRPr="00171C5D" w:rsidRDefault="007F04FE" w:rsidP="007F04FE">
            <w:pPr>
              <w:spacing w:after="0" w:line="240" w:lineRule="auto"/>
              <w:jc w:val="right"/>
              <w:rPr>
                <w:rFonts w:eastAsia="Times New Roman" w:cs="Calibri"/>
                <w:color w:val="000000"/>
                <w:szCs w:val="18"/>
                <w:lang w:eastAsia="hr-HR"/>
              </w:rPr>
            </w:pPr>
            <w:r w:rsidRPr="00171C5D">
              <w:rPr>
                <w:rFonts w:eastAsia="Times New Roman" w:cs="Calibri"/>
                <w:color w:val="000000"/>
                <w:szCs w:val="18"/>
                <w:lang w:eastAsia="hr-HR"/>
              </w:rPr>
              <w:t>18</w:t>
            </w:r>
          </w:p>
        </w:tc>
      </w:tr>
      <w:tr w:rsidR="008878A0" w14:paraId="14343650" w14:textId="77777777" w:rsidTr="007F04FE">
        <w:trPr>
          <w:trHeight w:val="292"/>
        </w:trPr>
        <w:tc>
          <w:tcPr>
            <w:tcW w:w="2119" w:type="pct"/>
            <w:shd w:val="clear" w:color="auto" w:fill="E5E5E5" w:themeFill="text1" w:themeFillTint="33"/>
            <w:noWrap/>
            <w:vAlign w:val="center"/>
            <w:hideMark/>
          </w:tcPr>
          <w:p w14:paraId="424F1342" w14:textId="77777777" w:rsidR="008878A0" w:rsidRPr="00171C5D" w:rsidRDefault="008878A0" w:rsidP="00941871">
            <w:pPr>
              <w:spacing w:after="0" w:line="240" w:lineRule="auto"/>
              <w:rPr>
                <w:rFonts w:eastAsia="Times New Roman" w:cs="Calibri"/>
                <w:b/>
                <w:bCs/>
                <w:szCs w:val="18"/>
                <w:lang w:eastAsia="hr-HR"/>
              </w:rPr>
            </w:pPr>
            <w:r w:rsidRPr="00171C5D">
              <w:rPr>
                <w:rFonts w:eastAsia="Times New Roman" w:cs="Calibri"/>
                <w:b/>
                <w:bCs/>
                <w:szCs w:val="18"/>
                <w:lang w:eastAsia="hr-HR"/>
              </w:rPr>
              <w:t xml:space="preserve">UKUPNO upućeno </w:t>
            </w:r>
          </w:p>
        </w:tc>
        <w:tc>
          <w:tcPr>
            <w:tcW w:w="720" w:type="pct"/>
            <w:shd w:val="clear" w:color="auto" w:fill="E5E5E5" w:themeFill="text1" w:themeFillTint="33"/>
            <w:noWrap/>
            <w:vAlign w:val="center"/>
            <w:hideMark/>
          </w:tcPr>
          <w:p w14:paraId="6EA2A6E9" w14:textId="77777777" w:rsidR="008878A0" w:rsidRPr="00171C5D" w:rsidRDefault="008878A0" w:rsidP="00CB6046">
            <w:pPr>
              <w:spacing w:after="0" w:line="240" w:lineRule="auto"/>
              <w:jc w:val="right"/>
              <w:rPr>
                <w:rFonts w:eastAsia="Times New Roman" w:cs="Calibri"/>
                <w:b/>
                <w:bCs/>
                <w:szCs w:val="18"/>
                <w:lang w:eastAsia="hr-HR"/>
              </w:rPr>
            </w:pPr>
            <w:r w:rsidRPr="00171C5D">
              <w:rPr>
                <w:rFonts w:eastAsia="Times New Roman" w:cs="Calibri"/>
                <w:b/>
                <w:bCs/>
                <w:szCs w:val="18"/>
                <w:lang w:eastAsia="hr-HR"/>
              </w:rPr>
              <w:t>65</w:t>
            </w:r>
          </w:p>
        </w:tc>
        <w:tc>
          <w:tcPr>
            <w:tcW w:w="720" w:type="pct"/>
            <w:shd w:val="clear" w:color="auto" w:fill="E5E5E5" w:themeFill="text1" w:themeFillTint="33"/>
            <w:noWrap/>
            <w:vAlign w:val="center"/>
            <w:hideMark/>
          </w:tcPr>
          <w:p w14:paraId="70EA33F9" w14:textId="77777777" w:rsidR="008878A0" w:rsidRPr="00171C5D" w:rsidRDefault="008878A0" w:rsidP="00CB6046">
            <w:pPr>
              <w:spacing w:after="0" w:line="240" w:lineRule="auto"/>
              <w:jc w:val="right"/>
              <w:rPr>
                <w:rFonts w:eastAsia="Times New Roman" w:cs="Calibri"/>
                <w:b/>
                <w:bCs/>
                <w:szCs w:val="18"/>
                <w:lang w:eastAsia="hr-HR"/>
              </w:rPr>
            </w:pPr>
            <w:r w:rsidRPr="00171C5D">
              <w:rPr>
                <w:rFonts w:eastAsia="Times New Roman" w:cs="Calibri"/>
                <w:b/>
                <w:bCs/>
                <w:szCs w:val="18"/>
                <w:lang w:eastAsia="hr-HR"/>
              </w:rPr>
              <w:t>109</w:t>
            </w:r>
          </w:p>
        </w:tc>
        <w:tc>
          <w:tcPr>
            <w:tcW w:w="720" w:type="pct"/>
            <w:shd w:val="clear" w:color="auto" w:fill="E5E5E5" w:themeFill="text1" w:themeFillTint="33"/>
            <w:noWrap/>
            <w:vAlign w:val="center"/>
            <w:hideMark/>
          </w:tcPr>
          <w:p w14:paraId="63D8D70F" w14:textId="77777777" w:rsidR="008878A0" w:rsidRPr="00171C5D" w:rsidRDefault="008878A0" w:rsidP="00CB6046">
            <w:pPr>
              <w:spacing w:after="0" w:line="240" w:lineRule="auto"/>
              <w:jc w:val="right"/>
              <w:rPr>
                <w:rFonts w:eastAsia="Times New Roman" w:cs="Calibri"/>
                <w:b/>
                <w:bCs/>
                <w:szCs w:val="18"/>
                <w:lang w:eastAsia="hr-HR"/>
              </w:rPr>
            </w:pPr>
            <w:r w:rsidRPr="00171C5D">
              <w:rPr>
                <w:rFonts w:eastAsia="Times New Roman" w:cs="Calibri"/>
                <w:b/>
                <w:bCs/>
                <w:szCs w:val="18"/>
                <w:lang w:eastAsia="hr-HR"/>
              </w:rPr>
              <w:t>67</w:t>
            </w:r>
          </w:p>
        </w:tc>
        <w:tc>
          <w:tcPr>
            <w:tcW w:w="720" w:type="pct"/>
            <w:shd w:val="clear" w:color="auto" w:fill="E5E5E5" w:themeFill="text1" w:themeFillTint="33"/>
            <w:noWrap/>
            <w:vAlign w:val="center"/>
            <w:hideMark/>
          </w:tcPr>
          <w:p w14:paraId="10BF412E" w14:textId="77777777" w:rsidR="008878A0" w:rsidRPr="00171C5D" w:rsidRDefault="008878A0" w:rsidP="00CB6046">
            <w:pPr>
              <w:spacing w:after="0" w:line="240" w:lineRule="auto"/>
              <w:jc w:val="right"/>
              <w:rPr>
                <w:rFonts w:eastAsia="Times New Roman" w:cs="Calibri"/>
                <w:b/>
                <w:bCs/>
                <w:szCs w:val="18"/>
                <w:lang w:eastAsia="hr-HR"/>
              </w:rPr>
            </w:pPr>
            <w:r w:rsidRPr="00171C5D">
              <w:rPr>
                <w:rFonts w:eastAsia="Times New Roman" w:cs="Calibri"/>
                <w:b/>
                <w:bCs/>
                <w:szCs w:val="18"/>
                <w:lang w:eastAsia="hr-HR"/>
              </w:rPr>
              <w:t>111</w:t>
            </w:r>
          </w:p>
        </w:tc>
      </w:tr>
      <w:tr w:rsidR="008878A0" w14:paraId="284A7C40" w14:textId="77777777" w:rsidTr="007F04FE">
        <w:trPr>
          <w:trHeight w:val="292"/>
        </w:trPr>
        <w:tc>
          <w:tcPr>
            <w:tcW w:w="2119" w:type="pct"/>
            <w:shd w:val="clear" w:color="auto" w:fill="E5E5E5" w:themeFill="text1" w:themeFillTint="33"/>
            <w:noWrap/>
            <w:vAlign w:val="center"/>
            <w:hideMark/>
          </w:tcPr>
          <w:p w14:paraId="3214622C" w14:textId="77777777" w:rsidR="008878A0" w:rsidRPr="00171C5D" w:rsidRDefault="008878A0" w:rsidP="00941871">
            <w:pPr>
              <w:spacing w:after="0" w:line="240" w:lineRule="auto"/>
              <w:rPr>
                <w:rFonts w:eastAsia="Times New Roman" w:cs="Calibri"/>
                <w:szCs w:val="18"/>
                <w:lang w:eastAsia="hr-HR"/>
              </w:rPr>
            </w:pPr>
            <w:r w:rsidRPr="00171C5D">
              <w:rPr>
                <w:rFonts w:eastAsia="Times New Roman" w:cs="Calibri"/>
                <w:szCs w:val="18"/>
                <w:lang w:eastAsia="hr-HR"/>
              </w:rPr>
              <w:t xml:space="preserve">UKUPNO završilo </w:t>
            </w:r>
          </w:p>
        </w:tc>
        <w:tc>
          <w:tcPr>
            <w:tcW w:w="720" w:type="pct"/>
            <w:shd w:val="clear" w:color="auto" w:fill="E5E5E5" w:themeFill="text1" w:themeFillTint="33"/>
            <w:noWrap/>
            <w:vAlign w:val="center"/>
            <w:hideMark/>
          </w:tcPr>
          <w:p w14:paraId="5306F3EC" w14:textId="77777777" w:rsidR="008878A0" w:rsidRPr="00171C5D" w:rsidRDefault="008878A0" w:rsidP="00CB6046">
            <w:pPr>
              <w:spacing w:after="0" w:line="240" w:lineRule="auto"/>
              <w:jc w:val="right"/>
              <w:rPr>
                <w:rFonts w:eastAsia="Times New Roman" w:cs="Calibri"/>
                <w:szCs w:val="18"/>
                <w:lang w:eastAsia="hr-HR"/>
              </w:rPr>
            </w:pPr>
            <w:r w:rsidRPr="00171C5D">
              <w:rPr>
                <w:rFonts w:eastAsia="Times New Roman" w:cs="Calibri"/>
                <w:szCs w:val="18"/>
                <w:lang w:eastAsia="hr-HR"/>
              </w:rPr>
              <w:t>65</w:t>
            </w:r>
          </w:p>
        </w:tc>
        <w:tc>
          <w:tcPr>
            <w:tcW w:w="720" w:type="pct"/>
            <w:shd w:val="clear" w:color="auto" w:fill="E5E5E5" w:themeFill="text1" w:themeFillTint="33"/>
            <w:noWrap/>
            <w:vAlign w:val="center"/>
            <w:hideMark/>
          </w:tcPr>
          <w:p w14:paraId="4CC87894" w14:textId="77777777" w:rsidR="008878A0" w:rsidRPr="00171C5D" w:rsidRDefault="008878A0" w:rsidP="00CB6046">
            <w:pPr>
              <w:spacing w:after="0" w:line="240" w:lineRule="auto"/>
              <w:jc w:val="right"/>
              <w:rPr>
                <w:rFonts w:eastAsia="Times New Roman" w:cs="Calibri"/>
                <w:szCs w:val="18"/>
                <w:lang w:eastAsia="hr-HR"/>
              </w:rPr>
            </w:pPr>
            <w:r w:rsidRPr="00171C5D">
              <w:rPr>
                <w:rFonts w:eastAsia="Times New Roman" w:cs="Calibri"/>
                <w:szCs w:val="18"/>
                <w:lang w:eastAsia="hr-HR"/>
              </w:rPr>
              <w:t>109</w:t>
            </w:r>
          </w:p>
        </w:tc>
        <w:tc>
          <w:tcPr>
            <w:tcW w:w="720" w:type="pct"/>
            <w:shd w:val="clear" w:color="auto" w:fill="E5E5E5" w:themeFill="text1" w:themeFillTint="33"/>
            <w:noWrap/>
            <w:vAlign w:val="center"/>
            <w:hideMark/>
          </w:tcPr>
          <w:p w14:paraId="41C6A96C" w14:textId="77777777" w:rsidR="008878A0" w:rsidRPr="00171C5D" w:rsidRDefault="008878A0" w:rsidP="00CB6046">
            <w:pPr>
              <w:spacing w:after="0" w:line="240" w:lineRule="auto"/>
              <w:jc w:val="right"/>
              <w:rPr>
                <w:rFonts w:eastAsia="Times New Roman" w:cs="Calibri"/>
                <w:szCs w:val="18"/>
                <w:lang w:eastAsia="hr-HR"/>
              </w:rPr>
            </w:pPr>
            <w:r w:rsidRPr="00171C5D">
              <w:rPr>
                <w:rFonts w:eastAsia="Times New Roman" w:cs="Calibri"/>
                <w:szCs w:val="18"/>
                <w:lang w:eastAsia="hr-HR"/>
              </w:rPr>
              <w:t>67</w:t>
            </w:r>
          </w:p>
        </w:tc>
        <w:tc>
          <w:tcPr>
            <w:tcW w:w="720" w:type="pct"/>
            <w:shd w:val="clear" w:color="auto" w:fill="E5E5E5" w:themeFill="text1" w:themeFillTint="33"/>
            <w:noWrap/>
            <w:vAlign w:val="center"/>
            <w:hideMark/>
          </w:tcPr>
          <w:p w14:paraId="7D5E5E09" w14:textId="77777777" w:rsidR="008878A0" w:rsidRPr="00171C5D" w:rsidRDefault="008878A0" w:rsidP="00CB6046">
            <w:pPr>
              <w:spacing w:after="0" w:line="240" w:lineRule="auto"/>
              <w:jc w:val="right"/>
              <w:rPr>
                <w:rFonts w:eastAsia="Times New Roman" w:cs="Calibri"/>
                <w:szCs w:val="18"/>
                <w:lang w:eastAsia="hr-HR"/>
              </w:rPr>
            </w:pPr>
            <w:r w:rsidRPr="00171C5D">
              <w:rPr>
                <w:rFonts w:eastAsia="Times New Roman" w:cs="Calibri"/>
                <w:szCs w:val="18"/>
                <w:lang w:eastAsia="hr-HR"/>
              </w:rPr>
              <w:t>103</w:t>
            </w:r>
          </w:p>
        </w:tc>
      </w:tr>
    </w:tbl>
    <w:p w14:paraId="6AE22E94" w14:textId="2E2CF1A3" w:rsidR="008878A0" w:rsidRPr="00594915" w:rsidRDefault="008878A0" w:rsidP="003C2276">
      <w:pPr>
        <w:pStyle w:val="Izvor"/>
        <w:rPr>
          <w:i/>
          <w:color w:val="ABABAB" w:themeColor="text1" w:themeTint="A6"/>
          <w:sz w:val="16"/>
          <w:szCs w:val="16"/>
        </w:rPr>
      </w:pPr>
      <w:r w:rsidRPr="00594915">
        <w:rPr>
          <w:i/>
          <w:color w:val="ABABAB" w:themeColor="text1" w:themeTint="A6"/>
          <w:sz w:val="16"/>
          <w:szCs w:val="16"/>
        </w:rPr>
        <w:t>Izvor: HZZ PU Krapina, prosinac 2019.</w:t>
      </w:r>
    </w:p>
    <w:p w14:paraId="0D3EB809" w14:textId="5006AD1D" w:rsidR="004468CA" w:rsidRDefault="004468CA" w:rsidP="00855D8D">
      <w:pPr>
        <w:pStyle w:val="Izvor"/>
      </w:pPr>
    </w:p>
    <w:p w14:paraId="7D67338A" w14:textId="34E23B16" w:rsidR="00374C4C" w:rsidRDefault="00C47264" w:rsidP="0052192B">
      <w:pPr>
        <w:pStyle w:val="Naslov2"/>
      </w:pPr>
      <w:bookmarkStart w:id="122" w:name="_Toc85181315"/>
      <w:r>
        <w:t>8</w:t>
      </w:r>
      <w:r w:rsidR="00374C4C">
        <w:t>.</w:t>
      </w:r>
      <w:r w:rsidR="006D117E">
        <w:t>9</w:t>
      </w:r>
      <w:r w:rsidR="00374C4C">
        <w:t>. Umjetničko obrazovanje</w:t>
      </w:r>
      <w:bookmarkEnd w:id="122"/>
    </w:p>
    <w:p w14:paraId="2B2BFFB0" w14:textId="51FCC7B9" w:rsidR="00374C4C" w:rsidRDefault="00374C4C" w:rsidP="00855D8D">
      <w:pPr>
        <w:pStyle w:val="Izvor"/>
      </w:pPr>
    </w:p>
    <w:p w14:paraId="18C0D26C" w14:textId="2804287F" w:rsidR="00374C4C" w:rsidRPr="00374C4C" w:rsidRDefault="00374C4C" w:rsidP="00594915">
      <w:r w:rsidRPr="00374C4C">
        <w:t>Javne ustanove koje obavljaju djelatnost umjetničkog obrazovanja su umjetničke škole i druge javne ustanove. Djelatnost umjetničkog obrazovanja ostvaruje se u skladu s odredbama Zakona o umjetničkom obrazovanju i zakona kojim se uređuje djelatnost osnovnog i srednjeg odgoja i obrazovanja. Dio djelatnosti umjetničkog obrazovanja vezan za kurikulume u primijenjenom strukovnom umjetničkom obrazovanju ostvaruje se po zakonu kojim se uređuje djelatnost strukovnog obrazovanja.</w:t>
      </w:r>
      <w:r>
        <w:t xml:space="preserve"> </w:t>
      </w:r>
      <w:r w:rsidRPr="00374C4C">
        <w:t>Umjetničke škole su glazbene, plesne, likovne i druge škole koje izvode umjetničke programe u skladu s Zakonom o umjetničkom obrazovanju.</w:t>
      </w:r>
      <w:r>
        <w:t xml:space="preserve"> </w:t>
      </w:r>
      <w:r w:rsidRPr="00374C4C">
        <w:t>Umjetničko obrazovanje na svim razinama umjetničkog obrazovanja ostvaruje se na temelju Nacionalnog kurikuluma za predškolski odgoj, opće obvezno i srednjoškolsko obrazovanje i posebnih kurikuluma umjetničkog obrazovanja.</w:t>
      </w:r>
      <w:r w:rsidRPr="00374C4C">
        <w:br/>
        <w:t>Osnovnim i srednjim umjetničkim obrazovanjem učenik stječe znanja i sposobnosti za nastavak obrazovanja.</w:t>
      </w:r>
      <w:r w:rsidRPr="00374C4C">
        <w:br/>
        <w:t>Obrazovne programe umjetničkog obrazovanja realiziraju:</w:t>
      </w:r>
      <w:r w:rsidR="002616BB">
        <w:t xml:space="preserve"> </w:t>
      </w:r>
      <w:r w:rsidRPr="00374C4C">
        <w:t>likovne škole</w:t>
      </w:r>
      <w:r w:rsidR="002616BB">
        <w:t xml:space="preserve">, </w:t>
      </w:r>
      <w:r w:rsidRPr="00374C4C">
        <w:t>glazbene škole</w:t>
      </w:r>
      <w:r w:rsidR="002616BB">
        <w:t xml:space="preserve"> i </w:t>
      </w:r>
      <w:r w:rsidRPr="00374C4C">
        <w:t>plesne škole</w:t>
      </w:r>
      <w:r w:rsidR="002616BB">
        <w:t xml:space="preserve"> </w:t>
      </w:r>
      <w:r w:rsidR="002616BB" w:rsidRPr="00413A5A">
        <w:rPr>
          <w:rStyle w:val="Referencafusnote"/>
          <w:rFonts w:cstheme="minorHAnsi"/>
          <w:bCs/>
          <w:iCs/>
          <w:szCs w:val="22"/>
        </w:rPr>
        <w:footnoteReference w:id="60"/>
      </w:r>
      <w:r w:rsidR="00413A5A">
        <w:t xml:space="preserve">. </w:t>
      </w:r>
      <w:r w:rsidR="00B224D0">
        <w:t>Na području Krapinsko- zagorske županije nema plesnih umjetničkih škola.</w:t>
      </w:r>
    </w:p>
    <w:p w14:paraId="644B6424" w14:textId="0A22B979" w:rsidR="002616BB" w:rsidRDefault="002616BB" w:rsidP="002616BB">
      <w:r w:rsidRPr="002616BB">
        <w:t>Osnovno glazbeno obrazovanje organizirano je u Glazbenoj školi u sklopu Osnovne škole Augusta Cesarca u Krapini, Osnovne škole Ksavera Šandora Gjalskog u Zaboku, Osnovne škole Marija Bistrica, Osnovne škole Matije Gupca u Gornjoj Stubici, Osnovne škole Franje Horvata Kiša u Loboru te u samostalnoj Glazbenoj školi u Pregradi.</w:t>
      </w:r>
      <w:r w:rsidR="00DE321B">
        <w:t xml:space="preserve"> </w:t>
      </w:r>
      <w:r w:rsidRPr="002616BB">
        <w:t>Srednjoškolska razina glazbenog obrazovanja izvodi se u Srednjoj glazbenoj školi pri Školi za umjetnost, dizajn, grafiku i odjeću Zabok, te u Srednjoj glazbenoj školi u Pregradi.</w:t>
      </w:r>
    </w:p>
    <w:p w14:paraId="22DE3C63" w14:textId="0A215532" w:rsidR="00693AB9" w:rsidRDefault="00693AB9" w:rsidP="002616BB">
      <w:r w:rsidRPr="00693AB9">
        <w:t>Likovne škole pohađaju učenici s izraženim sposobnostima za likovno izražavanje.</w:t>
      </w:r>
      <w:r w:rsidR="00DE321B">
        <w:t xml:space="preserve"> Škola za umjetnost, dizajn grafiku i odjeću Zabok u</w:t>
      </w:r>
      <w:r w:rsidR="00DE321B" w:rsidRPr="00DE321B">
        <w:t xml:space="preserve"> likovnom području djeluje </w:t>
      </w:r>
      <w:r w:rsidR="00DE321B">
        <w:t>već</w:t>
      </w:r>
      <w:r w:rsidR="00DE321B" w:rsidRPr="00DE321B">
        <w:t xml:space="preserve"> 15 godina</w:t>
      </w:r>
      <w:r w:rsidR="00DE321B">
        <w:t xml:space="preserve"> te se</w:t>
      </w:r>
      <w:r w:rsidR="00DE321B" w:rsidRPr="00DE321B">
        <w:t xml:space="preserve"> profilira kao umjetničko-strukovna škola. Učenike obrazuj</w:t>
      </w:r>
      <w:r w:rsidR="00DE321B">
        <w:t>u</w:t>
      </w:r>
      <w:r w:rsidR="00DE321B" w:rsidRPr="00DE321B">
        <w:t xml:space="preserve"> u sljedećim područjima djelatnosti: likovna umjetnost i dizajn, grafička tehnologija i audiovizualne tehnologije te odjeća.</w:t>
      </w:r>
      <w:r w:rsidR="00DE321B">
        <w:t xml:space="preserve"> </w:t>
      </w:r>
      <w:r w:rsidR="00DE321B" w:rsidRPr="00DE321B">
        <w:t>U središte stavlja</w:t>
      </w:r>
      <w:r w:rsidR="00DE321B">
        <w:t xml:space="preserve">ju </w:t>
      </w:r>
      <w:r w:rsidR="00DE321B" w:rsidRPr="00DE321B">
        <w:t>područje umjetničkog obrazovanja te sektor grafičke tehnologije i audiovizualnih tehnologija.</w:t>
      </w:r>
    </w:p>
    <w:p w14:paraId="5CA7D38B" w14:textId="7FE3E169" w:rsidR="002616BB" w:rsidRDefault="002616BB" w:rsidP="002616BB">
      <w:pPr>
        <w:rPr>
          <w:rFonts w:ascii="Times New Roman" w:hAnsi="Times New Roman" w:cs="Times New Roman"/>
          <w:color w:val="auto"/>
          <w:sz w:val="24"/>
          <w:szCs w:val="24"/>
          <w:lang w:eastAsia="hr-HR"/>
        </w:rPr>
      </w:pPr>
      <w:r w:rsidRPr="002616BB">
        <w:t>Posljednjih godina interes učenika za stjecanje i razvoj umjetničkih, odnosno glazbenih vještina je u porastu što svakako utječe na očuvanje hrvatske kulturne baštine i glazbenog umjetničkog bogatstva.</w:t>
      </w:r>
      <w:r>
        <w:rPr>
          <w:rFonts w:ascii="Times New Roman" w:hAnsi="Times New Roman" w:cs="Times New Roman"/>
          <w:sz w:val="24"/>
          <w:szCs w:val="24"/>
          <w:lang w:eastAsia="hr-HR"/>
        </w:rPr>
        <w:t xml:space="preserve"> </w:t>
      </w:r>
    </w:p>
    <w:p w14:paraId="29D9FA83" w14:textId="77777777" w:rsidR="00374C4C" w:rsidRDefault="00374C4C" w:rsidP="00855D8D">
      <w:pPr>
        <w:pStyle w:val="Izvor"/>
      </w:pPr>
    </w:p>
    <w:p w14:paraId="650BE2B0" w14:textId="58B0BB30" w:rsidR="008878A0" w:rsidRPr="008658ED" w:rsidRDefault="008878A0" w:rsidP="00CB6046">
      <w:pPr>
        <w:shd w:val="clear" w:color="auto" w:fill="E5E5E5" w:themeFill="text1" w:themeFillTint="33"/>
        <w:rPr>
          <w:b/>
          <w:bCs/>
        </w:rPr>
      </w:pPr>
      <w:r w:rsidRPr="008658ED">
        <w:rPr>
          <w:b/>
          <w:bCs/>
        </w:rPr>
        <w:t>Zaključak</w:t>
      </w:r>
    </w:p>
    <w:p w14:paraId="50131E9F" w14:textId="3DA8D04A" w:rsidR="00594915" w:rsidRDefault="00594915" w:rsidP="00CB6046">
      <w:pPr>
        <w:shd w:val="clear" w:color="auto" w:fill="E5E5E5" w:themeFill="text1" w:themeFillTint="33"/>
      </w:pPr>
      <w:r w:rsidRPr="00594915">
        <w:t xml:space="preserve">Prema podacima navedenim u Popisu stanovništva 2011., obrazovnu strukturu stanovništva Krapinsko-zagorske županije najvećim djelom čine osobe sa završenom osnovnom školom (44,92%). Značajan udio čine i osobe koje su završile trogodišnju ili </w:t>
      </w:r>
      <w:r w:rsidRPr="00594915">
        <w:lastRenderedPageBreak/>
        <w:t>četverogodišnju strukovnu školu (39,22%), dok je 3,60% osoba sa završenom gimnazijom. Fakultetski obrazovane osobe, one koje su stekle akademski ili stručni naziv prvostupnika, magistra i doktora znanosti, čine 10,68% stanovništva</w:t>
      </w:r>
      <w:r>
        <w:t>.</w:t>
      </w:r>
      <w:r w:rsidR="002A4094">
        <w:t xml:space="preserve"> </w:t>
      </w:r>
    </w:p>
    <w:p w14:paraId="07596E78" w14:textId="0A4516B7" w:rsidR="00594915" w:rsidRDefault="00594915" w:rsidP="00CB6046">
      <w:pPr>
        <w:shd w:val="clear" w:color="auto" w:fill="E5E5E5" w:themeFill="text1" w:themeFillTint="33"/>
      </w:pPr>
      <w:r w:rsidRPr="00594915">
        <w:t>Na području Krapinsko- zagorske županije prema DZS-u u pedagoškoj godini 2019./2020. djeluju 23 dječja vrtića i druge pravne osobe koje ostvaruju programe predškolskog odgoja</w:t>
      </w:r>
      <w:r w:rsidR="002A4094">
        <w:t xml:space="preserve">. Primijećeno je kako je broj ustanova u predškolskom odgoju premali. Prisutna je prostorna ograničenost ustanova obzirom na broj djece i veći broj jedinica lokalne samouprave koji nema dječji vrtić. </w:t>
      </w:r>
      <w:r w:rsidR="008B3B29" w:rsidRPr="008B3B29">
        <w:t>U 2019. godine započela je izgradnja dječjih vrtića u Općini Tuhelj, Svetom Križu Začretju i Gradu Klanjcu</w:t>
      </w:r>
      <w:r w:rsidR="002A4094">
        <w:t xml:space="preserve"> što će pridonijeti povećanju broja dječjih vrtića</w:t>
      </w:r>
      <w:r w:rsidR="001815CA">
        <w:t xml:space="preserve"> dok se u </w:t>
      </w:r>
      <w:r w:rsidR="008B3B29" w:rsidRPr="008B3B29">
        <w:t>gradovima Zlatar i Oroslavje izvodi nadogradnja dječjih vrtića</w:t>
      </w:r>
      <w:r w:rsidR="008B3B29">
        <w:t xml:space="preserve">. </w:t>
      </w:r>
      <w:r w:rsidR="008B3B29" w:rsidRPr="008B3B29">
        <w:t xml:space="preserve">Izgradnja novih vrtića planira se i u općinama Mihovljan, Mače, Lobor, Budinščina, Gornja Stubica, Đurmanec i Marija Bistrica. </w:t>
      </w:r>
    </w:p>
    <w:p w14:paraId="554C9228" w14:textId="787D8C0D" w:rsidR="00F12545" w:rsidRDefault="00F12545" w:rsidP="00CB6046">
      <w:pPr>
        <w:shd w:val="clear" w:color="auto" w:fill="E5E5E5" w:themeFill="text1" w:themeFillTint="33"/>
      </w:pPr>
      <w:r w:rsidRPr="00F12545">
        <w:t xml:space="preserve">Mreža osnovnih škola na području Krapinsko-zagorske županije </w:t>
      </w:r>
      <w:r w:rsidR="00BF4895">
        <w:t xml:space="preserve">je dobro razvijena i </w:t>
      </w:r>
      <w:r w:rsidRPr="00F12545">
        <w:t>obuhvaća 34 ustanove koje obavljaju osnovnoškolsku djelatnost u objektima matičnih škola i 54 područne škole, jedino u općini Zagorska Sela nema ni jedne škole te djeca s tog područja pohađaju osnovnu školu u Kumrovcu. Na području Krapinsko - zagorske županije osnovno obrazovanje djece i mladeži s većim teškoćama i poremećajima u razvoju provodi se u Centru za odgoj i obrazovanje Krapinske Toplice, te Zajezdi, pri Zavodu za rehabilitaciju.</w:t>
      </w:r>
      <w:r w:rsidR="00BF4895">
        <w:t xml:space="preserve"> U sklopu redovitog programa obrazovanja osigurani su pomoćnici u nastavi za djecu s teškoćama u razvoju.</w:t>
      </w:r>
      <w:r>
        <w:t xml:space="preserve"> </w:t>
      </w:r>
      <w:r w:rsidRPr="00F12545">
        <w:t>U Krapinsko-zagorskoj županiji djeluje 10 ustanova srednjoškolskog obrazovanja te 1 srednja glazbena škola.</w:t>
      </w:r>
      <w:r>
        <w:t xml:space="preserve"> </w:t>
      </w:r>
      <w:r w:rsidRPr="00F12545">
        <w:t xml:space="preserve">Kretanje broja učenika u osnovnim </w:t>
      </w:r>
      <w:r>
        <w:t xml:space="preserve">i srednjim </w:t>
      </w:r>
      <w:r w:rsidRPr="00F12545">
        <w:t>školama pokazuje nastavak trenda pada što je i očekivano s obzirom na negativni natalitet i povećano iseljavanje stanovništva, a posebice mladih obitelji. Iako je napredak u digitalizaciji obrazovanja vidljiv još uvijek postoji problem nedostatka adekvatne infrastrukture, opreme i ljudskih resursa za provođenje nastave u većini područnih škola, dok je situacija u matičnim školama nešto bolja.</w:t>
      </w:r>
      <w:r w:rsidR="00BF4895">
        <w:t xml:space="preserve"> Glavni problem određenih škola je veličina škola obzirom na broj učenika te da se nastava u većini škola provodi i dalje u dvije smjene. Većina škola nema mogućnosti za organiziranje produženog boravka djece, oprema za rad administrativnog osoblja te oprema koja se koristi u nastavi ne odgovaraju propisanim pedagoškim standardima.</w:t>
      </w:r>
    </w:p>
    <w:p w14:paraId="31C7B2EC" w14:textId="77777777" w:rsidR="0009528D" w:rsidRDefault="00492829" w:rsidP="00CB6046">
      <w:pPr>
        <w:shd w:val="clear" w:color="auto" w:fill="E5E5E5" w:themeFill="text1" w:themeFillTint="33"/>
      </w:pPr>
      <w:r w:rsidRPr="00492829">
        <w:t>Visoka učilišta nalaze se u tri grada Krapinsko-zagorske županije</w:t>
      </w:r>
      <w:r>
        <w:t xml:space="preserve"> </w:t>
      </w:r>
      <w:r w:rsidRPr="00492829">
        <w:t>u Krapini, Pregradi i Zaboku. Studiji u Pregradi i Zaboku organizirani su kao dislocirani odjeli visokih učilišta iz drugih županija</w:t>
      </w:r>
      <w:r w:rsidR="008853F3">
        <w:t xml:space="preserve"> dok u Krapini djeluje Veleučilište Hrvatsko zagorje Krapina. </w:t>
      </w:r>
      <w:r w:rsidR="00B97529" w:rsidRPr="00B97529">
        <w:t xml:space="preserve">Dio studenata čine studenti s prebivalištem u Krapinsko-zagorskoj županiji, a dio studenti iz drugih županija Republike Hrvatske. </w:t>
      </w:r>
      <w:r w:rsidR="008853F3">
        <w:t>Spomenuta visoka učilišta omogućuj</w:t>
      </w:r>
      <w:r w:rsidR="00FC62A9">
        <w:t>u</w:t>
      </w:r>
      <w:r w:rsidR="008853F3" w:rsidRPr="008853F3">
        <w:t xml:space="preserve"> </w:t>
      </w:r>
      <w:r w:rsidR="008853F3">
        <w:t>srednjoškolcima nastavak visokog obrazovanja</w:t>
      </w:r>
      <w:r w:rsidR="00FC62A9">
        <w:t xml:space="preserve"> u Županiji</w:t>
      </w:r>
      <w:r w:rsidR="008853F3">
        <w:t xml:space="preserve"> čime se </w:t>
      </w:r>
      <w:r w:rsidR="00FC62A9">
        <w:t>doprinosi</w:t>
      </w:r>
      <w:r w:rsidR="008853F3">
        <w:t xml:space="preserve"> </w:t>
      </w:r>
      <w:r w:rsidR="008853F3" w:rsidRPr="008853F3">
        <w:t>zadržavanj</w:t>
      </w:r>
      <w:r w:rsidR="00FC62A9">
        <w:t xml:space="preserve">u </w:t>
      </w:r>
      <w:r w:rsidR="008853F3" w:rsidRPr="008853F3">
        <w:t>visokoobrazovnog kadra u Krapinsko-zagorskoj županiji.</w:t>
      </w:r>
      <w:r w:rsidR="0009528D">
        <w:t xml:space="preserve"> U akademskoj godini 2019./2020. v</w:t>
      </w:r>
      <w:r w:rsidR="0009528D" w:rsidRPr="0009528D">
        <w:t xml:space="preserve">idljiv je porast broja studenata na prosječan broj stanovnika u županiji </w:t>
      </w:r>
      <w:r w:rsidR="0009528D">
        <w:t xml:space="preserve">u odnosu na prethodnu godinu. </w:t>
      </w:r>
      <w:r w:rsidR="0009528D" w:rsidRPr="0009528D">
        <w:t xml:space="preserve">U razdoblju od 2015. do 2018. godine primjetna je konstanta broja studenata koji su završili sveučilišni ili stručni studij dok je u 2019.godini primjetno </w:t>
      </w:r>
      <w:r w:rsidR="0009528D">
        <w:t>smanjenje broja diplomiranih studenata.</w:t>
      </w:r>
      <w:r w:rsidR="0009528D" w:rsidRPr="0009528D">
        <w:t xml:space="preserve"> Krapinsko-zagorska županija kontinuirano dodjeljuje studentske stipendije, sukladno Pravilniku o stipendiranju, koji među kriterijima – osim uspjeha, natjecanja, socijalnog statusa te otežavajućih okolnosti u obitelji - obuhvaća i dodatno bodovanje ako je riječ o školovanju za zanimanja od prioritetnog interesa za Županiju.</w:t>
      </w:r>
      <w:r w:rsidR="0009528D">
        <w:t xml:space="preserve"> </w:t>
      </w:r>
    </w:p>
    <w:p w14:paraId="7C1D091D" w14:textId="77777777" w:rsidR="001F469D" w:rsidRDefault="0009528D" w:rsidP="00CB6046">
      <w:pPr>
        <w:shd w:val="clear" w:color="auto" w:fill="E5E5E5" w:themeFill="text1" w:themeFillTint="33"/>
      </w:pPr>
      <w:r w:rsidRPr="0009528D">
        <w:t>Na prostoru županije postoje tri učilišta te tri srednje škole koje provode obrazovanje odraslih. Ponuda pučkih otvorenih učilišta uključuje tečajeve stranih jezika, razne oblike prekvalifikacija, osposobljavanja, usavršavanja i informatičkih tečajeva. U šk. godini 2019./2020. dolazi do osjetnog povećanja broja polaznika formalnog i neformalnog obrazovanja u odnosu na protekle godine</w:t>
      </w:r>
      <w:r>
        <w:t xml:space="preserve">. </w:t>
      </w:r>
    </w:p>
    <w:p w14:paraId="6F0A7F6B" w14:textId="1A0BCF09" w:rsidR="00FD7F29" w:rsidRDefault="001F469D" w:rsidP="00CB6046">
      <w:pPr>
        <w:shd w:val="clear" w:color="auto" w:fill="E5E5E5" w:themeFill="text1" w:themeFillTint="33"/>
      </w:pPr>
      <w:r w:rsidRPr="001F469D">
        <w:t>U okviru mjera obrazovanja nezaposlenih osoba djeluje Hrvatski zavod za zapošljavanje</w:t>
      </w:r>
      <w:r>
        <w:t xml:space="preserve">. </w:t>
      </w:r>
      <w:r w:rsidRPr="001F469D">
        <w:t>Tijekom 2016. godine zamjetan je značajan porast broja osoba upućenih na dodatno obrazovanje, na što je izravno utjecao znatno veći iznos financijskih sredstava za ovu mjeru iz državnog proračuna, no u narednim godinama broj se vratio na uobičajene prosjeke, a mjere su usmjerene više prema poslodavcima. Nakon provedbe osposobljavanja u prosjeku se zaposli 64% polaznika.</w:t>
      </w:r>
      <w:r>
        <w:t xml:space="preserve"> </w:t>
      </w:r>
      <w:r w:rsidR="008878A0">
        <w:t>Ulaganje u obrazovanje ne odnosi se samo na direktna financijska sredstva za poboljšanje uvjeta unutar formalnog obrazovanja i nabavu suvremene opreme, već i na ulaganje u usklađenost formalnog obrazovanja s potrebama realnog sektora. Usporedbom programa može se zaključiti da je nužna bolja suradnja obrazovnih institucija s gospodarskim sektorom i Zavodom za zapošljavanje kako bi se sukladno deficitarnim zanimanjima definirali potrebni programi dodatnog osposobljavanja radne snage.</w:t>
      </w:r>
    </w:p>
    <w:p w14:paraId="4AA2775D" w14:textId="6302C270" w:rsidR="00722DDE" w:rsidRPr="00C160FA" w:rsidRDefault="00E81C86" w:rsidP="005F13D3">
      <w:pPr>
        <w:pStyle w:val="Naslov1"/>
        <w:rPr>
          <w:spacing w:val="1"/>
          <w:w w:val="99"/>
          <w:sz w:val="28"/>
          <w:szCs w:val="18"/>
        </w:rPr>
      </w:pPr>
      <w:r>
        <w:br w:type="column"/>
      </w:r>
      <w:bookmarkStart w:id="123" w:name="_Toc85181316"/>
      <w:r w:rsidR="00722DDE" w:rsidRPr="00E81C86">
        <w:rPr>
          <w:rStyle w:val="NASLOV"/>
        </w:rPr>
        <w:lastRenderedPageBreak/>
        <w:t>TRŽIŠTE RADA</w:t>
      </w:r>
      <w:bookmarkEnd w:id="123"/>
    </w:p>
    <w:p w14:paraId="55CA188E" w14:textId="463F8025" w:rsidR="00722DDE" w:rsidRDefault="00437B19" w:rsidP="0052192B">
      <w:pPr>
        <w:pStyle w:val="Naslov2"/>
      </w:pPr>
      <w:bookmarkStart w:id="124" w:name="_Toc85181317"/>
      <w:r>
        <w:t>9</w:t>
      </w:r>
      <w:r w:rsidR="00722DDE">
        <w:t>.1. Radna snaga</w:t>
      </w:r>
      <w:bookmarkEnd w:id="124"/>
    </w:p>
    <w:p w14:paraId="451CDD65" w14:textId="77777777" w:rsidR="00722DDE" w:rsidRPr="008658ED" w:rsidRDefault="00722DDE" w:rsidP="00722DDE"/>
    <w:p w14:paraId="7F665569" w14:textId="1DA6C99D" w:rsidR="00722DDE" w:rsidRDefault="00722DDE" w:rsidP="00722DDE">
      <w:r>
        <w:t xml:space="preserve">Radno aktivno </w:t>
      </w:r>
      <w:r w:rsidRPr="00623EFB">
        <w:t>stanovništvo čine sve zaposlene i nezaposlene osobe. Prema evidenciji Državnog zavoda za statistiku, na području Krapinsko-zagorske županije primjetan je trend smanjenja radno aktivnog stanovništva što je posljedica migracija i nepovoljnih demografskih kretanja (sve je manje mladih osoba koje ulaze u radni kontingent, a sve više starijih koji izlaze, tj. odlaze u mirovinu). Ukupna radna snaga na području Krapinsko-zagorske županije u 201</w:t>
      </w:r>
      <w:r w:rsidR="00833606">
        <w:t>9</w:t>
      </w:r>
      <w:r w:rsidRPr="00623EFB">
        <w:t>. godin</w:t>
      </w:r>
      <w:r w:rsidR="00833606">
        <w:t>i</w:t>
      </w:r>
      <w:r w:rsidRPr="00623EFB">
        <w:t xml:space="preserve"> (stanje na 31. ožuj</w:t>
      </w:r>
      <w:r w:rsidR="00E20BBD">
        <w:t>ka</w:t>
      </w:r>
      <w:r w:rsidRPr="00623EFB">
        <w:t>) iznosila je ukupno 38.</w:t>
      </w:r>
      <w:r w:rsidR="00833606">
        <w:t>131</w:t>
      </w:r>
      <w:r w:rsidRPr="00623EFB">
        <w:t xml:space="preserve"> osob</w:t>
      </w:r>
      <w:r w:rsidR="002A3406">
        <w:t>a</w:t>
      </w:r>
      <w:r w:rsidRPr="00623EFB">
        <w:t>, odnosno 46% ukupno radno sposobnog stanovništva Krapinsko-zagorske županije (prema Procjeni stanovništva Republike Hrvatske u 201</w:t>
      </w:r>
      <w:r w:rsidR="00E72485">
        <w:t>9</w:t>
      </w:r>
      <w:r w:rsidRPr="00623EFB">
        <w:t>. godini, radno sposobno stanovništvo KZŽ-a u dobi od 15 do 64 godine života čini 8</w:t>
      </w:r>
      <w:r w:rsidR="00E72485">
        <w:t>2.846</w:t>
      </w:r>
      <w:r w:rsidRPr="00623EFB">
        <w:t xml:space="preserve"> osoba). Kretanje radne snage Krapinsko-zagorske županije prikazano je grafikonom u nastavku.</w:t>
      </w:r>
    </w:p>
    <w:p w14:paraId="13E7A8AA" w14:textId="77777777" w:rsidR="00722DDE" w:rsidRDefault="00722DDE" w:rsidP="00722DDE"/>
    <w:p w14:paraId="393E3DA0" w14:textId="2A0850CA" w:rsidR="00722DDE" w:rsidRDefault="00722DDE" w:rsidP="003E3F3C">
      <w:pPr>
        <w:pStyle w:val="Opisslike"/>
      </w:pPr>
      <w:r>
        <w:t xml:space="preserve">Grafikon </w:t>
      </w:r>
      <w:r w:rsidR="00C23D30">
        <w:rPr>
          <w:noProof/>
        </w:rPr>
        <w:t>2</w:t>
      </w:r>
      <w:r w:rsidR="00CF4B96">
        <w:rPr>
          <w:noProof/>
        </w:rPr>
        <w:t>9</w:t>
      </w:r>
      <w:r>
        <w:rPr>
          <w:noProof/>
        </w:rPr>
        <w:t>.</w:t>
      </w:r>
      <w:r>
        <w:t xml:space="preserve"> Radno aktivno stanovništvo Krapinsko-zagorske županije </w:t>
      </w:r>
      <w:r w:rsidR="00C93AE9">
        <w:t>2015.-2019.</w:t>
      </w:r>
    </w:p>
    <w:p w14:paraId="23CF01FC" w14:textId="06AC9401" w:rsidR="00722DDE" w:rsidRDefault="00C93AE9" w:rsidP="00C93AE9">
      <w:pPr>
        <w:spacing w:after="0"/>
        <w:rPr>
          <w:sz w:val="22"/>
          <w:szCs w:val="22"/>
          <w:highlight w:val="yellow"/>
        </w:rPr>
      </w:pPr>
      <w:r>
        <w:rPr>
          <w:noProof/>
        </w:rPr>
        <w:drawing>
          <wp:inline distT="0" distB="0" distL="0" distR="0" wp14:anchorId="25B68C88" wp14:editId="7AEC5088">
            <wp:extent cx="5836920" cy="2743200"/>
            <wp:effectExtent l="0" t="0" r="11430" b="0"/>
            <wp:docPr id="3" name="Grafikon 3">
              <a:extLst xmlns:a="http://schemas.openxmlformats.org/drawingml/2006/main">
                <a:ext uri="{FF2B5EF4-FFF2-40B4-BE49-F238E27FC236}">
                  <a16:creationId xmlns:a16="http://schemas.microsoft.com/office/drawing/2014/main" id="{55AE73D7-5A44-4FFE-9FB3-30FEE97FE2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78BF8BD" w14:textId="68C9B4F9" w:rsidR="00722DDE" w:rsidRPr="007048AD" w:rsidRDefault="00722DDE" w:rsidP="003C2276">
      <w:pPr>
        <w:pStyle w:val="Izvor"/>
        <w:rPr>
          <w:i/>
          <w:color w:val="ABABAB" w:themeColor="text1" w:themeTint="A6"/>
          <w:sz w:val="16"/>
          <w:szCs w:val="16"/>
        </w:rPr>
      </w:pPr>
      <w:r w:rsidRPr="007048AD">
        <w:rPr>
          <w:i/>
          <w:color w:val="ABABAB" w:themeColor="text1" w:themeTint="A6"/>
          <w:sz w:val="16"/>
          <w:szCs w:val="16"/>
        </w:rPr>
        <w:t>Izvor: DZS  Zaposlenost i plaće – pregled po županijama, 20</w:t>
      </w:r>
      <w:r w:rsidR="00C93AE9" w:rsidRPr="007048AD">
        <w:rPr>
          <w:i/>
          <w:color w:val="ABABAB" w:themeColor="text1" w:themeTint="A6"/>
          <w:sz w:val="16"/>
          <w:szCs w:val="16"/>
        </w:rPr>
        <w:t>20</w:t>
      </w:r>
      <w:r w:rsidRPr="007048AD">
        <w:rPr>
          <w:i/>
          <w:color w:val="ABABAB" w:themeColor="text1" w:themeTint="A6"/>
          <w:sz w:val="16"/>
          <w:szCs w:val="16"/>
        </w:rPr>
        <w:t>.</w:t>
      </w:r>
    </w:p>
    <w:p w14:paraId="2FD23C7C" w14:textId="77777777" w:rsidR="00722DDE" w:rsidRDefault="00722DDE" w:rsidP="00722DDE">
      <w:pPr>
        <w:rPr>
          <w:sz w:val="22"/>
          <w:szCs w:val="22"/>
        </w:rPr>
      </w:pPr>
    </w:p>
    <w:p w14:paraId="2F672203" w14:textId="32540D08" w:rsidR="00722DDE" w:rsidRDefault="00437B19" w:rsidP="0052192B">
      <w:pPr>
        <w:pStyle w:val="Naslov2"/>
      </w:pPr>
      <w:bookmarkStart w:id="125" w:name="_Toc85181318"/>
      <w:r>
        <w:t>9</w:t>
      </w:r>
      <w:r w:rsidR="00722DDE">
        <w:t>.2. Zaposlenost i plaće</w:t>
      </w:r>
      <w:bookmarkEnd w:id="125"/>
    </w:p>
    <w:p w14:paraId="22909313" w14:textId="77777777" w:rsidR="00722DDE" w:rsidRPr="008658ED" w:rsidRDefault="00722DDE" w:rsidP="00722DDE"/>
    <w:p w14:paraId="1F670C68" w14:textId="45FCBB7B" w:rsidR="00722DDE" w:rsidRDefault="00722DDE" w:rsidP="00722DDE">
      <w:bookmarkStart w:id="126" w:name="_Hlk64439985"/>
      <w:r>
        <w:t>Sukladno evidenciji Državnog zavoda za statistiku, na području Krapinsko-zagorske županije u 201</w:t>
      </w:r>
      <w:r w:rsidR="00E72485">
        <w:t>9</w:t>
      </w:r>
      <w:r>
        <w:t>. godini (stanje na 31. ožujka) bilo je zaposleno 35.</w:t>
      </w:r>
      <w:r w:rsidR="00E72485">
        <w:t>699</w:t>
      </w:r>
      <w:r>
        <w:t xml:space="preserve"> osoba što čini približno </w:t>
      </w:r>
      <w:r w:rsidR="00E72485">
        <w:t>43</w:t>
      </w:r>
      <w:r>
        <w:t>% radno aktivnog stanovništva Krapinsko-zagorske županije. Broj zaposlenih u pravnim osobama u 201</w:t>
      </w:r>
      <w:r w:rsidR="00E72485">
        <w:t>9</w:t>
      </w:r>
      <w:r>
        <w:t>. godini iznosio je 28.</w:t>
      </w:r>
      <w:r w:rsidR="00E72485">
        <w:t>775</w:t>
      </w:r>
      <w:r>
        <w:t>, odnosno 8</w:t>
      </w:r>
      <w:r w:rsidR="009B5F89">
        <w:t>1</w:t>
      </w:r>
      <w:r>
        <w:t xml:space="preserve">% ukupno zaposlenih osoba Krapinsko-zagorske županije. Preostalih </w:t>
      </w:r>
      <w:r w:rsidR="009B5F89">
        <w:t>19</w:t>
      </w:r>
      <w:r>
        <w:t>% ukupno zaposlenih osoba (</w:t>
      </w:r>
      <w:r w:rsidR="009B5F89">
        <w:t>6.924</w:t>
      </w:r>
      <w:r>
        <w:t xml:space="preserve"> osobe) odnosi se na zaposlene u djelatnostima obrta, slobodnih profesija te osobe koje svoju radnu aktivnost obavljaju na individualnim poljoprivrednim gospodarstvima.</w:t>
      </w:r>
    </w:p>
    <w:bookmarkEnd w:id="126"/>
    <w:p w14:paraId="4F53B6B7" w14:textId="77777777" w:rsidR="00722DDE" w:rsidRDefault="00722DDE" w:rsidP="00722DDE"/>
    <w:p w14:paraId="59956884" w14:textId="554FBECA" w:rsidR="00722DDE" w:rsidRDefault="00722DDE" w:rsidP="003E3F3C">
      <w:pPr>
        <w:pStyle w:val="Opisslike"/>
      </w:pPr>
      <w:r>
        <w:t xml:space="preserve">Tablica </w:t>
      </w:r>
      <w:r w:rsidR="0018019C">
        <w:rPr>
          <w:noProof/>
        </w:rPr>
        <w:t>6</w:t>
      </w:r>
      <w:r w:rsidR="000D5E3F">
        <w:rPr>
          <w:noProof/>
        </w:rPr>
        <w:t>3</w:t>
      </w:r>
      <w:r>
        <w:rPr>
          <w:noProof/>
        </w:rPr>
        <w:t>.</w:t>
      </w:r>
      <w:r>
        <w:t xml:space="preserve"> Ukupan broj zaposlenih u Krapinsko-zagorskoj županiji (2015.-201</w:t>
      </w:r>
      <w:r w:rsidR="009B5F89">
        <w:t>9</w:t>
      </w:r>
      <w:r>
        <w:t>.)</w:t>
      </w:r>
    </w:p>
    <w:tbl>
      <w:tblPr>
        <w:tblW w:w="5000" w:type="pct"/>
        <w:tblLayout w:type="fixed"/>
        <w:tblLook w:val="04A0" w:firstRow="1" w:lastRow="0" w:firstColumn="1" w:lastColumn="0" w:noHBand="0" w:noVBand="1"/>
      </w:tblPr>
      <w:tblGrid>
        <w:gridCol w:w="1163"/>
        <w:gridCol w:w="4008"/>
        <w:gridCol w:w="823"/>
        <w:gridCol w:w="825"/>
        <w:gridCol w:w="825"/>
        <w:gridCol w:w="823"/>
        <w:gridCol w:w="823"/>
      </w:tblGrid>
      <w:tr w:rsidR="009B5F89" w:rsidRPr="00171C5D" w14:paraId="30107CE7" w14:textId="2814311C" w:rsidTr="009B5F89">
        <w:trPr>
          <w:trHeight w:val="283"/>
        </w:trPr>
        <w:tc>
          <w:tcPr>
            <w:tcW w:w="2783" w:type="pct"/>
            <w:gridSpan w:val="2"/>
            <w:tcBorders>
              <w:right w:val="single" w:sz="4" w:space="0" w:color="FFFFFF" w:themeColor="background1"/>
            </w:tcBorders>
            <w:shd w:val="clear" w:color="auto" w:fill="D2232A"/>
            <w:noWrap/>
            <w:vAlign w:val="center"/>
            <w:hideMark/>
          </w:tcPr>
          <w:p w14:paraId="53D76838" w14:textId="77777777" w:rsidR="009B5F89" w:rsidRPr="00120311" w:rsidRDefault="009B5F89" w:rsidP="00722DDE">
            <w:pPr>
              <w:spacing w:after="0" w:line="240" w:lineRule="auto"/>
              <w:jc w:val="center"/>
              <w:rPr>
                <w:rFonts w:eastAsia="Times New Roman" w:cs="Calibri"/>
                <w:color w:val="FFFFFF" w:themeColor="background1"/>
                <w:szCs w:val="18"/>
                <w:lang w:eastAsia="hr-HR"/>
              </w:rPr>
            </w:pPr>
            <w:r w:rsidRPr="00120311">
              <w:rPr>
                <w:rFonts w:eastAsia="Times New Roman" w:cs="Calibri"/>
                <w:color w:val="FFFFFF" w:themeColor="background1"/>
                <w:szCs w:val="18"/>
                <w:lang w:eastAsia="hr-HR"/>
              </w:rPr>
              <w:t>Zaposleni</w:t>
            </w:r>
          </w:p>
        </w:tc>
        <w:tc>
          <w:tcPr>
            <w:tcW w:w="443" w:type="pct"/>
            <w:tcBorders>
              <w:left w:val="single" w:sz="4" w:space="0" w:color="FFFFFF" w:themeColor="background1"/>
              <w:right w:val="single" w:sz="4" w:space="0" w:color="FFFFFF" w:themeColor="background1"/>
            </w:tcBorders>
            <w:shd w:val="clear" w:color="auto" w:fill="D2232A"/>
            <w:vAlign w:val="center"/>
            <w:hideMark/>
          </w:tcPr>
          <w:p w14:paraId="09C60523" w14:textId="77777777" w:rsidR="009B5F89" w:rsidRPr="00120311" w:rsidRDefault="009B5F89" w:rsidP="00722DDE">
            <w:pPr>
              <w:spacing w:after="0" w:line="240" w:lineRule="auto"/>
              <w:jc w:val="center"/>
              <w:rPr>
                <w:rFonts w:eastAsia="Times New Roman" w:cs="Calibri"/>
                <w:color w:val="FFFFFF" w:themeColor="background1"/>
                <w:szCs w:val="18"/>
                <w:lang w:eastAsia="hr-HR"/>
              </w:rPr>
            </w:pPr>
            <w:r w:rsidRPr="00120311">
              <w:rPr>
                <w:rFonts w:eastAsia="Times New Roman" w:cs="Calibri"/>
                <w:color w:val="FFFFFF" w:themeColor="background1"/>
                <w:szCs w:val="18"/>
                <w:lang w:eastAsia="hr-HR"/>
              </w:rPr>
              <w:t>2015.</w:t>
            </w:r>
          </w:p>
        </w:tc>
        <w:tc>
          <w:tcPr>
            <w:tcW w:w="444" w:type="pct"/>
            <w:tcBorders>
              <w:left w:val="single" w:sz="4" w:space="0" w:color="FFFFFF" w:themeColor="background1"/>
              <w:right w:val="single" w:sz="4" w:space="0" w:color="FFFFFF" w:themeColor="background1"/>
            </w:tcBorders>
            <w:shd w:val="clear" w:color="auto" w:fill="D2232A"/>
            <w:vAlign w:val="center"/>
            <w:hideMark/>
          </w:tcPr>
          <w:p w14:paraId="0CBFCC8F" w14:textId="77777777" w:rsidR="009B5F89" w:rsidRPr="00120311" w:rsidRDefault="009B5F89" w:rsidP="00722DDE">
            <w:pPr>
              <w:spacing w:after="0" w:line="240" w:lineRule="auto"/>
              <w:jc w:val="center"/>
              <w:rPr>
                <w:rFonts w:eastAsia="Times New Roman" w:cs="Calibri"/>
                <w:color w:val="FFFFFF" w:themeColor="background1"/>
                <w:szCs w:val="18"/>
                <w:lang w:eastAsia="hr-HR"/>
              </w:rPr>
            </w:pPr>
            <w:r w:rsidRPr="00120311">
              <w:rPr>
                <w:rFonts w:eastAsia="Times New Roman" w:cs="Calibri"/>
                <w:color w:val="FFFFFF" w:themeColor="background1"/>
                <w:szCs w:val="18"/>
                <w:lang w:eastAsia="hr-HR"/>
              </w:rPr>
              <w:t>2016.</w:t>
            </w:r>
          </w:p>
        </w:tc>
        <w:tc>
          <w:tcPr>
            <w:tcW w:w="444" w:type="pct"/>
            <w:tcBorders>
              <w:left w:val="single" w:sz="4" w:space="0" w:color="FFFFFF" w:themeColor="background1"/>
              <w:right w:val="single" w:sz="4" w:space="0" w:color="FFFFFF" w:themeColor="background1"/>
            </w:tcBorders>
            <w:shd w:val="clear" w:color="auto" w:fill="D2232A"/>
            <w:vAlign w:val="center"/>
            <w:hideMark/>
          </w:tcPr>
          <w:p w14:paraId="3517504F" w14:textId="77777777" w:rsidR="009B5F89" w:rsidRPr="00120311" w:rsidRDefault="009B5F89" w:rsidP="00722DDE">
            <w:pPr>
              <w:spacing w:after="0" w:line="240" w:lineRule="auto"/>
              <w:jc w:val="center"/>
              <w:rPr>
                <w:rFonts w:eastAsia="Times New Roman" w:cs="Calibri"/>
                <w:color w:val="FFFFFF" w:themeColor="background1"/>
                <w:szCs w:val="18"/>
                <w:lang w:eastAsia="hr-HR"/>
              </w:rPr>
            </w:pPr>
            <w:r w:rsidRPr="00120311">
              <w:rPr>
                <w:rFonts w:eastAsia="Times New Roman" w:cs="Calibri"/>
                <w:color w:val="FFFFFF" w:themeColor="background1"/>
                <w:szCs w:val="18"/>
                <w:lang w:eastAsia="hr-HR"/>
              </w:rPr>
              <w:t>2017.</w:t>
            </w:r>
          </w:p>
        </w:tc>
        <w:tc>
          <w:tcPr>
            <w:tcW w:w="443" w:type="pct"/>
            <w:tcBorders>
              <w:left w:val="single" w:sz="4" w:space="0" w:color="FFFFFF" w:themeColor="background1"/>
              <w:right w:val="single" w:sz="8" w:space="0" w:color="D2232A"/>
            </w:tcBorders>
            <w:shd w:val="clear" w:color="auto" w:fill="D2232A"/>
            <w:vAlign w:val="center"/>
            <w:hideMark/>
          </w:tcPr>
          <w:p w14:paraId="5A70AFAE" w14:textId="77777777" w:rsidR="009B5F89" w:rsidRPr="00120311" w:rsidRDefault="009B5F89" w:rsidP="00722DDE">
            <w:pPr>
              <w:spacing w:after="0" w:line="240" w:lineRule="auto"/>
              <w:jc w:val="center"/>
              <w:rPr>
                <w:rFonts w:eastAsia="Times New Roman" w:cs="Calibri"/>
                <w:color w:val="FFFFFF" w:themeColor="background1"/>
                <w:szCs w:val="18"/>
                <w:lang w:eastAsia="hr-HR"/>
              </w:rPr>
            </w:pPr>
            <w:r w:rsidRPr="00120311">
              <w:rPr>
                <w:rFonts w:eastAsia="Times New Roman" w:cs="Calibri"/>
                <w:color w:val="FFFFFF" w:themeColor="background1"/>
                <w:szCs w:val="18"/>
                <w:lang w:eastAsia="hr-HR"/>
              </w:rPr>
              <w:t>2018.</w:t>
            </w:r>
          </w:p>
        </w:tc>
        <w:tc>
          <w:tcPr>
            <w:tcW w:w="443" w:type="pct"/>
            <w:tcBorders>
              <w:left w:val="single" w:sz="4" w:space="0" w:color="FFFFFF" w:themeColor="background1"/>
              <w:right w:val="single" w:sz="8" w:space="0" w:color="D2232A"/>
            </w:tcBorders>
            <w:shd w:val="clear" w:color="auto" w:fill="D2232A"/>
            <w:vAlign w:val="center"/>
          </w:tcPr>
          <w:p w14:paraId="29ACD381" w14:textId="51E76194" w:rsidR="009B5F89" w:rsidRPr="00120311" w:rsidRDefault="009B5F89" w:rsidP="009B5F89">
            <w:pPr>
              <w:spacing w:after="0" w:line="240" w:lineRule="auto"/>
              <w:jc w:val="center"/>
              <w:rPr>
                <w:rFonts w:eastAsia="Times New Roman" w:cs="Calibri"/>
                <w:color w:val="FFFFFF" w:themeColor="background1"/>
                <w:szCs w:val="18"/>
                <w:lang w:eastAsia="hr-HR"/>
              </w:rPr>
            </w:pPr>
            <w:r>
              <w:rPr>
                <w:rFonts w:eastAsia="Times New Roman" w:cs="Calibri"/>
                <w:color w:val="FFFFFF" w:themeColor="background1"/>
                <w:szCs w:val="18"/>
                <w:lang w:eastAsia="hr-HR"/>
              </w:rPr>
              <w:t>2019.</w:t>
            </w:r>
          </w:p>
        </w:tc>
      </w:tr>
      <w:tr w:rsidR="009B5F89" w:rsidRPr="00171C5D" w14:paraId="3454F32F" w14:textId="663AD344" w:rsidTr="009B5F89">
        <w:trPr>
          <w:trHeight w:val="283"/>
        </w:trPr>
        <w:tc>
          <w:tcPr>
            <w:tcW w:w="626" w:type="pct"/>
            <w:vMerge w:val="restart"/>
            <w:tcBorders>
              <w:top w:val="single" w:sz="4" w:space="0" w:color="FFFFFF" w:themeColor="background1"/>
            </w:tcBorders>
            <w:shd w:val="clear" w:color="auto" w:fill="D2232A"/>
            <w:noWrap/>
            <w:vAlign w:val="center"/>
            <w:hideMark/>
          </w:tcPr>
          <w:p w14:paraId="039489D5" w14:textId="77777777" w:rsidR="009B5F89" w:rsidRPr="00171C5D" w:rsidRDefault="009B5F89" w:rsidP="00722DDE">
            <w:pPr>
              <w:spacing w:after="0" w:line="240" w:lineRule="auto"/>
              <w:rPr>
                <w:rFonts w:eastAsia="Times New Roman" w:cs="Calibri"/>
                <w:szCs w:val="18"/>
                <w:lang w:eastAsia="hr-HR"/>
              </w:rPr>
            </w:pPr>
            <w:r w:rsidRPr="00120311">
              <w:rPr>
                <w:rFonts w:eastAsia="Times New Roman" w:cs="Calibri"/>
                <w:color w:val="FFFFFF" w:themeColor="background1"/>
                <w:szCs w:val="18"/>
                <w:lang w:eastAsia="hr-HR"/>
              </w:rPr>
              <w:t>Krapinsko-zagorska županija</w:t>
            </w:r>
          </w:p>
        </w:tc>
        <w:tc>
          <w:tcPr>
            <w:tcW w:w="2157" w:type="pct"/>
            <w:tcBorders>
              <w:bottom w:val="single" w:sz="8" w:space="0" w:color="F3CFC1"/>
              <w:right w:val="single" w:sz="8" w:space="0" w:color="D2232A"/>
            </w:tcBorders>
            <w:noWrap/>
            <w:vAlign w:val="center"/>
            <w:hideMark/>
          </w:tcPr>
          <w:p w14:paraId="747850AC" w14:textId="77777777" w:rsidR="009B5F89" w:rsidRPr="00171C5D" w:rsidRDefault="009B5F89" w:rsidP="00722DDE">
            <w:pPr>
              <w:spacing w:after="0" w:line="240" w:lineRule="auto"/>
              <w:rPr>
                <w:rFonts w:eastAsia="Times New Roman" w:cs="Calibri"/>
                <w:szCs w:val="18"/>
                <w:lang w:eastAsia="hr-HR"/>
              </w:rPr>
            </w:pPr>
            <w:r w:rsidRPr="00171C5D">
              <w:rPr>
                <w:rFonts w:eastAsia="Times New Roman" w:cs="Calibri"/>
                <w:szCs w:val="18"/>
                <w:lang w:eastAsia="hr-HR"/>
              </w:rPr>
              <w:t xml:space="preserve">ukupno zaposleni </w:t>
            </w:r>
          </w:p>
        </w:tc>
        <w:tc>
          <w:tcPr>
            <w:tcW w:w="443" w:type="pct"/>
            <w:tcBorders>
              <w:left w:val="single" w:sz="8" w:space="0" w:color="D2232A"/>
              <w:bottom w:val="single" w:sz="8" w:space="0" w:color="F3CFC1"/>
              <w:right w:val="single" w:sz="8" w:space="0" w:color="D2232A"/>
            </w:tcBorders>
            <w:noWrap/>
            <w:vAlign w:val="center"/>
            <w:hideMark/>
          </w:tcPr>
          <w:p w14:paraId="46BBBB56"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33.326</w:t>
            </w:r>
          </w:p>
        </w:tc>
        <w:tc>
          <w:tcPr>
            <w:tcW w:w="444" w:type="pct"/>
            <w:tcBorders>
              <w:left w:val="single" w:sz="8" w:space="0" w:color="D2232A"/>
              <w:bottom w:val="single" w:sz="8" w:space="0" w:color="F3CFC1"/>
              <w:right w:val="single" w:sz="8" w:space="0" w:color="D2232A"/>
            </w:tcBorders>
            <w:noWrap/>
            <w:vAlign w:val="center"/>
            <w:hideMark/>
          </w:tcPr>
          <w:p w14:paraId="2B0EBEF7"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33.935</w:t>
            </w:r>
          </w:p>
        </w:tc>
        <w:tc>
          <w:tcPr>
            <w:tcW w:w="444" w:type="pct"/>
            <w:tcBorders>
              <w:left w:val="single" w:sz="8" w:space="0" w:color="D2232A"/>
              <w:bottom w:val="single" w:sz="8" w:space="0" w:color="F3CFC1"/>
              <w:right w:val="single" w:sz="8" w:space="0" w:color="D2232A"/>
            </w:tcBorders>
            <w:noWrap/>
            <w:vAlign w:val="center"/>
            <w:hideMark/>
          </w:tcPr>
          <w:p w14:paraId="6FC0D2B5"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34.915</w:t>
            </w:r>
          </w:p>
        </w:tc>
        <w:tc>
          <w:tcPr>
            <w:tcW w:w="443" w:type="pct"/>
            <w:tcBorders>
              <w:left w:val="single" w:sz="8" w:space="0" w:color="D2232A"/>
              <w:bottom w:val="single" w:sz="8" w:space="0" w:color="F3CFC1"/>
              <w:right w:val="single" w:sz="8" w:space="0" w:color="D2232A"/>
            </w:tcBorders>
            <w:noWrap/>
            <w:vAlign w:val="center"/>
            <w:hideMark/>
          </w:tcPr>
          <w:p w14:paraId="536066CF"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35.549</w:t>
            </w:r>
          </w:p>
        </w:tc>
        <w:tc>
          <w:tcPr>
            <w:tcW w:w="443" w:type="pct"/>
            <w:tcBorders>
              <w:left w:val="single" w:sz="8" w:space="0" w:color="D2232A"/>
              <w:bottom w:val="single" w:sz="8" w:space="0" w:color="F3CFC1"/>
              <w:right w:val="single" w:sz="8" w:space="0" w:color="D2232A"/>
            </w:tcBorders>
            <w:vAlign w:val="center"/>
          </w:tcPr>
          <w:p w14:paraId="79C7C043" w14:textId="0C84809B" w:rsidR="009B5F89" w:rsidRPr="00171C5D" w:rsidRDefault="009B5F89" w:rsidP="009B5F89">
            <w:pPr>
              <w:spacing w:after="0" w:line="240" w:lineRule="auto"/>
              <w:jc w:val="right"/>
              <w:rPr>
                <w:rFonts w:eastAsia="Times New Roman" w:cs="Calibri"/>
                <w:szCs w:val="18"/>
                <w:lang w:eastAsia="hr-HR"/>
              </w:rPr>
            </w:pPr>
            <w:r>
              <w:rPr>
                <w:rFonts w:eastAsia="Times New Roman" w:cs="Calibri"/>
                <w:szCs w:val="18"/>
                <w:lang w:eastAsia="hr-HR"/>
              </w:rPr>
              <w:t>35.699</w:t>
            </w:r>
          </w:p>
        </w:tc>
      </w:tr>
      <w:tr w:rsidR="009B5F89" w:rsidRPr="00171C5D" w14:paraId="0AABB954" w14:textId="7F27C9B7" w:rsidTr="009B5F89">
        <w:trPr>
          <w:trHeight w:val="283"/>
        </w:trPr>
        <w:tc>
          <w:tcPr>
            <w:tcW w:w="626" w:type="pct"/>
            <w:vMerge/>
            <w:shd w:val="clear" w:color="auto" w:fill="D2232A"/>
            <w:vAlign w:val="center"/>
            <w:hideMark/>
          </w:tcPr>
          <w:p w14:paraId="3A021FB3" w14:textId="77777777" w:rsidR="009B5F89" w:rsidRPr="00171C5D" w:rsidRDefault="009B5F89" w:rsidP="00722DDE">
            <w:pPr>
              <w:spacing w:after="0"/>
              <w:rPr>
                <w:rFonts w:eastAsia="Times New Roman" w:cs="Calibri"/>
                <w:szCs w:val="18"/>
                <w:lang w:eastAsia="hr-HR"/>
              </w:rPr>
            </w:pPr>
          </w:p>
        </w:tc>
        <w:tc>
          <w:tcPr>
            <w:tcW w:w="2157" w:type="pct"/>
            <w:tcBorders>
              <w:top w:val="single" w:sz="8" w:space="0" w:color="F3CFC1"/>
              <w:bottom w:val="single" w:sz="8" w:space="0" w:color="F3CFC1"/>
              <w:right w:val="single" w:sz="8" w:space="0" w:color="D2232A"/>
            </w:tcBorders>
            <w:noWrap/>
            <w:vAlign w:val="center"/>
            <w:hideMark/>
          </w:tcPr>
          <w:p w14:paraId="7E86F6C2" w14:textId="77777777" w:rsidR="009B5F89" w:rsidRPr="00171C5D" w:rsidRDefault="009B5F89" w:rsidP="00722DDE">
            <w:pPr>
              <w:spacing w:after="0" w:line="240" w:lineRule="auto"/>
              <w:rPr>
                <w:rFonts w:eastAsia="Times New Roman" w:cs="Calibri"/>
                <w:szCs w:val="18"/>
                <w:lang w:eastAsia="hr-HR"/>
              </w:rPr>
            </w:pPr>
            <w:r w:rsidRPr="00171C5D">
              <w:rPr>
                <w:rFonts w:eastAsia="Times New Roman" w:cs="Calibri"/>
                <w:szCs w:val="18"/>
                <w:lang w:eastAsia="hr-HR"/>
              </w:rPr>
              <w:t>zaposleni u pravnim osobama</w:t>
            </w:r>
          </w:p>
        </w:tc>
        <w:tc>
          <w:tcPr>
            <w:tcW w:w="443" w:type="pct"/>
            <w:tcBorders>
              <w:top w:val="single" w:sz="8" w:space="0" w:color="F3CFC1"/>
              <w:left w:val="single" w:sz="8" w:space="0" w:color="D2232A"/>
              <w:bottom w:val="single" w:sz="8" w:space="0" w:color="F3CFC1"/>
              <w:right w:val="single" w:sz="8" w:space="0" w:color="D2232A"/>
            </w:tcBorders>
            <w:noWrap/>
            <w:vAlign w:val="center"/>
            <w:hideMark/>
          </w:tcPr>
          <w:p w14:paraId="1AB55D6D" w14:textId="77777777" w:rsidR="009B5F89" w:rsidRPr="00171C5D" w:rsidRDefault="009B5F89" w:rsidP="00722DDE">
            <w:pPr>
              <w:spacing w:after="0" w:line="240" w:lineRule="auto"/>
              <w:jc w:val="right"/>
              <w:rPr>
                <w:rFonts w:eastAsia="Times New Roman" w:cs="Calibri"/>
                <w:szCs w:val="18"/>
                <w:lang w:eastAsia="hr-HR"/>
              </w:rPr>
            </w:pPr>
            <w:r w:rsidRPr="00171C5D">
              <w:rPr>
                <w:rFonts w:ascii="Calibri" w:eastAsia="Times New Roman" w:hAnsi="Calibri" w:cs="Calibri"/>
                <w:szCs w:val="18"/>
                <w:lang w:eastAsia="hr-HR"/>
              </w:rPr>
              <w:t> </w:t>
            </w:r>
            <w:r w:rsidRPr="00171C5D">
              <w:rPr>
                <w:rFonts w:eastAsia="Times New Roman" w:cs="Calibri"/>
                <w:szCs w:val="18"/>
                <w:lang w:eastAsia="hr-HR"/>
              </w:rPr>
              <w:t>26.406</w:t>
            </w:r>
          </w:p>
        </w:tc>
        <w:tc>
          <w:tcPr>
            <w:tcW w:w="444" w:type="pct"/>
            <w:tcBorders>
              <w:top w:val="single" w:sz="8" w:space="0" w:color="F3CFC1"/>
              <w:left w:val="single" w:sz="8" w:space="0" w:color="D2232A"/>
              <w:bottom w:val="single" w:sz="8" w:space="0" w:color="F3CFC1"/>
              <w:right w:val="single" w:sz="8" w:space="0" w:color="D2232A"/>
            </w:tcBorders>
            <w:noWrap/>
            <w:vAlign w:val="center"/>
            <w:hideMark/>
          </w:tcPr>
          <w:p w14:paraId="3ACDD645" w14:textId="77777777" w:rsidR="009B5F89" w:rsidRPr="00171C5D" w:rsidRDefault="009B5F89" w:rsidP="00722DDE">
            <w:pPr>
              <w:spacing w:after="0" w:line="240" w:lineRule="auto"/>
              <w:jc w:val="right"/>
              <w:rPr>
                <w:rFonts w:eastAsia="Times New Roman" w:cs="Calibri"/>
                <w:szCs w:val="18"/>
                <w:lang w:eastAsia="hr-HR"/>
              </w:rPr>
            </w:pPr>
            <w:r w:rsidRPr="00171C5D">
              <w:rPr>
                <w:rFonts w:ascii="Calibri" w:eastAsia="Times New Roman" w:hAnsi="Calibri" w:cs="Calibri"/>
                <w:szCs w:val="18"/>
                <w:lang w:val="en-US" w:eastAsia="hr-HR"/>
              </w:rPr>
              <w:t> </w:t>
            </w:r>
            <w:r w:rsidRPr="00171C5D">
              <w:rPr>
                <w:rFonts w:eastAsia="Times New Roman" w:cs="Calibri"/>
                <w:szCs w:val="18"/>
                <w:lang w:val="en-US" w:eastAsia="hr-HR"/>
              </w:rPr>
              <w:t>26.945</w:t>
            </w:r>
          </w:p>
        </w:tc>
        <w:tc>
          <w:tcPr>
            <w:tcW w:w="444" w:type="pct"/>
            <w:tcBorders>
              <w:top w:val="single" w:sz="8" w:space="0" w:color="F3CFC1"/>
              <w:left w:val="single" w:sz="8" w:space="0" w:color="D2232A"/>
              <w:bottom w:val="single" w:sz="8" w:space="0" w:color="F3CFC1"/>
              <w:right w:val="single" w:sz="8" w:space="0" w:color="D2232A"/>
            </w:tcBorders>
            <w:noWrap/>
            <w:vAlign w:val="center"/>
            <w:hideMark/>
          </w:tcPr>
          <w:p w14:paraId="05A1ED56" w14:textId="77777777" w:rsidR="009B5F89" w:rsidRPr="00171C5D" w:rsidRDefault="009B5F89" w:rsidP="00722DDE">
            <w:pPr>
              <w:spacing w:after="0" w:line="240" w:lineRule="auto"/>
              <w:jc w:val="right"/>
              <w:rPr>
                <w:rFonts w:eastAsia="Times New Roman" w:cs="Calibri"/>
                <w:szCs w:val="18"/>
                <w:lang w:eastAsia="hr-HR"/>
              </w:rPr>
            </w:pPr>
            <w:r w:rsidRPr="00171C5D">
              <w:rPr>
                <w:rFonts w:ascii="Calibri" w:eastAsia="Times New Roman" w:hAnsi="Calibri" w:cs="Calibri"/>
                <w:szCs w:val="18"/>
                <w:lang w:eastAsia="hr-HR"/>
              </w:rPr>
              <w:t> </w:t>
            </w:r>
            <w:r w:rsidRPr="00171C5D">
              <w:rPr>
                <w:rFonts w:eastAsia="Times New Roman" w:cs="Calibri"/>
                <w:szCs w:val="18"/>
                <w:lang w:eastAsia="hr-HR"/>
              </w:rPr>
              <w:t>27.867</w:t>
            </w:r>
          </w:p>
        </w:tc>
        <w:tc>
          <w:tcPr>
            <w:tcW w:w="443" w:type="pct"/>
            <w:tcBorders>
              <w:top w:val="single" w:sz="8" w:space="0" w:color="F3CFC1"/>
              <w:left w:val="single" w:sz="8" w:space="0" w:color="D2232A"/>
              <w:bottom w:val="single" w:sz="8" w:space="0" w:color="F3CFC1"/>
              <w:right w:val="single" w:sz="8" w:space="0" w:color="D2232A"/>
            </w:tcBorders>
            <w:noWrap/>
            <w:vAlign w:val="center"/>
            <w:hideMark/>
          </w:tcPr>
          <w:p w14:paraId="301AAEAC"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28.467</w:t>
            </w:r>
          </w:p>
        </w:tc>
        <w:tc>
          <w:tcPr>
            <w:tcW w:w="443" w:type="pct"/>
            <w:tcBorders>
              <w:top w:val="single" w:sz="8" w:space="0" w:color="F3CFC1"/>
              <w:left w:val="single" w:sz="8" w:space="0" w:color="D2232A"/>
              <w:bottom w:val="single" w:sz="8" w:space="0" w:color="F3CFC1"/>
              <w:right w:val="single" w:sz="8" w:space="0" w:color="D2232A"/>
            </w:tcBorders>
            <w:vAlign w:val="center"/>
          </w:tcPr>
          <w:p w14:paraId="34726997" w14:textId="4F4E3F11" w:rsidR="009B5F89" w:rsidRPr="00171C5D" w:rsidRDefault="009B5F89" w:rsidP="009B5F89">
            <w:pPr>
              <w:spacing w:after="0" w:line="240" w:lineRule="auto"/>
              <w:jc w:val="right"/>
              <w:rPr>
                <w:rFonts w:eastAsia="Times New Roman" w:cs="Calibri"/>
                <w:szCs w:val="18"/>
                <w:lang w:eastAsia="hr-HR"/>
              </w:rPr>
            </w:pPr>
            <w:r>
              <w:rPr>
                <w:rFonts w:eastAsia="Times New Roman" w:cs="Calibri"/>
                <w:szCs w:val="18"/>
                <w:lang w:eastAsia="hr-HR"/>
              </w:rPr>
              <w:t>28.775</w:t>
            </w:r>
          </w:p>
        </w:tc>
      </w:tr>
      <w:tr w:rsidR="009B5F89" w:rsidRPr="00171C5D" w14:paraId="4A3BA4B6" w14:textId="2449A64A" w:rsidTr="009B5F89">
        <w:trPr>
          <w:trHeight w:val="283"/>
        </w:trPr>
        <w:tc>
          <w:tcPr>
            <w:tcW w:w="626" w:type="pct"/>
            <w:vMerge/>
            <w:shd w:val="clear" w:color="auto" w:fill="D2232A"/>
            <w:vAlign w:val="center"/>
            <w:hideMark/>
          </w:tcPr>
          <w:p w14:paraId="78F191DF" w14:textId="77777777" w:rsidR="009B5F89" w:rsidRPr="00171C5D" w:rsidRDefault="009B5F89" w:rsidP="00722DDE">
            <w:pPr>
              <w:spacing w:after="0"/>
              <w:rPr>
                <w:rFonts w:eastAsia="Times New Roman" w:cs="Calibri"/>
                <w:szCs w:val="18"/>
                <w:lang w:eastAsia="hr-HR"/>
              </w:rPr>
            </w:pPr>
          </w:p>
        </w:tc>
        <w:tc>
          <w:tcPr>
            <w:tcW w:w="2157" w:type="pct"/>
            <w:tcBorders>
              <w:top w:val="single" w:sz="8" w:space="0" w:color="F3CFC1"/>
              <w:bottom w:val="single" w:sz="8" w:space="0" w:color="F3CFC1"/>
              <w:right w:val="single" w:sz="8" w:space="0" w:color="D2232A"/>
            </w:tcBorders>
            <w:noWrap/>
            <w:vAlign w:val="center"/>
            <w:hideMark/>
          </w:tcPr>
          <w:p w14:paraId="6676075A" w14:textId="77777777" w:rsidR="009B5F89" w:rsidRPr="00171C5D" w:rsidRDefault="009B5F89" w:rsidP="00722DDE">
            <w:pPr>
              <w:spacing w:after="0" w:line="240" w:lineRule="auto"/>
              <w:rPr>
                <w:rFonts w:eastAsia="Times New Roman" w:cs="Calibri"/>
                <w:szCs w:val="18"/>
                <w:lang w:eastAsia="hr-HR"/>
              </w:rPr>
            </w:pPr>
            <w:r w:rsidRPr="00171C5D">
              <w:rPr>
                <w:rFonts w:eastAsia="Times New Roman" w:cs="Calibri"/>
                <w:szCs w:val="18"/>
                <w:lang w:eastAsia="hr-HR"/>
              </w:rPr>
              <w:t>zaposleni u djelatnosti obrta i slobodnih profesija</w:t>
            </w:r>
          </w:p>
        </w:tc>
        <w:tc>
          <w:tcPr>
            <w:tcW w:w="443" w:type="pct"/>
            <w:tcBorders>
              <w:top w:val="single" w:sz="8" w:space="0" w:color="F3CFC1"/>
              <w:left w:val="single" w:sz="8" w:space="0" w:color="D2232A"/>
              <w:bottom w:val="single" w:sz="8" w:space="0" w:color="F3CFC1"/>
              <w:right w:val="single" w:sz="8" w:space="0" w:color="D2232A"/>
            </w:tcBorders>
            <w:noWrap/>
            <w:vAlign w:val="center"/>
            <w:hideMark/>
          </w:tcPr>
          <w:p w14:paraId="590504E6"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6.577</w:t>
            </w:r>
          </w:p>
        </w:tc>
        <w:tc>
          <w:tcPr>
            <w:tcW w:w="444" w:type="pct"/>
            <w:tcBorders>
              <w:top w:val="single" w:sz="8" w:space="0" w:color="F3CFC1"/>
              <w:left w:val="single" w:sz="8" w:space="0" w:color="D2232A"/>
              <w:bottom w:val="single" w:sz="8" w:space="0" w:color="F3CFC1"/>
              <w:right w:val="single" w:sz="8" w:space="0" w:color="D2232A"/>
            </w:tcBorders>
            <w:noWrap/>
            <w:vAlign w:val="center"/>
            <w:hideMark/>
          </w:tcPr>
          <w:p w14:paraId="3099D967"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6.697</w:t>
            </w:r>
          </w:p>
        </w:tc>
        <w:tc>
          <w:tcPr>
            <w:tcW w:w="444" w:type="pct"/>
            <w:tcBorders>
              <w:top w:val="single" w:sz="8" w:space="0" w:color="F3CFC1"/>
              <w:left w:val="single" w:sz="8" w:space="0" w:color="D2232A"/>
              <w:bottom w:val="single" w:sz="8" w:space="0" w:color="F3CFC1"/>
              <w:right w:val="single" w:sz="8" w:space="0" w:color="D2232A"/>
            </w:tcBorders>
            <w:noWrap/>
            <w:vAlign w:val="center"/>
            <w:hideMark/>
          </w:tcPr>
          <w:p w14:paraId="193602D6"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6.776</w:t>
            </w:r>
          </w:p>
        </w:tc>
        <w:tc>
          <w:tcPr>
            <w:tcW w:w="443" w:type="pct"/>
            <w:tcBorders>
              <w:top w:val="single" w:sz="8" w:space="0" w:color="F3CFC1"/>
              <w:left w:val="single" w:sz="8" w:space="0" w:color="D2232A"/>
              <w:bottom w:val="single" w:sz="8" w:space="0" w:color="F3CFC1"/>
              <w:right w:val="single" w:sz="8" w:space="0" w:color="D2232A"/>
            </w:tcBorders>
            <w:noWrap/>
            <w:vAlign w:val="center"/>
            <w:hideMark/>
          </w:tcPr>
          <w:p w14:paraId="48178AFB"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6.809</w:t>
            </w:r>
          </w:p>
        </w:tc>
        <w:tc>
          <w:tcPr>
            <w:tcW w:w="443" w:type="pct"/>
            <w:tcBorders>
              <w:top w:val="single" w:sz="8" w:space="0" w:color="F3CFC1"/>
              <w:left w:val="single" w:sz="8" w:space="0" w:color="D2232A"/>
              <w:bottom w:val="single" w:sz="8" w:space="0" w:color="F3CFC1"/>
              <w:right w:val="single" w:sz="8" w:space="0" w:color="D2232A"/>
            </w:tcBorders>
            <w:vAlign w:val="center"/>
          </w:tcPr>
          <w:p w14:paraId="387D35F5" w14:textId="7F0C8A75" w:rsidR="009B5F89" w:rsidRPr="00171C5D" w:rsidRDefault="009B5F89" w:rsidP="009B5F89">
            <w:pPr>
              <w:spacing w:after="0" w:line="240" w:lineRule="auto"/>
              <w:jc w:val="right"/>
              <w:rPr>
                <w:rFonts w:eastAsia="Times New Roman" w:cs="Calibri"/>
                <w:szCs w:val="18"/>
                <w:lang w:eastAsia="hr-HR"/>
              </w:rPr>
            </w:pPr>
            <w:r>
              <w:rPr>
                <w:rFonts w:eastAsia="Times New Roman" w:cs="Calibri"/>
                <w:szCs w:val="18"/>
                <w:lang w:eastAsia="hr-HR"/>
              </w:rPr>
              <w:t>6.650</w:t>
            </w:r>
          </w:p>
        </w:tc>
      </w:tr>
      <w:tr w:rsidR="009B5F89" w:rsidRPr="00171C5D" w14:paraId="123DAC38" w14:textId="368BC003" w:rsidTr="003B77A1">
        <w:trPr>
          <w:trHeight w:val="283"/>
        </w:trPr>
        <w:tc>
          <w:tcPr>
            <w:tcW w:w="626" w:type="pct"/>
            <w:vMerge/>
            <w:tcBorders>
              <w:bottom w:val="single" w:sz="4" w:space="0" w:color="EC8E92" w:themeColor="accent6"/>
            </w:tcBorders>
            <w:shd w:val="clear" w:color="auto" w:fill="D2232A"/>
            <w:vAlign w:val="center"/>
            <w:hideMark/>
          </w:tcPr>
          <w:p w14:paraId="6D2AB8AD" w14:textId="77777777" w:rsidR="009B5F89" w:rsidRPr="00171C5D" w:rsidRDefault="009B5F89" w:rsidP="00722DDE">
            <w:pPr>
              <w:spacing w:after="0"/>
              <w:rPr>
                <w:rFonts w:eastAsia="Times New Roman" w:cs="Calibri"/>
                <w:szCs w:val="18"/>
                <w:lang w:eastAsia="hr-HR"/>
              </w:rPr>
            </w:pPr>
          </w:p>
        </w:tc>
        <w:tc>
          <w:tcPr>
            <w:tcW w:w="2157" w:type="pct"/>
            <w:tcBorders>
              <w:top w:val="single" w:sz="8" w:space="0" w:color="F3CFC1"/>
              <w:bottom w:val="single" w:sz="4" w:space="0" w:color="EC8E92" w:themeColor="accent6"/>
              <w:right w:val="single" w:sz="8" w:space="0" w:color="D2232A"/>
            </w:tcBorders>
            <w:noWrap/>
            <w:vAlign w:val="center"/>
            <w:hideMark/>
          </w:tcPr>
          <w:p w14:paraId="1AFBA788" w14:textId="77777777" w:rsidR="009B5F89" w:rsidRPr="00171C5D" w:rsidRDefault="009B5F89" w:rsidP="00722DDE">
            <w:pPr>
              <w:spacing w:after="0" w:line="240" w:lineRule="auto"/>
              <w:rPr>
                <w:rFonts w:eastAsia="Times New Roman" w:cs="Calibri"/>
                <w:szCs w:val="18"/>
                <w:lang w:eastAsia="hr-HR"/>
              </w:rPr>
            </w:pPr>
            <w:r w:rsidRPr="00171C5D">
              <w:rPr>
                <w:rFonts w:eastAsia="Times New Roman" w:cs="Calibri"/>
                <w:szCs w:val="18"/>
                <w:lang w:eastAsia="hr-HR"/>
              </w:rPr>
              <w:t xml:space="preserve">individualni poljoprivrednici  </w:t>
            </w:r>
          </w:p>
        </w:tc>
        <w:tc>
          <w:tcPr>
            <w:tcW w:w="443" w:type="pct"/>
            <w:tcBorders>
              <w:top w:val="single" w:sz="8" w:space="0" w:color="F3CFC1"/>
              <w:left w:val="single" w:sz="8" w:space="0" w:color="D2232A"/>
              <w:bottom w:val="single" w:sz="4" w:space="0" w:color="EC8E92" w:themeColor="accent6"/>
              <w:right w:val="single" w:sz="8" w:space="0" w:color="D2232A"/>
            </w:tcBorders>
            <w:noWrap/>
            <w:vAlign w:val="center"/>
            <w:hideMark/>
          </w:tcPr>
          <w:p w14:paraId="4356C86D"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343</w:t>
            </w:r>
          </w:p>
        </w:tc>
        <w:tc>
          <w:tcPr>
            <w:tcW w:w="444" w:type="pct"/>
            <w:tcBorders>
              <w:top w:val="single" w:sz="8" w:space="0" w:color="F3CFC1"/>
              <w:left w:val="single" w:sz="8" w:space="0" w:color="D2232A"/>
              <w:bottom w:val="single" w:sz="4" w:space="0" w:color="EC8E92" w:themeColor="accent6"/>
              <w:right w:val="single" w:sz="8" w:space="0" w:color="D2232A"/>
            </w:tcBorders>
            <w:noWrap/>
            <w:vAlign w:val="center"/>
            <w:hideMark/>
          </w:tcPr>
          <w:p w14:paraId="7353C407"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293</w:t>
            </w:r>
          </w:p>
        </w:tc>
        <w:tc>
          <w:tcPr>
            <w:tcW w:w="444" w:type="pct"/>
            <w:tcBorders>
              <w:top w:val="single" w:sz="8" w:space="0" w:color="F3CFC1"/>
              <w:left w:val="single" w:sz="8" w:space="0" w:color="D2232A"/>
              <w:bottom w:val="single" w:sz="4" w:space="0" w:color="EC8E92" w:themeColor="accent6"/>
              <w:right w:val="single" w:sz="8" w:space="0" w:color="D2232A"/>
            </w:tcBorders>
            <w:noWrap/>
            <w:vAlign w:val="center"/>
            <w:hideMark/>
          </w:tcPr>
          <w:p w14:paraId="6F9436DA"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272</w:t>
            </w:r>
          </w:p>
        </w:tc>
        <w:tc>
          <w:tcPr>
            <w:tcW w:w="443" w:type="pct"/>
            <w:tcBorders>
              <w:top w:val="single" w:sz="8" w:space="0" w:color="F3CFC1"/>
              <w:left w:val="single" w:sz="8" w:space="0" w:color="D2232A"/>
              <w:bottom w:val="single" w:sz="4" w:space="0" w:color="EC8E92" w:themeColor="accent6"/>
              <w:right w:val="single" w:sz="8" w:space="0" w:color="D2232A"/>
            </w:tcBorders>
            <w:noWrap/>
            <w:vAlign w:val="center"/>
            <w:hideMark/>
          </w:tcPr>
          <w:p w14:paraId="24094235" w14:textId="77777777" w:rsidR="009B5F89" w:rsidRPr="00171C5D" w:rsidRDefault="009B5F89" w:rsidP="00722DDE">
            <w:pPr>
              <w:spacing w:after="0" w:line="240" w:lineRule="auto"/>
              <w:jc w:val="right"/>
              <w:rPr>
                <w:rFonts w:eastAsia="Times New Roman" w:cs="Calibri"/>
                <w:szCs w:val="18"/>
                <w:lang w:eastAsia="hr-HR"/>
              </w:rPr>
            </w:pPr>
            <w:r w:rsidRPr="00171C5D">
              <w:rPr>
                <w:rFonts w:eastAsia="Times New Roman" w:cs="Calibri"/>
                <w:szCs w:val="18"/>
                <w:lang w:eastAsia="hr-HR"/>
              </w:rPr>
              <w:t>273</w:t>
            </w:r>
          </w:p>
        </w:tc>
        <w:tc>
          <w:tcPr>
            <w:tcW w:w="443" w:type="pct"/>
            <w:tcBorders>
              <w:top w:val="single" w:sz="8" w:space="0" w:color="F3CFC1"/>
              <w:left w:val="single" w:sz="8" w:space="0" w:color="D2232A"/>
              <w:bottom w:val="single" w:sz="4" w:space="0" w:color="EC8E92" w:themeColor="accent6"/>
              <w:right w:val="single" w:sz="8" w:space="0" w:color="D2232A"/>
            </w:tcBorders>
            <w:vAlign w:val="center"/>
          </w:tcPr>
          <w:p w14:paraId="2A51FBEC" w14:textId="412E54C1" w:rsidR="009B5F89" w:rsidRPr="00171C5D" w:rsidRDefault="009B5F89" w:rsidP="009B5F89">
            <w:pPr>
              <w:spacing w:after="0" w:line="240" w:lineRule="auto"/>
              <w:jc w:val="right"/>
              <w:rPr>
                <w:rFonts w:eastAsia="Times New Roman" w:cs="Calibri"/>
                <w:szCs w:val="18"/>
                <w:lang w:eastAsia="hr-HR"/>
              </w:rPr>
            </w:pPr>
            <w:r>
              <w:rPr>
                <w:rFonts w:eastAsia="Times New Roman" w:cs="Calibri"/>
                <w:szCs w:val="18"/>
                <w:lang w:eastAsia="hr-HR"/>
              </w:rPr>
              <w:t>274</w:t>
            </w:r>
          </w:p>
        </w:tc>
      </w:tr>
    </w:tbl>
    <w:p w14:paraId="6304A653" w14:textId="2D06B01A" w:rsidR="00722DDE" w:rsidRPr="003B77A1" w:rsidRDefault="00722DDE" w:rsidP="003C2276">
      <w:pPr>
        <w:pStyle w:val="Izvor"/>
        <w:rPr>
          <w:i/>
          <w:color w:val="ABABAB" w:themeColor="text1" w:themeTint="A6"/>
          <w:sz w:val="16"/>
          <w:szCs w:val="16"/>
        </w:rPr>
      </w:pPr>
      <w:r w:rsidRPr="003B77A1">
        <w:rPr>
          <w:i/>
          <w:color w:val="ABABAB" w:themeColor="text1" w:themeTint="A6"/>
          <w:sz w:val="16"/>
          <w:szCs w:val="16"/>
        </w:rPr>
        <w:t xml:space="preserve">Izvor: DZS, Statistička izvješća, Zaposlenost i plaće 2015., 2016., 2017., 2018. </w:t>
      </w:r>
      <w:r w:rsidR="003C21BB" w:rsidRPr="003B77A1">
        <w:rPr>
          <w:i/>
          <w:color w:val="ABABAB" w:themeColor="text1" w:themeTint="A6"/>
          <w:sz w:val="16"/>
          <w:szCs w:val="16"/>
        </w:rPr>
        <w:t>i 2019.</w:t>
      </w:r>
      <w:r w:rsidRPr="003B77A1">
        <w:rPr>
          <w:i/>
          <w:color w:val="ABABAB" w:themeColor="text1" w:themeTint="A6"/>
          <w:sz w:val="16"/>
          <w:szCs w:val="16"/>
        </w:rPr>
        <w:t>godine</w:t>
      </w:r>
    </w:p>
    <w:p w14:paraId="446DB104" w14:textId="77777777" w:rsidR="00722DDE" w:rsidRDefault="00722DDE" w:rsidP="00722DDE"/>
    <w:p w14:paraId="3F2CD1C0" w14:textId="2E77B643" w:rsidR="00722DDE" w:rsidRDefault="00722DDE" w:rsidP="00722DDE">
      <w:r>
        <w:lastRenderedPageBreak/>
        <w:t>Prema razini obrazovanja više od pola zaposlenih osoba u pravnim osobama</w:t>
      </w:r>
      <w:r>
        <w:rPr>
          <w:rStyle w:val="Referencafusnote"/>
        </w:rPr>
        <w:footnoteReference w:id="61"/>
      </w:r>
      <w:r>
        <w:t xml:space="preserve"> ima srednju stručnu spremu. U 201</w:t>
      </w:r>
      <w:r w:rsidR="00E72667">
        <w:t>9</w:t>
      </w:r>
      <w:r>
        <w:t>. godini udio takvih osoba iznosio je 5</w:t>
      </w:r>
      <w:r w:rsidR="00E72667">
        <w:t>5</w:t>
      </w:r>
      <w:r>
        <w:t>,8</w:t>
      </w:r>
      <w:r w:rsidR="00E72667">
        <w:t>2</w:t>
      </w:r>
      <w:r>
        <w:t>% ukupnog broja zaposlenih u pravnim osobama, odnosno 16.</w:t>
      </w:r>
      <w:r w:rsidR="00E72667">
        <w:t>062</w:t>
      </w:r>
      <w:r>
        <w:t xml:space="preserve"> zaposlenih osoba imalo je stečenu srednju stručnu spremu. Udio zaposlenih s visokom stručnom spremom u 201</w:t>
      </w:r>
      <w:r w:rsidR="00E72667">
        <w:t>9</w:t>
      </w:r>
      <w:r>
        <w:t>. godini iznosio je 14,</w:t>
      </w:r>
      <w:r w:rsidR="00E72667">
        <w:t>71</w:t>
      </w:r>
      <w:r>
        <w:t>%, odnosno 4.</w:t>
      </w:r>
      <w:r w:rsidR="00E72667">
        <w:t>234</w:t>
      </w:r>
      <w:r>
        <w:t xml:space="preserve"> osob</w:t>
      </w:r>
      <w:r w:rsidR="002A3406">
        <w:t>e</w:t>
      </w:r>
      <w:r>
        <w:t xml:space="preserve">, od čega </w:t>
      </w:r>
      <w:r w:rsidR="002A3406">
        <w:t>je</w:t>
      </w:r>
      <w:r>
        <w:t xml:space="preserve"> </w:t>
      </w:r>
      <w:r w:rsidR="00E72667">
        <w:t>88</w:t>
      </w:r>
      <w:r>
        <w:t xml:space="preserve"> zaposlen</w:t>
      </w:r>
      <w:r w:rsidR="002A3406">
        <w:t>ih</w:t>
      </w:r>
      <w:r>
        <w:t xml:space="preserve"> imal</w:t>
      </w:r>
      <w:r w:rsidR="002A3406">
        <w:t>o</w:t>
      </w:r>
      <w:r>
        <w:t xml:space="preserve"> završeni doktorski studij, a 1</w:t>
      </w:r>
      <w:r w:rsidR="00E72667">
        <w:t>17</w:t>
      </w:r>
      <w:r>
        <w:t xml:space="preserve"> zaposlenih je imalo završen magistarski studij. </w:t>
      </w:r>
    </w:p>
    <w:p w14:paraId="4197F78A" w14:textId="77777777" w:rsidR="00610C12" w:rsidRDefault="00610C12" w:rsidP="00722DDE"/>
    <w:p w14:paraId="357790C9" w14:textId="520875B9" w:rsidR="00722DDE" w:rsidRDefault="00722DDE" w:rsidP="003E3F3C">
      <w:pPr>
        <w:pStyle w:val="Opisslike"/>
      </w:pPr>
      <w:r>
        <w:t xml:space="preserve">Grafikon </w:t>
      </w:r>
      <w:r w:rsidR="00CF4B96">
        <w:rPr>
          <w:noProof/>
        </w:rPr>
        <w:t>30</w:t>
      </w:r>
      <w:r>
        <w:rPr>
          <w:noProof/>
        </w:rPr>
        <w:t>.</w:t>
      </w:r>
      <w:r>
        <w:t xml:space="preserve"> Zaposleni u pravnim osobama prema razini stručnog obrazovanja (2015.-201</w:t>
      </w:r>
      <w:r w:rsidR="00D911C1">
        <w:t>9</w:t>
      </w:r>
      <w:r>
        <w:t>.)</w:t>
      </w:r>
    </w:p>
    <w:p w14:paraId="46FA4749" w14:textId="50BB4504" w:rsidR="00722DDE" w:rsidRDefault="00D911C1" w:rsidP="00D911C1">
      <w:pPr>
        <w:spacing w:after="0"/>
        <w:rPr>
          <w:sz w:val="22"/>
          <w:szCs w:val="22"/>
        </w:rPr>
      </w:pPr>
      <w:r>
        <w:rPr>
          <w:noProof/>
        </w:rPr>
        <w:drawing>
          <wp:inline distT="0" distB="0" distL="0" distR="0" wp14:anchorId="3B538019" wp14:editId="13BB8C88">
            <wp:extent cx="5875020" cy="2743200"/>
            <wp:effectExtent l="0" t="0" r="11430" b="0"/>
            <wp:docPr id="6" name="Grafikon 6">
              <a:extLst xmlns:a="http://schemas.openxmlformats.org/drawingml/2006/main">
                <a:ext uri="{FF2B5EF4-FFF2-40B4-BE49-F238E27FC236}">
                  <a16:creationId xmlns:a16="http://schemas.microsoft.com/office/drawing/2014/main" id="{8A96E263-8BFC-4A93-BF34-3837927F5D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0A8D9450" w14:textId="29D14D55" w:rsidR="00722DDE" w:rsidRPr="00992698" w:rsidRDefault="00722DDE" w:rsidP="003C2276">
      <w:pPr>
        <w:pStyle w:val="Izvor"/>
        <w:rPr>
          <w:i/>
          <w:color w:val="ABABAB" w:themeColor="text1" w:themeTint="A6"/>
          <w:sz w:val="16"/>
          <w:szCs w:val="16"/>
        </w:rPr>
      </w:pPr>
      <w:r w:rsidRPr="00992698">
        <w:rPr>
          <w:i/>
          <w:color w:val="ABABAB" w:themeColor="text1" w:themeTint="A6"/>
          <w:sz w:val="16"/>
          <w:szCs w:val="16"/>
        </w:rPr>
        <w:t>Izvor: DZS, Statistička izvješća, Zaposlenost i plaće u 2015., 2016., 2017., 2018.</w:t>
      </w:r>
      <w:r w:rsidR="00D911C1" w:rsidRPr="00992698">
        <w:rPr>
          <w:i/>
          <w:color w:val="ABABAB" w:themeColor="text1" w:themeTint="A6"/>
          <w:sz w:val="16"/>
          <w:szCs w:val="16"/>
        </w:rPr>
        <w:t xml:space="preserve"> i 2019.</w:t>
      </w:r>
    </w:p>
    <w:p w14:paraId="5D9086BA" w14:textId="77777777" w:rsidR="00D911C1" w:rsidRPr="00636DF4" w:rsidRDefault="00D911C1" w:rsidP="00855D8D">
      <w:pPr>
        <w:pStyle w:val="Izvor"/>
      </w:pPr>
    </w:p>
    <w:p w14:paraId="747F7DE7" w14:textId="37252ACD" w:rsidR="00722DDE" w:rsidRPr="00E8078A" w:rsidRDefault="00722DDE" w:rsidP="00722DDE">
      <w:bookmarkStart w:id="127" w:name="_Hlk64440249"/>
      <w:r w:rsidRPr="009D2484">
        <w:t xml:space="preserve">Najviše zaposlenih u pravnim osobama na području Krapinsko-zagorske županije je u prerađivačkoj industriji, a zatim u djelatnosti trgovine na veliko i malo, djelatnosti zdravstvene zaštite i socijalne skrbi te u obrazovanju. </w:t>
      </w:r>
      <w:bookmarkEnd w:id="127"/>
      <w:r w:rsidRPr="009D2484">
        <w:t>Prema spolnoj strukturi u spomenutim djelatnostima, osim u prerađivačkoj industriji, pretežito su zaposlene osobe ženskog spola – omjer iznosi 7</w:t>
      </w:r>
      <w:r w:rsidR="00207142">
        <w:t>6</w:t>
      </w:r>
      <w:r w:rsidRPr="009D2484">
        <w:t>:2</w:t>
      </w:r>
      <w:r w:rsidR="00207142">
        <w:t>4</w:t>
      </w:r>
      <w:r w:rsidRPr="009D2484">
        <w:t>. U prerađivačkoj industriji od 100 zaposlenika 57 su muškarci, razlika u omjeru spolova je relativno mala, ali zato u djelatnostima koje se bave prijevozom i skladištenjem, građevinarstvom, rudarstvom te opskrbom vode, plina i električne energije među zaposlenima prevladavaju osobe muškog spola. Struktura zaposlenih u pravnim osobama prikazana je grafikonom u nastavku.</w:t>
      </w:r>
    </w:p>
    <w:p w14:paraId="5A0DF3A3" w14:textId="7046E62B" w:rsidR="00722DDE" w:rsidRDefault="00722DDE" w:rsidP="003E3F3C">
      <w:pPr>
        <w:pStyle w:val="Opisslike"/>
      </w:pPr>
      <w:r>
        <w:lastRenderedPageBreak/>
        <w:t>Grafikon</w:t>
      </w:r>
      <w:r w:rsidR="00C23D30">
        <w:t xml:space="preserve"> </w:t>
      </w:r>
      <w:r w:rsidR="00C23D30">
        <w:rPr>
          <w:noProof/>
        </w:rPr>
        <w:t>3</w:t>
      </w:r>
      <w:r w:rsidR="00CF4B96">
        <w:rPr>
          <w:noProof/>
        </w:rPr>
        <w:t>1</w:t>
      </w:r>
      <w:r>
        <w:t>. Struktura zaposlenih u pravnim osobama prema djelatnosti (201</w:t>
      </w:r>
      <w:r w:rsidR="00435723">
        <w:t>9</w:t>
      </w:r>
      <w:r>
        <w:t>.)</w:t>
      </w:r>
    </w:p>
    <w:p w14:paraId="6448A3A2" w14:textId="13ABFCA1" w:rsidR="00722DDE" w:rsidRDefault="00435723" w:rsidP="00435723">
      <w:pPr>
        <w:spacing w:after="0"/>
      </w:pPr>
      <w:r>
        <w:rPr>
          <w:noProof/>
        </w:rPr>
        <w:drawing>
          <wp:inline distT="0" distB="0" distL="0" distR="0" wp14:anchorId="48075CE4" wp14:editId="7D7DE4B7">
            <wp:extent cx="5897880" cy="4777740"/>
            <wp:effectExtent l="0" t="0" r="7620" b="3810"/>
            <wp:docPr id="8" name="Grafikon 8">
              <a:extLst xmlns:a="http://schemas.openxmlformats.org/drawingml/2006/main">
                <a:ext uri="{FF2B5EF4-FFF2-40B4-BE49-F238E27FC236}">
                  <a16:creationId xmlns:a16="http://schemas.microsoft.com/office/drawing/2014/main" id="{DB0D4ED9-A88D-44AD-950A-B773A9C7011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51BA5B83" w14:textId="29845374" w:rsidR="00722DDE" w:rsidRPr="00623226" w:rsidRDefault="00722DDE" w:rsidP="003C2276">
      <w:pPr>
        <w:pStyle w:val="Izvor"/>
        <w:rPr>
          <w:i/>
          <w:color w:val="ABABAB" w:themeColor="text1" w:themeTint="A6"/>
          <w:sz w:val="16"/>
          <w:szCs w:val="16"/>
        </w:rPr>
      </w:pPr>
      <w:r w:rsidRPr="00623226">
        <w:rPr>
          <w:i/>
          <w:color w:val="ABABAB" w:themeColor="text1" w:themeTint="A6"/>
          <w:sz w:val="16"/>
          <w:szCs w:val="16"/>
        </w:rPr>
        <w:t>Izvor: DZS, Statističko izvješće, Zaposlenost i plaće u 201</w:t>
      </w:r>
      <w:r w:rsidR="00435723" w:rsidRPr="00623226">
        <w:rPr>
          <w:i/>
          <w:color w:val="ABABAB" w:themeColor="text1" w:themeTint="A6"/>
          <w:sz w:val="16"/>
          <w:szCs w:val="16"/>
        </w:rPr>
        <w:t>9</w:t>
      </w:r>
      <w:r w:rsidRPr="00623226">
        <w:rPr>
          <w:i/>
          <w:color w:val="ABABAB" w:themeColor="text1" w:themeTint="A6"/>
          <w:sz w:val="16"/>
          <w:szCs w:val="16"/>
        </w:rPr>
        <w:t>.</w:t>
      </w:r>
    </w:p>
    <w:p w14:paraId="75558C60" w14:textId="77777777" w:rsidR="00722DDE" w:rsidRDefault="00722DDE" w:rsidP="00722DDE">
      <w:pPr>
        <w:rPr>
          <w:sz w:val="22"/>
          <w:szCs w:val="22"/>
        </w:rPr>
      </w:pPr>
    </w:p>
    <w:p w14:paraId="6DF72C45" w14:textId="28E8A499" w:rsidR="00722DDE" w:rsidRDefault="00722DDE" w:rsidP="00722DDE">
      <w:r>
        <w:t>Zaposleni u Krapinsko-zagorskoj županiji primili su 201</w:t>
      </w:r>
      <w:r w:rsidR="002121C0">
        <w:t>8</w:t>
      </w:r>
      <w:r>
        <w:t>. godine prosječno 8</w:t>
      </w:r>
      <w:r w:rsidR="002121C0">
        <w:t>27</w:t>
      </w:r>
      <w:r>
        <w:t>,00 kuna, odnosno 1</w:t>
      </w:r>
      <w:r w:rsidR="002121C0">
        <w:t>3</w:t>
      </w:r>
      <w:r>
        <w:t>,</w:t>
      </w:r>
      <w:r w:rsidR="002121C0">
        <w:t>42</w:t>
      </w:r>
      <w:r>
        <w:t xml:space="preserve">%, manju neto plaću od nacionalnog prosjeka. U promatranom </w:t>
      </w:r>
      <w:r w:rsidR="00F862A3">
        <w:t>razdoblju</w:t>
      </w:r>
      <w:r w:rsidR="00927F84">
        <w:t xml:space="preserve"> </w:t>
      </w:r>
      <w:r w:rsidR="002121C0">
        <w:t>(od 2015. do 2018.)</w:t>
      </w:r>
      <w:r>
        <w:t xml:space="preserve"> prosječna neto plaća zaposlenika u Krapinsko-zagorskoj županiji je u porastu, ali i dalje zaostaje za nacionalnim prosjekom. </w:t>
      </w:r>
    </w:p>
    <w:p w14:paraId="3E6A3466" w14:textId="77777777" w:rsidR="00722DDE" w:rsidRDefault="00722DDE" w:rsidP="00722DDE"/>
    <w:p w14:paraId="0B690519" w14:textId="7E050453" w:rsidR="00722DDE" w:rsidRDefault="00722DDE" w:rsidP="003E3F3C">
      <w:pPr>
        <w:pStyle w:val="Opisslike"/>
      </w:pPr>
      <w:r>
        <w:t xml:space="preserve">Tablica </w:t>
      </w:r>
      <w:r w:rsidR="00C23D30">
        <w:rPr>
          <w:noProof/>
        </w:rPr>
        <w:t>6</w:t>
      </w:r>
      <w:r w:rsidR="000D5E3F">
        <w:rPr>
          <w:noProof/>
        </w:rPr>
        <w:t>4</w:t>
      </w:r>
      <w:r>
        <w:rPr>
          <w:noProof/>
        </w:rPr>
        <w:t>.</w:t>
      </w:r>
      <w:r>
        <w:t xml:space="preserve"> Prosječna neto pla</w:t>
      </w:r>
      <w:r w:rsidR="00207142">
        <w:t>ć</w:t>
      </w:r>
      <w:r>
        <w:t>a u Krapinsko-zagorskoj županiji i Republici Hrvatskoj (2015.-201</w:t>
      </w:r>
      <w:r w:rsidR="00A01E14">
        <w:t>8</w:t>
      </w:r>
      <w:r>
        <w:t>.)</w:t>
      </w:r>
    </w:p>
    <w:tbl>
      <w:tblPr>
        <w:tblW w:w="9136" w:type="dxa"/>
        <w:jc w:val="center"/>
        <w:tblBorders>
          <w:insideH w:val="single" w:sz="8" w:space="0" w:color="F3CFC1"/>
        </w:tblBorders>
        <w:shd w:val="clear" w:color="auto" w:fill="D2232A"/>
        <w:tblLook w:val="04A0" w:firstRow="1" w:lastRow="0" w:firstColumn="1" w:lastColumn="0" w:noHBand="0" w:noVBand="1"/>
      </w:tblPr>
      <w:tblGrid>
        <w:gridCol w:w="1171"/>
        <w:gridCol w:w="2557"/>
        <w:gridCol w:w="3601"/>
        <w:gridCol w:w="1807"/>
      </w:tblGrid>
      <w:tr w:rsidR="00722DDE" w:rsidRPr="0049738B" w14:paraId="19B73D42" w14:textId="77777777" w:rsidTr="000B5B11">
        <w:trPr>
          <w:trHeight w:val="357"/>
          <w:jc w:val="center"/>
        </w:trPr>
        <w:tc>
          <w:tcPr>
            <w:tcW w:w="0" w:type="auto"/>
            <w:shd w:val="clear" w:color="auto" w:fill="D2232A"/>
            <w:vAlign w:val="center"/>
            <w:hideMark/>
          </w:tcPr>
          <w:p w14:paraId="56F553F7" w14:textId="77777777" w:rsidR="00722DDE" w:rsidRPr="0049738B" w:rsidRDefault="00722DDE" w:rsidP="00722DDE">
            <w:pPr>
              <w:spacing w:after="0"/>
              <w:rPr>
                <w:color w:val="FFFFFF" w:themeColor="background1"/>
                <w:sz w:val="22"/>
                <w:szCs w:val="22"/>
              </w:rPr>
            </w:pPr>
            <w:r w:rsidRPr="0049738B">
              <w:rPr>
                <w:color w:val="FFFFFF" w:themeColor="background1"/>
              </w:rPr>
              <w:t>Godina</w:t>
            </w:r>
          </w:p>
        </w:tc>
        <w:tc>
          <w:tcPr>
            <w:tcW w:w="0" w:type="auto"/>
            <w:shd w:val="clear" w:color="auto" w:fill="D2232A"/>
            <w:vAlign w:val="center"/>
            <w:hideMark/>
          </w:tcPr>
          <w:p w14:paraId="1CA31A4D" w14:textId="77777777" w:rsidR="00722DDE" w:rsidRPr="0049738B" w:rsidRDefault="00722DDE" w:rsidP="00722DDE">
            <w:pPr>
              <w:spacing w:after="0"/>
              <w:jc w:val="center"/>
              <w:rPr>
                <w:color w:val="FFFFFF" w:themeColor="background1"/>
              </w:rPr>
            </w:pPr>
            <w:r w:rsidRPr="0049738B">
              <w:rPr>
                <w:color w:val="FFFFFF" w:themeColor="background1"/>
              </w:rPr>
              <w:t>Republika Hrvatska</w:t>
            </w:r>
          </w:p>
        </w:tc>
        <w:tc>
          <w:tcPr>
            <w:tcW w:w="0" w:type="auto"/>
            <w:tcBorders>
              <w:right w:val="single" w:sz="8" w:space="0" w:color="D2232A"/>
            </w:tcBorders>
            <w:shd w:val="clear" w:color="auto" w:fill="D2232A"/>
            <w:vAlign w:val="center"/>
            <w:hideMark/>
          </w:tcPr>
          <w:p w14:paraId="3834C135" w14:textId="77777777" w:rsidR="00722DDE" w:rsidRPr="0049738B" w:rsidRDefault="00722DDE" w:rsidP="00722DDE">
            <w:pPr>
              <w:spacing w:after="0"/>
              <w:jc w:val="center"/>
              <w:rPr>
                <w:color w:val="FFFFFF" w:themeColor="background1"/>
              </w:rPr>
            </w:pPr>
            <w:r w:rsidRPr="0049738B">
              <w:rPr>
                <w:color w:val="FFFFFF" w:themeColor="background1"/>
              </w:rPr>
              <w:t>Krapinsko-zagorska županija</w:t>
            </w:r>
          </w:p>
        </w:tc>
        <w:tc>
          <w:tcPr>
            <w:tcW w:w="0" w:type="auto"/>
            <w:tcBorders>
              <w:left w:val="single" w:sz="8" w:space="0" w:color="D2232A"/>
            </w:tcBorders>
            <w:shd w:val="clear" w:color="auto" w:fill="D2232A"/>
            <w:vAlign w:val="center"/>
            <w:hideMark/>
          </w:tcPr>
          <w:p w14:paraId="5AE4E1CC" w14:textId="77777777" w:rsidR="00722DDE" w:rsidRPr="0049738B" w:rsidRDefault="00722DDE" w:rsidP="00722DDE">
            <w:pPr>
              <w:spacing w:after="0"/>
              <w:jc w:val="center"/>
              <w:rPr>
                <w:color w:val="FFFFFF" w:themeColor="background1"/>
              </w:rPr>
            </w:pPr>
            <w:r w:rsidRPr="0049738B">
              <w:rPr>
                <w:color w:val="FFFFFF" w:themeColor="background1"/>
              </w:rPr>
              <w:t>Udio KZŽ/RH</w:t>
            </w:r>
          </w:p>
        </w:tc>
      </w:tr>
      <w:tr w:rsidR="00722DDE" w:rsidRPr="0049738B" w14:paraId="5A6A259D" w14:textId="77777777" w:rsidTr="000B5B11">
        <w:trPr>
          <w:trHeight w:val="398"/>
          <w:jc w:val="center"/>
        </w:trPr>
        <w:tc>
          <w:tcPr>
            <w:tcW w:w="0" w:type="auto"/>
            <w:shd w:val="clear" w:color="auto" w:fill="D2232A"/>
            <w:vAlign w:val="center"/>
            <w:hideMark/>
          </w:tcPr>
          <w:p w14:paraId="25B5C0E7" w14:textId="77777777" w:rsidR="00722DDE" w:rsidRPr="0049738B" w:rsidRDefault="00722DDE" w:rsidP="00722DDE">
            <w:pPr>
              <w:spacing w:after="0"/>
              <w:rPr>
                <w:color w:val="FFFFFF" w:themeColor="background1"/>
              </w:rPr>
            </w:pPr>
            <w:r w:rsidRPr="0049738B">
              <w:rPr>
                <w:color w:val="FFFFFF" w:themeColor="background1"/>
              </w:rPr>
              <w:t>2015.</w:t>
            </w:r>
          </w:p>
        </w:tc>
        <w:tc>
          <w:tcPr>
            <w:tcW w:w="0" w:type="auto"/>
            <w:tcBorders>
              <w:right w:val="single" w:sz="8" w:space="0" w:color="D2232A"/>
            </w:tcBorders>
            <w:shd w:val="clear" w:color="auto" w:fill="FFFFFF" w:themeFill="background1"/>
            <w:vAlign w:val="center"/>
            <w:hideMark/>
          </w:tcPr>
          <w:p w14:paraId="48B63309" w14:textId="77777777" w:rsidR="00722DDE" w:rsidRPr="0049738B" w:rsidRDefault="00722DDE" w:rsidP="00722DDE">
            <w:pPr>
              <w:spacing w:after="0"/>
              <w:jc w:val="right"/>
            </w:pPr>
            <w:r w:rsidRPr="0049738B">
              <w:t>5.650,00 kn</w:t>
            </w:r>
          </w:p>
        </w:tc>
        <w:tc>
          <w:tcPr>
            <w:tcW w:w="0" w:type="auto"/>
            <w:tcBorders>
              <w:left w:val="single" w:sz="8" w:space="0" w:color="D2232A"/>
              <w:right w:val="single" w:sz="8" w:space="0" w:color="D2232A"/>
            </w:tcBorders>
            <w:shd w:val="clear" w:color="auto" w:fill="FFFFFF" w:themeFill="background1"/>
            <w:vAlign w:val="center"/>
            <w:hideMark/>
          </w:tcPr>
          <w:p w14:paraId="10D0C74D" w14:textId="77777777" w:rsidR="00722DDE" w:rsidRPr="0049738B" w:rsidRDefault="00722DDE" w:rsidP="00722DDE">
            <w:pPr>
              <w:spacing w:after="0"/>
              <w:jc w:val="right"/>
            </w:pPr>
            <w:r w:rsidRPr="0049738B">
              <w:t>4.887,00 kn</w:t>
            </w:r>
          </w:p>
        </w:tc>
        <w:tc>
          <w:tcPr>
            <w:tcW w:w="0" w:type="auto"/>
            <w:tcBorders>
              <w:left w:val="single" w:sz="8" w:space="0" w:color="D2232A"/>
            </w:tcBorders>
            <w:shd w:val="clear" w:color="auto" w:fill="FFFFFF" w:themeFill="background1"/>
            <w:vAlign w:val="center"/>
            <w:hideMark/>
          </w:tcPr>
          <w:p w14:paraId="347A7F15" w14:textId="77777777" w:rsidR="00722DDE" w:rsidRPr="0049738B" w:rsidRDefault="00722DDE" w:rsidP="00722DDE">
            <w:pPr>
              <w:spacing w:after="0"/>
              <w:jc w:val="right"/>
            </w:pPr>
            <w:r w:rsidRPr="0049738B">
              <w:t>86,50%</w:t>
            </w:r>
          </w:p>
        </w:tc>
      </w:tr>
      <w:tr w:rsidR="00722DDE" w:rsidRPr="0049738B" w14:paraId="4944F82B" w14:textId="77777777" w:rsidTr="000B5B11">
        <w:trPr>
          <w:trHeight w:val="405"/>
          <w:jc w:val="center"/>
        </w:trPr>
        <w:tc>
          <w:tcPr>
            <w:tcW w:w="0" w:type="auto"/>
            <w:tcBorders>
              <w:bottom w:val="single" w:sz="4" w:space="0" w:color="FFFFFF" w:themeColor="background1"/>
            </w:tcBorders>
            <w:shd w:val="clear" w:color="auto" w:fill="D2232A"/>
            <w:vAlign w:val="center"/>
            <w:hideMark/>
          </w:tcPr>
          <w:p w14:paraId="3531E1D6" w14:textId="77777777" w:rsidR="00722DDE" w:rsidRPr="0049738B" w:rsidRDefault="00722DDE" w:rsidP="00722DDE">
            <w:pPr>
              <w:spacing w:after="0"/>
              <w:rPr>
                <w:color w:val="FFFFFF" w:themeColor="background1"/>
              </w:rPr>
            </w:pPr>
            <w:r w:rsidRPr="0049738B">
              <w:rPr>
                <w:color w:val="FFFFFF" w:themeColor="background1"/>
              </w:rPr>
              <w:t>2016.</w:t>
            </w:r>
          </w:p>
        </w:tc>
        <w:tc>
          <w:tcPr>
            <w:tcW w:w="0" w:type="auto"/>
            <w:tcBorders>
              <w:bottom w:val="single" w:sz="8" w:space="0" w:color="F3CFC1"/>
              <w:right w:val="single" w:sz="8" w:space="0" w:color="D2232A"/>
            </w:tcBorders>
            <w:shd w:val="clear" w:color="auto" w:fill="FFFFFF" w:themeFill="background1"/>
            <w:vAlign w:val="center"/>
            <w:hideMark/>
          </w:tcPr>
          <w:p w14:paraId="55B19480" w14:textId="77777777" w:rsidR="00722DDE" w:rsidRPr="0049738B" w:rsidRDefault="00722DDE" w:rsidP="00722DDE">
            <w:pPr>
              <w:spacing w:after="0"/>
              <w:jc w:val="right"/>
            </w:pPr>
            <w:r w:rsidRPr="0049738B">
              <w:t>5.696,00 kn</w:t>
            </w:r>
          </w:p>
        </w:tc>
        <w:tc>
          <w:tcPr>
            <w:tcW w:w="0" w:type="auto"/>
            <w:tcBorders>
              <w:left w:val="single" w:sz="8" w:space="0" w:color="D2232A"/>
              <w:right w:val="single" w:sz="8" w:space="0" w:color="D2232A"/>
            </w:tcBorders>
            <w:shd w:val="clear" w:color="auto" w:fill="FFFFFF" w:themeFill="background1"/>
            <w:vAlign w:val="center"/>
            <w:hideMark/>
          </w:tcPr>
          <w:p w14:paraId="189AD076" w14:textId="77777777" w:rsidR="00722DDE" w:rsidRPr="0049738B" w:rsidRDefault="00722DDE" w:rsidP="00722DDE">
            <w:pPr>
              <w:spacing w:after="0"/>
              <w:jc w:val="right"/>
            </w:pPr>
            <w:r w:rsidRPr="0049738B">
              <w:t>4.803,00 kn</w:t>
            </w:r>
          </w:p>
        </w:tc>
        <w:tc>
          <w:tcPr>
            <w:tcW w:w="0" w:type="auto"/>
            <w:tcBorders>
              <w:left w:val="single" w:sz="8" w:space="0" w:color="D2232A"/>
            </w:tcBorders>
            <w:shd w:val="clear" w:color="auto" w:fill="FFFFFF" w:themeFill="background1"/>
            <w:vAlign w:val="center"/>
            <w:hideMark/>
          </w:tcPr>
          <w:p w14:paraId="063C102B" w14:textId="77777777" w:rsidR="00722DDE" w:rsidRPr="0049738B" w:rsidRDefault="00722DDE" w:rsidP="00722DDE">
            <w:pPr>
              <w:spacing w:after="0"/>
              <w:jc w:val="right"/>
            </w:pPr>
            <w:r w:rsidRPr="0049738B">
              <w:t>84,32%</w:t>
            </w:r>
          </w:p>
        </w:tc>
      </w:tr>
      <w:tr w:rsidR="00722DDE" w:rsidRPr="0049738B" w14:paraId="3B1CC418" w14:textId="77777777" w:rsidTr="000B5B11">
        <w:trPr>
          <w:trHeight w:val="411"/>
          <w:jc w:val="center"/>
        </w:trPr>
        <w:tc>
          <w:tcPr>
            <w:tcW w:w="0" w:type="auto"/>
            <w:tcBorders>
              <w:top w:val="single" w:sz="4" w:space="0" w:color="FFFFFF" w:themeColor="background1"/>
              <w:bottom w:val="single" w:sz="4" w:space="0" w:color="FFFFFF" w:themeColor="background1"/>
            </w:tcBorders>
            <w:shd w:val="clear" w:color="auto" w:fill="D2232A"/>
            <w:vAlign w:val="center"/>
            <w:hideMark/>
          </w:tcPr>
          <w:p w14:paraId="75F16C73" w14:textId="77777777" w:rsidR="00722DDE" w:rsidRPr="0049738B" w:rsidRDefault="00722DDE" w:rsidP="00722DDE">
            <w:pPr>
              <w:spacing w:after="0"/>
              <w:rPr>
                <w:color w:val="FFFFFF" w:themeColor="background1"/>
              </w:rPr>
            </w:pPr>
            <w:r w:rsidRPr="0049738B">
              <w:rPr>
                <w:color w:val="FFFFFF" w:themeColor="background1"/>
              </w:rPr>
              <w:t>2017.</w:t>
            </w:r>
          </w:p>
        </w:tc>
        <w:tc>
          <w:tcPr>
            <w:tcW w:w="0" w:type="auto"/>
            <w:tcBorders>
              <w:top w:val="single" w:sz="8" w:space="0" w:color="F3CFC1"/>
              <w:bottom w:val="single" w:sz="8" w:space="0" w:color="F3CFC1"/>
              <w:right w:val="single" w:sz="8" w:space="0" w:color="D2232A"/>
            </w:tcBorders>
            <w:shd w:val="clear" w:color="auto" w:fill="FFFFFF" w:themeFill="background1"/>
            <w:vAlign w:val="center"/>
            <w:hideMark/>
          </w:tcPr>
          <w:p w14:paraId="49DA6805" w14:textId="77777777" w:rsidR="00722DDE" w:rsidRPr="0049738B" w:rsidRDefault="00722DDE" w:rsidP="00722DDE">
            <w:pPr>
              <w:spacing w:after="0"/>
              <w:jc w:val="right"/>
            </w:pPr>
            <w:r w:rsidRPr="0049738B">
              <w:t>5.971,00 kn</w:t>
            </w:r>
          </w:p>
        </w:tc>
        <w:tc>
          <w:tcPr>
            <w:tcW w:w="0" w:type="auto"/>
            <w:tcBorders>
              <w:left w:val="single" w:sz="8" w:space="0" w:color="D2232A"/>
              <w:right w:val="single" w:sz="8" w:space="0" w:color="D2232A"/>
            </w:tcBorders>
            <w:shd w:val="clear" w:color="auto" w:fill="FFFFFF" w:themeFill="background1"/>
            <w:vAlign w:val="center"/>
            <w:hideMark/>
          </w:tcPr>
          <w:p w14:paraId="5AD5658D" w14:textId="77777777" w:rsidR="00722DDE" w:rsidRPr="0049738B" w:rsidRDefault="00722DDE" w:rsidP="00722DDE">
            <w:pPr>
              <w:spacing w:after="0"/>
              <w:jc w:val="right"/>
            </w:pPr>
            <w:r w:rsidRPr="0049738B">
              <w:t>5.082,00 kn</w:t>
            </w:r>
          </w:p>
        </w:tc>
        <w:tc>
          <w:tcPr>
            <w:tcW w:w="0" w:type="auto"/>
            <w:tcBorders>
              <w:left w:val="single" w:sz="8" w:space="0" w:color="D2232A"/>
            </w:tcBorders>
            <w:shd w:val="clear" w:color="auto" w:fill="FFFFFF" w:themeFill="background1"/>
            <w:vAlign w:val="center"/>
            <w:hideMark/>
          </w:tcPr>
          <w:p w14:paraId="47A5B4FA" w14:textId="77777777" w:rsidR="00722DDE" w:rsidRPr="0049738B" w:rsidRDefault="00722DDE" w:rsidP="00722DDE">
            <w:pPr>
              <w:spacing w:after="0"/>
              <w:jc w:val="right"/>
            </w:pPr>
            <w:r w:rsidRPr="0049738B">
              <w:t>85,11%</w:t>
            </w:r>
          </w:p>
        </w:tc>
      </w:tr>
      <w:tr w:rsidR="00A01E14" w:rsidRPr="0049738B" w14:paraId="7F74A6D4" w14:textId="77777777" w:rsidTr="00081CD9">
        <w:trPr>
          <w:trHeight w:val="403"/>
          <w:jc w:val="center"/>
        </w:trPr>
        <w:tc>
          <w:tcPr>
            <w:tcW w:w="0" w:type="auto"/>
            <w:tcBorders>
              <w:top w:val="single" w:sz="4" w:space="0" w:color="FFFFFF" w:themeColor="background1"/>
            </w:tcBorders>
            <w:shd w:val="clear" w:color="auto" w:fill="D2232A"/>
            <w:vAlign w:val="center"/>
          </w:tcPr>
          <w:p w14:paraId="5940D164" w14:textId="57BF39D3" w:rsidR="00A01E14" w:rsidRPr="0049738B" w:rsidRDefault="00A01E14" w:rsidP="00722DDE">
            <w:pPr>
              <w:spacing w:after="0"/>
              <w:rPr>
                <w:color w:val="FFFFFF" w:themeColor="background1"/>
              </w:rPr>
            </w:pPr>
            <w:r>
              <w:rPr>
                <w:color w:val="FFFFFF" w:themeColor="background1"/>
              </w:rPr>
              <w:t>2018.</w:t>
            </w:r>
          </w:p>
        </w:tc>
        <w:tc>
          <w:tcPr>
            <w:tcW w:w="0" w:type="auto"/>
            <w:tcBorders>
              <w:top w:val="single" w:sz="8" w:space="0" w:color="F3CFC1"/>
              <w:right w:val="single" w:sz="8" w:space="0" w:color="D2232A"/>
            </w:tcBorders>
            <w:shd w:val="clear" w:color="auto" w:fill="FFFFFF" w:themeFill="background1"/>
            <w:vAlign w:val="center"/>
          </w:tcPr>
          <w:p w14:paraId="26ADDC0C" w14:textId="4E40F09E" w:rsidR="00A01E14" w:rsidRPr="0049738B" w:rsidRDefault="00A01E14" w:rsidP="00722DDE">
            <w:pPr>
              <w:spacing w:after="0"/>
              <w:jc w:val="right"/>
            </w:pPr>
            <w:r>
              <w:t>6.164,00 kn</w:t>
            </w:r>
          </w:p>
        </w:tc>
        <w:tc>
          <w:tcPr>
            <w:tcW w:w="0" w:type="auto"/>
            <w:tcBorders>
              <w:left w:val="single" w:sz="8" w:space="0" w:color="D2232A"/>
              <w:right w:val="single" w:sz="8" w:space="0" w:color="D2232A"/>
            </w:tcBorders>
            <w:shd w:val="clear" w:color="auto" w:fill="FFFFFF" w:themeFill="background1"/>
            <w:vAlign w:val="center"/>
          </w:tcPr>
          <w:p w14:paraId="76DF6F5B" w14:textId="65367AE9" w:rsidR="00A01E14" w:rsidRPr="0049738B" w:rsidRDefault="00A01E14" w:rsidP="00722DDE">
            <w:pPr>
              <w:spacing w:after="0"/>
              <w:jc w:val="right"/>
            </w:pPr>
            <w:r>
              <w:t>5.337,00 kn</w:t>
            </w:r>
          </w:p>
        </w:tc>
        <w:tc>
          <w:tcPr>
            <w:tcW w:w="0" w:type="auto"/>
            <w:tcBorders>
              <w:left w:val="single" w:sz="8" w:space="0" w:color="D2232A"/>
            </w:tcBorders>
            <w:shd w:val="clear" w:color="auto" w:fill="FFFFFF" w:themeFill="background1"/>
            <w:vAlign w:val="center"/>
          </w:tcPr>
          <w:p w14:paraId="74BFDC55" w14:textId="65A8570E" w:rsidR="00A01E14" w:rsidRPr="0049738B" w:rsidRDefault="00A01E14" w:rsidP="00722DDE">
            <w:pPr>
              <w:spacing w:after="0"/>
              <w:jc w:val="right"/>
            </w:pPr>
            <w:r>
              <w:t>86,58%</w:t>
            </w:r>
          </w:p>
        </w:tc>
      </w:tr>
    </w:tbl>
    <w:p w14:paraId="599BAE6D" w14:textId="0C229E55" w:rsidR="00722DDE" w:rsidRPr="00927F84" w:rsidRDefault="00722DDE" w:rsidP="003C2276">
      <w:pPr>
        <w:pStyle w:val="Izvor"/>
        <w:rPr>
          <w:i/>
          <w:color w:val="ABABAB" w:themeColor="text1" w:themeTint="A6"/>
          <w:sz w:val="16"/>
          <w:szCs w:val="16"/>
        </w:rPr>
      </w:pPr>
      <w:r w:rsidRPr="00927F84">
        <w:rPr>
          <w:i/>
          <w:color w:val="ABABAB" w:themeColor="text1" w:themeTint="A6"/>
          <w:sz w:val="16"/>
          <w:szCs w:val="16"/>
        </w:rPr>
        <w:t>Izvor</w:t>
      </w:r>
      <w:bookmarkStart w:id="128" w:name="_Hlk60216771"/>
      <w:r w:rsidRPr="00927F84">
        <w:rPr>
          <w:i/>
          <w:color w:val="ABABAB" w:themeColor="text1" w:themeTint="A6"/>
          <w:sz w:val="16"/>
          <w:szCs w:val="16"/>
        </w:rPr>
        <w:t>: DZS, St</w:t>
      </w:r>
      <w:r w:rsidR="000B5B11">
        <w:rPr>
          <w:i/>
          <w:color w:val="ABABAB" w:themeColor="text1" w:themeTint="A6"/>
          <w:sz w:val="16"/>
          <w:szCs w:val="16"/>
        </w:rPr>
        <w:t>atistika u nizu</w:t>
      </w:r>
      <w:r w:rsidRPr="00927F84">
        <w:rPr>
          <w:i/>
          <w:color w:val="ABABAB" w:themeColor="text1" w:themeTint="A6"/>
          <w:sz w:val="16"/>
          <w:szCs w:val="16"/>
        </w:rPr>
        <w:t>, Zaposlenost i plaće – pregled po županijama</w:t>
      </w:r>
      <w:bookmarkEnd w:id="128"/>
    </w:p>
    <w:p w14:paraId="447F600B" w14:textId="77777777" w:rsidR="00722DDE" w:rsidRDefault="00722DDE" w:rsidP="00855D8D">
      <w:pPr>
        <w:pStyle w:val="Izvor"/>
      </w:pPr>
    </w:p>
    <w:p w14:paraId="659454AB" w14:textId="6C44096A" w:rsidR="00722DDE" w:rsidRDefault="00722DDE" w:rsidP="00722DDE">
      <w:r w:rsidRPr="00B41FDA">
        <w:t>Prema podacima Hrvatskog zavoda za zapošljavanje tijekom 20</w:t>
      </w:r>
      <w:r w:rsidR="00A36587">
        <w:t>20</w:t>
      </w:r>
      <w:r w:rsidRPr="00B41FDA">
        <w:t>. godine u većini slučajeva zapošljavane su osobe koje imaju prethodno radno iskustvo (</w:t>
      </w:r>
      <w:r w:rsidR="0096443C">
        <w:t>8</w:t>
      </w:r>
      <w:r w:rsidR="00F7780F">
        <w:t>4</w:t>
      </w:r>
      <w:r w:rsidRPr="00B41FDA">
        <w:t>%). U 20</w:t>
      </w:r>
      <w:r w:rsidR="00531B56">
        <w:t>20</w:t>
      </w:r>
      <w:r w:rsidRPr="00B41FDA">
        <w:t xml:space="preserve">. godini </w:t>
      </w:r>
      <w:r w:rsidR="0096443C">
        <w:t>1</w:t>
      </w:r>
      <w:r w:rsidR="00F7780F">
        <w:t>6</w:t>
      </w:r>
      <w:r w:rsidRPr="00B41FDA">
        <w:t xml:space="preserve">%, odnosno </w:t>
      </w:r>
      <w:r w:rsidR="00F7780F">
        <w:t>519</w:t>
      </w:r>
      <w:r w:rsidRPr="00B41FDA">
        <w:t xml:space="preserve"> osoba zaposleno je prvi puta od čega su najzastupljenije mlade osobe od 15 do 19 godina starosti (</w:t>
      </w:r>
      <w:r w:rsidR="00F7780F">
        <w:t>217</w:t>
      </w:r>
      <w:r w:rsidRPr="00B41FDA">
        <w:t>)</w:t>
      </w:r>
      <w:r w:rsidR="00F7780F">
        <w:t>,</w:t>
      </w:r>
      <w:r w:rsidRPr="00B41FDA">
        <w:t xml:space="preserve"> mlade osobe od 20-24 godine (</w:t>
      </w:r>
      <w:r w:rsidR="0096443C">
        <w:t>1</w:t>
      </w:r>
      <w:r w:rsidR="00F7780F">
        <w:t>88</w:t>
      </w:r>
      <w:r w:rsidRPr="00B41FDA">
        <w:t>) i mlade osobe od 25-29 godina (</w:t>
      </w:r>
      <w:r w:rsidR="00F7780F">
        <w:t>95</w:t>
      </w:r>
      <w:r w:rsidRPr="00B41FDA">
        <w:t xml:space="preserve">). Pri izlasku iz evidencije Hrvatskog zavoda za zapošljavanje zbog zapošljavanja na temelju radnog odnosa i dugih poslovnih aktivnosti </w:t>
      </w:r>
      <w:r w:rsidRPr="00B41FDA">
        <w:lastRenderedPageBreak/>
        <w:t>prevladavaju osobe s</w:t>
      </w:r>
      <w:r w:rsidR="00F862A3">
        <w:t>a</w:t>
      </w:r>
      <w:r w:rsidRPr="00B41FDA">
        <w:t xml:space="preserve"> završenim srednjoškolskim obrazovanjem. To bi se moglo protumačiti time što veliki dio mladih osoba koje završe srednju školu i prijave se na Zavod pronađu prvo zaposlenje i ne nastavljaju svoje obrazovanje kroz redovno školovanje (redovni student).</w:t>
      </w:r>
    </w:p>
    <w:p w14:paraId="092A0A31" w14:textId="77777777" w:rsidR="00AE0546" w:rsidRDefault="00AE0546" w:rsidP="00722DDE"/>
    <w:p w14:paraId="068119B0" w14:textId="6A2DF96B" w:rsidR="00722DDE" w:rsidRDefault="00722DDE" w:rsidP="003E3F3C">
      <w:pPr>
        <w:pStyle w:val="Opisslike"/>
      </w:pPr>
      <w:r>
        <w:t xml:space="preserve">Grafikon </w:t>
      </w:r>
      <w:r w:rsidR="00C23D30">
        <w:rPr>
          <w:noProof/>
        </w:rPr>
        <w:t>3</w:t>
      </w:r>
      <w:r w:rsidR="00CF4B96">
        <w:rPr>
          <w:noProof/>
        </w:rPr>
        <w:t>2</w:t>
      </w:r>
      <w:r>
        <w:rPr>
          <w:noProof/>
        </w:rPr>
        <w:t>.</w:t>
      </w:r>
      <w:r>
        <w:t xml:space="preserve"> Obrazovna struktura odjavljenih osoba iz evidencije HZZ-a zbog sklapanja radnog odnosa (2015.-20</w:t>
      </w:r>
      <w:r w:rsidR="00831EE9">
        <w:t>20</w:t>
      </w:r>
      <w:r>
        <w:t>.)</w:t>
      </w:r>
    </w:p>
    <w:p w14:paraId="56E99C91" w14:textId="5B4AC718" w:rsidR="00722DDE" w:rsidRPr="008B5667" w:rsidRDefault="00E92D10" w:rsidP="008B5667">
      <w:pPr>
        <w:spacing w:after="0" w:line="360" w:lineRule="auto"/>
        <w:rPr>
          <w:rFonts w:eastAsia="ArialNarrow" w:cstheme="minorHAnsi"/>
          <w:i/>
          <w:color w:val="ABABAB" w:themeColor="text1" w:themeTint="A6"/>
          <w:sz w:val="16"/>
          <w:szCs w:val="16"/>
        </w:rPr>
      </w:pPr>
      <w:r>
        <w:rPr>
          <w:noProof/>
        </w:rPr>
        <w:drawing>
          <wp:inline distT="0" distB="0" distL="0" distR="0" wp14:anchorId="4A08026E" wp14:editId="2C78AE71">
            <wp:extent cx="5875020" cy="3909060"/>
            <wp:effectExtent l="0" t="0" r="11430" b="15240"/>
            <wp:docPr id="49" name="Grafikon 49">
              <a:extLst xmlns:a="http://schemas.openxmlformats.org/drawingml/2006/main">
                <a:ext uri="{FF2B5EF4-FFF2-40B4-BE49-F238E27FC236}">
                  <a16:creationId xmlns:a16="http://schemas.microsoft.com/office/drawing/2014/main" id="{0497C79D-76F2-44A7-AB1A-D25ABB22C5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00722DDE" w:rsidRPr="006A6930">
        <w:rPr>
          <w:rFonts w:eastAsia="ArialNarrow" w:cstheme="minorHAnsi"/>
          <w:i/>
          <w:color w:val="ABABAB" w:themeColor="text1" w:themeTint="A6"/>
          <w:sz w:val="16"/>
          <w:szCs w:val="16"/>
        </w:rPr>
        <w:t>Izvor: Hrvatski zavod za zapošljavanje, Statistika On-line: Izlasci iz evidencije (</w:t>
      </w:r>
      <w:r w:rsidR="002C0FB6" w:rsidRPr="006A6930">
        <w:rPr>
          <w:rFonts w:eastAsia="ArialNarrow" w:cstheme="minorHAnsi"/>
          <w:i/>
          <w:color w:val="ABABAB" w:themeColor="text1" w:themeTint="A6"/>
          <w:sz w:val="16"/>
          <w:szCs w:val="16"/>
        </w:rPr>
        <w:t>veljača</w:t>
      </w:r>
      <w:r w:rsidR="00722DDE" w:rsidRPr="006A6930">
        <w:rPr>
          <w:rFonts w:eastAsia="ArialNarrow" w:cstheme="minorHAnsi"/>
          <w:i/>
          <w:color w:val="ABABAB" w:themeColor="text1" w:themeTint="A6"/>
          <w:sz w:val="16"/>
          <w:szCs w:val="16"/>
        </w:rPr>
        <w:t>, 20</w:t>
      </w:r>
      <w:r w:rsidR="00495D05" w:rsidRPr="006A6930">
        <w:rPr>
          <w:rFonts w:eastAsia="ArialNarrow" w:cstheme="minorHAnsi"/>
          <w:i/>
          <w:color w:val="ABABAB" w:themeColor="text1" w:themeTint="A6"/>
          <w:sz w:val="16"/>
          <w:szCs w:val="16"/>
        </w:rPr>
        <w:t>2</w:t>
      </w:r>
      <w:r w:rsidR="002C0FB6" w:rsidRPr="006A6930">
        <w:rPr>
          <w:rFonts w:eastAsia="ArialNarrow" w:cstheme="minorHAnsi"/>
          <w:i/>
          <w:color w:val="ABABAB" w:themeColor="text1" w:themeTint="A6"/>
          <w:sz w:val="16"/>
          <w:szCs w:val="16"/>
        </w:rPr>
        <w:t>1</w:t>
      </w:r>
      <w:r w:rsidR="00722DDE" w:rsidRPr="006A6930">
        <w:rPr>
          <w:rFonts w:eastAsia="ArialNarrow" w:cstheme="minorHAnsi"/>
          <w:i/>
          <w:color w:val="ABABAB" w:themeColor="text1" w:themeTint="A6"/>
          <w:sz w:val="16"/>
          <w:szCs w:val="16"/>
        </w:rPr>
        <w:t>.)</w:t>
      </w:r>
    </w:p>
    <w:p w14:paraId="5B284C6D" w14:textId="77777777" w:rsidR="00722DDE" w:rsidRDefault="00722DDE" w:rsidP="00722DDE">
      <w:pPr>
        <w:rPr>
          <w:sz w:val="22"/>
          <w:szCs w:val="22"/>
        </w:rPr>
      </w:pPr>
    </w:p>
    <w:p w14:paraId="3408E510" w14:textId="481EF384" w:rsidR="00722DDE" w:rsidRDefault="00437B19" w:rsidP="0052192B">
      <w:pPr>
        <w:pStyle w:val="Naslov2"/>
      </w:pPr>
      <w:bookmarkStart w:id="129" w:name="_Toc85181319"/>
      <w:r>
        <w:t>9</w:t>
      </w:r>
      <w:r w:rsidR="00722DDE">
        <w:t>.3. Nezaposlenost i tržište rada</w:t>
      </w:r>
      <w:bookmarkEnd w:id="129"/>
    </w:p>
    <w:p w14:paraId="54486D21" w14:textId="77777777" w:rsidR="00722DDE" w:rsidRPr="00DC3B9F" w:rsidRDefault="00722DDE" w:rsidP="00722DDE"/>
    <w:p w14:paraId="0E8BDA23" w14:textId="4096FB5B" w:rsidR="00722DDE" w:rsidRDefault="00722DDE" w:rsidP="00722DDE">
      <w:r w:rsidRPr="00623EFB">
        <w:t xml:space="preserve">U promatranom razdoblju, od 2015. do 2019. godine, prosječan broj nezaposlenih osoba u Krapinsko-zagorskoj županiji je u padu kako je prikazano u tablici u nastavku. </w:t>
      </w:r>
      <w:r w:rsidR="00831EE9">
        <w:t>U 2020. godini došlo je do porasta broja nezaposlenih osoba</w:t>
      </w:r>
      <w:r w:rsidR="006F5366">
        <w:t xml:space="preserve"> </w:t>
      </w:r>
      <w:r w:rsidR="00032A87">
        <w:t>usred pandemije</w:t>
      </w:r>
      <w:r w:rsidR="00E07224">
        <w:t xml:space="preserve"> bolesti</w:t>
      </w:r>
      <w:r w:rsidR="00032A87">
        <w:t xml:space="preserve"> COVID-19 i donošenja </w:t>
      </w:r>
      <w:r w:rsidR="00E07224">
        <w:t>odluka o ograničavanju kretanja i okupljanja, posebnom reguliranju radnog vremena pojedinih objekata te uvođenju epidemioloških mjera radi sprječavanja prijenosa bolesti COVID-19.</w:t>
      </w:r>
    </w:p>
    <w:p w14:paraId="7B35BAE1" w14:textId="77777777" w:rsidR="00F7780F" w:rsidRDefault="00F7780F" w:rsidP="00722DDE"/>
    <w:p w14:paraId="263C2D7C" w14:textId="58CE6BFB" w:rsidR="00722DDE" w:rsidRDefault="00722DDE" w:rsidP="003E3F3C">
      <w:pPr>
        <w:pStyle w:val="Opisslike"/>
      </w:pPr>
      <w:r>
        <w:t xml:space="preserve">Tablica </w:t>
      </w:r>
      <w:r w:rsidR="00C23D30">
        <w:rPr>
          <w:noProof/>
        </w:rPr>
        <w:t>6</w:t>
      </w:r>
      <w:r w:rsidR="000D5E3F">
        <w:rPr>
          <w:noProof/>
        </w:rPr>
        <w:t>5</w:t>
      </w:r>
      <w:r>
        <w:rPr>
          <w:noProof/>
        </w:rPr>
        <w:t>.</w:t>
      </w:r>
      <w:r>
        <w:t xml:space="preserve"> Kretanje prosječnog broja nezaposlenih osoba u Krapinsko-zagorskoj županiji i Republici Hrvatskoj (2015</w:t>
      </w:r>
      <w:r w:rsidR="00FB4B98">
        <w:t>.</w:t>
      </w:r>
      <w:r>
        <w:t>-20</w:t>
      </w:r>
      <w:r w:rsidR="00831EE9">
        <w:t>20</w:t>
      </w:r>
      <w:r>
        <w:t>.)</w:t>
      </w:r>
    </w:p>
    <w:tbl>
      <w:tblPr>
        <w:tblW w:w="4855" w:type="pct"/>
        <w:jc w:val="center"/>
        <w:tblBorders>
          <w:insideH w:val="single" w:sz="8" w:space="0" w:color="F3CFC1"/>
        </w:tblBorders>
        <w:tblLook w:val="04A0" w:firstRow="1" w:lastRow="0" w:firstColumn="1" w:lastColumn="0" w:noHBand="0" w:noVBand="1"/>
      </w:tblPr>
      <w:tblGrid>
        <w:gridCol w:w="1295"/>
        <w:gridCol w:w="2919"/>
        <w:gridCol w:w="945"/>
        <w:gridCol w:w="2917"/>
        <w:gridCol w:w="945"/>
      </w:tblGrid>
      <w:tr w:rsidR="00722DDE" w:rsidRPr="008A3BCF" w14:paraId="3FE8C476" w14:textId="77777777" w:rsidTr="00722DDE">
        <w:trPr>
          <w:trHeight w:val="340"/>
          <w:jc w:val="center"/>
        </w:trPr>
        <w:tc>
          <w:tcPr>
            <w:tcW w:w="717" w:type="pct"/>
            <w:tcBorders>
              <w:top w:val="nil"/>
              <w:bottom w:val="single" w:sz="8" w:space="0" w:color="F3CFC1"/>
            </w:tcBorders>
            <w:shd w:val="clear" w:color="auto" w:fill="D2232A"/>
            <w:vAlign w:val="center"/>
            <w:hideMark/>
          </w:tcPr>
          <w:p w14:paraId="6DA9AD6F" w14:textId="77777777" w:rsidR="00722DDE" w:rsidRPr="008A3BCF" w:rsidRDefault="00722DDE" w:rsidP="00722DDE">
            <w:pPr>
              <w:spacing w:after="0" w:line="240" w:lineRule="auto"/>
              <w:rPr>
                <w:rFonts w:eastAsia="Times New Roman" w:cs="Calibri"/>
                <w:b/>
                <w:bCs/>
                <w:color w:val="FFFFFF" w:themeColor="background1"/>
                <w:sz w:val="22"/>
                <w:szCs w:val="22"/>
                <w:lang w:eastAsia="hr-HR"/>
              </w:rPr>
            </w:pPr>
            <w:r w:rsidRPr="008A3BCF">
              <w:rPr>
                <w:rFonts w:eastAsia="Times New Roman" w:cs="Calibri"/>
                <w:b/>
                <w:bCs/>
                <w:color w:val="FFFFFF" w:themeColor="background1"/>
                <w:lang w:eastAsia="hr-HR"/>
              </w:rPr>
              <w:t>Godina</w:t>
            </w:r>
          </w:p>
        </w:tc>
        <w:tc>
          <w:tcPr>
            <w:tcW w:w="1618" w:type="pct"/>
            <w:tcBorders>
              <w:top w:val="nil"/>
              <w:bottom w:val="single" w:sz="8" w:space="0" w:color="F3CFC1"/>
            </w:tcBorders>
            <w:shd w:val="clear" w:color="auto" w:fill="D2232A"/>
            <w:hideMark/>
          </w:tcPr>
          <w:p w14:paraId="216F6ECA" w14:textId="77777777" w:rsidR="00722DDE" w:rsidRPr="008A3BCF" w:rsidRDefault="00722DDE" w:rsidP="00722DDE">
            <w:pPr>
              <w:spacing w:after="0" w:line="240" w:lineRule="auto"/>
              <w:jc w:val="center"/>
              <w:rPr>
                <w:rFonts w:eastAsia="Times New Roman" w:cs="Calibri"/>
                <w:b/>
                <w:bCs/>
                <w:color w:val="FFFFFF" w:themeColor="background1"/>
                <w:lang w:eastAsia="hr-HR"/>
              </w:rPr>
            </w:pPr>
            <w:r w:rsidRPr="008A3BCF">
              <w:rPr>
                <w:rFonts w:eastAsia="Times New Roman" w:cs="Calibri"/>
                <w:b/>
                <w:bCs/>
                <w:color w:val="FFFFFF" w:themeColor="background1"/>
                <w:lang w:eastAsia="hr-HR"/>
              </w:rPr>
              <w:t>Krapinsko-zagorska županija</w:t>
            </w:r>
          </w:p>
        </w:tc>
        <w:tc>
          <w:tcPr>
            <w:tcW w:w="524" w:type="pct"/>
            <w:tcBorders>
              <w:top w:val="nil"/>
              <w:bottom w:val="single" w:sz="8" w:space="0" w:color="F3CFC1"/>
            </w:tcBorders>
            <w:shd w:val="clear" w:color="auto" w:fill="D2232A"/>
            <w:hideMark/>
          </w:tcPr>
          <w:p w14:paraId="4AFA11C6" w14:textId="77777777" w:rsidR="00722DDE" w:rsidRPr="008A3BCF" w:rsidRDefault="00722DDE" w:rsidP="00722DDE">
            <w:pPr>
              <w:spacing w:after="0" w:line="240" w:lineRule="auto"/>
              <w:jc w:val="center"/>
              <w:rPr>
                <w:rFonts w:eastAsia="Times New Roman" w:cs="Calibri"/>
                <w:b/>
                <w:bCs/>
                <w:color w:val="FFFFFF" w:themeColor="background1"/>
                <w:lang w:eastAsia="hr-HR"/>
              </w:rPr>
            </w:pPr>
            <w:r w:rsidRPr="008A3BCF">
              <w:rPr>
                <w:rFonts w:eastAsia="Times New Roman" w:cs="Calibri"/>
                <w:b/>
                <w:bCs/>
                <w:color w:val="FFFFFF" w:themeColor="background1"/>
                <w:lang w:eastAsia="hr-HR"/>
              </w:rPr>
              <w:t>(s</w:t>
            </w:r>
            <w:r w:rsidRPr="008A3BCF">
              <w:rPr>
                <w:rFonts w:eastAsia="Times New Roman" w:cs="Calibri"/>
                <w:b/>
                <w:bCs/>
                <w:color w:val="FFFFFF" w:themeColor="background1"/>
                <w:vertAlign w:val="subscript"/>
                <w:lang w:eastAsia="hr-HR"/>
              </w:rPr>
              <w:t>t</w:t>
            </w:r>
            <w:r w:rsidRPr="008A3BCF">
              <w:rPr>
                <w:rFonts w:eastAsia="Times New Roman" w:cs="Calibri"/>
                <w:b/>
                <w:bCs/>
                <w:color w:val="FFFFFF" w:themeColor="background1"/>
                <w:lang w:eastAsia="hr-HR"/>
              </w:rPr>
              <w:t>)</w:t>
            </w:r>
          </w:p>
        </w:tc>
        <w:tc>
          <w:tcPr>
            <w:tcW w:w="1617" w:type="pct"/>
            <w:tcBorders>
              <w:top w:val="nil"/>
              <w:bottom w:val="single" w:sz="8" w:space="0" w:color="F3CFC1"/>
            </w:tcBorders>
            <w:shd w:val="clear" w:color="auto" w:fill="D2232A"/>
            <w:hideMark/>
          </w:tcPr>
          <w:p w14:paraId="7688C353" w14:textId="77777777" w:rsidR="00722DDE" w:rsidRPr="008A3BCF" w:rsidRDefault="00722DDE" w:rsidP="00722DDE">
            <w:pPr>
              <w:spacing w:after="0" w:line="240" w:lineRule="auto"/>
              <w:jc w:val="center"/>
              <w:rPr>
                <w:rFonts w:eastAsia="Times New Roman" w:cs="Calibri"/>
                <w:b/>
                <w:bCs/>
                <w:color w:val="FFFFFF" w:themeColor="background1"/>
                <w:lang w:eastAsia="hr-HR"/>
              </w:rPr>
            </w:pPr>
            <w:r w:rsidRPr="008A3BCF">
              <w:rPr>
                <w:rFonts w:eastAsia="Times New Roman" w:cs="Calibri"/>
                <w:b/>
                <w:bCs/>
                <w:color w:val="FFFFFF" w:themeColor="background1"/>
                <w:lang w:eastAsia="hr-HR"/>
              </w:rPr>
              <w:t>Republika Hrvatska</w:t>
            </w:r>
          </w:p>
        </w:tc>
        <w:tc>
          <w:tcPr>
            <w:tcW w:w="524" w:type="pct"/>
            <w:tcBorders>
              <w:top w:val="nil"/>
              <w:bottom w:val="single" w:sz="8" w:space="0" w:color="F3CFC1"/>
              <w:right w:val="single" w:sz="8" w:space="0" w:color="D2232A"/>
            </w:tcBorders>
            <w:shd w:val="clear" w:color="auto" w:fill="D2232A"/>
            <w:hideMark/>
          </w:tcPr>
          <w:p w14:paraId="77BA44A7" w14:textId="77777777" w:rsidR="00722DDE" w:rsidRPr="008A3BCF" w:rsidRDefault="00722DDE" w:rsidP="00722DDE">
            <w:pPr>
              <w:spacing w:after="0" w:line="240" w:lineRule="auto"/>
              <w:jc w:val="center"/>
              <w:rPr>
                <w:rFonts w:eastAsia="Times New Roman" w:cs="Calibri"/>
                <w:b/>
                <w:bCs/>
                <w:color w:val="FFFFFF" w:themeColor="background1"/>
                <w:lang w:eastAsia="hr-HR"/>
              </w:rPr>
            </w:pPr>
            <w:r w:rsidRPr="008A3BCF">
              <w:rPr>
                <w:rFonts w:eastAsia="Times New Roman" w:cs="Calibri"/>
                <w:b/>
                <w:bCs/>
                <w:color w:val="FFFFFF" w:themeColor="background1"/>
                <w:lang w:eastAsia="hr-HR"/>
              </w:rPr>
              <w:t>(s</w:t>
            </w:r>
            <w:r w:rsidRPr="008A3BCF">
              <w:rPr>
                <w:rFonts w:eastAsia="Times New Roman" w:cs="Calibri"/>
                <w:b/>
                <w:bCs/>
                <w:color w:val="FFFFFF" w:themeColor="background1"/>
                <w:vertAlign w:val="subscript"/>
                <w:lang w:eastAsia="hr-HR"/>
              </w:rPr>
              <w:t>t</w:t>
            </w:r>
            <w:r w:rsidRPr="008A3BCF">
              <w:rPr>
                <w:rFonts w:eastAsia="Times New Roman" w:cs="Calibri"/>
                <w:b/>
                <w:bCs/>
                <w:color w:val="FFFFFF" w:themeColor="background1"/>
                <w:lang w:eastAsia="hr-HR"/>
              </w:rPr>
              <w:t>)</w:t>
            </w:r>
          </w:p>
        </w:tc>
      </w:tr>
      <w:tr w:rsidR="00722DDE" w:rsidRPr="008A3BCF" w14:paraId="1E03CEC7" w14:textId="77777777" w:rsidTr="00F7780F">
        <w:trPr>
          <w:trHeight w:val="340"/>
          <w:jc w:val="center"/>
        </w:trPr>
        <w:tc>
          <w:tcPr>
            <w:tcW w:w="717" w:type="pct"/>
            <w:tcBorders>
              <w:top w:val="single" w:sz="8" w:space="0" w:color="F3CFC1"/>
              <w:bottom w:val="single" w:sz="8" w:space="0" w:color="F3CFC1"/>
            </w:tcBorders>
            <w:shd w:val="clear" w:color="auto" w:fill="D2232A"/>
            <w:vAlign w:val="center"/>
            <w:hideMark/>
          </w:tcPr>
          <w:p w14:paraId="5FC5BE34" w14:textId="77777777" w:rsidR="00722DDE" w:rsidRPr="008A3BCF" w:rsidRDefault="00722DDE" w:rsidP="00722DDE">
            <w:pPr>
              <w:spacing w:after="0" w:line="240" w:lineRule="auto"/>
              <w:rPr>
                <w:rFonts w:eastAsia="Times New Roman" w:cs="Calibri"/>
                <w:b/>
                <w:bCs/>
                <w:color w:val="FFFFFF" w:themeColor="background1"/>
                <w:lang w:eastAsia="hr-HR"/>
              </w:rPr>
            </w:pPr>
            <w:r w:rsidRPr="008A3BCF">
              <w:rPr>
                <w:rFonts w:eastAsia="Times New Roman" w:cs="Calibri"/>
                <w:b/>
                <w:bCs/>
                <w:color w:val="FFFFFF" w:themeColor="background1"/>
                <w:lang w:eastAsia="hr-HR"/>
              </w:rPr>
              <w:t>2015.</w:t>
            </w:r>
          </w:p>
        </w:tc>
        <w:tc>
          <w:tcPr>
            <w:tcW w:w="1618" w:type="pct"/>
            <w:tcBorders>
              <w:top w:val="single" w:sz="8" w:space="0" w:color="F3CFC1"/>
              <w:bottom w:val="single" w:sz="8" w:space="0" w:color="F3CFC1"/>
              <w:right w:val="single" w:sz="8" w:space="0" w:color="D2232A"/>
            </w:tcBorders>
            <w:vAlign w:val="center"/>
            <w:hideMark/>
          </w:tcPr>
          <w:p w14:paraId="401EBAD7"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6.648</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75F29DCC"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-15.77</w:t>
            </w:r>
          </w:p>
        </w:tc>
        <w:tc>
          <w:tcPr>
            <w:tcW w:w="1617" w:type="pct"/>
            <w:tcBorders>
              <w:top w:val="single" w:sz="8" w:space="0" w:color="F3CFC1"/>
              <w:left w:val="single" w:sz="8" w:space="0" w:color="D2232A"/>
              <w:bottom w:val="single" w:sz="8" w:space="0" w:color="F3CFC1"/>
              <w:right w:val="single" w:sz="8" w:space="0" w:color="D2232A"/>
            </w:tcBorders>
            <w:vAlign w:val="center"/>
            <w:hideMark/>
          </w:tcPr>
          <w:p w14:paraId="779C9730"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285.906</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4D6104D9"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-12,88</w:t>
            </w:r>
          </w:p>
        </w:tc>
      </w:tr>
      <w:tr w:rsidR="00722DDE" w:rsidRPr="008A3BCF" w14:paraId="388632E2" w14:textId="77777777" w:rsidTr="00F7780F">
        <w:trPr>
          <w:trHeight w:val="340"/>
          <w:jc w:val="center"/>
        </w:trPr>
        <w:tc>
          <w:tcPr>
            <w:tcW w:w="717" w:type="pct"/>
            <w:tcBorders>
              <w:top w:val="single" w:sz="8" w:space="0" w:color="F3CFC1"/>
              <w:bottom w:val="single" w:sz="8" w:space="0" w:color="F3CFC1"/>
            </w:tcBorders>
            <w:shd w:val="clear" w:color="auto" w:fill="D2232A"/>
            <w:vAlign w:val="center"/>
            <w:hideMark/>
          </w:tcPr>
          <w:p w14:paraId="132068E2" w14:textId="77777777" w:rsidR="00722DDE" w:rsidRPr="008A3BCF" w:rsidRDefault="00722DDE" w:rsidP="00722DDE">
            <w:pPr>
              <w:spacing w:after="0" w:line="240" w:lineRule="auto"/>
              <w:rPr>
                <w:rFonts w:eastAsia="Times New Roman" w:cs="Calibri"/>
                <w:b/>
                <w:bCs/>
                <w:color w:val="FFFFFF" w:themeColor="background1"/>
                <w:lang w:eastAsia="hr-HR"/>
              </w:rPr>
            </w:pPr>
            <w:r w:rsidRPr="008A3BCF">
              <w:rPr>
                <w:rFonts w:eastAsia="Times New Roman" w:cs="Calibri"/>
                <w:b/>
                <w:bCs/>
                <w:color w:val="FFFFFF" w:themeColor="background1"/>
                <w:lang w:eastAsia="hr-HR"/>
              </w:rPr>
              <w:t>2016.</w:t>
            </w:r>
          </w:p>
        </w:tc>
        <w:tc>
          <w:tcPr>
            <w:tcW w:w="1618" w:type="pct"/>
            <w:tcBorders>
              <w:top w:val="single" w:sz="8" w:space="0" w:color="F3CFC1"/>
              <w:bottom w:val="single" w:sz="8" w:space="0" w:color="F3CFC1"/>
              <w:right w:val="single" w:sz="8" w:space="0" w:color="D2232A"/>
            </w:tcBorders>
            <w:vAlign w:val="center"/>
            <w:hideMark/>
          </w:tcPr>
          <w:p w14:paraId="5D646F9B"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5.168</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711A6E6A" w14:textId="35160612"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-22,2</w:t>
            </w:r>
            <w:r w:rsidR="00B277FA">
              <w:rPr>
                <w:rFonts w:eastAsia="Times New Roman" w:cs="Calibri"/>
                <w:lang w:eastAsia="hr-HR"/>
              </w:rPr>
              <w:t>6</w:t>
            </w:r>
          </w:p>
        </w:tc>
        <w:tc>
          <w:tcPr>
            <w:tcW w:w="1617" w:type="pct"/>
            <w:tcBorders>
              <w:top w:val="single" w:sz="8" w:space="0" w:color="F3CFC1"/>
              <w:left w:val="single" w:sz="8" w:space="0" w:color="D2232A"/>
              <w:bottom w:val="single" w:sz="8" w:space="0" w:color="F3CFC1"/>
              <w:right w:val="single" w:sz="8" w:space="0" w:color="D2232A"/>
            </w:tcBorders>
            <w:vAlign w:val="center"/>
            <w:hideMark/>
          </w:tcPr>
          <w:p w14:paraId="1E0AC1EF"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241.860</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1DBEB72E"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-15,41</w:t>
            </w:r>
          </w:p>
        </w:tc>
      </w:tr>
      <w:tr w:rsidR="00722DDE" w:rsidRPr="008A3BCF" w14:paraId="37BB6945" w14:textId="77777777" w:rsidTr="00F7780F">
        <w:trPr>
          <w:trHeight w:val="340"/>
          <w:jc w:val="center"/>
        </w:trPr>
        <w:tc>
          <w:tcPr>
            <w:tcW w:w="717" w:type="pct"/>
            <w:tcBorders>
              <w:top w:val="single" w:sz="8" w:space="0" w:color="F3CFC1"/>
              <w:bottom w:val="single" w:sz="8" w:space="0" w:color="F3CFC1"/>
            </w:tcBorders>
            <w:shd w:val="clear" w:color="auto" w:fill="D2232A"/>
            <w:vAlign w:val="center"/>
            <w:hideMark/>
          </w:tcPr>
          <w:p w14:paraId="0F5AD368" w14:textId="77777777" w:rsidR="00722DDE" w:rsidRPr="008A3BCF" w:rsidRDefault="00722DDE" w:rsidP="00722DDE">
            <w:pPr>
              <w:spacing w:after="0" w:line="240" w:lineRule="auto"/>
              <w:rPr>
                <w:rFonts w:eastAsia="Times New Roman" w:cs="Calibri"/>
                <w:b/>
                <w:bCs/>
                <w:color w:val="FFFFFF" w:themeColor="background1"/>
                <w:lang w:eastAsia="hr-HR"/>
              </w:rPr>
            </w:pPr>
            <w:r w:rsidRPr="008A3BCF">
              <w:rPr>
                <w:rFonts w:eastAsia="Times New Roman" w:cs="Calibri"/>
                <w:b/>
                <w:bCs/>
                <w:color w:val="FFFFFF" w:themeColor="background1"/>
                <w:lang w:eastAsia="hr-HR"/>
              </w:rPr>
              <w:t>2017.</w:t>
            </w:r>
          </w:p>
        </w:tc>
        <w:tc>
          <w:tcPr>
            <w:tcW w:w="1618" w:type="pct"/>
            <w:tcBorders>
              <w:top w:val="single" w:sz="8" w:space="0" w:color="F3CFC1"/>
              <w:bottom w:val="single" w:sz="8" w:space="0" w:color="F3CFC1"/>
              <w:right w:val="single" w:sz="8" w:space="0" w:color="D2232A"/>
            </w:tcBorders>
            <w:vAlign w:val="center"/>
            <w:hideMark/>
          </w:tcPr>
          <w:p w14:paraId="2A6D0550"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3.689</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3371A14F" w14:textId="28F3BD9A"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-28,6</w:t>
            </w:r>
            <w:r w:rsidR="00B277FA">
              <w:rPr>
                <w:rFonts w:eastAsia="Times New Roman" w:cs="Calibri"/>
                <w:lang w:eastAsia="hr-HR"/>
              </w:rPr>
              <w:t>2</w:t>
            </w:r>
          </w:p>
        </w:tc>
        <w:tc>
          <w:tcPr>
            <w:tcW w:w="1617" w:type="pct"/>
            <w:tcBorders>
              <w:top w:val="single" w:sz="8" w:space="0" w:color="F3CFC1"/>
              <w:left w:val="single" w:sz="8" w:space="0" w:color="D2232A"/>
              <w:bottom w:val="single" w:sz="8" w:space="0" w:color="F3CFC1"/>
              <w:right w:val="single" w:sz="8" w:space="0" w:color="D2232A"/>
            </w:tcBorders>
            <w:vAlign w:val="center"/>
            <w:hideMark/>
          </w:tcPr>
          <w:p w14:paraId="294625F9"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193.967</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032B85DF"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-19,80</w:t>
            </w:r>
          </w:p>
        </w:tc>
      </w:tr>
      <w:tr w:rsidR="00722DDE" w:rsidRPr="008A3BCF" w14:paraId="7ACF74E9" w14:textId="77777777" w:rsidTr="00F7780F">
        <w:trPr>
          <w:trHeight w:val="340"/>
          <w:jc w:val="center"/>
        </w:trPr>
        <w:tc>
          <w:tcPr>
            <w:tcW w:w="717" w:type="pct"/>
            <w:tcBorders>
              <w:top w:val="single" w:sz="8" w:space="0" w:color="F3CFC1"/>
              <w:bottom w:val="single" w:sz="8" w:space="0" w:color="F3CFC1"/>
            </w:tcBorders>
            <w:shd w:val="clear" w:color="auto" w:fill="D2232A"/>
            <w:vAlign w:val="center"/>
            <w:hideMark/>
          </w:tcPr>
          <w:p w14:paraId="2BC24AD2" w14:textId="77777777" w:rsidR="00722DDE" w:rsidRPr="008A3BCF" w:rsidRDefault="00722DDE" w:rsidP="00722DDE">
            <w:pPr>
              <w:spacing w:after="0" w:line="240" w:lineRule="auto"/>
              <w:rPr>
                <w:rFonts w:eastAsia="Times New Roman" w:cs="Calibri"/>
                <w:b/>
                <w:bCs/>
                <w:color w:val="FFFFFF" w:themeColor="background1"/>
                <w:lang w:eastAsia="hr-HR"/>
              </w:rPr>
            </w:pPr>
            <w:r w:rsidRPr="008A3BCF">
              <w:rPr>
                <w:rFonts w:eastAsia="Times New Roman" w:cs="Calibri"/>
                <w:b/>
                <w:bCs/>
                <w:color w:val="FFFFFF" w:themeColor="background1"/>
                <w:lang w:eastAsia="hr-HR"/>
              </w:rPr>
              <w:t>2018.</w:t>
            </w:r>
          </w:p>
        </w:tc>
        <w:tc>
          <w:tcPr>
            <w:tcW w:w="1618" w:type="pct"/>
            <w:tcBorders>
              <w:top w:val="single" w:sz="8" w:space="0" w:color="F3CFC1"/>
              <w:bottom w:val="single" w:sz="8" w:space="0" w:color="F3CFC1"/>
              <w:right w:val="single" w:sz="8" w:space="0" w:color="D2232A"/>
            </w:tcBorders>
            <w:vAlign w:val="center"/>
            <w:hideMark/>
          </w:tcPr>
          <w:p w14:paraId="57BD2118"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2.789</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0DAB8883"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-24,41</w:t>
            </w:r>
          </w:p>
        </w:tc>
        <w:tc>
          <w:tcPr>
            <w:tcW w:w="1617" w:type="pct"/>
            <w:tcBorders>
              <w:top w:val="single" w:sz="8" w:space="0" w:color="F3CFC1"/>
              <w:left w:val="single" w:sz="8" w:space="0" w:color="D2232A"/>
              <w:bottom w:val="single" w:sz="8" w:space="0" w:color="F3CFC1"/>
              <w:right w:val="single" w:sz="8" w:space="0" w:color="D2232A"/>
            </w:tcBorders>
            <w:vAlign w:val="center"/>
            <w:hideMark/>
          </w:tcPr>
          <w:p w14:paraId="08A0C78F"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153.542</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1B1474BF" w14:textId="77777777"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-20,84</w:t>
            </w:r>
          </w:p>
        </w:tc>
      </w:tr>
      <w:tr w:rsidR="00722DDE" w:rsidRPr="008A3BCF" w14:paraId="175EAFD1" w14:textId="77777777" w:rsidTr="00F7780F">
        <w:trPr>
          <w:trHeight w:val="340"/>
          <w:jc w:val="center"/>
        </w:trPr>
        <w:tc>
          <w:tcPr>
            <w:tcW w:w="717" w:type="pct"/>
            <w:tcBorders>
              <w:top w:val="single" w:sz="8" w:space="0" w:color="F3CFC1"/>
              <w:bottom w:val="single" w:sz="8" w:space="0" w:color="F3CFC1"/>
            </w:tcBorders>
            <w:shd w:val="clear" w:color="auto" w:fill="D2232A"/>
            <w:vAlign w:val="center"/>
            <w:hideMark/>
          </w:tcPr>
          <w:p w14:paraId="03C51153" w14:textId="25797C5B" w:rsidR="00722DDE" w:rsidRPr="008A3BCF" w:rsidRDefault="00722DDE" w:rsidP="00722DDE">
            <w:pPr>
              <w:spacing w:after="0" w:line="240" w:lineRule="auto"/>
              <w:rPr>
                <w:rFonts w:eastAsia="Times New Roman" w:cs="Calibri"/>
                <w:b/>
                <w:bCs/>
                <w:color w:val="FFFFFF" w:themeColor="background1"/>
                <w:lang w:eastAsia="hr-HR"/>
              </w:rPr>
            </w:pPr>
            <w:r w:rsidRPr="008A3BCF">
              <w:rPr>
                <w:rFonts w:eastAsia="Times New Roman" w:cs="Calibri"/>
                <w:b/>
                <w:bCs/>
                <w:color w:val="FFFFFF" w:themeColor="background1"/>
                <w:lang w:eastAsia="hr-HR"/>
              </w:rPr>
              <w:t>2019.</w:t>
            </w:r>
          </w:p>
        </w:tc>
        <w:tc>
          <w:tcPr>
            <w:tcW w:w="1618" w:type="pct"/>
            <w:tcBorders>
              <w:top w:val="single" w:sz="8" w:space="0" w:color="F3CFC1"/>
              <w:bottom w:val="single" w:sz="8" w:space="0" w:color="F3CFC1"/>
              <w:right w:val="single" w:sz="8" w:space="0" w:color="D2232A"/>
            </w:tcBorders>
            <w:vAlign w:val="center"/>
            <w:hideMark/>
          </w:tcPr>
          <w:p w14:paraId="3A36483D" w14:textId="40A4818E"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2.3</w:t>
            </w:r>
            <w:r w:rsidR="004E6F2C">
              <w:rPr>
                <w:rFonts w:eastAsia="Times New Roman" w:cs="Calibri"/>
                <w:lang w:eastAsia="hr-HR"/>
              </w:rPr>
              <w:t>22</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4F7E10A5" w14:textId="29BD875A"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-16,</w:t>
            </w:r>
            <w:r w:rsidR="00B277FA">
              <w:rPr>
                <w:rFonts w:eastAsia="Times New Roman" w:cs="Calibri"/>
                <w:lang w:eastAsia="hr-HR"/>
              </w:rPr>
              <w:t>74</w:t>
            </w:r>
          </w:p>
        </w:tc>
        <w:tc>
          <w:tcPr>
            <w:tcW w:w="1617" w:type="pct"/>
            <w:tcBorders>
              <w:top w:val="single" w:sz="8" w:space="0" w:color="F3CFC1"/>
              <w:left w:val="single" w:sz="8" w:space="0" w:color="D2232A"/>
              <w:bottom w:val="single" w:sz="8" w:space="0" w:color="F3CFC1"/>
              <w:right w:val="single" w:sz="8" w:space="0" w:color="D2232A"/>
            </w:tcBorders>
            <w:vAlign w:val="center"/>
            <w:hideMark/>
          </w:tcPr>
          <w:p w14:paraId="32516488" w14:textId="2FEA4164"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128.</w:t>
            </w:r>
            <w:r w:rsidR="004E6F2C">
              <w:rPr>
                <w:rFonts w:eastAsia="Times New Roman" w:cs="Calibri"/>
                <w:lang w:eastAsia="hr-HR"/>
              </w:rPr>
              <w:t>650</w:t>
            </w:r>
          </w:p>
        </w:tc>
        <w:tc>
          <w:tcPr>
            <w:tcW w:w="524" w:type="pct"/>
            <w:tcBorders>
              <w:top w:val="single" w:sz="8" w:space="0" w:color="F3CFC1"/>
              <w:left w:val="single" w:sz="8" w:space="0" w:color="D2232A"/>
              <w:bottom w:val="single" w:sz="8" w:space="0" w:color="F3CFC1"/>
              <w:right w:val="single" w:sz="8" w:space="0" w:color="D2232A"/>
            </w:tcBorders>
            <w:vAlign w:val="center"/>
            <w:hideMark/>
          </w:tcPr>
          <w:p w14:paraId="778A8008" w14:textId="50F0ABC1" w:rsidR="00722DDE" w:rsidRPr="008A3BCF" w:rsidRDefault="00722DDE" w:rsidP="00F7780F">
            <w:pPr>
              <w:spacing w:after="0" w:line="240" w:lineRule="auto"/>
              <w:jc w:val="right"/>
              <w:rPr>
                <w:rFonts w:eastAsia="Times New Roman" w:cs="Calibri"/>
                <w:lang w:eastAsia="hr-HR"/>
              </w:rPr>
            </w:pPr>
            <w:r w:rsidRPr="008A3BCF">
              <w:rPr>
                <w:rFonts w:eastAsia="Times New Roman" w:cs="Calibri"/>
                <w:lang w:eastAsia="hr-HR"/>
              </w:rPr>
              <w:t>-16,</w:t>
            </w:r>
            <w:r w:rsidR="006F5366">
              <w:rPr>
                <w:rFonts w:eastAsia="Times New Roman" w:cs="Calibri"/>
                <w:lang w:eastAsia="hr-HR"/>
              </w:rPr>
              <w:t>21</w:t>
            </w:r>
          </w:p>
        </w:tc>
      </w:tr>
      <w:tr w:rsidR="004E6F2C" w:rsidRPr="008A3BCF" w14:paraId="39AAF808" w14:textId="77777777" w:rsidTr="00F7780F">
        <w:trPr>
          <w:trHeight w:val="340"/>
          <w:jc w:val="center"/>
        </w:trPr>
        <w:tc>
          <w:tcPr>
            <w:tcW w:w="717" w:type="pct"/>
            <w:tcBorders>
              <w:top w:val="single" w:sz="8" w:space="0" w:color="F3CFC1"/>
              <w:bottom w:val="nil"/>
            </w:tcBorders>
            <w:shd w:val="clear" w:color="auto" w:fill="D2232A"/>
            <w:vAlign w:val="center"/>
          </w:tcPr>
          <w:p w14:paraId="1C57230D" w14:textId="4809C454" w:rsidR="004E6F2C" w:rsidRPr="008A3BCF" w:rsidRDefault="0045531B" w:rsidP="00722DDE">
            <w:pPr>
              <w:spacing w:after="0" w:line="240" w:lineRule="auto"/>
              <w:rPr>
                <w:rFonts w:eastAsia="Times New Roman" w:cs="Calibri"/>
                <w:b/>
                <w:bCs/>
                <w:color w:val="FFFFFF" w:themeColor="background1"/>
                <w:lang w:eastAsia="hr-HR"/>
              </w:rPr>
            </w:pPr>
            <w:r>
              <w:rPr>
                <w:rFonts w:eastAsia="Times New Roman" w:cs="Calibri"/>
                <w:b/>
                <w:bCs/>
                <w:color w:val="FFFFFF" w:themeColor="background1"/>
                <w:lang w:eastAsia="hr-HR"/>
              </w:rPr>
              <w:t>2020.</w:t>
            </w:r>
          </w:p>
        </w:tc>
        <w:tc>
          <w:tcPr>
            <w:tcW w:w="1618" w:type="pct"/>
            <w:tcBorders>
              <w:top w:val="single" w:sz="8" w:space="0" w:color="F3CFC1"/>
              <w:bottom w:val="nil"/>
              <w:right w:val="single" w:sz="8" w:space="0" w:color="D2232A"/>
            </w:tcBorders>
            <w:vAlign w:val="center"/>
          </w:tcPr>
          <w:p w14:paraId="55E879F8" w14:textId="3E1B1C71" w:rsidR="004E6F2C" w:rsidRPr="008A3BCF" w:rsidRDefault="0045531B" w:rsidP="00F7780F">
            <w:pPr>
              <w:spacing w:after="0" w:line="240" w:lineRule="auto"/>
              <w:jc w:val="right"/>
              <w:rPr>
                <w:rFonts w:eastAsia="Times New Roman" w:cs="Calibri"/>
                <w:lang w:eastAsia="hr-HR"/>
              </w:rPr>
            </w:pPr>
            <w:r>
              <w:rPr>
                <w:rFonts w:eastAsia="Times New Roman" w:cs="Calibri"/>
                <w:lang w:eastAsia="hr-HR"/>
              </w:rPr>
              <w:t>2.</w:t>
            </w:r>
            <w:r w:rsidR="00515629">
              <w:rPr>
                <w:rFonts w:eastAsia="Times New Roman" w:cs="Calibri"/>
                <w:lang w:eastAsia="hr-HR"/>
              </w:rPr>
              <w:t>6</w:t>
            </w:r>
            <w:r w:rsidR="00A20FCF">
              <w:rPr>
                <w:rFonts w:eastAsia="Times New Roman" w:cs="Calibri"/>
                <w:lang w:eastAsia="hr-HR"/>
              </w:rPr>
              <w:t>70</w:t>
            </w:r>
          </w:p>
        </w:tc>
        <w:tc>
          <w:tcPr>
            <w:tcW w:w="524" w:type="pct"/>
            <w:tcBorders>
              <w:top w:val="single" w:sz="8" w:space="0" w:color="F3CFC1"/>
              <w:left w:val="single" w:sz="8" w:space="0" w:color="D2232A"/>
              <w:bottom w:val="nil"/>
              <w:right w:val="single" w:sz="8" w:space="0" w:color="D2232A"/>
            </w:tcBorders>
            <w:vAlign w:val="center"/>
          </w:tcPr>
          <w:p w14:paraId="529C0D8A" w14:textId="7F313383" w:rsidR="004E6F2C" w:rsidRPr="008A3BCF" w:rsidRDefault="00B277FA" w:rsidP="00F7780F">
            <w:pPr>
              <w:tabs>
                <w:tab w:val="left" w:pos="540"/>
              </w:tabs>
              <w:spacing w:after="0" w:line="240" w:lineRule="auto"/>
              <w:jc w:val="right"/>
              <w:rPr>
                <w:rFonts w:eastAsia="Times New Roman" w:cs="Calibri"/>
                <w:lang w:eastAsia="hr-HR"/>
              </w:rPr>
            </w:pPr>
            <w:r>
              <w:rPr>
                <w:rFonts w:eastAsia="Times New Roman" w:cs="Calibri"/>
                <w:lang w:eastAsia="hr-HR"/>
              </w:rPr>
              <w:t>14,</w:t>
            </w:r>
            <w:r w:rsidR="00A20FCF">
              <w:rPr>
                <w:rFonts w:eastAsia="Times New Roman" w:cs="Calibri"/>
                <w:lang w:eastAsia="hr-HR"/>
              </w:rPr>
              <w:t>99</w:t>
            </w:r>
          </w:p>
        </w:tc>
        <w:tc>
          <w:tcPr>
            <w:tcW w:w="1617" w:type="pct"/>
            <w:tcBorders>
              <w:top w:val="single" w:sz="8" w:space="0" w:color="F3CFC1"/>
              <w:left w:val="single" w:sz="8" w:space="0" w:color="D2232A"/>
              <w:bottom w:val="nil"/>
              <w:right w:val="single" w:sz="8" w:space="0" w:color="D2232A"/>
            </w:tcBorders>
            <w:vAlign w:val="center"/>
          </w:tcPr>
          <w:p w14:paraId="47C036EE" w14:textId="765C25FC" w:rsidR="004E6F2C" w:rsidRPr="008A3BCF" w:rsidRDefault="0045531B" w:rsidP="00F7780F">
            <w:pPr>
              <w:spacing w:after="0" w:line="240" w:lineRule="auto"/>
              <w:jc w:val="right"/>
              <w:rPr>
                <w:rFonts w:eastAsia="Times New Roman" w:cs="Calibri"/>
                <w:lang w:eastAsia="hr-HR"/>
              </w:rPr>
            </w:pPr>
            <w:r>
              <w:rPr>
                <w:rFonts w:eastAsia="Times New Roman" w:cs="Calibri"/>
                <w:lang w:eastAsia="hr-HR"/>
              </w:rPr>
              <w:t>150.</w:t>
            </w:r>
            <w:r w:rsidR="00D7250E">
              <w:rPr>
                <w:rFonts w:eastAsia="Times New Roman" w:cs="Calibri"/>
                <w:lang w:eastAsia="hr-HR"/>
              </w:rPr>
              <w:t>824</w:t>
            </w:r>
          </w:p>
        </w:tc>
        <w:tc>
          <w:tcPr>
            <w:tcW w:w="524" w:type="pct"/>
            <w:tcBorders>
              <w:top w:val="single" w:sz="8" w:space="0" w:color="F3CFC1"/>
              <w:left w:val="single" w:sz="8" w:space="0" w:color="D2232A"/>
              <w:bottom w:val="nil"/>
              <w:right w:val="single" w:sz="8" w:space="0" w:color="D2232A"/>
            </w:tcBorders>
            <w:vAlign w:val="center"/>
          </w:tcPr>
          <w:p w14:paraId="34083376" w14:textId="47CEF3FE" w:rsidR="004E6F2C" w:rsidRPr="008A3BCF" w:rsidRDefault="006F5366" w:rsidP="00F7780F">
            <w:pPr>
              <w:spacing w:after="0" w:line="240" w:lineRule="auto"/>
              <w:jc w:val="right"/>
              <w:rPr>
                <w:rFonts w:eastAsia="Times New Roman" w:cs="Calibri"/>
                <w:lang w:eastAsia="hr-HR"/>
              </w:rPr>
            </w:pPr>
            <w:r>
              <w:rPr>
                <w:rFonts w:eastAsia="Times New Roman" w:cs="Calibri"/>
                <w:lang w:eastAsia="hr-HR"/>
              </w:rPr>
              <w:t>1</w:t>
            </w:r>
            <w:r w:rsidR="00D7250E">
              <w:rPr>
                <w:rFonts w:eastAsia="Times New Roman" w:cs="Calibri"/>
                <w:lang w:eastAsia="hr-HR"/>
              </w:rPr>
              <w:t>7,24</w:t>
            </w:r>
          </w:p>
        </w:tc>
      </w:tr>
    </w:tbl>
    <w:p w14:paraId="5BB37056" w14:textId="3D13D84C" w:rsidR="0078792D" w:rsidRPr="009A05CC" w:rsidRDefault="00722DDE" w:rsidP="0078792D">
      <w:pPr>
        <w:pStyle w:val="Izvor"/>
        <w:rPr>
          <w:i/>
          <w:color w:val="ABABAB" w:themeColor="text1" w:themeTint="A6"/>
          <w:sz w:val="16"/>
          <w:szCs w:val="16"/>
        </w:rPr>
      </w:pPr>
      <w:r w:rsidRPr="009A05CC">
        <w:rPr>
          <w:i/>
          <w:color w:val="ABABAB" w:themeColor="text1" w:themeTint="A6"/>
          <w:sz w:val="16"/>
          <w:szCs w:val="16"/>
        </w:rPr>
        <w:t>Izvor: Hrvatski zavod za zapošljavanje, Statistika On-line: Registrirana nezaposlenost (</w:t>
      </w:r>
      <w:r w:rsidR="00D7250E" w:rsidRPr="009A05CC">
        <w:rPr>
          <w:i/>
          <w:color w:val="ABABAB" w:themeColor="text1" w:themeTint="A6"/>
          <w:sz w:val="16"/>
          <w:szCs w:val="16"/>
        </w:rPr>
        <w:t>veljača</w:t>
      </w:r>
      <w:r w:rsidRPr="009A05CC">
        <w:rPr>
          <w:i/>
          <w:color w:val="ABABAB" w:themeColor="text1" w:themeTint="A6"/>
          <w:sz w:val="16"/>
          <w:szCs w:val="16"/>
        </w:rPr>
        <w:t>, 20</w:t>
      </w:r>
      <w:r w:rsidR="004E6F2C" w:rsidRPr="009A05CC">
        <w:rPr>
          <w:i/>
          <w:color w:val="ABABAB" w:themeColor="text1" w:themeTint="A6"/>
          <w:sz w:val="16"/>
          <w:szCs w:val="16"/>
        </w:rPr>
        <w:t>2</w:t>
      </w:r>
      <w:r w:rsidR="00D7250E" w:rsidRPr="009A05CC">
        <w:rPr>
          <w:i/>
          <w:color w:val="ABABAB" w:themeColor="text1" w:themeTint="A6"/>
          <w:sz w:val="16"/>
          <w:szCs w:val="16"/>
        </w:rPr>
        <w:t>1</w:t>
      </w:r>
      <w:r w:rsidRPr="009A05CC">
        <w:rPr>
          <w:i/>
          <w:color w:val="ABABAB" w:themeColor="text1" w:themeTint="A6"/>
          <w:sz w:val="16"/>
          <w:szCs w:val="16"/>
        </w:rPr>
        <w:t>.)</w:t>
      </w:r>
    </w:p>
    <w:p w14:paraId="187E0CBF" w14:textId="77777777" w:rsidR="00F7780F" w:rsidRDefault="00F7780F" w:rsidP="00A20FCF">
      <w:pPr>
        <w:spacing w:after="0"/>
        <w:rPr>
          <w:szCs w:val="18"/>
        </w:rPr>
      </w:pPr>
    </w:p>
    <w:p w14:paraId="14313C1E" w14:textId="6918FE0D" w:rsidR="00722DDE" w:rsidRDefault="00722DDE" w:rsidP="00722DDE">
      <w:r>
        <w:t>Prosječni broj</w:t>
      </w:r>
      <w:r w:rsidRPr="00B41FDA">
        <w:t xml:space="preserve"> nezaposlenih osoba s obzirom na razinu obrazovanja u</w:t>
      </w:r>
      <w:r w:rsidR="0045531B">
        <w:t xml:space="preserve"> razdoblju </w:t>
      </w:r>
      <w:r w:rsidR="00D9619E">
        <w:t xml:space="preserve">tijekom </w:t>
      </w:r>
      <w:r w:rsidRPr="00B41FDA">
        <w:t>20</w:t>
      </w:r>
      <w:r w:rsidR="0045531B">
        <w:t>20</w:t>
      </w:r>
      <w:r w:rsidRPr="00B41FDA">
        <w:t>. godin</w:t>
      </w:r>
      <w:r w:rsidR="0045531B">
        <w:t>e</w:t>
      </w:r>
      <w:r w:rsidRPr="00B41FDA">
        <w:t xml:space="preserve"> (ukupno 2.</w:t>
      </w:r>
      <w:r w:rsidR="00D9619E">
        <w:t>670</w:t>
      </w:r>
      <w:r w:rsidRPr="00B41FDA">
        <w:t xml:space="preserve"> evidentiranih osoba) pokazuje da je najviše nezaposlenih osoba završilo trogodišnju srednju školu ili školu za KV i VKV radnike (</w:t>
      </w:r>
      <w:r w:rsidR="00661337">
        <w:t>90</w:t>
      </w:r>
      <w:r w:rsidR="00D9619E">
        <w:t>9</w:t>
      </w:r>
      <w:r w:rsidRPr="00B41FDA">
        <w:t xml:space="preserve"> osoba, odnosno 3</w:t>
      </w:r>
      <w:r w:rsidR="00661337">
        <w:t>4</w:t>
      </w:r>
      <w:r w:rsidRPr="00B41FDA">
        <w:t>%)</w:t>
      </w:r>
      <w:r>
        <w:t>. S</w:t>
      </w:r>
      <w:r w:rsidRPr="00B41FDA">
        <w:t>lijede osobe sa završenom četverogodišnjom srednjom školom (</w:t>
      </w:r>
      <w:r w:rsidR="00D9619E">
        <w:t>746</w:t>
      </w:r>
      <w:r w:rsidRPr="00B41FDA">
        <w:t xml:space="preserve"> osobe, odnosno 2</w:t>
      </w:r>
      <w:r w:rsidR="00D9619E">
        <w:t>8</w:t>
      </w:r>
      <w:r w:rsidRPr="00B41FDA">
        <w:t>%) te osobe sa završenom osnovnom školom (</w:t>
      </w:r>
      <w:r w:rsidR="00661337">
        <w:t>5</w:t>
      </w:r>
      <w:r w:rsidR="00D9619E">
        <w:t>57</w:t>
      </w:r>
      <w:r w:rsidRPr="00B41FDA">
        <w:t xml:space="preserve"> osoba, odnosno 2</w:t>
      </w:r>
      <w:r w:rsidR="00D9619E">
        <w:t>1</w:t>
      </w:r>
      <w:r w:rsidRPr="00B41FDA">
        <w:t>%). Iako je prisutan trend smanjenja prosječnog broja nezaposlenih osoba sa završenim prvim stupnjem fakulteta, stručnim studijem ili višom školom (</w:t>
      </w:r>
      <w:r w:rsidR="004B4E65">
        <w:t>16</w:t>
      </w:r>
      <w:r w:rsidR="00D9619E">
        <w:t>7</w:t>
      </w:r>
      <w:r w:rsidRPr="00B41FDA">
        <w:t xml:space="preserve"> osoba ili 6,</w:t>
      </w:r>
      <w:r w:rsidR="004B4E65">
        <w:t>2</w:t>
      </w:r>
      <w:r w:rsidR="00D9619E">
        <w:t>5</w:t>
      </w:r>
      <w:r w:rsidRPr="00B41FDA">
        <w:t>%) te završenim fakultetom, akademijom, magisterijem ili doktoratom (17</w:t>
      </w:r>
      <w:r w:rsidR="00D9619E">
        <w:t>7</w:t>
      </w:r>
      <w:r w:rsidRPr="00B41FDA">
        <w:t xml:space="preserve"> osoba ili 6,</w:t>
      </w:r>
      <w:r w:rsidR="00D9619E">
        <w:t>63</w:t>
      </w:r>
      <w:r w:rsidRPr="00B41FDA">
        <w:t xml:space="preserve">%), prema evidenciji </w:t>
      </w:r>
      <w:r w:rsidR="00BC0C51">
        <w:t xml:space="preserve">u 2020. godini, njihov </w:t>
      </w:r>
      <w:r w:rsidRPr="00B41FDA">
        <w:t>broj v</w:t>
      </w:r>
      <w:r w:rsidR="00BC0C51">
        <w:t xml:space="preserve">eći je od broja nezaposlenih </w:t>
      </w:r>
      <w:r w:rsidRPr="00B41FDA">
        <w:t>osoba bez škole i s nezavršenom osnovnom školom (1</w:t>
      </w:r>
      <w:r w:rsidR="00BC0C51">
        <w:t>13</w:t>
      </w:r>
      <w:r w:rsidRPr="00B41FDA">
        <w:t xml:space="preserve"> ili </w:t>
      </w:r>
      <w:r w:rsidR="00BC0C51">
        <w:t>4</w:t>
      </w:r>
      <w:r w:rsidR="00D9619E">
        <w:t>,23</w:t>
      </w:r>
      <w:r w:rsidRPr="00B41FDA">
        <w:t>%).</w:t>
      </w:r>
    </w:p>
    <w:p w14:paraId="7ED727FD" w14:textId="77777777" w:rsidR="009A05CC" w:rsidRDefault="009A05CC" w:rsidP="00722DDE"/>
    <w:p w14:paraId="3FDC1886" w14:textId="587540DE" w:rsidR="00722DDE" w:rsidRDefault="00722DDE" w:rsidP="003E3F3C">
      <w:pPr>
        <w:pStyle w:val="Opisslike"/>
      </w:pPr>
      <w:r>
        <w:t xml:space="preserve">Grafikon </w:t>
      </w:r>
      <w:r w:rsidR="00C23D30">
        <w:rPr>
          <w:noProof/>
        </w:rPr>
        <w:t>3</w:t>
      </w:r>
      <w:r w:rsidR="00CF4B96">
        <w:rPr>
          <w:noProof/>
        </w:rPr>
        <w:t>3</w:t>
      </w:r>
      <w:r>
        <w:rPr>
          <w:noProof/>
        </w:rPr>
        <w:t>.</w:t>
      </w:r>
      <w:r>
        <w:t xml:space="preserve"> Nezaposlene osobe Krapinsko-zagorske županije prema razini obrazovanja (2015.-20</w:t>
      </w:r>
      <w:r w:rsidR="004B4E65">
        <w:t>20</w:t>
      </w:r>
      <w:r>
        <w:t>.)</w:t>
      </w:r>
    </w:p>
    <w:p w14:paraId="79A5AD69" w14:textId="41856C95" w:rsidR="00722DDE" w:rsidRDefault="00233DBE" w:rsidP="00233DBE">
      <w:pPr>
        <w:spacing w:after="0"/>
        <w:jc w:val="left"/>
        <w:rPr>
          <w:sz w:val="22"/>
          <w:szCs w:val="22"/>
        </w:rPr>
      </w:pPr>
      <w:r>
        <w:rPr>
          <w:noProof/>
        </w:rPr>
        <w:drawing>
          <wp:inline distT="0" distB="0" distL="0" distR="0" wp14:anchorId="36A36579" wp14:editId="47FF2524">
            <wp:extent cx="5897880" cy="3032760"/>
            <wp:effectExtent l="0" t="0" r="7620" b="15240"/>
            <wp:docPr id="51" name="Grafikon 51">
              <a:extLst xmlns:a="http://schemas.openxmlformats.org/drawingml/2006/main">
                <a:ext uri="{FF2B5EF4-FFF2-40B4-BE49-F238E27FC236}">
                  <a16:creationId xmlns:a16="http://schemas.microsoft.com/office/drawing/2014/main" id="{9DDAF849-D7E9-40D0-AD99-9A6B0A4BA1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3FA8217" w14:textId="3D8E057B" w:rsidR="00722DDE" w:rsidRPr="009A05CC" w:rsidRDefault="00722DDE" w:rsidP="003C2276">
      <w:pPr>
        <w:pStyle w:val="Izvor"/>
        <w:rPr>
          <w:i/>
          <w:color w:val="ABABAB" w:themeColor="text1" w:themeTint="A6"/>
          <w:sz w:val="16"/>
          <w:szCs w:val="16"/>
        </w:rPr>
      </w:pPr>
      <w:r w:rsidRPr="009A05CC">
        <w:rPr>
          <w:i/>
          <w:color w:val="ABABAB" w:themeColor="text1" w:themeTint="A6"/>
          <w:sz w:val="16"/>
          <w:szCs w:val="16"/>
        </w:rPr>
        <w:t>Izvor: Hrvatski zavod za zapošljavanje, Statistika On-line: Registrirana nezaposlenost (</w:t>
      </w:r>
      <w:r w:rsidR="00233DBE" w:rsidRPr="009A05CC">
        <w:rPr>
          <w:i/>
          <w:color w:val="ABABAB" w:themeColor="text1" w:themeTint="A6"/>
          <w:sz w:val="16"/>
          <w:szCs w:val="16"/>
        </w:rPr>
        <w:t>veljača</w:t>
      </w:r>
      <w:r w:rsidRPr="009A05CC">
        <w:rPr>
          <w:i/>
          <w:color w:val="ABABAB" w:themeColor="text1" w:themeTint="A6"/>
          <w:sz w:val="16"/>
          <w:szCs w:val="16"/>
        </w:rPr>
        <w:t>, 20</w:t>
      </w:r>
      <w:r w:rsidR="004B4E65" w:rsidRPr="009A05CC">
        <w:rPr>
          <w:i/>
          <w:color w:val="ABABAB" w:themeColor="text1" w:themeTint="A6"/>
          <w:sz w:val="16"/>
          <w:szCs w:val="16"/>
        </w:rPr>
        <w:t>2</w:t>
      </w:r>
      <w:r w:rsidR="00233DBE" w:rsidRPr="009A05CC">
        <w:rPr>
          <w:i/>
          <w:color w:val="ABABAB" w:themeColor="text1" w:themeTint="A6"/>
          <w:sz w:val="16"/>
          <w:szCs w:val="16"/>
        </w:rPr>
        <w:t>1</w:t>
      </w:r>
      <w:r w:rsidRPr="009A05CC">
        <w:rPr>
          <w:i/>
          <w:color w:val="ABABAB" w:themeColor="text1" w:themeTint="A6"/>
          <w:sz w:val="16"/>
          <w:szCs w:val="16"/>
        </w:rPr>
        <w:t>.)</w:t>
      </w:r>
    </w:p>
    <w:p w14:paraId="1C5D8A65" w14:textId="77777777" w:rsidR="00722DDE" w:rsidRDefault="00722DDE" w:rsidP="00722DDE">
      <w:pPr>
        <w:rPr>
          <w:sz w:val="22"/>
          <w:szCs w:val="22"/>
        </w:rPr>
      </w:pPr>
    </w:p>
    <w:p w14:paraId="4B92F698" w14:textId="63EA2856" w:rsidR="00722DDE" w:rsidRDefault="00722DDE" w:rsidP="00722DDE">
      <w:r w:rsidRPr="00B41FDA">
        <w:t>Promatrajući nezaposlenost prema razini obrazovanja, nezaposlenost u Krapinsko-zagorskoj županiji prati trendove na razini Republike Hrvatske. Kao i u županiji, na nacionalnoj razini najveći je udio nezaposlenih osoba sa srednjoškolskim zanimanjima do 3 godine te škola za KV i VKV radnike (46.</w:t>
      </w:r>
      <w:r w:rsidR="006F6F8F">
        <w:t>322</w:t>
      </w:r>
      <w:r w:rsidRPr="00B41FDA">
        <w:t xml:space="preserve"> evidentiranih osoba, odnosno 30</w:t>
      </w:r>
      <w:r w:rsidR="004B0538">
        <w:t>,</w:t>
      </w:r>
      <w:r w:rsidR="006F6F8F">
        <w:t>71</w:t>
      </w:r>
      <w:r w:rsidRPr="00B41FDA">
        <w:t>%), ali i osoba sa završenom četverogodišnjom školom (4</w:t>
      </w:r>
      <w:r w:rsidR="004B0538">
        <w:t>4</w:t>
      </w:r>
      <w:r w:rsidRPr="00B41FDA">
        <w:t>.</w:t>
      </w:r>
      <w:r w:rsidR="006F6F8F">
        <w:t>574</w:t>
      </w:r>
      <w:r w:rsidRPr="00B41FDA">
        <w:t xml:space="preserve"> osoba ili 2</w:t>
      </w:r>
      <w:r w:rsidR="004B0538">
        <w:t>9,</w:t>
      </w:r>
      <w:r w:rsidR="006F6F8F">
        <w:t>55</w:t>
      </w:r>
      <w:r w:rsidRPr="00B41FDA">
        <w:t>%) te osoba sa završenom osnovnom školom (</w:t>
      </w:r>
      <w:r w:rsidR="004B0538">
        <w:t>27.</w:t>
      </w:r>
      <w:r w:rsidR="006F6F8F">
        <w:t>134</w:t>
      </w:r>
      <w:r w:rsidRPr="00B41FDA">
        <w:t xml:space="preserve"> osoba ili </w:t>
      </w:r>
      <w:r w:rsidR="004B0538">
        <w:t>1</w:t>
      </w:r>
      <w:r w:rsidR="006F6F8F">
        <w:t>7,99</w:t>
      </w:r>
      <w:r w:rsidRPr="00B41FDA">
        <w:t>%).</w:t>
      </w:r>
      <w:r>
        <w:t xml:space="preserve"> Prosječan broj evidentiranih nezaposlenih osoba Krapinsko-zagorske županije u promatranom razdoblju od 2015. do 20</w:t>
      </w:r>
      <w:r w:rsidR="004B0538">
        <w:t>20</w:t>
      </w:r>
      <w:r>
        <w:t>. godine zauzima udio od 16% broja ukupno nezaposlenih osoba na području Sjeverne Hrvatske.</w:t>
      </w:r>
    </w:p>
    <w:p w14:paraId="291A502C" w14:textId="71827528" w:rsidR="005C6021" w:rsidRDefault="005C6021">
      <w:pPr>
        <w:jc w:val="left"/>
      </w:pPr>
      <w:r>
        <w:br w:type="page"/>
      </w:r>
    </w:p>
    <w:p w14:paraId="11A4F974" w14:textId="77777777" w:rsidR="005C6021" w:rsidRDefault="005C6021" w:rsidP="00722DDE">
      <w:pPr>
        <w:sectPr w:rsidR="005C6021" w:rsidSect="005514E8">
          <w:footerReference w:type="default" r:id="rId74"/>
          <w:pgSz w:w="11900" w:h="16840"/>
          <w:pgMar w:top="1340" w:right="1300" w:bottom="280" w:left="1300" w:header="0" w:footer="1006" w:gutter="0"/>
          <w:pgNumType w:start="1"/>
          <w:cols w:space="720"/>
        </w:sectPr>
      </w:pPr>
    </w:p>
    <w:p w14:paraId="6689B99A" w14:textId="7059FC1D" w:rsidR="00FE2F06" w:rsidRDefault="00722DDE" w:rsidP="003E3F3C">
      <w:pPr>
        <w:pStyle w:val="Opisslike"/>
      </w:pPr>
      <w:r>
        <w:lastRenderedPageBreak/>
        <w:t xml:space="preserve">Tablica </w:t>
      </w:r>
      <w:r w:rsidR="00C23D30">
        <w:rPr>
          <w:noProof/>
        </w:rPr>
        <w:t>6</w:t>
      </w:r>
      <w:r w:rsidR="000D5E3F">
        <w:rPr>
          <w:noProof/>
        </w:rPr>
        <w:t>6</w:t>
      </w:r>
      <w:r>
        <w:rPr>
          <w:noProof/>
        </w:rPr>
        <w:t>.</w:t>
      </w:r>
      <w:r>
        <w:t xml:space="preserve"> </w:t>
      </w:r>
      <w:r w:rsidRPr="00A73C4D">
        <w:t xml:space="preserve">Nezaposlene osobe prema razini obrazovanja, Krapinsko-zagorska županija, </w:t>
      </w:r>
      <w:r>
        <w:t>Sjeverna</w:t>
      </w:r>
      <w:r w:rsidRPr="00A73C4D">
        <w:t xml:space="preserve"> Hrvatska i Republika Hrvatska (2015.-20</w:t>
      </w:r>
      <w:r w:rsidR="004B0538">
        <w:t>20</w:t>
      </w:r>
      <w:r w:rsidRPr="00A73C4D">
        <w:t>.)</w:t>
      </w:r>
    </w:p>
    <w:tbl>
      <w:tblPr>
        <w:tblStyle w:val="Svijetlatablicareetke-isticanje1"/>
        <w:tblW w:w="15361" w:type="dxa"/>
        <w:tblLook w:val="04A0" w:firstRow="1" w:lastRow="0" w:firstColumn="1" w:lastColumn="0" w:noHBand="0" w:noVBand="1"/>
      </w:tblPr>
      <w:tblGrid>
        <w:gridCol w:w="1266"/>
        <w:gridCol w:w="687"/>
        <w:gridCol w:w="782"/>
        <w:gridCol w:w="916"/>
        <w:gridCol w:w="667"/>
        <w:gridCol w:w="799"/>
        <w:gridCol w:w="890"/>
        <w:gridCol w:w="691"/>
        <w:gridCol w:w="792"/>
        <w:gridCol w:w="875"/>
        <w:gridCol w:w="676"/>
        <w:gridCol w:w="758"/>
        <w:gridCol w:w="871"/>
        <w:gridCol w:w="681"/>
        <w:gridCol w:w="769"/>
        <w:gridCol w:w="893"/>
        <w:gridCol w:w="687"/>
        <w:gridCol w:w="775"/>
        <w:gridCol w:w="886"/>
      </w:tblGrid>
      <w:tr w:rsidR="00FE2F06" w:rsidRPr="00FE2F06" w14:paraId="5782B9C5" w14:textId="77777777" w:rsidTr="00FE2F06">
        <w:trPr>
          <w:cnfStyle w:val="100000000000" w:firstRow="1" w:lastRow="0" w:firstColumn="0" w:lastColumn="0" w:oddVBand="0" w:evenVBand="0" w:oddHBand="0"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266" w:type="dxa"/>
            <w:vMerge w:val="restart"/>
            <w:tcBorders>
              <w:top w:val="single" w:sz="4" w:space="0" w:color="FFFFFF" w:themeColor="background1"/>
            </w:tcBorders>
            <w:shd w:val="clear" w:color="auto" w:fill="DE3C43" w:themeFill="accent6" w:themeFillShade="BF"/>
            <w:vAlign w:val="center"/>
            <w:hideMark/>
          </w:tcPr>
          <w:p w14:paraId="2F3E845D" w14:textId="66C12077" w:rsidR="00FE2F06" w:rsidRPr="00FE2F06" w:rsidRDefault="00FE2F06" w:rsidP="00FE2F06">
            <w:pPr>
              <w:rPr>
                <w:iCs/>
                <w:color w:val="FFFFFF" w:themeColor="background1"/>
              </w:rPr>
            </w:pPr>
            <w:r w:rsidRPr="00FE2F06">
              <w:rPr>
                <w:rFonts w:eastAsia="Times New Roman" w:cs="Calibri"/>
                <w:color w:val="FFFFFF" w:themeColor="background1"/>
                <w:lang w:eastAsia="hr-HR"/>
              </w:rPr>
              <w:t>Razina obrazovanja</w:t>
            </w:r>
          </w:p>
        </w:tc>
        <w:tc>
          <w:tcPr>
            <w:tcW w:w="2385" w:type="dxa"/>
            <w:gridSpan w:val="3"/>
            <w:tcBorders>
              <w:top w:val="single" w:sz="4" w:space="0" w:color="FFFFFF" w:themeColor="background1"/>
              <w:bottom w:val="single" w:sz="4" w:space="0" w:color="FFFFFF" w:themeColor="background1"/>
              <w:right w:val="single" w:sz="4" w:space="0" w:color="FFFFFF" w:themeColor="background1"/>
            </w:tcBorders>
            <w:shd w:val="clear" w:color="auto" w:fill="8F8F8F" w:themeFill="text2" w:themeFillTint="80"/>
            <w:noWrap/>
            <w:hideMark/>
          </w:tcPr>
          <w:p w14:paraId="0C68A4E7" w14:textId="77777777" w:rsidR="00FE2F06" w:rsidRPr="00FE2F06" w:rsidRDefault="00FE2F06" w:rsidP="003E3F3C">
            <w:pPr>
              <w:pStyle w:val="Opisslike"/>
              <w:cnfStyle w:val="100000000000" w:firstRow="1" w:lastRow="0" w:firstColumn="0" w:lastColumn="0" w:oddVBand="0" w:evenVBand="0" w:oddHBand="0" w:evenHBand="0" w:firstRowFirstColumn="0" w:firstRowLastColumn="0" w:lastRowFirstColumn="0" w:lastRowLastColumn="0"/>
              <w:rPr>
                <w:bCs/>
              </w:rPr>
            </w:pPr>
            <w:r w:rsidRPr="00FE2F06">
              <w:rPr>
                <w:bCs/>
              </w:rPr>
              <w:t>2015.</w:t>
            </w:r>
          </w:p>
        </w:tc>
        <w:tc>
          <w:tcPr>
            <w:tcW w:w="2356"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258ADF7A" w14:textId="77777777" w:rsidR="00FE2F06" w:rsidRPr="00FE2F06" w:rsidRDefault="00FE2F06" w:rsidP="003E3F3C">
            <w:pPr>
              <w:pStyle w:val="Opisslike"/>
              <w:cnfStyle w:val="100000000000" w:firstRow="1" w:lastRow="0" w:firstColumn="0" w:lastColumn="0" w:oddVBand="0" w:evenVBand="0" w:oddHBand="0" w:evenHBand="0" w:firstRowFirstColumn="0" w:firstRowLastColumn="0" w:lastRowFirstColumn="0" w:lastRowLastColumn="0"/>
              <w:rPr>
                <w:bCs/>
              </w:rPr>
            </w:pPr>
            <w:r w:rsidRPr="00FE2F06">
              <w:rPr>
                <w:bCs/>
              </w:rPr>
              <w:t>2016.</w:t>
            </w:r>
          </w:p>
        </w:tc>
        <w:tc>
          <w:tcPr>
            <w:tcW w:w="2358"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5BAC0F94" w14:textId="77777777" w:rsidR="00FE2F06" w:rsidRPr="00FE2F06" w:rsidRDefault="00FE2F06" w:rsidP="003E3F3C">
            <w:pPr>
              <w:pStyle w:val="Opisslike"/>
              <w:cnfStyle w:val="100000000000" w:firstRow="1" w:lastRow="0" w:firstColumn="0" w:lastColumn="0" w:oddVBand="0" w:evenVBand="0" w:oddHBand="0" w:evenHBand="0" w:firstRowFirstColumn="0" w:firstRowLastColumn="0" w:lastRowFirstColumn="0" w:lastRowLastColumn="0"/>
              <w:rPr>
                <w:bCs/>
              </w:rPr>
            </w:pPr>
            <w:r w:rsidRPr="00FE2F06">
              <w:rPr>
                <w:bCs/>
              </w:rPr>
              <w:t>2017.</w:t>
            </w:r>
          </w:p>
        </w:tc>
        <w:tc>
          <w:tcPr>
            <w:tcW w:w="2305"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72DE8CCF" w14:textId="77777777" w:rsidR="00FE2F06" w:rsidRPr="00FE2F06" w:rsidRDefault="00FE2F06" w:rsidP="003E3F3C">
            <w:pPr>
              <w:pStyle w:val="Opisslike"/>
              <w:cnfStyle w:val="100000000000" w:firstRow="1" w:lastRow="0" w:firstColumn="0" w:lastColumn="0" w:oddVBand="0" w:evenVBand="0" w:oddHBand="0" w:evenHBand="0" w:firstRowFirstColumn="0" w:firstRowLastColumn="0" w:lastRowFirstColumn="0" w:lastRowLastColumn="0"/>
              <w:rPr>
                <w:bCs/>
              </w:rPr>
            </w:pPr>
            <w:r w:rsidRPr="00FE2F06">
              <w:rPr>
                <w:bCs/>
              </w:rPr>
              <w:t>2018.</w:t>
            </w:r>
          </w:p>
        </w:tc>
        <w:tc>
          <w:tcPr>
            <w:tcW w:w="2343"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5ECCDE8D" w14:textId="77777777" w:rsidR="00FE2F06" w:rsidRPr="00FE2F06" w:rsidRDefault="00FE2F06" w:rsidP="003E3F3C">
            <w:pPr>
              <w:pStyle w:val="Opisslike"/>
              <w:cnfStyle w:val="100000000000" w:firstRow="1" w:lastRow="0" w:firstColumn="0" w:lastColumn="0" w:oddVBand="0" w:evenVBand="0" w:oddHBand="0" w:evenHBand="0" w:firstRowFirstColumn="0" w:firstRowLastColumn="0" w:lastRowFirstColumn="0" w:lastRowLastColumn="0"/>
              <w:rPr>
                <w:bCs/>
              </w:rPr>
            </w:pPr>
            <w:r w:rsidRPr="00FE2F06">
              <w:rPr>
                <w:bCs/>
              </w:rPr>
              <w:t>2019.</w:t>
            </w:r>
          </w:p>
        </w:tc>
        <w:tc>
          <w:tcPr>
            <w:tcW w:w="2348" w:type="dxa"/>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7482C314" w14:textId="77777777" w:rsidR="00FE2F06" w:rsidRPr="00FE2F06" w:rsidRDefault="00FE2F06" w:rsidP="003E3F3C">
            <w:pPr>
              <w:pStyle w:val="Opisslike"/>
              <w:cnfStyle w:val="100000000000" w:firstRow="1" w:lastRow="0" w:firstColumn="0" w:lastColumn="0" w:oddVBand="0" w:evenVBand="0" w:oddHBand="0" w:evenHBand="0" w:firstRowFirstColumn="0" w:firstRowLastColumn="0" w:lastRowFirstColumn="0" w:lastRowLastColumn="0"/>
              <w:rPr>
                <w:bCs/>
              </w:rPr>
            </w:pPr>
            <w:r w:rsidRPr="00FE2F06">
              <w:rPr>
                <w:bCs/>
              </w:rPr>
              <w:t>2020</w:t>
            </w:r>
          </w:p>
        </w:tc>
      </w:tr>
      <w:tr w:rsidR="00E86EBF" w:rsidRPr="00FE2F06" w14:paraId="28D9C95A" w14:textId="77777777" w:rsidTr="00FE2F06">
        <w:trPr>
          <w:trHeight w:val="289"/>
        </w:trPr>
        <w:tc>
          <w:tcPr>
            <w:cnfStyle w:val="001000000000" w:firstRow="0" w:lastRow="0" w:firstColumn="1" w:lastColumn="0" w:oddVBand="0" w:evenVBand="0" w:oddHBand="0" w:evenHBand="0" w:firstRowFirstColumn="0" w:firstRowLastColumn="0" w:lastRowFirstColumn="0" w:lastRowLastColumn="0"/>
            <w:tcW w:w="1266" w:type="dxa"/>
            <w:vMerge/>
            <w:tcBorders>
              <w:bottom w:val="single" w:sz="4" w:space="0" w:color="FFFFFF" w:themeColor="background1"/>
            </w:tcBorders>
            <w:shd w:val="clear" w:color="auto" w:fill="DE3C43" w:themeFill="accent6" w:themeFillShade="BF"/>
            <w:hideMark/>
          </w:tcPr>
          <w:p w14:paraId="4D1D9CCC" w14:textId="77777777" w:rsidR="00FE2F06" w:rsidRPr="00FE2F06" w:rsidRDefault="00FE2F06" w:rsidP="003E3F3C">
            <w:pPr>
              <w:pStyle w:val="Opisslike"/>
              <w:rPr>
                <w:bCs/>
              </w:rPr>
            </w:pPr>
          </w:p>
        </w:tc>
        <w:tc>
          <w:tcPr>
            <w:tcW w:w="687" w:type="dxa"/>
            <w:tcBorders>
              <w:top w:val="single" w:sz="4" w:space="0" w:color="FFFFFF" w:themeColor="background1"/>
              <w:bottom w:val="single" w:sz="4" w:space="0" w:color="FFFFFF" w:themeColor="background1"/>
              <w:right w:val="single" w:sz="4" w:space="0" w:color="FFFFFF" w:themeColor="background1"/>
            </w:tcBorders>
            <w:shd w:val="clear" w:color="auto" w:fill="8F8F8F" w:themeFill="text2" w:themeFillTint="80"/>
            <w:noWrap/>
            <w:hideMark/>
          </w:tcPr>
          <w:p w14:paraId="04151CF9"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KZŽ</w:t>
            </w:r>
          </w:p>
        </w:tc>
        <w:tc>
          <w:tcPr>
            <w:tcW w:w="78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39052E49"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SH</w:t>
            </w:r>
          </w:p>
        </w:tc>
        <w:tc>
          <w:tcPr>
            <w:tcW w:w="91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16CD785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RH</w:t>
            </w:r>
          </w:p>
        </w:tc>
        <w:tc>
          <w:tcPr>
            <w:tcW w:w="6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noWrap/>
            <w:hideMark/>
          </w:tcPr>
          <w:p w14:paraId="638E88E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KZŽ</w:t>
            </w:r>
          </w:p>
        </w:tc>
        <w:tc>
          <w:tcPr>
            <w:tcW w:w="79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6E27FEC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SH</w:t>
            </w:r>
          </w:p>
        </w:tc>
        <w:tc>
          <w:tcPr>
            <w:tcW w:w="89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0F6717B4"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RH</w:t>
            </w:r>
          </w:p>
        </w:tc>
        <w:tc>
          <w:tcPr>
            <w:tcW w:w="69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noWrap/>
            <w:hideMark/>
          </w:tcPr>
          <w:p w14:paraId="01051967"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KZŽ</w:t>
            </w:r>
          </w:p>
        </w:tc>
        <w:tc>
          <w:tcPr>
            <w:tcW w:w="7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3BAC430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SH</w:t>
            </w:r>
          </w:p>
        </w:tc>
        <w:tc>
          <w:tcPr>
            <w:tcW w:w="8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5A956A9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RH</w:t>
            </w:r>
          </w:p>
        </w:tc>
        <w:tc>
          <w:tcPr>
            <w:tcW w:w="6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noWrap/>
            <w:hideMark/>
          </w:tcPr>
          <w:p w14:paraId="31272DD9"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KZŽ</w:t>
            </w:r>
          </w:p>
        </w:tc>
        <w:tc>
          <w:tcPr>
            <w:tcW w:w="75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4716B57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SH</w:t>
            </w:r>
          </w:p>
        </w:tc>
        <w:tc>
          <w:tcPr>
            <w:tcW w:w="8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4D3DB6E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RH</w:t>
            </w:r>
          </w:p>
        </w:tc>
        <w:tc>
          <w:tcPr>
            <w:tcW w:w="68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noWrap/>
            <w:hideMark/>
          </w:tcPr>
          <w:p w14:paraId="539EC017"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KZŽ</w:t>
            </w:r>
          </w:p>
        </w:tc>
        <w:tc>
          <w:tcPr>
            <w:tcW w:w="76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noWrap/>
            <w:hideMark/>
          </w:tcPr>
          <w:p w14:paraId="0C3C1C15"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SH</w:t>
            </w:r>
          </w:p>
        </w:tc>
        <w:tc>
          <w:tcPr>
            <w:tcW w:w="89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noWrap/>
            <w:hideMark/>
          </w:tcPr>
          <w:p w14:paraId="790E106A"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RH</w:t>
            </w:r>
          </w:p>
        </w:tc>
        <w:tc>
          <w:tcPr>
            <w:tcW w:w="68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2B98BAF4"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KZŽ</w:t>
            </w:r>
          </w:p>
        </w:tc>
        <w:tc>
          <w:tcPr>
            <w:tcW w:w="7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1D48F3A4"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SH</w:t>
            </w:r>
          </w:p>
        </w:tc>
        <w:tc>
          <w:tcPr>
            <w:tcW w:w="8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8F8F8F" w:themeFill="text2" w:themeFillTint="80"/>
            <w:hideMark/>
          </w:tcPr>
          <w:p w14:paraId="12B79B9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RH</w:t>
            </w:r>
          </w:p>
        </w:tc>
      </w:tr>
      <w:tr w:rsidR="00FE2F06" w:rsidRPr="00FE2F06" w14:paraId="509B1AA3" w14:textId="77777777" w:rsidTr="00FE2F06">
        <w:trPr>
          <w:trHeight w:val="506"/>
        </w:trPr>
        <w:tc>
          <w:tcPr>
            <w:cnfStyle w:val="001000000000" w:firstRow="0" w:lastRow="0" w:firstColumn="1" w:lastColumn="0" w:oddVBand="0" w:evenVBand="0" w:oddHBand="0" w:evenHBand="0" w:firstRowFirstColumn="0" w:firstRowLastColumn="0" w:lastRowFirstColumn="0" w:lastRowLastColumn="0"/>
            <w:tcW w:w="1266" w:type="dxa"/>
            <w:shd w:val="clear" w:color="auto" w:fill="DE3C43" w:themeFill="accent6" w:themeFillShade="BF"/>
            <w:vAlign w:val="center"/>
            <w:hideMark/>
          </w:tcPr>
          <w:p w14:paraId="460E4A13" w14:textId="77777777" w:rsidR="00FE2F06" w:rsidRPr="00FE2F06" w:rsidRDefault="00FE2F06" w:rsidP="00FE2F06">
            <w:pPr>
              <w:jc w:val="center"/>
              <w:rPr>
                <w:iCs/>
                <w:color w:val="FFFFFF" w:themeColor="background1"/>
              </w:rPr>
            </w:pPr>
            <w:r w:rsidRPr="00FE2F06">
              <w:rPr>
                <w:rFonts w:eastAsia="Times New Roman" w:cs="Calibri"/>
                <w:color w:val="FFFFFF" w:themeColor="background1"/>
                <w:lang w:eastAsia="hr-HR"/>
              </w:rPr>
              <w:t>Bez škole i nezavršena OŠ</w:t>
            </w:r>
          </w:p>
        </w:tc>
        <w:tc>
          <w:tcPr>
            <w:tcW w:w="687" w:type="dxa"/>
            <w:noWrap/>
            <w:vAlign w:val="center"/>
            <w:hideMark/>
          </w:tcPr>
          <w:p w14:paraId="2D3CA693"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421</w:t>
            </w:r>
          </w:p>
        </w:tc>
        <w:tc>
          <w:tcPr>
            <w:tcW w:w="782" w:type="dxa"/>
            <w:noWrap/>
            <w:vAlign w:val="center"/>
            <w:hideMark/>
          </w:tcPr>
          <w:p w14:paraId="0ACF2FEB"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3.037</w:t>
            </w:r>
          </w:p>
        </w:tc>
        <w:tc>
          <w:tcPr>
            <w:tcW w:w="914" w:type="dxa"/>
            <w:noWrap/>
            <w:vAlign w:val="center"/>
            <w:hideMark/>
          </w:tcPr>
          <w:p w14:paraId="496E0E0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15.664</w:t>
            </w:r>
          </w:p>
        </w:tc>
        <w:tc>
          <w:tcPr>
            <w:tcW w:w="667" w:type="dxa"/>
            <w:noWrap/>
            <w:vAlign w:val="center"/>
            <w:hideMark/>
          </w:tcPr>
          <w:p w14:paraId="1E1D2392"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332</w:t>
            </w:r>
          </w:p>
        </w:tc>
        <w:tc>
          <w:tcPr>
            <w:tcW w:w="799" w:type="dxa"/>
            <w:noWrap/>
            <w:vAlign w:val="center"/>
            <w:hideMark/>
          </w:tcPr>
          <w:p w14:paraId="5EEA69A2"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2.726</w:t>
            </w:r>
          </w:p>
        </w:tc>
        <w:tc>
          <w:tcPr>
            <w:tcW w:w="890" w:type="dxa"/>
            <w:noWrap/>
            <w:vAlign w:val="center"/>
            <w:hideMark/>
          </w:tcPr>
          <w:p w14:paraId="61E364A2"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14.154</w:t>
            </w:r>
          </w:p>
        </w:tc>
        <w:tc>
          <w:tcPr>
            <w:tcW w:w="691" w:type="dxa"/>
            <w:noWrap/>
            <w:vAlign w:val="center"/>
            <w:hideMark/>
          </w:tcPr>
          <w:p w14:paraId="6B98938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225</w:t>
            </w:r>
          </w:p>
        </w:tc>
        <w:tc>
          <w:tcPr>
            <w:tcW w:w="792" w:type="dxa"/>
            <w:noWrap/>
            <w:vAlign w:val="center"/>
            <w:hideMark/>
          </w:tcPr>
          <w:p w14:paraId="5761C6B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2.159</w:t>
            </w:r>
          </w:p>
        </w:tc>
        <w:tc>
          <w:tcPr>
            <w:tcW w:w="875" w:type="dxa"/>
            <w:noWrap/>
            <w:vAlign w:val="center"/>
            <w:hideMark/>
          </w:tcPr>
          <w:p w14:paraId="5D1043F3"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11.997</w:t>
            </w:r>
          </w:p>
        </w:tc>
        <w:tc>
          <w:tcPr>
            <w:tcW w:w="676" w:type="dxa"/>
            <w:noWrap/>
            <w:vAlign w:val="center"/>
            <w:hideMark/>
          </w:tcPr>
          <w:p w14:paraId="540B9E5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167</w:t>
            </w:r>
          </w:p>
        </w:tc>
        <w:tc>
          <w:tcPr>
            <w:tcW w:w="758" w:type="dxa"/>
            <w:noWrap/>
            <w:vAlign w:val="center"/>
            <w:hideMark/>
          </w:tcPr>
          <w:p w14:paraId="5CC63A02"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1.588</w:t>
            </w:r>
          </w:p>
        </w:tc>
        <w:tc>
          <w:tcPr>
            <w:tcW w:w="869" w:type="dxa"/>
            <w:noWrap/>
            <w:vAlign w:val="center"/>
            <w:hideMark/>
          </w:tcPr>
          <w:p w14:paraId="3BAC46BA"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9.611</w:t>
            </w:r>
          </w:p>
        </w:tc>
        <w:tc>
          <w:tcPr>
            <w:tcW w:w="681" w:type="dxa"/>
            <w:noWrap/>
            <w:vAlign w:val="center"/>
            <w:hideMark/>
          </w:tcPr>
          <w:p w14:paraId="5B222BE7"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123</w:t>
            </w:r>
          </w:p>
        </w:tc>
        <w:tc>
          <w:tcPr>
            <w:tcW w:w="769" w:type="dxa"/>
            <w:noWrap/>
            <w:vAlign w:val="center"/>
            <w:hideMark/>
          </w:tcPr>
          <w:p w14:paraId="48FB310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1.289</w:t>
            </w:r>
          </w:p>
        </w:tc>
        <w:tc>
          <w:tcPr>
            <w:tcW w:w="892" w:type="dxa"/>
            <w:noWrap/>
            <w:vAlign w:val="center"/>
            <w:hideMark/>
          </w:tcPr>
          <w:p w14:paraId="6795D4C1"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8.087</w:t>
            </w:r>
          </w:p>
        </w:tc>
        <w:tc>
          <w:tcPr>
            <w:tcW w:w="687" w:type="dxa"/>
            <w:vAlign w:val="center"/>
            <w:hideMark/>
          </w:tcPr>
          <w:p w14:paraId="7A0FD4D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113</w:t>
            </w:r>
          </w:p>
        </w:tc>
        <w:tc>
          <w:tcPr>
            <w:tcW w:w="775" w:type="dxa"/>
            <w:vAlign w:val="center"/>
            <w:hideMark/>
          </w:tcPr>
          <w:p w14:paraId="4C64348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1.319</w:t>
            </w:r>
          </w:p>
        </w:tc>
        <w:tc>
          <w:tcPr>
            <w:tcW w:w="884" w:type="dxa"/>
            <w:vAlign w:val="center"/>
            <w:hideMark/>
          </w:tcPr>
          <w:p w14:paraId="3B413BAC"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8.297</w:t>
            </w:r>
          </w:p>
        </w:tc>
      </w:tr>
      <w:tr w:rsidR="00FE2F06" w:rsidRPr="00FE2F06" w14:paraId="21F9B5B8" w14:textId="77777777" w:rsidTr="00FE2F06">
        <w:trPr>
          <w:trHeight w:val="337"/>
        </w:trPr>
        <w:tc>
          <w:tcPr>
            <w:cnfStyle w:val="001000000000" w:firstRow="0" w:lastRow="0" w:firstColumn="1" w:lastColumn="0" w:oddVBand="0" w:evenVBand="0" w:oddHBand="0" w:evenHBand="0" w:firstRowFirstColumn="0" w:firstRowLastColumn="0" w:lastRowFirstColumn="0" w:lastRowLastColumn="0"/>
            <w:tcW w:w="1266" w:type="dxa"/>
            <w:shd w:val="clear" w:color="auto" w:fill="DE3C43" w:themeFill="accent6" w:themeFillShade="BF"/>
            <w:vAlign w:val="center"/>
            <w:hideMark/>
          </w:tcPr>
          <w:p w14:paraId="6959C14B" w14:textId="77777777" w:rsidR="00FE2F06" w:rsidRPr="00FE2F06" w:rsidRDefault="00FE2F06" w:rsidP="00FE2F06">
            <w:pPr>
              <w:jc w:val="center"/>
              <w:rPr>
                <w:iCs/>
                <w:color w:val="FFFFFF" w:themeColor="background1"/>
              </w:rPr>
            </w:pPr>
            <w:r w:rsidRPr="00FE2F06">
              <w:rPr>
                <w:rFonts w:eastAsia="Times New Roman" w:cs="Calibri"/>
                <w:color w:val="FFFFFF" w:themeColor="background1"/>
                <w:lang w:eastAsia="hr-HR"/>
              </w:rPr>
              <w:t>Osnovna škola</w:t>
            </w:r>
          </w:p>
        </w:tc>
        <w:tc>
          <w:tcPr>
            <w:tcW w:w="687" w:type="dxa"/>
            <w:noWrap/>
            <w:vAlign w:val="center"/>
            <w:hideMark/>
          </w:tcPr>
          <w:p w14:paraId="3359518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1.532</w:t>
            </w:r>
          </w:p>
        </w:tc>
        <w:tc>
          <w:tcPr>
            <w:tcW w:w="782" w:type="dxa"/>
            <w:noWrap/>
            <w:vAlign w:val="center"/>
            <w:hideMark/>
          </w:tcPr>
          <w:p w14:paraId="0499AED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9.550</w:t>
            </w:r>
          </w:p>
        </w:tc>
        <w:tc>
          <w:tcPr>
            <w:tcW w:w="914" w:type="dxa"/>
            <w:noWrap/>
            <w:vAlign w:val="center"/>
            <w:hideMark/>
          </w:tcPr>
          <w:p w14:paraId="16D53F2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59.222</w:t>
            </w:r>
          </w:p>
        </w:tc>
        <w:tc>
          <w:tcPr>
            <w:tcW w:w="667" w:type="dxa"/>
            <w:noWrap/>
            <w:vAlign w:val="center"/>
            <w:hideMark/>
          </w:tcPr>
          <w:p w14:paraId="0DE58FB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1.168</w:t>
            </w:r>
          </w:p>
        </w:tc>
        <w:tc>
          <w:tcPr>
            <w:tcW w:w="799" w:type="dxa"/>
            <w:noWrap/>
            <w:vAlign w:val="center"/>
            <w:hideMark/>
          </w:tcPr>
          <w:p w14:paraId="3AC74EAD"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7.451</w:t>
            </w:r>
          </w:p>
        </w:tc>
        <w:tc>
          <w:tcPr>
            <w:tcW w:w="890" w:type="dxa"/>
            <w:noWrap/>
            <w:vAlign w:val="center"/>
            <w:hideMark/>
          </w:tcPr>
          <w:p w14:paraId="0B220B9B"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50.070</w:t>
            </w:r>
          </w:p>
        </w:tc>
        <w:tc>
          <w:tcPr>
            <w:tcW w:w="691" w:type="dxa"/>
            <w:noWrap/>
            <w:vAlign w:val="center"/>
            <w:hideMark/>
          </w:tcPr>
          <w:p w14:paraId="3423FB19"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845</w:t>
            </w:r>
          </w:p>
        </w:tc>
        <w:tc>
          <w:tcPr>
            <w:tcW w:w="792" w:type="dxa"/>
            <w:noWrap/>
            <w:vAlign w:val="center"/>
            <w:hideMark/>
          </w:tcPr>
          <w:p w14:paraId="6364B3FD"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5.330</w:t>
            </w:r>
          </w:p>
        </w:tc>
        <w:tc>
          <w:tcPr>
            <w:tcW w:w="875" w:type="dxa"/>
            <w:noWrap/>
            <w:vAlign w:val="center"/>
            <w:hideMark/>
          </w:tcPr>
          <w:p w14:paraId="2959DCC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39.775</w:t>
            </w:r>
          </w:p>
        </w:tc>
        <w:tc>
          <w:tcPr>
            <w:tcW w:w="676" w:type="dxa"/>
            <w:noWrap/>
            <w:vAlign w:val="center"/>
            <w:hideMark/>
          </w:tcPr>
          <w:p w14:paraId="7778BA4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677</w:t>
            </w:r>
          </w:p>
        </w:tc>
        <w:tc>
          <w:tcPr>
            <w:tcW w:w="758" w:type="dxa"/>
            <w:noWrap/>
            <w:vAlign w:val="center"/>
            <w:hideMark/>
          </w:tcPr>
          <w:p w14:paraId="6D8E2D45"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3.835</w:t>
            </w:r>
          </w:p>
        </w:tc>
        <w:tc>
          <w:tcPr>
            <w:tcW w:w="869" w:type="dxa"/>
            <w:noWrap/>
            <w:vAlign w:val="center"/>
            <w:hideMark/>
          </w:tcPr>
          <w:p w14:paraId="026BB25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30.818</w:t>
            </w:r>
          </w:p>
        </w:tc>
        <w:tc>
          <w:tcPr>
            <w:tcW w:w="681" w:type="dxa"/>
            <w:noWrap/>
            <w:vAlign w:val="center"/>
            <w:hideMark/>
          </w:tcPr>
          <w:p w14:paraId="78A6953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529</w:t>
            </w:r>
          </w:p>
        </w:tc>
        <w:tc>
          <w:tcPr>
            <w:tcW w:w="769" w:type="dxa"/>
            <w:noWrap/>
            <w:vAlign w:val="center"/>
            <w:hideMark/>
          </w:tcPr>
          <w:p w14:paraId="29B658DD"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3.119</w:t>
            </w:r>
          </w:p>
        </w:tc>
        <w:tc>
          <w:tcPr>
            <w:tcW w:w="892" w:type="dxa"/>
            <w:noWrap/>
            <w:vAlign w:val="center"/>
            <w:hideMark/>
          </w:tcPr>
          <w:p w14:paraId="537BDB9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25.109</w:t>
            </w:r>
          </w:p>
        </w:tc>
        <w:tc>
          <w:tcPr>
            <w:tcW w:w="687" w:type="dxa"/>
            <w:vAlign w:val="center"/>
            <w:hideMark/>
          </w:tcPr>
          <w:p w14:paraId="51A430BB"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557</w:t>
            </w:r>
          </w:p>
        </w:tc>
        <w:tc>
          <w:tcPr>
            <w:tcW w:w="775" w:type="dxa"/>
            <w:vAlign w:val="center"/>
            <w:hideMark/>
          </w:tcPr>
          <w:p w14:paraId="22EE5FF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3.371</w:t>
            </w:r>
          </w:p>
        </w:tc>
        <w:tc>
          <w:tcPr>
            <w:tcW w:w="884" w:type="dxa"/>
            <w:vAlign w:val="center"/>
            <w:hideMark/>
          </w:tcPr>
          <w:p w14:paraId="2DE414AB"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27.134</w:t>
            </w:r>
          </w:p>
        </w:tc>
      </w:tr>
      <w:tr w:rsidR="00FE2F06" w:rsidRPr="00FE2F06" w14:paraId="2FEA1AED" w14:textId="77777777" w:rsidTr="00FE2F06">
        <w:trPr>
          <w:trHeight w:val="1013"/>
        </w:trPr>
        <w:tc>
          <w:tcPr>
            <w:cnfStyle w:val="001000000000" w:firstRow="0" w:lastRow="0" w:firstColumn="1" w:lastColumn="0" w:oddVBand="0" w:evenVBand="0" w:oddHBand="0" w:evenHBand="0" w:firstRowFirstColumn="0" w:firstRowLastColumn="0" w:lastRowFirstColumn="0" w:lastRowLastColumn="0"/>
            <w:tcW w:w="1266" w:type="dxa"/>
            <w:shd w:val="clear" w:color="auto" w:fill="DE3C43" w:themeFill="accent6" w:themeFillShade="BF"/>
            <w:vAlign w:val="center"/>
            <w:hideMark/>
          </w:tcPr>
          <w:p w14:paraId="03BD2645" w14:textId="77777777" w:rsidR="00FE2F06" w:rsidRPr="00FE2F06" w:rsidRDefault="00FE2F06" w:rsidP="00FE2F06">
            <w:pPr>
              <w:jc w:val="center"/>
              <w:rPr>
                <w:iCs/>
                <w:color w:val="FFFFFF" w:themeColor="background1"/>
              </w:rPr>
            </w:pPr>
            <w:r w:rsidRPr="00FE2F06">
              <w:rPr>
                <w:rFonts w:eastAsia="Times New Roman" w:cs="Calibri"/>
                <w:color w:val="FFFFFF" w:themeColor="background1"/>
                <w:lang w:eastAsia="hr-HR"/>
              </w:rPr>
              <w:t>SŠ za zanimanja do 3 god. i škola za KV i VKV radnike</w:t>
            </w:r>
          </w:p>
        </w:tc>
        <w:tc>
          <w:tcPr>
            <w:tcW w:w="687" w:type="dxa"/>
            <w:noWrap/>
            <w:vAlign w:val="center"/>
            <w:hideMark/>
          </w:tcPr>
          <w:p w14:paraId="0A71D10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2.343</w:t>
            </w:r>
          </w:p>
        </w:tc>
        <w:tc>
          <w:tcPr>
            <w:tcW w:w="782" w:type="dxa"/>
            <w:noWrap/>
            <w:vAlign w:val="center"/>
            <w:hideMark/>
          </w:tcPr>
          <w:p w14:paraId="4B6DAB1A"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13.780</w:t>
            </w:r>
          </w:p>
        </w:tc>
        <w:tc>
          <w:tcPr>
            <w:tcW w:w="914" w:type="dxa"/>
            <w:noWrap/>
            <w:vAlign w:val="center"/>
            <w:hideMark/>
          </w:tcPr>
          <w:p w14:paraId="4949D3F2"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91.985</w:t>
            </w:r>
          </w:p>
        </w:tc>
        <w:tc>
          <w:tcPr>
            <w:tcW w:w="667" w:type="dxa"/>
            <w:noWrap/>
            <w:vAlign w:val="center"/>
            <w:hideMark/>
          </w:tcPr>
          <w:p w14:paraId="3054BA0A"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1.718</w:t>
            </w:r>
          </w:p>
        </w:tc>
        <w:tc>
          <w:tcPr>
            <w:tcW w:w="799" w:type="dxa"/>
            <w:noWrap/>
            <w:vAlign w:val="center"/>
            <w:hideMark/>
          </w:tcPr>
          <w:p w14:paraId="3D71E447"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10.247</w:t>
            </w:r>
          </w:p>
        </w:tc>
        <w:tc>
          <w:tcPr>
            <w:tcW w:w="890" w:type="dxa"/>
            <w:noWrap/>
            <w:vAlign w:val="center"/>
            <w:hideMark/>
          </w:tcPr>
          <w:p w14:paraId="554F5F0B"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75.092</w:t>
            </w:r>
          </w:p>
        </w:tc>
        <w:tc>
          <w:tcPr>
            <w:tcW w:w="691" w:type="dxa"/>
            <w:noWrap/>
            <w:vAlign w:val="center"/>
            <w:hideMark/>
          </w:tcPr>
          <w:p w14:paraId="60FE0E5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1.195</w:t>
            </w:r>
          </w:p>
        </w:tc>
        <w:tc>
          <w:tcPr>
            <w:tcW w:w="792" w:type="dxa"/>
            <w:noWrap/>
            <w:vAlign w:val="center"/>
            <w:hideMark/>
          </w:tcPr>
          <w:p w14:paraId="0D7A498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7.064</w:t>
            </w:r>
          </w:p>
        </w:tc>
        <w:tc>
          <w:tcPr>
            <w:tcW w:w="875" w:type="dxa"/>
            <w:noWrap/>
            <w:vAlign w:val="center"/>
            <w:hideMark/>
          </w:tcPr>
          <w:p w14:paraId="2762781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58.474</w:t>
            </w:r>
          </w:p>
        </w:tc>
        <w:tc>
          <w:tcPr>
            <w:tcW w:w="676" w:type="dxa"/>
            <w:noWrap/>
            <w:vAlign w:val="center"/>
            <w:hideMark/>
          </w:tcPr>
          <w:p w14:paraId="07A4B902"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895</w:t>
            </w:r>
          </w:p>
        </w:tc>
        <w:tc>
          <w:tcPr>
            <w:tcW w:w="758" w:type="dxa"/>
            <w:noWrap/>
            <w:vAlign w:val="center"/>
            <w:hideMark/>
          </w:tcPr>
          <w:p w14:paraId="555A483C"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5.080</w:t>
            </w:r>
          </w:p>
        </w:tc>
        <w:tc>
          <w:tcPr>
            <w:tcW w:w="869" w:type="dxa"/>
            <w:noWrap/>
            <w:vAlign w:val="center"/>
            <w:hideMark/>
          </w:tcPr>
          <w:p w14:paraId="0391FCB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46.089</w:t>
            </w:r>
          </w:p>
        </w:tc>
        <w:tc>
          <w:tcPr>
            <w:tcW w:w="681" w:type="dxa"/>
            <w:noWrap/>
            <w:vAlign w:val="center"/>
            <w:hideMark/>
          </w:tcPr>
          <w:p w14:paraId="1298C6E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779</w:t>
            </w:r>
          </w:p>
        </w:tc>
        <w:tc>
          <w:tcPr>
            <w:tcW w:w="769" w:type="dxa"/>
            <w:noWrap/>
            <w:vAlign w:val="center"/>
            <w:hideMark/>
          </w:tcPr>
          <w:p w14:paraId="0A14791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4.264</w:t>
            </w:r>
          </w:p>
        </w:tc>
        <w:tc>
          <w:tcPr>
            <w:tcW w:w="892" w:type="dxa"/>
            <w:noWrap/>
            <w:vAlign w:val="center"/>
            <w:hideMark/>
          </w:tcPr>
          <w:p w14:paraId="4E7759E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38.666</w:t>
            </w:r>
          </w:p>
        </w:tc>
        <w:tc>
          <w:tcPr>
            <w:tcW w:w="687" w:type="dxa"/>
            <w:vAlign w:val="center"/>
            <w:hideMark/>
          </w:tcPr>
          <w:p w14:paraId="53BFC861"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909</w:t>
            </w:r>
          </w:p>
        </w:tc>
        <w:tc>
          <w:tcPr>
            <w:tcW w:w="775" w:type="dxa"/>
            <w:vAlign w:val="center"/>
            <w:hideMark/>
          </w:tcPr>
          <w:p w14:paraId="7F77218D"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5.175</w:t>
            </w:r>
          </w:p>
        </w:tc>
        <w:tc>
          <w:tcPr>
            <w:tcW w:w="884" w:type="dxa"/>
            <w:vAlign w:val="center"/>
            <w:hideMark/>
          </w:tcPr>
          <w:p w14:paraId="184F2924"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46.322</w:t>
            </w:r>
          </w:p>
        </w:tc>
      </w:tr>
      <w:tr w:rsidR="00FE2F06" w:rsidRPr="00FE2F06" w14:paraId="626B4D7E" w14:textId="77777777" w:rsidTr="00FE2F06">
        <w:trPr>
          <w:trHeight w:val="1013"/>
        </w:trPr>
        <w:tc>
          <w:tcPr>
            <w:cnfStyle w:val="001000000000" w:firstRow="0" w:lastRow="0" w:firstColumn="1" w:lastColumn="0" w:oddVBand="0" w:evenVBand="0" w:oddHBand="0" w:evenHBand="0" w:firstRowFirstColumn="0" w:firstRowLastColumn="0" w:lastRowFirstColumn="0" w:lastRowLastColumn="0"/>
            <w:tcW w:w="1266" w:type="dxa"/>
            <w:shd w:val="clear" w:color="auto" w:fill="DE3C43" w:themeFill="accent6" w:themeFillShade="BF"/>
            <w:vAlign w:val="center"/>
            <w:hideMark/>
          </w:tcPr>
          <w:p w14:paraId="4317CF90" w14:textId="77777777" w:rsidR="00FE2F06" w:rsidRPr="00FE2F06" w:rsidRDefault="00FE2F06" w:rsidP="00FE2F06">
            <w:pPr>
              <w:jc w:val="center"/>
              <w:rPr>
                <w:iCs/>
                <w:color w:val="FFFFFF" w:themeColor="background1"/>
              </w:rPr>
            </w:pPr>
            <w:r w:rsidRPr="00FE2F06">
              <w:rPr>
                <w:rFonts w:eastAsia="Times New Roman" w:cs="Calibri"/>
                <w:color w:val="FFFFFF" w:themeColor="background1"/>
                <w:lang w:eastAsia="hr-HR"/>
              </w:rPr>
              <w:t>SŠ za zanimanja u trajanju od 4 i više godina i gimnazija</w:t>
            </w:r>
          </w:p>
        </w:tc>
        <w:tc>
          <w:tcPr>
            <w:tcW w:w="687" w:type="dxa"/>
            <w:noWrap/>
            <w:vAlign w:val="center"/>
            <w:hideMark/>
          </w:tcPr>
          <w:p w14:paraId="03829C83"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1.711</w:t>
            </w:r>
          </w:p>
        </w:tc>
        <w:tc>
          <w:tcPr>
            <w:tcW w:w="782" w:type="dxa"/>
            <w:noWrap/>
            <w:vAlign w:val="center"/>
            <w:hideMark/>
          </w:tcPr>
          <w:p w14:paraId="44BAEEDC"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11.002</w:t>
            </w:r>
          </w:p>
        </w:tc>
        <w:tc>
          <w:tcPr>
            <w:tcW w:w="914" w:type="dxa"/>
            <w:noWrap/>
            <w:vAlign w:val="center"/>
            <w:hideMark/>
          </w:tcPr>
          <w:p w14:paraId="526A3A4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82.465</w:t>
            </w:r>
          </w:p>
        </w:tc>
        <w:tc>
          <w:tcPr>
            <w:tcW w:w="667" w:type="dxa"/>
            <w:noWrap/>
            <w:vAlign w:val="center"/>
            <w:hideMark/>
          </w:tcPr>
          <w:p w14:paraId="504A6CCA"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1.365</w:t>
            </w:r>
          </w:p>
        </w:tc>
        <w:tc>
          <w:tcPr>
            <w:tcW w:w="799" w:type="dxa"/>
            <w:noWrap/>
            <w:vAlign w:val="center"/>
            <w:hideMark/>
          </w:tcPr>
          <w:p w14:paraId="523C67A9"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8.449</w:t>
            </w:r>
          </w:p>
        </w:tc>
        <w:tc>
          <w:tcPr>
            <w:tcW w:w="890" w:type="dxa"/>
            <w:noWrap/>
            <w:vAlign w:val="center"/>
            <w:hideMark/>
          </w:tcPr>
          <w:p w14:paraId="726195E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69.055</w:t>
            </w:r>
          </w:p>
        </w:tc>
        <w:tc>
          <w:tcPr>
            <w:tcW w:w="691" w:type="dxa"/>
            <w:noWrap/>
            <w:vAlign w:val="center"/>
            <w:hideMark/>
          </w:tcPr>
          <w:p w14:paraId="24C0EB7B"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946</w:t>
            </w:r>
          </w:p>
        </w:tc>
        <w:tc>
          <w:tcPr>
            <w:tcW w:w="792" w:type="dxa"/>
            <w:noWrap/>
            <w:vAlign w:val="center"/>
            <w:hideMark/>
          </w:tcPr>
          <w:p w14:paraId="18168D73"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6.023</w:t>
            </w:r>
          </w:p>
        </w:tc>
        <w:tc>
          <w:tcPr>
            <w:tcW w:w="875" w:type="dxa"/>
            <w:noWrap/>
            <w:vAlign w:val="center"/>
            <w:hideMark/>
          </w:tcPr>
          <w:p w14:paraId="343D3E5C"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54.744</w:t>
            </w:r>
          </w:p>
        </w:tc>
        <w:tc>
          <w:tcPr>
            <w:tcW w:w="676" w:type="dxa"/>
            <w:noWrap/>
            <w:vAlign w:val="center"/>
            <w:hideMark/>
          </w:tcPr>
          <w:p w14:paraId="2C8E1123"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704</w:t>
            </w:r>
          </w:p>
        </w:tc>
        <w:tc>
          <w:tcPr>
            <w:tcW w:w="758" w:type="dxa"/>
            <w:noWrap/>
            <w:vAlign w:val="center"/>
            <w:hideMark/>
          </w:tcPr>
          <w:p w14:paraId="61342AA7"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4.351</w:t>
            </w:r>
          </w:p>
        </w:tc>
        <w:tc>
          <w:tcPr>
            <w:tcW w:w="869" w:type="dxa"/>
            <w:noWrap/>
            <w:vAlign w:val="center"/>
            <w:hideMark/>
          </w:tcPr>
          <w:p w14:paraId="295538B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43.229</w:t>
            </w:r>
          </w:p>
        </w:tc>
        <w:tc>
          <w:tcPr>
            <w:tcW w:w="681" w:type="dxa"/>
            <w:noWrap/>
            <w:vAlign w:val="center"/>
            <w:hideMark/>
          </w:tcPr>
          <w:p w14:paraId="456C809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584</w:t>
            </w:r>
          </w:p>
        </w:tc>
        <w:tc>
          <w:tcPr>
            <w:tcW w:w="769" w:type="dxa"/>
            <w:noWrap/>
            <w:vAlign w:val="center"/>
            <w:hideMark/>
          </w:tcPr>
          <w:p w14:paraId="6E8F0E94"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3.621</w:t>
            </w:r>
          </w:p>
        </w:tc>
        <w:tc>
          <w:tcPr>
            <w:tcW w:w="892" w:type="dxa"/>
            <w:noWrap/>
            <w:vAlign w:val="center"/>
            <w:hideMark/>
          </w:tcPr>
          <w:p w14:paraId="012F342A"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36.394</w:t>
            </w:r>
          </w:p>
        </w:tc>
        <w:tc>
          <w:tcPr>
            <w:tcW w:w="687" w:type="dxa"/>
            <w:vAlign w:val="center"/>
            <w:hideMark/>
          </w:tcPr>
          <w:p w14:paraId="0AF0CE0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747</w:t>
            </w:r>
          </w:p>
        </w:tc>
        <w:tc>
          <w:tcPr>
            <w:tcW w:w="775" w:type="dxa"/>
            <w:vAlign w:val="center"/>
            <w:hideMark/>
          </w:tcPr>
          <w:p w14:paraId="531DBBAA"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4.497</w:t>
            </w:r>
          </w:p>
        </w:tc>
        <w:tc>
          <w:tcPr>
            <w:tcW w:w="884" w:type="dxa"/>
            <w:vAlign w:val="center"/>
            <w:hideMark/>
          </w:tcPr>
          <w:p w14:paraId="36B5402A"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44.574</w:t>
            </w:r>
          </w:p>
        </w:tc>
      </w:tr>
      <w:tr w:rsidR="00FE2F06" w:rsidRPr="00FE2F06" w14:paraId="5E289EDB" w14:textId="77777777" w:rsidTr="00FE2F06">
        <w:trPr>
          <w:trHeight w:val="1013"/>
        </w:trPr>
        <w:tc>
          <w:tcPr>
            <w:cnfStyle w:val="001000000000" w:firstRow="0" w:lastRow="0" w:firstColumn="1" w:lastColumn="0" w:oddVBand="0" w:evenVBand="0" w:oddHBand="0" w:evenHBand="0" w:firstRowFirstColumn="0" w:firstRowLastColumn="0" w:lastRowFirstColumn="0" w:lastRowLastColumn="0"/>
            <w:tcW w:w="1266" w:type="dxa"/>
            <w:shd w:val="clear" w:color="auto" w:fill="DE3C43" w:themeFill="accent6" w:themeFillShade="BF"/>
            <w:vAlign w:val="center"/>
            <w:hideMark/>
          </w:tcPr>
          <w:p w14:paraId="4988CA7E" w14:textId="77777777" w:rsidR="00FE2F06" w:rsidRPr="00FE2F06" w:rsidRDefault="00FE2F06" w:rsidP="00FE2F06">
            <w:pPr>
              <w:jc w:val="center"/>
              <w:rPr>
                <w:iCs/>
                <w:color w:val="FFFFFF" w:themeColor="background1"/>
              </w:rPr>
            </w:pPr>
            <w:r w:rsidRPr="00FE2F06">
              <w:rPr>
                <w:rFonts w:eastAsia="Times New Roman" w:cs="Calibri"/>
                <w:color w:val="FFFFFF" w:themeColor="background1"/>
                <w:lang w:eastAsia="hr-HR"/>
              </w:rPr>
              <w:t>Prvi stupanj fakulteta, stručni studij i viša škola</w:t>
            </w:r>
          </w:p>
        </w:tc>
        <w:tc>
          <w:tcPr>
            <w:tcW w:w="687" w:type="dxa"/>
            <w:noWrap/>
            <w:vAlign w:val="center"/>
            <w:hideMark/>
          </w:tcPr>
          <w:p w14:paraId="1FCD16F2"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369</w:t>
            </w:r>
          </w:p>
        </w:tc>
        <w:tc>
          <w:tcPr>
            <w:tcW w:w="782" w:type="dxa"/>
            <w:noWrap/>
            <w:vAlign w:val="center"/>
            <w:hideMark/>
          </w:tcPr>
          <w:p w14:paraId="19F60D3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2.317</w:t>
            </w:r>
          </w:p>
        </w:tc>
        <w:tc>
          <w:tcPr>
            <w:tcW w:w="914" w:type="dxa"/>
            <w:noWrap/>
            <w:vAlign w:val="center"/>
            <w:hideMark/>
          </w:tcPr>
          <w:p w14:paraId="0F65E5E1"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15.931</w:t>
            </w:r>
          </w:p>
        </w:tc>
        <w:tc>
          <w:tcPr>
            <w:tcW w:w="667" w:type="dxa"/>
            <w:noWrap/>
            <w:vAlign w:val="center"/>
            <w:hideMark/>
          </w:tcPr>
          <w:p w14:paraId="5330959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327</w:t>
            </w:r>
          </w:p>
        </w:tc>
        <w:tc>
          <w:tcPr>
            <w:tcW w:w="799" w:type="dxa"/>
            <w:noWrap/>
            <w:vAlign w:val="center"/>
            <w:hideMark/>
          </w:tcPr>
          <w:p w14:paraId="09E8C709"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2.102</w:t>
            </w:r>
          </w:p>
        </w:tc>
        <w:tc>
          <w:tcPr>
            <w:tcW w:w="890" w:type="dxa"/>
            <w:noWrap/>
            <w:vAlign w:val="center"/>
            <w:hideMark/>
          </w:tcPr>
          <w:p w14:paraId="422868A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14.509</w:t>
            </w:r>
          </w:p>
        </w:tc>
        <w:tc>
          <w:tcPr>
            <w:tcW w:w="691" w:type="dxa"/>
            <w:noWrap/>
            <w:vAlign w:val="center"/>
            <w:hideMark/>
          </w:tcPr>
          <w:p w14:paraId="2344AED5"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244</w:t>
            </w:r>
          </w:p>
        </w:tc>
        <w:tc>
          <w:tcPr>
            <w:tcW w:w="792" w:type="dxa"/>
            <w:noWrap/>
            <w:vAlign w:val="center"/>
            <w:hideMark/>
          </w:tcPr>
          <w:p w14:paraId="1CF3F022"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1.632</w:t>
            </w:r>
          </w:p>
        </w:tc>
        <w:tc>
          <w:tcPr>
            <w:tcW w:w="875" w:type="dxa"/>
            <w:noWrap/>
            <w:vAlign w:val="center"/>
            <w:hideMark/>
          </w:tcPr>
          <w:p w14:paraId="554FF82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12.415</w:t>
            </w:r>
          </w:p>
        </w:tc>
        <w:tc>
          <w:tcPr>
            <w:tcW w:w="676" w:type="dxa"/>
            <w:noWrap/>
            <w:vAlign w:val="center"/>
            <w:hideMark/>
          </w:tcPr>
          <w:p w14:paraId="77EFEC05"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171</w:t>
            </w:r>
          </w:p>
        </w:tc>
        <w:tc>
          <w:tcPr>
            <w:tcW w:w="758" w:type="dxa"/>
            <w:noWrap/>
            <w:vAlign w:val="center"/>
            <w:hideMark/>
          </w:tcPr>
          <w:p w14:paraId="4A3E85A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1.201</w:t>
            </w:r>
          </w:p>
        </w:tc>
        <w:tc>
          <w:tcPr>
            <w:tcW w:w="869" w:type="dxa"/>
            <w:noWrap/>
            <w:vAlign w:val="center"/>
            <w:hideMark/>
          </w:tcPr>
          <w:p w14:paraId="5B9B6CC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10.145</w:t>
            </w:r>
          </w:p>
        </w:tc>
        <w:tc>
          <w:tcPr>
            <w:tcW w:w="681" w:type="dxa"/>
            <w:noWrap/>
            <w:vAlign w:val="center"/>
            <w:hideMark/>
          </w:tcPr>
          <w:p w14:paraId="74A9F9B1"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150</w:t>
            </w:r>
          </w:p>
        </w:tc>
        <w:tc>
          <w:tcPr>
            <w:tcW w:w="769" w:type="dxa"/>
            <w:noWrap/>
            <w:vAlign w:val="center"/>
            <w:hideMark/>
          </w:tcPr>
          <w:p w14:paraId="37DCF9DB"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1.013</w:t>
            </w:r>
          </w:p>
        </w:tc>
        <w:tc>
          <w:tcPr>
            <w:tcW w:w="892" w:type="dxa"/>
            <w:noWrap/>
            <w:vAlign w:val="center"/>
            <w:hideMark/>
          </w:tcPr>
          <w:p w14:paraId="336A1875"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8.559</w:t>
            </w:r>
          </w:p>
        </w:tc>
        <w:tc>
          <w:tcPr>
            <w:tcW w:w="687" w:type="dxa"/>
            <w:vAlign w:val="center"/>
            <w:hideMark/>
          </w:tcPr>
          <w:p w14:paraId="0839087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167</w:t>
            </w:r>
          </w:p>
        </w:tc>
        <w:tc>
          <w:tcPr>
            <w:tcW w:w="775" w:type="dxa"/>
            <w:vAlign w:val="center"/>
            <w:hideMark/>
          </w:tcPr>
          <w:p w14:paraId="0F05728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1.219</w:t>
            </w:r>
          </w:p>
        </w:tc>
        <w:tc>
          <w:tcPr>
            <w:tcW w:w="884" w:type="dxa"/>
            <w:vAlign w:val="center"/>
            <w:hideMark/>
          </w:tcPr>
          <w:p w14:paraId="5F085819"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10.557</w:t>
            </w:r>
          </w:p>
        </w:tc>
      </w:tr>
      <w:tr w:rsidR="00FE2F06" w:rsidRPr="00FE2F06" w14:paraId="49C20D9D" w14:textId="77777777" w:rsidTr="00FE2F06">
        <w:trPr>
          <w:trHeight w:val="675"/>
        </w:trPr>
        <w:tc>
          <w:tcPr>
            <w:cnfStyle w:val="001000000000" w:firstRow="0" w:lastRow="0" w:firstColumn="1" w:lastColumn="0" w:oddVBand="0" w:evenVBand="0" w:oddHBand="0" w:evenHBand="0" w:firstRowFirstColumn="0" w:firstRowLastColumn="0" w:lastRowFirstColumn="0" w:lastRowLastColumn="0"/>
            <w:tcW w:w="1266" w:type="dxa"/>
            <w:shd w:val="clear" w:color="auto" w:fill="DE3C43" w:themeFill="accent6" w:themeFillShade="BF"/>
            <w:vAlign w:val="center"/>
            <w:hideMark/>
          </w:tcPr>
          <w:p w14:paraId="5763275A" w14:textId="77777777" w:rsidR="00FE2F06" w:rsidRPr="00FE2F06" w:rsidRDefault="00FE2F06" w:rsidP="00FE2F06">
            <w:pPr>
              <w:jc w:val="center"/>
              <w:rPr>
                <w:iCs/>
                <w:color w:val="FFFFFF" w:themeColor="background1"/>
              </w:rPr>
            </w:pPr>
            <w:r w:rsidRPr="00FE2F06">
              <w:rPr>
                <w:rFonts w:eastAsia="Times New Roman" w:cs="Calibri"/>
                <w:color w:val="FFFFFF" w:themeColor="background1"/>
                <w:lang w:eastAsia="hr-HR"/>
              </w:rPr>
              <w:t>Fakultet, akademija, magisterij, doktorat</w:t>
            </w:r>
          </w:p>
        </w:tc>
        <w:tc>
          <w:tcPr>
            <w:tcW w:w="687" w:type="dxa"/>
            <w:noWrap/>
            <w:vAlign w:val="center"/>
            <w:hideMark/>
          </w:tcPr>
          <w:p w14:paraId="11E981D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273</w:t>
            </w:r>
          </w:p>
        </w:tc>
        <w:tc>
          <w:tcPr>
            <w:tcW w:w="782" w:type="dxa"/>
            <w:noWrap/>
            <w:vAlign w:val="center"/>
            <w:hideMark/>
          </w:tcPr>
          <w:p w14:paraId="4626B5ED"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2.244</w:t>
            </w:r>
          </w:p>
        </w:tc>
        <w:tc>
          <w:tcPr>
            <w:tcW w:w="914" w:type="dxa"/>
            <w:noWrap/>
            <w:vAlign w:val="center"/>
            <w:hideMark/>
          </w:tcPr>
          <w:p w14:paraId="561E0E0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20.641</w:t>
            </w:r>
          </w:p>
        </w:tc>
        <w:tc>
          <w:tcPr>
            <w:tcW w:w="667" w:type="dxa"/>
            <w:noWrap/>
            <w:vAlign w:val="center"/>
            <w:hideMark/>
          </w:tcPr>
          <w:p w14:paraId="5A0C0C1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258</w:t>
            </w:r>
          </w:p>
        </w:tc>
        <w:tc>
          <w:tcPr>
            <w:tcW w:w="799" w:type="dxa"/>
            <w:noWrap/>
            <w:vAlign w:val="center"/>
            <w:hideMark/>
          </w:tcPr>
          <w:p w14:paraId="1B388C0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2.068</w:t>
            </w:r>
          </w:p>
        </w:tc>
        <w:tc>
          <w:tcPr>
            <w:tcW w:w="890" w:type="dxa"/>
            <w:noWrap/>
            <w:vAlign w:val="center"/>
            <w:hideMark/>
          </w:tcPr>
          <w:p w14:paraId="6360887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18.980</w:t>
            </w:r>
          </w:p>
        </w:tc>
        <w:tc>
          <w:tcPr>
            <w:tcW w:w="691" w:type="dxa"/>
            <w:noWrap/>
            <w:vAlign w:val="center"/>
            <w:hideMark/>
          </w:tcPr>
          <w:p w14:paraId="095FFF3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234</w:t>
            </w:r>
          </w:p>
        </w:tc>
        <w:tc>
          <w:tcPr>
            <w:tcW w:w="792" w:type="dxa"/>
            <w:noWrap/>
            <w:vAlign w:val="center"/>
            <w:hideMark/>
          </w:tcPr>
          <w:p w14:paraId="42CFC85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1.787</w:t>
            </w:r>
          </w:p>
        </w:tc>
        <w:tc>
          <w:tcPr>
            <w:tcW w:w="875" w:type="dxa"/>
            <w:noWrap/>
            <w:vAlign w:val="center"/>
            <w:hideMark/>
          </w:tcPr>
          <w:p w14:paraId="38456AC7"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16.562</w:t>
            </w:r>
          </w:p>
        </w:tc>
        <w:tc>
          <w:tcPr>
            <w:tcW w:w="676" w:type="dxa"/>
            <w:noWrap/>
            <w:vAlign w:val="center"/>
            <w:hideMark/>
          </w:tcPr>
          <w:p w14:paraId="5A1E1E79"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175</w:t>
            </w:r>
          </w:p>
        </w:tc>
        <w:tc>
          <w:tcPr>
            <w:tcW w:w="758" w:type="dxa"/>
            <w:noWrap/>
            <w:vAlign w:val="center"/>
            <w:hideMark/>
          </w:tcPr>
          <w:p w14:paraId="5083DB0D"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1.370</w:t>
            </w:r>
          </w:p>
        </w:tc>
        <w:tc>
          <w:tcPr>
            <w:tcW w:w="869" w:type="dxa"/>
            <w:noWrap/>
            <w:vAlign w:val="center"/>
            <w:hideMark/>
          </w:tcPr>
          <w:p w14:paraId="6D776C6B"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13.650</w:t>
            </w:r>
          </w:p>
        </w:tc>
        <w:tc>
          <w:tcPr>
            <w:tcW w:w="681" w:type="dxa"/>
            <w:noWrap/>
            <w:vAlign w:val="center"/>
            <w:hideMark/>
          </w:tcPr>
          <w:p w14:paraId="198737E4"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158</w:t>
            </w:r>
          </w:p>
        </w:tc>
        <w:tc>
          <w:tcPr>
            <w:tcW w:w="769" w:type="dxa"/>
            <w:noWrap/>
            <w:vAlign w:val="center"/>
            <w:hideMark/>
          </w:tcPr>
          <w:p w14:paraId="7377D26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1.191</w:t>
            </w:r>
          </w:p>
        </w:tc>
        <w:tc>
          <w:tcPr>
            <w:tcW w:w="892" w:type="dxa"/>
            <w:noWrap/>
            <w:vAlign w:val="center"/>
            <w:hideMark/>
          </w:tcPr>
          <w:p w14:paraId="56CFE2E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11.835</w:t>
            </w:r>
          </w:p>
        </w:tc>
        <w:tc>
          <w:tcPr>
            <w:tcW w:w="687" w:type="dxa"/>
            <w:vAlign w:val="center"/>
            <w:hideMark/>
          </w:tcPr>
          <w:p w14:paraId="0040B354"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177</w:t>
            </w:r>
          </w:p>
        </w:tc>
        <w:tc>
          <w:tcPr>
            <w:tcW w:w="775" w:type="dxa"/>
            <w:vAlign w:val="center"/>
            <w:hideMark/>
          </w:tcPr>
          <w:p w14:paraId="4D2C573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1.342</w:t>
            </w:r>
          </w:p>
        </w:tc>
        <w:tc>
          <w:tcPr>
            <w:tcW w:w="884" w:type="dxa"/>
            <w:vAlign w:val="center"/>
            <w:hideMark/>
          </w:tcPr>
          <w:p w14:paraId="391A8737"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13.940</w:t>
            </w:r>
          </w:p>
        </w:tc>
      </w:tr>
      <w:tr w:rsidR="00FE2F06" w:rsidRPr="00FE2F06" w14:paraId="39A3E93E" w14:textId="77777777" w:rsidTr="00047004">
        <w:trPr>
          <w:trHeight w:val="483"/>
        </w:trPr>
        <w:tc>
          <w:tcPr>
            <w:cnfStyle w:val="001000000000" w:firstRow="0" w:lastRow="0" w:firstColumn="1" w:lastColumn="0" w:oddVBand="0" w:evenVBand="0" w:oddHBand="0" w:evenHBand="0" w:firstRowFirstColumn="0" w:firstRowLastColumn="0" w:lastRowFirstColumn="0" w:lastRowLastColumn="0"/>
            <w:tcW w:w="1266" w:type="dxa"/>
            <w:shd w:val="clear" w:color="auto" w:fill="DE3C43" w:themeFill="accent6" w:themeFillShade="BF"/>
            <w:vAlign w:val="center"/>
            <w:hideMark/>
          </w:tcPr>
          <w:p w14:paraId="34912890" w14:textId="77777777" w:rsidR="00FE2F06" w:rsidRPr="00FE2F06" w:rsidRDefault="00FE2F06" w:rsidP="00FE2F06">
            <w:pPr>
              <w:jc w:val="center"/>
              <w:rPr>
                <w:iCs/>
                <w:color w:val="FFFFFF" w:themeColor="background1"/>
              </w:rPr>
            </w:pPr>
            <w:r w:rsidRPr="00FE2F06">
              <w:rPr>
                <w:rFonts w:eastAsia="Times New Roman" w:cs="Calibri"/>
                <w:color w:val="FFFFFF" w:themeColor="background1"/>
                <w:lang w:eastAsia="hr-HR"/>
              </w:rPr>
              <w:t>Ukupno</w:t>
            </w:r>
          </w:p>
        </w:tc>
        <w:tc>
          <w:tcPr>
            <w:tcW w:w="687" w:type="dxa"/>
            <w:noWrap/>
            <w:vAlign w:val="center"/>
            <w:hideMark/>
          </w:tcPr>
          <w:p w14:paraId="3FCDDEB3"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6.648</w:t>
            </w:r>
          </w:p>
        </w:tc>
        <w:tc>
          <w:tcPr>
            <w:tcW w:w="782" w:type="dxa"/>
            <w:noWrap/>
            <w:vAlign w:val="center"/>
            <w:hideMark/>
          </w:tcPr>
          <w:p w14:paraId="57E55051"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41.930</w:t>
            </w:r>
          </w:p>
        </w:tc>
        <w:tc>
          <w:tcPr>
            <w:tcW w:w="914" w:type="dxa"/>
            <w:noWrap/>
            <w:vAlign w:val="center"/>
            <w:hideMark/>
          </w:tcPr>
          <w:p w14:paraId="134724B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285.906</w:t>
            </w:r>
          </w:p>
        </w:tc>
        <w:tc>
          <w:tcPr>
            <w:tcW w:w="667" w:type="dxa"/>
            <w:noWrap/>
            <w:vAlign w:val="center"/>
            <w:hideMark/>
          </w:tcPr>
          <w:p w14:paraId="2B5872E6"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5.168</w:t>
            </w:r>
          </w:p>
        </w:tc>
        <w:tc>
          <w:tcPr>
            <w:tcW w:w="799" w:type="dxa"/>
            <w:noWrap/>
            <w:vAlign w:val="center"/>
            <w:hideMark/>
          </w:tcPr>
          <w:p w14:paraId="7B3CA30A"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33.043</w:t>
            </w:r>
          </w:p>
        </w:tc>
        <w:tc>
          <w:tcPr>
            <w:tcW w:w="890" w:type="dxa"/>
            <w:noWrap/>
            <w:vAlign w:val="center"/>
            <w:hideMark/>
          </w:tcPr>
          <w:p w14:paraId="6047AD64"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241.860</w:t>
            </w:r>
          </w:p>
        </w:tc>
        <w:tc>
          <w:tcPr>
            <w:tcW w:w="691" w:type="dxa"/>
            <w:noWrap/>
            <w:vAlign w:val="center"/>
            <w:hideMark/>
          </w:tcPr>
          <w:p w14:paraId="38D3D1C9"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3.689</w:t>
            </w:r>
          </w:p>
        </w:tc>
        <w:tc>
          <w:tcPr>
            <w:tcW w:w="792" w:type="dxa"/>
            <w:noWrap/>
            <w:vAlign w:val="center"/>
            <w:hideMark/>
          </w:tcPr>
          <w:p w14:paraId="3123DA8C"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23.994</w:t>
            </w:r>
          </w:p>
        </w:tc>
        <w:tc>
          <w:tcPr>
            <w:tcW w:w="875" w:type="dxa"/>
            <w:noWrap/>
            <w:vAlign w:val="center"/>
            <w:hideMark/>
          </w:tcPr>
          <w:p w14:paraId="4783EE1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193.967</w:t>
            </w:r>
          </w:p>
        </w:tc>
        <w:tc>
          <w:tcPr>
            <w:tcW w:w="676" w:type="dxa"/>
            <w:noWrap/>
            <w:vAlign w:val="center"/>
            <w:hideMark/>
          </w:tcPr>
          <w:p w14:paraId="2B52FD1F"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2.789</w:t>
            </w:r>
          </w:p>
        </w:tc>
        <w:tc>
          <w:tcPr>
            <w:tcW w:w="758" w:type="dxa"/>
            <w:noWrap/>
            <w:vAlign w:val="center"/>
            <w:hideMark/>
          </w:tcPr>
          <w:p w14:paraId="29C54A4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17.426</w:t>
            </w:r>
          </w:p>
        </w:tc>
        <w:tc>
          <w:tcPr>
            <w:tcW w:w="869" w:type="dxa"/>
            <w:noWrap/>
            <w:vAlign w:val="center"/>
            <w:hideMark/>
          </w:tcPr>
          <w:p w14:paraId="10BF729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153.542</w:t>
            </w:r>
          </w:p>
        </w:tc>
        <w:tc>
          <w:tcPr>
            <w:tcW w:w="681" w:type="dxa"/>
            <w:noWrap/>
            <w:vAlign w:val="center"/>
            <w:hideMark/>
          </w:tcPr>
          <w:p w14:paraId="1B9BDACE"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2.322</w:t>
            </w:r>
          </w:p>
        </w:tc>
        <w:tc>
          <w:tcPr>
            <w:tcW w:w="769" w:type="dxa"/>
            <w:noWrap/>
            <w:vAlign w:val="center"/>
            <w:hideMark/>
          </w:tcPr>
          <w:p w14:paraId="4525E368"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14.496</w:t>
            </w:r>
          </w:p>
        </w:tc>
        <w:tc>
          <w:tcPr>
            <w:tcW w:w="892" w:type="dxa"/>
            <w:noWrap/>
            <w:vAlign w:val="center"/>
            <w:hideMark/>
          </w:tcPr>
          <w:p w14:paraId="5991ED1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128.650</w:t>
            </w:r>
          </w:p>
        </w:tc>
        <w:tc>
          <w:tcPr>
            <w:tcW w:w="687" w:type="dxa"/>
            <w:vAlign w:val="center"/>
            <w:hideMark/>
          </w:tcPr>
          <w:p w14:paraId="4E40685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2.670</w:t>
            </w:r>
          </w:p>
        </w:tc>
        <w:tc>
          <w:tcPr>
            <w:tcW w:w="775" w:type="dxa"/>
            <w:vAlign w:val="center"/>
            <w:hideMark/>
          </w:tcPr>
          <w:p w14:paraId="17EE9550"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16.923</w:t>
            </w:r>
          </w:p>
        </w:tc>
        <w:tc>
          <w:tcPr>
            <w:tcW w:w="884" w:type="dxa"/>
            <w:vAlign w:val="center"/>
            <w:hideMark/>
          </w:tcPr>
          <w:p w14:paraId="36E2E625" w14:textId="77777777" w:rsidR="00FE2F06" w:rsidRPr="00FE2F06" w:rsidRDefault="00FE2F06" w:rsidP="003E3F3C">
            <w:pPr>
              <w:pStyle w:val="Opisslike"/>
              <w:cnfStyle w:val="000000000000" w:firstRow="0" w:lastRow="0" w:firstColumn="0" w:lastColumn="0" w:oddVBand="0" w:evenVBand="0" w:oddHBand="0" w:evenHBand="0" w:firstRowFirstColumn="0" w:firstRowLastColumn="0" w:lastRowFirstColumn="0" w:lastRowLastColumn="0"/>
            </w:pPr>
            <w:r w:rsidRPr="00FE2F06">
              <w:t>150.824</w:t>
            </w:r>
          </w:p>
        </w:tc>
      </w:tr>
    </w:tbl>
    <w:p w14:paraId="4D3ADDB0" w14:textId="1DC16612" w:rsidR="005C6021" w:rsidRPr="00FE2F06" w:rsidRDefault="00722DDE" w:rsidP="003C2276">
      <w:pPr>
        <w:pStyle w:val="Izvor"/>
        <w:rPr>
          <w:i/>
          <w:color w:val="ABABAB" w:themeColor="text1" w:themeTint="A6"/>
          <w:sz w:val="16"/>
          <w:szCs w:val="16"/>
        </w:rPr>
      </w:pPr>
      <w:r w:rsidRPr="00422CBC">
        <w:rPr>
          <w:i/>
          <w:color w:val="ABABAB" w:themeColor="text1" w:themeTint="A6"/>
          <w:sz w:val="16"/>
          <w:szCs w:val="16"/>
        </w:rPr>
        <w:t>Izvor: Hrvatski zavod za zapošljavanje, Statistika On-line: Registrirana nezaposlenost (</w:t>
      </w:r>
      <w:r w:rsidR="001654D4" w:rsidRPr="00422CBC">
        <w:rPr>
          <w:i/>
          <w:color w:val="ABABAB" w:themeColor="text1" w:themeTint="A6"/>
          <w:sz w:val="16"/>
          <w:szCs w:val="16"/>
        </w:rPr>
        <w:t>veljača,</w:t>
      </w:r>
      <w:r w:rsidRPr="00422CBC">
        <w:rPr>
          <w:i/>
          <w:color w:val="ABABAB" w:themeColor="text1" w:themeTint="A6"/>
          <w:sz w:val="16"/>
          <w:szCs w:val="16"/>
        </w:rPr>
        <w:t xml:space="preserve"> 202</w:t>
      </w:r>
      <w:r w:rsidR="001654D4" w:rsidRPr="00422CBC">
        <w:rPr>
          <w:i/>
          <w:color w:val="ABABAB" w:themeColor="text1" w:themeTint="A6"/>
          <w:sz w:val="16"/>
          <w:szCs w:val="16"/>
        </w:rPr>
        <w:t>1</w:t>
      </w:r>
      <w:r w:rsidRPr="00422CBC">
        <w:rPr>
          <w:i/>
          <w:color w:val="ABABAB" w:themeColor="text1" w:themeTint="A6"/>
          <w:sz w:val="16"/>
          <w:szCs w:val="16"/>
        </w:rPr>
        <w:t>.)</w:t>
      </w:r>
    </w:p>
    <w:p w14:paraId="48B94183" w14:textId="77777777" w:rsidR="005C6021" w:rsidRDefault="005C6021" w:rsidP="003C2276">
      <w:pPr>
        <w:pStyle w:val="Izvor"/>
      </w:pPr>
    </w:p>
    <w:p w14:paraId="58928C52" w14:textId="77777777" w:rsidR="005C6021" w:rsidRDefault="005C6021" w:rsidP="00722DDE">
      <w:pPr>
        <w:sectPr w:rsidR="005C6021" w:rsidSect="004514CD">
          <w:pgSz w:w="16840" w:h="11900" w:orient="landscape"/>
          <w:pgMar w:top="1300" w:right="1340" w:bottom="1300" w:left="280" w:header="0" w:footer="1006" w:gutter="0"/>
          <w:cols w:space="720"/>
          <w:docGrid w:linePitch="245"/>
        </w:sectPr>
      </w:pPr>
    </w:p>
    <w:p w14:paraId="7A3B2922" w14:textId="77777777" w:rsidR="005C6021" w:rsidRDefault="005C6021" w:rsidP="005C6021">
      <w:r>
        <w:lastRenderedPageBreak/>
        <w:t xml:space="preserve">Promatrano prema spolu, u 2020. godini pretežiti udio nezaposlenih činile su žene sa završenom srednjom školom (849) ili završenom osnovnom školom (291). U muškoj populaciji prisutni su slični omjeri nezaposlenih muških osoba sa završenom srednjom školom (806) i završenom osnovnom školom (267), ali je značajan broj (68) nezaposlenih muških osoba bez završene škole i nezavršene osnovne škole. U kategoriji nezaposlenih s višim razinama obrazovanja prevladavaju osobe ženskog spola. U evidenciji Zavoda zabilježeno je 110 žena sa završenim prvim stupnjem fakulteta, stručnim studijem ili višom školom te 131 žena koje su završile fakultet, akademiju, magisterij ili doktorat. </w:t>
      </w:r>
    </w:p>
    <w:p w14:paraId="0CEE3244" w14:textId="0102841A" w:rsidR="00422CBC" w:rsidRDefault="00422CBC" w:rsidP="00722DDE"/>
    <w:p w14:paraId="529D53F0" w14:textId="1AA61BE4" w:rsidR="00CB7C31" w:rsidRDefault="00CB7C31" w:rsidP="00CB7C31">
      <w:pPr>
        <w:spacing w:after="0"/>
      </w:pPr>
      <w:r>
        <w:t xml:space="preserve">Grafikon </w:t>
      </w:r>
      <w:r w:rsidR="008B5667">
        <w:rPr>
          <w:color w:val="auto"/>
        </w:rPr>
        <w:t>3</w:t>
      </w:r>
      <w:r w:rsidR="00CF4B96">
        <w:rPr>
          <w:color w:val="auto"/>
        </w:rPr>
        <w:t>4</w:t>
      </w:r>
      <w:r w:rsidR="00422CBC" w:rsidRPr="00422CBC">
        <w:rPr>
          <w:color w:val="auto"/>
        </w:rPr>
        <w:t>.</w:t>
      </w:r>
      <w:r w:rsidRPr="00422CBC">
        <w:rPr>
          <w:color w:val="auto"/>
        </w:rPr>
        <w:t xml:space="preserve"> </w:t>
      </w:r>
      <w:r>
        <w:t>Nezaposlene osobe Krapinsko-zagorske županije prema obrazovanju i spolu 2020.</w:t>
      </w:r>
    </w:p>
    <w:p w14:paraId="27A8CB18" w14:textId="13F9BFBD" w:rsidR="00CB7C31" w:rsidRDefault="00211225" w:rsidP="00CB7C31">
      <w:pPr>
        <w:spacing w:after="0"/>
      </w:pPr>
      <w:r>
        <w:rPr>
          <w:noProof/>
        </w:rPr>
        <w:drawing>
          <wp:inline distT="0" distB="0" distL="0" distR="0" wp14:anchorId="6F3D7DF7" wp14:editId="1E83E47B">
            <wp:extent cx="5928360" cy="3139440"/>
            <wp:effectExtent l="0" t="0" r="15240" b="3810"/>
            <wp:docPr id="54" name="Grafikon 54">
              <a:extLst xmlns:a="http://schemas.openxmlformats.org/drawingml/2006/main">
                <a:ext uri="{FF2B5EF4-FFF2-40B4-BE49-F238E27FC236}">
                  <a16:creationId xmlns:a16="http://schemas.microsoft.com/office/drawing/2014/main" id="{84A5C008-3576-41AC-8393-AF869341AC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17822BB8" w14:textId="07FB4B86" w:rsidR="00CB7C31" w:rsidRDefault="00CB7C31" w:rsidP="00956CC8">
      <w:pPr>
        <w:pStyle w:val="Izvor"/>
        <w:rPr>
          <w:i/>
          <w:color w:val="ABABAB" w:themeColor="text1" w:themeTint="A6"/>
          <w:sz w:val="16"/>
          <w:szCs w:val="16"/>
        </w:rPr>
      </w:pPr>
      <w:r w:rsidRPr="00422CBC">
        <w:rPr>
          <w:i/>
          <w:color w:val="ABABAB" w:themeColor="text1" w:themeTint="A6"/>
          <w:sz w:val="16"/>
          <w:szCs w:val="16"/>
        </w:rPr>
        <w:t>Izvor: Hrvatski zavod za zapošljavanje, Statistika On-line: Registrirana nezaposlenost (</w:t>
      </w:r>
      <w:r w:rsidR="00211225" w:rsidRPr="00422CBC">
        <w:rPr>
          <w:i/>
          <w:color w:val="ABABAB" w:themeColor="text1" w:themeTint="A6"/>
          <w:sz w:val="16"/>
          <w:szCs w:val="16"/>
        </w:rPr>
        <w:t>veljača</w:t>
      </w:r>
      <w:r w:rsidRPr="00422CBC">
        <w:rPr>
          <w:i/>
          <w:color w:val="ABABAB" w:themeColor="text1" w:themeTint="A6"/>
          <w:sz w:val="16"/>
          <w:szCs w:val="16"/>
        </w:rPr>
        <w:t>, 202</w:t>
      </w:r>
      <w:r w:rsidR="00211225" w:rsidRPr="00422CBC">
        <w:rPr>
          <w:i/>
          <w:color w:val="ABABAB" w:themeColor="text1" w:themeTint="A6"/>
          <w:sz w:val="16"/>
          <w:szCs w:val="16"/>
        </w:rPr>
        <w:t>1</w:t>
      </w:r>
      <w:r w:rsidRPr="00422CBC">
        <w:rPr>
          <w:i/>
          <w:color w:val="ABABAB" w:themeColor="text1" w:themeTint="A6"/>
          <w:sz w:val="16"/>
          <w:szCs w:val="16"/>
        </w:rPr>
        <w:t>.)</w:t>
      </w:r>
    </w:p>
    <w:p w14:paraId="4E8D0FC6" w14:textId="77777777" w:rsidR="00422CBC" w:rsidRPr="00422CBC" w:rsidRDefault="00422CBC" w:rsidP="00956CC8">
      <w:pPr>
        <w:pStyle w:val="Izvor"/>
        <w:rPr>
          <w:i/>
          <w:color w:val="ABABAB" w:themeColor="text1" w:themeTint="A6"/>
          <w:sz w:val="16"/>
          <w:szCs w:val="16"/>
        </w:rPr>
      </w:pPr>
    </w:p>
    <w:p w14:paraId="00C47E63" w14:textId="3F7F6929" w:rsidR="00722DDE" w:rsidRDefault="00722DDE" w:rsidP="00722DDE">
      <w:r>
        <w:t>Prema evidenciji Zavoda za 20</w:t>
      </w:r>
      <w:r w:rsidR="00CB7C31">
        <w:t>20</w:t>
      </w:r>
      <w:r>
        <w:t>. godinu prema dobi prijavljenih nezaposlenih osoba s područja Krapinsko-zagorske županije prevladavaju osobe u dobi od 20 do 24 godine sa stečenom srednjom stručnom spremom, njih sveukupno 2</w:t>
      </w:r>
      <w:r w:rsidR="00CA3FD3">
        <w:t>6</w:t>
      </w:r>
      <w:r w:rsidR="00354112">
        <w:t>5</w:t>
      </w:r>
      <w:r>
        <w:t xml:space="preserve"> od čega je </w:t>
      </w:r>
      <w:r w:rsidR="00CA3FD3">
        <w:t>15</w:t>
      </w:r>
      <w:r w:rsidR="00354112">
        <w:t>2</w:t>
      </w:r>
      <w:r>
        <w:t xml:space="preserve"> osoba ženskog spola. </w:t>
      </w:r>
      <w:r w:rsidRPr="00B41FDA">
        <w:t xml:space="preserve">Druga najbrojnija kategorija nezaposlenih osoba prema dobi su osobe u dobi od 55 do 59 godina koje su završile srednju školu, njih sveukupno </w:t>
      </w:r>
      <w:r w:rsidR="00CA3FD3">
        <w:t>19</w:t>
      </w:r>
      <w:r w:rsidR="001E6718">
        <w:t>4</w:t>
      </w:r>
      <w:r w:rsidRPr="00B41FDA">
        <w:t xml:space="preserve"> od čega je 1</w:t>
      </w:r>
      <w:r w:rsidR="00CA3FD3">
        <w:t>11</w:t>
      </w:r>
      <w:r w:rsidRPr="00B41FDA">
        <w:t xml:space="preserve"> osoba muškog spola. Treća najbrojnija kategorija nezaposlenih osoba prema dobi su osobe o</w:t>
      </w:r>
      <w:r w:rsidR="00F862A3">
        <w:t>d</w:t>
      </w:r>
      <w:r w:rsidRPr="00B41FDA">
        <w:t xml:space="preserve"> </w:t>
      </w:r>
      <w:r w:rsidR="00CA3FD3">
        <w:t>25</w:t>
      </w:r>
      <w:r w:rsidRPr="00B41FDA">
        <w:t xml:space="preserve"> do </w:t>
      </w:r>
      <w:r w:rsidR="00CA3FD3">
        <w:t>29</w:t>
      </w:r>
      <w:r w:rsidRPr="00B41FDA">
        <w:t xml:space="preserve"> godina koje imaju završenu </w:t>
      </w:r>
      <w:r w:rsidR="00CA3FD3">
        <w:t>srednju</w:t>
      </w:r>
      <w:r w:rsidRPr="00B41FDA">
        <w:t xml:space="preserve"> školu, njih sveukupno 1</w:t>
      </w:r>
      <w:r w:rsidR="001E6718">
        <w:t>90</w:t>
      </w:r>
      <w:r w:rsidRPr="00B41FDA">
        <w:t xml:space="preserve"> od čega </w:t>
      </w:r>
      <w:r w:rsidR="00CA3FD3">
        <w:t>je</w:t>
      </w:r>
      <w:r w:rsidRPr="00B41FDA">
        <w:t xml:space="preserve"> 10</w:t>
      </w:r>
      <w:r w:rsidR="001E6718">
        <w:t>7</w:t>
      </w:r>
      <w:r w:rsidRPr="00B41FDA">
        <w:t xml:space="preserve"> osob</w:t>
      </w:r>
      <w:r w:rsidR="00CA3FD3">
        <w:t>a</w:t>
      </w:r>
      <w:r w:rsidRPr="00B41FDA">
        <w:t xml:space="preserve"> ženskog spola.</w:t>
      </w:r>
    </w:p>
    <w:p w14:paraId="0D314ED8" w14:textId="38B13FD2" w:rsidR="00722DDE" w:rsidRDefault="00722DDE" w:rsidP="00722DDE">
      <w:r>
        <w:t xml:space="preserve">Tijekom promatranog razdoblja najveći broj nezaposlenih osoba bio je star između 55 i 59 godina (u prosjeku </w:t>
      </w:r>
      <w:r w:rsidR="00CA3FD3">
        <w:t>389</w:t>
      </w:r>
      <w:r>
        <w:t xml:space="preserve"> osoba). Sljede</w:t>
      </w:r>
      <w:r w:rsidR="001E6718">
        <w:t>ć</w:t>
      </w:r>
      <w:r>
        <w:t xml:space="preserve">a skupina s najviše zastupljenih nezaposlenih osoba prema dobi obuhvaća mlade nezaposlene osobe od 20 do 24 godine (u prosjeku </w:t>
      </w:r>
      <w:r w:rsidR="001E6718">
        <w:t>je</w:t>
      </w:r>
      <w:r>
        <w:t xml:space="preserve"> bil</w:t>
      </w:r>
      <w:r w:rsidR="001E6718">
        <w:t>o</w:t>
      </w:r>
      <w:r>
        <w:t xml:space="preserve"> prijavljen</w:t>
      </w:r>
      <w:r w:rsidR="001E6718">
        <w:t>o</w:t>
      </w:r>
      <w:r>
        <w:t xml:space="preserve"> </w:t>
      </w:r>
      <w:r w:rsidR="00CA3FD3">
        <w:t>33</w:t>
      </w:r>
      <w:r w:rsidR="001E6718">
        <w:t>7</w:t>
      </w:r>
      <w:r>
        <w:t xml:space="preserve"> osob</w:t>
      </w:r>
      <w:r w:rsidR="001E6718">
        <w:t>a</w:t>
      </w:r>
      <w:r>
        <w:t xml:space="preserve">), a zatim i mlade osobe od 25 do 29 navršenih godina života (prosječno </w:t>
      </w:r>
      <w:r w:rsidR="001E6718">
        <w:t>je</w:t>
      </w:r>
      <w:r>
        <w:t xml:space="preserve"> bil</w:t>
      </w:r>
      <w:r w:rsidR="001E6718">
        <w:t>o</w:t>
      </w:r>
      <w:r>
        <w:t xml:space="preserve"> prijavljen</w:t>
      </w:r>
      <w:r w:rsidR="001E6718">
        <w:t>o</w:t>
      </w:r>
      <w:r>
        <w:t xml:space="preserve"> </w:t>
      </w:r>
      <w:r w:rsidR="00CA3FD3">
        <w:t>32</w:t>
      </w:r>
      <w:r w:rsidR="001E6718">
        <w:t>6</w:t>
      </w:r>
      <w:r>
        <w:t xml:space="preserve"> osob</w:t>
      </w:r>
      <w:r w:rsidR="001E6718">
        <w:t>a</w:t>
      </w:r>
      <w:r>
        <w:t xml:space="preserve">). </w:t>
      </w:r>
    </w:p>
    <w:p w14:paraId="16E78859" w14:textId="2CB2F193" w:rsidR="0003107D" w:rsidRDefault="00722DDE" w:rsidP="00722DDE">
      <w:r>
        <w:t xml:space="preserve">Iako su među nezaposlenima najviše zastupljeni mladi u dvadesetim godinama života, broj njihovih prijava na Hrvatski zavod za zapošljavanje značajno se smanjio u promatranom razdoblju (od 2015. godine do </w:t>
      </w:r>
      <w:r w:rsidR="00F04DD2">
        <w:t>2019</w:t>
      </w:r>
      <w:r>
        <w:t>. godine). Usporedbom broja nezaposlenih krajem 20</w:t>
      </w:r>
      <w:r w:rsidR="00F04DD2">
        <w:t>19</w:t>
      </w:r>
      <w:r>
        <w:t xml:space="preserve">. godine u odnosu na 2015. godinu, nezaposlenost u dobnoj skupini od 20 do 24 godine smanjenja je za </w:t>
      </w:r>
      <w:r w:rsidR="00E20708">
        <w:t>68</w:t>
      </w:r>
      <w:r w:rsidR="003279C2">
        <w:t>,</w:t>
      </w:r>
      <w:r w:rsidR="00F04DD2">
        <w:t>78</w:t>
      </w:r>
      <w:r>
        <w:t xml:space="preserve">% te </w:t>
      </w:r>
      <w:r w:rsidR="00F04DD2">
        <w:t>69</w:t>
      </w:r>
      <w:r w:rsidR="003279C2">
        <w:t>,</w:t>
      </w:r>
      <w:r w:rsidR="00F04DD2">
        <w:t>46</w:t>
      </w:r>
      <w:r>
        <w:t xml:space="preserve">% u dobnoj skupini od 25 do 29 godina. </w:t>
      </w:r>
      <w:r w:rsidR="00F04DD2">
        <w:t>U 2020. dolazi do povećanja u odnosu na 2019. godinu, u dobnoj skupini 20-24 za 19,93%</w:t>
      </w:r>
      <w:r w:rsidR="004353F9">
        <w:t>, a u dobnoj skupini 25-29 za 33,61%.</w:t>
      </w:r>
    </w:p>
    <w:p w14:paraId="67EA6399" w14:textId="25FBE490" w:rsidR="008B5667" w:rsidRDefault="008B5667" w:rsidP="00722DDE"/>
    <w:p w14:paraId="4B7C2514" w14:textId="74A75604" w:rsidR="008B5667" w:rsidRDefault="008B5667" w:rsidP="00722DDE"/>
    <w:p w14:paraId="529BCAEB" w14:textId="3DC46FC4" w:rsidR="008B5667" w:rsidRDefault="008B5667" w:rsidP="00722DDE"/>
    <w:p w14:paraId="3400763D" w14:textId="256582CE" w:rsidR="008B5667" w:rsidRDefault="008B5667" w:rsidP="00722DDE"/>
    <w:p w14:paraId="4257CC50" w14:textId="77777777" w:rsidR="00922BC7" w:rsidRDefault="00922BC7" w:rsidP="00722DDE"/>
    <w:p w14:paraId="4BADCB5F" w14:textId="235EFBA8" w:rsidR="00722DDE" w:rsidRDefault="00722DDE" w:rsidP="00722DDE">
      <w:r>
        <w:lastRenderedPageBreak/>
        <w:t xml:space="preserve">Grafikon </w:t>
      </w:r>
      <w:r w:rsidR="008B5667">
        <w:rPr>
          <w:noProof/>
        </w:rPr>
        <w:t>3</w:t>
      </w:r>
      <w:r w:rsidR="00CF4B96">
        <w:rPr>
          <w:noProof/>
        </w:rPr>
        <w:t>5</w:t>
      </w:r>
      <w:r>
        <w:rPr>
          <w:noProof/>
        </w:rPr>
        <w:t>.</w:t>
      </w:r>
      <w:r>
        <w:t xml:space="preserve"> Nezaposlene osobe Krapinsko-zagorske županije prema dobi (2015.-</w:t>
      </w:r>
      <w:r w:rsidR="00630D40">
        <w:t xml:space="preserve"> </w:t>
      </w:r>
      <w:r>
        <w:t>20</w:t>
      </w:r>
      <w:r w:rsidR="00D57829">
        <w:t>20</w:t>
      </w:r>
      <w:r>
        <w:t>.)</w:t>
      </w:r>
    </w:p>
    <w:p w14:paraId="655FD426" w14:textId="0BC50624" w:rsidR="00722DDE" w:rsidRDefault="00956CC8" w:rsidP="00D57829">
      <w:pPr>
        <w:spacing w:after="0"/>
        <w:rPr>
          <w:sz w:val="22"/>
          <w:szCs w:val="22"/>
        </w:rPr>
      </w:pPr>
      <w:r>
        <w:rPr>
          <w:noProof/>
        </w:rPr>
        <w:drawing>
          <wp:inline distT="0" distB="0" distL="0" distR="0" wp14:anchorId="2089426F" wp14:editId="6651BF91">
            <wp:extent cx="5867400" cy="2918460"/>
            <wp:effectExtent l="0" t="0" r="0" b="15240"/>
            <wp:docPr id="56" name="Grafikon 56">
              <a:extLst xmlns:a="http://schemas.openxmlformats.org/drawingml/2006/main">
                <a:ext uri="{FF2B5EF4-FFF2-40B4-BE49-F238E27FC236}">
                  <a16:creationId xmlns:a16="http://schemas.microsoft.com/office/drawing/2014/main" id="{2772C09C-D6B3-4624-8510-CDE7722061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3A55E44A" w14:textId="31E0C325" w:rsidR="00722DDE" w:rsidRDefault="00722DDE" w:rsidP="00A10E75">
      <w:pPr>
        <w:pStyle w:val="Izvor"/>
        <w:rPr>
          <w:i/>
          <w:color w:val="ABABAB" w:themeColor="text1" w:themeTint="A6"/>
          <w:sz w:val="16"/>
          <w:szCs w:val="16"/>
        </w:rPr>
      </w:pPr>
      <w:r w:rsidRPr="00422CBC">
        <w:rPr>
          <w:i/>
          <w:color w:val="ABABAB" w:themeColor="text1" w:themeTint="A6"/>
          <w:sz w:val="16"/>
          <w:szCs w:val="16"/>
        </w:rPr>
        <w:t>Izvor: Hrvatski zavod za zapošljavanje, Statistika On-line: Registrirana nezaposlenost (</w:t>
      </w:r>
      <w:r w:rsidR="00956CC8" w:rsidRPr="00422CBC">
        <w:rPr>
          <w:i/>
          <w:color w:val="ABABAB" w:themeColor="text1" w:themeTint="A6"/>
          <w:sz w:val="16"/>
          <w:szCs w:val="16"/>
        </w:rPr>
        <w:t>veljača</w:t>
      </w:r>
      <w:r w:rsidRPr="00422CBC">
        <w:rPr>
          <w:i/>
          <w:color w:val="ABABAB" w:themeColor="text1" w:themeTint="A6"/>
          <w:sz w:val="16"/>
          <w:szCs w:val="16"/>
        </w:rPr>
        <w:t>, 20</w:t>
      </w:r>
      <w:r w:rsidR="00D57829" w:rsidRPr="00422CBC">
        <w:rPr>
          <w:i/>
          <w:color w:val="ABABAB" w:themeColor="text1" w:themeTint="A6"/>
          <w:sz w:val="16"/>
          <w:szCs w:val="16"/>
        </w:rPr>
        <w:t>2</w:t>
      </w:r>
      <w:r w:rsidR="00956CC8" w:rsidRPr="00422CBC">
        <w:rPr>
          <w:i/>
          <w:color w:val="ABABAB" w:themeColor="text1" w:themeTint="A6"/>
          <w:sz w:val="16"/>
          <w:szCs w:val="16"/>
        </w:rPr>
        <w:t>1</w:t>
      </w:r>
      <w:r w:rsidRPr="00422CBC">
        <w:rPr>
          <w:i/>
          <w:color w:val="ABABAB" w:themeColor="text1" w:themeTint="A6"/>
          <w:sz w:val="16"/>
          <w:szCs w:val="16"/>
        </w:rPr>
        <w:t>.)</w:t>
      </w:r>
    </w:p>
    <w:p w14:paraId="16AB21FC" w14:textId="77777777" w:rsidR="00422CBC" w:rsidRPr="00422CBC" w:rsidRDefault="00422CBC" w:rsidP="00A10E75">
      <w:pPr>
        <w:pStyle w:val="Izvor"/>
        <w:rPr>
          <w:i/>
          <w:color w:val="ABABAB" w:themeColor="text1" w:themeTint="A6"/>
          <w:sz w:val="16"/>
          <w:szCs w:val="16"/>
        </w:rPr>
      </w:pPr>
    </w:p>
    <w:p w14:paraId="0C23B31E" w14:textId="193584AB" w:rsidR="00722DDE" w:rsidRDefault="00722DDE" w:rsidP="00722DDE">
      <w:r>
        <w:t>Većina mladih osoba po završetku svog obrazovanja prijavljuje se na Hrvatski zavod za zapošljavanje radi stjecanja uvjeta korištenja mjere stručnog osposobljavanja za rad bez zasnivanja radnog odnosa, odnosno pripravništva ili neke druge mjere aktivne politike zapošljavanja koje provodi Zavod. Podaci u tablici u nastavku prikazuju broj korisnika mjera aktivne politike zapošljavanja na području Krapinsko-zagorske županije</w:t>
      </w:r>
      <w:r>
        <w:rPr>
          <w:rStyle w:val="Referencafusnote"/>
        </w:rPr>
        <w:footnoteReference w:id="62"/>
      </w:r>
      <w:r>
        <w:t xml:space="preserve">. </w:t>
      </w:r>
    </w:p>
    <w:p w14:paraId="352F64E5" w14:textId="77777777" w:rsidR="00422CBC" w:rsidRPr="00385DA1" w:rsidRDefault="00422CBC" w:rsidP="00722DDE"/>
    <w:p w14:paraId="509B3D45" w14:textId="2AFD0926" w:rsidR="00722DDE" w:rsidRDefault="00722DDE" w:rsidP="003E3F3C">
      <w:pPr>
        <w:pStyle w:val="Opisslike"/>
      </w:pPr>
      <w:r>
        <w:t xml:space="preserve">Tablica </w:t>
      </w:r>
      <w:r w:rsidR="00422CBC">
        <w:rPr>
          <w:noProof/>
        </w:rPr>
        <w:t>6</w:t>
      </w:r>
      <w:r w:rsidR="000D5E3F">
        <w:rPr>
          <w:noProof/>
        </w:rPr>
        <w:t>7</w:t>
      </w:r>
      <w:r>
        <w:rPr>
          <w:noProof/>
        </w:rPr>
        <w:t>.</w:t>
      </w:r>
      <w:r>
        <w:t xml:space="preserve"> </w:t>
      </w:r>
      <w:bookmarkStart w:id="130" w:name="_Hlk60298469"/>
      <w:r>
        <w:t xml:space="preserve">Broj korisnika mjera aktivne politike zapošljavanja na području Krapinsko-zagorske županije </w:t>
      </w:r>
      <w:bookmarkEnd w:id="130"/>
      <w:r>
        <w:t>(2015.-20</w:t>
      </w:r>
      <w:r w:rsidR="00630D40">
        <w:t>20</w:t>
      </w:r>
      <w:r>
        <w:t>.)</w:t>
      </w:r>
      <w:r>
        <w:rPr>
          <w:rStyle w:val="Referencafusnote"/>
        </w:rPr>
        <w:footnoteReference w:id="63"/>
      </w:r>
    </w:p>
    <w:tbl>
      <w:tblPr>
        <w:tblW w:w="9000" w:type="dxa"/>
        <w:tblLook w:val="04A0" w:firstRow="1" w:lastRow="0" w:firstColumn="1" w:lastColumn="0" w:noHBand="0" w:noVBand="1"/>
      </w:tblPr>
      <w:tblGrid>
        <w:gridCol w:w="1460"/>
        <w:gridCol w:w="1900"/>
        <w:gridCol w:w="940"/>
        <w:gridCol w:w="940"/>
        <w:gridCol w:w="940"/>
        <w:gridCol w:w="940"/>
        <w:gridCol w:w="940"/>
        <w:gridCol w:w="940"/>
      </w:tblGrid>
      <w:tr w:rsidR="00630D40" w:rsidRPr="00630D40" w14:paraId="463ADF7A" w14:textId="77777777" w:rsidTr="00047004">
        <w:trPr>
          <w:trHeight w:val="333"/>
        </w:trPr>
        <w:tc>
          <w:tcPr>
            <w:tcW w:w="3360" w:type="dxa"/>
            <w:gridSpan w:val="2"/>
            <w:tcBorders>
              <w:top w:val="nil"/>
              <w:left w:val="nil"/>
              <w:bottom w:val="single" w:sz="8" w:space="0" w:color="F3CFC1"/>
              <w:right w:val="single" w:sz="8" w:space="0" w:color="FFFFFF"/>
            </w:tcBorders>
            <w:shd w:val="clear" w:color="000000" w:fill="D2232A"/>
            <w:vAlign w:val="center"/>
            <w:hideMark/>
          </w:tcPr>
          <w:p w14:paraId="6AD0698C" w14:textId="77777777" w:rsidR="00630D40" w:rsidRPr="00630D40" w:rsidRDefault="00630D40" w:rsidP="00630D40">
            <w:pPr>
              <w:spacing w:after="0" w:line="240" w:lineRule="auto"/>
              <w:rPr>
                <w:rFonts w:eastAsia="Times New Roman" w:cs="Calibri"/>
                <w:color w:val="FFFFFF"/>
                <w:szCs w:val="18"/>
                <w:lang w:eastAsia="hr-HR"/>
              </w:rPr>
            </w:pPr>
            <w:r w:rsidRPr="00630D40">
              <w:rPr>
                <w:rFonts w:eastAsia="Times New Roman" w:cs="Calibri"/>
                <w:color w:val="FFFFFF"/>
                <w:szCs w:val="18"/>
                <w:lang w:eastAsia="hr-HR"/>
              </w:rPr>
              <w:t xml:space="preserve">      MJERA</w:t>
            </w:r>
          </w:p>
        </w:tc>
        <w:tc>
          <w:tcPr>
            <w:tcW w:w="940" w:type="dxa"/>
            <w:tcBorders>
              <w:top w:val="nil"/>
              <w:left w:val="nil"/>
              <w:bottom w:val="single" w:sz="8" w:space="0" w:color="F3CFC1"/>
              <w:right w:val="single" w:sz="8" w:space="0" w:color="FFFFFF"/>
            </w:tcBorders>
            <w:shd w:val="clear" w:color="000000" w:fill="D2232A"/>
            <w:noWrap/>
            <w:vAlign w:val="center"/>
            <w:hideMark/>
          </w:tcPr>
          <w:p w14:paraId="586E1831" w14:textId="77777777" w:rsidR="00630D40" w:rsidRPr="00630D40" w:rsidRDefault="00630D40" w:rsidP="00630D40">
            <w:pPr>
              <w:spacing w:after="0" w:line="240" w:lineRule="auto"/>
              <w:jc w:val="center"/>
              <w:rPr>
                <w:rFonts w:eastAsia="Times New Roman" w:cs="Calibri"/>
                <w:b/>
                <w:bCs/>
                <w:color w:val="FFFFFF"/>
                <w:szCs w:val="18"/>
                <w:lang w:eastAsia="hr-HR"/>
              </w:rPr>
            </w:pPr>
            <w:r w:rsidRPr="00630D40">
              <w:rPr>
                <w:rFonts w:eastAsia="Times New Roman" w:cs="Calibri"/>
                <w:b/>
                <w:bCs/>
                <w:color w:val="FFFFFF"/>
                <w:szCs w:val="18"/>
                <w:lang w:eastAsia="hr-HR"/>
              </w:rPr>
              <w:t>2015.</w:t>
            </w:r>
          </w:p>
        </w:tc>
        <w:tc>
          <w:tcPr>
            <w:tcW w:w="940" w:type="dxa"/>
            <w:tcBorders>
              <w:top w:val="nil"/>
              <w:left w:val="nil"/>
              <w:bottom w:val="single" w:sz="8" w:space="0" w:color="F3CFC1"/>
              <w:right w:val="single" w:sz="8" w:space="0" w:color="FFFFFF"/>
            </w:tcBorders>
            <w:shd w:val="clear" w:color="000000" w:fill="D2232A"/>
            <w:noWrap/>
            <w:vAlign w:val="center"/>
            <w:hideMark/>
          </w:tcPr>
          <w:p w14:paraId="12A30537" w14:textId="77777777" w:rsidR="00630D40" w:rsidRPr="00630D40" w:rsidRDefault="00630D40" w:rsidP="00630D40">
            <w:pPr>
              <w:spacing w:after="0" w:line="240" w:lineRule="auto"/>
              <w:jc w:val="center"/>
              <w:rPr>
                <w:rFonts w:eastAsia="Times New Roman" w:cs="Calibri"/>
                <w:b/>
                <w:bCs/>
                <w:color w:val="FFFFFF"/>
                <w:szCs w:val="18"/>
                <w:lang w:eastAsia="hr-HR"/>
              </w:rPr>
            </w:pPr>
            <w:r w:rsidRPr="00630D40">
              <w:rPr>
                <w:rFonts w:eastAsia="Times New Roman" w:cs="Calibri"/>
                <w:b/>
                <w:bCs/>
                <w:color w:val="FFFFFF"/>
                <w:szCs w:val="18"/>
                <w:lang w:eastAsia="hr-HR"/>
              </w:rPr>
              <w:t>2016.</w:t>
            </w:r>
          </w:p>
        </w:tc>
        <w:tc>
          <w:tcPr>
            <w:tcW w:w="940" w:type="dxa"/>
            <w:tcBorders>
              <w:top w:val="nil"/>
              <w:left w:val="nil"/>
              <w:bottom w:val="single" w:sz="8" w:space="0" w:color="F3CFC1"/>
              <w:right w:val="single" w:sz="8" w:space="0" w:color="FFFFFF"/>
            </w:tcBorders>
            <w:shd w:val="clear" w:color="000000" w:fill="D2232A"/>
            <w:noWrap/>
            <w:vAlign w:val="center"/>
            <w:hideMark/>
          </w:tcPr>
          <w:p w14:paraId="130BDAA9" w14:textId="77777777" w:rsidR="00630D40" w:rsidRPr="00630D40" w:rsidRDefault="00630D40" w:rsidP="00630D40">
            <w:pPr>
              <w:spacing w:after="0" w:line="240" w:lineRule="auto"/>
              <w:jc w:val="center"/>
              <w:rPr>
                <w:rFonts w:eastAsia="Times New Roman" w:cs="Calibri"/>
                <w:b/>
                <w:bCs/>
                <w:color w:val="FFFFFF"/>
                <w:szCs w:val="18"/>
                <w:lang w:eastAsia="hr-HR"/>
              </w:rPr>
            </w:pPr>
            <w:r w:rsidRPr="00630D40">
              <w:rPr>
                <w:rFonts w:eastAsia="Times New Roman" w:cs="Calibri"/>
                <w:b/>
                <w:bCs/>
                <w:color w:val="FFFFFF"/>
                <w:szCs w:val="18"/>
                <w:lang w:eastAsia="hr-HR"/>
              </w:rPr>
              <w:t>2017.</w:t>
            </w:r>
          </w:p>
        </w:tc>
        <w:tc>
          <w:tcPr>
            <w:tcW w:w="940" w:type="dxa"/>
            <w:tcBorders>
              <w:top w:val="nil"/>
              <w:left w:val="nil"/>
              <w:bottom w:val="single" w:sz="8" w:space="0" w:color="F3CFC1"/>
              <w:right w:val="single" w:sz="8" w:space="0" w:color="FFFFFF"/>
            </w:tcBorders>
            <w:shd w:val="clear" w:color="000000" w:fill="D2232A"/>
            <w:noWrap/>
            <w:vAlign w:val="center"/>
            <w:hideMark/>
          </w:tcPr>
          <w:p w14:paraId="48D04A67" w14:textId="77777777" w:rsidR="00630D40" w:rsidRPr="00630D40" w:rsidRDefault="00630D40" w:rsidP="00630D40">
            <w:pPr>
              <w:spacing w:after="0" w:line="240" w:lineRule="auto"/>
              <w:jc w:val="center"/>
              <w:rPr>
                <w:rFonts w:eastAsia="Times New Roman" w:cs="Calibri"/>
                <w:b/>
                <w:bCs/>
                <w:color w:val="FFFFFF"/>
                <w:szCs w:val="18"/>
                <w:lang w:eastAsia="hr-HR"/>
              </w:rPr>
            </w:pPr>
            <w:r w:rsidRPr="00630D40">
              <w:rPr>
                <w:rFonts w:eastAsia="Times New Roman" w:cs="Calibri"/>
                <w:b/>
                <w:bCs/>
                <w:color w:val="FFFFFF"/>
                <w:szCs w:val="18"/>
                <w:lang w:eastAsia="hr-HR"/>
              </w:rPr>
              <w:t>2018.</w:t>
            </w:r>
          </w:p>
        </w:tc>
        <w:tc>
          <w:tcPr>
            <w:tcW w:w="940" w:type="dxa"/>
            <w:tcBorders>
              <w:top w:val="nil"/>
              <w:left w:val="nil"/>
              <w:bottom w:val="single" w:sz="8" w:space="0" w:color="F3CFC1"/>
              <w:right w:val="single" w:sz="8" w:space="0" w:color="FFFFFF"/>
            </w:tcBorders>
            <w:shd w:val="clear" w:color="000000" w:fill="D2232A"/>
            <w:noWrap/>
            <w:vAlign w:val="center"/>
            <w:hideMark/>
          </w:tcPr>
          <w:p w14:paraId="79C3366B" w14:textId="77777777" w:rsidR="00630D40" w:rsidRPr="00630D40" w:rsidRDefault="00630D40" w:rsidP="00630D40">
            <w:pPr>
              <w:spacing w:after="0" w:line="240" w:lineRule="auto"/>
              <w:jc w:val="center"/>
              <w:rPr>
                <w:rFonts w:eastAsia="Times New Roman" w:cs="Calibri"/>
                <w:b/>
                <w:bCs/>
                <w:color w:val="FFFFFF"/>
                <w:szCs w:val="18"/>
                <w:lang w:eastAsia="hr-HR"/>
              </w:rPr>
            </w:pPr>
            <w:r w:rsidRPr="00630D40">
              <w:rPr>
                <w:rFonts w:eastAsia="Times New Roman" w:cs="Calibri"/>
                <w:b/>
                <w:bCs/>
                <w:color w:val="FFFFFF"/>
                <w:szCs w:val="18"/>
                <w:lang w:eastAsia="hr-HR"/>
              </w:rPr>
              <w:t>2019.</w:t>
            </w:r>
          </w:p>
        </w:tc>
        <w:tc>
          <w:tcPr>
            <w:tcW w:w="940" w:type="dxa"/>
            <w:tcBorders>
              <w:top w:val="nil"/>
              <w:left w:val="nil"/>
              <w:bottom w:val="single" w:sz="8" w:space="0" w:color="F3CFC1"/>
              <w:right w:val="single" w:sz="8" w:space="0" w:color="D2232A"/>
            </w:tcBorders>
            <w:shd w:val="clear" w:color="000000" w:fill="D2232A"/>
            <w:noWrap/>
            <w:vAlign w:val="center"/>
            <w:hideMark/>
          </w:tcPr>
          <w:p w14:paraId="510BA161" w14:textId="77777777" w:rsidR="00630D40" w:rsidRPr="00630D40" w:rsidRDefault="00630D40" w:rsidP="00630D40">
            <w:pPr>
              <w:spacing w:after="0" w:line="240" w:lineRule="auto"/>
              <w:jc w:val="center"/>
              <w:rPr>
                <w:rFonts w:eastAsia="Times New Roman" w:cs="Calibri"/>
                <w:b/>
                <w:bCs/>
                <w:color w:val="FFFFFF"/>
                <w:szCs w:val="18"/>
                <w:lang w:eastAsia="hr-HR"/>
              </w:rPr>
            </w:pPr>
            <w:r w:rsidRPr="00630D40">
              <w:rPr>
                <w:rFonts w:eastAsia="Times New Roman" w:cs="Calibri"/>
                <w:b/>
                <w:bCs/>
                <w:color w:val="FFFFFF"/>
                <w:szCs w:val="18"/>
                <w:lang w:eastAsia="hr-HR"/>
              </w:rPr>
              <w:t>2020.</w:t>
            </w:r>
          </w:p>
        </w:tc>
      </w:tr>
      <w:tr w:rsidR="00630D40" w:rsidRPr="00630D40" w14:paraId="72E73AA3" w14:textId="77777777" w:rsidTr="00630D40">
        <w:trPr>
          <w:trHeight w:val="468"/>
        </w:trPr>
        <w:tc>
          <w:tcPr>
            <w:tcW w:w="1460" w:type="dxa"/>
            <w:vMerge w:val="restart"/>
            <w:tcBorders>
              <w:top w:val="nil"/>
              <w:left w:val="nil"/>
              <w:bottom w:val="single" w:sz="8" w:space="0" w:color="FFFFFF"/>
              <w:right w:val="nil"/>
            </w:tcBorders>
            <w:shd w:val="clear" w:color="000000" w:fill="D2232A"/>
            <w:vAlign w:val="center"/>
            <w:hideMark/>
          </w:tcPr>
          <w:p w14:paraId="5B9C31F9" w14:textId="77777777" w:rsidR="00630D40" w:rsidRPr="00630D40" w:rsidRDefault="00630D40" w:rsidP="00630D40">
            <w:pPr>
              <w:spacing w:after="0" w:line="240" w:lineRule="auto"/>
              <w:jc w:val="left"/>
              <w:rPr>
                <w:rFonts w:eastAsia="Times New Roman" w:cs="Calibri"/>
                <w:color w:val="FFFFFF"/>
                <w:szCs w:val="18"/>
                <w:lang w:eastAsia="hr-HR"/>
              </w:rPr>
            </w:pPr>
            <w:r w:rsidRPr="00630D40">
              <w:rPr>
                <w:rFonts w:eastAsia="Times New Roman" w:cs="Calibri"/>
                <w:color w:val="FFFFFF"/>
                <w:szCs w:val="18"/>
                <w:lang w:eastAsia="hr-HR"/>
              </w:rPr>
              <w:t>Potpore za zapošljavanje</w:t>
            </w:r>
          </w:p>
        </w:tc>
        <w:tc>
          <w:tcPr>
            <w:tcW w:w="1900" w:type="dxa"/>
            <w:tcBorders>
              <w:top w:val="nil"/>
              <w:left w:val="nil"/>
              <w:bottom w:val="single" w:sz="8" w:space="0" w:color="F3CFC1"/>
              <w:right w:val="single" w:sz="8" w:space="0" w:color="D2232A"/>
            </w:tcBorders>
            <w:shd w:val="clear" w:color="auto" w:fill="auto"/>
            <w:vAlign w:val="center"/>
            <w:hideMark/>
          </w:tcPr>
          <w:p w14:paraId="1235F174" w14:textId="77777777" w:rsidR="00630D40" w:rsidRPr="00630D40" w:rsidRDefault="00630D40" w:rsidP="00630D40">
            <w:pPr>
              <w:spacing w:after="0" w:line="240" w:lineRule="auto"/>
              <w:jc w:val="left"/>
              <w:rPr>
                <w:rFonts w:eastAsia="Times New Roman" w:cs="Calibri"/>
                <w:color w:val="3F3F3F"/>
                <w:szCs w:val="18"/>
                <w:lang w:eastAsia="hr-HR"/>
              </w:rPr>
            </w:pPr>
            <w:r w:rsidRPr="00630D40">
              <w:rPr>
                <w:rFonts w:eastAsia="Times New Roman" w:cs="Calibri"/>
                <w:color w:val="3F3F3F"/>
                <w:szCs w:val="18"/>
                <w:lang w:eastAsia="hr-HR"/>
              </w:rPr>
              <w:t>osobe sa stažem osiguranja</w:t>
            </w:r>
          </w:p>
        </w:tc>
        <w:tc>
          <w:tcPr>
            <w:tcW w:w="940" w:type="dxa"/>
            <w:tcBorders>
              <w:top w:val="nil"/>
              <w:left w:val="nil"/>
              <w:bottom w:val="single" w:sz="8" w:space="0" w:color="F3CFC1"/>
              <w:right w:val="single" w:sz="8" w:space="0" w:color="D2232A"/>
            </w:tcBorders>
            <w:shd w:val="clear" w:color="auto" w:fill="auto"/>
            <w:vAlign w:val="center"/>
            <w:hideMark/>
          </w:tcPr>
          <w:p w14:paraId="3A7CBA5F"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5E069013"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3CD20045"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81</w:t>
            </w:r>
          </w:p>
        </w:tc>
        <w:tc>
          <w:tcPr>
            <w:tcW w:w="940" w:type="dxa"/>
            <w:tcBorders>
              <w:top w:val="nil"/>
              <w:left w:val="nil"/>
              <w:bottom w:val="single" w:sz="8" w:space="0" w:color="F3CFC1"/>
              <w:right w:val="single" w:sz="8" w:space="0" w:color="D2232A"/>
            </w:tcBorders>
            <w:shd w:val="clear" w:color="auto" w:fill="auto"/>
            <w:vAlign w:val="center"/>
            <w:hideMark/>
          </w:tcPr>
          <w:p w14:paraId="5F6128F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146</w:t>
            </w:r>
          </w:p>
        </w:tc>
        <w:tc>
          <w:tcPr>
            <w:tcW w:w="940" w:type="dxa"/>
            <w:tcBorders>
              <w:top w:val="nil"/>
              <w:left w:val="nil"/>
              <w:bottom w:val="single" w:sz="8" w:space="0" w:color="F3CFC1"/>
              <w:right w:val="single" w:sz="8" w:space="0" w:color="D2232A"/>
            </w:tcBorders>
            <w:shd w:val="clear" w:color="auto" w:fill="auto"/>
            <w:vAlign w:val="center"/>
            <w:hideMark/>
          </w:tcPr>
          <w:p w14:paraId="2D6D53AA"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141</w:t>
            </w:r>
          </w:p>
        </w:tc>
        <w:tc>
          <w:tcPr>
            <w:tcW w:w="940" w:type="dxa"/>
            <w:tcBorders>
              <w:top w:val="nil"/>
              <w:left w:val="nil"/>
              <w:bottom w:val="single" w:sz="8" w:space="0" w:color="F3CFC1"/>
              <w:right w:val="single" w:sz="8" w:space="0" w:color="D2232A"/>
            </w:tcBorders>
            <w:shd w:val="clear" w:color="auto" w:fill="auto"/>
            <w:vAlign w:val="center"/>
            <w:hideMark/>
          </w:tcPr>
          <w:p w14:paraId="562F629E"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80</w:t>
            </w:r>
          </w:p>
        </w:tc>
      </w:tr>
      <w:tr w:rsidR="00630D40" w:rsidRPr="00630D40" w14:paraId="2A7AA371" w14:textId="77777777" w:rsidTr="00630D40">
        <w:trPr>
          <w:trHeight w:val="468"/>
        </w:trPr>
        <w:tc>
          <w:tcPr>
            <w:tcW w:w="1460" w:type="dxa"/>
            <w:vMerge/>
            <w:tcBorders>
              <w:top w:val="nil"/>
              <w:left w:val="nil"/>
              <w:bottom w:val="single" w:sz="8" w:space="0" w:color="FFFFFF"/>
              <w:right w:val="nil"/>
            </w:tcBorders>
            <w:vAlign w:val="center"/>
            <w:hideMark/>
          </w:tcPr>
          <w:p w14:paraId="2BC166FE" w14:textId="77777777" w:rsidR="00630D40" w:rsidRPr="00630D40" w:rsidRDefault="00630D40" w:rsidP="00630D40">
            <w:pPr>
              <w:spacing w:after="0" w:line="240" w:lineRule="auto"/>
              <w:jc w:val="left"/>
              <w:rPr>
                <w:rFonts w:eastAsia="Times New Roman" w:cs="Calibri"/>
                <w:color w:val="FFFFFF"/>
                <w:szCs w:val="18"/>
                <w:lang w:eastAsia="hr-HR"/>
              </w:rPr>
            </w:pPr>
          </w:p>
        </w:tc>
        <w:tc>
          <w:tcPr>
            <w:tcW w:w="1900" w:type="dxa"/>
            <w:tcBorders>
              <w:top w:val="nil"/>
              <w:left w:val="nil"/>
              <w:bottom w:val="single" w:sz="8" w:space="0" w:color="F3CFC1"/>
              <w:right w:val="single" w:sz="8" w:space="0" w:color="D2232A"/>
            </w:tcBorders>
            <w:shd w:val="clear" w:color="auto" w:fill="auto"/>
            <w:vAlign w:val="center"/>
            <w:hideMark/>
          </w:tcPr>
          <w:p w14:paraId="3598E7C7" w14:textId="77777777" w:rsidR="00630D40" w:rsidRPr="00630D40" w:rsidRDefault="00630D40" w:rsidP="00630D40">
            <w:pPr>
              <w:spacing w:after="0" w:line="240" w:lineRule="auto"/>
              <w:jc w:val="left"/>
              <w:rPr>
                <w:rFonts w:eastAsia="Times New Roman" w:cs="Calibri"/>
                <w:color w:val="3F3F3F"/>
                <w:szCs w:val="18"/>
                <w:lang w:eastAsia="hr-HR"/>
              </w:rPr>
            </w:pPr>
            <w:r w:rsidRPr="00630D40">
              <w:rPr>
                <w:rFonts w:eastAsia="Times New Roman" w:cs="Calibri"/>
                <w:color w:val="3F3F3F"/>
                <w:szCs w:val="18"/>
                <w:lang w:eastAsia="hr-HR"/>
              </w:rPr>
              <w:t>osobe bez staža osiguranja</w:t>
            </w:r>
          </w:p>
        </w:tc>
        <w:tc>
          <w:tcPr>
            <w:tcW w:w="940" w:type="dxa"/>
            <w:tcBorders>
              <w:top w:val="nil"/>
              <w:left w:val="nil"/>
              <w:bottom w:val="single" w:sz="8" w:space="0" w:color="F3CFC1"/>
              <w:right w:val="single" w:sz="8" w:space="0" w:color="D2232A"/>
            </w:tcBorders>
            <w:shd w:val="clear" w:color="auto" w:fill="auto"/>
            <w:vAlign w:val="center"/>
            <w:hideMark/>
          </w:tcPr>
          <w:p w14:paraId="46009E6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88</w:t>
            </w:r>
          </w:p>
        </w:tc>
        <w:tc>
          <w:tcPr>
            <w:tcW w:w="940" w:type="dxa"/>
            <w:tcBorders>
              <w:top w:val="nil"/>
              <w:left w:val="nil"/>
              <w:bottom w:val="single" w:sz="8" w:space="0" w:color="F3CFC1"/>
              <w:right w:val="single" w:sz="8" w:space="0" w:color="D2232A"/>
            </w:tcBorders>
            <w:shd w:val="clear" w:color="auto" w:fill="auto"/>
            <w:vAlign w:val="center"/>
            <w:hideMark/>
          </w:tcPr>
          <w:p w14:paraId="20C9987B"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84</w:t>
            </w:r>
          </w:p>
        </w:tc>
        <w:tc>
          <w:tcPr>
            <w:tcW w:w="940" w:type="dxa"/>
            <w:tcBorders>
              <w:top w:val="nil"/>
              <w:left w:val="nil"/>
              <w:bottom w:val="single" w:sz="8" w:space="0" w:color="F3CFC1"/>
              <w:right w:val="single" w:sz="8" w:space="0" w:color="D2232A"/>
            </w:tcBorders>
            <w:shd w:val="clear" w:color="auto" w:fill="auto"/>
            <w:vAlign w:val="center"/>
            <w:hideMark/>
          </w:tcPr>
          <w:p w14:paraId="70EB6FF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110</w:t>
            </w:r>
          </w:p>
        </w:tc>
        <w:tc>
          <w:tcPr>
            <w:tcW w:w="940" w:type="dxa"/>
            <w:tcBorders>
              <w:top w:val="nil"/>
              <w:left w:val="nil"/>
              <w:bottom w:val="single" w:sz="8" w:space="0" w:color="F3CFC1"/>
              <w:right w:val="single" w:sz="8" w:space="0" w:color="D2232A"/>
            </w:tcBorders>
            <w:shd w:val="clear" w:color="auto" w:fill="auto"/>
            <w:vAlign w:val="center"/>
            <w:hideMark/>
          </w:tcPr>
          <w:p w14:paraId="133322F0"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84</w:t>
            </w:r>
          </w:p>
        </w:tc>
        <w:tc>
          <w:tcPr>
            <w:tcW w:w="940" w:type="dxa"/>
            <w:tcBorders>
              <w:top w:val="nil"/>
              <w:left w:val="nil"/>
              <w:bottom w:val="single" w:sz="8" w:space="0" w:color="F3CFC1"/>
              <w:right w:val="single" w:sz="8" w:space="0" w:color="D2232A"/>
            </w:tcBorders>
            <w:shd w:val="clear" w:color="auto" w:fill="auto"/>
            <w:vAlign w:val="center"/>
            <w:hideMark/>
          </w:tcPr>
          <w:p w14:paraId="2BCFFA53"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96</w:t>
            </w:r>
          </w:p>
        </w:tc>
        <w:tc>
          <w:tcPr>
            <w:tcW w:w="940" w:type="dxa"/>
            <w:tcBorders>
              <w:top w:val="nil"/>
              <w:left w:val="nil"/>
              <w:bottom w:val="single" w:sz="8" w:space="0" w:color="F3CFC1"/>
              <w:right w:val="single" w:sz="8" w:space="0" w:color="D2232A"/>
            </w:tcBorders>
            <w:shd w:val="clear" w:color="auto" w:fill="auto"/>
            <w:vAlign w:val="center"/>
            <w:hideMark/>
          </w:tcPr>
          <w:p w14:paraId="64C3114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91</w:t>
            </w:r>
          </w:p>
        </w:tc>
      </w:tr>
      <w:tr w:rsidR="00630D40" w:rsidRPr="00630D40" w14:paraId="746EFBF0" w14:textId="77777777" w:rsidTr="00630D40">
        <w:trPr>
          <w:trHeight w:val="468"/>
        </w:trPr>
        <w:tc>
          <w:tcPr>
            <w:tcW w:w="1460" w:type="dxa"/>
            <w:vMerge/>
            <w:tcBorders>
              <w:top w:val="nil"/>
              <w:left w:val="nil"/>
              <w:bottom w:val="single" w:sz="8" w:space="0" w:color="FFFFFF"/>
              <w:right w:val="nil"/>
            </w:tcBorders>
            <w:vAlign w:val="center"/>
            <w:hideMark/>
          </w:tcPr>
          <w:p w14:paraId="3DDCE6F0" w14:textId="77777777" w:rsidR="00630D40" w:rsidRPr="00630D40" w:rsidRDefault="00630D40" w:rsidP="00630D40">
            <w:pPr>
              <w:spacing w:after="0" w:line="240" w:lineRule="auto"/>
              <w:jc w:val="left"/>
              <w:rPr>
                <w:rFonts w:eastAsia="Times New Roman" w:cs="Calibri"/>
                <w:color w:val="FFFFFF"/>
                <w:szCs w:val="18"/>
                <w:lang w:eastAsia="hr-HR"/>
              </w:rPr>
            </w:pPr>
          </w:p>
        </w:tc>
        <w:tc>
          <w:tcPr>
            <w:tcW w:w="1900" w:type="dxa"/>
            <w:tcBorders>
              <w:top w:val="nil"/>
              <w:left w:val="nil"/>
              <w:bottom w:val="single" w:sz="8" w:space="0" w:color="F3CFC1"/>
              <w:right w:val="single" w:sz="8" w:space="0" w:color="D2232A"/>
            </w:tcBorders>
            <w:shd w:val="clear" w:color="auto" w:fill="auto"/>
            <w:vAlign w:val="center"/>
            <w:hideMark/>
          </w:tcPr>
          <w:p w14:paraId="5E946A90" w14:textId="77777777" w:rsidR="00630D40" w:rsidRPr="00630D40" w:rsidRDefault="00630D40" w:rsidP="00630D40">
            <w:pPr>
              <w:spacing w:after="0" w:line="240" w:lineRule="auto"/>
              <w:jc w:val="left"/>
              <w:rPr>
                <w:rFonts w:eastAsia="Times New Roman" w:cs="Calibri"/>
                <w:color w:val="3F3F3F"/>
                <w:szCs w:val="18"/>
                <w:lang w:eastAsia="hr-HR"/>
              </w:rPr>
            </w:pPr>
            <w:r w:rsidRPr="00630D40">
              <w:rPr>
                <w:rFonts w:eastAsia="Times New Roman" w:cs="Calibri"/>
                <w:color w:val="3F3F3F"/>
                <w:szCs w:val="18"/>
                <w:lang w:eastAsia="hr-HR"/>
              </w:rPr>
              <w:t xml:space="preserve">pripravništvo za realni sektor </w:t>
            </w:r>
          </w:p>
        </w:tc>
        <w:tc>
          <w:tcPr>
            <w:tcW w:w="940" w:type="dxa"/>
            <w:tcBorders>
              <w:top w:val="nil"/>
              <w:left w:val="nil"/>
              <w:bottom w:val="single" w:sz="8" w:space="0" w:color="F3CFC1"/>
              <w:right w:val="single" w:sz="8" w:space="0" w:color="D2232A"/>
            </w:tcBorders>
            <w:shd w:val="clear" w:color="auto" w:fill="auto"/>
            <w:vAlign w:val="center"/>
            <w:hideMark/>
          </w:tcPr>
          <w:p w14:paraId="7EC90D4C"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02100789"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3BFDCE0A"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12D6231D"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12</w:t>
            </w:r>
          </w:p>
        </w:tc>
        <w:tc>
          <w:tcPr>
            <w:tcW w:w="940" w:type="dxa"/>
            <w:tcBorders>
              <w:top w:val="nil"/>
              <w:left w:val="nil"/>
              <w:bottom w:val="single" w:sz="8" w:space="0" w:color="F3CFC1"/>
              <w:right w:val="single" w:sz="8" w:space="0" w:color="D2232A"/>
            </w:tcBorders>
            <w:shd w:val="clear" w:color="auto" w:fill="auto"/>
            <w:vAlign w:val="center"/>
            <w:hideMark/>
          </w:tcPr>
          <w:p w14:paraId="3C0DD2F9"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3</w:t>
            </w:r>
          </w:p>
        </w:tc>
        <w:tc>
          <w:tcPr>
            <w:tcW w:w="940" w:type="dxa"/>
            <w:tcBorders>
              <w:top w:val="nil"/>
              <w:left w:val="nil"/>
              <w:bottom w:val="single" w:sz="8" w:space="0" w:color="F3CFC1"/>
              <w:right w:val="single" w:sz="8" w:space="0" w:color="D2232A"/>
            </w:tcBorders>
            <w:shd w:val="clear" w:color="auto" w:fill="auto"/>
            <w:vAlign w:val="center"/>
            <w:hideMark/>
          </w:tcPr>
          <w:p w14:paraId="7963603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12</w:t>
            </w:r>
          </w:p>
        </w:tc>
      </w:tr>
      <w:tr w:rsidR="00630D40" w:rsidRPr="00630D40" w14:paraId="679B4466" w14:textId="77777777" w:rsidTr="00630D40">
        <w:trPr>
          <w:trHeight w:val="468"/>
        </w:trPr>
        <w:tc>
          <w:tcPr>
            <w:tcW w:w="1460" w:type="dxa"/>
            <w:vMerge/>
            <w:tcBorders>
              <w:top w:val="nil"/>
              <w:left w:val="nil"/>
              <w:bottom w:val="single" w:sz="8" w:space="0" w:color="FFFFFF"/>
              <w:right w:val="nil"/>
            </w:tcBorders>
            <w:vAlign w:val="center"/>
            <w:hideMark/>
          </w:tcPr>
          <w:p w14:paraId="60C41DFF" w14:textId="77777777" w:rsidR="00630D40" w:rsidRPr="00630D40" w:rsidRDefault="00630D40" w:rsidP="00630D40">
            <w:pPr>
              <w:spacing w:after="0" w:line="240" w:lineRule="auto"/>
              <w:jc w:val="left"/>
              <w:rPr>
                <w:rFonts w:eastAsia="Times New Roman" w:cs="Calibri"/>
                <w:color w:val="FFFFFF"/>
                <w:szCs w:val="18"/>
                <w:lang w:eastAsia="hr-HR"/>
              </w:rPr>
            </w:pPr>
          </w:p>
        </w:tc>
        <w:tc>
          <w:tcPr>
            <w:tcW w:w="1900" w:type="dxa"/>
            <w:tcBorders>
              <w:top w:val="nil"/>
              <w:left w:val="nil"/>
              <w:bottom w:val="single" w:sz="8" w:space="0" w:color="F3CFC1"/>
              <w:right w:val="single" w:sz="8" w:space="0" w:color="D2232A"/>
            </w:tcBorders>
            <w:shd w:val="clear" w:color="auto" w:fill="auto"/>
            <w:vAlign w:val="center"/>
            <w:hideMark/>
          </w:tcPr>
          <w:p w14:paraId="5EBFAA8F" w14:textId="77777777" w:rsidR="00630D40" w:rsidRPr="00630D40" w:rsidRDefault="00630D40" w:rsidP="00630D40">
            <w:pPr>
              <w:spacing w:after="0" w:line="240" w:lineRule="auto"/>
              <w:jc w:val="left"/>
              <w:rPr>
                <w:rFonts w:eastAsia="Times New Roman" w:cs="Calibri"/>
                <w:color w:val="3F3F3F"/>
                <w:szCs w:val="18"/>
                <w:lang w:eastAsia="hr-HR"/>
              </w:rPr>
            </w:pPr>
            <w:r w:rsidRPr="00630D40">
              <w:rPr>
                <w:rFonts w:eastAsia="Times New Roman" w:cs="Calibri"/>
                <w:color w:val="3F3F3F"/>
                <w:szCs w:val="18"/>
                <w:lang w:eastAsia="hr-HR"/>
              </w:rPr>
              <w:t xml:space="preserve">pripravništvo za javni sektor </w:t>
            </w:r>
          </w:p>
        </w:tc>
        <w:tc>
          <w:tcPr>
            <w:tcW w:w="940" w:type="dxa"/>
            <w:tcBorders>
              <w:top w:val="nil"/>
              <w:left w:val="nil"/>
              <w:bottom w:val="single" w:sz="8" w:space="0" w:color="F3CFC1"/>
              <w:right w:val="single" w:sz="8" w:space="0" w:color="D2232A"/>
            </w:tcBorders>
            <w:shd w:val="clear" w:color="auto" w:fill="auto"/>
            <w:vAlign w:val="center"/>
            <w:hideMark/>
          </w:tcPr>
          <w:p w14:paraId="79FF1181"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494F6EBC"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0757F94B"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5503614D"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61</w:t>
            </w:r>
          </w:p>
        </w:tc>
        <w:tc>
          <w:tcPr>
            <w:tcW w:w="940" w:type="dxa"/>
            <w:tcBorders>
              <w:top w:val="nil"/>
              <w:left w:val="nil"/>
              <w:bottom w:val="single" w:sz="8" w:space="0" w:color="F3CFC1"/>
              <w:right w:val="single" w:sz="8" w:space="0" w:color="D2232A"/>
            </w:tcBorders>
            <w:shd w:val="clear" w:color="auto" w:fill="auto"/>
            <w:vAlign w:val="center"/>
            <w:hideMark/>
          </w:tcPr>
          <w:p w14:paraId="7DB8A381"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50</w:t>
            </w:r>
          </w:p>
        </w:tc>
        <w:tc>
          <w:tcPr>
            <w:tcW w:w="940" w:type="dxa"/>
            <w:tcBorders>
              <w:top w:val="nil"/>
              <w:left w:val="nil"/>
              <w:bottom w:val="single" w:sz="8" w:space="0" w:color="F3CFC1"/>
              <w:right w:val="single" w:sz="8" w:space="0" w:color="D2232A"/>
            </w:tcBorders>
            <w:shd w:val="clear" w:color="auto" w:fill="auto"/>
            <w:vAlign w:val="center"/>
            <w:hideMark/>
          </w:tcPr>
          <w:p w14:paraId="2F659894"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17</w:t>
            </w:r>
          </w:p>
        </w:tc>
      </w:tr>
      <w:tr w:rsidR="00630D40" w:rsidRPr="00630D40" w14:paraId="4AD2F3AD" w14:textId="77777777" w:rsidTr="00630D40">
        <w:trPr>
          <w:trHeight w:val="468"/>
        </w:trPr>
        <w:tc>
          <w:tcPr>
            <w:tcW w:w="1460" w:type="dxa"/>
            <w:vMerge/>
            <w:tcBorders>
              <w:top w:val="nil"/>
              <w:left w:val="nil"/>
              <w:bottom w:val="single" w:sz="8" w:space="0" w:color="FFFFFF"/>
              <w:right w:val="nil"/>
            </w:tcBorders>
            <w:vAlign w:val="center"/>
            <w:hideMark/>
          </w:tcPr>
          <w:p w14:paraId="4A9BE6B4" w14:textId="77777777" w:rsidR="00630D40" w:rsidRPr="00630D40" w:rsidRDefault="00630D40" w:rsidP="00630D40">
            <w:pPr>
              <w:spacing w:after="0" w:line="240" w:lineRule="auto"/>
              <w:jc w:val="left"/>
              <w:rPr>
                <w:rFonts w:eastAsia="Times New Roman" w:cs="Calibri"/>
                <w:color w:val="FFFFFF"/>
                <w:szCs w:val="18"/>
                <w:lang w:eastAsia="hr-HR"/>
              </w:rPr>
            </w:pPr>
          </w:p>
        </w:tc>
        <w:tc>
          <w:tcPr>
            <w:tcW w:w="1900" w:type="dxa"/>
            <w:tcBorders>
              <w:top w:val="nil"/>
              <w:left w:val="nil"/>
              <w:bottom w:val="single" w:sz="8" w:space="0" w:color="FFFFFF"/>
              <w:right w:val="single" w:sz="8" w:space="0" w:color="D2232A"/>
            </w:tcBorders>
            <w:shd w:val="clear" w:color="auto" w:fill="auto"/>
            <w:vAlign w:val="center"/>
            <w:hideMark/>
          </w:tcPr>
          <w:p w14:paraId="59EE6593" w14:textId="77777777" w:rsidR="00630D40" w:rsidRPr="00630D40" w:rsidRDefault="00630D40" w:rsidP="00630D40">
            <w:pPr>
              <w:spacing w:after="0" w:line="240" w:lineRule="auto"/>
              <w:jc w:val="left"/>
              <w:rPr>
                <w:rFonts w:eastAsia="Times New Roman" w:cs="Calibri"/>
                <w:color w:val="3F3F3F"/>
                <w:szCs w:val="18"/>
                <w:lang w:eastAsia="hr-HR"/>
              </w:rPr>
            </w:pPr>
            <w:r w:rsidRPr="00630D40">
              <w:rPr>
                <w:rFonts w:eastAsia="Times New Roman" w:cs="Calibri"/>
                <w:color w:val="3F3F3F"/>
                <w:szCs w:val="18"/>
                <w:lang w:eastAsia="hr-HR"/>
              </w:rPr>
              <w:t>ostale potpore za zapošljavanje</w:t>
            </w:r>
          </w:p>
        </w:tc>
        <w:tc>
          <w:tcPr>
            <w:tcW w:w="940" w:type="dxa"/>
            <w:tcBorders>
              <w:top w:val="nil"/>
              <w:left w:val="nil"/>
              <w:bottom w:val="single" w:sz="8" w:space="0" w:color="EC8E92"/>
              <w:right w:val="single" w:sz="8" w:space="0" w:color="D2232A"/>
            </w:tcBorders>
            <w:shd w:val="clear" w:color="auto" w:fill="auto"/>
            <w:vAlign w:val="center"/>
            <w:hideMark/>
          </w:tcPr>
          <w:p w14:paraId="29BB9E9B"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194</w:t>
            </w:r>
          </w:p>
        </w:tc>
        <w:tc>
          <w:tcPr>
            <w:tcW w:w="940" w:type="dxa"/>
            <w:tcBorders>
              <w:top w:val="nil"/>
              <w:left w:val="nil"/>
              <w:bottom w:val="single" w:sz="8" w:space="0" w:color="EC8E92"/>
              <w:right w:val="single" w:sz="8" w:space="0" w:color="D2232A"/>
            </w:tcBorders>
            <w:shd w:val="clear" w:color="auto" w:fill="auto"/>
            <w:vAlign w:val="center"/>
            <w:hideMark/>
          </w:tcPr>
          <w:p w14:paraId="1DC070DC"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155</w:t>
            </w:r>
          </w:p>
        </w:tc>
        <w:tc>
          <w:tcPr>
            <w:tcW w:w="940" w:type="dxa"/>
            <w:tcBorders>
              <w:top w:val="nil"/>
              <w:left w:val="nil"/>
              <w:bottom w:val="single" w:sz="8" w:space="0" w:color="EC8E92"/>
              <w:right w:val="single" w:sz="8" w:space="0" w:color="D2232A"/>
            </w:tcBorders>
            <w:shd w:val="clear" w:color="auto" w:fill="auto"/>
            <w:vAlign w:val="center"/>
            <w:hideMark/>
          </w:tcPr>
          <w:p w14:paraId="7AB66582"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50</w:t>
            </w:r>
          </w:p>
        </w:tc>
        <w:tc>
          <w:tcPr>
            <w:tcW w:w="940" w:type="dxa"/>
            <w:tcBorders>
              <w:top w:val="nil"/>
              <w:left w:val="nil"/>
              <w:bottom w:val="single" w:sz="8" w:space="0" w:color="EC8E92"/>
              <w:right w:val="single" w:sz="8" w:space="0" w:color="D2232A"/>
            </w:tcBorders>
            <w:shd w:val="clear" w:color="auto" w:fill="auto"/>
            <w:vAlign w:val="center"/>
            <w:hideMark/>
          </w:tcPr>
          <w:p w14:paraId="42613845"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2</w:t>
            </w:r>
          </w:p>
        </w:tc>
        <w:tc>
          <w:tcPr>
            <w:tcW w:w="940" w:type="dxa"/>
            <w:tcBorders>
              <w:top w:val="nil"/>
              <w:left w:val="nil"/>
              <w:bottom w:val="nil"/>
              <w:right w:val="single" w:sz="8" w:space="0" w:color="D2232A"/>
            </w:tcBorders>
            <w:shd w:val="clear" w:color="auto" w:fill="auto"/>
            <w:vAlign w:val="center"/>
            <w:hideMark/>
          </w:tcPr>
          <w:p w14:paraId="26B87547"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nil"/>
              <w:right w:val="single" w:sz="8" w:space="0" w:color="D2232A"/>
            </w:tcBorders>
            <w:shd w:val="clear" w:color="auto" w:fill="auto"/>
            <w:vAlign w:val="center"/>
            <w:hideMark/>
          </w:tcPr>
          <w:p w14:paraId="0D77DFD7"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r>
      <w:tr w:rsidR="00630D40" w:rsidRPr="00630D40" w14:paraId="4807662A" w14:textId="77777777" w:rsidTr="00422CBC">
        <w:trPr>
          <w:trHeight w:val="349"/>
        </w:trPr>
        <w:tc>
          <w:tcPr>
            <w:tcW w:w="3360" w:type="dxa"/>
            <w:gridSpan w:val="2"/>
            <w:tcBorders>
              <w:top w:val="single" w:sz="8" w:space="0" w:color="FFFFFF"/>
              <w:left w:val="nil"/>
              <w:bottom w:val="single" w:sz="8" w:space="0" w:color="F3CFC1"/>
              <w:right w:val="nil"/>
            </w:tcBorders>
            <w:shd w:val="clear" w:color="000000" w:fill="D2232A"/>
            <w:vAlign w:val="center"/>
            <w:hideMark/>
          </w:tcPr>
          <w:p w14:paraId="19DB1302" w14:textId="77777777" w:rsidR="00630D40" w:rsidRPr="00630D40" w:rsidRDefault="00630D40" w:rsidP="00630D40">
            <w:pPr>
              <w:spacing w:after="0" w:line="240" w:lineRule="auto"/>
              <w:jc w:val="left"/>
              <w:rPr>
                <w:rFonts w:eastAsia="Times New Roman" w:cs="Calibri"/>
                <w:color w:val="FFFFFF"/>
                <w:szCs w:val="18"/>
                <w:lang w:eastAsia="hr-HR"/>
              </w:rPr>
            </w:pPr>
            <w:r w:rsidRPr="00630D40">
              <w:rPr>
                <w:rFonts w:eastAsia="Times New Roman" w:cs="Calibri"/>
                <w:color w:val="FFFFFF"/>
                <w:szCs w:val="18"/>
                <w:lang w:eastAsia="hr-HR"/>
              </w:rPr>
              <w:t>Potpore za usavršavanje</w:t>
            </w:r>
          </w:p>
        </w:tc>
        <w:tc>
          <w:tcPr>
            <w:tcW w:w="940" w:type="dxa"/>
            <w:tcBorders>
              <w:top w:val="nil"/>
              <w:left w:val="nil"/>
              <w:bottom w:val="single" w:sz="8" w:space="0" w:color="F3CFC1"/>
              <w:right w:val="single" w:sz="8" w:space="0" w:color="D2232A"/>
            </w:tcBorders>
            <w:shd w:val="clear" w:color="auto" w:fill="auto"/>
            <w:vAlign w:val="center"/>
            <w:hideMark/>
          </w:tcPr>
          <w:p w14:paraId="0475016E"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17C49A4D"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w:t>
            </w:r>
          </w:p>
        </w:tc>
        <w:tc>
          <w:tcPr>
            <w:tcW w:w="940" w:type="dxa"/>
            <w:tcBorders>
              <w:top w:val="nil"/>
              <w:left w:val="nil"/>
              <w:bottom w:val="single" w:sz="8" w:space="0" w:color="F3CFC1"/>
              <w:right w:val="single" w:sz="8" w:space="0" w:color="D2232A"/>
            </w:tcBorders>
            <w:shd w:val="clear" w:color="auto" w:fill="auto"/>
            <w:vAlign w:val="center"/>
            <w:hideMark/>
          </w:tcPr>
          <w:p w14:paraId="6C603E6F"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10</w:t>
            </w:r>
          </w:p>
        </w:tc>
        <w:tc>
          <w:tcPr>
            <w:tcW w:w="940" w:type="dxa"/>
            <w:tcBorders>
              <w:top w:val="nil"/>
              <w:left w:val="nil"/>
              <w:bottom w:val="single" w:sz="8" w:space="0" w:color="F3CFC1"/>
              <w:right w:val="single" w:sz="8" w:space="0" w:color="D2232A"/>
            </w:tcBorders>
            <w:shd w:val="clear" w:color="auto" w:fill="auto"/>
            <w:vAlign w:val="center"/>
            <w:hideMark/>
          </w:tcPr>
          <w:p w14:paraId="4348069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153</w:t>
            </w:r>
          </w:p>
        </w:tc>
        <w:tc>
          <w:tcPr>
            <w:tcW w:w="940" w:type="dxa"/>
            <w:tcBorders>
              <w:top w:val="single" w:sz="8" w:space="0" w:color="EC8E92"/>
              <w:left w:val="nil"/>
              <w:bottom w:val="single" w:sz="8" w:space="0" w:color="F3CFC1"/>
              <w:right w:val="single" w:sz="8" w:space="0" w:color="D2232A"/>
            </w:tcBorders>
            <w:shd w:val="clear" w:color="auto" w:fill="auto"/>
            <w:vAlign w:val="center"/>
            <w:hideMark/>
          </w:tcPr>
          <w:p w14:paraId="3D316F73"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91</w:t>
            </w:r>
          </w:p>
        </w:tc>
        <w:tc>
          <w:tcPr>
            <w:tcW w:w="940" w:type="dxa"/>
            <w:tcBorders>
              <w:top w:val="single" w:sz="8" w:space="0" w:color="EC8E92"/>
              <w:left w:val="nil"/>
              <w:bottom w:val="single" w:sz="8" w:space="0" w:color="F3CFC1"/>
              <w:right w:val="single" w:sz="8" w:space="0" w:color="D2232A"/>
            </w:tcBorders>
            <w:shd w:val="clear" w:color="auto" w:fill="auto"/>
            <w:vAlign w:val="center"/>
            <w:hideMark/>
          </w:tcPr>
          <w:p w14:paraId="2C8D6924"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133</w:t>
            </w:r>
          </w:p>
        </w:tc>
      </w:tr>
      <w:tr w:rsidR="00630D40" w:rsidRPr="00630D40" w14:paraId="0394D128" w14:textId="77777777" w:rsidTr="00A10E75">
        <w:trPr>
          <w:trHeight w:val="251"/>
        </w:trPr>
        <w:tc>
          <w:tcPr>
            <w:tcW w:w="3360" w:type="dxa"/>
            <w:gridSpan w:val="2"/>
            <w:tcBorders>
              <w:top w:val="single" w:sz="8" w:space="0" w:color="F3CFC1"/>
              <w:left w:val="nil"/>
              <w:bottom w:val="single" w:sz="8" w:space="0" w:color="D2232A"/>
              <w:right w:val="nil"/>
            </w:tcBorders>
            <w:shd w:val="clear" w:color="000000" w:fill="D2232A"/>
            <w:vAlign w:val="center"/>
            <w:hideMark/>
          </w:tcPr>
          <w:p w14:paraId="5EE73C29" w14:textId="77777777" w:rsidR="00630D40" w:rsidRPr="00630D40" w:rsidRDefault="00630D40" w:rsidP="00630D40">
            <w:pPr>
              <w:spacing w:after="0" w:line="240" w:lineRule="auto"/>
              <w:jc w:val="left"/>
              <w:rPr>
                <w:rFonts w:eastAsia="Times New Roman" w:cs="Calibri"/>
                <w:color w:val="FFFFFF"/>
                <w:szCs w:val="18"/>
                <w:lang w:eastAsia="hr-HR"/>
              </w:rPr>
            </w:pPr>
            <w:r w:rsidRPr="00630D40">
              <w:rPr>
                <w:rFonts w:eastAsia="Times New Roman" w:cs="Calibri"/>
                <w:color w:val="FFFFFF"/>
                <w:szCs w:val="18"/>
                <w:lang w:eastAsia="hr-HR"/>
              </w:rPr>
              <w:t>Potpore za samozapošljavanje</w:t>
            </w:r>
          </w:p>
        </w:tc>
        <w:tc>
          <w:tcPr>
            <w:tcW w:w="940" w:type="dxa"/>
            <w:tcBorders>
              <w:top w:val="nil"/>
              <w:left w:val="nil"/>
              <w:bottom w:val="nil"/>
              <w:right w:val="single" w:sz="8" w:space="0" w:color="D2232A"/>
            </w:tcBorders>
            <w:shd w:val="clear" w:color="auto" w:fill="auto"/>
            <w:vAlign w:val="center"/>
            <w:hideMark/>
          </w:tcPr>
          <w:p w14:paraId="67FBE81A"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89</w:t>
            </w:r>
          </w:p>
        </w:tc>
        <w:tc>
          <w:tcPr>
            <w:tcW w:w="940" w:type="dxa"/>
            <w:tcBorders>
              <w:top w:val="nil"/>
              <w:left w:val="nil"/>
              <w:bottom w:val="nil"/>
              <w:right w:val="single" w:sz="8" w:space="0" w:color="D2232A"/>
            </w:tcBorders>
            <w:shd w:val="clear" w:color="auto" w:fill="auto"/>
            <w:vAlign w:val="center"/>
            <w:hideMark/>
          </w:tcPr>
          <w:p w14:paraId="46042D4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55</w:t>
            </w:r>
          </w:p>
        </w:tc>
        <w:tc>
          <w:tcPr>
            <w:tcW w:w="940" w:type="dxa"/>
            <w:tcBorders>
              <w:top w:val="nil"/>
              <w:left w:val="nil"/>
              <w:bottom w:val="nil"/>
              <w:right w:val="single" w:sz="8" w:space="0" w:color="D2232A"/>
            </w:tcBorders>
            <w:shd w:val="clear" w:color="auto" w:fill="auto"/>
            <w:vAlign w:val="center"/>
            <w:hideMark/>
          </w:tcPr>
          <w:p w14:paraId="2949ABA0"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114</w:t>
            </w:r>
          </w:p>
        </w:tc>
        <w:tc>
          <w:tcPr>
            <w:tcW w:w="940" w:type="dxa"/>
            <w:tcBorders>
              <w:top w:val="nil"/>
              <w:left w:val="nil"/>
              <w:bottom w:val="nil"/>
              <w:right w:val="single" w:sz="8" w:space="0" w:color="D2232A"/>
            </w:tcBorders>
            <w:shd w:val="clear" w:color="auto" w:fill="auto"/>
            <w:vAlign w:val="center"/>
            <w:hideMark/>
          </w:tcPr>
          <w:p w14:paraId="0A49E0C3"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186</w:t>
            </w:r>
          </w:p>
        </w:tc>
        <w:tc>
          <w:tcPr>
            <w:tcW w:w="940" w:type="dxa"/>
            <w:tcBorders>
              <w:top w:val="nil"/>
              <w:left w:val="nil"/>
              <w:bottom w:val="nil"/>
              <w:right w:val="single" w:sz="8" w:space="0" w:color="D2232A"/>
            </w:tcBorders>
            <w:shd w:val="clear" w:color="auto" w:fill="auto"/>
            <w:vAlign w:val="center"/>
            <w:hideMark/>
          </w:tcPr>
          <w:p w14:paraId="4F403ED4"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281</w:t>
            </w:r>
          </w:p>
        </w:tc>
        <w:tc>
          <w:tcPr>
            <w:tcW w:w="940" w:type="dxa"/>
            <w:tcBorders>
              <w:top w:val="nil"/>
              <w:left w:val="nil"/>
              <w:bottom w:val="nil"/>
              <w:right w:val="single" w:sz="8" w:space="0" w:color="D2232A"/>
            </w:tcBorders>
            <w:shd w:val="clear" w:color="auto" w:fill="auto"/>
            <w:vAlign w:val="center"/>
            <w:hideMark/>
          </w:tcPr>
          <w:p w14:paraId="6EB72860"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141</w:t>
            </w:r>
          </w:p>
        </w:tc>
      </w:tr>
      <w:tr w:rsidR="00630D40" w:rsidRPr="00630D40" w14:paraId="578F86BF" w14:textId="77777777" w:rsidTr="00630D40">
        <w:trPr>
          <w:trHeight w:val="468"/>
        </w:trPr>
        <w:tc>
          <w:tcPr>
            <w:tcW w:w="1460" w:type="dxa"/>
            <w:vMerge w:val="restart"/>
            <w:tcBorders>
              <w:top w:val="single" w:sz="8" w:space="0" w:color="F3CFC1"/>
              <w:left w:val="nil"/>
              <w:bottom w:val="single" w:sz="8" w:space="0" w:color="FFFFFF"/>
              <w:right w:val="nil"/>
            </w:tcBorders>
            <w:shd w:val="clear" w:color="000000" w:fill="D2232A"/>
            <w:vAlign w:val="center"/>
            <w:hideMark/>
          </w:tcPr>
          <w:p w14:paraId="7F289CC1" w14:textId="77777777" w:rsidR="00630D40" w:rsidRPr="00630D40" w:rsidRDefault="00630D40" w:rsidP="00630D40">
            <w:pPr>
              <w:spacing w:after="0" w:line="240" w:lineRule="auto"/>
              <w:jc w:val="left"/>
              <w:rPr>
                <w:rFonts w:eastAsia="Times New Roman" w:cs="Calibri"/>
                <w:color w:val="FFFFFF"/>
                <w:szCs w:val="18"/>
                <w:lang w:eastAsia="hr-HR"/>
              </w:rPr>
            </w:pPr>
            <w:r w:rsidRPr="00630D40">
              <w:rPr>
                <w:rFonts w:eastAsia="Times New Roman" w:cs="Calibri"/>
                <w:color w:val="FFFFFF"/>
                <w:szCs w:val="18"/>
                <w:lang w:eastAsia="hr-HR"/>
              </w:rPr>
              <w:t>Obrazovanje i osposobljavanje</w:t>
            </w:r>
          </w:p>
        </w:tc>
        <w:tc>
          <w:tcPr>
            <w:tcW w:w="1900" w:type="dxa"/>
            <w:tcBorders>
              <w:top w:val="nil"/>
              <w:left w:val="nil"/>
              <w:bottom w:val="single" w:sz="8" w:space="0" w:color="F3CFC1"/>
              <w:right w:val="single" w:sz="8" w:space="0" w:color="D2232A"/>
            </w:tcBorders>
            <w:shd w:val="clear" w:color="auto" w:fill="auto"/>
            <w:vAlign w:val="center"/>
            <w:hideMark/>
          </w:tcPr>
          <w:p w14:paraId="5412A547" w14:textId="77777777" w:rsidR="00630D40" w:rsidRPr="00630D40" w:rsidRDefault="00630D40" w:rsidP="00630D40">
            <w:pPr>
              <w:spacing w:after="0" w:line="240" w:lineRule="auto"/>
              <w:jc w:val="left"/>
              <w:rPr>
                <w:rFonts w:eastAsia="Times New Roman" w:cs="Calibri"/>
                <w:color w:val="3F3F3F"/>
                <w:szCs w:val="18"/>
                <w:lang w:eastAsia="hr-HR"/>
              </w:rPr>
            </w:pPr>
            <w:r w:rsidRPr="00630D40">
              <w:rPr>
                <w:rFonts w:eastAsia="Times New Roman" w:cs="Calibri"/>
                <w:color w:val="3F3F3F"/>
                <w:szCs w:val="18"/>
                <w:lang w:eastAsia="hr-HR"/>
              </w:rPr>
              <w:t>Obrazovanje nezaposlenih</w:t>
            </w:r>
          </w:p>
        </w:tc>
        <w:tc>
          <w:tcPr>
            <w:tcW w:w="940" w:type="dxa"/>
            <w:tcBorders>
              <w:top w:val="single" w:sz="8" w:space="0" w:color="D2232A"/>
              <w:left w:val="nil"/>
              <w:bottom w:val="single" w:sz="8" w:space="0" w:color="F3CFC1"/>
              <w:right w:val="single" w:sz="8" w:space="0" w:color="D2232A"/>
            </w:tcBorders>
            <w:shd w:val="clear" w:color="auto" w:fill="auto"/>
            <w:vAlign w:val="center"/>
            <w:hideMark/>
          </w:tcPr>
          <w:p w14:paraId="6A5B76B9"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65</w:t>
            </w:r>
          </w:p>
        </w:tc>
        <w:tc>
          <w:tcPr>
            <w:tcW w:w="940" w:type="dxa"/>
            <w:tcBorders>
              <w:top w:val="single" w:sz="8" w:space="0" w:color="D2232A"/>
              <w:left w:val="nil"/>
              <w:bottom w:val="single" w:sz="8" w:space="0" w:color="F3CFC1"/>
              <w:right w:val="single" w:sz="8" w:space="0" w:color="D2232A"/>
            </w:tcBorders>
            <w:shd w:val="clear" w:color="auto" w:fill="auto"/>
            <w:vAlign w:val="center"/>
            <w:hideMark/>
          </w:tcPr>
          <w:p w14:paraId="51E6808E"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109</w:t>
            </w:r>
          </w:p>
        </w:tc>
        <w:tc>
          <w:tcPr>
            <w:tcW w:w="940" w:type="dxa"/>
            <w:tcBorders>
              <w:top w:val="single" w:sz="8" w:space="0" w:color="D2232A"/>
              <w:left w:val="nil"/>
              <w:bottom w:val="single" w:sz="8" w:space="0" w:color="F3CFC1"/>
              <w:right w:val="single" w:sz="8" w:space="0" w:color="D2232A"/>
            </w:tcBorders>
            <w:shd w:val="clear" w:color="auto" w:fill="auto"/>
            <w:vAlign w:val="center"/>
            <w:hideMark/>
          </w:tcPr>
          <w:p w14:paraId="12DEB044"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67</w:t>
            </w:r>
          </w:p>
        </w:tc>
        <w:tc>
          <w:tcPr>
            <w:tcW w:w="940" w:type="dxa"/>
            <w:tcBorders>
              <w:top w:val="single" w:sz="8" w:space="0" w:color="D2232A"/>
              <w:left w:val="nil"/>
              <w:bottom w:val="single" w:sz="8" w:space="0" w:color="F3CFC1"/>
              <w:right w:val="single" w:sz="8" w:space="0" w:color="D2232A"/>
            </w:tcBorders>
            <w:shd w:val="clear" w:color="auto" w:fill="auto"/>
            <w:vAlign w:val="center"/>
            <w:hideMark/>
          </w:tcPr>
          <w:p w14:paraId="041CCAAB"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111</w:t>
            </w:r>
          </w:p>
        </w:tc>
        <w:tc>
          <w:tcPr>
            <w:tcW w:w="940" w:type="dxa"/>
            <w:tcBorders>
              <w:top w:val="single" w:sz="8" w:space="0" w:color="D2232A"/>
              <w:left w:val="nil"/>
              <w:bottom w:val="single" w:sz="8" w:space="0" w:color="F3CFC1"/>
              <w:right w:val="single" w:sz="8" w:space="0" w:color="D2232A"/>
            </w:tcBorders>
            <w:shd w:val="clear" w:color="auto" w:fill="auto"/>
            <w:vAlign w:val="center"/>
            <w:hideMark/>
          </w:tcPr>
          <w:p w14:paraId="5F97AACE"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69</w:t>
            </w:r>
          </w:p>
        </w:tc>
        <w:tc>
          <w:tcPr>
            <w:tcW w:w="940" w:type="dxa"/>
            <w:tcBorders>
              <w:top w:val="single" w:sz="8" w:space="0" w:color="D2232A"/>
              <w:left w:val="nil"/>
              <w:bottom w:val="single" w:sz="8" w:space="0" w:color="F3CFC1"/>
              <w:right w:val="single" w:sz="8" w:space="0" w:color="D2232A"/>
            </w:tcBorders>
            <w:shd w:val="clear" w:color="auto" w:fill="auto"/>
            <w:vAlign w:val="center"/>
            <w:hideMark/>
          </w:tcPr>
          <w:p w14:paraId="588092E0"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64</w:t>
            </w:r>
          </w:p>
        </w:tc>
      </w:tr>
      <w:tr w:rsidR="00630D40" w:rsidRPr="00630D40" w14:paraId="154936C9" w14:textId="77777777" w:rsidTr="00630D40">
        <w:trPr>
          <w:trHeight w:val="468"/>
        </w:trPr>
        <w:tc>
          <w:tcPr>
            <w:tcW w:w="1460" w:type="dxa"/>
            <w:vMerge/>
            <w:tcBorders>
              <w:top w:val="single" w:sz="8" w:space="0" w:color="F3CFC1"/>
              <w:left w:val="nil"/>
              <w:bottom w:val="single" w:sz="8" w:space="0" w:color="FFFFFF"/>
              <w:right w:val="nil"/>
            </w:tcBorders>
            <w:vAlign w:val="center"/>
            <w:hideMark/>
          </w:tcPr>
          <w:p w14:paraId="38313264" w14:textId="77777777" w:rsidR="00630D40" w:rsidRPr="00630D40" w:rsidRDefault="00630D40" w:rsidP="00630D40">
            <w:pPr>
              <w:spacing w:after="0" w:line="240" w:lineRule="auto"/>
              <w:jc w:val="left"/>
              <w:rPr>
                <w:rFonts w:eastAsia="Times New Roman" w:cs="Calibri"/>
                <w:color w:val="FFFFFF"/>
                <w:szCs w:val="18"/>
                <w:lang w:eastAsia="hr-HR"/>
              </w:rPr>
            </w:pPr>
          </w:p>
        </w:tc>
        <w:tc>
          <w:tcPr>
            <w:tcW w:w="1900" w:type="dxa"/>
            <w:tcBorders>
              <w:top w:val="nil"/>
              <w:left w:val="nil"/>
              <w:bottom w:val="single" w:sz="8" w:space="0" w:color="FFFFFF"/>
              <w:right w:val="single" w:sz="8" w:space="0" w:color="D2232A"/>
            </w:tcBorders>
            <w:shd w:val="clear" w:color="auto" w:fill="auto"/>
            <w:vAlign w:val="center"/>
            <w:hideMark/>
          </w:tcPr>
          <w:p w14:paraId="5266FA79" w14:textId="77777777" w:rsidR="00630D40" w:rsidRPr="00630D40" w:rsidRDefault="00630D40" w:rsidP="00630D40">
            <w:pPr>
              <w:spacing w:after="0" w:line="240" w:lineRule="auto"/>
              <w:jc w:val="left"/>
              <w:rPr>
                <w:rFonts w:eastAsia="Times New Roman" w:cs="Calibri"/>
                <w:color w:val="3F3F3F"/>
                <w:szCs w:val="18"/>
                <w:lang w:eastAsia="hr-HR"/>
              </w:rPr>
            </w:pPr>
            <w:r w:rsidRPr="00630D40">
              <w:rPr>
                <w:rFonts w:eastAsia="Times New Roman" w:cs="Calibri"/>
                <w:color w:val="3F3F3F"/>
                <w:szCs w:val="18"/>
                <w:lang w:eastAsia="hr-HR"/>
              </w:rPr>
              <w:t>Ostalo obrazovanje i osposobljavanje</w:t>
            </w:r>
          </w:p>
        </w:tc>
        <w:tc>
          <w:tcPr>
            <w:tcW w:w="940" w:type="dxa"/>
            <w:tcBorders>
              <w:top w:val="nil"/>
              <w:left w:val="nil"/>
              <w:bottom w:val="single" w:sz="8" w:space="0" w:color="EC8E92"/>
              <w:right w:val="single" w:sz="8" w:space="0" w:color="D2232A"/>
            </w:tcBorders>
            <w:shd w:val="clear" w:color="auto" w:fill="auto"/>
            <w:vAlign w:val="center"/>
            <w:hideMark/>
          </w:tcPr>
          <w:p w14:paraId="53A3CD1F"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EC8E92"/>
              <w:right w:val="single" w:sz="8" w:space="0" w:color="D2232A"/>
            </w:tcBorders>
            <w:shd w:val="clear" w:color="auto" w:fill="auto"/>
            <w:vAlign w:val="center"/>
            <w:hideMark/>
          </w:tcPr>
          <w:p w14:paraId="4E00FDF2"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EC8E92"/>
              <w:right w:val="single" w:sz="8" w:space="0" w:color="D2232A"/>
            </w:tcBorders>
            <w:shd w:val="clear" w:color="auto" w:fill="auto"/>
            <w:vAlign w:val="center"/>
            <w:hideMark/>
          </w:tcPr>
          <w:p w14:paraId="171B0508"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EC8E92"/>
              <w:right w:val="single" w:sz="8" w:space="0" w:color="D2232A"/>
            </w:tcBorders>
            <w:shd w:val="clear" w:color="auto" w:fill="auto"/>
            <w:vAlign w:val="center"/>
            <w:hideMark/>
          </w:tcPr>
          <w:p w14:paraId="029CCEC4"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EC8E92"/>
              <w:right w:val="single" w:sz="8" w:space="0" w:color="D2232A"/>
            </w:tcBorders>
            <w:shd w:val="clear" w:color="auto" w:fill="auto"/>
            <w:vAlign w:val="center"/>
            <w:hideMark/>
          </w:tcPr>
          <w:p w14:paraId="54B4D3EC"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3</w:t>
            </w:r>
          </w:p>
        </w:tc>
        <w:tc>
          <w:tcPr>
            <w:tcW w:w="940" w:type="dxa"/>
            <w:tcBorders>
              <w:top w:val="nil"/>
              <w:left w:val="nil"/>
              <w:bottom w:val="single" w:sz="8" w:space="0" w:color="EC8E92"/>
              <w:right w:val="single" w:sz="8" w:space="0" w:color="D2232A"/>
            </w:tcBorders>
            <w:shd w:val="clear" w:color="auto" w:fill="auto"/>
            <w:vAlign w:val="center"/>
            <w:hideMark/>
          </w:tcPr>
          <w:p w14:paraId="3832F0B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39</w:t>
            </w:r>
          </w:p>
        </w:tc>
      </w:tr>
      <w:tr w:rsidR="00630D40" w:rsidRPr="00630D40" w14:paraId="29DF094F" w14:textId="77777777" w:rsidTr="00A10E75">
        <w:trPr>
          <w:trHeight w:val="281"/>
        </w:trPr>
        <w:tc>
          <w:tcPr>
            <w:tcW w:w="3360" w:type="dxa"/>
            <w:gridSpan w:val="2"/>
            <w:tcBorders>
              <w:top w:val="single" w:sz="8" w:space="0" w:color="F3CFC1"/>
              <w:left w:val="nil"/>
              <w:bottom w:val="single" w:sz="8" w:space="0" w:color="F3CFC1"/>
              <w:right w:val="nil"/>
            </w:tcBorders>
            <w:shd w:val="clear" w:color="000000" w:fill="D2232A"/>
            <w:vAlign w:val="center"/>
            <w:hideMark/>
          </w:tcPr>
          <w:p w14:paraId="34C76721" w14:textId="77777777" w:rsidR="00630D40" w:rsidRPr="00630D40" w:rsidRDefault="00630D40" w:rsidP="00630D40">
            <w:pPr>
              <w:spacing w:after="0" w:line="240" w:lineRule="auto"/>
              <w:jc w:val="left"/>
              <w:rPr>
                <w:rFonts w:eastAsia="Times New Roman" w:cs="Calibri"/>
                <w:color w:val="FFFFFF"/>
                <w:szCs w:val="18"/>
                <w:lang w:eastAsia="hr-HR"/>
              </w:rPr>
            </w:pPr>
            <w:r w:rsidRPr="00630D40">
              <w:rPr>
                <w:rFonts w:eastAsia="Times New Roman" w:cs="Calibri"/>
                <w:color w:val="FFFFFF"/>
                <w:szCs w:val="18"/>
                <w:lang w:eastAsia="hr-HR"/>
              </w:rPr>
              <w:t>Javni radovi</w:t>
            </w:r>
          </w:p>
        </w:tc>
        <w:tc>
          <w:tcPr>
            <w:tcW w:w="940" w:type="dxa"/>
            <w:tcBorders>
              <w:top w:val="nil"/>
              <w:left w:val="nil"/>
              <w:bottom w:val="single" w:sz="8" w:space="0" w:color="F3CFC1"/>
              <w:right w:val="single" w:sz="8" w:space="0" w:color="D2232A"/>
            </w:tcBorders>
            <w:shd w:val="clear" w:color="auto" w:fill="auto"/>
            <w:vAlign w:val="center"/>
            <w:hideMark/>
          </w:tcPr>
          <w:p w14:paraId="60CC39F9"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260</w:t>
            </w:r>
          </w:p>
        </w:tc>
        <w:tc>
          <w:tcPr>
            <w:tcW w:w="940" w:type="dxa"/>
            <w:tcBorders>
              <w:top w:val="nil"/>
              <w:left w:val="nil"/>
              <w:bottom w:val="single" w:sz="8" w:space="0" w:color="F3CFC1"/>
              <w:right w:val="single" w:sz="8" w:space="0" w:color="D2232A"/>
            </w:tcBorders>
            <w:shd w:val="clear" w:color="auto" w:fill="auto"/>
            <w:vAlign w:val="center"/>
            <w:hideMark/>
          </w:tcPr>
          <w:p w14:paraId="15D8EF42"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236</w:t>
            </w:r>
          </w:p>
        </w:tc>
        <w:tc>
          <w:tcPr>
            <w:tcW w:w="940" w:type="dxa"/>
            <w:tcBorders>
              <w:top w:val="nil"/>
              <w:left w:val="nil"/>
              <w:bottom w:val="single" w:sz="8" w:space="0" w:color="F3CFC1"/>
              <w:right w:val="single" w:sz="8" w:space="0" w:color="D2232A"/>
            </w:tcBorders>
            <w:shd w:val="clear" w:color="auto" w:fill="auto"/>
            <w:vAlign w:val="center"/>
            <w:hideMark/>
          </w:tcPr>
          <w:p w14:paraId="3E5F7CBC"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187</w:t>
            </w:r>
          </w:p>
        </w:tc>
        <w:tc>
          <w:tcPr>
            <w:tcW w:w="940" w:type="dxa"/>
            <w:tcBorders>
              <w:top w:val="nil"/>
              <w:left w:val="nil"/>
              <w:bottom w:val="single" w:sz="8" w:space="0" w:color="F3CFC1"/>
              <w:right w:val="single" w:sz="8" w:space="0" w:color="D2232A"/>
            </w:tcBorders>
            <w:shd w:val="clear" w:color="auto" w:fill="auto"/>
            <w:vAlign w:val="center"/>
            <w:hideMark/>
          </w:tcPr>
          <w:p w14:paraId="70411641"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116</w:t>
            </w:r>
          </w:p>
        </w:tc>
        <w:tc>
          <w:tcPr>
            <w:tcW w:w="940" w:type="dxa"/>
            <w:tcBorders>
              <w:top w:val="nil"/>
              <w:left w:val="nil"/>
              <w:bottom w:val="single" w:sz="8" w:space="0" w:color="F3CFC1"/>
              <w:right w:val="single" w:sz="8" w:space="0" w:color="D2232A"/>
            </w:tcBorders>
            <w:shd w:val="clear" w:color="auto" w:fill="auto"/>
            <w:vAlign w:val="center"/>
            <w:hideMark/>
          </w:tcPr>
          <w:p w14:paraId="0BFFB347"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57</w:t>
            </w:r>
          </w:p>
        </w:tc>
        <w:tc>
          <w:tcPr>
            <w:tcW w:w="940" w:type="dxa"/>
            <w:tcBorders>
              <w:top w:val="nil"/>
              <w:left w:val="nil"/>
              <w:bottom w:val="single" w:sz="8" w:space="0" w:color="F3CFC1"/>
              <w:right w:val="single" w:sz="8" w:space="0" w:color="D2232A"/>
            </w:tcBorders>
            <w:shd w:val="clear" w:color="auto" w:fill="auto"/>
            <w:vAlign w:val="center"/>
            <w:hideMark/>
          </w:tcPr>
          <w:p w14:paraId="6B8D616A"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41</w:t>
            </w:r>
          </w:p>
        </w:tc>
      </w:tr>
      <w:tr w:rsidR="00630D40" w:rsidRPr="00630D40" w14:paraId="32B16626" w14:textId="77777777" w:rsidTr="00630D40">
        <w:trPr>
          <w:trHeight w:val="468"/>
        </w:trPr>
        <w:tc>
          <w:tcPr>
            <w:tcW w:w="3360" w:type="dxa"/>
            <w:gridSpan w:val="2"/>
            <w:tcBorders>
              <w:top w:val="single" w:sz="8" w:space="0" w:color="F3CFC1"/>
              <w:left w:val="nil"/>
              <w:bottom w:val="nil"/>
              <w:right w:val="nil"/>
            </w:tcBorders>
            <w:shd w:val="clear" w:color="000000" w:fill="D2232A"/>
            <w:vAlign w:val="center"/>
            <w:hideMark/>
          </w:tcPr>
          <w:p w14:paraId="6C74E174" w14:textId="77777777" w:rsidR="00630D40" w:rsidRPr="00630D40" w:rsidRDefault="00630D40" w:rsidP="00630D40">
            <w:pPr>
              <w:spacing w:after="0" w:line="240" w:lineRule="auto"/>
              <w:jc w:val="left"/>
              <w:rPr>
                <w:rFonts w:eastAsia="Times New Roman" w:cs="Calibri"/>
                <w:color w:val="FFFFFF"/>
                <w:szCs w:val="18"/>
                <w:lang w:eastAsia="hr-HR"/>
              </w:rPr>
            </w:pPr>
            <w:r w:rsidRPr="00630D40">
              <w:rPr>
                <w:rFonts w:eastAsia="Times New Roman" w:cs="Calibri"/>
                <w:color w:val="FFFFFF"/>
                <w:szCs w:val="18"/>
                <w:lang w:eastAsia="hr-HR"/>
              </w:rPr>
              <w:t>Stručno osposobljavanje za rad bez zasnivanja radnog odnosa</w:t>
            </w:r>
          </w:p>
        </w:tc>
        <w:tc>
          <w:tcPr>
            <w:tcW w:w="940" w:type="dxa"/>
            <w:tcBorders>
              <w:top w:val="nil"/>
              <w:left w:val="nil"/>
              <w:bottom w:val="single" w:sz="8" w:space="0" w:color="F3CFC1"/>
              <w:right w:val="single" w:sz="8" w:space="0" w:color="D2232A"/>
            </w:tcBorders>
            <w:shd w:val="clear" w:color="auto" w:fill="auto"/>
            <w:vAlign w:val="center"/>
            <w:hideMark/>
          </w:tcPr>
          <w:p w14:paraId="5AFA237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522</w:t>
            </w:r>
          </w:p>
        </w:tc>
        <w:tc>
          <w:tcPr>
            <w:tcW w:w="940" w:type="dxa"/>
            <w:tcBorders>
              <w:top w:val="nil"/>
              <w:left w:val="nil"/>
              <w:bottom w:val="single" w:sz="8" w:space="0" w:color="F3CFC1"/>
              <w:right w:val="single" w:sz="8" w:space="0" w:color="D2232A"/>
            </w:tcBorders>
            <w:shd w:val="clear" w:color="auto" w:fill="auto"/>
            <w:vAlign w:val="center"/>
            <w:hideMark/>
          </w:tcPr>
          <w:p w14:paraId="492F5DAD"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425</w:t>
            </w:r>
          </w:p>
        </w:tc>
        <w:tc>
          <w:tcPr>
            <w:tcW w:w="940" w:type="dxa"/>
            <w:tcBorders>
              <w:top w:val="nil"/>
              <w:left w:val="nil"/>
              <w:bottom w:val="single" w:sz="8" w:space="0" w:color="F3CFC1"/>
              <w:right w:val="single" w:sz="8" w:space="0" w:color="D2232A"/>
            </w:tcBorders>
            <w:shd w:val="clear" w:color="auto" w:fill="auto"/>
            <w:vAlign w:val="center"/>
            <w:hideMark/>
          </w:tcPr>
          <w:p w14:paraId="3929A0B2"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265</w:t>
            </w:r>
          </w:p>
        </w:tc>
        <w:tc>
          <w:tcPr>
            <w:tcW w:w="940" w:type="dxa"/>
            <w:tcBorders>
              <w:top w:val="nil"/>
              <w:left w:val="nil"/>
              <w:bottom w:val="single" w:sz="8" w:space="0" w:color="F3CFC1"/>
              <w:right w:val="single" w:sz="8" w:space="0" w:color="D2232A"/>
            </w:tcBorders>
            <w:shd w:val="clear" w:color="auto" w:fill="auto"/>
            <w:vAlign w:val="center"/>
            <w:hideMark/>
          </w:tcPr>
          <w:p w14:paraId="0D06A741"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259</w:t>
            </w:r>
          </w:p>
        </w:tc>
        <w:tc>
          <w:tcPr>
            <w:tcW w:w="940" w:type="dxa"/>
            <w:tcBorders>
              <w:top w:val="nil"/>
              <w:left w:val="nil"/>
              <w:bottom w:val="single" w:sz="8" w:space="0" w:color="F3CFC1"/>
              <w:right w:val="single" w:sz="8" w:space="0" w:color="D2232A"/>
            </w:tcBorders>
            <w:shd w:val="clear" w:color="auto" w:fill="auto"/>
            <w:vAlign w:val="center"/>
            <w:hideMark/>
          </w:tcPr>
          <w:p w14:paraId="534B333E"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108</w:t>
            </w:r>
          </w:p>
        </w:tc>
        <w:tc>
          <w:tcPr>
            <w:tcW w:w="940" w:type="dxa"/>
            <w:tcBorders>
              <w:top w:val="nil"/>
              <w:left w:val="nil"/>
              <w:bottom w:val="single" w:sz="8" w:space="0" w:color="F3CFC1"/>
              <w:right w:val="single" w:sz="8" w:space="0" w:color="D2232A"/>
            </w:tcBorders>
            <w:shd w:val="clear" w:color="auto" w:fill="auto"/>
            <w:vAlign w:val="center"/>
            <w:hideMark/>
          </w:tcPr>
          <w:p w14:paraId="06F9A812"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2</w:t>
            </w:r>
          </w:p>
        </w:tc>
      </w:tr>
      <w:tr w:rsidR="00630D40" w:rsidRPr="00630D40" w14:paraId="4856B493" w14:textId="77777777" w:rsidTr="00422CBC">
        <w:trPr>
          <w:trHeight w:val="333"/>
        </w:trPr>
        <w:tc>
          <w:tcPr>
            <w:tcW w:w="3360" w:type="dxa"/>
            <w:gridSpan w:val="2"/>
            <w:tcBorders>
              <w:top w:val="single" w:sz="8" w:space="0" w:color="F3CFC1"/>
              <w:left w:val="nil"/>
              <w:bottom w:val="nil"/>
              <w:right w:val="nil"/>
            </w:tcBorders>
            <w:shd w:val="clear" w:color="000000" w:fill="D2232A"/>
            <w:vAlign w:val="center"/>
            <w:hideMark/>
          </w:tcPr>
          <w:p w14:paraId="5AA88EB4" w14:textId="77777777" w:rsidR="00630D40" w:rsidRPr="00630D40" w:rsidRDefault="00630D40" w:rsidP="00630D40">
            <w:pPr>
              <w:spacing w:after="0" w:line="240" w:lineRule="auto"/>
              <w:jc w:val="left"/>
              <w:rPr>
                <w:rFonts w:eastAsia="Times New Roman" w:cs="Calibri"/>
                <w:color w:val="FFFFFF"/>
                <w:szCs w:val="18"/>
                <w:lang w:eastAsia="hr-HR"/>
              </w:rPr>
            </w:pPr>
            <w:r w:rsidRPr="00630D40">
              <w:rPr>
                <w:rFonts w:eastAsia="Times New Roman" w:cs="Calibri"/>
                <w:color w:val="FFFFFF"/>
                <w:szCs w:val="18"/>
                <w:lang w:eastAsia="hr-HR"/>
              </w:rPr>
              <w:lastRenderedPageBreak/>
              <w:t>Potpore za očuvanje radnih mjesta</w:t>
            </w:r>
          </w:p>
        </w:tc>
        <w:tc>
          <w:tcPr>
            <w:tcW w:w="940" w:type="dxa"/>
            <w:tcBorders>
              <w:top w:val="nil"/>
              <w:left w:val="nil"/>
              <w:bottom w:val="single" w:sz="8" w:space="0" w:color="F3CFC1"/>
              <w:right w:val="single" w:sz="8" w:space="0" w:color="D2232A"/>
            </w:tcBorders>
            <w:shd w:val="clear" w:color="auto" w:fill="auto"/>
            <w:vAlign w:val="center"/>
            <w:hideMark/>
          </w:tcPr>
          <w:p w14:paraId="0F777380"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74969C63"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50FA6638"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31304DAF"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2520F629"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187</w:t>
            </w:r>
          </w:p>
        </w:tc>
        <w:tc>
          <w:tcPr>
            <w:tcW w:w="940" w:type="dxa"/>
            <w:tcBorders>
              <w:top w:val="nil"/>
              <w:left w:val="nil"/>
              <w:bottom w:val="single" w:sz="8" w:space="0" w:color="F3CFC1"/>
              <w:right w:val="single" w:sz="8" w:space="0" w:color="D2232A"/>
            </w:tcBorders>
            <w:shd w:val="clear" w:color="auto" w:fill="auto"/>
            <w:vAlign w:val="center"/>
            <w:hideMark/>
          </w:tcPr>
          <w:p w14:paraId="7C905696"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127</w:t>
            </w:r>
          </w:p>
        </w:tc>
      </w:tr>
      <w:tr w:rsidR="00630D40" w:rsidRPr="00630D40" w14:paraId="2057BD7E" w14:textId="77777777" w:rsidTr="00047004">
        <w:trPr>
          <w:trHeight w:val="408"/>
        </w:trPr>
        <w:tc>
          <w:tcPr>
            <w:tcW w:w="3360" w:type="dxa"/>
            <w:gridSpan w:val="2"/>
            <w:tcBorders>
              <w:top w:val="single" w:sz="8" w:space="0" w:color="F3CFC1"/>
              <w:left w:val="nil"/>
              <w:bottom w:val="nil"/>
              <w:right w:val="nil"/>
            </w:tcBorders>
            <w:shd w:val="clear" w:color="000000" w:fill="D2232A"/>
            <w:vAlign w:val="center"/>
            <w:hideMark/>
          </w:tcPr>
          <w:p w14:paraId="415A3D73" w14:textId="77777777" w:rsidR="00630D40" w:rsidRPr="00630D40" w:rsidRDefault="00630D40" w:rsidP="00630D40">
            <w:pPr>
              <w:spacing w:after="0" w:line="240" w:lineRule="auto"/>
              <w:jc w:val="left"/>
              <w:rPr>
                <w:rFonts w:eastAsia="Times New Roman" w:cs="Calibri"/>
                <w:color w:val="FFFFFF"/>
                <w:szCs w:val="18"/>
                <w:lang w:eastAsia="hr-HR"/>
              </w:rPr>
            </w:pPr>
            <w:r w:rsidRPr="00630D40">
              <w:rPr>
                <w:rFonts w:eastAsia="Times New Roman" w:cs="Calibri"/>
                <w:color w:val="FFFFFF"/>
                <w:szCs w:val="18"/>
                <w:lang w:eastAsia="hr-HR"/>
              </w:rPr>
              <w:t>Stalni sezonac</w:t>
            </w:r>
          </w:p>
        </w:tc>
        <w:tc>
          <w:tcPr>
            <w:tcW w:w="940" w:type="dxa"/>
            <w:tcBorders>
              <w:top w:val="nil"/>
              <w:left w:val="nil"/>
              <w:bottom w:val="single" w:sz="8" w:space="0" w:color="F3CFC1"/>
              <w:right w:val="single" w:sz="8" w:space="0" w:color="D2232A"/>
            </w:tcBorders>
            <w:shd w:val="clear" w:color="auto" w:fill="auto"/>
            <w:vAlign w:val="center"/>
            <w:hideMark/>
          </w:tcPr>
          <w:p w14:paraId="3DF43AA5"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5D7AABEC"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462270B9"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1</w:t>
            </w:r>
          </w:p>
        </w:tc>
        <w:tc>
          <w:tcPr>
            <w:tcW w:w="940" w:type="dxa"/>
            <w:tcBorders>
              <w:top w:val="nil"/>
              <w:left w:val="nil"/>
              <w:bottom w:val="single" w:sz="8" w:space="0" w:color="F3CFC1"/>
              <w:right w:val="single" w:sz="8" w:space="0" w:color="D2232A"/>
            </w:tcBorders>
            <w:shd w:val="clear" w:color="auto" w:fill="auto"/>
            <w:vAlign w:val="center"/>
            <w:hideMark/>
          </w:tcPr>
          <w:p w14:paraId="324B49F1"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0D606923"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c>
          <w:tcPr>
            <w:tcW w:w="940" w:type="dxa"/>
            <w:tcBorders>
              <w:top w:val="nil"/>
              <w:left w:val="nil"/>
              <w:bottom w:val="single" w:sz="8" w:space="0" w:color="F3CFC1"/>
              <w:right w:val="single" w:sz="8" w:space="0" w:color="D2232A"/>
            </w:tcBorders>
            <w:shd w:val="clear" w:color="auto" w:fill="auto"/>
            <w:vAlign w:val="center"/>
            <w:hideMark/>
          </w:tcPr>
          <w:p w14:paraId="46AE1B3D" w14:textId="77777777" w:rsidR="00630D40" w:rsidRPr="00630D40" w:rsidRDefault="00630D40" w:rsidP="00630D40">
            <w:pPr>
              <w:spacing w:after="0" w:line="240" w:lineRule="auto"/>
              <w:jc w:val="right"/>
              <w:rPr>
                <w:rFonts w:eastAsia="Times New Roman" w:cs="Calibri"/>
                <w:color w:val="auto"/>
                <w:szCs w:val="18"/>
                <w:lang w:eastAsia="hr-HR"/>
              </w:rPr>
            </w:pPr>
            <w:r w:rsidRPr="00630D40">
              <w:rPr>
                <w:rFonts w:eastAsia="Times New Roman" w:cs="Calibri"/>
                <w:color w:val="auto"/>
                <w:szCs w:val="18"/>
                <w:lang w:eastAsia="hr-HR"/>
              </w:rPr>
              <w:t>-</w:t>
            </w:r>
          </w:p>
        </w:tc>
      </w:tr>
      <w:tr w:rsidR="00630D40" w:rsidRPr="00630D40" w14:paraId="6C1CE145" w14:textId="77777777" w:rsidTr="00422CBC">
        <w:trPr>
          <w:trHeight w:val="383"/>
        </w:trPr>
        <w:tc>
          <w:tcPr>
            <w:tcW w:w="3360" w:type="dxa"/>
            <w:gridSpan w:val="2"/>
            <w:tcBorders>
              <w:top w:val="nil"/>
              <w:left w:val="nil"/>
              <w:bottom w:val="nil"/>
              <w:right w:val="nil"/>
            </w:tcBorders>
            <w:shd w:val="clear" w:color="000000" w:fill="E5E5E5"/>
            <w:vAlign w:val="center"/>
            <w:hideMark/>
          </w:tcPr>
          <w:p w14:paraId="610D4571" w14:textId="77777777" w:rsidR="00630D40" w:rsidRPr="00630D40" w:rsidRDefault="00630D40" w:rsidP="00630D40">
            <w:pPr>
              <w:spacing w:after="0" w:line="240" w:lineRule="auto"/>
              <w:rPr>
                <w:rFonts w:eastAsia="Times New Roman" w:cs="Calibri"/>
                <w:b/>
                <w:bCs/>
                <w:color w:val="3F3F3F"/>
                <w:szCs w:val="18"/>
                <w:lang w:eastAsia="hr-HR"/>
              </w:rPr>
            </w:pPr>
            <w:r w:rsidRPr="00630D40">
              <w:rPr>
                <w:rFonts w:eastAsia="Times New Roman" w:cs="Calibri"/>
                <w:b/>
                <w:bCs/>
                <w:color w:val="3F3F3F"/>
                <w:szCs w:val="18"/>
                <w:lang w:eastAsia="hr-HR"/>
              </w:rPr>
              <w:t>UKUPNO</w:t>
            </w:r>
          </w:p>
        </w:tc>
        <w:tc>
          <w:tcPr>
            <w:tcW w:w="940" w:type="dxa"/>
            <w:tcBorders>
              <w:top w:val="nil"/>
              <w:left w:val="nil"/>
              <w:bottom w:val="nil"/>
              <w:right w:val="single" w:sz="8" w:space="0" w:color="D2232A"/>
            </w:tcBorders>
            <w:shd w:val="clear" w:color="000000" w:fill="E5E5E5"/>
            <w:noWrap/>
            <w:vAlign w:val="center"/>
            <w:hideMark/>
          </w:tcPr>
          <w:p w14:paraId="552DE281" w14:textId="77777777" w:rsidR="00630D40" w:rsidRPr="00630D40" w:rsidRDefault="00630D40" w:rsidP="00630D40">
            <w:pPr>
              <w:spacing w:after="0" w:line="240" w:lineRule="auto"/>
              <w:jc w:val="right"/>
              <w:rPr>
                <w:rFonts w:eastAsia="Times New Roman" w:cs="Calibri"/>
                <w:b/>
                <w:bCs/>
                <w:color w:val="auto"/>
                <w:szCs w:val="18"/>
                <w:lang w:eastAsia="hr-HR"/>
              </w:rPr>
            </w:pPr>
            <w:r w:rsidRPr="00630D40">
              <w:rPr>
                <w:rFonts w:eastAsia="Times New Roman" w:cs="Calibri"/>
                <w:b/>
                <w:bCs/>
                <w:color w:val="auto"/>
                <w:szCs w:val="18"/>
                <w:lang w:eastAsia="hr-HR"/>
              </w:rPr>
              <w:t>1218</w:t>
            </w:r>
          </w:p>
        </w:tc>
        <w:tc>
          <w:tcPr>
            <w:tcW w:w="940" w:type="dxa"/>
            <w:tcBorders>
              <w:top w:val="nil"/>
              <w:left w:val="nil"/>
              <w:bottom w:val="nil"/>
              <w:right w:val="single" w:sz="8" w:space="0" w:color="D2232A"/>
            </w:tcBorders>
            <w:shd w:val="clear" w:color="000000" w:fill="E5E5E5"/>
            <w:noWrap/>
            <w:vAlign w:val="center"/>
            <w:hideMark/>
          </w:tcPr>
          <w:p w14:paraId="5C5762A0" w14:textId="77777777" w:rsidR="00630D40" w:rsidRPr="00630D40" w:rsidRDefault="00630D40" w:rsidP="00630D40">
            <w:pPr>
              <w:spacing w:after="0" w:line="240" w:lineRule="auto"/>
              <w:jc w:val="right"/>
              <w:rPr>
                <w:rFonts w:eastAsia="Times New Roman" w:cs="Calibri"/>
                <w:b/>
                <w:bCs/>
                <w:color w:val="auto"/>
                <w:szCs w:val="18"/>
                <w:lang w:eastAsia="hr-HR"/>
              </w:rPr>
            </w:pPr>
            <w:r w:rsidRPr="00630D40">
              <w:rPr>
                <w:rFonts w:eastAsia="Times New Roman" w:cs="Calibri"/>
                <w:b/>
                <w:bCs/>
                <w:color w:val="auto"/>
                <w:szCs w:val="18"/>
                <w:lang w:eastAsia="hr-HR"/>
              </w:rPr>
              <w:t>1065</w:t>
            </w:r>
          </w:p>
        </w:tc>
        <w:tc>
          <w:tcPr>
            <w:tcW w:w="940" w:type="dxa"/>
            <w:tcBorders>
              <w:top w:val="nil"/>
              <w:left w:val="nil"/>
              <w:bottom w:val="nil"/>
              <w:right w:val="single" w:sz="8" w:space="0" w:color="D2232A"/>
            </w:tcBorders>
            <w:shd w:val="clear" w:color="000000" w:fill="E5E5E5"/>
            <w:noWrap/>
            <w:vAlign w:val="center"/>
            <w:hideMark/>
          </w:tcPr>
          <w:p w14:paraId="1F6F8651" w14:textId="77777777" w:rsidR="00630D40" w:rsidRPr="00630D40" w:rsidRDefault="00630D40" w:rsidP="00630D40">
            <w:pPr>
              <w:spacing w:after="0" w:line="240" w:lineRule="auto"/>
              <w:jc w:val="right"/>
              <w:rPr>
                <w:rFonts w:eastAsia="Times New Roman" w:cs="Calibri"/>
                <w:b/>
                <w:bCs/>
                <w:color w:val="auto"/>
                <w:szCs w:val="18"/>
                <w:lang w:eastAsia="hr-HR"/>
              </w:rPr>
            </w:pPr>
            <w:r w:rsidRPr="00630D40">
              <w:rPr>
                <w:rFonts w:eastAsia="Times New Roman" w:cs="Calibri"/>
                <w:b/>
                <w:bCs/>
                <w:color w:val="auto"/>
                <w:szCs w:val="18"/>
                <w:lang w:eastAsia="hr-HR"/>
              </w:rPr>
              <w:t>885</w:t>
            </w:r>
          </w:p>
        </w:tc>
        <w:tc>
          <w:tcPr>
            <w:tcW w:w="940" w:type="dxa"/>
            <w:tcBorders>
              <w:top w:val="nil"/>
              <w:left w:val="nil"/>
              <w:bottom w:val="nil"/>
              <w:right w:val="single" w:sz="8" w:space="0" w:color="D2232A"/>
            </w:tcBorders>
            <w:shd w:val="clear" w:color="000000" w:fill="E5E5E5"/>
            <w:noWrap/>
            <w:vAlign w:val="center"/>
            <w:hideMark/>
          </w:tcPr>
          <w:p w14:paraId="1480A460" w14:textId="77777777" w:rsidR="00630D40" w:rsidRPr="00630D40" w:rsidRDefault="00630D40" w:rsidP="00630D40">
            <w:pPr>
              <w:spacing w:after="0" w:line="240" w:lineRule="auto"/>
              <w:jc w:val="right"/>
              <w:rPr>
                <w:rFonts w:eastAsia="Times New Roman" w:cs="Calibri"/>
                <w:b/>
                <w:bCs/>
                <w:color w:val="auto"/>
                <w:szCs w:val="18"/>
                <w:lang w:eastAsia="hr-HR"/>
              </w:rPr>
            </w:pPr>
            <w:r w:rsidRPr="00630D40">
              <w:rPr>
                <w:rFonts w:eastAsia="Times New Roman" w:cs="Calibri"/>
                <w:b/>
                <w:bCs/>
                <w:color w:val="auto"/>
                <w:szCs w:val="18"/>
                <w:lang w:eastAsia="hr-HR"/>
              </w:rPr>
              <w:t>1130</w:t>
            </w:r>
          </w:p>
        </w:tc>
        <w:tc>
          <w:tcPr>
            <w:tcW w:w="940" w:type="dxa"/>
            <w:tcBorders>
              <w:top w:val="nil"/>
              <w:left w:val="nil"/>
              <w:bottom w:val="nil"/>
              <w:right w:val="single" w:sz="8" w:space="0" w:color="D2232A"/>
            </w:tcBorders>
            <w:shd w:val="clear" w:color="000000" w:fill="E5E5E5"/>
            <w:noWrap/>
            <w:vAlign w:val="center"/>
            <w:hideMark/>
          </w:tcPr>
          <w:p w14:paraId="262EAD46" w14:textId="77777777" w:rsidR="00630D40" w:rsidRPr="00630D40" w:rsidRDefault="00630D40" w:rsidP="00630D40">
            <w:pPr>
              <w:spacing w:after="0" w:line="240" w:lineRule="auto"/>
              <w:jc w:val="right"/>
              <w:rPr>
                <w:rFonts w:eastAsia="Times New Roman" w:cs="Calibri"/>
                <w:b/>
                <w:bCs/>
                <w:color w:val="auto"/>
                <w:szCs w:val="18"/>
                <w:lang w:eastAsia="hr-HR"/>
              </w:rPr>
            </w:pPr>
            <w:r w:rsidRPr="00630D40">
              <w:rPr>
                <w:rFonts w:eastAsia="Times New Roman" w:cs="Calibri"/>
                <w:b/>
                <w:bCs/>
                <w:color w:val="auto"/>
                <w:szCs w:val="18"/>
                <w:lang w:eastAsia="hr-HR"/>
              </w:rPr>
              <w:t>1086</w:t>
            </w:r>
          </w:p>
        </w:tc>
        <w:tc>
          <w:tcPr>
            <w:tcW w:w="940" w:type="dxa"/>
            <w:tcBorders>
              <w:top w:val="nil"/>
              <w:left w:val="nil"/>
              <w:bottom w:val="nil"/>
              <w:right w:val="single" w:sz="8" w:space="0" w:color="D2232A"/>
            </w:tcBorders>
            <w:shd w:val="clear" w:color="000000" w:fill="E5E5E5"/>
            <w:noWrap/>
            <w:vAlign w:val="center"/>
            <w:hideMark/>
          </w:tcPr>
          <w:p w14:paraId="67BA2B52" w14:textId="77777777" w:rsidR="00630D40" w:rsidRPr="00630D40" w:rsidRDefault="00630D40" w:rsidP="00630D40">
            <w:pPr>
              <w:spacing w:after="0" w:line="240" w:lineRule="auto"/>
              <w:jc w:val="right"/>
              <w:rPr>
                <w:rFonts w:eastAsia="Times New Roman" w:cs="Calibri"/>
                <w:b/>
                <w:bCs/>
                <w:color w:val="auto"/>
                <w:szCs w:val="18"/>
                <w:lang w:eastAsia="hr-HR"/>
              </w:rPr>
            </w:pPr>
            <w:r w:rsidRPr="00630D40">
              <w:rPr>
                <w:rFonts w:eastAsia="Times New Roman" w:cs="Calibri"/>
                <w:b/>
                <w:bCs/>
                <w:color w:val="auto"/>
                <w:szCs w:val="18"/>
                <w:lang w:eastAsia="hr-HR"/>
              </w:rPr>
              <w:t>747</w:t>
            </w:r>
          </w:p>
        </w:tc>
      </w:tr>
    </w:tbl>
    <w:p w14:paraId="257054C6" w14:textId="4749298A" w:rsidR="00722DDE" w:rsidRPr="00422CBC" w:rsidRDefault="00722DDE" w:rsidP="004353F9">
      <w:pPr>
        <w:pStyle w:val="Izvor"/>
        <w:rPr>
          <w:i/>
          <w:color w:val="ABABAB" w:themeColor="text1" w:themeTint="A6"/>
          <w:sz w:val="16"/>
          <w:szCs w:val="16"/>
        </w:rPr>
      </w:pPr>
      <w:r w:rsidRPr="00422CBC">
        <w:rPr>
          <w:i/>
          <w:color w:val="ABABAB" w:themeColor="text1" w:themeTint="A6"/>
          <w:sz w:val="16"/>
          <w:szCs w:val="16"/>
        </w:rPr>
        <w:t xml:space="preserve">Izvor: HZZ PU Krapina, </w:t>
      </w:r>
      <w:r w:rsidR="0078792D" w:rsidRPr="00422CBC">
        <w:rPr>
          <w:i/>
          <w:color w:val="ABABAB" w:themeColor="text1" w:themeTint="A6"/>
          <w:sz w:val="16"/>
          <w:szCs w:val="16"/>
        </w:rPr>
        <w:t>siječanj</w:t>
      </w:r>
      <w:r w:rsidRPr="00422CBC">
        <w:rPr>
          <w:i/>
          <w:color w:val="ABABAB" w:themeColor="text1" w:themeTint="A6"/>
          <w:sz w:val="16"/>
          <w:szCs w:val="16"/>
        </w:rPr>
        <w:t xml:space="preserve"> 20</w:t>
      </w:r>
      <w:r w:rsidR="00A10E75" w:rsidRPr="00422CBC">
        <w:rPr>
          <w:i/>
          <w:color w:val="ABABAB" w:themeColor="text1" w:themeTint="A6"/>
          <w:sz w:val="16"/>
          <w:szCs w:val="16"/>
        </w:rPr>
        <w:t>2</w:t>
      </w:r>
      <w:r w:rsidR="0078792D" w:rsidRPr="00422CBC">
        <w:rPr>
          <w:i/>
          <w:color w:val="ABABAB" w:themeColor="text1" w:themeTint="A6"/>
          <w:sz w:val="16"/>
          <w:szCs w:val="16"/>
        </w:rPr>
        <w:t>1</w:t>
      </w:r>
      <w:r w:rsidRPr="00422CBC">
        <w:rPr>
          <w:i/>
          <w:color w:val="ABABAB" w:themeColor="text1" w:themeTint="A6"/>
          <w:sz w:val="16"/>
          <w:szCs w:val="16"/>
        </w:rPr>
        <w:t>.</w:t>
      </w:r>
    </w:p>
    <w:p w14:paraId="5CCB6ADF" w14:textId="77777777" w:rsidR="004353F9" w:rsidRPr="004353F9" w:rsidRDefault="004353F9" w:rsidP="004353F9">
      <w:pPr>
        <w:pStyle w:val="Izvor"/>
        <w:rPr>
          <w:rFonts w:asciiTheme="minorHAnsi" w:eastAsiaTheme="minorHAnsi" w:hAnsiTheme="minorHAnsi"/>
        </w:rPr>
      </w:pPr>
    </w:p>
    <w:p w14:paraId="617102E0" w14:textId="00095655" w:rsidR="00722DDE" w:rsidRDefault="00722DDE" w:rsidP="00722DDE">
      <w:r>
        <w:t>Prema podacima Hrvatskog zavoda za mirovinsko osiguranje i Hrvatskog zavoda za zapošljavanje na dan 31.12.20</w:t>
      </w:r>
      <w:r w:rsidR="00AB4229">
        <w:t>20</w:t>
      </w:r>
      <w:r>
        <w:t>. godine u Krapinsko-zagorskoj županiji evidentirano je 4</w:t>
      </w:r>
      <w:r w:rsidR="00AB4229">
        <w:t>1.038</w:t>
      </w:r>
      <w:r>
        <w:t xml:space="preserve"> aktivnih stanovnika, od čega se 3</w:t>
      </w:r>
      <w:r w:rsidR="002F4FE0">
        <w:t>8.</w:t>
      </w:r>
      <w:r w:rsidR="00AB4229">
        <w:t>368</w:t>
      </w:r>
      <w:r>
        <w:t xml:space="preserve"> odnosi na aktivne osiguranike Hrvatskog zavoda za mirovinsko osiguranje, a </w:t>
      </w:r>
      <w:r w:rsidR="002F4FE0">
        <w:t>2.</w:t>
      </w:r>
      <w:r w:rsidR="00AB4229">
        <w:t>670</w:t>
      </w:r>
      <w:r>
        <w:t xml:space="preserve"> na nezaposlene osobe. Aktivno stanovništvo </w:t>
      </w:r>
      <w:r w:rsidR="002F4FE0">
        <w:t xml:space="preserve">povećalo se </w:t>
      </w:r>
      <w:r>
        <w:t>za 1,</w:t>
      </w:r>
      <w:r w:rsidR="00AB4229">
        <w:t>44</w:t>
      </w:r>
      <w:r>
        <w:t>% u odnosu na prosinac 201</w:t>
      </w:r>
      <w:r w:rsidR="00AB4229">
        <w:t>9</w:t>
      </w:r>
      <w:r>
        <w:t xml:space="preserve">. godine. </w:t>
      </w:r>
    </w:p>
    <w:p w14:paraId="47882823" w14:textId="77777777" w:rsidR="00722DDE" w:rsidRDefault="00722DDE" w:rsidP="00722DDE"/>
    <w:p w14:paraId="4D789B9C" w14:textId="440CDCFB" w:rsidR="00722DDE" w:rsidRDefault="00722DDE" w:rsidP="003E3F3C">
      <w:pPr>
        <w:pStyle w:val="Opisslike"/>
      </w:pPr>
      <w:r>
        <w:t>Grafikon</w:t>
      </w:r>
      <w:r w:rsidR="008B5667">
        <w:rPr>
          <w:noProof/>
        </w:rPr>
        <w:t xml:space="preserve"> 3</w:t>
      </w:r>
      <w:r w:rsidR="00CF4B96">
        <w:rPr>
          <w:noProof/>
        </w:rPr>
        <w:t>6</w:t>
      </w:r>
      <w:r>
        <w:rPr>
          <w:noProof/>
        </w:rPr>
        <w:t>.</w:t>
      </w:r>
      <w:r>
        <w:t xml:space="preserve"> Osiguranici mirovinskog sustava (201</w:t>
      </w:r>
      <w:r w:rsidR="002F4FE0">
        <w:t>8</w:t>
      </w:r>
      <w:r>
        <w:t>.-20</w:t>
      </w:r>
      <w:r w:rsidR="002F4FE0">
        <w:t>20</w:t>
      </w:r>
      <w:r>
        <w:t xml:space="preserve">.) </w:t>
      </w:r>
    </w:p>
    <w:p w14:paraId="59DE2595" w14:textId="589BF10B" w:rsidR="00722DDE" w:rsidRPr="003163A6" w:rsidRDefault="00655ABA" w:rsidP="003163A6">
      <w:pPr>
        <w:rPr>
          <w:sz w:val="22"/>
          <w:szCs w:val="22"/>
        </w:rPr>
      </w:pPr>
      <w:r>
        <w:rPr>
          <w:noProof/>
        </w:rPr>
        <w:drawing>
          <wp:inline distT="0" distB="0" distL="0" distR="0" wp14:anchorId="2296AE14" wp14:editId="7FA24442">
            <wp:extent cx="6035040" cy="3566160"/>
            <wp:effectExtent l="0" t="0" r="3810" b="15240"/>
            <wp:docPr id="192" name="Grafikon 192">
              <a:extLst xmlns:a="http://schemas.openxmlformats.org/drawingml/2006/main">
                <a:ext uri="{FF2B5EF4-FFF2-40B4-BE49-F238E27FC236}">
                  <a16:creationId xmlns:a16="http://schemas.microsoft.com/office/drawing/2014/main" id="{792F81DD-9F2A-41E2-B10E-5AC6A0898F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00722DDE" w:rsidRPr="00194AD7">
        <w:rPr>
          <w:rFonts w:eastAsia="ArialNarrow" w:cstheme="minorHAnsi"/>
          <w:i/>
          <w:color w:val="ABABAB" w:themeColor="text1" w:themeTint="A6"/>
          <w:sz w:val="16"/>
          <w:szCs w:val="16"/>
        </w:rPr>
        <w:t>Izvor: Hrvatski zavod za mirovinsko osiguranje, Hrvatski zavod za zapošljavanje; stanje na 3</w:t>
      </w:r>
      <w:r w:rsidR="002F4FE0" w:rsidRPr="00194AD7">
        <w:rPr>
          <w:rFonts w:eastAsia="ArialNarrow" w:cstheme="minorHAnsi"/>
          <w:i/>
          <w:color w:val="ABABAB" w:themeColor="text1" w:themeTint="A6"/>
          <w:sz w:val="16"/>
          <w:szCs w:val="16"/>
        </w:rPr>
        <w:t>0</w:t>
      </w:r>
      <w:r w:rsidR="00722DDE" w:rsidRPr="00194AD7">
        <w:rPr>
          <w:rFonts w:eastAsia="ArialNarrow" w:cstheme="minorHAnsi"/>
          <w:i/>
          <w:color w:val="ABABAB" w:themeColor="text1" w:themeTint="A6"/>
          <w:sz w:val="16"/>
          <w:szCs w:val="16"/>
        </w:rPr>
        <w:t>.</w:t>
      </w:r>
      <w:r w:rsidR="003163A6" w:rsidRPr="00194AD7">
        <w:rPr>
          <w:rFonts w:eastAsia="ArialNarrow" w:cstheme="minorHAnsi"/>
          <w:i/>
          <w:color w:val="ABABAB" w:themeColor="text1" w:themeTint="A6"/>
          <w:sz w:val="16"/>
          <w:szCs w:val="16"/>
        </w:rPr>
        <w:t>12</w:t>
      </w:r>
      <w:r w:rsidR="002F4FE0" w:rsidRPr="00194AD7">
        <w:rPr>
          <w:rFonts w:eastAsia="ArialNarrow" w:cstheme="minorHAnsi"/>
          <w:i/>
          <w:color w:val="ABABAB" w:themeColor="text1" w:themeTint="A6"/>
          <w:sz w:val="16"/>
          <w:szCs w:val="16"/>
        </w:rPr>
        <w:t>.</w:t>
      </w:r>
      <w:r w:rsidR="00835A6C" w:rsidRPr="00194AD7">
        <w:rPr>
          <w:rFonts w:eastAsia="ArialNarrow" w:cstheme="minorHAnsi"/>
          <w:i/>
          <w:color w:val="ABABAB" w:themeColor="text1" w:themeTint="A6"/>
          <w:sz w:val="16"/>
          <w:szCs w:val="16"/>
        </w:rPr>
        <w:t>2020.</w:t>
      </w:r>
    </w:p>
    <w:p w14:paraId="3A54A0FE" w14:textId="77777777" w:rsidR="00722DDE" w:rsidRDefault="00722DDE" w:rsidP="00722DDE">
      <w:pPr>
        <w:rPr>
          <w:sz w:val="22"/>
          <w:szCs w:val="22"/>
        </w:rPr>
      </w:pPr>
    </w:p>
    <w:p w14:paraId="4F40F66B" w14:textId="7A3B9A96" w:rsidR="00047004" w:rsidRDefault="00722DDE" w:rsidP="00722DDE">
      <w:r>
        <w:t>Stopa nezaposlenosti 201</w:t>
      </w:r>
      <w:r w:rsidR="003566F8">
        <w:t>9</w:t>
      </w:r>
      <w:r>
        <w:t xml:space="preserve">. godine u Krapinsko-zagorskoj županiji iznosila je </w:t>
      </w:r>
      <w:r w:rsidR="003566F8">
        <w:t>6,4</w:t>
      </w:r>
      <w:r>
        <w:t xml:space="preserve">%, što je smanjenje stope za </w:t>
      </w:r>
      <w:r w:rsidR="003566F8">
        <w:t>1,7</w:t>
      </w:r>
      <w:r>
        <w:t xml:space="preserve">% u odnosu na prosjek prethodne godine. Stopa registrirane nezaposlenosti u Krapinsko-zagorskoj županiji u istom je rangu kao i stopa registrirane </w:t>
      </w:r>
      <w:r w:rsidR="00C121D9">
        <w:t xml:space="preserve">nezaposlenosti </w:t>
      </w:r>
      <w:r w:rsidR="00C121D9" w:rsidRPr="0022741C">
        <w:rPr>
          <w:b/>
          <w:bCs/>
        </w:rPr>
        <w:t>Zagrebačke</w:t>
      </w:r>
      <w:r w:rsidR="00C121D9">
        <w:t xml:space="preserve"> (</w:t>
      </w:r>
      <w:r w:rsidR="003566F8">
        <w:t>6,3</w:t>
      </w:r>
      <w:r w:rsidR="00C121D9">
        <w:t xml:space="preserve">%) i </w:t>
      </w:r>
      <w:r w:rsidR="00C121D9" w:rsidRPr="0022741C">
        <w:rPr>
          <w:b/>
          <w:bCs/>
        </w:rPr>
        <w:t>Koprivničko-križevačke</w:t>
      </w:r>
      <w:r w:rsidR="00C121D9">
        <w:t xml:space="preserve"> (</w:t>
      </w:r>
      <w:r w:rsidR="003566F8">
        <w:t>6,8</w:t>
      </w:r>
      <w:r w:rsidR="00C121D9">
        <w:t xml:space="preserve">%). </w:t>
      </w:r>
      <w:r>
        <w:t>Najmanje stope nezaposlenosti u Republici Hrvatskoj krajem 201</w:t>
      </w:r>
      <w:r w:rsidR="003566F8">
        <w:t>9</w:t>
      </w:r>
      <w:r>
        <w:t>. godine zabilježene su u Gradu Zagrebu (</w:t>
      </w:r>
      <w:r w:rsidR="003566F8">
        <w:t>3</w:t>
      </w:r>
      <w:r>
        <w:t xml:space="preserve">,7%) te </w:t>
      </w:r>
      <w:r w:rsidR="003566F8" w:rsidRPr="003566F8">
        <w:rPr>
          <w:b/>
          <w:bCs/>
        </w:rPr>
        <w:t>Varaždinskoj</w:t>
      </w:r>
      <w:r>
        <w:t xml:space="preserve"> (4,</w:t>
      </w:r>
      <w:r w:rsidR="003566F8">
        <w:t>0</w:t>
      </w:r>
      <w:r>
        <w:t xml:space="preserve">%), </w:t>
      </w:r>
      <w:r w:rsidR="003566F8">
        <w:t>Istarskoj</w:t>
      </w:r>
      <w:r>
        <w:t>(</w:t>
      </w:r>
      <w:r w:rsidR="003566F8">
        <w:t>4</w:t>
      </w:r>
      <w:r>
        <w:t>,</w:t>
      </w:r>
      <w:r w:rsidR="003566F8">
        <w:t>6</w:t>
      </w:r>
      <w:r>
        <w:t xml:space="preserve">%) i </w:t>
      </w:r>
      <w:r w:rsidRPr="0022741C">
        <w:rPr>
          <w:b/>
          <w:bCs/>
        </w:rPr>
        <w:t>Međimurskoj županiji</w:t>
      </w:r>
      <w:r>
        <w:t xml:space="preserve"> (</w:t>
      </w:r>
      <w:r w:rsidR="00B277FA">
        <w:t>5</w:t>
      </w:r>
      <w:r>
        <w:t>,</w:t>
      </w:r>
      <w:r w:rsidR="00B277FA">
        <w:t>4</w:t>
      </w:r>
      <w:r>
        <w:t xml:space="preserve">%). </w:t>
      </w:r>
    </w:p>
    <w:p w14:paraId="79A5E2B5" w14:textId="77777777" w:rsidR="00047004" w:rsidRDefault="00047004" w:rsidP="00722DDE"/>
    <w:p w14:paraId="3017A0A4" w14:textId="74DE6943" w:rsidR="00722DDE" w:rsidRDefault="00722DDE" w:rsidP="003E3F3C">
      <w:pPr>
        <w:pStyle w:val="Opisslike"/>
      </w:pPr>
      <w:r>
        <w:t xml:space="preserve">Tablica </w:t>
      </w:r>
      <w:r w:rsidR="008B5667">
        <w:rPr>
          <w:noProof/>
        </w:rPr>
        <w:t>6</w:t>
      </w:r>
      <w:r w:rsidR="000D5E3F">
        <w:rPr>
          <w:noProof/>
        </w:rPr>
        <w:t>8</w:t>
      </w:r>
      <w:r>
        <w:rPr>
          <w:noProof/>
        </w:rPr>
        <w:t>.</w:t>
      </w:r>
      <w:r>
        <w:t xml:space="preserve"> Stopa registrirane nezaposlenosti u Krapinsko-zagorskoj županiji, Sjevernoj Hrvatskoj, Republici Hrvatskoj i EU-28 (2015.-2019.)</w:t>
      </w:r>
    </w:p>
    <w:tbl>
      <w:tblPr>
        <w:tblW w:w="0" w:type="auto"/>
        <w:jc w:val="center"/>
        <w:tblLayout w:type="fixed"/>
        <w:tblLook w:val="04A0" w:firstRow="1" w:lastRow="0" w:firstColumn="1" w:lastColumn="0" w:noHBand="0" w:noVBand="1"/>
      </w:tblPr>
      <w:tblGrid>
        <w:gridCol w:w="933"/>
        <w:gridCol w:w="2064"/>
        <w:gridCol w:w="2064"/>
        <w:gridCol w:w="2064"/>
        <w:gridCol w:w="2064"/>
      </w:tblGrid>
      <w:tr w:rsidR="00722DDE" w:rsidRPr="00AF3F15" w14:paraId="61683AEF" w14:textId="77777777" w:rsidTr="00441678">
        <w:trPr>
          <w:trHeight w:val="459"/>
          <w:jc w:val="center"/>
        </w:trPr>
        <w:tc>
          <w:tcPr>
            <w:tcW w:w="933" w:type="dxa"/>
            <w:tcBorders>
              <w:bottom w:val="single" w:sz="4" w:space="0" w:color="FFFFFF" w:themeColor="background1"/>
              <w:right w:val="single" w:sz="4" w:space="0" w:color="FFFFFF" w:themeColor="background1"/>
            </w:tcBorders>
            <w:shd w:val="clear" w:color="auto" w:fill="D2232A"/>
            <w:noWrap/>
            <w:vAlign w:val="center"/>
            <w:hideMark/>
          </w:tcPr>
          <w:p w14:paraId="157A8BEC" w14:textId="77777777" w:rsidR="00722DDE" w:rsidRPr="00AF3F15" w:rsidRDefault="00722DDE" w:rsidP="00441678">
            <w:pPr>
              <w:spacing w:after="0" w:line="240" w:lineRule="auto"/>
              <w:jc w:val="center"/>
              <w:rPr>
                <w:rFonts w:eastAsia="Times New Roman" w:cs="Calibri"/>
                <w:b/>
                <w:bCs/>
                <w:color w:val="FFFFFF" w:themeColor="background1"/>
                <w:sz w:val="22"/>
                <w:szCs w:val="22"/>
                <w:lang w:eastAsia="hr-HR"/>
              </w:rPr>
            </w:pPr>
            <w:r w:rsidRPr="00AF3F15">
              <w:rPr>
                <w:rFonts w:eastAsia="Times New Roman" w:cs="Calibri"/>
                <w:b/>
                <w:bCs/>
                <w:color w:val="FFFFFF" w:themeColor="background1"/>
                <w:lang w:eastAsia="hr-HR"/>
              </w:rPr>
              <w:t>Godina</w:t>
            </w:r>
          </w:p>
        </w:tc>
        <w:tc>
          <w:tcPr>
            <w:tcW w:w="2064" w:type="dxa"/>
            <w:tcBorders>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19569622" w14:textId="77777777" w:rsidR="00722DDE" w:rsidRPr="00AF3F15" w:rsidRDefault="00722DDE" w:rsidP="00722DDE">
            <w:pPr>
              <w:spacing w:after="0" w:line="240" w:lineRule="auto"/>
              <w:jc w:val="center"/>
              <w:rPr>
                <w:rFonts w:eastAsia="Times New Roman" w:cs="Calibri"/>
                <w:b/>
                <w:bCs/>
                <w:color w:val="FFFFFF" w:themeColor="background1"/>
                <w:lang w:eastAsia="hr-HR"/>
              </w:rPr>
            </w:pPr>
            <w:r w:rsidRPr="00AF3F15">
              <w:rPr>
                <w:rFonts w:eastAsia="Times New Roman" w:cs="Calibri"/>
                <w:b/>
                <w:bCs/>
                <w:color w:val="FFFFFF" w:themeColor="background1"/>
                <w:lang w:eastAsia="hr-HR"/>
              </w:rPr>
              <w:t>Krapinsko-zagorska županija</w:t>
            </w:r>
          </w:p>
        </w:tc>
        <w:tc>
          <w:tcPr>
            <w:tcW w:w="2064" w:type="dxa"/>
            <w:tcBorders>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29CA4F13" w14:textId="77777777" w:rsidR="00722DDE" w:rsidRPr="00AF3F15" w:rsidRDefault="00722DDE" w:rsidP="00722DDE">
            <w:pPr>
              <w:spacing w:after="0" w:line="240" w:lineRule="auto"/>
              <w:jc w:val="center"/>
              <w:rPr>
                <w:rFonts w:eastAsia="Times New Roman" w:cs="Calibri"/>
                <w:b/>
                <w:bCs/>
                <w:color w:val="FFFFFF" w:themeColor="background1"/>
                <w:lang w:eastAsia="hr-HR"/>
              </w:rPr>
            </w:pPr>
            <w:r>
              <w:rPr>
                <w:rFonts w:eastAsia="Times New Roman" w:cs="Calibri"/>
                <w:b/>
                <w:bCs/>
                <w:color w:val="FFFFFF" w:themeColor="background1"/>
                <w:lang w:eastAsia="hr-HR"/>
              </w:rPr>
              <w:t>Sjeverna</w:t>
            </w:r>
            <w:r w:rsidRPr="00AF3F15">
              <w:rPr>
                <w:rFonts w:eastAsia="Times New Roman" w:cs="Calibri"/>
                <w:b/>
                <w:bCs/>
                <w:color w:val="FFFFFF" w:themeColor="background1"/>
                <w:lang w:eastAsia="hr-HR"/>
              </w:rPr>
              <w:t xml:space="preserve"> Hrvatska</w:t>
            </w:r>
          </w:p>
        </w:tc>
        <w:tc>
          <w:tcPr>
            <w:tcW w:w="2064" w:type="dxa"/>
            <w:tcBorders>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514852A2" w14:textId="77777777" w:rsidR="00722DDE" w:rsidRPr="00AF3F15" w:rsidRDefault="00722DDE" w:rsidP="00722DDE">
            <w:pPr>
              <w:spacing w:after="0" w:line="240" w:lineRule="auto"/>
              <w:jc w:val="center"/>
              <w:rPr>
                <w:rFonts w:eastAsia="Times New Roman" w:cs="Calibri"/>
                <w:b/>
                <w:bCs/>
                <w:color w:val="FFFFFF" w:themeColor="background1"/>
                <w:lang w:eastAsia="hr-HR"/>
              </w:rPr>
            </w:pPr>
            <w:r w:rsidRPr="00AF3F15">
              <w:rPr>
                <w:rFonts w:eastAsia="Times New Roman" w:cs="Calibri"/>
                <w:b/>
                <w:bCs/>
                <w:color w:val="FFFFFF" w:themeColor="background1"/>
                <w:lang w:eastAsia="hr-HR"/>
              </w:rPr>
              <w:t>Republika Hrvatska</w:t>
            </w:r>
          </w:p>
        </w:tc>
        <w:tc>
          <w:tcPr>
            <w:tcW w:w="2064" w:type="dxa"/>
            <w:tcBorders>
              <w:left w:val="single" w:sz="4" w:space="0" w:color="FFFFFF" w:themeColor="background1"/>
              <w:bottom w:val="single" w:sz="4" w:space="0" w:color="FFFFFF" w:themeColor="background1"/>
              <w:right w:val="single" w:sz="8" w:space="0" w:color="D2232A"/>
            </w:tcBorders>
            <w:shd w:val="clear" w:color="auto" w:fill="D2232A"/>
            <w:noWrap/>
            <w:vAlign w:val="center"/>
            <w:hideMark/>
          </w:tcPr>
          <w:p w14:paraId="5E96FCAC" w14:textId="77777777" w:rsidR="00722DDE" w:rsidRPr="00AF3F15" w:rsidRDefault="00722DDE" w:rsidP="00722DDE">
            <w:pPr>
              <w:spacing w:after="0" w:line="240" w:lineRule="auto"/>
              <w:jc w:val="center"/>
              <w:rPr>
                <w:rFonts w:eastAsia="Times New Roman" w:cs="Calibri"/>
                <w:b/>
                <w:bCs/>
                <w:color w:val="FFFFFF" w:themeColor="background1"/>
                <w:lang w:eastAsia="hr-HR"/>
              </w:rPr>
            </w:pPr>
            <w:r w:rsidRPr="00AF3F15">
              <w:rPr>
                <w:rFonts w:eastAsia="Times New Roman" w:cs="Calibri"/>
                <w:b/>
                <w:bCs/>
                <w:color w:val="FFFFFF" w:themeColor="background1"/>
                <w:lang w:eastAsia="hr-HR"/>
              </w:rPr>
              <w:t>EU-28</w:t>
            </w:r>
          </w:p>
        </w:tc>
      </w:tr>
      <w:tr w:rsidR="00722DDE" w:rsidRPr="00AF3F15" w14:paraId="3EF02A78" w14:textId="77777777" w:rsidTr="00441678">
        <w:trPr>
          <w:trHeight w:val="321"/>
          <w:jc w:val="center"/>
        </w:trPr>
        <w:tc>
          <w:tcPr>
            <w:tcW w:w="933" w:type="dxa"/>
            <w:tcBorders>
              <w:top w:val="single" w:sz="8" w:space="0" w:color="F3CFC1"/>
              <w:bottom w:val="single" w:sz="8" w:space="0" w:color="F3CFC1"/>
            </w:tcBorders>
            <w:shd w:val="clear" w:color="auto" w:fill="D2232A"/>
            <w:noWrap/>
            <w:vAlign w:val="center"/>
            <w:hideMark/>
          </w:tcPr>
          <w:p w14:paraId="76A9C49A" w14:textId="77777777" w:rsidR="00722DDE" w:rsidRPr="00AF3F15" w:rsidRDefault="00722DDE" w:rsidP="00441678">
            <w:pPr>
              <w:spacing w:after="0" w:line="240" w:lineRule="auto"/>
              <w:jc w:val="center"/>
              <w:rPr>
                <w:rFonts w:eastAsia="Times New Roman" w:cs="Calibri"/>
                <w:b/>
                <w:bCs/>
                <w:color w:val="FFFFFF" w:themeColor="background1"/>
                <w:lang w:eastAsia="hr-HR"/>
              </w:rPr>
            </w:pPr>
            <w:r w:rsidRPr="00AF3F15">
              <w:rPr>
                <w:rFonts w:eastAsia="Times New Roman" w:cs="Calibri"/>
                <w:b/>
                <w:bCs/>
                <w:color w:val="FFFFFF" w:themeColor="background1"/>
                <w:lang w:eastAsia="hr-HR"/>
              </w:rPr>
              <w:t>2015.</w:t>
            </w:r>
          </w:p>
        </w:tc>
        <w:tc>
          <w:tcPr>
            <w:tcW w:w="2064" w:type="dxa"/>
            <w:tcBorders>
              <w:bottom w:val="single" w:sz="8" w:space="0" w:color="F3CFC1"/>
              <w:right w:val="single" w:sz="8" w:space="0" w:color="D2232A"/>
            </w:tcBorders>
            <w:noWrap/>
            <w:vAlign w:val="bottom"/>
            <w:hideMark/>
          </w:tcPr>
          <w:p w14:paraId="69E849B8" w14:textId="77777777"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17,7</w:t>
            </w:r>
          </w:p>
        </w:tc>
        <w:tc>
          <w:tcPr>
            <w:tcW w:w="2064" w:type="dxa"/>
            <w:tcBorders>
              <w:left w:val="single" w:sz="8" w:space="0" w:color="D2232A"/>
              <w:bottom w:val="single" w:sz="8" w:space="0" w:color="F3CFC1"/>
              <w:right w:val="single" w:sz="8" w:space="0" w:color="D2232A"/>
            </w:tcBorders>
            <w:noWrap/>
            <w:vAlign w:val="bottom"/>
          </w:tcPr>
          <w:p w14:paraId="0F6108C4" w14:textId="77777777" w:rsidR="00722DDE" w:rsidRPr="00AF3F15" w:rsidRDefault="00722DDE" w:rsidP="00722DDE">
            <w:pPr>
              <w:spacing w:after="0" w:line="240" w:lineRule="auto"/>
              <w:jc w:val="right"/>
              <w:rPr>
                <w:rFonts w:eastAsia="Times New Roman" w:cs="Calibri"/>
                <w:lang w:eastAsia="hr-HR"/>
              </w:rPr>
            </w:pPr>
            <w:r>
              <w:rPr>
                <w:rFonts w:eastAsia="Times New Roman" w:cs="Calibri"/>
                <w:lang w:eastAsia="hr-HR"/>
              </w:rPr>
              <w:t>16,5</w:t>
            </w:r>
          </w:p>
        </w:tc>
        <w:tc>
          <w:tcPr>
            <w:tcW w:w="2064" w:type="dxa"/>
            <w:tcBorders>
              <w:left w:val="single" w:sz="8" w:space="0" w:color="D2232A"/>
              <w:bottom w:val="single" w:sz="8" w:space="0" w:color="F3CFC1"/>
              <w:right w:val="single" w:sz="8" w:space="0" w:color="D2232A"/>
            </w:tcBorders>
            <w:noWrap/>
            <w:vAlign w:val="bottom"/>
            <w:hideMark/>
          </w:tcPr>
          <w:p w14:paraId="1899F06B" w14:textId="16F38E74"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16,</w:t>
            </w:r>
            <w:r w:rsidR="005B31E0">
              <w:rPr>
                <w:rFonts w:eastAsia="Times New Roman" w:cs="Calibri"/>
                <w:lang w:eastAsia="hr-HR"/>
              </w:rPr>
              <w:t>2</w:t>
            </w:r>
          </w:p>
        </w:tc>
        <w:tc>
          <w:tcPr>
            <w:tcW w:w="2064" w:type="dxa"/>
            <w:tcBorders>
              <w:left w:val="single" w:sz="8" w:space="0" w:color="D2232A"/>
              <w:bottom w:val="single" w:sz="8" w:space="0" w:color="F3CFC1"/>
              <w:right w:val="single" w:sz="8" w:space="0" w:color="D2232A"/>
            </w:tcBorders>
            <w:noWrap/>
            <w:vAlign w:val="bottom"/>
            <w:hideMark/>
          </w:tcPr>
          <w:p w14:paraId="64A8E899" w14:textId="77777777"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9,4</w:t>
            </w:r>
          </w:p>
        </w:tc>
      </w:tr>
      <w:tr w:rsidR="00722DDE" w:rsidRPr="00AF3F15" w14:paraId="012B418E" w14:textId="77777777" w:rsidTr="00441678">
        <w:trPr>
          <w:trHeight w:val="321"/>
          <w:jc w:val="center"/>
        </w:trPr>
        <w:tc>
          <w:tcPr>
            <w:tcW w:w="933" w:type="dxa"/>
            <w:tcBorders>
              <w:top w:val="single" w:sz="8" w:space="0" w:color="F3CFC1"/>
              <w:bottom w:val="single" w:sz="4" w:space="0" w:color="FFFFFF" w:themeColor="background1"/>
            </w:tcBorders>
            <w:shd w:val="clear" w:color="auto" w:fill="D2232A"/>
            <w:noWrap/>
            <w:vAlign w:val="center"/>
            <w:hideMark/>
          </w:tcPr>
          <w:p w14:paraId="1E9A2539" w14:textId="77777777" w:rsidR="00722DDE" w:rsidRPr="00AF3F15" w:rsidRDefault="00722DDE" w:rsidP="00441678">
            <w:pPr>
              <w:spacing w:after="0" w:line="240" w:lineRule="auto"/>
              <w:jc w:val="center"/>
              <w:rPr>
                <w:rFonts w:eastAsia="Times New Roman" w:cs="Calibri"/>
                <w:b/>
                <w:bCs/>
                <w:color w:val="FFFFFF" w:themeColor="background1"/>
                <w:lang w:eastAsia="hr-HR"/>
              </w:rPr>
            </w:pPr>
            <w:r w:rsidRPr="00AF3F15">
              <w:rPr>
                <w:rFonts w:eastAsia="Times New Roman" w:cs="Calibri"/>
                <w:b/>
                <w:bCs/>
                <w:color w:val="FFFFFF" w:themeColor="background1"/>
                <w:lang w:eastAsia="hr-HR"/>
              </w:rPr>
              <w:t>2016.</w:t>
            </w:r>
          </w:p>
        </w:tc>
        <w:tc>
          <w:tcPr>
            <w:tcW w:w="2064" w:type="dxa"/>
            <w:tcBorders>
              <w:top w:val="single" w:sz="8" w:space="0" w:color="F3CFC1"/>
              <w:bottom w:val="single" w:sz="8" w:space="0" w:color="F3CFC1"/>
              <w:right w:val="single" w:sz="8" w:space="0" w:color="D2232A"/>
            </w:tcBorders>
            <w:noWrap/>
            <w:vAlign w:val="bottom"/>
            <w:hideMark/>
          </w:tcPr>
          <w:p w14:paraId="1A92B734" w14:textId="77777777"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14,6</w:t>
            </w:r>
          </w:p>
        </w:tc>
        <w:tc>
          <w:tcPr>
            <w:tcW w:w="2064" w:type="dxa"/>
            <w:tcBorders>
              <w:top w:val="single" w:sz="8" w:space="0" w:color="F3CFC1"/>
              <w:left w:val="single" w:sz="8" w:space="0" w:color="D2232A"/>
              <w:bottom w:val="single" w:sz="8" w:space="0" w:color="F3CFC1"/>
              <w:right w:val="single" w:sz="8" w:space="0" w:color="D2232A"/>
            </w:tcBorders>
            <w:noWrap/>
            <w:vAlign w:val="bottom"/>
          </w:tcPr>
          <w:p w14:paraId="098B01E9" w14:textId="77777777" w:rsidR="00722DDE" w:rsidRPr="00AF3F15" w:rsidRDefault="00722DDE" w:rsidP="00722DDE">
            <w:pPr>
              <w:spacing w:after="0" w:line="240" w:lineRule="auto"/>
              <w:jc w:val="right"/>
              <w:rPr>
                <w:rFonts w:eastAsia="Times New Roman" w:cs="Calibri"/>
                <w:lang w:eastAsia="hr-HR"/>
              </w:rPr>
            </w:pPr>
            <w:r>
              <w:rPr>
                <w:rFonts w:eastAsia="Times New Roman" w:cs="Calibri"/>
                <w:lang w:eastAsia="hr-HR"/>
              </w:rPr>
              <w:t>13,6</w:t>
            </w:r>
          </w:p>
        </w:tc>
        <w:tc>
          <w:tcPr>
            <w:tcW w:w="2064" w:type="dxa"/>
            <w:tcBorders>
              <w:top w:val="single" w:sz="8" w:space="0" w:color="F3CFC1"/>
              <w:left w:val="single" w:sz="8" w:space="0" w:color="D2232A"/>
              <w:bottom w:val="single" w:sz="8" w:space="0" w:color="F3CFC1"/>
              <w:right w:val="single" w:sz="8" w:space="0" w:color="D2232A"/>
            </w:tcBorders>
            <w:noWrap/>
            <w:vAlign w:val="bottom"/>
            <w:hideMark/>
          </w:tcPr>
          <w:p w14:paraId="34D50E14" w14:textId="34ECEACD"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13,</w:t>
            </w:r>
            <w:r w:rsidR="005B31E0">
              <w:rPr>
                <w:rFonts w:eastAsia="Times New Roman" w:cs="Calibri"/>
                <w:lang w:eastAsia="hr-HR"/>
              </w:rPr>
              <w:t>1</w:t>
            </w:r>
          </w:p>
        </w:tc>
        <w:tc>
          <w:tcPr>
            <w:tcW w:w="2064" w:type="dxa"/>
            <w:tcBorders>
              <w:top w:val="single" w:sz="8" w:space="0" w:color="F3CFC1"/>
              <w:left w:val="single" w:sz="8" w:space="0" w:color="D2232A"/>
              <w:bottom w:val="single" w:sz="8" w:space="0" w:color="F3CFC1"/>
              <w:right w:val="single" w:sz="8" w:space="0" w:color="D2232A"/>
            </w:tcBorders>
            <w:noWrap/>
            <w:vAlign w:val="bottom"/>
            <w:hideMark/>
          </w:tcPr>
          <w:p w14:paraId="6C89E536" w14:textId="01DE9A19"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8,</w:t>
            </w:r>
            <w:r w:rsidR="005B31E0">
              <w:rPr>
                <w:rFonts w:eastAsia="Times New Roman" w:cs="Calibri"/>
                <w:lang w:eastAsia="hr-HR"/>
              </w:rPr>
              <w:t>5</w:t>
            </w:r>
          </w:p>
        </w:tc>
      </w:tr>
      <w:tr w:rsidR="00722DDE" w:rsidRPr="00AF3F15" w14:paraId="0B29BAD0" w14:textId="77777777" w:rsidTr="00441678">
        <w:trPr>
          <w:trHeight w:val="321"/>
          <w:jc w:val="center"/>
        </w:trPr>
        <w:tc>
          <w:tcPr>
            <w:tcW w:w="933" w:type="dxa"/>
            <w:tcBorders>
              <w:top w:val="single" w:sz="4" w:space="0" w:color="FFFFFF" w:themeColor="background1"/>
              <w:bottom w:val="single" w:sz="4" w:space="0" w:color="FFFFFF" w:themeColor="background1"/>
            </w:tcBorders>
            <w:shd w:val="clear" w:color="auto" w:fill="D2232A"/>
            <w:noWrap/>
            <w:vAlign w:val="center"/>
            <w:hideMark/>
          </w:tcPr>
          <w:p w14:paraId="737E9EA7" w14:textId="77777777" w:rsidR="00722DDE" w:rsidRPr="00AF3F15" w:rsidRDefault="00722DDE" w:rsidP="00441678">
            <w:pPr>
              <w:spacing w:after="0" w:line="240" w:lineRule="auto"/>
              <w:jc w:val="center"/>
              <w:rPr>
                <w:rFonts w:eastAsia="Times New Roman" w:cs="Calibri"/>
                <w:b/>
                <w:bCs/>
                <w:color w:val="FFFFFF" w:themeColor="background1"/>
                <w:lang w:eastAsia="hr-HR"/>
              </w:rPr>
            </w:pPr>
            <w:r w:rsidRPr="00AF3F15">
              <w:rPr>
                <w:rFonts w:eastAsia="Times New Roman" w:cs="Calibri"/>
                <w:b/>
                <w:bCs/>
                <w:color w:val="FFFFFF" w:themeColor="background1"/>
                <w:lang w:eastAsia="hr-HR"/>
              </w:rPr>
              <w:t>2017.</w:t>
            </w:r>
          </w:p>
        </w:tc>
        <w:tc>
          <w:tcPr>
            <w:tcW w:w="2064" w:type="dxa"/>
            <w:tcBorders>
              <w:top w:val="single" w:sz="8" w:space="0" w:color="F3CFC1"/>
              <w:bottom w:val="single" w:sz="8" w:space="0" w:color="F3CFC1"/>
              <w:right w:val="single" w:sz="8" w:space="0" w:color="D2232A"/>
            </w:tcBorders>
            <w:noWrap/>
            <w:vAlign w:val="bottom"/>
            <w:hideMark/>
          </w:tcPr>
          <w:p w14:paraId="5B99641A" w14:textId="77777777"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10,5</w:t>
            </w:r>
          </w:p>
        </w:tc>
        <w:tc>
          <w:tcPr>
            <w:tcW w:w="2064" w:type="dxa"/>
            <w:tcBorders>
              <w:top w:val="single" w:sz="8" w:space="0" w:color="F3CFC1"/>
              <w:left w:val="single" w:sz="8" w:space="0" w:color="D2232A"/>
              <w:bottom w:val="single" w:sz="8" w:space="0" w:color="F3CFC1"/>
              <w:right w:val="single" w:sz="8" w:space="0" w:color="D2232A"/>
            </w:tcBorders>
            <w:noWrap/>
            <w:vAlign w:val="bottom"/>
          </w:tcPr>
          <w:p w14:paraId="26A2335B" w14:textId="77777777" w:rsidR="00722DDE" w:rsidRPr="00AF3F15" w:rsidRDefault="00722DDE" w:rsidP="00722DDE">
            <w:pPr>
              <w:spacing w:after="0" w:line="240" w:lineRule="auto"/>
              <w:jc w:val="right"/>
              <w:rPr>
                <w:rFonts w:eastAsia="Times New Roman" w:cs="Calibri"/>
                <w:lang w:eastAsia="hr-HR"/>
              </w:rPr>
            </w:pPr>
            <w:r>
              <w:rPr>
                <w:rFonts w:eastAsia="Times New Roman" w:cs="Calibri"/>
                <w:lang w:eastAsia="hr-HR"/>
              </w:rPr>
              <w:t>10,3</w:t>
            </w:r>
          </w:p>
        </w:tc>
        <w:tc>
          <w:tcPr>
            <w:tcW w:w="2064" w:type="dxa"/>
            <w:tcBorders>
              <w:top w:val="single" w:sz="8" w:space="0" w:color="F3CFC1"/>
              <w:left w:val="single" w:sz="8" w:space="0" w:color="D2232A"/>
              <w:bottom w:val="single" w:sz="8" w:space="0" w:color="F3CFC1"/>
              <w:right w:val="single" w:sz="8" w:space="0" w:color="D2232A"/>
            </w:tcBorders>
            <w:noWrap/>
            <w:vAlign w:val="bottom"/>
            <w:hideMark/>
          </w:tcPr>
          <w:p w14:paraId="3798F1D7" w14:textId="7E44B3E5"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11,</w:t>
            </w:r>
            <w:r w:rsidR="005B31E0">
              <w:rPr>
                <w:rFonts w:eastAsia="Times New Roman" w:cs="Calibri"/>
                <w:lang w:eastAsia="hr-HR"/>
              </w:rPr>
              <w:t>2</w:t>
            </w:r>
          </w:p>
        </w:tc>
        <w:tc>
          <w:tcPr>
            <w:tcW w:w="2064" w:type="dxa"/>
            <w:tcBorders>
              <w:top w:val="single" w:sz="8" w:space="0" w:color="F3CFC1"/>
              <w:left w:val="single" w:sz="8" w:space="0" w:color="D2232A"/>
              <w:bottom w:val="single" w:sz="8" w:space="0" w:color="F3CFC1"/>
              <w:right w:val="single" w:sz="8" w:space="0" w:color="D2232A"/>
            </w:tcBorders>
            <w:noWrap/>
            <w:vAlign w:val="bottom"/>
            <w:hideMark/>
          </w:tcPr>
          <w:p w14:paraId="01829F66" w14:textId="77777777"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7,6</w:t>
            </w:r>
          </w:p>
        </w:tc>
      </w:tr>
      <w:tr w:rsidR="00722DDE" w:rsidRPr="00AF3F15" w14:paraId="7DDCEDFB" w14:textId="77777777" w:rsidTr="00441678">
        <w:trPr>
          <w:trHeight w:val="321"/>
          <w:jc w:val="center"/>
        </w:trPr>
        <w:tc>
          <w:tcPr>
            <w:tcW w:w="933" w:type="dxa"/>
            <w:tcBorders>
              <w:top w:val="single" w:sz="4" w:space="0" w:color="FFFFFF" w:themeColor="background1"/>
              <w:bottom w:val="single" w:sz="8" w:space="0" w:color="F3CFC1"/>
            </w:tcBorders>
            <w:shd w:val="clear" w:color="auto" w:fill="D2232A"/>
            <w:noWrap/>
            <w:vAlign w:val="center"/>
            <w:hideMark/>
          </w:tcPr>
          <w:p w14:paraId="5AF07E3A" w14:textId="77777777" w:rsidR="00722DDE" w:rsidRPr="00AF3F15" w:rsidRDefault="00722DDE" w:rsidP="00441678">
            <w:pPr>
              <w:spacing w:after="0" w:line="240" w:lineRule="auto"/>
              <w:jc w:val="center"/>
              <w:rPr>
                <w:rFonts w:eastAsia="Times New Roman" w:cs="Calibri"/>
                <w:b/>
                <w:bCs/>
                <w:color w:val="FFFFFF" w:themeColor="background1"/>
                <w:lang w:eastAsia="hr-HR"/>
              </w:rPr>
            </w:pPr>
            <w:r w:rsidRPr="00AF3F15">
              <w:rPr>
                <w:rFonts w:eastAsia="Times New Roman" w:cs="Calibri"/>
                <w:b/>
                <w:bCs/>
                <w:color w:val="FFFFFF" w:themeColor="background1"/>
                <w:lang w:eastAsia="hr-HR"/>
              </w:rPr>
              <w:lastRenderedPageBreak/>
              <w:t>2018.</w:t>
            </w:r>
          </w:p>
        </w:tc>
        <w:tc>
          <w:tcPr>
            <w:tcW w:w="2064" w:type="dxa"/>
            <w:tcBorders>
              <w:top w:val="single" w:sz="8" w:space="0" w:color="F3CFC1"/>
              <w:bottom w:val="single" w:sz="8" w:space="0" w:color="F3CFC1"/>
              <w:right w:val="single" w:sz="8" w:space="0" w:color="D2232A"/>
            </w:tcBorders>
            <w:noWrap/>
            <w:vAlign w:val="bottom"/>
            <w:hideMark/>
          </w:tcPr>
          <w:p w14:paraId="5727530B" w14:textId="77777777"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8,1</w:t>
            </w:r>
          </w:p>
        </w:tc>
        <w:tc>
          <w:tcPr>
            <w:tcW w:w="2064" w:type="dxa"/>
            <w:tcBorders>
              <w:top w:val="single" w:sz="8" w:space="0" w:color="F3CFC1"/>
              <w:left w:val="single" w:sz="8" w:space="0" w:color="D2232A"/>
              <w:bottom w:val="single" w:sz="8" w:space="0" w:color="F3CFC1"/>
              <w:right w:val="single" w:sz="8" w:space="0" w:color="D2232A"/>
            </w:tcBorders>
            <w:noWrap/>
            <w:vAlign w:val="bottom"/>
          </w:tcPr>
          <w:p w14:paraId="1AA9B899" w14:textId="6F7CF8AC" w:rsidR="00722DDE" w:rsidRPr="00AF3F15" w:rsidRDefault="00722DDE" w:rsidP="00722DDE">
            <w:pPr>
              <w:spacing w:after="0" w:line="240" w:lineRule="auto"/>
              <w:jc w:val="right"/>
              <w:rPr>
                <w:rFonts w:eastAsia="Times New Roman" w:cs="Calibri"/>
                <w:lang w:eastAsia="hr-HR"/>
              </w:rPr>
            </w:pPr>
            <w:r>
              <w:rPr>
                <w:rFonts w:eastAsia="Times New Roman" w:cs="Calibri"/>
                <w:lang w:eastAsia="hr-HR"/>
              </w:rPr>
              <w:t>7,</w:t>
            </w:r>
            <w:r w:rsidR="003566F8">
              <w:rPr>
                <w:rFonts w:eastAsia="Times New Roman" w:cs="Calibri"/>
                <w:lang w:eastAsia="hr-HR"/>
              </w:rPr>
              <w:t>3</w:t>
            </w:r>
          </w:p>
        </w:tc>
        <w:tc>
          <w:tcPr>
            <w:tcW w:w="2064" w:type="dxa"/>
            <w:tcBorders>
              <w:top w:val="single" w:sz="8" w:space="0" w:color="F3CFC1"/>
              <w:left w:val="single" w:sz="8" w:space="0" w:color="D2232A"/>
              <w:bottom w:val="single" w:sz="8" w:space="0" w:color="F3CFC1"/>
              <w:right w:val="single" w:sz="8" w:space="0" w:color="D2232A"/>
            </w:tcBorders>
            <w:noWrap/>
            <w:vAlign w:val="bottom"/>
            <w:hideMark/>
          </w:tcPr>
          <w:p w14:paraId="7C1B72C3" w14:textId="6A2AAF48"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8,</w:t>
            </w:r>
            <w:r w:rsidR="005B31E0">
              <w:rPr>
                <w:rFonts w:eastAsia="Times New Roman" w:cs="Calibri"/>
                <w:lang w:eastAsia="hr-HR"/>
              </w:rPr>
              <w:t>5</w:t>
            </w:r>
          </w:p>
        </w:tc>
        <w:tc>
          <w:tcPr>
            <w:tcW w:w="2064" w:type="dxa"/>
            <w:tcBorders>
              <w:top w:val="single" w:sz="8" w:space="0" w:color="F3CFC1"/>
              <w:left w:val="single" w:sz="8" w:space="0" w:color="D2232A"/>
              <w:bottom w:val="single" w:sz="8" w:space="0" w:color="F3CFC1"/>
              <w:right w:val="single" w:sz="8" w:space="0" w:color="D2232A"/>
            </w:tcBorders>
            <w:noWrap/>
            <w:vAlign w:val="bottom"/>
            <w:hideMark/>
          </w:tcPr>
          <w:p w14:paraId="440E90FC" w14:textId="77777777" w:rsidR="00722DDE" w:rsidRPr="00AF3F15" w:rsidRDefault="00722DDE" w:rsidP="00722DDE">
            <w:pPr>
              <w:spacing w:after="0" w:line="240" w:lineRule="auto"/>
              <w:jc w:val="right"/>
              <w:rPr>
                <w:rFonts w:eastAsia="Times New Roman" w:cs="Calibri"/>
                <w:lang w:eastAsia="hr-HR"/>
              </w:rPr>
            </w:pPr>
            <w:r w:rsidRPr="00AF3F15">
              <w:rPr>
                <w:rFonts w:eastAsia="Times New Roman" w:cs="Calibri"/>
                <w:lang w:eastAsia="hr-HR"/>
              </w:rPr>
              <w:t>6,8</w:t>
            </w:r>
          </w:p>
        </w:tc>
      </w:tr>
      <w:tr w:rsidR="005B31E0" w:rsidRPr="00AF3F15" w14:paraId="185BB67B" w14:textId="77777777" w:rsidTr="00441678">
        <w:trPr>
          <w:trHeight w:val="321"/>
          <w:jc w:val="center"/>
        </w:trPr>
        <w:tc>
          <w:tcPr>
            <w:tcW w:w="933" w:type="dxa"/>
            <w:tcBorders>
              <w:top w:val="single" w:sz="8" w:space="0" w:color="F3CFC1"/>
            </w:tcBorders>
            <w:shd w:val="clear" w:color="auto" w:fill="D2232A"/>
            <w:noWrap/>
            <w:vAlign w:val="center"/>
          </w:tcPr>
          <w:p w14:paraId="1CA16B25" w14:textId="60D59934" w:rsidR="005B31E0" w:rsidRPr="00AF3F15" w:rsidRDefault="00942846" w:rsidP="00441678">
            <w:pPr>
              <w:spacing w:after="0" w:line="240" w:lineRule="auto"/>
              <w:jc w:val="center"/>
              <w:rPr>
                <w:rFonts w:eastAsia="Times New Roman" w:cs="Calibri"/>
                <w:b/>
                <w:bCs/>
                <w:color w:val="FFFFFF" w:themeColor="background1"/>
                <w:lang w:eastAsia="hr-HR"/>
              </w:rPr>
            </w:pPr>
            <w:r>
              <w:rPr>
                <w:rFonts w:eastAsia="Times New Roman" w:cs="Calibri"/>
                <w:b/>
                <w:bCs/>
                <w:color w:val="FFFFFF" w:themeColor="background1"/>
                <w:lang w:eastAsia="hr-HR"/>
              </w:rPr>
              <w:t>2019.</w:t>
            </w:r>
          </w:p>
        </w:tc>
        <w:tc>
          <w:tcPr>
            <w:tcW w:w="2064" w:type="dxa"/>
            <w:tcBorders>
              <w:top w:val="single" w:sz="8" w:space="0" w:color="F3CFC1"/>
              <w:right w:val="single" w:sz="8" w:space="0" w:color="D2232A"/>
            </w:tcBorders>
            <w:noWrap/>
            <w:vAlign w:val="bottom"/>
          </w:tcPr>
          <w:p w14:paraId="779821F6" w14:textId="52404B48" w:rsidR="005B31E0" w:rsidRPr="00AF3F15" w:rsidRDefault="003566F8" w:rsidP="00722DDE">
            <w:pPr>
              <w:spacing w:after="0" w:line="240" w:lineRule="auto"/>
              <w:jc w:val="right"/>
              <w:rPr>
                <w:rFonts w:eastAsia="Times New Roman" w:cs="Calibri"/>
                <w:lang w:eastAsia="hr-HR"/>
              </w:rPr>
            </w:pPr>
            <w:r>
              <w:rPr>
                <w:rFonts w:eastAsia="Times New Roman" w:cs="Calibri"/>
                <w:lang w:eastAsia="hr-HR"/>
              </w:rPr>
              <w:t>6,4</w:t>
            </w:r>
          </w:p>
        </w:tc>
        <w:tc>
          <w:tcPr>
            <w:tcW w:w="2064" w:type="dxa"/>
            <w:tcBorders>
              <w:top w:val="single" w:sz="8" w:space="0" w:color="F3CFC1"/>
              <w:left w:val="single" w:sz="8" w:space="0" w:color="D2232A"/>
              <w:right w:val="single" w:sz="8" w:space="0" w:color="D2232A"/>
            </w:tcBorders>
            <w:noWrap/>
            <w:vAlign w:val="bottom"/>
          </w:tcPr>
          <w:p w14:paraId="225BCB10" w14:textId="6A1773BE" w:rsidR="005B31E0" w:rsidRDefault="003566F8" w:rsidP="00722DDE">
            <w:pPr>
              <w:spacing w:after="0" w:line="240" w:lineRule="auto"/>
              <w:jc w:val="right"/>
              <w:rPr>
                <w:rFonts w:eastAsia="Times New Roman" w:cs="Calibri"/>
                <w:lang w:eastAsia="hr-HR"/>
              </w:rPr>
            </w:pPr>
            <w:r>
              <w:rPr>
                <w:rFonts w:eastAsia="Times New Roman" w:cs="Calibri"/>
                <w:lang w:eastAsia="hr-HR"/>
              </w:rPr>
              <w:t>5,8</w:t>
            </w:r>
          </w:p>
        </w:tc>
        <w:tc>
          <w:tcPr>
            <w:tcW w:w="2064" w:type="dxa"/>
            <w:tcBorders>
              <w:top w:val="single" w:sz="8" w:space="0" w:color="F3CFC1"/>
              <w:left w:val="single" w:sz="8" w:space="0" w:color="D2232A"/>
              <w:right w:val="single" w:sz="8" w:space="0" w:color="D2232A"/>
            </w:tcBorders>
            <w:noWrap/>
            <w:vAlign w:val="bottom"/>
          </w:tcPr>
          <w:p w14:paraId="3689DF7B" w14:textId="275CEA3E" w:rsidR="005B31E0" w:rsidRPr="00AF3F15" w:rsidRDefault="005B31E0" w:rsidP="00722DDE">
            <w:pPr>
              <w:spacing w:after="0" w:line="240" w:lineRule="auto"/>
              <w:jc w:val="right"/>
              <w:rPr>
                <w:rFonts w:eastAsia="Times New Roman" w:cs="Calibri"/>
                <w:lang w:eastAsia="hr-HR"/>
              </w:rPr>
            </w:pPr>
            <w:r>
              <w:rPr>
                <w:rFonts w:eastAsia="Times New Roman" w:cs="Calibri"/>
                <w:lang w:eastAsia="hr-HR"/>
              </w:rPr>
              <w:t>6,6</w:t>
            </w:r>
          </w:p>
        </w:tc>
        <w:tc>
          <w:tcPr>
            <w:tcW w:w="2064" w:type="dxa"/>
            <w:tcBorders>
              <w:top w:val="single" w:sz="8" w:space="0" w:color="F3CFC1"/>
              <w:left w:val="single" w:sz="8" w:space="0" w:color="D2232A"/>
              <w:right w:val="single" w:sz="8" w:space="0" w:color="D2232A"/>
            </w:tcBorders>
            <w:noWrap/>
            <w:vAlign w:val="bottom"/>
          </w:tcPr>
          <w:p w14:paraId="624F5423" w14:textId="0874A089" w:rsidR="005B31E0" w:rsidRPr="00AF3F15" w:rsidRDefault="005B31E0" w:rsidP="00722DDE">
            <w:pPr>
              <w:spacing w:after="0" w:line="240" w:lineRule="auto"/>
              <w:jc w:val="right"/>
              <w:rPr>
                <w:rFonts w:eastAsia="Times New Roman" w:cs="Calibri"/>
                <w:lang w:eastAsia="hr-HR"/>
              </w:rPr>
            </w:pPr>
            <w:r>
              <w:rPr>
                <w:rFonts w:eastAsia="Times New Roman" w:cs="Calibri"/>
                <w:lang w:eastAsia="hr-HR"/>
              </w:rPr>
              <w:t>6,3</w:t>
            </w:r>
          </w:p>
        </w:tc>
      </w:tr>
    </w:tbl>
    <w:p w14:paraId="1FA2BF9B" w14:textId="0C7EE735" w:rsidR="00722DDE" w:rsidRPr="008B5667" w:rsidRDefault="00722DDE" w:rsidP="008B5667">
      <w:pPr>
        <w:autoSpaceDE w:val="0"/>
        <w:autoSpaceDN w:val="0"/>
        <w:adjustRightInd w:val="0"/>
        <w:spacing w:after="0" w:line="240" w:lineRule="auto"/>
        <w:rPr>
          <w:rFonts w:eastAsia="ArialNarrow" w:cstheme="minorHAnsi"/>
          <w:i/>
          <w:color w:val="ABABAB" w:themeColor="text1" w:themeTint="A6"/>
          <w:sz w:val="16"/>
          <w:szCs w:val="16"/>
        </w:rPr>
      </w:pPr>
      <w:r w:rsidRPr="008B5667">
        <w:rPr>
          <w:rFonts w:eastAsia="ArialNarrow" w:cstheme="minorHAnsi"/>
          <w:i/>
          <w:color w:val="ABABAB" w:themeColor="text1" w:themeTint="A6"/>
          <w:sz w:val="16"/>
          <w:szCs w:val="16"/>
        </w:rPr>
        <w:t xml:space="preserve">Izvor: </w:t>
      </w:r>
      <w:r w:rsidR="00B277FA" w:rsidRPr="008B5667">
        <w:rPr>
          <w:rFonts w:eastAsia="ArialNarrow" w:cstheme="minorHAnsi"/>
          <w:i/>
          <w:color w:val="ABABAB" w:themeColor="text1" w:themeTint="A6"/>
          <w:sz w:val="16"/>
          <w:szCs w:val="16"/>
        </w:rPr>
        <w:t>DZS, Statistička izvješća, Zaposlenost i plaće – pregled po županijama</w:t>
      </w:r>
      <w:r w:rsidR="00B277FA" w:rsidRPr="008B5667" w:rsidDel="00B277FA">
        <w:rPr>
          <w:rFonts w:eastAsia="ArialNarrow" w:cstheme="minorHAnsi"/>
          <w:i/>
          <w:color w:val="ABABAB" w:themeColor="text1" w:themeTint="A6"/>
          <w:sz w:val="16"/>
          <w:szCs w:val="16"/>
        </w:rPr>
        <w:t xml:space="preserve"> </w:t>
      </w:r>
      <w:r w:rsidRPr="008B5667">
        <w:rPr>
          <w:rFonts w:eastAsia="ArialNarrow" w:cstheme="minorHAnsi"/>
          <w:i/>
          <w:color w:val="ABABAB" w:themeColor="text1" w:themeTint="A6"/>
          <w:sz w:val="16"/>
          <w:szCs w:val="16"/>
        </w:rPr>
        <w:t>; Eurostat (</w:t>
      </w:r>
      <w:hyperlink r:id="rId78" w:history="1">
        <w:r w:rsidRPr="008B5667">
          <w:rPr>
            <w:rFonts w:eastAsia="ArialNarrow" w:cstheme="minorHAnsi"/>
            <w:i/>
            <w:color w:val="ABABAB" w:themeColor="text1" w:themeTint="A6"/>
            <w:sz w:val="16"/>
            <w:szCs w:val="16"/>
          </w:rPr>
          <w:t>http://ec.europa.eu/eurostat/web/lfs/data/main-tables</w:t>
        </w:r>
      </w:hyperlink>
      <w:r w:rsidRPr="008B5667">
        <w:rPr>
          <w:rFonts w:eastAsia="ArialNarrow" w:cstheme="minorHAnsi"/>
          <w:i/>
          <w:color w:val="ABABAB" w:themeColor="text1" w:themeTint="A6"/>
          <w:sz w:val="16"/>
          <w:szCs w:val="16"/>
        </w:rPr>
        <w:t>), 2019.</w:t>
      </w:r>
    </w:p>
    <w:p w14:paraId="1145308D" w14:textId="77777777" w:rsidR="0078792D" w:rsidRDefault="0078792D" w:rsidP="00722DDE">
      <w:pPr>
        <w:rPr>
          <w:sz w:val="22"/>
          <w:szCs w:val="22"/>
        </w:rPr>
      </w:pPr>
    </w:p>
    <w:p w14:paraId="4BF477E6" w14:textId="177104F6" w:rsidR="00722DDE" w:rsidRDefault="00437B19" w:rsidP="0052192B">
      <w:pPr>
        <w:pStyle w:val="Naslov2"/>
      </w:pPr>
      <w:bookmarkStart w:id="131" w:name="_Toc85181320"/>
      <w:r>
        <w:t>9</w:t>
      </w:r>
      <w:r w:rsidR="00722DDE">
        <w:t>.4. Osjetljive skupine na tržištu rada</w:t>
      </w:r>
      <w:bookmarkEnd w:id="131"/>
    </w:p>
    <w:p w14:paraId="7CA88040" w14:textId="77777777" w:rsidR="00722DDE" w:rsidRDefault="00722DDE" w:rsidP="00722DDE">
      <w:pPr>
        <w:rPr>
          <w:b/>
          <w:bCs/>
        </w:rPr>
      </w:pPr>
    </w:p>
    <w:p w14:paraId="674D2550" w14:textId="77777777" w:rsidR="00722DDE" w:rsidRPr="009209DE" w:rsidRDefault="00722DDE" w:rsidP="00722DDE">
      <w:pPr>
        <w:rPr>
          <w:b/>
          <w:bCs/>
          <w:color w:val="D2232A" w:themeColor="accent1"/>
        </w:rPr>
      </w:pPr>
      <w:r w:rsidRPr="009209DE">
        <w:rPr>
          <w:b/>
          <w:bCs/>
          <w:color w:val="D2232A" w:themeColor="accent1"/>
        </w:rPr>
        <w:t>Osobe s invaliditetom</w:t>
      </w:r>
    </w:p>
    <w:p w14:paraId="159D56E4" w14:textId="5BC13CFF" w:rsidR="00722DDE" w:rsidRDefault="00722DDE" w:rsidP="00722DDE">
      <w:r w:rsidRPr="007B0972">
        <w:t>Prema Izvješću Hrvatskog zavoda za javno zdravstvo o osobama s invaliditetom u Republici Hrvatskoj u Krapinsko-zagorskoj županiji</w:t>
      </w:r>
      <w:r w:rsidR="00557067">
        <w:t xml:space="preserve"> (</w:t>
      </w:r>
      <w:r w:rsidRPr="007B0972">
        <w:t>stanje na dan 03.05.2019. godine</w:t>
      </w:r>
      <w:r w:rsidR="00557067">
        <w:t xml:space="preserve">) </w:t>
      </w:r>
      <w:r w:rsidRPr="007B0972">
        <w:t xml:space="preserve">živi 18.849 osoba s invaliditetom od čega je 10.534 muškog spola (56%) te 8.315 osoba ženskog spola (44%). Osobe s invaliditetom čine 14,9% ukupnog stanovništva županije, a najveći broj osoba s invaliditetom, njih 9.114 (48%) ima navršenih 65 i više godina života. </w:t>
      </w:r>
      <w:r>
        <w:t>U</w:t>
      </w:r>
      <w:r w:rsidRPr="007B0972">
        <w:t xml:space="preserve"> tablic</w:t>
      </w:r>
      <w:r>
        <w:t>i</w:t>
      </w:r>
      <w:r w:rsidRPr="007B0972">
        <w:t xml:space="preserve"> u nastavku </w:t>
      </w:r>
      <w:r>
        <w:t xml:space="preserve">može se </w:t>
      </w:r>
      <w:r w:rsidRPr="007B0972">
        <w:t xml:space="preserve">uočiti da je invaliditet prisutan u svim dobnim skupinama, a u 9% udjela prisutan je i u </w:t>
      </w:r>
      <w:r>
        <w:t>mladoj</w:t>
      </w:r>
      <w:r w:rsidRPr="007B0972">
        <w:t xml:space="preserve"> dobi (0-19 godina). Najveći broj osoba s invaliditetom (82%) žive s obitelji, 16% živi samostalno, a 2% s udomiteljem/skrbnikom ili boravi u ustanovi.</w:t>
      </w:r>
    </w:p>
    <w:p w14:paraId="1F4DDDAD" w14:textId="77777777" w:rsidR="004967BC" w:rsidRDefault="004967BC" w:rsidP="00722DDE"/>
    <w:p w14:paraId="501B20B9" w14:textId="7D3E07C8" w:rsidR="00722DDE" w:rsidRDefault="00722DDE" w:rsidP="003E3F3C">
      <w:pPr>
        <w:pStyle w:val="Opisslike"/>
      </w:pPr>
      <w:r>
        <w:t xml:space="preserve">Tablica </w:t>
      </w:r>
      <w:r w:rsidR="004967BC">
        <w:rPr>
          <w:noProof/>
        </w:rPr>
        <w:t>6</w:t>
      </w:r>
      <w:r w:rsidR="000D5E3F">
        <w:rPr>
          <w:noProof/>
        </w:rPr>
        <w:t>9</w:t>
      </w:r>
      <w:r>
        <w:rPr>
          <w:noProof/>
        </w:rPr>
        <w:t>.</w:t>
      </w:r>
      <w:r>
        <w:t xml:space="preserve"> Osobe s invaliditetom prema dobi i spolu u Republici Hrvatskoj, Sjevernoj Hrvatskoj, Krapinsko-zagorskoj županiji (2019.)</w:t>
      </w:r>
    </w:p>
    <w:tbl>
      <w:tblPr>
        <w:tblW w:w="4988" w:type="pct"/>
        <w:tblBorders>
          <w:insideH w:val="single" w:sz="8" w:space="0" w:color="F3CFC1"/>
        </w:tblBorders>
        <w:tblLook w:val="04A0" w:firstRow="1" w:lastRow="0" w:firstColumn="1" w:lastColumn="0" w:noHBand="0" w:noVBand="1"/>
      </w:tblPr>
      <w:tblGrid>
        <w:gridCol w:w="2850"/>
        <w:gridCol w:w="1070"/>
        <w:gridCol w:w="1071"/>
        <w:gridCol w:w="1070"/>
        <w:gridCol w:w="1071"/>
        <w:gridCol w:w="1070"/>
        <w:gridCol w:w="1066"/>
      </w:tblGrid>
      <w:tr w:rsidR="00722DDE" w14:paraId="53B23516" w14:textId="77777777" w:rsidTr="004967BC">
        <w:trPr>
          <w:trHeight w:val="298"/>
        </w:trPr>
        <w:tc>
          <w:tcPr>
            <w:tcW w:w="1538" w:type="pct"/>
            <w:vMerge w:val="restart"/>
            <w:tcBorders>
              <w:top w:val="nil"/>
              <w:right w:val="single" w:sz="4" w:space="0" w:color="FFFFFF" w:themeColor="background1"/>
            </w:tcBorders>
            <w:shd w:val="clear" w:color="auto" w:fill="D2232A"/>
            <w:noWrap/>
            <w:vAlign w:val="bottom"/>
            <w:hideMark/>
          </w:tcPr>
          <w:p w14:paraId="3BC34661" w14:textId="77777777" w:rsidR="00722DDE" w:rsidRPr="00AF3F15" w:rsidRDefault="00722DDE" w:rsidP="00722DDE">
            <w:pPr>
              <w:rPr>
                <w:color w:val="FFFFFF" w:themeColor="background1"/>
                <w:sz w:val="22"/>
                <w:szCs w:val="22"/>
              </w:rPr>
            </w:pPr>
          </w:p>
        </w:tc>
        <w:tc>
          <w:tcPr>
            <w:tcW w:w="3462" w:type="pct"/>
            <w:gridSpan w:val="6"/>
            <w:tcBorders>
              <w:top w:val="nil"/>
              <w:left w:val="single" w:sz="4" w:space="0" w:color="FFFFFF" w:themeColor="background1"/>
              <w:bottom w:val="single" w:sz="4" w:space="0" w:color="FFFFFF" w:themeColor="background1"/>
              <w:right w:val="single" w:sz="8" w:space="0" w:color="D2232A"/>
            </w:tcBorders>
            <w:shd w:val="clear" w:color="auto" w:fill="D2232A"/>
            <w:noWrap/>
            <w:vAlign w:val="center"/>
            <w:hideMark/>
          </w:tcPr>
          <w:p w14:paraId="4D6FC3AA" w14:textId="77777777" w:rsidR="00722DDE" w:rsidRPr="00AF3F15" w:rsidRDefault="00722DDE" w:rsidP="00722DDE">
            <w:pPr>
              <w:spacing w:after="0" w:line="240" w:lineRule="auto"/>
              <w:jc w:val="center"/>
              <w:rPr>
                <w:rFonts w:eastAsia="Times New Roman" w:cs="Calibri"/>
                <w:color w:val="FFFFFF" w:themeColor="background1"/>
                <w:sz w:val="22"/>
                <w:szCs w:val="22"/>
                <w:lang w:eastAsia="hr-HR"/>
              </w:rPr>
            </w:pPr>
            <w:r w:rsidRPr="00AF3F15">
              <w:rPr>
                <w:rFonts w:eastAsia="Times New Roman" w:cs="Calibri"/>
                <w:color w:val="FFFFFF" w:themeColor="background1"/>
                <w:lang w:eastAsia="hr-HR"/>
              </w:rPr>
              <w:t>Dobne skupine</w:t>
            </w:r>
          </w:p>
        </w:tc>
      </w:tr>
      <w:tr w:rsidR="00722DDE" w14:paraId="03C6C172" w14:textId="77777777" w:rsidTr="004967BC">
        <w:trPr>
          <w:trHeight w:val="298"/>
        </w:trPr>
        <w:tc>
          <w:tcPr>
            <w:tcW w:w="0" w:type="auto"/>
            <w:vMerge/>
            <w:tcBorders>
              <w:right w:val="single" w:sz="4" w:space="0" w:color="FFFFFF" w:themeColor="background1"/>
            </w:tcBorders>
            <w:shd w:val="clear" w:color="auto" w:fill="D2232A"/>
            <w:vAlign w:val="center"/>
            <w:hideMark/>
          </w:tcPr>
          <w:p w14:paraId="76AB6F25" w14:textId="77777777" w:rsidR="00722DDE" w:rsidRPr="00AF3F15" w:rsidRDefault="00722DDE" w:rsidP="00722DDE">
            <w:pPr>
              <w:spacing w:after="0"/>
              <w:rPr>
                <w:color w:val="FFFFFF" w:themeColor="background1"/>
                <w:sz w:val="22"/>
                <w:szCs w:val="22"/>
              </w:rPr>
            </w:pPr>
          </w:p>
        </w:tc>
        <w:tc>
          <w:tcPr>
            <w:tcW w:w="1155" w:type="pct"/>
            <w:gridSpan w:val="2"/>
            <w:tcBorders>
              <w:top w:val="single" w:sz="4" w:space="0" w:color="FFFFFF" w:themeColor="background1"/>
              <w:left w:val="single" w:sz="4" w:space="0" w:color="FFFFFF" w:themeColor="background1"/>
              <w:bottom w:val="single" w:sz="4" w:space="0" w:color="FFFFFF" w:themeColor="background1"/>
              <w:right w:val="single" w:sz="8" w:space="0" w:color="D2232A"/>
            </w:tcBorders>
            <w:shd w:val="clear" w:color="auto" w:fill="ABABAB" w:themeFill="accent5" w:themeFillShade="BF"/>
            <w:noWrap/>
            <w:vAlign w:val="center"/>
            <w:hideMark/>
          </w:tcPr>
          <w:p w14:paraId="29D3DCB2" w14:textId="77777777" w:rsidR="00722DDE" w:rsidRPr="00AF3F15" w:rsidRDefault="00722DDE" w:rsidP="00722DDE">
            <w:pPr>
              <w:spacing w:after="0" w:line="240" w:lineRule="auto"/>
              <w:jc w:val="center"/>
              <w:rPr>
                <w:rFonts w:eastAsia="Times New Roman" w:cs="Calibri"/>
                <w:color w:val="000000"/>
                <w:lang w:eastAsia="hr-HR"/>
              </w:rPr>
            </w:pPr>
            <w:r w:rsidRPr="00AF3F15">
              <w:rPr>
                <w:rFonts w:eastAsia="Times New Roman" w:cs="Calibri"/>
                <w:color w:val="000000"/>
                <w:lang w:eastAsia="hr-HR"/>
              </w:rPr>
              <w:t>0-19</w:t>
            </w:r>
          </w:p>
        </w:tc>
        <w:tc>
          <w:tcPr>
            <w:tcW w:w="1155" w:type="pct"/>
            <w:gridSpan w:val="2"/>
            <w:tcBorders>
              <w:top w:val="single" w:sz="4" w:space="0" w:color="FFFFFF" w:themeColor="background1"/>
              <w:left w:val="single" w:sz="8" w:space="0" w:color="D2232A"/>
              <w:bottom w:val="single" w:sz="4" w:space="0" w:color="FFFFFF" w:themeColor="background1"/>
              <w:right w:val="single" w:sz="8" w:space="0" w:color="D2232A"/>
            </w:tcBorders>
            <w:shd w:val="clear" w:color="auto" w:fill="ABABAB" w:themeFill="accent5" w:themeFillShade="BF"/>
            <w:noWrap/>
            <w:vAlign w:val="center"/>
            <w:hideMark/>
          </w:tcPr>
          <w:p w14:paraId="3FC6750D" w14:textId="77777777" w:rsidR="00722DDE" w:rsidRPr="00AF3F15" w:rsidRDefault="00722DDE" w:rsidP="00722DDE">
            <w:pPr>
              <w:spacing w:after="0" w:line="240" w:lineRule="auto"/>
              <w:jc w:val="center"/>
              <w:rPr>
                <w:rFonts w:eastAsia="Times New Roman" w:cs="Calibri"/>
                <w:color w:val="000000"/>
                <w:lang w:eastAsia="hr-HR"/>
              </w:rPr>
            </w:pPr>
            <w:r w:rsidRPr="00AF3F15">
              <w:rPr>
                <w:rFonts w:eastAsia="Times New Roman" w:cs="Calibri"/>
                <w:color w:val="000000"/>
                <w:lang w:eastAsia="hr-HR"/>
              </w:rPr>
              <w:t>20-64</w:t>
            </w:r>
          </w:p>
        </w:tc>
        <w:tc>
          <w:tcPr>
            <w:tcW w:w="1152" w:type="pct"/>
            <w:gridSpan w:val="2"/>
            <w:tcBorders>
              <w:top w:val="single" w:sz="4" w:space="0" w:color="FFFFFF" w:themeColor="background1"/>
              <w:left w:val="single" w:sz="8" w:space="0" w:color="D2232A"/>
              <w:bottom w:val="single" w:sz="4" w:space="0" w:color="FFFFFF" w:themeColor="background1"/>
              <w:right w:val="single" w:sz="8" w:space="0" w:color="D2232A"/>
            </w:tcBorders>
            <w:shd w:val="clear" w:color="auto" w:fill="ABABAB" w:themeFill="accent5" w:themeFillShade="BF"/>
            <w:noWrap/>
            <w:vAlign w:val="center"/>
            <w:hideMark/>
          </w:tcPr>
          <w:p w14:paraId="3B854C23" w14:textId="77777777" w:rsidR="00722DDE" w:rsidRPr="00AF3F15" w:rsidRDefault="00722DDE" w:rsidP="00722DDE">
            <w:pPr>
              <w:spacing w:after="0" w:line="240" w:lineRule="auto"/>
              <w:jc w:val="center"/>
              <w:rPr>
                <w:rFonts w:eastAsia="Times New Roman" w:cs="Calibri"/>
                <w:color w:val="000000"/>
                <w:lang w:eastAsia="hr-HR"/>
              </w:rPr>
            </w:pPr>
            <w:r w:rsidRPr="00AF3F15">
              <w:rPr>
                <w:rFonts w:eastAsia="Times New Roman" w:cs="Calibri"/>
                <w:color w:val="000000"/>
                <w:lang w:eastAsia="hr-HR"/>
              </w:rPr>
              <w:t>65+</w:t>
            </w:r>
          </w:p>
        </w:tc>
      </w:tr>
      <w:tr w:rsidR="00722DDE" w14:paraId="1488C9DD" w14:textId="77777777" w:rsidTr="004967BC">
        <w:trPr>
          <w:trHeight w:val="298"/>
        </w:trPr>
        <w:tc>
          <w:tcPr>
            <w:tcW w:w="0" w:type="auto"/>
            <w:vMerge/>
            <w:tcBorders>
              <w:right w:val="single" w:sz="4" w:space="0" w:color="FFFFFF" w:themeColor="background1"/>
            </w:tcBorders>
            <w:shd w:val="clear" w:color="auto" w:fill="D2232A"/>
            <w:vAlign w:val="center"/>
            <w:hideMark/>
          </w:tcPr>
          <w:p w14:paraId="7AF7E703" w14:textId="77777777" w:rsidR="00722DDE" w:rsidRPr="00AF3F15" w:rsidRDefault="00722DDE" w:rsidP="00722DDE">
            <w:pPr>
              <w:spacing w:after="0"/>
              <w:rPr>
                <w:color w:val="FFFFFF" w:themeColor="background1"/>
                <w:sz w:val="22"/>
                <w:szCs w:val="22"/>
              </w:rPr>
            </w:pPr>
          </w:p>
        </w:tc>
        <w:tc>
          <w:tcPr>
            <w:tcW w:w="577" w:type="pct"/>
            <w:tcBorders>
              <w:top w:val="single" w:sz="4" w:space="0" w:color="FFFFFF" w:themeColor="background1"/>
              <w:left w:val="single" w:sz="4" w:space="0" w:color="FFFFFF" w:themeColor="background1"/>
              <w:bottom w:val="single" w:sz="4" w:space="0" w:color="D2232A" w:themeColor="accent1"/>
            </w:tcBorders>
            <w:shd w:val="clear" w:color="auto" w:fill="E5E5E5" w:themeFill="accent5"/>
            <w:noWrap/>
            <w:vAlign w:val="center"/>
            <w:hideMark/>
          </w:tcPr>
          <w:p w14:paraId="13664B90" w14:textId="664B9FD5" w:rsidR="00722DDE" w:rsidRPr="00AF3F15" w:rsidRDefault="004967BC" w:rsidP="004967BC">
            <w:pPr>
              <w:spacing w:after="0" w:line="240" w:lineRule="auto"/>
              <w:jc w:val="center"/>
              <w:rPr>
                <w:rFonts w:eastAsia="Times New Roman" w:cs="Calibri"/>
                <w:color w:val="000000"/>
                <w:lang w:eastAsia="hr-HR"/>
              </w:rPr>
            </w:pPr>
            <w:r>
              <w:rPr>
                <w:rFonts w:eastAsia="Times New Roman" w:cs="Calibri"/>
                <w:color w:val="000000"/>
                <w:lang w:eastAsia="hr-HR"/>
              </w:rPr>
              <w:t>M</w:t>
            </w:r>
            <w:r w:rsidR="00722DDE" w:rsidRPr="00AF3F15">
              <w:rPr>
                <w:rFonts w:eastAsia="Times New Roman" w:cs="Calibri"/>
                <w:color w:val="000000"/>
                <w:lang w:eastAsia="hr-HR"/>
              </w:rPr>
              <w:t>uški</w:t>
            </w:r>
          </w:p>
        </w:tc>
        <w:tc>
          <w:tcPr>
            <w:tcW w:w="578" w:type="pct"/>
            <w:tcBorders>
              <w:top w:val="single" w:sz="4" w:space="0" w:color="FFFFFF" w:themeColor="background1"/>
              <w:bottom w:val="single" w:sz="4" w:space="0" w:color="D2232A" w:themeColor="accent1"/>
              <w:right w:val="single" w:sz="8" w:space="0" w:color="D2232A"/>
            </w:tcBorders>
            <w:shd w:val="clear" w:color="auto" w:fill="E5E5E5" w:themeFill="accent5"/>
            <w:noWrap/>
            <w:vAlign w:val="center"/>
            <w:hideMark/>
          </w:tcPr>
          <w:p w14:paraId="566D9553" w14:textId="6C053CB4" w:rsidR="00722DDE" w:rsidRPr="00AF3F15" w:rsidRDefault="004967BC" w:rsidP="004967BC">
            <w:pPr>
              <w:spacing w:after="0" w:line="240" w:lineRule="auto"/>
              <w:jc w:val="center"/>
              <w:rPr>
                <w:rFonts w:eastAsia="Times New Roman" w:cs="Calibri"/>
                <w:color w:val="000000"/>
                <w:lang w:eastAsia="hr-HR"/>
              </w:rPr>
            </w:pPr>
            <w:r>
              <w:rPr>
                <w:rFonts w:eastAsia="Times New Roman" w:cs="Calibri"/>
                <w:color w:val="000000"/>
                <w:lang w:eastAsia="hr-HR"/>
              </w:rPr>
              <w:t>Ž</w:t>
            </w:r>
            <w:r w:rsidR="00722DDE" w:rsidRPr="00AF3F15">
              <w:rPr>
                <w:rFonts w:eastAsia="Times New Roman" w:cs="Calibri"/>
                <w:color w:val="000000"/>
                <w:lang w:eastAsia="hr-HR"/>
              </w:rPr>
              <w:t>enski</w:t>
            </w:r>
          </w:p>
        </w:tc>
        <w:tc>
          <w:tcPr>
            <w:tcW w:w="577" w:type="pct"/>
            <w:tcBorders>
              <w:top w:val="single" w:sz="4" w:space="0" w:color="FFFFFF" w:themeColor="background1"/>
              <w:left w:val="single" w:sz="8" w:space="0" w:color="D2232A"/>
              <w:bottom w:val="single" w:sz="4" w:space="0" w:color="D2232A" w:themeColor="accent1"/>
            </w:tcBorders>
            <w:shd w:val="clear" w:color="auto" w:fill="E5E5E5" w:themeFill="accent5"/>
            <w:noWrap/>
            <w:vAlign w:val="center"/>
            <w:hideMark/>
          </w:tcPr>
          <w:p w14:paraId="45066BF7" w14:textId="578BBB09" w:rsidR="00722DDE" w:rsidRPr="00AF3F15" w:rsidRDefault="004967BC" w:rsidP="004967BC">
            <w:pPr>
              <w:spacing w:after="0" w:line="240" w:lineRule="auto"/>
              <w:jc w:val="center"/>
              <w:rPr>
                <w:rFonts w:eastAsia="Times New Roman" w:cs="Calibri"/>
                <w:color w:val="000000"/>
                <w:lang w:eastAsia="hr-HR"/>
              </w:rPr>
            </w:pPr>
            <w:r>
              <w:rPr>
                <w:rFonts w:eastAsia="Times New Roman" w:cs="Calibri"/>
                <w:color w:val="000000"/>
                <w:lang w:eastAsia="hr-HR"/>
              </w:rPr>
              <w:t>M</w:t>
            </w:r>
            <w:r w:rsidR="00722DDE" w:rsidRPr="00AF3F15">
              <w:rPr>
                <w:rFonts w:eastAsia="Times New Roman" w:cs="Calibri"/>
                <w:color w:val="000000"/>
                <w:lang w:eastAsia="hr-HR"/>
              </w:rPr>
              <w:t>uški</w:t>
            </w:r>
          </w:p>
        </w:tc>
        <w:tc>
          <w:tcPr>
            <w:tcW w:w="578" w:type="pct"/>
            <w:tcBorders>
              <w:top w:val="single" w:sz="4" w:space="0" w:color="FFFFFF" w:themeColor="background1"/>
              <w:bottom w:val="single" w:sz="4" w:space="0" w:color="D2232A" w:themeColor="accent1"/>
              <w:right w:val="single" w:sz="8" w:space="0" w:color="D2232A"/>
            </w:tcBorders>
            <w:shd w:val="clear" w:color="auto" w:fill="E5E5E5" w:themeFill="accent5"/>
            <w:noWrap/>
            <w:vAlign w:val="center"/>
            <w:hideMark/>
          </w:tcPr>
          <w:p w14:paraId="2268C244" w14:textId="7792E6B1" w:rsidR="00722DDE" w:rsidRPr="00AF3F15" w:rsidRDefault="004967BC" w:rsidP="004967BC">
            <w:pPr>
              <w:spacing w:after="0" w:line="240" w:lineRule="auto"/>
              <w:jc w:val="center"/>
              <w:rPr>
                <w:rFonts w:eastAsia="Times New Roman" w:cs="Calibri"/>
                <w:color w:val="000000"/>
                <w:lang w:eastAsia="hr-HR"/>
              </w:rPr>
            </w:pPr>
            <w:r>
              <w:rPr>
                <w:rFonts w:eastAsia="Times New Roman" w:cs="Calibri"/>
                <w:color w:val="000000"/>
                <w:lang w:eastAsia="hr-HR"/>
              </w:rPr>
              <w:t>Ž</w:t>
            </w:r>
            <w:r w:rsidR="00722DDE" w:rsidRPr="00AF3F15">
              <w:rPr>
                <w:rFonts w:eastAsia="Times New Roman" w:cs="Calibri"/>
                <w:color w:val="000000"/>
                <w:lang w:eastAsia="hr-HR"/>
              </w:rPr>
              <w:t>enski</w:t>
            </w:r>
          </w:p>
        </w:tc>
        <w:tc>
          <w:tcPr>
            <w:tcW w:w="577" w:type="pct"/>
            <w:tcBorders>
              <w:top w:val="single" w:sz="4" w:space="0" w:color="FFFFFF" w:themeColor="background1"/>
              <w:left w:val="single" w:sz="8" w:space="0" w:color="D2232A"/>
              <w:bottom w:val="single" w:sz="4" w:space="0" w:color="D2232A" w:themeColor="accent1"/>
            </w:tcBorders>
            <w:shd w:val="clear" w:color="auto" w:fill="E5E5E5" w:themeFill="accent5"/>
            <w:noWrap/>
            <w:vAlign w:val="center"/>
            <w:hideMark/>
          </w:tcPr>
          <w:p w14:paraId="27F174E2" w14:textId="4522DA71" w:rsidR="00722DDE" w:rsidRPr="00AF3F15" w:rsidRDefault="004967BC" w:rsidP="004967BC">
            <w:pPr>
              <w:spacing w:after="0" w:line="240" w:lineRule="auto"/>
              <w:jc w:val="center"/>
              <w:rPr>
                <w:rFonts w:eastAsia="Times New Roman" w:cs="Calibri"/>
                <w:color w:val="000000"/>
                <w:lang w:eastAsia="hr-HR"/>
              </w:rPr>
            </w:pPr>
            <w:r>
              <w:rPr>
                <w:rFonts w:eastAsia="Times New Roman" w:cs="Calibri"/>
                <w:color w:val="000000"/>
                <w:lang w:eastAsia="hr-HR"/>
              </w:rPr>
              <w:t>M</w:t>
            </w:r>
            <w:r w:rsidR="00722DDE" w:rsidRPr="00AF3F15">
              <w:rPr>
                <w:rFonts w:eastAsia="Times New Roman" w:cs="Calibri"/>
                <w:color w:val="000000"/>
                <w:lang w:eastAsia="hr-HR"/>
              </w:rPr>
              <w:t>uški</w:t>
            </w:r>
          </w:p>
        </w:tc>
        <w:tc>
          <w:tcPr>
            <w:tcW w:w="576" w:type="pct"/>
            <w:tcBorders>
              <w:top w:val="single" w:sz="4" w:space="0" w:color="FFFFFF" w:themeColor="background1"/>
              <w:bottom w:val="single" w:sz="4" w:space="0" w:color="D2232A" w:themeColor="accent1"/>
              <w:right w:val="single" w:sz="8" w:space="0" w:color="D2232A"/>
            </w:tcBorders>
            <w:shd w:val="clear" w:color="auto" w:fill="E5E5E5" w:themeFill="accent5"/>
            <w:noWrap/>
            <w:vAlign w:val="center"/>
            <w:hideMark/>
          </w:tcPr>
          <w:p w14:paraId="751DD532" w14:textId="0CFA304F" w:rsidR="00722DDE" w:rsidRPr="00AF3F15" w:rsidRDefault="007309AD" w:rsidP="004967BC">
            <w:pPr>
              <w:spacing w:after="0" w:line="240" w:lineRule="auto"/>
              <w:jc w:val="center"/>
              <w:rPr>
                <w:rFonts w:eastAsia="Times New Roman" w:cs="Calibri"/>
                <w:color w:val="000000"/>
                <w:lang w:eastAsia="hr-HR"/>
              </w:rPr>
            </w:pPr>
            <w:r w:rsidRPr="00AF3F15">
              <w:rPr>
                <w:rFonts w:eastAsia="Times New Roman" w:cs="Calibri"/>
                <w:color w:val="000000"/>
                <w:lang w:eastAsia="hr-HR"/>
              </w:rPr>
              <w:t>Ž</w:t>
            </w:r>
            <w:r w:rsidR="00722DDE" w:rsidRPr="00AF3F15">
              <w:rPr>
                <w:rFonts w:eastAsia="Times New Roman" w:cs="Calibri"/>
                <w:color w:val="000000"/>
                <w:lang w:eastAsia="hr-HR"/>
              </w:rPr>
              <w:t>enski</w:t>
            </w:r>
          </w:p>
        </w:tc>
      </w:tr>
      <w:tr w:rsidR="00722DDE" w14:paraId="7C655874" w14:textId="77777777" w:rsidTr="004967BC">
        <w:trPr>
          <w:trHeight w:val="374"/>
        </w:trPr>
        <w:tc>
          <w:tcPr>
            <w:tcW w:w="1538" w:type="pct"/>
            <w:tcBorders>
              <w:right w:val="single" w:sz="4" w:space="0" w:color="FFFFFF" w:themeColor="background1"/>
            </w:tcBorders>
            <w:shd w:val="clear" w:color="auto" w:fill="D2232A"/>
            <w:noWrap/>
            <w:vAlign w:val="center"/>
            <w:hideMark/>
          </w:tcPr>
          <w:p w14:paraId="5EB4EFEF" w14:textId="77777777" w:rsidR="00722DDE" w:rsidRPr="00AF3F15" w:rsidRDefault="00722DDE" w:rsidP="00722DDE">
            <w:pPr>
              <w:spacing w:after="0" w:line="240" w:lineRule="auto"/>
              <w:rPr>
                <w:rFonts w:eastAsia="Times New Roman" w:cs="Calibri"/>
                <w:color w:val="FFFFFF" w:themeColor="background1"/>
                <w:lang w:eastAsia="hr-HR"/>
              </w:rPr>
            </w:pPr>
            <w:r w:rsidRPr="00AF3F15">
              <w:rPr>
                <w:rFonts w:eastAsia="Times New Roman" w:cs="Calibri"/>
                <w:color w:val="FFFFFF" w:themeColor="background1"/>
                <w:lang w:eastAsia="hr-HR"/>
              </w:rPr>
              <w:t>Republika Hrvatska</w:t>
            </w:r>
          </w:p>
        </w:tc>
        <w:tc>
          <w:tcPr>
            <w:tcW w:w="577" w:type="pct"/>
            <w:tcBorders>
              <w:top w:val="single" w:sz="4" w:space="0" w:color="D2232A" w:themeColor="accent1"/>
              <w:left w:val="single" w:sz="4" w:space="0" w:color="FFFFFF" w:themeColor="background1"/>
              <w:bottom w:val="single" w:sz="4" w:space="0" w:color="D2232A" w:themeColor="accent1"/>
            </w:tcBorders>
            <w:noWrap/>
            <w:vAlign w:val="bottom"/>
            <w:hideMark/>
          </w:tcPr>
          <w:p w14:paraId="5E659D0F"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28.451</w:t>
            </w:r>
          </w:p>
        </w:tc>
        <w:tc>
          <w:tcPr>
            <w:tcW w:w="578" w:type="pct"/>
            <w:tcBorders>
              <w:top w:val="single" w:sz="4" w:space="0" w:color="D2232A" w:themeColor="accent1"/>
              <w:bottom w:val="single" w:sz="4" w:space="0" w:color="D2232A" w:themeColor="accent1"/>
              <w:right w:val="single" w:sz="8" w:space="0" w:color="D2232A"/>
            </w:tcBorders>
            <w:noWrap/>
            <w:vAlign w:val="bottom"/>
            <w:hideMark/>
          </w:tcPr>
          <w:p w14:paraId="7B471E3D"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16.863</w:t>
            </w:r>
          </w:p>
        </w:tc>
        <w:tc>
          <w:tcPr>
            <w:tcW w:w="577" w:type="pct"/>
            <w:tcBorders>
              <w:top w:val="single" w:sz="4" w:space="0" w:color="D2232A" w:themeColor="accent1"/>
              <w:left w:val="single" w:sz="8" w:space="0" w:color="D2232A"/>
              <w:bottom w:val="single" w:sz="4" w:space="0" w:color="D2232A" w:themeColor="accent1"/>
            </w:tcBorders>
            <w:noWrap/>
            <w:vAlign w:val="bottom"/>
            <w:hideMark/>
          </w:tcPr>
          <w:p w14:paraId="72600989"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146.971</w:t>
            </w:r>
          </w:p>
        </w:tc>
        <w:tc>
          <w:tcPr>
            <w:tcW w:w="578" w:type="pct"/>
            <w:tcBorders>
              <w:top w:val="single" w:sz="4" w:space="0" w:color="D2232A" w:themeColor="accent1"/>
              <w:bottom w:val="single" w:sz="4" w:space="0" w:color="D2232A" w:themeColor="accent1"/>
              <w:right w:val="single" w:sz="8" w:space="0" w:color="D2232A"/>
            </w:tcBorders>
            <w:noWrap/>
            <w:vAlign w:val="bottom"/>
            <w:hideMark/>
          </w:tcPr>
          <w:p w14:paraId="695AC4E1"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70.607</w:t>
            </w:r>
          </w:p>
        </w:tc>
        <w:tc>
          <w:tcPr>
            <w:tcW w:w="577" w:type="pct"/>
            <w:tcBorders>
              <w:top w:val="single" w:sz="4" w:space="0" w:color="D2232A" w:themeColor="accent1"/>
              <w:left w:val="single" w:sz="8" w:space="0" w:color="D2232A"/>
              <w:bottom w:val="single" w:sz="4" w:space="0" w:color="D2232A" w:themeColor="accent1"/>
            </w:tcBorders>
            <w:noWrap/>
            <w:vAlign w:val="bottom"/>
            <w:hideMark/>
          </w:tcPr>
          <w:p w14:paraId="5A3FCC2B"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132.225</w:t>
            </w:r>
          </w:p>
        </w:tc>
        <w:tc>
          <w:tcPr>
            <w:tcW w:w="576" w:type="pct"/>
            <w:tcBorders>
              <w:top w:val="single" w:sz="4" w:space="0" w:color="D2232A" w:themeColor="accent1"/>
              <w:bottom w:val="single" w:sz="4" w:space="0" w:color="D2232A" w:themeColor="accent1"/>
              <w:right w:val="single" w:sz="8" w:space="0" w:color="D2232A"/>
            </w:tcBorders>
            <w:noWrap/>
            <w:vAlign w:val="bottom"/>
            <w:hideMark/>
          </w:tcPr>
          <w:p w14:paraId="5C88850E"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116.164</w:t>
            </w:r>
          </w:p>
        </w:tc>
      </w:tr>
      <w:tr w:rsidR="00722DDE" w14:paraId="1E175762" w14:textId="77777777" w:rsidTr="004967BC">
        <w:trPr>
          <w:trHeight w:val="424"/>
        </w:trPr>
        <w:tc>
          <w:tcPr>
            <w:tcW w:w="1538" w:type="pct"/>
            <w:tcBorders>
              <w:bottom w:val="single" w:sz="4" w:space="0" w:color="FFFFFF" w:themeColor="background1"/>
              <w:right w:val="single" w:sz="4" w:space="0" w:color="FFFFFF" w:themeColor="background1"/>
            </w:tcBorders>
            <w:shd w:val="clear" w:color="auto" w:fill="D2232A"/>
            <w:noWrap/>
            <w:vAlign w:val="center"/>
            <w:hideMark/>
          </w:tcPr>
          <w:p w14:paraId="56FF4955" w14:textId="77777777" w:rsidR="00722DDE" w:rsidRPr="00AF3F15" w:rsidRDefault="00722DDE" w:rsidP="00722DDE">
            <w:pPr>
              <w:spacing w:after="0" w:line="240" w:lineRule="auto"/>
              <w:rPr>
                <w:rFonts w:eastAsia="Times New Roman" w:cs="Calibri"/>
                <w:color w:val="FFFFFF" w:themeColor="background1"/>
                <w:lang w:eastAsia="hr-HR"/>
              </w:rPr>
            </w:pPr>
            <w:r>
              <w:rPr>
                <w:rFonts w:eastAsia="Times New Roman" w:cs="Calibri"/>
                <w:color w:val="FFFFFF" w:themeColor="background1"/>
                <w:lang w:eastAsia="hr-HR"/>
              </w:rPr>
              <w:t>Sjeverna</w:t>
            </w:r>
            <w:r w:rsidRPr="00AF3F15">
              <w:rPr>
                <w:rFonts w:eastAsia="Times New Roman" w:cs="Calibri"/>
                <w:color w:val="FFFFFF" w:themeColor="background1"/>
                <w:lang w:eastAsia="hr-HR"/>
              </w:rPr>
              <w:t xml:space="preserve"> Hrvatska</w:t>
            </w:r>
          </w:p>
        </w:tc>
        <w:tc>
          <w:tcPr>
            <w:tcW w:w="577" w:type="pct"/>
            <w:tcBorders>
              <w:top w:val="single" w:sz="4" w:space="0" w:color="D2232A" w:themeColor="accent1"/>
              <w:left w:val="single" w:sz="4" w:space="0" w:color="FFFFFF" w:themeColor="background1"/>
              <w:bottom w:val="single" w:sz="4" w:space="0" w:color="D2232A" w:themeColor="accent1"/>
            </w:tcBorders>
            <w:noWrap/>
            <w:vAlign w:val="bottom"/>
          </w:tcPr>
          <w:p w14:paraId="1AAD3100" w14:textId="77777777" w:rsidR="00722DDE" w:rsidRPr="00AF3F15" w:rsidRDefault="00722DDE" w:rsidP="008717BF">
            <w:pPr>
              <w:spacing w:after="0" w:line="240" w:lineRule="auto"/>
              <w:jc w:val="center"/>
              <w:rPr>
                <w:rFonts w:eastAsia="Times New Roman" w:cs="Calibri"/>
                <w:color w:val="000000"/>
                <w:lang w:eastAsia="hr-HR"/>
              </w:rPr>
            </w:pPr>
            <w:r>
              <w:rPr>
                <w:rFonts w:eastAsia="Times New Roman" w:cs="Calibri"/>
                <w:color w:val="000000"/>
                <w:lang w:eastAsia="hr-HR"/>
              </w:rPr>
              <w:t>7.425</w:t>
            </w:r>
          </w:p>
        </w:tc>
        <w:tc>
          <w:tcPr>
            <w:tcW w:w="578" w:type="pct"/>
            <w:tcBorders>
              <w:top w:val="single" w:sz="4" w:space="0" w:color="D2232A" w:themeColor="accent1"/>
              <w:bottom w:val="single" w:sz="4" w:space="0" w:color="D2232A" w:themeColor="accent1"/>
              <w:right w:val="single" w:sz="8" w:space="0" w:color="D2232A"/>
            </w:tcBorders>
            <w:noWrap/>
            <w:vAlign w:val="bottom"/>
          </w:tcPr>
          <w:p w14:paraId="013D8ECB" w14:textId="77777777" w:rsidR="00722DDE" w:rsidRPr="00AF3F15" w:rsidRDefault="00722DDE" w:rsidP="008717BF">
            <w:pPr>
              <w:spacing w:after="0" w:line="240" w:lineRule="auto"/>
              <w:jc w:val="center"/>
              <w:rPr>
                <w:rFonts w:eastAsia="Times New Roman" w:cs="Calibri"/>
                <w:color w:val="000000"/>
                <w:lang w:eastAsia="hr-HR"/>
              </w:rPr>
            </w:pPr>
            <w:r>
              <w:rPr>
                <w:rFonts w:eastAsia="Times New Roman" w:cs="Calibri"/>
                <w:color w:val="000000"/>
                <w:lang w:eastAsia="hr-HR"/>
              </w:rPr>
              <w:t>4.550</w:t>
            </w:r>
          </w:p>
        </w:tc>
        <w:tc>
          <w:tcPr>
            <w:tcW w:w="577" w:type="pct"/>
            <w:tcBorders>
              <w:top w:val="single" w:sz="4" w:space="0" w:color="D2232A" w:themeColor="accent1"/>
              <w:left w:val="single" w:sz="8" w:space="0" w:color="D2232A"/>
              <w:bottom w:val="single" w:sz="4" w:space="0" w:color="D2232A" w:themeColor="accent1"/>
            </w:tcBorders>
            <w:noWrap/>
            <w:vAlign w:val="bottom"/>
          </w:tcPr>
          <w:p w14:paraId="319BA14B" w14:textId="77777777" w:rsidR="00722DDE" w:rsidRPr="00AF3F15" w:rsidRDefault="00722DDE" w:rsidP="008717BF">
            <w:pPr>
              <w:spacing w:after="0" w:line="240" w:lineRule="auto"/>
              <w:jc w:val="center"/>
              <w:rPr>
                <w:rFonts w:eastAsia="Times New Roman" w:cs="Calibri"/>
                <w:color w:val="000000"/>
                <w:lang w:eastAsia="hr-HR"/>
              </w:rPr>
            </w:pPr>
            <w:r>
              <w:rPr>
                <w:rFonts w:eastAsia="Times New Roman" w:cs="Calibri"/>
                <w:color w:val="000000"/>
                <w:lang w:eastAsia="hr-HR"/>
              </w:rPr>
              <w:t>26.580</w:t>
            </w:r>
          </w:p>
        </w:tc>
        <w:tc>
          <w:tcPr>
            <w:tcW w:w="578" w:type="pct"/>
            <w:tcBorders>
              <w:top w:val="single" w:sz="4" w:space="0" w:color="D2232A" w:themeColor="accent1"/>
              <w:bottom w:val="single" w:sz="4" w:space="0" w:color="D2232A" w:themeColor="accent1"/>
              <w:right w:val="single" w:sz="8" w:space="0" w:color="D2232A"/>
            </w:tcBorders>
            <w:noWrap/>
            <w:vAlign w:val="bottom"/>
          </w:tcPr>
          <w:p w14:paraId="3A877FC8" w14:textId="77777777" w:rsidR="00722DDE" w:rsidRPr="00AF3F15" w:rsidRDefault="00722DDE" w:rsidP="008717BF">
            <w:pPr>
              <w:spacing w:after="0" w:line="240" w:lineRule="auto"/>
              <w:jc w:val="center"/>
              <w:rPr>
                <w:rFonts w:eastAsia="Times New Roman" w:cs="Calibri"/>
                <w:color w:val="000000"/>
                <w:lang w:eastAsia="hr-HR"/>
              </w:rPr>
            </w:pPr>
            <w:r>
              <w:rPr>
                <w:rFonts w:eastAsia="Times New Roman" w:cs="Calibri"/>
                <w:color w:val="000000"/>
                <w:lang w:eastAsia="hr-HR"/>
              </w:rPr>
              <w:t>15.675</w:t>
            </w:r>
          </w:p>
        </w:tc>
        <w:tc>
          <w:tcPr>
            <w:tcW w:w="577" w:type="pct"/>
            <w:tcBorders>
              <w:top w:val="single" w:sz="4" w:space="0" w:color="D2232A" w:themeColor="accent1"/>
              <w:left w:val="single" w:sz="8" w:space="0" w:color="D2232A"/>
              <w:bottom w:val="single" w:sz="4" w:space="0" w:color="D2232A" w:themeColor="accent1"/>
            </w:tcBorders>
            <w:noWrap/>
            <w:vAlign w:val="bottom"/>
          </w:tcPr>
          <w:p w14:paraId="7B3DF036" w14:textId="77777777" w:rsidR="00722DDE" w:rsidRPr="00AF3F15" w:rsidRDefault="00722DDE" w:rsidP="008717BF">
            <w:pPr>
              <w:spacing w:after="0" w:line="240" w:lineRule="auto"/>
              <w:jc w:val="center"/>
              <w:rPr>
                <w:rFonts w:eastAsia="Times New Roman" w:cs="Calibri"/>
                <w:color w:val="000000"/>
                <w:lang w:eastAsia="hr-HR"/>
              </w:rPr>
            </w:pPr>
            <w:r>
              <w:rPr>
                <w:rFonts w:eastAsia="Times New Roman" w:cs="Calibri"/>
                <w:color w:val="000000"/>
                <w:lang w:eastAsia="hr-HR"/>
              </w:rPr>
              <w:t>22.985</w:t>
            </w:r>
          </w:p>
        </w:tc>
        <w:tc>
          <w:tcPr>
            <w:tcW w:w="576" w:type="pct"/>
            <w:tcBorders>
              <w:top w:val="single" w:sz="4" w:space="0" w:color="D2232A" w:themeColor="accent1"/>
              <w:bottom w:val="single" w:sz="4" w:space="0" w:color="D2232A" w:themeColor="accent1"/>
              <w:right w:val="single" w:sz="8" w:space="0" w:color="D2232A"/>
            </w:tcBorders>
            <w:noWrap/>
            <w:vAlign w:val="bottom"/>
          </w:tcPr>
          <w:p w14:paraId="123533F7" w14:textId="77777777" w:rsidR="00722DDE" w:rsidRPr="00AF3F15" w:rsidRDefault="00722DDE" w:rsidP="008717BF">
            <w:pPr>
              <w:spacing w:after="0" w:line="240" w:lineRule="auto"/>
              <w:jc w:val="center"/>
              <w:rPr>
                <w:rFonts w:eastAsia="Times New Roman" w:cs="Calibri"/>
                <w:color w:val="000000"/>
                <w:lang w:eastAsia="hr-HR"/>
              </w:rPr>
            </w:pPr>
            <w:r>
              <w:rPr>
                <w:rFonts w:eastAsia="Times New Roman" w:cs="Calibri"/>
                <w:color w:val="000000"/>
                <w:lang w:eastAsia="hr-HR"/>
              </w:rPr>
              <w:t>22.740</w:t>
            </w:r>
          </w:p>
        </w:tc>
      </w:tr>
      <w:tr w:rsidR="00722DDE" w14:paraId="72A0EF5B" w14:textId="77777777" w:rsidTr="004967BC">
        <w:trPr>
          <w:trHeight w:val="323"/>
        </w:trPr>
        <w:tc>
          <w:tcPr>
            <w:tcW w:w="1538" w:type="pct"/>
            <w:tcBorders>
              <w:top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00801D7A" w14:textId="77777777" w:rsidR="00722DDE" w:rsidRPr="00AF3F15" w:rsidRDefault="00722DDE" w:rsidP="00722DDE">
            <w:pPr>
              <w:spacing w:after="0" w:line="240" w:lineRule="auto"/>
              <w:rPr>
                <w:rFonts w:eastAsia="Times New Roman" w:cs="Calibri"/>
                <w:color w:val="FFFFFF" w:themeColor="background1"/>
                <w:lang w:eastAsia="hr-HR"/>
              </w:rPr>
            </w:pPr>
            <w:r w:rsidRPr="00AF3F15">
              <w:rPr>
                <w:rFonts w:eastAsia="Times New Roman" w:cs="Calibri"/>
                <w:color w:val="FFFFFF" w:themeColor="background1"/>
                <w:lang w:eastAsia="hr-HR"/>
              </w:rPr>
              <w:t>Krapinsko-zagorska županija</w:t>
            </w:r>
          </w:p>
        </w:tc>
        <w:tc>
          <w:tcPr>
            <w:tcW w:w="577" w:type="pct"/>
            <w:tcBorders>
              <w:top w:val="single" w:sz="4" w:space="0" w:color="D2232A" w:themeColor="accent1"/>
              <w:left w:val="single" w:sz="4" w:space="0" w:color="FFFFFF" w:themeColor="background1"/>
              <w:bottom w:val="single" w:sz="4" w:space="0" w:color="D2232A" w:themeColor="accent1"/>
            </w:tcBorders>
            <w:noWrap/>
            <w:vAlign w:val="bottom"/>
            <w:hideMark/>
          </w:tcPr>
          <w:p w14:paraId="4DF780C0"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1.051</w:t>
            </w:r>
          </w:p>
        </w:tc>
        <w:tc>
          <w:tcPr>
            <w:tcW w:w="578" w:type="pct"/>
            <w:tcBorders>
              <w:top w:val="single" w:sz="4" w:space="0" w:color="D2232A" w:themeColor="accent1"/>
              <w:bottom w:val="single" w:sz="4" w:space="0" w:color="D2232A" w:themeColor="accent1"/>
              <w:right w:val="single" w:sz="8" w:space="0" w:color="D2232A"/>
            </w:tcBorders>
            <w:noWrap/>
            <w:vAlign w:val="bottom"/>
            <w:hideMark/>
          </w:tcPr>
          <w:p w14:paraId="2B131EC5"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663</w:t>
            </w:r>
          </w:p>
        </w:tc>
        <w:tc>
          <w:tcPr>
            <w:tcW w:w="577" w:type="pct"/>
            <w:tcBorders>
              <w:top w:val="single" w:sz="4" w:space="0" w:color="D2232A" w:themeColor="accent1"/>
              <w:left w:val="single" w:sz="8" w:space="0" w:color="D2232A"/>
              <w:bottom w:val="single" w:sz="4" w:space="0" w:color="D2232A" w:themeColor="accent1"/>
            </w:tcBorders>
            <w:noWrap/>
            <w:vAlign w:val="bottom"/>
            <w:hideMark/>
          </w:tcPr>
          <w:p w14:paraId="1790226B"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4.832</w:t>
            </w:r>
          </w:p>
        </w:tc>
        <w:tc>
          <w:tcPr>
            <w:tcW w:w="578" w:type="pct"/>
            <w:tcBorders>
              <w:top w:val="single" w:sz="4" w:space="0" w:color="D2232A" w:themeColor="accent1"/>
              <w:bottom w:val="single" w:sz="4" w:space="0" w:color="D2232A" w:themeColor="accent1"/>
              <w:right w:val="single" w:sz="8" w:space="0" w:color="D2232A"/>
            </w:tcBorders>
            <w:noWrap/>
            <w:vAlign w:val="bottom"/>
            <w:hideMark/>
          </w:tcPr>
          <w:p w14:paraId="0F8514DA"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3.189</w:t>
            </w:r>
          </w:p>
        </w:tc>
        <w:tc>
          <w:tcPr>
            <w:tcW w:w="577" w:type="pct"/>
            <w:tcBorders>
              <w:top w:val="single" w:sz="4" w:space="0" w:color="D2232A" w:themeColor="accent1"/>
              <w:left w:val="single" w:sz="8" w:space="0" w:color="D2232A"/>
              <w:bottom w:val="single" w:sz="4" w:space="0" w:color="D2232A" w:themeColor="accent1"/>
            </w:tcBorders>
            <w:noWrap/>
            <w:vAlign w:val="bottom"/>
            <w:hideMark/>
          </w:tcPr>
          <w:p w14:paraId="7F7DA896"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4.651</w:t>
            </w:r>
          </w:p>
        </w:tc>
        <w:tc>
          <w:tcPr>
            <w:tcW w:w="576" w:type="pct"/>
            <w:tcBorders>
              <w:top w:val="single" w:sz="4" w:space="0" w:color="D2232A" w:themeColor="accent1"/>
              <w:bottom w:val="single" w:sz="4" w:space="0" w:color="D2232A" w:themeColor="accent1"/>
              <w:right w:val="single" w:sz="8" w:space="0" w:color="D2232A"/>
            </w:tcBorders>
            <w:noWrap/>
            <w:vAlign w:val="bottom"/>
            <w:hideMark/>
          </w:tcPr>
          <w:p w14:paraId="12B987F1" w14:textId="77777777" w:rsidR="00722DDE" w:rsidRPr="00AF3F15" w:rsidRDefault="00722DDE" w:rsidP="008717BF">
            <w:pPr>
              <w:spacing w:after="0" w:line="240" w:lineRule="auto"/>
              <w:jc w:val="center"/>
              <w:rPr>
                <w:rFonts w:eastAsia="Times New Roman" w:cs="Calibri"/>
                <w:color w:val="000000"/>
                <w:lang w:eastAsia="hr-HR"/>
              </w:rPr>
            </w:pPr>
            <w:r w:rsidRPr="00AF3F15">
              <w:rPr>
                <w:rFonts w:eastAsia="Times New Roman" w:cs="Calibri"/>
                <w:color w:val="000000"/>
                <w:lang w:eastAsia="hr-HR"/>
              </w:rPr>
              <w:t>4.463</w:t>
            </w:r>
          </w:p>
        </w:tc>
      </w:tr>
    </w:tbl>
    <w:p w14:paraId="230B68DA" w14:textId="45E150A1" w:rsidR="00722DDE" w:rsidRPr="008B5667" w:rsidRDefault="00722DDE" w:rsidP="008B5667">
      <w:pPr>
        <w:autoSpaceDE w:val="0"/>
        <w:autoSpaceDN w:val="0"/>
        <w:adjustRightInd w:val="0"/>
        <w:spacing w:after="0" w:line="240" w:lineRule="auto"/>
        <w:rPr>
          <w:rFonts w:eastAsia="ArialNarrow" w:cstheme="minorHAnsi"/>
          <w:i/>
          <w:color w:val="ABABAB" w:themeColor="text1" w:themeTint="A6"/>
          <w:sz w:val="16"/>
          <w:szCs w:val="16"/>
        </w:rPr>
      </w:pPr>
      <w:r w:rsidRPr="008B5667">
        <w:rPr>
          <w:rFonts w:eastAsia="ArialNarrow" w:cstheme="minorHAnsi"/>
          <w:i/>
          <w:color w:val="ABABAB" w:themeColor="text1" w:themeTint="A6"/>
          <w:sz w:val="16"/>
          <w:szCs w:val="16"/>
        </w:rPr>
        <w:t>Izvor: Hrvatski zavod za javno zdravstvo, Izvješće o osobama s invaliditetom u Republici Hrvatskoj 2019.</w:t>
      </w:r>
    </w:p>
    <w:p w14:paraId="6FDF11F8" w14:textId="77777777" w:rsidR="004967BC" w:rsidRPr="004967BC" w:rsidRDefault="004967BC" w:rsidP="003C2276">
      <w:pPr>
        <w:pStyle w:val="Izvor"/>
        <w:rPr>
          <w:i/>
          <w:color w:val="ABABAB" w:themeColor="text1" w:themeTint="A6"/>
          <w:sz w:val="16"/>
          <w:szCs w:val="16"/>
        </w:rPr>
      </w:pPr>
    </w:p>
    <w:p w14:paraId="07C2312A" w14:textId="4FBD81D6" w:rsidR="00722DDE" w:rsidRDefault="00722DDE" w:rsidP="00722DDE">
      <w:r w:rsidRPr="00C23946">
        <w:t xml:space="preserve">Prema podacima Hrvatskoj zavoda za zapošljavanje broj registriranih nezaposlenih osoba s invaliditetom na području Krapinsko-zagorske županije u promatranom razdoblju opada. Znatno smanjenje broja prijavljenih nezaposlenih osoba s invaliditetom primjetno je od 2017. godine kada je u odnosu na prethodnu godinu na zavodu bilo prijavljeno 22% manje osoba s invaliditetom. </w:t>
      </w:r>
      <w:r w:rsidR="00DB7781">
        <w:t>Tijekom 2020. dolazi do povećanja broja nezaposlenih osoba s invaliditetom prijavljenih u evidenciju za 7,60% u odnosu na 2019. godinu</w:t>
      </w:r>
      <w:r w:rsidR="00CF766F">
        <w:t xml:space="preserve">. U istom razdoblju došlo je i do povećanja ženskih osoba s invaliditetom u odnosu na muške. </w:t>
      </w:r>
      <w:r w:rsidRPr="00C23946">
        <w:t>Struktura registriranih osoba s invaliditetom prijavljenih na Zavod po spolu prikazana je grafikonom u nastavku.</w:t>
      </w:r>
    </w:p>
    <w:p w14:paraId="342AC416" w14:textId="77777777" w:rsidR="000D5E3F" w:rsidRDefault="000D5E3F" w:rsidP="00722DDE"/>
    <w:p w14:paraId="3FE4D40D" w14:textId="0A7AAFE4" w:rsidR="00722DDE" w:rsidRDefault="00722DDE" w:rsidP="003E3F3C">
      <w:pPr>
        <w:pStyle w:val="Opisslike"/>
      </w:pPr>
      <w:r>
        <w:t xml:space="preserve">Grafikon </w:t>
      </w:r>
      <w:r w:rsidR="008B5667">
        <w:rPr>
          <w:noProof/>
        </w:rPr>
        <w:t>3</w:t>
      </w:r>
      <w:r w:rsidR="00CF4B96">
        <w:rPr>
          <w:noProof/>
        </w:rPr>
        <w:t>7</w:t>
      </w:r>
      <w:r>
        <w:rPr>
          <w:noProof/>
        </w:rPr>
        <w:t>.</w:t>
      </w:r>
      <w:r>
        <w:t xml:space="preserve"> Broj osoba s invaliditetom na području Krapinsko-zagorske županije prijavljenih u evidenciju Hrvatskog zavoda za zapošljavanje (2015.-20</w:t>
      </w:r>
      <w:r w:rsidR="00DB7781">
        <w:t>20</w:t>
      </w:r>
      <w:r>
        <w:t>.)</w:t>
      </w:r>
    </w:p>
    <w:p w14:paraId="48A7CE9D" w14:textId="4474D5C2" w:rsidR="00722DDE" w:rsidRDefault="00835A6C" w:rsidP="008B5667">
      <w:pPr>
        <w:spacing w:after="0"/>
        <w:rPr>
          <w:sz w:val="22"/>
          <w:szCs w:val="22"/>
        </w:rPr>
      </w:pPr>
      <w:r>
        <w:rPr>
          <w:noProof/>
        </w:rPr>
        <w:drawing>
          <wp:inline distT="0" distB="0" distL="0" distR="0" wp14:anchorId="51395F39" wp14:editId="0713F813">
            <wp:extent cx="5838825" cy="2038350"/>
            <wp:effectExtent l="0" t="0" r="9525" b="0"/>
            <wp:docPr id="193" name="Grafikon 193">
              <a:extLst xmlns:a="http://schemas.openxmlformats.org/drawingml/2006/main">
                <a:ext uri="{FF2B5EF4-FFF2-40B4-BE49-F238E27FC236}">
                  <a16:creationId xmlns:a16="http://schemas.microsoft.com/office/drawing/2014/main" id="{F6EAD4B6-0664-4975-A469-9FED818E54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8AE3958" w14:textId="065C9724" w:rsidR="00722DDE" w:rsidRPr="008B5667" w:rsidRDefault="00722DDE" w:rsidP="008B5667">
      <w:pPr>
        <w:autoSpaceDE w:val="0"/>
        <w:autoSpaceDN w:val="0"/>
        <w:adjustRightInd w:val="0"/>
        <w:spacing w:after="0" w:line="240" w:lineRule="auto"/>
        <w:rPr>
          <w:rFonts w:eastAsia="ArialNarrow" w:cstheme="minorHAnsi"/>
          <w:i/>
          <w:color w:val="ABABAB" w:themeColor="text1" w:themeTint="A6"/>
          <w:sz w:val="16"/>
          <w:szCs w:val="16"/>
        </w:rPr>
      </w:pPr>
      <w:r w:rsidRPr="008B5667">
        <w:rPr>
          <w:rFonts w:eastAsia="ArialNarrow" w:cstheme="minorHAnsi"/>
          <w:i/>
          <w:color w:val="ABABAB" w:themeColor="text1" w:themeTint="A6"/>
          <w:sz w:val="16"/>
          <w:szCs w:val="16"/>
        </w:rPr>
        <w:t>Izvor: Hrvatski zavod za zapošljavanje, Statistika On-line: Registrirana nezaposlenost (</w:t>
      </w:r>
      <w:r w:rsidR="00835A6C" w:rsidRPr="008B5667">
        <w:rPr>
          <w:rFonts w:eastAsia="ArialNarrow" w:cstheme="minorHAnsi"/>
          <w:i/>
          <w:color w:val="ABABAB" w:themeColor="text1" w:themeTint="A6"/>
          <w:sz w:val="16"/>
          <w:szCs w:val="16"/>
        </w:rPr>
        <w:t>veljača</w:t>
      </w:r>
      <w:r w:rsidRPr="008B5667">
        <w:rPr>
          <w:rFonts w:eastAsia="ArialNarrow" w:cstheme="minorHAnsi"/>
          <w:i/>
          <w:color w:val="ABABAB" w:themeColor="text1" w:themeTint="A6"/>
          <w:sz w:val="16"/>
          <w:szCs w:val="16"/>
        </w:rPr>
        <w:t>, 20</w:t>
      </w:r>
      <w:r w:rsidR="00835A6C" w:rsidRPr="008B5667">
        <w:rPr>
          <w:rFonts w:eastAsia="ArialNarrow" w:cstheme="minorHAnsi"/>
          <w:i/>
          <w:color w:val="ABABAB" w:themeColor="text1" w:themeTint="A6"/>
          <w:sz w:val="16"/>
          <w:szCs w:val="16"/>
        </w:rPr>
        <w:t>21</w:t>
      </w:r>
      <w:r w:rsidRPr="008B5667">
        <w:rPr>
          <w:rFonts w:eastAsia="ArialNarrow" w:cstheme="minorHAnsi"/>
          <w:i/>
          <w:color w:val="ABABAB" w:themeColor="text1" w:themeTint="A6"/>
          <w:sz w:val="16"/>
          <w:szCs w:val="16"/>
        </w:rPr>
        <w:t>.)</w:t>
      </w:r>
    </w:p>
    <w:p w14:paraId="291EF594" w14:textId="77777777" w:rsidR="008717BF" w:rsidRPr="008717BF" w:rsidRDefault="008717BF" w:rsidP="003C2276">
      <w:pPr>
        <w:pStyle w:val="Izvor"/>
        <w:rPr>
          <w:i/>
          <w:color w:val="ABABAB" w:themeColor="text1" w:themeTint="A6"/>
          <w:sz w:val="16"/>
          <w:szCs w:val="16"/>
        </w:rPr>
      </w:pPr>
    </w:p>
    <w:p w14:paraId="6B703F12" w14:textId="669E03F1" w:rsidR="007054C2" w:rsidRDefault="007054C2" w:rsidP="007054C2">
      <w:r>
        <w:lastRenderedPageBreak/>
        <w:t>Promatrano prema dobi najveći broj nezaposlenih osoba s invaliditetom na području Krapinsko-zagorske županije ima između 20 i 29 godina (35%) te između 30 i 39 godina (27%). Prema stupnju obrazovanja većina nezaposlenih osoba s invaliditetom ima završeno srednjoškolsko obrazovanje, prema podacima za 20</w:t>
      </w:r>
      <w:r w:rsidR="00483454">
        <w:t>20</w:t>
      </w:r>
      <w:r>
        <w:t>. godinu 88%, odnosno 1</w:t>
      </w:r>
      <w:r w:rsidR="00483454">
        <w:t>53</w:t>
      </w:r>
      <w:r>
        <w:t xml:space="preserve"> osoba s invaliditetom ima srednjoškolsko obrazovanje od čega je 1</w:t>
      </w:r>
      <w:r w:rsidR="00483454">
        <w:t>23</w:t>
      </w:r>
      <w:r>
        <w:t xml:space="preserve"> osoba završilo trogodišnju strukovnu srednji školu, </w:t>
      </w:r>
      <w:r w:rsidR="00483454">
        <w:t>29</w:t>
      </w:r>
      <w:r>
        <w:t xml:space="preserve"> ih je završilo četverogodišnju strukovnu srednju školu, a jedna osoba gimnaziju.</w:t>
      </w:r>
    </w:p>
    <w:p w14:paraId="2D54A924" w14:textId="619DCD16" w:rsidR="00722DDE" w:rsidRDefault="00722DDE" w:rsidP="00722DDE">
      <w:r>
        <w:t>Prema podacima Hrvatskog zavoda za zapošljavanje u promatranom razdoblju (2015. – 20</w:t>
      </w:r>
      <w:r w:rsidR="00835A6C">
        <w:t>19</w:t>
      </w:r>
      <w:r>
        <w:t xml:space="preserve">.) na području Krapinsko-zagorske županije u prosjeku svake godine 130 osoba s invaliditetom izađe iz evidencije Zavoda zbog zasnivanja radnog odnosa, </w:t>
      </w:r>
      <w:r w:rsidR="007054C2">
        <w:t>a približno toliko ih se u prosjeku svake godine prijavi na Zavod za zapošljavanje</w:t>
      </w:r>
      <w:r>
        <w:t xml:space="preserve">. </w:t>
      </w:r>
    </w:p>
    <w:p w14:paraId="23E9A4D1" w14:textId="77777777" w:rsidR="00722DDE" w:rsidRDefault="00722DDE" w:rsidP="00722DDE"/>
    <w:p w14:paraId="5564BE7D" w14:textId="77777777" w:rsidR="00722DDE" w:rsidRPr="009209DE" w:rsidRDefault="00722DDE" w:rsidP="00722DDE">
      <w:pPr>
        <w:rPr>
          <w:b/>
          <w:bCs/>
          <w:color w:val="D2232A" w:themeColor="accent1"/>
        </w:rPr>
      </w:pPr>
      <w:r w:rsidRPr="009209DE">
        <w:rPr>
          <w:b/>
          <w:bCs/>
          <w:color w:val="D2232A" w:themeColor="accent1"/>
        </w:rPr>
        <w:t>Mladi (15 - 29 godina)</w:t>
      </w:r>
    </w:p>
    <w:p w14:paraId="14ECB614" w14:textId="624DFE97" w:rsidR="00722DDE" w:rsidRDefault="00722DDE" w:rsidP="00722DDE">
      <w:r>
        <w:t xml:space="preserve">Prema podacima Hrvatskog zavoda za zapošljavanje, na području Krapinsko-zagorske županije prosječan broj nezaposlenih mladih osoba u dobi do 29 godina prijavljenih u evidenciju Zavoda </w:t>
      </w:r>
      <w:r w:rsidR="00835A6C">
        <w:t>tijekom 2020. godine iznosio je 821</w:t>
      </w:r>
      <w:r>
        <w:t xml:space="preserve">, odnosno </w:t>
      </w:r>
      <w:r w:rsidR="00835A6C">
        <w:t>31</w:t>
      </w:r>
      <w:r>
        <w:t>% od ukupnog broja nezaposlenih osoba. U odnosu na isto razdoblje prethodne godine (201</w:t>
      </w:r>
      <w:r w:rsidR="00835A6C">
        <w:t>9</w:t>
      </w:r>
      <w:r>
        <w:t xml:space="preserve">. </w:t>
      </w:r>
      <w:r w:rsidR="00835A6C">
        <w:t>godine</w:t>
      </w:r>
      <w:r>
        <w:t xml:space="preserve"> prosječan broj prijavljenih mladih osoba iznosio je </w:t>
      </w:r>
      <w:r w:rsidR="00835A6C">
        <w:t>652</w:t>
      </w:r>
      <w:r>
        <w:t xml:space="preserve">) primjetno je </w:t>
      </w:r>
      <w:r w:rsidR="00835A6C">
        <w:t>povećanje</w:t>
      </w:r>
      <w:r>
        <w:t xml:space="preserve"> broja nezaposlenosti mladih osoba. Prosječan broj registrirane nezaposlenosti mladih osoba </w:t>
      </w:r>
      <w:r w:rsidR="00A73269">
        <w:t xml:space="preserve">registrirane pri </w:t>
      </w:r>
      <w:r>
        <w:t xml:space="preserve">Zavodu u razdoblju od 2015. do </w:t>
      </w:r>
      <w:r w:rsidR="00835A6C">
        <w:t>prosinca 2020.</w:t>
      </w:r>
      <w:r>
        <w:t xml:space="preserve"> godine prikazan je u tablici u nastavku. </w:t>
      </w:r>
    </w:p>
    <w:p w14:paraId="652CC5F0" w14:textId="77777777" w:rsidR="008717BF" w:rsidRDefault="008717BF" w:rsidP="00722DDE"/>
    <w:p w14:paraId="4B89B09E" w14:textId="50A3C258" w:rsidR="004E5E90" w:rsidRPr="00B8457A" w:rsidRDefault="00722DDE" w:rsidP="003E3F3C">
      <w:pPr>
        <w:pStyle w:val="Opisslike"/>
      </w:pPr>
      <w:r>
        <w:t xml:space="preserve">Tablica </w:t>
      </w:r>
      <w:r w:rsidR="000D5E3F">
        <w:rPr>
          <w:noProof/>
        </w:rPr>
        <w:t>70</w:t>
      </w:r>
      <w:r>
        <w:rPr>
          <w:noProof/>
        </w:rPr>
        <w:t>.</w:t>
      </w:r>
      <w:r>
        <w:t xml:space="preserve"> Registrirana nezaposlenost mladih osoba Krapinsko-zagorske županije (2015.-20</w:t>
      </w:r>
      <w:r w:rsidR="00B8457A">
        <w:t>20</w:t>
      </w:r>
      <w:r>
        <w:t>.)</w:t>
      </w:r>
      <w:r w:rsidR="004E5E90">
        <w:fldChar w:fldCharType="begin"/>
      </w:r>
      <w:r w:rsidR="004E5E90">
        <w:instrText xml:space="preserve"> LINK Excel.Sheet.8 "\\\\194.152.214.169\\Dokumenti\\STRATEGIJE\\04_PLAN RAZVOJA KZŽ\\BAZA PODATAKA ZA PRKZŽ\\TRŽIŠTE RADA\\Registrirana nezaposlenost.xls" "Mladi KZŽ!R4C1:R9C7" \a \f 4 \h  \* MERGEFORMAT </w:instrText>
      </w:r>
      <w:r w:rsidR="004E5E90">
        <w:fldChar w:fldCharType="separate"/>
      </w:r>
    </w:p>
    <w:tbl>
      <w:tblPr>
        <w:tblW w:w="9298" w:type="dxa"/>
        <w:tblLook w:val="04A0" w:firstRow="1" w:lastRow="0" w:firstColumn="1" w:lastColumn="0" w:noHBand="0" w:noVBand="1"/>
      </w:tblPr>
      <w:tblGrid>
        <w:gridCol w:w="3340"/>
        <w:gridCol w:w="993"/>
        <w:gridCol w:w="993"/>
        <w:gridCol w:w="993"/>
        <w:gridCol w:w="993"/>
        <w:gridCol w:w="993"/>
        <w:gridCol w:w="993"/>
      </w:tblGrid>
      <w:tr w:rsidR="004E5E90" w:rsidRPr="004E5E90" w14:paraId="7E800194" w14:textId="77777777" w:rsidTr="008717BF">
        <w:trPr>
          <w:trHeight w:val="325"/>
        </w:trPr>
        <w:tc>
          <w:tcPr>
            <w:tcW w:w="3340" w:type="dxa"/>
            <w:tcBorders>
              <w:top w:val="nil"/>
              <w:left w:val="nil"/>
              <w:bottom w:val="single" w:sz="8" w:space="0" w:color="FFFFFF"/>
              <w:right w:val="nil"/>
            </w:tcBorders>
            <w:shd w:val="clear" w:color="000000" w:fill="D2232A"/>
            <w:noWrap/>
            <w:vAlign w:val="center"/>
            <w:hideMark/>
          </w:tcPr>
          <w:p w14:paraId="6CA2C98A" w14:textId="2216460A" w:rsidR="004E5E90" w:rsidRPr="004E5E90" w:rsidRDefault="004E5E90" w:rsidP="004E5E90">
            <w:pPr>
              <w:spacing w:after="0" w:line="240" w:lineRule="auto"/>
              <w:rPr>
                <w:rFonts w:eastAsia="Times New Roman" w:cs="Arial"/>
                <w:b/>
                <w:bCs/>
                <w:color w:val="FFFFFF"/>
                <w:szCs w:val="18"/>
                <w:lang w:eastAsia="hr-HR"/>
              </w:rPr>
            </w:pPr>
            <w:r w:rsidRPr="004E5E90">
              <w:rPr>
                <w:rFonts w:eastAsia="Times New Roman" w:cs="Arial"/>
                <w:b/>
                <w:bCs/>
                <w:color w:val="FFFFFF"/>
                <w:szCs w:val="18"/>
                <w:lang w:eastAsia="hr-HR"/>
              </w:rPr>
              <w:t>Godina</w:t>
            </w:r>
          </w:p>
        </w:tc>
        <w:tc>
          <w:tcPr>
            <w:tcW w:w="993" w:type="dxa"/>
            <w:tcBorders>
              <w:top w:val="nil"/>
              <w:left w:val="nil"/>
              <w:bottom w:val="nil"/>
              <w:right w:val="single" w:sz="8" w:space="0" w:color="FFFFFF"/>
            </w:tcBorders>
            <w:shd w:val="clear" w:color="000000" w:fill="D2232A"/>
            <w:noWrap/>
            <w:vAlign w:val="center"/>
            <w:hideMark/>
          </w:tcPr>
          <w:p w14:paraId="3C1AA83F" w14:textId="77777777" w:rsidR="004E5E90" w:rsidRPr="004E5E90" w:rsidRDefault="004E5E90" w:rsidP="004E5E90">
            <w:pPr>
              <w:spacing w:after="0" w:line="240" w:lineRule="auto"/>
              <w:jc w:val="center"/>
              <w:rPr>
                <w:rFonts w:eastAsia="Times New Roman" w:cs="Arial"/>
                <w:b/>
                <w:bCs/>
                <w:color w:val="FFFFFF"/>
                <w:szCs w:val="18"/>
                <w:lang w:eastAsia="hr-HR"/>
              </w:rPr>
            </w:pPr>
            <w:r w:rsidRPr="004E5E90">
              <w:rPr>
                <w:rFonts w:eastAsia="Times New Roman" w:cs="Arial"/>
                <w:b/>
                <w:bCs/>
                <w:color w:val="FFFFFF"/>
                <w:szCs w:val="18"/>
                <w:lang w:eastAsia="hr-HR"/>
              </w:rPr>
              <w:t>2015.</w:t>
            </w:r>
          </w:p>
        </w:tc>
        <w:tc>
          <w:tcPr>
            <w:tcW w:w="993" w:type="dxa"/>
            <w:tcBorders>
              <w:top w:val="nil"/>
              <w:left w:val="nil"/>
              <w:bottom w:val="nil"/>
              <w:right w:val="single" w:sz="8" w:space="0" w:color="FFFFFF"/>
            </w:tcBorders>
            <w:shd w:val="clear" w:color="000000" w:fill="D2232A"/>
            <w:noWrap/>
            <w:vAlign w:val="center"/>
            <w:hideMark/>
          </w:tcPr>
          <w:p w14:paraId="65B54F21" w14:textId="77777777" w:rsidR="004E5E90" w:rsidRPr="004E5E90" w:rsidRDefault="004E5E90" w:rsidP="004E5E90">
            <w:pPr>
              <w:spacing w:after="0" w:line="240" w:lineRule="auto"/>
              <w:jc w:val="center"/>
              <w:rPr>
                <w:rFonts w:eastAsia="Times New Roman" w:cs="Arial"/>
                <w:b/>
                <w:bCs/>
                <w:color w:val="FFFFFF"/>
                <w:szCs w:val="18"/>
                <w:lang w:eastAsia="hr-HR"/>
              </w:rPr>
            </w:pPr>
            <w:r w:rsidRPr="004E5E90">
              <w:rPr>
                <w:rFonts w:eastAsia="Times New Roman" w:cs="Arial"/>
                <w:b/>
                <w:bCs/>
                <w:color w:val="FFFFFF"/>
                <w:szCs w:val="18"/>
                <w:lang w:eastAsia="hr-HR"/>
              </w:rPr>
              <w:t>2016.</w:t>
            </w:r>
          </w:p>
        </w:tc>
        <w:tc>
          <w:tcPr>
            <w:tcW w:w="993" w:type="dxa"/>
            <w:tcBorders>
              <w:top w:val="nil"/>
              <w:left w:val="nil"/>
              <w:bottom w:val="nil"/>
              <w:right w:val="single" w:sz="8" w:space="0" w:color="FFFFFF"/>
            </w:tcBorders>
            <w:shd w:val="clear" w:color="000000" w:fill="D2232A"/>
            <w:noWrap/>
            <w:vAlign w:val="center"/>
            <w:hideMark/>
          </w:tcPr>
          <w:p w14:paraId="77A98172" w14:textId="77777777" w:rsidR="004E5E90" w:rsidRPr="004E5E90" w:rsidRDefault="004E5E90" w:rsidP="004E5E90">
            <w:pPr>
              <w:spacing w:after="0" w:line="240" w:lineRule="auto"/>
              <w:jc w:val="center"/>
              <w:rPr>
                <w:rFonts w:eastAsia="Times New Roman" w:cs="Arial"/>
                <w:b/>
                <w:bCs/>
                <w:color w:val="FFFFFF"/>
                <w:szCs w:val="18"/>
                <w:lang w:eastAsia="hr-HR"/>
              </w:rPr>
            </w:pPr>
            <w:r w:rsidRPr="004E5E90">
              <w:rPr>
                <w:rFonts w:eastAsia="Times New Roman" w:cs="Arial"/>
                <w:b/>
                <w:bCs/>
                <w:color w:val="FFFFFF"/>
                <w:szCs w:val="18"/>
                <w:lang w:eastAsia="hr-HR"/>
              </w:rPr>
              <w:t>2017.</w:t>
            </w:r>
          </w:p>
        </w:tc>
        <w:tc>
          <w:tcPr>
            <w:tcW w:w="993" w:type="dxa"/>
            <w:tcBorders>
              <w:top w:val="nil"/>
              <w:left w:val="nil"/>
              <w:bottom w:val="nil"/>
              <w:right w:val="single" w:sz="8" w:space="0" w:color="FFFFFF"/>
            </w:tcBorders>
            <w:shd w:val="clear" w:color="000000" w:fill="D2232A"/>
            <w:noWrap/>
            <w:vAlign w:val="center"/>
            <w:hideMark/>
          </w:tcPr>
          <w:p w14:paraId="3CD7F829" w14:textId="77777777" w:rsidR="004E5E90" w:rsidRPr="004E5E90" w:rsidRDefault="004E5E90" w:rsidP="004E5E90">
            <w:pPr>
              <w:spacing w:after="0" w:line="240" w:lineRule="auto"/>
              <w:jc w:val="center"/>
              <w:rPr>
                <w:rFonts w:eastAsia="Times New Roman" w:cs="Arial"/>
                <w:b/>
                <w:bCs/>
                <w:color w:val="FFFFFF"/>
                <w:szCs w:val="18"/>
                <w:lang w:eastAsia="hr-HR"/>
              </w:rPr>
            </w:pPr>
            <w:r w:rsidRPr="004E5E90">
              <w:rPr>
                <w:rFonts w:eastAsia="Times New Roman" w:cs="Arial"/>
                <w:b/>
                <w:bCs/>
                <w:color w:val="FFFFFF"/>
                <w:szCs w:val="18"/>
                <w:lang w:eastAsia="hr-HR"/>
              </w:rPr>
              <w:t>2018.</w:t>
            </w:r>
          </w:p>
        </w:tc>
        <w:tc>
          <w:tcPr>
            <w:tcW w:w="993" w:type="dxa"/>
            <w:tcBorders>
              <w:top w:val="nil"/>
              <w:left w:val="nil"/>
              <w:bottom w:val="nil"/>
              <w:right w:val="single" w:sz="8" w:space="0" w:color="FFFFFF" w:themeColor="background1"/>
            </w:tcBorders>
            <w:shd w:val="clear" w:color="000000" w:fill="D2232A"/>
            <w:noWrap/>
            <w:vAlign w:val="center"/>
            <w:hideMark/>
          </w:tcPr>
          <w:p w14:paraId="44581F93" w14:textId="77777777" w:rsidR="004E5E90" w:rsidRPr="004E5E90" w:rsidRDefault="004E5E90" w:rsidP="004E5E90">
            <w:pPr>
              <w:spacing w:after="0" w:line="240" w:lineRule="auto"/>
              <w:jc w:val="center"/>
              <w:rPr>
                <w:rFonts w:eastAsia="Times New Roman" w:cs="Arial"/>
                <w:b/>
                <w:bCs/>
                <w:color w:val="FFFFFF"/>
                <w:szCs w:val="18"/>
                <w:lang w:eastAsia="hr-HR"/>
              </w:rPr>
            </w:pPr>
            <w:r w:rsidRPr="004E5E90">
              <w:rPr>
                <w:rFonts w:eastAsia="Times New Roman" w:cs="Arial"/>
                <w:b/>
                <w:bCs/>
                <w:color w:val="FFFFFF"/>
                <w:szCs w:val="18"/>
                <w:lang w:eastAsia="hr-HR"/>
              </w:rPr>
              <w:t>2019.</w:t>
            </w:r>
          </w:p>
        </w:tc>
        <w:tc>
          <w:tcPr>
            <w:tcW w:w="993" w:type="dxa"/>
            <w:tcBorders>
              <w:top w:val="nil"/>
              <w:left w:val="single" w:sz="8" w:space="0" w:color="FFFFFF" w:themeColor="background1"/>
              <w:bottom w:val="nil"/>
              <w:right w:val="single" w:sz="8" w:space="0" w:color="D2232A"/>
            </w:tcBorders>
            <w:shd w:val="clear" w:color="000000" w:fill="D2232A"/>
            <w:noWrap/>
            <w:vAlign w:val="center"/>
            <w:hideMark/>
          </w:tcPr>
          <w:p w14:paraId="03C02CB6" w14:textId="4AB6DE93" w:rsidR="004E5E90" w:rsidRPr="004E5E90" w:rsidRDefault="0056580A" w:rsidP="004E5E90">
            <w:pPr>
              <w:spacing w:after="0" w:line="240" w:lineRule="auto"/>
              <w:jc w:val="center"/>
              <w:rPr>
                <w:rFonts w:eastAsia="Times New Roman" w:cs="Arial"/>
                <w:b/>
                <w:bCs/>
                <w:color w:val="FFFFFF"/>
                <w:szCs w:val="18"/>
                <w:lang w:eastAsia="hr-HR"/>
              </w:rPr>
            </w:pPr>
            <w:r>
              <w:rPr>
                <w:rFonts w:eastAsia="Times New Roman" w:cs="Arial"/>
                <w:b/>
                <w:bCs/>
                <w:color w:val="FFFFFF"/>
                <w:szCs w:val="18"/>
                <w:lang w:eastAsia="hr-HR"/>
              </w:rPr>
              <w:t>2020.</w:t>
            </w:r>
          </w:p>
        </w:tc>
      </w:tr>
      <w:tr w:rsidR="004E5E90" w:rsidRPr="004E5E90" w14:paraId="6DCD98FA" w14:textId="77777777" w:rsidTr="004E5E90">
        <w:trPr>
          <w:trHeight w:val="344"/>
        </w:trPr>
        <w:tc>
          <w:tcPr>
            <w:tcW w:w="3340" w:type="dxa"/>
            <w:tcBorders>
              <w:top w:val="nil"/>
              <w:left w:val="nil"/>
              <w:bottom w:val="single" w:sz="8" w:space="0" w:color="F3CFC1"/>
              <w:right w:val="nil"/>
            </w:tcBorders>
            <w:shd w:val="clear" w:color="000000" w:fill="D2232A"/>
            <w:noWrap/>
            <w:vAlign w:val="center"/>
            <w:hideMark/>
          </w:tcPr>
          <w:p w14:paraId="0FC98534" w14:textId="77777777" w:rsidR="004E5E90" w:rsidRPr="004E5E90" w:rsidRDefault="004E5E90" w:rsidP="004E5E90">
            <w:pPr>
              <w:spacing w:after="0" w:line="240" w:lineRule="auto"/>
              <w:rPr>
                <w:rFonts w:eastAsia="Times New Roman" w:cs="Arial"/>
                <w:color w:val="FFFFFF"/>
                <w:szCs w:val="18"/>
                <w:lang w:eastAsia="hr-HR"/>
              </w:rPr>
            </w:pPr>
            <w:r w:rsidRPr="004E5E90">
              <w:rPr>
                <w:rFonts w:eastAsia="Times New Roman" w:cs="Arial"/>
                <w:color w:val="FFFFFF"/>
                <w:szCs w:val="18"/>
                <w:lang w:eastAsia="hr-HR"/>
              </w:rPr>
              <w:t>Ukupno prijavljenih na Zavod KZŽ</w:t>
            </w:r>
          </w:p>
        </w:tc>
        <w:tc>
          <w:tcPr>
            <w:tcW w:w="993" w:type="dxa"/>
            <w:tcBorders>
              <w:top w:val="nil"/>
              <w:left w:val="nil"/>
              <w:bottom w:val="single" w:sz="8" w:space="0" w:color="F3CFC1"/>
              <w:right w:val="single" w:sz="8" w:space="0" w:color="D2232A"/>
            </w:tcBorders>
            <w:shd w:val="clear" w:color="auto" w:fill="auto"/>
            <w:noWrap/>
            <w:vAlign w:val="center"/>
            <w:hideMark/>
          </w:tcPr>
          <w:p w14:paraId="4107C7E0"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6.648</w:t>
            </w:r>
          </w:p>
        </w:tc>
        <w:tc>
          <w:tcPr>
            <w:tcW w:w="993" w:type="dxa"/>
            <w:tcBorders>
              <w:top w:val="nil"/>
              <w:left w:val="nil"/>
              <w:bottom w:val="single" w:sz="8" w:space="0" w:color="F3CFC1"/>
              <w:right w:val="single" w:sz="8" w:space="0" w:color="D2232A"/>
            </w:tcBorders>
            <w:shd w:val="clear" w:color="auto" w:fill="auto"/>
            <w:noWrap/>
            <w:vAlign w:val="center"/>
            <w:hideMark/>
          </w:tcPr>
          <w:p w14:paraId="628BA7C0"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5.168</w:t>
            </w:r>
          </w:p>
        </w:tc>
        <w:tc>
          <w:tcPr>
            <w:tcW w:w="993" w:type="dxa"/>
            <w:tcBorders>
              <w:top w:val="nil"/>
              <w:left w:val="nil"/>
              <w:bottom w:val="single" w:sz="8" w:space="0" w:color="F3CFC1"/>
              <w:right w:val="single" w:sz="8" w:space="0" w:color="D2232A"/>
            </w:tcBorders>
            <w:shd w:val="clear" w:color="auto" w:fill="auto"/>
            <w:noWrap/>
            <w:vAlign w:val="center"/>
            <w:hideMark/>
          </w:tcPr>
          <w:p w14:paraId="22AF669D"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3.689</w:t>
            </w:r>
          </w:p>
        </w:tc>
        <w:tc>
          <w:tcPr>
            <w:tcW w:w="993" w:type="dxa"/>
            <w:tcBorders>
              <w:top w:val="nil"/>
              <w:left w:val="nil"/>
              <w:bottom w:val="single" w:sz="8" w:space="0" w:color="F3CFC1"/>
              <w:right w:val="single" w:sz="8" w:space="0" w:color="D2232A"/>
            </w:tcBorders>
            <w:shd w:val="clear" w:color="auto" w:fill="auto"/>
            <w:noWrap/>
            <w:vAlign w:val="center"/>
            <w:hideMark/>
          </w:tcPr>
          <w:p w14:paraId="3E006429"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2.789</w:t>
            </w:r>
          </w:p>
        </w:tc>
        <w:tc>
          <w:tcPr>
            <w:tcW w:w="993" w:type="dxa"/>
            <w:tcBorders>
              <w:top w:val="nil"/>
              <w:left w:val="nil"/>
              <w:bottom w:val="single" w:sz="8" w:space="0" w:color="F3CFC1"/>
              <w:right w:val="single" w:sz="8" w:space="0" w:color="D2232A"/>
            </w:tcBorders>
            <w:shd w:val="clear" w:color="auto" w:fill="auto"/>
            <w:noWrap/>
            <w:vAlign w:val="center"/>
            <w:hideMark/>
          </w:tcPr>
          <w:p w14:paraId="300F4B8B"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2.322</w:t>
            </w:r>
          </w:p>
        </w:tc>
        <w:tc>
          <w:tcPr>
            <w:tcW w:w="993" w:type="dxa"/>
            <w:tcBorders>
              <w:top w:val="nil"/>
              <w:left w:val="nil"/>
              <w:bottom w:val="single" w:sz="8" w:space="0" w:color="F3CFC1"/>
              <w:right w:val="single" w:sz="8" w:space="0" w:color="D2232A"/>
            </w:tcBorders>
            <w:shd w:val="clear" w:color="auto" w:fill="auto"/>
            <w:noWrap/>
            <w:vAlign w:val="center"/>
            <w:hideMark/>
          </w:tcPr>
          <w:p w14:paraId="55D1D462" w14:textId="1CDA599F"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Arial"/>
                <w:color w:val="3F3F3F"/>
                <w:szCs w:val="18"/>
                <w:lang w:eastAsia="hr-HR"/>
              </w:rPr>
              <w:t>2.6</w:t>
            </w:r>
            <w:r w:rsidR="0056580A">
              <w:rPr>
                <w:rFonts w:eastAsia="Times New Roman" w:cs="Arial"/>
                <w:color w:val="3F3F3F"/>
                <w:szCs w:val="18"/>
                <w:lang w:eastAsia="hr-HR"/>
              </w:rPr>
              <w:t>70</w:t>
            </w:r>
          </w:p>
        </w:tc>
      </w:tr>
      <w:tr w:rsidR="004E5E90" w:rsidRPr="004E5E90" w14:paraId="60660773" w14:textId="77777777" w:rsidTr="004E5E90">
        <w:trPr>
          <w:trHeight w:val="273"/>
        </w:trPr>
        <w:tc>
          <w:tcPr>
            <w:tcW w:w="3340" w:type="dxa"/>
            <w:tcBorders>
              <w:top w:val="nil"/>
              <w:left w:val="nil"/>
              <w:bottom w:val="single" w:sz="8" w:space="0" w:color="F3CFC1"/>
              <w:right w:val="nil"/>
            </w:tcBorders>
            <w:shd w:val="clear" w:color="000000" w:fill="D2232A"/>
            <w:noWrap/>
            <w:vAlign w:val="center"/>
            <w:hideMark/>
          </w:tcPr>
          <w:p w14:paraId="0372A5CF" w14:textId="77777777" w:rsidR="004E5E90" w:rsidRPr="004E5E90" w:rsidRDefault="004E5E90" w:rsidP="004E5E90">
            <w:pPr>
              <w:spacing w:after="0" w:line="240" w:lineRule="auto"/>
              <w:rPr>
                <w:rFonts w:eastAsia="Times New Roman" w:cs="Arial"/>
                <w:b/>
                <w:bCs/>
                <w:color w:val="FFFFFF"/>
                <w:szCs w:val="18"/>
                <w:lang w:eastAsia="hr-HR"/>
              </w:rPr>
            </w:pPr>
            <w:r w:rsidRPr="004E5E90">
              <w:rPr>
                <w:rFonts w:eastAsia="Times New Roman" w:cs="Arial"/>
                <w:b/>
                <w:bCs/>
                <w:color w:val="FFFFFF"/>
                <w:szCs w:val="18"/>
                <w:lang w:eastAsia="hr-HR"/>
              </w:rPr>
              <w:t>Osobe od 15 do 29 godina</w:t>
            </w:r>
          </w:p>
        </w:tc>
        <w:tc>
          <w:tcPr>
            <w:tcW w:w="993" w:type="dxa"/>
            <w:tcBorders>
              <w:top w:val="nil"/>
              <w:left w:val="nil"/>
              <w:bottom w:val="single" w:sz="8" w:space="0" w:color="F3CFC1"/>
              <w:right w:val="single" w:sz="8" w:space="0" w:color="D2232A"/>
            </w:tcBorders>
            <w:shd w:val="clear" w:color="auto" w:fill="auto"/>
            <w:noWrap/>
            <w:vAlign w:val="center"/>
            <w:hideMark/>
          </w:tcPr>
          <w:p w14:paraId="604FBAC2" w14:textId="77777777" w:rsidR="004E5E90" w:rsidRPr="004E5E90" w:rsidRDefault="004E5E90" w:rsidP="004E5E90">
            <w:pPr>
              <w:spacing w:after="0" w:line="240" w:lineRule="auto"/>
              <w:jc w:val="right"/>
              <w:rPr>
                <w:rFonts w:eastAsia="Times New Roman" w:cs="Arial"/>
                <w:b/>
                <w:bCs/>
                <w:color w:val="3F3F3F"/>
                <w:szCs w:val="18"/>
                <w:lang w:eastAsia="hr-HR"/>
              </w:rPr>
            </w:pPr>
            <w:r w:rsidRPr="004E5E90">
              <w:rPr>
                <w:rFonts w:eastAsia="Times New Roman" w:cs="Calibri"/>
                <w:b/>
                <w:bCs/>
                <w:color w:val="3F3F3F"/>
                <w:szCs w:val="18"/>
                <w:lang w:eastAsia="hr-HR"/>
              </w:rPr>
              <w:t>2.144</w:t>
            </w:r>
          </w:p>
        </w:tc>
        <w:tc>
          <w:tcPr>
            <w:tcW w:w="993" w:type="dxa"/>
            <w:tcBorders>
              <w:top w:val="nil"/>
              <w:left w:val="nil"/>
              <w:bottom w:val="single" w:sz="8" w:space="0" w:color="F3CFC1"/>
              <w:right w:val="single" w:sz="8" w:space="0" w:color="D2232A"/>
            </w:tcBorders>
            <w:shd w:val="clear" w:color="auto" w:fill="auto"/>
            <w:noWrap/>
            <w:vAlign w:val="center"/>
            <w:hideMark/>
          </w:tcPr>
          <w:p w14:paraId="6DBC8608" w14:textId="77777777" w:rsidR="004E5E90" w:rsidRPr="004E5E90" w:rsidRDefault="004E5E90" w:rsidP="004E5E90">
            <w:pPr>
              <w:spacing w:after="0" w:line="240" w:lineRule="auto"/>
              <w:jc w:val="right"/>
              <w:rPr>
                <w:rFonts w:eastAsia="Times New Roman" w:cs="Arial"/>
                <w:b/>
                <w:bCs/>
                <w:color w:val="3F3F3F"/>
                <w:szCs w:val="18"/>
                <w:lang w:eastAsia="hr-HR"/>
              </w:rPr>
            </w:pPr>
            <w:r w:rsidRPr="004E5E90">
              <w:rPr>
                <w:rFonts w:eastAsia="Times New Roman" w:cs="Calibri"/>
                <w:b/>
                <w:bCs/>
                <w:color w:val="3F3F3F"/>
                <w:szCs w:val="18"/>
                <w:lang w:eastAsia="hr-HR"/>
              </w:rPr>
              <w:t>1.634</w:t>
            </w:r>
          </w:p>
        </w:tc>
        <w:tc>
          <w:tcPr>
            <w:tcW w:w="993" w:type="dxa"/>
            <w:tcBorders>
              <w:top w:val="nil"/>
              <w:left w:val="nil"/>
              <w:bottom w:val="single" w:sz="8" w:space="0" w:color="F3CFC1"/>
              <w:right w:val="single" w:sz="8" w:space="0" w:color="D2232A"/>
            </w:tcBorders>
            <w:shd w:val="clear" w:color="auto" w:fill="auto"/>
            <w:noWrap/>
            <w:vAlign w:val="center"/>
            <w:hideMark/>
          </w:tcPr>
          <w:p w14:paraId="746ECDC6" w14:textId="77777777" w:rsidR="004E5E90" w:rsidRPr="004E5E90" w:rsidRDefault="004E5E90" w:rsidP="004E5E90">
            <w:pPr>
              <w:spacing w:after="0" w:line="240" w:lineRule="auto"/>
              <w:jc w:val="right"/>
              <w:rPr>
                <w:rFonts w:eastAsia="Times New Roman" w:cs="Arial"/>
                <w:b/>
                <w:bCs/>
                <w:color w:val="3F3F3F"/>
                <w:szCs w:val="18"/>
                <w:lang w:eastAsia="hr-HR"/>
              </w:rPr>
            </w:pPr>
            <w:r w:rsidRPr="004E5E90">
              <w:rPr>
                <w:rFonts w:eastAsia="Times New Roman" w:cs="Calibri"/>
                <w:b/>
                <w:bCs/>
                <w:color w:val="3F3F3F"/>
                <w:szCs w:val="18"/>
                <w:lang w:eastAsia="hr-HR"/>
              </w:rPr>
              <w:t>1.074</w:t>
            </w:r>
          </w:p>
        </w:tc>
        <w:tc>
          <w:tcPr>
            <w:tcW w:w="993" w:type="dxa"/>
            <w:tcBorders>
              <w:top w:val="nil"/>
              <w:left w:val="nil"/>
              <w:bottom w:val="single" w:sz="8" w:space="0" w:color="F3CFC1"/>
              <w:right w:val="single" w:sz="8" w:space="0" w:color="D2232A"/>
            </w:tcBorders>
            <w:shd w:val="clear" w:color="auto" w:fill="auto"/>
            <w:noWrap/>
            <w:vAlign w:val="center"/>
            <w:hideMark/>
          </w:tcPr>
          <w:p w14:paraId="59D92249" w14:textId="77777777" w:rsidR="004E5E90" w:rsidRPr="004E5E90" w:rsidRDefault="004E5E90" w:rsidP="004E5E90">
            <w:pPr>
              <w:spacing w:after="0" w:line="240" w:lineRule="auto"/>
              <w:jc w:val="right"/>
              <w:rPr>
                <w:rFonts w:eastAsia="Times New Roman" w:cs="Arial"/>
                <w:b/>
                <w:bCs/>
                <w:color w:val="3F3F3F"/>
                <w:szCs w:val="18"/>
                <w:lang w:eastAsia="hr-HR"/>
              </w:rPr>
            </w:pPr>
            <w:r w:rsidRPr="004E5E90">
              <w:rPr>
                <w:rFonts w:eastAsia="Times New Roman" w:cs="Calibri"/>
                <w:b/>
                <w:bCs/>
                <w:color w:val="3F3F3F"/>
                <w:szCs w:val="18"/>
                <w:lang w:eastAsia="hr-HR"/>
              </w:rPr>
              <w:t>753</w:t>
            </w:r>
          </w:p>
        </w:tc>
        <w:tc>
          <w:tcPr>
            <w:tcW w:w="993" w:type="dxa"/>
            <w:tcBorders>
              <w:top w:val="nil"/>
              <w:left w:val="nil"/>
              <w:bottom w:val="single" w:sz="8" w:space="0" w:color="F3CFC1"/>
              <w:right w:val="single" w:sz="8" w:space="0" w:color="D2232A"/>
            </w:tcBorders>
            <w:shd w:val="clear" w:color="auto" w:fill="auto"/>
            <w:noWrap/>
            <w:vAlign w:val="center"/>
            <w:hideMark/>
          </w:tcPr>
          <w:p w14:paraId="7A052002" w14:textId="74348B0A" w:rsidR="004E5E90" w:rsidRPr="004E5E90" w:rsidRDefault="004E5E90" w:rsidP="004E5E90">
            <w:pPr>
              <w:spacing w:after="0" w:line="240" w:lineRule="auto"/>
              <w:jc w:val="right"/>
              <w:rPr>
                <w:rFonts w:eastAsia="Times New Roman" w:cs="Arial"/>
                <w:b/>
                <w:bCs/>
                <w:color w:val="3F3F3F"/>
                <w:szCs w:val="18"/>
                <w:lang w:eastAsia="hr-HR"/>
              </w:rPr>
            </w:pPr>
            <w:r w:rsidRPr="004E5E90">
              <w:rPr>
                <w:rFonts w:eastAsia="Times New Roman" w:cs="Calibri"/>
                <w:b/>
                <w:bCs/>
                <w:color w:val="3F3F3F"/>
                <w:szCs w:val="18"/>
                <w:lang w:eastAsia="hr-HR"/>
              </w:rPr>
              <w:t>6</w:t>
            </w:r>
            <w:r w:rsidR="0056580A">
              <w:rPr>
                <w:rFonts w:eastAsia="Times New Roman" w:cs="Calibri"/>
                <w:b/>
                <w:bCs/>
                <w:color w:val="3F3F3F"/>
                <w:szCs w:val="18"/>
                <w:lang w:eastAsia="hr-HR"/>
              </w:rPr>
              <w:t>52</w:t>
            </w:r>
          </w:p>
        </w:tc>
        <w:tc>
          <w:tcPr>
            <w:tcW w:w="993" w:type="dxa"/>
            <w:tcBorders>
              <w:top w:val="nil"/>
              <w:left w:val="nil"/>
              <w:bottom w:val="single" w:sz="8" w:space="0" w:color="F3CFC1"/>
              <w:right w:val="single" w:sz="8" w:space="0" w:color="D2232A"/>
            </w:tcBorders>
            <w:shd w:val="clear" w:color="auto" w:fill="auto"/>
            <w:noWrap/>
            <w:vAlign w:val="center"/>
            <w:hideMark/>
          </w:tcPr>
          <w:p w14:paraId="31A9F699" w14:textId="0D0DEB24" w:rsidR="004E5E90" w:rsidRPr="004E5E90" w:rsidRDefault="004E5E90" w:rsidP="004E5E90">
            <w:pPr>
              <w:spacing w:after="0" w:line="240" w:lineRule="auto"/>
              <w:jc w:val="right"/>
              <w:rPr>
                <w:rFonts w:eastAsia="Times New Roman" w:cs="Arial"/>
                <w:b/>
                <w:bCs/>
                <w:color w:val="3F3F3F"/>
                <w:szCs w:val="18"/>
                <w:lang w:eastAsia="hr-HR"/>
              </w:rPr>
            </w:pPr>
            <w:r w:rsidRPr="004E5E90">
              <w:rPr>
                <w:rFonts w:eastAsia="Times New Roman" w:cs="Arial"/>
                <w:b/>
                <w:bCs/>
                <w:color w:val="3F3F3F"/>
                <w:szCs w:val="18"/>
                <w:lang w:eastAsia="hr-HR"/>
              </w:rPr>
              <w:t>8</w:t>
            </w:r>
            <w:r w:rsidR="0056580A">
              <w:rPr>
                <w:rFonts w:eastAsia="Times New Roman" w:cs="Arial"/>
                <w:b/>
                <w:bCs/>
                <w:color w:val="3F3F3F"/>
                <w:szCs w:val="18"/>
                <w:lang w:eastAsia="hr-HR"/>
              </w:rPr>
              <w:t>21</w:t>
            </w:r>
          </w:p>
        </w:tc>
      </w:tr>
      <w:tr w:rsidR="004E5E90" w:rsidRPr="004E5E90" w14:paraId="43405E37" w14:textId="77777777" w:rsidTr="004E5E90">
        <w:trPr>
          <w:trHeight w:val="515"/>
        </w:trPr>
        <w:tc>
          <w:tcPr>
            <w:tcW w:w="3340" w:type="dxa"/>
            <w:tcBorders>
              <w:top w:val="nil"/>
              <w:left w:val="nil"/>
              <w:bottom w:val="single" w:sz="8" w:space="0" w:color="F3CFC1"/>
              <w:right w:val="nil"/>
            </w:tcBorders>
            <w:shd w:val="clear" w:color="000000" w:fill="D2232A"/>
            <w:noWrap/>
            <w:vAlign w:val="center"/>
            <w:hideMark/>
          </w:tcPr>
          <w:p w14:paraId="4538A5A3" w14:textId="77777777" w:rsidR="004E5E90" w:rsidRPr="004E5E90" w:rsidRDefault="004E5E90" w:rsidP="004E5E90">
            <w:pPr>
              <w:spacing w:after="0" w:line="240" w:lineRule="auto"/>
              <w:rPr>
                <w:rFonts w:eastAsia="Times New Roman" w:cs="Arial"/>
                <w:color w:val="FFFFFF"/>
                <w:szCs w:val="18"/>
                <w:lang w:eastAsia="hr-HR"/>
              </w:rPr>
            </w:pPr>
            <w:r w:rsidRPr="004E5E90">
              <w:rPr>
                <w:rFonts w:eastAsia="Times New Roman" w:cs="Arial"/>
                <w:color w:val="FFFFFF"/>
                <w:szCs w:val="18"/>
                <w:lang w:eastAsia="hr-HR"/>
              </w:rPr>
              <w:t>Udio mladih u ukupnom broju nezaposlenih</w:t>
            </w:r>
          </w:p>
        </w:tc>
        <w:tc>
          <w:tcPr>
            <w:tcW w:w="993" w:type="dxa"/>
            <w:tcBorders>
              <w:top w:val="nil"/>
              <w:left w:val="nil"/>
              <w:bottom w:val="single" w:sz="8" w:space="0" w:color="F3CFC1"/>
              <w:right w:val="single" w:sz="8" w:space="0" w:color="D2232A"/>
            </w:tcBorders>
            <w:shd w:val="clear" w:color="auto" w:fill="auto"/>
            <w:noWrap/>
            <w:vAlign w:val="center"/>
            <w:hideMark/>
          </w:tcPr>
          <w:p w14:paraId="29373668"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32%</w:t>
            </w:r>
          </w:p>
        </w:tc>
        <w:tc>
          <w:tcPr>
            <w:tcW w:w="993" w:type="dxa"/>
            <w:tcBorders>
              <w:top w:val="nil"/>
              <w:left w:val="nil"/>
              <w:bottom w:val="single" w:sz="8" w:space="0" w:color="F3CFC1"/>
              <w:right w:val="single" w:sz="8" w:space="0" w:color="D2232A"/>
            </w:tcBorders>
            <w:shd w:val="clear" w:color="auto" w:fill="auto"/>
            <w:noWrap/>
            <w:vAlign w:val="center"/>
            <w:hideMark/>
          </w:tcPr>
          <w:p w14:paraId="462F059A"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32%</w:t>
            </w:r>
          </w:p>
        </w:tc>
        <w:tc>
          <w:tcPr>
            <w:tcW w:w="993" w:type="dxa"/>
            <w:tcBorders>
              <w:top w:val="nil"/>
              <w:left w:val="nil"/>
              <w:bottom w:val="single" w:sz="8" w:space="0" w:color="F3CFC1"/>
              <w:right w:val="single" w:sz="8" w:space="0" w:color="D2232A"/>
            </w:tcBorders>
            <w:shd w:val="clear" w:color="auto" w:fill="auto"/>
            <w:noWrap/>
            <w:vAlign w:val="center"/>
            <w:hideMark/>
          </w:tcPr>
          <w:p w14:paraId="14F6CC46"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29%</w:t>
            </w:r>
          </w:p>
        </w:tc>
        <w:tc>
          <w:tcPr>
            <w:tcW w:w="993" w:type="dxa"/>
            <w:tcBorders>
              <w:top w:val="nil"/>
              <w:left w:val="nil"/>
              <w:bottom w:val="single" w:sz="8" w:space="0" w:color="F3CFC1"/>
              <w:right w:val="single" w:sz="8" w:space="0" w:color="D2232A"/>
            </w:tcBorders>
            <w:shd w:val="clear" w:color="auto" w:fill="auto"/>
            <w:noWrap/>
            <w:vAlign w:val="center"/>
            <w:hideMark/>
          </w:tcPr>
          <w:p w14:paraId="5B075F69"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27%</w:t>
            </w:r>
          </w:p>
        </w:tc>
        <w:tc>
          <w:tcPr>
            <w:tcW w:w="993" w:type="dxa"/>
            <w:tcBorders>
              <w:top w:val="nil"/>
              <w:left w:val="nil"/>
              <w:bottom w:val="single" w:sz="8" w:space="0" w:color="F3CFC1"/>
              <w:right w:val="single" w:sz="8" w:space="0" w:color="D2232A"/>
            </w:tcBorders>
            <w:shd w:val="clear" w:color="auto" w:fill="auto"/>
            <w:noWrap/>
            <w:vAlign w:val="center"/>
            <w:hideMark/>
          </w:tcPr>
          <w:p w14:paraId="44E43202"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28%</w:t>
            </w:r>
          </w:p>
        </w:tc>
        <w:tc>
          <w:tcPr>
            <w:tcW w:w="993" w:type="dxa"/>
            <w:tcBorders>
              <w:top w:val="nil"/>
              <w:left w:val="nil"/>
              <w:bottom w:val="single" w:sz="8" w:space="0" w:color="F3CFC1"/>
              <w:right w:val="single" w:sz="8" w:space="0" w:color="D2232A"/>
            </w:tcBorders>
            <w:shd w:val="clear" w:color="auto" w:fill="auto"/>
            <w:noWrap/>
            <w:vAlign w:val="center"/>
            <w:hideMark/>
          </w:tcPr>
          <w:p w14:paraId="015F6207"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Arial"/>
                <w:color w:val="3F3F3F"/>
                <w:szCs w:val="18"/>
                <w:lang w:eastAsia="hr-HR"/>
              </w:rPr>
              <w:t>31%</w:t>
            </w:r>
          </w:p>
        </w:tc>
      </w:tr>
      <w:tr w:rsidR="004E5E90" w:rsidRPr="004E5E90" w14:paraId="53602E2D" w14:textId="77777777" w:rsidTr="004E5E90">
        <w:trPr>
          <w:trHeight w:val="116"/>
        </w:trPr>
        <w:tc>
          <w:tcPr>
            <w:tcW w:w="3340" w:type="dxa"/>
            <w:tcBorders>
              <w:top w:val="nil"/>
              <w:left w:val="nil"/>
              <w:bottom w:val="single" w:sz="8" w:space="0" w:color="F3CFC1"/>
              <w:right w:val="nil"/>
            </w:tcBorders>
            <w:shd w:val="clear" w:color="000000" w:fill="D2232A"/>
            <w:noWrap/>
            <w:vAlign w:val="center"/>
            <w:hideMark/>
          </w:tcPr>
          <w:p w14:paraId="176B3C40" w14:textId="77777777" w:rsidR="004E5E90" w:rsidRPr="004E5E90" w:rsidRDefault="004E5E90" w:rsidP="004E5E90">
            <w:pPr>
              <w:spacing w:after="0" w:line="240" w:lineRule="auto"/>
              <w:rPr>
                <w:rFonts w:eastAsia="Times New Roman" w:cs="Arial"/>
                <w:color w:val="FFFFFF"/>
                <w:szCs w:val="18"/>
                <w:lang w:eastAsia="hr-HR"/>
              </w:rPr>
            </w:pPr>
            <w:r w:rsidRPr="004E5E90">
              <w:rPr>
                <w:rFonts w:eastAsia="Times New Roman" w:cs="Arial"/>
                <w:color w:val="FFFFFF"/>
                <w:szCs w:val="18"/>
                <w:lang w:eastAsia="hr-HR"/>
              </w:rPr>
              <w:t>Indeks (V</w:t>
            </w:r>
            <w:r w:rsidRPr="004E5E90">
              <w:rPr>
                <w:rFonts w:eastAsia="Times New Roman" w:cs="Arial"/>
                <w:color w:val="FFFFFF"/>
                <w:szCs w:val="18"/>
                <w:vertAlign w:val="subscript"/>
                <w:lang w:eastAsia="hr-HR"/>
              </w:rPr>
              <w:t>t</w:t>
            </w:r>
            <w:r w:rsidRPr="004E5E90">
              <w:rPr>
                <w:rFonts w:eastAsia="Times New Roman" w:cs="Arial"/>
                <w:color w:val="FFFFFF"/>
                <w:szCs w:val="18"/>
                <w:lang w:eastAsia="hr-HR"/>
              </w:rPr>
              <w:t>)</w:t>
            </w:r>
          </w:p>
        </w:tc>
        <w:tc>
          <w:tcPr>
            <w:tcW w:w="993" w:type="dxa"/>
            <w:tcBorders>
              <w:top w:val="nil"/>
              <w:left w:val="nil"/>
              <w:bottom w:val="single" w:sz="8" w:space="0" w:color="F3CFC1"/>
              <w:right w:val="single" w:sz="8" w:space="0" w:color="D2232A"/>
            </w:tcBorders>
            <w:shd w:val="clear" w:color="auto" w:fill="auto"/>
            <w:noWrap/>
            <w:vAlign w:val="center"/>
            <w:hideMark/>
          </w:tcPr>
          <w:p w14:paraId="07F32125"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w:t>
            </w:r>
          </w:p>
        </w:tc>
        <w:tc>
          <w:tcPr>
            <w:tcW w:w="993" w:type="dxa"/>
            <w:tcBorders>
              <w:top w:val="nil"/>
              <w:left w:val="nil"/>
              <w:bottom w:val="single" w:sz="8" w:space="0" w:color="F3CFC1"/>
              <w:right w:val="single" w:sz="8" w:space="0" w:color="D2232A"/>
            </w:tcBorders>
            <w:shd w:val="clear" w:color="auto" w:fill="auto"/>
            <w:noWrap/>
            <w:vAlign w:val="center"/>
            <w:hideMark/>
          </w:tcPr>
          <w:p w14:paraId="154B3D45"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76,21</w:t>
            </w:r>
          </w:p>
        </w:tc>
        <w:tc>
          <w:tcPr>
            <w:tcW w:w="993" w:type="dxa"/>
            <w:tcBorders>
              <w:top w:val="nil"/>
              <w:left w:val="nil"/>
              <w:bottom w:val="single" w:sz="8" w:space="0" w:color="F3CFC1"/>
              <w:right w:val="single" w:sz="8" w:space="0" w:color="D2232A"/>
            </w:tcBorders>
            <w:shd w:val="clear" w:color="auto" w:fill="auto"/>
            <w:noWrap/>
            <w:vAlign w:val="center"/>
            <w:hideMark/>
          </w:tcPr>
          <w:p w14:paraId="027A35B8"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65,73</w:t>
            </w:r>
          </w:p>
        </w:tc>
        <w:tc>
          <w:tcPr>
            <w:tcW w:w="993" w:type="dxa"/>
            <w:tcBorders>
              <w:top w:val="nil"/>
              <w:left w:val="nil"/>
              <w:bottom w:val="single" w:sz="8" w:space="0" w:color="F3CFC1"/>
              <w:right w:val="single" w:sz="8" w:space="0" w:color="D2232A"/>
            </w:tcBorders>
            <w:shd w:val="clear" w:color="auto" w:fill="auto"/>
            <w:noWrap/>
            <w:vAlign w:val="center"/>
            <w:hideMark/>
          </w:tcPr>
          <w:p w14:paraId="256B896B"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70,11</w:t>
            </w:r>
          </w:p>
        </w:tc>
        <w:tc>
          <w:tcPr>
            <w:tcW w:w="993" w:type="dxa"/>
            <w:tcBorders>
              <w:top w:val="nil"/>
              <w:left w:val="nil"/>
              <w:bottom w:val="single" w:sz="8" w:space="0" w:color="F3CFC1"/>
              <w:right w:val="single" w:sz="8" w:space="0" w:color="D2232A"/>
            </w:tcBorders>
            <w:shd w:val="clear" w:color="auto" w:fill="auto"/>
            <w:noWrap/>
            <w:vAlign w:val="center"/>
            <w:hideMark/>
          </w:tcPr>
          <w:p w14:paraId="2983A2D8" w14:textId="19DD06DA"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86,</w:t>
            </w:r>
            <w:r w:rsidR="0056580A">
              <w:rPr>
                <w:rFonts w:eastAsia="Times New Roman" w:cs="Calibri"/>
                <w:color w:val="3F3F3F"/>
                <w:szCs w:val="18"/>
                <w:lang w:eastAsia="hr-HR"/>
              </w:rPr>
              <w:t>59</w:t>
            </w:r>
          </w:p>
        </w:tc>
        <w:tc>
          <w:tcPr>
            <w:tcW w:w="993" w:type="dxa"/>
            <w:tcBorders>
              <w:top w:val="nil"/>
              <w:left w:val="nil"/>
              <w:bottom w:val="single" w:sz="8" w:space="0" w:color="F3CFC1"/>
              <w:right w:val="single" w:sz="8" w:space="0" w:color="D2232A"/>
            </w:tcBorders>
            <w:shd w:val="clear" w:color="auto" w:fill="auto"/>
            <w:noWrap/>
            <w:vAlign w:val="center"/>
            <w:hideMark/>
          </w:tcPr>
          <w:p w14:paraId="3A0B0233" w14:textId="160CC04A"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Arial"/>
                <w:color w:val="3F3F3F"/>
                <w:szCs w:val="18"/>
                <w:lang w:eastAsia="hr-HR"/>
              </w:rPr>
              <w:t>125,</w:t>
            </w:r>
            <w:r w:rsidR="0056580A">
              <w:rPr>
                <w:rFonts w:eastAsia="Times New Roman" w:cs="Arial"/>
                <w:color w:val="3F3F3F"/>
                <w:szCs w:val="18"/>
                <w:lang w:eastAsia="hr-HR"/>
              </w:rPr>
              <w:t>92</w:t>
            </w:r>
          </w:p>
        </w:tc>
      </w:tr>
      <w:tr w:rsidR="004E5E90" w:rsidRPr="004E5E90" w14:paraId="730126B0" w14:textId="77777777" w:rsidTr="004E5E90">
        <w:trPr>
          <w:trHeight w:val="282"/>
        </w:trPr>
        <w:tc>
          <w:tcPr>
            <w:tcW w:w="3340" w:type="dxa"/>
            <w:tcBorders>
              <w:top w:val="nil"/>
              <w:left w:val="nil"/>
              <w:bottom w:val="nil"/>
              <w:right w:val="nil"/>
            </w:tcBorders>
            <w:shd w:val="clear" w:color="000000" w:fill="D2232A"/>
            <w:noWrap/>
            <w:vAlign w:val="center"/>
            <w:hideMark/>
          </w:tcPr>
          <w:p w14:paraId="2BD85169" w14:textId="77777777" w:rsidR="004E5E90" w:rsidRPr="004E5E90" w:rsidRDefault="004E5E90" w:rsidP="004E5E90">
            <w:pPr>
              <w:spacing w:after="0" w:line="240" w:lineRule="auto"/>
              <w:rPr>
                <w:rFonts w:eastAsia="Times New Roman" w:cs="Arial"/>
                <w:color w:val="FFFFFF"/>
                <w:szCs w:val="18"/>
                <w:lang w:eastAsia="hr-HR"/>
              </w:rPr>
            </w:pPr>
            <w:r w:rsidRPr="004E5E90">
              <w:rPr>
                <w:rFonts w:eastAsia="Times New Roman" w:cs="Arial"/>
                <w:color w:val="FFFFFF"/>
                <w:szCs w:val="18"/>
                <w:lang w:eastAsia="hr-HR"/>
              </w:rPr>
              <w:t>Stopa promjene (S</w:t>
            </w:r>
            <w:r w:rsidRPr="004E5E90">
              <w:rPr>
                <w:rFonts w:eastAsia="Times New Roman" w:cs="Arial"/>
                <w:color w:val="FFFFFF"/>
                <w:szCs w:val="18"/>
                <w:vertAlign w:val="subscript"/>
                <w:lang w:eastAsia="hr-HR"/>
              </w:rPr>
              <w:t>t</w:t>
            </w:r>
            <w:r w:rsidRPr="004E5E90">
              <w:rPr>
                <w:rFonts w:eastAsia="Times New Roman" w:cs="Arial"/>
                <w:color w:val="FFFFFF"/>
                <w:szCs w:val="18"/>
                <w:lang w:eastAsia="hr-HR"/>
              </w:rPr>
              <w:t>)</w:t>
            </w:r>
          </w:p>
        </w:tc>
        <w:tc>
          <w:tcPr>
            <w:tcW w:w="993" w:type="dxa"/>
            <w:tcBorders>
              <w:top w:val="nil"/>
              <w:left w:val="nil"/>
              <w:bottom w:val="nil"/>
              <w:right w:val="single" w:sz="8" w:space="0" w:color="D2232A"/>
            </w:tcBorders>
            <w:shd w:val="clear" w:color="auto" w:fill="auto"/>
            <w:noWrap/>
            <w:vAlign w:val="center"/>
            <w:hideMark/>
          </w:tcPr>
          <w:p w14:paraId="24B7F38D"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w:t>
            </w:r>
          </w:p>
        </w:tc>
        <w:tc>
          <w:tcPr>
            <w:tcW w:w="993" w:type="dxa"/>
            <w:tcBorders>
              <w:top w:val="nil"/>
              <w:left w:val="nil"/>
              <w:bottom w:val="nil"/>
              <w:right w:val="single" w:sz="8" w:space="0" w:color="D2232A"/>
            </w:tcBorders>
            <w:shd w:val="clear" w:color="auto" w:fill="auto"/>
            <w:noWrap/>
            <w:vAlign w:val="center"/>
            <w:hideMark/>
          </w:tcPr>
          <w:p w14:paraId="400729DC"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-23,79</w:t>
            </w:r>
          </w:p>
        </w:tc>
        <w:tc>
          <w:tcPr>
            <w:tcW w:w="993" w:type="dxa"/>
            <w:tcBorders>
              <w:top w:val="nil"/>
              <w:left w:val="nil"/>
              <w:bottom w:val="nil"/>
              <w:right w:val="single" w:sz="8" w:space="0" w:color="D2232A"/>
            </w:tcBorders>
            <w:shd w:val="clear" w:color="auto" w:fill="auto"/>
            <w:noWrap/>
            <w:vAlign w:val="center"/>
            <w:hideMark/>
          </w:tcPr>
          <w:p w14:paraId="6DDDBB41"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-34,27</w:t>
            </w:r>
          </w:p>
        </w:tc>
        <w:tc>
          <w:tcPr>
            <w:tcW w:w="993" w:type="dxa"/>
            <w:tcBorders>
              <w:top w:val="nil"/>
              <w:left w:val="nil"/>
              <w:bottom w:val="nil"/>
              <w:right w:val="single" w:sz="8" w:space="0" w:color="D2232A"/>
            </w:tcBorders>
            <w:shd w:val="clear" w:color="auto" w:fill="auto"/>
            <w:noWrap/>
            <w:vAlign w:val="center"/>
            <w:hideMark/>
          </w:tcPr>
          <w:p w14:paraId="6E65A0C0" w14:textId="77777777"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-29,89</w:t>
            </w:r>
          </w:p>
        </w:tc>
        <w:tc>
          <w:tcPr>
            <w:tcW w:w="993" w:type="dxa"/>
            <w:tcBorders>
              <w:top w:val="nil"/>
              <w:left w:val="nil"/>
              <w:bottom w:val="nil"/>
              <w:right w:val="single" w:sz="8" w:space="0" w:color="D2232A"/>
            </w:tcBorders>
            <w:shd w:val="clear" w:color="auto" w:fill="auto"/>
            <w:noWrap/>
            <w:vAlign w:val="center"/>
            <w:hideMark/>
          </w:tcPr>
          <w:p w14:paraId="4BD4D492" w14:textId="6B0B895E"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Calibri"/>
                <w:color w:val="3F3F3F"/>
                <w:szCs w:val="18"/>
                <w:lang w:eastAsia="hr-HR"/>
              </w:rPr>
              <w:t>-13,</w:t>
            </w:r>
            <w:r w:rsidR="0056580A">
              <w:rPr>
                <w:rFonts w:eastAsia="Times New Roman" w:cs="Calibri"/>
                <w:color w:val="3F3F3F"/>
                <w:szCs w:val="18"/>
                <w:lang w:eastAsia="hr-HR"/>
              </w:rPr>
              <w:t>41</w:t>
            </w:r>
          </w:p>
        </w:tc>
        <w:tc>
          <w:tcPr>
            <w:tcW w:w="993" w:type="dxa"/>
            <w:tcBorders>
              <w:top w:val="nil"/>
              <w:left w:val="nil"/>
              <w:bottom w:val="nil"/>
              <w:right w:val="single" w:sz="8" w:space="0" w:color="D2232A"/>
            </w:tcBorders>
            <w:shd w:val="clear" w:color="auto" w:fill="auto"/>
            <w:noWrap/>
            <w:vAlign w:val="center"/>
            <w:hideMark/>
          </w:tcPr>
          <w:p w14:paraId="3EEBB164" w14:textId="22C96816" w:rsidR="004E5E90" w:rsidRPr="004E5E90" w:rsidRDefault="004E5E90" w:rsidP="004E5E90">
            <w:pPr>
              <w:spacing w:after="0" w:line="240" w:lineRule="auto"/>
              <w:jc w:val="right"/>
              <w:rPr>
                <w:rFonts w:eastAsia="Times New Roman" w:cs="Arial"/>
                <w:color w:val="3F3F3F"/>
                <w:szCs w:val="18"/>
                <w:lang w:eastAsia="hr-HR"/>
              </w:rPr>
            </w:pPr>
            <w:r w:rsidRPr="004E5E90">
              <w:rPr>
                <w:rFonts w:eastAsia="Times New Roman" w:cs="Arial"/>
                <w:color w:val="3F3F3F"/>
                <w:szCs w:val="18"/>
                <w:lang w:eastAsia="hr-HR"/>
              </w:rPr>
              <w:t>25,</w:t>
            </w:r>
            <w:r w:rsidR="0056580A">
              <w:rPr>
                <w:rFonts w:eastAsia="Times New Roman" w:cs="Arial"/>
                <w:color w:val="3F3F3F"/>
                <w:szCs w:val="18"/>
                <w:lang w:eastAsia="hr-HR"/>
              </w:rPr>
              <w:t>92</w:t>
            </w:r>
          </w:p>
        </w:tc>
      </w:tr>
    </w:tbl>
    <w:p w14:paraId="6160A057" w14:textId="34367932" w:rsidR="00722DDE" w:rsidRPr="008B5667" w:rsidRDefault="004E5E90" w:rsidP="008B5667">
      <w:pPr>
        <w:autoSpaceDE w:val="0"/>
        <w:autoSpaceDN w:val="0"/>
        <w:adjustRightInd w:val="0"/>
        <w:spacing w:after="0" w:line="240" w:lineRule="auto"/>
        <w:rPr>
          <w:rFonts w:eastAsia="ArialNarrow" w:cstheme="minorHAnsi"/>
          <w:i/>
          <w:color w:val="ABABAB" w:themeColor="text1" w:themeTint="A6"/>
          <w:sz w:val="16"/>
          <w:szCs w:val="16"/>
        </w:rPr>
      </w:pPr>
      <w:r>
        <w:fldChar w:fldCharType="end"/>
      </w:r>
      <w:r w:rsidR="00722DDE" w:rsidRPr="008B5667">
        <w:rPr>
          <w:rFonts w:eastAsia="ArialNarrow" w:cstheme="minorHAnsi"/>
          <w:i/>
          <w:color w:val="ABABAB" w:themeColor="text1" w:themeTint="A6"/>
          <w:sz w:val="16"/>
          <w:szCs w:val="16"/>
        </w:rPr>
        <w:t>Izvor: Hrvatski zavod za zapošljavanje, Statistika On-line: Registrirana nezaposlenost (</w:t>
      </w:r>
      <w:r w:rsidR="0056580A" w:rsidRPr="008B5667">
        <w:rPr>
          <w:rFonts w:eastAsia="ArialNarrow" w:cstheme="minorHAnsi"/>
          <w:i/>
          <w:color w:val="ABABAB" w:themeColor="text1" w:themeTint="A6"/>
          <w:sz w:val="16"/>
          <w:szCs w:val="16"/>
        </w:rPr>
        <w:t>veljača</w:t>
      </w:r>
      <w:r w:rsidR="00722DDE" w:rsidRPr="008B5667">
        <w:rPr>
          <w:rFonts w:eastAsia="ArialNarrow" w:cstheme="minorHAnsi"/>
          <w:i/>
          <w:color w:val="ABABAB" w:themeColor="text1" w:themeTint="A6"/>
          <w:sz w:val="16"/>
          <w:szCs w:val="16"/>
        </w:rPr>
        <w:t>, 20</w:t>
      </w:r>
      <w:r w:rsidR="0056580A" w:rsidRPr="008B5667">
        <w:rPr>
          <w:rFonts w:eastAsia="ArialNarrow" w:cstheme="minorHAnsi"/>
          <w:i/>
          <w:color w:val="ABABAB" w:themeColor="text1" w:themeTint="A6"/>
          <w:sz w:val="16"/>
          <w:szCs w:val="16"/>
        </w:rPr>
        <w:t>21</w:t>
      </w:r>
      <w:r w:rsidR="00722DDE" w:rsidRPr="008B5667">
        <w:rPr>
          <w:rFonts w:eastAsia="ArialNarrow" w:cstheme="minorHAnsi"/>
          <w:i/>
          <w:color w:val="ABABAB" w:themeColor="text1" w:themeTint="A6"/>
          <w:sz w:val="16"/>
          <w:szCs w:val="16"/>
        </w:rPr>
        <w:t>.)</w:t>
      </w:r>
    </w:p>
    <w:p w14:paraId="28D44F54" w14:textId="77777777" w:rsidR="008717BF" w:rsidRPr="008717BF" w:rsidRDefault="008717BF" w:rsidP="003C2276">
      <w:pPr>
        <w:pStyle w:val="Izvor"/>
        <w:rPr>
          <w:i/>
          <w:color w:val="ABABAB" w:themeColor="text1" w:themeTint="A6"/>
          <w:sz w:val="16"/>
          <w:szCs w:val="16"/>
        </w:rPr>
      </w:pPr>
    </w:p>
    <w:p w14:paraId="52F4161A" w14:textId="1265C228" w:rsidR="00722DDE" w:rsidRDefault="00722DDE" w:rsidP="00722DDE">
      <w:r w:rsidRPr="00005BB9">
        <w:t xml:space="preserve">U strukturi mladih nezaposlenih osoba prema spolu prevladavaju žene. Njihov udio </w:t>
      </w:r>
      <w:r>
        <w:t xml:space="preserve">porastao je s </w:t>
      </w:r>
      <w:r w:rsidRPr="00005BB9">
        <w:t xml:space="preserve">55% u 2015. godini </w:t>
      </w:r>
      <w:r>
        <w:t>na</w:t>
      </w:r>
      <w:r w:rsidRPr="00005BB9">
        <w:t xml:space="preserve"> 66% u 2017. i 2018. godini.</w:t>
      </w:r>
      <w:r w:rsidR="00525E33">
        <w:t xml:space="preserve"> Nakon 2018. udio žena se smanjuje, no i dalje prelazi 60%. Tijekom 2019. godine udio žena se smanjio na 63%, dok je za razdoblje d</w:t>
      </w:r>
      <w:r w:rsidR="0035709A">
        <w:t xml:space="preserve">o prosinca </w:t>
      </w:r>
      <w:r w:rsidR="00525E33">
        <w:t xml:space="preserve">2020. došlo do dodatnog smanjenja te sada iznosi 61%. </w:t>
      </w:r>
    </w:p>
    <w:p w14:paraId="7900BDE1" w14:textId="77777777" w:rsidR="00722DDE" w:rsidRDefault="00722DDE" w:rsidP="00722DDE"/>
    <w:p w14:paraId="2C816A29" w14:textId="4DB95918" w:rsidR="00722DDE" w:rsidRDefault="00722DDE" w:rsidP="003E3F3C">
      <w:pPr>
        <w:pStyle w:val="Opisslike"/>
      </w:pPr>
      <w:r>
        <w:t xml:space="preserve">Grafikon </w:t>
      </w:r>
      <w:r w:rsidR="008B5667">
        <w:rPr>
          <w:noProof/>
        </w:rPr>
        <w:t>3</w:t>
      </w:r>
      <w:r w:rsidR="00CF4B96">
        <w:rPr>
          <w:noProof/>
        </w:rPr>
        <w:t>8</w:t>
      </w:r>
      <w:r>
        <w:rPr>
          <w:noProof/>
        </w:rPr>
        <w:t>.</w:t>
      </w:r>
      <w:r>
        <w:t xml:space="preserve"> Broj mladih osoba (15-29 godina) na području Krapinsko-zagorske županije prijavljenih u evidenciju Hrvatskog zavoda za zapošljavanje (2015.-20</w:t>
      </w:r>
      <w:r w:rsidR="00472E88">
        <w:t>20</w:t>
      </w:r>
      <w:r>
        <w:t>.)</w:t>
      </w:r>
    </w:p>
    <w:p w14:paraId="7BD25F76" w14:textId="19B264AB" w:rsidR="00722DDE" w:rsidRDefault="00EB21CB" w:rsidP="001E611A">
      <w:pPr>
        <w:spacing w:after="0"/>
        <w:rPr>
          <w:sz w:val="22"/>
          <w:szCs w:val="22"/>
          <w:highlight w:val="yellow"/>
        </w:rPr>
      </w:pPr>
      <w:r>
        <w:rPr>
          <w:noProof/>
        </w:rPr>
        <w:drawing>
          <wp:inline distT="0" distB="0" distL="0" distR="0" wp14:anchorId="6BCCBA7A" wp14:editId="354F9A07">
            <wp:extent cx="5890260" cy="2562225"/>
            <wp:effectExtent l="0" t="0" r="15240" b="9525"/>
            <wp:docPr id="60" name="Grafikon 60">
              <a:extLst xmlns:a="http://schemas.openxmlformats.org/drawingml/2006/main">
                <a:ext uri="{FF2B5EF4-FFF2-40B4-BE49-F238E27FC236}">
                  <a16:creationId xmlns:a16="http://schemas.microsoft.com/office/drawing/2014/main" id="{A3D392CB-5778-4F4D-BA21-7709610F19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6D4AC52D" w14:textId="49D4D875" w:rsidR="00722DDE" w:rsidRPr="008B5667" w:rsidRDefault="00722DDE" w:rsidP="008B5667">
      <w:pPr>
        <w:autoSpaceDE w:val="0"/>
        <w:autoSpaceDN w:val="0"/>
        <w:adjustRightInd w:val="0"/>
        <w:spacing w:after="0" w:line="240" w:lineRule="auto"/>
        <w:rPr>
          <w:rFonts w:eastAsia="ArialNarrow" w:cstheme="minorHAnsi"/>
          <w:i/>
          <w:color w:val="ABABAB" w:themeColor="text1" w:themeTint="A6"/>
          <w:sz w:val="16"/>
          <w:szCs w:val="16"/>
        </w:rPr>
      </w:pPr>
      <w:r w:rsidRPr="008B5667">
        <w:rPr>
          <w:rFonts w:eastAsia="ArialNarrow" w:cstheme="minorHAnsi"/>
          <w:i/>
          <w:color w:val="ABABAB" w:themeColor="text1" w:themeTint="A6"/>
          <w:sz w:val="16"/>
          <w:szCs w:val="16"/>
        </w:rPr>
        <w:t>Izvor: Hrvatski zavod za zapošljavanje, Statistika On-line: Registrirana nezaposlenost (</w:t>
      </w:r>
      <w:r w:rsidR="00806EC7" w:rsidRPr="008B5667">
        <w:rPr>
          <w:rFonts w:eastAsia="ArialNarrow" w:cstheme="minorHAnsi"/>
          <w:i/>
          <w:color w:val="ABABAB" w:themeColor="text1" w:themeTint="A6"/>
          <w:sz w:val="16"/>
          <w:szCs w:val="16"/>
        </w:rPr>
        <w:t>veljača</w:t>
      </w:r>
      <w:r w:rsidRPr="008B5667">
        <w:rPr>
          <w:rFonts w:eastAsia="ArialNarrow" w:cstheme="minorHAnsi"/>
          <w:i/>
          <w:color w:val="ABABAB" w:themeColor="text1" w:themeTint="A6"/>
          <w:sz w:val="16"/>
          <w:szCs w:val="16"/>
        </w:rPr>
        <w:t>, 20</w:t>
      </w:r>
      <w:r w:rsidR="00806EC7" w:rsidRPr="008B5667">
        <w:rPr>
          <w:rFonts w:eastAsia="ArialNarrow" w:cstheme="minorHAnsi"/>
          <w:i/>
          <w:color w:val="ABABAB" w:themeColor="text1" w:themeTint="A6"/>
          <w:sz w:val="16"/>
          <w:szCs w:val="16"/>
        </w:rPr>
        <w:t>21</w:t>
      </w:r>
      <w:r w:rsidRPr="008B5667">
        <w:rPr>
          <w:rFonts w:eastAsia="ArialNarrow" w:cstheme="minorHAnsi"/>
          <w:i/>
          <w:color w:val="ABABAB" w:themeColor="text1" w:themeTint="A6"/>
          <w:sz w:val="16"/>
          <w:szCs w:val="16"/>
        </w:rPr>
        <w:t>.)</w:t>
      </w:r>
    </w:p>
    <w:p w14:paraId="687B44FC" w14:textId="112808C6" w:rsidR="00722DDE" w:rsidRDefault="00722DDE" w:rsidP="00722DDE">
      <w:r>
        <w:lastRenderedPageBreak/>
        <w:t xml:space="preserve">Prema stupnju obrazovanja najviše nezaposlenih mladih osoba prijavljeno je na Zavod za zapošljavanje sa završenom srednjom školom, a zatim sa završenim fakultetskim obrazovanjem. Prema podacima Hrvatskog zavoda za zapošljavanje u 2018. godini na Zavodu su bile ukupno prijavljene 753 osobe od 15 do 29 godina starosti od kojih je 543, tj. 72% imalo završenu srednju školu, a 191, odnosno 25%, imalo je stečeno fakultetsko obrazovanje. </w:t>
      </w:r>
    </w:p>
    <w:p w14:paraId="47E54A07" w14:textId="77777777" w:rsidR="006A7056" w:rsidRDefault="006A7056" w:rsidP="00722DDE"/>
    <w:p w14:paraId="5C125847" w14:textId="275FF24F" w:rsidR="00722DDE" w:rsidRDefault="00722DDE" w:rsidP="003E3F3C">
      <w:pPr>
        <w:pStyle w:val="Opisslike"/>
      </w:pPr>
      <w:r>
        <w:t>Grafikon</w:t>
      </w:r>
      <w:r w:rsidR="008B5667">
        <w:t xml:space="preserve"> </w:t>
      </w:r>
      <w:r w:rsidR="008B5667">
        <w:rPr>
          <w:noProof/>
        </w:rPr>
        <w:t>3</w:t>
      </w:r>
      <w:r w:rsidR="00CF4B96">
        <w:rPr>
          <w:noProof/>
        </w:rPr>
        <w:t>9</w:t>
      </w:r>
      <w:r>
        <w:rPr>
          <w:noProof/>
        </w:rPr>
        <w:t>.</w:t>
      </w:r>
      <w:r>
        <w:t xml:space="preserve"> Registrirana nezaposlenost mladih od 15 do 29 godina na području Krapinsko-zagorske županije prema stupnju obrazovanja (2015.-20</w:t>
      </w:r>
      <w:r w:rsidR="00786618">
        <w:t>20</w:t>
      </w:r>
      <w:r>
        <w:t>.)</w:t>
      </w:r>
    </w:p>
    <w:p w14:paraId="46D188BD" w14:textId="2B117E81" w:rsidR="00722DDE" w:rsidRDefault="00A02CBA" w:rsidP="00786618">
      <w:pPr>
        <w:spacing w:after="0"/>
        <w:rPr>
          <w:sz w:val="22"/>
          <w:szCs w:val="22"/>
          <w:highlight w:val="yellow"/>
        </w:rPr>
      </w:pPr>
      <w:r>
        <w:rPr>
          <w:noProof/>
        </w:rPr>
        <w:drawing>
          <wp:inline distT="0" distB="0" distL="0" distR="0" wp14:anchorId="592ED29C" wp14:editId="673FC76A">
            <wp:extent cx="5897880" cy="2636520"/>
            <wp:effectExtent l="0" t="0" r="7620" b="11430"/>
            <wp:docPr id="13" name="Grafikon 13">
              <a:extLst xmlns:a="http://schemas.openxmlformats.org/drawingml/2006/main">
                <a:ext uri="{FF2B5EF4-FFF2-40B4-BE49-F238E27FC236}">
                  <a16:creationId xmlns:a16="http://schemas.microsoft.com/office/drawing/2014/main" id="{B60DDC53-DF55-4554-9198-51EF7BCE13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6F77988B" w14:textId="5C4EF8C8" w:rsidR="00722DDE" w:rsidRDefault="00722DDE" w:rsidP="008B5667">
      <w:pPr>
        <w:autoSpaceDE w:val="0"/>
        <w:autoSpaceDN w:val="0"/>
        <w:adjustRightInd w:val="0"/>
        <w:spacing w:after="0" w:line="240" w:lineRule="auto"/>
        <w:rPr>
          <w:rFonts w:eastAsia="ArialNarrow" w:cstheme="minorHAnsi"/>
          <w:i/>
          <w:color w:val="ABABAB" w:themeColor="text1" w:themeTint="A6"/>
          <w:sz w:val="16"/>
          <w:szCs w:val="16"/>
        </w:rPr>
      </w:pPr>
      <w:r w:rsidRPr="008B5667">
        <w:rPr>
          <w:rFonts w:eastAsia="ArialNarrow" w:cstheme="minorHAnsi"/>
          <w:i/>
          <w:color w:val="ABABAB" w:themeColor="text1" w:themeTint="A6"/>
          <w:sz w:val="16"/>
          <w:szCs w:val="16"/>
        </w:rPr>
        <w:t>Izvor: Hrvatski zavod za zapošljavanje, Statistika On-line: Registrirana nezaposlenost (</w:t>
      </w:r>
      <w:r w:rsidR="00A02CBA" w:rsidRPr="008B5667">
        <w:rPr>
          <w:rFonts w:eastAsia="ArialNarrow" w:cstheme="minorHAnsi"/>
          <w:i/>
          <w:color w:val="ABABAB" w:themeColor="text1" w:themeTint="A6"/>
          <w:sz w:val="16"/>
          <w:szCs w:val="16"/>
        </w:rPr>
        <w:t>veljača</w:t>
      </w:r>
      <w:r w:rsidRPr="008B5667">
        <w:rPr>
          <w:rFonts w:eastAsia="ArialNarrow" w:cstheme="minorHAnsi"/>
          <w:i/>
          <w:color w:val="ABABAB" w:themeColor="text1" w:themeTint="A6"/>
          <w:sz w:val="16"/>
          <w:szCs w:val="16"/>
        </w:rPr>
        <w:t>, 20</w:t>
      </w:r>
      <w:r w:rsidR="00A02CBA" w:rsidRPr="008B5667">
        <w:rPr>
          <w:rFonts w:eastAsia="ArialNarrow" w:cstheme="minorHAnsi"/>
          <w:i/>
          <w:color w:val="ABABAB" w:themeColor="text1" w:themeTint="A6"/>
          <w:sz w:val="16"/>
          <w:szCs w:val="16"/>
        </w:rPr>
        <w:t>2</w:t>
      </w:r>
      <w:r w:rsidR="004C1634" w:rsidRPr="008B5667">
        <w:rPr>
          <w:rFonts w:eastAsia="ArialNarrow" w:cstheme="minorHAnsi"/>
          <w:i/>
          <w:color w:val="ABABAB" w:themeColor="text1" w:themeTint="A6"/>
          <w:sz w:val="16"/>
          <w:szCs w:val="16"/>
        </w:rPr>
        <w:t>1</w:t>
      </w:r>
      <w:r w:rsidRPr="008B5667">
        <w:rPr>
          <w:rFonts w:eastAsia="ArialNarrow" w:cstheme="minorHAnsi"/>
          <w:i/>
          <w:color w:val="ABABAB" w:themeColor="text1" w:themeTint="A6"/>
          <w:sz w:val="16"/>
          <w:szCs w:val="16"/>
        </w:rPr>
        <w:t>.)</w:t>
      </w:r>
    </w:p>
    <w:p w14:paraId="5CAB082A" w14:textId="77777777" w:rsidR="008B5667" w:rsidRPr="008B5667" w:rsidRDefault="008B5667" w:rsidP="008B5667">
      <w:pPr>
        <w:autoSpaceDE w:val="0"/>
        <w:autoSpaceDN w:val="0"/>
        <w:adjustRightInd w:val="0"/>
        <w:spacing w:after="0" w:line="240" w:lineRule="auto"/>
        <w:rPr>
          <w:rFonts w:eastAsia="ArialNarrow" w:cstheme="minorHAnsi"/>
          <w:i/>
          <w:color w:val="ABABAB" w:themeColor="text1" w:themeTint="A6"/>
          <w:sz w:val="16"/>
          <w:szCs w:val="16"/>
        </w:rPr>
      </w:pPr>
    </w:p>
    <w:p w14:paraId="31B4FB79" w14:textId="22EE9694" w:rsidR="00722DDE" w:rsidRDefault="00722DDE" w:rsidP="00722DDE">
      <w:r>
        <w:t>Najviše mladih nezaposlenih osoba prijavljenih na Zavod nema radno iskustvo. U 20</w:t>
      </w:r>
      <w:r w:rsidR="00A02CBA">
        <w:t>20</w:t>
      </w:r>
      <w:r>
        <w:t>. godini evidentiran</w:t>
      </w:r>
      <w:r w:rsidR="00945430">
        <w:t>a</w:t>
      </w:r>
      <w:r>
        <w:t xml:space="preserve"> je 2</w:t>
      </w:r>
      <w:r w:rsidR="00945430">
        <w:t>81</w:t>
      </w:r>
      <w:r>
        <w:t xml:space="preserve"> mlad</w:t>
      </w:r>
      <w:r w:rsidR="00945430">
        <w:t>a</w:t>
      </w:r>
      <w:r>
        <w:t xml:space="preserve"> osoba (3</w:t>
      </w:r>
      <w:r w:rsidR="00945430">
        <w:t>4</w:t>
      </w:r>
      <w:r>
        <w:t xml:space="preserve">%) bez radnog iskustva što je </w:t>
      </w:r>
      <w:r w:rsidR="00945430">
        <w:t>povećanje</w:t>
      </w:r>
      <w:r>
        <w:t xml:space="preserve"> od </w:t>
      </w:r>
      <w:r w:rsidR="00945430">
        <w:t>14,69</w:t>
      </w:r>
      <w:r>
        <w:t>% u odnosu na godinu prije. Slijede osobe s 1 – 2 godine radnog iskustva (1</w:t>
      </w:r>
      <w:r w:rsidR="00945430">
        <w:t>69</w:t>
      </w:r>
      <w:r>
        <w:t xml:space="preserve"> ili 2</w:t>
      </w:r>
      <w:r w:rsidR="00945430">
        <w:t>1</w:t>
      </w:r>
      <w:r>
        <w:t>%) te osobe s manje od 1 godine radnog iskustva (</w:t>
      </w:r>
      <w:r w:rsidR="00945430">
        <w:t>127</w:t>
      </w:r>
      <w:r>
        <w:t xml:space="preserve"> ili 1</w:t>
      </w:r>
      <w:r w:rsidR="00945430">
        <w:t>6</w:t>
      </w:r>
      <w:r>
        <w:t>%).</w:t>
      </w:r>
      <w:r w:rsidR="00660406">
        <w:t xml:space="preserve"> U 2020. godine dolazi </w:t>
      </w:r>
      <w:r w:rsidR="00945430">
        <w:t xml:space="preserve">i </w:t>
      </w:r>
      <w:r w:rsidR="00660406">
        <w:t>do povećanja ukupnog broja mladih nezaposlenih osoba za 2</w:t>
      </w:r>
      <w:r w:rsidR="00945430">
        <w:t>5,89</w:t>
      </w:r>
      <w:r w:rsidR="00660406">
        <w:t>% u odnosu na 2019. godinu.</w:t>
      </w:r>
      <w:r w:rsidR="00ED6F8D">
        <w:t xml:space="preserve"> Do </w:t>
      </w:r>
      <w:r w:rsidR="00945430">
        <w:t>prosinca</w:t>
      </w:r>
      <w:r w:rsidR="00ED6F8D">
        <w:t xml:space="preserve"> 2020. najviše se povećao broj nezaposlenih osoba s 3-5 godina radnog iskustva (povećanje za 6</w:t>
      </w:r>
      <w:r w:rsidR="00945430">
        <w:t>4,91</w:t>
      </w:r>
      <w:r w:rsidR="00ED6F8D">
        <w:t>% u odnosu na 2019).</w:t>
      </w:r>
    </w:p>
    <w:p w14:paraId="07200D0E" w14:textId="77777777" w:rsidR="00722DDE" w:rsidRDefault="00722DDE" w:rsidP="00722DDE">
      <w:pPr>
        <w:rPr>
          <w:highlight w:val="yellow"/>
        </w:rPr>
      </w:pPr>
    </w:p>
    <w:p w14:paraId="73A1791F" w14:textId="436BDACD" w:rsidR="00722DDE" w:rsidRPr="00AE15D8" w:rsidRDefault="00722DDE" w:rsidP="003E3F3C">
      <w:pPr>
        <w:pStyle w:val="Opisslike"/>
      </w:pPr>
      <w:r>
        <w:t xml:space="preserve">Grafikon </w:t>
      </w:r>
      <w:r w:rsidR="00CF4B96">
        <w:rPr>
          <w:noProof/>
        </w:rPr>
        <w:t>40</w:t>
      </w:r>
      <w:r>
        <w:rPr>
          <w:noProof/>
        </w:rPr>
        <w:t>.</w:t>
      </w:r>
      <w:r>
        <w:t xml:space="preserve"> Registrirana nezaposlenost mladih od 15 do 29 godina na području Krapinsko-zagorske županije prema godinama radnog staža (2015.-20</w:t>
      </w:r>
      <w:r w:rsidR="00945430">
        <w:t>20</w:t>
      </w:r>
      <w:r>
        <w:t>.)</w:t>
      </w:r>
    </w:p>
    <w:p w14:paraId="14B08C75" w14:textId="41805578" w:rsidR="00722DDE" w:rsidRDefault="00945430" w:rsidP="008B5667">
      <w:pPr>
        <w:spacing w:after="0"/>
        <w:rPr>
          <w:sz w:val="22"/>
          <w:szCs w:val="22"/>
          <w:highlight w:val="yellow"/>
        </w:rPr>
      </w:pPr>
      <w:r>
        <w:rPr>
          <w:noProof/>
        </w:rPr>
        <w:drawing>
          <wp:inline distT="0" distB="0" distL="0" distR="0" wp14:anchorId="735BAD70" wp14:editId="1F77D800">
            <wp:extent cx="5958840" cy="2743200"/>
            <wp:effectExtent l="0" t="0" r="3810" b="0"/>
            <wp:docPr id="14" name="Grafikon 14">
              <a:extLst xmlns:a="http://schemas.openxmlformats.org/drawingml/2006/main">
                <a:ext uri="{FF2B5EF4-FFF2-40B4-BE49-F238E27FC236}">
                  <a16:creationId xmlns:a16="http://schemas.microsoft.com/office/drawing/2014/main" id="{F09C1491-F159-4ED2-9E40-556A8F472E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54091116" w14:textId="58E7CF14" w:rsidR="00722DDE" w:rsidRPr="008B5667" w:rsidRDefault="00722DDE" w:rsidP="008B5667">
      <w:pPr>
        <w:autoSpaceDE w:val="0"/>
        <w:autoSpaceDN w:val="0"/>
        <w:adjustRightInd w:val="0"/>
        <w:spacing w:after="0" w:line="240" w:lineRule="auto"/>
        <w:rPr>
          <w:rFonts w:eastAsia="ArialNarrow" w:cstheme="minorHAnsi"/>
          <w:i/>
          <w:color w:val="ABABAB" w:themeColor="text1" w:themeTint="A6"/>
          <w:sz w:val="16"/>
          <w:szCs w:val="16"/>
        </w:rPr>
      </w:pPr>
      <w:bookmarkStart w:id="132" w:name="_Hlk64400992"/>
      <w:r w:rsidRPr="008B5667">
        <w:rPr>
          <w:rFonts w:eastAsia="ArialNarrow" w:cstheme="minorHAnsi"/>
          <w:i/>
          <w:color w:val="ABABAB" w:themeColor="text1" w:themeTint="A6"/>
          <w:sz w:val="16"/>
          <w:szCs w:val="16"/>
        </w:rPr>
        <w:t>Izvor: Hrvatski zavod za zapošljavanje, Statistika On-line: Registrirana nezaposlenost (</w:t>
      </w:r>
      <w:r w:rsidR="008A6F45" w:rsidRPr="008B5667">
        <w:rPr>
          <w:rFonts w:eastAsia="ArialNarrow" w:cstheme="minorHAnsi"/>
          <w:i/>
          <w:color w:val="ABABAB" w:themeColor="text1" w:themeTint="A6"/>
          <w:sz w:val="16"/>
          <w:szCs w:val="16"/>
        </w:rPr>
        <w:t>veljača</w:t>
      </w:r>
      <w:r w:rsidRPr="008B5667">
        <w:rPr>
          <w:rFonts w:eastAsia="ArialNarrow" w:cstheme="minorHAnsi"/>
          <w:i/>
          <w:color w:val="ABABAB" w:themeColor="text1" w:themeTint="A6"/>
          <w:sz w:val="16"/>
          <w:szCs w:val="16"/>
        </w:rPr>
        <w:t>, 20</w:t>
      </w:r>
      <w:r w:rsidR="008A6F45" w:rsidRPr="008B5667">
        <w:rPr>
          <w:rFonts w:eastAsia="ArialNarrow" w:cstheme="minorHAnsi"/>
          <w:i/>
          <w:color w:val="ABABAB" w:themeColor="text1" w:themeTint="A6"/>
          <w:sz w:val="16"/>
          <w:szCs w:val="16"/>
        </w:rPr>
        <w:t>2</w:t>
      </w:r>
      <w:r w:rsidR="004C1634" w:rsidRPr="008B5667">
        <w:rPr>
          <w:rFonts w:eastAsia="ArialNarrow" w:cstheme="minorHAnsi"/>
          <w:i/>
          <w:color w:val="ABABAB" w:themeColor="text1" w:themeTint="A6"/>
          <w:sz w:val="16"/>
          <w:szCs w:val="16"/>
        </w:rPr>
        <w:t>1</w:t>
      </w:r>
      <w:r w:rsidRPr="008B5667">
        <w:rPr>
          <w:rFonts w:eastAsia="ArialNarrow" w:cstheme="minorHAnsi"/>
          <w:i/>
          <w:color w:val="ABABAB" w:themeColor="text1" w:themeTint="A6"/>
          <w:sz w:val="16"/>
          <w:szCs w:val="16"/>
        </w:rPr>
        <w:t>.)</w:t>
      </w:r>
    </w:p>
    <w:bookmarkEnd w:id="132"/>
    <w:p w14:paraId="7AE155C0" w14:textId="77777777" w:rsidR="00722DDE" w:rsidRDefault="00722DDE" w:rsidP="00722DDE">
      <w:pPr>
        <w:rPr>
          <w:sz w:val="22"/>
          <w:szCs w:val="22"/>
          <w:highlight w:val="yellow"/>
        </w:rPr>
      </w:pPr>
    </w:p>
    <w:p w14:paraId="2E005DE4" w14:textId="35638934" w:rsidR="004A5CA3" w:rsidRDefault="00722DDE" w:rsidP="00722DDE">
      <w:r w:rsidRPr="00A95348">
        <w:lastRenderedPageBreak/>
        <w:t xml:space="preserve">Problematika nezaposlenosti mladih osoba </w:t>
      </w:r>
      <w:r>
        <w:t>od</w:t>
      </w:r>
      <w:r w:rsidRPr="00A95348">
        <w:t xml:space="preserve"> 15 do 29 godina života, tzv. NEET skupine (eng. Not in Employment, Education or Training) koja označava mlade nezaposlene osobe </w:t>
      </w:r>
      <w:r>
        <w:t>izvan sustava</w:t>
      </w:r>
      <w:r w:rsidRPr="00A95348">
        <w:t xml:space="preserve"> redovitog obrazovanja</w:t>
      </w:r>
      <w:r>
        <w:t xml:space="preserve"> i </w:t>
      </w:r>
      <w:r w:rsidRPr="00A95348">
        <w:t>obrazovanja odraslih,</w:t>
      </w:r>
      <w:r>
        <w:t xml:space="preserve"> prepoznata je na razini Europske unije i na nacionalnoj razini te su razvijene mjere i pokrenute inicijative u rješavanju pitanja nezaposlenosti mladih. Prema podacima Eurostata za 201</w:t>
      </w:r>
      <w:r w:rsidR="00A73037">
        <w:t>9</w:t>
      </w:r>
      <w:r>
        <w:t>. godinu</w:t>
      </w:r>
      <w:r w:rsidR="00DC694C">
        <w:t>,</w:t>
      </w:r>
      <w:r>
        <w:t xml:space="preserve"> Hrvatska je iznad Europskog prosjeka s 1</w:t>
      </w:r>
      <w:r w:rsidR="00A73037">
        <w:t>4</w:t>
      </w:r>
      <w:r>
        <w:t>,</w:t>
      </w:r>
      <w:r w:rsidR="00A73037">
        <w:t>2</w:t>
      </w:r>
      <w:r>
        <w:t>% mladih nezaposlenih osoba između 15 i 29 godina</w:t>
      </w:r>
      <w:r w:rsidRPr="006879D3">
        <w:t xml:space="preserve"> </w:t>
      </w:r>
      <w:r>
        <w:t>(prosjek EU-27 iznosio je 1</w:t>
      </w:r>
      <w:r w:rsidR="00A73037">
        <w:t>2</w:t>
      </w:r>
      <w:r>
        <w:t>,</w:t>
      </w:r>
      <w:r w:rsidR="00A73037">
        <w:t>5</w:t>
      </w:r>
      <w:r>
        <w:t xml:space="preserve"> u 201</w:t>
      </w:r>
      <w:r w:rsidR="00A73037">
        <w:t>9</w:t>
      </w:r>
      <w:r>
        <w:t>. godini).</w:t>
      </w:r>
    </w:p>
    <w:p w14:paraId="4693648F" w14:textId="77777777" w:rsidR="000D5E3F" w:rsidRDefault="000D5E3F" w:rsidP="00722DDE"/>
    <w:p w14:paraId="6D8AF8EC" w14:textId="294FAAAE" w:rsidR="00722DDE" w:rsidRDefault="00722DDE" w:rsidP="003E3F3C">
      <w:pPr>
        <w:pStyle w:val="Opisslike"/>
      </w:pPr>
      <w:r>
        <w:t>Grafikon</w:t>
      </w:r>
      <w:r w:rsidR="004A5CA3">
        <w:t xml:space="preserve"> </w:t>
      </w:r>
      <w:r w:rsidR="008B5667">
        <w:rPr>
          <w:noProof/>
        </w:rPr>
        <w:t>4</w:t>
      </w:r>
      <w:r w:rsidR="00CF4B96">
        <w:rPr>
          <w:noProof/>
        </w:rPr>
        <w:t>1</w:t>
      </w:r>
      <w:r>
        <w:rPr>
          <w:noProof/>
        </w:rPr>
        <w:t>.</w:t>
      </w:r>
      <w:r>
        <w:t xml:space="preserve"> NEET stopa (15-29) u EU 201</w:t>
      </w:r>
      <w:r w:rsidR="00A73037">
        <w:t>9</w:t>
      </w:r>
      <w:r>
        <w:t>.</w:t>
      </w:r>
    </w:p>
    <w:p w14:paraId="077C598B" w14:textId="5A8E9B8D" w:rsidR="00722DDE" w:rsidRDefault="00847D61" w:rsidP="008B5667">
      <w:pPr>
        <w:spacing w:after="0"/>
        <w:rPr>
          <w:sz w:val="22"/>
          <w:szCs w:val="22"/>
          <w:highlight w:val="yellow"/>
        </w:rPr>
      </w:pPr>
      <w:r>
        <w:rPr>
          <w:noProof/>
        </w:rPr>
        <w:drawing>
          <wp:inline distT="0" distB="0" distL="0" distR="0" wp14:anchorId="2BF2492A" wp14:editId="4CF4D575">
            <wp:extent cx="5905500" cy="2406015"/>
            <wp:effectExtent l="0" t="0" r="0" b="13335"/>
            <wp:docPr id="46" name="Grafikon 46">
              <a:extLst xmlns:a="http://schemas.openxmlformats.org/drawingml/2006/main">
                <a:ext uri="{FF2B5EF4-FFF2-40B4-BE49-F238E27FC236}">
                  <a16:creationId xmlns:a16="http://schemas.microsoft.com/office/drawing/2014/main" id="{B651B9AA-A21D-42DE-B408-4B2AF9A203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4883DAE0" w14:textId="12DF05EB" w:rsidR="00722DDE" w:rsidRPr="008B5667" w:rsidRDefault="00722DDE" w:rsidP="008B5667">
      <w:pPr>
        <w:autoSpaceDE w:val="0"/>
        <w:autoSpaceDN w:val="0"/>
        <w:adjustRightInd w:val="0"/>
        <w:spacing w:after="0" w:line="240" w:lineRule="auto"/>
        <w:rPr>
          <w:rFonts w:eastAsia="ArialNarrow" w:cstheme="minorHAnsi"/>
          <w:i/>
          <w:color w:val="ABABAB" w:themeColor="text1" w:themeTint="A6"/>
          <w:sz w:val="16"/>
          <w:szCs w:val="16"/>
        </w:rPr>
      </w:pPr>
      <w:r w:rsidRPr="008B5667">
        <w:rPr>
          <w:rFonts w:eastAsia="ArialNarrow" w:cstheme="minorHAnsi"/>
          <w:i/>
          <w:color w:val="ABABAB" w:themeColor="text1" w:themeTint="A6"/>
          <w:sz w:val="16"/>
          <w:szCs w:val="16"/>
        </w:rPr>
        <w:t xml:space="preserve">Izvor: Eurostat, </w:t>
      </w:r>
      <w:r w:rsidR="00A73037" w:rsidRPr="008B5667">
        <w:rPr>
          <w:rFonts w:eastAsia="ArialNarrow" w:cstheme="minorHAnsi"/>
          <w:i/>
          <w:color w:val="ABABAB" w:themeColor="text1" w:themeTint="A6"/>
          <w:sz w:val="16"/>
          <w:szCs w:val="16"/>
        </w:rPr>
        <w:t>studeni</w:t>
      </w:r>
      <w:r w:rsidRPr="008B5667">
        <w:rPr>
          <w:rFonts w:eastAsia="ArialNarrow" w:cstheme="minorHAnsi"/>
          <w:i/>
          <w:color w:val="ABABAB" w:themeColor="text1" w:themeTint="A6"/>
          <w:sz w:val="16"/>
          <w:szCs w:val="16"/>
        </w:rPr>
        <w:t xml:space="preserve"> 2020.</w:t>
      </w:r>
    </w:p>
    <w:p w14:paraId="53C11B83" w14:textId="77777777" w:rsidR="008B5667" w:rsidRDefault="008B5667" w:rsidP="00722DDE">
      <w:pPr>
        <w:rPr>
          <w:b/>
          <w:bCs/>
          <w:color w:val="D2232A" w:themeColor="accent1"/>
        </w:rPr>
      </w:pPr>
    </w:p>
    <w:p w14:paraId="4A944C70" w14:textId="3751AF5C" w:rsidR="00722DDE" w:rsidRPr="00DC3B9F" w:rsidRDefault="00722DDE" w:rsidP="00722DDE">
      <w:pPr>
        <w:rPr>
          <w:b/>
          <w:bCs/>
          <w:color w:val="D2232A" w:themeColor="accent1"/>
        </w:rPr>
      </w:pPr>
      <w:r w:rsidRPr="00DC3B9F">
        <w:rPr>
          <w:b/>
          <w:bCs/>
          <w:color w:val="D2232A" w:themeColor="accent1"/>
        </w:rPr>
        <w:t>Žene</w:t>
      </w:r>
    </w:p>
    <w:p w14:paraId="36454EC9" w14:textId="03098525" w:rsidR="00722DDE" w:rsidRDefault="00722DDE" w:rsidP="00722DDE">
      <w:r>
        <w:t>U promatranom razdoblju na području Krapinsko-zagorske županije udio nezaposlenih žena veći je od udjela nezaposlenih muškaraca, djelomice je to posljedica ponovnog rasta gospodarskih aktivnosti u djelatnosti građevinarstva gdje su većinom zaposleni muškarci. U 20</w:t>
      </w:r>
      <w:r w:rsidR="001848F2">
        <w:t>20</w:t>
      </w:r>
      <w:r>
        <w:t>. godini u evidenciji Hrvatskog zavoda za zapošljavanje – Područni ured Krapina zabilježeno je 2.</w:t>
      </w:r>
      <w:r w:rsidR="001848F2">
        <w:t>670</w:t>
      </w:r>
      <w:r>
        <w:t xml:space="preserve"> nezaposlenih osoba od čega je 1.</w:t>
      </w:r>
      <w:r w:rsidR="001848F2">
        <w:t>425</w:t>
      </w:r>
      <w:r>
        <w:t xml:space="preserve"> ili 5</w:t>
      </w:r>
      <w:r w:rsidR="001848F2">
        <w:t xml:space="preserve">3,37% </w:t>
      </w:r>
      <w:r>
        <w:t>žena što je ispod prosjeka na nacionalnoj razini (5</w:t>
      </w:r>
      <w:r w:rsidR="009705E2">
        <w:t>5,43</w:t>
      </w:r>
      <w:r>
        <w:t>%)</w:t>
      </w:r>
      <w:r w:rsidR="009705E2">
        <w:t>.</w:t>
      </w:r>
    </w:p>
    <w:p w14:paraId="1BEC56A7" w14:textId="77777777" w:rsidR="00722DDE" w:rsidRDefault="00722DDE" w:rsidP="00722DDE"/>
    <w:p w14:paraId="54C51225" w14:textId="557AD6E0" w:rsidR="00722DDE" w:rsidRPr="00AE15D8" w:rsidRDefault="00722DDE" w:rsidP="003E3F3C">
      <w:pPr>
        <w:pStyle w:val="Opisslike"/>
      </w:pPr>
      <w:r>
        <w:t xml:space="preserve">Grafikon </w:t>
      </w:r>
      <w:r w:rsidR="008B5667">
        <w:rPr>
          <w:noProof/>
        </w:rPr>
        <w:t>4</w:t>
      </w:r>
      <w:r w:rsidR="00CF4B96">
        <w:rPr>
          <w:noProof/>
        </w:rPr>
        <w:t>2</w:t>
      </w:r>
      <w:r>
        <w:rPr>
          <w:noProof/>
        </w:rPr>
        <w:t>.</w:t>
      </w:r>
      <w:r>
        <w:t xml:space="preserve"> Struktura nezaposlenih osoba Krapinsko-zagorske županije prema spolu (2015.-20</w:t>
      </w:r>
      <w:r w:rsidR="00A73037">
        <w:t>20</w:t>
      </w:r>
      <w:r>
        <w:t>.)</w:t>
      </w:r>
    </w:p>
    <w:p w14:paraId="2755E83D" w14:textId="56B5FF24" w:rsidR="00722DDE" w:rsidRDefault="001848F2" w:rsidP="008B5667">
      <w:pPr>
        <w:spacing w:after="0"/>
        <w:rPr>
          <w:sz w:val="22"/>
          <w:szCs w:val="22"/>
        </w:rPr>
      </w:pPr>
      <w:r>
        <w:rPr>
          <w:noProof/>
        </w:rPr>
        <w:drawing>
          <wp:inline distT="0" distB="0" distL="0" distR="0" wp14:anchorId="1F09EB6F" wp14:editId="249E7D19">
            <wp:extent cx="5928360" cy="2865120"/>
            <wp:effectExtent l="0" t="0" r="15240" b="11430"/>
            <wp:docPr id="20" name="Grafikon 20">
              <a:extLst xmlns:a="http://schemas.openxmlformats.org/drawingml/2006/main">
                <a:ext uri="{FF2B5EF4-FFF2-40B4-BE49-F238E27FC236}">
                  <a16:creationId xmlns:a16="http://schemas.microsoft.com/office/drawing/2014/main" id="{64FD918D-8F5F-4ACF-B8EA-988D8D6FAB5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5BB3AFD" w14:textId="2E97E591" w:rsidR="00722DDE" w:rsidRPr="008B5667" w:rsidRDefault="00722DDE" w:rsidP="008B5667">
      <w:pPr>
        <w:autoSpaceDE w:val="0"/>
        <w:autoSpaceDN w:val="0"/>
        <w:adjustRightInd w:val="0"/>
        <w:spacing w:after="0" w:line="240" w:lineRule="auto"/>
        <w:rPr>
          <w:rFonts w:eastAsia="ArialNarrow" w:cstheme="minorHAnsi"/>
          <w:i/>
          <w:color w:val="ABABAB" w:themeColor="text1" w:themeTint="A6"/>
          <w:sz w:val="16"/>
          <w:szCs w:val="16"/>
        </w:rPr>
      </w:pPr>
      <w:r w:rsidRPr="008B5667">
        <w:rPr>
          <w:rFonts w:eastAsia="ArialNarrow" w:cstheme="minorHAnsi"/>
          <w:i/>
          <w:color w:val="ABABAB" w:themeColor="text1" w:themeTint="A6"/>
          <w:sz w:val="16"/>
          <w:szCs w:val="16"/>
        </w:rPr>
        <w:t>Izvor: Hrvatski zavod za zapošljavanje, Statistika On-line: Registrirana nezaposlenost (</w:t>
      </w:r>
      <w:r w:rsidR="009705E2" w:rsidRPr="008B5667">
        <w:rPr>
          <w:rFonts w:eastAsia="ArialNarrow" w:cstheme="minorHAnsi"/>
          <w:i/>
          <w:color w:val="ABABAB" w:themeColor="text1" w:themeTint="A6"/>
          <w:sz w:val="16"/>
          <w:szCs w:val="16"/>
        </w:rPr>
        <w:t>veljača</w:t>
      </w:r>
      <w:r w:rsidRPr="008B5667">
        <w:rPr>
          <w:rFonts w:eastAsia="ArialNarrow" w:cstheme="minorHAnsi"/>
          <w:i/>
          <w:color w:val="ABABAB" w:themeColor="text1" w:themeTint="A6"/>
          <w:sz w:val="16"/>
          <w:szCs w:val="16"/>
        </w:rPr>
        <w:t>, 20</w:t>
      </w:r>
      <w:r w:rsidR="009705E2" w:rsidRPr="008B5667">
        <w:rPr>
          <w:rFonts w:eastAsia="ArialNarrow" w:cstheme="minorHAnsi"/>
          <w:i/>
          <w:color w:val="ABABAB" w:themeColor="text1" w:themeTint="A6"/>
          <w:sz w:val="16"/>
          <w:szCs w:val="16"/>
        </w:rPr>
        <w:t>2</w:t>
      </w:r>
      <w:r w:rsidR="004C1634" w:rsidRPr="008B5667">
        <w:rPr>
          <w:rFonts w:eastAsia="ArialNarrow" w:cstheme="minorHAnsi"/>
          <w:i/>
          <w:color w:val="ABABAB" w:themeColor="text1" w:themeTint="A6"/>
          <w:sz w:val="16"/>
          <w:szCs w:val="16"/>
        </w:rPr>
        <w:t>1</w:t>
      </w:r>
      <w:r w:rsidRPr="008B5667">
        <w:rPr>
          <w:rFonts w:eastAsia="ArialNarrow" w:cstheme="minorHAnsi"/>
          <w:i/>
          <w:color w:val="ABABAB" w:themeColor="text1" w:themeTint="A6"/>
          <w:sz w:val="16"/>
          <w:szCs w:val="16"/>
        </w:rPr>
        <w:t>.)</w:t>
      </w:r>
    </w:p>
    <w:p w14:paraId="1AD2B2AF" w14:textId="77777777" w:rsidR="00722DDE" w:rsidRDefault="00722DDE" w:rsidP="00722DDE">
      <w:pPr>
        <w:rPr>
          <w:sz w:val="22"/>
          <w:szCs w:val="22"/>
        </w:rPr>
      </w:pPr>
    </w:p>
    <w:p w14:paraId="201DB4F3" w14:textId="3D198431" w:rsidR="00722DDE" w:rsidRPr="00240886" w:rsidRDefault="00722DDE" w:rsidP="00722DDE">
      <w:r>
        <w:lastRenderedPageBreak/>
        <w:t>Prema stupnju stečenog obrazovanja</w:t>
      </w:r>
      <w:r w:rsidR="00940474">
        <w:t xml:space="preserve"> u 2019. godini</w:t>
      </w:r>
      <w:r>
        <w:t xml:space="preserve"> 2</w:t>
      </w:r>
      <w:r w:rsidR="00940474">
        <w:t>8</w:t>
      </w:r>
      <w:r>
        <w:t>,</w:t>
      </w:r>
      <w:r w:rsidR="00940474">
        <w:t>34</w:t>
      </w:r>
      <w:r>
        <w:t>% (</w:t>
      </w:r>
      <w:r w:rsidR="00940474">
        <w:t>399</w:t>
      </w:r>
      <w:r>
        <w:t xml:space="preserve">) nezaposlenih žena ima završenu trogodišnju srednju strukovnu školu, a </w:t>
      </w:r>
      <w:r w:rsidR="00B6236C">
        <w:t>nešto manje</w:t>
      </w:r>
      <w:r>
        <w:t xml:space="preserve">, odnosno njih </w:t>
      </w:r>
      <w:r w:rsidR="00940474">
        <w:t>310</w:t>
      </w:r>
      <w:r>
        <w:t xml:space="preserve"> ili 2</w:t>
      </w:r>
      <w:r w:rsidR="00940474">
        <w:t>5</w:t>
      </w:r>
      <w:r>
        <w:t>,</w:t>
      </w:r>
      <w:r w:rsidR="00940474">
        <w:t>92</w:t>
      </w:r>
      <w:r>
        <w:t>%, je završilo četverogodišnju srednju strukovnu školu. Udio nezaposlenih žena s završenom osnovnom školom iznosi 2</w:t>
      </w:r>
      <w:r w:rsidR="00B6236C">
        <w:t>1</w:t>
      </w:r>
      <w:r>
        <w:t>,</w:t>
      </w:r>
      <w:r w:rsidR="00B6236C">
        <w:t>40</w:t>
      </w:r>
      <w:r>
        <w:t>% (</w:t>
      </w:r>
      <w:r w:rsidR="00B6236C">
        <w:t>256</w:t>
      </w:r>
      <w:r>
        <w:t xml:space="preserve"> ženskih osoba).</w:t>
      </w:r>
      <w:r w:rsidR="00B6236C">
        <w:t xml:space="preserve"> </w:t>
      </w:r>
      <w:r w:rsidR="00547752" w:rsidRPr="00240886">
        <w:t xml:space="preserve">U </w:t>
      </w:r>
      <w:r w:rsidR="00B6236C" w:rsidRPr="00240886">
        <w:t>2020. godin</w:t>
      </w:r>
      <w:r w:rsidR="00547752" w:rsidRPr="00240886">
        <w:t>i</w:t>
      </w:r>
      <w:r w:rsidR="00B6236C" w:rsidRPr="00240886">
        <w:t xml:space="preserve"> u evidenciji je 4</w:t>
      </w:r>
      <w:r w:rsidR="00547752" w:rsidRPr="00240886">
        <w:t>15</w:t>
      </w:r>
      <w:r w:rsidR="00B6236C" w:rsidRPr="00240886">
        <w:t xml:space="preserve"> nezaposlenih žena sa završenom trogodišnjom srednjom školom (29,</w:t>
      </w:r>
      <w:r w:rsidR="00547752" w:rsidRPr="00240886">
        <w:t>12</w:t>
      </w:r>
      <w:r w:rsidR="00B6236C" w:rsidRPr="00240886">
        <w:t>%), 39</w:t>
      </w:r>
      <w:r w:rsidR="00547752" w:rsidRPr="00240886">
        <w:t>4</w:t>
      </w:r>
      <w:r w:rsidR="00B6236C" w:rsidRPr="00240886">
        <w:t xml:space="preserve"> nezaposlena žena sa završenom četverogodišnjom školom (2</w:t>
      </w:r>
      <w:r w:rsidR="00547752" w:rsidRPr="00240886">
        <w:t>7,65</w:t>
      </w:r>
      <w:r w:rsidR="00B6236C" w:rsidRPr="00240886">
        <w:t>%) te 2</w:t>
      </w:r>
      <w:r w:rsidR="00547752" w:rsidRPr="00240886">
        <w:t>91</w:t>
      </w:r>
      <w:r w:rsidR="00B6236C" w:rsidRPr="00240886">
        <w:t xml:space="preserve"> nezaposlenih žena sa završenom osnovnom školom (20,</w:t>
      </w:r>
      <w:r w:rsidR="00547752" w:rsidRPr="00240886">
        <w:t>42</w:t>
      </w:r>
      <w:r w:rsidR="00B6236C" w:rsidRPr="00240886">
        <w:t>%).</w:t>
      </w:r>
    </w:p>
    <w:p w14:paraId="2EB38BCB" w14:textId="0EBBD7E6" w:rsidR="00722DDE" w:rsidRPr="00240886" w:rsidRDefault="00722DDE" w:rsidP="00722DDE">
      <w:r w:rsidRPr="00240886">
        <w:t>Udio nezaposlenih žena u odnosu na muškarce veći je na višim razinama obrazovanja. Prema podacima za 20</w:t>
      </w:r>
      <w:r w:rsidR="00547752" w:rsidRPr="00240886">
        <w:t>20</w:t>
      </w:r>
      <w:r w:rsidRPr="00240886">
        <w:t xml:space="preserve">. godinu </w:t>
      </w:r>
      <w:r w:rsidR="004F4DD3" w:rsidRPr="00240886">
        <w:t>6</w:t>
      </w:r>
      <w:r w:rsidR="003B79FF" w:rsidRPr="00240886">
        <w:t>5,89</w:t>
      </w:r>
      <w:r w:rsidRPr="00240886">
        <w:t xml:space="preserve">% ili </w:t>
      </w:r>
      <w:r w:rsidR="003B79FF" w:rsidRPr="00240886">
        <w:t>110</w:t>
      </w:r>
      <w:r w:rsidRPr="00240886">
        <w:t xml:space="preserve"> osoba ženskog spola završilo je prvi stupanj fakulteta, stručni studij ili višu školu</w:t>
      </w:r>
      <w:r w:rsidR="00AB32DE" w:rsidRPr="00240886">
        <w:t xml:space="preserve"> (muškarci 34</w:t>
      </w:r>
      <w:r w:rsidR="003B79FF" w:rsidRPr="00240886">
        <w:t>,13</w:t>
      </w:r>
      <w:r w:rsidR="00AB32DE" w:rsidRPr="00240886">
        <w:t>%)</w:t>
      </w:r>
      <w:r w:rsidRPr="00240886">
        <w:t xml:space="preserve">, a </w:t>
      </w:r>
      <w:r w:rsidR="003B79FF" w:rsidRPr="00240886">
        <w:t>74</w:t>
      </w:r>
      <w:r w:rsidRPr="00240886">
        <w:t>% ili 1</w:t>
      </w:r>
      <w:r w:rsidR="003B79FF" w:rsidRPr="00240886">
        <w:t>31</w:t>
      </w:r>
      <w:r w:rsidRPr="00240886">
        <w:t xml:space="preserve"> žensk</w:t>
      </w:r>
      <w:r w:rsidR="00A33765" w:rsidRPr="00240886">
        <w:t>a</w:t>
      </w:r>
      <w:r w:rsidRPr="00240886">
        <w:t xml:space="preserve"> osoba završi</w:t>
      </w:r>
      <w:r w:rsidR="00A33765" w:rsidRPr="00240886">
        <w:t>la</w:t>
      </w:r>
      <w:r w:rsidRPr="00240886">
        <w:t xml:space="preserve"> je fakultet, akademiju, magisterij ili doktorat</w:t>
      </w:r>
      <w:r w:rsidR="00AB32DE" w:rsidRPr="00240886">
        <w:t xml:space="preserve"> (muškarci 26%)</w:t>
      </w:r>
      <w:r w:rsidRPr="00240886">
        <w:t>. Kod osoba s</w:t>
      </w:r>
      <w:r w:rsidR="00F46232" w:rsidRPr="00240886">
        <w:t>a</w:t>
      </w:r>
      <w:r w:rsidRPr="00240886">
        <w:t xml:space="preserve"> završenom osnovnom i srednjom školom omjer nezaposlenih muškaraca i žena je</w:t>
      </w:r>
      <w:r w:rsidR="00AB32DE" w:rsidRPr="00240886">
        <w:t xml:space="preserve"> pri</w:t>
      </w:r>
      <w:r w:rsidR="00DF4A7B" w:rsidRPr="00240886">
        <w:t>bližno</w:t>
      </w:r>
      <w:r w:rsidRPr="00240886">
        <w:t xml:space="preserve"> podjednak (</w:t>
      </w:r>
      <w:r w:rsidR="00A33765" w:rsidRPr="00240886">
        <w:t>52,24</w:t>
      </w:r>
      <w:r w:rsidRPr="00240886">
        <w:t xml:space="preserve">% ili </w:t>
      </w:r>
      <w:r w:rsidR="004F4DD3" w:rsidRPr="00240886">
        <w:t>2</w:t>
      </w:r>
      <w:r w:rsidR="00A33765" w:rsidRPr="00240886">
        <w:t>91</w:t>
      </w:r>
      <w:r w:rsidRPr="00240886">
        <w:t xml:space="preserve"> osoba ženskog spola ima završenu osnovnu školu</w:t>
      </w:r>
      <w:r w:rsidR="00AB32DE" w:rsidRPr="00240886">
        <w:t xml:space="preserve">; muškarci </w:t>
      </w:r>
      <w:r w:rsidR="00A33765" w:rsidRPr="00240886">
        <w:t>47,94</w:t>
      </w:r>
      <w:r w:rsidR="00AB32DE" w:rsidRPr="00240886">
        <w:t xml:space="preserve">% </w:t>
      </w:r>
      <w:r w:rsidRPr="00240886">
        <w:t xml:space="preserve">te </w:t>
      </w:r>
      <w:r w:rsidR="00A33765" w:rsidRPr="00240886">
        <w:t>51,3</w:t>
      </w:r>
      <w:r w:rsidRPr="00240886">
        <w:t xml:space="preserve">% ili </w:t>
      </w:r>
      <w:r w:rsidR="00A33765" w:rsidRPr="00240886">
        <w:t>849</w:t>
      </w:r>
      <w:r w:rsidRPr="00240886">
        <w:t xml:space="preserve"> osoba ženskog spola ima završenu srednju školu</w:t>
      </w:r>
      <w:r w:rsidR="00DF4A7B" w:rsidRPr="00240886">
        <w:t xml:space="preserve">; muškarci </w:t>
      </w:r>
      <w:r w:rsidR="00A33765" w:rsidRPr="00240886">
        <w:t>48,7</w:t>
      </w:r>
      <w:r w:rsidR="00DF4A7B" w:rsidRPr="00240886">
        <w:t>%</w:t>
      </w:r>
      <w:r w:rsidRPr="00240886">
        <w:t xml:space="preserve">). Među osobama bez završene osnovne škole prevladavaju </w:t>
      </w:r>
      <w:r w:rsidR="00424C99" w:rsidRPr="00240886">
        <w:t>muškarci</w:t>
      </w:r>
      <w:r w:rsidR="00AB32DE" w:rsidRPr="00240886">
        <w:t xml:space="preserve"> (6</w:t>
      </w:r>
      <w:r w:rsidR="00A33765" w:rsidRPr="00240886">
        <w:t>0,18</w:t>
      </w:r>
      <w:r w:rsidR="00AB32DE" w:rsidRPr="00240886">
        <w:t>%)</w:t>
      </w:r>
      <w:r w:rsidR="00424C99" w:rsidRPr="00240886">
        <w:t xml:space="preserve">, </w:t>
      </w:r>
      <w:r w:rsidRPr="00240886">
        <w:t xml:space="preserve">, pa je tako na Zavodu evidentirano </w:t>
      </w:r>
      <w:r w:rsidR="00A33765" w:rsidRPr="00240886">
        <w:t>39,82</w:t>
      </w:r>
      <w:r w:rsidRPr="00240886">
        <w:t xml:space="preserve">% ili </w:t>
      </w:r>
      <w:r w:rsidR="00AB32DE" w:rsidRPr="00240886">
        <w:t>4</w:t>
      </w:r>
      <w:r w:rsidR="00A33765" w:rsidRPr="00240886">
        <w:t>5</w:t>
      </w:r>
      <w:r w:rsidRPr="00240886">
        <w:t xml:space="preserve"> ženskih osoba bez škole i s nezavršenom osnovnom školom. </w:t>
      </w:r>
    </w:p>
    <w:p w14:paraId="2CAA3F14" w14:textId="1F85A588" w:rsidR="00547752" w:rsidRDefault="00722DDE" w:rsidP="00547752">
      <w:r w:rsidRPr="00240886">
        <w:t>U dobnoj strukturi nezaposlenih žena Krapinsko-zagorske županije u 20</w:t>
      </w:r>
      <w:r w:rsidR="008276EA" w:rsidRPr="00240886">
        <w:t>20</w:t>
      </w:r>
      <w:r w:rsidRPr="00240886">
        <w:t xml:space="preserve">. godini prevladavaju mlade nezaposlene žene od 20 do 29 godina. U dobnoj skupini od 20 do 24 godine registrirano je </w:t>
      </w:r>
      <w:r w:rsidR="008276EA" w:rsidRPr="00240886">
        <w:t>14,46</w:t>
      </w:r>
      <w:r w:rsidRPr="00240886">
        <w:t xml:space="preserve">% ili 206, a u dobnoj skupini od 25 do 29 godina </w:t>
      </w:r>
      <w:r w:rsidR="008276EA" w:rsidRPr="00240886">
        <w:t>14,88</w:t>
      </w:r>
      <w:r w:rsidRPr="00240886">
        <w:t xml:space="preserve">% ili </w:t>
      </w:r>
      <w:r w:rsidR="008276EA" w:rsidRPr="00240886">
        <w:t>212</w:t>
      </w:r>
      <w:r w:rsidRPr="00240886">
        <w:t xml:space="preserve"> ženskih osoba. Posebno osjetljiva skupina nezaposlenih žena su žene u dobi od 55 do 59 godina. Na Zavodu ih je bilo registrirano </w:t>
      </w:r>
      <w:r w:rsidR="008276EA" w:rsidRPr="00240886">
        <w:t>172</w:t>
      </w:r>
      <w:r w:rsidRPr="00240886">
        <w:t xml:space="preserve"> odnosno </w:t>
      </w:r>
      <w:r w:rsidR="00A41B71" w:rsidRPr="00240886">
        <w:t>1</w:t>
      </w:r>
      <w:r w:rsidR="008276EA" w:rsidRPr="00240886">
        <w:t>2,07</w:t>
      </w:r>
      <w:r w:rsidRPr="00240886">
        <w:t>% od ukupnog broja nezaposlenih žena u Krapinsko-zagorskoj županiji. Nije zanemariv ni broj od 1</w:t>
      </w:r>
      <w:r w:rsidR="008276EA" w:rsidRPr="00240886">
        <w:t>14</w:t>
      </w:r>
      <w:r w:rsidRPr="00240886">
        <w:t xml:space="preserve"> žena ili </w:t>
      </w:r>
      <w:r w:rsidR="008276EA" w:rsidRPr="00240886">
        <w:t>8</w:t>
      </w:r>
      <w:r w:rsidRPr="00240886">
        <w:t xml:space="preserve">% u dobi od 60 godina i više koje zbog svojih godina teže pronalaze zaposlenje. </w:t>
      </w:r>
      <w:r w:rsidR="00A41B71" w:rsidRPr="00240886">
        <w:t>Slični</w:t>
      </w:r>
      <w:r w:rsidRPr="00240886">
        <w:t xml:space="preserve"> omjeri zastupljeni</w:t>
      </w:r>
      <w:r w:rsidR="00A41B71" w:rsidRPr="00240886">
        <w:t xml:space="preserve"> su</w:t>
      </w:r>
      <w:r w:rsidRPr="00240886">
        <w:t xml:space="preserve"> u dobnoj skupini od </w:t>
      </w:r>
      <w:r w:rsidR="00A41B71" w:rsidRPr="00240886">
        <w:t>30</w:t>
      </w:r>
      <w:r w:rsidRPr="00240886">
        <w:t xml:space="preserve"> do </w:t>
      </w:r>
      <w:r w:rsidR="00A41B71" w:rsidRPr="00240886">
        <w:t>34</w:t>
      </w:r>
      <w:r w:rsidRPr="00240886">
        <w:t xml:space="preserve"> godina (</w:t>
      </w:r>
      <w:r w:rsidR="00A41B71" w:rsidRPr="00240886">
        <w:t>1</w:t>
      </w:r>
      <w:r w:rsidR="00DF3832" w:rsidRPr="00240886">
        <w:t>46</w:t>
      </w:r>
      <w:r w:rsidRPr="00240886">
        <w:t xml:space="preserve"> ili </w:t>
      </w:r>
      <w:r w:rsidR="00A41B71" w:rsidRPr="00240886">
        <w:t>10,</w:t>
      </w:r>
      <w:r w:rsidR="00DF3832" w:rsidRPr="00240886">
        <w:t>25</w:t>
      </w:r>
      <w:r w:rsidRPr="00240886">
        <w:t>%)</w:t>
      </w:r>
      <w:r w:rsidR="00A41B71" w:rsidRPr="00240886">
        <w:t>,</w:t>
      </w:r>
      <w:r w:rsidRPr="00240886">
        <w:t xml:space="preserve"> dobnoj skupini od </w:t>
      </w:r>
      <w:r w:rsidR="00A41B71" w:rsidRPr="00240886">
        <w:t>45</w:t>
      </w:r>
      <w:r w:rsidRPr="00240886">
        <w:t xml:space="preserve"> do </w:t>
      </w:r>
      <w:r w:rsidR="00A41B71" w:rsidRPr="00240886">
        <w:t>49</w:t>
      </w:r>
      <w:r w:rsidRPr="00240886">
        <w:t xml:space="preserve"> godine (</w:t>
      </w:r>
      <w:r w:rsidR="00A41B71" w:rsidRPr="00240886">
        <w:t>1</w:t>
      </w:r>
      <w:r w:rsidR="00DF3832" w:rsidRPr="00240886">
        <w:t>30</w:t>
      </w:r>
      <w:r w:rsidRPr="00240886">
        <w:t xml:space="preserve"> ili </w:t>
      </w:r>
      <w:r w:rsidR="00DF3832" w:rsidRPr="00240886">
        <w:t>9,12</w:t>
      </w:r>
      <w:r w:rsidRPr="00240886">
        <w:t>%)</w:t>
      </w:r>
      <w:r w:rsidR="00A41B71" w:rsidRPr="00240886">
        <w:t xml:space="preserve"> te dobnoj skupini od 50 do 54 (1</w:t>
      </w:r>
      <w:r w:rsidR="00331886" w:rsidRPr="00240886">
        <w:t>25</w:t>
      </w:r>
      <w:r w:rsidR="00A41B71" w:rsidRPr="00240886">
        <w:t xml:space="preserve"> ili </w:t>
      </w:r>
      <w:r w:rsidR="00331886" w:rsidRPr="00240886">
        <w:t>8,77</w:t>
      </w:r>
      <w:r w:rsidR="00A41B71" w:rsidRPr="00240886">
        <w:t>%)</w:t>
      </w:r>
      <w:r w:rsidRPr="00240886">
        <w:t>.</w:t>
      </w:r>
      <w:r w:rsidR="00DF3832" w:rsidRPr="00240886">
        <w:t xml:space="preserve"> </w:t>
      </w:r>
      <w:r w:rsidR="00BA4D00" w:rsidRPr="00240886">
        <w:t>U odnosu na prethodnu godinu, n</w:t>
      </w:r>
      <w:r w:rsidR="00DF3832" w:rsidRPr="00240886">
        <w:t xml:space="preserve">ajveće povećanje </w:t>
      </w:r>
      <w:r w:rsidR="00BA4D00" w:rsidRPr="00240886">
        <w:t xml:space="preserve">broja </w:t>
      </w:r>
      <w:r w:rsidR="00DF3832" w:rsidRPr="00240886">
        <w:t xml:space="preserve">nezaposlenih žena u 2020. vidljivo je u skupini od 25 do 29 godina gdje je </w:t>
      </w:r>
      <w:r w:rsidR="00BA4D00" w:rsidRPr="00240886">
        <w:t>došlo do povećanja za 27,54%.</w:t>
      </w:r>
      <w:r w:rsidR="00BA4D00">
        <w:t xml:space="preserve">  </w:t>
      </w:r>
    </w:p>
    <w:p w14:paraId="652C153E" w14:textId="77777777" w:rsidR="000D5E3F" w:rsidRPr="00547752" w:rsidRDefault="000D5E3F" w:rsidP="00547752"/>
    <w:p w14:paraId="61BDD0E7" w14:textId="4A042295" w:rsidR="000D5E3F" w:rsidRPr="00636DF4" w:rsidRDefault="00722DDE" w:rsidP="00722DDE">
      <w:pPr>
        <w:rPr>
          <w:b/>
          <w:bCs/>
          <w:color w:val="D2232A" w:themeColor="accent1"/>
        </w:rPr>
      </w:pPr>
      <w:r w:rsidRPr="00636DF4">
        <w:rPr>
          <w:b/>
          <w:bCs/>
          <w:color w:val="D2232A" w:themeColor="accent1"/>
        </w:rPr>
        <w:t>Dugotrajno nezaposlene osobe</w:t>
      </w:r>
    </w:p>
    <w:p w14:paraId="22E69FB6" w14:textId="1F558428" w:rsidR="00722DDE" w:rsidRDefault="00722DDE" w:rsidP="00722DDE">
      <w:r>
        <w:t>Prema evidenciji Hrvatskog zavoda za zapošljavanje – Područni ured Krapina u 20</w:t>
      </w:r>
      <w:r w:rsidR="008626AC">
        <w:t>20</w:t>
      </w:r>
      <w:r>
        <w:t xml:space="preserve">. godini prosječan broj dugotrajno nezaposlenih osoba u evidenciji Zavoda iznosio je </w:t>
      </w:r>
      <w:r w:rsidR="008626AC">
        <w:t>910</w:t>
      </w:r>
      <w:r>
        <w:t xml:space="preserve"> (</w:t>
      </w:r>
      <w:r w:rsidR="008626AC">
        <w:t>34,08</w:t>
      </w:r>
      <w:r>
        <w:t xml:space="preserve">%). Te osobe su nezaposlene duže od 12 mjeseci što je ispod nacionalnog prosjeka koji </w:t>
      </w:r>
      <w:r w:rsidR="009B216A">
        <w:t xml:space="preserve">iznosi </w:t>
      </w:r>
      <w:r w:rsidR="008626AC">
        <w:t>34,51</w:t>
      </w:r>
      <w:r w:rsidR="009B216A">
        <w:t xml:space="preserve">%. </w:t>
      </w:r>
      <w:r w:rsidR="00EB66DB">
        <w:t>U ukupnom broju nezaposlenih osoba, d</w:t>
      </w:r>
      <w:r>
        <w:t xml:space="preserve">ugotrajno nezaposlenih žena </w:t>
      </w:r>
      <w:r w:rsidR="00EB66DB">
        <w:t>koje su nezaposlene duže od 12 mjeseci je</w:t>
      </w:r>
      <w:r w:rsidR="008626AC">
        <w:t xml:space="preserve"> </w:t>
      </w:r>
      <w:r>
        <w:t>4</w:t>
      </w:r>
      <w:r w:rsidR="008F51B4">
        <w:t>0</w:t>
      </w:r>
      <w:r w:rsidR="008626AC">
        <w:t>9</w:t>
      </w:r>
      <w:r>
        <w:t xml:space="preserve"> ili </w:t>
      </w:r>
      <w:r w:rsidR="008626AC">
        <w:t>15,32</w:t>
      </w:r>
      <w:r>
        <w:t xml:space="preserve">%), a njihov udio u ukupnom broju nezaposlenih žena iznosi </w:t>
      </w:r>
      <w:r w:rsidR="008626AC">
        <w:t>28,70</w:t>
      </w:r>
      <w:r>
        <w:t xml:space="preserve">%. Kod muškaraca, udio dugotrajno nezaposlenih muškaraca u ukupnom broju nezaposlenih muškaraca iznosi </w:t>
      </w:r>
      <w:r w:rsidR="008626AC">
        <w:t>40,35</w:t>
      </w:r>
      <w:r>
        <w:t>%</w:t>
      </w:r>
      <w:r w:rsidR="00EB66DB">
        <w:t xml:space="preserve">, dok je njihov udio u ukupnom broju nezaposlenih osoba Krapinsko-zagorske županije </w:t>
      </w:r>
      <w:r w:rsidR="008626AC">
        <w:t>18,80</w:t>
      </w:r>
      <w:r w:rsidR="00EB66DB">
        <w:t xml:space="preserve">%. </w:t>
      </w:r>
    </w:p>
    <w:p w14:paraId="36E918CB" w14:textId="347D09AD" w:rsidR="00722DDE" w:rsidRDefault="00722DDE" w:rsidP="00C6248D">
      <w:r>
        <w:t xml:space="preserve">U skladu s trendom smanjenja broja ukupno nezaposlenih osoba na području Krapinsko-zagorske županije, a i na nacionalnoj razini, udio dugotrajno nezaposlenih (1-8 godina i više) također ima trend smanjenja </w:t>
      </w:r>
      <w:r w:rsidR="00F856B0">
        <w:t xml:space="preserve">do 2020. godine, </w:t>
      </w:r>
      <w:r>
        <w:t xml:space="preserve">što je vidljivo iz grafikona u nastavku. </w:t>
      </w:r>
    </w:p>
    <w:p w14:paraId="3BE8FDAD" w14:textId="77777777" w:rsidR="00C6248D" w:rsidRDefault="00C6248D" w:rsidP="00C6248D"/>
    <w:p w14:paraId="7E237FB5" w14:textId="597FCF68" w:rsidR="00722DDE" w:rsidRPr="00AE15D8" w:rsidRDefault="00722DDE" w:rsidP="003E3F3C">
      <w:pPr>
        <w:pStyle w:val="Opisslike"/>
      </w:pPr>
      <w:r>
        <w:lastRenderedPageBreak/>
        <w:t xml:space="preserve">Grafikon </w:t>
      </w:r>
      <w:r w:rsidR="00F73E03">
        <w:rPr>
          <w:noProof/>
        </w:rPr>
        <w:t>4</w:t>
      </w:r>
      <w:r w:rsidR="00CF4B96">
        <w:rPr>
          <w:noProof/>
        </w:rPr>
        <w:t>3</w:t>
      </w:r>
      <w:r>
        <w:rPr>
          <w:noProof/>
        </w:rPr>
        <w:t>.</w:t>
      </w:r>
      <w:r>
        <w:t xml:space="preserve"> Nezaposlene osobe Krapinsko-zagorske županije prema </w:t>
      </w:r>
      <w:r w:rsidR="004C1634">
        <w:t>-trajanju nezaposlenosti</w:t>
      </w:r>
      <w:r>
        <w:t xml:space="preserve"> (2015.-20</w:t>
      </w:r>
      <w:r w:rsidR="00EB66DB">
        <w:t>20</w:t>
      </w:r>
      <w:r>
        <w:t>.)</w:t>
      </w:r>
    </w:p>
    <w:p w14:paraId="32E74F9F" w14:textId="1C752421" w:rsidR="00722DDE" w:rsidRDefault="00E85282" w:rsidP="009E69A4">
      <w:pPr>
        <w:spacing w:after="0"/>
        <w:rPr>
          <w:sz w:val="22"/>
          <w:szCs w:val="22"/>
          <w:highlight w:val="yellow"/>
        </w:rPr>
      </w:pPr>
      <w:r>
        <w:rPr>
          <w:noProof/>
        </w:rPr>
        <w:drawing>
          <wp:inline distT="0" distB="0" distL="0" distR="0" wp14:anchorId="54F7D124" wp14:editId="50309736">
            <wp:extent cx="5648325" cy="3276600"/>
            <wp:effectExtent l="0" t="0" r="9525" b="0"/>
            <wp:docPr id="22" name="Grafikon 22">
              <a:extLst xmlns:a="http://schemas.openxmlformats.org/drawingml/2006/main">
                <a:ext uri="{FF2B5EF4-FFF2-40B4-BE49-F238E27FC236}">
                  <a16:creationId xmlns:a16="http://schemas.microsoft.com/office/drawing/2014/main" id="{AE591074-D0BB-4BC6-AA66-9E85F2C8FF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6EE64CD1" w14:textId="4FBA2D0A" w:rsidR="00722DDE" w:rsidRPr="009E69A4" w:rsidRDefault="00722DDE" w:rsidP="009E69A4">
      <w:pPr>
        <w:autoSpaceDE w:val="0"/>
        <w:autoSpaceDN w:val="0"/>
        <w:adjustRightInd w:val="0"/>
        <w:spacing w:after="0" w:line="240" w:lineRule="auto"/>
        <w:rPr>
          <w:rFonts w:eastAsia="ArialNarrow" w:cstheme="minorHAnsi"/>
          <w:i/>
          <w:color w:val="ABABAB" w:themeColor="text1" w:themeTint="A6"/>
          <w:sz w:val="16"/>
          <w:szCs w:val="16"/>
        </w:rPr>
      </w:pPr>
      <w:r w:rsidRPr="009E69A4">
        <w:rPr>
          <w:rFonts w:eastAsia="ArialNarrow" w:cstheme="minorHAnsi"/>
          <w:i/>
          <w:color w:val="ABABAB" w:themeColor="text1" w:themeTint="A6"/>
          <w:sz w:val="16"/>
          <w:szCs w:val="16"/>
        </w:rPr>
        <w:t>Izvor: Hrvatski zavod za zapošljavanje, Statistika On-line: Registrirana nezaposlenost (</w:t>
      </w:r>
      <w:r w:rsidR="00E85282" w:rsidRPr="009E69A4">
        <w:rPr>
          <w:rFonts w:eastAsia="ArialNarrow" w:cstheme="minorHAnsi"/>
          <w:i/>
          <w:color w:val="ABABAB" w:themeColor="text1" w:themeTint="A6"/>
          <w:sz w:val="16"/>
          <w:szCs w:val="16"/>
        </w:rPr>
        <w:t>veljača</w:t>
      </w:r>
      <w:r w:rsidRPr="009E69A4">
        <w:rPr>
          <w:rFonts w:eastAsia="ArialNarrow" w:cstheme="minorHAnsi"/>
          <w:i/>
          <w:color w:val="ABABAB" w:themeColor="text1" w:themeTint="A6"/>
          <w:sz w:val="16"/>
          <w:szCs w:val="16"/>
        </w:rPr>
        <w:t>, 20</w:t>
      </w:r>
      <w:r w:rsidR="00EB66DB" w:rsidRPr="009E69A4">
        <w:rPr>
          <w:rFonts w:eastAsia="ArialNarrow" w:cstheme="minorHAnsi"/>
          <w:i/>
          <w:color w:val="ABABAB" w:themeColor="text1" w:themeTint="A6"/>
          <w:sz w:val="16"/>
          <w:szCs w:val="16"/>
        </w:rPr>
        <w:t>2</w:t>
      </w:r>
      <w:r w:rsidR="00E85282" w:rsidRPr="009E69A4">
        <w:rPr>
          <w:rFonts w:eastAsia="ArialNarrow" w:cstheme="minorHAnsi"/>
          <w:i/>
          <w:color w:val="ABABAB" w:themeColor="text1" w:themeTint="A6"/>
          <w:sz w:val="16"/>
          <w:szCs w:val="16"/>
        </w:rPr>
        <w:t>1</w:t>
      </w:r>
      <w:r w:rsidRPr="009E69A4">
        <w:rPr>
          <w:rFonts w:eastAsia="ArialNarrow" w:cstheme="minorHAnsi"/>
          <w:i/>
          <w:color w:val="ABABAB" w:themeColor="text1" w:themeTint="A6"/>
          <w:sz w:val="16"/>
          <w:szCs w:val="16"/>
        </w:rPr>
        <w:t>.)</w:t>
      </w:r>
    </w:p>
    <w:p w14:paraId="141DE7C3" w14:textId="77777777" w:rsidR="00722DDE" w:rsidRDefault="00722DDE" w:rsidP="00722DDE"/>
    <w:p w14:paraId="6C6678D1" w14:textId="197D8A91" w:rsidR="00722DDE" w:rsidRPr="009E69A4" w:rsidRDefault="00722DDE" w:rsidP="00722DDE">
      <w:pPr>
        <w:rPr>
          <w:sz w:val="22"/>
          <w:szCs w:val="22"/>
        </w:rPr>
      </w:pPr>
      <w:r>
        <w:t xml:space="preserve">Prema razini obrazovanja </w:t>
      </w:r>
      <w:r w:rsidR="0022122C">
        <w:t>49,04</w:t>
      </w:r>
      <w:r>
        <w:t xml:space="preserve">%, odnosno </w:t>
      </w:r>
      <w:r w:rsidR="00F22073">
        <w:t>487</w:t>
      </w:r>
      <w:r>
        <w:t xml:space="preserve"> dugotrajno nezaposlenih osoba u 201</w:t>
      </w:r>
      <w:r w:rsidR="0022122C">
        <w:t>9</w:t>
      </w:r>
      <w:r>
        <w:t>. godini imalo je završenu srednju školu, a značajan je i udio dugotrajno nezaposlenih sa završenom osnovnom školom (</w:t>
      </w:r>
      <w:r w:rsidR="0022122C">
        <w:t>35,93</w:t>
      </w:r>
      <w:r>
        <w:t xml:space="preserve">% ili </w:t>
      </w:r>
      <w:r w:rsidR="0022122C">
        <w:t>318</w:t>
      </w:r>
      <w:r>
        <w:t xml:space="preserve"> osobe). </w:t>
      </w:r>
      <w:r w:rsidR="0022122C">
        <w:t xml:space="preserve">U 2020. najviše dugotrajno nezaposlenih osoba imalo je završenu srednju školu, njih </w:t>
      </w:r>
      <w:r w:rsidR="00A5297F">
        <w:t>48</w:t>
      </w:r>
      <w:r w:rsidR="00F22073">
        <w:t>7</w:t>
      </w:r>
      <w:r w:rsidR="00A5297F">
        <w:t xml:space="preserve"> odnosno 53,</w:t>
      </w:r>
      <w:r w:rsidR="00F22073">
        <w:t>52</w:t>
      </w:r>
      <w:r w:rsidR="00A5297F">
        <w:t>% u odnosu na ukupan broj dugotrajno nezaposlenih osoba. Potom slijede osobe za završenom osnovnom školom kojih je bilo evidentirano 296 (32,</w:t>
      </w:r>
      <w:r w:rsidR="00F22073">
        <w:t>53</w:t>
      </w:r>
      <w:r w:rsidR="00A5297F">
        <w:t xml:space="preserve">%). </w:t>
      </w:r>
      <w:r>
        <w:t xml:space="preserve">Najviše dugotrajno nezaposlenih starije je od </w:t>
      </w:r>
      <w:r w:rsidR="00F86FE2">
        <w:t>55</w:t>
      </w:r>
      <w:r>
        <w:t xml:space="preserve"> godina (</w:t>
      </w:r>
      <w:r w:rsidR="00F86FE2">
        <w:t>49,01</w:t>
      </w:r>
      <w:r>
        <w:t xml:space="preserve">% ili </w:t>
      </w:r>
      <w:r w:rsidR="00F86FE2">
        <w:t>446</w:t>
      </w:r>
      <w:r>
        <w:t xml:space="preserve"> osoba), a najmanji udio zastupaju osobe mlađe od 2</w:t>
      </w:r>
      <w:r w:rsidR="00F86FE2">
        <w:t>0</w:t>
      </w:r>
      <w:r>
        <w:t xml:space="preserve"> godina (</w:t>
      </w:r>
      <w:r w:rsidR="00F86FE2">
        <w:t>0,8</w:t>
      </w:r>
      <w:r>
        <w:t xml:space="preserve">% ili </w:t>
      </w:r>
      <w:r w:rsidR="00F86FE2">
        <w:t>7</w:t>
      </w:r>
      <w:r>
        <w:t xml:space="preserve"> osoba)</w:t>
      </w:r>
      <w:r w:rsidRPr="009F027E">
        <w:t>.</w:t>
      </w:r>
      <w:r w:rsidR="00D82E02">
        <w:t xml:space="preserve"> </w:t>
      </w:r>
      <w:r>
        <w:rPr>
          <w:sz w:val="22"/>
          <w:szCs w:val="22"/>
        </w:rPr>
        <w:t xml:space="preserve"> </w:t>
      </w:r>
    </w:p>
    <w:p w14:paraId="3C0DD514" w14:textId="77777777" w:rsidR="009917B0" w:rsidRDefault="009917B0" w:rsidP="00722DDE">
      <w:pPr>
        <w:rPr>
          <w:b/>
          <w:bCs/>
          <w:color w:val="D2232A" w:themeColor="accent1"/>
        </w:rPr>
      </w:pPr>
    </w:p>
    <w:p w14:paraId="3FBEC261" w14:textId="2B640276" w:rsidR="37B16C9C" w:rsidRDefault="00437B19" w:rsidP="0052192B">
      <w:pPr>
        <w:pStyle w:val="Naslov2"/>
      </w:pPr>
      <w:bookmarkStart w:id="133" w:name="_Toc85181321"/>
      <w:r>
        <w:t>9</w:t>
      </w:r>
      <w:r w:rsidR="37B16C9C">
        <w:t>.</w:t>
      </w:r>
      <w:r w:rsidR="31291EA5">
        <w:t>5</w:t>
      </w:r>
      <w:r w:rsidR="37B16C9C">
        <w:t>. Učinci epidemioloških mjera na zaposlenost i tržište rada</w:t>
      </w:r>
      <w:bookmarkEnd w:id="133"/>
    </w:p>
    <w:p w14:paraId="6BE8FD39" w14:textId="77777777" w:rsidR="0060636E" w:rsidRPr="0060636E" w:rsidRDefault="0060636E" w:rsidP="0060636E"/>
    <w:p w14:paraId="040E328A" w14:textId="07EF1AFC" w:rsidR="0060636E" w:rsidRPr="0078792D" w:rsidRDefault="0060636E" w:rsidP="0060636E">
      <w:pPr>
        <w:spacing w:after="0"/>
        <w:rPr>
          <w:szCs w:val="18"/>
        </w:rPr>
      </w:pPr>
      <w:r w:rsidRPr="0078792D">
        <w:rPr>
          <w:szCs w:val="18"/>
        </w:rPr>
        <w:t xml:space="preserve">Tablica </w:t>
      </w:r>
      <w:r w:rsidR="000D5E3F">
        <w:rPr>
          <w:color w:val="auto"/>
          <w:szCs w:val="18"/>
        </w:rPr>
        <w:t>71</w:t>
      </w:r>
      <w:r w:rsidR="00C6248D" w:rsidRPr="00C6248D">
        <w:rPr>
          <w:color w:val="auto"/>
          <w:szCs w:val="18"/>
        </w:rPr>
        <w:t>.</w:t>
      </w:r>
      <w:r w:rsidRPr="00C6248D">
        <w:rPr>
          <w:color w:val="auto"/>
          <w:szCs w:val="18"/>
        </w:rPr>
        <w:t xml:space="preserve"> </w:t>
      </w:r>
      <w:r w:rsidRPr="0078792D">
        <w:rPr>
          <w:szCs w:val="18"/>
        </w:rPr>
        <w:t xml:space="preserve">Registrirana nezaposlenost </w:t>
      </w:r>
      <w:r>
        <w:rPr>
          <w:szCs w:val="18"/>
        </w:rPr>
        <w:t>tijekom pandemije bolesti COVID-19 u 2020.</w:t>
      </w:r>
      <w:r>
        <w:fldChar w:fldCharType="begin"/>
      </w:r>
      <w:r>
        <w:instrText xml:space="preserve"> LINK Excel.Sheet.12 "\\\\194.152.214.169\\Dokumenti\\STRATEGIJE\\04_PLAN RAZVOJA KZŽ\\BAZA PODATAKA ZA PRKZŽ\\TRŽIŠTE RADA\\Tržište rada 13.1.2021..xlsx" "Registrirana nezaposlenost 2020!R13C1:R16C5" \a \f 4 \h  \* MERGEFORMAT </w:instrText>
      </w:r>
      <w:r>
        <w:fldChar w:fldCharType="separate"/>
      </w:r>
    </w:p>
    <w:tbl>
      <w:tblPr>
        <w:tblW w:w="9136" w:type="dxa"/>
        <w:jc w:val="center"/>
        <w:tblLook w:val="04A0" w:firstRow="1" w:lastRow="0" w:firstColumn="1" w:lastColumn="0" w:noHBand="0" w:noVBand="1"/>
      </w:tblPr>
      <w:tblGrid>
        <w:gridCol w:w="1878"/>
        <w:gridCol w:w="1814"/>
        <w:gridCol w:w="1815"/>
        <w:gridCol w:w="1814"/>
        <w:gridCol w:w="1815"/>
      </w:tblGrid>
      <w:tr w:rsidR="0060636E" w:rsidRPr="0078792D" w14:paraId="11D4CF29" w14:textId="77777777" w:rsidTr="001234B8">
        <w:trPr>
          <w:trHeight w:val="451"/>
          <w:jc w:val="center"/>
        </w:trPr>
        <w:tc>
          <w:tcPr>
            <w:tcW w:w="1878" w:type="dxa"/>
            <w:tcBorders>
              <w:top w:val="single" w:sz="8" w:space="0" w:color="FFFFFF"/>
              <w:left w:val="nil"/>
              <w:bottom w:val="single" w:sz="8" w:space="0" w:color="F3CFC1"/>
              <w:right w:val="single" w:sz="4" w:space="0" w:color="FFFFFF" w:themeColor="background1"/>
            </w:tcBorders>
            <w:shd w:val="clear" w:color="000000" w:fill="D2232A"/>
            <w:vAlign w:val="center"/>
            <w:hideMark/>
          </w:tcPr>
          <w:p w14:paraId="2FB58936" w14:textId="77777777" w:rsidR="0060636E" w:rsidRPr="001234B8" w:rsidRDefault="0060636E" w:rsidP="00817621">
            <w:pPr>
              <w:spacing w:after="0" w:line="240" w:lineRule="auto"/>
              <w:jc w:val="left"/>
              <w:rPr>
                <w:rFonts w:eastAsia="Times New Roman" w:cs="Calibri"/>
                <w:b/>
                <w:bCs/>
                <w:color w:val="FFFFFF"/>
                <w:szCs w:val="18"/>
                <w:lang w:eastAsia="hr-HR"/>
              </w:rPr>
            </w:pPr>
            <w:r w:rsidRPr="001234B8">
              <w:rPr>
                <w:rFonts w:eastAsia="Times New Roman" w:cs="Calibri"/>
                <w:b/>
                <w:bCs/>
                <w:color w:val="FFFFFF"/>
                <w:szCs w:val="18"/>
                <w:lang w:eastAsia="hr-HR"/>
              </w:rPr>
              <w:t>Prostorna jedinica</w:t>
            </w:r>
          </w:p>
        </w:tc>
        <w:tc>
          <w:tcPr>
            <w:tcW w:w="3629" w:type="dxa"/>
            <w:gridSpan w:val="2"/>
            <w:tcBorders>
              <w:top w:val="nil"/>
              <w:left w:val="single" w:sz="4" w:space="0" w:color="FFFFFF" w:themeColor="background1"/>
              <w:bottom w:val="single" w:sz="8" w:space="0" w:color="F3CFC1"/>
              <w:right w:val="single" w:sz="4" w:space="0" w:color="FFFFFF" w:themeColor="background1"/>
            </w:tcBorders>
            <w:shd w:val="clear" w:color="000000" w:fill="D2232A"/>
            <w:noWrap/>
            <w:vAlign w:val="center"/>
            <w:hideMark/>
          </w:tcPr>
          <w:p w14:paraId="625DB57B" w14:textId="77777777" w:rsidR="0060636E" w:rsidRPr="0078792D" w:rsidRDefault="0060636E" w:rsidP="00817621">
            <w:pPr>
              <w:spacing w:after="0" w:line="240" w:lineRule="auto"/>
              <w:jc w:val="center"/>
              <w:rPr>
                <w:rFonts w:eastAsia="Times New Roman" w:cs="Calibri"/>
                <w:b/>
                <w:bCs/>
                <w:color w:val="FFFFFF"/>
                <w:szCs w:val="18"/>
                <w:lang w:eastAsia="hr-HR"/>
              </w:rPr>
            </w:pPr>
            <w:r w:rsidRPr="0078792D">
              <w:rPr>
                <w:rFonts w:eastAsia="Times New Roman" w:cs="Calibri"/>
                <w:b/>
                <w:bCs/>
                <w:color w:val="FFFFFF"/>
                <w:szCs w:val="18"/>
                <w:lang w:eastAsia="hr-HR"/>
              </w:rPr>
              <w:t>KRAPINSKO-ZAGORSKA ŽUPANIJA</w:t>
            </w:r>
          </w:p>
        </w:tc>
        <w:tc>
          <w:tcPr>
            <w:tcW w:w="3629" w:type="dxa"/>
            <w:gridSpan w:val="2"/>
            <w:tcBorders>
              <w:top w:val="nil"/>
              <w:left w:val="single" w:sz="4" w:space="0" w:color="FFFFFF" w:themeColor="background1"/>
              <w:bottom w:val="single" w:sz="8" w:space="0" w:color="F3CFC1"/>
              <w:right w:val="nil"/>
            </w:tcBorders>
            <w:shd w:val="clear" w:color="000000" w:fill="D2232A"/>
            <w:noWrap/>
            <w:vAlign w:val="center"/>
            <w:hideMark/>
          </w:tcPr>
          <w:p w14:paraId="400819DB" w14:textId="77777777" w:rsidR="0060636E" w:rsidRPr="0078792D" w:rsidRDefault="0060636E" w:rsidP="00817621">
            <w:pPr>
              <w:spacing w:after="0" w:line="240" w:lineRule="auto"/>
              <w:jc w:val="center"/>
              <w:rPr>
                <w:rFonts w:eastAsia="Times New Roman" w:cs="Calibri"/>
                <w:b/>
                <w:bCs/>
                <w:color w:val="FFFFFF"/>
                <w:szCs w:val="18"/>
                <w:lang w:eastAsia="hr-HR"/>
              </w:rPr>
            </w:pPr>
            <w:r w:rsidRPr="0078792D">
              <w:rPr>
                <w:rFonts w:eastAsia="Times New Roman" w:cs="Calibri"/>
                <w:b/>
                <w:bCs/>
                <w:color w:val="FFFFFF"/>
                <w:szCs w:val="18"/>
                <w:lang w:eastAsia="hr-HR"/>
              </w:rPr>
              <w:t>REPUBLIKA HRVATSKA</w:t>
            </w:r>
          </w:p>
        </w:tc>
      </w:tr>
      <w:tr w:rsidR="0060636E" w:rsidRPr="0078792D" w14:paraId="39E290A3" w14:textId="77777777" w:rsidTr="001234B8">
        <w:trPr>
          <w:trHeight w:val="819"/>
          <w:jc w:val="center"/>
        </w:trPr>
        <w:tc>
          <w:tcPr>
            <w:tcW w:w="1878" w:type="dxa"/>
            <w:vMerge w:val="restart"/>
            <w:tcBorders>
              <w:top w:val="nil"/>
              <w:left w:val="nil"/>
              <w:bottom w:val="single" w:sz="8" w:space="0" w:color="F3CFC1"/>
              <w:right w:val="single" w:sz="4" w:space="0" w:color="FFFFFF" w:themeColor="background1"/>
            </w:tcBorders>
            <w:shd w:val="clear" w:color="000000" w:fill="D2232A"/>
            <w:vAlign w:val="center"/>
            <w:hideMark/>
          </w:tcPr>
          <w:p w14:paraId="2C1C2140" w14:textId="77777777" w:rsidR="0060636E" w:rsidRPr="001234B8" w:rsidRDefault="0060636E" w:rsidP="00817621">
            <w:pPr>
              <w:spacing w:after="0" w:line="240" w:lineRule="auto"/>
              <w:jc w:val="left"/>
              <w:rPr>
                <w:rFonts w:ascii="Newslab Light" w:eastAsia="Times New Roman" w:hAnsi="Newslab Light" w:cs="Calibri"/>
                <w:color w:val="FFFFFF"/>
                <w:szCs w:val="18"/>
                <w:lang w:eastAsia="hr-HR"/>
              </w:rPr>
            </w:pPr>
            <w:r w:rsidRPr="001234B8">
              <w:rPr>
                <w:rFonts w:ascii="Newslab Light" w:eastAsia="Times New Roman" w:hAnsi="Newslab Light" w:cs="Calibri"/>
                <w:color w:val="FFFFFF"/>
                <w:szCs w:val="18"/>
                <w:lang w:eastAsia="hr-HR"/>
              </w:rPr>
              <w:t>Razlog nezaposlenosti</w:t>
            </w:r>
          </w:p>
        </w:tc>
        <w:tc>
          <w:tcPr>
            <w:tcW w:w="1814" w:type="dxa"/>
            <w:tcBorders>
              <w:top w:val="nil"/>
              <w:left w:val="single" w:sz="4" w:space="0" w:color="FFFFFF" w:themeColor="background1"/>
              <w:bottom w:val="single" w:sz="8" w:space="0" w:color="F3CFC1"/>
              <w:right w:val="single" w:sz="4" w:space="0" w:color="FFFFFF" w:themeColor="background1"/>
            </w:tcBorders>
            <w:shd w:val="clear" w:color="000000" w:fill="D2232A"/>
            <w:vAlign w:val="center"/>
            <w:hideMark/>
          </w:tcPr>
          <w:p w14:paraId="4E34676B" w14:textId="77777777" w:rsidR="0060636E" w:rsidRPr="0078792D" w:rsidRDefault="0060636E" w:rsidP="00817621">
            <w:pPr>
              <w:spacing w:after="0" w:line="240" w:lineRule="auto"/>
              <w:jc w:val="center"/>
              <w:rPr>
                <w:rFonts w:eastAsia="Times New Roman" w:cs="Calibri"/>
                <w:color w:val="FFFFFF"/>
                <w:szCs w:val="18"/>
                <w:lang w:eastAsia="hr-HR"/>
              </w:rPr>
            </w:pPr>
            <w:r w:rsidRPr="0078792D">
              <w:rPr>
                <w:rFonts w:eastAsia="Times New Roman" w:cs="Calibri"/>
                <w:color w:val="FFFFFF"/>
                <w:szCs w:val="18"/>
                <w:lang w:eastAsia="hr-HR"/>
              </w:rPr>
              <w:t>Novoprijavljeni u 2020.</w:t>
            </w:r>
          </w:p>
        </w:tc>
        <w:tc>
          <w:tcPr>
            <w:tcW w:w="1814" w:type="dxa"/>
            <w:tcBorders>
              <w:top w:val="nil"/>
              <w:left w:val="single" w:sz="4" w:space="0" w:color="FFFFFF" w:themeColor="background1"/>
              <w:bottom w:val="single" w:sz="8" w:space="0" w:color="F3CFC1"/>
              <w:right w:val="single" w:sz="4" w:space="0" w:color="FFFFFF" w:themeColor="background1"/>
            </w:tcBorders>
            <w:shd w:val="clear" w:color="000000" w:fill="D2232A"/>
            <w:vAlign w:val="center"/>
            <w:hideMark/>
          </w:tcPr>
          <w:p w14:paraId="4B706589" w14:textId="77777777" w:rsidR="0060636E" w:rsidRPr="0078792D" w:rsidRDefault="0060636E" w:rsidP="00817621">
            <w:pPr>
              <w:spacing w:after="0" w:line="240" w:lineRule="auto"/>
              <w:jc w:val="center"/>
              <w:rPr>
                <w:rFonts w:eastAsia="Times New Roman" w:cs="Calibri"/>
                <w:color w:val="FFFFFF"/>
                <w:szCs w:val="18"/>
                <w:lang w:eastAsia="hr-HR"/>
              </w:rPr>
            </w:pPr>
            <w:r w:rsidRPr="0078792D">
              <w:rPr>
                <w:rFonts w:eastAsia="Times New Roman" w:cs="Calibri"/>
                <w:color w:val="FFFFFF"/>
                <w:szCs w:val="18"/>
                <w:lang w:eastAsia="hr-HR"/>
              </w:rPr>
              <w:t>Prestanak radnog odnosa</w:t>
            </w:r>
          </w:p>
        </w:tc>
        <w:tc>
          <w:tcPr>
            <w:tcW w:w="1814" w:type="dxa"/>
            <w:tcBorders>
              <w:top w:val="nil"/>
              <w:left w:val="single" w:sz="4" w:space="0" w:color="FFFFFF" w:themeColor="background1"/>
              <w:bottom w:val="single" w:sz="8" w:space="0" w:color="F3CFC1"/>
              <w:right w:val="single" w:sz="4" w:space="0" w:color="FFFFFF" w:themeColor="background1"/>
            </w:tcBorders>
            <w:shd w:val="clear" w:color="000000" w:fill="D2232A"/>
            <w:vAlign w:val="center"/>
            <w:hideMark/>
          </w:tcPr>
          <w:p w14:paraId="31F427AA" w14:textId="77777777" w:rsidR="0060636E" w:rsidRPr="0078792D" w:rsidRDefault="0060636E" w:rsidP="00817621">
            <w:pPr>
              <w:spacing w:after="0" w:line="240" w:lineRule="auto"/>
              <w:jc w:val="center"/>
              <w:rPr>
                <w:rFonts w:eastAsia="Times New Roman" w:cs="Calibri"/>
                <w:color w:val="FFFFFF"/>
                <w:szCs w:val="18"/>
                <w:lang w:eastAsia="hr-HR"/>
              </w:rPr>
            </w:pPr>
            <w:r w:rsidRPr="0078792D">
              <w:rPr>
                <w:rFonts w:eastAsia="Times New Roman" w:cs="Calibri"/>
                <w:color w:val="FFFFFF"/>
                <w:szCs w:val="18"/>
                <w:lang w:eastAsia="hr-HR"/>
              </w:rPr>
              <w:t>Novoprijavljeni u 2020.</w:t>
            </w:r>
          </w:p>
        </w:tc>
        <w:tc>
          <w:tcPr>
            <w:tcW w:w="1814" w:type="dxa"/>
            <w:tcBorders>
              <w:top w:val="nil"/>
              <w:left w:val="single" w:sz="4" w:space="0" w:color="FFFFFF" w:themeColor="background1"/>
              <w:bottom w:val="single" w:sz="8" w:space="0" w:color="F3CFC1"/>
              <w:right w:val="nil"/>
            </w:tcBorders>
            <w:shd w:val="clear" w:color="000000" w:fill="D2232A"/>
            <w:vAlign w:val="center"/>
            <w:hideMark/>
          </w:tcPr>
          <w:p w14:paraId="7EA27800" w14:textId="77777777" w:rsidR="0060636E" w:rsidRPr="0078792D" w:rsidRDefault="0060636E" w:rsidP="00817621">
            <w:pPr>
              <w:spacing w:after="0" w:line="240" w:lineRule="auto"/>
              <w:jc w:val="center"/>
              <w:rPr>
                <w:rFonts w:eastAsia="Times New Roman" w:cs="Calibri"/>
                <w:color w:val="FFFFFF"/>
                <w:szCs w:val="18"/>
                <w:lang w:eastAsia="hr-HR"/>
              </w:rPr>
            </w:pPr>
            <w:r w:rsidRPr="0078792D">
              <w:rPr>
                <w:rFonts w:eastAsia="Times New Roman" w:cs="Calibri"/>
                <w:color w:val="FFFFFF"/>
                <w:szCs w:val="18"/>
                <w:lang w:eastAsia="hr-HR"/>
              </w:rPr>
              <w:t>Prestanak radnog odnosa</w:t>
            </w:r>
          </w:p>
        </w:tc>
      </w:tr>
      <w:tr w:rsidR="0060636E" w:rsidRPr="0078792D" w14:paraId="733EDB9C" w14:textId="77777777" w:rsidTr="001234B8">
        <w:trPr>
          <w:trHeight w:val="439"/>
          <w:jc w:val="center"/>
        </w:trPr>
        <w:tc>
          <w:tcPr>
            <w:tcW w:w="1878" w:type="dxa"/>
            <w:vMerge/>
            <w:tcBorders>
              <w:top w:val="nil"/>
              <w:left w:val="nil"/>
              <w:bottom w:val="single" w:sz="8" w:space="0" w:color="F3CFC1"/>
              <w:right w:val="single" w:sz="4" w:space="0" w:color="FFFFFF" w:themeColor="background1"/>
            </w:tcBorders>
            <w:vAlign w:val="center"/>
            <w:hideMark/>
          </w:tcPr>
          <w:p w14:paraId="43D381C6" w14:textId="77777777" w:rsidR="0060636E" w:rsidRPr="0078792D" w:rsidRDefault="0060636E" w:rsidP="00817621">
            <w:pPr>
              <w:spacing w:after="0" w:line="240" w:lineRule="auto"/>
              <w:jc w:val="left"/>
              <w:rPr>
                <w:rFonts w:eastAsia="Times New Roman" w:cs="Calibri"/>
                <w:color w:val="FFFFFF"/>
                <w:szCs w:val="18"/>
                <w:lang w:eastAsia="hr-HR"/>
              </w:rPr>
            </w:pPr>
          </w:p>
        </w:tc>
        <w:tc>
          <w:tcPr>
            <w:tcW w:w="1814" w:type="dxa"/>
            <w:tcBorders>
              <w:top w:val="nil"/>
              <w:left w:val="single" w:sz="4" w:space="0" w:color="FFFFFF" w:themeColor="background1"/>
              <w:bottom w:val="single" w:sz="8" w:space="0" w:color="F3CFC1"/>
              <w:right w:val="single" w:sz="8" w:space="0" w:color="D2232A"/>
            </w:tcBorders>
            <w:shd w:val="clear" w:color="auto" w:fill="auto"/>
            <w:vAlign w:val="center"/>
            <w:hideMark/>
          </w:tcPr>
          <w:p w14:paraId="24266A7D"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4</w:t>
            </w:r>
            <w:r>
              <w:rPr>
                <w:rFonts w:eastAsia="Times New Roman" w:cs="Calibri"/>
                <w:color w:val="3F3F3F"/>
                <w:szCs w:val="18"/>
                <w:lang w:eastAsia="hr-HR"/>
              </w:rPr>
              <w:t>.</w:t>
            </w:r>
            <w:r w:rsidRPr="0078792D">
              <w:rPr>
                <w:rFonts w:eastAsia="Times New Roman" w:cs="Calibri"/>
                <w:color w:val="3F3F3F"/>
                <w:szCs w:val="18"/>
                <w:lang w:eastAsia="hr-HR"/>
              </w:rPr>
              <w:t>706</w:t>
            </w:r>
          </w:p>
        </w:tc>
        <w:tc>
          <w:tcPr>
            <w:tcW w:w="1814" w:type="dxa"/>
            <w:tcBorders>
              <w:top w:val="nil"/>
              <w:left w:val="nil"/>
              <w:bottom w:val="single" w:sz="8" w:space="0" w:color="F3CFC1"/>
              <w:right w:val="single" w:sz="8" w:space="0" w:color="D2232A"/>
            </w:tcBorders>
            <w:shd w:val="clear" w:color="auto" w:fill="auto"/>
            <w:vAlign w:val="center"/>
            <w:hideMark/>
          </w:tcPr>
          <w:p w14:paraId="70D003EA"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3</w:t>
            </w:r>
            <w:r>
              <w:rPr>
                <w:rFonts w:eastAsia="Times New Roman" w:cs="Calibri"/>
                <w:color w:val="3F3F3F"/>
                <w:szCs w:val="18"/>
                <w:lang w:eastAsia="hr-HR"/>
              </w:rPr>
              <w:t>.</w:t>
            </w:r>
            <w:r w:rsidRPr="0078792D">
              <w:rPr>
                <w:rFonts w:eastAsia="Times New Roman" w:cs="Calibri"/>
                <w:color w:val="3F3F3F"/>
                <w:szCs w:val="18"/>
                <w:lang w:eastAsia="hr-HR"/>
              </w:rPr>
              <w:t>465</w:t>
            </w:r>
          </w:p>
        </w:tc>
        <w:tc>
          <w:tcPr>
            <w:tcW w:w="1814" w:type="dxa"/>
            <w:tcBorders>
              <w:top w:val="nil"/>
              <w:left w:val="nil"/>
              <w:bottom w:val="single" w:sz="8" w:space="0" w:color="F3CFC1"/>
              <w:right w:val="single" w:sz="8" w:space="0" w:color="D2232A"/>
            </w:tcBorders>
            <w:shd w:val="clear" w:color="auto" w:fill="auto"/>
            <w:vAlign w:val="center"/>
            <w:hideMark/>
          </w:tcPr>
          <w:p w14:paraId="77332549"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218</w:t>
            </w:r>
            <w:r>
              <w:rPr>
                <w:rFonts w:eastAsia="Times New Roman" w:cs="Calibri"/>
                <w:color w:val="3F3F3F"/>
                <w:szCs w:val="18"/>
                <w:lang w:eastAsia="hr-HR"/>
              </w:rPr>
              <w:t>.</w:t>
            </w:r>
            <w:r w:rsidRPr="0078792D">
              <w:rPr>
                <w:rFonts w:eastAsia="Times New Roman" w:cs="Calibri"/>
                <w:color w:val="3F3F3F"/>
                <w:szCs w:val="18"/>
                <w:lang w:eastAsia="hr-HR"/>
              </w:rPr>
              <w:t>470</w:t>
            </w:r>
          </w:p>
        </w:tc>
        <w:tc>
          <w:tcPr>
            <w:tcW w:w="1814" w:type="dxa"/>
            <w:tcBorders>
              <w:top w:val="nil"/>
              <w:left w:val="nil"/>
              <w:bottom w:val="single" w:sz="8" w:space="0" w:color="F3CFC1"/>
              <w:right w:val="single" w:sz="8" w:space="0" w:color="D2232A"/>
            </w:tcBorders>
            <w:shd w:val="clear" w:color="auto" w:fill="auto"/>
            <w:vAlign w:val="center"/>
            <w:hideMark/>
          </w:tcPr>
          <w:p w14:paraId="002A5656"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163</w:t>
            </w:r>
            <w:r>
              <w:rPr>
                <w:rFonts w:eastAsia="Times New Roman" w:cs="Calibri"/>
                <w:color w:val="3F3F3F"/>
                <w:szCs w:val="18"/>
                <w:lang w:eastAsia="hr-HR"/>
              </w:rPr>
              <w:t>.</w:t>
            </w:r>
            <w:r w:rsidRPr="0078792D">
              <w:rPr>
                <w:rFonts w:eastAsia="Times New Roman" w:cs="Calibri"/>
                <w:color w:val="3F3F3F"/>
                <w:szCs w:val="18"/>
                <w:lang w:eastAsia="hr-HR"/>
              </w:rPr>
              <w:t>109</w:t>
            </w:r>
          </w:p>
        </w:tc>
      </w:tr>
      <w:tr w:rsidR="0060636E" w:rsidRPr="0078792D" w14:paraId="79FFD841" w14:textId="77777777" w:rsidTr="001234B8">
        <w:trPr>
          <w:trHeight w:val="546"/>
          <w:jc w:val="center"/>
        </w:trPr>
        <w:tc>
          <w:tcPr>
            <w:tcW w:w="1878" w:type="dxa"/>
            <w:tcBorders>
              <w:top w:val="nil"/>
              <w:left w:val="nil"/>
              <w:bottom w:val="single" w:sz="8" w:space="0" w:color="F3CFC1"/>
              <w:right w:val="single" w:sz="4" w:space="0" w:color="FFFFFF" w:themeColor="background1"/>
            </w:tcBorders>
            <w:shd w:val="clear" w:color="000000" w:fill="D2232A"/>
            <w:vAlign w:val="center"/>
            <w:hideMark/>
          </w:tcPr>
          <w:p w14:paraId="4D7BDC9E" w14:textId="77777777" w:rsidR="0060636E" w:rsidRPr="0078792D" w:rsidRDefault="0060636E" w:rsidP="00817621">
            <w:pPr>
              <w:spacing w:after="0" w:line="240" w:lineRule="auto"/>
              <w:jc w:val="left"/>
              <w:rPr>
                <w:rFonts w:eastAsia="Times New Roman" w:cs="Calibri"/>
                <w:color w:val="FFFFFF"/>
                <w:szCs w:val="18"/>
                <w:lang w:eastAsia="hr-HR"/>
              </w:rPr>
            </w:pPr>
            <w:r w:rsidRPr="0078792D">
              <w:rPr>
                <w:rFonts w:eastAsia="Times New Roman" w:cs="Calibri"/>
                <w:color w:val="FFFFFF"/>
                <w:szCs w:val="18"/>
                <w:lang w:eastAsia="hr-HR"/>
              </w:rPr>
              <w:t>Broj nezaposlenih osoba</w:t>
            </w:r>
          </w:p>
        </w:tc>
        <w:tc>
          <w:tcPr>
            <w:tcW w:w="1814" w:type="dxa"/>
            <w:tcBorders>
              <w:top w:val="nil"/>
              <w:left w:val="single" w:sz="4" w:space="0" w:color="FFFFFF" w:themeColor="background1"/>
              <w:bottom w:val="single" w:sz="8" w:space="0" w:color="F3CFC1"/>
              <w:right w:val="single" w:sz="8" w:space="0" w:color="D2232A"/>
            </w:tcBorders>
            <w:shd w:val="clear" w:color="auto" w:fill="auto"/>
            <w:vAlign w:val="center"/>
            <w:hideMark/>
          </w:tcPr>
          <w:p w14:paraId="23CB85AC" w14:textId="77777777" w:rsidR="0060636E"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2</w:t>
            </w:r>
            <w:r>
              <w:rPr>
                <w:rFonts w:eastAsia="Times New Roman" w:cs="Calibri"/>
                <w:color w:val="3F3F3F"/>
                <w:szCs w:val="18"/>
                <w:lang w:eastAsia="hr-HR"/>
              </w:rPr>
              <w:t>.</w:t>
            </w:r>
            <w:r w:rsidRPr="0078792D">
              <w:rPr>
                <w:rFonts w:eastAsia="Times New Roman" w:cs="Calibri"/>
                <w:color w:val="3F3F3F"/>
                <w:szCs w:val="18"/>
                <w:lang w:eastAsia="hr-HR"/>
              </w:rPr>
              <w:t xml:space="preserve">670 </w:t>
            </w:r>
          </w:p>
          <w:p w14:paraId="51D3DD04"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(prosjek 2020.)</w:t>
            </w:r>
          </w:p>
        </w:tc>
        <w:tc>
          <w:tcPr>
            <w:tcW w:w="1814" w:type="dxa"/>
            <w:tcBorders>
              <w:top w:val="nil"/>
              <w:left w:val="nil"/>
              <w:bottom w:val="single" w:sz="8" w:space="0" w:color="F3CFC1"/>
              <w:right w:val="single" w:sz="8" w:space="0" w:color="D2232A"/>
            </w:tcBorders>
            <w:shd w:val="clear" w:color="auto" w:fill="auto"/>
            <w:vAlign w:val="center"/>
            <w:hideMark/>
          </w:tcPr>
          <w:p w14:paraId="47D2D1DF" w14:textId="77777777" w:rsidR="0060636E"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2</w:t>
            </w:r>
            <w:r>
              <w:rPr>
                <w:rFonts w:eastAsia="Times New Roman" w:cs="Calibri"/>
                <w:color w:val="3F3F3F"/>
                <w:szCs w:val="18"/>
                <w:lang w:eastAsia="hr-HR"/>
              </w:rPr>
              <w:t>.</w:t>
            </w:r>
            <w:r w:rsidRPr="0078792D">
              <w:rPr>
                <w:rFonts w:eastAsia="Times New Roman" w:cs="Calibri"/>
                <w:color w:val="3F3F3F"/>
                <w:szCs w:val="18"/>
                <w:lang w:eastAsia="hr-HR"/>
              </w:rPr>
              <w:t xml:space="preserve">886 </w:t>
            </w:r>
          </w:p>
          <w:p w14:paraId="7DCA35AB"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w:t>
            </w:r>
            <w:r>
              <w:rPr>
                <w:rFonts w:eastAsia="Times New Roman" w:cs="Calibri"/>
                <w:color w:val="3F3F3F"/>
                <w:szCs w:val="18"/>
                <w:lang w:eastAsia="hr-HR"/>
              </w:rPr>
              <w:t xml:space="preserve">stanje na dan </w:t>
            </w:r>
            <w:r w:rsidRPr="0078792D">
              <w:rPr>
                <w:rFonts w:eastAsia="Times New Roman" w:cs="Calibri"/>
                <w:color w:val="3F3F3F"/>
                <w:szCs w:val="18"/>
                <w:lang w:eastAsia="hr-HR"/>
              </w:rPr>
              <w:t>31.12.2020.)</w:t>
            </w:r>
          </w:p>
        </w:tc>
        <w:tc>
          <w:tcPr>
            <w:tcW w:w="1814" w:type="dxa"/>
            <w:tcBorders>
              <w:top w:val="nil"/>
              <w:left w:val="nil"/>
              <w:bottom w:val="single" w:sz="8" w:space="0" w:color="F3CFC1"/>
              <w:right w:val="single" w:sz="8" w:space="0" w:color="D2232A"/>
            </w:tcBorders>
            <w:shd w:val="clear" w:color="auto" w:fill="auto"/>
            <w:vAlign w:val="center"/>
            <w:hideMark/>
          </w:tcPr>
          <w:p w14:paraId="5179E345" w14:textId="77777777" w:rsidR="0060636E"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150</w:t>
            </w:r>
            <w:r>
              <w:rPr>
                <w:rFonts w:eastAsia="Times New Roman" w:cs="Calibri"/>
                <w:color w:val="3F3F3F"/>
                <w:szCs w:val="18"/>
                <w:lang w:eastAsia="hr-HR"/>
              </w:rPr>
              <w:t>.</w:t>
            </w:r>
            <w:r w:rsidRPr="0078792D">
              <w:rPr>
                <w:rFonts w:eastAsia="Times New Roman" w:cs="Calibri"/>
                <w:color w:val="3F3F3F"/>
                <w:szCs w:val="18"/>
                <w:lang w:eastAsia="hr-HR"/>
              </w:rPr>
              <w:t xml:space="preserve">824 </w:t>
            </w:r>
          </w:p>
          <w:p w14:paraId="4C10BB89"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(prosjek)</w:t>
            </w:r>
          </w:p>
        </w:tc>
        <w:tc>
          <w:tcPr>
            <w:tcW w:w="1814" w:type="dxa"/>
            <w:tcBorders>
              <w:top w:val="nil"/>
              <w:left w:val="nil"/>
              <w:bottom w:val="single" w:sz="8" w:space="0" w:color="F3CFC1"/>
              <w:right w:val="single" w:sz="8" w:space="0" w:color="D2232A"/>
            </w:tcBorders>
            <w:shd w:val="clear" w:color="auto" w:fill="auto"/>
            <w:noWrap/>
            <w:vAlign w:val="center"/>
            <w:hideMark/>
          </w:tcPr>
          <w:p w14:paraId="38F75F12" w14:textId="77777777" w:rsidR="0060636E"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159</w:t>
            </w:r>
            <w:r>
              <w:rPr>
                <w:rFonts w:eastAsia="Times New Roman" w:cs="Calibri"/>
                <w:color w:val="3F3F3F"/>
                <w:szCs w:val="18"/>
                <w:lang w:eastAsia="hr-HR"/>
              </w:rPr>
              <w:t>.</w:t>
            </w:r>
            <w:r w:rsidRPr="0078792D">
              <w:rPr>
                <w:rFonts w:eastAsia="Times New Roman" w:cs="Calibri"/>
                <w:color w:val="3F3F3F"/>
                <w:szCs w:val="18"/>
                <w:lang w:eastAsia="hr-HR"/>
              </w:rPr>
              <w:t xml:space="preserve">845 </w:t>
            </w:r>
          </w:p>
          <w:p w14:paraId="05070963"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w:t>
            </w:r>
            <w:r>
              <w:rPr>
                <w:rFonts w:eastAsia="Times New Roman" w:cs="Calibri"/>
                <w:color w:val="3F3F3F"/>
                <w:szCs w:val="18"/>
                <w:lang w:eastAsia="hr-HR"/>
              </w:rPr>
              <w:t>stanje na dan</w:t>
            </w:r>
            <w:r w:rsidRPr="0078792D">
              <w:rPr>
                <w:rFonts w:eastAsia="Times New Roman" w:cs="Calibri"/>
                <w:color w:val="3F3F3F"/>
                <w:szCs w:val="18"/>
                <w:lang w:eastAsia="hr-HR"/>
              </w:rPr>
              <w:t>31.12.2020.)</w:t>
            </w:r>
          </w:p>
        </w:tc>
      </w:tr>
    </w:tbl>
    <w:p w14:paraId="671825C7" w14:textId="77777777" w:rsidR="0060636E" w:rsidRPr="009E69A4" w:rsidRDefault="0060636E" w:rsidP="009E69A4">
      <w:pPr>
        <w:autoSpaceDE w:val="0"/>
        <w:autoSpaceDN w:val="0"/>
        <w:adjustRightInd w:val="0"/>
        <w:spacing w:after="0" w:line="240" w:lineRule="auto"/>
        <w:rPr>
          <w:rFonts w:eastAsia="ArialNarrow" w:cstheme="minorHAnsi"/>
          <w:i/>
          <w:color w:val="ABABAB" w:themeColor="text1" w:themeTint="A6"/>
          <w:sz w:val="16"/>
          <w:szCs w:val="16"/>
        </w:rPr>
      </w:pPr>
      <w:r>
        <w:rPr>
          <w:szCs w:val="18"/>
        </w:rPr>
        <w:fldChar w:fldCharType="end"/>
      </w:r>
      <w:r w:rsidRPr="009E69A4">
        <w:rPr>
          <w:rFonts w:eastAsia="ArialNarrow" w:cstheme="minorHAnsi"/>
          <w:i/>
          <w:color w:val="ABABAB" w:themeColor="text1" w:themeTint="A6"/>
          <w:sz w:val="16"/>
          <w:szCs w:val="16"/>
        </w:rPr>
        <w:t>Izvor: HZZ PU Krapina, siječanj 2021.</w:t>
      </w:r>
    </w:p>
    <w:p w14:paraId="246E405A" w14:textId="77777777" w:rsidR="0060636E" w:rsidRDefault="0060636E" w:rsidP="0060636E">
      <w:pPr>
        <w:rPr>
          <w:sz w:val="22"/>
          <w:szCs w:val="22"/>
        </w:rPr>
      </w:pPr>
    </w:p>
    <w:p w14:paraId="34A7763E" w14:textId="77777777" w:rsidR="0060636E" w:rsidRDefault="0060636E" w:rsidP="0060636E">
      <w:pPr>
        <w:rPr>
          <w:szCs w:val="18"/>
        </w:rPr>
      </w:pPr>
      <w:r w:rsidRPr="00A20FCF">
        <w:rPr>
          <w:szCs w:val="18"/>
        </w:rPr>
        <w:t>U razdoblju pandemije bolesti COVID-19 tijekom 2020. u evidencij</w:t>
      </w:r>
      <w:r>
        <w:rPr>
          <w:szCs w:val="18"/>
        </w:rPr>
        <w:t>i</w:t>
      </w:r>
      <w:r w:rsidRPr="00A20FCF">
        <w:rPr>
          <w:szCs w:val="18"/>
        </w:rPr>
        <w:t xml:space="preserve"> Hrvatskog zavoda za zapošljavanje Područnog ureda Krapina </w:t>
      </w:r>
      <w:r>
        <w:rPr>
          <w:szCs w:val="18"/>
        </w:rPr>
        <w:t>novoprijavljeno</w:t>
      </w:r>
      <w:r w:rsidRPr="00A20FCF">
        <w:rPr>
          <w:szCs w:val="18"/>
        </w:rPr>
        <w:t xml:space="preserve"> je 4.706 osoba</w:t>
      </w:r>
      <w:r>
        <w:rPr>
          <w:szCs w:val="18"/>
        </w:rPr>
        <w:t xml:space="preserve"> od čega je</w:t>
      </w:r>
      <w:r w:rsidRPr="00A20FCF">
        <w:rPr>
          <w:szCs w:val="18"/>
        </w:rPr>
        <w:t xml:space="preserve"> 3.465 osoba direktno iz radnog odnosa odnosno razlog prijave u evidenciju je prestanak radnog odnosa. </w:t>
      </w:r>
      <w:r>
        <w:rPr>
          <w:szCs w:val="18"/>
        </w:rPr>
        <w:t xml:space="preserve">Krajem prosinca 2020. registrirano je 2.886 nezaposlenih osoba, što ukazuje na povećanje za 1,5% u odnosu na stanje prethodnog mjeseca te povećanje za 28% u odnosu na isto razdoblje 2019. godine. Iz evidentirane nezaposlenosti u prosincu 2020. godine izašla je 281 osoba što je 3,4% manje u odnosu na prosinac 2019. Zbog zapošljavanja evidenciju je napustilo 196 osoba, a 85 osoba brisano je zbog drugih razloga. Ukupan broj zaposlenih osoba iz evidencije nezaposlenih manje je za 3,9% u odnosu na prosinac 2019. godine. </w:t>
      </w:r>
    </w:p>
    <w:p w14:paraId="176FEF2F" w14:textId="7ACECC80" w:rsidR="0060636E" w:rsidRDefault="0060636E" w:rsidP="0060636E">
      <w:pPr>
        <w:rPr>
          <w:szCs w:val="18"/>
        </w:rPr>
      </w:pPr>
      <w:r>
        <w:rPr>
          <w:szCs w:val="18"/>
        </w:rPr>
        <w:lastRenderedPageBreak/>
        <w:t>Uvjetovano pandemijom koronavirusa (COVID-19) Hrvatski zavod za zapošljavanje, uveo je mjeru Potpora za očuvanje radnih mjesta u djelatnostima pogođenim koronavirusom kako bi se radnicima zadržala radna mjesta odnosno osigurao ostanak u zaposlenosti. Provedba mjera započela je 23. ožujka 2020. godine te se dodjeljivala poslodavcima. Uz djelomično izmijenjene uvjete i obuhvaćene djelatnosti, mjera je bila dostupna do kraja 2020. godine, a nastavit će se i tijekom 2021. godine. Uz to aktivirana je i mjera Potpora za skraćivanje radnog vremena kojom Zavod i dalje nastoji aktivnosti usmjeravati na očuvanje radnih mjesta u djelatnostima/sektorima koji su najugroženiji. S istim ciljem, donesena je i mjera namijenjena osobama s invaliditetom Potpora za očuvanje radnih mjesta u zaštitnim radionicama, integrativnim radionicama i radnim jedinicama za zapošljavanje osoba s invaliditetom.</w:t>
      </w:r>
      <w:r>
        <w:rPr>
          <w:rStyle w:val="Referencafusnote"/>
          <w:szCs w:val="18"/>
        </w:rPr>
        <w:footnoteReference w:id="64"/>
      </w:r>
      <w:r>
        <w:rPr>
          <w:szCs w:val="18"/>
        </w:rPr>
        <w:t xml:space="preserve"> </w:t>
      </w:r>
    </w:p>
    <w:p w14:paraId="6A883E0A" w14:textId="77777777" w:rsidR="005A73BA" w:rsidRPr="00A20FCF" w:rsidRDefault="005A73BA" w:rsidP="0060636E">
      <w:pPr>
        <w:rPr>
          <w:szCs w:val="18"/>
        </w:rPr>
      </w:pPr>
    </w:p>
    <w:p w14:paraId="3C379C91" w14:textId="6B54217C" w:rsidR="0060636E" w:rsidRPr="00CB4288" w:rsidRDefault="0060636E" w:rsidP="0060636E">
      <w:pPr>
        <w:rPr>
          <w:szCs w:val="18"/>
        </w:rPr>
      </w:pPr>
      <w:r>
        <w:rPr>
          <w:szCs w:val="18"/>
        </w:rPr>
        <w:t xml:space="preserve">Tablica </w:t>
      </w:r>
      <w:r w:rsidR="000D5E3F">
        <w:rPr>
          <w:color w:val="auto"/>
          <w:szCs w:val="18"/>
        </w:rPr>
        <w:t>72</w:t>
      </w:r>
      <w:r w:rsidR="005A73BA" w:rsidRPr="005A73BA">
        <w:rPr>
          <w:color w:val="auto"/>
          <w:szCs w:val="18"/>
        </w:rPr>
        <w:t>.</w:t>
      </w:r>
      <w:r w:rsidRPr="005A73BA">
        <w:rPr>
          <w:color w:val="auto"/>
          <w:szCs w:val="18"/>
        </w:rPr>
        <w:t xml:space="preserve"> </w:t>
      </w:r>
      <w:r w:rsidRPr="0078792D">
        <w:rPr>
          <w:szCs w:val="18"/>
        </w:rPr>
        <w:t>Broj korisnika Potpore za očuvanje radnih mjesta</w:t>
      </w:r>
      <w:r>
        <w:rPr>
          <w:szCs w:val="18"/>
        </w:rPr>
        <w:t xml:space="preserve"> -</w:t>
      </w:r>
      <w:r w:rsidRPr="0078792D">
        <w:rPr>
          <w:szCs w:val="18"/>
        </w:rPr>
        <w:t xml:space="preserve"> poslodavaca kojima je zbog posebne okolnosti uvjetovane </w:t>
      </w:r>
      <w:r>
        <w:rPr>
          <w:szCs w:val="18"/>
        </w:rPr>
        <w:t>k</w:t>
      </w:r>
      <w:r w:rsidRPr="0078792D">
        <w:rPr>
          <w:szCs w:val="18"/>
        </w:rPr>
        <w:t>oronavirusom (COVID -19) narušena gospodarska aktivnost</w:t>
      </w:r>
      <w:r w:rsidRPr="00CB4288">
        <w:rPr>
          <w:szCs w:val="18"/>
        </w:rPr>
        <w:fldChar w:fldCharType="begin"/>
      </w:r>
      <w:r w:rsidRPr="00CB4288">
        <w:rPr>
          <w:szCs w:val="18"/>
        </w:rPr>
        <w:instrText xml:space="preserve"> LINK Excel.Sheet.12 "\\\\194.152.214.169\\Dokumenti\\STRATEGIJE\\04_PLAN RAZVOJA KZŽ\\BAZA PODATAKA ZA PRKZŽ\\TRŽIŠTE RADA\\Tržište rada 13.1.2021..xlsx" "Potpore za očuvanje rad. mjesta!R3C1:R4C3" \a \f 4 \h  \* MERGEFORMAT </w:instrText>
      </w:r>
      <w:r w:rsidRPr="00CB4288">
        <w:rPr>
          <w:szCs w:val="18"/>
        </w:rPr>
        <w:fldChar w:fldCharType="separate"/>
      </w:r>
    </w:p>
    <w:tbl>
      <w:tblPr>
        <w:tblW w:w="9117" w:type="dxa"/>
        <w:jc w:val="center"/>
        <w:tblLook w:val="04A0" w:firstRow="1" w:lastRow="0" w:firstColumn="1" w:lastColumn="0" w:noHBand="0" w:noVBand="1"/>
      </w:tblPr>
      <w:tblGrid>
        <w:gridCol w:w="2715"/>
        <w:gridCol w:w="3201"/>
        <w:gridCol w:w="3201"/>
      </w:tblGrid>
      <w:tr w:rsidR="0060636E" w:rsidRPr="0078792D" w14:paraId="23BD890E" w14:textId="77777777" w:rsidTr="005A73BA">
        <w:trPr>
          <w:trHeight w:val="646"/>
          <w:jc w:val="center"/>
        </w:trPr>
        <w:tc>
          <w:tcPr>
            <w:tcW w:w="2715" w:type="dxa"/>
            <w:tcBorders>
              <w:top w:val="single" w:sz="8" w:space="0" w:color="FFFFFF"/>
              <w:left w:val="nil"/>
              <w:bottom w:val="single" w:sz="8" w:space="0" w:color="F3CFC1"/>
              <w:right w:val="nil"/>
            </w:tcBorders>
            <w:shd w:val="clear" w:color="000000" w:fill="D2232A"/>
            <w:vAlign w:val="center"/>
            <w:hideMark/>
          </w:tcPr>
          <w:p w14:paraId="3C7E2CE2" w14:textId="77777777" w:rsidR="0060636E" w:rsidRPr="005A73BA" w:rsidRDefault="0060636E" w:rsidP="00817621">
            <w:pPr>
              <w:spacing w:after="0" w:line="240" w:lineRule="auto"/>
              <w:jc w:val="left"/>
              <w:rPr>
                <w:rFonts w:eastAsia="Times New Roman" w:cs="Calibri"/>
                <w:b/>
                <w:bCs/>
                <w:color w:val="FFFFFF"/>
                <w:szCs w:val="18"/>
                <w:lang w:eastAsia="hr-HR"/>
              </w:rPr>
            </w:pPr>
            <w:r w:rsidRPr="005A73BA">
              <w:rPr>
                <w:rFonts w:eastAsia="Times New Roman" w:cs="Calibri"/>
                <w:b/>
                <w:bCs/>
                <w:color w:val="FFFFFF"/>
                <w:szCs w:val="18"/>
                <w:lang w:eastAsia="hr-HR"/>
              </w:rPr>
              <w:t>Prostorna jedinica</w:t>
            </w:r>
          </w:p>
        </w:tc>
        <w:tc>
          <w:tcPr>
            <w:tcW w:w="3201" w:type="dxa"/>
            <w:tcBorders>
              <w:top w:val="nil"/>
              <w:left w:val="single" w:sz="4" w:space="0" w:color="auto"/>
              <w:bottom w:val="single" w:sz="8" w:space="0" w:color="F3CFC1"/>
              <w:right w:val="nil"/>
            </w:tcBorders>
            <w:shd w:val="clear" w:color="000000" w:fill="D2232A"/>
            <w:vAlign w:val="center"/>
            <w:hideMark/>
          </w:tcPr>
          <w:p w14:paraId="4F8CBB82" w14:textId="77777777" w:rsidR="0060636E" w:rsidRPr="0078792D" w:rsidRDefault="0060636E" w:rsidP="00817621">
            <w:pPr>
              <w:spacing w:after="0" w:line="240" w:lineRule="auto"/>
              <w:jc w:val="center"/>
              <w:rPr>
                <w:rFonts w:eastAsia="Times New Roman" w:cs="Calibri"/>
                <w:b/>
                <w:bCs/>
                <w:color w:val="FFFFFF"/>
                <w:szCs w:val="18"/>
                <w:lang w:eastAsia="hr-HR"/>
              </w:rPr>
            </w:pPr>
            <w:r w:rsidRPr="0078792D">
              <w:rPr>
                <w:rFonts w:eastAsia="Times New Roman" w:cs="Calibri"/>
                <w:b/>
                <w:bCs/>
                <w:color w:val="FFFFFF"/>
                <w:szCs w:val="18"/>
                <w:lang w:eastAsia="hr-HR"/>
              </w:rPr>
              <w:t>KRAPINSKO-ZAGORSKA ŽUPANIJA</w:t>
            </w:r>
          </w:p>
        </w:tc>
        <w:tc>
          <w:tcPr>
            <w:tcW w:w="3201" w:type="dxa"/>
            <w:tcBorders>
              <w:top w:val="nil"/>
              <w:left w:val="single" w:sz="8" w:space="0" w:color="FFFFFF"/>
              <w:bottom w:val="single" w:sz="8" w:space="0" w:color="F3CFC1"/>
              <w:right w:val="nil"/>
            </w:tcBorders>
            <w:shd w:val="clear" w:color="000000" w:fill="D2232A"/>
            <w:noWrap/>
            <w:vAlign w:val="center"/>
            <w:hideMark/>
          </w:tcPr>
          <w:p w14:paraId="65024929" w14:textId="77777777" w:rsidR="0060636E" w:rsidRPr="0078792D" w:rsidRDefault="0060636E" w:rsidP="00817621">
            <w:pPr>
              <w:spacing w:after="0" w:line="240" w:lineRule="auto"/>
              <w:jc w:val="center"/>
              <w:rPr>
                <w:rFonts w:eastAsia="Times New Roman" w:cs="Calibri"/>
                <w:b/>
                <w:bCs/>
                <w:color w:val="FFFFFF"/>
                <w:szCs w:val="18"/>
                <w:lang w:eastAsia="hr-HR"/>
              </w:rPr>
            </w:pPr>
            <w:r w:rsidRPr="0078792D">
              <w:rPr>
                <w:rFonts w:eastAsia="Times New Roman" w:cs="Calibri"/>
                <w:b/>
                <w:bCs/>
                <w:color w:val="FFFFFF"/>
                <w:szCs w:val="18"/>
                <w:lang w:eastAsia="hr-HR"/>
              </w:rPr>
              <w:t>REPUBLIKA HRVATSKA</w:t>
            </w:r>
          </w:p>
        </w:tc>
      </w:tr>
      <w:tr w:rsidR="0060636E" w:rsidRPr="0078792D" w14:paraId="5A293A61" w14:textId="77777777" w:rsidTr="005A73BA">
        <w:trPr>
          <w:trHeight w:val="394"/>
          <w:jc w:val="center"/>
        </w:trPr>
        <w:tc>
          <w:tcPr>
            <w:tcW w:w="2715" w:type="dxa"/>
            <w:tcBorders>
              <w:top w:val="single" w:sz="8" w:space="0" w:color="FFFFFF"/>
              <w:left w:val="nil"/>
              <w:bottom w:val="single" w:sz="8" w:space="0" w:color="F3CFC1"/>
              <w:right w:val="nil"/>
            </w:tcBorders>
            <w:shd w:val="clear" w:color="000000" w:fill="D2232A"/>
            <w:vAlign w:val="center"/>
            <w:hideMark/>
          </w:tcPr>
          <w:p w14:paraId="393FABCA" w14:textId="77777777" w:rsidR="0060636E" w:rsidRPr="0078792D" w:rsidRDefault="0060636E" w:rsidP="00817621">
            <w:pPr>
              <w:spacing w:after="0" w:line="240" w:lineRule="auto"/>
              <w:jc w:val="left"/>
              <w:rPr>
                <w:rFonts w:eastAsia="Times New Roman" w:cs="Calibri"/>
                <w:b/>
                <w:bCs/>
                <w:color w:val="FFFFFF"/>
                <w:szCs w:val="18"/>
                <w:lang w:eastAsia="hr-HR"/>
              </w:rPr>
            </w:pPr>
            <w:r w:rsidRPr="0078792D">
              <w:rPr>
                <w:rFonts w:eastAsia="Times New Roman" w:cs="Calibri"/>
                <w:b/>
                <w:bCs/>
                <w:color w:val="FFFFFF"/>
                <w:szCs w:val="18"/>
                <w:lang w:eastAsia="hr-HR"/>
              </w:rPr>
              <w:t>BROJ KORISNIKA</w:t>
            </w:r>
          </w:p>
        </w:tc>
        <w:tc>
          <w:tcPr>
            <w:tcW w:w="3201" w:type="dxa"/>
            <w:tcBorders>
              <w:top w:val="nil"/>
              <w:left w:val="nil"/>
              <w:bottom w:val="single" w:sz="8" w:space="0" w:color="F3CFC1"/>
              <w:right w:val="single" w:sz="8" w:space="0" w:color="D2232A"/>
            </w:tcBorders>
            <w:shd w:val="clear" w:color="auto" w:fill="auto"/>
            <w:vAlign w:val="center"/>
            <w:hideMark/>
          </w:tcPr>
          <w:p w14:paraId="5AAE25B8"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23</w:t>
            </w:r>
            <w:r>
              <w:rPr>
                <w:rFonts w:eastAsia="Times New Roman" w:cs="Calibri"/>
                <w:color w:val="3F3F3F"/>
                <w:szCs w:val="18"/>
                <w:lang w:eastAsia="hr-HR"/>
              </w:rPr>
              <w:t>.</w:t>
            </w:r>
            <w:r w:rsidRPr="0078792D">
              <w:rPr>
                <w:rFonts w:eastAsia="Times New Roman" w:cs="Calibri"/>
                <w:color w:val="3F3F3F"/>
                <w:szCs w:val="18"/>
                <w:lang w:eastAsia="hr-HR"/>
              </w:rPr>
              <w:t>906</w:t>
            </w:r>
          </w:p>
        </w:tc>
        <w:tc>
          <w:tcPr>
            <w:tcW w:w="3201" w:type="dxa"/>
            <w:tcBorders>
              <w:top w:val="nil"/>
              <w:left w:val="nil"/>
              <w:bottom w:val="single" w:sz="8" w:space="0" w:color="F3CFC1"/>
              <w:right w:val="single" w:sz="8" w:space="0" w:color="D2232A"/>
            </w:tcBorders>
            <w:shd w:val="clear" w:color="auto" w:fill="auto"/>
            <w:vAlign w:val="center"/>
            <w:hideMark/>
          </w:tcPr>
          <w:p w14:paraId="65E9ECAB" w14:textId="77777777" w:rsidR="0060636E" w:rsidRPr="0078792D" w:rsidRDefault="0060636E" w:rsidP="00817621">
            <w:pPr>
              <w:spacing w:after="0" w:line="240" w:lineRule="auto"/>
              <w:jc w:val="right"/>
              <w:rPr>
                <w:rFonts w:eastAsia="Times New Roman" w:cs="Calibri"/>
                <w:color w:val="3F3F3F"/>
                <w:szCs w:val="18"/>
                <w:lang w:eastAsia="hr-HR"/>
              </w:rPr>
            </w:pPr>
            <w:r w:rsidRPr="0078792D">
              <w:rPr>
                <w:rFonts w:eastAsia="Times New Roman" w:cs="Calibri"/>
                <w:color w:val="3F3F3F"/>
                <w:szCs w:val="18"/>
                <w:lang w:eastAsia="hr-HR"/>
              </w:rPr>
              <w:t>951</w:t>
            </w:r>
            <w:r>
              <w:rPr>
                <w:rFonts w:eastAsia="Times New Roman" w:cs="Calibri"/>
                <w:color w:val="3F3F3F"/>
                <w:szCs w:val="18"/>
                <w:lang w:eastAsia="hr-HR"/>
              </w:rPr>
              <w:t>.</w:t>
            </w:r>
            <w:r w:rsidRPr="0078792D">
              <w:rPr>
                <w:rFonts w:eastAsia="Times New Roman" w:cs="Calibri"/>
                <w:color w:val="3F3F3F"/>
                <w:szCs w:val="18"/>
                <w:lang w:eastAsia="hr-HR"/>
              </w:rPr>
              <w:t>226</w:t>
            </w:r>
          </w:p>
        </w:tc>
      </w:tr>
    </w:tbl>
    <w:p w14:paraId="7AB18868" w14:textId="299E2654" w:rsidR="0060636E" w:rsidRPr="009E69A4" w:rsidRDefault="0060636E" w:rsidP="009E69A4">
      <w:pPr>
        <w:autoSpaceDE w:val="0"/>
        <w:autoSpaceDN w:val="0"/>
        <w:adjustRightInd w:val="0"/>
        <w:spacing w:after="0" w:line="240" w:lineRule="auto"/>
        <w:rPr>
          <w:rFonts w:eastAsia="ArialNarrow" w:cstheme="minorHAnsi"/>
          <w:i/>
          <w:color w:val="ABABAB" w:themeColor="text1" w:themeTint="A6"/>
          <w:sz w:val="16"/>
          <w:szCs w:val="16"/>
        </w:rPr>
      </w:pPr>
      <w:r w:rsidRPr="00CB4288">
        <w:rPr>
          <w:szCs w:val="18"/>
        </w:rPr>
        <w:fldChar w:fldCharType="end"/>
      </w:r>
      <w:r w:rsidRPr="009E69A4">
        <w:rPr>
          <w:rFonts w:eastAsia="ArialNarrow" w:cstheme="minorHAnsi"/>
          <w:i/>
          <w:color w:val="ABABAB" w:themeColor="text1" w:themeTint="A6"/>
          <w:sz w:val="16"/>
          <w:szCs w:val="16"/>
        </w:rPr>
        <w:t>Izvor: HZZ PU Krapina, siječanj 2021.</w:t>
      </w:r>
    </w:p>
    <w:p w14:paraId="33311C1D" w14:textId="77777777" w:rsidR="005A73BA" w:rsidRPr="005A73BA" w:rsidRDefault="005A73BA" w:rsidP="0060636E">
      <w:pPr>
        <w:rPr>
          <w:rFonts w:eastAsia="ArialNarrow" w:cstheme="minorHAnsi"/>
          <w:i/>
          <w:color w:val="ABABAB" w:themeColor="text1" w:themeTint="A6"/>
          <w:szCs w:val="18"/>
        </w:rPr>
      </w:pPr>
    </w:p>
    <w:p w14:paraId="6CFB99D3" w14:textId="442F0E0C" w:rsidR="24AC45C6" w:rsidRDefault="0060636E" w:rsidP="24AC45C6">
      <w:r>
        <w:t>Prema evidenciji Hrvatskog zavoda za zapošljavanje Područnog ureda Krapina, mjere za očuvanje radnih mjesta koristilo je ukupno 23.906 korisnika – poslovnih subjekata s područja Krapinsko-zagorske županije. Na razini Republike Hrvatske, mjere je koristilo 951.226 korisnika.</w:t>
      </w:r>
    </w:p>
    <w:p w14:paraId="36AFFD1E" w14:textId="77777777" w:rsidR="00722DDE" w:rsidRDefault="00722DDE" w:rsidP="00722DDE">
      <w:pPr>
        <w:rPr>
          <w:b/>
          <w:bCs/>
          <w:color w:val="D2232A" w:themeColor="accent1"/>
        </w:rPr>
      </w:pPr>
    </w:p>
    <w:p w14:paraId="188E3C0C" w14:textId="77777777" w:rsidR="00722DDE" w:rsidRPr="008B241A" w:rsidRDefault="00722DDE" w:rsidP="00722DDE">
      <w:pPr>
        <w:shd w:val="clear" w:color="auto" w:fill="E5E5E5" w:themeFill="text1" w:themeFillTint="33"/>
        <w:rPr>
          <w:b/>
          <w:bCs/>
        </w:rPr>
      </w:pPr>
      <w:r w:rsidRPr="008B241A">
        <w:rPr>
          <w:b/>
          <w:bCs/>
        </w:rPr>
        <w:t>Zaključak</w:t>
      </w:r>
    </w:p>
    <w:p w14:paraId="616C8A0C" w14:textId="77777777" w:rsidR="005A73BA" w:rsidRDefault="00722DDE" w:rsidP="00722DDE">
      <w:pPr>
        <w:shd w:val="clear" w:color="auto" w:fill="E5E5E5" w:themeFill="text1" w:themeFillTint="33"/>
      </w:pPr>
      <w:r>
        <w:t>Predstavljeni podaci govore o</w:t>
      </w:r>
      <w:r w:rsidR="00817621">
        <w:t xml:space="preserve"> prisutnosti trenda smanjenja aktivnog stanovništva na području Krapinsko-zagorske županije, što je posljedica migracija i nepovoljnih demografskih kretanja (sve je manje mladih osoba koje ulaze u radni kontingent, a sve više starijih koji izlaze, tj. odlaze u mirovinu). </w:t>
      </w:r>
    </w:p>
    <w:p w14:paraId="326466D2" w14:textId="77777777" w:rsidR="005A73BA" w:rsidRDefault="00284C9C" w:rsidP="00722DDE">
      <w:pPr>
        <w:shd w:val="clear" w:color="auto" w:fill="E5E5E5" w:themeFill="text1" w:themeFillTint="33"/>
      </w:pPr>
      <w:r>
        <w:t>Prema evidenciji Državnog zavoda za statistiku, u 2019. bilo je zaposleno približno 43% radno aktivnog stanovništva, a od toga 81% zaposleno je u pravnim osobama dok je 19% zaposleno u djelatnostima obrta, slobodnih profesija ili radnu aktivnost obavljaju na individualnim poljoprivrednim gospodarstvima.</w:t>
      </w:r>
      <w:r w:rsidR="00722DDE">
        <w:t xml:space="preserve"> </w:t>
      </w:r>
      <w:r w:rsidRPr="009D2484">
        <w:t xml:space="preserve">Najviše zaposlenih u pravnim osobama na području Krapinsko-zagorske županije je u prerađivačkoj industriji, a zatim u djelatnosti trgovine na veliko i malo, djelatnosti zdravstvene zaštite i socijalne skrbi te u obrazovanju. </w:t>
      </w:r>
    </w:p>
    <w:p w14:paraId="23A24B2A" w14:textId="50C949B9" w:rsidR="00722DDE" w:rsidRDefault="00EE3137" w:rsidP="00722DDE">
      <w:pPr>
        <w:shd w:val="clear" w:color="auto" w:fill="E5E5E5" w:themeFill="text1" w:themeFillTint="33"/>
      </w:pPr>
      <w:r>
        <w:t xml:space="preserve">Do 2019. godine može se uočiti </w:t>
      </w:r>
      <w:r w:rsidR="00722DDE">
        <w:t>kontinuirano povećanj</w:t>
      </w:r>
      <w:r>
        <w:t>e</w:t>
      </w:r>
      <w:r w:rsidR="00722DDE">
        <w:t xml:space="preserve"> zaposlenosti i smanjenju nezaposlenosti u promatranom razdoblju, </w:t>
      </w:r>
      <w:r>
        <w:t xml:space="preserve">dok je u 2020. godini došlo je do porasta broja nezaposlenih osoba tijekom pandemije bolesti COVID-19 i donošenja odluka o ograničavanju kretanja i okupljanja, posebnom reguliranju radnog vremena pojedinih objekata te uvođenju epidemioloških mjera radi sprječavanja prijenosa bolesti COVID-19. </w:t>
      </w:r>
    </w:p>
    <w:p w14:paraId="551E2A54" w14:textId="5606C2C0" w:rsidR="005A73BA" w:rsidRDefault="005A73BA" w:rsidP="00722DDE">
      <w:pPr>
        <w:shd w:val="clear" w:color="auto" w:fill="E5E5E5" w:themeFill="text1" w:themeFillTint="33"/>
      </w:pPr>
      <w:r w:rsidRPr="005A73BA">
        <w:t>Visok postotak radne neaktivnosti karakterističan je za Republiku Hrvatsku, a prema podacima Eurostata najčešći razlozi za neaktivnost su obrazovanje i umirovljenje, nakon čega slijede obiteljski razlozi poput brige za djecu ili odrasle, vlastita bolest ili invalidnost, te obeshrabrenost za ulazak na tržište rada zbog dugotrajne nezaposlenosti (posebice se odnosi na osobe u dobi iznad 55 godina)</w:t>
      </w:r>
    </w:p>
    <w:p w14:paraId="187378A9" w14:textId="67C4DFB6" w:rsidR="003F4698" w:rsidRDefault="003F4698">
      <w:pPr>
        <w:jc w:val="left"/>
      </w:pPr>
      <w:r>
        <w:br w:type="page"/>
      </w:r>
    </w:p>
    <w:p w14:paraId="45FB4205" w14:textId="69333EE2" w:rsidR="008878A0" w:rsidRPr="00B06F0B" w:rsidRDefault="008658ED" w:rsidP="005F13D3">
      <w:pPr>
        <w:pStyle w:val="Naslov1"/>
        <w:rPr>
          <w:rStyle w:val="NASLOV"/>
        </w:rPr>
      </w:pPr>
      <w:bookmarkStart w:id="134" w:name="_Toc85181322"/>
      <w:r w:rsidRPr="00B06F0B">
        <w:rPr>
          <w:rStyle w:val="NASLOV"/>
        </w:rPr>
        <w:lastRenderedPageBreak/>
        <w:t>OPĆA GOSPODARSKA KRETANJA</w:t>
      </w:r>
      <w:bookmarkEnd w:id="134"/>
    </w:p>
    <w:p w14:paraId="53208378" w14:textId="77777777" w:rsidR="008878A0" w:rsidRDefault="008878A0" w:rsidP="00941871">
      <w:pPr>
        <w:spacing w:line="200" w:lineRule="exact"/>
        <w:rPr>
          <w:rFonts w:eastAsiaTheme="minorHAnsi" w:cstheme="minorHAnsi"/>
        </w:rPr>
      </w:pPr>
    </w:p>
    <w:p w14:paraId="216081A4" w14:textId="2E4AA8FC" w:rsidR="008878A0" w:rsidRDefault="00B601EE" w:rsidP="0052192B">
      <w:pPr>
        <w:pStyle w:val="Naslov2"/>
      </w:pPr>
      <w:bookmarkStart w:id="135" w:name="_Toc85181323"/>
      <w:r>
        <w:rPr>
          <w:spacing w:val="1"/>
          <w:w w:val="99"/>
        </w:rPr>
        <w:t>10</w:t>
      </w:r>
      <w:r w:rsidR="008878A0">
        <w:rPr>
          <w:spacing w:val="1"/>
          <w:w w:val="99"/>
        </w:rPr>
        <w:t>.1</w:t>
      </w:r>
      <w:r w:rsidR="008878A0">
        <w:rPr>
          <w:w w:val="99"/>
        </w:rPr>
        <w:t>.</w:t>
      </w:r>
      <w:r w:rsidR="008878A0">
        <w:rPr>
          <w:spacing w:val="-25"/>
        </w:rPr>
        <w:t xml:space="preserve"> </w:t>
      </w:r>
      <w:r w:rsidR="008878A0">
        <w:t>Razvojni</w:t>
      </w:r>
      <w:r w:rsidR="008878A0">
        <w:rPr>
          <w:spacing w:val="-3"/>
        </w:rPr>
        <w:t xml:space="preserve"> </w:t>
      </w:r>
      <w:r w:rsidR="008878A0">
        <w:t>po</w:t>
      </w:r>
      <w:r w:rsidR="008878A0">
        <w:rPr>
          <w:spacing w:val="1"/>
        </w:rPr>
        <w:t>l</w:t>
      </w:r>
      <w:r w:rsidR="008878A0">
        <w:t>ož</w:t>
      </w:r>
      <w:r w:rsidR="008878A0">
        <w:rPr>
          <w:spacing w:val="1"/>
        </w:rPr>
        <w:t>a</w:t>
      </w:r>
      <w:r w:rsidR="008878A0">
        <w:t>j</w:t>
      </w:r>
      <w:r w:rsidR="008878A0">
        <w:rPr>
          <w:spacing w:val="-4"/>
        </w:rPr>
        <w:t xml:space="preserve"> </w:t>
      </w:r>
      <w:r w:rsidR="008878A0">
        <w:t>Kr</w:t>
      </w:r>
      <w:r w:rsidR="008878A0">
        <w:rPr>
          <w:spacing w:val="1"/>
        </w:rPr>
        <w:t>a</w:t>
      </w:r>
      <w:r w:rsidR="008878A0">
        <w:t>p</w:t>
      </w:r>
      <w:r w:rsidR="008878A0">
        <w:rPr>
          <w:spacing w:val="1"/>
        </w:rPr>
        <w:t>i</w:t>
      </w:r>
      <w:r w:rsidR="008878A0">
        <w:t>n</w:t>
      </w:r>
      <w:r w:rsidR="008878A0">
        <w:rPr>
          <w:spacing w:val="-1"/>
        </w:rPr>
        <w:t>sk</w:t>
      </w:r>
      <w:r w:rsidR="008878A0">
        <w:t>o</w:t>
      </w:r>
      <w:r w:rsidR="008878A0">
        <w:rPr>
          <w:spacing w:val="-1"/>
        </w:rPr>
        <w:t>-</w:t>
      </w:r>
      <w:r w:rsidR="008878A0">
        <w:t>z</w:t>
      </w:r>
      <w:r w:rsidR="008878A0">
        <w:rPr>
          <w:spacing w:val="1"/>
        </w:rPr>
        <w:t>a</w:t>
      </w:r>
      <w:r w:rsidR="008878A0">
        <w:t>gor</w:t>
      </w:r>
      <w:r w:rsidR="008878A0">
        <w:rPr>
          <w:spacing w:val="1"/>
        </w:rPr>
        <w:t>sk</w:t>
      </w:r>
      <w:r w:rsidR="008878A0">
        <w:t>e</w:t>
      </w:r>
      <w:r w:rsidR="008878A0">
        <w:rPr>
          <w:spacing w:val="-7"/>
        </w:rPr>
        <w:t xml:space="preserve"> </w:t>
      </w:r>
      <w:r w:rsidR="008878A0">
        <w:t>žup</w:t>
      </w:r>
      <w:r w:rsidR="008878A0">
        <w:rPr>
          <w:spacing w:val="1"/>
        </w:rPr>
        <w:t>a</w:t>
      </w:r>
      <w:r w:rsidR="008878A0">
        <w:rPr>
          <w:spacing w:val="-3"/>
        </w:rPr>
        <w:t>n</w:t>
      </w:r>
      <w:r w:rsidR="008878A0">
        <w:t>i</w:t>
      </w:r>
      <w:r w:rsidR="008878A0">
        <w:rPr>
          <w:spacing w:val="1"/>
        </w:rPr>
        <w:t>j</w:t>
      </w:r>
      <w:r w:rsidR="008878A0">
        <w:t>e</w:t>
      </w:r>
      <w:r w:rsidR="008878A0">
        <w:rPr>
          <w:spacing w:val="-2"/>
        </w:rPr>
        <w:t xml:space="preserve"> </w:t>
      </w:r>
      <w:r w:rsidR="008878A0">
        <w:t xml:space="preserve">u </w:t>
      </w:r>
      <w:r w:rsidR="008878A0">
        <w:rPr>
          <w:spacing w:val="-3"/>
        </w:rPr>
        <w:t>R</w:t>
      </w:r>
      <w:r w:rsidR="008878A0">
        <w:rPr>
          <w:spacing w:val="-1"/>
        </w:rPr>
        <w:t>e</w:t>
      </w:r>
      <w:r w:rsidR="008878A0">
        <w:t>pub</w:t>
      </w:r>
      <w:r w:rsidR="008878A0">
        <w:rPr>
          <w:spacing w:val="1"/>
        </w:rPr>
        <w:t>lic</w:t>
      </w:r>
      <w:r w:rsidR="008878A0">
        <w:t>i</w:t>
      </w:r>
      <w:r w:rsidR="008878A0">
        <w:rPr>
          <w:spacing w:val="-3"/>
        </w:rPr>
        <w:t xml:space="preserve"> </w:t>
      </w:r>
      <w:r w:rsidR="008878A0">
        <w:t>Hr</w:t>
      </w:r>
      <w:r w:rsidR="008878A0">
        <w:rPr>
          <w:spacing w:val="-1"/>
        </w:rPr>
        <w:t>v</w:t>
      </w:r>
      <w:r w:rsidR="008878A0">
        <w:rPr>
          <w:spacing w:val="1"/>
        </w:rPr>
        <w:t>a</w:t>
      </w:r>
      <w:r w:rsidR="008878A0">
        <w:rPr>
          <w:spacing w:val="-1"/>
        </w:rPr>
        <w:t>t</w:t>
      </w:r>
      <w:r w:rsidR="008878A0">
        <w:rPr>
          <w:spacing w:val="1"/>
        </w:rPr>
        <w:t>sk</w:t>
      </w:r>
      <w:r w:rsidR="008878A0">
        <w:t>oj</w:t>
      </w:r>
      <w:bookmarkEnd w:id="135"/>
    </w:p>
    <w:p w14:paraId="0E5A2B66" w14:textId="77777777" w:rsidR="008878A0" w:rsidRDefault="008878A0" w:rsidP="00941871">
      <w:pPr>
        <w:spacing w:line="200" w:lineRule="exact"/>
        <w:rPr>
          <w:rFonts w:eastAsiaTheme="minorHAnsi" w:cstheme="minorHAnsi"/>
        </w:rPr>
      </w:pPr>
    </w:p>
    <w:p w14:paraId="009856C0" w14:textId="77777777" w:rsidR="005B3912" w:rsidRDefault="005B3912" w:rsidP="00941871">
      <w:pPr>
        <w:spacing w:line="273" w:lineRule="auto"/>
        <w:ind w:left="116" w:right="92"/>
        <w:rPr>
          <w:rFonts w:eastAsia="Arial Narrow" w:cstheme="minorHAnsi"/>
          <w:b/>
          <w:bCs/>
          <w:spacing w:val="-1"/>
        </w:rPr>
      </w:pPr>
      <w:r>
        <w:rPr>
          <w:rFonts w:eastAsia="Arial Narrow" w:cstheme="minorHAnsi"/>
          <w:spacing w:val="-1"/>
        </w:rPr>
        <w:t xml:space="preserve">Na području Republike Hrvatske postoji razlika u snazi gospodarstva pojedinih županija. Tijekom godina neke su se županije gospodarski približile prosjeku RH, a neke udaljile od njega što utječe i na kretanje niza drugih socioekonomskih pokazatelja poput depopulacije određenih područja. </w:t>
      </w:r>
      <w:r w:rsidR="005E3BCD">
        <w:rPr>
          <w:rFonts w:eastAsia="Arial Narrow" w:cstheme="minorHAnsi"/>
          <w:spacing w:val="-1"/>
        </w:rPr>
        <w:t xml:space="preserve">Razvojni položaj Krapinsko- zagorske županije u Republici Hrvatskoj u ovom odlomku analiziran je prema zadnje dostupnim podacima koji se odnose na godinu prije nastupanja pandemije </w:t>
      </w:r>
      <w:r w:rsidR="005E3BCD" w:rsidRPr="005E3BCD">
        <w:rPr>
          <w:rFonts w:eastAsia="Arial Narrow" w:cstheme="minorHAnsi"/>
          <w:spacing w:val="-1"/>
        </w:rPr>
        <w:t>COVID-19.</w:t>
      </w:r>
      <w:r w:rsidR="005E3BCD">
        <w:rPr>
          <w:rFonts w:eastAsia="Arial Narrow" w:cstheme="minorHAnsi"/>
          <w:b/>
          <w:bCs/>
          <w:spacing w:val="-1"/>
        </w:rPr>
        <w:t xml:space="preserve"> </w:t>
      </w:r>
    </w:p>
    <w:p w14:paraId="343FB216" w14:textId="7798AB82" w:rsidR="008878A0" w:rsidRDefault="00C750E3" w:rsidP="00941871">
      <w:pPr>
        <w:spacing w:line="273" w:lineRule="auto"/>
        <w:ind w:left="116" w:right="92"/>
        <w:rPr>
          <w:rFonts w:eastAsia="Arial Narrow" w:cstheme="minorHAnsi"/>
        </w:rPr>
      </w:pPr>
      <w:r>
        <w:rPr>
          <w:rFonts w:eastAsia="Arial Narrow" w:cstheme="minorHAnsi"/>
          <w:spacing w:val="-1"/>
        </w:rPr>
        <w:t xml:space="preserve">Bruto domaći proizvod je mjera vrijednosti proizvodnje roba i usluga u pojedinoj zemlji ili regiji tijekom jedne godine. Što je vrijednost BDP-a veća, radi se o gospodarski snažnijem području, a stvarne vrijednosti BDP-a pokazuju velike razlike među zemljama ili regijama. </w:t>
      </w:r>
      <w:r w:rsidR="008878A0">
        <w:rPr>
          <w:rFonts w:eastAsia="Arial Narrow" w:cstheme="minorHAnsi"/>
          <w:spacing w:val="-1"/>
        </w:rPr>
        <w:t xml:space="preserve">Bruto domaći proizvod po stanovniku Krapinsko-zagorske županije </w:t>
      </w:r>
      <w:r w:rsidR="001226E5">
        <w:rPr>
          <w:rFonts w:eastAsia="Arial Narrow" w:cstheme="minorHAnsi"/>
          <w:spacing w:val="-1"/>
        </w:rPr>
        <w:t xml:space="preserve">raste </w:t>
      </w:r>
      <w:r w:rsidR="005B3912">
        <w:rPr>
          <w:rFonts w:eastAsia="Arial Narrow" w:cstheme="minorHAnsi"/>
          <w:spacing w:val="-1"/>
        </w:rPr>
        <w:t>zadnjih</w:t>
      </w:r>
      <w:r w:rsidR="001226E5">
        <w:rPr>
          <w:rFonts w:eastAsia="Arial Narrow" w:cstheme="minorHAnsi"/>
          <w:spacing w:val="-1"/>
        </w:rPr>
        <w:t xml:space="preserve"> </w:t>
      </w:r>
      <w:r w:rsidR="008878A0">
        <w:rPr>
          <w:rFonts w:eastAsia="Arial Narrow" w:cstheme="minorHAnsi"/>
          <w:spacing w:val="-1"/>
        </w:rPr>
        <w:t xml:space="preserve">7 promatranih godina, </w:t>
      </w:r>
      <w:r w:rsidR="00BF3C08">
        <w:rPr>
          <w:rFonts w:eastAsia="Arial Narrow" w:cstheme="minorHAnsi"/>
          <w:spacing w:val="-1"/>
        </w:rPr>
        <w:t xml:space="preserve">ali je i dalje </w:t>
      </w:r>
      <w:r w:rsidR="008878A0">
        <w:rPr>
          <w:rFonts w:eastAsia="Arial Narrow" w:cstheme="minorHAnsi"/>
          <w:spacing w:val="-1"/>
        </w:rPr>
        <w:t>z</w:t>
      </w:r>
      <w:r w:rsidR="008878A0">
        <w:rPr>
          <w:rFonts w:eastAsia="Arial Narrow" w:cstheme="minorHAnsi"/>
          <w:spacing w:val="-2"/>
        </w:rPr>
        <w:t>n</w:t>
      </w:r>
      <w:r w:rsidR="008878A0">
        <w:rPr>
          <w:rFonts w:eastAsia="Arial Narrow" w:cstheme="minorHAnsi"/>
        </w:rPr>
        <w:t>atno</w:t>
      </w:r>
      <w:r w:rsidR="008878A0">
        <w:rPr>
          <w:rFonts w:eastAsia="Arial Narrow" w:cstheme="minorHAnsi"/>
          <w:spacing w:val="3"/>
        </w:rPr>
        <w:t xml:space="preserve"> </w:t>
      </w:r>
      <w:r w:rsidR="008878A0">
        <w:rPr>
          <w:rFonts w:eastAsia="Arial Narrow" w:cstheme="minorHAnsi"/>
          <w:spacing w:val="-2"/>
        </w:rPr>
        <w:t>i</w:t>
      </w:r>
      <w:r w:rsidR="008878A0">
        <w:rPr>
          <w:rFonts w:eastAsia="Arial Narrow" w:cstheme="minorHAnsi"/>
          <w:spacing w:val="1"/>
        </w:rPr>
        <w:t>s</w:t>
      </w:r>
      <w:r w:rsidR="008878A0">
        <w:rPr>
          <w:rFonts w:eastAsia="Arial Narrow" w:cstheme="minorHAnsi"/>
        </w:rPr>
        <w:t>pod na</w:t>
      </w:r>
      <w:r w:rsidR="008878A0">
        <w:rPr>
          <w:rFonts w:eastAsia="Arial Narrow" w:cstheme="minorHAnsi"/>
          <w:spacing w:val="1"/>
        </w:rPr>
        <w:t>c</w:t>
      </w:r>
      <w:r w:rsidR="008878A0">
        <w:rPr>
          <w:rFonts w:eastAsia="Arial Narrow" w:cstheme="minorHAnsi"/>
          <w:spacing w:val="-2"/>
        </w:rPr>
        <w:t>i</w:t>
      </w:r>
      <w:r w:rsidR="008878A0">
        <w:rPr>
          <w:rFonts w:eastAsia="Arial Narrow" w:cstheme="minorHAnsi"/>
        </w:rPr>
        <w:t>ona</w:t>
      </w:r>
      <w:r w:rsidR="008878A0">
        <w:rPr>
          <w:rFonts w:eastAsia="Arial Narrow" w:cstheme="minorHAnsi"/>
          <w:spacing w:val="-2"/>
        </w:rPr>
        <w:t>l</w:t>
      </w:r>
      <w:r w:rsidR="008878A0">
        <w:rPr>
          <w:rFonts w:eastAsia="Arial Narrow" w:cstheme="minorHAnsi"/>
        </w:rPr>
        <w:t>n</w:t>
      </w:r>
      <w:r w:rsidR="008878A0">
        <w:rPr>
          <w:rFonts w:eastAsia="Arial Narrow" w:cstheme="minorHAnsi"/>
          <w:spacing w:val="-2"/>
        </w:rPr>
        <w:t>o</w:t>
      </w:r>
      <w:r w:rsidR="008878A0">
        <w:rPr>
          <w:rFonts w:eastAsia="Arial Narrow" w:cstheme="minorHAnsi"/>
        </w:rPr>
        <w:t>g pro</w:t>
      </w:r>
      <w:r w:rsidR="008878A0">
        <w:rPr>
          <w:rFonts w:eastAsia="Arial Narrow" w:cstheme="minorHAnsi"/>
          <w:spacing w:val="1"/>
        </w:rPr>
        <w:t>sj</w:t>
      </w:r>
      <w:r w:rsidR="008878A0">
        <w:rPr>
          <w:rFonts w:eastAsia="Arial Narrow" w:cstheme="minorHAnsi"/>
          <w:spacing w:val="-2"/>
        </w:rPr>
        <w:t>e</w:t>
      </w:r>
      <w:r w:rsidR="008878A0">
        <w:rPr>
          <w:rFonts w:eastAsia="Arial Narrow" w:cstheme="minorHAnsi"/>
          <w:spacing w:val="1"/>
        </w:rPr>
        <w:t>k</w:t>
      </w:r>
      <w:r w:rsidR="008878A0">
        <w:rPr>
          <w:rFonts w:eastAsia="Arial Narrow" w:cstheme="minorHAnsi"/>
        </w:rPr>
        <w:t>a.</w:t>
      </w:r>
      <w:r w:rsidR="008878A0">
        <w:rPr>
          <w:rFonts w:eastAsia="Arial Narrow" w:cstheme="minorHAnsi"/>
          <w:spacing w:val="3"/>
        </w:rPr>
        <w:t xml:space="preserve"> Gledajući iznos BDP po stanovniku za </w:t>
      </w:r>
      <w:r w:rsidR="008878A0" w:rsidRPr="00B36FDD">
        <w:rPr>
          <w:rFonts w:eastAsia="Arial Narrow" w:cstheme="minorHAnsi"/>
          <w:spacing w:val="3"/>
        </w:rPr>
        <w:t>201</w:t>
      </w:r>
      <w:r w:rsidR="00B36FDD" w:rsidRPr="00B36FDD">
        <w:rPr>
          <w:rFonts w:eastAsia="Arial Narrow" w:cstheme="minorHAnsi"/>
          <w:spacing w:val="3"/>
        </w:rPr>
        <w:t>8</w:t>
      </w:r>
      <w:r w:rsidR="008878A0" w:rsidRPr="00B36FDD">
        <w:rPr>
          <w:rFonts w:eastAsia="Arial Narrow" w:cstheme="minorHAnsi"/>
          <w:spacing w:val="3"/>
        </w:rPr>
        <w:t>.</w:t>
      </w:r>
      <w:r w:rsidR="008878A0">
        <w:rPr>
          <w:rFonts w:eastAsia="Arial Narrow" w:cstheme="minorHAnsi"/>
          <w:spacing w:val="3"/>
        </w:rPr>
        <w:t xml:space="preserve"> godinu, </w:t>
      </w:r>
      <w:r w:rsidR="00BF3C08">
        <w:rPr>
          <w:rFonts w:eastAsia="Arial Narrow" w:cstheme="minorHAnsi"/>
          <w:spacing w:val="3"/>
        </w:rPr>
        <w:t xml:space="preserve">po županijama RH, </w:t>
      </w:r>
      <w:r w:rsidR="008878A0">
        <w:rPr>
          <w:rFonts w:eastAsia="Arial Narrow" w:cstheme="minorHAnsi"/>
          <w:spacing w:val="3"/>
        </w:rPr>
        <w:t xml:space="preserve">Krapinsko-zagorska županija nalazi se </w:t>
      </w:r>
      <w:r w:rsidR="008878A0">
        <w:rPr>
          <w:rFonts w:eastAsia="Arial Narrow" w:cstheme="minorHAnsi"/>
        </w:rPr>
        <w:t>na</w:t>
      </w:r>
      <w:r w:rsidR="008878A0">
        <w:rPr>
          <w:rFonts w:eastAsia="Arial Narrow" w:cstheme="minorHAnsi"/>
          <w:spacing w:val="3"/>
        </w:rPr>
        <w:t xml:space="preserve"> </w:t>
      </w:r>
      <w:r w:rsidR="008878A0" w:rsidRPr="00F042C4">
        <w:rPr>
          <w:rFonts w:eastAsia="Arial Narrow" w:cstheme="minorHAnsi"/>
        </w:rPr>
        <w:t>1</w:t>
      </w:r>
      <w:r w:rsidR="00F042C4" w:rsidRPr="00F042C4">
        <w:rPr>
          <w:rFonts w:eastAsia="Arial Narrow" w:cstheme="minorHAnsi"/>
          <w:spacing w:val="-2"/>
        </w:rPr>
        <w:t>5</w:t>
      </w:r>
      <w:r w:rsidR="008878A0">
        <w:rPr>
          <w:rFonts w:eastAsia="Arial Narrow" w:cstheme="minorHAnsi"/>
        </w:rPr>
        <w:t>.</w:t>
      </w:r>
      <w:r w:rsidR="008878A0">
        <w:rPr>
          <w:rFonts w:eastAsia="Arial Narrow" w:cstheme="minorHAnsi"/>
          <w:spacing w:val="3"/>
        </w:rPr>
        <w:t xml:space="preserve"> </w:t>
      </w:r>
      <w:r w:rsidR="008878A0">
        <w:rPr>
          <w:rFonts w:eastAsia="Arial Narrow" w:cstheme="minorHAnsi"/>
          <w:spacing w:val="-2"/>
        </w:rPr>
        <w:t>m</w:t>
      </w:r>
      <w:r w:rsidR="008878A0">
        <w:rPr>
          <w:rFonts w:eastAsia="Arial Narrow" w:cstheme="minorHAnsi"/>
          <w:spacing w:val="1"/>
        </w:rPr>
        <w:t>j</w:t>
      </w:r>
      <w:r w:rsidR="008878A0">
        <w:rPr>
          <w:rFonts w:eastAsia="Arial Narrow" w:cstheme="minorHAnsi"/>
          <w:spacing w:val="-2"/>
        </w:rPr>
        <w:t>e</w:t>
      </w:r>
      <w:r w:rsidR="008878A0">
        <w:rPr>
          <w:rFonts w:eastAsia="Arial Narrow" w:cstheme="minorHAnsi"/>
          <w:spacing w:val="1"/>
        </w:rPr>
        <w:t>s</w:t>
      </w:r>
      <w:r w:rsidR="008878A0">
        <w:rPr>
          <w:rFonts w:eastAsia="Arial Narrow" w:cstheme="minorHAnsi"/>
        </w:rPr>
        <w:t>tu</w:t>
      </w:r>
      <w:r w:rsidR="00BF3C08">
        <w:rPr>
          <w:rFonts w:eastAsia="Arial Narrow" w:cstheme="minorHAnsi"/>
          <w:spacing w:val="3"/>
        </w:rPr>
        <w:t>.</w:t>
      </w:r>
    </w:p>
    <w:p w14:paraId="0A9FBB28" w14:textId="05A05812" w:rsidR="008878A0" w:rsidRDefault="008878A0" w:rsidP="07E5E1E8">
      <w:pPr>
        <w:ind w:left="116" w:right="92"/>
        <w:rPr>
          <w:rFonts w:eastAsia="Arial Narrow"/>
          <w:spacing w:val="3"/>
        </w:rPr>
      </w:pPr>
      <w:r w:rsidRPr="07E5E1E8">
        <w:rPr>
          <w:rFonts w:eastAsia="Arial Narrow"/>
        </w:rPr>
        <w:t>U</w:t>
      </w:r>
      <w:r w:rsidRPr="07E5E1E8">
        <w:rPr>
          <w:rFonts w:eastAsia="Arial Narrow"/>
          <w:spacing w:val="4"/>
        </w:rPr>
        <w:t xml:space="preserve"> </w:t>
      </w:r>
      <w:r w:rsidRPr="07E5E1E8">
        <w:rPr>
          <w:rFonts w:eastAsia="Arial Narrow"/>
        </w:rPr>
        <w:t>odno</w:t>
      </w:r>
      <w:r w:rsidRPr="07E5E1E8">
        <w:rPr>
          <w:rFonts w:eastAsia="Arial Narrow"/>
          <w:spacing w:val="-2"/>
        </w:rPr>
        <w:t>s</w:t>
      </w:r>
      <w:r w:rsidRPr="07E5E1E8">
        <w:rPr>
          <w:rFonts w:eastAsia="Arial Narrow"/>
        </w:rPr>
        <w:t>u</w:t>
      </w:r>
      <w:r w:rsidRPr="07E5E1E8">
        <w:rPr>
          <w:rFonts w:eastAsia="Arial Narrow"/>
          <w:spacing w:val="5"/>
        </w:rPr>
        <w:t xml:space="preserve"> </w:t>
      </w:r>
      <w:r w:rsidRPr="07E5E1E8">
        <w:rPr>
          <w:rFonts w:eastAsia="Arial Narrow"/>
          <w:spacing w:val="-2"/>
        </w:rPr>
        <w:t>n</w:t>
      </w:r>
      <w:r w:rsidRPr="07E5E1E8">
        <w:rPr>
          <w:rFonts w:eastAsia="Arial Narrow"/>
        </w:rPr>
        <w:t>a</w:t>
      </w:r>
      <w:r w:rsidRPr="07E5E1E8">
        <w:rPr>
          <w:rFonts w:eastAsia="Arial Narrow"/>
          <w:spacing w:val="5"/>
        </w:rPr>
        <w:t xml:space="preserve"> </w:t>
      </w:r>
      <w:r w:rsidRPr="07E5E1E8">
        <w:rPr>
          <w:rFonts w:eastAsia="Arial Narrow"/>
          <w:spacing w:val="-1"/>
        </w:rPr>
        <w:t>BD</w:t>
      </w:r>
      <w:r w:rsidRPr="07E5E1E8">
        <w:rPr>
          <w:rFonts w:eastAsia="Arial Narrow"/>
        </w:rPr>
        <w:t>P</w:t>
      </w:r>
      <w:r w:rsidRPr="07E5E1E8">
        <w:rPr>
          <w:rFonts w:eastAsia="Arial Narrow"/>
          <w:spacing w:val="4"/>
        </w:rPr>
        <w:t xml:space="preserve"> </w:t>
      </w:r>
      <w:r w:rsidRPr="07E5E1E8">
        <w:rPr>
          <w:rFonts w:eastAsia="Arial Narrow"/>
          <w:spacing w:val="-2"/>
        </w:rPr>
        <w:t>p</w:t>
      </w:r>
      <w:r w:rsidRPr="07E5E1E8">
        <w:rPr>
          <w:rFonts w:eastAsia="Arial Narrow"/>
        </w:rPr>
        <w:t>o</w:t>
      </w:r>
      <w:r w:rsidRPr="07E5E1E8">
        <w:rPr>
          <w:rFonts w:eastAsia="Arial Narrow"/>
          <w:spacing w:val="3"/>
        </w:rPr>
        <w:t xml:space="preserve"> </w:t>
      </w:r>
      <w:r w:rsidRPr="07E5E1E8">
        <w:rPr>
          <w:rFonts w:eastAsia="Arial Narrow"/>
          <w:spacing w:val="1"/>
        </w:rPr>
        <w:t>s</w:t>
      </w:r>
      <w:r w:rsidRPr="07E5E1E8">
        <w:rPr>
          <w:rFonts w:eastAsia="Arial Narrow"/>
        </w:rPr>
        <w:t>tan</w:t>
      </w:r>
      <w:r w:rsidRPr="07E5E1E8">
        <w:rPr>
          <w:rFonts w:eastAsia="Arial Narrow"/>
          <w:spacing w:val="-2"/>
        </w:rPr>
        <w:t>ov</w:t>
      </w:r>
      <w:r w:rsidRPr="07E5E1E8">
        <w:rPr>
          <w:rFonts w:eastAsia="Arial Narrow"/>
        </w:rPr>
        <w:t>n</w:t>
      </w:r>
      <w:r w:rsidRPr="07E5E1E8">
        <w:rPr>
          <w:rFonts w:eastAsia="Arial Narrow"/>
          <w:spacing w:val="1"/>
        </w:rPr>
        <w:t>ik</w:t>
      </w:r>
      <w:r w:rsidRPr="07E5E1E8">
        <w:rPr>
          <w:rFonts w:eastAsia="Arial Narrow"/>
        </w:rPr>
        <w:t>u</w:t>
      </w:r>
      <w:r w:rsidRPr="07E5E1E8">
        <w:rPr>
          <w:rFonts w:eastAsia="Arial Narrow"/>
          <w:spacing w:val="3"/>
        </w:rPr>
        <w:t xml:space="preserve"> na razini RH, </w:t>
      </w:r>
      <w:r w:rsidR="00BF3C08" w:rsidRPr="07E5E1E8">
        <w:rPr>
          <w:rFonts w:eastAsia="Arial Narrow"/>
          <w:spacing w:val="3"/>
        </w:rPr>
        <w:t xml:space="preserve">BDP Krapinsko-zagorske županija je </w:t>
      </w:r>
      <w:r w:rsidR="00BF3C08" w:rsidRPr="003701DA">
        <w:rPr>
          <w:rFonts w:eastAsia="Arial Narrow"/>
          <w:spacing w:val="3"/>
        </w:rPr>
        <w:t>3</w:t>
      </w:r>
      <w:r w:rsidR="003701DA" w:rsidRPr="003701DA">
        <w:rPr>
          <w:rFonts w:eastAsia="Arial Narrow"/>
          <w:spacing w:val="3"/>
        </w:rPr>
        <w:t>5</w:t>
      </w:r>
      <w:r w:rsidR="00BF3C08" w:rsidRPr="003701DA">
        <w:rPr>
          <w:rFonts w:eastAsia="Arial Narrow"/>
          <w:spacing w:val="3"/>
        </w:rPr>
        <w:t>% niži</w:t>
      </w:r>
      <w:r w:rsidR="00BF3C08" w:rsidRPr="07E5E1E8">
        <w:rPr>
          <w:rFonts w:eastAsia="Arial Narrow"/>
          <w:spacing w:val="3"/>
        </w:rPr>
        <w:t>.</w:t>
      </w:r>
      <w:r w:rsidRPr="00650E50">
        <w:rPr>
          <w:rFonts w:eastAsia="Arial Narrow"/>
          <w:spacing w:val="5"/>
        </w:rPr>
        <w:t xml:space="preserve"> </w:t>
      </w:r>
      <w:r w:rsidR="00650E50" w:rsidRPr="00650E50">
        <w:rPr>
          <w:rFonts w:eastAsia="Arial Narrow"/>
          <w:spacing w:val="5"/>
        </w:rPr>
        <w:t xml:space="preserve">Godine 2018. je BDP po stanovniku Krapinsko-zagorske županije iznosio 28,03%, a za Republiku Hrvatsku 43,43% prosjeka za područje EU-28. </w:t>
      </w:r>
      <w:r w:rsidR="00650E50" w:rsidRPr="002C64D6">
        <w:rPr>
          <w:rStyle w:val="Referencafusnote"/>
          <w:rFonts w:eastAsia="Arial Narrow"/>
          <w:spacing w:val="-1"/>
        </w:rPr>
        <w:footnoteReference w:id="65"/>
      </w:r>
      <w:r w:rsidR="002C64D6">
        <w:rPr>
          <w:rFonts w:eastAsia="Arial Narrow"/>
          <w:spacing w:val="-2"/>
        </w:rPr>
        <w:t xml:space="preserve">. </w:t>
      </w:r>
      <w:r w:rsidR="00324975" w:rsidRPr="002C64D6">
        <w:rPr>
          <w:rFonts w:eastAsia="Arial Narrow"/>
          <w:spacing w:val="3"/>
        </w:rPr>
        <w:t>I</w:t>
      </w:r>
      <w:r w:rsidRPr="002C64D6">
        <w:rPr>
          <w:rFonts w:eastAsia="Arial Narrow"/>
          <w:spacing w:val="3"/>
        </w:rPr>
        <w:t>ndeks</w:t>
      </w:r>
      <w:r w:rsidRPr="07E5E1E8">
        <w:rPr>
          <w:rFonts w:eastAsia="Arial Narrow"/>
          <w:spacing w:val="3"/>
        </w:rPr>
        <w:t xml:space="preserve"> na bazi 2010. godine</w:t>
      </w:r>
      <w:r w:rsidR="00BF3C08" w:rsidRPr="07E5E1E8">
        <w:rPr>
          <w:rFonts w:eastAsia="Arial Narrow"/>
          <w:spacing w:val="3"/>
        </w:rPr>
        <w:t>, je</w:t>
      </w:r>
      <w:r w:rsidRPr="07E5E1E8">
        <w:rPr>
          <w:rFonts w:eastAsia="Arial Narrow"/>
          <w:spacing w:val="3"/>
        </w:rPr>
        <w:t xml:space="preserve"> </w:t>
      </w:r>
      <w:r w:rsidR="00D70145">
        <w:rPr>
          <w:rFonts w:eastAsia="Arial Narrow"/>
          <w:spacing w:val="3"/>
        </w:rPr>
        <w:t xml:space="preserve">u </w:t>
      </w:r>
      <w:r w:rsidRPr="07E5E1E8">
        <w:rPr>
          <w:rFonts w:eastAsia="Arial Narrow"/>
          <w:spacing w:val="3"/>
        </w:rPr>
        <w:t xml:space="preserve">usporedbi sa svim </w:t>
      </w:r>
      <w:r w:rsidR="00BF3C08" w:rsidRPr="07E5E1E8">
        <w:rPr>
          <w:rFonts w:eastAsia="Arial Narrow"/>
          <w:spacing w:val="3"/>
        </w:rPr>
        <w:t xml:space="preserve">drugim županijama </w:t>
      </w:r>
      <w:r w:rsidR="00D70145">
        <w:rPr>
          <w:rFonts w:eastAsia="Arial Narrow"/>
          <w:spacing w:val="3"/>
        </w:rPr>
        <w:t xml:space="preserve">bio među </w:t>
      </w:r>
      <w:r w:rsidR="00BF3C08" w:rsidRPr="07E5E1E8">
        <w:rPr>
          <w:rFonts w:eastAsia="Arial Narrow"/>
          <w:spacing w:val="3"/>
        </w:rPr>
        <w:t>najviši</w:t>
      </w:r>
      <w:r w:rsidR="00D70145">
        <w:rPr>
          <w:rFonts w:eastAsia="Arial Narrow"/>
          <w:spacing w:val="3"/>
        </w:rPr>
        <w:t>ma</w:t>
      </w:r>
      <w:r w:rsidR="00324975">
        <w:rPr>
          <w:rFonts w:eastAsia="Arial Narrow"/>
          <w:spacing w:val="3"/>
        </w:rPr>
        <w:t xml:space="preserve"> u</w:t>
      </w:r>
      <w:r w:rsidR="00324975" w:rsidRPr="07E5E1E8" w:rsidDel="00324975">
        <w:rPr>
          <w:rFonts w:eastAsia="Arial Narrow"/>
          <w:spacing w:val="3"/>
        </w:rPr>
        <w:t xml:space="preserve"> </w:t>
      </w:r>
      <w:r w:rsidR="00D70145">
        <w:rPr>
          <w:rFonts w:eastAsia="Arial Narrow"/>
          <w:spacing w:val="3"/>
        </w:rPr>
        <w:t>2016</w:t>
      </w:r>
      <w:r w:rsidR="00324975">
        <w:rPr>
          <w:rFonts w:eastAsia="Arial Narrow"/>
          <w:spacing w:val="3"/>
        </w:rPr>
        <w:t xml:space="preserve">. godini te je </w:t>
      </w:r>
      <w:r w:rsidR="00BF3C08" w:rsidRPr="07E5E1E8">
        <w:rPr>
          <w:rFonts w:eastAsia="Arial Narrow"/>
          <w:spacing w:val="3"/>
        </w:rPr>
        <w:t>iznosi</w:t>
      </w:r>
      <w:r w:rsidR="00324975">
        <w:rPr>
          <w:rFonts w:eastAsia="Arial Narrow"/>
          <w:spacing w:val="3"/>
        </w:rPr>
        <w:t xml:space="preserve">o </w:t>
      </w:r>
      <w:r w:rsidRPr="07E5E1E8">
        <w:rPr>
          <w:rFonts w:eastAsia="Arial Narrow"/>
          <w:spacing w:val="3"/>
        </w:rPr>
        <w:t>120,67 što upućuje na najveći rast BDP-a u odnosu na 2010. godinu</w:t>
      </w:r>
      <w:r w:rsidR="00324975">
        <w:rPr>
          <w:rFonts w:eastAsia="Arial Narrow"/>
          <w:spacing w:val="3"/>
        </w:rPr>
        <w:t xml:space="preserve">, </w:t>
      </w:r>
      <w:r w:rsidR="00D70145">
        <w:rPr>
          <w:rFonts w:eastAsia="Arial Narrow"/>
          <w:spacing w:val="3"/>
        </w:rPr>
        <w:t xml:space="preserve">dok je u 2018. </w:t>
      </w:r>
      <w:r w:rsidR="00324975">
        <w:rPr>
          <w:rFonts w:eastAsia="Arial Narrow"/>
          <w:spacing w:val="3"/>
        </w:rPr>
        <w:t xml:space="preserve">Krapinsko- zagorska županija </w:t>
      </w:r>
      <w:r w:rsidR="00D70145">
        <w:rPr>
          <w:rFonts w:eastAsia="Arial Narrow"/>
          <w:spacing w:val="3"/>
        </w:rPr>
        <w:t xml:space="preserve">na </w:t>
      </w:r>
      <w:r w:rsidR="00324975">
        <w:rPr>
          <w:rFonts w:eastAsia="Arial Narrow"/>
          <w:spacing w:val="3"/>
        </w:rPr>
        <w:t>3. mjestu.</w:t>
      </w:r>
    </w:p>
    <w:p w14:paraId="2865021A" w14:textId="762701ED" w:rsidR="003B6FF5" w:rsidRDefault="003B6FF5" w:rsidP="07E5E1E8">
      <w:pPr>
        <w:ind w:left="116" w:right="92"/>
        <w:rPr>
          <w:rFonts w:eastAsia="Arial Narrow"/>
          <w:spacing w:val="3"/>
        </w:rPr>
      </w:pPr>
      <w:r>
        <w:rPr>
          <w:rFonts w:eastAsia="Arial Narrow"/>
          <w:spacing w:val="3"/>
        </w:rPr>
        <w:t>U Hrvatskoj su tek 4 regije razvijenije od prosjeka RH: Grad Zagreb (184,96), Istarska županija (126,89), Primorsko- goranska (120,59) i Dubrovačko- neretvanska županija (108,20), dok se Krapinsko- zagorska županija (64,54) zajedno sa preostalih 16 županija nalazi ispod tog prosjeka.</w:t>
      </w:r>
    </w:p>
    <w:p w14:paraId="59B7E796" w14:textId="77777777" w:rsidR="00324975" w:rsidRDefault="00324975" w:rsidP="07E5E1E8">
      <w:pPr>
        <w:ind w:left="116" w:right="92"/>
        <w:rPr>
          <w:rFonts w:eastAsia="Arial Narrow"/>
          <w:spacing w:val="3"/>
        </w:rPr>
      </w:pPr>
    </w:p>
    <w:p w14:paraId="3B4E640A" w14:textId="77777777" w:rsidR="008C49E7" w:rsidRDefault="008C49E7" w:rsidP="008C49E7">
      <w:pPr>
        <w:ind w:right="92"/>
        <w:rPr>
          <w:rFonts w:eastAsia="Arial Narrow"/>
        </w:rPr>
        <w:sectPr w:rsidR="008C49E7" w:rsidSect="004514CD">
          <w:pgSz w:w="11900" w:h="16840"/>
          <w:pgMar w:top="1340" w:right="1300" w:bottom="280" w:left="1300" w:header="0" w:footer="1006" w:gutter="0"/>
          <w:cols w:space="720"/>
        </w:sectPr>
      </w:pPr>
    </w:p>
    <w:p w14:paraId="2CDB93BF" w14:textId="54C13713" w:rsidR="008878A0" w:rsidRDefault="008878A0" w:rsidP="003E3F3C">
      <w:pPr>
        <w:pStyle w:val="Opisslike"/>
      </w:pPr>
      <w:r>
        <w:lastRenderedPageBreak/>
        <w:t xml:space="preserve">Tablica </w:t>
      </w:r>
      <w:r w:rsidR="0018019C">
        <w:rPr>
          <w:noProof/>
        </w:rPr>
        <w:t>7</w:t>
      </w:r>
      <w:r w:rsidR="000D5E3F">
        <w:rPr>
          <w:noProof/>
        </w:rPr>
        <w:t>3</w:t>
      </w:r>
      <w:r w:rsidR="00FD7F29">
        <w:rPr>
          <w:noProof/>
        </w:rPr>
        <w:t>.</w:t>
      </w:r>
      <w:r>
        <w:t xml:space="preserve"> Razvojni položaj Krapinsko-zagorske županije prema indikatoru BDP/st u € (2010.-201</w:t>
      </w:r>
      <w:r w:rsidR="008D0CA7">
        <w:t>8</w:t>
      </w:r>
      <w:r>
        <w:t>.)</w:t>
      </w:r>
    </w:p>
    <w:tbl>
      <w:tblPr>
        <w:tblW w:w="15026" w:type="dxa"/>
        <w:tblBorders>
          <w:insideH w:val="single" w:sz="8" w:space="0" w:color="F3CFC1"/>
        </w:tblBorders>
        <w:tblLayout w:type="fixed"/>
        <w:tblLook w:val="04A0" w:firstRow="1" w:lastRow="0" w:firstColumn="1" w:lastColumn="0" w:noHBand="0" w:noVBand="1"/>
      </w:tblPr>
      <w:tblGrid>
        <w:gridCol w:w="2410"/>
        <w:gridCol w:w="1134"/>
        <w:gridCol w:w="1134"/>
        <w:gridCol w:w="1134"/>
        <w:gridCol w:w="992"/>
        <w:gridCol w:w="993"/>
        <w:gridCol w:w="992"/>
        <w:gridCol w:w="1134"/>
        <w:gridCol w:w="1276"/>
        <w:gridCol w:w="1417"/>
        <w:gridCol w:w="1134"/>
        <w:gridCol w:w="1276"/>
      </w:tblGrid>
      <w:tr w:rsidR="006E48E5" w:rsidRPr="00B64447" w14:paraId="5975A704" w14:textId="77777777" w:rsidTr="006E48E5">
        <w:trPr>
          <w:trHeight w:val="292"/>
          <w:tblHeader/>
        </w:trPr>
        <w:tc>
          <w:tcPr>
            <w:tcW w:w="2410" w:type="dxa"/>
            <w:vMerge w:val="restart"/>
            <w:tcBorders>
              <w:top w:val="nil"/>
              <w:right w:val="single" w:sz="4" w:space="0" w:color="FFFFFF" w:themeColor="background1"/>
            </w:tcBorders>
            <w:shd w:val="clear" w:color="auto" w:fill="D2232A"/>
            <w:noWrap/>
            <w:vAlign w:val="center"/>
            <w:hideMark/>
          </w:tcPr>
          <w:p w14:paraId="1FF33ACD" w14:textId="77777777" w:rsidR="006E48E5" w:rsidRPr="00B64447" w:rsidRDefault="006E48E5" w:rsidP="007F2B15">
            <w:pPr>
              <w:spacing w:after="0"/>
              <w:jc w:val="center"/>
              <w:rPr>
                <w:rFonts w:cstheme="minorHAnsi"/>
                <w:b/>
                <w:color w:val="FFFFFF" w:themeColor="background1"/>
                <w:szCs w:val="18"/>
                <w:lang w:eastAsia="hr-HR"/>
              </w:rPr>
            </w:pPr>
            <w:r w:rsidRPr="00B64447">
              <w:rPr>
                <w:rFonts w:cstheme="minorHAnsi"/>
                <w:b/>
                <w:color w:val="FFFFFF" w:themeColor="background1"/>
                <w:szCs w:val="18"/>
                <w:lang w:eastAsia="hr-HR"/>
              </w:rPr>
              <w:t>Područje</w:t>
            </w:r>
          </w:p>
        </w:tc>
        <w:tc>
          <w:tcPr>
            <w:tcW w:w="1134" w:type="dxa"/>
            <w:tcBorders>
              <w:top w:val="nil"/>
            </w:tcBorders>
            <w:shd w:val="clear" w:color="auto" w:fill="D2232A"/>
          </w:tcPr>
          <w:p w14:paraId="42C77672" w14:textId="77777777" w:rsidR="006E48E5" w:rsidRPr="00B64447" w:rsidRDefault="006E48E5" w:rsidP="00857C87">
            <w:pPr>
              <w:spacing w:after="0"/>
              <w:jc w:val="center"/>
              <w:rPr>
                <w:rFonts w:cstheme="minorHAnsi"/>
                <w:b/>
                <w:color w:val="FFFFFF" w:themeColor="background1"/>
                <w:szCs w:val="18"/>
                <w:lang w:eastAsia="hr-HR"/>
              </w:rPr>
            </w:pPr>
          </w:p>
        </w:tc>
        <w:tc>
          <w:tcPr>
            <w:tcW w:w="11482" w:type="dxa"/>
            <w:gridSpan w:val="10"/>
            <w:tcBorders>
              <w:top w:val="nil"/>
              <w:right w:val="single" w:sz="8" w:space="0" w:color="D2232A"/>
            </w:tcBorders>
            <w:shd w:val="clear" w:color="auto" w:fill="D2232A"/>
          </w:tcPr>
          <w:p w14:paraId="51237CC0" w14:textId="2B6E5534" w:rsidR="006E48E5" w:rsidRPr="00B64447" w:rsidRDefault="006E48E5" w:rsidP="00857C87">
            <w:pPr>
              <w:spacing w:after="0"/>
              <w:jc w:val="center"/>
              <w:rPr>
                <w:rFonts w:cstheme="minorHAnsi"/>
                <w:b/>
                <w:color w:val="FFFFFF" w:themeColor="background1"/>
                <w:szCs w:val="18"/>
                <w:lang w:eastAsia="hr-HR"/>
              </w:rPr>
            </w:pPr>
            <w:r w:rsidRPr="00B64447">
              <w:rPr>
                <w:rFonts w:cstheme="minorHAnsi"/>
                <w:b/>
                <w:color w:val="FFFFFF" w:themeColor="background1"/>
                <w:szCs w:val="18"/>
                <w:lang w:eastAsia="hr-HR"/>
              </w:rPr>
              <w:t>Bruto domaći proizvod po stanovniku, EUR</w:t>
            </w:r>
          </w:p>
        </w:tc>
      </w:tr>
      <w:tr w:rsidR="006E48E5" w:rsidRPr="00B64447" w14:paraId="6B677D18" w14:textId="77777777" w:rsidTr="006E48E5">
        <w:trPr>
          <w:trHeight w:val="292"/>
          <w:tblHeader/>
        </w:trPr>
        <w:tc>
          <w:tcPr>
            <w:tcW w:w="2410" w:type="dxa"/>
            <w:vMerge/>
            <w:tcBorders>
              <w:bottom w:val="single" w:sz="4" w:space="0" w:color="FFFFFF" w:themeColor="background1"/>
              <w:right w:val="single" w:sz="4" w:space="0" w:color="FFFFFF" w:themeColor="background1"/>
            </w:tcBorders>
            <w:shd w:val="clear" w:color="auto" w:fill="D2232A"/>
            <w:vAlign w:val="center"/>
            <w:hideMark/>
          </w:tcPr>
          <w:p w14:paraId="1195396B" w14:textId="77777777" w:rsidR="006E48E5" w:rsidRPr="00B64447" w:rsidRDefault="006E48E5" w:rsidP="00941871">
            <w:pPr>
              <w:spacing w:after="0"/>
              <w:rPr>
                <w:rFonts w:cstheme="minorHAnsi"/>
                <w:b/>
                <w:color w:val="FFFFFF" w:themeColor="background1"/>
                <w:szCs w:val="18"/>
                <w:lang w:eastAsia="hr-HR"/>
              </w:rPr>
            </w:pPr>
          </w:p>
        </w:tc>
        <w:tc>
          <w:tcPr>
            <w:tcW w:w="1134"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24C8861B" w14:textId="77777777"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2010.</w:t>
            </w:r>
          </w:p>
        </w:tc>
        <w:tc>
          <w:tcPr>
            <w:tcW w:w="1134"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3BCD712E" w14:textId="77777777"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2011.</w:t>
            </w:r>
          </w:p>
        </w:tc>
        <w:tc>
          <w:tcPr>
            <w:tcW w:w="1134"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537BD477" w14:textId="77777777"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2012.</w:t>
            </w:r>
          </w:p>
        </w:tc>
        <w:tc>
          <w:tcPr>
            <w:tcW w:w="992"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5092C281" w14:textId="77777777"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2013.</w:t>
            </w:r>
          </w:p>
        </w:tc>
        <w:tc>
          <w:tcPr>
            <w:tcW w:w="993"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293CB092" w14:textId="77777777"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2014.</w:t>
            </w:r>
          </w:p>
        </w:tc>
        <w:tc>
          <w:tcPr>
            <w:tcW w:w="992"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184EA57C" w14:textId="77777777"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2015.</w:t>
            </w:r>
          </w:p>
        </w:tc>
        <w:tc>
          <w:tcPr>
            <w:tcW w:w="1134"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noWrap/>
            <w:vAlign w:val="center"/>
            <w:hideMark/>
          </w:tcPr>
          <w:p w14:paraId="1C2F54B9" w14:textId="77777777"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2016.</w:t>
            </w:r>
          </w:p>
        </w:tc>
        <w:tc>
          <w:tcPr>
            <w:tcW w:w="1276"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vAlign w:val="center"/>
          </w:tcPr>
          <w:p w14:paraId="34682C8E" w14:textId="7942177A" w:rsidR="006E48E5" w:rsidRPr="00B64447" w:rsidRDefault="006E48E5" w:rsidP="006E48E5">
            <w:pPr>
              <w:spacing w:after="0"/>
              <w:jc w:val="center"/>
              <w:rPr>
                <w:rFonts w:cstheme="minorHAnsi"/>
                <w:b/>
                <w:color w:val="FFFFFF" w:themeColor="background1"/>
                <w:szCs w:val="18"/>
                <w:lang w:eastAsia="hr-HR"/>
              </w:rPr>
            </w:pPr>
            <w:r>
              <w:rPr>
                <w:rFonts w:cstheme="minorHAnsi"/>
                <w:b/>
                <w:color w:val="FFFFFF" w:themeColor="background1"/>
                <w:szCs w:val="18"/>
                <w:lang w:eastAsia="hr-HR"/>
              </w:rPr>
              <w:t>2017.</w:t>
            </w:r>
          </w:p>
        </w:tc>
        <w:tc>
          <w:tcPr>
            <w:tcW w:w="1417"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vAlign w:val="center"/>
          </w:tcPr>
          <w:p w14:paraId="1FA03A01" w14:textId="7972B98A" w:rsidR="006E48E5" w:rsidRPr="00B64447" w:rsidRDefault="006E48E5" w:rsidP="006E48E5">
            <w:pPr>
              <w:spacing w:after="0"/>
              <w:jc w:val="center"/>
              <w:rPr>
                <w:rFonts w:cstheme="minorHAnsi"/>
                <w:b/>
                <w:color w:val="FFFFFF" w:themeColor="background1"/>
                <w:szCs w:val="18"/>
                <w:lang w:eastAsia="hr-HR"/>
              </w:rPr>
            </w:pPr>
            <w:r>
              <w:rPr>
                <w:rFonts w:cstheme="minorHAnsi"/>
                <w:b/>
                <w:color w:val="FFFFFF" w:themeColor="background1"/>
                <w:szCs w:val="18"/>
                <w:lang w:eastAsia="hr-HR"/>
              </w:rPr>
              <w:t>2018.</w:t>
            </w:r>
          </w:p>
        </w:tc>
        <w:tc>
          <w:tcPr>
            <w:tcW w:w="1134" w:type="dxa"/>
            <w:tcBorders>
              <w:top w:val="single" w:sz="8" w:space="0" w:color="F3CFC1"/>
              <w:left w:val="single" w:sz="4" w:space="0" w:color="FFFFFF" w:themeColor="background1"/>
              <w:bottom w:val="single" w:sz="4" w:space="0" w:color="FFFFFF" w:themeColor="background1"/>
              <w:right w:val="single" w:sz="4" w:space="0" w:color="FFFFFF" w:themeColor="background1"/>
            </w:tcBorders>
            <w:shd w:val="clear" w:color="auto" w:fill="D2232A"/>
            <w:hideMark/>
          </w:tcPr>
          <w:p w14:paraId="5ED20C68" w14:textId="7917C2FC"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Indeks</w:t>
            </w:r>
          </w:p>
          <w:p w14:paraId="501753CA" w14:textId="7DBD1979"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w:t>
            </w:r>
            <w:r w:rsidR="008D0CA7">
              <w:rPr>
                <w:rFonts w:cstheme="minorHAnsi"/>
                <w:b/>
                <w:color w:val="FFFFFF" w:themeColor="background1"/>
                <w:szCs w:val="18"/>
                <w:lang w:eastAsia="hr-HR"/>
              </w:rPr>
              <w:t>8</w:t>
            </w:r>
            <w:r w:rsidRPr="00B64447">
              <w:rPr>
                <w:rFonts w:cstheme="minorHAnsi"/>
                <w:b/>
                <w:color w:val="FFFFFF" w:themeColor="background1"/>
                <w:szCs w:val="18"/>
                <w:lang w:eastAsia="hr-HR"/>
              </w:rPr>
              <w:t>/</w:t>
            </w:r>
          </w:p>
          <w:p w14:paraId="3B32CB65" w14:textId="6A36B6FF"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2010</w:t>
            </w:r>
          </w:p>
        </w:tc>
        <w:tc>
          <w:tcPr>
            <w:tcW w:w="1276" w:type="dxa"/>
            <w:tcBorders>
              <w:top w:val="single" w:sz="8" w:space="0" w:color="F3CFC1"/>
              <w:left w:val="single" w:sz="4" w:space="0" w:color="FFFFFF" w:themeColor="background1"/>
              <w:bottom w:val="single" w:sz="4" w:space="0" w:color="FFFFFF" w:themeColor="background1"/>
              <w:right w:val="single" w:sz="8" w:space="0" w:color="D2232A"/>
            </w:tcBorders>
            <w:shd w:val="clear" w:color="auto" w:fill="D2232A"/>
            <w:hideMark/>
          </w:tcPr>
          <w:p w14:paraId="26B1C4D3" w14:textId="0CF7D8B3"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201</w:t>
            </w:r>
            <w:r w:rsidR="008D0CA7">
              <w:rPr>
                <w:rFonts w:cstheme="minorHAnsi"/>
                <w:b/>
                <w:color w:val="FFFFFF" w:themeColor="background1"/>
                <w:szCs w:val="18"/>
                <w:lang w:eastAsia="hr-HR"/>
              </w:rPr>
              <w:t>8</w:t>
            </w:r>
            <w:r w:rsidRPr="00B64447">
              <w:rPr>
                <w:rFonts w:cstheme="minorHAnsi"/>
                <w:b/>
                <w:color w:val="FFFFFF" w:themeColor="background1"/>
                <w:szCs w:val="18"/>
                <w:lang w:eastAsia="hr-HR"/>
              </w:rPr>
              <w:t>.</w:t>
            </w:r>
          </w:p>
          <w:p w14:paraId="0CD8920C" w14:textId="77777777" w:rsidR="006E48E5" w:rsidRPr="00B64447" w:rsidRDefault="006E48E5" w:rsidP="00941871">
            <w:pPr>
              <w:spacing w:after="0"/>
              <w:rPr>
                <w:rFonts w:cstheme="minorHAnsi"/>
                <w:b/>
                <w:color w:val="FFFFFF" w:themeColor="background1"/>
                <w:szCs w:val="18"/>
                <w:lang w:eastAsia="hr-HR"/>
              </w:rPr>
            </w:pPr>
            <w:r w:rsidRPr="00B64447">
              <w:rPr>
                <w:rFonts w:cstheme="minorHAnsi"/>
                <w:b/>
                <w:color w:val="FFFFFF" w:themeColor="background1"/>
                <w:szCs w:val="18"/>
                <w:lang w:eastAsia="hr-HR"/>
              </w:rPr>
              <w:t>(RH=100)</w:t>
            </w:r>
          </w:p>
        </w:tc>
      </w:tr>
      <w:tr w:rsidR="006E48E5" w:rsidRPr="00B64447" w14:paraId="20A27AED" w14:textId="77777777" w:rsidTr="008D0CA7">
        <w:trPr>
          <w:trHeight w:val="292"/>
        </w:trPr>
        <w:tc>
          <w:tcPr>
            <w:tcW w:w="2410" w:type="dxa"/>
            <w:tcBorders>
              <w:top w:val="single" w:sz="4" w:space="0" w:color="FFFFFF" w:themeColor="background1"/>
            </w:tcBorders>
            <w:shd w:val="clear" w:color="auto" w:fill="D2232A"/>
            <w:noWrap/>
            <w:vAlign w:val="center"/>
            <w:hideMark/>
          </w:tcPr>
          <w:p w14:paraId="7C36FE65" w14:textId="77777777" w:rsidR="006E48E5" w:rsidRPr="00B64447" w:rsidRDefault="006E48E5" w:rsidP="00857C87">
            <w:pPr>
              <w:spacing w:after="0"/>
              <w:jc w:val="left"/>
              <w:rPr>
                <w:rFonts w:cstheme="minorHAnsi"/>
                <w:b/>
                <w:color w:val="FFFFFF" w:themeColor="background1"/>
                <w:szCs w:val="18"/>
                <w:lang w:eastAsia="hr-HR"/>
              </w:rPr>
            </w:pPr>
            <w:r w:rsidRPr="00B64447">
              <w:rPr>
                <w:rFonts w:cstheme="minorHAnsi"/>
                <w:b/>
                <w:color w:val="FFFFFF" w:themeColor="background1"/>
                <w:szCs w:val="18"/>
                <w:lang w:eastAsia="hr-HR"/>
              </w:rPr>
              <w:t>Republika Hrvatska</w:t>
            </w:r>
          </w:p>
        </w:tc>
        <w:tc>
          <w:tcPr>
            <w:tcW w:w="1134" w:type="dxa"/>
            <w:tcBorders>
              <w:top w:val="single" w:sz="8" w:space="0" w:color="D2232A"/>
              <w:right w:val="single" w:sz="8" w:space="0" w:color="D2232A"/>
            </w:tcBorders>
            <w:shd w:val="clear" w:color="auto" w:fill="FFFFFF"/>
            <w:noWrap/>
            <w:vAlign w:val="center"/>
            <w:hideMark/>
          </w:tcPr>
          <w:p w14:paraId="64CA727C" w14:textId="77777777" w:rsidR="006E48E5" w:rsidRPr="00B64447" w:rsidRDefault="006E48E5" w:rsidP="00B64447">
            <w:pPr>
              <w:spacing w:after="0"/>
              <w:jc w:val="right"/>
              <w:rPr>
                <w:rFonts w:cstheme="minorHAnsi"/>
                <w:b/>
                <w:szCs w:val="18"/>
                <w:lang w:eastAsia="hr-HR"/>
              </w:rPr>
            </w:pPr>
            <w:r w:rsidRPr="00B64447">
              <w:rPr>
                <w:rFonts w:cstheme="minorHAnsi"/>
                <w:b/>
                <w:szCs w:val="18"/>
                <w:lang w:eastAsia="hr-HR"/>
              </w:rPr>
              <w:t>10.514</w:t>
            </w:r>
          </w:p>
        </w:tc>
        <w:tc>
          <w:tcPr>
            <w:tcW w:w="1134" w:type="dxa"/>
            <w:tcBorders>
              <w:top w:val="single" w:sz="8" w:space="0" w:color="D2232A"/>
              <w:left w:val="single" w:sz="8" w:space="0" w:color="D2232A"/>
              <w:right w:val="single" w:sz="8" w:space="0" w:color="D2232A"/>
            </w:tcBorders>
            <w:shd w:val="clear" w:color="auto" w:fill="FFFFFF"/>
            <w:noWrap/>
            <w:vAlign w:val="center"/>
            <w:hideMark/>
          </w:tcPr>
          <w:p w14:paraId="4596DA62" w14:textId="77777777" w:rsidR="006E48E5" w:rsidRPr="00B64447" w:rsidRDefault="006E48E5" w:rsidP="00B64447">
            <w:pPr>
              <w:spacing w:after="0"/>
              <w:jc w:val="right"/>
              <w:rPr>
                <w:rFonts w:cstheme="minorHAnsi"/>
                <w:b/>
                <w:szCs w:val="18"/>
                <w:lang w:eastAsia="hr-HR"/>
              </w:rPr>
            </w:pPr>
            <w:r w:rsidRPr="00B64447">
              <w:rPr>
                <w:rFonts w:cstheme="minorHAnsi"/>
                <w:b/>
                <w:szCs w:val="18"/>
                <w:lang w:eastAsia="hr-HR"/>
              </w:rPr>
              <w:t>10.473</w:t>
            </w:r>
          </w:p>
        </w:tc>
        <w:tc>
          <w:tcPr>
            <w:tcW w:w="1134" w:type="dxa"/>
            <w:tcBorders>
              <w:top w:val="single" w:sz="8" w:space="0" w:color="D2232A"/>
              <w:left w:val="single" w:sz="8" w:space="0" w:color="D2232A"/>
              <w:right w:val="single" w:sz="8" w:space="0" w:color="D2232A"/>
            </w:tcBorders>
            <w:shd w:val="clear" w:color="auto" w:fill="FFFFFF"/>
            <w:noWrap/>
            <w:vAlign w:val="center"/>
            <w:hideMark/>
          </w:tcPr>
          <w:p w14:paraId="4744CB8D" w14:textId="77777777" w:rsidR="006E48E5" w:rsidRPr="00B64447" w:rsidRDefault="006E48E5" w:rsidP="00B64447">
            <w:pPr>
              <w:spacing w:after="0"/>
              <w:jc w:val="right"/>
              <w:rPr>
                <w:rFonts w:cstheme="minorHAnsi"/>
                <w:b/>
                <w:szCs w:val="18"/>
                <w:lang w:eastAsia="hr-HR"/>
              </w:rPr>
            </w:pPr>
            <w:r w:rsidRPr="00B64447">
              <w:rPr>
                <w:rFonts w:cstheme="minorHAnsi"/>
                <w:b/>
                <w:szCs w:val="18"/>
                <w:lang w:eastAsia="hr-HR"/>
              </w:rPr>
              <w:t>10.309</w:t>
            </w:r>
          </w:p>
        </w:tc>
        <w:tc>
          <w:tcPr>
            <w:tcW w:w="992" w:type="dxa"/>
            <w:tcBorders>
              <w:top w:val="single" w:sz="8" w:space="0" w:color="D2232A"/>
              <w:left w:val="single" w:sz="8" w:space="0" w:color="D2232A"/>
              <w:right w:val="single" w:sz="8" w:space="0" w:color="D2232A"/>
            </w:tcBorders>
            <w:shd w:val="clear" w:color="auto" w:fill="FFFFFF"/>
            <w:noWrap/>
            <w:vAlign w:val="center"/>
            <w:hideMark/>
          </w:tcPr>
          <w:p w14:paraId="3541B3EB" w14:textId="77777777" w:rsidR="006E48E5" w:rsidRPr="00B64447" w:rsidRDefault="006E48E5" w:rsidP="00B64447">
            <w:pPr>
              <w:spacing w:after="0"/>
              <w:jc w:val="right"/>
              <w:rPr>
                <w:rFonts w:cstheme="minorHAnsi"/>
                <w:b/>
                <w:szCs w:val="18"/>
                <w:lang w:eastAsia="hr-HR"/>
              </w:rPr>
            </w:pPr>
            <w:r w:rsidRPr="00B64447">
              <w:rPr>
                <w:rFonts w:cstheme="minorHAnsi"/>
                <w:b/>
                <w:szCs w:val="18"/>
                <w:lang w:eastAsia="hr-HR"/>
              </w:rPr>
              <w:t>10.297</w:t>
            </w:r>
          </w:p>
        </w:tc>
        <w:tc>
          <w:tcPr>
            <w:tcW w:w="993" w:type="dxa"/>
            <w:tcBorders>
              <w:top w:val="single" w:sz="8" w:space="0" w:color="D2232A"/>
              <w:left w:val="single" w:sz="8" w:space="0" w:color="D2232A"/>
              <w:right w:val="single" w:sz="8" w:space="0" w:color="D2232A"/>
            </w:tcBorders>
            <w:shd w:val="clear" w:color="auto" w:fill="FFFFFF"/>
            <w:noWrap/>
            <w:vAlign w:val="center"/>
            <w:hideMark/>
          </w:tcPr>
          <w:p w14:paraId="34A01417" w14:textId="77777777" w:rsidR="006E48E5" w:rsidRPr="00B64447" w:rsidRDefault="006E48E5" w:rsidP="00B64447">
            <w:pPr>
              <w:spacing w:after="0"/>
              <w:jc w:val="right"/>
              <w:rPr>
                <w:rFonts w:cstheme="minorHAnsi"/>
                <w:b/>
                <w:szCs w:val="18"/>
                <w:lang w:eastAsia="hr-HR"/>
              </w:rPr>
            </w:pPr>
            <w:r w:rsidRPr="00B64447">
              <w:rPr>
                <w:rFonts w:cstheme="minorHAnsi"/>
                <w:b/>
                <w:szCs w:val="18"/>
                <w:lang w:eastAsia="hr-HR"/>
              </w:rPr>
              <w:t>10.259</w:t>
            </w:r>
          </w:p>
        </w:tc>
        <w:tc>
          <w:tcPr>
            <w:tcW w:w="992" w:type="dxa"/>
            <w:tcBorders>
              <w:top w:val="single" w:sz="8" w:space="0" w:color="D2232A"/>
              <w:left w:val="single" w:sz="8" w:space="0" w:color="D2232A"/>
              <w:right w:val="single" w:sz="8" w:space="0" w:color="D2232A"/>
            </w:tcBorders>
            <w:shd w:val="clear" w:color="auto" w:fill="FFFFFF"/>
            <w:noWrap/>
            <w:vAlign w:val="center"/>
            <w:hideMark/>
          </w:tcPr>
          <w:p w14:paraId="7C2F8866" w14:textId="77777777" w:rsidR="006E48E5" w:rsidRPr="00B64447" w:rsidRDefault="006E48E5" w:rsidP="00B64447">
            <w:pPr>
              <w:spacing w:after="0"/>
              <w:jc w:val="right"/>
              <w:rPr>
                <w:rFonts w:cstheme="minorHAnsi"/>
                <w:b/>
                <w:szCs w:val="18"/>
                <w:lang w:eastAsia="hr-HR"/>
              </w:rPr>
            </w:pPr>
            <w:r w:rsidRPr="00B64447">
              <w:rPr>
                <w:rFonts w:cstheme="minorHAnsi"/>
                <w:b/>
                <w:szCs w:val="18"/>
                <w:lang w:eastAsia="hr-HR"/>
              </w:rPr>
              <w:t>10.606</w:t>
            </w:r>
          </w:p>
        </w:tc>
        <w:tc>
          <w:tcPr>
            <w:tcW w:w="1134" w:type="dxa"/>
            <w:tcBorders>
              <w:top w:val="single" w:sz="8" w:space="0" w:color="D2232A"/>
              <w:left w:val="single" w:sz="8" w:space="0" w:color="D2232A"/>
              <w:right w:val="single" w:sz="8" w:space="0" w:color="D2232A"/>
            </w:tcBorders>
            <w:shd w:val="clear" w:color="auto" w:fill="FFFFFF"/>
            <w:noWrap/>
            <w:vAlign w:val="center"/>
            <w:hideMark/>
          </w:tcPr>
          <w:p w14:paraId="4690AD49" w14:textId="77777777" w:rsidR="006E48E5" w:rsidRPr="00B64447" w:rsidRDefault="006E48E5" w:rsidP="00B64447">
            <w:pPr>
              <w:spacing w:after="0"/>
              <w:jc w:val="right"/>
              <w:rPr>
                <w:rFonts w:cstheme="minorHAnsi"/>
                <w:b/>
                <w:szCs w:val="18"/>
                <w:lang w:eastAsia="hr-HR"/>
              </w:rPr>
            </w:pPr>
            <w:r w:rsidRPr="00B64447">
              <w:rPr>
                <w:rFonts w:cstheme="minorHAnsi"/>
                <w:b/>
                <w:szCs w:val="18"/>
                <w:lang w:eastAsia="hr-HR"/>
              </w:rPr>
              <w:t>11.184</w:t>
            </w:r>
          </w:p>
        </w:tc>
        <w:tc>
          <w:tcPr>
            <w:tcW w:w="1276" w:type="dxa"/>
            <w:tcBorders>
              <w:left w:val="single" w:sz="8" w:space="0" w:color="D2232A"/>
              <w:right w:val="single" w:sz="8" w:space="0" w:color="D2232A"/>
            </w:tcBorders>
            <w:shd w:val="clear" w:color="auto" w:fill="FFFFFF"/>
            <w:vAlign w:val="center"/>
          </w:tcPr>
          <w:p w14:paraId="6828C1DB" w14:textId="069230BC" w:rsidR="008D0CA7" w:rsidRPr="00B64447" w:rsidRDefault="008D0CA7" w:rsidP="008D0CA7">
            <w:pPr>
              <w:spacing w:after="0"/>
              <w:jc w:val="right"/>
              <w:rPr>
                <w:rFonts w:cstheme="minorHAnsi"/>
                <w:b/>
                <w:szCs w:val="18"/>
              </w:rPr>
            </w:pPr>
            <w:r w:rsidRPr="008D0CA7">
              <w:rPr>
                <w:rFonts w:cstheme="minorHAnsi"/>
                <w:b/>
                <w:szCs w:val="18"/>
              </w:rPr>
              <w:t>11.893</w:t>
            </w:r>
          </w:p>
        </w:tc>
        <w:tc>
          <w:tcPr>
            <w:tcW w:w="1417" w:type="dxa"/>
            <w:tcBorders>
              <w:left w:val="single" w:sz="8" w:space="0" w:color="D2232A"/>
              <w:right w:val="single" w:sz="8" w:space="0" w:color="D2232A"/>
            </w:tcBorders>
            <w:shd w:val="clear" w:color="auto" w:fill="FFFFFF"/>
            <w:vAlign w:val="center"/>
          </w:tcPr>
          <w:p w14:paraId="40BDF9F6" w14:textId="3B0231E5" w:rsidR="006E48E5" w:rsidRPr="00B64447" w:rsidRDefault="008D0CA7" w:rsidP="008D0CA7">
            <w:pPr>
              <w:spacing w:after="0"/>
              <w:jc w:val="right"/>
              <w:rPr>
                <w:rFonts w:cstheme="minorHAnsi"/>
                <w:b/>
                <w:szCs w:val="18"/>
              </w:rPr>
            </w:pPr>
            <w:r w:rsidRPr="008D0CA7">
              <w:rPr>
                <w:rFonts w:cstheme="minorHAnsi"/>
                <w:b/>
                <w:szCs w:val="18"/>
              </w:rPr>
              <w:t>12.270</w:t>
            </w:r>
          </w:p>
        </w:tc>
        <w:tc>
          <w:tcPr>
            <w:tcW w:w="1134" w:type="dxa"/>
            <w:tcBorders>
              <w:left w:val="single" w:sz="8" w:space="0" w:color="D2232A"/>
              <w:right w:val="single" w:sz="8" w:space="0" w:color="D2232A"/>
            </w:tcBorders>
            <w:shd w:val="clear" w:color="auto" w:fill="FFFFFF"/>
            <w:vAlign w:val="center"/>
            <w:hideMark/>
          </w:tcPr>
          <w:p w14:paraId="3754A9A7" w14:textId="4A114F96" w:rsidR="006E48E5" w:rsidRPr="00B64447" w:rsidRDefault="006E48E5" w:rsidP="00B64447">
            <w:pPr>
              <w:spacing w:after="0"/>
              <w:jc w:val="right"/>
              <w:rPr>
                <w:rFonts w:cstheme="minorHAnsi"/>
                <w:b/>
                <w:szCs w:val="18"/>
              </w:rPr>
            </w:pPr>
            <w:r w:rsidRPr="00B64447">
              <w:rPr>
                <w:rFonts w:cstheme="minorHAnsi"/>
                <w:b/>
                <w:szCs w:val="18"/>
              </w:rPr>
              <w:t>1</w:t>
            </w:r>
            <w:r w:rsidR="008D0CA7">
              <w:rPr>
                <w:rFonts w:cstheme="minorHAnsi"/>
                <w:b/>
                <w:szCs w:val="18"/>
              </w:rPr>
              <w:t>1</w:t>
            </w:r>
            <w:r w:rsidRPr="00B64447">
              <w:rPr>
                <w:rFonts w:cstheme="minorHAnsi"/>
                <w:b/>
                <w:szCs w:val="18"/>
              </w:rPr>
              <w:t>6,</w:t>
            </w:r>
            <w:r w:rsidR="008D0CA7">
              <w:rPr>
                <w:rFonts w:cstheme="minorHAnsi"/>
                <w:b/>
                <w:szCs w:val="18"/>
              </w:rPr>
              <w:t>71</w:t>
            </w:r>
          </w:p>
        </w:tc>
        <w:tc>
          <w:tcPr>
            <w:tcW w:w="1276" w:type="dxa"/>
            <w:tcBorders>
              <w:left w:val="single" w:sz="8" w:space="0" w:color="D2232A"/>
              <w:right w:val="single" w:sz="8" w:space="0" w:color="D2232A"/>
            </w:tcBorders>
            <w:shd w:val="clear" w:color="auto" w:fill="FFFFFF"/>
            <w:vAlign w:val="center"/>
            <w:hideMark/>
          </w:tcPr>
          <w:p w14:paraId="45FD473B" w14:textId="77777777" w:rsidR="006E48E5" w:rsidRPr="00B64447" w:rsidRDefault="006E48E5" w:rsidP="00B64447">
            <w:pPr>
              <w:spacing w:after="0"/>
              <w:jc w:val="right"/>
              <w:rPr>
                <w:rFonts w:cstheme="minorHAnsi"/>
                <w:b/>
                <w:szCs w:val="18"/>
              </w:rPr>
            </w:pPr>
            <w:r w:rsidRPr="00B64447">
              <w:rPr>
                <w:rFonts w:cstheme="minorHAnsi"/>
                <w:b/>
                <w:szCs w:val="18"/>
              </w:rPr>
              <w:t>100</w:t>
            </w:r>
          </w:p>
        </w:tc>
      </w:tr>
      <w:tr w:rsidR="006E48E5" w:rsidRPr="00B64447" w14:paraId="26EEF36F" w14:textId="77777777" w:rsidTr="008D0CA7">
        <w:trPr>
          <w:trHeight w:val="292"/>
        </w:trPr>
        <w:tc>
          <w:tcPr>
            <w:tcW w:w="2410" w:type="dxa"/>
            <w:shd w:val="clear" w:color="auto" w:fill="D2232A"/>
            <w:noWrap/>
            <w:vAlign w:val="center"/>
            <w:hideMark/>
          </w:tcPr>
          <w:p w14:paraId="4296DBAC"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Grad Zagreb</w:t>
            </w:r>
          </w:p>
        </w:tc>
        <w:tc>
          <w:tcPr>
            <w:tcW w:w="1134" w:type="dxa"/>
            <w:tcBorders>
              <w:right w:val="single" w:sz="8" w:space="0" w:color="D2232A"/>
            </w:tcBorders>
            <w:shd w:val="clear" w:color="auto" w:fill="FFFFFF"/>
            <w:noWrap/>
            <w:vAlign w:val="center"/>
            <w:hideMark/>
          </w:tcPr>
          <w:p w14:paraId="3076394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19.445</w:t>
            </w:r>
          </w:p>
        </w:tc>
        <w:tc>
          <w:tcPr>
            <w:tcW w:w="1134" w:type="dxa"/>
            <w:tcBorders>
              <w:left w:val="single" w:sz="8" w:space="0" w:color="D2232A"/>
              <w:right w:val="single" w:sz="8" w:space="0" w:color="D2232A"/>
            </w:tcBorders>
            <w:shd w:val="clear" w:color="auto" w:fill="FFFFFF"/>
            <w:noWrap/>
            <w:vAlign w:val="center"/>
            <w:hideMark/>
          </w:tcPr>
          <w:p w14:paraId="4280A3A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19.117</w:t>
            </w:r>
          </w:p>
        </w:tc>
        <w:tc>
          <w:tcPr>
            <w:tcW w:w="1134" w:type="dxa"/>
            <w:tcBorders>
              <w:left w:val="single" w:sz="8" w:space="0" w:color="D2232A"/>
              <w:right w:val="single" w:sz="8" w:space="0" w:color="D2232A"/>
            </w:tcBorders>
            <w:shd w:val="clear" w:color="auto" w:fill="FFFFFF"/>
            <w:noWrap/>
            <w:vAlign w:val="center"/>
            <w:hideMark/>
          </w:tcPr>
          <w:p w14:paraId="5C11FF8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18.702</w:t>
            </w:r>
          </w:p>
        </w:tc>
        <w:tc>
          <w:tcPr>
            <w:tcW w:w="992" w:type="dxa"/>
            <w:tcBorders>
              <w:left w:val="single" w:sz="8" w:space="0" w:color="D2232A"/>
              <w:right w:val="single" w:sz="8" w:space="0" w:color="D2232A"/>
            </w:tcBorders>
            <w:shd w:val="clear" w:color="auto" w:fill="FFFFFF"/>
            <w:noWrap/>
            <w:vAlign w:val="center"/>
            <w:hideMark/>
          </w:tcPr>
          <w:p w14:paraId="3983AB3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18.388</w:t>
            </w:r>
          </w:p>
        </w:tc>
        <w:tc>
          <w:tcPr>
            <w:tcW w:w="993" w:type="dxa"/>
            <w:tcBorders>
              <w:left w:val="single" w:sz="8" w:space="0" w:color="D2232A"/>
              <w:right w:val="single" w:sz="8" w:space="0" w:color="D2232A"/>
            </w:tcBorders>
            <w:shd w:val="clear" w:color="auto" w:fill="FFFFFF"/>
            <w:noWrap/>
            <w:vAlign w:val="center"/>
            <w:hideMark/>
          </w:tcPr>
          <w:p w14:paraId="0B4B3A8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18.303</w:t>
            </w:r>
          </w:p>
        </w:tc>
        <w:tc>
          <w:tcPr>
            <w:tcW w:w="992" w:type="dxa"/>
            <w:tcBorders>
              <w:left w:val="single" w:sz="8" w:space="0" w:color="D2232A"/>
              <w:right w:val="single" w:sz="8" w:space="0" w:color="D2232A"/>
            </w:tcBorders>
            <w:shd w:val="clear" w:color="auto" w:fill="FFFFFF"/>
            <w:noWrap/>
            <w:vAlign w:val="center"/>
            <w:hideMark/>
          </w:tcPr>
          <w:p w14:paraId="60117B66"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18.769</w:t>
            </w:r>
          </w:p>
        </w:tc>
        <w:tc>
          <w:tcPr>
            <w:tcW w:w="1134" w:type="dxa"/>
            <w:tcBorders>
              <w:left w:val="single" w:sz="8" w:space="0" w:color="D2232A"/>
              <w:right w:val="single" w:sz="8" w:space="0" w:color="D2232A"/>
            </w:tcBorders>
            <w:shd w:val="clear" w:color="auto" w:fill="FFFFFF"/>
            <w:noWrap/>
            <w:vAlign w:val="center"/>
            <w:hideMark/>
          </w:tcPr>
          <w:p w14:paraId="19B7EBE6"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19.546</w:t>
            </w:r>
          </w:p>
        </w:tc>
        <w:tc>
          <w:tcPr>
            <w:tcW w:w="1276" w:type="dxa"/>
            <w:tcBorders>
              <w:left w:val="single" w:sz="8" w:space="0" w:color="D2232A"/>
              <w:right w:val="single" w:sz="8" w:space="0" w:color="D2232A"/>
            </w:tcBorders>
            <w:shd w:val="clear" w:color="auto" w:fill="FFFFFF"/>
            <w:vAlign w:val="center"/>
          </w:tcPr>
          <w:p w14:paraId="23015B28" w14:textId="3AE47335" w:rsidR="006E48E5" w:rsidRPr="00B64447" w:rsidRDefault="008D0CA7" w:rsidP="008D0CA7">
            <w:pPr>
              <w:spacing w:after="0"/>
              <w:jc w:val="right"/>
              <w:rPr>
                <w:rFonts w:cstheme="minorHAnsi"/>
                <w:szCs w:val="18"/>
              </w:rPr>
            </w:pPr>
            <w:r w:rsidRPr="008D0CA7">
              <w:rPr>
                <w:rFonts w:cstheme="minorHAnsi"/>
                <w:szCs w:val="18"/>
              </w:rPr>
              <w:t>20.850</w:t>
            </w:r>
          </w:p>
        </w:tc>
        <w:tc>
          <w:tcPr>
            <w:tcW w:w="1417" w:type="dxa"/>
            <w:tcBorders>
              <w:left w:val="single" w:sz="8" w:space="0" w:color="D2232A"/>
              <w:right w:val="single" w:sz="8" w:space="0" w:color="D2232A"/>
            </w:tcBorders>
            <w:shd w:val="clear" w:color="auto" w:fill="FFFFFF"/>
            <w:vAlign w:val="center"/>
          </w:tcPr>
          <w:p w14:paraId="3AE13834" w14:textId="7B7B18DC" w:rsidR="006E48E5" w:rsidRPr="00B64447" w:rsidRDefault="008D0CA7" w:rsidP="008D0CA7">
            <w:pPr>
              <w:spacing w:after="0"/>
              <w:jc w:val="right"/>
              <w:rPr>
                <w:rFonts w:cstheme="minorHAnsi"/>
                <w:szCs w:val="18"/>
              </w:rPr>
            </w:pPr>
            <w:r w:rsidRPr="008D0CA7">
              <w:rPr>
                <w:rFonts w:cstheme="minorHAnsi"/>
                <w:szCs w:val="18"/>
              </w:rPr>
              <w:t>22.695</w:t>
            </w:r>
          </w:p>
        </w:tc>
        <w:tc>
          <w:tcPr>
            <w:tcW w:w="1134" w:type="dxa"/>
            <w:tcBorders>
              <w:left w:val="single" w:sz="8" w:space="0" w:color="D2232A"/>
              <w:right w:val="single" w:sz="8" w:space="0" w:color="D2232A"/>
            </w:tcBorders>
            <w:shd w:val="clear" w:color="auto" w:fill="FFFFFF"/>
            <w:vAlign w:val="center"/>
            <w:hideMark/>
          </w:tcPr>
          <w:p w14:paraId="3FE182FD" w14:textId="690175A5" w:rsidR="006E48E5" w:rsidRPr="00B64447" w:rsidRDefault="006E48E5" w:rsidP="00B64447">
            <w:pPr>
              <w:spacing w:after="0"/>
              <w:jc w:val="right"/>
              <w:rPr>
                <w:rFonts w:cstheme="minorHAnsi"/>
                <w:szCs w:val="18"/>
              </w:rPr>
            </w:pPr>
            <w:r w:rsidRPr="00B64447">
              <w:rPr>
                <w:rFonts w:cstheme="minorHAnsi"/>
                <w:szCs w:val="18"/>
              </w:rPr>
              <w:t>1</w:t>
            </w:r>
            <w:r w:rsidR="008D0CA7">
              <w:rPr>
                <w:rFonts w:cstheme="minorHAnsi"/>
                <w:szCs w:val="18"/>
              </w:rPr>
              <w:t>16</w:t>
            </w:r>
            <w:r w:rsidRPr="00B64447">
              <w:rPr>
                <w:rFonts w:cstheme="minorHAnsi"/>
                <w:szCs w:val="18"/>
              </w:rPr>
              <w:t>,</w:t>
            </w:r>
            <w:r w:rsidR="008D0CA7">
              <w:rPr>
                <w:rFonts w:cstheme="minorHAnsi"/>
                <w:szCs w:val="18"/>
              </w:rPr>
              <w:t>7</w:t>
            </w:r>
            <w:r w:rsidRPr="00B64447">
              <w:rPr>
                <w:rFonts w:cstheme="minorHAnsi"/>
                <w:szCs w:val="18"/>
              </w:rPr>
              <w:t>2</w:t>
            </w:r>
          </w:p>
        </w:tc>
        <w:tc>
          <w:tcPr>
            <w:tcW w:w="1276" w:type="dxa"/>
            <w:tcBorders>
              <w:left w:val="single" w:sz="8" w:space="0" w:color="D2232A"/>
              <w:right w:val="single" w:sz="8" w:space="0" w:color="D2232A"/>
            </w:tcBorders>
            <w:shd w:val="clear" w:color="auto" w:fill="FFFFFF"/>
            <w:vAlign w:val="center"/>
            <w:hideMark/>
          </w:tcPr>
          <w:p w14:paraId="496AF2BC" w14:textId="32BABA3E" w:rsidR="006E48E5" w:rsidRPr="00B64447" w:rsidRDefault="008D0CA7" w:rsidP="00B64447">
            <w:pPr>
              <w:spacing w:after="0"/>
              <w:jc w:val="right"/>
              <w:rPr>
                <w:rFonts w:cstheme="minorHAnsi"/>
                <w:szCs w:val="18"/>
              </w:rPr>
            </w:pPr>
            <w:r w:rsidRPr="008D0CA7">
              <w:rPr>
                <w:rFonts w:cstheme="minorHAnsi"/>
                <w:szCs w:val="18"/>
              </w:rPr>
              <w:t>184,96</w:t>
            </w:r>
          </w:p>
        </w:tc>
      </w:tr>
      <w:tr w:rsidR="006E48E5" w:rsidRPr="00B64447" w14:paraId="53E2A29C" w14:textId="77777777" w:rsidTr="008D0CA7">
        <w:trPr>
          <w:trHeight w:val="292"/>
        </w:trPr>
        <w:tc>
          <w:tcPr>
            <w:tcW w:w="2410" w:type="dxa"/>
            <w:shd w:val="clear" w:color="auto" w:fill="D2232A"/>
            <w:noWrap/>
            <w:vAlign w:val="center"/>
            <w:hideMark/>
          </w:tcPr>
          <w:p w14:paraId="37FDBAB2"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Zagrebačka</w:t>
            </w:r>
          </w:p>
        </w:tc>
        <w:tc>
          <w:tcPr>
            <w:tcW w:w="1134" w:type="dxa"/>
            <w:tcBorders>
              <w:right w:val="single" w:sz="8" w:space="0" w:color="D2232A"/>
            </w:tcBorders>
            <w:shd w:val="clear" w:color="auto" w:fill="FFFFFF"/>
            <w:noWrap/>
            <w:vAlign w:val="center"/>
            <w:hideMark/>
          </w:tcPr>
          <w:p w14:paraId="1BF0228C"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7.729</w:t>
            </w:r>
          </w:p>
        </w:tc>
        <w:tc>
          <w:tcPr>
            <w:tcW w:w="1134" w:type="dxa"/>
            <w:tcBorders>
              <w:left w:val="single" w:sz="8" w:space="0" w:color="D2232A"/>
              <w:right w:val="single" w:sz="8" w:space="0" w:color="D2232A"/>
            </w:tcBorders>
            <w:shd w:val="clear" w:color="auto" w:fill="FFFFFF"/>
            <w:noWrap/>
            <w:vAlign w:val="center"/>
            <w:hideMark/>
          </w:tcPr>
          <w:p w14:paraId="666A0D3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7.881</w:t>
            </w:r>
          </w:p>
        </w:tc>
        <w:tc>
          <w:tcPr>
            <w:tcW w:w="1134" w:type="dxa"/>
            <w:tcBorders>
              <w:left w:val="single" w:sz="8" w:space="0" w:color="D2232A"/>
              <w:right w:val="single" w:sz="8" w:space="0" w:color="D2232A"/>
            </w:tcBorders>
            <w:shd w:val="clear" w:color="auto" w:fill="FFFFFF"/>
            <w:noWrap/>
            <w:vAlign w:val="center"/>
            <w:hideMark/>
          </w:tcPr>
          <w:p w14:paraId="0D89748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7.774</w:t>
            </w:r>
          </w:p>
        </w:tc>
        <w:tc>
          <w:tcPr>
            <w:tcW w:w="992" w:type="dxa"/>
            <w:tcBorders>
              <w:left w:val="single" w:sz="8" w:space="0" w:color="D2232A"/>
              <w:right w:val="single" w:sz="8" w:space="0" w:color="D2232A"/>
            </w:tcBorders>
            <w:shd w:val="clear" w:color="auto" w:fill="FFFFFF"/>
            <w:noWrap/>
            <w:vAlign w:val="center"/>
            <w:hideMark/>
          </w:tcPr>
          <w:p w14:paraId="6D47794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7.803</w:t>
            </w:r>
          </w:p>
        </w:tc>
        <w:tc>
          <w:tcPr>
            <w:tcW w:w="993" w:type="dxa"/>
            <w:tcBorders>
              <w:left w:val="single" w:sz="8" w:space="0" w:color="D2232A"/>
              <w:right w:val="single" w:sz="8" w:space="0" w:color="D2232A"/>
            </w:tcBorders>
            <w:shd w:val="clear" w:color="auto" w:fill="FFFFFF"/>
            <w:noWrap/>
            <w:vAlign w:val="center"/>
            <w:hideMark/>
          </w:tcPr>
          <w:p w14:paraId="6A04F275"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7.854</w:t>
            </w:r>
          </w:p>
        </w:tc>
        <w:tc>
          <w:tcPr>
            <w:tcW w:w="992" w:type="dxa"/>
            <w:tcBorders>
              <w:left w:val="single" w:sz="8" w:space="0" w:color="D2232A"/>
              <w:right w:val="single" w:sz="8" w:space="0" w:color="D2232A"/>
            </w:tcBorders>
            <w:shd w:val="clear" w:color="auto" w:fill="FFFFFF"/>
            <w:noWrap/>
            <w:vAlign w:val="center"/>
            <w:hideMark/>
          </w:tcPr>
          <w:p w14:paraId="5AD665F8"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8.163</w:t>
            </w:r>
          </w:p>
        </w:tc>
        <w:tc>
          <w:tcPr>
            <w:tcW w:w="1134" w:type="dxa"/>
            <w:tcBorders>
              <w:left w:val="single" w:sz="8" w:space="0" w:color="D2232A"/>
              <w:right w:val="single" w:sz="8" w:space="0" w:color="D2232A"/>
            </w:tcBorders>
            <w:shd w:val="clear" w:color="auto" w:fill="FFFFFF"/>
            <w:noWrap/>
            <w:vAlign w:val="center"/>
            <w:hideMark/>
          </w:tcPr>
          <w:p w14:paraId="6E12B16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8.595</w:t>
            </w:r>
          </w:p>
        </w:tc>
        <w:tc>
          <w:tcPr>
            <w:tcW w:w="1276" w:type="dxa"/>
            <w:tcBorders>
              <w:left w:val="single" w:sz="8" w:space="0" w:color="D2232A"/>
              <w:right w:val="single" w:sz="8" w:space="0" w:color="D2232A"/>
            </w:tcBorders>
            <w:shd w:val="clear" w:color="auto" w:fill="FFFFFF"/>
            <w:vAlign w:val="center"/>
          </w:tcPr>
          <w:p w14:paraId="192FB3A4" w14:textId="27A61D6A" w:rsidR="006E48E5" w:rsidRPr="00B64447" w:rsidRDefault="008D0CA7" w:rsidP="008D0CA7">
            <w:pPr>
              <w:spacing w:after="0"/>
              <w:jc w:val="right"/>
              <w:rPr>
                <w:rFonts w:cstheme="minorHAnsi"/>
                <w:szCs w:val="18"/>
              </w:rPr>
            </w:pPr>
            <w:r w:rsidRPr="008D0CA7">
              <w:rPr>
                <w:rFonts w:cstheme="minorHAnsi"/>
                <w:szCs w:val="18"/>
              </w:rPr>
              <w:t>9.042</w:t>
            </w:r>
          </w:p>
        </w:tc>
        <w:tc>
          <w:tcPr>
            <w:tcW w:w="1417" w:type="dxa"/>
            <w:tcBorders>
              <w:left w:val="single" w:sz="8" w:space="0" w:color="D2232A"/>
              <w:right w:val="single" w:sz="8" w:space="0" w:color="D2232A"/>
            </w:tcBorders>
            <w:shd w:val="clear" w:color="auto" w:fill="FFFFFF"/>
            <w:vAlign w:val="center"/>
          </w:tcPr>
          <w:p w14:paraId="47BDCB2E" w14:textId="1F332B9C" w:rsidR="006E48E5" w:rsidRPr="00B64447" w:rsidRDefault="008D0CA7" w:rsidP="008D0CA7">
            <w:pPr>
              <w:spacing w:after="0"/>
              <w:jc w:val="right"/>
              <w:rPr>
                <w:rFonts w:cstheme="minorHAnsi"/>
                <w:szCs w:val="18"/>
              </w:rPr>
            </w:pPr>
            <w:r w:rsidRPr="008D0CA7">
              <w:rPr>
                <w:rFonts w:cstheme="minorHAnsi"/>
                <w:szCs w:val="18"/>
              </w:rPr>
              <w:t>9.710</w:t>
            </w:r>
          </w:p>
        </w:tc>
        <w:tc>
          <w:tcPr>
            <w:tcW w:w="1134" w:type="dxa"/>
            <w:tcBorders>
              <w:left w:val="single" w:sz="8" w:space="0" w:color="D2232A"/>
              <w:right w:val="single" w:sz="8" w:space="0" w:color="D2232A"/>
            </w:tcBorders>
            <w:shd w:val="clear" w:color="auto" w:fill="FFFFFF"/>
            <w:vAlign w:val="center"/>
            <w:hideMark/>
          </w:tcPr>
          <w:p w14:paraId="5E2CEC93" w14:textId="57673815" w:rsidR="006E48E5" w:rsidRPr="00B64447" w:rsidRDefault="008D0CA7" w:rsidP="00B64447">
            <w:pPr>
              <w:spacing w:after="0"/>
              <w:jc w:val="right"/>
              <w:rPr>
                <w:rFonts w:cstheme="minorHAnsi"/>
                <w:szCs w:val="18"/>
              </w:rPr>
            </w:pPr>
            <w:r w:rsidRPr="008D0CA7">
              <w:rPr>
                <w:rFonts w:cstheme="minorHAnsi"/>
                <w:szCs w:val="18"/>
              </w:rPr>
              <w:t>125,64</w:t>
            </w:r>
          </w:p>
        </w:tc>
        <w:tc>
          <w:tcPr>
            <w:tcW w:w="1276" w:type="dxa"/>
            <w:tcBorders>
              <w:left w:val="single" w:sz="8" w:space="0" w:color="D2232A"/>
              <w:right w:val="single" w:sz="8" w:space="0" w:color="D2232A"/>
            </w:tcBorders>
            <w:shd w:val="clear" w:color="auto" w:fill="FFFFFF"/>
            <w:vAlign w:val="center"/>
            <w:hideMark/>
          </w:tcPr>
          <w:p w14:paraId="7C7C9EBD" w14:textId="64E21D19" w:rsidR="006E48E5" w:rsidRPr="00B64447" w:rsidRDefault="006E48E5" w:rsidP="00B64447">
            <w:pPr>
              <w:spacing w:after="0"/>
              <w:jc w:val="right"/>
              <w:rPr>
                <w:rFonts w:cstheme="minorHAnsi"/>
                <w:szCs w:val="18"/>
              </w:rPr>
            </w:pPr>
            <w:r w:rsidRPr="00B64447">
              <w:rPr>
                <w:rFonts w:cstheme="minorHAnsi"/>
                <w:szCs w:val="18"/>
              </w:rPr>
              <w:t>7</w:t>
            </w:r>
            <w:r w:rsidR="008D0CA7">
              <w:rPr>
                <w:rFonts w:cstheme="minorHAnsi"/>
                <w:szCs w:val="18"/>
              </w:rPr>
              <w:t>9</w:t>
            </w:r>
            <w:r w:rsidRPr="00B64447">
              <w:rPr>
                <w:rFonts w:cstheme="minorHAnsi"/>
                <w:szCs w:val="18"/>
              </w:rPr>
              <w:t>,</w:t>
            </w:r>
            <w:r w:rsidR="008D0CA7">
              <w:rPr>
                <w:rFonts w:cstheme="minorHAnsi"/>
                <w:szCs w:val="18"/>
              </w:rPr>
              <w:t>14</w:t>
            </w:r>
          </w:p>
        </w:tc>
      </w:tr>
      <w:tr w:rsidR="006E48E5" w:rsidRPr="00B64447" w14:paraId="3F6C2063" w14:textId="77777777" w:rsidTr="00FA3B9A">
        <w:trPr>
          <w:trHeight w:val="292"/>
        </w:trPr>
        <w:tc>
          <w:tcPr>
            <w:tcW w:w="2410" w:type="dxa"/>
            <w:shd w:val="clear" w:color="auto" w:fill="D2232A"/>
            <w:noWrap/>
            <w:vAlign w:val="center"/>
            <w:hideMark/>
          </w:tcPr>
          <w:p w14:paraId="38850E84" w14:textId="77777777" w:rsidR="006E48E5" w:rsidRPr="00FA3B9A" w:rsidRDefault="006E48E5" w:rsidP="00857C87">
            <w:pPr>
              <w:spacing w:after="0"/>
              <w:jc w:val="left"/>
              <w:rPr>
                <w:rFonts w:cstheme="minorHAnsi"/>
                <w:b/>
                <w:bCs/>
                <w:color w:val="FFFFFF" w:themeColor="background1"/>
                <w:szCs w:val="18"/>
                <w:lang w:eastAsia="hr-HR"/>
              </w:rPr>
            </w:pPr>
            <w:r w:rsidRPr="00FA3B9A">
              <w:rPr>
                <w:rFonts w:cstheme="minorHAnsi"/>
                <w:b/>
                <w:bCs/>
                <w:color w:val="FFFFFF" w:themeColor="background1"/>
                <w:szCs w:val="18"/>
                <w:lang w:eastAsia="hr-HR"/>
              </w:rPr>
              <w:t>Krapinsko-zagorska</w:t>
            </w:r>
          </w:p>
        </w:tc>
        <w:tc>
          <w:tcPr>
            <w:tcW w:w="1134" w:type="dxa"/>
            <w:tcBorders>
              <w:right w:val="single" w:sz="8" w:space="0" w:color="D2232A"/>
            </w:tcBorders>
            <w:shd w:val="clear" w:color="auto" w:fill="FBE8E8" w:themeFill="accent6" w:themeFillTint="33"/>
            <w:noWrap/>
            <w:vAlign w:val="center"/>
            <w:hideMark/>
          </w:tcPr>
          <w:p w14:paraId="638AC19B" w14:textId="77777777" w:rsidR="006E48E5" w:rsidRPr="00FA3B9A" w:rsidRDefault="006E48E5" w:rsidP="00B64447">
            <w:pPr>
              <w:spacing w:after="0"/>
              <w:jc w:val="right"/>
              <w:rPr>
                <w:rFonts w:cstheme="minorHAnsi"/>
                <w:b/>
                <w:bCs/>
                <w:szCs w:val="18"/>
                <w:lang w:eastAsia="hr-HR"/>
              </w:rPr>
            </w:pPr>
            <w:r w:rsidRPr="00FA3B9A">
              <w:rPr>
                <w:rFonts w:cstheme="minorHAnsi"/>
                <w:b/>
                <w:bCs/>
                <w:szCs w:val="18"/>
                <w:lang w:eastAsia="hr-HR"/>
              </w:rPr>
              <w:t>6.172</w:t>
            </w:r>
          </w:p>
        </w:tc>
        <w:tc>
          <w:tcPr>
            <w:tcW w:w="1134" w:type="dxa"/>
            <w:tcBorders>
              <w:left w:val="single" w:sz="8" w:space="0" w:color="D2232A"/>
              <w:right w:val="single" w:sz="8" w:space="0" w:color="D2232A"/>
            </w:tcBorders>
            <w:shd w:val="clear" w:color="auto" w:fill="FBE8E8" w:themeFill="accent6" w:themeFillTint="33"/>
            <w:noWrap/>
            <w:vAlign w:val="center"/>
            <w:hideMark/>
          </w:tcPr>
          <w:p w14:paraId="5D32477A" w14:textId="77777777" w:rsidR="006E48E5" w:rsidRPr="00FA3B9A" w:rsidRDefault="006E48E5" w:rsidP="00B64447">
            <w:pPr>
              <w:spacing w:after="0"/>
              <w:jc w:val="right"/>
              <w:rPr>
                <w:rFonts w:cstheme="minorHAnsi"/>
                <w:b/>
                <w:bCs/>
                <w:szCs w:val="18"/>
                <w:lang w:eastAsia="hr-HR"/>
              </w:rPr>
            </w:pPr>
            <w:r w:rsidRPr="00FA3B9A">
              <w:rPr>
                <w:rFonts w:cstheme="minorHAnsi"/>
                <w:b/>
                <w:bCs/>
                <w:szCs w:val="18"/>
                <w:lang w:eastAsia="hr-HR"/>
              </w:rPr>
              <w:t>6.274</w:t>
            </w:r>
          </w:p>
        </w:tc>
        <w:tc>
          <w:tcPr>
            <w:tcW w:w="1134" w:type="dxa"/>
            <w:tcBorders>
              <w:left w:val="single" w:sz="8" w:space="0" w:color="D2232A"/>
              <w:right w:val="single" w:sz="8" w:space="0" w:color="D2232A"/>
            </w:tcBorders>
            <w:shd w:val="clear" w:color="auto" w:fill="FBE8E8" w:themeFill="accent6" w:themeFillTint="33"/>
            <w:noWrap/>
            <w:vAlign w:val="center"/>
            <w:hideMark/>
          </w:tcPr>
          <w:p w14:paraId="6CECE9EF" w14:textId="77777777" w:rsidR="006E48E5" w:rsidRPr="00FA3B9A" w:rsidRDefault="006E48E5" w:rsidP="00B64447">
            <w:pPr>
              <w:spacing w:after="0"/>
              <w:jc w:val="right"/>
              <w:rPr>
                <w:rFonts w:cstheme="minorHAnsi"/>
                <w:b/>
                <w:bCs/>
                <w:szCs w:val="18"/>
                <w:lang w:eastAsia="hr-HR"/>
              </w:rPr>
            </w:pPr>
            <w:r w:rsidRPr="00FA3B9A">
              <w:rPr>
                <w:rFonts w:cstheme="minorHAnsi"/>
                <w:b/>
                <w:bCs/>
                <w:szCs w:val="18"/>
                <w:lang w:eastAsia="hr-HR"/>
              </w:rPr>
              <w:t>6.246</w:t>
            </w:r>
          </w:p>
        </w:tc>
        <w:tc>
          <w:tcPr>
            <w:tcW w:w="992" w:type="dxa"/>
            <w:tcBorders>
              <w:left w:val="single" w:sz="8" w:space="0" w:color="D2232A"/>
              <w:right w:val="single" w:sz="8" w:space="0" w:color="D2232A"/>
            </w:tcBorders>
            <w:shd w:val="clear" w:color="auto" w:fill="FBE8E8" w:themeFill="accent6" w:themeFillTint="33"/>
            <w:noWrap/>
            <w:vAlign w:val="center"/>
            <w:hideMark/>
          </w:tcPr>
          <w:p w14:paraId="57D77520" w14:textId="77777777" w:rsidR="006E48E5" w:rsidRPr="00FA3B9A" w:rsidRDefault="006E48E5" w:rsidP="00B64447">
            <w:pPr>
              <w:spacing w:after="0"/>
              <w:jc w:val="right"/>
              <w:rPr>
                <w:rFonts w:cstheme="minorHAnsi"/>
                <w:b/>
                <w:bCs/>
                <w:szCs w:val="18"/>
                <w:lang w:eastAsia="hr-HR"/>
              </w:rPr>
            </w:pPr>
            <w:r w:rsidRPr="00FA3B9A">
              <w:rPr>
                <w:rFonts w:cstheme="minorHAnsi"/>
                <w:b/>
                <w:bCs/>
                <w:szCs w:val="18"/>
                <w:lang w:eastAsia="hr-HR"/>
              </w:rPr>
              <w:t>6.422</w:t>
            </w:r>
          </w:p>
        </w:tc>
        <w:tc>
          <w:tcPr>
            <w:tcW w:w="993" w:type="dxa"/>
            <w:tcBorders>
              <w:left w:val="single" w:sz="8" w:space="0" w:color="D2232A"/>
              <w:right w:val="single" w:sz="8" w:space="0" w:color="D2232A"/>
            </w:tcBorders>
            <w:shd w:val="clear" w:color="auto" w:fill="FBE8E8" w:themeFill="accent6" w:themeFillTint="33"/>
            <w:noWrap/>
            <w:vAlign w:val="center"/>
            <w:hideMark/>
          </w:tcPr>
          <w:p w14:paraId="7FB53DD7" w14:textId="77777777" w:rsidR="006E48E5" w:rsidRPr="00FA3B9A" w:rsidRDefault="006E48E5" w:rsidP="00B64447">
            <w:pPr>
              <w:spacing w:after="0"/>
              <w:jc w:val="right"/>
              <w:rPr>
                <w:rFonts w:cstheme="minorHAnsi"/>
                <w:b/>
                <w:bCs/>
                <w:szCs w:val="18"/>
                <w:lang w:eastAsia="hr-HR"/>
              </w:rPr>
            </w:pPr>
            <w:r w:rsidRPr="00FA3B9A">
              <w:rPr>
                <w:rFonts w:cstheme="minorHAnsi"/>
                <w:b/>
                <w:bCs/>
                <w:szCs w:val="18"/>
                <w:lang w:eastAsia="hr-HR"/>
              </w:rPr>
              <w:t>6.595</w:t>
            </w:r>
          </w:p>
        </w:tc>
        <w:tc>
          <w:tcPr>
            <w:tcW w:w="992" w:type="dxa"/>
            <w:tcBorders>
              <w:left w:val="single" w:sz="8" w:space="0" w:color="D2232A"/>
              <w:right w:val="single" w:sz="8" w:space="0" w:color="D2232A"/>
            </w:tcBorders>
            <w:shd w:val="clear" w:color="auto" w:fill="FBE8E8" w:themeFill="accent6" w:themeFillTint="33"/>
            <w:noWrap/>
            <w:vAlign w:val="center"/>
            <w:hideMark/>
          </w:tcPr>
          <w:p w14:paraId="67124C8D" w14:textId="77777777" w:rsidR="006E48E5" w:rsidRPr="00FA3B9A" w:rsidRDefault="006E48E5" w:rsidP="00B64447">
            <w:pPr>
              <w:spacing w:after="0"/>
              <w:jc w:val="right"/>
              <w:rPr>
                <w:rFonts w:cstheme="minorHAnsi"/>
                <w:b/>
                <w:bCs/>
                <w:szCs w:val="18"/>
                <w:lang w:eastAsia="hr-HR"/>
              </w:rPr>
            </w:pPr>
            <w:r w:rsidRPr="00FA3B9A">
              <w:rPr>
                <w:rFonts w:cstheme="minorHAnsi"/>
                <w:b/>
                <w:bCs/>
                <w:szCs w:val="18"/>
                <w:lang w:eastAsia="hr-HR"/>
              </w:rPr>
              <w:t>6.907</w:t>
            </w:r>
          </w:p>
        </w:tc>
        <w:tc>
          <w:tcPr>
            <w:tcW w:w="1134" w:type="dxa"/>
            <w:tcBorders>
              <w:left w:val="single" w:sz="8" w:space="0" w:color="D2232A"/>
              <w:right w:val="single" w:sz="8" w:space="0" w:color="D2232A"/>
            </w:tcBorders>
            <w:shd w:val="clear" w:color="auto" w:fill="FBE8E8" w:themeFill="accent6" w:themeFillTint="33"/>
            <w:noWrap/>
            <w:vAlign w:val="center"/>
            <w:hideMark/>
          </w:tcPr>
          <w:p w14:paraId="440FA958" w14:textId="77777777" w:rsidR="006E48E5" w:rsidRPr="00FA3B9A" w:rsidRDefault="006E48E5" w:rsidP="00B64447">
            <w:pPr>
              <w:spacing w:after="0"/>
              <w:jc w:val="right"/>
              <w:rPr>
                <w:rFonts w:cstheme="minorHAnsi"/>
                <w:b/>
                <w:bCs/>
                <w:szCs w:val="18"/>
                <w:lang w:eastAsia="hr-HR"/>
              </w:rPr>
            </w:pPr>
            <w:r w:rsidRPr="00FA3B9A">
              <w:rPr>
                <w:rFonts w:cstheme="minorHAnsi"/>
                <w:b/>
                <w:bCs/>
                <w:szCs w:val="18"/>
                <w:lang w:eastAsia="hr-HR"/>
              </w:rPr>
              <w:t>7.448</w:t>
            </w:r>
          </w:p>
        </w:tc>
        <w:tc>
          <w:tcPr>
            <w:tcW w:w="1276" w:type="dxa"/>
            <w:tcBorders>
              <w:left w:val="single" w:sz="8" w:space="0" w:color="D2232A"/>
              <w:right w:val="single" w:sz="8" w:space="0" w:color="D2232A"/>
            </w:tcBorders>
            <w:shd w:val="clear" w:color="auto" w:fill="FBE8E8" w:themeFill="accent6" w:themeFillTint="33"/>
            <w:vAlign w:val="center"/>
          </w:tcPr>
          <w:p w14:paraId="0DDD5CCF" w14:textId="1C9A7449" w:rsidR="006E48E5" w:rsidRPr="00FA3B9A" w:rsidRDefault="008D0CA7" w:rsidP="008D0CA7">
            <w:pPr>
              <w:spacing w:after="0"/>
              <w:jc w:val="right"/>
              <w:rPr>
                <w:rFonts w:cstheme="minorHAnsi"/>
                <w:b/>
                <w:bCs/>
                <w:szCs w:val="18"/>
              </w:rPr>
            </w:pPr>
            <w:r w:rsidRPr="00FA3B9A">
              <w:rPr>
                <w:rFonts w:cstheme="minorHAnsi"/>
                <w:b/>
                <w:bCs/>
                <w:szCs w:val="18"/>
              </w:rPr>
              <w:t>7.764</w:t>
            </w:r>
          </w:p>
        </w:tc>
        <w:tc>
          <w:tcPr>
            <w:tcW w:w="1417" w:type="dxa"/>
            <w:tcBorders>
              <w:left w:val="single" w:sz="8" w:space="0" w:color="D2232A"/>
              <w:right w:val="single" w:sz="8" w:space="0" w:color="D2232A"/>
            </w:tcBorders>
            <w:shd w:val="clear" w:color="auto" w:fill="FBE8E8" w:themeFill="accent6" w:themeFillTint="33"/>
            <w:vAlign w:val="center"/>
          </w:tcPr>
          <w:p w14:paraId="46966535" w14:textId="5493825D" w:rsidR="008D0CA7" w:rsidRPr="00FA3B9A" w:rsidRDefault="008D0CA7" w:rsidP="008D0CA7">
            <w:pPr>
              <w:spacing w:after="0"/>
              <w:jc w:val="right"/>
              <w:rPr>
                <w:rFonts w:cstheme="minorHAnsi"/>
                <w:b/>
                <w:bCs/>
                <w:szCs w:val="18"/>
              </w:rPr>
            </w:pPr>
            <w:r w:rsidRPr="00FA3B9A">
              <w:rPr>
                <w:rFonts w:cstheme="minorHAnsi"/>
                <w:b/>
                <w:bCs/>
                <w:szCs w:val="18"/>
              </w:rPr>
              <w:t>7.919</w:t>
            </w:r>
          </w:p>
        </w:tc>
        <w:tc>
          <w:tcPr>
            <w:tcW w:w="1134" w:type="dxa"/>
            <w:tcBorders>
              <w:left w:val="single" w:sz="8" w:space="0" w:color="D2232A"/>
              <w:right w:val="single" w:sz="8" w:space="0" w:color="D2232A"/>
            </w:tcBorders>
            <w:shd w:val="clear" w:color="auto" w:fill="FBE8E8" w:themeFill="accent6" w:themeFillTint="33"/>
            <w:vAlign w:val="center"/>
            <w:hideMark/>
          </w:tcPr>
          <w:p w14:paraId="27E072EE" w14:textId="4C42C0D4" w:rsidR="006E48E5" w:rsidRPr="00FA3B9A" w:rsidRDefault="008D0CA7" w:rsidP="00B64447">
            <w:pPr>
              <w:spacing w:after="0"/>
              <w:jc w:val="right"/>
              <w:rPr>
                <w:rFonts w:cstheme="minorHAnsi"/>
                <w:b/>
                <w:bCs/>
                <w:szCs w:val="18"/>
              </w:rPr>
            </w:pPr>
            <w:r w:rsidRPr="00FA3B9A">
              <w:rPr>
                <w:rFonts w:cstheme="minorHAnsi"/>
                <w:b/>
                <w:bCs/>
                <w:szCs w:val="18"/>
              </w:rPr>
              <w:t>128,31</w:t>
            </w:r>
          </w:p>
        </w:tc>
        <w:tc>
          <w:tcPr>
            <w:tcW w:w="1276" w:type="dxa"/>
            <w:tcBorders>
              <w:left w:val="single" w:sz="8" w:space="0" w:color="D2232A"/>
              <w:right w:val="single" w:sz="8" w:space="0" w:color="D2232A"/>
            </w:tcBorders>
            <w:shd w:val="clear" w:color="auto" w:fill="FBE8E8" w:themeFill="accent6" w:themeFillTint="33"/>
            <w:vAlign w:val="center"/>
            <w:hideMark/>
          </w:tcPr>
          <w:p w14:paraId="68A5E5C2" w14:textId="47AB4501" w:rsidR="006E48E5" w:rsidRPr="00FA3B9A" w:rsidRDefault="006E48E5" w:rsidP="00B64447">
            <w:pPr>
              <w:spacing w:after="0"/>
              <w:jc w:val="right"/>
              <w:rPr>
                <w:rFonts w:cstheme="minorHAnsi"/>
                <w:b/>
                <w:bCs/>
                <w:szCs w:val="18"/>
              </w:rPr>
            </w:pPr>
            <w:r w:rsidRPr="00FA3B9A">
              <w:rPr>
                <w:rFonts w:cstheme="minorHAnsi"/>
                <w:b/>
                <w:bCs/>
                <w:szCs w:val="18"/>
              </w:rPr>
              <w:t>6</w:t>
            </w:r>
            <w:r w:rsidR="008D0CA7" w:rsidRPr="00FA3B9A">
              <w:rPr>
                <w:rFonts w:cstheme="minorHAnsi"/>
                <w:b/>
                <w:bCs/>
                <w:szCs w:val="18"/>
              </w:rPr>
              <w:t>4</w:t>
            </w:r>
            <w:r w:rsidRPr="00FA3B9A">
              <w:rPr>
                <w:rFonts w:cstheme="minorHAnsi"/>
                <w:b/>
                <w:bCs/>
                <w:szCs w:val="18"/>
              </w:rPr>
              <w:t>,</w:t>
            </w:r>
            <w:r w:rsidR="008D0CA7" w:rsidRPr="00FA3B9A">
              <w:rPr>
                <w:rFonts w:cstheme="minorHAnsi"/>
                <w:b/>
                <w:bCs/>
                <w:szCs w:val="18"/>
              </w:rPr>
              <w:t>54</w:t>
            </w:r>
          </w:p>
        </w:tc>
      </w:tr>
      <w:tr w:rsidR="006E48E5" w:rsidRPr="00B64447" w14:paraId="764428EF" w14:textId="77777777" w:rsidTr="008D0CA7">
        <w:trPr>
          <w:trHeight w:val="292"/>
        </w:trPr>
        <w:tc>
          <w:tcPr>
            <w:tcW w:w="2410" w:type="dxa"/>
            <w:shd w:val="clear" w:color="auto" w:fill="D2232A"/>
            <w:noWrap/>
            <w:vAlign w:val="center"/>
            <w:hideMark/>
          </w:tcPr>
          <w:p w14:paraId="322358CC"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Varaždinska</w:t>
            </w:r>
          </w:p>
        </w:tc>
        <w:tc>
          <w:tcPr>
            <w:tcW w:w="1134" w:type="dxa"/>
            <w:tcBorders>
              <w:right w:val="single" w:sz="8" w:space="0" w:color="D2232A"/>
            </w:tcBorders>
            <w:shd w:val="clear" w:color="auto" w:fill="FFFFFF"/>
            <w:noWrap/>
            <w:vAlign w:val="center"/>
            <w:hideMark/>
          </w:tcPr>
          <w:p w14:paraId="111253F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8.320</w:t>
            </w:r>
          </w:p>
        </w:tc>
        <w:tc>
          <w:tcPr>
            <w:tcW w:w="1134" w:type="dxa"/>
            <w:tcBorders>
              <w:left w:val="single" w:sz="8" w:space="0" w:color="D2232A"/>
              <w:right w:val="single" w:sz="8" w:space="0" w:color="D2232A"/>
            </w:tcBorders>
            <w:shd w:val="clear" w:color="auto" w:fill="FFFFFF"/>
            <w:noWrap/>
            <w:vAlign w:val="center"/>
            <w:hideMark/>
          </w:tcPr>
          <w:p w14:paraId="072CEE8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8.322</w:t>
            </w:r>
          </w:p>
        </w:tc>
        <w:tc>
          <w:tcPr>
            <w:tcW w:w="1134" w:type="dxa"/>
            <w:tcBorders>
              <w:left w:val="single" w:sz="8" w:space="0" w:color="D2232A"/>
              <w:right w:val="single" w:sz="8" w:space="0" w:color="D2232A"/>
            </w:tcBorders>
            <w:shd w:val="clear" w:color="auto" w:fill="FFFFFF"/>
            <w:noWrap/>
            <w:vAlign w:val="center"/>
            <w:hideMark/>
          </w:tcPr>
          <w:p w14:paraId="61C652F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8.282</w:t>
            </w:r>
          </w:p>
        </w:tc>
        <w:tc>
          <w:tcPr>
            <w:tcW w:w="992" w:type="dxa"/>
            <w:tcBorders>
              <w:left w:val="single" w:sz="8" w:space="0" w:color="D2232A"/>
              <w:right w:val="single" w:sz="8" w:space="0" w:color="D2232A"/>
            </w:tcBorders>
            <w:shd w:val="clear" w:color="auto" w:fill="FFFFFF"/>
            <w:noWrap/>
            <w:vAlign w:val="center"/>
            <w:hideMark/>
          </w:tcPr>
          <w:p w14:paraId="10694C2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8.474</w:t>
            </w:r>
          </w:p>
        </w:tc>
        <w:tc>
          <w:tcPr>
            <w:tcW w:w="993" w:type="dxa"/>
            <w:tcBorders>
              <w:left w:val="single" w:sz="8" w:space="0" w:color="D2232A"/>
              <w:right w:val="single" w:sz="8" w:space="0" w:color="D2232A"/>
            </w:tcBorders>
            <w:shd w:val="clear" w:color="auto" w:fill="FFFFFF"/>
            <w:noWrap/>
            <w:vAlign w:val="center"/>
            <w:hideMark/>
          </w:tcPr>
          <w:p w14:paraId="329B7B7D"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8.541</w:t>
            </w:r>
          </w:p>
        </w:tc>
        <w:tc>
          <w:tcPr>
            <w:tcW w:w="992" w:type="dxa"/>
            <w:tcBorders>
              <w:left w:val="single" w:sz="8" w:space="0" w:color="D2232A"/>
              <w:right w:val="single" w:sz="8" w:space="0" w:color="D2232A"/>
            </w:tcBorders>
            <w:shd w:val="clear" w:color="auto" w:fill="FFFFFF"/>
            <w:noWrap/>
            <w:vAlign w:val="center"/>
            <w:hideMark/>
          </w:tcPr>
          <w:p w14:paraId="11DD45E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8.885</w:t>
            </w:r>
          </w:p>
        </w:tc>
        <w:tc>
          <w:tcPr>
            <w:tcW w:w="1134" w:type="dxa"/>
            <w:tcBorders>
              <w:left w:val="single" w:sz="8" w:space="0" w:color="D2232A"/>
              <w:right w:val="single" w:sz="8" w:space="0" w:color="D2232A"/>
            </w:tcBorders>
            <w:shd w:val="clear" w:color="auto" w:fill="FFFFFF"/>
            <w:noWrap/>
            <w:vAlign w:val="center"/>
            <w:hideMark/>
          </w:tcPr>
          <w:p w14:paraId="70CF5A1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9.497</w:t>
            </w:r>
          </w:p>
        </w:tc>
        <w:tc>
          <w:tcPr>
            <w:tcW w:w="1276" w:type="dxa"/>
            <w:tcBorders>
              <w:left w:val="single" w:sz="8" w:space="0" w:color="D2232A"/>
              <w:right w:val="single" w:sz="8" w:space="0" w:color="D2232A"/>
            </w:tcBorders>
            <w:shd w:val="clear" w:color="auto" w:fill="FFFFFF"/>
            <w:vAlign w:val="center"/>
          </w:tcPr>
          <w:p w14:paraId="6BC9CA3E" w14:textId="12EE6588" w:rsidR="006E48E5" w:rsidRPr="00B64447" w:rsidRDefault="008D0CA7" w:rsidP="008D0CA7">
            <w:pPr>
              <w:spacing w:after="0"/>
              <w:jc w:val="right"/>
              <w:rPr>
                <w:rFonts w:cstheme="minorHAnsi"/>
                <w:szCs w:val="18"/>
              </w:rPr>
            </w:pPr>
            <w:r w:rsidRPr="008D0CA7">
              <w:rPr>
                <w:rFonts w:cstheme="minorHAnsi"/>
                <w:szCs w:val="18"/>
              </w:rPr>
              <w:t>10.122</w:t>
            </w:r>
          </w:p>
        </w:tc>
        <w:tc>
          <w:tcPr>
            <w:tcW w:w="1417" w:type="dxa"/>
            <w:tcBorders>
              <w:left w:val="single" w:sz="8" w:space="0" w:color="D2232A"/>
              <w:right w:val="single" w:sz="8" w:space="0" w:color="D2232A"/>
            </w:tcBorders>
            <w:shd w:val="clear" w:color="auto" w:fill="FFFFFF"/>
            <w:vAlign w:val="center"/>
          </w:tcPr>
          <w:p w14:paraId="55CE48C1" w14:textId="5D6D5BFF" w:rsidR="006E48E5" w:rsidRPr="00B64447" w:rsidRDefault="008D0CA7" w:rsidP="008D0CA7">
            <w:pPr>
              <w:spacing w:after="0"/>
              <w:jc w:val="right"/>
              <w:rPr>
                <w:rFonts w:cstheme="minorHAnsi"/>
                <w:szCs w:val="18"/>
              </w:rPr>
            </w:pPr>
            <w:r w:rsidRPr="008D0CA7">
              <w:rPr>
                <w:rFonts w:cstheme="minorHAnsi"/>
                <w:szCs w:val="18"/>
              </w:rPr>
              <w:t>10.899</w:t>
            </w:r>
          </w:p>
        </w:tc>
        <w:tc>
          <w:tcPr>
            <w:tcW w:w="1134" w:type="dxa"/>
            <w:tcBorders>
              <w:left w:val="single" w:sz="8" w:space="0" w:color="D2232A"/>
              <w:right w:val="single" w:sz="8" w:space="0" w:color="D2232A"/>
            </w:tcBorders>
            <w:shd w:val="clear" w:color="auto" w:fill="FFFFFF"/>
            <w:vAlign w:val="center"/>
            <w:hideMark/>
          </w:tcPr>
          <w:p w14:paraId="5DBF7CB8" w14:textId="1852A6D9" w:rsidR="006E48E5" w:rsidRPr="00B64447" w:rsidRDefault="008D0CA7" w:rsidP="00B64447">
            <w:pPr>
              <w:spacing w:after="0"/>
              <w:jc w:val="right"/>
              <w:rPr>
                <w:rFonts w:cstheme="minorHAnsi"/>
                <w:szCs w:val="18"/>
              </w:rPr>
            </w:pPr>
            <w:r>
              <w:rPr>
                <w:rFonts w:cstheme="minorHAnsi"/>
                <w:szCs w:val="18"/>
              </w:rPr>
              <w:t>131,00</w:t>
            </w:r>
          </w:p>
        </w:tc>
        <w:tc>
          <w:tcPr>
            <w:tcW w:w="1276" w:type="dxa"/>
            <w:tcBorders>
              <w:left w:val="single" w:sz="8" w:space="0" w:color="D2232A"/>
              <w:right w:val="single" w:sz="8" w:space="0" w:color="D2232A"/>
            </w:tcBorders>
            <w:shd w:val="clear" w:color="auto" w:fill="FFFFFF"/>
            <w:vAlign w:val="center"/>
            <w:hideMark/>
          </w:tcPr>
          <w:p w14:paraId="16207564" w14:textId="31BEE8ED" w:rsidR="006E48E5" w:rsidRPr="00B64447" w:rsidRDefault="006E48E5" w:rsidP="00B64447">
            <w:pPr>
              <w:spacing w:after="0"/>
              <w:jc w:val="right"/>
              <w:rPr>
                <w:rFonts w:cstheme="minorHAnsi"/>
                <w:szCs w:val="18"/>
              </w:rPr>
            </w:pPr>
            <w:r w:rsidRPr="00B64447">
              <w:rPr>
                <w:rFonts w:cstheme="minorHAnsi"/>
                <w:szCs w:val="18"/>
              </w:rPr>
              <w:t>8</w:t>
            </w:r>
            <w:r w:rsidR="002C06CC">
              <w:rPr>
                <w:rFonts w:cstheme="minorHAnsi"/>
                <w:szCs w:val="18"/>
              </w:rPr>
              <w:t>8</w:t>
            </w:r>
            <w:r w:rsidRPr="00B64447">
              <w:rPr>
                <w:rFonts w:cstheme="minorHAnsi"/>
                <w:szCs w:val="18"/>
              </w:rPr>
              <w:t>,</w:t>
            </w:r>
            <w:r w:rsidR="002C06CC">
              <w:rPr>
                <w:rFonts w:cstheme="minorHAnsi"/>
                <w:szCs w:val="18"/>
              </w:rPr>
              <w:t>8</w:t>
            </w:r>
            <w:r w:rsidRPr="00B64447">
              <w:rPr>
                <w:rFonts w:cstheme="minorHAnsi"/>
                <w:szCs w:val="18"/>
              </w:rPr>
              <w:t>2</w:t>
            </w:r>
          </w:p>
        </w:tc>
      </w:tr>
      <w:tr w:rsidR="006E48E5" w:rsidRPr="00B64447" w14:paraId="6F343D70" w14:textId="77777777" w:rsidTr="008D0CA7">
        <w:trPr>
          <w:trHeight w:val="292"/>
        </w:trPr>
        <w:tc>
          <w:tcPr>
            <w:tcW w:w="2410" w:type="dxa"/>
            <w:shd w:val="clear" w:color="auto" w:fill="D2232A"/>
            <w:noWrap/>
            <w:vAlign w:val="center"/>
            <w:hideMark/>
          </w:tcPr>
          <w:p w14:paraId="2FE34E17"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Koprivničko-križevačka</w:t>
            </w:r>
          </w:p>
        </w:tc>
        <w:tc>
          <w:tcPr>
            <w:tcW w:w="1134" w:type="dxa"/>
            <w:tcBorders>
              <w:right w:val="single" w:sz="8" w:space="0" w:color="D2232A"/>
            </w:tcBorders>
            <w:shd w:val="clear" w:color="auto" w:fill="FFFFFF"/>
            <w:noWrap/>
            <w:vAlign w:val="center"/>
            <w:hideMark/>
          </w:tcPr>
          <w:p w14:paraId="3E37862C"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9.013</w:t>
            </w:r>
          </w:p>
        </w:tc>
        <w:tc>
          <w:tcPr>
            <w:tcW w:w="1134" w:type="dxa"/>
            <w:tcBorders>
              <w:left w:val="single" w:sz="8" w:space="0" w:color="D2232A"/>
              <w:right w:val="single" w:sz="8" w:space="0" w:color="D2232A"/>
            </w:tcBorders>
            <w:shd w:val="clear" w:color="auto" w:fill="FFFFFF"/>
            <w:noWrap/>
            <w:vAlign w:val="center"/>
            <w:hideMark/>
          </w:tcPr>
          <w:p w14:paraId="73231A3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9.272</w:t>
            </w:r>
          </w:p>
        </w:tc>
        <w:tc>
          <w:tcPr>
            <w:tcW w:w="1134" w:type="dxa"/>
            <w:tcBorders>
              <w:left w:val="single" w:sz="8" w:space="0" w:color="D2232A"/>
              <w:right w:val="single" w:sz="8" w:space="0" w:color="D2232A"/>
            </w:tcBorders>
            <w:shd w:val="clear" w:color="auto" w:fill="FFFFFF"/>
            <w:noWrap/>
            <w:vAlign w:val="center"/>
            <w:hideMark/>
          </w:tcPr>
          <w:p w14:paraId="24B11D0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9.052</w:t>
            </w:r>
          </w:p>
        </w:tc>
        <w:tc>
          <w:tcPr>
            <w:tcW w:w="992" w:type="dxa"/>
            <w:tcBorders>
              <w:left w:val="single" w:sz="8" w:space="0" w:color="D2232A"/>
              <w:right w:val="single" w:sz="8" w:space="0" w:color="D2232A"/>
            </w:tcBorders>
            <w:shd w:val="clear" w:color="auto" w:fill="FFFFFF"/>
            <w:noWrap/>
            <w:vAlign w:val="center"/>
            <w:hideMark/>
          </w:tcPr>
          <w:p w14:paraId="39B34AD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8.784</w:t>
            </w:r>
          </w:p>
        </w:tc>
        <w:tc>
          <w:tcPr>
            <w:tcW w:w="993" w:type="dxa"/>
            <w:tcBorders>
              <w:left w:val="single" w:sz="8" w:space="0" w:color="D2232A"/>
              <w:right w:val="single" w:sz="8" w:space="0" w:color="D2232A"/>
            </w:tcBorders>
            <w:shd w:val="clear" w:color="auto" w:fill="FFFFFF"/>
            <w:noWrap/>
            <w:vAlign w:val="center"/>
            <w:hideMark/>
          </w:tcPr>
          <w:p w14:paraId="2E4A136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8.529</w:t>
            </w:r>
          </w:p>
        </w:tc>
        <w:tc>
          <w:tcPr>
            <w:tcW w:w="992" w:type="dxa"/>
            <w:tcBorders>
              <w:left w:val="single" w:sz="8" w:space="0" w:color="D2232A"/>
              <w:right w:val="single" w:sz="8" w:space="0" w:color="D2232A"/>
            </w:tcBorders>
            <w:shd w:val="clear" w:color="auto" w:fill="FFFFFF"/>
            <w:noWrap/>
            <w:vAlign w:val="center"/>
            <w:hideMark/>
          </w:tcPr>
          <w:p w14:paraId="6AD6802C"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8.671</w:t>
            </w:r>
          </w:p>
        </w:tc>
        <w:tc>
          <w:tcPr>
            <w:tcW w:w="1134" w:type="dxa"/>
            <w:tcBorders>
              <w:left w:val="single" w:sz="8" w:space="0" w:color="D2232A"/>
              <w:right w:val="single" w:sz="8" w:space="0" w:color="D2232A"/>
            </w:tcBorders>
            <w:shd w:val="clear" w:color="auto" w:fill="FFFFFF"/>
            <w:noWrap/>
            <w:vAlign w:val="center"/>
            <w:hideMark/>
          </w:tcPr>
          <w:p w14:paraId="4200159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9.180</w:t>
            </w:r>
          </w:p>
        </w:tc>
        <w:tc>
          <w:tcPr>
            <w:tcW w:w="1276" w:type="dxa"/>
            <w:tcBorders>
              <w:left w:val="single" w:sz="8" w:space="0" w:color="D2232A"/>
              <w:right w:val="single" w:sz="8" w:space="0" w:color="D2232A"/>
            </w:tcBorders>
            <w:shd w:val="clear" w:color="auto" w:fill="FFFFFF"/>
            <w:vAlign w:val="center"/>
          </w:tcPr>
          <w:p w14:paraId="0DB6366C" w14:textId="248EF71B" w:rsidR="006E48E5" w:rsidRPr="00B64447" w:rsidRDefault="002C06CC" w:rsidP="008D0CA7">
            <w:pPr>
              <w:spacing w:after="0"/>
              <w:jc w:val="right"/>
              <w:rPr>
                <w:rFonts w:cstheme="minorHAnsi"/>
                <w:szCs w:val="18"/>
              </w:rPr>
            </w:pPr>
            <w:r w:rsidRPr="002C06CC">
              <w:rPr>
                <w:rFonts w:cstheme="minorHAnsi"/>
                <w:szCs w:val="18"/>
              </w:rPr>
              <w:t>9.030</w:t>
            </w:r>
          </w:p>
        </w:tc>
        <w:tc>
          <w:tcPr>
            <w:tcW w:w="1417" w:type="dxa"/>
            <w:tcBorders>
              <w:left w:val="single" w:sz="8" w:space="0" w:color="D2232A"/>
              <w:right w:val="single" w:sz="8" w:space="0" w:color="D2232A"/>
            </w:tcBorders>
            <w:shd w:val="clear" w:color="auto" w:fill="FFFFFF"/>
            <w:vAlign w:val="center"/>
          </w:tcPr>
          <w:p w14:paraId="101EEB48" w14:textId="08242BD9" w:rsidR="006E48E5" w:rsidRPr="00B64447" w:rsidRDefault="002C06CC" w:rsidP="008D0CA7">
            <w:pPr>
              <w:spacing w:after="0"/>
              <w:jc w:val="right"/>
              <w:rPr>
                <w:rFonts w:cstheme="minorHAnsi"/>
                <w:szCs w:val="18"/>
              </w:rPr>
            </w:pPr>
            <w:r w:rsidRPr="002C06CC">
              <w:rPr>
                <w:rFonts w:cstheme="minorHAnsi"/>
                <w:szCs w:val="18"/>
              </w:rPr>
              <w:t>8.711</w:t>
            </w:r>
          </w:p>
        </w:tc>
        <w:tc>
          <w:tcPr>
            <w:tcW w:w="1134" w:type="dxa"/>
            <w:tcBorders>
              <w:left w:val="single" w:sz="8" w:space="0" w:color="D2232A"/>
              <w:right w:val="single" w:sz="8" w:space="0" w:color="D2232A"/>
            </w:tcBorders>
            <w:shd w:val="clear" w:color="auto" w:fill="FFFFFF"/>
            <w:vAlign w:val="center"/>
            <w:hideMark/>
          </w:tcPr>
          <w:p w14:paraId="18481FA3" w14:textId="5EE37CB0" w:rsidR="006E48E5" w:rsidRPr="00B64447" w:rsidRDefault="002C06CC" w:rsidP="00B64447">
            <w:pPr>
              <w:spacing w:after="0"/>
              <w:jc w:val="right"/>
              <w:rPr>
                <w:rFonts w:cstheme="minorHAnsi"/>
                <w:szCs w:val="18"/>
              </w:rPr>
            </w:pPr>
            <w:r>
              <w:rPr>
                <w:rFonts w:cstheme="minorHAnsi"/>
                <w:szCs w:val="18"/>
              </w:rPr>
              <w:t>96,65</w:t>
            </w:r>
          </w:p>
        </w:tc>
        <w:tc>
          <w:tcPr>
            <w:tcW w:w="1276" w:type="dxa"/>
            <w:tcBorders>
              <w:left w:val="single" w:sz="8" w:space="0" w:color="D2232A"/>
              <w:right w:val="single" w:sz="8" w:space="0" w:color="D2232A"/>
            </w:tcBorders>
            <w:shd w:val="clear" w:color="auto" w:fill="FFFFFF"/>
            <w:vAlign w:val="center"/>
            <w:hideMark/>
          </w:tcPr>
          <w:p w14:paraId="21F28064" w14:textId="7021C88D" w:rsidR="006E48E5" w:rsidRPr="00B64447" w:rsidRDefault="002C06CC" w:rsidP="00B64447">
            <w:pPr>
              <w:spacing w:after="0"/>
              <w:jc w:val="right"/>
              <w:rPr>
                <w:rFonts w:cstheme="minorHAnsi"/>
                <w:szCs w:val="18"/>
              </w:rPr>
            </w:pPr>
            <w:r>
              <w:rPr>
                <w:rFonts w:cstheme="minorHAnsi"/>
                <w:szCs w:val="18"/>
              </w:rPr>
              <w:t>70</w:t>
            </w:r>
            <w:r w:rsidR="006E48E5" w:rsidRPr="00B64447">
              <w:rPr>
                <w:rFonts w:cstheme="minorHAnsi"/>
                <w:szCs w:val="18"/>
              </w:rPr>
              <w:t>,</w:t>
            </w:r>
            <w:r>
              <w:rPr>
                <w:rFonts w:cstheme="minorHAnsi"/>
                <w:szCs w:val="18"/>
              </w:rPr>
              <w:t>99</w:t>
            </w:r>
          </w:p>
        </w:tc>
      </w:tr>
      <w:tr w:rsidR="006E48E5" w:rsidRPr="00B64447" w14:paraId="0BEF1647" w14:textId="77777777" w:rsidTr="008D0CA7">
        <w:trPr>
          <w:trHeight w:val="292"/>
        </w:trPr>
        <w:tc>
          <w:tcPr>
            <w:tcW w:w="2410" w:type="dxa"/>
            <w:shd w:val="clear" w:color="auto" w:fill="D2232A"/>
            <w:noWrap/>
            <w:vAlign w:val="center"/>
            <w:hideMark/>
          </w:tcPr>
          <w:p w14:paraId="4225EBF8"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Međimurska</w:t>
            </w:r>
          </w:p>
        </w:tc>
        <w:tc>
          <w:tcPr>
            <w:tcW w:w="1134" w:type="dxa"/>
            <w:tcBorders>
              <w:right w:val="single" w:sz="8" w:space="0" w:color="D2232A"/>
            </w:tcBorders>
            <w:shd w:val="clear" w:color="auto" w:fill="FFFFFF"/>
            <w:noWrap/>
            <w:vAlign w:val="center"/>
            <w:hideMark/>
          </w:tcPr>
          <w:p w14:paraId="43DA73B8"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8.296</w:t>
            </w:r>
          </w:p>
        </w:tc>
        <w:tc>
          <w:tcPr>
            <w:tcW w:w="1134" w:type="dxa"/>
            <w:tcBorders>
              <w:left w:val="single" w:sz="8" w:space="0" w:color="D2232A"/>
              <w:right w:val="single" w:sz="8" w:space="0" w:color="D2232A"/>
            </w:tcBorders>
            <w:shd w:val="clear" w:color="auto" w:fill="FFFFFF"/>
            <w:noWrap/>
            <w:vAlign w:val="center"/>
            <w:hideMark/>
          </w:tcPr>
          <w:p w14:paraId="2E961F8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8.411</w:t>
            </w:r>
          </w:p>
        </w:tc>
        <w:tc>
          <w:tcPr>
            <w:tcW w:w="1134" w:type="dxa"/>
            <w:tcBorders>
              <w:left w:val="single" w:sz="8" w:space="0" w:color="D2232A"/>
              <w:right w:val="single" w:sz="8" w:space="0" w:color="D2232A"/>
            </w:tcBorders>
            <w:shd w:val="clear" w:color="auto" w:fill="FFFFFF"/>
            <w:noWrap/>
            <w:vAlign w:val="center"/>
            <w:hideMark/>
          </w:tcPr>
          <w:p w14:paraId="5044550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8.385</w:t>
            </w:r>
          </w:p>
        </w:tc>
        <w:tc>
          <w:tcPr>
            <w:tcW w:w="992" w:type="dxa"/>
            <w:tcBorders>
              <w:left w:val="single" w:sz="8" w:space="0" w:color="D2232A"/>
              <w:right w:val="single" w:sz="8" w:space="0" w:color="D2232A"/>
            </w:tcBorders>
            <w:shd w:val="clear" w:color="auto" w:fill="FFFFFF"/>
            <w:noWrap/>
            <w:vAlign w:val="center"/>
            <w:hideMark/>
          </w:tcPr>
          <w:p w14:paraId="687F0FB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8.509</w:t>
            </w:r>
          </w:p>
        </w:tc>
        <w:tc>
          <w:tcPr>
            <w:tcW w:w="993" w:type="dxa"/>
            <w:tcBorders>
              <w:left w:val="single" w:sz="8" w:space="0" w:color="D2232A"/>
              <w:right w:val="single" w:sz="8" w:space="0" w:color="D2232A"/>
            </w:tcBorders>
            <w:shd w:val="clear" w:color="auto" w:fill="FFFFFF"/>
            <w:noWrap/>
            <w:vAlign w:val="center"/>
            <w:hideMark/>
          </w:tcPr>
          <w:p w14:paraId="6D89AF7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8.697</w:t>
            </w:r>
          </w:p>
        </w:tc>
        <w:tc>
          <w:tcPr>
            <w:tcW w:w="992" w:type="dxa"/>
            <w:tcBorders>
              <w:left w:val="single" w:sz="8" w:space="0" w:color="D2232A"/>
              <w:right w:val="single" w:sz="8" w:space="0" w:color="D2232A"/>
            </w:tcBorders>
            <w:shd w:val="clear" w:color="auto" w:fill="FFFFFF"/>
            <w:noWrap/>
            <w:vAlign w:val="center"/>
            <w:hideMark/>
          </w:tcPr>
          <w:p w14:paraId="561D9B4F"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8.987</w:t>
            </w:r>
          </w:p>
        </w:tc>
        <w:tc>
          <w:tcPr>
            <w:tcW w:w="1134" w:type="dxa"/>
            <w:tcBorders>
              <w:left w:val="single" w:sz="8" w:space="0" w:color="D2232A"/>
              <w:right w:val="single" w:sz="8" w:space="0" w:color="D2232A"/>
            </w:tcBorders>
            <w:shd w:val="clear" w:color="auto" w:fill="FFFFFF"/>
            <w:noWrap/>
            <w:vAlign w:val="center"/>
            <w:hideMark/>
          </w:tcPr>
          <w:p w14:paraId="48DC0455"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9.537</w:t>
            </w:r>
          </w:p>
        </w:tc>
        <w:tc>
          <w:tcPr>
            <w:tcW w:w="1276" w:type="dxa"/>
            <w:tcBorders>
              <w:left w:val="single" w:sz="8" w:space="0" w:color="D2232A"/>
              <w:right w:val="single" w:sz="8" w:space="0" w:color="D2232A"/>
            </w:tcBorders>
            <w:shd w:val="clear" w:color="auto" w:fill="FFFFFF"/>
            <w:vAlign w:val="center"/>
          </w:tcPr>
          <w:p w14:paraId="510F8413" w14:textId="70BD9C5A" w:rsidR="006E48E5" w:rsidRPr="00B64447" w:rsidRDefault="00CF0D75" w:rsidP="008D0CA7">
            <w:pPr>
              <w:spacing w:after="0"/>
              <w:jc w:val="right"/>
              <w:rPr>
                <w:rFonts w:cstheme="minorHAnsi"/>
                <w:szCs w:val="18"/>
              </w:rPr>
            </w:pPr>
            <w:r w:rsidRPr="00CF0D75">
              <w:rPr>
                <w:rFonts w:cstheme="minorHAnsi"/>
                <w:szCs w:val="18"/>
              </w:rPr>
              <w:t>9957</w:t>
            </w:r>
          </w:p>
        </w:tc>
        <w:tc>
          <w:tcPr>
            <w:tcW w:w="1417" w:type="dxa"/>
            <w:tcBorders>
              <w:left w:val="single" w:sz="8" w:space="0" w:color="D2232A"/>
              <w:right w:val="single" w:sz="8" w:space="0" w:color="D2232A"/>
            </w:tcBorders>
            <w:shd w:val="clear" w:color="auto" w:fill="FFFFFF"/>
            <w:vAlign w:val="center"/>
          </w:tcPr>
          <w:p w14:paraId="3E185A82" w14:textId="10F99A96" w:rsidR="006E48E5" w:rsidRPr="00B64447" w:rsidRDefault="00CF0D75" w:rsidP="008D0CA7">
            <w:pPr>
              <w:spacing w:after="0"/>
              <w:jc w:val="right"/>
              <w:rPr>
                <w:rFonts w:cstheme="minorHAnsi"/>
                <w:szCs w:val="18"/>
              </w:rPr>
            </w:pPr>
            <w:r w:rsidRPr="00CF0D75">
              <w:rPr>
                <w:rFonts w:cstheme="minorHAnsi"/>
                <w:szCs w:val="18"/>
              </w:rPr>
              <w:t>10.302</w:t>
            </w:r>
          </w:p>
        </w:tc>
        <w:tc>
          <w:tcPr>
            <w:tcW w:w="1134" w:type="dxa"/>
            <w:tcBorders>
              <w:left w:val="single" w:sz="8" w:space="0" w:color="D2232A"/>
              <w:right w:val="single" w:sz="8" w:space="0" w:color="D2232A"/>
            </w:tcBorders>
            <w:shd w:val="clear" w:color="auto" w:fill="FFFFFF"/>
            <w:vAlign w:val="center"/>
            <w:hideMark/>
          </w:tcPr>
          <w:p w14:paraId="3B9F1A87" w14:textId="509F81EC" w:rsidR="006E48E5" w:rsidRPr="00B64447" w:rsidRDefault="006E48E5" w:rsidP="00B64447">
            <w:pPr>
              <w:spacing w:after="0"/>
              <w:jc w:val="right"/>
              <w:rPr>
                <w:rFonts w:cstheme="minorHAnsi"/>
                <w:szCs w:val="18"/>
              </w:rPr>
            </w:pPr>
            <w:r w:rsidRPr="00B64447">
              <w:rPr>
                <w:rFonts w:cstheme="minorHAnsi"/>
                <w:szCs w:val="18"/>
              </w:rPr>
              <w:t>1</w:t>
            </w:r>
            <w:r w:rsidR="00CF0D75">
              <w:rPr>
                <w:rFonts w:cstheme="minorHAnsi"/>
                <w:szCs w:val="18"/>
              </w:rPr>
              <w:t>2</w:t>
            </w:r>
            <w:r w:rsidRPr="00B64447">
              <w:rPr>
                <w:rFonts w:cstheme="minorHAnsi"/>
                <w:szCs w:val="18"/>
              </w:rPr>
              <w:t>4,</w:t>
            </w:r>
            <w:r w:rsidR="00CF0D75">
              <w:rPr>
                <w:rFonts w:cstheme="minorHAnsi"/>
                <w:szCs w:val="18"/>
              </w:rPr>
              <w:t>18</w:t>
            </w:r>
          </w:p>
        </w:tc>
        <w:tc>
          <w:tcPr>
            <w:tcW w:w="1276" w:type="dxa"/>
            <w:tcBorders>
              <w:left w:val="single" w:sz="8" w:space="0" w:color="D2232A"/>
              <w:right w:val="single" w:sz="8" w:space="0" w:color="D2232A"/>
            </w:tcBorders>
            <w:shd w:val="clear" w:color="auto" w:fill="FFFFFF"/>
            <w:vAlign w:val="center"/>
            <w:hideMark/>
          </w:tcPr>
          <w:p w14:paraId="61C98B3A" w14:textId="35E7F2F6" w:rsidR="006E48E5" w:rsidRPr="00B64447" w:rsidRDefault="006E48E5" w:rsidP="00B64447">
            <w:pPr>
              <w:spacing w:after="0"/>
              <w:jc w:val="right"/>
              <w:rPr>
                <w:rFonts w:cstheme="minorHAnsi"/>
                <w:szCs w:val="18"/>
              </w:rPr>
            </w:pPr>
            <w:r w:rsidRPr="00B64447">
              <w:rPr>
                <w:rFonts w:cstheme="minorHAnsi"/>
                <w:szCs w:val="18"/>
              </w:rPr>
              <w:t>8</w:t>
            </w:r>
            <w:r w:rsidR="00CF0D75">
              <w:rPr>
                <w:rFonts w:cstheme="minorHAnsi"/>
                <w:szCs w:val="18"/>
              </w:rPr>
              <w:t>3</w:t>
            </w:r>
            <w:r w:rsidRPr="00B64447">
              <w:rPr>
                <w:rFonts w:cstheme="minorHAnsi"/>
                <w:szCs w:val="18"/>
              </w:rPr>
              <w:t>,</w:t>
            </w:r>
            <w:r w:rsidR="00CF0D75">
              <w:rPr>
                <w:rFonts w:cstheme="minorHAnsi"/>
                <w:szCs w:val="18"/>
              </w:rPr>
              <w:t>96</w:t>
            </w:r>
          </w:p>
        </w:tc>
      </w:tr>
      <w:tr w:rsidR="006E48E5" w:rsidRPr="00B64447" w14:paraId="4BAF71F9" w14:textId="77777777" w:rsidTr="008D0CA7">
        <w:trPr>
          <w:trHeight w:val="292"/>
        </w:trPr>
        <w:tc>
          <w:tcPr>
            <w:tcW w:w="2410" w:type="dxa"/>
            <w:shd w:val="clear" w:color="auto" w:fill="D2232A"/>
            <w:noWrap/>
            <w:vAlign w:val="center"/>
            <w:hideMark/>
          </w:tcPr>
          <w:p w14:paraId="6E364BFA"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Bjelovarsko-bilogorska</w:t>
            </w:r>
          </w:p>
        </w:tc>
        <w:tc>
          <w:tcPr>
            <w:tcW w:w="1134" w:type="dxa"/>
            <w:tcBorders>
              <w:right w:val="single" w:sz="8" w:space="0" w:color="D2232A"/>
            </w:tcBorders>
            <w:shd w:val="clear" w:color="auto" w:fill="FFFFFF"/>
            <w:noWrap/>
            <w:vAlign w:val="center"/>
            <w:hideMark/>
          </w:tcPr>
          <w:p w14:paraId="340D99C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6.959</w:t>
            </w:r>
          </w:p>
        </w:tc>
        <w:tc>
          <w:tcPr>
            <w:tcW w:w="1134" w:type="dxa"/>
            <w:tcBorders>
              <w:left w:val="single" w:sz="8" w:space="0" w:color="D2232A"/>
              <w:right w:val="single" w:sz="8" w:space="0" w:color="D2232A"/>
            </w:tcBorders>
            <w:shd w:val="clear" w:color="auto" w:fill="FFFFFF"/>
            <w:noWrap/>
            <w:vAlign w:val="center"/>
            <w:hideMark/>
          </w:tcPr>
          <w:p w14:paraId="08D126C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6.936</w:t>
            </w:r>
          </w:p>
        </w:tc>
        <w:tc>
          <w:tcPr>
            <w:tcW w:w="1134" w:type="dxa"/>
            <w:tcBorders>
              <w:left w:val="single" w:sz="8" w:space="0" w:color="D2232A"/>
              <w:right w:val="single" w:sz="8" w:space="0" w:color="D2232A"/>
            </w:tcBorders>
            <w:shd w:val="clear" w:color="auto" w:fill="FFFFFF"/>
            <w:noWrap/>
            <w:vAlign w:val="center"/>
            <w:hideMark/>
          </w:tcPr>
          <w:p w14:paraId="5AC8B48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6.742</w:t>
            </w:r>
          </w:p>
        </w:tc>
        <w:tc>
          <w:tcPr>
            <w:tcW w:w="992" w:type="dxa"/>
            <w:tcBorders>
              <w:left w:val="single" w:sz="8" w:space="0" w:color="D2232A"/>
              <w:right w:val="single" w:sz="8" w:space="0" w:color="D2232A"/>
            </w:tcBorders>
            <w:shd w:val="clear" w:color="auto" w:fill="FFFFFF"/>
            <w:noWrap/>
            <w:vAlign w:val="center"/>
            <w:hideMark/>
          </w:tcPr>
          <w:p w14:paraId="60C3310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6.805</w:t>
            </w:r>
          </w:p>
        </w:tc>
        <w:tc>
          <w:tcPr>
            <w:tcW w:w="993" w:type="dxa"/>
            <w:tcBorders>
              <w:left w:val="single" w:sz="8" w:space="0" w:color="D2232A"/>
              <w:right w:val="single" w:sz="8" w:space="0" w:color="D2232A"/>
            </w:tcBorders>
            <w:shd w:val="clear" w:color="auto" w:fill="FFFFFF"/>
            <w:noWrap/>
            <w:vAlign w:val="center"/>
            <w:hideMark/>
          </w:tcPr>
          <w:p w14:paraId="3B3DC9E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6.903</w:t>
            </w:r>
          </w:p>
        </w:tc>
        <w:tc>
          <w:tcPr>
            <w:tcW w:w="992" w:type="dxa"/>
            <w:tcBorders>
              <w:left w:val="single" w:sz="8" w:space="0" w:color="D2232A"/>
              <w:right w:val="single" w:sz="8" w:space="0" w:color="D2232A"/>
            </w:tcBorders>
            <w:shd w:val="clear" w:color="auto" w:fill="FFFFFF"/>
            <w:noWrap/>
            <w:vAlign w:val="center"/>
            <w:hideMark/>
          </w:tcPr>
          <w:p w14:paraId="4C770792"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7.179</w:t>
            </w:r>
          </w:p>
        </w:tc>
        <w:tc>
          <w:tcPr>
            <w:tcW w:w="1134" w:type="dxa"/>
            <w:tcBorders>
              <w:left w:val="single" w:sz="8" w:space="0" w:color="D2232A"/>
              <w:right w:val="single" w:sz="8" w:space="0" w:color="D2232A"/>
            </w:tcBorders>
            <w:shd w:val="clear" w:color="auto" w:fill="FFFFFF"/>
            <w:noWrap/>
            <w:vAlign w:val="center"/>
            <w:hideMark/>
          </w:tcPr>
          <w:p w14:paraId="0D6A3A6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7.703</w:t>
            </w:r>
          </w:p>
        </w:tc>
        <w:tc>
          <w:tcPr>
            <w:tcW w:w="1276" w:type="dxa"/>
            <w:tcBorders>
              <w:left w:val="single" w:sz="8" w:space="0" w:color="D2232A"/>
              <w:right w:val="single" w:sz="8" w:space="0" w:color="D2232A"/>
            </w:tcBorders>
            <w:shd w:val="clear" w:color="auto" w:fill="FFFFFF"/>
            <w:vAlign w:val="center"/>
          </w:tcPr>
          <w:p w14:paraId="5B082BE4" w14:textId="08772F80" w:rsidR="006E48E5" w:rsidRPr="00B64447" w:rsidRDefault="00CF0D75" w:rsidP="008D0CA7">
            <w:pPr>
              <w:spacing w:after="0"/>
              <w:jc w:val="right"/>
              <w:rPr>
                <w:rFonts w:cstheme="minorHAnsi"/>
                <w:szCs w:val="18"/>
              </w:rPr>
            </w:pPr>
            <w:r w:rsidRPr="00CF0D75">
              <w:rPr>
                <w:rFonts w:cstheme="minorHAnsi"/>
                <w:szCs w:val="18"/>
              </w:rPr>
              <w:t>7.937</w:t>
            </w:r>
          </w:p>
        </w:tc>
        <w:tc>
          <w:tcPr>
            <w:tcW w:w="1417" w:type="dxa"/>
            <w:tcBorders>
              <w:left w:val="single" w:sz="8" w:space="0" w:color="D2232A"/>
              <w:right w:val="single" w:sz="8" w:space="0" w:color="D2232A"/>
            </w:tcBorders>
            <w:shd w:val="clear" w:color="auto" w:fill="FFFFFF"/>
            <w:vAlign w:val="center"/>
          </w:tcPr>
          <w:p w14:paraId="256CD84C" w14:textId="5F3B871F" w:rsidR="006E48E5" w:rsidRPr="00B64447" w:rsidRDefault="00CF0D75" w:rsidP="008D0CA7">
            <w:pPr>
              <w:spacing w:after="0"/>
              <w:jc w:val="right"/>
              <w:rPr>
                <w:rFonts w:cstheme="minorHAnsi"/>
                <w:szCs w:val="18"/>
              </w:rPr>
            </w:pPr>
            <w:r w:rsidRPr="00CF0D75">
              <w:rPr>
                <w:rFonts w:cstheme="minorHAnsi"/>
                <w:szCs w:val="18"/>
              </w:rPr>
              <w:t>7.986</w:t>
            </w:r>
          </w:p>
        </w:tc>
        <w:tc>
          <w:tcPr>
            <w:tcW w:w="1134" w:type="dxa"/>
            <w:tcBorders>
              <w:left w:val="single" w:sz="8" w:space="0" w:color="D2232A"/>
              <w:right w:val="single" w:sz="8" w:space="0" w:color="D2232A"/>
            </w:tcBorders>
            <w:shd w:val="clear" w:color="auto" w:fill="FFFFFF"/>
            <w:vAlign w:val="center"/>
            <w:hideMark/>
          </w:tcPr>
          <w:p w14:paraId="3F4FCE33" w14:textId="2AD3F75A" w:rsidR="006E48E5" w:rsidRPr="00B64447" w:rsidRDefault="006E48E5" w:rsidP="00B64447">
            <w:pPr>
              <w:spacing w:after="0"/>
              <w:jc w:val="right"/>
              <w:rPr>
                <w:rFonts w:cstheme="minorHAnsi"/>
                <w:szCs w:val="18"/>
              </w:rPr>
            </w:pPr>
            <w:r w:rsidRPr="00B64447">
              <w:rPr>
                <w:rFonts w:cstheme="minorHAnsi"/>
                <w:szCs w:val="18"/>
              </w:rPr>
              <w:t>11</w:t>
            </w:r>
            <w:r w:rsidR="00CF0D75">
              <w:rPr>
                <w:rFonts w:cstheme="minorHAnsi"/>
                <w:szCs w:val="18"/>
              </w:rPr>
              <w:t>4</w:t>
            </w:r>
            <w:r w:rsidRPr="00B64447">
              <w:rPr>
                <w:rFonts w:cstheme="minorHAnsi"/>
                <w:szCs w:val="18"/>
              </w:rPr>
              <w:t>,</w:t>
            </w:r>
            <w:r w:rsidR="00CF0D75">
              <w:rPr>
                <w:rFonts w:cstheme="minorHAnsi"/>
                <w:szCs w:val="18"/>
              </w:rPr>
              <w:t>75</w:t>
            </w:r>
          </w:p>
        </w:tc>
        <w:tc>
          <w:tcPr>
            <w:tcW w:w="1276" w:type="dxa"/>
            <w:tcBorders>
              <w:left w:val="single" w:sz="8" w:space="0" w:color="D2232A"/>
              <w:right w:val="single" w:sz="8" w:space="0" w:color="D2232A"/>
            </w:tcBorders>
            <w:shd w:val="clear" w:color="auto" w:fill="FFFFFF"/>
            <w:vAlign w:val="center"/>
            <w:hideMark/>
          </w:tcPr>
          <w:p w14:paraId="73A63E42" w14:textId="7291BD8E" w:rsidR="006E48E5" w:rsidRPr="00B64447" w:rsidRDefault="006E48E5" w:rsidP="00B64447">
            <w:pPr>
              <w:spacing w:after="0"/>
              <w:jc w:val="right"/>
              <w:rPr>
                <w:rFonts w:cstheme="minorHAnsi"/>
                <w:szCs w:val="18"/>
              </w:rPr>
            </w:pPr>
            <w:r w:rsidRPr="00B64447">
              <w:rPr>
                <w:rFonts w:cstheme="minorHAnsi"/>
                <w:szCs w:val="18"/>
              </w:rPr>
              <w:t>6</w:t>
            </w:r>
            <w:r w:rsidR="00CF0D75">
              <w:rPr>
                <w:rFonts w:cstheme="minorHAnsi"/>
                <w:szCs w:val="18"/>
              </w:rPr>
              <w:t>5</w:t>
            </w:r>
            <w:r w:rsidRPr="00B64447">
              <w:rPr>
                <w:rFonts w:cstheme="minorHAnsi"/>
                <w:szCs w:val="18"/>
              </w:rPr>
              <w:t>,</w:t>
            </w:r>
            <w:r w:rsidR="00CF0D75">
              <w:rPr>
                <w:rFonts w:cstheme="minorHAnsi"/>
                <w:szCs w:val="18"/>
              </w:rPr>
              <w:t>08</w:t>
            </w:r>
          </w:p>
        </w:tc>
      </w:tr>
      <w:tr w:rsidR="006E48E5" w:rsidRPr="00B64447" w14:paraId="07461801" w14:textId="77777777" w:rsidTr="008D0CA7">
        <w:trPr>
          <w:trHeight w:val="292"/>
        </w:trPr>
        <w:tc>
          <w:tcPr>
            <w:tcW w:w="2410" w:type="dxa"/>
            <w:shd w:val="clear" w:color="auto" w:fill="D2232A"/>
            <w:noWrap/>
            <w:vAlign w:val="center"/>
            <w:hideMark/>
          </w:tcPr>
          <w:p w14:paraId="24B42B03"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Virovitičko-podravska</w:t>
            </w:r>
          </w:p>
        </w:tc>
        <w:tc>
          <w:tcPr>
            <w:tcW w:w="1134" w:type="dxa"/>
            <w:tcBorders>
              <w:right w:val="single" w:sz="8" w:space="0" w:color="D2232A"/>
            </w:tcBorders>
            <w:shd w:val="clear" w:color="auto" w:fill="FFFFFF"/>
            <w:noWrap/>
            <w:vAlign w:val="center"/>
            <w:hideMark/>
          </w:tcPr>
          <w:p w14:paraId="2EE2C57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6.069</w:t>
            </w:r>
          </w:p>
        </w:tc>
        <w:tc>
          <w:tcPr>
            <w:tcW w:w="1134" w:type="dxa"/>
            <w:tcBorders>
              <w:left w:val="single" w:sz="8" w:space="0" w:color="D2232A"/>
              <w:right w:val="single" w:sz="8" w:space="0" w:color="D2232A"/>
            </w:tcBorders>
            <w:shd w:val="clear" w:color="auto" w:fill="FFFFFF"/>
            <w:noWrap/>
            <w:vAlign w:val="center"/>
            <w:hideMark/>
          </w:tcPr>
          <w:p w14:paraId="4CBF3D7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6.217</w:t>
            </w:r>
          </w:p>
        </w:tc>
        <w:tc>
          <w:tcPr>
            <w:tcW w:w="1134" w:type="dxa"/>
            <w:tcBorders>
              <w:left w:val="single" w:sz="8" w:space="0" w:color="D2232A"/>
              <w:right w:val="single" w:sz="8" w:space="0" w:color="D2232A"/>
            </w:tcBorders>
            <w:shd w:val="clear" w:color="auto" w:fill="FFFFFF"/>
            <w:noWrap/>
            <w:vAlign w:val="center"/>
            <w:hideMark/>
          </w:tcPr>
          <w:p w14:paraId="5FA64ED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6.057</w:t>
            </w:r>
          </w:p>
        </w:tc>
        <w:tc>
          <w:tcPr>
            <w:tcW w:w="992" w:type="dxa"/>
            <w:tcBorders>
              <w:left w:val="single" w:sz="8" w:space="0" w:color="D2232A"/>
              <w:right w:val="single" w:sz="8" w:space="0" w:color="D2232A"/>
            </w:tcBorders>
            <w:shd w:val="clear" w:color="auto" w:fill="FFFFFF"/>
            <w:noWrap/>
            <w:vAlign w:val="center"/>
            <w:hideMark/>
          </w:tcPr>
          <w:p w14:paraId="0A2B0F3C"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5.994</w:t>
            </w:r>
          </w:p>
        </w:tc>
        <w:tc>
          <w:tcPr>
            <w:tcW w:w="993" w:type="dxa"/>
            <w:tcBorders>
              <w:left w:val="single" w:sz="8" w:space="0" w:color="D2232A"/>
              <w:right w:val="single" w:sz="8" w:space="0" w:color="D2232A"/>
            </w:tcBorders>
            <w:shd w:val="clear" w:color="auto" w:fill="FFFFFF"/>
            <w:noWrap/>
            <w:vAlign w:val="center"/>
            <w:hideMark/>
          </w:tcPr>
          <w:p w14:paraId="30F419B5"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5.598</w:t>
            </w:r>
          </w:p>
        </w:tc>
        <w:tc>
          <w:tcPr>
            <w:tcW w:w="992" w:type="dxa"/>
            <w:tcBorders>
              <w:left w:val="single" w:sz="8" w:space="0" w:color="D2232A"/>
              <w:right w:val="single" w:sz="8" w:space="0" w:color="D2232A"/>
            </w:tcBorders>
            <w:shd w:val="clear" w:color="auto" w:fill="FFFFFF"/>
            <w:noWrap/>
            <w:vAlign w:val="center"/>
            <w:hideMark/>
          </w:tcPr>
          <w:p w14:paraId="1F8B155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5.760</w:t>
            </w:r>
          </w:p>
        </w:tc>
        <w:tc>
          <w:tcPr>
            <w:tcW w:w="1134" w:type="dxa"/>
            <w:tcBorders>
              <w:left w:val="single" w:sz="8" w:space="0" w:color="D2232A"/>
              <w:right w:val="single" w:sz="8" w:space="0" w:color="D2232A"/>
            </w:tcBorders>
            <w:shd w:val="clear" w:color="auto" w:fill="FFFFFF"/>
            <w:noWrap/>
            <w:vAlign w:val="center"/>
            <w:hideMark/>
          </w:tcPr>
          <w:p w14:paraId="35BE634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6.190</w:t>
            </w:r>
          </w:p>
        </w:tc>
        <w:tc>
          <w:tcPr>
            <w:tcW w:w="1276" w:type="dxa"/>
            <w:tcBorders>
              <w:left w:val="single" w:sz="8" w:space="0" w:color="D2232A"/>
              <w:right w:val="single" w:sz="8" w:space="0" w:color="D2232A"/>
            </w:tcBorders>
            <w:shd w:val="clear" w:color="auto" w:fill="FFFFFF"/>
            <w:vAlign w:val="center"/>
          </w:tcPr>
          <w:p w14:paraId="0E03F163" w14:textId="4B168065" w:rsidR="006E48E5" w:rsidRPr="00B64447" w:rsidRDefault="00CF0D75" w:rsidP="008D0CA7">
            <w:pPr>
              <w:spacing w:after="0"/>
              <w:jc w:val="right"/>
              <w:rPr>
                <w:rFonts w:cstheme="minorHAnsi"/>
                <w:szCs w:val="18"/>
              </w:rPr>
            </w:pPr>
            <w:r w:rsidRPr="00CF0D75">
              <w:rPr>
                <w:rFonts w:cstheme="minorHAnsi"/>
                <w:szCs w:val="18"/>
              </w:rPr>
              <w:t>6.445</w:t>
            </w:r>
          </w:p>
        </w:tc>
        <w:tc>
          <w:tcPr>
            <w:tcW w:w="1417" w:type="dxa"/>
            <w:tcBorders>
              <w:left w:val="single" w:sz="8" w:space="0" w:color="D2232A"/>
              <w:right w:val="single" w:sz="8" w:space="0" w:color="D2232A"/>
            </w:tcBorders>
            <w:shd w:val="clear" w:color="auto" w:fill="FFFFFF"/>
            <w:vAlign w:val="center"/>
          </w:tcPr>
          <w:p w14:paraId="6D86C0E2" w14:textId="5F1BD678" w:rsidR="006E48E5" w:rsidRPr="00B64447" w:rsidRDefault="00CF0D75" w:rsidP="008D0CA7">
            <w:pPr>
              <w:spacing w:after="0"/>
              <w:jc w:val="right"/>
              <w:rPr>
                <w:rFonts w:cstheme="minorHAnsi"/>
                <w:szCs w:val="18"/>
              </w:rPr>
            </w:pPr>
            <w:r w:rsidRPr="00CF0D75">
              <w:rPr>
                <w:rFonts w:cstheme="minorHAnsi"/>
                <w:szCs w:val="18"/>
              </w:rPr>
              <w:t>6.525</w:t>
            </w:r>
          </w:p>
        </w:tc>
        <w:tc>
          <w:tcPr>
            <w:tcW w:w="1134" w:type="dxa"/>
            <w:tcBorders>
              <w:left w:val="single" w:sz="8" w:space="0" w:color="D2232A"/>
              <w:right w:val="single" w:sz="8" w:space="0" w:color="D2232A"/>
            </w:tcBorders>
            <w:shd w:val="clear" w:color="auto" w:fill="FFFFFF"/>
            <w:vAlign w:val="center"/>
            <w:hideMark/>
          </w:tcPr>
          <w:p w14:paraId="63F27460" w14:textId="62FF59D4" w:rsidR="006E48E5" w:rsidRPr="00B64447" w:rsidRDefault="006E48E5" w:rsidP="00B64447">
            <w:pPr>
              <w:spacing w:after="0"/>
              <w:jc w:val="right"/>
              <w:rPr>
                <w:rFonts w:cstheme="minorHAnsi"/>
                <w:szCs w:val="18"/>
              </w:rPr>
            </w:pPr>
            <w:r w:rsidRPr="00B64447">
              <w:rPr>
                <w:rFonts w:cstheme="minorHAnsi"/>
                <w:szCs w:val="18"/>
              </w:rPr>
              <w:t>10</w:t>
            </w:r>
            <w:r w:rsidR="00CF0D75">
              <w:rPr>
                <w:rFonts w:cstheme="minorHAnsi"/>
                <w:szCs w:val="18"/>
              </w:rPr>
              <w:t>7</w:t>
            </w:r>
            <w:r w:rsidRPr="00B64447">
              <w:rPr>
                <w:rFonts w:cstheme="minorHAnsi"/>
                <w:szCs w:val="18"/>
              </w:rPr>
              <w:t>,</w:t>
            </w:r>
            <w:r w:rsidR="00CF0D75">
              <w:rPr>
                <w:rFonts w:cstheme="minorHAnsi"/>
                <w:szCs w:val="18"/>
              </w:rPr>
              <w:t>52</w:t>
            </w:r>
          </w:p>
        </w:tc>
        <w:tc>
          <w:tcPr>
            <w:tcW w:w="1276" w:type="dxa"/>
            <w:tcBorders>
              <w:left w:val="single" w:sz="8" w:space="0" w:color="D2232A"/>
              <w:right w:val="single" w:sz="8" w:space="0" w:color="D2232A"/>
            </w:tcBorders>
            <w:shd w:val="clear" w:color="auto" w:fill="FFFFFF"/>
            <w:vAlign w:val="center"/>
            <w:hideMark/>
          </w:tcPr>
          <w:p w14:paraId="676776D1" w14:textId="30015A97" w:rsidR="006E48E5" w:rsidRPr="00B64447" w:rsidRDefault="006E48E5" w:rsidP="00B64447">
            <w:pPr>
              <w:spacing w:after="0"/>
              <w:jc w:val="right"/>
              <w:rPr>
                <w:rFonts w:cstheme="minorHAnsi"/>
                <w:szCs w:val="18"/>
              </w:rPr>
            </w:pPr>
            <w:r w:rsidRPr="00B64447">
              <w:rPr>
                <w:rFonts w:cstheme="minorHAnsi"/>
                <w:szCs w:val="18"/>
              </w:rPr>
              <w:t>5</w:t>
            </w:r>
            <w:r w:rsidR="00CF0D75">
              <w:rPr>
                <w:rFonts w:cstheme="minorHAnsi"/>
                <w:szCs w:val="18"/>
              </w:rPr>
              <w:t>3</w:t>
            </w:r>
            <w:r w:rsidRPr="00B64447">
              <w:rPr>
                <w:rFonts w:cstheme="minorHAnsi"/>
                <w:szCs w:val="18"/>
              </w:rPr>
              <w:t>,</w:t>
            </w:r>
            <w:r w:rsidR="00CF0D75">
              <w:rPr>
                <w:rFonts w:cstheme="minorHAnsi"/>
                <w:szCs w:val="18"/>
              </w:rPr>
              <w:t>18</w:t>
            </w:r>
          </w:p>
        </w:tc>
      </w:tr>
      <w:tr w:rsidR="006E48E5" w:rsidRPr="00B64447" w14:paraId="2D7162F6" w14:textId="77777777" w:rsidTr="008D0CA7">
        <w:trPr>
          <w:trHeight w:val="292"/>
        </w:trPr>
        <w:tc>
          <w:tcPr>
            <w:tcW w:w="2410" w:type="dxa"/>
            <w:shd w:val="clear" w:color="auto" w:fill="D2232A"/>
            <w:noWrap/>
            <w:vAlign w:val="center"/>
            <w:hideMark/>
          </w:tcPr>
          <w:p w14:paraId="27139D4E"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Požeško-slavonska</w:t>
            </w:r>
          </w:p>
        </w:tc>
        <w:tc>
          <w:tcPr>
            <w:tcW w:w="1134" w:type="dxa"/>
            <w:tcBorders>
              <w:right w:val="single" w:sz="8" w:space="0" w:color="D2232A"/>
            </w:tcBorders>
            <w:shd w:val="clear" w:color="auto" w:fill="FFFFFF"/>
            <w:noWrap/>
            <w:vAlign w:val="center"/>
            <w:hideMark/>
          </w:tcPr>
          <w:p w14:paraId="368682F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6.359</w:t>
            </w:r>
          </w:p>
        </w:tc>
        <w:tc>
          <w:tcPr>
            <w:tcW w:w="1134" w:type="dxa"/>
            <w:tcBorders>
              <w:left w:val="single" w:sz="8" w:space="0" w:color="D2232A"/>
              <w:right w:val="single" w:sz="8" w:space="0" w:color="D2232A"/>
            </w:tcBorders>
            <w:shd w:val="clear" w:color="auto" w:fill="FFFFFF"/>
            <w:noWrap/>
            <w:vAlign w:val="center"/>
            <w:hideMark/>
          </w:tcPr>
          <w:p w14:paraId="615C12F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6.220</w:t>
            </w:r>
          </w:p>
        </w:tc>
        <w:tc>
          <w:tcPr>
            <w:tcW w:w="1134" w:type="dxa"/>
            <w:tcBorders>
              <w:left w:val="single" w:sz="8" w:space="0" w:color="D2232A"/>
              <w:right w:val="single" w:sz="8" w:space="0" w:color="D2232A"/>
            </w:tcBorders>
            <w:shd w:val="clear" w:color="auto" w:fill="FFFFFF"/>
            <w:noWrap/>
            <w:vAlign w:val="center"/>
            <w:hideMark/>
          </w:tcPr>
          <w:p w14:paraId="244FFBD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6.026</w:t>
            </w:r>
          </w:p>
        </w:tc>
        <w:tc>
          <w:tcPr>
            <w:tcW w:w="992" w:type="dxa"/>
            <w:tcBorders>
              <w:left w:val="single" w:sz="8" w:space="0" w:color="D2232A"/>
              <w:right w:val="single" w:sz="8" w:space="0" w:color="D2232A"/>
            </w:tcBorders>
            <w:shd w:val="clear" w:color="auto" w:fill="FFFFFF"/>
            <w:noWrap/>
            <w:vAlign w:val="center"/>
            <w:hideMark/>
          </w:tcPr>
          <w:p w14:paraId="2B7C97AF"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6.114</w:t>
            </w:r>
          </w:p>
        </w:tc>
        <w:tc>
          <w:tcPr>
            <w:tcW w:w="993" w:type="dxa"/>
            <w:tcBorders>
              <w:left w:val="single" w:sz="8" w:space="0" w:color="D2232A"/>
              <w:right w:val="single" w:sz="8" w:space="0" w:color="D2232A"/>
            </w:tcBorders>
            <w:shd w:val="clear" w:color="auto" w:fill="FFFFFF"/>
            <w:noWrap/>
            <w:vAlign w:val="center"/>
            <w:hideMark/>
          </w:tcPr>
          <w:p w14:paraId="65D3D9B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5.830</w:t>
            </w:r>
          </w:p>
        </w:tc>
        <w:tc>
          <w:tcPr>
            <w:tcW w:w="992" w:type="dxa"/>
            <w:tcBorders>
              <w:left w:val="single" w:sz="8" w:space="0" w:color="D2232A"/>
              <w:right w:val="single" w:sz="8" w:space="0" w:color="D2232A"/>
            </w:tcBorders>
            <w:shd w:val="clear" w:color="auto" w:fill="FFFFFF"/>
            <w:noWrap/>
            <w:vAlign w:val="center"/>
            <w:hideMark/>
          </w:tcPr>
          <w:p w14:paraId="0B54CDE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6.024</w:t>
            </w:r>
          </w:p>
        </w:tc>
        <w:tc>
          <w:tcPr>
            <w:tcW w:w="1134" w:type="dxa"/>
            <w:tcBorders>
              <w:left w:val="single" w:sz="8" w:space="0" w:color="D2232A"/>
              <w:right w:val="single" w:sz="8" w:space="0" w:color="D2232A"/>
            </w:tcBorders>
            <w:shd w:val="clear" w:color="auto" w:fill="FFFFFF"/>
            <w:noWrap/>
            <w:vAlign w:val="center"/>
            <w:hideMark/>
          </w:tcPr>
          <w:p w14:paraId="4F6AD64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6.346</w:t>
            </w:r>
          </w:p>
        </w:tc>
        <w:tc>
          <w:tcPr>
            <w:tcW w:w="1276" w:type="dxa"/>
            <w:tcBorders>
              <w:left w:val="single" w:sz="8" w:space="0" w:color="D2232A"/>
              <w:right w:val="single" w:sz="8" w:space="0" w:color="D2232A"/>
            </w:tcBorders>
            <w:shd w:val="clear" w:color="auto" w:fill="FFFFFF"/>
            <w:vAlign w:val="center"/>
          </w:tcPr>
          <w:p w14:paraId="469BBAA4" w14:textId="624B5BE6" w:rsidR="006E48E5" w:rsidRPr="00B64447" w:rsidRDefault="00CF0D75" w:rsidP="008D0CA7">
            <w:pPr>
              <w:spacing w:after="0"/>
              <w:jc w:val="right"/>
              <w:rPr>
                <w:rFonts w:cstheme="minorHAnsi"/>
                <w:szCs w:val="18"/>
              </w:rPr>
            </w:pPr>
            <w:r w:rsidRPr="00CF0D75">
              <w:rPr>
                <w:rFonts w:cstheme="minorHAnsi"/>
                <w:szCs w:val="18"/>
              </w:rPr>
              <w:t>6.649</w:t>
            </w:r>
          </w:p>
        </w:tc>
        <w:tc>
          <w:tcPr>
            <w:tcW w:w="1417" w:type="dxa"/>
            <w:tcBorders>
              <w:left w:val="single" w:sz="8" w:space="0" w:color="D2232A"/>
              <w:right w:val="single" w:sz="8" w:space="0" w:color="D2232A"/>
            </w:tcBorders>
            <w:shd w:val="clear" w:color="auto" w:fill="FFFFFF"/>
            <w:vAlign w:val="center"/>
          </w:tcPr>
          <w:p w14:paraId="29F36FD8" w14:textId="7006A7D8" w:rsidR="006E48E5" w:rsidRPr="00B64447" w:rsidRDefault="00CF0D75" w:rsidP="008D0CA7">
            <w:pPr>
              <w:spacing w:after="0"/>
              <w:jc w:val="right"/>
              <w:rPr>
                <w:rFonts w:cstheme="minorHAnsi"/>
                <w:szCs w:val="18"/>
              </w:rPr>
            </w:pPr>
            <w:r w:rsidRPr="00CF0D75">
              <w:rPr>
                <w:rFonts w:cstheme="minorHAnsi"/>
                <w:szCs w:val="18"/>
              </w:rPr>
              <w:t>6.620</w:t>
            </w:r>
          </w:p>
        </w:tc>
        <w:tc>
          <w:tcPr>
            <w:tcW w:w="1134" w:type="dxa"/>
            <w:tcBorders>
              <w:left w:val="single" w:sz="8" w:space="0" w:color="D2232A"/>
              <w:right w:val="single" w:sz="8" w:space="0" w:color="D2232A"/>
            </w:tcBorders>
            <w:shd w:val="clear" w:color="auto" w:fill="FFFFFF"/>
            <w:vAlign w:val="center"/>
            <w:hideMark/>
          </w:tcPr>
          <w:p w14:paraId="50AB3BB5" w14:textId="39974A99" w:rsidR="006E48E5" w:rsidRPr="00B64447" w:rsidRDefault="00CF0D75" w:rsidP="00B64447">
            <w:pPr>
              <w:spacing w:after="0"/>
              <w:jc w:val="right"/>
              <w:rPr>
                <w:rFonts w:cstheme="minorHAnsi"/>
                <w:szCs w:val="18"/>
              </w:rPr>
            </w:pPr>
            <w:r>
              <w:rPr>
                <w:rFonts w:cstheme="minorHAnsi"/>
                <w:szCs w:val="18"/>
              </w:rPr>
              <w:t>104</w:t>
            </w:r>
            <w:r w:rsidR="006E48E5" w:rsidRPr="00B64447">
              <w:rPr>
                <w:rFonts w:cstheme="minorHAnsi"/>
                <w:szCs w:val="18"/>
              </w:rPr>
              <w:t>,</w:t>
            </w:r>
            <w:r>
              <w:rPr>
                <w:rFonts w:cstheme="minorHAnsi"/>
                <w:szCs w:val="18"/>
              </w:rPr>
              <w:t>11</w:t>
            </w:r>
          </w:p>
        </w:tc>
        <w:tc>
          <w:tcPr>
            <w:tcW w:w="1276" w:type="dxa"/>
            <w:tcBorders>
              <w:left w:val="single" w:sz="8" w:space="0" w:color="D2232A"/>
              <w:right w:val="single" w:sz="8" w:space="0" w:color="D2232A"/>
            </w:tcBorders>
            <w:shd w:val="clear" w:color="auto" w:fill="FFFFFF"/>
            <w:vAlign w:val="center"/>
            <w:hideMark/>
          </w:tcPr>
          <w:p w14:paraId="541E6765" w14:textId="68F45C91" w:rsidR="006E48E5" w:rsidRPr="00B64447" w:rsidRDefault="006E48E5" w:rsidP="00B64447">
            <w:pPr>
              <w:spacing w:after="0"/>
              <w:jc w:val="right"/>
              <w:rPr>
                <w:rFonts w:cstheme="minorHAnsi"/>
                <w:szCs w:val="18"/>
              </w:rPr>
            </w:pPr>
            <w:r w:rsidRPr="00B64447">
              <w:rPr>
                <w:rFonts w:cstheme="minorHAnsi"/>
                <w:szCs w:val="18"/>
              </w:rPr>
              <w:t>5</w:t>
            </w:r>
            <w:r w:rsidR="00CF0D75">
              <w:rPr>
                <w:rFonts w:cstheme="minorHAnsi"/>
                <w:szCs w:val="18"/>
              </w:rPr>
              <w:t>3</w:t>
            </w:r>
            <w:r w:rsidRPr="00B64447">
              <w:rPr>
                <w:rFonts w:cstheme="minorHAnsi"/>
                <w:szCs w:val="18"/>
              </w:rPr>
              <w:t>,</w:t>
            </w:r>
            <w:r w:rsidR="00CF0D75">
              <w:rPr>
                <w:rFonts w:cstheme="minorHAnsi"/>
                <w:szCs w:val="18"/>
              </w:rPr>
              <w:t>95</w:t>
            </w:r>
          </w:p>
        </w:tc>
      </w:tr>
      <w:tr w:rsidR="006E48E5" w:rsidRPr="00B64447" w14:paraId="70D9C1A7" w14:textId="77777777" w:rsidTr="008D0CA7">
        <w:trPr>
          <w:trHeight w:val="292"/>
        </w:trPr>
        <w:tc>
          <w:tcPr>
            <w:tcW w:w="2410" w:type="dxa"/>
            <w:shd w:val="clear" w:color="auto" w:fill="D2232A"/>
            <w:noWrap/>
            <w:vAlign w:val="center"/>
            <w:hideMark/>
          </w:tcPr>
          <w:p w14:paraId="71EE45F7"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Brodsko-posavska</w:t>
            </w:r>
          </w:p>
        </w:tc>
        <w:tc>
          <w:tcPr>
            <w:tcW w:w="1134" w:type="dxa"/>
            <w:tcBorders>
              <w:right w:val="single" w:sz="8" w:space="0" w:color="D2232A"/>
            </w:tcBorders>
            <w:shd w:val="clear" w:color="auto" w:fill="FFFFFF"/>
            <w:noWrap/>
            <w:vAlign w:val="center"/>
            <w:hideMark/>
          </w:tcPr>
          <w:p w14:paraId="5CFF035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5.820</w:t>
            </w:r>
          </w:p>
        </w:tc>
        <w:tc>
          <w:tcPr>
            <w:tcW w:w="1134" w:type="dxa"/>
            <w:tcBorders>
              <w:left w:val="single" w:sz="8" w:space="0" w:color="D2232A"/>
              <w:right w:val="single" w:sz="8" w:space="0" w:color="D2232A"/>
            </w:tcBorders>
            <w:shd w:val="clear" w:color="auto" w:fill="FFFFFF"/>
            <w:noWrap/>
            <w:vAlign w:val="center"/>
            <w:hideMark/>
          </w:tcPr>
          <w:p w14:paraId="3E2F64E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5.867</w:t>
            </w:r>
          </w:p>
        </w:tc>
        <w:tc>
          <w:tcPr>
            <w:tcW w:w="1134" w:type="dxa"/>
            <w:tcBorders>
              <w:left w:val="single" w:sz="8" w:space="0" w:color="D2232A"/>
              <w:right w:val="single" w:sz="8" w:space="0" w:color="D2232A"/>
            </w:tcBorders>
            <w:shd w:val="clear" w:color="auto" w:fill="FFFFFF"/>
            <w:noWrap/>
            <w:vAlign w:val="center"/>
            <w:hideMark/>
          </w:tcPr>
          <w:p w14:paraId="3B3E3B3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5.789</w:t>
            </w:r>
          </w:p>
        </w:tc>
        <w:tc>
          <w:tcPr>
            <w:tcW w:w="992" w:type="dxa"/>
            <w:tcBorders>
              <w:left w:val="single" w:sz="8" w:space="0" w:color="D2232A"/>
              <w:right w:val="single" w:sz="8" w:space="0" w:color="D2232A"/>
            </w:tcBorders>
            <w:shd w:val="clear" w:color="auto" w:fill="FFFFFF"/>
            <w:noWrap/>
            <w:vAlign w:val="center"/>
            <w:hideMark/>
          </w:tcPr>
          <w:p w14:paraId="5D72BC9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5.873</w:t>
            </w:r>
          </w:p>
        </w:tc>
        <w:tc>
          <w:tcPr>
            <w:tcW w:w="993" w:type="dxa"/>
            <w:tcBorders>
              <w:left w:val="single" w:sz="8" w:space="0" w:color="D2232A"/>
              <w:right w:val="single" w:sz="8" w:space="0" w:color="D2232A"/>
            </w:tcBorders>
            <w:shd w:val="clear" w:color="auto" w:fill="FFFFFF"/>
            <w:noWrap/>
            <w:vAlign w:val="center"/>
            <w:hideMark/>
          </w:tcPr>
          <w:p w14:paraId="15BADB1C"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5.654</w:t>
            </w:r>
          </w:p>
        </w:tc>
        <w:tc>
          <w:tcPr>
            <w:tcW w:w="992" w:type="dxa"/>
            <w:tcBorders>
              <w:left w:val="single" w:sz="8" w:space="0" w:color="D2232A"/>
              <w:right w:val="single" w:sz="8" w:space="0" w:color="D2232A"/>
            </w:tcBorders>
            <w:shd w:val="clear" w:color="auto" w:fill="FFFFFF"/>
            <w:noWrap/>
            <w:vAlign w:val="center"/>
            <w:hideMark/>
          </w:tcPr>
          <w:p w14:paraId="3C746F4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5.927</w:t>
            </w:r>
          </w:p>
        </w:tc>
        <w:tc>
          <w:tcPr>
            <w:tcW w:w="1134" w:type="dxa"/>
            <w:tcBorders>
              <w:left w:val="single" w:sz="8" w:space="0" w:color="D2232A"/>
              <w:right w:val="single" w:sz="8" w:space="0" w:color="D2232A"/>
            </w:tcBorders>
            <w:shd w:val="clear" w:color="auto" w:fill="FFFFFF"/>
            <w:noWrap/>
            <w:vAlign w:val="center"/>
            <w:hideMark/>
          </w:tcPr>
          <w:p w14:paraId="59DCDF4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6.292</w:t>
            </w:r>
          </w:p>
        </w:tc>
        <w:tc>
          <w:tcPr>
            <w:tcW w:w="1276" w:type="dxa"/>
            <w:tcBorders>
              <w:left w:val="single" w:sz="8" w:space="0" w:color="D2232A"/>
              <w:right w:val="single" w:sz="8" w:space="0" w:color="D2232A"/>
            </w:tcBorders>
            <w:shd w:val="clear" w:color="auto" w:fill="FFFFFF"/>
            <w:vAlign w:val="center"/>
          </w:tcPr>
          <w:p w14:paraId="34945C61" w14:textId="00E4A06B" w:rsidR="006E48E5" w:rsidRPr="00B64447" w:rsidRDefault="00CF0D75" w:rsidP="008D0CA7">
            <w:pPr>
              <w:spacing w:after="0"/>
              <w:jc w:val="right"/>
              <w:rPr>
                <w:rFonts w:cstheme="minorHAnsi"/>
                <w:szCs w:val="18"/>
              </w:rPr>
            </w:pPr>
            <w:r w:rsidRPr="00CF0D75">
              <w:rPr>
                <w:rFonts w:cstheme="minorHAnsi"/>
                <w:szCs w:val="18"/>
              </w:rPr>
              <w:t>6.687</w:t>
            </w:r>
          </w:p>
        </w:tc>
        <w:tc>
          <w:tcPr>
            <w:tcW w:w="1417" w:type="dxa"/>
            <w:tcBorders>
              <w:left w:val="single" w:sz="8" w:space="0" w:color="D2232A"/>
              <w:right w:val="single" w:sz="8" w:space="0" w:color="D2232A"/>
            </w:tcBorders>
            <w:shd w:val="clear" w:color="auto" w:fill="FFFFFF"/>
            <w:vAlign w:val="center"/>
          </w:tcPr>
          <w:p w14:paraId="28B4E0DA" w14:textId="5FF4FC98" w:rsidR="006E48E5" w:rsidRPr="00B64447" w:rsidRDefault="00CF0D75" w:rsidP="008D0CA7">
            <w:pPr>
              <w:spacing w:after="0"/>
              <w:jc w:val="right"/>
              <w:rPr>
                <w:rFonts w:cstheme="minorHAnsi"/>
                <w:szCs w:val="18"/>
              </w:rPr>
            </w:pPr>
            <w:r w:rsidRPr="00CF0D75">
              <w:rPr>
                <w:rFonts w:cstheme="minorHAnsi"/>
                <w:szCs w:val="18"/>
              </w:rPr>
              <w:t>6.607</w:t>
            </w:r>
          </w:p>
        </w:tc>
        <w:tc>
          <w:tcPr>
            <w:tcW w:w="1134" w:type="dxa"/>
            <w:tcBorders>
              <w:left w:val="single" w:sz="8" w:space="0" w:color="D2232A"/>
              <w:right w:val="single" w:sz="8" w:space="0" w:color="D2232A"/>
            </w:tcBorders>
            <w:shd w:val="clear" w:color="auto" w:fill="FFFFFF"/>
            <w:vAlign w:val="center"/>
            <w:hideMark/>
          </w:tcPr>
          <w:p w14:paraId="096EE916" w14:textId="34C419C8" w:rsidR="006E48E5" w:rsidRPr="00B64447" w:rsidRDefault="006E48E5" w:rsidP="00B64447">
            <w:pPr>
              <w:spacing w:after="0"/>
              <w:jc w:val="right"/>
              <w:rPr>
                <w:rFonts w:cstheme="minorHAnsi"/>
                <w:szCs w:val="18"/>
              </w:rPr>
            </w:pPr>
            <w:r w:rsidRPr="00B64447">
              <w:rPr>
                <w:rFonts w:cstheme="minorHAnsi"/>
                <w:szCs w:val="18"/>
              </w:rPr>
              <w:t>1</w:t>
            </w:r>
            <w:r w:rsidR="00CF0D75">
              <w:rPr>
                <w:rFonts w:cstheme="minorHAnsi"/>
                <w:szCs w:val="18"/>
              </w:rPr>
              <w:t>13</w:t>
            </w:r>
            <w:r w:rsidRPr="00B64447">
              <w:rPr>
                <w:rFonts w:cstheme="minorHAnsi"/>
                <w:szCs w:val="18"/>
              </w:rPr>
              <w:t>,</w:t>
            </w:r>
            <w:r w:rsidR="00CF0D75">
              <w:rPr>
                <w:rFonts w:cstheme="minorHAnsi"/>
                <w:szCs w:val="18"/>
              </w:rPr>
              <w:t>53</w:t>
            </w:r>
          </w:p>
        </w:tc>
        <w:tc>
          <w:tcPr>
            <w:tcW w:w="1276" w:type="dxa"/>
            <w:tcBorders>
              <w:left w:val="single" w:sz="8" w:space="0" w:color="D2232A"/>
              <w:right w:val="single" w:sz="8" w:space="0" w:color="D2232A"/>
            </w:tcBorders>
            <w:shd w:val="clear" w:color="auto" w:fill="FFFFFF"/>
            <w:vAlign w:val="center"/>
            <w:hideMark/>
          </w:tcPr>
          <w:p w14:paraId="7EF0A43D" w14:textId="3FEA6951" w:rsidR="006E48E5" w:rsidRPr="00B64447" w:rsidRDefault="00CF0D75" w:rsidP="00B64447">
            <w:pPr>
              <w:spacing w:after="0"/>
              <w:jc w:val="right"/>
              <w:rPr>
                <w:rFonts w:cstheme="minorHAnsi"/>
                <w:szCs w:val="18"/>
              </w:rPr>
            </w:pPr>
            <w:r>
              <w:rPr>
                <w:rFonts w:cstheme="minorHAnsi"/>
                <w:szCs w:val="18"/>
              </w:rPr>
              <w:t>53</w:t>
            </w:r>
            <w:r w:rsidR="006E48E5" w:rsidRPr="00B64447">
              <w:rPr>
                <w:rFonts w:cstheme="minorHAnsi"/>
                <w:szCs w:val="18"/>
              </w:rPr>
              <w:t>,</w:t>
            </w:r>
            <w:r>
              <w:rPr>
                <w:rFonts w:cstheme="minorHAnsi"/>
                <w:szCs w:val="18"/>
              </w:rPr>
              <w:t>85</w:t>
            </w:r>
          </w:p>
        </w:tc>
      </w:tr>
      <w:tr w:rsidR="006E48E5" w:rsidRPr="00B64447" w14:paraId="76551849" w14:textId="77777777" w:rsidTr="008D0CA7">
        <w:trPr>
          <w:trHeight w:val="292"/>
        </w:trPr>
        <w:tc>
          <w:tcPr>
            <w:tcW w:w="2410" w:type="dxa"/>
            <w:shd w:val="clear" w:color="auto" w:fill="D2232A"/>
            <w:noWrap/>
            <w:vAlign w:val="center"/>
            <w:hideMark/>
          </w:tcPr>
          <w:p w14:paraId="6CE7097E"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Osječko-baranjska</w:t>
            </w:r>
          </w:p>
        </w:tc>
        <w:tc>
          <w:tcPr>
            <w:tcW w:w="1134" w:type="dxa"/>
            <w:tcBorders>
              <w:right w:val="single" w:sz="8" w:space="0" w:color="D2232A"/>
            </w:tcBorders>
            <w:shd w:val="clear" w:color="auto" w:fill="FFFFFF"/>
            <w:noWrap/>
            <w:vAlign w:val="center"/>
            <w:hideMark/>
          </w:tcPr>
          <w:p w14:paraId="7664214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8.186</w:t>
            </w:r>
          </w:p>
        </w:tc>
        <w:tc>
          <w:tcPr>
            <w:tcW w:w="1134" w:type="dxa"/>
            <w:tcBorders>
              <w:left w:val="single" w:sz="8" w:space="0" w:color="D2232A"/>
              <w:right w:val="single" w:sz="8" w:space="0" w:color="D2232A"/>
            </w:tcBorders>
            <w:shd w:val="clear" w:color="auto" w:fill="FFFFFF"/>
            <w:noWrap/>
            <w:vAlign w:val="center"/>
            <w:hideMark/>
          </w:tcPr>
          <w:p w14:paraId="7A5DA065"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8.254</w:t>
            </w:r>
          </w:p>
        </w:tc>
        <w:tc>
          <w:tcPr>
            <w:tcW w:w="1134" w:type="dxa"/>
            <w:tcBorders>
              <w:left w:val="single" w:sz="8" w:space="0" w:color="D2232A"/>
              <w:right w:val="single" w:sz="8" w:space="0" w:color="D2232A"/>
            </w:tcBorders>
            <w:shd w:val="clear" w:color="auto" w:fill="FFFFFF"/>
            <w:noWrap/>
            <w:vAlign w:val="center"/>
            <w:hideMark/>
          </w:tcPr>
          <w:p w14:paraId="74DF296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8.006</w:t>
            </w:r>
          </w:p>
        </w:tc>
        <w:tc>
          <w:tcPr>
            <w:tcW w:w="992" w:type="dxa"/>
            <w:tcBorders>
              <w:left w:val="single" w:sz="8" w:space="0" w:color="D2232A"/>
              <w:right w:val="single" w:sz="8" w:space="0" w:color="D2232A"/>
            </w:tcBorders>
            <w:shd w:val="clear" w:color="auto" w:fill="FFFFFF"/>
            <w:noWrap/>
            <w:vAlign w:val="center"/>
            <w:hideMark/>
          </w:tcPr>
          <w:p w14:paraId="3044C8E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8.122</w:t>
            </w:r>
          </w:p>
        </w:tc>
        <w:tc>
          <w:tcPr>
            <w:tcW w:w="993" w:type="dxa"/>
            <w:tcBorders>
              <w:left w:val="single" w:sz="8" w:space="0" w:color="D2232A"/>
              <w:right w:val="single" w:sz="8" w:space="0" w:color="D2232A"/>
            </w:tcBorders>
            <w:shd w:val="clear" w:color="auto" w:fill="FFFFFF"/>
            <w:noWrap/>
            <w:vAlign w:val="center"/>
            <w:hideMark/>
          </w:tcPr>
          <w:p w14:paraId="59DC60C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8.011</w:t>
            </w:r>
          </w:p>
        </w:tc>
        <w:tc>
          <w:tcPr>
            <w:tcW w:w="992" w:type="dxa"/>
            <w:tcBorders>
              <w:left w:val="single" w:sz="8" w:space="0" w:color="D2232A"/>
              <w:right w:val="single" w:sz="8" w:space="0" w:color="D2232A"/>
            </w:tcBorders>
            <w:shd w:val="clear" w:color="auto" w:fill="FFFFFF"/>
            <w:noWrap/>
            <w:vAlign w:val="center"/>
            <w:hideMark/>
          </w:tcPr>
          <w:p w14:paraId="767A36E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8.313</w:t>
            </w:r>
          </w:p>
        </w:tc>
        <w:tc>
          <w:tcPr>
            <w:tcW w:w="1134" w:type="dxa"/>
            <w:tcBorders>
              <w:left w:val="single" w:sz="8" w:space="0" w:color="D2232A"/>
              <w:right w:val="single" w:sz="8" w:space="0" w:color="D2232A"/>
            </w:tcBorders>
            <w:shd w:val="clear" w:color="auto" w:fill="FFFFFF"/>
            <w:noWrap/>
            <w:vAlign w:val="center"/>
            <w:hideMark/>
          </w:tcPr>
          <w:p w14:paraId="4998BF4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8.834</w:t>
            </w:r>
          </w:p>
        </w:tc>
        <w:tc>
          <w:tcPr>
            <w:tcW w:w="1276" w:type="dxa"/>
            <w:tcBorders>
              <w:left w:val="single" w:sz="8" w:space="0" w:color="D2232A"/>
              <w:right w:val="single" w:sz="8" w:space="0" w:color="D2232A"/>
            </w:tcBorders>
            <w:shd w:val="clear" w:color="auto" w:fill="FFFFFF"/>
            <w:vAlign w:val="center"/>
          </w:tcPr>
          <w:p w14:paraId="793CA283" w14:textId="62FB463B" w:rsidR="006E48E5" w:rsidRPr="00B64447" w:rsidRDefault="00CE73DB" w:rsidP="008D0CA7">
            <w:pPr>
              <w:spacing w:after="0"/>
              <w:jc w:val="right"/>
              <w:rPr>
                <w:rFonts w:cstheme="minorHAnsi"/>
                <w:szCs w:val="18"/>
              </w:rPr>
            </w:pPr>
            <w:r w:rsidRPr="00CE73DB">
              <w:rPr>
                <w:rFonts w:cstheme="minorHAnsi"/>
                <w:szCs w:val="18"/>
              </w:rPr>
              <w:t>9.069</w:t>
            </w:r>
          </w:p>
        </w:tc>
        <w:tc>
          <w:tcPr>
            <w:tcW w:w="1417" w:type="dxa"/>
            <w:tcBorders>
              <w:left w:val="single" w:sz="8" w:space="0" w:color="D2232A"/>
              <w:right w:val="single" w:sz="8" w:space="0" w:color="D2232A"/>
            </w:tcBorders>
            <w:shd w:val="clear" w:color="auto" w:fill="FFFFFF"/>
            <w:vAlign w:val="center"/>
          </w:tcPr>
          <w:p w14:paraId="56D9D411" w14:textId="24F25111" w:rsidR="006E48E5" w:rsidRPr="00B64447" w:rsidRDefault="00CE73DB" w:rsidP="008D0CA7">
            <w:pPr>
              <w:spacing w:after="0"/>
              <w:jc w:val="right"/>
              <w:rPr>
                <w:rFonts w:cstheme="minorHAnsi"/>
                <w:szCs w:val="18"/>
              </w:rPr>
            </w:pPr>
            <w:r w:rsidRPr="00CE73DB">
              <w:rPr>
                <w:rFonts w:cstheme="minorHAnsi"/>
                <w:szCs w:val="18"/>
              </w:rPr>
              <w:t>8.684</w:t>
            </w:r>
          </w:p>
        </w:tc>
        <w:tc>
          <w:tcPr>
            <w:tcW w:w="1134" w:type="dxa"/>
            <w:tcBorders>
              <w:left w:val="single" w:sz="8" w:space="0" w:color="D2232A"/>
              <w:right w:val="single" w:sz="8" w:space="0" w:color="D2232A"/>
            </w:tcBorders>
            <w:shd w:val="clear" w:color="auto" w:fill="FFFFFF"/>
            <w:vAlign w:val="center"/>
            <w:hideMark/>
          </w:tcPr>
          <w:p w14:paraId="03EF5A78" w14:textId="35D81005" w:rsidR="006E48E5" w:rsidRPr="00B64447" w:rsidRDefault="006E48E5" w:rsidP="00B64447">
            <w:pPr>
              <w:spacing w:after="0"/>
              <w:jc w:val="right"/>
              <w:rPr>
                <w:rFonts w:cstheme="minorHAnsi"/>
                <w:szCs w:val="18"/>
              </w:rPr>
            </w:pPr>
            <w:r w:rsidRPr="00B64447">
              <w:rPr>
                <w:rFonts w:cstheme="minorHAnsi"/>
                <w:szCs w:val="18"/>
              </w:rPr>
              <w:t>10</w:t>
            </w:r>
            <w:r w:rsidR="00CE73DB">
              <w:rPr>
                <w:rFonts w:cstheme="minorHAnsi"/>
                <w:szCs w:val="18"/>
              </w:rPr>
              <w:t>6</w:t>
            </w:r>
            <w:r w:rsidRPr="00B64447">
              <w:rPr>
                <w:rFonts w:cstheme="minorHAnsi"/>
                <w:szCs w:val="18"/>
              </w:rPr>
              <w:t>,</w:t>
            </w:r>
            <w:r w:rsidR="00CE73DB">
              <w:rPr>
                <w:rFonts w:cstheme="minorHAnsi"/>
                <w:szCs w:val="18"/>
              </w:rPr>
              <w:t>08</w:t>
            </w:r>
          </w:p>
        </w:tc>
        <w:tc>
          <w:tcPr>
            <w:tcW w:w="1276" w:type="dxa"/>
            <w:tcBorders>
              <w:left w:val="single" w:sz="8" w:space="0" w:color="D2232A"/>
              <w:right w:val="single" w:sz="8" w:space="0" w:color="D2232A"/>
            </w:tcBorders>
            <w:shd w:val="clear" w:color="auto" w:fill="FFFFFF"/>
            <w:vAlign w:val="center"/>
            <w:hideMark/>
          </w:tcPr>
          <w:p w14:paraId="106E663E" w14:textId="242E3C4F" w:rsidR="006E48E5" w:rsidRPr="00B64447" w:rsidRDefault="006E48E5" w:rsidP="00B64447">
            <w:pPr>
              <w:spacing w:after="0"/>
              <w:jc w:val="right"/>
              <w:rPr>
                <w:rFonts w:cstheme="minorHAnsi"/>
                <w:szCs w:val="18"/>
              </w:rPr>
            </w:pPr>
            <w:r w:rsidRPr="00B64447">
              <w:rPr>
                <w:rFonts w:cstheme="minorHAnsi"/>
                <w:szCs w:val="18"/>
              </w:rPr>
              <w:t>7</w:t>
            </w:r>
            <w:r w:rsidR="00CE73DB">
              <w:rPr>
                <w:rFonts w:cstheme="minorHAnsi"/>
                <w:szCs w:val="18"/>
              </w:rPr>
              <w:t>0</w:t>
            </w:r>
            <w:r w:rsidRPr="00B64447">
              <w:rPr>
                <w:rFonts w:cstheme="minorHAnsi"/>
                <w:szCs w:val="18"/>
              </w:rPr>
              <w:t>,</w:t>
            </w:r>
            <w:r w:rsidR="00CE73DB">
              <w:rPr>
                <w:rFonts w:cstheme="minorHAnsi"/>
                <w:szCs w:val="18"/>
              </w:rPr>
              <w:t>77</w:t>
            </w:r>
          </w:p>
        </w:tc>
      </w:tr>
      <w:tr w:rsidR="006E48E5" w:rsidRPr="00B64447" w14:paraId="2EC5D1F2" w14:textId="77777777" w:rsidTr="008D0CA7">
        <w:trPr>
          <w:trHeight w:val="292"/>
        </w:trPr>
        <w:tc>
          <w:tcPr>
            <w:tcW w:w="2410" w:type="dxa"/>
            <w:shd w:val="clear" w:color="auto" w:fill="D2232A"/>
            <w:noWrap/>
            <w:vAlign w:val="center"/>
            <w:hideMark/>
          </w:tcPr>
          <w:p w14:paraId="39919877"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Vukovarsko-srijemska</w:t>
            </w:r>
          </w:p>
        </w:tc>
        <w:tc>
          <w:tcPr>
            <w:tcW w:w="1134" w:type="dxa"/>
            <w:tcBorders>
              <w:right w:val="single" w:sz="8" w:space="0" w:color="D2232A"/>
            </w:tcBorders>
            <w:shd w:val="clear" w:color="auto" w:fill="FFFFFF"/>
            <w:noWrap/>
            <w:vAlign w:val="center"/>
            <w:hideMark/>
          </w:tcPr>
          <w:p w14:paraId="2192CF18"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6.051</w:t>
            </w:r>
          </w:p>
        </w:tc>
        <w:tc>
          <w:tcPr>
            <w:tcW w:w="1134" w:type="dxa"/>
            <w:tcBorders>
              <w:left w:val="single" w:sz="8" w:space="0" w:color="D2232A"/>
              <w:right w:val="single" w:sz="8" w:space="0" w:color="D2232A"/>
            </w:tcBorders>
            <w:shd w:val="clear" w:color="auto" w:fill="FFFFFF"/>
            <w:noWrap/>
            <w:vAlign w:val="center"/>
            <w:hideMark/>
          </w:tcPr>
          <w:p w14:paraId="181F989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6.123</w:t>
            </w:r>
          </w:p>
        </w:tc>
        <w:tc>
          <w:tcPr>
            <w:tcW w:w="1134" w:type="dxa"/>
            <w:tcBorders>
              <w:left w:val="single" w:sz="8" w:space="0" w:color="D2232A"/>
              <w:right w:val="single" w:sz="8" w:space="0" w:color="D2232A"/>
            </w:tcBorders>
            <w:shd w:val="clear" w:color="auto" w:fill="FFFFFF"/>
            <w:noWrap/>
            <w:vAlign w:val="center"/>
            <w:hideMark/>
          </w:tcPr>
          <w:p w14:paraId="0F2DE6FF"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5.895</w:t>
            </w:r>
          </w:p>
        </w:tc>
        <w:tc>
          <w:tcPr>
            <w:tcW w:w="992" w:type="dxa"/>
            <w:tcBorders>
              <w:left w:val="single" w:sz="8" w:space="0" w:color="D2232A"/>
              <w:right w:val="single" w:sz="8" w:space="0" w:color="D2232A"/>
            </w:tcBorders>
            <w:shd w:val="clear" w:color="auto" w:fill="FFFFFF"/>
            <w:noWrap/>
            <w:vAlign w:val="center"/>
            <w:hideMark/>
          </w:tcPr>
          <w:p w14:paraId="6F038E1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5.981</w:t>
            </w:r>
          </w:p>
        </w:tc>
        <w:tc>
          <w:tcPr>
            <w:tcW w:w="993" w:type="dxa"/>
            <w:tcBorders>
              <w:left w:val="single" w:sz="8" w:space="0" w:color="D2232A"/>
              <w:right w:val="single" w:sz="8" w:space="0" w:color="D2232A"/>
            </w:tcBorders>
            <w:shd w:val="clear" w:color="auto" w:fill="FFFFFF"/>
            <w:noWrap/>
            <w:vAlign w:val="center"/>
            <w:hideMark/>
          </w:tcPr>
          <w:p w14:paraId="766DFC5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5.823</w:t>
            </w:r>
          </w:p>
        </w:tc>
        <w:tc>
          <w:tcPr>
            <w:tcW w:w="992" w:type="dxa"/>
            <w:tcBorders>
              <w:left w:val="single" w:sz="8" w:space="0" w:color="D2232A"/>
              <w:right w:val="single" w:sz="8" w:space="0" w:color="D2232A"/>
            </w:tcBorders>
            <w:shd w:val="clear" w:color="auto" w:fill="FFFFFF"/>
            <w:noWrap/>
            <w:vAlign w:val="center"/>
            <w:hideMark/>
          </w:tcPr>
          <w:p w14:paraId="747576A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6.139</w:t>
            </w:r>
          </w:p>
        </w:tc>
        <w:tc>
          <w:tcPr>
            <w:tcW w:w="1134" w:type="dxa"/>
            <w:tcBorders>
              <w:left w:val="single" w:sz="8" w:space="0" w:color="D2232A"/>
              <w:right w:val="single" w:sz="8" w:space="0" w:color="D2232A"/>
            </w:tcBorders>
            <w:shd w:val="clear" w:color="auto" w:fill="FFFFFF"/>
            <w:noWrap/>
            <w:vAlign w:val="center"/>
            <w:hideMark/>
          </w:tcPr>
          <w:p w14:paraId="5956E786"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6.563</w:t>
            </w:r>
          </w:p>
        </w:tc>
        <w:tc>
          <w:tcPr>
            <w:tcW w:w="1276" w:type="dxa"/>
            <w:tcBorders>
              <w:left w:val="single" w:sz="8" w:space="0" w:color="D2232A"/>
              <w:right w:val="single" w:sz="8" w:space="0" w:color="D2232A"/>
            </w:tcBorders>
            <w:shd w:val="clear" w:color="auto" w:fill="FFFFFF"/>
            <w:vAlign w:val="center"/>
          </w:tcPr>
          <w:p w14:paraId="1F045939" w14:textId="54DAA211" w:rsidR="006E48E5" w:rsidRPr="00B64447" w:rsidRDefault="00CE73DB" w:rsidP="008D0CA7">
            <w:pPr>
              <w:spacing w:after="0"/>
              <w:jc w:val="right"/>
              <w:rPr>
                <w:rFonts w:cstheme="minorHAnsi"/>
                <w:szCs w:val="18"/>
              </w:rPr>
            </w:pPr>
            <w:r w:rsidRPr="00CE73DB">
              <w:rPr>
                <w:rFonts w:cstheme="minorHAnsi"/>
                <w:szCs w:val="18"/>
              </w:rPr>
              <w:t>6.974</w:t>
            </w:r>
          </w:p>
        </w:tc>
        <w:tc>
          <w:tcPr>
            <w:tcW w:w="1417" w:type="dxa"/>
            <w:tcBorders>
              <w:left w:val="single" w:sz="8" w:space="0" w:color="D2232A"/>
              <w:right w:val="single" w:sz="8" w:space="0" w:color="D2232A"/>
            </w:tcBorders>
            <w:shd w:val="clear" w:color="auto" w:fill="FFFFFF"/>
            <w:vAlign w:val="center"/>
          </w:tcPr>
          <w:p w14:paraId="6AD5C4C6" w14:textId="18C140B2" w:rsidR="006E48E5" w:rsidRPr="00B64447" w:rsidRDefault="00CE73DB" w:rsidP="008D0CA7">
            <w:pPr>
              <w:spacing w:after="0"/>
              <w:jc w:val="right"/>
              <w:rPr>
                <w:rFonts w:cstheme="minorHAnsi"/>
                <w:szCs w:val="18"/>
              </w:rPr>
            </w:pPr>
            <w:r w:rsidRPr="00CE73DB">
              <w:rPr>
                <w:rFonts w:cstheme="minorHAnsi"/>
                <w:szCs w:val="18"/>
              </w:rPr>
              <w:t>6.730</w:t>
            </w:r>
          </w:p>
        </w:tc>
        <w:tc>
          <w:tcPr>
            <w:tcW w:w="1134" w:type="dxa"/>
            <w:tcBorders>
              <w:left w:val="single" w:sz="8" w:space="0" w:color="D2232A"/>
              <w:right w:val="single" w:sz="8" w:space="0" w:color="D2232A"/>
            </w:tcBorders>
            <w:shd w:val="clear" w:color="auto" w:fill="FFFFFF"/>
            <w:vAlign w:val="center"/>
            <w:hideMark/>
          </w:tcPr>
          <w:p w14:paraId="75FCD253" w14:textId="50E42674" w:rsidR="006E48E5" w:rsidRPr="00B64447" w:rsidRDefault="006E48E5" w:rsidP="00B64447">
            <w:pPr>
              <w:spacing w:after="0"/>
              <w:jc w:val="right"/>
              <w:rPr>
                <w:rFonts w:cstheme="minorHAnsi"/>
                <w:szCs w:val="18"/>
              </w:rPr>
            </w:pPr>
            <w:r w:rsidRPr="00B64447">
              <w:rPr>
                <w:rFonts w:cstheme="minorHAnsi"/>
                <w:szCs w:val="18"/>
              </w:rPr>
              <w:t>1</w:t>
            </w:r>
            <w:r w:rsidR="00CE73DB">
              <w:rPr>
                <w:rFonts w:cstheme="minorHAnsi"/>
                <w:szCs w:val="18"/>
              </w:rPr>
              <w:t>11,22</w:t>
            </w:r>
          </w:p>
        </w:tc>
        <w:tc>
          <w:tcPr>
            <w:tcW w:w="1276" w:type="dxa"/>
            <w:tcBorders>
              <w:left w:val="single" w:sz="8" w:space="0" w:color="D2232A"/>
              <w:right w:val="single" w:sz="8" w:space="0" w:color="D2232A"/>
            </w:tcBorders>
            <w:shd w:val="clear" w:color="auto" w:fill="FFFFFF"/>
            <w:vAlign w:val="center"/>
            <w:hideMark/>
          </w:tcPr>
          <w:p w14:paraId="7F1DA166" w14:textId="2405191E" w:rsidR="006E48E5" w:rsidRPr="00B64447" w:rsidRDefault="006E48E5" w:rsidP="00B64447">
            <w:pPr>
              <w:spacing w:after="0"/>
              <w:jc w:val="right"/>
              <w:rPr>
                <w:rFonts w:cstheme="minorHAnsi"/>
                <w:szCs w:val="18"/>
              </w:rPr>
            </w:pPr>
            <w:r w:rsidRPr="00B64447">
              <w:rPr>
                <w:rFonts w:cstheme="minorHAnsi"/>
                <w:szCs w:val="18"/>
              </w:rPr>
              <w:t>5</w:t>
            </w:r>
            <w:r w:rsidR="00CE73DB">
              <w:rPr>
                <w:rFonts w:cstheme="minorHAnsi"/>
                <w:szCs w:val="18"/>
              </w:rPr>
              <w:t>4</w:t>
            </w:r>
            <w:r w:rsidRPr="00B64447">
              <w:rPr>
                <w:rFonts w:cstheme="minorHAnsi"/>
                <w:szCs w:val="18"/>
              </w:rPr>
              <w:t>,</w:t>
            </w:r>
            <w:r w:rsidR="00CE73DB">
              <w:rPr>
                <w:rFonts w:cstheme="minorHAnsi"/>
                <w:szCs w:val="18"/>
              </w:rPr>
              <w:t>85</w:t>
            </w:r>
          </w:p>
        </w:tc>
      </w:tr>
      <w:tr w:rsidR="006E48E5" w:rsidRPr="00B64447" w14:paraId="79E9776D" w14:textId="77777777" w:rsidTr="008D0CA7">
        <w:trPr>
          <w:trHeight w:val="292"/>
        </w:trPr>
        <w:tc>
          <w:tcPr>
            <w:tcW w:w="2410" w:type="dxa"/>
            <w:shd w:val="clear" w:color="auto" w:fill="D2232A"/>
            <w:noWrap/>
            <w:vAlign w:val="center"/>
            <w:hideMark/>
          </w:tcPr>
          <w:p w14:paraId="76140F8C"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Karlovačka</w:t>
            </w:r>
          </w:p>
        </w:tc>
        <w:tc>
          <w:tcPr>
            <w:tcW w:w="1134" w:type="dxa"/>
            <w:tcBorders>
              <w:right w:val="single" w:sz="8" w:space="0" w:color="D2232A"/>
            </w:tcBorders>
            <w:shd w:val="clear" w:color="auto" w:fill="FFFFFF"/>
            <w:noWrap/>
            <w:vAlign w:val="center"/>
            <w:hideMark/>
          </w:tcPr>
          <w:p w14:paraId="7AA5578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7.550</w:t>
            </w:r>
          </w:p>
        </w:tc>
        <w:tc>
          <w:tcPr>
            <w:tcW w:w="1134" w:type="dxa"/>
            <w:tcBorders>
              <w:left w:val="single" w:sz="8" w:space="0" w:color="D2232A"/>
              <w:right w:val="single" w:sz="8" w:space="0" w:color="D2232A"/>
            </w:tcBorders>
            <w:shd w:val="clear" w:color="auto" w:fill="FFFFFF"/>
            <w:noWrap/>
            <w:vAlign w:val="center"/>
            <w:hideMark/>
          </w:tcPr>
          <w:p w14:paraId="341AF49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7.716</w:t>
            </w:r>
          </w:p>
        </w:tc>
        <w:tc>
          <w:tcPr>
            <w:tcW w:w="1134" w:type="dxa"/>
            <w:tcBorders>
              <w:left w:val="single" w:sz="8" w:space="0" w:color="D2232A"/>
              <w:right w:val="single" w:sz="8" w:space="0" w:color="D2232A"/>
            </w:tcBorders>
            <w:shd w:val="clear" w:color="auto" w:fill="FFFFFF"/>
            <w:noWrap/>
            <w:vAlign w:val="center"/>
            <w:hideMark/>
          </w:tcPr>
          <w:p w14:paraId="0925062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7.599</w:t>
            </w:r>
          </w:p>
        </w:tc>
        <w:tc>
          <w:tcPr>
            <w:tcW w:w="992" w:type="dxa"/>
            <w:tcBorders>
              <w:left w:val="single" w:sz="8" w:space="0" w:color="D2232A"/>
              <w:right w:val="single" w:sz="8" w:space="0" w:color="D2232A"/>
            </w:tcBorders>
            <w:shd w:val="clear" w:color="auto" w:fill="FFFFFF"/>
            <w:noWrap/>
            <w:vAlign w:val="center"/>
            <w:hideMark/>
          </w:tcPr>
          <w:p w14:paraId="6C6A4888"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7.766</w:t>
            </w:r>
          </w:p>
        </w:tc>
        <w:tc>
          <w:tcPr>
            <w:tcW w:w="993" w:type="dxa"/>
            <w:tcBorders>
              <w:left w:val="single" w:sz="8" w:space="0" w:color="D2232A"/>
              <w:right w:val="single" w:sz="8" w:space="0" w:color="D2232A"/>
            </w:tcBorders>
            <w:shd w:val="clear" w:color="auto" w:fill="FFFFFF"/>
            <w:noWrap/>
            <w:vAlign w:val="center"/>
            <w:hideMark/>
          </w:tcPr>
          <w:p w14:paraId="446D69FD"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7.675</w:t>
            </w:r>
          </w:p>
        </w:tc>
        <w:tc>
          <w:tcPr>
            <w:tcW w:w="992" w:type="dxa"/>
            <w:tcBorders>
              <w:left w:val="single" w:sz="8" w:space="0" w:color="D2232A"/>
              <w:right w:val="single" w:sz="8" w:space="0" w:color="D2232A"/>
            </w:tcBorders>
            <w:shd w:val="clear" w:color="auto" w:fill="FFFFFF"/>
            <w:noWrap/>
            <w:vAlign w:val="center"/>
            <w:hideMark/>
          </w:tcPr>
          <w:p w14:paraId="3487EDFF"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8.022</w:t>
            </w:r>
          </w:p>
        </w:tc>
        <w:tc>
          <w:tcPr>
            <w:tcW w:w="1134" w:type="dxa"/>
            <w:tcBorders>
              <w:left w:val="single" w:sz="8" w:space="0" w:color="D2232A"/>
              <w:right w:val="single" w:sz="8" w:space="0" w:color="D2232A"/>
            </w:tcBorders>
            <w:shd w:val="clear" w:color="auto" w:fill="FFFFFF"/>
            <w:noWrap/>
            <w:vAlign w:val="center"/>
            <w:hideMark/>
          </w:tcPr>
          <w:p w14:paraId="5DC2165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8.501</w:t>
            </w:r>
          </w:p>
        </w:tc>
        <w:tc>
          <w:tcPr>
            <w:tcW w:w="1276" w:type="dxa"/>
            <w:tcBorders>
              <w:left w:val="single" w:sz="8" w:space="0" w:color="D2232A"/>
              <w:right w:val="single" w:sz="8" w:space="0" w:color="D2232A"/>
            </w:tcBorders>
            <w:shd w:val="clear" w:color="auto" w:fill="FFFFFF"/>
            <w:vAlign w:val="center"/>
          </w:tcPr>
          <w:p w14:paraId="13B33A7E" w14:textId="374195CC" w:rsidR="006E48E5" w:rsidRPr="00B64447" w:rsidRDefault="00CE73DB" w:rsidP="008D0CA7">
            <w:pPr>
              <w:spacing w:after="0"/>
              <w:jc w:val="right"/>
              <w:rPr>
                <w:rFonts w:cstheme="minorHAnsi"/>
                <w:szCs w:val="18"/>
              </w:rPr>
            </w:pPr>
            <w:r w:rsidRPr="00CE73DB">
              <w:rPr>
                <w:rFonts w:cstheme="minorHAnsi"/>
                <w:szCs w:val="18"/>
              </w:rPr>
              <w:t>8.669</w:t>
            </w:r>
          </w:p>
        </w:tc>
        <w:tc>
          <w:tcPr>
            <w:tcW w:w="1417" w:type="dxa"/>
            <w:tcBorders>
              <w:left w:val="single" w:sz="8" w:space="0" w:color="D2232A"/>
              <w:right w:val="single" w:sz="8" w:space="0" w:color="D2232A"/>
            </w:tcBorders>
            <w:shd w:val="clear" w:color="auto" w:fill="FFFFFF"/>
            <w:vAlign w:val="center"/>
          </w:tcPr>
          <w:p w14:paraId="3BA2ECC2" w14:textId="3CAC3680" w:rsidR="006E48E5" w:rsidRPr="00B64447" w:rsidRDefault="00CE73DB" w:rsidP="008D0CA7">
            <w:pPr>
              <w:spacing w:after="0"/>
              <w:jc w:val="right"/>
              <w:rPr>
                <w:rFonts w:cstheme="minorHAnsi"/>
                <w:szCs w:val="18"/>
              </w:rPr>
            </w:pPr>
            <w:r w:rsidRPr="00CE73DB">
              <w:rPr>
                <w:rFonts w:cstheme="minorHAnsi"/>
                <w:szCs w:val="18"/>
              </w:rPr>
              <w:t>8.301</w:t>
            </w:r>
          </w:p>
        </w:tc>
        <w:tc>
          <w:tcPr>
            <w:tcW w:w="1134" w:type="dxa"/>
            <w:tcBorders>
              <w:left w:val="single" w:sz="8" w:space="0" w:color="D2232A"/>
              <w:right w:val="single" w:sz="8" w:space="0" w:color="D2232A"/>
            </w:tcBorders>
            <w:shd w:val="clear" w:color="auto" w:fill="FFFFFF"/>
            <w:vAlign w:val="center"/>
            <w:hideMark/>
          </w:tcPr>
          <w:p w14:paraId="79E0FFF8" w14:textId="6AB129A0" w:rsidR="006E48E5" w:rsidRPr="00B64447" w:rsidRDefault="006E48E5" w:rsidP="00B64447">
            <w:pPr>
              <w:spacing w:after="0"/>
              <w:jc w:val="right"/>
              <w:rPr>
                <w:rFonts w:cstheme="minorHAnsi"/>
                <w:szCs w:val="18"/>
              </w:rPr>
            </w:pPr>
            <w:r w:rsidRPr="00B64447">
              <w:rPr>
                <w:rFonts w:cstheme="minorHAnsi"/>
                <w:szCs w:val="18"/>
              </w:rPr>
              <w:t>1</w:t>
            </w:r>
            <w:r w:rsidR="00CE73DB">
              <w:rPr>
                <w:rFonts w:cstheme="minorHAnsi"/>
                <w:szCs w:val="18"/>
              </w:rPr>
              <w:t>09</w:t>
            </w:r>
            <w:r w:rsidRPr="00B64447">
              <w:rPr>
                <w:rFonts w:cstheme="minorHAnsi"/>
                <w:szCs w:val="18"/>
              </w:rPr>
              <w:t>,</w:t>
            </w:r>
            <w:r w:rsidR="00CE73DB">
              <w:rPr>
                <w:rFonts w:cstheme="minorHAnsi"/>
                <w:szCs w:val="18"/>
              </w:rPr>
              <w:t>95</w:t>
            </w:r>
          </w:p>
        </w:tc>
        <w:tc>
          <w:tcPr>
            <w:tcW w:w="1276" w:type="dxa"/>
            <w:tcBorders>
              <w:left w:val="single" w:sz="8" w:space="0" w:color="D2232A"/>
              <w:right w:val="single" w:sz="8" w:space="0" w:color="D2232A"/>
            </w:tcBorders>
            <w:shd w:val="clear" w:color="auto" w:fill="FFFFFF"/>
            <w:vAlign w:val="center"/>
            <w:hideMark/>
          </w:tcPr>
          <w:p w14:paraId="47C8B58B" w14:textId="13A0EC0D" w:rsidR="006E48E5" w:rsidRPr="00B64447" w:rsidRDefault="00CE73DB" w:rsidP="00B64447">
            <w:pPr>
              <w:spacing w:after="0"/>
              <w:jc w:val="right"/>
              <w:rPr>
                <w:rFonts w:cstheme="minorHAnsi"/>
                <w:szCs w:val="18"/>
              </w:rPr>
            </w:pPr>
            <w:r>
              <w:rPr>
                <w:rFonts w:cstheme="minorHAnsi"/>
                <w:szCs w:val="18"/>
              </w:rPr>
              <w:t>67</w:t>
            </w:r>
            <w:r w:rsidR="006E48E5" w:rsidRPr="00B64447">
              <w:rPr>
                <w:rFonts w:cstheme="minorHAnsi"/>
                <w:szCs w:val="18"/>
              </w:rPr>
              <w:t>,</w:t>
            </w:r>
            <w:r>
              <w:rPr>
                <w:rFonts w:cstheme="minorHAnsi"/>
                <w:szCs w:val="18"/>
              </w:rPr>
              <w:t>65</w:t>
            </w:r>
          </w:p>
        </w:tc>
      </w:tr>
      <w:tr w:rsidR="006E48E5" w:rsidRPr="00B64447" w14:paraId="7D82D411" w14:textId="77777777" w:rsidTr="008D0CA7">
        <w:trPr>
          <w:trHeight w:val="292"/>
        </w:trPr>
        <w:tc>
          <w:tcPr>
            <w:tcW w:w="2410" w:type="dxa"/>
            <w:shd w:val="clear" w:color="auto" w:fill="D2232A"/>
            <w:noWrap/>
            <w:vAlign w:val="center"/>
            <w:hideMark/>
          </w:tcPr>
          <w:p w14:paraId="0C9779F3"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Sisačko-moslavačka</w:t>
            </w:r>
          </w:p>
        </w:tc>
        <w:tc>
          <w:tcPr>
            <w:tcW w:w="1134" w:type="dxa"/>
            <w:tcBorders>
              <w:right w:val="single" w:sz="8" w:space="0" w:color="D2232A"/>
            </w:tcBorders>
            <w:shd w:val="clear" w:color="auto" w:fill="FFFFFF"/>
            <w:noWrap/>
            <w:vAlign w:val="center"/>
            <w:hideMark/>
          </w:tcPr>
          <w:p w14:paraId="2A2E21B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8.077</w:t>
            </w:r>
          </w:p>
        </w:tc>
        <w:tc>
          <w:tcPr>
            <w:tcW w:w="1134" w:type="dxa"/>
            <w:tcBorders>
              <w:left w:val="single" w:sz="8" w:space="0" w:color="D2232A"/>
              <w:right w:val="single" w:sz="8" w:space="0" w:color="D2232A"/>
            </w:tcBorders>
            <w:shd w:val="clear" w:color="auto" w:fill="FFFFFF"/>
            <w:noWrap/>
            <w:vAlign w:val="center"/>
            <w:hideMark/>
          </w:tcPr>
          <w:p w14:paraId="46D12DE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8.246</w:t>
            </w:r>
          </w:p>
        </w:tc>
        <w:tc>
          <w:tcPr>
            <w:tcW w:w="1134" w:type="dxa"/>
            <w:tcBorders>
              <w:left w:val="single" w:sz="8" w:space="0" w:color="D2232A"/>
              <w:right w:val="single" w:sz="8" w:space="0" w:color="D2232A"/>
            </w:tcBorders>
            <w:shd w:val="clear" w:color="auto" w:fill="FFFFFF"/>
            <w:noWrap/>
            <w:vAlign w:val="center"/>
            <w:hideMark/>
          </w:tcPr>
          <w:p w14:paraId="61DB7D8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8.151</w:t>
            </w:r>
          </w:p>
        </w:tc>
        <w:tc>
          <w:tcPr>
            <w:tcW w:w="992" w:type="dxa"/>
            <w:tcBorders>
              <w:left w:val="single" w:sz="8" w:space="0" w:color="D2232A"/>
              <w:right w:val="single" w:sz="8" w:space="0" w:color="D2232A"/>
            </w:tcBorders>
            <w:shd w:val="clear" w:color="auto" w:fill="FFFFFF"/>
            <w:noWrap/>
            <w:vAlign w:val="center"/>
            <w:hideMark/>
          </w:tcPr>
          <w:p w14:paraId="3C6C09EC"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7.866</w:t>
            </w:r>
          </w:p>
        </w:tc>
        <w:tc>
          <w:tcPr>
            <w:tcW w:w="993" w:type="dxa"/>
            <w:tcBorders>
              <w:left w:val="single" w:sz="8" w:space="0" w:color="D2232A"/>
              <w:right w:val="single" w:sz="8" w:space="0" w:color="D2232A"/>
            </w:tcBorders>
            <w:shd w:val="clear" w:color="auto" w:fill="FFFFFF"/>
            <w:noWrap/>
            <w:vAlign w:val="center"/>
            <w:hideMark/>
          </w:tcPr>
          <w:p w14:paraId="17C5871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7.422</w:t>
            </w:r>
          </w:p>
        </w:tc>
        <w:tc>
          <w:tcPr>
            <w:tcW w:w="992" w:type="dxa"/>
            <w:tcBorders>
              <w:left w:val="single" w:sz="8" w:space="0" w:color="D2232A"/>
              <w:right w:val="single" w:sz="8" w:space="0" w:color="D2232A"/>
            </w:tcBorders>
            <w:shd w:val="clear" w:color="auto" w:fill="FFFFFF"/>
            <w:noWrap/>
            <w:vAlign w:val="center"/>
            <w:hideMark/>
          </w:tcPr>
          <w:p w14:paraId="0FDB52F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7.715</w:t>
            </w:r>
          </w:p>
        </w:tc>
        <w:tc>
          <w:tcPr>
            <w:tcW w:w="1134" w:type="dxa"/>
            <w:tcBorders>
              <w:left w:val="single" w:sz="8" w:space="0" w:color="D2232A"/>
              <w:right w:val="single" w:sz="8" w:space="0" w:color="D2232A"/>
            </w:tcBorders>
            <w:shd w:val="clear" w:color="auto" w:fill="FFFFFF"/>
            <w:noWrap/>
            <w:vAlign w:val="center"/>
            <w:hideMark/>
          </w:tcPr>
          <w:p w14:paraId="6C0ACBF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8.042</w:t>
            </w:r>
          </w:p>
        </w:tc>
        <w:tc>
          <w:tcPr>
            <w:tcW w:w="1276" w:type="dxa"/>
            <w:tcBorders>
              <w:left w:val="single" w:sz="8" w:space="0" w:color="D2232A"/>
              <w:right w:val="single" w:sz="8" w:space="0" w:color="D2232A"/>
            </w:tcBorders>
            <w:shd w:val="clear" w:color="auto" w:fill="FFFFFF"/>
            <w:vAlign w:val="center"/>
          </w:tcPr>
          <w:p w14:paraId="395CC434" w14:textId="510CCA3D" w:rsidR="006E48E5" w:rsidRPr="00B64447" w:rsidRDefault="00CE73DB" w:rsidP="008D0CA7">
            <w:pPr>
              <w:spacing w:after="0"/>
              <w:jc w:val="right"/>
              <w:rPr>
                <w:rFonts w:cstheme="minorHAnsi"/>
                <w:szCs w:val="18"/>
              </w:rPr>
            </w:pPr>
            <w:r w:rsidRPr="00CE73DB">
              <w:rPr>
                <w:rFonts w:cstheme="minorHAnsi"/>
                <w:szCs w:val="18"/>
              </w:rPr>
              <w:t>8.256</w:t>
            </w:r>
          </w:p>
        </w:tc>
        <w:tc>
          <w:tcPr>
            <w:tcW w:w="1417" w:type="dxa"/>
            <w:tcBorders>
              <w:left w:val="single" w:sz="8" w:space="0" w:color="D2232A"/>
              <w:right w:val="single" w:sz="8" w:space="0" w:color="D2232A"/>
            </w:tcBorders>
            <w:shd w:val="clear" w:color="auto" w:fill="FFFFFF"/>
            <w:vAlign w:val="center"/>
          </w:tcPr>
          <w:p w14:paraId="61469FD0" w14:textId="75986EAA" w:rsidR="006E48E5" w:rsidRPr="00B64447" w:rsidRDefault="00CE73DB" w:rsidP="008D0CA7">
            <w:pPr>
              <w:spacing w:after="0"/>
              <w:jc w:val="right"/>
              <w:rPr>
                <w:rFonts w:cstheme="minorHAnsi"/>
                <w:szCs w:val="18"/>
              </w:rPr>
            </w:pPr>
            <w:r w:rsidRPr="00CE73DB">
              <w:rPr>
                <w:rFonts w:cstheme="minorHAnsi"/>
                <w:szCs w:val="18"/>
              </w:rPr>
              <w:t>7.868</w:t>
            </w:r>
          </w:p>
        </w:tc>
        <w:tc>
          <w:tcPr>
            <w:tcW w:w="1134" w:type="dxa"/>
            <w:tcBorders>
              <w:left w:val="single" w:sz="8" w:space="0" w:color="D2232A"/>
              <w:right w:val="single" w:sz="8" w:space="0" w:color="D2232A"/>
            </w:tcBorders>
            <w:shd w:val="clear" w:color="auto" w:fill="FFFFFF"/>
            <w:vAlign w:val="center"/>
            <w:hideMark/>
          </w:tcPr>
          <w:p w14:paraId="75405EDB" w14:textId="6FF29AFD" w:rsidR="006E48E5" w:rsidRPr="00B64447" w:rsidRDefault="006E48E5" w:rsidP="00B64447">
            <w:pPr>
              <w:spacing w:after="0"/>
              <w:jc w:val="right"/>
              <w:rPr>
                <w:rFonts w:cstheme="minorHAnsi"/>
                <w:szCs w:val="18"/>
              </w:rPr>
            </w:pPr>
            <w:r w:rsidRPr="00B64447">
              <w:rPr>
                <w:rFonts w:cstheme="minorHAnsi"/>
                <w:szCs w:val="18"/>
              </w:rPr>
              <w:t>9</w:t>
            </w:r>
            <w:r w:rsidR="00CE73DB">
              <w:rPr>
                <w:rFonts w:cstheme="minorHAnsi"/>
                <w:szCs w:val="18"/>
              </w:rPr>
              <w:t>7</w:t>
            </w:r>
            <w:r w:rsidRPr="00B64447">
              <w:rPr>
                <w:rFonts w:cstheme="minorHAnsi"/>
                <w:szCs w:val="18"/>
              </w:rPr>
              <w:t>,</w:t>
            </w:r>
            <w:r w:rsidR="00CE73DB">
              <w:rPr>
                <w:rFonts w:cstheme="minorHAnsi"/>
                <w:szCs w:val="18"/>
              </w:rPr>
              <w:t>41</w:t>
            </w:r>
          </w:p>
        </w:tc>
        <w:tc>
          <w:tcPr>
            <w:tcW w:w="1276" w:type="dxa"/>
            <w:tcBorders>
              <w:left w:val="single" w:sz="8" w:space="0" w:color="D2232A"/>
              <w:right w:val="single" w:sz="8" w:space="0" w:color="D2232A"/>
            </w:tcBorders>
            <w:shd w:val="clear" w:color="auto" w:fill="FFFFFF"/>
            <w:vAlign w:val="center"/>
            <w:hideMark/>
          </w:tcPr>
          <w:p w14:paraId="4183EF5F" w14:textId="152656C6" w:rsidR="006E48E5" w:rsidRPr="00B64447" w:rsidRDefault="00CE73DB" w:rsidP="00B64447">
            <w:pPr>
              <w:spacing w:after="0"/>
              <w:jc w:val="right"/>
              <w:rPr>
                <w:rFonts w:cstheme="minorHAnsi"/>
                <w:szCs w:val="18"/>
              </w:rPr>
            </w:pPr>
            <w:r>
              <w:rPr>
                <w:rFonts w:cstheme="minorHAnsi"/>
                <w:szCs w:val="18"/>
              </w:rPr>
              <w:t>64</w:t>
            </w:r>
            <w:r w:rsidR="006E48E5" w:rsidRPr="00B64447">
              <w:rPr>
                <w:rFonts w:cstheme="minorHAnsi"/>
                <w:szCs w:val="18"/>
              </w:rPr>
              <w:t>,</w:t>
            </w:r>
            <w:r>
              <w:rPr>
                <w:rFonts w:cstheme="minorHAnsi"/>
                <w:szCs w:val="18"/>
              </w:rPr>
              <w:t>12</w:t>
            </w:r>
          </w:p>
        </w:tc>
      </w:tr>
      <w:tr w:rsidR="006E48E5" w:rsidRPr="00B64447" w14:paraId="559FA89D" w14:textId="77777777" w:rsidTr="008D0CA7">
        <w:trPr>
          <w:trHeight w:val="292"/>
        </w:trPr>
        <w:tc>
          <w:tcPr>
            <w:tcW w:w="2410" w:type="dxa"/>
            <w:shd w:val="clear" w:color="auto" w:fill="D2232A"/>
            <w:noWrap/>
            <w:vAlign w:val="center"/>
            <w:hideMark/>
          </w:tcPr>
          <w:p w14:paraId="2854AB10"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Primorsko-goranska</w:t>
            </w:r>
          </w:p>
        </w:tc>
        <w:tc>
          <w:tcPr>
            <w:tcW w:w="1134" w:type="dxa"/>
            <w:tcBorders>
              <w:right w:val="single" w:sz="8" w:space="0" w:color="D2232A"/>
            </w:tcBorders>
            <w:shd w:val="clear" w:color="auto" w:fill="FFFFFF"/>
            <w:noWrap/>
            <w:vAlign w:val="center"/>
            <w:hideMark/>
          </w:tcPr>
          <w:p w14:paraId="53333DE8"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12.578</w:t>
            </w:r>
          </w:p>
        </w:tc>
        <w:tc>
          <w:tcPr>
            <w:tcW w:w="1134" w:type="dxa"/>
            <w:tcBorders>
              <w:left w:val="single" w:sz="8" w:space="0" w:color="D2232A"/>
              <w:right w:val="single" w:sz="8" w:space="0" w:color="D2232A"/>
            </w:tcBorders>
            <w:shd w:val="clear" w:color="auto" w:fill="FFFFFF"/>
            <w:noWrap/>
            <w:vAlign w:val="center"/>
            <w:hideMark/>
          </w:tcPr>
          <w:p w14:paraId="6FDAD6D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12.674</w:t>
            </w:r>
          </w:p>
        </w:tc>
        <w:tc>
          <w:tcPr>
            <w:tcW w:w="1134" w:type="dxa"/>
            <w:tcBorders>
              <w:left w:val="single" w:sz="8" w:space="0" w:color="D2232A"/>
              <w:right w:val="single" w:sz="8" w:space="0" w:color="D2232A"/>
            </w:tcBorders>
            <w:shd w:val="clear" w:color="auto" w:fill="FFFFFF"/>
            <w:noWrap/>
            <w:vAlign w:val="center"/>
            <w:hideMark/>
          </w:tcPr>
          <w:p w14:paraId="397166C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13.147</w:t>
            </w:r>
          </w:p>
        </w:tc>
        <w:tc>
          <w:tcPr>
            <w:tcW w:w="992" w:type="dxa"/>
            <w:tcBorders>
              <w:left w:val="single" w:sz="8" w:space="0" w:color="D2232A"/>
              <w:right w:val="single" w:sz="8" w:space="0" w:color="D2232A"/>
            </w:tcBorders>
            <w:shd w:val="clear" w:color="auto" w:fill="FFFFFF"/>
            <w:noWrap/>
            <w:vAlign w:val="center"/>
            <w:hideMark/>
          </w:tcPr>
          <w:p w14:paraId="4E80A44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13.007</w:t>
            </w:r>
          </w:p>
        </w:tc>
        <w:tc>
          <w:tcPr>
            <w:tcW w:w="993" w:type="dxa"/>
            <w:tcBorders>
              <w:left w:val="single" w:sz="8" w:space="0" w:color="D2232A"/>
              <w:right w:val="single" w:sz="8" w:space="0" w:color="D2232A"/>
            </w:tcBorders>
            <w:shd w:val="clear" w:color="auto" w:fill="FFFFFF"/>
            <w:noWrap/>
            <w:vAlign w:val="center"/>
            <w:hideMark/>
          </w:tcPr>
          <w:p w14:paraId="382A21C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12.715</w:t>
            </w:r>
          </w:p>
        </w:tc>
        <w:tc>
          <w:tcPr>
            <w:tcW w:w="992" w:type="dxa"/>
            <w:tcBorders>
              <w:left w:val="single" w:sz="8" w:space="0" w:color="D2232A"/>
              <w:right w:val="single" w:sz="8" w:space="0" w:color="D2232A"/>
            </w:tcBorders>
            <w:shd w:val="clear" w:color="auto" w:fill="FFFFFF"/>
            <w:noWrap/>
            <w:vAlign w:val="center"/>
            <w:hideMark/>
          </w:tcPr>
          <w:p w14:paraId="435F037F"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12.842</w:t>
            </w:r>
          </w:p>
        </w:tc>
        <w:tc>
          <w:tcPr>
            <w:tcW w:w="1134" w:type="dxa"/>
            <w:tcBorders>
              <w:left w:val="single" w:sz="8" w:space="0" w:color="D2232A"/>
              <w:right w:val="single" w:sz="8" w:space="0" w:color="D2232A"/>
            </w:tcBorders>
            <w:shd w:val="clear" w:color="auto" w:fill="FFFFFF"/>
            <w:noWrap/>
            <w:vAlign w:val="center"/>
            <w:hideMark/>
          </w:tcPr>
          <w:p w14:paraId="2F15F30F"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13.390</w:t>
            </w:r>
          </w:p>
        </w:tc>
        <w:tc>
          <w:tcPr>
            <w:tcW w:w="1276" w:type="dxa"/>
            <w:tcBorders>
              <w:left w:val="single" w:sz="8" w:space="0" w:color="D2232A"/>
              <w:right w:val="single" w:sz="8" w:space="0" w:color="D2232A"/>
            </w:tcBorders>
            <w:shd w:val="clear" w:color="auto" w:fill="FFFFFF"/>
            <w:vAlign w:val="center"/>
          </w:tcPr>
          <w:p w14:paraId="40CD1AAC" w14:textId="695CD433" w:rsidR="006E48E5" w:rsidRPr="00B64447" w:rsidRDefault="00CE73DB" w:rsidP="008D0CA7">
            <w:pPr>
              <w:spacing w:after="0"/>
              <w:jc w:val="right"/>
              <w:rPr>
                <w:rFonts w:cstheme="minorHAnsi"/>
                <w:szCs w:val="18"/>
              </w:rPr>
            </w:pPr>
            <w:r w:rsidRPr="00CE73DB">
              <w:rPr>
                <w:rFonts w:cstheme="minorHAnsi"/>
                <w:szCs w:val="18"/>
              </w:rPr>
              <w:t>14.526</w:t>
            </w:r>
          </w:p>
        </w:tc>
        <w:tc>
          <w:tcPr>
            <w:tcW w:w="1417" w:type="dxa"/>
            <w:tcBorders>
              <w:left w:val="single" w:sz="8" w:space="0" w:color="D2232A"/>
              <w:right w:val="single" w:sz="8" w:space="0" w:color="D2232A"/>
            </w:tcBorders>
            <w:shd w:val="clear" w:color="auto" w:fill="FFFFFF"/>
            <w:vAlign w:val="center"/>
          </w:tcPr>
          <w:p w14:paraId="291818CC" w14:textId="1386CA4B" w:rsidR="006E48E5" w:rsidRPr="00B64447" w:rsidRDefault="00CE73DB" w:rsidP="008D0CA7">
            <w:pPr>
              <w:spacing w:after="0"/>
              <w:jc w:val="right"/>
              <w:rPr>
                <w:rFonts w:cstheme="minorHAnsi"/>
                <w:szCs w:val="18"/>
              </w:rPr>
            </w:pPr>
            <w:r w:rsidRPr="00CE73DB">
              <w:rPr>
                <w:rFonts w:cstheme="minorHAnsi"/>
                <w:szCs w:val="18"/>
              </w:rPr>
              <w:t>14.797</w:t>
            </w:r>
          </w:p>
        </w:tc>
        <w:tc>
          <w:tcPr>
            <w:tcW w:w="1134" w:type="dxa"/>
            <w:tcBorders>
              <w:left w:val="single" w:sz="8" w:space="0" w:color="D2232A"/>
              <w:right w:val="single" w:sz="8" w:space="0" w:color="D2232A"/>
            </w:tcBorders>
            <w:shd w:val="clear" w:color="auto" w:fill="FFFFFF"/>
            <w:vAlign w:val="center"/>
            <w:hideMark/>
          </w:tcPr>
          <w:p w14:paraId="781A4AB5" w14:textId="0F5593D9" w:rsidR="006E48E5" w:rsidRPr="00B64447" w:rsidRDefault="006E48E5" w:rsidP="00B64447">
            <w:pPr>
              <w:spacing w:after="0"/>
              <w:jc w:val="right"/>
              <w:rPr>
                <w:rFonts w:cstheme="minorHAnsi"/>
                <w:szCs w:val="18"/>
              </w:rPr>
            </w:pPr>
            <w:r w:rsidRPr="00B64447">
              <w:rPr>
                <w:rFonts w:cstheme="minorHAnsi"/>
                <w:szCs w:val="18"/>
              </w:rPr>
              <w:t>1</w:t>
            </w:r>
            <w:r w:rsidR="00CE73DB">
              <w:rPr>
                <w:rFonts w:cstheme="minorHAnsi"/>
                <w:szCs w:val="18"/>
              </w:rPr>
              <w:t>17</w:t>
            </w:r>
            <w:r w:rsidRPr="00B64447">
              <w:rPr>
                <w:rFonts w:cstheme="minorHAnsi"/>
                <w:szCs w:val="18"/>
              </w:rPr>
              <w:t>,</w:t>
            </w:r>
            <w:r w:rsidR="00CE73DB">
              <w:rPr>
                <w:rFonts w:cstheme="minorHAnsi"/>
                <w:szCs w:val="18"/>
              </w:rPr>
              <w:t>64</w:t>
            </w:r>
          </w:p>
        </w:tc>
        <w:tc>
          <w:tcPr>
            <w:tcW w:w="1276" w:type="dxa"/>
            <w:tcBorders>
              <w:left w:val="single" w:sz="8" w:space="0" w:color="D2232A"/>
              <w:right w:val="single" w:sz="8" w:space="0" w:color="D2232A"/>
            </w:tcBorders>
            <w:shd w:val="clear" w:color="auto" w:fill="FFFFFF"/>
            <w:vAlign w:val="center"/>
            <w:hideMark/>
          </w:tcPr>
          <w:p w14:paraId="23B0EDCD" w14:textId="0538D7D9" w:rsidR="006E48E5" w:rsidRPr="00B64447" w:rsidRDefault="006E48E5" w:rsidP="00B64447">
            <w:pPr>
              <w:spacing w:after="0"/>
              <w:jc w:val="right"/>
              <w:rPr>
                <w:rFonts w:cstheme="minorHAnsi"/>
                <w:szCs w:val="18"/>
              </w:rPr>
            </w:pPr>
            <w:r w:rsidRPr="00B64447">
              <w:rPr>
                <w:rFonts w:cstheme="minorHAnsi"/>
                <w:szCs w:val="18"/>
              </w:rPr>
              <w:t>1</w:t>
            </w:r>
            <w:r w:rsidR="00CE73DB">
              <w:rPr>
                <w:rFonts w:cstheme="minorHAnsi"/>
                <w:szCs w:val="18"/>
              </w:rPr>
              <w:t>20</w:t>
            </w:r>
            <w:r w:rsidRPr="00B64447">
              <w:rPr>
                <w:rFonts w:cstheme="minorHAnsi"/>
                <w:szCs w:val="18"/>
              </w:rPr>
              <w:t>,</w:t>
            </w:r>
            <w:r w:rsidR="00CE73DB">
              <w:rPr>
                <w:rFonts w:cstheme="minorHAnsi"/>
                <w:szCs w:val="18"/>
              </w:rPr>
              <w:t>59</w:t>
            </w:r>
          </w:p>
        </w:tc>
      </w:tr>
      <w:tr w:rsidR="006E48E5" w:rsidRPr="00B64447" w14:paraId="33A8EDDD" w14:textId="77777777" w:rsidTr="008D0CA7">
        <w:trPr>
          <w:trHeight w:val="292"/>
        </w:trPr>
        <w:tc>
          <w:tcPr>
            <w:tcW w:w="2410" w:type="dxa"/>
            <w:shd w:val="clear" w:color="auto" w:fill="D2232A"/>
            <w:noWrap/>
            <w:vAlign w:val="center"/>
            <w:hideMark/>
          </w:tcPr>
          <w:p w14:paraId="69147263"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Ličko-senjska</w:t>
            </w:r>
          </w:p>
        </w:tc>
        <w:tc>
          <w:tcPr>
            <w:tcW w:w="1134" w:type="dxa"/>
            <w:tcBorders>
              <w:right w:val="single" w:sz="8" w:space="0" w:color="D2232A"/>
            </w:tcBorders>
            <w:shd w:val="clear" w:color="auto" w:fill="FFFFFF"/>
            <w:noWrap/>
            <w:vAlign w:val="center"/>
            <w:hideMark/>
          </w:tcPr>
          <w:p w14:paraId="50753A9F"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8.214</w:t>
            </w:r>
          </w:p>
        </w:tc>
        <w:tc>
          <w:tcPr>
            <w:tcW w:w="1134" w:type="dxa"/>
            <w:tcBorders>
              <w:left w:val="single" w:sz="8" w:space="0" w:color="D2232A"/>
              <w:right w:val="single" w:sz="8" w:space="0" w:color="D2232A"/>
            </w:tcBorders>
            <w:shd w:val="clear" w:color="auto" w:fill="FFFFFF"/>
            <w:noWrap/>
            <w:vAlign w:val="center"/>
            <w:hideMark/>
          </w:tcPr>
          <w:p w14:paraId="3C56CCDD"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8.023</w:t>
            </w:r>
          </w:p>
        </w:tc>
        <w:tc>
          <w:tcPr>
            <w:tcW w:w="1134" w:type="dxa"/>
            <w:tcBorders>
              <w:left w:val="single" w:sz="8" w:space="0" w:color="D2232A"/>
              <w:right w:val="single" w:sz="8" w:space="0" w:color="D2232A"/>
            </w:tcBorders>
            <w:shd w:val="clear" w:color="auto" w:fill="FFFFFF"/>
            <w:noWrap/>
            <w:vAlign w:val="center"/>
            <w:hideMark/>
          </w:tcPr>
          <w:p w14:paraId="68FE11B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7.690</w:t>
            </w:r>
          </w:p>
        </w:tc>
        <w:tc>
          <w:tcPr>
            <w:tcW w:w="992" w:type="dxa"/>
            <w:tcBorders>
              <w:left w:val="single" w:sz="8" w:space="0" w:color="D2232A"/>
              <w:right w:val="single" w:sz="8" w:space="0" w:color="D2232A"/>
            </w:tcBorders>
            <w:shd w:val="clear" w:color="auto" w:fill="FFFFFF"/>
            <w:noWrap/>
            <w:vAlign w:val="center"/>
            <w:hideMark/>
          </w:tcPr>
          <w:p w14:paraId="75FAE56F"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7.823</w:t>
            </w:r>
          </w:p>
        </w:tc>
        <w:tc>
          <w:tcPr>
            <w:tcW w:w="993" w:type="dxa"/>
            <w:tcBorders>
              <w:left w:val="single" w:sz="8" w:space="0" w:color="D2232A"/>
              <w:right w:val="single" w:sz="8" w:space="0" w:color="D2232A"/>
            </w:tcBorders>
            <w:shd w:val="clear" w:color="auto" w:fill="FFFFFF"/>
            <w:noWrap/>
            <w:vAlign w:val="center"/>
            <w:hideMark/>
          </w:tcPr>
          <w:p w14:paraId="3540BD8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7.840</w:t>
            </w:r>
          </w:p>
        </w:tc>
        <w:tc>
          <w:tcPr>
            <w:tcW w:w="992" w:type="dxa"/>
            <w:tcBorders>
              <w:left w:val="single" w:sz="8" w:space="0" w:color="D2232A"/>
              <w:right w:val="single" w:sz="8" w:space="0" w:color="D2232A"/>
            </w:tcBorders>
            <w:shd w:val="clear" w:color="auto" w:fill="FFFFFF"/>
            <w:noWrap/>
            <w:vAlign w:val="center"/>
            <w:hideMark/>
          </w:tcPr>
          <w:p w14:paraId="0FB299D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8.148</w:t>
            </w:r>
          </w:p>
        </w:tc>
        <w:tc>
          <w:tcPr>
            <w:tcW w:w="1134" w:type="dxa"/>
            <w:tcBorders>
              <w:left w:val="single" w:sz="8" w:space="0" w:color="D2232A"/>
              <w:right w:val="single" w:sz="8" w:space="0" w:color="D2232A"/>
            </w:tcBorders>
            <w:shd w:val="clear" w:color="auto" w:fill="FFFFFF"/>
            <w:noWrap/>
            <w:vAlign w:val="center"/>
            <w:hideMark/>
          </w:tcPr>
          <w:p w14:paraId="51C390E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8.532</w:t>
            </w:r>
          </w:p>
        </w:tc>
        <w:tc>
          <w:tcPr>
            <w:tcW w:w="1276" w:type="dxa"/>
            <w:tcBorders>
              <w:left w:val="single" w:sz="8" w:space="0" w:color="D2232A"/>
              <w:right w:val="single" w:sz="8" w:space="0" w:color="D2232A"/>
            </w:tcBorders>
            <w:shd w:val="clear" w:color="auto" w:fill="FFFFFF"/>
            <w:vAlign w:val="center"/>
          </w:tcPr>
          <w:p w14:paraId="65BB3BBB" w14:textId="2F93BA3A" w:rsidR="006E48E5" w:rsidRPr="00B64447" w:rsidRDefault="00CE73DB" w:rsidP="008D0CA7">
            <w:pPr>
              <w:spacing w:after="0"/>
              <w:jc w:val="right"/>
              <w:rPr>
                <w:rFonts w:cstheme="minorHAnsi"/>
                <w:szCs w:val="18"/>
              </w:rPr>
            </w:pPr>
            <w:r w:rsidRPr="00CE73DB">
              <w:rPr>
                <w:rFonts w:cstheme="minorHAnsi"/>
                <w:szCs w:val="18"/>
              </w:rPr>
              <w:t>9.276</w:t>
            </w:r>
          </w:p>
        </w:tc>
        <w:tc>
          <w:tcPr>
            <w:tcW w:w="1417" w:type="dxa"/>
            <w:tcBorders>
              <w:left w:val="single" w:sz="8" w:space="0" w:color="D2232A"/>
              <w:right w:val="single" w:sz="8" w:space="0" w:color="D2232A"/>
            </w:tcBorders>
            <w:shd w:val="clear" w:color="auto" w:fill="FFFFFF"/>
            <w:vAlign w:val="center"/>
          </w:tcPr>
          <w:p w14:paraId="5E571729" w14:textId="797A2DDE" w:rsidR="006E48E5" w:rsidRPr="00B64447" w:rsidRDefault="00CE73DB" w:rsidP="008D0CA7">
            <w:pPr>
              <w:spacing w:after="0"/>
              <w:jc w:val="right"/>
              <w:rPr>
                <w:rFonts w:cstheme="minorHAnsi"/>
                <w:szCs w:val="18"/>
              </w:rPr>
            </w:pPr>
            <w:r w:rsidRPr="00CE73DB">
              <w:rPr>
                <w:rFonts w:cstheme="minorHAnsi"/>
                <w:szCs w:val="18"/>
              </w:rPr>
              <w:t>8.878</w:t>
            </w:r>
          </w:p>
        </w:tc>
        <w:tc>
          <w:tcPr>
            <w:tcW w:w="1134" w:type="dxa"/>
            <w:tcBorders>
              <w:left w:val="single" w:sz="8" w:space="0" w:color="D2232A"/>
              <w:right w:val="single" w:sz="8" w:space="0" w:color="D2232A"/>
            </w:tcBorders>
            <w:shd w:val="clear" w:color="auto" w:fill="FFFFFF"/>
            <w:vAlign w:val="center"/>
            <w:hideMark/>
          </w:tcPr>
          <w:p w14:paraId="569A2383" w14:textId="40081388" w:rsidR="006E48E5" w:rsidRPr="00B64447" w:rsidRDefault="006E48E5" w:rsidP="00B64447">
            <w:pPr>
              <w:spacing w:after="0"/>
              <w:jc w:val="right"/>
              <w:rPr>
                <w:rFonts w:cstheme="minorHAnsi"/>
                <w:szCs w:val="18"/>
              </w:rPr>
            </w:pPr>
            <w:r w:rsidRPr="00B64447">
              <w:rPr>
                <w:rFonts w:cstheme="minorHAnsi"/>
                <w:szCs w:val="18"/>
              </w:rPr>
              <w:t>10</w:t>
            </w:r>
            <w:r w:rsidR="00CE73DB">
              <w:rPr>
                <w:rFonts w:cstheme="minorHAnsi"/>
                <w:szCs w:val="18"/>
              </w:rPr>
              <w:t>8</w:t>
            </w:r>
            <w:r w:rsidRPr="00B64447">
              <w:rPr>
                <w:rFonts w:cstheme="minorHAnsi"/>
                <w:szCs w:val="18"/>
              </w:rPr>
              <w:t>,</w:t>
            </w:r>
            <w:r w:rsidR="00CE73DB">
              <w:rPr>
                <w:rFonts w:cstheme="minorHAnsi"/>
                <w:szCs w:val="18"/>
              </w:rPr>
              <w:t>09</w:t>
            </w:r>
          </w:p>
        </w:tc>
        <w:tc>
          <w:tcPr>
            <w:tcW w:w="1276" w:type="dxa"/>
            <w:tcBorders>
              <w:left w:val="single" w:sz="8" w:space="0" w:color="D2232A"/>
              <w:right w:val="single" w:sz="8" w:space="0" w:color="D2232A"/>
            </w:tcBorders>
            <w:shd w:val="clear" w:color="auto" w:fill="FFFFFF"/>
            <w:vAlign w:val="center"/>
            <w:hideMark/>
          </w:tcPr>
          <w:p w14:paraId="72514AA1" w14:textId="574DD5F7" w:rsidR="006E48E5" w:rsidRPr="00B64447" w:rsidRDefault="006E48E5" w:rsidP="00B64447">
            <w:pPr>
              <w:spacing w:after="0"/>
              <w:jc w:val="right"/>
              <w:rPr>
                <w:rFonts w:cstheme="minorHAnsi"/>
                <w:szCs w:val="18"/>
              </w:rPr>
            </w:pPr>
            <w:r w:rsidRPr="00B64447">
              <w:rPr>
                <w:rFonts w:cstheme="minorHAnsi"/>
                <w:szCs w:val="18"/>
              </w:rPr>
              <w:t>7</w:t>
            </w:r>
            <w:r w:rsidR="00CE73DB">
              <w:rPr>
                <w:rFonts w:cstheme="minorHAnsi"/>
                <w:szCs w:val="18"/>
              </w:rPr>
              <w:t>2</w:t>
            </w:r>
            <w:r w:rsidRPr="00B64447">
              <w:rPr>
                <w:rFonts w:cstheme="minorHAnsi"/>
                <w:szCs w:val="18"/>
              </w:rPr>
              <w:t>,</w:t>
            </w:r>
            <w:r w:rsidR="00CE73DB">
              <w:rPr>
                <w:rFonts w:cstheme="minorHAnsi"/>
                <w:szCs w:val="18"/>
              </w:rPr>
              <w:t>36</w:t>
            </w:r>
          </w:p>
        </w:tc>
      </w:tr>
      <w:tr w:rsidR="006E48E5" w:rsidRPr="00B64447" w14:paraId="2599D4BD" w14:textId="77777777" w:rsidTr="008D0CA7">
        <w:trPr>
          <w:trHeight w:val="292"/>
        </w:trPr>
        <w:tc>
          <w:tcPr>
            <w:tcW w:w="2410" w:type="dxa"/>
            <w:shd w:val="clear" w:color="auto" w:fill="D2232A"/>
            <w:noWrap/>
            <w:vAlign w:val="center"/>
            <w:hideMark/>
          </w:tcPr>
          <w:p w14:paraId="72B9F5FF"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Zadarska</w:t>
            </w:r>
          </w:p>
        </w:tc>
        <w:tc>
          <w:tcPr>
            <w:tcW w:w="1134" w:type="dxa"/>
            <w:tcBorders>
              <w:right w:val="single" w:sz="8" w:space="0" w:color="D2232A"/>
            </w:tcBorders>
            <w:shd w:val="clear" w:color="auto" w:fill="FFFFFF"/>
            <w:noWrap/>
            <w:vAlign w:val="center"/>
            <w:hideMark/>
          </w:tcPr>
          <w:p w14:paraId="631F391C"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8.457</w:t>
            </w:r>
          </w:p>
        </w:tc>
        <w:tc>
          <w:tcPr>
            <w:tcW w:w="1134" w:type="dxa"/>
            <w:tcBorders>
              <w:left w:val="single" w:sz="8" w:space="0" w:color="D2232A"/>
              <w:right w:val="single" w:sz="8" w:space="0" w:color="D2232A"/>
            </w:tcBorders>
            <w:shd w:val="clear" w:color="auto" w:fill="FFFFFF"/>
            <w:noWrap/>
            <w:vAlign w:val="center"/>
            <w:hideMark/>
          </w:tcPr>
          <w:p w14:paraId="3FDEE29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8.266</w:t>
            </w:r>
          </w:p>
        </w:tc>
        <w:tc>
          <w:tcPr>
            <w:tcW w:w="1134" w:type="dxa"/>
            <w:tcBorders>
              <w:left w:val="single" w:sz="8" w:space="0" w:color="D2232A"/>
              <w:right w:val="single" w:sz="8" w:space="0" w:color="D2232A"/>
            </w:tcBorders>
            <w:shd w:val="clear" w:color="auto" w:fill="FFFFFF"/>
            <w:noWrap/>
            <w:vAlign w:val="center"/>
            <w:hideMark/>
          </w:tcPr>
          <w:p w14:paraId="64A727D2"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8.130</w:t>
            </w:r>
          </w:p>
        </w:tc>
        <w:tc>
          <w:tcPr>
            <w:tcW w:w="992" w:type="dxa"/>
            <w:tcBorders>
              <w:left w:val="single" w:sz="8" w:space="0" w:color="D2232A"/>
              <w:right w:val="single" w:sz="8" w:space="0" w:color="D2232A"/>
            </w:tcBorders>
            <w:shd w:val="clear" w:color="auto" w:fill="FFFFFF"/>
            <w:noWrap/>
            <w:vAlign w:val="center"/>
            <w:hideMark/>
          </w:tcPr>
          <w:p w14:paraId="7BAF9E3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8.187</w:t>
            </w:r>
          </w:p>
        </w:tc>
        <w:tc>
          <w:tcPr>
            <w:tcW w:w="993" w:type="dxa"/>
            <w:tcBorders>
              <w:left w:val="single" w:sz="8" w:space="0" w:color="D2232A"/>
              <w:right w:val="single" w:sz="8" w:space="0" w:color="D2232A"/>
            </w:tcBorders>
            <w:shd w:val="clear" w:color="auto" w:fill="FFFFFF"/>
            <w:noWrap/>
            <w:vAlign w:val="center"/>
            <w:hideMark/>
          </w:tcPr>
          <w:p w14:paraId="1B56B38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8.263</w:t>
            </w:r>
          </w:p>
        </w:tc>
        <w:tc>
          <w:tcPr>
            <w:tcW w:w="992" w:type="dxa"/>
            <w:tcBorders>
              <w:left w:val="single" w:sz="8" w:space="0" w:color="D2232A"/>
              <w:right w:val="single" w:sz="8" w:space="0" w:color="D2232A"/>
            </w:tcBorders>
            <w:shd w:val="clear" w:color="auto" w:fill="FFFFFF"/>
            <w:noWrap/>
            <w:vAlign w:val="center"/>
            <w:hideMark/>
          </w:tcPr>
          <w:p w14:paraId="6830FC7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8.618</w:t>
            </w:r>
          </w:p>
        </w:tc>
        <w:tc>
          <w:tcPr>
            <w:tcW w:w="1134" w:type="dxa"/>
            <w:tcBorders>
              <w:left w:val="single" w:sz="8" w:space="0" w:color="D2232A"/>
              <w:right w:val="single" w:sz="8" w:space="0" w:color="D2232A"/>
            </w:tcBorders>
            <w:shd w:val="clear" w:color="auto" w:fill="FFFFFF"/>
            <w:noWrap/>
            <w:vAlign w:val="center"/>
            <w:hideMark/>
          </w:tcPr>
          <w:p w14:paraId="3A51EEDE"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9.112</w:t>
            </w:r>
          </w:p>
        </w:tc>
        <w:tc>
          <w:tcPr>
            <w:tcW w:w="1276" w:type="dxa"/>
            <w:tcBorders>
              <w:left w:val="single" w:sz="8" w:space="0" w:color="D2232A"/>
              <w:right w:val="single" w:sz="8" w:space="0" w:color="D2232A"/>
            </w:tcBorders>
            <w:shd w:val="clear" w:color="auto" w:fill="FFFFFF"/>
            <w:vAlign w:val="center"/>
          </w:tcPr>
          <w:p w14:paraId="2AD5E648" w14:textId="44FA03F2" w:rsidR="006E48E5" w:rsidRPr="00B64447" w:rsidRDefault="00CE73DB" w:rsidP="008D0CA7">
            <w:pPr>
              <w:spacing w:after="0"/>
              <w:jc w:val="right"/>
              <w:rPr>
                <w:rFonts w:cstheme="minorHAnsi"/>
                <w:szCs w:val="18"/>
              </w:rPr>
            </w:pPr>
            <w:r w:rsidRPr="00CE73DB">
              <w:rPr>
                <w:rFonts w:cstheme="minorHAnsi"/>
                <w:szCs w:val="18"/>
              </w:rPr>
              <w:t>9.866</w:t>
            </w:r>
          </w:p>
        </w:tc>
        <w:tc>
          <w:tcPr>
            <w:tcW w:w="1417" w:type="dxa"/>
            <w:tcBorders>
              <w:left w:val="single" w:sz="8" w:space="0" w:color="D2232A"/>
              <w:right w:val="single" w:sz="8" w:space="0" w:color="D2232A"/>
            </w:tcBorders>
            <w:shd w:val="clear" w:color="auto" w:fill="FFFFFF"/>
            <w:vAlign w:val="center"/>
          </w:tcPr>
          <w:p w14:paraId="4A810E92" w14:textId="59853414" w:rsidR="006E48E5" w:rsidRPr="00B64447" w:rsidRDefault="00CE73DB" w:rsidP="008D0CA7">
            <w:pPr>
              <w:spacing w:after="0"/>
              <w:jc w:val="right"/>
              <w:rPr>
                <w:rFonts w:cstheme="minorHAnsi"/>
                <w:szCs w:val="18"/>
              </w:rPr>
            </w:pPr>
            <w:r w:rsidRPr="00CE73DB">
              <w:rPr>
                <w:rFonts w:cstheme="minorHAnsi"/>
                <w:szCs w:val="18"/>
              </w:rPr>
              <w:t>10.803</w:t>
            </w:r>
          </w:p>
        </w:tc>
        <w:tc>
          <w:tcPr>
            <w:tcW w:w="1134" w:type="dxa"/>
            <w:tcBorders>
              <w:left w:val="single" w:sz="8" w:space="0" w:color="D2232A"/>
              <w:right w:val="single" w:sz="8" w:space="0" w:color="D2232A"/>
            </w:tcBorders>
            <w:shd w:val="clear" w:color="auto" w:fill="FFFFFF"/>
            <w:vAlign w:val="center"/>
            <w:hideMark/>
          </w:tcPr>
          <w:p w14:paraId="744596BC" w14:textId="3B4F74F3" w:rsidR="006E48E5" w:rsidRPr="00B64447" w:rsidRDefault="006E48E5" w:rsidP="00B64447">
            <w:pPr>
              <w:spacing w:after="0"/>
              <w:jc w:val="right"/>
              <w:rPr>
                <w:rFonts w:cstheme="minorHAnsi"/>
                <w:szCs w:val="18"/>
              </w:rPr>
            </w:pPr>
            <w:r w:rsidRPr="00B64447">
              <w:rPr>
                <w:rFonts w:cstheme="minorHAnsi"/>
                <w:szCs w:val="18"/>
              </w:rPr>
              <w:t>1</w:t>
            </w:r>
            <w:r w:rsidR="00CE73DB">
              <w:rPr>
                <w:rFonts w:cstheme="minorHAnsi"/>
                <w:szCs w:val="18"/>
              </w:rPr>
              <w:t>2</w:t>
            </w:r>
            <w:r w:rsidRPr="00B64447">
              <w:rPr>
                <w:rFonts w:cstheme="minorHAnsi"/>
                <w:szCs w:val="18"/>
              </w:rPr>
              <w:t>7,74</w:t>
            </w:r>
          </w:p>
        </w:tc>
        <w:tc>
          <w:tcPr>
            <w:tcW w:w="1276" w:type="dxa"/>
            <w:tcBorders>
              <w:left w:val="single" w:sz="8" w:space="0" w:color="D2232A"/>
              <w:right w:val="single" w:sz="8" w:space="0" w:color="D2232A"/>
            </w:tcBorders>
            <w:shd w:val="clear" w:color="auto" w:fill="FFFFFF"/>
            <w:vAlign w:val="center"/>
            <w:hideMark/>
          </w:tcPr>
          <w:p w14:paraId="2CB48D34" w14:textId="051754EF" w:rsidR="006E48E5" w:rsidRPr="00B64447" w:rsidRDefault="006E48E5" w:rsidP="00B64447">
            <w:pPr>
              <w:spacing w:after="0"/>
              <w:jc w:val="right"/>
              <w:rPr>
                <w:rFonts w:cstheme="minorHAnsi"/>
                <w:szCs w:val="18"/>
              </w:rPr>
            </w:pPr>
            <w:r w:rsidRPr="00B64447">
              <w:rPr>
                <w:rFonts w:cstheme="minorHAnsi"/>
                <w:szCs w:val="18"/>
              </w:rPr>
              <w:t>8</w:t>
            </w:r>
            <w:r w:rsidR="00CE73DB">
              <w:rPr>
                <w:rFonts w:cstheme="minorHAnsi"/>
                <w:szCs w:val="18"/>
              </w:rPr>
              <w:t>8</w:t>
            </w:r>
            <w:r w:rsidRPr="00B64447">
              <w:rPr>
                <w:rFonts w:cstheme="minorHAnsi"/>
                <w:szCs w:val="18"/>
              </w:rPr>
              <w:t>,</w:t>
            </w:r>
            <w:r w:rsidR="00CE73DB">
              <w:rPr>
                <w:rFonts w:cstheme="minorHAnsi"/>
                <w:szCs w:val="18"/>
              </w:rPr>
              <w:t>04</w:t>
            </w:r>
          </w:p>
        </w:tc>
      </w:tr>
      <w:tr w:rsidR="006E48E5" w:rsidRPr="00B64447" w14:paraId="691BC9D3" w14:textId="77777777" w:rsidTr="008D0CA7">
        <w:trPr>
          <w:trHeight w:val="292"/>
        </w:trPr>
        <w:tc>
          <w:tcPr>
            <w:tcW w:w="2410" w:type="dxa"/>
            <w:shd w:val="clear" w:color="auto" w:fill="D2232A"/>
            <w:noWrap/>
            <w:vAlign w:val="center"/>
            <w:hideMark/>
          </w:tcPr>
          <w:p w14:paraId="19833021"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Šibensko-kninska</w:t>
            </w:r>
          </w:p>
        </w:tc>
        <w:tc>
          <w:tcPr>
            <w:tcW w:w="1134" w:type="dxa"/>
            <w:tcBorders>
              <w:right w:val="single" w:sz="8" w:space="0" w:color="D2232A"/>
            </w:tcBorders>
            <w:shd w:val="clear" w:color="auto" w:fill="FFFFFF"/>
            <w:noWrap/>
            <w:vAlign w:val="center"/>
            <w:hideMark/>
          </w:tcPr>
          <w:p w14:paraId="58DA10D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7.870</w:t>
            </w:r>
          </w:p>
        </w:tc>
        <w:tc>
          <w:tcPr>
            <w:tcW w:w="1134" w:type="dxa"/>
            <w:tcBorders>
              <w:left w:val="single" w:sz="8" w:space="0" w:color="D2232A"/>
              <w:right w:val="single" w:sz="8" w:space="0" w:color="D2232A"/>
            </w:tcBorders>
            <w:shd w:val="clear" w:color="auto" w:fill="FFFFFF"/>
            <w:noWrap/>
            <w:vAlign w:val="center"/>
            <w:hideMark/>
          </w:tcPr>
          <w:p w14:paraId="40C40FEC"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7.934</w:t>
            </w:r>
          </w:p>
        </w:tc>
        <w:tc>
          <w:tcPr>
            <w:tcW w:w="1134" w:type="dxa"/>
            <w:tcBorders>
              <w:left w:val="single" w:sz="8" w:space="0" w:color="D2232A"/>
              <w:right w:val="single" w:sz="8" w:space="0" w:color="D2232A"/>
            </w:tcBorders>
            <w:shd w:val="clear" w:color="auto" w:fill="FFFFFF"/>
            <w:noWrap/>
            <w:vAlign w:val="center"/>
            <w:hideMark/>
          </w:tcPr>
          <w:p w14:paraId="3CA39D16"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7.871</w:t>
            </w:r>
          </w:p>
        </w:tc>
        <w:tc>
          <w:tcPr>
            <w:tcW w:w="992" w:type="dxa"/>
            <w:tcBorders>
              <w:left w:val="single" w:sz="8" w:space="0" w:color="D2232A"/>
              <w:right w:val="single" w:sz="8" w:space="0" w:color="D2232A"/>
            </w:tcBorders>
            <w:shd w:val="clear" w:color="auto" w:fill="FFFFFF"/>
            <w:noWrap/>
            <w:vAlign w:val="center"/>
            <w:hideMark/>
          </w:tcPr>
          <w:p w14:paraId="6BCE325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8.051</w:t>
            </w:r>
          </w:p>
        </w:tc>
        <w:tc>
          <w:tcPr>
            <w:tcW w:w="993" w:type="dxa"/>
            <w:tcBorders>
              <w:left w:val="single" w:sz="8" w:space="0" w:color="D2232A"/>
              <w:right w:val="single" w:sz="8" w:space="0" w:color="D2232A"/>
            </w:tcBorders>
            <w:shd w:val="clear" w:color="auto" w:fill="FFFFFF"/>
            <w:noWrap/>
            <w:vAlign w:val="center"/>
            <w:hideMark/>
          </w:tcPr>
          <w:p w14:paraId="606E8CF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8.147</w:t>
            </w:r>
          </w:p>
        </w:tc>
        <w:tc>
          <w:tcPr>
            <w:tcW w:w="992" w:type="dxa"/>
            <w:tcBorders>
              <w:left w:val="single" w:sz="8" w:space="0" w:color="D2232A"/>
              <w:right w:val="single" w:sz="8" w:space="0" w:color="D2232A"/>
            </w:tcBorders>
            <w:shd w:val="clear" w:color="auto" w:fill="FFFFFF"/>
            <w:noWrap/>
            <w:vAlign w:val="center"/>
            <w:hideMark/>
          </w:tcPr>
          <w:p w14:paraId="0C23040D"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8.327</w:t>
            </w:r>
          </w:p>
        </w:tc>
        <w:tc>
          <w:tcPr>
            <w:tcW w:w="1134" w:type="dxa"/>
            <w:tcBorders>
              <w:left w:val="single" w:sz="8" w:space="0" w:color="D2232A"/>
              <w:right w:val="single" w:sz="8" w:space="0" w:color="D2232A"/>
            </w:tcBorders>
            <w:shd w:val="clear" w:color="auto" w:fill="FFFFFF"/>
            <w:noWrap/>
            <w:vAlign w:val="center"/>
            <w:hideMark/>
          </w:tcPr>
          <w:p w14:paraId="365F2729"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8.772</w:t>
            </w:r>
          </w:p>
        </w:tc>
        <w:tc>
          <w:tcPr>
            <w:tcW w:w="1276" w:type="dxa"/>
            <w:tcBorders>
              <w:left w:val="single" w:sz="8" w:space="0" w:color="D2232A"/>
              <w:right w:val="single" w:sz="8" w:space="0" w:color="D2232A"/>
            </w:tcBorders>
            <w:shd w:val="clear" w:color="auto" w:fill="FFFFFF"/>
            <w:vAlign w:val="center"/>
          </w:tcPr>
          <w:p w14:paraId="1B4ABA5B" w14:textId="2DBB81A8" w:rsidR="006E48E5" w:rsidRPr="00B64447" w:rsidRDefault="00CE73DB" w:rsidP="008D0CA7">
            <w:pPr>
              <w:spacing w:after="0"/>
              <w:jc w:val="right"/>
              <w:rPr>
                <w:rFonts w:cstheme="minorHAnsi"/>
                <w:szCs w:val="18"/>
              </w:rPr>
            </w:pPr>
            <w:r w:rsidRPr="00CE73DB">
              <w:rPr>
                <w:rFonts w:cstheme="minorHAnsi"/>
                <w:szCs w:val="18"/>
              </w:rPr>
              <w:t>9.714</w:t>
            </w:r>
          </w:p>
        </w:tc>
        <w:tc>
          <w:tcPr>
            <w:tcW w:w="1417" w:type="dxa"/>
            <w:tcBorders>
              <w:left w:val="single" w:sz="8" w:space="0" w:color="D2232A"/>
              <w:right w:val="single" w:sz="8" w:space="0" w:color="D2232A"/>
            </w:tcBorders>
            <w:shd w:val="clear" w:color="auto" w:fill="FFFFFF"/>
            <w:vAlign w:val="center"/>
          </w:tcPr>
          <w:p w14:paraId="5900832A" w14:textId="72E057FD" w:rsidR="006E48E5" w:rsidRPr="00B64447" w:rsidRDefault="00CE73DB" w:rsidP="008D0CA7">
            <w:pPr>
              <w:spacing w:after="0"/>
              <w:jc w:val="right"/>
              <w:rPr>
                <w:rFonts w:cstheme="minorHAnsi"/>
                <w:szCs w:val="18"/>
              </w:rPr>
            </w:pPr>
            <w:r w:rsidRPr="00CE73DB">
              <w:rPr>
                <w:rFonts w:cstheme="minorHAnsi"/>
                <w:szCs w:val="18"/>
              </w:rPr>
              <w:t>9.713</w:t>
            </w:r>
          </w:p>
        </w:tc>
        <w:tc>
          <w:tcPr>
            <w:tcW w:w="1134" w:type="dxa"/>
            <w:tcBorders>
              <w:left w:val="single" w:sz="8" w:space="0" w:color="D2232A"/>
              <w:right w:val="single" w:sz="8" w:space="0" w:color="D2232A"/>
            </w:tcBorders>
            <w:shd w:val="clear" w:color="auto" w:fill="FFFFFF"/>
            <w:vAlign w:val="center"/>
            <w:hideMark/>
          </w:tcPr>
          <w:p w14:paraId="7B6E31D3" w14:textId="64B68636" w:rsidR="006E48E5" w:rsidRPr="00B64447" w:rsidRDefault="006E48E5" w:rsidP="00B64447">
            <w:pPr>
              <w:spacing w:after="0"/>
              <w:jc w:val="right"/>
              <w:rPr>
                <w:rFonts w:cstheme="minorHAnsi"/>
                <w:szCs w:val="18"/>
              </w:rPr>
            </w:pPr>
            <w:r w:rsidRPr="00B64447">
              <w:rPr>
                <w:rFonts w:cstheme="minorHAnsi"/>
                <w:szCs w:val="18"/>
              </w:rPr>
              <w:t>1</w:t>
            </w:r>
            <w:r w:rsidR="00CE73DB">
              <w:rPr>
                <w:rFonts w:cstheme="minorHAnsi"/>
                <w:szCs w:val="18"/>
              </w:rPr>
              <w:t>23</w:t>
            </w:r>
            <w:r w:rsidRPr="00B64447">
              <w:rPr>
                <w:rFonts w:cstheme="minorHAnsi"/>
                <w:szCs w:val="18"/>
              </w:rPr>
              <w:t>,4</w:t>
            </w:r>
            <w:r w:rsidR="00CE73DB">
              <w:rPr>
                <w:rFonts w:cstheme="minorHAnsi"/>
                <w:szCs w:val="18"/>
              </w:rPr>
              <w:t>2</w:t>
            </w:r>
          </w:p>
        </w:tc>
        <w:tc>
          <w:tcPr>
            <w:tcW w:w="1276" w:type="dxa"/>
            <w:tcBorders>
              <w:left w:val="single" w:sz="8" w:space="0" w:color="D2232A"/>
              <w:right w:val="single" w:sz="8" w:space="0" w:color="D2232A"/>
            </w:tcBorders>
            <w:shd w:val="clear" w:color="auto" w:fill="FFFFFF"/>
            <w:vAlign w:val="center"/>
            <w:hideMark/>
          </w:tcPr>
          <w:p w14:paraId="4D7A5500" w14:textId="7AFDA225" w:rsidR="006E48E5" w:rsidRPr="00B64447" w:rsidRDefault="006E48E5" w:rsidP="00B64447">
            <w:pPr>
              <w:spacing w:after="0"/>
              <w:jc w:val="right"/>
              <w:rPr>
                <w:rFonts w:cstheme="minorHAnsi"/>
                <w:szCs w:val="18"/>
              </w:rPr>
            </w:pPr>
            <w:r w:rsidRPr="00B64447">
              <w:rPr>
                <w:rFonts w:cstheme="minorHAnsi"/>
                <w:szCs w:val="18"/>
              </w:rPr>
              <w:t>7</w:t>
            </w:r>
            <w:r w:rsidR="00CE73DB">
              <w:rPr>
                <w:rFonts w:cstheme="minorHAnsi"/>
                <w:szCs w:val="18"/>
              </w:rPr>
              <w:t>9</w:t>
            </w:r>
            <w:r w:rsidRPr="00B64447">
              <w:rPr>
                <w:rFonts w:cstheme="minorHAnsi"/>
                <w:szCs w:val="18"/>
              </w:rPr>
              <w:t>,</w:t>
            </w:r>
            <w:r w:rsidR="00CE73DB">
              <w:rPr>
                <w:rFonts w:cstheme="minorHAnsi"/>
                <w:szCs w:val="18"/>
              </w:rPr>
              <w:t>16</w:t>
            </w:r>
          </w:p>
        </w:tc>
      </w:tr>
      <w:tr w:rsidR="006E48E5" w:rsidRPr="00B64447" w14:paraId="244AA0A0" w14:textId="77777777" w:rsidTr="008D0CA7">
        <w:trPr>
          <w:trHeight w:val="292"/>
        </w:trPr>
        <w:tc>
          <w:tcPr>
            <w:tcW w:w="2410" w:type="dxa"/>
            <w:shd w:val="clear" w:color="auto" w:fill="D2232A"/>
            <w:noWrap/>
            <w:vAlign w:val="center"/>
            <w:hideMark/>
          </w:tcPr>
          <w:p w14:paraId="6A1A81E9"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Splitsko-dalmatinska</w:t>
            </w:r>
          </w:p>
        </w:tc>
        <w:tc>
          <w:tcPr>
            <w:tcW w:w="1134" w:type="dxa"/>
            <w:tcBorders>
              <w:right w:val="single" w:sz="8" w:space="0" w:color="D2232A"/>
            </w:tcBorders>
            <w:shd w:val="clear" w:color="auto" w:fill="FFFFFF"/>
            <w:noWrap/>
            <w:vAlign w:val="center"/>
            <w:hideMark/>
          </w:tcPr>
          <w:p w14:paraId="15F6B4D1"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8.393</w:t>
            </w:r>
          </w:p>
        </w:tc>
        <w:tc>
          <w:tcPr>
            <w:tcW w:w="1134" w:type="dxa"/>
            <w:tcBorders>
              <w:left w:val="single" w:sz="8" w:space="0" w:color="D2232A"/>
              <w:right w:val="single" w:sz="8" w:space="0" w:color="D2232A"/>
            </w:tcBorders>
            <w:shd w:val="clear" w:color="auto" w:fill="FFFFFF"/>
            <w:noWrap/>
            <w:vAlign w:val="center"/>
            <w:hideMark/>
          </w:tcPr>
          <w:p w14:paraId="3483825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8.167</w:t>
            </w:r>
          </w:p>
        </w:tc>
        <w:tc>
          <w:tcPr>
            <w:tcW w:w="1134" w:type="dxa"/>
            <w:tcBorders>
              <w:left w:val="single" w:sz="8" w:space="0" w:color="D2232A"/>
              <w:right w:val="single" w:sz="8" w:space="0" w:color="D2232A"/>
            </w:tcBorders>
            <w:shd w:val="clear" w:color="auto" w:fill="FFFFFF"/>
            <w:noWrap/>
            <w:vAlign w:val="center"/>
            <w:hideMark/>
          </w:tcPr>
          <w:p w14:paraId="342C9B06"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7.897</w:t>
            </w:r>
          </w:p>
        </w:tc>
        <w:tc>
          <w:tcPr>
            <w:tcW w:w="992" w:type="dxa"/>
            <w:tcBorders>
              <w:left w:val="single" w:sz="8" w:space="0" w:color="D2232A"/>
              <w:right w:val="single" w:sz="8" w:space="0" w:color="D2232A"/>
            </w:tcBorders>
            <w:shd w:val="clear" w:color="auto" w:fill="FFFFFF"/>
            <w:noWrap/>
            <w:vAlign w:val="center"/>
            <w:hideMark/>
          </w:tcPr>
          <w:p w14:paraId="2E441756"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7.904</w:t>
            </w:r>
          </w:p>
        </w:tc>
        <w:tc>
          <w:tcPr>
            <w:tcW w:w="993" w:type="dxa"/>
            <w:tcBorders>
              <w:left w:val="single" w:sz="8" w:space="0" w:color="D2232A"/>
              <w:right w:val="single" w:sz="8" w:space="0" w:color="D2232A"/>
            </w:tcBorders>
            <w:shd w:val="clear" w:color="auto" w:fill="FFFFFF"/>
            <w:noWrap/>
            <w:vAlign w:val="center"/>
            <w:hideMark/>
          </w:tcPr>
          <w:p w14:paraId="05401623"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7.918</w:t>
            </w:r>
          </w:p>
        </w:tc>
        <w:tc>
          <w:tcPr>
            <w:tcW w:w="992" w:type="dxa"/>
            <w:tcBorders>
              <w:left w:val="single" w:sz="8" w:space="0" w:color="D2232A"/>
              <w:right w:val="single" w:sz="8" w:space="0" w:color="D2232A"/>
            </w:tcBorders>
            <w:shd w:val="clear" w:color="auto" w:fill="FFFFFF"/>
            <w:noWrap/>
            <w:vAlign w:val="center"/>
            <w:hideMark/>
          </w:tcPr>
          <w:p w14:paraId="069DF2A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8.228</w:t>
            </w:r>
          </w:p>
        </w:tc>
        <w:tc>
          <w:tcPr>
            <w:tcW w:w="1134" w:type="dxa"/>
            <w:tcBorders>
              <w:left w:val="single" w:sz="8" w:space="0" w:color="D2232A"/>
              <w:right w:val="single" w:sz="8" w:space="0" w:color="D2232A"/>
            </w:tcBorders>
            <w:shd w:val="clear" w:color="auto" w:fill="FFFFFF"/>
            <w:noWrap/>
            <w:vAlign w:val="center"/>
            <w:hideMark/>
          </w:tcPr>
          <w:p w14:paraId="7473353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8.654</w:t>
            </w:r>
          </w:p>
        </w:tc>
        <w:tc>
          <w:tcPr>
            <w:tcW w:w="1276" w:type="dxa"/>
            <w:tcBorders>
              <w:left w:val="single" w:sz="8" w:space="0" w:color="D2232A"/>
              <w:right w:val="single" w:sz="8" w:space="0" w:color="D2232A"/>
            </w:tcBorders>
            <w:shd w:val="clear" w:color="auto" w:fill="FFFFFF"/>
            <w:vAlign w:val="center"/>
          </w:tcPr>
          <w:p w14:paraId="3C7D158B" w14:textId="77067D33" w:rsidR="006E48E5" w:rsidRPr="00B64447" w:rsidRDefault="00CE73DB" w:rsidP="008D0CA7">
            <w:pPr>
              <w:spacing w:after="0"/>
              <w:jc w:val="right"/>
              <w:rPr>
                <w:rFonts w:cstheme="minorHAnsi"/>
                <w:szCs w:val="18"/>
              </w:rPr>
            </w:pPr>
            <w:r w:rsidRPr="00CE73DB">
              <w:rPr>
                <w:rFonts w:cstheme="minorHAnsi"/>
                <w:szCs w:val="18"/>
              </w:rPr>
              <w:t>9.145</w:t>
            </w:r>
          </w:p>
        </w:tc>
        <w:tc>
          <w:tcPr>
            <w:tcW w:w="1417" w:type="dxa"/>
            <w:tcBorders>
              <w:left w:val="single" w:sz="8" w:space="0" w:color="D2232A"/>
              <w:right w:val="single" w:sz="8" w:space="0" w:color="D2232A"/>
            </w:tcBorders>
            <w:shd w:val="clear" w:color="auto" w:fill="FFFFFF"/>
            <w:vAlign w:val="center"/>
          </w:tcPr>
          <w:p w14:paraId="4A91FADF" w14:textId="6B1A1E19" w:rsidR="006E48E5" w:rsidRPr="00B64447" w:rsidRDefault="00CE73DB" w:rsidP="008D0CA7">
            <w:pPr>
              <w:spacing w:after="0"/>
              <w:jc w:val="right"/>
              <w:rPr>
                <w:rFonts w:cstheme="minorHAnsi"/>
                <w:szCs w:val="18"/>
              </w:rPr>
            </w:pPr>
            <w:r w:rsidRPr="00CE73DB">
              <w:rPr>
                <w:rFonts w:cstheme="minorHAnsi"/>
                <w:szCs w:val="18"/>
              </w:rPr>
              <w:t>9.636</w:t>
            </w:r>
          </w:p>
        </w:tc>
        <w:tc>
          <w:tcPr>
            <w:tcW w:w="1134" w:type="dxa"/>
            <w:tcBorders>
              <w:left w:val="single" w:sz="8" w:space="0" w:color="D2232A"/>
              <w:right w:val="single" w:sz="8" w:space="0" w:color="D2232A"/>
            </w:tcBorders>
            <w:shd w:val="clear" w:color="auto" w:fill="FFFFFF"/>
            <w:vAlign w:val="center"/>
            <w:hideMark/>
          </w:tcPr>
          <w:p w14:paraId="02CCF6BE" w14:textId="306275DE" w:rsidR="006E48E5" w:rsidRPr="00B64447" w:rsidRDefault="006E48E5" w:rsidP="00B64447">
            <w:pPr>
              <w:spacing w:after="0"/>
              <w:jc w:val="right"/>
              <w:rPr>
                <w:rFonts w:cstheme="minorHAnsi"/>
                <w:szCs w:val="18"/>
              </w:rPr>
            </w:pPr>
            <w:r w:rsidRPr="00B64447">
              <w:rPr>
                <w:rFonts w:cstheme="minorHAnsi"/>
                <w:szCs w:val="18"/>
              </w:rPr>
              <w:t>1</w:t>
            </w:r>
            <w:r w:rsidR="00CE73DB">
              <w:rPr>
                <w:rFonts w:cstheme="minorHAnsi"/>
                <w:szCs w:val="18"/>
              </w:rPr>
              <w:t>14</w:t>
            </w:r>
            <w:r w:rsidRPr="00B64447">
              <w:rPr>
                <w:rFonts w:cstheme="minorHAnsi"/>
                <w:szCs w:val="18"/>
              </w:rPr>
              <w:t>,</w:t>
            </w:r>
            <w:r w:rsidR="00CE73DB">
              <w:rPr>
                <w:rFonts w:cstheme="minorHAnsi"/>
                <w:szCs w:val="18"/>
              </w:rPr>
              <w:t>81</w:t>
            </w:r>
          </w:p>
        </w:tc>
        <w:tc>
          <w:tcPr>
            <w:tcW w:w="1276" w:type="dxa"/>
            <w:tcBorders>
              <w:left w:val="single" w:sz="8" w:space="0" w:color="D2232A"/>
              <w:right w:val="single" w:sz="8" w:space="0" w:color="D2232A"/>
            </w:tcBorders>
            <w:shd w:val="clear" w:color="auto" w:fill="FFFFFF"/>
            <w:vAlign w:val="center"/>
            <w:hideMark/>
          </w:tcPr>
          <w:p w14:paraId="0C228B67" w14:textId="50D1E6AF" w:rsidR="006E48E5" w:rsidRPr="00B64447" w:rsidRDefault="006E48E5" w:rsidP="00B64447">
            <w:pPr>
              <w:spacing w:after="0"/>
              <w:jc w:val="right"/>
              <w:rPr>
                <w:rFonts w:cstheme="minorHAnsi"/>
                <w:szCs w:val="18"/>
              </w:rPr>
            </w:pPr>
            <w:r w:rsidRPr="00B64447">
              <w:rPr>
                <w:rFonts w:cstheme="minorHAnsi"/>
                <w:szCs w:val="18"/>
              </w:rPr>
              <w:t>7</w:t>
            </w:r>
            <w:r w:rsidR="00CE73DB">
              <w:rPr>
                <w:rFonts w:cstheme="minorHAnsi"/>
                <w:szCs w:val="18"/>
              </w:rPr>
              <w:t>8</w:t>
            </w:r>
            <w:r w:rsidRPr="00B64447">
              <w:rPr>
                <w:rFonts w:cstheme="minorHAnsi"/>
                <w:szCs w:val="18"/>
              </w:rPr>
              <w:t>,</w:t>
            </w:r>
            <w:r w:rsidR="00CE73DB">
              <w:rPr>
                <w:rFonts w:cstheme="minorHAnsi"/>
                <w:szCs w:val="18"/>
              </w:rPr>
              <w:t>53</w:t>
            </w:r>
          </w:p>
        </w:tc>
      </w:tr>
      <w:tr w:rsidR="006E48E5" w:rsidRPr="00B64447" w14:paraId="03BC5AA2" w14:textId="77777777" w:rsidTr="008D0CA7">
        <w:trPr>
          <w:trHeight w:val="292"/>
        </w:trPr>
        <w:tc>
          <w:tcPr>
            <w:tcW w:w="2410" w:type="dxa"/>
            <w:shd w:val="clear" w:color="auto" w:fill="D2232A"/>
            <w:noWrap/>
            <w:vAlign w:val="center"/>
            <w:hideMark/>
          </w:tcPr>
          <w:p w14:paraId="5E00D90E"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Istarska</w:t>
            </w:r>
          </w:p>
        </w:tc>
        <w:tc>
          <w:tcPr>
            <w:tcW w:w="1134" w:type="dxa"/>
            <w:tcBorders>
              <w:right w:val="single" w:sz="8" w:space="0" w:color="D2232A"/>
            </w:tcBorders>
            <w:shd w:val="clear" w:color="auto" w:fill="FFFFFF"/>
            <w:noWrap/>
            <w:vAlign w:val="center"/>
            <w:hideMark/>
          </w:tcPr>
          <w:p w14:paraId="6193CED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13.366</w:t>
            </w:r>
          </w:p>
        </w:tc>
        <w:tc>
          <w:tcPr>
            <w:tcW w:w="1134" w:type="dxa"/>
            <w:tcBorders>
              <w:left w:val="single" w:sz="8" w:space="0" w:color="D2232A"/>
              <w:right w:val="single" w:sz="8" w:space="0" w:color="D2232A"/>
            </w:tcBorders>
            <w:shd w:val="clear" w:color="auto" w:fill="FFFFFF"/>
            <w:noWrap/>
            <w:vAlign w:val="center"/>
            <w:hideMark/>
          </w:tcPr>
          <w:p w14:paraId="7E7384C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13.266</w:t>
            </w:r>
          </w:p>
        </w:tc>
        <w:tc>
          <w:tcPr>
            <w:tcW w:w="1134" w:type="dxa"/>
            <w:tcBorders>
              <w:left w:val="single" w:sz="8" w:space="0" w:color="D2232A"/>
              <w:right w:val="single" w:sz="8" w:space="0" w:color="D2232A"/>
            </w:tcBorders>
            <w:shd w:val="clear" w:color="auto" w:fill="FFFFFF"/>
            <w:noWrap/>
            <w:vAlign w:val="center"/>
            <w:hideMark/>
          </w:tcPr>
          <w:p w14:paraId="30B951E8"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12.699</w:t>
            </w:r>
          </w:p>
        </w:tc>
        <w:tc>
          <w:tcPr>
            <w:tcW w:w="992" w:type="dxa"/>
            <w:tcBorders>
              <w:left w:val="single" w:sz="8" w:space="0" w:color="D2232A"/>
              <w:right w:val="single" w:sz="8" w:space="0" w:color="D2232A"/>
            </w:tcBorders>
            <w:shd w:val="clear" w:color="auto" w:fill="FFFFFF"/>
            <w:noWrap/>
            <w:vAlign w:val="center"/>
            <w:hideMark/>
          </w:tcPr>
          <w:p w14:paraId="5088111D"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12.785</w:t>
            </w:r>
          </w:p>
        </w:tc>
        <w:tc>
          <w:tcPr>
            <w:tcW w:w="993" w:type="dxa"/>
            <w:tcBorders>
              <w:left w:val="single" w:sz="8" w:space="0" w:color="D2232A"/>
              <w:right w:val="single" w:sz="8" w:space="0" w:color="D2232A"/>
            </w:tcBorders>
            <w:shd w:val="clear" w:color="auto" w:fill="FFFFFF"/>
            <w:noWrap/>
            <w:vAlign w:val="center"/>
            <w:hideMark/>
          </w:tcPr>
          <w:p w14:paraId="0F056B9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12.920</w:t>
            </w:r>
          </w:p>
        </w:tc>
        <w:tc>
          <w:tcPr>
            <w:tcW w:w="992" w:type="dxa"/>
            <w:tcBorders>
              <w:left w:val="single" w:sz="8" w:space="0" w:color="D2232A"/>
              <w:right w:val="single" w:sz="8" w:space="0" w:color="D2232A"/>
            </w:tcBorders>
            <w:shd w:val="clear" w:color="auto" w:fill="FFFFFF"/>
            <w:noWrap/>
            <w:vAlign w:val="center"/>
            <w:hideMark/>
          </w:tcPr>
          <w:p w14:paraId="5DFD427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13.324</w:t>
            </w:r>
          </w:p>
        </w:tc>
        <w:tc>
          <w:tcPr>
            <w:tcW w:w="1134" w:type="dxa"/>
            <w:tcBorders>
              <w:left w:val="single" w:sz="8" w:space="0" w:color="D2232A"/>
              <w:right w:val="single" w:sz="8" w:space="0" w:color="D2232A"/>
            </w:tcBorders>
            <w:shd w:val="clear" w:color="auto" w:fill="FFFFFF"/>
            <w:noWrap/>
            <w:vAlign w:val="center"/>
            <w:hideMark/>
          </w:tcPr>
          <w:p w14:paraId="57EBBB6D"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14.120</w:t>
            </w:r>
          </w:p>
        </w:tc>
        <w:tc>
          <w:tcPr>
            <w:tcW w:w="1276" w:type="dxa"/>
            <w:tcBorders>
              <w:left w:val="single" w:sz="8" w:space="0" w:color="D2232A"/>
              <w:right w:val="single" w:sz="8" w:space="0" w:color="D2232A"/>
            </w:tcBorders>
            <w:shd w:val="clear" w:color="auto" w:fill="FFFFFF"/>
            <w:vAlign w:val="center"/>
          </w:tcPr>
          <w:p w14:paraId="787BA0ED" w14:textId="289693A3" w:rsidR="006E48E5" w:rsidRPr="00B64447" w:rsidRDefault="00CE73DB" w:rsidP="008D0CA7">
            <w:pPr>
              <w:spacing w:after="0"/>
              <w:jc w:val="right"/>
              <w:rPr>
                <w:rFonts w:cstheme="minorHAnsi"/>
                <w:szCs w:val="18"/>
              </w:rPr>
            </w:pPr>
            <w:r w:rsidRPr="00CE73DB">
              <w:rPr>
                <w:rFonts w:cstheme="minorHAnsi"/>
                <w:szCs w:val="18"/>
              </w:rPr>
              <w:t>14.866</w:t>
            </w:r>
          </w:p>
        </w:tc>
        <w:tc>
          <w:tcPr>
            <w:tcW w:w="1417" w:type="dxa"/>
            <w:tcBorders>
              <w:left w:val="single" w:sz="8" w:space="0" w:color="D2232A"/>
              <w:right w:val="single" w:sz="8" w:space="0" w:color="D2232A"/>
            </w:tcBorders>
            <w:shd w:val="clear" w:color="auto" w:fill="FFFFFF"/>
            <w:vAlign w:val="center"/>
          </w:tcPr>
          <w:p w14:paraId="305D8537" w14:textId="7A39CFEC" w:rsidR="006E48E5" w:rsidRPr="00B64447" w:rsidRDefault="00CE73DB" w:rsidP="008D0CA7">
            <w:pPr>
              <w:spacing w:after="0"/>
              <w:jc w:val="right"/>
              <w:rPr>
                <w:rFonts w:cstheme="minorHAnsi"/>
                <w:szCs w:val="18"/>
              </w:rPr>
            </w:pPr>
            <w:r w:rsidRPr="00CE73DB">
              <w:rPr>
                <w:rFonts w:cstheme="minorHAnsi"/>
                <w:szCs w:val="18"/>
              </w:rPr>
              <w:t>15.570</w:t>
            </w:r>
          </w:p>
        </w:tc>
        <w:tc>
          <w:tcPr>
            <w:tcW w:w="1134" w:type="dxa"/>
            <w:tcBorders>
              <w:left w:val="single" w:sz="8" w:space="0" w:color="D2232A"/>
              <w:right w:val="single" w:sz="8" w:space="0" w:color="D2232A"/>
            </w:tcBorders>
            <w:shd w:val="clear" w:color="auto" w:fill="FFFFFF"/>
            <w:vAlign w:val="center"/>
            <w:hideMark/>
          </w:tcPr>
          <w:p w14:paraId="09822988" w14:textId="0EA0BEE1" w:rsidR="006E48E5" w:rsidRPr="00B64447" w:rsidRDefault="006E48E5" w:rsidP="00B64447">
            <w:pPr>
              <w:spacing w:after="0"/>
              <w:jc w:val="right"/>
              <w:rPr>
                <w:rFonts w:cstheme="minorHAnsi"/>
                <w:szCs w:val="18"/>
              </w:rPr>
            </w:pPr>
            <w:r w:rsidRPr="00B64447">
              <w:rPr>
                <w:rFonts w:cstheme="minorHAnsi"/>
                <w:szCs w:val="18"/>
              </w:rPr>
              <w:t>1</w:t>
            </w:r>
            <w:r w:rsidR="00CE73DB">
              <w:rPr>
                <w:rFonts w:cstheme="minorHAnsi"/>
                <w:szCs w:val="18"/>
              </w:rPr>
              <w:t>16</w:t>
            </w:r>
            <w:r w:rsidRPr="00B64447">
              <w:rPr>
                <w:rFonts w:cstheme="minorHAnsi"/>
                <w:szCs w:val="18"/>
              </w:rPr>
              <w:t>,</w:t>
            </w:r>
            <w:r w:rsidR="00CE73DB">
              <w:rPr>
                <w:rFonts w:cstheme="minorHAnsi"/>
                <w:szCs w:val="18"/>
              </w:rPr>
              <w:t>49</w:t>
            </w:r>
          </w:p>
        </w:tc>
        <w:tc>
          <w:tcPr>
            <w:tcW w:w="1276" w:type="dxa"/>
            <w:tcBorders>
              <w:left w:val="single" w:sz="8" w:space="0" w:color="D2232A"/>
              <w:right w:val="single" w:sz="8" w:space="0" w:color="D2232A"/>
            </w:tcBorders>
            <w:shd w:val="clear" w:color="auto" w:fill="FFFFFF"/>
            <w:vAlign w:val="center"/>
            <w:hideMark/>
          </w:tcPr>
          <w:p w14:paraId="617FED38" w14:textId="1E3FFE11" w:rsidR="006E48E5" w:rsidRPr="00B64447" w:rsidRDefault="006E48E5" w:rsidP="00B64447">
            <w:pPr>
              <w:spacing w:after="0"/>
              <w:jc w:val="right"/>
              <w:rPr>
                <w:rFonts w:cstheme="minorHAnsi"/>
                <w:szCs w:val="18"/>
              </w:rPr>
            </w:pPr>
            <w:r w:rsidRPr="00B64447">
              <w:rPr>
                <w:rFonts w:cstheme="minorHAnsi"/>
                <w:szCs w:val="18"/>
              </w:rPr>
              <w:t>126,</w:t>
            </w:r>
            <w:r w:rsidR="00CE73DB">
              <w:rPr>
                <w:rFonts w:cstheme="minorHAnsi"/>
                <w:szCs w:val="18"/>
              </w:rPr>
              <w:t>89</w:t>
            </w:r>
          </w:p>
        </w:tc>
      </w:tr>
      <w:tr w:rsidR="006E48E5" w:rsidRPr="00B64447" w14:paraId="62E04CBD" w14:textId="77777777" w:rsidTr="008D0CA7">
        <w:trPr>
          <w:trHeight w:val="292"/>
        </w:trPr>
        <w:tc>
          <w:tcPr>
            <w:tcW w:w="2410" w:type="dxa"/>
            <w:tcBorders>
              <w:bottom w:val="nil"/>
            </w:tcBorders>
            <w:shd w:val="clear" w:color="auto" w:fill="D2232A"/>
            <w:noWrap/>
            <w:vAlign w:val="center"/>
            <w:hideMark/>
          </w:tcPr>
          <w:p w14:paraId="6BEDB1CB" w14:textId="77777777" w:rsidR="006E48E5" w:rsidRPr="00B64447" w:rsidRDefault="006E48E5" w:rsidP="00857C87">
            <w:pPr>
              <w:spacing w:after="0"/>
              <w:jc w:val="left"/>
              <w:rPr>
                <w:rFonts w:cstheme="minorHAnsi"/>
                <w:color w:val="FFFFFF" w:themeColor="background1"/>
                <w:szCs w:val="18"/>
                <w:lang w:eastAsia="hr-HR"/>
              </w:rPr>
            </w:pPr>
            <w:r w:rsidRPr="00B64447">
              <w:rPr>
                <w:rFonts w:cstheme="minorHAnsi"/>
                <w:color w:val="FFFFFF" w:themeColor="background1"/>
                <w:szCs w:val="18"/>
                <w:lang w:eastAsia="hr-HR"/>
              </w:rPr>
              <w:t>Dubrovačko-neretvanska</w:t>
            </w:r>
          </w:p>
        </w:tc>
        <w:tc>
          <w:tcPr>
            <w:tcW w:w="1134" w:type="dxa"/>
            <w:tcBorders>
              <w:bottom w:val="nil"/>
              <w:right w:val="single" w:sz="8" w:space="0" w:color="D2232A"/>
            </w:tcBorders>
            <w:shd w:val="clear" w:color="auto" w:fill="FFFFFF"/>
            <w:noWrap/>
            <w:vAlign w:val="center"/>
            <w:hideMark/>
          </w:tcPr>
          <w:p w14:paraId="18CABAC0"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10.255</w:t>
            </w:r>
          </w:p>
        </w:tc>
        <w:tc>
          <w:tcPr>
            <w:tcW w:w="1134" w:type="dxa"/>
            <w:tcBorders>
              <w:left w:val="single" w:sz="8" w:space="0" w:color="D2232A"/>
              <w:bottom w:val="nil"/>
              <w:right w:val="single" w:sz="8" w:space="0" w:color="D2232A"/>
            </w:tcBorders>
            <w:shd w:val="clear" w:color="auto" w:fill="FFFFFF"/>
            <w:noWrap/>
            <w:vAlign w:val="center"/>
            <w:hideMark/>
          </w:tcPr>
          <w:p w14:paraId="346B10EC"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9.864</w:t>
            </w:r>
          </w:p>
        </w:tc>
        <w:tc>
          <w:tcPr>
            <w:tcW w:w="1134" w:type="dxa"/>
            <w:tcBorders>
              <w:left w:val="single" w:sz="8" w:space="0" w:color="D2232A"/>
              <w:bottom w:val="nil"/>
              <w:right w:val="single" w:sz="8" w:space="0" w:color="D2232A"/>
            </w:tcBorders>
            <w:shd w:val="clear" w:color="auto" w:fill="FFFFFF"/>
            <w:noWrap/>
            <w:vAlign w:val="center"/>
            <w:hideMark/>
          </w:tcPr>
          <w:p w14:paraId="0A74F7EB"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9.825</w:t>
            </w:r>
          </w:p>
        </w:tc>
        <w:tc>
          <w:tcPr>
            <w:tcW w:w="992" w:type="dxa"/>
            <w:tcBorders>
              <w:left w:val="single" w:sz="8" w:space="0" w:color="D2232A"/>
              <w:bottom w:val="nil"/>
              <w:right w:val="single" w:sz="8" w:space="0" w:color="D2232A"/>
            </w:tcBorders>
            <w:shd w:val="clear" w:color="auto" w:fill="FFFFFF"/>
            <w:noWrap/>
            <w:vAlign w:val="center"/>
            <w:hideMark/>
          </w:tcPr>
          <w:p w14:paraId="44579F1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9.995</w:t>
            </w:r>
          </w:p>
        </w:tc>
        <w:tc>
          <w:tcPr>
            <w:tcW w:w="993" w:type="dxa"/>
            <w:tcBorders>
              <w:left w:val="single" w:sz="8" w:space="0" w:color="D2232A"/>
              <w:bottom w:val="nil"/>
              <w:right w:val="single" w:sz="8" w:space="0" w:color="D2232A"/>
            </w:tcBorders>
            <w:shd w:val="clear" w:color="auto" w:fill="FFFFFF"/>
            <w:noWrap/>
            <w:vAlign w:val="center"/>
            <w:hideMark/>
          </w:tcPr>
          <w:p w14:paraId="707F9324"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10.202</w:t>
            </w:r>
          </w:p>
        </w:tc>
        <w:tc>
          <w:tcPr>
            <w:tcW w:w="992" w:type="dxa"/>
            <w:tcBorders>
              <w:left w:val="single" w:sz="8" w:space="0" w:color="D2232A"/>
              <w:bottom w:val="nil"/>
              <w:right w:val="single" w:sz="8" w:space="0" w:color="D2232A"/>
            </w:tcBorders>
            <w:shd w:val="clear" w:color="auto" w:fill="FFFFFF"/>
            <w:noWrap/>
            <w:vAlign w:val="center"/>
            <w:hideMark/>
          </w:tcPr>
          <w:p w14:paraId="693CBF17"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10.640</w:t>
            </w:r>
          </w:p>
        </w:tc>
        <w:tc>
          <w:tcPr>
            <w:tcW w:w="1134" w:type="dxa"/>
            <w:tcBorders>
              <w:left w:val="single" w:sz="8" w:space="0" w:color="D2232A"/>
              <w:bottom w:val="nil"/>
              <w:right w:val="single" w:sz="8" w:space="0" w:color="D2232A"/>
            </w:tcBorders>
            <w:shd w:val="clear" w:color="auto" w:fill="FFFFFF"/>
            <w:noWrap/>
            <w:vAlign w:val="center"/>
            <w:hideMark/>
          </w:tcPr>
          <w:p w14:paraId="5A7BCEAA" w14:textId="77777777" w:rsidR="006E48E5" w:rsidRPr="00B64447" w:rsidRDefault="006E48E5" w:rsidP="00B64447">
            <w:pPr>
              <w:spacing w:after="0"/>
              <w:jc w:val="right"/>
              <w:rPr>
                <w:rFonts w:cstheme="minorHAnsi"/>
                <w:szCs w:val="18"/>
                <w:lang w:eastAsia="hr-HR"/>
              </w:rPr>
            </w:pPr>
            <w:r w:rsidRPr="00B64447">
              <w:rPr>
                <w:rFonts w:cstheme="minorHAnsi"/>
                <w:szCs w:val="18"/>
                <w:lang w:eastAsia="hr-HR"/>
              </w:rPr>
              <w:t>11.272</w:t>
            </w:r>
          </w:p>
        </w:tc>
        <w:tc>
          <w:tcPr>
            <w:tcW w:w="1276" w:type="dxa"/>
            <w:tcBorders>
              <w:left w:val="single" w:sz="8" w:space="0" w:color="D2232A"/>
              <w:bottom w:val="nil"/>
              <w:right w:val="single" w:sz="8" w:space="0" w:color="D2232A"/>
            </w:tcBorders>
            <w:shd w:val="clear" w:color="auto" w:fill="FFFFFF"/>
            <w:vAlign w:val="center"/>
          </w:tcPr>
          <w:p w14:paraId="6E94E34D" w14:textId="46A87DE9" w:rsidR="006E48E5" w:rsidRPr="00B64447" w:rsidRDefault="00CE73DB" w:rsidP="008D0CA7">
            <w:pPr>
              <w:spacing w:after="0"/>
              <w:jc w:val="right"/>
              <w:rPr>
                <w:rFonts w:cstheme="minorHAnsi"/>
                <w:szCs w:val="18"/>
              </w:rPr>
            </w:pPr>
            <w:r w:rsidRPr="00CE73DB">
              <w:rPr>
                <w:rFonts w:cstheme="minorHAnsi"/>
                <w:szCs w:val="18"/>
              </w:rPr>
              <w:t>12.575</w:t>
            </w:r>
          </w:p>
        </w:tc>
        <w:tc>
          <w:tcPr>
            <w:tcW w:w="1417" w:type="dxa"/>
            <w:tcBorders>
              <w:left w:val="single" w:sz="8" w:space="0" w:color="D2232A"/>
              <w:bottom w:val="nil"/>
              <w:right w:val="single" w:sz="8" w:space="0" w:color="D2232A"/>
            </w:tcBorders>
            <w:shd w:val="clear" w:color="auto" w:fill="FFFFFF"/>
            <w:vAlign w:val="center"/>
          </w:tcPr>
          <w:p w14:paraId="5076EDA3" w14:textId="75D1C4FB" w:rsidR="006E48E5" w:rsidRPr="00B64447" w:rsidRDefault="00CE73DB" w:rsidP="008D0CA7">
            <w:pPr>
              <w:spacing w:after="0"/>
              <w:jc w:val="right"/>
              <w:rPr>
                <w:rFonts w:cstheme="minorHAnsi"/>
                <w:szCs w:val="18"/>
              </w:rPr>
            </w:pPr>
            <w:r w:rsidRPr="00CE73DB">
              <w:rPr>
                <w:rFonts w:cstheme="minorHAnsi"/>
                <w:szCs w:val="18"/>
              </w:rPr>
              <w:t>13.277</w:t>
            </w:r>
          </w:p>
        </w:tc>
        <w:tc>
          <w:tcPr>
            <w:tcW w:w="1134" w:type="dxa"/>
            <w:tcBorders>
              <w:left w:val="single" w:sz="8" w:space="0" w:color="D2232A"/>
              <w:bottom w:val="nil"/>
              <w:right w:val="single" w:sz="8" w:space="0" w:color="D2232A"/>
            </w:tcBorders>
            <w:shd w:val="clear" w:color="auto" w:fill="FFFFFF"/>
            <w:vAlign w:val="center"/>
            <w:hideMark/>
          </w:tcPr>
          <w:p w14:paraId="5AB42C85" w14:textId="3085381E" w:rsidR="006E48E5" w:rsidRPr="00B64447" w:rsidRDefault="006E48E5" w:rsidP="00B64447">
            <w:pPr>
              <w:spacing w:after="0"/>
              <w:jc w:val="right"/>
              <w:rPr>
                <w:rFonts w:cstheme="minorHAnsi"/>
                <w:szCs w:val="18"/>
              </w:rPr>
            </w:pPr>
            <w:r w:rsidRPr="00B64447">
              <w:rPr>
                <w:rFonts w:cstheme="minorHAnsi"/>
                <w:szCs w:val="18"/>
              </w:rPr>
              <w:t>1</w:t>
            </w:r>
            <w:r w:rsidR="00CE73DB">
              <w:rPr>
                <w:rFonts w:cstheme="minorHAnsi"/>
                <w:szCs w:val="18"/>
              </w:rPr>
              <w:t>2</w:t>
            </w:r>
            <w:r w:rsidRPr="00B64447">
              <w:rPr>
                <w:rFonts w:cstheme="minorHAnsi"/>
                <w:szCs w:val="18"/>
              </w:rPr>
              <w:t>9,</w:t>
            </w:r>
            <w:r w:rsidR="00CE73DB">
              <w:rPr>
                <w:rFonts w:cstheme="minorHAnsi"/>
                <w:szCs w:val="18"/>
              </w:rPr>
              <w:t>47</w:t>
            </w:r>
          </w:p>
        </w:tc>
        <w:tc>
          <w:tcPr>
            <w:tcW w:w="1276" w:type="dxa"/>
            <w:tcBorders>
              <w:left w:val="single" w:sz="8" w:space="0" w:color="D2232A"/>
              <w:bottom w:val="nil"/>
              <w:right w:val="single" w:sz="8" w:space="0" w:color="D2232A"/>
            </w:tcBorders>
            <w:shd w:val="clear" w:color="auto" w:fill="FFFFFF"/>
            <w:vAlign w:val="center"/>
            <w:hideMark/>
          </w:tcPr>
          <w:p w14:paraId="4D1CBF36" w14:textId="487C69E4" w:rsidR="006E48E5" w:rsidRPr="00B64447" w:rsidRDefault="006E48E5" w:rsidP="00B64447">
            <w:pPr>
              <w:spacing w:after="0"/>
              <w:jc w:val="right"/>
              <w:rPr>
                <w:rFonts w:cstheme="minorHAnsi"/>
                <w:szCs w:val="18"/>
              </w:rPr>
            </w:pPr>
            <w:r w:rsidRPr="00B64447">
              <w:rPr>
                <w:rFonts w:cstheme="minorHAnsi"/>
                <w:szCs w:val="18"/>
              </w:rPr>
              <w:t>10</w:t>
            </w:r>
            <w:r w:rsidR="00CE73DB">
              <w:rPr>
                <w:rFonts w:cstheme="minorHAnsi"/>
                <w:szCs w:val="18"/>
              </w:rPr>
              <w:t>8</w:t>
            </w:r>
            <w:r w:rsidRPr="00B64447">
              <w:rPr>
                <w:rFonts w:cstheme="minorHAnsi"/>
                <w:szCs w:val="18"/>
              </w:rPr>
              <w:t>,</w:t>
            </w:r>
            <w:r w:rsidR="00CE73DB">
              <w:rPr>
                <w:rFonts w:cstheme="minorHAnsi"/>
                <w:szCs w:val="18"/>
              </w:rPr>
              <w:t>20</w:t>
            </w:r>
          </w:p>
        </w:tc>
      </w:tr>
    </w:tbl>
    <w:p w14:paraId="45F9C26B" w14:textId="1EC1ED5D" w:rsidR="001D649A" w:rsidRDefault="008878A0" w:rsidP="009E69A4">
      <w:pPr>
        <w:autoSpaceDE w:val="0"/>
        <w:autoSpaceDN w:val="0"/>
        <w:adjustRightInd w:val="0"/>
        <w:spacing w:after="0" w:line="240" w:lineRule="auto"/>
        <w:rPr>
          <w:rFonts w:eastAsia="ArialNarrow" w:cstheme="minorHAnsi"/>
          <w:i/>
          <w:color w:val="ABABAB" w:themeColor="text1" w:themeTint="A6"/>
          <w:szCs w:val="18"/>
        </w:rPr>
      </w:pPr>
      <w:r w:rsidRPr="009E69A4">
        <w:rPr>
          <w:rFonts w:eastAsia="ArialNarrow" w:cstheme="minorHAnsi"/>
          <w:i/>
          <w:color w:val="ABABAB" w:themeColor="text1" w:themeTint="A6"/>
          <w:sz w:val="16"/>
          <w:szCs w:val="16"/>
        </w:rPr>
        <w:t xml:space="preserve">Izvor: DZS, </w:t>
      </w:r>
      <w:r w:rsidR="00565643" w:rsidRPr="009E69A4">
        <w:rPr>
          <w:rFonts w:eastAsia="ArialNarrow" w:cstheme="minorHAnsi"/>
          <w:i/>
          <w:color w:val="ABABAB" w:themeColor="text1" w:themeTint="A6"/>
          <w:sz w:val="16"/>
          <w:szCs w:val="16"/>
        </w:rPr>
        <w:t>B</w:t>
      </w:r>
      <w:r w:rsidR="00713011" w:rsidRPr="009E69A4">
        <w:rPr>
          <w:rFonts w:eastAsia="ArialNarrow" w:cstheme="minorHAnsi"/>
          <w:i/>
          <w:color w:val="ABABAB" w:themeColor="text1" w:themeTint="A6"/>
          <w:sz w:val="16"/>
          <w:szCs w:val="16"/>
        </w:rPr>
        <w:t xml:space="preserve">ruto domaći proizvod za </w:t>
      </w:r>
      <w:r w:rsidR="00C032C9" w:rsidRPr="009E69A4">
        <w:rPr>
          <w:rFonts w:eastAsia="ArialNarrow" w:cstheme="minorHAnsi"/>
          <w:i/>
          <w:color w:val="ABABAB" w:themeColor="text1" w:themeTint="A6"/>
          <w:sz w:val="16"/>
          <w:szCs w:val="16"/>
        </w:rPr>
        <w:t>R</w:t>
      </w:r>
      <w:r w:rsidR="00713011" w:rsidRPr="009E69A4">
        <w:rPr>
          <w:rFonts w:eastAsia="ArialNarrow" w:cstheme="minorHAnsi"/>
          <w:i/>
          <w:color w:val="ABABAB" w:themeColor="text1" w:themeTint="A6"/>
          <w:sz w:val="16"/>
          <w:szCs w:val="16"/>
        </w:rPr>
        <w:t xml:space="preserve">epubliku </w:t>
      </w:r>
      <w:r w:rsidR="00C032C9" w:rsidRPr="009E69A4">
        <w:rPr>
          <w:rFonts w:eastAsia="ArialNarrow" w:cstheme="minorHAnsi"/>
          <w:i/>
          <w:color w:val="ABABAB" w:themeColor="text1" w:themeTint="A6"/>
          <w:sz w:val="16"/>
          <w:szCs w:val="16"/>
        </w:rPr>
        <w:t>H</w:t>
      </w:r>
      <w:r w:rsidR="00713011" w:rsidRPr="009E69A4">
        <w:rPr>
          <w:rFonts w:eastAsia="ArialNarrow" w:cstheme="minorHAnsi"/>
          <w:i/>
          <w:color w:val="ABABAB" w:themeColor="text1" w:themeTint="A6"/>
          <w:sz w:val="16"/>
          <w:szCs w:val="16"/>
        </w:rPr>
        <w:t xml:space="preserve">rvatsku </w:t>
      </w:r>
      <w:r w:rsidRPr="009E69A4">
        <w:rPr>
          <w:rFonts w:eastAsia="ArialNarrow" w:cstheme="minorHAnsi"/>
          <w:i/>
          <w:color w:val="ABABAB" w:themeColor="text1" w:themeTint="A6"/>
          <w:sz w:val="16"/>
          <w:szCs w:val="16"/>
        </w:rPr>
        <w:t xml:space="preserve">NKPJS-u 2012. − 2. </w:t>
      </w:r>
      <w:r w:rsidR="00713011" w:rsidRPr="009E69A4">
        <w:rPr>
          <w:rFonts w:eastAsia="ArialNarrow" w:cstheme="minorHAnsi"/>
          <w:i/>
          <w:color w:val="ABABAB" w:themeColor="text1" w:themeTint="A6"/>
          <w:sz w:val="16"/>
          <w:szCs w:val="16"/>
        </w:rPr>
        <w:t>razina i županije</w:t>
      </w:r>
      <w:r w:rsidRPr="009E69A4">
        <w:rPr>
          <w:rFonts w:eastAsia="ArialNarrow" w:cstheme="minorHAnsi"/>
          <w:i/>
          <w:color w:val="ABABAB" w:themeColor="text1" w:themeTint="A6"/>
          <w:sz w:val="16"/>
          <w:szCs w:val="16"/>
        </w:rPr>
        <w:t>, 20</w:t>
      </w:r>
      <w:r w:rsidR="00565643" w:rsidRPr="009E69A4">
        <w:rPr>
          <w:rFonts w:eastAsia="ArialNarrow" w:cstheme="minorHAnsi"/>
          <w:i/>
          <w:color w:val="ABABAB" w:themeColor="text1" w:themeTint="A6"/>
          <w:sz w:val="16"/>
          <w:szCs w:val="16"/>
        </w:rPr>
        <w:t>21</w:t>
      </w:r>
    </w:p>
    <w:p w14:paraId="768F7883" w14:textId="77777777" w:rsidR="008C49E7" w:rsidRDefault="008C49E7" w:rsidP="00D716F4">
      <w:pPr>
        <w:rPr>
          <w:rFonts w:eastAsia="ArialNarrow" w:cstheme="minorHAnsi"/>
          <w:i/>
          <w:color w:val="ABABAB" w:themeColor="text1" w:themeTint="A6"/>
          <w:szCs w:val="18"/>
        </w:rPr>
      </w:pPr>
    </w:p>
    <w:p w14:paraId="6D84F720" w14:textId="77777777" w:rsidR="008C49E7" w:rsidRDefault="008C49E7" w:rsidP="00D716F4">
      <w:pPr>
        <w:rPr>
          <w:rFonts w:eastAsia="ArialNarrow" w:cstheme="minorHAnsi"/>
          <w:i/>
          <w:color w:val="ABABAB" w:themeColor="text1" w:themeTint="A6"/>
          <w:szCs w:val="18"/>
        </w:rPr>
        <w:sectPr w:rsidR="008C49E7" w:rsidSect="00BD4F6D">
          <w:pgSz w:w="16840" w:h="11900" w:orient="landscape"/>
          <w:pgMar w:top="1300" w:right="1340" w:bottom="1300" w:left="280" w:header="0" w:footer="1006" w:gutter="0"/>
          <w:cols w:space="720"/>
          <w:docGrid w:linePitch="245"/>
        </w:sectPr>
      </w:pPr>
    </w:p>
    <w:p w14:paraId="772E0A03" w14:textId="2BBEC104" w:rsidR="008878A0" w:rsidRDefault="00B601EE" w:rsidP="0052192B">
      <w:pPr>
        <w:pStyle w:val="Naslov2"/>
        <w:rPr>
          <w:sz w:val="26"/>
          <w:szCs w:val="26"/>
        </w:rPr>
      </w:pPr>
      <w:bookmarkStart w:id="136" w:name="_Toc85181324"/>
      <w:r>
        <w:rPr>
          <w:spacing w:val="1"/>
          <w:w w:val="99"/>
        </w:rPr>
        <w:lastRenderedPageBreak/>
        <w:t>10</w:t>
      </w:r>
      <w:r w:rsidR="008878A0">
        <w:rPr>
          <w:spacing w:val="1"/>
          <w:w w:val="99"/>
        </w:rPr>
        <w:t>.</w:t>
      </w:r>
      <w:r w:rsidR="00CA194F">
        <w:rPr>
          <w:spacing w:val="1"/>
          <w:w w:val="99"/>
        </w:rPr>
        <w:t>2</w:t>
      </w:r>
      <w:r w:rsidR="008878A0">
        <w:rPr>
          <w:w w:val="99"/>
        </w:rPr>
        <w:t>.</w:t>
      </w:r>
      <w:r w:rsidR="008878A0">
        <w:rPr>
          <w:spacing w:val="-25"/>
        </w:rPr>
        <w:t xml:space="preserve"> </w:t>
      </w:r>
      <w:r w:rsidR="008878A0">
        <w:rPr>
          <w:spacing w:val="1"/>
        </w:rPr>
        <w:t>P</w:t>
      </w:r>
      <w:r w:rsidR="008878A0">
        <w:t>o</w:t>
      </w:r>
      <w:r w:rsidR="008878A0">
        <w:rPr>
          <w:spacing w:val="1"/>
        </w:rPr>
        <w:t>l</w:t>
      </w:r>
      <w:r w:rsidR="008878A0">
        <w:t>ož</w:t>
      </w:r>
      <w:r w:rsidR="008878A0">
        <w:rPr>
          <w:spacing w:val="1"/>
        </w:rPr>
        <w:t>a</w:t>
      </w:r>
      <w:r w:rsidR="008878A0">
        <w:t>j</w:t>
      </w:r>
      <w:r w:rsidR="008878A0">
        <w:rPr>
          <w:spacing w:val="-2"/>
        </w:rPr>
        <w:t xml:space="preserve"> </w:t>
      </w:r>
      <w:r w:rsidR="008878A0">
        <w:t>gospodarstva</w:t>
      </w:r>
      <w:r w:rsidR="008878A0">
        <w:rPr>
          <w:spacing w:val="-6"/>
        </w:rPr>
        <w:t xml:space="preserve"> </w:t>
      </w:r>
      <w:r w:rsidR="008878A0">
        <w:t>Kr</w:t>
      </w:r>
      <w:r w:rsidR="008878A0">
        <w:rPr>
          <w:spacing w:val="-1"/>
        </w:rPr>
        <w:t>a</w:t>
      </w:r>
      <w:r w:rsidR="008878A0">
        <w:t>p</w:t>
      </w:r>
      <w:r w:rsidR="008878A0">
        <w:rPr>
          <w:spacing w:val="1"/>
        </w:rPr>
        <w:t>i</w:t>
      </w:r>
      <w:r w:rsidR="008878A0">
        <w:t>n</w:t>
      </w:r>
      <w:r w:rsidR="008878A0">
        <w:rPr>
          <w:spacing w:val="1"/>
        </w:rPr>
        <w:t>sk</w:t>
      </w:r>
      <w:r w:rsidR="008878A0">
        <w:t>o</w:t>
      </w:r>
      <w:r w:rsidR="008878A0">
        <w:rPr>
          <w:spacing w:val="-1"/>
        </w:rPr>
        <w:t>-</w:t>
      </w:r>
      <w:r w:rsidR="008878A0">
        <w:t>z</w:t>
      </w:r>
      <w:r w:rsidR="008878A0">
        <w:rPr>
          <w:spacing w:val="1"/>
        </w:rPr>
        <w:t>a</w:t>
      </w:r>
      <w:r w:rsidR="008878A0">
        <w:t>gor</w:t>
      </w:r>
      <w:r w:rsidR="008878A0">
        <w:rPr>
          <w:spacing w:val="1"/>
        </w:rPr>
        <w:t>s</w:t>
      </w:r>
      <w:r w:rsidR="008878A0">
        <w:rPr>
          <w:spacing w:val="-1"/>
        </w:rPr>
        <w:t>k</w:t>
      </w:r>
      <w:r w:rsidR="008878A0">
        <w:t>e</w:t>
      </w:r>
      <w:r w:rsidR="008878A0">
        <w:rPr>
          <w:spacing w:val="-7"/>
        </w:rPr>
        <w:t xml:space="preserve"> </w:t>
      </w:r>
      <w:r w:rsidR="008878A0">
        <w:t>žup</w:t>
      </w:r>
      <w:r w:rsidR="008878A0">
        <w:rPr>
          <w:spacing w:val="1"/>
        </w:rPr>
        <w:t>a</w:t>
      </w:r>
      <w:r w:rsidR="008878A0">
        <w:t>ni</w:t>
      </w:r>
      <w:r w:rsidR="008878A0">
        <w:rPr>
          <w:spacing w:val="-2"/>
        </w:rPr>
        <w:t>j</w:t>
      </w:r>
      <w:r w:rsidR="008878A0">
        <w:t>e</w:t>
      </w:r>
      <w:r w:rsidR="008878A0">
        <w:rPr>
          <w:spacing w:val="-5"/>
        </w:rPr>
        <w:t xml:space="preserve"> </w:t>
      </w:r>
      <w:r w:rsidR="008878A0">
        <w:t>u go</w:t>
      </w:r>
      <w:r w:rsidR="008878A0">
        <w:rPr>
          <w:spacing w:val="1"/>
        </w:rPr>
        <w:t>s</w:t>
      </w:r>
      <w:r w:rsidR="008878A0">
        <w:t>pod</w:t>
      </w:r>
      <w:r w:rsidR="008878A0">
        <w:rPr>
          <w:spacing w:val="1"/>
        </w:rPr>
        <w:t>a</w:t>
      </w:r>
      <w:r w:rsidR="008878A0">
        <w:t>r</w:t>
      </w:r>
      <w:r w:rsidR="008878A0">
        <w:rPr>
          <w:spacing w:val="1"/>
        </w:rPr>
        <w:t>s</w:t>
      </w:r>
      <w:r w:rsidR="008878A0">
        <w:rPr>
          <w:spacing w:val="-1"/>
        </w:rPr>
        <w:t>t</w:t>
      </w:r>
      <w:r w:rsidR="008878A0">
        <w:rPr>
          <w:spacing w:val="1"/>
        </w:rPr>
        <w:t>v</w:t>
      </w:r>
      <w:r w:rsidR="008878A0">
        <w:t>u</w:t>
      </w:r>
      <w:r w:rsidR="008878A0">
        <w:rPr>
          <w:spacing w:val="-4"/>
        </w:rPr>
        <w:t xml:space="preserve"> </w:t>
      </w:r>
      <w:r w:rsidR="008878A0">
        <w:t>Hr</w:t>
      </w:r>
      <w:r w:rsidR="008878A0">
        <w:rPr>
          <w:spacing w:val="-1"/>
        </w:rPr>
        <w:t>v</w:t>
      </w:r>
      <w:r w:rsidR="008878A0">
        <w:rPr>
          <w:spacing w:val="1"/>
        </w:rPr>
        <w:t>a</w:t>
      </w:r>
      <w:r w:rsidR="008878A0">
        <w:rPr>
          <w:spacing w:val="-1"/>
        </w:rPr>
        <w:t>t</w:t>
      </w:r>
      <w:r w:rsidR="008878A0">
        <w:rPr>
          <w:spacing w:val="1"/>
        </w:rPr>
        <w:t>s</w:t>
      </w:r>
      <w:r w:rsidR="008878A0">
        <w:rPr>
          <w:spacing w:val="-1"/>
        </w:rPr>
        <w:t>k</w:t>
      </w:r>
      <w:r w:rsidR="008878A0">
        <w:t>e</w:t>
      </w:r>
      <w:bookmarkEnd w:id="136"/>
    </w:p>
    <w:p w14:paraId="3C43172A" w14:textId="77777777" w:rsidR="008878A0" w:rsidRDefault="008878A0" w:rsidP="00941871">
      <w:pPr>
        <w:spacing w:before="1" w:line="280" w:lineRule="exact"/>
        <w:rPr>
          <w:rFonts w:eastAsiaTheme="minorHAnsi" w:cstheme="minorHAnsi"/>
          <w:color w:val="0070C0"/>
        </w:rPr>
      </w:pPr>
    </w:p>
    <w:p w14:paraId="74DC8CAF" w14:textId="76421032" w:rsidR="008878A0" w:rsidRDefault="008878A0" w:rsidP="07E5E1E8">
      <w:r w:rsidRPr="07E5E1E8">
        <w:rPr>
          <w:rFonts w:eastAsia="Arial"/>
        </w:rPr>
        <w:t>U RH je u 201</w:t>
      </w:r>
      <w:r w:rsidR="5FABC46B" w:rsidRPr="07E5E1E8">
        <w:rPr>
          <w:rFonts w:eastAsia="Arial"/>
        </w:rPr>
        <w:t>9</w:t>
      </w:r>
      <w:r w:rsidRPr="07E5E1E8">
        <w:rPr>
          <w:rFonts w:eastAsia="Arial"/>
        </w:rPr>
        <w:t>. godini poslovalo 13</w:t>
      </w:r>
      <w:r w:rsidR="15897209" w:rsidRPr="07E5E1E8">
        <w:rPr>
          <w:rFonts w:eastAsia="Arial"/>
        </w:rPr>
        <w:t>6</w:t>
      </w:r>
      <w:r w:rsidRPr="07E5E1E8">
        <w:rPr>
          <w:rFonts w:eastAsia="Arial"/>
        </w:rPr>
        <w:t>.</w:t>
      </w:r>
      <w:r w:rsidR="53A40B1A" w:rsidRPr="07E5E1E8">
        <w:rPr>
          <w:rFonts w:eastAsia="Arial"/>
        </w:rPr>
        <w:t>260</w:t>
      </w:r>
      <w:r w:rsidRPr="07E5E1E8">
        <w:rPr>
          <w:rFonts w:eastAsia="Arial"/>
        </w:rPr>
        <w:t xml:space="preserve"> poduzetnika,</w:t>
      </w:r>
      <w:r w:rsidRPr="07E5E1E8">
        <w:t xml:space="preserve"> </w:t>
      </w:r>
      <w:r w:rsidRPr="07E5E1E8">
        <w:rPr>
          <w:rFonts w:eastAsia="Arial"/>
        </w:rPr>
        <w:t>obveznika</w:t>
      </w:r>
      <w:r w:rsidRPr="07E5E1E8">
        <w:t xml:space="preserve"> </w:t>
      </w:r>
      <w:r w:rsidRPr="07E5E1E8">
        <w:rPr>
          <w:rFonts w:eastAsia="Arial"/>
        </w:rPr>
        <w:t>poreza</w:t>
      </w:r>
      <w:r w:rsidRPr="07E5E1E8">
        <w:t xml:space="preserve"> </w:t>
      </w:r>
      <w:r w:rsidRPr="07E5E1E8">
        <w:rPr>
          <w:rFonts w:eastAsia="Arial"/>
        </w:rPr>
        <w:t>na</w:t>
      </w:r>
      <w:r w:rsidRPr="07E5E1E8">
        <w:t xml:space="preserve"> </w:t>
      </w:r>
      <w:r w:rsidRPr="07E5E1E8">
        <w:rPr>
          <w:rFonts w:eastAsia="Arial"/>
        </w:rPr>
        <w:t>dobit</w:t>
      </w:r>
      <w:r w:rsidRPr="07E5E1E8">
        <w:t xml:space="preserve"> </w:t>
      </w:r>
      <w:r w:rsidRPr="07E5E1E8">
        <w:rPr>
          <w:rFonts w:eastAsia="Arial"/>
        </w:rPr>
        <w:t>(bez</w:t>
      </w:r>
      <w:r w:rsidRPr="07E5E1E8">
        <w:t xml:space="preserve"> </w:t>
      </w:r>
      <w:r w:rsidRPr="07E5E1E8">
        <w:rPr>
          <w:rFonts w:eastAsia="Arial"/>
        </w:rPr>
        <w:t>banaka,</w:t>
      </w:r>
      <w:r w:rsidRPr="07E5E1E8">
        <w:t xml:space="preserve"> </w:t>
      </w:r>
      <w:r w:rsidRPr="07E5E1E8">
        <w:rPr>
          <w:rFonts w:eastAsia="Arial"/>
        </w:rPr>
        <w:t>osiguravajućih</w:t>
      </w:r>
      <w:r w:rsidRPr="07E5E1E8">
        <w:t xml:space="preserve"> </w:t>
      </w:r>
      <w:r w:rsidRPr="07E5E1E8">
        <w:rPr>
          <w:rFonts w:eastAsia="Arial"/>
        </w:rPr>
        <w:t>društava</w:t>
      </w:r>
      <w:r w:rsidRPr="07E5E1E8">
        <w:t xml:space="preserve"> </w:t>
      </w:r>
      <w:r w:rsidRPr="07E5E1E8">
        <w:rPr>
          <w:rFonts w:eastAsia="Arial"/>
        </w:rPr>
        <w:t>i</w:t>
      </w:r>
      <w:r w:rsidRPr="07E5E1E8">
        <w:t xml:space="preserve"> </w:t>
      </w:r>
      <w:r w:rsidRPr="07E5E1E8">
        <w:rPr>
          <w:rFonts w:eastAsia="Arial"/>
        </w:rPr>
        <w:t>drugih</w:t>
      </w:r>
      <w:r w:rsidRPr="07E5E1E8">
        <w:t xml:space="preserve"> </w:t>
      </w:r>
      <w:r w:rsidRPr="07E5E1E8">
        <w:rPr>
          <w:rFonts w:eastAsia="Arial"/>
        </w:rPr>
        <w:t>financijskih</w:t>
      </w:r>
      <w:r w:rsidRPr="07E5E1E8">
        <w:t xml:space="preserve"> </w:t>
      </w:r>
      <w:r w:rsidRPr="07E5E1E8">
        <w:rPr>
          <w:rFonts w:eastAsia="Arial"/>
        </w:rPr>
        <w:t>institucija) koji su zapošljavali 9</w:t>
      </w:r>
      <w:r w:rsidR="3CC5032B" w:rsidRPr="07E5E1E8">
        <w:rPr>
          <w:rFonts w:eastAsia="Arial"/>
        </w:rPr>
        <w:t>6</w:t>
      </w:r>
      <w:r w:rsidRPr="07E5E1E8">
        <w:rPr>
          <w:rFonts w:eastAsia="Arial"/>
        </w:rPr>
        <w:t>9.</w:t>
      </w:r>
      <w:r w:rsidR="70541E1F" w:rsidRPr="07E5E1E8">
        <w:rPr>
          <w:rFonts w:eastAsia="Arial"/>
        </w:rPr>
        <w:t>776</w:t>
      </w:r>
      <w:r w:rsidRPr="07E5E1E8">
        <w:t xml:space="preserve"> </w:t>
      </w:r>
      <w:r w:rsidRPr="07E5E1E8">
        <w:rPr>
          <w:rFonts w:eastAsia="Arial"/>
        </w:rPr>
        <w:t>zaposlenih</w:t>
      </w:r>
      <w:r w:rsidRPr="07E5E1E8">
        <w:t xml:space="preserve"> </w:t>
      </w:r>
      <w:r w:rsidRPr="07E5E1E8">
        <w:rPr>
          <w:rFonts w:eastAsia="Arial"/>
        </w:rPr>
        <w:t>(prema</w:t>
      </w:r>
      <w:r w:rsidRPr="07E5E1E8">
        <w:t xml:space="preserve"> </w:t>
      </w:r>
      <w:r w:rsidRPr="07E5E1E8">
        <w:rPr>
          <w:rFonts w:eastAsia="Arial"/>
        </w:rPr>
        <w:t>satima</w:t>
      </w:r>
      <w:r w:rsidRPr="07E5E1E8">
        <w:t xml:space="preserve"> </w:t>
      </w:r>
      <w:r w:rsidRPr="07E5E1E8">
        <w:rPr>
          <w:rFonts w:eastAsia="Arial"/>
        </w:rPr>
        <w:t>rada)</w:t>
      </w:r>
      <w:r w:rsidRPr="07E5E1E8">
        <w:t xml:space="preserve"> </w:t>
      </w:r>
      <w:r w:rsidRPr="07E5E1E8">
        <w:rPr>
          <w:rFonts w:eastAsia="Arial"/>
        </w:rPr>
        <w:t>što</w:t>
      </w:r>
      <w:r w:rsidRPr="07E5E1E8">
        <w:t xml:space="preserve"> </w:t>
      </w:r>
      <w:r w:rsidRPr="07E5E1E8">
        <w:rPr>
          <w:rFonts w:eastAsia="Arial"/>
        </w:rPr>
        <w:t xml:space="preserve">je </w:t>
      </w:r>
      <w:r w:rsidR="3F826926" w:rsidRPr="07E5E1E8">
        <w:rPr>
          <w:rFonts w:eastAsia="Arial"/>
        </w:rPr>
        <w:t>58.040</w:t>
      </w:r>
      <w:r w:rsidRPr="07E5E1E8">
        <w:t xml:space="preserve"> </w:t>
      </w:r>
      <w:r w:rsidRPr="07E5E1E8">
        <w:rPr>
          <w:rFonts w:eastAsia="Arial"/>
        </w:rPr>
        <w:t>zaposlenih</w:t>
      </w:r>
      <w:r w:rsidRPr="07E5E1E8">
        <w:t xml:space="preserve"> </w:t>
      </w:r>
      <w:r w:rsidRPr="07E5E1E8">
        <w:rPr>
          <w:rFonts w:eastAsia="Arial"/>
        </w:rPr>
        <w:t>(</w:t>
      </w:r>
      <w:r w:rsidR="146AA653" w:rsidRPr="07E5E1E8">
        <w:rPr>
          <w:rFonts w:eastAsia="Arial"/>
        </w:rPr>
        <w:t>6</w:t>
      </w:r>
      <w:r w:rsidRPr="07E5E1E8">
        <w:rPr>
          <w:rFonts w:eastAsia="Arial"/>
        </w:rPr>
        <w:t>,</w:t>
      </w:r>
      <w:r w:rsidR="0EE2B0B0" w:rsidRPr="07E5E1E8">
        <w:rPr>
          <w:rFonts w:eastAsia="Arial"/>
        </w:rPr>
        <w:t>4</w:t>
      </w:r>
      <w:r w:rsidRPr="07E5E1E8">
        <w:rPr>
          <w:rFonts w:eastAsia="Arial"/>
        </w:rPr>
        <w:t>%)</w:t>
      </w:r>
      <w:r w:rsidRPr="07E5E1E8">
        <w:t xml:space="preserve"> </w:t>
      </w:r>
      <w:r w:rsidRPr="07E5E1E8">
        <w:rPr>
          <w:rFonts w:eastAsia="Arial"/>
        </w:rPr>
        <w:t>više</w:t>
      </w:r>
      <w:r w:rsidRPr="07E5E1E8">
        <w:t xml:space="preserve"> </w:t>
      </w:r>
      <w:r w:rsidRPr="07E5E1E8">
        <w:rPr>
          <w:rFonts w:eastAsia="Arial"/>
        </w:rPr>
        <w:t>u</w:t>
      </w:r>
      <w:r w:rsidRPr="07E5E1E8">
        <w:t xml:space="preserve"> </w:t>
      </w:r>
      <w:r w:rsidRPr="07E5E1E8">
        <w:rPr>
          <w:rFonts w:eastAsia="Arial"/>
        </w:rPr>
        <w:t>odnosu</w:t>
      </w:r>
      <w:r w:rsidRPr="07E5E1E8">
        <w:t xml:space="preserve"> na prethodnu godinu.</w:t>
      </w:r>
    </w:p>
    <w:p w14:paraId="4C0DFB07" w14:textId="33DC4B6A" w:rsidR="008878A0" w:rsidRDefault="008878A0" w:rsidP="07E5E1E8">
      <w:pPr>
        <w:rPr>
          <w:rFonts w:eastAsia="Arial"/>
        </w:rPr>
      </w:pPr>
      <w:r w:rsidRPr="07E5E1E8">
        <w:rPr>
          <w:rFonts w:eastAsia="Arial"/>
        </w:rPr>
        <w:t>U</w:t>
      </w:r>
      <w:r w:rsidRPr="07E5E1E8">
        <w:t xml:space="preserve"> </w:t>
      </w:r>
      <w:r w:rsidRPr="07E5E1E8">
        <w:rPr>
          <w:rFonts w:eastAsia="Arial"/>
        </w:rPr>
        <w:t>Krapinsko-zagorskoj</w:t>
      </w:r>
      <w:r w:rsidRPr="07E5E1E8">
        <w:t xml:space="preserve"> </w:t>
      </w:r>
      <w:r w:rsidRPr="07E5E1E8">
        <w:rPr>
          <w:rFonts w:eastAsia="Arial"/>
        </w:rPr>
        <w:t>županiji</w:t>
      </w:r>
      <w:r w:rsidRPr="07E5E1E8">
        <w:t xml:space="preserve"> </w:t>
      </w:r>
      <w:r w:rsidRPr="07E5E1E8">
        <w:rPr>
          <w:rFonts w:eastAsia="Arial"/>
        </w:rPr>
        <w:t>u</w:t>
      </w:r>
      <w:r w:rsidRPr="07E5E1E8">
        <w:t xml:space="preserve"> </w:t>
      </w:r>
      <w:r w:rsidRPr="07E5E1E8">
        <w:rPr>
          <w:rFonts w:eastAsia="Arial"/>
        </w:rPr>
        <w:t>201</w:t>
      </w:r>
      <w:r w:rsidR="027A38AA" w:rsidRPr="07E5E1E8">
        <w:rPr>
          <w:rFonts w:eastAsia="Arial"/>
        </w:rPr>
        <w:t>9</w:t>
      </w:r>
      <w:r w:rsidRPr="07E5E1E8">
        <w:rPr>
          <w:rFonts w:eastAsia="Arial"/>
        </w:rPr>
        <w:t>.</w:t>
      </w:r>
      <w:r w:rsidRPr="07E5E1E8">
        <w:t xml:space="preserve"> </w:t>
      </w:r>
      <w:r w:rsidRPr="07E5E1E8">
        <w:rPr>
          <w:rFonts w:eastAsia="Arial"/>
        </w:rPr>
        <w:t>godini,</w:t>
      </w:r>
      <w:r w:rsidRPr="07E5E1E8">
        <w:t xml:space="preserve"> </w:t>
      </w:r>
      <w:r w:rsidRPr="07E5E1E8">
        <w:rPr>
          <w:rFonts w:eastAsia="Arial"/>
        </w:rPr>
        <w:t>poslovalo</w:t>
      </w:r>
      <w:r w:rsidRPr="07E5E1E8">
        <w:t xml:space="preserve"> </w:t>
      </w:r>
      <w:r w:rsidRPr="07E5E1E8">
        <w:rPr>
          <w:rFonts w:eastAsia="Arial"/>
        </w:rPr>
        <w:t>je</w:t>
      </w:r>
      <w:r w:rsidRPr="07E5E1E8">
        <w:t xml:space="preserve"> </w:t>
      </w:r>
      <w:r w:rsidRPr="07E5E1E8">
        <w:rPr>
          <w:rFonts w:eastAsia="Arial"/>
        </w:rPr>
        <w:t>2.</w:t>
      </w:r>
      <w:r w:rsidR="7C5CE328" w:rsidRPr="07E5E1E8">
        <w:rPr>
          <w:rFonts w:eastAsia="Arial"/>
        </w:rPr>
        <w:t>344</w:t>
      </w:r>
      <w:r w:rsidRPr="07E5E1E8">
        <w:t xml:space="preserve"> </w:t>
      </w:r>
      <w:r w:rsidRPr="07E5E1E8">
        <w:rPr>
          <w:rFonts w:eastAsia="Arial"/>
        </w:rPr>
        <w:t>poduzetnika</w:t>
      </w:r>
      <w:r w:rsidRPr="07E5E1E8">
        <w:t xml:space="preserve"> koji su zapošljavali </w:t>
      </w:r>
      <w:r w:rsidRPr="07E5E1E8">
        <w:rPr>
          <w:rFonts w:eastAsia="Arial"/>
        </w:rPr>
        <w:t>21.</w:t>
      </w:r>
      <w:r w:rsidR="4246E9C6" w:rsidRPr="07E5E1E8">
        <w:rPr>
          <w:rFonts w:eastAsia="Arial"/>
        </w:rPr>
        <w:t>742</w:t>
      </w:r>
      <w:r w:rsidRPr="07E5E1E8">
        <w:t xml:space="preserve"> </w:t>
      </w:r>
      <w:r w:rsidRPr="07E5E1E8">
        <w:rPr>
          <w:rFonts w:eastAsia="Arial"/>
        </w:rPr>
        <w:t>radnika,</w:t>
      </w:r>
      <w:r w:rsidRPr="07E5E1E8">
        <w:t xml:space="preserve"> </w:t>
      </w:r>
      <w:r w:rsidRPr="07E5E1E8">
        <w:rPr>
          <w:rFonts w:eastAsia="Arial"/>
        </w:rPr>
        <w:t>što</w:t>
      </w:r>
      <w:r w:rsidRPr="07E5E1E8">
        <w:t xml:space="preserve"> </w:t>
      </w:r>
      <w:r w:rsidRPr="07E5E1E8">
        <w:rPr>
          <w:rFonts w:eastAsia="Arial"/>
        </w:rPr>
        <w:t>je</w:t>
      </w:r>
      <w:r w:rsidRPr="07E5E1E8">
        <w:t xml:space="preserve"> </w:t>
      </w:r>
      <w:r w:rsidRPr="07E5E1E8">
        <w:rPr>
          <w:rFonts w:eastAsia="Arial"/>
        </w:rPr>
        <w:t>u</w:t>
      </w:r>
      <w:r w:rsidRPr="07E5E1E8">
        <w:t xml:space="preserve"> </w:t>
      </w:r>
      <w:r w:rsidRPr="07E5E1E8">
        <w:rPr>
          <w:rFonts w:eastAsia="Arial"/>
        </w:rPr>
        <w:t>odnosu</w:t>
      </w:r>
      <w:r w:rsidRPr="07E5E1E8">
        <w:t xml:space="preserve"> </w:t>
      </w:r>
      <w:r w:rsidRPr="07E5E1E8">
        <w:rPr>
          <w:rFonts w:eastAsia="Arial"/>
        </w:rPr>
        <w:t>na</w:t>
      </w:r>
      <w:r w:rsidRPr="07E5E1E8">
        <w:t xml:space="preserve"> </w:t>
      </w:r>
      <w:r w:rsidRPr="07E5E1E8">
        <w:rPr>
          <w:rFonts w:eastAsia="Arial"/>
        </w:rPr>
        <w:t>prethodnu</w:t>
      </w:r>
      <w:r w:rsidRPr="07E5E1E8">
        <w:t xml:space="preserve"> </w:t>
      </w:r>
      <w:r w:rsidRPr="07E5E1E8">
        <w:rPr>
          <w:rFonts w:eastAsia="Arial"/>
        </w:rPr>
        <w:t>godinu</w:t>
      </w:r>
      <w:r w:rsidRPr="07E5E1E8">
        <w:t xml:space="preserve"> </w:t>
      </w:r>
      <w:r w:rsidRPr="07E5E1E8">
        <w:rPr>
          <w:rFonts w:eastAsia="Arial"/>
        </w:rPr>
        <w:t>povećanje</w:t>
      </w:r>
      <w:r w:rsidRPr="07E5E1E8">
        <w:t xml:space="preserve"> </w:t>
      </w:r>
      <w:r w:rsidR="008A386A" w:rsidRPr="07E5E1E8">
        <w:rPr>
          <w:rFonts w:eastAsia="Arial"/>
        </w:rPr>
        <w:t>od</w:t>
      </w:r>
      <w:r w:rsidRPr="07E5E1E8">
        <w:t xml:space="preserve"> </w:t>
      </w:r>
      <w:r w:rsidR="38716EA3" w:rsidRPr="07E5E1E8">
        <w:t>5,2</w:t>
      </w:r>
      <w:r w:rsidRPr="07E5E1E8">
        <w:rPr>
          <w:rFonts w:eastAsia="Arial"/>
        </w:rPr>
        <w:t>%. Poduzetnici Krap</w:t>
      </w:r>
      <w:r w:rsidR="008A386A" w:rsidRPr="07E5E1E8">
        <w:rPr>
          <w:rFonts w:eastAsia="Arial"/>
        </w:rPr>
        <w:t>insko-zagorske županije (</w:t>
      </w:r>
      <w:r w:rsidRPr="07E5E1E8">
        <w:rPr>
          <w:rFonts w:eastAsia="Arial"/>
        </w:rPr>
        <w:t>2.</w:t>
      </w:r>
      <w:r w:rsidR="2649E947" w:rsidRPr="07E5E1E8">
        <w:rPr>
          <w:rFonts w:eastAsia="Arial"/>
        </w:rPr>
        <w:t>344</w:t>
      </w:r>
      <w:r w:rsidR="008A386A" w:rsidRPr="07E5E1E8">
        <w:rPr>
          <w:rFonts w:eastAsia="Arial"/>
        </w:rPr>
        <w:t>)</w:t>
      </w:r>
      <w:r w:rsidRPr="07E5E1E8">
        <w:rPr>
          <w:rFonts w:eastAsia="Arial"/>
        </w:rPr>
        <w:t xml:space="preserve"> čine 1,7% ukupnih poduzetnika u RH, dok zaposleni kod poduzetnika Krapinsko- zagorske županije čine 2,2% zaposlenih kod poduzetnika u RH. </w:t>
      </w:r>
    </w:p>
    <w:p w14:paraId="254602B1" w14:textId="77777777" w:rsidR="00B63DAF" w:rsidRDefault="00B63DAF" w:rsidP="07E5E1E8"/>
    <w:p w14:paraId="4D44A5E5" w14:textId="7E2248FF" w:rsidR="00224C20" w:rsidRPr="00224C20" w:rsidRDefault="008878A0" w:rsidP="003E3F3C">
      <w:pPr>
        <w:pStyle w:val="Opisslike"/>
      </w:pPr>
      <w:r>
        <w:t xml:space="preserve">Tablica </w:t>
      </w:r>
      <w:r w:rsidR="009E69A4">
        <w:rPr>
          <w:noProof/>
        </w:rPr>
        <w:t>7</w:t>
      </w:r>
      <w:r w:rsidR="000D5E3F">
        <w:rPr>
          <w:noProof/>
        </w:rPr>
        <w:t>4</w:t>
      </w:r>
      <w:r w:rsidR="00FD7F29" w:rsidRPr="07E5E1E8">
        <w:rPr>
          <w:noProof/>
        </w:rPr>
        <w:t>.</w:t>
      </w:r>
      <w:r>
        <w:t xml:space="preserve"> Financijski rezultati poslovanja poduzetnika Hrvatske i KZŽ u 201</w:t>
      </w:r>
      <w:r w:rsidR="1FF4E2CF">
        <w:t>8</w:t>
      </w:r>
      <w:r>
        <w:t>. i 201</w:t>
      </w:r>
      <w:r w:rsidR="3D680877">
        <w:t>9</w:t>
      </w:r>
      <w:r>
        <w:t>. godini (iznosi u tisućama kuna)</w:t>
      </w:r>
    </w:p>
    <w:tbl>
      <w:tblPr>
        <w:tblW w:w="9304" w:type="dxa"/>
        <w:tblLayout w:type="fixed"/>
        <w:tblLook w:val="01E0" w:firstRow="1" w:lastRow="1" w:firstColumn="1" w:lastColumn="1" w:noHBand="0" w:noVBand="0"/>
      </w:tblPr>
      <w:tblGrid>
        <w:gridCol w:w="1805"/>
        <w:gridCol w:w="1250"/>
        <w:gridCol w:w="1250"/>
        <w:gridCol w:w="833"/>
        <w:gridCol w:w="1241"/>
        <w:gridCol w:w="1276"/>
        <w:gridCol w:w="816"/>
        <w:gridCol w:w="833"/>
      </w:tblGrid>
      <w:tr w:rsidR="07E5E1E8" w14:paraId="4B257367" w14:textId="77777777" w:rsidTr="00B72508">
        <w:trPr>
          <w:trHeight w:val="1066"/>
        </w:trPr>
        <w:tc>
          <w:tcPr>
            <w:tcW w:w="1805" w:type="dxa"/>
            <w:vMerge w:val="restart"/>
            <w:tcBorders>
              <w:top w:val="single" w:sz="4" w:space="0" w:color="FFFFFF" w:themeColor="background1"/>
              <w:right w:val="single" w:sz="4" w:space="0" w:color="FFFFFF" w:themeColor="background1"/>
            </w:tcBorders>
            <w:shd w:val="clear" w:color="auto" w:fill="D2232A" w:themeFill="accent1"/>
            <w:vAlign w:val="center"/>
          </w:tcPr>
          <w:p w14:paraId="34DF8771" w14:textId="033FE781" w:rsidR="07E5E1E8" w:rsidRDefault="07E5E1E8" w:rsidP="00B72508">
            <w:pPr>
              <w:jc w:val="center"/>
              <w:rPr>
                <w:rFonts w:eastAsia="Newslab" w:cs="Newslab"/>
                <w:b/>
                <w:bCs/>
                <w:color w:val="FFFFFF" w:themeColor="background1"/>
                <w:szCs w:val="18"/>
              </w:rPr>
            </w:pPr>
            <w:r w:rsidRPr="07E5E1E8">
              <w:rPr>
                <w:rFonts w:eastAsia="Newslab" w:cs="Newslab"/>
                <w:b/>
                <w:bCs/>
                <w:color w:val="FFFFFF" w:themeColor="background1"/>
                <w:szCs w:val="18"/>
              </w:rPr>
              <w:t>Opis</w:t>
            </w:r>
          </w:p>
        </w:tc>
        <w:tc>
          <w:tcPr>
            <w:tcW w:w="3333" w:type="dxa"/>
            <w:gridSpan w:val="3"/>
            <w:vMerge w:val="restart"/>
            <w:tcBorders>
              <w:top w:val="single" w:sz="4" w:space="0" w:color="FFFFFF" w:themeColor="background1"/>
              <w:left w:val="single" w:sz="4" w:space="0" w:color="FFFFFF" w:themeColor="background1"/>
              <w:bottom w:val="single" w:sz="8" w:space="0" w:color="FFFFFF" w:themeColor="background1"/>
              <w:right w:val="single" w:sz="4" w:space="0" w:color="FFFFFF" w:themeColor="background1"/>
            </w:tcBorders>
            <w:shd w:val="clear" w:color="auto" w:fill="E5E5E5" w:themeFill="text1" w:themeFillTint="33"/>
            <w:vAlign w:val="center"/>
          </w:tcPr>
          <w:p w14:paraId="3C78C218" w14:textId="3E0A0737" w:rsidR="07E5E1E8" w:rsidRDefault="07E5E1E8" w:rsidP="00B72508">
            <w:pPr>
              <w:jc w:val="center"/>
              <w:rPr>
                <w:rFonts w:eastAsia="Newslab" w:cs="Newslab"/>
                <w:szCs w:val="18"/>
              </w:rPr>
            </w:pPr>
            <w:r w:rsidRPr="07E5E1E8">
              <w:rPr>
                <w:rFonts w:eastAsia="Newslab" w:cs="Newslab"/>
                <w:b/>
                <w:bCs/>
                <w:szCs w:val="18"/>
              </w:rPr>
              <w:t>R</w:t>
            </w:r>
            <w:r w:rsidR="00786CD4">
              <w:rPr>
                <w:rFonts w:eastAsia="Newslab" w:cs="Newslab"/>
                <w:b/>
                <w:bCs/>
                <w:szCs w:val="18"/>
              </w:rPr>
              <w:t>EPUBLIKA HRVATSKA</w:t>
            </w:r>
          </w:p>
        </w:tc>
        <w:tc>
          <w:tcPr>
            <w:tcW w:w="3333" w:type="dxa"/>
            <w:gridSpan w:val="3"/>
            <w:vMerge w:val="restart"/>
            <w:tcBorders>
              <w:top w:val="single" w:sz="4" w:space="0" w:color="FFFFFF" w:themeColor="background1"/>
              <w:left w:val="single" w:sz="4"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009529DA" w14:textId="17830CF6" w:rsidR="07E5E1E8" w:rsidRDefault="00786CD4" w:rsidP="00B72508">
            <w:pPr>
              <w:jc w:val="center"/>
              <w:rPr>
                <w:rFonts w:eastAsia="Newslab" w:cs="Newslab"/>
                <w:b/>
                <w:bCs/>
                <w:color w:val="FFFFFF" w:themeColor="background1"/>
                <w:szCs w:val="18"/>
              </w:rPr>
            </w:pPr>
            <w:r>
              <w:rPr>
                <w:rFonts w:eastAsia="Newslab" w:cs="Newslab"/>
                <w:b/>
                <w:bCs/>
                <w:color w:val="FFFFFF" w:themeColor="background1"/>
                <w:szCs w:val="18"/>
              </w:rPr>
              <w:t>KRAPINSKO-ZAGORSKA ŽUPANIJA</w:t>
            </w:r>
          </w:p>
        </w:tc>
        <w:tc>
          <w:tcPr>
            <w:tcW w:w="833" w:type="dxa"/>
            <w:vMerge w:val="restart"/>
            <w:tcBorders>
              <w:top w:val="single" w:sz="4" w:space="0" w:color="FFFFFF" w:themeColor="background1"/>
              <w:left w:val="single" w:sz="8" w:space="0" w:color="FFFFFF" w:themeColor="background1"/>
              <w:bottom w:val="single" w:sz="4" w:space="0" w:color="000000"/>
              <w:right w:val="single" w:sz="4" w:space="0" w:color="FFFFFF" w:themeColor="background1"/>
            </w:tcBorders>
            <w:shd w:val="clear" w:color="auto" w:fill="E5E5E5" w:themeFill="text1" w:themeFillTint="33"/>
            <w:vAlign w:val="center"/>
          </w:tcPr>
          <w:p w14:paraId="38C0B582" w14:textId="094D2683" w:rsidR="07E5E1E8" w:rsidRDefault="07E5E1E8" w:rsidP="00B72508">
            <w:pPr>
              <w:jc w:val="center"/>
              <w:rPr>
                <w:rFonts w:eastAsia="Newslab" w:cs="Newslab"/>
                <w:szCs w:val="18"/>
              </w:rPr>
            </w:pPr>
            <w:r w:rsidRPr="07E5E1E8">
              <w:rPr>
                <w:rFonts w:eastAsia="Newslab" w:cs="Newslab"/>
                <w:szCs w:val="18"/>
              </w:rPr>
              <w:t>Udio KZŽ u RH (%)</w:t>
            </w:r>
          </w:p>
        </w:tc>
      </w:tr>
      <w:tr w:rsidR="07E5E1E8" w14:paraId="170E6415" w14:textId="77777777" w:rsidTr="00B72508">
        <w:trPr>
          <w:trHeight w:val="367"/>
        </w:trPr>
        <w:tc>
          <w:tcPr>
            <w:tcW w:w="1805" w:type="dxa"/>
            <w:vMerge/>
            <w:tcBorders>
              <w:right w:val="single" w:sz="4" w:space="0" w:color="FFFFFF" w:themeColor="background1"/>
            </w:tcBorders>
            <w:vAlign w:val="center"/>
          </w:tcPr>
          <w:p w14:paraId="6A6A0549" w14:textId="77777777" w:rsidR="0006033B" w:rsidRDefault="0006033B"/>
        </w:tc>
        <w:tc>
          <w:tcPr>
            <w:tcW w:w="3333" w:type="dxa"/>
            <w:gridSpan w:val="3"/>
            <w:vMerge/>
            <w:tcBorders>
              <w:left w:val="single" w:sz="4" w:space="0" w:color="FFFFFF" w:themeColor="background1"/>
              <w:bottom w:val="single" w:sz="0" w:space="0" w:color="FFFFFF" w:themeColor="background1"/>
              <w:right w:val="single" w:sz="4" w:space="0" w:color="FFFFFF" w:themeColor="background1"/>
            </w:tcBorders>
            <w:vAlign w:val="center"/>
          </w:tcPr>
          <w:p w14:paraId="1556A066" w14:textId="77777777" w:rsidR="0006033B" w:rsidRDefault="0006033B"/>
        </w:tc>
        <w:tc>
          <w:tcPr>
            <w:tcW w:w="3333" w:type="dxa"/>
            <w:gridSpan w:val="3"/>
            <w:vMerge/>
            <w:tcBorders>
              <w:left w:val="single" w:sz="4" w:space="0" w:color="FFFFFF" w:themeColor="background1"/>
              <w:bottom w:val="single" w:sz="0" w:space="0" w:color="FFFFFF" w:themeColor="background1"/>
              <w:right w:val="single" w:sz="0" w:space="0" w:color="FFFFFF" w:themeColor="background1"/>
            </w:tcBorders>
            <w:vAlign w:val="center"/>
          </w:tcPr>
          <w:p w14:paraId="62383ADA" w14:textId="77777777" w:rsidR="0006033B" w:rsidRDefault="0006033B"/>
        </w:tc>
        <w:tc>
          <w:tcPr>
            <w:tcW w:w="833" w:type="dxa"/>
            <w:vMerge/>
            <w:tcBorders>
              <w:left w:val="single" w:sz="0" w:space="0" w:color="FFFFFF" w:themeColor="background1"/>
              <w:right w:val="single" w:sz="4" w:space="0" w:color="FFFFFF" w:themeColor="background1"/>
            </w:tcBorders>
            <w:vAlign w:val="center"/>
          </w:tcPr>
          <w:p w14:paraId="53449C9C" w14:textId="77777777" w:rsidR="0006033B" w:rsidRDefault="0006033B"/>
        </w:tc>
      </w:tr>
      <w:tr w:rsidR="0022468D" w14:paraId="00798DB9" w14:textId="77777777" w:rsidTr="00B72508">
        <w:trPr>
          <w:trHeight w:val="135"/>
        </w:trPr>
        <w:tc>
          <w:tcPr>
            <w:tcW w:w="1805" w:type="dxa"/>
            <w:vMerge/>
            <w:tcBorders>
              <w:bottom w:val="single" w:sz="4" w:space="0" w:color="FFFFFF" w:themeColor="background1"/>
              <w:right w:val="single" w:sz="4" w:space="0" w:color="FFFFFF" w:themeColor="background1"/>
            </w:tcBorders>
            <w:vAlign w:val="center"/>
          </w:tcPr>
          <w:p w14:paraId="72004418" w14:textId="77777777" w:rsidR="0006033B" w:rsidRDefault="0006033B"/>
        </w:tc>
        <w:tc>
          <w:tcPr>
            <w:tcW w:w="1250" w:type="dxa"/>
            <w:tcBorders>
              <w:top w:val="nil"/>
              <w:left w:val="single" w:sz="4" w:space="0" w:color="FFFFFF" w:themeColor="background1"/>
              <w:bottom w:val="single" w:sz="8" w:space="0" w:color="FFFFFF" w:themeColor="background1"/>
              <w:right w:val="single" w:sz="8" w:space="0" w:color="FFFFFF" w:themeColor="background1"/>
            </w:tcBorders>
            <w:shd w:val="clear" w:color="auto" w:fill="E5E5E5" w:themeFill="text1" w:themeFillTint="33"/>
            <w:vAlign w:val="center"/>
          </w:tcPr>
          <w:p w14:paraId="19A4CC31" w14:textId="7F0EF403" w:rsidR="07E5E1E8" w:rsidRDefault="07E5E1E8" w:rsidP="0022468D">
            <w:pPr>
              <w:jc w:val="center"/>
              <w:rPr>
                <w:rFonts w:eastAsia="Newslab" w:cs="Newslab"/>
                <w:szCs w:val="18"/>
              </w:rPr>
            </w:pPr>
            <w:r w:rsidRPr="07E5E1E8">
              <w:rPr>
                <w:rFonts w:eastAsia="Newslab" w:cs="Newslab"/>
                <w:b/>
                <w:bCs/>
                <w:szCs w:val="18"/>
              </w:rPr>
              <w:t>2018.</w:t>
            </w:r>
          </w:p>
        </w:tc>
        <w:tc>
          <w:tcPr>
            <w:tcW w:w="1250" w:type="dxa"/>
            <w:tcBorders>
              <w:top w:val="nil"/>
              <w:left w:val="single" w:sz="8" w:space="0" w:color="FFFFFF" w:themeColor="background1"/>
              <w:bottom w:val="single" w:sz="8" w:space="0" w:color="FFFFFF" w:themeColor="background1"/>
              <w:right w:val="single" w:sz="8" w:space="0" w:color="FFFFFF" w:themeColor="background1"/>
            </w:tcBorders>
            <w:shd w:val="clear" w:color="auto" w:fill="E5E5E5" w:themeFill="text1" w:themeFillTint="33"/>
            <w:vAlign w:val="center"/>
          </w:tcPr>
          <w:p w14:paraId="69626864" w14:textId="0D29490D" w:rsidR="07E5E1E8" w:rsidRDefault="07E5E1E8" w:rsidP="07E5E1E8">
            <w:pPr>
              <w:jc w:val="center"/>
              <w:rPr>
                <w:rFonts w:eastAsia="Newslab" w:cs="Newslab"/>
                <w:szCs w:val="18"/>
              </w:rPr>
            </w:pPr>
            <w:r w:rsidRPr="07E5E1E8">
              <w:rPr>
                <w:rFonts w:eastAsia="Newslab" w:cs="Newslab"/>
                <w:b/>
                <w:bCs/>
                <w:szCs w:val="18"/>
              </w:rPr>
              <w:t>2019.</w:t>
            </w:r>
            <w:r w:rsidRPr="07E5E1E8">
              <w:rPr>
                <w:rFonts w:eastAsia="Newslab" w:cs="Newslab"/>
                <w:szCs w:val="18"/>
              </w:rPr>
              <w:t xml:space="preserve"> </w:t>
            </w:r>
          </w:p>
        </w:tc>
        <w:tc>
          <w:tcPr>
            <w:tcW w:w="833" w:type="dxa"/>
            <w:tcBorders>
              <w:top w:val="nil"/>
              <w:left w:val="single" w:sz="8" w:space="0" w:color="FFFFFF" w:themeColor="background1"/>
              <w:bottom w:val="single" w:sz="8" w:space="0" w:color="FFFFFF" w:themeColor="background1"/>
              <w:right w:val="single" w:sz="4" w:space="0" w:color="FFFFFF" w:themeColor="background1"/>
            </w:tcBorders>
            <w:shd w:val="clear" w:color="auto" w:fill="E5E5E5" w:themeFill="text1" w:themeFillTint="33"/>
            <w:vAlign w:val="center"/>
          </w:tcPr>
          <w:p w14:paraId="268654C7" w14:textId="4D7E3EDB" w:rsidR="07E5E1E8" w:rsidRDefault="07E5E1E8" w:rsidP="07E5E1E8">
            <w:pPr>
              <w:jc w:val="center"/>
              <w:rPr>
                <w:rFonts w:eastAsia="Newslab" w:cs="Newslab"/>
                <w:szCs w:val="18"/>
              </w:rPr>
            </w:pPr>
            <w:r w:rsidRPr="07E5E1E8">
              <w:rPr>
                <w:rFonts w:eastAsia="Newslab" w:cs="Newslab"/>
                <w:b/>
                <w:bCs/>
                <w:szCs w:val="18"/>
              </w:rPr>
              <w:t>Indeks</w:t>
            </w:r>
          </w:p>
        </w:tc>
        <w:tc>
          <w:tcPr>
            <w:tcW w:w="1241" w:type="dxa"/>
            <w:tcBorders>
              <w:top w:val="nil"/>
              <w:left w:val="single" w:sz="4"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44BCE159" w14:textId="4CE88453" w:rsidR="07E5E1E8" w:rsidRDefault="07E5E1E8" w:rsidP="07E5E1E8">
            <w:pPr>
              <w:jc w:val="center"/>
              <w:rPr>
                <w:rFonts w:eastAsia="Newslab" w:cs="Newslab"/>
                <w:color w:val="FFFFFF" w:themeColor="background1"/>
                <w:szCs w:val="18"/>
              </w:rPr>
            </w:pPr>
            <w:r w:rsidRPr="07E5E1E8">
              <w:rPr>
                <w:rFonts w:eastAsia="Newslab" w:cs="Newslab"/>
                <w:b/>
                <w:bCs/>
                <w:color w:val="FFFFFF" w:themeColor="background1"/>
                <w:szCs w:val="18"/>
              </w:rPr>
              <w:t>2018.</w:t>
            </w:r>
            <w:r w:rsidRPr="07E5E1E8">
              <w:rPr>
                <w:rFonts w:eastAsia="Newslab" w:cs="Newslab"/>
                <w:color w:val="FFFFFF" w:themeColor="background1"/>
                <w:szCs w:val="18"/>
              </w:rPr>
              <w:t xml:space="preserve"> </w:t>
            </w:r>
          </w:p>
        </w:tc>
        <w:tc>
          <w:tcPr>
            <w:tcW w:w="1276" w:type="dxa"/>
            <w:tcBorders>
              <w:top w:val="nil"/>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1B7CD74B" w14:textId="2D503FF7" w:rsidR="07E5E1E8" w:rsidRDefault="07E5E1E8" w:rsidP="07E5E1E8">
            <w:pPr>
              <w:jc w:val="center"/>
              <w:rPr>
                <w:rFonts w:eastAsia="Newslab" w:cs="Newslab"/>
                <w:color w:val="FFFFFF" w:themeColor="background1"/>
                <w:szCs w:val="18"/>
              </w:rPr>
            </w:pPr>
            <w:r w:rsidRPr="07E5E1E8">
              <w:rPr>
                <w:rFonts w:eastAsia="Newslab" w:cs="Newslab"/>
                <w:b/>
                <w:bCs/>
                <w:color w:val="FFFFFF" w:themeColor="background1"/>
                <w:szCs w:val="18"/>
              </w:rPr>
              <w:t>2019.</w:t>
            </w:r>
            <w:r w:rsidRPr="07E5E1E8">
              <w:rPr>
                <w:rFonts w:eastAsia="Newslab" w:cs="Newslab"/>
                <w:color w:val="FFFFFF" w:themeColor="background1"/>
                <w:szCs w:val="18"/>
              </w:rPr>
              <w:t xml:space="preserve"> </w:t>
            </w:r>
          </w:p>
        </w:tc>
        <w:tc>
          <w:tcPr>
            <w:tcW w:w="816" w:type="dxa"/>
            <w:tcBorders>
              <w:top w:val="nil"/>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7C612E39" w14:textId="6F6899E8" w:rsidR="07E5E1E8" w:rsidRDefault="07E5E1E8" w:rsidP="07E5E1E8">
            <w:pPr>
              <w:jc w:val="center"/>
              <w:rPr>
                <w:rFonts w:eastAsia="Newslab" w:cs="Newslab"/>
                <w:color w:val="FFFFFF" w:themeColor="background1"/>
                <w:szCs w:val="18"/>
              </w:rPr>
            </w:pPr>
            <w:r w:rsidRPr="07E5E1E8">
              <w:rPr>
                <w:rFonts w:eastAsia="Newslab" w:cs="Newslab"/>
                <w:b/>
                <w:bCs/>
                <w:color w:val="FFFFFF" w:themeColor="background1"/>
                <w:szCs w:val="18"/>
              </w:rPr>
              <w:t>Indeks</w:t>
            </w:r>
          </w:p>
        </w:tc>
        <w:tc>
          <w:tcPr>
            <w:tcW w:w="833" w:type="dxa"/>
            <w:vMerge/>
            <w:tcBorders>
              <w:left w:val="single" w:sz="0" w:space="0" w:color="FFFFFF" w:themeColor="background1"/>
              <w:bottom w:val="single" w:sz="0" w:space="0" w:color="000000"/>
              <w:right w:val="single" w:sz="4" w:space="0" w:color="FFFFFF" w:themeColor="background1"/>
            </w:tcBorders>
            <w:vAlign w:val="center"/>
          </w:tcPr>
          <w:p w14:paraId="06B88345" w14:textId="77777777" w:rsidR="0006033B" w:rsidRDefault="0006033B"/>
        </w:tc>
      </w:tr>
      <w:tr w:rsidR="07E5E1E8" w14:paraId="671E62E1" w14:textId="77777777" w:rsidTr="00B72508">
        <w:trPr>
          <w:trHeight w:val="305"/>
        </w:trPr>
        <w:tc>
          <w:tcPr>
            <w:tcW w:w="1805" w:type="dxa"/>
            <w:tcBorders>
              <w:top w:val="single" w:sz="4" w:space="0" w:color="FFFFFF" w:themeColor="background1"/>
              <w:bottom w:val="single" w:sz="8" w:space="0" w:color="F3CFC1"/>
            </w:tcBorders>
            <w:shd w:val="clear" w:color="auto" w:fill="D2232A" w:themeFill="accent1"/>
            <w:vAlign w:val="center"/>
          </w:tcPr>
          <w:p w14:paraId="046FD1BF" w14:textId="2D6BFBBF"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Broj poduzetnika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E8D0759" w14:textId="1BCEC8F5" w:rsidR="07E5E1E8" w:rsidRDefault="07E5E1E8" w:rsidP="0022468D">
            <w:pPr>
              <w:jc w:val="center"/>
              <w:rPr>
                <w:rFonts w:eastAsia="Newslab" w:cs="Newslab"/>
                <w:szCs w:val="18"/>
              </w:rPr>
            </w:pPr>
            <w:r w:rsidRPr="07E5E1E8">
              <w:rPr>
                <w:rFonts w:eastAsia="Newslab" w:cs="Newslab"/>
                <w:szCs w:val="18"/>
              </w:rPr>
              <w:t>131.117</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4BFF46F" w14:textId="49EC4EC6" w:rsidR="07E5E1E8" w:rsidRDefault="07E5E1E8" w:rsidP="0022468D">
            <w:pPr>
              <w:jc w:val="center"/>
              <w:rPr>
                <w:rFonts w:eastAsia="Newslab" w:cs="Newslab"/>
                <w:szCs w:val="18"/>
              </w:rPr>
            </w:pPr>
            <w:r w:rsidRPr="07E5E1E8">
              <w:rPr>
                <w:rFonts w:eastAsia="Newslab" w:cs="Newslab"/>
                <w:szCs w:val="18"/>
              </w:rPr>
              <w:t>136.260</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9400DE1" w14:textId="688E2F55" w:rsidR="07E5E1E8" w:rsidRDefault="07E5E1E8" w:rsidP="0022468D">
            <w:pPr>
              <w:jc w:val="center"/>
              <w:rPr>
                <w:rFonts w:eastAsia="Newslab" w:cs="Newslab"/>
                <w:szCs w:val="18"/>
              </w:rPr>
            </w:pPr>
            <w:r w:rsidRPr="07E5E1E8">
              <w:rPr>
                <w:rFonts w:eastAsia="Newslab" w:cs="Newslab"/>
                <w:szCs w:val="18"/>
              </w:rPr>
              <w:t>103,9</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9FF4EB5" w14:textId="67F5B340" w:rsidR="07E5E1E8" w:rsidRDefault="07E5E1E8" w:rsidP="0022468D">
            <w:pPr>
              <w:jc w:val="center"/>
              <w:rPr>
                <w:rFonts w:eastAsia="Newslab" w:cs="Newslab"/>
                <w:szCs w:val="18"/>
              </w:rPr>
            </w:pPr>
            <w:r w:rsidRPr="07E5E1E8">
              <w:rPr>
                <w:rFonts w:eastAsia="Newslab" w:cs="Newslab"/>
                <w:szCs w:val="18"/>
              </w:rPr>
              <w:t>2.267</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F9789A9" w14:textId="7CFF3AF5" w:rsidR="07E5E1E8" w:rsidRDefault="07E5E1E8" w:rsidP="0022468D">
            <w:pPr>
              <w:jc w:val="center"/>
              <w:rPr>
                <w:rFonts w:eastAsia="Newslab" w:cs="Newslab"/>
                <w:szCs w:val="18"/>
              </w:rPr>
            </w:pPr>
            <w:r w:rsidRPr="07E5E1E8">
              <w:rPr>
                <w:rFonts w:eastAsia="Newslab" w:cs="Newslab"/>
                <w:szCs w:val="18"/>
              </w:rPr>
              <w:t>2.344</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13520AC" w14:textId="6032299D" w:rsidR="07E5E1E8" w:rsidRDefault="07E5E1E8" w:rsidP="0022468D">
            <w:pPr>
              <w:jc w:val="center"/>
              <w:rPr>
                <w:rFonts w:eastAsia="Newslab" w:cs="Newslab"/>
                <w:szCs w:val="18"/>
              </w:rPr>
            </w:pPr>
            <w:r w:rsidRPr="07E5E1E8">
              <w:rPr>
                <w:rFonts w:eastAsia="Newslab" w:cs="Newslab"/>
                <w:szCs w:val="18"/>
              </w:rPr>
              <w:t>103,4</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ABCCAD1" w14:textId="1B78A944" w:rsidR="07E5E1E8" w:rsidRDefault="07E5E1E8" w:rsidP="0022468D">
            <w:pPr>
              <w:jc w:val="center"/>
              <w:rPr>
                <w:rFonts w:eastAsia="Newslab" w:cs="Newslab"/>
                <w:szCs w:val="18"/>
              </w:rPr>
            </w:pPr>
            <w:r w:rsidRPr="07E5E1E8">
              <w:rPr>
                <w:rFonts w:eastAsia="Newslab" w:cs="Newslab"/>
                <w:szCs w:val="18"/>
              </w:rPr>
              <w:t>1,7</w:t>
            </w:r>
          </w:p>
        </w:tc>
      </w:tr>
      <w:tr w:rsidR="07E5E1E8" w14:paraId="6D7A1814" w14:textId="77777777" w:rsidTr="00B72508">
        <w:trPr>
          <w:trHeight w:val="300"/>
        </w:trPr>
        <w:tc>
          <w:tcPr>
            <w:tcW w:w="1805" w:type="dxa"/>
            <w:tcBorders>
              <w:top w:val="single" w:sz="8" w:space="0" w:color="F3CFC1"/>
              <w:bottom w:val="single" w:sz="8" w:space="0" w:color="F3CFC1"/>
            </w:tcBorders>
            <w:shd w:val="clear" w:color="auto" w:fill="D2232A" w:themeFill="accent1"/>
            <w:vAlign w:val="center"/>
          </w:tcPr>
          <w:p w14:paraId="6DD3F33E" w14:textId="6CB779A3"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Broj dobitaša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7EFADB8" w14:textId="6A1FF577" w:rsidR="07E5E1E8" w:rsidRDefault="07E5E1E8" w:rsidP="0022468D">
            <w:pPr>
              <w:jc w:val="center"/>
              <w:rPr>
                <w:rFonts w:eastAsia="Newslab" w:cs="Newslab"/>
                <w:szCs w:val="18"/>
              </w:rPr>
            </w:pPr>
            <w:r w:rsidRPr="07E5E1E8">
              <w:rPr>
                <w:rFonts w:eastAsia="Newslab" w:cs="Newslab"/>
                <w:szCs w:val="18"/>
              </w:rPr>
              <w:t>85.465</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0C746BF" w14:textId="16836492" w:rsidR="07E5E1E8" w:rsidRDefault="07E5E1E8" w:rsidP="0022468D">
            <w:pPr>
              <w:jc w:val="center"/>
              <w:rPr>
                <w:rFonts w:eastAsia="Newslab" w:cs="Newslab"/>
                <w:szCs w:val="18"/>
              </w:rPr>
            </w:pPr>
            <w:r w:rsidRPr="07E5E1E8">
              <w:rPr>
                <w:rFonts w:eastAsia="Newslab" w:cs="Newslab"/>
                <w:szCs w:val="18"/>
              </w:rPr>
              <w:t>90.955</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0CFDF71" w14:textId="15125439" w:rsidR="07E5E1E8" w:rsidRDefault="07E5E1E8" w:rsidP="0022468D">
            <w:pPr>
              <w:jc w:val="center"/>
              <w:rPr>
                <w:rFonts w:eastAsia="Newslab" w:cs="Newslab"/>
                <w:szCs w:val="18"/>
              </w:rPr>
            </w:pPr>
            <w:r w:rsidRPr="07E5E1E8">
              <w:rPr>
                <w:rFonts w:eastAsia="Newslab" w:cs="Newslab"/>
                <w:szCs w:val="18"/>
              </w:rPr>
              <w:t>106,4</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A272CBC" w14:textId="01B5EDA7" w:rsidR="07E5E1E8" w:rsidRDefault="07E5E1E8" w:rsidP="0022468D">
            <w:pPr>
              <w:jc w:val="center"/>
              <w:rPr>
                <w:rFonts w:eastAsia="Newslab" w:cs="Newslab"/>
                <w:szCs w:val="18"/>
              </w:rPr>
            </w:pPr>
            <w:r w:rsidRPr="07E5E1E8">
              <w:rPr>
                <w:rFonts w:eastAsia="Newslab" w:cs="Newslab"/>
                <w:szCs w:val="18"/>
              </w:rPr>
              <w:t>1.654</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D4F5130" w14:textId="65C11391" w:rsidR="07E5E1E8" w:rsidRDefault="07E5E1E8" w:rsidP="0022468D">
            <w:pPr>
              <w:jc w:val="center"/>
              <w:rPr>
                <w:rFonts w:eastAsia="Newslab" w:cs="Newslab"/>
                <w:szCs w:val="18"/>
              </w:rPr>
            </w:pPr>
            <w:r w:rsidRPr="07E5E1E8">
              <w:rPr>
                <w:rFonts w:eastAsia="Newslab" w:cs="Newslab"/>
                <w:szCs w:val="18"/>
              </w:rPr>
              <w:t>1.758</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BF9E7C6" w14:textId="6E9B539C" w:rsidR="07E5E1E8" w:rsidRDefault="07E5E1E8" w:rsidP="0022468D">
            <w:pPr>
              <w:jc w:val="center"/>
              <w:rPr>
                <w:rFonts w:eastAsia="Newslab" w:cs="Newslab"/>
                <w:szCs w:val="18"/>
              </w:rPr>
            </w:pPr>
            <w:r w:rsidRPr="07E5E1E8">
              <w:rPr>
                <w:rFonts w:eastAsia="Newslab" w:cs="Newslab"/>
                <w:szCs w:val="18"/>
              </w:rPr>
              <w:t>106,3</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1D720A5" w14:textId="385DB9D9" w:rsidR="07E5E1E8" w:rsidRDefault="07E5E1E8" w:rsidP="0022468D">
            <w:pPr>
              <w:jc w:val="center"/>
              <w:rPr>
                <w:rFonts w:eastAsia="Newslab" w:cs="Newslab"/>
                <w:szCs w:val="18"/>
              </w:rPr>
            </w:pPr>
            <w:r w:rsidRPr="07E5E1E8">
              <w:rPr>
                <w:rFonts w:eastAsia="Newslab" w:cs="Newslab"/>
                <w:szCs w:val="18"/>
              </w:rPr>
              <w:t>1,9</w:t>
            </w:r>
          </w:p>
        </w:tc>
      </w:tr>
      <w:tr w:rsidR="07E5E1E8" w14:paraId="5C5A8FAC" w14:textId="77777777" w:rsidTr="00B72508">
        <w:trPr>
          <w:trHeight w:val="300"/>
        </w:trPr>
        <w:tc>
          <w:tcPr>
            <w:tcW w:w="1805" w:type="dxa"/>
            <w:tcBorders>
              <w:top w:val="single" w:sz="8" w:space="0" w:color="F3CFC1"/>
              <w:bottom w:val="single" w:sz="8" w:space="0" w:color="F3CFC1"/>
            </w:tcBorders>
            <w:shd w:val="clear" w:color="auto" w:fill="D2232A" w:themeFill="accent1"/>
            <w:vAlign w:val="center"/>
          </w:tcPr>
          <w:p w14:paraId="5FF1BBDE" w14:textId="249D4D1B"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Broj gubitaša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EA6C8D4" w14:textId="4A58C158" w:rsidR="07E5E1E8" w:rsidRDefault="07E5E1E8" w:rsidP="0022468D">
            <w:pPr>
              <w:jc w:val="center"/>
              <w:rPr>
                <w:rFonts w:eastAsia="Newslab" w:cs="Newslab"/>
                <w:szCs w:val="18"/>
              </w:rPr>
            </w:pPr>
            <w:r w:rsidRPr="07E5E1E8">
              <w:rPr>
                <w:rFonts w:eastAsia="Newslab" w:cs="Newslab"/>
                <w:szCs w:val="18"/>
              </w:rPr>
              <w:t>37.824</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183391B" w14:textId="5611B6FE" w:rsidR="07E5E1E8" w:rsidRDefault="07E5E1E8" w:rsidP="0022468D">
            <w:pPr>
              <w:jc w:val="center"/>
              <w:rPr>
                <w:rFonts w:eastAsia="Newslab" w:cs="Newslab"/>
                <w:szCs w:val="18"/>
              </w:rPr>
            </w:pPr>
            <w:r w:rsidRPr="07E5E1E8">
              <w:rPr>
                <w:rFonts w:eastAsia="Newslab" w:cs="Newslab"/>
                <w:szCs w:val="18"/>
              </w:rPr>
              <w:t>45.305</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C572E78" w14:textId="3518960A" w:rsidR="07E5E1E8" w:rsidRDefault="07E5E1E8" w:rsidP="0022468D">
            <w:pPr>
              <w:jc w:val="center"/>
              <w:rPr>
                <w:rFonts w:eastAsia="Newslab" w:cs="Newslab"/>
                <w:szCs w:val="18"/>
              </w:rPr>
            </w:pPr>
            <w:r w:rsidRPr="07E5E1E8">
              <w:rPr>
                <w:rFonts w:eastAsia="Newslab" w:cs="Newslab"/>
                <w:szCs w:val="18"/>
              </w:rPr>
              <w:t>119,8</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D6F5C87" w14:textId="62D88D4A" w:rsidR="07E5E1E8" w:rsidRDefault="07E5E1E8" w:rsidP="0022468D">
            <w:pPr>
              <w:jc w:val="center"/>
              <w:rPr>
                <w:rFonts w:eastAsia="Newslab" w:cs="Newslab"/>
                <w:szCs w:val="18"/>
              </w:rPr>
            </w:pPr>
            <w:r w:rsidRPr="07E5E1E8">
              <w:rPr>
                <w:rFonts w:eastAsia="Newslab" w:cs="Newslab"/>
                <w:szCs w:val="18"/>
              </w:rPr>
              <w:t>481</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615D8D5" w14:textId="0BF8CD34" w:rsidR="07E5E1E8" w:rsidRDefault="07E5E1E8" w:rsidP="0022468D">
            <w:pPr>
              <w:jc w:val="center"/>
              <w:rPr>
                <w:rFonts w:eastAsia="Newslab" w:cs="Newslab"/>
                <w:szCs w:val="18"/>
              </w:rPr>
            </w:pPr>
            <w:r w:rsidRPr="07E5E1E8">
              <w:rPr>
                <w:rFonts w:eastAsia="Newslab" w:cs="Newslab"/>
                <w:szCs w:val="18"/>
              </w:rPr>
              <w:t>586</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CE0AF9D" w14:textId="0001E7C9" w:rsidR="07E5E1E8" w:rsidRDefault="07E5E1E8" w:rsidP="0022468D">
            <w:pPr>
              <w:jc w:val="center"/>
              <w:rPr>
                <w:rFonts w:eastAsia="Newslab" w:cs="Newslab"/>
                <w:szCs w:val="18"/>
              </w:rPr>
            </w:pPr>
            <w:r w:rsidRPr="07E5E1E8">
              <w:rPr>
                <w:rFonts w:eastAsia="Newslab" w:cs="Newslab"/>
                <w:szCs w:val="18"/>
              </w:rPr>
              <w:t>121,8</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C3F47D5" w14:textId="7018A5BF" w:rsidR="07E5E1E8" w:rsidRDefault="07E5E1E8" w:rsidP="0022468D">
            <w:pPr>
              <w:jc w:val="center"/>
              <w:rPr>
                <w:rFonts w:eastAsia="Newslab" w:cs="Newslab"/>
                <w:szCs w:val="18"/>
              </w:rPr>
            </w:pPr>
            <w:r w:rsidRPr="07E5E1E8">
              <w:rPr>
                <w:rFonts w:eastAsia="Newslab" w:cs="Newslab"/>
                <w:szCs w:val="18"/>
              </w:rPr>
              <w:t>1,3</w:t>
            </w:r>
          </w:p>
        </w:tc>
      </w:tr>
      <w:tr w:rsidR="07E5E1E8" w14:paraId="7D4E4598" w14:textId="77777777" w:rsidTr="00B72508">
        <w:trPr>
          <w:trHeight w:val="151"/>
        </w:trPr>
        <w:tc>
          <w:tcPr>
            <w:tcW w:w="1805" w:type="dxa"/>
            <w:tcBorders>
              <w:top w:val="single" w:sz="8" w:space="0" w:color="F3CFC1"/>
              <w:bottom w:val="single" w:sz="8" w:space="0" w:color="F3CFC1"/>
            </w:tcBorders>
            <w:shd w:val="clear" w:color="auto" w:fill="D2232A" w:themeFill="accent1"/>
            <w:vAlign w:val="center"/>
          </w:tcPr>
          <w:p w14:paraId="28F84B63" w14:textId="36273B04"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Broj zaposlenih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92B6B4D" w14:textId="5D1C6BD3" w:rsidR="07E5E1E8" w:rsidRDefault="07E5E1E8" w:rsidP="0022468D">
            <w:pPr>
              <w:jc w:val="center"/>
              <w:rPr>
                <w:rFonts w:eastAsia="Newslab" w:cs="Newslab"/>
                <w:szCs w:val="18"/>
              </w:rPr>
            </w:pPr>
            <w:r w:rsidRPr="07E5E1E8">
              <w:rPr>
                <w:rFonts w:eastAsia="Newslab" w:cs="Newslab"/>
                <w:szCs w:val="18"/>
              </w:rPr>
              <w:t>911.736</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F463644" w14:textId="19F73BEF" w:rsidR="07E5E1E8" w:rsidRDefault="07E5E1E8" w:rsidP="0022468D">
            <w:pPr>
              <w:jc w:val="center"/>
              <w:rPr>
                <w:rFonts w:eastAsia="Newslab" w:cs="Newslab"/>
                <w:szCs w:val="18"/>
              </w:rPr>
            </w:pPr>
            <w:r w:rsidRPr="07E5E1E8">
              <w:rPr>
                <w:rFonts w:eastAsia="Newslab" w:cs="Newslab"/>
                <w:szCs w:val="18"/>
              </w:rPr>
              <w:t>969.776</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CA64D4E" w14:textId="1CA07619" w:rsidR="07E5E1E8" w:rsidRDefault="07E5E1E8" w:rsidP="0022468D">
            <w:pPr>
              <w:jc w:val="center"/>
              <w:rPr>
                <w:rFonts w:eastAsia="Newslab" w:cs="Newslab"/>
                <w:szCs w:val="18"/>
              </w:rPr>
            </w:pPr>
            <w:r w:rsidRPr="07E5E1E8">
              <w:rPr>
                <w:rFonts w:eastAsia="Newslab" w:cs="Newslab"/>
                <w:szCs w:val="18"/>
              </w:rPr>
              <w:t>106,4</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0BF5E27" w14:textId="1C6A5E8D" w:rsidR="07E5E1E8" w:rsidRDefault="07E5E1E8" w:rsidP="0022468D">
            <w:pPr>
              <w:jc w:val="center"/>
              <w:rPr>
                <w:rFonts w:eastAsia="Newslab" w:cs="Newslab"/>
                <w:szCs w:val="18"/>
              </w:rPr>
            </w:pPr>
            <w:r w:rsidRPr="07E5E1E8">
              <w:rPr>
                <w:rFonts w:eastAsia="Newslab" w:cs="Newslab"/>
                <w:szCs w:val="18"/>
              </w:rPr>
              <w:t>20.659</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E67E60D" w14:textId="338F2457" w:rsidR="07E5E1E8" w:rsidRDefault="07E5E1E8" w:rsidP="0022468D">
            <w:pPr>
              <w:jc w:val="center"/>
              <w:rPr>
                <w:rFonts w:eastAsia="Newslab" w:cs="Newslab"/>
                <w:szCs w:val="18"/>
              </w:rPr>
            </w:pPr>
            <w:r w:rsidRPr="07E5E1E8">
              <w:rPr>
                <w:rFonts w:eastAsia="Newslab" w:cs="Newslab"/>
                <w:szCs w:val="18"/>
              </w:rPr>
              <w:t>21.742</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76F966B" w14:textId="4B309F2D" w:rsidR="07E5E1E8" w:rsidRDefault="07E5E1E8" w:rsidP="0022468D">
            <w:pPr>
              <w:jc w:val="center"/>
              <w:rPr>
                <w:rFonts w:eastAsia="Newslab" w:cs="Newslab"/>
                <w:szCs w:val="18"/>
              </w:rPr>
            </w:pPr>
            <w:r w:rsidRPr="07E5E1E8">
              <w:rPr>
                <w:rFonts w:eastAsia="Newslab" w:cs="Newslab"/>
                <w:szCs w:val="18"/>
              </w:rPr>
              <w:t>105,2</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BB2E180" w14:textId="519510C8" w:rsidR="07E5E1E8" w:rsidRDefault="07E5E1E8" w:rsidP="0022468D">
            <w:pPr>
              <w:jc w:val="center"/>
              <w:rPr>
                <w:rFonts w:eastAsia="Newslab" w:cs="Newslab"/>
                <w:szCs w:val="18"/>
              </w:rPr>
            </w:pPr>
            <w:r w:rsidRPr="07E5E1E8">
              <w:rPr>
                <w:rFonts w:eastAsia="Newslab" w:cs="Newslab"/>
                <w:szCs w:val="18"/>
              </w:rPr>
              <w:t>2,2</w:t>
            </w:r>
          </w:p>
        </w:tc>
      </w:tr>
      <w:tr w:rsidR="07E5E1E8" w14:paraId="709FA0A3" w14:textId="77777777" w:rsidTr="00B72508">
        <w:trPr>
          <w:trHeight w:val="469"/>
        </w:trPr>
        <w:tc>
          <w:tcPr>
            <w:tcW w:w="1805" w:type="dxa"/>
            <w:tcBorders>
              <w:top w:val="single" w:sz="8" w:space="0" w:color="F3CFC1"/>
              <w:bottom w:val="single" w:sz="8" w:space="0" w:color="F3CFC1"/>
            </w:tcBorders>
            <w:shd w:val="clear" w:color="auto" w:fill="D2232A" w:themeFill="accent1"/>
            <w:vAlign w:val="center"/>
          </w:tcPr>
          <w:p w14:paraId="3138D4AF" w14:textId="20C35AF3"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Ukupni prihodi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6B83922" w14:textId="02537502" w:rsidR="07E5E1E8" w:rsidRDefault="07E5E1E8" w:rsidP="0022468D">
            <w:pPr>
              <w:jc w:val="center"/>
              <w:rPr>
                <w:rFonts w:eastAsia="Newslab" w:cs="Newslab"/>
                <w:szCs w:val="18"/>
              </w:rPr>
            </w:pPr>
            <w:r w:rsidRPr="07E5E1E8">
              <w:rPr>
                <w:rFonts w:eastAsia="Newslab" w:cs="Newslab"/>
                <w:szCs w:val="18"/>
              </w:rPr>
              <w:t>721.118.732</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481C9C2" w14:textId="4B78B7D5" w:rsidR="07E5E1E8" w:rsidRDefault="07E5E1E8" w:rsidP="0022468D">
            <w:pPr>
              <w:jc w:val="center"/>
              <w:rPr>
                <w:rFonts w:eastAsia="Newslab" w:cs="Newslab"/>
                <w:szCs w:val="18"/>
              </w:rPr>
            </w:pPr>
            <w:r w:rsidRPr="07E5E1E8">
              <w:rPr>
                <w:rFonts w:eastAsia="Newslab" w:cs="Newslab"/>
                <w:szCs w:val="18"/>
              </w:rPr>
              <w:t>796.126.335</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7C70D89" w14:textId="3581FC66" w:rsidR="07E5E1E8" w:rsidRDefault="07E5E1E8" w:rsidP="0022468D">
            <w:pPr>
              <w:jc w:val="center"/>
              <w:rPr>
                <w:rFonts w:eastAsia="Newslab" w:cs="Newslab"/>
                <w:szCs w:val="18"/>
              </w:rPr>
            </w:pPr>
            <w:r w:rsidRPr="07E5E1E8">
              <w:rPr>
                <w:rFonts w:eastAsia="Newslab" w:cs="Newslab"/>
                <w:szCs w:val="18"/>
              </w:rPr>
              <w:t>110,4</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7DFE014" w14:textId="37E28983" w:rsidR="07E5E1E8" w:rsidRDefault="07E5E1E8" w:rsidP="0022468D">
            <w:pPr>
              <w:jc w:val="center"/>
              <w:rPr>
                <w:rFonts w:eastAsia="Newslab" w:cs="Newslab"/>
                <w:szCs w:val="18"/>
              </w:rPr>
            </w:pPr>
            <w:r w:rsidRPr="07E5E1E8">
              <w:rPr>
                <w:rFonts w:eastAsia="Newslab" w:cs="Newslab"/>
                <w:szCs w:val="18"/>
              </w:rPr>
              <w:t>12.547.338</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92488C8" w14:textId="117E0BB3" w:rsidR="07E5E1E8" w:rsidRDefault="07E5E1E8" w:rsidP="0022468D">
            <w:pPr>
              <w:jc w:val="center"/>
              <w:rPr>
                <w:rFonts w:eastAsia="Newslab" w:cs="Newslab"/>
                <w:szCs w:val="18"/>
              </w:rPr>
            </w:pPr>
            <w:r w:rsidRPr="07E5E1E8">
              <w:rPr>
                <w:rFonts w:eastAsia="Newslab" w:cs="Newslab"/>
                <w:szCs w:val="18"/>
              </w:rPr>
              <w:t>13.629.266</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3D2EA83" w14:textId="3811C506" w:rsidR="07E5E1E8" w:rsidRDefault="07E5E1E8" w:rsidP="0022468D">
            <w:pPr>
              <w:jc w:val="center"/>
              <w:rPr>
                <w:rFonts w:eastAsia="Newslab" w:cs="Newslab"/>
                <w:szCs w:val="18"/>
              </w:rPr>
            </w:pPr>
            <w:r w:rsidRPr="07E5E1E8">
              <w:rPr>
                <w:rFonts w:eastAsia="Newslab" w:cs="Newslab"/>
                <w:szCs w:val="18"/>
              </w:rPr>
              <w:t>108,6</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A84D704" w14:textId="045C7CE1" w:rsidR="07E5E1E8" w:rsidRDefault="07E5E1E8" w:rsidP="0022468D">
            <w:pPr>
              <w:jc w:val="center"/>
              <w:rPr>
                <w:rFonts w:eastAsia="Newslab" w:cs="Newslab"/>
                <w:szCs w:val="18"/>
              </w:rPr>
            </w:pPr>
            <w:r w:rsidRPr="07E5E1E8">
              <w:rPr>
                <w:rFonts w:eastAsia="Newslab" w:cs="Newslab"/>
                <w:szCs w:val="18"/>
              </w:rPr>
              <w:t>1,7</w:t>
            </w:r>
          </w:p>
        </w:tc>
      </w:tr>
      <w:tr w:rsidR="07E5E1E8" w14:paraId="5162B4B9" w14:textId="77777777" w:rsidTr="00B72508">
        <w:trPr>
          <w:trHeight w:val="258"/>
        </w:trPr>
        <w:tc>
          <w:tcPr>
            <w:tcW w:w="1805" w:type="dxa"/>
            <w:tcBorders>
              <w:top w:val="single" w:sz="8" w:space="0" w:color="F3CFC1"/>
              <w:bottom w:val="single" w:sz="8" w:space="0" w:color="F3CFC1"/>
            </w:tcBorders>
            <w:shd w:val="clear" w:color="auto" w:fill="D2232A" w:themeFill="accent1"/>
            <w:vAlign w:val="center"/>
          </w:tcPr>
          <w:p w14:paraId="547EB1F8" w14:textId="5AF1222B"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Ukupni rashodi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9AB93CF" w14:textId="523F0D8B" w:rsidR="07E5E1E8" w:rsidRDefault="07E5E1E8" w:rsidP="0022468D">
            <w:pPr>
              <w:jc w:val="center"/>
              <w:rPr>
                <w:rFonts w:eastAsia="Newslab" w:cs="Newslab"/>
                <w:szCs w:val="18"/>
              </w:rPr>
            </w:pPr>
            <w:r w:rsidRPr="07E5E1E8">
              <w:rPr>
                <w:rFonts w:eastAsia="Newslab" w:cs="Newslab"/>
                <w:szCs w:val="18"/>
              </w:rPr>
              <w:t>682.737.441</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59A5551" w14:textId="0E71749F" w:rsidR="07E5E1E8" w:rsidRDefault="07E5E1E8" w:rsidP="0022468D">
            <w:pPr>
              <w:jc w:val="center"/>
              <w:rPr>
                <w:rFonts w:eastAsia="Newslab" w:cs="Newslab"/>
                <w:szCs w:val="18"/>
              </w:rPr>
            </w:pPr>
            <w:r w:rsidRPr="07E5E1E8">
              <w:rPr>
                <w:rFonts w:eastAsia="Newslab" w:cs="Newslab"/>
                <w:szCs w:val="18"/>
              </w:rPr>
              <w:t>756.495.954</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578EAD5" w14:textId="4A30F78B" w:rsidR="07E5E1E8" w:rsidRDefault="07E5E1E8" w:rsidP="0022468D">
            <w:pPr>
              <w:jc w:val="center"/>
              <w:rPr>
                <w:rFonts w:eastAsia="Newslab" w:cs="Newslab"/>
                <w:szCs w:val="18"/>
              </w:rPr>
            </w:pPr>
            <w:r w:rsidRPr="07E5E1E8">
              <w:rPr>
                <w:rFonts w:eastAsia="Newslab" w:cs="Newslab"/>
                <w:szCs w:val="18"/>
              </w:rPr>
              <w:t>110,8</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E9A7E94" w14:textId="5039C94A" w:rsidR="07E5E1E8" w:rsidRDefault="07E5E1E8" w:rsidP="0022468D">
            <w:pPr>
              <w:jc w:val="center"/>
              <w:rPr>
                <w:rFonts w:eastAsia="Newslab" w:cs="Newslab"/>
                <w:szCs w:val="18"/>
              </w:rPr>
            </w:pPr>
            <w:r w:rsidRPr="07E5E1E8">
              <w:rPr>
                <w:rFonts w:eastAsia="Newslab" w:cs="Newslab"/>
                <w:szCs w:val="18"/>
              </w:rPr>
              <w:t>11.813.137</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88E0077" w14:textId="2993167F" w:rsidR="07E5E1E8" w:rsidRDefault="07E5E1E8" w:rsidP="0022468D">
            <w:pPr>
              <w:jc w:val="center"/>
              <w:rPr>
                <w:rFonts w:eastAsia="Newslab" w:cs="Newslab"/>
                <w:szCs w:val="18"/>
              </w:rPr>
            </w:pPr>
            <w:r w:rsidRPr="07E5E1E8">
              <w:rPr>
                <w:rFonts w:eastAsia="Newslab" w:cs="Newslab"/>
                <w:szCs w:val="18"/>
              </w:rPr>
              <w:t>12.846.339</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F30CF3C" w14:textId="338C4E74" w:rsidR="07E5E1E8" w:rsidRDefault="07E5E1E8" w:rsidP="0022468D">
            <w:pPr>
              <w:jc w:val="center"/>
              <w:rPr>
                <w:rFonts w:eastAsia="Newslab" w:cs="Newslab"/>
                <w:szCs w:val="18"/>
              </w:rPr>
            </w:pPr>
            <w:r w:rsidRPr="07E5E1E8">
              <w:rPr>
                <w:rFonts w:eastAsia="Newslab" w:cs="Newslab"/>
                <w:szCs w:val="18"/>
              </w:rPr>
              <w:t>108,7</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28EF4A7" w14:textId="5ECE64B3" w:rsidR="07E5E1E8" w:rsidRDefault="07E5E1E8" w:rsidP="0022468D">
            <w:pPr>
              <w:jc w:val="center"/>
              <w:rPr>
                <w:rFonts w:eastAsia="Newslab" w:cs="Newslab"/>
                <w:szCs w:val="18"/>
              </w:rPr>
            </w:pPr>
            <w:r w:rsidRPr="07E5E1E8">
              <w:rPr>
                <w:rFonts w:eastAsia="Newslab" w:cs="Newslab"/>
                <w:szCs w:val="18"/>
              </w:rPr>
              <w:t>1,7</w:t>
            </w:r>
          </w:p>
        </w:tc>
      </w:tr>
      <w:tr w:rsidR="07E5E1E8" w14:paraId="3D16033A" w14:textId="77777777" w:rsidTr="00B72508">
        <w:trPr>
          <w:trHeight w:val="156"/>
        </w:trPr>
        <w:tc>
          <w:tcPr>
            <w:tcW w:w="1805" w:type="dxa"/>
            <w:tcBorders>
              <w:top w:val="single" w:sz="8" w:space="0" w:color="F3CFC1"/>
              <w:bottom w:val="single" w:sz="8" w:space="0" w:color="F3CFC1"/>
            </w:tcBorders>
            <w:shd w:val="clear" w:color="auto" w:fill="D2232A" w:themeFill="accent1"/>
            <w:vAlign w:val="center"/>
          </w:tcPr>
          <w:p w14:paraId="30679889" w14:textId="19467AD5" w:rsidR="07E5E1E8" w:rsidRDefault="07E5E1E8" w:rsidP="00B72508">
            <w:pPr>
              <w:rPr>
                <w:rFonts w:eastAsia="Newslab" w:cs="Newslab"/>
                <w:color w:val="FFFFFF" w:themeColor="background1"/>
                <w:szCs w:val="18"/>
              </w:rPr>
            </w:pPr>
            <w:r w:rsidRPr="07E5E1E8">
              <w:rPr>
                <w:rFonts w:eastAsia="Newslab" w:cs="Newslab"/>
                <w:color w:val="FFFFFF" w:themeColor="background1"/>
                <w:szCs w:val="18"/>
              </w:rPr>
              <w:t>Dobit prije oporezivanja</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481DDCC" w14:textId="0E3C3117" w:rsidR="07E5E1E8" w:rsidRDefault="07E5E1E8" w:rsidP="00B72508">
            <w:pPr>
              <w:jc w:val="center"/>
              <w:rPr>
                <w:rFonts w:eastAsia="Newslab" w:cs="Newslab"/>
                <w:szCs w:val="18"/>
              </w:rPr>
            </w:pPr>
            <w:r w:rsidRPr="07E5E1E8">
              <w:rPr>
                <w:rFonts w:eastAsia="Newslab" w:cs="Newslab"/>
                <w:szCs w:val="18"/>
              </w:rPr>
              <w:t>53.515.331</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B7698FE" w14:textId="56C08BE7" w:rsidR="07E5E1E8" w:rsidRDefault="07E5E1E8" w:rsidP="00B72508">
            <w:pPr>
              <w:jc w:val="center"/>
              <w:rPr>
                <w:rFonts w:eastAsia="Newslab" w:cs="Newslab"/>
                <w:szCs w:val="18"/>
              </w:rPr>
            </w:pPr>
            <w:r w:rsidRPr="07E5E1E8">
              <w:rPr>
                <w:rFonts w:eastAsia="Newslab" w:cs="Newslab"/>
                <w:szCs w:val="18"/>
              </w:rPr>
              <w:t>57.232.068</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3FA7C08" w14:textId="14205C89" w:rsidR="07E5E1E8" w:rsidRDefault="07E5E1E8" w:rsidP="00B72508">
            <w:pPr>
              <w:jc w:val="center"/>
              <w:rPr>
                <w:rFonts w:eastAsia="Newslab" w:cs="Newslab"/>
                <w:szCs w:val="18"/>
              </w:rPr>
            </w:pPr>
            <w:r w:rsidRPr="07E5E1E8">
              <w:rPr>
                <w:rFonts w:eastAsia="Newslab" w:cs="Newslab"/>
                <w:szCs w:val="18"/>
              </w:rPr>
              <w:t>106,9</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88F8E16" w14:textId="6CA533FD" w:rsidR="07E5E1E8" w:rsidRDefault="07E5E1E8" w:rsidP="00B72508">
            <w:pPr>
              <w:jc w:val="center"/>
              <w:rPr>
                <w:rFonts w:eastAsia="Newslab" w:cs="Newslab"/>
                <w:szCs w:val="18"/>
              </w:rPr>
            </w:pPr>
            <w:r w:rsidRPr="07E5E1E8">
              <w:rPr>
                <w:rFonts w:eastAsia="Newslab" w:cs="Newslab"/>
                <w:szCs w:val="18"/>
              </w:rPr>
              <w:t>845.762</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B9F01F1" w14:textId="7BB4168A" w:rsidR="07E5E1E8" w:rsidRDefault="07E5E1E8" w:rsidP="00B72508">
            <w:pPr>
              <w:jc w:val="center"/>
              <w:rPr>
                <w:rFonts w:eastAsia="Newslab" w:cs="Newslab"/>
                <w:szCs w:val="18"/>
              </w:rPr>
            </w:pPr>
            <w:r w:rsidRPr="07E5E1E8">
              <w:rPr>
                <w:rFonts w:eastAsia="Newslab" w:cs="Newslab"/>
                <w:szCs w:val="18"/>
              </w:rPr>
              <w:t>979.438</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C8FAE22" w14:textId="2BB01C0F" w:rsidR="07E5E1E8" w:rsidRDefault="07E5E1E8" w:rsidP="00B72508">
            <w:pPr>
              <w:jc w:val="center"/>
              <w:rPr>
                <w:rFonts w:eastAsia="Newslab" w:cs="Newslab"/>
                <w:szCs w:val="18"/>
              </w:rPr>
            </w:pPr>
            <w:r w:rsidRPr="07E5E1E8">
              <w:rPr>
                <w:rFonts w:eastAsia="Newslab" w:cs="Newslab"/>
                <w:szCs w:val="18"/>
              </w:rPr>
              <w:t>115,8</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41C40C3" w14:textId="34A36A71" w:rsidR="07E5E1E8" w:rsidRDefault="07E5E1E8" w:rsidP="00B72508">
            <w:pPr>
              <w:jc w:val="center"/>
              <w:rPr>
                <w:rFonts w:eastAsia="Newslab" w:cs="Newslab"/>
                <w:szCs w:val="18"/>
              </w:rPr>
            </w:pPr>
            <w:r w:rsidRPr="07E5E1E8">
              <w:rPr>
                <w:rFonts w:eastAsia="Newslab" w:cs="Newslab"/>
                <w:szCs w:val="18"/>
              </w:rPr>
              <w:t>1,7</w:t>
            </w:r>
          </w:p>
        </w:tc>
      </w:tr>
      <w:tr w:rsidR="07E5E1E8" w14:paraId="6C0FDC01" w14:textId="77777777" w:rsidTr="00B72508">
        <w:trPr>
          <w:trHeight w:val="480"/>
        </w:trPr>
        <w:tc>
          <w:tcPr>
            <w:tcW w:w="1805" w:type="dxa"/>
            <w:tcBorders>
              <w:top w:val="single" w:sz="8" w:space="0" w:color="F3CFC1"/>
              <w:bottom w:val="single" w:sz="8" w:space="0" w:color="F3CFC1"/>
            </w:tcBorders>
            <w:shd w:val="clear" w:color="auto" w:fill="D2232A" w:themeFill="accent1"/>
            <w:vAlign w:val="center"/>
          </w:tcPr>
          <w:p w14:paraId="3343840A" w14:textId="58E0BD29"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Gubitak prije </w:t>
            </w:r>
            <w:r w:rsidR="0022468D">
              <w:rPr>
                <w:rFonts w:eastAsia="Newslab" w:cs="Newslab"/>
                <w:color w:val="FFFFFF" w:themeColor="background1"/>
                <w:szCs w:val="18"/>
              </w:rPr>
              <w:br/>
            </w:r>
            <w:r w:rsidRPr="07E5E1E8">
              <w:rPr>
                <w:rFonts w:eastAsia="Newslab" w:cs="Newslab"/>
                <w:color w:val="FFFFFF" w:themeColor="background1"/>
                <w:szCs w:val="18"/>
              </w:rPr>
              <w:t xml:space="preserve">oporezivanja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10535F0" w14:textId="5E8752E6" w:rsidR="07E5E1E8" w:rsidRDefault="07E5E1E8" w:rsidP="0022468D">
            <w:pPr>
              <w:jc w:val="center"/>
              <w:rPr>
                <w:rFonts w:eastAsia="Newslab" w:cs="Newslab"/>
                <w:szCs w:val="18"/>
              </w:rPr>
            </w:pPr>
            <w:r w:rsidRPr="07E5E1E8">
              <w:rPr>
                <w:rFonts w:eastAsia="Newslab" w:cs="Newslab"/>
                <w:szCs w:val="18"/>
              </w:rPr>
              <w:t>15.134.039</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38E6A74" w14:textId="5C756D94" w:rsidR="07E5E1E8" w:rsidRDefault="07E5E1E8" w:rsidP="0022468D">
            <w:pPr>
              <w:jc w:val="center"/>
              <w:rPr>
                <w:rFonts w:eastAsia="Newslab" w:cs="Newslab"/>
                <w:szCs w:val="18"/>
              </w:rPr>
            </w:pPr>
            <w:r w:rsidRPr="07E5E1E8">
              <w:rPr>
                <w:rFonts w:eastAsia="Newslab" w:cs="Newslab"/>
                <w:szCs w:val="18"/>
              </w:rPr>
              <w:t>17.601.686</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05F4361" w14:textId="59976905" w:rsidR="07E5E1E8" w:rsidRDefault="07E5E1E8" w:rsidP="0022468D">
            <w:pPr>
              <w:jc w:val="center"/>
              <w:rPr>
                <w:rFonts w:eastAsia="Newslab" w:cs="Newslab"/>
                <w:szCs w:val="18"/>
              </w:rPr>
            </w:pPr>
            <w:r w:rsidRPr="07E5E1E8">
              <w:rPr>
                <w:rFonts w:eastAsia="Newslab" w:cs="Newslab"/>
                <w:szCs w:val="18"/>
              </w:rPr>
              <w:t>116,3</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7305969" w14:textId="2DA5DA2C" w:rsidR="07E5E1E8" w:rsidRDefault="07E5E1E8" w:rsidP="0022468D">
            <w:pPr>
              <w:jc w:val="center"/>
              <w:rPr>
                <w:rFonts w:eastAsia="Newslab" w:cs="Newslab"/>
                <w:szCs w:val="18"/>
              </w:rPr>
            </w:pPr>
            <w:r w:rsidRPr="07E5E1E8">
              <w:rPr>
                <w:rFonts w:eastAsia="Newslab" w:cs="Newslab"/>
                <w:szCs w:val="18"/>
              </w:rPr>
              <w:t>111.561</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E06E2E2" w14:textId="46D1AB49" w:rsidR="07E5E1E8" w:rsidRDefault="07E5E1E8" w:rsidP="0022468D">
            <w:pPr>
              <w:jc w:val="center"/>
              <w:rPr>
                <w:rFonts w:eastAsia="Newslab" w:cs="Newslab"/>
                <w:szCs w:val="18"/>
              </w:rPr>
            </w:pPr>
            <w:r w:rsidRPr="07E5E1E8">
              <w:rPr>
                <w:rFonts w:eastAsia="Newslab" w:cs="Newslab"/>
                <w:szCs w:val="18"/>
              </w:rPr>
              <w:t>196.511</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5FD46F2" w14:textId="2DEC215B" w:rsidR="07E5E1E8" w:rsidRDefault="07E5E1E8" w:rsidP="0022468D">
            <w:pPr>
              <w:jc w:val="center"/>
              <w:rPr>
                <w:rFonts w:eastAsia="Newslab" w:cs="Newslab"/>
                <w:szCs w:val="18"/>
              </w:rPr>
            </w:pPr>
            <w:r w:rsidRPr="07E5E1E8">
              <w:rPr>
                <w:rFonts w:eastAsia="Newslab" w:cs="Newslab"/>
                <w:szCs w:val="18"/>
              </w:rPr>
              <w:t>176,1</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36BB344" w14:textId="7835B6C3" w:rsidR="07E5E1E8" w:rsidRDefault="07E5E1E8" w:rsidP="0022468D">
            <w:pPr>
              <w:jc w:val="center"/>
              <w:rPr>
                <w:rFonts w:eastAsia="Newslab" w:cs="Newslab"/>
                <w:szCs w:val="18"/>
              </w:rPr>
            </w:pPr>
            <w:r w:rsidRPr="07E5E1E8">
              <w:rPr>
                <w:rFonts w:eastAsia="Newslab" w:cs="Newslab"/>
                <w:szCs w:val="18"/>
              </w:rPr>
              <w:t>1,1</w:t>
            </w:r>
          </w:p>
        </w:tc>
      </w:tr>
      <w:tr w:rsidR="07E5E1E8" w14:paraId="2377BDE5" w14:textId="77777777" w:rsidTr="00B72508">
        <w:trPr>
          <w:trHeight w:val="356"/>
        </w:trPr>
        <w:tc>
          <w:tcPr>
            <w:tcW w:w="1805" w:type="dxa"/>
            <w:tcBorders>
              <w:top w:val="single" w:sz="8" w:space="0" w:color="F3CFC1"/>
              <w:bottom w:val="single" w:sz="8" w:space="0" w:color="F3CFC1"/>
            </w:tcBorders>
            <w:shd w:val="clear" w:color="auto" w:fill="D2232A" w:themeFill="accent1"/>
            <w:vAlign w:val="center"/>
          </w:tcPr>
          <w:p w14:paraId="5AE509CA" w14:textId="59917E87"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Porez na dobit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1AFD590" w14:textId="6101860F" w:rsidR="07E5E1E8" w:rsidRDefault="07E5E1E8" w:rsidP="0022468D">
            <w:pPr>
              <w:jc w:val="center"/>
              <w:rPr>
                <w:rFonts w:eastAsia="Newslab" w:cs="Newslab"/>
                <w:szCs w:val="18"/>
              </w:rPr>
            </w:pPr>
            <w:r w:rsidRPr="07E5E1E8">
              <w:rPr>
                <w:rFonts w:eastAsia="Newslab" w:cs="Newslab"/>
                <w:szCs w:val="18"/>
              </w:rPr>
              <w:t>7.308.894</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A24F7EB" w14:textId="5A648833" w:rsidR="07E5E1E8" w:rsidRDefault="07E5E1E8" w:rsidP="0022468D">
            <w:pPr>
              <w:jc w:val="center"/>
              <w:rPr>
                <w:rFonts w:eastAsia="Newslab" w:cs="Newslab"/>
                <w:szCs w:val="18"/>
              </w:rPr>
            </w:pPr>
            <w:r w:rsidRPr="07E5E1E8">
              <w:rPr>
                <w:rFonts w:eastAsia="Newslab" w:cs="Newslab"/>
                <w:szCs w:val="18"/>
              </w:rPr>
              <w:t>8.349.049</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A4A028F" w14:textId="0156EEC2" w:rsidR="07E5E1E8" w:rsidRDefault="07E5E1E8" w:rsidP="0022468D">
            <w:pPr>
              <w:jc w:val="center"/>
              <w:rPr>
                <w:rFonts w:eastAsia="Newslab" w:cs="Newslab"/>
                <w:szCs w:val="18"/>
              </w:rPr>
            </w:pPr>
            <w:r w:rsidRPr="07E5E1E8">
              <w:rPr>
                <w:rFonts w:eastAsia="Newslab" w:cs="Newslab"/>
                <w:szCs w:val="18"/>
              </w:rPr>
              <w:t>114,2</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9433528" w14:textId="60D3B449" w:rsidR="07E5E1E8" w:rsidRDefault="07E5E1E8" w:rsidP="0022468D">
            <w:pPr>
              <w:jc w:val="center"/>
              <w:rPr>
                <w:rFonts w:eastAsia="Newslab" w:cs="Newslab"/>
                <w:szCs w:val="18"/>
              </w:rPr>
            </w:pPr>
            <w:r w:rsidRPr="07E5E1E8">
              <w:rPr>
                <w:rFonts w:eastAsia="Newslab" w:cs="Newslab"/>
                <w:szCs w:val="18"/>
              </w:rPr>
              <w:t>124.534</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D873E01" w14:textId="74A4F2CC" w:rsidR="07E5E1E8" w:rsidRDefault="07E5E1E8" w:rsidP="0022468D">
            <w:pPr>
              <w:jc w:val="center"/>
              <w:rPr>
                <w:rFonts w:eastAsia="Newslab" w:cs="Newslab"/>
                <w:szCs w:val="18"/>
              </w:rPr>
            </w:pPr>
            <w:r w:rsidRPr="07E5E1E8">
              <w:rPr>
                <w:rFonts w:eastAsia="Newslab" w:cs="Newslab"/>
                <w:szCs w:val="18"/>
              </w:rPr>
              <w:t>121.347</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334F82B" w14:textId="24499829" w:rsidR="07E5E1E8" w:rsidRDefault="07E5E1E8" w:rsidP="0022468D">
            <w:pPr>
              <w:jc w:val="center"/>
              <w:rPr>
                <w:rFonts w:eastAsia="Newslab" w:cs="Newslab"/>
                <w:szCs w:val="18"/>
              </w:rPr>
            </w:pPr>
            <w:r w:rsidRPr="07E5E1E8">
              <w:rPr>
                <w:rFonts w:eastAsia="Newslab" w:cs="Newslab"/>
                <w:szCs w:val="18"/>
              </w:rPr>
              <w:t>97,4</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8311468" w14:textId="55DE64E3" w:rsidR="07E5E1E8" w:rsidRDefault="07E5E1E8" w:rsidP="0022468D">
            <w:pPr>
              <w:jc w:val="center"/>
              <w:rPr>
                <w:rFonts w:eastAsia="Newslab" w:cs="Newslab"/>
                <w:szCs w:val="18"/>
              </w:rPr>
            </w:pPr>
            <w:r w:rsidRPr="07E5E1E8">
              <w:rPr>
                <w:rFonts w:eastAsia="Newslab" w:cs="Newslab"/>
                <w:szCs w:val="18"/>
              </w:rPr>
              <w:t>1,5</w:t>
            </w:r>
          </w:p>
        </w:tc>
      </w:tr>
      <w:tr w:rsidR="07E5E1E8" w14:paraId="5C615226" w14:textId="77777777" w:rsidTr="00B72508">
        <w:trPr>
          <w:trHeight w:val="338"/>
        </w:trPr>
        <w:tc>
          <w:tcPr>
            <w:tcW w:w="1805" w:type="dxa"/>
            <w:tcBorders>
              <w:top w:val="single" w:sz="8" w:space="0" w:color="F3CFC1"/>
              <w:bottom w:val="single" w:sz="8" w:space="0" w:color="F3CFC1"/>
            </w:tcBorders>
            <w:shd w:val="clear" w:color="auto" w:fill="D2232A" w:themeFill="accent1"/>
            <w:vAlign w:val="center"/>
          </w:tcPr>
          <w:p w14:paraId="0C39F430" w14:textId="3B1238F5"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Dobit razdoblja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ED835E4" w14:textId="341EA89C" w:rsidR="07E5E1E8" w:rsidRDefault="07E5E1E8" w:rsidP="0022468D">
            <w:pPr>
              <w:jc w:val="center"/>
              <w:rPr>
                <w:rFonts w:eastAsia="Newslab" w:cs="Newslab"/>
                <w:szCs w:val="18"/>
              </w:rPr>
            </w:pPr>
            <w:r w:rsidRPr="07E5E1E8">
              <w:rPr>
                <w:rFonts w:eastAsia="Newslab" w:cs="Newslab"/>
                <w:szCs w:val="18"/>
              </w:rPr>
              <w:t>46.166.284</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B4460FD" w14:textId="491EE299" w:rsidR="07E5E1E8" w:rsidRDefault="07E5E1E8" w:rsidP="0022468D">
            <w:pPr>
              <w:jc w:val="center"/>
              <w:rPr>
                <w:rFonts w:eastAsia="Newslab" w:cs="Newslab"/>
                <w:szCs w:val="18"/>
              </w:rPr>
            </w:pPr>
            <w:r w:rsidRPr="07E5E1E8">
              <w:rPr>
                <w:rFonts w:eastAsia="Newslab" w:cs="Newslab"/>
                <w:szCs w:val="18"/>
              </w:rPr>
              <w:t>48.872.344</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CD3BA10" w14:textId="08D4CB86" w:rsidR="07E5E1E8" w:rsidRDefault="07E5E1E8" w:rsidP="0022468D">
            <w:pPr>
              <w:jc w:val="center"/>
              <w:rPr>
                <w:rFonts w:eastAsia="Newslab" w:cs="Newslab"/>
                <w:szCs w:val="18"/>
              </w:rPr>
            </w:pPr>
            <w:r w:rsidRPr="07E5E1E8">
              <w:rPr>
                <w:rFonts w:eastAsia="Newslab" w:cs="Newslab"/>
                <w:szCs w:val="18"/>
              </w:rPr>
              <w:t>105,9</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526F2B7" w14:textId="148DC739" w:rsidR="07E5E1E8" w:rsidRDefault="07E5E1E8" w:rsidP="0022468D">
            <w:pPr>
              <w:jc w:val="center"/>
              <w:rPr>
                <w:rFonts w:eastAsia="Newslab" w:cs="Newslab"/>
                <w:szCs w:val="18"/>
              </w:rPr>
            </w:pPr>
            <w:r w:rsidRPr="07E5E1E8">
              <w:rPr>
                <w:rFonts w:eastAsia="Newslab" w:cs="Newslab"/>
                <w:szCs w:val="18"/>
              </w:rPr>
              <w:t>721.642</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B101251" w14:textId="77036FCC" w:rsidR="07E5E1E8" w:rsidRDefault="07E5E1E8" w:rsidP="0022468D">
            <w:pPr>
              <w:jc w:val="center"/>
              <w:rPr>
                <w:rFonts w:eastAsia="Newslab" w:cs="Newslab"/>
                <w:szCs w:val="18"/>
              </w:rPr>
            </w:pPr>
            <w:r w:rsidRPr="07E5E1E8">
              <w:rPr>
                <w:rFonts w:eastAsia="Newslab" w:cs="Newslab"/>
                <w:szCs w:val="18"/>
              </w:rPr>
              <w:t>858.484</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7E2473C" w14:textId="1ECDB134" w:rsidR="07E5E1E8" w:rsidRDefault="07E5E1E8" w:rsidP="0022468D">
            <w:pPr>
              <w:jc w:val="center"/>
              <w:rPr>
                <w:rFonts w:eastAsia="Newslab" w:cs="Newslab"/>
                <w:szCs w:val="18"/>
              </w:rPr>
            </w:pPr>
            <w:r w:rsidRPr="07E5E1E8">
              <w:rPr>
                <w:rFonts w:eastAsia="Newslab" w:cs="Newslab"/>
                <w:szCs w:val="18"/>
              </w:rPr>
              <w:t>119,0</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DD6942D" w14:textId="53BF8C5B" w:rsidR="07E5E1E8" w:rsidRDefault="07E5E1E8" w:rsidP="0022468D">
            <w:pPr>
              <w:jc w:val="center"/>
              <w:rPr>
                <w:rFonts w:eastAsia="Newslab" w:cs="Newslab"/>
                <w:szCs w:val="18"/>
              </w:rPr>
            </w:pPr>
            <w:r w:rsidRPr="07E5E1E8">
              <w:rPr>
                <w:rFonts w:eastAsia="Newslab" w:cs="Newslab"/>
                <w:szCs w:val="18"/>
              </w:rPr>
              <w:t>1,8</w:t>
            </w:r>
          </w:p>
        </w:tc>
      </w:tr>
      <w:tr w:rsidR="07E5E1E8" w14:paraId="3F931381" w14:textId="77777777" w:rsidTr="00B72508">
        <w:trPr>
          <w:trHeight w:val="306"/>
        </w:trPr>
        <w:tc>
          <w:tcPr>
            <w:tcW w:w="1805" w:type="dxa"/>
            <w:tcBorders>
              <w:top w:val="single" w:sz="8" w:space="0" w:color="F3CFC1"/>
              <w:bottom w:val="single" w:sz="8" w:space="0" w:color="F3CFC1"/>
            </w:tcBorders>
            <w:shd w:val="clear" w:color="auto" w:fill="D2232A" w:themeFill="accent1"/>
            <w:vAlign w:val="center"/>
          </w:tcPr>
          <w:p w14:paraId="11BC1CD3" w14:textId="362B0D57"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Gubitak razdoblja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A87828E" w14:textId="43A2AC8C" w:rsidR="07E5E1E8" w:rsidRDefault="07E5E1E8" w:rsidP="0022468D">
            <w:pPr>
              <w:jc w:val="center"/>
              <w:rPr>
                <w:rFonts w:eastAsia="Newslab" w:cs="Newslab"/>
                <w:szCs w:val="18"/>
              </w:rPr>
            </w:pPr>
            <w:r w:rsidRPr="07E5E1E8">
              <w:rPr>
                <w:rFonts w:eastAsia="Newslab" w:cs="Newslab"/>
                <w:szCs w:val="18"/>
              </w:rPr>
              <w:t>15.093.886</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75D40F6" w14:textId="4755C436" w:rsidR="07E5E1E8" w:rsidRDefault="07E5E1E8" w:rsidP="0022468D">
            <w:pPr>
              <w:jc w:val="center"/>
              <w:rPr>
                <w:rFonts w:eastAsia="Newslab" w:cs="Newslab"/>
                <w:szCs w:val="18"/>
              </w:rPr>
            </w:pPr>
            <w:r w:rsidRPr="07E5E1E8">
              <w:rPr>
                <w:rFonts w:eastAsia="Newslab" w:cs="Newslab"/>
                <w:szCs w:val="18"/>
              </w:rPr>
              <w:t>17.591.012</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9DC30F8" w14:textId="4E99879C" w:rsidR="07E5E1E8" w:rsidRDefault="07E5E1E8" w:rsidP="0022468D">
            <w:pPr>
              <w:jc w:val="center"/>
              <w:rPr>
                <w:rFonts w:eastAsia="Newslab" w:cs="Newslab"/>
                <w:szCs w:val="18"/>
              </w:rPr>
            </w:pPr>
            <w:r w:rsidRPr="07E5E1E8">
              <w:rPr>
                <w:rFonts w:eastAsia="Newslab" w:cs="Newslab"/>
                <w:szCs w:val="18"/>
              </w:rPr>
              <w:t>116,5</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A586CB0" w14:textId="4FC2A431" w:rsidR="07E5E1E8" w:rsidRDefault="07E5E1E8" w:rsidP="0022468D">
            <w:pPr>
              <w:jc w:val="center"/>
              <w:rPr>
                <w:rFonts w:eastAsia="Newslab" w:cs="Newslab"/>
                <w:szCs w:val="18"/>
              </w:rPr>
            </w:pPr>
            <w:r w:rsidRPr="07E5E1E8">
              <w:rPr>
                <w:rFonts w:eastAsia="Newslab" w:cs="Newslab"/>
                <w:szCs w:val="18"/>
              </w:rPr>
              <w:t>111.976</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A1B9B75" w14:textId="59E4D055" w:rsidR="07E5E1E8" w:rsidRDefault="07E5E1E8" w:rsidP="0022468D">
            <w:pPr>
              <w:jc w:val="center"/>
              <w:rPr>
                <w:rFonts w:eastAsia="Newslab" w:cs="Newslab"/>
                <w:szCs w:val="18"/>
              </w:rPr>
            </w:pPr>
            <w:r w:rsidRPr="07E5E1E8">
              <w:rPr>
                <w:rFonts w:eastAsia="Newslab" w:cs="Newslab"/>
                <w:szCs w:val="18"/>
              </w:rPr>
              <w:t>196.904</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A3B99C7" w14:textId="7FAB43FC" w:rsidR="07E5E1E8" w:rsidRDefault="07E5E1E8" w:rsidP="0022468D">
            <w:pPr>
              <w:jc w:val="center"/>
              <w:rPr>
                <w:rFonts w:eastAsia="Newslab" w:cs="Newslab"/>
                <w:szCs w:val="18"/>
              </w:rPr>
            </w:pPr>
            <w:r w:rsidRPr="07E5E1E8">
              <w:rPr>
                <w:rFonts w:eastAsia="Newslab" w:cs="Newslab"/>
                <w:szCs w:val="18"/>
              </w:rPr>
              <w:t>175,8</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F44E436" w14:textId="5A452529" w:rsidR="07E5E1E8" w:rsidRDefault="07E5E1E8" w:rsidP="0022468D">
            <w:pPr>
              <w:jc w:val="center"/>
              <w:rPr>
                <w:rFonts w:eastAsia="Newslab" w:cs="Newslab"/>
                <w:szCs w:val="18"/>
              </w:rPr>
            </w:pPr>
            <w:r w:rsidRPr="07E5E1E8">
              <w:rPr>
                <w:rFonts w:eastAsia="Newslab" w:cs="Newslab"/>
                <w:szCs w:val="18"/>
              </w:rPr>
              <w:t>1,1</w:t>
            </w:r>
          </w:p>
        </w:tc>
      </w:tr>
      <w:tr w:rsidR="07E5E1E8" w14:paraId="1B01D1F2" w14:textId="77777777" w:rsidTr="00B72508">
        <w:trPr>
          <w:trHeight w:val="571"/>
        </w:trPr>
        <w:tc>
          <w:tcPr>
            <w:tcW w:w="1805" w:type="dxa"/>
            <w:tcBorders>
              <w:top w:val="single" w:sz="8" w:space="0" w:color="F3CFC1"/>
              <w:bottom w:val="single" w:sz="8" w:space="0" w:color="F3CFC1"/>
            </w:tcBorders>
            <w:shd w:val="clear" w:color="auto" w:fill="D2232A" w:themeFill="accent1"/>
            <w:vAlign w:val="center"/>
          </w:tcPr>
          <w:p w14:paraId="2789CA40" w14:textId="4DD9D038" w:rsidR="07E5E1E8" w:rsidRDefault="07E5E1E8" w:rsidP="07E5E1E8">
            <w:pPr>
              <w:rPr>
                <w:rFonts w:eastAsia="Newslab" w:cs="Newslab"/>
                <w:color w:val="FFFFFF" w:themeColor="background1"/>
                <w:szCs w:val="18"/>
              </w:rPr>
            </w:pPr>
            <w:r w:rsidRPr="07E5E1E8">
              <w:rPr>
                <w:rFonts w:eastAsia="Newslab" w:cs="Newslab"/>
                <w:b/>
                <w:bCs/>
                <w:color w:val="FFFFFF" w:themeColor="background1"/>
                <w:szCs w:val="18"/>
              </w:rPr>
              <w:t>Konsolidirani financijski</w:t>
            </w:r>
            <w:r>
              <w:br/>
            </w:r>
            <w:r w:rsidRPr="07E5E1E8">
              <w:rPr>
                <w:rFonts w:eastAsia="Newslab" w:cs="Newslab"/>
                <w:b/>
                <w:bCs/>
                <w:color w:val="FFFFFF" w:themeColor="background1"/>
                <w:szCs w:val="18"/>
              </w:rPr>
              <w:t>rezultat (dobit ili gubitak razdoblja)</w:t>
            </w:r>
            <w:r w:rsidRPr="07E5E1E8">
              <w:rPr>
                <w:rFonts w:eastAsia="Newslab" w:cs="Newslab"/>
                <w:color w:val="FFFFFF" w:themeColor="background1"/>
                <w:szCs w:val="18"/>
              </w:rPr>
              <w:t xml:space="preserve">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085A3BC" w14:textId="2D804AA6" w:rsidR="07E5E1E8" w:rsidRDefault="07E5E1E8" w:rsidP="0022468D">
            <w:pPr>
              <w:jc w:val="center"/>
              <w:rPr>
                <w:rFonts w:eastAsia="Newslab" w:cs="Newslab"/>
                <w:szCs w:val="18"/>
              </w:rPr>
            </w:pPr>
            <w:r w:rsidRPr="07E5E1E8">
              <w:rPr>
                <w:rFonts w:eastAsia="Newslab" w:cs="Newslab"/>
                <w:szCs w:val="18"/>
              </w:rPr>
              <w:t>31.072.397</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4E99A5E" w14:textId="026D9CC6" w:rsidR="07E5E1E8" w:rsidRDefault="07E5E1E8" w:rsidP="0022468D">
            <w:pPr>
              <w:jc w:val="center"/>
              <w:rPr>
                <w:rFonts w:eastAsia="Newslab" w:cs="Newslab"/>
                <w:szCs w:val="18"/>
              </w:rPr>
            </w:pPr>
            <w:r w:rsidRPr="07E5E1E8">
              <w:rPr>
                <w:rFonts w:eastAsia="Newslab" w:cs="Newslab"/>
                <w:szCs w:val="18"/>
              </w:rPr>
              <w:t>31.281.333</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093D332" w14:textId="4E9B1F64" w:rsidR="07E5E1E8" w:rsidRDefault="07E5E1E8" w:rsidP="0022468D">
            <w:pPr>
              <w:jc w:val="center"/>
              <w:rPr>
                <w:rFonts w:eastAsia="Newslab" w:cs="Newslab"/>
                <w:szCs w:val="18"/>
              </w:rPr>
            </w:pPr>
            <w:r w:rsidRPr="07E5E1E8">
              <w:rPr>
                <w:rFonts w:eastAsia="Newslab" w:cs="Newslab"/>
                <w:szCs w:val="18"/>
              </w:rPr>
              <w:t>100,7</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A1CC5F1" w14:textId="57088809" w:rsidR="07E5E1E8" w:rsidRDefault="07E5E1E8" w:rsidP="0022468D">
            <w:pPr>
              <w:jc w:val="center"/>
              <w:rPr>
                <w:rFonts w:eastAsia="Newslab" w:cs="Newslab"/>
                <w:szCs w:val="18"/>
              </w:rPr>
            </w:pPr>
            <w:r w:rsidRPr="07E5E1E8">
              <w:rPr>
                <w:rFonts w:eastAsia="Newslab" w:cs="Newslab"/>
                <w:szCs w:val="18"/>
              </w:rPr>
              <w:t>609.667</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C88D041" w14:textId="1FDBE379" w:rsidR="07E5E1E8" w:rsidRDefault="07E5E1E8" w:rsidP="0022468D">
            <w:pPr>
              <w:jc w:val="center"/>
              <w:rPr>
                <w:rFonts w:eastAsia="Newslab" w:cs="Newslab"/>
                <w:szCs w:val="18"/>
              </w:rPr>
            </w:pPr>
            <w:r w:rsidRPr="07E5E1E8">
              <w:rPr>
                <w:rFonts w:eastAsia="Newslab" w:cs="Newslab"/>
                <w:szCs w:val="18"/>
              </w:rPr>
              <w:t>661.580</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687E58F" w14:textId="15AB7C4F" w:rsidR="07E5E1E8" w:rsidRDefault="07E5E1E8" w:rsidP="0022468D">
            <w:pPr>
              <w:jc w:val="center"/>
              <w:rPr>
                <w:rFonts w:eastAsia="Newslab" w:cs="Newslab"/>
                <w:szCs w:val="18"/>
              </w:rPr>
            </w:pPr>
            <w:r w:rsidRPr="07E5E1E8">
              <w:rPr>
                <w:rFonts w:eastAsia="Newslab" w:cs="Newslab"/>
                <w:szCs w:val="18"/>
              </w:rPr>
              <w:t>108,5</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FCBC0A4" w14:textId="445287A6" w:rsidR="07E5E1E8" w:rsidRDefault="07E5E1E8" w:rsidP="0022468D">
            <w:pPr>
              <w:jc w:val="center"/>
              <w:rPr>
                <w:rFonts w:eastAsia="Newslab" w:cs="Newslab"/>
                <w:szCs w:val="18"/>
              </w:rPr>
            </w:pPr>
            <w:r w:rsidRPr="07E5E1E8">
              <w:rPr>
                <w:rFonts w:eastAsia="Newslab" w:cs="Newslab"/>
                <w:szCs w:val="18"/>
              </w:rPr>
              <w:t>2,1</w:t>
            </w:r>
          </w:p>
        </w:tc>
      </w:tr>
      <w:tr w:rsidR="07E5E1E8" w14:paraId="7370A7AF" w14:textId="77777777" w:rsidTr="00B72508">
        <w:trPr>
          <w:trHeight w:val="480"/>
        </w:trPr>
        <w:tc>
          <w:tcPr>
            <w:tcW w:w="1805" w:type="dxa"/>
            <w:tcBorders>
              <w:top w:val="single" w:sz="8" w:space="0" w:color="F3CFC1"/>
              <w:bottom w:val="nil"/>
            </w:tcBorders>
            <w:shd w:val="clear" w:color="auto" w:fill="D2232A" w:themeFill="accent1"/>
            <w:vAlign w:val="center"/>
          </w:tcPr>
          <w:p w14:paraId="74B5E3BB" w14:textId="56A25356"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Neto plaća i nadnice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9190871" w14:textId="041A3AD4" w:rsidR="07E5E1E8" w:rsidRDefault="07E5E1E8" w:rsidP="0022468D">
            <w:pPr>
              <w:jc w:val="center"/>
              <w:rPr>
                <w:rFonts w:eastAsia="Newslab" w:cs="Newslab"/>
                <w:szCs w:val="18"/>
              </w:rPr>
            </w:pPr>
            <w:r w:rsidRPr="07E5E1E8">
              <w:rPr>
                <w:rFonts w:eastAsia="Newslab" w:cs="Newslab"/>
                <w:szCs w:val="18"/>
              </w:rPr>
              <w:t>61.073.774</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364479E" w14:textId="0D334025" w:rsidR="07E5E1E8" w:rsidRDefault="07E5E1E8" w:rsidP="0022468D">
            <w:pPr>
              <w:jc w:val="center"/>
              <w:rPr>
                <w:rFonts w:eastAsia="Newslab" w:cs="Newslab"/>
                <w:szCs w:val="18"/>
              </w:rPr>
            </w:pPr>
            <w:r w:rsidRPr="07E5E1E8">
              <w:rPr>
                <w:rFonts w:eastAsia="Newslab" w:cs="Newslab"/>
                <w:szCs w:val="18"/>
              </w:rPr>
              <w:t>67.668.212</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9166C46" w14:textId="5BDBCF1E" w:rsidR="07E5E1E8" w:rsidRDefault="07E5E1E8" w:rsidP="0022468D">
            <w:pPr>
              <w:jc w:val="center"/>
              <w:rPr>
                <w:rFonts w:eastAsia="Newslab" w:cs="Newslab"/>
                <w:szCs w:val="18"/>
              </w:rPr>
            </w:pPr>
            <w:r w:rsidRPr="07E5E1E8">
              <w:rPr>
                <w:rFonts w:eastAsia="Newslab" w:cs="Newslab"/>
                <w:szCs w:val="18"/>
              </w:rPr>
              <w:t>110,8</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9E833EE" w14:textId="086A3D88" w:rsidR="07E5E1E8" w:rsidRDefault="07E5E1E8" w:rsidP="0022468D">
            <w:pPr>
              <w:jc w:val="center"/>
              <w:rPr>
                <w:rFonts w:eastAsia="Newslab" w:cs="Newslab"/>
                <w:szCs w:val="18"/>
              </w:rPr>
            </w:pPr>
            <w:r w:rsidRPr="07E5E1E8">
              <w:rPr>
                <w:rFonts w:eastAsia="Newslab" w:cs="Newslab"/>
                <w:szCs w:val="18"/>
              </w:rPr>
              <w:t>1.204.532</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DEBEA49" w14:textId="18501D37" w:rsidR="07E5E1E8" w:rsidRDefault="07E5E1E8" w:rsidP="0022468D">
            <w:pPr>
              <w:jc w:val="center"/>
              <w:rPr>
                <w:rFonts w:eastAsia="Newslab" w:cs="Newslab"/>
                <w:szCs w:val="18"/>
              </w:rPr>
            </w:pPr>
            <w:r w:rsidRPr="07E5E1E8">
              <w:rPr>
                <w:rFonts w:eastAsia="Newslab" w:cs="Newslab"/>
                <w:szCs w:val="18"/>
              </w:rPr>
              <w:t>1.342.226</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2BD770C" w14:textId="044AF9DB" w:rsidR="07E5E1E8" w:rsidRDefault="07E5E1E8" w:rsidP="0022468D">
            <w:pPr>
              <w:jc w:val="center"/>
              <w:rPr>
                <w:rFonts w:eastAsia="Newslab" w:cs="Newslab"/>
                <w:szCs w:val="18"/>
              </w:rPr>
            </w:pPr>
            <w:r w:rsidRPr="07E5E1E8">
              <w:rPr>
                <w:rFonts w:eastAsia="Newslab" w:cs="Newslab"/>
                <w:szCs w:val="18"/>
              </w:rPr>
              <w:t>111,4</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DAC5A32" w14:textId="7B623BFF" w:rsidR="07E5E1E8" w:rsidRDefault="07E5E1E8" w:rsidP="0022468D">
            <w:pPr>
              <w:jc w:val="center"/>
              <w:rPr>
                <w:rFonts w:eastAsia="Newslab" w:cs="Newslab"/>
                <w:szCs w:val="18"/>
              </w:rPr>
            </w:pPr>
            <w:r w:rsidRPr="07E5E1E8">
              <w:rPr>
                <w:rFonts w:eastAsia="Newslab" w:cs="Newslab"/>
                <w:szCs w:val="18"/>
              </w:rPr>
              <w:t>2,0</w:t>
            </w:r>
          </w:p>
        </w:tc>
      </w:tr>
      <w:tr w:rsidR="07E5E1E8" w14:paraId="7C347E28" w14:textId="77777777" w:rsidTr="00B72508">
        <w:trPr>
          <w:trHeight w:val="465"/>
        </w:trPr>
        <w:tc>
          <w:tcPr>
            <w:tcW w:w="1805" w:type="dxa"/>
            <w:tcBorders>
              <w:top w:val="single" w:sz="8" w:space="0" w:color="F3CFC1"/>
              <w:bottom w:val="nil"/>
            </w:tcBorders>
            <w:shd w:val="clear" w:color="auto" w:fill="D2232A" w:themeFill="accent1"/>
            <w:vAlign w:val="center"/>
          </w:tcPr>
          <w:p w14:paraId="5ECD3340" w14:textId="3A2A0906"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Prosječna mjesečna neto plaća po zaposlenom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AE946C3" w14:textId="18931428" w:rsidR="07E5E1E8" w:rsidRDefault="07E5E1E8" w:rsidP="0022468D">
            <w:pPr>
              <w:jc w:val="center"/>
              <w:rPr>
                <w:rFonts w:eastAsia="Newslab" w:cs="Newslab"/>
                <w:szCs w:val="18"/>
              </w:rPr>
            </w:pPr>
            <w:r w:rsidRPr="07E5E1E8">
              <w:rPr>
                <w:rFonts w:eastAsia="Newslab" w:cs="Newslab"/>
                <w:szCs w:val="18"/>
              </w:rPr>
              <w:t>5.582</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2222F99" w14:textId="3AD4F6A2" w:rsidR="07E5E1E8" w:rsidRDefault="07E5E1E8" w:rsidP="0022468D">
            <w:pPr>
              <w:jc w:val="center"/>
              <w:rPr>
                <w:rFonts w:eastAsia="Newslab" w:cs="Newslab"/>
                <w:szCs w:val="18"/>
              </w:rPr>
            </w:pPr>
            <w:r w:rsidRPr="07E5E1E8">
              <w:rPr>
                <w:rFonts w:eastAsia="Newslab" w:cs="Newslab"/>
                <w:szCs w:val="18"/>
              </w:rPr>
              <w:t>5.815</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03B016A" w14:textId="6045D2E3" w:rsidR="07E5E1E8" w:rsidRDefault="07E5E1E8" w:rsidP="0022468D">
            <w:pPr>
              <w:jc w:val="center"/>
              <w:rPr>
                <w:rFonts w:eastAsia="Newslab" w:cs="Newslab"/>
                <w:szCs w:val="18"/>
              </w:rPr>
            </w:pPr>
            <w:r w:rsidRPr="07E5E1E8">
              <w:rPr>
                <w:rFonts w:eastAsia="Newslab" w:cs="Newslab"/>
                <w:szCs w:val="18"/>
              </w:rPr>
              <w:t>104,2</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030A196" w14:textId="529C850A" w:rsidR="07E5E1E8" w:rsidRDefault="07E5E1E8" w:rsidP="0022468D">
            <w:pPr>
              <w:jc w:val="center"/>
              <w:rPr>
                <w:rFonts w:eastAsia="Newslab" w:cs="Newslab"/>
                <w:szCs w:val="18"/>
              </w:rPr>
            </w:pPr>
            <w:r w:rsidRPr="07E5E1E8">
              <w:rPr>
                <w:rFonts w:eastAsia="Newslab" w:cs="Newslab"/>
                <w:szCs w:val="18"/>
              </w:rPr>
              <w:t>4.859</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79790CE" w14:textId="3A192405" w:rsidR="07E5E1E8" w:rsidRDefault="07E5E1E8" w:rsidP="0022468D">
            <w:pPr>
              <w:jc w:val="center"/>
              <w:rPr>
                <w:rFonts w:eastAsia="Newslab" w:cs="Newslab"/>
                <w:szCs w:val="18"/>
              </w:rPr>
            </w:pPr>
            <w:r w:rsidRPr="07E5E1E8">
              <w:rPr>
                <w:rFonts w:eastAsia="Newslab" w:cs="Newslab"/>
                <w:szCs w:val="18"/>
              </w:rPr>
              <w:t>5.145</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DF6569C" w14:textId="59974F3E" w:rsidR="07E5E1E8" w:rsidRDefault="07E5E1E8" w:rsidP="0022468D">
            <w:pPr>
              <w:jc w:val="center"/>
              <w:rPr>
                <w:rFonts w:eastAsia="Newslab" w:cs="Newslab"/>
                <w:szCs w:val="18"/>
              </w:rPr>
            </w:pPr>
            <w:r w:rsidRPr="07E5E1E8">
              <w:rPr>
                <w:rFonts w:eastAsia="Newslab" w:cs="Newslab"/>
                <w:szCs w:val="18"/>
              </w:rPr>
              <w:t>105,9</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E541352" w14:textId="20D60D45" w:rsidR="07E5E1E8" w:rsidRDefault="07E5E1E8" w:rsidP="0022468D">
            <w:pPr>
              <w:jc w:val="center"/>
              <w:rPr>
                <w:rFonts w:eastAsia="Newslab" w:cs="Newslab"/>
                <w:szCs w:val="18"/>
              </w:rPr>
            </w:pPr>
            <w:r w:rsidRPr="07E5E1E8">
              <w:rPr>
                <w:rFonts w:eastAsia="Newslab" w:cs="Newslab"/>
                <w:szCs w:val="18"/>
              </w:rPr>
              <w:t>88,5</w:t>
            </w:r>
          </w:p>
        </w:tc>
      </w:tr>
      <w:tr w:rsidR="07E5E1E8" w14:paraId="5462D4B6" w14:textId="77777777" w:rsidTr="00B72508">
        <w:trPr>
          <w:trHeight w:val="300"/>
        </w:trPr>
        <w:tc>
          <w:tcPr>
            <w:tcW w:w="1805" w:type="dxa"/>
            <w:tcBorders>
              <w:top w:val="single" w:sz="8" w:space="0" w:color="F3CFC1"/>
              <w:bottom w:val="single" w:sz="8" w:space="0" w:color="F3CFC1"/>
            </w:tcBorders>
            <w:shd w:val="clear" w:color="auto" w:fill="D2232A" w:themeFill="accent1"/>
            <w:vAlign w:val="center"/>
          </w:tcPr>
          <w:p w14:paraId="29F40D1D" w14:textId="6AE8DDC9"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Izvoz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2B6F8DB6" w14:textId="24F5D575" w:rsidR="07E5E1E8" w:rsidRDefault="07E5E1E8" w:rsidP="0022468D">
            <w:pPr>
              <w:jc w:val="center"/>
              <w:rPr>
                <w:rFonts w:eastAsia="Newslab" w:cs="Newslab"/>
                <w:szCs w:val="18"/>
              </w:rPr>
            </w:pPr>
            <w:r w:rsidRPr="07E5E1E8">
              <w:rPr>
                <w:rFonts w:eastAsia="Newslab" w:cs="Newslab"/>
                <w:szCs w:val="18"/>
              </w:rPr>
              <w:t>143.447.877</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58BA05B" w14:textId="48079BD4" w:rsidR="07E5E1E8" w:rsidRDefault="07E5E1E8" w:rsidP="0022468D">
            <w:pPr>
              <w:jc w:val="center"/>
              <w:rPr>
                <w:rFonts w:eastAsia="Newslab" w:cs="Newslab"/>
                <w:szCs w:val="18"/>
              </w:rPr>
            </w:pPr>
            <w:r w:rsidRPr="07E5E1E8">
              <w:rPr>
                <w:rFonts w:eastAsia="Newslab" w:cs="Newslab"/>
                <w:szCs w:val="18"/>
              </w:rPr>
              <w:t>151.455.118</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F44EC4E" w14:textId="62E8C869" w:rsidR="07E5E1E8" w:rsidRDefault="07E5E1E8" w:rsidP="0022468D">
            <w:pPr>
              <w:jc w:val="center"/>
              <w:rPr>
                <w:rFonts w:eastAsia="Newslab" w:cs="Newslab"/>
                <w:szCs w:val="18"/>
              </w:rPr>
            </w:pPr>
            <w:r w:rsidRPr="07E5E1E8">
              <w:rPr>
                <w:rFonts w:eastAsia="Newslab" w:cs="Newslab"/>
                <w:szCs w:val="18"/>
              </w:rPr>
              <w:t>105,6</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F134232" w14:textId="1F71942A" w:rsidR="07E5E1E8" w:rsidRDefault="07E5E1E8" w:rsidP="0022468D">
            <w:pPr>
              <w:jc w:val="center"/>
              <w:rPr>
                <w:rFonts w:eastAsia="Newslab" w:cs="Newslab"/>
                <w:szCs w:val="18"/>
              </w:rPr>
            </w:pPr>
            <w:r w:rsidRPr="07E5E1E8">
              <w:rPr>
                <w:rFonts w:eastAsia="Newslab" w:cs="Newslab"/>
                <w:szCs w:val="18"/>
              </w:rPr>
              <w:t>4.049.936</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56AA8BBD" w14:textId="7187B72B" w:rsidR="07E5E1E8" w:rsidRDefault="07E5E1E8" w:rsidP="0022468D">
            <w:pPr>
              <w:jc w:val="center"/>
              <w:rPr>
                <w:rFonts w:eastAsia="Newslab" w:cs="Newslab"/>
                <w:szCs w:val="18"/>
              </w:rPr>
            </w:pPr>
            <w:r w:rsidRPr="07E5E1E8">
              <w:rPr>
                <w:rFonts w:eastAsia="Newslab" w:cs="Newslab"/>
                <w:szCs w:val="18"/>
              </w:rPr>
              <w:t>4.190.047</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EF1DB59" w14:textId="495B9BBB" w:rsidR="07E5E1E8" w:rsidRDefault="07E5E1E8" w:rsidP="0022468D">
            <w:pPr>
              <w:jc w:val="center"/>
              <w:rPr>
                <w:rFonts w:eastAsia="Newslab" w:cs="Newslab"/>
                <w:szCs w:val="18"/>
              </w:rPr>
            </w:pPr>
            <w:r w:rsidRPr="07E5E1E8">
              <w:rPr>
                <w:rFonts w:eastAsia="Newslab" w:cs="Newslab"/>
                <w:szCs w:val="18"/>
              </w:rPr>
              <w:t>103,5</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17CF430" w14:textId="572631A4" w:rsidR="07E5E1E8" w:rsidRDefault="07E5E1E8" w:rsidP="0022468D">
            <w:pPr>
              <w:jc w:val="center"/>
              <w:rPr>
                <w:rFonts w:eastAsia="Newslab" w:cs="Newslab"/>
                <w:szCs w:val="18"/>
              </w:rPr>
            </w:pPr>
            <w:r w:rsidRPr="07E5E1E8">
              <w:rPr>
                <w:rFonts w:eastAsia="Newslab" w:cs="Newslab"/>
                <w:szCs w:val="18"/>
              </w:rPr>
              <w:t>2,8</w:t>
            </w:r>
          </w:p>
        </w:tc>
      </w:tr>
      <w:tr w:rsidR="07E5E1E8" w14:paraId="4C199AC9" w14:textId="77777777" w:rsidTr="00B72508">
        <w:trPr>
          <w:trHeight w:val="300"/>
        </w:trPr>
        <w:tc>
          <w:tcPr>
            <w:tcW w:w="1805" w:type="dxa"/>
            <w:tcBorders>
              <w:top w:val="single" w:sz="8" w:space="0" w:color="F3CFC1"/>
              <w:bottom w:val="single" w:sz="8" w:space="0" w:color="F3CFC1"/>
            </w:tcBorders>
            <w:shd w:val="clear" w:color="auto" w:fill="D2232A" w:themeFill="accent1"/>
            <w:vAlign w:val="center"/>
          </w:tcPr>
          <w:p w14:paraId="289F59A3" w14:textId="3EF7B137"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Uvoz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C2F5B39" w14:textId="48BA0FF4" w:rsidR="07E5E1E8" w:rsidRDefault="07E5E1E8" w:rsidP="0022468D">
            <w:pPr>
              <w:jc w:val="center"/>
              <w:rPr>
                <w:rFonts w:eastAsia="Newslab" w:cs="Newslab"/>
                <w:szCs w:val="18"/>
              </w:rPr>
            </w:pPr>
            <w:r w:rsidRPr="07E5E1E8">
              <w:rPr>
                <w:rFonts w:eastAsia="Newslab" w:cs="Newslab"/>
                <w:szCs w:val="18"/>
              </w:rPr>
              <w:t>128.539.396</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0B6AE7E" w14:textId="2BD40BE2" w:rsidR="07E5E1E8" w:rsidRDefault="07E5E1E8" w:rsidP="0022468D">
            <w:pPr>
              <w:jc w:val="center"/>
              <w:rPr>
                <w:rFonts w:eastAsia="Newslab" w:cs="Newslab"/>
                <w:szCs w:val="18"/>
              </w:rPr>
            </w:pPr>
            <w:r w:rsidRPr="07E5E1E8">
              <w:rPr>
                <w:rFonts w:eastAsia="Newslab" w:cs="Newslab"/>
                <w:szCs w:val="18"/>
              </w:rPr>
              <w:t>137.793.448</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334B951" w14:textId="74713C0F" w:rsidR="07E5E1E8" w:rsidRDefault="07E5E1E8" w:rsidP="0022468D">
            <w:pPr>
              <w:jc w:val="center"/>
              <w:rPr>
                <w:rFonts w:eastAsia="Newslab" w:cs="Newslab"/>
                <w:szCs w:val="18"/>
              </w:rPr>
            </w:pPr>
            <w:r w:rsidRPr="07E5E1E8">
              <w:rPr>
                <w:rFonts w:eastAsia="Newslab" w:cs="Newslab"/>
                <w:szCs w:val="18"/>
              </w:rPr>
              <w:t>107,2</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4A431F0" w14:textId="7D19B1C5" w:rsidR="07E5E1E8" w:rsidRDefault="07E5E1E8" w:rsidP="0022468D">
            <w:pPr>
              <w:jc w:val="center"/>
              <w:rPr>
                <w:rFonts w:eastAsia="Newslab" w:cs="Newslab"/>
                <w:szCs w:val="18"/>
              </w:rPr>
            </w:pPr>
            <w:r w:rsidRPr="07E5E1E8">
              <w:rPr>
                <w:rFonts w:eastAsia="Newslab" w:cs="Newslab"/>
                <w:szCs w:val="18"/>
              </w:rPr>
              <w:t>2.264.969</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8E36975" w14:textId="7E8AE746" w:rsidR="07E5E1E8" w:rsidRDefault="07E5E1E8" w:rsidP="0022468D">
            <w:pPr>
              <w:jc w:val="center"/>
              <w:rPr>
                <w:rFonts w:eastAsia="Newslab" w:cs="Newslab"/>
                <w:szCs w:val="18"/>
              </w:rPr>
            </w:pPr>
            <w:r w:rsidRPr="07E5E1E8">
              <w:rPr>
                <w:rFonts w:eastAsia="Newslab" w:cs="Newslab"/>
                <w:szCs w:val="18"/>
              </w:rPr>
              <w:t>2.448.415</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FC4C5B2" w14:textId="7A6B8AEC" w:rsidR="07E5E1E8" w:rsidRDefault="07E5E1E8" w:rsidP="0022468D">
            <w:pPr>
              <w:jc w:val="center"/>
              <w:rPr>
                <w:rFonts w:eastAsia="Newslab" w:cs="Newslab"/>
                <w:szCs w:val="18"/>
              </w:rPr>
            </w:pPr>
            <w:r w:rsidRPr="07E5E1E8">
              <w:rPr>
                <w:rFonts w:eastAsia="Newslab" w:cs="Newslab"/>
                <w:szCs w:val="18"/>
              </w:rPr>
              <w:t>108,1</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48DB3CE3" w14:textId="5489C46F" w:rsidR="07E5E1E8" w:rsidRDefault="07E5E1E8" w:rsidP="0022468D">
            <w:pPr>
              <w:jc w:val="center"/>
              <w:rPr>
                <w:rFonts w:eastAsia="Newslab" w:cs="Newslab"/>
                <w:szCs w:val="18"/>
              </w:rPr>
            </w:pPr>
            <w:r w:rsidRPr="07E5E1E8">
              <w:rPr>
                <w:rFonts w:eastAsia="Newslab" w:cs="Newslab"/>
                <w:szCs w:val="18"/>
              </w:rPr>
              <w:t>1,8</w:t>
            </w:r>
          </w:p>
        </w:tc>
      </w:tr>
      <w:tr w:rsidR="07E5E1E8" w14:paraId="6055EBF0" w14:textId="77777777" w:rsidTr="00B72508">
        <w:trPr>
          <w:trHeight w:val="495"/>
        </w:trPr>
        <w:tc>
          <w:tcPr>
            <w:tcW w:w="1805" w:type="dxa"/>
            <w:tcBorders>
              <w:top w:val="single" w:sz="8" w:space="0" w:color="F3CFC1"/>
              <w:bottom w:val="single" w:sz="8" w:space="0" w:color="F3CFC1"/>
            </w:tcBorders>
            <w:shd w:val="clear" w:color="auto" w:fill="D2232A" w:themeFill="accent1"/>
            <w:vAlign w:val="center"/>
          </w:tcPr>
          <w:p w14:paraId="7C0D926A" w14:textId="27929280"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t xml:space="preserve">Trgovinski saldo </w:t>
            </w:r>
            <w:r>
              <w:br/>
            </w:r>
            <w:r w:rsidRPr="07E5E1E8">
              <w:rPr>
                <w:rFonts w:eastAsia="Newslab" w:cs="Newslab"/>
                <w:color w:val="FFFFFF" w:themeColor="background1"/>
                <w:szCs w:val="18"/>
              </w:rPr>
              <w:t xml:space="preserve"> (izvoz minus uvoz)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02C4106" w14:textId="1A0B7BAC" w:rsidR="07E5E1E8" w:rsidRDefault="07E5E1E8" w:rsidP="0022468D">
            <w:pPr>
              <w:jc w:val="center"/>
              <w:rPr>
                <w:rFonts w:eastAsia="Newslab" w:cs="Newslab"/>
                <w:szCs w:val="18"/>
              </w:rPr>
            </w:pPr>
            <w:r w:rsidRPr="07E5E1E8">
              <w:rPr>
                <w:rFonts w:eastAsia="Newslab" w:cs="Newslab"/>
                <w:szCs w:val="18"/>
              </w:rPr>
              <w:t>14.908</w:t>
            </w:r>
            <w:r w:rsidR="3834AAB9" w:rsidRPr="07E5E1E8">
              <w:rPr>
                <w:rFonts w:eastAsia="Newslab" w:cs="Newslab"/>
                <w:szCs w:val="18"/>
              </w:rPr>
              <w:t>.481</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8C22D45" w14:textId="3CF4536E" w:rsidR="07E5E1E8" w:rsidRDefault="07E5E1E8" w:rsidP="0022468D">
            <w:pPr>
              <w:jc w:val="center"/>
              <w:rPr>
                <w:rFonts w:eastAsia="Newslab" w:cs="Newslab"/>
                <w:szCs w:val="18"/>
              </w:rPr>
            </w:pPr>
            <w:r w:rsidRPr="07E5E1E8">
              <w:rPr>
                <w:rFonts w:eastAsia="Newslab" w:cs="Newslab"/>
                <w:szCs w:val="18"/>
              </w:rPr>
              <w:t>13.661.670</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74C9309" w14:textId="1385E233" w:rsidR="07E5E1E8" w:rsidRDefault="07E5E1E8" w:rsidP="0022468D">
            <w:pPr>
              <w:jc w:val="center"/>
              <w:rPr>
                <w:rFonts w:eastAsia="Newslab" w:cs="Newslab"/>
                <w:szCs w:val="18"/>
              </w:rPr>
            </w:pPr>
            <w:r w:rsidRPr="07E5E1E8">
              <w:rPr>
                <w:rFonts w:eastAsia="Newslab" w:cs="Newslab"/>
                <w:szCs w:val="18"/>
              </w:rPr>
              <w:t>91</w:t>
            </w:r>
            <w:r w:rsidR="512CD2CD" w:rsidRPr="07E5E1E8">
              <w:rPr>
                <w:rFonts w:eastAsia="Newslab" w:cs="Newslab"/>
                <w:szCs w:val="18"/>
              </w:rPr>
              <w:t>,6</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0573677A" w14:textId="0EC98881" w:rsidR="07E5E1E8" w:rsidRDefault="07E5E1E8" w:rsidP="0022468D">
            <w:pPr>
              <w:jc w:val="center"/>
              <w:rPr>
                <w:rFonts w:eastAsia="Newslab" w:cs="Newslab"/>
                <w:szCs w:val="18"/>
              </w:rPr>
            </w:pPr>
            <w:r w:rsidRPr="07E5E1E8">
              <w:rPr>
                <w:rFonts w:eastAsia="Newslab" w:cs="Newslab"/>
                <w:szCs w:val="18"/>
              </w:rPr>
              <w:t>1.784.966</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DD8D8DC" w14:textId="31D775F8" w:rsidR="07E5E1E8" w:rsidRDefault="07E5E1E8" w:rsidP="0022468D">
            <w:pPr>
              <w:jc w:val="center"/>
              <w:rPr>
                <w:rFonts w:eastAsia="Newslab" w:cs="Newslab"/>
                <w:szCs w:val="18"/>
              </w:rPr>
            </w:pPr>
            <w:r w:rsidRPr="07E5E1E8">
              <w:rPr>
                <w:rFonts w:eastAsia="Newslab" w:cs="Newslab"/>
                <w:szCs w:val="18"/>
              </w:rPr>
              <w:t>1.741.633</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F450D68" w14:textId="09809A95" w:rsidR="07E5E1E8" w:rsidRDefault="07E5E1E8" w:rsidP="0022468D">
            <w:pPr>
              <w:jc w:val="center"/>
              <w:rPr>
                <w:rFonts w:eastAsia="Newslab" w:cs="Newslab"/>
                <w:szCs w:val="18"/>
              </w:rPr>
            </w:pPr>
            <w:r w:rsidRPr="07E5E1E8">
              <w:rPr>
                <w:rFonts w:eastAsia="Newslab" w:cs="Newslab"/>
                <w:szCs w:val="18"/>
              </w:rPr>
              <w:t>97,6</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B05DAA4" w14:textId="2D2E3A14" w:rsidR="07E5E1E8" w:rsidRDefault="07E5E1E8" w:rsidP="0022468D">
            <w:pPr>
              <w:jc w:val="center"/>
              <w:rPr>
                <w:rFonts w:eastAsia="Newslab" w:cs="Newslab"/>
                <w:szCs w:val="18"/>
              </w:rPr>
            </w:pPr>
            <w:r w:rsidRPr="07E5E1E8">
              <w:rPr>
                <w:rFonts w:eastAsia="Newslab" w:cs="Newslab"/>
                <w:szCs w:val="18"/>
              </w:rPr>
              <w:t>12,7</w:t>
            </w:r>
          </w:p>
        </w:tc>
      </w:tr>
      <w:tr w:rsidR="07E5E1E8" w14:paraId="289CD60A" w14:textId="77777777" w:rsidTr="00B72508">
        <w:trPr>
          <w:trHeight w:val="495"/>
        </w:trPr>
        <w:tc>
          <w:tcPr>
            <w:tcW w:w="1805" w:type="dxa"/>
            <w:tcBorders>
              <w:top w:val="single" w:sz="8" w:space="0" w:color="F3CFC1"/>
              <w:bottom w:val="nil"/>
              <w:right w:val="single" w:sz="8" w:space="0" w:color="D2232A" w:themeColor="accent1"/>
            </w:tcBorders>
            <w:shd w:val="clear" w:color="auto" w:fill="D2232A" w:themeFill="accent1"/>
            <w:vAlign w:val="center"/>
          </w:tcPr>
          <w:p w14:paraId="02C35D29" w14:textId="398834A7" w:rsidR="07E5E1E8" w:rsidRDefault="07E5E1E8" w:rsidP="07E5E1E8">
            <w:pPr>
              <w:rPr>
                <w:rFonts w:eastAsia="Newslab" w:cs="Newslab"/>
                <w:color w:val="FFFFFF" w:themeColor="background1"/>
                <w:szCs w:val="18"/>
              </w:rPr>
            </w:pPr>
            <w:r w:rsidRPr="07E5E1E8">
              <w:rPr>
                <w:rFonts w:eastAsia="Newslab" w:cs="Newslab"/>
                <w:color w:val="FFFFFF" w:themeColor="background1"/>
                <w:szCs w:val="18"/>
              </w:rPr>
              <w:lastRenderedPageBreak/>
              <w:t>Bruto investicije samo u novu</w:t>
            </w:r>
            <w:r>
              <w:br/>
            </w:r>
            <w:r w:rsidRPr="07E5E1E8">
              <w:rPr>
                <w:rFonts w:eastAsia="Newslab" w:cs="Newslab"/>
                <w:color w:val="FFFFFF" w:themeColor="background1"/>
                <w:szCs w:val="18"/>
              </w:rPr>
              <w:t xml:space="preserve">dugotrajnu imovinu </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32BAEA83" w14:textId="7A2262ED" w:rsidR="07E5E1E8" w:rsidRDefault="07E5E1E8" w:rsidP="0022468D">
            <w:pPr>
              <w:jc w:val="center"/>
              <w:rPr>
                <w:rFonts w:eastAsia="Newslab" w:cs="Newslab"/>
                <w:szCs w:val="18"/>
              </w:rPr>
            </w:pPr>
            <w:r w:rsidRPr="07E5E1E8">
              <w:rPr>
                <w:rFonts w:eastAsia="Newslab" w:cs="Newslab"/>
                <w:szCs w:val="18"/>
              </w:rPr>
              <w:t>23.481.990</w:t>
            </w:r>
          </w:p>
        </w:tc>
        <w:tc>
          <w:tcPr>
            <w:tcW w:w="1250"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1A9BE47" w14:textId="51DC7396" w:rsidR="07E5E1E8" w:rsidRDefault="07E5E1E8" w:rsidP="0022468D">
            <w:pPr>
              <w:jc w:val="center"/>
              <w:rPr>
                <w:rFonts w:eastAsia="Newslab" w:cs="Newslab"/>
                <w:szCs w:val="18"/>
              </w:rPr>
            </w:pPr>
            <w:r w:rsidRPr="07E5E1E8">
              <w:rPr>
                <w:rFonts w:eastAsia="Newslab" w:cs="Newslab"/>
                <w:szCs w:val="18"/>
              </w:rPr>
              <w:t>27.528.822</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7EB55D9" w14:textId="3D387F83" w:rsidR="07E5E1E8" w:rsidRDefault="07E5E1E8" w:rsidP="0022468D">
            <w:pPr>
              <w:jc w:val="center"/>
              <w:rPr>
                <w:rFonts w:eastAsia="Newslab" w:cs="Newslab"/>
                <w:szCs w:val="18"/>
              </w:rPr>
            </w:pPr>
            <w:r w:rsidRPr="07E5E1E8">
              <w:rPr>
                <w:rFonts w:eastAsia="Newslab" w:cs="Newslab"/>
                <w:szCs w:val="18"/>
              </w:rPr>
              <w:t>117,2</w:t>
            </w:r>
          </w:p>
        </w:tc>
        <w:tc>
          <w:tcPr>
            <w:tcW w:w="1241"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6AE2AF23" w14:textId="5CF0B2B8" w:rsidR="07E5E1E8" w:rsidRDefault="07E5E1E8" w:rsidP="0022468D">
            <w:pPr>
              <w:jc w:val="center"/>
              <w:rPr>
                <w:rFonts w:eastAsia="Newslab" w:cs="Newslab"/>
                <w:szCs w:val="18"/>
              </w:rPr>
            </w:pPr>
            <w:r w:rsidRPr="07E5E1E8">
              <w:rPr>
                <w:rFonts w:eastAsia="Newslab" w:cs="Newslab"/>
                <w:szCs w:val="18"/>
              </w:rPr>
              <w:t>361.355</w:t>
            </w:r>
          </w:p>
        </w:tc>
        <w:tc>
          <w:tcPr>
            <w:tcW w:w="127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2205877" w14:textId="31D58994" w:rsidR="07E5E1E8" w:rsidRDefault="07E5E1E8" w:rsidP="0022468D">
            <w:pPr>
              <w:jc w:val="center"/>
              <w:rPr>
                <w:rFonts w:eastAsia="Newslab" w:cs="Newslab"/>
                <w:szCs w:val="18"/>
              </w:rPr>
            </w:pPr>
            <w:r w:rsidRPr="07E5E1E8">
              <w:rPr>
                <w:rFonts w:eastAsia="Newslab" w:cs="Newslab"/>
                <w:szCs w:val="18"/>
              </w:rPr>
              <w:t>442.652</w:t>
            </w:r>
          </w:p>
        </w:tc>
        <w:tc>
          <w:tcPr>
            <w:tcW w:w="816"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1F487A7F" w14:textId="3B041183" w:rsidR="07E5E1E8" w:rsidRDefault="07E5E1E8" w:rsidP="0022468D">
            <w:pPr>
              <w:jc w:val="center"/>
              <w:rPr>
                <w:rFonts w:eastAsia="Newslab" w:cs="Newslab"/>
                <w:szCs w:val="18"/>
              </w:rPr>
            </w:pPr>
            <w:r w:rsidRPr="07E5E1E8">
              <w:rPr>
                <w:rFonts w:eastAsia="Newslab" w:cs="Newslab"/>
                <w:szCs w:val="18"/>
              </w:rPr>
              <w:t>122,5</w:t>
            </w:r>
          </w:p>
        </w:tc>
        <w:tc>
          <w:tcPr>
            <w:tcW w:w="833" w:type="dxa"/>
            <w:tcBorders>
              <w:top w:val="single" w:sz="8" w:space="0" w:color="F3CFC1"/>
              <w:left w:val="single" w:sz="8" w:space="0" w:color="EC8E92" w:themeColor="accent6"/>
              <w:bottom w:val="single" w:sz="8" w:space="0" w:color="F3CFC1"/>
              <w:right w:val="single" w:sz="8" w:space="0" w:color="EC8E92" w:themeColor="accent6"/>
            </w:tcBorders>
            <w:vAlign w:val="center"/>
          </w:tcPr>
          <w:p w14:paraId="773EAFE4" w14:textId="1D547A32" w:rsidR="07E5E1E8" w:rsidRDefault="07E5E1E8" w:rsidP="0022468D">
            <w:pPr>
              <w:jc w:val="center"/>
              <w:rPr>
                <w:rFonts w:eastAsia="Newslab" w:cs="Newslab"/>
                <w:szCs w:val="18"/>
              </w:rPr>
            </w:pPr>
            <w:r w:rsidRPr="07E5E1E8">
              <w:rPr>
                <w:rFonts w:eastAsia="Newslab" w:cs="Newslab"/>
                <w:szCs w:val="18"/>
              </w:rPr>
              <w:t>1,6</w:t>
            </w:r>
          </w:p>
        </w:tc>
      </w:tr>
    </w:tbl>
    <w:p w14:paraId="68D0B96C" w14:textId="2FF77ACE" w:rsidR="008878A0" w:rsidRPr="009E69A4" w:rsidRDefault="008878A0" w:rsidP="009E69A4">
      <w:pPr>
        <w:autoSpaceDE w:val="0"/>
        <w:autoSpaceDN w:val="0"/>
        <w:adjustRightInd w:val="0"/>
        <w:spacing w:after="0" w:line="240" w:lineRule="auto"/>
        <w:rPr>
          <w:rFonts w:eastAsia="ArialNarrow" w:cstheme="minorHAnsi"/>
          <w:i/>
          <w:color w:val="ABABAB" w:themeColor="text1" w:themeTint="A6"/>
          <w:sz w:val="16"/>
          <w:szCs w:val="16"/>
        </w:rPr>
      </w:pPr>
      <w:r w:rsidRPr="009E69A4">
        <w:rPr>
          <w:rFonts w:eastAsia="ArialNarrow" w:cstheme="minorHAnsi"/>
          <w:i/>
          <w:color w:val="ABABAB" w:themeColor="text1" w:themeTint="A6"/>
          <w:sz w:val="16"/>
          <w:szCs w:val="16"/>
        </w:rPr>
        <w:t>Izvor: FINA, Analiza financijskih rezultata poslovanja poduzetnika Krapinsko-zagorske županije u 201</w:t>
      </w:r>
      <w:r w:rsidR="4DF717E1" w:rsidRPr="009E69A4">
        <w:rPr>
          <w:rFonts w:eastAsia="ArialNarrow" w:cstheme="minorHAnsi"/>
          <w:i/>
          <w:color w:val="ABABAB" w:themeColor="text1" w:themeTint="A6"/>
          <w:sz w:val="16"/>
          <w:szCs w:val="16"/>
        </w:rPr>
        <w:t>9</w:t>
      </w:r>
      <w:r w:rsidRPr="009E69A4">
        <w:rPr>
          <w:rFonts w:eastAsia="ArialNarrow" w:cstheme="minorHAnsi"/>
          <w:i/>
          <w:color w:val="ABABAB" w:themeColor="text1" w:themeTint="A6"/>
          <w:sz w:val="16"/>
          <w:szCs w:val="16"/>
        </w:rPr>
        <w:t>. godini</w:t>
      </w:r>
    </w:p>
    <w:p w14:paraId="2A6646C4" w14:textId="77777777" w:rsidR="00636DF4" w:rsidRDefault="00636DF4" w:rsidP="00941871">
      <w:pPr>
        <w:rPr>
          <w:rFonts w:eastAsia="Arial" w:cstheme="minorHAnsi"/>
        </w:rPr>
      </w:pPr>
    </w:p>
    <w:p w14:paraId="43044C1C" w14:textId="753E2A0F" w:rsidR="008878A0" w:rsidRDefault="008878A0" w:rsidP="07E5E1E8">
      <w:pPr>
        <w:rPr>
          <w:rFonts w:eastAsia="Arial"/>
        </w:rPr>
      </w:pPr>
      <w:r w:rsidRPr="07E5E1E8">
        <w:rPr>
          <w:rFonts w:eastAsia="Arial"/>
        </w:rPr>
        <w:t>U čitavoj RH poduzetnici su</w:t>
      </w:r>
      <w:r w:rsidRPr="07E5E1E8">
        <w:t xml:space="preserve"> </w:t>
      </w:r>
      <w:r w:rsidRPr="07E5E1E8">
        <w:rPr>
          <w:rFonts w:eastAsia="Arial"/>
        </w:rPr>
        <w:t>u</w:t>
      </w:r>
      <w:r w:rsidRPr="07E5E1E8">
        <w:t xml:space="preserve"> </w:t>
      </w:r>
      <w:r w:rsidRPr="07E5E1E8">
        <w:rPr>
          <w:rFonts w:eastAsia="Arial"/>
        </w:rPr>
        <w:t>201</w:t>
      </w:r>
      <w:r w:rsidR="4214F051" w:rsidRPr="07E5E1E8">
        <w:rPr>
          <w:rFonts w:eastAsia="Arial"/>
        </w:rPr>
        <w:t>9</w:t>
      </w:r>
      <w:r w:rsidRPr="07E5E1E8">
        <w:rPr>
          <w:rFonts w:eastAsia="Arial"/>
        </w:rPr>
        <w:t>.</w:t>
      </w:r>
      <w:r w:rsidRPr="07E5E1E8">
        <w:t xml:space="preserve"> </w:t>
      </w:r>
      <w:r w:rsidRPr="07E5E1E8">
        <w:rPr>
          <w:rFonts w:eastAsia="Arial"/>
        </w:rPr>
        <w:t>ostvarili</w:t>
      </w:r>
      <w:r w:rsidRPr="07E5E1E8">
        <w:t xml:space="preserve"> </w:t>
      </w:r>
      <w:r w:rsidRPr="07E5E1E8">
        <w:rPr>
          <w:rFonts w:eastAsia="Arial"/>
        </w:rPr>
        <w:t>ukupne</w:t>
      </w:r>
      <w:r w:rsidRPr="07E5E1E8">
        <w:t xml:space="preserve"> </w:t>
      </w:r>
      <w:r w:rsidRPr="07E5E1E8">
        <w:rPr>
          <w:rFonts w:eastAsia="Arial"/>
        </w:rPr>
        <w:t>prihode</w:t>
      </w:r>
      <w:r w:rsidRPr="07E5E1E8">
        <w:t xml:space="preserve"> </w:t>
      </w:r>
      <w:r w:rsidRPr="07E5E1E8">
        <w:rPr>
          <w:rFonts w:eastAsia="Arial"/>
        </w:rPr>
        <w:t>u</w:t>
      </w:r>
      <w:r w:rsidRPr="07E5E1E8">
        <w:t xml:space="preserve"> </w:t>
      </w:r>
      <w:r w:rsidRPr="07E5E1E8">
        <w:rPr>
          <w:rFonts w:eastAsia="Arial"/>
        </w:rPr>
        <w:t>iznosu</w:t>
      </w:r>
      <w:r w:rsidRPr="07E5E1E8">
        <w:t xml:space="preserve"> </w:t>
      </w:r>
      <w:r w:rsidRPr="07E5E1E8">
        <w:rPr>
          <w:rFonts w:eastAsia="Arial"/>
        </w:rPr>
        <w:t>nešto</w:t>
      </w:r>
      <w:r w:rsidRPr="07E5E1E8">
        <w:t xml:space="preserve"> </w:t>
      </w:r>
      <w:r w:rsidRPr="07E5E1E8">
        <w:rPr>
          <w:rFonts w:eastAsia="Arial"/>
        </w:rPr>
        <w:t>manjem</w:t>
      </w:r>
      <w:r w:rsidRPr="07E5E1E8">
        <w:t xml:space="preserve"> </w:t>
      </w:r>
      <w:r w:rsidRPr="07E5E1E8">
        <w:rPr>
          <w:rFonts w:eastAsia="Arial"/>
        </w:rPr>
        <w:t>od</w:t>
      </w:r>
      <w:r w:rsidRPr="07E5E1E8">
        <w:t xml:space="preserve"> </w:t>
      </w:r>
      <w:r w:rsidRPr="07E5E1E8">
        <w:rPr>
          <w:rFonts w:eastAsia="Arial"/>
        </w:rPr>
        <w:t>7</w:t>
      </w:r>
      <w:r w:rsidR="763B460B" w:rsidRPr="07E5E1E8">
        <w:rPr>
          <w:rFonts w:eastAsia="Arial"/>
        </w:rPr>
        <w:t>96</w:t>
      </w:r>
      <w:r w:rsidRPr="07E5E1E8">
        <w:rPr>
          <w:rFonts w:eastAsia="Arial"/>
        </w:rPr>
        <w:t>,2</w:t>
      </w:r>
      <w:r w:rsidRPr="07E5E1E8">
        <w:t xml:space="preserve"> </w:t>
      </w:r>
      <w:r w:rsidRPr="07E5E1E8">
        <w:rPr>
          <w:rFonts w:eastAsia="Arial"/>
        </w:rPr>
        <w:t>milijarde</w:t>
      </w:r>
      <w:r w:rsidRPr="07E5E1E8">
        <w:t xml:space="preserve"> </w:t>
      </w:r>
      <w:r w:rsidRPr="07E5E1E8">
        <w:rPr>
          <w:rFonts w:eastAsia="Arial"/>
        </w:rPr>
        <w:t>kuna,</w:t>
      </w:r>
      <w:r w:rsidRPr="07E5E1E8">
        <w:t xml:space="preserve"> </w:t>
      </w:r>
      <w:r w:rsidRPr="07E5E1E8">
        <w:rPr>
          <w:rFonts w:eastAsia="Arial"/>
        </w:rPr>
        <w:t>ukupne</w:t>
      </w:r>
      <w:r w:rsidRPr="07E5E1E8">
        <w:t xml:space="preserve"> </w:t>
      </w:r>
      <w:r w:rsidRPr="07E5E1E8">
        <w:rPr>
          <w:rFonts w:eastAsia="Arial"/>
        </w:rPr>
        <w:t>rashode</w:t>
      </w:r>
      <w:r w:rsidRPr="07E5E1E8">
        <w:t xml:space="preserve"> </w:t>
      </w:r>
      <w:r w:rsidRPr="07E5E1E8">
        <w:rPr>
          <w:rFonts w:eastAsia="Arial"/>
        </w:rPr>
        <w:t>od</w:t>
      </w:r>
      <w:r w:rsidRPr="07E5E1E8">
        <w:t xml:space="preserve"> </w:t>
      </w:r>
      <w:r w:rsidRPr="07E5E1E8">
        <w:rPr>
          <w:rFonts w:eastAsia="Arial"/>
        </w:rPr>
        <w:t>7</w:t>
      </w:r>
      <w:r w:rsidR="7D182B8E" w:rsidRPr="07E5E1E8">
        <w:rPr>
          <w:rFonts w:eastAsia="Arial"/>
        </w:rPr>
        <w:t>56</w:t>
      </w:r>
      <w:r w:rsidRPr="07E5E1E8">
        <w:rPr>
          <w:rFonts w:eastAsia="Arial"/>
        </w:rPr>
        <w:t>,</w:t>
      </w:r>
      <w:r w:rsidR="1FFDD3AD" w:rsidRPr="07E5E1E8">
        <w:rPr>
          <w:rFonts w:eastAsia="Arial"/>
        </w:rPr>
        <w:t>5</w:t>
      </w:r>
      <w:r w:rsidRPr="07E5E1E8">
        <w:t xml:space="preserve"> </w:t>
      </w:r>
      <w:r w:rsidRPr="07E5E1E8">
        <w:rPr>
          <w:rFonts w:eastAsia="Arial"/>
        </w:rPr>
        <w:t>milijarde</w:t>
      </w:r>
      <w:r w:rsidRPr="07E5E1E8">
        <w:t xml:space="preserve"> </w:t>
      </w:r>
      <w:r w:rsidRPr="07E5E1E8">
        <w:rPr>
          <w:rFonts w:eastAsia="Arial"/>
        </w:rPr>
        <w:t>kuna</w:t>
      </w:r>
      <w:r w:rsidRPr="07E5E1E8">
        <w:t xml:space="preserve"> </w:t>
      </w:r>
      <w:r w:rsidRPr="07E5E1E8">
        <w:rPr>
          <w:rFonts w:eastAsia="Arial"/>
        </w:rPr>
        <w:t>te</w:t>
      </w:r>
      <w:r w:rsidRPr="07E5E1E8">
        <w:t xml:space="preserve"> </w:t>
      </w:r>
      <w:r w:rsidR="51AB01D5" w:rsidRPr="07E5E1E8">
        <w:t xml:space="preserve">nešto manje </w:t>
      </w:r>
      <w:r w:rsidRPr="07E5E1E8">
        <w:rPr>
          <w:rFonts w:eastAsia="Arial"/>
        </w:rPr>
        <w:t>od</w:t>
      </w:r>
      <w:r w:rsidRPr="07E5E1E8">
        <w:t xml:space="preserve"> </w:t>
      </w:r>
      <w:r w:rsidR="3D2D0D50" w:rsidRPr="07E5E1E8">
        <w:t>48,9</w:t>
      </w:r>
      <w:r w:rsidRPr="07E5E1E8">
        <w:t xml:space="preserve"> </w:t>
      </w:r>
      <w:r w:rsidRPr="07E5E1E8">
        <w:rPr>
          <w:rFonts w:eastAsia="Arial"/>
        </w:rPr>
        <w:t>milijarde</w:t>
      </w:r>
      <w:r w:rsidRPr="07E5E1E8">
        <w:t xml:space="preserve"> </w:t>
      </w:r>
      <w:r w:rsidRPr="07E5E1E8">
        <w:rPr>
          <w:rFonts w:eastAsia="Arial"/>
        </w:rPr>
        <w:t>kuna</w:t>
      </w:r>
      <w:r w:rsidRPr="07E5E1E8">
        <w:t xml:space="preserve"> </w:t>
      </w:r>
      <w:r w:rsidRPr="07E5E1E8">
        <w:rPr>
          <w:rFonts w:eastAsia="Arial"/>
        </w:rPr>
        <w:t>neto</w:t>
      </w:r>
      <w:r w:rsidRPr="07E5E1E8">
        <w:t xml:space="preserve"> </w:t>
      </w:r>
      <w:r w:rsidRPr="07E5E1E8">
        <w:rPr>
          <w:rFonts w:eastAsia="Arial"/>
        </w:rPr>
        <w:t>dobiti</w:t>
      </w:r>
      <w:r w:rsidR="00402D06" w:rsidRPr="07E5E1E8">
        <w:rPr>
          <w:rFonts w:eastAsia="Arial"/>
        </w:rPr>
        <w:t xml:space="preserve">. </w:t>
      </w:r>
      <w:r w:rsidRPr="07E5E1E8">
        <w:rPr>
          <w:rFonts w:eastAsia="Arial"/>
        </w:rPr>
        <w:t>Dobit</w:t>
      </w:r>
      <w:r w:rsidRPr="07E5E1E8">
        <w:t xml:space="preserve"> </w:t>
      </w:r>
      <w:r w:rsidRPr="07E5E1E8">
        <w:rPr>
          <w:rFonts w:eastAsia="Arial"/>
        </w:rPr>
        <w:t>u</w:t>
      </w:r>
      <w:r w:rsidRPr="07E5E1E8">
        <w:t xml:space="preserve"> </w:t>
      </w:r>
      <w:r w:rsidRPr="07E5E1E8">
        <w:rPr>
          <w:rFonts w:eastAsia="Arial"/>
        </w:rPr>
        <w:t>iznosu</w:t>
      </w:r>
      <w:r w:rsidRPr="07E5E1E8">
        <w:t xml:space="preserve"> </w:t>
      </w:r>
      <w:r w:rsidRPr="07E5E1E8">
        <w:rPr>
          <w:rFonts w:eastAsia="Arial"/>
        </w:rPr>
        <w:t>od</w:t>
      </w:r>
      <w:r w:rsidRPr="07E5E1E8">
        <w:t xml:space="preserve"> </w:t>
      </w:r>
      <w:r w:rsidR="69EE34D5" w:rsidRPr="07E5E1E8">
        <w:t>48,9</w:t>
      </w:r>
      <w:r w:rsidRPr="07E5E1E8">
        <w:t xml:space="preserve"> </w:t>
      </w:r>
      <w:r w:rsidRPr="07E5E1E8">
        <w:rPr>
          <w:rFonts w:eastAsia="Arial"/>
        </w:rPr>
        <w:t>milijardi</w:t>
      </w:r>
      <w:r w:rsidRPr="07E5E1E8">
        <w:t xml:space="preserve"> </w:t>
      </w:r>
      <w:r w:rsidRPr="07E5E1E8">
        <w:rPr>
          <w:rFonts w:eastAsia="Arial"/>
        </w:rPr>
        <w:t>kuna</w:t>
      </w:r>
      <w:r w:rsidRPr="07E5E1E8">
        <w:t xml:space="preserve"> </w:t>
      </w:r>
      <w:r w:rsidRPr="07E5E1E8">
        <w:rPr>
          <w:rFonts w:eastAsia="Arial"/>
        </w:rPr>
        <w:t>u</w:t>
      </w:r>
      <w:r w:rsidRPr="07E5E1E8">
        <w:t xml:space="preserve"> </w:t>
      </w:r>
      <w:r w:rsidRPr="07E5E1E8">
        <w:rPr>
          <w:rFonts w:eastAsia="Arial"/>
        </w:rPr>
        <w:t>201</w:t>
      </w:r>
      <w:r w:rsidR="2D4A5F33" w:rsidRPr="07E5E1E8">
        <w:rPr>
          <w:rFonts w:eastAsia="Arial"/>
        </w:rPr>
        <w:t>9</w:t>
      </w:r>
      <w:r w:rsidRPr="07E5E1E8">
        <w:rPr>
          <w:rFonts w:eastAsia="Arial"/>
        </w:rPr>
        <w:t>.</w:t>
      </w:r>
      <w:r w:rsidRPr="07E5E1E8">
        <w:t xml:space="preserve"> </w:t>
      </w:r>
      <w:r w:rsidRPr="07E5E1E8">
        <w:rPr>
          <w:rFonts w:eastAsia="Arial"/>
        </w:rPr>
        <w:t>godini</w:t>
      </w:r>
      <w:r w:rsidRPr="07E5E1E8">
        <w:t xml:space="preserve"> </w:t>
      </w:r>
      <w:r w:rsidRPr="07E5E1E8">
        <w:rPr>
          <w:rFonts w:eastAsia="Arial"/>
        </w:rPr>
        <w:t>ostvarila</w:t>
      </w:r>
      <w:r w:rsidRPr="07E5E1E8">
        <w:t xml:space="preserve"> </w:t>
      </w:r>
      <w:r w:rsidRPr="07E5E1E8">
        <w:rPr>
          <w:rFonts w:eastAsia="Arial"/>
        </w:rPr>
        <w:t>su</w:t>
      </w:r>
      <w:r w:rsidRPr="07E5E1E8">
        <w:t xml:space="preserve"> </w:t>
      </w:r>
      <w:r w:rsidR="5A8E7502" w:rsidRPr="07E5E1E8">
        <w:rPr>
          <w:rFonts w:eastAsia="Arial"/>
        </w:rPr>
        <w:t>90</w:t>
      </w:r>
      <w:r w:rsidRPr="07E5E1E8">
        <w:rPr>
          <w:rFonts w:eastAsia="Arial"/>
        </w:rPr>
        <w:t>.</w:t>
      </w:r>
      <w:r w:rsidR="166DCE7C" w:rsidRPr="07E5E1E8">
        <w:rPr>
          <w:rFonts w:eastAsia="Arial"/>
        </w:rPr>
        <w:t>955</w:t>
      </w:r>
      <w:r w:rsidRPr="07E5E1E8">
        <w:t xml:space="preserve"> </w:t>
      </w:r>
      <w:r w:rsidRPr="07E5E1E8">
        <w:rPr>
          <w:rFonts w:eastAsia="Arial"/>
        </w:rPr>
        <w:t>(6</w:t>
      </w:r>
      <w:r w:rsidR="4A9C49F3" w:rsidRPr="07E5E1E8">
        <w:rPr>
          <w:rFonts w:eastAsia="Arial"/>
        </w:rPr>
        <w:t>6</w:t>
      </w:r>
      <w:r w:rsidRPr="07E5E1E8">
        <w:rPr>
          <w:rFonts w:eastAsia="Arial"/>
        </w:rPr>
        <w:t>,</w:t>
      </w:r>
      <w:r w:rsidR="7DF6B0EB" w:rsidRPr="07E5E1E8">
        <w:rPr>
          <w:rFonts w:eastAsia="Arial"/>
        </w:rPr>
        <w:t>8</w:t>
      </w:r>
      <w:r w:rsidRPr="07E5E1E8">
        <w:rPr>
          <w:rFonts w:eastAsia="Arial"/>
        </w:rPr>
        <w:t>%)</w:t>
      </w:r>
      <w:r w:rsidRPr="07E5E1E8">
        <w:t xml:space="preserve"> </w:t>
      </w:r>
      <w:r w:rsidRPr="07E5E1E8">
        <w:rPr>
          <w:rFonts w:eastAsia="Arial"/>
        </w:rPr>
        <w:t>poduzetnika,</w:t>
      </w:r>
      <w:r w:rsidRPr="07E5E1E8">
        <w:t xml:space="preserve"> </w:t>
      </w:r>
      <w:r w:rsidRPr="07E5E1E8">
        <w:rPr>
          <w:rFonts w:eastAsia="Arial"/>
        </w:rPr>
        <w:t>dok</w:t>
      </w:r>
      <w:r w:rsidRPr="07E5E1E8">
        <w:t xml:space="preserve"> </w:t>
      </w:r>
      <w:r w:rsidRPr="07E5E1E8">
        <w:rPr>
          <w:rFonts w:eastAsia="Arial"/>
        </w:rPr>
        <w:t>je</w:t>
      </w:r>
      <w:r w:rsidRPr="07E5E1E8">
        <w:t xml:space="preserve"> </w:t>
      </w:r>
      <w:r w:rsidRPr="07E5E1E8">
        <w:rPr>
          <w:rFonts w:eastAsia="Arial"/>
        </w:rPr>
        <w:t>gubitak</w:t>
      </w:r>
      <w:r w:rsidRPr="07E5E1E8">
        <w:t xml:space="preserve"> </w:t>
      </w:r>
      <w:r w:rsidRPr="07E5E1E8">
        <w:rPr>
          <w:rFonts w:eastAsia="Arial"/>
        </w:rPr>
        <w:t>razdoblja</w:t>
      </w:r>
      <w:r w:rsidRPr="07E5E1E8">
        <w:t xml:space="preserve"> </w:t>
      </w:r>
      <w:r w:rsidRPr="07E5E1E8">
        <w:rPr>
          <w:rFonts w:eastAsia="Arial"/>
        </w:rPr>
        <w:t>u</w:t>
      </w:r>
      <w:r w:rsidRPr="07E5E1E8">
        <w:t xml:space="preserve"> </w:t>
      </w:r>
      <w:r w:rsidRPr="07E5E1E8">
        <w:rPr>
          <w:rFonts w:eastAsia="Arial"/>
        </w:rPr>
        <w:t>iznosu</w:t>
      </w:r>
      <w:r w:rsidRPr="07E5E1E8">
        <w:t xml:space="preserve"> </w:t>
      </w:r>
      <w:r w:rsidRPr="07E5E1E8">
        <w:rPr>
          <w:rFonts w:eastAsia="Arial"/>
        </w:rPr>
        <w:t>od</w:t>
      </w:r>
      <w:r w:rsidRPr="07E5E1E8">
        <w:t xml:space="preserve"> </w:t>
      </w:r>
      <w:r w:rsidRPr="07E5E1E8">
        <w:rPr>
          <w:rFonts w:eastAsia="Arial"/>
        </w:rPr>
        <w:t>1</w:t>
      </w:r>
      <w:r w:rsidR="4F387528" w:rsidRPr="07E5E1E8">
        <w:rPr>
          <w:rFonts w:eastAsia="Arial"/>
        </w:rPr>
        <w:t>7</w:t>
      </w:r>
      <w:r w:rsidRPr="07E5E1E8">
        <w:rPr>
          <w:rFonts w:eastAsia="Arial"/>
        </w:rPr>
        <w:t>,6</w:t>
      </w:r>
      <w:r w:rsidRPr="07E5E1E8">
        <w:t xml:space="preserve"> </w:t>
      </w:r>
      <w:r w:rsidRPr="07E5E1E8">
        <w:rPr>
          <w:rFonts w:eastAsia="Arial"/>
        </w:rPr>
        <w:t>milijardi</w:t>
      </w:r>
      <w:r w:rsidRPr="07E5E1E8">
        <w:t xml:space="preserve"> </w:t>
      </w:r>
      <w:r w:rsidRPr="07E5E1E8">
        <w:rPr>
          <w:rFonts w:eastAsia="Arial"/>
        </w:rPr>
        <w:t>kuna</w:t>
      </w:r>
      <w:r w:rsidRPr="07E5E1E8">
        <w:t xml:space="preserve"> </w:t>
      </w:r>
      <w:r w:rsidRPr="07E5E1E8">
        <w:rPr>
          <w:rFonts w:eastAsia="Arial"/>
        </w:rPr>
        <w:t>iskazalo</w:t>
      </w:r>
      <w:r w:rsidRPr="07E5E1E8">
        <w:t xml:space="preserve"> </w:t>
      </w:r>
      <w:r w:rsidR="6CAB9AD0" w:rsidRPr="07E5E1E8">
        <w:rPr>
          <w:rFonts w:eastAsia="Arial"/>
        </w:rPr>
        <w:t>45.305</w:t>
      </w:r>
      <w:r w:rsidRPr="07E5E1E8">
        <w:t xml:space="preserve"> </w:t>
      </w:r>
      <w:r w:rsidRPr="07E5E1E8">
        <w:rPr>
          <w:rFonts w:eastAsia="Arial"/>
        </w:rPr>
        <w:t>(3</w:t>
      </w:r>
      <w:r w:rsidR="54EBC121" w:rsidRPr="07E5E1E8">
        <w:rPr>
          <w:rFonts w:eastAsia="Arial"/>
        </w:rPr>
        <w:t>3</w:t>
      </w:r>
      <w:r w:rsidRPr="07E5E1E8">
        <w:rPr>
          <w:rFonts w:eastAsia="Arial"/>
        </w:rPr>
        <w:t>,</w:t>
      </w:r>
      <w:r w:rsidR="7F455623" w:rsidRPr="07E5E1E8">
        <w:rPr>
          <w:rFonts w:eastAsia="Arial"/>
        </w:rPr>
        <w:t>2</w:t>
      </w:r>
      <w:r w:rsidRPr="07E5E1E8">
        <w:rPr>
          <w:rFonts w:eastAsia="Arial"/>
        </w:rPr>
        <w:t>%)</w:t>
      </w:r>
      <w:r w:rsidRPr="07E5E1E8">
        <w:t xml:space="preserve"> </w:t>
      </w:r>
      <w:r w:rsidRPr="07E5E1E8">
        <w:rPr>
          <w:rFonts w:eastAsia="Arial"/>
        </w:rPr>
        <w:t>poduzetnika.</w:t>
      </w:r>
      <w:r w:rsidR="00C23FFA">
        <w:rPr>
          <w:rFonts w:eastAsia="Arial"/>
        </w:rPr>
        <w:t xml:space="preserve"> </w:t>
      </w:r>
      <w:r w:rsidRPr="07E5E1E8">
        <w:rPr>
          <w:rFonts w:eastAsia="Arial"/>
        </w:rPr>
        <w:t>U</w:t>
      </w:r>
      <w:r w:rsidRPr="07E5E1E8">
        <w:t xml:space="preserve"> </w:t>
      </w:r>
      <w:r w:rsidRPr="07E5E1E8">
        <w:rPr>
          <w:rFonts w:eastAsia="Arial"/>
        </w:rPr>
        <w:t>odnosu</w:t>
      </w:r>
      <w:r w:rsidRPr="07E5E1E8">
        <w:t xml:space="preserve"> </w:t>
      </w:r>
      <w:r w:rsidRPr="07E5E1E8">
        <w:rPr>
          <w:rFonts w:eastAsia="Arial"/>
        </w:rPr>
        <w:t>na</w:t>
      </w:r>
      <w:r w:rsidRPr="07E5E1E8">
        <w:t xml:space="preserve"> </w:t>
      </w:r>
      <w:r w:rsidRPr="07E5E1E8">
        <w:rPr>
          <w:rFonts w:eastAsia="Arial"/>
        </w:rPr>
        <w:t>201</w:t>
      </w:r>
      <w:r w:rsidR="4B91E152" w:rsidRPr="07E5E1E8">
        <w:rPr>
          <w:rFonts w:eastAsia="Arial"/>
        </w:rPr>
        <w:t>8</w:t>
      </w:r>
      <w:r w:rsidRPr="07E5E1E8">
        <w:rPr>
          <w:rFonts w:eastAsia="Arial"/>
        </w:rPr>
        <w:t>.</w:t>
      </w:r>
      <w:r w:rsidRPr="07E5E1E8">
        <w:t xml:space="preserve"> </w:t>
      </w:r>
      <w:r w:rsidRPr="07E5E1E8">
        <w:rPr>
          <w:rFonts w:eastAsia="Arial"/>
        </w:rPr>
        <w:t>godinu,</w:t>
      </w:r>
      <w:r w:rsidRPr="07E5E1E8">
        <w:t xml:space="preserve"> </w:t>
      </w:r>
      <w:r w:rsidRPr="07E5E1E8">
        <w:rPr>
          <w:rFonts w:eastAsia="Arial"/>
        </w:rPr>
        <w:t>ostvareno</w:t>
      </w:r>
      <w:r w:rsidRPr="07E5E1E8">
        <w:t xml:space="preserve"> </w:t>
      </w:r>
      <w:r w:rsidRPr="07E5E1E8">
        <w:rPr>
          <w:rFonts w:eastAsia="Arial"/>
        </w:rPr>
        <w:t>je</w:t>
      </w:r>
      <w:r w:rsidRPr="07E5E1E8">
        <w:t xml:space="preserve"> </w:t>
      </w:r>
      <w:r w:rsidRPr="07E5E1E8">
        <w:rPr>
          <w:rFonts w:eastAsia="Arial"/>
        </w:rPr>
        <w:t>povećanje</w:t>
      </w:r>
      <w:r w:rsidRPr="07E5E1E8">
        <w:t xml:space="preserve"> </w:t>
      </w:r>
      <w:r w:rsidRPr="07E5E1E8">
        <w:rPr>
          <w:rFonts w:eastAsia="Arial"/>
        </w:rPr>
        <w:t>ukupnih</w:t>
      </w:r>
      <w:r w:rsidRPr="07E5E1E8">
        <w:t xml:space="preserve"> </w:t>
      </w:r>
      <w:r w:rsidRPr="07E5E1E8">
        <w:rPr>
          <w:rFonts w:eastAsia="Arial"/>
        </w:rPr>
        <w:t>prihoda</w:t>
      </w:r>
      <w:r w:rsidRPr="07E5E1E8">
        <w:t xml:space="preserve"> </w:t>
      </w:r>
      <w:r w:rsidRPr="07E5E1E8">
        <w:rPr>
          <w:rFonts w:eastAsia="Arial"/>
        </w:rPr>
        <w:t>za</w:t>
      </w:r>
      <w:r w:rsidRPr="07E5E1E8">
        <w:t xml:space="preserve"> </w:t>
      </w:r>
      <w:r w:rsidR="1F14D6AB" w:rsidRPr="07E5E1E8">
        <w:t>10,4</w:t>
      </w:r>
      <w:r w:rsidRPr="07E5E1E8">
        <w:rPr>
          <w:rFonts w:eastAsia="Arial"/>
        </w:rPr>
        <w:t>%,</w:t>
      </w:r>
      <w:r w:rsidRPr="07E5E1E8">
        <w:t xml:space="preserve"> </w:t>
      </w:r>
      <w:r w:rsidRPr="07E5E1E8">
        <w:rPr>
          <w:rFonts w:eastAsia="Arial"/>
        </w:rPr>
        <w:t>ukupnih</w:t>
      </w:r>
      <w:r w:rsidRPr="07E5E1E8">
        <w:t xml:space="preserve"> </w:t>
      </w:r>
      <w:r w:rsidRPr="07E5E1E8">
        <w:rPr>
          <w:rFonts w:eastAsia="Arial"/>
        </w:rPr>
        <w:t>rashoda</w:t>
      </w:r>
      <w:r w:rsidRPr="07E5E1E8">
        <w:t xml:space="preserve"> </w:t>
      </w:r>
      <w:r w:rsidRPr="07E5E1E8">
        <w:rPr>
          <w:rFonts w:eastAsia="Arial"/>
        </w:rPr>
        <w:t>za</w:t>
      </w:r>
      <w:r w:rsidRPr="07E5E1E8">
        <w:t xml:space="preserve"> </w:t>
      </w:r>
      <w:r w:rsidR="41575192" w:rsidRPr="07E5E1E8">
        <w:t>10,8</w:t>
      </w:r>
      <w:r w:rsidRPr="07E5E1E8">
        <w:rPr>
          <w:rFonts w:eastAsia="Arial"/>
        </w:rPr>
        <w:t>%,</w:t>
      </w:r>
      <w:r w:rsidRPr="07E5E1E8">
        <w:t xml:space="preserve"> </w:t>
      </w:r>
      <w:r w:rsidRPr="07E5E1E8">
        <w:rPr>
          <w:rFonts w:eastAsia="Arial"/>
        </w:rPr>
        <w:t>dobiti</w:t>
      </w:r>
      <w:r w:rsidRPr="07E5E1E8">
        <w:t xml:space="preserve"> </w:t>
      </w:r>
      <w:r w:rsidRPr="07E5E1E8">
        <w:rPr>
          <w:rFonts w:eastAsia="Arial"/>
        </w:rPr>
        <w:t>razdoblja</w:t>
      </w:r>
      <w:r w:rsidRPr="07E5E1E8">
        <w:t xml:space="preserve"> </w:t>
      </w:r>
      <w:r w:rsidRPr="07E5E1E8">
        <w:rPr>
          <w:rFonts w:eastAsia="Arial"/>
        </w:rPr>
        <w:t>za</w:t>
      </w:r>
      <w:r w:rsidRPr="07E5E1E8">
        <w:t xml:space="preserve"> </w:t>
      </w:r>
      <w:r w:rsidR="401D7082" w:rsidRPr="07E5E1E8">
        <w:t>5,9</w:t>
      </w:r>
      <w:r w:rsidRPr="07E5E1E8">
        <w:rPr>
          <w:rFonts w:eastAsia="Arial"/>
        </w:rPr>
        <w:t>%,</w:t>
      </w:r>
      <w:r w:rsidRPr="07E5E1E8">
        <w:t xml:space="preserve"> </w:t>
      </w:r>
      <w:r w:rsidR="52E0BDC6" w:rsidRPr="07E5E1E8">
        <w:t>ali i</w:t>
      </w:r>
      <w:r w:rsidRPr="07E5E1E8">
        <w:t xml:space="preserve"> </w:t>
      </w:r>
      <w:r w:rsidRPr="07E5E1E8">
        <w:rPr>
          <w:rFonts w:eastAsia="Arial"/>
        </w:rPr>
        <w:t>gubit</w:t>
      </w:r>
      <w:r w:rsidR="07071381" w:rsidRPr="07E5E1E8">
        <w:rPr>
          <w:rFonts w:eastAsia="Arial"/>
        </w:rPr>
        <w:t>ka</w:t>
      </w:r>
      <w:r w:rsidRPr="07E5E1E8">
        <w:t xml:space="preserve"> </w:t>
      </w:r>
      <w:r w:rsidRPr="07E5E1E8">
        <w:rPr>
          <w:rFonts w:eastAsia="Arial"/>
        </w:rPr>
        <w:t>razdoblja</w:t>
      </w:r>
      <w:r w:rsidRPr="07E5E1E8">
        <w:t xml:space="preserve"> </w:t>
      </w:r>
      <w:r w:rsidRPr="07E5E1E8">
        <w:rPr>
          <w:rFonts w:eastAsia="Arial"/>
        </w:rPr>
        <w:t>za</w:t>
      </w:r>
      <w:r w:rsidRPr="07E5E1E8">
        <w:t xml:space="preserve"> </w:t>
      </w:r>
      <w:r w:rsidR="168E4467" w:rsidRPr="07E5E1E8">
        <w:rPr>
          <w:rFonts w:eastAsia="Arial"/>
        </w:rPr>
        <w:t>16,5</w:t>
      </w:r>
      <w:r w:rsidRPr="07E5E1E8">
        <w:rPr>
          <w:rFonts w:eastAsia="Arial"/>
        </w:rPr>
        <w:t>%</w:t>
      </w:r>
      <w:r w:rsidR="20A32654" w:rsidRPr="07E5E1E8">
        <w:rPr>
          <w:rFonts w:eastAsia="Arial"/>
        </w:rPr>
        <w:t>.</w:t>
      </w:r>
      <w:r w:rsidR="59B61CD4" w:rsidRPr="07E5E1E8">
        <w:t>K</w:t>
      </w:r>
      <w:r w:rsidRPr="07E5E1E8">
        <w:rPr>
          <w:rFonts w:eastAsia="Arial"/>
        </w:rPr>
        <w:t>onsolidirani</w:t>
      </w:r>
      <w:r w:rsidRPr="07E5E1E8">
        <w:t xml:space="preserve"> </w:t>
      </w:r>
      <w:r w:rsidRPr="07E5E1E8">
        <w:rPr>
          <w:rFonts w:eastAsia="Arial"/>
        </w:rPr>
        <w:t>financijski</w:t>
      </w:r>
      <w:r w:rsidRPr="07E5E1E8">
        <w:t xml:space="preserve"> </w:t>
      </w:r>
      <w:r w:rsidRPr="07E5E1E8">
        <w:rPr>
          <w:rFonts w:eastAsia="Arial"/>
        </w:rPr>
        <w:t>rezultat</w:t>
      </w:r>
      <w:r w:rsidRPr="07E5E1E8">
        <w:t xml:space="preserve"> </w:t>
      </w:r>
      <w:r w:rsidR="43779135" w:rsidRPr="07E5E1E8">
        <w:t>razdoblja je u 2019. u blagom porastu od 0,7% u odnosu na 2018. i iznosi</w:t>
      </w:r>
      <w:r w:rsidR="68BC7D75" w:rsidRPr="07E5E1E8">
        <w:rPr>
          <w:rFonts w:eastAsia="Arial"/>
        </w:rPr>
        <w:t xml:space="preserve"> 31,3</w:t>
      </w:r>
      <w:r w:rsidRPr="07E5E1E8">
        <w:t xml:space="preserve"> </w:t>
      </w:r>
      <w:r w:rsidRPr="07E5E1E8">
        <w:rPr>
          <w:rFonts w:eastAsia="Arial"/>
        </w:rPr>
        <w:t>milijarde</w:t>
      </w:r>
      <w:r w:rsidRPr="07E5E1E8">
        <w:t xml:space="preserve"> </w:t>
      </w:r>
      <w:r w:rsidRPr="07E5E1E8">
        <w:rPr>
          <w:rFonts w:eastAsia="Arial"/>
        </w:rPr>
        <w:t>kuna. Prosječna</w:t>
      </w:r>
      <w:r w:rsidRPr="07E5E1E8">
        <w:t xml:space="preserve"> </w:t>
      </w:r>
      <w:r w:rsidRPr="07E5E1E8">
        <w:rPr>
          <w:rFonts w:eastAsia="Arial"/>
        </w:rPr>
        <w:t>mjesečna</w:t>
      </w:r>
      <w:r w:rsidRPr="07E5E1E8">
        <w:t xml:space="preserve"> </w:t>
      </w:r>
      <w:r w:rsidRPr="07E5E1E8">
        <w:rPr>
          <w:rFonts w:eastAsia="Arial"/>
        </w:rPr>
        <w:t>obračunata</w:t>
      </w:r>
      <w:r w:rsidRPr="07E5E1E8">
        <w:t xml:space="preserve"> </w:t>
      </w:r>
      <w:r w:rsidRPr="07E5E1E8">
        <w:rPr>
          <w:rFonts w:eastAsia="Arial"/>
        </w:rPr>
        <w:t>neto</w:t>
      </w:r>
      <w:r w:rsidRPr="07E5E1E8">
        <w:t xml:space="preserve"> </w:t>
      </w:r>
      <w:r w:rsidRPr="07E5E1E8">
        <w:rPr>
          <w:rFonts w:eastAsia="Arial"/>
        </w:rPr>
        <w:t>plaća</w:t>
      </w:r>
      <w:r w:rsidRPr="07E5E1E8">
        <w:t xml:space="preserve"> </w:t>
      </w:r>
      <w:r w:rsidRPr="07E5E1E8">
        <w:rPr>
          <w:rFonts w:eastAsia="Arial"/>
        </w:rPr>
        <w:t>zaposlenih</w:t>
      </w:r>
      <w:r w:rsidRPr="07E5E1E8">
        <w:t xml:space="preserve"> </w:t>
      </w:r>
      <w:r w:rsidRPr="07E5E1E8">
        <w:rPr>
          <w:rFonts w:eastAsia="Arial"/>
        </w:rPr>
        <w:t>kod</w:t>
      </w:r>
      <w:r w:rsidRPr="07E5E1E8">
        <w:t xml:space="preserve"> </w:t>
      </w:r>
      <w:r w:rsidRPr="07E5E1E8">
        <w:rPr>
          <w:rFonts w:eastAsia="Arial"/>
        </w:rPr>
        <w:t>poduzetnika</w:t>
      </w:r>
      <w:r w:rsidRPr="07E5E1E8">
        <w:t xml:space="preserve"> </w:t>
      </w:r>
      <w:r w:rsidRPr="07E5E1E8">
        <w:rPr>
          <w:rFonts w:eastAsia="Arial"/>
        </w:rPr>
        <w:t>u</w:t>
      </w:r>
      <w:r w:rsidRPr="07E5E1E8">
        <w:t xml:space="preserve"> </w:t>
      </w:r>
      <w:r w:rsidRPr="07E5E1E8">
        <w:rPr>
          <w:rFonts w:eastAsia="Arial"/>
        </w:rPr>
        <w:t>201</w:t>
      </w:r>
      <w:r w:rsidR="0127800F" w:rsidRPr="07E5E1E8">
        <w:rPr>
          <w:rFonts w:eastAsia="Arial"/>
        </w:rPr>
        <w:t>9</w:t>
      </w:r>
      <w:r w:rsidRPr="07E5E1E8">
        <w:rPr>
          <w:rFonts w:eastAsia="Arial"/>
        </w:rPr>
        <w:t>.</w:t>
      </w:r>
      <w:r w:rsidRPr="07E5E1E8">
        <w:t xml:space="preserve"> </w:t>
      </w:r>
      <w:r w:rsidRPr="07E5E1E8">
        <w:rPr>
          <w:rFonts w:eastAsia="Arial"/>
        </w:rPr>
        <w:t>godini</w:t>
      </w:r>
      <w:r w:rsidRPr="07E5E1E8">
        <w:t xml:space="preserve"> </w:t>
      </w:r>
      <w:r w:rsidRPr="07E5E1E8">
        <w:rPr>
          <w:rFonts w:eastAsia="Arial"/>
        </w:rPr>
        <w:t>iznosila</w:t>
      </w:r>
      <w:r w:rsidRPr="07E5E1E8">
        <w:t xml:space="preserve"> </w:t>
      </w:r>
      <w:r w:rsidRPr="07E5E1E8">
        <w:rPr>
          <w:rFonts w:eastAsia="Arial"/>
        </w:rPr>
        <w:t>je</w:t>
      </w:r>
      <w:r w:rsidRPr="07E5E1E8">
        <w:t xml:space="preserve"> </w:t>
      </w:r>
      <w:r w:rsidRPr="07E5E1E8">
        <w:rPr>
          <w:rFonts w:eastAsia="Arial"/>
        </w:rPr>
        <w:t>5.</w:t>
      </w:r>
      <w:r w:rsidR="2210513A" w:rsidRPr="07E5E1E8">
        <w:rPr>
          <w:rFonts w:eastAsia="Arial"/>
        </w:rPr>
        <w:t>815</w:t>
      </w:r>
      <w:r w:rsidRPr="07E5E1E8">
        <w:t xml:space="preserve"> </w:t>
      </w:r>
      <w:r w:rsidRPr="07E5E1E8">
        <w:rPr>
          <w:rFonts w:eastAsia="Arial"/>
        </w:rPr>
        <w:t>kun</w:t>
      </w:r>
      <w:r w:rsidR="07A003A3" w:rsidRPr="07E5E1E8">
        <w:rPr>
          <w:rFonts w:eastAsia="Arial"/>
        </w:rPr>
        <w:t>a</w:t>
      </w:r>
      <w:r w:rsidRPr="07E5E1E8">
        <w:t xml:space="preserve"> </w:t>
      </w:r>
      <w:r w:rsidRPr="07E5E1E8">
        <w:rPr>
          <w:rFonts w:eastAsia="Arial"/>
        </w:rPr>
        <w:t>što</w:t>
      </w:r>
      <w:r w:rsidRPr="07E5E1E8">
        <w:t xml:space="preserve"> </w:t>
      </w:r>
      <w:r w:rsidRPr="07E5E1E8">
        <w:rPr>
          <w:rFonts w:eastAsia="Arial"/>
        </w:rPr>
        <w:t>je</w:t>
      </w:r>
      <w:r w:rsidRPr="07E5E1E8">
        <w:t xml:space="preserve"> </w:t>
      </w:r>
      <w:r w:rsidRPr="07E5E1E8">
        <w:rPr>
          <w:rFonts w:eastAsia="Arial"/>
        </w:rPr>
        <w:t>4,</w:t>
      </w:r>
      <w:r w:rsidR="302E8F3F" w:rsidRPr="07E5E1E8">
        <w:rPr>
          <w:rFonts w:eastAsia="Arial"/>
        </w:rPr>
        <w:t>2</w:t>
      </w:r>
      <w:r w:rsidRPr="07E5E1E8">
        <w:rPr>
          <w:rFonts w:eastAsia="Arial"/>
        </w:rPr>
        <w:t>%</w:t>
      </w:r>
      <w:r w:rsidRPr="07E5E1E8">
        <w:t xml:space="preserve"> </w:t>
      </w:r>
      <w:r w:rsidRPr="07E5E1E8">
        <w:rPr>
          <w:rFonts w:eastAsia="Arial"/>
        </w:rPr>
        <w:t>više</w:t>
      </w:r>
      <w:r w:rsidRPr="07E5E1E8">
        <w:t xml:space="preserve"> </w:t>
      </w:r>
      <w:r w:rsidRPr="07E5E1E8">
        <w:rPr>
          <w:rFonts w:eastAsia="Arial"/>
        </w:rPr>
        <w:t>u</w:t>
      </w:r>
      <w:r w:rsidRPr="07E5E1E8">
        <w:t xml:space="preserve"> </w:t>
      </w:r>
      <w:r w:rsidRPr="07E5E1E8">
        <w:rPr>
          <w:rFonts w:eastAsia="Arial"/>
        </w:rPr>
        <w:t>odnosu</w:t>
      </w:r>
      <w:r w:rsidRPr="07E5E1E8">
        <w:t xml:space="preserve"> </w:t>
      </w:r>
      <w:r w:rsidRPr="07E5E1E8">
        <w:rPr>
          <w:rFonts w:eastAsia="Arial"/>
        </w:rPr>
        <w:t>na</w:t>
      </w:r>
      <w:r w:rsidRPr="07E5E1E8">
        <w:t xml:space="preserve"> </w:t>
      </w:r>
      <w:r w:rsidRPr="07E5E1E8">
        <w:rPr>
          <w:rFonts w:eastAsia="Arial"/>
        </w:rPr>
        <w:t>201</w:t>
      </w:r>
      <w:r w:rsidR="11CDBB99" w:rsidRPr="07E5E1E8">
        <w:rPr>
          <w:rFonts w:eastAsia="Arial"/>
        </w:rPr>
        <w:t>8</w:t>
      </w:r>
      <w:r w:rsidRPr="07E5E1E8">
        <w:rPr>
          <w:rFonts w:eastAsia="Arial"/>
        </w:rPr>
        <w:t>.</w:t>
      </w:r>
      <w:r w:rsidRPr="07E5E1E8">
        <w:t xml:space="preserve"> </w:t>
      </w:r>
      <w:r w:rsidRPr="07E5E1E8">
        <w:rPr>
          <w:rFonts w:eastAsia="Arial"/>
        </w:rPr>
        <w:t>godinu.</w:t>
      </w:r>
    </w:p>
    <w:p w14:paraId="16E8A17F" w14:textId="742132BC" w:rsidR="008878A0" w:rsidRDefault="008878A0" w:rsidP="07E5E1E8">
      <w:pPr>
        <w:rPr>
          <w:rFonts w:eastAsia="Arial"/>
        </w:rPr>
      </w:pPr>
      <w:r w:rsidRPr="07E5E1E8">
        <w:rPr>
          <w:rFonts w:eastAsia="Arial"/>
        </w:rPr>
        <w:t>Poduzetnici</w:t>
      </w:r>
      <w:r w:rsidRPr="07E5E1E8">
        <w:t xml:space="preserve"> </w:t>
      </w:r>
      <w:r w:rsidRPr="07E5E1E8">
        <w:rPr>
          <w:rFonts w:eastAsia="Arial"/>
        </w:rPr>
        <w:t>sa</w:t>
      </w:r>
      <w:r w:rsidRPr="07E5E1E8">
        <w:t xml:space="preserve"> </w:t>
      </w:r>
      <w:r w:rsidRPr="07E5E1E8">
        <w:rPr>
          <w:rFonts w:eastAsia="Arial"/>
        </w:rPr>
        <w:t>sjedištem</w:t>
      </w:r>
      <w:r w:rsidRPr="07E5E1E8">
        <w:t xml:space="preserve"> </w:t>
      </w:r>
      <w:r w:rsidRPr="07E5E1E8">
        <w:rPr>
          <w:rFonts w:eastAsia="Arial"/>
        </w:rPr>
        <w:t>u</w:t>
      </w:r>
      <w:r w:rsidRPr="07E5E1E8">
        <w:t xml:space="preserve"> </w:t>
      </w:r>
      <w:r w:rsidRPr="07E5E1E8">
        <w:rPr>
          <w:rFonts w:eastAsia="Arial"/>
        </w:rPr>
        <w:t>Krapinsko-zagorskoj</w:t>
      </w:r>
      <w:r w:rsidRPr="07E5E1E8">
        <w:t xml:space="preserve"> </w:t>
      </w:r>
      <w:r w:rsidRPr="07E5E1E8">
        <w:rPr>
          <w:rFonts w:eastAsia="Arial"/>
        </w:rPr>
        <w:t>županiji,</w:t>
      </w:r>
      <w:r w:rsidRPr="07E5E1E8">
        <w:t xml:space="preserve"> </w:t>
      </w:r>
      <w:r w:rsidRPr="07E5E1E8">
        <w:rPr>
          <w:rFonts w:eastAsia="Arial"/>
        </w:rPr>
        <w:t>njih</w:t>
      </w:r>
      <w:r w:rsidRPr="07E5E1E8">
        <w:t xml:space="preserve"> </w:t>
      </w:r>
      <w:r w:rsidRPr="07E5E1E8">
        <w:rPr>
          <w:rFonts w:eastAsia="Arial"/>
        </w:rPr>
        <w:t>2.</w:t>
      </w:r>
      <w:r w:rsidR="78A7DA15" w:rsidRPr="07E5E1E8">
        <w:rPr>
          <w:rFonts w:eastAsia="Arial"/>
        </w:rPr>
        <w:t>344</w:t>
      </w:r>
      <w:r w:rsidRPr="07E5E1E8">
        <w:rPr>
          <w:rFonts w:eastAsia="Arial"/>
        </w:rPr>
        <w:t>,</w:t>
      </w:r>
      <w:r w:rsidR="00C66C5B" w:rsidRPr="07E5E1E8">
        <w:rPr>
          <w:rFonts w:eastAsia="Arial"/>
        </w:rPr>
        <w:t xml:space="preserve"> ostvarili su</w:t>
      </w:r>
      <w:r w:rsidRPr="07E5E1E8">
        <w:t xml:space="preserve"> </w:t>
      </w:r>
      <w:r w:rsidRPr="07E5E1E8">
        <w:rPr>
          <w:rFonts w:eastAsia="Arial"/>
        </w:rPr>
        <w:t>u</w:t>
      </w:r>
      <w:r w:rsidRPr="07E5E1E8">
        <w:t xml:space="preserve"> </w:t>
      </w:r>
      <w:r w:rsidRPr="07E5E1E8">
        <w:rPr>
          <w:rFonts w:eastAsia="Arial"/>
        </w:rPr>
        <w:t>201</w:t>
      </w:r>
      <w:r w:rsidR="01F8DADE" w:rsidRPr="07E5E1E8">
        <w:rPr>
          <w:rFonts w:eastAsia="Arial"/>
        </w:rPr>
        <w:t>9</w:t>
      </w:r>
      <w:r w:rsidRPr="07E5E1E8">
        <w:rPr>
          <w:rFonts w:eastAsia="Arial"/>
        </w:rPr>
        <w:t>.</w:t>
      </w:r>
      <w:r w:rsidRPr="07E5E1E8">
        <w:t xml:space="preserve"> </w:t>
      </w:r>
      <w:r w:rsidRPr="07E5E1E8">
        <w:rPr>
          <w:rFonts w:eastAsia="Arial"/>
        </w:rPr>
        <w:t>godini</w:t>
      </w:r>
      <w:r w:rsidRPr="07E5E1E8">
        <w:t xml:space="preserve"> </w:t>
      </w:r>
      <w:r w:rsidRPr="07E5E1E8">
        <w:rPr>
          <w:rFonts w:eastAsia="Arial"/>
        </w:rPr>
        <w:t>13,</w:t>
      </w:r>
      <w:r w:rsidR="05AE5D7B" w:rsidRPr="07E5E1E8">
        <w:rPr>
          <w:rFonts w:eastAsia="Arial"/>
        </w:rPr>
        <w:t>6</w:t>
      </w:r>
      <w:r w:rsidRPr="07E5E1E8">
        <w:t xml:space="preserve"> </w:t>
      </w:r>
      <w:r w:rsidRPr="07E5E1E8">
        <w:rPr>
          <w:rFonts w:eastAsia="Arial"/>
        </w:rPr>
        <w:t>milijardi</w:t>
      </w:r>
      <w:r w:rsidRPr="07E5E1E8">
        <w:t xml:space="preserve"> </w:t>
      </w:r>
      <w:r w:rsidRPr="07E5E1E8">
        <w:rPr>
          <w:rFonts w:eastAsia="Arial"/>
        </w:rPr>
        <w:t>kuna</w:t>
      </w:r>
      <w:r w:rsidRPr="07E5E1E8">
        <w:t xml:space="preserve"> </w:t>
      </w:r>
      <w:r w:rsidRPr="07E5E1E8">
        <w:rPr>
          <w:rFonts w:eastAsia="Arial"/>
        </w:rPr>
        <w:t>ukupnih</w:t>
      </w:r>
      <w:r w:rsidRPr="07E5E1E8">
        <w:t xml:space="preserve"> </w:t>
      </w:r>
      <w:r w:rsidRPr="07E5E1E8">
        <w:rPr>
          <w:rFonts w:eastAsia="Arial"/>
        </w:rPr>
        <w:t>prihoda,</w:t>
      </w:r>
      <w:r w:rsidRPr="07E5E1E8">
        <w:t xml:space="preserve"> </w:t>
      </w:r>
      <w:r w:rsidRPr="07E5E1E8">
        <w:rPr>
          <w:rFonts w:eastAsia="Arial"/>
        </w:rPr>
        <w:t>12,</w:t>
      </w:r>
      <w:r w:rsidR="3A255585" w:rsidRPr="07E5E1E8">
        <w:rPr>
          <w:rFonts w:eastAsia="Arial"/>
        </w:rPr>
        <w:t>8</w:t>
      </w:r>
      <w:r w:rsidRPr="07E5E1E8">
        <w:t xml:space="preserve"> </w:t>
      </w:r>
      <w:r w:rsidRPr="07E5E1E8">
        <w:rPr>
          <w:rFonts w:eastAsia="Arial"/>
        </w:rPr>
        <w:t>milijardi</w:t>
      </w:r>
      <w:r w:rsidRPr="07E5E1E8">
        <w:t xml:space="preserve"> </w:t>
      </w:r>
      <w:r w:rsidRPr="07E5E1E8">
        <w:rPr>
          <w:rFonts w:eastAsia="Arial"/>
        </w:rPr>
        <w:t>kuna</w:t>
      </w:r>
      <w:r w:rsidRPr="07E5E1E8">
        <w:t xml:space="preserve"> </w:t>
      </w:r>
      <w:r w:rsidRPr="07E5E1E8">
        <w:rPr>
          <w:rFonts w:eastAsia="Arial"/>
        </w:rPr>
        <w:t>ukupnih</w:t>
      </w:r>
      <w:r w:rsidRPr="07E5E1E8">
        <w:t xml:space="preserve"> </w:t>
      </w:r>
      <w:r w:rsidRPr="07E5E1E8">
        <w:rPr>
          <w:rFonts w:eastAsia="Arial"/>
        </w:rPr>
        <w:t>rashoda,</w:t>
      </w:r>
      <w:r w:rsidRPr="07E5E1E8">
        <w:t xml:space="preserve"> </w:t>
      </w:r>
      <w:r w:rsidR="388A0C5B" w:rsidRPr="07E5E1E8">
        <w:rPr>
          <w:rFonts w:eastAsia="Arial"/>
        </w:rPr>
        <w:t>858,5</w:t>
      </w:r>
      <w:r w:rsidRPr="07E5E1E8">
        <w:t xml:space="preserve"> </w:t>
      </w:r>
      <w:r w:rsidRPr="07E5E1E8">
        <w:rPr>
          <w:rFonts w:eastAsia="Arial"/>
        </w:rPr>
        <w:t>milijuna</w:t>
      </w:r>
      <w:r w:rsidRPr="07E5E1E8">
        <w:t xml:space="preserve"> </w:t>
      </w:r>
      <w:r w:rsidRPr="07E5E1E8">
        <w:rPr>
          <w:rFonts w:eastAsia="Arial"/>
        </w:rPr>
        <w:t>kuna</w:t>
      </w:r>
      <w:r w:rsidRPr="07E5E1E8">
        <w:t xml:space="preserve"> </w:t>
      </w:r>
      <w:r w:rsidRPr="07E5E1E8">
        <w:rPr>
          <w:rFonts w:eastAsia="Arial"/>
        </w:rPr>
        <w:t>dobiti</w:t>
      </w:r>
      <w:r w:rsidRPr="07E5E1E8">
        <w:t xml:space="preserve"> </w:t>
      </w:r>
      <w:r w:rsidRPr="07E5E1E8">
        <w:rPr>
          <w:rFonts w:eastAsia="Arial"/>
        </w:rPr>
        <w:t>te</w:t>
      </w:r>
      <w:r w:rsidRPr="07E5E1E8">
        <w:t xml:space="preserve"> </w:t>
      </w:r>
      <w:r w:rsidRPr="07E5E1E8">
        <w:rPr>
          <w:rFonts w:eastAsia="Arial"/>
        </w:rPr>
        <w:t>1</w:t>
      </w:r>
      <w:r w:rsidR="24A9F719" w:rsidRPr="07E5E1E8">
        <w:rPr>
          <w:rFonts w:eastAsia="Arial"/>
        </w:rPr>
        <w:t>96,9</w:t>
      </w:r>
      <w:r w:rsidRPr="07E5E1E8">
        <w:t xml:space="preserve"> </w:t>
      </w:r>
      <w:r w:rsidRPr="07E5E1E8">
        <w:rPr>
          <w:rFonts w:eastAsia="Arial"/>
        </w:rPr>
        <w:t>milijuna</w:t>
      </w:r>
      <w:r w:rsidRPr="07E5E1E8">
        <w:t xml:space="preserve"> </w:t>
      </w:r>
      <w:r w:rsidRPr="07E5E1E8">
        <w:rPr>
          <w:rFonts w:eastAsia="Arial"/>
        </w:rPr>
        <w:t>kuna</w:t>
      </w:r>
      <w:r w:rsidRPr="07E5E1E8">
        <w:t xml:space="preserve"> </w:t>
      </w:r>
      <w:r w:rsidRPr="07E5E1E8">
        <w:rPr>
          <w:rFonts w:eastAsia="Arial"/>
        </w:rPr>
        <w:t>gubitka</w:t>
      </w:r>
      <w:r w:rsidRPr="07E5E1E8">
        <w:t xml:space="preserve"> </w:t>
      </w:r>
      <w:r w:rsidRPr="07E5E1E8">
        <w:rPr>
          <w:rFonts w:eastAsia="Arial"/>
        </w:rPr>
        <w:t>što</w:t>
      </w:r>
      <w:r w:rsidRPr="07E5E1E8">
        <w:t xml:space="preserve"> </w:t>
      </w:r>
      <w:r w:rsidRPr="07E5E1E8">
        <w:rPr>
          <w:rFonts w:eastAsia="Arial"/>
        </w:rPr>
        <w:t>je</w:t>
      </w:r>
      <w:r w:rsidRPr="07E5E1E8">
        <w:t xml:space="preserve"> </w:t>
      </w:r>
      <w:r w:rsidRPr="07E5E1E8">
        <w:rPr>
          <w:rFonts w:eastAsia="Arial"/>
        </w:rPr>
        <w:t>rezultiralo</w:t>
      </w:r>
      <w:r w:rsidRPr="07E5E1E8">
        <w:t xml:space="preserve"> </w:t>
      </w:r>
      <w:r w:rsidRPr="07E5E1E8">
        <w:rPr>
          <w:rFonts w:eastAsia="Arial"/>
        </w:rPr>
        <w:t>s</w:t>
      </w:r>
      <w:r w:rsidRPr="07E5E1E8">
        <w:t xml:space="preserve"> </w:t>
      </w:r>
      <w:r w:rsidR="25FD4EB6" w:rsidRPr="07E5E1E8">
        <w:t>661,6</w:t>
      </w:r>
      <w:r w:rsidRPr="07E5E1E8">
        <w:t xml:space="preserve"> </w:t>
      </w:r>
      <w:r w:rsidRPr="07E5E1E8">
        <w:rPr>
          <w:rFonts w:eastAsia="Arial"/>
        </w:rPr>
        <w:t>milijuna</w:t>
      </w:r>
      <w:r w:rsidRPr="07E5E1E8">
        <w:t xml:space="preserve"> </w:t>
      </w:r>
      <w:r w:rsidRPr="07E5E1E8">
        <w:rPr>
          <w:rFonts w:eastAsia="Arial"/>
        </w:rPr>
        <w:t>kuna</w:t>
      </w:r>
      <w:r w:rsidRPr="07E5E1E8">
        <w:t xml:space="preserve"> </w:t>
      </w:r>
      <w:r w:rsidRPr="07E5E1E8">
        <w:rPr>
          <w:rFonts w:eastAsia="Arial"/>
        </w:rPr>
        <w:t>neto</w:t>
      </w:r>
      <w:r w:rsidRPr="07E5E1E8">
        <w:t xml:space="preserve"> </w:t>
      </w:r>
      <w:r w:rsidRPr="07E5E1E8">
        <w:rPr>
          <w:rFonts w:eastAsia="Arial"/>
        </w:rPr>
        <w:t>dobiti.</w:t>
      </w:r>
      <w:r w:rsidRPr="07E5E1E8">
        <w:t xml:space="preserve"> </w:t>
      </w:r>
      <w:r w:rsidRPr="07E5E1E8">
        <w:rPr>
          <w:rFonts w:eastAsia="Arial"/>
        </w:rPr>
        <w:t>Ukupni</w:t>
      </w:r>
      <w:r w:rsidRPr="07E5E1E8">
        <w:t xml:space="preserve"> </w:t>
      </w:r>
      <w:r w:rsidRPr="07E5E1E8">
        <w:rPr>
          <w:rFonts w:eastAsia="Arial"/>
        </w:rPr>
        <w:t>prihodi</w:t>
      </w:r>
      <w:r w:rsidRPr="07E5E1E8">
        <w:t xml:space="preserve"> </w:t>
      </w:r>
      <w:r w:rsidR="00B34C0D" w:rsidRPr="07E5E1E8">
        <w:t>su u odnosu na 201</w:t>
      </w:r>
      <w:r w:rsidR="05425762" w:rsidRPr="07E5E1E8">
        <w:t>8</w:t>
      </w:r>
      <w:r w:rsidR="00B34C0D" w:rsidRPr="07E5E1E8">
        <w:t xml:space="preserve">. godinu </w:t>
      </w:r>
      <w:r w:rsidRPr="07E5E1E8">
        <w:rPr>
          <w:rFonts w:eastAsia="Arial"/>
        </w:rPr>
        <w:t>povećani</w:t>
      </w:r>
      <w:r w:rsidRPr="07E5E1E8">
        <w:t xml:space="preserve"> </w:t>
      </w:r>
      <w:r w:rsidRPr="07E5E1E8">
        <w:rPr>
          <w:rFonts w:eastAsia="Arial"/>
        </w:rPr>
        <w:t>za</w:t>
      </w:r>
      <w:r w:rsidRPr="07E5E1E8">
        <w:t xml:space="preserve"> </w:t>
      </w:r>
      <w:r w:rsidR="1A729E2A" w:rsidRPr="07E5E1E8">
        <w:t>8</w:t>
      </w:r>
      <w:r w:rsidRPr="07E5E1E8">
        <w:rPr>
          <w:rFonts w:eastAsia="Arial"/>
        </w:rPr>
        <w:t>,6%,</w:t>
      </w:r>
      <w:r w:rsidRPr="07E5E1E8">
        <w:t xml:space="preserve"> </w:t>
      </w:r>
      <w:r w:rsidRPr="07E5E1E8">
        <w:rPr>
          <w:rFonts w:eastAsia="Arial"/>
        </w:rPr>
        <w:t>ukupni</w:t>
      </w:r>
      <w:r w:rsidRPr="07E5E1E8">
        <w:t xml:space="preserve"> </w:t>
      </w:r>
      <w:r w:rsidRPr="07E5E1E8">
        <w:rPr>
          <w:rFonts w:eastAsia="Arial"/>
        </w:rPr>
        <w:t>rashodi</w:t>
      </w:r>
      <w:r w:rsidRPr="07E5E1E8">
        <w:t xml:space="preserve"> </w:t>
      </w:r>
      <w:r w:rsidRPr="07E5E1E8">
        <w:rPr>
          <w:rFonts w:eastAsia="Arial"/>
        </w:rPr>
        <w:t>za</w:t>
      </w:r>
      <w:r w:rsidRPr="07E5E1E8">
        <w:t xml:space="preserve"> </w:t>
      </w:r>
      <w:r w:rsidR="4F8C3185" w:rsidRPr="07E5E1E8">
        <w:t>8,7</w:t>
      </w:r>
      <w:r w:rsidRPr="07E5E1E8">
        <w:rPr>
          <w:rFonts w:eastAsia="Arial"/>
        </w:rPr>
        <w:t>%,</w:t>
      </w:r>
      <w:r w:rsidRPr="07E5E1E8">
        <w:t xml:space="preserve"> </w:t>
      </w:r>
      <w:r w:rsidRPr="07E5E1E8">
        <w:rPr>
          <w:rFonts w:eastAsia="Arial"/>
        </w:rPr>
        <w:t>dobit</w:t>
      </w:r>
      <w:r w:rsidRPr="07E5E1E8">
        <w:t xml:space="preserve"> </w:t>
      </w:r>
      <w:r w:rsidRPr="07E5E1E8">
        <w:rPr>
          <w:rFonts w:eastAsia="Arial"/>
        </w:rPr>
        <w:t>razdoblja</w:t>
      </w:r>
      <w:r w:rsidRPr="07E5E1E8">
        <w:t xml:space="preserve"> </w:t>
      </w:r>
      <w:r w:rsidRPr="07E5E1E8">
        <w:rPr>
          <w:rFonts w:eastAsia="Arial"/>
        </w:rPr>
        <w:t>za</w:t>
      </w:r>
      <w:r w:rsidRPr="07E5E1E8">
        <w:t xml:space="preserve"> </w:t>
      </w:r>
      <w:r w:rsidRPr="07E5E1E8">
        <w:rPr>
          <w:rFonts w:eastAsia="Arial"/>
        </w:rPr>
        <w:t>1</w:t>
      </w:r>
      <w:r w:rsidR="68ACC30D" w:rsidRPr="07E5E1E8">
        <w:rPr>
          <w:rFonts w:eastAsia="Arial"/>
        </w:rPr>
        <w:t>9,0</w:t>
      </w:r>
      <w:r w:rsidRPr="07E5E1E8">
        <w:rPr>
          <w:rFonts w:eastAsia="Arial"/>
        </w:rPr>
        <w:t>%,</w:t>
      </w:r>
      <w:r w:rsidRPr="07E5E1E8">
        <w:t xml:space="preserve"> </w:t>
      </w:r>
      <w:r w:rsidRPr="07E5E1E8">
        <w:rPr>
          <w:rFonts w:eastAsia="Arial"/>
        </w:rPr>
        <w:t>a</w:t>
      </w:r>
      <w:r w:rsidRPr="07E5E1E8">
        <w:t xml:space="preserve"> </w:t>
      </w:r>
      <w:r w:rsidRPr="07E5E1E8">
        <w:rPr>
          <w:rFonts w:eastAsia="Arial"/>
        </w:rPr>
        <w:t>gubitak</w:t>
      </w:r>
      <w:r w:rsidRPr="07E5E1E8">
        <w:t xml:space="preserve"> </w:t>
      </w:r>
      <w:r w:rsidRPr="07E5E1E8">
        <w:rPr>
          <w:rFonts w:eastAsia="Arial"/>
        </w:rPr>
        <w:t>razdoblja</w:t>
      </w:r>
      <w:r w:rsidRPr="07E5E1E8">
        <w:t xml:space="preserve"> </w:t>
      </w:r>
      <w:r w:rsidRPr="07E5E1E8">
        <w:rPr>
          <w:rFonts w:eastAsia="Arial"/>
        </w:rPr>
        <w:t>za</w:t>
      </w:r>
      <w:r w:rsidRPr="07E5E1E8">
        <w:t xml:space="preserve"> </w:t>
      </w:r>
      <w:r w:rsidR="03E6B4DD" w:rsidRPr="07E5E1E8">
        <w:t>75,8</w:t>
      </w:r>
      <w:r w:rsidRPr="07E5E1E8">
        <w:rPr>
          <w:rFonts w:eastAsia="Arial"/>
        </w:rPr>
        <w:t>%.</w:t>
      </w:r>
      <w:r w:rsidRPr="07E5E1E8">
        <w:t xml:space="preserve"> </w:t>
      </w:r>
      <w:r w:rsidRPr="07E5E1E8">
        <w:rPr>
          <w:rFonts w:eastAsia="Arial"/>
        </w:rPr>
        <w:t>Kao</w:t>
      </w:r>
      <w:r w:rsidRPr="07E5E1E8">
        <w:t xml:space="preserve"> </w:t>
      </w:r>
      <w:r w:rsidRPr="07E5E1E8">
        <w:rPr>
          <w:rFonts w:eastAsia="Arial"/>
        </w:rPr>
        <w:t>rezultat</w:t>
      </w:r>
      <w:r w:rsidRPr="07E5E1E8">
        <w:t xml:space="preserve"> </w:t>
      </w:r>
      <w:r w:rsidRPr="07E5E1E8">
        <w:rPr>
          <w:rFonts w:eastAsia="Arial"/>
        </w:rPr>
        <w:t>navedenoga,</w:t>
      </w:r>
      <w:r w:rsidRPr="07E5E1E8">
        <w:t xml:space="preserve"> </w:t>
      </w:r>
      <w:r w:rsidRPr="07E5E1E8">
        <w:rPr>
          <w:rFonts w:eastAsia="Arial"/>
        </w:rPr>
        <w:t>konsolidirani</w:t>
      </w:r>
      <w:r w:rsidRPr="07E5E1E8">
        <w:t xml:space="preserve"> </w:t>
      </w:r>
      <w:r w:rsidRPr="07E5E1E8">
        <w:rPr>
          <w:rFonts w:eastAsia="Arial"/>
        </w:rPr>
        <w:t>financijski</w:t>
      </w:r>
      <w:r w:rsidRPr="07E5E1E8">
        <w:t xml:space="preserve"> </w:t>
      </w:r>
      <w:r w:rsidRPr="07E5E1E8">
        <w:rPr>
          <w:rFonts w:eastAsia="Arial"/>
        </w:rPr>
        <w:t>rezultat</w:t>
      </w:r>
      <w:r w:rsidRPr="07E5E1E8">
        <w:t xml:space="preserve"> </w:t>
      </w:r>
      <w:r w:rsidRPr="07E5E1E8">
        <w:rPr>
          <w:rFonts w:eastAsia="Arial"/>
        </w:rPr>
        <w:t>-</w:t>
      </w:r>
      <w:r w:rsidRPr="07E5E1E8">
        <w:t xml:space="preserve"> </w:t>
      </w:r>
      <w:r w:rsidRPr="07E5E1E8">
        <w:rPr>
          <w:rFonts w:eastAsia="Arial"/>
        </w:rPr>
        <w:t>neto</w:t>
      </w:r>
      <w:r w:rsidRPr="07E5E1E8">
        <w:t xml:space="preserve"> </w:t>
      </w:r>
      <w:r w:rsidRPr="07E5E1E8">
        <w:rPr>
          <w:rFonts w:eastAsia="Arial"/>
        </w:rPr>
        <w:t>dobit,</w:t>
      </w:r>
      <w:r w:rsidRPr="07E5E1E8">
        <w:t xml:space="preserve"> </w:t>
      </w:r>
      <w:r w:rsidRPr="07E5E1E8">
        <w:rPr>
          <w:rFonts w:eastAsia="Arial"/>
        </w:rPr>
        <w:t>povećana</w:t>
      </w:r>
      <w:r w:rsidRPr="07E5E1E8">
        <w:t xml:space="preserve"> </w:t>
      </w:r>
      <w:r w:rsidRPr="07E5E1E8">
        <w:rPr>
          <w:rFonts w:eastAsia="Arial"/>
        </w:rPr>
        <w:t>je</w:t>
      </w:r>
      <w:r w:rsidRPr="07E5E1E8">
        <w:t xml:space="preserve"> </w:t>
      </w:r>
      <w:r w:rsidRPr="07E5E1E8">
        <w:rPr>
          <w:rFonts w:eastAsia="Arial"/>
        </w:rPr>
        <w:t>u</w:t>
      </w:r>
      <w:r w:rsidRPr="07E5E1E8">
        <w:t xml:space="preserve"> </w:t>
      </w:r>
      <w:r w:rsidRPr="07E5E1E8">
        <w:rPr>
          <w:rFonts w:eastAsia="Arial"/>
        </w:rPr>
        <w:t>201</w:t>
      </w:r>
      <w:r w:rsidR="4BD03834" w:rsidRPr="07E5E1E8">
        <w:rPr>
          <w:rFonts w:eastAsia="Arial"/>
        </w:rPr>
        <w:t>9</w:t>
      </w:r>
      <w:r w:rsidRPr="07E5E1E8">
        <w:rPr>
          <w:rFonts w:eastAsia="Arial"/>
        </w:rPr>
        <w:t>.</w:t>
      </w:r>
      <w:r w:rsidRPr="07E5E1E8">
        <w:t xml:space="preserve"> </w:t>
      </w:r>
      <w:r w:rsidRPr="07E5E1E8">
        <w:rPr>
          <w:rFonts w:eastAsia="Arial"/>
        </w:rPr>
        <w:t>godini</w:t>
      </w:r>
      <w:r w:rsidRPr="07E5E1E8">
        <w:t xml:space="preserve"> </w:t>
      </w:r>
      <w:r w:rsidRPr="07E5E1E8">
        <w:rPr>
          <w:rFonts w:eastAsia="Arial"/>
        </w:rPr>
        <w:t>za</w:t>
      </w:r>
      <w:r w:rsidRPr="07E5E1E8">
        <w:t xml:space="preserve"> </w:t>
      </w:r>
      <w:r w:rsidR="0EBFB2F3" w:rsidRPr="07E5E1E8">
        <w:rPr>
          <w:rFonts w:eastAsia="Arial"/>
        </w:rPr>
        <w:t>8,5</w:t>
      </w:r>
      <w:r w:rsidRPr="07E5E1E8">
        <w:rPr>
          <w:rFonts w:eastAsia="Arial"/>
        </w:rPr>
        <w:t>%</w:t>
      </w:r>
      <w:r w:rsidRPr="07E5E1E8">
        <w:t xml:space="preserve"> </w:t>
      </w:r>
      <w:r w:rsidRPr="07E5E1E8">
        <w:rPr>
          <w:rFonts w:eastAsia="Arial"/>
        </w:rPr>
        <w:t>u</w:t>
      </w:r>
      <w:r w:rsidRPr="07E5E1E8">
        <w:t xml:space="preserve"> </w:t>
      </w:r>
      <w:r w:rsidRPr="07E5E1E8">
        <w:rPr>
          <w:rFonts w:eastAsia="Arial"/>
        </w:rPr>
        <w:t>odnosu</w:t>
      </w:r>
      <w:r w:rsidRPr="07E5E1E8">
        <w:t xml:space="preserve"> </w:t>
      </w:r>
      <w:r w:rsidRPr="07E5E1E8">
        <w:rPr>
          <w:rFonts w:eastAsia="Arial"/>
        </w:rPr>
        <w:t>na</w:t>
      </w:r>
      <w:r w:rsidRPr="07E5E1E8">
        <w:t xml:space="preserve"> </w:t>
      </w:r>
      <w:r w:rsidRPr="07E5E1E8">
        <w:rPr>
          <w:rFonts w:eastAsia="Arial"/>
        </w:rPr>
        <w:t>prethodnu</w:t>
      </w:r>
      <w:r w:rsidRPr="07E5E1E8">
        <w:t xml:space="preserve"> </w:t>
      </w:r>
      <w:r w:rsidRPr="07E5E1E8">
        <w:rPr>
          <w:rFonts w:eastAsia="Arial"/>
        </w:rPr>
        <w:t>godinu.</w:t>
      </w:r>
    </w:p>
    <w:p w14:paraId="75883803" w14:textId="3BAA687D" w:rsidR="00224C20" w:rsidRDefault="008878A0" w:rsidP="07E5E1E8">
      <w:pPr>
        <w:rPr>
          <w:rFonts w:eastAsia="Arial"/>
        </w:rPr>
      </w:pPr>
      <w:r w:rsidRPr="07E5E1E8">
        <w:rPr>
          <w:rFonts w:eastAsia="Arial"/>
        </w:rPr>
        <w:t>Od</w:t>
      </w:r>
      <w:r w:rsidRPr="07E5E1E8">
        <w:t xml:space="preserve"> </w:t>
      </w:r>
      <w:r w:rsidRPr="07E5E1E8">
        <w:rPr>
          <w:rFonts w:eastAsia="Arial"/>
        </w:rPr>
        <w:t>ukupnoga</w:t>
      </w:r>
      <w:r w:rsidRPr="07E5E1E8">
        <w:t xml:space="preserve"> </w:t>
      </w:r>
      <w:r w:rsidRPr="07E5E1E8">
        <w:rPr>
          <w:rFonts w:eastAsia="Arial"/>
        </w:rPr>
        <w:t>broja</w:t>
      </w:r>
      <w:r w:rsidRPr="07E5E1E8">
        <w:t xml:space="preserve"> </w:t>
      </w:r>
      <w:r w:rsidRPr="07E5E1E8">
        <w:rPr>
          <w:rFonts w:eastAsia="Arial"/>
        </w:rPr>
        <w:t>poduzetnika</w:t>
      </w:r>
      <w:r w:rsidRPr="07E5E1E8">
        <w:t xml:space="preserve"> </w:t>
      </w:r>
      <w:r w:rsidRPr="07E5E1E8">
        <w:rPr>
          <w:rFonts w:eastAsia="Arial"/>
        </w:rPr>
        <w:t>Krapinsko-zagorske</w:t>
      </w:r>
      <w:r w:rsidRPr="07E5E1E8">
        <w:t xml:space="preserve"> </w:t>
      </w:r>
      <w:r w:rsidRPr="07E5E1E8">
        <w:rPr>
          <w:rFonts w:eastAsia="Arial"/>
        </w:rPr>
        <w:t>županije</w:t>
      </w:r>
      <w:r w:rsidRPr="07E5E1E8">
        <w:t xml:space="preserve"> </w:t>
      </w:r>
      <w:r w:rsidRPr="07E5E1E8">
        <w:rPr>
          <w:rFonts w:eastAsia="Arial"/>
        </w:rPr>
        <w:t>njih</w:t>
      </w:r>
      <w:r w:rsidRPr="07E5E1E8">
        <w:t xml:space="preserve"> </w:t>
      </w:r>
      <w:r w:rsidRPr="07E5E1E8">
        <w:rPr>
          <w:rFonts w:eastAsia="Arial"/>
        </w:rPr>
        <w:t>75%</w:t>
      </w:r>
      <w:r w:rsidRPr="07E5E1E8">
        <w:t xml:space="preserve"> </w:t>
      </w:r>
      <w:r w:rsidRPr="07E5E1E8">
        <w:rPr>
          <w:rFonts w:eastAsia="Arial"/>
        </w:rPr>
        <w:t>je</w:t>
      </w:r>
      <w:r w:rsidRPr="07E5E1E8">
        <w:t xml:space="preserve"> </w:t>
      </w:r>
      <w:r w:rsidRPr="07E5E1E8">
        <w:rPr>
          <w:rFonts w:eastAsia="Arial"/>
        </w:rPr>
        <w:t>u</w:t>
      </w:r>
      <w:r w:rsidRPr="07E5E1E8">
        <w:t xml:space="preserve"> </w:t>
      </w:r>
      <w:r w:rsidRPr="07E5E1E8">
        <w:rPr>
          <w:rFonts w:eastAsia="Arial"/>
        </w:rPr>
        <w:t>201</w:t>
      </w:r>
      <w:r w:rsidR="682FC149" w:rsidRPr="07E5E1E8">
        <w:rPr>
          <w:rFonts w:eastAsia="Arial"/>
        </w:rPr>
        <w:t>9</w:t>
      </w:r>
      <w:r w:rsidRPr="07E5E1E8">
        <w:rPr>
          <w:rFonts w:eastAsia="Arial"/>
        </w:rPr>
        <w:t>.</w:t>
      </w:r>
      <w:r w:rsidRPr="07E5E1E8">
        <w:t xml:space="preserve"> </w:t>
      </w:r>
      <w:r w:rsidRPr="07E5E1E8">
        <w:rPr>
          <w:rFonts w:eastAsia="Arial"/>
        </w:rPr>
        <w:t>godini</w:t>
      </w:r>
      <w:r w:rsidRPr="07E5E1E8">
        <w:t xml:space="preserve"> </w:t>
      </w:r>
      <w:r w:rsidRPr="07E5E1E8">
        <w:rPr>
          <w:rFonts w:eastAsia="Arial"/>
        </w:rPr>
        <w:t>poslovalo</w:t>
      </w:r>
      <w:r w:rsidRPr="07E5E1E8">
        <w:t xml:space="preserve"> </w:t>
      </w:r>
      <w:r w:rsidRPr="07E5E1E8">
        <w:rPr>
          <w:rFonts w:eastAsia="Arial"/>
        </w:rPr>
        <w:t>s</w:t>
      </w:r>
      <w:r w:rsidRPr="07E5E1E8">
        <w:t xml:space="preserve"> </w:t>
      </w:r>
      <w:r w:rsidRPr="07E5E1E8">
        <w:rPr>
          <w:rFonts w:eastAsia="Arial"/>
        </w:rPr>
        <w:t>dobiti,</w:t>
      </w:r>
      <w:r w:rsidRPr="07E5E1E8">
        <w:t xml:space="preserve"> </w:t>
      </w:r>
      <w:r w:rsidRPr="07E5E1E8">
        <w:rPr>
          <w:rFonts w:eastAsia="Arial"/>
        </w:rPr>
        <w:t>dok</w:t>
      </w:r>
      <w:r w:rsidRPr="07E5E1E8">
        <w:t xml:space="preserve"> </w:t>
      </w:r>
      <w:r w:rsidRPr="07E5E1E8">
        <w:rPr>
          <w:rFonts w:eastAsia="Arial"/>
        </w:rPr>
        <w:t>je</w:t>
      </w:r>
      <w:r w:rsidRPr="07E5E1E8">
        <w:t xml:space="preserve"> </w:t>
      </w:r>
      <w:r w:rsidRPr="07E5E1E8">
        <w:rPr>
          <w:rFonts w:eastAsia="Arial"/>
        </w:rPr>
        <w:t>2</w:t>
      </w:r>
      <w:r w:rsidR="6FF0EAC5" w:rsidRPr="07E5E1E8">
        <w:rPr>
          <w:rFonts w:eastAsia="Arial"/>
        </w:rPr>
        <w:t>5</w:t>
      </w:r>
      <w:r w:rsidRPr="07E5E1E8">
        <w:rPr>
          <w:rFonts w:eastAsia="Arial"/>
        </w:rPr>
        <w:t>%</w:t>
      </w:r>
      <w:r w:rsidRPr="07E5E1E8">
        <w:t xml:space="preserve"> </w:t>
      </w:r>
      <w:r w:rsidRPr="07E5E1E8">
        <w:rPr>
          <w:rFonts w:eastAsia="Arial"/>
        </w:rPr>
        <w:t>poduzetnika</w:t>
      </w:r>
      <w:r w:rsidRPr="07E5E1E8">
        <w:t xml:space="preserve"> </w:t>
      </w:r>
      <w:r w:rsidRPr="07E5E1E8">
        <w:rPr>
          <w:rFonts w:eastAsia="Arial"/>
        </w:rPr>
        <w:t>ostvarilo</w:t>
      </w:r>
      <w:r w:rsidRPr="07E5E1E8">
        <w:t xml:space="preserve"> </w:t>
      </w:r>
      <w:r w:rsidRPr="07E5E1E8">
        <w:rPr>
          <w:rFonts w:eastAsia="Arial"/>
        </w:rPr>
        <w:t>gubitak</w:t>
      </w:r>
      <w:r w:rsidRPr="07E5E1E8">
        <w:t xml:space="preserve"> </w:t>
      </w:r>
      <w:r w:rsidRPr="07E5E1E8">
        <w:rPr>
          <w:rFonts w:eastAsia="Arial"/>
        </w:rPr>
        <w:t>u</w:t>
      </w:r>
      <w:r w:rsidRPr="07E5E1E8">
        <w:t xml:space="preserve"> </w:t>
      </w:r>
      <w:r w:rsidRPr="07E5E1E8">
        <w:rPr>
          <w:rFonts w:eastAsia="Arial"/>
        </w:rPr>
        <w:t>poslovanju. Prosječna</w:t>
      </w:r>
      <w:r w:rsidRPr="07E5E1E8">
        <w:t xml:space="preserve"> </w:t>
      </w:r>
      <w:r w:rsidRPr="07E5E1E8">
        <w:rPr>
          <w:rFonts w:eastAsia="Arial"/>
        </w:rPr>
        <w:t>mjesečna</w:t>
      </w:r>
      <w:r w:rsidRPr="07E5E1E8">
        <w:t xml:space="preserve"> </w:t>
      </w:r>
      <w:r w:rsidRPr="07E5E1E8">
        <w:rPr>
          <w:rFonts w:eastAsia="Arial"/>
        </w:rPr>
        <w:t>obračunata</w:t>
      </w:r>
      <w:r w:rsidRPr="07E5E1E8">
        <w:t xml:space="preserve"> </w:t>
      </w:r>
      <w:r w:rsidRPr="07E5E1E8">
        <w:rPr>
          <w:rFonts w:eastAsia="Arial"/>
        </w:rPr>
        <w:t>neto</w:t>
      </w:r>
      <w:r w:rsidRPr="07E5E1E8">
        <w:t xml:space="preserve"> </w:t>
      </w:r>
      <w:r w:rsidRPr="07E5E1E8">
        <w:rPr>
          <w:rFonts w:eastAsia="Arial"/>
        </w:rPr>
        <w:t>plaća</w:t>
      </w:r>
      <w:r w:rsidRPr="07E5E1E8">
        <w:t xml:space="preserve"> </w:t>
      </w:r>
      <w:r w:rsidRPr="07E5E1E8">
        <w:rPr>
          <w:rFonts w:eastAsia="Arial"/>
        </w:rPr>
        <w:t>zaposlenih</w:t>
      </w:r>
      <w:r w:rsidRPr="07E5E1E8">
        <w:t xml:space="preserve"> </w:t>
      </w:r>
      <w:r w:rsidRPr="07E5E1E8">
        <w:rPr>
          <w:rFonts w:eastAsia="Arial"/>
        </w:rPr>
        <w:t>kod</w:t>
      </w:r>
      <w:r w:rsidRPr="07E5E1E8">
        <w:t xml:space="preserve"> </w:t>
      </w:r>
      <w:r w:rsidRPr="07E5E1E8">
        <w:rPr>
          <w:rFonts w:eastAsia="Arial"/>
        </w:rPr>
        <w:t>poduzetnika</w:t>
      </w:r>
      <w:r w:rsidRPr="07E5E1E8">
        <w:t xml:space="preserve"> </w:t>
      </w:r>
      <w:r w:rsidRPr="07E5E1E8">
        <w:rPr>
          <w:rFonts w:eastAsia="Arial"/>
        </w:rPr>
        <w:t>Krapinsko-zagorske</w:t>
      </w:r>
      <w:r w:rsidRPr="07E5E1E8">
        <w:t xml:space="preserve"> </w:t>
      </w:r>
      <w:r w:rsidRPr="07E5E1E8">
        <w:rPr>
          <w:rFonts w:eastAsia="Arial"/>
        </w:rPr>
        <w:t>županije</w:t>
      </w:r>
      <w:r w:rsidRPr="07E5E1E8">
        <w:t xml:space="preserve"> </w:t>
      </w:r>
      <w:r w:rsidRPr="07E5E1E8">
        <w:rPr>
          <w:rFonts w:eastAsia="Arial"/>
        </w:rPr>
        <w:t>u</w:t>
      </w:r>
      <w:r w:rsidRPr="07E5E1E8">
        <w:t xml:space="preserve"> </w:t>
      </w:r>
      <w:r w:rsidRPr="07E5E1E8">
        <w:rPr>
          <w:rFonts w:eastAsia="Arial"/>
        </w:rPr>
        <w:t>201</w:t>
      </w:r>
      <w:r w:rsidR="5E25A52F" w:rsidRPr="07E5E1E8">
        <w:rPr>
          <w:rFonts w:eastAsia="Arial"/>
        </w:rPr>
        <w:t>9</w:t>
      </w:r>
      <w:r w:rsidRPr="07E5E1E8">
        <w:rPr>
          <w:rFonts w:eastAsia="Arial"/>
        </w:rPr>
        <w:t>.</w:t>
      </w:r>
      <w:r w:rsidRPr="07E5E1E8">
        <w:t xml:space="preserve"> </w:t>
      </w:r>
      <w:r w:rsidRPr="07E5E1E8">
        <w:rPr>
          <w:rFonts w:eastAsia="Arial"/>
        </w:rPr>
        <w:t>iznosila</w:t>
      </w:r>
      <w:r w:rsidRPr="07E5E1E8">
        <w:t xml:space="preserve"> </w:t>
      </w:r>
      <w:r w:rsidRPr="07E5E1E8">
        <w:rPr>
          <w:rFonts w:eastAsia="Arial"/>
        </w:rPr>
        <w:t>je</w:t>
      </w:r>
      <w:r w:rsidRPr="07E5E1E8">
        <w:t xml:space="preserve"> </w:t>
      </w:r>
      <w:r w:rsidR="00C56296" w:rsidRPr="07E5E1E8">
        <w:t>5.145</w:t>
      </w:r>
      <w:r w:rsidRPr="07E5E1E8">
        <w:t xml:space="preserve"> </w:t>
      </w:r>
      <w:r w:rsidRPr="07E5E1E8">
        <w:rPr>
          <w:rFonts w:eastAsia="Arial"/>
        </w:rPr>
        <w:t>kun</w:t>
      </w:r>
      <w:r w:rsidR="53B0ED38" w:rsidRPr="07E5E1E8">
        <w:rPr>
          <w:rFonts w:eastAsia="Arial"/>
        </w:rPr>
        <w:t>a</w:t>
      </w:r>
      <w:r w:rsidRPr="07E5E1E8">
        <w:rPr>
          <w:rFonts w:eastAsia="Arial"/>
        </w:rPr>
        <w:t>,</w:t>
      </w:r>
      <w:r w:rsidRPr="07E5E1E8">
        <w:t xml:space="preserve"> </w:t>
      </w:r>
      <w:r w:rsidRPr="07E5E1E8">
        <w:rPr>
          <w:rFonts w:eastAsia="Arial"/>
        </w:rPr>
        <w:t>što</w:t>
      </w:r>
      <w:r w:rsidRPr="07E5E1E8">
        <w:t xml:space="preserve"> </w:t>
      </w:r>
      <w:r w:rsidRPr="07E5E1E8">
        <w:rPr>
          <w:rFonts w:eastAsia="Arial"/>
        </w:rPr>
        <w:t>je</w:t>
      </w:r>
      <w:r w:rsidRPr="07E5E1E8">
        <w:t xml:space="preserve"> </w:t>
      </w:r>
      <w:r w:rsidRPr="07E5E1E8">
        <w:rPr>
          <w:rFonts w:eastAsia="Arial"/>
        </w:rPr>
        <w:t>nominalno</w:t>
      </w:r>
      <w:r w:rsidRPr="07E5E1E8">
        <w:t xml:space="preserve"> </w:t>
      </w:r>
      <w:r w:rsidR="51690E8F" w:rsidRPr="07E5E1E8">
        <w:t>3,5</w:t>
      </w:r>
      <w:r w:rsidRPr="07E5E1E8">
        <w:rPr>
          <w:rFonts w:eastAsia="Arial"/>
        </w:rPr>
        <w:t>%</w:t>
      </w:r>
      <w:r w:rsidRPr="07E5E1E8">
        <w:t xml:space="preserve"> </w:t>
      </w:r>
      <w:r w:rsidRPr="07E5E1E8">
        <w:rPr>
          <w:rFonts w:eastAsia="Arial"/>
        </w:rPr>
        <w:t>više</w:t>
      </w:r>
      <w:r w:rsidRPr="07E5E1E8">
        <w:t xml:space="preserve"> </w:t>
      </w:r>
      <w:r w:rsidRPr="07E5E1E8">
        <w:rPr>
          <w:rFonts w:eastAsia="Arial"/>
        </w:rPr>
        <w:t>u</w:t>
      </w:r>
      <w:r w:rsidRPr="07E5E1E8">
        <w:t xml:space="preserve"> </w:t>
      </w:r>
      <w:r w:rsidRPr="07E5E1E8">
        <w:rPr>
          <w:rFonts w:eastAsia="Arial"/>
        </w:rPr>
        <w:t>odnosu</w:t>
      </w:r>
      <w:r w:rsidRPr="07E5E1E8">
        <w:t xml:space="preserve"> </w:t>
      </w:r>
      <w:r w:rsidRPr="07E5E1E8">
        <w:rPr>
          <w:rFonts w:eastAsia="Arial"/>
        </w:rPr>
        <w:t>na</w:t>
      </w:r>
      <w:r w:rsidRPr="07E5E1E8">
        <w:t xml:space="preserve"> </w:t>
      </w:r>
      <w:r w:rsidR="008A386A" w:rsidRPr="07E5E1E8">
        <w:rPr>
          <w:rFonts w:eastAsia="Arial"/>
        </w:rPr>
        <w:t>201</w:t>
      </w:r>
      <w:r w:rsidR="7DE021FC" w:rsidRPr="07E5E1E8">
        <w:rPr>
          <w:rFonts w:eastAsia="Arial"/>
        </w:rPr>
        <w:t>8</w:t>
      </w:r>
      <w:r w:rsidRPr="07E5E1E8">
        <w:rPr>
          <w:rFonts w:eastAsia="Arial"/>
        </w:rPr>
        <w:t>.</w:t>
      </w:r>
      <w:r w:rsidRPr="07E5E1E8">
        <w:t xml:space="preserve"> </w:t>
      </w:r>
      <w:r w:rsidRPr="07E5E1E8">
        <w:rPr>
          <w:rFonts w:eastAsia="Arial"/>
        </w:rPr>
        <w:t>godinu.</w:t>
      </w:r>
    </w:p>
    <w:p w14:paraId="6666810D" w14:textId="77777777" w:rsidR="00FD7F29" w:rsidRDefault="00FD7F29" w:rsidP="00941871">
      <w:pPr>
        <w:rPr>
          <w:rFonts w:eastAsia="Arial" w:cstheme="minorHAnsi"/>
        </w:rPr>
      </w:pPr>
    </w:p>
    <w:p w14:paraId="791B3CC8" w14:textId="03F10716" w:rsidR="008878A0" w:rsidRDefault="00B601EE" w:rsidP="0052192B">
      <w:pPr>
        <w:pStyle w:val="Naslov2"/>
      </w:pPr>
      <w:bookmarkStart w:id="137" w:name="_Toc85181325"/>
      <w:r>
        <w:t>10</w:t>
      </w:r>
      <w:r w:rsidR="0097382C" w:rsidRPr="00CA194F">
        <w:t>.2.</w:t>
      </w:r>
      <w:r w:rsidR="00CA194F">
        <w:t>1.</w:t>
      </w:r>
      <w:r w:rsidR="00402D06">
        <w:t xml:space="preserve"> Položaj gospodarstva K</w:t>
      </w:r>
      <w:r w:rsidR="00402D06" w:rsidRPr="00402D06">
        <w:t>rapinsko-zagorske županije u od</w:t>
      </w:r>
      <w:r w:rsidR="00402D06">
        <w:t>nosu na ostale županije RH</w:t>
      </w:r>
      <w:bookmarkEnd w:id="137"/>
    </w:p>
    <w:p w14:paraId="1355333F" w14:textId="77777777" w:rsidR="00FD7F29" w:rsidRDefault="00FD7F29" w:rsidP="00941871"/>
    <w:p w14:paraId="24F7CAB4" w14:textId="6B96EF40" w:rsidR="008878A0" w:rsidRPr="00224C20" w:rsidRDefault="008878A0" w:rsidP="00941871">
      <w:r w:rsidRPr="00224C20">
        <w:t xml:space="preserve">Jedna od osnovnih karakteristika gospodarstva Hrvatske je velika razlika u razvijenosti pojedinih županija te još veća razlika u razvijenosti gradova i općina. Usporedbom </w:t>
      </w:r>
      <w:r w:rsidR="00FE1EE9" w:rsidRPr="00224C20">
        <w:t xml:space="preserve">ključnih kriterija poslovanja poduzetnika </w:t>
      </w:r>
      <w:r w:rsidRPr="00224C20">
        <w:t xml:space="preserve">moguće je </w:t>
      </w:r>
      <w:r w:rsidR="00C66C5B">
        <w:t xml:space="preserve">odrediti </w:t>
      </w:r>
      <w:r w:rsidRPr="00224C20">
        <w:t>razvojni položaj Krapinsko-zagorske županije u odnosu na ostale hrvatske županije.</w:t>
      </w:r>
    </w:p>
    <w:p w14:paraId="51283395" w14:textId="53E51490" w:rsidR="008878A0" w:rsidRDefault="008A386A" w:rsidP="07E5E1E8">
      <w:pPr>
        <w:rPr>
          <w:rFonts w:eastAsia="Arial"/>
        </w:rPr>
      </w:pPr>
      <w:r w:rsidRPr="07E5E1E8">
        <w:t xml:space="preserve">Usporedbom </w:t>
      </w:r>
      <w:r w:rsidR="00DC07C7" w:rsidRPr="07E5E1E8">
        <w:t>odabranih kriterija poduzetništva</w:t>
      </w:r>
      <w:r w:rsidRPr="07E5E1E8">
        <w:t>,</w:t>
      </w:r>
      <w:r w:rsidR="008878A0" w:rsidRPr="07E5E1E8">
        <w:t xml:space="preserve"> </w:t>
      </w:r>
      <w:r w:rsidR="008878A0" w:rsidRPr="07E5E1E8">
        <w:rPr>
          <w:rFonts w:eastAsia="Arial"/>
        </w:rPr>
        <w:t>Krapinsko-zagorska</w:t>
      </w:r>
      <w:r w:rsidR="008878A0" w:rsidRPr="07E5E1E8">
        <w:t xml:space="preserve"> </w:t>
      </w:r>
      <w:r w:rsidR="008878A0" w:rsidRPr="07E5E1E8">
        <w:rPr>
          <w:rFonts w:eastAsia="Arial"/>
        </w:rPr>
        <w:t>županija</w:t>
      </w:r>
      <w:r w:rsidR="008878A0" w:rsidRPr="07E5E1E8">
        <w:t xml:space="preserve"> </w:t>
      </w:r>
      <w:r w:rsidR="008878A0" w:rsidRPr="07E5E1E8">
        <w:rPr>
          <w:rFonts w:eastAsia="Arial"/>
        </w:rPr>
        <w:t>je</w:t>
      </w:r>
      <w:r w:rsidR="008878A0" w:rsidRPr="07E5E1E8">
        <w:t xml:space="preserve"> </w:t>
      </w:r>
      <w:r w:rsidR="008878A0" w:rsidRPr="07E5E1E8">
        <w:rPr>
          <w:rFonts w:eastAsia="Arial"/>
        </w:rPr>
        <w:t>najbolje</w:t>
      </w:r>
      <w:r w:rsidR="008878A0" w:rsidRPr="07E5E1E8">
        <w:t xml:space="preserve"> </w:t>
      </w:r>
      <w:r w:rsidR="008878A0" w:rsidRPr="07E5E1E8">
        <w:rPr>
          <w:rFonts w:eastAsia="Arial"/>
        </w:rPr>
        <w:t>rangirana</w:t>
      </w:r>
      <w:r w:rsidR="008878A0" w:rsidRPr="07E5E1E8">
        <w:t xml:space="preserve"> </w:t>
      </w:r>
      <w:r w:rsidR="008878A0" w:rsidRPr="07E5E1E8">
        <w:rPr>
          <w:rFonts w:eastAsia="Arial"/>
        </w:rPr>
        <w:t>prema</w:t>
      </w:r>
      <w:r w:rsidR="008878A0" w:rsidRPr="07E5E1E8">
        <w:t xml:space="preserve"> </w:t>
      </w:r>
      <w:r w:rsidR="1FF19934" w:rsidRPr="07E5E1E8">
        <w:t xml:space="preserve">produktivnosti rada/neto dobiti po zaposlenom te </w:t>
      </w:r>
      <w:r w:rsidR="008878A0" w:rsidRPr="07E5E1E8">
        <w:rPr>
          <w:rFonts w:eastAsia="Arial"/>
        </w:rPr>
        <w:t>ekonomičnosti</w:t>
      </w:r>
      <w:r w:rsidR="008878A0" w:rsidRPr="07E5E1E8">
        <w:t xml:space="preserve"> </w:t>
      </w:r>
      <w:r w:rsidR="008878A0" w:rsidRPr="07E5E1E8">
        <w:rPr>
          <w:rFonts w:eastAsia="Arial"/>
        </w:rPr>
        <w:t>poslovanja</w:t>
      </w:r>
      <w:r w:rsidR="008878A0" w:rsidRPr="07E5E1E8">
        <w:t xml:space="preserve"> </w:t>
      </w:r>
      <w:r w:rsidR="008878A0" w:rsidRPr="07E5E1E8">
        <w:rPr>
          <w:rFonts w:eastAsia="Arial"/>
        </w:rPr>
        <w:t>poduzetnika,</w:t>
      </w:r>
      <w:r w:rsidR="008878A0" w:rsidRPr="07E5E1E8">
        <w:t xml:space="preserve"> gdje se nalazi </w:t>
      </w:r>
      <w:r w:rsidR="008878A0" w:rsidRPr="07E5E1E8">
        <w:rPr>
          <w:rFonts w:eastAsia="Arial"/>
        </w:rPr>
        <w:t>na</w:t>
      </w:r>
      <w:r w:rsidR="008878A0" w:rsidRPr="07E5E1E8">
        <w:t xml:space="preserve"> </w:t>
      </w:r>
      <w:r w:rsidR="103442CE" w:rsidRPr="07E5E1E8">
        <w:t>4</w:t>
      </w:r>
      <w:r w:rsidR="008878A0" w:rsidRPr="07E5E1E8">
        <w:rPr>
          <w:rFonts w:eastAsia="Arial"/>
        </w:rPr>
        <w:t>. mjestu.</w:t>
      </w:r>
      <w:r w:rsidR="008878A0" w:rsidRPr="07E5E1E8">
        <w:t xml:space="preserve"> </w:t>
      </w:r>
      <w:r w:rsidR="008878A0" w:rsidRPr="07E5E1E8">
        <w:rPr>
          <w:rFonts w:eastAsia="Arial"/>
        </w:rPr>
        <w:t>Prema</w:t>
      </w:r>
      <w:r w:rsidR="09188D3C" w:rsidRPr="07E5E1E8">
        <w:rPr>
          <w:rFonts w:eastAsia="Arial"/>
        </w:rPr>
        <w:t xml:space="preserve"> ostalim</w:t>
      </w:r>
      <w:r w:rsidR="008878A0" w:rsidRPr="07E5E1E8">
        <w:t xml:space="preserve"> </w:t>
      </w:r>
      <w:r w:rsidR="008878A0" w:rsidRPr="07E5E1E8">
        <w:rPr>
          <w:rFonts w:eastAsia="Arial"/>
        </w:rPr>
        <w:t>pokazatelj</w:t>
      </w:r>
      <w:r w:rsidR="37CB921B" w:rsidRPr="07E5E1E8">
        <w:rPr>
          <w:rFonts w:eastAsia="Arial"/>
        </w:rPr>
        <w:t>ima</w:t>
      </w:r>
      <w:r w:rsidR="008878A0" w:rsidRPr="07E5E1E8">
        <w:t xml:space="preserve"> </w:t>
      </w:r>
      <w:r w:rsidR="6FA66185" w:rsidRPr="07E5E1E8">
        <w:t>nalazi se na sredini ljestvice: neto dobit (10. mjesto), ukupni prihod, broj zaposlenih i ukupan prihod po zaposlenom (11.</w:t>
      </w:r>
      <w:r w:rsidR="7B74FF7D" w:rsidRPr="07E5E1E8">
        <w:t xml:space="preserve"> mjesto</w:t>
      </w:r>
      <w:r w:rsidR="6FA66185" w:rsidRPr="07E5E1E8">
        <w:t>)</w:t>
      </w:r>
      <w:r w:rsidR="3AE3E438" w:rsidRPr="07E5E1E8">
        <w:t xml:space="preserve"> te rang po broju poduzetnika (12. mjesto). </w:t>
      </w:r>
      <w:r w:rsidR="6B275662" w:rsidRPr="07E5E1E8">
        <w:t>Time je Krapinsko-zagorska u odnosu na ostale županije najniže rangirana po broju poduzetnika, iznad Karlovačke i ispod Šibensko-kninske.</w:t>
      </w:r>
    </w:p>
    <w:p w14:paraId="0E4FACF4" w14:textId="506CBA35" w:rsidR="008878A0" w:rsidRDefault="008878A0" w:rsidP="07E5E1E8">
      <w:pPr>
        <w:rPr>
          <w:rFonts w:eastAsia="Arial"/>
          <w:spacing w:val="-2"/>
        </w:rPr>
      </w:pPr>
      <w:r w:rsidRPr="07E5E1E8">
        <w:rPr>
          <w:rFonts w:eastAsia="Arial"/>
          <w:spacing w:val="-2"/>
        </w:rPr>
        <w:t>Grad Zagreb je najbolje rangiran po svim kriterijima</w:t>
      </w:r>
      <w:r w:rsidRPr="07E5E1E8">
        <w:t xml:space="preserve"> </w:t>
      </w:r>
      <w:r w:rsidRPr="07E5E1E8">
        <w:rPr>
          <w:rFonts w:eastAsia="Arial"/>
          <w:spacing w:val="-2"/>
        </w:rPr>
        <w:t>o</w:t>
      </w:r>
      <w:r w:rsidRPr="07E5E1E8">
        <w:rPr>
          <w:rFonts w:eastAsia="Arial"/>
          <w:spacing w:val="-5"/>
        </w:rPr>
        <w:t>s</w:t>
      </w:r>
      <w:r w:rsidRPr="07E5E1E8">
        <w:rPr>
          <w:rFonts w:eastAsia="Arial"/>
          <w:spacing w:val="-2"/>
        </w:rPr>
        <w:t>i</w:t>
      </w:r>
      <w:r w:rsidRPr="07E5E1E8">
        <w:rPr>
          <w:rFonts w:eastAsia="Arial"/>
        </w:rPr>
        <w:t>m</w:t>
      </w:r>
      <w:r w:rsidRPr="07E5E1E8">
        <w:t xml:space="preserve"> </w:t>
      </w:r>
      <w:r w:rsidRPr="07E5E1E8">
        <w:rPr>
          <w:rFonts w:eastAsia="Arial"/>
          <w:spacing w:val="-2"/>
        </w:rPr>
        <w:t>p</w:t>
      </w:r>
      <w:r w:rsidRPr="07E5E1E8">
        <w:rPr>
          <w:rFonts w:eastAsia="Arial"/>
        </w:rPr>
        <w:t>r</w:t>
      </w:r>
      <w:r w:rsidRPr="07E5E1E8">
        <w:rPr>
          <w:rFonts w:eastAsia="Arial"/>
          <w:spacing w:val="-7"/>
        </w:rPr>
        <w:t>e</w:t>
      </w:r>
      <w:r w:rsidRPr="07E5E1E8">
        <w:rPr>
          <w:rFonts w:eastAsia="Arial"/>
          <w:spacing w:val="5"/>
        </w:rPr>
        <w:t>m</w:t>
      </w:r>
      <w:r w:rsidRPr="07E5E1E8">
        <w:rPr>
          <w:rFonts w:eastAsia="Arial"/>
        </w:rPr>
        <w:t>a</w:t>
      </w:r>
      <w:r w:rsidRPr="07E5E1E8">
        <w:t xml:space="preserve"> </w:t>
      </w:r>
      <w:r w:rsidRPr="07E5E1E8">
        <w:rPr>
          <w:rFonts w:eastAsia="Arial"/>
          <w:spacing w:val="-2"/>
        </w:rPr>
        <w:t>e</w:t>
      </w:r>
      <w:r w:rsidRPr="07E5E1E8">
        <w:rPr>
          <w:rFonts w:eastAsia="Arial"/>
        </w:rPr>
        <w:t>k</w:t>
      </w:r>
      <w:r w:rsidRPr="07E5E1E8">
        <w:rPr>
          <w:rFonts w:eastAsia="Arial"/>
          <w:spacing w:val="-2"/>
        </w:rPr>
        <w:t>ono</w:t>
      </w:r>
      <w:r w:rsidRPr="07E5E1E8">
        <w:rPr>
          <w:rFonts w:eastAsia="Arial"/>
        </w:rPr>
        <w:t>m</w:t>
      </w:r>
      <w:r w:rsidRPr="07E5E1E8">
        <w:rPr>
          <w:rFonts w:eastAsia="Arial"/>
          <w:spacing w:val="3"/>
        </w:rPr>
        <w:t>i</w:t>
      </w:r>
      <w:r w:rsidRPr="07E5E1E8">
        <w:rPr>
          <w:rFonts w:eastAsia="Arial"/>
        </w:rPr>
        <w:t>č</w:t>
      </w:r>
      <w:r w:rsidRPr="07E5E1E8">
        <w:rPr>
          <w:rFonts w:eastAsia="Arial"/>
          <w:spacing w:val="-2"/>
        </w:rPr>
        <w:t>no</w:t>
      </w:r>
      <w:r w:rsidRPr="07E5E1E8">
        <w:rPr>
          <w:rFonts w:eastAsia="Arial"/>
          <w:spacing w:val="-5"/>
        </w:rPr>
        <w:t>s</w:t>
      </w:r>
      <w:r w:rsidRPr="07E5E1E8">
        <w:rPr>
          <w:rFonts w:eastAsia="Arial"/>
          <w:spacing w:val="2"/>
        </w:rPr>
        <w:t>t</w:t>
      </w:r>
      <w:r w:rsidRPr="07E5E1E8">
        <w:rPr>
          <w:rFonts w:eastAsia="Arial"/>
        </w:rPr>
        <w:t>i</w:t>
      </w:r>
      <w:r w:rsidRPr="07E5E1E8">
        <w:rPr>
          <w:spacing w:val="10"/>
        </w:rPr>
        <w:t xml:space="preserve"> </w:t>
      </w:r>
      <w:r w:rsidRPr="07E5E1E8">
        <w:rPr>
          <w:rFonts w:eastAsia="Arial"/>
          <w:spacing w:val="-2"/>
        </w:rPr>
        <w:t>po</w:t>
      </w:r>
      <w:r w:rsidRPr="07E5E1E8">
        <w:rPr>
          <w:rFonts w:eastAsia="Arial"/>
          <w:spacing w:val="-5"/>
        </w:rPr>
        <w:t>s</w:t>
      </w:r>
      <w:r w:rsidRPr="07E5E1E8">
        <w:rPr>
          <w:rFonts w:eastAsia="Arial"/>
          <w:spacing w:val="3"/>
        </w:rPr>
        <w:t>l</w:t>
      </w:r>
      <w:r w:rsidRPr="07E5E1E8">
        <w:rPr>
          <w:rFonts w:eastAsia="Arial"/>
          <w:spacing w:val="-6"/>
        </w:rPr>
        <w:t>o</w:t>
      </w:r>
      <w:r w:rsidRPr="07E5E1E8">
        <w:rPr>
          <w:rFonts w:eastAsia="Arial"/>
          <w:spacing w:val="10"/>
        </w:rPr>
        <w:t>v</w:t>
      </w:r>
      <w:r w:rsidRPr="07E5E1E8">
        <w:rPr>
          <w:rFonts w:eastAsia="Arial"/>
          <w:spacing w:val="-2"/>
        </w:rPr>
        <w:t>a</w:t>
      </w:r>
      <w:r w:rsidRPr="07E5E1E8">
        <w:rPr>
          <w:rFonts w:eastAsia="Arial"/>
          <w:spacing w:val="-7"/>
        </w:rPr>
        <w:t>n</w:t>
      </w:r>
      <w:r w:rsidRPr="07E5E1E8">
        <w:rPr>
          <w:rFonts w:eastAsia="Arial"/>
          <w:spacing w:val="3"/>
        </w:rPr>
        <w:t>j</w:t>
      </w:r>
      <w:r w:rsidRPr="07E5E1E8">
        <w:rPr>
          <w:rFonts w:eastAsia="Arial"/>
          <w:spacing w:val="-2"/>
        </w:rPr>
        <w:t xml:space="preserve">a gdje zauzima </w:t>
      </w:r>
      <w:r w:rsidR="602CD494" w:rsidRPr="07E5E1E8">
        <w:rPr>
          <w:rFonts w:eastAsia="Arial"/>
          <w:spacing w:val="-2"/>
        </w:rPr>
        <w:t>3</w:t>
      </w:r>
      <w:r w:rsidRPr="07E5E1E8">
        <w:rPr>
          <w:rFonts w:eastAsia="Arial"/>
          <w:spacing w:val="-2"/>
        </w:rPr>
        <w:t>. mjesto</w:t>
      </w:r>
      <w:r w:rsidR="00E17D04">
        <w:rPr>
          <w:rFonts w:eastAsia="Arial"/>
          <w:spacing w:val="-2"/>
        </w:rPr>
        <w:t xml:space="preserve">. U tom kriteriju </w:t>
      </w:r>
      <w:r w:rsidRPr="07E5E1E8">
        <w:rPr>
          <w:rFonts w:eastAsia="Arial"/>
          <w:spacing w:val="-2"/>
        </w:rPr>
        <w:t xml:space="preserve">najbolje je rangirana </w:t>
      </w:r>
      <w:r w:rsidR="19C438A9" w:rsidRPr="07E5E1E8">
        <w:rPr>
          <w:spacing w:val="6"/>
        </w:rPr>
        <w:t xml:space="preserve">Dubrovačko-neretvanska </w:t>
      </w:r>
      <w:r w:rsidRPr="07E5E1E8">
        <w:rPr>
          <w:rFonts w:eastAsia="Arial"/>
        </w:rPr>
        <w:t>ž</w:t>
      </w:r>
      <w:r w:rsidRPr="07E5E1E8">
        <w:rPr>
          <w:rFonts w:eastAsia="Arial"/>
          <w:spacing w:val="-2"/>
        </w:rPr>
        <w:t>upani</w:t>
      </w:r>
      <w:r w:rsidRPr="07E5E1E8">
        <w:rPr>
          <w:rFonts w:eastAsia="Arial"/>
          <w:spacing w:val="3"/>
        </w:rPr>
        <w:t>j</w:t>
      </w:r>
      <w:r w:rsidRPr="07E5E1E8">
        <w:rPr>
          <w:rFonts w:eastAsia="Arial"/>
          <w:spacing w:val="-2"/>
        </w:rPr>
        <w:t>a.</w:t>
      </w:r>
    </w:p>
    <w:p w14:paraId="7D013F4A" w14:textId="77777777" w:rsidR="00E17D04" w:rsidRDefault="00E17D04" w:rsidP="07E5E1E8">
      <w:pPr>
        <w:rPr>
          <w:rFonts w:eastAsia="Arial"/>
        </w:rPr>
      </w:pPr>
    </w:p>
    <w:p w14:paraId="21AACD9B" w14:textId="23603800" w:rsidR="008878A0" w:rsidRDefault="008878A0" w:rsidP="003E3F3C">
      <w:pPr>
        <w:pStyle w:val="Opisslike"/>
      </w:pPr>
      <w:r>
        <w:t xml:space="preserve">Tablica </w:t>
      </w:r>
      <w:r w:rsidR="009E69A4">
        <w:rPr>
          <w:noProof/>
        </w:rPr>
        <w:t>7</w:t>
      </w:r>
      <w:r w:rsidR="000D5E3F">
        <w:rPr>
          <w:noProof/>
        </w:rPr>
        <w:t>5</w:t>
      </w:r>
      <w:r w:rsidR="00B72508">
        <w:rPr>
          <w:noProof/>
        </w:rPr>
        <w:t>.</w:t>
      </w:r>
      <w:r>
        <w:t xml:space="preserve"> Rangiranje županija prema određenim kriterijima poduzetništva za 201</w:t>
      </w:r>
      <w:r w:rsidR="2F3285DD">
        <w:t>9</w:t>
      </w:r>
      <w:r>
        <w:t>. godinu</w:t>
      </w:r>
    </w:p>
    <w:tbl>
      <w:tblPr>
        <w:tblW w:w="9269" w:type="dxa"/>
        <w:tblBorders>
          <w:left w:val="single" w:sz="8" w:space="0" w:color="D2232A" w:themeColor="accent1"/>
          <w:right w:val="single" w:sz="8" w:space="0" w:color="D2232A" w:themeColor="accent1"/>
          <w:insideH w:val="single" w:sz="8" w:space="0" w:color="F3CFC1"/>
          <w:insideV w:val="single" w:sz="8" w:space="0" w:color="D2232A" w:themeColor="accent1"/>
        </w:tblBorders>
        <w:tblLook w:val="04A0" w:firstRow="1" w:lastRow="0" w:firstColumn="1" w:lastColumn="0" w:noHBand="0" w:noVBand="1"/>
      </w:tblPr>
      <w:tblGrid>
        <w:gridCol w:w="1291"/>
        <w:gridCol w:w="906"/>
        <w:gridCol w:w="775"/>
        <w:gridCol w:w="1117"/>
        <w:gridCol w:w="1051"/>
        <w:gridCol w:w="1487"/>
        <w:gridCol w:w="1355"/>
        <w:gridCol w:w="1287"/>
      </w:tblGrid>
      <w:tr w:rsidR="00B95FAA" w:rsidRPr="00FD7F29" w14:paraId="4DCBEA68" w14:textId="77777777" w:rsidTr="00E76E08">
        <w:trPr>
          <w:trHeight w:val="283"/>
          <w:tblHeader/>
        </w:trPr>
        <w:tc>
          <w:tcPr>
            <w:tcW w:w="1291" w:type="dxa"/>
            <w:tcBorders>
              <w:right w:val="single" w:sz="4" w:space="0" w:color="FFFFFF" w:themeColor="background1"/>
            </w:tcBorders>
            <w:shd w:val="clear" w:color="auto" w:fill="D2232A" w:themeFill="accent1"/>
            <w:hideMark/>
          </w:tcPr>
          <w:p w14:paraId="4A9FFEBF" w14:textId="77777777" w:rsidR="008878A0" w:rsidRPr="00E76E08" w:rsidRDefault="008878A0" w:rsidP="007F2B15">
            <w:pPr>
              <w:spacing w:before="240" w:after="0"/>
              <w:jc w:val="center"/>
              <w:rPr>
                <w:rFonts w:eastAsia="Arial Narrow" w:cstheme="minorHAnsi"/>
                <w:b/>
                <w:color w:val="FFFFFF" w:themeColor="background1"/>
                <w:spacing w:val="-1"/>
                <w:szCs w:val="18"/>
              </w:rPr>
            </w:pPr>
            <w:r w:rsidRPr="00E76E08">
              <w:rPr>
                <w:rFonts w:eastAsia="Arial Narrow" w:cstheme="minorHAnsi"/>
                <w:b/>
                <w:color w:val="FFFFFF" w:themeColor="background1"/>
                <w:spacing w:val="-1"/>
                <w:szCs w:val="18"/>
              </w:rPr>
              <w:t>Naziv županije</w:t>
            </w:r>
          </w:p>
        </w:tc>
        <w:tc>
          <w:tcPr>
            <w:tcW w:w="906" w:type="dxa"/>
            <w:tcBorders>
              <w:left w:val="single" w:sz="4" w:space="0" w:color="FFFFFF" w:themeColor="background1"/>
              <w:right w:val="single" w:sz="4" w:space="0" w:color="FFFFFF" w:themeColor="background1"/>
            </w:tcBorders>
            <w:shd w:val="clear" w:color="auto" w:fill="D2232A" w:themeFill="accent1"/>
            <w:vAlign w:val="center"/>
            <w:hideMark/>
          </w:tcPr>
          <w:p w14:paraId="76FCD0AE" w14:textId="77777777" w:rsidR="008878A0" w:rsidRPr="00FD7F29" w:rsidRDefault="008878A0" w:rsidP="00E76E08">
            <w:pPr>
              <w:autoSpaceDE w:val="0"/>
              <w:autoSpaceDN w:val="0"/>
              <w:adjustRightInd w:val="0"/>
              <w:spacing w:after="0"/>
              <w:jc w:val="center"/>
              <w:rPr>
                <w:rFonts w:eastAsiaTheme="minorHAnsi" w:cstheme="minorHAnsi"/>
                <w:b/>
                <w:bCs/>
                <w:color w:val="FFFFFF" w:themeColor="background1"/>
                <w:sz w:val="16"/>
                <w:szCs w:val="16"/>
              </w:rPr>
            </w:pPr>
            <w:r w:rsidRPr="00FD7F29">
              <w:rPr>
                <w:rFonts w:cstheme="minorHAnsi"/>
                <w:b/>
                <w:bCs/>
                <w:color w:val="FFFFFF" w:themeColor="background1"/>
                <w:sz w:val="16"/>
                <w:szCs w:val="16"/>
              </w:rPr>
              <w:t>Rang po</w:t>
            </w:r>
          </w:p>
          <w:p w14:paraId="5BDEA79C" w14:textId="77777777" w:rsidR="008878A0" w:rsidRPr="00FD7F29" w:rsidRDefault="008878A0" w:rsidP="00E76E08">
            <w:pPr>
              <w:autoSpaceDE w:val="0"/>
              <w:autoSpaceDN w:val="0"/>
              <w:adjustRightInd w:val="0"/>
              <w:spacing w:after="0"/>
              <w:jc w:val="center"/>
              <w:rPr>
                <w:rFonts w:cstheme="minorHAnsi"/>
                <w:b/>
                <w:bCs/>
                <w:color w:val="FFFFFF" w:themeColor="background1"/>
                <w:sz w:val="16"/>
                <w:szCs w:val="16"/>
              </w:rPr>
            </w:pPr>
            <w:r w:rsidRPr="00FD7F29">
              <w:rPr>
                <w:rFonts w:cstheme="minorHAnsi"/>
                <w:b/>
                <w:bCs/>
                <w:color w:val="FFFFFF" w:themeColor="background1"/>
                <w:sz w:val="16"/>
                <w:szCs w:val="16"/>
              </w:rPr>
              <w:t>ukupnom</w:t>
            </w:r>
          </w:p>
          <w:p w14:paraId="07D0E404" w14:textId="77777777" w:rsidR="008878A0" w:rsidRPr="00FD7F29" w:rsidRDefault="008878A0" w:rsidP="00E76E08">
            <w:pPr>
              <w:spacing w:after="0"/>
              <w:jc w:val="center"/>
              <w:rPr>
                <w:rFonts w:eastAsia="Arial Narrow" w:cstheme="minorHAnsi"/>
                <w:b/>
                <w:color w:val="FFFFFF" w:themeColor="background1"/>
                <w:spacing w:val="-1"/>
                <w:sz w:val="16"/>
                <w:szCs w:val="16"/>
              </w:rPr>
            </w:pPr>
            <w:r w:rsidRPr="00FD7F29">
              <w:rPr>
                <w:rFonts w:cstheme="minorHAnsi"/>
                <w:b/>
                <w:bCs/>
                <w:color w:val="FFFFFF" w:themeColor="background1"/>
                <w:sz w:val="16"/>
                <w:szCs w:val="16"/>
              </w:rPr>
              <w:t>prihodu</w:t>
            </w:r>
          </w:p>
        </w:tc>
        <w:tc>
          <w:tcPr>
            <w:tcW w:w="775" w:type="dxa"/>
            <w:tcBorders>
              <w:left w:val="single" w:sz="4" w:space="0" w:color="FFFFFF" w:themeColor="background1"/>
              <w:right w:val="single" w:sz="4" w:space="0" w:color="FFFFFF" w:themeColor="background1"/>
            </w:tcBorders>
            <w:shd w:val="clear" w:color="auto" w:fill="D2232A" w:themeFill="accent1"/>
            <w:vAlign w:val="center"/>
            <w:hideMark/>
          </w:tcPr>
          <w:p w14:paraId="73C826D8" w14:textId="77777777" w:rsidR="008878A0" w:rsidRPr="00FD7F29" w:rsidRDefault="008878A0" w:rsidP="00E76E08">
            <w:pPr>
              <w:autoSpaceDE w:val="0"/>
              <w:autoSpaceDN w:val="0"/>
              <w:adjustRightInd w:val="0"/>
              <w:spacing w:after="0"/>
              <w:jc w:val="center"/>
              <w:rPr>
                <w:rFonts w:eastAsiaTheme="minorHAnsi" w:cstheme="minorHAnsi"/>
                <w:b/>
                <w:bCs/>
                <w:color w:val="FFFFFF" w:themeColor="background1"/>
                <w:sz w:val="16"/>
                <w:szCs w:val="16"/>
              </w:rPr>
            </w:pPr>
            <w:r w:rsidRPr="00FD7F29">
              <w:rPr>
                <w:rFonts w:cstheme="minorHAnsi"/>
                <w:b/>
                <w:bCs/>
                <w:color w:val="FFFFFF" w:themeColor="background1"/>
                <w:sz w:val="16"/>
                <w:szCs w:val="16"/>
              </w:rPr>
              <w:t>Rang</w:t>
            </w:r>
          </w:p>
          <w:p w14:paraId="608731EA" w14:textId="77777777" w:rsidR="008878A0" w:rsidRPr="00FD7F29" w:rsidRDefault="008878A0" w:rsidP="00E76E08">
            <w:pPr>
              <w:autoSpaceDE w:val="0"/>
              <w:autoSpaceDN w:val="0"/>
              <w:adjustRightInd w:val="0"/>
              <w:spacing w:after="0"/>
              <w:jc w:val="center"/>
              <w:rPr>
                <w:rFonts w:cstheme="minorHAnsi"/>
                <w:b/>
                <w:bCs/>
                <w:color w:val="FFFFFF" w:themeColor="background1"/>
                <w:sz w:val="16"/>
                <w:szCs w:val="16"/>
              </w:rPr>
            </w:pPr>
            <w:r w:rsidRPr="00FD7F29">
              <w:rPr>
                <w:rFonts w:cstheme="minorHAnsi"/>
                <w:b/>
                <w:bCs/>
                <w:color w:val="FFFFFF" w:themeColor="background1"/>
                <w:sz w:val="16"/>
                <w:szCs w:val="16"/>
              </w:rPr>
              <w:t>po neto</w:t>
            </w:r>
          </w:p>
          <w:p w14:paraId="3D92CB2E" w14:textId="77777777" w:rsidR="008878A0" w:rsidRPr="00FD7F29" w:rsidRDefault="008878A0" w:rsidP="00E76E08">
            <w:pPr>
              <w:spacing w:after="0"/>
              <w:jc w:val="center"/>
              <w:rPr>
                <w:rFonts w:eastAsia="Arial Narrow" w:cstheme="minorHAnsi"/>
                <w:b/>
                <w:color w:val="FFFFFF" w:themeColor="background1"/>
                <w:spacing w:val="-1"/>
                <w:sz w:val="16"/>
                <w:szCs w:val="16"/>
              </w:rPr>
            </w:pPr>
            <w:r w:rsidRPr="00FD7F29">
              <w:rPr>
                <w:rFonts w:cstheme="minorHAnsi"/>
                <w:b/>
                <w:bCs/>
                <w:color w:val="FFFFFF" w:themeColor="background1"/>
                <w:sz w:val="16"/>
                <w:szCs w:val="16"/>
              </w:rPr>
              <w:t>dobiti</w:t>
            </w:r>
          </w:p>
        </w:tc>
        <w:tc>
          <w:tcPr>
            <w:tcW w:w="1117" w:type="dxa"/>
            <w:tcBorders>
              <w:left w:val="single" w:sz="4" w:space="0" w:color="FFFFFF" w:themeColor="background1"/>
              <w:right w:val="single" w:sz="4" w:space="0" w:color="FFFFFF" w:themeColor="background1"/>
            </w:tcBorders>
            <w:shd w:val="clear" w:color="auto" w:fill="D2232A" w:themeFill="accent1"/>
            <w:vAlign w:val="center"/>
            <w:hideMark/>
          </w:tcPr>
          <w:p w14:paraId="43897023" w14:textId="77777777" w:rsidR="008878A0" w:rsidRPr="00FD7F29" w:rsidRDefault="008878A0" w:rsidP="00E76E08">
            <w:pPr>
              <w:autoSpaceDE w:val="0"/>
              <w:autoSpaceDN w:val="0"/>
              <w:adjustRightInd w:val="0"/>
              <w:spacing w:after="0"/>
              <w:jc w:val="center"/>
              <w:rPr>
                <w:rFonts w:eastAsiaTheme="minorHAnsi" w:cstheme="minorHAnsi"/>
                <w:b/>
                <w:bCs/>
                <w:color w:val="FFFFFF" w:themeColor="background1"/>
                <w:sz w:val="16"/>
                <w:szCs w:val="16"/>
              </w:rPr>
            </w:pPr>
            <w:r w:rsidRPr="00FD7F29">
              <w:rPr>
                <w:rFonts w:cstheme="minorHAnsi"/>
                <w:b/>
                <w:bCs/>
                <w:color w:val="FFFFFF" w:themeColor="background1"/>
                <w:sz w:val="16"/>
                <w:szCs w:val="16"/>
              </w:rPr>
              <w:t>Rang po</w:t>
            </w:r>
          </w:p>
          <w:p w14:paraId="0A9FD30C" w14:textId="77777777" w:rsidR="008878A0" w:rsidRPr="00FD7F29" w:rsidRDefault="008878A0" w:rsidP="00E76E08">
            <w:pPr>
              <w:autoSpaceDE w:val="0"/>
              <w:autoSpaceDN w:val="0"/>
              <w:adjustRightInd w:val="0"/>
              <w:spacing w:after="0"/>
              <w:jc w:val="center"/>
              <w:rPr>
                <w:rFonts w:cstheme="minorHAnsi"/>
                <w:b/>
                <w:bCs/>
                <w:color w:val="FFFFFF" w:themeColor="background1"/>
                <w:sz w:val="16"/>
                <w:szCs w:val="16"/>
              </w:rPr>
            </w:pPr>
            <w:r w:rsidRPr="00FD7F29">
              <w:rPr>
                <w:rFonts w:cstheme="minorHAnsi"/>
                <w:b/>
                <w:bCs/>
                <w:color w:val="FFFFFF" w:themeColor="background1"/>
                <w:sz w:val="16"/>
                <w:szCs w:val="16"/>
              </w:rPr>
              <w:t>broju</w:t>
            </w:r>
          </w:p>
          <w:p w14:paraId="30702F27" w14:textId="77777777" w:rsidR="008878A0" w:rsidRPr="00FD7F29" w:rsidRDefault="008878A0" w:rsidP="00E76E08">
            <w:pPr>
              <w:spacing w:after="0"/>
              <w:jc w:val="center"/>
              <w:rPr>
                <w:rFonts w:eastAsia="Arial Narrow" w:cstheme="minorHAnsi"/>
                <w:b/>
                <w:color w:val="FFFFFF" w:themeColor="background1"/>
                <w:spacing w:val="-1"/>
                <w:sz w:val="16"/>
                <w:szCs w:val="16"/>
              </w:rPr>
            </w:pPr>
            <w:r w:rsidRPr="00FD7F29">
              <w:rPr>
                <w:rFonts w:cstheme="minorHAnsi"/>
                <w:b/>
                <w:bCs/>
                <w:color w:val="FFFFFF" w:themeColor="background1"/>
                <w:sz w:val="16"/>
                <w:szCs w:val="16"/>
              </w:rPr>
              <w:t>poduzetnika</w:t>
            </w:r>
          </w:p>
        </w:tc>
        <w:tc>
          <w:tcPr>
            <w:tcW w:w="1051" w:type="dxa"/>
            <w:tcBorders>
              <w:left w:val="single" w:sz="4" w:space="0" w:color="FFFFFF" w:themeColor="background1"/>
              <w:right w:val="single" w:sz="4" w:space="0" w:color="FFFFFF" w:themeColor="background1"/>
            </w:tcBorders>
            <w:shd w:val="clear" w:color="auto" w:fill="D2232A" w:themeFill="accent1"/>
            <w:vAlign w:val="center"/>
            <w:hideMark/>
          </w:tcPr>
          <w:p w14:paraId="5ACDC30F" w14:textId="77777777" w:rsidR="008878A0" w:rsidRPr="00FD7F29" w:rsidRDefault="008878A0" w:rsidP="00E76E08">
            <w:pPr>
              <w:autoSpaceDE w:val="0"/>
              <w:autoSpaceDN w:val="0"/>
              <w:adjustRightInd w:val="0"/>
              <w:spacing w:after="0"/>
              <w:jc w:val="center"/>
              <w:rPr>
                <w:rFonts w:eastAsiaTheme="minorHAnsi" w:cstheme="minorHAnsi"/>
                <w:b/>
                <w:bCs/>
                <w:color w:val="FFFFFF" w:themeColor="background1"/>
                <w:sz w:val="16"/>
                <w:szCs w:val="16"/>
              </w:rPr>
            </w:pPr>
            <w:r w:rsidRPr="00FD7F29">
              <w:rPr>
                <w:rFonts w:cstheme="minorHAnsi"/>
                <w:b/>
                <w:bCs/>
                <w:color w:val="FFFFFF" w:themeColor="background1"/>
                <w:sz w:val="16"/>
                <w:szCs w:val="16"/>
              </w:rPr>
              <w:t>Rang po</w:t>
            </w:r>
          </w:p>
          <w:p w14:paraId="22C0F2C3" w14:textId="77777777" w:rsidR="008878A0" w:rsidRPr="00FD7F29" w:rsidRDefault="008878A0" w:rsidP="00E76E08">
            <w:pPr>
              <w:autoSpaceDE w:val="0"/>
              <w:autoSpaceDN w:val="0"/>
              <w:adjustRightInd w:val="0"/>
              <w:spacing w:after="0"/>
              <w:jc w:val="center"/>
              <w:rPr>
                <w:rFonts w:cstheme="minorHAnsi"/>
                <w:b/>
                <w:bCs/>
                <w:color w:val="FFFFFF" w:themeColor="background1"/>
                <w:sz w:val="16"/>
                <w:szCs w:val="16"/>
              </w:rPr>
            </w:pPr>
            <w:r w:rsidRPr="00FD7F29">
              <w:rPr>
                <w:rFonts w:cstheme="minorHAnsi"/>
                <w:b/>
                <w:bCs/>
                <w:color w:val="FFFFFF" w:themeColor="background1"/>
                <w:sz w:val="16"/>
                <w:szCs w:val="16"/>
              </w:rPr>
              <w:t>broju</w:t>
            </w:r>
          </w:p>
          <w:p w14:paraId="5F2DF449" w14:textId="77777777" w:rsidR="008878A0" w:rsidRPr="00FD7F29" w:rsidRDefault="008878A0" w:rsidP="00E76E08">
            <w:pPr>
              <w:spacing w:after="0"/>
              <w:jc w:val="center"/>
              <w:rPr>
                <w:rFonts w:eastAsia="Arial Narrow" w:cstheme="minorHAnsi"/>
                <w:b/>
                <w:color w:val="FFFFFF" w:themeColor="background1"/>
                <w:spacing w:val="-1"/>
                <w:sz w:val="16"/>
                <w:szCs w:val="16"/>
              </w:rPr>
            </w:pPr>
            <w:r w:rsidRPr="00FD7F29">
              <w:rPr>
                <w:rFonts w:cstheme="minorHAnsi"/>
                <w:b/>
                <w:bCs/>
                <w:color w:val="FFFFFF" w:themeColor="background1"/>
                <w:sz w:val="16"/>
                <w:szCs w:val="16"/>
              </w:rPr>
              <w:t>zaposlenih</w:t>
            </w:r>
          </w:p>
        </w:tc>
        <w:tc>
          <w:tcPr>
            <w:tcW w:w="1487" w:type="dxa"/>
            <w:tcBorders>
              <w:left w:val="single" w:sz="4" w:space="0" w:color="FFFFFF" w:themeColor="background1"/>
              <w:right w:val="single" w:sz="4" w:space="0" w:color="FFFFFF" w:themeColor="background1"/>
            </w:tcBorders>
            <w:shd w:val="clear" w:color="auto" w:fill="D2232A" w:themeFill="accent1"/>
            <w:vAlign w:val="center"/>
            <w:hideMark/>
          </w:tcPr>
          <w:p w14:paraId="01017F5F" w14:textId="77777777" w:rsidR="008878A0" w:rsidRPr="00FD7F29" w:rsidRDefault="008878A0" w:rsidP="00E76E08">
            <w:pPr>
              <w:autoSpaceDE w:val="0"/>
              <w:autoSpaceDN w:val="0"/>
              <w:adjustRightInd w:val="0"/>
              <w:spacing w:after="0"/>
              <w:jc w:val="center"/>
              <w:rPr>
                <w:rFonts w:eastAsiaTheme="minorHAnsi" w:cstheme="minorHAnsi"/>
                <w:b/>
                <w:bCs/>
                <w:color w:val="FFFFFF" w:themeColor="background1"/>
                <w:sz w:val="16"/>
                <w:szCs w:val="16"/>
              </w:rPr>
            </w:pPr>
            <w:r w:rsidRPr="00FD7F29">
              <w:rPr>
                <w:rFonts w:cstheme="minorHAnsi"/>
                <w:b/>
                <w:bCs/>
                <w:color w:val="FFFFFF" w:themeColor="background1"/>
                <w:sz w:val="16"/>
                <w:szCs w:val="16"/>
              </w:rPr>
              <w:t>Rang po produkt.</w:t>
            </w:r>
          </w:p>
          <w:p w14:paraId="318013BD" w14:textId="77777777" w:rsidR="008878A0" w:rsidRPr="00FD7F29" w:rsidRDefault="008878A0" w:rsidP="00E76E08">
            <w:pPr>
              <w:autoSpaceDE w:val="0"/>
              <w:autoSpaceDN w:val="0"/>
              <w:adjustRightInd w:val="0"/>
              <w:spacing w:after="0"/>
              <w:jc w:val="center"/>
              <w:rPr>
                <w:rFonts w:cstheme="minorHAnsi"/>
                <w:b/>
                <w:bCs/>
                <w:color w:val="FFFFFF" w:themeColor="background1"/>
                <w:sz w:val="16"/>
                <w:szCs w:val="16"/>
              </w:rPr>
            </w:pPr>
            <w:r w:rsidRPr="00FD7F29">
              <w:rPr>
                <w:rFonts w:cstheme="minorHAnsi"/>
                <w:b/>
                <w:bCs/>
                <w:color w:val="FFFFFF" w:themeColor="background1"/>
                <w:sz w:val="16"/>
                <w:szCs w:val="16"/>
              </w:rPr>
              <w:t>rada/ukupan prihod</w:t>
            </w:r>
          </w:p>
          <w:p w14:paraId="1982044B" w14:textId="77777777" w:rsidR="008878A0" w:rsidRPr="00FD7F29" w:rsidRDefault="008878A0" w:rsidP="00E76E08">
            <w:pPr>
              <w:spacing w:after="0"/>
              <w:jc w:val="center"/>
              <w:rPr>
                <w:rFonts w:eastAsia="Arial Narrow" w:cstheme="minorHAnsi"/>
                <w:b/>
                <w:color w:val="FFFFFF" w:themeColor="background1"/>
                <w:spacing w:val="-1"/>
                <w:sz w:val="16"/>
                <w:szCs w:val="16"/>
              </w:rPr>
            </w:pPr>
            <w:r w:rsidRPr="00FD7F29">
              <w:rPr>
                <w:rFonts w:cstheme="minorHAnsi"/>
                <w:b/>
                <w:bCs/>
                <w:color w:val="FFFFFF" w:themeColor="background1"/>
                <w:sz w:val="16"/>
                <w:szCs w:val="16"/>
              </w:rPr>
              <w:t>po zaposlenom</w:t>
            </w:r>
          </w:p>
        </w:tc>
        <w:tc>
          <w:tcPr>
            <w:tcW w:w="1355" w:type="dxa"/>
            <w:tcBorders>
              <w:left w:val="single" w:sz="4" w:space="0" w:color="FFFFFF" w:themeColor="background1"/>
              <w:right w:val="single" w:sz="4" w:space="0" w:color="FFFFFF" w:themeColor="background1"/>
            </w:tcBorders>
            <w:shd w:val="clear" w:color="auto" w:fill="D2232A" w:themeFill="accent1"/>
            <w:vAlign w:val="center"/>
            <w:hideMark/>
          </w:tcPr>
          <w:p w14:paraId="2BEB6CEE" w14:textId="77777777" w:rsidR="008878A0" w:rsidRPr="00FD7F29" w:rsidRDefault="008878A0" w:rsidP="00E76E08">
            <w:pPr>
              <w:autoSpaceDE w:val="0"/>
              <w:autoSpaceDN w:val="0"/>
              <w:adjustRightInd w:val="0"/>
              <w:spacing w:after="0"/>
              <w:jc w:val="center"/>
              <w:rPr>
                <w:rFonts w:eastAsiaTheme="minorHAnsi" w:cstheme="minorHAnsi"/>
                <w:b/>
                <w:bCs/>
                <w:color w:val="FFFFFF" w:themeColor="background1"/>
                <w:sz w:val="16"/>
                <w:szCs w:val="16"/>
              </w:rPr>
            </w:pPr>
            <w:r w:rsidRPr="00FD7F29">
              <w:rPr>
                <w:rFonts w:cstheme="minorHAnsi"/>
                <w:b/>
                <w:bCs/>
                <w:color w:val="FFFFFF" w:themeColor="background1"/>
                <w:sz w:val="16"/>
                <w:szCs w:val="16"/>
              </w:rPr>
              <w:t>Rang po produkt.</w:t>
            </w:r>
          </w:p>
          <w:p w14:paraId="01BEA0B9" w14:textId="77777777" w:rsidR="008878A0" w:rsidRPr="00FD7F29" w:rsidRDefault="008878A0" w:rsidP="00E76E08">
            <w:pPr>
              <w:autoSpaceDE w:val="0"/>
              <w:autoSpaceDN w:val="0"/>
              <w:adjustRightInd w:val="0"/>
              <w:spacing w:after="0"/>
              <w:jc w:val="center"/>
              <w:rPr>
                <w:rFonts w:cstheme="minorHAnsi"/>
                <w:b/>
                <w:bCs/>
                <w:color w:val="FFFFFF" w:themeColor="background1"/>
                <w:sz w:val="16"/>
                <w:szCs w:val="16"/>
              </w:rPr>
            </w:pPr>
            <w:r w:rsidRPr="00FD7F29">
              <w:rPr>
                <w:rFonts w:cstheme="minorHAnsi"/>
                <w:b/>
                <w:bCs/>
                <w:color w:val="FFFFFF" w:themeColor="background1"/>
                <w:sz w:val="16"/>
                <w:szCs w:val="16"/>
              </w:rPr>
              <w:t>rada/neto dobit po</w:t>
            </w:r>
          </w:p>
          <w:p w14:paraId="09288229" w14:textId="77777777" w:rsidR="008878A0" w:rsidRPr="00FD7F29" w:rsidRDefault="008878A0" w:rsidP="00E76E08">
            <w:pPr>
              <w:spacing w:after="0"/>
              <w:jc w:val="center"/>
              <w:rPr>
                <w:rFonts w:eastAsia="Arial Narrow" w:cstheme="minorHAnsi"/>
                <w:b/>
                <w:color w:val="FFFFFF" w:themeColor="background1"/>
                <w:spacing w:val="-1"/>
                <w:sz w:val="16"/>
                <w:szCs w:val="16"/>
              </w:rPr>
            </w:pPr>
            <w:r w:rsidRPr="00FD7F29">
              <w:rPr>
                <w:rFonts w:cstheme="minorHAnsi"/>
                <w:b/>
                <w:bCs/>
                <w:color w:val="FFFFFF" w:themeColor="background1"/>
                <w:sz w:val="16"/>
                <w:szCs w:val="16"/>
              </w:rPr>
              <w:t>zaposlenom</w:t>
            </w:r>
          </w:p>
        </w:tc>
        <w:tc>
          <w:tcPr>
            <w:tcW w:w="1287" w:type="dxa"/>
            <w:tcBorders>
              <w:left w:val="single" w:sz="4" w:space="0" w:color="FFFFFF" w:themeColor="background1"/>
            </w:tcBorders>
            <w:shd w:val="clear" w:color="auto" w:fill="D2232A" w:themeFill="accent1"/>
            <w:vAlign w:val="center"/>
            <w:hideMark/>
          </w:tcPr>
          <w:p w14:paraId="7216096A" w14:textId="77777777" w:rsidR="008878A0" w:rsidRPr="00FD7F29" w:rsidRDefault="008878A0" w:rsidP="00E76E08">
            <w:pPr>
              <w:autoSpaceDE w:val="0"/>
              <w:autoSpaceDN w:val="0"/>
              <w:adjustRightInd w:val="0"/>
              <w:spacing w:after="0"/>
              <w:jc w:val="center"/>
              <w:rPr>
                <w:rFonts w:eastAsiaTheme="minorHAnsi" w:cstheme="minorHAnsi"/>
                <w:b/>
                <w:bCs/>
                <w:color w:val="FFFFFF" w:themeColor="background1"/>
                <w:sz w:val="16"/>
                <w:szCs w:val="16"/>
              </w:rPr>
            </w:pPr>
            <w:r w:rsidRPr="00FD7F29">
              <w:rPr>
                <w:rFonts w:cstheme="minorHAnsi"/>
                <w:b/>
                <w:bCs/>
                <w:color w:val="FFFFFF" w:themeColor="background1"/>
                <w:sz w:val="16"/>
                <w:szCs w:val="16"/>
              </w:rPr>
              <w:t>Rang po</w:t>
            </w:r>
          </w:p>
          <w:p w14:paraId="52742EA1" w14:textId="77777777" w:rsidR="008878A0" w:rsidRPr="00FD7F29" w:rsidRDefault="008878A0" w:rsidP="00E76E08">
            <w:pPr>
              <w:autoSpaceDE w:val="0"/>
              <w:autoSpaceDN w:val="0"/>
              <w:adjustRightInd w:val="0"/>
              <w:spacing w:after="0"/>
              <w:jc w:val="center"/>
              <w:rPr>
                <w:rFonts w:cstheme="minorHAnsi"/>
                <w:b/>
                <w:bCs/>
                <w:color w:val="FFFFFF" w:themeColor="background1"/>
                <w:sz w:val="16"/>
                <w:szCs w:val="16"/>
              </w:rPr>
            </w:pPr>
            <w:r w:rsidRPr="00FD7F29">
              <w:rPr>
                <w:rFonts w:cstheme="minorHAnsi"/>
                <w:b/>
                <w:bCs/>
                <w:color w:val="FFFFFF" w:themeColor="background1"/>
                <w:sz w:val="16"/>
                <w:szCs w:val="16"/>
              </w:rPr>
              <w:t>ekonomičnosti</w:t>
            </w:r>
          </w:p>
          <w:p w14:paraId="4E2DCADA" w14:textId="77777777" w:rsidR="008878A0" w:rsidRPr="00FD7F29" w:rsidRDefault="008878A0" w:rsidP="00E76E08">
            <w:pPr>
              <w:spacing w:after="0"/>
              <w:jc w:val="center"/>
              <w:rPr>
                <w:rFonts w:eastAsia="Arial Narrow" w:cstheme="minorHAnsi"/>
                <w:b/>
                <w:color w:val="FFFFFF" w:themeColor="background1"/>
                <w:spacing w:val="-1"/>
                <w:sz w:val="16"/>
                <w:szCs w:val="16"/>
              </w:rPr>
            </w:pPr>
            <w:r w:rsidRPr="00FD7F29">
              <w:rPr>
                <w:rFonts w:cstheme="minorHAnsi"/>
                <w:b/>
                <w:bCs/>
                <w:color w:val="FFFFFF" w:themeColor="background1"/>
                <w:sz w:val="16"/>
                <w:szCs w:val="16"/>
              </w:rPr>
              <w:t>poslovanja</w:t>
            </w:r>
          </w:p>
        </w:tc>
      </w:tr>
      <w:tr w:rsidR="00B95FAA" w:rsidRPr="00FD7F29" w14:paraId="3EA16D77" w14:textId="77777777" w:rsidTr="00B95FAA">
        <w:trPr>
          <w:trHeight w:val="283"/>
        </w:trPr>
        <w:tc>
          <w:tcPr>
            <w:tcW w:w="1291" w:type="dxa"/>
            <w:hideMark/>
          </w:tcPr>
          <w:p w14:paraId="22EC7020" w14:textId="77777777" w:rsidR="008878A0" w:rsidRPr="00FD7F29" w:rsidRDefault="008878A0" w:rsidP="00941871">
            <w:pPr>
              <w:spacing w:before="37" w:after="0"/>
              <w:ind w:left="29"/>
              <w:rPr>
                <w:rFonts w:eastAsia="Arial" w:cstheme="minorHAnsi"/>
                <w:color w:val="auto"/>
                <w:szCs w:val="18"/>
              </w:rPr>
            </w:pPr>
            <w:r w:rsidRPr="00FD7F29">
              <w:rPr>
                <w:rFonts w:eastAsia="Arial" w:cstheme="minorHAnsi"/>
                <w:spacing w:val="2"/>
                <w:szCs w:val="18"/>
              </w:rPr>
              <w:t>Gr</w:t>
            </w:r>
            <w:r w:rsidRPr="00FD7F29">
              <w:rPr>
                <w:rFonts w:eastAsia="Arial" w:cstheme="minorHAnsi"/>
                <w:spacing w:val="-5"/>
                <w:szCs w:val="18"/>
              </w:rPr>
              <w:t>a</w:t>
            </w:r>
            <w:r w:rsidRPr="00FD7F29">
              <w:rPr>
                <w:rFonts w:eastAsia="Arial" w:cstheme="minorHAnsi"/>
                <w:szCs w:val="18"/>
              </w:rPr>
              <w:t>d</w:t>
            </w:r>
            <w:r w:rsidRPr="00FD7F29">
              <w:rPr>
                <w:rFonts w:cstheme="minorHAnsi"/>
                <w:spacing w:val="11"/>
                <w:szCs w:val="18"/>
              </w:rPr>
              <w:t xml:space="preserve"> </w:t>
            </w:r>
            <w:r w:rsidRPr="00FD7F29">
              <w:rPr>
                <w:rFonts w:eastAsia="Arial" w:cstheme="minorHAnsi"/>
                <w:spacing w:val="-1"/>
                <w:w w:val="101"/>
                <w:szCs w:val="18"/>
              </w:rPr>
              <w:t>Z</w:t>
            </w:r>
            <w:r w:rsidRPr="00FD7F29">
              <w:rPr>
                <w:rFonts w:eastAsia="Arial" w:cstheme="minorHAnsi"/>
                <w:spacing w:val="-5"/>
                <w:w w:val="101"/>
                <w:szCs w:val="18"/>
              </w:rPr>
              <w:t>a</w:t>
            </w:r>
            <w:r w:rsidRPr="00FD7F29">
              <w:rPr>
                <w:rFonts w:eastAsia="Arial" w:cstheme="minorHAnsi"/>
                <w:spacing w:val="-1"/>
                <w:w w:val="101"/>
                <w:szCs w:val="18"/>
              </w:rPr>
              <w:t>g</w:t>
            </w:r>
            <w:r w:rsidRPr="00FD7F29">
              <w:rPr>
                <w:rFonts w:eastAsia="Arial" w:cstheme="minorHAnsi"/>
                <w:spacing w:val="2"/>
                <w:w w:val="101"/>
                <w:szCs w:val="18"/>
              </w:rPr>
              <w:t>r</w:t>
            </w:r>
            <w:r w:rsidRPr="00FD7F29">
              <w:rPr>
                <w:rFonts w:eastAsia="Arial" w:cstheme="minorHAnsi"/>
                <w:spacing w:val="-5"/>
                <w:w w:val="101"/>
                <w:szCs w:val="18"/>
              </w:rPr>
              <w:t>e</w:t>
            </w:r>
            <w:r w:rsidRPr="00FD7F29">
              <w:rPr>
                <w:rFonts w:eastAsia="Arial" w:cstheme="minorHAnsi"/>
                <w:w w:val="101"/>
                <w:szCs w:val="18"/>
              </w:rPr>
              <w:t>b</w:t>
            </w:r>
          </w:p>
        </w:tc>
        <w:tc>
          <w:tcPr>
            <w:tcW w:w="906" w:type="dxa"/>
            <w:hideMark/>
          </w:tcPr>
          <w:p w14:paraId="63963505" w14:textId="77777777" w:rsidR="008878A0" w:rsidRPr="00FD7F29" w:rsidRDefault="008878A0" w:rsidP="00B61330">
            <w:pPr>
              <w:spacing w:before="37" w:after="0"/>
              <w:ind w:left="346"/>
              <w:jc w:val="center"/>
              <w:rPr>
                <w:rFonts w:eastAsia="Arial" w:cstheme="minorHAnsi"/>
                <w:szCs w:val="18"/>
              </w:rPr>
            </w:pPr>
            <w:r w:rsidRPr="00FD7F29">
              <w:rPr>
                <w:rFonts w:eastAsia="Arial" w:cstheme="minorHAnsi"/>
                <w:b/>
                <w:szCs w:val="18"/>
              </w:rPr>
              <w:t>1</w:t>
            </w:r>
          </w:p>
        </w:tc>
        <w:tc>
          <w:tcPr>
            <w:tcW w:w="775" w:type="dxa"/>
            <w:hideMark/>
          </w:tcPr>
          <w:p w14:paraId="147CDFE7" w14:textId="77777777" w:rsidR="008878A0" w:rsidRPr="00FD7F29" w:rsidRDefault="008878A0" w:rsidP="00B61330">
            <w:pPr>
              <w:spacing w:before="37" w:after="0"/>
              <w:ind w:left="359"/>
              <w:jc w:val="center"/>
              <w:rPr>
                <w:rFonts w:eastAsia="Arial" w:cstheme="minorHAnsi"/>
                <w:szCs w:val="18"/>
              </w:rPr>
            </w:pPr>
            <w:r w:rsidRPr="00FD7F29">
              <w:rPr>
                <w:rFonts w:eastAsia="Arial" w:cstheme="minorHAnsi"/>
                <w:szCs w:val="18"/>
              </w:rPr>
              <w:t>1</w:t>
            </w:r>
          </w:p>
        </w:tc>
        <w:tc>
          <w:tcPr>
            <w:tcW w:w="1117" w:type="dxa"/>
            <w:hideMark/>
          </w:tcPr>
          <w:p w14:paraId="15A667A7" w14:textId="77777777" w:rsidR="008878A0" w:rsidRPr="00FD7F29" w:rsidRDefault="008878A0" w:rsidP="00B61330">
            <w:pPr>
              <w:spacing w:before="37" w:after="0"/>
              <w:ind w:left="509"/>
              <w:jc w:val="center"/>
              <w:rPr>
                <w:rFonts w:eastAsia="Arial" w:cstheme="minorHAnsi"/>
                <w:szCs w:val="18"/>
              </w:rPr>
            </w:pPr>
            <w:r w:rsidRPr="00FD7F29">
              <w:rPr>
                <w:rFonts w:eastAsia="Arial" w:cstheme="minorHAnsi"/>
                <w:szCs w:val="18"/>
              </w:rPr>
              <w:t>1</w:t>
            </w:r>
          </w:p>
        </w:tc>
        <w:tc>
          <w:tcPr>
            <w:tcW w:w="1051" w:type="dxa"/>
            <w:hideMark/>
          </w:tcPr>
          <w:p w14:paraId="2BE33721" w14:textId="77777777" w:rsidR="008878A0" w:rsidRPr="00FD7F29" w:rsidRDefault="008878A0" w:rsidP="00B61330">
            <w:pPr>
              <w:spacing w:before="37" w:after="0"/>
              <w:ind w:left="524"/>
              <w:jc w:val="center"/>
              <w:rPr>
                <w:rFonts w:eastAsia="Arial" w:cstheme="minorHAnsi"/>
                <w:szCs w:val="18"/>
              </w:rPr>
            </w:pPr>
            <w:r w:rsidRPr="00FD7F29">
              <w:rPr>
                <w:rFonts w:eastAsia="Arial" w:cstheme="minorHAnsi"/>
                <w:szCs w:val="18"/>
              </w:rPr>
              <w:t>1</w:t>
            </w:r>
          </w:p>
        </w:tc>
        <w:tc>
          <w:tcPr>
            <w:tcW w:w="1487" w:type="dxa"/>
            <w:hideMark/>
          </w:tcPr>
          <w:p w14:paraId="46C6AF13" w14:textId="357705EE" w:rsidR="008878A0" w:rsidRPr="00FD7F29" w:rsidRDefault="4B522129" w:rsidP="00B61330">
            <w:pPr>
              <w:spacing w:before="37" w:after="0"/>
              <w:ind w:left="869"/>
              <w:jc w:val="center"/>
              <w:rPr>
                <w:rFonts w:eastAsia="Arial"/>
              </w:rPr>
            </w:pPr>
            <w:r w:rsidRPr="07E5E1E8">
              <w:rPr>
                <w:rFonts w:eastAsia="Arial"/>
              </w:rPr>
              <w:t>1</w:t>
            </w:r>
          </w:p>
        </w:tc>
        <w:tc>
          <w:tcPr>
            <w:tcW w:w="1355" w:type="dxa"/>
            <w:hideMark/>
          </w:tcPr>
          <w:p w14:paraId="4F374DAF" w14:textId="77777777" w:rsidR="008878A0" w:rsidRPr="00FD7F29" w:rsidRDefault="008878A0" w:rsidP="00B61330">
            <w:pPr>
              <w:spacing w:before="37" w:after="0"/>
              <w:ind w:left="929"/>
              <w:jc w:val="center"/>
              <w:rPr>
                <w:rFonts w:eastAsia="Arial" w:cstheme="minorHAnsi"/>
                <w:szCs w:val="18"/>
              </w:rPr>
            </w:pPr>
            <w:r w:rsidRPr="00FD7F29">
              <w:rPr>
                <w:rFonts w:eastAsia="Arial" w:cstheme="minorHAnsi"/>
                <w:szCs w:val="18"/>
              </w:rPr>
              <w:t>1</w:t>
            </w:r>
          </w:p>
        </w:tc>
        <w:tc>
          <w:tcPr>
            <w:tcW w:w="1287" w:type="dxa"/>
            <w:hideMark/>
          </w:tcPr>
          <w:p w14:paraId="17AC0DFD" w14:textId="77777777" w:rsidR="008878A0" w:rsidRPr="00FD7F29" w:rsidRDefault="509198AA" w:rsidP="00B61330">
            <w:pPr>
              <w:spacing w:before="37" w:after="0"/>
              <w:ind w:left="779"/>
              <w:jc w:val="center"/>
              <w:rPr>
                <w:rFonts w:eastAsia="Arial"/>
              </w:rPr>
            </w:pPr>
            <w:r w:rsidRPr="07E5E1E8">
              <w:rPr>
                <w:rFonts w:eastAsia="Arial"/>
                <w:w w:val="101"/>
              </w:rPr>
              <w:t>3</w:t>
            </w:r>
          </w:p>
        </w:tc>
      </w:tr>
      <w:tr w:rsidR="00B95FAA" w:rsidRPr="00FD7F29" w14:paraId="44BBEDD9" w14:textId="77777777" w:rsidTr="00B95FAA">
        <w:trPr>
          <w:trHeight w:val="283"/>
        </w:trPr>
        <w:tc>
          <w:tcPr>
            <w:tcW w:w="1291" w:type="dxa"/>
            <w:hideMark/>
          </w:tcPr>
          <w:p w14:paraId="51F13DCE"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1"/>
                <w:w w:val="101"/>
                <w:szCs w:val="18"/>
              </w:rPr>
              <w:t>Zag</w:t>
            </w:r>
            <w:r w:rsidRPr="00FD7F29">
              <w:rPr>
                <w:rFonts w:eastAsia="Arial" w:cstheme="minorHAnsi"/>
                <w:spacing w:val="2"/>
                <w:w w:val="101"/>
                <w:szCs w:val="18"/>
              </w:rPr>
              <w:t>r</w:t>
            </w:r>
            <w:r w:rsidRPr="00FD7F29">
              <w:rPr>
                <w:rFonts w:eastAsia="Arial" w:cstheme="minorHAnsi"/>
                <w:spacing w:val="-5"/>
                <w:w w:val="101"/>
                <w:szCs w:val="18"/>
              </w:rPr>
              <w:t>e</w:t>
            </w:r>
            <w:r w:rsidRPr="00FD7F29">
              <w:rPr>
                <w:rFonts w:eastAsia="Arial" w:cstheme="minorHAnsi"/>
                <w:spacing w:val="-1"/>
                <w:w w:val="101"/>
                <w:szCs w:val="18"/>
              </w:rPr>
              <w:t>ba</w:t>
            </w:r>
            <w:r w:rsidRPr="00FD7F29">
              <w:rPr>
                <w:rFonts w:eastAsia="Arial" w:cstheme="minorHAnsi"/>
                <w:w w:val="101"/>
                <w:szCs w:val="18"/>
              </w:rPr>
              <w:t>čka</w:t>
            </w:r>
          </w:p>
        </w:tc>
        <w:tc>
          <w:tcPr>
            <w:tcW w:w="906" w:type="dxa"/>
            <w:hideMark/>
          </w:tcPr>
          <w:p w14:paraId="2EDCDDEE" w14:textId="77777777" w:rsidR="008878A0" w:rsidRPr="00FD7F29" w:rsidRDefault="008878A0" w:rsidP="00B61330">
            <w:pPr>
              <w:spacing w:before="37" w:after="0"/>
              <w:ind w:left="346"/>
              <w:jc w:val="center"/>
              <w:rPr>
                <w:rFonts w:eastAsia="Arial" w:cstheme="minorHAnsi"/>
                <w:szCs w:val="18"/>
              </w:rPr>
            </w:pPr>
            <w:r w:rsidRPr="00FD7F29">
              <w:rPr>
                <w:rFonts w:eastAsia="Arial" w:cstheme="minorHAnsi"/>
                <w:b/>
                <w:szCs w:val="18"/>
              </w:rPr>
              <w:t>2</w:t>
            </w:r>
          </w:p>
        </w:tc>
        <w:tc>
          <w:tcPr>
            <w:tcW w:w="775" w:type="dxa"/>
            <w:hideMark/>
          </w:tcPr>
          <w:p w14:paraId="6A3AC1FC" w14:textId="38072D68" w:rsidR="008878A0" w:rsidRPr="00FD7F29" w:rsidRDefault="4DA37024" w:rsidP="00B61330">
            <w:pPr>
              <w:spacing w:before="37" w:after="0"/>
              <w:ind w:left="359"/>
              <w:jc w:val="center"/>
              <w:rPr>
                <w:rFonts w:eastAsia="Arial"/>
              </w:rPr>
            </w:pPr>
            <w:r w:rsidRPr="07E5E1E8">
              <w:rPr>
                <w:rFonts w:eastAsia="Arial"/>
              </w:rPr>
              <w:t>2</w:t>
            </w:r>
          </w:p>
        </w:tc>
        <w:tc>
          <w:tcPr>
            <w:tcW w:w="1117" w:type="dxa"/>
            <w:hideMark/>
          </w:tcPr>
          <w:p w14:paraId="6B30C82C" w14:textId="77777777" w:rsidR="008878A0" w:rsidRPr="00FD7F29" w:rsidRDefault="008878A0" w:rsidP="00B61330">
            <w:pPr>
              <w:spacing w:before="37" w:after="0"/>
              <w:ind w:left="509"/>
              <w:jc w:val="center"/>
              <w:rPr>
                <w:rFonts w:eastAsia="Arial" w:cstheme="minorHAnsi"/>
                <w:szCs w:val="18"/>
              </w:rPr>
            </w:pPr>
            <w:r w:rsidRPr="00FD7F29">
              <w:rPr>
                <w:rFonts w:eastAsia="Arial" w:cstheme="minorHAnsi"/>
                <w:szCs w:val="18"/>
              </w:rPr>
              <w:t>5</w:t>
            </w:r>
          </w:p>
        </w:tc>
        <w:tc>
          <w:tcPr>
            <w:tcW w:w="1051" w:type="dxa"/>
            <w:hideMark/>
          </w:tcPr>
          <w:p w14:paraId="497C21D7" w14:textId="77777777" w:rsidR="008878A0" w:rsidRPr="00FD7F29" w:rsidRDefault="008878A0" w:rsidP="00B61330">
            <w:pPr>
              <w:spacing w:before="37" w:after="0"/>
              <w:ind w:left="524"/>
              <w:jc w:val="center"/>
              <w:rPr>
                <w:rFonts w:eastAsia="Arial" w:cstheme="minorHAnsi"/>
                <w:szCs w:val="18"/>
              </w:rPr>
            </w:pPr>
            <w:r w:rsidRPr="00FD7F29">
              <w:rPr>
                <w:rFonts w:eastAsia="Arial" w:cstheme="minorHAnsi"/>
                <w:szCs w:val="18"/>
              </w:rPr>
              <w:t>4</w:t>
            </w:r>
          </w:p>
        </w:tc>
        <w:tc>
          <w:tcPr>
            <w:tcW w:w="1487" w:type="dxa"/>
            <w:hideMark/>
          </w:tcPr>
          <w:p w14:paraId="3A2B17A3" w14:textId="77777777" w:rsidR="008878A0" w:rsidRPr="00FD7F29" w:rsidRDefault="008878A0" w:rsidP="00B61330">
            <w:pPr>
              <w:spacing w:before="37" w:after="0"/>
              <w:ind w:left="869"/>
              <w:jc w:val="center"/>
              <w:rPr>
                <w:rFonts w:eastAsia="Arial" w:cstheme="minorHAnsi"/>
                <w:szCs w:val="18"/>
              </w:rPr>
            </w:pPr>
            <w:r w:rsidRPr="00FD7F29">
              <w:rPr>
                <w:rFonts w:eastAsia="Arial" w:cstheme="minorHAnsi"/>
                <w:szCs w:val="18"/>
              </w:rPr>
              <w:t>3</w:t>
            </w:r>
          </w:p>
        </w:tc>
        <w:tc>
          <w:tcPr>
            <w:tcW w:w="1355" w:type="dxa"/>
            <w:hideMark/>
          </w:tcPr>
          <w:p w14:paraId="22369C96" w14:textId="7D531296" w:rsidR="008878A0" w:rsidRPr="00FD7F29" w:rsidRDefault="14120967" w:rsidP="00B61330">
            <w:pPr>
              <w:spacing w:before="37" w:after="0"/>
              <w:ind w:left="929"/>
              <w:jc w:val="center"/>
              <w:rPr>
                <w:rFonts w:eastAsia="Arial"/>
              </w:rPr>
            </w:pPr>
            <w:r w:rsidRPr="07E5E1E8">
              <w:rPr>
                <w:rFonts w:eastAsia="Arial"/>
              </w:rPr>
              <w:t>2</w:t>
            </w:r>
          </w:p>
        </w:tc>
        <w:tc>
          <w:tcPr>
            <w:tcW w:w="1287" w:type="dxa"/>
            <w:hideMark/>
          </w:tcPr>
          <w:p w14:paraId="2421EE33" w14:textId="10E06C3D" w:rsidR="008878A0" w:rsidRPr="00FD7F29" w:rsidRDefault="14120967" w:rsidP="00B61330">
            <w:pPr>
              <w:spacing w:before="37" w:after="0"/>
              <w:ind w:left="719"/>
              <w:jc w:val="center"/>
            </w:pPr>
            <w:r w:rsidRPr="07E5E1E8">
              <w:rPr>
                <w:rFonts w:eastAsia="Arial"/>
              </w:rPr>
              <w:t>7</w:t>
            </w:r>
          </w:p>
        </w:tc>
      </w:tr>
      <w:tr w:rsidR="00B95FAA" w:rsidRPr="00FD7F29" w14:paraId="51FD7986" w14:textId="77777777" w:rsidTr="00B95FAA">
        <w:trPr>
          <w:trHeight w:val="283"/>
        </w:trPr>
        <w:tc>
          <w:tcPr>
            <w:tcW w:w="1291" w:type="dxa"/>
            <w:hideMark/>
          </w:tcPr>
          <w:p w14:paraId="78A07712"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2"/>
                <w:w w:val="101"/>
                <w:szCs w:val="18"/>
              </w:rPr>
              <w:t>S</w:t>
            </w:r>
            <w:r w:rsidRPr="00FD7F29">
              <w:rPr>
                <w:rFonts w:eastAsia="Arial" w:cstheme="minorHAnsi"/>
                <w:spacing w:val="-1"/>
                <w:w w:val="101"/>
                <w:szCs w:val="18"/>
              </w:rPr>
              <w:t>p</w:t>
            </w:r>
            <w:r w:rsidRPr="00FD7F29">
              <w:rPr>
                <w:rFonts w:eastAsia="Arial" w:cstheme="minorHAnsi"/>
                <w:spacing w:val="3"/>
                <w:w w:val="101"/>
                <w:szCs w:val="18"/>
              </w:rPr>
              <w:t>l</w:t>
            </w:r>
            <w:r w:rsidRPr="00FD7F29">
              <w:rPr>
                <w:rFonts w:eastAsia="Arial" w:cstheme="minorHAnsi"/>
                <w:spacing w:val="-2"/>
                <w:w w:val="101"/>
                <w:szCs w:val="18"/>
              </w:rPr>
              <w:t>i</w:t>
            </w:r>
            <w:r w:rsidRPr="00FD7F29">
              <w:rPr>
                <w:rFonts w:eastAsia="Arial" w:cstheme="minorHAnsi"/>
                <w:spacing w:val="2"/>
                <w:w w:val="101"/>
                <w:szCs w:val="18"/>
              </w:rPr>
              <w:t>t</w:t>
            </w:r>
            <w:r w:rsidRPr="00FD7F29">
              <w:rPr>
                <w:rFonts w:eastAsia="Arial" w:cstheme="minorHAnsi"/>
                <w:spacing w:val="-5"/>
                <w:w w:val="101"/>
                <w:szCs w:val="18"/>
              </w:rPr>
              <w:t>s</w:t>
            </w:r>
            <w:r w:rsidRPr="00FD7F29">
              <w:rPr>
                <w:rFonts w:eastAsia="Arial" w:cstheme="minorHAnsi"/>
                <w:w w:val="101"/>
                <w:szCs w:val="18"/>
              </w:rPr>
              <w:t>k</w:t>
            </w:r>
            <w:r w:rsidRPr="00FD7F29">
              <w:rPr>
                <w:rFonts w:eastAsia="Arial" w:cstheme="minorHAnsi"/>
                <w:spacing w:val="-1"/>
                <w:w w:val="101"/>
                <w:szCs w:val="18"/>
              </w:rPr>
              <w:t>o</w:t>
            </w:r>
            <w:r w:rsidRPr="00FD7F29">
              <w:rPr>
                <w:rFonts w:eastAsia="Arial" w:cstheme="minorHAnsi"/>
                <w:spacing w:val="2"/>
                <w:w w:val="101"/>
                <w:szCs w:val="18"/>
              </w:rPr>
              <w:t>-</w:t>
            </w:r>
            <w:r w:rsidRPr="00FD7F29">
              <w:rPr>
                <w:rFonts w:eastAsia="Arial" w:cstheme="minorHAnsi"/>
                <w:spacing w:val="-5"/>
                <w:w w:val="101"/>
                <w:szCs w:val="18"/>
              </w:rPr>
              <w:t>d</w:t>
            </w:r>
            <w:r w:rsidRPr="00FD7F29">
              <w:rPr>
                <w:rFonts w:eastAsia="Arial" w:cstheme="minorHAnsi"/>
                <w:spacing w:val="-1"/>
                <w:w w:val="101"/>
                <w:szCs w:val="18"/>
              </w:rPr>
              <w:t>a</w:t>
            </w:r>
            <w:r w:rsidRPr="00FD7F29">
              <w:rPr>
                <w:rFonts w:eastAsia="Arial" w:cstheme="minorHAnsi"/>
                <w:spacing w:val="-2"/>
                <w:w w:val="101"/>
                <w:szCs w:val="18"/>
              </w:rPr>
              <w:t>l</w:t>
            </w:r>
            <w:r w:rsidRPr="00FD7F29">
              <w:rPr>
                <w:rFonts w:eastAsia="Arial" w:cstheme="minorHAnsi"/>
                <w:spacing w:val="2"/>
                <w:w w:val="101"/>
                <w:szCs w:val="18"/>
              </w:rPr>
              <w:t>m</w:t>
            </w:r>
            <w:r w:rsidRPr="00FD7F29">
              <w:rPr>
                <w:rFonts w:eastAsia="Arial" w:cstheme="minorHAnsi"/>
                <w:spacing w:val="-5"/>
                <w:w w:val="101"/>
                <w:szCs w:val="18"/>
              </w:rPr>
              <w:t>a</w:t>
            </w:r>
            <w:r w:rsidRPr="00FD7F29">
              <w:rPr>
                <w:rFonts w:eastAsia="Arial" w:cstheme="minorHAnsi"/>
                <w:spacing w:val="2"/>
                <w:w w:val="101"/>
                <w:szCs w:val="18"/>
              </w:rPr>
              <w:t>t</w:t>
            </w:r>
            <w:r w:rsidRPr="00FD7F29">
              <w:rPr>
                <w:rFonts w:eastAsia="Arial" w:cstheme="minorHAnsi"/>
                <w:spacing w:val="-2"/>
                <w:w w:val="101"/>
                <w:szCs w:val="18"/>
              </w:rPr>
              <w:t>i</w:t>
            </w:r>
            <w:r w:rsidRPr="00FD7F29">
              <w:rPr>
                <w:rFonts w:eastAsia="Arial" w:cstheme="minorHAnsi"/>
                <w:spacing w:val="-1"/>
                <w:w w:val="101"/>
                <w:szCs w:val="18"/>
              </w:rPr>
              <w:t>n</w:t>
            </w:r>
            <w:r w:rsidRPr="00FD7F29">
              <w:rPr>
                <w:rFonts w:eastAsia="Arial" w:cstheme="minorHAnsi"/>
                <w:w w:val="101"/>
                <w:szCs w:val="18"/>
              </w:rPr>
              <w:t>ska</w:t>
            </w:r>
          </w:p>
        </w:tc>
        <w:tc>
          <w:tcPr>
            <w:tcW w:w="906" w:type="dxa"/>
            <w:hideMark/>
          </w:tcPr>
          <w:p w14:paraId="3F04D431" w14:textId="77777777" w:rsidR="008878A0" w:rsidRPr="00FD7F29" w:rsidRDefault="008878A0" w:rsidP="00B61330">
            <w:pPr>
              <w:spacing w:before="37" w:after="0"/>
              <w:ind w:left="346"/>
              <w:jc w:val="center"/>
              <w:rPr>
                <w:rFonts w:eastAsia="Arial" w:cstheme="minorHAnsi"/>
                <w:szCs w:val="18"/>
              </w:rPr>
            </w:pPr>
            <w:r w:rsidRPr="00FD7F29">
              <w:rPr>
                <w:rFonts w:eastAsia="Arial" w:cstheme="minorHAnsi"/>
                <w:b/>
                <w:szCs w:val="18"/>
              </w:rPr>
              <w:t>3</w:t>
            </w:r>
          </w:p>
        </w:tc>
        <w:tc>
          <w:tcPr>
            <w:tcW w:w="775" w:type="dxa"/>
            <w:hideMark/>
          </w:tcPr>
          <w:p w14:paraId="374D2FF2" w14:textId="74EA796A" w:rsidR="008878A0" w:rsidRPr="00FD7F29" w:rsidRDefault="7280AAFF" w:rsidP="00B61330">
            <w:pPr>
              <w:spacing w:before="37" w:after="0"/>
              <w:ind w:left="359"/>
              <w:jc w:val="center"/>
              <w:rPr>
                <w:rFonts w:eastAsia="Arial"/>
              </w:rPr>
            </w:pPr>
            <w:r w:rsidRPr="07E5E1E8">
              <w:rPr>
                <w:rFonts w:eastAsia="Arial"/>
              </w:rPr>
              <w:t>6</w:t>
            </w:r>
          </w:p>
        </w:tc>
        <w:tc>
          <w:tcPr>
            <w:tcW w:w="1117" w:type="dxa"/>
            <w:hideMark/>
          </w:tcPr>
          <w:p w14:paraId="27353015" w14:textId="77777777" w:rsidR="008878A0" w:rsidRPr="00FD7F29" w:rsidRDefault="008878A0" w:rsidP="00B61330">
            <w:pPr>
              <w:spacing w:before="37" w:after="0"/>
              <w:ind w:left="509"/>
              <w:jc w:val="center"/>
              <w:rPr>
                <w:rFonts w:eastAsia="Arial" w:cstheme="minorHAnsi"/>
                <w:szCs w:val="18"/>
              </w:rPr>
            </w:pPr>
            <w:r w:rsidRPr="00FD7F29">
              <w:rPr>
                <w:rFonts w:eastAsia="Arial" w:cstheme="minorHAnsi"/>
                <w:szCs w:val="18"/>
              </w:rPr>
              <w:t>2</w:t>
            </w:r>
          </w:p>
        </w:tc>
        <w:tc>
          <w:tcPr>
            <w:tcW w:w="1051" w:type="dxa"/>
            <w:hideMark/>
          </w:tcPr>
          <w:p w14:paraId="3E824EF3" w14:textId="77777777" w:rsidR="008878A0" w:rsidRPr="00FD7F29" w:rsidRDefault="008878A0" w:rsidP="00B61330">
            <w:pPr>
              <w:spacing w:before="37" w:after="0"/>
              <w:ind w:left="524"/>
              <w:jc w:val="center"/>
              <w:rPr>
                <w:rFonts w:eastAsia="Arial" w:cstheme="minorHAnsi"/>
                <w:szCs w:val="18"/>
              </w:rPr>
            </w:pPr>
            <w:r w:rsidRPr="00FD7F29">
              <w:rPr>
                <w:rFonts w:eastAsia="Arial" w:cstheme="minorHAnsi"/>
                <w:szCs w:val="18"/>
              </w:rPr>
              <w:t>2</w:t>
            </w:r>
          </w:p>
        </w:tc>
        <w:tc>
          <w:tcPr>
            <w:tcW w:w="1487" w:type="dxa"/>
            <w:hideMark/>
          </w:tcPr>
          <w:p w14:paraId="281B9865" w14:textId="7AC5416C" w:rsidR="008878A0" w:rsidRPr="00FD7F29" w:rsidRDefault="03906FF7" w:rsidP="00B61330">
            <w:pPr>
              <w:spacing w:before="37" w:after="0"/>
              <w:ind w:left="824"/>
              <w:jc w:val="center"/>
            </w:pPr>
            <w:r w:rsidRPr="07E5E1E8">
              <w:rPr>
                <w:rFonts w:eastAsia="Arial"/>
              </w:rPr>
              <w:t>8</w:t>
            </w:r>
          </w:p>
        </w:tc>
        <w:tc>
          <w:tcPr>
            <w:tcW w:w="1355" w:type="dxa"/>
            <w:hideMark/>
          </w:tcPr>
          <w:p w14:paraId="45B2258B" w14:textId="17AA4B8D" w:rsidR="008878A0" w:rsidRPr="00FD7F29" w:rsidRDefault="03906FF7" w:rsidP="00B61330">
            <w:pPr>
              <w:spacing w:before="37" w:after="0"/>
              <w:ind w:left="929"/>
              <w:jc w:val="center"/>
            </w:pPr>
            <w:r w:rsidRPr="07E5E1E8">
              <w:rPr>
                <w:rFonts w:eastAsia="Arial"/>
              </w:rPr>
              <w:t>19</w:t>
            </w:r>
          </w:p>
        </w:tc>
        <w:tc>
          <w:tcPr>
            <w:tcW w:w="1287" w:type="dxa"/>
            <w:hideMark/>
          </w:tcPr>
          <w:p w14:paraId="5E5730F1" w14:textId="62D229DA" w:rsidR="008878A0" w:rsidRPr="00FD7F29" w:rsidRDefault="03906FF7" w:rsidP="00B61330">
            <w:pPr>
              <w:spacing w:before="37" w:after="0"/>
              <w:ind w:left="779"/>
              <w:jc w:val="center"/>
            </w:pPr>
            <w:r w:rsidRPr="07E5E1E8">
              <w:rPr>
                <w:rFonts w:eastAsia="Arial"/>
              </w:rPr>
              <w:t>18</w:t>
            </w:r>
          </w:p>
        </w:tc>
      </w:tr>
      <w:tr w:rsidR="00B95FAA" w:rsidRPr="00FD7F29" w14:paraId="58F152EC" w14:textId="77777777" w:rsidTr="00B95FAA">
        <w:trPr>
          <w:trHeight w:val="283"/>
        </w:trPr>
        <w:tc>
          <w:tcPr>
            <w:tcW w:w="1291" w:type="dxa"/>
            <w:hideMark/>
          </w:tcPr>
          <w:p w14:paraId="042BD9B5"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2"/>
                <w:w w:val="101"/>
                <w:szCs w:val="18"/>
              </w:rPr>
              <w:t>P</w:t>
            </w:r>
            <w:r w:rsidRPr="00FD7F29">
              <w:rPr>
                <w:rFonts w:eastAsia="Arial" w:cstheme="minorHAnsi"/>
                <w:spacing w:val="2"/>
                <w:w w:val="101"/>
                <w:szCs w:val="18"/>
              </w:rPr>
              <w:t>r</w:t>
            </w:r>
            <w:r w:rsidRPr="00FD7F29">
              <w:rPr>
                <w:rFonts w:eastAsia="Arial" w:cstheme="minorHAnsi"/>
                <w:spacing w:val="-2"/>
                <w:w w:val="101"/>
                <w:szCs w:val="18"/>
              </w:rPr>
              <w:t>i</w:t>
            </w:r>
            <w:r w:rsidRPr="00FD7F29">
              <w:rPr>
                <w:rFonts w:eastAsia="Arial" w:cstheme="minorHAnsi"/>
                <w:spacing w:val="2"/>
                <w:w w:val="101"/>
                <w:szCs w:val="18"/>
              </w:rPr>
              <w:t>m</w:t>
            </w:r>
            <w:r w:rsidRPr="00FD7F29">
              <w:rPr>
                <w:rFonts w:eastAsia="Arial" w:cstheme="minorHAnsi"/>
                <w:spacing w:val="-5"/>
                <w:w w:val="101"/>
                <w:szCs w:val="18"/>
              </w:rPr>
              <w:t>o</w:t>
            </w:r>
            <w:r w:rsidRPr="00FD7F29">
              <w:rPr>
                <w:rFonts w:eastAsia="Arial" w:cstheme="minorHAnsi"/>
                <w:spacing w:val="2"/>
                <w:w w:val="101"/>
                <w:szCs w:val="18"/>
              </w:rPr>
              <w:t>r</w:t>
            </w:r>
            <w:r w:rsidRPr="00FD7F29">
              <w:rPr>
                <w:rFonts w:eastAsia="Arial" w:cstheme="minorHAnsi"/>
                <w:w w:val="101"/>
                <w:szCs w:val="18"/>
              </w:rPr>
              <w:t>sk</w:t>
            </w:r>
            <w:r w:rsidRPr="00FD7F29">
              <w:rPr>
                <w:rFonts w:eastAsia="Arial" w:cstheme="minorHAnsi"/>
                <w:spacing w:val="-5"/>
                <w:w w:val="101"/>
                <w:szCs w:val="18"/>
              </w:rPr>
              <w:t>o</w:t>
            </w:r>
            <w:r w:rsidRPr="00FD7F29">
              <w:rPr>
                <w:rFonts w:eastAsia="Arial" w:cstheme="minorHAnsi"/>
                <w:spacing w:val="2"/>
                <w:w w:val="101"/>
                <w:szCs w:val="18"/>
              </w:rPr>
              <w:t>-</w:t>
            </w:r>
            <w:r w:rsidRPr="00FD7F29">
              <w:rPr>
                <w:rFonts w:eastAsia="Arial" w:cstheme="minorHAnsi"/>
                <w:spacing w:val="-1"/>
                <w:w w:val="101"/>
                <w:szCs w:val="18"/>
              </w:rPr>
              <w:t>g</w:t>
            </w:r>
            <w:r w:rsidRPr="00FD7F29">
              <w:rPr>
                <w:rFonts w:eastAsia="Arial" w:cstheme="minorHAnsi"/>
                <w:spacing w:val="-5"/>
                <w:w w:val="101"/>
                <w:szCs w:val="18"/>
              </w:rPr>
              <w:t>o</w:t>
            </w:r>
            <w:r w:rsidRPr="00FD7F29">
              <w:rPr>
                <w:rFonts w:eastAsia="Arial" w:cstheme="minorHAnsi"/>
                <w:spacing w:val="2"/>
                <w:w w:val="101"/>
                <w:szCs w:val="18"/>
              </w:rPr>
              <w:t>r</w:t>
            </w:r>
            <w:r w:rsidRPr="00FD7F29">
              <w:rPr>
                <w:rFonts w:eastAsia="Arial" w:cstheme="minorHAnsi"/>
                <w:spacing w:val="-1"/>
                <w:w w:val="101"/>
                <w:szCs w:val="18"/>
              </w:rPr>
              <w:t>an</w:t>
            </w:r>
            <w:r w:rsidRPr="00FD7F29">
              <w:rPr>
                <w:rFonts w:eastAsia="Arial" w:cstheme="minorHAnsi"/>
                <w:w w:val="101"/>
                <w:szCs w:val="18"/>
              </w:rPr>
              <w:t>s</w:t>
            </w:r>
            <w:r w:rsidRPr="00FD7F29">
              <w:rPr>
                <w:rFonts w:eastAsia="Arial" w:cstheme="minorHAnsi"/>
                <w:spacing w:val="-5"/>
                <w:w w:val="101"/>
                <w:szCs w:val="18"/>
              </w:rPr>
              <w:t>k</w:t>
            </w:r>
            <w:r w:rsidRPr="00FD7F29">
              <w:rPr>
                <w:rFonts w:eastAsia="Arial" w:cstheme="minorHAnsi"/>
                <w:w w:val="101"/>
                <w:szCs w:val="18"/>
              </w:rPr>
              <w:t>a</w:t>
            </w:r>
          </w:p>
        </w:tc>
        <w:tc>
          <w:tcPr>
            <w:tcW w:w="906" w:type="dxa"/>
            <w:hideMark/>
          </w:tcPr>
          <w:p w14:paraId="214BA7EF" w14:textId="77777777" w:rsidR="008878A0" w:rsidRPr="00FD7F29" w:rsidRDefault="008878A0" w:rsidP="00B61330">
            <w:pPr>
              <w:spacing w:before="37" w:after="0"/>
              <w:ind w:left="346"/>
              <w:jc w:val="center"/>
              <w:rPr>
                <w:rFonts w:eastAsia="Arial" w:cstheme="minorHAnsi"/>
                <w:szCs w:val="18"/>
              </w:rPr>
            </w:pPr>
            <w:r w:rsidRPr="00FD7F29">
              <w:rPr>
                <w:rFonts w:eastAsia="Arial" w:cstheme="minorHAnsi"/>
                <w:b/>
                <w:szCs w:val="18"/>
              </w:rPr>
              <w:t>4</w:t>
            </w:r>
          </w:p>
        </w:tc>
        <w:tc>
          <w:tcPr>
            <w:tcW w:w="775" w:type="dxa"/>
            <w:hideMark/>
          </w:tcPr>
          <w:p w14:paraId="6E76319F" w14:textId="77777777" w:rsidR="008878A0" w:rsidRPr="00FD7F29" w:rsidRDefault="008878A0" w:rsidP="00B61330">
            <w:pPr>
              <w:spacing w:before="37" w:after="0"/>
              <w:ind w:left="359"/>
              <w:jc w:val="center"/>
              <w:rPr>
                <w:rFonts w:eastAsia="Arial" w:cstheme="minorHAnsi"/>
                <w:szCs w:val="18"/>
              </w:rPr>
            </w:pPr>
            <w:r w:rsidRPr="00FD7F29">
              <w:rPr>
                <w:rFonts w:eastAsia="Arial" w:cstheme="minorHAnsi"/>
                <w:szCs w:val="18"/>
              </w:rPr>
              <w:t>5</w:t>
            </w:r>
          </w:p>
        </w:tc>
        <w:tc>
          <w:tcPr>
            <w:tcW w:w="1117" w:type="dxa"/>
            <w:hideMark/>
          </w:tcPr>
          <w:p w14:paraId="475A8AA3" w14:textId="77777777" w:rsidR="008878A0" w:rsidRPr="00FD7F29" w:rsidRDefault="008878A0" w:rsidP="00B61330">
            <w:pPr>
              <w:spacing w:before="37" w:after="0"/>
              <w:ind w:left="509"/>
              <w:jc w:val="center"/>
              <w:rPr>
                <w:rFonts w:eastAsia="Arial" w:cstheme="minorHAnsi"/>
                <w:szCs w:val="18"/>
              </w:rPr>
            </w:pPr>
            <w:r w:rsidRPr="00FD7F29">
              <w:rPr>
                <w:rFonts w:eastAsia="Arial" w:cstheme="minorHAnsi"/>
                <w:szCs w:val="18"/>
              </w:rPr>
              <w:t>4</w:t>
            </w:r>
          </w:p>
        </w:tc>
        <w:tc>
          <w:tcPr>
            <w:tcW w:w="1051" w:type="dxa"/>
            <w:hideMark/>
          </w:tcPr>
          <w:p w14:paraId="77855C03" w14:textId="77777777" w:rsidR="008878A0" w:rsidRPr="00FD7F29" w:rsidRDefault="008878A0" w:rsidP="00B61330">
            <w:pPr>
              <w:spacing w:before="37" w:after="0"/>
              <w:ind w:left="524"/>
              <w:jc w:val="center"/>
              <w:rPr>
                <w:rFonts w:eastAsia="Arial" w:cstheme="minorHAnsi"/>
                <w:szCs w:val="18"/>
              </w:rPr>
            </w:pPr>
            <w:r w:rsidRPr="00FD7F29">
              <w:rPr>
                <w:rFonts w:eastAsia="Arial" w:cstheme="minorHAnsi"/>
                <w:szCs w:val="18"/>
              </w:rPr>
              <w:t>3</w:t>
            </w:r>
          </w:p>
        </w:tc>
        <w:tc>
          <w:tcPr>
            <w:tcW w:w="1487" w:type="dxa"/>
            <w:hideMark/>
          </w:tcPr>
          <w:p w14:paraId="5227E642" w14:textId="0CB5FA86" w:rsidR="008878A0" w:rsidRPr="00FD7F29" w:rsidRDefault="2A9B7D9D" w:rsidP="00B61330">
            <w:pPr>
              <w:spacing w:before="37" w:after="0"/>
              <w:ind w:left="869"/>
              <w:jc w:val="center"/>
            </w:pPr>
            <w:r w:rsidRPr="07E5E1E8">
              <w:rPr>
                <w:rFonts w:eastAsia="Arial"/>
              </w:rPr>
              <w:t>10</w:t>
            </w:r>
          </w:p>
        </w:tc>
        <w:tc>
          <w:tcPr>
            <w:tcW w:w="1355" w:type="dxa"/>
            <w:hideMark/>
          </w:tcPr>
          <w:p w14:paraId="5FB965E4" w14:textId="77777777" w:rsidR="008878A0" w:rsidRPr="00FD7F29" w:rsidRDefault="008878A0" w:rsidP="00B61330">
            <w:pPr>
              <w:spacing w:before="37" w:after="0"/>
              <w:ind w:left="869"/>
              <w:jc w:val="center"/>
              <w:rPr>
                <w:rFonts w:eastAsia="Arial" w:cstheme="minorHAnsi"/>
                <w:szCs w:val="18"/>
              </w:rPr>
            </w:pPr>
            <w:r w:rsidRPr="00FD7F29">
              <w:rPr>
                <w:rFonts w:eastAsia="Arial" w:cstheme="minorHAnsi"/>
                <w:spacing w:val="-1"/>
                <w:szCs w:val="18"/>
              </w:rPr>
              <w:t>1</w:t>
            </w:r>
            <w:r w:rsidRPr="00FD7F29">
              <w:rPr>
                <w:rFonts w:eastAsia="Arial" w:cstheme="minorHAnsi"/>
                <w:szCs w:val="18"/>
              </w:rPr>
              <w:t>3</w:t>
            </w:r>
          </w:p>
        </w:tc>
        <w:tc>
          <w:tcPr>
            <w:tcW w:w="1287" w:type="dxa"/>
            <w:hideMark/>
          </w:tcPr>
          <w:p w14:paraId="6686B597" w14:textId="7E70F297" w:rsidR="008878A0" w:rsidRPr="00FD7F29" w:rsidRDefault="5E92FB71" w:rsidP="00B61330">
            <w:pPr>
              <w:spacing w:before="37" w:after="0"/>
              <w:ind w:left="719"/>
              <w:jc w:val="center"/>
            </w:pPr>
            <w:r w:rsidRPr="07E5E1E8">
              <w:rPr>
                <w:rFonts w:eastAsia="Arial"/>
              </w:rPr>
              <w:t>15</w:t>
            </w:r>
          </w:p>
        </w:tc>
      </w:tr>
      <w:tr w:rsidR="00B95FAA" w:rsidRPr="00FD7F29" w14:paraId="3BA9C5F8" w14:textId="77777777" w:rsidTr="00B95FAA">
        <w:trPr>
          <w:trHeight w:val="283"/>
        </w:trPr>
        <w:tc>
          <w:tcPr>
            <w:tcW w:w="1291" w:type="dxa"/>
            <w:hideMark/>
          </w:tcPr>
          <w:p w14:paraId="3D07053F"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2"/>
                <w:w w:val="101"/>
                <w:szCs w:val="18"/>
              </w:rPr>
              <w:t>I</w:t>
            </w:r>
            <w:r w:rsidRPr="00FD7F29">
              <w:rPr>
                <w:rFonts w:eastAsia="Arial" w:cstheme="minorHAnsi"/>
                <w:w w:val="101"/>
                <w:szCs w:val="18"/>
              </w:rPr>
              <w:t>s</w:t>
            </w:r>
            <w:r w:rsidRPr="00FD7F29">
              <w:rPr>
                <w:rFonts w:eastAsia="Arial" w:cstheme="minorHAnsi"/>
                <w:spacing w:val="-3"/>
                <w:w w:val="101"/>
                <w:szCs w:val="18"/>
              </w:rPr>
              <w:t>t</w:t>
            </w:r>
            <w:r w:rsidRPr="00FD7F29">
              <w:rPr>
                <w:rFonts w:eastAsia="Arial" w:cstheme="minorHAnsi"/>
                <w:spacing w:val="-1"/>
                <w:w w:val="101"/>
                <w:szCs w:val="18"/>
              </w:rPr>
              <w:t>a</w:t>
            </w:r>
            <w:r w:rsidRPr="00FD7F29">
              <w:rPr>
                <w:rFonts w:eastAsia="Arial" w:cstheme="minorHAnsi"/>
                <w:spacing w:val="2"/>
                <w:w w:val="101"/>
                <w:szCs w:val="18"/>
              </w:rPr>
              <w:t>r</w:t>
            </w:r>
            <w:r w:rsidRPr="00FD7F29">
              <w:rPr>
                <w:rFonts w:eastAsia="Arial" w:cstheme="minorHAnsi"/>
                <w:spacing w:val="-5"/>
                <w:w w:val="101"/>
                <w:szCs w:val="18"/>
              </w:rPr>
              <w:t>s</w:t>
            </w:r>
            <w:r w:rsidRPr="00FD7F29">
              <w:rPr>
                <w:rFonts w:eastAsia="Arial" w:cstheme="minorHAnsi"/>
                <w:w w:val="101"/>
                <w:szCs w:val="18"/>
              </w:rPr>
              <w:t>ka</w:t>
            </w:r>
          </w:p>
        </w:tc>
        <w:tc>
          <w:tcPr>
            <w:tcW w:w="906" w:type="dxa"/>
            <w:hideMark/>
          </w:tcPr>
          <w:p w14:paraId="51610FBD" w14:textId="77777777" w:rsidR="008878A0" w:rsidRPr="00FD7F29" w:rsidRDefault="008878A0" w:rsidP="00B61330">
            <w:pPr>
              <w:spacing w:before="37" w:after="0"/>
              <w:ind w:left="346"/>
              <w:jc w:val="center"/>
              <w:rPr>
                <w:rFonts w:eastAsia="Arial" w:cstheme="minorHAnsi"/>
                <w:szCs w:val="18"/>
              </w:rPr>
            </w:pPr>
            <w:r w:rsidRPr="00FD7F29">
              <w:rPr>
                <w:rFonts w:eastAsia="Arial" w:cstheme="minorHAnsi"/>
                <w:b/>
                <w:szCs w:val="18"/>
              </w:rPr>
              <w:t>5</w:t>
            </w:r>
          </w:p>
        </w:tc>
        <w:tc>
          <w:tcPr>
            <w:tcW w:w="775" w:type="dxa"/>
            <w:hideMark/>
          </w:tcPr>
          <w:p w14:paraId="13A594F0" w14:textId="7B529DF5" w:rsidR="008878A0" w:rsidRPr="00FD7F29" w:rsidRDefault="67B36AE9" w:rsidP="00B61330">
            <w:pPr>
              <w:spacing w:before="37" w:after="0"/>
              <w:ind w:left="359"/>
              <w:jc w:val="center"/>
              <w:rPr>
                <w:rFonts w:eastAsia="Arial"/>
              </w:rPr>
            </w:pPr>
            <w:r w:rsidRPr="07E5E1E8">
              <w:rPr>
                <w:rFonts w:eastAsia="Arial"/>
              </w:rPr>
              <w:t>3</w:t>
            </w:r>
          </w:p>
        </w:tc>
        <w:tc>
          <w:tcPr>
            <w:tcW w:w="1117" w:type="dxa"/>
            <w:hideMark/>
          </w:tcPr>
          <w:p w14:paraId="524F7568" w14:textId="77777777" w:rsidR="008878A0" w:rsidRPr="00FD7F29" w:rsidRDefault="008878A0" w:rsidP="00B61330">
            <w:pPr>
              <w:spacing w:before="37" w:after="0"/>
              <w:ind w:left="509"/>
              <w:jc w:val="center"/>
              <w:rPr>
                <w:rFonts w:eastAsia="Arial" w:cstheme="minorHAnsi"/>
                <w:szCs w:val="18"/>
              </w:rPr>
            </w:pPr>
            <w:r w:rsidRPr="00FD7F29">
              <w:rPr>
                <w:rFonts w:eastAsia="Arial" w:cstheme="minorHAnsi"/>
                <w:szCs w:val="18"/>
              </w:rPr>
              <w:t>3</w:t>
            </w:r>
          </w:p>
        </w:tc>
        <w:tc>
          <w:tcPr>
            <w:tcW w:w="1051" w:type="dxa"/>
            <w:hideMark/>
          </w:tcPr>
          <w:p w14:paraId="4D57F5CA" w14:textId="77777777" w:rsidR="008878A0" w:rsidRPr="00FD7F29" w:rsidRDefault="008878A0" w:rsidP="00B61330">
            <w:pPr>
              <w:spacing w:before="37" w:after="0"/>
              <w:ind w:left="524"/>
              <w:jc w:val="center"/>
              <w:rPr>
                <w:rFonts w:eastAsia="Arial" w:cstheme="minorHAnsi"/>
                <w:szCs w:val="18"/>
              </w:rPr>
            </w:pPr>
            <w:r w:rsidRPr="00FD7F29">
              <w:rPr>
                <w:rFonts w:eastAsia="Arial" w:cstheme="minorHAnsi"/>
                <w:szCs w:val="18"/>
              </w:rPr>
              <w:t>5</w:t>
            </w:r>
          </w:p>
        </w:tc>
        <w:tc>
          <w:tcPr>
            <w:tcW w:w="1487" w:type="dxa"/>
            <w:hideMark/>
          </w:tcPr>
          <w:p w14:paraId="427D2C83" w14:textId="77777777" w:rsidR="008878A0" w:rsidRPr="00FD7F29" w:rsidRDefault="008878A0" w:rsidP="00B61330">
            <w:pPr>
              <w:spacing w:before="37" w:after="0"/>
              <w:ind w:left="869"/>
              <w:jc w:val="center"/>
              <w:rPr>
                <w:rFonts w:eastAsia="Arial" w:cstheme="minorHAnsi"/>
                <w:szCs w:val="18"/>
              </w:rPr>
            </w:pPr>
            <w:r w:rsidRPr="00FD7F29">
              <w:rPr>
                <w:rFonts w:eastAsia="Arial" w:cstheme="minorHAnsi"/>
                <w:szCs w:val="18"/>
              </w:rPr>
              <w:t>6</w:t>
            </w:r>
          </w:p>
        </w:tc>
        <w:tc>
          <w:tcPr>
            <w:tcW w:w="1355" w:type="dxa"/>
            <w:hideMark/>
          </w:tcPr>
          <w:p w14:paraId="5721672B" w14:textId="1048E40A" w:rsidR="008878A0" w:rsidRPr="00FD7F29" w:rsidRDefault="6503F9E9" w:rsidP="00B61330">
            <w:pPr>
              <w:spacing w:before="37" w:after="0"/>
              <w:ind w:left="929"/>
              <w:jc w:val="center"/>
            </w:pPr>
            <w:r w:rsidRPr="07E5E1E8">
              <w:rPr>
                <w:rFonts w:eastAsia="Arial"/>
              </w:rPr>
              <w:t>8</w:t>
            </w:r>
          </w:p>
        </w:tc>
        <w:tc>
          <w:tcPr>
            <w:tcW w:w="1287" w:type="dxa"/>
            <w:hideMark/>
          </w:tcPr>
          <w:p w14:paraId="377FC4B3" w14:textId="0EEAF48E" w:rsidR="008878A0" w:rsidRPr="00FD7F29" w:rsidRDefault="6503F9E9" w:rsidP="00B61330">
            <w:pPr>
              <w:spacing w:before="37" w:after="0"/>
              <w:ind w:left="779"/>
              <w:jc w:val="center"/>
            </w:pPr>
            <w:r w:rsidRPr="07E5E1E8">
              <w:rPr>
                <w:rFonts w:eastAsia="Arial"/>
              </w:rPr>
              <w:t>6</w:t>
            </w:r>
          </w:p>
        </w:tc>
      </w:tr>
      <w:tr w:rsidR="00B95FAA" w:rsidRPr="00FD7F29" w14:paraId="188CB2DD" w14:textId="77777777" w:rsidTr="00B95FAA">
        <w:trPr>
          <w:trHeight w:val="283"/>
        </w:trPr>
        <w:tc>
          <w:tcPr>
            <w:tcW w:w="1291" w:type="dxa"/>
            <w:hideMark/>
          </w:tcPr>
          <w:p w14:paraId="7B1C84BF" w14:textId="77777777" w:rsidR="008878A0" w:rsidRPr="00FD7F29" w:rsidRDefault="008878A0" w:rsidP="00941871">
            <w:pPr>
              <w:spacing w:before="35" w:after="0"/>
              <w:ind w:left="29"/>
              <w:rPr>
                <w:rFonts w:eastAsia="Arial" w:cstheme="minorHAnsi"/>
                <w:szCs w:val="18"/>
              </w:rPr>
            </w:pPr>
            <w:r w:rsidRPr="00FD7F29">
              <w:rPr>
                <w:rFonts w:eastAsia="Arial" w:cstheme="minorHAnsi"/>
                <w:spacing w:val="2"/>
                <w:w w:val="101"/>
                <w:szCs w:val="18"/>
              </w:rPr>
              <w:lastRenderedPageBreak/>
              <w:t>O</w:t>
            </w:r>
            <w:r w:rsidRPr="00FD7F29">
              <w:rPr>
                <w:rFonts w:eastAsia="Arial" w:cstheme="minorHAnsi"/>
                <w:spacing w:val="-5"/>
                <w:w w:val="101"/>
                <w:szCs w:val="18"/>
              </w:rPr>
              <w:t>s</w:t>
            </w:r>
            <w:r w:rsidRPr="00FD7F29">
              <w:rPr>
                <w:rFonts w:eastAsia="Arial" w:cstheme="minorHAnsi"/>
                <w:spacing w:val="3"/>
                <w:w w:val="101"/>
                <w:szCs w:val="18"/>
              </w:rPr>
              <w:t>j</w:t>
            </w:r>
            <w:r w:rsidRPr="00FD7F29">
              <w:rPr>
                <w:rFonts w:eastAsia="Arial" w:cstheme="minorHAnsi"/>
                <w:spacing w:val="-5"/>
                <w:w w:val="101"/>
                <w:szCs w:val="18"/>
              </w:rPr>
              <w:t>e</w:t>
            </w:r>
            <w:r w:rsidRPr="00FD7F29">
              <w:rPr>
                <w:rFonts w:eastAsia="Arial" w:cstheme="minorHAnsi"/>
                <w:w w:val="101"/>
                <w:szCs w:val="18"/>
              </w:rPr>
              <w:t>čk</w:t>
            </w:r>
            <w:r w:rsidRPr="00FD7F29">
              <w:rPr>
                <w:rFonts w:eastAsia="Arial" w:cstheme="minorHAnsi"/>
                <w:spacing w:val="-1"/>
                <w:w w:val="101"/>
                <w:szCs w:val="18"/>
              </w:rPr>
              <w:t>o</w:t>
            </w:r>
            <w:r w:rsidRPr="00FD7F29">
              <w:rPr>
                <w:rFonts w:eastAsia="Arial" w:cstheme="minorHAnsi"/>
                <w:spacing w:val="2"/>
                <w:w w:val="101"/>
                <w:szCs w:val="18"/>
              </w:rPr>
              <w:t>-</w:t>
            </w:r>
            <w:r w:rsidRPr="00FD7F29">
              <w:rPr>
                <w:rFonts w:eastAsia="Arial" w:cstheme="minorHAnsi"/>
                <w:spacing w:val="-1"/>
                <w:w w:val="101"/>
                <w:szCs w:val="18"/>
              </w:rPr>
              <w:t>b</w:t>
            </w:r>
            <w:r w:rsidRPr="00FD7F29">
              <w:rPr>
                <w:rFonts w:eastAsia="Arial" w:cstheme="minorHAnsi"/>
                <w:spacing w:val="-5"/>
                <w:w w:val="101"/>
                <w:szCs w:val="18"/>
              </w:rPr>
              <w:t>a</w:t>
            </w:r>
            <w:r w:rsidRPr="00FD7F29">
              <w:rPr>
                <w:rFonts w:eastAsia="Arial" w:cstheme="minorHAnsi"/>
                <w:spacing w:val="2"/>
                <w:w w:val="101"/>
                <w:szCs w:val="18"/>
              </w:rPr>
              <w:t>r</w:t>
            </w:r>
            <w:r w:rsidRPr="00FD7F29">
              <w:rPr>
                <w:rFonts w:eastAsia="Arial" w:cstheme="minorHAnsi"/>
                <w:spacing w:val="-1"/>
                <w:w w:val="101"/>
                <w:szCs w:val="18"/>
              </w:rPr>
              <w:t>a</w:t>
            </w:r>
            <w:r w:rsidRPr="00FD7F29">
              <w:rPr>
                <w:rFonts w:eastAsia="Arial" w:cstheme="minorHAnsi"/>
                <w:spacing w:val="-6"/>
                <w:w w:val="101"/>
                <w:szCs w:val="18"/>
              </w:rPr>
              <w:t>n</w:t>
            </w:r>
            <w:r w:rsidRPr="00FD7F29">
              <w:rPr>
                <w:rFonts w:eastAsia="Arial" w:cstheme="minorHAnsi"/>
                <w:spacing w:val="3"/>
                <w:w w:val="101"/>
                <w:szCs w:val="18"/>
              </w:rPr>
              <w:t>j</w:t>
            </w:r>
            <w:r w:rsidRPr="00FD7F29">
              <w:rPr>
                <w:rFonts w:eastAsia="Arial" w:cstheme="minorHAnsi"/>
                <w:w w:val="101"/>
                <w:szCs w:val="18"/>
              </w:rPr>
              <w:t>s</w:t>
            </w:r>
            <w:r w:rsidRPr="00FD7F29">
              <w:rPr>
                <w:rFonts w:eastAsia="Arial" w:cstheme="minorHAnsi"/>
                <w:spacing w:val="-5"/>
                <w:w w:val="101"/>
                <w:szCs w:val="18"/>
              </w:rPr>
              <w:t>k</w:t>
            </w:r>
            <w:r w:rsidRPr="00FD7F29">
              <w:rPr>
                <w:rFonts w:eastAsia="Arial" w:cstheme="minorHAnsi"/>
                <w:w w:val="101"/>
                <w:szCs w:val="18"/>
              </w:rPr>
              <w:t>a</w:t>
            </w:r>
          </w:p>
        </w:tc>
        <w:tc>
          <w:tcPr>
            <w:tcW w:w="906" w:type="dxa"/>
            <w:hideMark/>
          </w:tcPr>
          <w:p w14:paraId="101D826F" w14:textId="77777777" w:rsidR="008878A0" w:rsidRPr="00FD7F29" w:rsidRDefault="008878A0" w:rsidP="00B61330">
            <w:pPr>
              <w:spacing w:before="35" w:after="0"/>
              <w:ind w:left="346"/>
              <w:jc w:val="center"/>
              <w:rPr>
                <w:rFonts w:eastAsia="Arial" w:cstheme="minorHAnsi"/>
                <w:szCs w:val="18"/>
              </w:rPr>
            </w:pPr>
            <w:r w:rsidRPr="00FD7F29">
              <w:rPr>
                <w:rFonts w:eastAsia="Arial" w:cstheme="minorHAnsi"/>
                <w:b/>
                <w:szCs w:val="18"/>
              </w:rPr>
              <w:t>6</w:t>
            </w:r>
          </w:p>
        </w:tc>
        <w:tc>
          <w:tcPr>
            <w:tcW w:w="775" w:type="dxa"/>
            <w:hideMark/>
          </w:tcPr>
          <w:p w14:paraId="5721974B" w14:textId="3D3CD64F" w:rsidR="008878A0" w:rsidRPr="00FD7F29" w:rsidRDefault="69340F7B" w:rsidP="00B61330">
            <w:pPr>
              <w:spacing w:before="35" w:after="0"/>
              <w:ind w:left="359"/>
              <w:jc w:val="center"/>
              <w:rPr>
                <w:rFonts w:eastAsia="Arial"/>
              </w:rPr>
            </w:pPr>
            <w:r w:rsidRPr="07E5E1E8">
              <w:rPr>
                <w:rFonts w:eastAsia="Arial"/>
              </w:rPr>
              <w:t>12</w:t>
            </w:r>
          </w:p>
        </w:tc>
        <w:tc>
          <w:tcPr>
            <w:tcW w:w="1117" w:type="dxa"/>
            <w:hideMark/>
          </w:tcPr>
          <w:p w14:paraId="3EB5F036" w14:textId="77777777" w:rsidR="008878A0" w:rsidRPr="00FD7F29" w:rsidRDefault="008878A0" w:rsidP="00B61330">
            <w:pPr>
              <w:spacing w:before="35" w:after="0"/>
              <w:ind w:left="509"/>
              <w:jc w:val="center"/>
              <w:rPr>
                <w:rFonts w:eastAsia="Arial" w:cstheme="minorHAnsi"/>
                <w:szCs w:val="18"/>
              </w:rPr>
            </w:pPr>
            <w:r w:rsidRPr="00FD7F29">
              <w:rPr>
                <w:rFonts w:eastAsia="Arial" w:cstheme="minorHAnsi"/>
                <w:szCs w:val="18"/>
              </w:rPr>
              <w:t>6</w:t>
            </w:r>
          </w:p>
        </w:tc>
        <w:tc>
          <w:tcPr>
            <w:tcW w:w="1051" w:type="dxa"/>
            <w:hideMark/>
          </w:tcPr>
          <w:p w14:paraId="64CD2AE5" w14:textId="77777777" w:rsidR="008878A0" w:rsidRPr="00FD7F29" w:rsidRDefault="008878A0" w:rsidP="00B61330">
            <w:pPr>
              <w:spacing w:before="35" w:after="0"/>
              <w:ind w:left="524"/>
              <w:jc w:val="center"/>
              <w:rPr>
                <w:rFonts w:eastAsia="Arial" w:cstheme="minorHAnsi"/>
                <w:szCs w:val="18"/>
              </w:rPr>
            </w:pPr>
            <w:r w:rsidRPr="00FD7F29">
              <w:rPr>
                <w:rFonts w:eastAsia="Arial" w:cstheme="minorHAnsi"/>
                <w:szCs w:val="18"/>
              </w:rPr>
              <w:t>7</w:t>
            </w:r>
          </w:p>
        </w:tc>
        <w:tc>
          <w:tcPr>
            <w:tcW w:w="1487" w:type="dxa"/>
            <w:hideMark/>
          </w:tcPr>
          <w:p w14:paraId="2DF386E2" w14:textId="1F95A5E2" w:rsidR="008878A0" w:rsidRPr="00FD7F29" w:rsidRDefault="644300C4" w:rsidP="00B61330">
            <w:pPr>
              <w:spacing w:before="35" w:after="0"/>
              <w:ind w:left="869"/>
              <w:jc w:val="center"/>
            </w:pPr>
            <w:r w:rsidRPr="07E5E1E8">
              <w:rPr>
                <w:rFonts w:eastAsia="Arial"/>
              </w:rPr>
              <w:t>7</w:t>
            </w:r>
          </w:p>
        </w:tc>
        <w:tc>
          <w:tcPr>
            <w:tcW w:w="1355" w:type="dxa"/>
            <w:hideMark/>
          </w:tcPr>
          <w:p w14:paraId="728A50F5" w14:textId="4A3AB9F6" w:rsidR="008878A0" w:rsidRPr="00FD7F29" w:rsidRDefault="644300C4" w:rsidP="00B61330">
            <w:pPr>
              <w:spacing w:before="35" w:after="0"/>
              <w:ind w:left="929"/>
              <w:jc w:val="center"/>
            </w:pPr>
            <w:r w:rsidRPr="07E5E1E8">
              <w:rPr>
                <w:rFonts w:eastAsia="Arial"/>
              </w:rPr>
              <w:t>18</w:t>
            </w:r>
          </w:p>
        </w:tc>
        <w:tc>
          <w:tcPr>
            <w:tcW w:w="1287" w:type="dxa"/>
            <w:hideMark/>
          </w:tcPr>
          <w:p w14:paraId="3F50C46F" w14:textId="1077DA42" w:rsidR="008878A0" w:rsidRPr="00FD7F29" w:rsidRDefault="644300C4" w:rsidP="00B61330">
            <w:pPr>
              <w:spacing w:before="35" w:after="0"/>
              <w:ind w:left="719"/>
              <w:jc w:val="center"/>
            </w:pPr>
            <w:r w:rsidRPr="07E5E1E8">
              <w:rPr>
                <w:rFonts w:eastAsia="Arial"/>
              </w:rPr>
              <w:t>17</w:t>
            </w:r>
          </w:p>
        </w:tc>
      </w:tr>
      <w:tr w:rsidR="00B95FAA" w:rsidRPr="00FD7F29" w14:paraId="37E67431" w14:textId="77777777" w:rsidTr="00B95FAA">
        <w:trPr>
          <w:trHeight w:val="283"/>
        </w:trPr>
        <w:tc>
          <w:tcPr>
            <w:tcW w:w="1291" w:type="dxa"/>
            <w:hideMark/>
          </w:tcPr>
          <w:p w14:paraId="68B68846" w14:textId="77777777" w:rsidR="008878A0" w:rsidRPr="00FD7F29" w:rsidRDefault="008878A0" w:rsidP="00941871">
            <w:pPr>
              <w:spacing w:before="35" w:after="0"/>
              <w:ind w:left="29"/>
              <w:rPr>
                <w:rFonts w:eastAsia="Arial" w:cstheme="minorHAnsi"/>
                <w:szCs w:val="18"/>
              </w:rPr>
            </w:pPr>
            <w:r w:rsidRPr="00FD7F29">
              <w:rPr>
                <w:rFonts w:eastAsia="Arial" w:cstheme="minorHAnsi"/>
                <w:spacing w:val="-2"/>
                <w:w w:val="101"/>
                <w:szCs w:val="18"/>
              </w:rPr>
              <w:t>V</w:t>
            </w:r>
            <w:r w:rsidRPr="00FD7F29">
              <w:rPr>
                <w:rFonts w:eastAsia="Arial" w:cstheme="minorHAnsi"/>
                <w:spacing w:val="-1"/>
                <w:w w:val="101"/>
                <w:szCs w:val="18"/>
              </w:rPr>
              <w:t>a</w:t>
            </w:r>
            <w:r w:rsidRPr="00FD7F29">
              <w:rPr>
                <w:rFonts w:eastAsia="Arial" w:cstheme="minorHAnsi"/>
                <w:spacing w:val="2"/>
                <w:w w:val="101"/>
                <w:szCs w:val="18"/>
              </w:rPr>
              <w:t>r</w:t>
            </w:r>
            <w:r w:rsidRPr="00FD7F29">
              <w:rPr>
                <w:rFonts w:eastAsia="Arial" w:cstheme="minorHAnsi"/>
                <w:spacing w:val="-1"/>
                <w:w w:val="101"/>
                <w:szCs w:val="18"/>
              </w:rPr>
              <w:t>a</w:t>
            </w:r>
            <w:r w:rsidRPr="00FD7F29">
              <w:rPr>
                <w:rFonts w:eastAsia="Arial" w:cstheme="minorHAnsi"/>
                <w:spacing w:val="-5"/>
                <w:w w:val="101"/>
                <w:szCs w:val="18"/>
              </w:rPr>
              <w:t>ž</w:t>
            </w:r>
            <w:r w:rsidRPr="00FD7F29">
              <w:rPr>
                <w:rFonts w:eastAsia="Arial" w:cstheme="minorHAnsi"/>
                <w:spacing w:val="-1"/>
                <w:w w:val="101"/>
                <w:szCs w:val="18"/>
              </w:rPr>
              <w:t>d</w:t>
            </w:r>
            <w:r w:rsidRPr="00FD7F29">
              <w:rPr>
                <w:rFonts w:eastAsia="Arial" w:cstheme="minorHAnsi"/>
                <w:spacing w:val="3"/>
                <w:w w:val="101"/>
                <w:szCs w:val="18"/>
              </w:rPr>
              <w:t>i</w:t>
            </w:r>
            <w:r w:rsidRPr="00FD7F29">
              <w:rPr>
                <w:rFonts w:eastAsia="Arial" w:cstheme="minorHAnsi"/>
                <w:spacing w:val="-1"/>
                <w:w w:val="101"/>
                <w:szCs w:val="18"/>
              </w:rPr>
              <w:t>n</w:t>
            </w:r>
            <w:r w:rsidRPr="00FD7F29">
              <w:rPr>
                <w:rFonts w:eastAsia="Arial" w:cstheme="minorHAnsi"/>
                <w:spacing w:val="-5"/>
                <w:w w:val="101"/>
                <w:szCs w:val="18"/>
              </w:rPr>
              <w:t>s</w:t>
            </w:r>
            <w:r w:rsidRPr="00FD7F29">
              <w:rPr>
                <w:rFonts w:eastAsia="Arial" w:cstheme="minorHAnsi"/>
                <w:w w:val="101"/>
                <w:szCs w:val="18"/>
              </w:rPr>
              <w:t>ka</w:t>
            </w:r>
          </w:p>
        </w:tc>
        <w:tc>
          <w:tcPr>
            <w:tcW w:w="906" w:type="dxa"/>
            <w:hideMark/>
          </w:tcPr>
          <w:p w14:paraId="3D96C3EA" w14:textId="77777777" w:rsidR="008878A0" w:rsidRPr="00FD7F29" w:rsidRDefault="008878A0" w:rsidP="00B61330">
            <w:pPr>
              <w:spacing w:before="35" w:after="0"/>
              <w:ind w:left="346"/>
              <w:jc w:val="center"/>
              <w:rPr>
                <w:rFonts w:eastAsia="Arial" w:cstheme="minorHAnsi"/>
                <w:szCs w:val="18"/>
              </w:rPr>
            </w:pPr>
            <w:r w:rsidRPr="00FD7F29">
              <w:rPr>
                <w:rFonts w:eastAsia="Arial" w:cstheme="minorHAnsi"/>
                <w:b/>
                <w:szCs w:val="18"/>
              </w:rPr>
              <w:t>7</w:t>
            </w:r>
          </w:p>
        </w:tc>
        <w:tc>
          <w:tcPr>
            <w:tcW w:w="775" w:type="dxa"/>
            <w:hideMark/>
          </w:tcPr>
          <w:p w14:paraId="5BE6C3B8" w14:textId="10D91005" w:rsidR="008878A0" w:rsidRPr="00FD7F29" w:rsidRDefault="1DAF0382" w:rsidP="00B61330">
            <w:pPr>
              <w:spacing w:before="35" w:after="0"/>
              <w:ind w:left="359"/>
              <w:jc w:val="center"/>
              <w:rPr>
                <w:rFonts w:eastAsia="Arial"/>
              </w:rPr>
            </w:pPr>
            <w:r w:rsidRPr="07E5E1E8">
              <w:rPr>
                <w:rFonts w:eastAsia="Arial"/>
              </w:rPr>
              <w:t>4</w:t>
            </w:r>
          </w:p>
        </w:tc>
        <w:tc>
          <w:tcPr>
            <w:tcW w:w="1117" w:type="dxa"/>
            <w:hideMark/>
          </w:tcPr>
          <w:p w14:paraId="3EEF5045" w14:textId="77777777" w:rsidR="008878A0" w:rsidRPr="00FD7F29" w:rsidRDefault="008878A0" w:rsidP="00B61330">
            <w:pPr>
              <w:spacing w:before="35" w:after="0"/>
              <w:ind w:left="509"/>
              <w:jc w:val="center"/>
              <w:rPr>
                <w:rFonts w:eastAsia="Arial" w:cstheme="minorHAnsi"/>
                <w:szCs w:val="18"/>
              </w:rPr>
            </w:pPr>
            <w:r w:rsidRPr="00FD7F29">
              <w:rPr>
                <w:rFonts w:eastAsia="Arial" w:cstheme="minorHAnsi"/>
                <w:szCs w:val="18"/>
              </w:rPr>
              <w:t>9</w:t>
            </w:r>
          </w:p>
        </w:tc>
        <w:tc>
          <w:tcPr>
            <w:tcW w:w="1051" w:type="dxa"/>
            <w:hideMark/>
          </w:tcPr>
          <w:p w14:paraId="7DE74C84" w14:textId="77777777" w:rsidR="008878A0" w:rsidRPr="00FD7F29" w:rsidRDefault="008878A0" w:rsidP="00B61330">
            <w:pPr>
              <w:spacing w:before="35" w:after="0"/>
              <w:ind w:left="524"/>
              <w:jc w:val="center"/>
              <w:rPr>
                <w:rFonts w:eastAsia="Arial" w:cstheme="minorHAnsi"/>
                <w:szCs w:val="18"/>
              </w:rPr>
            </w:pPr>
            <w:r w:rsidRPr="00FD7F29">
              <w:rPr>
                <w:rFonts w:eastAsia="Arial" w:cstheme="minorHAnsi"/>
                <w:szCs w:val="18"/>
              </w:rPr>
              <w:t>6</w:t>
            </w:r>
          </w:p>
        </w:tc>
        <w:tc>
          <w:tcPr>
            <w:tcW w:w="1487" w:type="dxa"/>
            <w:hideMark/>
          </w:tcPr>
          <w:p w14:paraId="2D6F61E9" w14:textId="3E494F2B" w:rsidR="008878A0" w:rsidRPr="00FD7F29" w:rsidRDefault="2ADFFA8B" w:rsidP="00B61330">
            <w:pPr>
              <w:spacing w:before="35" w:after="0"/>
              <w:ind w:left="869"/>
              <w:jc w:val="center"/>
            </w:pPr>
            <w:r w:rsidRPr="07E5E1E8">
              <w:rPr>
                <w:rFonts w:eastAsia="Arial"/>
              </w:rPr>
              <w:t>9</w:t>
            </w:r>
          </w:p>
        </w:tc>
        <w:tc>
          <w:tcPr>
            <w:tcW w:w="1355" w:type="dxa"/>
            <w:hideMark/>
          </w:tcPr>
          <w:p w14:paraId="250BE829" w14:textId="54A01D29" w:rsidR="008878A0" w:rsidRPr="00FD7F29" w:rsidRDefault="2ADFFA8B" w:rsidP="00B61330">
            <w:pPr>
              <w:spacing w:before="35" w:after="0"/>
              <w:ind w:left="869"/>
              <w:jc w:val="center"/>
            </w:pPr>
            <w:r w:rsidRPr="07E5E1E8">
              <w:rPr>
                <w:rFonts w:eastAsia="Arial"/>
              </w:rPr>
              <w:t>10</w:t>
            </w:r>
          </w:p>
        </w:tc>
        <w:tc>
          <w:tcPr>
            <w:tcW w:w="1287" w:type="dxa"/>
            <w:hideMark/>
          </w:tcPr>
          <w:p w14:paraId="54D62F6E" w14:textId="21BDFFC3" w:rsidR="008878A0" w:rsidRPr="00FD7F29" w:rsidRDefault="2ADFFA8B" w:rsidP="00B61330">
            <w:pPr>
              <w:spacing w:before="35" w:after="0"/>
              <w:ind w:left="719"/>
              <w:jc w:val="center"/>
            </w:pPr>
            <w:r w:rsidRPr="07E5E1E8">
              <w:rPr>
                <w:rFonts w:eastAsia="Arial"/>
              </w:rPr>
              <w:t>10</w:t>
            </w:r>
          </w:p>
        </w:tc>
      </w:tr>
      <w:tr w:rsidR="00B95FAA" w:rsidRPr="00FD7F29" w14:paraId="480A587E" w14:textId="77777777" w:rsidTr="00B95FAA">
        <w:trPr>
          <w:trHeight w:val="283"/>
        </w:trPr>
        <w:tc>
          <w:tcPr>
            <w:tcW w:w="1291" w:type="dxa"/>
            <w:hideMark/>
          </w:tcPr>
          <w:p w14:paraId="1F043E7D"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2"/>
                <w:w w:val="101"/>
                <w:szCs w:val="18"/>
              </w:rPr>
              <w:t>V</w:t>
            </w:r>
            <w:r w:rsidRPr="00FD7F29">
              <w:rPr>
                <w:rFonts w:eastAsia="Arial" w:cstheme="minorHAnsi"/>
                <w:spacing w:val="-1"/>
                <w:w w:val="101"/>
                <w:szCs w:val="18"/>
              </w:rPr>
              <w:t>u</w:t>
            </w:r>
            <w:r w:rsidRPr="00FD7F29">
              <w:rPr>
                <w:rFonts w:eastAsia="Arial" w:cstheme="minorHAnsi"/>
                <w:w w:val="101"/>
                <w:szCs w:val="18"/>
              </w:rPr>
              <w:t>k</w:t>
            </w:r>
            <w:r w:rsidRPr="00FD7F29">
              <w:rPr>
                <w:rFonts w:eastAsia="Arial" w:cstheme="minorHAnsi"/>
                <w:spacing w:val="-1"/>
                <w:w w:val="101"/>
                <w:szCs w:val="18"/>
              </w:rPr>
              <w:t>o</w:t>
            </w:r>
            <w:r w:rsidRPr="00FD7F29">
              <w:rPr>
                <w:rFonts w:eastAsia="Arial" w:cstheme="minorHAnsi"/>
                <w:w w:val="101"/>
                <w:szCs w:val="18"/>
              </w:rPr>
              <w:t>v</w:t>
            </w:r>
            <w:r w:rsidRPr="00FD7F29">
              <w:rPr>
                <w:rFonts w:eastAsia="Arial" w:cstheme="minorHAnsi"/>
                <w:spacing w:val="-1"/>
                <w:w w:val="101"/>
                <w:szCs w:val="18"/>
              </w:rPr>
              <w:t>a</w:t>
            </w:r>
            <w:r w:rsidRPr="00FD7F29">
              <w:rPr>
                <w:rFonts w:eastAsia="Arial" w:cstheme="minorHAnsi"/>
                <w:spacing w:val="-3"/>
                <w:w w:val="101"/>
                <w:szCs w:val="18"/>
              </w:rPr>
              <w:t>r</w:t>
            </w:r>
            <w:r w:rsidRPr="00FD7F29">
              <w:rPr>
                <w:rFonts w:eastAsia="Arial" w:cstheme="minorHAnsi"/>
                <w:w w:val="101"/>
                <w:szCs w:val="18"/>
              </w:rPr>
              <w:t>sk</w:t>
            </w:r>
            <w:r w:rsidRPr="00FD7F29">
              <w:rPr>
                <w:rFonts w:eastAsia="Arial" w:cstheme="minorHAnsi"/>
                <w:spacing w:val="-5"/>
                <w:w w:val="101"/>
                <w:szCs w:val="18"/>
              </w:rPr>
              <w:t>o</w:t>
            </w:r>
            <w:r w:rsidRPr="00FD7F29">
              <w:rPr>
                <w:rFonts w:eastAsia="Arial" w:cstheme="minorHAnsi"/>
                <w:spacing w:val="2"/>
                <w:w w:val="101"/>
                <w:szCs w:val="18"/>
              </w:rPr>
              <w:t>-</w:t>
            </w:r>
            <w:r w:rsidRPr="00FD7F29">
              <w:rPr>
                <w:rFonts w:eastAsia="Arial" w:cstheme="minorHAnsi"/>
                <w:w w:val="101"/>
                <w:szCs w:val="18"/>
              </w:rPr>
              <w:t>s</w:t>
            </w:r>
            <w:r w:rsidRPr="00FD7F29">
              <w:rPr>
                <w:rFonts w:eastAsia="Arial" w:cstheme="minorHAnsi"/>
                <w:spacing w:val="-3"/>
                <w:w w:val="101"/>
                <w:szCs w:val="18"/>
              </w:rPr>
              <w:t>r</w:t>
            </w:r>
            <w:r w:rsidRPr="00FD7F29">
              <w:rPr>
                <w:rFonts w:eastAsia="Arial" w:cstheme="minorHAnsi"/>
                <w:spacing w:val="-2"/>
                <w:w w:val="101"/>
                <w:szCs w:val="18"/>
              </w:rPr>
              <w:t>i</w:t>
            </w:r>
            <w:r w:rsidRPr="00FD7F29">
              <w:rPr>
                <w:rFonts w:eastAsia="Arial" w:cstheme="minorHAnsi"/>
                <w:spacing w:val="3"/>
                <w:w w:val="101"/>
                <w:szCs w:val="18"/>
              </w:rPr>
              <w:t>j</w:t>
            </w:r>
            <w:r w:rsidRPr="00FD7F29">
              <w:rPr>
                <w:rFonts w:eastAsia="Arial" w:cstheme="minorHAnsi"/>
                <w:spacing w:val="-10"/>
                <w:w w:val="101"/>
                <w:szCs w:val="18"/>
              </w:rPr>
              <w:t>e</w:t>
            </w:r>
            <w:r w:rsidRPr="00FD7F29">
              <w:rPr>
                <w:rFonts w:eastAsia="Arial" w:cstheme="minorHAnsi"/>
                <w:spacing w:val="6"/>
                <w:w w:val="101"/>
                <w:szCs w:val="18"/>
              </w:rPr>
              <w:t>m</w:t>
            </w:r>
            <w:r w:rsidRPr="00FD7F29">
              <w:rPr>
                <w:rFonts w:eastAsia="Arial" w:cstheme="minorHAnsi"/>
                <w:w w:val="101"/>
                <w:szCs w:val="18"/>
              </w:rPr>
              <w:t>ska</w:t>
            </w:r>
          </w:p>
        </w:tc>
        <w:tc>
          <w:tcPr>
            <w:tcW w:w="906" w:type="dxa"/>
            <w:hideMark/>
          </w:tcPr>
          <w:p w14:paraId="00DE0E37" w14:textId="77777777" w:rsidR="008878A0" w:rsidRPr="00FD7F29" w:rsidRDefault="008878A0" w:rsidP="00B61330">
            <w:pPr>
              <w:spacing w:before="37" w:after="0"/>
              <w:ind w:left="346"/>
              <w:jc w:val="center"/>
              <w:rPr>
                <w:rFonts w:eastAsia="Arial" w:cstheme="minorHAnsi"/>
                <w:szCs w:val="18"/>
              </w:rPr>
            </w:pPr>
            <w:r w:rsidRPr="00FD7F29">
              <w:rPr>
                <w:rFonts w:eastAsia="Arial" w:cstheme="minorHAnsi"/>
                <w:b/>
                <w:szCs w:val="18"/>
              </w:rPr>
              <w:t>8</w:t>
            </w:r>
          </w:p>
        </w:tc>
        <w:tc>
          <w:tcPr>
            <w:tcW w:w="775" w:type="dxa"/>
            <w:hideMark/>
          </w:tcPr>
          <w:p w14:paraId="61D40E6C" w14:textId="0F47FF59" w:rsidR="008878A0" w:rsidRPr="00FD7F29" w:rsidRDefault="008878A0" w:rsidP="00B61330">
            <w:pPr>
              <w:spacing w:before="37" w:after="0"/>
              <w:ind w:left="314"/>
              <w:jc w:val="center"/>
              <w:rPr>
                <w:rFonts w:eastAsia="Arial"/>
              </w:rPr>
            </w:pPr>
            <w:r w:rsidRPr="07E5E1E8">
              <w:rPr>
                <w:rFonts w:eastAsia="Arial"/>
                <w:spacing w:val="-1"/>
              </w:rPr>
              <w:t>1</w:t>
            </w:r>
            <w:r w:rsidR="3FFC214F" w:rsidRPr="07E5E1E8">
              <w:rPr>
                <w:rFonts w:eastAsia="Arial"/>
                <w:spacing w:val="-1"/>
              </w:rPr>
              <w:t>1</w:t>
            </w:r>
          </w:p>
        </w:tc>
        <w:tc>
          <w:tcPr>
            <w:tcW w:w="1117" w:type="dxa"/>
            <w:hideMark/>
          </w:tcPr>
          <w:p w14:paraId="1F3A3927" w14:textId="66B0E734" w:rsidR="008878A0" w:rsidRPr="00FD7F29" w:rsidRDefault="3FFC214F" w:rsidP="00B61330">
            <w:pPr>
              <w:spacing w:before="37" w:after="0"/>
              <w:ind w:left="449"/>
              <w:jc w:val="center"/>
            </w:pPr>
            <w:r w:rsidRPr="07E5E1E8">
              <w:rPr>
                <w:rFonts w:eastAsia="Arial"/>
              </w:rPr>
              <w:t>16</w:t>
            </w:r>
          </w:p>
        </w:tc>
        <w:tc>
          <w:tcPr>
            <w:tcW w:w="1051" w:type="dxa"/>
            <w:hideMark/>
          </w:tcPr>
          <w:p w14:paraId="17AF4C09" w14:textId="7F84FBD5" w:rsidR="008878A0" w:rsidRPr="00FD7F29" w:rsidRDefault="3FFC214F" w:rsidP="00B61330">
            <w:pPr>
              <w:spacing w:before="37" w:after="0"/>
              <w:ind w:left="464"/>
              <w:jc w:val="center"/>
            </w:pPr>
            <w:r w:rsidRPr="07E5E1E8">
              <w:rPr>
                <w:rFonts w:eastAsia="Arial"/>
              </w:rPr>
              <w:t>12</w:t>
            </w:r>
          </w:p>
        </w:tc>
        <w:tc>
          <w:tcPr>
            <w:tcW w:w="1487" w:type="dxa"/>
            <w:hideMark/>
          </w:tcPr>
          <w:p w14:paraId="3B04B7F5" w14:textId="310F918D" w:rsidR="008878A0" w:rsidRPr="00FD7F29" w:rsidRDefault="3FFC214F" w:rsidP="00B61330">
            <w:pPr>
              <w:spacing w:before="37" w:after="0"/>
              <w:ind w:left="869"/>
              <w:jc w:val="center"/>
            </w:pPr>
            <w:r w:rsidRPr="07E5E1E8">
              <w:rPr>
                <w:rFonts w:eastAsia="Arial"/>
              </w:rPr>
              <w:t>2</w:t>
            </w:r>
          </w:p>
        </w:tc>
        <w:tc>
          <w:tcPr>
            <w:tcW w:w="1355" w:type="dxa"/>
            <w:hideMark/>
          </w:tcPr>
          <w:p w14:paraId="3F11FECE" w14:textId="654F315B" w:rsidR="008878A0" w:rsidRPr="00FD7F29" w:rsidRDefault="3FFC214F" w:rsidP="00B61330">
            <w:pPr>
              <w:spacing w:before="37" w:after="0"/>
              <w:ind w:left="869"/>
              <w:jc w:val="center"/>
            </w:pPr>
            <w:r w:rsidRPr="07E5E1E8">
              <w:rPr>
                <w:rFonts w:eastAsia="Arial"/>
              </w:rPr>
              <w:t>6</w:t>
            </w:r>
          </w:p>
        </w:tc>
        <w:tc>
          <w:tcPr>
            <w:tcW w:w="1287" w:type="dxa"/>
            <w:hideMark/>
          </w:tcPr>
          <w:p w14:paraId="306905A5" w14:textId="5531A283" w:rsidR="008878A0" w:rsidRPr="00FD7F29" w:rsidRDefault="3FFC214F" w:rsidP="00B61330">
            <w:pPr>
              <w:spacing w:before="37" w:after="0"/>
              <w:ind w:left="719"/>
              <w:jc w:val="center"/>
            </w:pPr>
            <w:r w:rsidRPr="07E5E1E8">
              <w:rPr>
                <w:rFonts w:eastAsia="Arial"/>
              </w:rPr>
              <w:t>12</w:t>
            </w:r>
          </w:p>
        </w:tc>
      </w:tr>
      <w:tr w:rsidR="00B95FAA" w:rsidRPr="00FD7F29" w14:paraId="00D14C5E" w14:textId="77777777" w:rsidTr="00B95FAA">
        <w:trPr>
          <w:trHeight w:val="283"/>
        </w:trPr>
        <w:tc>
          <w:tcPr>
            <w:tcW w:w="1291" w:type="dxa"/>
            <w:hideMark/>
          </w:tcPr>
          <w:p w14:paraId="4FF1B389"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3"/>
                <w:w w:val="101"/>
                <w:szCs w:val="18"/>
              </w:rPr>
              <w:t>M</w:t>
            </w:r>
            <w:r w:rsidRPr="00FD7F29">
              <w:rPr>
                <w:rFonts w:eastAsia="Arial" w:cstheme="minorHAnsi"/>
                <w:spacing w:val="-5"/>
                <w:w w:val="101"/>
                <w:szCs w:val="18"/>
              </w:rPr>
              <w:t>e</w:t>
            </w:r>
            <w:r w:rsidRPr="00FD7F29">
              <w:rPr>
                <w:rFonts w:eastAsia="Arial" w:cstheme="minorHAnsi"/>
                <w:spacing w:val="-1"/>
                <w:w w:val="101"/>
                <w:szCs w:val="18"/>
              </w:rPr>
              <w:t>đ</w:t>
            </w:r>
            <w:r w:rsidRPr="00FD7F29">
              <w:rPr>
                <w:rFonts w:eastAsia="Arial" w:cstheme="minorHAnsi"/>
                <w:spacing w:val="3"/>
                <w:w w:val="101"/>
                <w:szCs w:val="18"/>
              </w:rPr>
              <w:t>i</w:t>
            </w:r>
            <w:r w:rsidRPr="00FD7F29">
              <w:rPr>
                <w:rFonts w:eastAsia="Arial" w:cstheme="minorHAnsi"/>
                <w:spacing w:val="2"/>
                <w:w w:val="101"/>
                <w:szCs w:val="18"/>
              </w:rPr>
              <w:t>m</w:t>
            </w:r>
            <w:r w:rsidRPr="00FD7F29">
              <w:rPr>
                <w:rFonts w:eastAsia="Arial" w:cstheme="minorHAnsi"/>
                <w:spacing w:val="-1"/>
                <w:w w:val="101"/>
                <w:szCs w:val="18"/>
              </w:rPr>
              <w:t>u</w:t>
            </w:r>
            <w:r w:rsidRPr="00FD7F29">
              <w:rPr>
                <w:rFonts w:eastAsia="Arial" w:cstheme="minorHAnsi"/>
                <w:spacing w:val="2"/>
                <w:w w:val="101"/>
                <w:szCs w:val="18"/>
              </w:rPr>
              <w:t>r</w:t>
            </w:r>
            <w:r w:rsidRPr="00FD7F29">
              <w:rPr>
                <w:rFonts w:eastAsia="Arial" w:cstheme="minorHAnsi"/>
                <w:spacing w:val="-5"/>
                <w:w w:val="101"/>
                <w:szCs w:val="18"/>
              </w:rPr>
              <w:t>s</w:t>
            </w:r>
            <w:r w:rsidRPr="00FD7F29">
              <w:rPr>
                <w:rFonts w:eastAsia="Arial" w:cstheme="minorHAnsi"/>
                <w:w w:val="101"/>
                <w:szCs w:val="18"/>
              </w:rPr>
              <w:t>ka</w:t>
            </w:r>
          </w:p>
        </w:tc>
        <w:tc>
          <w:tcPr>
            <w:tcW w:w="906" w:type="dxa"/>
            <w:hideMark/>
          </w:tcPr>
          <w:p w14:paraId="06817FD7" w14:textId="77777777" w:rsidR="008878A0" w:rsidRPr="00FD7F29" w:rsidRDefault="008878A0" w:rsidP="00B61330">
            <w:pPr>
              <w:spacing w:before="37" w:after="0"/>
              <w:ind w:left="346"/>
              <w:jc w:val="center"/>
              <w:rPr>
                <w:rFonts w:eastAsia="Arial" w:cstheme="minorHAnsi"/>
                <w:szCs w:val="18"/>
              </w:rPr>
            </w:pPr>
            <w:r w:rsidRPr="00FD7F29">
              <w:rPr>
                <w:rFonts w:eastAsia="Arial" w:cstheme="minorHAnsi"/>
                <w:b/>
                <w:szCs w:val="18"/>
              </w:rPr>
              <w:t>9</w:t>
            </w:r>
          </w:p>
        </w:tc>
        <w:tc>
          <w:tcPr>
            <w:tcW w:w="775" w:type="dxa"/>
            <w:hideMark/>
          </w:tcPr>
          <w:p w14:paraId="31121241" w14:textId="77777777" w:rsidR="008878A0" w:rsidRPr="00FD7F29" w:rsidRDefault="008878A0" w:rsidP="00B61330">
            <w:pPr>
              <w:spacing w:before="37" w:after="0"/>
              <w:ind w:left="359"/>
              <w:jc w:val="center"/>
              <w:rPr>
                <w:rFonts w:eastAsia="Arial" w:cstheme="minorHAnsi"/>
                <w:szCs w:val="18"/>
              </w:rPr>
            </w:pPr>
            <w:r w:rsidRPr="00FD7F29">
              <w:rPr>
                <w:rFonts w:eastAsia="Arial" w:cstheme="minorHAnsi"/>
                <w:szCs w:val="18"/>
              </w:rPr>
              <w:t>9</w:t>
            </w:r>
          </w:p>
        </w:tc>
        <w:tc>
          <w:tcPr>
            <w:tcW w:w="1117" w:type="dxa"/>
            <w:hideMark/>
          </w:tcPr>
          <w:p w14:paraId="1D531577" w14:textId="77777777" w:rsidR="008878A0" w:rsidRPr="00FD7F29" w:rsidRDefault="008878A0" w:rsidP="00B61330">
            <w:pPr>
              <w:spacing w:before="37" w:after="0"/>
              <w:ind w:left="449"/>
              <w:jc w:val="center"/>
              <w:rPr>
                <w:rFonts w:eastAsia="Arial" w:cstheme="minorHAnsi"/>
                <w:szCs w:val="18"/>
              </w:rPr>
            </w:pPr>
            <w:r w:rsidRPr="00FD7F29">
              <w:rPr>
                <w:rFonts w:eastAsia="Arial" w:cstheme="minorHAnsi"/>
                <w:spacing w:val="-1"/>
                <w:szCs w:val="18"/>
              </w:rPr>
              <w:t>1</w:t>
            </w:r>
            <w:r w:rsidRPr="00FD7F29">
              <w:rPr>
                <w:rFonts w:eastAsia="Arial" w:cstheme="minorHAnsi"/>
                <w:szCs w:val="18"/>
              </w:rPr>
              <w:t>0</w:t>
            </w:r>
          </w:p>
        </w:tc>
        <w:tc>
          <w:tcPr>
            <w:tcW w:w="1051" w:type="dxa"/>
            <w:hideMark/>
          </w:tcPr>
          <w:p w14:paraId="176B4582" w14:textId="77777777" w:rsidR="008878A0" w:rsidRPr="00FD7F29" w:rsidRDefault="008878A0" w:rsidP="00B61330">
            <w:pPr>
              <w:spacing w:before="37" w:after="0"/>
              <w:ind w:left="524"/>
              <w:jc w:val="center"/>
              <w:rPr>
                <w:rFonts w:eastAsia="Arial" w:cstheme="minorHAnsi"/>
                <w:szCs w:val="18"/>
              </w:rPr>
            </w:pPr>
            <w:r w:rsidRPr="00FD7F29">
              <w:rPr>
                <w:rFonts w:eastAsia="Arial" w:cstheme="minorHAnsi"/>
                <w:szCs w:val="18"/>
              </w:rPr>
              <w:t>8</w:t>
            </w:r>
          </w:p>
        </w:tc>
        <w:tc>
          <w:tcPr>
            <w:tcW w:w="1487" w:type="dxa"/>
            <w:hideMark/>
          </w:tcPr>
          <w:p w14:paraId="09564673" w14:textId="51970CF9" w:rsidR="008878A0" w:rsidRPr="00FD7F29" w:rsidRDefault="008878A0" w:rsidP="00B61330">
            <w:pPr>
              <w:spacing w:before="37" w:after="0"/>
              <w:ind w:left="824"/>
              <w:jc w:val="center"/>
              <w:rPr>
                <w:rFonts w:eastAsia="Arial"/>
              </w:rPr>
            </w:pPr>
            <w:r w:rsidRPr="07E5E1E8">
              <w:rPr>
                <w:rFonts w:eastAsia="Arial"/>
                <w:spacing w:val="-1"/>
              </w:rPr>
              <w:t>1</w:t>
            </w:r>
            <w:r w:rsidR="47E90AAB" w:rsidRPr="07E5E1E8">
              <w:rPr>
                <w:rFonts w:eastAsia="Arial"/>
                <w:spacing w:val="-1"/>
              </w:rPr>
              <w:t>5</w:t>
            </w:r>
          </w:p>
        </w:tc>
        <w:tc>
          <w:tcPr>
            <w:tcW w:w="1355" w:type="dxa"/>
            <w:hideMark/>
          </w:tcPr>
          <w:p w14:paraId="4DD9626C" w14:textId="2BF9E030" w:rsidR="008878A0" w:rsidRPr="00FD7F29" w:rsidRDefault="47E90AAB" w:rsidP="00B61330">
            <w:pPr>
              <w:spacing w:before="37" w:after="0"/>
              <w:ind w:left="884"/>
              <w:jc w:val="center"/>
            </w:pPr>
            <w:r w:rsidRPr="07E5E1E8">
              <w:rPr>
                <w:rFonts w:eastAsia="Arial"/>
              </w:rPr>
              <w:t>9</w:t>
            </w:r>
          </w:p>
        </w:tc>
        <w:tc>
          <w:tcPr>
            <w:tcW w:w="1287" w:type="dxa"/>
            <w:hideMark/>
          </w:tcPr>
          <w:p w14:paraId="27A1AF5D" w14:textId="3E17617E" w:rsidR="008878A0" w:rsidRPr="00FD7F29" w:rsidRDefault="47E90AAB" w:rsidP="00B61330">
            <w:pPr>
              <w:spacing w:before="37" w:after="0"/>
              <w:ind w:left="779"/>
              <w:jc w:val="center"/>
            </w:pPr>
            <w:r w:rsidRPr="07E5E1E8">
              <w:rPr>
                <w:rFonts w:eastAsia="Arial"/>
              </w:rPr>
              <w:t>5</w:t>
            </w:r>
          </w:p>
        </w:tc>
      </w:tr>
      <w:tr w:rsidR="00B95FAA" w:rsidRPr="00FD7F29" w14:paraId="77EFA734" w14:textId="77777777" w:rsidTr="00B95FAA">
        <w:trPr>
          <w:trHeight w:val="323"/>
        </w:trPr>
        <w:tc>
          <w:tcPr>
            <w:tcW w:w="1291" w:type="dxa"/>
            <w:hideMark/>
          </w:tcPr>
          <w:p w14:paraId="786B73DC"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1"/>
                <w:w w:val="101"/>
                <w:szCs w:val="18"/>
              </w:rPr>
              <w:t>Zada</w:t>
            </w:r>
            <w:r w:rsidRPr="00FD7F29">
              <w:rPr>
                <w:rFonts w:eastAsia="Arial" w:cstheme="minorHAnsi"/>
                <w:spacing w:val="2"/>
                <w:w w:val="101"/>
                <w:szCs w:val="18"/>
              </w:rPr>
              <w:t>r</w:t>
            </w:r>
            <w:r w:rsidRPr="00FD7F29">
              <w:rPr>
                <w:rFonts w:eastAsia="Arial" w:cstheme="minorHAnsi"/>
                <w:spacing w:val="-5"/>
                <w:w w:val="101"/>
                <w:szCs w:val="18"/>
              </w:rPr>
              <w:t>s</w:t>
            </w:r>
            <w:r w:rsidRPr="00FD7F29">
              <w:rPr>
                <w:rFonts w:eastAsia="Arial" w:cstheme="minorHAnsi"/>
                <w:w w:val="101"/>
                <w:szCs w:val="18"/>
              </w:rPr>
              <w:t>ka</w:t>
            </w:r>
          </w:p>
        </w:tc>
        <w:tc>
          <w:tcPr>
            <w:tcW w:w="906" w:type="dxa"/>
            <w:hideMark/>
          </w:tcPr>
          <w:p w14:paraId="4D48A43A" w14:textId="77777777" w:rsidR="008878A0" w:rsidRPr="00FD7F29" w:rsidRDefault="008878A0" w:rsidP="00B61330">
            <w:pPr>
              <w:spacing w:before="37" w:after="0"/>
              <w:ind w:left="298"/>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0</w:t>
            </w:r>
          </w:p>
        </w:tc>
        <w:tc>
          <w:tcPr>
            <w:tcW w:w="775" w:type="dxa"/>
            <w:hideMark/>
          </w:tcPr>
          <w:p w14:paraId="76D11A43" w14:textId="77777777" w:rsidR="008878A0" w:rsidRPr="00FD7F29" w:rsidRDefault="38239CD3" w:rsidP="00B61330">
            <w:pPr>
              <w:spacing w:before="37" w:after="0"/>
              <w:ind w:left="314"/>
              <w:jc w:val="center"/>
              <w:rPr>
                <w:rFonts w:eastAsia="Arial"/>
              </w:rPr>
            </w:pPr>
            <w:r w:rsidRPr="07E5E1E8">
              <w:rPr>
                <w:rFonts w:eastAsia="Arial"/>
                <w:spacing w:val="-1"/>
              </w:rPr>
              <w:t>7</w:t>
            </w:r>
          </w:p>
        </w:tc>
        <w:tc>
          <w:tcPr>
            <w:tcW w:w="1117" w:type="dxa"/>
            <w:hideMark/>
          </w:tcPr>
          <w:p w14:paraId="4EE96A56" w14:textId="77777777" w:rsidR="008878A0" w:rsidRPr="00FD7F29" w:rsidRDefault="008878A0" w:rsidP="00B61330">
            <w:pPr>
              <w:spacing w:before="37" w:after="0"/>
              <w:ind w:left="509"/>
              <w:jc w:val="center"/>
              <w:rPr>
                <w:rFonts w:eastAsia="Arial" w:cstheme="minorHAnsi"/>
                <w:szCs w:val="18"/>
              </w:rPr>
            </w:pPr>
            <w:r w:rsidRPr="00FD7F29">
              <w:rPr>
                <w:rFonts w:eastAsia="Arial" w:cstheme="minorHAnsi"/>
                <w:szCs w:val="18"/>
              </w:rPr>
              <w:t>7</w:t>
            </w:r>
          </w:p>
        </w:tc>
        <w:tc>
          <w:tcPr>
            <w:tcW w:w="1051" w:type="dxa"/>
            <w:hideMark/>
          </w:tcPr>
          <w:p w14:paraId="6BA13197" w14:textId="77777777" w:rsidR="008878A0" w:rsidRPr="00FD7F29" w:rsidRDefault="008878A0" w:rsidP="00B61330">
            <w:pPr>
              <w:spacing w:before="37" w:after="0"/>
              <w:ind w:left="524"/>
              <w:jc w:val="center"/>
              <w:rPr>
                <w:rFonts w:eastAsia="Arial" w:cstheme="minorHAnsi"/>
                <w:szCs w:val="18"/>
              </w:rPr>
            </w:pPr>
            <w:r w:rsidRPr="00FD7F29">
              <w:rPr>
                <w:rFonts w:eastAsia="Arial" w:cstheme="minorHAnsi"/>
                <w:szCs w:val="18"/>
              </w:rPr>
              <w:t>9</w:t>
            </w:r>
          </w:p>
        </w:tc>
        <w:tc>
          <w:tcPr>
            <w:tcW w:w="1487" w:type="dxa"/>
            <w:hideMark/>
          </w:tcPr>
          <w:p w14:paraId="21F87195" w14:textId="6A5E057E" w:rsidR="008878A0" w:rsidRPr="00FD7F29" w:rsidRDefault="70CE1A58" w:rsidP="00B61330">
            <w:pPr>
              <w:spacing w:before="37" w:after="0"/>
              <w:ind w:left="824"/>
              <w:jc w:val="center"/>
            </w:pPr>
            <w:r w:rsidRPr="07E5E1E8">
              <w:rPr>
                <w:rFonts w:eastAsia="Arial"/>
              </w:rPr>
              <w:t>13</w:t>
            </w:r>
          </w:p>
        </w:tc>
        <w:tc>
          <w:tcPr>
            <w:tcW w:w="1355" w:type="dxa"/>
            <w:hideMark/>
          </w:tcPr>
          <w:p w14:paraId="532A2131" w14:textId="28C8EC59" w:rsidR="008878A0" w:rsidRPr="00FD7F29" w:rsidRDefault="70CE1A58" w:rsidP="00B61330">
            <w:pPr>
              <w:spacing w:before="37" w:after="0"/>
              <w:ind w:left="884"/>
              <w:jc w:val="center"/>
            </w:pPr>
            <w:r w:rsidRPr="07E5E1E8">
              <w:rPr>
                <w:rFonts w:eastAsia="Arial"/>
              </w:rPr>
              <w:t>5</w:t>
            </w:r>
          </w:p>
        </w:tc>
        <w:tc>
          <w:tcPr>
            <w:tcW w:w="1287" w:type="dxa"/>
            <w:hideMark/>
          </w:tcPr>
          <w:p w14:paraId="12483A42" w14:textId="63DC8BB1" w:rsidR="008878A0" w:rsidRPr="00FD7F29" w:rsidRDefault="70CE1A58" w:rsidP="00B61330">
            <w:pPr>
              <w:spacing w:before="37" w:after="0"/>
              <w:ind w:left="734"/>
              <w:jc w:val="center"/>
            </w:pPr>
            <w:r w:rsidRPr="07E5E1E8">
              <w:rPr>
                <w:rFonts w:eastAsia="Arial"/>
              </w:rPr>
              <w:t>2</w:t>
            </w:r>
          </w:p>
        </w:tc>
      </w:tr>
      <w:tr w:rsidR="00B95FAA" w:rsidRPr="00FD7F29" w14:paraId="09FAFC0F" w14:textId="77777777" w:rsidTr="00B95FAA">
        <w:trPr>
          <w:trHeight w:val="283"/>
        </w:trPr>
        <w:tc>
          <w:tcPr>
            <w:tcW w:w="1291" w:type="dxa"/>
            <w:shd w:val="clear" w:color="auto" w:fill="F2F2F2" w:themeFill="background1" w:themeFillShade="F2"/>
            <w:hideMark/>
          </w:tcPr>
          <w:p w14:paraId="3FEE5CB1" w14:textId="77777777" w:rsidR="008878A0" w:rsidRPr="00FD7F29" w:rsidRDefault="008878A0" w:rsidP="00941871">
            <w:pPr>
              <w:spacing w:before="37" w:after="0"/>
              <w:ind w:left="29"/>
              <w:rPr>
                <w:rFonts w:eastAsia="Arial" w:cstheme="minorHAnsi"/>
                <w:szCs w:val="18"/>
              </w:rPr>
            </w:pPr>
            <w:r w:rsidRPr="00FD7F29">
              <w:rPr>
                <w:rFonts w:eastAsia="Arial" w:cstheme="minorHAnsi"/>
                <w:b/>
                <w:spacing w:val="-2"/>
                <w:szCs w:val="18"/>
              </w:rPr>
              <w:t>K</w:t>
            </w:r>
            <w:r w:rsidRPr="00FD7F29">
              <w:rPr>
                <w:rFonts w:eastAsia="Arial" w:cstheme="minorHAnsi"/>
                <w:b/>
                <w:spacing w:val="1"/>
                <w:szCs w:val="18"/>
              </w:rPr>
              <w:t>r</w:t>
            </w:r>
            <w:r w:rsidRPr="00FD7F29">
              <w:rPr>
                <w:rFonts w:eastAsia="Arial" w:cstheme="minorHAnsi"/>
                <w:b/>
                <w:spacing w:val="-1"/>
                <w:szCs w:val="18"/>
              </w:rPr>
              <w:t>ap</w:t>
            </w:r>
            <w:r w:rsidRPr="00FD7F29">
              <w:rPr>
                <w:rFonts w:eastAsia="Arial" w:cstheme="minorHAnsi"/>
                <w:b/>
                <w:spacing w:val="2"/>
                <w:szCs w:val="18"/>
              </w:rPr>
              <w:t>i</w:t>
            </w:r>
            <w:r w:rsidRPr="00FD7F29">
              <w:rPr>
                <w:rFonts w:eastAsia="Arial" w:cstheme="minorHAnsi"/>
                <w:b/>
                <w:spacing w:val="-1"/>
                <w:szCs w:val="18"/>
              </w:rPr>
              <w:t>n</w:t>
            </w:r>
            <w:r w:rsidRPr="00FD7F29">
              <w:rPr>
                <w:rFonts w:eastAsia="Arial" w:cstheme="minorHAnsi"/>
                <w:b/>
                <w:spacing w:val="-5"/>
                <w:szCs w:val="18"/>
              </w:rPr>
              <w:t>s</w:t>
            </w:r>
            <w:r w:rsidRPr="00FD7F29">
              <w:rPr>
                <w:rFonts w:eastAsia="Arial" w:cstheme="minorHAnsi"/>
                <w:b/>
                <w:spacing w:val="-1"/>
                <w:szCs w:val="18"/>
              </w:rPr>
              <w:t>ko</w:t>
            </w:r>
            <w:r w:rsidRPr="00FD7F29">
              <w:rPr>
                <w:rFonts w:eastAsia="Arial" w:cstheme="minorHAnsi"/>
                <w:b/>
                <w:spacing w:val="2"/>
                <w:szCs w:val="18"/>
              </w:rPr>
              <w:t>-</w:t>
            </w:r>
            <w:r w:rsidRPr="00FD7F29">
              <w:rPr>
                <w:rFonts w:eastAsia="Arial" w:cstheme="minorHAnsi"/>
                <w:b/>
                <w:spacing w:val="-5"/>
                <w:szCs w:val="18"/>
              </w:rPr>
              <w:t>z</w:t>
            </w:r>
            <w:r w:rsidRPr="00FD7F29">
              <w:rPr>
                <w:rFonts w:eastAsia="Arial" w:cstheme="minorHAnsi"/>
                <w:b/>
                <w:spacing w:val="-1"/>
                <w:szCs w:val="18"/>
              </w:rPr>
              <w:t>ago</w:t>
            </w:r>
            <w:r w:rsidRPr="00FD7F29">
              <w:rPr>
                <w:rFonts w:eastAsia="Arial" w:cstheme="minorHAnsi"/>
                <w:b/>
                <w:spacing w:val="1"/>
                <w:szCs w:val="18"/>
              </w:rPr>
              <w:t>r</w:t>
            </w:r>
            <w:r w:rsidRPr="00FD7F29">
              <w:rPr>
                <w:rFonts w:eastAsia="Arial" w:cstheme="minorHAnsi"/>
                <w:b/>
                <w:spacing w:val="-1"/>
                <w:szCs w:val="18"/>
              </w:rPr>
              <w:t>s</w:t>
            </w:r>
            <w:r w:rsidRPr="00FD7F29">
              <w:rPr>
                <w:rFonts w:eastAsia="Arial" w:cstheme="minorHAnsi"/>
                <w:b/>
                <w:spacing w:val="-5"/>
                <w:szCs w:val="18"/>
              </w:rPr>
              <w:t>k</w:t>
            </w:r>
            <w:r w:rsidRPr="00FD7F29">
              <w:rPr>
                <w:rFonts w:eastAsia="Arial" w:cstheme="minorHAnsi"/>
                <w:b/>
                <w:szCs w:val="18"/>
              </w:rPr>
              <w:t>a</w:t>
            </w:r>
          </w:p>
        </w:tc>
        <w:tc>
          <w:tcPr>
            <w:tcW w:w="906" w:type="dxa"/>
            <w:shd w:val="clear" w:color="auto" w:fill="F2F2F2" w:themeFill="background1" w:themeFillShade="F2"/>
            <w:hideMark/>
          </w:tcPr>
          <w:p w14:paraId="3666D43C" w14:textId="77777777" w:rsidR="008878A0" w:rsidRPr="00FD7F29" w:rsidRDefault="008878A0" w:rsidP="00B61330">
            <w:pPr>
              <w:spacing w:before="37" w:after="0"/>
              <w:ind w:left="329"/>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1</w:t>
            </w:r>
          </w:p>
        </w:tc>
        <w:tc>
          <w:tcPr>
            <w:tcW w:w="775" w:type="dxa"/>
            <w:shd w:val="clear" w:color="auto" w:fill="F2F2F2" w:themeFill="background1" w:themeFillShade="F2"/>
            <w:hideMark/>
          </w:tcPr>
          <w:p w14:paraId="21E8C4C9" w14:textId="44B9B4B7" w:rsidR="008878A0" w:rsidRPr="00FD7F29" w:rsidRDefault="008878A0" w:rsidP="00B61330">
            <w:pPr>
              <w:spacing w:before="37" w:after="0"/>
              <w:ind w:left="299"/>
              <w:jc w:val="center"/>
              <w:rPr>
                <w:rFonts w:eastAsia="Arial"/>
                <w:b/>
                <w:bCs/>
              </w:rPr>
            </w:pPr>
            <w:r w:rsidRPr="07E5E1E8">
              <w:rPr>
                <w:rFonts w:eastAsia="Arial"/>
                <w:b/>
                <w:bCs/>
                <w:spacing w:val="-1"/>
              </w:rPr>
              <w:t>1</w:t>
            </w:r>
            <w:r w:rsidR="1B369AD5" w:rsidRPr="07E5E1E8">
              <w:rPr>
                <w:rFonts w:eastAsia="Arial"/>
                <w:b/>
                <w:bCs/>
                <w:spacing w:val="-1"/>
              </w:rPr>
              <w:t>0</w:t>
            </w:r>
          </w:p>
        </w:tc>
        <w:tc>
          <w:tcPr>
            <w:tcW w:w="1117" w:type="dxa"/>
            <w:shd w:val="clear" w:color="auto" w:fill="F2F2F2" w:themeFill="background1" w:themeFillShade="F2"/>
            <w:hideMark/>
          </w:tcPr>
          <w:p w14:paraId="79D21554" w14:textId="451BBC09" w:rsidR="008878A0" w:rsidRPr="00FD7F29" w:rsidRDefault="1B369AD5" w:rsidP="00B61330">
            <w:pPr>
              <w:spacing w:before="37" w:after="0"/>
              <w:ind w:left="434"/>
              <w:jc w:val="center"/>
            </w:pPr>
            <w:r w:rsidRPr="07E5E1E8">
              <w:rPr>
                <w:rFonts w:eastAsia="Arial"/>
                <w:b/>
                <w:bCs/>
              </w:rPr>
              <w:t>12</w:t>
            </w:r>
          </w:p>
        </w:tc>
        <w:tc>
          <w:tcPr>
            <w:tcW w:w="1051" w:type="dxa"/>
            <w:shd w:val="clear" w:color="auto" w:fill="F2F2F2" w:themeFill="background1" w:themeFillShade="F2"/>
            <w:hideMark/>
          </w:tcPr>
          <w:p w14:paraId="0B892E35" w14:textId="77777777" w:rsidR="008878A0" w:rsidRPr="00FD7F29" w:rsidRDefault="008878A0" w:rsidP="00B61330">
            <w:pPr>
              <w:spacing w:before="37" w:after="0"/>
              <w:ind w:left="449"/>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1</w:t>
            </w:r>
          </w:p>
        </w:tc>
        <w:tc>
          <w:tcPr>
            <w:tcW w:w="1487" w:type="dxa"/>
            <w:shd w:val="clear" w:color="auto" w:fill="F2F2F2" w:themeFill="background1" w:themeFillShade="F2"/>
            <w:hideMark/>
          </w:tcPr>
          <w:p w14:paraId="28BE4FF1" w14:textId="76130549" w:rsidR="008878A0" w:rsidRPr="00FD7F29" w:rsidRDefault="7AFF7E53" w:rsidP="00B61330">
            <w:pPr>
              <w:spacing w:before="37" w:after="0"/>
              <w:ind w:left="854"/>
              <w:jc w:val="center"/>
            </w:pPr>
            <w:r w:rsidRPr="07E5E1E8">
              <w:rPr>
                <w:rFonts w:eastAsia="Arial"/>
                <w:b/>
                <w:bCs/>
              </w:rPr>
              <w:t>11</w:t>
            </w:r>
          </w:p>
        </w:tc>
        <w:tc>
          <w:tcPr>
            <w:tcW w:w="1355" w:type="dxa"/>
            <w:shd w:val="clear" w:color="auto" w:fill="F2F2F2" w:themeFill="background1" w:themeFillShade="F2"/>
            <w:hideMark/>
          </w:tcPr>
          <w:p w14:paraId="280D9C3B" w14:textId="19652D66" w:rsidR="008878A0" w:rsidRPr="00FD7F29" w:rsidRDefault="7AFF7E53" w:rsidP="00B61330">
            <w:pPr>
              <w:spacing w:before="37" w:after="0"/>
              <w:ind w:left="914"/>
              <w:jc w:val="center"/>
            </w:pPr>
            <w:r w:rsidRPr="07E5E1E8">
              <w:rPr>
                <w:rFonts w:eastAsia="Arial"/>
                <w:b/>
                <w:bCs/>
              </w:rPr>
              <w:t>4</w:t>
            </w:r>
          </w:p>
        </w:tc>
        <w:tc>
          <w:tcPr>
            <w:tcW w:w="1287" w:type="dxa"/>
            <w:shd w:val="clear" w:color="auto" w:fill="F2F2F2" w:themeFill="background1" w:themeFillShade="F2"/>
            <w:hideMark/>
          </w:tcPr>
          <w:p w14:paraId="2D2F4872" w14:textId="1E4E2EBF" w:rsidR="008878A0" w:rsidRPr="00FD7F29" w:rsidRDefault="7AFF7E53" w:rsidP="00B61330">
            <w:pPr>
              <w:spacing w:before="37" w:after="0"/>
              <w:ind w:left="764"/>
              <w:jc w:val="center"/>
            </w:pPr>
            <w:r w:rsidRPr="07E5E1E8">
              <w:rPr>
                <w:rFonts w:eastAsia="Arial"/>
                <w:b/>
                <w:bCs/>
              </w:rPr>
              <w:t>4</w:t>
            </w:r>
          </w:p>
        </w:tc>
      </w:tr>
      <w:tr w:rsidR="00B95FAA" w:rsidRPr="00FD7F29" w14:paraId="2E02F36F" w14:textId="77777777" w:rsidTr="00B95FAA">
        <w:trPr>
          <w:trHeight w:val="283"/>
        </w:trPr>
        <w:tc>
          <w:tcPr>
            <w:tcW w:w="1291" w:type="dxa"/>
            <w:hideMark/>
          </w:tcPr>
          <w:p w14:paraId="7CA4793A"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2"/>
                <w:w w:val="101"/>
                <w:szCs w:val="18"/>
              </w:rPr>
              <w:t>D</w:t>
            </w:r>
            <w:r w:rsidRPr="00FD7F29">
              <w:rPr>
                <w:rFonts w:eastAsia="Arial" w:cstheme="minorHAnsi"/>
                <w:spacing w:val="-1"/>
                <w:w w:val="101"/>
                <w:szCs w:val="18"/>
              </w:rPr>
              <w:t>ub</w:t>
            </w:r>
            <w:r w:rsidRPr="00FD7F29">
              <w:rPr>
                <w:rFonts w:eastAsia="Arial" w:cstheme="minorHAnsi"/>
                <w:spacing w:val="2"/>
                <w:w w:val="101"/>
                <w:szCs w:val="18"/>
              </w:rPr>
              <w:t>r</w:t>
            </w:r>
            <w:r w:rsidRPr="00FD7F29">
              <w:rPr>
                <w:rFonts w:eastAsia="Arial" w:cstheme="minorHAnsi"/>
                <w:spacing w:val="-1"/>
                <w:w w:val="101"/>
                <w:szCs w:val="18"/>
              </w:rPr>
              <w:t>o</w:t>
            </w:r>
            <w:r w:rsidRPr="00FD7F29">
              <w:rPr>
                <w:rFonts w:eastAsia="Arial" w:cstheme="minorHAnsi"/>
                <w:w w:val="101"/>
                <w:szCs w:val="18"/>
              </w:rPr>
              <w:t>v</w:t>
            </w:r>
            <w:r w:rsidRPr="00FD7F29">
              <w:rPr>
                <w:rFonts w:eastAsia="Arial" w:cstheme="minorHAnsi"/>
                <w:spacing w:val="-5"/>
                <w:w w:val="101"/>
                <w:szCs w:val="18"/>
              </w:rPr>
              <w:t>a</w:t>
            </w:r>
            <w:r w:rsidRPr="00FD7F29">
              <w:rPr>
                <w:rFonts w:eastAsia="Arial" w:cstheme="minorHAnsi"/>
                <w:w w:val="101"/>
                <w:szCs w:val="18"/>
              </w:rPr>
              <w:t>čk</w:t>
            </w:r>
            <w:r w:rsidRPr="00FD7F29">
              <w:rPr>
                <w:rFonts w:eastAsia="Arial" w:cstheme="minorHAnsi"/>
                <w:spacing w:val="-1"/>
                <w:w w:val="101"/>
                <w:szCs w:val="18"/>
              </w:rPr>
              <w:t>o</w:t>
            </w:r>
            <w:r w:rsidRPr="00FD7F29">
              <w:rPr>
                <w:rFonts w:eastAsia="Arial" w:cstheme="minorHAnsi"/>
                <w:spacing w:val="-3"/>
                <w:w w:val="101"/>
                <w:szCs w:val="18"/>
              </w:rPr>
              <w:t>-</w:t>
            </w:r>
            <w:r w:rsidRPr="00FD7F29">
              <w:rPr>
                <w:rFonts w:eastAsia="Arial" w:cstheme="minorHAnsi"/>
                <w:spacing w:val="-1"/>
                <w:w w:val="101"/>
                <w:szCs w:val="18"/>
              </w:rPr>
              <w:t>n</w:t>
            </w:r>
            <w:r w:rsidRPr="00FD7F29">
              <w:rPr>
                <w:rFonts w:eastAsia="Arial" w:cstheme="minorHAnsi"/>
                <w:spacing w:val="-5"/>
                <w:w w:val="101"/>
                <w:szCs w:val="18"/>
              </w:rPr>
              <w:t>e</w:t>
            </w:r>
            <w:r w:rsidRPr="00FD7F29">
              <w:rPr>
                <w:rFonts w:eastAsia="Arial" w:cstheme="minorHAnsi"/>
                <w:spacing w:val="2"/>
                <w:w w:val="101"/>
                <w:szCs w:val="18"/>
              </w:rPr>
              <w:t>r</w:t>
            </w:r>
            <w:r w:rsidRPr="00FD7F29">
              <w:rPr>
                <w:rFonts w:eastAsia="Arial" w:cstheme="minorHAnsi"/>
                <w:spacing w:val="-5"/>
                <w:w w:val="101"/>
                <w:szCs w:val="18"/>
              </w:rPr>
              <w:t>e</w:t>
            </w:r>
            <w:r w:rsidRPr="00FD7F29">
              <w:rPr>
                <w:rFonts w:eastAsia="Arial" w:cstheme="minorHAnsi"/>
                <w:spacing w:val="2"/>
                <w:w w:val="101"/>
                <w:szCs w:val="18"/>
              </w:rPr>
              <w:t>t</w:t>
            </w:r>
            <w:r w:rsidRPr="00FD7F29">
              <w:rPr>
                <w:rFonts w:eastAsia="Arial" w:cstheme="minorHAnsi"/>
                <w:w w:val="101"/>
                <w:szCs w:val="18"/>
              </w:rPr>
              <w:t>v</w:t>
            </w:r>
            <w:r w:rsidRPr="00FD7F29">
              <w:rPr>
                <w:rFonts w:eastAsia="Arial" w:cstheme="minorHAnsi"/>
                <w:spacing w:val="-1"/>
                <w:w w:val="101"/>
                <w:szCs w:val="18"/>
              </w:rPr>
              <w:t>an</w:t>
            </w:r>
            <w:r w:rsidRPr="00FD7F29">
              <w:rPr>
                <w:rFonts w:eastAsia="Arial" w:cstheme="minorHAnsi"/>
                <w:w w:val="101"/>
                <w:szCs w:val="18"/>
              </w:rPr>
              <w:t>ska</w:t>
            </w:r>
          </w:p>
        </w:tc>
        <w:tc>
          <w:tcPr>
            <w:tcW w:w="906" w:type="dxa"/>
            <w:hideMark/>
          </w:tcPr>
          <w:p w14:paraId="4CCBA599" w14:textId="77777777" w:rsidR="008878A0" w:rsidRPr="00FD7F29" w:rsidRDefault="008878A0" w:rsidP="00B61330">
            <w:pPr>
              <w:spacing w:before="37" w:after="0"/>
              <w:ind w:left="298"/>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2</w:t>
            </w:r>
          </w:p>
        </w:tc>
        <w:tc>
          <w:tcPr>
            <w:tcW w:w="775" w:type="dxa"/>
            <w:hideMark/>
          </w:tcPr>
          <w:p w14:paraId="3B9CBE6A" w14:textId="17B87B47" w:rsidR="008878A0" w:rsidRPr="00FD7F29" w:rsidRDefault="0EAEDBC8" w:rsidP="00B61330">
            <w:pPr>
              <w:spacing w:before="37" w:after="0"/>
              <w:ind w:left="359"/>
              <w:jc w:val="center"/>
              <w:rPr>
                <w:rFonts w:eastAsia="Arial"/>
              </w:rPr>
            </w:pPr>
            <w:r w:rsidRPr="07E5E1E8">
              <w:rPr>
                <w:rFonts w:eastAsia="Arial"/>
              </w:rPr>
              <w:t>8</w:t>
            </w:r>
          </w:p>
        </w:tc>
        <w:tc>
          <w:tcPr>
            <w:tcW w:w="1117" w:type="dxa"/>
            <w:hideMark/>
          </w:tcPr>
          <w:p w14:paraId="0741CE90" w14:textId="77777777" w:rsidR="008878A0" w:rsidRPr="00FD7F29" w:rsidRDefault="008878A0" w:rsidP="00B61330">
            <w:pPr>
              <w:spacing w:before="37" w:after="0"/>
              <w:ind w:left="509"/>
              <w:jc w:val="center"/>
              <w:rPr>
                <w:rFonts w:eastAsia="Arial" w:cstheme="minorHAnsi"/>
                <w:szCs w:val="18"/>
              </w:rPr>
            </w:pPr>
            <w:r w:rsidRPr="00FD7F29">
              <w:rPr>
                <w:rFonts w:eastAsia="Arial" w:cstheme="minorHAnsi"/>
                <w:szCs w:val="18"/>
              </w:rPr>
              <w:t>8</w:t>
            </w:r>
          </w:p>
        </w:tc>
        <w:tc>
          <w:tcPr>
            <w:tcW w:w="1051" w:type="dxa"/>
            <w:hideMark/>
          </w:tcPr>
          <w:p w14:paraId="029E2CEE" w14:textId="77777777" w:rsidR="008878A0" w:rsidRPr="00FD7F29" w:rsidRDefault="008878A0" w:rsidP="00B61330">
            <w:pPr>
              <w:spacing w:before="37" w:after="0"/>
              <w:ind w:left="479"/>
              <w:jc w:val="center"/>
              <w:rPr>
                <w:rFonts w:eastAsia="Arial" w:cstheme="minorHAnsi"/>
                <w:szCs w:val="18"/>
              </w:rPr>
            </w:pPr>
            <w:r w:rsidRPr="00FD7F29">
              <w:rPr>
                <w:rFonts w:eastAsia="Arial" w:cstheme="minorHAnsi"/>
                <w:spacing w:val="-1"/>
                <w:szCs w:val="18"/>
              </w:rPr>
              <w:t>1</w:t>
            </w:r>
            <w:r w:rsidRPr="00FD7F29">
              <w:rPr>
                <w:rFonts w:eastAsia="Arial" w:cstheme="minorHAnsi"/>
                <w:szCs w:val="18"/>
              </w:rPr>
              <w:t>0</w:t>
            </w:r>
          </w:p>
        </w:tc>
        <w:tc>
          <w:tcPr>
            <w:tcW w:w="1487" w:type="dxa"/>
            <w:hideMark/>
          </w:tcPr>
          <w:p w14:paraId="092E45EF" w14:textId="074FBA30" w:rsidR="008878A0" w:rsidRPr="00FD7F29" w:rsidRDefault="007A2876" w:rsidP="00B61330">
            <w:pPr>
              <w:spacing w:before="37" w:after="0"/>
              <w:ind w:left="824"/>
              <w:jc w:val="center"/>
            </w:pPr>
            <w:r w:rsidRPr="07E5E1E8">
              <w:rPr>
                <w:rFonts w:eastAsia="Arial"/>
              </w:rPr>
              <w:t>16</w:t>
            </w:r>
          </w:p>
        </w:tc>
        <w:tc>
          <w:tcPr>
            <w:tcW w:w="1355" w:type="dxa"/>
            <w:hideMark/>
          </w:tcPr>
          <w:p w14:paraId="4F3DA064" w14:textId="74C056CB" w:rsidR="008878A0" w:rsidRPr="00FD7F29" w:rsidRDefault="007A2876" w:rsidP="00B61330">
            <w:pPr>
              <w:spacing w:before="37" w:after="0"/>
              <w:ind w:left="929"/>
              <w:jc w:val="center"/>
            </w:pPr>
            <w:r w:rsidRPr="07E5E1E8">
              <w:rPr>
                <w:rFonts w:eastAsia="Arial"/>
              </w:rPr>
              <w:t>3</w:t>
            </w:r>
          </w:p>
        </w:tc>
        <w:tc>
          <w:tcPr>
            <w:tcW w:w="1287" w:type="dxa"/>
            <w:hideMark/>
          </w:tcPr>
          <w:p w14:paraId="0A3F0080" w14:textId="43DEFB66" w:rsidR="008878A0" w:rsidRPr="00FD7F29" w:rsidRDefault="007A2876" w:rsidP="00B61330">
            <w:pPr>
              <w:spacing w:before="37" w:after="0"/>
              <w:ind w:left="779"/>
              <w:jc w:val="center"/>
            </w:pPr>
            <w:r w:rsidRPr="07E5E1E8">
              <w:rPr>
                <w:rFonts w:eastAsia="Arial"/>
              </w:rPr>
              <w:t>1</w:t>
            </w:r>
          </w:p>
        </w:tc>
      </w:tr>
      <w:tr w:rsidR="00B95FAA" w:rsidRPr="00FD7F29" w14:paraId="290550CB" w14:textId="77777777" w:rsidTr="00B95FAA">
        <w:trPr>
          <w:trHeight w:val="283"/>
        </w:trPr>
        <w:tc>
          <w:tcPr>
            <w:tcW w:w="1291" w:type="dxa"/>
            <w:hideMark/>
          </w:tcPr>
          <w:p w14:paraId="4241C75C"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2"/>
                <w:w w:val="101"/>
                <w:szCs w:val="18"/>
              </w:rPr>
              <w:t>K</w:t>
            </w:r>
            <w:r w:rsidRPr="00FD7F29">
              <w:rPr>
                <w:rFonts w:eastAsia="Arial" w:cstheme="minorHAnsi"/>
                <w:spacing w:val="-1"/>
                <w:w w:val="101"/>
                <w:szCs w:val="18"/>
              </w:rPr>
              <w:t>op</w:t>
            </w:r>
            <w:r w:rsidRPr="00FD7F29">
              <w:rPr>
                <w:rFonts w:eastAsia="Arial" w:cstheme="minorHAnsi"/>
                <w:spacing w:val="2"/>
                <w:w w:val="101"/>
                <w:szCs w:val="18"/>
              </w:rPr>
              <w:t>r</w:t>
            </w:r>
            <w:r w:rsidRPr="00FD7F29">
              <w:rPr>
                <w:rFonts w:eastAsia="Arial" w:cstheme="minorHAnsi"/>
                <w:spacing w:val="-2"/>
                <w:w w:val="101"/>
                <w:szCs w:val="18"/>
              </w:rPr>
              <w:t>i</w:t>
            </w:r>
            <w:r w:rsidRPr="00FD7F29">
              <w:rPr>
                <w:rFonts w:eastAsia="Arial" w:cstheme="minorHAnsi"/>
                <w:w w:val="101"/>
                <w:szCs w:val="18"/>
              </w:rPr>
              <w:t>v</w:t>
            </w:r>
            <w:r w:rsidRPr="00FD7F29">
              <w:rPr>
                <w:rFonts w:eastAsia="Arial" w:cstheme="minorHAnsi"/>
                <w:spacing w:val="-5"/>
                <w:w w:val="101"/>
                <w:szCs w:val="18"/>
              </w:rPr>
              <w:t>n</w:t>
            </w:r>
            <w:r w:rsidRPr="00FD7F29">
              <w:rPr>
                <w:rFonts w:eastAsia="Arial" w:cstheme="minorHAnsi"/>
                <w:spacing w:val="3"/>
                <w:w w:val="101"/>
                <w:szCs w:val="18"/>
              </w:rPr>
              <w:t>i</w:t>
            </w:r>
            <w:r w:rsidRPr="00FD7F29">
              <w:rPr>
                <w:rFonts w:eastAsia="Arial" w:cstheme="minorHAnsi"/>
                <w:w w:val="101"/>
                <w:szCs w:val="18"/>
              </w:rPr>
              <w:t>čk</w:t>
            </w:r>
            <w:r w:rsidRPr="00FD7F29">
              <w:rPr>
                <w:rFonts w:eastAsia="Arial" w:cstheme="minorHAnsi"/>
                <w:spacing w:val="-5"/>
                <w:w w:val="101"/>
                <w:szCs w:val="18"/>
              </w:rPr>
              <w:t>o</w:t>
            </w:r>
            <w:r w:rsidRPr="00FD7F29">
              <w:rPr>
                <w:rFonts w:eastAsia="Arial" w:cstheme="minorHAnsi"/>
                <w:spacing w:val="2"/>
                <w:w w:val="101"/>
                <w:szCs w:val="18"/>
              </w:rPr>
              <w:t>-</w:t>
            </w:r>
            <w:r w:rsidRPr="00FD7F29">
              <w:rPr>
                <w:rFonts w:eastAsia="Arial" w:cstheme="minorHAnsi"/>
                <w:w w:val="101"/>
                <w:szCs w:val="18"/>
              </w:rPr>
              <w:t>k</w:t>
            </w:r>
            <w:r w:rsidRPr="00FD7F29">
              <w:rPr>
                <w:rFonts w:eastAsia="Arial" w:cstheme="minorHAnsi"/>
                <w:spacing w:val="-3"/>
                <w:w w:val="101"/>
                <w:szCs w:val="18"/>
              </w:rPr>
              <w:t>r</w:t>
            </w:r>
            <w:r w:rsidRPr="00FD7F29">
              <w:rPr>
                <w:rFonts w:eastAsia="Arial" w:cstheme="minorHAnsi"/>
                <w:spacing w:val="3"/>
                <w:w w:val="101"/>
                <w:szCs w:val="18"/>
              </w:rPr>
              <w:t>i</w:t>
            </w:r>
            <w:r w:rsidRPr="00FD7F29">
              <w:rPr>
                <w:rFonts w:eastAsia="Arial" w:cstheme="minorHAnsi"/>
                <w:spacing w:val="-5"/>
                <w:w w:val="101"/>
                <w:szCs w:val="18"/>
              </w:rPr>
              <w:t>že</w:t>
            </w:r>
            <w:r w:rsidRPr="00FD7F29">
              <w:rPr>
                <w:rFonts w:eastAsia="Arial" w:cstheme="minorHAnsi"/>
                <w:w w:val="101"/>
                <w:szCs w:val="18"/>
              </w:rPr>
              <w:t>v</w:t>
            </w:r>
            <w:r w:rsidRPr="00FD7F29">
              <w:rPr>
                <w:rFonts w:eastAsia="Arial" w:cstheme="minorHAnsi"/>
                <w:spacing w:val="-1"/>
                <w:w w:val="101"/>
                <w:szCs w:val="18"/>
              </w:rPr>
              <w:t>a</w:t>
            </w:r>
            <w:r w:rsidRPr="00FD7F29">
              <w:rPr>
                <w:rFonts w:eastAsia="Arial" w:cstheme="minorHAnsi"/>
                <w:w w:val="101"/>
                <w:szCs w:val="18"/>
              </w:rPr>
              <w:t>čka</w:t>
            </w:r>
          </w:p>
        </w:tc>
        <w:tc>
          <w:tcPr>
            <w:tcW w:w="906" w:type="dxa"/>
            <w:hideMark/>
          </w:tcPr>
          <w:p w14:paraId="7089ECAF" w14:textId="77777777" w:rsidR="008878A0" w:rsidRPr="00FD7F29" w:rsidRDefault="008878A0" w:rsidP="00B61330">
            <w:pPr>
              <w:spacing w:before="37" w:after="0"/>
              <w:ind w:left="298"/>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3</w:t>
            </w:r>
          </w:p>
        </w:tc>
        <w:tc>
          <w:tcPr>
            <w:tcW w:w="775" w:type="dxa"/>
            <w:hideMark/>
          </w:tcPr>
          <w:p w14:paraId="7649F4B9" w14:textId="0C6EFABC" w:rsidR="008878A0" w:rsidRPr="00FD7F29" w:rsidRDefault="008878A0" w:rsidP="00B61330">
            <w:pPr>
              <w:spacing w:before="37" w:after="0"/>
              <w:ind w:left="314"/>
              <w:jc w:val="center"/>
              <w:rPr>
                <w:rFonts w:eastAsia="Arial"/>
              </w:rPr>
            </w:pPr>
            <w:r w:rsidRPr="07E5E1E8">
              <w:rPr>
                <w:rFonts w:eastAsia="Arial"/>
                <w:spacing w:val="-1"/>
              </w:rPr>
              <w:t>1</w:t>
            </w:r>
            <w:r w:rsidR="08DA891B" w:rsidRPr="07E5E1E8">
              <w:rPr>
                <w:rFonts w:eastAsia="Arial"/>
                <w:spacing w:val="-1"/>
              </w:rPr>
              <w:t>3</w:t>
            </w:r>
          </w:p>
        </w:tc>
        <w:tc>
          <w:tcPr>
            <w:tcW w:w="1117" w:type="dxa"/>
            <w:hideMark/>
          </w:tcPr>
          <w:p w14:paraId="0E3E66DB" w14:textId="77777777" w:rsidR="008878A0" w:rsidRPr="00FD7F29" w:rsidRDefault="008878A0" w:rsidP="00B61330">
            <w:pPr>
              <w:spacing w:before="37" w:after="0"/>
              <w:ind w:left="449"/>
              <w:jc w:val="center"/>
              <w:rPr>
                <w:rFonts w:eastAsia="Arial" w:cstheme="minorHAnsi"/>
                <w:szCs w:val="18"/>
              </w:rPr>
            </w:pPr>
            <w:r w:rsidRPr="00FD7F29">
              <w:rPr>
                <w:rFonts w:eastAsia="Arial" w:cstheme="minorHAnsi"/>
                <w:spacing w:val="-1"/>
                <w:szCs w:val="18"/>
              </w:rPr>
              <w:t>1</w:t>
            </w:r>
            <w:r w:rsidRPr="00FD7F29">
              <w:rPr>
                <w:rFonts w:eastAsia="Arial" w:cstheme="minorHAnsi"/>
                <w:szCs w:val="18"/>
              </w:rPr>
              <w:t>8</w:t>
            </w:r>
          </w:p>
        </w:tc>
        <w:tc>
          <w:tcPr>
            <w:tcW w:w="1051" w:type="dxa"/>
            <w:hideMark/>
          </w:tcPr>
          <w:p w14:paraId="0AFC869A" w14:textId="138540E0" w:rsidR="008878A0" w:rsidRPr="00FD7F29" w:rsidRDefault="329B8259" w:rsidP="00B61330">
            <w:pPr>
              <w:spacing w:before="37" w:after="0"/>
              <w:ind w:left="464"/>
              <w:jc w:val="center"/>
            </w:pPr>
            <w:r w:rsidRPr="07E5E1E8">
              <w:rPr>
                <w:rFonts w:eastAsia="Arial"/>
              </w:rPr>
              <w:t>15</w:t>
            </w:r>
          </w:p>
        </w:tc>
        <w:tc>
          <w:tcPr>
            <w:tcW w:w="1487" w:type="dxa"/>
            <w:hideMark/>
          </w:tcPr>
          <w:p w14:paraId="14C4676A" w14:textId="140D1370" w:rsidR="008878A0" w:rsidRPr="00FD7F29" w:rsidRDefault="329B8259" w:rsidP="00B61330">
            <w:pPr>
              <w:spacing w:before="37" w:after="0"/>
              <w:ind w:left="869"/>
              <w:jc w:val="center"/>
            </w:pPr>
            <w:r w:rsidRPr="07E5E1E8">
              <w:rPr>
                <w:rFonts w:eastAsia="Arial"/>
              </w:rPr>
              <w:t>4</w:t>
            </w:r>
          </w:p>
        </w:tc>
        <w:tc>
          <w:tcPr>
            <w:tcW w:w="1355" w:type="dxa"/>
            <w:hideMark/>
          </w:tcPr>
          <w:p w14:paraId="4DBFFA17" w14:textId="77777777" w:rsidR="008878A0" w:rsidRPr="00FD7F29" w:rsidRDefault="008878A0" w:rsidP="00B61330">
            <w:pPr>
              <w:spacing w:before="37" w:after="0"/>
              <w:ind w:left="929"/>
              <w:jc w:val="center"/>
              <w:rPr>
                <w:rFonts w:eastAsia="Arial" w:cstheme="minorHAnsi"/>
                <w:szCs w:val="18"/>
              </w:rPr>
            </w:pPr>
            <w:r w:rsidRPr="00FD7F29">
              <w:rPr>
                <w:rFonts w:eastAsia="Arial" w:cstheme="minorHAnsi"/>
                <w:szCs w:val="18"/>
              </w:rPr>
              <w:t>7</w:t>
            </w:r>
          </w:p>
        </w:tc>
        <w:tc>
          <w:tcPr>
            <w:tcW w:w="1287" w:type="dxa"/>
            <w:hideMark/>
          </w:tcPr>
          <w:p w14:paraId="58EA211E" w14:textId="07AAF934" w:rsidR="008878A0" w:rsidRPr="00FD7F29" w:rsidRDefault="5374E9A2" w:rsidP="00B61330">
            <w:pPr>
              <w:spacing w:before="37" w:after="0"/>
              <w:ind w:left="779"/>
              <w:jc w:val="center"/>
            </w:pPr>
            <w:r w:rsidRPr="07E5E1E8">
              <w:rPr>
                <w:rFonts w:eastAsia="Arial"/>
              </w:rPr>
              <w:t>9</w:t>
            </w:r>
          </w:p>
        </w:tc>
      </w:tr>
      <w:tr w:rsidR="00B95FAA" w:rsidRPr="00FD7F29" w14:paraId="3A7969D3" w14:textId="77777777" w:rsidTr="00B95FAA">
        <w:trPr>
          <w:trHeight w:val="283"/>
        </w:trPr>
        <w:tc>
          <w:tcPr>
            <w:tcW w:w="1291" w:type="dxa"/>
            <w:hideMark/>
          </w:tcPr>
          <w:p w14:paraId="4BF94DDE" w14:textId="7C724071" w:rsidR="008878A0" w:rsidRPr="00FD7F29" w:rsidRDefault="3833C775" w:rsidP="07E5E1E8">
            <w:pPr>
              <w:spacing w:before="37" w:after="0"/>
              <w:ind w:left="29"/>
              <w:rPr>
                <w:rFonts w:eastAsia="Arial"/>
              </w:rPr>
            </w:pPr>
            <w:r w:rsidRPr="07E5E1E8">
              <w:rPr>
                <w:rFonts w:eastAsia="Arial"/>
              </w:rPr>
              <w:t>Sisačko-moslavačka</w:t>
            </w:r>
          </w:p>
        </w:tc>
        <w:tc>
          <w:tcPr>
            <w:tcW w:w="906" w:type="dxa"/>
            <w:hideMark/>
          </w:tcPr>
          <w:p w14:paraId="362D1A7C" w14:textId="77777777" w:rsidR="008878A0" w:rsidRPr="00FD7F29" w:rsidRDefault="008878A0" w:rsidP="00B61330">
            <w:pPr>
              <w:spacing w:before="37" w:after="0"/>
              <w:ind w:left="298"/>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4</w:t>
            </w:r>
          </w:p>
        </w:tc>
        <w:tc>
          <w:tcPr>
            <w:tcW w:w="775" w:type="dxa"/>
            <w:hideMark/>
          </w:tcPr>
          <w:p w14:paraId="7B5DE2E8" w14:textId="17CAE188" w:rsidR="008878A0" w:rsidRPr="00FD7F29" w:rsidRDefault="008878A0" w:rsidP="00B61330">
            <w:pPr>
              <w:spacing w:before="37" w:after="0"/>
              <w:ind w:left="314"/>
              <w:jc w:val="center"/>
              <w:rPr>
                <w:rFonts w:eastAsia="Arial"/>
              </w:rPr>
            </w:pPr>
            <w:r w:rsidRPr="07E5E1E8">
              <w:rPr>
                <w:rFonts w:eastAsia="Arial"/>
                <w:spacing w:val="-1"/>
              </w:rPr>
              <w:t>1</w:t>
            </w:r>
            <w:r w:rsidR="55096346" w:rsidRPr="07E5E1E8">
              <w:rPr>
                <w:rFonts w:eastAsia="Arial"/>
                <w:spacing w:val="-1"/>
              </w:rPr>
              <w:t>5</w:t>
            </w:r>
          </w:p>
        </w:tc>
        <w:tc>
          <w:tcPr>
            <w:tcW w:w="1117" w:type="dxa"/>
            <w:hideMark/>
          </w:tcPr>
          <w:p w14:paraId="5BD6D2A5" w14:textId="53BF94CD" w:rsidR="008878A0" w:rsidRPr="00FD7F29" w:rsidRDefault="55096346" w:rsidP="00B61330">
            <w:pPr>
              <w:spacing w:before="37" w:after="0"/>
              <w:ind w:left="449"/>
              <w:jc w:val="center"/>
            </w:pPr>
            <w:r w:rsidRPr="07E5E1E8">
              <w:rPr>
                <w:rFonts w:eastAsia="Arial"/>
              </w:rPr>
              <w:t>14</w:t>
            </w:r>
          </w:p>
        </w:tc>
        <w:tc>
          <w:tcPr>
            <w:tcW w:w="1051" w:type="dxa"/>
            <w:hideMark/>
          </w:tcPr>
          <w:p w14:paraId="5B5BE13A" w14:textId="457ABB61" w:rsidR="008878A0" w:rsidRPr="00FD7F29" w:rsidRDefault="55096346" w:rsidP="00B61330">
            <w:pPr>
              <w:spacing w:before="37" w:after="0"/>
              <w:ind w:left="464"/>
              <w:jc w:val="center"/>
            </w:pPr>
            <w:r w:rsidRPr="07E5E1E8">
              <w:rPr>
                <w:rFonts w:eastAsia="Arial"/>
              </w:rPr>
              <w:t>14</w:t>
            </w:r>
          </w:p>
        </w:tc>
        <w:tc>
          <w:tcPr>
            <w:tcW w:w="1487" w:type="dxa"/>
            <w:hideMark/>
          </w:tcPr>
          <w:p w14:paraId="6EDC4D60" w14:textId="27A1F71F" w:rsidR="008878A0" w:rsidRPr="00FD7F29" w:rsidRDefault="55096346" w:rsidP="00B61330">
            <w:pPr>
              <w:spacing w:before="37" w:after="0"/>
              <w:ind w:left="809"/>
              <w:jc w:val="center"/>
            </w:pPr>
            <w:r w:rsidRPr="07E5E1E8">
              <w:rPr>
                <w:rFonts w:eastAsia="Arial"/>
              </w:rPr>
              <w:t>12</w:t>
            </w:r>
          </w:p>
        </w:tc>
        <w:tc>
          <w:tcPr>
            <w:tcW w:w="1355" w:type="dxa"/>
            <w:hideMark/>
          </w:tcPr>
          <w:p w14:paraId="14915DE1" w14:textId="3660F2F7" w:rsidR="008878A0" w:rsidRPr="00FD7F29" w:rsidRDefault="55096346" w:rsidP="00B61330">
            <w:pPr>
              <w:spacing w:before="37" w:after="0"/>
              <w:ind w:left="914"/>
              <w:jc w:val="center"/>
            </w:pPr>
            <w:r w:rsidRPr="07E5E1E8">
              <w:rPr>
                <w:rFonts w:eastAsia="Arial"/>
              </w:rPr>
              <w:t>12</w:t>
            </w:r>
          </w:p>
        </w:tc>
        <w:tc>
          <w:tcPr>
            <w:tcW w:w="1287" w:type="dxa"/>
            <w:hideMark/>
          </w:tcPr>
          <w:p w14:paraId="27CB39E9" w14:textId="13D0EC9D" w:rsidR="008878A0" w:rsidRPr="00FD7F29" w:rsidRDefault="55096346" w:rsidP="00B61330">
            <w:pPr>
              <w:spacing w:before="37" w:after="0"/>
              <w:ind w:left="764"/>
              <w:jc w:val="center"/>
            </w:pPr>
            <w:r w:rsidRPr="07E5E1E8">
              <w:rPr>
                <w:rFonts w:eastAsia="Arial"/>
              </w:rPr>
              <w:t>13</w:t>
            </w:r>
          </w:p>
        </w:tc>
      </w:tr>
      <w:tr w:rsidR="00B95FAA" w:rsidRPr="00FD7F29" w14:paraId="4ED899D8" w14:textId="77777777" w:rsidTr="00B95FAA">
        <w:trPr>
          <w:trHeight w:val="283"/>
        </w:trPr>
        <w:tc>
          <w:tcPr>
            <w:tcW w:w="1291" w:type="dxa"/>
            <w:hideMark/>
          </w:tcPr>
          <w:p w14:paraId="5EDD96BF" w14:textId="5B114E52" w:rsidR="008878A0" w:rsidRPr="00FD7F29" w:rsidRDefault="03753C82" w:rsidP="07E5E1E8">
            <w:pPr>
              <w:spacing w:before="37" w:after="0"/>
              <w:ind w:left="29"/>
              <w:rPr>
                <w:rFonts w:eastAsia="Arial"/>
              </w:rPr>
            </w:pPr>
            <w:r w:rsidRPr="07E5E1E8">
              <w:rPr>
                <w:rFonts w:eastAsia="Arial"/>
              </w:rPr>
              <w:t>Brodsko-posavska</w:t>
            </w:r>
          </w:p>
        </w:tc>
        <w:tc>
          <w:tcPr>
            <w:tcW w:w="906" w:type="dxa"/>
            <w:hideMark/>
          </w:tcPr>
          <w:p w14:paraId="75ED0815" w14:textId="77777777" w:rsidR="008878A0" w:rsidRPr="00FD7F29" w:rsidRDefault="008878A0" w:rsidP="00B61330">
            <w:pPr>
              <w:spacing w:before="37" w:after="0"/>
              <w:ind w:left="298"/>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5</w:t>
            </w:r>
          </w:p>
        </w:tc>
        <w:tc>
          <w:tcPr>
            <w:tcW w:w="775" w:type="dxa"/>
            <w:hideMark/>
          </w:tcPr>
          <w:p w14:paraId="215C00A5" w14:textId="77777777" w:rsidR="008878A0" w:rsidRPr="00FD7F29" w:rsidRDefault="5DF37919" w:rsidP="00B61330">
            <w:pPr>
              <w:spacing w:before="37" w:after="0"/>
              <w:ind w:left="314"/>
              <w:jc w:val="center"/>
              <w:rPr>
                <w:rFonts w:eastAsia="Arial"/>
              </w:rPr>
            </w:pPr>
            <w:r w:rsidRPr="07E5E1E8">
              <w:rPr>
                <w:rFonts w:eastAsia="Arial"/>
                <w:spacing w:val="-1"/>
              </w:rPr>
              <w:t>16</w:t>
            </w:r>
          </w:p>
        </w:tc>
        <w:tc>
          <w:tcPr>
            <w:tcW w:w="1117" w:type="dxa"/>
            <w:hideMark/>
          </w:tcPr>
          <w:p w14:paraId="61918CE3" w14:textId="5B8D4293" w:rsidR="008878A0" w:rsidRPr="00FD7F29" w:rsidRDefault="5DF37919" w:rsidP="00B61330">
            <w:pPr>
              <w:spacing w:before="37" w:after="0"/>
              <w:ind w:left="449"/>
              <w:jc w:val="center"/>
            </w:pPr>
            <w:r w:rsidRPr="07E5E1E8">
              <w:rPr>
                <w:rFonts w:eastAsia="Arial"/>
              </w:rPr>
              <w:t>17</w:t>
            </w:r>
          </w:p>
        </w:tc>
        <w:tc>
          <w:tcPr>
            <w:tcW w:w="1051" w:type="dxa"/>
            <w:hideMark/>
          </w:tcPr>
          <w:p w14:paraId="27D6BD3A" w14:textId="644A1A54" w:rsidR="008878A0" w:rsidRPr="00FD7F29" w:rsidRDefault="5DF37919" w:rsidP="00B61330">
            <w:pPr>
              <w:spacing w:before="37" w:after="0"/>
              <w:ind w:left="464"/>
              <w:jc w:val="center"/>
            </w:pPr>
            <w:r w:rsidRPr="07E5E1E8">
              <w:rPr>
                <w:rFonts w:eastAsia="Arial"/>
              </w:rPr>
              <w:t>13</w:t>
            </w:r>
          </w:p>
        </w:tc>
        <w:tc>
          <w:tcPr>
            <w:tcW w:w="1487" w:type="dxa"/>
            <w:hideMark/>
          </w:tcPr>
          <w:p w14:paraId="74262EF6" w14:textId="50EDA1D3" w:rsidR="008878A0" w:rsidRPr="00FD7F29" w:rsidRDefault="5DF37919" w:rsidP="00B61330">
            <w:pPr>
              <w:spacing w:before="37" w:after="0"/>
              <w:ind w:left="809"/>
              <w:jc w:val="center"/>
            </w:pPr>
            <w:r w:rsidRPr="07E5E1E8">
              <w:rPr>
                <w:rFonts w:eastAsia="Arial"/>
              </w:rPr>
              <w:t>17</w:t>
            </w:r>
          </w:p>
        </w:tc>
        <w:tc>
          <w:tcPr>
            <w:tcW w:w="1355" w:type="dxa"/>
            <w:hideMark/>
          </w:tcPr>
          <w:p w14:paraId="77E48BD9" w14:textId="7CA73021" w:rsidR="008878A0" w:rsidRPr="00FD7F29" w:rsidRDefault="5DF37919" w:rsidP="00B61330">
            <w:pPr>
              <w:spacing w:before="37" w:after="0"/>
              <w:ind w:left="869"/>
              <w:jc w:val="center"/>
            </w:pPr>
            <w:r w:rsidRPr="07E5E1E8">
              <w:rPr>
                <w:rFonts w:eastAsia="Arial"/>
              </w:rPr>
              <w:t>16</w:t>
            </w:r>
          </w:p>
        </w:tc>
        <w:tc>
          <w:tcPr>
            <w:tcW w:w="1287" w:type="dxa"/>
            <w:hideMark/>
          </w:tcPr>
          <w:p w14:paraId="15D60709" w14:textId="5F1E1C03" w:rsidR="008878A0" w:rsidRPr="00FD7F29" w:rsidRDefault="5DF37919" w:rsidP="00B61330">
            <w:pPr>
              <w:spacing w:before="37" w:after="0"/>
              <w:ind w:left="719"/>
              <w:jc w:val="center"/>
            </w:pPr>
            <w:r w:rsidRPr="07E5E1E8">
              <w:rPr>
                <w:rFonts w:eastAsia="Arial"/>
              </w:rPr>
              <w:t>16</w:t>
            </w:r>
          </w:p>
        </w:tc>
      </w:tr>
      <w:tr w:rsidR="00B95FAA" w:rsidRPr="00FD7F29" w14:paraId="72A6DD66" w14:textId="77777777" w:rsidTr="00B95FAA">
        <w:trPr>
          <w:trHeight w:val="271"/>
        </w:trPr>
        <w:tc>
          <w:tcPr>
            <w:tcW w:w="1291" w:type="dxa"/>
            <w:hideMark/>
          </w:tcPr>
          <w:p w14:paraId="6692C86F" w14:textId="77777777" w:rsidR="008878A0" w:rsidRPr="00FD7F29" w:rsidRDefault="1CFC9061" w:rsidP="07E5E1E8">
            <w:pPr>
              <w:spacing w:before="37" w:after="0"/>
              <w:ind w:left="29"/>
              <w:rPr>
                <w:rFonts w:eastAsia="Arial"/>
              </w:rPr>
            </w:pPr>
            <w:r w:rsidRPr="07E5E1E8">
              <w:rPr>
                <w:rFonts w:eastAsia="Arial"/>
                <w:w w:val="101"/>
              </w:rPr>
              <w:t>Karlovačka</w:t>
            </w:r>
          </w:p>
        </w:tc>
        <w:tc>
          <w:tcPr>
            <w:tcW w:w="906" w:type="dxa"/>
            <w:hideMark/>
          </w:tcPr>
          <w:p w14:paraId="282049C7" w14:textId="77777777" w:rsidR="008878A0" w:rsidRPr="00FD7F29" w:rsidRDefault="008878A0" w:rsidP="00B61330">
            <w:pPr>
              <w:spacing w:before="37" w:after="0"/>
              <w:ind w:left="298"/>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6</w:t>
            </w:r>
          </w:p>
        </w:tc>
        <w:tc>
          <w:tcPr>
            <w:tcW w:w="775" w:type="dxa"/>
            <w:hideMark/>
          </w:tcPr>
          <w:p w14:paraId="79BB3001" w14:textId="56A74ED7" w:rsidR="008878A0" w:rsidRPr="00FD7F29" w:rsidRDefault="0F71AD92" w:rsidP="00B61330">
            <w:pPr>
              <w:spacing w:before="37" w:after="0"/>
              <w:ind w:left="314"/>
              <w:jc w:val="center"/>
            </w:pPr>
            <w:r w:rsidRPr="07E5E1E8">
              <w:rPr>
                <w:rFonts w:eastAsia="Arial"/>
              </w:rPr>
              <w:t>14</w:t>
            </w:r>
          </w:p>
        </w:tc>
        <w:tc>
          <w:tcPr>
            <w:tcW w:w="1117" w:type="dxa"/>
            <w:hideMark/>
          </w:tcPr>
          <w:p w14:paraId="1D2D98F7" w14:textId="5E55B7EC" w:rsidR="008878A0" w:rsidRPr="00FD7F29" w:rsidRDefault="0F71AD92" w:rsidP="00B61330">
            <w:pPr>
              <w:spacing w:before="37" w:after="0"/>
              <w:ind w:left="449"/>
              <w:jc w:val="center"/>
            </w:pPr>
            <w:r w:rsidRPr="07E5E1E8">
              <w:rPr>
                <w:rFonts w:eastAsia="Arial"/>
              </w:rPr>
              <w:t>13</w:t>
            </w:r>
          </w:p>
        </w:tc>
        <w:tc>
          <w:tcPr>
            <w:tcW w:w="1051" w:type="dxa"/>
            <w:hideMark/>
          </w:tcPr>
          <w:p w14:paraId="79520648" w14:textId="409CE6AB" w:rsidR="008878A0" w:rsidRPr="00FD7F29" w:rsidRDefault="0F71AD92" w:rsidP="00B61330">
            <w:pPr>
              <w:spacing w:before="37" w:after="0"/>
              <w:ind w:left="464"/>
              <w:jc w:val="center"/>
            </w:pPr>
            <w:r w:rsidRPr="07E5E1E8">
              <w:rPr>
                <w:rFonts w:eastAsia="Arial"/>
              </w:rPr>
              <w:t>16</w:t>
            </w:r>
          </w:p>
        </w:tc>
        <w:tc>
          <w:tcPr>
            <w:tcW w:w="1487" w:type="dxa"/>
            <w:hideMark/>
          </w:tcPr>
          <w:p w14:paraId="5AC7EE18" w14:textId="5412D826" w:rsidR="008878A0" w:rsidRPr="00FD7F29" w:rsidRDefault="0F71AD92" w:rsidP="00B61330">
            <w:pPr>
              <w:spacing w:before="37" w:after="0"/>
              <w:ind w:left="809"/>
              <w:jc w:val="center"/>
            </w:pPr>
            <w:r w:rsidRPr="07E5E1E8">
              <w:rPr>
                <w:rFonts w:eastAsia="Arial"/>
              </w:rPr>
              <w:t>14</w:t>
            </w:r>
          </w:p>
        </w:tc>
        <w:tc>
          <w:tcPr>
            <w:tcW w:w="1355" w:type="dxa"/>
            <w:hideMark/>
          </w:tcPr>
          <w:p w14:paraId="4305E4F6" w14:textId="0E8C81F7" w:rsidR="008878A0" w:rsidRPr="00FD7F29" w:rsidRDefault="0F71AD92" w:rsidP="00B61330">
            <w:pPr>
              <w:spacing w:before="37" w:after="0"/>
              <w:ind w:left="869"/>
              <w:jc w:val="center"/>
            </w:pPr>
            <w:r w:rsidRPr="07E5E1E8">
              <w:rPr>
                <w:rFonts w:eastAsia="Arial"/>
              </w:rPr>
              <w:t>11</w:t>
            </w:r>
          </w:p>
        </w:tc>
        <w:tc>
          <w:tcPr>
            <w:tcW w:w="1287" w:type="dxa"/>
            <w:hideMark/>
          </w:tcPr>
          <w:p w14:paraId="542D8DD4" w14:textId="7D0314C2" w:rsidR="008878A0" w:rsidRPr="00FD7F29" w:rsidRDefault="0F71AD92" w:rsidP="00B61330">
            <w:pPr>
              <w:spacing w:before="37" w:after="0"/>
              <w:ind w:left="719"/>
              <w:jc w:val="center"/>
            </w:pPr>
            <w:r w:rsidRPr="07E5E1E8">
              <w:rPr>
                <w:rFonts w:eastAsia="Arial"/>
              </w:rPr>
              <w:t>8</w:t>
            </w:r>
          </w:p>
        </w:tc>
      </w:tr>
      <w:tr w:rsidR="00B95FAA" w:rsidRPr="00FD7F29" w14:paraId="04F1DDDE" w14:textId="77777777" w:rsidTr="00B95FAA">
        <w:trPr>
          <w:trHeight w:val="283"/>
        </w:trPr>
        <w:tc>
          <w:tcPr>
            <w:tcW w:w="1291" w:type="dxa"/>
            <w:hideMark/>
          </w:tcPr>
          <w:p w14:paraId="068874AA" w14:textId="5BBD8FBC" w:rsidR="008878A0" w:rsidRPr="00FD7F29" w:rsidRDefault="5331C2E8" w:rsidP="07E5E1E8">
            <w:pPr>
              <w:spacing w:before="37" w:after="0"/>
              <w:ind w:left="29"/>
              <w:rPr>
                <w:rFonts w:eastAsia="Arial"/>
              </w:rPr>
            </w:pPr>
            <w:r w:rsidRPr="07E5E1E8">
              <w:rPr>
                <w:rFonts w:eastAsia="Arial"/>
              </w:rPr>
              <w:t>Šibensko-kninska</w:t>
            </w:r>
          </w:p>
        </w:tc>
        <w:tc>
          <w:tcPr>
            <w:tcW w:w="906" w:type="dxa"/>
            <w:hideMark/>
          </w:tcPr>
          <w:p w14:paraId="3BF052BC" w14:textId="28B15BDD" w:rsidR="008878A0" w:rsidRPr="00FD7F29" w:rsidRDefault="4B8D8B20" w:rsidP="00B61330">
            <w:pPr>
              <w:spacing w:before="37" w:after="0"/>
              <w:ind w:left="298"/>
              <w:jc w:val="center"/>
            </w:pPr>
            <w:r w:rsidRPr="07E5E1E8">
              <w:rPr>
                <w:rFonts w:eastAsia="Arial"/>
                <w:b/>
                <w:bCs/>
              </w:rPr>
              <w:t>17</w:t>
            </w:r>
          </w:p>
        </w:tc>
        <w:tc>
          <w:tcPr>
            <w:tcW w:w="775" w:type="dxa"/>
            <w:hideMark/>
          </w:tcPr>
          <w:p w14:paraId="0DA2B9E3" w14:textId="1C4D757D" w:rsidR="008878A0" w:rsidRPr="00FD7F29" w:rsidRDefault="4B8D8B20" w:rsidP="00B61330">
            <w:pPr>
              <w:spacing w:before="37" w:after="0"/>
              <w:ind w:left="314"/>
              <w:jc w:val="center"/>
            </w:pPr>
            <w:r w:rsidRPr="07E5E1E8">
              <w:rPr>
                <w:rFonts w:eastAsia="Arial"/>
              </w:rPr>
              <w:t>17</w:t>
            </w:r>
          </w:p>
        </w:tc>
        <w:tc>
          <w:tcPr>
            <w:tcW w:w="1117" w:type="dxa"/>
            <w:hideMark/>
          </w:tcPr>
          <w:p w14:paraId="36C1E6CC" w14:textId="6AF0B8DE" w:rsidR="008878A0" w:rsidRPr="00FD7F29" w:rsidRDefault="4B8D8B20" w:rsidP="00B61330">
            <w:pPr>
              <w:spacing w:before="37" w:after="0"/>
              <w:ind w:left="449"/>
              <w:jc w:val="center"/>
            </w:pPr>
            <w:r w:rsidRPr="07E5E1E8">
              <w:rPr>
                <w:rFonts w:eastAsia="Arial"/>
              </w:rPr>
              <w:t>11</w:t>
            </w:r>
          </w:p>
        </w:tc>
        <w:tc>
          <w:tcPr>
            <w:tcW w:w="1051" w:type="dxa"/>
            <w:hideMark/>
          </w:tcPr>
          <w:p w14:paraId="47BFF5D4" w14:textId="3C423C60" w:rsidR="008878A0" w:rsidRPr="00FD7F29" w:rsidRDefault="4B8D8B20" w:rsidP="00B61330">
            <w:pPr>
              <w:spacing w:before="37" w:after="0"/>
              <w:ind w:left="464"/>
              <w:jc w:val="center"/>
            </w:pPr>
            <w:r w:rsidRPr="07E5E1E8">
              <w:rPr>
                <w:rFonts w:eastAsia="Arial"/>
              </w:rPr>
              <w:t>18</w:t>
            </w:r>
          </w:p>
        </w:tc>
        <w:tc>
          <w:tcPr>
            <w:tcW w:w="1487" w:type="dxa"/>
            <w:hideMark/>
          </w:tcPr>
          <w:p w14:paraId="2A469810" w14:textId="338B8688" w:rsidR="008878A0" w:rsidRPr="00FD7F29" w:rsidRDefault="4B8D8B20" w:rsidP="00B61330">
            <w:pPr>
              <w:spacing w:before="37" w:after="0"/>
              <w:ind w:left="809"/>
              <w:jc w:val="center"/>
            </w:pPr>
            <w:r w:rsidRPr="07E5E1E8">
              <w:rPr>
                <w:rFonts w:eastAsia="Arial"/>
              </w:rPr>
              <w:t>5</w:t>
            </w:r>
          </w:p>
        </w:tc>
        <w:tc>
          <w:tcPr>
            <w:tcW w:w="1355" w:type="dxa"/>
            <w:hideMark/>
          </w:tcPr>
          <w:p w14:paraId="714473AD" w14:textId="77777777" w:rsidR="008878A0" w:rsidRPr="00FD7F29" w:rsidRDefault="008878A0" w:rsidP="00B61330">
            <w:pPr>
              <w:spacing w:before="37" w:after="0"/>
              <w:ind w:left="869"/>
              <w:jc w:val="center"/>
              <w:rPr>
                <w:rFonts w:eastAsia="Arial" w:cstheme="minorHAnsi"/>
                <w:szCs w:val="18"/>
              </w:rPr>
            </w:pPr>
            <w:r w:rsidRPr="00FD7F29">
              <w:rPr>
                <w:rFonts w:eastAsia="Arial" w:cstheme="minorHAnsi"/>
                <w:spacing w:val="-1"/>
                <w:szCs w:val="18"/>
              </w:rPr>
              <w:t>1</w:t>
            </w:r>
            <w:r w:rsidRPr="00FD7F29">
              <w:rPr>
                <w:rFonts w:eastAsia="Arial" w:cstheme="minorHAnsi"/>
                <w:szCs w:val="18"/>
              </w:rPr>
              <w:t>7</w:t>
            </w:r>
          </w:p>
        </w:tc>
        <w:tc>
          <w:tcPr>
            <w:tcW w:w="1287" w:type="dxa"/>
            <w:hideMark/>
          </w:tcPr>
          <w:p w14:paraId="6A16BA31" w14:textId="5F8A65FB" w:rsidR="008878A0" w:rsidRPr="00FD7F29" w:rsidRDefault="333624E5" w:rsidP="00B61330">
            <w:pPr>
              <w:spacing w:before="37" w:after="0"/>
              <w:ind w:left="719"/>
              <w:jc w:val="center"/>
            </w:pPr>
            <w:r w:rsidRPr="07E5E1E8">
              <w:rPr>
                <w:rFonts w:eastAsia="Arial"/>
              </w:rPr>
              <w:t>19</w:t>
            </w:r>
          </w:p>
        </w:tc>
      </w:tr>
      <w:tr w:rsidR="00B95FAA" w:rsidRPr="00FD7F29" w14:paraId="51E1CA26" w14:textId="77777777" w:rsidTr="00B95FAA">
        <w:trPr>
          <w:trHeight w:val="283"/>
        </w:trPr>
        <w:tc>
          <w:tcPr>
            <w:tcW w:w="1291" w:type="dxa"/>
            <w:hideMark/>
          </w:tcPr>
          <w:p w14:paraId="4DD94EFC" w14:textId="247AF431" w:rsidR="008878A0" w:rsidRPr="00FD7F29" w:rsidRDefault="49F99E71" w:rsidP="07E5E1E8">
            <w:pPr>
              <w:spacing w:before="37" w:after="0"/>
              <w:ind w:left="29"/>
              <w:rPr>
                <w:rFonts w:eastAsia="Arial"/>
              </w:rPr>
            </w:pPr>
            <w:r w:rsidRPr="07E5E1E8">
              <w:rPr>
                <w:rFonts w:eastAsia="Arial"/>
              </w:rPr>
              <w:t>Bjelovarsko-bilogorska</w:t>
            </w:r>
          </w:p>
        </w:tc>
        <w:tc>
          <w:tcPr>
            <w:tcW w:w="906" w:type="dxa"/>
            <w:hideMark/>
          </w:tcPr>
          <w:p w14:paraId="24B80260" w14:textId="77777777" w:rsidR="008878A0" w:rsidRPr="00FD7F29" w:rsidRDefault="008878A0" w:rsidP="00B61330">
            <w:pPr>
              <w:spacing w:before="37" w:after="0"/>
              <w:ind w:left="298"/>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8</w:t>
            </w:r>
          </w:p>
        </w:tc>
        <w:tc>
          <w:tcPr>
            <w:tcW w:w="775" w:type="dxa"/>
            <w:hideMark/>
          </w:tcPr>
          <w:p w14:paraId="423FD4C6" w14:textId="77777777" w:rsidR="008878A0" w:rsidRPr="00FD7F29" w:rsidRDefault="008878A0" w:rsidP="00B61330">
            <w:pPr>
              <w:spacing w:before="37" w:after="0"/>
              <w:ind w:left="314"/>
              <w:jc w:val="center"/>
              <w:rPr>
                <w:rFonts w:eastAsia="Arial" w:cstheme="minorHAnsi"/>
                <w:szCs w:val="18"/>
              </w:rPr>
            </w:pPr>
            <w:r w:rsidRPr="00FD7F29">
              <w:rPr>
                <w:rFonts w:eastAsia="Arial" w:cstheme="minorHAnsi"/>
                <w:spacing w:val="-1"/>
                <w:szCs w:val="18"/>
              </w:rPr>
              <w:t>2</w:t>
            </w:r>
            <w:r w:rsidRPr="00FD7F29">
              <w:rPr>
                <w:rFonts w:eastAsia="Arial" w:cstheme="minorHAnsi"/>
                <w:szCs w:val="18"/>
              </w:rPr>
              <w:t>0</w:t>
            </w:r>
          </w:p>
        </w:tc>
        <w:tc>
          <w:tcPr>
            <w:tcW w:w="1117" w:type="dxa"/>
            <w:hideMark/>
          </w:tcPr>
          <w:p w14:paraId="25D276BD" w14:textId="59DE9AD8" w:rsidR="008878A0" w:rsidRPr="00FD7F29" w:rsidRDefault="64172BB3" w:rsidP="00B61330">
            <w:pPr>
              <w:spacing w:before="37" w:after="0"/>
              <w:ind w:left="449"/>
              <w:jc w:val="center"/>
            </w:pPr>
            <w:r w:rsidRPr="07E5E1E8">
              <w:rPr>
                <w:rFonts w:eastAsia="Arial"/>
              </w:rPr>
              <w:t>15</w:t>
            </w:r>
          </w:p>
        </w:tc>
        <w:tc>
          <w:tcPr>
            <w:tcW w:w="1051" w:type="dxa"/>
            <w:hideMark/>
          </w:tcPr>
          <w:p w14:paraId="1621FD17" w14:textId="1E59466D" w:rsidR="008878A0" w:rsidRPr="00FD7F29" w:rsidRDefault="64172BB3" w:rsidP="00B61330">
            <w:pPr>
              <w:spacing w:before="37" w:after="0"/>
              <w:ind w:left="464"/>
              <w:jc w:val="center"/>
            </w:pPr>
            <w:r w:rsidRPr="07E5E1E8">
              <w:rPr>
                <w:rFonts w:eastAsia="Arial"/>
              </w:rPr>
              <w:t>17</w:t>
            </w:r>
          </w:p>
        </w:tc>
        <w:tc>
          <w:tcPr>
            <w:tcW w:w="1487" w:type="dxa"/>
            <w:hideMark/>
          </w:tcPr>
          <w:p w14:paraId="30F71953" w14:textId="2E5FF608" w:rsidR="008878A0" w:rsidRPr="00FD7F29" w:rsidRDefault="64172BB3" w:rsidP="00B61330">
            <w:pPr>
              <w:spacing w:before="37" w:after="0"/>
              <w:ind w:left="809"/>
              <w:jc w:val="center"/>
            </w:pPr>
            <w:r w:rsidRPr="07E5E1E8">
              <w:rPr>
                <w:rFonts w:eastAsia="Arial"/>
              </w:rPr>
              <w:t>19</w:t>
            </w:r>
          </w:p>
        </w:tc>
        <w:tc>
          <w:tcPr>
            <w:tcW w:w="1355" w:type="dxa"/>
            <w:hideMark/>
          </w:tcPr>
          <w:p w14:paraId="129340F3" w14:textId="76AF9FB1" w:rsidR="008878A0" w:rsidRPr="00FD7F29" w:rsidRDefault="64172BB3" w:rsidP="00B61330">
            <w:pPr>
              <w:spacing w:before="37" w:after="0"/>
              <w:ind w:left="869"/>
              <w:jc w:val="center"/>
            </w:pPr>
            <w:r w:rsidRPr="07E5E1E8">
              <w:rPr>
                <w:rFonts w:eastAsia="Arial"/>
              </w:rPr>
              <w:t>20</w:t>
            </w:r>
          </w:p>
        </w:tc>
        <w:tc>
          <w:tcPr>
            <w:tcW w:w="1287" w:type="dxa"/>
            <w:hideMark/>
          </w:tcPr>
          <w:p w14:paraId="362F5BCE" w14:textId="780FF219" w:rsidR="008878A0" w:rsidRPr="00FD7F29" w:rsidRDefault="64172BB3" w:rsidP="00B61330">
            <w:pPr>
              <w:spacing w:before="37" w:after="0"/>
              <w:ind w:left="719"/>
              <w:jc w:val="center"/>
            </w:pPr>
            <w:r w:rsidRPr="07E5E1E8">
              <w:rPr>
                <w:rFonts w:eastAsia="Arial"/>
              </w:rPr>
              <w:t>20</w:t>
            </w:r>
          </w:p>
        </w:tc>
      </w:tr>
      <w:tr w:rsidR="00B95FAA" w:rsidRPr="00FD7F29" w14:paraId="0EFCBBC6" w14:textId="77777777" w:rsidTr="00B95FAA">
        <w:trPr>
          <w:trHeight w:val="283"/>
        </w:trPr>
        <w:tc>
          <w:tcPr>
            <w:tcW w:w="1291" w:type="dxa"/>
            <w:hideMark/>
          </w:tcPr>
          <w:p w14:paraId="5E14E540" w14:textId="77777777" w:rsidR="008878A0" w:rsidRPr="00FD7F29" w:rsidRDefault="008878A0" w:rsidP="00941871">
            <w:pPr>
              <w:spacing w:before="47" w:after="0"/>
              <w:ind w:left="29"/>
              <w:rPr>
                <w:rFonts w:eastAsia="Arial" w:cstheme="minorHAnsi"/>
                <w:szCs w:val="18"/>
              </w:rPr>
            </w:pPr>
            <w:r w:rsidRPr="00FD7F29">
              <w:rPr>
                <w:rFonts w:eastAsia="Arial" w:cstheme="minorHAnsi"/>
                <w:spacing w:val="-2"/>
                <w:w w:val="101"/>
                <w:szCs w:val="18"/>
              </w:rPr>
              <w:t>V</w:t>
            </w:r>
            <w:r w:rsidRPr="00FD7F29">
              <w:rPr>
                <w:rFonts w:eastAsia="Arial" w:cstheme="minorHAnsi"/>
                <w:spacing w:val="3"/>
                <w:w w:val="101"/>
                <w:szCs w:val="18"/>
              </w:rPr>
              <w:t>i</w:t>
            </w:r>
            <w:r w:rsidRPr="00FD7F29">
              <w:rPr>
                <w:rFonts w:eastAsia="Arial" w:cstheme="minorHAnsi"/>
                <w:spacing w:val="2"/>
                <w:w w:val="101"/>
                <w:szCs w:val="18"/>
              </w:rPr>
              <w:t>r</w:t>
            </w:r>
            <w:r w:rsidRPr="00FD7F29">
              <w:rPr>
                <w:rFonts w:eastAsia="Arial" w:cstheme="minorHAnsi"/>
                <w:spacing w:val="-5"/>
                <w:w w:val="101"/>
                <w:szCs w:val="18"/>
              </w:rPr>
              <w:t>o</w:t>
            </w:r>
            <w:r w:rsidRPr="00FD7F29">
              <w:rPr>
                <w:rFonts w:eastAsia="Arial" w:cstheme="minorHAnsi"/>
                <w:w w:val="101"/>
                <w:szCs w:val="18"/>
              </w:rPr>
              <w:t>v</w:t>
            </w:r>
            <w:r w:rsidRPr="00FD7F29">
              <w:rPr>
                <w:rFonts w:eastAsia="Arial" w:cstheme="minorHAnsi"/>
                <w:spacing w:val="-2"/>
                <w:w w:val="101"/>
                <w:szCs w:val="18"/>
              </w:rPr>
              <w:t>i</w:t>
            </w:r>
            <w:r w:rsidRPr="00FD7F29">
              <w:rPr>
                <w:rFonts w:eastAsia="Arial" w:cstheme="minorHAnsi"/>
                <w:spacing w:val="2"/>
                <w:w w:val="101"/>
                <w:szCs w:val="18"/>
              </w:rPr>
              <w:t>t</w:t>
            </w:r>
            <w:r w:rsidRPr="00FD7F29">
              <w:rPr>
                <w:rFonts w:eastAsia="Arial" w:cstheme="minorHAnsi"/>
                <w:spacing w:val="-2"/>
                <w:w w:val="101"/>
                <w:szCs w:val="18"/>
              </w:rPr>
              <w:t>i</w:t>
            </w:r>
            <w:r w:rsidRPr="00FD7F29">
              <w:rPr>
                <w:rFonts w:eastAsia="Arial" w:cstheme="minorHAnsi"/>
                <w:w w:val="101"/>
                <w:szCs w:val="18"/>
              </w:rPr>
              <w:t>čk</w:t>
            </w:r>
            <w:r w:rsidRPr="00FD7F29">
              <w:rPr>
                <w:rFonts w:eastAsia="Arial" w:cstheme="minorHAnsi"/>
                <w:spacing w:val="-5"/>
                <w:w w:val="101"/>
                <w:szCs w:val="18"/>
              </w:rPr>
              <w:t>o</w:t>
            </w:r>
            <w:r w:rsidRPr="00FD7F29">
              <w:rPr>
                <w:rFonts w:eastAsia="Arial" w:cstheme="minorHAnsi"/>
                <w:spacing w:val="2"/>
                <w:w w:val="101"/>
                <w:szCs w:val="18"/>
              </w:rPr>
              <w:t>-</w:t>
            </w:r>
            <w:r w:rsidRPr="00FD7F29">
              <w:rPr>
                <w:rFonts w:eastAsia="Arial" w:cstheme="minorHAnsi"/>
                <w:spacing w:val="-1"/>
                <w:w w:val="101"/>
                <w:szCs w:val="18"/>
              </w:rPr>
              <w:t>po</w:t>
            </w:r>
            <w:r w:rsidRPr="00FD7F29">
              <w:rPr>
                <w:rFonts w:eastAsia="Arial" w:cstheme="minorHAnsi"/>
                <w:spacing w:val="-5"/>
                <w:w w:val="101"/>
                <w:szCs w:val="18"/>
              </w:rPr>
              <w:t>d</w:t>
            </w:r>
            <w:r w:rsidRPr="00FD7F29">
              <w:rPr>
                <w:rFonts w:eastAsia="Arial" w:cstheme="minorHAnsi"/>
                <w:spacing w:val="2"/>
                <w:w w:val="101"/>
                <w:szCs w:val="18"/>
              </w:rPr>
              <w:t>r</w:t>
            </w:r>
            <w:r w:rsidRPr="00FD7F29">
              <w:rPr>
                <w:rFonts w:eastAsia="Arial" w:cstheme="minorHAnsi"/>
                <w:spacing w:val="-1"/>
                <w:w w:val="101"/>
                <w:szCs w:val="18"/>
              </w:rPr>
              <w:t>a</w:t>
            </w:r>
            <w:r w:rsidRPr="00FD7F29">
              <w:rPr>
                <w:rFonts w:eastAsia="Arial" w:cstheme="minorHAnsi"/>
                <w:w w:val="101"/>
                <w:szCs w:val="18"/>
              </w:rPr>
              <w:t>v</w:t>
            </w:r>
            <w:r w:rsidRPr="00FD7F29">
              <w:rPr>
                <w:rFonts w:eastAsia="Arial" w:cstheme="minorHAnsi"/>
                <w:spacing w:val="-5"/>
                <w:w w:val="101"/>
                <w:szCs w:val="18"/>
              </w:rPr>
              <w:t>s</w:t>
            </w:r>
            <w:r w:rsidRPr="00FD7F29">
              <w:rPr>
                <w:rFonts w:eastAsia="Arial" w:cstheme="minorHAnsi"/>
                <w:w w:val="101"/>
                <w:szCs w:val="18"/>
              </w:rPr>
              <w:t>ka</w:t>
            </w:r>
          </w:p>
        </w:tc>
        <w:tc>
          <w:tcPr>
            <w:tcW w:w="906" w:type="dxa"/>
            <w:hideMark/>
          </w:tcPr>
          <w:p w14:paraId="62ABB319" w14:textId="77777777" w:rsidR="008878A0" w:rsidRPr="00FD7F29" w:rsidRDefault="008878A0" w:rsidP="00B61330">
            <w:pPr>
              <w:spacing w:before="47" w:after="0"/>
              <w:ind w:left="298"/>
              <w:jc w:val="center"/>
              <w:rPr>
                <w:rFonts w:eastAsia="Arial" w:cstheme="minorHAnsi"/>
                <w:szCs w:val="18"/>
              </w:rPr>
            </w:pPr>
            <w:r w:rsidRPr="00FD7F29">
              <w:rPr>
                <w:rFonts w:eastAsia="Arial" w:cstheme="minorHAnsi"/>
                <w:b/>
                <w:spacing w:val="-1"/>
                <w:szCs w:val="18"/>
              </w:rPr>
              <w:t>1</w:t>
            </w:r>
            <w:r w:rsidRPr="00FD7F29">
              <w:rPr>
                <w:rFonts w:eastAsia="Arial" w:cstheme="minorHAnsi"/>
                <w:b/>
                <w:szCs w:val="18"/>
              </w:rPr>
              <w:t>9</w:t>
            </w:r>
          </w:p>
        </w:tc>
        <w:tc>
          <w:tcPr>
            <w:tcW w:w="775" w:type="dxa"/>
            <w:hideMark/>
          </w:tcPr>
          <w:p w14:paraId="7002A0AB" w14:textId="0C76A0F9" w:rsidR="008878A0" w:rsidRPr="00FD7F29" w:rsidRDefault="3675CEB8" w:rsidP="00B61330">
            <w:pPr>
              <w:spacing w:before="47" w:after="0"/>
              <w:ind w:left="314"/>
              <w:jc w:val="center"/>
            </w:pPr>
            <w:r w:rsidRPr="07E5E1E8">
              <w:rPr>
                <w:rFonts w:eastAsia="Arial"/>
              </w:rPr>
              <w:t>19</w:t>
            </w:r>
          </w:p>
        </w:tc>
        <w:tc>
          <w:tcPr>
            <w:tcW w:w="1117" w:type="dxa"/>
            <w:hideMark/>
          </w:tcPr>
          <w:p w14:paraId="2FDAB11D" w14:textId="77777777" w:rsidR="008878A0" w:rsidRPr="00FD7F29" w:rsidRDefault="008878A0" w:rsidP="00B61330">
            <w:pPr>
              <w:spacing w:before="47" w:after="0"/>
              <w:ind w:left="449"/>
              <w:jc w:val="center"/>
              <w:rPr>
                <w:rFonts w:eastAsia="Arial" w:cstheme="minorHAnsi"/>
                <w:szCs w:val="18"/>
              </w:rPr>
            </w:pPr>
            <w:r w:rsidRPr="00FD7F29">
              <w:rPr>
                <w:rFonts w:eastAsia="Arial" w:cstheme="minorHAnsi"/>
                <w:spacing w:val="-1"/>
                <w:szCs w:val="18"/>
              </w:rPr>
              <w:t>1</w:t>
            </w:r>
            <w:r w:rsidRPr="00FD7F29">
              <w:rPr>
                <w:rFonts w:eastAsia="Arial" w:cstheme="minorHAnsi"/>
                <w:szCs w:val="18"/>
              </w:rPr>
              <w:t>9</w:t>
            </w:r>
          </w:p>
        </w:tc>
        <w:tc>
          <w:tcPr>
            <w:tcW w:w="1051" w:type="dxa"/>
            <w:hideMark/>
          </w:tcPr>
          <w:p w14:paraId="73C97C13" w14:textId="77777777" w:rsidR="008878A0" w:rsidRPr="00FD7F29" w:rsidRDefault="008878A0" w:rsidP="00B61330">
            <w:pPr>
              <w:spacing w:before="47" w:after="0"/>
              <w:ind w:left="464"/>
              <w:jc w:val="center"/>
              <w:rPr>
                <w:rFonts w:eastAsia="Arial" w:cstheme="minorHAnsi"/>
                <w:szCs w:val="18"/>
              </w:rPr>
            </w:pPr>
            <w:r w:rsidRPr="00FD7F29">
              <w:rPr>
                <w:rFonts w:eastAsia="Arial" w:cstheme="minorHAnsi"/>
                <w:spacing w:val="-1"/>
                <w:szCs w:val="18"/>
              </w:rPr>
              <w:t>1</w:t>
            </w:r>
            <w:r w:rsidRPr="00FD7F29">
              <w:rPr>
                <w:rFonts w:eastAsia="Arial" w:cstheme="minorHAnsi"/>
                <w:szCs w:val="18"/>
              </w:rPr>
              <w:t>9</w:t>
            </w:r>
          </w:p>
        </w:tc>
        <w:tc>
          <w:tcPr>
            <w:tcW w:w="1487" w:type="dxa"/>
            <w:hideMark/>
          </w:tcPr>
          <w:p w14:paraId="13A9DD3D" w14:textId="13040B21" w:rsidR="008878A0" w:rsidRPr="00FD7F29" w:rsidRDefault="32218B23" w:rsidP="00B61330">
            <w:pPr>
              <w:spacing w:before="47" w:after="0"/>
              <w:ind w:left="809"/>
              <w:jc w:val="center"/>
            </w:pPr>
            <w:r w:rsidRPr="07E5E1E8">
              <w:rPr>
                <w:rFonts w:eastAsia="Arial"/>
              </w:rPr>
              <w:t>18</w:t>
            </w:r>
          </w:p>
        </w:tc>
        <w:tc>
          <w:tcPr>
            <w:tcW w:w="1355" w:type="dxa"/>
            <w:hideMark/>
          </w:tcPr>
          <w:p w14:paraId="76993C35" w14:textId="77777777" w:rsidR="008878A0" w:rsidRPr="00FD7F29" w:rsidRDefault="008878A0" w:rsidP="00B61330">
            <w:pPr>
              <w:spacing w:before="47" w:after="0"/>
              <w:ind w:left="869"/>
              <w:jc w:val="center"/>
              <w:rPr>
                <w:rFonts w:eastAsia="Arial" w:cstheme="minorHAnsi"/>
                <w:szCs w:val="18"/>
              </w:rPr>
            </w:pPr>
            <w:r w:rsidRPr="00FD7F29">
              <w:rPr>
                <w:rFonts w:eastAsia="Arial" w:cstheme="minorHAnsi"/>
                <w:spacing w:val="-1"/>
                <w:szCs w:val="18"/>
              </w:rPr>
              <w:t>1</w:t>
            </w:r>
            <w:r w:rsidRPr="00FD7F29">
              <w:rPr>
                <w:rFonts w:eastAsia="Arial" w:cstheme="minorHAnsi"/>
                <w:szCs w:val="18"/>
              </w:rPr>
              <w:t>5</w:t>
            </w:r>
          </w:p>
        </w:tc>
        <w:tc>
          <w:tcPr>
            <w:tcW w:w="1287" w:type="dxa"/>
            <w:hideMark/>
          </w:tcPr>
          <w:p w14:paraId="6FA7AF4B" w14:textId="77777777" w:rsidR="008878A0" w:rsidRPr="00FD7F29" w:rsidRDefault="008878A0" w:rsidP="00B61330">
            <w:pPr>
              <w:spacing w:before="47" w:after="0"/>
              <w:ind w:left="719"/>
              <w:jc w:val="center"/>
              <w:rPr>
                <w:rFonts w:eastAsia="Arial" w:cstheme="minorHAnsi"/>
                <w:szCs w:val="18"/>
              </w:rPr>
            </w:pPr>
            <w:r w:rsidRPr="00FD7F29">
              <w:rPr>
                <w:rFonts w:eastAsia="Arial" w:cstheme="minorHAnsi"/>
                <w:spacing w:val="-1"/>
                <w:w w:val="101"/>
                <w:szCs w:val="18"/>
              </w:rPr>
              <w:t>1</w:t>
            </w:r>
            <w:r w:rsidRPr="00FD7F29">
              <w:rPr>
                <w:rFonts w:eastAsia="Arial" w:cstheme="minorHAnsi"/>
                <w:w w:val="101"/>
                <w:szCs w:val="18"/>
              </w:rPr>
              <w:t>4</w:t>
            </w:r>
          </w:p>
        </w:tc>
      </w:tr>
      <w:tr w:rsidR="00B95FAA" w:rsidRPr="00FD7F29" w14:paraId="2F5AD3D9" w14:textId="77777777" w:rsidTr="00B95FAA">
        <w:trPr>
          <w:trHeight w:val="283"/>
        </w:trPr>
        <w:tc>
          <w:tcPr>
            <w:tcW w:w="1291" w:type="dxa"/>
            <w:hideMark/>
          </w:tcPr>
          <w:p w14:paraId="10BC4139"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2"/>
                <w:w w:val="101"/>
                <w:szCs w:val="18"/>
              </w:rPr>
              <w:t>P</w:t>
            </w:r>
            <w:r w:rsidRPr="00FD7F29">
              <w:rPr>
                <w:rFonts w:eastAsia="Arial" w:cstheme="minorHAnsi"/>
                <w:spacing w:val="-1"/>
                <w:w w:val="101"/>
                <w:szCs w:val="18"/>
              </w:rPr>
              <w:t>o</w:t>
            </w:r>
            <w:r w:rsidRPr="00FD7F29">
              <w:rPr>
                <w:rFonts w:eastAsia="Arial" w:cstheme="minorHAnsi"/>
                <w:spacing w:val="-5"/>
                <w:w w:val="101"/>
                <w:szCs w:val="18"/>
              </w:rPr>
              <w:t>že</w:t>
            </w:r>
            <w:r w:rsidRPr="00FD7F29">
              <w:rPr>
                <w:rFonts w:eastAsia="Arial" w:cstheme="minorHAnsi"/>
                <w:w w:val="101"/>
                <w:szCs w:val="18"/>
              </w:rPr>
              <w:t>šk</w:t>
            </w:r>
            <w:r w:rsidRPr="00FD7F29">
              <w:rPr>
                <w:rFonts w:eastAsia="Arial" w:cstheme="minorHAnsi"/>
                <w:spacing w:val="-1"/>
                <w:w w:val="101"/>
                <w:szCs w:val="18"/>
              </w:rPr>
              <w:t>o</w:t>
            </w:r>
            <w:r w:rsidRPr="00FD7F29">
              <w:rPr>
                <w:rFonts w:eastAsia="Arial" w:cstheme="minorHAnsi"/>
                <w:spacing w:val="2"/>
                <w:w w:val="101"/>
                <w:szCs w:val="18"/>
              </w:rPr>
              <w:t>-</w:t>
            </w:r>
            <w:r w:rsidRPr="00FD7F29">
              <w:rPr>
                <w:rFonts w:eastAsia="Arial" w:cstheme="minorHAnsi"/>
                <w:w w:val="101"/>
                <w:szCs w:val="18"/>
              </w:rPr>
              <w:t>s</w:t>
            </w:r>
            <w:r w:rsidRPr="00FD7F29">
              <w:rPr>
                <w:rFonts w:eastAsia="Arial" w:cstheme="minorHAnsi"/>
                <w:spacing w:val="3"/>
                <w:w w:val="101"/>
                <w:szCs w:val="18"/>
              </w:rPr>
              <w:t>l</w:t>
            </w:r>
            <w:r w:rsidRPr="00FD7F29">
              <w:rPr>
                <w:rFonts w:eastAsia="Arial" w:cstheme="minorHAnsi"/>
                <w:spacing w:val="-1"/>
                <w:w w:val="101"/>
                <w:szCs w:val="18"/>
              </w:rPr>
              <w:t>a</w:t>
            </w:r>
            <w:r w:rsidRPr="00FD7F29">
              <w:rPr>
                <w:rFonts w:eastAsia="Arial" w:cstheme="minorHAnsi"/>
                <w:w w:val="101"/>
                <w:szCs w:val="18"/>
              </w:rPr>
              <w:t>v</w:t>
            </w:r>
            <w:r w:rsidRPr="00FD7F29">
              <w:rPr>
                <w:rFonts w:eastAsia="Arial" w:cstheme="minorHAnsi"/>
                <w:spacing w:val="-1"/>
                <w:w w:val="101"/>
                <w:szCs w:val="18"/>
              </w:rPr>
              <w:t>o</w:t>
            </w:r>
            <w:r w:rsidRPr="00FD7F29">
              <w:rPr>
                <w:rFonts w:eastAsia="Arial" w:cstheme="minorHAnsi"/>
                <w:spacing w:val="-5"/>
                <w:w w:val="101"/>
                <w:szCs w:val="18"/>
              </w:rPr>
              <w:t>n</w:t>
            </w:r>
            <w:r w:rsidRPr="00FD7F29">
              <w:rPr>
                <w:rFonts w:eastAsia="Arial" w:cstheme="minorHAnsi"/>
                <w:w w:val="101"/>
                <w:szCs w:val="18"/>
              </w:rPr>
              <w:t>ska</w:t>
            </w:r>
          </w:p>
        </w:tc>
        <w:tc>
          <w:tcPr>
            <w:tcW w:w="906" w:type="dxa"/>
            <w:hideMark/>
          </w:tcPr>
          <w:p w14:paraId="211ED437" w14:textId="77777777" w:rsidR="008878A0" w:rsidRPr="00FD7F29" w:rsidRDefault="008878A0" w:rsidP="00B61330">
            <w:pPr>
              <w:spacing w:before="37" w:after="0"/>
              <w:ind w:left="298"/>
              <w:jc w:val="center"/>
              <w:rPr>
                <w:rFonts w:eastAsia="Arial" w:cstheme="minorHAnsi"/>
                <w:szCs w:val="18"/>
              </w:rPr>
            </w:pPr>
            <w:r w:rsidRPr="00FD7F29">
              <w:rPr>
                <w:rFonts w:eastAsia="Arial" w:cstheme="minorHAnsi"/>
                <w:b/>
                <w:spacing w:val="-1"/>
                <w:szCs w:val="18"/>
              </w:rPr>
              <w:t>2</w:t>
            </w:r>
            <w:r w:rsidRPr="00FD7F29">
              <w:rPr>
                <w:rFonts w:eastAsia="Arial" w:cstheme="minorHAnsi"/>
                <w:b/>
                <w:szCs w:val="18"/>
              </w:rPr>
              <w:t>0</w:t>
            </w:r>
          </w:p>
        </w:tc>
        <w:tc>
          <w:tcPr>
            <w:tcW w:w="775" w:type="dxa"/>
            <w:hideMark/>
          </w:tcPr>
          <w:p w14:paraId="36C017C6" w14:textId="4F630FC3" w:rsidR="008878A0" w:rsidRPr="00FD7F29" w:rsidRDefault="1602A497" w:rsidP="00B61330">
            <w:pPr>
              <w:spacing w:before="37" w:after="0"/>
              <w:ind w:left="314"/>
              <w:jc w:val="center"/>
            </w:pPr>
            <w:r w:rsidRPr="07E5E1E8">
              <w:rPr>
                <w:rFonts w:eastAsia="Arial"/>
              </w:rPr>
              <w:t>18</w:t>
            </w:r>
          </w:p>
        </w:tc>
        <w:tc>
          <w:tcPr>
            <w:tcW w:w="1117" w:type="dxa"/>
            <w:hideMark/>
          </w:tcPr>
          <w:p w14:paraId="025CDFF3" w14:textId="4C3AB1F8" w:rsidR="008878A0" w:rsidRPr="00FD7F29" w:rsidRDefault="1602A497" w:rsidP="00B61330">
            <w:pPr>
              <w:spacing w:before="37" w:after="0"/>
              <w:ind w:left="449"/>
              <w:jc w:val="center"/>
            </w:pPr>
            <w:r w:rsidRPr="07E5E1E8">
              <w:rPr>
                <w:rFonts w:eastAsia="Arial"/>
              </w:rPr>
              <w:t>20</w:t>
            </w:r>
          </w:p>
        </w:tc>
        <w:tc>
          <w:tcPr>
            <w:tcW w:w="1051" w:type="dxa"/>
            <w:hideMark/>
          </w:tcPr>
          <w:p w14:paraId="400818A9" w14:textId="77777777" w:rsidR="008878A0" w:rsidRPr="00FD7F29" w:rsidRDefault="008878A0" w:rsidP="00B61330">
            <w:pPr>
              <w:spacing w:before="37" w:after="0"/>
              <w:ind w:left="464"/>
              <w:jc w:val="center"/>
              <w:rPr>
                <w:rFonts w:eastAsia="Arial" w:cstheme="minorHAnsi"/>
                <w:szCs w:val="18"/>
              </w:rPr>
            </w:pPr>
            <w:r w:rsidRPr="00FD7F29">
              <w:rPr>
                <w:rFonts w:eastAsia="Arial" w:cstheme="minorHAnsi"/>
                <w:spacing w:val="-1"/>
                <w:szCs w:val="18"/>
              </w:rPr>
              <w:t>2</w:t>
            </w:r>
            <w:r w:rsidRPr="00FD7F29">
              <w:rPr>
                <w:rFonts w:eastAsia="Arial" w:cstheme="minorHAnsi"/>
                <w:szCs w:val="18"/>
              </w:rPr>
              <w:t>0</w:t>
            </w:r>
          </w:p>
        </w:tc>
        <w:tc>
          <w:tcPr>
            <w:tcW w:w="1487" w:type="dxa"/>
            <w:hideMark/>
          </w:tcPr>
          <w:p w14:paraId="11A6EBC2" w14:textId="77777777" w:rsidR="008878A0" w:rsidRPr="00FD7F29" w:rsidRDefault="008878A0" w:rsidP="00B61330">
            <w:pPr>
              <w:spacing w:before="37" w:after="0"/>
              <w:ind w:left="809"/>
              <w:jc w:val="center"/>
              <w:rPr>
                <w:rFonts w:eastAsia="Arial" w:cstheme="minorHAnsi"/>
                <w:szCs w:val="18"/>
              </w:rPr>
            </w:pPr>
            <w:r w:rsidRPr="00FD7F29">
              <w:rPr>
                <w:rFonts w:eastAsia="Arial" w:cstheme="minorHAnsi"/>
                <w:spacing w:val="-1"/>
                <w:szCs w:val="18"/>
              </w:rPr>
              <w:t>2</w:t>
            </w:r>
            <w:r w:rsidRPr="00FD7F29">
              <w:rPr>
                <w:rFonts w:eastAsia="Arial" w:cstheme="minorHAnsi"/>
                <w:szCs w:val="18"/>
              </w:rPr>
              <w:t>1</w:t>
            </w:r>
          </w:p>
        </w:tc>
        <w:tc>
          <w:tcPr>
            <w:tcW w:w="1355" w:type="dxa"/>
            <w:hideMark/>
          </w:tcPr>
          <w:p w14:paraId="4BAF2C38" w14:textId="0C6916F3" w:rsidR="008878A0" w:rsidRPr="00FD7F29" w:rsidRDefault="6131A967" w:rsidP="00B61330">
            <w:pPr>
              <w:spacing w:before="37" w:after="0"/>
              <w:ind w:left="869"/>
              <w:jc w:val="center"/>
            </w:pPr>
            <w:r w:rsidRPr="07E5E1E8">
              <w:rPr>
                <w:rFonts w:eastAsia="Arial"/>
              </w:rPr>
              <w:t>14</w:t>
            </w:r>
          </w:p>
        </w:tc>
        <w:tc>
          <w:tcPr>
            <w:tcW w:w="1287" w:type="dxa"/>
            <w:hideMark/>
          </w:tcPr>
          <w:p w14:paraId="1A4049C5" w14:textId="01CF8525" w:rsidR="008878A0" w:rsidRPr="00FD7F29" w:rsidRDefault="6131A967" w:rsidP="00B61330">
            <w:pPr>
              <w:spacing w:before="37" w:after="0"/>
              <w:ind w:left="719"/>
              <w:jc w:val="center"/>
            </w:pPr>
            <w:r w:rsidRPr="07E5E1E8">
              <w:rPr>
                <w:rFonts w:eastAsia="Arial"/>
              </w:rPr>
              <w:t>11</w:t>
            </w:r>
          </w:p>
        </w:tc>
      </w:tr>
      <w:tr w:rsidR="00B95FAA" w:rsidRPr="00FD7F29" w14:paraId="16D8F644" w14:textId="77777777" w:rsidTr="00B95FAA">
        <w:trPr>
          <w:trHeight w:val="283"/>
        </w:trPr>
        <w:tc>
          <w:tcPr>
            <w:tcW w:w="1291" w:type="dxa"/>
            <w:tcBorders>
              <w:bottom w:val="single" w:sz="4" w:space="0" w:color="D2232A" w:themeColor="accent1"/>
            </w:tcBorders>
            <w:hideMark/>
          </w:tcPr>
          <w:p w14:paraId="4A7DF809" w14:textId="77777777" w:rsidR="008878A0" w:rsidRPr="00FD7F29" w:rsidRDefault="008878A0" w:rsidP="00941871">
            <w:pPr>
              <w:spacing w:before="37" w:after="0"/>
              <w:ind w:left="29"/>
              <w:rPr>
                <w:rFonts w:eastAsia="Arial" w:cstheme="minorHAnsi"/>
                <w:szCs w:val="18"/>
              </w:rPr>
            </w:pPr>
            <w:r w:rsidRPr="00FD7F29">
              <w:rPr>
                <w:rFonts w:eastAsia="Arial" w:cstheme="minorHAnsi"/>
                <w:spacing w:val="-1"/>
                <w:w w:val="101"/>
                <w:szCs w:val="18"/>
              </w:rPr>
              <w:t>L</w:t>
            </w:r>
            <w:r w:rsidRPr="00FD7F29">
              <w:rPr>
                <w:rFonts w:eastAsia="Arial" w:cstheme="minorHAnsi"/>
                <w:spacing w:val="3"/>
                <w:w w:val="101"/>
                <w:szCs w:val="18"/>
              </w:rPr>
              <w:t>i</w:t>
            </w:r>
            <w:r w:rsidRPr="00FD7F29">
              <w:rPr>
                <w:rFonts w:eastAsia="Arial" w:cstheme="minorHAnsi"/>
                <w:w w:val="101"/>
                <w:szCs w:val="18"/>
              </w:rPr>
              <w:t>čk</w:t>
            </w:r>
            <w:r w:rsidRPr="00FD7F29">
              <w:rPr>
                <w:rFonts w:eastAsia="Arial" w:cstheme="minorHAnsi"/>
                <w:spacing w:val="-5"/>
                <w:w w:val="101"/>
                <w:szCs w:val="18"/>
              </w:rPr>
              <w:t>o</w:t>
            </w:r>
            <w:r w:rsidRPr="00FD7F29">
              <w:rPr>
                <w:rFonts w:eastAsia="Arial" w:cstheme="minorHAnsi"/>
                <w:spacing w:val="2"/>
                <w:w w:val="101"/>
                <w:szCs w:val="18"/>
              </w:rPr>
              <w:t>-</w:t>
            </w:r>
            <w:r w:rsidRPr="00FD7F29">
              <w:rPr>
                <w:rFonts w:eastAsia="Arial" w:cstheme="minorHAnsi"/>
                <w:w w:val="101"/>
                <w:szCs w:val="18"/>
              </w:rPr>
              <w:t>s</w:t>
            </w:r>
            <w:r w:rsidRPr="00FD7F29">
              <w:rPr>
                <w:rFonts w:eastAsia="Arial" w:cstheme="minorHAnsi"/>
                <w:spacing w:val="-5"/>
                <w:w w:val="101"/>
                <w:szCs w:val="18"/>
              </w:rPr>
              <w:t>e</w:t>
            </w:r>
            <w:r w:rsidRPr="00FD7F29">
              <w:rPr>
                <w:rFonts w:eastAsia="Arial" w:cstheme="minorHAnsi"/>
                <w:spacing w:val="-1"/>
                <w:w w:val="101"/>
                <w:szCs w:val="18"/>
              </w:rPr>
              <w:t>n</w:t>
            </w:r>
            <w:r w:rsidRPr="00FD7F29">
              <w:rPr>
                <w:rFonts w:eastAsia="Arial" w:cstheme="minorHAnsi"/>
                <w:spacing w:val="3"/>
                <w:w w:val="101"/>
                <w:szCs w:val="18"/>
              </w:rPr>
              <w:t>j</w:t>
            </w:r>
            <w:r w:rsidRPr="00FD7F29">
              <w:rPr>
                <w:rFonts w:eastAsia="Arial" w:cstheme="minorHAnsi"/>
                <w:spacing w:val="-5"/>
                <w:w w:val="101"/>
                <w:szCs w:val="18"/>
              </w:rPr>
              <w:t>s</w:t>
            </w:r>
            <w:r w:rsidRPr="00FD7F29">
              <w:rPr>
                <w:rFonts w:eastAsia="Arial" w:cstheme="minorHAnsi"/>
                <w:w w:val="101"/>
                <w:szCs w:val="18"/>
              </w:rPr>
              <w:t>ka</w:t>
            </w:r>
          </w:p>
        </w:tc>
        <w:tc>
          <w:tcPr>
            <w:tcW w:w="906" w:type="dxa"/>
            <w:tcBorders>
              <w:bottom w:val="single" w:sz="4" w:space="0" w:color="D2232A" w:themeColor="accent1"/>
            </w:tcBorders>
            <w:hideMark/>
          </w:tcPr>
          <w:p w14:paraId="5DA140B1" w14:textId="77777777" w:rsidR="008878A0" w:rsidRPr="00FD7F29" w:rsidRDefault="008878A0" w:rsidP="00B61330">
            <w:pPr>
              <w:spacing w:before="37" w:after="0"/>
              <w:ind w:left="298"/>
              <w:jc w:val="center"/>
              <w:rPr>
                <w:rFonts w:eastAsia="Arial" w:cstheme="minorHAnsi"/>
                <w:szCs w:val="18"/>
              </w:rPr>
            </w:pPr>
            <w:r w:rsidRPr="00FD7F29">
              <w:rPr>
                <w:rFonts w:eastAsia="Arial" w:cstheme="minorHAnsi"/>
                <w:b/>
                <w:spacing w:val="-1"/>
                <w:szCs w:val="18"/>
              </w:rPr>
              <w:t>2</w:t>
            </w:r>
            <w:r w:rsidRPr="00FD7F29">
              <w:rPr>
                <w:rFonts w:eastAsia="Arial" w:cstheme="minorHAnsi"/>
                <w:b/>
                <w:szCs w:val="18"/>
              </w:rPr>
              <w:t>1</w:t>
            </w:r>
          </w:p>
        </w:tc>
        <w:tc>
          <w:tcPr>
            <w:tcW w:w="775" w:type="dxa"/>
            <w:tcBorders>
              <w:bottom w:val="single" w:sz="4" w:space="0" w:color="D2232A" w:themeColor="accent1"/>
            </w:tcBorders>
            <w:hideMark/>
          </w:tcPr>
          <w:p w14:paraId="0E3BB4D3" w14:textId="77777777" w:rsidR="008878A0" w:rsidRPr="00FD7F29" w:rsidRDefault="3568969E" w:rsidP="00B61330">
            <w:pPr>
              <w:spacing w:before="37" w:after="0"/>
              <w:ind w:left="314"/>
              <w:jc w:val="center"/>
              <w:rPr>
                <w:rFonts w:eastAsia="Arial"/>
              </w:rPr>
            </w:pPr>
            <w:r w:rsidRPr="07E5E1E8">
              <w:rPr>
                <w:rFonts w:eastAsia="Arial"/>
              </w:rPr>
              <w:t>21</w:t>
            </w:r>
          </w:p>
        </w:tc>
        <w:tc>
          <w:tcPr>
            <w:tcW w:w="1117" w:type="dxa"/>
            <w:tcBorders>
              <w:bottom w:val="single" w:sz="4" w:space="0" w:color="D2232A" w:themeColor="accent1"/>
            </w:tcBorders>
            <w:hideMark/>
          </w:tcPr>
          <w:p w14:paraId="2394B30F" w14:textId="77777777" w:rsidR="008878A0" w:rsidRPr="00FD7F29" w:rsidRDefault="008878A0" w:rsidP="00B61330">
            <w:pPr>
              <w:spacing w:before="37" w:after="0"/>
              <w:ind w:left="449"/>
              <w:jc w:val="center"/>
              <w:rPr>
                <w:rFonts w:eastAsia="Arial" w:cstheme="minorHAnsi"/>
                <w:szCs w:val="18"/>
              </w:rPr>
            </w:pPr>
            <w:r w:rsidRPr="00FD7F29">
              <w:rPr>
                <w:rFonts w:eastAsia="Arial" w:cstheme="minorHAnsi"/>
                <w:spacing w:val="-1"/>
                <w:szCs w:val="18"/>
              </w:rPr>
              <w:t>2</w:t>
            </w:r>
            <w:r w:rsidRPr="00FD7F29">
              <w:rPr>
                <w:rFonts w:eastAsia="Arial" w:cstheme="minorHAnsi"/>
                <w:szCs w:val="18"/>
              </w:rPr>
              <w:t>1</w:t>
            </w:r>
          </w:p>
        </w:tc>
        <w:tc>
          <w:tcPr>
            <w:tcW w:w="1051" w:type="dxa"/>
            <w:tcBorders>
              <w:bottom w:val="single" w:sz="4" w:space="0" w:color="D2232A" w:themeColor="accent1"/>
            </w:tcBorders>
            <w:hideMark/>
          </w:tcPr>
          <w:p w14:paraId="1AA606F7" w14:textId="77777777" w:rsidR="008878A0" w:rsidRPr="00FD7F29" w:rsidRDefault="008878A0" w:rsidP="00B61330">
            <w:pPr>
              <w:spacing w:before="37" w:after="0"/>
              <w:ind w:left="464"/>
              <w:jc w:val="center"/>
              <w:rPr>
                <w:rFonts w:eastAsia="Arial" w:cstheme="minorHAnsi"/>
                <w:szCs w:val="18"/>
              </w:rPr>
            </w:pPr>
            <w:r w:rsidRPr="00FD7F29">
              <w:rPr>
                <w:rFonts w:eastAsia="Arial" w:cstheme="minorHAnsi"/>
                <w:spacing w:val="-1"/>
                <w:szCs w:val="18"/>
              </w:rPr>
              <w:t>2</w:t>
            </w:r>
            <w:r w:rsidRPr="00FD7F29">
              <w:rPr>
                <w:rFonts w:eastAsia="Arial" w:cstheme="minorHAnsi"/>
                <w:szCs w:val="18"/>
              </w:rPr>
              <w:t>1</w:t>
            </w:r>
          </w:p>
        </w:tc>
        <w:tc>
          <w:tcPr>
            <w:tcW w:w="1487" w:type="dxa"/>
            <w:tcBorders>
              <w:bottom w:val="single" w:sz="4" w:space="0" w:color="D2232A" w:themeColor="accent1"/>
            </w:tcBorders>
            <w:hideMark/>
          </w:tcPr>
          <w:p w14:paraId="6E65F444" w14:textId="1ED1EECD" w:rsidR="008878A0" w:rsidRPr="00FD7F29" w:rsidRDefault="0F6CCAB3" w:rsidP="00B61330">
            <w:pPr>
              <w:spacing w:before="37" w:after="0"/>
              <w:ind w:left="809"/>
              <w:jc w:val="center"/>
            </w:pPr>
            <w:r w:rsidRPr="07E5E1E8">
              <w:rPr>
                <w:rFonts w:eastAsia="Arial"/>
              </w:rPr>
              <w:t>20</w:t>
            </w:r>
          </w:p>
        </w:tc>
        <w:tc>
          <w:tcPr>
            <w:tcW w:w="1355" w:type="dxa"/>
            <w:tcBorders>
              <w:bottom w:val="single" w:sz="4" w:space="0" w:color="D2232A" w:themeColor="accent1"/>
            </w:tcBorders>
            <w:hideMark/>
          </w:tcPr>
          <w:p w14:paraId="5858B9EE" w14:textId="1F1E8F63" w:rsidR="008878A0" w:rsidRPr="00FD7F29" w:rsidRDefault="0F6CCAB3" w:rsidP="00B61330">
            <w:pPr>
              <w:spacing w:before="37" w:after="0"/>
              <w:ind w:left="869"/>
              <w:jc w:val="center"/>
            </w:pPr>
            <w:r w:rsidRPr="07E5E1E8">
              <w:rPr>
                <w:rFonts w:eastAsia="Arial"/>
              </w:rPr>
              <w:t>21</w:t>
            </w:r>
          </w:p>
        </w:tc>
        <w:tc>
          <w:tcPr>
            <w:tcW w:w="1287" w:type="dxa"/>
            <w:tcBorders>
              <w:bottom w:val="single" w:sz="4" w:space="0" w:color="D2232A" w:themeColor="accent1"/>
            </w:tcBorders>
            <w:hideMark/>
          </w:tcPr>
          <w:p w14:paraId="5EE1C895" w14:textId="090E7515" w:rsidR="008878A0" w:rsidRPr="00FD7F29" w:rsidRDefault="0F6CCAB3" w:rsidP="00B61330">
            <w:pPr>
              <w:spacing w:before="37" w:after="0"/>
              <w:ind w:left="764"/>
              <w:jc w:val="center"/>
            </w:pPr>
            <w:r w:rsidRPr="07E5E1E8">
              <w:rPr>
                <w:rFonts w:eastAsia="Arial"/>
              </w:rPr>
              <w:t>21</w:t>
            </w:r>
          </w:p>
        </w:tc>
      </w:tr>
    </w:tbl>
    <w:p w14:paraId="00A0EB79" w14:textId="1652B9B9" w:rsidR="008878A0" w:rsidRPr="00A40471" w:rsidRDefault="008878A0" w:rsidP="00A40471">
      <w:pPr>
        <w:autoSpaceDE w:val="0"/>
        <w:autoSpaceDN w:val="0"/>
        <w:adjustRightInd w:val="0"/>
        <w:spacing w:after="0" w:line="240" w:lineRule="auto"/>
        <w:rPr>
          <w:rFonts w:eastAsia="ArialNarrow" w:cstheme="minorHAnsi"/>
          <w:i/>
          <w:color w:val="ABABAB" w:themeColor="text1" w:themeTint="A6"/>
          <w:sz w:val="16"/>
          <w:szCs w:val="16"/>
        </w:rPr>
      </w:pPr>
      <w:r w:rsidRPr="00A40471">
        <w:rPr>
          <w:rFonts w:eastAsia="ArialNarrow" w:cstheme="minorHAnsi"/>
          <w:i/>
          <w:color w:val="ABABAB" w:themeColor="text1" w:themeTint="A6"/>
          <w:sz w:val="16"/>
          <w:szCs w:val="16"/>
        </w:rPr>
        <w:t>Izvor: FINA, Analiza financijskih rezultata poslovanja poduzetnika Krapi</w:t>
      </w:r>
      <w:r w:rsidR="00C719D8" w:rsidRPr="00A40471">
        <w:rPr>
          <w:rFonts w:eastAsia="ArialNarrow" w:cstheme="minorHAnsi"/>
          <w:i/>
          <w:color w:val="ABABAB" w:themeColor="text1" w:themeTint="A6"/>
          <w:sz w:val="16"/>
          <w:szCs w:val="16"/>
        </w:rPr>
        <w:t>nsko-zagorske županije u 201</w:t>
      </w:r>
      <w:r w:rsidR="7D20D535" w:rsidRPr="00A40471">
        <w:rPr>
          <w:rFonts w:eastAsia="ArialNarrow" w:cstheme="minorHAnsi"/>
          <w:i/>
          <w:color w:val="ABABAB" w:themeColor="text1" w:themeTint="A6"/>
          <w:sz w:val="16"/>
          <w:szCs w:val="16"/>
        </w:rPr>
        <w:t>9</w:t>
      </w:r>
      <w:r w:rsidR="00C719D8" w:rsidRPr="00A40471">
        <w:rPr>
          <w:rFonts w:eastAsia="ArialNarrow" w:cstheme="minorHAnsi"/>
          <w:i/>
          <w:color w:val="ABABAB" w:themeColor="text1" w:themeTint="A6"/>
          <w:sz w:val="16"/>
          <w:szCs w:val="16"/>
        </w:rPr>
        <w:t>. g</w:t>
      </w:r>
      <w:r w:rsidRPr="00A40471">
        <w:rPr>
          <w:rFonts w:eastAsia="ArialNarrow" w:cstheme="minorHAnsi"/>
          <w:i/>
          <w:color w:val="ABABAB" w:themeColor="text1" w:themeTint="A6"/>
          <w:sz w:val="16"/>
          <w:szCs w:val="16"/>
        </w:rPr>
        <w:t>odini</w:t>
      </w:r>
    </w:p>
    <w:p w14:paraId="6B7039A0" w14:textId="77777777" w:rsidR="00E17D04" w:rsidRDefault="00E17D04" w:rsidP="07E5E1E8">
      <w:pPr>
        <w:rPr>
          <w:rFonts w:eastAsia="Arial"/>
        </w:rPr>
      </w:pPr>
    </w:p>
    <w:p w14:paraId="6E5BB9B6" w14:textId="3D45EABC" w:rsidR="0025746B" w:rsidRDefault="0025746B" w:rsidP="07E5E1E8">
      <w:pPr>
        <w:rPr>
          <w:rFonts w:eastAsia="Arial"/>
        </w:rPr>
      </w:pPr>
      <w:r w:rsidRPr="07E5E1E8">
        <w:rPr>
          <w:rFonts w:eastAsia="Arial"/>
        </w:rPr>
        <w:t>U</w:t>
      </w:r>
      <w:r w:rsidR="5C2F567D" w:rsidRPr="07E5E1E8">
        <w:rPr>
          <w:rFonts w:eastAsia="Arial"/>
        </w:rPr>
        <w:t xml:space="preserve"> odnosu na</w:t>
      </w:r>
      <w:r w:rsidRPr="07E5E1E8">
        <w:rPr>
          <w:rFonts w:eastAsia="Arial"/>
        </w:rPr>
        <w:t xml:space="preserve"> 2018.</w:t>
      </w:r>
      <w:r w:rsidR="61B44194" w:rsidRPr="07E5E1E8">
        <w:rPr>
          <w:rFonts w:eastAsia="Arial"/>
        </w:rPr>
        <w:t xml:space="preserve">, </w:t>
      </w:r>
      <w:r w:rsidR="00E17D04">
        <w:rPr>
          <w:rFonts w:eastAsia="Arial"/>
        </w:rPr>
        <w:t xml:space="preserve">u </w:t>
      </w:r>
      <w:r w:rsidR="61B44194" w:rsidRPr="07E5E1E8">
        <w:rPr>
          <w:rFonts w:eastAsia="Arial"/>
        </w:rPr>
        <w:t>2019. godin</w:t>
      </w:r>
      <w:r w:rsidR="00E17D04">
        <w:rPr>
          <w:rFonts w:eastAsia="Arial"/>
        </w:rPr>
        <w:t>i</w:t>
      </w:r>
      <w:r w:rsidR="61B44194" w:rsidRPr="07E5E1E8">
        <w:rPr>
          <w:rFonts w:eastAsia="Arial"/>
        </w:rPr>
        <w:t xml:space="preserve"> Krapinsko-zagorska županija rangirana je za dva mjesta više</w:t>
      </w:r>
      <w:r w:rsidR="50ECA141" w:rsidRPr="07E5E1E8">
        <w:rPr>
          <w:rFonts w:eastAsia="Arial"/>
        </w:rPr>
        <w:t xml:space="preserve"> po neto dobiti </w:t>
      </w:r>
      <w:r w:rsidR="598A4CA4" w:rsidRPr="07E5E1E8">
        <w:rPr>
          <w:rFonts w:eastAsia="Arial"/>
        </w:rPr>
        <w:t xml:space="preserve">po zaposlenom </w:t>
      </w:r>
      <w:r w:rsidR="50ECA141" w:rsidRPr="07E5E1E8">
        <w:rPr>
          <w:rFonts w:eastAsia="Arial"/>
        </w:rPr>
        <w:t>(</w:t>
      </w:r>
      <w:r w:rsidR="3E424ECF" w:rsidRPr="07E5E1E8">
        <w:rPr>
          <w:rFonts w:eastAsia="Arial"/>
        </w:rPr>
        <w:t xml:space="preserve">pomak </w:t>
      </w:r>
      <w:r w:rsidR="50ECA141" w:rsidRPr="07E5E1E8">
        <w:rPr>
          <w:rFonts w:eastAsia="Arial"/>
        </w:rPr>
        <w:t xml:space="preserve">s 11. </w:t>
      </w:r>
      <w:r w:rsidR="043D59A0" w:rsidRPr="07E5E1E8">
        <w:rPr>
          <w:rFonts w:eastAsia="Arial"/>
        </w:rPr>
        <w:t>n</w:t>
      </w:r>
      <w:r w:rsidR="70153BAF" w:rsidRPr="07E5E1E8">
        <w:rPr>
          <w:rFonts w:eastAsia="Arial"/>
        </w:rPr>
        <w:t xml:space="preserve">a 9. mjesto) </w:t>
      </w:r>
      <w:r w:rsidR="0255C11A" w:rsidRPr="07E5E1E8">
        <w:rPr>
          <w:rFonts w:eastAsia="Arial"/>
        </w:rPr>
        <w:t>te za jedno mjesto više prema neto dobiti i broju poduzetnika.</w:t>
      </w:r>
      <w:r w:rsidRPr="07E5E1E8">
        <w:rPr>
          <w:rFonts w:eastAsia="Arial"/>
        </w:rPr>
        <w:t xml:space="preserve"> </w:t>
      </w:r>
      <w:r w:rsidR="03B75477" w:rsidRPr="07E5E1E8">
        <w:rPr>
          <w:rFonts w:eastAsia="Arial"/>
        </w:rPr>
        <w:t>Lo</w:t>
      </w:r>
      <w:r w:rsidRPr="07E5E1E8">
        <w:rPr>
          <w:rFonts w:eastAsia="Arial"/>
        </w:rPr>
        <w:t xml:space="preserve">šije je rangirana prema </w:t>
      </w:r>
      <w:r w:rsidR="37822C25" w:rsidRPr="07E5E1E8">
        <w:rPr>
          <w:rFonts w:eastAsia="Arial"/>
        </w:rPr>
        <w:t>ukupnim prihodima po zaposlenom (pomak s 9. na 11. mjesto) i ekonomičnosti poslovanja (pomak s 3. na 4. mjesto).</w:t>
      </w:r>
      <w:r w:rsidR="007130F8">
        <w:rPr>
          <w:rFonts w:eastAsia="Arial"/>
        </w:rPr>
        <w:t xml:space="preserve"> </w:t>
      </w:r>
      <w:r w:rsidR="00B61330">
        <w:rPr>
          <w:rFonts w:eastAsia="Arial"/>
        </w:rPr>
        <w:t>U odnosu na 2018. godinu u 2019. godini</w:t>
      </w:r>
      <w:r w:rsidRPr="07E5E1E8">
        <w:rPr>
          <w:rFonts w:eastAsia="Arial"/>
        </w:rPr>
        <w:t xml:space="preserve"> </w:t>
      </w:r>
      <w:r w:rsidR="00B61330">
        <w:rPr>
          <w:rFonts w:eastAsia="Arial"/>
        </w:rPr>
        <w:t>n</w:t>
      </w:r>
      <w:r w:rsidR="35B7C0F6" w:rsidRPr="07E5E1E8">
        <w:rPr>
          <w:rFonts w:eastAsia="Arial"/>
        </w:rPr>
        <w:t>ije bilo promjene ranga po broju zaposlenih (11. mjesto).</w:t>
      </w:r>
    </w:p>
    <w:p w14:paraId="3E4B07B0" w14:textId="77777777" w:rsidR="00922BC7" w:rsidRPr="00335757" w:rsidRDefault="00922BC7" w:rsidP="07E5E1E8">
      <w:pPr>
        <w:rPr>
          <w:rFonts w:eastAsia="Arial"/>
        </w:rPr>
      </w:pPr>
    </w:p>
    <w:p w14:paraId="293C5E35" w14:textId="2C9161B2" w:rsidR="008878A0" w:rsidRDefault="00B601EE" w:rsidP="0052192B">
      <w:pPr>
        <w:pStyle w:val="Naslov2"/>
      </w:pPr>
      <w:bookmarkStart w:id="138" w:name="_Toc85181326"/>
      <w:r>
        <w:t>10</w:t>
      </w:r>
      <w:r w:rsidR="008878A0">
        <w:t>.</w:t>
      </w:r>
      <w:r w:rsidR="00CA194F">
        <w:t>2</w:t>
      </w:r>
      <w:r w:rsidR="008878A0">
        <w:t xml:space="preserve">.2. </w:t>
      </w:r>
      <w:r w:rsidR="00F92855">
        <w:t xml:space="preserve">Usporedba </w:t>
      </w:r>
      <w:r w:rsidR="008878A0">
        <w:t>poslovanja poduzetnika Krapine s poslovanj</w:t>
      </w:r>
      <w:r w:rsidR="00F92855">
        <w:t>em</w:t>
      </w:r>
      <w:r w:rsidR="008878A0">
        <w:t xml:space="preserve"> poduzetnika u drugim gradovima – županijskim središtima</w:t>
      </w:r>
      <w:bookmarkEnd w:id="138"/>
    </w:p>
    <w:p w14:paraId="0BF6DBBE" w14:textId="77777777" w:rsidR="008878A0" w:rsidRDefault="008878A0" w:rsidP="00941871">
      <w:pPr>
        <w:rPr>
          <w:rFonts w:eastAsia="Arial Narrow" w:cstheme="minorHAnsi"/>
          <w:color w:val="4E81BD"/>
          <w:spacing w:val="1"/>
          <w:sz w:val="24"/>
          <w:szCs w:val="24"/>
        </w:rPr>
      </w:pPr>
    </w:p>
    <w:p w14:paraId="0561DD54" w14:textId="6118F418" w:rsidR="00933A6E" w:rsidRPr="00A40471" w:rsidRDefault="008878A0" w:rsidP="00A40471">
      <w:pPr>
        <w:spacing w:line="288" w:lineRule="auto"/>
        <w:ind w:left="113" w:right="77"/>
        <w:rPr>
          <w:rFonts w:eastAsia="Arial"/>
          <w:w w:val="101"/>
        </w:rPr>
      </w:pPr>
      <w:r w:rsidRPr="07E5E1E8">
        <w:rPr>
          <w:rFonts w:eastAsia="Arial"/>
        </w:rPr>
        <w:t>Ž</w:t>
      </w:r>
      <w:r w:rsidRPr="07E5E1E8">
        <w:rPr>
          <w:rFonts w:eastAsia="Arial"/>
          <w:spacing w:val="-2"/>
        </w:rPr>
        <w:t>upani</w:t>
      </w:r>
      <w:r w:rsidRPr="07E5E1E8">
        <w:rPr>
          <w:rFonts w:eastAsia="Arial"/>
          <w:spacing w:val="3"/>
        </w:rPr>
        <w:t>j</w:t>
      </w:r>
      <w:r w:rsidRPr="07E5E1E8">
        <w:rPr>
          <w:rFonts w:eastAsia="Arial"/>
          <w:spacing w:val="-5"/>
        </w:rPr>
        <w:t>s</w:t>
      </w:r>
      <w:r w:rsidRPr="07E5E1E8">
        <w:rPr>
          <w:rFonts w:eastAsia="Arial"/>
        </w:rPr>
        <w:t>ko</w:t>
      </w:r>
      <w:r w:rsidRPr="07E5E1E8">
        <w:rPr>
          <w:spacing w:val="16"/>
        </w:rPr>
        <w:t xml:space="preserve"> </w:t>
      </w:r>
      <w:r w:rsidRPr="07E5E1E8">
        <w:rPr>
          <w:rFonts w:eastAsia="Arial"/>
          <w:spacing w:val="-5"/>
        </w:rPr>
        <w:t>s</w:t>
      </w:r>
      <w:r w:rsidRPr="07E5E1E8">
        <w:rPr>
          <w:rFonts w:eastAsia="Arial"/>
        </w:rPr>
        <w:t>r</w:t>
      </w:r>
      <w:r w:rsidRPr="07E5E1E8">
        <w:rPr>
          <w:rFonts w:eastAsia="Arial"/>
          <w:spacing w:val="-2"/>
        </w:rPr>
        <w:t>ed</w:t>
      </w:r>
      <w:r w:rsidRPr="07E5E1E8">
        <w:rPr>
          <w:rFonts w:eastAsia="Arial"/>
          <w:spacing w:val="3"/>
        </w:rPr>
        <w:t>i</w:t>
      </w:r>
      <w:r w:rsidRPr="07E5E1E8">
        <w:rPr>
          <w:rFonts w:eastAsia="Arial"/>
          <w:spacing w:val="-5"/>
        </w:rPr>
        <w:t>š</w:t>
      </w:r>
      <w:r w:rsidRPr="07E5E1E8">
        <w:rPr>
          <w:rFonts w:eastAsia="Arial"/>
          <w:spacing w:val="2"/>
        </w:rPr>
        <w:t>t</w:t>
      </w:r>
      <w:r w:rsidRPr="07E5E1E8">
        <w:rPr>
          <w:rFonts w:eastAsia="Arial"/>
        </w:rPr>
        <w:t>e</w:t>
      </w:r>
      <w:r w:rsidRPr="07E5E1E8">
        <w:rPr>
          <w:spacing w:val="17"/>
        </w:rPr>
        <w:t xml:space="preserve"> </w:t>
      </w:r>
      <w:r w:rsidRPr="07E5E1E8">
        <w:rPr>
          <w:rFonts w:eastAsia="Arial"/>
        </w:rPr>
        <w:t>Kr</w:t>
      </w:r>
      <w:r w:rsidRPr="07E5E1E8">
        <w:rPr>
          <w:rFonts w:eastAsia="Arial"/>
          <w:spacing w:val="-2"/>
        </w:rPr>
        <w:t>ap</w:t>
      </w:r>
      <w:r w:rsidRPr="07E5E1E8">
        <w:rPr>
          <w:rFonts w:eastAsia="Arial"/>
          <w:spacing w:val="3"/>
        </w:rPr>
        <w:t>in</w:t>
      </w:r>
      <w:r w:rsidRPr="07E5E1E8">
        <w:rPr>
          <w:rFonts w:eastAsia="Arial"/>
          <w:spacing w:val="-5"/>
        </w:rPr>
        <w:t>s</w:t>
      </w:r>
      <w:r w:rsidRPr="07E5E1E8">
        <w:rPr>
          <w:rFonts w:eastAsia="Arial"/>
        </w:rPr>
        <w:t>k</w:t>
      </w:r>
      <w:r w:rsidRPr="07E5E1E8">
        <w:rPr>
          <w:rFonts w:eastAsia="Arial"/>
          <w:spacing w:val="-2"/>
        </w:rPr>
        <w:t>o</w:t>
      </w:r>
      <w:r w:rsidRPr="07E5E1E8">
        <w:rPr>
          <w:rFonts w:eastAsia="Arial"/>
        </w:rPr>
        <w:t>-z</w:t>
      </w:r>
      <w:r w:rsidRPr="07E5E1E8">
        <w:rPr>
          <w:rFonts w:eastAsia="Arial"/>
          <w:spacing w:val="-2"/>
        </w:rPr>
        <w:t>ago</w:t>
      </w:r>
      <w:r w:rsidRPr="07E5E1E8">
        <w:rPr>
          <w:rFonts w:eastAsia="Arial"/>
        </w:rPr>
        <w:t>r</w:t>
      </w:r>
      <w:r w:rsidRPr="07E5E1E8">
        <w:rPr>
          <w:rFonts w:eastAsia="Arial"/>
          <w:spacing w:val="-5"/>
        </w:rPr>
        <w:t>s</w:t>
      </w:r>
      <w:r w:rsidRPr="07E5E1E8">
        <w:rPr>
          <w:rFonts w:eastAsia="Arial"/>
        </w:rPr>
        <w:t>ke</w:t>
      </w:r>
      <w:r w:rsidRPr="07E5E1E8">
        <w:rPr>
          <w:spacing w:val="20"/>
        </w:rPr>
        <w:t xml:space="preserve"> </w:t>
      </w:r>
      <w:r w:rsidRPr="07E5E1E8">
        <w:rPr>
          <w:rFonts w:eastAsia="Arial"/>
        </w:rPr>
        <w:t>ž</w:t>
      </w:r>
      <w:r w:rsidRPr="07E5E1E8">
        <w:rPr>
          <w:rFonts w:eastAsia="Arial"/>
          <w:spacing w:val="-2"/>
        </w:rPr>
        <w:t>up</w:t>
      </w:r>
      <w:r w:rsidRPr="07E5E1E8">
        <w:rPr>
          <w:rFonts w:eastAsia="Arial"/>
          <w:spacing w:val="3"/>
        </w:rPr>
        <w:t>a</w:t>
      </w:r>
      <w:r w:rsidRPr="07E5E1E8">
        <w:rPr>
          <w:rFonts w:eastAsia="Arial"/>
          <w:spacing w:val="-2"/>
        </w:rPr>
        <w:t>n</w:t>
      </w:r>
      <w:r w:rsidRPr="07E5E1E8">
        <w:rPr>
          <w:rFonts w:eastAsia="Arial"/>
          <w:spacing w:val="3"/>
        </w:rPr>
        <w:t>ij</w:t>
      </w:r>
      <w:r w:rsidRPr="07E5E1E8">
        <w:rPr>
          <w:rFonts w:eastAsia="Arial"/>
          <w:spacing w:val="-6"/>
        </w:rPr>
        <w:t>e</w:t>
      </w:r>
      <w:r w:rsidRPr="07E5E1E8">
        <w:rPr>
          <w:rFonts w:eastAsia="Arial"/>
        </w:rPr>
        <w:t>,</w:t>
      </w:r>
      <w:r w:rsidRPr="07E5E1E8">
        <w:rPr>
          <w:spacing w:val="20"/>
        </w:rPr>
        <w:t xml:space="preserve"> Krapina, </w:t>
      </w:r>
      <w:r w:rsidRPr="07E5E1E8">
        <w:rPr>
          <w:rFonts w:eastAsia="Arial"/>
          <w:spacing w:val="-2"/>
        </w:rPr>
        <w:t>n</w:t>
      </w:r>
      <w:r w:rsidRPr="07E5E1E8">
        <w:rPr>
          <w:rFonts w:eastAsia="Arial"/>
        </w:rPr>
        <w:t>a</w:t>
      </w:r>
      <w:r w:rsidRPr="07E5E1E8">
        <w:rPr>
          <w:spacing w:val="16"/>
        </w:rPr>
        <w:t xml:space="preserve"> </w:t>
      </w:r>
      <w:r w:rsidRPr="07E5E1E8">
        <w:rPr>
          <w:rFonts w:eastAsia="Arial"/>
          <w:spacing w:val="-2"/>
        </w:rPr>
        <w:t>20</w:t>
      </w:r>
      <w:r w:rsidRPr="07E5E1E8">
        <w:rPr>
          <w:rFonts w:eastAsia="Arial"/>
          <w:spacing w:val="2"/>
        </w:rPr>
        <w:t>.</w:t>
      </w:r>
      <w:r w:rsidRPr="07E5E1E8">
        <w:rPr>
          <w:spacing w:val="18"/>
        </w:rPr>
        <w:t xml:space="preserve"> </w:t>
      </w:r>
      <w:r w:rsidRPr="07E5E1E8">
        <w:rPr>
          <w:rFonts w:eastAsia="Arial"/>
          <w:spacing w:val="3"/>
        </w:rPr>
        <w:t>j</w:t>
      </w:r>
      <w:r w:rsidRPr="07E5E1E8">
        <w:rPr>
          <w:rFonts w:eastAsia="Arial"/>
        </w:rPr>
        <w:t>e</w:t>
      </w:r>
      <w:r w:rsidRPr="07E5E1E8">
        <w:rPr>
          <w:spacing w:val="11"/>
        </w:rPr>
        <w:t xml:space="preserve"> </w:t>
      </w:r>
      <w:r w:rsidRPr="07E5E1E8">
        <w:rPr>
          <w:rFonts w:eastAsia="Arial"/>
        </w:rPr>
        <w:t>m</w:t>
      </w:r>
      <w:r w:rsidRPr="07E5E1E8">
        <w:rPr>
          <w:rFonts w:eastAsia="Arial"/>
          <w:spacing w:val="3"/>
        </w:rPr>
        <w:t>j</w:t>
      </w:r>
      <w:r w:rsidRPr="07E5E1E8">
        <w:rPr>
          <w:rFonts w:eastAsia="Arial"/>
          <w:spacing w:val="-2"/>
        </w:rPr>
        <w:t>e</w:t>
      </w:r>
      <w:r w:rsidRPr="07E5E1E8">
        <w:rPr>
          <w:rFonts w:eastAsia="Arial"/>
          <w:spacing w:val="-5"/>
        </w:rPr>
        <w:t>s</w:t>
      </w:r>
      <w:r w:rsidRPr="07E5E1E8">
        <w:rPr>
          <w:rFonts w:eastAsia="Arial"/>
          <w:spacing w:val="2"/>
        </w:rPr>
        <w:t>t</w:t>
      </w:r>
      <w:r w:rsidRPr="07E5E1E8">
        <w:rPr>
          <w:rFonts w:eastAsia="Arial"/>
        </w:rPr>
        <w:t>u</w:t>
      </w:r>
      <w:r w:rsidRPr="07E5E1E8">
        <w:rPr>
          <w:spacing w:val="17"/>
        </w:rPr>
        <w:t xml:space="preserve"> </w:t>
      </w:r>
      <w:r w:rsidRPr="07E5E1E8">
        <w:rPr>
          <w:rFonts w:eastAsia="Arial"/>
          <w:spacing w:val="5"/>
        </w:rPr>
        <w:t>m</w:t>
      </w:r>
      <w:r w:rsidRPr="07E5E1E8">
        <w:rPr>
          <w:rFonts w:eastAsia="Arial"/>
          <w:spacing w:val="-2"/>
        </w:rPr>
        <w:t>eđ</w:t>
      </w:r>
      <w:r w:rsidRPr="07E5E1E8">
        <w:rPr>
          <w:rFonts w:eastAsia="Arial"/>
        </w:rPr>
        <w:t>u</w:t>
      </w:r>
      <w:r w:rsidRPr="07E5E1E8">
        <w:rPr>
          <w:spacing w:val="16"/>
        </w:rPr>
        <w:t xml:space="preserve"> </w:t>
      </w:r>
      <w:r w:rsidRPr="07E5E1E8">
        <w:rPr>
          <w:rFonts w:eastAsia="Arial"/>
        </w:rPr>
        <w:t>ž</w:t>
      </w:r>
      <w:r w:rsidRPr="07E5E1E8">
        <w:rPr>
          <w:rFonts w:eastAsia="Arial"/>
          <w:spacing w:val="-2"/>
        </w:rPr>
        <w:t>upan</w:t>
      </w:r>
      <w:r w:rsidRPr="07E5E1E8">
        <w:rPr>
          <w:rFonts w:eastAsia="Arial"/>
          <w:spacing w:val="3"/>
        </w:rPr>
        <w:t>ij</w:t>
      </w:r>
      <w:r w:rsidRPr="07E5E1E8">
        <w:rPr>
          <w:rFonts w:eastAsia="Arial"/>
          <w:spacing w:val="-5"/>
        </w:rPr>
        <w:t>s</w:t>
      </w:r>
      <w:r w:rsidRPr="07E5E1E8">
        <w:rPr>
          <w:rFonts w:eastAsia="Arial"/>
        </w:rPr>
        <w:t>k</w:t>
      </w:r>
      <w:r w:rsidRPr="07E5E1E8">
        <w:rPr>
          <w:rFonts w:eastAsia="Arial"/>
          <w:spacing w:val="-2"/>
        </w:rPr>
        <w:t>i</w:t>
      </w:r>
      <w:r w:rsidRPr="07E5E1E8">
        <w:rPr>
          <w:rFonts w:eastAsia="Arial"/>
        </w:rPr>
        <w:t>m</w:t>
      </w:r>
      <w:r w:rsidRPr="07E5E1E8">
        <w:rPr>
          <w:spacing w:val="17"/>
        </w:rPr>
        <w:t xml:space="preserve"> </w:t>
      </w:r>
      <w:r w:rsidRPr="07E5E1E8">
        <w:rPr>
          <w:rFonts w:eastAsia="Arial"/>
          <w:spacing w:val="-5"/>
        </w:rPr>
        <w:t>s</w:t>
      </w:r>
      <w:r w:rsidRPr="07E5E1E8">
        <w:rPr>
          <w:rFonts w:eastAsia="Arial"/>
        </w:rPr>
        <w:t>r</w:t>
      </w:r>
      <w:r w:rsidRPr="07E5E1E8">
        <w:rPr>
          <w:rFonts w:eastAsia="Arial"/>
          <w:spacing w:val="-2"/>
        </w:rPr>
        <w:t>ed</w:t>
      </w:r>
      <w:r w:rsidRPr="07E5E1E8">
        <w:rPr>
          <w:rFonts w:eastAsia="Arial"/>
          <w:spacing w:val="3"/>
        </w:rPr>
        <w:t>i</w:t>
      </w:r>
      <w:r w:rsidRPr="07E5E1E8">
        <w:rPr>
          <w:rFonts w:eastAsia="Arial"/>
          <w:spacing w:val="-5"/>
        </w:rPr>
        <w:t>š</w:t>
      </w:r>
      <w:r w:rsidRPr="07E5E1E8">
        <w:rPr>
          <w:rFonts w:eastAsia="Arial"/>
          <w:spacing w:val="2"/>
          <w:w w:val="101"/>
        </w:rPr>
        <w:t>t</w:t>
      </w:r>
      <w:r w:rsidRPr="07E5E1E8">
        <w:rPr>
          <w:rFonts w:eastAsia="Arial"/>
          <w:spacing w:val="-2"/>
        </w:rPr>
        <w:t>i</w:t>
      </w:r>
      <w:r w:rsidRPr="07E5E1E8">
        <w:rPr>
          <w:rFonts w:eastAsia="Arial"/>
          <w:spacing w:val="5"/>
        </w:rPr>
        <w:t>m</w:t>
      </w:r>
      <w:r w:rsidRPr="07E5E1E8">
        <w:rPr>
          <w:rFonts w:eastAsia="Arial"/>
        </w:rPr>
        <w:t>a</w:t>
      </w:r>
      <w:r w:rsidRPr="07E5E1E8">
        <w:t xml:space="preserve"> </w:t>
      </w:r>
      <w:r w:rsidRPr="07E5E1E8">
        <w:rPr>
          <w:rFonts w:eastAsia="Arial"/>
          <w:spacing w:val="-2"/>
        </w:rPr>
        <w:t>p</w:t>
      </w:r>
      <w:r w:rsidRPr="07E5E1E8">
        <w:rPr>
          <w:rFonts w:eastAsia="Arial"/>
        </w:rPr>
        <w:t>o</w:t>
      </w:r>
      <w:r w:rsidRPr="07E5E1E8">
        <w:t xml:space="preserve"> </w:t>
      </w:r>
      <w:r w:rsidRPr="07E5E1E8">
        <w:rPr>
          <w:rFonts w:eastAsia="Arial"/>
          <w:spacing w:val="-2"/>
        </w:rPr>
        <w:t>b</w:t>
      </w:r>
      <w:r w:rsidRPr="07E5E1E8">
        <w:rPr>
          <w:rFonts w:eastAsia="Arial"/>
        </w:rPr>
        <w:t>r</w:t>
      </w:r>
      <w:r w:rsidRPr="07E5E1E8">
        <w:rPr>
          <w:rFonts w:eastAsia="Arial"/>
          <w:spacing w:val="-2"/>
        </w:rPr>
        <w:t>o</w:t>
      </w:r>
      <w:r w:rsidRPr="07E5E1E8">
        <w:rPr>
          <w:rFonts w:eastAsia="Arial"/>
          <w:spacing w:val="3"/>
        </w:rPr>
        <w:t>j</w:t>
      </w:r>
      <w:r w:rsidRPr="07E5E1E8">
        <w:rPr>
          <w:rFonts w:eastAsia="Arial"/>
        </w:rPr>
        <w:t>u</w:t>
      </w:r>
      <w:r w:rsidRPr="07E5E1E8">
        <w:t xml:space="preserve"> </w:t>
      </w:r>
      <w:r w:rsidRPr="07E5E1E8">
        <w:rPr>
          <w:rFonts w:eastAsia="Arial"/>
          <w:spacing w:val="-2"/>
        </w:rPr>
        <w:t>podu</w:t>
      </w:r>
      <w:r w:rsidRPr="07E5E1E8">
        <w:rPr>
          <w:rFonts w:eastAsia="Arial"/>
        </w:rPr>
        <w:t>z</w:t>
      </w:r>
      <w:r w:rsidRPr="07E5E1E8">
        <w:rPr>
          <w:rFonts w:eastAsia="Arial"/>
          <w:spacing w:val="-2"/>
        </w:rPr>
        <w:t>e</w:t>
      </w:r>
      <w:r w:rsidRPr="07E5E1E8">
        <w:rPr>
          <w:rFonts w:eastAsia="Arial"/>
          <w:spacing w:val="2"/>
        </w:rPr>
        <w:t>t</w:t>
      </w:r>
      <w:r w:rsidRPr="07E5E1E8">
        <w:rPr>
          <w:rFonts w:eastAsia="Arial"/>
          <w:spacing w:val="-2"/>
        </w:rPr>
        <w:t>n</w:t>
      </w:r>
      <w:r w:rsidRPr="07E5E1E8">
        <w:rPr>
          <w:rFonts w:eastAsia="Arial"/>
          <w:spacing w:val="3"/>
        </w:rPr>
        <w:t>i</w:t>
      </w:r>
      <w:r w:rsidRPr="07E5E1E8">
        <w:rPr>
          <w:rFonts w:eastAsia="Arial"/>
        </w:rPr>
        <w:t>ka</w:t>
      </w:r>
      <w:r w:rsidRPr="07E5E1E8">
        <w:t xml:space="preserve"> (</w:t>
      </w:r>
      <w:r w:rsidRPr="07E5E1E8">
        <w:rPr>
          <w:rFonts w:eastAsia="Arial"/>
        </w:rPr>
        <w:t>kojih je u 201</w:t>
      </w:r>
      <w:r w:rsidR="7593C4A4" w:rsidRPr="4E193667">
        <w:rPr>
          <w:rFonts w:eastAsia="Arial"/>
        </w:rPr>
        <w:t>9</w:t>
      </w:r>
      <w:r w:rsidRPr="07E5E1E8">
        <w:rPr>
          <w:rFonts w:eastAsia="Arial"/>
        </w:rPr>
        <w:t>. godine bilo 3</w:t>
      </w:r>
      <w:r w:rsidR="7CFCFC39" w:rsidRPr="07E5E1E8">
        <w:rPr>
          <w:rFonts w:eastAsia="Arial"/>
        </w:rPr>
        <w:t>2</w:t>
      </w:r>
      <w:r w:rsidRPr="07E5E1E8">
        <w:rPr>
          <w:rFonts w:eastAsia="Arial"/>
        </w:rPr>
        <w:t>1),</w:t>
      </w:r>
      <w:r w:rsidRPr="07E5E1E8">
        <w:rPr>
          <w:spacing w:val="3"/>
        </w:rPr>
        <w:t xml:space="preserve"> </w:t>
      </w:r>
      <w:r w:rsidRPr="07E5E1E8">
        <w:rPr>
          <w:rFonts w:eastAsia="Arial"/>
          <w:spacing w:val="-2"/>
        </w:rPr>
        <w:t>do</w:t>
      </w:r>
      <w:r w:rsidRPr="07E5E1E8">
        <w:rPr>
          <w:rFonts w:eastAsia="Arial"/>
        </w:rPr>
        <w:t>k</w:t>
      </w:r>
      <w:r w:rsidRPr="07E5E1E8">
        <w:rPr>
          <w:spacing w:val="1"/>
        </w:rPr>
        <w:t xml:space="preserve"> </w:t>
      </w:r>
      <w:r w:rsidRPr="07E5E1E8">
        <w:rPr>
          <w:rFonts w:eastAsia="Arial"/>
          <w:spacing w:val="3"/>
        </w:rPr>
        <w:t>j</w:t>
      </w:r>
      <w:r w:rsidRPr="07E5E1E8">
        <w:rPr>
          <w:rFonts w:eastAsia="Arial"/>
        </w:rPr>
        <w:t>e</w:t>
      </w:r>
      <w:r w:rsidRPr="07E5E1E8">
        <w:t xml:space="preserve"> </w:t>
      </w:r>
      <w:r w:rsidRPr="07E5E1E8">
        <w:rPr>
          <w:rFonts w:eastAsia="Arial"/>
          <w:spacing w:val="-2"/>
        </w:rPr>
        <w:t>n</w:t>
      </w:r>
      <w:r w:rsidRPr="07E5E1E8">
        <w:rPr>
          <w:rFonts w:eastAsia="Arial"/>
        </w:rPr>
        <w:t>a</w:t>
      </w:r>
      <w:r w:rsidRPr="07E5E1E8">
        <w:t xml:space="preserve"> </w:t>
      </w:r>
      <w:r w:rsidRPr="07E5E1E8">
        <w:rPr>
          <w:rFonts w:eastAsia="Arial"/>
        </w:rPr>
        <w:t>r</w:t>
      </w:r>
      <w:r w:rsidRPr="07E5E1E8">
        <w:rPr>
          <w:rFonts w:eastAsia="Arial"/>
          <w:spacing w:val="-2"/>
        </w:rPr>
        <w:t>a</w:t>
      </w:r>
      <w:r w:rsidRPr="07E5E1E8">
        <w:rPr>
          <w:rFonts w:eastAsia="Arial"/>
        </w:rPr>
        <w:t>z</w:t>
      </w:r>
      <w:r w:rsidRPr="07E5E1E8">
        <w:rPr>
          <w:rFonts w:eastAsia="Arial"/>
          <w:spacing w:val="3"/>
        </w:rPr>
        <w:t>i</w:t>
      </w:r>
      <w:r w:rsidRPr="07E5E1E8">
        <w:rPr>
          <w:rFonts w:eastAsia="Arial"/>
          <w:spacing w:val="-2"/>
        </w:rPr>
        <w:t>n</w:t>
      </w:r>
      <w:r w:rsidRPr="07E5E1E8">
        <w:rPr>
          <w:rFonts w:eastAsia="Arial"/>
        </w:rPr>
        <w:t>i</w:t>
      </w:r>
      <w:r w:rsidRPr="07E5E1E8">
        <w:rPr>
          <w:spacing w:val="4"/>
        </w:rPr>
        <w:t xml:space="preserve"> </w:t>
      </w:r>
      <w:r w:rsidRPr="07E5E1E8">
        <w:rPr>
          <w:rFonts w:eastAsia="Arial"/>
          <w:spacing w:val="-1"/>
        </w:rPr>
        <w:t>R</w:t>
      </w:r>
      <w:r w:rsidRPr="07E5E1E8">
        <w:rPr>
          <w:rFonts w:eastAsia="Arial"/>
        </w:rPr>
        <w:t>H</w:t>
      </w:r>
      <w:r w:rsidRPr="07E5E1E8">
        <w:t xml:space="preserve"> </w:t>
      </w:r>
      <w:r w:rsidRPr="07E5E1E8">
        <w:rPr>
          <w:rFonts w:eastAsia="Arial"/>
          <w:spacing w:val="-2"/>
        </w:rPr>
        <w:t>n</w:t>
      </w:r>
      <w:r w:rsidRPr="07E5E1E8">
        <w:rPr>
          <w:rFonts w:eastAsia="Arial"/>
        </w:rPr>
        <w:t>a</w:t>
      </w:r>
      <w:r w:rsidRPr="07E5E1E8">
        <w:t xml:space="preserve"> </w:t>
      </w:r>
      <w:r w:rsidRPr="07E5E1E8">
        <w:rPr>
          <w:rFonts w:eastAsia="Arial"/>
          <w:spacing w:val="-2"/>
        </w:rPr>
        <w:t>5</w:t>
      </w:r>
      <w:r w:rsidR="18E0D743" w:rsidRPr="07E5E1E8">
        <w:rPr>
          <w:rFonts w:eastAsia="Arial"/>
          <w:spacing w:val="-2"/>
        </w:rPr>
        <w:t>6</w:t>
      </w:r>
      <w:r w:rsidRPr="07E5E1E8">
        <w:rPr>
          <w:rFonts w:eastAsia="Arial"/>
          <w:spacing w:val="2"/>
        </w:rPr>
        <w:t>.</w:t>
      </w:r>
      <w:r w:rsidRPr="07E5E1E8">
        <w:rPr>
          <w:spacing w:val="1"/>
        </w:rPr>
        <w:t xml:space="preserve"> </w:t>
      </w:r>
      <w:r w:rsidRPr="07E5E1E8">
        <w:rPr>
          <w:rFonts w:eastAsia="Arial"/>
        </w:rPr>
        <w:t>m</w:t>
      </w:r>
      <w:r w:rsidRPr="07E5E1E8">
        <w:rPr>
          <w:rFonts w:eastAsia="Arial"/>
          <w:spacing w:val="3"/>
        </w:rPr>
        <w:t>j</w:t>
      </w:r>
      <w:r w:rsidRPr="07E5E1E8">
        <w:rPr>
          <w:rFonts w:eastAsia="Arial"/>
          <w:spacing w:val="-2"/>
        </w:rPr>
        <w:t>e</w:t>
      </w:r>
      <w:r w:rsidRPr="07E5E1E8">
        <w:rPr>
          <w:rFonts w:eastAsia="Arial"/>
          <w:spacing w:val="-5"/>
        </w:rPr>
        <w:t>s</w:t>
      </w:r>
      <w:r w:rsidRPr="07E5E1E8">
        <w:rPr>
          <w:rFonts w:eastAsia="Arial"/>
          <w:spacing w:val="2"/>
        </w:rPr>
        <w:t>t</w:t>
      </w:r>
      <w:r w:rsidRPr="07E5E1E8">
        <w:rPr>
          <w:rFonts w:eastAsia="Arial"/>
          <w:spacing w:val="-2"/>
        </w:rPr>
        <w:t>u</w:t>
      </w:r>
      <w:r w:rsidRPr="07E5E1E8">
        <w:rPr>
          <w:rFonts w:eastAsia="Arial"/>
        </w:rPr>
        <w:t>.</w:t>
      </w:r>
      <w:r w:rsidRPr="07E5E1E8">
        <w:rPr>
          <w:spacing w:val="3"/>
        </w:rPr>
        <w:t xml:space="preserve"> </w:t>
      </w:r>
      <w:r w:rsidRPr="07E5E1E8">
        <w:rPr>
          <w:rFonts w:eastAsia="Arial"/>
        </w:rPr>
        <w:t>Po</w:t>
      </w:r>
      <w:r w:rsidRPr="07E5E1E8">
        <w:t xml:space="preserve"> </w:t>
      </w:r>
      <w:r w:rsidRPr="07E5E1E8">
        <w:rPr>
          <w:rFonts w:eastAsia="Arial"/>
          <w:spacing w:val="-2"/>
        </w:rPr>
        <w:t>b</w:t>
      </w:r>
      <w:r w:rsidRPr="07E5E1E8">
        <w:rPr>
          <w:rFonts w:eastAsia="Arial"/>
        </w:rPr>
        <w:t>r</w:t>
      </w:r>
      <w:r w:rsidRPr="07E5E1E8">
        <w:rPr>
          <w:rFonts w:eastAsia="Arial"/>
          <w:spacing w:val="-2"/>
        </w:rPr>
        <w:t>o</w:t>
      </w:r>
      <w:r w:rsidRPr="07E5E1E8">
        <w:rPr>
          <w:rFonts w:eastAsia="Arial"/>
          <w:spacing w:val="3"/>
        </w:rPr>
        <w:t>j</w:t>
      </w:r>
      <w:r w:rsidRPr="07E5E1E8">
        <w:rPr>
          <w:rFonts w:eastAsia="Arial"/>
        </w:rPr>
        <w:t>u</w:t>
      </w:r>
      <w:r w:rsidRPr="07E5E1E8">
        <w:t xml:space="preserve"> </w:t>
      </w:r>
      <w:r w:rsidRPr="07E5E1E8">
        <w:rPr>
          <w:rFonts w:eastAsia="Arial"/>
        </w:rPr>
        <w:t>z</w:t>
      </w:r>
      <w:r w:rsidRPr="07E5E1E8">
        <w:rPr>
          <w:rFonts w:eastAsia="Arial"/>
          <w:spacing w:val="-2"/>
        </w:rPr>
        <w:t>apo</w:t>
      </w:r>
      <w:r w:rsidRPr="07E5E1E8">
        <w:rPr>
          <w:rFonts w:eastAsia="Arial"/>
          <w:spacing w:val="-5"/>
        </w:rPr>
        <w:t>s</w:t>
      </w:r>
      <w:r w:rsidRPr="07E5E1E8">
        <w:rPr>
          <w:rFonts w:eastAsia="Arial"/>
          <w:spacing w:val="3"/>
        </w:rPr>
        <w:t>l</w:t>
      </w:r>
      <w:r w:rsidRPr="07E5E1E8">
        <w:rPr>
          <w:rFonts w:eastAsia="Arial"/>
          <w:spacing w:val="-2"/>
        </w:rPr>
        <w:t>en</w:t>
      </w:r>
      <w:r w:rsidRPr="07E5E1E8">
        <w:rPr>
          <w:rFonts w:eastAsia="Arial"/>
          <w:spacing w:val="3"/>
        </w:rPr>
        <w:t>i</w:t>
      </w:r>
      <w:r w:rsidRPr="07E5E1E8">
        <w:rPr>
          <w:rFonts w:eastAsia="Arial"/>
        </w:rPr>
        <w:t>h</w:t>
      </w:r>
      <w:r w:rsidRPr="07E5E1E8">
        <w:t xml:space="preserve"> </w:t>
      </w:r>
      <w:r w:rsidRPr="07E5E1E8">
        <w:rPr>
          <w:rFonts w:eastAsia="Arial"/>
        </w:rPr>
        <w:t>(kojih je 201</w:t>
      </w:r>
      <w:r w:rsidR="78BD8B92" w:rsidRPr="07E5E1E8">
        <w:rPr>
          <w:rFonts w:eastAsia="Arial"/>
        </w:rPr>
        <w:t>9</w:t>
      </w:r>
      <w:r w:rsidRPr="07E5E1E8">
        <w:rPr>
          <w:rFonts w:eastAsia="Arial"/>
        </w:rPr>
        <w:t xml:space="preserve">. godine bilo </w:t>
      </w:r>
      <w:r w:rsidRPr="07E5E1E8">
        <w:rPr>
          <w:rFonts w:eastAsia="Arial"/>
          <w:spacing w:val="-2"/>
        </w:rPr>
        <w:t>3</w:t>
      </w:r>
      <w:r w:rsidRPr="07E5E1E8">
        <w:rPr>
          <w:rFonts w:eastAsia="Arial"/>
          <w:spacing w:val="2"/>
        </w:rPr>
        <w:t>.</w:t>
      </w:r>
      <w:r w:rsidR="071A1002" w:rsidRPr="07E5E1E8">
        <w:rPr>
          <w:rFonts w:eastAsia="Arial"/>
          <w:spacing w:val="2"/>
        </w:rPr>
        <w:t>60</w:t>
      </w:r>
      <w:r w:rsidRPr="07E5E1E8">
        <w:rPr>
          <w:rFonts w:eastAsia="Arial"/>
          <w:spacing w:val="-2"/>
        </w:rPr>
        <w:t>4)</w:t>
      </w:r>
      <w:r w:rsidRPr="07E5E1E8">
        <w:rPr>
          <w:spacing w:val="1"/>
        </w:rPr>
        <w:t xml:space="preserve"> </w:t>
      </w:r>
      <w:r w:rsidRPr="07E5E1E8">
        <w:rPr>
          <w:rFonts w:eastAsia="Arial"/>
          <w:spacing w:val="-2"/>
        </w:rPr>
        <w:t>n</w:t>
      </w:r>
      <w:r w:rsidRPr="07E5E1E8">
        <w:rPr>
          <w:rFonts w:eastAsia="Arial"/>
        </w:rPr>
        <w:t>a</w:t>
      </w:r>
      <w:r w:rsidRPr="07E5E1E8">
        <w:rPr>
          <w:spacing w:val="5"/>
        </w:rPr>
        <w:t xml:space="preserve"> </w:t>
      </w:r>
      <w:r w:rsidRPr="07E5E1E8">
        <w:rPr>
          <w:rFonts w:eastAsia="Arial"/>
        </w:rPr>
        <w:t>r</w:t>
      </w:r>
      <w:r w:rsidRPr="07E5E1E8">
        <w:rPr>
          <w:rFonts w:eastAsia="Arial"/>
          <w:spacing w:val="-2"/>
        </w:rPr>
        <w:t>a</w:t>
      </w:r>
      <w:r w:rsidRPr="07E5E1E8">
        <w:rPr>
          <w:rFonts w:eastAsia="Arial"/>
        </w:rPr>
        <w:t>z</w:t>
      </w:r>
      <w:r w:rsidRPr="07E5E1E8">
        <w:rPr>
          <w:rFonts w:eastAsia="Arial"/>
          <w:spacing w:val="3"/>
        </w:rPr>
        <w:t>i</w:t>
      </w:r>
      <w:r w:rsidRPr="07E5E1E8">
        <w:rPr>
          <w:rFonts w:eastAsia="Arial"/>
          <w:spacing w:val="-6"/>
        </w:rPr>
        <w:t>n</w:t>
      </w:r>
      <w:r w:rsidRPr="07E5E1E8">
        <w:rPr>
          <w:rFonts w:eastAsia="Arial"/>
        </w:rPr>
        <w:t>i</w:t>
      </w:r>
      <w:r w:rsidRPr="07E5E1E8">
        <w:rPr>
          <w:spacing w:val="10"/>
        </w:rPr>
        <w:t xml:space="preserve"> </w:t>
      </w:r>
      <w:r w:rsidRPr="07E5E1E8">
        <w:rPr>
          <w:rFonts w:eastAsia="Arial"/>
          <w:spacing w:val="-1"/>
        </w:rPr>
        <w:t>R</w:t>
      </w:r>
      <w:r w:rsidRPr="07E5E1E8">
        <w:rPr>
          <w:rFonts w:eastAsia="Arial"/>
        </w:rPr>
        <w:t>H</w:t>
      </w:r>
      <w:r w:rsidRPr="07E5E1E8">
        <w:rPr>
          <w:spacing w:val="5"/>
        </w:rPr>
        <w:t xml:space="preserve"> </w:t>
      </w:r>
      <w:r w:rsidR="008F5EE4" w:rsidRPr="07E5E1E8">
        <w:rPr>
          <w:spacing w:val="5"/>
        </w:rPr>
        <w:t xml:space="preserve">je </w:t>
      </w:r>
      <w:r w:rsidRPr="07E5E1E8">
        <w:rPr>
          <w:rFonts w:eastAsia="Arial"/>
          <w:spacing w:val="-2"/>
        </w:rPr>
        <w:t>n</w:t>
      </w:r>
      <w:r w:rsidRPr="07E5E1E8">
        <w:rPr>
          <w:rFonts w:eastAsia="Arial"/>
        </w:rPr>
        <w:t>a</w:t>
      </w:r>
      <w:r w:rsidRPr="07E5E1E8">
        <w:rPr>
          <w:spacing w:val="5"/>
        </w:rPr>
        <w:t xml:space="preserve"> </w:t>
      </w:r>
      <w:r w:rsidRPr="07E5E1E8">
        <w:rPr>
          <w:rFonts w:eastAsia="Arial"/>
          <w:spacing w:val="-2"/>
        </w:rPr>
        <w:t>3</w:t>
      </w:r>
      <w:r w:rsidR="4DCD4053" w:rsidRPr="07E5E1E8">
        <w:rPr>
          <w:rFonts w:eastAsia="Arial"/>
          <w:spacing w:val="-2"/>
        </w:rPr>
        <w:t>2</w:t>
      </w:r>
      <w:r w:rsidRPr="07E5E1E8">
        <w:rPr>
          <w:rFonts w:eastAsia="Arial"/>
          <w:spacing w:val="2"/>
        </w:rPr>
        <w:t>.</w:t>
      </w:r>
      <w:r w:rsidRPr="07E5E1E8">
        <w:rPr>
          <w:rFonts w:eastAsia="Arial"/>
        </w:rPr>
        <w:t xml:space="preserve"> mjestu</w:t>
      </w:r>
      <w:r w:rsidRPr="07E5E1E8">
        <w:rPr>
          <w:rFonts w:eastAsia="Arial"/>
          <w:spacing w:val="-2"/>
        </w:rPr>
        <w:t>, dok je</w:t>
      </w:r>
      <w:r w:rsidRPr="07E5E1E8">
        <w:rPr>
          <w:spacing w:val="4"/>
        </w:rPr>
        <w:t xml:space="preserve"> </w:t>
      </w:r>
      <w:r w:rsidRPr="07E5E1E8">
        <w:rPr>
          <w:rFonts w:eastAsia="Arial"/>
          <w:spacing w:val="-2"/>
        </w:rPr>
        <w:t>p</w:t>
      </w:r>
      <w:r w:rsidRPr="07E5E1E8">
        <w:rPr>
          <w:rFonts w:eastAsia="Arial"/>
        </w:rPr>
        <w:t>o</w:t>
      </w:r>
      <w:r w:rsidRPr="07E5E1E8">
        <w:t xml:space="preserve"> </w:t>
      </w:r>
      <w:r w:rsidRPr="07E5E1E8">
        <w:rPr>
          <w:rFonts w:eastAsia="Arial"/>
          <w:spacing w:val="-2"/>
        </w:rPr>
        <w:t>u</w:t>
      </w:r>
      <w:r w:rsidRPr="07E5E1E8">
        <w:rPr>
          <w:rFonts w:eastAsia="Arial"/>
        </w:rPr>
        <w:t>k</w:t>
      </w:r>
      <w:r w:rsidRPr="07E5E1E8">
        <w:rPr>
          <w:rFonts w:eastAsia="Arial"/>
          <w:spacing w:val="-2"/>
        </w:rPr>
        <w:t>upn</w:t>
      </w:r>
      <w:r w:rsidRPr="07E5E1E8">
        <w:rPr>
          <w:rFonts w:eastAsia="Arial"/>
          <w:spacing w:val="3"/>
        </w:rPr>
        <w:t>i</w:t>
      </w:r>
      <w:r w:rsidRPr="07E5E1E8">
        <w:rPr>
          <w:rFonts w:eastAsia="Arial"/>
        </w:rPr>
        <w:t>m</w:t>
      </w:r>
      <w:r w:rsidRPr="07E5E1E8">
        <w:t xml:space="preserve"> </w:t>
      </w:r>
      <w:r w:rsidRPr="07E5E1E8">
        <w:rPr>
          <w:rFonts w:eastAsia="Arial"/>
          <w:spacing w:val="-2"/>
        </w:rPr>
        <w:t>p</w:t>
      </w:r>
      <w:r w:rsidRPr="07E5E1E8">
        <w:rPr>
          <w:rFonts w:eastAsia="Arial"/>
        </w:rPr>
        <w:t>r</w:t>
      </w:r>
      <w:r w:rsidRPr="07E5E1E8">
        <w:rPr>
          <w:rFonts w:eastAsia="Arial"/>
          <w:spacing w:val="3"/>
        </w:rPr>
        <w:t>i</w:t>
      </w:r>
      <w:r w:rsidRPr="07E5E1E8">
        <w:rPr>
          <w:rFonts w:eastAsia="Arial"/>
          <w:spacing w:val="-2"/>
        </w:rPr>
        <w:t>hodi</w:t>
      </w:r>
      <w:r w:rsidRPr="07E5E1E8">
        <w:rPr>
          <w:rFonts w:eastAsia="Arial"/>
          <w:spacing w:val="5"/>
        </w:rPr>
        <w:t>m</w:t>
      </w:r>
      <w:r w:rsidRPr="07E5E1E8">
        <w:rPr>
          <w:rFonts w:eastAsia="Arial"/>
        </w:rPr>
        <w:t>a</w:t>
      </w:r>
      <w:r w:rsidRPr="07E5E1E8">
        <w:rPr>
          <w:spacing w:val="5"/>
        </w:rPr>
        <w:t xml:space="preserve"> </w:t>
      </w:r>
      <w:r w:rsidRPr="07E5E1E8">
        <w:rPr>
          <w:rFonts w:eastAsia="Arial"/>
        </w:rPr>
        <w:t>(</w:t>
      </w:r>
      <w:r w:rsidRPr="07E5E1E8">
        <w:rPr>
          <w:rFonts w:eastAsia="Arial"/>
          <w:spacing w:val="-6"/>
        </w:rPr>
        <w:t>1</w:t>
      </w:r>
      <w:r w:rsidRPr="07E5E1E8">
        <w:rPr>
          <w:rFonts w:eastAsia="Arial"/>
          <w:spacing w:val="2"/>
        </w:rPr>
        <w:t>,</w:t>
      </w:r>
      <w:r w:rsidRPr="07E5E1E8">
        <w:rPr>
          <w:rFonts w:eastAsia="Arial"/>
        </w:rPr>
        <w:t>8</w:t>
      </w:r>
      <w:r w:rsidR="1E15EBA3" w:rsidRPr="07E5E1E8">
        <w:rPr>
          <w:rFonts w:eastAsia="Arial"/>
        </w:rPr>
        <w:t>1</w:t>
      </w:r>
      <w:r w:rsidRPr="07E5E1E8">
        <w:t xml:space="preserve"> </w:t>
      </w:r>
      <w:r w:rsidRPr="07E5E1E8">
        <w:rPr>
          <w:rFonts w:eastAsia="Arial"/>
          <w:spacing w:val="5"/>
        </w:rPr>
        <w:t>m</w:t>
      </w:r>
      <w:r w:rsidRPr="07E5E1E8">
        <w:rPr>
          <w:rFonts w:eastAsia="Arial"/>
          <w:spacing w:val="-2"/>
        </w:rPr>
        <w:t>ili</w:t>
      </w:r>
      <w:r w:rsidRPr="07E5E1E8">
        <w:rPr>
          <w:rFonts w:eastAsia="Arial"/>
          <w:spacing w:val="3"/>
        </w:rPr>
        <w:t>j</w:t>
      </w:r>
      <w:r w:rsidRPr="07E5E1E8">
        <w:rPr>
          <w:rFonts w:eastAsia="Arial"/>
          <w:spacing w:val="-2"/>
        </w:rPr>
        <w:t>a</w:t>
      </w:r>
      <w:r w:rsidRPr="07E5E1E8">
        <w:rPr>
          <w:rFonts w:eastAsia="Arial"/>
        </w:rPr>
        <w:t>r</w:t>
      </w:r>
      <w:r w:rsidRPr="07E5E1E8">
        <w:rPr>
          <w:rFonts w:eastAsia="Arial"/>
          <w:spacing w:val="-2"/>
        </w:rPr>
        <w:t>d</w:t>
      </w:r>
      <w:r w:rsidR="278F2987" w:rsidRPr="07E5E1E8">
        <w:rPr>
          <w:rFonts w:eastAsia="Arial"/>
          <w:spacing w:val="-2"/>
        </w:rPr>
        <w:t>u</w:t>
      </w:r>
      <w:r w:rsidRPr="07E5E1E8">
        <w:rPr>
          <w:spacing w:val="10"/>
        </w:rPr>
        <w:t xml:space="preserve"> </w:t>
      </w:r>
      <w:r w:rsidRPr="07E5E1E8">
        <w:rPr>
          <w:rFonts w:eastAsia="Arial"/>
        </w:rPr>
        <w:t>k</w:t>
      </w:r>
      <w:r w:rsidRPr="07E5E1E8">
        <w:rPr>
          <w:rFonts w:eastAsia="Arial"/>
          <w:spacing w:val="-2"/>
        </w:rPr>
        <w:t>una u 201</w:t>
      </w:r>
      <w:r w:rsidR="59B9189A" w:rsidRPr="07E5E1E8">
        <w:rPr>
          <w:rFonts w:eastAsia="Arial"/>
          <w:spacing w:val="-2"/>
        </w:rPr>
        <w:t>9</w:t>
      </w:r>
      <w:r w:rsidRPr="07E5E1E8">
        <w:rPr>
          <w:rFonts w:eastAsia="Arial"/>
          <w:spacing w:val="-2"/>
        </w:rPr>
        <w:t>. godini</w:t>
      </w:r>
      <w:r w:rsidRPr="07E5E1E8">
        <w:rPr>
          <w:rFonts w:eastAsia="Arial"/>
        </w:rPr>
        <w:t>)</w:t>
      </w:r>
      <w:r w:rsidRPr="07E5E1E8">
        <w:rPr>
          <w:spacing w:val="2"/>
        </w:rPr>
        <w:t xml:space="preserve"> </w:t>
      </w:r>
      <w:r w:rsidRPr="07E5E1E8">
        <w:rPr>
          <w:rFonts w:eastAsia="Arial"/>
          <w:spacing w:val="-2"/>
        </w:rPr>
        <w:t>n</w:t>
      </w:r>
      <w:r w:rsidRPr="07E5E1E8">
        <w:rPr>
          <w:rFonts w:eastAsia="Arial"/>
        </w:rPr>
        <w:t>a</w:t>
      </w:r>
      <w:r w:rsidRPr="07E5E1E8">
        <w:rPr>
          <w:spacing w:val="5"/>
        </w:rPr>
        <w:t xml:space="preserve"> </w:t>
      </w:r>
      <w:r w:rsidRPr="07E5E1E8">
        <w:rPr>
          <w:rFonts w:eastAsia="Arial"/>
          <w:spacing w:val="-2"/>
        </w:rPr>
        <w:t>4</w:t>
      </w:r>
      <w:r w:rsidR="3D1AF6B1" w:rsidRPr="07E5E1E8">
        <w:rPr>
          <w:rFonts w:eastAsia="Arial"/>
          <w:spacing w:val="-2"/>
        </w:rPr>
        <w:t>3</w:t>
      </w:r>
      <w:r w:rsidRPr="07E5E1E8">
        <w:rPr>
          <w:rFonts w:eastAsia="Arial"/>
          <w:spacing w:val="2"/>
        </w:rPr>
        <w:t>.</w:t>
      </w:r>
      <w:r w:rsidRPr="07E5E1E8">
        <w:rPr>
          <w:rFonts w:eastAsia="Arial"/>
        </w:rPr>
        <w:t xml:space="preserve"> mjestu</w:t>
      </w:r>
      <w:r w:rsidR="00C719D8" w:rsidRPr="07E5E1E8">
        <w:rPr>
          <w:rFonts w:eastAsia="Arial"/>
        </w:rPr>
        <w:t xml:space="preserve"> u RH</w:t>
      </w:r>
      <w:r w:rsidRPr="07E5E1E8">
        <w:rPr>
          <w:rFonts w:eastAsia="Arial"/>
        </w:rPr>
        <w:t>.</w:t>
      </w:r>
      <w:r w:rsidRPr="07E5E1E8">
        <w:rPr>
          <w:spacing w:val="3"/>
        </w:rPr>
        <w:t xml:space="preserve"> </w:t>
      </w:r>
      <w:r w:rsidRPr="07E5E1E8">
        <w:rPr>
          <w:rFonts w:eastAsia="Arial"/>
        </w:rPr>
        <w:t>S</w:t>
      </w:r>
      <w:r w:rsidRPr="07E5E1E8">
        <w:rPr>
          <w:spacing w:val="7"/>
        </w:rPr>
        <w:t xml:space="preserve"> </w:t>
      </w:r>
      <w:r w:rsidRPr="07E5E1E8">
        <w:rPr>
          <w:rFonts w:eastAsia="Arial"/>
          <w:spacing w:val="-2"/>
        </w:rPr>
        <w:t>ob</w:t>
      </w:r>
      <w:r w:rsidRPr="07E5E1E8">
        <w:rPr>
          <w:rFonts w:eastAsia="Arial"/>
          <w:spacing w:val="-5"/>
        </w:rPr>
        <w:t>z</w:t>
      </w:r>
      <w:r w:rsidRPr="07E5E1E8">
        <w:rPr>
          <w:rFonts w:eastAsia="Arial"/>
          <w:spacing w:val="3"/>
        </w:rPr>
        <w:t>i</w:t>
      </w:r>
      <w:r w:rsidRPr="07E5E1E8">
        <w:rPr>
          <w:rFonts w:eastAsia="Arial"/>
        </w:rPr>
        <w:t>r</w:t>
      </w:r>
      <w:r w:rsidRPr="07E5E1E8">
        <w:rPr>
          <w:rFonts w:eastAsia="Arial"/>
          <w:spacing w:val="-6"/>
        </w:rPr>
        <w:t>o</w:t>
      </w:r>
      <w:r w:rsidRPr="07E5E1E8">
        <w:rPr>
          <w:rFonts w:eastAsia="Arial"/>
        </w:rPr>
        <w:t>m</w:t>
      </w:r>
      <w:r w:rsidRPr="07E5E1E8">
        <w:rPr>
          <w:spacing w:val="12"/>
        </w:rPr>
        <w:t xml:space="preserve"> </w:t>
      </w:r>
      <w:r w:rsidRPr="07E5E1E8">
        <w:rPr>
          <w:rFonts w:eastAsia="Arial"/>
          <w:spacing w:val="-2"/>
        </w:rPr>
        <w:t>n</w:t>
      </w:r>
      <w:r w:rsidRPr="07E5E1E8">
        <w:rPr>
          <w:rFonts w:eastAsia="Arial"/>
        </w:rPr>
        <w:t>a</w:t>
      </w:r>
      <w:r w:rsidRPr="07E5E1E8">
        <w:rPr>
          <w:spacing w:val="5"/>
        </w:rPr>
        <w:t xml:space="preserve"> </w:t>
      </w:r>
      <w:r w:rsidRPr="07E5E1E8">
        <w:rPr>
          <w:rFonts w:eastAsia="Arial"/>
          <w:spacing w:val="-2"/>
        </w:rPr>
        <w:t>o</w:t>
      </w:r>
      <w:r w:rsidRPr="07E5E1E8">
        <w:rPr>
          <w:rFonts w:eastAsia="Arial"/>
          <w:spacing w:val="-5"/>
        </w:rPr>
        <w:t>s</w:t>
      </w:r>
      <w:r w:rsidRPr="07E5E1E8">
        <w:rPr>
          <w:rFonts w:eastAsia="Arial"/>
          <w:spacing w:val="-3"/>
        </w:rPr>
        <w:t>t</w:t>
      </w:r>
      <w:r w:rsidRPr="07E5E1E8">
        <w:rPr>
          <w:rFonts w:eastAsia="Arial"/>
          <w:spacing w:val="5"/>
        </w:rPr>
        <w:t>v</w:t>
      </w:r>
      <w:r w:rsidRPr="07E5E1E8">
        <w:rPr>
          <w:rFonts w:eastAsia="Arial"/>
          <w:spacing w:val="-2"/>
        </w:rPr>
        <w:t>a</w:t>
      </w:r>
      <w:r w:rsidRPr="07E5E1E8">
        <w:rPr>
          <w:rFonts w:eastAsia="Arial"/>
        </w:rPr>
        <w:t>r</w:t>
      </w:r>
      <w:r w:rsidRPr="07E5E1E8">
        <w:rPr>
          <w:rFonts w:eastAsia="Arial"/>
          <w:spacing w:val="-2"/>
        </w:rPr>
        <w:t>en</w:t>
      </w:r>
      <w:r w:rsidRPr="07E5E1E8">
        <w:rPr>
          <w:rFonts w:eastAsia="Arial"/>
        </w:rPr>
        <w:t>u</w:t>
      </w:r>
      <w:r w:rsidRPr="07E5E1E8">
        <w:rPr>
          <w:spacing w:val="5"/>
        </w:rPr>
        <w:t xml:space="preserve"> </w:t>
      </w:r>
      <w:r w:rsidRPr="07E5E1E8">
        <w:rPr>
          <w:rFonts w:eastAsia="Arial"/>
          <w:spacing w:val="-2"/>
        </w:rPr>
        <w:t>ne</w:t>
      </w:r>
      <w:r w:rsidRPr="07E5E1E8">
        <w:rPr>
          <w:rFonts w:eastAsia="Arial"/>
          <w:spacing w:val="2"/>
        </w:rPr>
        <w:t>t</w:t>
      </w:r>
      <w:r w:rsidRPr="07E5E1E8">
        <w:rPr>
          <w:rFonts w:eastAsia="Arial"/>
        </w:rPr>
        <w:t>o</w:t>
      </w:r>
      <w:r w:rsidRPr="07E5E1E8">
        <w:rPr>
          <w:spacing w:val="5"/>
        </w:rPr>
        <w:t xml:space="preserve"> </w:t>
      </w:r>
      <w:r w:rsidRPr="07E5E1E8">
        <w:rPr>
          <w:rFonts w:eastAsia="Arial"/>
          <w:spacing w:val="-2"/>
        </w:rPr>
        <w:t>dobi</w:t>
      </w:r>
      <w:r w:rsidRPr="07E5E1E8">
        <w:rPr>
          <w:rFonts w:eastAsia="Arial"/>
        </w:rPr>
        <w:t>t</w:t>
      </w:r>
      <w:r w:rsidRPr="07E5E1E8">
        <w:rPr>
          <w:spacing w:val="8"/>
        </w:rPr>
        <w:t xml:space="preserve"> </w:t>
      </w:r>
      <w:r w:rsidRPr="07E5E1E8">
        <w:rPr>
          <w:rFonts w:eastAsia="Arial"/>
        </w:rPr>
        <w:t>u</w:t>
      </w:r>
      <w:r w:rsidRPr="07E5E1E8">
        <w:t xml:space="preserve"> </w:t>
      </w:r>
      <w:r w:rsidRPr="07E5E1E8">
        <w:rPr>
          <w:rFonts w:eastAsia="Arial"/>
          <w:spacing w:val="3"/>
        </w:rPr>
        <w:t>i</w:t>
      </w:r>
      <w:r w:rsidRPr="07E5E1E8">
        <w:rPr>
          <w:rFonts w:eastAsia="Arial"/>
        </w:rPr>
        <w:t>z</w:t>
      </w:r>
      <w:r w:rsidRPr="07E5E1E8">
        <w:rPr>
          <w:rFonts w:eastAsia="Arial"/>
          <w:spacing w:val="-2"/>
        </w:rPr>
        <w:t>no</w:t>
      </w:r>
      <w:r w:rsidRPr="07E5E1E8">
        <w:rPr>
          <w:rFonts w:eastAsia="Arial"/>
          <w:spacing w:val="-5"/>
        </w:rPr>
        <w:t>s</w:t>
      </w:r>
      <w:r w:rsidRPr="07E5E1E8">
        <w:rPr>
          <w:rFonts w:eastAsia="Arial"/>
        </w:rPr>
        <w:t>u</w:t>
      </w:r>
      <w:r w:rsidRPr="07E5E1E8">
        <w:rPr>
          <w:spacing w:val="5"/>
        </w:rPr>
        <w:t xml:space="preserve"> </w:t>
      </w:r>
      <w:r w:rsidRPr="07E5E1E8">
        <w:rPr>
          <w:rFonts w:eastAsia="Arial"/>
          <w:spacing w:val="-2"/>
        </w:rPr>
        <w:t>o</w:t>
      </w:r>
      <w:r w:rsidRPr="07E5E1E8">
        <w:rPr>
          <w:rFonts w:eastAsia="Arial"/>
        </w:rPr>
        <w:t>d</w:t>
      </w:r>
      <w:r w:rsidRPr="07E5E1E8">
        <w:rPr>
          <w:spacing w:val="5"/>
        </w:rPr>
        <w:t xml:space="preserve"> </w:t>
      </w:r>
      <w:r w:rsidRPr="07E5E1E8">
        <w:rPr>
          <w:rFonts w:eastAsia="Arial"/>
          <w:spacing w:val="-2"/>
        </w:rPr>
        <w:t>78</w:t>
      </w:r>
      <w:r w:rsidRPr="07E5E1E8">
        <w:rPr>
          <w:rFonts w:eastAsia="Arial"/>
          <w:spacing w:val="2"/>
          <w:w w:val="101"/>
        </w:rPr>
        <w:t>,</w:t>
      </w:r>
      <w:r w:rsidR="3968AD92" w:rsidRPr="07E5E1E8">
        <w:rPr>
          <w:rFonts w:eastAsia="Arial"/>
          <w:spacing w:val="2"/>
          <w:w w:val="101"/>
        </w:rPr>
        <w:t>5</w:t>
      </w:r>
      <w:r w:rsidRPr="07E5E1E8">
        <w:t xml:space="preserve"> </w:t>
      </w:r>
      <w:r w:rsidRPr="07E5E1E8">
        <w:rPr>
          <w:rFonts w:eastAsia="Arial"/>
        </w:rPr>
        <w:t>m</w:t>
      </w:r>
      <w:r w:rsidRPr="07E5E1E8">
        <w:rPr>
          <w:rFonts w:eastAsia="Arial"/>
          <w:spacing w:val="-2"/>
        </w:rPr>
        <w:t>il</w:t>
      </w:r>
      <w:r w:rsidRPr="07E5E1E8">
        <w:rPr>
          <w:rFonts w:eastAsia="Arial"/>
          <w:spacing w:val="3"/>
        </w:rPr>
        <w:t>ij</w:t>
      </w:r>
      <w:r w:rsidRPr="07E5E1E8">
        <w:rPr>
          <w:rFonts w:eastAsia="Arial"/>
          <w:spacing w:val="-2"/>
        </w:rPr>
        <w:t>un</w:t>
      </w:r>
      <w:r w:rsidRPr="07E5E1E8">
        <w:rPr>
          <w:rFonts w:eastAsia="Arial"/>
        </w:rPr>
        <w:t>a</w:t>
      </w:r>
      <w:r w:rsidRPr="07E5E1E8">
        <w:rPr>
          <w:spacing w:val="6"/>
        </w:rPr>
        <w:t xml:space="preserve"> </w:t>
      </w:r>
      <w:r w:rsidRPr="07E5E1E8">
        <w:rPr>
          <w:rFonts w:eastAsia="Arial"/>
        </w:rPr>
        <w:t>k</w:t>
      </w:r>
      <w:r w:rsidRPr="07E5E1E8">
        <w:rPr>
          <w:rFonts w:eastAsia="Arial"/>
          <w:spacing w:val="-2"/>
        </w:rPr>
        <w:t>una</w:t>
      </w:r>
      <w:r w:rsidRPr="07E5E1E8">
        <w:rPr>
          <w:rFonts w:eastAsia="Arial"/>
        </w:rPr>
        <w:t>,</w:t>
      </w:r>
      <w:r w:rsidRPr="07E5E1E8">
        <w:rPr>
          <w:spacing w:val="5"/>
        </w:rPr>
        <w:t xml:space="preserve"> </w:t>
      </w:r>
      <w:r w:rsidRPr="07E5E1E8">
        <w:rPr>
          <w:rFonts w:eastAsia="Arial"/>
          <w:spacing w:val="-2"/>
        </w:rPr>
        <w:t>n</w:t>
      </w:r>
      <w:r w:rsidRPr="07E5E1E8">
        <w:rPr>
          <w:rFonts w:eastAsia="Arial"/>
        </w:rPr>
        <w:t>a</w:t>
      </w:r>
      <w:r w:rsidRPr="07E5E1E8">
        <w:rPr>
          <w:spacing w:val="6"/>
        </w:rPr>
        <w:t xml:space="preserve"> </w:t>
      </w:r>
      <w:r w:rsidR="362E6451" w:rsidRPr="07E5E1E8">
        <w:rPr>
          <w:spacing w:val="6"/>
        </w:rPr>
        <w:t>58</w:t>
      </w:r>
      <w:r w:rsidRPr="07E5E1E8">
        <w:rPr>
          <w:rFonts w:eastAsia="Arial"/>
          <w:spacing w:val="2"/>
        </w:rPr>
        <w:t>.</w:t>
      </w:r>
      <w:r w:rsidRPr="07E5E1E8">
        <w:rPr>
          <w:rFonts w:eastAsia="Arial"/>
        </w:rPr>
        <w:t xml:space="preserve"> </w:t>
      </w:r>
      <w:r w:rsidRPr="07E5E1E8">
        <w:rPr>
          <w:rFonts w:eastAsia="Arial"/>
          <w:spacing w:val="3"/>
        </w:rPr>
        <w:t>j</w:t>
      </w:r>
      <w:r w:rsidRPr="07E5E1E8">
        <w:rPr>
          <w:rFonts w:eastAsia="Arial"/>
        </w:rPr>
        <w:t>e</w:t>
      </w:r>
      <w:r w:rsidRPr="07E5E1E8">
        <w:rPr>
          <w:spacing w:val="-4"/>
        </w:rPr>
        <w:t xml:space="preserve"> </w:t>
      </w:r>
      <w:r w:rsidRPr="07E5E1E8">
        <w:rPr>
          <w:rFonts w:eastAsia="Arial"/>
        </w:rPr>
        <w:t>m</w:t>
      </w:r>
      <w:r w:rsidRPr="07E5E1E8">
        <w:rPr>
          <w:rFonts w:eastAsia="Arial"/>
          <w:spacing w:val="3"/>
        </w:rPr>
        <w:t>j</w:t>
      </w:r>
      <w:r w:rsidRPr="07E5E1E8">
        <w:rPr>
          <w:rFonts w:eastAsia="Arial"/>
          <w:spacing w:val="-2"/>
        </w:rPr>
        <w:t>e</w:t>
      </w:r>
      <w:r w:rsidRPr="07E5E1E8">
        <w:rPr>
          <w:rFonts w:eastAsia="Arial"/>
          <w:spacing w:val="-5"/>
        </w:rPr>
        <w:t>s</w:t>
      </w:r>
      <w:r w:rsidRPr="07E5E1E8">
        <w:rPr>
          <w:rFonts w:eastAsia="Arial"/>
          <w:spacing w:val="2"/>
        </w:rPr>
        <w:t>t</w:t>
      </w:r>
      <w:r w:rsidRPr="07E5E1E8">
        <w:rPr>
          <w:rFonts w:eastAsia="Arial"/>
        </w:rPr>
        <w:t>u</w:t>
      </w:r>
      <w:r w:rsidRPr="07E5E1E8">
        <w:rPr>
          <w:spacing w:val="7"/>
        </w:rPr>
        <w:t xml:space="preserve"> </w:t>
      </w:r>
      <w:r w:rsidR="003456C9" w:rsidRPr="07E5E1E8">
        <w:rPr>
          <w:spacing w:val="7"/>
        </w:rPr>
        <w:t>u</w:t>
      </w:r>
      <w:r w:rsidRPr="07E5E1E8">
        <w:rPr>
          <w:spacing w:val="11"/>
        </w:rPr>
        <w:t xml:space="preserve"> </w:t>
      </w:r>
      <w:r w:rsidRPr="07E5E1E8">
        <w:rPr>
          <w:rFonts w:eastAsia="Arial"/>
          <w:spacing w:val="-1"/>
        </w:rPr>
        <w:t>RH</w:t>
      </w:r>
      <w:r w:rsidRPr="07E5E1E8">
        <w:rPr>
          <w:rFonts w:eastAsia="Arial"/>
          <w:w w:val="101"/>
        </w:rPr>
        <w:t>.</w:t>
      </w:r>
      <w:r w:rsidR="00C719D8" w:rsidRPr="07E5E1E8">
        <w:rPr>
          <w:rFonts w:eastAsia="Arial"/>
          <w:w w:val="101"/>
        </w:rPr>
        <w:t xml:space="preserve"> </w:t>
      </w:r>
    </w:p>
    <w:p w14:paraId="4DE00721" w14:textId="6B799EBD" w:rsidR="003A5A8F" w:rsidRPr="003A5A8F" w:rsidRDefault="008878A0" w:rsidP="003E3F3C">
      <w:pPr>
        <w:pStyle w:val="Opisslike"/>
      </w:pPr>
      <w:r>
        <w:lastRenderedPageBreak/>
        <w:t xml:space="preserve">Tablica </w:t>
      </w:r>
      <w:r w:rsidR="00A40471">
        <w:rPr>
          <w:noProof/>
        </w:rPr>
        <w:t>7</w:t>
      </w:r>
      <w:r w:rsidR="000D5E3F">
        <w:rPr>
          <w:noProof/>
        </w:rPr>
        <w:t>6</w:t>
      </w:r>
      <w:r w:rsidR="00FD7F29" w:rsidRPr="07E5E1E8">
        <w:rPr>
          <w:noProof/>
        </w:rPr>
        <w:t>.</w:t>
      </w:r>
      <w:r>
        <w:t xml:space="preserve"> Rang prema broju poduzetnika - u gradovima - županijskim središtima, u 201</w:t>
      </w:r>
      <w:r w:rsidR="54DEE610">
        <w:t>9</w:t>
      </w:r>
      <w:r>
        <w:t>. godini (iznosi u tisućama kuna)</w:t>
      </w:r>
    </w:p>
    <w:tbl>
      <w:tblPr>
        <w:tblW w:w="9346" w:type="dxa"/>
        <w:tblLayout w:type="fixed"/>
        <w:tblCellMar>
          <w:left w:w="0" w:type="dxa"/>
          <w:right w:w="0" w:type="dxa"/>
        </w:tblCellMar>
        <w:tblLook w:val="01E0" w:firstRow="1" w:lastRow="1" w:firstColumn="1" w:lastColumn="1" w:noHBand="0" w:noVBand="0"/>
      </w:tblPr>
      <w:tblGrid>
        <w:gridCol w:w="1266"/>
        <w:gridCol w:w="851"/>
        <w:gridCol w:w="850"/>
        <w:gridCol w:w="851"/>
        <w:gridCol w:w="992"/>
        <w:gridCol w:w="709"/>
        <w:gridCol w:w="1275"/>
        <w:gridCol w:w="567"/>
        <w:gridCol w:w="1134"/>
        <w:gridCol w:w="851"/>
      </w:tblGrid>
      <w:tr w:rsidR="008878A0" w14:paraId="6F042C65" w14:textId="77777777" w:rsidTr="00B369AC">
        <w:trPr>
          <w:trHeight w:hRule="exact" w:val="302"/>
          <w:tblHeader/>
        </w:trPr>
        <w:tc>
          <w:tcPr>
            <w:tcW w:w="1266" w:type="dxa"/>
            <w:vMerge w:val="restart"/>
            <w:tcBorders>
              <w:left w:val="single" w:sz="8" w:space="0" w:color="D2232A" w:themeColor="accent1"/>
              <w:right w:val="single" w:sz="4" w:space="0" w:color="FFFFFF" w:themeColor="background1"/>
            </w:tcBorders>
            <w:shd w:val="clear" w:color="auto" w:fill="D2232A" w:themeFill="accent1"/>
          </w:tcPr>
          <w:p w14:paraId="267E4BE4" w14:textId="77777777" w:rsidR="008878A0" w:rsidRPr="00E64611" w:rsidRDefault="008878A0" w:rsidP="00941871">
            <w:pPr>
              <w:spacing w:before="14" w:line="220" w:lineRule="exact"/>
              <w:rPr>
                <w:rFonts w:cstheme="minorHAnsi"/>
                <w:color w:val="FFFFFF" w:themeColor="background1"/>
                <w:sz w:val="22"/>
                <w:szCs w:val="22"/>
              </w:rPr>
            </w:pPr>
          </w:p>
          <w:p w14:paraId="56322791" w14:textId="6DD9E7F0" w:rsidR="008878A0" w:rsidRPr="00B61330" w:rsidRDefault="008878A0" w:rsidP="00B61330">
            <w:pPr>
              <w:ind w:left="130"/>
              <w:rPr>
                <w:rFonts w:cstheme="minorHAnsi"/>
                <w:b/>
                <w:color w:val="FFFFFF" w:themeColor="background1"/>
                <w:spacing w:val="2"/>
                <w:sz w:val="16"/>
                <w:szCs w:val="16"/>
              </w:rPr>
            </w:pPr>
            <w:r w:rsidRPr="00E64611">
              <w:rPr>
                <w:rFonts w:eastAsia="Arial" w:cstheme="minorHAnsi"/>
                <w:b/>
                <w:color w:val="FFFFFF" w:themeColor="background1"/>
                <w:spacing w:val="1"/>
                <w:sz w:val="16"/>
                <w:szCs w:val="16"/>
              </w:rPr>
              <w:t>N</w:t>
            </w:r>
            <w:r w:rsidRPr="00E64611">
              <w:rPr>
                <w:rFonts w:eastAsia="Arial" w:cstheme="minorHAnsi"/>
                <w:b/>
                <w:color w:val="FFFFFF" w:themeColor="background1"/>
                <w:spacing w:val="-2"/>
                <w:sz w:val="16"/>
                <w:szCs w:val="16"/>
              </w:rPr>
              <w:t>a</w:t>
            </w:r>
            <w:r w:rsidRPr="00E64611">
              <w:rPr>
                <w:rFonts w:eastAsia="Arial" w:cstheme="minorHAnsi"/>
                <w:b/>
                <w:color w:val="FFFFFF" w:themeColor="background1"/>
                <w:spacing w:val="2"/>
                <w:sz w:val="16"/>
                <w:szCs w:val="16"/>
              </w:rPr>
              <w:t>z</w:t>
            </w:r>
            <w:r w:rsidRPr="00E64611">
              <w:rPr>
                <w:rFonts w:eastAsia="Arial" w:cstheme="minorHAnsi"/>
                <w:b/>
                <w:color w:val="FFFFFF" w:themeColor="background1"/>
                <w:spacing w:val="-1"/>
                <w:sz w:val="16"/>
                <w:szCs w:val="16"/>
              </w:rPr>
              <w:t>i</w:t>
            </w:r>
            <w:r w:rsidRPr="00E64611">
              <w:rPr>
                <w:rFonts w:eastAsia="Arial" w:cstheme="minorHAnsi"/>
                <w:b/>
                <w:color w:val="FFFFFF" w:themeColor="background1"/>
                <w:sz w:val="16"/>
                <w:szCs w:val="16"/>
              </w:rPr>
              <w:t>v</w:t>
            </w:r>
            <w:r w:rsidRPr="00E64611">
              <w:rPr>
                <w:rFonts w:cstheme="minorHAnsi"/>
                <w:b/>
                <w:color w:val="FFFFFF" w:themeColor="background1"/>
                <w:spacing w:val="2"/>
                <w:sz w:val="16"/>
                <w:szCs w:val="16"/>
              </w:rPr>
              <w:t xml:space="preserve"> </w:t>
            </w:r>
            <w:r w:rsidR="00B61330">
              <w:rPr>
                <w:rFonts w:cstheme="minorHAnsi"/>
                <w:b/>
                <w:color w:val="FFFFFF" w:themeColor="background1"/>
                <w:spacing w:val="2"/>
                <w:sz w:val="16"/>
                <w:szCs w:val="16"/>
              </w:rPr>
              <w:br/>
            </w:r>
            <w:r w:rsidRPr="00E64611">
              <w:rPr>
                <w:rFonts w:eastAsia="Arial" w:cstheme="minorHAnsi"/>
                <w:b/>
                <w:color w:val="FFFFFF" w:themeColor="background1"/>
                <w:spacing w:val="-1"/>
                <w:sz w:val="16"/>
                <w:szCs w:val="16"/>
              </w:rPr>
              <w:t>g</w:t>
            </w:r>
            <w:r w:rsidRPr="00E64611">
              <w:rPr>
                <w:rFonts w:eastAsia="Arial" w:cstheme="minorHAnsi"/>
                <w:b/>
                <w:color w:val="FFFFFF" w:themeColor="background1"/>
                <w:spacing w:val="1"/>
                <w:sz w:val="16"/>
                <w:szCs w:val="16"/>
              </w:rPr>
              <w:t>r</w:t>
            </w:r>
            <w:r w:rsidRPr="00E64611">
              <w:rPr>
                <w:rFonts w:eastAsia="Arial" w:cstheme="minorHAnsi"/>
                <w:b/>
                <w:color w:val="FFFFFF" w:themeColor="background1"/>
                <w:spacing w:val="3"/>
                <w:sz w:val="16"/>
                <w:szCs w:val="16"/>
              </w:rPr>
              <w:t>a</w:t>
            </w:r>
            <w:r w:rsidRPr="00E64611">
              <w:rPr>
                <w:rFonts w:eastAsia="Arial" w:cstheme="minorHAnsi"/>
                <w:b/>
                <w:color w:val="FFFFFF" w:themeColor="background1"/>
                <w:spacing w:val="-1"/>
                <w:sz w:val="16"/>
                <w:szCs w:val="16"/>
              </w:rPr>
              <w:t>d</w:t>
            </w:r>
            <w:r w:rsidRPr="00E64611">
              <w:rPr>
                <w:rFonts w:eastAsia="Arial" w:cstheme="minorHAnsi"/>
                <w:b/>
                <w:color w:val="FFFFFF" w:themeColor="background1"/>
                <w:spacing w:val="-2"/>
                <w:sz w:val="16"/>
                <w:szCs w:val="16"/>
              </w:rPr>
              <w:t>a</w:t>
            </w:r>
            <w:r w:rsidRPr="00E64611">
              <w:rPr>
                <w:rFonts w:eastAsia="Arial" w:cstheme="minorHAnsi"/>
                <w:b/>
                <w:color w:val="FFFFFF" w:themeColor="background1"/>
                <w:spacing w:val="4"/>
                <w:sz w:val="16"/>
                <w:szCs w:val="16"/>
              </w:rPr>
              <w:t>/</w:t>
            </w:r>
            <w:r w:rsidRPr="00E64611">
              <w:rPr>
                <w:rFonts w:eastAsia="Arial" w:cstheme="minorHAnsi"/>
                <w:b/>
                <w:color w:val="FFFFFF" w:themeColor="background1"/>
                <w:spacing w:val="-1"/>
                <w:sz w:val="16"/>
                <w:szCs w:val="16"/>
              </w:rPr>
              <w:t>o</w:t>
            </w:r>
            <w:r w:rsidRPr="00E64611">
              <w:rPr>
                <w:rFonts w:eastAsia="Arial" w:cstheme="minorHAnsi"/>
                <w:b/>
                <w:color w:val="FFFFFF" w:themeColor="background1"/>
                <w:spacing w:val="4"/>
                <w:sz w:val="16"/>
                <w:szCs w:val="16"/>
              </w:rPr>
              <w:t>p</w:t>
            </w:r>
            <w:r w:rsidRPr="00E64611">
              <w:rPr>
                <w:rFonts w:eastAsia="Arial" w:cstheme="minorHAnsi"/>
                <w:b/>
                <w:color w:val="FFFFFF" w:themeColor="background1"/>
                <w:spacing w:val="-2"/>
                <w:sz w:val="16"/>
                <w:szCs w:val="16"/>
              </w:rPr>
              <w:t>ć</w:t>
            </w:r>
            <w:r w:rsidRPr="00E64611">
              <w:rPr>
                <w:rFonts w:eastAsia="Arial" w:cstheme="minorHAnsi"/>
                <w:b/>
                <w:color w:val="FFFFFF" w:themeColor="background1"/>
                <w:spacing w:val="-1"/>
                <w:sz w:val="16"/>
                <w:szCs w:val="16"/>
              </w:rPr>
              <w:t>i</w:t>
            </w:r>
            <w:r w:rsidRPr="00E64611">
              <w:rPr>
                <w:rFonts w:eastAsia="Arial" w:cstheme="minorHAnsi"/>
                <w:b/>
                <w:color w:val="FFFFFF" w:themeColor="background1"/>
                <w:spacing w:val="4"/>
                <w:sz w:val="16"/>
                <w:szCs w:val="16"/>
              </w:rPr>
              <w:t>n</w:t>
            </w:r>
            <w:r w:rsidRPr="00E64611">
              <w:rPr>
                <w:rFonts w:eastAsia="Arial" w:cstheme="minorHAnsi"/>
                <w:b/>
                <w:color w:val="FFFFFF" w:themeColor="background1"/>
                <w:sz w:val="16"/>
                <w:szCs w:val="16"/>
              </w:rPr>
              <w:t>e</w:t>
            </w:r>
          </w:p>
        </w:tc>
        <w:tc>
          <w:tcPr>
            <w:tcW w:w="2552" w:type="dxa"/>
            <w:gridSpan w:val="3"/>
            <w:tcBorders>
              <w:left w:val="single" w:sz="4" w:space="0" w:color="FFFFFF" w:themeColor="background1"/>
              <w:bottom w:val="single" w:sz="8" w:space="0" w:color="F3CFC1"/>
              <w:right w:val="single" w:sz="8" w:space="0" w:color="F3CFC1"/>
            </w:tcBorders>
            <w:shd w:val="clear" w:color="auto" w:fill="D2232A" w:themeFill="accent1"/>
            <w:hideMark/>
          </w:tcPr>
          <w:p w14:paraId="5D24D94A" w14:textId="77777777" w:rsidR="008878A0" w:rsidRPr="00E64611" w:rsidRDefault="008878A0" w:rsidP="00B61330">
            <w:pPr>
              <w:jc w:val="center"/>
              <w:rPr>
                <w:rFonts w:eastAsiaTheme="minorHAnsi"/>
                <w:b/>
                <w:color w:val="FFFFFF" w:themeColor="background1"/>
                <w:szCs w:val="18"/>
              </w:rPr>
            </w:pPr>
            <w:r w:rsidRPr="00E64611">
              <w:rPr>
                <w:b/>
                <w:color w:val="FFFFFF" w:themeColor="background1"/>
                <w:szCs w:val="18"/>
              </w:rPr>
              <w:t>Broj poduzetnika</w:t>
            </w:r>
          </w:p>
        </w:tc>
        <w:tc>
          <w:tcPr>
            <w:tcW w:w="1701" w:type="dxa"/>
            <w:gridSpan w:val="2"/>
            <w:tcBorders>
              <w:left w:val="single" w:sz="8" w:space="0" w:color="F3CFC1"/>
              <w:bottom w:val="single" w:sz="8" w:space="0" w:color="F3CFC1"/>
              <w:right w:val="single" w:sz="8" w:space="0" w:color="F3CFC1"/>
            </w:tcBorders>
            <w:shd w:val="clear" w:color="auto" w:fill="D2232A" w:themeFill="accent1"/>
            <w:hideMark/>
          </w:tcPr>
          <w:p w14:paraId="69B0D022" w14:textId="77777777" w:rsidR="008878A0" w:rsidRPr="00E64611" w:rsidRDefault="008878A0" w:rsidP="00B61330">
            <w:pPr>
              <w:jc w:val="center"/>
              <w:rPr>
                <w:b/>
                <w:color w:val="FFFFFF" w:themeColor="background1"/>
                <w:szCs w:val="18"/>
              </w:rPr>
            </w:pPr>
            <w:r w:rsidRPr="00E64611">
              <w:rPr>
                <w:b/>
                <w:color w:val="FFFFFF" w:themeColor="background1"/>
                <w:szCs w:val="18"/>
              </w:rPr>
              <w:t>Broj zaposlenih</w:t>
            </w:r>
          </w:p>
        </w:tc>
        <w:tc>
          <w:tcPr>
            <w:tcW w:w="1842" w:type="dxa"/>
            <w:gridSpan w:val="2"/>
            <w:tcBorders>
              <w:left w:val="single" w:sz="8" w:space="0" w:color="F3CFC1"/>
              <w:bottom w:val="single" w:sz="8" w:space="0" w:color="F3CFC1"/>
              <w:right w:val="single" w:sz="8" w:space="0" w:color="F3CFC1"/>
            </w:tcBorders>
            <w:shd w:val="clear" w:color="auto" w:fill="D2232A" w:themeFill="accent1"/>
            <w:hideMark/>
          </w:tcPr>
          <w:p w14:paraId="3F2DA9E7" w14:textId="533C095E" w:rsidR="008878A0" w:rsidRPr="00E64611" w:rsidRDefault="008878A0" w:rsidP="00B61330">
            <w:pPr>
              <w:jc w:val="center"/>
              <w:rPr>
                <w:b/>
                <w:color w:val="FFFFFF" w:themeColor="background1"/>
                <w:szCs w:val="18"/>
              </w:rPr>
            </w:pPr>
            <w:r w:rsidRPr="00E64611">
              <w:rPr>
                <w:b/>
                <w:color w:val="FFFFFF" w:themeColor="background1"/>
                <w:szCs w:val="18"/>
              </w:rPr>
              <w:t>Ukupni prihod</w:t>
            </w:r>
          </w:p>
        </w:tc>
        <w:tc>
          <w:tcPr>
            <w:tcW w:w="1985" w:type="dxa"/>
            <w:gridSpan w:val="2"/>
            <w:tcBorders>
              <w:left w:val="single" w:sz="8" w:space="0" w:color="F3CFC1"/>
              <w:bottom w:val="single" w:sz="8" w:space="0" w:color="F3CFC1"/>
              <w:right w:val="single" w:sz="8" w:space="0" w:color="D2232A" w:themeColor="accent1"/>
            </w:tcBorders>
            <w:shd w:val="clear" w:color="auto" w:fill="D2232A" w:themeFill="accent1"/>
            <w:hideMark/>
          </w:tcPr>
          <w:p w14:paraId="55DBDEEE" w14:textId="77777777" w:rsidR="008878A0" w:rsidRPr="00E64611" w:rsidRDefault="008878A0" w:rsidP="00B61330">
            <w:pPr>
              <w:jc w:val="center"/>
              <w:rPr>
                <w:b/>
                <w:color w:val="FFFFFF" w:themeColor="background1"/>
                <w:szCs w:val="18"/>
              </w:rPr>
            </w:pPr>
            <w:r w:rsidRPr="00E64611">
              <w:rPr>
                <w:b/>
                <w:color w:val="FFFFFF" w:themeColor="background1"/>
                <w:szCs w:val="18"/>
              </w:rPr>
              <w:t>Neto dobit/gubitak</w:t>
            </w:r>
          </w:p>
        </w:tc>
      </w:tr>
      <w:tr w:rsidR="008878A0" w14:paraId="27DCF3CD" w14:textId="77777777" w:rsidTr="00B369AC">
        <w:trPr>
          <w:trHeight w:hRule="exact" w:val="656"/>
          <w:tblHeader/>
        </w:trPr>
        <w:tc>
          <w:tcPr>
            <w:tcW w:w="1266" w:type="dxa"/>
            <w:vMerge/>
            <w:vAlign w:val="center"/>
            <w:hideMark/>
          </w:tcPr>
          <w:p w14:paraId="0E281A07" w14:textId="77777777" w:rsidR="008878A0" w:rsidRPr="00E64611" w:rsidRDefault="008878A0" w:rsidP="00941871">
            <w:pPr>
              <w:spacing w:after="0"/>
              <w:rPr>
                <w:rFonts w:eastAsia="Arial" w:cstheme="minorHAnsi"/>
                <w:color w:val="FFFFFF" w:themeColor="background1"/>
                <w:sz w:val="16"/>
                <w:szCs w:val="16"/>
              </w:rPr>
            </w:pPr>
          </w:p>
        </w:tc>
        <w:tc>
          <w:tcPr>
            <w:tcW w:w="851" w:type="dxa"/>
            <w:tcBorders>
              <w:top w:val="single" w:sz="8" w:space="0" w:color="F3CFC1"/>
              <w:left w:val="single" w:sz="4" w:space="0" w:color="FFFFFF" w:themeColor="background1"/>
              <w:right w:val="single" w:sz="8" w:space="0" w:color="F3CFC1"/>
            </w:tcBorders>
            <w:shd w:val="clear" w:color="auto" w:fill="D2232A" w:themeFill="accent1"/>
            <w:hideMark/>
          </w:tcPr>
          <w:p w14:paraId="337B316C" w14:textId="5EC2182C" w:rsidR="008878A0" w:rsidRPr="00E64611" w:rsidRDefault="4FD638AD" w:rsidP="00CC47B9">
            <w:pPr>
              <w:jc w:val="center"/>
              <w:rPr>
                <w:color w:val="FFFFFF" w:themeColor="background1"/>
                <w:sz w:val="14"/>
                <w:szCs w:val="14"/>
              </w:rPr>
            </w:pPr>
            <w:r w:rsidRPr="07E5E1E8">
              <w:rPr>
                <w:color w:val="FFFFFF" w:themeColor="background1"/>
                <w:sz w:val="14"/>
                <w:szCs w:val="14"/>
              </w:rPr>
              <w:t>Iznos</w:t>
            </w:r>
          </w:p>
        </w:tc>
        <w:tc>
          <w:tcPr>
            <w:tcW w:w="850" w:type="dxa"/>
            <w:tcBorders>
              <w:top w:val="single" w:sz="8" w:space="0" w:color="F3CFC1"/>
              <w:left w:val="single" w:sz="8" w:space="0" w:color="F3CFC1"/>
              <w:right w:val="single" w:sz="8" w:space="0" w:color="F3CFC1"/>
            </w:tcBorders>
            <w:shd w:val="clear" w:color="auto" w:fill="D2232A" w:themeFill="accent1"/>
            <w:hideMark/>
          </w:tcPr>
          <w:p w14:paraId="1823BC87" w14:textId="77777777" w:rsidR="008878A0" w:rsidRPr="00E64611" w:rsidRDefault="008878A0" w:rsidP="00CC47B9">
            <w:pPr>
              <w:jc w:val="center"/>
              <w:rPr>
                <w:color w:val="FFFFFF" w:themeColor="background1"/>
                <w:sz w:val="14"/>
                <w:szCs w:val="14"/>
              </w:rPr>
            </w:pPr>
            <w:r w:rsidRPr="00E64611">
              <w:rPr>
                <w:color w:val="FFFFFF" w:themeColor="background1"/>
                <w:sz w:val="14"/>
                <w:szCs w:val="14"/>
              </w:rPr>
              <w:t>Rang na razini RH</w:t>
            </w:r>
          </w:p>
        </w:tc>
        <w:tc>
          <w:tcPr>
            <w:tcW w:w="851" w:type="dxa"/>
            <w:tcBorders>
              <w:top w:val="single" w:sz="8" w:space="0" w:color="F3CFC1"/>
              <w:left w:val="single" w:sz="8" w:space="0" w:color="F3CFC1"/>
              <w:right w:val="single" w:sz="8" w:space="0" w:color="F3CFC1"/>
            </w:tcBorders>
            <w:shd w:val="clear" w:color="auto" w:fill="D2232A" w:themeFill="accent1"/>
            <w:hideMark/>
          </w:tcPr>
          <w:p w14:paraId="2E0434AD" w14:textId="180A5907" w:rsidR="008878A0" w:rsidRPr="00E64611" w:rsidRDefault="008878A0" w:rsidP="00CC47B9">
            <w:pPr>
              <w:jc w:val="center"/>
              <w:rPr>
                <w:color w:val="FFFFFF" w:themeColor="background1"/>
                <w:sz w:val="14"/>
                <w:szCs w:val="14"/>
              </w:rPr>
            </w:pPr>
            <w:r w:rsidRPr="00E64611">
              <w:rPr>
                <w:color w:val="FFFFFF" w:themeColor="background1"/>
                <w:sz w:val="14"/>
                <w:szCs w:val="14"/>
              </w:rPr>
              <w:t>Rang na razini sjedišta žup</w:t>
            </w:r>
            <w:r w:rsidR="00912AC2">
              <w:rPr>
                <w:color w:val="FFFFFF" w:themeColor="background1"/>
                <w:sz w:val="14"/>
                <w:szCs w:val="14"/>
              </w:rPr>
              <w:t>.</w:t>
            </w:r>
          </w:p>
        </w:tc>
        <w:tc>
          <w:tcPr>
            <w:tcW w:w="992" w:type="dxa"/>
            <w:tcBorders>
              <w:top w:val="single" w:sz="8" w:space="0" w:color="F3CFC1"/>
              <w:left w:val="single" w:sz="8" w:space="0" w:color="F3CFC1"/>
              <w:right w:val="single" w:sz="8" w:space="0" w:color="F3CFC1"/>
            </w:tcBorders>
            <w:shd w:val="clear" w:color="auto" w:fill="D2232A" w:themeFill="accent1"/>
            <w:hideMark/>
          </w:tcPr>
          <w:p w14:paraId="72659C13" w14:textId="3F1E8884" w:rsidR="008878A0" w:rsidRPr="00E64611" w:rsidRDefault="3038D769" w:rsidP="00CC47B9">
            <w:pPr>
              <w:jc w:val="center"/>
              <w:rPr>
                <w:color w:val="FFFFFF" w:themeColor="background1"/>
                <w:sz w:val="14"/>
                <w:szCs w:val="14"/>
              </w:rPr>
            </w:pPr>
            <w:r w:rsidRPr="07E5E1E8">
              <w:rPr>
                <w:color w:val="FFFFFF" w:themeColor="background1"/>
                <w:sz w:val="14"/>
                <w:szCs w:val="14"/>
              </w:rPr>
              <w:t>Iznos</w:t>
            </w:r>
          </w:p>
        </w:tc>
        <w:tc>
          <w:tcPr>
            <w:tcW w:w="709" w:type="dxa"/>
            <w:tcBorders>
              <w:top w:val="single" w:sz="8" w:space="0" w:color="F3CFC1"/>
              <w:left w:val="single" w:sz="8" w:space="0" w:color="F3CFC1"/>
              <w:right w:val="single" w:sz="8" w:space="0" w:color="F3CFC1"/>
            </w:tcBorders>
            <w:shd w:val="clear" w:color="auto" w:fill="D2232A" w:themeFill="accent1"/>
            <w:hideMark/>
          </w:tcPr>
          <w:p w14:paraId="3F216CD4" w14:textId="77777777" w:rsidR="008878A0" w:rsidRPr="00E64611" w:rsidRDefault="008878A0" w:rsidP="00CC47B9">
            <w:pPr>
              <w:jc w:val="center"/>
              <w:rPr>
                <w:color w:val="FFFFFF" w:themeColor="background1"/>
                <w:sz w:val="14"/>
                <w:szCs w:val="14"/>
              </w:rPr>
            </w:pPr>
            <w:r w:rsidRPr="00E64611">
              <w:rPr>
                <w:color w:val="FFFFFF" w:themeColor="background1"/>
                <w:sz w:val="14"/>
                <w:szCs w:val="14"/>
              </w:rPr>
              <w:t>Rang na razini RH</w:t>
            </w:r>
          </w:p>
        </w:tc>
        <w:tc>
          <w:tcPr>
            <w:tcW w:w="1275" w:type="dxa"/>
            <w:tcBorders>
              <w:top w:val="single" w:sz="8" w:space="0" w:color="F3CFC1"/>
              <w:left w:val="single" w:sz="8" w:space="0" w:color="F3CFC1"/>
              <w:right w:val="single" w:sz="8" w:space="0" w:color="F3CFC1"/>
            </w:tcBorders>
            <w:shd w:val="clear" w:color="auto" w:fill="D2232A" w:themeFill="accent1"/>
            <w:hideMark/>
          </w:tcPr>
          <w:p w14:paraId="0058D876" w14:textId="7744D0D9" w:rsidR="008878A0" w:rsidRPr="00E64611" w:rsidRDefault="64E9132F" w:rsidP="00CC47B9">
            <w:pPr>
              <w:jc w:val="center"/>
              <w:rPr>
                <w:color w:val="FFFFFF" w:themeColor="background1"/>
                <w:sz w:val="14"/>
                <w:szCs w:val="14"/>
              </w:rPr>
            </w:pPr>
            <w:r w:rsidRPr="07E5E1E8">
              <w:rPr>
                <w:color w:val="FFFFFF" w:themeColor="background1"/>
                <w:sz w:val="14"/>
                <w:szCs w:val="14"/>
              </w:rPr>
              <w:t>Iznos</w:t>
            </w:r>
          </w:p>
        </w:tc>
        <w:tc>
          <w:tcPr>
            <w:tcW w:w="567" w:type="dxa"/>
            <w:tcBorders>
              <w:top w:val="single" w:sz="8" w:space="0" w:color="F3CFC1"/>
              <w:left w:val="single" w:sz="8" w:space="0" w:color="F3CFC1"/>
              <w:right w:val="single" w:sz="8" w:space="0" w:color="F3CFC1"/>
            </w:tcBorders>
            <w:shd w:val="clear" w:color="auto" w:fill="D2232A" w:themeFill="accent1"/>
            <w:hideMark/>
          </w:tcPr>
          <w:p w14:paraId="6B74D95E" w14:textId="77777777" w:rsidR="008878A0" w:rsidRPr="00E64611" w:rsidRDefault="008878A0" w:rsidP="00CC47B9">
            <w:pPr>
              <w:jc w:val="center"/>
              <w:rPr>
                <w:color w:val="FFFFFF" w:themeColor="background1"/>
                <w:sz w:val="14"/>
                <w:szCs w:val="14"/>
              </w:rPr>
            </w:pPr>
            <w:r w:rsidRPr="00E64611">
              <w:rPr>
                <w:color w:val="FFFFFF" w:themeColor="background1"/>
                <w:sz w:val="14"/>
                <w:szCs w:val="14"/>
              </w:rPr>
              <w:t>Rang na razini RH</w:t>
            </w:r>
          </w:p>
        </w:tc>
        <w:tc>
          <w:tcPr>
            <w:tcW w:w="1134" w:type="dxa"/>
            <w:tcBorders>
              <w:top w:val="single" w:sz="8" w:space="0" w:color="F3CFC1"/>
              <w:left w:val="single" w:sz="8" w:space="0" w:color="F3CFC1"/>
              <w:right w:val="single" w:sz="8" w:space="0" w:color="F3CFC1"/>
            </w:tcBorders>
            <w:shd w:val="clear" w:color="auto" w:fill="D2232A" w:themeFill="accent1"/>
            <w:hideMark/>
          </w:tcPr>
          <w:p w14:paraId="7CC3D552" w14:textId="3251571E" w:rsidR="008878A0" w:rsidRPr="00E64611" w:rsidRDefault="6DBCF480" w:rsidP="00CC47B9">
            <w:pPr>
              <w:jc w:val="center"/>
              <w:rPr>
                <w:color w:val="FFFFFF" w:themeColor="background1"/>
                <w:sz w:val="14"/>
                <w:szCs w:val="14"/>
              </w:rPr>
            </w:pPr>
            <w:r w:rsidRPr="07E5E1E8">
              <w:rPr>
                <w:color w:val="FFFFFF" w:themeColor="background1"/>
                <w:sz w:val="14"/>
                <w:szCs w:val="14"/>
              </w:rPr>
              <w:t>Iznos</w:t>
            </w:r>
          </w:p>
        </w:tc>
        <w:tc>
          <w:tcPr>
            <w:tcW w:w="851" w:type="dxa"/>
            <w:tcBorders>
              <w:top w:val="single" w:sz="8" w:space="0" w:color="F3CFC1"/>
              <w:left w:val="single" w:sz="8" w:space="0" w:color="F3CFC1"/>
              <w:right w:val="single" w:sz="8" w:space="0" w:color="D2232A" w:themeColor="accent1"/>
            </w:tcBorders>
            <w:shd w:val="clear" w:color="auto" w:fill="D2232A" w:themeFill="accent1"/>
            <w:hideMark/>
          </w:tcPr>
          <w:p w14:paraId="7FDBA1D9" w14:textId="77777777" w:rsidR="008878A0" w:rsidRPr="00E64611" w:rsidRDefault="008878A0" w:rsidP="00CC47B9">
            <w:pPr>
              <w:jc w:val="center"/>
              <w:rPr>
                <w:color w:val="FFFFFF" w:themeColor="background1"/>
                <w:sz w:val="14"/>
                <w:szCs w:val="14"/>
              </w:rPr>
            </w:pPr>
            <w:r w:rsidRPr="00E64611">
              <w:rPr>
                <w:color w:val="FFFFFF" w:themeColor="background1"/>
                <w:sz w:val="14"/>
                <w:szCs w:val="14"/>
              </w:rPr>
              <w:t>Rang na razini RH</w:t>
            </w:r>
          </w:p>
        </w:tc>
      </w:tr>
      <w:tr w:rsidR="008878A0" w14:paraId="14789853" w14:textId="77777777" w:rsidTr="00B369AC">
        <w:trPr>
          <w:trHeight w:hRule="exact" w:val="280"/>
        </w:trPr>
        <w:tc>
          <w:tcPr>
            <w:tcW w:w="1266" w:type="dxa"/>
            <w:tcBorders>
              <w:left w:val="single" w:sz="8" w:space="0" w:color="D2232A" w:themeColor="accent1"/>
              <w:bottom w:val="single" w:sz="8" w:space="0" w:color="F3CFC1"/>
              <w:right w:val="single" w:sz="8" w:space="0" w:color="D2232A" w:themeColor="accent1"/>
            </w:tcBorders>
            <w:hideMark/>
          </w:tcPr>
          <w:p w14:paraId="6281BD96" w14:textId="77777777" w:rsidR="008878A0" w:rsidRDefault="008878A0" w:rsidP="00941871">
            <w:pPr>
              <w:spacing w:before="22"/>
              <w:ind w:left="52"/>
              <w:rPr>
                <w:rFonts w:eastAsia="Arial" w:cstheme="minorHAnsi"/>
                <w:color w:val="auto"/>
                <w:szCs w:val="18"/>
              </w:rPr>
            </w:pPr>
            <w:r>
              <w:rPr>
                <w:rFonts w:eastAsia="Arial" w:cstheme="minorHAnsi"/>
                <w:spacing w:val="2"/>
                <w:szCs w:val="18"/>
              </w:rPr>
              <w:t>Gr</w:t>
            </w:r>
            <w:r>
              <w:rPr>
                <w:rFonts w:eastAsia="Arial" w:cstheme="minorHAnsi"/>
                <w:spacing w:val="-5"/>
                <w:szCs w:val="18"/>
              </w:rPr>
              <w:t>a</w:t>
            </w:r>
            <w:r>
              <w:rPr>
                <w:rFonts w:eastAsia="Arial" w:cstheme="minorHAnsi"/>
                <w:szCs w:val="18"/>
              </w:rPr>
              <w:t>d</w:t>
            </w:r>
            <w:r>
              <w:rPr>
                <w:rFonts w:cstheme="minorHAnsi"/>
                <w:spacing w:val="11"/>
                <w:szCs w:val="18"/>
              </w:rPr>
              <w:t xml:space="preserve"> </w:t>
            </w:r>
            <w:r>
              <w:rPr>
                <w:rFonts w:eastAsia="Arial" w:cstheme="minorHAnsi"/>
                <w:spacing w:val="-1"/>
                <w:w w:val="101"/>
                <w:szCs w:val="18"/>
              </w:rPr>
              <w:t>Z</w:t>
            </w:r>
            <w:r>
              <w:rPr>
                <w:rFonts w:eastAsia="Arial" w:cstheme="minorHAnsi"/>
                <w:spacing w:val="-5"/>
                <w:w w:val="101"/>
                <w:szCs w:val="18"/>
              </w:rPr>
              <w:t>a</w:t>
            </w:r>
            <w:r>
              <w:rPr>
                <w:rFonts w:eastAsia="Arial" w:cstheme="minorHAnsi"/>
                <w:spacing w:val="-1"/>
                <w:w w:val="101"/>
                <w:szCs w:val="18"/>
              </w:rPr>
              <w:t>g</w:t>
            </w:r>
            <w:r>
              <w:rPr>
                <w:rFonts w:eastAsia="Arial" w:cstheme="minorHAnsi"/>
                <w:spacing w:val="2"/>
                <w:w w:val="101"/>
                <w:szCs w:val="18"/>
              </w:rPr>
              <w:t>r</w:t>
            </w:r>
            <w:r>
              <w:rPr>
                <w:rFonts w:eastAsia="Arial" w:cstheme="minorHAnsi"/>
                <w:spacing w:val="-5"/>
                <w:w w:val="101"/>
                <w:szCs w:val="18"/>
              </w:rPr>
              <w:t>e</w:t>
            </w:r>
            <w:r>
              <w:rPr>
                <w:rFonts w:eastAsia="Arial" w:cstheme="minorHAnsi"/>
                <w:w w:val="101"/>
                <w:szCs w:val="18"/>
              </w:rPr>
              <w:t>b</w:t>
            </w:r>
          </w:p>
        </w:tc>
        <w:tc>
          <w:tcPr>
            <w:tcW w:w="851" w:type="dxa"/>
            <w:tcBorders>
              <w:left w:val="single" w:sz="8" w:space="0" w:color="D2232A" w:themeColor="accent1"/>
              <w:bottom w:val="single" w:sz="8" w:space="0" w:color="F3CFC1"/>
              <w:right w:val="single" w:sz="8" w:space="0" w:color="D2232A" w:themeColor="accent1"/>
            </w:tcBorders>
            <w:hideMark/>
          </w:tcPr>
          <w:p w14:paraId="26531396" w14:textId="52C6E0A6" w:rsidR="008878A0" w:rsidRDefault="008878A0" w:rsidP="00B61330">
            <w:pPr>
              <w:spacing w:before="22"/>
              <w:ind w:left="277"/>
              <w:jc w:val="center"/>
              <w:rPr>
                <w:rFonts w:eastAsia="Arial"/>
              </w:rPr>
            </w:pPr>
            <w:r w:rsidRPr="07E5E1E8">
              <w:rPr>
                <w:rFonts w:eastAsia="Arial"/>
                <w:spacing w:val="-1"/>
                <w:w w:val="101"/>
              </w:rPr>
              <w:t>4</w:t>
            </w:r>
            <w:r w:rsidR="1B5758A1" w:rsidRPr="07E5E1E8">
              <w:rPr>
                <w:rFonts w:eastAsia="Arial"/>
                <w:spacing w:val="-1"/>
                <w:w w:val="101"/>
              </w:rPr>
              <w:t>5</w:t>
            </w:r>
            <w:r w:rsidRPr="07E5E1E8">
              <w:rPr>
                <w:rFonts w:eastAsia="Arial"/>
                <w:spacing w:val="2"/>
                <w:w w:val="101"/>
              </w:rPr>
              <w:t>.</w:t>
            </w:r>
            <w:r w:rsidR="05A8A469" w:rsidRPr="07E5E1E8">
              <w:rPr>
                <w:rFonts w:eastAsia="Arial"/>
              </w:rPr>
              <w:t>608</w:t>
            </w:r>
          </w:p>
        </w:tc>
        <w:tc>
          <w:tcPr>
            <w:tcW w:w="850" w:type="dxa"/>
            <w:tcBorders>
              <w:left w:val="single" w:sz="8" w:space="0" w:color="D2232A" w:themeColor="accent1"/>
              <w:bottom w:val="single" w:sz="8" w:space="0" w:color="F3CFC1"/>
              <w:right w:val="single" w:sz="8" w:space="0" w:color="D2232A" w:themeColor="accent1"/>
            </w:tcBorders>
            <w:hideMark/>
          </w:tcPr>
          <w:p w14:paraId="5C233124" w14:textId="77777777" w:rsidR="008878A0" w:rsidRDefault="008878A0" w:rsidP="00B61330">
            <w:pPr>
              <w:spacing w:before="36"/>
              <w:ind w:left="402"/>
              <w:jc w:val="center"/>
              <w:rPr>
                <w:rFonts w:eastAsia="Arial" w:cstheme="minorHAnsi"/>
                <w:sz w:val="16"/>
                <w:szCs w:val="16"/>
              </w:rPr>
            </w:pPr>
            <w:r>
              <w:rPr>
                <w:rFonts w:eastAsia="Arial" w:cstheme="minorHAnsi"/>
                <w:b/>
                <w:sz w:val="16"/>
                <w:szCs w:val="16"/>
              </w:rPr>
              <w:t>1</w:t>
            </w:r>
          </w:p>
        </w:tc>
        <w:tc>
          <w:tcPr>
            <w:tcW w:w="851" w:type="dxa"/>
            <w:tcBorders>
              <w:left w:val="single" w:sz="8" w:space="0" w:color="D2232A" w:themeColor="accent1"/>
              <w:bottom w:val="single" w:sz="8" w:space="0" w:color="F3CFC1"/>
              <w:right w:val="single" w:sz="8" w:space="0" w:color="D2232A" w:themeColor="accent1"/>
            </w:tcBorders>
            <w:hideMark/>
          </w:tcPr>
          <w:p w14:paraId="4D210F23" w14:textId="77777777" w:rsidR="008878A0" w:rsidRDefault="008878A0" w:rsidP="00B61330">
            <w:pPr>
              <w:spacing w:before="36"/>
              <w:ind w:left="570"/>
              <w:jc w:val="center"/>
              <w:rPr>
                <w:rFonts w:eastAsia="Arial" w:cstheme="minorHAnsi"/>
                <w:sz w:val="16"/>
                <w:szCs w:val="16"/>
              </w:rPr>
            </w:pPr>
            <w:r>
              <w:rPr>
                <w:rFonts w:eastAsia="Arial" w:cstheme="minorHAnsi"/>
                <w:b/>
                <w:sz w:val="16"/>
                <w:szCs w:val="16"/>
              </w:rPr>
              <w:t>1</w:t>
            </w:r>
          </w:p>
        </w:tc>
        <w:tc>
          <w:tcPr>
            <w:tcW w:w="992" w:type="dxa"/>
            <w:tcBorders>
              <w:left w:val="single" w:sz="8" w:space="0" w:color="D2232A" w:themeColor="accent1"/>
              <w:bottom w:val="single" w:sz="8" w:space="0" w:color="F3CFC1"/>
              <w:right w:val="single" w:sz="8" w:space="0" w:color="D2232A" w:themeColor="accent1"/>
            </w:tcBorders>
            <w:hideMark/>
          </w:tcPr>
          <w:p w14:paraId="084EA27C" w14:textId="6E4B6B62" w:rsidR="008878A0" w:rsidRDefault="008878A0" w:rsidP="00B61330">
            <w:pPr>
              <w:spacing w:before="22"/>
              <w:ind w:left="287"/>
              <w:jc w:val="center"/>
              <w:rPr>
                <w:rFonts w:eastAsia="Arial"/>
              </w:rPr>
            </w:pPr>
            <w:r w:rsidRPr="07E5E1E8">
              <w:rPr>
                <w:rFonts w:eastAsia="Arial"/>
                <w:spacing w:val="-1"/>
                <w:w w:val="101"/>
              </w:rPr>
              <w:t>3</w:t>
            </w:r>
            <w:r w:rsidR="0A4C2E11" w:rsidRPr="07E5E1E8">
              <w:rPr>
                <w:rFonts w:eastAsia="Arial"/>
                <w:spacing w:val="-1"/>
                <w:w w:val="101"/>
              </w:rPr>
              <w:t>72</w:t>
            </w:r>
            <w:r w:rsidRPr="07E5E1E8">
              <w:rPr>
                <w:rFonts w:eastAsia="Arial"/>
                <w:spacing w:val="2"/>
                <w:w w:val="101"/>
              </w:rPr>
              <w:t>.</w:t>
            </w:r>
            <w:r w:rsidR="629F173F" w:rsidRPr="07E5E1E8">
              <w:rPr>
                <w:rFonts w:eastAsia="Arial"/>
              </w:rPr>
              <w:t>776</w:t>
            </w:r>
          </w:p>
        </w:tc>
        <w:tc>
          <w:tcPr>
            <w:tcW w:w="709" w:type="dxa"/>
            <w:tcBorders>
              <w:left w:val="single" w:sz="8" w:space="0" w:color="D2232A" w:themeColor="accent1"/>
              <w:bottom w:val="single" w:sz="8" w:space="0" w:color="F3CFC1"/>
              <w:right w:val="single" w:sz="8" w:space="0" w:color="D2232A" w:themeColor="accent1"/>
            </w:tcBorders>
            <w:hideMark/>
          </w:tcPr>
          <w:p w14:paraId="4BBC30AF" w14:textId="77777777" w:rsidR="008878A0" w:rsidRDefault="008878A0" w:rsidP="00B61330">
            <w:pPr>
              <w:spacing w:before="36"/>
              <w:ind w:left="402"/>
              <w:jc w:val="center"/>
              <w:rPr>
                <w:rFonts w:eastAsia="Arial" w:cstheme="minorHAnsi"/>
                <w:sz w:val="16"/>
                <w:szCs w:val="16"/>
              </w:rPr>
            </w:pPr>
            <w:r>
              <w:rPr>
                <w:rFonts w:eastAsia="Arial" w:cstheme="minorHAnsi"/>
                <w:b/>
                <w:sz w:val="16"/>
                <w:szCs w:val="16"/>
              </w:rPr>
              <w:t>1</w:t>
            </w:r>
          </w:p>
        </w:tc>
        <w:tc>
          <w:tcPr>
            <w:tcW w:w="1275" w:type="dxa"/>
            <w:tcBorders>
              <w:left w:val="single" w:sz="8" w:space="0" w:color="D2232A" w:themeColor="accent1"/>
              <w:bottom w:val="single" w:sz="8" w:space="0" w:color="F3CFC1"/>
              <w:right w:val="single" w:sz="8" w:space="0" w:color="D2232A" w:themeColor="accent1"/>
            </w:tcBorders>
            <w:hideMark/>
          </w:tcPr>
          <w:p w14:paraId="0DA487EA" w14:textId="0741058E" w:rsidR="008878A0" w:rsidRDefault="008878A0" w:rsidP="00B61330">
            <w:pPr>
              <w:spacing w:before="22"/>
              <w:ind w:left="105"/>
              <w:jc w:val="center"/>
              <w:rPr>
                <w:rFonts w:eastAsia="Arial"/>
              </w:rPr>
            </w:pPr>
            <w:r w:rsidRPr="07E5E1E8">
              <w:rPr>
                <w:rFonts w:eastAsia="Arial"/>
                <w:spacing w:val="-1"/>
                <w:w w:val="101"/>
              </w:rPr>
              <w:t>3</w:t>
            </w:r>
            <w:r w:rsidR="343158A9" w:rsidRPr="07E5E1E8">
              <w:rPr>
                <w:rFonts w:eastAsia="Arial"/>
                <w:spacing w:val="-1"/>
                <w:w w:val="101"/>
              </w:rPr>
              <w:t>99</w:t>
            </w:r>
            <w:r w:rsidRPr="07E5E1E8">
              <w:rPr>
                <w:rFonts w:eastAsia="Arial"/>
                <w:spacing w:val="2"/>
                <w:w w:val="101"/>
              </w:rPr>
              <w:t>.</w:t>
            </w:r>
            <w:r w:rsidR="5DDA3998" w:rsidRPr="07E5E1E8">
              <w:rPr>
                <w:szCs w:val="18"/>
              </w:rPr>
              <w:t>898</w:t>
            </w:r>
            <w:r w:rsidRPr="07E5E1E8">
              <w:rPr>
                <w:szCs w:val="18"/>
              </w:rPr>
              <w:t>.</w:t>
            </w:r>
            <w:r w:rsidR="61769E82" w:rsidRPr="07E5E1E8">
              <w:rPr>
                <w:szCs w:val="18"/>
              </w:rPr>
              <w:t>534</w:t>
            </w:r>
          </w:p>
        </w:tc>
        <w:tc>
          <w:tcPr>
            <w:tcW w:w="567" w:type="dxa"/>
            <w:tcBorders>
              <w:left w:val="single" w:sz="8" w:space="0" w:color="D2232A" w:themeColor="accent1"/>
              <w:bottom w:val="single" w:sz="8" w:space="0" w:color="F3CFC1"/>
              <w:right w:val="single" w:sz="8" w:space="0" w:color="D2232A" w:themeColor="accent1"/>
            </w:tcBorders>
            <w:hideMark/>
          </w:tcPr>
          <w:p w14:paraId="7BFEC36B" w14:textId="77777777" w:rsidR="008878A0" w:rsidRDefault="008878A0" w:rsidP="00B61330">
            <w:pPr>
              <w:spacing w:before="36"/>
              <w:ind w:left="402"/>
              <w:jc w:val="center"/>
              <w:rPr>
                <w:rFonts w:eastAsia="Arial" w:cstheme="minorHAnsi"/>
                <w:sz w:val="16"/>
                <w:szCs w:val="16"/>
              </w:rPr>
            </w:pPr>
            <w:r>
              <w:rPr>
                <w:rFonts w:eastAsia="Arial" w:cstheme="minorHAnsi"/>
                <w:b/>
                <w:sz w:val="16"/>
                <w:szCs w:val="16"/>
              </w:rPr>
              <w:t>1</w:t>
            </w:r>
          </w:p>
        </w:tc>
        <w:tc>
          <w:tcPr>
            <w:tcW w:w="1134" w:type="dxa"/>
            <w:tcBorders>
              <w:left w:val="single" w:sz="8" w:space="0" w:color="D2232A" w:themeColor="accent1"/>
              <w:bottom w:val="single" w:sz="8" w:space="0" w:color="F3CFC1"/>
              <w:right w:val="single" w:sz="8" w:space="0" w:color="D2232A" w:themeColor="accent1"/>
            </w:tcBorders>
            <w:hideMark/>
          </w:tcPr>
          <w:p w14:paraId="779BCE8A" w14:textId="44DEC4AE" w:rsidR="008878A0" w:rsidRDefault="008878A0" w:rsidP="00B61330">
            <w:pPr>
              <w:spacing w:before="28"/>
              <w:ind w:left="153"/>
              <w:jc w:val="center"/>
              <w:rPr>
                <w:rFonts w:eastAsia="Arial"/>
              </w:rPr>
            </w:pPr>
            <w:r w:rsidRPr="07E5E1E8">
              <w:rPr>
                <w:rFonts w:eastAsia="Arial"/>
                <w:spacing w:val="-1"/>
                <w:w w:val="101"/>
              </w:rPr>
              <w:t>1</w:t>
            </w:r>
            <w:r w:rsidR="63E546B1" w:rsidRPr="07E5E1E8">
              <w:rPr>
                <w:rFonts w:eastAsia="Arial"/>
                <w:spacing w:val="-1"/>
                <w:w w:val="101"/>
              </w:rPr>
              <w:t>8</w:t>
            </w:r>
            <w:r w:rsidRPr="07E5E1E8">
              <w:rPr>
                <w:rFonts w:eastAsia="Arial"/>
                <w:spacing w:val="2"/>
                <w:w w:val="101"/>
              </w:rPr>
              <w:t>.</w:t>
            </w:r>
            <w:r w:rsidR="5907477A" w:rsidRPr="07E5E1E8">
              <w:rPr>
                <w:rFonts w:eastAsia="Arial"/>
                <w:spacing w:val="-1"/>
                <w:w w:val="101"/>
              </w:rPr>
              <w:t>509</w:t>
            </w:r>
            <w:r w:rsidRPr="07E5E1E8">
              <w:rPr>
                <w:rFonts w:eastAsia="Arial"/>
                <w:spacing w:val="2"/>
                <w:w w:val="101"/>
              </w:rPr>
              <w:t>.</w:t>
            </w:r>
            <w:r w:rsidR="3D3FEB90" w:rsidRPr="07E5E1E8">
              <w:rPr>
                <w:szCs w:val="18"/>
              </w:rPr>
              <w:t>772</w:t>
            </w:r>
          </w:p>
        </w:tc>
        <w:tc>
          <w:tcPr>
            <w:tcW w:w="851" w:type="dxa"/>
            <w:tcBorders>
              <w:left w:val="single" w:sz="8" w:space="0" w:color="D2232A" w:themeColor="accent1"/>
              <w:bottom w:val="single" w:sz="8" w:space="0" w:color="F3CFC1"/>
              <w:right w:val="single" w:sz="8" w:space="0" w:color="D2232A" w:themeColor="accent1"/>
            </w:tcBorders>
            <w:hideMark/>
          </w:tcPr>
          <w:p w14:paraId="2F4F68EA" w14:textId="77777777" w:rsidR="008878A0" w:rsidRDefault="008878A0" w:rsidP="00B61330">
            <w:pPr>
              <w:spacing w:before="42"/>
              <w:ind w:left="407"/>
              <w:jc w:val="center"/>
              <w:rPr>
                <w:rFonts w:eastAsia="Arial" w:cstheme="minorHAnsi"/>
                <w:sz w:val="16"/>
                <w:szCs w:val="16"/>
              </w:rPr>
            </w:pPr>
            <w:r>
              <w:rPr>
                <w:rFonts w:eastAsia="Arial" w:cstheme="minorHAnsi"/>
                <w:b/>
                <w:sz w:val="16"/>
                <w:szCs w:val="16"/>
              </w:rPr>
              <w:t>1</w:t>
            </w:r>
          </w:p>
        </w:tc>
      </w:tr>
      <w:tr w:rsidR="008878A0" w14:paraId="5DE12B33" w14:textId="77777777" w:rsidTr="00B369AC">
        <w:trPr>
          <w:trHeight w:hRule="exact" w:val="275"/>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71786E48" w14:textId="77777777" w:rsidR="008878A0" w:rsidRDefault="008878A0" w:rsidP="00941871">
            <w:pPr>
              <w:spacing w:before="17"/>
              <w:ind w:left="52"/>
              <w:rPr>
                <w:rFonts w:eastAsia="Arial" w:cstheme="minorHAnsi"/>
                <w:szCs w:val="18"/>
              </w:rPr>
            </w:pPr>
            <w:r>
              <w:rPr>
                <w:rFonts w:eastAsia="Arial" w:cstheme="minorHAnsi"/>
                <w:spacing w:val="-2"/>
                <w:w w:val="101"/>
                <w:szCs w:val="18"/>
              </w:rPr>
              <w:t>S</w:t>
            </w:r>
            <w:r>
              <w:rPr>
                <w:rFonts w:eastAsia="Arial" w:cstheme="minorHAnsi"/>
                <w:spacing w:val="-1"/>
                <w:w w:val="101"/>
                <w:szCs w:val="18"/>
              </w:rPr>
              <w:t>p</w:t>
            </w:r>
            <w:r>
              <w:rPr>
                <w:rFonts w:eastAsia="Arial" w:cstheme="minorHAnsi"/>
                <w:spacing w:val="3"/>
                <w:w w:val="101"/>
                <w:szCs w:val="18"/>
              </w:rPr>
              <w:t>l</w:t>
            </w:r>
            <w:r>
              <w:rPr>
                <w:rFonts w:eastAsia="Arial" w:cstheme="minorHAnsi"/>
                <w:spacing w:val="-2"/>
                <w:w w:val="101"/>
                <w:szCs w:val="18"/>
              </w:rPr>
              <w:t>i</w:t>
            </w:r>
            <w:r>
              <w:rPr>
                <w:rFonts w:eastAsia="Arial" w:cstheme="minorHAnsi"/>
                <w:w w:val="101"/>
                <w:szCs w:val="18"/>
              </w:rPr>
              <w:t>t</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342BC0F6" w14:textId="5306E293" w:rsidR="008878A0" w:rsidRDefault="008878A0" w:rsidP="00B61330">
            <w:pPr>
              <w:spacing w:before="17"/>
              <w:ind w:left="378"/>
              <w:jc w:val="center"/>
              <w:rPr>
                <w:rFonts w:eastAsia="Arial"/>
              </w:rPr>
            </w:pPr>
            <w:r w:rsidRPr="07E5E1E8">
              <w:rPr>
                <w:rFonts w:eastAsia="Arial"/>
                <w:spacing w:val="-1"/>
                <w:w w:val="101"/>
              </w:rPr>
              <w:t>7</w:t>
            </w:r>
            <w:r w:rsidRPr="07E5E1E8">
              <w:rPr>
                <w:rFonts w:eastAsia="Arial"/>
                <w:spacing w:val="2"/>
                <w:w w:val="101"/>
              </w:rPr>
              <w:t>.</w:t>
            </w:r>
            <w:r w:rsidR="26130FA3" w:rsidRPr="07E5E1E8">
              <w:rPr>
                <w:rFonts w:eastAsia="Arial"/>
                <w:spacing w:val="2"/>
                <w:w w:val="101"/>
              </w:rPr>
              <w:t>798</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0D965A23" w14:textId="77777777" w:rsidR="008878A0" w:rsidRDefault="008878A0" w:rsidP="00B61330">
            <w:pPr>
              <w:spacing w:before="17"/>
              <w:ind w:left="393"/>
              <w:jc w:val="center"/>
              <w:rPr>
                <w:rFonts w:eastAsia="Arial" w:cstheme="minorHAnsi"/>
                <w:szCs w:val="18"/>
              </w:rPr>
            </w:pPr>
            <w:r>
              <w:rPr>
                <w:rFonts w:eastAsia="Arial" w:cstheme="minorHAnsi"/>
                <w:b/>
                <w:w w:val="101"/>
                <w:szCs w:val="18"/>
              </w:rPr>
              <w:t>2</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5C0CB01A" w14:textId="77777777" w:rsidR="008878A0" w:rsidRDefault="008878A0" w:rsidP="00B61330">
            <w:pPr>
              <w:spacing w:before="17"/>
              <w:ind w:left="561"/>
              <w:jc w:val="center"/>
              <w:rPr>
                <w:rFonts w:eastAsia="Arial" w:cstheme="minorHAnsi"/>
                <w:szCs w:val="18"/>
              </w:rPr>
            </w:pPr>
            <w:r>
              <w:rPr>
                <w:rFonts w:eastAsia="Arial" w:cstheme="minorHAnsi"/>
                <w:b/>
                <w:w w:val="101"/>
                <w:szCs w:val="18"/>
              </w:rPr>
              <w:t>2</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6DCCC8E8" w14:textId="4EABE47C" w:rsidR="008878A0" w:rsidRDefault="008878A0" w:rsidP="00B61330">
            <w:pPr>
              <w:spacing w:before="17"/>
              <w:ind w:left="388"/>
              <w:jc w:val="center"/>
              <w:rPr>
                <w:rFonts w:eastAsia="Arial"/>
              </w:rPr>
            </w:pPr>
            <w:r w:rsidRPr="07E5E1E8">
              <w:rPr>
                <w:rFonts w:eastAsia="Arial"/>
                <w:spacing w:val="-1"/>
                <w:w w:val="101"/>
              </w:rPr>
              <w:t>3</w:t>
            </w:r>
            <w:r w:rsidR="0F7C7967" w:rsidRPr="07E5E1E8">
              <w:rPr>
                <w:rFonts w:eastAsia="Arial"/>
                <w:spacing w:val="-1"/>
                <w:w w:val="101"/>
              </w:rPr>
              <w:t>9</w:t>
            </w:r>
            <w:r w:rsidRPr="07E5E1E8">
              <w:rPr>
                <w:rFonts w:eastAsia="Arial"/>
                <w:spacing w:val="2"/>
                <w:w w:val="101"/>
              </w:rPr>
              <w:t>.</w:t>
            </w:r>
            <w:r w:rsidR="66775911" w:rsidRPr="07E5E1E8">
              <w:rPr>
                <w:rFonts w:eastAsia="Arial"/>
              </w:rPr>
              <w:t>497</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644468F6" w14:textId="77777777" w:rsidR="008878A0" w:rsidRDefault="008878A0" w:rsidP="00B61330">
            <w:pPr>
              <w:spacing w:before="17"/>
              <w:ind w:left="393"/>
              <w:jc w:val="center"/>
              <w:rPr>
                <w:rFonts w:eastAsia="Arial" w:cstheme="minorHAnsi"/>
                <w:szCs w:val="18"/>
              </w:rPr>
            </w:pPr>
            <w:r>
              <w:rPr>
                <w:rFonts w:eastAsia="Arial" w:cstheme="minorHAnsi"/>
                <w:b/>
                <w:w w:val="101"/>
                <w:szCs w:val="18"/>
              </w:rPr>
              <w:t>2</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2F7B88CC" w14:textId="386BE57C" w:rsidR="008878A0" w:rsidRDefault="008878A0" w:rsidP="00B61330">
            <w:pPr>
              <w:spacing w:before="17"/>
              <w:ind w:left="205"/>
              <w:jc w:val="center"/>
              <w:rPr>
                <w:rFonts w:eastAsia="Arial"/>
              </w:rPr>
            </w:pPr>
            <w:r w:rsidRPr="07E5E1E8">
              <w:rPr>
                <w:rFonts w:eastAsia="Arial"/>
                <w:spacing w:val="-1"/>
                <w:w w:val="101"/>
              </w:rPr>
              <w:t>2</w:t>
            </w:r>
            <w:r w:rsidR="27940982" w:rsidRPr="07E5E1E8">
              <w:rPr>
                <w:rFonts w:eastAsia="Arial"/>
                <w:spacing w:val="-1"/>
                <w:w w:val="101"/>
              </w:rPr>
              <w:t>7</w:t>
            </w:r>
            <w:r w:rsidRPr="07E5E1E8">
              <w:rPr>
                <w:rFonts w:eastAsia="Arial"/>
                <w:spacing w:val="2"/>
                <w:w w:val="101"/>
              </w:rPr>
              <w:t>.</w:t>
            </w:r>
            <w:r w:rsidR="26760A0A" w:rsidRPr="07E5E1E8">
              <w:rPr>
                <w:rFonts w:eastAsia="Arial"/>
                <w:spacing w:val="2"/>
                <w:w w:val="101"/>
              </w:rPr>
              <w:t>187</w:t>
            </w:r>
            <w:r w:rsidRPr="07E5E1E8">
              <w:rPr>
                <w:rFonts w:eastAsia="Arial"/>
                <w:spacing w:val="2"/>
                <w:w w:val="101"/>
              </w:rPr>
              <w:t>.</w:t>
            </w:r>
            <w:r w:rsidRPr="07E5E1E8">
              <w:rPr>
                <w:rFonts w:eastAsia="Arial"/>
                <w:spacing w:val="-1"/>
                <w:w w:val="101"/>
              </w:rPr>
              <w:t>7</w:t>
            </w:r>
            <w:r w:rsidR="4EEF94AF" w:rsidRPr="07E5E1E8">
              <w:rPr>
                <w:rFonts w:eastAsia="Arial"/>
                <w:spacing w:val="-1"/>
                <w:w w:val="101"/>
              </w:rPr>
              <w:t>66</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313BD560" w14:textId="77777777" w:rsidR="008878A0" w:rsidRDefault="008878A0" w:rsidP="00B61330">
            <w:pPr>
              <w:spacing w:before="17"/>
              <w:ind w:left="393"/>
              <w:jc w:val="center"/>
              <w:rPr>
                <w:rFonts w:eastAsia="Arial" w:cstheme="minorHAnsi"/>
                <w:szCs w:val="18"/>
              </w:rPr>
            </w:pPr>
            <w:r>
              <w:rPr>
                <w:rFonts w:eastAsia="Arial" w:cstheme="minorHAnsi"/>
                <w:b/>
                <w:w w:val="101"/>
                <w:szCs w:val="18"/>
              </w:rPr>
              <w:t>2</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5F75807E" w14:textId="5EE21120" w:rsidR="008878A0" w:rsidRDefault="6F9BD61B" w:rsidP="00B61330">
            <w:pPr>
              <w:spacing w:before="17"/>
              <w:ind w:left="402"/>
              <w:jc w:val="center"/>
              <w:rPr>
                <w:rFonts w:eastAsia="Arial"/>
              </w:rPr>
            </w:pPr>
            <w:r w:rsidRPr="07E5E1E8">
              <w:rPr>
                <w:rFonts w:eastAsia="Arial"/>
              </w:rPr>
              <w:t>-61.070</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39CF3997" w14:textId="77777777" w:rsidR="008878A0" w:rsidRDefault="587C23DB" w:rsidP="00B61330">
            <w:pPr>
              <w:spacing w:before="17"/>
              <w:ind w:left="397"/>
              <w:jc w:val="center"/>
              <w:rPr>
                <w:rFonts w:eastAsia="Arial"/>
                <w:b/>
                <w:bCs/>
              </w:rPr>
            </w:pPr>
            <w:r w:rsidRPr="07E5E1E8">
              <w:rPr>
                <w:rFonts w:eastAsia="Arial"/>
                <w:b/>
                <w:bCs/>
                <w:w w:val="101"/>
              </w:rPr>
              <w:t>549</w:t>
            </w:r>
          </w:p>
        </w:tc>
      </w:tr>
      <w:tr w:rsidR="008878A0" w14:paraId="204E2E76" w14:textId="77777777" w:rsidTr="00B369AC">
        <w:trPr>
          <w:trHeight w:hRule="exact" w:val="280"/>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22431919" w14:textId="77777777" w:rsidR="008878A0" w:rsidRDefault="008878A0" w:rsidP="00941871">
            <w:pPr>
              <w:spacing w:before="17"/>
              <w:ind w:left="52"/>
              <w:rPr>
                <w:rFonts w:eastAsia="Arial" w:cstheme="minorHAnsi"/>
                <w:szCs w:val="18"/>
              </w:rPr>
            </w:pPr>
            <w:r>
              <w:rPr>
                <w:rFonts w:eastAsia="Arial" w:cstheme="minorHAnsi"/>
                <w:spacing w:val="-2"/>
                <w:w w:val="101"/>
                <w:szCs w:val="18"/>
              </w:rPr>
              <w:t>R</w:t>
            </w:r>
            <w:r>
              <w:rPr>
                <w:rFonts w:eastAsia="Arial" w:cstheme="minorHAnsi"/>
                <w:spacing w:val="3"/>
                <w:w w:val="101"/>
                <w:szCs w:val="18"/>
              </w:rPr>
              <w:t>ij</w:t>
            </w:r>
            <w:r>
              <w:rPr>
                <w:rFonts w:eastAsia="Arial" w:cstheme="minorHAnsi"/>
                <w:spacing w:val="-5"/>
                <w:w w:val="101"/>
                <w:szCs w:val="18"/>
              </w:rPr>
              <w:t>e</w:t>
            </w:r>
            <w:r>
              <w:rPr>
                <w:rFonts w:eastAsia="Arial" w:cstheme="minorHAnsi"/>
                <w:w w:val="101"/>
                <w:szCs w:val="18"/>
              </w:rPr>
              <w:t>ka</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03269832" w14:textId="42752CB7" w:rsidR="008878A0" w:rsidRDefault="3F13CD99" w:rsidP="00B61330">
            <w:pPr>
              <w:spacing w:before="17"/>
              <w:ind w:left="378"/>
              <w:jc w:val="center"/>
            </w:pPr>
            <w:r w:rsidRPr="07E5E1E8">
              <w:rPr>
                <w:rFonts w:eastAsia="Arial"/>
              </w:rPr>
              <w:t>5.020</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7AA96DE8" w14:textId="77777777" w:rsidR="008878A0" w:rsidRDefault="008878A0" w:rsidP="00B61330">
            <w:pPr>
              <w:spacing w:before="17"/>
              <w:ind w:left="393"/>
              <w:jc w:val="center"/>
              <w:rPr>
                <w:rFonts w:eastAsia="Arial" w:cstheme="minorHAnsi"/>
                <w:szCs w:val="18"/>
              </w:rPr>
            </w:pPr>
            <w:r>
              <w:rPr>
                <w:rFonts w:eastAsia="Arial" w:cstheme="minorHAnsi"/>
                <w:b/>
                <w:w w:val="101"/>
                <w:szCs w:val="18"/>
              </w:rPr>
              <w:t>3</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50EA62E1" w14:textId="77777777" w:rsidR="008878A0" w:rsidRDefault="008878A0" w:rsidP="00B61330">
            <w:pPr>
              <w:spacing w:before="17"/>
              <w:ind w:left="561"/>
              <w:jc w:val="center"/>
              <w:rPr>
                <w:rFonts w:eastAsia="Arial" w:cstheme="minorHAnsi"/>
                <w:szCs w:val="18"/>
              </w:rPr>
            </w:pPr>
            <w:r>
              <w:rPr>
                <w:rFonts w:eastAsia="Arial" w:cstheme="minorHAnsi"/>
                <w:b/>
                <w:w w:val="101"/>
                <w:szCs w:val="18"/>
              </w:rPr>
              <w:t>3</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4AE03D69" w14:textId="7A89BEE5" w:rsidR="008878A0" w:rsidRDefault="669DEA6C" w:rsidP="00B61330">
            <w:pPr>
              <w:spacing w:before="17"/>
              <w:ind w:left="388"/>
              <w:jc w:val="center"/>
              <w:rPr>
                <w:rFonts w:eastAsia="Arial"/>
              </w:rPr>
            </w:pPr>
            <w:r w:rsidRPr="07E5E1E8">
              <w:rPr>
                <w:rFonts w:eastAsia="Arial"/>
                <w:spacing w:val="-1"/>
                <w:w w:val="101"/>
              </w:rPr>
              <w:t>30.6</w:t>
            </w:r>
            <w:r w:rsidR="008878A0" w:rsidRPr="07E5E1E8">
              <w:rPr>
                <w:rFonts w:eastAsia="Arial"/>
                <w:spacing w:val="-1"/>
                <w:w w:val="101"/>
              </w:rPr>
              <w:t>5</w:t>
            </w:r>
            <w:r w:rsidR="62D10F9B" w:rsidRPr="07E5E1E8">
              <w:rPr>
                <w:rFonts w:eastAsia="Arial"/>
                <w:spacing w:val="-1"/>
                <w:w w:val="101"/>
              </w:rPr>
              <w:t>1</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17A0BFA9" w14:textId="77777777" w:rsidR="008878A0" w:rsidRDefault="008878A0" w:rsidP="00B61330">
            <w:pPr>
              <w:spacing w:before="17"/>
              <w:ind w:left="393"/>
              <w:jc w:val="center"/>
              <w:rPr>
                <w:rFonts w:eastAsia="Arial" w:cstheme="minorHAnsi"/>
                <w:szCs w:val="18"/>
              </w:rPr>
            </w:pPr>
            <w:r>
              <w:rPr>
                <w:rFonts w:eastAsia="Arial" w:cstheme="minorHAnsi"/>
                <w:b/>
                <w:w w:val="101"/>
                <w:szCs w:val="18"/>
              </w:rPr>
              <w:t>3</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0CE57A0F" w14:textId="6D72DADC" w:rsidR="008878A0" w:rsidRDefault="3F308E6C" w:rsidP="00B61330">
            <w:pPr>
              <w:spacing w:before="17"/>
              <w:ind w:left="205"/>
              <w:jc w:val="center"/>
              <w:rPr>
                <w:rFonts w:eastAsia="Arial"/>
              </w:rPr>
            </w:pPr>
            <w:r w:rsidRPr="07E5E1E8">
              <w:rPr>
                <w:rFonts w:eastAsia="Arial"/>
                <w:spacing w:val="2"/>
                <w:w w:val="101"/>
              </w:rPr>
              <w:t>20</w:t>
            </w:r>
            <w:r w:rsidR="008878A0" w:rsidRPr="07E5E1E8">
              <w:rPr>
                <w:rFonts w:eastAsia="Arial"/>
                <w:spacing w:val="2"/>
                <w:w w:val="101"/>
              </w:rPr>
              <w:t>.</w:t>
            </w:r>
            <w:r w:rsidR="59DCA96F" w:rsidRPr="07E5E1E8">
              <w:rPr>
                <w:rFonts w:eastAsia="Arial"/>
                <w:spacing w:val="-1"/>
                <w:w w:val="101"/>
              </w:rPr>
              <w:t>321</w:t>
            </w:r>
            <w:r w:rsidR="008878A0" w:rsidRPr="07E5E1E8">
              <w:rPr>
                <w:rFonts w:eastAsia="Arial"/>
                <w:spacing w:val="2"/>
                <w:w w:val="101"/>
              </w:rPr>
              <w:t>.</w:t>
            </w:r>
            <w:r w:rsidR="70AF9908" w:rsidRPr="07E5E1E8">
              <w:rPr>
                <w:rFonts w:eastAsia="Arial"/>
                <w:spacing w:val="-1"/>
                <w:w w:val="101"/>
              </w:rPr>
              <w:t>206</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5A8845BF" w14:textId="77777777" w:rsidR="008878A0" w:rsidRDefault="008878A0" w:rsidP="00B61330">
            <w:pPr>
              <w:spacing w:before="17"/>
              <w:ind w:left="393"/>
              <w:jc w:val="center"/>
              <w:rPr>
                <w:rFonts w:eastAsia="Arial" w:cstheme="minorHAnsi"/>
                <w:szCs w:val="18"/>
              </w:rPr>
            </w:pPr>
            <w:r>
              <w:rPr>
                <w:rFonts w:eastAsia="Arial" w:cstheme="minorHAnsi"/>
                <w:b/>
                <w:w w:val="101"/>
                <w:szCs w:val="18"/>
              </w:rPr>
              <w:t>3</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38E8A859" w14:textId="183673B6" w:rsidR="008878A0" w:rsidRDefault="6C895D23" w:rsidP="00B61330">
            <w:pPr>
              <w:spacing w:before="17"/>
              <w:ind w:left="402"/>
              <w:jc w:val="center"/>
              <w:rPr>
                <w:rFonts w:eastAsia="Arial"/>
              </w:rPr>
            </w:pPr>
            <w:r w:rsidRPr="07E5E1E8">
              <w:rPr>
                <w:rFonts w:eastAsia="Arial"/>
              </w:rPr>
              <w:t>641.848</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508F30C1" w14:textId="77777777" w:rsidR="008878A0" w:rsidRDefault="008878A0" w:rsidP="00B61330">
            <w:pPr>
              <w:spacing w:before="17"/>
              <w:ind w:left="397"/>
              <w:jc w:val="center"/>
              <w:rPr>
                <w:rFonts w:eastAsia="Arial" w:cstheme="minorHAnsi"/>
                <w:szCs w:val="18"/>
              </w:rPr>
            </w:pPr>
            <w:r>
              <w:rPr>
                <w:rFonts w:eastAsia="Arial" w:cstheme="minorHAnsi"/>
                <w:b/>
                <w:w w:val="101"/>
                <w:szCs w:val="18"/>
              </w:rPr>
              <w:t>3</w:t>
            </w:r>
          </w:p>
        </w:tc>
      </w:tr>
      <w:tr w:rsidR="008878A0" w14:paraId="71E9B7F6" w14:textId="77777777" w:rsidTr="00B369AC">
        <w:trPr>
          <w:trHeight w:hRule="exact" w:val="275"/>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7259303E" w14:textId="77777777" w:rsidR="008878A0" w:rsidRDefault="008878A0" w:rsidP="00941871">
            <w:pPr>
              <w:spacing w:before="17"/>
              <w:ind w:left="52"/>
              <w:rPr>
                <w:rFonts w:eastAsia="Arial" w:cstheme="minorHAnsi"/>
                <w:szCs w:val="18"/>
              </w:rPr>
            </w:pPr>
            <w:r>
              <w:rPr>
                <w:rFonts w:eastAsia="Arial" w:cstheme="minorHAnsi"/>
                <w:spacing w:val="2"/>
                <w:w w:val="101"/>
                <w:szCs w:val="18"/>
              </w:rPr>
              <w:t>O</w:t>
            </w:r>
            <w:r>
              <w:rPr>
                <w:rFonts w:eastAsia="Arial" w:cstheme="minorHAnsi"/>
                <w:spacing w:val="-5"/>
                <w:w w:val="101"/>
                <w:szCs w:val="18"/>
              </w:rPr>
              <w:t>s</w:t>
            </w:r>
            <w:r>
              <w:rPr>
                <w:rFonts w:eastAsia="Arial" w:cstheme="minorHAnsi"/>
                <w:spacing w:val="3"/>
                <w:w w:val="101"/>
                <w:szCs w:val="18"/>
              </w:rPr>
              <w:t>ij</w:t>
            </w:r>
            <w:r>
              <w:rPr>
                <w:rFonts w:eastAsia="Arial" w:cstheme="minorHAnsi"/>
                <w:spacing w:val="-5"/>
                <w:w w:val="101"/>
                <w:szCs w:val="18"/>
              </w:rPr>
              <w:t>e</w:t>
            </w:r>
            <w:r>
              <w:rPr>
                <w:rFonts w:eastAsia="Arial" w:cstheme="minorHAnsi"/>
                <w:w w:val="101"/>
                <w:szCs w:val="18"/>
              </w:rPr>
              <w:t>k</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629CB062" w14:textId="5D19121C" w:rsidR="008878A0" w:rsidRDefault="008878A0" w:rsidP="00B61330">
            <w:pPr>
              <w:spacing w:before="17"/>
              <w:ind w:left="378"/>
              <w:jc w:val="center"/>
              <w:rPr>
                <w:rFonts w:eastAsia="Arial"/>
              </w:rPr>
            </w:pPr>
            <w:r w:rsidRPr="07E5E1E8">
              <w:rPr>
                <w:rFonts w:eastAsia="Arial"/>
                <w:spacing w:val="-1"/>
                <w:w w:val="101"/>
              </w:rPr>
              <w:t>3</w:t>
            </w:r>
            <w:r w:rsidRPr="07E5E1E8">
              <w:rPr>
                <w:rFonts w:eastAsia="Arial"/>
                <w:spacing w:val="2"/>
                <w:w w:val="101"/>
              </w:rPr>
              <w:t>.</w:t>
            </w:r>
            <w:r w:rsidR="3BA75120" w:rsidRPr="07E5E1E8">
              <w:rPr>
                <w:rFonts w:eastAsia="Arial"/>
              </w:rPr>
              <w:t>249</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3027952A" w14:textId="77777777" w:rsidR="008878A0" w:rsidRDefault="008878A0" w:rsidP="00B61330">
            <w:pPr>
              <w:spacing w:before="17"/>
              <w:ind w:left="393"/>
              <w:jc w:val="center"/>
              <w:rPr>
                <w:rFonts w:eastAsia="Arial" w:cstheme="minorHAnsi"/>
                <w:szCs w:val="18"/>
              </w:rPr>
            </w:pPr>
            <w:r>
              <w:rPr>
                <w:rFonts w:eastAsia="Arial" w:cstheme="minorHAnsi"/>
                <w:b/>
                <w:w w:val="101"/>
                <w:szCs w:val="18"/>
              </w:rPr>
              <w:t>4</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799245DE" w14:textId="77777777" w:rsidR="008878A0" w:rsidRDefault="008878A0" w:rsidP="00B61330">
            <w:pPr>
              <w:spacing w:before="17"/>
              <w:ind w:left="561"/>
              <w:jc w:val="center"/>
              <w:rPr>
                <w:rFonts w:eastAsia="Arial" w:cstheme="minorHAnsi"/>
                <w:szCs w:val="18"/>
              </w:rPr>
            </w:pPr>
            <w:r>
              <w:rPr>
                <w:rFonts w:eastAsia="Arial" w:cstheme="minorHAnsi"/>
                <w:b/>
                <w:w w:val="101"/>
                <w:szCs w:val="18"/>
              </w:rPr>
              <w:t>4</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7B8F5F23" w14:textId="7052946F" w:rsidR="008878A0" w:rsidRDefault="008878A0" w:rsidP="00B61330">
            <w:pPr>
              <w:spacing w:before="17"/>
              <w:ind w:left="388"/>
              <w:jc w:val="center"/>
              <w:rPr>
                <w:rFonts w:eastAsia="Arial"/>
              </w:rPr>
            </w:pPr>
            <w:r w:rsidRPr="07E5E1E8">
              <w:rPr>
                <w:rFonts w:eastAsia="Arial"/>
                <w:spacing w:val="-1"/>
                <w:w w:val="101"/>
              </w:rPr>
              <w:t>2</w:t>
            </w:r>
            <w:r w:rsidR="505A9271" w:rsidRPr="07E5E1E8">
              <w:rPr>
                <w:rFonts w:eastAsia="Arial"/>
                <w:spacing w:val="-1"/>
                <w:w w:val="101"/>
              </w:rPr>
              <w:t>2</w:t>
            </w:r>
            <w:r w:rsidRPr="07E5E1E8">
              <w:rPr>
                <w:rFonts w:eastAsia="Arial"/>
                <w:spacing w:val="2"/>
                <w:w w:val="101"/>
              </w:rPr>
              <w:t>.</w:t>
            </w:r>
            <w:r w:rsidR="53354FDB" w:rsidRPr="07E5E1E8">
              <w:rPr>
                <w:rFonts w:eastAsia="Arial"/>
                <w:spacing w:val="2"/>
                <w:w w:val="101"/>
              </w:rPr>
              <w:t>572</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4641CDE8" w14:textId="77777777" w:rsidR="008878A0" w:rsidRDefault="008878A0" w:rsidP="00B61330">
            <w:pPr>
              <w:spacing w:before="17"/>
              <w:ind w:left="393"/>
              <w:jc w:val="center"/>
              <w:rPr>
                <w:rFonts w:eastAsia="Arial" w:cstheme="minorHAnsi"/>
                <w:szCs w:val="18"/>
              </w:rPr>
            </w:pPr>
            <w:r>
              <w:rPr>
                <w:rFonts w:eastAsia="Arial" w:cstheme="minorHAnsi"/>
                <w:b/>
                <w:w w:val="101"/>
                <w:szCs w:val="18"/>
              </w:rPr>
              <w:t>4</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6585116C" w14:textId="4FB2602C" w:rsidR="008878A0" w:rsidRDefault="008878A0" w:rsidP="00B61330">
            <w:pPr>
              <w:spacing w:before="17"/>
              <w:ind w:left="205"/>
              <w:jc w:val="center"/>
              <w:rPr>
                <w:rFonts w:eastAsia="Arial"/>
              </w:rPr>
            </w:pPr>
            <w:r w:rsidRPr="07E5E1E8">
              <w:rPr>
                <w:rFonts w:eastAsia="Arial"/>
                <w:spacing w:val="-1"/>
                <w:w w:val="101"/>
              </w:rPr>
              <w:t>15</w:t>
            </w:r>
            <w:r w:rsidRPr="07E5E1E8">
              <w:rPr>
                <w:rFonts w:eastAsia="Arial"/>
                <w:spacing w:val="2"/>
                <w:w w:val="101"/>
              </w:rPr>
              <w:t>.</w:t>
            </w:r>
            <w:r w:rsidR="728DD468" w:rsidRPr="07E5E1E8">
              <w:rPr>
                <w:rFonts w:eastAsia="Arial"/>
                <w:spacing w:val="-1"/>
                <w:w w:val="101"/>
              </w:rPr>
              <w:t>254</w:t>
            </w:r>
            <w:r w:rsidRPr="07E5E1E8">
              <w:rPr>
                <w:rFonts w:eastAsia="Arial"/>
                <w:spacing w:val="2"/>
                <w:w w:val="101"/>
              </w:rPr>
              <w:t>.</w:t>
            </w:r>
            <w:r w:rsidRPr="07E5E1E8">
              <w:rPr>
                <w:rFonts w:eastAsia="Arial"/>
                <w:spacing w:val="-1"/>
                <w:w w:val="101"/>
              </w:rPr>
              <w:t>4</w:t>
            </w:r>
            <w:r w:rsidR="329BE0BA" w:rsidRPr="07E5E1E8">
              <w:rPr>
                <w:rFonts w:eastAsia="Arial"/>
                <w:spacing w:val="-1"/>
                <w:w w:val="101"/>
              </w:rPr>
              <w:t>05</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3CFA5BC3" w14:textId="77777777" w:rsidR="008878A0" w:rsidRDefault="008878A0" w:rsidP="00B61330">
            <w:pPr>
              <w:spacing w:before="17"/>
              <w:ind w:left="393"/>
              <w:jc w:val="center"/>
              <w:rPr>
                <w:rFonts w:eastAsia="Arial" w:cstheme="minorHAnsi"/>
                <w:szCs w:val="18"/>
              </w:rPr>
            </w:pPr>
            <w:r>
              <w:rPr>
                <w:rFonts w:eastAsia="Arial" w:cstheme="minorHAnsi"/>
                <w:b/>
                <w:w w:val="101"/>
                <w:szCs w:val="18"/>
              </w:rPr>
              <w:t>4</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6B9F2785" w14:textId="77777777" w:rsidR="008878A0" w:rsidRDefault="7C5DF810" w:rsidP="00B61330">
            <w:pPr>
              <w:spacing w:before="17"/>
              <w:ind w:left="402"/>
              <w:jc w:val="center"/>
              <w:rPr>
                <w:rFonts w:eastAsia="Arial"/>
              </w:rPr>
            </w:pPr>
            <w:r w:rsidRPr="07E5E1E8">
              <w:rPr>
                <w:rFonts w:eastAsia="Arial"/>
                <w:spacing w:val="-1"/>
                <w:w w:val="101"/>
              </w:rPr>
              <w:t>181.903</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53BC17CB" w14:textId="0463FC85" w:rsidR="008878A0" w:rsidRDefault="008878A0" w:rsidP="00B61330">
            <w:pPr>
              <w:spacing w:before="17"/>
              <w:ind w:left="297"/>
              <w:jc w:val="center"/>
              <w:rPr>
                <w:rFonts w:eastAsia="Arial"/>
                <w:b/>
                <w:bCs/>
              </w:rPr>
            </w:pPr>
            <w:r w:rsidRPr="07E5E1E8">
              <w:rPr>
                <w:rFonts w:eastAsia="Arial"/>
                <w:b/>
                <w:bCs/>
                <w:spacing w:val="-1"/>
                <w:w w:val="101"/>
              </w:rPr>
              <w:t>1</w:t>
            </w:r>
            <w:r w:rsidR="0DC27478" w:rsidRPr="07E5E1E8">
              <w:rPr>
                <w:rFonts w:eastAsia="Arial"/>
                <w:b/>
                <w:bCs/>
                <w:spacing w:val="-1"/>
                <w:w w:val="101"/>
              </w:rPr>
              <w:t>9</w:t>
            </w:r>
          </w:p>
        </w:tc>
      </w:tr>
      <w:tr w:rsidR="008878A0" w14:paraId="58A88207" w14:textId="77777777" w:rsidTr="00B369AC">
        <w:trPr>
          <w:trHeight w:hRule="exact" w:val="273"/>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2E4343D1" w14:textId="77777777" w:rsidR="008878A0" w:rsidRDefault="008878A0" w:rsidP="00941871">
            <w:pPr>
              <w:spacing w:before="17"/>
              <w:ind w:left="52"/>
              <w:rPr>
                <w:rFonts w:eastAsia="Arial" w:cstheme="minorHAnsi"/>
                <w:szCs w:val="18"/>
              </w:rPr>
            </w:pPr>
            <w:r>
              <w:rPr>
                <w:rFonts w:eastAsia="Arial" w:cstheme="minorHAnsi"/>
                <w:spacing w:val="-2"/>
                <w:w w:val="101"/>
                <w:szCs w:val="18"/>
              </w:rPr>
              <w:t>V</w:t>
            </w:r>
            <w:r>
              <w:rPr>
                <w:rFonts w:eastAsia="Arial" w:cstheme="minorHAnsi"/>
                <w:spacing w:val="-1"/>
                <w:w w:val="101"/>
                <w:szCs w:val="18"/>
              </w:rPr>
              <w:t>a</w:t>
            </w:r>
            <w:r>
              <w:rPr>
                <w:rFonts w:eastAsia="Arial" w:cstheme="minorHAnsi"/>
                <w:spacing w:val="2"/>
                <w:w w:val="101"/>
                <w:szCs w:val="18"/>
              </w:rPr>
              <w:t>r</w:t>
            </w:r>
            <w:r>
              <w:rPr>
                <w:rFonts w:eastAsia="Arial" w:cstheme="minorHAnsi"/>
                <w:spacing w:val="-1"/>
                <w:w w:val="101"/>
                <w:szCs w:val="18"/>
              </w:rPr>
              <w:t>a</w:t>
            </w:r>
            <w:r>
              <w:rPr>
                <w:rFonts w:eastAsia="Arial" w:cstheme="minorHAnsi"/>
                <w:spacing w:val="-5"/>
                <w:w w:val="101"/>
                <w:szCs w:val="18"/>
              </w:rPr>
              <w:t>ž</w:t>
            </w:r>
            <w:r>
              <w:rPr>
                <w:rFonts w:eastAsia="Arial" w:cstheme="minorHAnsi"/>
                <w:spacing w:val="-1"/>
                <w:w w:val="101"/>
                <w:szCs w:val="18"/>
              </w:rPr>
              <w:t>d</w:t>
            </w:r>
            <w:r>
              <w:rPr>
                <w:rFonts w:eastAsia="Arial" w:cstheme="minorHAnsi"/>
                <w:spacing w:val="3"/>
                <w:w w:val="101"/>
                <w:szCs w:val="18"/>
              </w:rPr>
              <w:t>i</w:t>
            </w:r>
            <w:r>
              <w:rPr>
                <w:rFonts w:eastAsia="Arial" w:cstheme="minorHAnsi"/>
                <w:w w:val="101"/>
                <w:szCs w:val="18"/>
              </w:rPr>
              <w:t>n</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658D6EAF" w14:textId="60448898" w:rsidR="008878A0" w:rsidRDefault="008878A0" w:rsidP="00B61330">
            <w:pPr>
              <w:spacing w:before="17"/>
              <w:ind w:left="378"/>
              <w:jc w:val="center"/>
              <w:rPr>
                <w:rFonts w:eastAsia="Arial"/>
              </w:rPr>
            </w:pPr>
            <w:r w:rsidRPr="07E5E1E8">
              <w:rPr>
                <w:rFonts w:eastAsia="Arial"/>
                <w:spacing w:val="-1"/>
                <w:w w:val="101"/>
              </w:rPr>
              <w:t>2</w:t>
            </w:r>
            <w:r w:rsidRPr="07E5E1E8">
              <w:rPr>
                <w:rFonts w:eastAsia="Arial"/>
                <w:spacing w:val="2"/>
                <w:w w:val="101"/>
              </w:rPr>
              <w:t>.</w:t>
            </w:r>
            <w:r w:rsidRPr="07E5E1E8">
              <w:rPr>
                <w:rFonts w:eastAsia="Arial"/>
                <w:spacing w:val="-1"/>
                <w:w w:val="101"/>
              </w:rPr>
              <w:t>0</w:t>
            </w:r>
            <w:r w:rsidR="2DD910AC" w:rsidRPr="07E5E1E8">
              <w:rPr>
                <w:rFonts w:eastAsia="Arial"/>
                <w:spacing w:val="-1"/>
                <w:w w:val="101"/>
              </w:rPr>
              <w:t>91</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7DDC0D88" w14:textId="77777777" w:rsidR="008878A0" w:rsidRDefault="008878A0" w:rsidP="00B61330">
            <w:pPr>
              <w:spacing w:before="17"/>
              <w:ind w:left="393"/>
              <w:jc w:val="center"/>
              <w:rPr>
                <w:rFonts w:eastAsia="Arial" w:cstheme="minorHAnsi"/>
                <w:szCs w:val="18"/>
              </w:rPr>
            </w:pPr>
            <w:r>
              <w:rPr>
                <w:rFonts w:eastAsia="Arial" w:cstheme="minorHAnsi"/>
                <w:b/>
                <w:w w:val="101"/>
                <w:szCs w:val="18"/>
              </w:rPr>
              <w:t>8</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7E001210" w14:textId="77777777" w:rsidR="008878A0" w:rsidRDefault="008878A0" w:rsidP="00B61330">
            <w:pPr>
              <w:spacing w:before="17"/>
              <w:ind w:left="561"/>
              <w:jc w:val="center"/>
              <w:rPr>
                <w:rFonts w:eastAsia="Arial" w:cstheme="minorHAnsi"/>
                <w:szCs w:val="18"/>
              </w:rPr>
            </w:pPr>
            <w:r>
              <w:rPr>
                <w:rFonts w:eastAsia="Arial" w:cstheme="minorHAnsi"/>
                <w:b/>
                <w:w w:val="101"/>
                <w:szCs w:val="18"/>
              </w:rPr>
              <w:t>7</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63C1F329" w14:textId="15CAE0AD" w:rsidR="008878A0" w:rsidRDefault="008878A0" w:rsidP="00B61330">
            <w:pPr>
              <w:spacing w:before="17"/>
              <w:ind w:left="388"/>
              <w:jc w:val="center"/>
              <w:rPr>
                <w:rFonts w:eastAsia="Arial"/>
              </w:rPr>
            </w:pPr>
            <w:r w:rsidRPr="07E5E1E8">
              <w:rPr>
                <w:rFonts w:eastAsia="Arial"/>
                <w:spacing w:val="-1"/>
                <w:w w:val="101"/>
              </w:rPr>
              <w:t>20</w:t>
            </w:r>
            <w:r w:rsidRPr="07E5E1E8">
              <w:rPr>
                <w:rFonts w:eastAsia="Arial"/>
                <w:spacing w:val="2"/>
                <w:w w:val="101"/>
              </w:rPr>
              <w:t>.</w:t>
            </w:r>
            <w:r w:rsidR="02F38BCE" w:rsidRPr="07E5E1E8">
              <w:rPr>
                <w:rFonts w:eastAsia="Arial"/>
                <w:spacing w:val="2"/>
                <w:w w:val="101"/>
              </w:rPr>
              <w:t>780</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229A55C5" w14:textId="77777777" w:rsidR="008878A0" w:rsidRDefault="008878A0" w:rsidP="00B61330">
            <w:pPr>
              <w:spacing w:before="17"/>
              <w:ind w:left="393"/>
              <w:jc w:val="center"/>
              <w:rPr>
                <w:rFonts w:eastAsia="Arial" w:cstheme="minorHAnsi"/>
                <w:szCs w:val="18"/>
              </w:rPr>
            </w:pPr>
            <w:r>
              <w:rPr>
                <w:rFonts w:eastAsia="Arial" w:cstheme="minorHAnsi"/>
                <w:b/>
                <w:w w:val="101"/>
                <w:szCs w:val="18"/>
              </w:rPr>
              <w:t>5</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15D9334C" w14:textId="51AEA522" w:rsidR="008878A0" w:rsidRDefault="008878A0" w:rsidP="00B61330">
            <w:pPr>
              <w:spacing w:before="17"/>
              <w:ind w:left="205"/>
              <w:jc w:val="center"/>
              <w:rPr>
                <w:rFonts w:eastAsia="Arial"/>
              </w:rPr>
            </w:pPr>
            <w:r w:rsidRPr="07E5E1E8">
              <w:rPr>
                <w:rFonts w:eastAsia="Arial"/>
                <w:spacing w:val="-1"/>
                <w:w w:val="101"/>
              </w:rPr>
              <w:t>1</w:t>
            </w:r>
            <w:r w:rsidR="428AE2D7" w:rsidRPr="07E5E1E8">
              <w:rPr>
                <w:rFonts w:eastAsia="Arial"/>
                <w:spacing w:val="-1"/>
                <w:w w:val="101"/>
              </w:rPr>
              <w:t>5</w:t>
            </w:r>
            <w:r w:rsidRPr="07E5E1E8">
              <w:rPr>
                <w:rFonts w:eastAsia="Arial"/>
                <w:spacing w:val="2"/>
                <w:w w:val="101"/>
              </w:rPr>
              <w:t>.</w:t>
            </w:r>
            <w:r w:rsidR="368319E2" w:rsidRPr="07E5E1E8">
              <w:rPr>
                <w:rFonts w:eastAsia="Arial"/>
                <w:spacing w:val="-1"/>
                <w:w w:val="101"/>
              </w:rPr>
              <w:t>1</w:t>
            </w:r>
            <w:r w:rsidRPr="07E5E1E8">
              <w:rPr>
                <w:rFonts w:eastAsia="Arial"/>
                <w:spacing w:val="-1"/>
                <w:w w:val="101"/>
              </w:rPr>
              <w:t>57</w:t>
            </w:r>
            <w:r w:rsidRPr="07E5E1E8">
              <w:rPr>
                <w:rFonts w:eastAsia="Arial"/>
                <w:spacing w:val="2"/>
                <w:w w:val="101"/>
              </w:rPr>
              <w:t>.</w:t>
            </w:r>
            <w:r w:rsidR="1F7830D7" w:rsidRPr="07E5E1E8">
              <w:rPr>
                <w:rFonts w:eastAsia="Arial"/>
                <w:spacing w:val="-1"/>
                <w:w w:val="101"/>
              </w:rPr>
              <w:t>089</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48919E16" w14:textId="77777777" w:rsidR="008878A0" w:rsidRDefault="008878A0" w:rsidP="00B61330">
            <w:pPr>
              <w:spacing w:before="17"/>
              <w:ind w:left="393"/>
              <w:jc w:val="center"/>
              <w:rPr>
                <w:rFonts w:eastAsia="Arial" w:cstheme="minorHAnsi"/>
                <w:szCs w:val="18"/>
              </w:rPr>
            </w:pPr>
            <w:r>
              <w:rPr>
                <w:rFonts w:eastAsia="Arial" w:cstheme="minorHAnsi"/>
                <w:b/>
                <w:w w:val="101"/>
                <w:szCs w:val="18"/>
              </w:rPr>
              <w:t>5</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156A83AB" w14:textId="77777777" w:rsidR="008878A0" w:rsidRDefault="76C0A6AC" w:rsidP="00B61330">
            <w:pPr>
              <w:spacing w:before="17"/>
              <w:ind w:left="402"/>
              <w:jc w:val="center"/>
              <w:rPr>
                <w:rFonts w:eastAsia="Arial"/>
              </w:rPr>
            </w:pPr>
            <w:r w:rsidRPr="07E5E1E8">
              <w:rPr>
                <w:rFonts w:eastAsia="Arial"/>
                <w:spacing w:val="-1"/>
                <w:w w:val="101"/>
              </w:rPr>
              <w:t>487.619</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3249EA26" w14:textId="77777777" w:rsidR="008878A0" w:rsidRDefault="7622FAB4" w:rsidP="00B61330">
            <w:pPr>
              <w:spacing w:before="17"/>
              <w:ind w:left="297"/>
              <w:jc w:val="center"/>
              <w:rPr>
                <w:rFonts w:eastAsia="Arial"/>
                <w:b/>
                <w:bCs/>
              </w:rPr>
            </w:pPr>
            <w:r w:rsidRPr="07E5E1E8">
              <w:rPr>
                <w:rFonts w:eastAsia="Arial"/>
                <w:b/>
                <w:bCs/>
                <w:spacing w:val="-1"/>
                <w:w w:val="101"/>
              </w:rPr>
              <w:t>9</w:t>
            </w:r>
          </w:p>
        </w:tc>
      </w:tr>
      <w:tr w:rsidR="008878A0" w14:paraId="4A133F05" w14:textId="77777777" w:rsidTr="00B369AC">
        <w:trPr>
          <w:trHeight w:hRule="exact" w:val="270"/>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539138A8" w14:textId="77777777" w:rsidR="008878A0" w:rsidRDefault="008878A0" w:rsidP="00941871">
            <w:pPr>
              <w:spacing w:before="17"/>
              <w:ind w:left="54"/>
              <w:rPr>
                <w:rFonts w:eastAsia="Arial" w:cstheme="minorHAnsi"/>
                <w:szCs w:val="18"/>
              </w:rPr>
            </w:pPr>
            <w:r>
              <w:rPr>
                <w:rFonts w:eastAsia="Arial" w:cstheme="minorHAnsi"/>
                <w:spacing w:val="-2"/>
                <w:szCs w:val="18"/>
              </w:rPr>
              <w:t>V</w:t>
            </w:r>
            <w:r>
              <w:rPr>
                <w:rFonts w:eastAsia="Arial" w:cstheme="minorHAnsi"/>
                <w:spacing w:val="-5"/>
                <w:szCs w:val="18"/>
              </w:rPr>
              <w:t>e</w:t>
            </w:r>
            <w:r>
              <w:rPr>
                <w:rFonts w:eastAsia="Arial" w:cstheme="minorHAnsi"/>
                <w:spacing w:val="3"/>
                <w:szCs w:val="18"/>
              </w:rPr>
              <w:t>li</w:t>
            </w:r>
            <w:r>
              <w:rPr>
                <w:rFonts w:eastAsia="Arial" w:cstheme="minorHAnsi"/>
                <w:szCs w:val="18"/>
              </w:rPr>
              <w:t>ka</w:t>
            </w:r>
            <w:r>
              <w:rPr>
                <w:rFonts w:cstheme="minorHAnsi"/>
                <w:spacing w:val="7"/>
                <w:szCs w:val="18"/>
              </w:rPr>
              <w:t xml:space="preserve"> </w:t>
            </w:r>
            <w:r>
              <w:rPr>
                <w:rFonts w:eastAsia="Arial" w:cstheme="minorHAnsi"/>
                <w:spacing w:val="2"/>
                <w:w w:val="101"/>
                <w:szCs w:val="18"/>
              </w:rPr>
              <w:t>G</w:t>
            </w:r>
            <w:r>
              <w:rPr>
                <w:rFonts w:eastAsia="Arial" w:cstheme="minorHAnsi"/>
                <w:spacing w:val="-5"/>
                <w:w w:val="101"/>
                <w:szCs w:val="18"/>
              </w:rPr>
              <w:t>o</w:t>
            </w:r>
            <w:r>
              <w:rPr>
                <w:rFonts w:eastAsia="Arial" w:cstheme="minorHAnsi"/>
                <w:spacing w:val="-3"/>
                <w:w w:val="101"/>
                <w:szCs w:val="18"/>
              </w:rPr>
              <w:t>r</w:t>
            </w:r>
            <w:r>
              <w:rPr>
                <w:rFonts w:eastAsia="Arial" w:cstheme="minorHAnsi"/>
                <w:spacing w:val="3"/>
                <w:w w:val="101"/>
                <w:szCs w:val="18"/>
              </w:rPr>
              <w:t>i</w:t>
            </w:r>
            <w:r>
              <w:rPr>
                <w:rFonts w:eastAsia="Arial" w:cstheme="minorHAnsi"/>
                <w:w w:val="101"/>
                <w:szCs w:val="18"/>
              </w:rPr>
              <w:t>ca</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05377760" w14:textId="680D07B5" w:rsidR="008878A0" w:rsidRDefault="008878A0" w:rsidP="00B61330">
            <w:pPr>
              <w:spacing w:before="17"/>
              <w:ind w:left="381"/>
              <w:jc w:val="center"/>
              <w:rPr>
                <w:rFonts w:eastAsia="Arial"/>
              </w:rPr>
            </w:pPr>
            <w:r w:rsidRPr="07E5E1E8">
              <w:rPr>
                <w:rFonts w:eastAsia="Arial"/>
                <w:spacing w:val="-1"/>
                <w:w w:val="101"/>
              </w:rPr>
              <w:t>1</w:t>
            </w:r>
            <w:r w:rsidR="457A63FD" w:rsidRPr="07E5E1E8">
              <w:rPr>
                <w:rFonts w:eastAsia="Arial"/>
                <w:spacing w:val="-1"/>
                <w:w w:val="101"/>
              </w:rPr>
              <w:t>.768</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3BEB5865" w14:textId="77777777" w:rsidR="008878A0" w:rsidRDefault="008878A0" w:rsidP="00B61330">
            <w:pPr>
              <w:spacing w:before="17"/>
              <w:ind w:left="395"/>
              <w:jc w:val="center"/>
              <w:rPr>
                <w:rFonts w:eastAsia="Arial" w:cstheme="minorHAnsi"/>
                <w:szCs w:val="18"/>
              </w:rPr>
            </w:pPr>
            <w:r>
              <w:rPr>
                <w:rFonts w:eastAsia="Arial" w:cstheme="minorHAnsi"/>
                <w:b/>
                <w:w w:val="101"/>
                <w:szCs w:val="18"/>
              </w:rPr>
              <w:t>9</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4EAAEF36" w14:textId="77777777" w:rsidR="008878A0" w:rsidRDefault="008878A0" w:rsidP="00B61330">
            <w:pPr>
              <w:spacing w:before="17"/>
              <w:ind w:left="563"/>
              <w:jc w:val="center"/>
              <w:rPr>
                <w:rFonts w:eastAsia="Arial" w:cstheme="minorHAnsi"/>
                <w:szCs w:val="18"/>
              </w:rPr>
            </w:pPr>
            <w:r>
              <w:rPr>
                <w:rFonts w:eastAsia="Arial" w:cstheme="minorHAnsi"/>
                <w:b/>
                <w:w w:val="101"/>
                <w:szCs w:val="18"/>
              </w:rPr>
              <w:t>8</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0EA7C043" w14:textId="43C647DD" w:rsidR="008878A0" w:rsidRDefault="008878A0" w:rsidP="00B61330">
            <w:pPr>
              <w:spacing w:before="17"/>
              <w:ind w:left="390"/>
              <w:jc w:val="center"/>
              <w:rPr>
                <w:rFonts w:eastAsia="Arial"/>
              </w:rPr>
            </w:pPr>
            <w:r w:rsidRPr="07E5E1E8">
              <w:rPr>
                <w:rFonts w:eastAsia="Arial"/>
                <w:spacing w:val="-1"/>
                <w:w w:val="101"/>
              </w:rPr>
              <w:t>1</w:t>
            </w:r>
            <w:r w:rsidR="76D21338" w:rsidRPr="07E5E1E8">
              <w:rPr>
                <w:rFonts w:eastAsia="Arial"/>
                <w:spacing w:val="-1"/>
                <w:w w:val="101"/>
              </w:rPr>
              <w:t>2</w:t>
            </w:r>
            <w:r w:rsidRPr="07E5E1E8">
              <w:rPr>
                <w:rFonts w:eastAsia="Arial"/>
                <w:spacing w:val="2"/>
                <w:w w:val="101"/>
              </w:rPr>
              <w:t>.</w:t>
            </w:r>
            <w:r w:rsidR="14865DD9" w:rsidRPr="07E5E1E8">
              <w:rPr>
                <w:rFonts w:eastAsia="Arial"/>
                <w:spacing w:val="2"/>
                <w:w w:val="101"/>
              </w:rPr>
              <w:t>924</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5487956B" w14:textId="77777777" w:rsidR="008878A0" w:rsidRDefault="65351E3A" w:rsidP="00B61330">
            <w:pPr>
              <w:spacing w:before="17"/>
              <w:ind w:left="294"/>
              <w:jc w:val="center"/>
              <w:rPr>
                <w:rFonts w:eastAsia="Arial"/>
                <w:b/>
                <w:bCs/>
              </w:rPr>
            </w:pPr>
            <w:r w:rsidRPr="07E5E1E8">
              <w:rPr>
                <w:rFonts w:eastAsia="Arial"/>
                <w:b/>
                <w:bCs/>
                <w:spacing w:val="-1"/>
                <w:w w:val="101"/>
              </w:rPr>
              <w:t>8</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707C03DB" w14:textId="7871250C" w:rsidR="008878A0" w:rsidRDefault="008878A0" w:rsidP="00B61330">
            <w:pPr>
              <w:spacing w:before="17"/>
              <w:ind w:left="208"/>
              <w:jc w:val="center"/>
              <w:rPr>
                <w:rFonts w:eastAsia="Arial"/>
              </w:rPr>
            </w:pPr>
            <w:r w:rsidRPr="07E5E1E8">
              <w:rPr>
                <w:rFonts w:eastAsia="Arial"/>
                <w:spacing w:val="-1"/>
                <w:w w:val="101"/>
              </w:rPr>
              <w:t>1</w:t>
            </w:r>
            <w:r w:rsidR="0B6F5CB2" w:rsidRPr="07E5E1E8">
              <w:rPr>
                <w:rFonts w:eastAsia="Arial"/>
                <w:spacing w:val="-1"/>
                <w:w w:val="101"/>
              </w:rPr>
              <w:t>3</w:t>
            </w:r>
            <w:r w:rsidRPr="07E5E1E8">
              <w:rPr>
                <w:rFonts w:eastAsia="Arial"/>
                <w:spacing w:val="2"/>
                <w:w w:val="101"/>
              </w:rPr>
              <w:t>.</w:t>
            </w:r>
            <w:r w:rsidR="1390DF59" w:rsidRPr="07E5E1E8">
              <w:rPr>
                <w:rFonts w:eastAsia="Arial"/>
                <w:spacing w:val="-1"/>
                <w:w w:val="101"/>
              </w:rPr>
              <w:t>967</w:t>
            </w:r>
            <w:r w:rsidRPr="07E5E1E8">
              <w:rPr>
                <w:rFonts w:eastAsia="Arial"/>
                <w:spacing w:val="2"/>
                <w:w w:val="101"/>
              </w:rPr>
              <w:t>.</w:t>
            </w:r>
            <w:r w:rsidR="695B6740" w:rsidRPr="07E5E1E8">
              <w:rPr>
                <w:rFonts w:eastAsia="Arial"/>
                <w:spacing w:val="-1"/>
                <w:w w:val="101"/>
              </w:rPr>
              <w:t>904</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60ACEE87" w14:textId="77777777" w:rsidR="008878A0" w:rsidRDefault="008878A0" w:rsidP="00B61330">
            <w:pPr>
              <w:spacing w:before="17"/>
              <w:ind w:left="395"/>
              <w:jc w:val="center"/>
              <w:rPr>
                <w:rFonts w:eastAsia="Arial" w:cstheme="minorHAnsi"/>
                <w:szCs w:val="18"/>
              </w:rPr>
            </w:pPr>
            <w:r>
              <w:rPr>
                <w:rFonts w:eastAsia="Arial" w:cstheme="minorHAnsi"/>
                <w:b/>
                <w:w w:val="101"/>
                <w:szCs w:val="18"/>
              </w:rPr>
              <w:t>6</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6547A88D" w14:textId="60A2434B" w:rsidR="008878A0" w:rsidRDefault="008878A0" w:rsidP="00B61330">
            <w:pPr>
              <w:spacing w:before="17"/>
              <w:ind w:left="405"/>
              <w:jc w:val="center"/>
              <w:rPr>
                <w:rFonts w:eastAsia="Arial"/>
              </w:rPr>
            </w:pPr>
            <w:r w:rsidRPr="07E5E1E8">
              <w:rPr>
                <w:rFonts w:eastAsia="Arial"/>
                <w:spacing w:val="-1"/>
                <w:w w:val="101"/>
              </w:rPr>
              <w:t>5</w:t>
            </w:r>
            <w:r w:rsidR="1D02B4E0" w:rsidRPr="07E5E1E8">
              <w:rPr>
                <w:rFonts w:eastAsia="Arial"/>
                <w:spacing w:val="-1"/>
                <w:w w:val="101"/>
              </w:rPr>
              <w:t>58.707</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091A1E90" w14:textId="77777777" w:rsidR="008878A0" w:rsidRDefault="008878A0" w:rsidP="00B61330">
            <w:pPr>
              <w:spacing w:before="17"/>
              <w:ind w:left="400"/>
              <w:jc w:val="center"/>
              <w:rPr>
                <w:rFonts w:eastAsia="Arial" w:cstheme="minorHAnsi"/>
                <w:szCs w:val="18"/>
              </w:rPr>
            </w:pPr>
            <w:r>
              <w:rPr>
                <w:rFonts w:eastAsia="Arial" w:cstheme="minorHAnsi"/>
                <w:b/>
                <w:w w:val="101"/>
                <w:szCs w:val="18"/>
              </w:rPr>
              <w:t>6</w:t>
            </w:r>
          </w:p>
        </w:tc>
      </w:tr>
      <w:tr w:rsidR="008878A0" w14:paraId="06F2D254" w14:textId="77777777" w:rsidTr="00B369AC">
        <w:trPr>
          <w:trHeight w:hRule="exact" w:val="273"/>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5F65924F" w14:textId="77777777" w:rsidR="008878A0" w:rsidRDefault="008878A0" w:rsidP="00941871">
            <w:pPr>
              <w:spacing w:before="17"/>
              <w:ind w:left="52"/>
              <w:rPr>
                <w:rFonts w:eastAsia="Arial" w:cstheme="minorHAnsi"/>
                <w:szCs w:val="18"/>
              </w:rPr>
            </w:pPr>
            <w:r>
              <w:rPr>
                <w:rFonts w:eastAsia="Arial" w:cstheme="minorHAnsi"/>
                <w:spacing w:val="-2"/>
                <w:w w:val="101"/>
                <w:szCs w:val="18"/>
              </w:rPr>
              <w:t>V</w:t>
            </w:r>
            <w:r>
              <w:rPr>
                <w:rFonts w:eastAsia="Arial" w:cstheme="minorHAnsi"/>
                <w:spacing w:val="-1"/>
                <w:w w:val="101"/>
                <w:szCs w:val="18"/>
              </w:rPr>
              <w:t>u</w:t>
            </w:r>
            <w:r>
              <w:rPr>
                <w:rFonts w:eastAsia="Arial" w:cstheme="minorHAnsi"/>
                <w:w w:val="101"/>
                <w:szCs w:val="18"/>
              </w:rPr>
              <w:t>k</w:t>
            </w:r>
            <w:r>
              <w:rPr>
                <w:rFonts w:eastAsia="Arial" w:cstheme="minorHAnsi"/>
                <w:spacing w:val="-1"/>
                <w:w w:val="101"/>
                <w:szCs w:val="18"/>
              </w:rPr>
              <w:t>o</w:t>
            </w:r>
            <w:r>
              <w:rPr>
                <w:rFonts w:eastAsia="Arial" w:cstheme="minorHAnsi"/>
                <w:w w:val="101"/>
                <w:szCs w:val="18"/>
              </w:rPr>
              <w:t>v</w:t>
            </w:r>
            <w:r>
              <w:rPr>
                <w:rFonts w:eastAsia="Arial" w:cstheme="minorHAnsi"/>
                <w:spacing w:val="-1"/>
                <w:w w:val="101"/>
                <w:szCs w:val="18"/>
              </w:rPr>
              <w:t>a</w:t>
            </w:r>
            <w:r>
              <w:rPr>
                <w:rFonts w:eastAsia="Arial" w:cstheme="minorHAnsi"/>
                <w:w w:val="101"/>
                <w:szCs w:val="18"/>
              </w:rPr>
              <w:t>r</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56AAC554" w14:textId="3A4574D6" w:rsidR="008878A0" w:rsidRDefault="008878A0" w:rsidP="00B61330">
            <w:pPr>
              <w:spacing w:before="17"/>
              <w:ind w:left="527"/>
              <w:jc w:val="center"/>
              <w:rPr>
                <w:rFonts w:eastAsia="Arial"/>
              </w:rPr>
            </w:pPr>
            <w:r w:rsidRPr="07E5E1E8">
              <w:rPr>
                <w:rFonts w:eastAsia="Arial"/>
                <w:spacing w:val="-1"/>
                <w:w w:val="101"/>
              </w:rPr>
              <w:t>5</w:t>
            </w:r>
            <w:r w:rsidR="66A32E1C" w:rsidRPr="07E5E1E8">
              <w:rPr>
                <w:rFonts w:eastAsia="Arial"/>
                <w:spacing w:val="-1"/>
                <w:w w:val="101"/>
              </w:rPr>
              <w:t>60</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7060FF2E"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3</w:t>
            </w:r>
            <w:r>
              <w:rPr>
                <w:rFonts w:eastAsia="Arial" w:cstheme="minorHAnsi"/>
                <w:b/>
                <w:w w:val="101"/>
                <w:szCs w:val="18"/>
              </w:rPr>
              <w:t>0</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542A757B"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6</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7BE9CD91" w14:textId="10D93128" w:rsidR="008878A0" w:rsidRDefault="008878A0" w:rsidP="00B61330">
            <w:pPr>
              <w:spacing w:before="17"/>
              <w:ind w:left="489"/>
              <w:jc w:val="center"/>
              <w:rPr>
                <w:rFonts w:eastAsia="Arial"/>
              </w:rPr>
            </w:pPr>
            <w:r w:rsidRPr="07E5E1E8">
              <w:rPr>
                <w:rFonts w:eastAsia="Arial"/>
                <w:spacing w:val="-1"/>
                <w:w w:val="101"/>
              </w:rPr>
              <w:t>5</w:t>
            </w:r>
            <w:r w:rsidRPr="07E5E1E8">
              <w:rPr>
                <w:rFonts w:eastAsia="Arial"/>
                <w:spacing w:val="2"/>
                <w:w w:val="101"/>
              </w:rPr>
              <w:t>.</w:t>
            </w:r>
            <w:r w:rsidR="1B808049" w:rsidRPr="07E5E1E8">
              <w:rPr>
                <w:rFonts w:eastAsia="Arial"/>
                <w:spacing w:val="2"/>
                <w:w w:val="101"/>
              </w:rPr>
              <w:t>448</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5380245E" w14:textId="305B72CC" w:rsidR="008878A0" w:rsidRDefault="008878A0" w:rsidP="00B61330">
            <w:pPr>
              <w:spacing w:before="17"/>
              <w:ind w:left="292"/>
              <w:jc w:val="center"/>
              <w:rPr>
                <w:rFonts w:eastAsia="Arial"/>
                <w:b/>
                <w:bCs/>
              </w:rPr>
            </w:pPr>
            <w:r w:rsidRPr="07E5E1E8">
              <w:rPr>
                <w:rFonts w:eastAsia="Arial"/>
                <w:b/>
                <w:bCs/>
                <w:spacing w:val="-1"/>
                <w:w w:val="101"/>
              </w:rPr>
              <w:t>2</w:t>
            </w:r>
            <w:r w:rsidR="3A1E6AD4" w:rsidRPr="07E5E1E8">
              <w:rPr>
                <w:rFonts w:eastAsia="Arial"/>
                <w:b/>
                <w:bCs/>
                <w:spacing w:val="-1"/>
                <w:w w:val="101"/>
              </w:rPr>
              <w:t>3</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76000B2D" w14:textId="02D0FDD2" w:rsidR="008878A0" w:rsidRDefault="008878A0" w:rsidP="00B61330">
            <w:pPr>
              <w:spacing w:before="17"/>
              <w:ind w:left="205"/>
              <w:jc w:val="center"/>
              <w:rPr>
                <w:rFonts w:eastAsia="Arial"/>
              </w:rPr>
            </w:pPr>
            <w:r w:rsidRPr="07E5E1E8">
              <w:rPr>
                <w:rFonts w:eastAsia="Arial"/>
                <w:spacing w:val="-1"/>
                <w:w w:val="101"/>
              </w:rPr>
              <w:t>1</w:t>
            </w:r>
            <w:r w:rsidR="57A05CC5" w:rsidRPr="07E5E1E8">
              <w:rPr>
                <w:rFonts w:eastAsia="Arial"/>
                <w:spacing w:val="-1"/>
                <w:w w:val="101"/>
              </w:rPr>
              <w:t>0</w:t>
            </w:r>
            <w:r w:rsidRPr="07E5E1E8">
              <w:rPr>
                <w:rFonts w:eastAsia="Arial"/>
                <w:spacing w:val="2"/>
                <w:w w:val="101"/>
              </w:rPr>
              <w:t>.</w:t>
            </w:r>
            <w:r w:rsidRPr="07E5E1E8">
              <w:rPr>
                <w:rFonts w:eastAsia="Arial"/>
                <w:spacing w:val="-1"/>
                <w:w w:val="101"/>
              </w:rPr>
              <w:t>06</w:t>
            </w:r>
            <w:r w:rsidR="16EC0B06" w:rsidRPr="07E5E1E8">
              <w:rPr>
                <w:rFonts w:eastAsia="Arial"/>
                <w:spacing w:val="-1"/>
                <w:w w:val="101"/>
              </w:rPr>
              <w:t>4</w:t>
            </w:r>
            <w:r w:rsidRPr="07E5E1E8">
              <w:rPr>
                <w:rFonts w:eastAsia="Arial"/>
                <w:spacing w:val="2"/>
                <w:w w:val="101"/>
              </w:rPr>
              <w:t>.</w:t>
            </w:r>
            <w:r w:rsidR="3048F6E7" w:rsidRPr="07E5E1E8">
              <w:rPr>
                <w:rFonts w:eastAsia="Arial"/>
                <w:spacing w:val="2"/>
                <w:w w:val="101"/>
              </w:rPr>
              <w:t>952</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7AB9C62A" w14:textId="77777777" w:rsidR="008878A0" w:rsidRDefault="008878A0" w:rsidP="00B61330">
            <w:pPr>
              <w:spacing w:before="17"/>
              <w:ind w:left="393"/>
              <w:jc w:val="center"/>
              <w:rPr>
                <w:rFonts w:eastAsia="Arial" w:cstheme="minorHAnsi"/>
                <w:szCs w:val="18"/>
              </w:rPr>
            </w:pPr>
            <w:r>
              <w:rPr>
                <w:rFonts w:eastAsia="Arial" w:cstheme="minorHAnsi"/>
                <w:b/>
                <w:w w:val="101"/>
                <w:szCs w:val="18"/>
              </w:rPr>
              <w:t>7</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43F42D2C" w14:textId="77777777" w:rsidR="008878A0" w:rsidRDefault="0F35C6E1" w:rsidP="00B61330">
            <w:pPr>
              <w:spacing w:before="17"/>
              <w:ind w:left="402"/>
              <w:jc w:val="center"/>
              <w:rPr>
                <w:rFonts w:eastAsia="Arial"/>
              </w:rPr>
            </w:pPr>
            <w:r w:rsidRPr="07E5E1E8">
              <w:rPr>
                <w:rFonts w:eastAsia="Arial"/>
                <w:spacing w:val="-1"/>
                <w:w w:val="101"/>
              </w:rPr>
              <w:t>504.503</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0975CAD4" w14:textId="77777777" w:rsidR="008878A0" w:rsidRDefault="596BA7AF" w:rsidP="00B61330">
            <w:pPr>
              <w:spacing w:before="17"/>
              <w:ind w:left="297"/>
              <w:jc w:val="center"/>
              <w:rPr>
                <w:rFonts w:eastAsia="Arial"/>
                <w:b/>
                <w:bCs/>
              </w:rPr>
            </w:pPr>
            <w:r w:rsidRPr="07E5E1E8">
              <w:rPr>
                <w:rFonts w:eastAsia="Arial"/>
                <w:b/>
                <w:bCs/>
                <w:spacing w:val="-1"/>
                <w:w w:val="101"/>
              </w:rPr>
              <w:t>7</w:t>
            </w:r>
          </w:p>
        </w:tc>
      </w:tr>
      <w:tr w:rsidR="008878A0" w14:paraId="6E6901FA" w14:textId="77777777" w:rsidTr="00B369AC">
        <w:trPr>
          <w:trHeight w:hRule="exact" w:val="280"/>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2C7B938B" w14:textId="77777777" w:rsidR="008878A0" w:rsidRDefault="008878A0" w:rsidP="00941871">
            <w:pPr>
              <w:spacing w:before="17"/>
              <w:ind w:left="52"/>
              <w:rPr>
                <w:rFonts w:eastAsia="Arial" w:cstheme="minorHAnsi"/>
                <w:szCs w:val="18"/>
              </w:rPr>
            </w:pPr>
            <w:r>
              <w:rPr>
                <w:rFonts w:eastAsia="Arial" w:cstheme="minorHAnsi"/>
                <w:spacing w:val="-1"/>
                <w:w w:val="101"/>
                <w:szCs w:val="18"/>
              </w:rPr>
              <w:t>Zada</w:t>
            </w:r>
            <w:r>
              <w:rPr>
                <w:rFonts w:eastAsia="Arial" w:cstheme="minorHAnsi"/>
                <w:w w:val="101"/>
                <w:szCs w:val="18"/>
              </w:rPr>
              <w:t>r</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1BD809B9" w14:textId="44FA6FB1" w:rsidR="008878A0" w:rsidRDefault="008878A0" w:rsidP="00B61330">
            <w:pPr>
              <w:spacing w:before="17"/>
              <w:ind w:left="378"/>
              <w:jc w:val="center"/>
              <w:rPr>
                <w:rFonts w:eastAsia="Arial"/>
              </w:rPr>
            </w:pPr>
            <w:r w:rsidRPr="07E5E1E8">
              <w:rPr>
                <w:rFonts w:eastAsia="Arial"/>
                <w:spacing w:val="-1"/>
                <w:w w:val="101"/>
              </w:rPr>
              <w:t>2</w:t>
            </w:r>
            <w:r w:rsidR="54857992" w:rsidRPr="07E5E1E8">
              <w:rPr>
                <w:rFonts w:eastAsia="Arial"/>
                <w:spacing w:val="-1"/>
                <w:w w:val="101"/>
              </w:rPr>
              <w:t>.948</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49F9C9F6" w14:textId="77777777" w:rsidR="008878A0" w:rsidRDefault="008878A0" w:rsidP="00B61330">
            <w:pPr>
              <w:spacing w:before="17"/>
              <w:ind w:left="393"/>
              <w:jc w:val="center"/>
              <w:rPr>
                <w:rFonts w:eastAsia="Arial" w:cstheme="minorHAnsi"/>
                <w:szCs w:val="18"/>
              </w:rPr>
            </w:pPr>
            <w:r>
              <w:rPr>
                <w:rFonts w:eastAsia="Arial" w:cstheme="minorHAnsi"/>
                <w:b/>
                <w:w w:val="101"/>
                <w:szCs w:val="18"/>
              </w:rPr>
              <w:t>6</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0EC5AE59" w14:textId="77777777" w:rsidR="008878A0" w:rsidRDefault="008878A0" w:rsidP="00B61330">
            <w:pPr>
              <w:spacing w:before="17"/>
              <w:ind w:left="561"/>
              <w:jc w:val="center"/>
              <w:rPr>
                <w:rFonts w:eastAsia="Arial" w:cstheme="minorHAnsi"/>
                <w:szCs w:val="18"/>
              </w:rPr>
            </w:pPr>
            <w:r>
              <w:rPr>
                <w:rFonts w:eastAsia="Arial" w:cstheme="minorHAnsi"/>
                <w:b/>
                <w:w w:val="101"/>
                <w:szCs w:val="18"/>
              </w:rPr>
              <w:t>5</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50BE46DA" w14:textId="03C9EF2C" w:rsidR="008878A0" w:rsidRDefault="008878A0" w:rsidP="00B61330">
            <w:pPr>
              <w:spacing w:before="17"/>
              <w:ind w:left="388"/>
              <w:jc w:val="center"/>
              <w:rPr>
                <w:rFonts w:eastAsia="Arial"/>
              </w:rPr>
            </w:pPr>
            <w:r w:rsidRPr="07E5E1E8">
              <w:rPr>
                <w:rFonts w:eastAsia="Arial"/>
                <w:spacing w:val="-1"/>
                <w:w w:val="101"/>
              </w:rPr>
              <w:t>1</w:t>
            </w:r>
            <w:r w:rsidR="6CD75E0B" w:rsidRPr="07E5E1E8">
              <w:rPr>
                <w:rFonts w:eastAsia="Arial"/>
                <w:spacing w:val="-1"/>
                <w:w w:val="101"/>
              </w:rPr>
              <w:t>6</w:t>
            </w:r>
            <w:r w:rsidRPr="07E5E1E8">
              <w:rPr>
                <w:rFonts w:eastAsia="Arial"/>
                <w:spacing w:val="2"/>
                <w:w w:val="101"/>
              </w:rPr>
              <w:t>.</w:t>
            </w:r>
            <w:r w:rsidR="1DF89B25" w:rsidRPr="07E5E1E8">
              <w:rPr>
                <w:rFonts w:eastAsia="Arial"/>
                <w:spacing w:val="2"/>
                <w:w w:val="101"/>
              </w:rPr>
              <w:t>220</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2EB0EDB7" w14:textId="77777777" w:rsidR="008878A0" w:rsidRDefault="008878A0" w:rsidP="00B61330">
            <w:pPr>
              <w:spacing w:before="17"/>
              <w:ind w:left="393"/>
              <w:jc w:val="center"/>
              <w:rPr>
                <w:rFonts w:eastAsia="Arial" w:cstheme="minorHAnsi"/>
                <w:szCs w:val="18"/>
              </w:rPr>
            </w:pPr>
            <w:r>
              <w:rPr>
                <w:rFonts w:eastAsia="Arial" w:cstheme="minorHAnsi"/>
                <w:b/>
                <w:w w:val="101"/>
                <w:szCs w:val="18"/>
              </w:rPr>
              <w:t>6</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549C5B1F" w14:textId="5C94849F" w:rsidR="008878A0" w:rsidRDefault="008878A0" w:rsidP="00B61330">
            <w:pPr>
              <w:spacing w:before="17"/>
              <w:ind w:left="306"/>
              <w:jc w:val="center"/>
              <w:rPr>
                <w:rFonts w:eastAsia="Arial"/>
              </w:rPr>
            </w:pPr>
            <w:r w:rsidRPr="07E5E1E8">
              <w:rPr>
                <w:rFonts w:eastAsia="Arial"/>
                <w:spacing w:val="-1"/>
                <w:w w:val="101"/>
              </w:rPr>
              <w:t>8</w:t>
            </w:r>
            <w:r w:rsidRPr="07E5E1E8">
              <w:rPr>
                <w:rFonts w:eastAsia="Arial"/>
                <w:spacing w:val="2"/>
                <w:w w:val="101"/>
              </w:rPr>
              <w:t>.</w:t>
            </w:r>
            <w:r w:rsidR="49FED86B" w:rsidRPr="07E5E1E8">
              <w:rPr>
                <w:rFonts w:eastAsia="Arial"/>
                <w:spacing w:val="-1"/>
                <w:w w:val="101"/>
              </w:rPr>
              <w:t>833</w:t>
            </w:r>
            <w:r w:rsidRPr="07E5E1E8">
              <w:rPr>
                <w:rFonts w:eastAsia="Arial"/>
                <w:spacing w:val="2"/>
                <w:w w:val="101"/>
              </w:rPr>
              <w:t>.</w:t>
            </w:r>
            <w:r w:rsidR="64BF667B" w:rsidRPr="07E5E1E8">
              <w:rPr>
                <w:rFonts w:eastAsia="Arial"/>
                <w:spacing w:val="2"/>
                <w:w w:val="101"/>
              </w:rPr>
              <w:t>826</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0D60A5B5" w14:textId="77777777" w:rsidR="008878A0" w:rsidRDefault="008878A0" w:rsidP="00B61330">
            <w:pPr>
              <w:spacing w:before="17"/>
              <w:ind w:left="393"/>
              <w:jc w:val="center"/>
              <w:rPr>
                <w:rFonts w:eastAsia="Arial" w:cstheme="minorHAnsi"/>
                <w:szCs w:val="18"/>
              </w:rPr>
            </w:pPr>
            <w:r>
              <w:rPr>
                <w:rFonts w:eastAsia="Arial" w:cstheme="minorHAnsi"/>
                <w:b/>
                <w:w w:val="101"/>
                <w:szCs w:val="18"/>
              </w:rPr>
              <w:t>9</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4FC1C461" w14:textId="77777777" w:rsidR="008878A0" w:rsidRDefault="59D09602" w:rsidP="00B61330">
            <w:pPr>
              <w:spacing w:before="17"/>
              <w:ind w:left="402"/>
              <w:jc w:val="center"/>
              <w:rPr>
                <w:rFonts w:eastAsia="Arial"/>
              </w:rPr>
            </w:pPr>
            <w:r w:rsidRPr="07E5E1E8">
              <w:rPr>
                <w:rFonts w:eastAsia="Arial"/>
                <w:spacing w:val="-1"/>
                <w:w w:val="101"/>
              </w:rPr>
              <w:t>497.099</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57979CD8" w14:textId="77777777" w:rsidR="008878A0" w:rsidRDefault="008878A0" w:rsidP="00B61330">
            <w:pPr>
              <w:spacing w:before="17"/>
              <w:ind w:left="297"/>
              <w:jc w:val="center"/>
              <w:rPr>
                <w:rFonts w:eastAsia="Arial"/>
              </w:rPr>
            </w:pPr>
            <w:r w:rsidRPr="07E5E1E8">
              <w:rPr>
                <w:rFonts w:eastAsia="Arial"/>
                <w:b/>
                <w:bCs/>
                <w:w w:val="101"/>
              </w:rPr>
              <w:t>8</w:t>
            </w:r>
          </w:p>
        </w:tc>
      </w:tr>
      <w:tr w:rsidR="008878A0" w14:paraId="67E73C5B" w14:textId="77777777" w:rsidTr="00B369AC">
        <w:trPr>
          <w:trHeight w:hRule="exact" w:val="275"/>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4D7DC928" w14:textId="77777777" w:rsidR="008878A0" w:rsidRDefault="008878A0" w:rsidP="00941871">
            <w:pPr>
              <w:spacing w:before="17"/>
              <w:ind w:left="52"/>
              <w:rPr>
                <w:rFonts w:eastAsia="Arial" w:cstheme="minorHAnsi"/>
                <w:szCs w:val="18"/>
              </w:rPr>
            </w:pPr>
            <w:r>
              <w:rPr>
                <w:rFonts w:eastAsia="Arial" w:cstheme="minorHAnsi"/>
                <w:spacing w:val="-2"/>
                <w:w w:val="101"/>
                <w:szCs w:val="18"/>
              </w:rPr>
              <w:t>Č</w:t>
            </w:r>
            <w:r>
              <w:rPr>
                <w:rFonts w:eastAsia="Arial" w:cstheme="minorHAnsi"/>
                <w:spacing w:val="-1"/>
                <w:w w:val="101"/>
                <w:szCs w:val="18"/>
              </w:rPr>
              <w:t>a</w:t>
            </w:r>
            <w:r>
              <w:rPr>
                <w:rFonts w:eastAsia="Arial" w:cstheme="minorHAnsi"/>
                <w:w w:val="101"/>
                <w:szCs w:val="18"/>
              </w:rPr>
              <w:t>k</w:t>
            </w:r>
            <w:r>
              <w:rPr>
                <w:rFonts w:eastAsia="Arial" w:cstheme="minorHAnsi"/>
                <w:spacing w:val="-1"/>
                <w:w w:val="101"/>
                <w:szCs w:val="18"/>
              </w:rPr>
              <w:t>o</w:t>
            </w:r>
            <w:r>
              <w:rPr>
                <w:rFonts w:eastAsia="Arial" w:cstheme="minorHAnsi"/>
                <w:w w:val="101"/>
                <w:szCs w:val="18"/>
              </w:rPr>
              <w:t>v</w:t>
            </w:r>
            <w:r>
              <w:rPr>
                <w:rFonts w:eastAsia="Arial" w:cstheme="minorHAnsi"/>
                <w:spacing w:val="-5"/>
                <w:w w:val="101"/>
                <w:szCs w:val="18"/>
              </w:rPr>
              <w:t>e</w:t>
            </w:r>
            <w:r>
              <w:rPr>
                <w:rFonts w:eastAsia="Arial" w:cstheme="minorHAnsi"/>
                <w:w w:val="101"/>
                <w:szCs w:val="18"/>
              </w:rPr>
              <w:t>c</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6D9AEEC0" w14:textId="0EC57704" w:rsidR="008878A0" w:rsidRDefault="008878A0" w:rsidP="00B61330">
            <w:pPr>
              <w:spacing w:before="17"/>
              <w:ind w:left="378"/>
              <w:jc w:val="center"/>
              <w:rPr>
                <w:rFonts w:eastAsia="Arial"/>
              </w:rPr>
            </w:pPr>
            <w:r w:rsidRPr="07E5E1E8">
              <w:rPr>
                <w:rFonts w:eastAsia="Arial"/>
                <w:spacing w:val="-1"/>
                <w:w w:val="101"/>
              </w:rPr>
              <w:t>1</w:t>
            </w:r>
            <w:r w:rsidRPr="07E5E1E8">
              <w:rPr>
                <w:rFonts w:eastAsia="Arial"/>
                <w:spacing w:val="2"/>
                <w:w w:val="101"/>
              </w:rPr>
              <w:t>.</w:t>
            </w:r>
            <w:r w:rsidRPr="07E5E1E8">
              <w:rPr>
                <w:rFonts w:eastAsia="Arial"/>
                <w:spacing w:val="-1"/>
                <w:w w:val="101"/>
              </w:rPr>
              <w:t>3</w:t>
            </w:r>
            <w:r w:rsidR="1CB7E4E2" w:rsidRPr="07E5E1E8">
              <w:rPr>
                <w:rFonts w:eastAsia="Arial"/>
                <w:spacing w:val="-1"/>
                <w:w w:val="101"/>
              </w:rPr>
              <w:t>79</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6BC6392D"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2</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2E8C7640" w14:textId="77777777" w:rsidR="008878A0" w:rsidRDefault="008878A0" w:rsidP="00B61330">
            <w:pPr>
              <w:spacing w:before="17"/>
              <w:ind w:left="561"/>
              <w:jc w:val="center"/>
              <w:rPr>
                <w:rFonts w:eastAsia="Arial" w:cstheme="minorHAnsi"/>
                <w:szCs w:val="18"/>
              </w:rPr>
            </w:pPr>
            <w:r>
              <w:rPr>
                <w:rFonts w:eastAsia="Arial" w:cstheme="minorHAnsi"/>
                <w:b/>
                <w:w w:val="101"/>
                <w:szCs w:val="18"/>
              </w:rPr>
              <w:t>9</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5DA13550" w14:textId="42B2F66B" w:rsidR="008878A0" w:rsidRDefault="008878A0" w:rsidP="00B61330">
            <w:pPr>
              <w:spacing w:before="17"/>
              <w:ind w:left="388"/>
              <w:jc w:val="center"/>
              <w:rPr>
                <w:rFonts w:eastAsia="Arial"/>
              </w:rPr>
            </w:pPr>
            <w:r w:rsidRPr="07E5E1E8">
              <w:rPr>
                <w:rFonts w:eastAsia="Arial"/>
                <w:spacing w:val="-1"/>
                <w:w w:val="101"/>
              </w:rPr>
              <w:t>1</w:t>
            </w:r>
            <w:r w:rsidR="7AAFE9BB" w:rsidRPr="07E5E1E8">
              <w:rPr>
                <w:rFonts w:eastAsia="Arial"/>
                <w:spacing w:val="-1"/>
                <w:w w:val="101"/>
              </w:rPr>
              <w:t>2</w:t>
            </w:r>
            <w:r w:rsidRPr="07E5E1E8">
              <w:rPr>
                <w:rFonts w:eastAsia="Arial"/>
                <w:spacing w:val="2"/>
                <w:w w:val="101"/>
              </w:rPr>
              <w:t>.</w:t>
            </w:r>
            <w:r w:rsidR="504AC847" w:rsidRPr="07E5E1E8">
              <w:rPr>
                <w:rFonts w:eastAsia="Arial"/>
                <w:spacing w:val="2"/>
                <w:w w:val="101"/>
              </w:rPr>
              <w:t>650</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0C872385" w14:textId="77777777" w:rsidR="008878A0" w:rsidRDefault="35BF6B1C" w:rsidP="00B61330">
            <w:pPr>
              <w:spacing w:before="17"/>
              <w:ind w:left="393"/>
              <w:jc w:val="center"/>
              <w:rPr>
                <w:rFonts w:eastAsia="Arial"/>
                <w:b/>
                <w:bCs/>
              </w:rPr>
            </w:pPr>
            <w:r w:rsidRPr="07E5E1E8">
              <w:rPr>
                <w:rFonts w:eastAsia="Arial"/>
                <w:b/>
                <w:bCs/>
                <w:w w:val="101"/>
              </w:rPr>
              <w:t>10</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376A568C" w14:textId="2E4F3915" w:rsidR="008878A0" w:rsidRDefault="5D990084" w:rsidP="00B61330">
            <w:pPr>
              <w:spacing w:before="17"/>
              <w:ind w:left="306"/>
              <w:jc w:val="center"/>
              <w:rPr>
                <w:rFonts w:eastAsia="Arial"/>
              </w:rPr>
            </w:pPr>
            <w:r w:rsidRPr="07E5E1E8">
              <w:rPr>
                <w:rFonts w:eastAsia="Arial"/>
                <w:spacing w:val="2"/>
                <w:w w:val="101"/>
              </w:rPr>
              <w:t>8</w:t>
            </w:r>
            <w:r w:rsidR="008878A0" w:rsidRPr="07E5E1E8">
              <w:rPr>
                <w:rFonts w:eastAsia="Arial"/>
                <w:spacing w:val="2"/>
                <w:w w:val="101"/>
              </w:rPr>
              <w:t>.</w:t>
            </w:r>
            <w:r w:rsidR="37717A9E" w:rsidRPr="07E5E1E8">
              <w:rPr>
                <w:rFonts w:eastAsia="Arial"/>
                <w:spacing w:val="2"/>
                <w:w w:val="101"/>
              </w:rPr>
              <w:t>049</w:t>
            </w:r>
            <w:r w:rsidR="008878A0" w:rsidRPr="07E5E1E8">
              <w:rPr>
                <w:rFonts w:eastAsia="Arial"/>
                <w:spacing w:val="2"/>
                <w:w w:val="101"/>
              </w:rPr>
              <w:t>.</w:t>
            </w:r>
            <w:r w:rsidR="43E85122" w:rsidRPr="07E5E1E8">
              <w:rPr>
                <w:rFonts w:eastAsia="Arial"/>
                <w:spacing w:val="2"/>
                <w:w w:val="101"/>
              </w:rPr>
              <w:t>322</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0586F94D"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0</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2616BA8B" w14:textId="7178A727" w:rsidR="008878A0" w:rsidRDefault="008878A0" w:rsidP="00B61330">
            <w:pPr>
              <w:spacing w:before="17"/>
              <w:ind w:left="402"/>
              <w:jc w:val="center"/>
              <w:rPr>
                <w:rFonts w:eastAsia="Arial"/>
              </w:rPr>
            </w:pPr>
            <w:r w:rsidRPr="07E5E1E8">
              <w:rPr>
                <w:rFonts w:eastAsia="Arial"/>
                <w:spacing w:val="-1"/>
                <w:w w:val="101"/>
              </w:rPr>
              <w:t>3</w:t>
            </w:r>
            <w:r w:rsidR="6A3EFF6C" w:rsidRPr="07E5E1E8">
              <w:rPr>
                <w:rFonts w:eastAsia="Arial"/>
                <w:spacing w:val="-1"/>
                <w:w w:val="101"/>
              </w:rPr>
              <w:t>19.112</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50FF297B" w14:textId="315F80DC" w:rsidR="008878A0" w:rsidRDefault="008878A0" w:rsidP="00B61330">
            <w:pPr>
              <w:spacing w:before="17"/>
              <w:ind w:left="297"/>
              <w:jc w:val="center"/>
              <w:rPr>
                <w:rFonts w:eastAsia="Arial"/>
                <w:b/>
                <w:bCs/>
              </w:rPr>
            </w:pPr>
            <w:r w:rsidRPr="07E5E1E8">
              <w:rPr>
                <w:rFonts w:eastAsia="Arial"/>
                <w:b/>
                <w:bCs/>
                <w:spacing w:val="-1"/>
                <w:w w:val="101"/>
              </w:rPr>
              <w:t>1</w:t>
            </w:r>
            <w:r w:rsidR="717DF13E" w:rsidRPr="07E5E1E8">
              <w:rPr>
                <w:rFonts w:eastAsia="Arial"/>
                <w:b/>
                <w:bCs/>
                <w:spacing w:val="-1"/>
                <w:w w:val="101"/>
              </w:rPr>
              <w:t>1</w:t>
            </w:r>
          </w:p>
        </w:tc>
      </w:tr>
      <w:tr w:rsidR="008878A0" w14:paraId="2E16B862" w14:textId="77777777" w:rsidTr="00B369AC">
        <w:trPr>
          <w:trHeight w:hRule="exact" w:val="275"/>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2D0365BF" w14:textId="77777777" w:rsidR="008878A0" w:rsidRDefault="008878A0" w:rsidP="00941871">
            <w:pPr>
              <w:spacing w:before="17"/>
              <w:ind w:left="52"/>
              <w:rPr>
                <w:rFonts w:eastAsia="Arial" w:cstheme="minorHAnsi"/>
                <w:szCs w:val="18"/>
              </w:rPr>
            </w:pPr>
            <w:r>
              <w:rPr>
                <w:rFonts w:eastAsia="Arial" w:cstheme="minorHAnsi"/>
                <w:spacing w:val="-2"/>
                <w:w w:val="101"/>
                <w:szCs w:val="18"/>
              </w:rPr>
              <w:t>D</w:t>
            </w:r>
            <w:r>
              <w:rPr>
                <w:rFonts w:eastAsia="Arial" w:cstheme="minorHAnsi"/>
                <w:spacing w:val="-1"/>
                <w:w w:val="101"/>
                <w:szCs w:val="18"/>
              </w:rPr>
              <w:t>ub</w:t>
            </w:r>
            <w:r>
              <w:rPr>
                <w:rFonts w:eastAsia="Arial" w:cstheme="minorHAnsi"/>
                <w:spacing w:val="2"/>
                <w:w w:val="101"/>
                <w:szCs w:val="18"/>
              </w:rPr>
              <w:t>r</w:t>
            </w:r>
            <w:r>
              <w:rPr>
                <w:rFonts w:eastAsia="Arial" w:cstheme="minorHAnsi"/>
                <w:spacing w:val="-1"/>
                <w:w w:val="101"/>
                <w:szCs w:val="18"/>
              </w:rPr>
              <w:t>o</w:t>
            </w:r>
            <w:r>
              <w:rPr>
                <w:rFonts w:eastAsia="Arial" w:cstheme="minorHAnsi"/>
                <w:w w:val="101"/>
                <w:szCs w:val="18"/>
              </w:rPr>
              <w:t>v</w:t>
            </w:r>
            <w:r>
              <w:rPr>
                <w:rFonts w:eastAsia="Arial" w:cstheme="minorHAnsi"/>
                <w:spacing w:val="-5"/>
                <w:w w:val="101"/>
                <w:szCs w:val="18"/>
              </w:rPr>
              <w:t>n</w:t>
            </w:r>
            <w:r>
              <w:rPr>
                <w:rFonts w:eastAsia="Arial" w:cstheme="minorHAnsi"/>
                <w:spacing w:val="3"/>
                <w:w w:val="101"/>
                <w:szCs w:val="18"/>
              </w:rPr>
              <w:t>i</w:t>
            </w:r>
            <w:r>
              <w:rPr>
                <w:rFonts w:eastAsia="Arial" w:cstheme="minorHAnsi"/>
                <w:w w:val="101"/>
                <w:szCs w:val="18"/>
              </w:rPr>
              <w:t>k</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76631F6F" w14:textId="12C262E5" w:rsidR="008878A0" w:rsidRDefault="008878A0" w:rsidP="00B61330">
            <w:pPr>
              <w:spacing w:before="17"/>
              <w:ind w:left="378"/>
              <w:jc w:val="center"/>
              <w:rPr>
                <w:rFonts w:eastAsia="Arial"/>
              </w:rPr>
            </w:pPr>
            <w:r w:rsidRPr="07E5E1E8">
              <w:rPr>
                <w:rFonts w:eastAsia="Arial"/>
                <w:spacing w:val="-1"/>
                <w:w w:val="101"/>
              </w:rPr>
              <w:t>2</w:t>
            </w:r>
            <w:r w:rsidRPr="07E5E1E8">
              <w:rPr>
                <w:rFonts w:eastAsia="Arial"/>
                <w:spacing w:val="2"/>
                <w:w w:val="101"/>
              </w:rPr>
              <w:t>.</w:t>
            </w:r>
            <w:r w:rsidR="0FE173A4" w:rsidRPr="07E5E1E8">
              <w:rPr>
                <w:rFonts w:eastAsia="Arial"/>
              </w:rPr>
              <w:t>341</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53B9D75D" w14:textId="77777777" w:rsidR="008878A0" w:rsidRDefault="008878A0" w:rsidP="00B61330">
            <w:pPr>
              <w:spacing w:before="17"/>
              <w:ind w:left="393"/>
              <w:jc w:val="center"/>
              <w:rPr>
                <w:rFonts w:eastAsia="Arial" w:cstheme="minorHAnsi"/>
                <w:szCs w:val="18"/>
              </w:rPr>
            </w:pPr>
            <w:r>
              <w:rPr>
                <w:rFonts w:eastAsia="Arial" w:cstheme="minorHAnsi"/>
                <w:b/>
                <w:w w:val="101"/>
                <w:szCs w:val="18"/>
              </w:rPr>
              <w:t>7</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1B87F64F" w14:textId="77777777" w:rsidR="008878A0" w:rsidRDefault="008878A0" w:rsidP="00B61330">
            <w:pPr>
              <w:spacing w:before="17"/>
              <w:ind w:left="561"/>
              <w:jc w:val="center"/>
              <w:rPr>
                <w:rFonts w:eastAsia="Arial" w:cstheme="minorHAnsi"/>
                <w:szCs w:val="18"/>
              </w:rPr>
            </w:pPr>
            <w:r>
              <w:rPr>
                <w:rFonts w:eastAsia="Arial" w:cstheme="minorHAnsi"/>
                <w:b/>
                <w:w w:val="101"/>
                <w:szCs w:val="18"/>
              </w:rPr>
              <w:t>6</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4A010147" w14:textId="77777777" w:rsidR="008878A0" w:rsidRDefault="008878A0" w:rsidP="00B61330">
            <w:pPr>
              <w:spacing w:before="17"/>
              <w:ind w:left="388"/>
              <w:jc w:val="center"/>
              <w:rPr>
                <w:rFonts w:eastAsia="Arial"/>
              </w:rPr>
            </w:pPr>
            <w:r w:rsidRPr="07E5E1E8">
              <w:rPr>
                <w:rFonts w:eastAsia="Arial"/>
                <w:spacing w:val="-1"/>
                <w:w w:val="101"/>
              </w:rPr>
              <w:t>12</w:t>
            </w:r>
            <w:r w:rsidRPr="07E5E1E8">
              <w:rPr>
                <w:rFonts w:eastAsia="Arial"/>
                <w:spacing w:val="2"/>
                <w:w w:val="101"/>
              </w:rPr>
              <w:t>.</w:t>
            </w:r>
            <w:r w:rsidR="1F8EB217" w:rsidRPr="07E5E1E8">
              <w:rPr>
                <w:rFonts w:eastAsia="Arial"/>
                <w:spacing w:val="-1"/>
                <w:w w:val="101"/>
              </w:rPr>
              <w:t>890</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239ACCB3" w14:textId="77777777" w:rsidR="008878A0" w:rsidRDefault="008878A0" w:rsidP="00B61330">
            <w:pPr>
              <w:spacing w:before="17"/>
              <w:ind w:left="393"/>
              <w:jc w:val="center"/>
              <w:rPr>
                <w:rFonts w:eastAsia="Arial" w:cstheme="minorHAnsi"/>
                <w:szCs w:val="18"/>
              </w:rPr>
            </w:pPr>
            <w:r>
              <w:rPr>
                <w:rFonts w:eastAsia="Arial" w:cstheme="minorHAnsi"/>
                <w:b/>
                <w:w w:val="101"/>
                <w:szCs w:val="18"/>
              </w:rPr>
              <w:t>9</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04ABA295" w14:textId="1FDD5042" w:rsidR="008878A0" w:rsidRDefault="7FA1980D" w:rsidP="00B61330">
            <w:pPr>
              <w:spacing w:before="17"/>
              <w:ind w:left="306"/>
              <w:jc w:val="center"/>
              <w:rPr>
                <w:rFonts w:eastAsia="Arial"/>
              </w:rPr>
            </w:pPr>
            <w:r w:rsidRPr="07E5E1E8">
              <w:rPr>
                <w:rFonts w:eastAsia="Arial"/>
                <w:spacing w:val="2"/>
                <w:w w:val="101"/>
              </w:rPr>
              <w:t>8</w:t>
            </w:r>
            <w:r w:rsidR="008878A0" w:rsidRPr="07E5E1E8">
              <w:rPr>
                <w:rFonts w:eastAsia="Arial"/>
                <w:spacing w:val="2"/>
                <w:w w:val="101"/>
              </w:rPr>
              <w:t>.</w:t>
            </w:r>
            <w:r w:rsidR="7182D44D" w:rsidRPr="07E5E1E8">
              <w:rPr>
                <w:rFonts w:eastAsia="Arial"/>
                <w:spacing w:val="2"/>
                <w:w w:val="101"/>
              </w:rPr>
              <w:t>001</w:t>
            </w:r>
            <w:r w:rsidR="008878A0" w:rsidRPr="07E5E1E8">
              <w:rPr>
                <w:rFonts w:eastAsia="Arial"/>
                <w:spacing w:val="2"/>
                <w:w w:val="101"/>
              </w:rPr>
              <w:t>.</w:t>
            </w:r>
            <w:r w:rsidR="411399BF" w:rsidRPr="07E5E1E8">
              <w:rPr>
                <w:rFonts w:eastAsia="Arial"/>
                <w:spacing w:val="2"/>
                <w:w w:val="101"/>
              </w:rPr>
              <w:t>638</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4788E068"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1</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6915CB0C" w14:textId="74448195" w:rsidR="008878A0" w:rsidRDefault="008878A0" w:rsidP="00B61330">
            <w:pPr>
              <w:spacing w:before="17"/>
              <w:ind w:left="402"/>
              <w:jc w:val="center"/>
              <w:rPr>
                <w:rFonts w:eastAsia="Arial"/>
              </w:rPr>
            </w:pPr>
            <w:r w:rsidRPr="07E5E1E8">
              <w:rPr>
                <w:rFonts w:eastAsia="Arial"/>
                <w:spacing w:val="-1"/>
                <w:w w:val="101"/>
              </w:rPr>
              <w:t>5</w:t>
            </w:r>
            <w:r w:rsidR="12706EC2" w:rsidRPr="07E5E1E8">
              <w:rPr>
                <w:rFonts w:eastAsia="Arial"/>
                <w:spacing w:val="-1"/>
                <w:w w:val="101"/>
              </w:rPr>
              <w:t>97.616</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041B8054" w14:textId="77777777" w:rsidR="008878A0" w:rsidRDefault="2CC8DB24" w:rsidP="00B61330">
            <w:pPr>
              <w:spacing w:before="17"/>
              <w:ind w:left="397"/>
              <w:jc w:val="center"/>
              <w:rPr>
                <w:rFonts w:eastAsia="Arial"/>
                <w:b/>
                <w:bCs/>
              </w:rPr>
            </w:pPr>
            <w:r w:rsidRPr="07E5E1E8">
              <w:rPr>
                <w:rFonts w:eastAsia="Arial"/>
                <w:b/>
                <w:bCs/>
                <w:w w:val="101"/>
              </w:rPr>
              <w:t>5</w:t>
            </w:r>
          </w:p>
        </w:tc>
      </w:tr>
      <w:tr w:rsidR="008878A0" w14:paraId="545B9981" w14:textId="77777777" w:rsidTr="00B369AC">
        <w:trPr>
          <w:trHeight w:hRule="exact" w:val="275"/>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38AC6556" w14:textId="77777777" w:rsidR="008878A0" w:rsidRDefault="008878A0" w:rsidP="00941871">
            <w:pPr>
              <w:spacing w:before="17"/>
              <w:ind w:left="52"/>
              <w:rPr>
                <w:rFonts w:eastAsia="Arial" w:cstheme="minorHAnsi"/>
                <w:szCs w:val="18"/>
              </w:rPr>
            </w:pPr>
            <w:r>
              <w:rPr>
                <w:rFonts w:eastAsia="Arial" w:cstheme="minorHAnsi"/>
                <w:spacing w:val="-2"/>
                <w:w w:val="101"/>
                <w:szCs w:val="18"/>
              </w:rPr>
              <w:t>K</w:t>
            </w:r>
            <w:r>
              <w:rPr>
                <w:rFonts w:eastAsia="Arial" w:cstheme="minorHAnsi"/>
                <w:spacing w:val="-1"/>
                <w:w w:val="101"/>
                <w:szCs w:val="18"/>
              </w:rPr>
              <w:t>a</w:t>
            </w:r>
            <w:r>
              <w:rPr>
                <w:rFonts w:eastAsia="Arial" w:cstheme="minorHAnsi"/>
                <w:spacing w:val="2"/>
                <w:w w:val="101"/>
                <w:szCs w:val="18"/>
              </w:rPr>
              <w:t>r</w:t>
            </w:r>
            <w:r>
              <w:rPr>
                <w:rFonts w:eastAsia="Arial" w:cstheme="minorHAnsi"/>
                <w:spacing w:val="3"/>
                <w:w w:val="101"/>
                <w:szCs w:val="18"/>
              </w:rPr>
              <w:t>l</w:t>
            </w:r>
            <w:r>
              <w:rPr>
                <w:rFonts w:eastAsia="Arial" w:cstheme="minorHAnsi"/>
                <w:spacing w:val="-5"/>
                <w:w w:val="101"/>
                <w:szCs w:val="18"/>
              </w:rPr>
              <w:t>o</w:t>
            </w:r>
            <w:r>
              <w:rPr>
                <w:rFonts w:eastAsia="Arial" w:cstheme="minorHAnsi"/>
                <w:w w:val="101"/>
                <w:szCs w:val="18"/>
              </w:rPr>
              <w:t>v</w:t>
            </w:r>
            <w:r>
              <w:rPr>
                <w:rFonts w:eastAsia="Arial" w:cstheme="minorHAnsi"/>
                <w:spacing w:val="-1"/>
                <w:w w:val="101"/>
                <w:szCs w:val="18"/>
              </w:rPr>
              <w:t>a</w:t>
            </w:r>
            <w:r>
              <w:rPr>
                <w:rFonts w:eastAsia="Arial" w:cstheme="minorHAnsi"/>
                <w:w w:val="101"/>
                <w:szCs w:val="18"/>
              </w:rPr>
              <w:t>c</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48B876FF" w14:textId="163E76B0" w:rsidR="008878A0" w:rsidRDefault="008878A0" w:rsidP="00B61330">
            <w:pPr>
              <w:spacing w:before="17"/>
              <w:ind w:left="378"/>
              <w:jc w:val="center"/>
              <w:rPr>
                <w:rFonts w:eastAsia="Arial"/>
              </w:rPr>
            </w:pPr>
            <w:r w:rsidRPr="07E5E1E8">
              <w:rPr>
                <w:rFonts w:eastAsia="Arial"/>
                <w:spacing w:val="-1"/>
                <w:w w:val="101"/>
              </w:rPr>
              <w:t>1</w:t>
            </w:r>
            <w:r w:rsidRPr="07E5E1E8">
              <w:rPr>
                <w:rFonts w:eastAsia="Arial"/>
                <w:spacing w:val="2"/>
                <w:w w:val="101"/>
              </w:rPr>
              <w:t>.</w:t>
            </w:r>
            <w:r w:rsidRPr="07E5E1E8">
              <w:rPr>
                <w:rFonts w:eastAsia="Arial"/>
                <w:spacing w:val="-1"/>
                <w:w w:val="101"/>
              </w:rPr>
              <w:t>2</w:t>
            </w:r>
            <w:r w:rsidR="334CE63B" w:rsidRPr="07E5E1E8">
              <w:rPr>
                <w:rFonts w:eastAsia="Arial"/>
                <w:spacing w:val="-1"/>
                <w:w w:val="101"/>
              </w:rPr>
              <w:t>27</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67B9FDE9"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4</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654EB559"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1</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17901224" w14:textId="77777777" w:rsidR="008878A0" w:rsidRDefault="008878A0" w:rsidP="00B61330">
            <w:pPr>
              <w:spacing w:before="17"/>
              <w:ind w:left="388"/>
              <w:jc w:val="center"/>
              <w:rPr>
                <w:rFonts w:eastAsia="Arial"/>
              </w:rPr>
            </w:pPr>
            <w:r w:rsidRPr="07E5E1E8">
              <w:rPr>
                <w:rFonts w:eastAsia="Arial"/>
                <w:spacing w:val="-1"/>
                <w:w w:val="101"/>
              </w:rPr>
              <w:t>10</w:t>
            </w:r>
            <w:r w:rsidRPr="07E5E1E8">
              <w:rPr>
                <w:rFonts w:eastAsia="Arial"/>
                <w:spacing w:val="2"/>
                <w:w w:val="101"/>
              </w:rPr>
              <w:t>.</w:t>
            </w:r>
            <w:r w:rsidR="79D4E76A" w:rsidRPr="07E5E1E8">
              <w:rPr>
                <w:rFonts w:eastAsia="Arial"/>
                <w:spacing w:val="-1"/>
                <w:w w:val="101"/>
              </w:rPr>
              <w:t>499</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0D14BDC2"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3</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6FC0644F" w14:textId="41FB9F52" w:rsidR="008878A0" w:rsidRDefault="008878A0" w:rsidP="00B61330">
            <w:pPr>
              <w:spacing w:before="17"/>
              <w:ind w:left="306"/>
              <w:jc w:val="center"/>
              <w:rPr>
                <w:rFonts w:eastAsia="Arial"/>
              </w:rPr>
            </w:pPr>
            <w:r w:rsidRPr="07E5E1E8">
              <w:rPr>
                <w:rFonts w:eastAsia="Arial"/>
                <w:spacing w:val="-1"/>
                <w:w w:val="101"/>
              </w:rPr>
              <w:t>6</w:t>
            </w:r>
            <w:r w:rsidRPr="07E5E1E8">
              <w:rPr>
                <w:rFonts w:eastAsia="Arial"/>
                <w:spacing w:val="2"/>
                <w:w w:val="101"/>
              </w:rPr>
              <w:t>.</w:t>
            </w:r>
            <w:r w:rsidRPr="07E5E1E8">
              <w:rPr>
                <w:rFonts w:eastAsia="Arial"/>
                <w:spacing w:val="-1"/>
                <w:w w:val="101"/>
              </w:rPr>
              <w:t>8</w:t>
            </w:r>
            <w:r w:rsidR="5B3E6CE5" w:rsidRPr="07E5E1E8">
              <w:rPr>
                <w:rFonts w:eastAsia="Arial"/>
                <w:spacing w:val="-1"/>
                <w:w w:val="101"/>
              </w:rPr>
              <w:t>10</w:t>
            </w:r>
            <w:r w:rsidRPr="07E5E1E8">
              <w:rPr>
                <w:rFonts w:eastAsia="Arial"/>
                <w:spacing w:val="2"/>
                <w:w w:val="101"/>
              </w:rPr>
              <w:t>.</w:t>
            </w:r>
            <w:r w:rsidR="0A278A36" w:rsidRPr="07E5E1E8">
              <w:rPr>
                <w:rFonts w:eastAsia="Arial"/>
                <w:spacing w:val="-1"/>
                <w:w w:val="101"/>
              </w:rPr>
              <w:t>780</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42D52AAD"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3</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06D311FB" w14:textId="77777777" w:rsidR="008878A0" w:rsidRDefault="7A344825" w:rsidP="00B61330">
            <w:pPr>
              <w:spacing w:before="17"/>
              <w:ind w:left="402"/>
              <w:jc w:val="center"/>
              <w:rPr>
                <w:rFonts w:eastAsia="Arial"/>
              </w:rPr>
            </w:pPr>
            <w:r w:rsidRPr="07E5E1E8">
              <w:rPr>
                <w:rFonts w:eastAsia="Arial"/>
                <w:spacing w:val="-1"/>
                <w:w w:val="101"/>
              </w:rPr>
              <w:t>314.119</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6A658992" w14:textId="77777777" w:rsidR="008878A0" w:rsidRDefault="0E3752CA" w:rsidP="00B61330">
            <w:pPr>
              <w:spacing w:before="17"/>
              <w:ind w:left="397"/>
              <w:jc w:val="center"/>
              <w:rPr>
                <w:rFonts w:eastAsia="Arial"/>
                <w:b/>
                <w:bCs/>
              </w:rPr>
            </w:pPr>
            <w:r w:rsidRPr="07E5E1E8">
              <w:rPr>
                <w:rFonts w:eastAsia="Arial"/>
                <w:b/>
                <w:bCs/>
                <w:w w:val="101"/>
              </w:rPr>
              <w:t>12</w:t>
            </w:r>
          </w:p>
        </w:tc>
      </w:tr>
      <w:tr w:rsidR="008878A0" w14:paraId="6A49CB9D" w14:textId="77777777" w:rsidTr="00B369AC">
        <w:trPr>
          <w:trHeight w:hRule="exact" w:val="275"/>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591CC02E" w14:textId="77777777" w:rsidR="008878A0" w:rsidRDefault="008878A0" w:rsidP="00941871">
            <w:pPr>
              <w:spacing w:before="17"/>
              <w:ind w:left="52"/>
              <w:rPr>
                <w:rFonts w:eastAsia="Arial" w:cstheme="minorHAnsi"/>
                <w:szCs w:val="18"/>
              </w:rPr>
            </w:pPr>
            <w:r>
              <w:rPr>
                <w:rFonts w:eastAsia="Arial" w:cstheme="minorHAnsi"/>
                <w:spacing w:val="-2"/>
                <w:szCs w:val="18"/>
              </w:rPr>
              <w:t>S</w:t>
            </w:r>
            <w:r>
              <w:rPr>
                <w:rFonts w:eastAsia="Arial" w:cstheme="minorHAnsi"/>
                <w:spacing w:val="3"/>
                <w:szCs w:val="18"/>
              </w:rPr>
              <w:t>l</w:t>
            </w:r>
            <w:r>
              <w:rPr>
                <w:rFonts w:eastAsia="Arial" w:cstheme="minorHAnsi"/>
                <w:spacing w:val="-1"/>
                <w:szCs w:val="18"/>
              </w:rPr>
              <w:t>a</w:t>
            </w:r>
            <w:r>
              <w:rPr>
                <w:rFonts w:eastAsia="Arial" w:cstheme="minorHAnsi"/>
                <w:szCs w:val="18"/>
              </w:rPr>
              <w:t>v</w:t>
            </w:r>
            <w:r>
              <w:rPr>
                <w:rFonts w:eastAsia="Arial" w:cstheme="minorHAnsi"/>
                <w:spacing w:val="-1"/>
                <w:szCs w:val="18"/>
              </w:rPr>
              <w:t>o</w:t>
            </w:r>
            <w:r>
              <w:rPr>
                <w:rFonts w:eastAsia="Arial" w:cstheme="minorHAnsi"/>
                <w:spacing w:val="-5"/>
                <w:szCs w:val="18"/>
              </w:rPr>
              <w:t>n</w:t>
            </w:r>
            <w:r>
              <w:rPr>
                <w:rFonts w:eastAsia="Arial" w:cstheme="minorHAnsi"/>
                <w:szCs w:val="18"/>
              </w:rPr>
              <w:t>s</w:t>
            </w:r>
            <w:r>
              <w:rPr>
                <w:rFonts w:eastAsia="Arial" w:cstheme="minorHAnsi"/>
                <w:spacing w:val="-5"/>
                <w:szCs w:val="18"/>
              </w:rPr>
              <w:t>k</w:t>
            </w:r>
            <w:r>
              <w:rPr>
                <w:rFonts w:eastAsia="Arial" w:cstheme="minorHAnsi"/>
                <w:szCs w:val="18"/>
              </w:rPr>
              <w:t>i</w:t>
            </w:r>
            <w:r>
              <w:rPr>
                <w:rFonts w:cstheme="minorHAnsi"/>
                <w:spacing w:val="18"/>
                <w:szCs w:val="18"/>
              </w:rPr>
              <w:t xml:space="preserve"> </w:t>
            </w:r>
            <w:r>
              <w:rPr>
                <w:rFonts w:eastAsia="Arial" w:cstheme="minorHAnsi"/>
                <w:spacing w:val="-6"/>
                <w:w w:val="101"/>
                <w:szCs w:val="18"/>
              </w:rPr>
              <w:t>B</w:t>
            </w:r>
            <w:r>
              <w:rPr>
                <w:rFonts w:eastAsia="Arial" w:cstheme="minorHAnsi"/>
                <w:spacing w:val="2"/>
                <w:w w:val="101"/>
                <w:szCs w:val="18"/>
              </w:rPr>
              <w:t>r</w:t>
            </w:r>
            <w:r>
              <w:rPr>
                <w:rFonts w:eastAsia="Arial" w:cstheme="minorHAnsi"/>
                <w:spacing w:val="-1"/>
                <w:w w:val="101"/>
                <w:szCs w:val="18"/>
              </w:rPr>
              <w:t>o</w:t>
            </w:r>
            <w:r>
              <w:rPr>
                <w:rFonts w:eastAsia="Arial" w:cstheme="minorHAnsi"/>
                <w:w w:val="101"/>
                <w:szCs w:val="18"/>
              </w:rPr>
              <w:t>d</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3F058824" w14:textId="0A50E5B2" w:rsidR="008878A0" w:rsidRDefault="008878A0" w:rsidP="00B61330">
            <w:pPr>
              <w:spacing w:before="17"/>
              <w:ind w:left="378"/>
              <w:jc w:val="center"/>
              <w:rPr>
                <w:rFonts w:eastAsia="Arial"/>
              </w:rPr>
            </w:pPr>
            <w:r w:rsidRPr="07E5E1E8">
              <w:rPr>
                <w:rFonts w:eastAsia="Arial"/>
                <w:spacing w:val="-1"/>
                <w:w w:val="101"/>
              </w:rPr>
              <w:t>1</w:t>
            </w:r>
            <w:r w:rsidRPr="07E5E1E8">
              <w:rPr>
                <w:rFonts w:eastAsia="Arial"/>
                <w:spacing w:val="2"/>
                <w:w w:val="101"/>
              </w:rPr>
              <w:t>.</w:t>
            </w:r>
            <w:r w:rsidR="17D33C19" w:rsidRPr="07E5E1E8">
              <w:rPr>
                <w:rFonts w:eastAsia="Arial"/>
              </w:rPr>
              <w:t>200</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5244A857"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5</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2EFAF496"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2</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6C85F64E" w14:textId="77777777" w:rsidR="008878A0" w:rsidRDefault="008878A0" w:rsidP="00B61330">
            <w:pPr>
              <w:spacing w:before="17"/>
              <w:ind w:left="388"/>
              <w:jc w:val="center"/>
              <w:rPr>
                <w:rFonts w:eastAsia="Arial"/>
              </w:rPr>
            </w:pPr>
            <w:r w:rsidRPr="07E5E1E8">
              <w:rPr>
                <w:rFonts w:eastAsia="Arial"/>
                <w:spacing w:val="-1"/>
                <w:w w:val="101"/>
              </w:rPr>
              <w:t>12</w:t>
            </w:r>
            <w:r w:rsidRPr="07E5E1E8">
              <w:rPr>
                <w:rFonts w:eastAsia="Arial"/>
                <w:spacing w:val="2"/>
                <w:w w:val="101"/>
              </w:rPr>
              <w:t>.</w:t>
            </w:r>
            <w:r w:rsidR="3D3D16D0" w:rsidRPr="07E5E1E8">
              <w:rPr>
                <w:rFonts w:eastAsia="Arial"/>
                <w:spacing w:val="-1"/>
                <w:w w:val="101"/>
              </w:rPr>
              <w:t>390</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6A470A0A" w14:textId="158829F8" w:rsidR="008878A0" w:rsidRDefault="008878A0" w:rsidP="00B61330">
            <w:pPr>
              <w:spacing w:before="17"/>
              <w:ind w:left="292"/>
              <w:jc w:val="center"/>
              <w:rPr>
                <w:rFonts w:eastAsia="Arial"/>
                <w:b/>
                <w:bCs/>
              </w:rPr>
            </w:pPr>
            <w:r w:rsidRPr="07E5E1E8">
              <w:rPr>
                <w:rFonts w:eastAsia="Arial"/>
                <w:b/>
                <w:bCs/>
                <w:spacing w:val="-1"/>
                <w:w w:val="101"/>
              </w:rPr>
              <w:t>1</w:t>
            </w:r>
            <w:r w:rsidR="52262A99" w:rsidRPr="07E5E1E8">
              <w:rPr>
                <w:rFonts w:eastAsia="Arial"/>
                <w:b/>
                <w:bCs/>
                <w:spacing w:val="-1"/>
                <w:w w:val="101"/>
              </w:rPr>
              <w:t>1</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42591DA4" w14:textId="2F2BB904" w:rsidR="008878A0" w:rsidRDefault="008878A0" w:rsidP="00B61330">
            <w:pPr>
              <w:spacing w:before="17"/>
              <w:ind w:left="306"/>
              <w:jc w:val="center"/>
              <w:rPr>
                <w:rFonts w:eastAsia="Arial"/>
              </w:rPr>
            </w:pPr>
            <w:r w:rsidRPr="07E5E1E8">
              <w:rPr>
                <w:rFonts w:eastAsia="Arial"/>
                <w:spacing w:val="-1"/>
                <w:w w:val="101"/>
              </w:rPr>
              <w:t>5</w:t>
            </w:r>
            <w:r w:rsidRPr="07E5E1E8">
              <w:rPr>
                <w:rFonts w:eastAsia="Arial"/>
                <w:spacing w:val="2"/>
                <w:w w:val="101"/>
              </w:rPr>
              <w:t>.</w:t>
            </w:r>
            <w:r w:rsidR="670877F4" w:rsidRPr="07E5E1E8">
              <w:rPr>
                <w:rFonts w:eastAsia="Arial"/>
                <w:spacing w:val="-1"/>
                <w:w w:val="101"/>
              </w:rPr>
              <w:t>949</w:t>
            </w:r>
            <w:r w:rsidRPr="07E5E1E8">
              <w:rPr>
                <w:rFonts w:eastAsia="Arial"/>
                <w:spacing w:val="2"/>
                <w:w w:val="101"/>
              </w:rPr>
              <w:t>.</w:t>
            </w:r>
            <w:r w:rsidR="35DFF316" w:rsidRPr="07E5E1E8">
              <w:rPr>
                <w:rFonts w:eastAsia="Arial"/>
                <w:spacing w:val="2"/>
                <w:w w:val="101"/>
              </w:rPr>
              <w:t>0</w:t>
            </w:r>
            <w:r w:rsidRPr="07E5E1E8">
              <w:rPr>
                <w:rFonts w:eastAsia="Arial"/>
                <w:spacing w:val="-1"/>
                <w:w w:val="101"/>
              </w:rPr>
              <w:t>9</w:t>
            </w:r>
            <w:r w:rsidR="70B7D5A5" w:rsidRPr="07E5E1E8">
              <w:rPr>
                <w:rFonts w:eastAsia="Arial"/>
                <w:spacing w:val="-1"/>
                <w:w w:val="101"/>
              </w:rPr>
              <w:t>8</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6FD2E7A7"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5</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090DF206" w14:textId="77777777" w:rsidR="008878A0" w:rsidRDefault="5AAF36C3" w:rsidP="00B61330">
            <w:pPr>
              <w:spacing w:before="17"/>
              <w:ind w:left="604"/>
              <w:jc w:val="center"/>
              <w:rPr>
                <w:rFonts w:eastAsia="Arial"/>
              </w:rPr>
            </w:pPr>
            <w:r w:rsidRPr="07E5E1E8">
              <w:rPr>
                <w:rFonts w:eastAsia="Arial"/>
                <w:spacing w:val="-1"/>
                <w:w w:val="101"/>
              </w:rPr>
              <w:t>-70.608</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770A897F" w14:textId="77777777" w:rsidR="008878A0" w:rsidRDefault="08FF00A5" w:rsidP="00B61330">
            <w:pPr>
              <w:spacing w:before="17"/>
              <w:ind w:left="196"/>
              <w:jc w:val="center"/>
              <w:rPr>
                <w:rFonts w:eastAsia="Arial"/>
                <w:b/>
                <w:bCs/>
              </w:rPr>
            </w:pPr>
            <w:r w:rsidRPr="07E5E1E8">
              <w:rPr>
                <w:rFonts w:eastAsia="Arial"/>
                <w:b/>
                <w:bCs/>
                <w:spacing w:val="-1"/>
                <w:w w:val="101"/>
              </w:rPr>
              <w:t>550</w:t>
            </w:r>
          </w:p>
        </w:tc>
      </w:tr>
      <w:tr w:rsidR="008878A0" w14:paraId="21225AF1" w14:textId="77777777" w:rsidTr="00B369AC">
        <w:trPr>
          <w:trHeight w:hRule="exact" w:val="280"/>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2C153741" w14:textId="77777777" w:rsidR="008878A0" w:rsidRDefault="008878A0" w:rsidP="00941871">
            <w:pPr>
              <w:spacing w:before="17"/>
              <w:ind w:left="52"/>
              <w:rPr>
                <w:rFonts w:eastAsia="Arial" w:cstheme="minorHAnsi"/>
                <w:szCs w:val="18"/>
              </w:rPr>
            </w:pPr>
            <w:r>
              <w:rPr>
                <w:rFonts w:eastAsia="Arial" w:cstheme="minorHAnsi"/>
                <w:spacing w:val="-2"/>
                <w:w w:val="101"/>
                <w:szCs w:val="18"/>
              </w:rPr>
              <w:t>K</w:t>
            </w:r>
            <w:r>
              <w:rPr>
                <w:rFonts w:eastAsia="Arial" w:cstheme="minorHAnsi"/>
                <w:spacing w:val="-1"/>
                <w:w w:val="101"/>
                <w:szCs w:val="18"/>
              </w:rPr>
              <w:t>op</w:t>
            </w:r>
            <w:r>
              <w:rPr>
                <w:rFonts w:eastAsia="Arial" w:cstheme="minorHAnsi"/>
                <w:spacing w:val="2"/>
                <w:w w:val="101"/>
                <w:szCs w:val="18"/>
              </w:rPr>
              <w:t>r</w:t>
            </w:r>
            <w:r>
              <w:rPr>
                <w:rFonts w:eastAsia="Arial" w:cstheme="minorHAnsi"/>
                <w:spacing w:val="-2"/>
                <w:w w:val="101"/>
                <w:szCs w:val="18"/>
              </w:rPr>
              <w:t>i</w:t>
            </w:r>
            <w:r>
              <w:rPr>
                <w:rFonts w:eastAsia="Arial" w:cstheme="minorHAnsi"/>
                <w:w w:val="101"/>
                <w:szCs w:val="18"/>
              </w:rPr>
              <w:t>v</w:t>
            </w:r>
            <w:r>
              <w:rPr>
                <w:rFonts w:eastAsia="Arial" w:cstheme="minorHAnsi"/>
                <w:spacing w:val="-5"/>
                <w:w w:val="101"/>
                <w:szCs w:val="18"/>
              </w:rPr>
              <w:t>n</w:t>
            </w:r>
            <w:r>
              <w:rPr>
                <w:rFonts w:eastAsia="Arial" w:cstheme="minorHAnsi"/>
                <w:spacing w:val="3"/>
                <w:w w:val="101"/>
                <w:szCs w:val="18"/>
              </w:rPr>
              <w:t>i</w:t>
            </w:r>
            <w:r>
              <w:rPr>
                <w:rFonts w:eastAsia="Arial" w:cstheme="minorHAnsi"/>
                <w:w w:val="101"/>
                <w:szCs w:val="18"/>
              </w:rPr>
              <w:t>ca</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44F57DB2" w14:textId="706C10F6" w:rsidR="008878A0" w:rsidRDefault="008878A0" w:rsidP="00B61330">
            <w:pPr>
              <w:spacing w:before="17"/>
              <w:ind w:left="527"/>
              <w:jc w:val="center"/>
              <w:rPr>
                <w:rFonts w:eastAsia="Arial"/>
              </w:rPr>
            </w:pPr>
            <w:r w:rsidRPr="07E5E1E8">
              <w:rPr>
                <w:rFonts w:eastAsia="Arial"/>
                <w:spacing w:val="-1"/>
                <w:w w:val="101"/>
              </w:rPr>
              <w:t>7</w:t>
            </w:r>
            <w:r w:rsidRPr="07E5E1E8">
              <w:rPr>
                <w:rFonts w:eastAsia="Arial"/>
                <w:w w:val="101"/>
              </w:rPr>
              <w:t>6</w:t>
            </w:r>
            <w:r w:rsidR="5EFE2008" w:rsidRPr="07E5E1E8">
              <w:rPr>
                <w:rFonts w:eastAsia="Arial"/>
                <w:w w:val="101"/>
              </w:rPr>
              <w:t>9</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18E401A3" w14:textId="4E9FBAD2" w:rsidR="008878A0" w:rsidRDefault="008878A0" w:rsidP="00B61330">
            <w:pPr>
              <w:spacing w:before="17"/>
              <w:ind w:left="292"/>
              <w:jc w:val="center"/>
              <w:rPr>
                <w:rFonts w:eastAsia="Arial"/>
                <w:b/>
                <w:bCs/>
              </w:rPr>
            </w:pPr>
            <w:r w:rsidRPr="07E5E1E8">
              <w:rPr>
                <w:rFonts w:eastAsia="Arial"/>
                <w:b/>
                <w:bCs/>
                <w:spacing w:val="-1"/>
                <w:w w:val="101"/>
              </w:rPr>
              <w:t>2</w:t>
            </w:r>
            <w:r w:rsidR="261A4001" w:rsidRPr="07E5E1E8">
              <w:rPr>
                <w:rFonts w:eastAsia="Arial"/>
                <w:b/>
                <w:bCs/>
                <w:spacing w:val="-1"/>
                <w:w w:val="101"/>
              </w:rPr>
              <w:t>4</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7E1F9A3C"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5</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1D6CEFB4" w14:textId="3C3D2431" w:rsidR="008878A0" w:rsidRDefault="0EC3447A" w:rsidP="00B61330">
            <w:pPr>
              <w:spacing w:before="17"/>
              <w:ind w:left="489"/>
              <w:jc w:val="center"/>
              <w:rPr>
                <w:rFonts w:eastAsia="Arial"/>
              </w:rPr>
            </w:pPr>
            <w:r w:rsidRPr="07E5E1E8">
              <w:rPr>
                <w:rFonts w:eastAsia="Arial"/>
                <w:spacing w:val="2"/>
                <w:w w:val="101"/>
              </w:rPr>
              <w:t>9</w:t>
            </w:r>
            <w:r w:rsidR="008878A0" w:rsidRPr="07E5E1E8">
              <w:rPr>
                <w:rFonts w:eastAsia="Arial"/>
                <w:spacing w:val="2"/>
                <w:w w:val="101"/>
              </w:rPr>
              <w:t>.</w:t>
            </w:r>
            <w:r w:rsidR="2C729D4B" w:rsidRPr="07E5E1E8">
              <w:rPr>
                <w:rFonts w:eastAsia="Arial"/>
                <w:spacing w:val="2"/>
                <w:w w:val="101"/>
              </w:rPr>
              <w:t>119</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77348243"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5</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3476352F" w14:textId="09F726B5" w:rsidR="008878A0" w:rsidRDefault="008878A0" w:rsidP="00B61330">
            <w:pPr>
              <w:spacing w:before="17"/>
              <w:ind w:left="306"/>
              <w:jc w:val="center"/>
              <w:rPr>
                <w:rFonts w:eastAsia="Arial"/>
              </w:rPr>
            </w:pPr>
            <w:r w:rsidRPr="07E5E1E8">
              <w:rPr>
                <w:rFonts w:eastAsia="Arial"/>
                <w:spacing w:val="-1"/>
                <w:w w:val="101"/>
              </w:rPr>
              <w:t>5</w:t>
            </w:r>
            <w:r w:rsidRPr="07E5E1E8">
              <w:rPr>
                <w:rFonts w:eastAsia="Arial"/>
                <w:spacing w:val="2"/>
                <w:w w:val="101"/>
              </w:rPr>
              <w:t>.</w:t>
            </w:r>
            <w:r w:rsidRPr="07E5E1E8">
              <w:rPr>
                <w:rFonts w:eastAsia="Arial"/>
                <w:spacing w:val="-1"/>
                <w:w w:val="101"/>
              </w:rPr>
              <w:t>9</w:t>
            </w:r>
            <w:r w:rsidR="4266741C" w:rsidRPr="07E5E1E8">
              <w:rPr>
                <w:rFonts w:eastAsia="Arial"/>
                <w:spacing w:val="-1"/>
                <w:w w:val="101"/>
              </w:rPr>
              <w:t>31</w:t>
            </w:r>
            <w:r w:rsidRPr="07E5E1E8">
              <w:rPr>
                <w:rFonts w:eastAsia="Arial"/>
                <w:spacing w:val="2"/>
                <w:w w:val="101"/>
              </w:rPr>
              <w:t>.</w:t>
            </w:r>
            <w:r w:rsidR="49130DFD" w:rsidRPr="07E5E1E8">
              <w:rPr>
                <w:rFonts w:eastAsia="Arial"/>
                <w:spacing w:val="2"/>
                <w:w w:val="101"/>
              </w:rPr>
              <w:t>359</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35E314D5"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7</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63A2F12A" w14:textId="00694FF1" w:rsidR="008878A0" w:rsidRDefault="008878A0" w:rsidP="00B61330">
            <w:pPr>
              <w:spacing w:before="17"/>
              <w:ind w:left="402"/>
              <w:jc w:val="center"/>
              <w:rPr>
                <w:rFonts w:eastAsia="Arial"/>
              </w:rPr>
            </w:pPr>
            <w:r w:rsidRPr="07E5E1E8">
              <w:rPr>
                <w:rFonts w:eastAsia="Arial"/>
                <w:spacing w:val="-1"/>
                <w:w w:val="101"/>
              </w:rPr>
              <w:t>25</w:t>
            </w:r>
            <w:r w:rsidR="270D132B" w:rsidRPr="07E5E1E8">
              <w:rPr>
                <w:rFonts w:eastAsia="Arial"/>
                <w:spacing w:val="-1"/>
                <w:w w:val="101"/>
              </w:rPr>
              <w:t>6</w:t>
            </w:r>
            <w:r w:rsidR="6069C8BF" w:rsidRPr="07E5E1E8">
              <w:rPr>
                <w:rFonts w:eastAsia="Arial"/>
                <w:spacing w:val="-1"/>
                <w:w w:val="101"/>
              </w:rPr>
              <w:t>.295</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7D0AC487" w14:textId="5D3D2FB8" w:rsidR="008878A0" w:rsidRDefault="008878A0" w:rsidP="00B61330">
            <w:pPr>
              <w:spacing w:before="17"/>
              <w:ind w:left="297"/>
              <w:jc w:val="center"/>
              <w:rPr>
                <w:rFonts w:eastAsia="Arial"/>
                <w:b/>
                <w:bCs/>
              </w:rPr>
            </w:pPr>
            <w:r w:rsidRPr="07E5E1E8">
              <w:rPr>
                <w:rFonts w:eastAsia="Arial"/>
                <w:b/>
                <w:bCs/>
                <w:spacing w:val="-1"/>
                <w:w w:val="101"/>
              </w:rPr>
              <w:t>1</w:t>
            </w:r>
            <w:r w:rsidR="1E6F55EA" w:rsidRPr="07E5E1E8">
              <w:rPr>
                <w:rFonts w:eastAsia="Arial"/>
                <w:b/>
                <w:bCs/>
                <w:spacing w:val="-1"/>
                <w:w w:val="101"/>
              </w:rPr>
              <w:t>3</w:t>
            </w:r>
          </w:p>
        </w:tc>
      </w:tr>
      <w:tr w:rsidR="008878A0" w14:paraId="0CB07C47" w14:textId="77777777" w:rsidTr="00B369AC">
        <w:trPr>
          <w:trHeight w:hRule="exact" w:val="275"/>
        </w:trPr>
        <w:tc>
          <w:tcPr>
            <w:tcW w:w="1266"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3E07989B" w14:textId="77777777" w:rsidR="008878A0" w:rsidRDefault="008878A0" w:rsidP="00941871">
            <w:pPr>
              <w:spacing w:before="17"/>
              <w:ind w:left="52"/>
              <w:rPr>
                <w:rFonts w:eastAsia="Arial" w:cstheme="minorHAnsi"/>
                <w:szCs w:val="18"/>
              </w:rPr>
            </w:pPr>
            <w:r>
              <w:rPr>
                <w:rFonts w:eastAsia="Arial" w:cstheme="minorHAnsi"/>
                <w:spacing w:val="-2"/>
                <w:w w:val="101"/>
                <w:szCs w:val="18"/>
              </w:rPr>
              <w:t>Š</w:t>
            </w:r>
            <w:r>
              <w:rPr>
                <w:rFonts w:eastAsia="Arial" w:cstheme="minorHAnsi"/>
                <w:spacing w:val="3"/>
                <w:w w:val="101"/>
                <w:szCs w:val="18"/>
              </w:rPr>
              <w:t>i</w:t>
            </w:r>
            <w:r>
              <w:rPr>
                <w:rFonts w:eastAsia="Arial" w:cstheme="minorHAnsi"/>
                <w:spacing w:val="-1"/>
                <w:w w:val="101"/>
                <w:szCs w:val="18"/>
              </w:rPr>
              <w:t>b</w:t>
            </w:r>
            <w:r>
              <w:rPr>
                <w:rFonts w:eastAsia="Arial" w:cstheme="minorHAnsi"/>
                <w:spacing w:val="-5"/>
                <w:w w:val="101"/>
                <w:szCs w:val="18"/>
              </w:rPr>
              <w:t>e</w:t>
            </w:r>
            <w:r>
              <w:rPr>
                <w:rFonts w:eastAsia="Arial" w:cstheme="minorHAnsi"/>
                <w:spacing w:val="-1"/>
                <w:w w:val="101"/>
                <w:szCs w:val="18"/>
              </w:rPr>
              <w:t>n</w:t>
            </w:r>
            <w:r>
              <w:rPr>
                <w:rFonts w:eastAsia="Arial" w:cstheme="minorHAnsi"/>
                <w:spacing w:val="3"/>
                <w:w w:val="101"/>
                <w:szCs w:val="18"/>
              </w:rPr>
              <w:t>i</w:t>
            </w:r>
            <w:r>
              <w:rPr>
                <w:rFonts w:eastAsia="Arial" w:cstheme="minorHAnsi"/>
                <w:w w:val="101"/>
                <w:szCs w:val="18"/>
              </w:rPr>
              <w:t>k</w:t>
            </w:r>
          </w:p>
        </w:tc>
        <w:tc>
          <w:tcPr>
            <w:tcW w:w="851"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44764FF8" w14:textId="2FB6952C" w:rsidR="008878A0" w:rsidRDefault="008878A0" w:rsidP="00B61330">
            <w:pPr>
              <w:spacing w:before="17"/>
              <w:ind w:left="378"/>
              <w:jc w:val="center"/>
              <w:rPr>
                <w:rFonts w:eastAsia="Arial"/>
              </w:rPr>
            </w:pPr>
            <w:r w:rsidRPr="07E5E1E8">
              <w:rPr>
                <w:rFonts w:eastAsia="Arial"/>
                <w:spacing w:val="-1"/>
                <w:w w:val="101"/>
              </w:rPr>
              <w:t>1</w:t>
            </w:r>
            <w:r w:rsidRPr="07E5E1E8">
              <w:rPr>
                <w:rFonts w:eastAsia="Arial"/>
                <w:spacing w:val="2"/>
                <w:w w:val="101"/>
              </w:rPr>
              <w:t>.</w:t>
            </w:r>
            <w:r w:rsidRPr="07E5E1E8">
              <w:rPr>
                <w:rFonts w:eastAsia="Arial"/>
                <w:spacing w:val="-1"/>
                <w:w w:val="101"/>
              </w:rPr>
              <w:t>2</w:t>
            </w:r>
            <w:r w:rsidR="24F97AE0" w:rsidRPr="07E5E1E8">
              <w:rPr>
                <w:rFonts w:eastAsia="Arial"/>
                <w:spacing w:val="-1"/>
                <w:w w:val="101"/>
              </w:rPr>
              <w:t>74</w:t>
            </w:r>
          </w:p>
        </w:tc>
        <w:tc>
          <w:tcPr>
            <w:tcW w:w="850"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09E6B8E2"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1</w:t>
            </w:r>
            <w:r>
              <w:rPr>
                <w:rFonts w:eastAsia="Arial" w:cstheme="minorHAnsi"/>
                <w:b/>
                <w:w w:val="101"/>
                <w:szCs w:val="18"/>
              </w:rPr>
              <w:t>3</w:t>
            </w:r>
          </w:p>
        </w:tc>
        <w:tc>
          <w:tcPr>
            <w:tcW w:w="851"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734F7D21"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0</w:t>
            </w:r>
          </w:p>
        </w:tc>
        <w:tc>
          <w:tcPr>
            <w:tcW w:w="992"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4B8062AF" w14:textId="7EAA4453" w:rsidR="008878A0" w:rsidRDefault="008878A0" w:rsidP="00B61330">
            <w:pPr>
              <w:spacing w:before="17"/>
              <w:ind w:left="489"/>
              <w:jc w:val="center"/>
              <w:rPr>
                <w:rFonts w:eastAsia="Arial"/>
              </w:rPr>
            </w:pPr>
            <w:r w:rsidRPr="07E5E1E8">
              <w:rPr>
                <w:rFonts w:eastAsia="Arial"/>
                <w:spacing w:val="-1"/>
                <w:w w:val="101"/>
              </w:rPr>
              <w:t>7</w:t>
            </w:r>
            <w:r w:rsidRPr="07E5E1E8">
              <w:rPr>
                <w:rFonts w:eastAsia="Arial"/>
                <w:spacing w:val="2"/>
                <w:w w:val="101"/>
              </w:rPr>
              <w:t>.</w:t>
            </w:r>
            <w:r w:rsidR="1F61926F" w:rsidRPr="07E5E1E8">
              <w:rPr>
                <w:rFonts w:eastAsia="Arial"/>
                <w:spacing w:val="2"/>
                <w:w w:val="101"/>
              </w:rPr>
              <w:t>866</w:t>
            </w:r>
          </w:p>
        </w:tc>
        <w:tc>
          <w:tcPr>
            <w:tcW w:w="709"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1756AB9E" w14:textId="3667E78A" w:rsidR="008878A0" w:rsidRDefault="008878A0" w:rsidP="00B61330">
            <w:pPr>
              <w:spacing w:before="17"/>
              <w:ind w:left="292"/>
              <w:jc w:val="center"/>
              <w:rPr>
                <w:rFonts w:eastAsia="Arial"/>
                <w:b/>
                <w:bCs/>
              </w:rPr>
            </w:pPr>
            <w:r w:rsidRPr="07E5E1E8">
              <w:rPr>
                <w:rFonts w:eastAsia="Arial"/>
                <w:b/>
                <w:bCs/>
                <w:spacing w:val="-1"/>
                <w:w w:val="101"/>
              </w:rPr>
              <w:t>1</w:t>
            </w:r>
            <w:r w:rsidR="1737A994" w:rsidRPr="07E5E1E8">
              <w:rPr>
                <w:rFonts w:eastAsia="Arial"/>
                <w:b/>
                <w:bCs/>
                <w:spacing w:val="-1"/>
                <w:w w:val="101"/>
              </w:rPr>
              <w:t>9</w:t>
            </w:r>
          </w:p>
        </w:tc>
        <w:tc>
          <w:tcPr>
            <w:tcW w:w="1275"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73029048" w14:textId="642FFBDB" w:rsidR="008878A0" w:rsidRDefault="008878A0" w:rsidP="00B61330">
            <w:pPr>
              <w:spacing w:before="17"/>
              <w:ind w:left="306"/>
              <w:jc w:val="center"/>
              <w:rPr>
                <w:rFonts w:eastAsia="Arial"/>
              </w:rPr>
            </w:pPr>
            <w:r w:rsidRPr="07E5E1E8">
              <w:rPr>
                <w:rFonts w:eastAsia="Arial"/>
                <w:spacing w:val="-1"/>
                <w:w w:val="101"/>
              </w:rPr>
              <w:t>4</w:t>
            </w:r>
            <w:r w:rsidRPr="07E5E1E8">
              <w:rPr>
                <w:rFonts w:eastAsia="Arial"/>
                <w:spacing w:val="2"/>
                <w:w w:val="101"/>
              </w:rPr>
              <w:t>.</w:t>
            </w:r>
            <w:r w:rsidR="09F837C5" w:rsidRPr="07E5E1E8">
              <w:rPr>
                <w:rFonts w:eastAsia="Arial"/>
                <w:spacing w:val="-1"/>
                <w:w w:val="101"/>
              </w:rPr>
              <w:t>953</w:t>
            </w:r>
            <w:r w:rsidRPr="07E5E1E8">
              <w:rPr>
                <w:rFonts w:eastAsia="Arial"/>
                <w:spacing w:val="2"/>
                <w:w w:val="101"/>
              </w:rPr>
              <w:t>.</w:t>
            </w:r>
            <w:r w:rsidR="450F6EF5" w:rsidRPr="07E5E1E8">
              <w:rPr>
                <w:rFonts w:eastAsia="Arial"/>
                <w:spacing w:val="2"/>
                <w:w w:val="101"/>
              </w:rPr>
              <w:t>296</w:t>
            </w:r>
          </w:p>
        </w:tc>
        <w:tc>
          <w:tcPr>
            <w:tcW w:w="567"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446609B9"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2</w:t>
            </w:r>
            <w:r>
              <w:rPr>
                <w:rFonts w:eastAsia="Arial" w:cstheme="minorHAnsi"/>
                <w:b/>
                <w:w w:val="101"/>
                <w:szCs w:val="18"/>
              </w:rPr>
              <w:t>0</w:t>
            </w:r>
          </w:p>
        </w:tc>
        <w:tc>
          <w:tcPr>
            <w:tcW w:w="1134"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198FE9E2" w14:textId="77777777" w:rsidR="008878A0" w:rsidRDefault="3A671A0A" w:rsidP="00B61330">
            <w:pPr>
              <w:spacing w:before="17"/>
              <w:ind w:left="503"/>
              <w:jc w:val="center"/>
              <w:rPr>
                <w:rFonts w:eastAsia="Arial"/>
              </w:rPr>
            </w:pPr>
            <w:r w:rsidRPr="07E5E1E8">
              <w:rPr>
                <w:rFonts w:eastAsia="Arial"/>
              </w:rPr>
              <w:t>67.243</w:t>
            </w:r>
          </w:p>
        </w:tc>
        <w:tc>
          <w:tcPr>
            <w:tcW w:w="851" w:type="dxa"/>
            <w:tcBorders>
              <w:top w:val="single" w:sz="8" w:space="0" w:color="F3CFC1"/>
              <w:left w:val="single" w:sz="8" w:space="0" w:color="D2232A" w:themeColor="accent1"/>
              <w:bottom w:val="single" w:sz="4" w:space="0" w:color="FBE8E8" w:themeColor="accent6" w:themeTint="33"/>
              <w:right w:val="single" w:sz="8" w:space="0" w:color="D2232A" w:themeColor="accent1"/>
            </w:tcBorders>
            <w:hideMark/>
          </w:tcPr>
          <w:p w14:paraId="410C3740" w14:textId="77777777" w:rsidR="008878A0" w:rsidRDefault="316A5A4E" w:rsidP="00B61330">
            <w:pPr>
              <w:spacing w:before="17"/>
              <w:ind w:left="196"/>
              <w:jc w:val="center"/>
              <w:rPr>
                <w:rFonts w:eastAsia="Arial"/>
                <w:b/>
                <w:bCs/>
              </w:rPr>
            </w:pPr>
            <w:r w:rsidRPr="07E5E1E8">
              <w:rPr>
                <w:rFonts w:eastAsia="Arial"/>
                <w:b/>
                <w:bCs/>
                <w:spacing w:val="-1"/>
                <w:w w:val="101"/>
              </w:rPr>
              <w:t>48</w:t>
            </w:r>
          </w:p>
        </w:tc>
      </w:tr>
      <w:tr w:rsidR="008878A0" w14:paraId="132F5435" w14:textId="77777777" w:rsidTr="00B369AC">
        <w:trPr>
          <w:trHeight w:hRule="exact" w:val="275"/>
        </w:trPr>
        <w:tc>
          <w:tcPr>
            <w:tcW w:w="1266"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699C6417" w14:textId="77777777" w:rsidR="008878A0" w:rsidRDefault="008878A0" w:rsidP="00941871">
            <w:pPr>
              <w:spacing w:before="17"/>
              <w:ind w:left="52"/>
              <w:rPr>
                <w:rFonts w:eastAsia="Arial" w:cstheme="minorHAnsi"/>
                <w:szCs w:val="18"/>
              </w:rPr>
            </w:pPr>
            <w:r>
              <w:rPr>
                <w:rFonts w:eastAsia="Arial" w:cstheme="minorHAnsi"/>
                <w:spacing w:val="-2"/>
                <w:w w:val="101"/>
                <w:szCs w:val="18"/>
              </w:rPr>
              <w:t>B</w:t>
            </w:r>
            <w:r>
              <w:rPr>
                <w:rFonts w:eastAsia="Arial" w:cstheme="minorHAnsi"/>
                <w:spacing w:val="3"/>
                <w:w w:val="101"/>
                <w:szCs w:val="18"/>
              </w:rPr>
              <w:t>j</w:t>
            </w:r>
            <w:r>
              <w:rPr>
                <w:rFonts w:eastAsia="Arial" w:cstheme="minorHAnsi"/>
                <w:spacing w:val="-5"/>
                <w:w w:val="101"/>
                <w:szCs w:val="18"/>
              </w:rPr>
              <w:t>e</w:t>
            </w:r>
            <w:r>
              <w:rPr>
                <w:rFonts w:eastAsia="Arial" w:cstheme="minorHAnsi"/>
                <w:spacing w:val="3"/>
                <w:w w:val="101"/>
                <w:szCs w:val="18"/>
              </w:rPr>
              <w:t>l</w:t>
            </w:r>
            <w:r>
              <w:rPr>
                <w:rFonts w:eastAsia="Arial" w:cstheme="minorHAnsi"/>
                <w:spacing w:val="-1"/>
                <w:w w:val="101"/>
                <w:szCs w:val="18"/>
              </w:rPr>
              <w:t>o</w:t>
            </w:r>
            <w:r>
              <w:rPr>
                <w:rFonts w:eastAsia="Arial" w:cstheme="minorHAnsi"/>
                <w:w w:val="101"/>
                <w:szCs w:val="18"/>
              </w:rPr>
              <w:t>v</w:t>
            </w:r>
            <w:r>
              <w:rPr>
                <w:rFonts w:eastAsia="Arial" w:cstheme="minorHAnsi"/>
                <w:spacing w:val="-5"/>
                <w:w w:val="101"/>
                <w:szCs w:val="18"/>
              </w:rPr>
              <w:t>a</w:t>
            </w:r>
            <w:r>
              <w:rPr>
                <w:rFonts w:eastAsia="Arial" w:cstheme="minorHAnsi"/>
                <w:w w:val="101"/>
                <w:szCs w:val="18"/>
              </w:rPr>
              <w:t>r</w:t>
            </w:r>
          </w:p>
        </w:tc>
        <w:tc>
          <w:tcPr>
            <w:tcW w:w="851"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2FB8BE51" w14:textId="3E573564" w:rsidR="008878A0" w:rsidRDefault="008878A0" w:rsidP="00B61330">
            <w:pPr>
              <w:spacing w:before="17"/>
              <w:ind w:left="378"/>
              <w:jc w:val="center"/>
              <w:rPr>
                <w:rFonts w:eastAsia="Arial"/>
              </w:rPr>
            </w:pPr>
            <w:r w:rsidRPr="07E5E1E8">
              <w:rPr>
                <w:rFonts w:eastAsia="Arial"/>
                <w:spacing w:val="-1"/>
                <w:w w:val="101"/>
              </w:rPr>
              <w:t>1</w:t>
            </w:r>
            <w:r w:rsidRPr="07E5E1E8">
              <w:rPr>
                <w:rFonts w:eastAsia="Arial"/>
                <w:spacing w:val="2"/>
                <w:w w:val="101"/>
              </w:rPr>
              <w:t>.</w:t>
            </w:r>
            <w:r w:rsidRPr="07E5E1E8">
              <w:rPr>
                <w:rFonts w:eastAsia="Arial"/>
                <w:spacing w:val="-1"/>
                <w:w w:val="101"/>
              </w:rPr>
              <w:t>0</w:t>
            </w:r>
            <w:r w:rsidR="2AE42C75" w:rsidRPr="07E5E1E8">
              <w:rPr>
                <w:rFonts w:eastAsia="Arial"/>
                <w:spacing w:val="-1"/>
                <w:w w:val="101"/>
              </w:rPr>
              <w:t>96</w:t>
            </w:r>
          </w:p>
        </w:tc>
        <w:tc>
          <w:tcPr>
            <w:tcW w:w="850"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5D69FBD8" w14:textId="4BB1D9E4" w:rsidR="008878A0" w:rsidRDefault="008878A0" w:rsidP="00B61330">
            <w:pPr>
              <w:spacing w:before="17"/>
              <w:ind w:left="292"/>
              <w:jc w:val="center"/>
              <w:rPr>
                <w:rFonts w:eastAsia="Arial"/>
                <w:b/>
                <w:bCs/>
              </w:rPr>
            </w:pPr>
            <w:r w:rsidRPr="07E5E1E8">
              <w:rPr>
                <w:rFonts w:eastAsia="Arial"/>
                <w:b/>
                <w:bCs/>
                <w:spacing w:val="-1"/>
                <w:w w:val="101"/>
              </w:rPr>
              <w:t>1</w:t>
            </w:r>
            <w:r w:rsidR="36171544" w:rsidRPr="07E5E1E8">
              <w:rPr>
                <w:rFonts w:eastAsia="Arial"/>
                <w:b/>
                <w:bCs/>
                <w:spacing w:val="-1"/>
                <w:w w:val="101"/>
              </w:rPr>
              <w:t>6</w:t>
            </w:r>
          </w:p>
        </w:tc>
        <w:tc>
          <w:tcPr>
            <w:tcW w:w="851"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45EF862E"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3</w:t>
            </w:r>
          </w:p>
        </w:tc>
        <w:tc>
          <w:tcPr>
            <w:tcW w:w="992"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10FB5E18" w14:textId="34E05DAE" w:rsidR="008878A0" w:rsidRDefault="008878A0" w:rsidP="00B61330">
            <w:pPr>
              <w:spacing w:before="17"/>
              <w:ind w:left="489"/>
              <w:jc w:val="center"/>
              <w:rPr>
                <w:rFonts w:eastAsia="Arial"/>
              </w:rPr>
            </w:pPr>
            <w:r w:rsidRPr="07E5E1E8">
              <w:rPr>
                <w:rFonts w:eastAsia="Arial"/>
                <w:spacing w:val="-1"/>
                <w:w w:val="101"/>
              </w:rPr>
              <w:t>7</w:t>
            </w:r>
            <w:r w:rsidRPr="07E5E1E8">
              <w:rPr>
                <w:rFonts w:eastAsia="Arial"/>
                <w:spacing w:val="2"/>
                <w:w w:val="101"/>
              </w:rPr>
              <w:t>.</w:t>
            </w:r>
            <w:r w:rsidR="59ED577A" w:rsidRPr="07E5E1E8">
              <w:rPr>
                <w:rFonts w:eastAsia="Arial"/>
                <w:spacing w:val="2"/>
                <w:w w:val="101"/>
              </w:rPr>
              <w:t>974</w:t>
            </w:r>
          </w:p>
        </w:tc>
        <w:tc>
          <w:tcPr>
            <w:tcW w:w="709"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165567DB" w14:textId="2792228D" w:rsidR="008878A0" w:rsidRDefault="008878A0" w:rsidP="00B61330">
            <w:pPr>
              <w:spacing w:before="17"/>
              <w:ind w:left="292"/>
              <w:jc w:val="center"/>
              <w:rPr>
                <w:rFonts w:eastAsia="Arial"/>
                <w:b/>
                <w:bCs/>
              </w:rPr>
            </w:pPr>
            <w:r w:rsidRPr="07E5E1E8">
              <w:rPr>
                <w:rFonts w:eastAsia="Arial"/>
                <w:b/>
                <w:bCs/>
                <w:spacing w:val="-1"/>
                <w:w w:val="101"/>
              </w:rPr>
              <w:t>1</w:t>
            </w:r>
            <w:r w:rsidR="108A1739" w:rsidRPr="07E5E1E8">
              <w:rPr>
                <w:rFonts w:eastAsia="Arial"/>
                <w:b/>
                <w:bCs/>
                <w:spacing w:val="-1"/>
                <w:w w:val="101"/>
              </w:rPr>
              <w:t>8</w:t>
            </w:r>
          </w:p>
        </w:tc>
        <w:tc>
          <w:tcPr>
            <w:tcW w:w="1275"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657E0BAE" w14:textId="315CE99C" w:rsidR="008878A0" w:rsidRDefault="008878A0" w:rsidP="00B61330">
            <w:pPr>
              <w:spacing w:before="17"/>
              <w:ind w:left="306"/>
              <w:jc w:val="center"/>
              <w:rPr>
                <w:rFonts w:eastAsia="Arial"/>
              </w:rPr>
            </w:pPr>
            <w:r w:rsidRPr="07E5E1E8">
              <w:rPr>
                <w:rFonts w:eastAsia="Arial"/>
                <w:spacing w:val="-1"/>
                <w:w w:val="101"/>
              </w:rPr>
              <w:t>4</w:t>
            </w:r>
            <w:r w:rsidRPr="07E5E1E8">
              <w:rPr>
                <w:rFonts w:eastAsia="Arial"/>
                <w:spacing w:val="2"/>
                <w:w w:val="101"/>
              </w:rPr>
              <w:t>.</w:t>
            </w:r>
            <w:r w:rsidRPr="07E5E1E8">
              <w:rPr>
                <w:rFonts w:eastAsia="Arial"/>
                <w:spacing w:val="-1"/>
                <w:w w:val="101"/>
              </w:rPr>
              <w:t>2</w:t>
            </w:r>
            <w:r w:rsidR="0712B579" w:rsidRPr="07E5E1E8">
              <w:rPr>
                <w:rFonts w:eastAsia="Arial"/>
                <w:spacing w:val="-1"/>
                <w:w w:val="101"/>
              </w:rPr>
              <w:t>70</w:t>
            </w:r>
            <w:r w:rsidRPr="07E5E1E8">
              <w:rPr>
                <w:rFonts w:eastAsia="Arial"/>
                <w:spacing w:val="2"/>
                <w:w w:val="101"/>
              </w:rPr>
              <w:t>.</w:t>
            </w:r>
            <w:r w:rsidR="55E03AC5" w:rsidRPr="07E5E1E8">
              <w:rPr>
                <w:rFonts w:eastAsia="Arial"/>
                <w:spacing w:val="2"/>
                <w:w w:val="101"/>
              </w:rPr>
              <w:t>134</w:t>
            </w:r>
          </w:p>
        </w:tc>
        <w:tc>
          <w:tcPr>
            <w:tcW w:w="567"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2F930B39"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2</w:t>
            </w:r>
            <w:r>
              <w:rPr>
                <w:rFonts w:eastAsia="Arial" w:cstheme="minorHAnsi"/>
                <w:b/>
                <w:w w:val="101"/>
                <w:szCs w:val="18"/>
              </w:rPr>
              <w:t>2</w:t>
            </w:r>
          </w:p>
        </w:tc>
        <w:tc>
          <w:tcPr>
            <w:tcW w:w="1134"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37224A99" w14:textId="77777777" w:rsidR="008878A0" w:rsidRDefault="67EB2C35" w:rsidP="00B61330">
            <w:pPr>
              <w:spacing w:before="17"/>
              <w:ind w:left="503"/>
              <w:jc w:val="center"/>
              <w:rPr>
                <w:rFonts w:eastAsia="Arial"/>
              </w:rPr>
            </w:pPr>
            <w:r w:rsidRPr="07E5E1E8">
              <w:rPr>
                <w:rFonts w:eastAsia="Arial"/>
                <w:spacing w:val="-1"/>
                <w:w w:val="101"/>
              </w:rPr>
              <w:t>37.246</w:t>
            </w:r>
          </w:p>
        </w:tc>
        <w:tc>
          <w:tcPr>
            <w:tcW w:w="851" w:type="dxa"/>
            <w:tcBorders>
              <w:top w:val="single" w:sz="4" w:space="0" w:color="FBE8E8" w:themeColor="accent6" w:themeTint="33"/>
              <w:left w:val="single" w:sz="8" w:space="0" w:color="D2232A" w:themeColor="accent1"/>
              <w:bottom w:val="single" w:sz="8" w:space="0" w:color="F3CFC1"/>
              <w:right w:val="single" w:sz="8" w:space="0" w:color="D2232A" w:themeColor="accent1"/>
            </w:tcBorders>
            <w:hideMark/>
          </w:tcPr>
          <w:p w14:paraId="39948E99" w14:textId="77777777" w:rsidR="008878A0" w:rsidRDefault="64939466" w:rsidP="00B61330">
            <w:pPr>
              <w:spacing w:before="17"/>
              <w:ind w:left="297"/>
              <w:jc w:val="center"/>
              <w:rPr>
                <w:rFonts w:eastAsia="Arial"/>
                <w:b/>
                <w:bCs/>
              </w:rPr>
            </w:pPr>
            <w:r w:rsidRPr="07E5E1E8">
              <w:rPr>
                <w:rFonts w:eastAsia="Arial"/>
                <w:b/>
                <w:bCs/>
                <w:spacing w:val="-1"/>
                <w:w w:val="101"/>
              </w:rPr>
              <w:t>76</w:t>
            </w:r>
          </w:p>
        </w:tc>
      </w:tr>
      <w:tr w:rsidR="008878A0" w14:paraId="23A18008" w14:textId="77777777" w:rsidTr="00B369AC">
        <w:trPr>
          <w:trHeight w:hRule="exact" w:val="275"/>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19BE39D1" w14:textId="77777777" w:rsidR="008878A0" w:rsidRDefault="008878A0" w:rsidP="00941871">
            <w:pPr>
              <w:spacing w:before="17"/>
              <w:ind w:left="52"/>
              <w:rPr>
                <w:rFonts w:eastAsia="Arial" w:cstheme="minorHAnsi"/>
                <w:szCs w:val="18"/>
              </w:rPr>
            </w:pPr>
            <w:r>
              <w:rPr>
                <w:rFonts w:eastAsia="Arial" w:cstheme="minorHAnsi"/>
                <w:spacing w:val="-2"/>
                <w:w w:val="101"/>
                <w:szCs w:val="18"/>
              </w:rPr>
              <w:t>S</w:t>
            </w:r>
            <w:r>
              <w:rPr>
                <w:rFonts w:eastAsia="Arial" w:cstheme="minorHAnsi"/>
                <w:spacing w:val="3"/>
                <w:w w:val="101"/>
                <w:szCs w:val="18"/>
              </w:rPr>
              <w:t>i</w:t>
            </w:r>
            <w:r>
              <w:rPr>
                <w:rFonts w:eastAsia="Arial" w:cstheme="minorHAnsi"/>
                <w:w w:val="101"/>
                <w:szCs w:val="18"/>
              </w:rPr>
              <w:t>s</w:t>
            </w:r>
            <w:r>
              <w:rPr>
                <w:rFonts w:eastAsia="Arial" w:cstheme="minorHAnsi"/>
                <w:spacing w:val="-1"/>
                <w:w w:val="101"/>
                <w:szCs w:val="18"/>
              </w:rPr>
              <w:t>a</w:t>
            </w:r>
            <w:r>
              <w:rPr>
                <w:rFonts w:eastAsia="Arial" w:cstheme="minorHAnsi"/>
                <w:w w:val="101"/>
                <w:szCs w:val="18"/>
              </w:rPr>
              <w:t>k</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31BCC21F" w14:textId="66950BF3" w:rsidR="008878A0" w:rsidRDefault="008878A0" w:rsidP="00B61330">
            <w:pPr>
              <w:spacing w:before="17"/>
              <w:ind w:left="527"/>
              <w:jc w:val="center"/>
              <w:rPr>
                <w:rFonts w:eastAsia="Arial"/>
              </w:rPr>
            </w:pPr>
            <w:r w:rsidRPr="07E5E1E8">
              <w:rPr>
                <w:rFonts w:eastAsia="Arial"/>
                <w:spacing w:val="-1"/>
                <w:w w:val="101"/>
              </w:rPr>
              <w:t>8</w:t>
            </w:r>
            <w:r w:rsidR="687A674C" w:rsidRPr="07E5E1E8">
              <w:rPr>
                <w:rFonts w:eastAsia="Arial"/>
                <w:spacing w:val="-1"/>
                <w:w w:val="101"/>
              </w:rPr>
              <w:t>66</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316FE5C5" w14:textId="403B2264" w:rsidR="008878A0" w:rsidRDefault="008878A0" w:rsidP="00B61330">
            <w:pPr>
              <w:spacing w:before="17"/>
              <w:ind w:left="292"/>
              <w:jc w:val="center"/>
              <w:rPr>
                <w:rFonts w:eastAsia="Arial"/>
                <w:b/>
                <w:bCs/>
              </w:rPr>
            </w:pPr>
            <w:r w:rsidRPr="07E5E1E8">
              <w:rPr>
                <w:rFonts w:eastAsia="Arial"/>
                <w:b/>
                <w:bCs/>
                <w:spacing w:val="-1"/>
                <w:w w:val="101"/>
              </w:rPr>
              <w:t>2</w:t>
            </w:r>
            <w:r w:rsidR="2098942D" w:rsidRPr="07E5E1E8">
              <w:rPr>
                <w:rFonts w:eastAsia="Arial"/>
                <w:b/>
                <w:bCs/>
                <w:spacing w:val="-1"/>
                <w:w w:val="101"/>
              </w:rPr>
              <w:t>0</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2CCE8D7C"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4</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0B169C80" w14:textId="77777777" w:rsidR="008878A0" w:rsidRDefault="32D66B70" w:rsidP="00B61330">
            <w:pPr>
              <w:spacing w:before="17"/>
              <w:ind w:left="489"/>
              <w:jc w:val="center"/>
              <w:rPr>
                <w:rFonts w:eastAsia="Arial"/>
              </w:rPr>
            </w:pPr>
            <w:r w:rsidRPr="07E5E1E8">
              <w:rPr>
                <w:rFonts w:eastAsia="Arial"/>
                <w:spacing w:val="-1"/>
                <w:w w:val="101"/>
              </w:rPr>
              <w:t>6.073</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7D7E94CA" w14:textId="3AA8C113" w:rsidR="008878A0" w:rsidRDefault="008878A0" w:rsidP="00B61330">
            <w:pPr>
              <w:spacing w:before="17"/>
              <w:ind w:left="292"/>
              <w:jc w:val="center"/>
              <w:rPr>
                <w:rFonts w:eastAsia="Arial"/>
                <w:b/>
                <w:bCs/>
              </w:rPr>
            </w:pPr>
            <w:r w:rsidRPr="07E5E1E8">
              <w:rPr>
                <w:rFonts w:eastAsia="Arial"/>
                <w:b/>
                <w:bCs/>
                <w:spacing w:val="-1"/>
                <w:w w:val="101"/>
              </w:rPr>
              <w:t>2</w:t>
            </w:r>
            <w:r w:rsidR="4FE8D1E1" w:rsidRPr="07E5E1E8">
              <w:rPr>
                <w:rFonts w:eastAsia="Arial"/>
                <w:b/>
                <w:bCs/>
                <w:spacing w:val="-1"/>
                <w:w w:val="101"/>
              </w:rPr>
              <w:t>0</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7C1F15B8" w14:textId="34FFDC2F" w:rsidR="008878A0" w:rsidRDefault="008878A0" w:rsidP="00B61330">
            <w:pPr>
              <w:spacing w:before="17"/>
              <w:ind w:left="306"/>
              <w:jc w:val="center"/>
              <w:rPr>
                <w:rFonts w:eastAsia="Arial"/>
              </w:rPr>
            </w:pPr>
            <w:r w:rsidRPr="07E5E1E8">
              <w:rPr>
                <w:rFonts w:eastAsia="Arial"/>
                <w:spacing w:val="-1"/>
                <w:w w:val="101"/>
              </w:rPr>
              <w:t>3</w:t>
            </w:r>
            <w:r w:rsidRPr="07E5E1E8">
              <w:rPr>
                <w:rFonts w:eastAsia="Arial"/>
                <w:spacing w:val="2"/>
                <w:w w:val="101"/>
              </w:rPr>
              <w:t>.</w:t>
            </w:r>
            <w:r w:rsidR="5FEFF1BD" w:rsidRPr="07E5E1E8">
              <w:rPr>
                <w:rFonts w:eastAsia="Arial"/>
                <w:spacing w:val="-1"/>
                <w:w w:val="101"/>
              </w:rPr>
              <w:t>103</w:t>
            </w:r>
            <w:r w:rsidRPr="07E5E1E8">
              <w:rPr>
                <w:rFonts w:eastAsia="Arial"/>
                <w:spacing w:val="2"/>
                <w:w w:val="101"/>
              </w:rPr>
              <w:t>.</w:t>
            </w:r>
            <w:r w:rsidR="3D2BA000" w:rsidRPr="07E5E1E8">
              <w:rPr>
                <w:rFonts w:eastAsia="Arial"/>
                <w:spacing w:val="2"/>
                <w:w w:val="101"/>
              </w:rPr>
              <w:t>634</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4F913C4A"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2</w:t>
            </w:r>
            <w:r>
              <w:rPr>
                <w:rFonts w:eastAsia="Arial" w:cstheme="minorHAnsi"/>
                <w:b/>
                <w:w w:val="101"/>
                <w:szCs w:val="18"/>
              </w:rPr>
              <w:t>8</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11C2B3E2" w14:textId="52DE2232" w:rsidR="008878A0" w:rsidRDefault="4D27BF8F" w:rsidP="00B61330">
            <w:pPr>
              <w:spacing w:before="17"/>
              <w:ind w:left="503"/>
              <w:jc w:val="center"/>
              <w:rPr>
                <w:rFonts w:eastAsia="Arial"/>
              </w:rPr>
            </w:pPr>
            <w:r w:rsidRPr="07E5E1E8">
              <w:rPr>
                <w:rFonts w:eastAsia="Arial"/>
                <w:spacing w:val="-1"/>
                <w:w w:val="101"/>
              </w:rPr>
              <w:t>5</w:t>
            </w:r>
            <w:r w:rsidR="500E610F" w:rsidRPr="07E5E1E8">
              <w:rPr>
                <w:rFonts w:eastAsia="Arial"/>
                <w:spacing w:val="-1"/>
                <w:w w:val="101"/>
              </w:rPr>
              <w:t>.849</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757BA623" w14:textId="77777777" w:rsidR="008878A0" w:rsidRDefault="166E70A4" w:rsidP="00B61330">
            <w:pPr>
              <w:spacing w:before="17"/>
              <w:ind w:left="196"/>
              <w:jc w:val="center"/>
              <w:rPr>
                <w:rFonts w:eastAsia="Arial"/>
                <w:b/>
                <w:bCs/>
              </w:rPr>
            </w:pPr>
            <w:r w:rsidRPr="07E5E1E8">
              <w:rPr>
                <w:rFonts w:eastAsia="Arial"/>
                <w:b/>
                <w:bCs/>
                <w:spacing w:val="-1"/>
                <w:w w:val="101"/>
              </w:rPr>
              <w:t>239</w:t>
            </w:r>
          </w:p>
        </w:tc>
      </w:tr>
      <w:tr w:rsidR="008878A0" w14:paraId="6D82F8F4" w14:textId="77777777" w:rsidTr="00B369AC">
        <w:trPr>
          <w:trHeight w:hRule="exact" w:val="275"/>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05B97B5E" w14:textId="77777777" w:rsidR="008878A0" w:rsidRDefault="008878A0" w:rsidP="00941871">
            <w:pPr>
              <w:spacing w:before="17"/>
              <w:ind w:left="52"/>
              <w:rPr>
                <w:rFonts w:eastAsia="Arial" w:cstheme="minorHAnsi"/>
                <w:szCs w:val="18"/>
              </w:rPr>
            </w:pPr>
            <w:r>
              <w:rPr>
                <w:rFonts w:eastAsia="Arial" w:cstheme="minorHAnsi"/>
                <w:spacing w:val="-2"/>
                <w:w w:val="101"/>
                <w:szCs w:val="18"/>
              </w:rPr>
              <w:t>P</w:t>
            </w:r>
            <w:r>
              <w:rPr>
                <w:rFonts w:eastAsia="Arial" w:cstheme="minorHAnsi"/>
                <w:spacing w:val="-1"/>
                <w:w w:val="101"/>
                <w:szCs w:val="18"/>
              </w:rPr>
              <w:t>o</w:t>
            </w:r>
            <w:r>
              <w:rPr>
                <w:rFonts w:eastAsia="Arial" w:cstheme="minorHAnsi"/>
                <w:spacing w:val="-5"/>
                <w:w w:val="101"/>
                <w:szCs w:val="18"/>
              </w:rPr>
              <w:t>že</w:t>
            </w:r>
            <w:r>
              <w:rPr>
                <w:rFonts w:eastAsia="Arial" w:cstheme="minorHAnsi"/>
                <w:spacing w:val="-1"/>
                <w:w w:val="101"/>
                <w:szCs w:val="18"/>
              </w:rPr>
              <w:t>g</w:t>
            </w:r>
            <w:r>
              <w:rPr>
                <w:rFonts w:eastAsia="Arial" w:cstheme="minorHAnsi"/>
                <w:w w:val="101"/>
                <w:szCs w:val="18"/>
              </w:rPr>
              <w:t>a</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37BE6B10" w14:textId="56CB1DF9" w:rsidR="008878A0" w:rsidRDefault="008878A0" w:rsidP="00B61330">
            <w:pPr>
              <w:spacing w:before="17"/>
              <w:ind w:left="527"/>
              <w:jc w:val="center"/>
              <w:rPr>
                <w:rFonts w:eastAsia="Arial"/>
              </w:rPr>
            </w:pPr>
            <w:r w:rsidRPr="07E5E1E8">
              <w:rPr>
                <w:rFonts w:eastAsia="Arial"/>
                <w:spacing w:val="-1"/>
                <w:w w:val="101"/>
              </w:rPr>
              <w:t>4</w:t>
            </w:r>
            <w:r w:rsidR="69C7E7B6" w:rsidRPr="07E5E1E8">
              <w:rPr>
                <w:rFonts w:eastAsia="Arial"/>
                <w:spacing w:val="-1"/>
                <w:w w:val="101"/>
              </w:rPr>
              <w:t>51</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1F1E1B35" w14:textId="56B211C3" w:rsidR="008878A0" w:rsidRDefault="008878A0" w:rsidP="00B61330">
            <w:pPr>
              <w:spacing w:before="17"/>
              <w:ind w:left="292"/>
              <w:jc w:val="center"/>
              <w:rPr>
                <w:rFonts w:eastAsia="Arial"/>
                <w:b/>
                <w:bCs/>
              </w:rPr>
            </w:pPr>
            <w:r w:rsidRPr="07E5E1E8">
              <w:rPr>
                <w:rFonts w:eastAsia="Arial"/>
                <w:b/>
                <w:bCs/>
                <w:spacing w:val="-1"/>
                <w:w w:val="101"/>
              </w:rPr>
              <w:t>3</w:t>
            </w:r>
            <w:r w:rsidR="525CC5CB" w:rsidRPr="07E5E1E8">
              <w:rPr>
                <w:rFonts w:eastAsia="Arial"/>
                <w:b/>
                <w:bCs/>
                <w:spacing w:val="-1"/>
                <w:w w:val="101"/>
              </w:rPr>
              <w:t>9</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61068449"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7</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520DE206" w14:textId="2D452E20" w:rsidR="008878A0" w:rsidRDefault="008878A0" w:rsidP="00B61330">
            <w:pPr>
              <w:spacing w:before="17"/>
              <w:ind w:left="489"/>
              <w:jc w:val="center"/>
              <w:rPr>
                <w:rFonts w:eastAsia="Arial"/>
              </w:rPr>
            </w:pPr>
            <w:r w:rsidRPr="07E5E1E8">
              <w:rPr>
                <w:rFonts w:eastAsia="Arial"/>
                <w:spacing w:val="-1"/>
                <w:w w:val="101"/>
              </w:rPr>
              <w:t>5</w:t>
            </w:r>
            <w:r w:rsidRPr="07E5E1E8">
              <w:rPr>
                <w:rFonts w:eastAsia="Arial"/>
                <w:spacing w:val="2"/>
                <w:w w:val="101"/>
              </w:rPr>
              <w:t>.</w:t>
            </w:r>
            <w:r w:rsidRPr="07E5E1E8">
              <w:rPr>
                <w:rFonts w:eastAsia="Arial"/>
                <w:spacing w:val="-1"/>
                <w:w w:val="101"/>
              </w:rPr>
              <w:t>1</w:t>
            </w:r>
            <w:r w:rsidR="411C7D88" w:rsidRPr="07E5E1E8">
              <w:rPr>
                <w:rFonts w:eastAsia="Arial"/>
                <w:spacing w:val="-1"/>
                <w:w w:val="101"/>
              </w:rPr>
              <w:t>4</w:t>
            </w:r>
            <w:r w:rsidRPr="07E5E1E8">
              <w:rPr>
                <w:rFonts w:eastAsia="Arial"/>
                <w:w w:val="101"/>
              </w:rPr>
              <w:t>1</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79A4E388"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2</w:t>
            </w:r>
            <w:r>
              <w:rPr>
                <w:rFonts w:eastAsia="Arial" w:cstheme="minorHAnsi"/>
                <w:b/>
                <w:w w:val="101"/>
                <w:szCs w:val="18"/>
              </w:rPr>
              <w:t>5</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45B9D310" w14:textId="14507FCE" w:rsidR="008878A0" w:rsidRDefault="008878A0" w:rsidP="00B61330">
            <w:pPr>
              <w:spacing w:before="17"/>
              <w:ind w:left="306"/>
              <w:jc w:val="center"/>
              <w:rPr>
                <w:rFonts w:eastAsia="Arial"/>
              </w:rPr>
            </w:pPr>
            <w:r w:rsidRPr="07E5E1E8">
              <w:rPr>
                <w:rFonts w:eastAsia="Arial"/>
                <w:spacing w:val="-1"/>
                <w:w w:val="101"/>
              </w:rPr>
              <w:t>2</w:t>
            </w:r>
            <w:r w:rsidRPr="07E5E1E8">
              <w:rPr>
                <w:rFonts w:eastAsia="Arial"/>
                <w:spacing w:val="2"/>
                <w:w w:val="101"/>
              </w:rPr>
              <w:t>.</w:t>
            </w:r>
            <w:r w:rsidRPr="07E5E1E8">
              <w:rPr>
                <w:rFonts w:eastAsia="Arial"/>
                <w:spacing w:val="-1"/>
                <w:w w:val="101"/>
              </w:rPr>
              <w:t>9</w:t>
            </w:r>
            <w:r w:rsidR="05EB1B3D" w:rsidRPr="07E5E1E8">
              <w:rPr>
                <w:rFonts w:eastAsia="Arial"/>
                <w:spacing w:val="-1"/>
                <w:w w:val="101"/>
              </w:rPr>
              <w:t>04</w:t>
            </w:r>
            <w:r w:rsidRPr="07E5E1E8">
              <w:rPr>
                <w:rFonts w:eastAsia="Arial"/>
                <w:spacing w:val="2"/>
                <w:w w:val="101"/>
              </w:rPr>
              <w:t>.</w:t>
            </w:r>
            <w:r w:rsidR="3E8C317B" w:rsidRPr="07E5E1E8">
              <w:rPr>
                <w:rFonts w:eastAsia="Arial"/>
                <w:spacing w:val="2"/>
                <w:w w:val="101"/>
              </w:rPr>
              <w:t>085</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04E2F3FE"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3</w:t>
            </w:r>
            <w:r>
              <w:rPr>
                <w:rFonts w:eastAsia="Arial" w:cstheme="minorHAnsi"/>
                <w:b/>
                <w:w w:val="101"/>
                <w:szCs w:val="18"/>
              </w:rPr>
              <w:t>0</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11B70F53" w14:textId="77777777" w:rsidR="008878A0" w:rsidRDefault="2D8CDFEC" w:rsidP="00B61330">
            <w:pPr>
              <w:spacing w:before="17"/>
              <w:ind w:left="503"/>
              <w:jc w:val="center"/>
              <w:rPr>
                <w:rFonts w:eastAsia="Arial"/>
              </w:rPr>
            </w:pPr>
            <w:r w:rsidRPr="07E5E1E8">
              <w:rPr>
                <w:rFonts w:eastAsia="Arial"/>
                <w:spacing w:val="-1"/>
                <w:w w:val="101"/>
              </w:rPr>
              <w:t>73</w:t>
            </w:r>
            <w:r w:rsidR="008878A0" w:rsidRPr="07E5E1E8">
              <w:rPr>
                <w:rFonts w:eastAsia="Arial"/>
                <w:spacing w:val="2"/>
                <w:w w:val="101"/>
              </w:rPr>
              <w:t>.</w:t>
            </w:r>
            <w:r w:rsidR="3FBA40A0" w:rsidRPr="07E5E1E8">
              <w:rPr>
                <w:rFonts w:eastAsia="Arial"/>
                <w:spacing w:val="-1"/>
                <w:w w:val="101"/>
              </w:rPr>
              <w:t>223</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36D39189" w14:textId="77777777" w:rsidR="008878A0" w:rsidRDefault="58A571EC" w:rsidP="00B61330">
            <w:pPr>
              <w:spacing w:before="17"/>
              <w:ind w:left="297"/>
              <w:jc w:val="center"/>
              <w:rPr>
                <w:rFonts w:eastAsia="Arial"/>
                <w:b/>
                <w:bCs/>
              </w:rPr>
            </w:pPr>
            <w:r w:rsidRPr="07E5E1E8">
              <w:rPr>
                <w:rFonts w:eastAsia="Arial"/>
                <w:b/>
                <w:bCs/>
                <w:spacing w:val="-1"/>
                <w:w w:val="101"/>
              </w:rPr>
              <w:t>42</w:t>
            </w:r>
          </w:p>
        </w:tc>
      </w:tr>
      <w:tr w:rsidR="008878A0" w14:paraId="3E4586BE" w14:textId="77777777" w:rsidTr="00B369AC">
        <w:trPr>
          <w:trHeight w:hRule="exact" w:val="285"/>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54958DB8" w14:textId="77777777" w:rsidR="008878A0" w:rsidRDefault="008878A0" w:rsidP="00941871">
            <w:pPr>
              <w:spacing w:before="17"/>
              <w:ind w:left="52"/>
              <w:rPr>
                <w:rFonts w:eastAsia="Arial" w:cstheme="minorHAnsi"/>
                <w:szCs w:val="18"/>
              </w:rPr>
            </w:pPr>
            <w:r>
              <w:rPr>
                <w:rFonts w:eastAsia="Arial" w:cstheme="minorHAnsi"/>
                <w:spacing w:val="-2"/>
                <w:w w:val="101"/>
                <w:szCs w:val="18"/>
              </w:rPr>
              <w:t>V</w:t>
            </w:r>
            <w:r>
              <w:rPr>
                <w:rFonts w:eastAsia="Arial" w:cstheme="minorHAnsi"/>
                <w:spacing w:val="3"/>
                <w:w w:val="101"/>
                <w:szCs w:val="18"/>
              </w:rPr>
              <w:t>i</w:t>
            </w:r>
            <w:r>
              <w:rPr>
                <w:rFonts w:eastAsia="Arial" w:cstheme="minorHAnsi"/>
                <w:spacing w:val="2"/>
                <w:w w:val="101"/>
                <w:szCs w:val="18"/>
              </w:rPr>
              <w:t>r</w:t>
            </w:r>
            <w:r>
              <w:rPr>
                <w:rFonts w:eastAsia="Arial" w:cstheme="minorHAnsi"/>
                <w:spacing w:val="-5"/>
                <w:w w:val="101"/>
                <w:szCs w:val="18"/>
              </w:rPr>
              <w:t>o</w:t>
            </w:r>
            <w:r>
              <w:rPr>
                <w:rFonts w:eastAsia="Arial" w:cstheme="minorHAnsi"/>
                <w:w w:val="101"/>
                <w:szCs w:val="18"/>
              </w:rPr>
              <w:t>v</w:t>
            </w:r>
            <w:r>
              <w:rPr>
                <w:rFonts w:eastAsia="Arial" w:cstheme="minorHAnsi"/>
                <w:spacing w:val="-2"/>
                <w:w w:val="101"/>
                <w:szCs w:val="18"/>
              </w:rPr>
              <w:t>i</w:t>
            </w:r>
            <w:r>
              <w:rPr>
                <w:rFonts w:eastAsia="Arial" w:cstheme="minorHAnsi"/>
                <w:spacing w:val="2"/>
                <w:w w:val="101"/>
                <w:szCs w:val="18"/>
              </w:rPr>
              <w:t>t</w:t>
            </w:r>
            <w:r>
              <w:rPr>
                <w:rFonts w:eastAsia="Arial" w:cstheme="minorHAnsi"/>
                <w:spacing w:val="-2"/>
                <w:w w:val="101"/>
                <w:szCs w:val="18"/>
              </w:rPr>
              <w:t>i</w:t>
            </w:r>
            <w:r>
              <w:rPr>
                <w:rFonts w:eastAsia="Arial" w:cstheme="minorHAnsi"/>
                <w:w w:val="101"/>
                <w:szCs w:val="18"/>
              </w:rPr>
              <w:t>ca</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086AA709" w14:textId="6767AC34" w:rsidR="008878A0" w:rsidRDefault="008878A0" w:rsidP="00B61330">
            <w:pPr>
              <w:spacing w:before="17"/>
              <w:ind w:left="527"/>
              <w:jc w:val="center"/>
              <w:rPr>
                <w:rFonts w:eastAsia="Arial"/>
              </w:rPr>
            </w:pPr>
            <w:r w:rsidRPr="07E5E1E8">
              <w:rPr>
                <w:rFonts w:eastAsia="Arial"/>
                <w:spacing w:val="-1"/>
                <w:w w:val="101"/>
              </w:rPr>
              <w:t>4</w:t>
            </w:r>
            <w:r w:rsidR="72E17764" w:rsidRPr="07E5E1E8">
              <w:rPr>
                <w:rFonts w:eastAsia="Arial"/>
                <w:spacing w:val="-1"/>
                <w:w w:val="101"/>
              </w:rPr>
              <w:t>3</w:t>
            </w:r>
            <w:r w:rsidRPr="07E5E1E8">
              <w:rPr>
                <w:rFonts w:eastAsia="Arial"/>
                <w:w w:val="101"/>
              </w:rPr>
              <w:t>8</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7E96B9EA"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4</w:t>
            </w:r>
            <w:r>
              <w:rPr>
                <w:rFonts w:eastAsia="Arial" w:cstheme="minorHAnsi"/>
                <w:b/>
                <w:w w:val="101"/>
                <w:szCs w:val="18"/>
              </w:rPr>
              <w:t>1</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7767484E"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8</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504DD3BE" w14:textId="5F4AABF0" w:rsidR="008878A0" w:rsidRDefault="008878A0" w:rsidP="00B61330">
            <w:pPr>
              <w:spacing w:before="17"/>
              <w:ind w:left="489"/>
              <w:jc w:val="center"/>
              <w:rPr>
                <w:rFonts w:eastAsia="Arial"/>
              </w:rPr>
            </w:pPr>
            <w:r w:rsidRPr="07E5E1E8">
              <w:rPr>
                <w:rFonts w:eastAsia="Arial"/>
                <w:spacing w:val="-1"/>
                <w:w w:val="101"/>
              </w:rPr>
              <w:t>3</w:t>
            </w:r>
            <w:r w:rsidRPr="07E5E1E8">
              <w:rPr>
                <w:rFonts w:eastAsia="Arial"/>
                <w:spacing w:val="2"/>
                <w:w w:val="101"/>
              </w:rPr>
              <w:t>.</w:t>
            </w:r>
            <w:r w:rsidRPr="07E5E1E8">
              <w:rPr>
                <w:rFonts w:eastAsia="Arial"/>
                <w:w w:val="101"/>
              </w:rPr>
              <w:t>6</w:t>
            </w:r>
            <w:r w:rsidR="0E13AD35" w:rsidRPr="07E5E1E8">
              <w:rPr>
                <w:rFonts w:eastAsia="Arial"/>
                <w:w w:val="101"/>
              </w:rPr>
              <w:t>28</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54C10028" w14:textId="73C4A6DA" w:rsidR="008878A0" w:rsidRDefault="008878A0" w:rsidP="00B61330">
            <w:pPr>
              <w:spacing w:before="17"/>
              <w:ind w:left="292"/>
              <w:jc w:val="center"/>
              <w:rPr>
                <w:rFonts w:eastAsia="Arial"/>
                <w:b/>
                <w:bCs/>
              </w:rPr>
            </w:pPr>
            <w:r w:rsidRPr="07E5E1E8">
              <w:rPr>
                <w:rFonts w:eastAsia="Arial"/>
                <w:b/>
                <w:bCs/>
                <w:spacing w:val="-1"/>
                <w:w w:val="101"/>
              </w:rPr>
              <w:t>3</w:t>
            </w:r>
            <w:r w:rsidR="32FDC31F" w:rsidRPr="07E5E1E8">
              <w:rPr>
                <w:rFonts w:eastAsia="Arial"/>
                <w:b/>
                <w:bCs/>
                <w:spacing w:val="-1"/>
                <w:w w:val="101"/>
              </w:rPr>
              <w:t>1</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0B2FDA19" w14:textId="77777777" w:rsidR="008878A0" w:rsidRDefault="008878A0" w:rsidP="00B61330">
            <w:pPr>
              <w:spacing w:before="17"/>
              <w:ind w:left="306"/>
              <w:jc w:val="center"/>
              <w:rPr>
                <w:rFonts w:eastAsia="Arial"/>
              </w:rPr>
            </w:pPr>
            <w:r w:rsidRPr="07E5E1E8">
              <w:rPr>
                <w:rFonts w:eastAsia="Arial"/>
                <w:spacing w:val="-1"/>
                <w:w w:val="101"/>
              </w:rPr>
              <w:t>1</w:t>
            </w:r>
            <w:r w:rsidRPr="07E5E1E8">
              <w:rPr>
                <w:rFonts w:eastAsia="Arial"/>
                <w:spacing w:val="2"/>
                <w:w w:val="101"/>
              </w:rPr>
              <w:t>.</w:t>
            </w:r>
            <w:r w:rsidR="01D58EED" w:rsidRPr="07E5E1E8">
              <w:rPr>
                <w:rFonts w:eastAsia="Arial"/>
                <w:spacing w:val="-1"/>
                <w:w w:val="101"/>
              </w:rPr>
              <w:t>869</w:t>
            </w:r>
            <w:r w:rsidRPr="07E5E1E8">
              <w:rPr>
                <w:rFonts w:eastAsia="Arial"/>
                <w:spacing w:val="2"/>
                <w:w w:val="101"/>
              </w:rPr>
              <w:t>.</w:t>
            </w:r>
            <w:r w:rsidR="64643EF9" w:rsidRPr="07E5E1E8">
              <w:rPr>
                <w:rFonts w:eastAsia="Arial"/>
                <w:spacing w:val="-1"/>
                <w:w w:val="101"/>
              </w:rPr>
              <w:t>991</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45CEA336"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4</w:t>
            </w:r>
            <w:r>
              <w:rPr>
                <w:rFonts w:eastAsia="Arial" w:cstheme="minorHAnsi"/>
                <w:b/>
                <w:w w:val="101"/>
                <w:szCs w:val="18"/>
              </w:rPr>
              <w:t>6</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235815F3" w14:textId="2B0ED378" w:rsidR="008878A0" w:rsidRDefault="19D84E17" w:rsidP="00B61330">
            <w:pPr>
              <w:spacing w:before="17"/>
              <w:ind w:left="503"/>
              <w:jc w:val="center"/>
              <w:rPr>
                <w:rFonts w:eastAsia="Arial"/>
              </w:rPr>
            </w:pPr>
            <w:r w:rsidRPr="07E5E1E8">
              <w:rPr>
                <w:rFonts w:eastAsia="Arial"/>
                <w:spacing w:val="-1"/>
                <w:w w:val="101"/>
              </w:rPr>
              <w:t>24</w:t>
            </w:r>
            <w:r w:rsidR="300D0252" w:rsidRPr="07E5E1E8">
              <w:rPr>
                <w:rFonts w:eastAsia="Arial"/>
                <w:spacing w:val="-1"/>
                <w:w w:val="101"/>
              </w:rPr>
              <w:t>.921</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054EE220" w14:textId="77777777" w:rsidR="008878A0" w:rsidRDefault="44876931" w:rsidP="00B61330">
            <w:pPr>
              <w:spacing w:before="17"/>
              <w:ind w:left="297"/>
              <w:jc w:val="center"/>
              <w:rPr>
                <w:rFonts w:eastAsia="Arial"/>
                <w:b/>
                <w:bCs/>
              </w:rPr>
            </w:pPr>
            <w:r w:rsidRPr="07E5E1E8">
              <w:rPr>
                <w:rFonts w:eastAsia="Arial"/>
                <w:b/>
                <w:bCs/>
                <w:spacing w:val="-1"/>
                <w:w w:val="101"/>
              </w:rPr>
              <w:t>98</w:t>
            </w:r>
          </w:p>
        </w:tc>
      </w:tr>
      <w:tr w:rsidR="008878A0" w14:paraId="189E3449" w14:textId="77777777" w:rsidTr="00B369AC">
        <w:trPr>
          <w:trHeight w:hRule="exact" w:val="285"/>
        </w:trPr>
        <w:tc>
          <w:tcPr>
            <w:tcW w:w="1266"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0C4F0BCE" w14:textId="77777777" w:rsidR="008878A0" w:rsidRPr="00E64611" w:rsidRDefault="008878A0" w:rsidP="00941871">
            <w:pPr>
              <w:spacing w:before="17"/>
              <w:ind w:left="52"/>
              <w:rPr>
                <w:rFonts w:eastAsia="Arial" w:cstheme="minorHAnsi"/>
                <w:color w:val="FFFFFF" w:themeColor="background1"/>
                <w:spacing w:val="-2"/>
                <w:w w:val="101"/>
                <w:szCs w:val="18"/>
              </w:rPr>
            </w:pPr>
            <w:r w:rsidRPr="00E64611">
              <w:rPr>
                <w:rFonts w:eastAsia="Arial" w:cstheme="minorHAnsi"/>
                <w:color w:val="FFFFFF" w:themeColor="background1"/>
                <w:spacing w:val="-2"/>
                <w:w w:val="101"/>
                <w:szCs w:val="18"/>
              </w:rPr>
              <w:t>Krapina</w:t>
            </w:r>
          </w:p>
        </w:tc>
        <w:tc>
          <w:tcPr>
            <w:tcW w:w="851"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4F849D13" w14:textId="38E1B219" w:rsidR="008878A0" w:rsidRPr="00E64611" w:rsidRDefault="008878A0" w:rsidP="00B61330">
            <w:pPr>
              <w:spacing w:before="17"/>
              <w:ind w:left="527"/>
              <w:jc w:val="center"/>
              <w:rPr>
                <w:rFonts w:eastAsia="Arial"/>
                <w:color w:val="FFFFFF" w:themeColor="background1"/>
                <w:spacing w:val="-1"/>
                <w:w w:val="101"/>
              </w:rPr>
            </w:pPr>
            <w:r w:rsidRPr="07E5E1E8">
              <w:rPr>
                <w:rFonts w:eastAsia="Arial"/>
                <w:color w:val="FFFFFF" w:themeColor="background1"/>
                <w:spacing w:val="-1"/>
                <w:w w:val="101"/>
              </w:rPr>
              <w:t>3</w:t>
            </w:r>
            <w:r w:rsidR="03B37F83" w:rsidRPr="07E5E1E8">
              <w:rPr>
                <w:rFonts w:eastAsia="Arial"/>
                <w:color w:val="FFFFFF" w:themeColor="background1"/>
                <w:spacing w:val="-1"/>
                <w:w w:val="101"/>
              </w:rPr>
              <w:t>2</w:t>
            </w:r>
            <w:r w:rsidRPr="07E5E1E8">
              <w:rPr>
                <w:rFonts w:eastAsia="Arial"/>
                <w:color w:val="FFFFFF" w:themeColor="background1"/>
                <w:spacing w:val="-1"/>
                <w:w w:val="101"/>
              </w:rPr>
              <w:t>1</w:t>
            </w:r>
          </w:p>
        </w:tc>
        <w:tc>
          <w:tcPr>
            <w:tcW w:w="850"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2D8AC76E" w14:textId="58490425" w:rsidR="008878A0" w:rsidRPr="00E64611" w:rsidRDefault="008878A0" w:rsidP="00B61330">
            <w:pPr>
              <w:spacing w:before="17"/>
              <w:ind w:left="292"/>
              <w:jc w:val="center"/>
              <w:rPr>
                <w:rFonts w:eastAsia="Arial"/>
                <w:b/>
                <w:bCs/>
                <w:color w:val="FFFFFF" w:themeColor="background1"/>
                <w:spacing w:val="-1"/>
                <w:w w:val="101"/>
              </w:rPr>
            </w:pPr>
            <w:r w:rsidRPr="07E5E1E8">
              <w:rPr>
                <w:rFonts w:eastAsia="Arial"/>
                <w:b/>
                <w:bCs/>
                <w:color w:val="FFFFFF" w:themeColor="background1"/>
                <w:spacing w:val="-1"/>
                <w:w w:val="101"/>
              </w:rPr>
              <w:t>5</w:t>
            </w:r>
            <w:r w:rsidR="709D2300" w:rsidRPr="07E5E1E8">
              <w:rPr>
                <w:rFonts w:eastAsia="Arial"/>
                <w:b/>
                <w:bCs/>
                <w:color w:val="FFFFFF" w:themeColor="background1"/>
                <w:spacing w:val="-1"/>
                <w:w w:val="101"/>
              </w:rPr>
              <w:t>6</w:t>
            </w:r>
          </w:p>
        </w:tc>
        <w:tc>
          <w:tcPr>
            <w:tcW w:w="851"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4011A585" w14:textId="77777777" w:rsidR="008878A0" w:rsidRPr="00E64611" w:rsidRDefault="008878A0" w:rsidP="00B61330">
            <w:pPr>
              <w:spacing w:before="17"/>
              <w:ind w:left="460"/>
              <w:jc w:val="center"/>
              <w:rPr>
                <w:rFonts w:eastAsia="Arial" w:cstheme="minorHAnsi"/>
                <w:b/>
                <w:color w:val="FFFFFF" w:themeColor="background1"/>
                <w:spacing w:val="-1"/>
                <w:w w:val="101"/>
                <w:szCs w:val="18"/>
              </w:rPr>
            </w:pPr>
            <w:r w:rsidRPr="00E64611">
              <w:rPr>
                <w:rFonts w:eastAsia="Arial" w:cstheme="minorHAnsi"/>
                <w:b/>
                <w:color w:val="FFFFFF" w:themeColor="background1"/>
                <w:spacing w:val="-1"/>
                <w:w w:val="101"/>
                <w:szCs w:val="18"/>
              </w:rPr>
              <w:t>20</w:t>
            </w:r>
          </w:p>
        </w:tc>
        <w:tc>
          <w:tcPr>
            <w:tcW w:w="992"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0007C200" w14:textId="669AEB2D" w:rsidR="008878A0" w:rsidRPr="00E64611" w:rsidRDefault="008878A0" w:rsidP="00B61330">
            <w:pPr>
              <w:spacing w:before="17"/>
              <w:ind w:left="489"/>
              <w:jc w:val="center"/>
              <w:rPr>
                <w:rFonts w:eastAsia="Arial"/>
                <w:color w:val="FFFFFF" w:themeColor="background1"/>
                <w:spacing w:val="-1"/>
                <w:w w:val="101"/>
              </w:rPr>
            </w:pPr>
            <w:r w:rsidRPr="07E5E1E8">
              <w:rPr>
                <w:rFonts w:eastAsia="Arial"/>
                <w:color w:val="FFFFFF" w:themeColor="background1"/>
                <w:spacing w:val="-1"/>
                <w:w w:val="101"/>
              </w:rPr>
              <w:t>3.</w:t>
            </w:r>
            <w:r w:rsidR="7D73E313" w:rsidRPr="07E5E1E8">
              <w:rPr>
                <w:rFonts w:eastAsia="Arial"/>
                <w:color w:val="FFFFFF" w:themeColor="background1"/>
                <w:spacing w:val="-1"/>
                <w:w w:val="101"/>
              </w:rPr>
              <w:t>604</w:t>
            </w:r>
          </w:p>
        </w:tc>
        <w:tc>
          <w:tcPr>
            <w:tcW w:w="709"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44AA35F1" w14:textId="5EF6D187" w:rsidR="008878A0" w:rsidRPr="00E64611" w:rsidRDefault="008878A0" w:rsidP="00B61330">
            <w:pPr>
              <w:spacing w:before="17"/>
              <w:ind w:left="292"/>
              <w:jc w:val="center"/>
              <w:rPr>
                <w:rFonts w:eastAsia="Arial"/>
                <w:b/>
                <w:bCs/>
                <w:color w:val="FFFFFF" w:themeColor="background1"/>
                <w:spacing w:val="-1"/>
                <w:w w:val="101"/>
              </w:rPr>
            </w:pPr>
            <w:r w:rsidRPr="07E5E1E8">
              <w:rPr>
                <w:rFonts w:eastAsia="Arial"/>
                <w:b/>
                <w:bCs/>
                <w:color w:val="FFFFFF" w:themeColor="background1"/>
                <w:spacing w:val="-1"/>
                <w:w w:val="101"/>
              </w:rPr>
              <w:t>3</w:t>
            </w:r>
            <w:r w:rsidR="0982A597" w:rsidRPr="07E5E1E8">
              <w:rPr>
                <w:rFonts w:eastAsia="Arial"/>
                <w:b/>
                <w:bCs/>
                <w:color w:val="FFFFFF" w:themeColor="background1"/>
                <w:spacing w:val="-1"/>
                <w:w w:val="101"/>
              </w:rPr>
              <w:t>2</w:t>
            </w:r>
          </w:p>
        </w:tc>
        <w:tc>
          <w:tcPr>
            <w:tcW w:w="1275"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50E44461" w14:textId="77F5999C" w:rsidR="008878A0" w:rsidRPr="00E64611" w:rsidRDefault="008878A0" w:rsidP="00B61330">
            <w:pPr>
              <w:spacing w:before="17"/>
              <w:ind w:left="306"/>
              <w:jc w:val="center"/>
              <w:rPr>
                <w:rFonts w:eastAsia="Arial"/>
                <w:color w:val="FFFFFF" w:themeColor="background1"/>
                <w:spacing w:val="-1"/>
                <w:w w:val="101"/>
              </w:rPr>
            </w:pPr>
            <w:r w:rsidRPr="07E5E1E8">
              <w:rPr>
                <w:rFonts w:eastAsia="Arial"/>
                <w:color w:val="FFFFFF" w:themeColor="background1"/>
                <w:spacing w:val="-1"/>
                <w:w w:val="101"/>
              </w:rPr>
              <w:t>1.</w:t>
            </w:r>
            <w:r w:rsidR="7F2A21F9" w:rsidRPr="07E5E1E8">
              <w:rPr>
                <w:rFonts w:eastAsia="Arial"/>
                <w:color w:val="FFFFFF" w:themeColor="background1"/>
                <w:spacing w:val="-1"/>
                <w:w w:val="101"/>
              </w:rPr>
              <w:t>809</w:t>
            </w:r>
            <w:r w:rsidRPr="07E5E1E8">
              <w:rPr>
                <w:rFonts w:eastAsia="Arial"/>
                <w:color w:val="FFFFFF" w:themeColor="background1"/>
                <w:spacing w:val="-1"/>
                <w:w w:val="101"/>
              </w:rPr>
              <w:t>.</w:t>
            </w:r>
            <w:r w:rsidR="5A0DA934" w:rsidRPr="07E5E1E8">
              <w:rPr>
                <w:rFonts w:eastAsia="Arial"/>
                <w:color w:val="FFFFFF" w:themeColor="background1"/>
                <w:spacing w:val="-1"/>
                <w:w w:val="101"/>
              </w:rPr>
              <w:t>844</w:t>
            </w:r>
          </w:p>
        </w:tc>
        <w:tc>
          <w:tcPr>
            <w:tcW w:w="567"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60201EF1" w14:textId="77777777" w:rsidR="008878A0" w:rsidRPr="00E64611" w:rsidRDefault="008878A0" w:rsidP="00B61330">
            <w:pPr>
              <w:spacing w:before="17"/>
              <w:ind w:left="292"/>
              <w:jc w:val="center"/>
              <w:rPr>
                <w:rFonts w:eastAsia="Arial" w:cstheme="minorHAnsi"/>
                <w:b/>
                <w:color w:val="FFFFFF" w:themeColor="background1"/>
                <w:spacing w:val="-1"/>
                <w:w w:val="101"/>
                <w:szCs w:val="18"/>
              </w:rPr>
            </w:pPr>
            <w:r w:rsidRPr="00E64611">
              <w:rPr>
                <w:rFonts w:eastAsia="Arial" w:cstheme="minorHAnsi"/>
                <w:b/>
                <w:color w:val="FFFFFF" w:themeColor="background1"/>
                <w:spacing w:val="-1"/>
                <w:w w:val="101"/>
                <w:szCs w:val="18"/>
              </w:rPr>
              <w:t>47</w:t>
            </w:r>
          </w:p>
        </w:tc>
        <w:tc>
          <w:tcPr>
            <w:tcW w:w="1134"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4B4FFE5C" w14:textId="0A3BE6E7" w:rsidR="008878A0" w:rsidRPr="00E64611" w:rsidRDefault="7DAFDE65" w:rsidP="00B61330">
            <w:pPr>
              <w:spacing w:before="17"/>
              <w:ind w:left="503"/>
              <w:jc w:val="center"/>
              <w:rPr>
                <w:rFonts w:eastAsia="Arial"/>
                <w:color w:val="FFFFFF" w:themeColor="background1"/>
                <w:spacing w:val="-1"/>
                <w:w w:val="101"/>
              </w:rPr>
            </w:pPr>
            <w:r w:rsidRPr="07E5E1E8">
              <w:rPr>
                <w:rFonts w:eastAsia="Arial"/>
                <w:color w:val="FFFFFF" w:themeColor="background1"/>
                <w:spacing w:val="-1"/>
                <w:w w:val="101"/>
              </w:rPr>
              <w:t>69</w:t>
            </w:r>
            <w:r w:rsidR="008878A0" w:rsidRPr="07E5E1E8">
              <w:rPr>
                <w:rFonts w:eastAsia="Arial"/>
                <w:color w:val="FFFFFF" w:themeColor="background1"/>
                <w:spacing w:val="-1"/>
                <w:w w:val="101"/>
              </w:rPr>
              <w:t>.</w:t>
            </w:r>
            <w:r w:rsidR="74FE8518" w:rsidRPr="07E5E1E8">
              <w:rPr>
                <w:rFonts w:eastAsia="Arial"/>
                <w:color w:val="FFFFFF" w:themeColor="background1"/>
                <w:spacing w:val="-1"/>
                <w:w w:val="101"/>
              </w:rPr>
              <w:t>922</w:t>
            </w:r>
          </w:p>
        </w:tc>
        <w:tc>
          <w:tcPr>
            <w:tcW w:w="851"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56DDDE18" w14:textId="244E3542" w:rsidR="008878A0" w:rsidRPr="00E64611" w:rsidRDefault="008878A0" w:rsidP="00B61330">
            <w:pPr>
              <w:spacing w:before="17"/>
              <w:ind w:left="297"/>
              <w:jc w:val="center"/>
              <w:rPr>
                <w:rFonts w:eastAsia="Arial"/>
                <w:b/>
                <w:bCs/>
                <w:color w:val="FFFFFF" w:themeColor="background1"/>
                <w:spacing w:val="-1"/>
                <w:w w:val="101"/>
              </w:rPr>
            </w:pPr>
            <w:r w:rsidRPr="07E5E1E8">
              <w:rPr>
                <w:rFonts w:eastAsia="Arial"/>
                <w:b/>
                <w:bCs/>
                <w:color w:val="FFFFFF" w:themeColor="background1"/>
                <w:spacing w:val="-1"/>
                <w:w w:val="101"/>
              </w:rPr>
              <w:t>4</w:t>
            </w:r>
            <w:r w:rsidR="19B62465" w:rsidRPr="07E5E1E8">
              <w:rPr>
                <w:rFonts w:eastAsia="Arial"/>
                <w:b/>
                <w:bCs/>
                <w:color w:val="FFFFFF" w:themeColor="background1"/>
                <w:spacing w:val="-1"/>
                <w:w w:val="101"/>
              </w:rPr>
              <w:t>7</w:t>
            </w:r>
          </w:p>
        </w:tc>
      </w:tr>
      <w:tr w:rsidR="008878A0" w14:paraId="2E481469" w14:textId="77777777" w:rsidTr="00B369AC">
        <w:trPr>
          <w:trHeight w:hRule="exact" w:val="280"/>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084887C6" w14:textId="77777777" w:rsidR="008878A0" w:rsidRDefault="008878A0" w:rsidP="00941871">
            <w:pPr>
              <w:spacing w:before="28"/>
              <w:ind w:left="52"/>
              <w:rPr>
                <w:rFonts w:eastAsia="Arial" w:cstheme="minorHAnsi"/>
                <w:szCs w:val="18"/>
              </w:rPr>
            </w:pPr>
            <w:r>
              <w:rPr>
                <w:rFonts w:eastAsia="Arial" w:cstheme="minorHAnsi"/>
                <w:spacing w:val="-2"/>
                <w:w w:val="101"/>
                <w:szCs w:val="18"/>
              </w:rPr>
              <w:t>P</w:t>
            </w:r>
            <w:r>
              <w:rPr>
                <w:rFonts w:eastAsia="Arial" w:cstheme="minorHAnsi"/>
                <w:spacing w:val="-1"/>
                <w:w w:val="101"/>
                <w:szCs w:val="18"/>
              </w:rPr>
              <w:t>a</w:t>
            </w:r>
            <w:r>
              <w:rPr>
                <w:rFonts w:eastAsia="Arial" w:cstheme="minorHAnsi"/>
                <w:spacing w:val="-5"/>
                <w:w w:val="101"/>
                <w:szCs w:val="18"/>
              </w:rPr>
              <w:t>z</w:t>
            </w:r>
            <w:r>
              <w:rPr>
                <w:rFonts w:eastAsia="Arial" w:cstheme="minorHAnsi"/>
                <w:spacing w:val="3"/>
                <w:w w:val="101"/>
                <w:szCs w:val="18"/>
              </w:rPr>
              <w:t>i</w:t>
            </w:r>
            <w:r>
              <w:rPr>
                <w:rFonts w:eastAsia="Arial" w:cstheme="minorHAnsi"/>
                <w:w w:val="101"/>
                <w:szCs w:val="18"/>
              </w:rPr>
              <w:t>n</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618D73B2" w14:textId="69BBB4C5" w:rsidR="008878A0" w:rsidRDefault="008878A0" w:rsidP="00B61330">
            <w:pPr>
              <w:spacing w:before="28"/>
              <w:ind w:left="527"/>
              <w:jc w:val="center"/>
              <w:rPr>
                <w:rFonts w:eastAsia="Arial"/>
              </w:rPr>
            </w:pPr>
            <w:r w:rsidRPr="07E5E1E8">
              <w:rPr>
                <w:rFonts w:eastAsia="Arial"/>
                <w:spacing w:val="-1"/>
                <w:w w:val="101"/>
              </w:rPr>
              <w:t>3</w:t>
            </w:r>
            <w:r w:rsidR="4C2EE50F" w:rsidRPr="07E5E1E8">
              <w:rPr>
                <w:rFonts w:eastAsia="Arial"/>
                <w:spacing w:val="-1"/>
                <w:w w:val="101"/>
              </w:rPr>
              <w:t>49</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0A9C596C" w14:textId="31922470" w:rsidR="008878A0" w:rsidRDefault="008878A0" w:rsidP="00B61330">
            <w:pPr>
              <w:spacing w:before="28"/>
              <w:ind w:left="292"/>
              <w:jc w:val="center"/>
              <w:rPr>
                <w:rFonts w:eastAsia="Arial"/>
                <w:b/>
                <w:bCs/>
              </w:rPr>
            </w:pPr>
            <w:r w:rsidRPr="07E5E1E8">
              <w:rPr>
                <w:rFonts w:eastAsia="Arial"/>
                <w:b/>
                <w:bCs/>
                <w:spacing w:val="-1"/>
                <w:w w:val="101"/>
              </w:rPr>
              <w:t>5</w:t>
            </w:r>
            <w:r w:rsidR="5E28090C" w:rsidRPr="07E5E1E8">
              <w:rPr>
                <w:rFonts w:eastAsia="Arial"/>
                <w:b/>
                <w:bCs/>
                <w:spacing w:val="-1"/>
                <w:w w:val="101"/>
              </w:rPr>
              <w:t>1</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2B1F2AF9" w14:textId="77777777" w:rsidR="008878A0" w:rsidRDefault="008878A0" w:rsidP="00B61330">
            <w:pPr>
              <w:spacing w:before="28"/>
              <w:ind w:left="460"/>
              <w:jc w:val="center"/>
              <w:rPr>
                <w:rFonts w:eastAsia="Arial" w:cstheme="minorHAnsi"/>
                <w:szCs w:val="18"/>
              </w:rPr>
            </w:pPr>
            <w:r>
              <w:rPr>
                <w:rFonts w:eastAsia="Arial" w:cstheme="minorHAnsi"/>
                <w:b/>
                <w:spacing w:val="-1"/>
                <w:w w:val="101"/>
                <w:szCs w:val="18"/>
              </w:rPr>
              <w:t>1</w:t>
            </w:r>
            <w:r>
              <w:rPr>
                <w:rFonts w:eastAsia="Arial" w:cstheme="minorHAnsi"/>
                <w:b/>
                <w:w w:val="101"/>
                <w:szCs w:val="18"/>
              </w:rPr>
              <w:t>9</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65C068C6" w14:textId="78BA35AB" w:rsidR="008878A0" w:rsidRDefault="008878A0" w:rsidP="00B61330">
            <w:pPr>
              <w:spacing w:before="28"/>
              <w:ind w:left="489"/>
              <w:jc w:val="center"/>
              <w:rPr>
                <w:rFonts w:eastAsia="Arial"/>
              </w:rPr>
            </w:pPr>
            <w:r w:rsidRPr="07E5E1E8">
              <w:rPr>
                <w:rFonts w:eastAsia="Arial"/>
                <w:spacing w:val="-1"/>
                <w:w w:val="101"/>
              </w:rPr>
              <w:t>2</w:t>
            </w:r>
            <w:r w:rsidRPr="07E5E1E8">
              <w:rPr>
                <w:rFonts w:eastAsia="Arial"/>
                <w:spacing w:val="2"/>
                <w:w w:val="101"/>
              </w:rPr>
              <w:t>.</w:t>
            </w:r>
            <w:r w:rsidRPr="07E5E1E8">
              <w:rPr>
                <w:rFonts w:eastAsia="Arial"/>
                <w:spacing w:val="-1"/>
                <w:w w:val="101"/>
              </w:rPr>
              <w:t>2</w:t>
            </w:r>
            <w:r w:rsidR="4CC94DB0" w:rsidRPr="07E5E1E8">
              <w:rPr>
                <w:rFonts w:eastAsia="Arial"/>
                <w:spacing w:val="-1"/>
                <w:w w:val="101"/>
              </w:rPr>
              <w:t>8</w:t>
            </w:r>
            <w:r w:rsidRPr="07E5E1E8">
              <w:rPr>
                <w:rFonts w:eastAsia="Arial"/>
                <w:spacing w:val="-1"/>
                <w:w w:val="101"/>
              </w:rPr>
              <w:t>2</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2180575D" w14:textId="3D8A9F19" w:rsidR="008878A0" w:rsidRDefault="008878A0" w:rsidP="00B61330">
            <w:pPr>
              <w:spacing w:before="28"/>
              <w:ind w:left="292"/>
              <w:jc w:val="center"/>
              <w:rPr>
                <w:rFonts w:eastAsia="Arial"/>
                <w:b/>
                <w:bCs/>
              </w:rPr>
            </w:pPr>
            <w:r w:rsidRPr="07E5E1E8">
              <w:rPr>
                <w:rFonts w:eastAsia="Arial"/>
                <w:b/>
                <w:bCs/>
                <w:spacing w:val="-1"/>
                <w:w w:val="101"/>
              </w:rPr>
              <w:t>5</w:t>
            </w:r>
            <w:r w:rsidR="30013971" w:rsidRPr="07E5E1E8">
              <w:rPr>
                <w:rFonts w:eastAsia="Arial"/>
                <w:b/>
                <w:bCs/>
                <w:spacing w:val="-1"/>
                <w:w w:val="101"/>
              </w:rPr>
              <w:t>3</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53A43FAF" w14:textId="5E055D0B" w:rsidR="008878A0" w:rsidRDefault="008878A0" w:rsidP="00B61330">
            <w:pPr>
              <w:spacing w:before="28"/>
              <w:ind w:left="306"/>
              <w:jc w:val="center"/>
              <w:rPr>
                <w:rFonts w:eastAsia="Arial"/>
              </w:rPr>
            </w:pPr>
            <w:r w:rsidRPr="07E5E1E8">
              <w:rPr>
                <w:rFonts w:eastAsia="Arial"/>
                <w:spacing w:val="-1"/>
                <w:w w:val="101"/>
              </w:rPr>
              <w:t>1</w:t>
            </w:r>
            <w:r w:rsidRPr="07E5E1E8">
              <w:rPr>
                <w:rFonts w:eastAsia="Arial"/>
                <w:spacing w:val="2"/>
                <w:w w:val="101"/>
              </w:rPr>
              <w:t>.</w:t>
            </w:r>
            <w:r w:rsidRPr="07E5E1E8">
              <w:rPr>
                <w:rFonts w:eastAsia="Arial"/>
                <w:spacing w:val="-1"/>
                <w:w w:val="101"/>
              </w:rPr>
              <w:t>5</w:t>
            </w:r>
            <w:r w:rsidR="256F1E4B" w:rsidRPr="07E5E1E8">
              <w:rPr>
                <w:rFonts w:eastAsia="Arial"/>
                <w:spacing w:val="-1"/>
                <w:w w:val="101"/>
              </w:rPr>
              <w:t>64</w:t>
            </w:r>
            <w:r w:rsidRPr="07E5E1E8">
              <w:rPr>
                <w:rFonts w:eastAsia="Arial"/>
                <w:spacing w:val="2"/>
                <w:w w:val="101"/>
              </w:rPr>
              <w:t>.</w:t>
            </w:r>
            <w:r w:rsidR="6D70FC2B" w:rsidRPr="07E5E1E8">
              <w:rPr>
                <w:rFonts w:eastAsia="Arial"/>
                <w:spacing w:val="-1"/>
                <w:w w:val="101"/>
              </w:rPr>
              <w:t>904</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5F2BFF8E" w14:textId="77777777" w:rsidR="008878A0" w:rsidRDefault="008878A0" w:rsidP="00B61330">
            <w:pPr>
              <w:spacing w:before="28"/>
              <w:ind w:left="292"/>
              <w:jc w:val="center"/>
              <w:rPr>
                <w:rFonts w:eastAsia="Arial" w:cstheme="minorHAnsi"/>
                <w:szCs w:val="18"/>
              </w:rPr>
            </w:pPr>
            <w:r>
              <w:rPr>
                <w:rFonts w:eastAsia="Arial" w:cstheme="minorHAnsi"/>
                <w:b/>
                <w:spacing w:val="-1"/>
                <w:w w:val="101"/>
                <w:szCs w:val="18"/>
              </w:rPr>
              <w:t>5</w:t>
            </w:r>
            <w:r>
              <w:rPr>
                <w:rFonts w:eastAsia="Arial" w:cstheme="minorHAnsi"/>
                <w:b/>
                <w:w w:val="101"/>
                <w:szCs w:val="18"/>
              </w:rPr>
              <w:t>4</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35F7C267" w14:textId="77777777" w:rsidR="008878A0" w:rsidRDefault="77C49857" w:rsidP="00B61330">
            <w:pPr>
              <w:spacing w:before="28"/>
              <w:ind w:left="503"/>
              <w:jc w:val="center"/>
              <w:rPr>
                <w:rFonts w:eastAsia="Arial"/>
              </w:rPr>
            </w:pPr>
            <w:r w:rsidRPr="07E5E1E8">
              <w:rPr>
                <w:rFonts w:eastAsia="Arial"/>
                <w:spacing w:val="-1"/>
                <w:w w:val="101"/>
              </w:rPr>
              <w:t>94</w:t>
            </w:r>
            <w:r w:rsidR="008878A0" w:rsidRPr="07E5E1E8">
              <w:rPr>
                <w:rFonts w:eastAsia="Arial"/>
                <w:spacing w:val="2"/>
                <w:w w:val="101"/>
              </w:rPr>
              <w:t>.</w:t>
            </w:r>
            <w:r w:rsidR="56D651A2" w:rsidRPr="07E5E1E8">
              <w:rPr>
                <w:rFonts w:eastAsia="Arial"/>
                <w:spacing w:val="-1"/>
                <w:w w:val="101"/>
              </w:rPr>
              <w:t>367</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7CE9BEC2" w14:textId="77777777" w:rsidR="008878A0" w:rsidRDefault="1B144390" w:rsidP="00B61330">
            <w:pPr>
              <w:spacing w:before="28"/>
              <w:ind w:left="297"/>
              <w:jc w:val="center"/>
              <w:rPr>
                <w:rFonts w:eastAsia="Arial"/>
                <w:b/>
                <w:bCs/>
              </w:rPr>
            </w:pPr>
            <w:r w:rsidRPr="07E5E1E8">
              <w:rPr>
                <w:rFonts w:eastAsia="Arial"/>
                <w:b/>
                <w:bCs/>
                <w:spacing w:val="-1"/>
                <w:w w:val="101"/>
              </w:rPr>
              <w:t>31</w:t>
            </w:r>
          </w:p>
        </w:tc>
      </w:tr>
      <w:tr w:rsidR="008878A0" w14:paraId="263DC56E" w14:textId="77777777" w:rsidTr="00B369AC">
        <w:trPr>
          <w:trHeight w:hRule="exact" w:val="280"/>
        </w:trPr>
        <w:tc>
          <w:tcPr>
            <w:tcW w:w="1266" w:type="dxa"/>
            <w:tcBorders>
              <w:top w:val="single" w:sz="8" w:space="0" w:color="F3CFC1"/>
              <w:left w:val="single" w:sz="8" w:space="0" w:color="D2232A" w:themeColor="accent1"/>
              <w:bottom w:val="single" w:sz="8" w:space="0" w:color="F3CFC1"/>
              <w:right w:val="single" w:sz="8" w:space="0" w:color="D2232A" w:themeColor="accent1"/>
            </w:tcBorders>
            <w:hideMark/>
          </w:tcPr>
          <w:p w14:paraId="1E43C468" w14:textId="77777777" w:rsidR="008878A0" w:rsidRDefault="008878A0" w:rsidP="00941871">
            <w:pPr>
              <w:spacing w:before="17"/>
              <w:ind w:left="52"/>
              <w:rPr>
                <w:rFonts w:eastAsia="Arial" w:cstheme="minorHAnsi"/>
                <w:szCs w:val="18"/>
              </w:rPr>
            </w:pPr>
            <w:r>
              <w:rPr>
                <w:rFonts w:eastAsia="Arial" w:cstheme="minorHAnsi"/>
                <w:spacing w:val="2"/>
                <w:w w:val="101"/>
                <w:szCs w:val="18"/>
              </w:rPr>
              <w:t>G</w:t>
            </w:r>
            <w:r>
              <w:rPr>
                <w:rFonts w:eastAsia="Arial" w:cstheme="minorHAnsi"/>
                <w:spacing w:val="-1"/>
                <w:w w:val="101"/>
                <w:szCs w:val="18"/>
              </w:rPr>
              <w:t>o</w:t>
            </w:r>
            <w:r>
              <w:rPr>
                <w:rFonts w:eastAsia="Arial" w:cstheme="minorHAnsi"/>
                <w:w w:val="101"/>
                <w:szCs w:val="18"/>
              </w:rPr>
              <w:t>s</w:t>
            </w:r>
            <w:r>
              <w:rPr>
                <w:rFonts w:eastAsia="Arial" w:cstheme="minorHAnsi"/>
                <w:spacing w:val="-5"/>
                <w:w w:val="101"/>
                <w:szCs w:val="18"/>
              </w:rPr>
              <w:t>p</w:t>
            </w:r>
            <w:r>
              <w:rPr>
                <w:rFonts w:eastAsia="Arial" w:cstheme="minorHAnsi"/>
                <w:spacing w:val="3"/>
                <w:w w:val="101"/>
                <w:szCs w:val="18"/>
              </w:rPr>
              <w:t>i</w:t>
            </w:r>
            <w:r>
              <w:rPr>
                <w:rFonts w:eastAsia="Arial" w:cstheme="minorHAnsi"/>
                <w:w w:val="101"/>
                <w:szCs w:val="18"/>
              </w:rPr>
              <w:t>ć</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28D28F77" w14:textId="04ED10DB" w:rsidR="008878A0" w:rsidRDefault="008878A0" w:rsidP="00B61330">
            <w:pPr>
              <w:spacing w:before="17"/>
              <w:ind w:left="527"/>
              <w:jc w:val="center"/>
              <w:rPr>
                <w:rFonts w:eastAsia="Arial"/>
              </w:rPr>
            </w:pPr>
            <w:r w:rsidRPr="07E5E1E8">
              <w:rPr>
                <w:rFonts w:eastAsia="Arial"/>
                <w:spacing w:val="-1"/>
                <w:w w:val="101"/>
              </w:rPr>
              <w:t>23</w:t>
            </w:r>
            <w:r w:rsidR="40CDDD64" w:rsidRPr="07E5E1E8">
              <w:rPr>
                <w:rFonts w:eastAsia="Arial"/>
                <w:spacing w:val="-1"/>
                <w:w w:val="101"/>
              </w:rPr>
              <w:t>6</w:t>
            </w:r>
          </w:p>
        </w:tc>
        <w:tc>
          <w:tcPr>
            <w:tcW w:w="850" w:type="dxa"/>
            <w:tcBorders>
              <w:top w:val="single" w:sz="8" w:space="0" w:color="F3CFC1"/>
              <w:left w:val="single" w:sz="8" w:space="0" w:color="D2232A" w:themeColor="accent1"/>
              <w:bottom w:val="single" w:sz="8" w:space="0" w:color="F3CFC1"/>
              <w:right w:val="single" w:sz="8" w:space="0" w:color="D2232A" w:themeColor="accent1"/>
            </w:tcBorders>
            <w:hideMark/>
          </w:tcPr>
          <w:p w14:paraId="30D69F39"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7</w:t>
            </w:r>
            <w:r>
              <w:rPr>
                <w:rFonts w:eastAsia="Arial" w:cstheme="minorHAnsi"/>
                <w:b/>
                <w:w w:val="101"/>
                <w:szCs w:val="18"/>
              </w:rPr>
              <w:t>3</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34A72320" w14:textId="77777777" w:rsidR="008878A0" w:rsidRDefault="008878A0" w:rsidP="00B61330">
            <w:pPr>
              <w:spacing w:before="17"/>
              <w:ind w:left="460"/>
              <w:jc w:val="center"/>
              <w:rPr>
                <w:rFonts w:eastAsia="Arial" w:cstheme="minorHAnsi"/>
                <w:szCs w:val="18"/>
              </w:rPr>
            </w:pPr>
            <w:r>
              <w:rPr>
                <w:rFonts w:eastAsia="Arial" w:cstheme="minorHAnsi"/>
                <w:b/>
                <w:spacing w:val="-1"/>
                <w:w w:val="101"/>
                <w:szCs w:val="18"/>
              </w:rPr>
              <w:t>2</w:t>
            </w:r>
            <w:r>
              <w:rPr>
                <w:rFonts w:eastAsia="Arial" w:cstheme="minorHAnsi"/>
                <w:b/>
                <w:w w:val="101"/>
                <w:szCs w:val="18"/>
              </w:rPr>
              <w:t>1</w:t>
            </w:r>
          </w:p>
        </w:tc>
        <w:tc>
          <w:tcPr>
            <w:tcW w:w="992" w:type="dxa"/>
            <w:tcBorders>
              <w:top w:val="single" w:sz="8" w:space="0" w:color="F3CFC1"/>
              <w:left w:val="single" w:sz="8" w:space="0" w:color="D2232A" w:themeColor="accent1"/>
              <w:bottom w:val="single" w:sz="8" w:space="0" w:color="F3CFC1"/>
              <w:right w:val="single" w:sz="8" w:space="0" w:color="D2232A" w:themeColor="accent1"/>
            </w:tcBorders>
            <w:hideMark/>
          </w:tcPr>
          <w:p w14:paraId="0AFB5F2A" w14:textId="4E8CAB0C" w:rsidR="008878A0" w:rsidRDefault="008878A0" w:rsidP="00B61330">
            <w:pPr>
              <w:spacing w:before="17"/>
              <w:ind w:left="489"/>
              <w:jc w:val="center"/>
              <w:rPr>
                <w:rFonts w:eastAsia="Arial"/>
              </w:rPr>
            </w:pPr>
            <w:r w:rsidRPr="07E5E1E8">
              <w:rPr>
                <w:rFonts w:eastAsia="Arial"/>
                <w:spacing w:val="-1"/>
                <w:w w:val="101"/>
              </w:rPr>
              <w:t>1</w:t>
            </w:r>
            <w:r w:rsidRPr="07E5E1E8">
              <w:rPr>
                <w:rFonts w:eastAsia="Arial"/>
                <w:spacing w:val="2"/>
                <w:w w:val="101"/>
              </w:rPr>
              <w:t>.</w:t>
            </w:r>
            <w:r w:rsidR="7E94D045" w:rsidRPr="07E5E1E8">
              <w:rPr>
                <w:rFonts w:eastAsia="Arial"/>
                <w:spacing w:val="2"/>
                <w:w w:val="101"/>
              </w:rPr>
              <w:t>317</w:t>
            </w:r>
          </w:p>
        </w:tc>
        <w:tc>
          <w:tcPr>
            <w:tcW w:w="709" w:type="dxa"/>
            <w:tcBorders>
              <w:top w:val="single" w:sz="8" w:space="0" w:color="F3CFC1"/>
              <w:left w:val="single" w:sz="8" w:space="0" w:color="D2232A" w:themeColor="accent1"/>
              <w:bottom w:val="single" w:sz="8" w:space="0" w:color="F3CFC1"/>
              <w:right w:val="single" w:sz="8" w:space="0" w:color="D2232A" w:themeColor="accent1"/>
            </w:tcBorders>
            <w:hideMark/>
          </w:tcPr>
          <w:p w14:paraId="687E8E3F" w14:textId="77777777" w:rsidR="008878A0" w:rsidRDefault="008878A0" w:rsidP="00B61330">
            <w:pPr>
              <w:spacing w:before="17"/>
              <w:ind w:left="292"/>
              <w:jc w:val="center"/>
              <w:rPr>
                <w:rFonts w:eastAsia="Arial"/>
                <w:b/>
                <w:bCs/>
              </w:rPr>
            </w:pPr>
            <w:r w:rsidRPr="07E5E1E8">
              <w:rPr>
                <w:rFonts w:eastAsia="Arial"/>
                <w:b/>
                <w:bCs/>
                <w:spacing w:val="-1"/>
                <w:w w:val="101"/>
              </w:rPr>
              <w:t>9</w:t>
            </w:r>
          </w:p>
        </w:tc>
        <w:tc>
          <w:tcPr>
            <w:tcW w:w="1275" w:type="dxa"/>
            <w:tcBorders>
              <w:top w:val="single" w:sz="8" w:space="0" w:color="F3CFC1"/>
              <w:left w:val="single" w:sz="8" w:space="0" w:color="D2232A" w:themeColor="accent1"/>
              <w:bottom w:val="single" w:sz="8" w:space="0" w:color="F3CFC1"/>
              <w:right w:val="single" w:sz="8" w:space="0" w:color="D2232A" w:themeColor="accent1"/>
            </w:tcBorders>
            <w:hideMark/>
          </w:tcPr>
          <w:p w14:paraId="5A23E55F" w14:textId="77777777" w:rsidR="008878A0" w:rsidRDefault="7C7CB7AD" w:rsidP="00B61330">
            <w:pPr>
              <w:spacing w:before="17"/>
              <w:ind w:left="455"/>
              <w:jc w:val="center"/>
              <w:rPr>
                <w:rFonts w:eastAsia="Arial"/>
              </w:rPr>
            </w:pPr>
            <w:r w:rsidRPr="07E5E1E8">
              <w:rPr>
                <w:rFonts w:eastAsia="Arial"/>
                <w:spacing w:val="-1"/>
                <w:w w:val="101"/>
              </w:rPr>
              <w:t>837</w:t>
            </w:r>
            <w:r w:rsidR="008878A0" w:rsidRPr="07E5E1E8">
              <w:rPr>
                <w:rFonts w:eastAsia="Arial"/>
                <w:spacing w:val="2"/>
                <w:w w:val="101"/>
              </w:rPr>
              <w:t>.</w:t>
            </w:r>
            <w:r w:rsidR="29E92567" w:rsidRPr="07E5E1E8">
              <w:rPr>
                <w:rFonts w:eastAsia="Arial"/>
                <w:spacing w:val="-1"/>
                <w:w w:val="101"/>
              </w:rPr>
              <w:t>397</w:t>
            </w:r>
          </w:p>
        </w:tc>
        <w:tc>
          <w:tcPr>
            <w:tcW w:w="567" w:type="dxa"/>
            <w:tcBorders>
              <w:top w:val="single" w:sz="8" w:space="0" w:color="F3CFC1"/>
              <w:left w:val="single" w:sz="8" w:space="0" w:color="D2232A" w:themeColor="accent1"/>
              <w:bottom w:val="single" w:sz="8" w:space="0" w:color="F3CFC1"/>
              <w:right w:val="single" w:sz="8" w:space="0" w:color="D2232A" w:themeColor="accent1"/>
            </w:tcBorders>
            <w:hideMark/>
          </w:tcPr>
          <w:p w14:paraId="2E23493A" w14:textId="77777777" w:rsidR="008878A0" w:rsidRDefault="008878A0" w:rsidP="00B61330">
            <w:pPr>
              <w:spacing w:before="17"/>
              <w:ind w:left="292"/>
              <w:jc w:val="center"/>
              <w:rPr>
                <w:rFonts w:eastAsia="Arial" w:cstheme="minorHAnsi"/>
                <w:szCs w:val="18"/>
              </w:rPr>
            </w:pPr>
            <w:r>
              <w:rPr>
                <w:rFonts w:eastAsia="Arial" w:cstheme="minorHAnsi"/>
                <w:b/>
                <w:spacing w:val="-1"/>
                <w:w w:val="101"/>
                <w:szCs w:val="18"/>
              </w:rPr>
              <w:t>9</w:t>
            </w:r>
            <w:r>
              <w:rPr>
                <w:rFonts w:eastAsia="Arial" w:cstheme="minorHAnsi"/>
                <w:b/>
                <w:w w:val="101"/>
                <w:szCs w:val="18"/>
              </w:rPr>
              <w:t>1</w:t>
            </w:r>
          </w:p>
        </w:tc>
        <w:tc>
          <w:tcPr>
            <w:tcW w:w="1134" w:type="dxa"/>
            <w:tcBorders>
              <w:top w:val="single" w:sz="8" w:space="0" w:color="F3CFC1"/>
              <w:left w:val="single" w:sz="8" w:space="0" w:color="D2232A" w:themeColor="accent1"/>
              <w:bottom w:val="single" w:sz="8" w:space="0" w:color="F3CFC1"/>
              <w:right w:val="single" w:sz="8" w:space="0" w:color="D2232A" w:themeColor="accent1"/>
            </w:tcBorders>
            <w:hideMark/>
          </w:tcPr>
          <w:p w14:paraId="1ABCF623" w14:textId="0EE363EE" w:rsidR="008878A0" w:rsidRDefault="008878A0" w:rsidP="00B61330">
            <w:pPr>
              <w:spacing w:before="17"/>
              <w:ind w:left="503"/>
              <w:jc w:val="center"/>
              <w:rPr>
                <w:rFonts w:eastAsia="Arial"/>
              </w:rPr>
            </w:pPr>
            <w:r w:rsidRPr="07E5E1E8">
              <w:rPr>
                <w:rFonts w:eastAsia="Arial"/>
                <w:spacing w:val="-1"/>
                <w:w w:val="101"/>
              </w:rPr>
              <w:t>3</w:t>
            </w:r>
            <w:r w:rsidR="57908C9C" w:rsidRPr="07E5E1E8">
              <w:rPr>
                <w:rFonts w:eastAsia="Arial"/>
                <w:spacing w:val="-1"/>
                <w:w w:val="101"/>
              </w:rPr>
              <w:t>5</w:t>
            </w:r>
            <w:r w:rsidRPr="07E5E1E8">
              <w:rPr>
                <w:rFonts w:eastAsia="Arial"/>
                <w:spacing w:val="2"/>
                <w:w w:val="101"/>
              </w:rPr>
              <w:t>.</w:t>
            </w:r>
            <w:r w:rsidR="562E95F7" w:rsidRPr="07E5E1E8">
              <w:rPr>
                <w:rFonts w:eastAsia="Arial"/>
                <w:spacing w:val="-1"/>
                <w:w w:val="101"/>
              </w:rPr>
              <w:t>651</w:t>
            </w:r>
          </w:p>
        </w:tc>
        <w:tc>
          <w:tcPr>
            <w:tcW w:w="851" w:type="dxa"/>
            <w:tcBorders>
              <w:top w:val="single" w:sz="8" w:space="0" w:color="F3CFC1"/>
              <w:left w:val="single" w:sz="8" w:space="0" w:color="D2232A" w:themeColor="accent1"/>
              <w:bottom w:val="single" w:sz="8" w:space="0" w:color="F3CFC1"/>
              <w:right w:val="single" w:sz="8" w:space="0" w:color="D2232A" w:themeColor="accent1"/>
            </w:tcBorders>
            <w:hideMark/>
          </w:tcPr>
          <w:p w14:paraId="5E3B5BCE" w14:textId="16A7BF80" w:rsidR="008878A0" w:rsidRDefault="008878A0" w:rsidP="00B61330">
            <w:pPr>
              <w:spacing w:before="17"/>
              <w:ind w:left="297"/>
              <w:jc w:val="center"/>
              <w:rPr>
                <w:rFonts w:eastAsia="Arial"/>
                <w:b/>
                <w:bCs/>
              </w:rPr>
            </w:pPr>
            <w:r w:rsidRPr="07E5E1E8">
              <w:rPr>
                <w:rFonts w:eastAsia="Arial"/>
                <w:b/>
                <w:bCs/>
                <w:spacing w:val="-1"/>
                <w:w w:val="101"/>
              </w:rPr>
              <w:t>7</w:t>
            </w:r>
            <w:r w:rsidR="407D0065" w:rsidRPr="07E5E1E8">
              <w:rPr>
                <w:rFonts w:eastAsia="Arial"/>
                <w:b/>
                <w:bCs/>
                <w:spacing w:val="-1"/>
                <w:w w:val="101"/>
              </w:rPr>
              <w:t>8</w:t>
            </w:r>
          </w:p>
        </w:tc>
      </w:tr>
      <w:tr w:rsidR="008878A0" w14:paraId="2212AED7" w14:textId="77777777" w:rsidTr="00B369AC">
        <w:trPr>
          <w:trHeight w:hRule="exact" w:val="280"/>
        </w:trPr>
        <w:tc>
          <w:tcPr>
            <w:tcW w:w="1266"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hideMark/>
          </w:tcPr>
          <w:p w14:paraId="2ACBCD67" w14:textId="77777777" w:rsidR="008878A0" w:rsidRPr="00E64611" w:rsidRDefault="008878A0" w:rsidP="00941871">
            <w:pPr>
              <w:spacing w:before="17"/>
              <w:ind w:left="52"/>
              <w:rPr>
                <w:rFonts w:eastAsia="Arial" w:cstheme="minorHAnsi"/>
                <w:b/>
                <w:color w:val="FFFFFF" w:themeColor="background1"/>
                <w:spacing w:val="2"/>
                <w:w w:val="101"/>
                <w:szCs w:val="18"/>
              </w:rPr>
            </w:pPr>
            <w:r w:rsidRPr="00E64611">
              <w:rPr>
                <w:rFonts w:eastAsia="Arial" w:cstheme="minorHAnsi"/>
                <w:b/>
                <w:color w:val="FFFFFF" w:themeColor="background1"/>
                <w:spacing w:val="-2"/>
                <w:szCs w:val="18"/>
              </w:rPr>
              <w:t>U</w:t>
            </w:r>
            <w:r w:rsidRPr="00E64611">
              <w:rPr>
                <w:rFonts w:eastAsia="Arial" w:cstheme="minorHAnsi"/>
                <w:b/>
                <w:color w:val="FFFFFF" w:themeColor="background1"/>
                <w:spacing w:val="-1"/>
                <w:szCs w:val="18"/>
              </w:rPr>
              <w:t>kupn</w:t>
            </w:r>
            <w:r w:rsidRPr="00E64611">
              <w:rPr>
                <w:rFonts w:eastAsia="Arial" w:cstheme="minorHAnsi"/>
                <w:b/>
                <w:color w:val="FFFFFF" w:themeColor="background1"/>
                <w:szCs w:val="18"/>
              </w:rPr>
              <w:t>o</w:t>
            </w:r>
          </w:p>
        </w:tc>
        <w:tc>
          <w:tcPr>
            <w:tcW w:w="851"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bottom"/>
            <w:hideMark/>
          </w:tcPr>
          <w:p w14:paraId="6793A3FC" w14:textId="70821494" w:rsidR="008878A0" w:rsidRPr="00E64611" w:rsidRDefault="008878A0" w:rsidP="00B61330">
            <w:pPr>
              <w:jc w:val="center"/>
              <w:rPr>
                <w:rFonts w:eastAsia="Arial"/>
                <w:b/>
                <w:bCs/>
                <w:color w:val="FFFFFF" w:themeColor="background1"/>
              </w:rPr>
            </w:pPr>
            <w:r w:rsidRPr="07E5E1E8">
              <w:rPr>
                <w:rFonts w:eastAsia="Arial"/>
                <w:b/>
                <w:bCs/>
                <w:color w:val="FFFFFF" w:themeColor="background1"/>
              </w:rPr>
              <w:t>8</w:t>
            </w:r>
            <w:r w:rsidR="31F36290" w:rsidRPr="07E5E1E8">
              <w:rPr>
                <w:rFonts w:eastAsia="Arial"/>
                <w:b/>
                <w:bCs/>
                <w:color w:val="FFFFFF" w:themeColor="background1"/>
              </w:rPr>
              <w:t>0</w:t>
            </w:r>
            <w:r w:rsidRPr="07E5E1E8">
              <w:rPr>
                <w:rFonts w:eastAsia="Arial"/>
                <w:b/>
                <w:bCs/>
                <w:color w:val="FFFFFF" w:themeColor="background1"/>
              </w:rPr>
              <w:t>.</w:t>
            </w:r>
            <w:r w:rsidR="17D175B6" w:rsidRPr="07E5E1E8">
              <w:rPr>
                <w:rFonts w:eastAsia="Arial"/>
                <w:b/>
                <w:bCs/>
                <w:color w:val="FFFFFF" w:themeColor="background1"/>
              </w:rPr>
              <w:t>989</w:t>
            </w:r>
          </w:p>
        </w:tc>
        <w:tc>
          <w:tcPr>
            <w:tcW w:w="850"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bottom"/>
            <w:hideMark/>
          </w:tcPr>
          <w:p w14:paraId="2606E3E6" w14:textId="77777777" w:rsidR="008878A0" w:rsidRPr="00E64611" w:rsidRDefault="008878A0" w:rsidP="00B61330">
            <w:pPr>
              <w:jc w:val="center"/>
              <w:rPr>
                <w:rFonts w:eastAsia="Arial" w:cstheme="minorHAnsi"/>
                <w:b/>
                <w:color w:val="FFFFFF" w:themeColor="background1"/>
                <w:szCs w:val="18"/>
              </w:rPr>
            </w:pPr>
            <w:r w:rsidRPr="00E64611">
              <w:rPr>
                <w:rFonts w:eastAsia="Arial" w:cstheme="minorHAnsi"/>
                <w:b/>
                <w:color w:val="FFFFFF" w:themeColor="background1"/>
                <w:szCs w:val="18"/>
              </w:rPr>
              <w:t>-</w:t>
            </w:r>
          </w:p>
        </w:tc>
        <w:tc>
          <w:tcPr>
            <w:tcW w:w="851"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bottom"/>
            <w:hideMark/>
          </w:tcPr>
          <w:p w14:paraId="7161B0DD" w14:textId="77777777" w:rsidR="008878A0" w:rsidRPr="00E64611" w:rsidRDefault="008878A0" w:rsidP="00B61330">
            <w:pPr>
              <w:jc w:val="center"/>
              <w:rPr>
                <w:rFonts w:eastAsia="Arial" w:cstheme="minorHAnsi"/>
                <w:b/>
                <w:color w:val="FFFFFF" w:themeColor="background1"/>
                <w:szCs w:val="18"/>
              </w:rPr>
            </w:pPr>
            <w:r w:rsidRPr="00E64611">
              <w:rPr>
                <w:rFonts w:eastAsia="Arial" w:cstheme="minorHAnsi"/>
                <w:b/>
                <w:color w:val="FFFFFF" w:themeColor="background1"/>
                <w:szCs w:val="18"/>
              </w:rPr>
              <w:t>-</w:t>
            </w:r>
          </w:p>
        </w:tc>
        <w:tc>
          <w:tcPr>
            <w:tcW w:w="992"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bottom"/>
            <w:hideMark/>
          </w:tcPr>
          <w:p w14:paraId="4BCB04F9" w14:textId="0D113509" w:rsidR="008878A0" w:rsidRPr="00E64611" w:rsidRDefault="50AD3013" w:rsidP="00B61330">
            <w:pPr>
              <w:spacing w:before="17"/>
              <w:ind w:left="489"/>
              <w:jc w:val="center"/>
              <w:rPr>
                <w:rFonts w:eastAsia="Arial"/>
                <w:b/>
                <w:bCs/>
                <w:color w:val="FFFFFF" w:themeColor="background1"/>
                <w:spacing w:val="-1"/>
                <w:w w:val="101"/>
              </w:rPr>
            </w:pPr>
            <w:r w:rsidRPr="07E5E1E8">
              <w:rPr>
                <w:rFonts w:eastAsia="Arial"/>
                <w:b/>
                <w:bCs/>
                <w:color w:val="FFFFFF" w:themeColor="background1"/>
                <w:spacing w:val="-1"/>
                <w:w w:val="101"/>
              </w:rPr>
              <w:t>616</w:t>
            </w:r>
            <w:r w:rsidR="008878A0" w:rsidRPr="07E5E1E8">
              <w:rPr>
                <w:rFonts w:eastAsia="Arial"/>
                <w:b/>
                <w:bCs/>
                <w:color w:val="FFFFFF" w:themeColor="background1"/>
                <w:spacing w:val="-1"/>
                <w:w w:val="101"/>
              </w:rPr>
              <w:t>.</w:t>
            </w:r>
            <w:r w:rsidR="672A8BC2" w:rsidRPr="07E5E1E8">
              <w:rPr>
                <w:rFonts w:eastAsia="Arial"/>
                <w:b/>
                <w:bCs/>
                <w:color w:val="FFFFFF" w:themeColor="background1"/>
                <w:spacing w:val="-1"/>
                <w:w w:val="101"/>
              </w:rPr>
              <w:t>301</w:t>
            </w:r>
          </w:p>
        </w:tc>
        <w:tc>
          <w:tcPr>
            <w:tcW w:w="709"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bottom"/>
            <w:hideMark/>
          </w:tcPr>
          <w:p w14:paraId="468A9382" w14:textId="77777777" w:rsidR="008878A0" w:rsidRPr="00E64611" w:rsidRDefault="008878A0" w:rsidP="00B61330">
            <w:pPr>
              <w:spacing w:before="17"/>
              <w:ind w:left="489"/>
              <w:jc w:val="center"/>
              <w:rPr>
                <w:rFonts w:eastAsia="Arial" w:cstheme="minorHAnsi"/>
                <w:b/>
                <w:color w:val="FFFFFF" w:themeColor="background1"/>
                <w:spacing w:val="-1"/>
                <w:w w:val="101"/>
                <w:szCs w:val="18"/>
              </w:rPr>
            </w:pPr>
            <w:r w:rsidRPr="00E64611">
              <w:rPr>
                <w:rFonts w:eastAsia="Arial" w:cstheme="minorHAnsi"/>
                <w:b/>
                <w:color w:val="FFFFFF" w:themeColor="background1"/>
                <w:spacing w:val="-1"/>
                <w:w w:val="101"/>
                <w:szCs w:val="18"/>
              </w:rPr>
              <w:t>-</w:t>
            </w:r>
          </w:p>
        </w:tc>
        <w:tc>
          <w:tcPr>
            <w:tcW w:w="1275"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bottom"/>
            <w:hideMark/>
          </w:tcPr>
          <w:p w14:paraId="4D49ADE7" w14:textId="501883F0" w:rsidR="008878A0" w:rsidRPr="00E64611" w:rsidRDefault="008878A0" w:rsidP="00B61330">
            <w:pPr>
              <w:spacing w:before="17"/>
              <w:jc w:val="center"/>
              <w:rPr>
                <w:rFonts w:eastAsia="Arial"/>
                <w:b/>
                <w:bCs/>
                <w:color w:val="FFFFFF" w:themeColor="background1"/>
                <w:spacing w:val="-1"/>
                <w:w w:val="101"/>
              </w:rPr>
            </w:pPr>
            <w:r w:rsidRPr="07E5E1E8">
              <w:rPr>
                <w:rFonts w:eastAsia="Arial"/>
                <w:b/>
                <w:bCs/>
                <w:color w:val="FFFFFF" w:themeColor="background1"/>
              </w:rPr>
              <w:t>5</w:t>
            </w:r>
            <w:r w:rsidR="1089500B" w:rsidRPr="07E5E1E8">
              <w:rPr>
                <w:rFonts w:eastAsia="Arial"/>
                <w:b/>
                <w:bCs/>
                <w:color w:val="FFFFFF" w:themeColor="background1"/>
              </w:rPr>
              <w:t>66</w:t>
            </w:r>
            <w:r w:rsidRPr="07E5E1E8">
              <w:rPr>
                <w:rFonts w:eastAsia="Arial"/>
                <w:b/>
                <w:bCs/>
                <w:color w:val="FFFFFF" w:themeColor="background1"/>
              </w:rPr>
              <w:t>.</w:t>
            </w:r>
            <w:r w:rsidR="25D4AD31" w:rsidRPr="07E5E1E8">
              <w:rPr>
                <w:rFonts w:eastAsia="Arial"/>
                <w:b/>
                <w:bCs/>
                <w:color w:val="FFFFFF" w:themeColor="background1"/>
              </w:rPr>
              <w:t>741</w:t>
            </w:r>
            <w:r w:rsidRPr="07E5E1E8">
              <w:rPr>
                <w:rFonts w:eastAsia="Arial"/>
                <w:b/>
                <w:bCs/>
                <w:color w:val="FFFFFF" w:themeColor="background1"/>
              </w:rPr>
              <w:t>.</w:t>
            </w:r>
            <w:r w:rsidR="5ED71D1B" w:rsidRPr="07E5E1E8">
              <w:rPr>
                <w:rFonts w:eastAsia="Arial"/>
                <w:b/>
                <w:bCs/>
                <w:color w:val="FFFFFF" w:themeColor="background1"/>
                <w:spacing w:val="-1"/>
                <w:w w:val="101"/>
              </w:rPr>
              <w:t>164</w:t>
            </w:r>
          </w:p>
        </w:tc>
        <w:tc>
          <w:tcPr>
            <w:tcW w:w="567"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bottom"/>
            <w:hideMark/>
          </w:tcPr>
          <w:p w14:paraId="1EA1624B" w14:textId="77777777" w:rsidR="008878A0" w:rsidRPr="00E64611" w:rsidRDefault="008878A0" w:rsidP="00B61330">
            <w:pPr>
              <w:spacing w:before="17"/>
              <w:ind w:left="489"/>
              <w:jc w:val="center"/>
              <w:rPr>
                <w:rFonts w:eastAsia="Arial" w:cstheme="minorHAnsi"/>
                <w:b/>
                <w:color w:val="FFFFFF" w:themeColor="background1"/>
                <w:spacing w:val="-1"/>
                <w:w w:val="101"/>
                <w:szCs w:val="18"/>
              </w:rPr>
            </w:pPr>
            <w:r w:rsidRPr="00E64611">
              <w:rPr>
                <w:rFonts w:eastAsia="Arial" w:cstheme="minorHAnsi"/>
                <w:b/>
                <w:color w:val="FFFFFF" w:themeColor="background1"/>
                <w:spacing w:val="-1"/>
                <w:w w:val="101"/>
                <w:szCs w:val="18"/>
              </w:rPr>
              <w:t>-</w:t>
            </w:r>
          </w:p>
        </w:tc>
        <w:tc>
          <w:tcPr>
            <w:tcW w:w="1134"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bottom"/>
            <w:hideMark/>
          </w:tcPr>
          <w:p w14:paraId="304495E3" w14:textId="3059546F" w:rsidR="008878A0" w:rsidRPr="00E64611" w:rsidRDefault="008878A0" w:rsidP="00B61330">
            <w:pPr>
              <w:spacing w:before="17"/>
              <w:jc w:val="center"/>
              <w:rPr>
                <w:rFonts w:eastAsia="Arial"/>
                <w:b/>
                <w:bCs/>
                <w:color w:val="FFFFFF" w:themeColor="background1"/>
                <w:spacing w:val="-1"/>
                <w:w w:val="101"/>
              </w:rPr>
            </w:pPr>
            <w:r w:rsidRPr="07E5E1E8">
              <w:rPr>
                <w:rFonts w:eastAsia="Arial"/>
                <w:b/>
                <w:bCs/>
                <w:color w:val="FFFFFF" w:themeColor="background1"/>
              </w:rPr>
              <w:t>2</w:t>
            </w:r>
            <w:r w:rsidR="19835494" w:rsidRPr="07E5E1E8">
              <w:rPr>
                <w:rFonts w:eastAsia="Arial"/>
                <w:b/>
                <w:bCs/>
                <w:color w:val="FFFFFF" w:themeColor="background1"/>
              </w:rPr>
              <w:t>3</w:t>
            </w:r>
            <w:r w:rsidRPr="07E5E1E8">
              <w:rPr>
                <w:rFonts w:eastAsia="Arial"/>
                <w:b/>
                <w:bCs/>
                <w:color w:val="FFFFFF" w:themeColor="background1"/>
              </w:rPr>
              <w:t>.</w:t>
            </w:r>
            <w:r w:rsidR="13E224D8" w:rsidRPr="07E5E1E8">
              <w:rPr>
                <w:rFonts w:eastAsia="Arial"/>
                <w:b/>
                <w:bCs/>
                <w:color w:val="FFFFFF" w:themeColor="background1"/>
              </w:rPr>
              <w:t>145</w:t>
            </w:r>
            <w:r w:rsidRPr="07E5E1E8">
              <w:rPr>
                <w:rFonts w:eastAsia="Arial"/>
                <w:b/>
                <w:bCs/>
                <w:color w:val="FFFFFF" w:themeColor="background1"/>
                <w:spacing w:val="-1"/>
                <w:w w:val="101"/>
              </w:rPr>
              <w:t>.</w:t>
            </w:r>
            <w:r w:rsidR="6FF0ABC9" w:rsidRPr="07E5E1E8">
              <w:rPr>
                <w:rFonts w:eastAsia="Arial"/>
                <w:b/>
                <w:bCs/>
                <w:color w:val="FFFFFF" w:themeColor="background1"/>
                <w:spacing w:val="-1"/>
                <w:w w:val="101"/>
              </w:rPr>
              <w:t>339</w:t>
            </w:r>
          </w:p>
        </w:tc>
        <w:tc>
          <w:tcPr>
            <w:tcW w:w="851"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bottom"/>
            <w:hideMark/>
          </w:tcPr>
          <w:p w14:paraId="5236F99C" w14:textId="77777777" w:rsidR="008878A0" w:rsidRPr="00E64611" w:rsidRDefault="008878A0" w:rsidP="00B61330">
            <w:pPr>
              <w:spacing w:before="17"/>
              <w:ind w:left="489"/>
              <w:jc w:val="center"/>
              <w:rPr>
                <w:rFonts w:eastAsia="Arial" w:cstheme="minorHAnsi"/>
                <w:b/>
                <w:color w:val="FFFFFF" w:themeColor="background1"/>
                <w:spacing w:val="-1"/>
                <w:w w:val="101"/>
                <w:szCs w:val="18"/>
              </w:rPr>
            </w:pPr>
            <w:r w:rsidRPr="00E64611">
              <w:rPr>
                <w:rFonts w:eastAsia="Arial" w:cstheme="minorHAnsi"/>
                <w:b/>
                <w:color w:val="FFFFFF" w:themeColor="background1"/>
                <w:spacing w:val="-1"/>
                <w:w w:val="101"/>
                <w:szCs w:val="18"/>
              </w:rPr>
              <w:t>-</w:t>
            </w:r>
          </w:p>
        </w:tc>
      </w:tr>
      <w:tr w:rsidR="008878A0" w14:paraId="224766EE" w14:textId="77777777" w:rsidTr="00B369AC">
        <w:trPr>
          <w:trHeight w:hRule="exact" w:val="280"/>
        </w:trPr>
        <w:tc>
          <w:tcPr>
            <w:tcW w:w="1266"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hideMark/>
          </w:tcPr>
          <w:p w14:paraId="41CA276D" w14:textId="77777777" w:rsidR="008878A0" w:rsidRPr="00E64611" w:rsidRDefault="008878A0" w:rsidP="00941871">
            <w:pPr>
              <w:spacing w:before="17"/>
              <w:ind w:left="52"/>
              <w:rPr>
                <w:rFonts w:eastAsia="Arial" w:cstheme="minorHAnsi"/>
                <w:b/>
                <w:spacing w:val="2"/>
                <w:w w:val="101"/>
                <w:szCs w:val="18"/>
              </w:rPr>
            </w:pPr>
            <w:r w:rsidRPr="00E64611">
              <w:rPr>
                <w:rFonts w:eastAsia="Arial" w:cstheme="minorHAnsi"/>
                <w:b/>
                <w:spacing w:val="-2"/>
                <w:szCs w:val="18"/>
              </w:rPr>
              <w:t>R</w:t>
            </w:r>
            <w:r w:rsidRPr="00E64611">
              <w:rPr>
                <w:rFonts w:eastAsia="Arial" w:cstheme="minorHAnsi"/>
                <w:b/>
                <w:szCs w:val="18"/>
              </w:rPr>
              <w:t>H</w:t>
            </w:r>
            <w:r w:rsidRPr="00E64611">
              <w:rPr>
                <w:rFonts w:cstheme="minorHAnsi"/>
                <w:b/>
                <w:szCs w:val="18"/>
              </w:rPr>
              <w:t xml:space="preserve">      </w:t>
            </w:r>
          </w:p>
        </w:tc>
        <w:tc>
          <w:tcPr>
            <w:tcW w:w="851"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vAlign w:val="bottom"/>
            <w:hideMark/>
          </w:tcPr>
          <w:p w14:paraId="035758B8" w14:textId="00E16589" w:rsidR="008878A0" w:rsidRPr="00E64611" w:rsidRDefault="008878A0" w:rsidP="00B61330">
            <w:pPr>
              <w:jc w:val="center"/>
              <w:rPr>
                <w:rFonts w:eastAsia="Arial"/>
                <w:b/>
                <w:bCs/>
              </w:rPr>
            </w:pPr>
            <w:r w:rsidRPr="07E5E1E8">
              <w:rPr>
                <w:rFonts w:eastAsia="Arial"/>
                <w:b/>
                <w:bCs/>
              </w:rPr>
              <w:t>13</w:t>
            </w:r>
            <w:r w:rsidR="75575812" w:rsidRPr="07E5E1E8">
              <w:rPr>
                <w:rFonts w:eastAsia="Arial"/>
                <w:b/>
                <w:bCs/>
              </w:rPr>
              <w:t>6</w:t>
            </w:r>
            <w:r w:rsidRPr="07E5E1E8">
              <w:rPr>
                <w:rFonts w:eastAsia="Arial"/>
                <w:b/>
                <w:bCs/>
              </w:rPr>
              <w:t>.</w:t>
            </w:r>
            <w:r w:rsidR="2145E777" w:rsidRPr="07E5E1E8">
              <w:rPr>
                <w:rFonts w:eastAsia="Arial"/>
                <w:b/>
                <w:bCs/>
              </w:rPr>
              <w:t>260</w:t>
            </w:r>
          </w:p>
        </w:tc>
        <w:tc>
          <w:tcPr>
            <w:tcW w:w="850"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vAlign w:val="bottom"/>
            <w:hideMark/>
          </w:tcPr>
          <w:p w14:paraId="48F32F55" w14:textId="77777777" w:rsidR="008878A0" w:rsidRPr="00E64611" w:rsidRDefault="008878A0" w:rsidP="00B61330">
            <w:pPr>
              <w:jc w:val="center"/>
              <w:rPr>
                <w:rFonts w:eastAsia="Arial" w:cstheme="minorHAnsi"/>
                <w:b/>
                <w:szCs w:val="18"/>
              </w:rPr>
            </w:pPr>
            <w:r w:rsidRPr="00E64611">
              <w:rPr>
                <w:rFonts w:eastAsia="Arial" w:cstheme="minorHAnsi"/>
                <w:b/>
                <w:szCs w:val="18"/>
              </w:rPr>
              <w:t>-</w:t>
            </w:r>
          </w:p>
        </w:tc>
        <w:tc>
          <w:tcPr>
            <w:tcW w:w="851"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vAlign w:val="bottom"/>
            <w:hideMark/>
          </w:tcPr>
          <w:p w14:paraId="346BBB54" w14:textId="77777777" w:rsidR="008878A0" w:rsidRPr="00E64611" w:rsidRDefault="008878A0" w:rsidP="00B61330">
            <w:pPr>
              <w:jc w:val="center"/>
              <w:rPr>
                <w:rFonts w:eastAsia="Arial" w:cstheme="minorHAnsi"/>
                <w:b/>
                <w:szCs w:val="18"/>
              </w:rPr>
            </w:pPr>
            <w:r w:rsidRPr="00E64611">
              <w:rPr>
                <w:rFonts w:eastAsia="Arial" w:cstheme="minorHAnsi"/>
                <w:b/>
                <w:szCs w:val="18"/>
              </w:rPr>
              <w:t>-</w:t>
            </w:r>
          </w:p>
        </w:tc>
        <w:tc>
          <w:tcPr>
            <w:tcW w:w="992"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vAlign w:val="bottom"/>
            <w:hideMark/>
          </w:tcPr>
          <w:p w14:paraId="23FE4B20" w14:textId="3FEF4F4B" w:rsidR="008878A0" w:rsidRPr="00E64611" w:rsidRDefault="008878A0" w:rsidP="00B61330">
            <w:pPr>
              <w:spacing w:before="17"/>
              <w:ind w:left="489"/>
              <w:jc w:val="center"/>
              <w:rPr>
                <w:rFonts w:eastAsia="Arial"/>
                <w:b/>
                <w:bCs/>
                <w:spacing w:val="-1"/>
                <w:w w:val="101"/>
              </w:rPr>
            </w:pPr>
            <w:r w:rsidRPr="07E5E1E8">
              <w:rPr>
                <w:rFonts w:eastAsia="Arial"/>
                <w:b/>
                <w:bCs/>
                <w:spacing w:val="-1"/>
                <w:w w:val="101"/>
              </w:rPr>
              <w:t>9</w:t>
            </w:r>
            <w:r w:rsidR="79CD99A9" w:rsidRPr="07E5E1E8">
              <w:rPr>
                <w:rFonts w:eastAsia="Arial"/>
                <w:b/>
                <w:bCs/>
                <w:spacing w:val="-1"/>
                <w:w w:val="101"/>
              </w:rPr>
              <w:t>69</w:t>
            </w:r>
            <w:r w:rsidRPr="07E5E1E8">
              <w:rPr>
                <w:rFonts w:eastAsia="Arial"/>
                <w:b/>
                <w:bCs/>
                <w:spacing w:val="-1"/>
                <w:w w:val="101"/>
              </w:rPr>
              <w:t>.</w:t>
            </w:r>
            <w:r w:rsidR="5EE8F99B" w:rsidRPr="07E5E1E8">
              <w:rPr>
                <w:rFonts w:eastAsia="Arial"/>
                <w:b/>
                <w:bCs/>
                <w:spacing w:val="-1"/>
                <w:w w:val="101"/>
              </w:rPr>
              <w:t>776</w:t>
            </w:r>
          </w:p>
        </w:tc>
        <w:tc>
          <w:tcPr>
            <w:tcW w:w="709"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vAlign w:val="bottom"/>
            <w:hideMark/>
          </w:tcPr>
          <w:p w14:paraId="6D94DAA5" w14:textId="77777777" w:rsidR="008878A0" w:rsidRPr="00E64611" w:rsidRDefault="008878A0" w:rsidP="00B61330">
            <w:pPr>
              <w:spacing w:before="17"/>
              <w:ind w:left="489"/>
              <w:jc w:val="center"/>
              <w:rPr>
                <w:rFonts w:eastAsia="Arial" w:cstheme="minorHAnsi"/>
                <w:b/>
                <w:spacing w:val="-1"/>
                <w:w w:val="101"/>
                <w:szCs w:val="18"/>
              </w:rPr>
            </w:pPr>
            <w:r w:rsidRPr="00E64611">
              <w:rPr>
                <w:rFonts w:eastAsia="Arial" w:cstheme="minorHAnsi"/>
                <w:b/>
                <w:spacing w:val="-1"/>
                <w:w w:val="101"/>
                <w:szCs w:val="18"/>
              </w:rPr>
              <w:t>-</w:t>
            </w:r>
          </w:p>
        </w:tc>
        <w:tc>
          <w:tcPr>
            <w:tcW w:w="1275"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vAlign w:val="bottom"/>
            <w:hideMark/>
          </w:tcPr>
          <w:p w14:paraId="0294EBD9" w14:textId="3ECC8F98" w:rsidR="008878A0" w:rsidRPr="00E64611" w:rsidRDefault="008878A0" w:rsidP="00B61330">
            <w:pPr>
              <w:spacing w:before="17"/>
              <w:jc w:val="center"/>
              <w:rPr>
                <w:rFonts w:eastAsia="Arial"/>
                <w:b/>
                <w:bCs/>
                <w:spacing w:val="-1"/>
                <w:w w:val="101"/>
              </w:rPr>
            </w:pPr>
            <w:r w:rsidRPr="07E5E1E8">
              <w:rPr>
                <w:rFonts w:eastAsia="Arial"/>
                <w:b/>
                <w:bCs/>
              </w:rPr>
              <w:t>7</w:t>
            </w:r>
            <w:r w:rsidR="4D55F775" w:rsidRPr="07E5E1E8">
              <w:rPr>
                <w:rFonts w:eastAsia="Arial"/>
                <w:b/>
                <w:bCs/>
              </w:rPr>
              <w:t>96</w:t>
            </w:r>
            <w:r w:rsidRPr="07E5E1E8">
              <w:rPr>
                <w:rFonts w:eastAsia="Arial"/>
                <w:b/>
                <w:bCs/>
              </w:rPr>
              <w:t>.</w:t>
            </w:r>
            <w:r w:rsidR="3E06D58B" w:rsidRPr="07E5E1E8">
              <w:rPr>
                <w:rFonts w:eastAsia="Arial"/>
                <w:b/>
                <w:bCs/>
              </w:rPr>
              <w:t>126</w:t>
            </w:r>
            <w:r w:rsidRPr="07E5E1E8">
              <w:rPr>
                <w:rFonts w:eastAsia="Arial"/>
                <w:b/>
                <w:bCs/>
              </w:rPr>
              <w:t>.</w:t>
            </w:r>
            <w:r w:rsidR="678E97E9" w:rsidRPr="07E5E1E8">
              <w:rPr>
                <w:rFonts w:eastAsia="Arial"/>
                <w:b/>
                <w:bCs/>
                <w:spacing w:val="-1"/>
                <w:w w:val="101"/>
              </w:rPr>
              <w:t>33</w:t>
            </w:r>
            <w:r w:rsidRPr="07E5E1E8">
              <w:rPr>
                <w:rFonts w:eastAsia="Arial"/>
                <w:b/>
                <w:bCs/>
                <w:spacing w:val="-1"/>
                <w:w w:val="101"/>
              </w:rPr>
              <w:t>5</w:t>
            </w:r>
          </w:p>
        </w:tc>
        <w:tc>
          <w:tcPr>
            <w:tcW w:w="567"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vAlign w:val="bottom"/>
            <w:hideMark/>
          </w:tcPr>
          <w:p w14:paraId="262899B5" w14:textId="77777777" w:rsidR="008878A0" w:rsidRPr="00E64611" w:rsidRDefault="008878A0" w:rsidP="00B61330">
            <w:pPr>
              <w:spacing w:before="17"/>
              <w:ind w:left="489"/>
              <w:jc w:val="center"/>
              <w:rPr>
                <w:rFonts w:eastAsia="Arial" w:cstheme="minorHAnsi"/>
                <w:b/>
                <w:spacing w:val="-1"/>
                <w:w w:val="101"/>
                <w:szCs w:val="18"/>
              </w:rPr>
            </w:pPr>
            <w:r w:rsidRPr="00E64611">
              <w:rPr>
                <w:rFonts w:eastAsia="Arial" w:cstheme="minorHAnsi"/>
                <w:b/>
                <w:spacing w:val="-1"/>
                <w:w w:val="101"/>
                <w:szCs w:val="18"/>
              </w:rPr>
              <w:t>-</w:t>
            </w:r>
          </w:p>
        </w:tc>
        <w:tc>
          <w:tcPr>
            <w:tcW w:w="1134"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vAlign w:val="bottom"/>
            <w:hideMark/>
          </w:tcPr>
          <w:p w14:paraId="7E9D7F3B" w14:textId="588B32F8" w:rsidR="008878A0" w:rsidRPr="00E64611" w:rsidRDefault="456026E0" w:rsidP="00B61330">
            <w:pPr>
              <w:jc w:val="center"/>
              <w:rPr>
                <w:rFonts w:eastAsia="Arial"/>
                <w:b/>
                <w:bCs/>
              </w:rPr>
            </w:pPr>
            <w:r w:rsidRPr="07E5E1E8">
              <w:rPr>
                <w:rFonts w:eastAsia="Arial"/>
                <w:b/>
                <w:bCs/>
              </w:rPr>
              <w:t>31</w:t>
            </w:r>
            <w:r w:rsidR="008878A0" w:rsidRPr="07E5E1E8">
              <w:rPr>
                <w:rFonts w:eastAsia="Arial"/>
                <w:b/>
                <w:bCs/>
              </w:rPr>
              <w:t>.2</w:t>
            </w:r>
            <w:r w:rsidR="11786E8D" w:rsidRPr="07E5E1E8">
              <w:rPr>
                <w:rFonts w:eastAsia="Arial"/>
                <w:b/>
                <w:bCs/>
              </w:rPr>
              <w:t>81</w:t>
            </w:r>
            <w:r w:rsidR="008878A0" w:rsidRPr="07E5E1E8">
              <w:rPr>
                <w:rFonts w:eastAsia="Arial"/>
                <w:b/>
                <w:bCs/>
              </w:rPr>
              <w:t>.</w:t>
            </w:r>
            <w:r w:rsidR="1C020F91" w:rsidRPr="07E5E1E8">
              <w:rPr>
                <w:rFonts w:eastAsia="Arial"/>
                <w:b/>
                <w:bCs/>
              </w:rPr>
              <w:t>333</w:t>
            </w:r>
          </w:p>
        </w:tc>
        <w:tc>
          <w:tcPr>
            <w:tcW w:w="851" w:type="dxa"/>
            <w:tcBorders>
              <w:top w:val="single" w:sz="8" w:space="0" w:color="F3CFC1"/>
              <w:left w:val="single" w:sz="8" w:space="0" w:color="D2232A" w:themeColor="accent1"/>
              <w:bottom w:val="single" w:sz="8" w:space="0" w:color="F3CFC1"/>
              <w:right w:val="single" w:sz="8" w:space="0" w:color="D2232A" w:themeColor="accent1"/>
            </w:tcBorders>
            <w:shd w:val="clear" w:color="auto" w:fill="E5E5E5" w:themeFill="text1" w:themeFillTint="33"/>
            <w:vAlign w:val="bottom"/>
            <w:hideMark/>
          </w:tcPr>
          <w:p w14:paraId="7B270067" w14:textId="77777777" w:rsidR="008878A0" w:rsidRPr="00E64611" w:rsidRDefault="008878A0" w:rsidP="00B61330">
            <w:pPr>
              <w:spacing w:before="17"/>
              <w:ind w:left="489"/>
              <w:jc w:val="center"/>
              <w:rPr>
                <w:rFonts w:eastAsia="Arial" w:cstheme="minorHAnsi"/>
                <w:b/>
                <w:spacing w:val="-1"/>
                <w:w w:val="101"/>
                <w:szCs w:val="18"/>
              </w:rPr>
            </w:pPr>
            <w:r w:rsidRPr="00E64611">
              <w:rPr>
                <w:rFonts w:eastAsia="Arial" w:cstheme="minorHAnsi"/>
                <w:b/>
                <w:spacing w:val="-1"/>
                <w:w w:val="101"/>
                <w:szCs w:val="18"/>
              </w:rPr>
              <w:t>-</w:t>
            </w:r>
          </w:p>
        </w:tc>
      </w:tr>
      <w:tr w:rsidR="008878A0" w14:paraId="53785289" w14:textId="77777777" w:rsidTr="00B369AC">
        <w:trPr>
          <w:trHeight w:hRule="exact" w:val="280"/>
        </w:trPr>
        <w:tc>
          <w:tcPr>
            <w:tcW w:w="1266" w:type="dxa"/>
            <w:tcBorders>
              <w:top w:val="single" w:sz="8" w:space="0" w:color="F3CFC1"/>
              <w:left w:val="single" w:sz="8" w:space="0" w:color="D2232A" w:themeColor="accent1"/>
              <w:right w:val="single" w:sz="8" w:space="0" w:color="D2232A" w:themeColor="accent1"/>
            </w:tcBorders>
            <w:shd w:val="clear" w:color="auto" w:fill="E5E5E5" w:themeFill="text1" w:themeFillTint="33"/>
            <w:hideMark/>
          </w:tcPr>
          <w:p w14:paraId="28448783" w14:textId="77777777" w:rsidR="008878A0" w:rsidRPr="00E64611" w:rsidRDefault="008878A0" w:rsidP="07E5E1E8">
            <w:pPr>
              <w:spacing w:before="17"/>
              <w:ind w:left="52"/>
              <w:rPr>
                <w:rFonts w:eastAsia="Arial"/>
                <w:b/>
                <w:bCs/>
                <w:spacing w:val="2"/>
                <w:w w:val="101"/>
              </w:rPr>
            </w:pPr>
            <w:r w:rsidRPr="07E5E1E8">
              <w:rPr>
                <w:rFonts w:eastAsia="Arial"/>
                <w:b/>
                <w:bCs/>
                <w:spacing w:val="2"/>
                <w:w w:val="101"/>
              </w:rPr>
              <w:t xml:space="preserve">Udjeli u %        </w:t>
            </w:r>
          </w:p>
        </w:tc>
        <w:tc>
          <w:tcPr>
            <w:tcW w:w="851" w:type="dxa"/>
            <w:tcBorders>
              <w:top w:val="single" w:sz="8" w:space="0" w:color="F3CFC1"/>
              <w:left w:val="single" w:sz="8" w:space="0" w:color="D2232A" w:themeColor="accent1"/>
              <w:right w:val="single" w:sz="8" w:space="0" w:color="D2232A" w:themeColor="accent1"/>
            </w:tcBorders>
            <w:shd w:val="clear" w:color="auto" w:fill="E5E5E5" w:themeFill="text1" w:themeFillTint="33"/>
            <w:vAlign w:val="bottom"/>
            <w:hideMark/>
          </w:tcPr>
          <w:p w14:paraId="680F7844" w14:textId="5DE6ED4D" w:rsidR="008878A0" w:rsidRPr="00E64611" w:rsidRDefault="008878A0" w:rsidP="00B61330">
            <w:pPr>
              <w:jc w:val="center"/>
              <w:rPr>
                <w:rFonts w:eastAsia="Arial"/>
                <w:b/>
                <w:bCs/>
              </w:rPr>
            </w:pPr>
            <w:r w:rsidRPr="07E5E1E8">
              <w:rPr>
                <w:rFonts w:eastAsia="Arial"/>
                <w:b/>
                <w:bCs/>
              </w:rPr>
              <w:t>59,</w:t>
            </w:r>
            <w:r w:rsidR="5C064216" w:rsidRPr="07E5E1E8">
              <w:rPr>
                <w:rFonts w:eastAsia="Arial"/>
                <w:b/>
                <w:bCs/>
              </w:rPr>
              <w:t>4</w:t>
            </w:r>
            <w:r w:rsidRPr="07E5E1E8">
              <w:rPr>
                <w:rFonts w:eastAsia="Arial"/>
                <w:b/>
                <w:bCs/>
              </w:rPr>
              <w:t>%</w:t>
            </w:r>
          </w:p>
        </w:tc>
        <w:tc>
          <w:tcPr>
            <w:tcW w:w="850" w:type="dxa"/>
            <w:tcBorders>
              <w:top w:val="single" w:sz="8" w:space="0" w:color="F3CFC1"/>
              <w:left w:val="single" w:sz="8" w:space="0" w:color="D2232A" w:themeColor="accent1"/>
              <w:right w:val="single" w:sz="8" w:space="0" w:color="D2232A" w:themeColor="accent1"/>
            </w:tcBorders>
            <w:shd w:val="clear" w:color="auto" w:fill="E5E5E5" w:themeFill="text1" w:themeFillTint="33"/>
            <w:vAlign w:val="bottom"/>
            <w:hideMark/>
          </w:tcPr>
          <w:p w14:paraId="3485B414" w14:textId="77777777" w:rsidR="008878A0" w:rsidRPr="00E64611" w:rsidRDefault="008878A0" w:rsidP="00B61330">
            <w:pPr>
              <w:jc w:val="center"/>
              <w:rPr>
                <w:rFonts w:eastAsia="Arial" w:cstheme="minorHAnsi"/>
                <w:b/>
                <w:szCs w:val="18"/>
              </w:rPr>
            </w:pPr>
            <w:r w:rsidRPr="00E64611">
              <w:rPr>
                <w:rFonts w:eastAsia="Arial" w:cstheme="minorHAnsi"/>
                <w:b/>
                <w:szCs w:val="18"/>
              </w:rPr>
              <w:t>-</w:t>
            </w:r>
          </w:p>
        </w:tc>
        <w:tc>
          <w:tcPr>
            <w:tcW w:w="851" w:type="dxa"/>
            <w:tcBorders>
              <w:top w:val="single" w:sz="8" w:space="0" w:color="F3CFC1"/>
              <w:left w:val="single" w:sz="8" w:space="0" w:color="D2232A" w:themeColor="accent1"/>
              <w:right w:val="single" w:sz="8" w:space="0" w:color="D2232A" w:themeColor="accent1"/>
            </w:tcBorders>
            <w:shd w:val="clear" w:color="auto" w:fill="E5E5E5" w:themeFill="text1" w:themeFillTint="33"/>
            <w:vAlign w:val="bottom"/>
            <w:hideMark/>
          </w:tcPr>
          <w:p w14:paraId="085A21E9" w14:textId="77777777" w:rsidR="008878A0" w:rsidRPr="00E64611" w:rsidRDefault="008878A0" w:rsidP="00B61330">
            <w:pPr>
              <w:jc w:val="center"/>
              <w:rPr>
                <w:rFonts w:eastAsia="Arial" w:cstheme="minorHAnsi"/>
                <w:b/>
                <w:szCs w:val="18"/>
              </w:rPr>
            </w:pPr>
            <w:r w:rsidRPr="00E64611">
              <w:rPr>
                <w:rFonts w:eastAsia="Arial" w:cstheme="minorHAnsi"/>
                <w:b/>
                <w:szCs w:val="18"/>
              </w:rPr>
              <w:t>-</w:t>
            </w:r>
          </w:p>
        </w:tc>
        <w:tc>
          <w:tcPr>
            <w:tcW w:w="992" w:type="dxa"/>
            <w:tcBorders>
              <w:top w:val="single" w:sz="8" w:space="0" w:color="F3CFC1"/>
              <w:left w:val="single" w:sz="8" w:space="0" w:color="D2232A" w:themeColor="accent1"/>
              <w:right w:val="single" w:sz="8" w:space="0" w:color="D2232A" w:themeColor="accent1"/>
            </w:tcBorders>
            <w:shd w:val="clear" w:color="auto" w:fill="E5E5E5" w:themeFill="text1" w:themeFillTint="33"/>
            <w:vAlign w:val="bottom"/>
            <w:hideMark/>
          </w:tcPr>
          <w:p w14:paraId="04D3956E" w14:textId="77777777" w:rsidR="008878A0" w:rsidRPr="00E64611" w:rsidRDefault="008878A0" w:rsidP="00B61330">
            <w:pPr>
              <w:spacing w:before="17"/>
              <w:ind w:left="489"/>
              <w:jc w:val="center"/>
              <w:rPr>
                <w:rFonts w:eastAsia="Arial" w:cstheme="minorHAnsi"/>
                <w:b/>
                <w:spacing w:val="-1"/>
                <w:w w:val="101"/>
                <w:szCs w:val="18"/>
              </w:rPr>
            </w:pPr>
            <w:r w:rsidRPr="00E64611">
              <w:rPr>
                <w:rFonts w:eastAsia="Arial" w:cstheme="minorHAnsi"/>
                <w:b/>
                <w:spacing w:val="-1"/>
                <w:w w:val="101"/>
                <w:szCs w:val="18"/>
              </w:rPr>
              <w:t>63,6%</w:t>
            </w:r>
          </w:p>
        </w:tc>
        <w:tc>
          <w:tcPr>
            <w:tcW w:w="709" w:type="dxa"/>
            <w:tcBorders>
              <w:top w:val="single" w:sz="8" w:space="0" w:color="F3CFC1"/>
              <w:left w:val="single" w:sz="8" w:space="0" w:color="D2232A" w:themeColor="accent1"/>
              <w:right w:val="single" w:sz="8" w:space="0" w:color="D2232A" w:themeColor="accent1"/>
            </w:tcBorders>
            <w:shd w:val="clear" w:color="auto" w:fill="E5E5E5" w:themeFill="text1" w:themeFillTint="33"/>
            <w:vAlign w:val="bottom"/>
            <w:hideMark/>
          </w:tcPr>
          <w:p w14:paraId="44184FC3" w14:textId="77777777" w:rsidR="008878A0" w:rsidRPr="00E64611" w:rsidRDefault="008878A0" w:rsidP="00B61330">
            <w:pPr>
              <w:spacing w:before="17"/>
              <w:ind w:left="489"/>
              <w:jc w:val="center"/>
              <w:rPr>
                <w:rFonts w:eastAsia="Arial" w:cstheme="minorHAnsi"/>
                <w:b/>
                <w:spacing w:val="-1"/>
                <w:w w:val="101"/>
                <w:szCs w:val="18"/>
              </w:rPr>
            </w:pPr>
            <w:r w:rsidRPr="00E64611">
              <w:rPr>
                <w:rFonts w:eastAsia="Arial" w:cstheme="minorHAnsi"/>
                <w:b/>
                <w:spacing w:val="-1"/>
                <w:w w:val="101"/>
                <w:szCs w:val="18"/>
              </w:rPr>
              <w:t>-</w:t>
            </w:r>
          </w:p>
        </w:tc>
        <w:tc>
          <w:tcPr>
            <w:tcW w:w="1275" w:type="dxa"/>
            <w:tcBorders>
              <w:top w:val="single" w:sz="8" w:space="0" w:color="F3CFC1"/>
              <w:left w:val="single" w:sz="8" w:space="0" w:color="D2232A" w:themeColor="accent1"/>
              <w:right w:val="single" w:sz="8" w:space="0" w:color="D2232A" w:themeColor="accent1"/>
            </w:tcBorders>
            <w:shd w:val="clear" w:color="auto" w:fill="E5E5E5" w:themeFill="text1" w:themeFillTint="33"/>
            <w:vAlign w:val="bottom"/>
            <w:hideMark/>
          </w:tcPr>
          <w:p w14:paraId="73B8CB85" w14:textId="77777777" w:rsidR="008878A0" w:rsidRPr="00E64611" w:rsidRDefault="008878A0" w:rsidP="00B61330">
            <w:pPr>
              <w:spacing w:before="17"/>
              <w:ind w:left="489"/>
              <w:jc w:val="center"/>
              <w:rPr>
                <w:rFonts w:eastAsia="Arial" w:cstheme="minorHAnsi"/>
                <w:b/>
                <w:spacing w:val="-1"/>
                <w:w w:val="101"/>
                <w:szCs w:val="18"/>
              </w:rPr>
            </w:pPr>
            <w:r w:rsidRPr="00E64611">
              <w:rPr>
                <w:rFonts w:eastAsia="Arial" w:cstheme="minorHAnsi"/>
                <w:b/>
                <w:spacing w:val="-1"/>
                <w:w w:val="101"/>
                <w:szCs w:val="18"/>
              </w:rPr>
              <w:t>71,2%</w:t>
            </w:r>
          </w:p>
        </w:tc>
        <w:tc>
          <w:tcPr>
            <w:tcW w:w="567" w:type="dxa"/>
            <w:tcBorders>
              <w:top w:val="single" w:sz="8" w:space="0" w:color="F3CFC1"/>
              <w:left w:val="single" w:sz="8" w:space="0" w:color="D2232A" w:themeColor="accent1"/>
              <w:right w:val="single" w:sz="8" w:space="0" w:color="D2232A" w:themeColor="accent1"/>
            </w:tcBorders>
            <w:shd w:val="clear" w:color="auto" w:fill="E5E5E5" w:themeFill="text1" w:themeFillTint="33"/>
            <w:vAlign w:val="bottom"/>
            <w:hideMark/>
          </w:tcPr>
          <w:p w14:paraId="1364ABCC" w14:textId="77777777" w:rsidR="008878A0" w:rsidRPr="00E64611" w:rsidRDefault="008878A0" w:rsidP="00B61330">
            <w:pPr>
              <w:spacing w:before="17"/>
              <w:ind w:left="489"/>
              <w:jc w:val="center"/>
              <w:rPr>
                <w:rFonts w:eastAsia="Arial" w:cstheme="minorHAnsi"/>
                <w:b/>
                <w:spacing w:val="-1"/>
                <w:w w:val="101"/>
                <w:szCs w:val="18"/>
              </w:rPr>
            </w:pPr>
            <w:r w:rsidRPr="00E64611">
              <w:rPr>
                <w:rFonts w:eastAsia="Arial" w:cstheme="minorHAnsi"/>
                <w:b/>
                <w:spacing w:val="-1"/>
                <w:w w:val="101"/>
                <w:szCs w:val="18"/>
              </w:rPr>
              <w:t>-</w:t>
            </w:r>
          </w:p>
        </w:tc>
        <w:tc>
          <w:tcPr>
            <w:tcW w:w="1134" w:type="dxa"/>
            <w:tcBorders>
              <w:top w:val="single" w:sz="8" w:space="0" w:color="F3CFC1"/>
              <w:left w:val="single" w:sz="8" w:space="0" w:color="D2232A" w:themeColor="accent1"/>
              <w:right w:val="single" w:sz="8" w:space="0" w:color="D2232A" w:themeColor="accent1"/>
            </w:tcBorders>
            <w:shd w:val="clear" w:color="auto" w:fill="E5E5E5" w:themeFill="text1" w:themeFillTint="33"/>
            <w:vAlign w:val="bottom"/>
            <w:hideMark/>
          </w:tcPr>
          <w:p w14:paraId="181F7BF7" w14:textId="51C6D6C5" w:rsidR="008878A0" w:rsidRPr="00E64611" w:rsidRDefault="008878A0" w:rsidP="00B61330">
            <w:pPr>
              <w:spacing w:before="17"/>
              <w:ind w:left="489"/>
              <w:jc w:val="center"/>
              <w:rPr>
                <w:rFonts w:eastAsia="Arial"/>
                <w:b/>
                <w:bCs/>
                <w:spacing w:val="-1"/>
                <w:w w:val="101"/>
              </w:rPr>
            </w:pPr>
            <w:r w:rsidRPr="07E5E1E8">
              <w:rPr>
                <w:rFonts w:eastAsia="Arial"/>
                <w:b/>
                <w:bCs/>
                <w:spacing w:val="-1"/>
                <w:w w:val="101"/>
              </w:rPr>
              <w:t>7</w:t>
            </w:r>
            <w:r w:rsidR="3959ADCA" w:rsidRPr="07E5E1E8">
              <w:rPr>
                <w:rFonts w:eastAsia="Arial"/>
                <w:b/>
                <w:bCs/>
                <w:spacing w:val="-1"/>
                <w:w w:val="101"/>
              </w:rPr>
              <w:t>4</w:t>
            </w:r>
            <w:r w:rsidRPr="07E5E1E8">
              <w:rPr>
                <w:rFonts w:eastAsia="Arial"/>
                <w:b/>
                <w:bCs/>
                <w:spacing w:val="-1"/>
                <w:w w:val="101"/>
              </w:rPr>
              <w:t>,</w:t>
            </w:r>
            <w:r w:rsidR="156BFF89" w:rsidRPr="07E5E1E8">
              <w:rPr>
                <w:rFonts w:eastAsia="Arial"/>
                <w:b/>
                <w:bCs/>
                <w:spacing w:val="-1"/>
                <w:w w:val="101"/>
              </w:rPr>
              <w:t>0</w:t>
            </w:r>
            <w:r w:rsidRPr="07E5E1E8">
              <w:rPr>
                <w:rFonts w:eastAsia="Arial"/>
                <w:b/>
                <w:bCs/>
                <w:spacing w:val="-1"/>
                <w:w w:val="101"/>
              </w:rPr>
              <w:t>%</w:t>
            </w:r>
          </w:p>
        </w:tc>
        <w:tc>
          <w:tcPr>
            <w:tcW w:w="851" w:type="dxa"/>
            <w:tcBorders>
              <w:top w:val="single" w:sz="8" w:space="0" w:color="F3CFC1"/>
              <w:left w:val="single" w:sz="8" w:space="0" w:color="D2232A" w:themeColor="accent1"/>
              <w:right w:val="single" w:sz="8" w:space="0" w:color="D2232A" w:themeColor="accent1"/>
            </w:tcBorders>
            <w:shd w:val="clear" w:color="auto" w:fill="E5E5E5" w:themeFill="text1" w:themeFillTint="33"/>
            <w:vAlign w:val="bottom"/>
            <w:hideMark/>
          </w:tcPr>
          <w:p w14:paraId="0AE377D1" w14:textId="77777777" w:rsidR="008878A0" w:rsidRPr="00E64611" w:rsidRDefault="008878A0" w:rsidP="00B61330">
            <w:pPr>
              <w:spacing w:before="17"/>
              <w:ind w:left="489"/>
              <w:jc w:val="center"/>
              <w:rPr>
                <w:rFonts w:eastAsia="Arial" w:cstheme="minorHAnsi"/>
                <w:b/>
                <w:spacing w:val="-1"/>
                <w:w w:val="101"/>
                <w:szCs w:val="18"/>
              </w:rPr>
            </w:pPr>
            <w:r w:rsidRPr="00E64611">
              <w:rPr>
                <w:rFonts w:eastAsia="Arial" w:cstheme="minorHAnsi"/>
                <w:b/>
                <w:spacing w:val="-1"/>
                <w:w w:val="101"/>
                <w:szCs w:val="18"/>
              </w:rPr>
              <w:t>-</w:t>
            </w:r>
          </w:p>
        </w:tc>
      </w:tr>
    </w:tbl>
    <w:p w14:paraId="75344248" w14:textId="070D2F23" w:rsidR="008878A0" w:rsidRPr="00A40471" w:rsidRDefault="008878A0" w:rsidP="00A40471">
      <w:pPr>
        <w:autoSpaceDE w:val="0"/>
        <w:autoSpaceDN w:val="0"/>
        <w:adjustRightInd w:val="0"/>
        <w:spacing w:after="0" w:line="240" w:lineRule="auto"/>
        <w:rPr>
          <w:rFonts w:eastAsia="ArialNarrow" w:cstheme="minorHAnsi"/>
          <w:i/>
          <w:color w:val="ABABAB" w:themeColor="text1" w:themeTint="A6"/>
          <w:sz w:val="16"/>
          <w:szCs w:val="16"/>
        </w:rPr>
      </w:pPr>
      <w:r w:rsidRPr="00A40471">
        <w:rPr>
          <w:rFonts w:eastAsia="ArialNarrow" w:cstheme="minorHAnsi"/>
          <w:i/>
          <w:color w:val="ABABAB" w:themeColor="text1" w:themeTint="A6"/>
          <w:sz w:val="16"/>
          <w:szCs w:val="16"/>
        </w:rPr>
        <w:t>Izvor: FINA, Analiza financijskih rezultata poslovanja poduzetnika Krapinsko</w:t>
      </w:r>
      <w:r w:rsidR="00C719D8" w:rsidRPr="00A40471">
        <w:rPr>
          <w:rFonts w:eastAsia="ArialNarrow" w:cstheme="minorHAnsi"/>
          <w:i/>
          <w:color w:val="ABABAB" w:themeColor="text1" w:themeTint="A6"/>
          <w:sz w:val="16"/>
          <w:szCs w:val="16"/>
        </w:rPr>
        <w:t>-zagorske županije u 201</w:t>
      </w:r>
      <w:r w:rsidR="62E1C935" w:rsidRPr="00A40471">
        <w:rPr>
          <w:rFonts w:eastAsia="ArialNarrow" w:cstheme="minorHAnsi"/>
          <w:i/>
          <w:color w:val="ABABAB" w:themeColor="text1" w:themeTint="A6"/>
          <w:sz w:val="16"/>
          <w:szCs w:val="16"/>
        </w:rPr>
        <w:t>9</w:t>
      </w:r>
      <w:r w:rsidR="00C719D8" w:rsidRPr="00A40471">
        <w:rPr>
          <w:rFonts w:eastAsia="ArialNarrow" w:cstheme="minorHAnsi"/>
          <w:i/>
          <w:color w:val="ABABAB" w:themeColor="text1" w:themeTint="A6"/>
          <w:sz w:val="16"/>
          <w:szCs w:val="16"/>
        </w:rPr>
        <w:t>. g</w:t>
      </w:r>
      <w:r w:rsidRPr="00A40471">
        <w:rPr>
          <w:rFonts w:eastAsia="ArialNarrow" w:cstheme="minorHAnsi"/>
          <w:i/>
          <w:color w:val="ABABAB" w:themeColor="text1" w:themeTint="A6"/>
          <w:sz w:val="16"/>
          <w:szCs w:val="16"/>
        </w:rPr>
        <w:t>odini</w:t>
      </w:r>
    </w:p>
    <w:p w14:paraId="5B567282" w14:textId="77777777" w:rsidR="0058734F" w:rsidRDefault="0058734F" w:rsidP="0025746B">
      <w:pPr>
        <w:autoSpaceDE w:val="0"/>
        <w:autoSpaceDN w:val="0"/>
        <w:adjustRightInd w:val="0"/>
        <w:rPr>
          <w:rFonts w:cstheme="minorHAnsi"/>
        </w:rPr>
      </w:pPr>
    </w:p>
    <w:p w14:paraId="70DFC6AE" w14:textId="0745424D" w:rsidR="008878A0" w:rsidRDefault="0025746B" w:rsidP="07E5E1E8">
      <w:pPr>
        <w:autoSpaceDE w:val="0"/>
        <w:autoSpaceDN w:val="0"/>
        <w:adjustRightInd w:val="0"/>
      </w:pPr>
      <w:r w:rsidRPr="07E5E1E8">
        <w:t>Usporedbom podataka za 2016., 2017.</w:t>
      </w:r>
      <w:r w:rsidR="51E2FCED" w:rsidRPr="07E5E1E8">
        <w:t xml:space="preserve">, </w:t>
      </w:r>
      <w:r w:rsidRPr="07E5E1E8">
        <w:t xml:space="preserve">2018. </w:t>
      </w:r>
      <w:r w:rsidR="01A484FA" w:rsidRPr="07E5E1E8">
        <w:t xml:space="preserve">I 2019. </w:t>
      </w:r>
      <w:r w:rsidR="5B59F74E" w:rsidRPr="07E5E1E8">
        <w:t>G</w:t>
      </w:r>
      <w:r w:rsidRPr="07E5E1E8">
        <w:t>odinu</w:t>
      </w:r>
      <w:r w:rsidR="5B59F74E" w:rsidRPr="07E5E1E8">
        <w:t>,</w:t>
      </w:r>
      <w:r w:rsidRPr="07E5E1E8">
        <w:t xml:space="preserve"> </w:t>
      </w:r>
      <w:r w:rsidR="00D352DD" w:rsidRPr="07E5E1E8">
        <w:t xml:space="preserve">utvrđeno je kako je prema broju poduzetnika na razini županijskih središta Grad Krapina u sve </w:t>
      </w:r>
      <w:r w:rsidR="08D4503A" w:rsidRPr="07E5E1E8">
        <w:t>četiri</w:t>
      </w:r>
      <w:r w:rsidR="00D352DD" w:rsidRPr="07E5E1E8">
        <w:t xml:space="preserve"> promatrane godine na 20. mjestu. Prema broju poduzetnika na razini RH rang se mijenjao od 54. do 5</w:t>
      </w:r>
      <w:r w:rsidR="36E8FEB1" w:rsidRPr="07E5E1E8">
        <w:t>6</w:t>
      </w:r>
      <w:r w:rsidR="00D352DD" w:rsidRPr="07E5E1E8">
        <w:t>. mjesta. Prema ukupnom prihodu</w:t>
      </w:r>
      <w:r w:rsidR="0DA187CF" w:rsidRPr="07E5E1E8">
        <w:t>,</w:t>
      </w:r>
      <w:r w:rsidR="00D352DD" w:rsidRPr="07E5E1E8">
        <w:t xml:space="preserve"> Krapina je pala s 43. mjesta</w:t>
      </w:r>
      <w:r w:rsidR="007027E3" w:rsidRPr="07E5E1E8">
        <w:t xml:space="preserve"> 2016.</w:t>
      </w:r>
      <w:r w:rsidR="00D352DD" w:rsidRPr="07E5E1E8">
        <w:t xml:space="preserve"> na 47. mjesto</w:t>
      </w:r>
      <w:r w:rsidR="007027E3" w:rsidRPr="07E5E1E8">
        <w:t xml:space="preserve"> 2018.</w:t>
      </w:r>
      <w:r w:rsidR="2BBD8F6F" w:rsidRPr="07E5E1E8">
        <w:t xml:space="preserve"> te je ponovo ostvarila 43. mjesto 2019. godine.</w:t>
      </w:r>
    </w:p>
    <w:p w14:paraId="236981BA" w14:textId="77777777" w:rsidR="00FD7F29" w:rsidRPr="0025746B" w:rsidRDefault="00FD7F29" w:rsidP="0025746B">
      <w:pPr>
        <w:autoSpaceDE w:val="0"/>
        <w:autoSpaceDN w:val="0"/>
        <w:adjustRightInd w:val="0"/>
        <w:rPr>
          <w:rFonts w:cstheme="minorHAnsi"/>
        </w:rPr>
      </w:pPr>
    </w:p>
    <w:p w14:paraId="53D5EB3C" w14:textId="270D3414" w:rsidR="008878A0" w:rsidRDefault="00B601EE" w:rsidP="0052192B">
      <w:pPr>
        <w:pStyle w:val="Naslov2"/>
      </w:pPr>
      <w:bookmarkStart w:id="139" w:name="_Hlk66786927"/>
      <w:bookmarkStart w:id="140" w:name="_Toc85181327"/>
      <w:r>
        <w:t>10</w:t>
      </w:r>
      <w:r w:rsidR="008878A0">
        <w:t>.</w:t>
      </w:r>
      <w:r w:rsidR="007D6366">
        <w:t>3</w:t>
      </w:r>
      <w:r w:rsidR="008878A0">
        <w:t>. Konkurentnost poduzetništva Krapinsko-zagorske županije</w:t>
      </w:r>
      <w:bookmarkEnd w:id="140"/>
      <w:r w:rsidR="008878A0">
        <w:t xml:space="preserve"> </w:t>
      </w:r>
    </w:p>
    <w:p w14:paraId="2A793020" w14:textId="7548BF29" w:rsidR="008B6817" w:rsidRDefault="008878A0" w:rsidP="007027E3">
      <w:pPr>
        <w:autoSpaceDE w:val="0"/>
        <w:autoSpaceDN w:val="0"/>
        <w:adjustRightInd w:val="0"/>
        <w:rPr>
          <w:rFonts w:cstheme="minorHAnsi"/>
        </w:rPr>
      </w:pPr>
      <w:r>
        <w:rPr>
          <w:rFonts w:cstheme="minorHAnsi"/>
        </w:rPr>
        <w:br/>
        <w:t xml:space="preserve">Jedan od osnovnih pokazatelja konkurentnosti poduzetništva određenog područja je broj poduzeća koji ukazuje na postojeći </w:t>
      </w:r>
      <w:r w:rsidR="00F97618">
        <w:rPr>
          <w:rFonts w:cstheme="minorHAnsi"/>
        </w:rPr>
        <w:t>poduzetnički potencijal</w:t>
      </w:r>
      <w:r>
        <w:rPr>
          <w:rFonts w:cstheme="minorHAnsi"/>
        </w:rPr>
        <w:t>. Broj poduzeća na 1000 stanovnika te po kilometru kvadratnom površine županije u Krapinsko-zag</w:t>
      </w:r>
      <w:r w:rsidR="008607E8">
        <w:rPr>
          <w:rFonts w:cstheme="minorHAnsi"/>
        </w:rPr>
        <w:t>orskoj županiji, Sjevernoj</w:t>
      </w:r>
      <w:r>
        <w:rPr>
          <w:rFonts w:cstheme="minorHAnsi"/>
        </w:rPr>
        <w:t xml:space="preserve"> Hrvatskoj te na nacionalnoj razini prikazan je u nastavku.</w:t>
      </w:r>
    </w:p>
    <w:p w14:paraId="4806E3F5" w14:textId="77777777" w:rsidR="00563651" w:rsidRDefault="00563651" w:rsidP="007027E3">
      <w:pPr>
        <w:autoSpaceDE w:val="0"/>
        <w:autoSpaceDN w:val="0"/>
        <w:adjustRightInd w:val="0"/>
        <w:rPr>
          <w:rFonts w:cstheme="minorHAnsi"/>
        </w:rPr>
      </w:pPr>
    </w:p>
    <w:p w14:paraId="6ADDC08A" w14:textId="24CB5E26" w:rsidR="00E64611" w:rsidRPr="00FD7F29" w:rsidRDefault="008878A0" w:rsidP="003E3F3C">
      <w:pPr>
        <w:pStyle w:val="Opisslike"/>
      </w:pPr>
      <w:r>
        <w:t xml:space="preserve">Tablica </w:t>
      </w:r>
      <w:r w:rsidR="00FB072D">
        <w:rPr>
          <w:noProof/>
        </w:rPr>
        <w:t>7</w:t>
      </w:r>
      <w:r w:rsidR="000D5E3F">
        <w:rPr>
          <w:noProof/>
        </w:rPr>
        <w:t>7</w:t>
      </w:r>
      <w:r w:rsidR="00FD7F29" w:rsidRPr="4E193667">
        <w:rPr>
          <w:noProof/>
        </w:rPr>
        <w:t>.</w:t>
      </w:r>
      <w:r>
        <w:t xml:space="preserve"> Broj poduzeća na 1000 stanovnika te po kilometru kvadratnom površine, Krapinsko-z</w:t>
      </w:r>
      <w:r w:rsidR="007027E3">
        <w:t xml:space="preserve">agorska županija, Sjeverna </w:t>
      </w:r>
      <w:r>
        <w:t xml:space="preserve">Hrvatska i Republika Hrvatska, </w:t>
      </w:r>
      <w:r w:rsidRPr="00AB5E3D">
        <w:t>2010. - 201</w:t>
      </w:r>
      <w:r w:rsidR="00AB5E3D" w:rsidRPr="00AB5E3D">
        <w:t>9</w:t>
      </w:r>
      <w:r w:rsidRPr="00AB5E3D">
        <w:t>.</w:t>
      </w:r>
      <w:r>
        <w:t xml:space="preserve"> </w:t>
      </w:r>
      <w:r w:rsidR="00830899">
        <w:t>g</w:t>
      </w:r>
      <w:r>
        <w:t>odina</w:t>
      </w:r>
    </w:p>
    <w:tbl>
      <w:tblPr>
        <w:tblStyle w:val="Reetkatablice"/>
        <w:tblW w:w="9327" w:type="dxa"/>
        <w:tblInd w:w="0" w:type="dxa"/>
        <w:tblLayout w:type="fixed"/>
        <w:tblLook w:val="06A0" w:firstRow="1" w:lastRow="0" w:firstColumn="1" w:lastColumn="0" w:noHBand="1" w:noVBand="1"/>
      </w:tblPr>
      <w:tblGrid>
        <w:gridCol w:w="951"/>
        <w:gridCol w:w="1308"/>
        <w:gridCol w:w="1385"/>
        <w:gridCol w:w="1284"/>
        <w:gridCol w:w="1572"/>
        <w:gridCol w:w="1442"/>
        <w:gridCol w:w="1385"/>
      </w:tblGrid>
      <w:tr w:rsidR="4E193667" w14:paraId="00E9D747" w14:textId="77777777" w:rsidTr="000C01F7">
        <w:trPr>
          <w:trHeight w:val="423"/>
        </w:trPr>
        <w:tc>
          <w:tcPr>
            <w:tcW w:w="951" w:type="dxa"/>
            <w:vMerge w:val="restart"/>
            <w:tcBorders>
              <w:top w:val="single" w:sz="4" w:space="0" w:color="FFFFFF" w:themeColor="background1"/>
              <w:left w:val="single" w:sz="4" w:space="0" w:color="FFFFFF" w:themeColor="background1"/>
              <w:bottom w:val="single" w:sz="8" w:space="0" w:color="F3CFC1"/>
              <w:right w:val="single" w:sz="8" w:space="0" w:color="FFFFFF" w:themeColor="background1"/>
            </w:tcBorders>
            <w:shd w:val="clear" w:color="auto" w:fill="D2232A" w:themeFill="accent1"/>
            <w:vAlign w:val="center"/>
          </w:tcPr>
          <w:p w14:paraId="51393BB7" w14:textId="02D7ED1A" w:rsidR="4E193667" w:rsidRDefault="4E193667" w:rsidP="00830899">
            <w:pPr>
              <w:spacing w:before="17" w:after="120" w:line="264" w:lineRule="auto"/>
              <w:ind w:left="52"/>
              <w:rPr>
                <w:rFonts w:ascii="Arial" w:eastAsia="Arial" w:hAnsi="Arial" w:cs="Arial"/>
                <w:color w:val="FFFFFF" w:themeColor="background1"/>
                <w:szCs w:val="18"/>
              </w:rPr>
            </w:pPr>
            <w:r w:rsidRPr="00830899">
              <w:rPr>
                <w:rFonts w:eastAsia="Arial" w:cstheme="minorHAnsi"/>
                <w:color w:val="FFFFFF" w:themeColor="background1"/>
                <w:spacing w:val="-2"/>
                <w:w w:val="101"/>
                <w:szCs w:val="18"/>
              </w:rPr>
              <w:t>Godina</w:t>
            </w:r>
          </w:p>
        </w:tc>
        <w:tc>
          <w:tcPr>
            <w:tcW w:w="2693" w:type="dxa"/>
            <w:gridSpan w:val="2"/>
            <w:vMerge w:val="restart"/>
            <w:tcBorders>
              <w:top w:val="single" w:sz="4" w:space="0" w:color="FFFFFF" w:themeColor="background1"/>
              <w:left w:val="single" w:sz="8" w:space="0" w:color="FFFFFF" w:themeColor="background1"/>
              <w:bottom w:val="single" w:sz="8" w:space="0" w:color="F3CFC1"/>
              <w:right w:val="single" w:sz="8" w:space="0" w:color="D2232A" w:themeColor="accent1"/>
            </w:tcBorders>
            <w:shd w:val="clear" w:color="auto" w:fill="D2232A" w:themeFill="accent1"/>
            <w:vAlign w:val="center"/>
          </w:tcPr>
          <w:p w14:paraId="4EBC6CDC" w14:textId="160B2084" w:rsidR="4E193667" w:rsidRDefault="4E193667" w:rsidP="00830899">
            <w:pPr>
              <w:spacing w:before="17" w:after="120" w:line="264" w:lineRule="auto"/>
              <w:ind w:left="52"/>
              <w:jc w:val="center"/>
            </w:pPr>
            <w:r w:rsidRPr="00830899">
              <w:rPr>
                <w:rFonts w:eastAsia="Arial" w:cstheme="minorHAnsi"/>
                <w:color w:val="FFFFFF" w:themeColor="background1"/>
                <w:spacing w:val="-2"/>
                <w:w w:val="101"/>
                <w:szCs w:val="18"/>
              </w:rPr>
              <w:t>KZŽ</w:t>
            </w:r>
          </w:p>
        </w:tc>
        <w:tc>
          <w:tcPr>
            <w:tcW w:w="2856" w:type="dxa"/>
            <w:gridSpan w:val="2"/>
            <w:vMerge w:val="restart"/>
            <w:tcBorders>
              <w:top w:val="single" w:sz="4" w:space="0" w:color="FFFFFF" w:themeColor="background1"/>
              <w:left w:val="single" w:sz="8" w:space="0" w:color="D2232A" w:themeColor="accent1"/>
              <w:bottom w:val="single" w:sz="8" w:space="0" w:color="D2232A" w:themeColor="accent1"/>
              <w:right w:val="single" w:sz="4" w:space="0" w:color="FFFFFF" w:themeColor="background1"/>
            </w:tcBorders>
            <w:shd w:val="clear" w:color="auto" w:fill="E5E5E5" w:themeFill="text1" w:themeFillTint="33"/>
            <w:vAlign w:val="center"/>
          </w:tcPr>
          <w:p w14:paraId="5C7C9238" w14:textId="32883F90" w:rsidR="4E193667" w:rsidRDefault="4E193667" w:rsidP="00830899">
            <w:pPr>
              <w:spacing w:before="17" w:after="120" w:line="264" w:lineRule="auto"/>
              <w:ind w:left="52"/>
              <w:jc w:val="center"/>
            </w:pPr>
            <w:r w:rsidRPr="00830899">
              <w:rPr>
                <w:rFonts w:eastAsia="Arial" w:cstheme="minorHAnsi"/>
                <w:color w:val="auto"/>
                <w:spacing w:val="-2"/>
                <w:w w:val="101"/>
                <w:szCs w:val="18"/>
              </w:rPr>
              <w:t>SJEVERNA HRVATSKA</w:t>
            </w:r>
          </w:p>
        </w:tc>
        <w:tc>
          <w:tcPr>
            <w:tcW w:w="2827" w:type="dxa"/>
            <w:gridSpan w:val="2"/>
            <w:vMerge w:val="restart"/>
            <w:tcBorders>
              <w:top w:val="single" w:sz="4" w:space="0" w:color="FFFFFF" w:themeColor="background1"/>
              <w:left w:val="single" w:sz="4" w:space="0" w:color="FFFFFF" w:themeColor="background1"/>
              <w:bottom w:val="single" w:sz="8" w:space="0" w:color="D2232A" w:themeColor="accent1"/>
              <w:right w:val="single" w:sz="4" w:space="0" w:color="FFFFFF" w:themeColor="background1"/>
            </w:tcBorders>
            <w:shd w:val="clear" w:color="auto" w:fill="E5E5E5" w:themeFill="text1" w:themeFillTint="33"/>
            <w:vAlign w:val="center"/>
          </w:tcPr>
          <w:p w14:paraId="1D850629" w14:textId="549D8625" w:rsidR="4E193667" w:rsidRDefault="4E193667" w:rsidP="00830899">
            <w:pPr>
              <w:spacing w:before="17" w:after="120" w:line="264" w:lineRule="auto"/>
              <w:ind w:left="52"/>
              <w:jc w:val="center"/>
              <w:rPr>
                <w:rFonts w:ascii="Arial" w:eastAsia="Arial" w:hAnsi="Arial" w:cs="Arial"/>
                <w:szCs w:val="18"/>
              </w:rPr>
            </w:pPr>
            <w:r w:rsidRPr="00830899">
              <w:rPr>
                <w:rFonts w:eastAsia="Arial" w:cstheme="minorHAnsi"/>
                <w:color w:val="auto"/>
                <w:spacing w:val="-2"/>
                <w:w w:val="101"/>
                <w:szCs w:val="18"/>
              </w:rPr>
              <w:t>REPUBLIKA HRVATSKA</w:t>
            </w:r>
          </w:p>
        </w:tc>
      </w:tr>
      <w:tr w:rsidR="4E193667" w14:paraId="6F5134B8" w14:textId="77777777" w:rsidTr="000C01F7">
        <w:trPr>
          <w:trHeight w:val="225"/>
        </w:trPr>
        <w:tc>
          <w:tcPr>
            <w:tcW w:w="951" w:type="dxa"/>
            <w:vMerge/>
            <w:tcBorders>
              <w:left w:val="single" w:sz="4" w:space="0" w:color="FFFFFF" w:themeColor="background1"/>
              <w:right w:val="single" w:sz="0" w:space="0" w:color="FFFFFF" w:themeColor="background1"/>
            </w:tcBorders>
            <w:vAlign w:val="center"/>
          </w:tcPr>
          <w:p w14:paraId="2AB7E38F" w14:textId="77777777" w:rsidR="0006033B" w:rsidRDefault="0006033B"/>
        </w:tc>
        <w:tc>
          <w:tcPr>
            <w:tcW w:w="2693" w:type="dxa"/>
            <w:gridSpan w:val="2"/>
            <w:vMerge/>
            <w:tcBorders>
              <w:left w:val="single" w:sz="0" w:space="0" w:color="FFFFFF" w:themeColor="background1"/>
              <w:bottom w:val="single" w:sz="4" w:space="0" w:color="FFFFFF" w:themeColor="background1"/>
              <w:right w:val="single" w:sz="0" w:space="0" w:color="D2232A" w:themeColor="accent1"/>
            </w:tcBorders>
            <w:vAlign w:val="center"/>
          </w:tcPr>
          <w:p w14:paraId="56159EA9" w14:textId="77777777" w:rsidR="0006033B" w:rsidRDefault="0006033B"/>
        </w:tc>
        <w:tc>
          <w:tcPr>
            <w:tcW w:w="2856" w:type="dxa"/>
            <w:gridSpan w:val="2"/>
            <w:vMerge/>
            <w:tcBorders>
              <w:left w:val="single" w:sz="0" w:space="0" w:color="D2232A" w:themeColor="accent1"/>
              <w:bottom w:val="single" w:sz="4" w:space="0" w:color="FFFFFF" w:themeColor="background1"/>
              <w:right w:val="single" w:sz="4" w:space="0" w:color="FFFFFF" w:themeColor="background1"/>
            </w:tcBorders>
            <w:vAlign w:val="center"/>
          </w:tcPr>
          <w:p w14:paraId="188C91B2" w14:textId="77777777" w:rsidR="0006033B" w:rsidRDefault="0006033B"/>
        </w:tc>
        <w:tc>
          <w:tcPr>
            <w:tcW w:w="2827" w:type="dxa"/>
            <w:gridSpan w:val="2"/>
            <w:vMerge/>
            <w:tcBorders>
              <w:left w:val="single" w:sz="4" w:space="0" w:color="FFFFFF" w:themeColor="background1"/>
              <w:bottom w:val="single" w:sz="4" w:space="0" w:color="FFFFFF" w:themeColor="background1"/>
              <w:right w:val="single" w:sz="4" w:space="0" w:color="FFFFFF" w:themeColor="background1"/>
            </w:tcBorders>
            <w:vAlign w:val="center"/>
          </w:tcPr>
          <w:p w14:paraId="7CD0FEE5" w14:textId="77777777" w:rsidR="0006033B" w:rsidRDefault="0006033B"/>
        </w:tc>
      </w:tr>
      <w:tr w:rsidR="4E193667" w14:paraId="75677A35" w14:textId="77777777" w:rsidTr="000C01F7">
        <w:trPr>
          <w:trHeight w:val="590"/>
        </w:trPr>
        <w:tc>
          <w:tcPr>
            <w:tcW w:w="951" w:type="dxa"/>
            <w:vMerge/>
            <w:tcBorders>
              <w:left w:val="single" w:sz="4" w:space="0" w:color="FFFFFF" w:themeColor="background1"/>
              <w:bottom w:val="single" w:sz="4" w:space="0" w:color="FFFFFF" w:themeColor="background1"/>
              <w:right w:val="single" w:sz="0" w:space="0" w:color="FFFFFF" w:themeColor="background1"/>
            </w:tcBorders>
            <w:vAlign w:val="center"/>
          </w:tcPr>
          <w:p w14:paraId="6D3014FB" w14:textId="77777777" w:rsidR="0006033B" w:rsidRDefault="0006033B"/>
        </w:tc>
        <w:tc>
          <w:tcPr>
            <w:tcW w:w="1308" w:type="dxa"/>
            <w:tcBorders>
              <w:top w:val="single" w:sz="4" w:space="0" w:color="FFFFFF" w:themeColor="background1"/>
              <w:left w:val="nil"/>
              <w:bottom w:val="single" w:sz="4" w:space="0" w:color="FFFFFF" w:themeColor="background1"/>
              <w:right w:val="single" w:sz="8" w:space="0" w:color="FFFFFF" w:themeColor="background1"/>
            </w:tcBorders>
            <w:shd w:val="clear" w:color="auto" w:fill="D2232A" w:themeFill="accent1"/>
            <w:vAlign w:val="center"/>
          </w:tcPr>
          <w:p w14:paraId="05FA3151" w14:textId="52F6BADC" w:rsidR="4E193667" w:rsidRDefault="4E193667" w:rsidP="00830899">
            <w:pPr>
              <w:spacing w:before="17" w:after="120" w:line="264" w:lineRule="auto"/>
              <w:ind w:left="52"/>
            </w:pPr>
            <w:r w:rsidRPr="00830899">
              <w:rPr>
                <w:rFonts w:eastAsia="Arial" w:cstheme="minorHAnsi"/>
                <w:color w:val="FFFFFF" w:themeColor="background1"/>
                <w:spacing w:val="-2"/>
                <w:w w:val="101"/>
                <w:szCs w:val="18"/>
              </w:rPr>
              <w:t>Broj poduzeća na 1000 stanovnika</w:t>
            </w:r>
            <w:r w:rsidR="00AB5E3D">
              <w:rPr>
                <w:rStyle w:val="Referencafusnote"/>
                <w:rFonts w:ascii="Arial" w:eastAsia="Arial" w:hAnsi="Arial" w:cs="Arial"/>
                <w:color w:val="FFFFFF" w:themeColor="background1"/>
                <w:szCs w:val="18"/>
              </w:rPr>
              <w:footnoteReference w:id="66"/>
            </w:r>
            <w:r w:rsidRPr="4E193667">
              <w:rPr>
                <w:rFonts w:ascii="Arial" w:eastAsia="Arial" w:hAnsi="Arial" w:cs="Arial"/>
                <w:color w:val="FFFFFF" w:themeColor="background1"/>
                <w:szCs w:val="18"/>
              </w:rPr>
              <w:t xml:space="preserve"> </w:t>
            </w:r>
          </w:p>
        </w:tc>
        <w:tc>
          <w:tcPr>
            <w:tcW w:w="1384" w:type="dxa"/>
            <w:tcBorders>
              <w:top w:val="single" w:sz="4" w:space="0" w:color="FFFFFF" w:themeColor="background1"/>
              <w:left w:val="single" w:sz="8" w:space="0" w:color="FFFFFF" w:themeColor="background1"/>
              <w:bottom w:val="single" w:sz="4" w:space="0" w:color="FFFFFF" w:themeColor="background1"/>
              <w:right w:val="single" w:sz="8" w:space="0" w:color="D2232A" w:themeColor="accent1"/>
            </w:tcBorders>
            <w:shd w:val="clear" w:color="auto" w:fill="D2232A" w:themeFill="accent1"/>
            <w:vAlign w:val="center"/>
          </w:tcPr>
          <w:p w14:paraId="4BC85747" w14:textId="7FC92CAE" w:rsidR="4E193667" w:rsidRDefault="4E193667" w:rsidP="00830899">
            <w:pPr>
              <w:spacing w:before="17" w:after="120" w:line="264" w:lineRule="auto"/>
              <w:ind w:left="52"/>
            </w:pPr>
            <w:r w:rsidRPr="00830899">
              <w:rPr>
                <w:rFonts w:eastAsia="Arial" w:cstheme="minorHAnsi"/>
                <w:color w:val="FFFFFF" w:themeColor="background1"/>
                <w:spacing w:val="-2"/>
                <w:w w:val="101"/>
                <w:szCs w:val="18"/>
              </w:rPr>
              <w:t>Broj poduzeća na km</w:t>
            </w:r>
            <w:r w:rsidRPr="00C55B38">
              <w:rPr>
                <w:rFonts w:eastAsia="Arial" w:cstheme="minorHAnsi"/>
                <w:color w:val="FFFFFF" w:themeColor="background1"/>
                <w:spacing w:val="-2"/>
                <w:w w:val="101"/>
                <w:szCs w:val="18"/>
                <w:vertAlign w:val="superscript"/>
              </w:rPr>
              <w:t>2</w:t>
            </w:r>
            <w:r w:rsidRPr="00C55B38">
              <w:rPr>
                <w:rFonts w:ascii="Arial" w:eastAsia="Arial" w:hAnsi="Arial" w:cs="Arial"/>
                <w:color w:val="FFFFFF" w:themeColor="background1"/>
                <w:sz w:val="14"/>
                <w:szCs w:val="14"/>
                <w:vertAlign w:val="superscript"/>
              </w:rPr>
              <w:t xml:space="preserve"> </w:t>
            </w:r>
          </w:p>
        </w:tc>
        <w:tc>
          <w:tcPr>
            <w:tcW w:w="1284" w:type="dxa"/>
            <w:tcBorders>
              <w:top w:val="single" w:sz="4" w:space="0" w:color="FFFFFF" w:themeColor="background1"/>
              <w:left w:val="single" w:sz="4" w:space="0" w:color="000000"/>
              <w:bottom w:val="single" w:sz="8" w:space="0" w:color="F3CFC1"/>
              <w:right w:val="single" w:sz="4" w:space="0" w:color="FFFFFF" w:themeColor="background1"/>
            </w:tcBorders>
            <w:shd w:val="clear" w:color="auto" w:fill="E5E5E5" w:themeFill="text1" w:themeFillTint="33"/>
            <w:vAlign w:val="center"/>
          </w:tcPr>
          <w:p w14:paraId="44CCE78C" w14:textId="05C7E602" w:rsidR="4E193667" w:rsidRPr="00830899" w:rsidRDefault="4E193667" w:rsidP="00830899">
            <w:pPr>
              <w:spacing w:before="17" w:after="120" w:line="264" w:lineRule="auto"/>
              <w:ind w:left="52"/>
              <w:rPr>
                <w:rFonts w:eastAsia="Arial" w:cstheme="minorHAnsi"/>
                <w:color w:val="auto"/>
                <w:spacing w:val="-2"/>
                <w:w w:val="101"/>
                <w:szCs w:val="18"/>
              </w:rPr>
            </w:pPr>
            <w:r w:rsidRPr="00830899">
              <w:rPr>
                <w:rFonts w:eastAsia="Arial" w:cstheme="minorHAnsi"/>
                <w:color w:val="auto"/>
                <w:spacing w:val="-2"/>
                <w:w w:val="101"/>
                <w:szCs w:val="18"/>
              </w:rPr>
              <w:t xml:space="preserve">Broj poduzeća na 1000 stanovnika </w:t>
            </w:r>
          </w:p>
        </w:tc>
        <w:tc>
          <w:tcPr>
            <w:tcW w:w="1571" w:type="dxa"/>
            <w:tcBorders>
              <w:top w:val="single" w:sz="4" w:space="0" w:color="FFFFFF" w:themeColor="background1"/>
              <w:left w:val="single" w:sz="4" w:space="0" w:color="FFFFFF" w:themeColor="background1"/>
              <w:bottom w:val="single" w:sz="8" w:space="0" w:color="F3CFC1"/>
              <w:right w:val="single" w:sz="4" w:space="0" w:color="FFFFFF" w:themeColor="background1"/>
            </w:tcBorders>
            <w:shd w:val="clear" w:color="auto" w:fill="E5E5E5" w:themeFill="text1" w:themeFillTint="33"/>
            <w:vAlign w:val="center"/>
          </w:tcPr>
          <w:p w14:paraId="57E5228A" w14:textId="4E76D684" w:rsidR="4E193667" w:rsidRPr="00830899" w:rsidRDefault="4E193667" w:rsidP="00830899">
            <w:pPr>
              <w:spacing w:before="17" w:after="120" w:line="264" w:lineRule="auto"/>
              <w:ind w:left="52"/>
              <w:rPr>
                <w:rFonts w:eastAsia="Arial" w:cstheme="minorHAnsi"/>
                <w:color w:val="auto"/>
                <w:spacing w:val="-2"/>
                <w:w w:val="101"/>
                <w:szCs w:val="18"/>
              </w:rPr>
            </w:pPr>
            <w:r w:rsidRPr="00830899">
              <w:rPr>
                <w:rFonts w:eastAsia="Arial" w:cstheme="minorHAnsi"/>
                <w:color w:val="auto"/>
                <w:spacing w:val="-2"/>
                <w:w w:val="101"/>
                <w:szCs w:val="18"/>
              </w:rPr>
              <w:t>Broj poduzeća na km</w:t>
            </w:r>
            <w:r w:rsidRPr="00830899">
              <w:rPr>
                <w:rFonts w:eastAsia="Arial" w:cstheme="minorHAnsi"/>
                <w:color w:val="auto"/>
                <w:spacing w:val="-2"/>
                <w:w w:val="101"/>
                <w:szCs w:val="18"/>
                <w:vertAlign w:val="superscript"/>
              </w:rPr>
              <w:t>2</w:t>
            </w:r>
            <w:r w:rsidRPr="00830899">
              <w:rPr>
                <w:rFonts w:eastAsia="Arial" w:cstheme="minorHAnsi"/>
                <w:color w:val="auto"/>
                <w:spacing w:val="-2"/>
                <w:w w:val="101"/>
                <w:szCs w:val="18"/>
              </w:rPr>
              <w:t xml:space="preserve"> </w:t>
            </w:r>
          </w:p>
        </w:tc>
        <w:tc>
          <w:tcPr>
            <w:tcW w:w="1442" w:type="dxa"/>
            <w:tcBorders>
              <w:top w:val="single" w:sz="4" w:space="0" w:color="FFFFFF" w:themeColor="background1"/>
              <w:left w:val="single" w:sz="4" w:space="0" w:color="FFFFFF" w:themeColor="background1"/>
              <w:bottom w:val="single" w:sz="8" w:space="0" w:color="F3CFC1"/>
              <w:right w:val="single" w:sz="4" w:space="0" w:color="FFFFFF" w:themeColor="background1"/>
            </w:tcBorders>
            <w:shd w:val="clear" w:color="auto" w:fill="E5E5E5" w:themeFill="text1" w:themeFillTint="33"/>
            <w:vAlign w:val="center"/>
          </w:tcPr>
          <w:p w14:paraId="05F8A84D" w14:textId="4B8D4CDA" w:rsidR="4E193667" w:rsidRPr="00830899" w:rsidRDefault="4E193667" w:rsidP="00830899">
            <w:pPr>
              <w:spacing w:before="17" w:after="120" w:line="264" w:lineRule="auto"/>
              <w:ind w:left="52"/>
              <w:rPr>
                <w:rFonts w:eastAsia="Arial" w:cstheme="minorHAnsi"/>
                <w:color w:val="auto"/>
                <w:spacing w:val="-2"/>
                <w:w w:val="101"/>
                <w:szCs w:val="18"/>
              </w:rPr>
            </w:pPr>
            <w:r w:rsidRPr="00830899">
              <w:rPr>
                <w:rFonts w:eastAsia="Arial" w:cstheme="minorHAnsi"/>
                <w:color w:val="auto"/>
                <w:spacing w:val="-2"/>
                <w:w w:val="101"/>
                <w:szCs w:val="18"/>
              </w:rPr>
              <w:t xml:space="preserve">Broj poduzeća na 1000 stanovnika </w:t>
            </w:r>
          </w:p>
        </w:tc>
        <w:tc>
          <w:tcPr>
            <w:tcW w:w="1384" w:type="dxa"/>
            <w:tcBorders>
              <w:top w:val="single" w:sz="4" w:space="0" w:color="FFFFFF" w:themeColor="background1"/>
              <w:left w:val="single" w:sz="4" w:space="0" w:color="FFFFFF" w:themeColor="background1"/>
              <w:bottom w:val="single" w:sz="8" w:space="0" w:color="F3CFC1"/>
              <w:right w:val="single" w:sz="4" w:space="0" w:color="FFFFFF" w:themeColor="background1"/>
            </w:tcBorders>
            <w:shd w:val="clear" w:color="auto" w:fill="E5E5E5" w:themeFill="text1" w:themeFillTint="33"/>
            <w:vAlign w:val="center"/>
          </w:tcPr>
          <w:p w14:paraId="780C4298" w14:textId="00BA24AD" w:rsidR="4E193667" w:rsidRPr="00830899" w:rsidRDefault="4E193667" w:rsidP="00830899">
            <w:pPr>
              <w:spacing w:before="17" w:after="120" w:line="264" w:lineRule="auto"/>
              <w:ind w:left="52"/>
              <w:rPr>
                <w:rFonts w:eastAsia="Arial" w:cstheme="minorHAnsi"/>
                <w:color w:val="auto"/>
                <w:spacing w:val="-2"/>
                <w:w w:val="101"/>
                <w:szCs w:val="18"/>
              </w:rPr>
            </w:pPr>
            <w:r w:rsidRPr="00830899">
              <w:rPr>
                <w:rFonts w:eastAsia="Arial" w:cstheme="minorHAnsi"/>
                <w:color w:val="auto"/>
                <w:spacing w:val="-2"/>
                <w:w w:val="101"/>
                <w:szCs w:val="18"/>
              </w:rPr>
              <w:t>Broj poduzeća na km</w:t>
            </w:r>
            <w:r w:rsidRPr="00830899">
              <w:rPr>
                <w:rFonts w:eastAsia="Arial" w:cstheme="minorHAnsi"/>
                <w:color w:val="auto"/>
                <w:spacing w:val="-2"/>
                <w:w w:val="101"/>
                <w:szCs w:val="18"/>
                <w:vertAlign w:val="superscript"/>
              </w:rPr>
              <w:t xml:space="preserve">2 </w:t>
            </w:r>
          </w:p>
        </w:tc>
      </w:tr>
      <w:tr w:rsidR="4E193667" w14:paraId="761149D8" w14:textId="77777777" w:rsidTr="000C01F7">
        <w:trPr>
          <w:trHeight w:val="76"/>
        </w:trPr>
        <w:tc>
          <w:tcPr>
            <w:tcW w:w="951" w:type="dxa"/>
            <w:tcBorders>
              <w:top w:val="single" w:sz="4" w:space="0" w:color="FFFFFF" w:themeColor="background1"/>
              <w:left w:val="single" w:sz="4" w:space="0" w:color="FFFFFF" w:themeColor="background1"/>
              <w:bottom w:val="single" w:sz="8" w:space="0" w:color="F3CFC1"/>
              <w:right w:val="single" w:sz="8" w:space="0" w:color="D2232A" w:themeColor="accent1"/>
            </w:tcBorders>
            <w:shd w:val="clear" w:color="auto" w:fill="D2232A" w:themeFill="accent1"/>
            <w:vAlign w:val="center"/>
          </w:tcPr>
          <w:p w14:paraId="084E3835" w14:textId="6ECB68CD" w:rsidR="4E193667" w:rsidRPr="00830899" w:rsidRDefault="4E193667" w:rsidP="00830899">
            <w:pPr>
              <w:spacing w:before="17" w:after="120" w:line="264" w:lineRule="auto"/>
              <w:ind w:left="52"/>
              <w:jc w:val="center"/>
              <w:rPr>
                <w:rFonts w:eastAsia="Arial" w:cstheme="minorHAnsi"/>
                <w:color w:val="FFFFFF" w:themeColor="background1"/>
                <w:spacing w:val="-2"/>
                <w:w w:val="101"/>
                <w:szCs w:val="18"/>
              </w:rPr>
            </w:pPr>
            <w:r w:rsidRPr="00830899">
              <w:rPr>
                <w:rFonts w:eastAsia="Arial" w:cstheme="minorHAnsi"/>
                <w:color w:val="FFFFFF" w:themeColor="background1"/>
                <w:spacing w:val="-2"/>
                <w:w w:val="101"/>
                <w:szCs w:val="18"/>
              </w:rPr>
              <w:t xml:space="preserve">2010. </w:t>
            </w:r>
          </w:p>
        </w:tc>
        <w:tc>
          <w:tcPr>
            <w:tcW w:w="1308" w:type="dxa"/>
            <w:tcBorders>
              <w:top w:val="single" w:sz="4" w:space="0" w:color="FFFFFF" w:themeColor="background1"/>
              <w:left w:val="single" w:sz="4" w:space="0" w:color="000000"/>
              <w:bottom w:val="single" w:sz="8" w:space="0" w:color="F3CFC1"/>
              <w:right w:val="single" w:sz="8" w:space="0" w:color="D2232A" w:themeColor="accent1"/>
            </w:tcBorders>
            <w:vAlign w:val="center"/>
          </w:tcPr>
          <w:p w14:paraId="2E0F5B9C" w14:textId="4AB65A60"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11,7 </w:t>
            </w:r>
          </w:p>
        </w:tc>
        <w:tc>
          <w:tcPr>
            <w:tcW w:w="1384" w:type="dxa"/>
            <w:tcBorders>
              <w:top w:val="single" w:sz="4" w:space="0" w:color="FFFFFF" w:themeColor="background1"/>
              <w:left w:val="single" w:sz="4" w:space="0" w:color="000000"/>
              <w:bottom w:val="single" w:sz="8" w:space="0" w:color="F3CFC1"/>
              <w:right w:val="single" w:sz="8" w:space="0" w:color="D2232A" w:themeColor="accent1"/>
            </w:tcBorders>
            <w:vAlign w:val="center"/>
          </w:tcPr>
          <w:p w14:paraId="471B96D0" w14:textId="60638B7D"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1,3 </w:t>
            </w:r>
          </w:p>
        </w:tc>
        <w:tc>
          <w:tcPr>
            <w:tcW w:w="1284" w:type="dxa"/>
            <w:tcBorders>
              <w:top w:val="single" w:sz="4" w:space="0" w:color="000000"/>
              <w:left w:val="single" w:sz="4" w:space="0" w:color="000000"/>
              <w:bottom w:val="single" w:sz="8" w:space="0" w:color="F3CFC1"/>
              <w:right w:val="single" w:sz="8" w:space="0" w:color="D2232A" w:themeColor="accent1"/>
            </w:tcBorders>
            <w:vAlign w:val="center"/>
          </w:tcPr>
          <w:p w14:paraId="6ADF3E7B" w14:textId="75576E5F"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N/A </w:t>
            </w:r>
          </w:p>
        </w:tc>
        <w:tc>
          <w:tcPr>
            <w:tcW w:w="1571" w:type="dxa"/>
            <w:tcBorders>
              <w:top w:val="single" w:sz="4" w:space="0" w:color="000000"/>
              <w:left w:val="single" w:sz="4" w:space="0" w:color="000000"/>
              <w:bottom w:val="single" w:sz="8" w:space="0" w:color="F3CFC1"/>
              <w:right w:val="single" w:sz="8" w:space="0" w:color="D2232A" w:themeColor="accent1"/>
            </w:tcBorders>
            <w:vAlign w:val="center"/>
          </w:tcPr>
          <w:p w14:paraId="36579E6A" w14:textId="5E980468"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N/A </w:t>
            </w:r>
          </w:p>
        </w:tc>
        <w:tc>
          <w:tcPr>
            <w:tcW w:w="1442" w:type="dxa"/>
            <w:tcBorders>
              <w:top w:val="single" w:sz="4" w:space="0" w:color="000000"/>
              <w:left w:val="single" w:sz="4" w:space="0" w:color="000000"/>
              <w:bottom w:val="single" w:sz="8" w:space="0" w:color="F3CFC1"/>
              <w:right w:val="single" w:sz="8" w:space="0" w:color="D2232A" w:themeColor="accent1"/>
            </w:tcBorders>
            <w:vAlign w:val="center"/>
          </w:tcPr>
          <w:p w14:paraId="5455B4E9" w14:textId="29A9FAD3"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21,9 </w:t>
            </w:r>
          </w:p>
        </w:tc>
        <w:tc>
          <w:tcPr>
            <w:tcW w:w="1384" w:type="dxa"/>
            <w:tcBorders>
              <w:top w:val="single" w:sz="4" w:space="0" w:color="000000"/>
              <w:left w:val="single" w:sz="4" w:space="0" w:color="000000"/>
              <w:bottom w:val="single" w:sz="8" w:space="0" w:color="F3CFC1"/>
              <w:right w:val="single" w:sz="4" w:space="0" w:color="FBE8E8" w:themeColor="accent6" w:themeTint="33"/>
            </w:tcBorders>
            <w:vAlign w:val="center"/>
          </w:tcPr>
          <w:p w14:paraId="4F9D6CEC" w14:textId="1ECEE458"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1,7 </w:t>
            </w:r>
          </w:p>
        </w:tc>
      </w:tr>
      <w:tr w:rsidR="4E193667" w14:paraId="7955CDF4" w14:textId="77777777" w:rsidTr="000C01F7">
        <w:trPr>
          <w:trHeight w:val="76"/>
        </w:trPr>
        <w:tc>
          <w:tcPr>
            <w:tcW w:w="951" w:type="dxa"/>
            <w:tcBorders>
              <w:top w:val="single" w:sz="4" w:space="0" w:color="000000"/>
              <w:left w:val="single" w:sz="4" w:space="0" w:color="FFFFFF" w:themeColor="background1"/>
              <w:bottom w:val="single" w:sz="8" w:space="0" w:color="F3CFC1"/>
              <w:right w:val="single" w:sz="8" w:space="0" w:color="D2232A" w:themeColor="accent1"/>
            </w:tcBorders>
            <w:shd w:val="clear" w:color="auto" w:fill="D2232A" w:themeFill="accent1"/>
            <w:vAlign w:val="center"/>
          </w:tcPr>
          <w:p w14:paraId="516097BD" w14:textId="1BAFBDF8" w:rsidR="4E193667" w:rsidRPr="00830899" w:rsidRDefault="4E193667" w:rsidP="00830899">
            <w:pPr>
              <w:spacing w:before="17" w:after="120" w:line="264" w:lineRule="auto"/>
              <w:ind w:left="52"/>
              <w:jc w:val="center"/>
              <w:rPr>
                <w:rFonts w:eastAsia="Arial" w:cstheme="minorHAnsi"/>
                <w:color w:val="FFFFFF" w:themeColor="background1"/>
                <w:spacing w:val="-2"/>
                <w:w w:val="101"/>
                <w:szCs w:val="18"/>
              </w:rPr>
            </w:pPr>
            <w:r w:rsidRPr="00830899">
              <w:rPr>
                <w:rFonts w:eastAsia="Arial" w:cstheme="minorHAnsi"/>
                <w:color w:val="FFFFFF" w:themeColor="background1"/>
                <w:spacing w:val="-2"/>
                <w:w w:val="101"/>
                <w:szCs w:val="18"/>
              </w:rPr>
              <w:t xml:space="preserve">2011. </w:t>
            </w:r>
          </w:p>
        </w:tc>
        <w:tc>
          <w:tcPr>
            <w:tcW w:w="1308" w:type="dxa"/>
            <w:tcBorders>
              <w:top w:val="single" w:sz="4" w:space="0" w:color="000000"/>
              <w:left w:val="single" w:sz="4" w:space="0" w:color="000000"/>
              <w:bottom w:val="single" w:sz="8" w:space="0" w:color="F3CFC1"/>
              <w:right w:val="single" w:sz="8" w:space="0" w:color="D2232A" w:themeColor="accent1"/>
            </w:tcBorders>
            <w:vAlign w:val="center"/>
          </w:tcPr>
          <w:p w14:paraId="1157BA88" w14:textId="77957A1D"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12,2 </w:t>
            </w:r>
          </w:p>
        </w:tc>
        <w:tc>
          <w:tcPr>
            <w:tcW w:w="1384" w:type="dxa"/>
            <w:tcBorders>
              <w:top w:val="single" w:sz="4" w:space="0" w:color="000000"/>
              <w:left w:val="single" w:sz="4" w:space="0" w:color="000000"/>
              <w:bottom w:val="single" w:sz="8" w:space="0" w:color="F3CFC1"/>
              <w:right w:val="single" w:sz="8" w:space="0" w:color="D2232A" w:themeColor="accent1"/>
            </w:tcBorders>
            <w:vAlign w:val="center"/>
          </w:tcPr>
          <w:p w14:paraId="12819601" w14:textId="46F7BE58"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1,3 </w:t>
            </w:r>
          </w:p>
        </w:tc>
        <w:tc>
          <w:tcPr>
            <w:tcW w:w="1284" w:type="dxa"/>
            <w:tcBorders>
              <w:top w:val="single" w:sz="4" w:space="0" w:color="000000"/>
              <w:left w:val="single" w:sz="4" w:space="0" w:color="000000"/>
              <w:bottom w:val="single" w:sz="8" w:space="0" w:color="F3CFC1"/>
              <w:right w:val="single" w:sz="8" w:space="0" w:color="D2232A" w:themeColor="accent1"/>
            </w:tcBorders>
            <w:vAlign w:val="center"/>
          </w:tcPr>
          <w:p w14:paraId="420F0356" w14:textId="0FF16C87"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N/A </w:t>
            </w:r>
          </w:p>
        </w:tc>
        <w:tc>
          <w:tcPr>
            <w:tcW w:w="1571" w:type="dxa"/>
            <w:tcBorders>
              <w:top w:val="single" w:sz="4" w:space="0" w:color="000000"/>
              <w:left w:val="single" w:sz="4" w:space="0" w:color="000000"/>
              <w:bottom w:val="single" w:sz="8" w:space="0" w:color="F3CFC1"/>
              <w:right w:val="single" w:sz="8" w:space="0" w:color="D2232A" w:themeColor="accent1"/>
            </w:tcBorders>
            <w:vAlign w:val="center"/>
          </w:tcPr>
          <w:p w14:paraId="1E326D00" w14:textId="47395ECD"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N/A </w:t>
            </w:r>
          </w:p>
        </w:tc>
        <w:tc>
          <w:tcPr>
            <w:tcW w:w="1442" w:type="dxa"/>
            <w:tcBorders>
              <w:top w:val="single" w:sz="4" w:space="0" w:color="000000"/>
              <w:left w:val="single" w:sz="4" w:space="0" w:color="000000"/>
              <w:bottom w:val="single" w:sz="8" w:space="0" w:color="F3CFC1"/>
              <w:right w:val="single" w:sz="8" w:space="0" w:color="D2232A" w:themeColor="accent1"/>
            </w:tcBorders>
            <w:vAlign w:val="center"/>
          </w:tcPr>
          <w:p w14:paraId="20D528FA" w14:textId="78C022C0"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23,0 </w:t>
            </w:r>
          </w:p>
        </w:tc>
        <w:tc>
          <w:tcPr>
            <w:tcW w:w="1384" w:type="dxa"/>
            <w:tcBorders>
              <w:top w:val="single" w:sz="4" w:space="0" w:color="000000"/>
              <w:left w:val="single" w:sz="4" w:space="0" w:color="000000"/>
              <w:bottom w:val="single" w:sz="8" w:space="0" w:color="F3CFC1"/>
              <w:right w:val="single" w:sz="4" w:space="0" w:color="FBE8E8" w:themeColor="accent6" w:themeTint="33"/>
            </w:tcBorders>
            <w:vAlign w:val="center"/>
          </w:tcPr>
          <w:p w14:paraId="65DE1BD4" w14:textId="56C6E7E1"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1,7 </w:t>
            </w:r>
          </w:p>
        </w:tc>
      </w:tr>
      <w:tr w:rsidR="4E193667" w14:paraId="6DA82BC5" w14:textId="77777777" w:rsidTr="000C01F7">
        <w:trPr>
          <w:trHeight w:val="76"/>
        </w:trPr>
        <w:tc>
          <w:tcPr>
            <w:tcW w:w="951" w:type="dxa"/>
            <w:tcBorders>
              <w:top w:val="single" w:sz="4" w:space="0" w:color="000000"/>
              <w:left w:val="single" w:sz="4" w:space="0" w:color="FFFFFF" w:themeColor="background1"/>
              <w:bottom w:val="single" w:sz="8" w:space="0" w:color="F3CFC1"/>
              <w:right w:val="single" w:sz="8" w:space="0" w:color="D2232A" w:themeColor="accent1"/>
            </w:tcBorders>
            <w:shd w:val="clear" w:color="auto" w:fill="D2232A" w:themeFill="accent1"/>
            <w:vAlign w:val="center"/>
          </w:tcPr>
          <w:p w14:paraId="2FF0A29A" w14:textId="11C46E0E" w:rsidR="4E193667" w:rsidRPr="00830899" w:rsidRDefault="4E193667" w:rsidP="00830899">
            <w:pPr>
              <w:spacing w:before="17" w:after="120" w:line="264" w:lineRule="auto"/>
              <w:ind w:left="52"/>
              <w:jc w:val="center"/>
              <w:rPr>
                <w:rFonts w:eastAsia="Arial" w:cstheme="minorHAnsi"/>
                <w:color w:val="FFFFFF" w:themeColor="background1"/>
                <w:spacing w:val="-2"/>
                <w:w w:val="101"/>
                <w:szCs w:val="18"/>
              </w:rPr>
            </w:pPr>
            <w:r w:rsidRPr="00830899">
              <w:rPr>
                <w:rFonts w:eastAsia="Arial" w:cstheme="minorHAnsi"/>
                <w:color w:val="FFFFFF" w:themeColor="background1"/>
                <w:spacing w:val="-2"/>
                <w:w w:val="101"/>
                <w:szCs w:val="18"/>
              </w:rPr>
              <w:t xml:space="preserve">2012. </w:t>
            </w:r>
          </w:p>
        </w:tc>
        <w:tc>
          <w:tcPr>
            <w:tcW w:w="1308" w:type="dxa"/>
            <w:tcBorders>
              <w:top w:val="single" w:sz="4" w:space="0" w:color="000000"/>
              <w:left w:val="single" w:sz="4" w:space="0" w:color="000000"/>
              <w:bottom w:val="single" w:sz="8" w:space="0" w:color="F3CFC1"/>
              <w:right w:val="single" w:sz="8" w:space="0" w:color="D2232A" w:themeColor="accent1"/>
            </w:tcBorders>
            <w:vAlign w:val="center"/>
          </w:tcPr>
          <w:p w14:paraId="207B96A8" w14:textId="0BD62CDB"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12,1 </w:t>
            </w:r>
          </w:p>
        </w:tc>
        <w:tc>
          <w:tcPr>
            <w:tcW w:w="1384" w:type="dxa"/>
            <w:tcBorders>
              <w:top w:val="single" w:sz="4" w:space="0" w:color="000000"/>
              <w:left w:val="single" w:sz="4" w:space="0" w:color="000000"/>
              <w:bottom w:val="single" w:sz="8" w:space="0" w:color="F3CFC1"/>
              <w:right w:val="single" w:sz="8" w:space="0" w:color="D2232A" w:themeColor="accent1"/>
            </w:tcBorders>
            <w:vAlign w:val="center"/>
          </w:tcPr>
          <w:p w14:paraId="29B8201A" w14:textId="4566BCD0"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1,3 </w:t>
            </w:r>
          </w:p>
        </w:tc>
        <w:tc>
          <w:tcPr>
            <w:tcW w:w="1284" w:type="dxa"/>
            <w:tcBorders>
              <w:top w:val="single" w:sz="4" w:space="0" w:color="000000"/>
              <w:left w:val="single" w:sz="4" w:space="0" w:color="000000"/>
              <w:bottom w:val="single" w:sz="8" w:space="0" w:color="F3CFC1"/>
              <w:right w:val="single" w:sz="8" w:space="0" w:color="D2232A" w:themeColor="accent1"/>
            </w:tcBorders>
            <w:vAlign w:val="center"/>
          </w:tcPr>
          <w:p w14:paraId="2CA02EA4" w14:textId="526A4719"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19,1 </w:t>
            </w:r>
          </w:p>
        </w:tc>
        <w:tc>
          <w:tcPr>
            <w:tcW w:w="1571" w:type="dxa"/>
            <w:tcBorders>
              <w:top w:val="single" w:sz="4" w:space="0" w:color="000000"/>
              <w:left w:val="single" w:sz="4" w:space="0" w:color="000000"/>
              <w:bottom w:val="single" w:sz="8" w:space="0" w:color="F3CFC1"/>
              <w:right w:val="single" w:sz="8" w:space="0" w:color="D2232A" w:themeColor="accent1"/>
            </w:tcBorders>
            <w:vAlign w:val="center"/>
          </w:tcPr>
          <w:p w14:paraId="0409D5A3" w14:textId="76CADF95"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2,00 </w:t>
            </w:r>
          </w:p>
        </w:tc>
        <w:tc>
          <w:tcPr>
            <w:tcW w:w="1442" w:type="dxa"/>
            <w:tcBorders>
              <w:top w:val="single" w:sz="4" w:space="0" w:color="000000"/>
              <w:left w:val="single" w:sz="4" w:space="0" w:color="000000"/>
              <w:bottom w:val="single" w:sz="8" w:space="0" w:color="F3CFC1"/>
              <w:right w:val="single" w:sz="8" w:space="0" w:color="D2232A" w:themeColor="accent1"/>
            </w:tcBorders>
            <w:vAlign w:val="center"/>
          </w:tcPr>
          <w:p w14:paraId="7F096429" w14:textId="180E16F5"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22,8 </w:t>
            </w:r>
          </w:p>
        </w:tc>
        <w:tc>
          <w:tcPr>
            <w:tcW w:w="1384" w:type="dxa"/>
            <w:tcBorders>
              <w:top w:val="single" w:sz="4" w:space="0" w:color="000000"/>
              <w:left w:val="single" w:sz="4" w:space="0" w:color="000000"/>
              <w:bottom w:val="single" w:sz="8" w:space="0" w:color="F3CFC1"/>
              <w:right w:val="single" w:sz="4" w:space="0" w:color="FBE8E8" w:themeColor="accent6" w:themeTint="33"/>
            </w:tcBorders>
            <w:vAlign w:val="center"/>
          </w:tcPr>
          <w:p w14:paraId="1C88ADA3" w14:textId="1418CA68"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1,7 </w:t>
            </w:r>
          </w:p>
        </w:tc>
      </w:tr>
      <w:tr w:rsidR="4E193667" w14:paraId="77872BC7" w14:textId="77777777" w:rsidTr="000C01F7">
        <w:trPr>
          <w:trHeight w:val="76"/>
        </w:trPr>
        <w:tc>
          <w:tcPr>
            <w:tcW w:w="951" w:type="dxa"/>
            <w:tcBorders>
              <w:top w:val="single" w:sz="4" w:space="0" w:color="000000"/>
              <w:left w:val="single" w:sz="4" w:space="0" w:color="FFFFFF" w:themeColor="background1"/>
              <w:bottom w:val="single" w:sz="8" w:space="0" w:color="F3CFC1"/>
              <w:right w:val="single" w:sz="8" w:space="0" w:color="D2232A" w:themeColor="accent1"/>
            </w:tcBorders>
            <w:shd w:val="clear" w:color="auto" w:fill="D2232A" w:themeFill="accent1"/>
            <w:vAlign w:val="center"/>
          </w:tcPr>
          <w:p w14:paraId="6B5CC58F" w14:textId="0BF495BA" w:rsidR="4E193667" w:rsidRPr="00830899" w:rsidRDefault="4E193667" w:rsidP="00830899">
            <w:pPr>
              <w:spacing w:before="17" w:after="120" w:line="264" w:lineRule="auto"/>
              <w:ind w:left="52"/>
              <w:jc w:val="center"/>
              <w:rPr>
                <w:rFonts w:eastAsia="Arial" w:cstheme="minorHAnsi"/>
                <w:color w:val="FFFFFF" w:themeColor="background1"/>
                <w:spacing w:val="-2"/>
                <w:w w:val="101"/>
                <w:szCs w:val="18"/>
              </w:rPr>
            </w:pPr>
            <w:r w:rsidRPr="00830899">
              <w:rPr>
                <w:rFonts w:eastAsia="Arial" w:cstheme="minorHAnsi"/>
                <w:color w:val="FFFFFF" w:themeColor="background1"/>
                <w:spacing w:val="-2"/>
                <w:w w:val="101"/>
                <w:szCs w:val="18"/>
              </w:rPr>
              <w:t xml:space="preserve">2013. </w:t>
            </w:r>
          </w:p>
        </w:tc>
        <w:tc>
          <w:tcPr>
            <w:tcW w:w="1308" w:type="dxa"/>
            <w:tcBorders>
              <w:top w:val="single" w:sz="4" w:space="0" w:color="000000"/>
              <w:left w:val="single" w:sz="4" w:space="0" w:color="000000"/>
              <w:bottom w:val="single" w:sz="8" w:space="0" w:color="F3CFC1"/>
              <w:right w:val="single" w:sz="8" w:space="0" w:color="D2232A" w:themeColor="accent1"/>
            </w:tcBorders>
            <w:vAlign w:val="center"/>
          </w:tcPr>
          <w:p w14:paraId="46992887" w14:textId="3320EC84"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12,6 </w:t>
            </w:r>
          </w:p>
        </w:tc>
        <w:tc>
          <w:tcPr>
            <w:tcW w:w="1384" w:type="dxa"/>
            <w:tcBorders>
              <w:top w:val="single" w:sz="4" w:space="0" w:color="000000"/>
              <w:left w:val="single" w:sz="4" w:space="0" w:color="000000"/>
              <w:bottom w:val="single" w:sz="8" w:space="0" w:color="F3CFC1"/>
              <w:right w:val="single" w:sz="8" w:space="0" w:color="D2232A" w:themeColor="accent1"/>
            </w:tcBorders>
            <w:vAlign w:val="center"/>
          </w:tcPr>
          <w:p w14:paraId="18FBF513" w14:textId="20D66F45"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1,4 </w:t>
            </w:r>
          </w:p>
        </w:tc>
        <w:tc>
          <w:tcPr>
            <w:tcW w:w="1284" w:type="dxa"/>
            <w:tcBorders>
              <w:top w:val="single" w:sz="4" w:space="0" w:color="000000"/>
              <w:left w:val="single" w:sz="4" w:space="0" w:color="000000"/>
              <w:bottom w:val="single" w:sz="8" w:space="0" w:color="F3CFC1"/>
              <w:right w:val="single" w:sz="8" w:space="0" w:color="D2232A" w:themeColor="accent1"/>
            </w:tcBorders>
            <w:vAlign w:val="center"/>
          </w:tcPr>
          <w:p w14:paraId="04449AED" w14:textId="67962689"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19,8 </w:t>
            </w:r>
          </w:p>
        </w:tc>
        <w:tc>
          <w:tcPr>
            <w:tcW w:w="1571" w:type="dxa"/>
            <w:tcBorders>
              <w:top w:val="single" w:sz="4" w:space="0" w:color="000000"/>
              <w:left w:val="single" w:sz="4" w:space="0" w:color="000000"/>
              <w:bottom w:val="single" w:sz="8" w:space="0" w:color="F3CFC1"/>
              <w:right w:val="single" w:sz="8" w:space="0" w:color="D2232A" w:themeColor="accent1"/>
            </w:tcBorders>
            <w:vAlign w:val="center"/>
          </w:tcPr>
          <w:p w14:paraId="22C26D6F" w14:textId="72A8D872"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2,07 </w:t>
            </w:r>
          </w:p>
        </w:tc>
        <w:tc>
          <w:tcPr>
            <w:tcW w:w="1442" w:type="dxa"/>
            <w:tcBorders>
              <w:top w:val="single" w:sz="4" w:space="0" w:color="000000"/>
              <w:left w:val="single" w:sz="4" w:space="0" w:color="000000"/>
              <w:bottom w:val="single" w:sz="8" w:space="0" w:color="F3CFC1"/>
              <w:right w:val="single" w:sz="8" w:space="0" w:color="D2232A" w:themeColor="accent1"/>
            </w:tcBorders>
            <w:vAlign w:val="center"/>
          </w:tcPr>
          <w:p w14:paraId="18C508AA" w14:textId="3D55C75C"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23,6 </w:t>
            </w:r>
          </w:p>
        </w:tc>
        <w:tc>
          <w:tcPr>
            <w:tcW w:w="1384" w:type="dxa"/>
            <w:tcBorders>
              <w:top w:val="single" w:sz="4" w:space="0" w:color="000000"/>
              <w:left w:val="single" w:sz="4" w:space="0" w:color="000000"/>
              <w:bottom w:val="single" w:sz="8" w:space="0" w:color="F3CFC1"/>
              <w:right w:val="single" w:sz="4" w:space="0" w:color="FBE8E8" w:themeColor="accent6" w:themeTint="33"/>
            </w:tcBorders>
            <w:vAlign w:val="center"/>
          </w:tcPr>
          <w:p w14:paraId="17CD4085" w14:textId="30D9624B"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1,8 </w:t>
            </w:r>
          </w:p>
        </w:tc>
      </w:tr>
      <w:tr w:rsidR="4E193667" w14:paraId="680E25E4" w14:textId="77777777" w:rsidTr="000C01F7">
        <w:trPr>
          <w:trHeight w:val="76"/>
        </w:trPr>
        <w:tc>
          <w:tcPr>
            <w:tcW w:w="951" w:type="dxa"/>
            <w:tcBorders>
              <w:top w:val="single" w:sz="4" w:space="0" w:color="000000"/>
              <w:left w:val="single" w:sz="4" w:space="0" w:color="FFFFFF" w:themeColor="background1"/>
              <w:bottom w:val="single" w:sz="8" w:space="0" w:color="F3CFC1"/>
              <w:right w:val="single" w:sz="8" w:space="0" w:color="D2232A" w:themeColor="accent1"/>
            </w:tcBorders>
            <w:shd w:val="clear" w:color="auto" w:fill="D2232A" w:themeFill="accent1"/>
            <w:vAlign w:val="center"/>
          </w:tcPr>
          <w:p w14:paraId="559AA223" w14:textId="22AC4382" w:rsidR="4E193667" w:rsidRPr="00830899" w:rsidRDefault="4E193667" w:rsidP="00830899">
            <w:pPr>
              <w:spacing w:before="17" w:after="120" w:line="264" w:lineRule="auto"/>
              <w:ind w:left="52"/>
              <w:jc w:val="center"/>
              <w:rPr>
                <w:rFonts w:eastAsia="Arial" w:cstheme="minorHAnsi"/>
                <w:color w:val="FFFFFF" w:themeColor="background1"/>
                <w:spacing w:val="-2"/>
                <w:w w:val="101"/>
                <w:szCs w:val="18"/>
              </w:rPr>
            </w:pPr>
            <w:r w:rsidRPr="00830899">
              <w:rPr>
                <w:rFonts w:eastAsia="Arial" w:cstheme="minorHAnsi"/>
                <w:color w:val="FFFFFF" w:themeColor="background1"/>
                <w:spacing w:val="-2"/>
                <w:w w:val="101"/>
                <w:szCs w:val="18"/>
              </w:rPr>
              <w:t xml:space="preserve">2014. </w:t>
            </w:r>
          </w:p>
        </w:tc>
        <w:tc>
          <w:tcPr>
            <w:tcW w:w="1308" w:type="dxa"/>
            <w:tcBorders>
              <w:top w:val="single" w:sz="4" w:space="0" w:color="000000"/>
              <w:left w:val="single" w:sz="4" w:space="0" w:color="000000"/>
              <w:bottom w:val="single" w:sz="8" w:space="0" w:color="F3CFC1"/>
              <w:right w:val="single" w:sz="8" w:space="0" w:color="D2232A" w:themeColor="accent1"/>
            </w:tcBorders>
            <w:vAlign w:val="center"/>
          </w:tcPr>
          <w:p w14:paraId="25F9E0BB" w14:textId="4CC60E36"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13,2 </w:t>
            </w:r>
          </w:p>
        </w:tc>
        <w:tc>
          <w:tcPr>
            <w:tcW w:w="1384" w:type="dxa"/>
            <w:tcBorders>
              <w:top w:val="single" w:sz="4" w:space="0" w:color="000000"/>
              <w:left w:val="single" w:sz="4" w:space="0" w:color="000000"/>
              <w:bottom w:val="single" w:sz="8" w:space="0" w:color="F3CFC1"/>
              <w:right w:val="single" w:sz="8" w:space="0" w:color="D2232A" w:themeColor="accent1"/>
            </w:tcBorders>
            <w:vAlign w:val="center"/>
          </w:tcPr>
          <w:p w14:paraId="687D7D89" w14:textId="576F7D4C"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1,4 </w:t>
            </w:r>
          </w:p>
        </w:tc>
        <w:tc>
          <w:tcPr>
            <w:tcW w:w="1284" w:type="dxa"/>
            <w:tcBorders>
              <w:top w:val="single" w:sz="4" w:space="0" w:color="000000"/>
              <w:left w:val="single" w:sz="4" w:space="0" w:color="000000"/>
              <w:bottom w:val="single" w:sz="8" w:space="0" w:color="F3CFC1"/>
              <w:right w:val="single" w:sz="8" w:space="0" w:color="D2232A" w:themeColor="accent1"/>
            </w:tcBorders>
            <w:vAlign w:val="center"/>
          </w:tcPr>
          <w:p w14:paraId="2CBA9B41" w14:textId="7907DDE3"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20,4 </w:t>
            </w:r>
          </w:p>
        </w:tc>
        <w:tc>
          <w:tcPr>
            <w:tcW w:w="1571" w:type="dxa"/>
            <w:tcBorders>
              <w:top w:val="single" w:sz="4" w:space="0" w:color="000000"/>
              <w:left w:val="single" w:sz="4" w:space="0" w:color="000000"/>
              <w:bottom w:val="single" w:sz="8" w:space="0" w:color="F3CFC1"/>
              <w:right w:val="single" w:sz="8" w:space="0" w:color="D2232A" w:themeColor="accent1"/>
            </w:tcBorders>
            <w:vAlign w:val="center"/>
          </w:tcPr>
          <w:p w14:paraId="59E840E7" w14:textId="7BAB0B3D"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2,13 </w:t>
            </w:r>
          </w:p>
        </w:tc>
        <w:tc>
          <w:tcPr>
            <w:tcW w:w="1442" w:type="dxa"/>
            <w:tcBorders>
              <w:top w:val="single" w:sz="4" w:space="0" w:color="000000"/>
              <w:left w:val="single" w:sz="4" w:space="0" w:color="000000"/>
              <w:bottom w:val="single" w:sz="8" w:space="0" w:color="F3CFC1"/>
              <w:right w:val="single" w:sz="8" w:space="0" w:color="D2232A" w:themeColor="accent1"/>
            </w:tcBorders>
            <w:vAlign w:val="center"/>
          </w:tcPr>
          <w:p w14:paraId="6751887F" w14:textId="1B7FC6CB"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24,4 </w:t>
            </w:r>
          </w:p>
        </w:tc>
        <w:tc>
          <w:tcPr>
            <w:tcW w:w="1384" w:type="dxa"/>
            <w:tcBorders>
              <w:top w:val="single" w:sz="4" w:space="0" w:color="000000"/>
              <w:left w:val="single" w:sz="4" w:space="0" w:color="000000"/>
              <w:bottom w:val="single" w:sz="8" w:space="0" w:color="F3CFC1"/>
              <w:right w:val="single" w:sz="4" w:space="0" w:color="FBE8E8" w:themeColor="accent6" w:themeTint="33"/>
            </w:tcBorders>
            <w:vAlign w:val="center"/>
          </w:tcPr>
          <w:p w14:paraId="50D9AA87" w14:textId="0411BDF8"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1,8 </w:t>
            </w:r>
          </w:p>
        </w:tc>
      </w:tr>
      <w:tr w:rsidR="4E193667" w14:paraId="06BD3533" w14:textId="77777777" w:rsidTr="000C01F7">
        <w:trPr>
          <w:trHeight w:val="76"/>
        </w:trPr>
        <w:tc>
          <w:tcPr>
            <w:tcW w:w="951" w:type="dxa"/>
            <w:tcBorders>
              <w:top w:val="single" w:sz="4" w:space="0" w:color="000000"/>
              <w:left w:val="single" w:sz="4" w:space="0" w:color="FFFFFF" w:themeColor="background1"/>
              <w:bottom w:val="single" w:sz="8" w:space="0" w:color="F3CFC1"/>
              <w:right w:val="single" w:sz="8" w:space="0" w:color="D2232A" w:themeColor="accent1"/>
            </w:tcBorders>
            <w:shd w:val="clear" w:color="auto" w:fill="D2232A" w:themeFill="accent1"/>
            <w:vAlign w:val="center"/>
          </w:tcPr>
          <w:p w14:paraId="1A022BCF" w14:textId="788FE108" w:rsidR="4E193667" w:rsidRPr="00830899" w:rsidRDefault="4E193667" w:rsidP="00830899">
            <w:pPr>
              <w:spacing w:before="17" w:after="120" w:line="264" w:lineRule="auto"/>
              <w:ind w:left="52"/>
              <w:jc w:val="center"/>
              <w:rPr>
                <w:rFonts w:eastAsia="Arial" w:cstheme="minorHAnsi"/>
                <w:color w:val="FFFFFF" w:themeColor="background1"/>
                <w:spacing w:val="-2"/>
                <w:w w:val="101"/>
                <w:szCs w:val="18"/>
              </w:rPr>
            </w:pPr>
            <w:r w:rsidRPr="00830899">
              <w:rPr>
                <w:rFonts w:eastAsia="Arial" w:cstheme="minorHAnsi"/>
                <w:color w:val="FFFFFF" w:themeColor="background1"/>
                <w:spacing w:val="-2"/>
                <w:w w:val="101"/>
                <w:szCs w:val="18"/>
              </w:rPr>
              <w:t xml:space="preserve">2015. </w:t>
            </w:r>
          </w:p>
        </w:tc>
        <w:tc>
          <w:tcPr>
            <w:tcW w:w="1308" w:type="dxa"/>
            <w:tcBorders>
              <w:top w:val="single" w:sz="4" w:space="0" w:color="000000"/>
              <w:left w:val="single" w:sz="4" w:space="0" w:color="000000"/>
              <w:bottom w:val="single" w:sz="8" w:space="0" w:color="F3CFC1"/>
              <w:right w:val="single" w:sz="8" w:space="0" w:color="D2232A" w:themeColor="accent1"/>
            </w:tcBorders>
            <w:vAlign w:val="center"/>
          </w:tcPr>
          <w:p w14:paraId="53829BAC" w14:textId="1B9F7BA3"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13,8 </w:t>
            </w:r>
          </w:p>
        </w:tc>
        <w:tc>
          <w:tcPr>
            <w:tcW w:w="1384" w:type="dxa"/>
            <w:tcBorders>
              <w:top w:val="single" w:sz="4" w:space="0" w:color="000000"/>
              <w:left w:val="single" w:sz="4" w:space="0" w:color="000000"/>
              <w:bottom w:val="single" w:sz="8" w:space="0" w:color="F3CFC1"/>
              <w:right w:val="single" w:sz="8" w:space="0" w:color="D2232A" w:themeColor="accent1"/>
            </w:tcBorders>
            <w:vAlign w:val="center"/>
          </w:tcPr>
          <w:p w14:paraId="256C7B96" w14:textId="69F3F191"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1,5 </w:t>
            </w:r>
          </w:p>
        </w:tc>
        <w:tc>
          <w:tcPr>
            <w:tcW w:w="1284" w:type="dxa"/>
            <w:tcBorders>
              <w:top w:val="single" w:sz="4" w:space="0" w:color="000000"/>
              <w:left w:val="single" w:sz="4" w:space="0" w:color="000000"/>
              <w:bottom w:val="single" w:sz="8" w:space="0" w:color="F3CFC1"/>
              <w:right w:val="single" w:sz="8" w:space="0" w:color="D2232A" w:themeColor="accent1"/>
            </w:tcBorders>
            <w:vAlign w:val="center"/>
          </w:tcPr>
          <w:p w14:paraId="2AB6FB67" w14:textId="3C71D8C5"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21,0 </w:t>
            </w:r>
          </w:p>
        </w:tc>
        <w:tc>
          <w:tcPr>
            <w:tcW w:w="1571" w:type="dxa"/>
            <w:tcBorders>
              <w:top w:val="single" w:sz="4" w:space="0" w:color="000000"/>
              <w:left w:val="single" w:sz="4" w:space="0" w:color="000000"/>
              <w:bottom w:val="single" w:sz="8" w:space="0" w:color="F3CFC1"/>
              <w:right w:val="single" w:sz="8" w:space="0" w:color="D2232A" w:themeColor="accent1"/>
            </w:tcBorders>
            <w:vAlign w:val="center"/>
          </w:tcPr>
          <w:p w14:paraId="6999F4B0" w14:textId="11A78BE3"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2,19 </w:t>
            </w:r>
          </w:p>
        </w:tc>
        <w:tc>
          <w:tcPr>
            <w:tcW w:w="1442" w:type="dxa"/>
            <w:tcBorders>
              <w:top w:val="single" w:sz="4" w:space="0" w:color="000000"/>
              <w:left w:val="single" w:sz="4" w:space="0" w:color="000000"/>
              <w:bottom w:val="single" w:sz="8" w:space="0" w:color="F3CFC1"/>
              <w:right w:val="single" w:sz="8" w:space="0" w:color="D2232A" w:themeColor="accent1"/>
            </w:tcBorders>
            <w:vAlign w:val="center"/>
          </w:tcPr>
          <w:p w14:paraId="6D0AC96F" w14:textId="467B1834"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24,9 </w:t>
            </w:r>
          </w:p>
        </w:tc>
        <w:tc>
          <w:tcPr>
            <w:tcW w:w="1384" w:type="dxa"/>
            <w:tcBorders>
              <w:top w:val="single" w:sz="4" w:space="0" w:color="000000"/>
              <w:left w:val="single" w:sz="4" w:space="0" w:color="000000"/>
              <w:bottom w:val="single" w:sz="8" w:space="0" w:color="F3CFC1"/>
              <w:right w:val="single" w:sz="4" w:space="0" w:color="FBE8E8" w:themeColor="accent6" w:themeTint="33"/>
            </w:tcBorders>
            <w:vAlign w:val="center"/>
          </w:tcPr>
          <w:p w14:paraId="697C7B5E" w14:textId="1C4BF59F"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1,9 </w:t>
            </w:r>
          </w:p>
        </w:tc>
      </w:tr>
      <w:tr w:rsidR="4E193667" w14:paraId="29E23E8F" w14:textId="77777777" w:rsidTr="000C01F7">
        <w:trPr>
          <w:trHeight w:val="76"/>
        </w:trPr>
        <w:tc>
          <w:tcPr>
            <w:tcW w:w="951" w:type="dxa"/>
            <w:tcBorders>
              <w:top w:val="single" w:sz="4" w:space="0" w:color="000000"/>
              <w:left w:val="single" w:sz="4" w:space="0" w:color="FFFFFF" w:themeColor="background1"/>
              <w:bottom w:val="single" w:sz="8" w:space="0" w:color="F3CFC1"/>
              <w:right w:val="single" w:sz="8" w:space="0" w:color="D2232A" w:themeColor="accent1"/>
            </w:tcBorders>
            <w:shd w:val="clear" w:color="auto" w:fill="D2232A" w:themeFill="accent1"/>
            <w:vAlign w:val="center"/>
          </w:tcPr>
          <w:p w14:paraId="258277E8" w14:textId="422BFD63" w:rsidR="4E193667" w:rsidRPr="00830899" w:rsidRDefault="4E193667" w:rsidP="00830899">
            <w:pPr>
              <w:spacing w:before="17" w:after="120" w:line="264" w:lineRule="auto"/>
              <w:ind w:left="52"/>
              <w:jc w:val="center"/>
              <w:rPr>
                <w:rFonts w:eastAsia="Arial" w:cstheme="minorHAnsi"/>
                <w:color w:val="FFFFFF" w:themeColor="background1"/>
                <w:spacing w:val="-2"/>
                <w:w w:val="101"/>
                <w:szCs w:val="18"/>
              </w:rPr>
            </w:pPr>
            <w:r w:rsidRPr="00830899">
              <w:rPr>
                <w:rFonts w:eastAsia="Arial" w:cstheme="minorHAnsi"/>
                <w:color w:val="FFFFFF" w:themeColor="background1"/>
                <w:spacing w:val="-2"/>
                <w:w w:val="101"/>
                <w:szCs w:val="18"/>
              </w:rPr>
              <w:t xml:space="preserve">2016. </w:t>
            </w:r>
          </w:p>
        </w:tc>
        <w:tc>
          <w:tcPr>
            <w:tcW w:w="1308" w:type="dxa"/>
            <w:tcBorders>
              <w:top w:val="single" w:sz="4" w:space="0" w:color="000000"/>
              <w:left w:val="single" w:sz="4" w:space="0" w:color="000000"/>
              <w:bottom w:val="single" w:sz="8" w:space="0" w:color="F3CFC1"/>
              <w:right w:val="single" w:sz="8" w:space="0" w:color="D2232A" w:themeColor="accent1"/>
            </w:tcBorders>
            <w:vAlign w:val="center"/>
          </w:tcPr>
          <w:p w14:paraId="6C532493" w14:textId="16BE2B47"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14,8 </w:t>
            </w:r>
          </w:p>
        </w:tc>
        <w:tc>
          <w:tcPr>
            <w:tcW w:w="1384" w:type="dxa"/>
            <w:tcBorders>
              <w:top w:val="single" w:sz="4" w:space="0" w:color="000000"/>
              <w:left w:val="single" w:sz="4" w:space="0" w:color="000000"/>
              <w:bottom w:val="single" w:sz="8" w:space="0" w:color="F3CFC1"/>
              <w:right w:val="single" w:sz="8" w:space="0" w:color="D2232A" w:themeColor="accent1"/>
            </w:tcBorders>
            <w:vAlign w:val="center"/>
          </w:tcPr>
          <w:p w14:paraId="3F3782D3" w14:textId="3F756E44"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1,6 </w:t>
            </w:r>
          </w:p>
        </w:tc>
        <w:tc>
          <w:tcPr>
            <w:tcW w:w="1284" w:type="dxa"/>
            <w:tcBorders>
              <w:top w:val="single" w:sz="4" w:space="0" w:color="000000"/>
              <w:left w:val="single" w:sz="4" w:space="0" w:color="000000"/>
              <w:bottom w:val="single" w:sz="8" w:space="0" w:color="F3CFC1"/>
              <w:right w:val="single" w:sz="8" w:space="0" w:color="D2232A" w:themeColor="accent1"/>
            </w:tcBorders>
            <w:vAlign w:val="center"/>
          </w:tcPr>
          <w:p w14:paraId="2DDB2A38" w14:textId="288A937A"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23,0 </w:t>
            </w:r>
          </w:p>
        </w:tc>
        <w:tc>
          <w:tcPr>
            <w:tcW w:w="1571" w:type="dxa"/>
            <w:tcBorders>
              <w:top w:val="single" w:sz="4" w:space="0" w:color="000000"/>
              <w:left w:val="single" w:sz="4" w:space="0" w:color="000000"/>
              <w:bottom w:val="single" w:sz="8" w:space="0" w:color="F3CFC1"/>
              <w:right w:val="single" w:sz="8" w:space="0" w:color="D2232A" w:themeColor="accent1"/>
            </w:tcBorders>
            <w:vAlign w:val="center"/>
          </w:tcPr>
          <w:p w14:paraId="0F624A27" w14:textId="2305DBBE"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2,41 </w:t>
            </w:r>
          </w:p>
        </w:tc>
        <w:tc>
          <w:tcPr>
            <w:tcW w:w="1442" w:type="dxa"/>
            <w:tcBorders>
              <w:top w:val="single" w:sz="4" w:space="0" w:color="000000"/>
              <w:left w:val="single" w:sz="4" w:space="0" w:color="000000"/>
              <w:bottom w:val="single" w:sz="8" w:space="0" w:color="F3CFC1"/>
              <w:right w:val="single" w:sz="8" w:space="0" w:color="D2232A" w:themeColor="accent1"/>
            </w:tcBorders>
            <w:vAlign w:val="center"/>
          </w:tcPr>
          <w:p w14:paraId="128E1767" w14:textId="05800D13"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26,7 </w:t>
            </w:r>
          </w:p>
        </w:tc>
        <w:tc>
          <w:tcPr>
            <w:tcW w:w="1384" w:type="dxa"/>
            <w:tcBorders>
              <w:top w:val="single" w:sz="4" w:space="0" w:color="000000"/>
              <w:left w:val="single" w:sz="4" w:space="0" w:color="000000"/>
              <w:bottom w:val="single" w:sz="8" w:space="0" w:color="F3CFC1"/>
              <w:right w:val="single" w:sz="4" w:space="0" w:color="FBE8E8" w:themeColor="accent6" w:themeTint="33"/>
            </w:tcBorders>
            <w:vAlign w:val="center"/>
          </w:tcPr>
          <w:p w14:paraId="66C47102" w14:textId="014018C0"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2,0 </w:t>
            </w:r>
          </w:p>
        </w:tc>
      </w:tr>
      <w:tr w:rsidR="4E193667" w14:paraId="0BC4704A" w14:textId="77777777" w:rsidTr="000C01F7">
        <w:trPr>
          <w:trHeight w:val="76"/>
        </w:trPr>
        <w:tc>
          <w:tcPr>
            <w:tcW w:w="951" w:type="dxa"/>
            <w:tcBorders>
              <w:top w:val="single" w:sz="4" w:space="0" w:color="000000"/>
              <w:left w:val="single" w:sz="4" w:space="0" w:color="FFFFFF" w:themeColor="background1"/>
              <w:bottom w:val="single" w:sz="8" w:space="0" w:color="F3CFC1"/>
              <w:right w:val="single" w:sz="8" w:space="0" w:color="D2232A" w:themeColor="accent1"/>
            </w:tcBorders>
            <w:shd w:val="clear" w:color="auto" w:fill="D2232A" w:themeFill="accent1"/>
            <w:vAlign w:val="center"/>
          </w:tcPr>
          <w:p w14:paraId="6DB46CCB" w14:textId="31EFDF82" w:rsidR="4E193667" w:rsidRPr="00830899" w:rsidRDefault="4E193667" w:rsidP="00830899">
            <w:pPr>
              <w:spacing w:before="17" w:after="120" w:line="264" w:lineRule="auto"/>
              <w:ind w:left="52"/>
              <w:jc w:val="center"/>
              <w:rPr>
                <w:rFonts w:eastAsia="Arial" w:cstheme="minorHAnsi"/>
                <w:color w:val="FFFFFF" w:themeColor="background1"/>
                <w:spacing w:val="-2"/>
                <w:w w:val="101"/>
                <w:szCs w:val="18"/>
              </w:rPr>
            </w:pPr>
            <w:r w:rsidRPr="00830899">
              <w:rPr>
                <w:rFonts w:eastAsia="Arial" w:cstheme="minorHAnsi"/>
                <w:color w:val="FFFFFF" w:themeColor="background1"/>
                <w:spacing w:val="-2"/>
                <w:w w:val="101"/>
                <w:szCs w:val="18"/>
              </w:rPr>
              <w:t xml:space="preserve">2017. </w:t>
            </w:r>
          </w:p>
        </w:tc>
        <w:tc>
          <w:tcPr>
            <w:tcW w:w="1308" w:type="dxa"/>
            <w:tcBorders>
              <w:top w:val="single" w:sz="4" w:space="0" w:color="000000"/>
              <w:left w:val="single" w:sz="4" w:space="0" w:color="000000"/>
              <w:bottom w:val="single" w:sz="8" w:space="0" w:color="F3CFC1"/>
              <w:right w:val="single" w:sz="8" w:space="0" w:color="D2232A" w:themeColor="accent1"/>
            </w:tcBorders>
            <w:vAlign w:val="center"/>
          </w:tcPr>
          <w:p w14:paraId="709ED20B" w14:textId="6F3CBEFD"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15,3 </w:t>
            </w:r>
          </w:p>
        </w:tc>
        <w:tc>
          <w:tcPr>
            <w:tcW w:w="1384" w:type="dxa"/>
            <w:tcBorders>
              <w:top w:val="single" w:sz="4" w:space="0" w:color="000000"/>
              <w:left w:val="single" w:sz="4" w:space="0" w:color="000000"/>
              <w:bottom w:val="single" w:sz="8" w:space="0" w:color="F3CFC1"/>
              <w:right w:val="single" w:sz="8" w:space="0" w:color="D2232A" w:themeColor="accent1"/>
            </w:tcBorders>
            <w:vAlign w:val="center"/>
          </w:tcPr>
          <w:p w14:paraId="0E0E21E3" w14:textId="1BB6BB51"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1,7 </w:t>
            </w:r>
          </w:p>
        </w:tc>
        <w:tc>
          <w:tcPr>
            <w:tcW w:w="1284" w:type="dxa"/>
            <w:tcBorders>
              <w:top w:val="single" w:sz="4" w:space="0" w:color="000000"/>
              <w:left w:val="single" w:sz="4" w:space="0" w:color="000000"/>
              <w:bottom w:val="single" w:sz="8" w:space="0" w:color="F3CFC1"/>
              <w:right w:val="single" w:sz="8" w:space="0" w:color="D2232A" w:themeColor="accent1"/>
            </w:tcBorders>
            <w:vAlign w:val="center"/>
          </w:tcPr>
          <w:p w14:paraId="233B433D" w14:textId="67D351E0"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24,1 </w:t>
            </w:r>
          </w:p>
        </w:tc>
        <w:tc>
          <w:tcPr>
            <w:tcW w:w="1571" w:type="dxa"/>
            <w:tcBorders>
              <w:top w:val="single" w:sz="4" w:space="0" w:color="000000"/>
              <w:left w:val="single" w:sz="4" w:space="0" w:color="000000"/>
              <w:bottom w:val="single" w:sz="8" w:space="0" w:color="F3CFC1"/>
              <w:right w:val="single" w:sz="8" w:space="0" w:color="D2232A" w:themeColor="accent1"/>
            </w:tcBorders>
            <w:vAlign w:val="center"/>
          </w:tcPr>
          <w:p w14:paraId="7F276538" w14:textId="74F01FC5"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2,52 </w:t>
            </w:r>
          </w:p>
        </w:tc>
        <w:tc>
          <w:tcPr>
            <w:tcW w:w="1442" w:type="dxa"/>
            <w:tcBorders>
              <w:top w:val="single" w:sz="4" w:space="0" w:color="000000"/>
              <w:left w:val="single" w:sz="4" w:space="0" w:color="000000"/>
              <w:bottom w:val="single" w:sz="8" w:space="0" w:color="F3CFC1"/>
              <w:right w:val="single" w:sz="8" w:space="0" w:color="D2232A" w:themeColor="accent1"/>
            </w:tcBorders>
            <w:vAlign w:val="center"/>
          </w:tcPr>
          <w:p w14:paraId="1E0B00AA" w14:textId="7A990C41"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28,0 </w:t>
            </w:r>
          </w:p>
        </w:tc>
        <w:tc>
          <w:tcPr>
            <w:tcW w:w="1384" w:type="dxa"/>
            <w:tcBorders>
              <w:top w:val="single" w:sz="4" w:space="0" w:color="000000"/>
              <w:left w:val="single" w:sz="4" w:space="0" w:color="000000"/>
              <w:bottom w:val="single" w:sz="8" w:space="0" w:color="F3CFC1"/>
              <w:right w:val="single" w:sz="4" w:space="0" w:color="FBE8E8" w:themeColor="accent6" w:themeTint="33"/>
            </w:tcBorders>
            <w:vAlign w:val="center"/>
          </w:tcPr>
          <w:p w14:paraId="45A4D53D" w14:textId="45E2F8F8"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2,1 </w:t>
            </w:r>
          </w:p>
        </w:tc>
      </w:tr>
      <w:tr w:rsidR="4E193667" w14:paraId="2C8CD11D" w14:textId="77777777" w:rsidTr="000C01F7">
        <w:trPr>
          <w:trHeight w:val="72"/>
        </w:trPr>
        <w:tc>
          <w:tcPr>
            <w:tcW w:w="951" w:type="dxa"/>
            <w:tcBorders>
              <w:top w:val="single" w:sz="4" w:space="0" w:color="000000"/>
              <w:left w:val="single" w:sz="4" w:space="0" w:color="FFFFFF" w:themeColor="background1"/>
              <w:bottom w:val="single" w:sz="4" w:space="0" w:color="FBE8E8" w:themeColor="accent6" w:themeTint="33"/>
              <w:right w:val="single" w:sz="8" w:space="0" w:color="D2232A" w:themeColor="accent1"/>
            </w:tcBorders>
            <w:shd w:val="clear" w:color="auto" w:fill="D2232A" w:themeFill="accent1"/>
            <w:vAlign w:val="center"/>
          </w:tcPr>
          <w:p w14:paraId="0734A2A7" w14:textId="15442747" w:rsidR="4E193667" w:rsidRPr="00830899" w:rsidRDefault="4E193667" w:rsidP="00830899">
            <w:pPr>
              <w:spacing w:before="17" w:after="120" w:line="264" w:lineRule="auto"/>
              <w:ind w:left="52"/>
              <w:jc w:val="center"/>
              <w:rPr>
                <w:rFonts w:eastAsia="Arial" w:cstheme="minorHAnsi"/>
                <w:color w:val="FFFFFF" w:themeColor="background1"/>
                <w:spacing w:val="-2"/>
                <w:w w:val="101"/>
                <w:szCs w:val="18"/>
              </w:rPr>
            </w:pPr>
            <w:r w:rsidRPr="00830899">
              <w:rPr>
                <w:rFonts w:eastAsia="Arial" w:cstheme="minorHAnsi"/>
                <w:color w:val="FFFFFF" w:themeColor="background1"/>
                <w:spacing w:val="-2"/>
                <w:w w:val="101"/>
                <w:szCs w:val="18"/>
              </w:rPr>
              <w:t xml:space="preserve">2018. </w:t>
            </w:r>
          </w:p>
        </w:tc>
        <w:tc>
          <w:tcPr>
            <w:tcW w:w="1308" w:type="dxa"/>
            <w:tcBorders>
              <w:top w:val="single" w:sz="4" w:space="0" w:color="000000"/>
              <w:left w:val="single" w:sz="4" w:space="0" w:color="000000"/>
              <w:bottom w:val="single" w:sz="4" w:space="0" w:color="FBE8E8" w:themeColor="accent6" w:themeTint="33"/>
              <w:right w:val="single" w:sz="8" w:space="0" w:color="D2232A" w:themeColor="accent1"/>
            </w:tcBorders>
            <w:vAlign w:val="center"/>
          </w:tcPr>
          <w:p w14:paraId="1FB13A3F" w14:textId="15ED8A59"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17,0 </w:t>
            </w:r>
          </w:p>
        </w:tc>
        <w:tc>
          <w:tcPr>
            <w:tcW w:w="1384" w:type="dxa"/>
            <w:tcBorders>
              <w:top w:val="single" w:sz="4" w:space="0" w:color="000000"/>
              <w:left w:val="single" w:sz="4" w:space="0" w:color="000000"/>
              <w:bottom w:val="single" w:sz="4" w:space="0" w:color="FBE8E8" w:themeColor="accent6" w:themeTint="33"/>
              <w:right w:val="single" w:sz="8" w:space="0" w:color="D2232A" w:themeColor="accent1"/>
            </w:tcBorders>
            <w:vAlign w:val="center"/>
          </w:tcPr>
          <w:p w14:paraId="61A26837" w14:textId="112FE0AA"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1,8 </w:t>
            </w:r>
          </w:p>
        </w:tc>
        <w:tc>
          <w:tcPr>
            <w:tcW w:w="1284" w:type="dxa"/>
            <w:tcBorders>
              <w:top w:val="single" w:sz="4" w:space="0" w:color="000000"/>
              <w:left w:val="single" w:sz="4" w:space="0" w:color="000000"/>
              <w:bottom w:val="single" w:sz="4" w:space="0" w:color="FBE8E8" w:themeColor="accent6" w:themeTint="33"/>
              <w:right w:val="single" w:sz="8" w:space="0" w:color="D2232A" w:themeColor="accent1"/>
            </w:tcBorders>
            <w:vAlign w:val="center"/>
          </w:tcPr>
          <w:p w14:paraId="726E7CDF" w14:textId="5771DDF5"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26,2 </w:t>
            </w:r>
          </w:p>
        </w:tc>
        <w:tc>
          <w:tcPr>
            <w:tcW w:w="1571" w:type="dxa"/>
            <w:tcBorders>
              <w:top w:val="single" w:sz="4" w:space="0" w:color="000000"/>
              <w:left w:val="single" w:sz="4" w:space="0" w:color="000000"/>
              <w:bottom w:val="single" w:sz="4" w:space="0" w:color="FBE8E8" w:themeColor="accent6" w:themeTint="33"/>
              <w:right w:val="single" w:sz="8" w:space="0" w:color="D2232A" w:themeColor="accent1"/>
            </w:tcBorders>
            <w:vAlign w:val="center"/>
          </w:tcPr>
          <w:p w14:paraId="1BAF0558" w14:textId="34C1FA4C"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2,74 </w:t>
            </w:r>
          </w:p>
        </w:tc>
        <w:tc>
          <w:tcPr>
            <w:tcW w:w="1442" w:type="dxa"/>
            <w:tcBorders>
              <w:top w:val="single" w:sz="4" w:space="0" w:color="000000"/>
              <w:left w:val="single" w:sz="4" w:space="0" w:color="000000"/>
              <w:bottom w:val="single" w:sz="4" w:space="0" w:color="FBE8E8" w:themeColor="accent6" w:themeTint="33"/>
              <w:right w:val="single" w:sz="8" w:space="0" w:color="D2232A" w:themeColor="accent1"/>
            </w:tcBorders>
            <w:vAlign w:val="center"/>
          </w:tcPr>
          <w:p w14:paraId="07194EB9" w14:textId="34273B6B"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 xml:space="preserve">30,6 </w:t>
            </w:r>
          </w:p>
        </w:tc>
        <w:tc>
          <w:tcPr>
            <w:tcW w:w="1384" w:type="dxa"/>
            <w:tcBorders>
              <w:top w:val="single" w:sz="4" w:space="0" w:color="000000"/>
              <w:left w:val="single" w:sz="4" w:space="0" w:color="000000"/>
              <w:bottom w:val="single" w:sz="4" w:space="0" w:color="FBE8E8" w:themeColor="accent6" w:themeTint="33"/>
              <w:right w:val="single" w:sz="4" w:space="0" w:color="FBE8E8" w:themeColor="accent6" w:themeTint="33"/>
            </w:tcBorders>
            <w:vAlign w:val="center"/>
          </w:tcPr>
          <w:p w14:paraId="40B2BE07" w14:textId="38551D5F" w:rsidR="4E193667" w:rsidRPr="00830899" w:rsidRDefault="4E193667" w:rsidP="4E193667">
            <w:pPr>
              <w:jc w:val="center"/>
              <w:rPr>
                <w:rFonts w:eastAsia="Arial" w:cstheme="minorHAnsi"/>
                <w:color w:val="auto"/>
                <w:spacing w:val="-2"/>
                <w:w w:val="101"/>
                <w:szCs w:val="18"/>
              </w:rPr>
            </w:pPr>
            <w:r w:rsidRPr="00830899">
              <w:rPr>
                <w:rFonts w:eastAsia="Arial" w:cstheme="minorHAnsi"/>
                <w:color w:val="auto"/>
                <w:spacing w:val="-2"/>
                <w:w w:val="101"/>
                <w:szCs w:val="18"/>
              </w:rPr>
              <w:t>2,3</w:t>
            </w:r>
          </w:p>
        </w:tc>
      </w:tr>
      <w:tr w:rsidR="00AB5E3D" w14:paraId="2718A349" w14:textId="77777777" w:rsidTr="000C01F7">
        <w:trPr>
          <w:trHeight w:val="72"/>
        </w:trPr>
        <w:tc>
          <w:tcPr>
            <w:tcW w:w="951" w:type="dxa"/>
            <w:tcBorders>
              <w:top w:val="single" w:sz="4" w:space="0" w:color="FBE8E8" w:themeColor="accent6" w:themeTint="33"/>
              <w:left w:val="single" w:sz="4" w:space="0" w:color="FFFFFF" w:themeColor="background1"/>
              <w:bottom w:val="single" w:sz="4" w:space="0" w:color="FBE8E8" w:themeColor="accent6" w:themeTint="33"/>
              <w:right w:val="single" w:sz="8" w:space="0" w:color="D2232A" w:themeColor="accent1"/>
            </w:tcBorders>
            <w:shd w:val="clear" w:color="auto" w:fill="D2232A" w:themeFill="accent1"/>
            <w:vAlign w:val="center"/>
          </w:tcPr>
          <w:p w14:paraId="7537FA42" w14:textId="12C66D90" w:rsidR="00AB5E3D" w:rsidRPr="00830899" w:rsidRDefault="00AB5E3D" w:rsidP="00AB5E3D">
            <w:pPr>
              <w:spacing w:before="17" w:after="120" w:line="264" w:lineRule="auto"/>
              <w:ind w:left="52"/>
              <w:jc w:val="center"/>
              <w:rPr>
                <w:rFonts w:eastAsia="Arial" w:cstheme="minorHAnsi"/>
                <w:color w:val="FFFFFF" w:themeColor="background1"/>
                <w:spacing w:val="-2"/>
                <w:w w:val="101"/>
                <w:szCs w:val="18"/>
              </w:rPr>
            </w:pPr>
            <w:r>
              <w:rPr>
                <w:rFonts w:eastAsia="Arial" w:cstheme="minorHAnsi"/>
                <w:color w:val="FFFFFF" w:themeColor="background1"/>
                <w:spacing w:val="-2"/>
                <w:w w:val="101"/>
                <w:szCs w:val="18"/>
              </w:rPr>
              <w:t>2019.</w:t>
            </w:r>
          </w:p>
        </w:tc>
        <w:tc>
          <w:tcPr>
            <w:tcW w:w="1308" w:type="dxa"/>
            <w:tcBorders>
              <w:top w:val="single" w:sz="4" w:space="0" w:color="FBE8E8" w:themeColor="accent6" w:themeTint="33"/>
              <w:left w:val="single" w:sz="4" w:space="0" w:color="000000"/>
              <w:bottom w:val="single" w:sz="4" w:space="0" w:color="FBE8E8" w:themeColor="accent6" w:themeTint="33"/>
              <w:right w:val="single" w:sz="8" w:space="0" w:color="D2232A" w:themeColor="accent1"/>
            </w:tcBorders>
            <w:vAlign w:val="center"/>
          </w:tcPr>
          <w:p w14:paraId="7F88A085" w14:textId="5FF91DDE" w:rsidR="00AB5E3D" w:rsidRPr="00776079" w:rsidRDefault="00776079" w:rsidP="005D02A9">
            <w:pPr>
              <w:jc w:val="center"/>
              <w:rPr>
                <w:rFonts w:eastAsia="Arial" w:cstheme="minorHAnsi"/>
                <w:color w:val="auto"/>
                <w:spacing w:val="-2"/>
                <w:w w:val="101"/>
                <w:szCs w:val="18"/>
              </w:rPr>
            </w:pPr>
            <w:r w:rsidRPr="00776079">
              <w:rPr>
                <w:rFonts w:eastAsia="Arial" w:cstheme="minorHAnsi"/>
                <w:color w:val="auto"/>
                <w:spacing w:val="-2"/>
                <w:w w:val="101"/>
                <w:szCs w:val="18"/>
              </w:rPr>
              <w:t>17,6</w:t>
            </w:r>
          </w:p>
        </w:tc>
        <w:tc>
          <w:tcPr>
            <w:tcW w:w="1384" w:type="dxa"/>
            <w:tcBorders>
              <w:top w:val="single" w:sz="4" w:space="0" w:color="FBE8E8" w:themeColor="accent6" w:themeTint="33"/>
              <w:left w:val="single" w:sz="4" w:space="0" w:color="000000"/>
              <w:bottom w:val="single" w:sz="4" w:space="0" w:color="FBE8E8" w:themeColor="accent6" w:themeTint="33"/>
              <w:right w:val="single" w:sz="8" w:space="0" w:color="D2232A" w:themeColor="accent1"/>
            </w:tcBorders>
            <w:vAlign w:val="center"/>
          </w:tcPr>
          <w:p w14:paraId="378319E9" w14:textId="4E1062F6" w:rsidR="00AB5E3D" w:rsidRPr="00776079" w:rsidRDefault="00776079" w:rsidP="005D02A9">
            <w:pPr>
              <w:jc w:val="center"/>
              <w:rPr>
                <w:rFonts w:eastAsia="Arial" w:cstheme="minorHAnsi"/>
                <w:color w:val="auto"/>
                <w:spacing w:val="-2"/>
                <w:w w:val="101"/>
                <w:szCs w:val="18"/>
              </w:rPr>
            </w:pPr>
            <w:r>
              <w:rPr>
                <w:rFonts w:eastAsia="Arial" w:cstheme="minorHAnsi"/>
                <w:color w:val="auto"/>
                <w:spacing w:val="-2"/>
                <w:w w:val="101"/>
                <w:szCs w:val="18"/>
              </w:rPr>
              <w:t>1,9</w:t>
            </w:r>
          </w:p>
        </w:tc>
        <w:tc>
          <w:tcPr>
            <w:tcW w:w="1284" w:type="dxa"/>
            <w:tcBorders>
              <w:top w:val="single" w:sz="4" w:space="0" w:color="FBE8E8" w:themeColor="accent6" w:themeTint="33"/>
              <w:left w:val="single" w:sz="4" w:space="0" w:color="000000"/>
              <w:bottom w:val="single" w:sz="4" w:space="0" w:color="FBE8E8" w:themeColor="accent6" w:themeTint="33"/>
              <w:right w:val="single" w:sz="8" w:space="0" w:color="D2232A" w:themeColor="accent1"/>
            </w:tcBorders>
            <w:vAlign w:val="center"/>
          </w:tcPr>
          <w:p w14:paraId="3B85C268" w14:textId="0342F4D4" w:rsidR="00AB5E3D" w:rsidRPr="00776079" w:rsidRDefault="00776079" w:rsidP="005D02A9">
            <w:pPr>
              <w:jc w:val="center"/>
              <w:rPr>
                <w:rFonts w:eastAsia="Arial" w:cstheme="minorHAnsi"/>
                <w:color w:val="auto"/>
                <w:spacing w:val="-2"/>
                <w:w w:val="101"/>
                <w:szCs w:val="18"/>
              </w:rPr>
            </w:pPr>
            <w:r>
              <w:rPr>
                <w:rFonts w:eastAsia="Arial" w:cstheme="minorHAnsi"/>
                <w:color w:val="auto"/>
                <w:spacing w:val="-2"/>
                <w:w w:val="101"/>
                <w:szCs w:val="18"/>
              </w:rPr>
              <w:t>24,5</w:t>
            </w:r>
          </w:p>
        </w:tc>
        <w:tc>
          <w:tcPr>
            <w:tcW w:w="1571" w:type="dxa"/>
            <w:tcBorders>
              <w:top w:val="single" w:sz="4" w:space="0" w:color="FBE8E8" w:themeColor="accent6" w:themeTint="33"/>
              <w:left w:val="single" w:sz="4" w:space="0" w:color="000000"/>
              <w:bottom w:val="single" w:sz="4" w:space="0" w:color="FBE8E8" w:themeColor="accent6" w:themeTint="33"/>
              <w:right w:val="single" w:sz="8" w:space="0" w:color="D2232A" w:themeColor="accent1"/>
            </w:tcBorders>
            <w:vAlign w:val="center"/>
          </w:tcPr>
          <w:p w14:paraId="157FE38E" w14:textId="6F326836" w:rsidR="00AB5E3D" w:rsidRPr="00776079" w:rsidRDefault="00776079" w:rsidP="005D02A9">
            <w:pPr>
              <w:jc w:val="center"/>
              <w:rPr>
                <w:rFonts w:eastAsia="Arial" w:cstheme="minorHAnsi"/>
                <w:color w:val="auto"/>
                <w:spacing w:val="-2"/>
                <w:w w:val="101"/>
                <w:szCs w:val="18"/>
              </w:rPr>
            </w:pPr>
            <w:r>
              <w:rPr>
                <w:rFonts w:eastAsia="Arial" w:cstheme="minorHAnsi"/>
                <w:color w:val="auto"/>
                <w:spacing w:val="-2"/>
                <w:w w:val="101"/>
                <w:szCs w:val="18"/>
              </w:rPr>
              <w:t>2,6</w:t>
            </w:r>
          </w:p>
        </w:tc>
        <w:tc>
          <w:tcPr>
            <w:tcW w:w="1442" w:type="dxa"/>
            <w:tcBorders>
              <w:top w:val="single" w:sz="4" w:space="0" w:color="FBE8E8" w:themeColor="accent6" w:themeTint="33"/>
              <w:left w:val="single" w:sz="4" w:space="0" w:color="000000"/>
              <w:bottom w:val="single" w:sz="4" w:space="0" w:color="FBE8E8" w:themeColor="accent6" w:themeTint="33"/>
              <w:right w:val="single" w:sz="8" w:space="0" w:color="D2232A" w:themeColor="accent1"/>
            </w:tcBorders>
            <w:vAlign w:val="center"/>
          </w:tcPr>
          <w:p w14:paraId="664974E8" w14:textId="72DFE0CC" w:rsidR="00AB5E3D" w:rsidRPr="00776079" w:rsidRDefault="00776079" w:rsidP="005D02A9">
            <w:pPr>
              <w:jc w:val="center"/>
              <w:rPr>
                <w:rFonts w:eastAsia="Arial" w:cstheme="minorHAnsi"/>
                <w:color w:val="auto"/>
                <w:spacing w:val="-2"/>
                <w:w w:val="101"/>
                <w:szCs w:val="18"/>
              </w:rPr>
            </w:pPr>
            <w:r>
              <w:rPr>
                <w:rFonts w:eastAsia="Arial" w:cstheme="minorHAnsi"/>
                <w:color w:val="auto"/>
                <w:spacing w:val="-2"/>
                <w:w w:val="101"/>
                <w:szCs w:val="18"/>
              </w:rPr>
              <w:t>31,8</w:t>
            </w:r>
          </w:p>
        </w:tc>
        <w:tc>
          <w:tcPr>
            <w:tcW w:w="1384" w:type="dxa"/>
            <w:tcBorders>
              <w:top w:val="single" w:sz="4" w:space="0" w:color="FBE8E8" w:themeColor="accent6" w:themeTint="33"/>
              <w:left w:val="single" w:sz="4" w:space="0" w:color="000000"/>
              <w:bottom w:val="single" w:sz="4" w:space="0" w:color="FBE8E8" w:themeColor="accent6" w:themeTint="33"/>
              <w:right w:val="single" w:sz="4" w:space="0" w:color="FBE8E8" w:themeColor="accent6" w:themeTint="33"/>
            </w:tcBorders>
            <w:vAlign w:val="center"/>
          </w:tcPr>
          <w:p w14:paraId="2B16DC92" w14:textId="3637081C" w:rsidR="00AB5E3D" w:rsidRPr="00776079" w:rsidRDefault="00776079" w:rsidP="005D02A9">
            <w:pPr>
              <w:jc w:val="center"/>
              <w:rPr>
                <w:rFonts w:eastAsia="Arial" w:cstheme="minorHAnsi"/>
                <w:color w:val="auto"/>
                <w:spacing w:val="-2"/>
                <w:w w:val="101"/>
                <w:szCs w:val="18"/>
              </w:rPr>
            </w:pPr>
            <w:r>
              <w:rPr>
                <w:rFonts w:eastAsia="Arial" w:cstheme="minorHAnsi"/>
                <w:color w:val="auto"/>
                <w:spacing w:val="-2"/>
                <w:w w:val="101"/>
                <w:szCs w:val="18"/>
              </w:rPr>
              <w:t>2,4</w:t>
            </w:r>
          </w:p>
        </w:tc>
      </w:tr>
    </w:tbl>
    <w:p w14:paraId="088DE236" w14:textId="5F8DA57C" w:rsidR="008878A0" w:rsidRPr="00A40471" w:rsidRDefault="008878A0" w:rsidP="00A40471">
      <w:pPr>
        <w:autoSpaceDE w:val="0"/>
        <w:autoSpaceDN w:val="0"/>
        <w:adjustRightInd w:val="0"/>
        <w:spacing w:after="0" w:line="240" w:lineRule="auto"/>
        <w:rPr>
          <w:rFonts w:eastAsia="ArialNarrow" w:cstheme="minorHAnsi"/>
          <w:i/>
          <w:color w:val="ABABAB" w:themeColor="text1" w:themeTint="A6"/>
          <w:sz w:val="16"/>
          <w:szCs w:val="16"/>
        </w:rPr>
      </w:pPr>
      <w:r w:rsidRPr="00A40471">
        <w:rPr>
          <w:rFonts w:eastAsia="ArialNarrow" w:cstheme="minorHAnsi"/>
          <w:i/>
          <w:color w:val="ABABAB" w:themeColor="text1" w:themeTint="A6"/>
          <w:sz w:val="16"/>
          <w:szCs w:val="16"/>
        </w:rPr>
        <w:t>Izvor: Analitičke podloge za izradu Strategije regionalnog razvoja Republike Hrvatske, MRRFEU 2015., Analiza financijskih rezultata poslovanja poduzetnika Republike Hrvatske u 2015.</w:t>
      </w:r>
      <w:r w:rsidR="00776079" w:rsidRPr="00A40471">
        <w:rPr>
          <w:rFonts w:eastAsia="ArialNarrow" w:cstheme="minorHAnsi"/>
          <w:i/>
          <w:color w:val="ABABAB" w:themeColor="text1" w:themeTint="A6"/>
          <w:sz w:val="16"/>
          <w:szCs w:val="16"/>
        </w:rPr>
        <w:t xml:space="preserve">, 2016., 2017., 2018. i </w:t>
      </w:r>
      <w:r w:rsidRPr="00A40471">
        <w:rPr>
          <w:rFonts w:eastAsia="ArialNarrow" w:cstheme="minorHAnsi"/>
          <w:i/>
          <w:color w:val="ABABAB" w:themeColor="text1" w:themeTint="A6"/>
          <w:sz w:val="16"/>
          <w:szCs w:val="16"/>
        </w:rPr>
        <w:t>201</w:t>
      </w:r>
      <w:r w:rsidR="00776079" w:rsidRPr="00A40471">
        <w:rPr>
          <w:rFonts w:eastAsia="ArialNarrow" w:cstheme="minorHAnsi"/>
          <w:i/>
          <w:color w:val="ABABAB" w:themeColor="text1" w:themeTint="A6"/>
          <w:sz w:val="16"/>
          <w:szCs w:val="16"/>
        </w:rPr>
        <w:t>9</w:t>
      </w:r>
      <w:r w:rsidRPr="00A40471">
        <w:rPr>
          <w:rFonts w:eastAsia="ArialNarrow" w:cstheme="minorHAnsi"/>
          <w:i/>
          <w:color w:val="ABABAB" w:themeColor="text1" w:themeTint="A6"/>
          <w:sz w:val="16"/>
          <w:szCs w:val="16"/>
        </w:rPr>
        <w:t>.</w:t>
      </w:r>
      <w:r w:rsidR="00776079" w:rsidRPr="00A40471">
        <w:rPr>
          <w:rFonts w:eastAsia="ArialNarrow" w:cstheme="minorHAnsi"/>
          <w:i/>
          <w:color w:val="ABABAB" w:themeColor="text1" w:themeTint="A6"/>
          <w:sz w:val="16"/>
          <w:szCs w:val="16"/>
        </w:rPr>
        <w:t>, FINA</w:t>
      </w:r>
    </w:p>
    <w:p w14:paraId="5C9A9CA3" w14:textId="77777777" w:rsidR="0058734F" w:rsidRDefault="0058734F" w:rsidP="00941871">
      <w:pPr>
        <w:rPr>
          <w:rFonts w:eastAsia="Arial Narrow" w:cstheme="minorHAnsi"/>
          <w:spacing w:val="-1"/>
        </w:rPr>
      </w:pPr>
    </w:p>
    <w:p w14:paraId="462BF846" w14:textId="27232435" w:rsidR="008878A0" w:rsidRDefault="008878A0" w:rsidP="00941871">
      <w:pPr>
        <w:rPr>
          <w:rFonts w:eastAsia="Arial Narrow" w:cstheme="minorHAnsi"/>
          <w:spacing w:val="-1"/>
          <w:sz w:val="22"/>
          <w:szCs w:val="22"/>
        </w:rPr>
      </w:pPr>
      <w:r w:rsidRPr="002E5E1A">
        <w:rPr>
          <w:rFonts w:eastAsia="Arial Narrow" w:cstheme="minorHAnsi"/>
          <w:spacing w:val="-1"/>
        </w:rPr>
        <w:t>Krapinsko – zagorska županija bilježi nižu konkurentnost po oba pokazatelja. Prema broju poduzeća na km</w:t>
      </w:r>
      <w:r w:rsidRPr="002E5E1A">
        <w:rPr>
          <w:rFonts w:eastAsia="Arial Narrow" w:cstheme="minorHAnsi"/>
          <w:spacing w:val="-1"/>
          <w:vertAlign w:val="superscript"/>
        </w:rPr>
        <w:t>2</w:t>
      </w:r>
      <w:r w:rsidRPr="002E5E1A">
        <w:rPr>
          <w:rFonts w:eastAsia="Arial Narrow" w:cstheme="minorHAnsi"/>
          <w:spacing w:val="-1"/>
        </w:rPr>
        <w:t xml:space="preserve"> Krapinsko – zagorska županija je znatno ispod prosjeka </w:t>
      </w:r>
      <w:r w:rsidR="00C719D8" w:rsidRPr="002E5E1A">
        <w:rPr>
          <w:rFonts w:eastAsia="Arial Narrow" w:cstheme="minorHAnsi"/>
          <w:spacing w:val="-1"/>
        </w:rPr>
        <w:t>Sjeverne Hrvatske</w:t>
      </w:r>
      <w:r w:rsidR="002E5E1A" w:rsidRPr="002E5E1A">
        <w:rPr>
          <w:rFonts w:eastAsia="Arial Narrow" w:cstheme="minorHAnsi"/>
          <w:spacing w:val="-1"/>
        </w:rPr>
        <w:t xml:space="preserve"> i</w:t>
      </w:r>
      <w:r w:rsidRPr="002E5E1A">
        <w:rPr>
          <w:rFonts w:eastAsia="Arial Narrow" w:cstheme="minorHAnsi"/>
          <w:spacing w:val="-1"/>
        </w:rPr>
        <w:t xml:space="preserve"> ispod prosjeka RH. Prema broju poduzeća na 1000 stanovnika, odstupanja su još i veća.</w:t>
      </w:r>
      <w:r>
        <w:rPr>
          <w:rFonts w:eastAsia="Arial Narrow" w:cstheme="minorHAnsi"/>
          <w:spacing w:val="-1"/>
        </w:rPr>
        <w:t xml:space="preserve"> </w:t>
      </w:r>
    </w:p>
    <w:p w14:paraId="1FE07A49" w14:textId="6107DBA3" w:rsidR="008878A0" w:rsidRDefault="008878A0" w:rsidP="00941871">
      <w:pPr>
        <w:ind w:right="72"/>
        <w:rPr>
          <w:rFonts w:eastAsia="Arial Narrow" w:cstheme="minorHAnsi"/>
        </w:rPr>
      </w:pPr>
      <w:r>
        <w:rPr>
          <w:rFonts w:eastAsia="Arial Narrow" w:cstheme="minorHAnsi"/>
          <w:spacing w:val="1"/>
        </w:rPr>
        <w:t>O</w:t>
      </w:r>
      <w:r>
        <w:rPr>
          <w:rFonts w:eastAsia="Arial Narrow" w:cstheme="minorHAnsi"/>
        </w:rPr>
        <w:t>d</w:t>
      </w:r>
      <w:r>
        <w:rPr>
          <w:rFonts w:eastAsia="Arial Narrow" w:cstheme="minorHAnsi"/>
          <w:spacing w:val="-9"/>
        </w:rPr>
        <w:t xml:space="preserve"> </w:t>
      </w:r>
      <w:r>
        <w:rPr>
          <w:rFonts w:eastAsia="Arial Narrow" w:cstheme="minorHAnsi"/>
          <w:spacing w:val="-2"/>
        </w:rPr>
        <w:t>u</w:t>
      </w:r>
      <w:r>
        <w:rPr>
          <w:rFonts w:eastAsia="Arial Narrow" w:cstheme="minorHAnsi"/>
          <w:spacing w:val="1"/>
        </w:rPr>
        <w:t>k</w:t>
      </w:r>
      <w:r>
        <w:rPr>
          <w:rFonts w:eastAsia="Arial Narrow" w:cstheme="minorHAnsi"/>
        </w:rPr>
        <w:t>upn</w:t>
      </w:r>
      <w:r>
        <w:rPr>
          <w:rFonts w:eastAsia="Arial Narrow" w:cstheme="minorHAnsi"/>
          <w:spacing w:val="-2"/>
        </w:rPr>
        <w:t>o</w:t>
      </w:r>
      <w:r>
        <w:rPr>
          <w:rFonts w:eastAsia="Arial Narrow" w:cstheme="minorHAnsi"/>
        </w:rPr>
        <w:t>g</w:t>
      </w:r>
      <w:r>
        <w:rPr>
          <w:rFonts w:eastAsia="Arial Narrow" w:cstheme="minorHAnsi"/>
          <w:spacing w:val="-9"/>
        </w:rPr>
        <w:t xml:space="preserve"> </w:t>
      </w:r>
      <w:r>
        <w:rPr>
          <w:rFonts w:eastAsia="Arial Narrow" w:cstheme="minorHAnsi"/>
        </w:rPr>
        <w:t>br</w:t>
      </w:r>
      <w:r>
        <w:rPr>
          <w:rFonts w:eastAsia="Arial Narrow" w:cstheme="minorHAnsi"/>
          <w:spacing w:val="-2"/>
        </w:rPr>
        <w:t>o</w:t>
      </w:r>
      <w:r>
        <w:rPr>
          <w:rFonts w:eastAsia="Arial Narrow" w:cstheme="minorHAnsi"/>
          <w:spacing w:val="1"/>
        </w:rPr>
        <w:t>j</w:t>
      </w:r>
      <w:r>
        <w:rPr>
          <w:rFonts w:eastAsia="Arial Narrow" w:cstheme="minorHAnsi"/>
        </w:rPr>
        <w:t>a</w:t>
      </w:r>
      <w:r>
        <w:rPr>
          <w:rFonts w:eastAsia="Arial Narrow" w:cstheme="minorHAnsi"/>
          <w:spacing w:val="-12"/>
        </w:rPr>
        <w:t xml:space="preserve"> </w:t>
      </w:r>
      <w:r>
        <w:rPr>
          <w:rFonts w:eastAsia="Arial Narrow" w:cstheme="minorHAnsi"/>
        </w:rPr>
        <w:t>pod</w:t>
      </w:r>
      <w:r>
        <w:rPr>
          <w:rFonts w:eastAsia="Arial Narrow" w:cstheme="minorHAnsi"/>
          <w:spacing w:val="-2"/>
        </w:rPr>
        <w:t>u</w:t>
      </w:r>
      <w:r>
        <w:rPr>
          <w:rFonts w:eastAsia="Arial Narrow" w:cstheme="minorHAnsi"/>
          <w:spacing w:val="1"/>
        </w:rPr>
        <w:t>z</w:t>
      </w:r>
      <w:r>
        <w:rPr>
          <w:rFonts w:eastAsia="Arial Narrow" w:cstheme="minorHAnsi"/>
        </w:rPr>
        <w:t>etn</w:t>
      </w:r>
      <w:r>
        <w:rPr>
          <w:rFonts w:eastAsia="Arial Narrow" w:cstheme="minorHAnsi"/>
          <w:spacing w:val="-2"/>
        </w:rPr>
        <w:t>i</w:t>
      </w:r>
      <w:r>
        <w:rPr>
          <w:rFonts w:eastAsia="Arial Narrow" w:cstheme="minorHAnsi"/>
          <w:spacing w:val="1"/>
        </w:rPr>
        <w:t>k</w:t>
      </w:r>
      <w:r>
        <w:rPr>
          <w:rFonts w:eastAsia="Arial Narrow" w:cstheme="minorHAnsi"/>
        </w:rPr>
        <w:t>a</w:t>
      </w:r>
      <w:r>
        <w:rPr>
          <w:rFonts w:eastAsia="Arial Narrow" w:cstheme="minorHAnsi"/>
          <w:spacing w:val="-12"/>
        </w:rPr>
        <w:t xml:space="preserve"> </w:t>
      </w:r>
      <w:r>
        <w:rPr>
          <w:rFonts w:eastAsia="Arial Narrow" w:cstheme="minorHAnsi"/>
        </w:rPr>
        <w:t>u</w:t>
      </w:r>
      <w:r>
        <w:rPr>
          <w:rFonts w:eastAsia="Arial Narrow" w:cstheme="minorHAnsi"/>
          <w:spacing w:val="-9"/>
        </w:rPr>
        <w:t xml:space="preserve"> </w:t>
      </w:r>
      <w:r>
        <w:rPr>
          <w:rFonts w:eastAsia="Arial Narrow" w:cstheme="minorHAnsi"/>
          <w:spacing w:val="-1"/>
        </w:rPr>
        <w:t>K</w:t>
      </w:r>
      <w:r>
        <w:rPr>
          <w:rFonts w:eastAsia="Arial Narrow" w:cstheme="minorHAnsi"/>
        </w:rPr>
        <w:t>ra</w:t>
      </w:r>
      <w:r>
        <w:rPr>
          <w:rFonts w:eastAsia="Arial Narrow" w:cstheme="minorHAnsi"/>
          <w:spacing w:val="-2"/>
        </w:rPr>
        <w:t>p</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o-</w:t>
      </w:r>
      <w:r>
        <w:rPr>
          <w:rFonts w:eastAsia="Arial Narrow" w:cstheme="minorHAnsi"/>
          <w:spacing w:val="1"/>
        </w:rPr>
        <w:t>z</w:t>
      </w:r>
      <w:r>
        <w:rPr>
          <w:rFonts w:eastAsia="Arial Narrow" w:cstheme="minorHAnsi"/>
          <w:spacing w:val="-2"/>
        </w:rPr>
        <w:t>a</w:t>
      </w:r>
      <w:r>
        <w:rPr>
          <w:rFonts w:eastAsia="Arial Narrow" w:cstheme="minorHAnsi"/>
        </w:rPr>
        <w:t>gor</w:t>
      </w:r>
      <w:r>
        <w:rPr>
          <w:rFonts w:eastAsia="Arial Narrow" w:cstheme="minorHAnsi"/>
          <w:spacing w:val="1"/>
        </w:rPr>
        <w:t>s</w:t>
      </w:r>
      <w:r>
        <w:rPr>
          <w:rFonts w:eastAsia="Arial Narrow" w:cstheme="minorHAnsi"/>
          <w:spacing w:val="-2"/>
        </w:rPr>
        <w:t>k</w:t>
      </w:r>
      <w:r>
        <w:rPr>
          <w:rFonts w:eastAsia="Arial Narrow" w:cstheme="minorHAnsi"/>
        </w:rPr>
        <w:t>oj</w:t>
      </w:r>
      <w:r>
        <w:rPr>
          <w:rFonts w:eastAsia="Arial Narrow" w:cstheme="minorHAnsi"/>
          <w:spacing w:val="-11"/>
        </w:rPr>
        <w:t xml:space="preserve"> </w:t>
      </w:r>
      <w:r>
        <w:rPr>
          <w:rFonts w:eastAsia="Arial Narrow" w:cstheme="minorHAnsi"/>
          <w:spacing w:val="1"/>
        </w:rPr>
        <w:t>ž</w:t>
      </w:r>
      <w:r>
        <w:rPr>
          <w:rFonts w:eastAsia="Arial Narrow" w:cstheme="minorHAnsi"/>
        </w:rPr>
        <w:t>up</w:t>
      </w:r>
      <w:r>
        <w:rPr>
          <w:rFonts w:eastAsia="Arial Narrow" w:cstheme="minorHAnsi"/>
          <w:spacing w:val="-2"/>
        </w:rPr>
        <w:t>a</w:t>
      </w:r>
      <w:r>
        <w:rPr>
          <w:rFonts w:eastAsia="Arial Narrow" w:cstheme="minorHAnsi"/>
        </w:rPr>
        <w:t>n</w:t>
      </w:r>
      <w:r>
        <w:rPr>
          <w:rFonts w:eastAsia="Arial Narrow" w:cstheme="minorHAnsi"/>
          <w:spacing w:val="1"/>
        </w:rPr>
        <w:t>i</w:t>
      </w:r>
      <w:r>
        <w:rPr>
          <w:rFonts w:eastAsia="Arial Narrow" w:cstheme="minorHAnsi"/>
          <w:spacing w:val="-2"/>
        </w:rPr>
        <w:t>j</w:t>
      </w:r>
      <w:r>
        <w:rPr>
          <w:rFonts w:eastAsia="Arial Narrow" w:cstheme="minorHAnsi"/>
        </w:rPr>
        <w:t>i</w:t>
      </w:r>
      <w:r w:rsidR="002337E0">
        <w:rPr>
          <w:rFonts w:eastAsia="Arial Narrow" w:cstheme="minorHAnsi"/>
        </w:rPr>
        <w:t>,</w:t>
      </w:r>
      <w:r>
        <w:rPr>
          <w:rFonts w:eastAsia="Arial Narrow" w:cstheme="minorHAnsi"/>
          <w:spacing w:val="-9"/>
        </w:rPr>
        <w:t xml:space="preserve"> </w:t>
      </w:r>
      <w:r>
        <w:rPr>
          <w:rFonts w:eastAsia="Arial Narrow" w:cstheme="minorHAnsi"/>
        </w:rPr>
        <w:t>u</w:t>
      </w:r>
      <w:r>
        <w:rPr>
          <w:rFonts w:eastAsia="Arial Narrow" w:cstheme="minorHAnsi"/>
          <w:spacing w:val="-12"/>
        </w:rPr>
        <w:t xml:space="preserve"> </w:t>
      </w:r>
      <w:r w:rsidRPr="0082143F">
        <w:rPr>
          <w:rFonts w:eastAsia="Arial Narrow" w:cstheme="minorHAnsi"/>
        </w:rPr>
        <w:t>2018.</w:t>
      </w:r>
      <w:r>
        <w:rPr>
          <w:rFonts w:eastAsia="Arial Narrow" w:cstheme="minorHAnsi"/>
          <w:spacing w:val="-12"/>
        </w:rPr>
        <w:t xml:space="preserve"> </w:t>
      </w:r>
      <w:r>
        <w:rPr>
          <w:rFonts w:eastAsia="Arial Narrow" w:cstheme="minorHAnsi"/>
        </w:rPr>
        <w:t>god</w:t>
      </w:r>
      <w:r>
        <w:rPr>
          <w:rFonts w:eastAsia="Arial Narrow" w:cstheme="minorHAnsi"/>
          <w:spacing w:val="-2"/>
        </w:rPr>
        <w:t>i</w:t>
      </w:r>
      <w:r>
        <w:rPr>
          <w:rFonts w:eastAsia="Arial Narrow" w:cstheme="minorHAnsi"/>
        </w:rPr>
        <w:t>ni</w:t>
      </w:r>
      <w:r>
        <w:rPr>
          <w:rFonts w:eastAsia="Arial Narrow" w:cstheme="minorHAnsi"/>
          <w:spacing w:val="-11"/>
        </w:rPr>
        <w:t xml:space="preserve"> </w:t>
      </w:r>
      <w:r>
        <w:rPr>
          <w:rFonts w:eastAsia="Arial Narrow" w:cstheme="minorHAnsi"/>
          <w:spacing w:val="1"/>
        </w:rPr>
        <w:t>s</w:t>
      </w:r>
      <w:r>
        <w:rPr>
          <w:rFonts w:eastAsia="Arial Narrow" w:cstheme="minorHAnsi"/>
        </w:rPr>
        <w:t>a</w:t>
      </w:r>
      <w:r>
        <w:rPr>
          <w:rFonts w:eastAsia="Arial Narrow" w:cstheme="minorHAnsi"/>
          <w:spacing w:val="-2"/>
        </w:rPr>
        <w:t>m</w:t>
      </w:r>
      <w:r>
        <w:rPr>
          <w:rFonts w:eastAsia="Arial Narrow" w:cstheme="minorHAnsi"/>
        </w:rPr>
        <w:t>o</w:t>
      </w:r>
      <w:r>
        <w:rPr>
          <w:rFonts w:eastAsia="Arial Narrow" w:cstheme="minorHAnsi"/>
          <w:spacing w:val="-9"/>
        </w:rPr>
        <w:t xml:space="preserve"> </w:t>
      </w:r>
      <w:r>
        <w:rPr>
          <w:rFonts w:eastAsia="Arial Narrow" w:cstheme="minorHAnsi"/>
          <w:spacing w:val="1"/>
        </w:rPr>
        <w:t>j</w:t>
      </w:r>
      <w:r>
        <w:rPr>
          <w:rFonts w:eastAsia="Arial Narrow" w:cstheme="minorHAnsi"/>
        </w:rPr>
        <w:t>e</w:t>
      </w:r>
      <w:r>
        <w:rPr>
          <w:rFonts w:eastAsia="Arial Narrow" w:cstheme="minorHAnsi"/>
          <w:spacing w:val="-12"/>
        </w:rPr>
        <w:t xml:space="preserve"> </w:t>
      </w:r>
      <w:r w:rsidR="00BF5FA7">
        <w:rPr>
          <w:rFonts w:eastAsia="Arial Narrow" w:cstheme="minorHAnsi"/>
          <w:spacing w:val="-12"/>
        </w:rPr>
        <w:t xml:space="preserve">njih </w:t>
      </w:r>
      <w:r>
        <w:rPr>
          <w:rFonts w:eastAsia="Arial Narrow" w:cstheme="minorHAnsi"/>
        </w:rPr>
        <w:t>12,7%</w:t>
      </w:r>
      <w:r>
        <w:rPr>
          <w:rFonts w:eastAsia="Arial Narrow" w:cstheme="minorHAnsi"/>
          <w:spacing w:val="-9"/>
        </w:rPr>
        <w:t xml:space="preserve"> </w:t>
      </w:r>
      <w:r>
        <w:rPr>
          <w:rFonts w:eastAsia="Arial Narrow" w:cstheme="minorHAnsi"/>
        </w:rPr>
        <w:t>u</w:t>
      </w:r>
      <w:r>
        <w:rPr>
          <w:rFonts w:eastAsia="Arial Narrow" w:cstheme="minorHAnsi"/>
          <w:spacing w:val="-2"/>
        </w:rPr>
        <w:t>l</w:t>
      </w:r>
      <w:r>
        <w:rPr>
          <w:rFonts w:eastAsia="Arial Narrow" w:cstheme="minorHAnsi"/>
        </w:rPr>
        <w:t>o</w:t>
      </w:r>
      <w:r>
        <w:rPr>
          <w:rFonts w:eastAsia="Arial Narrow" w:cstheme="minorHAnsi"/>
          <w:spacing w:val="1"/>
        </w:rPr>
        <w:t>žil</w:t>
      </w:r>
      <w:r>
        <w:rPr>
          <w:rFonts w:eastAsia="Arial Narrow" w:cstheme="minorHAnsi"/>
        </w:rPr>
        <w:t>o</w:t>
      </w:r>
      <w:r>
        <w:rPr>
          <w:rFonts w:eastAsia="Arial Narrow" w:cstheme="minorHAnsi"/>
          <w:spacing w:val="-12"/>
        </w:rPr>
        <w:t xml:space="preserve"> </w:t>
      </w:r>
      <w:r>
        <w:rPr>
          <w:rFonts w:eastAsia="Arial Narrow" w:cstheme="minorHAnsi"/>
        </w:rPr>
        <w:t>do</w:t>
      </w:r>
      <w:r>
        <w:rPr>
          <w:rFonts w:eastAsia="Arial Narrow" w:cstheme="minorHAnsi"/>
          <w:spacing w:val="-2"/>
        </w:rPr>
        <w:t>d</w:t>
      </w:r>
      <w:r>
        <w:rPr>
          <w:rFonts w:eastAsia="Arial Narrow" w:cstheme="minorHAnsi"/>
        </w:rPr>
        <w:t>atna</w:t>
      </w:r>
      <w:r>
        <w:rPr>
          <w:rFonts w:eastAsia="Arial Narrow" w:cstheme="minorHAnsi"/>
          <w:spacing w:val="-12"/>
        </w:rPr>
        <w:t xml:space="preserve"> </w:t>
      </w:r>
      <w:r>
        <w:rPr>
          <w:rFonts w:eastAsia="Arial Narrow" w:cstheme="minorHAnsi"/>
          <w:spacing w:val="1"/>
        </w:rPr>
        <w:t>s</w:t>
      </w:r>
      <w:r>
        <w:rPr>
          <w:rFonts w:eastAsia="Arial Narrow" w:cstheme="minorHAnsi"/>
        </w:rPr>
        <w:t>re</w:t>
      </w:r>
      <w:r>
        <w:rPr>
          <w:rFonts w:eastAsia="Arial Narrow" w:cstheme="minorHAnsi"/>
          <w:spacing w:val="-2"/>
        </w:rPr>
        <w:t>d</w:t>
      </w:r>
      <w:r>
        <w:rPr>
          <w:rFonts w:eastAsia="Arial Narrow" w:cstheme="minorHAnsi"/>
          <w:spacing w:val="1"/>
        </w:rPr>
        <w:t>s</w:t>
      </w:r>
      <w:r>
        <w:rPr>
          <w:rFonts w:eastAsia="Arial Narrow" w:cstheme="minorHAnsi"/>
        </w:rPr>
        <w:t>t</w:t>
      </w:r>
      <w:r>
        <w:rPr>
          <w:rFonts w:eastAsia="Arial Narrow" w:cstheme="minorHAnsi"/>
          <w:spacing w:val="-2"/>
        </w:rPr>
        <w:t>v</w:t>
      </w:r>
      <w:r>
        <w:rPr>
          <w:rFonts w:eastAsia="Arial Narrow" w:cstheme="minorHAnsi"/>
        </w:rPr>
        <w:t>a u</w:t>
      </w:r>
      <w:r>
        <w:rPr>
          <w:rFonts w:eastAsia="Arial Narrow" w:cstheme="minorHAnsi"/>
          <w:spacing w:val="2"/>
        </w:rPr>
        <w:t xml:space="preserve"> </w:t>
      </w:r>
      <w:r>
        <w:rPr>
          <w:rFonts w:eastAsia="Arial Narrow" w:cstheme="minorHAnsi"/>
        </w:rPr>
        <w:t>dugotra</w:t>
      </w:r>
      <w:r>
        <w:rPr>
          <w:rFonts w:eastAsia="Arial Narrow" w:cstheme="minorHAnsi"/>
          <w:spacing w:val="-2"/>
        </w:rPr>
        <w:t>j</w:t>
      </w:r>
      <w:r>
        <w:rPr>
          <w:rFonts w:eastAsia="Arial Narrow" w:cstheme="minorHAnsi"/>
        </w:rPr>
        <w:t>nu</w:t>
      </w:r>
      <w:r>
        <w:rPr>
          <w:rFonts w:eastAsia="Arial Narrow" w:cstheme="minorHAnsi"/>
          <w:spacing w:val="2"/>
        </w:rPr>
        <w:t xml:space="preserve"> </w:t>
      </w:r>
      <w:r>
        <w:rPr>
          <w:rFonts w:eastAsia="Arial Narrow" w:cstheme="minorHAnsi"/>
          <w:spacing w:val="1"/>
        </w:rPr>
        <w:t>i</w:t>
      </w:r>
      <w:r>
        <w:rPr>
          <w:rFonts w:eastAsia="Arial Narrow" w:cstheme="minorHAnsi"/>
          <w:spacing w:val="-2"/>
        </w:rPr>
        <w:t>m</w:t>
      </w:r>
      <w:r>
        <w:rPr>
          <w:rFonts w:eastAsia="Arial Narrow" w:cstheme="minorHAnsi"/>
        </w:rPr>
        <w:t>o</w:t>
      </w:r>
      <w:r>
        <w:rPr>
          <w:rFonts w:eastAsia="Arial Narrow" w:cstheme="minorHAnsi"/>
          <w:spacing w:val="1"/>
        </w:rPr>
        <w:t>vi</w:t>
      </w:r>
      <w:r>
        <w:rPr>
          <w:rFonts w:eastAsia="Arial Narrow" w:cstheme="minorHAnsi"/>
          <w:spacing w:val="-2"/>
        </w:rPr>
        <w:t>n</w:t>
      </w:r>
      <w:r w:rsidR="00C3182E">
        <w:rPr>
          <w:rFonts w:eastAsia="Arial Narrow" w:cstheme="minorHAnsi"/>
        </w:rPr>
        <w:t>u, međutim</w:t>
      </w:r>
      <w:r w:rsidR="00B34C0D">
        <w:rPr>
          <w:rFonts w:eastAsia="Arial Narrow" w:cstheme="minorHAnsi"/>
        </w:rPr>
        <w:t xml:space="preserve"> i s tim postotkom je Krapinsko-zagorska županija</w:t>
      </w:r>
      <w:r w:rsidR="002337E0">
        <w:rPr>
          <w:rFonts w:eastAsia="Arial Narrow" w:cstheme="minorHAnsi"/>
        </w:rPr>
        <w:t xml:space="preserve"> na </w:t>
      </w:r>
      <w:commentRangeStart w:id="141"/>
      <w:r w:rsidR="002337E0">
        <w:rPr>
          <w:rFonts w:eastAsia="Arial Narrow" w:cstheme="minorHAnsi"/>
        </w:rPr>
        <w:t>prvom mjestu među</w:t>
      </w:r>
      <w:r w:rsidR="00C3182E">
        <w:rPr>
          <w:rFonts w:eastAsia="Arial Narrow" w:cstheme="minorHAnsi"/>
        </w:rPr>
        <w:t xml:space="preserve"> županijama Sjeverne</w:t>
      </w:r>
      <w:r>
        <w:rPr>
          <w:rFonts w:eastAsia="Arial Narrow" w:cstheme="minorHAnsi"/>
        </w:rPr>
        <w:t xml:space="preserve"> Hrvatske</w:t>
      </w:r>
      <w:commentRangeEnd w:id="141"/>
      <w:r w:rsidR="0082143F">
        <w:rPr>
          <w:rStyle w:val="Referencakomentara"/>
          <w:rFonts w:asciiTheme="minorHAnsi" w:eastAsiaTheme="minorHAnsi" w:hAnsiTheme="minorHAnsi"/>
          <w:color w:val="auto"/>
        </w:rPr>
        <w:commentReference w:id="141"/>
      </w:r>
      <w:r>
        <w:rPr>
          <w:rFonts w:eastAsia="Arial Narrow" w:cstheme="minorHAnsi"/>
        </w:rPr>
        <w:t xml:space="preserve">. </w:t>
      </w:r>
      <w:r>
        <w:rPr>
          <w:rFonts w:eastAsia="Arial Narrow" w:cstheme="minorHAnsi"/>
          <w:spacing w:val="2"/>
        </w:rPr>
        <w:t>Na razini države</w:t>
      </w:r>
      <w:r w:rsidR="00BF5FA7">
        <w:rPr>
          <w:rFonts w:eastAsia="Arial Narrow" w:cstheme="minorHAnsi"/>
          <w:spacing w:val="2"/>
        </w:rPr>
        <w:t>,</w:t>
      </w:r>
      <w:r>
        <w:rPr>
          <w:rFonts w:eastAsia="Arial Narrow" w:cstheme="minorHAnsi"/>
          <w:spacing w:val="2"/>
        </w:rPr>
        <w:t xml:space="preserve"> u dugotrajnu imovinu </w:t>
      </w:r>
      <w:r w:rsidR="00BF5FA7">
        <w:rPr>
          <w:rFonts w:eastAsia="Arial Narrow" w:cstheme="minorHAnsi"/>
          <w:spacing w:val="2"/>
        </w:rPr>
        <w:t xml:space="preserve">je </w:t>
      </w:r>
      <w:r>
        <w:rPr>
          <w:rFonts w:eastAsia="Arial Narrow" w:cstheme="minorHAnsi"/>
          <w:spacing w:val="2"/>
        </w:rPr>
        <w:t xml:space="preserve">u 2018. godini </w:t>
      </w:r>
      <w:r w:rsidR="00BF5FA7">
        <w:rPr>
          <w:rFonts w:eastAsia="Arial Narrow" w:cstheme="minorHAnsi"/>
          <w:spacing w:val="2"/>
        </w:rPr>
        <w:t>uložilo</w:t>
      </w:r>
      <w:r w:rsidR="002337E0">
        <w:rPr>
          <w:rFonts w:eastAsia="Arial Narrow" w:cstheme="minorHAnsi"/>
          <w:spacing w:val="2"/>
        </w:rPr>
        <w:t xml:space="preserve"> 9,8% poduzetnika. Poduzetnici</w:t>
      </w:r>
      <w:r>
        <w:rPr>
          <w:rFonts w:eastAsia="Arial Narrow" w:cstheme="minorHAnsi"/>
        </w:rPr>
        <w:t xml:space="preserve"> iz Krapinsko-zagorske županije </w:t>
      </w:r>
      <w:r w:rsidR="002337E0">
        <w:rPr>
          <w:rFonts w:eastAsia="Arial Narrow" w:cstheme="minorHAnsi"/>
        </w:rPr>
        <w:t xml:space="preserve">koji su investirali u dugotrajnu imovinu </w:t>
      </w:r>
      <w:r w:rsidR="00256F3C">
        <w:rPr>
          <w:rFonts w:eastAsia="Arial Narrow" w:cstheme="minorHAnsi"/>
          <w:spacing w:val="1"/>
        </w:rPr>
        <w:t>čine</w:t>
      </w:r>
      <w:r>
        <w:rPr>
          <w:rFonts w:eastAsia="Arial Narrow" w:cstheme="minorHAnsi"/>
          <w:spacing w:val="2"/>
        </w:rPr>
        <w:t xml:space="preserve"> </w:t>
      </w:r>
      <w:r>
        <w:rPr>
          <w:rFonts w:eastAsia="Arial Narrow" w:cstheme="minorHAnsi"/>
        </w:rPr>
        <w:t>2%</w:t>
      </w:r>
      <w:r>
        <w:rPr>
          <w:rFonts w:eastAsia="Arial Narrow" w:cstheme="minorHAnsi"/>
          <w:spacing w:val="4"/>
        </w:rPr>
        <w:t xml:space="preserve"> </w:t>
      </w:r>
      <w:r>
        <w:rPr>
          <w:rFonts w:eastAsia="Arial Narrow" w:cstheme="minorHAnsi"/>
          <w:spacing w:val="-2"/>
        </w:rPr>
        <w:t>u</w:t>
      </w:r>
      <w:r>
        <w:rPr>
          <w:rFonts w:eastAsia="Arial Narrow" w:cstheme="minorHAnsi"/>
          <w:spacing w:val="1"/>
        </w:rPr>
        <w:t>k</w:t>
      </w:r>
      <w:r>
        <w:rPr>
          <w:rFonts w:eastAsia="Arial Narrow" w:cstheme="minorHAnsi"/>
          <w:spacing w:val="-2"/>
        </w:rPr>
        <w:t>u</w:t>
      </w:r>
      <w:r>
        <w:rPr>
          <w:rFonts w:eastAsia="Arial Narrow" w:cstheme="minorHAnsi"/>
        </w:rPr>
        <w:t>pnog</w:t>
      </w:r>
      <w:r>
        <w:rPr>
          <w:rFonts w:eastAsia="Arial Narrow" w:cstheme="minorHAnsi"/>
          <w:spacing w:val="2"/>
        </w:rPr>
        <w:t xml:space="preserve"> </w:t>
      </w:r>
      <w:r>
        <w:rPr>
          <w:rFonts w:eastAsia="Arial Narrow" w:cstheme="minorHAnsi"/>
        </w:rPr>
        <w:t>bro</w:t>
      </w:r>
      <w:r>
        <w:rPr>
          <w:rFonts w:eastAsia="Arial Narrow" w:cstheme="minorHAnsi"/>
          <w:spacing w:val="-2"/>
        </w:rPr>
        <w:t>j</w:t>
      </w:r>
      <w:r>
        <w:rPr>
          <w:rFonts w:eastAsia="Arial Narrow" w:cstheme="minorHAnsi"/>
        </w:rPr>
        <w:t>a</w:t>
      </w:r>
      <w:r>
        <w:rPr>
          <w:rFonts w:eastAsia="Arial Narrow" w:cstheme="minorHAnsi"/>
          <w:spacing w:val="2"/>
        </w:rPr>
        <w:t xml:space="preserve"> </w:t>
      </w:r>
      <w:r>
        <w:rPr>
          <w:rFonts w:eastAsia="Arial Narrow" w:cstheme="minorHAnsi"/>
          <w:spacing w:val="1"/>
        </w:rPr>
        <w:t>i</w:t>
      </w:r>
      <w:r>
        <w:rPr>
          <w:rFonts w:eastAsia="Arial Narrow" w:cstheme="minorHAnsi"/>
        </w:rPr>
        <w:t>n</w:t>
      </w:r>
      <w:r>
        <w:rPr>
          <w:rFonts w:eastAsia="Arial Narrow" w:cstheme="minorHAnsi"/>
          <w:spacing w:val="1"/>
        </w:rPr>
        <w:t>v</w:t>
      </w:r>
      <w:r>
        <w:rPr>
          <w:rFonts w:eastAsia="Arial Narrow" w:cstheme="minorHAnsi"/>
          <w:spacing w:val="-2"/>
        </w:rPr>
        <w:t>e</w:t>
      </w:r>
      <w:r>
        <w:rPr>
          <w:rFonts w:eastAsia="Arial Narrow" w:cstheme="minorHAnsi"/>
          <w:spacing w:val="1"/>
        </w:rPr>
        <w:t>s</w:t>
      </w:r>
      <w:r>
        <w:rPr>
          <w:rFonts w:eastAsia="Arial Narrow" w:cstheme="minorHAnsi"/>
        </w:rPr>
        <w:t>t</w:t>
      </w:r>
      <w:r>
        <w:rPr>
          <w:rFonts w:eastAsia="Arial Narrow" w:cstheme="minorHAnsi"/>
          <w:spacing w:val="1"/>
        </w:rPr>
        <w:t>i</w:t>
      </w:r>
      <w:r>
        <w:rPr>
          <w:rFonts w:eastAsia="Arial Narrow" w:cstheme="minorHAnsi"/>
          <w:spacing w:val="-2"/>
        </w:rPr>
        <w:t>t</w:t>
      </w:r>
      <w:r>
        <w:rPr>
          <w:rFonts w:eastAsia="Arial Narrow" w:cstheme="minorHAnsi"/>
        </w:rPr>
        <w:t>ora</w:t>
      </w:r>
      <w:r>
        <w:rPr>
          <w:rFonts w:eastAsia="Arial Narrow" w:cstheme="minorHAnsi"/>
          <w:spacing w:val="1"/>
        </w:rPr>
        <w:t xml:space="preserve">. </w:t>
      </w:r>
      <w:r>
        <w:rPr>
          <w:rFonts w:eastAsia="Arial Narrow" w:cstheme="minorHAnsi"/>
          <w:spacing w:val="-1"/>
        </w:rPr>
        <w:t>A</w:t>
      </w:r>
      <w:r>
        <w:rPr>
          <w:rFonts w:eastAsia="Arial Narrow" w:cstheme="minorHAnsi"/>
        </w:rPr>
        <w:t>p</w:t>
      </w:r>
      <w:r>
        <w:rPr>
          <w:rFonts w:eastAsia="Arial Narrow" w:cstheme="minorHAnsi"/>
          <w:spacing w:val="1"/>
        </w:rPr>
        <w:t>s</w:t>
      </w:r>
      <w:r>
        <w:rPr>
          <w:rFonts w:eastAsia="Arial Narrow" w:cstheme="minorHAnsi"/>
          <w:spacing w:val="-2"/>
        </w:rPr>
        <w:t>o</w:t>
      </w:r>
      <w:r>
        <w:rPr>
          <w:rFonts w:eastAsia="Arial Narrow" w:cstheme="minorHAnsi"/>
          <w:spacing w:val="1"/>
        </w:rPr>
        <w:t>l</w:t>
      </w:r>
      <w:r>
        <w:rPr>
          <w:rFonts w:eastAsia="Arial Narrow" w:cstheme="minorHAnsi"/>
        </w:rPr>
        <w:t>utni</w:t>
      </w:r>
      <w:r>
        <w:rPr>
          <w:rFonts w:eastAsia="Arial Narrow" w:cstheme="minorHAnsi"/>
          <w:spacing w:val="1"/>
        </w:rPr>
        <w:t xml:space="preserve"> </w:t>
      </w:r>
      <w:r>
        <w:rPr>
          <w:rFonts w:eastAsia="Arial Narrow" w:cstheme="minorHAnsi"/>
          <w:spacing w:val="-2"/>
        </w:rPr>
        <w:t>i</w:t>
      </w:r>
      <w:r>
        <w:rPr>
          <w:rFonts w:eastAsia="Arial Narrow" w:cstheme="minorHAnsi"/>
          <w:spacing w:val="1"/>
        </w:rPr>
        <w:t>z</w:t>
      </w:r>
      <w:r>
        <w:rPr>
          <w:rFonts w:eastAsia="Arial Narrow" w:cstheme="minorHAnsi"/>
        </w:rPr>
        <w:t>nos</w:t>
      </w:r>
      <w:r>
        <w:rPr>
          <w:rFonts w:eastAsia="Arial Narrow" w:cstheme="minorHAnsi"/>
          <w:spacing w:val="1"/>
        </w:rPr>
        <w:t xml:space="preserve"> i</w:t>
      </w:r>
      <w:r>
        <w:rPr>
          <w:rFonts w:eastAsia="Arial Narrow" w:cstheme="minorHAnsi"/>
        </w:rPr>
        <w:t>n</w:t>
      </w:r>
      <w:r>
        <w:rPr>
          <w:rFonts w:eastAsia="Arial Narrow" w:cstheme="minorHAnsi"/>
          <w:spacing w:val="-2"/>
        </w:rPr>
        <w:t>v</w:t>
      </w:r>
      <w:r>
        <w:rPr>
          <w:rFonts w:eastAsia="Arial Narrow" w:cstheme="minorHAnsi"/>
        </w:rPr>
        <w:t>e</w:t>
      </w:r>
      <w:r>
        <w:rPr>
          <w:rFonts w:eastAsia="Arial Narrow" w:cstheme="minorHAnsi"/>
          <w:spacing w:val="1"/>
        </w:rPr>
        <w:t>s</w:t>
      </w:r>
      <w:r>
        <w:rPr>
          <w:rFonts w:eastAsia="Arial Narrow" w:cstheme="minorHAnsi"/>
        </w:rPr>
        <w:t>t</w:t>
      </w:r>
      <w:r>
        <w:rPr>
          <w:rFonts w:eastAsia="Arial Narrow" w:cstheme="minorHAnsi"/>
          <w:spacing w:val="1"/>
        </w:rPr>
        <w:t>i</w:t>
      </w:r>
      <w:r>
        <w:rPr>
          <w:rFonts w:eastAsia="Arial Narrow" w:cstheme="minorHAnsi"/>
          <w:spacing w:val="-3"/>
        </w:rPr>
        <w:t>r</w:t>
      </w:r>
      <w:r>
        <w:rPr>
          <w:rFonts w:eastAsia="Arial Narrow" w:cstheme="minorHAnsi"/>
        </w:rPr>
        <w:t>an</w:t>
      </w:r>
      <w:r>
        <w:rPr>
          <w:rFonts w:eastAsia="Arial Narrow" w:cstheme="minorHAnsi"/>
          <w:spacing w:val="1"/>
        </w:rPr>
        <w:t>i</w:t>
      </w:r>
      <w:r>
        <w:rPr>
          <w:rFonts w:eastAsia="Arial Narrow" w:cstheme="minorHAnsi"/>
        </w:rPr>
        <w:t>h</w:t>
      </w:r>
      <w:r>
        <w:rPr>
          <w:rFonts w:eastAsia="Arial Narrow" w:cstheme="minorHAnsi"/>
          <w:spacing w:val="1"/>
        </w:rPr>
        <w:t xml:space="preserve"> s</w:t>
      </w:r>
      <w:r>
        <w:rPr>
          <w:rFonts w:eastAsia="Arial Narrow" w:cstheme="minorHAnsi"/>
        </w:rPr>
        <w:t>re</w:t>
      </w:r>
      <w:r>
        <w:rPr>
          <w:rFonts w:eastAsia="Arial Narrow" w:cstheme="minorHAnsi"/>
          <w:spacing w:val="-2"/>
        </w:rPr>
        <w:t>d</w:t>
      </w:r>
      <w:r>
        <w:rPr>
          <w:rFonts w:eastAsia="Arial Narrow" w:cstheme="minorHAnsi"/>
          <w:spacing w:val="1"/>
        </w:rPr>
        <w:t>s</w:t>
      </w:r>
      <w:r>
        <w:rPr>
          <w:rFonts w:eastAsia="Arial Narrow" w:cstheme="minorHAnsi"/>
        </w:rPr>
        <w:t>t</w:t>
      </w:r>
      <w:r>
        <w:rPr>
          <w:rFonts w:eastAsia="Arial Narrow" w:cstheme="minorHAnsi"/>
          <w:spacing w:val="-2"/>
        </w:rPr>
        <w:t>a</w:t>
      </w:r>
      <w:r>
        <w:rPr>
          <w:rFonts w:eastAsia="Arial Narrow" w:cstheme="minorHAnsi"/>
          <w:spacing w:val="1"/>
        </w:rPr>
        <w:t>v</w:t>
      </w:r>
      <w:r>
        <w:rPr>
          <w:rFonts w:eastAsia="Arial Narrow" w:cstheme="minorHAnsi"/>
        </w:rPr>
        <w:t>a</w:t>
      </w:r>
      <w:r w:rsidR="00BF5FA7">
        <w:rPr>
          <w:rFonts w:eastAsia="Arial Narrow" w:cstheme="minorHAnsi"/>
          <w:spacing w:val="3"/>
        </w:rPr>
        <w:t xml:space="preserve"> u KZŽ</w:t>
      </w:r>
      <w:r>
        <w:rPr>
          <w:rFonts w:eastAsia="Arial Narrow" w:cstheme="minorHAnsi"/>
          <w:spacing w:val="3"/>
        </w:rPr>
        <w:t xml:space="preserve"> </w:t>
      </w:r>
      <w:r>
        <w:rPr>
          <w:rFonts w:eastAsia="Arial Narrow" w:cstheme="minorHAnsi"/>
          <w:spacing w:val="-2"/>
        </w:rPr>
        <w:t>iz</w:t>
      </w:r>
      <w:r>
        <w:rPr>
          <w:rFonts w:eastAsia="Arial Narrow" w:cstheme="minorHAnsi"/>
        </w:rPr>
        <w:t>no</w:t>
      </w:r>
      <w:r>
        <w:rPr>
          <w:rFonts w:eastAsia="Arial Narrow" w:cstheme="minorHAnsi"/>
          <w:spacing w:val="1"/>
        </w:rPr>
        <w:t>s</w:t>
      </w:r>
      <w:r>
        <w:rPr>
          <w:rFonts w:eastAsia="Arial Narrow" w:cstheme="minorHAnsi"/>
        </w:rPr>
        <w:t>i nešto manje od</w:t>
      </w:r>
      <w:r>
        <w:rPr>
          <w:rFonts w:eastAsia="Arial Narrow" w:cstheme="minorHAnsi"/>
          <w:spacing w:val="1"/>
        </w:rPr>
        <w:t xml:space="preserve"> </w:t>
      </w:r>
      <w:r>
        <w:rPr>
          <w:rFonts w:eastAsia="Arial Narrow" w:cstheme="minorHAnsi"/>
        </w:rPr>
        <w:t>360</w:t>
      </w:r>
      <w:r>
        <w:rPr>
          <w:rFonts w:eastAsia="Arial Narrow" w:cstheme="minorHAnsi"/>
          <w:spacing w:val="1"/>
        </w:rPr>
        <w:t xml:space="preserve"> </w:t>
      </w:r>
      <w:r>
        <w:rPr>
          <w:rFonts w:eastAsia="Arial Narrow" w:cstheme="minorHAnsi"/>
        </w:rPr>
        <w:t>m</w:t>
      </w:r>
      <w:r>
        <w:rPr>
          <w:rFonts w:eastAsia="Arial Narrow" w:cstheme="minorHAnsi"/>
          <w:spacing w:val="1"/>
        </w:rPr>
        <w:t>i</w:t>
      </w:r>
      <w:r>
        <w:rPr>
          <w:rFonts w:eastAsia="Arial Narrow" w:cstheme="minorHAnsi"/>
          <w:spacing w:val="-2"/>
        </w:rPr>
        <w:t>l</w:t>
      </w:r>
      <w:r>
        <w:rPr>
          <w:rFonts w:eastAsia="Arial Narrow" w:cstheme="minorHAnsi"/>
          <w:spacing w:val="1"/>
        </w:rPr>
        <w:t>ij</w:t>
      </w:r>
      <w:r>
        <w:rPr>
          <w:rFonts w:eastAsia="Arial Narrow" w:cstheme="minorHAnsi"/>
        </w:rPr>
        <w:t>u</w:t>
      </w:r>
      <w:r>
        <w:rPr>
          <w:rFonts w:eastAsia="Arial Narrow" w:cstheme="minorHAnsi"/>
          <w:spacing w:val="-2"/>
        </w:rPr>
        <w:t>n</w:t>
      </w:r>
      <w:r>
        <w:rPr>
          <w:rFonts w:eastAsia="Arial Narrow" w:cstheme="minorHAnsi"/>
        </w:rPr>
        <w:t>a</w:t>
      </w:r>
      <w:r>
        <w:rPr>
          <w:rFonts w:eastAsia="Arial Narrow" w:cstheme="minorHAnsi"/>
          <w:spacing w:val="3"/>
        </w:rPr>
        <w:t xml:space="preserve"> </w:t>
      </w:r>
      <w:r>
        <w:rPr>
          <w:rFonts w:eastAsia="Arial Narrow" w:cstheme="minorHAnsi"/>
          <w:spacing w:val="-2"/>
        </w:rPr>
        <w:t>k</w:t>
      </w:r>
      <w:r>
        <w:rPr>
          <w:rFonts w:eastAsia="Arial Narrow" w:cstheme="minorHAnsi"/>
        </w:rPr>
        <w:t xml:space="preserve">una što </w:t>
      </w:r>
      <w:r w:rsidRPr="00C3182E">
        <w:rPr>
          <w:rFonts w:eastAsia="Arial Narrow" w:cstheme="minorHAnsi"/>
        </w:rPr>
        <w:t xml:space="preserve">iznosi </w:t>
      </w:r>
      <w:r w:rsidR="00C3182E" w:rsidRPr="00C3182E">
        <w:rPr>
          <w:rFonts w:eastAsia="Arial Narrow" w:cstheme="minorHAnsi"/>
        </w:rPr>
        <w:t>1,5</w:t>
      </w:r>
      <w:r w:rsidRPr="00C3182E">
        <w:rPr>
          <w:rFonts w:eastAsia="Arial Narrow" w:cstheme="minorHAnsi"/>
        </w:rPr>
        <w:t>%</w:t>
      </w:r>
      <w:r w:rsidRPr="00C3182E">
        <w:rPr>
          <w:rFonts w:eastAsia="Arial Narrow" w:cstheme="minorHAnsi"/>
          <w:spacing w:val="3"/>
        </w:rPr>
        <w:t xml:space="preserve"> </w:t>
      </w:r>
      <w:r w:rsidRPr="00C3182E">
        <w:rPr>
          <w:rFonts w:eastAsia="Arial Narrow" w:cstheme="minorHAnsi"/>
        </w:rPr>
        <w:t>ukupn</w:t>
      </w:r>
      <w:r w:rsidR="00C3182E" w:rsidRPr="00C3182E">
        <w:rPr>
          <w:rFonts w:eastAsia="Arial Narrow" w:cstheme="minorHAnsi"/>
        </w:rPr>
        <w:t>ih investicija u RH, odnosno 10,6</w:t>
      </w:r>
      <w:r w:rsidRPr="00C3182E">
        <w:rPr>
          <w:rFonts w:eastAsia="Arial Narrow" w:cstheme="minorHAnsi"/>
        </w:rPr>
        <w:t xml:space="preserve">% investicija u </w:t>
      </w:r>
      <w:r w:rsidR="00C3182E" w:rsidRPr="00C3182E">
        <w:rPr>
          <w:rFonts w:eastAsia="Arial Narrow" w:cstheme="minorHAnsi"/>
        </w:rPr>
        <w:t>Sjevernoj</w:t>
      </w:r>
      <w:r w:rsidRPr="00C3182E">
        <w:rPr>
          <w:rFonts w:eastAsia="Arial Narrow" w:cstheme="minorHAnsi"/>
        </w:rPr>
        <w:t xml:space="preserve"> Hrvatskoj.</w:t>
      </w:r>
      <w:r>
        <w:rPr>
          <w:rFonts w:eastAsia="Arial Narrow" w:cstheme="minorHAnsi"/>
        </w:rPr>
        <w:t xml:space="preserve">  </w:t>
      </w:r>
    </w:p>
    <w:p w14:paraId="0581E651" w14:textId="538F9B05" w:rsidR="0082143F" w:rsidRDefault="0082143F" w:rsidP="00941871">
      <w:pPr>
        <w:ind w:right="72"/>
        <w:rPr>
          <w:rFonts w:eastAsia="Arial Narrow" w:cstheme="minorHAnsi"/>
        </w:rPr>
      </w:pPr>
      <w:r w:rsidRPr="0082143F">
        <w:rPr>
          <w:rFonts w:eastAsia="Arial Narrow" w:cs="Calibri"/>
          <w:color w:val="3F3F3F"/>
          <w:spacing w:val="1"/>
        </w:rPr>
        <w:t>Godine 2019. u dugotrajnu imovinu investiralo je 12,6% poduzetnika Krapinsko-zagorske županije, ali u 22,5% višem iznosu u odnosu na prethodnu godinu. Radi se o iznosu od oko 443 milijuna kuna, što iznosi oko 1,6% ukupnih investicija u Hrvatskoj</w:t>
      </w:r>
      <w:r>
        <w:rPr>
          <w:rFonts w:eastAsia="Arial Narrow" w:cs="Calibri"/>
          <w:color w:val="3F3F3F"/>
          <w:spacing w:val="1"/>
        </w:rPr>
        <w:t>.</w:t>
      </w:r>
    </w:p>
    <w:p w14:paraId="73556FF9" w14:textId="77777777" w:rsidR="00BD0697" w:rsidRPr="00942A54" w:rsidRDefault="008F5EE4" w:rsidP="00BD0697">
      <w:pPr>
        <w:rPr>
          <w:rFonts w:eastAsia="ArialNarrow" w:cstheme="minorHAnsi"/>
        </w:rPr>
      </w:pPr>
      <w:r w:rsidRPr="001C67DA">
        <w:rPr>
          <w:rFonts w:eastAsia="ArialNarrow" w:cstheme="minorHAnsi"/>
        </w:rPr>
        <w:t xml:space="preserve">Promatrajući </w:t>
      </w:r>
      <w:r>
        <w:rPr>
          <w:rFonts w:eastAsia="ArialNarrow" w:cstheme="minorHAnsi"/>
        </w:rPr>
        <w:t>broj investitora</w:t>
      </w:r>
      <w:r w:rsidRPr="001C67DA">
        <w:rPr>
          <w:rFonts w:eastAsia="ArialNarrow,Bold" w:cstheme="minorHAnsi"/>
        </w:rPr>
        <w:t xml:space="preserve"> </w:t>
      </w:r>
      <w:r>
        <w:rPr>
          <w:rFonts w:eastAsia="ArialNarrow,Bold" w:cstheme="minorHAnsi"/>
        </w:rPr>
        <w:t>u dugotrajnu imovinu</w:t>
      </w:r>
      <w:r w:rsidRPr="001C67DA">
        <w:rPr>
          <w:rFonts w:eastAsia="ArialNarrow,Bold" w:cstheme="minorHAnsi"/>
        </w:rPr>
        <w:t xml:space="preserve"> </w:t>
      </w:r>
      <w:r w:rsidR="001C67DA" w:rsidRPr="001C67DA">
        <w:rPr>
          <w:rFonts w:eastAsia="ArialNarrow,Bold" w:cstheme="minorHAnsi"/>
        </w:rPr>
        <w:t>u Krapin</w:t>
      </w:r>
      <w:r w:rsidR="001C67DA">
        <w:rPr>
          <w:rFonts w:eastAsia="ArialNarrow,Bold" w:cstheme="minorHAnsi"/>
        </w:rPr>
        <w:t>s</w:t>
      </w:r>
      <w:r w:rsidR="001C67DA" w:rsidRPr="001C67DA">
        <w:rPr>
          <w:rFonts w:eastAsia="ArialNarrow,Bold" w:cstheme="minorHAnsi"/>
        </w:rPr>
        <w:t>ko-zagorskoj županiji, u p</w:t>
      </w:r>
      <w:r w:rsidR="00B0431F">
        <w:rPr>
          <w:rFonts w:eastAsia="ArialNarrow,Bold" w:cstheme="minorHAnsi"/>
        </w:rPr>
        <w:t xml:space="preserve">osljednje </w:t>
      </w:r>
      <w:r w:rsidR="00942A54">
        <w:rPr>
          <w:rFonts w:eastAsia="ArialNarrow,Bold" w:cstheme="minorHAnsi"/>
        </w:rPr>
        <w:t>četiri</w:t>
      </w:r>
      <w:r w:rsidR="00B0431F">
        <w:rPr>
          <w:rFonts w:eastAsia="ArialNarrow,Bold" w:cstheme="minorHAnsi"/>
        </w:rPr>
        <w:t xml:space="preserve"> godine </w:t>
      </w:r>
      <w:r w:rsidR="001C67DA" w:rsidRPr="001C67DA">
        <w:rPr>
          <w:rFonts w:eastAsia="ArialNarrow,Bold" w:cstheme="minorHAnsi"/>
        </w:rPr>
        <w:t xml:space="preserve">broj investitora </w:t>
      </w:r>
      <w:r w:rsidR="00B0431F">
        <w:rPr>
          <w:rFonts w:eastAsia="ArialNarrow,Bold" w:cstheme="minorHAnsi"/>
        </w:rPr>
        <w:t xml:space="preserve">povećao se </w:t>
      </w:r>
      <w:r w:rsidR="001C67DA" w:rsidRPr="001C67DA">
        <w:rPr>
          <w:rFonts w:eastAsia="ArialNarrow,Bold" w:cstheme="minorHAnsi"/>
        </w:rPr>
        <w:t>s 245 u 2016. godini na 2</w:t>
      </w:r>
      <w:r w:rsidR="00942A54">
        <w:rPr>
          <w:rFonts w:eastAsia="ArialNarrow,Bold" w:cstheme="minorHAnsi"/>
        </w:rPr>
        <w:t>96</w:t>
      </w:r>
      <w:r w:rsidR="001C67DA" w:rsidRPr="001C67DA">
        <w:rPr>
          <w:rFonts w:eastAsia="ArialNarrow,Bold" w:cstheme="minorHAnsi"/>
        </w:rPr>
        <w:t xml:space="preserve"> u </w:t>
      </w:r>
      <w:r w:rsidR="001C67DA" w:rsidRPr="001C67DA">
        <w:rPr>
          <w:rFonts w:eastAsia="ArialNarrow" w:cstheme="minorHAnsi"/>
        </w:rPr>
        <w:t>201</w:t>
      </w:r>
      <w:r w:rsidR="00942A54">
        <w:rPr>
          <w:rFonts w:eastAsia="ArialNarrow" w:cstheme="minorHAnsi"/>
        </w:rPr>
        <w:t>9</w:t>
      </w:r>
      <w:r w:rsidR="001C67DA" w:rsidRPr="001C67DA">
        <w:rPr>
          <w:rFonts w:eastAsia="ArialNarrow" w:cstheme="minorHAnsi"/>
        </w:rPr>
        <w:t>. godini</w:t>
      </w:r>
      <w:r w:rsidR="00B0431F">
        <w:rPr>
          <w:rFonts w:eastAsia="ArialNarrow" w:cstheme="minorHAnsi"/>
        </w:rPr>
        <w:t>. Međutim, ulaganja su s</w:t>
      </w:r>
      <w:r w:rsidR="001C67DA" w:rsidRPr="001C67DA">
        <w:rPr>
          <w:rFonts w:eastAsia="ArialNarrow" w:cstheme="minorHAnsi"/>
        </w:rPr>
        <w:t xml:space="preserve"> prosječno 1,99 mil. kuna po investitoru u 2016. godini pala na prosječno 1,</w:t>
      </w:r>
      <w:r w:rsidR="003B0F0E">
        <w:rPr>
          <w:rFonts w:eastAsia="ArialNarrow" w:cstheme="minorHAnsi"/>
        </w:rPr>
        <w:t>49</w:t>
      </w:r>
      <w:r w:rsidR="001C67DA" w:rsidRPr="001C67DA">
        <w:rPr>
          <w:rFonts w:eastAsia="ArialNarrow" w:cstheme="minorHAnsi"/>
        </w:rPr>
        <w:t xml:space="preserve"> milijuna kuna ulaganja po investitoru u 201</w:t>
      </w:r>
      <w:r w:rsidR="003B0F0E">
        <w:rPr>
          <w:rFonts w:eastAsia="ArialNarrow" w:cstheme="minorHAnsi"/>
        </w:rPr>
        <w:t>9</w:t>
      </w:r>
      <w:r w:rsidR="001C67DA" w:rsidRPr="001C67DA">
        <w:rPr>
          <w:rFonts w:eastAsia="ArialNarrow" w:cstheme="minorHAnsi"/>
        </w:rPr>
        <w:t>. godini.</w:t>
      </w:r>
      <w:r w:rsidR="00BD0697">
        <w:rPr>
          <w:rFonts w:eastAsia="ArialNarrow" w:cstheme="minorHAnsi"/>
        </w:rPr>
        <w:t xml:space="preserve"> </w:t>
      </w:r>
      <w:r w:rsidR="00BD0697" w:rsidRPr="00942A54">
        <w:rPr>
          <w:rFonts w:eastAsia="ArialNarrow" w:cstheme="minorHAnsi"/>
        </w:rPr>
        <w:t>U odnosu na 2018., broj investitora u dugotrajnu imovinu u Krapinsko-zagorskoj županiji porastao je s 287 na 296, a prosječna ulaganja po investitoru porasla su s oko 1,25 na oko 1,50 milijuna kuna.</w:t>
      </w:r>
    </w:p>
    <w:p w14:paraId="3737E986" w14:textId="6EEBF997" w:rsidR="001C67DA" w:rsidRDefault="001C67DA" w:rsidP="001C67DA">
      <w:pPr>
        <w:rPr>
          <w:rFonts w:eastAsia="ArialNarrow" w:cstheme="minorHAnsi"/>
        </w:rPr>
      </w:pPr>
      <w:commentRangeStart w:id="142"/>
      <w:r w:rsidRPr="001C67DA">
        <w:rPr>
          <w:rFonts w:eastAsia="ArialNarrow" w:cstheme="minorHAnsi"/>
        </w:rPr>
        <w:t xml:space="preserve">Na razini Sjeverne Hrvatske </w:t>
      </w:r>
      <w:commentRangeEnd w:id="142"/>
      <w:r w:rsidR="00942A54">
        <w:rPr>
          <w:rStyle w:val="Referencakomentara"/>
          <w:rFonts w:asciiTheme="minorHAnsi" w:eastAsiaTheme="minorHAnsi" w:hAnsiTheme="minorHAnsi"/>
          <w:color w:val="auto"/>
        </w:rPr>
        <w:commentReference w:id="142"/>
      </w:r>
      <w:r w:rsidR="00B0431F">
        <w:rPr>
          <w:rFonts w:eastAsia="ArialNarrow" w:cstheme="minorHAnsi"/>
        </w:rPr>
        <w:t xml:space="preserve">broj investitora je porastao s 1.970 u 2016. godini na 2.160 u 2018. godini, dok se </w:t>
      </w:r>
      <w:r w:rsidRPr="001C67DA">
        <w:rPr>
          <w:rFonts w:eastAsia="ArialNarrow" w:cstheme="minorHAnsi"/>
        </w:rPr>
        <w:t>prosječni iznos ulaganja po investitoru u tri promatrane g</w:t>
      </w:r>
      <w:r w:rsidR="00B0431F">
        <w:rPr>
          <w:rFonts w:eastAsia="ArialNarrow" w:cstheme="minorHAnsi"/>
        </w:rPr>
        <w:t>odine gotovo prepolovio -</w:t>
      </w:r>
      <w:r w:rsidRPr="001C67DA">
        <w:rPr>
          <w:rFonts w:eastAsia="ArialNarrow" w:cstheme="minorHAnsi"/>
        </w:rPr>
        <w:t xml:space="preserve"> pao je s 3,02 milijuna kuna  u 2016. godini  na prosječno 1,57 milijuna kuna u 2018. godini. </w:t>
      </w:r>
      <w:r w:rsidR="002167B8">
        <w:rPr>
          <w:rFonts w:eastAsia="ArialNarrow" w:cstheme="minorHAnsi"/>
        </w:rPr>
        <w:t xml:space="preserve">Broj investitora na razini Hrvatske povećao se s 12.306 u 2016. godini na 12.808 u 2018. godini. </w:t>
      </w:r>
      <w:r w:rsidRPr="001C67DA">
        <w:rPr>
          <w:rFonts w:eastAsia="ArialNarrow" w:cstheme="minorHAnsi"/>
        </w:rPr>
        <w:t>Na razini Hrvatske zabilježen je najmanji pad</w:t>
      </w:r>
      <w:r w:rsidR="002167B8">
        <w:rPr>
          <w:rFonts w:eastAsia="ArialNarrow" w:cstheme="minorHAnsi"/>
        </w:rPr>
        <w:t xml:space="preserve"> u ulaganjima u dugotrajnu imovinu,</w:t>
      </w:r>
      <w:r w:rsidRPr="001C67DA">
        <w:rPr>
          <w:rFonts w:eastAsia="ArialNarrow" w:cstheme="minorHAnsi"/>
        </w:rPr>
        <w:t xml:space="preserve"> u tri promatrane godine - prosječno ulaganje po investitoru 2016. godine iznosilo je 2,05 milijuna kuna dok je 2018. godine iznosilo 1,9 milijuna kuna.</w:t>
      </w:r>
      <w:r>
        <w:rPr>
          <w:rFonts w:eastAsia="ArialNarrow" w:cstheme="minorHAnsi"/>
        </w:rPr>
        <w:t xml:space="preserve"> </w:t>
      </w:r>
    </w:p>
    <w:p w14:paraId="6FD718B4" w14:textId="77777777" w:rsidR="000C01F7" w:rsidRDefault="000C01F7" w:rsidP="001C67DA">
      <w:pPr>
        <w:rPr>
          <w:rFonts w:eastAsia="ArialNarrow" w:cstheme="minorHAnsi"/>
        </w:rPr>
      </w:pPr>
    </w:p>
    <w:p w14:paraId="3F1BA8FA" w14:textId="55D43AF5" w:rsidR="008878A0" w:rsidRPr="005542C9" w:rsidRDefault="008878A0" w:rsidP="003E3F3C">
      <w:pPr>
        <w:pStyle w:val="Opisslike"/>
      </w:pPr>
      <w:bookmarkStart w:id="143" w:name="_Hlk27568523"/>
      <w:r>
        <w:t xml:space="preserve">Tablica </w:t>
      </w:r>
      <w:r w:rsidR="003E3F3C">
        <w:rPr>
          <w:noProof/>
        </w:rPr>
        <w:t>7</w:t>
      </w:r>
      <w:r w:rsidR="000D5E3F">
        <w:rPr>
          <w:noProof/>
        </w:rPr>
        <w:t>8</w:t>
      </w:r>
      <w:r w:rsidR="001838EE" w:rsidRPr="4E193667">
        <w:rPr>
          <w:noProof/>
        </w:rPr>
        <w:t>.</w:t>
      </w:r>
      <w:r>
        <w:t xml:space="preserve"> Investicije poduzetnika u dugotrajnu imovinu, 2010.-2018. godina, Krapinsko-zagorska županija;</w:t>
      </w:r>
      <w:r w:rsidR="00D92364">
        <w:t xml:space="preserve"> Republika Hrvatska, Sjeverna Hrvatska</w:t>
      </w:r>
    </w:p>
    <w:bookmarkEnd w:id="143"/>
    <w:tbl>
      <w:tblPr>
        <w:tblW w:w="9261" w:type="dxa"/>
        <w:tblLayout w:type="fixed"/>
        <w:tblLook w:val="01E0" w:firstRow="1" w:lastRow="1" w:firstColumn="1" w:lastColumn="1" w:noHBand="0" w:noVBand="0"/>
      </w:tblPr>
      <w:tblGrid>
        <w:gridCol w:w="940"/>
        <w:gridCol w:w="2176"/>
        <w:gridCol w:w="2250"/>
        <w:gridCol w:w="2133"/>
        <w:gridCol w:w="1762"/>
      </w:tblGrid>
      <w:tr w:rsidR="4E193667" w14:paraId="238827CA" w14:textId="77777777" w:rsidTr="00ED765C">
        <w:trPr>
          <w:trHeight w:val="223"/>
        </w:trPr>
        <w:tc>
          <w:tcPr>
            <w:tcW w:w="940"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17CB7495" w14:textId="386128C8" w:rsidR="4E193667" w:rsidRDefault="4E193667" w:rsidP="4E193667">
            <w:pPr>
              <w:jc w:val="left"/>
              <w:rPr>
                <w:rFonts w:ascii="Calibri" w:eastAsia="Calibri" w:hAnsi="Calibri" w:cs="Calibri"/>
                <w:color w:val="FFFFFF" w:themeColor="background1"/>
                <w:szCs w:val="18"/>
              </w:rPr>
            </w:pPr>
          </w:p>
        </w:tc>
        <w:tc>
          <w:tcPr>
            <w:tcW w:w="21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65EA857A" w14:textId="2A67CD92" w:rsidR="4E193667" w:rsidRPr="00F25CD5" w:rsidRDefault="4E193667"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t xml:space="preserve">Investicije u mil. kn, KZŽ </w:t>
            </w:r>
          </w:p>
        </w:tc>
        <w:tc>
          <w:tcPr>
            <w:tcW w:w="225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34BA67DE" w14:textId="151F70AF" w:rsidR="4E193667" w:rsidRPr="00F25CD5" w:rsidRDefault="4E193667"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t xml:space="preserve">Udio u ukupnim investicijama RH </w:t>
            </w:r>
          </w:p>
        </w:tc>
        <w:tc>
          <w:tcPr>
            <w:tcW w:w="213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4536F1D5" w14:textId="4C462B9E" w:rsidR="4E193667" w:rsidRPr="00F25CD5" w:rsidRDefault="4E193667"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t xml:space="preserve">Udio u ukupnim investicijama Sjeverne Hrvatske </w:t>
            </w:r>
          </w:p>
        </w:tc>
        <w:tc>
          <w:tcPr>
            <w:tcW w:w="1762"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7BFBE9C5" w14:textId="58F2C5AD" w:rsidR="4E193667" w:rsidRPr="00F25CD5" w:rsidRDefault="4E193667"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t xml:space="preserve">Investicije po zaposlenom u KZŽ/kn </w:t>
            </w:r>
          </w:p>
        </w:tc>
      </w:tr>
      <w:tr w:rsidR="4E193667" w14:paraId="3FAB299C" w14:textId="77777777" w:rsidTr="00ED765C">
        <w:trPr>
          <w:trHeight w:val="124"/>
        </w:trPr>
        <w:tc>
          <w:tcPr>
            <w:tcW w:w="940" w:type="dxa"/>
            <w:tcBorders>
              <w:top w:val="single" w:sz="4" w:space="0" w:color="FFFFFF" w:themeColor="background1"/>
              <w:bottom w:val="single" w:sz="8" w:space="0" w:color="F3CFC1"/>
            </w:tcBorders>
            <w:shd w:val="clear" w:color="auto" w:fill="D2232A" w:themeFill="accent1"/>
            <w:vAlign w:val="center"/>
          </w:tcPr>
          <w:p w14:paraId="23590657" w14:textId="0C4E0B17" w:rsidR="4E193667" w:rsidRPr="00F25CD5" w:rsidRDefault="4E193667"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lastRenderedPageBreak/>
              <w:t xml:space="preserve">2010. </w:t>
            </w:r>
          </w:p>
        </w:tc>
        <w:tc>
          <w:tcPr>
            <w:tcW w:w="2176" w:type="dxa"/>
            <w:tcBorders>
              <w:top w:val="single" w:sz="4" w:space="0" w:color="FFFFFF" w:themeColor="background1"/>
              <w:bottom w:val="single" w:sz="8" w:space="0" w:color="F3CFC1"/>
              <w:right w:val="single" w:sz="4" w:space="0" w:color="000000"/>
            </w:tcBorders>
            <w:vAlign w:val="center"/>
          </w:tcPr>
          <w:p w14:paraId="6306E99F" w14:textId="583FBC99"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351 </w:t>
            </w:r>
          </w:p>
        </w:tc>
        <w:tc>
          <w:tcPr>
            <w:tcW w:w="2250" w:type="dxa"/>
            <w:tcBorders>
              <w:top w:val="single" w:sz="4" w:space="0" w:color="FFFFFF" w:themeColor="background1"/>
              <w:left w:val="single" w:sz="4" w:space="0" w:color="000000"/>
              <w:bottom w:val="single" w:sz="8" w:space="0" w:color="F3CFC1"/>
              <w:right w:val="single" w:sz="4" w:space="0" w:color="000000"/>
            </w:tcBorders>
            <w:vAlign w:val="center"/>
          </w:tcPr>
          <w:p w14:paraId="5F13B294" w14:textId="374DED01"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1,1 </w:t>
            </w:r>
          </w:p>
        </w:tc>
        <w:tc>
          <w:tcPr>
            <w:tcW w:w="2133" w:type="dxa"/>
            <w:tcBorders>
              <w:top w:val="single" w:sz="4" w:space="0" w:color="FFFFFF" w:themeColor="background1"/>
              <w:left w:val="single" w:sz="4" w:space="0" w:color="000000"/>
              <w:bottom w:val="single" w:sz="8" w:space="0" w:color="F3CFC1"/>
              <w:right w:val="single" w:sz="4" w:space="0" w:color="000000"/>
            </w:tcBorders>
            <w:vAlign w:val="center"/>
          </w:tcPr>
          <w:p w14:paraId="19CA3DFA" w14:textId="654029B6"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7,0 </w:t>
            </w:r>
          </w:p>
        </w:tc>
        <w:tc>
          <w:tcPr>
            <w:tcW w:w="1762" w:type="dxa"/>
            <w:tcBorders>
              <w:top w:val="single" w:sz="4" w:space="0" w:color="FFFFFF" w:themeColor="background1"/>
              <w:left w:val="single" w:sz="4" w:space="0" w:color="000000"/>
              <w:bottom w:val="single" w:sz="8" w:space="0" w:color="F3CFC1"/>
              <w:right w:val="single" w:sz="4" w:space="0" w:color="000000"/>
            </w:tcBorders>
            <w:vAlign w:val="center"/>
          </w:tcPr>
          <w:p w14:paraId="7D380511" w14:textId="400309EB"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20.501 </w:t>
            </w:r>
          </w:p>
        </w:tc>
      </w:tr>
      <w:tr w:rsidR="4E193667" w14:paraId="6AB5B3ED" w14:textId="77777777" w:rsidTr="00F25CD5">
        <w:trPr>
          <w:trHeight w:val="124"/>
        </w:trPr>
        <w:tc>
          <w:tcPr>
            <w:tcW w:w="940" w:type="dxa"/>
            <w:tcBorders>
              <w:bottom w:val="single" w:sz="8" w:space="0" w:color="F3CFC1"/>
            </w:tcBorders>
            <w:shd w:val="clear" w:color="auto" w:fill="D2232A" w:themeFill="accent1"/>
            <w:vAlign w:val="center"/>
          </w:tcPr>
          <w:p w14:paraId="1821592A" w14:textId="63143F4D" w:rsidR="4E193667" w:rsidRPr="00F25CD5" w:rsidRDefault="4E193667"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t xml:space="preserve">2011. </w:t>
            </w:r>
          </w:p>
        </w:tc>
        <w:tc>
          <w:tcPr>
            <w:tcW w:w="2176" w:type="dxa"/>
            <w:tcBorders>
              <w:top w:val="single" w:sz="4" w:space="0" w:color="000000"/>
              <w:bottom w:val="single" w:sz="8" w:space="0" w:color="F3CFC1"/>
              <w:right w:val="single" w:sz="4" w:space="0" w:color="000000"/>
            </w:tcBorders>
            <w:vAlign w:val="center"/>
          </w:tcPr>
          <w:p w14:paraId="2AA493C2" w14:textId="12F3A730"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477 </w:t>
            </w:r>
          </w:p>
        </w:tc>
        <w:tc>
          <w:tcPr>
            <w:tcW w:w="2250" w:type="dxa"/>
            <w:tcBorders>
              <w:top w:val="single" w:sz="4" w:space="0" w:color="000000"/>
              <w:left w:val="single" w:sz="4" w:space="0" w:color="000000"/>
              <w:bottom w:val="single" w:sz="8" w:space="0" w:color="F3CFC1"/>
              <w:right w:val="single" w:sz="4" w:space="0" w:color="000000"/>
            </w:tcBorders>
            <w:vAlign w:val="center"/>
          </w:tcPr>
          <w:p w14:paraId="3F7957CB" w14:textId="7F943668"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1,2 </w:t>
            </w:r>
          </w:p>
        </w:tc>
        <w:tc>
          <w:tcPr>
            <w:tcW w:w="2133" w:type="dxa"/>
            <w:tcBorders>
              <w:top w:val="single" w:sz="4" w:space="0" w:color="000000"/>
              <w:left w:val="single" w:sz="4" w:space="0" w:color="000000"/>
              <w:bottom w:val="single" w:sz="8" w:space="0" w:color="F3CFC1"/>
              <w:right w:val="single" w:sz="4" w:space="0" w:color="000000"/>
            </w:tcBorders>
            <w:vAlign w:val="center"/>
          </w:tcPr>
          <w:p w14:paraId="21D2711D" w14:textId="5BE651EC"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7,7 </w:t>
            </w:r>
          </w:p>
        </w:tc>
        <w:tc>
          <w:tcPr>
            <w:tcW w:w="1762" w:type="dxa"/>
            <w:tcBorders>
              <w:top w:val="single" w:sz="4" w:space="0" w:color="000000"/>
              <w:left w:val="single" w:sz="4" w:space="0" w:color="000000"/>
              <w:bottom w:val="single" w:sz="8" w:space="0" w:color="F3CFC1"/>
              <w:right w:val="single" w:sz="4" w:space="0" w:color="000000"/>
            </w:tcBorders>
            <w:vAlign w:val="center"/>
          </w:tcPr>
          <w:p w14:paraId="3FA384DC" w14:textId="2E1171B7"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29.471 </w:t>
            </w:r>
          </w:p>
        </w:tc>
      </w:tr>
      <w:tr w:rsidR="4E193667" w14:paraId="7E033756" w14:textId="77777777" w:rsidTr="00F25CD5">
        <w:trPr>
          <w:trHeight w:val="124"/>
        </w:trPr>
        <w:tc>
          <w:tcPr>
            <w:tcW w:w="940" w:type="dxa"/>
            <w:tcBorders>
              <w:bottom w:val="single" w:sz="8" w:space="0" w:color="F3CFC1"/>
            </w:tcBorders>
            <w:shd w:val="clear" w:color="auto" w:fill="D2232A" w:themeFill="accent1"/>
            <w:vAlign w:val="center"/>
          </w:tcPr>
          <w:p w14:paraId="2B7336F6" w14:textId="0E48FA7F" w:rsidR="4E193667" w:rsidRPr="00F25CD5" w:rsidRDefault="4E193667"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t xml:space="preserve">2012. </w:t>
            </w:r>
          </w:p>
        </w:tc>
        <w:tc>
          <w:tcPr>
            <w:tcW w:w="2176" w:type="dxa"/>
            <w:tcBorders>
              <w:top w:val="single" w:sz="4" w:space="0" w:color="000000"/>
              <w:bottom w:val="single" w:sz="8" w:space="0" w:color="F3CFC1"/>
              <w:right w:val="single" w:sz="4" w:space="0" w:color="000000"/>
            </w:tcBorders>
            <w:vAlign w:val="center"/>
          </w:tcPr>
          <w:p w14:paraId="3CE16B19" w14:textId="53B58D74"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646 </w:t>
            </w:r>
          </w:p>
        </w:tc>
        <w:tc>
          <w:tcPr>
            <w:tcW w:w="2250" w:type="dxa"/>
            <w:tcBorders>
              <w:top w:val="single" w:sz="4" w:space="0" w:color="000000"/>
              <w:left w:val="single" w:sz="4" w:space="0" w:color="000000"/>
              <w:bottom w:val="single" w:sz="8" w:space="0" w:color="F3CFC1"/>
              <w:right w:val="single" w:sz="4" w:space="0" w:color="000000"/>
            </w:tcBorders>
            <w:vAlign w:val="center"/>
          </w:tcPr>
          <w:p w14:paraId="7E276F19" w14:textId="430E5766"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1,9 </w:t>
            </w:r>
          </w:p>
        </w:tc>
        <w:tc>
          <w:tcPr>
            <w:tcW w:w="2133" w:type="dxa"/>
            <w:tcBorders>
              <w:top w:val="single" w:sz="4" w:space="0" w:color="000000"/>
              <w:left w:val="single" w:sz="4" w:space="0" w:color="000000"/>
              <w:bottom w:val="single" w:sz="8" w:space="0" w:color="F3CFC1"/>
              <w:right w:val="single" w:sz="4" w:space="0" w:color="000000"/>
            </w:tcBorders>
            <w:vAlign w:val="center"/>
          </w:tcPr>
          <w:p w14:paraId="3684DF8F" w14:textId="5D7653EB"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10,9 </w:t>
            </w:r>
          </w:p>
        </w:tc>
        <w:tc>
          <w:tcPr>
            <w:tcW w:w="1762" w:type="dxa"/>
            <w:tcBorders>
              <w:top w:val="single" w:sz="4" w:space="0" w:color="000000"/>
              <w:left w:val="single" w:sz="4" w:space="0" w:color="000000"/>
              <w:bottom w:val="single" w:sz="8" w:space="0" w:color="F3CFC1"/>
              <w:right w:val="single" w:sz="4" w:space="0" w:color="000000"/>
            </w:tcBorders>
            <w:vAlign w:val="center"/>
          </w:tcPr>
          <w:p w14:paraId="7FD65199" w14:textId="67EE1090"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39.280 </w:t>
            </w:r>
          </w:p>
        </w:tc>
      </w:tr>
      <w:tr w:rsidR="4E193667" w14:paraId="6E61C3F5" w14:textId="77777777" w:rsidTr="00F25CD5">
        <w:trPr>
          <w:trHeight w:val="124"/>
        </w:trPr>
        <w:tc>
          <w:tcPr>
            <w:tcW w:w="940" w:type="dxa"/>
            <w:tcBorders>
              <w:bottom w:val="single" w:sz="8" w:space="0" w:color="F3CFC1"/>
            </w:tcBorders>
            <w:shd w:val="clear" w:color="auto" w:fill="D2232A" w:themeFill="accent1"/>
            <w:vAlign w:val="center"/>
          </w:tcPr>
          <w:p w14:paraId="022A029D" w14:textId="1DC6D675" w:rsidR="4E193667" w:rsidRPr="00F25CD5" w:rsidRDefault="4E193667"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t xml:space="preserve">2013. </w:t>
            </w:r>
          </w:p>
        </w:tc>
        <w:tc>
          <w:tcPr>
            <w:tcW w:w="2176" w:type="dxa"/>
            <w:tcBorders>
              <w:top w:val="single" w:sz="4" w:space="0" w:color="000000"/>
              <w:bottom w:val="single" w:sz="8" w:space="0" w:color="F3CFC1"/>
              <w:right w:val="single" w:sz="4" w:space="0" w:color="000000"/>
            </w:tcBorders>
            <w:vAlign w:val="center"/>
          </w:tcPr>
          <w:p w14:paraId="3FB94963" w14:textId="54649D9A"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425 </w:t>
            </w:r>
          </w:p>
        </w:tc>
        <w:tc>
          <w:tcPr>
            <w:tcW w:w="2250" w:type="dxa"/>
            <w:tcBorders>
              <w:top w:val="single" w:sz="4" w:space="0" w:color="000000"/>
              <w:left w:val="single" w:sz="4" w:space="0" w:color="000000"/>
              <w:bottom w:val="single" w:sz="8" w:space="0" w:color="F3CFC1"/>
              <w:right w:val="single" w:sz="4" w:space="0" w:color="000000"/>
            </w:tcBorders>
            <w:vAlign w:val="center"/>
          </w:tcPr>
          <w:p w14:paraId="550EEF4D" w14:textId="23A24233"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1,1 </w:t>
            </w:r>
          </w:p>
        </w:tc>
        <w:tc>
          <w:tcPr>
            <w:tcW w:w="2133" w:type="dxa"/>
            <w:tcBorders>
              <w:top w:val="single" w:sz="4" w:space="0" w:color="000000"/>
              <w:left w:val="single" w:sz="4" w:space="0" w:color="000000"/>
              <w:bottom w:val="single" w:sz="8" w:space="0" w:color="F3CFC1"/>
              <w:right w:val="single" w:sz="4" w:space="0" w:color="000000"/>
            </w:tcBorders>
            <w:vAlign w:val="center"/>
          </w:tcPr>
          <w:p w14:paraId="59981EDE" w14:textId="713CF88F"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7,7 </w:t>
            </w:r>
          </w:p>
        </w:tc>
        <w:tc>
          <w:tcPr>
            <w:tcW w:w="1762" w:type="dxa"/>
            <w:tcBorders>
              <w:top w:val="single" w:sz="4" w:space="0" w:color="000000"/>
              <w:left w:val="single" w:sz="4" w:space="0" w:color="000000"/>
              <w:bottom w:val="single" w:sz="8" w:space="0" w:color="F3CFC1"/>
              <w:right w:val="single" w:sz="4" w:space="0" w:color="000000"/>
            </w:tcBorders>
            <w:vAlign w:val="center"/>
          </w:tcPr>
          <w:p w14:paraId="7E0A99FD" w14:textId="5A9A67C5"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25.647 </w:t>
            </w:r>
          </w:p>
        </w:tc>
      </w:tr>
      <w:tr w:rsidR="4E193667" w14:paraId="1A5C4C15" w14:textId="77777777" w:rsidTr="00F25CD5">
        <w:trPr>
          <w:trHeight w:val="149"/>
        </w:trPr>
        <w:tc>
          <w:tcPr>
            <w:tcW w:w="940" w:type="dxa"/>
            <w:tcBorders>
              <w:bottom w:val="single" w:sz="8" w:space="0" w:color="F3CFC1"/>
            </w:tcBorders>
            <w:shd w:val="clear" w:color="auto" w:fill="D2232A" w:themeFill="accent1"/>
            <w:vAlign w:val="center"/>
          </w:tcPr>
          <w:p w14:paraId="3D811759" w14:textId="182D3402" w:rsidR="4E193667" w:rsidRPr="00F25CD5" w:rsidRDefault="4E193667"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t xml:space="preserve">2014. </w:t>
            </w:r>
          </w:p>
        </w:tc>
        <w:tc>
          <w:tcPr>
            <w:tcW w:w="2176" w:type="dxa"/>
            <w:tcBorders>
              <w:top w:val="single" w:sz="4" w:space="0" w:color="000000"/>
              <w:bottom w:val="single" w:sz="8" w:space="0" w:color="F3CFC1"/>
              <w:right w:val="single" w:sz="4" w:space="0" w:color="000000"/>
            </w:tcBorders>
            <w:vAlign w:val="center"/>
          </w:tcPr>
          <w:p w14:paraId="5C95D2B1" w14:textId="7888D6A7"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538 </w:t>
            </w:r>
          </w:p>
        </w:tc>
        <w:tc>
          <w:tcPr>
            <w:tcW w:w="2250" w:type="dxa"/>
            <w:tcBorders>
              <w:top w:val="single" w:sz="4" w:space="0" w:color="000000"/>
              <w:left w:val="single" w:sz="4" w:space="0" w:color="000000"/>
              <w:bottom w:val="single" w:sz="8" w:space="0" w:color="F3CFC1"/>
              <w:right w:val="single" w:sz="4" w:space="0" w:color="000000"/>
            </w:tcBorders>
            <w:vAlign w:val="center"/>
          </w:tcPr>
          <w:p w14:paraId="0240BF6C" w14:textId="0F27BA0C"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1,5 </w:t>
            </w:r>
          </w:p>
        </w:tc>
        <w:tc>
          <w:tcPr>
            <w:tcW w:w="2133" w:type="dxa"/>
            <w:tcBorders>
              <w:top w:val="single" w:sz="4" w:space="0" w:color="000000"/>
              <w:left w:val="single" w:sz="4" w:space="0" w:color="000000"/>
              <w:bottom w:val="single" w:sz="8" w:space="0" w:color="F3CFC1"/>
              <w:right w:val="single" w:sz="4" w:space="0" w:color="000000"/>
            </w:tcBorders>
            <w:vAlign w:val="center"/>
          </w:tcPr>
          <w:p w14:paraId="730CCE30" w14:textId="6B984B7D"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9,6 </w:t>
            </w:r>
          </w:p>
        </w:tc>
        <w:tc>
          <w:tcPr>
            <w:tcW w:w="1762" w:type="dxa"/>
            <w:tcBorders>
              <w:top w:val="single" w:sz="4" w:space="0" w:color="000000"/>
              <w:left w:val="single" w:sz="4" w:space="0" w:color="000000"/>
              <w:bottom w:val="single" w:sz="8" w:space="0" w:color="F3CFC1"/>
              <w:right w:val="single" w:sz="4" w:space="0" w:color="000000"/>
            </w:tcBorders>
            <w:vAlign w:val="center"/>
          </w:tcPr>
          <w:p w14:paraId="6FBF5EE0" w14:textId="641A012B" w:rsidR="4E193667" w:rsidRPr="00F25CD5" w:rsidRDefault="4E193667"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 xml:space="preserve">30.502 </w:t>
            </w:r>
          </w:p>
        </w:tc>
      </w:tr>
      <w:tr w:rsidR="00F25CD5" w14:paraId="4674CFC5" w14:textId="77777777" w:rsidTr="00F25CD5">
        <w:trPr>
          <w:trHeight w:val="149"/>
        </w:trPr>
        <w:tc>
          <w:tcPr>
            <w:tcW w:w="940" w:type="dxa"/>
            <w:tcBorders>
              <w:bottom w:val="single" w:sz="8" w:space="0" w:color="F3CFC1"/>
            </w:tcBorders>
            <w:shd w:val="clear" w:color="auto" w:fill="D2232A" w:themeFill="accent1"/>
            <w:vAlign w:val="center"/>
          </w:tcPr>
          <w:p w14:paraId="4343AD5F" w14:textId="4F39F465" w:rsidR="00F25CD5" w:rsidRPr="00F25CD5" w:rsidRDefault="00F25CD5" w:rsidP="00F25CD5">
            <w:pPr>
              <w:spacing w:before="17"/>
              <w:ind w:left="52"/>
              <w:jc w:val="center"/>
              <w:rPr>
                <w:rFonts w:eastAsia="Arial" w:cstheme="minorHAnsi"/>
                <w:color w:val="FFFFFF" w:themeColor="background1"/>
                <w:spacing w:val="-2"/>
                <w:w w:val="101"/>
                <w:szCs w:val="18"/>
              </w:rPr>
            </w:pPr>
            <w:r w:rsidRPr="00F25CD5">
              <w:rPr>
                <w:rFonts w:eastAsia="Arial" w:cstheme="minorHAnsi"/>
                <w:color w:val="FFFFFF" w:themeColor="background1"/>
                <w:spacing w:val="-2"/>
                <w:w w:val="101"/>
                <w:szCs w:val="18"/>
              </w:rPr>
              <w:t>2015.</w:t>
            </w:r>
          </w:p>
        </w:tc>
        <w:tc>
          <w:tcPr>
            <w:tcW w:w="2176" w:type="dxa"/>
            <w:tcBorders>
              <w:top w:val="single" w:sz="4" w:space="0" w:color="000000"/>
              <w:bottom w:val="single" w:sz="8" w:space="0" w:color="F3CFC1"/>
              <w:right w:val="single" w:sz="4" w:space="0" w:color="000000"/>
            </w:tcBorders>
            <w:vAlign w:val="center"/>
          </w:tcPr>
          <w:p w14:paraId="165EDCFF" w14:textId="71DC9F42"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851</w:t>
            </w:r>
          </w:p>
        </w:tc>
        <w:tc>
          <w:tcPr>
            <w:tcW w:w="2250" w:type="dxa"/>
            <w:tcBorders>
              <w:top w:val="single" w:sz="4" w:space="0" w:color="000000"/>
              <w:left w:val="single" w:sz="4" w:space="0" w:color="000000"/>
              <w:bottom w:val="single" w:sz="8" w:space="0" w:color="F3CFC1"/>
              <w:right w:val="single" w:sz="4" w:space="0" w:color="000000"/>
            </w:tcBorders>
            <w:vAlign w:val="center"/>
          </w:tcPr>
          <w:p w14:paraId="5050E10D" w14:textId="138B9CB7"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2,1</w:t>
            </w:r>
          </w:p>
        </w:tc>
        <w:tc>
          <w:tcPr>
            <w:tcW w:w="2133" w:type="dxa"/>
            <w:tcBorders>
              <w:top w:val="single" w:sz="4" w:space="0" w:color="000000"/>
              <w:left w:val="single" w:sz="4" w:space="0" w:color="000000"/>
              <w:bottom w:val="single" w:sz="8" w:space="0" w:color="F3CFC1"/>
              <w:right w:val="single" w:sz="4" w:space="0" w:color="000000"/>
            </w:tcBorders>
            <w:vAlign w:val="center"/>
          </w:tcPr>
          <w:p w14:paraId="49D69553" w14:textId="5F6F88D4"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17,3</w:t>
            </w:r>
          </w:p>
        </w:tc>
        <w:tc>
          <w:tcPr>
            <w:tcW w:w="1762" w:type="dxa"/>
            <w:tcBorders>
              <w:top w:val="single" w:sz="4" w:space="0" w:color="000000"/>
              <w:left w:val="single" w:sz="4" w:space="0" w:color="000000"/>
              <w:bottom w:val="single" w:sz="8" w:space="0" w:color="F3CFC1"/>
              <w:right w:val="single" w:sz="4" w:space="0" w:color="000000"/>
            </w:tcBorders>
            <w:vAlign w:val="center"/>
          </w:tcPr>
          <w:p w14:paraId="482B76AE" w14:textId="6480BB57"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29.903</w:t>
            </w:r>
          </w:p>
        </w:tc>
      </w:tr>
      <w:tr w:rsidR="00F25CD5" w14:paraId="4450F617" w14:textId="77777777" w:rsidTr="00F25CD5">
        <w:trPr>
          <w:trHeight w:val="149"/>
        </w:trPr>
        <w:tc>
          <w:tcPr>
            <w:tcW w:w="940" w:type="dxa"/>
            <w:tcBorders>
              <w:bottom w:val="single" w:sz="8" w:space="0" w:color="F3CFC1"/>
            </w:tcBorders>
            <w:shd w:val="clear" w:color="auto" w:fill="D2232A" w:themeFill="accent1"/>
            <w:vAlign w:val="center"/>
          </w:tcPr>
          <w:p w14:paraId="1611B640" w14:textId="1C8A22D7" w:rsidR="00F25CD5" w:rsidRPr="00F25CD5" w:rsidRDefault="00F25CD5" w:rsidP="00F25CD5">
            <w:pPr>
              <w:spacing w:before="17"/>
              <w:ind w:left="52"/>
              <w:jc w:val="center"/>
              <w:rPr>
                <w:rFonts w:eastAsia="Arial" w:cstheme="minorHAnsi"/>
                <w:color w:val="FFFFFF" w:themeColor="background1"/>
                <w:spacing w:val="-2"/>
                <w:w w:val="101"/>
                <w:szCs w:val="18"/>
              </w:rPr>
            </w:pPr>
            <w:r>
              <w:rPr>
                <w:rFonts w:eastAsia="Arial" w:cstheme="minorHAnsi"/>
                <w:color w:val="FFFFFF" w:themeColor="background1"/>
                <w:spacing w:val="-2"/>
                <w:w w:val="101"/>
                <w:szCs w:val="18"/>
              </w:rPr>
              <w:t>2016.</w:t>
            </w:r>
          </w:p>
        </w:tc>
        <w:tc>
          <w:tcPr>
            <w:tcW w:w="2176" w:type="dxa"/>
            <w:tcBorders>
              <w:top w:val="single" w:sz="4" w:space="0" w:color="000000"/>
              <w:bottom w:val="single" w:sz="8" w:space="0" w:color="F3CFC1"/>
              <w:right w:val="single" w:sz="4" w:space="0" w:color="000000"/>
            </w:tcBorders>
            <w:vAlign w:val="center"/>
          </w:tcPr>
          <w:p w14:paraId="408966A1" w14:textId="46702FD4"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487</w:t>
            </w:r>
          </w:p>
        </w:tc>
        <w:tc>
          <w:tcPr>
            <w:tcW w:w="2250" w:type="dxa"/>
            <w:tcBorders>
              <w:top w:val="single" w:sz="4" w:space="0" w:color="000000"/>
              <w:left w:val="single" w:sz="4" w:space="0" w:color="000000"/>
              <w:bottom w:val="single" w:sz="8" w:space="0" w:color="F3CFC1"/>
              <w:right w:val="single" w:sz="4" w:space="0" w:color="000000"/>
            </w:tcBorders>
            <w:vAlign w:val="center"/>
          </w:tcPr>
          <w:p w14:paraId="7232FCDC" w14:textId="36327ED4"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1,9</w:t>
            </w:r>
          </w:p>
        </w:tc>
        <w:tc>
          <w:tcPr>
            <w:tcW w:w="2133" w:type="dxa"/>
            <w:tcBorders>
              <w:top w:val="single" w:sz="4" w:space="0" w:color="000000"/>
              <w:left w:val="single" w:sz="4" w:space="0" w:color="000000"/>
              <w:bottom w:val="single" w:sz="8" w:space="0" w:color="F3CFC1"/>
              <w:right w:val="single" w:sz="4" w:space="0" w:color="000000"/>
            </w:tcBorders>
            <w:vAlign w:val="center"/>
          </w:tcPr>
          <w:p w14:paraId="291B83FA" w14:textId="46BFBC75"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8,2</w:t>
            </w:r>
          </w:p>
        </w:tc>
        <w:tc>
          <w:tcPr>
            <w:tcW w:w="1762" w:type="dxa"/>
            <w:tcBorders>
              <w:top w:val="single" w:sz="4" w:space="0" w:color="000000"/>
              <w:left w:val="single" w:sz="4" w:space="0" w:color="000000"/>
              <w:bottom w:val="single" w:sz="8" w:space="0" w:color="F3CFC1"/>
              <w:right w:val="single" w:sz="4" w:space="0" w:color="000000"/>
            </w:tcBorders>
            <w:vAlign w:val="center"/>
          </w:tcPr>
          <w:p w14:paraId="1FA2D1A2" w14:textId="2489651A"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25.432</w:t>
            </w:r>
          </w:p>
        </w:tc>
      </w:tr>
      <w:tr w:rsidR="00F25CD5" w14:paraId="42FFC447" w14:textId="77777777" w:rsidTr="00F25CD5">
        <w:trPr>
          <w:trHeight w:val="149"/>
        </w:trPr>
        <w:tc>
          <w:tcPr>
            <w:tcW w:w="940" w:type="dxa"/>
            <w:tcBorders>
              <w:bottom w:val="single" w:sz="8" w:space="0" w:color="F3CFC1"/>
            </w:tcBorders>
            <w:shd w:val="clear" w:color="auto" w:fill="D2232A" w:themeFill="accent1"/>
            <w:vAlign w:val="center"/>
          </w:tcPr>
          <w:p w14:paraId="6FE25E48" w14:textId="2681B011" w:rsidR="00F25CD5" w:rsidRPr="00F25CD5" w:rsidRDefault="00F25CD5" w:rsidP="00F25CD5">
            <w:pPr>
              <w:spacing w:before="17"/>
              <w:ind w:left="52"/>
              <w:jc w:val="center"/>
              <w:rPr>
                <w:rFonts w:eastAsia="Arial" w:cstheme="minorHAnsi"/>
                <w:color w:val="FFFFFF" w:themeColor="background1"/>
                <w:spacing w:val="-2"/>
                <w:w w:val="101"/>
                <w:szCs w:val="18"/>
              </w:rPr>
            </w:pPr>
            <w:r>
              <w:rPr>
                <w:rFonts w:eastAsia="Arial" w:cstheme="minorHAnsi"/>
                <w:color w:val="FFFFFF" w:themeColor="background1"/>
                <w:spacing w:val="-2"/>
                <w:w w:val="101"/>
                <w:szCs w:val="18"/>
              </w:rPr>
              <w:t>2017.</w:t>
            </w:r>
          </w:p>
        </w:tc>
        <w:tc>
          <w:tcPr>
            <w:tcW w:w="2176" w:type="dxa"/>
            <w:tcBorders>
              <w:top w:val="single" w:sz="4" w:space="0" w:color="000000"/>
              <w:bottom w:val="single" w:sz="8" w:space="0" w:color="F3CFC1"/>
              <w:right w:val="single" w:sz="4" w:space="0" w:color="000000"/>
            </w:tcBorders>
            <w:vAlign w:val="center"/>
          </w:tcPr>
          <w:p w14:paraId="5A47EAE3" w14:textId="11D28A14"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507</w:t>
            </w:r>
          </w:p>
        </w:tc>
        <w:tc>
          <w:tcPr>
            <w:tcW w:w="2250" w:type="dxa"/>
            <w:tcBorders>
              <w:top w:val="single" w:sz="4" w:space="0" w:color="000000"/>
              <w:left w:val="single" w:sz="4" w:space="0" w:color="000000"/>
              <w:bottom w:val="single" w:sz="8" w:space="0" w:color="F3CFC1"/>
              <w:right w:val="single" w:sz="4" w:space="0" w:color="000000"/>
            </w:tcBorders>
            <w:vAlign w:val="center"/>
          </w:tcPr>
          <w:p w14:paraId="140AF4B0" w14:textId="0E4FA50A"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2,1</w:t>
            </w:r>
          </w:p>
        </w:tc>
        <w:tc>
          <w:tcPr>
            <w:tcW w:w="2133" w:type="dxa"/>
            <w:tcBorders>
              <w:top w:val="single" w:sz="4" w:space="0" w:color="000000"/>
              <w:left w:val="single" w:sz="4" w:space="0" w:color="000000"/>
              <w:bottom w:val="single" w:sz="8" w:space="0" w:color="F3CFC1"/>
              <w:right w:val="single" w:sz="4" w:space="0" w:color="000000"/>
            </w:tcBorders>
            <w:vAlign w:val="center"/>
          </w:tcPr>
          <w:p w14:paraId="0359BED6" w14:textId="69DD1DDE"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15,3</w:t>
            </w:r>
          </w:p>
        </w:tc>
        <w:tc>
          <w:tcPr>
            <w:tcW w:w="1762" w:type="dxa"/>
            <w:tcBorders>
              <w:top w:val="single" w:sz="4" w:space="0" w:color="000000"/>
              <w:left w:val="single" w:sz="4" w:space="0" w:color="000000"/>
              <w:bottom w:val="single" w:sz="8" w:space="0" w:color="F3CFC1"/>
              <w:right w:val="single" w:sz="4" w:space="0" w:color="000000"/>
            </w:tcBorders>
            <w:vAlign w:val="center"/>
          </w:tcPr>
          <w:p w14:paraId="24FAC261" w14:textId="0E70A25A"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24.822</w:t>
            </w:r>
          </w:p>
        </w:tc>
      </w:tr>
      <w:tr w:rsidR="00F25CD5" w14:paraId="4B7A1F3A" w14:textId="77777777" w:rsidTr="00CB5EAB">
        <w:trPr>
          <w:trHeight w:val="149"/>
        </w:trPr>
        <w:tc>
          <w:tcPr>
            <w:tcW w:w="940" w:type="dxa"/>
            <w:tcBorders>
              <w:bottom w:val="single" w:sz="4" w:space="0" w:color="FBE8E8"/>
            </w:tcBorders>
            <w:shd w:val="clear" w:color="auto" w:fill="D2232A" w:themeFill="accent1"/>
            <w:vAlign w:val="center"/>
          </w:tcPr>
          <w:p w14:paraId="41FF6C13" w14:textId="68BAC508" w:rsidR="00F25CD5" w:rsidRPr="00F25CD5" w:rsidRDefault="00F25CD5" w:rsidP="00F25CD5">
            <w:pPr>
              <w:spacing w:before="17"/>
              <w:ind w:left="52"/>
              <w:jc w:val="center"/>
              <w:rPr>
                <w:rFonts w:eastAsia="Arial" w:cstheme="minorHAnsi"/>
                <w:color w:val="FFFFFF" w:themeColor="background1"/>
                <w:spacing w:val="-2"/>
                <w:w w:val="101"/>
                <w:szCs w:val="18"/>
              </w:rPr>
            </w:pPr>
            <w:r>
              <w:rPr>
                <w:rFonts w:eastAsia="Arial" w:cstheme="minorHAnsi"/>
                <w:color w:val="FFFFFF" w:themeColor="background1"/>
                <w:spacing w:val="-2"/>
                <w:w w:val="101"/>
                <w:szCs w:val="18"/>
              </w:rPr>
              <w:t>2018.</w:t>
            </w:r>
          </w:p>
        </w:tc>
        <w:tc>
          <w:tcPr>
            <w:tcW w:w="2176" w:type="dxa"/>
            <w:tcBorders>
              <w:top w:val="single" w:sz="4" w:space="0" w:color="000000"/>
              <w:bottom w:val="single" w:sz="4" w:space="0" w:color="FBE8E8"/>
              <w:right w:val="single" w:sz="4" w:space="0" w:color="000000"/>
            </w:tcBorders>
            <w:vAlign w:val="center"/>
          </w:tcPr>
          <w:p w14:paraId="7EE1E67F" w14:textId="7F889651"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360</w:t>
            </w:r>
          </w:p>
        </w:tc>
        <w:tc>
          <w:tcPr>
            <w:tcW w:w="2250" w:type="dxa"/>
            <w:tcBorders>
              <w:top w:val="single" w:sz="4" w:space="0" w:color="000000"/>
              <w:left w:val="single" w:sz="4" w:space="0" w:color="000000"/>
              <w:bottom w:val="single" w:sz="4" w:space="0" w:color="FBE8E8"/>
              <w:right w:val="single" w:sz="4" w:space="0" w:color="000000"/>
            </w:tcBorders>
            <w:vAlign w:val="center"/>
          </w:tcPr>
          <w:p w14:paraId="3B548EEC" w14:textId="7C3C7096"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1,5</w:t>
            </w:r>
          </w:p>
        </w:tc>
        <w:tc>
          <w:tcPr>
            <w:tcW w:w="2133" w:type="dxa"/>
            <w:tcBorders>
              <w:top w:val="single" w:sz="4" w:space="0" w:color="000000"/>
              <w:left w:val="single" w:sz="4" w:space="0" w:color="000000"/>
              <w:bottom w:val="single" w:sz="4" w:space="0" w:color="FBE8E8"/>
              <w:right w:val="single" w:sz="4" w:space="0" w:color="000000"/>
            </w:tcBorders>
            <w:vAlign w:val="center"/>
          </w:tcPr>
          <w:p w14:paraId="35FBC615" w14:textId="27359073"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10,6</w:t>
            </w:r>
          </w:p>
        </w:tc>
        <w:tc>
          <w:tcPr>
            <w:tcW w:w="1762" w:type="dxa"/>
            <w:tcBorders>
              <w:top w:val="single" w:sz="4" w:space="0" w:color="000000"/>
              <w:left w:val="single" w:sz="4" w:space="0" w:color="000000"/>
              <w:bottom w:val="single" w:sz="4" w:space="0" w:color="FBE8E8"/>
              <w:right w:val="single" w:sz="4" w:space="0" w:color="000000"/>
            </w:tcBorders>
            <w:vAlign w:val="center"/>
          </w:tcPr>
          <w:p w14:paraId="16EADF02" w14:textId="7403C07C" w:rsidR="00F25CD5" w:rsidRPr="00F25CD5" w:rsidRDefault="00F25CD5" w:rsidP="00F25CD5">
            <w:pPr>
              <w:spacing w:after="0" w:line="240" w:lineRule="auto"/>
              <w:jc w:val="center"/>
              <w:rPr>
                <w:rFonts w:eastAsia="Arial" w:cstheme="minorHAnsi"/>
                <w:color w:val="auto"/>
                <w:spacing w:val="-2"/>
                <w:w w:val="101"/>
                <w:szCs w:val="18"/>
              </w:rPr>
            </w:pPr>
            <w:r w:rsidRPr="00F25CD5">
              <w:rPr>
                <w:rFonts w:eastAsia="Arial" w:cstheme="minorHAnsi"/>
                <w:color w:val="auto"/>
                <w:spacing w:val="-2"/>
                <w:w w:val="101"/>
                <w:szCs w:val="18"/>
              </w:rPr>
              <w:t>17.099</w:t>
            </w:r>
          </w:p>
        </w:tc>
      </w:tr>
      <w:tr w:rsidR="00FD02B2" w14:paraId="15FE0980" w14:textId="77777777" w:rsidTr="00CB5EAB">
        <w:trPr>
          <w:trHeight w:val="149"/>
        </w:trPr>
        <w:tc>
          <w:tcPr>
            <w:tcW w:w="940" w:type="dxa"/>
            <w:tcBorders>
              <w:top w:val="single" w:sz="4" w:space="0" w:color="FBE8E8"/>
              <w:bottom w:val="single" w:sz="8" w:space="0" w:color="F3CFC1"/>
            </w:tcBorders>
            <w:shd w:val="clear" w:color="auto" w:fill="D2232A" w:themeFill="accent1"/>
            <w:vAlign w:val="center"/>
          </w:tcPr>
          <w:p w14:paraId="56DB1B5D" w14:textId="0B4BAB54" w:rsidR="00FD02B2" w:rsidRDefault="00FD02B2" w:rsidP="00F25CD5">
            <w:pPr>
              <w:spacing w:before="17"/>
              <w:ind w:left="52"/>
              <w:jc w:val="center"/>
              <w:rPr>
                <w:rFonts w:eastAsia="Arial" w:cstheme="minorHAnsi"/>
                <w:color w:val="FFFFFF" w:themeColor="background1"/>
                <w:spacing w:val="-2"/>
                <w:w w:val="101"/>
                <w:szCs w:val="18"/>
              </w:rPr>
            </w:pPr>
            <w:r>
              <w:rPr>
                <w:rFonts w:eastAsia="Arial" w:cstheme="minorHAnsi"/>
                <w:color w:val="FFFFFF" w:themeColor="background1"/>
                <w:spacing w:val="-2"/>
                <w:w w:val="101"/>
                <w:szCs w:val="18"/>
              </w:rPr>
              <w:t>2019.</w:t>
            </w:r>
          </w:p>
        </w:tc>
        <w:tc>
          <w:tcPr>
            <w:tcW w:w="2176" w:type="dxa"/>
            <w:tcBorders>
              <w:top w:val="single" w:sz="4" w:space="0" w:color="FBE8E8"/>
              <w:bottom w:val="single" w:sz="8" w:space="0" w:color="F3CFC1"/>
              <w:right w:val="single" w:sz="4" w:space="0" w:color="000000"/>
            </w:tcBorders>
            <w:vAlign w:val="center"/>
          </w:tcPr>
          <w:p w14:paraId="2EB5AF67" w14:textId="66DA22D7" w:rsidR="00FD02B2" w:rsidRPr="00F25CD5" w:rsidRDefault="00FD02B2" w:rsidP="00F25CD5">
            <w:pPr>
              <w:spacing w:after="0" w:line="240" w:lineRule="auto"/>
              <w:jc w:val="center"/>
              <w:rPr>
                <w:rFonts w:eastAsia="Arial" w:cstheme="minorHAnsi"/>
                <w:color w:val="auto"/>
                <w:spacing w:val="-2"/>
                <w:w w:val="101"/>
                <w:szCs w:val="18"/>
              </w:rPr>
            </w:pPr>
            <w:r>
              <w:rPr>
                <w:rFonts w:eastAsia="Arial" w:cstheme="minorHAnsi"/>
                <w:color w:val="auto"/>
                <w:spacing w:val="-2"/>
                <w:w w:val="101"/>
                <w:szCs w:val="18"/>
              </w:rPr>
              <w:t>443</w:t>
            </w:r>
          </w:p>
        </w:tc>
        <w:tc>
          <w:tcPr>
            <w:tcW w:w="2250" w:type="dxa"/>
            <w:tcBorders>
              <w:top w:val="single" w:sz="4" w:space="0" w:color="FBE8E8"/>
              <w:left w:val="single" w:sz="4" w:space="0" w:color="000000"/>
              <w:bottom w:val="single" w:sz="8" w:space="0" w:color="F3CFC1"/>
              <w:right w:val="single" w:sz="4" w:space="0" w:color="000000"/>
            </w:tcBorders>
            <w:vAlign w:val="center"/>
          </w:tcPr>
          <w:p w14:paraId="0B16DC7C" w14:textId="122E3581" w:rsidR="00FD02B2" w:rsidRPr="00F25CD5" w:rsidRDefault="00FD02B2" w:rsidP="00F25CD5">
            <w:pPr>
              <w:spacing w:after="0" w:line="240" w:lineRule="auto"/>
              <w:jc w:val="center"/>
              <w:rPr>
                <w:rFonts w:eastAsia="Arial" w:cstheme="minorHAnsi"/>
                <w:color w:val="auto"/>
                <w:spacing w:val="-2"/>
                <w:w w:val="101"/>
                <w:szCs w:val="18"/>
              </w:rPr>
            </w:pPr>
            <w:r>
              <w:rPr>
                <w:rFonts w:eastAsia="Arial" w:cstheme="minorHAnsi"/>
                <w:color w:val="auto"/>
                <w:spacing w:val="-2"/>
                <w:w w:val="101"/>
                <w:szCs w:val="18"/>
              </w:rPr>
              <w:t>1,6</w:t>
            </w:r>
          </w:p>
        </w:tc>
        <w:tc>
          <w:tcPr>
            <w:tcW w:w="2133" w:type="dxa"/>
            <w:tcBorders>
              <w:top w:val="single" w:sz="4" w:space="0" w:color="FBE8E8"/>
              <w:left w:val="single" w:sz="4" w:space="0" w:color="000000"/>
              <w:bottom w:val="single" w:sz="8" w:space="0" w:color="F3CFC1"/>
              <w:right w:val="single" w:sz="4" w:space="0" w:color="000000"/>
            </w:tcBorders>
            <w:vAlign w:val="center"/>
          </w:tcPr>
          <w:p w14:paraId="07154144" w14:textId="28CFA534" w:rsidR="00FD02B2" w:rsidRPr="00F25CD5" w:rsidRDefault="006254C9" w:rsidP="00CB5EAB">
            <w:pPr>
              <w:spacing w:after="0" w:line="240" w:lineRule="auto"/>
              <w:jc w:val="center"/>
              <w:rPr>
                <w:rFonts w:eastAsia="Arial" w:cstheme="minorHAnsi"/>
                <w:color w:val="auto"/>
                <w:spacing w:val="-2"/>
                <w:w w:val="101"/>
                <w:szCs w:val="18"/>
              </w:rPr>
            </w:pPr>
            <w:commentRangeStart w:id="144"/>
            <w:r w:rsidRPr="006254C9">
              <w:rPr>
                <w:rFonts w:ascii="Arial" w:eastAsia="Times New Roman" w:hAnsi="Arial" w:cs="Arial"/>
                <w:color w:val="3F3F3F"/>
                <w:szCs w:val="18"/>
                <w:lang w:eastAsia="hr-HR"/>
              </w:rPr>
              <w:t>n/a </w:t>
            </w:r>
            <w:commentRangeEnd w:id="144"/>
            <w:r w:rsidRPr="006254C9">
              <w:rPr>
                <w:rFonts w:ascii="Calibri" w:eastAsia="Calibri" w:hAnsi="Calibri" w:cs="Times New Roman"/>
                <w:color w:val="auto"/>
                <w:sz w:val="16"/>
                <w:szCs w:val="16"/>
              </w:rPr>
              <w:commentReference w:id="144"/>
            </w:r>
          </w:p>
        </w:tc>
        <w:tc>
          <w:tcPr>
            <w:tcW w:w="1762" w:type="dxa"/>
            <w:tcBorders>
              <w:top w:val="single" w:sz="4" w:space="0" w:color="FBE8E8"/>
              <w:left w:val="single" w:sz="4" w:space="0" w:color="000000"/>
              <w:bottom w:val="single" w:sz="8" w:space="0" w:color="F3CFC1"/>
              <w:right w:val="single" w:sz="4" w:space="0" w:color="000000"/>
            </w:tcBorders>
            <w:vAlign w:val="center"/>
          </w:tcPr>
          <w:p w14:paraId="5575745D" w14:textId="795AF8B3" w:rsidR="00FD02B2" w:rsidRPr="00F25CD5" w:rsidRDefault="00CB5EAB" w:rsidP="00F25CD5">
            <w:pPr>
              <w:spacing w:after="0" w:line="240" w:lineRule="auto"/>
              <w:jc w:val="center"/>
              <w:rPr>
                <w:rFonts w:eastAsia="Arial" w:cstheme="minorHAnsi"/>
                <w:color w:val="auto"/>
                <w:spacing w:val="-2"/>
                <w:w w:val="101"/>
                <w:szCs w:val="18"/>
              </w:rPr>
            </w:pPr>
            <w:r>
              <w:rPr>
                <w:rFonts w:eastAsia="Arial" w:cstheme="minorHAnsi"/>
                <w:color w:val="auto"/>
                <w:spacing w:val="-2"/>
                <w:w w:val="101"/>
                <w:szCs w:val="18"/>
              </w:rPr>
              <w:t>20.359</w:t>
            </w:r>
          </w:p>
        </w:tc>
      </w:tr>
    </w:tbl>
    <w:p w14:paraId="07D03BAE" w14:textId="60B687B6" w:rsidR="008878A0" w:rsidRPr="00A40471" w:rsidRDefault="008878A0" w:rsidP="00A40471">
      <w:pPr>
        <w:autoSpaceDE w:val="0"/>
        <w:autoSpaceDN w:val="0"/>
        <w:adjustRightInd w:val="0"/>
        <w:spacing w:after="0" w:line="240" w:lineRule="auto"/>
        <w:rPr>
          <w:rFonts w:eastAsia="ArialNarrow" w:cstheme="minorHAnsi"/>
          <w:i/>
          <w:color w:val="ABABAB" w:themeColor="text1" w:themeTint="A6"/>
          <w:sz w:val="16"/>
          <w:szCs w:val="16"/>
        </w:rPr>
      </w:pPr>
      <w:r w:rsidRPr="00A40471">
        <w:rPr>
          <w:rFonts w:eastAsia="ArialNarrow" w:cstheme="minorHAnsi"/>
          <w:i/>
          <w:color w:val="ABABAB" w:themeColor="text1" w:themeTint="A6"/>
          <w:sz w:val="16"/>
          <w:szCs w:val="16"/>
        </w:rPr>
        <w:t>Izvor: Analitičke podloge za Strategiju regionalnog razvoja RH, 2014. godina, MRRFEU, Analiza financijskih rezultata poslovanja poduzetnika Republike Hrvatske</w:t>
      </w:r>
      <w:r w:rsidR="006254C9" w:rsidRPr="00A40471">
        <w:rPr>
          <w:rFonts w:eastAsia="ArialNarrow" w:cstheme="minorHAnsi"/>
          <w:i/>
          <w:color w:val="ABABAB" w:themeColor="text1" w:themeTint="A6"/>
          <w:sz w:val="16"/>
          <w:szCs w:val="16"/>
        </w:rPr>
        <w:t xml:space="preserve"> u 2015., 2016., 2017., 2018. i 2019., </w:t>
      </w:r>
      <w:r w:rsidRPr="00A40471">
        <w:rPr>
          <w:rFonts w:eastAsia="ArialNarrow" w:cstheme="minorHAnsi"/>
          <w:i/>
          <w:color w:val="ABABAB" w:themeColor="text1" w:themeTint="A6"/>
          <w:sz w:val="16"/>
          <w:szCs w:val="16"/>
        </w:rPr>
        <w:t>FINA</w:t>
      </w:r>
    </w:p>
    <w:p w14:paraId="3E2FF7B5" w14:textId="77777777" w:rsidR="0058734F" w:rsidRDefault="0058734F" w:rsidP="008B6817">
      <w:pPr>
        <w:rPr>
          <w:rFonts w:eastAsia="ArialNarrow" w:cstheme="minorHAnsi"/>
        </w:rPr>
      </w:pPr>
    </w:p>
    <w:p w14:paraId="5FE55BF8" w14:textId="1B1D2514" w:rsidR="001C67DA" w:rsidRDefault="001C67DA" w:rsidP="008B6817">
      <w:pPr>
        <w:rPr>
          <w:rFonts w:eastAsia="ArialNarrow" w:cstheme="minorHAnsi"/>
        </w:rPr>
      </w:pPr>
      <w:r>
        <w:rPr>
          <w:rFonts w:eastAsia="ArialNarrow" w:cstheme="minorHAnsi"/>
        </w:rPr>
        <w:t xml:space="preserve">U razdoblju </w:t>
      </w:r>
      <w:r w:rsidRPr="006254C9">
        <w:rPr>
          <w:rFonts w:eastAsia="ArialNarrow" w:cstheme="minorHAnsi"/>
        </w:rPr>
        <w:t>2010. do 201</w:t>
      </w:r>
      <w:r w:rsidR="006254C9" w:rsidRPr="006254C9">
        <w:rPr>
          <w:rFonts w:eastAsia="ArialNarrow" w:cstheme="minorHAnsi"/>
        </w:rPr>
        <w:t>9</w:t>
      </w:r>
      <w:r w:rsidRPr="006254C9">
        <w:rPr>
          <w:rFonts w:eastAsia="ArialNarrow" w:cstheme="minorHAnsi"/>
        </w:rPr>
        <w:t>.</w:t>
      </w:r>
      <w:r>
        <w:rPr>
          <w:rFonts w:eastAsia="ArialNarrow" w:cstheme="minorHAnsi"/>
        </w:rPr>
        <w:t xml:space="preserve"> godine, ni jedan od razmatranih pokazatelja – ukupni iznos investicija u Krapinsko-zagorskoj županiji, udio investicija KZŽ u ukupnim investicijama u RH i udio investicija KZŽ u ukupnim investicijama Sjeverne Hrvatske, investicije po zaposlenom u KZŽ nema izražen jednoznačni trend. Svi pokazatelji pokazuju značajnu fluktuaciju u promatranom periodu.</w:t>
      </w:r>
      <w:bookmarkEnd w:id="139"/>
    </w:p>
    <w:p w14:paraId="6D3B818B" w14:textId="77777777" w:rsidR="0058734F" w:rsidRDefault="0058734F" w:rsidP="008B6817">
      <w:pPr>
        <w:rPr>
          <w:rFonts w:eastAsia="ArialNarrow" w:cstheme="minorHAnsi"/>
        </w:rPr>
      </w:pPr>
    </w:p>
    <w:p w14:paraId="3E5AE66B" w14:textId="3EE032A1" w:rsidR="008878A0" w:rsidRDefault="00B601EE" w:rsidP="0052192B">
      <w:pPr>
        <w:pStyle w:val="Naslov2"/>
      </w:pPr>
      <w:bookmarkStart w:id="145" w:name="_Toc85181328"/>
      <w:r>
        <w:t>10</w:t>
      </w:r>
      <w:r w:rsidR="008878A0">
        <w:t>.</w:t>
      </w:r>
      <w:r w:rsidR="007D6366">
        <w:t>4</w:t>
      </w:r>
      <w:r w:rsidR="008878A0">
        <w:t>. Di</w:t>
      </w:r>
      <w:r w:rsidR="00BA026C">
        <w:t>namika poduzetništva Krapinsko-z</w:t>
      </w:r>
      <w:r w:rsidR="008878A0">
        <w:t>agorske županije</w:t>
      </w:r>
      <w:bookmarkEnd w:id="145"/>
      <w:r w:rsidR="008878A0">
        <w:br/>
      </w:r>
    </w:p>
    <w:p w14:paraId="40466120" w14:textId="614F7313" w:rsidR="008878A0" w:rsidRDefault="008878A0" w:rsidP="00941871">
      <w:pPr>
        <w:rPr>
          <w:rFonts w:cstheme="minorHAnsi"/>
        </w:rPr>
      </w:pPr>
      <w:r>
        <w:rPr>
          <w:rFonts w:cstheme="minorHAnsi"/>
        </w:rPr>
        <w:t>Pok</w:t>
      </w:r>
      <w:r w:rsidR="00BA026C">
        <w:rPr>
          <w:rFonts w:cstheme="minorHAnsi"/>
        </w:rPr>
        <w:t>retanje novih tvrtki je</w:t>
      </w:r>
      <w:r>
        <w:rPr>
          <w:rFonts w:cstheme="minorHAnsi"/>
        </w:rPr>
        <w:t xml:space="preserve"> najznačajniji pokazatelj dinamike sektora poduzetništva čiju osnovu za praćenje čine podaci o osnivanju i zatvaranju poduz</w:t>
      </w:r>
      <w:r w:rsidR="00F97618">
        <w:rPr>
          <w:rFonts w:cstheme="minorHAnsi"/>
        </w:rPr>
        <w:t xml:space="preserve">eća. Na području </w:t>
      </w:r>
      <w:r>
        <w:rPr>
          <w:rFonts w:cstheme="minorHAnsi"/>
        </w:rPr>
        <w:t xml:space="preserve">Republike Hrvatske u proteklom </w:t>
      </w:r>
      <w:r w:rsidR="00D20DA4">
        <w:rPr>
          <w:rFonts w:cstheme="minorHAnsi"/>
        </w:rPr>
        <w:t>petogodišnjem</w:t>
      </w:r>
      <w:r w:rsidR="00353223">
        <w:rPr>
          <w:rFonts w:cstheme="minorHAnsi"/>
        </w:rPr>
        <w:t xml:space="preserve"> </w:t>
      </w:r>
      <w:r>
        <w:rPr>
          <w:rFonts w:cstheme="minorHAnsi"/>
        </w:rPr>
        <w:t xml:space="preserve">razdoblju </w:t>
      </w:r>
      <w:r w:rsidRPr="00353223">
        <w:rPr>
          <w:rFonts w:cstheme="minorHAnsi"/>
        </w:rPr>
        <w:t>(2015.-201</w:t>
      </w:r>
      <w:r w:rsidR="00210A32" w:rsidRPr="00353223">
        <w:rPr>
          <w:rFonts w:cstheme="minorHAnsi"/>
        </w:rPr>
        <w:t>9</w:t>
      </w:r>
      <w:r w:rsidRPr="00353223">
        <w:rPr>
          <w:rFonts w:cstheme="minorHAnsi"/>
        </w:rPr>
        <w:t>.)</w:t>
      </w:r>
      <w:r>
        <w:rPr>
          <w:rFonts w:cstheme="minorHAnsi"/>
        </w:rPr>
        <w:t xml:space="preserve"> sveukupno je osnovano </w:t>
      </w:r>
      <w:r w:rsidR="00D20DA4">
        <w:rPr>
          <w:rFonts w:cstheme="minorHAnsi"/>
        </w:rPr>
        <w:t>66.599</w:t>
      </w:r>
      <w:r w:rsidR="00353223">
        <w:rPr>
          <w:rFonts w:cstheme="minorHAnsi"/>
        </w:rPr>
        <w:t xml:space="preserve"> </w:t>
      </w:r>
      <w:r>
        <w:rPr>
          <w:rFonts w:cstheme="minorHAnsi"/>
        </w:rPr>
        <w:t xml:space="preserve">novih tvrtki, od toga u Krapinsko-zagorskoj županiji </w:t>
      </w:r>
      <w:r w:rsidR="00D20DA4">
        <w:rPr>
          <w:rFonts w:cstheme="minorHAnsi"/>
        </w:rPr>
        <w:t>1052</w:t>
      </w:r>
      <w:r>
        <w:rPr>
          <w:rFonts w:cstheme="minorHAnsi"/>
        </w:rPr>
        <w:t xml:space="preserve"> tvrtki, odnosno 1,6%. Broj otvorenih tvrtki na svim razinama (R</w:t>
      </w:r>
      <w:r w:rsidR="00BA026C">
        <w:rPr>
          <w:rFonts w:cstheme="minorHAnsi"/>
        </w:rPr>
        <w:t>H, Sjeverna Hrvatska</w:t>
      </w:r>
      <w:r>
        <w:rPr>
          <w:rFonts w:cstheme="minorHAnsi"/>
        </w:rPr>
        <w:t xml:space="preserve"> i Krapinsko-zagorska županija) u cjelokupno</w:t>
      </w:r>
      <w:r w:rsidR="00210A32">
        <w:rPr>
          <w:rFonts w:cstheme="minorHAnsi"/>
        </w:rPr>
        <w:t>m</w:t>
      </w:r>
      <w:r>
        <w:rPr>
          <w:rFonts w:cstheme="minorHAnsi"/>
        </w:rPr>
        <w:t xml:space="preserve"> promatranom razdoblju ima pozitivan trend</w:t>
      </w:r>
      <w:r w:rsidR="008533DE">
        <w:rPr>
          <w:rFonts w:cstheme="minorHAnsi"/>
        </w:rPr>
        <w:t xml:space="preserve"> </w:t>
      </w:r>
      <w:r w:rsidR="00210A32" w:rsidRPr="00353223">
        <w:rPr>
          <w:rFonts w:cstheme="minorHAnsi"/>
        </w:rPr>
        <w:t xml:space="preserve">sve </w:t>
      </w:r>
      <w:r w:rsidR="008533DE" w:rsidRPr="00353223">
        <w:rPr>
          <w:rFonts w:cstheme="minorHAnsi"/>
        </w:rPr>
        <w:t>do 2019. godin</w:t>
      </w:r>
      <w:r w:rsidR="00210A32" w:rsidRPr="00353223">
        <w:rPr>
          <w:rFonts w:cstheme="minorHAnsi"/>
        </w:rPr>
        <w:t>e</w:t>
      </w:r>
      <w:r w:rsidR="008533DE" w:rsidRPr="00353223">
        <w:rPr>
          <w:rFonts w:cstheme="minorHAnsi"/>
        </w:rPr>
        <w:t xml:space="preserve"> </w:t>
      </w:r>
      <w:r w:rsidR="00210A32" w:rsidRPr="00353223">
        <w:rPr>
          <w:rFonts w:cstheme="minorHAnsi"/>
        </w:rPr>
        <w:t xml:space="preserve">kada se </w:t>
      </w:r>
      <w:r w:rsidR="008533DE" w:rsidRPr="00353223">
        <w:rPr>
          <w:rFonts w:cstheme="minorHAnsi"/>
        </w:rPr>
        <w:t>broj otvorenih tvrtki smanjuje.</w:t>
      </w:r>
      <w:r w:rsidR="008533DE" w:rsidRPr="00210A32">
        <w:rPr>
          <w:rFonts w:cstheme="minorHAnsi"/>
          <w:color w:val="FF0000"/>
        </w:rPr>
        <w:t xml:space="preserve"> </w:t>
      </w:r>
      <w:r>
        <w:rPr>
          <w:rFonts w:cstheme="minorHAnsi"/>
        </w:rPr>
        <w:t xml:space="preserve">Broj brisanih poduzeća u navedenom </w:t>
      </w:r>
      <w:r w:rsidR="00D20DA4">
        <w:rPr>
          <w:rFonts w:cstheme="minorHAnsi"/>
        </w:rPr>
        <w:t xml:space="preserve">petogodišnjem </w:t>
      </w:r>
      <w:r>
        <w:rPr>
          <w:rFonts w:cstheme="minorHAnsi"/>
        </w:rPr>
        <w:t xml:space="preserve">razdoblju, na razini RH iznosio je </w:t>
      </w:r>
      <w:r w:rsidR="00445309">
        <w:rPr>
          <w:rFonts w:cstheme="minorHAnsi"/>
        </w:rPr>
        <w:t xml:space="preserve">54.855 </w:t>
      </w:r>
      <w:r>
        <w:rPr>
          <w:rFonts w:cstheme="minorHAnsi"/>
        </w:rPr>
        <w:t>od toga u Krapinsko-zagorskoj županiji</w:t>
      </w:r>
      <w:r w:rsidR="00445309">
        <w:rPr>
          <w:rFonts w:cstheme="minorHAnsi"/>
        </w:rPr>
        <w:t xml:space="preserve"> 710</w:t>
      </w:r>
      <w:r w:rsidR="00353223">
        <w:rPr>
          <w:rFonts w:cstheme="minorHAnsi"/>
        </w:rPr>
        <w:t xml:space="preserve"> </w:t>
      </w:r>
      <w:r>
        <w:rPr>
          <w:rFonts w:cstheme="minorHAnsi"/>
        </w:rPr>
        <w:t xml:space="preserve">tvrtki odnosno 1,3 %. Usporedba broja novootvorenih i broja brisanih tvrtki za cjelokupno razdoblje ukazuje na pozitivan saldo u korist broja novootvorenih tvrtki </w:t>
      </w:r>
      <w:r w:rsidR="005120A1">
        <w:rPr>
          <w:rFonts w:cstheme="minorHAnsi"/>
        </w:rPr>
        <w:t xml:space="preserve">u Krapinsko-zagorskoj županiji i na području Sjeverne Hrvatske. Na državnoj razini </w:t>
      </w:r>
      <w:r>
        <w:rPr>
          <w:rFonts w:cstheme="minorHAnsi"/>
        </w:rPr>
        <w:t xml:space="preserve">izuzetak </w:t>
      </w:r>
      <w:r w:rsidR="005120A1">
        <w:rPr>
          <w:rFonts w:cstheme="minorHAnsi"/>
        </w:rPr>
        <w:t xml:space="preserve">su </w:t>
      </w:r>
      <w:r>
        <w:rPr>
          <w:rFonts w:cstheme="minorHAnsi"/>
        </w:rPr>
        <w:t>2016. godina</w:t>
      </w:r>
      <w:r w:rsidR="00445309">
        <w:rPr>
          <w:rFonts w:cstheme="minorHAnsi"/>
        </w:rPr>
        <w:t xml:space="preserve"> i 2019.</w:t>
      </w:r>
      <w:r>
        <w:rPr>
          <w:rFonts w:cstheme="minorHAnsi"/>
        </w:rPr>
        <w:t xml:space="preserve"> </w:t>
      </w:r>
      <w:r w:rsidR="005120A1">
        <w:rPr>
          <w:rFonts w:cstheme="minorHAnsi"/>
        </w:rPr>
        <w:t>godina kada je ukupan broj zatvorenih tvrtki bio veći od ukupnog broja otvorenih.</w:t>
      </w:r>
      <w:r>
        <w:rPr>
          <w:rFonts w:cstheme="minorHAnsi"/>
        </w:rPr>
        <w:t xml:space="preserve"> Krapinsko-zagorska županija u cjelokupnom razdoblju bilježi čak </w:t>
      </w:r>
      <w:r w:rsidR="003E01CD">
        <w:rPr>
          <w:rFonts w:cstheme="minorHAnsi"/>
        </w:rPr>
        <w:t>48</w:t>
      </w:r>
      <w:r>
        <w:rPr>
          <w:rFonts w:cstheme="minorHAnsi"/>
        </w:rPr>
        <w:t xml:space="preserve">% više novotvorenih tvrtki u odnosu na brisane, dok je taj postotak </w:t>
      </w:r>
      <w:r w:rsidR="00FC3A6A">
        <w:rPr>
          <w:rFonts w:cstheme="minorHAnsi"/>
        </w:rPr>
        <w:t>na razini Sjeverne Hrvatske</w:t>
      </w:r>
      <w:r w:rsidR="00B76F23">
        <w:rPr>
          <w:rFonts w:cstheme="minorHAnsi"/>
        </w:rPr>
        <w:t xml:space="preserve"> </w:t>
      </w:r>
      <w:r w:rsidR="003E01CD">
        <w:rPr>
          <w:rFonts w:cstheme="minorHAnsi"/>
        </w:rPr>
        <w:t>29</w:t>
      </w:r>
      <w:r>
        <w:rPr>
          <w:rFonts w:cstheme="minorHAnsi"/>
        </w:rPr>
        <w:t xml:space="preserve">%, a na razini države </w:t>
      </w:r>
      <w:r w:rsidR="003E01CD">
        <w:rPr>
          <w:rFonts w:cstheme="minorHAnsi"/>
        </w:rPr>
        <w:t>21</w:t>
      </w:r>
      <w:r>
        <w:rPr>
          <w:rFonts w:cstheme="minorHAnsi"/>
        </w:rPr>
        <w:t>%.</w:t>
      </w:r>
    </w:p>
    <w:p w14:paraId="5013F0FF" w14:textId="77777777" w:rsidR="00135912" w:rsidRDefault="00135912" w:rsidP="00941871">
      <w:pPr>
        <w:rPr>
          <w:rFonts w:cstheme="minorHAnsi"/>
          <w:b/>
        </w:rPr>
      </w:pPr>
    </w:p>
    <w:p w14:paraId="7232EDA4" w14:textId="308EE3CE" w:rsidR="007B6D14" w:rsidRPr="007B6D14" w:rsidRDefault="008878A0" w:rsidP="008533DE">
      <w:pPr>
        <w:pStyle w:val="Opisslike"/>
      </w:pPr>
      <w:r>
        <w:t xml:space="preserve">Tablica </w:t>
      </w:r>
      <w:r w:rsidR="00135912">
        <w:rPr>
          <w:noProof/>
        </w:rPr>
        <w:t>7</w:t>
      </w:r>
      <w:r w:rsidR="000D5E3F">
        <w:rPr>
          <w:noProof/>
        </w:rPr>
        <w:t>9</w:t>
      </w:r>
      <w:r w:rsidR="001838EE">
        <w:rPr>
          <w:noProof/>
        </w:rPr>
        <w:t>.</w:t>
      </w:r>
      <w:r>
        <w:t xml:space="preserve"> Otvorene/zatvorene tvrtke po županijama </w:t>
      </w:r>
      <w:r w:rsidR="001E59C3">
        <w:t>Sjeverne</w:t>
      </w:r>
      <w:r>
        <w:t xml:space="preserve"> Hrvatske, 2015. – 2018.</w:t>
      </w:r>
    </w:p>
    <w:tbl>
      <w:tblPr>
        <w:tblW w:w="9402" w:type="dxa"/>
        <w:tblInd w:w="-5" w:type="dxa"/>
        <w:tblLook w:val="04A0" w:firstRow="1" w:lastRow="0" w:firstColumn="1" w:lastColumn="0" w:noHBand="0" w:noVBand="1"/>
      </w:tblPr>
      <w:tblGrid>
        <w:gridCol w:w="1140"/>
        <w:gridCol w:w="931"/>
        <w:gridCol w:w="993"/>
        <w:gridCol w:w="931"/>
        <w:gridCol w:w="993"/>
        <w:gridCol w:w="931"/>
        <w:gridCol w:w="993"/>
        <w:gridCol w:w="931"/>
        <w:gridCol w:w="993"/>
        <w:gridCol w:w="931"/>
        <w:gridCol w:w="993"/>
      </w:tblGrid>
      <w:tr w:rsidR="00044A3D" w14:paraId="60C31654" w14:textId="46A8831A" w:rsidTr="007B6D14">
        <w:trPr>
          <w:trHeight w:val="263"/>
          <w:tblHeader/>
        </w:trPr>
        <w:tc>
          <w:tcPr>
            <w:tcW w:w="0" w:type="auto"/>
            <w:vMerge w:val="restart"/>
            <w:tcBorders>
              <w:right w:val="single" w:sz="4" w:space="0" w:color="FFFFFF" w:themeColor="background1"/>
            </w:tcBorders>
            <w:shd w:val="clear" w:color="auto" w:fill="D2232A" w:themeFill="accent1"/>
            <w:vAlign w:val="center"/>
            <w:hideMark/>
          </w:tcPr>
          <w:p w14:paraId="5AED6083" w14:textId="77777777" w:rsidR="00044A3D" w:rsidRDefault="00044A3D" w:rsidP="00941871">
            <w:pPr>
              <w:spacing w:after="0"/>
              <w:rPr>
                <w:rFonts w:cstheme="minorHAnsi"/>
                <w:b/>
                <w:bCs/>
                <w:color w:val="FFFFFF" w:themeColor="background1"/>
                <w:sz w:val="22"/>
                <w:szCs w:val="22"/>
                <w:lang w:eastAsia="hr-HR"/>
              </w:rPr>
            </w:pPr>
            <w:r>
              <w:rPr>
                <w:rFonts w:cstheme="minorHAnsi"/>
                <w:b/>
                <w:bCs/>
                <w:color w:val="FFFFFF" w:themeColor="background1"/>
                <w:lang w:eastAsia="hr-HR"/>
              </w:rPr>
              <w:t>ŽUPANIJA</w:t>
            </w:r>
          </w:p>
        </w:tc>
        <w:tc>
          <w:tcPr>
            <w:tcW w:w="1658" w:type="dxa"/>
            <w:gridSpan w:val="2"/>
            <w:tcBorders>
              <w:left w:val="single" w:sz="4" w:space="0" w:color="FFFFFF" w:themeColor="background1"/>
              <w:bottom w:val="single" w:sz="4" w:space="0" w:color="FFFFFF" w:themeColor="background1"/>
              <w:right w:val="single" w:sz="8" w:space="0" w:color="F3CFC1"/>
            </w:tcBorders>
            <w:shd w:val="clear" w:color="auto" w:fill="D2232A" w:themeFill="accent1"/>
            <w:noWrap/>
            <w:vAlign w:val="bottom"/>
            <w:hideMark/>
          </w:tcPr>
          <w:p w14:paraId="5F9C74FA" w14:textId="77777777" w:rsidR="00044A3D" w:rsidRDefault="00044A3D" w:rsidP="008B6817">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2015.</w:t>
            </w:r>
          </w:p>
        </w:tc>
        <w:tc>
          <w:tcPr>
            <w:tcW w:w="1660" w:type="dxa"/>
            <w:gridSpan w:val="2"/>
            <w:tcBorders>
              <w:left w:val="single" w:sz="8" w:space="0" w:color="F3CFC1"/>
              <w:bottom w:val="single" w:sz="4" w:space="0" w:color="FFFFFF" w:themeColor="background1"/>
              <w:right w:val="single" w:sz="8" w:space="0" w:color="F3CFC1"/>
            </w:tcBorders>
            <w:shd w:val="clear" w:color="auto" w:fill="D2232A" w:themeFill="accent1"/>
            <w:noWrap/>
            <w:vAlign w:val="bottom"/>
            <w:hideMark/>
          </w:tcPr>
          <w:p w14:paraId="10409089" w14:textId="77777777" w:rsidR="00044A3D" w:rsidRDefault="00044A3D" w:rsidP="008B6817">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2016.</w:t>
            </w:r>
          </w:p>
        </w:tc>
        <w:tc>
          <w:tcPr>
            <w:tcW w:w="1660" w:type="dxa"/>
            <w:gridSpan w:val="2"/>
            <w:tcBorders>
              <w:left w:val="single" w:sz="8" w:space="0" w:color="F3CFC1"/>
              <w:bottom w:val="single" w:sz="4" w:space="0" w:color="FFFFFF" w:themeColor="background1"/>
              <w:right w:val="single" w:sz="8" w:space="0" w:color="F3CFC1"/>
            </w:tcBorders>
            <w:shd w:val="clear" w:color="auto" w:fill="D2232A" w:themeFill="accent1"/>
            <w:noWrap/>
            <w:vAlign w:val="bottom"/>
            <w:hideMark/>
          </w:tcPr>
          <w:p w14:paraId="17F598F6" w14:textId="77777777" w:rsidR="00044A3D" w:rsidRDefault="00044A3D" w:rsidP="008B6817">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2017.</w:t>
            </w:r>
          </w:p>
        </w:tc>
        <w:tc>
          <w:tcPr>
            <w:tcW w:w="1749" w:type="dxa"/>
            <w:gridSpan w:val="2"/>
            <w:tcBorders>
              <w:left w:val="single" w:sz="8" w:space="0" w:color="F3CFC1"/>
              <w:bottom w:val="single" w:sz="4" w:space="0" w:color="FFFFFF" w:themeColor="background1"/>
              <w:right w:val="single" w:sz="4" w:space="0" w:color="FFFFFF" w:themeColor="background1"/>
            </w:tcBorders>
            <w:shd w:val="clear" w:color="auto" w:fill="D2232A" w:themeFill="accent1"/>
            <w:noWrap/>
            <w:vAlign w:val="bottom"/>
            <w:hideMark/>
          </w:tcPr>
          <w:p w14:paraId="43F9C9E4" w14:textId="77777777" w:rsidR="00044A3D" w:rsidRDefault="00044A3D" w:rsidP="008B6817">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2018.</w:t>
            </w:r>
          </w:p>
        </w:tc>
        <w:tc>
          <w:tcPr>
            <w:tcW w:w="0" w:type="auto"/>
            <w:gridSpan w:val="2"/>
            <w:tcBorders>
              <w:left w:val="single" w:sz="4" w:space="0" w:color="FFFFFF" w:themeColor="background1"/>
              <w:bottom w:val="single" w:sz="4" w:space="0" w:color="FFFFFF" w:themeColor="background1"/>
              <w:right w:val="single" w:sz="8" w:space="0" w:color="D2232A"/>
            </w:tcBorders>
            <w:shd w:val="clear" w:color="auto" w:fill="D2232A" w:themeFill="accent1"/>
          </w:tcPr>
          <w:p w14:paraId="49BA65A5" w14:textId="30BCDE42" w:rsidR="00044A3D" w:rsidRDefault="00044A3D" w:rsidP="008B6817">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2019</w:t>
            </w:r>
          </w:p>
        </w:tc>
      </w:tr>
      <w:tr w:rsidR="007B6D14" w14:paraId="10D5F57F" w14:textId="0EDA45AF" w:rsidTr="00353223">
        <w:trPr>
          <w:trHeight w:val="794"/>
          <w:tblHeader/>
        </w:trPr>
        <w:tc>
          <w:tcPr>
            <w:tcW w:w="0" w:type="auto"/>
            <w:vMerge/>
            <w:tcBorders>
              <w:bottom w:val="single" w:sz="8" w:space="0" w:color="F3CFC1"/>
              <w:right w:val="single" w:sz="4" w:space="0" w:color="FFFFFF" w:themeColor="background1"/>
            </w:tcBorders>
            <w:shd w:val="clear" w:color="auto" w:fill="D2232A" w:themeFill="accent1"/>
            <w:vAlign w:val="center"/>
            <w:hideMark/>
          </w:tcPr>
          <w:p w14:paraId="373C80F0" w14:textId="77777777" w:rsidR="00044A3D" w:rsidRDefault="00044A3D" w:rsidP="00941871">
            <w:pPr>
              <w:spacing w:after="0"/>
              <w:rPr>
                <w:rFonts w:cstheme="minorHAnsi"/>
                <w:b/>
                <w:bCs/>
                <w:color w:val="FFFFFF" w:themeColor="background1"/>
                <w:sz w:val="22"/>
                <w:szCs w:val="22"/>
                <w:lang w:eastAsia="hr-HR"/>
              </w:rPr>
            </w:pPr>
          </w:p>
        </w:tc>
        <w:tc>
          <w:tcPr>
            <w:tcW w:w="796" w:type="dxa"/>
            <w:tcBorders>
              <w:top w:val="single" w:sz="4" w:space="0" w:color="FFFFFF" w:themeColor="background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272B4AA9" w14:textId="77777777"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otvorenih tvrtki</w:t>
            </w:r>
          </w:p>
        </w:tc>
        <w:tc>
          <w:tcPr>
            <w:tcW w:w="861" w:type="dxa"/>
            <w:tcBorders>
              <w:top w:val="single" w:sz="4" w:space="0" w:color="FFFFFF" w:themeColor="background1"/>
              <w:left w:val="single" w:sz="4" w:space="0" w:color="FFFFFF" w:themeColor="background1"/>
              <w:bottom w:val="single" w:sz="8" w:space="0" w:color="F3CFC1"/>
              <w:right w:val="single" w:sz="8" w:space="0" w:color="F3CFC1"/>
            </w:tcBorders>
            <w:shd w:val="clear" w:color="auto" w:fill="D2232A" w:themeFill="accent1"/>
            <w:vAlign w:val="center"/>
            <w:hideMark/>
          </w:tcPr>
          <w:p w14:paraId="42DBF635" w14:textId="77777777"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zatvorenih tvrtki</w:t>
            </w:r>
          </w:p>
        </w:tc>
        <w:tc>
          <w:tcPr>
            <w:tcW w:w="797" w:type="dxa"/>
            <w:tcBorders>
              <w:top w:val="single" w:sz="4" w:space="0" w:color="FFFFFF" w:themeColor="background1"/>
              <w:left w:val="single" w:sz="8" w:space="0" w:color="F3CFC1"/>
              <w:bottom w:val="single" w:sz="8" w:space="0" w:color="F3CFC1"/>
              <w:right w:val="single" w:sz="2" w:space="0" w:color="FFFFFF" w:themeColor="background1"/>
            </w:tcBorders>
            <w:shd w:val="clear" w:color="auto" w:fill="D2232A" w:themeFill="accent1"/>
            <w:vAlign w:val="center"/>
            <w:hideMark/>
          </w:tcPr>
          <w:p w14:paraId="0B812DAB" w14:textId="77777777"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otvorenih tvrtki</w:t>
            </w:r>
          </w:p>
        </w:tc>
        <w:tc>
          <w:tcPr>
            <w:tcW w:w="862" w:type="dxa"/>
            <w:tcBorders>
              <w:top w:val="single" w:sz="4" w:space="0" w:color="FFFFFF" w:themeColor="background1"/>
              <w:left w:val="single" w:sz="2" w:space="0" w:color="FFFFFF" w:themeColor="background1"/>
              <w:bottom w:val="single" w:sz="8" w:space="0" w:color="F3CFC1"/>
              <w:right w:val="single" w:sz="8" w:space="0" w:color="F3CFC1"/>
            </w:tcBorders>
            <w:shd w:val="clear" w:color="auto" w:fill="D2232A" w:themeFill="accent1"/>
            <w:vAlign w:val="center"/>
            <w:hideMark/>
          </w:tcPr>
          <w:p w14:paraId="75C1A780" w14:textId="77777777"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zatvorenih tvrtki</w:t>
            </w:r>
          </w:p>
        </w:tc>
        <w:tc>
          <w:tcPr>
            <w:tcW w:w="797" w:type="dxa"/>
            <w:tcBorders>
              <w:top w:val="single" w:sz="4" w:space="0" w:color="FFFFFF" w:themeColor="background1"/>
              <w:left w:val="single" w:sz="8" w:space="0" w:color="F3CFC1"/>
              <w:bottom w:val="single" w:sz="8" w:space="0" w:color="F3CFC1"/>
              <w:right w:val="single" w:sz="4" w:space="0" w:color="FFFFFF" w:themeColor="background1"/>
            </w:tcBorders>
            <w:shd w:val="clear" w:color="auto" w:fill="D2232A" w:themeFill="accent1"/>
            <w:vAlign w:val="center"/>
            <w:hideMark/>
          </w:tcPr>
          <w:p w14:paraId="2143C40D" w14:textId="77777777"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otvorenih tvrtki</w:t>
            </w:r>
          </w:p>
        </w:tc>
        <w:tc>
          <w:tcPr>
            <w:tcW w:w="862" w:type="dxa"/>
            <w:tcBorders>
              <w:top w:val="single" w:sz="4" w:space="0" w:color="FFFFFF" w:themeColor="background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3FC4E596" w14:textId="77777777"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zatvorenih tvrtki</w:t>
            </w:r>
          </w:p>
        </w:tc>
        <w:tc>
          <w:tcPr>
            <w:tcW w:w="797" w:type="dxa"/>
            <w:tcBorders>
              <w:top w:val="single" w:sz="4" w:space="0" w:color="FFFFFF" w:themeColor="background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7FA8948A" w14:textId="77777777"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otvorenih tvrtki</w:t>
            </w:r>
          </w:p>
        </w:tc>
        <w:tc>
          <w:tcPr>
            <w:tcW w:w="951" w:type="dxa"/>
            <w:tcBorders>
              <w:top w:val="single" w:sz="4" w:space="0" w:color="FFFFFF" w:themeColor="background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0157654D" w14:textId="69D6C83A"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zatvorenih tvrtki</w:t>
            </w:r>
          </w:p>
        </w:tc>
        <w:tc>
          <w:tcPr>
            <w:tcW w:w="0" w:type="auto"/>
            <w:tcBorders>
              <w:top w:val="single" w:sz="4" w:space="0" w:color="FFFFFF" w:themeColor="background1"/>
              <w:left w:val="single" w:sz="4" w:space="0" w:color="FFFFFF" w:themeColor="background1"/>
              <w:bottom w:val="single" w:sz="8" w:space="0" w:color="F3CFC1"/>
              <w:right w:val="single" w:sz="4" w:space="0" w:color="FFFFFF" w:themeColor="background1"/>
            </w:tcBorders>
            <w:shd w:val="clear" w:color="auto" w:fill="D2232A" w:themeFill="accent1"/>
          </w:tcPr>
          <w:p w14:paraId="048F5748" w14:textId="2BA91D2C"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otvorenih tvrtki</w:t>
            </w:r>
          </w:p>
        </w:tc>
        <w:tc>
          <w:tcPr>
            <w:tcW w:w="0" w:type="auto"/>
            <w:tcBorders>
              <w:top w:val="single" w:sz="4" w:space="0" w:color="FFFFFF" w:themeColor="background1"/>
              <w:left w:val="single" w:sz="4" w:space="0" w:color="FFFFFF" w:themeColor="background1"/>
              <w:bottom w:val="single" w:sz="8" w:space="0" w:color="F3CFC1"/>
              <w:right w:val="single" w:sz="8" w:space="0" w:color="D2232A"/>
            </w:tcBorders>
            <w:shd w:val="clear" w:color="auto" w:fill="D2232A" w:themeFill="accent1"/>
          </w:tcPr>
          <w:p w14:paraId="66AFFCC6" w14:textId="6FCC3DC5" w:rsidR="00044A3D" w:rsidRDefault="00044A3D" w:rsidP="007A731C">
            <w:pPr>
              <w:spacing w:after="0"/>
              <w:jc w:val="center"/>
              <w:rPr>
                <w:rFonts w:cstheme="minorHAnsi"/>
                <w:bCs/>
                <w:color w:val="FFFFFF" w:themeColor="background1"/>
                <w:szCs w:val="18"/>
                <w:lang w:eastAsia="hr-HR"/>
              </w:rPr>
            </w:pPr>
            <w:r>
              <w:rPr>
                <w:rFonts w:cstheme="minorHAnsi"/>
                <w:bCs/>
                <w:color w:val="FFFFFF" w:themeColor="background1"/>
                <w:szCs w:val="18"/>
                <w:lang w:eastAsia="hr-HR"/>
              </w:rPr>
              <w:t>Ukupan broj zatvorenih tvrtki</w:t>
            </w:r>
          </w:p>
        </w:tc>
      </w:tr>
      <w:tr w:rsidR="007B6D14" w14:paraId="60F3C2BF" w14:textId="08812C99" w:rsidTr="00353223">
        <w:trPr>
          <w:trHeight w:val="263"/>
        </w:trPr>
        <w:tc>
          <w:tcPr>
            <w:tcW w:w="0" w:type="auto"/>
            <w:tcBorders>
              <w:top w:val="single" w:sz="8" w:space="0" w:color="F3CFC1"/>
              <w:bottom w:val="single" w:sz="8" w:space="0" w:color="F3CFC1"/>
              <w:right w:val="single" w:sz="4" w:space="0" w:color="FFFFFF" w:themeColor="background1"/>
            </w:tcBorders>
            <w:shd w:val="clear" w:color="auto" w:fill="D2232A" w:themeFill="accent1"/>
            <w:vAlign w:val="center"/>
            <w:hideMark/>
          </w:tcPr>
          <w:p w14:paraId="7B37B74A" w14:textId="77777777" w:rsidR="00044A3D" w:rsidRDefault="00044A3D" w:rsidP="00941871">
            <w:pPr>
              <w:spacing w:after="0"/>
              <w:rPr>
                <w:rFonts w:cstheme="minorHAnsi"/>
                <w:b/>
                <w:bCs/>
                <w:color w:val="FFFFFF"/>
                <w:szCs w:val="18"/>
                <w:lang w:eastAsia="hr-HR"/>
              </w:rPr>
            </w:pPr>
            <w:r>
              <w:rPr>
                <w:rFonts w:cstheme="minorHAnsi"/>
                <w:b/>
                <w:bCs/>
                <w:color w:val="FFFFFF"/>
                <w:szCs w:val="18"/>
                <w:lang w:eastAsia="hr-HR"/>
              </w:rPr>
              <w:t>UKUPNO HRVATSKA</w:t>
            </w:r>
          </w:p>
        </w:tc>
        <w:tc>
          <w:tcPr>
            <w:tcW w:w="796"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237F9965"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12.723</w:t>
            </w:r>
          </w:p>
        </w:tc>
        <w:tc>
          <w:tcPr>
            <w:tcW w:w="861" w:type="dxa"/>
            <w:tcBorders>
              <w:top w:val="single" w:sz="8" w:space="0" w:color="F3CFC1"/>
              <w:left w:val="single" w:sz="4" w:space="0" w:color="FFFFFF" w:themeColor="background1"/>
              <w:bottom w:val="single" w:sz="8" w:space="0" w:color="F3CFC1"/>
              <w:right w:val="single" w:sz="8" w:space="0" w:color="F3CFC1"/>
            </w:tcBorders>
            <w:shd w:val="clear" w:color="auto" w:fill="D2232A" w:themeFill="accent1"/>
            <w:vAlign w:val="center"/>
            <w:hideMark/>
          </w:tcPr>
          <w:p w14:paraId="712C6B2A"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7.632</w:t>
            </w:r>
          </w:p>
        </w:tc>
        <w:tc>
          <w:tcPr>
            <w:tcW w:w="797" w:type="dxa"/>
            <w:tcBorders>
              <w:top w:val="single" w:sz="8" w:space="0" w:color="F3CFC1"/>
              <w:left w:val="single" w:sz="8" w:space="0" w:color="F3CFC1"/>
              <w:bottom w:val="single" w:sz="8" w:space="0" w:color="F3CFC1"/>
              <w:right w:val="single" w:sz="2" w:space="0" w:color="FFFFFF" w:themeColor="background1"/>
            </w:tcBorders>
            <w:shd w:val="clear" w:color="auto" w:fill="D2232A" w:themeFill="accent1"/>
            <w:vAlign w:val="center"/>
            <w:hideMark/>
          </w:tcPr>
          <w:p w14:paraId="5018224B"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13.662</w:t>
            </w:r>
          </w:p>
        </w:tc>
        <w:tc>
          <w:tcPr>
            <w:tcW w:w="862" w:type="dxa"/>
            <w:tcBorders>
              <w:top w:val="single" w:sz="8" w:space="0" w:color="F3CFC1"/>
              <w:left w:val="single" w:sz="2" w:space="0" w:color="FFFFFF" w:themeColor="background1"/>
              <w:bottom w:val="single" w:sz="8" w:space="0" w:color="F3CFC1"/>
              <w:right w:val="single" w:sz="8" w:space="0" w:color="F3CFC1"/>
            </w:tcBorders>
            <w:shd w:val="clear" w:color="auto" w:fill="D2232A" w:themeFill="accent1"/>
            <w:vAlign w:val="center"/>
            <w:hideMark/>
          </w:tcPr>
          <w:p w14:paraId="48E870C9"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13.837</w:t>
            </w:r>
          </w:p>
        </w:tc>
        <w:tc>
          <w:tcPr>
            <w:tcW w:w="797" w:type="dxa"/>
            <w:tcBorders>
              <w:top w:val="single" w:sz="8" w:space="0" w:color="F3CFC1"/>
              <w:left w:val="single" w:sz="8" w:space="0" w:color="F3CFC1"/>
              <w:bottom w:val="single" w:sz="8" w:space="0" w:color="F3CFC1"/>
              <w:right w:val="single" w:sz="4" w:space="0" w:color="FFFFFF" w:themeColor="background1"/>
            </w:tcBorders>
            <w:shd w:val="clear" w:color="auto" w:fill="D2232A" w:themeFill="accent1"/>
            <w:vAlign w:val="center"/>
            <w:hideMark/>
          </w:tcPr>
          <w:p w14:paraId="183BAB2F"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14.869</w:t>
            </w:r>
          </w:p>
        </w:tc>
        <w:tc>
          <w:tcPr>
            <w:tcW w:w="862"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4422ED96"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12.502</w:t>
            </w:r>
          </w:p>
        </w:tc>
        <w:tc>
          <w:tcPr>
            <w:tcW w:w="797"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0B016039"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14.931</w:t>
            </w:r>
          </w:p>
        </w:tc>
        <w:tc>
          <w:tcPr>
            <w:tcW w:w="951"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4ED51E2F"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10.081</w:t>
            </w:r>
          </w:p>
        </w:tc>
        <w:tc>
          <w:tcPr>
            <w:tcW w:w="0" w:type="auto"/>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tcPr>
          <w:p w14:paraId="3E30257A" w14:textId="751A3C3D" w:rsidR="00044A3D" w:rsidRPr="008B6817" w:rsidRDefault="008533DE" w:rsidP="007B6D14">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10.414</w:t>
            </w:r>
          </w:p>
        </w:tc>
        <w:tc>
          <w:tcPr>
            <w:tcW w:w="0" w:type="auto"/>
            <w:tcBorders>
              <w:top w:val="single" w:sz="8" w:space="0" w:color="F3CFC1"/>
              <w:left w:val="single" w:sz="4" w:space="0" w:color="FFFFFF" w:themeColor="background1"/>
              <w:bottom w:val="single" w:sz="8" w:space="0" w:color="F3CFC1"/>
              <w:right w:val="single" w:sz="8" w:space="0" w:color="D2232A"/>
            </w:tcBorders>
            <w:shd w:val="clear" w:color="auto" w:fill="D2232A" w:themeFill="accent1"/>
            <w:vAlign w:val="center"/>
          </w:tcPr>
          <w:p w14:paraId="5E9895F0" w14:textId="4D11186D" w:rsidR="00044A3D" w:rsidRPr="008B6817" w:rsidRDefault="008533DE" w:rsidP="007B6D14">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10.803</w:t>
            </w:r>
          </w:p>
        </w:tc>
      </w:tr>
      <w:tr w:rsidR="007B6D14" w14:paraId="189D2DDB" w14:textId="1EBD0669" w:rsidTr="00353223">
        <w:trPr>
          <w:trHeight w:val="263"/>
        </w:trPr>
        <w:tc>
          <w:tcPr>
            <w:tcW w:w="0" w:type="auto"/>
            <w:tcBorders>
              <w:top w:val="single" w:sz="8" w:space="0" w:color="F3CFC1"/>
              <w:bottom w:val="single" w:sz="8" w:space="0" w:color="F3CFC1"/>
              <w:right w:val="single" w:sz="4" w:space="0" w:color="FFFFFF" w:themeColor="background1"/>
            </w:tcBorders>
            <w:shd w:val="clear" w:color="auto" w:fill="D2232A" w:themeFill="accent1"/>
            <w:vAlign w:val="center"/>
            <w:hideMark/>
          </w:tcPr>
          <w:p w14:paraId="0282F2C8" w14:textId="75DA9570" w:rsidR="00044A3D" w:rsidRDefault="00044A3D" w:rsidP="00BA026C">
            <w:pPr>
              <w:spacing w:after="0"/>
              <w:rPr>
                <w:rFonts w:cstheme="minorHAnsi"/>
                <w:b/>
                <w:bCs/>
                <w:color w:val="FFFFFF"/>
                <w:szCs w:val="18"/>
                <w:lang w:eastAsia="hr-HR"/>
              </w:rPr>
            </w:pPr>
            <w:r>
              <w:rPr>
                <w:rFonts w:cstheme="minorHAnsi"/>
                <w:b/>
                <w:bCs/>
                <w:color w:val="FFFFFF"/>
                <w:szCs w:val="18"/>
                <w:lang w:eastAsia="hr-HR"/>
              </w:rPr>
              <w:t>UKUPNO SJEVERNA HRVATSKA</w:t>
            </w:r>
          </w:p>
        </w:tc>
        <w:tc>
          <w:tcPr>
            <w:tcW w:w="796"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tcPr>
          <w:p w14:paraId="74A88A84" w14:textId="158A24F6" w:rsidR="00044A3D" w:rsidRPr="008B6817" w:rsidRDefault="00044A3D" w:rsidP="007B6D14">
            <w:pPr>
              <w:spacing w:after="0"/>
              <w:jc w:val="center"/>
              <w:rPr>
                <w:rFonts w:cstheme="minorHAnsi"/>
                <w:b/>
                <w:bCs/>
                <w:color w:val="FFFFFF" w:themeColor="background1"/>
                <w:szCs w:val="18"/>
                <w:lang w:eastAsia="hr-HR"/>
              </w:rPr>
            </w:pPr>
            <w:r w:rsidRPr="00BA026C">
              <w:rPr>
                <w:rFonts w:cstheme="minorHAnsi"/>
                <w:b/>
                <w:bCs/>
                <w:color w:val="FFFFFF" w:themeColor="background1"/>
                <w:szCs w:val="18"/>
                <w:lang w:eastAsia="hr-HR"/>
              </w:rPr>
              <w:t>1</w:t>
            </w:r>
            <w:r>
              <w:rPr>
                <w:rFonts w:cstheme="minorHAnsi"/>
                <w:b/>
                <w:bCs/>
                <w:color w:val="FFFFFF" w:themeColor="background1"/>
                <w:szCs w:val="18"/>
                <w:lang w:eastAsia="hr-HR"/>
              </w:rPr>
              <w:t>.</w:t>
            </w:r>
            <w:r w:rsidRPr="00BA026C">
              <w:rPr>
                <w:rFonts w:cstheme="minorHAnsi"/>
                <w:b/>
                <w:bCs/>
                <w:color w:val="FFFFFF" w:themeColor="background1"/>
                <w:szCs w:val="18"/>
                <w:lang w:eastAsia="hr-HR"/>
              </w:rPr>
              <w:t>939</w:t>
            </w:r>
          </w:p>
        </w:tc>
        <w:tc>
          <w:tcPr>
            <w:tcW w:w="861" w:type="dxa"/>
            <w:tcBorders>
              <w:top w:val="single" w:sz="8" w:space="0" w:color="F3CFC1"/>
              <w:left w:val="single" w:sz="4" w:space="0" w:color="FFFFFF" w:themeColor="background1"/>
              <w:bottom w:val="single" w:sz="8" w:space="0" w:color="F3CFC1"/>
              <w:right w:val="single" w:sz="8" w:space="0" w:color="F3CFC1"/>
            </w:tcBorders>
            <w:shd w:val="clear" w:color="auto" w:fill="D2232A" w:themeFill="accent1"/>
            <w:vAlign w:val="center"/>
          </w:tcPr>
          <w:p w14:paraId="00D6DC13" w14:textId="6FB8AB82" w:rsidR="00044A3D" w:rsidRPr="008B6817" w:rsidRDefault="00044A3D" w:rsidP="007B6D14">
            <w:pPr>
              <w:spacing w:after="0"/>
              <w:jc w:val="center"/>
              <w:rPr>
                <w:rFonts w:cstheme="minorHAnsi"/>
                <w:b/>
                <w:bCs/>
                <w:color w:val="FFFFFF" w:themeColor="background1"/>
                <w:szCs w:val="18"/>
                <w:lang w:eastAsia="hr-HR"/>
              </w:rPr>
            </w:pPr>
            <w:r w:rsidRPr="00BA026C">
              <w:rPr>
                <w:rFonts w:cstheme="minorHAnsi"/>
                <w:b/>
                <w:bCs/>
                <w:color w:val="FFFFFF" w:themeColor="background1"/>
                <w:szCs w:val="18"/>
                <w:lang w:eastAsia="hr-HR"/>
              </w:rPr>
              <w:t>1</w:t>
            </w:r>
            <w:r>
              <w:rPr>
                <w:rFonts w:cstheme="minorHAnsi"/>
                <w:b/>
                <w:bCs/>
                <w:color w:val="FFFFFF" w:themeColor="background1"/>
                <w:szCs w:val="18"/>
                <w:lang w:eastAsia="hr-HR"/>
              </w:rPr>
              <w:t>.</w:t>
            </w:r>
            <w:r w:rsidRPr="00BA026C">
              <w:rPr>
                <w:rFonts w:cstheme="minorHAnsi"/>
                <w:b/>
                <w:bCs/>
                <w:color w:val="FFFFFF" w:themeColor="background1"/>
                <w:szCs w:val="18"/>
                <w:lang w:eastAsia="hr-HR"/>
              </w:rPr>
              <w:t>251</w:t>
            </w:r>
          </w:p>
        </w:tc>
        <w:tc>
          <w:tcPr>
            <w:tcW w:w="797" w:type="dxa"/>
            <w:tcBorders>
              <w:top w:val="single" w:sz="8" w:space="0" w:color="F3CFC1"/>
              <w:left w:val="single" w:sz="8" w:space="0" w:color="F3CFC1"/>
              <w:bottom w:val="single" w:sz="8" w:space="0" w:color="F3CFC1"/>
              <w:right w:val="single" w:sz="2" w:space="0" w:color="FFFFFF" w:themeColor="background1"/>
            </w:tcBorders>
            <w:shd w:val="clear" w:color="auto" w:fill="D2232A" w:themeFill="accent1"/>
            <w:vAlign w:val="center"/>
          </w:tcPr>
          <w:p w14:paraId="4DC58185" w14:textId="1A9898A2" w:rsidR="00044A3D" w:rsidRPr="008B6817" w:rsidRDefault="00044A3D" w:rsidP="007B6D14">
            <w:pPr>
              <w:spacing w:after="0"/>
              <w:jc w:val="center"/>
              <w:rPr>
                <w:rFonts w:cstheme="minorHAnsi"/>
                <w:b/>
                <w:bCs/>
                <w:color w:val="FFFFFF" w:themeColor="background1"/>
                <w:szCs w:val="18"/>
                <w:lang w:eastAsia="hr-HR"/>
              </w:rPr>
            </w:pPr>
            <w:r w:rsidRPr="00BA026C">
              <w:rPr>
                <w:rFonts w:cstheme="minorHAnsi"/>
                <w:b/>
                <w:bCs/>
                <w:color w:val="FFFFFF" w:themeColor="background1"/>
                <w:szCs w:val="18"/>
                <w:lang w:eastAsia="hr-HR"/>
              </w:rPr>
              <w:t>2</w:t>
            </w:r>
            <w:r>
              <w:rPr>
                <w:rFonts w:cstheme="minorHAnsi"/>
                <w:b/>
                <w:bCs/>
                <w:color w:val="FFFFFF" w:themeColor="background1"/>
                <w:szCs w:val="18"/>
                <w:lang w:eastAsia="hr-HR"/>
              </w:rPr>
              <w:t>.</w:t>
            </w:r>
            <w:r w:rsidRPr="00BA026C">
              <w:rPr>
                <w:rFonts w:cstheme="minorHAnsi"/>
                <w:b/>
                <w:bCs/>
                <w:color w:val="FFFFFF" w:themeColor="background1"/>
                <w:szCs w:val="18"/>
                <w:lang w:eastAsia="hr-HR"/>
              </w:rPr>
              <w:t>002</w:t>
            </w:r>
          </w:p>
        </w:tc>
        <w:tc>
          <w:tcPr>
            <w:tcW w:w="862" w:type="dxa"/>
            <w:tcBorders>
              <w:top w:val="single" w:sz="8" w:space="0" w:color="F3CFC1"/>
              <w:left w:val="single" w:sz="2" w:space="0" w:color="FFFFFF" w:themeColor="background1"/>
              <w:bottom w:val="single" w:sz="8" w:space="0" w:color="F3CFC1"/>
              <w:right w:val="single" w:sz="8" w:space="0" w:color="F3CFC1"/>
            </w:tcBorders>
            <w:shd w:val="clear" w:color="auto" w:fill="D2232A" w:themeFill="accent1"/>
            <w:vAlign w:val="center"/>
          </w:tcPr>
          <w:p w14:paraId="2D06A323" w14:textId="6B2442CF" w:rsidR="00044A3D" w:rsidRPr="008B6817" w:rsidRDefault="00044A3D" w:rsidP="007B6D14">
            <w:pPr>
              <w:spacing w:after="0"/>
              <w:jc w:val="center"/>
              <w:rPr>
                <w:rFonts w:cstheme="minorHAnsi"/>
                <w:b/>
                <w:bCs/>
                <w:color w:val="FFFFFF" w:themeColor="background1"/>
                <w:szCs w:val="18"/>
                <w:lang w:eastAsia="hr-HR"/>
              </w:rPr>
            </w:pPr>
            <w:r w:rsidRPr="00BA026C">
              <w:rPr>
                <w:rFonts w:cstheme="minorHAnsi"/>
                <w:b/>
                <w:bCs/>
                <w:color w:val="FFFFFF" w:themeColor="background1"/>
                <w:szCs w:val="18"/>
                <w:lang w:eastAsia="hr-HR"/>
              </w:rPr>
              <w:t>1</w:t>
            </w:r>
            <w:r>
              <w:rPr>
                <w:rFonts w:cstheme="minorHAnsi"/>
                <w:b/>
                <w:bCs/>
                <w:color w:val="FFFFFF" w:themeColor="background1"/>
                <w:szCs w:val="18"/>
                <w:lang w:eastAsia="hr-HR"/>
              </w:rPr>
              <w:t>.</w:t>
            </w:r>
            <w:r w:rsidRPr="00BA026C">
              <w:rPr>
                <w:rFonts w:cstheme="minorHAnsi"/>
                <w:b/>
                <w:bCs/>
                <w:color w:val="FFFFFF" w:themeColor="background1"/>
                <w:szCs w:val="18"/>
                <w:lang w:eastAsia="hr-HR"/>
              </w:rPr>
              <w:t>878</w:t>
            </w:r>
          </w:p>
        </w:tc>
        <w:tc>
          <w:tcPr>
            <w:tcW w:w="797" w:type="dxa"/>
            <w:tcBorders>
              <w:top w:val="single" w:sz="8" w:space="0" w:color="F3CFC1"/>
              <w:left w:val="single" w:sz="8" w:space="0" w:color="F3CFC1"/>
              <w:bottom w:val="single" w:sz="8" w:space="0" w:color="F3CFC1"/>
              <w:right w:val="single" w:sz="4" w:space="0" w:color="FFFFFF" w:themeColor="background1"/>
            </w:tcBorders>
            <w:shd w:val="clear" w:color="auto" w:fill="D2232A" w:themeFill="accent1"/>
            <w:vAlign w:val="center"/>
          </w:tcPr>
          <w:p w14:paraId="72AD3028" w14:textId="7FADFAF3" w:rsidR="00044A3D" w:rsidRPr="008B6817" w:rsidRDefault="00044A3D" w:rsidP="007B6D14">
            <w:pPr>
              <w:spacing w:after="0"/>
              <w:jc w:val="center"/>
              <w:rPr>
                <w:rFonts w:cstheme="minorHAnsi"/>
                <w:b/>
                <w:bCs/>
                <w:color w:val="FFFFFF" w:themeColor="background1"/>
                <w:szCs w:val="18"/>
                <w:lang w:eastAsia="hr-HR"/>
              </w:rPr>
            </w:pPr>
            <w:r w:rsidRPr="00BA026C">
              <w:rPr>
                <w:rFonts w:cstheme="minorHAnsi"/>
                <w:b/>
                <w:bCs/>
                <w:color w:val="FFFFFF" w:themeColor="background1"/>
                <w:szCs w:val="18"/>
                <w:lang w:eastAsia="hr-HR"/>
              </w:rPr>
              <w:t>2.224</w:t>
            </w:r>
          </w:p>
        </w:tc>
        <w:tc>
          <w:tcPr>
            <w:tcW w:w="862"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tcPr>
          <w:p w14:paraId="791D6271" w14:textId="6923F5BC" w:rsidR="00044A3D" w:rsidRPr="008B6817" w:rsidRDefault="00044A3D" w:rsidP="007B6D14">
            <w:pPr>
              <w:spacing w:after="0"/>
              <w:jc w:val="center"/>
              <w:rPr>
                <w:rFonts w:cstheme="minorHAnsi"/>
                <w:b/>
                <w:bCs/>
                <w:color w:val="FFFFFF" w:themeColor="background1"/>
                <w:szCs w:val="18"/>
                <w:lang w:eastAsia="hr-HR"/>
              </w:rPr>
            </w:pPr>
            <w:r w:rsidRPr="00BA026C">
              <w:rPr>
                <w:rFonts w:cstheme="minorHAnsi"/>
                <w:b/>
                <w:bCs/>
                <w:color w:val="FFFFFF" w:themeColor="background1"/>
                <w:szCs w:val="18"/>
                <w:lang w:eastAsia="hr-HR"/>
              </w:rPr>
              <w:t>1</w:t>
            </w:r>
            <w:r>
              <w:rPr>
                <w:rFonts w:cstheme="minorHAnsi"/>
                <w:b/>
                <w:bCs/>
                <w:color w:val="FFFFFF" w:themeColor="background1"/>
                <w:szCs w:val="18"/>
                <w:lang w:eastAsia="hr-HR"/>
              </w:rPr>
              <w:t>.</w:t>
            </w:r>
            <w:r w:rsidRPr="00BA026C">
              <w:rPr>
                <w:rFonts w:cstheme="minorHAnsi"/>
                <w:b/>
                <w:bCs/>
                <w:color w:val="FFFFFF" w:themeColor="background1"/>
                <w:szCs w:val="18"/>
                <w:lang w:eastAsia="hr-HR"/>
              </w:rPr>
              <w:t>705</w:t>
            </w:r>
          </w:p>
        </w:tc>
        <w:tc>
          <w:tcPr>
            <w:tcW w:w="797"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tcPr>
          <w:p w14:paraId="77568940" w14:textId="239714ED" w:rsidR="00044A3D" w:rsidRPr="008B6817" w:rsidRDefault="00044A3D" w:rsidP="007B6D14">
            <w:pPr>
              <w:spacing w:after="0"/>
              <w:jc w:val="center"/>
              <w:rPr>
                <w:rFonts w:cstheme="minorHAnsi"/>
                <w:b/>
                <w:bCs/>
                <w:color w:val="FFFFFF" w:themeColor="background1"/>
                <w:szCs w:val="18"/>
                <w:lang w:eastAsia="hr-HR"/>
              </w:rPr>
            </w:pPr>
            <w:r w:rsidRPr="00BA026C">
              <w:rPr>
                <w:rFonts w:cstheme="minorHAnsi"/>
                <w:b/>
                <w:bCs/>
                <w:color w:val="FFFFFF" w:themeColor="background1"/>
                <w:szCs w:val="18"/>
                <w:lang w:eastAsia="hr-HR"/>
              </w:rPr>
              <w:t>2</w:t>
            </w:r>
            <w:r>
              <w:rPr>
                <w:rFonts w:cstheme="minorHAnsi"/>
                <w:b/>
                <w:bCs/>
                <w:color w:val="FFFFFF" w:themeColor="background1"/>
                <w:szCs w:val="18"/>
                <w:lang w:eastAsia="hr-HR"/>
              </w:rPr>
              <w:t>.</w:t>
            </w:r>
            <w:r w:rsidRPr="00BA026C">
              <w:rPr>
                <w:rFonts w:cstheme="minorHAnsi"/>
                <w:b/>
                <w:bCs/>
                <w:color w:val="FFFFFF" w:themeColor="background1"/>
                <w:szCs w:val="18"/>
                <w:lang w:eastAsia="hr-HR"/>
              </w:rPr>
              <w:t>155</w:t>
            </w:r>
          </w:p>
        </w:tc>
        <w:tc>
          <w:tcPr>
            <w:tcW w:w="951"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tcPr>
          <w:p w14:paraId="4DDC545C" w14:textId="760A8396" w:rsidR="00044A3D" w:rsidRPr="008B6817" w:rsidRDefault="00044A3D" w:rsidP="007B6D14">
            <w:pPr>
              <w:spacing w:after="0"/>
              <w:jc w:val="center"/>
              <w:rPr>
                <w:rFonts w:cstheme="minorHAnsi"/>
                <w:b/>
                <w:bCs/>
                <w:color w:val="FFFFFF" w:themeColor="background1"/>
                <w:szCs w:val="18"/>
                <w:lang w:eastAsia="hr-HR"/>
              </w:rPr>
            </w:pPr>
            <w:r w:rsidRPr="00BA026C">
              <w:rPr>
                <w:rFonts w:cstheme="minorHAnsi"/>
                <w:b/>
                <w:bCs/>
                <w:color w:val="FFFFFF" w:themeColor="background1"/>
                <w:szCs w:val="18"/>
                <w:lang w:eastAsia="hr-HR"/>
              </w:rPr>
              <w:t>1</w:t>
            </w:r>
            <w:r>
              <w:rPr>
                <w:rFonts w:cstheme="minorHAnsi"/>
                <w:b/>
                <w:bCs/>
                <w:color w:val="FFFFFF" w:themeColor="background1"/>
                <w:szCs w:val="18"/>
                <w:lang w:eastAsia="hr-HR"/>
              </w:rPr>
              <w:t>.</w:t>
            </w:r>
            <w:r w:rsidRPr="00BA026C">
              <w:rPr>
                <w:rFonts w:cstheme="minorHAnsi"/>
                <w:b/>
                <w:bCs/>
                <w:color w:val="FFFFFF" w:themeColor="background1"/>
                <w:szCs w:val="18"/>
                <w:lang w:eastAsia="hr-HR"/>
              </w:rPr>
              <w:t>463</w:t>
            </w:r>
          </w:p>
        </w:tc>
        <w:tc>
          <w:tcPr>
            <w:tcW w:w="0" w:type="auto"/>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tcPr>
          <w:p w14:paraId="0B0B85EB" w14:textId="565EA1A4" w:rsidR="00044A3D" w:rsidRPr="00BA026C" w:rsidRDefault="00210A32" w:rsidP="007B6D14">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1.673</w:t>
            </w:r>
          </w:p>
        </w:tc>
        <w:tc>
          <w:tcPr>
            <w:tcW w:w="0" w:type="auto"/>
            <w:tcBorders>
              <w:top w:val="single" w:sz="8" w:space="0" w:color="F3CFC1"/>
              <w:left w:val="single" w:sz="4" w:space="0" w:color="FFFFFF" w:themeColor="background1"/>
              <w:bottom w:val="single" w:sz="8" w:space="0" w:color="F3CFC1"/>
              <w:right w:val="single" w:sz="8" w:space="0" w:color="D2232A"/>
            </w:tcBorders>
            <w:shd w:val="clear" w:color="auto" w:fill="D2232A" w:themeFill="accent1"/>
            <w:vAlign w:val="center"/>
          </w:tcPr>
          <w:p w14:paraId="54ABA50A" w14:textId="423921A9" w:rsidR="00044A3D" w:rsidRPr="00BA026C" w:rsidRDefault="00D20DA4" w:rsidP="007B6D14">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1.453</w:t>
            </w:r>
          </w:p>
        </w:tc>
      </w:tr>
      <w:tr w:rsidR="007B6D14" w14:paraId="1271D679" w14:textId="57E741A1" w:rsidTr="007B6D14">
        <w:trPr>
          <w:trHeight w:val="263"/>
        </w:trPr>
        <w:tc>
          <w:tcPr>
            <w:tcW w:w="0" w:type="auto"/>
            <w:tcBorders>
              <w:top w:val="single" w:sz="8" w:space="0" w:color="F3CFC1"/>
              <w:bottom w:val="single" w:sz="8" w:space="0" w:color="F3CFC1"/>
            </w:tcBorders>
            <w:shd w:val="clear" w:color="auto" w:fill="D2232A" w:themeFill="accent1"/>
            <w:vAlign w:val="center"/>
            <w:hideMark/>
          </w:tcPr>
          <w:p w14:paraId="50673CF4" w14:textId="77777777" w:rsidR="00044A3D" w:rsidRDefault="00044A3D" w:rsidP="00941871">
            <w:pPr>
              <w:spacing w:after="0"/>
              <w:rPr>
                <w:rFonts w:cstheme="minorHAnsi"/>
                <w:color w:val="FFFFFF"/>
                <w:szCs w:val="18"/>
                <w:lang w:eastAsia="hr-HR"/>
              </w:rPr>
            </w:pPr>
            <w:r>
              <w:rPr>
                <w:rFonts w:cstheme="minorHAnsi"/>
                <w:color w:val="FFFFFF"/>
                <w:szCs w:val="18"/>
                <w:lang w:eastAsia="hr-HR"/>
              </w:rPr>
              <w:t>Zagrebačka županija</w:t>
            </w:r>
          </w:p>
        </w:tc>
        <w:tc>
          <w:tcPr>
            <w:tcW w:w="796" w:type="dxa"/>
            <w:tcBorders>
              <w:top w:val="single" w:sz="8" w:space="0" w:color="F3CFC1"/>
              <w:bottom w:val="single" w:sz="8" w:space="0" w:color="F3CFC1"/>
            </w:tcBorders>
            <w:vAlign w:val="center"/>
            <w:hideMark/>
          </w:tcPr>
          <w:p w14:paraId="239A3DF9"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792</w:t>
            </w:r>
          </w:p>
        </w:tc>
        <w:tc>
          <w:tcPr>
            <w:tcW w:w="861" w:type="dxa"/>
            <w:tcBorders>
              <w:top w:val="single" w:sz="8" w:space="0" w:color="F3CFC1"/>
              <w:bottom w:val="single" w:sz="8" w:space="0" w:color="F3CFC1"/>
            </w:tcBorders>
            <w:vAlign w:val="center"/>
            <w:hideMark/>
          </w:tcPr>
          <w:p w14:paraId="6F48516C"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500</w:t>
            </w:r>
          </w:p>
        </w:tc>
        <w:tc>
          <w:tcPr>
            <w:tcW w:w="797" w:type="dxa"/>
            <w:tcBorders>
              <w:top w:val="single" w:sz="8" w:space="0" w:color="F3CFC1"/>
              <w:bottom w:val="single" w:sz="8" w:space="0" w:color="F3CFC1"/>
            </w:tcBorders>
            <w:vAlign w:val="center"/>
            <w:hideMark/>
          </w:tcPr>
          <w:p w14:paraId="44687F84"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851</w:t>
            </w:r>
          </w:p>
        </w:tc>
        <w:tc>
          <w:tcPr>
            <w:tcW w:w="862" w:type="dxa"/>
            <w:tcBorders>
              <w:top w:val="single" w:sz="8" w:space="0" w:color="F3CFC1"/>
              <w:bottom w:val="single" w:sz="8" w:space="0" w:color="F3CFC1"/>
            </w:tcBorders>
            <w:vAlign w:val="center"/>
            <w:hideMark/>
          </w:tcPr>
          <w:p w14:paraId="77F0B85A"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733</w:t>
            </w:r>
          </w:p>
        </w:tc>
        <w:tc>
          <w:tcPr>
            <w:tcW w:w="797" w:type="dxa"/>
            <w:tcBorders>
              <w:top w:val="single" w:sz="8" w:space="0" w:color="F3CFC1"/>
              <w:bottom w:val="single" w:sz="8" w:space="0" w:color="F3CFC1"/>
            </w:tcBorders>
            <w:vAlign w:val="center"/>
            <w:hideMark/>
          </w:tcPr>
          <w:p w14:paraId="68DD46E2"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1.009</w:t>
            </w:r>
          </w:p>
        </w:tc>
        <w:tc>
          <w:tcPr>
            <w:tcW w:w="862" w:type="dxa"/>
            <w:tcBorders>
              <w:top w:val="single" w:sz="8" w:space="0" w:color="F3CFC1"/>
              <w:bottom w:val="single" w:sz="8" w:space="0" w:color="F3CFC1"/>
            </w:tcBorders>
            <w:vAlign w:val="center"/>
            <w:hideMark/>
          </w:tcPr>
          <w:p w14:paraId="0BF5456A"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862</w:t>
            </w:r>
          </w:p>
        </w:tc>
        <w:tc>
          <w:tcPr>
            <w:tcW w:w="797" w:type="dxa"/>
            <w:tcBorders>
              <w:top w:val="single" w:sz="8" w:space="0" w:color="F3CFC1"/>
              <w:bottom w:val="single" w:sz="8" w:space="0" w:color="F3CFC1"/>
            </w:tcBorders>
            <w:vAlign w:val="center"/>
            <w:hideMark/>
          </w:tcPr>
          <w:p w14:paraId="5B74A9E8"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972</w:t>
            </w:r>
          </w:p>
        </w:tc>
        <w:tc>
          <w:tcPr>
            <w:tcW w:w="951" w:type="dxa"/>
            <w:tcBorders>
              <w:top w:val="single" w:sz="8" w:space="0" w:color="F3CFC1"/>
              <w:bottom w:val="single" w:sz="8" w:space="0" w:color="F3CFC1"/>
              <w:right w:val="single" w:sz="8" w:space="0" w:color="D2232A"/>
            </w:tcBorders>
            <w:vAlign w:val="center"/>
            <w:hideMark/>
          </w:tcPr>
          <w:p w14:paraId="25A6FE2D"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688</w:t>
            </w:r>
          </w:p>
        </w:tc>
        <w:tc>
          <w:tcPr>
            <w:tcW w:w="0" w:type="auto"/>
            <w:tcBorders>
              <w:top w:val="single" w:sz="8" w:space="0" w:color="F3CFC1"/>
              <w:bottom w:val="single" w:sz="8" w:space="0" w:color="F3CFC1"/>
              <w:right w:val="single" w:sz="8" w:space="0" w:color="D2232A"/>
            </w:tcBorders>
            <w:vAlign w:val="center"/>
          </w:tcPr>
          <w:p w14:paraId="03736424" w14:textId="043B23C7" w:rsidR="00044A3D" w:rsidRPr="007B56F0" w:rsidRDefault="00210A32" w:rsidP="007B6D14">
            <w:pPr>
              <w:spacing w:after="0"/>
              <w:jc w:val="center"/>
              <w:rPr>
                <w:rFonts w:cstheme="minorHAnsi"/>
                <w:szCs w:val="18"/>
                <w:lang w:eastAsia="hr-HR"/>
              </w:rPr>
            </w:pPr>
            <w:r>
              <w:rPr>
                <w:rFonts w:cstheme="minorHAnsi"/>
                <w:szCs w:val="18"/>
                <w:lang w:eastAsia="hr-HR"/>
              </w:rPr>
              <w:t>718</w:t>
            </w:r>
          </w:p>
        </w:tc>
        <w:tc>
          <w:tcPr>
            <w:tcW w:w="0" w:type="auto"/>
            <w:tcBorders>
              <w:top w:val="single" w:sz="8" w:space="0" w:color="F3CFC1"/>
              <w:bottom w:val="single" w:sz="8" w:space="0" w:color="F3CFC1"/>
              <w:right w:val="single" w:sz="8" w:space="0" w:color="D2232A"/>
            </w:tcBorders>
            <w:vAlign w:val="center"/>
          </w:tcPr>
          <w:p w14:paraId="5DCDA4E3" w14:textId="74F4FA83" w:rsidR="00044A3D" w:rsidRPr="007B56F0" w:rsidRDefault="00210A32" w:rsidP="007B6D14">
            <w:pPr>
              <w:spacing w:after="0"/>
              <w:jc w:val="center"/>
              <w:rPr>
                <w:rFonts w:cstheme="minorHAnsi"/>
                <w:szCs w:val="18"/>
                <w:lang w:eastAsia="hr-HR"/>
              </w:rPr>
            </w:pPr>
            <w:r>
              <w:rPr>
                <w:rFonts w:cstheme="minorHAnsi"/>
                <w:szCs w:val="18"/>
                <w:lang w:eastAsia="hr-HR"/>
              </w:rPr>
              <w:t>573</w:t>
            </w:r>
          </w:p>
        </w:tc>
      </w:tr>
      <w:tr w:rsidR="007B6D14" w14:paraId="55ADC05D" w14:textId="353B8BC8" w:rsidTr="007B6D14">
        <w:trPr>
          <w:trHeight w:val="263"/>
        </w:trPr>
        <w:tc>
          <w:tcPr>
            <w:tcW w:w="0" w:type="auto"/>
            <w:tcBorders>
              <w:top w:val="single" w:sz="8" w:space="0" w:color="F3CFC1"/>
              <w:bottom w:val="single" w:sz="8" w:space="0" w:color="F3CFC1"/>
            </w:tcBorders>
            <w:shd w:val="clear" w:color="auto" w:fill="D2232A" w:themeFill="accent1"/>
            <w:vAlign w:val="center"/>
            <w:hideMark/>
          </w:tcPr>
          <w:p w14:paraId="3FC5089C" w14:textId="77777777" w:rsidR="00044A3D" w:rsidRDefault="00044A3D" w:rsidP="00941871">
            <w:pPr>
              <w:spacing w:after="0"/>
              <w:rPr>
                <w:rFonts w:cstheme="minorHAnsi"/>
                <w:color w:val="FFFFFF"/>
                <w:szCs w:val="18"/>
                <w:lang w:eastAsia="hr-HR"/>
              </w:rPr>
            </w:pPr>
            <w:r>
              <w:rPr>
                <w:rFonts w:cstheme="minorHAnsi"/>
                <w:color w:val="FFFFFF"/>
                <w:szCs w:val="18"/>
                <w:lang w:eastAsia="hr-HR"/>
              </w:rPr>
              <w:t>Varaždinska</w:t>
            </w:r>
          </w:p>
        </w:tc>
        <w:tc>
          <w:tcPr>
            <w:tcW w:w="796" w:type="dxa"/>
            <w:tcBorders>
              <w:top w:val="single" w:sz="8" w:space="0" w:color="F3CFC1"/>
              <w:bottom w:val="single" w:sz="8" w:space="0" w:color="F3CFC1"/>
            </w:tcBorders>
            <w:vAlign w:val="center"/>
            <w:hideMark/>
          </w:tcPr>
          <w:p w14:paraId="04E8242A"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391</w:t>
            </w:r>
          </w:p>
        </w:tc>
        <w:tc>
          <w:tcPr>
            <w:tcW w:w="861" w:type="dxa"/>
            <w:tcBorders>
              <w:top w:val="single" w:sz="8" w:space="0" w:color="F3CFC1"/>
              <w:bottom w:val="single" w:sz="8" w:space="0" w:color="F3CFC1"/>
            </w:tcBorders>
            <w:vAlign w:val="center"/>
            <w:hideMark/>
          </w:tcPr>
          <w:p w14:paraId="58C00A6A"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203</w:t>
            </w:r>
          </w:p>
        </w:tc>
        <w:tc>
          <w:tcPr>
            <w:tcW w:w="797" w:type="dxa"/>
            <w:tcBorders>
              <w:top w:val="single" w:sz="8" w:space="0" w:color="F3CFC1"/>
              <w:bottom w:val="single" w:sz="8" w:space="0" w:color="F3CFC1"/>
            </w:tcBorders>
            <w:vAlign w:val="center"/>
            <w:hideMark/>
          </w:tcPr>
          <w:p w14:paraId="5A5C7653"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384</w:t>
            </w:r>
          </w:p>
        </w:tc>
        <w:tc>
          <w:tcPr>
            <w:tcW w:w="862" w:type="dxa"/>
            <w:tcBorders>
              <w:top w:val="single" w:sz="8" w:space="0" w:color="F3CFC1"/>
              <w:bottom w:val="single" w:sz="8" w:space="0" w:color="F3CFC1"/>
            </w:tcBorders>
            <w:vAlign w:val="center"/>
            <w:hideMark/>
          </w:tcPr>
          <w:p w14:paraId="2834249F"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366</w:t>
            </w:r>
          </w:p>
        </w:tc>
        <w:tc>
          <w:tcPr>
            <w:tcW w:w="797" w:type="dxa"/>
            <w:tcBorders>
              <w:top w:val="single" w:sz="8" w:space="0" w:color="F3CFC1"/>
              <w:bottom w:val="single" w:sz="8" w:space="0" w:color="F3CFC1"/>
            </w:tcBorders>
            <w:vAlign w:val="center"/>
            <w:hideMark/>
          </w:tcPr>
          <w:p w14:paraId="736DB2C3"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401</w:t>
            </w:r>
          </w:p>
        </w:tc>
        <w:tc>
          <w:tcPr>
            <w:tcW w:w="862" w:type="dxa"/>
            <w:tcBorders>
              <w:top w:val="single" w:sz="8" w:space="0" w:color="F3CFC1"/>
              <w:bottom w:val="single" w:sz="8" w:space="0" w:color="F3CFC1"/>
            </w:tcBorders>
            <w:vAlign w:val="center"/>
            <w:hideMark/>
          </w:tcPr>
          <w:p w14:paraId="526FDC39"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240</w:t>
            </w:r>
          </w:p>
        </w:tc>
        <w:tc>
          <w:tcPr>
            <w:tcW w:w="797" w:type="dxa"/>
            <w:tcBorders>
              <w:top w:val="single" w:sz="8" w:space="0" w:color="F3CFC1"/>
              <w:bottom w:val="single" w:sz="8" w:space="0" w:color="F3CFC1"/>
            </w:tcBorders>
            <w:vAlign w:val="center"/>
            <w:hideMark/>
          </w:tcPr>
          <w:p w14:paraId="28605A70"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389</w:t>
            </w:r>
          </w:p>
        </w:tc>
        <w:tc>
          <w:tcPr>
            <w:tcW w:w="951" w:type="dxa"/>
            <w:tcBorders>
              <w:top w:val="single" w:sz="8" w:space="0" w:color="F3CFC1"/>
              <w:bottom w:val="single" w:sz="8" w:space="0" w:color="F3CFC1"/>
              <w:right w:val="single" w:sz="8" w:space="0" w:color="D2232A"/>
            </w:tcBorders>
            <w:vAlign w:val="center"/>
            <w:hideMark/>
          </w:tcPr>
          <w:p w14:paraId="137A4B77"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309</w:t>
            </w:r>
          </w:p>
        </w:tc>
        <w:tc>
          <w:tcPr>
            <w:tcW w:w="0" w:type="auto"/>
            <w:tcBorders>
              <w:top w:val="single" w:sz="8" w:space="0" w:color="F3CFC1"/>
              <w:bottom w:val="single" w:sz="8" w:space="0" w:color="F3CFC1"/>
              <w:right w:val="single" w:sz="8" w:space="0" w:color="D2232A"/>
            </w:tcBorders>
            <w:vAlign w:val="center"/>
          </w:tcPr>
          <w:p w14:paraId="2444C327" w14:textId="02AE7DBD" w:rsidR="00044A3D" w:rsidRPr="007B56F0" w:rsidRDefault="00210A32" w:rsidP="007B6D14">
            <w:pPr>
              <w:spacing w:after="0"/>
              <w:jc w:val="center"/>
              <w:rPr>
                <w:rFonts w:cstheme="minorHAnsi"/>
                <w:szCs w:val="18"/>
                <w:lang w:eastAsia="hr-HR"/>
              </w:rPr>
            </w:pPr>
            <w:r>
              <w:rPr>
                <w:rFonts w:cstheme="minorHAnsi"/>
                <w:szCs w:val="18"/>
                <w:lang w:eastAsia="hr-HR"/>
              </w:rPr>
              <w:t>364</w:t>
            </w:r>
          </w:p>
        </w:tc>
        <w:tc>
          <w:tcPr>
            <w:tcW w:w="0" w:type="auto"/>
            <w:tcBorders>
              <w:top w:val="single" w:sz="8" w:space="0" w:color="F3CFC1"/>
              <w:bottom w:val="single" w:sz="8" w:space="0" w:color="F3CFC1"/>
              <w:right w:val="single" w:sz="8" w:space="0" w:color="D2232A"/>
            </w:tcBorders>
            <w:vAlign w:val="center"/>
          </w:tcPr>
          <w:p w14:paraId="486E4009" w14:textId="1F7ECCB6" w:rsidR="00044A3D" w:rsidRPr="007B56F0" w:rsidRDefault="00210A32" w:rsidP="007B6D14">
            <w:pPr>
              <w:spacing w:after="0"/>
              <w:jc w:val="center"/>
              <w:rPr>
                <w:rFonts w:cstheme="minorHAnsi"/>
                <w:szCs w:val="18"/>
                <w:lang w:eastAsia="hr-HR"/>
              </w:rPr>
            </w:pPr>
            <w:r>
              <w:rPr>
                <w:rFonts w:cstheme="minorHAnsi"/>
                <w:szCs w:val="18"/>
                <w:lang w:eastAsia="hr-HR"/>
              </w:rPr>
              <w:t>323</w:t>
            </w:r>
          </w:p>
        </w:tc>
      </w:tr>
      <w:tr w:rsidR="007B6D14" w14:paraId="6A4AF078" w14:textId="489B84F1" w:rsidTr="007B6D14">
        <w:trPr>
          <w:trHeight w:val="307"/>
        </w:trPr>
        <w:tc>
          <w:tcPr>
            <w:tcW w:w="0" w:type="auto"/>
            <w:tcBorders>
              <w:top w:val="single" w:sz="8" w:space="0" w:color="F3CFC1"/>
              <w:bottom w:val="single" w:sz="8" w:space="0" w:color="F3CFC1"/>
            </w:tcBorders>
            <w:shd w:val="clear" w:color="auto" w:fill="D2232A" w:themeFill="accent1"/>
            <w:vAlign w:val="center"/>
            <w:hideMark/>
          </w:tcPr>
          <w:p w14:paraId="05B9891B" w14:textId="77777777" w:rsidR="00044A3D" w:rsidRDefault="00044A3D" w:rsidP="00941871">
            <w:pPr>
              <w:spacing w:after="0"/>
              <w:rPr>
                <w:rFonts w:cstheme="minorHAnsi"/>
                <w:color w:val="FFFFFF"/>
                <w:szCs w:val="18"/>
                <w:lang w:eastAsia="hr-HR"/>
              </w:rPr>
            </w:pPr>
            <w:r>
              <w:rPr>
                <w:rFonts w:cstheme="minorHAnsi"/>
                <w:color w:val="FFFFFF"/>
                <w:szCs w:val="18"/>
                <w:lang w:eastAsia="hr-HR"/>
              </w:rPr>
              <w:t>Međimurska</w:t>
            </w:r>
          </w:p>
        </w:tc>
        <w:tc>
          <w:tcPr>
            <w:tcW w:w="796" w:type="dxa"/>
            <w:tcBorders>
              <w:top w:val="single" w:sz="8" w:space="0" w:color="F3CFC1"/>
              <w:bottom w:val="single" w:sz="8" w:space="0" w:color="F3CFC1"/>
            </w:tcBorders>
            <w:vAlign w:val="center"/>
            <w:hideMark/>
          </w:tcPr>
          <w:p w14:paraId="39CD71B4"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321</w:t>
            </w:r>
          </w:p>
        </w:tc>
        <w:tc>
          <w:tcPr>
            <w:tcW w:w="861" w:type="dxa"/>
            <w:tcBorders>
              <w:top w:val="single" w:sz="8" w:space="0" w:color="F3CFC1"/>
              <w:bottom w:val="single" w:sz="8" w:space="0" w:color="F3CFC1"/>
            </w:tcBorders>
            <w:vAlign w:val="center"/>
            <w:hideMark/>
          </w:tcPr>
          <w:p w14:paraId="198FD644"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267</w:t>
            </w:r>
          </w:p>
        </w:tc>
        <w:tc>
          <w:tcPr>
            <w:tcW w:w="797" w:type="dxa"/>
            <w:tcBorders>
              <w:top w:val="single" w:sz="8" w:space="0" w:color="F3CFC1"/>
              <w:bottom w:val="single" w:sz="8" w:space="0" w:color="F3CFC1"/>
            </w:tcBorders>
            <w:vAlign w:val="center"/>
            <w:hideMark/>
          </w:tcPr>
          <w:p w14:paraId="3E1BBA4E"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351</w:t>
            </w:r>
          </w:p>
        </w:tc>
        <w:tc>
          <w:tcPr>
            <w:tcW w:w="862" w:type="dxa"/>
            <w:tcBorders>
              <w:top w:val="single" w:sz="8" w:space="0" w:color="F3CFC1"/>
              <w:bottom w:val="single" w:sz="8" w:space="0" w:color="F3CFC1"/>
            </w:tcBorders>
            <w:vAlign w:val="center"/>
            <w:hideMark/>
          </w:tcPr>
          <w:p w14:paraId="48C726BD"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357</w:t>
            </w:r>
          </w:p>
        </w:tc>
        <w:tc>
          <w:tcPr>
            <w:tcW w:w="797" w:type="dxa"/>
            <w:tcBorders>
              <w:top w:val="single" w:sz="8" w:space="0" w:color="F3CFC1"/>
              <w:bottom w:val="single" w:sz="8" w:space="0" w:color="F3CFC1"/>
            </w:tcBorders>
            <w:vAlign w:val="center"/>
            <w:hideMark/>
          </w:tcPr>
          <w:p w14:paraId="1B2609CA"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379</w:t>
            </w:r>
          </w:p>
        </w:tc>
        <w:tc>
          <w:tcPr>
            <w:tcW w:w="862" w:type="dxa"/>
            <w:tcBorders>
              <w:top w:val="single" w:sz="8" w:space="0" w:color="F3CFC1"/>
              <w:bottom w:val="single" w:sz="8" w:space="0" w:color="F3CFC1"/>
            </w:tcBorders>
            <w:vAlign w:val="center"/>
            <w:hideMark/>
          </w:tcPr>
          <w:p w14:paraId="1D5237CB"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279</w:t>
            </w:r>
          </w:p>
        </w:tc>
        <w:tc>
          <w:tcPr>
            <w:tcW w:w="797" w:type="dxa"/>
            <w:tcBorders>
              <w:top w:val="single" w:sz="8" w:space="0" w:color="F3CFC1"/>
              <w:bottom w:val="single" w:sz="8" w:space="0" w:color="F3CFC1"/>
            </w:tcBorders>
            <w:vAlign w:val="center"/>
            <w:hideMark/>
          </w:tcPr>
          <w:p w14:paraId="76331D11"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348</w:t>
            </w:r>
          </w:p>
        </w:tc>
        <w:tc>
          <w:tcPr>
            <w:tcW w:w="951" w:type="dxa"/>
            <w:tcBorders>
              <w:top w:val="single" w:sz="8" w:space="0" w:color="F3CFC1"/>
              <w:bottom w:val="single" w:sz="8" w:space="0" w:color="F3CFC1"/>
              <w:right w:val="single" w:sz="8" w:space="0" w:color="D2232A"/>
            </w:tcBorders>
            <w:vAlign w:val="center"/>
            <w:hideMark/>
          </w:tcPr>
          <w:p w14:paraId="21EF0977"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297</w:t>
            </w:r>
          </w:p>
        </w:tc>
        <w:tc>
          <w:tcPr>
            <w:tcW w:w="0" w:type="auto"/>
            <w:tcBorders>
              <w:top w:val="single" w:sz="8" w:space="0" w:color="F3CFC1"/>
              <w:bottom w:val="single" w:sz="8" w:space="0" w:color="F3CFC1"/>
              <w:right w:val="single" w:sz="8" w:space="0" w:color="D2232A"/>
            </w:tcBorders>
            <w:vAlign w:val="center"/>
          </w:tcPr>
          <w:p w14:paraId="71F2E680" w14:textId="3E3A151D" w:rsidR="00044A3D" w:rsidRPr="007B56F0" w:rsidRDefault="00210A32" w:rsidP="007B6D14">
            <w:pPr>
              <w:spacing w:after="0"/>
              <w:jc w:val="center"/>
              <w:rPr>
                <w:rFonts w:cstheme="minorHAnsi"/>
                <w:szCs w:val="18"/>
                <w:lang w:eastAsia="hr-HR"/>
              </w:rPr>
            </w:pPr>
            <w:r>
              <w:rPr>
                <w:rFonts w:cstheme="minorHAnsi"/>
                <w:szCs w:val="18"/>
                <w:lang w:eastAsia="hr-HR"/>
              </w:rPr>
              <w:t>244</w:t>
            </w:r>
          </w:p>
        </w:tc>
        <w:tc>
          <w:tcPr>
            <w:tcW w:w="0" w:type="auto"/>
            <w:tcBorders>
              <w:top w:val="single" w:sz="8" w:space="0" w:color="F3CFC1"/>
              <w:bottom w:val="single" w:sz="8" w:space="0" w:color="F3CFC1"/>
              <w:right w:val="single" w:sz="8" w:space="0" w:color="D2232A"/>
            </w:tcBorders>
            <w:vAlign w:val="center"/>
          </w:tcPr>
          <w:p w14:paraId="1147EC11" w14:textId="07301D70" w:rsidR="00044A3D" w:rsidRPr="007B56F0" w:rsidRDefault="00210A32" w:rsidP="007B6D14">
            <w:pPr>
              <w:spacing w:after="0"/>
              <w:jc w:val="center"/>
              <w:rPr>
                <w:rFonts w:cstheme="minorHAnsi"/>
                <w:szCs w:val="18"/>
                <w:lang w:eastAsia="hr-HR"/>
              </w:rPr>
            </w:pPr>
            <w:r>
              <w:rPr>
                <w:rFonts w:cstheme="minorHAnsi"/>
                <w:szCs w:val="18"/>
                <w:lang w:eastAsia="hr-HR"/>
              </w:rPr>
              <w:t>262</w:t>
            </w:r>
          </w:p>
        </w:tc>
      </w:tr>
      <w:tr w:rsidR="007B6D14" w14:paraId="1EB1E087" w14:textId="0F380BD7" w:rsidTr="007B6D14">
        <w:trPr>
          <w:trHeight w:val="263"/>
        </w:trPr>
        <w:tc>
          <w:tcPr>
            <w:tcW w:w="0" w:type="auto"/>
            <w:tcBorders>
              <w:top w:val="single" w:sz="8" w:space="0" w:color="F3CFC1"/>
              <w:bottom w:val="single" w:sz="8" w:space="0" w:color="F3CFC1"/>
            </w:tcBorders>
            <w:shd w:val="clear" w:color="auto" w:fill="D2232A" w:themeFill="accent1"/>
            <w:vAlign w:val="center"/>
            <w:hideMark/>
          </w:tcPr>
          <w:p w14:paraId="09082A10" w14:textId="77777777" w:rsidR="00044A3D" w:rsidRDefault="00044A3D" w:rsidP="00941871">
            <w:pPr>
              <w:spacing w:after="0"/>
              <w:rPr>
                <w:rFonts w:cstheme="minorHAnsi"/>
                <w:color w:val="FFFFFF"/>
                <w:szCs w:val="18"/>
                <w:lang w:eastAsia="hr-HR"/>
              </w:rPr>
            </w:pPr>
            <w:r>
              <w:rPr>
                <w:rFonts w:cstheme="minorHAnsi"/>
                <w:color w:val="FFFFFF"/>
                <w:szCs w:val="18"/>
                <w:lang w:eastAsia="hr-HR"/>
              </w:rPr>
              <w:lastRenderedPageBreak/>
              <w:t>Koprivničko-križevačka</w:t>
            </w:r>
          </w:p>
        </w:tc>
        <w:tc>
          <w:tcPr>
            <w:tcW w:w="796" w:type="dxa"/>
            <w:tcBorders>
              <w:top w:val="single" w:sz="8" w:space="0" w:color="F3CFC1"/>
              <w:bottom w:val="single" w:sz="8" w:space="0" w:color="F3CFC1"/>
            </w:tcBorders>
            <w:vAlign w:val="center"/>
            <w:hideMark/>
          </w:tcPr>
          <w:p w14:paraId="19425C91"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235</w:t>
            </w:r>
          </w:p>
        </w:tc>
        <w:tc>
          <w:tcPr>
            <w:tcW w:w="861" w:type="dxa"/>
            <w:tcBorders>
              <w:top w:val="single" w:sz="8" w:space="0" w:color="F3CFC1"/>
              <w:bottom w:val="single" w:sz="8" w:space="0" w:color="F3CFC1"/>
            </w:tcBorders>
            <w:vAlign w:val="center"/>
            <w:hideMark/>
          </w:tcPr>
          <w:p w14:paraId="21E5D55C"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163</w:t>
            </w:r>
          </w:p>
        </w:tc>
        <w:tc>
          <w:tcPr>
            <w:tcW w:w="797" w:type="dxa"/>
            <w:tcBorders>
              <w:top w:val="single" w:sz="8" w:space="0" w:color="F3CFC1"/>
              <w:bottom w:val="single" w:sz="8" w:space="0" w:color="F3CFC1"/>
            </w:tcBorders>
            <w:vAlign w:val="center"/>
            <w:hideMark/>
          </w:tcPr>
          <w:p w14:paraId="0936E41F"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204</w:t>
            </w:r>
          </w:p>
        </w:tc>
        <w:tc>
          <w:tcPr>
            <w:tcW w:w="862" w:type="dxa"/>
            <w:tcBorders>
              <w:top w:val="single" w:sz="8" w:space="0" w:color="F3CFC1"/>
              <w:bottom w:val="single" w:sz="8" w:space="0" w:color="F3CFC1"/>
            </w:tcBorders>
            <w:vAlign w:val="center"/>
            <w:hideMark/>
          </w:tcPr>
          <w:p w14:paraId="19DA277F"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274</w:t>
            </w:r>
          </w:p>
        </w:tc>
        <w:tc>
          <w:tcPr>
            <w:tcW w:w="797" w:type="dxa"/>
            <w:tcBorders>
              <w:top w:val="single" w:sz="8" w:space="0" w:color="F3CFC1"/>
              <w:bottom w:val="single" w:sz="8" w:space="0" w:color="F3CFC1"/>
            </w:tcBorders>
            <w:vAlign w:val="center"/>
            <w:hideMark/>
          </w:tcPr>
          <w:p w14:paraId="6129E962"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204</w:t>
            </w:r>
          </w:p>
        </w:tc>
        <w:tc>
          <w:tcPr>
            <w:tcW w:w="862" w:type="dxa"/>
            <w:tcBorders>
              <w:top w:val="single" w:sz="8" w:space="0" w:color="F3CFC1"/>
              <w:bottom w:val="single" w:sz="8" w:space="0" w:color="F3CFC1"/>
            </w:tcBorders>
            <w:vAlign w:val="center"/>
            <w:hideMark/>
          </w:tcPr>
          <w:p w14:paraId="1FEB41ED"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166</w:t>
            </w:r>
          </w:p>
        </w:tc>
        <w:tc>
          <w:tcPr>
            <w:tcW w:w="797" w:type="dxa"/>
            <w:tcBorders>
              <w:top w:val="single" w:sz="8" w:space="0" w:color="F3CFC1"/>
              <w:bottom w:val="single" w:sz="8" w:space="0" w:color="F3CFC1"/>
            </w:tcBorders>
            <w:vAlign w:val="center"/>
            <w:hideMark/>
          </w:tcPr>
          <w:p w14:paraId="1F4CD51A"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209</w:t>
            </w:r>
          </w:p>
        </w:tc>
        <w:tc>
          <w:tcPr>
            <w:tcW w:w="951" w:type="dxa"/>
            <w:tcBorders>
              <w:top w:val="single" w:sz="8" w:space="0" w:color="F3CFC1"/>
              <w:bottom w:val="single" w:sz="8" w:space="0" w:color="F3CFC1"/>
              <w:right w:val="single" w:sz="8" w:space="0" w:color="D2232A"/>
            </w:tcBorders>
            <w:vAlign w:val="center"/>
            <w:hideMark/>
          </w:tcPr>
          <w:p w14:paraId="6197FC2B" w14:textId="77777777" w:rsidR="00044A3D" w:rsidRPr="007B56F0" w:rsidRDefault="00044A3D" w:rsidP="007B6D14">
            <w:pPr>
              <w:spacing w:after="0"/>
              <w:jc w:val="center"/>
              <w:rPr>
                <w:rFonts w:cstheme="minorHAnsi"/>
                <w:szCs w:val="18"/>
                <w:lang w:eastAsia="hr-HR"/>
              </w:rPr>
            </w:pPr>
            <w:r w:rsidRPr="007B56F0">
              <w:rPr>
                <w:rFonts w:cstheme="minorHAnsi"/>
                <w:szCs w:val="18"/>
                <w:lang w:eastAsia="hr-HR"/>
              </w:rPr>
              <w:t>23</w:t>
            </w:r>
          </w:p>
        </w:tc>
        <w:tc>
          <w:tcPr>
            <w:tcW w:w="0" w:type="auto"/>
            <w:tcBorders>
              <w:top w:val="single" w:sz="8" w:space="0" w:color="F3CFC1"/>
              <w:bottom w:val="single" w:sz="8" w:space="0" w:color="F3CFC1"/>
              <w:right w:val="single" w:sz="8" w:space="0" w:color="D2232A"/>
            </w:tcBorders>
            <w:vAlign w:val="center"/>
          </w:tcPr>
          <w:p w14:paraId="1FB8B397" w14:textId="3044EAC1" w:rsidR="00044A3D" w:rsidRPr="007B56F0" w:rsidRDefault="00210A32" w:rsidP="007B6D14">
            <w:pPr>
              <w:spacing w:after="0"/>
              <w:jc w:val="center"/>
              <w:rPr>
                <w:rFonts w:cstheme="minorHAnsi"/>
                <w:szCs w:val="18"/>
                <w:lang w:eastAsia="hr-HR"/>
              </w:rPr>
            </w:pPr>
            <w:r>
              <w:rPr>
                <w:rFonts w:cstheme="minorHAnsi"/>
                <w:szCs w:val="18"/>
                <w:lang w:eastAsia="hr-HR"/>
              </w:rPr>
              <w:t>175</w:t>
            </w:r>
          </w:p>
        </w:tc>
        <w:tc>
          <w:tcPr>
            <w:tcW w:w="0" w:type="auto"/>
            <w:tcBorders>
              <w:top w:val="single" w:sz="8" w:space="0" w:color="F3CFC1"/>
              <w:bottom w:val="single" w:sz="8" w:space="0" w:color="F3CFC1"/>
              <w:right w:val="single" w:sz="8" w:space="0" w:color="D2232A"/>
            </w:tcBorders>
            <w:vAlign w:val="center"/>
          </w:tcPr>
          <w:p w14:paraId="742AEB67" w14:textId="384EBFD8" w:rsidR="00044A3D" w:rsidRPr="007B56F0" w:rsidRDefault="00210A32" w:rsidP="007B6D14">
            <w:pPr>
              <w:spacing w:after="0"/>
              <w:jc w:val="center"/>
              <w:rPr>
                <w:rFonts w:cstheme="minorHAnsi"/>
                <w:szCs w:val="18"/>
                <w:lang w:eastAsia="hr-HR"/>
              </w:rPr>
            </w:pPr>
            <w:r>
              <w:rPr>
                <w:rFonts w:cstheme="minorHAnsi"/>
                <w:szCs w:val="18"/>
                <w:lang w:eastAsia="hr-HR"/>
              </w:rPr>
              <w:t>155</w:t>
            </w:r>
          </w:p>
        </w:tc>
      </w:tr>
      <w:tr w:rsidR="007B6D14" w14:paraId="4FD37263" w14:textId="2D95C661" w:rsidTr="007B6D14">
        <w:trPr>
          <w:trHeight w:val="263"/>
        </w:trPr>
        <w:tc>
          <w:tcPr>
            <w:tcW w:w="0" w:type="auto"/>
            <w:tcBorders>
              <w:top w:val="single" w:sz="8" w:space="0" w:color="F3CFC1"/>
              <w:bottom w:val="single" w:sz="8" w:space="0" w:color="F3CFC1"/>
              <w:right w:val="single" w:sz="4" w:space="0" w:color="FFFFFF"/>
            </w:tcBorders>
            <w:shd w:val="clear" w:color="auto" w:fill="D2232A" w:themeFill="accent1"/>
            <w:vAlign w:val="center"/>
            <w:hideMark/>
          </w:tcPr>
          <w:p w14:paraId="3204F6C9" w14:textId="77777777" w:rsidR="00044A3D" w:rsidRDefault="00044A3D" w:rsidP="00941871">
            <w:pPr>
              <w:spacing w:after="0"/>
              <w:rPr>
                <w:rFonts w:cstheme="minorHAnsi"/>
                <w:bCs/>
                <w:color w:val="FFFFFF"/>
                <w:szCs w:val="18"/>
                <w:lang w:eastAsia="hr-HR"/>
              </w:rPr>
            </w:pPr>
            <w:r>
              <w:rPr>
                <w:rFonts w:cstheme="minorHAnsi"/>
                <w:bCs/>
                <w:color w:val="FFFFFF"/>
                <w:szCs w:val="18"/>
                <w:lang w:eastAsia="hr-HR"/>
              </w:rPr>
              <w:t>Krapinsko–zagorska</w:t>
            </w:r>
          </w:p>
        </w:tc>
        <w:tc>
          <w:tcPr>
            <w:tcW w:w="796" w:type="dxa"/>
            <w:tcBorders>
              <w:top w:val="single" w:sz="8" w:space="0" w:color="F3CFC1"/>
              <w:left w:val="single" w:sz="4" w:space="0" w:color="FFFFFF"/>
              <w:bottom w:val="single" w:sz="8" w:space="0" w:color="F3CFC1"/>
              <w:right w:val="single" w:sz="4" w:space="0" w:color="FFFFFF" w:themeColor="background1"/>
            </w:tcBorders>
            <w:shd w:val="clear" w:color="auto" w:fill="D2232A" w:themeFill="accent1"/>
            <w:vAlign w:val="center"/>
            <w:hideMark/>
          </w:tcPr>
          <w:p w14:paraId="037C5A02"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200</w:t>
            </w:r>
          </w:p>
        </w:tc>
        <w:tc>
          <w:tcPr>
            <w:tcW w:w="861"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5495C229"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118</w:t>
            </w:r>
          </w:p>
        </w:tc>
        <w:tc>
          <w:tcPr>
            <w:tcW w:w="797"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10468B05"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212</w:t>
            </w:r>
          </w:p>
        </w:tc>
        <w:tc>
          <w:tcPr>
            <w:tcW w:w="862"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7D4FF669"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148</w:t>
            </w:r>
          </w:p>
        </w:tc>
        <w:tc>
          <w:tcPr>
            <w:tcW w:w="797"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7FAD11CD"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231</w:t>
            </w:r>
          </w:p>
        </w:tc>
        <w:tc>
          <w:tcPr>
            <w:tcW w:w="862"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2D90E8D3"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158</w:t>
            </w:r>
          </w:p>
        </w:tc>
        <w:tc>
          <w:tcPr>
            <w:tcW w:w="797" w:type="dxa"/>
            <w:tcBorders>
              <w:top w:val="single" w:sz="8" w:space="0" w:color="F3CFC1"/>
              <w:left w:val="single" w:sz="4" w:space="0" w:color="FFFFFF" w:themeColor="background1"/>
              <w:bottom w:val="single" w:sz="8" w:space="0" w:color="F3CFC1"/>
              <w:right w:val="single" w:sz="4" w:space="0" w:color="FFFFFF" w:themeColor="background1"/>
            </w:tcBorders>
            <w:shd w:val="clear" w:color="auto" w:fill="D2232A" w:themeFill="accent1"/>
            <w:vAlign w:val="center"/>
            <w:hideMark/>
          </w:tcPr>
          <w:p w14:paraId="2B40AA2A"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237</w:t>
            </w:r>
          </w:p>
        </w:tc>
        <w:tc>
          <w:tcPr>
            <w:tcW w:w="951" w:type="dxa"/>
            <w:tcBorders>
              <w:top w:val="single" w:sz="8" w:space="0" w:color="F3CFC1"/>
              <w:left w:val="single" w:sz="4" w:space="0" w:color="FFFFFF" w:themeColor="background1"/>
              <w:bottom w:val="single" w:sz="8" w:space="0" w:color="F3CFC1"/>
              <w:right w:val="single" w:sz="8" w:space="0" w:color="D2232A"/>
            </w:tcBorders>
            <w:shd w:val="clear" w:color="auto" w:fill="D2232A" w:themeFill="accent1"/>
            <w:vAlign w:val="center"/>
            <w:hideMark/>
          </w:tcPr>
          <w:p w14:paraId="6ACCD9FB" w14:textId="77777777" w:rsidR="00044A3D" w:rsidRPr="008B6817" w:rsidRDefault="00044A3D" w:rsidP="007B6D14">
            <w:pPr>
              <w:spacing w:after="0"/>
              <w:jc w:val="center"/>
              <w:rPr>
                <w:rFonts w:cstheme="minorHAnsi"/>
                <w:b/>
                <w:bCs/>
                <w:color w:val="FFFFFF" w:themeColor="background1"/>
                <w:szCs w:val="18"/>
                <w:lang w:eastAsia="hr-HR"/>
              </w:rPr>
            </w:pPr>
            <w:r w:rsidRPr="008B6817">
              <w:rPr>
                <w:rFonts w:cstheme="minorHAnsi"/>
                <w:b/>
                <w:bCs/>
                <w:color w:val="FFFFFF" w:themeColor="background1"/>
                <w:szCs w:val="18"/>
                <w:lang w:eastAsia="hr-HR"/>
              </w:rPr>
              <w:t>146</w:t>
            </w:r>
          </w:p>
        </w:tc>
        <w:tc>
          <w:tcPr>
            <w:tcW w:w="0" w:type="auto"/>
            <w:tcBorders>
              <w:top w:val="single" w:sz="8" w:space="0" w:color="F3CFC1"/>
              <w:left w:val="single" w:sz="4" w:space="0" w:color="FFFFFF" w:themeColor="background1"/>
              <w:bottom w:val="single" w:sz="8" w:space="0" w:color="F3CFC1"/>
              <w:right w:val="single" w:sz="8" w:space="0" w:color="D2232A"/>
            </w:tcBorders>
            <w:shd w:val="clear" w:color="auto" w:fill="D2232A" w:themeFill="accent1"/>
            <w:vAlign w:val="center"/>
          </w:tcPr>
          <w:p w14:paraId="0B300867" w14:textId="5CAF4673" w:rsidR="00044A3D" w:rsidRPr="008B6817" w:rsidRDefault="008533DE" w:rsidP="007B6D14">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172</w:t>
            </w:r>
          </w:p>
        </w:tc>
        <w:tc>
          <w:tcPr>
            <w:tcW w:w="0" w:type="auto"/>
            <w:tcBorders>
              <w:top w:val="single" w:sz="8" w:space="0" w:color="F3CFC1"/>
              <w:left w:val="single" w:sz="4" w:space="0" w:color="FFFFFF" w:themeColor="background1"/>
              <w:bottom w:val="single" w:sz="8" w:space="0" w:color="F3CFC1"/>
              <w:right w:val="single" w:sz="8" w:space="0" w:color="D2232A"/>
            </w:tcBorders>
            <w:shd w:val="clear" w:color="auto" w:fill="D2232A" w:themeFill="accent1"/>
            <w:vAlign w:val="center"/>
          </w:tcPr>
          <w:p w14:paraId="65E849BB" w14:textId="1EF3D216" w:rsidR="00044A3D" w:rsidRPr="008B6817" w:rsidRDefault="008533DE" w:rsidP="007B6D14">
            <w:pPr>
              <w:spacing w:after="0"/>
              <w:jc w:val="center"/>
              <w:rPr>
                <w:rFonts w:cstheme="minorHAnsi"/>
                <w:b/>
                <w:bCs/>
                <w:color w:val="FFFFFF" w:themeColor="background1"/>
                <w:szCs w:val="18"/>
                <w:lang w:eastAsia="hr-HR"/>
              </w:rPr>
            </w:pPr>
            <w:r>
              <w:rPr>
                <w:rFonts w:cstheme="minorHAnsi"/>
                <w:b/>
                <w:bCs/>
                <w:color w:val="FFFFFF" w:themeColor="background1"/>
                <w:szCs w:val="18"/>
                <w:lang w:eastAsia="hr-HR"/>
              </w:rPr>
              <w:t>140</w:t>
            </w:r>
          </w:p>
        </w:tc>
      </w:tr>
    </w:tbl>
    <w:p w14:paraId="4F8823DB" w14:textId="3FFE8881" w:rsidR="007B6D14" w:rsidRPr="00A40471" w:rsidRDefault="008878A0" w:rsidP="00A40471">
      <w:pPr>
        <w:autoSpaceDE w:val="0"/>
        <w:autoSpaceDN w:val="0"/>
        <w:adjustRightInd w:val="0"/>
        <w:spacing w:after="0" w:line="240" w:lineRule="auto"/>
        <w:rPr>
          <w:rFonts w:eastAsia="ArialNarrow" w:cstheme="minorHAnsi"/>
          <w:i/>
          <w:color w:val="ABABAB" w:themeColor="text1" w:themeTint="A6"/>
          <w:sz w:val="16"/>
          <w:szCs w:val="16"/>
        </w:rPr>
      </w:pPr>
      <w:r w:rsidRPr="00A40471">
        <w:rPr>
          <w:rFonts w:eastAsia="ArialNarrow" w:cstheme="minorHAnsi"/>
          <w:i/>
          <w:color w:val="ABABAB" w:themeColor="text1" w:themeTint="A6"/>
          <w:sz w:val="16"/>
          <w:szCs w:val="16"/>
        </w:rPr>
        <w:t>Izvor: HGK</w:t>
      </w:r>
      <w:r w:rsidR="00634296" w:rsidRPr="00A40471">
        <w:rPr>
          <w:rFonts w:eastAsia="ArialNarrow" w:cstheme="minorHAnsi"/>
          <w:i/>
          <w:color w:val="ABABAB" w:themeColor="text1" w:themeTint="A6"/>
          <w:sz w:val="16"/>
          <w:szCs w:val="16"/>
        </w:rPr>
        <w:t xml:space="preserve"> ŽK Krapina</w:t>
      </w:r>
      <w:r w:rsidRPr="00A40471">
        <w:rPr>
          <w:rFonts w:eastAsia="ArialNarrow" w:cstheme="minorHAnsi"/>
          <w:i/>
          <w:color w:val="ABABAB" w:themeColor="text1" w:themeTint="A6"/>
          <w:sz w:val="16"/>
          <w:szCs w:val="16"/>
        </w:rPr>
        <w:t>, 20</w:t>
      </w:r>
      <w:r w:rsidR="007B6D14" w:rsidRPr="00A40471">
        <w:rPr>
          <w:rFonts w:eastAsia="ArialNarrow" w:cstheme="minorHAnsi"/>
          <w:i/>
          <w:color w:val="ABABAB" w:themeColor="text1" w:themeTint="A6"/>
          <w:sz w:val="16"/>
          <w:szCs w:val="16"/>
        </w:rPr>
        <w:t>2</w:t>
      </w:r>
      <w:r w:rsidR="008533DE" w:rsidRPr="00A40471">
        <w:rPr>
          <w:rFonts w:eastAsia="ArialNarrow" w:cstheme="minorHAnsi"/>
          <w:i/>
          <w:color w:val="ABABAB" w:themeColor="text1" w:themeTint="A6"/>
          <w:sz w:val="16"/>
          <w:szCs w:val="16"/>
        </w:rPr>
        <w:t>1</w:t>
      </w:r>
      <w:r w:rsidRPr="00A40471">
        <w:rPr>
          <w:rFonts w:eastAsia="ArialNarrow" w:cstheme="minorHAnsi"/>
          <w:i/>
          <w:color w:val="ABABAB" w:themeColor="text1" w:themeTint="A6"/>
          <w:sz w:val="16"/>
          <w:szCs w:val="16"/>
        </w:rPr>
        <w:t>.</w:t>
      </w:r>
    </w:p>
    <w:p w14:paraId="41DA2961" w14:textId="77777777" w:rsidR="007B6D14" w:rsidRDefault="007B6D14" w:rsidP="00941871">
      <w:pPr>
        <w:spacing w:before="3" w:line="220" w:lineRule="exact"/>
        <w:rPr>
          <w:rFonts w:cstheme="minorHAnsi"/>
        </w:rPr>
      </w:pPr>
    </w:p>
    <w:p w14:paraId="21584F8D" w14:textId="4B89227B" w:rsidR="008878A0" w:rsidRDefault="00B601EE" w:rsidP="0052192B">
      <w:pPr>
        <w:pStyle w:val="Naslov2"/>
        <w:rPr>
          <w:w w:val="99"/>
        </w:rPr>
      </w:pPr>
      <w:bookmarkStart w:id="146" w:name="_Toc85181329"/>
      <w:r>
        <w:rPr>
          <w:w w:val="99"/>
        </w:rPr>
        <w:t>10</w:t>
      </w:r>
      <w:r w:rsidR="008878A0">
        <w:rPr>
          <w:w w:val="99"/>
        </w:rPr>
        <w:t>.</w:t>
      </w:r>
      <w:r w:rsidR="007D6366">
        <w:rPr>
          <w:w w:val="99"/>
        </w:rPr>
        <w:t>5</w:t>
      </w:r>
      <w:r w:rsidR="008878A0">
        <w:rPr>
          <w:w w:val="99"/>
        </w:rPr>
        <w:t xml:space="preserve">. </w:t>
      </w:r>
      <w:r w:rsidR="008878A0">
        <w:t>Osnovni</w:t>
      </w:r>
      <w:r w:rsidR="008878A0">
        <w:rPr>
          <w:w w:val="99"/>
        </w:rPr>
        <w:t xml:space="preserve"> pokazatelji poduzetništva Krapinsko-zagorske županije</w:t>
      </w:r>
      <w:bookmarkEnd w:id="146"/>
    </w:p>
    <w:p w14:paraId="472849BA" w14:textId="77777777" w:rsidR="007A731C" w:rsidRDefault="007A731C" w:rsidP="4E193667">
      <w:pPr>
        <w:ind w:right="72"/>
        <w:rPr>
          <w:rFonts w:eastAsia="Arial Narrow"/>
          <w:spacing w:val="-1"/>
        </w:rPr>
      </w:pPr>
    </w:p>
    <w:p w14:paraId="53F0AAE0" w14:textId="0C3ACF1D" w:rsidR="008878A0" w:rsidRDefault="008878A0" w:rsidP="4E193667">
      <w:pPr>
        <w:ind w:right="72"/>
        <w:rPr>
          <w:rFonts w:eastAsia="Arial Narrow"/>
          <w:spacing w:val="-1"/>
        </w:rPr>
      </w:pPr>
      <w:r w:rsidRPr="4E193667">
        <w:rPr>
          <w:rFonts w:eastAsia="Arial Narrow"/>
          <w:spacing w:val="-1"/>
        </w:rPr>
        <w:t xml:space="preserve">U proteklih </w:t>
      </w:r>
      <w:r w:rsidR="524AD9FC" w:rsidRPr="4E193667">
        <w:rPr>
          <w:rFonts w:eastAsia="Arial Narrow"/>
          <w:spacing w:val="-1"/>
        </w:rPr>
        <w:t>10</w:t>
      </w:r>
      <w:r w:rsidRPr="4E193667">
        <w:rPr>
          <w:rFonts w:eastAsia="Arial Narrow"/>
          <w:spacing w:val="-1"/>
        </w:rPr>
        <w:t xml:space="preserve"> godin</w:t>
      </w:r>
      <w:r w:rsidR="00C9137A" w:rsidRPr="4E193667">
        <w:rPr>
          <w:rFonts w:eastAsia="Arial Narrow"/>
          <w:spacing w:val="-1"/>
        </w:rPr>
        <w:t>a prisutan je uzlazni</w:t>
      </w:r>
      <w:r w:rsidRPr="4E193667">
        <w:rPr>
          <w:rFonts w:eastAsia="Arial Narrow"/>
          <w:spacing w:val="-1"/>
        </w:rPr>
        <w:t xml:space="preserve"> trend kod svih razmatranih pokazatelja, iako su prisutne manje fluktuacije pojedinih pokazatelja</w:t>
      </w:r>
      <w:r w:rsidR="00C9137A" w:rsidRPr="4E193667">
        <w:rPr>
          <w:rFonts w:eastAsia="Arial Narrow"/>
          <w:spacing w:val="-1"/>
        </w:rPr>
        <w:t xml:space="preserve"> na godišnjoj razini</w:t>
      </w:r>
      <w:r w:rsidRPr="4E193667">
        <w:rPr>
          <w:rFonts w:eastAsia="Arial Narrow"/>
          <w:spacing w:val="-1"/>
        </w:rPr>
        <w:t>. Bazni indeks u odnosu na 2010. godinu pokazuje rast svih pokazatelja. Najveći rast ostvaren je u dobiti nakon oporezivanja, čak za 1</w:t>
      </w:r>
      <w:r w:rsidR="2D99AD8D" w:rsidRPr="4E193667">
        <w:rPr>
          <w:rFonts w:eastAsia="Arial Narrow"/>
          <w:spacing w:val="-1"/>
        </w:rPr>
        <w:t>85</w:t>
      </w:r>
      <w:r w:rsidRPr="4E193667">
        <w:rPr>
          <w:rFonts w:eastAsia="Arial Narrow"/>
          <w:spacing w:val="-1"/>
        </w:rPr>
        <w:t>%. Slijedi rast broja poduzetnika za 4</w:t>
      </w:r>
      <w:r w:rsidR="54100429" w:rsidRPr="4E193667">
        <w:rPr>
          <w:rFonts w:eastAsia="Arial Narrow"/>
          <w:spacing w:val="-1"/>
        </w:rPr>
        <w:t>8</w:t>
      </w:r>
      <w:r w:rsidRPr="4E193667">
        <w:rPr>
          <w:rFonts w:eastAsia="Arial Narrow"/>
          <w:spacing w:val="-1"/>
        </w:rPr>
        <w:t xml:space="preserve">%, rast ukupnih prihoda za </w:t>
      </w:r>
      <w:r w:rsidR="551C9A02" w:rsidRPr="4E193667">
        <w:rPr>
          <w:rFonts w:eastAsia="Arial Narrow"/>
          <w:spacing w:val="-1"/>
        </w:rPr>
        <w:t>46</w:t>
      </w:r>
      <w:r w:rsidRPr="4E193667">
        <w:rPr>
          <w:rFonts w:eastAsia="Arial Narrow"/>
          <w:spacing w:val="-1"/>
        </w:rPr>
        <w:t>%, rast ukupnih rashoda za 3</w:t>
      </w:r>
      <w:r w:rsidR="0913E7A4" w:rsidRPr="4E193667">
        <w:rPr>
          <w:rFonts w:eastAsia="Arial Narrow"/>
          <w:spacing w:val="-1"/>
        </w:rPr>
        <w:t>8</w:t>
      </w:r>
      <w:r w:rsidRPr="4E193667">
        <w:rPr>
          <w:rFonts w:eastAsia="Arial Narrow"/>
          <w:spacing w:val="-1"/>
        </w:rPr>
        <w:t xml:space="preserve">%, neto plaća za </w:t>
      </w:r>
      <w:r w:rsidR="212D5B34" w:rsidRPr="4E193667">
        <w:rPr>
          <w:rFonts w:eastAsia="Arial Narrow"/>
          <w:spacing w:val="-1"/>
        </w:rPr>
        <w:t>34</w:t>
      </w:r>
      <w:r w:rsidRPr="4E193667">
        <w:rPr>
          <w:rFonts w:eastAsia="Arial Narrow"/>
          <w:spacing w:val="-1"/>
        </w:rPr>
        <w:t>% i rast broja zaposlenih za 2</w:t>
      </w:r>
      <w:r w:rsidR="248A94A2" w:rsidRPr="4E193667">
        <w:rPr>
          <w:rFonts w:eastAsia="Arial Narrow"/>
          <w:spacing w:val="-1"/>
        </w:rPr>
        <w:t>8</w:t>
      </w:r>
      <w:r w:rsidRPr="4E193667">
        <w:rPr>
          <w:rFonts w:eastAsia="Arial Narrow"/>
          <w:spacing w:val="-1"/>
        </w:rPr>
        <w:t>%. Gubitak nakon oporezivanja je smanjen</w:t>
      </w:r>
      <w:r w:rsidR="1173F150" w:rsidRPr="4E193667">
        <w:rPr>
          <w:rFonts w:eastAsia="Arial Narrow"/>
          <w:spacing w:val="-1"/>
        </w:rPr>
        <w:t xml:space="preserve"> (uz fluktuacije)</w:t>
      </w:r>
      <w:r w:rsidRPr="4E193667">
        <w:rPr>
          <w:rFonts w:eastAsia="Arial Narrow"/>
          <w:spacing w:val="-1"/>
        </w:rPr>
        <w:t xml:space="preserve"> za 5</w:t>
      </w:r>
      <w:r w:rsidR="19DA89AF" w:rsidRPr="4E193667">
        <w:rPr>
          <w:rFonts w:eastAsia="Arial Narrow"/>
          <w:spacing w:val="-1"/>
        </w:rPr>
        <w:t>5</w:t>
      </w:r>
      <w:r w:rsidRPr="4E193667">
        <w:rPr>
          <w:rFonts w:eastAsia="Arial Narrow"/>
          <w:spacing w:val="-1"/>
        </w:rPr>
        <w:t xml:space="preserve">%. </w:t>
      </w:r>
    </w:p>
    <w:p w14:paraId="2BC20E35" w14:textId="77777777" w:rsidR="002F7DCC" w:rsidRDefault="002F7DCC" w:rsidP="00941871">
      <w:pPr>
        <w:ind w:right="72"/>
        <w:rPr>
          <w:rFonts w:eastAsia="Arial Narrow" w:cstheme="minorHAnsi"/>
          <w:spacing w:val="-1"/>
        </w:rPr>
      </w:pPr>
    </w:p>
    <w:p w14:paraId="52D842FB" w14:textId="09DD0557" w:rsidR="008878A0" w:rsidRDefault="008878A0" w:rsidP="003E3F3C">
      <w:pPr>
        <w:pStyle w:val="Opisslike"/>
      </w:pPr>
      <w:r>
        <w:t xml:space="preserve">Tablica </w:t>
      </w:r>
      <w:r w:rsidR="000D5E3F">
        <w:rPr>
          <w:noProof/>
        </w:rPr>
        <w:t>80</w:t>
      </w:r>
      <w:r w:rsidR="001838EE" w:rsidRPr="4E193667">
        <w:rPr>
          <w:noProof/>
        </w:rPr>
        <w:t>.</w:t>
      </w:r>
      <w:r>
        <w:t xml:space="preserve"> Osnovni pokazatelji poduzetništva u Krapinsko-zagorskoj županiji, 2010. – 201</w:t>
      </w:r>
      <w:r w:rsidR="11DB899C">
        <w:t>9</w:t>
      </w:r>
      <w:r>
        <w:t>.</w:t>
      </w:r>
      <w:r w:rsidR="00C9137A">
        <w:t xml:space="preserve"> godina</w:t>
      </w:r>
    </w:p>
    <w:tbl>
      <w:tblPr>
        <w:tblStyle w:val="Reetkatablice"/>
        <w:tblW w:w="9562" w:type="dxa"/>
        <w:tblInd w:w="0" w:type="dxa"/>
        <w:tblLayout w:type="fixed"/>
        <w:tblLook w:val="06A0" w:firstRow="1" w:lastRow="0" w:firstColumn="1" w:lastColumn="0" w:noHBand="1" w:noVBand="1"/>
      </w:tblPr>
      <w:tblGrid>
        <w:gridCol w:w="846"/>
        <w:gridCol w:w="850"/>
        <w:gridCol w:w="826"/>
        <w:gridCol w:w="797"/>
        <w:gridCol w:w="797"/>
        <w:gridCol w:w="797"/>
        <w:gridCol w:w="797"/>
        <w:gridCol w:w="797"/>
        <w:gridCol w:w="797"/>
        <w:gridCol w:w="774"/>
        <w:gridCol w:w="709"/>
        <w:gridCol w:w="775"/>
      </w:tblGrid>
      <w:tr w:rsidR="002F6CB6" w14:paraId="0EFC4096" w14:textId="77777777" w:rsidTr="002461A2">
        <w:trPr>
          <w:trHeight w:val="728"/>
        </w:trPr>
        <w:tc>
          <w:tcPr>
            <w:tcW w:w="846" w:type="dxa"/>
            <w:tcBorders>
              <w:top w:val="nil"/>
              <w:left w:val="single" w:sz="4" w:space="0" w:color="FFFFFF" w:themeColor="background1"/>
              <w:bottom w:val="single" w:sz="4" w:space="0" w:color="FFFFFF" w:themeColor="background1"/>
              <w:right w:val="single" w:sz="8" w:space="0" w:color="FFFFFF" w:themeColor="background1"/>
            </w:tcBorders>
            <w:shd w:val="clear" w:color="auto" w:fill="D2232A" w:themeFill="accent1"/>
            <w:vAlign w:val="center"/>
          </w:tcPr>
          <w:p w14:paraId="60EBDBC3" w14:textId="0F1B3B45" w:rsidR="4E193667" w:rsidRDefault="4E193667" w:rsidP="00F25CD5">
            <w:pPr>
              <w:spacing w:line="264" w:lineRule="auto"/>
            </w:pPr>
            <w:r w:rsidRPr="00F25CD5">
              <w:rPr>
                <w:rFonts w:eastAsiaTheme="minorEastAsia" w:cstheme="minorHAnsi"/>
                <w:bCs/>
                <w:color w:val="FFFFFF"/>
                <w:szCs w:val="18"/>
                <w:lang w:eastAsia="hr-HR"/>
              </w:rPr>
              <w:t>Godina</w:t>
            </w:r>
            <w:r w:rsidRPr="4E193667">
              <w:rPr>
                <w:rFonts w:ascii="Arial" w:eastAsia="Arial" w:hAnsi="Arial" w:cs="Arial"/>
                <w:color w:val="FFFFFF" w:themeColor="background1"/>
                <w:szCs w:val="18"/>
              </w:rPr>
              <w:t xml:space="preserve"> </w:t>
            </w:r>
          </w:p>
        </w:tc>
        <w:tc>
          <w:tcPr>
            <w:tcW w:w="850" w:type="dxa"/>
            <w:tcBorders>
              <w:top w:val="single" w:sz="4" w:space="0" w:color="000000"/>
              <w:left w:val="single" w:sz="8" w:space="0" w:color="FFFFFF" w:themeColor="background1"/>
              <w:bottom w:val="single" w:sz="4" w:space="0" w:color="FFFFFF" w:themeColor="background1"/>
              <w:right w:val="single" w:sz="8" w:space="0" w:color="FFFFFF" w:themeColor="background1"/>
            </w:tcBorders>
            <w:shd w:val="clear" w:color="auto" w:fill="D2232A" w:themeFill="accent1"/>
            <w:vAlign w:val="center"/>
          </w:tcPr>
          <w:p w14:paraId="763FC8C8" w14:textId="715E5E98"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2010. </w:t>
            </w:r>
          </w:p>
        </w:tc>
        <w:tc>
          <w:tcPr>
            <w:tcW w:w="826" w:type="dxa"/>
            <w:tcBorders>
              <w:top w:val="single" w:sz="4" w:space="0" w:color="000000"/>
              <w:left w:val="single" w:sz="8" w:space="0" w:color="FFFFFF" w:themeColor="background1"/>
              <w:bottom w:val="single" w:sz="4" w:space="0" w:color="FFFFFF" w:themeColor="background1"/>
              <w:right w:val="single" w:sz="8" w:space="0" w:color="FFFFFF" w:themeColor="background1"/>
            </w:tcBorders>
            <w:shd w:val="clear" w:color="auto" w:fill="D2232A" w:themeFill="accent1"/>
            <w:vAlign w:val="center"/>
          </w:tcPr>
          <w:p w14:paraId="7B3FDFF5" w14:textId="3D079B7B"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2011. </w:t>
            </w:r>
          </w:p>
        </w:tc>
        <w:tc>
          <w:tcPr>
            <w:tcW w:w="797" w:type="dxa"/>
            <w:tcBorders>
              <w:top w:val="single" w:sz="4" w:space="0" w:color="000000"/>
              <w:left w:val="single" w:sz="8" w:space="0" w:color="FFFFFF" w:themeColor="background1"/>
              <w:bottom w:val="single" w:sz="4" w:space="0" w:color="FFFFFF" w:themeColor="background1"/>
              <w:right w:val="single" w:sz="8" w:space="0" w:color="FFFFFF" w:themeColor="background1"/>
            </w:tcBorders>
            <w:shd w:val="clear" w:color="auto" w:fill="D2232A" w:themeFill="accent1"/>
            <w:vAlign w:val="center"/>
          </w:tcPr>
          <w:p w14:paraId="11D63A61" w14:textId="08070B6E"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2012. </w:t>
            </w:r>
          </w:p>
        </w:tc>
        <w:tc>
          <w:tcPr>
            <w:tcW w:w="797" w:type="dxa"/>
            <w:tcBorders>
              <w:top w:val="single" w:sz="4" w:space="0" w:color="000000"/>
              <w:left w:val="single" w:sz="8" w:space="0" w:color="FFFFFF" w:themeColor="background1"/>
              <w:bottom w:val="single" w:sz="4" w:space="0" w:color="FFFFFF" w:themeColor="background1"/>
              <w:right w:val="single" w:sz="8" w:space="0" w:color="FFFFFF" w:themeColor="background1"/>
            </w:tcBorders>
            <w:shd w:val="clear" w:color="auto" w:fill="D2232A" w:themeFill="accent1"/>
            <w:vAlign w:val="center"/>
          </w:tcPr>
          <w:p w14:paraId="10AA9F13" w14:textId="665FBB23"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2013. </w:t>
            </w:r>
          </w:p>
        </w:tc>
        <w:tc>
          <w:tcPr>
            <w:tcW w:w="797" w:type="dxa"/>
            <w:tcBorders>
              <w:top w:val="single" w:sz="4" w:space="0" w:color="000000"/>
              <w:left w:val="single" w:sz="8" w:space="0" w:color="FFFFFF" w:themeColor="background1"/>
              <w:bottom w:val="single" w:sz="4" w:space="0" w:color="FFFFFF" w:themeColor="background1"/>
              <w:right w:val="single" w:sz="8" w:space="0" w:color="FFFFFF" w:themeColor="background1"/>
            </w:tcBorders>
            <w:shd w:val="clear" w:color="auto" w:fill="D2232A" w:themeFill="accent1"/>
            <w:vAlign w:val="center"/>
          </w:tcPr>
          <w:p w14:paraId="6C68BD4A" w14:textId="59D49136"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2014. </w:t>
            </w:r>
          </w:p>
        </w:tc>
        <w:tc>
          <w:tcPr>
            <w:tcW w:w="797" w:type="dxa"/>
            <w:tcBorders>
              <w:top w:val="single" w:sz="4" w:space="0" w:color="000000"/>
              <w:left w:val="single" w:sz="8" w:space="0" w:color="FFFFFF" w:themeColor="background1"/>
              <w:bottom w:val="single" w:sz="4" w:space="0" w:color="FFFFFF" w:themeColor="background1"/>
              <w:right w:val="single" w:sz="4" w:space="0" w:color="EC8E92" w:themeColor="accent6"/>
            </w:tcBorders>
            <w:shd w:val="clear" w:color="auto" w:fill="D2232A" w:themeFill="accent1"/>
            <w:vAlign w:val="center"/>
          </w:tcPr>
          <w:p w14:paraId="7ED6E2BA" w14:textId="796F289A"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2015. </w:t>
            </w:r>
          </w:p>
        </w:tc>
        <w:tc>
          <w:tcPr>
            <w:tcW w:w="797" w:type="dxa"/>
            <w:tcBorders>
              <w:top w:val="single" w:sz="4" w:space="0" w:color="000000"/>
              <w:left w:val="single" w:sz="4" w:space="0" w:color="EC8E92" w:themeColor="accent6"/>
              <w:bottom w:val="single" w:sz="4" w:space="0" w:color="FFFFFF" w:themeColor="background1"/>
              <w:right w:val="single" w:sz="8" w:space="0" w:color="FFFFFF" w:themeColor="background1"/>
            </w:tcBorders>
            <w:shd w:val="clear" w:color="auto" w:fill="D2232A" w:themeFill="accent1"/>
            <w:vAlign w:val="center"/>
          </w:tcPr>
          <w:p w14:paraId="54748FB3" w14:textId="7DC54424"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2016. </w:t>
            </w:r>
          </w:p>
        </w:tc>
        <w:tc>
          <w:tcPr>
            <w:tcW w:w="797" w:type="dxa"/>
            <w:tcBorders>
              <w:top w:val="single" w:sz="4" w:space="0" w:color="000000"/>
              <w:left w:val="single" w:sz="8" w:space="0" w:color="FFFFFF" w:themeColor="background1"/>
              <w:bottom w:val="single" w:sz="4" w:space="0" w:color="FFFFFF" w:themeColor="background1"/>
              <w:right w:val="single" w:sz="8" w:space="0" w:color="FFFFFF" w:themeColor="background1"/>
            </w:tcBorders>
            <w:shd w:val="clear" w:color="auto" w:fill="D2232A" w:themeFill="accent1"/>
            <w:vAlign w:val="center"/>
          </w:tcPr>
          <w:p w14:paraId="7D28A1AB" w14:textId="58C4154C"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2017. </w:t>
            </w:r>
          </w:p>
        </w:tc>
        <w:tc>
          <w:tcPr>
            <w:tcW w:w="774" w:type="dxa"/>
            <w:tcBorders>
              <w:top w:val="single" w:sz="4" w:space="0" w:color="000000"/>
              <w:left w:val="single" w:sz="8" w:space="0" w:color="FFFFFF" w:themeColor="background1"/>
              <w:bottom w:val="single" w:sz="4" w:space="0" w:color="FFFFFF" w:themeColor="background1"/>
              <w:right w:val="single" w:sz="8" w:space="0" w:color="FFFFFF" w:themeColor="background1"/>
            </w:tcBorders>
            <w:shd w:val="clear" w:color="auto" w:fill="D2232A" w:themeFill="accent1"/>
            <w:vAlign w:val="center"/>
          </w:tcPr>
          <w:p w14:paraId="4CE53D41" w14:textId="705E42A0"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2018. </w:t>
            </w:r>
          </w:p>
        </w:tc>
        <w:tc>
          <w:tcPr>
            <w:tcW w:w="709" w:type="dxa"/>
            <w:tcBorders>
              <w:top w:val="single" w:sz="4" w:space="0" w:color="000000"/>
              <w:left w:val="single" w:sz="8" w:space="0" w:color="FFFFFF" w:themeColor="background1"/>
              <w:bottom w:val="single" w:sz="4" w:space="0" w:color="FFFFFF" w:themeColor="background1"/>
              <w:right w:val="single" w:sz="8" w:space="0" w:color="FFFFFF" w:themeColor="background1"/>
            </w:tcBorders>
            <w:shd w:val="clear" w:color="auto" w:fill="D2232A" w:themeFill="accent1"/>
            <w:vAlign w:val="center"/>
          </w:tcPr>
          <w:p w14:paraId="3827BAB7" w14:textId="3A78BA25" w:rsidR="4E193667" w:rsidRPr="002F6CB6" w:rsidRDefault="4E193667" w:rsidP="002F6CB6">
            <w:pPr>
              <w:spacing w:line="264" w:lineRule="auto"/>
              <w:jc w:val="right"/>
              <w:rPr>
                <w:rFonts w:cstheme="minorHAnsi"/>
                <w:b/>
                <w:bCs/>
                <w:color w:val="FFFFFF" w:themeColor="background1"/>
                <w:szCs w:val="18"/>
                <w:lang w:eastAsia="hr-HR"/>
              </w:rPr>
            </w:pPr>
            <w:r w:rsidRPr="002F6CB6">
              <w:rPr>
                <w:rFonts w:eastAsiaTheme="minorEastAsia" w:cstheme="minorHAnsi"/>
                <w:b/>
                <w:bCs/>
                <w:color w:val="FFFFFF" w:themeColor="background1"/>
                <w:szCs w:val="18"/>
                <w:lang w:eastAsia="hr-HR"/>
              </w:rPr>
              <w:t xml:space="preserve">2019. </w:t>
            </w:r>
          </w:p>
        </w:tc>
        <w:tc>
          <w:tcPr>
            <w:tcW w:w="775" w:type="dxa"/>
            <w:tcBorders>
              <w:top w:val="single" w:sz="4" w:space="0" w:color="000000"/>
              <w:left w:val="single" w:sz="8" w:space="0" w:color="FFFFFF" w:themeColor="background1"/>
              <w:bottom w:val="single" w:sz="4" w:space="0" w:color="FFFFFF" w:themeColor="background1"/>
              <w:right w:val="single" w:sz="4" w:space="0" w:color="EC8E92" w:themeColor="accent6"/>
            </w:tcBorders>
            <w:shd w:val="clear" w:color="auto" w:fill="D2232A" w:themeFill="accent1"/>
            <w:vAlign w:val="center"/>
          </w:tcPr>
          <w:p w14:paraId="095BB0D1" w14:textId="01FCA53D" w:rsidR="4E193667" w:rsidRDefault="4E193667" w:rsidP="4E193667">
            <w:pPr>
              <w:jc w:val="center"/>
            </w:pPr>
            <w:r w:rsidRPr="002F6CB6">
              <w:rPr>
                <w:rFonts w:eastAsiaTheme="minorEastAsia" w:cstheme="minorHAnsi"/>
                <w:b/>
                <w:bCs/>
                <w:color w:val="FFFFFF" w:themeColor="background1"/>
                <w:szCs w:val="18"/>
                <w:lang w:eastAsia="hr-HR"/>
              </w:rPr>
              <w:t>Indeks 2019./2010</w:t>
            </w:r>
            <w:r w:rsidRPr="4E193667">
              <w:rPr>
                <w:rFonts w:ascii="Arial" w:eastAsia="Arial" w:hAnsi="Arial" w:cs="Arial"/>
                <w:b/>
                <w:bCs/>
                <w:color w:val="FFFFFF" w:themeColor="background1"/>
                <w:szCs w:val="18"/>
              </w:rPr>
              <w:t>.</w:t>
            </w:r>
            <w:r w:rsidRPr="4E193667">
              <w:rPr>
                <w:rFonts w:ascii="Arial" w:eastAsia="Arial" w:hAnsi="Arial" w:cs="Arial"/>
                <w:color w:val="FFFFFF" w:themeColor="background1"/>
                <w:szCs w:val="18"/>
              </w:rPr>
              <w:t xml:space="preserve"> </w:t>
            </w:r>
          </w:p>
        </w:tc>
      </w:tr>
      <w:tr w:rsidR="009A0500" w14:paraId="55C44DF8" w14:textId="77777777" w:rsidTr="002461A2">
        <w:trPr>
          <w:trHeight w:val="469"/>
        </w:trPr>
        <w:tc>
          <w:tcPr>
            <w:tcW w:w="846" w:type="dxa"/>
            <w:tcBorders>
              <w:top w:val="single" w:sz="4" w:space="0" w:color="FFFFFF" w:themeColor="background1"/>
              <w:left w:val="single" w:sz="4" w:space="0" w:color="FFFFFF" w:themeColor="background1"/>
              <w:bottom w:val="single" w:sz="4" w:space="0" w:color="FFFFFF" w:themeColor="background1"/>
              <w:right w:val="single" w:sz="4" w:space="0" w:color="EC8E92" w:themeColor="accent6"/>
            </w:tcBorders>
            <w:shd w:val="clear" w:color="auto" w:fill="E5E5E5" w:themeFill="text1" w:themeFillTint="33"/>
            <w:vAlign w:val="center"/>
          </w:tcPr>
          <w:p w14:paraId="440BEF5F" w14:textId="59C7E197" w:rsidR="4E193667" w:rsidRPr="002461A2" w:rsidRDefault="4E193667" w:rsidP="002F6CB6">
            <w:pPr>
              <w:spacing w:line="264" w:lineRule="auto"/>
              <w:jc w:val="left"/>
              <w:rPr>
                <w:rFonts w:cstheme="minorHAnsi"/>
                <w:sz w:val="16"/>
                <w:szCs w:val="16"/>
                <w:lang w:eastAsia="hr-HR"/>
              </w:rPr>
            </w:pPr>
            <w:r w:rsidRPr="002461A2">
              <w:rPr>
                <w:rFonts w:eastAsiaTheme="minorEastAsia" w:cstheme="minorHAnsi"/>
                <w:sz w:val="16"/>
                <w:szCs w:val="16"/>
                <w:lang w:eastAsia="hr-HR"/>
              </w:rPr>
              <w:t xml:space="preserve">Broj poduzetnika </w:t>
            </w:r>
          </w:p>
        </w:tc>
        <w:tc>
          <w:tcPr>
            <w:tcW w:w="850"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21A573AA" w14:textId="5AE4801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1.586</w:t>
            </w:r>
          </w:p>
        </w:tc>
        <w:tc>
          <w:tcPr>
            <w:tcW w:w="826"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C496FA6" w14:textId="46340F69"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1.621</w:t>
            </w:r>
          </w:p>
        </w:tc>
        <w:tc>
          <w:tcPr>
            <w:tcW w:w="797"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DABB6CE" w14:textId="51BBB33E"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1.595</w:t>
            </w:r>
          </w:p>
        </w:tc>
        <w:tc>
          <w:tcPr>
            <w:tcW w:w="797"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57AA7C92" w14:textId="3F48960B"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1.670</w:t>
            </w:r>
          </w:p>
        </w:tc>
        <w:tc>
          <w:tcPr>
            <w:tcW w:w="797"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D03CB55" w14:textId="35AB9E31"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1.765</w:t>
            </w:r>
          </w:p>
        </w:tc>
        <w:tc>
          <w:tcPr>
            <w:tcW w:w="797"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F389236" w14:textId="0478E081"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1.829</w:t>
            </w:r>
          </w:p>
        </w:tc>
        <w:tc>
          <w:tcPr>
            <w:tcW w:w="797"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4065447" w14:textId="00A4B427"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1.975</w:t>
            </w:r>
          </w:p>
        </w:tc>
        <w:tc>
          <w:tcPr>
            <w:tcW w:w="797"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E5C51F1" w14:textId="2C520537"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2.033</w:t>
            </w:r>
          </w:p>
        </w:tc>
        <w:tc>
          <w:tcPr>
            <w:tcW w:w="774"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35DF3AB5" w14:textId="603F9174"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2.267</w:t>
            </w:r>
          </w:p>
        </w:tc>
        <w:tc>
          <w:tcPr>
            <w:tcW w:w="709"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436EEBB9" w14:textId="22916E06"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2.344</w:t>
            </w:r>
          </w:p>
        </w:tc>
        <w:tc>
          <w:tcPr>
            <w:tcW w:w="775" w:type="dxa"/>
            <w:tcBorders>
              <w:top w:val="single" w:sz="4" w:space="0" w:color="FFFFFF" w:themeColor="background1"/>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89298E6" w14:textId="3C132821"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147,79</w:t>
            </w:r>
          </w:p>
        </w:tc>
      </w:tr>
      <w:tr w:rsidR="009A0500" w14:paraId="7FB0BD49" w14:textId="77777777" w:rsidTr="002461A2">
        <w:trPr>
          <w:trHeight w:val="469"/>
        </w:trPr>
        <w:tc>
          <w:tcPr>
            <w:tcW w:w="846" w:type="dxa"/>
            <w:tcBorders>
              <w:top w:val="single" w:sz="4" w:space="0" w:color="FFFFFF" w:themeColor="background1"/>
              <w:left w:val="single" w:sz="4" w:space="0" w:color="FFFFFF" w:themeColor="background1"/>
              <w:bottom w:val="single" w:sz="4" w:space="0" w:color="FFFFFF" w:themeColor="background1"/>
              <w:right w:val="single" w:sz="4" w:space="0" w:color="EC8E92" w:themeColor="accent6"/>
            </w:tcBorders>
            <w:shd w:val="clear" w:color="auto" w:fill="E5E5E5" w:themeFill="text1" w:themeFillTint="33"/>
            <w:vAlign w:val="center"/>
          </w:tcPr>
          <w:p w14:paraId="56F90E60" w14:textId="355F4405" w:rsidR="4E193667" w:rsidRPr="002461A2" w:rsidRDefault="4E193667" w:rsidP="002F6CB6">
            <w:pPr>
              <w:spacing w:line="264" w:lineRule="auto"/>
              <w:jc w:val="left"/>
              <w:rPr>
                <w:rFonts w:cstheme="minorHAnsi"/>
                <w:sz w:val="16"/>
                <w:szCs w:val="16"/>
                <w:lang w:eastAsia="hr-HR"/>
              </w:rPr>
            </w:pPr>
            <w:r w:rsidRPr="002461A2">
              <w:rPr>
                <w:rFonts w:eastAsiaTheme="minorEastAsia" w:cstheme="minorHAnsi"/>
                <w:sz w:val="16"/>
                <w:szCs w:val="16"/>
                <w:lang w:eastAsia="hr-HR"/>
              </w:rPr>
              <w:t xml:space="preserve">Ukupni prihodi* </w:t>
            </w:r>
          </w:p>
        </w:tc>
        <w:tc>
          <w:tcPr>
            <w:tcW w:w="850"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A175174" w14:textId="736492F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9.341</w:t>
            </w:r>
          </w:p>
        </w:tc>
        <w:tc>
          <w:tcPr>
            <w:tcW w:w="826"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57168716" w14:textId="1C216251"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9.797</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394BA08" w14:textId="162B850C"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9.705</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80F6187" w14:textId="35C30997"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9.969</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2A2EE8DB" w14:textId="37855EB8"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9.889</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E3690E0" w14:textId="1C02E3EE"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10.128</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566D108" w14:textId="124B4127"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11.054</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939C9A0" w14:textId="36C18E49"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11.756</w:t>
            </w:r>
          </w:p>
        </w:tc>
        <w:tc>
          <w:tcPr>
            <w:tcW w:w="774"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4B96B74D" w14:textId="58C0B34F"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13.011</w:t>
            </w:r>
          </w:p>
        </w:tc>
        <w:tc>
          <w:tcPr>
            <w:tcW w:w="709"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49A6DD92" w14:textId="4036A263"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13.629</w:t>
            </w:r>
          </w:p>
        </w:tc>
        <w:tc>
          <w:tcPr>
            <w:tcW w:w="775"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2ADB5664" w14:textId="2297637F"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145,91</w:t>
            </w:r>
          </w:p>
        </w:tc>
      </w:tr>
      <w:tr w:rsidR="009A0500" w14:paraId="2A042C01" w14:textId="77777777" w:rsidTr="002461A2">
        <w:trPr>
          <w:trHeight w:val="469"/>
        </w:trPr>
        <w:tc>
          <w:tcPr>
            <w:tcW w:w="846" w:type="dxa"/>
            <w:tcBorders>
              <w:top w:val="single" w:sz="4" w:space="0" w:color="FFFFFF" w:themeColor="background1"/>
              <w:left w:val="single" w:sz="4" w:space="0" w:color="FFFFFF" w:themeColor="background1"/>
              <w:bottom w:val="single" w:sz="4" w:space="0" w:color="FFFFFF" w:themeColor="background1"/>
              <w:right w:val="single" w:sz="4" w:space="0" w:color="EC8E92" w:themeColor="accent6"/>
            </w:tcBorders>
            <w:shd w:val="clear" w:color="auto" w:fill="E5E5E5" w:themeFill="text1" w:themeFillTint="33"/>
            <w:vAlign w:val="center"/>
          </w:tcPr>
          <w:p w14:paraId="1C01CFDF" w14:textId="32795A18" w:rsidR="4E193667" w:rsidRPr="002461A2" w:rsidRDefault="4E193667" w:rsidP="002F6CB6">
            <w:pPr>
              <w:spacing w:line="264" w:lineRule="auto"/>
              <w:jc w:val="left"/>
              <w:rPr>
                <w:rFonts w:cstheme="minorHAnsi"/>
                <w:sz w:val="16"/>
                <w:szCs w:val="16"/>
                <w:lang w:eastAsia="hr-HR"/>
              </w:rPr>
            </w:pPr>
            <w:r w:rsidRPr="002461A2">
              <w:rPr>
                <w:rFonts w:eastAsiaTheme="minorEastAsia" w:cstheme="minorHAnsi"/>
                <w:sz w:val="16"/>
                <w:szCs w:val="16"/>
                <w:lang w:eastAsia="hr-HR"/>
              </w:rPr>
              <w:t xml:space="preserve">Ukupni rashodi* </w:t>
            </w:r>
          </w:p>
        </w:tc>
        <w:tc>
          <w:tcPr>
            <w:tcW w:w="850"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0BA3849" w14:textId="06BBACAF"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9.338</w:t>
            </w:r>
          </w:p>
        </w:tc>
        <w:tc>
          <w:tcPr>
            <w:tcW w:w="826"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D7F1E46" w14:textId="069DFD71"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9.898</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01B8C1A" w14:textId="370BBB6A"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9.687</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293150B7" w14:textId="75F3CD8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9.631</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7781F71" w14:textId="72044FD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9.623</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5DF89C24" w14:textId="0E5BCEE2"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9.656</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B7898D6" w14:textId="389EE13A"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10.332</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7C0E19D" w14:textId="27A5413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11.084</w:t>
            </w:r>
          </w:p>
        </w:tc>
        <w:tc>
          <w:tcPr>
            <w:tcW w:w="774"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DB48A80" w14:textId="128DA2A2"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12.296</w:t>
            </w:r>
          </w:p>
        </w:tc>
        <w:tc>
          <w:tcPr>
            <w:tcW w:w="709"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4B48D06" w14:textId="0B009160"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12.846</w:t>
            </w:r>
          </w:p>
        </w:tc>
        <w:tc>
          <w:tcPr>
            <w:tcW w:w="775"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3C649461" w14:textId="574658E8"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137,57</w:t>
            </w:r>
          </w:p>
        </w:tc>
      </w:tr>
      <w:tr w:rsidR="009A0500" w14:paraId="6017CC6B" w14:textId="77777777" w:rsidTr="002461A2">
        <w:trPr>
          <w:trHeight w:val="469"/>
        </w:trPr>
        <w:tc>
          <w:tcPr>
            <w:tcW w:w="846" w:type="dxa"/>
            <w:tcBorders>
              <w:top w:val="single" w:sz="4" w:space="0" w:color="FFFFFF" w:themeColor="background1"/>
              <w:left w:val="single" w:sz="4" w:space="0" w:color="FFFFFF" w:themeColor="background1"/>
              <w:bottom w:val="single" w:sz="4" w:space="0" w:color="FFFFFF" w:themeColor="background1"/>
              <w:right w:val="single" w:sz="4" w:space="0" w:color="EC8E92" w:themeColor="accent6"/>
            </w:tcBorders>
            <w:shd w:val="clear" w:color="auto" w:fill="E5E5E5" w:themeFill="text1" w:themeFillTint="33"/>
            <w:vAlign w:val="center"/>
          </w:tcPr>
          <w:p w14:paraId="352BB371" w14:textId="3E4D6DB1" w:rsidR="4E193667" w:rsidRPr="002461A2" w:rsidRDefault="4E193667" w:rsidP="002F6CB6">
            <w:pPr>
              <w:spacing w:line="264" w:lineRule="auto"/>
              <w:jc w:val="left"/>
              <w:rPr>
                <w:rFonts w:cstheme="minorHAnsi"/>
                <w:sz w:val="16"/>
                <w:szCs w:val="16"/>
                <w:lang w:eastAsia="hr-HR"/>
              </w:rPr>
            </w:pPr>
            <w:r w:rsidRPr="002461A2">
              <w:rPr>
                <w:rFonts w:eastAsiaTheme="minorEastAsia" w:cstheme="minorHAnsi"/>
                <w:sz w:val="16"/>
                <w:szCs w:val="16"/>
                <w:lang w:eastAsia="hr-HR"/>
              </w:rPr>
              <w:t xml:space="preserve">Dobit nakon oporezivanja* </w:t>
            </w:r>
          </w:p>
        </w:tc>
        <w:tc>
          <w:tcPr>
            <w:tcW w:w="850"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4789D2C2" w14:textId="3A7BBFFB"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301</w:t>
            </w:r>
          </w:p>
        </w:tc>
        <w:tc>
          <w:tcPr>
            <w:tcW w:w="826"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AAC233D" w14:textId="4D51D5FE"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384</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A431FAB" w14:textId="7CC1F23B"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457</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2EDE4B1" w14:textId="7BCF87FC"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466</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DD967CD" w14:textId="52E86983"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557</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507317C3" w14:textId="75797FA9"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565</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4C802133" w14:textId="4C71CB3F"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767</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4C6244BC" w14:textId="57F40694"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730</w:t>
            </w:r>
          </w:p>
        </w:tc>
        <w:tc>
          <w:tcPr>
            <w:tcW w:w="774"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B8A6FC4" w14:textId="1AFC0658"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743</w:t>
            </w:r>
          </w:p>
        </w:tc>
        <w:tc>
          <w:tcPr>
            <w:tcW w:w="709"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EFCDEB7" w14:textId="2FD5C872"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859</w:t>
            </w:r>
          </w:p>
        </w:tc>
        <w:tc>
          <w:tcPr>
            <w:tcW w:w="775"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35FDC789" w14:textId="6BF1F86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285,38</w:t>
            </w:r>
          </w:p>
        </w:tc>
      </w:tr>
      <w:tr w:rsidR="009A0500" w14:paraId="4D6A1C0F" w14:textId="77777777" w:rsidTr="002461A2">
        <w:trPr>
          <w:trHeight w:val="469"/>
        </w:trPr>
        <w:tc>
          <w:tcPr>
            <w:tcW w:w="846" w:type="dxa"/>
            <w:tcBorders>
              <w:top w:val="single" w:sz="4" w:space="0" w:color="FFFFFF" w:themeColor="background1"/>
              <w:left w:val="single" w:sz="4" w:space="0" w:color="FFFFFF" w:themeColor="background1"/>
              <w:bottom w:val="single" w:sz="4" w:space="0" w:color="FFFFFF" w:themeColor="background1"/>
              <w:right w:val="single" w:sz="4" w:space="0" w:color="EC8E92" w:themeColor="accent6"/>
            </w:tcBorders>
            <w:shd w:val="clear" w:color="auto" w:fill="E5E5E5" w:themeFill="text1" w:themeFillTint="33"/>
            <w:vAlign w:val="center"/>
          </w:tcPr>
          <w:p w14:paraId="7EA89924" w14:textId="1B0196C7" w:rsidR="4E193667" w:rsidRPr="002461A2" w:rsidRDefault="4E193667" w:rsidP="002F6CB6">
            <w:pPr>
              <w:spacing w:line="264" w:lineRule="auto"/>
              <w:jc w:val="left"/>
              <w:rPr>
                <w:rFonts w:cstheme="minorHAnsi"/>
                <w:sz w:val="16"/>
                <w:szCs w:val="16"/>
                <w:lang w:eastAsia="hr-HR"/>
              </w:rPr>
            </w:pPr>
            <w:r w:rsidRPr="002461A2">
              <w:rPr>
                <w:rFonts w:eastAsiaTheme="minorEastAsia" w:cstheme="minorHAnsi"/>
                <w:sz w:val="16"/>
                <w:szCs w:val="16"/>
                <w:lang w:eastAsia="hr-HR"/>
              </w:rPr>
              <w:t xml:space="preserve">Gubitak nakon oporezivanja </w:t>
            </w:r>
          </w:p>
        </w:tc>
        <w:tc>
          <w:tcPr>
            <w:tcW w:w="850"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1790810" w14:textId="6D3AF096"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358</w:t>
            </w:r>
          </w:p>
        </w:tc>
        <w:tc>
          <w:tcPr>
            <w:tcW w:w="826"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F5F0FDF" w14:textId="626745EE"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522</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214CA0D0" w14:textId="3507A5B0"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474</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1EC9D31" w14:textId="76738309"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207</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5B153C4" w14:textId="094D2D88"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347</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5C69D51F" w14:textId="06966C7F"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174</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6AB1277D" w14:textId="0C6F4492"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129</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56F97D43" w14:textId="557FF342"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165</w:t>
            </w:r>
          </w:p>
        </w:tc>
        <w:tc>
          <w:tcPr>
            <w:tcW w:w="774"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DC595F8" w14:textId="67F4EAD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157</w:t>
            </w:r>
          </w:p>
        </w:tc>
        <w:tc>
          <w:tcPr>
            <w:tcW w:w="709"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95C8DFB" w14:textId="37779C93"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197</w:t>
            </w:r>
          </w:p>
        </w:tc>
        <w:tc>
          <w:tcPr>
            <w:tcW w:w="775"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786A787" w14:textId="73FC937F"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55,03</w:t>
            </w:r>
          </w:p>
        </w:tc>
      </w:tr>
      <w:tr w:rsidR="009A0500" w14:paraId="4B6FF9CC" w14:textId="77777777" w:rsidTr="002461A2">
        <w:trPr>
          <w:trHeight w:val="469"/>
        </w:trPr>
        <w:tc>
          <w:tcPr>
            <w:tcW w:w="846" w:type="dxa"/>
            <w:tcBorders>
              <w:top w:val="single" w:sz="4" w:space="0" w:color="FFFFFF" w:themeColor="background1"/>
              <w:left w:val="single" w:sz="4" w:space="0" w:color="FFFFFF" w:themeColor="background1"/>
              <w:bottom w:val="single" w:sz="8" w:space="0" w:color="F3CFC1"/>
              <w:right w:val="single" w:sz="4" w:space="0" w:color="EC8E92" w:themeColor="accent6"/>
            </w:tcBorders>
            <w:shd w:val="clear" w:color="auto" w:fill="E5E5E5" w:themeFill="text1" w:themeFillTint="33"/>
            <w:vAlign w:val="center"/>
          </w:tcPr>
          <w:p w14:paraId="51D0A813" w14:textId="5E17CA66" w:rsidR="4E193667" w:rsidRPr="002461A2" w:rsidRDefault="4E193667" w:rsidP="002F6CB6">
            <w:pPr>
              <w:spacing w:line="264" w:lineRule="auto"/>
              <w:jc w:val="left"/>
              <w:rPr>
                <w:rFonts w:cstheme="minorHAnsi"/>
                <w:sz w:val="16"/>
                <w:szCs w:val="16"/>
                <w:lang w:eastAsia="hr-HR"/>
              </w:rPr>
            </w:pPr>
            <w:r w:rsidRPr="002461A2">
              <w:rPr>
                <w:rFonts w:eastAsiaTheme="minorEastAsia" w:cstheme="minorHAnsi"/>
                <w:sz w:val="16"/>
                <w:szCs w:val="16"/>
                <w:lang w:eastAsia="hr-HR"/>
              </w:rPr>
              <w:t xml:space="preserve">Neto plaće u HRK </w:t>
            </w:r>
          </w:p>
        </w:tc>
        <w:tc>
          <w:tcPr>
            <w:tcW w:w="850"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58A2715A" w14:textId="5879CFDA"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3.836</w:t>
            </w:r>
          </w:p>
        </w:tc>
        <w:tc>
          <w:tcPr>
            <w:tcW w:w="826"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5A1A9ED2" w14:textId="08F02C24"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3.984</w:t>
            </w:r>
          </w:p>
        </w:tc>
        <w:tc>
          <w:tcPr>
            <w:tcW w:w="797"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351E172E" w14:textId="6DDB2EBF"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3.999</w:t>
            </w:r>
          </w:p>
        </w:tc>
        <w:tc>
          <w:tcPr>
            <w:tcW w:w="797"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63A7CA36" w14:textId="37C09D00"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4.137</w:t>
            </w:r>
          </w:p>
        </w:tc>
        <w:tc>
          <w:tcPr>
            <w:tcW w:w="797"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0974EA80" w14:textId="7D03D7C7"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4.141</w:t>
            </w:r>
          </w:p>
        </w:tc>
        <w:tc>
          <w:tcPr>
            <w:tcW w:w="797"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6AD2B801" w14:textId="21AF813B"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4.243</w:t>
            </w:r>
          </w:p>
        </w:tc>
        <w:tc>
          <w:tcPr>
            <w:tcW w:w="797"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0E983821" w14:textId="6AA86D82"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4.354</w:t>
            </w:r>
          </w:p>
        </w:tc>
        <w:tc>
          <w:tcPr>
            <w:tcW w:w="797"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2A7F0487" w14:textId="6D082882"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4.645</w:t>
            </w:r>
          </w:p>
        </w:tc>
        <w:tc>
          <w:tcPr>
            <w:tcW w:w="774"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7DE191BB" w14:textId="10639054"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4.861</w:t>
            </w:r>
          </w:p>
        </w:tc>
        <w:tc>
          <w:tcPr>
            <w:tcW w:w="709"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44C27CF5" w14:textId="02BE811B"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5.145</w:t>
            </w:r>
          </w:p>
        </w:tc>
        <w:tc>
          <w:tcPr>
            <w:tcW w:w="775" w:type="dxa"/>
            <w:tcBorders>
              <w:top w:val="single" w:sz="4" w:space="0" w:color="EC8E92" w:themeColor="accent6"/>
              <w:left w:val="single" w:sz="4" w:space="0" w:color="EC8E92" w:themeColor="accent6"/>
              <w:bottom w:val="single" w:sz="8" w:space="0" w:color="F3CFC1"/>
              <w:right w:val="single" w:sz="4" w:space="0" w:color="EC8E92" w:themeColor="accent6"/>
            </w:tcBorders>
            <w:shd w:val="clear" w:color="auto" w:fill="FFFFFF" w:themeFill="background1"/>
            <w:vAlign w:val="center"/>
          </w:tcPr>
          <w:p w14:paraId="7D94F9E5" w14:textId="69E48103"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134,12</w:t>
            </w:r>
          </w:p>
        </w:tc>
      </w:tr>
      <w:tr w:rsidR="00D86E53" w:rsidRPr="002F6CB6" w14:paraId="141ECB25" w14:textId="77777777" w:rsidTr="002461A2">
        <w:trPr>
          <w:trHeight w:val="469"/>
        </w:trPr>
        <w:tc>
          <w:tcPr>
            <w:tcW w:w="846" w:type="dxa"/>
            <w:tcBorders>
              <w:top w:val="single" w:sz="4" w:space="0" w:color="FFFFFF" w:themeColor="background1"/>
              <w:left w:val="single" w:sz="4" w:space="0" w:color="FFFFFF" w:themeColor="background1"/>
              <w:bottom w:val="single" w:sz="4" w:space="0" w:color="EC8E92" w:themeColor="accent6"/>
              <w:right w:val="single" w:sz="4" w:space="0" w:color="EC8E92" w:themeColor="accent6"/>
            </w:tcBorders>
            <w:shd w:val="clear" w:color="auto" w:fill="E5E5E5" w:themeFill="text1" w:themeFillTint="33"/>
            <w:vAlign w:val="center"/>
          </w:tcPr>
          <w:p w14:paraId="35BF0B52" w14:textId="13404238" w:rsidR="4E193667" w:rsidRPr="002461A2" w:rsidRDefault="4E193667" w:rsidP="002461A2">
            <w:pPr>
              <w:spacing w:line="264" w:lineRule="auto"/>
              <w:jc w:val="left"/>
              <w:rPr>
                <w:rFonts w:cstheme="minorHAnsi"/>
                <w:sz w:val="16"/>
                <w:szCs w:val="16"/>
                <w:lang w:eastAsia="hr-HR"/>
              </w:rPr>
            </w:pPr>
            <w:r w:rsidRPr="002461A2">
              <w:rPr>
                <w:rFonts w:eastAsiaTheme="minorEastAsia" w:cstheme="minorHAnsi"/>
                <w:sz w:val="16"/>
                <w:szCs w:val="16"/>
                <w:lang w:eastAsia="hr-HR"/>
              </w:rPr>
              <w:t xml:space="preserve">Broj zaposlenih </w:t>
            </w:r>
          </w:p>
        </w:tc>
        <w:tc>
          <w:tcPr>
            <w:tcW w:w="850"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2DDE8E32" w14:textId="384687C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16.974</w:t>
            </w:r>
          </w:p>
        </w:tc>
        <w:tc>
          <w:tcPr>
            <w:tcW w:w="826"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C52C896" w14:textId="5E03C730"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16.660</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303F503" w14:textId="428F5F64"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16.446</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AA61416" w14:textId="6F393314"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16.571</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76E0531" w14:textId="0E7BC6ED"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17.638</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4182A221" w14:textId="0BC47FA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18.378</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88044CA" w14:textId="3EA06877"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19.309</w:t>
            </w:r>
          </w:p>
        </w:tc>
        <w:tc>
          <w:tcPr>
            <w:tcW w:w="797"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16EAD795" w14:textId="223CE180"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20.203</w:t>
            </w:r>
          </w:p>
        </w:tc>
        <w:tc>
          <w:tcPr>
            <w:tcW w:w="774"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57582F35" w14:textId="7323BC74"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21.044</w:t>
            </w:r>
          </w:p>
        </w:tc>
        <w:tc>
          <w:tcPr>
            <w:tcW w:w="709"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0316F61C" w14:textId="616BAA25"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21.742</w:t>
            </w:r>
          </w:p>
        </w:tc>
        <w:tc>
          <w:tcPr>
            <w:tcW w:w="775" w:type="dxa"/>
            <w:tcBorders>
              <w:top w:val="single" w:sz="4" w:space="0" w:color="EC8E92" w:themeColor="accent6"/>
              <w:left w:val="single" w:sz="4" w:space="0" w:color="EC8E92" w:themeColor="accent6"/>
              <w:bottom w:val="single" w:sz="4" w:space="0" w:color="EC8E92" w:themeColor="accent6"/>
              <w:right w:val="single" w:sz="4" w:space="0" w:color="EC8E92" w:themeColor="accent6"/>
            </w:tcBorders>
            <w:shd w:val="clear" w:color="auto" w:fill="FFFFFF" w:themeFill="background1"/>
            <w:vAlign w:val="center"/>
          </w:tcPr>
          <w:p w14:paraId="7A9FE840" w14:textId="0BD98B28" w:rsidR="4E193667" w:rsidRPr="002461A2" w:rsidRDefault="4E193667" w:rsidP="002F6CB6">
            <w:pPr>
              <w:jc w:val="left"/>
              <w:rPr>
                <w:rFonts w:eastAsiaTheme="minorEastAsia" w:cstheme="minorHAnsi"/>
                <w:sz w:val="16"/>
                <w:szCs w:val="16"/>
                <w:lang w:eastAsia="hr-HR"/>
              </w:rPr>
            </w:pPr>
            <w:r w:rsidRPr="002461A2">
              <w:rPr>
                <w:rFonts w:eastAsiaTheme="minorEastAsia" w:cstheme="minorHAnsi"/>
                <w:sz w:val="16"/>
                <w:szCs w:val="16"/>
                <w:lang w:eastAsia="hr-HR"/>
              </w:rPr>
              <w:t>128,09</w:t>
            </w:r>
          </w:p>
        </w:tc>
      </w:tr>
    </w:tbl>
    <w:p w14:paraId="63C32E03" w14:textId="70A08789" w:rsidR="001838EE" w:rsidRPr="00A40471" w:rsidRDefault="008878A0" w:rsidP="00A40471">
      <w:pPr>
        <w:autoSpaceDE w:val="0"/>
        <w:autoSpaceDN w:val="0"/>
        <w:adjustRightInd w:val="0"/>
        <w:spacing w:after="0" w:line="240" w:lineRule="auto"/>
        <w:rPr>
          <w:rFonts w:eastAsia="ArialNarrow" w:cstheme="minorHAnsi"/>
          <w:i/>
          <w:color w:val="ABABAB" w:themeColor="text1" w:themeTint="A6"/>
          <w:sz w:val="16"/>
          <w:szCs w:val="16"/>
        </w:rPr>
      </w:pPr>
      <w:r w:rsidRPr="00A40471">
        <w:rPr>
          <w:rFonts w:eastAsia="ArialNarrow" w:cstheme="minorHAnsi"/>
          <w:i/>
          <w:color w:val="ABABAB" w:themeColor="text1" w:themeTint="A6"/>
          <w:sz w:val="16"/>
          <w:szCs w:val="16"/>
        </w:rPr>
        <w:t>Izvor: FINA, 2010. – 201</w:t>
      </w:r>
      <w:r w:rsidR="7688798A" w:rsidRPr="00A40471">
        <w:rPr>
          <w:rFonts w:eastAsia="ArialNarrow" w:cstheme="minorHAnsi"/>
          <w:i/>
          <w:color w:val="ABABAB" w:themeColor="text1" w:themeTint="A6"/>
          <w:sz w:val="16"/>
          <w:szCs w:val="16"/>
        </w:rPr>
        <w:t>9</w:t>
      </w:r>
      <w:r w:rsidRPr="00A40471">
        <w:rPr>
          <w:rFonts w:eastAsia="ArialNarrow" w:cstheme="minorHAnsi"/>
          <w:i/>
          <w:color w:val="ABABAB" w:themeColor="text1" w:themeTint="A6"/>
          <w:sz w:val="16"/>
          <w:szCs w:val="16"/>
        </w:rPr>
        <w:t xml:space="preserve">. </w:t>
      </w:r>
      <w:r w:rsidR="00C9137A" w:rsidRPr="00A40471">
        <w:rPr>
          <w:rFonts w:eastAsia="ArialNarrow" w:cstheme="minorHAnsi"/>
          <w:i/>
          <w:color w:val="ABABAB" w:themeColor="text1" w:themeTint="A6"/>
          <w:sz w:val="16"/>
          <w:szCs w:val="16"/>
        </w:rPr>
        <w:t>godina</w:t>
      </w:r>
      <w:r w:rsidRPr="00A40471">
        <w:rPr>
          <w:rFonts w:eastAsia="ArialNarrow" w:cstheme="minorHAnsi"/>
          <w:i/>
          <w:color w:val="ABABAB" w:themeColor="text1" w:themeTint="A6"/>
          <w:sz w:val="16"/>
          <w:szCs w:val="16"/>
        </w:rPr>
        <w:t>, obrada autora</w:t>
      </w:r>
      <w:r w:rsidRPr="00A40471">
        <w:rPr>
          <w:rFonts w:eastAsia="ArialNarrow" w:cstheme="minorHAnsi"/>
          <w:i/>
          <w:color w:val="ABABAB" w:themeColor="text1" w:themeTint="A6"/>
          <w:sz w:val="16"/>
          <w:szCs w:val="16"/>
        </w:rPr>
        <w:br/>
        <w:t>*Iznosi u milijunima kuna</w:t>
      </w:r>
    </w:p>
    <w:p w14:paraId="597C89FB" w14:textId="77777777" w:rsidR="007A731C" w:rsidRPr="007A731C" w:rsidRDefault="007A731C" w:rsidP="007A731C">
      <w:pPr>
        <w:pStyle w:val="Izvor"/>
        <w:rPr>
          <w:rFonts w:asciiTheme="minorHAnsi" w:hAnsiTheme="minorHAnsi"/>
          <w:sz w:val="22"/>
          <w:szCs w:val="22"/>
        </w:rPr>
      </w:pPr>
    </w:p>
    <w:p w14:paraId="0E1FEC9A" w14:textId="6AD10B1E" w:rsidR="008878A0" w:rsidRDefault="008878A0" w:rsidP="4E193667">
      <w:pPr>
        <w:spacing w:before="71"/>
        <w:rPr>
          <w:rFonts w:eastAsia="Arial Narrow"/>
          <w:spacing w:val="1"/>
          <w:position w:val="-1"/>
        </w:rPr>
      </w:pPr>
      <w:r w:rsidRPr="4E193667">
        <w:rPr>
          <w:rFonts w:eastAsia="Arial Narrow"/>
          <w:spacing w:val="1"/>
          <w:position w:val="-1"/>
        </w:rPr>
        <w:t xml:space="preserve">Gledano prema veličini poduzeća, u </w:t>
      </w:r>
      <w:r w:rsidR="419725BB" w:rsidRPr="4E193667">
        <w:rPr>
          <w:rFonts w:eastAsia="Arial Narrow"/>
          <w:spacing w:val="1"/>
          <w:position w:val="-1"/>
        </w:rPr>
        <w:t xml:space="preserve">četiri </w:t>
      </w:r>
      <w:r w:rsidRPr="4E193667">
        <w:rPr>
          <w:rFonts w:eastAsia="Arial Narrow"/>
          <w:spacing w:val="1"/>
          <w:position w:val="-1"/>
        </w:rPr>
        <w:t>promatrane godine</w:t>
      </w:r>
      <w:r w:rsidR="00C9137A" w:rsidRPr="4E193667">
        <w:rPr>
          <w:rFonts w:eastAsia="Arial Narrow"/>
          <w:spacing w:val="1"/>
          <w:position w:val="-1"/>
        </w:rPr>
        <w:t xml:space="preserve"> (2016. – 201</w:t>
      </w:r>
      <w:r w:rsidR="3601A846" w:rsidRPr="4E193667">
        <w:rPr>
          <w:rFonts w:eastAsia="Arial Narrow"/>
          <w:spacing w:val="1"/>
          <w:position w:val="-1"/>
        </w:rPr>
        <w:t>9</w:t>
      </w:r>
      <w:r w:rsidR="00C9137A" w:rsidRPr="4E193667">
        <w:rPr>
          <w:rFonts w:eastAsia="Arial Narrow"/>
          <w:spacing w:val="1"/>
          <w:position w:val="-1"/>
        </w:rPr>
        <w:t xml:space="preserve">.) </w:t>
      </w:r>
      <w:r w:rsidRPr="4E193667">
        <w:rPr>
          <w:rFonts w:eastAsia="Arial Narrow"/>
          <w:spacing w:val="1"/>
          <w:position w:val="-1"/>
        </w:rPr>
        <w:t xml:space="preserve">porastao je broj poduzeća svih veličina, osim velikih poduzeća čiji se broj </w:t>
      </w:r>
      <w:r w:rsidR="686AEBD1" w:rsidRPr="4E193667">
        <w:rPr>
          <w:rFonts w:eastAsia="Arial Narrow"/>
          <w:spacing w:val="1"/>
          <w:position w:val="-1"/>
        </w:rPr>
        <w:t>pao s 5 na 4</w:t>
      </w:r>
      <w:r w:rsidRPr="4E193667">
        <w:rPr>
          <w:rFonts w:eastAsia="Arial Narrow"/>
          <w:spacing w:val="1"/>
          <w:position w:val="-1"/>
        </w:rPr>
        <w:t xml:space="preserve">. Najveći </w:t>
      </w:r>
      <w:r w:rsidR="00C9137A" w:rsidRPr="4E193667">
        <w:rPr>
          <w:rFonts w:eastAsia="Arial Narrow"/>
          <w:spacing w:val="1"/>
          <w:position w:val="-1"/>
        </w:rPr>
        <w:t>porast broja subjekata</w:t>
      </w:r>
      <w:r w:rsidRPr="4E193667">
        <w:rPr>
          <w:rFonts w:eastAsia="Arial Narrow"/>
          <w:spacing w:val="1"/>
          <w:position w:val="-1"/>
        </w:rPr>
        <w:t xml:space="preserve"> ostvaren je kod mikro poduzetnika</w:t>
      </w:r>
      <w:r w:rsidR="7359535F" w:rsidRPr="4E193667">
        <w:rPr>
          <w:rFonts w:eastAsia="Arial Narrow"/>
          <w:spacing w:val="1"/>
          <w:position w:val="-1"/>
        </w:rPr>
        <w:t xml:space="preserve"> (51 novi subjekt)</w:t>
      </w:r>
      <w:r w:rsidRPr="4E193667">
        <w:rPr>
          <w:rFonts w:eastAsia="Arial Narrow"/>
          <w:spacing w:val="1"/>
          <w:position w:val="-1"/>
        </w:rPr>
        <w:t xml:space="preserve">. Struktura tj. udio pojedine veličine poduzeća u ukupnom broju nije se </w:t>
      </w:r>
      <w:r w:rsidR="6288878F" w:rsidRPr="4E193667">
        <w:rPr>
          <w:rFonts w:eastAsia="Arial Narrow"/>
          <w:spacing w:val="1"/>
          <w:position w:val="-1"/>
        </w:rPr>
        <w:t xml:space="preserve">bitno </w:t>
      </w:r>
      <w:r w:rsidRPr="4E193667">
        <w:rPr>
          <w:rFonts w:eastAsia="Arial Narrow"/>
          <w:spacing w:val="1"/>
          <w:position w:val="-1"/>
        </w:rPr>
        <w:t>mijenjala.</w:t>
      </w:r>
    </w:p>
    <w:p w14:paraId="68989BCA" w14:textId="77777777" w:rsidR="001838EE" w:rsidRDefault="001838EE" w:rsidP="00941871">
      <w:pPr>
        <w:spacing w:before="71"/>
        <w:rPr>
          <w:rFonts w:eastAsia="Arial Narrow" w:cstheme="minorHAnsi"/>
          <w:spacing w:val="1"/>
          <w:position w:val="-1"/>
        </w:rPr>
      </w:pPr>
    </w:p>
    <w:p w14:paraId="79C49447" w14:textId="19D03597" w:rsidR="008878A0" w:rsidRDefault="008878A0" w:rsidP="003E3F3C">
      <w:pPr>
        <w:pStyle w:val="Opisslike"/>
      </w:pPr>
      <w:r>
        <w:t xml:space="preserve">Tablica </w:t>
      </w:r>
      <w:r w:rsidR="000D5E3F">
        <w:rPr>
          <w:noProof/>
        </w:rPr>
        <w:t>81</w:t>
      </w:r>
      <w:r w:rsidR="001838EE" w:rsidRPr="4E193667">
        <w:rPr>
          <w:noProof/>
        </w:rPr>
        <w:t>.</w:t>
      </w:r>
      <w:r>
        <w:t xml:space="preserve"> Broj poduzetnika prema veličini, 2016. – 201</w:t>
      </w:r>
      <w:r w:rsidR="795463D6">
        <w:t>9</w:t>
      </w:r>
      <w:r>
        <w:t>.</w:t>
      </w:r>
    </w:p>
    <w:tbl>
      <w:tblPr>
        <w:tblW w:w="9301" w:type="dxa"/>
        <w:tblLayout w:type="fixed"/>
        <w:tblLook w:val="04A0" w:firstRow="1" w:lastRow="0" w:firstColumn="1" w:lastColumn="0" w:noHBand="0" w:noVBand="1"/>
      </w:tblPr>
      <w:tblGrid>
        <w:gridCol w:w="1413"/>
        <w:gridCol w:w="853"/>
        <w:gridCol w:w="936"/>
        <w:gridCol w:w="1097"/>
        <w:gridCol w:w="936"/>
        <w:gridCol w:w="1097"/>
        <w:gridCol w:w="936"/>
        <w:gridCol w:w="1097"/>
        <w:gridCol w:w="936"/>
      </w:tblGrid>
      <w:tr w:rsidR="4E193667" w14:paraId="7FAA2815" w14:textId="77777777" w:rsidTr="00B47B0F">
        <w:trPr>
          <w:trHeight w:val="325"/>
        </w:trPr>
        <w:tc>
          <w:tcPr>
            <w:tcW w:w="1413" w:type="dxa"/>
            <w:vMerge w:val="restart"/>
            <w:tcBorders>
              <w:top w:val="single" w:sz="4" w:space="0" w:color="auto"/>
              <w:left w:val="single" w:sz="4" w:space="0" w:color="000000"/>
              <w:bottom w:val="single" w:sz="8" w:space="0" w:color="F3CFC1"/>
              <w:right w:val="single" w:sz="8" w:space="0" w:color="FFFFFF" w:themeColor="background1"/>
            </w:tcBorders>
            <w:shd w:val="clear" w:color="auto" w:fill="D2232A" w:themeFill="accent1"/>
            <w:vAlign w:val="center"/>
          </w:tcPr>
          <w:p w14:paraId="64AA1818" w14:textId="6C16995A" w:rsidR="4E193667" w:rsidRDefault="4E193667" w:rsidP="4E193667">
            <w:pPr>
              <w:jc w:val="center"/>
            </w:pPr>
            <w:r w:rsidRPr="00D52E51">
              <w:rPr>
                <w:rFonts w:cstheme="minorHAnsi"/>
                <w:b/>
                <w:bCs/>
                <w:color w:val="FFFFFF" w:themeColor="background1"/>
                <w:szCs w:val="18"/>
                <w:lang w:eastAsia="hr-HR"/>
              </w:rPr>
              <w:t>Veličina poduzetnika</w:t>
            </w:r>
          </w:p>
        </w:tc>
        <w:tc>
          <w:tcPr>
            <w:tcW w:w="1789" w:type="dxa"/>
            <w:gridSpan w:val="2"/>
            <w:tcBorders>
              <w:top w:val="single" w:sz="4" w:space="0" w:color="000000"/>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4105C65D" w14:textId="6072364F"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2016. </w:t>
            </w:r>
          </w:p>
        </w:tc>
        <w:tc>
          <w:tcPr>
            <w:tcW w:w="2033" w:type="dxa"/>
            <w:gridSpan w:val="2"/>
            <w:tcBorders>
              <w:top w:val="single" w:sz="4" w:space="0" w:color="000000"/>
              <w:left w:val="nil"/>
              <w:bottom w:val="single" w:sz="8" w:space="0" w:color="F3CFC1"/>
              <w:right w:val="single" w:sz="8" w:space="0" w:color="FFFFFF" w:themeColor="background1"/>
            </w:tcBorders>
            <w:shd w:val="clear" w:color="auto" w:fill="D2232A" w:themeFill="accent1"/>
            <w:vAlign w:val="center"/>
          </w:tcPr>
          <w:p w14:paraId="15964F35" w14:textId="65E1290B"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2017. </w:t>
            </w:r>
          </w:p>
        </w:tc>
        <w:tc>
          <w:tcPr>
            <w:tcW w:w="2033" w:type="dxa"/>
            <w:gridSpan w:val="2"/>
            <w:tcBorders>
              <w:top w:val="single" w:sz="4" w:space="0" w:color="000000"/>
              <w:left w:val="nil"/>
              <w:bottom w:val="single" w:sz="8" w:space="0" w:color="F3CFC1"/>
              <w:right w:val="single" w:sz="8" w:space="0" w:color="FFFFFF" w:themeColor="background1"/>
            </w:tcBorders>
            <w:shd w:val="clear" w:color="auto" w:fill="D2232A" w:themeFill="accent1"/>
            <w:vAlign w:val="center"/>
          </w:tcPr>
          <w:p w14:paraId="64DB7DE8" w14:textId="3370FA9C"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2018. </w:t>
            </w:r>
          </w:p>
        </w:tc>
        <w:tc>
          <w:tcPr>
            <w:tcW w:w="2033" w:type="dxa"/>
            <w:gridSpan w:val="2"/>
            <w:tcBorders>
              <w:top w:val="single" w:sz="4" w:space="0" w:color="000000"/>
              <w:left w:val="nil"/>
              <w:bottom w:val="single" w:sz="8" w:space="0" w:color="F3CFC1"/>
              <w:right w:val="single" w:sz="4" w:space="0" w:color="FF0000"/>
            </w:tcBorders>
            <w:shd w:val="clear" w:color="auto" w:fill="D2232A" w:themeFill="accent1"/>
            <w:vAlign w:val="center"/>
          </w:tcPr>
          <w:p w14:paraId="35ED80D0" w14:textId="3D7C65D8"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2019. </w:t>
            </w:r>
          </w:p>
        </w:tc>
      </w:tr>
      <w:tr w:rsidR="4E193667" w14:paraId="2571F326" w14:textId="77777777" w:rsidTr="00D52E51">
        <w:trPr>
          <w:trHeight w:val="735"/>
        </w:trPr>
        <w:tc>
          <w:tcPr>
            <w:tcW w:w="1413" w:type="dxa"/>
            <w:vMerge/>
            <w:tcBorders>
              <w:left w:val="single" w:sz="0" w:space="0" w:color="000000"/>
              <w:bottom w:val="single" w:sz="0" w:space="0" w:color="F3CFC1"/>
              <w:right w:val="single" w:sz="0" w:space="0" w:color="FFFFFF" w:themeColor="background1"/>
            </w:tcBorders>
            <w:vAlign w:val="center"/>
          </w:tcPr>
          <w:p w14:paraId="269532BA" w14:textId="77777777" w:rsidR="0006033B" w:rsidRDefault="0006033B"/>
        </w:tc>
        <w:tc>
          <w:tcPr>
            <w:tcW w:w="853" w:type="dxa"/>
            <w:tcBorders>
              <w:top w:val="single" w:sz="8" w:space="0" w:color="F3CFC1"/>
              <w:left w:val="nil"/>
              <w:bottom w:val="single" w:sz="8" w:space="0" w:color="F3CFC1"/>
              <w:right w:val="single" w:sz="8" w:space="0" w:color="FFFFFF" w:themeColor="background1"/>
            </w:tcBorders>
            <w:shd w:val="clear" w:color="auto" w:fill="D2232A" w:themeFill="accent1"/>
            <w:vAlign w:val="center"/>
          </w:tcPr>
          <w:p w14:paraId="381B7DB3" w14:textId="31FDB8AC"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Broj poduzetnika </w:t>
            </w:r>
          </w:p>
        </w:tc>
        <w:tc>
          <w:tcPr>
            <w:tcW w:w="936" w:type="dxa"/>
            <w:tcBorders>
              <w:top w:val="nil"/>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0A95002F" w14:textId="11453E94"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Udio </w:t>
            </w:r>
          </w:p>
        </w:tc>
        <w:tc>
          <w:tcPr>
            <w:tcW w:w="1097" w:type="dxa"/>
            <w:tcBorders>
              <w:top w:val="single" w:sz="8" w:space="0" w:color="F3CFC1"/>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45A74AF2" w14:textId="0E453C15"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Broj poduzetnika </w:t>
            </w:r>
          </w:p>
        </w:tc>
        <w:tc>
          <w:tcPr>
            <w:tcW w:w="936" w:type="dxa"/>
            <w:tcBorders>
              <w:top w:val="nil"/>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169744E2" w14:textId="43809F24"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Udio </w:t>
            </w:r>
          </w:p>
        </w:tc>
        <w:tc>
          <w:tcPr>
            <w:tcW w:w="1097" w:type="dxa"/>
            <w:tcBorders>
              <w:top w:val="single" w:sz="8" w:space="0" w:color="F3CFC1"/>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4843765E" w14:textId="24B028F2"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Broj poduzetnika </w:t>
            </w:r>
          </w:p>
        </w:tc>
        <w:tc>
          <w:tcPr>
            <w:tcW w:w="936" w:type="dxa"/>
            <w:tcBorders>
              <w:top w:val="nil"/>
              <w:left w:val="single" w:sz="8" w:space="0" w:color="FFFFFF" w:themeColor="background1"/>
              <w:bottom w:val="single" w:sz="8" w:space="0" w:color="F3CFC1"/>
              <w:right w:val="single" w:sz="4" w:space="0" w:color="000000"/>
            </w:tcBorders>
            <w:shd w:val="clear" w:color="auto" w:fill="D2232A" w:themeFill="accent1"/>
            <w:vAlign w:val="center"/>
          </w:tcPr>
          <w:p w14:paraId="574185C8" w14:textId="3DE041DC"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Udio </w:t>
            </w:r>
          </w:p>
        </w:tc>
        <w:tc>
          <w:tcPr>
            <w:tcW w:w="1097" w:type="dxa"/>
            <w:tcBorders>
              <w:top w:val="single" w:sz="8" w:space="0" w:color="F3CFC1"/>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79A55521" w14:textId="3555A031"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Broj poduzetnika </w:t>
            </w:r>
          </w:p>
        </w:tc>
        <w:tc>
          <w:tcPr>
            <w:tcW w:w="936" w:type="dxa"/>
            <w:tcBorders>
              <w:top w:val="nil"/>
              <w:left w:val="single" w:sz="8" w:space="0" w:color="FFFFFF" w:themeColor="background1"/>
              <w:bottom w:val="single" w:sz="8" w:space="0" w:color="F3CFC1"/>
              <w:right w:val="single" w:sz="4" w:space="0" w:color="FF0000"/>
            </w:tcBorders>
            <w:shd w:val="clear" w:color="auto" w:fill="D2232A" w:themeFill="accent1"/>
            <w:vAlign w:val="center"/>
          </w:tcPr>
          <w:p w14:paraId="50B4BD77" w14:textId="4D316E7F" w:rsidR="4E193667" w:rsidRPr="00D52E51" w:rsidRDefault="4E193667" w:rsidP="4E193667">
            <w:pPr>
              <w:jc w:val="center"/>
              <w:rPr>
                <w:rFonts w:cstheme="minorHAnsi"/>
                <w:b/>
                <w:bCs/>
                <w:color w:val="FFFFFF" w:themeColor="background1"/>
                <w:szCs w:val="18"/>
                <w:lang w:eastAsia="hr-HR"/>
              </w:rPr>
            </w:pPr>
            <w:r w:rsidRPr="00D52E51">
              <w:rPr>
                <w:rFonts w:cstheme="minorHAnsi"/>
                <w:b/>
                <w:bCs/>
                <w:color w:val="FFFFFF" w:themeColor="background1"/>
                <w:szCs w:val="18"/>
                <w:lang w:eastAsia="hr-HR"/>
              </w:rPr>
              <w:t xml:space="preserve">Udio  </w:t>
            </w:r>
          </w:p>
        </w:tc>
      </w:tr>
      <w:tr w:rsidR="4E193667" w14:paraId="462CAA3A" w14:textId="77777777" w:rsidTr="00D52E51">
        <w:trPr>
          <w:trHeight w:val="300"/>
        </w:trPr>
        <w:tc>
          <w:tcPr>
            <w:tcW w:w="1413" w:type="dxa"/>
            <w:tcBorders>
              <w:top w:val="nil"/>
              <w:left w:val="single" w:sz="4" w:space="0" w:color="FF0000"/>
              <w:bottom w:val="single" w:sz="8" w:space="0" w:color="F3CFC1"/>
              <w:right w:val="single" w:sz="4" w:space="0" w:color="FF0000"/>
            </w:tcBorders>
            <w:vAlign w:val="center"/>
          </w:tcPr>
          <w:p w14:paraId="72F8FE24" w14:textId="2C1E6BDB"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Mikro</w:t>
            </w:r>
          </w:p>
        </w:tc>
        <w:tc>
          <w:tcPr>
            <w:tcW w:w="853" w:type="dxa"/>
            <w:tcBorders>
              <w:top w:val="single" w:sz="8" w:space="0" w:color="F3CFC1"/>
              <w:left w:val="single" w:sz="4" w:space="0" w:color="FF0000"/>
              <w:bottom w:val="single" w:sz="8" w:space="0" w:color="F3CFC1"/>
              <w:right w:val="single" w:sz="8" w:space="0" w:color="D2232A" w:themeColor="accent1"/>
            </w:tcBorders>
            <w:vAlign w:val="center"/>
          </w:tcPr>
          <w:p w14:paraId="734EFC19" w14:textId="25D94C50"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1.679</w:t>
            </w:r>
          </w:p>
        </w:tc>
        <w:tc>
          <w:tcPr>
            <w:tcW w:w="936"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4214D7E2" w14:textId="1C516797"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85,0%</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4D0018B3" w14:textId="79FFCD1D"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1.729</w:t>
            </w:r>
          </w:p>
        </w:tc>
        <w:tc>
          <w:tcPr>
            <w:tcW w:w="936"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174323A6" w14:textId="656CD9C1"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85,1%</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1C6E96DF" w14:textId="1BEAA3A6"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1.939</w:t>
            </w:r>
          </w:p>
        </w:tc>
        <w:tc>
          <w:tcPr>
            <w:tcW w:w="936" w:type="dxa"/>
            <w:tcBorders>
              <w:top w:val="single" w:sz="8" w:space="0" w:color="F3CFC1"/>
              <w:left w:val="single" w:sz="8" w:space="0" w:color="D2232A" w:themeColor="accent1"/>
              <w:bottom w:val="single" w:sz="8" w:space="0" w:color="F3CFC1"/>
              <w:right w:val="single" w:sz="4" w:space="0" w:color="000000"/>
            </w:tcBorders>
            <w:vAlign w:val="center"/>
          </w:tcPr>
          <w:p w14:paraId="53EA8F7A" w14:textId="1394C550"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85,6%</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79EA42A6" w14:textId="4C1674D0"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1.990</w:t>
            </w:r>
          </w:p>
        </w:tc>
        <w:tc>
          <w:tcPr>
            <w:tcW w:w="936" w:type="dxa"/>
            <w:tcBorders>
              <w:top w:val="single" w:sz="8" w:space="0" w:color="F3CFC1"/>
              <w:left w:val="single" w:sz="8" w:space="0" w:color="D2232A" w:themeColor="accent1"/>
              <w:bottom w:val="single" w:sz="8" w:space="0" w:color="F3CFC1"/>
              <w:right w:val="single" w:sz="4" w:space="0" w:color="FF0000"/>
            </w:tcBorders>
            <w:vAlign w:val="center"/>
          </w:tcPr>
          <w:p w14:paraId="4618383E" w14:textId="4D6255C5"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84,9%</w:t>
            </w:r>
          </w:p>
        </w:tc>
      </w:tr>
      <w:tr w:rsidR="4E193667" w14:paraId="7FC70839" w14:textId="77777777" w:rsidTr="00D52E51">
        <w:trPr>
          <w:trHeight w:val="300"/>
        </w:trPr>
        <w:tc>
          <w:tcPr>
            <w:tcW w:w="1413" w:type="dxa"/>
            <w:tcBorders>
              <w:top w:val="single" w:sz="8" w:space="0" w:color="F3CFC1"/>
              <w:left w:val="single" w:sz="4" w:space="0" w:color="FF0000"/>
              <w:bottom w:val="single" w:sz="8" w:space="0" w:color="F3CFC1"/>
              <w:right w:val="single" w:sz="4" w:space="0" w:color="FF0000"/>
            </w:tcBorders>
            <w:vAlign w:val="center"/>
          </w:tcPr>
          <w:p w14:paraId="2DCBBF44" w14:textId="261C7C9D"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Mali</w:t>
            </w:r>
          </w:p>
        </w:tc>
        <w:tc>
          <w:tcPr>
            <w:tcW w:w="853" w:type="dxa"/>
            <w:tcBorders>
              <w:top w:val="single" w:sz="8" w:space="0" w:color="F3CFC1"/>
              <w:left w:val="single" w:sz="4" w:space="0" w:color="FF0000"/>
              <w:bottom w:val="single" w:sz="8" w:space="0" w:color="F3CFC1"/>
              <w:right w:val="single" w:sz="8" w:space="0" w:color="D2232A" w:themeColor="accent1"/>
            </w:tcBorders>
            <w:vAlign w:val="center"/>
          </w:tcPr>
          <w:p w14:paraId="7E9DC86C" w14:textId="508139E3"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250</w:t>
            </w:r>
          </w:p>
        </w:tc>
        <w:tc>
          <w:tcPr>
            <w:tcW w:w="936"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7A355741" w14:textId="089692B5"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12,7%</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4492FD9C" w14:textId="1386EA0C"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256</w:t>
            </w:r>
          </w:p>
        </w:tc>
        <w:tc>
          <w:tcPr>
            <w:tcW w:w="936"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0D5F957D" w14:textId="39CD7BFE"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12,6%</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7DD6BF9F" w14:textId="1B1A8A81"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277</w:t>
            </w:r>
          </w:p>
        </w:tc>
        <w:tc>
          <w:tcPr>
            <w:tcW w:w="936" w:type="dxa"/>
            <w:tcBorders>
              <w:top w:val="single" w:sz="8" w:space="0" w:color="F3CFC1"/>
              <w:left w:val="single" w:sz="8" w:space="0" w:color="D2232A" w:themeColor="accent1"/>
              <w:bottom w:val="single" w:sz="8" w:space="0" w:color="F3CFC1"/>
              <w:right w:val="single" w:sz="4" w:space="0" w:color="000000"/>
            </w:tcBorders>
            <w:vAlign w:val="center"/>
          </w:tcPr>
          <w:p w14:paraId="03BE95B1" w14:textId="6440386C"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12,2%</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75A79F6B" w14:textId="1040DB20"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300</w:t>
            </w:r>
          </w:p>
        </w:tc>
        <w:tc>
          <w:tcPr>
            <w:tcW w:w="936" w:type="dxa"/>
            <w:tcBorders>
              <w:top w:val="single" w:sz="8" w:space="0" w:color="F3CFC1"/>
              <w:left w:val="single" w:sz="8" w:space="0" w:color="D2232A" w:themeColor="accent1"/>
              <w:bottom w:val="single" w:sz="8" w:space="0" w:color="F3CFC1"/>
              <w:right w:val="single" w:sz="4" w:space="0" w:color="FF0000"/>
            </w:tcBorders>
            <w:vAlign w:val="center"/>
          </w:tcPr>
          <w:p w14:paraId="4E41B1B2" w14:textId="0EC184F8"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12,8%</w:t>
            </w:r>
          </w:p>
        </w:tc>
      </w:tr>
      <w:tr w:rsidR="4E193667" w14:paraId="6A0DB9A7" w14:textId="77777777" w:rsidTr="00D52E51">
        <w:trPr>
          <w:trHeight w:val="300"/>
        </w:trPr>
        <w:tc>
          <w:tcPr>
            <w:tcW w:w="1413" w:type="dxa"/>
            <w:tcBorders>
              <w:top w:val="single" w:sz="8" w:space="0" w:color="F3CFC1"/>
              <w:left w:val="single" w:sz="4" w:space="0" w:color="FF0000"/>
              <w:bottom w:val="single" w:sz="8" w:space="0" w:color="F3CFC1"/>
              <w:right w:val="single" w:sz="4" w:space="0" w:color="FF0000"/>
            </w:tcBorders>
            <w:vAlign w:val="center"/>
          </w:tcPr>
          <w:p w14:paraId="0C7B2E65" w14:textId="23C659CD"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Srednji</w:t>
            </w:r>
          </w:p>
        </w:tc>
        <w:tc>
          <w:tcPr>
            <w:tcW w:w="853" w:type="dxa"/>
            <w:tcBorders>
              <w:top w:val="single" w:sz="8" w:space="0" w:color="F3CFC1"/>
              <w:left w:val="single" w:sz="4" w:space="0" w:color="FF0000"/>
              <w:bottom w:val="single" w:sz="8" w:space="0" w:color="F3CFC1"/>
              <w:right w:val="single" w:sz="8" w:space="0" w:color="D2232A" w:themeColor="accent1"/>
            </w:tcBorders>
            <w:vAlign w:val="center"/>
          </w:tcPr>
          <w:p w14:paraId="55DFD937" w14:textId="3116C9A1"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41</w:t>
            </w:r>
          </w:p>
        </w:tc>
        <w:tc>
          <w:tcPr>
            <w:tcW w:w="936"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246F7C39" w14:textId="5241ED6B"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2,1%</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280B609A" w14:textId="463E0A19"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43</w:t>
            </w:r>
          </w:p>
        </w:tc>
        <w:tc>
          <w:tcPr>
            <w:tcW w:w="936"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4887F237" w14:textId="55162DF5"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2,1%</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3DE3D889" w14:textId="4EEDF7C7"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46</w:t>
            </w:r>
          </w:p>
        </w:tc>
        <w:tc>
          <w:tcPr>
            <w:tcW w:w="936" w:type="dxa"/>
            <w:tcBorders>
              <w:top w:val="single" w:sz="8" w:space="0" w:color="F3CFC1"/>
              <w:left w:val="single" w:sz="8" w:space="0" w:color="D2232A" w:themeColor="accent1"/>
              <w:bottom w:val="single" w:sz="8" w:space="0" w:color="F3CFC1"/>
              <w:right w:val="single" w:sz="4" w:space="0" w:color="000000"/>
            </w:tcBorders>
            <w:vAlign w:val="center"/>
          </w:tcPr>
          <w:p w14:paraId="149475A1" w14:textId="1A477D17"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2,0%</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51FD46FB" w14:textId="2A40DE64"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50</w:t>
            </w:r>
          </w:p>
        </w:tc>
        <w:tc>
          <w:tcPr>
            <w:tcW w:w="936" w:type="dxa"/>
            <w:tcBorders>
              <w:top w:val="single" w:sz="8" w:space="0" w:color="F3CFC1"/>
              <w:left w:val="single" w:sz="8" w:space="0" w:color="D2232A" w:themeColor="accent1"/>
              <w:bottom w:val="single" w:sz="8" w:space="0" w:color="F3CFC1"/>
              <w:right w:val="single" w:sz="4" w:space="0" w:color="FF0000"/>
            </w:tcBorders>
            <w:vAlign w:val="center"/>
          </w:tcPr>
          <w:p w14:paraId="30CEE5C8" w14:textId="43968F22"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2,1%</w:t>
            </w:r>
          </w:p>
        </w:tc>
      </w:tr>
      <w:tr w:rsidR="4E193667" w14:paraId="719813C8" w14:textId="77777777" w:rsidTr="00D52E51">
        <w:trPr>
          <w:trHeight w:val="300"/>
        </w:trPr>
        <w:tc>
          <w:tcPr>
            <w:tcW w:w="1413" w:type="dxa"/>
            <w:tcBorders>
              <w:top w:val="single" w:sz="8" w:space="0" w:color="F3CFC1"/>
              <w:left w:val="single" w:sz="4" w:space="0" w:color="FF0000"/>
              <w:bottom w:val="single" w:sz="8" w:space="0" w:color="F3CFC1"/>
              <w:right w:val="single" w:sz="4" w:space="0" w:color="FF0000"/>
            </w:tcBorders>
            <w:vAlign w:val="center"/>
          </w:tcPr>
          <w:p w14:paraId="61ABE156" w14:textId="2DE55486"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Veliki</w:t>
            </w:r>
          </w:p>
        </w:tc>
        <w:tc>
          <w:tcPr>
            <w:tcW w:w="853" w:type="dxa"/>
            <w:tcBorders>
              <w:top w:val="single" w:sz="8" w:space="0" w:color="F3CFC1"/>
              <w:left w:val="single" w:sz="4" w:space="0" w:color="FF0000"/>
              <w:bottom w:val="single" w:sz="8" w:space="0" w:color="F3CFC1"/>
              <w:right w:val="single" w:sz="8" w:space="0" w:color="D2232A" w:themeColor="accent1"/>
            </w:tcBorders>
            <w:vAlign w:val="center"/>
          </w:tcPr>
          <w:p w14:paraId="6E7CF236" w14:textId="01FDD28A"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5</w:t>
            </w:r>
          </w:p>
        </w:tc>
        <w:tc>
          <w:tcPr>
            <w:tcW w:w="936"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5FC048E1" w14:textId="01829AAE"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0,2%</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259D597A" w14:textId="0A74AE94"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5</w:t>
            </w:r>
          </w:p>
        </w:tc>
        <w:tc>
          <w:tcPr>
            <w:tcW w:w="936"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3B47986E" w14:textId="395A1211"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0,2%</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61DCCFD7" w14:textId="4F73E6A1"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5</w:t>
            </w:r>
          </w:p>
        </w:tc>
        <w:tc>
          <w:tcPr>
            <w:tcW w:w="936" w:type="dxa"/>
            <w:tcBorders>
              <w:top w:val="single" w:sz="8" w:space="0" w:color="F3CFC1"/>
              <w:left w:val="single" w:sz="8" w:space="0" w:color="D2232A" w:themeColor="accent1"/>
              <w:bottom w:val="single" w:sz="8" w:space="0" w:color="F3CFC1"/>
              <w:right w:val="single" w:sz="4" w:space="0" w:color="000000"/>
            </w:tcBorders>
            <w:vAlign w:val="center"/>
          </w:tcPr>
          <w:p w14:paraId="0E117FB6" w14:textId="2C639358"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0,2%</w:t>
            </w:r>
          </w:p>
        </w:tc>
        <w:tc>
          <w:tcPr>
            <w:tcW w:w="1097" w:type="dxa"/>
            <w:tcBorders>
              <w:top w:val="single" w:sz="8" w:space="0" w:color="F3CFC1"/>
              <w:left w:val="single" w:sz="8" w:space="0" w:color="D2232A" w:themeColor="accent1"/>
              <w:bottom w:val="single" w:sz="8" w:space="0" w:color="F3CFC1"/>
              <w:right w:val="single" w:sz="8" w:space="0" w:color="D2232A" w:themeColor="accent1"/>
            </w:tcBorders>
            <w:vAlign w:val="center"/>
          </w:tcPr>
          <w:p w14:paraId="0BF1CC49" w14:textId="22E582FB"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4</w:t>
            </w:r>
          </w:p>
        </w:tc>
        <w:tc>
          <w:tcPr>
            <w:tcW w:w="936" w:type="dxa"/>
            <w:tcBorders>
              <w:top w:val="single" w:sz="8" w:space="0" w:color="F3CFC1"/>
              <w:left w:val="single" w:sz="8" w:space="0" w:color="D2232A" w:themeColor="accent1"/>
              <w:bottom w:val="single" w:sz="8" w:space="0" w:color="F3CFC1"/>
              <w:right w:val="single" w:sz="4" w:space="0" w:color="FF0000"/>
            </w:tcBorders>
            <w:vAlign w:val="center"/>
          </w:tcPr>
          <w:p w14:paraId="5B0072C4" w14:textId="03185D2E"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0,2%</w:t>
            </w:r>
          </w:p>
        </w:tc>
      </w:tr>
      <w:tr w:rsidR="4E193667" w14:paraId="323C8453" w14:textId="77777777" w:rsidTr="00D52E51">
        <w:trPr>
          <w:trHeight w:val="285"/>
        </w:trPr>
        <w:tc>
          <w:tcPr>
            <w:tcW w:w="1413" w:type="dxa"/>
            <w:tcBorders>
              <w:top w:val="single" w:sz="8" w:space="0" w:color="F3CFC1"/>
              <w:left w:val="single" w:sz="4" w:space="0" w:color="FF0000"/>
              <w:bottom w:val="single" w:sz="4" w:space="0" w:color="FF0000"/>
              <w:right w:val="single" w:sz="4" w:space="0" w:color="FF0000"/>
            </w:tcBorders>
            <w:vAlign w:val="center"/>
          </w:tcPr>
          <w:p w14:paraId="3B8AE568" w14:textId="51E86914"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Ukupno</w:t>
            </w:r>
          </w:p>
        </w:tc>
        <w:tc>
          <w:tcPr>
            <w:tcW w:w="853" w:type="dxa"/>
            <w:tcBorders>
              <w:top w:val="single" w:sz="8" w:space="0" w:color="F3CFC1"/>
              <w:left w:val="single" w:sz="4" w:space="0" w:color="FF0000"/>
              <w:bottom w:val="single" w:sz="4" w:space="0" w:color="FF0000"/>
              <w:right w:val="single" w:sz="8" w:space="0" w:color="D2232A" w:themeColor="accent1"/>
            </w:tcBorders>
            <w:vAlign w:val="center"/>
          </w:tcPr>
          <w:p w14:paraId="47C7542D" w14:textId="58BB68C1"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1.975</w:t>
            </w:r>
          </w:p>
        </w:tc>
        <w:tc>
          <w:tcPr>
            <w:tcW w:w="936" w:type="dxa"/>
            <w:tcBorders>
              <w:top w:val="single" w:sz="8" w:space="0" w:color="F3CFC1"/>
              <w:left w:val="single" w:sz="8" w:space="0" w:color="D2232A" w:themeColor="accent1"/>
              <w:bottom w:val="single" w:sz="4" w:space="0" w:color="FF0000"/>
              <w:right w:val="single" w:sz="8" w:space="0" w:color="D2232A" w:themeColor="accent1"/>
            </w:tcBorders>
            <w:vAlign w:val="center"/>
          </w:tcPr>
          <w:p w14:paraId="75C3B616" w14:textId="28AE930D"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100%</w:t>
            </w:r>
          </w:p>
        </w:tc>
        <w:tc>
          <w:tcPr>
            <w:tcW w:w="1097" w:type="dxa"/>
            <w:tcBorders>
              <w:top w:val="single" w:sz="8" w:space="0" w:color="F3CFC1"/>
              <w:left w:val="single" w:sz="8" w:space="0" w:color="D2232A" w:themeColor="accent1"/>
              <w:bottom w:val="single" w:sz="4" w:space="0" w:color="FF0000"/>
              <w:right w:val="single" w:sz="8" w:space="0" w:color="D2232A" w:themeColor="accent1"/>
            </w:tcBorders>
            <w:vAlign w:val="center"/>
          </w:tcPr>
          <w:p w14:paraId="6CC6D227" w14:textId="4C4C2985"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2.033</w:t>
            </w:r>
          </w:p>
        </w:tc>
        <w:tc>
          <w:tcPr>
            <w:tcW w:w="936" w:type="dxa"/>
            <w:tcBorders>
              <w:top w:val="single" w:sz="8" w:space="0" w:color="F3CFC1"/>
              <w:left w:val="single" w:sz="8" w:space="0" w:color="D2232A" w:themeColor="accent1"/>
              <w:bottom w:val="single" w:sz="4" w:space="0" w:color="FF0000"/>
              <w:right w:val="single" w:sz="8" w:space="0" w:color="D2232A" w:themeColor="accent1"/>
            </w:tcBorders>
            <w:vAlign w:val="center"/>
          </w:tcPr>
          <w:p w14:paraId="257B2F2B" w14:textId="20E1BE51"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100%</w:t>
            </w:r>
          </w:p>
        </w:tc>
        <w:tc>
          <w:tcPr>
            <w:tcW w:w="1097" w:type="dxa"/>
            <w:tcBorders>
              <w:top w:val="single" w:sz="8" w:space="0" w:color="F3CFC1"/>
              <w:left w:val="single" w:sz="8" w:space="0" w:color="D2232A" w:themeColor="accent1"/>
              <w:bottom w:val="single" w:sz="4" w:space="0" w:color="FF0000"/>
              <w:right w:val="single" w:sz="8" w:space="0" w:color="D2232A" w:themeColor="accent1"/>
            </w:tcBorders>
            <w:vAlign w:val="center"/>
          </w:tcPr>
          <w:p w14:paraId="6C35658C" w14:textId="0F4EEB97"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2.267</w:t>
            </w:r>
          </w:p>
        </w:tc>
        <w:tc>
          <w:tcPr>
            <w:tcW w:w="936" w:type="dxa"/>
            <w:tcBorders>
              <w:top w:val="single" w:sz="8" w:space="0" w:color="F3CFC1"/>
              <w:left w:val="single" w:sz="8" w:space="0" w:color="D2232A" w:themeColor="accent1"/>
              <w:bottom w:val="single" w:sz="4" w:space="0" w:color="FF0000"/>
              <w:right w:val="single" w:sz="4" w:space="0" w:color="000000"/>
            </w:tcBorders>
            <w:vAlign w:val="center"/>
          </w:tcPr>
          <w:p w14:paraId="4D15C2BA" w14:textId="61B0C23D"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100%</w:t>
            </w:r>
          </w:p>
        </w:tc>
        <w:tc>
          <w:tcPr>
            <w:tcW w:w="1097" w:type="dxa"/>
            <w:tcBorders>
              <w:top w:val="single" w:sz="8" w:space="0" w:color="F3CFC1"/>
              <w:left w:val="single" w:sz="8" w:space="0" w:color="D2232A" w:themeColor="accent1"/>
              <w:bottom w:val="single" w:sz="4" w:space="0" w:color="FF0000"/>
              <w:right w:val="single" w:sz="8" w:space="0" w:color="D2232A" w:themeColor="accent1"/>
            </w:tcBorders>
            <w:vAlign w:val="center"/>
          </w:tcPr>
          <w:p w14:paraId="4351DFFE" w14:textId="18D9C327"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2.344</w:t>
            </w:r>
          </w:p>
        </w:tc>
        <w:tc>
          <w:tcPr>
            <w:tcW w:w="936" w:type="dxa"/>
            <w:tcBorders>
              <w:top w:val="single" w:sz="8" w:space="0" w:color="F3CFC1"/>
              <w:left w:val="single" w:sz="8" w:space="0" w:color="D2232A" w:themeColor="accent1"/>
              <w:bottom w:val="single" w:sz="4" w:space="0" w:color="FF0000"/>
              <w:right w:val="single" w:sz="4" w:space="0" w:color="FF0000"/>
            </w:tcBorders>
            <w:vAlign w:val="center"/>
          </w:tcPr>
          <w:p w14:paraId="56D12A87" w14:textId="55189BD0" w:rsidR="4E193667" w:rsidRPr="00D52E51" w:rsidRDefault="4E193667" w:rsidP="00AD4AD1">
            <w:pPr>
              <w:spacing w:after="0" w:line="240" w:lineRule="auto"/>
              <w:jc w:val="center"/>
              <w:rPr>
                <w:rFonts w:cstheme="minorHAnsi"/>
                <w:szCs w:val="18"/>
                <w:lang w:eastAsia="hr-HR"/>
              </w:rPr>
            </w:pPr>
            <w:r w:rsidRPr="00D52E51">
              <w:rPr>
                <w:rFonts w:cstheme="minorHAnsi"/>
                <w:szCs w:val="18"/>
                <w:lang w:eastAsia="hr-HR"/>
              </w:rPr>
              <w:t>100%</w:t>
            </w:r>
          </w:p>
        </w:tc>
      </w:tr>
    </w:tbl>
    <w:p w14:paraId="7A3C6C02" w14:textId="51803728" w:rsidR="0058734F" w:rsidRPr="00A40471" w:rsidRDefault="008878A0" w:rsidP="00A40471">
      <w:pPr>
        <w:autoSpaceDE w:val="0"/>
        <w:autoSpaceDN w:val="0"/>
        <w:adjustRightInd w:val="0"/>
        <w:spacing w:after="0" w:line="240" w:lineRule="auto"/>
        <w:rPr>
          <w:rFonts w:eastAsia="ArialNarrow" w:cstheme="minorHAnsi"/>
          <w:i/>
          <w:color w:val="ABABAB" w:themeColor="text1" w:themeTint="A6"/>
          <w:sz w:val="16"/>
          <w:szCs w:val="16"/>
        </w:rPr>
      </w:pPr>
      <w:r w:rsidRPr="00A40471">
        <w:rPr>
          <w:rFonts w:eastAsia="ArialNarrow" w:cstheme="minorHAnsi"/>
          <w:i/>
          <w:color w:val="ABABAB" w:themeColor="text1" w:themeTint="A6"/>
          <w:sz w:val="16"/>
          <w:szCs w:val="16"/>
        </w:rPr>
        <w:t>Izvor: FINA, 2016. – 201</w:t>
      </w:r>
      <w:r w:rsidR="7AF340BD" w:rsidRPr="00A40471">
        <w:rPr>
          <w:rFonts w:eastAsia="ArialNarrow" w:cstheme="minorHAnsi"/>
          <w:i/>
          <w:color w:val="ABABAB" w:themeColor="text1" w:themeTint="A6"/>
          <w:sz w:val="16"/>
          <w:szCs w:val="16"/>
        </w:rPr>
        <w:t>9</w:t>
      </w:r>
      <w:r w:rsidRPr="00A40471">
        <w:rPr>
          <w:rFonts w:eastAsia="ArialNarrow" w:cstheme="minorHAnsi"/>
          <w:i/>
          <w:color w:val="ABABAB" w:themeColor="text1" w:themeTint="A6"/>
          <w:sz w:val="16"/>
          <w:szCs w:val="16"/>
        </w:rPr>
        <w:t>., obrada autora</w:t>
      </w:r>
    </w:p>
    <w:p w14:paraId="13F3B343" w14:textId="77777777" w:rsidR="00D52E51" w:rsidRPr="00D52E51" w:rsidRDefault="00D52E51" w:rsidP="003C2276">
      <w:pPr>
        <w:pStyle w:val="Izvor"/>
        <w:rPr>
          <w:i/>
          <w:color w:val="ABABAB" w:themeColor="text1" w:themeTint="A6"/>
          <w:szCs w:val="18"/>
        </w:rPr>
      </w:pPr>
    </w:p>
    <w:p w14:paraId="24E589B1" w14:textId="3F2C2451" w:rsidR="0058734F" w:rsidRDefault="00AC365B" w:rsidP="00BF1521">
      <w:r w:rsidRPr="4E193667">
        <w:t>U periodu 2016</w:t>
      </w:r>
      <w:r w:rsidR="001C0755" w:rsidRPr="4E193667">
        <w:t>.</w:t>
      </w:r>
      <w:r w:rsidRPr="4E193667">
        <w:t>-201</w:t>
      </w:r>
      <w:r w:rsidR="3DBBA242" w:rsidRPr="4E193667">
        <w:t>9</w:t>
      </w:r>
      <w:r w:rsidR="001C0755" w:rsidRPr="4E193667">
        <w:t>.</w:t>
      </w:r>
      <w:r w:rsidRPr="4E193667">
        <w:t xml:space="preserve"> najviše </w:t>
      </w:r>
      <w:r w:rsidR="78CCC082" w:rsidRPr="4E193667">
        <w:t>je zaposlenih bilo u srednje velikim poduzećima (25.841) i malim poduzećima (25.700), a slijede mikro poduzeća (</w:t>
      </w:r>
      <w:r w:rsidR="35230863" w:rsidRPr="4E193667">
        <w:t>20.096) i velika poduzeća (10.661).</w:t>
      </w:r>
      <w:r w:rsidR="5AECB56D" w:rsidRPr="4E193667">
        <w:t xml:space="preserve"> U 2019. godini bilježi se pad broja zaposlenih u velikim poduzećima (gašenje jednog poslovnog subjekta) te porast broja zaposlenih u srednjim poduzećima (za </w:t>
      </w:r>
      <w:r w:rsidR="25C63B3A" w:rsidRPr="4E193667">
        <w:t>808).</w:t>
      </w:r>
    </w:p>
    <w:p w14:paraId="1B7A1EE8" w14:textId="77777777" w:rsidR="007A731C" w:rsidRPr="0077336F" w:rsidRDefault="007A731C" w:rsidP="0077336F">
      <w:pPr>
        <w:pStyle w:val="Izvor"/>
        <w:rPr>
          <w:i/>
          <w:color w:val="ABABAB" w:themeColor="text1" w:themeTint="A6"/>
          <w:szCs w:val="18"/>
        </w:rPr>
      </w:pPr>
    </w:p>
    <w:p w14:paraId="58C81579" w14:textId="3F6A3C12" w:rsidR="007B56F0" w:rsidRPr="007B56F0" w:rsidRDefault="008878A0" w:rsidP="003E3F3C">
      <w:pPr>
        <w:pStyle w:val="Opisslike"/>
      </w:pPr>
      <w:r>
        <w:t>Grafikon</w:t>
      </w:r>
      <w:r w:rsidR="009C6F04">
        <w:t xml:space="preserve"> </w:t>
      </w:r>
      <w:r w:rsidR="009C6F04">
        <w:rPr>
          <w:noProof/>
        </w:rPr>
        <w:t>4</w:t>
      </w:r>
      <w:r w:rsidR="00CF4B96">
        <w:rPr>
          <w:noProof/>
        </w:rPr>
        <w:t>4</w:t>
      </w:r>
      <w:r w:rsidR="001838EE" w:rsidRPr="4E193667">
        <w:rPr>
          <w:noProof/>
        </w:rPr>
        <w:t>.</w:t>
      </w:r>
      <w:r>
        <w:t xml:space="preserve"> Prikaz broja zaposlenih kod poduzetnika prema veličini poduzeća</w:t>
      </w:r>
      <w:r w:rsidR="002E1535">
        <w:t>, 2016.-201</w:t>
      </w:r>
      <w:r w:rsidR="6460FD63">
        <w:t>9</w:t>
      </w:r>
      <w:r w:rsidR="002E1535">
        <w:t>.</w:t>
      </w:r>
    </w:p>
    <w:p w14:paraId="03892820" w14:textId="4F9A8FCA" w:rsidR="008878A0" w:rsidRDefault="4EFC4629" w:rsidP="4E193667">
      <w:pPr>
        <w:ind w:left="116" w:right="71"/>
      </w:pPr>
      <w:r>
        <w:rPr>
          <w:noProof/>
        </w:rPr>
        <w:drawing>
          <wp:inline distT="0" distB="0" distL="0" distR="0" wp14:anchorId="62D4B34F" wp14:editId="3C44A9C9">
            <wp:extent cx="5743575" cy="2682240"/>
            <wp:effectExtent l="0" t="0" r="9525" b="3810"/>
            <wp:docPr id="697888877" name="Slika 69788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5889308" cy="2750297"/>
                    </a:xfrm>
                    <a:prstGeom prst="rect">
                      <a:avLst/>
                    </a:prstGeom>
                  </pic:spPr>
                </pic:pic>
              </a:graphicData>
            </a:graphic>
          </wp:inline>
        </w:drawing>
      </w:r>
    </w:p>
    <w:p w14:paraId="3FD50621" w14:textId="0B62E789"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FINA</w:t>
      </w:r>
      <w:r w:rsidR="00C9137A" w:rsidRPr="006207AF">
        <w:rPr>
          <w:rFonts w:eastAsia="ArialNarrow" w:cstheme="minorHAnsi"/>
          <w:i/>
          <w:color w:val="ABABAB" w:themeColor="text1" w:themeTint="A6"/>
          <w:sz w:val="16"/>
          <w:szCs w:val="16"/>
        </w:rPr>
        <w:t xml:space="preserve"> 2016., 2017., 2018.</w:t>
      </w:r>
      <w:r w:rsidR="2896C369" w:rsidRPr="006207AF">
        <w:rPr>
          <w:rFonts w:eastAsia="ArialNarrow" w:cstheme="minorHAnsi"/>
          <w:i/>
          <w:color w:val="ABABAB" w:themeColor="text1" w:themeTint="A6"/>
          <w:sz w:val="16"/>
          <w:szCs w:val="16"/>
        </w:rPr>
        <w:t xml:space="preserve"> i 2019.</w:t>
      </w:r>
      <w:r w:rsidR="00C9137A" w:rsidRPr="006207AF">
        <w:rPr>
          <w:rFonts w:eastAsia="ArialNarrow" w:cstheme="minorHAnsi"/>
          <w:i/>
          <w:color w:val="ABABAB" w:themeColor="text1" w:themeTint="A6"/>
          <w:sz w:val="16"/>
          <w:szCs w:val="16"/>
        </w:rPr>
        <w:t xml:space="preserve"> godina</w:t>
      </w:r>
      <w:r w:rsidRPr="006207AF">
        <w:rPr>
          <w:rFonts w:eastAsia="ArialNarrow" w:cstheme="minorHAnsi"/>
          <w:i/>
          <w:color w:val="ABABAB" w:themeColor="text1" w:themeTint="A6"/>
          <w:sz w:val="16"/>
          <w:szCs w:val="16"/>
        </w:rPr>
        <w:t>, obrada autora</w:t>
      </w:r>
    </w:p>
    <w:p w14:paraId="6C5936F4" w14:textId="77777777" w:rsidR="00E95221" w:rsidRPr="0077336F" w:rsidRDefault="00E95221" w:rsidP="003C2276">
      <w:pPr>
        <w:pStyle w:val="Izvor"/>
        <w:rPr>
          <w:i/>
          <w:color w:val="ABABAB" w:themeColor="text1" w:themeTint="A6"/>
          <w:szCs w:val="18"/>
        </w:rPr>
      </w:pPr>
    </w:p>
    <w:p w14:paraId="6A58E3CC" w14:textId="026E7B2E" w:rsidR="008878A0" w:rsidRDefault="00C24719" w:rsidP="4E193667">
      <w:pPr>
        <w:rPr>
          <w:rFonts w:eastAsia="Arial Narrow"/>
          <w:spacing w:val="-1"/>
          <w:sz w:val="22"/>
          <w:szCs w:val="22"/>
        </w:rPr>
      </w:pPr>
      <w:r w:rsidRPr="4E193667">
        <w:rPr>
          <w:rFonts w:eastAsia="Arial Narrow"/>
          <w:spacing w:val="-1"/>
        </w:rPr>
        <w:t>Najveću prosječnu</w:t>
      </w:r>
      <w:r w:rsidR="008878A0" w:rsidRPr="4E193667">
        <w:rPr>
          <w:rFonts w:eastAsia="Arial Narrow"/>
          <w:spacing w:val="-1"/>
        </w:rPr>
        <w:t xml:space="preserve"> neto plaću isplaćivali su veliki poduzetnici. Prosječna plaća rasla je u cijelom promatranom razdoblju, međutim je za oko 1</w:t>
      </w:r>
      <w:r w:rsidR="5377A6FC" w:rsidRPr="4E193667">
        <w:rPr>
          <w:rFonts w:eastAsia="Arial Narrow"/>
          <w:spacing w:val="-1"/>
        </w:rPr>
        <w:t>1</w:t>
      </w:r>
      <w:r w:rsidR="008878A0" w:rsidRPr="4E193667">
        <w:rPr>
          <w:rFonts w:eastAsia="Arial Narrow"/>
          <w:spacing w:val="-1"/>
        </w:rPr>
        <w:t xml:space="preserve">% manja od prosječne plaće koju isplaćuju poduzetnici </w:t>
      </w:r>
      <w:r w:rsidR="4BE389C4" w:rsidRPr="4E193667">
        <w:rPr>
          <w:rFonts w:eastAsia="Arial Narrow"/>
          <w:spacing w:val="-1"/>
        </w:rPr>
        <w:t>na razini</w:t>
      </w:r>
      <w:r w:rsidR="00AC365B" w:rsidRPr="4E193667">
        <w:rPr>
          <w:rFonts w:eastAsia="Arial Narrow"/>
          <w:spacing w:val="-1"/>
        </w:rPr>
        <w:t xml:space="preserve"> </w:t>
      </w:r>
      <w:r w:rsidR="008878A0" w:rsidRPr="4E193667">
        <w:rPr>
          <w:rFonts w:eastAsia="Arial Narrow"/>
          <w:spacing w:val="-1"/>
        </w:rPr>
        <w:t xml:space="preserve">RH. </w:t>
      </w:r>
    </w:p>
    <w:p w14:paraId="6F27F1B5" w14:textId="77777777" w:rsidR="008878A0" w:rsidRDefault="008878A0" w:rsidP="00941871">
      <w:pPr>
        <w:rPr>
          <w:rFonts w:eastAsia="Arial Narrow" w:cstheme="minorHAnsi"/>
          <w:spacing w:val="-1"/>
        </w:rPr>
      </w:pPr>
    </w:p>
    <w:p w14:paraId="6A709C78" w14:textId="2C274A35" w:rsidR="008878A0" w:rsidRDefault="008878A0" w:rsidP="003E3F3C">
      <w:pPr>
        <w:pStyle w:val="Opisslike"/>
      </w:pPr>
      <w:bookmarkStart w:id="147" w:name="_Hlk66795057"/>
      <w:r>
        <w:t xml:space="preserve">Tablica </w:t>
      </w:r>
      <w:r w:rsidR="000D5E3F">
        <w:rPr>
          <w:noProof/>
        </w:rPr>
        <w:t>82</w:t>
      </w:r>
      <w:r w:rsidR="001838EE" w:rsidRPr="4E193667">
        <w:rPr>
          <w:noProof/>
        </w:rPr>
        <w:t>.</w:t>
      </w:r>
      <w:r>
        <w:t xml:space="preserve"> Broj poduzetnika prema veličini, 2016.-201</w:t>
      </w:r>
      <w:r w:rsidR="0CF963CF">
        <w:t>9</w:t>
      </w:r>
      <w:r>
        <w:t>. godina</w:t>
      </w:r>
    </w:p>
    <w:tbl>
      <w:tblPr>
        <w:tblW w:w="9279" w:type="dxa"/>
        <w:tblLayout w:type="fixed"/>
        <w:tblLook w:val="04A0" w:firstRow="1" w:lastRow="0" w:firstColumn="1" w:lastColumn="0" w:noHBand="0" w:noVBand="1"/>
      </w:tblPr>
      <w:tblGrid>
        <w:gridCol w:w="2146"/>
        <w:gridCol w:w="1565"/>
        <w:gridCol w:w="1855"/>
        <w:gridCol w:w="1855"/>
        <w:gridCol w:w="1858"/>
      </w:tblGrid>
      <w:tr w:rsidR="4E193667" w14:paraId="096C649B" w14:textId="77777777" w:rsidTr="006207AF">
        <w:trPr>
          <w:trHeight w:val="620"/>
        </w:trPr>
        <w:tc>
          <w:tcPr>
            <w:tcW w:w="2146" w:type="dxa"/>
            <w:vMerge w:val="restart"/>
            <w:tcBorders>
              <w:right w:val="nil"/>
            </w:tcBorders>
            <w:shd w:val="clear" w:color="auto" w:fill="D2232A" w:themeFill="accent1"/>
            <w:vAlign w:val="center"/>
          </w:tcPr>
          <w:bookmarkEnd w:id="147"/>
          <w:p w14:paraId="0A61BAC3" w14:textId="44F99931" w:rsidR="4E193667" w:rsidRPr="00FF3512" w:rsidRDefault="4E193667" w:rsidP="4E193667">
            <w:pPr>
              <w:jc w:val="center"/>
              <w:rPr>
                <w:rFonts w:cstheme="minorHAnsi"/>
                <w:b/>
                <w:bCs/>
                <w:color w:val="FFFFFF" w:themeColor="background1"/>
                <w:szCs w:val="18"/>
                <w:lang w:eastAsia="hr-HR"/>
              </w:rPr>
            </w:pPr>
            <w:r w:rsidRPr="00FF3512">
              <w:rPr>
                <w:rFonts w:cstheme="minorHAnsi"/>
                <w:b/>
                <w:bCs/>
                <w:color w:val="FFFFFF" w:themeColor="background1"/>
                <w:szCs w:val="18"/>
                <w:lang w:eastAsia="hr-HR"/>
              </w:rPr>
              <w:t xml:space="preserve">VELIČINA </w:t>
            </w:r>
          </w:p>
        </w:tc>
        <w:tc>
          <w:tcPr>
            <w:tcW w:w="7133" w:type="dxa"/>
            <w:gridSpan w:val="4"/>
            <w:tcBorders>
              <w:top w:val="nil"/>
              <w:left w:val="single" w:sz="8" w:space="0" w:color="F3CFC1"/>
              <w:bottom w:val="single" w:sz="4" w:space="0" w:color="000000"/>
              <w:right w:val="single" w:sz="4" w:space="0" w:color="FFFFFF" w:themeColor="background1"/>
            </w:tcBorders>
            <w:shd w:val="clear" w:color="auto" w:fill="D2232A" w:themeFill="accent1"/>
            <w:vAlign w:val="center"/>
          </w:tcPr>
          <w:p w14:paraId="0C6D9DE8" w14:textId="1974AD6D" w:rsidR="4E193667" w:rsidRPr="00FF3512" w:rsidRDefault="4E193667" w:rsidP="4E193667">
            <w:pPr>
              <w:jc w:val="center"/>
              <w:rPr>
                <w:rFonts w:cstheme="minorHAnsi"/>
                <w:b/>
                <w:bCs/>
                <w:color w:val="FFFFFF" w:themeColor="background1"/>
                <w:szCs w:val="18"/>
                <w:lang w:eastAsia="hr-HR"/>
              </w:rPr>
            </w:pPr>
            <w:r w:rsidRPr="00FF3512">
              <w:rPr>
                <w:rFonts w:cstheme="minorHAnsi"/>
                <w:b/>
                <w:bCs/>
                <w:color w:val="FFFFFF" w:themeColor="background1"/>
                <w:szCs w:val="18"/>
                <w:lang w:eastAsia="hr-HR"/>
              </w:rPr>
              <w:t xml:space="preserve">Prosječna mjesečna neto plaća po zaposlenome  </w:t>
            </w:r>
          </w:p>
        </w:tc>
      </w:tr>
      <w:tr w:rsidR="4E193667" w14:paraId="7B9F2CF4" w14:textId="77777777" w:rsidTr="006207AF">
        <w:trPr>
          <w:trHeight w:val="339"/>
        </w:trPr>
        <w:tc>
          <w:tcPr>
            <w:tcW w:w="2146" w:type="dxa"/>
            <w:vMerge/>
            <w:vAlign w:val="center"/>
          </w:tcPr>
          <w:p w14:paraId="5FD02414" w14:textId="77777777" w:rsidR="0006033B" w:rsidRPr="00FF3512" w:rsidRDefault="0006033B" w:rsidP="00FF3512">
            <w:pPr>
              <w:jc w:val="center"/>
              <w:rPr>
                <w:rFonts w:cstheme="minorHAnsi"/>
                <w:b/>
                <w:bCs/>
                <w:color w:val="FFFFFF" w:themeColor="background1"/>
                <w:szCs w:val="18"/>
                <w:lang w:eastAsia="hr-HR"/>
              </w:rPr>
            </w:pPr>
          </w:p>
        </w:tc>
        <w:tc>
          <w:tcPr>
            <w:tcW w:w="1565" w:type="dxa"/>
            <w:tcBorders>
              <w:top w:val="single" w:sz="4" w:space="0" w:color="FFFFFF" w:themeColor="background1"/>
              <w:left w:val="single" w:sz="8" w:space="0" w:color="FFFFFF" w:themeColor="background1"/>
              <w:bottom w:val="single" w:sz="8" w:space="0" w:color="FFFFFF" w:themeColor="background1"/>
              <w:right w:val="single" w:sz="8" w:space="0" w:color="F3CFC1"/>
            </w:tcBorders>
            <w:shd w:val="clear" w:color="auto" w:fill="D2232A" w:themeFill="accent1"/>
            <w:vAlign w:val="center"/>
          </w:tcPr>
          <w:p w14:paraId="3BF53A7E" w14:textId="06F5A12E" w:rsidR="4E193667" w:rsidRPr="00FF3512" w:rsidRDefault="4E193667" w:rsidP="00FF3512">
            <w:pPr>
              <w:jc w:val="center"/>
              <w:rPr>
                <w:rFonts w:cstheme="minorHAnsi"/>
                <w:b/>
                <w:bCs/>
                <w:color w:val="FFFFFF" w:themeColor="background1"/>
                <w:szCs w:val="18"/>
                <w:lang w:eastAsia="hr-HR"/>
              </w:rPr>
            </w:pPr>
            <w:r w:rsidRPr="00FF3512">
              <w:rPr>
                <w:rFonts w:cstheme="minorHAnsi"/>
                <w:b/>
                <w:bCs/>
                <w:color w:val="FFFFFF" w:themeColor="background1"/>
                <w:szCs w:val="18"/>
                <w:lang w:eastAsia="hr-HR"/>
              </w:rPr>
              <w:t>2016.</w:t>
            </w:r>
          </w:p>
        </w:tc>
        <w:tc>
          <w:tcPr>
            <w:tcW w:w="1855" w:type="dxa"/>
            <w:tcBorders>
              <w:top w:val="single" w:sz="4" w:space="0" w:color="FFFFFF" w:themeColor="background1"/>
              <w:left w:val="single" w:sz="8" w:space="0" w:color="F3CFC1"/>
              <w:bottom w:val="single" w:sz="8" w:space="0" w:color="FFFFFF" w:themeColor="background1"/>
              <w:right w:val="single" w:sz="8" w:space="0" w:color="F3CFC1"/>
            </w:tcBorders>
            <w:shd w:val="clear" w:color="auto" w:fill="D2232A" w:themeFill="accent1"/>
            <w:vAlign w:val="center"/>
          </w:tcPr>
          <w:p w14:paraId="2C386DEA" w14:textId="18350AD9" w:rsidR="4E193667" w:rsidRPr="00FF3512" w:rsidRDefault="4E193667" w:rsidP="00FF3512">
            <w:pPr>
              <w:jc w:val="center"/>
              <w:rPr>
                <w:rFonts w:cstheme="minorHAnsi"/>
                <w:b/>
                <w:bCs/>
                <w:color w:val="FFFFFF" w:themeColor="background1"/>
                <w:szCs w:val="18"/>
                <w:lang w:eastAsia="hr-HR"/>
              </w:rPr>
            </w:pPr>
            <w:r w:rsidRPr="00FF3512">
              <w:rPr>
                <w:rFonts w:cstheme="minorHAnsi"/>
                <w:b/>
                <w:bCs/>
                <w:color w:val="FFFFFF" w:themeColor="background1"/>
                <w:szCs w:val="18"/>
                <w:lang w:eastAsia="hr-HR"/>
              </w:rPr>
              <w:t>2017.</w:t>
            </w:r>
          </w:p>
        </w:tc>
        <w:tc>
          <w:tcPr>
            <w:tcW w:w="1855" w:type="dxa"/>
            <w:tcBorders>
              <w:top w:val="single" w:sz="4" w:space="0" w:color="FFFFFF" w:themeColor="background1"/>
              <w:left w:val="single" w:sz="8" w:space="0" w:color="F3CFC1"/>
              <w:bottom w:val="single" w:sz="8" w:space="0" w:color="FFFFFF" w:themeColor="background1"/>
              <w:right w:val="single" w:sz="4" w:space="0" w:color="FBE8E8" w:themeColor="accent6" w:themeTint="33"/>
            </w:tcBorders>
            <w:shd w:val="clear" w:color="auto" w:fill="D2232A" w:themeFill="accent1"/>
            <w:vAlign w:val="center"/>
          </w:tcPr>
          <w:p w14:paraId="5B4CB547" w14:textId="45EDF5F5" w:rsidR="4E193667" w:rsidRPr="00FF3512" w:rsidRDefault="4E193667" w:rsidP="00FF3512">
            <w:pPr>
              <w:jc w:val="center"/>
              <w:rPr>
                <w:rFonts w:cstheme="minorHAnsi"/>
                <w:b/>
                <w:bCs/>
                <w:color w:val="FFFFFF" w:themeColor="background1"/>
                <w:szCs w:val="18"/>
                <w:lang w:eastAsia="hr-HR"/>
              </w:rPr>
            </w:pPr>
            <w:r w:rsidRPr="00FF3512">
              <w:rPr>
                <w:rFonts w:cstheme="minorHAnsi"/>
                <w:b/>
                <w:bCs/>
                <w:color w:val="FFFFFF" w:themeColor="background1"/>
                <w:szCs w:val="18"/>
                <w:lang w:eastAsia="hr-HR"/>
              </w:rPr>
              <w:t>2018.</w:t>
            </w:r>
          </w:p>
        </w:tc>
        <w:tc>
          <w:tcPr>
            <w:tcW w:w="1855" w:type="dxa"/>
            <w:tcBorders>
              <w:top w:val="nil"/>
              <w:left w:val="single" w:sz="4" w:space="0" w:color="FBE8E8" w:themeColor="accent6" w:themeTint="33"/>
              <w:bottom w:val="single" w:sz="8" w:space="0" w:color="FFFFFF" w:themeColor="background1"/>
              <w:right w:val="single" w:sz="4" w:space="0" w:color="FFFFFF" w:themeColor="background1"/>
            </w:tcBorders>
            <w:shd w:val="clear" w:color="auto" w:fill="D2232A" w:themeFill="accent1"/>
            <w:vAlign w:val="center"/>
          </w:tcPr>
          <w:p w14:paraId="7434A7D4" w14:textId="55018AA6" w:rsidR="4E193667" w:rsidRPr="00FF3512" w:rsidRDefault="4E193667" w:rsidP="00FF3512">
            <w:pPr>
              <w:jc w:val="center"/>
              <w:rPr>
                <w:rFonts w:cstheme="minorHAnsi"/>
                <w:b/>
                <w:bCs/>
                <w:color w:val="FFFFFF" w:themeColor="background1"/>
                <w:szCs w:val="18"/>
                <w:lang w:eastAsia="hr-HR"/>
              </w:rPr>
            </w:pPr>
            <w:r w:rsidRPr="00FF3512">
              <w:rPr>
                <w:rFonts w:cstheme="minorHAnsi"/>
                <w:b/>
                <w:bCs/>
                <w:color w:val="FFFFFF" w:themeColor="background1"/>
                <w:szCs w:val="18"/>
                <w:lang w:eastAsia="hr-HR"/>
              </w:rPr>
              <w:t>2019.</w:t>
            </w:r>
          </w:p>
        </w:tc>
      </w:tr>
      <w:tr w:rsidR="4E193667" w14:paraId="2F722ABB" w14:textId="77777777" w:rsidTr="006207AF">
        <w:trPr>
          <w:trHeight w:val="233"/>
        </w:trPr>
        <w:tc>
          <w:tcPr>
            <w:tcW w:w="2146" w:type="dxa"/>
            <w:tcBorders>
              <w:top w:val="single" w:sz="8" w:space="0" w:color="FFFFFF" w:themeColor="background1"/>
              <w:bottom w:val="single" w:sz="8" w:space="0" w:color="F3CFC1"/>
              <w:right w:val="single" w:sz="4" w:space="0" w:color="FFFFFF" w:themeColor="background1"/>
            </w:tcBorders>
            <w:shd w:val="clear" w:color="auto" w:fill="D2232A" w:themeFill="accent1"/>
            <w:vAlign w:val="center"/>
          </w:tcPr>
          <w:p w14:paraId="3781FD29" w14:textId="7BE3D90A" w:rsidR="4E193667" w:rsidRPr="00FF3512" w:rsidRDefault="4E193667" w:rsidP="00FF3512">
            <w:pPr>
              <w:jc w:val="center"/>
              <w:rPr>
                <w:rFonts w:cstheme="minorHAnsi"/>
                <w:b/>
                <w:bCs/>
                <w:color w:val="FFFFFF" w:themeColor="background1"/>
                <w:szCs w:val="18"/>
                <w:lang w:eastAsia="hr-HR"/>
              </w:rPr>
            </w:pPr>
            <w:bookmarkStart w:id="148" w:name="_Hlk66795141"/>
            <w:r w:rsidRPr="00FF3512">
              <w:rPr>
                <w:rFonts w:cstheme="minorHAnsi"/>
                <w:b/>
                <w:bCs/>
                <w:color w:val="FFFFFF" w:themeColor="background1"/>
                <w:szCs w:val="18"/>
                <w:lang w:eastAsia="hr-HR"/>
              </w:rPr>
              <w:t xml:space="preserve">MIKRO </w:t>
            </w:r>
          </w:p>
        </w:tc>
        <w:tc>
          <w:tcPr>
            <w:tcW w:w="1565" w:type="dxa"/>
            <w:tcBorders>
              <w:top w:val="single" w:sz="4" w:space="0" w:color="000000"/>
              <w:left w:val="single" w:sz="4" w:space="0" w:color="FFFFFF" w:themeColor="background1"/>
              <w:bottom w:val="single" w:sz="4" w:space="0" w:color="FBE8E8" w:themeColor="accent6" w:themeTint="33"/>
              <w:right w:val="single" w:sz="4" w:space="0" w:color="FBE8E8" w:themeColor="accent6" w:themeTint="33"/>
            </w:tcBorders>
            <w:vAlign w:val="center"/>
          </w:tcPr>
          <w:p w14:paraId="2D703991" w14:textId="654392D5"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3.426</w:t>
            </w:r>
          </w:p>
        </w:tc>
        <w:tc>
          <w:tcPr>
            <w:tcW w:w="1855" w:type="dxa"/>
            <w:tcBorders>
              <w:top w:val="single" w:sz="4" w:space="0" w:color="000000"/>
              <w:left w:val="single" w:sz="4" w:space="0" w:color="FBE8E8" w:themeColor="accent6" w:themeTint="33"/>
              <w:bottom w:val="single" w:sz="4" w:space="0" w:color="FBE8E8" w:themeColor="accent6" w:themeTint="33"/>
              <w:right w:val="single" w:sz="4" w:space="0" w:color="FBE8E8" w:themeColor="accent6" w:themeTint="33"/>
            </w:tcBorders>
            <w:vAlign w:val="center"/>
          </w:tcPr>
          <w:p w14:paraId="24B142DC" w14:textId="6C64D2E3"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3.726</w:t>
            </w:r>
          </w:p>
        </w:tc>
        <w:tc>
          <w:tcPr>
            <w:tcW w:w="1855" w:type="dxa"/>
            <w:tcBorders>
              <w:top w:val="single" w:sz="4" w:space="0" w:color="000000"/>
              <w:left w:val="single" w:sz="4" w:space="0" w:color="FBE8E8" w:themeColor="accent6" w:themeTint="33"/>
              <w:bottom w:val="single" w:sz="4" w:space="0" w:color="FBE8E8" w:themeColor="accent6" w:themeTint="33"/>
              <w:right w:val="single" w:sz="4" w:space="0" w:color="FBE8E8" w:themeColor="accent6" w:themeTint="33"/>
            </w:tcBorders>
            <w:vAlign w:val="center"/>
          </w:tcPr>
          <w:p w14:paraId="3D0DF394" w14:textId="72FB42AD"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3.867</w:t>
            </w:r>
          </w:p>
        </w:tc>
        <w:tc>
          <w:tcPr>
            <w:tcW w:w="1855" w:type="dxa"/>
            <w:tcBorders>
              <w:top w:val="single" w:sz="8" w:space="0" w:color="F3CFC1"/>
              <w:left w:val="single" w:sz="4" w:space="0" w:color="FBE8E8" w:themeColor="accent6" w:themeTint="33"/>
              <w:bottom w:val="single" w:sz="4" w:space="0" w:color="FBE8E8" w:themeColor="accent6" w:themeTint="33"/>
              <w:right w:val="single" w:sz="4" w:space="0" w:color="FBE8E8" w:themeColor="accent6" w:themeTint="33"/>
            </w:tcBorders>
            <w:vAlign w:val="center"/>
          </w:tcPr>
          <w:p w14:paraId="5AFA8D63" w14:textId="1EE76AC2"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4.078</w:t>
            </w:r>
          </w:p>
        </w:tc>
      </w:tr>
      <w:tr w:rsidR="4E193667" w14:paraId="46FF7224" w14:textId="77777777" w:rsidTr="006207AF">
        <w:trPr>
          <w:trHeight w:val="233"/>
        </w:trPr>
        <w:tc>
          <w:tcPr>
            <w:tcW w:w="2146" w:type="dxa"/>
            <w:tcBorders>
              <w:top w:val="single" w:sz="8" w:space="0" w:color="F3CFC1"/>
              <w:bottom w:val="single" w:sz="8" w:space="0" w:color="F3CFC1"/>
              <w:right w:val="single" w:sz="4" w:space="0" w:color="FFFFFF" w:themeColor="background1"/>
            </w:tcBorders>
            <w:shd w:val="clear" w:color="auto" w:fill="D2232A" w:themeFill="accent1"/>
            <w:vAlign w:val="center"/>
          </w:tcPr>
          <w:p w14:paraId="13F5B46D" w14:textId="1E51C328" w:rsidR="4E193667" w:rsidRPr="00FF3512" w:rsidRDefault="4E193667" w:rsidP="00FF3512">
            <w:pPr>
              <w:jc w:val="center"/>
              <w:rPr>
                <w:rFonts w:cstheme="minorHAnsi"/>
                <w:b/>
                <w:bCs/>
                <w:color w:val="FFFFFF" w:themeColor="background1"/>
                <w:szCs w:val="18"/>
                <w:lang w:eastAsia="hr-HR"/>
              </w:rPr>
            </w:pPr>
            <w:r w:rsidRPr="00FF3512">
              <w:rPr>
                <w:rFonts w:cstheme="minorHAnsi"/>
                <w:b/>
                <w:bCs/>
                <w:color w:val="FFFFFF" w:themeColor="background1"/>
                <w:szCs w:val="18"/>
                <w:lang w:eastAsia="hr-HR"/>
              </w:rPr>
              <w:t xml:space="preserve">MALI </w:t>
            </w:r>
          </w:p>
        </w:tc>
        <w:tc>
          <w:tcPr>
            <w:tcW w:w="1565" w:type="dxa"/>
            <w:tcBorders>
              <w:top w:val="single" w:sz="4" w:space="0" w:color="FBE8E8" w:themeColor="accent6" w:themeTint="33"/>
              <w:left w:val="single" w:sz="4" w:space="0" w:color="FFFFFF" w:themeColor="background1"/>
              <w:bottom w:val="single" w:sz="4" w:space="0" w:color="FBE8E8" w:themeColor="accent6" w:themeTint="33"/>
              <w:right w:val="single" w:sz="4" w:space="0" w:color="FBE8E8" w:themeColor="accent6" w:themeTint="33"/>
            </w:tcBorders>
            <w:vAlign w:val="center"/>
          </w:tcPr>
          <w:p w14:paraId="56DC81CC" w14:textId="2C39DC90"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4.280</w:t>
            </w:r>
          </w:p>
        </w:tc>
        <w:tc>
          <w:tcPr>
            <w:tcW w:w="1855" w:type="dxa"/>
            <w:tcBorders>
              <w:top w:val="single" w:sz="4" w:space="0" w:color="FBE8E8" w:themeColor="accent6" w:themeTint="33"/>
              <w:left w:val="single" w:sz="4" w:space="0" w:color="FBE8E8" w:themeColor="accent6" w:themeTint="33"/>
              <w:bottom w:val="single" w:sz="4" w:space="0" w:color="FBE8E8" w:themeColor="accent6" w:themeTint="33"/>
              <w:right w:val="single" w:sz="4" w:space="0" w:color="FBE8E8" w:themeColor="accent6" w:themeTint="33"/>
            </w:tcBorders>
            <w:vAlign w:val="center"/>
          </w:tcPr>
          <w:p w14:paraId="31D502F5" w14:textId="42CF4193"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4.589</w:t>
            </w:r>
          </w:p>
        </w:tc>
        <w:tc>
          <w:tcPr>
            <w:tcW w:w="1855" w:type="dxa"/>
            <w:tcBorders>
              <w:top w:val="single" w:sz="4" w:space="0" w:color="FBE8E8" w:themeColor="accent6" w:themeTint="33"/>
              <w:left w:val="single" w:sz="4" w:space="0" w:color="FBE8E8" w:themeColor="accent6" w:themeTint="33"/>
              <w:bottom w:val="single" w:sz="4" w:space="0" w:color="FBE8E8" w:themeColor="accent6" w:themeTint="33"/>
              <w:right w:val="single" w:sz="4" w:space="0" w:color="FBE8E8" w:themeColor="accent6" w:themeTint="33"/>
            </w:tcBorders>
            <w:vAlign w:val="center"/>
          </w:tcPr>
          <w:p w14:paraId="2410B6FE" w14:textId="24138643"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4.814</w:t>
            </w:r>
          </w:p>
        </w:tc>
        <w:tc>
          <w:tcPr>
            <w:tcW w:w="1855" w:type="dxa"/>
            <w:tcBorders>
              <w:top w:val="single" w:sz="4" w:space="0" w:color="FBE8E8" w:themeColor="accent6" w:themeTint="33"/>
              <w:left w:val="single" w:sz="4" w:space="0" w:color="FBE8E8" w:themeColor="accent6" w:themeTint="33"/>
              <w:bottom w:val="single" w:sz="4" w:space="0" w:color="FBE8E8" w:themeColor="accent6" w:themeTint="33"/>
              <w:right w:val="single" w:sz="4" w:space="0" w:color="FBE8E8" w:themeColor="accent6" w:themeTint="33"/>
            </w:tcBorders>
            <w:vAlign w:val="center"/>
          </w:tcPr>
          <w:p w14:paraId="1BA0CA54" w14:textId="16755233"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4.979</w:t>
            </w:r>
          </w:p>
        </w:tc>
      </w:tr>
      <w:tr w:rsidR="4E193667" w14:paraId="387EF5A4" w14:textId="77777777" w:rsidTr="006207AF">
        <w:trPr>
          <w:trHeight w:val="233"/>
        </w:trPr>
        <w:tc>
          <w:tcPr>
            <w:tcW w:w="2146" w:type="dxa"/>
            <w:tcBorders>
              <w:top w:val="single" w:sz="8" w:space="0" w:color="F3CFC1"/>
              <w:bottom w:val="single" w:sz="8" w:space="0" w:color="F3CFC1"/>
              <w:right w:val="single" w:sz="4" w:space="0" w:color="FFFFFF" w:themeColor="background1"/>
            </w:tcBorders>
            <w:shd w:val="clear" w:color="auto" w:fill="D2232A" w:themeFill="accent1"/>
            <w:vAlign w:val="center"/>
          </w:tcPr>
          <w:p w14:paraId="2C791BF7" w14:textId="41AF46AA" w:rsidR="4E193667" w:rsidRPr="00FF3512" w:rsidRDefault="4E193667" w:rsidP="00FF3512">
            <w:pPr>
              <w:jc w:val="center"/>
              <w:rPr>
                <w:rFonts w:cstheme="minorHAnsi"/>
                <w:b/>
                <w:bCs/>
                <w:color w:val="FFFFFF" w:themeColor="background1"/>
                <w:szCs w:val="18"/>
                <w:lang w:eastAsia="hr-HR"/>
              </w:rPr>
            </w:pPr>
            <w:r w:rsidRPr="00FF3512">
              <w:rPr>
                <w:rFonts w:cstheme="minorHAnsi"/>
                <w:b/>
                <w:bCs/>
                <w:color w:val="FFFFFF" w:themeColor="background1"/>
                <w:szCs w:val="18"/>
                <w:lang w:eastAsia="hr-HR"/>
              </w:rPr>
              <w:t>SREDNJI</w:t>
            </w:r>
          </w:p>
        </w:tc>
        <w:tc>
          <w:tcPr>
            <w:tcW w:w="1565" w:type="dxa"/>
            <w:tcBorders>
              <w:top w:val="single" w:sz="4" w:space="0" w:color="FBE8E8" w:themeColor="accent6" w:themeTint="33"/>
              <w:left w:val="single" w:sz="4" w:space="0" w:color="FFFFFF" w:themeColor="background1"/>
              <w:bottom w:val="single" w:sz="4" w:space="0" w:color="FBE8E8" w:themeColor="accent6" w:themeTint="33"/>
              <w:right w:val="single" w:sz="4" w:space="0" w:color="FBE8E8" w:themeColor="accent6" w:themeTint="33"/>
            </w:tcBorders>
            <w:vAlign w:val="center"/>
          </w:tcPr>
          <w:p w14:paraId="388D8C61" w14:textId="1C12745C"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4.574</w:t>
            </w:r>
          </w:p>
        </w:tc>
        <w:tc>
          <w:tcPr>
            <w:tcW w:w="1855" w:type="dxa"/>
            <w:tcBorders>
              <w:top w:val="single" w:sz="4" w:space="0" w:color="FBE8E8" w:themeColor="accent6" w:themeTint="33"/>
              <w:left w:val="single" w:sz="4" w:space="0" w:color="FBE8E8" w:themeColor="accent6" w:themeTint="33"/>
              <w:bottom w:val="single" w:sz="4" w:space="0" w:color="FBE8E8" w:themeColor="accent6" w:themeTint="33"/>
              <w:right w:val="single" w:sz="4" w:space="0" w:color="FBE8E8" w:themeColor="accent6" w:themeTint="33"/>
            </w:tcBorders>
            <w:vAlign w:val="center"/>
          </w:tcPr>
          <w:p w14:paraId="781B1C72" w14:textId="0B06B3DC"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4.708</w:t>
            </w:r>
          </w:p>
        </w:tc>
        <w:tc>
          <w:tcPr>
            <w:tcW w:w="1855" w:type="dxa"/>
            <w:tcBorders>
              <w:top w:val="single" w:sz="4" w:space="0" w:color="FBE8E8" w:themeColor="accent6" w:themeTint="33"/>
              <w:left w:val="single" w:sz="4" w:space="0" w:color="FBE8E8" w:themeColor="accent6" w:themeTint="33"/>
              <w:bottom w:val="single" w:sz="4" w:space="0" w:color="FBE8E8" w:themeColor="accent6" w:themeTint="33"/>
              <w:right w:val="single" w:sz="4" w:space="0" w:color="FBE8E8" w:themeColor="accent6" w:themeTint="33"/>
            </w:tcBorders>
            <w:vAlign w:val="center"/>
          </w:tcPr>
          <w:p w14:paraId="7172E543" w14:textId="1B2EA882"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5.153</w:t>
            </w:r>
          </w:p>
        </w:tc>
        <w:tc>
          <w:tcPr>
            <w:tcW w:w="1855" w:type="dxa"/>
            <w:tcBorders>
              <w:top w:val="single" w:sz="4" w:space="0" w:color="FBE8E8" w:themeColor="accent6" w:themeTint="33"/>
              <w:left w:val="single" w:sz="4" w:space="0" w:color="FBE8E8" w:themeColor="accent6" w:themeTint="33"/>
              <w:bottom w:val="single" w:sz="4" w:space="0" w:color="FBE8E8" w:themeColor="accent6" w:themeTint="33"/>
              <w:right w:val="single" w:sz="4" w:space="0" w:color="FBE8E8" w:themeColor="accent6" w:themeTint="33"/>
            </w:tcBorders>
            <w:vAlign w:val="center"/>
          </w:tcPr>
          <w:p w14:paraId="76719E09" w14:textId="354652F7"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5.390</w:t>
            </w:r>
          </w:p>
        </w:tc>
      </w:tr>
      <w:tr w:rsidR="4E193667" w14:paraId="1EEB93C1" w14:textId="77777777" w:rsidTr="006207AF">
        <w:trPr>
          <w:trHeight w:val="233"/>
        </w:trPr>
        <w:tc>
          <w:tcPr>
            <w:tcW w:w="2146" w:type="dxa"/>
            <w:tcBorders>
              <w:top w:val="single" w:sz="8" w:space="0" w:color="F3CFC1"/>
              <w:bottom w:val="single" w:sz="8" w:space="0" w:color="F3CFC1"/>
              <w:right w:val="single" w:sz="4" w:space="0" w:color="FFFFFF" w:themeColor="background1"/>
            </w:tcBorders>
            <w:shd w:val="clear" w:color="auto" w:fill="D2232A" w:themeFill="accent1"/>
            <w:vAlign w:val="center"/>
          </w:tcPr>
          <w:p w14:paraId="62C6D3E1" w14:textId="071255A0" w:rsidR="4E193667" w:rsidRPr="00FF3512" w:rsidRDefault="4E193667" w:rsidP="00FF3512">
            <w:pPr>
              <w:jc w:val="center"/>
              <w:rPr>
                <w:rFonts w:cstheme="minorHAnsi"/>
                <w:b/>
                <w:bCs/>
                <w:color w:val="FFFFFF" w:themeColor="background1"/>
                <w:szCs w:val="18"/>
                <w:lang w:eastAsia="hr-HR"/>
              </w:rPr>
            </w:pPr>
            <w:r w:rsidRPr="00FF3512">
              <w:rPr>
                <w:rFonts w:cstheme="minorHAnsi"/>
                <w:b/>
                <w:bCs/>
                <w:color w:val="FFFFFF" w:themeColor="background1"/>
                <w:szCs w:val="18"/>
                <w:lang w:eastAsia="hr-HR"/>
              </w:rPr>
              <w:t xml:space="preserve">VELIKI </w:t>
            </w:r>
          </w:p>
        </w:tc>
        <w:tc>
          <w:tcPr>
            <w:tcW w:w="1565" w:type="dxa"/>
            <w:tcBorders>
              <w:top w:val="single" w:sz="4" w:space="0" w:color="FBE8E8" w:themeColor="accent6" w:themeTint="33"/>
              <w:left w:val="single" w:sz="4" w:space="0" w:color="FFFFFF" w:themeColor="background1"/>
              <w:bottom w:val="single" w:sz="4" w:space="0" w:color="FBE8E8" w:themeColor="accent6" w:themeTint="33"/>
              <w:right w:val="single" w:sz="4" w:space="0" w:color="FBE8E8" w:themeColor="accent6" w:themeTint="33"/>
            </w:tcBorders>
            <w:vAlign w:val="center"/>
          </w:tcPr>
          <w:p w14:paraId="2A20F160" w14:textId="680355CC"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5.779</w:t>
            </w:r>
          </w:p>
        </w:tc>
        <w:tc>
          <w:tcPr>
            <w:tcW w:w="1855" w:type="dxa"/>
            <w:tcBorders>
              <w:top w:val="single" w:sz="4" w:space="0" w:color="FBE8E8" w:themeColor="accent6" w:themeTint="33"/>
              <w:left w:val="single" w:sz="4" w:space="0" w:color="FBE8E8" w:themeColor="accent6" w:themeTint="33"/>
              <w:bottom w:val="single" w:sz="4" w:space="0" w:color="FBE8E8" w:themeColor="accent6" w:themeTint="33"/>
              <w:right w:val="single" w:sz="4" w:space="0" w:color="FBE8E8" w:themeColor="accent6" w:themeTint="33"/>
            </w:tcBorders>
            <w:vAlign w:val="center"/>
          </w:tcPr>
          <w:p w14:paraId="36CF06BE" w14:textId="62FF5364"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6.383</w:t>
            </w:r>
          </w:p>
        </w:tc>
        <w:tc>
          <w:tcPr>
            <w:tcW w:w="1855" w:type="dxa"/>
            <w:tcBorders>
              <w:top w:val="single" w:sz="4" w:space="0" w:color="FBE8E8" w:themeColor="accent6" w:themeTint="33"/>
              <w:left w:val="single" w:sz="4" w:space="0" w:color="FBE8E8" w:themeColor="accent6" w:themeTint="33"/>
              <w:bottom w:val="single" w:sz="4" w:space="0" w:color="FBE8E8" w:themeColor="accent6" w:themeTint="33"/>
              <w:right w:val="single" w:sz="4" w:space="0" w:color="FBE8E8" w:themeColor="accent6" w:themeTint="33"/>
            </w:tcBorders>
            <w:vAlign w:val="center"/>
          </w:tcPr>
          <w:p w14:paraId="4D70C4AD" w14:textId="782F0CD3"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6.062</w:t>
            </w:r>
          </w:p>
        </w:tc>
        <w:tc>
          <w:tcPr>
            <w:tcW w:w="1855" w:type="dxa"/>
            <w:tcBorders>
              <w:top w:val="single" w:sz="4" w:space="0" w:color="FBE8E8" w:themeColor="accent6" w:themeTint="33"/>
              <w:left w:val="single" w:sz="4" w:space="0" w:color="FBE8E8" w:themeColor="accent6" w:themeTint="33"/>
              <w:bottom w:val="single" w:sz="4" w:space="0" w:color="FBE8E8" w:themeColor="accent6" w:themeTint="33"/>
              <w:right w:val="single" w:sz="4" w:space="0" w:color="FBE8E8" w:themeColor="accent6" w:themeTint="33"/>
            </w:tcBorders>
            <w:vAlign w:val="center"/>
          </w:tcPr>
          <w:p w14:paraId="7333AE89" w14:textId="34180FFB" w:rsidR="4E193667" w:rsidRPr="004906B8" w:rsidRDefault="4E193667" w:rsidP="004906B8">
            <w:pPr>
              <w:spacing w:after="0" w:line="240" w:lineRule="auto"/>
              <w:jc w:val="center"/>
              <w:rPr>
                <w:rFonts w:cstheme="minorHAnsi"/>
                <w:szCs w:val="18"/>
                <w:lang w:eastAsia="hr-HR"/>
              </w:rPr>
            </w:pPr>
            <w:r w:rsidRPr="004906B8">
              <w:rPr>
                <w:rFonts w:cstheme="minorHAnsi"/>
                <w:szCs w:val="18"/>
                <w:lang w:eastAsia="hr-HR"/>
              </w:rPr>
              <w:t>7.037</w:t>
            </w:r>
          </w:p>
        </w:tc>
      </w:tr>
      <w:tr w:rsidR="4E193667" w14:paraId="3AED1E39" w14:textId="77777777" w:rsidTr="006207AF">
        <w:trPr>
          <w:trHeight w:val="222"/>
        </w:trPr>
        <w:tc>
          <w:tcPr>
            <w:tcW w:w="2146" w:type="dxa"/>
            <w:tcBorders>
              <w:top w:val="single" w:sz="8" w:space="0" w:color="F3CFC1"/>
              <w:bottom w:val="single" w:sz="4" w:space="0" w:color="FFFFFF" w:themeColor="background1"/>
              <w:right w:val="single" w:sz="4" w:space="0" w:color="FFFFFF" w:themeColor="background1"/>
            </w:tcBorders>
            <w:shd w:val="clear" w:color="auto" w:fill="EBEBEB" w:themeFill="accent3" w:themeFillTint="33"/>
            <w:vAlign w:val="center"/>
          </w:tcPr>
          <w:p w14:paraId="7D94A0D2" w14:textId="47E580C5" w:rsidR="4E193667" w:rsidRPr="00FF3512" w:rsidRDefault="4E193667" w:rsidP="00FF3512">
            <w:pPr>
              <w:jc w:val="center"/>
              <w:rPr>
                <w:rFonts w:cstheme="minorHAnsi"/>
                <w:b/>
                <w:bCs/>
                <w:color w:val="FFFFFF" w:themeColor="background1"/>
                <w:szCs w:val="18"/>
                <w:lang w:eastAsia="hr-HR"/>
              </w:rPr>
            </w:pPr>
            <w:r w:rsidRPr="00FF3512">
              <w:rPr>
                <w:rFonts w:cstheme="minorHAnsi"/>
                <w:b/>
                <w:bCs/>
                <w:color w:val="auto"/>
                <w:szCs w:val="18"/>
                <w:lang w:eastAsia="hr-HR"/>
              </w:rPr>
              <w:t xml:space="preserve">Prosjek </w:t>
            </w:r>
          </w:p>
        </w:tc>
        <w:tc>
          <w:tcPr>
            <w:tcW w:w="1565" w:type="dxa"/>
            <w:tcBorders>
              <w:top w:val="single" w:sz="4" w:space="0" w:color="FBE8E8" w:themeColor="accent6" w:themeTint="33"/>
              <w:left w:val="single" w:sz="4" w:space="0" w:color="FFFFFF" w:themeColor="background1"/>
              <w:bottom w:val="single" w:sz="4" w:space="0" w:color="FFFFFF" w:themeColor="background1"/>
              <w:right w:val="single" w:sz="4" w:space="0" w:color="FFFFFF" w:themeColor="background1"/>
            </w:tcBorders>
            <w:shd w:val="clear" w:color="auto" w:fill="EBEBEB" w:themeFill="accent3" w:themeFillTint="33"/>
            <w:vAlign w:val="center"/>
          </w:tcPr>
          <w:p w14:paraId="1A7AEC7D" w14:textId="3990BFBB" w:rsidR="4E193667" w:rsidRPr="00FF3512" w:rsidRDefault="4E193667" w:rsidP="00FF3512">
            <w:pPr>
              <w:jc w:val="center"/>
              <w:rPr>
                <w:rFonts w:cstheme="minorHAnsi"/>
                <w:b/>
                <w:bCs/>
                <w:color w:val="auto"/>
                <w:szCs w:val="18"/>
                <w:lang w:eastAsia="hr-HR"/>
              </w:rPr>
            </w:pPr>
            <w:r w:rsidRPr="00FF3512">
              <w:rPr>
                <w:rFonts w:cstheme="minorHAnsi"/>
                <w:b/>
                <w:bCs/>
                <w:color w:val="auto"/>
                <w:szCs w:val="18"/>
                <w:lang w:eastAsia="hr-HR"/>
              </w:rPr>
              <w:t xml:space="preserve">4.354 </w:t>
            </w:r>
          </w:p>
        </w:tc>
        <w:tc>
          <w:tcPr>
            <w:tcW w:w="1855" w:type="dxa"/>
            <w:tcBorders>
              <w:top w:val="single" w:sz="4" w:space="0" w:color="FBE8E8" w:themeColor="accent6" w:themeTint="33"/>
              <w:left w:val="single" w:sz="4" w:space="0" w:color="FFFFFF" w:themeColor="background1"/>
              <w:bottom w:val="single" w:sz="4" w:space="0" w:color="FFFFFF" w:themeColor="background1"/>
              <w:right w:val="single" w:sz="4" w:space="0" w:color="FFFFFF" w:themeColor="background1"/>
            </w:tcBorders>
            <w:shd w:val="clear" w:color="auto" w:fill="EBEBEB" w:themeFill="accent3" w:themeFillTint="33"/>
            <w:vAlign w:val="center"/>
          </w:tcPr>
          <w:p w14:paraId="050E6B4C" w14:textId="08BFEB4D" w:rsidR="4E193667" w:rsidRPr="00FF3512" w:rsidRDefault="4E193667" w:rsidP="00FF3512">
            <w:pPr>
              <w:jc w:val="center"/>
              <w:rPr>
                <w:rFonts w:cstheme="minorHAnsi"/>
                <w:b/>
                <w:bCs/>
                <w:color w:val="auto"/>
                <w:szCs w:val="18"/>
                <w:lang w:eastAsia="hr-HR"/>
              </w:rPr>
            </w:pPr>
            <w:r w:rsidRPr="00FF3512">
              <w:rPr>
                <w:rFonts w:cstheme="minorHAnsi"/>
                <w:b/>
                <w:bCs/>
                <w:color w:val="auto"/>
                <w:szCs w:val="18"/>
                <w:lang w:eastAsia="hr-HR"/>
              </w:rPr>
              <w:t xml:space="preserve">4.645 </w:t>
            </w:r>
          </w:p>
        </w:tc>
        <w:tc>
          <w:tcPr>
            <w:tcW w:w="1855" w:type="dxa"/>
            <w:tcBorders>
              <w:top w:val="single" w:sz="4" w:space="0" w:color="FBE8E8" w:themeColor="accent6" w:themeTint="33"/>
              <w:left w:val="single" w:sz="4" w:space="0" w:color="FFFFFF" w:themeColor="background1"/>
              <w:bottom w:val="single" w:sz="4" w:space="0" w:color="FFFFFF" w:themeColor="background1"/>
              <w:right w:val="single" w:sz="4" w:space="0" w:color="FFFFFF" w:themeColor="background1"/>
            </w:tcBorders>
            <w:shd w:val="clear" w:color="auto" w:fill="EBEBEB" w:themeFill="accent3" w:themeFillTint="33"/>
            <w:vAlign w:val="center"/>
          </w:tcPr>
          <w:p w14:paraId="52FB3E05" w14:textId="29AA38C1" w:rsidR="4E193667" w:rsidRPr="00FF3512" w:rsidRDefault="4E193667" w:rsidP="00FF3512">
            <w:pPr>
              <w:jc w:val="center"/>
              <w:rPr>
                <w:rFonts w:cstheme="minorHAnsi"/>
                <w:b/>
                <w:bCs/>
                <w:color w:val="auto"/>
                <w:szCs w:val="18"/>
                <w:lang w:eastAsia="hr-HR"/>
              </w:rPr>
            </w:pPr>
            <w:r w:rsidRPr="00FF3512">
              <w:rPr>
                <w:rFonts w:cstheme="minorHAnsi"/>
                <w:b/>
                <w:bCs/>
                <w:color w:val="auto"/>
                <w:szCs w:val="18"/>
                <w:lang w:eastAsia="hr-HR"/>
              </w:rPr>
              <w:t xml:space="preserve">4.861 </w:t>
            </w:r>
          </w:p>
        </w:tc>
        <w:tc>
          <w:tcPr>
            <w:tcW w:w="1855" w:type="dxa"/>
            <w:tcBorders>
              <w:top w:val="single" w:sz="4" w:space="0" w:color="FBE8E8" w:themeColor="accent6" w:themeTint="33"/>
              <w:left w:val="single" w:sz="4" w:space="0" w:color="FFFFFF" w:themeColor="background1"/>
              <w:bottom w:val="single" w:sz="4" w:space="0" w:color="FFFFFF" w:themeColor="background1"/>
              <w:right w:val="single" w:sz="4" w:space="0" w:color="FFFFFF" w:themeColor="background1"/>
            </w:tcBorders>
            <w:shd w:val="clear" w:color="auto" w:fill="EBEBEB" w:themeFill="accent3" w:themeFillTint="33"/>
            <w:vAlign w:val="center"/>
          </w:tcPr>
          <w:p w14:paraId="79A02029" w14:textId="552F6966" w:rsidR="4E193667" w:rsidRPr="00FF3512" w:rsidRDefault="4E193667" w:rsidP="00FF3512">
            <w:pPr>
              <w:jc w:val="center"/>
              <w:rPr>
                <w:rFonts w:cstheme="minorHAnsi"/>
                <w:b/>
                <w:bCs/>
                <w:color w:val="auto"/>
                <w:szCs w:val="18"/>
                <w:lang w:eastAsia="hr-HR"/>
              </w:rPr>
            </w:pPr>
            <w:r w:rsidRPr="00FF3512">
              <w:rPr>
                <w:rFonts w:cstheme="minorHAnsi"/>
                <w:b/>
                <w:bCs/>
                <w:color w:val="auto"/>
                <w:szCs w:val="18"/>
                <w:lang w:eastAsia="hr-HR"/>
              </w:rPr>
              <w:t>5.371</w:t>
            </w:r>
          </w:p>
        </w:tc>
      </w:tr>
    </w:tbl>
    <w:p w14:paraId="4B078BBB" w14:textId="4CFC5BE7" w:rsidR="008878A0" w:rsidRDefault="00397051" w:rsidP="006207AF">
      <w:pPr>
        <w:autoSpaceDE w:val="0"/>
        <w:autoSpaceDN w:val="0"/>
        <w:adjustRightInd w:val="0"/>
        <w:spacing w:after="0" w:line="240" w:lineRule="auto"/>
        <w:rPr>
          <w:rFonts w:eastAsia="ArialNarrow" w:cstheme="minorHAnsi"/>
          <w:i/>
          <w:color w:val="ABABAB" w:themeColor="text1" w:themeTint="A6"/>
          <w:sz w:val="16"/>
          <w:szCs w:val="16"/>
        </w:rPr>
      </w:pPr>
      <w:bookmarkStart w:id="149" w:name="_Hlk66795293"/>
      <w:bookmarkEnd w:id="148"/>
      <w:r w:rsidRPr="006207AF">
        <w:rPr>
          <w:rFonts w:eastAsia="ArialNarrow" w:cstheme="minorHAnsi"/>
          <w:i/>
          <w:color w:val="ABABAB" w:themeColor="text1" w:themeTint="A6"/>
          <w:sz w:val="16"/>
          <w:szCs w:val="16"/>
        </w:rPr>
        <w:t xml:space="preserve">Izvor: </w:t>
      </w:r>
      <w:r w:rsidR="008878A0" w:rsidRPr="006207AF">
        <w:rPr>
          <w:rFonts w:eastAsia="ArialNarrow" w:cstheme="minorHAnsi"/>
          <w:i/>
          <w:color w:val="ABABAB" w:themeColor="text1" w:themeTint="A6"/>
          <w:sz w:val="16"/>
          <w:szCs w:val="16"/>
        </w:rPr>
        <w:t>FINA, 2016., 2017., 2018</w:t>
      </w:r>
      <w:r w:rsidR="7A4DFE1F" w:rsidRPr="006207AF">
        <w:rPr>
          <w:rFonts w:eastAsia="ArialNarrow" w:cstheme="minorHAnsi"/>
          <w:i/>
          <w:color w:val="ABABAB" w:themeColor="text1" w:themeTint="A6"/>
          <w:sz w:val="16"/>
          <w:szCs w:val="16"/>
        </w:rPr>
        <w:t>. i 2019</w:t>
      </w:r>
      <w:r w:rsidR="008878A0" w:rsidRPr="006207AF">
        <w:rPr>
          <w:rFonts w:eastAsia="ArialNarrow" w:cstheme="minorHAnsi"/>
          <w:i/>
          <w:color w:val="ABABAB" w:themeColor="text1" w:themeTint="A6"/>
          <w:sz w:val="16"/>
          <w:szCs w:val="16"/>
        </w:rPr>
        <w:t>. godina</w:t>
      </w:r>
      <w:bookmarkEnd w:id="149"/>
    </w:p>
    <w:p w14:paraId="3B942D7D" w14:textId="4FBB931D" w:rsidR="008878A0" w:rsidRDefault="002E1535" w:rsidP="4E193667">
      <w:r w:rsidRPr="4E193667">
        <w:rPr>
          <w:rFonts w:eastAsia="Arial"/>
        </w:rPr>
        <w:lastRenderedPageBreak/>
        <w:t>Promatramo</w:t>
      </w:r>
      <w:r w:rsidRPr="4E193667">
        <w:t xml:space="preserve"> </w:t>
      </w:r>
      <w:r w:rsidRPr="4E193667">
        <w:rPr>
          <w:rFonts w:eastAsia="Arial"/>
        </w:rPr>
        <w:t>li</w:t>
      </w:r>
      <w:r w:rsidRPr="4E193667">
        <w:t xml:space="preserve"> </w:t>
      </w:r>
      <w:r w:rsidRPr="4E193667">
        <w:rPr>
          <w:rFonts w:eastAsia="Arial"/>
        </w:rPr>
        <w:t>rezultate</w:t>
      </w:r>
      <w:r w:rsidRPr="4E193667">
        <w:t xml:space="preserve"> </w:t>
      </w:r>
      <w:r w:rsidRPr="4E193667">
        <w:rPr>
          <w:rFonts w:eastAsia="Arial"/>
        </w:rPr>
        <w:t>poslovanja</w:t>
      </w:r>
      <w:r w:rsidRPr="4E193667">
        <w:t xml:space="preserve"> </w:t>
      </w:r>
      <w:r w:rsidRPr="4E193667">
        <w:rPr>
          <w:rFonts w:eastAsia="Arial"/>
        </w:rPr>
        <w:t>poduzetnika</w:t>
      </w:r>
      <w:r w:rsidRPr="4E193667">
        <w:t xml:space="preserve"> </w:t>
      </w:r>
      <w:r w:rsidRPr="4E193667">
        <w:rPr>
          <w:rFonts w:eastAsia="Arial"/>
        </w:rPr>
        <w:t>na</w:t>
      </w:r>
      <w:r w:rsidRPr="4E193667">
        <w:t xml:space="preserve"> </w:t>
      </w:r>
      <w:r w:rsidRPr="4E193667">
        <w:rPr>
          <w:rFonts w:eastAsia="Arial"/>
        </w:rPr>
        <w:t>razini</w:t>
      </w:r>
      <w:r w:rsidRPr="4E193667">
        <w:t xml:space="preserve"> pojedinih općina i gradova </w:t>
      </w:r>
      <w:r w:rsidR="008878A0" w:rsidRPr="4E193667">
        <w:rPr>
          <w:rFonts w:eastAsia="Arial"/>
        </w:rPr>
        <w:t>Krapinsko-zagorske</w:t>
      </w:r>
      <w:r w:rsidR="008878A0" w:rsidRPr="4E193667">
        <w:t xml:space="preserve"> </w:t>
      </w:r>
      <w:r w:rsidR="008878A0" w:rsidRPr="4E193667">
        <w:rPr>
          <w:rFonts w:eastAsia="Arial"/>
        </w:rPr>
        <w:t>županije</w:t>
      </w:r>
      <w:r w:rsidR="00506563">
        <w:rPr>
          <w:rFonts w:eastAsia="Arial"/>
        </w:rPr>
        <w:t xml:space="preserve"> u 2019. godini</w:t>
      </w:r>
      <w:r w:rsidR="008878A0" w:rsidRPr="4E193667">
        <w:t xml:space="preserve"> </w:t>
      </w:r>
      <w:r w:rsidR="00F97618" w:rsidRPr="4E193667">
        <w:rPr>
          <w:rFonts w:eastAsia="Arial"/>
        </w:rPr>
        <w:t>vidljivo je</w:t>
      </w:r>
      <w:r w:rsidR="008878A0" w:rsidRPr="4E193667">
        <w:t xml:space="preserve"> </w:t>
      </w:r>
      <w:r w:rsidR="008878A0" w:rsidRPr="4E193667">
        <w:rPr>
          <w:rFonts w:eastAsia="Arial"/>
        </w:rPr>
        <w:t>da</w:t>
      </w:r>
      <w:r w:rsidR="008878A0" w:rsidRPr="4E193667">
        <w:t xml:space="preserve"> </w:t>
      </w:r>
      <w:r w:rsidR="008878A0" w:rsidRPr="4E193667">
        <w:rPr>
          <w:rFonts w:eastAsia="Arial"/>
        </w:rPr>
        <w:t>se</w:t>
      </w:r>
      <w:r w:rsidR="008878A0" w:rsidRPr="4E193667">
        <w:t xml:space="preserve"> </w:t>
      </w:r>
      <w:r w:rsidR="008878A0" w:rsidRPr="4E193667">
        <w:rPr>
          <w:rFonts w:eastAsia="Arial"/>
        </w:rPr>
        <w:t>prema</w:t>
      </w:r>
      <w:r w:rsidR="008878A0" w:rsidRPr="4E193667">
        <w:t xml:space="preserve"> </w:t>
      </w:r>
      <w:r w:rsidR="008878A0" w:rsidRPr="4E193667">
        <w:rPr>
          <w:rFonts w:eastAsia="Arial"/>
        </w:rPr>
        <w:t>broju</w:t>
      </w:r>
      <w:r w:rsidR="008878A0" w:rsidRPr="4E193667">
        <w:t xml:space="preserve"> </w:t>
      </w:r>
      <w:r w:rsidR="008878A0" w:rsidRPr="4E193667">
        <w:rPr>
          <w:rFonts w:eastAsia="Arial"/>
        </w:rPr>
        <w:t>poduzetnika i broju zaposlenih izdvajaju</w:t>
      </w:r>
      <w:r w:rsidR="008878A0" w:rsidRPr="4E193667">
        <w:t xml:space="preserve"> </w:t>
      </w:r>
      <w:r w:rsidR="008878A0" w:rsidRPr="4E193667">
        <w:rPr>
          <w:rFonts w:eastAsia="Arial"/>
        </w:rPr>
        <w:t>Krapina</w:t>
      </w:r>
      <w:r w:rsidR="008878A0" w:rsidRPr="4E193667">
        <w:t xml:space="preserve"> </w:t>
      </w:r>
      <w:r w:rsidR="008878A0" w:rsidRPr="4E193667">
        <w:rPr>
          <w:rFonts w:eastAsia="Arial"/>
        </w:rPr>
        <w:t>(3</w:t>
      </w:r>
      <w:r w:rsidR="19251265" w:rsidRPr="4E193667">
        <w:rPr>
          <w:rFonts w:eastAsia="Arial"/>
        </w:rPr>
        <w:t>2</w:t>
      </w:r>
      <w:r w:rsidR="008878A0" w:rsidRPr="4E193667">
        <w:rPr>
          <w:rFonts w:eastAsia="Arial"/>
        </w:rPr>
        <w:t>1 poduzetnika s 3.</w:t>
      </w:r>
      <w:r w:rsidR="49CD32CD" w:rsidRPr="4E193667">
        <w:rPr>
          <w:rFonts w:eastAsia="Arial"/>
        </w:rPr>
        <w:t>604</w:t>
      </w:r>
      <w:r w:rsidR="008878A0" w:rsidRPr="4E193667">
        <w:t xml:space="preserve"> zaposlenih</w:t>
      </w:r>
      <w:r w:rsidR="008878A0" w:rsidRPr="4E193667">
        <w:rPr>
          <w:rFonts w:eastAsia="Arial"/>
        </w:rPr>
        <w:t>)</w:t>
      </w:r>
      <w:r w:rsidR="008878A0" w:rsidRPr="4E193667">
        <w:t xml:space="preserve"> </w:t>
      </w:r>
      <w:r w:rsidR="008878A0" w:rsidRPr="4E193667">
        <w:rPr>
          <w:rFonts w:eastAsia="Arial"/>
        </w:rPr>
        <w:t>i</w:t>
      </w:r>
      <w:r w:rsidR="008878A0" w:rsidRPr="4E193667">
        <w:t xml:space="preserve"> </w:t>
      </w:r>
      <w:r w:rsidR="008878A0" w:rsidRPr="4E193667">
        <w:rPr>
          <w:rFonts w:eastAsia="Arial"/>
        </w:rPr>
        <w:t>Zabok</w:t>
      </w:r>
      <w:r w:rsidR="008878A0" w:rsidRPr="4E193667">
        <w:t xml:space="preserve"> </w:t>
      </w:r>
      <w:r w:rsidR="008878A0" w:rsidRPr="4E193667">
        <w:rPr>
          <w:rFonts w:eastAsia="Arial"/>
        </w:rPr>
        <w:t>(25</w:t>
      </w:r>
      <w:r w:rsidR="518D7691" w:rsidRPr="4E193667">
        <w:rPr>
          <w:rFonts w:eastAsia="Arial"/>
        </w:rPr>
        <w:t>8</w:t>
      </w:r>
      <w:r w:rsidR="008878A0" w:rsidRPr="4E193667">
        <w:rPr>
          <w:rFonts w:eastAsia="Arial"/>
        </w:rPr>
        <w:t xml:space="preserve"> poduzetnika</w:t>
      </w:r>
      <w:r w:rsidR="008878A0" w:rsidRPr="4E193667">
        <w:t xml:space="preserve"> </w:t>
      </w:r>
      <w:r w:rsidR="008878A0" w:rsidRPr="4E193667">
        <w:rPr>
          <w:rFonts w:eastAsia="Arial"/>
        </w:rPr>
        <w:t>s</w:t>
      </w:r>
      <w:r w:rsidR="008878A0" w:rsidRPr="4E193667">
        <w:t xml:space="preserve"> </w:t>
      </w:r>
      <w:r w:rsidR="008878A0" w:rsidRPr="4E193667">
        <w:rPr>
          <w:rFonts w:eastAsia="Arial"/>
        </w:rPr>
        <w:t>2.</w:t>
      </w:r>
      <w:r w:rsidR="23143C7E" w:rsidRPr="4E193667">
        <w:rPr>
          <w:rFonts w:eastAsia="Arial"/>
        </w:rPr>
        <w:t>691</w:t>
      </w:r>
      <w:r w:rsidR="008878A0" w:rsidRPr="4E193667">
        <w:t xml:space="preserve"> </w:t>
      </w:r>
      <w:r w:rsidR="008878A0" w:rsidRPr="4E193667">
        <w:rPr>
          <w:rFonts w:eastAsia="Arial"/>
        </w:rPr>
        <w:t>zaposlena).</w:t>
      </w:r>
      <w:r w:rsidR="008878A0" w:rsidRPr="4E193667">
        <w:t xml:space="preserve"> </w:t>
      </w:r>
      <w:r w:rsidR="008878A0" w:rsidRPr="4E193667">
        <w:rPr>
          <w:rFonts w:eastAsia="Arial"/>
        </w:rPr>
        <w:t>Prema</w:t>
      </w:r>
      <w:r w:rsidR="008878A0" w:rsidRPr="4E193667">
        <w:t xml:space="preserve"> </w:t>
      </w:r>
      <w:r w:rsidR="008878A0" w:rsidRPr="4E193667">
        <w:rPr>
          <w:rFonts w:eastAsia="Arial"/>
        </w:rPr>
        <w:t>veličini</w:t>
      </w:r>
      <w:r w:rsidR="008878A0" w:rsidRPr="4E193667">
        <w:t xml:space="preserve"> </w:t>
      </w:r>
      <w:r w:rsidR="008878A0" w:rsidRPr="4E193667">
        <w:rPr>
          <w:rFonts w:eastAsia="Arial"/>
        </w:rPr>
        <w:t>ostvarenog</w:t>
      </w:r>
      <w:r w:rsidR="008878A0" w:rsidRPr="4E193667">
        <w:t xml:space="preserve"> </w:t>
      </w:r>
      <w:r w:rsidR="008878A0" w:rsidRPr="4E193667">
        <w:rPr>
          <w:rFonts w:eastAsia="Arial"/>
        </w:rPr>
        <w:t>prihoda</w:t>
      </w:r>
      <w:r w:rsidR="008878A0" w:rsidRPr="4E193667">
        <w:t xml:space="preserve"> </w:t>
      </w:r>
      <w:r w:rsidR="008878A0" w:rsidRPr="4E193667">
        <w:rPr>
          <w:rFonts w:eastAsia="Arial"/>
        </w:rPr>
        <w:t>osim</w:t>
      </w:r>
      <w:r w:rsidR="008878A0" w:rsidRPr="4E193667">
        <w:t xml:space="preserve"> </w:t>
      </w:r>
      <w:r w:rsidR="008878A0" w:rsidRPr="4E193667">
        <w:rPr>
          <w:rFonts w:eastAsia="Arial"/>
        </w:rPr>
        <w:t>poduzetnika</w:t>
      </w:r>
      <w:r w:rsidR="008878A0" w:rsidRPr="4E193667">
        <w:t xml:space="preserve"> </w:t>
      </w:r>
      <w:r w:rsidR="008878A0" w:rsidRPr="4E193667">
        <w:rPr>
          <w:rFonts w:eastAsia="Arial"/>
        </w:rPr>
        <w:t>u</w:t>
      </w:r>
      <w:r w:rsidR="008878A0" w:rsidRPr="4E193667">
        <w:t xml:space="preserve"> </w:t>
      </w:r>
      <w:r w:rsidR="008878A0" w:rsidRPr="4E193667">
        <w:rPr>
          <w:rFonts w:eastAsia="Arial"/>
        </w:rPr>
        <w:t>Humu</w:t>
      </w:r>
      <w:r w:rsidR="008878A0" w:rsidRPr="4E193667">
        <w:t xml:space="preserve"> </w:t>
      </w:r>
      <w:r w:rsidR="008878A0" w:rsidRPr="4E193667">
        <w:rPr>
          <w:rFonts w:eastAsia="Arial"/>
        </w:rPr>
        <w:t>na</w:t>
      </w:r>
      <w:r w:rsidR="008878A0" w:rsidRPr="4E193667">
        <w:t xml:space="preserve"> </w:t>
      </w:r>
      <w:r w:rsidR="008878A0" w:rsidRPr="4E193667">
        <w:rPr>
          <w:rFonts w:eastAsia="Arial"/>
        </w:rPr>
        <w:t>Sutli</w:t>
      </w:r>
      <w:r w:rsidR="008878A0" w:rsidRPr="4E193667">
        <w:t xml:space="preserve"> </w:t>
      </w:r>
      <w:r w:rsidR="008878A0" w:rsidRPr="4E193667">
        <w:rPr>
          <w:rFonts w:eastAsia="Arial"/>
        </w:rPr>
        <w:t>(</w:t>
      </w:r>
      <w:r w:rsidR="6DEDC24A" w:rsidRPr="4E193667">
        <w:rPr>
          <w:rFonts w:eastAsia="Arial"/>
        </w:rPr>
        <w:t>2,07</w:t>
      </w:r>
      <w:r w:rsidR="008878A0" w:rsidRPr="4E193667">
        <w:t xml:space="preserve"> </w:t>
      </w:r>
      <w:r w:rsidR="008878A0" w:rsidRPr="4E193667">
        <w:rPr>
          <w:rFonts w:eastAsia="Arial"/>
        </w:rPr>
        <w:t>milijardi</w:t>
      </w:r>
      <w:r w:rsidR="008878A0" w:rsidRPr="4E193667">
        <w:t xml:space="preserve"> </w:t>
      </w:r>
      <w:r w:rsidR="008878A0" w:rsidRPr="4E193667">
        <w:rPr>
          <w:rFonts w:eastAsia="Arial"/>
        </w:rPr>
        <w:t>kuna),</w:t>
      </w:r>
      <w:r w:rsidR="008878A0" w:rsidRPr="4E193667">
        <w:t xml:space="preserve"> </w:t>
      </w:r>
      <w:r w:rsidR="008878A0" w:rsidRPr="4E193667">
        <w:rPr>
          <w:rFonts w:eastAsia="Arial"/>
        </w:rPr>
        <w:t>izdvajaju</w:t>
      </w:r>
      <w:r w:rsidR="008878A0" w:rsidRPr="4E193667">
        <w:t xml:space="preserve"> </w:t>
      </w:r>
      <w:r w:rsidR="008878A0" w:rsidRPr="4E193667">
        <w:rPr>
          <w:rFonts w:eastAsia="Arial"/>
        </w:rPr>
        <w:t>se</w:t>
      </w:r>
      <w:r w:rsidR="008878A0" w:rsidRPr="4E193667">
        <w:t xml:space="preserve"> </w:t>
      </w:r>
      <w:r w:rsidR="008878A0" w:rsidRPr="4E193667">
        <w:rPr>
          <w:rFonts w:eastAsia="Arial"/>
        </w:rPr>
        <w:t>poduzetnici</w:t>
      </w:r>
      <w:r w:rsidR="008878A0" w:rsidRPr="4E193667">
        <w:t xml:space="preserve"> </w:t>
      </w:r>
      <w:r w:rsidR="008878A0" w:rsidRPr="4E193667">
        <w:rPr>
          <w:rFonts w:eastAsia="Arial"/>
        </w:rPr>
        <w:t>u</w:t>
      </w:r>
      <w:r w:rsidR="008878A0" w:rsidRPr="4E193667">
        <w:t xml:space="preserve"> </w:t>
      </w:r>
      <w:r w:rsidR="008878A0" w:rsidRPr="4E193667">
        <w:rPr>
          <w:rFonts w:eastAsia="Arial"/>
        </w:rPr>
        <w:t>Krapini</w:t>
      </w:r>
      <w:r w:rsidR="008878A0" w:rsidRPr="4E193667">
        <w:t xml:space="preserve"> </w:t>
      </w:r>
      <w:r w:rsidR="008878A0" w:rsidRPr="4E193667">
        <w:rPr>
          <w:rFonts w:eastAsia="Arial"/>
        </w:rPr>
        <w:t>(1,</w:t>
      </w:r>
      <w:r w:rsidR="735C835F" w:rsidRPr="4E193667">
        <w:rPr>
          <w:rFonts w:eastAsia="Arial"/>
        </w:rPr>
        <w:t>81</w:t>
      </w:r>
      <w:r w:rsidR="008878A0" w:rsidRPr="4E193667">
        <w:t xml:space="preserve"> </w:t>
      </w:r>
      <w:r w:rsidR="008878A0" w:rsidRPr="4E193667">
        <w:rPr>
          <w:rFonts w:eastAsia="Arial"/>
        </w:rPr>
        <w:t>milijardi</w:t>
      </w:r>
      <w:r w:rsidR="008878A0" w:rsidRPr="4E193667">
        <w:t xml:space="preserve"> </w:t>
      </w:r>
      <w:r w:rsidR="008878A0" w:rsidRPr="4E193667">
        <w:rPr>
          <w:rFonts w:eastAsia="Arial"/>
        </w:rPr>
        <w:t>kuna)</w:t>
      </w:r>
      <w:r w:rsidR="008878A0" w:rsidRPr="4E193667">
        <w:t xml:space="preserve"> </w:t>
      </w:r>
      <w:r w:rsidR="008878A0" w:rsidRPr="4E193667">
        <w:rPr>
          <w:rFonts w:eastAsia="Arial"/>
        </w:rPr>
        <w:t>i</w:t>
      </w:r>
      <w:r w:rsidR="008878A0" w:rsidRPr="4E193667">
        <w:t xml:space="preserve"> </w:t>
      </w:r>
      <w:r w:rsidR="008878A0" w:rsidRPr="4E193667">
        <w:rPr>
          <w:rFonts w:eastAsia="Arial"/>
        </w:rPr>
        <w:t>Zaboku</w:t>
      </w:r>
      <w:r w:rsidR="008878A0" w:rsidRPr="4E193667">
        <w:t xml:space="preserve"> </w:t>
      </w:r>
      <w:r w:rsidR="008878A0" w:rsidRPr="4E193667">
        <w:rPr>
          <w:rFonts w:eastAsia="Arial"/>
        </w:rPr>
        <w:t>(1,</w:t>
      </w:r>
      <w:r w:rsidR="684B9FE5" w:rsidRPr="4E193667">
        <w:rPr>
          <w:rFonts w:eastAsia="Arial"/>
        </w:rPr>
        <w:t>67</w:t>
      </w:r>
      <w:r w:rsidR="008878A0" w:rsidRPr="4E193667">
        <w:t xml:space="preserve"> </w:t>
      </w:r>
      <w:r w:rsidR="008878A0" w:rsidRPr="4E193667">
        <w:rPr>
          <w:rFonts w:eastAsia="Arial"/>
        </w:rPr>
        <w:t>milijardi</w:t>
      </w:r>
      <w:r w:rsidR="008878A0" w:rsidRPr="4E193667">
        <w:t xml:space="preserve"> </w:t>
      </w:r>
      <w:r w:rsidR="008878A0" w:rsidRPr="4E193667">
        <w:rPr>
          <w:rFonts w:eastAsia="Arial"/>
        </w:rPr>
        <w:t>kuna),</w:t>
      </w:r>
      <w:r w:rsidR="008878A0" w:rsidRPr="4E193667">
        <w:t xml:space="preserve"> </w:t>
      </w:r>
      <w:r w:rsidR="008878A0" w:rsidRPr="4E193667">
        <w:rPr>
          <w:rFonts w:eastAsia="Arial"/>
        </w:rPr>
        <w:t>koji</w:t>
      </w:r>
      <w:r w:rsidR="008878A0" w:rsidRPr="4E193667">
        <w:t xml:space="preserve"> </w:t>
      </w:r>
      <w:r w:rsidR="008878A0" w:rsidRPr="4E193667">
        <w:rPr>
          <w:rFonts w:eastAsia="Arial"/>
        </w:rPr>
        <w:t>su</w:t>
      </w:r>
      <w:r w:rsidR="008878A0" w:rsidRPr="4E193667">
        <w:t xml:space="preserve"> </w:t>
      </w:r>
      <w:r w:rsidR="008878A0" w:rsidRPr="4E193667">
        <w:rPr>
          <w:rFonts w:eastAsia="Arial"/>
        </w:rPr>
        <w:t>u</w:t>
      </w:r>
      <w:r w:rsidR="008878A0" w:rsidRPr="4E193667">
        <w:t xml:space="preserve"> </w:t>
      </w:r>
      <w:r w:rsidR="008878A0" w:rsidRPr="4E193667">
        <w:rPr>
          <w:rFonts w:eastAsia="Arial"/>
        </w:rPr>
        <w:t>201</w:t>
      </w:r>
      <w:r w:rsidR="59892F89" w:rsidRPr="4E193667">
        <w:rPr>
          <w:rFonts w:eastAsia="Arial"/>
        </w:rPr>
        <w:t>9</w:t>
      </w:r>
      <w:r w:rsidR="008878A0" w:rsidRPr="4E193667">
        <w:rPr>
          <w:rFonts w:eastAsia="Arial"/>
        </w:rPr>
        <w:t>.</w:t>
      </w:r>
      <w:r w:rsidR="008878A0" w:rsidRPr="4E193667">
        <w:t xml:space="preserve"> </w:t>
      </w:r>
      <w:r w:rsidR="008878A0" w:rsidRPr="4E193667">
        <w:rPr>
          <w:rFonts w:eastAsia="Arial"/>
        </w:rPr>
        <w:t>godini,</w:t>
      </w:r>
      <w:r w:rsidR="008878A0" w:rsidRPr="4E193667">
        <w:t xml:space="preserve"> </w:t>
      </w:r>
      <w:r w:rsidR="008878A0" w:rsidRPr="4E193667">
        <w:rPr>
          <w:rFonts w:eastAsia="Arial"/>
        </w:rPr>
        <w:t>u</w:t>
      </w:r>
      <w:r w:rsidR="008878A0" w:rsidRPr="4E193667">
        <w:t xml:space="preserve"> </w:t>
      </w:r>
      <w:r w:rsidR="008878A0" w:rsidRPr="4E193667">
        <w:rPr>
          <w:rFonts w:eastAsia="Arial"/>
        </w:rPr>
        <w:t>usporedbi</w:t>
      </w:r>
      <w:r w:rsidR="008878A0" w:rsidRPr="4E193667">
        <w:t xml:space="preserve"> </w:t>
      </w:r>
      <w:r w:rsidR="008878A0" w:rsidRPr="4E193667">
        <w:rPr>
          <w:rFonts w:eastAsia="Arial"/>
        </w:rPr>
        <w:t>s</w:t>
      </w:r>
      <w:r w:rsidR="008878A0" w:rsidRPr="4E193667">
        <w:t xml:space="preserve"> </w:t>
      </w:r>
      <w:r w:rsidR="008878A0" w:rsidRPr="4E193667">
        <w:rPr>
          <w:rFonts w:eastAsia="Arial"/>
        </w:rPr>
        <w:t>poduzetnicima</w:t>
      </w:r>
      <w:r w:rsidR="008878A0" w:rsidRPr="4E193667">
        <w:t xml:space="preserve"> </w:t>
      </w:r>
      <w:r w:rsidR="008878A0" w:rsidRPr="4E193667">
        <w:rPr>
          <w:rFonts w:eastAsia="Arial"/>
        </w:rPr>
        <w:t>u</w:t>
      </w:r>
      <w:r w:rsidR="008878A0" w:rsidRPr="4E193667">
        <w:t xml:space="preserve"> </w:t>
      </w:r>
      <w:r w:rsidR="008878A0" w:rsidRPr="4E193667">
        <w:rPr>
          <w:rFonts w:eastAsia="Arial"/>
        </w:rPr>
        <w:t>drugim</w:t>
      </w:r>
      <w:r w:rsidR="008878A0" w:rsidRPr="4E193667">
        <w:t xml:space="preserve"> </w:t>
      </w:r>
      <w:r w:rsidR="008878A0" w:rsidRPr="4E193667">
        <w:rPr>
          <w:rFonts w:eastAsia="Arial"/>
        </w:rPr>
        <w:t>gradovima</w:t>
      </w:r>
      <w:r w:rsidR="008878A0" w:rsidRPr="4E193667">
        <w:t xml:space="preserve"> </w:t>
      </w:r>
      <w:r w:rsidR="008878A0" w:rsidRPr="4E193667">
        <w:rPr>
          <w:rFonts w:eastAsia="Arial"/>
        </w:rPr>
        <w:t>i</w:t>
      </w:r>
      <w:r w:rsidR="008878A0" w:rsidRPr="4E193667">
        <w:t xml:space="preserve"> </w:t>
      </w:r>
      <w:r w:rsidR="008878A0" w:rsidRPr="4E193667">
        <w:rPr>
          <w:rFonts w:eastAsia="Arial"/>
        </w:rPr>
        <w:t>općinama</w:t>
      </w:r>
      <w:r w:rsidR="008878A0" w:rsidRPr="4E193667">
        <w:t xml:space="preserve"> </w:t>
      </w:r>
      <w:r w:rsidR="008878A0" w:rsidRPr="4E193667">
        <w:rPr>
          <w:rFonts w:eastAsia="Arial"/>
        </w:rPr>
        <w:t>Krapinsko-zagorske</w:t>
      </w:r>
      <w:r w:rsidR="008878A0" w:rsidRPr="4E193667">
        <w:t xml:space="preserve"> </w:t>
      </w:r>
      <w:r w:rsidR="008878A0" w:rsidRPr="4E193667">
        <w:rPr>
          <w:rFonts w:eastAsia="Arial"/>
        </w:rPr>
        <w:t>županije,</w:t>
      </w:r>
      <w:r w:rsidR="008878A0" w:rsidRPr="4E193667">
        <w:t xml:space="preserve"> </w:t>
      </w:r>
      <w:r w:rsidR="008878A0" w:rsidRPr="4E193667">
        <w:rPr>
          <w:rFonts w:eastAsia="Arial"/>
        </w:rPr>
        <w:t>ostvarili</w:t>
      </w:r>
      <w:r w:rsidR="008878A0" w:rsidRPr="4E193667">
        <w:t xml:space="preserve"> </w:t>
      </w:r>
      <w:r w:rsidR="008878A0" w:rsidRPr="4E193667">
        <w:rPr>
          <w:rFonts w:eastAsia="Arial"/>
        </w:rPr>
        <w:t>najveći</w:t>
      </w:r>
      <w:r w:rsidR="008878A0" w:rsidRPr="4E193667">
        <w:t xml:space="preserve"> </w:t>
      </w:r>
      <w:r w:rsidR="008878A0" w:rsidRPr="4E193667">
        <w:rPr>
          <w:rFonts w:eastAsia="Arial"/>
        </w:rPr>
        <w:t>ukupan</w:t>
      </w:r>
      <w:r w:rsidR="008878A0" w:rsidRPr="4E193667">
        <w:t xml:space="preserve"> </w:t>
      </w:r>
      <w:r w:rsidR="008878A0" w:rsidRPr="4E193667">
        <w:rPr>
          <w:rFonts w:eastAsia="Arial"/>
        </w:rPr>
        <w:t>prihod.</w:t>
      </w:r>
      <w:r w:rsidR="008878A0" w:rsidRPr="4E193667">
        <w:t xml:space="preserve"> </w:t>
      </w:r>
      <w:r w:rsidR="008878A0" w:rsidRPr="4E193667">
        <w:rPr>
          <w:rFonts w:eastAsia="Arial"/>
        </w:rPr>
        <w:t>Prema</w:t>
      </w:r>
      <w:r w:rsidR="008878A0" w:rsidRPr="4E193667">
        <w:t xml:space="preserve"> </w:t>
      </w:r>
      <w:r w:rsidR="008878A0" w:rsidRPr="4E193667">
        <w:rPr>
          <w:rFonts w:eastAsia="Arial"/>
        </w:rPr>
        <w:t>kriteriju</w:t>
      </w:r>
      <w:r w:rsidR="008878A0" w:rsidRPr="4E193667">
        <w:t xml:space="preserve"> </w:t>
      </w:r>
      <w:r w:rsidR="008878A0" w:rsidRPr="4E193667">
        <w:rPr>
          <w:rFonts w:eastAsia="Arial"/>
        </w:rPr>
        <w:t>ostvarene</w:t>
      </w:r>
      <w:r w:rsidR="008878A0" w:rsidRPr="4E193667">
        <w:t xml:space="preserve"> </w:t>
      </w:r>
      <w:r w:rsidR="008878A0" w:rsidRPr="4E193667">
        <w:rPr>
          <w:rFonts w:eastAsia="Arial"/>
        </w:rPr>
        <w:t>neto</w:t>
      </w:r>
      <w:r w:rsidR="008878A0" w:rsidRPr="4E193667">
        <w:t xml:space="preserve"> </w:t>
      </w:r>
      <w:r w:rsidR="008878A0" w:rsidRPr="4E193667">
        <w:rPr>
          <w:rFonts w:eastAsia="Arial"/>
        </w:rPr>
        <w:t>dobiti,</w:t>
      </w:r>
      <w:r w:rsidR="008878A0" w:rsidRPr="4E193667">
        <w:t xml:space="preserve"> </w:t>
      </w:r>
      <w:r w:rsidR="008878A0" w:rsidRPr="4E193667">
        <w:rPr>
          <w:rFonts w:eastAsia="Arial"/>
        </w:rPr>
        <w:t>također</w:t>
      </w:r>
      <w:r w:rsidR="008878A0" w:rsidRPr="4E193667">
        <w:t xml:space="preserve"> </w:t>
      </w:r>
      <w:r w:rsidR="008878A0" w:rsidRPr="4E193667">
        <w:rPr>
          <w:rFonts w:eastAsia="Arial"/>
        </w:rPr>
        <w:t>su</w:t>
      </w:r>
      <w:r w:rsidR="008878A0" w:rsidRPr="4E193667">
        <w:t xml:space="preserve"> </w:t>
      </w:r>
      <w:r w:rsidR="008878A0" w:rsidRPr="4E193667">
        <w:rPr>
          <w:rFonts w:eastAsia="Arial"/>
        </w:rPr>
        <w:t>najbolji</w:t>
      </w:r>
      <w:r w:rsidR="008878A0" w:rsidRPr="4E193667">
        <w:t xml:space="preserve"> </w:t>
      </w:r>
      <w:r w:rsidR="008878A0" w:rsidRPr="4E193667">
        <w:rPr>
          <w:rFonts w:eastAsia="Arial"/>
        </w:rPr>
        <w:t>poduzetnici</w:t>
      </w:r>
      <w:r w:rsidR="008878A0" w:rsidRPr="4E193667">
        <w:t xml:space="preserve"> </w:t>
      </w:r>
      <w:r w:rsidR="008878A0" w:rsidRPr="4E193667">
        <w:rPr>
          <w:rFonts w:eastAsia="Arial"/>
        </w:rPr>
        <w:t>sa</w:t>
      </w:r>
      <w:r w:rsidR="008878A0" w:rsidRPr="4E193667">
        <w:t xml:space="preserve"> </w:t>
      </w:r>
      <w:r w:rsidR="008878A0" w:rsidRPr="4E193667">
        <w:rPr>
          <w:rFonts w:eastAsia="Arial"/>
        </w:rPr>
        <w:t>sjedištem</w:t>
      </w:r>
      <w:r w:rsidR="008878A0" w:rsidRPr="4E193667">
        <w:t xml:space="preserve"> </w:t>
      </w:r>
      <w:r w:rsidR="008878A0" w:rsidRPr="4E193667">
        <w:rPr>
          <w:rFonts w:eastAsia="Arial"/>
        </w:rPr>
        <w:t>u</w:t>
      </w:r>
      <w:r w:rsidR="008878A0" w:rsidRPr="4E193667">
        <w:t xml:space="preserve"> </w:t>
      </w:r>
      <w:r w:rsidR="008878A0" w:rsidRPr="4E193667">
        <w:rPr>
          <w:rFonts w:eastAsia="Arial"/>
        </w:rPr>
        <w:t>Humu</w:t>
      </w:r>
      <w:r w:rsidR="008878A0" w:rsidRPr="4E193667">
        <w:t xml:space="preserve"> </w:t>
      </w:r>
      <w:r w:rsidR="008878A0" w:rsidRPr="4E193667">
        <w:rPr>
          <w:rFonts w:eastAsia="Arial"/>
        </w:rPr>
        <w:t>na</w:t>
      </w:r>
      <w:r w:rsidR="008878A0" w:rsidRPr="4E193667">
        <w:t xml:space="preserve"> </w:t>
      </w:r>
      <w:r w:rsidR="008878A0" w:rsidRPr="4E193667">
        <w:rPr>
          <w:rFonts w:eastAsia="Arial"/>
        </w:rPr>
        <w:t>Sutli</w:t>
      </w:r>
      <w:r w:rsidR="008878A0" w:rsidRPr="4E193667">
        <w:t xml:space="preserve"> </w:t>
      </w:r>
      <w:r w:rsidR="008878A0" w:rsidRPr="4E193667">
        <w:rPr>
          <w:rFonts w:eastAsia="Arial"/>
        </w:rPr>
        <w:t>(</w:t>
      </w:r>
      <w:r w:rsidR="0B74FC0E" w:rsidRPr="4E193667">
        <w:rPr>
          <w:rFonts w:eastAsia="Arial"/>
        </w:rPr>
        <w:t>240,5</w:t>
      </w:r>
      <w:r w:rsidR="008878A0" w:rsidRPr="4E193667">
        <w:t xml:space="preserve"> </w:t>
      </w:r>
      <w:r w:rsidR="008878A0" w:rsidRPr="4E193667">
        <w:rPr>
          <w:rFonts w:eastAsia="Arial"/>
        </w:rPr>
        <w:t>milijuna</w:t>
      </w:r>
      <w:r w:rsidR="008878A0" w:rsidRPr="4E193667">
        <w:t xml:space="preserve"> </w:t>
      </w:r>
      <w:r w:rsidR="008878A0" w:rsidRPr="4E193667">
        <w:rPr>
          <w:rFonts w:eastAsia="Arial"/>
        </w:rPr>
        <w:t>kuna).</w:t>
      </w:r>
      <w:r w:rsidR="00700942" w:rsidRPr="4E193667">
        <w:rPr>
          <w:rFonts w:eastAsia="Arial"/>
        </w:rPr>
        <w:t xml:space="preserve"> S druge strane, </w:t>
      </w:r>
      <w:r w:rsidR="008878A0" w:rsidRPr="4E193667">
        <w:rPr>
          <w:rFonts w:eastAsia="Arial"/>
        </w:rPr>
        <w:t>konsolidirani</w:t>
      </w:r>
      <w:r w:rsidR="008878A0" w:rsidRPr="4E193667">
        <w:t xml:space="preserve"> </w:t>
      </w:r>
      <w:r w:rsidR="008878A0" w:rsidRPr="4E193667">
        <w:rPr>
          <w:rFonts w:eastAsia="Arial"/>
        </w:rPr>
        <w:t>rezultat</w:t>
      </w:r>
      <w:r w:rsidR="008878A0" w:rsidRPr="4E193667">
        <w:t xml:space="preserve"> </w:t>
      </w:r>
      <w:r w:rsidR="008878A0" w:rsidRPr="4E193667">
        <w:rPr>
          <w:rFonts w:eastAsia="Arial"/>
        </w:rPr>
        <w:t>poduzetnika</w:t>
      </w:r>
      <w:r w:rsidR="008878A0" w:rsidRPr="4E193667">
        <w:t xml:space="preserve"> </w:t>
      </w:r>
      <w:r w:rsidR="008878A0" w:rsidRPr="4E193667">
        <w:rPr>
          <w:rFonts w:eastAsia="Arial"/>
        </w:rPr>
        <w:t>u</w:t>
      </w:r>
      <w:r w:rsidR="008878A0" w:rsidRPr="4E193667">
        <w:t xml:space="preserve"> </w:t>
      </w:r>
      <w:r w:rsidR="00700942" w:rsidRPr="4E193667">
        <w:rPr>
          <w:rFonts w:eastAsia="Arial"/>
        </w:rPr>
        <w:t>Bedekovčini</w:t>
      </w:r>
      <w:r w:rsidR="11DBD862" w:rsidRPr="4E193667">
        <w:rPr>
          <w:rFonts w:eastAsia="Arial"/>
        </w:rPr>
        <w:t xml:space="preserve"> i</w:t>
      </w:r>
      <w:r w:rsidR="00700942" w:rsidRPr="4E193667">
        <w:t xml:space="preserve"> </w:t>
      </w:r>
      <w:r w:rsidR="00700942" w:rsidRPr="4E193667">
        <w:rPr>
          <w:rFonts w:eastAsia="Arial"/>
        </w:rPr>
        <w:t>Klanjcu</w:t>
      </w:r>
      <w:r w:rsidR="008878A0" w:rsidRPr="4E193667">
        <w:t xml:space="preserve"> </w:t>
      </w:r>
      <w:r w:rsidR="008878A0" w:rsidRPr="4E193667">
        <w:rPr>
          <w:rFonts w:eastAsia="Arial"/>
        </w:rPr>
        <w:t>je</w:t>
      </w:r>
      <w:r w:rsidR="008878A0" w:rsidRPr="4E193667">
        <w:t xml:space="preserve"> </w:t>
      </w:r>
      <w:r w:rsidR="008878A0" w:rsidRPr="4E193667">
        <w:rPr>
          <w:rFonts w:eastAsia="Arial"/>
        </w:rPr>
        <w:t>negativan,</w:t>
      </w:r>
      <w:r w:rsidR="008878A0" w:rsidRPr="4E193667">
        <w:t xml:space="preserve"> </w:t>
      </w:r>
      <w:r w:rsidR="008878A0" w:rsidRPr="4E193667">
        <w:rPr>
          <w:rFonts w:eastAsia="Arial"/>
        </w:rPr>
        <w:t>tj.</w:t>
      </w:r>
      <w:r w:rsidR="008878A0" w:rsidRPr="4E193667">
        <w:t xml:space="preserve"> </w:t>
      </w:r>
      <w:r w:rsidR="008878A0" w:rsidRPr="4E193667">
        <w:rPr>
          <w:rFonts w:eastAsia="Arial"/>
        </w:rPr>
        <w:t>poduzetnici</w:t>
      </w:r>
      <w:r w:rsidR="008878A0" w:rsidRPr="4E193667">
        <w:t xml:space="preserve"> </w:t>
      </w:r>
      <w:r w:rsidR="008878A0" w:rsidRPr="4E193667">
        <w:rPr>
          <w:rFonts w:eastAsia="Arial"/>
        </w:rPr>
        <w:t>su</w:t>
      </w:r>
      <w:r w:rsidR="008878A0" w:rsidRPr="4E193667">
        <w:t xml:space="preserve"> </w:t>
      </w:r>
      <w:r w:rsidR="008878A0" w:rsidRPr="4E193667">
        <w:rPr>
          <w:rFonts w:eastAsia="Arial"/>
        </w:rPr>
        <w:t>iskazali</w:t>
      </w:r>
      <w:r w:rsidR="008878A0" w:rsidRPr="4E193667">
        <w:t xml:space="preserve"> </w:t>
      </w:r>
      <w:r w:rsidR="008878A0" w:rsidRPr="4E193667">
        <w:rPr>
          <w:rFonts w:eastAsia="Arial"/>
        </w:rPr>
        <w:t>neto</w:t>
      </w:r>
      <w:r w:rsidR="008878A0" w:rsidRPr="4E193667">
        <w:t xml:space="preserve"> </w:t>
      </w:r>
      <w:r w:rsidR="008878A0" w:rsidRPr="4E193667">
        <w:rPr>
          <w:rFonts w:eastAsia="Arial"/>
        </w:rPr>
        <w:t>gubitak</w:t>
      </w:r>
      <w:r w:rsidR="7205CC03" w:rsidRPr="4E193667">
        <w:rPr>
          <w:rFonts w:eastAsia="Arial"/>
        </w:rPr>
        <w:t>.</w:t>
      </w:r>
    </w:p>
    <w:p w14:paraId="42207BE5" w14:textId="567DFE6C" w:rsidR="00581AA0" w:rsidRDefault="00581AA0" w:rsidP="00581AA0">
      <w:pPr>
        <w:rPr>
          <w:rFonts w:eastAsia="Arial"/>
        </w:rPr>
      </w:pPr>
      <w:r w:rsidRPr="00960911">
        <w:rPr>
          <w:rFonts w:eastAsia="Arial"/>
        </w:rPr>
        <w:t xml:space="preserve">Članovi </w:t>
      </w:r>
      <w:r w:rsidR="006D0175">
        <w:rPr>
          <w:rStyle w:val="Referencafusnote"/>
          <w:rFonts w:eastAsia="Arial"/>
        </w:rPr>
        <w:footnoteReference w:id="67"/>
      </w:r>
      <w:r>
        <w:rPr>
          <w:rFonts w:eastAsia="Arial"/>
        </w:rPr>
        <w:t xml:space="preserve">gospodarskog vijeća Županijske komore Krapina su uspješne i reprezentativne tvrtke koje zapošljavaju četvrtinu ukupno zaposlenih u Županiji, ostvaruju gotovo trećinu ukupno ostvarenih prihoda, gotovo polovicu ukupno ostvarene bruto dobiti te više od 50% cjelokupnog županijskog izvoza. Projekcije članova gospodarskog vijeća za pojedine makroekonomske pokazatelje i njihova usporedba u odnosu na godinu prije ukazuju na nižu uspješnost poslovanja poduzetnika koja je u uskoj vezi sa nastupanjem epidemioloških mjera uzrokovanih pandemijom COVID-19. </w:t>
      </w:r>
    </w:p>
    <w:p w14:paraId="6A4DB4DD" w14:textId="77777777" w:rsidR="00581AA0" w:rsidRPr="00581AA0" w:rsidRDefault="00581AA0" w:rsidP="00941871">
      <w:pPr>
        <w:rPr>
          <w:rFonts w:eastAsia="Arial" w:cstheme="minorHAnsi"/>
          <w:sz w:val="22"/>
          <w:szCs w:val="22"/>
        </w:rPr>
      </w:pPr>
    </w:p>
    <w:p w14:paraId="79648982" w14:textId="672D6691" w:rsidR="00E82923" w:rsidRDefault="00E82923" w:rsidP="00E82923">
      <w:pPr>
        <w:pStyle w:val="Opisslike"/>
      </w:pPr>
      <w:r>
        <w:t xml:space="preserve">Tablica </w:t>
      </w:r>
      <w:r w:rsidR="0018019C">
        <w:rPr>
          <w:noProof/>
        </w:rPr>
        <w:t>8</w:t>
      </w:r>
      <w:r w:rsidR="000D5E3F">
        <w:rPr>
          <w:noProof/>
        </w:rPr>
        <w:t>3</w:t>
      </w:r>
      <w:r w:rsidRPr="4E193667">
        <w:rPr>
          <w:noProof/>
        </w:rPr>
        <w:t>.</w:t>
      </w:r>
      <w:r>
        <w:t xml:space="preserve"> </w:t>
      </w:r>
      <w:r w:rsidR="00A04AEB">
        <w:t>P</w:t>
      </w:r>
      <w:r>
        <w:t>oslovni rezultati 2019. i projekcija za 2020. godinu</w:t>
      </w:r>
    </w:p>
    <w:tbl>
      <w:tblPr>
        <w:tblStyle w:val="Tamnatablicareetke5-isticanje11"/>
        <w:tblW w:w="9124" w:type="dxa"/>
        <w:tblInd w:w="-5" w:type="dxa"/>
        <w:tblLayout w:type="fixed"/>
        <w:tblLook w:val="04A0" w:firstRow="1" w:lastRow="0" w:firstColumn="1" w:lastColumn="0" w:noHBand="0" w:noVBand="1"/>
      </w:tblPr>
      <w:tblGrid>
        <w:gridCol w:w="2110"/>
        <w:gridCol w:w="1539"/>
        <w:gridCol w:w="1825"/>
        <w:gridCol w:w="1825"/>
        <w:gridCol w:w="1825"/>
      </w:tblGrid>
      <w:tr w:rsidR="00BB7A93" w:rsidRPr="004906B8" w14:paraId="13E317E3" w14:textId="15D51848" w:rsidTr="00BB7A93">
        <w:trPr>
          <w:cnfStyle w:val="100000000000" w:firstRow="1" w:lastRow="0" w:firstColumn="0" w:lastColumn="0" w:oddVBand="0" w:evenVBand="0" w:oddHBand="0"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110" w:type="dxa"/>
          </w:tcPr>
          <w:p w14:paraId="26929523" w14:textId="3C719A42" w:rsidR="00BB7A93" w:rsidRPr="00FF3512" w:rsidRDefault="00BB7A93" w:rsidP="0082143F">
            <w:pPr>
              <w:jc w:val="center"/>
              <w:rPr>
                <w:rFonts w:cstheme="minorHAnsi"/>
                <w:b w:val="0"/>
                <w:bCs w:val="0"/>
                <w:color w:val="FFFFFF" w:themeColor="background1"/>
                <w:szCs w:val="18"/>
                <w:lang w:eastAsia="hr-HR"/>
              </w:rPr>
            </w:pPr>
            <w:r>
              <w:rPr>
                <w:rFonts w:cstheme="minorHAnsi"/>
                <w:b w:val="0"/>
                <w:bCs w:val="0"/>
                <w:color w:val="FFFFFF" w:themeColor="background1"/>
                <w:szCs w:val="18"/>
                <w:lang w:eastAsia="hr-HR"/>
              </w:rPr>
              <w:t>Osnovni makroekonomski pokazatelji KZŽ</w:t>
            </w:r>
            <w:r w:rsidRPr="00FF3512">
              <w:rPr>
                <w:rFonts w:cstheme="minorHAnsi"/>
                <w:b w:val="0"/>
                <w:bCs w:val="0"/>
                <w:color w:val="FFFFFF" w:themeColor="background1"/>
                <w:szCs w:val="18"/>
                <w:lang w:eastAsia="hr-HR"/>
              </w:rPr>
              <w:t xml:space="preserve"> </w:t>
            </w:r>
          </w:p>
        </w:tc>
        <w:tc>
          <w:tcPr>
            <w:tcW w:w="1539" w:type="dxa"/>
            <w:vAlign w:val="center"/>
          </w:tcPr>
          <w:p w14:paraId="607031AF" w14:textId="6FB533C1" w:rsidR="00BB7A93" w:rsidRPr="00CE42DA" w:rsidRDefault="00BB7A93" w:rsidP="00CE42DA">
            <w:pPr>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Cs w:val="18"/>
                <w:lang w:eastAsia="hr-HR"/>
              </w:rPr>
            </w:pPr>
            <w:r>
              <w:rPr>
                <w:rFonts w:cstheme="minorHAnsi"/>
                <w:color w:val="FFFFFF" w:themeColor="background1"/>
                <w:szCs w:val="18"/>
                <w:lang w:eastAsia="hr-HR"/>
              </w:rPr>
              <w:t>Indeks 2019/2018</w:t>
            </w:r>
          </w:p>
        </w:tc>
        <w:tc>
          <w:tcPr>
            <w:tcW w:w="1825" w:type="dxa"/>
            <w:vAlign w:val="center"/>
          </w:tcPr>
          <w:p w14:paraId="4B2EFBD6" w14:textId="6926CD53" w:rsidR="00BB7A93" w:rsidRPr="00CE42DA" w:rsidRDefault="00BB7A93" w:rsidP="00CE42DA">
            <w:pPr>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Cs w:val="18"/>
                <w:lang w:eastAsia="hr-HR"/>
              </w:rPr>
            </w:pPr>
            <w:r>
              <w:rPr>
                <w:rFonts w:cstheme="minorHAnsi"/>
                <w:color w:val="FFFFFF" w:themeColor="background1"/>
                <w:szCs w:val="18"/>
                <w:lang w:eastAsia="hr-HR"/>
              </w:rPr>
              <w:t>2019.</w:t>
            </w:r>
          </w:p>
        </w:tc>
        <w:tc>
          <w:tcPr>
            <w:tcW w:w="1825" w:type="dxa"/>
            <w:vAlign w:val="center"/>
          </w:tcPr>
          <w:p w14:paraId="648024D8" w14:textId="19E65DBA" w:rsidR="00BB7A93" w:rsidRPr="00CE42DA" w:rsidRDefault="00BB7A93" w:rsidP="00CE42DA">
            <w:pPr>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Cs w:val="18"/>
                <w:lang w:eastAsia="hr-HR"/>
              </w:rPr>
            </w:pPr>
            <w:r>
              <w:rPr>
                <w:rFonts w:cstheme="minorHAnsi"/>
                <w:color w:val="FFFFFF" w:themeColor="background1"/>
                <w:szCs w:val="18"/>
                <w:lang w:eastAsia="hr-HR"/>
              </w:rPr>
              <w:t>2020.- projekcija*</w:t>
            </w:r>
          </w:p>
        </w:tc>
        <w:tc>
          <w:tcPr>
            <w:tcW w:w="1825" w:type="dxa"/>
            <w:vAlign w:val="center"/>
          </w:tcPr>
          <w:p w14:paraId="201CC2B1" w14:textId="77777777" w:rsidR="00BB7A93" w:rsidRDefault="00BB7A93" w:rsidP="00CE42DA">
            <w:pPr>
              <w:jc w:val="center"/>
              <w:cnfStyle w:val="100000000000" w:firstRow="1" w:lastRow="0" w:firstColumn="0" w:lastColumn="0" w:oddVBand="0" w:evenVBand="0" w:oddHBand="0" w:evenHBand="0" w:firstRowFirstColumn="0" w:firstRowLastColumn="0" w:lastRowFirstColumn="0" w:lastRowLastColumn="0"/>
              <w:rPr>
                <w:rFonts w:cstheme="minorHAnsi"/>
                <w:b w:val="0"/>
                <w:bCs w:val="0"/>
                <w:color w:val="FFFFFF" w:themeColor="background1"/>
                <w:szCs w:val="18"/>
                <w:lang w:eastAsia="hr-HR"/>
              </w:rPr>
            </w:pPr>
            <w:r w:rsidRPr="00CE42DA">
              <w:rPr>
                <w:rFonts w:cstheme="minorHAnsi"/>
                <w:color w:val="FFFFFF" w:themeColor="background1"/>
                <w:szCs w:val="18"/>
                <w:lang w:eastAsia="hr-HR"/>
              </w:rPr>
              <w:t xml:space="preserve">Indeks </w:t>
            </w:r>
          </w:p>
          <w:p w14:paraId="2B11302B" w14:textId="1739D13D" w:rsidR="00BB7A93" w:rsidRPr="00CE42DA" w:rsidRDefault="00BB7A93" w:rsidP="00CE42DA">
            <w:pPr>
              <w:jc w:val="center"/>
              <w:cnfStyle w:val="100000000000" w:firstRow="1" w:lastRow="0" w:firstColumn="0" w:lastColumn="0" w:oddVBand="0" w:evenVBand="0" w:oddHBand="0" w:evenHBand="0" w:firstRowFirstColumn="0" w:firstRowLastColumn="0" w:lastRowFirstColumn="0" w:lastRowLastColumn="0"/>
              <w:rPr>
                <w:rFonts w:cstheme="minorHAnsi"/>
                <w:color w:val="FFFFFF" w:themeColor="background1"/>
                <w:szCs w:val="18"/>
                <w:lang w:eastAsia="hr-HR"/>
              </w:rPr>
            </w:pPr>
            <w:r>
              <w:rPr>
                <w:rFonts w:cstheme="minorHAnsi"/>
                <w:color w:val="FFFFFF" w:themeColor="background1"/>
                <w:szCs w:val="18"/>
                <w:lang w:eastAsia="hr-HR"/>
              </w:rPr>
              <w:t>2020</w:t>
            </w:r>
            <w:r w:rsidRPr="00CE42DA">
              <w:rPr>
                <w:rFonts w:cstheme="minorHAnsi"/>
                <w:color w:val="FFFFFF" w:themeColor="background1"/>
                <w:szCs w:val="18"/>
                <w:lang w:eastAsia="hr-HR"/>
              </w:rPr>
              <w:t>/</w:t>
            </w:r>
            <w:r>
              <w:rPr>
                <w:rFonts w:cstheme="minorHAnsi"/>
                <w:color w:val="FFFFFF" w:themeColor="background1"/>
                <w:szCs w:val="18"/>
                <w:lang w:eastAsia="hr-HR"/>
              </w:rPr>
              <w:t>2019</w:t>
            </w:r>
          </w:p>
        </w:tc>
      </w:tr>
      <w:tr w:rsidR="00BB7A93" w:rsidRPr="004906B8" w14:paraId="0B8D2E83" w14:textId="4D7199F7" w:rsidTr="00BB7A93">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110" w:type="dxa"/>
          </w:tcPr>
          <w:p w14:paraId="0A18144B" w14:textId="4B7021C7" w:rsidR="00BB7A93" w:rsidRPr="00FF3512" w:rsidRDefault="00BB7A93" w:rsidP="0082143F">
            <w:pPr>
              <w:jc w:val="center"/>
              <w:rPr>
                <w:rFonts w:cstheme="minorHAnsi"/>
                <w:b w:val="0"/>
                <w:bCs w:val="0"/>
                <w:color w:val="FFFFFF" w:themeColor="background1"/>
                <w:szCs w:val="18"/>
                <w:lang w:eastAsia="hr-HR"/>
              </w:rPr>
            </w:pPr>
            <w:r>
              <w:rPr>
                <w:rFonts w:cstheme="minorHAnsi"/>
                <w:b w:val="0"/>
                <w:bCs w:val="0"/>
                <w:color w:val="FFFFFF" w:themeColor="background1"/>
                <w:szCs w:val="18"/>
                <w:lang w:eastAsia="hr-HR"/>
              </w:rPr>
              <w:t>Broj poduzetnika</w:t>
            </w:r>
          </w:p>
        </w:tc>
        <w:tc>
          <w:tcPr>
            <w:tcW w:w="1539" w:type="dxa"/>
          </w:tcPr>
          <w:p w14:paraId="58CF36E5" w14:textId="41BFE2D1" w:rsidR="00BB7A93" w:rsidRPr="004906B8" w:rsidRDefault="003B4E26"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103</w:t>
            </w:r>
          </w:p>
        </w:tc>
        <w:tc>
          <w:tcPr>
            <w:tcW w:w="1825" w:type="dxa"/>
          </w:tcPr>
          <w:p w14:paraId="2079CB21" w14:textId="134FA7A3" w:rsidR="00BB7A93" w:rsidRPr="004906B8" w:rsidRDefault="00482673"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2.344</w:t>
            </w:r>
          </w:p>
        </w:tc>
        <w:tc>
          <w:tcPr>
            <w:tcW w:w="1825" w:type="dxa"/>
          </w:tcPr>
          <w:p w14:paraId="7B7285F4" w14:textId="3AC93915" w:rsidR="00BB7A93" w:rsidRPr="004906B8" w:rsidRDefault="00960911"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N/A</w:t>
            </w:r>
          </w:p>
        </w:tc>
        <w:tc>
          <w:tcPr>
            <w:tcW w:w="1825" w:type="dxa"/>
          </w:tcPr>
          <w:p w14:paraId="1A2C895A" w14:textId="73595AE4" w:rsidR="00BB7A93" w:rsidRPr="004906B8" w:rsidRDefault="00A04AEB"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N/A</w:t>
            </w:r>
          </w:p>
        </w:tc>
      </w:tr>
      <w:tr w:rsidR="00BB7A93" w:rsidRPr="004906B8" w14:paraId="39CF9DF5" w14:textId="399DF566" w:rsidTr="00BB7A93">
        <w:trPr>
          <w:trHeight w:val="269"/>
        </w:trPr>
        <w:tc>
          <w:tcPr>
            <w:cnfStyle w:val="001000000000" w:firstRow="0" w:lastRow="0" w:firstColumn="1" w:lastColumn="0" w:oddVBand="0" w:evenVBand="0" w:oddHBand="0" w:evenHBand="0" w:firstRowFirstColumn="0" w:firstRowLastColumn="0" w:lastRowFirstColumn="0" w:lastRowLastColumn="0"/>
            <w:tcW w:w="2110" w:type="dxa"/>
          </w:tcPr>
          <w:p w14:paraId="423E1482" w14:textId="7F8D9D4A" w:rsidR="00BB7A93" w:rsidRPr="00FF3512" w:rsidRDefault="00BB7A93" w:rsidP="0082143F">
            <w:pPr>
              <w:jc w:val="center"/>
              <w:rPr>
                <w:rFonts w:cstheme="minorHAnsi"/>
                <w:b w:val="0"/>
                <w:bCs w:val="0"/>
                <w:color w:val="FFFFFF" w:themeColor="background1"/>
                <w:szCs w:val="18"/>
                <w:lang w:eastAsia="hr-HR"/>
              </w:rPr>
            </w:pPr>
            <w:r>
              <w:rPr>
                <w:rFonts w:cstheme="minorHAnsi"/>
                <w:b w:val="0"/>
                <w:bCs w:val="0"/>
                <w:color w:val="FFFFFF" w:themeColor="background1"/>
                <w:szCs w:val="18"/>
                <w:lang w:eastAsia="hr-HR"/>
              </w:rPr>
              <w:t>Broj zaposlenih</w:t>
            </w:r>
          </w:p>
        </w:tc>
        <w:tc>
          <w:tcPr>
            <w:tcW w:w="1539" w:type="dxa"/>
          </w:tcPr>
          <w:p w14:paraId="62A58C8D" w14:textId="01C0D4C9" w:rsidR="00BB7A93" w:rsidRPr="004906B8" w:rsidRDefault="003B4E26"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103</w:t>
            </w:r>
          </w:p>
        </w:tc>
        <w:tc>
          <w:tcPr>
            <w:tcW w:w="1825" w:type="dxa"/>
          </w:tcPr>
          <w:p w14:paraId="040DE873" w14:textId="5F0F1512" w:rsidR="00BB7A93" w:rsidRPr="004906B8" w:rsidRDefault="00482673"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21.742</w:t>
            </w:r>
          </w:p>
        </w:tc>
        <w:tc>
          <w:tcPr>
            <w:tcW w:w="1825" w:type="dxa"/>
          </w:tcPr>
          <w:p w14:paraId="249B347C" w14:textId="64104E77" w:rsidR="00BB7A93" w:rsidRPr="004906B8" w:rsidRDefault="00960911"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sidRPr="00960911">
              <w:rPr>
                <w:rFonts w:cstheme="minorHAnsi"/>
                <w:szCs w:val="18"/>
                <w:lang w:eastAsia="hr-HR"/>
              </w:rPr>
              <w:t>18.121.</w:t>
            </w:r>
          </w:p>
        </w:tc>
        <w:tc>
          <w:tcPr>
            <w:tcW w:w="1825" w:type="dxa"/>
          </w:tcPr>
          <w:p w14:paraId="7BDC0A44" w14:textId="6CDEFA77" w:rsidR="00BB7A93" w:rsidRPr="004906B8" w:rsidRDefault="0093545B"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83,3</w:t>
            </w:r>
          </w:p>
        </w:tc>
      </w:tr>
      <w:tr w:rsidR="00BB7A93" w:rsidRPr="004906B8" w14:paraId="000BC631" w14:textId="4382C618" w:rsidTr="00BB7A93">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2110" w:type="dxa"/>
          </w:tcPr>
          <w:p w14:paraId="6CEB805D" w14:textId="2DCB68BB" w:rsidR="00BB7A93" w:rsidRPr="00FF3512" w:rsidRDefault="00BB7A93" w:rsidP="0082143F">
            <w:pPr>
              <w:jc w:val="center"/>
              <w:rPr>
                <w:rFonts w:cstheme="minorHAnsi"/>
                <w:b w:val="0"/>
                <w:bCs w:val="0"/>
                <w:color w:val="FFFFFF" w:themeColor="background1"/>
                <w:szCs w:val="18"/>
                <w:lang w:eastAsia="hr-HR"/>
              </w:rPr>
            </w:pPr>
            <w:r>
              <w:rPr>
                <w:rFonts w:cstheme="minorHAnsi"/>
                <w:b w:val="0"/>
                <w:bCs w:val="0"/>
                <w:color w:val="FFFFFF" w:themeColor="background1"/>
                <w:szCs w:val="18"/>
                <w:lang w:eastAsia="hr-HR"/>
              </w:rPr>
              <w:t>Ukupni prihodi, u 000 HRK</w:t>
            </w:r>
          </w:p>
        </w:tc>
        <w:tc>
          <w:tcPr>
            <w:tcW w:w="1539" w:type="dxa"/>
          </w:tcPr>
          <w:p w14:paraId="21A8711D" w14:textId="246C4E3F" w:rsidR="00BB7A93" w:rsidRPr="004906B8" w:rsidRDefault="005D7FD7"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105</w:t>
            </w:r>
          </w:p>
        </w:tc>
        <w:tc>
          <w:tcPr>
            <w:tcW w:w="1825" w:type="dxa"/>
          </w:tcPr>
          <w:p w14:paraId="56082CCA" w14:textId="4819614D" w:rsidR="00BB7A93" w:rsidRPr="004906B8" w:rsidRDefault="00482673"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13.629.266</w:t>
            </w:r>
          </w:p>
        </w:tc>
        <w:tc>
          <w:tcPr>
            <w:tcW w:w="1825" w:type="dxa"/>
          </w:tcPr>
          <w:p w14:paraId="12AB379F" w14:textId="0A34E0CA" w:rsidR="00BB7A93" w:rsidRPr="004906B8" w:rsidRDefault="00960911"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10.063.347</w:t>
            </w:r>
          </w:p>
        </w:tc>
        <w:tc>
          <w:tcPr>
            <w:tcW w:w="1825" w:type="dxa"/>
          </w:tcPr>
          <w:p w14:paraId="0AF65612" w14:textId="0B188F1F" w:rsidR="00BB7A93" w:rsidRPr="004906B8" w:rsidRDefault="0093545B"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73,8</w:t>
            </w:r>
          </w:p>
        </w:tc>
      </w:tr>
      <w:tr w:rsidR="00BB7A93" w:rsidRPr="00FF3512" w14:paraId="523EF54B" w14:textId="2750B1BA" w:rsidTr="00BB7A93">
        <w:trPr>
          <w:trHeight w:val="256"/>
        </w:trPr>
        <w:tc>
          <w:tcPr>
            <w:cnfStyle w:val="001000000000" w:firstRow="0" w:lastRow="0" w:firstColumn="1" w:lastColumn="0" w:oddVBand="0" w:evenVBand="0" w:oddHBand="0" w:evenHBand="0" w:firstRowFirstColumn="0" w:firstRowLastColumn="0" w:lastRowFirstColumn="0" w:lastRowLastColumn="0"/>
            <w:tcW w:w="2110" w:type="dxa"/>
          </w:tcPr>
          <w:p w14:paraId="5EBF088F" w14:textId="7DAC47E7" w:rsidR="00BB7A93" w:rsidRPr="00FF3512" w:rsidRDefault="00BB7A93" w:rsidP="0082143F">
            <w:pPr>
              <w:jc w:val="center"/>
              <w:rPr>
                <w:rFonts w:cstheme="minorHAnsi"/>
                <w:b w:val="0"/>
                <w:bCs w:val="0"/>
                <w:color w:val="FFFFFF" w:themeColor="background1"/>
                <w:szCs w:val="18"/>
                <w:lang w:eastAsia="hr-HR"/>
              </w:rPr>
            </w:pPr>
            <w:r>
              <w:rPr>
                <w:rFonts w:cstheme="minorHAnsi"/>
                <w:b w:val="0"/>
                <w:bCs w:val="0"/>
                <w:color w:val="FFFFFF" w:themeColor="background1"/>
                <w:szCs w:val="18"/>
                <w:lang w:eastAsia="hr-HR"/>
              </w:rPr>
              <w:t>Ukupni rashodi, u 000 HRK</w:t>
            </w:r>
          </w:p>
        </w:tc>
        <w:tc>
          <w:tcPr>
            <w:tcW w:w="1539" w:type="dxa"/>
          </w:tcPr>
          <w:p w14:paraId="61B85015" w14:textId="728E79BD" w:rsidR="00BB7A93" w:rsidRPr="00482673" w:rsidRDefault="005D7FD7"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105</w:t>
            </w:r>
          </w:p>
        </w:tc>
        <w:tc>
          <w:tcPr>
            <w:tcW w:w="1825" w:type="dxa"/>
          </w:tcPr>
          <w:p w14:paraId="76E51FF3" w14:textId="2596F251" w:rsidR="00BB7A93" w:rsidRPr="00482673" w:rsidRDefault="00482673"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sidRPr="00482673">
              <w:rPr>
                <w:rFonts w:cstheme="minorHAnsi"/>
                <w:szCs w:val="18"/>
                <w:lang w:eastAsia="hr-HR"/>
              </w:rPr>
              <w:t>12.846.339</w:t>
            </w:r>
          </w:p>
        </w:tc>
        <w:tc>
          <w:tcPr>
            <w:tcW w:w="1825" w:type="dxa"/>
          </w:tcPr>
          <w:p w14:paraId="4F07A3D0" w14:textId="0F8667A9" w:rsidR="00BB7A93" w:rsidRPr="00482673" w:rsidRDefault="00960911"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9.615.976</w:t>
            </w:r>
          </w:p>
        </w:tc>
        <w:tc>
          <w:tcPr>
            <w:tcW w:w="1825" w:type="dxa"/>
          </w:tcPr>
          <w:p w14:paraId="5DBF0775" w14:textId="48DA9E59" w:rsidR="00BB7A93" w:rsidRPr="00482673" w:rsidRDefault="0093545B"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74,8</w:t>
            </w:r>
          </w:p>
        </w:tc>
      </w:tr>
      <w:tr w:rsidR="00BB7A93" w:rsidRPr="00FF3512" w14:paraId="2D480D2F" w14:textId="77777777" w:rsidTr="00BB7A93">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110" w:type="dxa"/>
          </w:tcPr>
          <w:p w14:paraId="2B24EE60" w14:textId="761AAE70" w:rsidR="00BB7A93" w:rsidRDefault="00BB7A93" w:rsidP="0082143F">
            <w:pPr>
              <w:jc w:val="center"/>
              <w:rPr>
                <w:rFonts w:cstheme="minorHAnsi"/>
                <w:b w:val="0"/>
                <w:bCs w:val="0"/>
                <w:color w:val="FFFFFF" w:themeColor="background1"/>
                <w:szCs w:val="18"/>
                <w:lang w:eastAsia="hr-HR"/>
              </w:rPr>
            </w:pPr>
            <w:r>
              <w:rPr>
                <w:rFonts w:cstheme="minorHAnsi"/>
                <w:b w:val="0"/>
                <w:bCs w:val="0"/>
                <w:color w:val="FFFFFF" w:themeColor="background1"/>
                <w:szCs w:val="18"/>
                <w:lang w:eastAsia="hr-HR"/>
              </w:rPr>
              <w:t>Prosječna mjesečna neto plaća po zaposlenom, u HRK</w:t>
            </w:r>
          </w:p>
        </w:tc>
        <w:tc>
          <w:tcPr>
            <w:tcW w:w="1539" w:type="dxa"/>
          </w:tcPr>
          <w:p w14:paraId="42D99D49" w14:textId="6AD6FB12" w:rsidR="00BB7A93" w:rsidRPr="00482673" w:rsidRDefault="001B5E7B"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106</w:t>
            </w:r>
          </w:p>
        </w:tc>
        <w:tc>
          <w:tcPr>
            <w:tcW w:w="1825" w:type="dxa"/>
          </w:tcPr>
          <w:p w14:paraId="3173CD24" w14:textId="640A12D1" w:rsidR="00BB7A93" w:rsidRPr="00482673" w:rsidRDefault="00482673"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5.145</w:t>
            </w:r>
          </w:p>
        </w:tc>
        <w:tc>
          <w:tcPr>
            <w:tcW w:w="1825" w:type="dxa"/>
          </w:tcPr>
          <w:p w14:paraId="4291ACD4" w14:textId="511CA6CD" w:rsidR="00BB7A93" w:rsidRPr="00482673" w:rsidRDefault="00960911"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4.270</w:t>
            </w:r>
          </w:p>
        </w:tc>
        <w:tc>
          <w:tcPr>
            <w:tcW w:w="1825" w:type="dxa"/>
          </w:tcPr>
          <w:p w14:paraId="3DA63B91" w14:textId="77DBCDAF" w:rsidR="00BB7A93" w:rsidRPr="00482673" w:rsidRDefault="0093545B"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82,9</w:t>
            </w:r>
          </w:p>
        </w:tc>
      </w:tr>
      <w:tr w:rsidR="00BB7A93" w:rsidRPr="00FF3512" w14:paraId="0871B33D" w14:textId="77777777" w:rsidTr="00BB7A93">
        <w:trPr>
          <w:trHeight w:val="256"/>
        </w:trPr>
        <w:tc>
          <w:tcPr>
            <w:cnfStyle w:val="001000000000" w:firstRow="0" w:lastRow="0" w:firstColumn="1" w:lastColumn="0" w:oddVBand="0" w:evenVBand="0" w:oddHBand="0" w:evenHBand="0" w:firstRowFirstColumn="0" w:firstRowLastColumn="0" w:lastRowFirstColumn="0" w:lastRowLastColumn="0"/>
            <w:tcW w:w="2110" w:type="dxa"/>
          </w:tcPr>
          <w:p w14:paraId="02D73630" w14:textId="720F4ED6" w:rsidR="00BB7A93" w:rsidRDefault="00BB7A93" w:rsidP="0082143F">
            <w:pPr>
              <w:jc w:val="center"/>
              <w:rPr>
                <w:rFonts w:cstheme="minorHAnsi"/>
                <w:b w:val="0"/>
                <w:bCs w:val="0"/>
                <w:color w:val="FFFFFF" w:themeColor="background1"/>
                <w:szCs w:val="18"/>
                <w:lang w:eastAsia="hr-HR"/>
              </w:rPr>
            </w:pPr>
            <w:r>
              <w:rPr>
                <w:rFonts w:cstheme="minorHAnsi"/>
                <w:b w:val="0"/>
                <w:bCs w:val="0"/>
                <w:color w:val="FFFFFF" w:themeColor="background1"/>
                <w:szCs w:val="18"/>
                <w:lang w:eastAsia="hr-HR"/>
              </w:rPr>
              <w:t>Izvoz, u 000 HRK</w:t>
            </w:r>
          </w:p>
        </w:tc>
        <w:tc>
          <w:tcPr>
            <w:tcW w:w="1539" w:type="dxa"/>
          </w:tcPr>
          <w:p w14:paraId="15469041" w14:textId="2C7E6611" w:rsidR="00BB7A93" w:rsidRPr="00482673" w:rsidRDefault="00D57245"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100</w:t>
            </w:r>
          </w:p>
        </w:tc>
        <w:tc>
          <w:tcPr>
            <w:tcW w:w="1825" w:type="dxa"/>
          </w:tcPr>
          <w:p w14:paraId="4F18C5A9" w14:textId="4E57D9B8" w:rsidR="00BB7A93" w:rsidRPr="00482673" w:rsidRDefault="00482673"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4.190.047</w:t>
            </w:r>
          </w:p>
        </w:tc>
        <w:tc>
          <w:tcPr>
            <w:tcW w:w="1825" w:type="dxa"/>
          </w:tcPr>
          <w:p w14:paraId="0463D025" w14:textId="2B585710" w:rsidR="00BB7A93" w:rsidRPr="00482673" w:rsidRDefault="00960911"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3.211.322</w:t>
            </w:r>
          </w:p>
        </w:tc>
        <w:tc>
          <w:tcPr>
            <w:tcW w:w="1825" w:type="dxa"/>
          </w:tcPr>
          <w:p w14:paraId="7A1811D9" w14:textId="05E584DD" w:rsidR="00BB7A93" w:rsidRPr="00482673" w:rsidRDefault="0093545B"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76,6</w:t>
            </w:r>
          </w:p>
        </w:tc>
      </w:tr>
      <w:tr w:rsidR="00BB7A93" w:rsidRPr="00FF3512" w14:paraId="11C5457B" w14:textId="77777777" w:rsidTr="00BB7A93">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2110" w:type="dxa"/>
          </w:tcPr>
          <w:p w14:paraId="42C41E12" w14:textId="1B77D1B1" w:rsidR="00BB7A93" w:rsidRDefault="00BB7A93" w:rsidP="0082143F">
            <w:pPr>
              <w:jc w:val="center"/>
              <w:rPr>
                <w:rFonts w:cstheme="minorHAnsi"/>
                <w:b w:val="0"/>
                <w:bCs w:val="0"/>
                <w:color w:val="FFFFFF" w:themeColor="background1"/>
                <w:szCs w:val="18"/>
                <w:lang w:eastAsia="hr-HR"/>
              </w:rPr>
            </w:pPr>
            <w:r>
              <w:rPr>
                <w:rFonts w:cstheme="minorHAnsi"/>
                <w:b w:val="0"/>
                <w:bCs w:val="0"/>
                <w:color w:val="FFFFFF" w:themeColor="background1"/>
                <w:szCs w:val="18"/>
                <w:lang w:eastAsia="hr-HR"/>
              </w:rPr>
              <w:t>Uvoz, u 000 HRK</w:t>
            </w:r>
          </w:p>
        </w:tc>
        <w:tc>
          <w:tcPr>
            <w:tcW w:w="1539" w:type="dxa"/>
          </w:tcPr>
          <w:p w14:paraId="78C25DC5" w14:textId="1D6C0EBB" w:rsidR="00BB7A93" w:rsidRPr="00482673" w:rsidRDefault="00D57245"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103</w:t>
            </w:r>
          </w:p>
        </w:tc>
        <w:tc>
          <w:tcPr>
            <w:tcW w:w="1825" w:type="dxa"/>
          </w:tcPr>
          <w:p w14:paraId="53944879" w14:textId="74ADB9B0" w:rsidR="00BB7A93" w:rsidRPr="00482673" w:rsidRDefault="00482673"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2.448.415</w:t>
            </w:r>
          </w:p>
        </w:tc>
        <w:tc>
          <w:tcPr>
            <w:tcW w:w="1825" w:type="dxa"/>
          </w:tcPr>
          <w:p w14:paraId="7AAD382C" w14:textId="4ECA0AAC" w:rsidR="00BB7A93" w:rsidRPr="00482673" w:rsidRDefault="00960911"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2.012.846</w:t>
            </w:r>
          </w:p>
        </w:tc>
        <w:tc>
          <w:tcPr>
            <w:tcW w:w="1825" w:type="dxa"/>
          </w:tcPr>
          <w:p w14:paraId="5737C674" w14:textId="616148B8" w:rsidR="00BB7A93" w:rsidRPr="00482673" w:rsidRDefault="0093545B" w:rsidP="0082143F">
            <w:pPr>
              <w:jc w:val="center"/>
              <w:cnfStyle w:val="000000100000" w:firstRow="0" w:lastRow="0" w:firstColumn="0" w:lastColumn="0" w:oddVBand="0" w:evenVBand="0" w:oddHBand="1" w:evenHBand="0" w:firstRowFirstColumn="0" w:firstRowLastColumn="0" w:lastRowFirstColumn="0" w:lastRowLastColumn="0"/>
              <w:rPr>
                <w:rFonts w:cstheme="minorHAnsi"/>
                <w:szCs w:val="18"/>
                <w:lang w:eastAsia="hr-HR"/>
              </w:rPr>
            </w:pPr>
            <w:r>
              <w:rPr>
                <w:rFonts w:cstheme="minorHAnsi"/>
                <w:szCs w:val="18"/>
                <w:lang w:eastAsia="hr-HR"/>
              </w:rPr>
              <w:t>82,2</w:t>
            </w:r>
          </w:p>
        </w:tc>
      </w:tr>
      <w:tr w:rsidR="00BB7A93" w:rsidRPr="00FF3512" w14:paraId="2B40D435" w14:textId="77777777" w:rsidTr="00BB7A93">
        <w:trPr>
          <w:trHeight w:val="256"/>
        </w:trPr>
        <w:tc>
          <w:tcPr>
            <w:cnfStyle w:val="001000000000" w:firstRow="0" w:lastRow="0" w:firstColumn="1" w:lastColumn="0" w:oddVBand="0" w:evenVBand="0" w:oddHBand="0" w:evenHBand="0" w:firstRowFirstColumn="0" w:firstRowLastColumn="0" w:lastRowFirstColumn="0" w:lastRowLastColumn="0"/>
            <w:tcW w:w="2110" w:type="dxa"/>
          </w:tcPr>
          <w:p w14:paraId="7309FAC6" w14:textId="0E1ED73C" w:rsidR="00BB7A93" w:rsidRDefault="00BB7A93" w:rsidP="0082143F">
            <w:pPr>
              <w:jc w:val="center"/>
              <w:rPr>
                <w:rFonts w:cstheme="minorHAnsi"/>
                <w:b w:val="0"/>
                <w:bCs w:val="0"/>
                <w:color w:val="FFFFFF" w:themeColor="background1"/>
                <w:szCs w:val="18"/>
                <w:lang w:eastAsia="hr-HR"/>
              </w:rPr>
            </w:pPr>
            <w:r>
              <w:rPr>
                <w:rFonts w:cstheme="minorHAnsi"/>
                <w:b w:val="0"/>
                <w:bCs w:val="0"/>
                <w:color w:val="FFFFFF" w:themeColor="background1"/>
                <w:szCs w:val="18"/>
                <w:lang w:eastAsia="hr-HR"/>
              </w:rPr>
              <w:t>Investicije u novu dug. Imovinu, u 000 HRK</w:t>
            </w:r>
          </w:p>
        </w:tc>
        <w:tc>
          <w:tcPr>
            <w:tcW w:w="1539" w:type="dxa"/>
          </w:tcPr>
          <w:p w14:paraId="60E66315" w14:textId="6652AFE0" w:rsidR="00BB7A93" w:rsidRPr="00482673" w:rsidRDefault="00D57245"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123</w:t>
            </w:r>
          </w:p>
        </w:tc>
        <w:tc>
          <w:tcPr>
            <w:tcW w:w="1825" w:type="dxa"/>
          </w:tcPr>
          <w:p w14:paraId="0173FEDD" w14:textId="5B75145D" w:rsidR="00BB7A93" w:rsidRPr="00482673" w:rsidRDefault="003B4E26"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442.652</w:t>
            </w:r>
          </w:p>
        </w:tc>
        <w:tc>
          <w:tcPr>
            <w:tcW w:w="1825" w:type="dxa"/>
          </w:tcPr>
          <w:p w14:paraId="5A051CC8" w14:textId="4BBB028E" w:rsidR="00BB7A93" w:rsidRPr="00482673" w:rsidRDefault="00960911"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179.920</w:t>
            </w:r>
          </w:p>
        </w:tc>
        <w:tc>
          <w:tcPr>
            <w:tcW w:w="1825" w:type="dxa"/>
          </w:tcPr>
          <w:p w14:paraId="2C49EE1F" w14:textId="1B2B2533" w:rsidR="00BB7A93" w:rsidRPr="00482673" w:rsidRDefault="0093545B" w:rsidP="0082143F">
            <w:pPr>
              <w:jc w:val="center"/>
              <w:cnfStyle w:val="000000000000" w:firstRow="0" w:lastRow="0" w:firstColumn="0" w:lastColumn="0" w:oddVBand="0" w:evenVBand="0" w:oddHBand="0" w:evenHBand="0" w:firstRowFirstColumn="0" w:firstRowLastColumn="0" w:lastRowFirstColumn="0" w:lastRowLastColumn="0"/>
              <w:rPr>
                <w:rFonts w:cstheme="minorHAnsi"/>
                <w:szCs w:val="18"/>
                <w:lang w:eastAsia="hr-HR"/>
              </w:rPr>
            </w:pPr>
            <w:r>
              <w:rPr>
                <w:rFonts w:cstheme="minorHAnsi"/>
                <w:szCs w:val="18"/>
                <w:lang w:eastAsia="hr-HR"/>
              </w:rPr>
              <w:t>40,6</w:t>
            </w:r>
          </w:p>
        </w:tc>
      </w:tr>
    </w:tbl>
    <w:p w14:paraId="6ACA239B" w14:textId="5A2DB3F7" w:rsidR="00BB7A93" w:rsidRPr="006207AF" w:rsidRDefault="00CE42DA"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FINA, obrada: HGK ŽK Krapina, travanj 2020.</w:t>
      </w:r>
    </w:p>
    <w:p w14:paraId="265DF0C9" w14:textId="3E0407E8" w:rsidR="00BB7A93" w:rsidRPr="006207AF" w:rsidRDefault="00BB7A93"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*projekcije članova HGK ŽK Krapina</w:t>
      </w:r>
    </w:p>
    <w:p w14:paraId="54176A13" w14:textId="77777777" w:rsidR="00960911" w:rsidRPr="00960911" w:rsidRDefault="00960911" w:rsidP="00941871">
      <w:pPr>
        <w:rPr>
          <w:rFonts w:eastAsia="Arial"/>
        </w:rPr>
      </w:pPr>
    </w:p>
    <w:p w14:paraId="63103802" w14:textId="1A13FB52" w:rsidR="008878A0" w:rsidRDefault="00B601EE" w:rsidP="006207AF">
      <w:pPr>
        <w:pStyle w:val="podpodnaslov111"/>
      </w:pPr>
      <w:bookmarkStart w:id="150" w:name="_Toc85181330"/>
      <w:r>
        <w:t>10</w:t>
      </w:r>
      <w:r w:rsidR="008878A0">
        <w:t>.</w:t>
      </w:r>
      <w:r w:rsidR="007D6366">
        <w:t>5</w:t>
      </w:r>
      <w:r w:rsidR="008878A0">
        <w:t>.1. Pokazatelji poduzetništva Krapinsko-zagorske županije prema djelatnostima</w:t>
      </w:r>
      <w:bookmarkEnd w:id="150"/>
    </w:p>
    <w:p w14:paraId="00419E57" w14:textId="77777777" w:rsidR="008878A0" w:rsidRDefault="008878A0" w:rsidP="00941871">
      <w:pPr>
        <w:ind w:left="116" w:right="71"/>
        <w:rPr>
          <w:rFonts w:eastAsia="Arial Narrow" w:cstheme="minorHAnsi"/>
          <w:b/>
          <w:spacing w:val="-1"/>
        </w:rPr>
      </w:pPr>
    </w:p>
    <w:p w14:paraId="70641B83" w14:textId="5EB3DD36" w:rsidR="008878A0" w:rsidRDefault="008878A0" w:rsidP="4E193667">
      <w:pPr>
        <w:rPr>
          <w:rFonts w:eastAsia="Arial"/>
        </w:rPr>
      </w:pPr>
      <w:r w:rsidRPr="4E193667">
        <w:rPr>
          <w:rFonts w:eastAsia="Arial"/>
        </w:rPr>
        <w:t>Najznačajniju ulogu u strukturi ostvarenih prihoda Krapinsko-zagorske žup</w:t>
      </w:r>
      <w:r w:rsidR="00C24719" w:rsidRPr="4E193667">
        <w:rPr>
          <w:rFonts w:eastAsia="Arial"/>
        </w:rPr>
        <w:t xml:space="preserve">anije, u </w:t>
      </w:r>
      <w:r w:rsidR="00570324" w:rsidRPr="4E193667">
        <w:rPr>
          <w:rFonts w:eastAsia="Arial"/>
        </w:rPr>
        <w:t xml:space="preserve">četiri </w:t>
      </w:r>
      <w:r w:rsidR="00C24719" w:rsidRPr="4E193667">
        <w:rPr>
          <w:rFonts w:eastAsia="Arial"/>
        </w:rPr>
        <w:t xml:space="preserve">promatrane godine, imali su poduzetnici u djelatnosti </w:t>
      </w:r>
      <w:r w:rsidRPr="4E193667">
        <w:rPr>
          <w:rFonts w:eastAsia="Arial"/>
        </w:rPr>
        <w:t>C - prerađivačka industrij</w:t>
      </w:r>
      <w:r w:rsidR="00C24719" w:rsidRPr="4E193667">
        <w:rPr>
          <w:rFonts w:eastAsia="Arial"/>
        </w:rPr>
        <w:t>a. U 201</w:t>
      </w:r>
      <w:r w:rsidR="1F649323" w:rsidRPr="4E193667">
        <w:rPr>
          <w:rFonts w:eastAsia="Arial"/>
        </w:rPr>
        <w:t>9</w:t>
      </w:r>
      <w:r w:rsidR="00C24719" w:rsidRPr="4E193667">
        <w:rPr>
          <w:rFonts w:eastAsia="Arial"/>
        </w:rPr>
        <w:t xml:space="preserve">. godine s </w:t>
      </w:r>
      <w:r w:rsidR="33F8D0A5" w:rsidRPr="4E193667">
        <w:rPr>
          <w:rFonts w:eastAsia="Arial"/>
        </w:rPr>
        <w:t xml:space="preserve">ukupnim prihodima </w:t>
      </w:r>
      <w:r w:rsidRPr="4E193667">
        <w:rPr>
          <w:rFonts w:eastAsia="Arial"/>
        </w:rPr>
        <w:t xml:space="preserve">od </w:t>
      </w:r>
      <w:r w:rsidR="0CFA1652" w:rsidRPr="4E193667">
        <w:rPr>
          <w:rFonts w:eastAsia="Arial"/>
        </w:rPr>
        <w:t>6</w:t>
      </w:r>
      <w:r w:rsidRPr="4E193667">
        <w:rPr>
          <w:rFonts w:eastAsia="Arial"/>
        </w:rPr>
        <w:t>,</w:t>
      </w:r>
      <w:r w:rsidR="03295443" w:rsidRPr="4E193667">
        <w:rPr>
          <w:rFonts w:eastAsia="Arial"/>
        </w:rPr>
        <w:t>02</w:t>
      </w:r>
      <w:r w:rsidRPr="4E193667">
        <w:rPr>
          <w:rFonts w:eastAsia="Arial"/>
        </w:rPr>
        <w:t xml:space="preserve"> milijard</w:t>
      </w:r>
      <w:r w:rsidR="6A1318D7" w:rsidRPr="4E193667">
        <w:rPr>
          <w:rFonts w:eastAsia="Arial"/>
        </w:rPr>
        <w:t>e</w:t>
      </w:r>
      <w:r w:rsidRPr="4E193667">
        <w:rPr>
          <w:rFonts w:eastAsia="Arial"/>
        </w:rPr>
        <w:t xml:space="preserve"> ku</w:t>
      </w:r>
      <w:r w:rsidR="00C24719" w:rsidRPr="4E193667">
        <w:rPr>
          <w:rFonts w:eastAsia="Arial"/>
        </w:rPr>
        <w:t>na, što je povećanje od 5,</w:t>
      </w:r>
      <w:r w:rsidR="4790A7BF" w:rsidRPr="4E193667">
        <w:rPr>
          <w:rFonts w:eastAsia="Arial"/>
        </w:rPr>
        <w:t>3</w:t>
      </w:r>
      <w:r w:rsidR="00C24719" w:rsidRPr="4E193667">
        <w:rPr>
          <w:rFonts w:eastAsia="Arial"/>
        </w:rPr>
        <w:t>%</w:t>
      </w:r>
      <w:r w:rsidRPr="4E193667">
        <w:rPr>
          <w:rFonts w:eastAsia="Arial"/>
        </w:rPr>
        <w:t xml:space="preserve"> u </w:t>
      </w:r>
      <w:r w:rsidR="00C24719" w:rsidRPr="4E193667">
        <w:rPr>
          <w:rFonts w:eastAsia="Arial"/>
        </w:rPr>
        <w:t>odnosu na</w:t>
      </w:r>
      <w:r w:rsidRPr="4E193667">
        <w:rPr>
          <w:rFonts w:eastAsia="Arial"/>
        </w:rPr>
        <w:t xml:space="preserve"> prethodnu godinu, ostvarili su </w:t>
      </w:r>
      <w:r w:rsidR="5C1A025B" w:rsidRPr="4E193667">
        <w:rPr>
          <w:rFonts w:eastAsia="Arial"/>
        </w:rPr>
        <w:t>oko</w:t>
      </w:r>
      <w:r w:rsidRPr="4E193667">
        <w:rPr>
          <w:rFonts w:eastAsia="Arial"/>
        </w:rPr>
        <w:t xml:space="preserve"> 44% ukupnih prihoda županije. Osim toga, poduzetnici prerađivačke industrije is</w:t>
      </w:r>
      <w:r w:rsidR="00C24719" w:rsidRPr="4E193667">
        <w:rPr>
          <w:rFonts w:eastAsia="Arial"/>
        </w:rPr>
        <w:t xml:space="preserve">tiču se i po broju zaposlenih, </w:t>
      </w:r>
      <w:r w:rsidR="4F1061AC" w:rsidRPr="4E193667">
        <w:rPr>
          <w:rFonts w:eastAsia="Arial"/>
        </w:rPr>
        <w:t>10.118</w:t>
      </w:r>
      <w:r w:rsidRPr="4E193667">
        <w:rPr>
          <w:rFonts w:eastAsia="Arial"/>
        </w:rPr>
        <w:t xml:space="preserve"> zaposlenih u 201</w:t>
      </w:r>
      <w:r w:rsidR="142E2D87" w:rsidRPr="4E193667">
        <w:rPr>
          <w:rFonts w:eastAsia="Arial"/>
        </w:rPr>
        <w:t>9</w:t>
      </w:r>
      <w:r w:rsidRPr="4E193667">
        <w:rPr>
          <w:rFonts w:eastAsia="Arial"/>
        </w:rPr>
        <w:t>. godini, što je 47% ukupno zaposlenih. Prosječna mjesečna neto plaća zaposlenih kod poduzetnika prerađivačke industrije iznosila je 5.</w:t>
      </w:r>
      <w:r w:rsidR="2538E7D7" w:rsidRPr="4E193667">
        <w:rPr>
          <w:rFonts w:eastAsia="Arial"/>
        </w:rPr>
        <w:t>610</w:t>
      </w:r>
      <w:r w:rsidRPr="4E193667">
        <w:rPr>
          <w:rFonts w:eastAsia="Arial"/>
        </w:rPr>
        <w:t xml:space="preserve"> kun</w:t>
      </w:r>
      <w:r w:rsidR="713EE1C7" w:rsidRPr="4E193667">
        <w:rPr>
          <w:rFonts w:eastAsia="Arial"/>
        </w:rPr>
        <w:t>a</w:t>
      </w:r>
      <w:r w:rsidRPr="4E193667">
        <w:rPr>
          <w:rFonts w:eastAsia="Arial"/>
        </w:rPr>
        <w:t xml:space="preserve"> u 201</w:t>
      </w:r>
      <w:r w:rsidR="06E3033D" w:rsidRPr="4E193667">
        <w:rPr>
          <w:rFonts w:eastAsia="Arial"/>
        </w:rPr>
        <w:t>9</w:t>
      </w:r>
      <w:r w:rsidRPr="4E193667">
        <w:rPr>
          <w:rFonts w:eastAsia="Arial"/>
        </w:rPr>
        <w:t>. godini, što je 9</w:t>
      </w:r>
      <w:r w:rsidR="5CFFCE61" w:rsidRPr="4E193667">
        <w:rPr>
          <w:rFonts w:eastAsia="Arial"/>
        </w:rPr>
        <w:t>,1</w:t>
      </w:r>
      <w:r w:rsidRPr="4E193667">
        <w:rPr>
          <w:rFonts w:eastAsia="Arial"/>
        </w:rPr>
        <w:t>% više od prosječne plaće zaposlenih na razini svih poduzetnika Krapinsko-zagorske županije i 5,</w:t>
      </w:r>
      <w:r w:rsidR="72832D7E" w:rsidRPr="4E193667">
        <w:rPr>
          <w:rFonts w:eastAsia="Arial"/>
        </w:rPr>
        <w:t>3</w:t>
      </w:r>
      <w:r w:rsidRPr="4E193667">
        <w:rPr>
          <w:rFonts w:eastAsia="Arial"/>
        </w:rPr>
        <w:t xml:space="preserve">% manje od prosjeka zaposlenih kod poduzetnika u djelatnosti prerađivačke industrije Republike </w:t>
      </w:r>
      <w:r w:rsidR="002E1535" w:rsidRPr="4E193667">
        <w:rPr>
          <w:rFonts w:eastAsia="Arial"/>
        </w:rPr>
        <w:t>Hrvatske</w:t>
      </w:r>
      <w:r w:rsidRPr="4E193667">
        <w:rPr>
          <w:rFonts w:eastAsia="Arial"/>
        </w:rPr>
        <w:t>.</w:t>
      </w:r>
    </w:p>
    <w:p w14:paraId="4B805B5D" w14:textId="17AD577D" w:rsidR="008878A0" w:rsidRDefault="008878A0" w:rsidP="4E193667">
      <w:pPr>
        <w:rPr>
          <w:rFonts w:eastAsia="Arial"/>
        </w:rPr>
      </w:pPr>
      <w:r w:rsidRPr="4E193667">
        <w:rPr>
          <w:rFonts w:eastAsia="Arial"/>
        </w:rPr>
        <w:t>Nakon prerađivačke industrije, sljedeća po važnosti temeljem udjela u prihodima je G – trgovina na veliko i malo. Poduzetnici u ovoj djelatnosti su u 201</w:t>
      </w:r>
      <w:r w:rsidR="14ED5D96" w:rsidRPr="4E193667">
        <w:rPr>
          <w:rFonts w:eastAsia="Arial"/>
        </w:rPr>
        <w:t>9</w:t>
      </w:r>
      <w:r w:rsidRPr="4E193667">
        <w:rPr>
          <w:rFonts w:eastAsia="Arial"/>
        </w:rPr>
        <w:t>. godini ostvarili 3,</w:t>
      </w:r>
      <w:r w:rsidR="4014178E" w:rsidRPr="4E193667">
        <w:rPr>
          <w:rFonts w:eastAsia="Arial"/>
        </w:rPr>
        <w:t>4</w:t>
      </w:r>
      <w:r w:rsidRPr="4E193667">
        <w:rPr>
          <w:rFonts w:eastAsia="Arial"/>
        </w:rPr>
        <w:t xml:space="preserve"> milijarde</w:t>
      </w:r>
      <w:r w:rsidR="760D99B3" w:rsidRPr="4E193667">
        <w:rPr>
          <w:rFonts w:eastAsia="Arial"/>
        </w:rPr>
        <w:t xml:space="preserve"> kuna</w:t>
      </w:r>
      <w:r w:rsidRPr="4E193667">
        <w:rPr>
          <w:rFonts w:eastAsia="Arial"/>
        </w:rPr>
        <w:t xml:space="preserve"> prihoda, odnosno više od 25% ukupnih prihoda županije</w:t>
      </w:r>
      <w:r w:rsidR="00CD1208" w:rsidRPr="4E193667">
        <w:rPr>
          <w:rFonts w:eastAsia="Arial"/>
        </w:rPr>
        <w:t>. Z</w:t>
      </w:r>
      <w:r w:rsidRPr="4E193667">
        <w:rPr>
          <w:rFonts w:eastAsia="Arial"/>
        </w:rPr>
        <w:t xml:space="preserve">apošljavali su gotovo 17% svih zaposlenih. </w:t>
      </w:r>
    </w:p>
    <w:p w14:paraId="163DE0DF" w14:textId="40B8DFA9" w:rsidR="008878A0" w:rsidRDefault="008878A0" w:rsidP="4E193667">
      <w:pPr>
        <w:rPr>
          <w:rFonts w:eastAsia="Arial"/>
        </w:rPr>
      </w:pPr>
      <w:r w:rsidRPr="4E193667">
        <w:rPr>
          <w:rFonts w:eastAsia="Arial"/>
        </w:rPr>
        <w:t xml:space="preserve">Temeljem udjela u prihodima, i broju zaposlenih značajnije se još izdvajaju djelatnosti </w:t>
      </w:r>
      <w:r w:rsidR="0AB8CA50" w:rsidRPr="4E193667">
        <w:rPr>
          <w:rFonts w:eastAsia="Arial"/>
        </w:rPr>
        <w:t>T – građevinarstvo</w:t>
      </w:r>
      <w:r w:rsidRPr="4E193667">
        <w:rPr>
          <w:rFonts w:eastAsia="Arial"/>
        </w:rPr>
        <w:t xml:space="preserve"> te </w:t>
      </w:r>
      <w:r w:rsidR="24954ACE" w:rsidRPr="4E193667">
        <w:rPr>
          <w:rFonts w:eastAsia="Arial"/>
        </w:rPr>
        <w:t>H – prijevoz i skladištenje</w:t>
      </w:r>
      <w:r w:rsidR="20D69A95" w:rsidRPr="4E193667">
        <w:rPr>
          <w:rFonts w:eastAsia="Arial"/>
        </w:rPr>
        <w:t>,</w:t>
      </w:r>
      <w:r w:rsidR="24954ACE" w:rsidRPr="4E193667">
        <w:rPr>
          <w:rFonts w:eastAsia="Arial"/>
        </w:rPr>
        <w:t xml:space="preserve"> </w:t>
      </w:r>
      <w:r w:rsidRPr="4E193667">
        <w:rPr>
          <w:rFonts w:eastAsia="Arial"/>
        </w:rPr>
        <w:t xml:space="preserve">s  </w:t>
      </w:r>
      <w:r w:rsidR="72BF6130" w:rsidRPr="4E193667">
        <w:rPr>
          <w:rFonts w:eastAsia="Arial"/>
        </w:rPr>
        <w:t xml:space="preserve">9% i </w:t>
      </w:r>
      <w:r w:rsidRPr="4E193667">
        <w:rPr>
          <w:rFonts w:eastAsia="Arial"/>
        </w:rPr>
        <w:t xml:space="preserve">8% udjela u ukupnim prihodima te u ukupnom broju zaposlenih s </w:t>
      </w:r>
      <w:r w:rsidR="2AFDAFFE" w:rsidRPr="4E193667">
        <w:rPr>
          <w:rFonts w:eastAsia="Arial"/>
        </w:rPr>
        <w:t>10</w:t>
      </w:r>
      <w:r w:rsidRPr="4E193667">
        <w:rPr>
          <w:rFonts w:eastAsia="Arial"/>
        </w:rPr>
        <w:t xml:space="preserve">% </w:t>
      </w:r>
      <w:r w:rsidR="605D0D98" w:rsidRPr="4E193667">
        <w:rPr>
          <w:rFonts w:eastAsia="Arial"/>
        </w:rPr>
        <w:t xml:space="preserve">i </w:t>
      </w:r>
      <w:r w:rsidR="16815EBF" w:rsidRPr="4E193667">
        <w:rPr>
          <w:rFonts w:eastAsia="Arial"/>
        </w:rPr>
        <w:t>7</w:t>
      </w:r>
      <w:r w:rsidRPr="4E193667">
        <w:rPr>
          <w:rFonts w:eastAsia="Arial"/>
        </w:rPr>
        <w:t xml:space="preserve">%.  </w:t>
      </w:r>
    </w:p>
    <w:p w14:paraId="76DF6705" w14:textId="77777777" w:rsidR="00660662" w:rsidRDefault="008878A0" w:rsidP="4E193667">
      <w:pPr>
        <w:rPr>
          <w:rFonts w:eastAsia="Arial"/>
        </w:rPr>
      </w:pPr>
      <w:r w:rsidRPr="4E193667">
        <w:rPr>
          <w:rFonts w:eastAsia="Arial"/>
        </w:rPr>
        <w:lastRenderedPageBreak/>
        <w:t>Analiza brojnosti poduzetnika</w:t>
      </w:r>
      <w:r w:rsidRPr="4E193667">
        <w:t xml:space="preserve"> </w:t>
      </w:r>
      <w:r w:rsidRPr="4E193667">
        <w:rPr>
          <w:rFonts w:eastAsia="Arial"/>
        </w:rPr>
        <w:t>Krapinsko-zagorske</w:t>
      </w:r>
      <w:r w:rsidRPr="4E193667">
        <w:t xml:space="preserve"> </w:t>
      </w:r>
      <w:r w:rsidRPr="4E193667">
        <w:rPr>
          <w:rFonts w:eastAsia="Arial"/>
        </w:rPr>
        <w:t>županije</w:t>
      </w:r>
      <w:r w:rsidRPr="4E193667">
        <w:t xml:space="preserve"> </w:t>
      </w:r>
      <w:r w:rsidRPr="4E193667">
        <w:rPr>
          <w:rFonts w:eastAsia="Arial"/>
        </w:rPr>
        <w:t>u</w:t>
      </w:r>
      <w:r w:rsidRPr="4E193667">
        <w:t xml:space="preserve"> </w:t>
      </w:r>
      <w:r w:rsidRPr="4E193667">
        <w:rPr>
          <w:rFonts w:eastAsia="Arial"/>
        </w:rPr>
        <w:t>201</w:t>
      </w:r>
      <w:r w:rsidR="357C3F75" w:rsidRPr="4E193667">
        <w:rPr>
          <w:rFonts w:eastAsia="Arial"/>
        </w:rPr>
        <w:t>9</w:t>
      </w:r>
      <w:r w:rsidRPr="4E193667">
        <w:rPr>
          <w:rFonts w:eastAsia="Arial"/>
        </w:rPr>
        <w:t>.</w:t>
      </w:r>
      <w:r w:rsidRPr="4E193667">
        <w:t xml:space="preserve"> </w:t>
      </w:r>
      <w:r w:rsidRPr="4E193667">
        <w:rPr>
          <w:rFonts w:eastAsia="Arial"/>
        </w:rPr>
        <w:t>godini</w:t>
      </w:r>
      <w:r w:rsidRPr="4E193667">
        <w:t xml:space="preserve"> </w:t>
      </w:r>
      <w:r w:rsidRPr="4E193667">
        <w:rPr>
          <w:rFonts w:eastAsia="Arial"/>
        </w:rPr>
        <w:t>prema</w:t>
      </w:r>
      <w:r w:rsidRPr="4E193667">
        <w:t xml:space="preserve"> </w:t>
      </w:r>
      <w:r w:rsidRPr="4E193667">
        <w:rPr>
          <w:rFonts w:eastAsia="Arial"/>
        </w:rPr>
        <w:t>područjima</w:t>
      </w:r>
      <w:r w:rsidRPr="4E193667">
        <w:t xml:space="preserve"> </w:t>
      </w:r>
      <w:r w:rsidRPr="4E193667">
        <w:rPr>
          <w:rFonts w:eastAsia="Arial"/>
        </w:rPr>
        <w:t>djelatnosti</w:t>
      </w:r>
      <w:r w:rsidRPr="4E193667">
        <w:t xml:space="preserve"> </w:t>
      </w:r>
      <w:r w:rsidRPr="4E193667">
        <w:rPr>
          <w:rFonts w:eastAsia="Arial"/>
        </w:rPr>
        <w:t>pokazala</w:t>
      </w:r>
      <w:r w:rsidRPr="4E193667">
        <w:t xml:space="preserve"> </w:t>
      </w:r>
      <w:r w:rsidRPr="4E193667">
        <w:rPr>
          <w:rFonts w:eastAsia="Arial"/>
        </w:rPr>
        <w:t>je</w:t>
      </w:r>
      <w:r w:rsidRPr="4E193667">
        <w:t xml:space="preserve"> </w:t>
      </w:r>
      <w:r w:rsidRPr="4E193667">
        <w:rPr>
          <w:rFonts w:eastAsia="Arial"/>
        </w:rPr>
        <w:t>kako</w:t>
      </w:r>
      <w:r w:rsidRPr="4E193667">
        <w:t xml:space="preserve"> </w:t>
      </w:r>
      <w:r w:rsidRPr="4E193667">
        <w:rPr>
          <w:rFonts w:eastAsia="Arial"/>
        </w:rPr>
        <w:t>su</w:t>
      </w:r>
      <w:r w:rsidRPr="4E193667">
        <w:t xml:space="preserve"> </w:t>
      </w:r>
      <w:r w:rsidRPr="4E193667">
        <w:rPr>
          <w:rFonts w:eastAsia="Arial"/>
        </w:rPr>
        <w:t>najbrojniji</w:t>
      </w:r>
      <w:r w:rsidRPr="4E193667">
        <w:t xml:space="preserve"> </w:t>
      </w:r>
      <w:r w:rsidRPr="4E193667">
        <w:rPr>
          <w:rFonts w:eastAsia="Arial"/>
        </w:rPr>
        <w:t>poduzetnici</w:t>
      </w:r>
      <w:r w:rsidRPr="4E193667">
        <w:t xml:space="preserve"> u djelatnosti </w:t>
      </w:r>
      <w:r w:rsidRPr="4E193667">
        <w:rPr>
          <w:rFonts w:eastAsia="Arial"/>
        </w:rPr>
        <w:t>G</w:t>
      </w:r>
      <w:r w:rsidRPr="4E193667">
        <w:t xml:space="preserve"> </w:t>
      </w:r>
      <w:r w:rsidRPr="4E193667">
        <w:rPr>
          <w:rFonts w:eastAsia="Arial"/>
        </w:rPr>
        <w:t>-</w:t>
      </w:r>
      <w:r w:rsidRPr="4E193667">
        <w:t xml:space="preserve"> </w:t>
      </w:r>
      <w:r w:rsidRPr="4E193667">
        <w:rPr>
          <w:rFonts w:eastAsia="Arial"/>
        </w:rPr>
        <w:t>Trgovina</w:t>
      </w:r>
      <w:r w:rsidRPr="4E193667">
        <w:t xml:space="preserve"> </w:t>
      </w:r>
      <w:r w:rsidRPr="4E193667">
        <w:rPr>
          <w:rFonts w:eastAsia="Arial"/>
        </w:rPr>
        <w:t>na</w:t>
      </w:r>
      <w:r w:rsidRPr="4E193667">
        <w:t xml:space="preserve"> </w:t>
      </w:r>
      <w:r w:rsidRPr="4E193667">
        <w:rPr>
          <w:rFonts w:eastAsia="Arial"/>
        </w:rPr>
        <w:t>veliko</w:t>
      </w:r>
      <w:r w:rsidRPr="4E193667">
        <w:t xml:space="preserve"> </w:t>
      </w:r>
      <w:r w:rsidRPr="4E193667">
        <w:rPr>
          <w:rFonts w:eastAsia="Arial"/>
        </w:rPr>
        <w:t>i</w:t>
      </w:r>
      <w:r w:rsidRPr="4E193667">
        <w:t xml:space="preserve"> </w:t>
      </w:r>
      <w:r w:rsidRPr="4E193667">
        <w:rPr>
          <w:rFonts w:eastAsia="Arial"/>
        </w:rPr>
        <w:t>malo</w:t>
      </w:r>
      <w:r w:rsidRPr="4E193667">
        <w:t xml:space="preserve"> </w:t>
      </w:r>
      <w:r w:rsidRPr="4E193667">
        <w:rPr>
          <w:rFonts w:eastAsia="Arial"/>
        </w:rPr>
        <w:t>(4</w:t>
      </w:r>
      <w:r w:rsidR="1AC557E4" w:rsidRPr="4E193667">
        <w:rPr>
          <w:rFonts w:eastAsia="Arial"/>
        </w:rPr>
        <w:t>80</w:t>
      </w:r>
      <w:r w:rsidRPr="4E193667">
        <w:rPr>
          <w:rFonts w:eastAsia="Arial"/>
        </w:rPr>
        <w:t xml:space="preserve"> poduzetnika),</w:t>
      </w:r>
      <w:r w:rsidRPr="4E193667">
        <w:t xml:space="preserve"> </w:t>
      </w:r>
      <w:r w:rsidRPr="4E193667">
        <w:rPr>
          <w:rFonts w:eastAsia="Arial"/>
        </w:rPr>
        <w:t>C</w:t>
      </w:r>
      <w:r w:rsidRPr="4E193667">
        <w:t xml:space="preserve"> </w:t>
      </w:r>
      <w:r w:rsidRPr="4E193667">
        <w:rPr>
          <w:rFonts w:eastAsia="Arial"/>
        </w:rPr>
        <w:t>–</w:t>
      </w:r>
      <w:r w:rsidRPr="4E193667">
        <w:t xml:space="preserve"> </w:t>
      </w:r>
      <w:r w:rsidRPr="4E193667">
        <w:rPr>
          <w:rFonts w:eastAsia="Arial"/>
        </w:rPr>
        <w:t>Prerađivačka</w:t>
      </w:r>
      <w:r w:rsidRPr="4E193667">
        <w:t xml:space="preserve"> </w:t>
      </w:r>
      <w:r w:rsidRPr="4E193667">
        <w:rPr>
          <w:rFonts w:eastAsia="Arial"/>
        </w:rPr>
        <w:t>industrija</w:t>
      </w:r>
      <w:r w:rsidRPr="4E193667">
        <w:t xml:space="preserve"> </w:t>
      </w:r>
      <w:r w:rsidRPr="4E193667">
        <w:rPr>
          <w:rFonts w:eastAsia="Arial"/>
        </w:rPr>
        <w:t>(4</w:t>
      </w:r>
      <w:r w:rsidR="427082CA" w:rsidRPr="4E193667">
        <w:rPr>
          <w:rFonts w:eastAsia="Arial"/>
        </w:rPr>
        <w:t>60</w:t>
      </w:r>
      <w:r w:rsidRPr="4E193667">
        <w:rPr>
          <w:rFonts w:eastAsia="Arial"/>
        </w:rPr>
        <w:t xml:space="preserve"> poduzetnika),</w:t>
      </w:r>
      <w:r w:rsidRPr="4E193667">
        <w:t xml:space="preserve"> </w:t>
      </w:r>
      <w:r w:rsidRPr="4E193667">
        <w:rPr>
          <w:rFonts w:eastAsia="Arial"/>
        </w:rPr>
        <w:t>F</w:t>
      </w:r>
      <w:r w:rsidR="008829FF" w:rsidRPr="4E193667">
        <w:rPr>
          <w:rFonts w:eastAsia="Arial"/>
        </w:rPr>
        <w:t xml:space="preserve"> </w:t>
      </w:r>
      <w:r w:rsidRPr="4E193667">
        <w:rPr>
          <w:rFonts w:eastAsia="Arial"/>
        </w:rPr>
        <w:t>-</w:t>
      </w:r>
      <w:r w:rsidRPr="4E193667">
        <w:t xml:space="preserve"> </w:t>
      </w:r>
      <w:r w:rsidRPr="4E193667">
        <w:rPr>
          <w:rFonts w:eastAsia="Arial"/>
        </w:rPr>
        <w:t>Građevinarstvo</w:t>
      </w:r>
      <w:r w:rsidRPr="4E193667">
        <w:t xml:space="preserve"> </w:t>
      </w:r>
      <w:r w:rsidRPr="4E193667">
        <w:rPr>
          <w:rFonts w:eastAsia="Arial"/>
        </w:rPr>
        <w:t>(4</w:t>
      </w:r>
      <w:r w:rsidR="3A04109F" w:rsidRPr="4E193667">
        <w:rPr>
          <w:rFonts w:eastAsia="Arial"/>
        </w:rPr>
        <w:t>43</w:t>
      </w:r>
      <w:r w:rsidRPr="4E193667">
        <w:rPr>
          <w:rFonts w:eastAsia="Arial"/>
        </w:rPr>
        <w:t xml:space="preserve"> poduzetnika)</w:t>
      </w:r>
      <w:r w:rsidRPr="4E193667">
        <w:t xml:space="preserve"> </w:t>
      </w:r>
      <w:r w:rsidRPr="4E193667">
        <w:rPr>
          <w:rFonts w:eastAsia="Arial"/>
        </w:rPr>
        <w:t>i</w:t>
      </w:r>
      <w:r w:rsidRPr="4E193667">
        <w:t xml:space="preserve"> </w:t>
      </w:r>
      <w:r w:rsidRPr="4E193667">
        <w:rPr>
          <w:rFonts w:eastAsia="Arial"/>
        </w:rPr>
        <w:t>M</w:t>
      </w:r>
      <w:r w:rsidRPr="4E193667">
        <w:t xml:space="preserve"> </w:t>
      </w:r>
      <w:r w:rsidRPr="4E193667">
        <w:rPr>
          <w:rFonts w:eastAsia="Arial"/>
        </w:rPr>
        <w:t>-</w:t>
      </w:r>
      <w:r w:rsidRPr="4E193667">
        <w:t xml:space="preserve"> </w:t>
      </w:r>
      <w:r w:rsidRPr="4E193667">
        <w:rPr>
          <w:rFonts w:eastAsia="Arial"/>
        </w:rPr>
        <w:t>Stručne,</w:t>
      </w:r>
      <w:r w:rsidRPr="4E193667">
        <w:t xml:space="preserve"> </w:t>
      </w:r>
      <w:r w:rsidRPr="4E193667">
        <w:rPr>
          <w:rFonts w:eastAsia="Arial"/>
        </w:rPr>
        <w:t>znanstvene</w:t>
      </w:r>
      <w:r w:rsidRPr="4E193667">
        <w:t xml:space="preserve"> </w:t>
      </w:r>
      <w:r w:rsidRPr="4E193667">
        <w:rPr>
          <w:rFonts w:eastAsia="Arial"/>
        </w:rPr>
        <w:t>i</w:t>
      </w:r>
      <w:r w:rsidRPr="4E193667">
        <w:t xml:space="preserve"> </w:t>
      </w:r>
      <w:r w:rsidRPr="4E193667">
        <w:rPr>
          <w:rFonts w:eastAsia="Arial"/>
        </w:rPr>
        <w:t>tehničke</w:t>
      </w:r>
      <w:r w:rsidRPr="4E193667">
        <w:t xml:space="preserve"> </w:t>
      </w:r>
      <w:r w:rsidRPr="4E193667">
        <w:rPr>
          <w:rFonts w:eastAsia="Arial"/>
        </w:rPr>
        <w:t>djelatnosti</w:t>
      </w:r>
      <w:r w:rsidRPr="4E193667">
        <w:t xml:space="preserve"> </w:t>
      </w:r>
      <w:r w:rsidRPr="4E193667">
        <w:rPr>
          <w:rFonts w:eastAsia="Arial"/>
        </w:rPr>
        <w:t>(2</w:t>
      </w:r>
      <w:r w:rsidR="1E0CFC72" w:rsidRPr="4E193667">
        <w:rPr>
          <w:rFonts w:eastAsia="Arial"/>
        </w:rPr>
        <w:t>5</w:t>
      </w:r>
      <w:r w:rsidRPr="4E193667">
        <w:rPr>
          <w:rFonts w:eastAsia="Arial"/>
        </w:rPr>
        <w:t>7 poduzetnika).</w:t>
      </w:r>
    </w:p>
    <w:p w14:paraId="15FF5C27" w14:textId="316B7279" w:rsidR="00C750E3" w:rsidRDefault="00C750E3" w:rsidP="4E193667">
      <w:pPr>
        <w:rPr>
          <w:rFonts w:eastAsia="Arial"/>
        </w:rPr>
      </w:pPr>
      <w:bookmarkStart w:id="151" w:name="_Hlk85024351"/>
      <w:r>
        <w:rPr>
          <w:rFonts w:eastAsia="Arial"/>
        </w:rPr>
        <w:t xml:space="preserve">U </w:t>
      </w:r>
      <w:r w:rsidR="005D1F8E">
        <w:rPr>
          <w:rFonts w:eastAsia="Arial"/>
        </w:rPr>
        <w:t>K</w:t>
      </w:r>
      <w:r>
        <w:rPr>
          <w:rFonts w:eastAsia="Arial"/>
        </w:rPr>
        <w:t xml:space="preserve">rapinsko-zagorskoj županiji najveće tri tvrtke po ukupnom prihodu i položaju među 1000 najvećih su </w:t>
      </w:r>
      <w:r w:rsidR="005D1F8E">
        <w:rPr>
          <w:rFonts w:eastAsia="Arial"/>
        </w:rPr>
        <w:t>Vetropack Straža d.d. (109.), Omco Croatia d.o.o. (155.) i Jedinstvo Krapina d.o.o. (201.)</w:t>
      </w:r>
      <w:r w:rsidR="005D1F8E">
        <w:rPr>
          <w:rStyle w:val="Referencafusnote"/>
          <w:rFonts w:eastAsia="Arial"/>
        </w:rPr>
        <w:footnoteReference w:id="68"/>
      </w:r>
    </w:p>
    <w:bookmarkEnd w:id="151"/>
    <w:p w14:paraId="2170CC4E" w14:textId="77777777" w:rsidR="00C750E3" w:rsidRDefault="00C750E3" w:rsidP="4E193667">
      <w:pPr>
        <w:rPr>
          <w:rFonts w:eastAsia="Arial"/>
        </w:rPr>
      </w:pPr>
    </w:p>
    <w:p w14:paraId="0148C5B3" w14:textId="007EF45A" w:rsidR="00C750E3" w:rsidRPr="0053248A" w:rsidRDefault="00C750E3" w:rsidP="4E193667">
      <w:pPr>
        <w:rPr>
          <w:rFonts w:eastAsia="Arial"/>
        </w:rPr>
        <w:sectPr w:rsidR="00C750E3" w:rsidRPr="0053248A" w:rsidSect="00BD4F6D">
          <w:pgSz w:w="11900" w:h="16840"/>
          <w:pgMar w:top="1340" w:right="1300" w:bottom="280" w:left="1300" w:header="0" w:footer="1006" w:gutter="0"/>
          <w:cols w:space="720"/>
        </w:sectPr>
      </w:pPr>
    </w:p>
    <w:p w14:paraId="0D49ED08" w14:textId="77777777" w:rsidR="008878A0" w:rsidRDefault="008878A0" w:rsidP="00941871">
      <w:pPr>
        <w:spacing w:after="0"/>
        <w:rPr>
          <w:rFonts w:eastAsia="Arial Narrow"/>
        </w:rPr>
        <w:sectPr w:rsidR="008878A0" w:rsidSect="00BD4F6D">
          <w:footerReference w:type="default" r:id="rId87"/>
          <w:type w:val="continuous"/>
          <w:pgSz w:w="16840" w:h="11900" w:orient="landscape"/>
          <w:pgMar w:top="1298" w:right="1338" w:bottom="1298" w:left="278" w:header="0" w:footer="1006" w:gutter="0"/>
          <w:cols w:space="720"/>
        </w:sectPr>
      </w:pPr>
    </w:p>
    <w:p w14:paraId="3023FFDB" w14:textId="3AD1E5A9" w:rsidR="00660662" w:rsidRDefault="00F97618" w:rsidP="003E3F3C">
      <w:pPr>
        <w:pStyle w:val="Opisslike"/>
      </w:pPr>
      <w:r>
        <w:t xml:space="preserve">              </w:t>
      </w:r>
      <w:r w:rsidR="008878A0">
        <w:t xml:space="preserve">Tablica </w:t>
      </w:r>
      <w:r w:rsidR="006207AF">
        <w:rPr>
          <w:noProof/>
        </w:rPr>
        <w:t>8</w:t>
      </w:r>
      <w:r w:rsidR="000D5E3F">
        <w:rPr>
          <w:noProof/>
        </w:rPr>
        <w:t>4</w:t>
      </w:r>
      <w:r w:rsidR="00110550">
        <w:t xml:space="preserve">. </w:t>
      </w:r>
      <w:r w:rsidR="008878A0">
        <w:t xml:space="preserve">Prikaz prihoda, broja zaposlenih, dobitka/gubitka za poduzetnike </w:t>
      </w:r>
      <w:r w:rsidR="00C410EF">
        <w:t xml:space="preserve"> Krapinsko-zagorske županije </w:t>
      </w:r>
      <w:r w:rsidR="008878A0">
        <w:t>prema djelatnostima, 2016.-201</w:t>
      </w:r>
      <w:r w:rsidR="36C00391">
        <w:t>9</w:t>
      </w:r>
      <w:r w:rsidR="008878A0">
        <w:t>.</w:t>
      </w:r>
      <w:r w:rsidR="004A3ED6">
        <w:t xml:space="preserve"> godina (iznosi u tisućama kuna)</w:t>
      </w:r>
    </w:p>
    <w:tbl>
      <w:tblPr>
        <w:tblStyle w:val="Reetkatablice"/>
        <w:tblW w:w="0" w:type="auto"/>
        <w:tblInd w:w="0" w:type="dxa"/>
        <w:tblLayout w:type="fixed"/>
        <w:tblLook w:val="06A0" w:firstRow="1" w:lastRow="0" w:firstColumn="1" w:lastColumn="0" w:noHBand="1" w:noVBand="1"/>
      </w:tblPr>
      <w:tblGrid>
        <w:gridCol w:w="306"/>
        <w:gridCol w:w="2550"/>
        <w:gridCol w:w="1255"/>
        <w:gridCol w:w="809"/>
        <w:gridCol w:w="1035"/>
        <w:gridCol w:w="1133"/>
        <w:gridCol w:w="883"/>
        <w:gridCol w:w="1035"/>
        <w:gridCol w:w="1200"/>
        <w:gridCol w:w="864"/>
        <w:gridCol w:w="1038"/>
        <w:gridCol w:w="1217"/>
        <w:gridCol w:w="863"/>
        <w:gridCol w:w="1020"/>
        <w:gridCol w:w="8"/>
      </w:tblGrid>
      <w:tr w:rsidR="4E193667" w14:paraId="4A7A3812" w14:textId="77777777" w:rsidTr="005D37C0">
        <w:trPr>
          <w:trHeight w:val="371"/>
        </w:trPr>
        <w:tc>
          <w:tcPr>
            <w:tcW w:w="2856" w:type="dxa"/>
            <w:gridSpan w:val="2"/>
            <w:vMerge w:val="restart"/>
            <w:tcBorders>
              <w:top w:val="single" w:sz="4" w:space="0" w:color="000000"/>
              <w:left w:val="nil"/>
              <w:bottom w:val="single" w:sz="4" w:space="0" w:color="000000"/>
              <w:right w:val="single" w:sz="8" w:space="0" w:color="FFFFFF" w:themeColor="background1"/>
            </w:tcBorders>
            <w:shd w:val="clear" w:color="auto" w:fill="D2232A" w:themeFill="accent1"/>
            <w:vAlign w:val="center"/>
          </w:tcPr>
          <w:p w14:paraId="7D39E5B9" w14:textId="50FD509F"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Područje djelatnosti</w:t>
            </w:r>
          </w:p>
        </w:tc>
        <w:tc>
          <w:tcPr>
            <w:tcW w:w="3099" w:type="dxa"/>
            <w:gridSpan w:val="3"/>
            <w:tcBorders>
              <w:top w:val="single" w:sz="4" w:space="0" w:color="000000"/>
              <w:left w:val="nil"/>
              <w:bottom w:val="single" w:sz="8" w:space="0" w:color="FFFFFF" w:themeColor="background1"/>
              <w:right w:val="single" w:sz="8" w:space="0" w:color="FFFFFF" w:themeColor="background1"/>
            </w:tcBorders>
            <w:shd w:val="clear" w:color="auto" w:fill="D2232A" w:themeFill="accent1"/>
            <w:vAlign w:val="center"/>
          </w:tcPr>
          <w:p w14:paraId="40989F94" w14:textId="7E984CCE"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2016. </w:t>
            </w:r>
          </w:p>
        </w:tc>
        <w:tc>
          <w:tcPr>
            <w:tcW w:w="3051" w:type="dxa"/>
            <w:gridSpan w:val="3"/>
            <w:tcBorders>
              <w:top w:val="single" w:sz="4" w:space="0" w:color="000000"/>
              <w:left w:val="nil"/>
              <w:bottom w:val="single" w:sz="8" w:space="0" w:color="FFFFFF" w:themeColor="background1"/>
              <w:right w:val="single" w:sz="8" w:space="0" w:color="FFFFFF" w:themeColor="background1"/>
            </w:tcBorders>
            <w:shd w:val="clear" w:color="auto" w:fill="D2232A" w:themeFill="accent1"/>
            <w:vAlign w:val="center"/>
          </w:tcPr>
          <w:p w14:paraId="7B77BCB7" w14:textId="47260DA4"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2017. </w:t>
            </w:r>
          </w:p>
        </w:tc>
        <w:tc>
          <w:tcPr>
            <w:tcW w:w="3102" w:type="dxa"/>
            <w:gridSpan w:val="3"/>
            <w:tcBorders>
              <w:top w:val="single" w:sz="4" w:space="0" w:color="000000"/>
              <w:left w:val="nil"/>
              <w:bottom w:val="single" w:sz="8" w:space="0" w:color="FFFFFF" w:themeColor="background1"/>
              <w:right w:val="single" w:sz="4" w:space="0" w:color="000000"/>
            </w:tcBorders>
            <w:shd w:val="clear" w:color="auto" w:fill="D2232A" w:themeFill="accent1"/>
            <w:vAlign w:val="center"/>
          </w:tcPr>
          <w:p w14:paraId="1331CA22" w14:textId="3079BD23"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2018. </w:t>
            </w:r>
          </w:p>
        </w:tc>
        <w:tc>
          <w:tcPr>
            <w:tcW w:w="3108" w:type="dxa"/>
            <w:gridSpan w:val="4"/>
            <w:tcBorders>
              <w:top w:val="single" w:sz="4" w:space="0" w:color="000000"/>
              <w:left w:val="single" w:sz="8" w:space="0" w:color="FFFFFF" w:themeColor="background1"/>
              <w:bottom w:val="single" w:sz="8" w:space="0" w:color="FFFFFF" w:themeColor="background1"/>
              <w:right w:val="single" w:sz="4" w:space="0" w:color="000000"/>
            </w:tcBorders>
            <w:shd w:val="clear" w:color="auto" w:fill="D2232A" w:themeFill="accent1"/>
            <w:vAlign w:val="center"/>
          </w:tcPr>
          <w:p w14:paraId="25052442" w14:textId="521ECD5F"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2019.  </w:t>
            </w:r>
          </w:p>
        </w:tc>
      </w:tr>
      <w:tr w:rsidR="4E193667" w14:paraId="6B1206BC" w14:textId="77777777" w:rsidTr="005D37C0">
        <w:trPr>
          <w:gridAfter w:val="1"/>
          <w:wAfter w:w="8" w:type="dxa"/>
          <w:trHeight w:val="822"/>
        </w:trPr>
        <w:tc>
          <w:tcPr>
            <w:tcW w:w="2856" w:type="dxa"/>
            <w:gridSpan w:val="2"/>
            <w:vMerge/>
            <w:tcBorders>
              <w:left w:val="nil"/>
              <w:right w:val="single" w:sz="0" w:space="0" w:color="FFFFFF" w:themeColor="background1"/>
            </w:tcBorders>
            <w:vAlign w:val="center"/>
          </w:tcPr>
          <w:p w14:paraId="0AD8D341" w14:textId="77777777" w:rsidR="0006033B" w:rsidRPr="000F0FF0" w:rsidRDefault="0006033B">
            <w:pPr>
              <w:rPr>
                <w:rFonts w:cstheme="minorHAnsi"/>
                <w:color w:val="FFFFFF" w:themeColor="background1"/>
                <w:szCs w:val="18"/>
                <w:lang w:eastAsia="hr-HR"/>
              </w:rPr>
            </w:pPr>
          </w:p>
        </w:tc>
        <w:tc>
          <w:tcPr>
            <w:tcW w:w="1255" w:type="dxa"/>
            <w:vMerge w:val="restart"/>
            <w:tcBorders>
              <w:top w:val="single" w:sz="8" w:space="0" w:color="FFFFFF" w:themeColor="background1"/>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464C631B" w14:textId="39E1F213"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Prihodi </w:t>
            </w:r>
          </w:p>
        </w:tc>
        <w:tc>
          <w:tcPr>
            <w:tcW w:w="809" w:type="dxa"/>
            <w:vMerge w:val="restart"/>
            <w:tcBorders>
              <w:top w:val="nil"/>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048EA4E0" w14:textId="5275896C"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Br. zaposlenih </w:t>
            </w:r>
          </w:p>
        </w:tc>
        <w:tc>
          <w:tcPr>
            <w:tcW w:w="1035" w:type="dxa"/>
            <w:tcBorders>
              <w:top w:val="nil"/>
              <w:left w:val="single" w:sz="8" w:space="0" w:color="FFFFFF" w:themeColor="background1"/>
              <w:bottom w:val="nil"/>
              <w:right w:val="single" w:sz="8" w:space="0" w:color="FFFFFF" w:themeColor="background1"/>
            </w:tcBorders>
            <w:shd w:val="clear" w:color="auto" w:fill="D2232A" w:themeFill="accent1"/>
            <w:vAlign w:val="center"/>
          </w:tcPr>
          <w:p w14:paraId="323219AE" w14:textId="557AD3C5"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Dobitak/ </w:t>
            </w:r>
            <w:r w:rsidR="000F0FF0">
              <w:rPr>
                <w:rFonts w:cstheme="minorHAnsi"/>
                <w:color w:val="FFFFFF" w:themeColor="background1"/>
                <w:szCs w:val="18"/>
                <w:lang w:eastAsia="hr-HR"/>
              </w:rPr>
              <w:t>gubitak</w:t>
            </w:r>
          </w:p>
        </w:tc>
        <w:tc>
          <w:tcPr>
            <w:tcW w:w="1133" w:type="dxa"/>
            <w:vMerge w:val="restart"/>
            <w:tcBorders>
              <w:top w:val="single" w:sz="8" w:space="0" w:color="FFFFFF" w:themeColor="background1"/>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6A0EE5F4" w14:textId="37C589C7"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Prihodi </w:t>
            </w:r>
          </w:p>
        </w:tc>
        <w:tc>
          <w:tcPr>
            <w:tcW w:w="883" w:type="dxa"/>
            <w:vMerge w:val="restart"/>
            <w:tcBorders>
              <w:top w:val="nil"/>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0D4B2875" w14:textId="138766A0"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Br. zaposlenih </w:t>
            </w:r>
          </w:p>
        </w:tc>
        <w:tc>
          <w:tcPr>
            <w:tcW w:w="1035" w:type="dxa"/>
            <w:tcBorders>
              <w:top w:val="nil"/>
              <w:left w:val="single" w:sz="8" w:space="0" w:color="FFFFFF" w:themeColor="background1"/>
              <w:bottom w:val="nil"/>
              <w:right w:val="single" w:sz="8" w:space="0" w:color="FFFFFF" w:themeColor="background1"/>
            </w:tcBorders>
            <w:shd w:val="clear" w:color="auto" w:fill="D2232A" w:themeFill="accent1"/>
            <w:vAlign w:val="center"/>
          </w:tcPr>
          <w:p w14:paraId="2FDA6E06" w14:textId="2A6C90BE"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Dobitak/ </w:t>
            </w:r>
            <w:r w:rsidR="000F0FF0">
              <w:rPr>
                <w:rFonts w:cstheme="minorHAnsi"/>
                <w:color w:val="FFFFFF" w:themeColor="background1"/>
                <w:szCs w:val="18"/>
                <w:lang w:eastAsia="hr-HR"/>
              </w:rPr>
              <w:t>gubitak</w:t>
            </w:r>
          </w:p>
        </w:tc>
        <w:tc>
          <w:tcPr>
            <w:tcW w:w="1200" w:type="dxa"/>
            <w:vMerge w:val="restart"/>
            <w:tcBorders>
              <w:top w:val="single" w:sz="8" w:space="0" w:color="FFFFFF" w:themeColor="background1"/>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4587A6F1" w14:textId="460A233E"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Prihodi </w:t>
            </w:r>
          </w:p>
        </w:tc>
        <w:tc>
          <w:tcPr>
            <w:tcW w:w="864" w:type="dxa"/>
            <w:vMerge w:val="restart"/>
            <w:tcBorders>
              <w:top w:val="nil"/>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6A9D18AE" w14:textId="45726146"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Br. zaposlenih </w:t>
            </w:r>
          </w:p>
        </w:tc>
        <w:tc>
          <w:tcPr>
            <w:tcW w:w="1038" w:type="dxa"/>
            <w:tcBorders>
              <w:top w:val="nil"/>
              <w:left w:val="single" w:sz="8" w:space="0" w:color="FFFFFF" w:themeColor="background1"/>
              <w:bottom w:val="nil"/>
              <w:right w:val="single" w:sz="4" w:space="0" w:color="000000"/>
            </w:tcBorders>
            <w:shd w:val="clear" w:color="auto" w:fill="D2232A" w:themeFill="accent1"/>
            <w:vAlign w:val="center"/>
          </w:tcPr>
          <w:p w14:paraId="00187940" w14:textId="715AF972"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Dobitak/</w:t>
            </w:r>
            <w:r w:rsidR="000F0FF0">
              <w:rPr>
                <w:rFonts w:cstheme="minorHAnsi"/>
                <w:color w:val="FFFFFF" w:themeColor="background1"/>
                <w:szCs w:val="18"/>
                <w:lang w:eastAsia="hr-HR"/>
              </w:rPr>
              <w:t>gubitak</w:t>
            </w:r>
          </w:p>
        </w:tc>
        <w:tc>
          <w:tcPr>
            <w:tcW w:w="1217" w:type="dxa"/>
            <w:vMerge w:val="restart"/>
            <w:tcBorders>
              <w:top w:val="single" w:sz="8" w:space="0" w:color="FFFFFF" w:themeColor="background1"/>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2A87DEED" w14:textId="230F0397"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Prihodi </w:t>
            </w:r>
          </w:p>
        </w:tc>
        <w:tc>
          <w:tcPr>
            <w:tcW w:w="863" w:type="dxa"/>
            <w:vMerge w:val="restart"/>
            <w:tcBorders>
              <w:top w:val="nil"/>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7EE1392F" w14:textId="2D55FC38"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 xml:space="preserve">Br. zaposlenih </w:t>
            </w:r>
          </w:p>
        </w:tc>
        <w:tc>
          <w:tcPr>
            <w:tcW w:w="1020" w:type="dxa"/>
            <w:tcBorders>
              <w:top w:val="nil"/>
              <w:left w:val="single" w:sz="8" w:space="0" w:color="FFFFFF" w:themeColor="background1"/>
              <w:bottom w:val="nil"/>
              <w:right w:val="single" w:sz="4" w:space="0" w:color="000000"/>
            </w:tcBorders>
            <w:shd w:val="clear" w:color="auto" w:fill="D2232A" w:themeFill="accent1"/>
            <w:vAlign w:val="center"/>
          </w:tcPr>
          <w:p w14:paraId="0A42D619" w14:textId="4006668A" w:rsidR="4E193667" w:rsidRPr="000F0FF0" w:rsidRDefault="4E193667" w:rsidP="4E193667">
            <w:pPr>
              <w:jc w:val="center"/>
              <w:rPr>
                <w:rFonts w:cstheme="minorHAnsi"/>
                <w:color w:val="FFFFFF" w:themeColor="background1"/>
                <w:szCs w:val="18"/>
                <w:lang w:eastAsia="hr-HR"/>
              </w:rPr>
            </w:pPr>
            <w:r w:rsidRPr="000F0FF0">
              <w:rPr>
                <w:rFonts w:cstheme="minorHAnsi"/>
                <w:color w:val="FFFFFF" w:themeColor="background1"/>
                <w:szCs w:val="18"/>
                <w:lang w:eastAsia="hr-HR"/>
              </w:rPr>
              <w:t>Dobitak/</w:t>
            </w:r>
            <w:r w:rsidR="000F0FF0">
              <w:rPr>
                <w:rFonts w:cstheme="minorHAnsi"/>
                <w:color w:val="FFFFFF" w:themeColor="background1"/>
                <w:szCs w:val="18"/>
                <w:lang w:eastAsia="hr-HR"/>
              </w:rPr>
              <w:t>gubitak</w:t>
            </w:r>
          </w:p>
        </w:tc>
      </w:tr>
      <w:tr w:rsidR="4E193667" w14:paraId="0D9D085A" w14:textId="77777777" w:rsidTr="005D37C0">
        <w:trPr>
          <w:gridAfter w:val="1"/>
          <w:wAfter w:w="8" w:type="dxa"/>
          <w:trHeight w:val="50"/>
        </w:trPr>
        <w:tc>
          <w:tcPr>
            <w:tcW w:w="2856" w:type="dxa"/>
            <w:gridSpan w:val="2"/>
            <w:vMerge/>
            <w:tcBorders>
              <w:left w:val="nil"/>
              <w:bottom w:val="single" w:sz="0" w:space="0" w:color="000000"/>
              <w:right w:val="single" w:sz="0" w:space="0" w:color="FFFFFF" w:themeColor="background1"/>
            </w:tcBorders>
            <w:vAlign w:val="center"/>
          </w:tcPr>
          <w:p w14:paraId="1B095380" w14:textId="77777777" w:rsidR="0006033B" w:rsidRDefault="0006033B"/>
        </w:tc>
        <w:tc>
          <w:tcPr>
            <w:tcW w:w="1255" w:type="dxa"/>
            <w:vMerge/>
            <w:tcBorders>
              <w:left w:val="single" w:sz="0" w:space="0" w:color="FFFFFF" w:themeColor="background1"/>
              <w:bottom w:val="single" w:sz="0" w:space="0" w:color="000000"/>
              <w:right w:val="single" w:sz="0" w:space="0" w:color="FFFFFF" w:themeColor="background1"/>
            </w:tcBorders>
            <w:vAlign w:val="center"/>
          </w:tcPr>
          <w:p w14:paraId="634F6C88" w14:textId="77777777" w:rsidR="0006033B" w:rsidRDefault="0006033B"/>
        </w:tc>
        <w:tc>
          <w:tcPr>
            <w:tcW w:w="809" w:type="dxa"/>
            <w:vMerge/>
            <w:tcBorders>
              <w:left w:val="single" w:sz="0" w:space="0" w:color="FFFFFF" w:themeColor="background1"/>
              <w:bottom w:val="single" w:sz="0" w:space="0" w:color="000000"/>
              <w:right w:val="single" w:sz="0" w:space="0" w:color="FFFFFF" w:themeColor="background1"/>
            </w:tcBorders>
            <w:vAlign w:val="center"/>
          </w:tcPr>
          <w:p w14:paraId="3AE091F9" w14:textId="77777777" w:rsidR="0006033B" w:rsidRDefault="0006033B"/>
        </w:tc>
        <w:tc>
          <w:tcPr>
            <w:tcW w:w="1035" w:type="dxa"/>
            <w:tcBorders>
              <w:top w:val="nil"/>
              <w:left w:val="nil"/>
              <w:bottom w:val="single" w:sz="4" w:space="0" w:color="000000"/>
              <w:right w:val="single" w:sz="8" w:space="0" w:color="FFFFFF" w:themeColor="background1"/>
            </w:tcBorders>
            <w:shd w:val="clear" w:color="auto" w:fill="D2232A" w:themeFill="accent1"/>
            <w:vAlign w:val="center"/>
          </w:tcPr>
          <w:p w14:paraId="052E8C44" w14:textId="6F47EA2B" w:rsidR="4E193667" w:rsidRDefault="4E193667" w:rsidP="000F0FF0"/>
        </w:tc>
        <w:tc>
          <w:tcPr>
            <w:tcW w:w="1133" w:type="dxa"/>
            <w:vMerge/>
            <w:tcBorders>
              <w:left w:val="single" w:sz="0" w:space="0" w:color="FFFFFF" w:themeColor="background1"/>
              <w:bottom w:val="single" w:sz="0" w:space="0" w:color="000000"/>
              <w:right w:val="single" w:sz="0" w:space="0" w:color="FFFFFF" w:themeColor="background1"/>
            </w:tcBorders>
            <w:vAlign w:val="center"/>
          </w:tcPr>
          <w:p w14:paraId="17C67814" w14:textId="77777777" w:rsidR="0006033B" w:rsidRDefault="0006033B"/>
        </w:tc>
        <w:tc>
          <w:tcPr>
            <w:tcW w:w="883" w:type="dxa"/>
            <w:vMerge/>
            <w:tcBorders>
              <w:left w:val="single" w:sz="0" w:space="0" w:color="FFFFFF" w:themeColor="background1"/>
              <w:bottom w:val="single" w:sz="0" w:space="0" w:color="000000"/>
              <w:right w:val="single" w:sz="0" w:space="0" w:color="FFFFFF" w:themeColor="background1"/>
            </w:tcBorders>
            <w:vAlign w:val="center"/>
          </w:tcPr>
          <w:p w14:paraId="5560164E" w14:textId="77777777" w:rsidR="0006033B" w:rsidRDefault="0006033B"/>
        </w:tc>
        <w:tc>
          <w:tcPr>
            <w:tcW w:w="1035" w:type="dxa"/>
            <w:tcBorders>
              <w:top w:val="nil"/>
              <w:left w:val="nil"/>
              <w:bottom w:val="single" w:sz="4" w:space="0" w:color="000000"/>
              <w:right w:val="single" w:sz="8" w:space="0" w:color="FFFFFF" w:themeColor="background1"/>
            </w:tcBorders>
            <w:shd w:val="clear" w:color="auto" w:fill="D2232A" w:themeFill="accent1"/>
            <w:vAlign w:val="center"/>
          </w:tcPr>
          <w:p w14:paraId="5BBD7F5F" w14:textId="5455A2CB" w:rsidR="4E193667" w:rsidRDefault="4E193667" w:rsidP="4E193667">
            <w:pPr>
              <w:jc w:val="center"/>
            </w:pPr>
          </w:p>
        </w:tc>
        <w:tc>
          <w:tcPr>
            <w:tcW w:w="1200" w:type="dxa"/>
            <w:vMerge/>
            <w:tcBorders>
              <w:left w:val="single" w:sz="0" w:space="0" w:color="FFFFFF" w:themeColor="background1"/>
              <w:bottom w:val="single" w:sz="0" w:space="0" w:color="000000"/>
              <w:right w:val="single" w:sz="0" w:space="0" w:color="FFFFFF" w:themeColor="background1"/>
            </w:tcBorders>
            <w:vAlign w:val="center"/>
          </w:tcPr>
          <w:p w14:paraId="5012BBD4" w14:textId="77777777" w:rsidR="0006033B" w:rsidRDefault="0006033B"/>
        </w:tc>
        <w:tc>
          <w:tcPr>
            <w:tcW w:w="864" w:type="dxa"/>
            <w:vMerge/>
            <w:tcBorders>
              <w:left w:val="single" w:sz="0" w:space="0" w:color="FFFFFF" w:themeColor="background1"/>
              <w:bottom w:val="single" w:sz="0" w:space="0" w:color="000000"/>
              <w:right w:val="single" w:sz="0" w:space="0" w:color="FFFFFF" w:themeColor="background1"/>
            </w:tcBorders>
            <w:vAlign w:val="center"/>
          </w:tcPr>
          <w:p w14:paraId="45752E18" w14:textId="77777777" w:rsidR="0006033B" w:rsidRDefault="0006033B"/>
        </w:tc>
        <w:tc>
          <w:tcPr>
            <w:tcW w:w="1038" w:type="dxa"/>
            <w:tcBorders>
              <w:top w:val="nil"/>
              <w:left w:val="nil"/>
              <w:bottom w:val="single" w:sz="4" w:space="0" w:color="000000"/>
              <w:right w:val="single" w:sz="4" w:space="0" w:color="000000"/>
            </w:tcBorders>
            <w:shd w:val="clear" w:color="auto" w:fill="D2232A" w:themeFill="accent1"/>
            <w:vAlign w:val="center"/>
          </w:tcPr>
          <w:p w14:paraId="1031A915" w14:textId="21F985B8" w:rsidR="4E193667" w:rsidRDefault="4E193667" w:rsidP="000F0FF0"/>
        </w:tc>
        <w:tc>
          <w:tcPr>
            <w:tcW w:w="1217" w:type="dxa"/>
            <w:vMerge/>
            <w:tcBorders>
              <w:left w:val="single" w:sz="0" w:space="0" w:color="FFFFFF" w:themeColor="background1"/>
              <w:bottom w:val="single" w:sz="0" w:space="0" w:color="000000"/>
              <w:right w:val="single" w:sz="0" w:space="0" w:color="FFFFFF" w:themeColor="background1"/>
            </w:tcBorders>
            <w:vAlign w:val="center"/>
          </w:tcPr>
          <w:p w14:paraId="65056C69" w14:textId="77777777" w:rsidR="0006033B" w:rsidRDefault="0006033B"/>
        </w:tc>
        <w:tc>
          <w:tcPr>
            <w:tcW w:w="863" w:type="dxa"/>
            <w:vMerge/>
            <w:tcBorders>
              <w:left w:val="single" w:sz="0" w:space="0" w:color="FFFFFF" w:themeColor="background1"/>
              <w:bottom w:val="single" w:sz="0" w:space="0" w:color="000000"/>
              <w:right w:val="single" w:sz="0" w:space="0" w:color="FFFFFF" w:themeColor="background1"/>
            </w:tcBorders>
            <w:vAlign w:val="center"/>
          </w:tcPr>
          <w:p w14:paraId="3F5D7424" w14:textId="77777777" w:rsidR="0006033B" w:rsidRDefault="0006033B"/>
        </w:tc>
        <w:tc>
          <w:tcPr>
            <w:tcW w:w="1020" w:type="dxa"/>
            <w:tcBorders>
              <w:top w:val="nil"/>
              <w:left w:val="nil"/>
              <w:bottom w:val="single" w:sz="4" w:space="0" w:color="000000"/>
              <w:right w:val="single" w:sz="4" w:space="0" w:color="000000"/>
            </w:tcBorders>
            <w:shd w:val="clear" w:color="auto" w:fill="D2232A" w:themeFill="accent1"/>
            <w:vAlign w:val="center"/>
          </w:tcPr>
          <w:p w14:paraId="63A3F33D" w14:textId="4A207A0F" w:rsidR="4E193667" w:rsidRDefault="4E193667" w:rsidP="4E193667">
            <w:pPr>
              <w:jc w:val="center"/>
            </w:pPr>
          </w:p>
        </w:tc>
      </w:tr>
      <w:tr w:rsidR="4E193667" w14:paraId="21D79B8F" w14:textId="77777777" w:rsidTr="005D37C0">
        <w:trPr>
          <w:gridAfter w:val="1"/>
          <w:wAfter w:w="8" w:type="dxa"/>
          <w:trHeight w:val="302"/>
        </w:trPr>
        <w:tc>
          <w:tcPr>
            <w:tcW w:w="306" w:type="dxa"/>
            <w:tcBorders>
              <w:top w:val="nil"/>
              <w:left w:val="single" w:sz="4" w:space="0" w:color="000000"/>
              <w:bottom w:val="single" w:sz="8" w:space="0" w:color="F3CFC1"/>
              <w:right w:val="single" w:sz="4" w:space="0" w:color="000000"/>
            </w:tcBorders>
            <w:shd w:val="clear" w:color="auto" w:fill="FFFFFF" w:themeFill="background1"/>
            <w:vAlign w:val="center"/>
          </w:tcPr>
          <w:p w14:paraId="755723CF" w14:textId="0867E666" w:rsidR="4E193667" w:rsidRPr="000F0FF0" w:rsidRDefault="4E193667" w:rsidP="4E193667">
            <w:pPr>
              <w:rPr>
                <w:rFonts w:eastAsiaTheme="minorEastAsia" w:cstheme="minorHAnsi"/>
                <w:bCs/>
                <w:iCs/>
              </w:rPr>
            </w:pPr>
            <w:r w:rsidRPr="000F0FF0">
              <w:rPr>
                <w:rFonts w:eastAsiaTheme="minorEastAsia" w:cstheme="minorHAnsi"/>
                <w:bCs/>
                <w:iCs/>
              </w:rPr>
              <w:t xml:space="preserve">0 </w:t>
            </w:r>
          </w:p>
        </w:tc>
        <w:tc>
          <w:tcPr>
            <w:tcW w:w="2550" w:type="dxa"/>
            <w:tcBorders>
              <w:top w:val="nil"/>
              <w:left w:val="single" w:sz="4" w:space="0" w:color="000000"/>
              <w:bottom w:val="single" w:sz="8" w:space="0" w:color="F3CFC1"/>
              <w:right w:val="single" w:sz="4" w:space="0" w:color="000000"/>
            </w:tcBorders>
            <w:shd w:val="clear" w:color="auto" w:fill="FFFFFF" w:themeFill="background1"/>
            <w:vAlign w:val="center"/>
          </w:tcPr>
          <w:p w14:paraId="1DD93091" w14:textId="6AAC96B7"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Subjekti (fizičke osobe) bez djelatnosti </w:t>
            </w:r>
          </w:p>
        </w:tc>
        <w:tc>
          <w:tcPr>
            <w:tcW w:w="1255" w:type="dxa"/>
            <w:tcBorders>
              <w:top w:val="nil"/>
              <w:left w:val="single" w:sz="4" w:space="0" w:color="000000"/>
              <w:bottom w:val="single" w:sz="8" w:space="0" w:color="F3CFC1"/>
              <w:right w:val="single" w:sz="4" w:space="0" w:color="000000"/>
            </w:tcBorders>
            <w:shd w:val="clear" w:color="auto" w:fill="FFFFFF" w:themeFill="background1"/>
            <w:vAlign w:val="center"/>
          </w:tcPr>
          <w:p w14:paraId="7AA6E046" w14:textId="6C593203" w:rsidR="4E193667" w:rsidRPr="000F0FF0" w:rsidRDefault="4E193667" w:rsidP="007A731C">
            <w:pPr>
              <w:jc w:val="center"/>
              <w:rPr>
                <w:rFonts w:eastAsiaTheme="minorEastAsia" w:cstheme="minorHAnsi"/>
                <w:bCs/>
                <w:iCs/>
              </w:rPr>
            </w:pPr>
            <w:r w:rsidRPr="000F0FF0">
              <w:rPr>
                <w:rFonts w:eastAsiaTheme="minorEastAsia" w:cstheme="minorHAnsi"/>
                <w:bCs/>
                <w:iCs/>
              </w:rPr>
              <w:t>546</w:t>
            </w:r>
          </w:p>
        </w:tc>
        <w:tc>
          <w:tcPr>
            <w:tcW w:w="809" w:type="dxa"/>
            <w:tcBorders>
              <w:top w:val="nil"/>
              <w:left w:val="single" w:sz="4" w:space="0" w:color="000000"/>
              <w:bottom w:val="single" w:sz="8" w:space="0" w:color="F3CFC1"/>
              <w:right w:val="single" w:sz="4" w:space="0" w:color="000000"/>
            </w:tcBorders>
            <w:shd w:val="clear" w:color="auto" w:fill="FFFFFF" w:themeFill="background1"/>
            <w:vAlign w:val="center"/>
          </w:tcPr>
          <w:p w14:paraId="2E4B8ADD" w14:textId="34E09D85" w:rsidR="4E193667" w:rsidRPr="000F0FF0" w:rsidRDefault="4E193667" w:rsidP="007A731C">
            <w:pPr>
              <w:jc w:val="center"/>
              <w:rPr>
                <w:rFonts w:eastAsiaTheme="minorEastAsia" w:cstheme="minorHAnsi"/>
                <w:bCs/>
                <w:iCs/>
              </w:rPr>
            </w:pPr>
            <w:r w:rsidRPr="000F0FF0">
              <w:rPr>
                <w:rFonts w:eastAsiaTheme="minorEastAsia" w:cstheme="minorHAnsi"/>
                <w:bCs/>
                <w:iCs/>
              </w:rPr>
              <w:t>0</w:t>
            </w:r>
          </w:p>
        </w:tc>
        <w:tc>
          <w:tcPr>
            <w:tcW w:w="1035" w:type="dxa"/>
            <w:tcBorders>
              <w:top w:val="single" w:sz="4" w:space="0" w:color="000000"/>
              <w:left w:val="single" w:sz="4" w:space="0" w:color="000000"/>
              <w:bottom w:val="single" w:sz="8" w:space="0" w:color="F3CFC1"/>
              <w:right w:val="single" w:sz="8" w:space="0" w:color="D2232A" w:themeColor="accent1"/>
            </w:tcBorders>
            <w:shd w:val="clear" w:color="auto" w:fill="FFFFFF" w:themeFill="background1"/>
            <w:vAlign w:val="center"/>
          </w:tcPr>
          <w:p w14:paraId="12E22745" w14:textId="2807B7AE" w:rsidR="4E193667" w:rsidRPr="000F0FF0" w:rsidRDefault="4E193667" w:rsidP="007A731C">
            <w:pPr>
              <w:jc w:val="center"/>
              <w:rPr>
                <w:rFonts w:eastAsiaTheme="minorEastAsia" w:cstheme="minorHAnsi"/>
                <w:bCs/>
                <w:iCs/>
              </w:rPr>
            </w:pPr>
            <w:r w:rsidRPr="000F0FF0">
              <w:rPr>
                <w:rFonts w:eastAsiaTheme="minorEastAsia" w:cstheme="minorHAnsi"/>
                <w:bCs/>
                <w:iCs/>
              </w:rPr>
              <w:t>61</w:t>
            </w:r>
          </w:p>
        </w:tc>
        <w:tc>
          <w:tcPr>
            <w:tcW w:w="1133" w:type="dxa"/>
            <w:tcBorders>
              <w:top w:val="nil"/>
              <w:left w:val="single" w:sz="8" w:space="0" w:color="D2232A" w:themeColor="accent1"/>
              <w:bottom w:val="single" w:sz="8" w:space="0" w:color="F3CFC1"/>
              <w:right w:val="single" w:sz="4" w:space="0" w:color="000000"/>
            </w:tcBorders>
            <w:shd w:val="clear" w:color="auto" w:fill="FFFFFF" w:themeFill="background1"/>
            <w:vAlign w:val="center"/>
          </w:tcPr>
          <w:p w14:paraId="1CA9E3F5" w14:textId="4B1E692C" w:rsidR="4E193667" w:rsidRPr="000F0FF0" w:rsidRDefault="4E193667" w:rsidP="007A731C">
            <w:pPr>
              <w:jc w:val="center"/>
              <w:rPr>
                <w:rFonts w:eastAsiaTheme="minorEastAsia" w:cstheme="minorHAnsi"/>
                <w:bCs/>
                <w:iCs/>
              </w:rPr>
            </w:pPr>
            <w:r w:rsidRPr="000F0FF0">
              <w:rPr>
                <w:rFonts w:eastAsiaTheme="minorEastAsia" w:cstheme="minorHAnsi"/>
                <w:bCs/>
                <w:iCs/>
              </w:rPr>
              <w:t>40</w:t>
            </w:r>
          </w:p>
        </w:tc>
        <w:tc>
          <w:tcPr>
            <w:tcW w:w="883" w:type="dxa"/>
            <w:tcBorders>
              <w:top w:val="nil"/>
              <w:left w:val="single" w:sz="4" w:space="0" w:color="000000"/>
              <w:bottom w:val="single" w:sz="8" w:space="0" w:color="F3CFC1"/>
              <w:right w:val="single" w:sz="4" w:space="0" w:color="000000"/>
            </w:tcBorders>
            <w:shd w:val="clear" w:color="auto" w:fill="FFFFFF" w:themeFill="background1"/>
            <w:vAlign w:val="center"/>
          </w:tcPr>
          <w:p w14:paraId="173F8E33" w14:textId="68B5AA74" w:rsidR="4E193667" w:rsidRPr="000F0FF0" w:rsidRDefault="4E193667" w:rsidP="007A731C">
            <w:pPr>
              <w:jc w:val="center"/>
              <w:rPr>
                <w:rFonts w:eastAsiaTheme="minorEastAsia" w:cstheme="minorHAnsi"/>
                <w:bCs/>
                <w:iCs/>
              </w:rPr>
            </w:pPr>
            <w:r w:rsidRPr="000F0FF0">
              <w:rPr>
                <w:rFonts w:eastAsiaTheme="minorEastAsia" w:cstheme="minorHAnsi"/>
                <w:bCs/>
                <w:iCs/>
              </w:rPr>
              <w:t>0</w:t>
            </w:r>
          </w:p>
        </w:tc>
        <w:tc>
          <w:tcPr>
            <w:tcW w:w="1035" w:type="dxa"/>
            <w:tcBorders>
              <w:top w:val="single" w:sz="4" w:space="0" w:color="000000"/>
              <w:left w:val="single" w:sz="4" w:space="0" w:color="000000"/>
              <w:bottom w:val="single" w:sz="8" w:space="0" w:color="F3CFC1"/>
              <w:right w:val="single" w:sz="8" w:space="0" w:color="D2232A" w:themeColor="accent1"/>
            </w:tcBorders>
            <w:shd w:val="clear" w:color="auto" w:fill="FFFFFF" w:themeFill="background1"/>
            <w:vAlign w:val="center"/>
          </w:tcPr>
          <w:p w14:paraId="09229991" w14:textId="1C590C71" w:rsidR="4E193667" w:rsidRPr="000F0FF0" w:rsidRDefault="4E193667" w:rsidP="007A731C">
            <w:pPr>
              <w:jc w:val="center"/>
              <w:rPr>
                <w:rFonts w:eastAsiaTheme="minorEastAsia" w:cstheme="minorHAnsi"/>
                <w:bCs/>
                <w:iCs/>
              </w:rPr>
            </w:pPr>
            <w:r w:rsidRPr="000F0FF0">
              <w:rPr>
                <w:rFonts w:eastAsiaTheme="minorEastAsia" w:cstheme="minorHAnsi"/>
                <w:bCs/>
                <w:iCs/>
              </w:rPr>
              <w:t>-211</w:t>
            </w:r>
          </w:p>
        </w:tc>
        <w:tc>
          <w:tcPr>
            <w:tcW w:w="1200" w:type="dxa"/>
            <w:tcBorders>
              <w:top w:val="nil"/>
              <w:left w:val="single" w:sz="4" w:space="0" w:color="000000"/>
              <w:bottom w:val="single" w:sz="8" w:space="0" w:color="F3CFC1"/>
              <w:right w:val="single" w:sz="4" w:space="0" w:color="000000"/>
            </w:tcBorders>
            <w:shd w:val="clear" w:color="auto" w:fill="FFFFFF" w:themeFill="background1"/>
            <w:vAlign w:val="center"/>
          </w:tcPr>
          <w:p w14:paraId="2525CDF6" w14:textId="1F3F1EE6" w:rsidR="4E193667" w:rsidRPr="000F0FF0" w:rsidRDefault="4E193667" w:rsidP="007A731C">
            <w:pPr>
              <w:jc w:val="center"/>
              <w:rPr>
                <w:rFonts w:eastAsiaTheme="minorEastAsia" w:cstheme="minorHAnsi"/>
                <w:bCs/>
                <w:iCs/>
              </w:rPr>
            </w:pPr>
            <w:r w:rsidRPr="000F0FF0">
              <w:rPr>
                <w:rFonts w:eastAsiaTheme="minorEastAsia" w:cstheme="minorHAnsi"/>
                <w:bCs/>
                <w:iCs/>
              </w:rPr>
              <w:t>2.298</w:t>
            </w:r>
          </w:p>
        </w:tc>
        <w:tc>
          <w:tcPr>
            <w:tcW w:w="864" w:type="dxa"/>
            <w:tcBorders>
              <w:top w:val="nil"/>
              <w:left w:val="single" w:sz="4" w:space="0" w:color="000000"/>
              <w:bottom w:val="single" w:sz="8" w:space="0" w:color="F3CFC1"/>
              <w:right w:val="single" w:sz="4" w:space="0" w:color="000000"/>
            </w:tcBorders>
            <w:shd w:val="clear" w:color="auto" w:fill="FFFFFF" w:themeFill="background1"/>
            <w:vAlign w:val="center"/>
          </w:tcPr>
          <w:p w14:paraId="2159116E" w14:textId="53911AD8" w:rsidR="4E193667" w:rsidRPr="000F0FF0" w:rsidRDefault="4E193667" w:rsidP="007A731C">
            <w:pPr>
              <w:jc w:val="center"/>
              <w:rPr>
                <w:rFonts w:eastAsiaTheme="minorEastAsia" w:cstheme="minorHAnsi"/>
                <w:bCs/>
                <w:iCs/>
              </w:rPr>
            </w:pPr>
            <w:r w:rsidRPr="000F0FF0">
              <w:rPr>
                <w:rFonts w:eastAsiaTheme="minorEastAsia" w:cstheme="minorHAnsi"/>
                <w:bCs/>
                <w:iCs/>
              </w:rPr>
              <w:t>0</w:t>
            </w:r>
          </w:p>
        </w:tc>
        <w:tc>
          <w:tcPr>
            <w:tcW w:w="1038" w:type="dxa"/>
            <w:tcBorders>
              <w:top w:val="single" w:sz="4" w:space="0" w:color="000000"/>
              <w:left w:val="single" w:sz="4" w:space="0" w:color="000000"/>
              <w:bottom w:val="single" w:sz="8" w:space="0" w:color="F3CFC1"/>
              <w:right w:val="single" w:sz="4" w:space="0" w:color="000000"/>
            </w:tcBorders>
            <w:shd w:val="clear" w:color="auto" w:fill="FFFFFF" w:themeFill="background1"/>
            <w:vAlign w:val="center"/>
          </w:tcPr>
          <w:p w14:paraId="3F6CB5A7" w14:textId="00BFC0A4" w:rsidR="4E193667" w:rsidRPr="000F0FF0" w:rsidRDefault="4E193667" w:rsidP="007A731C">
            <w:pPr>
              <w:jc w:val="center"/>
              <w:rPr>
                <w:rFonts w:eastAsiaTheme="minorEastAsia" w:cstheme="minorHAnsi"/>
                <w:bCs/>
                <w:iCs/>
              </w:rPr>
            </w:pPr>
            <w:r w:rsidRPr="000F0FF0">
              <w:rPr>
                <w:rFonts w:eastAsiaTheme="minorEastAsia" w:cstheme="minorHAnsi"/>
                <w:bCs/>
                <w:iCs/>
              </w:rPr>
              <w:t>1.601</w:t>
            </w:r>
          </w:p>
        </w:tc>
        <w:tc>
          <w:tcPr>
            <w:tcW w:w="1217" w:type="dxa"/>
            <w:tcBorders>
              <w:top w:val="nil"/>
              <w:left w:val="single" w:sz="4" w:space="0" w:color="000000"/>
              <w:bottom w:val="single" w:sz="8" w:space="0" w:color="F3CFC1"/>
              <w:right w:val="single" w:sz="4" w:space="0" w:color="000000"/>
            </w:tcBorders>
            <w:shd w:val="clear" w:color="auto" w:fill="FFFFFF" w:themeFill="background1"/>
            <w:vAlign w:val="center"/>
          </w:tcPr>
          <w:p w14:paraId="30A57407" w14:textId="49BC0217" w:rsidR="4E193667" w:rsidRPr="000F0FF0" w:rsidRDefault="4E193667" w:rsidP="007A731C">
            <w:pPr>
              <w:jc w:val="center"/>
              <w:rPr>
                <w:rFonts w:eastAsiaTheme="minorEastAsia" w:cstheme="minorHAnsi"/>
                <w:bCs/>
                <w:iCs/>
              </w:rPr>
            </w:pPr>
            <w:r w:rsidRPr="000F0FF0">
              <w:rPr>
                <w:rFonts w:eastAsiaTheme="minorEastAsia" w:cstheme="minorHAnsi"/>
                <w:bCs/>
                <w:iCs/>
              </w:rPr>
              <w:t>2.449</w:t>
            </w:r>
          </w:p>
        </w:tc>
        <w:tc>
          <w:tcPr>
            <w:tcW w:w="863" w:type="dxa"/>
            <w:tcBorders>
              <w:top w:val="nil"/>
              <w:left w:val="single" w:sz="4" w:space="0" w:color="000000"/>
              <w:bottom w:val="single" w:sz="8" w:space="0" w:color="F3CFC1"/>
              <w:right w:val="single" w:sz="4" w:space="0" w:color="000000"/>
            </w:tcBorders>
            <w:shd w:val="clear" w:color="auto" w:fill="FFFFFF" w:themeFill="background1"/>
            <w:vAlign w:val="center"/>
          </w:tcPr>
          <w:p w14:paraId="013D9635" w14:textId="067E2DFD" w:rsidR="4E193667" w:rsidRPr="000F0FF0" w:rsidRDefault="4E193667" w:rsidP="007A731C">
            <w:pPr>
              <w:jc w:val="center"/>
              <w:rPr>
                <w:rFonts w:eastAsiaTheme="minorEastAsia" w:cstheme="minorHAnsi"/>
                <w:bCs/>
                <w:iCs/>
              </w:rPr>
            </w:pPr>
            <w:r w:rsidRPr="000F0FF0">
              <w:rPr>
                <w:rFonts w:eastAsiaTheme="minorEastAsia" w:cstheme="minorHAnsi"/>
                <w:bCs/>
                <w:iCs/>
              </w:rPr>
              <w:t>0</w:t>
            </w:r>
          </w:p>
        </w:tc>
        <w:tc>
          <w:tcPr>
            <w:tcW w:w="1020" w:type="dxa"/>
            <w:tcBorders>
              <w:top w:val="single" w:sz="4" w:space="0" w:color="000000"/>
              <w:left w:val="single" w:sz="4" w:space="0" w:color="000000"/>
              <w:bottom w:val="single" w:sz="8" w:space="0" w:color="F3CFC1"/>
              <w:right w:val="single" w:sz="4" w:space="0" w:color="000000"/>
            </w:tcBorders>
            <w:shd w:val="clear" w:color="auto" w:fill="FFFFFF" w:themeFill="background1"/>
            <w:vAlign w:val="center"/>
          </w:tcPr>
          <w:p w14:paraId="2B8795B7" w14:textId="303274B7" w:rsidR="4E193667" w:rsidRPr="000F0FF0" w:rsidRDefault="4E193667" w:rsidP="007A731C">
            <w:pPr>
              <w:jc w:val="center"/>
              <w:rPr>
                <w:rFonts w:eastAsiaTheme="minorEastAsia" w:cstheme="minorHAnsi"/>
                <w:bCs/>
                <w:iCs/>
              </w:rPr>
            </w:pPr>
            <w:r w:rsidRPr="000F0FF0">
              <w:rPr>
                <w:rFonts w:eastAsiaTheme="minorEastAsia" w:cstheme="minorHAnsi"/>
                <w:bCs/>
                <w:iCs/>
              </w:rPr>
              <w:t>1.771</w:t>
            </w:r>
          </w:p>
        </w:tc>
      </w:tr>
      <w:tr w:rsidR="4E193667" w14:paraId="1F5EE866"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8024781" w14:textId="1BF32181" w:rsidR="4E193667" w:rsidRPr="000F0FF0" w:rsidRDefault="4E193667" w:rsidP="4E193667">
            <w:pPr>
              <w:rPr>
                <w:rFonts w:eastAsiaTheme="minorEastAsia" w:cstheme="minorHAnsi"/>
                <w:bCs/>
                <w:iCs/>
              </w:rPr>
            </w:pPr>
            <w:r w:rsidRPr="000F0FF0">
              <w:rPr>
                <w:rFonts w:eastAsiaTheme="minorEastAsia" w:cstheme="minorHAnsi"/>
                <w:bCs/>
                <w:iCs/>
              </w:rPr>
              <w:t xml:space="preserve">A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70D81F1" w14:textId="46635A8D"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Poljoprivreda, šumarstvo i ribarstvo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61598D7" w14:textId="574E03D5" w:rsidR="4E193667" w:rsidRPr="000F0FF0" w:rsidRDefault="4E193667" w:rsidP="007A731C">
            <w:pPr>
              <w:jc w:val="center"/>
              <w:rPr>
                <w:rFonts w:eastAsiaTheme="minorEastAsia" w:cstheme="minorHAnsi"/>
                <w:bCs/>
                <w:iCs/>
              </w:rPr>
            </w:pPr>
            <w:r w:rsidRPr="000F0FF0">
              <w:rPr>
                <w:rFonts w:eastAsiaTheme="minorEastAsia" w:cstheme="minorHAnsi"/>
                <w:bCs/>
                <w:iCs/>
              </w:rPr>
              <w:t>153.706</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2FCD4C8" w14:textId="66F5DB51" w:rsidR="4E193667" w:rsidRPr="000F0FF0" w:rsidRDefault="4E193667" w:rsidP="007A731C">
            <w:pPr>
              <w:jc w:val="center"/>
              <w:rPr>
                <w:rFonts w:eastAsiaTheme="minorEastAsia" w:cstheme="minorHAnsi"/>
                <w:bCs/>
                <w:iCs/>
              </w:rPr>
            </w:pPr>
            <w:r w:rsidRPr="000F0FF0">
              <w:rPr>
                <w:rFonts w:eastAsiaTheme="minorEastAsia" w:cstheme="minorHAnsi"/>
                <w:bCs/>
                <w:iCs/>
              </w:rPr>
              <w:t>209</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031DD817" w14:textId="00EBAF09" w:rsidR="4E193667" w:rsidRPr="000F0FF0" w:rsidRDefault="4E193667" w:rsidP="007A731C">
            <w:pPr>
              <w:jc w:val="center"/>
              <w:rPr>
                <w:rFonts w:eastAsiaTheme="minorEastAsia" w:cstheme="minorHAnsi"/>
                <w:bCs/>
                <w:iCs/>
              </w:rPr>
            </w:pPr>
            <w:r w:rsidRPr="000F0FF0">
              <w:rPr>
                <w:rFonts w:eastAsiaTheme="minorEastAsia" w:cstheme="minorHAnsi"/>
                <w:bCs/>
                <w:iCs/>
              </w:rPr>
              <w:t>-11.551</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48A10E9D" w14:textId="6CA6A25E" w:rsidR="4E193667" w:rsidRPr="000F0FF0" w:rsidRDefault="4E193667" w:rsidP="007A731C">
            <w:pPr>
              <w:jc w:val="center"/>
              <w:rPr>
                <w:rFonts w:eastAsiaTheme="minorEastAsia" w:cstheme="minorHAnsi"/>
                <w:bCs/>
                <w:iCs/>
              </w:rPr>
            </w:pPr>
            <w:r w:rsidRPr="000F0FF0">
              <w:rPr>
                <w:rFonts w:eastAsiaTheme="minorEastAsia" w:cstheme="minorHAnsi"/>
                <w:bCs/>
                <w:iCs/>
              </w:rPr>
              <w:t>119.697</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2598A0A" w14:textId="4FAFCF88" w:rsidR="4E193667" w:rsidRPr="000F0FF0" w:rsidRDefault="4E193667" w:rsidP="007A731C">
            <w:pPr>
              <w:jc w:val="center"/>
              <w:rPr>
                <w:rFonts w:eastAsiaTheme="minorEastAsia" w:cstheme="minorHAnsi"/>
                <w:bCs/>
                <w:iCs/>
              </w:rPr>
            </w:pPr>
            <w:r w:rsidRPr="000F0FF0">
              <w:rPr>
                <w:rFonts w:eastAsiaTheme="minorEastAsia" w:cstheme="minorHAnsi"/>
                <w:bCs/>
                <w:iCs/>
              </w:rPr>
              <w:t>164</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6E5BCF70" w14:textId="26B982A1" w:rsidR="4E193667" w:rsidRPr="000F0FF0" w:rsidRDefault="4E193667" w:rsidP="007A731C">
            <w:pPr>
              <w:jc w:val="center"/>
              <w:rPr>
                <w:rFonts w:eastAsiaTheme="minorEastAsia" w:cstheme="minorHAnsi"/>
                <w:bCs/>
                <w:iCs/>
              </w:rPr>
            </w:pPr>
            <w:r w:rsidRPr="000F0FF0">
              <w:rPr>
                <w:rFonts w:eastAsiaTheme="minorEastAsia" w:cstheme="minorHAnsi"/>
                <w:bCs/>
                <w:iCs/>
              </w:rPr>
              <w:t>-2.965</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2DB48F1" w14:textId="35D51562" w:rsidR="4E193667" w:rsidRPr="000F0FF0" w:rsidRDefault="4E193667" w:rsidP="007A731C">
            <w:pPr>
              <w:jc w:val="center"/>
              <w:rPr>
                <w:rFonts w:eastAsiaTheme="minorEastAsia" w:cstheme="minorHAnsi"/>
                <w:bCs/>
                <w:iCs/>
              </w:rPr>
            </w:pPr>
            <w:r w:rsidRPr="000F0FF0">
              <w:rPr>
                <w:rFonts w:eastAsiaTheme="minorEastAsia" w:cstheme="minorHAnsi"/>
                <w:bCs/>
                <w:iCs/>
              </w:rPr>
              <w:t>142.399</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F149896" w14:textId="4AA22199" w:rsidR="4E193667" w:rsidRPr="000F0FF0" w:rsidRDefault="4E193667" w:rsidP="007A731C">
            <w:pPr>
              <w:jc w:val="center"/>
              <w:rPr>
                <w:rFonts w:eastAsiaTheme="minorEastAsia" w:cstheme="minorHAnsi"/>
                <w:bCs/>
                <w:iCs/>
              </w:rPr>
            </w:pPr>
            <w:r w:rsidRPr="000F0FF0">
              <w:rPr>
                <w:rFonts w:eastAsiaTheme="minorEastAsia" w:cstheme="minorHAnsi"/>
                <w:bCs/>
                <w:iCs/>
              </w:rPr>
              <w:t>168</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A61E1DE" w14:textId="48EFD1FC" w:rsidR="4E193667" w:rsidRPr="000F0FF0" w:rsidRDefault="4E193667" w:rsidP="007A731C">
            <w:pPr>
              <w:jc w:val="center"/>
              <w:rPr>
                <w:rFonts w:eastAsiaTheme="minorEastAsia" w:cstheme="minorHAnsi"/>
                <w:bCs/>
                <w:iCs/>
              </w:rPr>
            </w:pPr>
            <w:r w:rsidRPr="000F0FF0">
              <w:rPr>
                <w:rFonts w:eastAsiaTheme="minorEastAsia" w:cstheme="minorHAnsi"/>
                <w:bCs/>
                <w:iCs/>
              </w:rPr>
              <w:t>-39.307</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D3727A8" w14:textId="48596F5D" w:rsidR="4E193667" w:rsidRPr="000F0FF0" w:rsidRDefault="4E193667" w:rsidP="007A731C">
            <w:pPr>
              <w:jc w:val="center"/>
              <w:rPr>
                <w:rFonts w:eastAsiaTheme="minorEastAsia" w:cstheme="minorHAnsi"/>
                <w:bCs/>
                <w:iCs/>
              </w:rPr>
            </w:pPr>
            <w:r w:rsidRPr="000F0FF0">
              <w:rPr>
                <w:rFonts w:eastAsiaTheme="minorEastAsia" w:cstheme="minorHAnsi"/>
                <w:bCs/>
                <w:iCs/>
              </w:rPr>
              <w:t>131.068</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38564AB" w14:textId="1FFA15AB" w:rsidR="4E193667" w:rsidRPr="000F0FF0" w:rsidRDefault="4E193667" w:rsidP="007A731C">
            <w:pPr>
              <w:jc w:val="center"/>
              <w:rPr>
                <w:rFonts w:eastAsiaTheme="minorEastAsia" w:cstheme="minorHAnsi"/>
                <w:bCs/>
                <w:iCs/>
              </w:rPr>
            </w:pPr>
            <w:r w:rsidRPr="000F0FF0">
              <w:rPr>
                <w:rFonts w:eastAsiaTheme="minorEastAsia" w:cstheme="minorHAnsi"/>
                <w:bCs/>
                <w:iCs/>
              </w:rPr>
              <w:t>166</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37F233E" w14:textId="3B48AD6E" w:rsidR="4E193667" w:rsidRPr="000F0FF0" w:rsidRDefault="4E193667" w:rsidP="007A731C">
            <w:pPr>
              <w:jc w:val="center"/>
              <w:rPr>
                <w:rFonts w:eastAsiaTheme="minorEastAsia" w:cstheme="minorHAnsi"/>
                <w:bCs/>
                <w:iCs/>
              </w:rPr>
            </w:pPr>
            <w:r w:rsidRPr="000F0FF0">
              <w:rPr>
                <w:rFonts w:eastAsiaTheme="minorEastAsia" w:cstheme="minorHAnsi"/>
                <w:bCs/>
                <w:iCs/>
              </w:rPr>
              <w:t>-45.032</w:t>
            </w:r>
          </w:p>
        </w:tc>
      </w:tr>
      <w:tr w:rsidR="4E193667" w14:paraId="4BD790EB"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CB9BBF6" w14:textId="52B3BC40" w:rsidR="4E193667" w:rsidRPr="000F0FF0" w:rsidRDefault="4E193667" w:rsidP="4E193667">
            <w:pPr>
              <w:rPr>
                <w:rFonts w:eastAsiaTheme="minorEastAsia" w:cstheme="minorHAnsi"/>
                <w:bCs/>
                <w:iCs/>
              </w:rPr>
            </w:pPr>
            <w:r w:rsidRPr="000F0FF0">
              <w:rPr>
                <w:rFonts w:eastAsiaTheme="minorEastAsia" w:cstheme="minorHAnsi"/>
                <w:bCs/>
                <w:iCs/>
              </w:rPr>
              <w:t xml:space="preserve">B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C248628" w14:textId="0E482F64"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Rudarstvo i vađenje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8995752" w14:textId="33577D80" w:rsidR="4E193667" w:rsidRPr="000F0FF0" w:rsidRDefault="4E193667" w:rsidP="007A731C">
            <w:pPr>
              <w:jc w:val="center"/>
              <w:rPr>
                <w:rFonts w:eastAsiaTheme="minorEastAsia" w:cstheme="minorHAnsi"/>
                <w:bCs/>
                <w:iCs/>
              </w:rPr>
            </w:pPr>
            <w:r w:rsidRPr="000F0FF0">
              <w:rPr>
                <w:rFonts w:eastAsiaTheme="minorEastAsia" w:cstheme="minorHAnsi"/>
                <w:bCs/>
                <w:iCs/>
              </w:rPr>
              <w:t>116.485</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F48E80A" w14:textId="3E765FE2" w:rsidR="4E193667" w:rsidRPr="000F0FF0" w:rsidRDefault="4E193667" w:rsidP="007A731C">
            <w:pPr>
              <w:jc w:val="center"/>
              <w:rPr>
                <w:rFonts w:eastAsiaTheme="minorEastAsia" w:cstheme="minorHAnsi"/>
                <w:bCs/>
                <w:iCs/>
              </w:rPr>
            </w:pPr>
            <w:r w:rsidRPr="000F0FF0">
              <w:rPr>
                <w:rFonts w:eastAsiaTheme="minorEastAsia" w:cstheme="minorHAnsi"/>
                <w:bCs/>
                <w:iCs/>
              </w:rPr>
              <w:t>153</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026E368D" w14:textId="5E492669" w:rsidR="4E193667" w:rsidRPr="000F0FF0" w:rsidRDefault="4E193667" w:rsidP="007A731C">
            <w:pPr>
              <w:jc w:val="center"/>
              <w:rPr>
                <w:rFonts w:eastAsiaTheme="minorEastAsia" w:cstheme="minorHAnsi"/>
                <w:bCs/>
                <w:iCs/>
              </w:rPr>
            </w:pPr>
            <w:r w:rsidRPr="000F0FF0">
              <w:rPr>
                <w:rFonts w:eastAsiaTheme="minorEastAsia" w:cstheme="minorHAnsi"/>
                <w:bCs/>
                <w:iCs/>
              </w:rPr>
              <w:t>11.223</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5B4EB39B" w14:textId="375364A9" w:rsidR="4E193667" w:rsidRPr="000F0FF0" w:rsidRDefault="4E193667" w:rsidP="007A731C">
            <w:pPr>
              <w:jc w:val="center"/>
              <w:rPr>
                <w:rFonts w:eastAsiaTheme="minorEastAsia" w:cstheme="minorHAnsi"/>
                <w:bCs/>
                <w:iCs/>
              </w:rPr>
            </w:pPr>
            <w:r w:rsidRPr="000F0FF0">
              <w:rPr>
                <w:rFonts w:eastAsiaTheme="minorEastAsia" w:cstheme="minorHAnsi"/>
                <w:bCs/>
                <w:iCs/>
              </w:rPr>
              <w:t>122.898</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9841559" w14:textId="15496B0F" w:rsidR="4E193667" w:rsidRPr="000F0FF0" w:rsidRDefault="4E193667" w:rsidP="007A731C">
            <w:pPr>
              <w:jc w:val="center"/>
              <w:rPr>
                <w:rFonts w:eastAsiaTheme="minorEastAsia" w:cstheme="minorHAnsi"/>
                <w:bCs/>
                <w:iCs/>
              </w:rPr>
            </w:pPr>
            <w:r w:rsidRPr="000F0FF0">
              <w:rPr>
                <w:rFonts w:eastAsiaTheme="minorEastAsia" w:cstheme="minorHAnsi"/>
                <w:bCs/>
                <w:iCs/>
              </w:rPr>
              <w:t>155</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4545FFF6" w14:textId="3C9CD2C0" w:rsidR="4E193667" w:rsidRPr="000F0FF0" w:rsidRDefault="4E193667" w:rsidP="007A731C">
            <w:pPr>
              <w:jc w:val="center"/>
              <w:rPr>
                <w:rFonts w:eastAsiaTheme="minorEastAsia" w:cstheme="minorHAnsi"/>
                <w:bCs/>
                <w:iCs/>
              </w:rPr>
            </w:pPr>
            <w:r w:rsidRPr="000F0FF0">
              <w:rPr>
                <w:rFonts w:eastAsiaTheme="minorEastAsia" w:cstheme="minorHAnsi"/>
                <w:bCs/>
                <w:iCs/>
              </w:rPr>
              <w:t>14.547</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C5D26B5" w14:textId="674DE158" w:rsidR="4E193667" w:rsidRPr="000F0FF0" w:rsidRDefault="4E193667" w:rsidP="007A731C">
            <w:pPr>
              <w:jc w:val="center"/>
              <w:rPr>
                <w:rFonts w:eastAsiaTheme="minorEastAsia" w:cstheme="minorHAnsi"/>
                <w:bCs/>
                <w:iCs/>
              </w:rPr>
            </w:pPr>
            <w:r w:rsidRPr="000F0FF0">
              <w:rPr>
                <w:rFonts w:eastAsiaTheme="minorEastAsia" w:cstheme="minorHAnsi"/>
                <w:bCs/>
                <w:iCs/>
              </w:rPr>
              <w:t>138.058</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964293C" w14:textId="31CAE5C1" w:rsidR="4E193667" w:rsidRPr="000F0FF0" w:rsidRDefault="4E193667" w:rsidP="007A731C">
            <w:pPr>
              <w:jc w:val="center"/>
              <w:rPr>
                <w:rFonts w:eastAsiaTheme="minorEastAsia" w:cstheme="minorHAnsi"/>
                <w:bCs/>
                <w:iCs/>
              </w:rPr>
            </w:pPr>
            <w:r w:rsidRPr="000F0FF0">
              <w:rPr>
                <w:rFonts w:eastAsiaTheme="minorEastAsia" w:cstheme="minorHAnsi"/>
                <w:bCs/>
                <w:iCs/>
              </w:rPr>
              <w:t>155</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7CB37BA" w14:textId="4FDCEF75" w:rsidR="4E193667" w:rsidRPr="000F0FF0" w:rsidRDefault="4E193667" w:rsidP="007A731C">
            <w:pPr>
              <w:jc w:val="center"/>
              <w:rPr>
                <w:rFonts w:eastAsiaTheme="minorEastAsia" w:cstheme="minorHAnsi"/>
                <w:bCs/>
                <w:iCs/>
              </w:rPr>
            </w:pPr>
            <w:r w:rsidRPr="000F0FF0">
              <w:rPr>
                <w:rFonts w:eastAsiaTheme="minorEastAsia" w:cstheme="minorHAnsi"/>
                <w:bCs/>
                <w:iCs/>
              </w:rPr>
              <w:t>9.097</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DECE085" w14:textId="382ADB88" w:rsidR="4E193667" w:rsidRPr="000F0FF0" w:rsidRDefault="4E193667" w:rsidP="007A731C">
            <w:pPr>
              <w:jc w:val="center"/>
              <w:rPr>
                <w:rFonts w:eastAsiaTheme="minorEastAsia" w:cstheme="minorHAnsi"/>
                <w:bCs/>
                <w:iCs/>
              </w:rPr>
            </w:pPr>
            <w:r w:rsidRPr="000F0FF0">
              <w:rPr>
                <w:rFonts w:eastAsiaTheme="minorEastAsia" w:cstheme="minorHAnsi"/>
                <w:bCs/>
                <w:iCs/>
              </w:rPr>
              <w:t>170.478</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8C8C3AF" w14:textId="041A4754" w:rsidR="4E193667" w:rsidRPr="000F0FF0" w:rsidRDefault="4E193667" w:rsidP="007A731C">
            <w:pPr>
              <w:jc w:val="center"/>
              <w:rPr>
                <w:rFonts w:eastAsiaTheme="minorEastAsia" w:cstheme="minorHAnsi"/>
                <w:bCs/>
                <w:iCs/>
              </w:rPr>
            </w:pPr>
            <w:r w:rsidRPr="000F0FF0">
              <w:rPr>
                <w:rFonts w:eastAsiaTheme="minorEastAsia" w:cstheme="minorHAnsi"/>
                <w:bCs/>
                <w:iCs/>
              </w:rPr>
              <w:t>158</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00B8AD6" w14:textId="19520EE5" w:rsidR="4E193667" w:rsidRPr="000F0FF0" w:rsidRDefault="4E193667" w:rsidP="007A731C">
            <w:pPr>
              <w:jc w:val="center"/>
              <w:rPr>
                <w:rFonts w:eastAsiaTheme="minorEastAsia" w:cstheme="minorHAnsi"/>
                <w:bCs/>
                <w:iCs/>
              </w:rPr>
            </w:pPr>
            <w:r w:rsidRPr="000F0FF0">
              <w:rPr>
                <w:rFonts w:eastAsiaTheme="minorEastAsia" w:cstheme="minorHAnsi"/>
                <w:bCs/>
                <w:iCs/>
              </w:rPr>
              <w:t>5.338</w:t>
            </w:r>
          </w:p>
        </w:tc>
      </w:tr>
      <w:tr w:rsidR="4E193667" w14:paraId="00F3A7A9"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6F41DAA" w14:textId="09BDF95B" w:rsidR="4E193667" w:rsidRPr="000F0FF0" w:rsidRDefault="4E193667" w:rsidP="4E193667">
            <w:pPr>
              <w:rPr>
                <w:rFonts w:eastAsiaTheme="minorEastAsia" w:cstheme="minorHAnsi"/>
                <w:bCs/>
                <w:iCs/>
              </w:rPr>
            </w:pPr>
            <w:r w:rsidRPr="000F0FF0">
              <w:rPr>
                <w:rFonts w:eastAsiaTheme="minorEastAsia" w:cstheme="minorHAnsi"/>
                <w:bCs/>
                <w:iCs/>
              </w:rPr>
              <w:t xml:space="preserve">C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55B1A6F" w14:textId="481FDD29"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Prerađivačka industrija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FA1AE1D" w14:textId="69DB4D3E" w:rsidR="4E193667" w:rsidRPr="000F0FF0" w:rsidRDefault="4E193667" w:rsidP="007A731C">
            <w:pPr>
              <w:jc w:val="center"/>
              <w:rPr>
                <w:rFonts w:eastAsiaTheme="minorEastAsia" w:cstheme="minorHAnsi"/>
                <w:bCs/>
                <w:iCs/>
              </w:rPr>
            </w:pPr>
            <w:r w:rsidRPr="000F0FF0">
              <w:rPr>
                <w:rFonts w:eastAsiaTheme="minorEastAsia" w:cstheme="minorHAnsi"/>
                <w:bCs/>
                <w:iCs/>
              </w:rPr>
              <w:t>5.259.157</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A1EDD50" w14:textId="1D2F3963" w:rsidR="4E193667" w:rsidRPr="000F0FF0" w:rsidRDefault="4E193667" w:rsidP="007A731C">
            <w:pPr>
              <w:jc w:val="center"/>
              <w:rPr>
                <w:rFonts w:eastAsiaTheme="minorEastAsia" w:cstheme="minorHAnsi"/>
                <w:bCs/>
                <w:iCs/>
              </w:rPr>
            </w:pPr>
            <w:r w:rsidRPr="000F0FF0">
              <w:rPr>
                <w:rFonts w:eastAsiaTheme="minorEastAsia" w:cstheme="minorHAnsi"/>
                <w:bCs/>
                <w:iCs/>
              </w:rPr>
              <w:t>9.392</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13D8BAA0" w14:textId="37B95A17" w:rsidR="4E193667" w:rsidRPr="000F0FF0" w:rsidRDefault="4E193667" w:rsidP="007A731C">
            <w:pPr>
              <w:jc w:val="center"/>
              <w:rPr>
                <w:rFonts w:eastAsiaTheme="minorEastAsia" w:cstheme="minorHAnsi"/>
                <w:bCs/>
                <w:iCs/>
              </w:rPr>
            </w:pPr>
            <w:r w:rsidRPr="000F0FF0">
              <w:rPr>
                <w:rFonts w:eastAsiaTheme="minorEastAsia" w:cstheme="minorHAnsi"/>
                <w:bCs/>
                <w:iCs/>
              </w:rPr>
              <w:t>368.398</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1C547D63" w14:textId="5CC1F700" w:rsidR="4E193667" w:rsidRPr="000F0FF0" w:rsidRDefault="4E193667" w:rsidP="007A731C">
            <w:pPr>
              <w:jc w:val="center"/>
              <w:rPr>
                <w:rFonts w:eastAsiaTheme="minorEastAsia" w:cstheme="minorHAnsi"/>
                <w:bCs/>
                <w:iCs/>
              </w:rPr>
            </w:pPr>
            <w:r w:rsidRPr="000F0FF0">
              <w:rPr>
                <w:rFonts w:eastAsiaTheme="minorEastAsia" w:cstheme="minorHAnsi"/>
                <w:bCs/>
                <w:iCs/>
              </w:rPr>
              <w:t>5.593.422</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7145CC2" w14:textId="182DA241" w:rsidR="4E193667" w:rsidRPr="000F0FF0" w:rsidRDefault="4E193667" w:rsidP="007A731C">
            <w:pPr>
              <w:jc w:val="center"/>
              <w:rPr>
                <w:rFonts w:eastAsiaTheme="minorEastAsia" w:cstheme="minorHAnsi"/>
                <w:bCs/>
                <w:iCs/>
              </w:rPr>
            </w:pPr>
            <w:r w:rsidRPr="000F0FF0">
              <w:rPr>
                <w:rFonts w:eastAsiaTheme="minorEastAsia" w:cstheme="minorHAnsi"/>
                <w:bCs/>
                <w:iCs/>
              </w:rPr>
              <w:t>9.880</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5E23E041" w14:textId="29B656A1" w:rsidR="4E193667" w:rsidRPr="000F0FF0" w:rsidRDefault="4E193667" w:rsidP="007A731C">
            <w:pPr>
              <w:jc w:val="center"/>
              <w:rPr>
                <w:rFonts w:eastAsiaTheme="minorEastAsia" w:cstheme="minorHAnsi"/>
                <w:bCs/>
                <w:iCs/>
              </w:rPr>
            </w:pPr>
            <w:r w:rsidRPr="000F0FF0">
              <w:rPr>
                <w:rFonts w:eastAsiaTheme="minorEastAsia" w:cstheme="minorHAnsi"/>
                <w:bCs/>
                <w:iCs/>
              </w:rPr>
              <w:t>382.059</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D0478DE" w14:textId="53262F1C" w:rsidR="4E193667" w:rsidRPr="000F0FF0" w:rsidRDefault="4E193667" w:rsidP="007A731C">
            <w:pPr>
              <w:jc w:val="center"/>
              <w:rPr>
                <w:rFonts w:eastAsiaTheme="minorEastAsia" w:cstheme="minorHAnsi"/>
                <w:bCs/>
                <w:iCs/>
              </w:rPr>
            </w:pPr>
            <w:r w:rsidRPr="000F0FF0">
              <w:rPr>
                <w:rFonts w:eastAsiaTheme="minorEastAsia" w:cstheme="minorHAnsi"/>
                <w:bCs/>
                <w:iCs/>
              </w:rPr>
              <w:t>5.744.397</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D06C6E2" w14:textId="7AEA3017" w:rsidR="4E193667" w:rsidRPr="000F0FF0" w:rsidRDefault="4E193667" w:rsidP="007A731C">
            <w:pPr>
              <w:jc w:val="center"/>
              <w:rPr>
                <w:rFonts w:eastAsiaTheme="minorEastAsia" w:cstheme="minorHAnsi"/>
                <w:bCs/>
                <w:iCs/>
              </w:rPr>
            </w:pPr>
            <w:r w:rsidRPr="000F0FF0">
              <w:rPr>
                <w:rFonts w:eastAsiaTheme="minorEastAsia" w:cstheme="minorHAnsi"/>
                <w:bCs/>
                <w:iCs/>
              </w:rPr>
              <w:t>9.870</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6788627" w14:textId="0543EA48" w:rsidR="4E193667" w:rsidRPr="000F0FF0" w:rsidRDefault="4E193667" w:rsidP="007A731C">
            <w:pPr>
              <w:jc w:val="center"/>
              <w:rPr>
                <w:rFonts w:eastAsiaTheme="minorEastAsia" w:cstheme="minorHAnsi"/>
                <w:bCs/>
                <w:iCs/>
              </w:rPr>
            </w:pPr>
            <w:r w:rsidRPr="000F0FF0">
              <w:rPr>
                <w:rFonts w:eastAsiaTheme="minorEastAsia" w:cstheme="minorHAnsi"/>
                <w:bCs/>
                <w:iCs/>
              </w:rPr>
              <w:t>366.288</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32337D2" w14:textId="5DCA0961" w:rsidR="4E193667" w:rsidRPr="000F0FF0" w:rsidRDefault="4E193667" w:rsidP="007A731C">
            <w:pPr>
              <w:jc w:val="center"/>
              <w:rPr>
                <w:rFonts w:eastAsiaTheme="minorEastAsia" w:cstheme="minorHAnsi"/>
                <w:bCs/>
                <w:iCs/>
              </w:rPr>
            </w:pPr>
            <w:r w:rsidRPr="000F0FF0">
              <w:rPr>
                <w:rFonts w:eastAsiaTheme="minorEastAsia" w:cstheme="minorHAnsi"/>
                <w:bCs/>
                <w:iCs/>
              </w:rPr>
              <w:t>6.014.638</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262B74B" w14:textId="503A02C7" w:rsidR="4E193667" w:rsidRPr="000F0FF0" w:rsidRDefault="4E193667" w:rsidP="007A731C">
            <w:pPr>
              <w:jc w:val="center"/>
              <w:rPr>
                <w:rFonts w:eastAsiaTheme="minorEastAsia" w:cstheme="minorHAnsi"/>
                <w:bCs/>
                <w:iCs/>
              </w:rPr>
            </w:pPr>
            <w:r w:rsidRPr="000F0FF0">
              <w:rPr>
                <w:rFonts w:eastAsiaTheme="minorEastAsia" w:cstheme="minorHAnsi"/>
                <w:bCs/>
                <w:iCs/>
              </w:rPr>
              <w:t>10.118</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430115E" w14:textId="6C50395A" w:rsidR="4E193667" w:rsidRPr="000F0FF0" w:rsidRDefault="4E193667" w:rsidP="007A731C">
            <w:pPr>
              <w:jc w:val="center"/>
              <w:rPr>
                <w:rFonts w:eastAsiaTheme="minorEastAsia" w:cstheme="minorHAnsi"/>
                <w:bCs/>
                <w:iCs/>
              </w:rPr>
            </w:pPr>
            <w:r w:rsidRPr="000F0FF0">
              <w:rPr>
                <w:rFonts w:eastAsiaTheme="minorEastAsia" w:cstheme="minorHAnsi"/>
                <w:bCs/>
                <w:iCs/>
              </w:rPr>
              <w:t>410.779</w:t>
            </w:r>
          </w:p>
        </w:tc>
      </w:tr>
      <w:tr w:rsidR="4E193667" w14:paraId="4F9B1B09"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E3F8485" w14:textId="014947C6" w:rsidR="4E193667" w:rsidRPr="000F0FF0" w:rsidRDefault="4E193667" w:rsidP="4E193667">
            <w:pPr>
              <w:rPr>
                <w:rFonts w:eastAsiaTheme="minorEastAsia" w:cstheme="minorHAnsi"/>
                <w:bCs/>
                <w:iCs/>
              </w:rPr>
            </w:pPr>
            <w:r w:rsidRPr="000F0FF0">
              <w:rPr>
                <w:rFonts w:eastAsiaTheme="minorEastAsia" w:cstheme="minorHAnsi"/>
                <w:bCs/>
                <w:iCs/>
              </w:rPr>
              <w:t xml:space="preserve">D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3ED9744" w14:textId="72C9FF91"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Opskrba električ. energijom, plinom, parom i klimatizacija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BBBC267" w14:textId="197F6C74" w:rsidR="4E193667" w:rsidRPr="000F0FF0" w:rsidRDefault="4E193667" w:rsidP="007A731C">
            <w:pPr>
              <w:jc w:val="center"/>
              <w:rPr>
                <w:rFonts w:eastAsiaTheme="minorEastAsia" w:cstheme="minorHAnsi"/>
                <w:bCs/>
                <w:iCs/>
              </w:rPr>
            </w:pPr>
            <w:r w:rsidRPr="000F0FF0">
              <w:rPr>
                <w:rFonts w:eastAsiaTheme="minorEastAsia" w:cstheme="minorHAnsi"/>
                <w:bCs/>
                <w:iCs/>
              </w:rPr>
              <w:t>124.339</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D1AEBBB" w14:textId="48705CA1" w:rsidR="4E193667" w:rsidRPr="000F0FF0" w:rsidRDefault="4E193667" w:rsidP="007A731C">
            <w:pPr>
              <w:jc w:val="center"/>
              <w:rPr>
                <w:rFonts w:eastAsiaTheme="minorEastAsia" w:cstheme="minorHAnsi"/>
                <w:bCs/>
                <w:iCs/>
              </w:rPr>
            </w:pPr>
            <w:r w:rsidRPr="000F0FF0">
              <w:rPr>
                <w:rFonts w:eastAsiaTheme="minorEastAsia" w:cstheme="minorHAnsi"/>
                <w:bCs/>
                <w:iCs/>
              </w:rPr>
              <w:t>93</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67F16516" w14:textId="199E7910" w:rsidR="4E193667" w:rsidRPr="000F0FF0" w:rsidRDefault="4E193667" w:rsidP="007A731C">
            <w:pPr>
              <w:jc w:val="center"/>
              <w:rPr>
                <w:rFonts w:eastAsiaTheme="minorEastAsia" w:cstheme="minorHAnsi"/>
                <w:bCs/>
                <w:iCs/>
              </w:rPr>
            </w:pPr>
            <w:r w:rsidRPr="000F0FF0">
              <w:rPr>
                <w:rFonts w:eastAsiaTheme="minorEastAsia" w:cstheme="minorHAnsi"/>
                <w:bCs/>
                <w:iCs/>
              </w:rPr>
              <w:t>10.691</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4FA1B289" w14:textId="6F9715DA" w:rsidR="4E193667" w:rsidRPr="000F0FF0" w:rsidRDefault="4E193667" w:rsidP="007A731C">
            <w:pPr>
              <w:jc w:val="center"/>
              <w:rPr>
                <w:rFonts w:eastAsiaTheme="minorEastAsia" w:cstheme="minorHAnsi"/>
                <w:bCs/>
                <w:iCs/>
              </w:rPr>
            </w:pPr>
            <w:r w:rsidRPr="000F0FF0">
              <w:rPr>
                <w:rFonts w:eastAsiaTheme="minorEastAsia" w:cstheme="minorHAnsi"/>
                <w:bCs/>
                <w:iCs/>
              </w:rPr>
              <w:t>114.628</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00142DE" w14:textId="122E517F" w:rsidR="4E193667" w:rsidRPr="000F0FF0" w:rsidRDefault="4E193667" w:rsidP="007A731C">
            <w:pPr>
              <w:jc w:val="center"/>
              <w:rPr>
                <w:rFonts w:eastAsiaTheme="minorEastAsia" w:cstheme="minorHAnsi"/>
                <w:bCs/>
                <w:iCs/>
              </w:rPr>
            </w:pPr>
            <w:r w:rsidRPr="000F0FF0">
              <w:rPr>
                <w:rFonts w:eastAsiaTheme="minorEastAsia" w:cstheme="minorHAnsi"/>
                <w:bCs/>
                <w:iCs/>
              </w:rPr>
              <w:t>87</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2F51A294" w14:textId="15F92E03" w:rsidR="4E193667" w:rsidRPr="000F0FF0" w:rsidRDefault="4E193667" w:rsidP="007A731C">
            <w:pPr>
              <w:jc w:val="center"/>
              <w:rPr>
                <w:rFonts w:eastAsiaTheme="minorEastAsia" w:cstheme="minorHAnsi"/>
                <w:bCs/>
                <w:iCs/>
              </w:rPr>
            </w:pPr>
            <w:r w:rsidRPr="000F0FF0">
              <w:rPr>
                <w:rFonts w:eastAsiaTheme="minorEastAsia" w:cstheme="minorHAnsi"/>
                <w:bCs/>
                <w:iCs/>
              </w:rPr>
              <w:t>-6.333</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7377ED8" w14:textId="1366D766" w:rsidR="4E193667" w:rsidRPr="000F0FF0" w:rsidRDefault="4E193667" w:rsidP="007A731C">
            <w:pPr>
              <w:jc w:val="center"/>
              <w:rPr>
                <w:rFonts w:eastAsiaTheme="minorEastAsia" w:cstheme="minorHAnsi"/>
                <w:bCs/>
                <w:iCs/>
              </w:rPr>
            </w:pPr>
            <w:r w:rsidRPr="000F0FF0">
              <w:rPr>
                <w:rFonts w:eastAsiaTheme="minorEastAsia" w:cstheme="minorHAnsi"/>
                <w:bCs/>
                <w:iCs/>
              </w:rPr>
              <w:t>111.755</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0FC633B" w14:textId="6B622145" w:rsidR="4E193667" w:rsidRPr="000F0FF0" w:rsidRDefault="4E193667" w:rsidP="007A731C">
            <w:pPr>
              <w:jc w:val="center"/>
              <w:rPr>
                <w:rFonts w:eastAsiaTheme="minorEastAsia" w:cstheme="minorHAnsi"/>
                <w:bCs/>
                <w:iCs/>
              </w:rPr>
            </w:pPr>
            <w:r w:rsidRPr="000F0FF0">
              <w:rPr>
                <w:rFonts w:eastAsiaTheme="minorEastAsia" w:cstheme="minorHAnsi"/>
                <w:bCs/>
                <w:iCs/>
              </w:rPr>
              <w:t>85</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D21D31B" w14:textId="2EA33D44" w:rsidR="4E193667" w:rsidRPr="000F0FF0" w:rsidRDefault="4E193667" w:rsidP="007A731C">
            <w:pPr>
              <w:jc w:val="center"/>
              <w:rPr>
                <w:rFonts w:eastAsiaTheme="minorEastAsia" w:cstheme="minorHAnsi"/>
                <w:bCs/>
                <w:iCs/>
              </w:rPr>
            </w:pPr>
            <w:r w:rsidRPr="000F0FF0">
              <w:rPr>
                <w:rFonts w:eastAsiaTheme="minorEastAsia" w:cstheme="minorHAnsi"/>
                <w:bCs/>
                <w:iCs/>
              </w:rPr>
              <w:t>6.481</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30C4719" w14:textId="4D667CBB" w:rsidR="4E193667" w:rsidRPr="000F0FF0" w:rsidRDefault="4E193667" w:rsidP="007A731C">
            <w:pPr>
              <w:jc w:val="center"/>
              <w:rPr>
                <w:rFonts w:eastAsiaTheme="minorEastAsia" w:cstheme="minorHAnsi"/>
                <w:bCs/>
                <w:iCs/>
              </w:rPr>
            </w:pPr>
            <w:r w:rsidRPr="000F0FF0">
              <w:rPr>
                <w:rFonts w:eastAsiaTheme="minorEastAsia" w:cstheme="minorHAnsi"/>
                <w:bCs/>
                <w:iCs/>
              </w:rPr>
              <w:t>112.630</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CBA9B2C" w14:textId="54303045" w:rsidR="4E193667" w:rsidRPr="000F0FF0" w:rsidRDefault="4E193667" w:rsidP="007A731C">
            <w:pPr>
              <w:jc w:val="center"/>
              <w:rPr>
                <w:rFonts w:eastAsiaTheme="minorEastAsia" w:cstheme="minorHAnsi"/>
                <w:bCs/>
                <w:iCs/>
              </w:rPr>
            </w:pPr>
            <w:r w:rsidRPr="000F0FF0">
              <w:rPr>
                <w:rFonts w:eastAsiaTheme="minorEastAsia" w:cstheme="minorHAnsi"/>
                <w:bCs/>
                <w:iCs/>
              </w:rPr>
              <w:t>83</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09B71F5" w14:textId="150BCCEC" w:rsidR="4E193667" w:rsidRPr="000F0FF0" w:rsidRDefault="4E193667" w:rsidP="007A731C">
            <w:pPr>
              <w:jc w:val="center"/>
              <w:rPr>
                <w:rFonts w:eastAsiaTheme="minorEastAsia" w:cstheme="minorHAnsi"/>
                <w:bCs/>
                <w:iCs/>
              </w:rPr>
            </w:pPr>
            <w:r w:rsidRPr="000F0FF0">
              <w:rPr>
                <w:rFonts w:eastAsiaTheme="minorEastAsia" w:cstheme="minorHAnsi"/>
                <w:bCs/>
                <w:iCs/>
              </w:rPr>
              <w:t>7.511</w:t>
            </w:r>
          </w:p>
        </w:tc>
      </w:tr>
      <w:tr w:rsidR="4E193667" w14:paraId="6D674544"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A229340" w14:textId="006E3609" w:rsidR="4E193667" w:rsidRPr="000F0FF0" w:rsidRDefault="4E193667" w:rsidP="4E193667">
            <w:pPr>
              <w:rPr>
                <w:rFonts w:eastAsiaTheme="minorEastAsia" w:cstheme="minorHAnsi"/>
                <w:bCs/>
                <w:iCs/>
              </w:rPr>
            </w:pPr>
            <w:r w:rsidRPr="000F0FF0">
              <w:rPr>
                <w:rFonts w:eastAsiaTheme="minorEastAsia" w:cstheme="minorHAnsi"/>
                <w:bCs/>
                <w:iCs/>
              </w:rPr>
              <w:t xml:space="preserve">E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18D8025" w14:textId="653A0D18"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Opskrba vodom; uklanjanje otpadnih voda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0516DC8" w14:textId="47723471" w:rsidR="4E193667" w:rsidRPr="000F0FF0" w:rsidRDefault="4E193667" w:rsidP="007A731C">
            <w:pPr>
              <w:jc w:val="center"/>
              <w:rPr>
                <w:rFonts w:eastAsiaTheme="minorEastAsia" w:cstheme="minorHAnsi"/>
                <w:bCs/>
                <w:iCs/>
              </w:rPr>
            </w:pPr>
            <w:r w:rsidRPr="000F0FF0">
              <w:rPr>
                <w:rFonts w:eastAsiaTheme="minorEastAsia" w:cstheme="minorHAnsi"/>
                <w:bCs/>
                <w:iCs/>
              </w:rPr>
              <w:t>376.610</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FD89B25" w14:textId="0352AB9F" w:rsidR="4E193667" w:rsidRPr="000F0FF0" w:rsidRDefault="4E193667" w:rsidP="007A731C">
            <w:pPr>
              <w:jc w:val="center"/>
              <w:rPr>
                <w:rFonts w:eastAsiaTheme="minorEastAsia" w:cstheme="minorHAnsi"/>
                <w:bCs/>
                <w:iCs/>
              </w:rPr>
            </w:pPr>
            <w:r w:rsidRPr="000F0FF0">
              <w:rPr>
                <w:rFonts w:eastAsiaTheme="minorEastAsia" w:cstheme="minorHAnsi"/>
                <w:bCs/>
                <w:iCs/>
              </w:rPr>
              <w:t>833</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4FE2E222" w14:textId="158E9AB4" w:rsidR="4E193667" w:rsidRPr="000F0FF0" w:rsidRDefault="4E193667" w:rsidP="007A731C">
            <w:pPr>
              <w:jc w:val="center"/>
              <w:rPr>
                <w:rFonts w:eastAsiaTheme="minorEastAsia" w:cstheme="minorHAnsi"/>
                <w:bCs/>
                <w:iCs/>
              </w:rPr>
            </w:pPr>
            <w:r w:rsidRPr="000F0FF0">
              <w:rPr>
                <w:rFonts w:eastAsiaTheme="minorEastAsia" w:cstheme="minorHAnsi"/>
                <w:bCs/>
                <w:iCs/>
              </w:rPr>
              <w:t>6.313</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42DA5DCE" w14:textId="1AD197C1" w:rsidR="4E193667" w:rsidRPr="000F0FF0" w:rsidRDefault="4E193667" w:rsidP="007A731C">
            <w:pPr>
              <w:jc w:val="center"/>
              <w:rPr>
                <w:rFonts w:eastAsiaTheme="minorEastAsia" w:cstheme="minorHAnsi"/>
                <w:bCs/>
                <w:iCs/>
              </w:rPr>
            </w:pPr>
            <w:r w:rsidRPr="000F0FF0">
              <w:rPr>
                <w:rFonts w:eastAsiaTheme="minorEastAsia" w:cstheme="minorHAnsi"/>
                <w:bCs/>
                <w:iCs/>
              </w:rPr>
              <w:t>344.958</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8CDFFF2" w14:textId="75B77F9B" w:rsidR="4E193667" w:rsidRPr="000F0FF0" w:rsidRDefault="4E193667" w:rsidP="007A731C">
            <w:pPr>
              <w:jc w:val="center"/>
              <w:rPr>
                <w:rFonts w:eastAsiaTheme="minorEastAsia" w:cstheme="minorHAnsi"/>
                <w:bCs/>
                <w:iCs/>
              </w:rPr>
            </w:pPr>
            <w:r w:rsidRPr="000F0FF0">
              <w:rPr>
                <w:rFonts w:eastAsiaTheme="minorEastAsia" w:cstheme="minorHAnsi"/>
                <w:bCs/>
                <w:iCs/>
              </w:rPr>
              <w:t>842</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031AA5C5" w14:textId="1BA75BDD" w:rsidR="4E193667" w:rsidRPr="000F0FF0" w:rsidRDefault="4E193667" w:rsidP="007A731C">
            <w:pPr>
              <w:jc w:val="center"/>
              <w:rPr>
                <w:rFonts w:eastAsiaTheme="minorEastAsia" w:cstheme="minorHAnsi"/>
                <w:bCs/>
                <w:iCs/>
              </w:rPr>
            </w:pPr>
            <w:r w:rsidRPr="000F0FF0">
              <w:rPr>
                <w:rFonts w:eastAsiaTheme="minorEastAsia" w:cstheme="minorHAnsi"/>
                <w:bCs/>
                <w:iCs/>
              </w:rPr>
              <w:t>4.480</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2B0A49B" w14:textId="7E7BFF2E" w:rsidR="4E193667" w:rsidRPr="000F0FF0" w:rsidRDefault="4E193667" w:rsidP="007A731C">
            <w:pPr>
              <w:jc w:val="center"/>
              <w:rPr>
                <w:rFonts w:eastAsiaTheme="minorEastAsia" w:cstheme="minorHAnsi"/>
                <w:bCs/>
                <w:iCs/>
              </w:rPr>
            </w:pPr>
            <w:r w:rsidRPr="000F0FF0">
              <w:rPr>
                <w:rFonts w:eastAsiaTheme="minorEastAsia" w:cstheme="minorHAnsi"/>
                <w:bCs/>
                <w:iCs/>
              </w:rPr>
              <w:t>532.699</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A79D4D1" w14:textId="75F97601" w:rsidR="4E193667" w:rsidRPr="000F0FF0" w:rsidRDefault="4E193667" w:rsidP="007A731C">
            <w:pPr>
              <w:jc w:val="center"/>
              <w:rPr>
                <w:rFonts w:eastAsiaTheme="minorEastAsia" w:cstheme="minorHAnsi"/>
                <w:bCs/>
                <w:iCs/>
              </w:rPr>
            </w:pPr>
            <w:r w:rsidRPr="000F0FF0">
              <w:rPr>
                <w:rFonts w:eastAsiaTheme="minorEastAsia" w:cstheme="minorHAnsi"/>
                <w:bCs/>
                <w:iCs/>
              </w:rPr>
              <w:t>884</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CA82CAA" w14:textId="7E30EC96" w:rsidR="4E193667" w:rsidRPr="000F0FF0" w:rsidRDefault="4E193667" w:rsidP="007A731C">
            <w:pPr>
              <w:jc w:val="center"/>
              <w:rPr>
                <w:rFonts w:eastAsiaTheme="minorEastAsia" w:cstheme="minorHAnsi"/>
                <w:bCs/>
                <w:iCs/>
              </w:rPr>
            </w:pPr>
            <w:r w:rsidRPr="000F0FF0">
              <w:rPr>
                <w:rFonts w:eastAsiaTheme="minorEastAsia" w:cstheme="minorHAnsi"/>
                <w:bCs/>
                <w:iCs/>
              </w:rPr>
              <w:t>7.953</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030EAC7" w14:textId="19EB3AAE" w:rsidR="4E193667" w:rsidRPr="000F0FF0" w:rsidRDefault="4E193667" w:rsidP="007A731C">
            <w:pPr>
              <w:jc w:val="center"/>
              <w:rPr>
                <w:rFonts w:eastAsiaTheme="minorEastAsia" w:cstheme="minorHAnsi"/>
                <w:bCs/>
                <w:iCs/>
              </w:rPr>
            </w:pPr>
            <w:r w:rsidRPr="000F0FF0">
              <w:rPr>
                <w:rFonts w:eastAsiaTheme="minorEastAsia" w:cstheme="minorHAnsi"/>
                <w:bCs/>
                <w:iCs/>
              </w:rPr>
              <w:t>449.590</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724B945" w14:textId="2AD3450B" w:rsidR="4E193667" w:rsidRPr="000F0FF0" w:rsidRDefault="4E193667" w:rsidP="007A731C">
            <w:pPr>
              <w:jc w:val="center"/>
              <w:rPr>
                <w:rFonts w:eastAsiaTheme="minorEastAsia" w:cstheme="minorHAnsi"/>
                <w:bCs/>
                <w:iCs/>
              </w:rPr>
            </w:pPr>
            <w:r w:rsidRPr="000F0FF0">
              <w:rPr>
                <w:rFonts w:eastAsiaTheme="minorEastAsia" w:cstheme="minorHAnsi"/>
                <w:bCs/>
                <w:iCs/>
              </w:rPr>
              <w:t>778</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1794F85" w14:textId="332E0814" w:rsidR="4E193667" w:rsidRPr="000F0FF0" w:rsidRDefault="4E193667" w:rsidP="007A731C">
            <w:pPr>
              <w:jc w:val="center"/>
              <w:rPr>
                <w:rFonts w:eastAsiaTheme="minorEastAsia" w:cstheme="minorHAnsi"/>
                <w:bCs/>
                <w:iCs/>
              </w:rPr>
            </w:pPr>
            <w:r w:rsidRPr="000F0FF0">
              <w:rPr>
                <w:rFonts w:eastAsiaTheme="minorEastAsia" w:cstheme="minorHAnsi"/>
                <w:bCs/>
                <w:iCs/>
              </w:rPr>
              <w:t>6.145</w:t>
            </w:r>
          </w:p>
        </w:tc>
      </w:tr>
      <w:tr w:rsidR="4E193667" w14:paraId="2CD15A1D"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1978330" w14:textId="785273DD" w:rsidR="4E193667" w:rsidRPr="000F0FF0" w:rsidRDefault="4E193667" w:rsidP="4E193667">
            <w:pPr>
              <w:rPr>
                <w:rFonts w:eastAsiaTheme="minorEastAsia" w:cstheme="minorHAnsi"/>
                <w:bCs/>
                <w:iCs/>
              </w:rPr>
            </w:pPr>
            <w:r w:rsidRPr="000F0FF0">
              <w:rPr>
                <w:rFonts w:eastAsiaTheme="minorEastAsia" w:cstheme="minorHAnsi"/>
                <w:bCs/>
                <w:iCs/>
              </w:rPr>
              <w:t xml:space="preserve">F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F0AA6B8" w14:textId="04145C6A"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Građevinarstvo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5BFF3C6" w14:textId="35F129CF" w:rsidR="4E193667" w:rsidRPr="000F0FF0" w:rsidRDefault="4E193667" w:rsidP="007A731C">
            <w:pPr>
              <w:jc w:val="center"/>
              <w:rPr>
                <w:rFonts w:eastAsiaTheme="minorEastAsia" w:cstheme="minorHAnsi"/>
                <w:bCs/>
                <w:iCs/>
              </w:rPr>
            </w:pPr>
            <w:r w:rsidRPr="000F0FF0">
              <w:rPr>
                <w:rFonts w:eastAsiaTheme="minorEastAsia" w:cstheme="minorHAnsi"/>
                <w:bCs/>
                <w:iCs/>
              </w:rPr>
              <w:t>712.482</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0F1153E" w14:textId="7FDDB2A7" w:rsidR="4E193667" w:rsidRPr="000F0FF0" w:rsidRDefault="4E193667" w:rsidP="007A731C">
            <w:pPr>
              <w:jc w:val="center"/>
              <w:rPr>
                <w:rFonts w:eastAsiaTheme="minorEastAsia" w:cstheme="minorHAnsi"/>
                <w:bCs/>
                <w:iCs/>
              </w:rPr>
            </w:pPr>
            <w:r w:rsidRPr="000F0FF0">
              <w:rPr>
                <w:rFonts w:eastAsiaTheme="minorEastAsia" w:cstheme="minorHAnsi"/>
                <w:bCs/>
                <w:iCs/>
              </w:rPr>
              <w:t>1.849</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48F83FEE" w14:textId="771BA34E" w:rsidR="4E193667" w:rsidRPr="000F0FF0" w:rsidRDefault="4E193667" w:rsidP="007A731C">
            <w:pPr>
              <w:jc w:val="center"/>
              <w:rPr>
                <w:rFonts w:eastAsiaTheme="minorEastAsia" w:cstheme="minorHAnsi"/>
                <w:bCs/>
                <w:iCs/>
              </w:rPr>
            </w:pPr>
            <w:r w:rsidRPr="000F0FF0">
              <w:rPr>
                <w:rFonts w:eastAsiaTheme="minorEastAsia" w:cstheme="minorHAnsi"/>
                <w:bCs/>
                <w:iCs/>
              </w:rPr>
              <w:t>-2.385</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0BD48B22" w14:textId="7A54E43D" w:rsidR="4E193667" w:rsidRPr="000F0FF0" w:rsidRDefault="4E193667" w:rsidP="007A731C">
            <w:pPr>
              <w:jc w:val="center"/>
              <w:rPr>
                <w:rFonts w:eastAsiaTheme="minorEastAsia" w:cstheme="minorHAnsi"/>
                <w:bCs/>
                <w:iCs/>
              </w:rPr>
            </w:pPr>
            <w:r w:rsidRPr="000F0FF0">
              <w:rPr>
                <w:rFonts w:eastAsiaTheme="minorEastAsia" w:cstheme="minorHAnsi"/>
                <w:bCs/>
                <w:iCs/>
              </w:rPr>
              <w:t>784.369</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AD84021" w14:textId="25C4F092" w:rsidR="4E193667" w:rsidRPr="000F0FF0" w:rsidRDefault="4E193667" w:rsidP="007A731C">
            <w:pPr>
              <w:jc w:val="center"/>
              <w:rPr>
                <w:rFonts w:eastAsiaTheme="minorEastAsia" w:cstheme="minorHAnsi"/>
                <w:bCs/>
                <w:iCs/>
              </w:rPr>
            </w:pPr>
            <w:r w:rsidRPr="000F0FF0">
              <w:rPr>
                <w:rFonts w:eastAsiaTheme="minorEastAsia" w:cstheme="minorHAnsi"/>
                <w:bCs/>
                <w:iCs/>
              </w:rPr>
              <w:t>1.936</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1DE3D2E2" w14:textId="0F4DE6FC" w:rsidR="4E193667" w:rsidRPr="000F0FF0" w:rsidRDefault="4E193667" w:rsidP="007A731C">
            <w:pPr>
              <w:jc w:val="center"/>
              <w:rPr>
                <w:rFonts w:eastAsiaTheme="minorEastAsia" w:cstheme="minorHAnsi"/>
                <w:bCs/>
                <w:iCs/>
              </w:rPr>
            </w:pPr>
            <w:r w:rsidRPr="000F0FF0">
              <w:rPr>
                <w:rFonts w:eastAsiaTheme="minorEastAsia" w:cstheme="minorHAnsi"/>
                <w:bCs/>
                <w:iCs/>
              </w:rPr>
              <w:t>35.441</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0754D98" w14:textId="3AA31223" w:rsidR="4E193667" w:rsidRPr="000F0FF0" w:rsidRDefault="4E193667" w:rsidP="007A731C">
            <w:pPr>
              <w:jc w:val="center"/>
              <w:rPr>
                <w:rFonts w:eastAsiaTheme="minorEastAsia" w:cstheme="minorHAnsi"/>
                <w:bCs/>
                <w:iCs/>
              </w:rPr>
            </w:pPr>
            <w:r w:rsidRPr="000F0FF0">
              <w:rPr>
                <w:rFonts w:eastAsiaTheme="minorEastAsia" w:cstheme="minorHAnsi"/>
                <w:bCs/>
                <w:iCs/>
              </w:rPr>
              <w:t>1.046.424</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ABC526A" w14:textId="1CFB9239" w:rsidR="4E193667" w:rsidRPr="000F0FF0" w:rsidRDefault="4E193667" w:rsidP="007A731C">
            <w:pPr>
              <w:jc w:val="center"/>
              <w:rPr>
                <w:rFonts w:eastAsiaTheme="minorEastAsia" w:cstheme="minorHAnsi"/>
                <w:bCs/>
                <w:iCs/>
              </w:rPr>
            </w:pPr>
            <w:r w:rsidRPr="000F0FF0">
              <w:rPr>
                <w:rFonts w:eastAsiaTheme="minorEastAsia" w:cstheme="minorHAnsi"/>
                <w:bCs/>
                <w:iCs/>
              </w:rPr>
              <w:t>2.170</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A2CC5A5" w14:textId="7A254F73" w:rsidR="4E193667" w:rsidRPr="000F0FF0" w:rsidRDefault="4E193667" w:rsidP="007A731C">
            <w:pPr>
              <w:jc w:val="center"/>
              <w:rPr>
                <w:rFonts w:eastAsiaTheme="minorEastAsia" w:cstheme="minorHAnsi"/>
                <w:bCs/>
                <w:iCs/>
              </w:rPr>
            </w:pPr>
            <w:r w:rsidRPr="000F0FF0">
              <w:rPr>
                <w:rFonts w:eastAsiaTheme="minorEastAsia" w:cstheme="minorHAnsi"/>
                <w:bCs/>
                <w:iCs/>
              </w:rPr>
              <w:t>29.777</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984FCCD" w14:textId="67F4D2BB" w:rsidR="4E193667" w:rsidRPr="000F0FF0" w:rsidRDefault="4E193667" w:rsidP="007A731C">
            <w:pPr>
              <w:jc w:val="center"/>
              <w:rPr>
                <w:rFonts w:eastAsiaTheme="minorEastAsia" w:cstheme="minorHAnsi"/>
                <w:bCs/>
                <w:iCs/>
              </w:rPr>
            </w:pPr>
            <w:r w:rsidRPr="000F0FF0">
              <w:rPr>
                <w:rFonts w:eastAsiaTheme="minorEastAsia" w:cstheme="minorHAnsi"/>
                <w:bCs/>
                <w:iCs/>
              </w:rPr>
              <w:t>1.181.173</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AFF103F" w14:textId="2905D814" w:rsidR="4E193667" w:rsidRPr="000F0FF0" w:rsidRDefault="4E193667" w:rsidP="007A731C">
            <w:pPr>
              <w:jc w:val="center"/>
              <w:rPr>
                <w:rFonts w:eastAsiaTheme="minorEastAsia" w:cstheme="minorHAnsi"/>
                <w:bCs/>
                <w:iCs/>
              </w:rPr>
            </w:pPr>
            <w:r w:rsidRPr="000F0FF0">
              <w:rPr>
                <w:rFonts w:eastAsiaTheme="minorEastAsia" w:cstheme="minorHAnsi"/>
                <w:bCs/>
                <w:iCs/>
              </w:rPr>
              <w:t>2.456</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1535B56" w14:textId="3345331F" w:rsidR="4E193667" w:rsidRPr="000F0FF0" w:rsidRDefault="4E193667" w:rsidP="007A731C">
            <w:pPr>
              <w:jc w:val="center"/>
              <w:rPr>
                <w:rFonts w:eastAsiaTheme="minorEastAsia" w:cstheme="minorHAnsi"/>
                <w:bCs/>
                <w:iCs/>
              </w:rPr>
            </w:pPr>
            <w:r w:rsidRPr="000F0FF0">
              <w:rPr>
                <w:rFonts w:eastAsiaTheme="minorEastAsia" w:cstheme="minorHAnsi"/>
                <w:bCs/>
                <w:iCs/>
              </w:rPr>
              <w:t>30.998</w:t>
            </w:r>
          </w:p>
        </w:tc>
      </w:tr>
      <w:tr w:rsidR="4E193667" w14:paraId="12B97DA6"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62250EB" w14:textId="7BBDAD8A" w:rsidR="4E193667" w:rsidRPr="000F0FF0" w:rsidRDefault="4E193667" w:rsidP="4E193667">
            <w:pPr>
              <w:rPr>
                <w:rFonts w:eastAsiaTheme="minorEastAsia" w:cstheme="minorHAnsi"/>
                <w:bCs/>
                <w:iCs/>
              </w:rPr>
            </w:pPr>
            <w:r w:rsidRPr="000F0FF0">
              <w:rPr>
                <w:rFonts w:eastAsiaTheme="minorEastAsia" w:cstheme="minorHAnsi"/>
                <w:bCs/>
                <w:iCs/>
              </w:rPr>
              <w:t xml:space="preserve">G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38A19D9" w14:textId="0A956AC2"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Trgovina na veliko i malo; popravak motor. vozila i motoc.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30944BF" w14:textId="0465D835" w:rsidR="4E193667" w:rsidRPr="000F0FF0" w:rsidRDefault="4E193667" w:rsidP="007A731C">
            <w:pPr>
              <w:jc w:val="center"/>
              <w:rPr>
                <w:rFonts w:eastAsiaTheme="minorEastAsia" w:cstheme="minorHAnsi"/>
                <w:bCs/>
                <w:iCs/>
              </w:rPr>
            </w:pPr>
            <w:r w:rsidRPr="000F0FF0">
              <w:rPr>
                <w:rFonts w:eastAsiaTheme="minorEastAsia" w:cstheme="minorHAnsi"/>
                <w:bCs/>
                <w:iCs/>
              </w:rPr>
              <w:t>2.645.697</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BEF5A40" w14:textId="52240C3F" w:rsidR="4E193667" w:rsidRPr="000F0FF0" w:rsidRDefault="4E193667" w:rsidP="007A731C">
            <w:pPr>
              <w:jc w:val="center"/>
              <w:rPr>
                <w:rFonts w:eastAsiaTheme="minorEastAsia" w:cstheme="minorHAnsi"/>
                <w:bCs/>
                <w:iCs/>
              </w:rPr>
            </w:pPr>
            <w:r w:rsidRPr="000F0FF0">
              <w:rPr>
                <w:rFonts w:eastAsiaTheme="minorEastAsia" w:cstheme="minorHAnsi"/>
                <w:bCs/>
                <w:iCs/>
              </w:rPr>
              <w:t>3.080</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681CF991" w14:textId="4BF6A00F" w:rsidR="4E193667" w:rsidRPr="000F0FF0" w:rsidRDefault="4E193667" w:rsidP="007A731C">
            <w:pPr>
              <w:jc w:val="center"/>
              <w:rPr>
                <w:rFonts w:eastAsiaTheme="minorEastAsia" w:cstheme="minorHAnsi"/>
                <w:bCs/>
                <w:iCs/>
              </w:rPr>
            </w:pPr>
            <w:r w:rsidRPr="000F0FF0">
              <w:rPr>
                <w:rFonts w:eastAsiaTheme="minorEastAsia" w:cstheme="minorHAnsi"/>
                <w:bCs/>
                <w:iCs/>
              </w:rPr>
              <w:t>104.841</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3EEFB161" w14:textId="4F672AC0" w:rsidR="4E193667" w:rsidRPr="000F0FF0" w:rsidRDefault="4E193667" w:rsidP="007A731C">
            <w:pPr>
              <w:jc w:val="center"/>
              <w:rPr>
                <w:rFonts w:eastAsiaTheme="minorEastAsia" w:cstheme="minorHAnsi"/>
                <w:bCs/>
                <w:iCs/>
              </w:rPr>
            </w:pPr>
            <w:r w:rsidRPr="000F0FF0">
              <w:rPr>
                <w:rFonts w:eastAsiaTheme="minorEastAsia" w:cstheme="minorHAnsi"/>
                <w:bCs/>
                <w:iCs/>
              </w:rPr>
              <w:t>2.931.272</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0D14B35" w14:textId="43DFF6A5" w:rsidR="4E193667" w:rsidRPr="000F0FF0" w:rsidRDefault="4E193667" w:rsidP="007A731C">
            <w:pPr>
              <w:jc w:val="center"/>
              <w:rPr>
                <w:rFonts w:eastAsiaTheme="minorEastAsia" w:cstheme="minorHAnsi"/>
                <w:bCs/>
                <w:iCs/>
              </w:rPr>
            </w:pPr>
            <w:r w:rsidRPr="000F0FF0">
              <w:rPr>
                <w:rFonts w:eastAsiaTheme="minorEastAsia" w:cstheme="minorHAnsi"/>
                <w:bCs/>
                <w:iCs/>
              </w:rPr>
              <w:t>3.292</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3FAAD862" w14:textId="0205EB31" w:rsidR="4E193667" w:rsidRPr="000F0FF0" w:rsidRDefault="4E193667" w:rsidP="007A731C">
            <w:pPr>
              <w:jc w:val="center"/>
              <w:rPr>
                <w:rFonts w:eastAsiaTheme="minorEastAsia" w:cstheme="minorHAnsi"/>
                <w:bCs/>
                <w:iCs/>
              </w:rPr>
            </w:pPr>
            <w:r w:rsidRPr="000F0FF0">
              <w:rPr>
                <w:rFonts w:eastAsiaTheme="minorEastAsia" w:cstheme="minorHAnsi"/>
                <w:bCs/>
                <w:iCs/>
              </w:rPr>
              <w:t>92.551</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752D087" w14:textId="381C62B6" w:rsidR="4E193667" w:rsidRPr="000F0FF0" w:rsidRDefault="4E193667" w:rsidP="007A731C">
            <w:pPr>
              <w:jc w:val="center"/>
              <w:rPr>
                <w:rFonts w:eastAsiaTheme="minorEastAsia" w:cstheme="minorHAnsi"/>
                <w:bCs/>
                <w:iCs/>
              </w:rPr>
            </w:pPr>
            <w:r w:rsidRPr="000F0FF0">
              <w:rPr>
                <w:rFonts w:eastAsiaTheme="minorEastAsia" w:cstheme="minorHAnsi"/>
                <w:bCs/>
                <w:iCs/>
              </w:rPr>
              <w:t>3.314.230</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4C6BD26" w14:textId="3403A488" w:rsidR="4E193667" w:rsidRPr="000F0FF0" w:rsidRDefault="4E193667" w:rsidP="007A731C">
            <w:pPr>
              <w:jc w:val="center"/>
              <w:rPr>
                <w:rFonts w:eastAsiaTheme="minorEastAsia" w:cstheme="minorHAnsi"/>
                <w:bCs/>
                <w:iCs/>
              </w:rPr>
            </w:pPr>
            <w:r w:rsidRPr="000F0FF0">
              <w:rPr>
                <w:rFonts w:eastAsiaTheme="minorEastAsia" w:cstheme="minorHAnsi"/>
                <w:bCs/>
                <w:iCs/>
              </w:rPr>
              <w:t>3.517</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651F09D" w14:textId="0ACBB9AB" w:rsidR="4E193667" w:rsidRPr="000F0FF0" w:rsidRDefault="4E193667" w:rsidP="007A731C">
            <w:pPr>
              <w:jc w:val="center"/>
              <w:rPr>
                <w:rFonts w:eastAsiaTheme="minorEastAsia" w:cstheme="minorHAnsi"/>
                <w:bCs/>
                <w:iCs/>
              </w:rPr>
            </w:pPr>
            <w:r w:rsidRPr="000F0FF0">
              <w:rPr>
                <w:rFonts w:eastAsiaTheme="minorEastAsia" w:cstheme="minorHAnsi"/>
                <w:bCs/>
                <w:iCs/>
              </w:rPr>
              <w:t>141.637</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5023A74" w14:textId="04A07F14" w:rsidR="4E193667" w:rsidRPr="000F0FF0" w:rsidRDefault="4E193667" w:rsidP="007A731C">
            <w:pPr>
              <w:jc w:val="center"/>
              <w:rPr>
                <w:rFonts w:eastAsiaTheme="minorEastAsia" w:cstheme="minorHAnsi"/>
                <w:bCs/>
                <w:iCs/>
              </w:rPr>
            </w:pPr>
            <w:r w:rsidRPr="000F0FF0">
              <w:rPr>
                <w:rFonts w:eastAsiaTheme="minorEastAsia" w:cstheme="minorHAnsi"/>
                <w:bCs/>
                <w:iCs/>
              </w:rPr>
              <w:t>3.440.093</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858F938" w14:textId="5986696B" w:rsidR="4E193667" w:rsidRPr="000F0FF0" w:rsidRDefault="4E193667" w:rsidP="007A731C">
            <w:pPr>
              <w:jc w:val="center"/>
              <w:rPr>
                <w:rFonts w:eastAsiaTheme="minorEastAsia" w:cstheme="minorHAnsi"/>
                <w:bCs/>
                <w:iCs/>
              </w:rPr>
            </w:pPr>
            <w:r w:rsidRPr="000F0FF0">
              <w:rPr>
                <w:rFonts w:eastAsiaTheme="minorEastAsia" w:cstheme="minorHAnsi"/>
                <w:bCs/>
                <w:iCs/>
              </w:rPr>
              <w:t>3.628</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941DE29" w14:textId="07FD3759" w:rsidR="4E193667" w:rsidRPr="000F0FF0" w:rsidRDefault="4E193667" w:rsidP="007A731C">
            <w:pPr>
              <w:jc w:val="center"/>
              <w:rPr>
                <w:rFonts w:eastAsiaTheme="minorEastAsia" w:cstheme="minorHAnsi"/>
                <w:bCs/>
                <w:iCs/>
              </w:rPr>
            </w:pPr>
            <w:r w:rsidRPr="000F0FF0">
              <w:rPr>
                <w:rFonts w:eastAsiaTheme="minorEastAsia" w:cstheme="minorHAnsi"/>
                <w:bCs/>
                <w:iCs/>
              </w:rPr>
              <w:t>129.259</w:t>
            </w:r>
          </w:p>
        </w:tc>
      </w:tr>
      <w:tr w:rsidR="4E193667" w14:paraId="72BEA299"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FD285A0" w14:textId="02B57E8D" w:rsidR="4E193667" w:rsidRPr="000F0FF0" w:rsidRDefault="4E193667" w:rsidP="4E193667">
            <w:pPr>
              <w:rPr>
                <w:rFonts w:eastAsiaTheme="minorEastAsia" w:cstheme="minorHAnsi"/>
                <w:bCs/>
                <w:iCs/>
              </w:rPr>
            </w:pPr>
            <w:r w:rsidRPr="000F0FF0">
              <w:rPr>
                <w:rFonts w:eastAsiaTheme="minorEastAsia" w:cstheme="minorHAnsi"/>
                <w:bCs/>
                <w:iCs/>
              </w:rPr>
              <w:t xml:space="preserve">H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BD8D41B" w14:textId="34677FC8"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Prijevoz i skladištenje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F87E812" w14:textId="449E9ACE" w:rsidR="4E193667" w:rsidRPr="000F0FF0" w:rsidRDefault="4E193667" w:rsidP="007A731C">
            <w:pPr>
              <w:jc w:val="center"/>
              <w:rPr>
                <w:rFonts w:eastAsiaTheme="minorEastAsia" w:cstheme="minorHAnsi"/>
                <w:bCs/>
                <w:iCs/>
              </w:rPr>
            </w:pPr>
            <w:r w:rsidRPr="000F0FF0">
              <w:rPr>
                <w:rFonts w:eastAsiaTheme="minorEastAsia" w:cstheme="minorHAnsi"/>
                <w:bCs/>
                <w:iCs/>
              </w:rPr>
              <w:t>931.301</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71A955F" w14:textId="13A5A7D5" w:rsidR="4E193667" w:rsidRPr="000F0FF0" w:rsidRDefault="4E193667" w:rsidP="007A731C">
            <w:pPr>
              <w:jc w:val="center"/>
              <w:rPr>
                <w:rFonts w:eastAsiaTheme="minorEastAsia" w:cstheme="minorHAnsi"/>
                <w:bCs/>
                <w:iCs/>
              </w:rPr>
            </w:pPr>
            <w:r w:rsidRPr="000F0FF0">
              <w:rPr>
                <w:rFonts w:eastAsiaTheme="minorEastAsia" w:cstheme="minorHAnsi"/>
                <w:bCs/>
                <w:iCs/>
              </w:rPr>
              <w:t>1.360</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06FDF0A7" w14:textId="5524456F" w:rsidR="4E193667" w:rsidRPr="000F0FF0" w:rsidRDefault="4E193667" w:rsidP="007A731C">
            <w:pPr>
              <w:jc w:val="center"/>
              <w:rPr>
                <w:rFonts w:eastAsiaTheme="minorEastAsia" w:cstheme="minorHAnsi"/>
                <w:bCs/>
                <w:iCs/>
              </w:rPr>
            </w:pPr>
            <w:r w:rsidRPr="000F0FF0">
              <w:rPr>
                <w:rFonts w:eastAsiaTheme="minorEastAsia" w:cstheme="minorHAnsi"/>
                <w:bCs/>
                <w:iCs/>
              </w:rPr>
              <w:t>41.549</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11F85201" w14:textId="6B888FDC" w:rsidR="4E193667" w:rsidRPr="000F0FF0" w:rsidRDefault="4E193667" w:rsidP="007A731C">
            <w:pPr>
              <w:jc w:val="center"/>
              <w:rPr>
                <w:rFonts w:eastAsiaTheme="minorEastAsia" w:cstheme="minorHAnsi"/>
                <w:bCs/>
                <w:iCs/>
              </w:rPr>
            </w:pPr>
            <w:r w:rsidRPr="000F0FF0">
              <w:rPr>
                <w:rFonts w:eastAsiaTheme="minorEastAsia" w:cstheme="minorHAnsi"/>
                <w:bCs/>
                <w:iCs/>
              </w:rPr>
              <w:t>972.496</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2ECE924" w14:textId="7103D145" w:rsidR="4E193667" w:rsidRPr="000F0FF0" w:rsidRDefault="4E193667" w:rsidP="007A731C">
            <w:pPr>
              <w:jc w:val="center"/>
              <w:rPr>
                <w:rFonts w:eastAsiaTheme="minorEastAsia" w:cstheme="minorHAnsi"/>
                <w:bCs/>
                <w:iCs/>
              </w:rPr>
            </w:pPr>
            <w:r w:rsidRPr="000F0FF0">
              <w:rPr>
                <w:rFonts w:eastAsiaTheme="minorEastAsia" w:cstheme="minorHAnsi"/>
                <w:bCs/>
                <w:iCs/>
              </w:rPr>
              <w:t>1.402</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4BDDC9A8" w14:textId="3A804911" w:rsidR="4E193667" w:rsidRPr="000F0FF0" w:rsidRDefault="4E193667" w:rsidP="007A731C">
            <w:pPr>
              <w:jc w:val="center"/>
              <w:rPr>
                <w:rFonts w:eastAsiaTheme="minorEastAsia" w:cstheme="minorHAnsi"/>
                <w:bCs/>
                <w:iCs/>
              </w:rPr>
            </w:pPr>
            <w:r w:rsidRPr="000F0FF0">
              <w:rPr>
                <w:rFonts w:eastAsiaTheme="minorEastAsia" w:cstheme="minorHAnsi"/>
                <w:bCs/>
                <w:iCs/>
              </w:rPr>
              <w:t>26.202</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DB636D4" w14:textId="667FD489" w:rsidR="4E193667" w:rsidRPr="000F0FF0" w:rsidRDefault="4E193667" w:rsidP="007A731C">
            <w:pPr>
              <w:jc w:val="center"/>
              <w:rPr>
                <w:rFonts w:eastAsiaTheme="minorEastAsia" w:cstheme="minorHAnsi"/>
                <w:bCs/>
                <w:iCs/>
              </w:rPr>
            </w:pPr>
            <w:r w:rsidRPr="000F0FF0">
              <w:rPr>
                <w:rFonts w:eastAsiaTheme="minorEastAsia" w:cstheme="minorHAnsi"/>
                <w:bCs/>
                <w:iCs/>
              </w:rPr>
              <w:t>1.077.951</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7D3B794" w14:textId="510970EC" w:rsidR="4E193667" w:rsidRPr="000F0FF0" w:rsidRDefault="4E193667" w:rsidP="007A731C">
            <w:pPr>
              <w:jc w:val="center"/>
              <w:rPr>
                <w:rFonts w:eastAsiaTheme="minorEastAsia" w:cstheme="minorHAnsi"/>
                <w:bCs/>
                <w:iCs/>
              </w:rPr>
            </w:pPr>
            <w:r w:rsidRPr="000F0FF0">
              <w:rPr>
                <w:rFonts w:eastAsiaTheme="minorEastAsia" w:cstheme="minorHAnsi"/>
                <w:bCs/>
                <w:iCs/>
              </w:rPr>
              <w:t>1.463</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490FACB" w14:textId="723DEFD0" w:rsidR="4E193667" w:rsidRPr="000F0FF0" w:rsidRDefault="4E193667" w:rsidP="007A731C">
            <w:pPr>
              <w:jc w:val="center"/>
              <w:rPr>
                <w:rFonts w:eastAsiaTheme="minorEastAsia" w:cstheme="minorHAnsi"/>
                <w:bCs/>
                <w:iCs/>
              </w:rPr>
            </w:pPr>
            <w:r w:rsidRPr="000F0FF0">
              <w:rPr>
                <w:rFonts w:eastAsiaTheme="minorEastAsia" w:cstheme="minorHAnsi"/>
                <w:bCs/>
                <w:iCs/>
              </w:rPr>
              <w:t>14.240</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5BDEB58" w14:textId="10D589C8" w:rsidR="4E193667" w:rsidRPr="000F0FF0" w:rsidRDefault="4E193667" w:rsidP="007A731C">
            <w:pPr>
              <w:jc w:val="center"/>
              <w:rPr>
                <w:rFonts w:eastAsiaTheme="minorEastAsia" w:cstheme="minorHAnsi"/>
                <w:bCs/>
                <w:iCs/>
              </w:rPr>
            </w:pPr>
            <w:r w:rsidRPr="000F0FF0">
              <w:rPr>
                <w:rFonts w:eastAsiaTheme="minorEastAsia" w:cstheme="minorHAnsi"/>
                <w:bCs/>
                <w:iCs/>
              </w:rPr>
              <w:t>1.085.908</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96D3DB0" w14:textId="05EDA216" w:rsidR="4E193667" w:rsidRPr="000F0FF0" w:rsidRDefault="4E193667" w:rsidP="007A731C">
            <w:pPr>
              <w:jc w:val="center"/>
              <w:rPr>
                <w:rFonts w:eastAsiaTheme="minorEastAsia" w:cstheme="minorHAnsi"/>
                <w:bCs/>
                <w:iCs/>
              </w:rPr>
            </w:pPr>
            <w:r w:rsidRPr="000F0FF0">
              <w:rPr>
                <w:rFonts w:eastAsiaTheme="minorEastAsia" w:cstheme="minorHAnsi"/>
                <w:bCs/>
                <w:iCs/>
              </w:rPr>
              <w:t>1.493</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2CD5F55" w14:textId="009C198C" w:rsidR="4E193667" w:rsidRPr="000F0FF0" w:rsidRDefault="4E193667" w:rsidP="007A731C">
            <w:pPr>
              <w:jc w:val="center"/>
              <w:rPr>
                <w:rFonts w:eastAsiaTheme="minorEastAsia" w:cstheme="minorHAnsi"/>
                <w:bCs/>
                <w:iCs/>
              </w:rPr>
            </w:pPr>
            <w:r w:rsidRPr="000F0FF0">
              <w:rPr>
                <w:rFonts w:eastAsiaTheme="minorEastAsia" w:cstheme="minorHAnsi"/>
                <w:bCs/>
                <w:iCs/>
              </w:rPr>
              <w:t>4.800</w:t>
            </w:r>
          </w:p>
        </w:tc>
      </w:tr>
      <w:tr w:rsidR="4E193667" w14:paraId="5A0C6B74"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2EE93B3" w14:textId="3F4DA7D0" w:rsidR="4E193667" w:rsidRPr="000F0FF0" w:rsidRDefault="4E193667" w:rsidP="4E193667">
            <w:pPr>
              <w:rPr>
                <w:rFonts w:eastAsiaTheme="minorEastAsia" w:cstheme="minorHAnsi"/>
                <w:bCs/>
                <w:iCs/>
              </w:rPr>
            </w:pPr>
            <w:r w:rsidRPr="000F0FF0">
              <w:rPr>
                <w:rFonts w:eastAsiaTheme="minorEastAsia" w:cstheme="minorHAnsi"/>
                <w:bCs/>
                <w:iCs/>
              </w:rPr>
              <w:t xml:space="preserve">I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0ADCD96" w14:textId="5A7CD68E"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Djelatnost pružanja smještaja te pripreme i usluživanja hrane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B1EA9B4" w14:textId="4D25F5D9" w:rsidR="4E193667" w:rsidRPr="000F0FF0" w:rsidRDefault="4E193667" w:rsidP="007A731C">
            <w:pPr>
              <w:jc w:val="center"/>
              <w:rPr>
                <w:rFonts w:eastAsiaTheme="minorEastAsia" w:cstheme="minorHAnsi"/>
                <w:bCs/>
                <w:iCs/>
              </w:rPr>
            </w:pPr>
            <w:r w:rsidRPr="000F0FF0">
              <w:rPr>
                <w:rFonts w:eastAsiaTheme="minorEastAsia" w:cstheme="minorHAnsi"/>
                <w:bCs/>
                <w:iCs/>
              </w:rPr>
              <w:t>194.707</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30318E2" w14:textId="44556644" w:rsidR="4E193667" w:rsidRPr="000F0FF0" w:rsidRDefault="4E193667" w:rsidP="007A731C">
            <w:pPr>
              <w:jc w:val="center"/>
              <w:rPr>
                <w:rFonts w:eastAsiaTheme="minorEastAsia" w:cstheme="minorHAnsi"/>
                <w:bCs/>
                <w:iCs/>
              </w:rPr>
            </w:pPr>
            <w:r w:rsidRPr="000F0FF0">
              <w:rPr>
                <w:rFonts w:eastAsiaTheme="minorEastAsia" w:cstheme="minorHAnsi"/>
                <w:bCs/>
                <w:iCs/>
              </w:rPr>
              <w:t>662</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296D5E8D" w14:textId="1B410FC7" w:rsidR="4E193667" w:rsidRPr="000F0FF0" w:rsidRDefault="4E193667" w:rsidP="007A731C">
            <w:pPr>
              <w:jc w:val="center"/>
              <w:rPr>
                <w:rFonts w:eastAsiaTheme="minorEastAsia" w:cstheme="minorHAnsi"/>
                <w:bCs/>
                <w:iCs/>
              </w:rPr>
            </w:pPr>
            <w:r w:rsidRPr="000F0FF0">
              <w:rPr>
                <w:rFonts w:eastAsiaTheme="minorEastAsia" w:cstheme="minorHAnsi"/>
                <w:bCs/>
                <w:iCs/>
              </w:rPr>
              <w:t>-7.708</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2680CA65" w14:textId="2A070D4D" w:rsidR="4E193667" w:rsidRPr="000F0FF0" w:rsidRDefault="4E193667" w:rsidP="007A731C">
            <w:pPr>
              <w:jc w:val="center"/>
              <w:rPr>
                <w:rFonts w:eastAsiaTheme="minorEastAsia" w:cstheme="minorHAnsi"/>
                <w:bCs/>
                <w:iCs/>
              </w:rPr>
            </w:pPr>
            <w:r w:rsidRPr="000F0FF0">
              <w:rPr>
                <w:rFonts w:eastAsiaTheme="minorEastAsia" w:cstheme="minorHAnsi"/>
                <w:bCs/>
                <w:iCs/>
              </w:rPr>
              <w:t>207.228</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EB0309B" w14:textId="6B960BCD" w:rsidR="4E193667" w:rsidRPr="000F0FF0" w:rsidRDefault="4E193667" w:rsidP="007A731C">
            <w:pPr>
              <w:jc w:val="center"/>
              <w:rPr>
                <w:rFonts w:eastAsiaTheme="minorEastAsia" w:cstheme="minorHAnsi"/>
                <w:bCs/>
                <w:iCs/>
              </w:rPr>
            </w:pPr>
            <w:r w:rsidRPr="000F0FF0">
              <w:rPr>
                <w:rFonts w:eastAsiaTheme="minorEastAsia" w:cstheme="minorHAnsi"/>
                <w:bCs/>
                <w:iCs/>
              </w:rPr>
              <w:t>697</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2EB11906" w14:textId="764FA697" w:rsidR="4E193667" w:rsidRPr="000F0FF0" w:rsidRDefault="4E193667" w:rsidP="007A731C">
            <w:pPr>
              <w:jc w:val="center"/>
              <w:rPr>
                <w:rFonts w:eastAsiaTheme="minorEastAsia" w:cstheme="minorHAnsi"/>
                <w:bCs/>
                <w:iCs/>
              </w:rPr>
            </w:pPr>
            <w:r w:rsidRPr="000F0FF0">
              <w:rPr>
                <w:rFonts w:eastAsiaTheme="minorEastAsia" w:cstheme="minorHAnsi"/>
                <w:bCs/>
                <w:iCs/>
              </w:rPr>
              <w:t>-5.007</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DC1F28D" w14:textId="68B6D714" w:rsidR="4E193667" w:rsidRPr="000F0FF0" w:rsidRDefault="4E193667" w:rsidP="007A731C">
            <w:pPr>
              <w:jc w:val="center"/>
              <w:rPr>
                <w:rFonts w:eastAsiaTheme="minorEastAsia" w:cstheme="minorHAnsi"/>
                <w:bCs/>
                <w:iCs/>
              </w:rPr>
            </w:pPr>
            <w:r w:rsidRPr="000F0FF0">
              <w:rPr>
                <w:rFonts w:eastAsiaTheme="minorEastAsia" w:cstheme="minorHAnsi"/>
                <w:bCs/>
                <w:iCs/>
              </w:rPr>
              <w:t>247.888</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36FD77A" w14:textId="49660D94" w:rsidR="4E193667" w:rsidRPr="000F0FF0" w:rsidRDefault="4E193667" w:rsidP="007A731C">
            <w:pPr>
              <w:jc w:val="center"/>
              <w:rPr>
                <w:rFonts w:eastAsiaTheme="minorEastAsia" w:cstheme="minorHAnsi"/>
                <w:bCs/>
                <w:iCs/>
              </w:rPr>
            </w:pPr>
            <w:r w:rsidRPr="000F0FF0">
              <w:rPr>
                <w:rFonts w:eastAsiaTheme="minorEastAsia" w:cstheme="minorHAnsi"/>
                <w:bCs/>
                <w:iCs/>
              </w:rPr>
              <w:t>796</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D5AA5B9" w14:textId="6B23D582" w:rsidR="4E193667" w:rsidRPr="000F0FF0" w:rsidRDefault="4E193667" w:rsidP="007A731C">
            <w:pPr>
              <w:jc w:val="center"/>
              <w:rPr>
                <w:rFonts w:eastAsiaTheme="minorEastAsia" w:cstheme="minorHAnsi"/>
                <w:bCs/>
                <w:iCs/>
              </w:rPr>
            </w:pPr>
            <w:r w:rsidRPr="000F0FF0">
              <w:rPr>
                <w:rFonts w:eastAsiaTheme="minorEastAsia" w:cstheme="minorHAnsi"/>
                <w:bCs/>
                <w:iCs/>
              </w:rPr>
              <w:t>-298</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D10FAB4" w14:textId="24DCD03B" w:rsidR="4E193667" w:rsidRPr="000F0FF0" w:rsidRDefault="4E193667" w:rsidP="007A731C">
            <w:pPr>
              <w:jc w:val="center"/>
              <w:rPr>
                <w:rFonts w:eastAsiaTheme="minorEastAsia" w:cstheme="minorHAnsi"/>
                <w:bCs/>
                <w:iCs/>
              </w:rPr>
            </w:pPr>
            <w:r w:rsidRPr="000F0FF0">
              <w:rPr>
                <w:rFonts w:eastAsiaTheme="minorEastAsia" w:cstheme="minorHAnsi"/>
                <w:bCs/>
                <w:iCs/>
              </w:rPr>
              <w:t>273.123</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A518B23" w14:textId="12F493CF" w:rsidR="4E193667" w:rsidRPr="000F0FF0" w:rsidRDefault="4E193667" w:rsidP="007A731C">
            <w:pPr>
              <w:jc w:val="center"/>
              <w:rPr>
                <w:rFonts w:eastAsiaTheme="minorEastAsia" w:cstheme="minorHAnsi"/>
                <w:bCs/>
                <w:iCs/>
              </w:rPr>
            </w:pPr>
            <w:r w:rsidRPr="000F0FF0">
              <w:rPr>
                <w:rFonts w:eastAsiaTheme="minorEastAsia" w:cstheme="minorHAnsi"/>
                <w:bCs/>
                <w:iCs/>
              </w:rPr>
              <w:t>802</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E6510C0" w14:textId="65E9E9B5" w:rsidR="4E193667" w:rsidRPr="000F0FF0" w:rsidRDefault="4E193667" w:rsidP="007A731C">
            <w:pPr>
              <w:jc w:val="center"/>
              <w:rPr>
                <w:rFonts w:eastAsiaTheme="minorEastAsia" w:cstheme="minorHAnsi"/>
                <w:bCs/>
                <w:iCs/>
              </w:rPr>
            </w:pPr>
            <w:r w:rsidRPr="000F0FF0">
              <w:rPr>
                <w:rFonts w:eastAsiaTheme="minorEastAsia" w:cstheme="minorHAnsi"/>
                <w:bCs/>
                <w:iCs/>
              </w:rPr>
              <w:t>9.971</w:t>
            </w:r>
          </w:p>
        </w:tc>
      </w:tr>
      <w:tr w:rsidR="4E193667" w14:paraId="27F5261F"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E0D5BE1" w14:textId="6023054A" w:rsidR="4E193667" w:rsidRPr="000F0FF0" w:rsidRDefault="4E193667" w:rsidP="4E193667">
            <w:pPr>
              <w:rPr>
                <w:rFonts w:eastAsiaTheme="minorEastAsia" w:cstheme="minorHAnsi"/>
                <w:bCs/>
                <w:iCs/>
              </w:rPr>
            </w:pPr>
            <w:r w:rsidRPr="000F0FF0">
              <w:rPr>
                <w:rFonts w:eastAsiaTheme="minorEastAsia" w:cstheme="minorHAnsi"/>
                <w:bCs/>
                <w:iCs/>
              </w:rPr>
              <w:t xml:space="preserve">J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DBFD836" w14:textId="28087ED3"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Informacije i komunikacije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102FDB0" w14:textId="58C2C7E6" w:rsidR="4E193667" w:rsidRPr="000F0FF0" w:rsidRDefault="4E193667" w:rsidP="007A731C">
            <w:pPr>
              <w:jc w:val="center"/>
              <w:rPr>
                <w:rFonts w:eastAsiaTheme="minorEastAsia" w:cstheme="minorHAnsi"/>
                <w:bCs/>
                <w:iCs/>
              </w:rPr>
            </w:pPr>
            <w:r w:rsidRPr="000F0FF0">
              <w:rPr>
                <w:rFonts w:eastAsiaTheme="minorEastAsia" w:cstheme="minorHAnsi"/>
                <w:bCs/>
                <w:iCs/>
              </w:rPr>
              <w:t>67.087</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6B60BC6" w14:textId="437B9D25" w:rsidR="4E193667" w:rsidRPr="000F0FF0" w:rsidRDefault="4E193667" w:rsidP="007A731C">
            <w:pPr>
              <w:jc w:val="center"/>
              <w:rPr>
                <w:rFonts w:eastAsiaTheme="minorEastAsia" w:cstheme="minorHAnsi"/>
                <w:bCs/>
                <w:iCs/>
              </w:rPr>
            </w:pPr>
            <w:r w:rsidRPr="000F0FF0">
              <w:rPr>
                <w:rFonts w:eastAsiaTheme="minorEastAsia" w:cstheme="minorHAnsi"/>
                <w:bCs/>
                <w:iCs/>
              </w:rPr>
              <w:t>196</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31196E74" w14:textId="78485F11" w:rsidR="4E193667" w:rsidRPr="000F0FF0" w:rsidRDefault="4E193667" w:rsidP="007A731C">
            <w:pPr>
              <w:jc w:val="center"/>
              <w:rPr>
                <w:rFonts w:eastAsiaTheme="minorEastAsia" w:cstheme="minorHAnsi"/>
                <w:bCs/>
                <w:iCs/>
              </w:rPr>
            </w:pPr>
            <w:r w:rsidRPr="000F0FF0">
              <w:rPr>
                <w:rFonts w:eastAsiaTheme="minorEastAsia" w:cstheme="minorHAnsi"/>
                <w:bCs/>
                <w:iCs/>
              </w:rPr>
              <w:t>5.712</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61CA85B2" w14:textId="0B740C16" w:rsidR="4E193667" w:rsidRPr="000F0FF0" w:rsidRDefault="4E193667" w:rsidP="007A731C">
            <w:pPr>
              <w:jc w:val="center"/>
              <w:rPr>
                <w:rFonts w:eastAsiaTheme="minorEastAsia" w:cstheme="minorHAnsi"/>
                <w:bCs/>
                <w:iCs/>
              </w:rPr>
            </w:pPr>
            <w:r w:rsidRPr="000F0FF0">
              <w:rPr>
                <w:rFonts w:eastAsiaTheme="minorEastAsia" w:cstheme="minorHAnsi"/>
                <w:bCs/>
                <w:iCs/>
              </w:rPr>
              <w:t>74.879</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EAED618" w14:textId="7E0053AC" w:rsidR="4E193667" w:rsidRPr="000F0FF0" w:rsidRDefault="4E193667" w:rsidP="007A731C">
            <w:pPr>
              <w:jc w:val="center"/>
              <w:rPr>
                <w:rFonts w:eastAsiaTheme="minorEastAsia" w:cstheme="minorHAnsi"/>
                <w:bCs/>
                <w:iCs/>
              </w:rPr>
            </w:pPr>
            <w:r w:rsidRPr="000F0FF0">
              <w:rPr>
                <w:rFonts w:eastAsiaTheme="minorEastAsia" w:cstheme="minorHAnsi"/>
                <w:bCs/>
                <w:iCs/>
              </w:rPr>
              <w:t>175</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4C32878E" w14:textId="6D96E9B7" w:rsidR="4E193667" w:rsidRPr="000F0FF0" w:rsidRDefault="4E193667" w:rsidP="007A731C">
            <w:pPr>
              <w:jc w:val="center"/>
              <w:rPr>
                <w:rFonts w:eastAsiaTheme="minorEastAsia" w:cstheme="minorHAnsi"/>
                <w:bCs/>
                <w:iCs/>
              </w:rPr>
            </w:pPr>
            <w:r w:rsidRPr="000F0FF0">
              <w:rPr>
                <w:rFonts w:eastAsiaTheme="minorEastAsia" w:cstheme="minorHAnsi"/>
                <w:bCs/>
                <w:iCs/>
              </w:rPr>
              <w:t>8.157</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5CDE921" w14:textId="5190F19D" w:rsidR="4E193667" w:rsidRPr="000F0FF0" w:rsidRDefault="4E193667" w:rsidP="007A731C">
            <w:pPr>
              <w:jc w:val="center"/>
              <w:rPr>
                <w:rFonts w:eastAsiaTheme="minorEastAsia" w:cstheme="minorHAnsi"/>
                <w:bCs/>
                <w:iCs/>
              </w:rPr>
            </w:pPr>
            <w:r w:rsidRPr="000F0FF0">
              <w:rPr>
                <w:rFonts w:eastAsiaTheme="minorEastAsia" w:cstheme="minorHAnsi"/>
                <w:bCs/>
                <w:iCs/>
              </w:rPr>
              <w:t>81.078</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D9E1C33" w14:textId="4091EFAC" w:rsidR="4E193667" w:rsidRPr="000F0FF0" w:rsidRDefault="4E193667" w:rsidP="007A731C">
            <w:pPr>
              <w:jc w:val="center"/>
              <w:rPr>
                <w:rFonts w:eastAsiaTheme="minorEastAsia" w:cstheme="minorHAnsi"/>
                <w:bCs/>
                <w:iCs/>
              </w:rPr>
            </w:pPr>
            <w:r w:rsidRPr="000F0FF0">
              <w:rPr>
                <w:rFonts w:eastAsiaTheme="minorEastAsia" w:cstheme="minorHAnsi"/>
                <w:bCs/>
                <w:iCs/>
              </w:rPr>
              <w:t>205</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E36FFF2" w14:textId="39A478F2" w:rsidR="4E193667" w:rsidRPr="000F0FF0" w:rsidRDefault="4E193667" w:rsidP="007A731C">
            <w:pPr>
              <w:jc w:val="center"/>
              <w:rPr>
                <w:rFonts w:eastAsiaTheme="minorEastAsia" w:cstheme="minorHAnsi"/>
                <w:bCs/>
                <w:iCs/>
              </w:rPr>
            </w:pPr>
            <w:r w:rsidRPr="000F0FF0">
              <w:rPr>
                <w:rFonts w:eastAsiaTheme="minorEastAsia" w:cstheme="minorHAnsi"/>
                <w:bCs/>
                <w:iCs/>
              </w:rPr>
              <w:t>8.991</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E39A8D3" w14:textId="24A8A3D3" w:rsidR="4E193667" w:rsidRPr="000F0FF0" w:rsidRDefault="4E193667" w:rsidP="007A731C">
            <w:pPr>
              <w:jc w:val="center"/>
              <w:rPr>
                <w:rFonts w:eastAsiaTheme="minorEastAsia" w:cstheme="minorHAnsi"/>
                <w:bCs/>
                <w:iCs/>
              </w:rPr>
            </w:pPr>
            <w:r w:rsidRPr="000F0FF0">
              <w:rPr>
                <w:rFonts w:eastAsiaTheme="minorEastAsia" w:cstheme="minorHAnsi"/>
                <w:bCs/>
                <w:iCs/>
              </w:rPr>
              <w:t>96.647</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E9D1DA4" w14:textId="062291A1" w:rsidR="4E193667" w:rsidRPr="000F0FF0" w:rsidRDefault="4E193667" w:rsidP="007A731C">
            <w:pPr>
              <w:jc w:val="center"/>
              <w:rPr>
                <w:rFonts w:eastAsiaTheme="minorEastAsia" w:cstheme="minorHAnsi"/>
                <w:bCs/>
                <w:iCs/>
              </w:rPr>
            </w:pPr>
            <w:r w:rsidRPr="000F0FF0">
              <w:rPr>
                <w:rFonts w:eastAsiaTheme="minorEastAsia" w:cstheme="minorHAnsi"/>
                <w:bCs/>
                <w:iCs/>
              </w:rPr>
              <w:t>221</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B6A0D35" w14:textId="1FEC2FD6" w:rsidR="4E193667" w:rsidRPr="000F0FF0" w:rsidRDefault="4E193667" w:rsidP="007A731C">
            <w:pPr>
              <w:jc w:val="center"/>
              <w:rPr>
                <w:rFonts w:eastAsiaTheme="minorEastAsia" w:cstheme="minorHAnsi"/>
                <w:bCs/>
                <w:iCs/>
              </w:rPr>
            </w:pPr>
            <w:r w:rsidRPr="000F0FF0">
              <w:rPr>
                <w:rFonts w:eastAsiaTheme="minorEastAsia" w:cstheme="minorHAnsi"/>
                <w:bCs/>
                <w:iCs/>
              </w:rPr>
              <w:t>12.493</w:t>
            </w:r>
          </w:p>
        </w:tc>
      </w:tr>
      <w:tr w:rsidR="4E193667" w14:paraId="5C62CF43"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2AB7DFD" w14:textId="134625CF" w:rsidR="4E193667" w:rsidRPr="000F0FF0" w:rsidRDefault="4E193667" w:rsidP="4E193667">
            <w:pPr>
              <w:rPr>
                <w:rFonts w:eastAsiaTheme="minorEastAsia" w:cstheme="minorHAnsi"/>
                <w:bCs/>
                <w:iCs/>
              </w:rPr>
            </w:pPr>
            <w:r w:rsidRPr="000F0FF0">
              <w:rPr>
                <w:rFonts w:eastAsiaTheme="minorEastAsia" w:cstheme="minorHAnsi"/>
                <w:bCs/>
                <w:iCs/>
              </w:rPr>
              <w:t xml:space="preserve">K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4A3DD9D" w14:textId="65283160"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Financijske djelatnosti i djelatnosti osiguranja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B569D00" w14:textId="75C09F1F" w:rsidR="4E193667" w:rsidRPr="000F0FF0" w:rsidRDefault="4E193667" w:rsidP="007A731C">
            <w:pPr>
              <w:jc w:val="center"/>
              <w:rPr>
                <w:rFonts w:eastAsiaTheme="minorEastAsia" w:cstheme="minorHAnsi"/>
                <w:bCs/>
                <w:iCs/>
              </w:rPr>
            </w:pPr>
            <w:r w:rsidRPr="000F0FF0">
              <w:rPr>
                <w:rFonts w:eastAsiaTheme="minorEastAsia" w:cstheme="minorHAnsi"/>
                <w:bCs/>
                <w:iCs/>
              </w:rPr>
              <w:t>2.265</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F01F8BA" w14:textId="79A565D7" w:rsidR="4E193667" w:rsidRPr="000F0FF0" w:rsidRDefault="4E193667" w:rsidP="007A731C">
            <w:pPr>
              <w:jc w:val="center"/>
              <w:rPr>
                <w:rFonts w:eastAsiaTheme="minorEastAsia" w:cstheme="minorHAnsi"/>
                <w:bCs/>
                <w:iCs/>
              </w:rPr>
            </w:pPr>
            <w:r w:rsidRPr="000F0FF0">
              <w:rPr>
                <w:rFonts w:eastAsiaTheme="minorEastAsia" w:cstheme="minorHAnsi"/>
                <w:bCs/>
                <w:iCs/>
              </w:rPr>
              <w:t>12</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27DBEC97" w14:textId="5940D36D" w:rsidR="4E193667" w:rsidRPr="000F0FF0" w:rsidRDefault="4E193667" w:rsidP="007A731C">
            <w:pPr>
              <w:jc w:val="center"/>
              <w:rPr>
                <w:rFonts w:eastAsiaTheme="minorEastAsia" w:cstheme="minorHAnsi"/>
                <w:bCs/>
                <w:iCs/>
              </w:rPr>
            </w:pPr>
            <w:r w:rsidRPr="000F0FF0">
              <w:rPr>
                <w:rFonts w:eastAsiaTheme="minorEastAsia" w:cstheme="minorHAnsi"/>
                <w:bCs/>
                <w:iCs/>
              </w:rPr>
              <w:t>362</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2A005782" w14:textId="26FBF336" w:rsidR="4E193667" w:rsidRPr="000F0FF0" w:rsidRDefault="4E193667" w:rsidP="007A731C">
            <w:pPr>
              <w:jc w:val="center"/>
              <w:rPr>
                <w:rFonts w:eastAsiaTheme="minorEastAsia" w:cstheme="minorHAnsi"/>
                <w:bCs/>
                <w:iCs/>
              </w:rPr>
            </w:pPr>
            <w:r w:rsidRPr="000F0FF0">
              <w:rPr>
                <w:rFonts w:eastAsiaTheme="minorEastAsia" w:cstheme="minorHAnsi"/>
                <w:bCs/>
                <w:iCs/>
              </w:rPr>
              <w:t>1.708</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50541B3" w14:textId="2AAE26B3" w:rsidR="4E193667" w:rsidRPr="000F0FF0" w:rsidRDefault="4E193667" w:rsidP="007A731C">
            <w:pPr>
              <w:jc w:val="center"/>
              <w:rPr>
                <w:rFonts w:eastAsiaTheme="minorEastAsia" w:cstheme="minorHAnsi"/>
                <w:bCs/>
                <w:iCs/>
              </w:rPr>
            </w:pPr>
            <w:r w:rsidRPr="000F0FF0">
              <w:rPr>
                <w:rFonts w:eastAsiaTheme="minorEastAsia" w:cstheme="minorHAnsi"/>
                <w:bCs/>
                <w:iCs/>
              </w:rPr>
              <w:t>7</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23717F23" w14:textId="760F70D3" w:rsidR="4E193667" w:rsidRPr="000F0FF0" w:rsidRDefault="4E193667" w:rsidP="007A731C">
            <w:pPr>
              <w:jc w:val="center"/>
              <w:rPr>
                <w:rFonts w:eastAsiaTheme="minorEastAsia" w:cstheme="minorHAnsi"/>
                <w:bCs/>
                <w:iCs/>
              </w:rPr>
            </w:pPr>
            <w:r w:rsidRPr="000F0FF0">
              <w:rPr>
                <w:rFonts w:eastAsiaTheme="minorEastAsia" w:cstheme="minorHAnsi"/>
                <w:bCs/>
                <w:iCs/>
              </w:rPr>
              <w:t>228</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16F36BA" w14:textId="496839A6" w:rsidR="4E193667" w:rsidRPr="000F0FF0" w:rsidRDefault="4E193667" w:rsidP="007A731C">
            <w:pPr>
              <w:jc w:val="center"/>
              <w:rPr>
                <w:rFonts w:eastAsiaTheme="minorEastAsia" w:cstheme="minorHAnsi"/>
                <w:bCs/>
                <w:iCs/>
              </w:rPr>
            </w:pPr>
            <w:r w:rsidRPr="000F0FF0">
              <w:rPr>
                <w:rFonts w:eastAsiaTheme="minorEastAsia" w:cstheme="minorHAnsi"/>
                <w:bCs/>
                <w:iCs/>
              </w:rPr>
              <w:t>1.609</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2139C9B" w14:textId="3E787DD4" w:rsidR="4E193667" w:rsidRPr="000F0FF0" w:rsidRDefault="4E193667" w:rsidP="007A731C">
            <w:pPr>
              <w:jc w:val="center"/>
              <w:rPr>
                <w:rFonts w:eastAsiaTheme="minorEastAsia" w:cstheme="minorHAnsi"/>
                <w:bCs/>
                <w:iCs/>
              </w:rPr>
            </w:pPr>
            <w:r w:rsidRPr="000F0FF0">
              <w:rPr>
                <w:rFonts w:eastAsiaTheme="minorEastAsia" w:cstheme="minorHAnsi"/>
                <w:bCs/>
                <w:iCs/>
              </w:rPr>
              <w:t>6</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50C4CCF" w14:textId="2F8016C4" w:rsidR="4E193667" w:rsidRPr="000F0FF0" w:rsidRDefault="4E193667" w:rsidP="007A731C">
            <w:pPr>
              <w:jc w:val="center"/>
              <w:rPr>
                <w:rFonts w:eastAsiaTheme="minorEastAsia" w:cstheme="minorHAnsi"/>
                <w:bCs/>
                <w:iCs/>
              </w:rPr>
            </w:pPr>
            <w:r w:rsidRPr="000F0FF0">
              <w:rPr>
                <w:rFonts w:eastAsiaTheme="minorEastAsia" w:cstheme="minorHAnsi"/>
                <w:bCs/>
                <w:iCs/>
              </w:rPr>
              <w:t>327</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5FE451B" w14:textId="48309F53" w:rsidR="4E193667" w:rsidRPr="000F0FF0" w:rsidRDefault="4E193667" w:rsidP="007A731C">
            <w:pPr>
              <w:jc w:val="center"/>
              <w:rPr>
                <w:rFonts w:eastAsiaTheme="minorEastAsia" w:cstheme="minorHAnsi"/>
                <w:bCs/>
                <w:iCs/>
              </w:rPr>
            </w:pPr>
            <w:r w:rsidRPr="000F0FF0">
              <w:rPr>
                <w:rFonts w:eastAsiaTheme="minorEastAsia" w:cstheme="minorHAnsi"/>
                <w:bCs/>
                <w:iCs/>
              </w:rPr>
              <w:t>1.546</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57C0F1C" w14:textId="71831676" w:rsidR="4E193667" w:rsidRPr="000F0FF0" w:rsidRDefault="4E193667" w:rsidP="007A731C">
            <w:pPr>
              <w:jc w:val="center"/>
              <w:rPr>
                <w:rFonts w:eastAsiaTheme="minorEastAsia" w:cstheme="minorHAnsi"/>
                <w:bCs/>
                <w:iCs/>
              </w:rPr>
            </w:pPr>
            <w:r w:rsidRPr="000F0FF0">
              <w:rPr>
                <w:rFonts w:eastAsiaTheme="minorEastAsia" w:cstheme="minorHAnsi"/>
                <w:bCs/>
                <w:iCs/>
              </w:rPr>
              <w:t>6</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BB05F17" w14:textId="57D51E7D" w:rsidR="4E193667" w:rsidRPr="000F0FF0" w:rsidRDefault="4E193667" w:rsidP="007A731C">
            <w:pPr>
              <w:jc w:val="center"/>
              <w:rPr>
                <w:rFonts w:eastAsiaTheme="minorEastAsia" w:cstheme="minorHAnsi"/>
                <w:bCs/>
                <w:iCs/>
              </w:rPr>
            </w:pPr>
            <w:r w:rsidRPr="000F0FF0">
              <w:rPr>
                <w:rFonts w:eastAsiaTheme="minorEastAsia" w:cstheme="minorHAnsi"/>
                <w:bCs/>
                <w:iCs/>
              </w:rPr>
              <w:t>227</w:t>
            </w:r>
          </w:p>
        </w:tc>
      </w:tr>
      <w:tr w:rsidR="4E193667" w14:paraId="5657AA5B"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AE08C73" w14:textId="4296F129" w:rsidR="4E193667" w:rsidRPr="000F0FF0" w:rsidRDefault="4E193667" w:rsidP="4E193667">
            <w:pPr>
              <w:rPr>
                <w:rFonts w:eastAsiaTheme="minorEastAsia" w:cstheme="minorHAnsi"/>
                <w:bCs/>
                <w:iCs/>
              </w:rPr>
            </w:pPr>
            <w:r w:rsidRPr="000F0FF0">
              <w:rPr>
                <w:rFonts w:eastAsiaTheme="minorEastAsia" w:cstheme="minorHAnsi"/>
                <w:bCs/>
                <w:iCs/>
              </w:rPr>
              <w:t xml:space="preserve">L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34D43FA" w14:textId="59437DB9"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Poslovanje nekretninama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A3816F0" w14:textId="5FF6347E" w:rsidR="4E193667" w:rsidRPr="000F0FF0" w:rsidRDefault="4E193667" w:rsidP="007A731C">
            <w:pPr>
              <w:jc w:val="center"/>
              <w:rPr>
                <w:rFonts w:eastAsiaTheme="minorEastAsia" w:cstheme="minorHAnsi"/>
                <w:bCs/>
                <w:iCs/>
              </w:rPr>
            </w:pPr>
            <w:r w:rsidRPr="000F0FF0">
              <w:rPr>
                <w:rFonts w:eastAsiaTheme="minorEastAsia" w:cstheme="minorHAnsi"/>
                <w:bCs/>
                <w:iCs/>
              </w:rPr>
              <w:t>15.721</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A366854" w14:textId="0348B712" w:rsidR="4E193667" w:rsidRPr="000F0FF0" w:rsidRDefault="4E193667" w:rsidP="007A731C">
            <w:pPr>
              <w:jc w:val="center"/>
              <w:rPr>
                <w:rFonts w:eastAsiaTheme="minorEastAsia" w:cstheme="minorHAnsi"/>
                <w:bCs/>
                <w:iCs/>
              </w:rPr>
            </w:pPr>
            <w:r w:rsidRPr="000F0FF0">
              <w:rPr>
                <w:rFonts w:eastAsiaTheme="minorEastAsia" w:cstheme="minorHAnsi"/>
                <w:bCs/>
                <w:iCs/>
              </w:rPr>
              <w:t>29</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405CEF9B" w14:textId="17A3D33B" w:rsidR="4E193667" w:rsidRPr="000F0FF0" w:rsidRDefault="4E193667" w:rsidP="007A731C">
            <w:pPr>
              <w:jc w:val="center"/>
              <w:rPr>
                <w:rFonts w:eastAsiaTheme="minorEastAsia" w:cstheme="minorHAnsi"/>
                <w:bCs/>
                <w:iCs/>
              </w:rPr>
            </w:pPr>
            <w:r w:rsidRPr="000F0FF0">
              <w:rPr>
                <w:rFonts w:eastAsiaTheme="minorEastAsia" w:cstheme="minorHAnsi"/>
                <w:bCs/>
                <w:iCs/>
              </w:rPr>
              <w:t>1.471</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26FD722A" w14:textId="02EB3FED" w:rsidR="4E193667" w:rsidRPr="000F0FF0" w:rsidRDefault="4E193667" w:rsidP="007A731C">
            <w:pPr>
              <w:jc w:val="center"/>
              <w:rPr>
                <w:rFonts w:eastAsiaTheme="minorEastAsia" w:cstheme="minorHAnsi"/>
                <w:bCs/>
                <w:iCs/>
              </w:rPr>
            </w:pPr>
            <w:r w:rsidRPr="000F0FF0">
              <w:rPr>
                <w:rFonts w:eastAsiaTheme="minorEastAsia" w:cstheme="minorHAnsi"/>
                <w:bCs/>
                <w:iCs/>
              </w:rPr>
              <w:t>13.220</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B24B03F" w14:textId="16002823" w:rsidR="4E193667" w:rsidRPr="000F0FF0" w:rsidRDefault="4E193667" w:rsidP="007A731C">
            <w:pPr>
              <w:jc w:val="center"/>
              <w:rPr>
                <w:rFonts w:eastAsiaTheme="minorEastAsia" w:cstheme="minorHAnsi"/>
                <w:bCs/>
                <w:iCs/>
              </w:rPr>
            </w:pPr>
            <w:r w:rsidRPr="000F0FF0">
              <w:rPr>
                <w:rFonts w:eastAsiaTheme="minorEastAsia" w:cstheme="minorHAnsi"/>
                <w:bCs/>
                <w:iCs/>
              </w:rPr>
              <w:t>23</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55A24B1F" w14:textId="1F1093AC" w:rsidR="4E193667" w:rsidRPr="000F0FF0" w:rsidRDefault="4E193667" w:rsidP="007A731C">
            <w:pPr>
              <w:jc w:val="center"/>
              <w:rPr>
                <w:rFonts w:eastAsiaTheme="minorEastAsia" w:cstheme="minorHAnsi"/>
                <w:bCs/>
                <w:iCs/>
              </w:rPr>
            </w:pPr>
            <w:r w:rsidRPr="000F0FF0">
              <w:rPr>
                <w:rFonts w:eastAsiaTheme="minorEastAsia" w:cstheme="minorHAnsi"/>
                <w:bCs/>
                <w:iCs/>
              </w:rPr>
              <w:t>-50</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0D3F1C4" w14:textId="59FDE681" w:rsidR="4E193667" w:rsidRPr="000F0FF0" w:rsidRDefault="4E193667" w:rsidP="007A731C">
            <w:pPr>
              <w:jc w:val="center"/>
              <w:rPr>
                <w:rFonts w:eastAsiaTheme="minorEastAsia" w:cstheme="minorHAnsi"/>
                <w:bCs/>
                <w:iCs/>
              </w:rPr>
            </w:pPr>
            <w:r w:rsidRPr="000F0FF0">
              <w:rPr>
                <w:rFonts w:eastAsiaTheme="minorEastAsia" w:cstheme="minorHAnsi"/>
                <w:bCs/>
                <w:iCs/>
              </w:rPr>
              <w:t>26.731</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9915F04" w14:textId="7C80C577" w:rsidR="4E193667" w:rsidRPr="000F0FF0" w:rsidRDefault="4E193667" w:rsidP="007A731C">
            <w:pPr>
              <w:jc w:val="center"/>
              <w:rPr>
                <w:rFonts w:eastAsiaTheme="minorEastAsia" w:cstheme="minorHAnsi"/>
                <w:bCs/>
                <w:iCs/>
              </w:rPr>
            </w:pPr>
            <w:r w:rsidRPr="000F0FF0">
              <w:rPr>
                <w:rFonts w:eastAsiaTheme="minorEastAsia" w:cstheme="minorHAnsi"/>
                <w:bCs/>
                <w:iCs/>
              </w:rPr>
              <w:t>32</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60BF083" w14:textId="732467EE" w:rsidR="4E193667" w:rsidRPr="000F0FF0" w:rsidRDefault="4E193667" w:rsidP="007A731C">
            <w:pPr>
              <w:jc w:val="center"/>
              <w:rPr>
                <w:rFonts w:eastAsiaTheme="minorEastAsia" w:cstheme="minorHAnsi"/>
                <w:bCs/>
                <w:iCs/>
              </w:rPr>
            </w:pPr>
            <w:r w:rsidRPr="000F0FF0">
              <w:rPr>
                <w:rFonts w:eastAsiaTheme="minorEastAsia" w:cstheme="minorHAnsi"/>
                <w:bCs/>
                <w:iCs/>
              </w:rPr>
              <w:t>4.529</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60C90B6" w14:textId="4F6F2156" w:rsidR="4E193667" w:rsidRPr="000F0FF0" w:rsidRDefault="4E193667" w:rsidP="007A731C">
            <w:pPr>
              <w:jc w:val="center"/>
              <w:rPr>
                <w:rFonts w:eastAsiaTheme="minorEastAsia" w:cstheme="minorHAnsi"/>
                <w:bCs/>
                <w:iCs/>
              </w:rPr>
            </w:pPr>
            <w:r w:rsidRPr="000F0FF0">
              <w:rPr>
                <w:rFonts w:eastAsiaTheme="minorEastAsia" w:cstheme="minorHAnsi"/>
                <w:bCs/>
                <w:iCs/>
              </w:rPr>
              <w:t>69.717</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F30CB4C" w14:textId="1B4DB406" w:rsidR="4E193667" w:rsidRPr="000F0FF0" w:rsidRDefault="4E193667" w:rsidP="007A731C">
            <w:pPr>
              <w:jc w:val="center"/>
              <w:rPr>
                <w:rFonts w:eastAsiaTheme="minorEastAsia" w:cstheme="minorHAnsi"/>
                <w:bCs/>
                <w:iCs/>
              </w:rPr>
            </w:pPr>
            <w:r w:rsidRPr="000F0FF0">
              <w:rPr>
                <w:rFonts w:eastAsiaTheme="minorEastAsia" w:cstheme="minorHAnsi"/>
                <w:bCs/>
                <w:iCs/>
              </w:rPr>
              <w:t>35</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4499E68" w14:textId="718D5453" w:rsidR="4E193667" w:rsidRPr="000F0FF0" w:rsidRDefault="4E193667" w:rsidP="007A731C">
            <w:pPr>
              <w:jc w:val="center"/>
              <w:rPr>
                <w:rFonts w:eastAsiaTheme="minorEastAsia" w:cstheme="minorHAnsi"/>
                <w:bCs/>
                <w:iCs/>
              </w:rPr>
            </w:pPr>
            <w:r w:rsidRPr="000F0FF0">
              <w:rPr>
                <w:rFonts w:eastAsiaTheme="minorEastAsia" w:cstheme="minorHAnsi"/>
                <w:bCs/>
                <w:iCs/>
              </w:rPr>
              <w:t>42.091</w:t>
            </w:r>
          </w:p>
        </w:tc>
      </w:tr>
      <w:tr w:rsidR="4E193667" w14:paraId="551832BE"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BB506F1" w14:textId="5028524C" w:rsidR="4E193667" w:rsidRPr="000F0FF0" w:rsidRDefault="4E193667" w:rsidP="4E193667">
            <w:pPr>
              <w:rPr>
                <w:rFonts w:eastAsiaTheme="minorEastAsia" w:cstheme="minorHAnsi"/>
                <w:bCs/>
                <w:iCs/>
              </w:rPr>
            </w:pPr>
            <w:r w:rsidRPr="000F0FF0">
              <w:rPr>
                <w:rFonts w:eastAsiaTheme="minorEastAsia" w:cstheme="minorHAnsi"/>
                <w:bCs/>
                <w:iCs/>
              </w:rPr>
              <w:t xml:space="preserve">M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BC8EF43" w14:textId="5EDDE0CE"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Stručne, znanstvene i tehničke djelatnosti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6E064FF" w14:textId="56B3FF7C" w:rsidR="4E193667" w:rsidRPr="000F0FF0" w:rsidRDefault="4E193667" w:rsidP="007A731C">
            <w:pPr>
              <w:jc w:val="center"/>
              <w:rPr>
                <w:rFonts w:eastAsiaTheme="minorEastAsia" w:cstheme="minorHAnsi"/>
                <w:bCs/>
                <w:iCs/>
              </w:rPr>
            </w:pPr>
            <w:r w:rsidRPr="000F0FF0">
              <w:rPr>
                <w:rFonts w:eastAsiaTheme="minorEastAsia" w:cstheme="minorHAnsi"/>
                <w:bCs/>
                <w:iCs/>
              </w:rPr>
              <w:t>183.281</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7E6595B" w14:textId="525D12C9" w:rsidR="4E193667" w:rsidRPr="000F0FF0" w:rsidRDefault="4E193667" w:rsidP="007A731C">
            <w:pPr>
              <w:jc w:val="center"/>
              <w:rPr>
                <w:rFonts w:eastAsiaTheme="minorEastAsia" w:cstheme="minorHAnsi"/>
                <w:bCs/>
                <w:iCs/>
              </w:rPr>
            </w:pPr>
            <w:r w:rsidRPr="000F0FF0">
              <w:rPr>
                <w:rFonts w:eastAsiaTheme="minorEastAsia" w:cstheme="minorHAnsi"/>
                <w:bCs/>
                <w:iCs/>
              </w:rPr>
              <w:t>594</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121FFF56" w14:textId="57A68195" w:rsidR="4E193667" w:rsidRPr="000F0FF0" w:rsidRDefault="4E193667" w:rsidP="007A731C">
            <w:pPr>
              <w:jc w:val="center"/>
              <w:rPr>
                <w:rFonts w:eastAsiaTheme="minorEastAsia" w:cstheme="minorHAnsi"/>
                <w:bCs/>
                <w:iCs/>
              </w:rPr>
            </w:pPr>
            <w:r w:rsidRPr="000F0FF0">
              <w:rPr>
                <w:rFonts w:eastAsiaTheme="minorEastAsia" w:cstheme="minorHAnsi"/>
                <w:bCs/>
                <w:iCs/>
              </w:rPr>
              <w:t>15.267</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296AFC8A" w14:textId="29C625CB" w:rsidR="4E193667" w:rsidRPr="000F0FF0" w:rsidRDefault="4E193667" w:rsidP="007A731C">
            <w:pPr>
              <w:jc w:val="center"/>
              <w:rPr>
                <w:rFonts w:eastAsiaTheme="minorEastAsia" w:cstheme="minorHAnsi"/>
                <w:bCs/>
                <w:iCs/>
              </w:rPr>
            </w:pPr>
            <w:r w:rsidRPr="000F0FF0">
              <w:rPr>
                <w:rFonts w:eastAsiaTheme="minorEastAsia" w:cstheme="minorHAnsi"/>
                <w:bCs/>
                <w:iCs/>
              </w:rPr>
              <w:t>182.168</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72A586A" w14:textId="31A4AF78" w:rsidR="4E193667" w:rsidRPr="000F0FF0" w:rsidRDefault="4E193667" w:rsidP="007A731C">
            <w:pPr>
              <w:jc w:val="center"/>
              <w:rPr>
                <w:rFonts w:eastAsiaTheme="minorEastAsia" w:cstheme="minorHAnsi"/>
                <w:bCs/>
                <w:iCs/>
              </w:rPr>
            </w:pPr>
            <w:r w:rsidRPr="000F0FF0">
              <w:rPr>
                <w:rFonts w:eastAsiaTheme="minorEastAsia" w:cstheme="minorHAnsi"/>
                <w:bCs/>
                <w:iCs/>
              </w:rPr>
              <w:t>621</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7F11BCDE" w14:textId="15EC5674" w:rsidR="4E193667" w:rsidRPr="000F0FF0" w:rsidRDefault="4E193667" w:rsidP="007A731C">
            <w:pPr>
              <w:jc w:val="center"/>
              <w:rPr>
                <w:rFonts w:eastAsiaTheme="minorEastAsia" w:cstheme="minorHAnsi"/>
                <w:bCs/>
                <w:iCs/>
              </w:rPr>
            </w:pPr>
            <w:r w:rsidRPr="000F0FF0">
              <w:rPr>
                <w:rFonts w:eastAsiaTheme="minorEastAsia" w:cstheme="minorHAnsi"/>
                <w:bCs/>
                <w:iCs/>
              </w:rPr>
              <w:t>25.811</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1C578FD" w14:textId="26BD5B09" w:rsidR="4E193667" w:rsidRPr="000F0FF0" w:rsidRDefault="4E193667" w:rsidP="007A731C">
            <w:pPr>
              <w:jc w:val="center"/>
              <w:rPr>
                <w:rFonts w:eastAsiaTheme="minorEastAsia" w:cstheme="minorHAnsi"/>
                <w:bCs/>
                <w:iCs/>
              </w:rPr>
            </w:pPr>
            <w:r w:rsidRPr="000F0FF0">
              <w:rPr>
                <w:rFonts w:eastAsiaTheme="minorEastAsia" w:cstheme="minorHAnsi"/>
                <w:bCs/>
                <w:iCs/>
              </w:rPr>
              <w:t>204.438</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554C64A" w14:textId="495A3944" w:rsidR="4E193667" w:rsidRPr="000F0FF0" w:rsidRDefault="4E193667" w:rsidP="007A731C">
            <w:pPr>
              <w:jc w:val="center"/>
              <w:rPr>
                <w:rFonts w:eastAsiaTheme="minorEastAsia" w:cstheme="minorHAnsi"/>
                <w:bCs/>
                <w:iCs/>
              </w:rPr>
            </w:pPr>
            <w:r w:rsidRPr="000F0FF0">
              <w:rPr>
                <w:rFonts w:eastAsiaTheme="minorEastAsia" w:cstheme="minorHAnsi"/>
                <w:bCs/>
                <w:iCs/>
              </w:rPr>
              <w:t>648</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18525B2" w14:textId="2553CD1B" w:rsidR="4E193667" w:rsidRPr="000F0FF0" w:rsidRDefault="4E193667" w:rsidP="007A731C">
            <w:pPr>
              <w:jc w:val="center"/>
              <w:rPr>
                <w:rFonts w:eastAsiaTheme="minorEastAsia" w:cstheme="minorHAnsi"/>
                <w:bCs/>
                <w:iCs/>
              </w:rPr>
            </w:pPr>
            <w:r w:rsidRPr="000F0FF0">
              <w:rPr>
                <w:rFonts w:eastAsiaTheme="minorEastAsia" w:cstheme="minorHAnsi"/>
                <w:bCs/>
                <w:iCs/>
              </w:rPr>
              <w:t>23.981</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8D29FF3" w14:textId="7B7DE5A3" w:rsidR="4E193667" w:rsidRPr="000F0FF0" w:rsidRDefault="4E193667" w:rsidP="007A731C">
            <w:pPr>
              <w:jc w:val="center"/>
              <w:rPr>
                <w:rFonts w:eastAsiaTheme="minorEastAsia" w:cstheme="minorHAnsi"/>
                <w:bCs/>
                <w:iCs/>
              </w:rPr>
            </w:pPr>
            <w:r w:rsidRPr="000F0FF0">
              <w:rPr>
                <w:rFonts w:eastAsiaTheme="minorEastAsia" w:cstheme="minorHAnsi"/>
                <w:bCs/>
                <w:iCs/>
              </w:rPr>
              <w:t>228.496</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1EE757C" w14:textId="046E0427" w:rsidR="4E193667" w:rsidRPr="000F0FF0" w:rsidRDefault="4E193667" w:rsidP="007A731C">
            <w:pPr>
              <w:jc w:val="center"/>
              <w:rPr>
                <w:rFonts w:eastAsiaTheme="minorEastAsia" w:cstheme="minorHAnsi"/>
                <w:bCs/>
                <w:iCs/>
              </w:rPr>
            </w:pPr>
            <w:r w:rsidRPr="000F0FF0">
              <w:rPr>
                <w:rFonts w:eastAsiaTheme="minorEastAsia" w:cstheme="minorHAnsi"/>
                <w:bCs/>
                <w:iCs/>
              </w:rPr>
              <w:t>688</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484A5FE" w14:textId="5F57A491" w:rsidR="4E193667" w:rsidRPr="000F0FF0" w:rsidRDefault="4E193667" w:rsidP="007A731C">
            <w:pPr>
              <w:jc w:val="center"/>
              <w:rPr>
                <w:rFonts w:eastAsiaTheme="minorEastAsia" w:cstheme="minorHAnsi"/>
                <w:bCs/>
                <w:iCs/>
              </w:rPr>
            </w:pPr>
            <w:r w:rsidRPr="000F0FF0">
              <w:rPr>
                <w:rFonts w:eastAsiaTheme="minorEastAsia" w:cstheme="minorHAnsi"/>
                <w:bCs/>
                <w:iCs/>
              </w:rPr>
              <w:t>26.484</w:t>
            </w:r>
          </w:p>
        </w:tc>
      </w:tr>
      <w:tr w:rsidR="4E193667" w14:paraId="509C86A8"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ECF1FC6" w14:textId="172730FC" w:rsidR="4E193667" w:rsidRPr="000F0FF0" w:rsidRDefault="4E193667" w:rsidP="4E193667">
            <w:pPr>
              <w:rPr>
                <w:rFonts w:eastAsiaTheme="minorEastAsia" w:cstheme="minorHAnsi"/>
                <w:bCs/>
                <w:iCs/>
              </w:rPr>
            </w:pPr>
            <w:r w:rsidRPr="000F0FF0">
              <w:rPr>
                <w:rFonts w:eastAsiaTheme="minorEastAsia" w:cstheme="minorHAnsi"/>
                <w:bCs/>
                <w:iCs/>
              </w:rPr>
              <w:t xml:space="preserve">N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7D70B44" w14:textId="7AD49DF9"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Administrativne i pomoćne uslužne djelatnosti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58FC283" w14:textId="1AF051C3" w:rsidR="4E193667" w:rsidRPr="000F0FF0" w:rsidRDefault="4E193667" w:rsidP="007A731C">
            <w:pPr>
              <w:jc w:val="center"/>
              <w:rPr>
                <w:rFonts w:eastAsiaTheme="minorEastAsia" w:cstheme="minorHAnsi"/>
                <w:bCs/>
                <w:iCs/>
              </w:rPr>
            </w:pPr>
            <w:r w:rsidRPr="000F0FF0">
              <w:rPr>
                <w:rFonts w:eastAsiaTheme="minorEastAsia" w:cstheme="minorHAnsi"/>
                <w:bCs/>
                <w:iCs/>
              </w:rPr>
              <w:t>17.938</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41D92DE" w14:textId="107D6E39" w:rsidR="4E193667" w:rsidRPr="000F0FF0" w:rsidRDefault="4E193667" w:rsidP="007A731C">
            <w:pPr>
              <w:jc w:val="center"/>
              <w:rPr>
                <w:rFonts w:eastAsiaTheme="minorEastAsia" w:cstheme="minorHAnsi"/>
                <w:bCs/>
                <w:iCs/>
              </w:rPr>
            </w:pPr>
            <w:r w:rsidRPr="000F0FF0">
              <w:rPr>
                <w:rFonts w:eastAsiaTheme="minorEastAsia" w:cstheme="minorHAnsi"/>
                <w:bCs/>
                <w:iCs/>
              </w:rPr>
              <w:t>69</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26A5C5B1" w14:textId="36FA4604" w:rsidR="4E193667" w:rsidRPr="000F0FF0" w:rsidRDefault="4E193667" w:rsidP="007A731C">
            <w:pPr>
              <w:jc w:val="center"/>
              <w:rPr>
                <w:rFonts w:eastAsiaTheme="minorEastAsia" w:cstheme="minorHAnsi"/>
                <w:bCs/>
                <w:iCs/>
              </w:rPr>
            </w:pPr>
            <w:r w:rsidRPr="000F0FF0">
              <w:rPr>
                <w:rFonts w:eastAsiaTheme="minorEastAsia" w:cstheme="minorHAnsi"/>
                <w:bCs/>
                <w:iCs/>
              </w:rPr>
              <w:t>-677</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5C4A8895" w14:textId="3A5CE1F8" w:rsidR="4E193667" w:rsidRPr="000F0FF0" w:rsidRDefault="4E193667" w:rsidP="007A731C">
            <w:pPr>
              <w:jc w:val="center"/>
              <w:rPr>
                <w:rFonts w:eastAsiaTheme="minorEastAsia" w:cstheme="minorHAnsi"/>
                <w:bCs/>
                <w:iCs/>
              </w:rPr>
            </w:pPr>
            <w:r w:rsidRPr="000F0FF0">
              <w:rPr>
                <w:rFonts w:eastAsiaTheme="minorEastAsia" w:cstheme="minorHAnsi"/>
                <w:bCs/>
                <w:iCs/>
              </w:rPr>
              <w:t>25.384</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0EB8994" w14:textId="1855AAC2" w:rsidR="4E193667" w:rsidRPr="000F0FF0" w:rsidRDefault="4E193667" w:rsidP="007A731C">
            <w:pPr>
              <w:jc w:val="center"/>
              <w:rPr>
                <w:rFonts w:eastAsiaTheme="minorEastAsia" w:cstheme="minorHAnsi"/>
                <w:bCs/>
                <w:iCs/>
              </w:rPr>
            </w:pPr>
            <w:r w:rsidRPr="000F0FF0">
              <w:rPr>
                <w:rFonts w:eastAsiaTheme="minorEastAsia" w:cstheme="minorHAnsi"/>
                <w:bCs/>
                <w:iCs/>
              </w:rPr>
              <w:t>80</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63FFC4B4" w14:textId="298488C7" w:rsidR="4E193667" w:rsidRPr="000F0FF0" w:rsidRDefault="4E193667" w:rsidP="007A731C">
            <w:pPr>
              <w:jc w:val="center"/>
              <w:rPr>
                <w:rFonts w:eastAsiaTheme="minorEastAsia" w:cstheme="minorHAnsi"/>
                <w:bCs/>
                <w:iCs/>
              </w:rPr>
            </w:pPr>
            <w:r w:rsidRPr="000F0FF0">
              <w:rPr>
                <w:rFonts w:eastAsiaTheme="minorEastAsia" w:cstheme="minorHAnsi"/>
                <w:bCs/>
                <w:iCs/>
              </w:rPr>
              <w:t>143</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1EDE59F" w14:textId="5C800BE3" w:rsidR="4E193667" w:rsidRPr="000F0FF0" w:rsidRDefault="4E193667" w:rsidP="007A731C">
            <w:pPr>
              <w:jc w:val="center"/>
              <w:rPr>
                <w:rFonts w:eastAsiaTheme="minorEastAsia" w:cstheme="minorHAnsi"/>
                <w:bCs/>
                <w:iCs/>
              </w:rPr>
            </w:pPr>
            <w:r w:rsidRPr="000F0FF0">
              <w:rPr>
                <w:rFonts w:eastAsiaTheme="minorEastAsia" w:cstheme="minorHAnsi"/>
                <w:bCs/>
                <w:iCs/>
              </w:rPr>
              <w:t>33.656</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85DE67A" w14:textId="3754FC40" w:rsidR="4E193667" w:rsidRPr="000F0FF0" w:rsidRDefault="4E193667" w:rsidP="007A731C">
            <w:pPr>
              <w:jc w:val="center"/>
              <w:rPr>
                <w:rFonts w:eastAsiaTheme="minorEastAsia" w:cstheme="minorHAnsi"/>
                <w:bCs/>
                <w:iCs/>
              </w:rPr>
            </w:pPr>
            <w:r w:rsidRPr="000F0FF0">
              <w:rPr>
                <w:rFonts w:eastAsiaTheme="minorEastAsia" w:cstheme="minorHAnsi"/>
                <w:bCs/>
                <w:iCs/>
              </w:rPr>
              <w:t>91</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8DD4BAF" w14:textId="525DF598" w:rsidR="4E193667" w:rsidRPr="000F0FF0" w:rsidRDefault="4E193667" w:rsidP="007A731C">
            <w:pPr>
              <w:jc w:val="center"/>
              <w:rPr>
                <w:rFonts w:eastAsiaTheme="minorEastAsia" w:cstheme="minorHAnsi"/>
                <w:bCs/>
                <w:iCs/>
              </w:rPr>
            </w:pPr>
            <w:r w:rsidRPr="000F0FF0">
              <w:rPr>
                <w:rFonts w:eastAsiaTheme="minorEastAsia" w:cstheme="minorHAnsi"/>
                <w:bCs/>
                <w:iCs/>
              </w:rPr>
              <w:t>634</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1A0EB89" w14:textId="78DF3DD6" w:rsidR="4E193667" w:rsidRPr="000F0FF0" w:rsidRDefault="4E193667" w:rsidP="007A731C">
            <w:pPr>
              <w:jc w:val="center"/>
              <w:rPr>
                <w:rFonts w:eastAsiaTheme="minorEastAsia" w:cstheme="minorHAnsi"/>
                <w:bCs/>
                <w:iCs/>
              </w:rPr>
            </w:pPr>
            <w:r w:rsidRPr="000F0FF0">
              <w:rPr>
                <w:rFonts w:eastAsiaTheme="minorEastAsia" w:cstheme="minorHAnsi"/>
                <w:bCs/>
                <w:iCs/>
              </w:rPr>
              <w:t>42.803</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ECF3D73" w14:textId="13EFE3BC" w:rsidR="4E193667" w:rsidRPr="000F0FF0" w:rsidRDefault="4E193667" w:rsidP="007A731C">
            <w:pPr>
              <w:jc w:val="center"/>
              <w:rPr>
                <w:rFonts w:eastAsiaTheme="minorEastAsia" w:cstheme="minorHAnsi"/>
                <w:bCs/>
                <w:iCs/>
              </w:rPr>
            </w:pPr>
            <w:r w:rsidRPr="000F0FF0">
              <w:rPr>
                <w:rFonts w:eastAsiaTheme="minorEastAsia" w:cstheme="minorHAnsi"/>
                <w:bCs/>
                <w:iCs/>
              </w:rPr>
              <w:t>139</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DA01294" w14:textId="3D8D6D7E" w:rsidR="4E193667" w:rsidRPr="000F0FF0" w:rsidRDefault="4E193667" w:rsidP="007A731C">
            <w:pPr>
              <w:jc w:val="center"/>
              <w:rPr>
                <w:rFonts w:eastAsiaTheme="minorEastAsia" w:cstheme="minorHAnsi"/>
                <w:bCs/>
                <w:iCs/>
              </w:rPr>
            </w:pPr>
            <w:r w:rsidRPr="000F0FF0">
              <w:rPr>
                <w:rFonts w:eastAsiaTheme="minorEastAsia" w:cstheme="minorHAnsi"/>
                <w:bCs/>
                <w:iCs/>
              </w:rPr>
              <w:t>429</w:t>
            </w:r>
          </w:p>
        </w:tc>
      </w:tr>
      <w:tr w:rsidR="4E193667" w14:paraId="54BA38A2"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FD24780" w14:textId="4F4C1DD1" w:rsidR="4E193667" w:rsidRPr="000F0FF0" w:rsidRDefault="4E193667" w:rsidP="4E193667">
            <w:pPr>
              <w:rPr>
                <w:rFonts w:eastAsiaTheme="minorEastAsia" w:cstheme="minorHAnsi"/>
                <w:bCs/>
                <w:iCs/>
              </w:rPr>
            </w:pPr>
            <w:r w:rsidRPr="000F0FF0">
              <w:rPr>
                <w:rFonts w:eastAsiaTheme="minorEastAsia" w:cstheme="minorHAnsi"/>
                <w:bCs/>
                <w:iCs/>
              </w:rPr>
              <w:t xml:space="preserve">O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4440A7F" w14:textId="7CF74032"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Javna uprava i obrana; obvezno socijalno osiguranje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4DB881A" w14:textId="7B20CC4B"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0 </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CD5C1D4" w14:textId="5FA701A4"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57643557" w14:textId="085CF55D"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0 </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26AFE8E8" w14:textId="06E13BE5"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 </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CDF6F71" w14:textId="4ADC5C2F"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377B2F86" w14:textId="547AB33E"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 </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BFB4453" w14:textId="0B1685FB"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0 </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A0776CA" w14:textId="1FBDFD16"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0 </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F1DA414" w14:textId="74367713"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0 </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7F8AA6D" w14:textId="1CB4EDA3" w:rsidR="4E193667" w:rsidRPr="000F0FF0" w:rsidRDefault="4E193667" w:rsidP="4E193667">
            <w:pPr>
              <w:jc w:val="right"/>
              <w:rPr>
                <w:rFonts w:eastAsiaTheme="minorEastAsia" w:cstheme="minorHAnsi"/>
                <w:bCs/>
                <w:iCs/>
              </w:rPr>
            </w:pPr>
            <w:r w:rsidRPr="000F0FF0">
              <w:rPr>
                <w:rFonts w:eastAsiaTheme="minorEastAsia" w:cstheme="minorHAnsi"/>
                <w:bCs/>
                <w:iCs/>
              </w:rPr>
              <w:t>-</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0E3D7E5" w14:textId="0CAD8218" w:rsidR="4E193667" w:rsidRPr="000F0FF0" w:rsidRDefault="4E193667" w:rsidP="4E193667">
            <w:pPr>
              <w:jc w:val="right"/>
              <w:rPr>
                <w:rFonts w:eastAsiaTheme="minorEastAsia" w:cstheme="minorHAnsi"/>
                <w:bCs/>
                <w:iCs/>
              </w:rPr>
            </w:pPr>
            <w:r w:rsidRPr="000F0FF0">
              <w:rPr>
                <w:rFonts w:eastAsiaTheme="minorEastAsia" w:cstheme="minorHAnsi"/>
                <w:bCs/>
                <w:iCs/>
              </w:rPr>
              <w:t>-</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C9C677E" w14:textId="1016CD37" w:rsidR="4E193667" w:rsidRPr="000F0FF0" w:rsidRDefault="4E193667" w:rsidP="4E193667">
            <w:pPr>
              <w:jc w:val="right"/>
              <w:rPr>
                <w:rFonts w:eastAsiaTheme="minorEastAsia" w:cstheme="minorHAnsi"/>
                <w:bCs/>
                <w:iCs/>
              </w:rPr>
            </w:pPr>
            <w:r w:rsidRPr="000F0FF0">
              <w:rPr>
                <w:rFonts w:eastAsiaTheme="minorEastAsia" w:cstheme="minorHAnsi"/>
                <w:bCs/>
                <w:iCs/>
              </w:rPr>
              <w:t>-</w:t>
            </w:r>
          </w:p>
        </w:tc>
      </w:tr>
      <w:tr w:rsidR="4E193667" w14:paraId="3424AA60"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EF92A03" w14:textId="46407234" w:rsidR="4E193667" w:rsidRPr="000F0FF0" w:rsidRDefault="4E193667" w:rsidP="4E193667">
            <w:pPr>
              <w:rPr>
                <w:rFonts w:eastAsiaTheme="minorEastAsia" w:cstheme="minorHAnsi"/>
                <w:bCs/>
                <w:iCs/>
              </w:rPr>
            </w:pPr>
            <w:r w:rsidRPr="000F0FF0">
              <w:rPr>
                <w:rFonts w:eastAsiaTheme="minorEastAsia" w:cstheme="minorHAnsi"/>
                <w:bCs/>
                <w:iCs/>
              </w:rPr>
              <w:t xml:space="preserve">P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4F9C32E" w14:textId="5E5FE368"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Obrazovanje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AF0E5BD" w14:textId="7CF810E9"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23.311 </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6BFCB29" w14:textId="4925805B"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97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5EF5F408" w14:textId="2A76C491"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-9.814 </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3FC0D6F6" w14:textId="65BA1BFB"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31.039 </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234C52D" w14:textId="79100A9B"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120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7C4B16F5" w14:textId="03DDA4BF"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-1.069 </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EF050AD" w14:textId="2775D2E8"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36.078 </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46F6CDF" w14:textId="50E178BB"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131 </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14A18E7" w14:textId="7E7A3E39"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-3.225 </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122A925" w14:textId="20EFBA31" w:rsidR="4E193667" w:rsidRPr="000F0FF0" w:rsidRDefault="4E193667" w:rsidP="4E193667">
            <w:pPr>
              <w:jc w:val="right"/>
              <w:rPr>
                <w:rFonts w:eastAsiaTheme="minorEastAsia" w:cstheme="minorHAnsi"/>
                <w:bCs/>
                <w:iCs/>
              </w:rPr>
            </w:pPr>
            <w:r w:rsidRPr="000F0FF0">
              <w:rPr>
                <w:rFonts w:eastAsiaTheme="minorEastAsia" w:cstheme="minorHAnsi"/>
                <w:bCs/>
                <w:iCs/>
              </w:rPr>
              <w:t>33.983</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315D0CE" w14:textId="7EBA89D4" w:rsidR="4E193667" w:rsidRPr="000F0FF0" w:rsidRDefault="4E193667" w:rsidP="4E193667">
            <w:pPr>
              <w:jc w:val="right"/>
              <w:rPr>
                <w:rFonts w:eastAsiaTheme="minorEastAsia" w:cstheme="minorHAnsi"/>
                <w:bCs/>
                <w:iCs/>
              </w:rPr>
            </w:pPr>
            <w:r w:rsidRPr="000F0FF0">
              <w:rPr>
                <w:rFonts w:eastAsiaTheme="minorEastAsia" w:cstheme="minorHAnsi"/>
                <w:bCs/>
                <w:iCs/>
              </w:rPr>
              <w:t>142</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52F50D6" w14:textId="7F489A15" w:rsidR="4E193667" w:rsidRPr="000F0FF0" w:rsidRDefault="4E193667" w:rsidP="4E193667">
            <w:pPr>
              <w:jc w:val="right"/>
              <w:rPr>
                <w:rFonts w:eastAsiaTheme="minorEastAsia" w:cstheme="minorHAnsi"/>
                <w:bCs/>
                <w:iCs/>
              </w:rPr>
            </w:pPr>
            <w:r w:rsidRPr="000F0FF0">
              <w:rPr>
                <w:rFonts w:eastAsiaTheme="minorEastAsia" w:cstheme="minorHAnsi"/>
                <w:bCs/>
                <w:iCs/>
              </w:rPr>
              <w:t>-212</w:t>
            </w:r>
          </w:p>
        </w:tc>
      </w:tr>
      <w:tr w:rsidR="4E193667" w14:paraId="058C2FCB"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FA9182E" w14:textId="6C7F8A0D" w:rsidR="4E193667" w:rsidRPr="000F0FF0" w:rsidRDefault="4E193667" w:rsidP="4E193667">
            <w:pPr>
              <w:rPr>
                <w:rFonts w:eastAsiaTheme="minorEastAsia" w:cstheme="minorHAnsi"/>
                <w:bCs/>
                <w:iCs/>
              </w:rPr>
            </w:pPr>
            <w:r w:rsidRPr="000F0FF0">
              <w:rPr>
                <w:rFonts w:eastAsiaTheme="minorEastAsia" w:cstheme="minorHAnsi"/>
                <w:bCs/>
                <w:iCs/>
              </w:rPr>
              <w:lastRenderedPageBreak/>
              <w:t xml:space="preserve">Q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517B9ED" w14:textId="6C2AF2AF"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Djelatnosti zdravstvene zaštite i socijalne skrbi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1C31A8D" w14:textId="2889A002"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193.603 </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BA35551" w14:textId="2A096A3E"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551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7D761E9B" w14:textId="3B824B4D"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-3.847 </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405254B9" w14:textId="6BC4ED0C"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199.907 </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5040E79" w14:textId="13DCCFEC"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582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3AAEF626" w14:textId="2956D687"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2.465 </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669511B" w14:textId="24AC1773"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218.603 </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48AA036" w14:textId="07634F01"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626 </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CE1D463" w14:textId="71A85BFB"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8.888 </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CEA8DF6" w14:textId="53D5EF35" w:rsidR="4E193667" w:rsidRPr="000F0FF0" w:rsidRDefault="4E193667" w:rsidP="4E193667">
            <w:pPr>
              <w:jc w:val="right"/>
              <w:rPr>
                <w:rFonts w:eastAsiaTheme="minorEastAsia" w:cstheme="minorHAnsi"/>
                <w:bCs/>
                <w:iCs/>
              </w:rPr>
            </w:pPr>
            <w:r w:rsidRPr="000F0FF0">
              <w:rPr>
                <w:rFonts w:eastAsiaTheme="minorEastAsia" w:cstheme="minorHAnsi"/>
                <w:bCs/>
                <w:iCs/>
              </w:rPr>
              <w:t>240.207</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4C75EEA" w14:textId="721F53ED" w:rsidR="4E193667" w:rsidRPr="000F0FF0" w:rsidRDefault="4E193667" w:rsidP="4E193667">
            <w:pPr>
              <w:jc w:val="right"/>
              <w:rPr>
                <w:rFonts w:eastAsiaTheme="minorEastAsia" w:cstheme="minorHAnsi"/>
                <w:bCs/>
                <w:iCs/>
              </w:rPr>
            </w:pPr>
            <w:r w:rsidRPr="000F0FF0">
              <w:rPr>
                <w:rFonts w:eastAsiaTheme="minorEastAsia" w:cstheme="minorHAnsi"/>
                <w:bCs/>
                <w:iCs/>
              </w:rPr>
              <w:t>632</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FE3E7B9" w14:textId="5BE2C75A" w:rsidR="4E193667" w:rsidRPr="000F0FF0" w:rsidRDefault="4E193667" w:rsidP="4E193667">
            <w:pPr>
              <w:jc w:val="right"/>
              <w:rPr>
                <w:rFonts w:eastAsiaTheme="minorEastAsia" w:cstheme="minorHAnsi"/>
                <w:bCs/>
                <w:iCs/>
              </w:rPr>
            </w:pPr>
            <w:r w:rsidRPr="000F0FF0">
              <w:rPr>
                <w:rFonts w:eastAsiaTheme="minorEastAsia" w:cstheme="minorHAnsi"/>
                <w:bCs/>
                <w:iCs/>
              </w:rPr>
              <w:t>14.823</w:t>
            </w:r>
          </w:p>
        </w:tc>
      </w:tr>
      <w:tr w:rsidR="4E193667" w14:paraId="07C93C6D"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0D858A0" w14:textId="2E8C30F3" w:rsidR="4E193667" w:rsidRPr="000F0FF0" w:rsidRDefault="4E193667" w:rsidP="4E193667">
            <w:pPr>
              <w:rPr>
                <w:rFonts w:eastAsiaTheme="minorEastAsia" w:cstheme="minorHAnsi"/>
                <w:bCs/>
                <w:iCs/>
              </w:rPr>
            </w:pPr>
            <w:r w:rsidRPr="000F0FF0">
              <w:rPr>
                <w:rFonts w:eastAsiaTheme="minorEastAsia" w:cstheme="minorHAnsi"/>
                <w:bCs/>
                <w:iCs/>
              </w:rPr>
              <w:t xml:space="preserve">R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1E3FA01" w14:textId="123F52EA"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Umjetnost, zabava i rekreacija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D54EEDA" w14:textId="3B567FC3"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4.766 </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BAC3891" w14:textId="07A669A6"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13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47842582" w14:textId="4E051858"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-12 </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2E4A2D5E" w14:textId="634DD2A1"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5.871 </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35D3103" w14:textId="237BF0A9"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18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52CDC604" w14:textId="49407E17"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677 </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83B6541" w14:textId="749B64A2"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9.249 </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083F24D" w14:textId="6A939C6E"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23 </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7CCB61F" w14:textId="79A0A0C4"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1.338 </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7473576" w14:textId="4DEDC241" w:rsidR="4E193667" w:rsidRPr="000F0FF0" w:rsidRDefault="4E193667" w:rsidP="4E193667">
            <w:pPr>
              <w:jc w:val="right"/>
              <w:rPr>
                <w:rFonts w:eastAsiaTheme="minorEastAsia" w:cstheme="minorHAnsi"/>
                <w:bCs/>
                <w:iCs/>
              </w:rPr>
            </w:pPr>
            <w:r w:rsidRPr="000F0FF0">
              <w:rPr>
                <w:rFonts w:eastAsiaTheme="minorEastAsia" w:cstheme="minorHAnsi"/>
                <w:bCs/>
                <w:iCs/>
              </w:rPr>
              <w:t>10.312</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925200C" w14:textId="30C39C16" w:rsidR="4E193667" w:rsidRPr="000F0FF0" w:rsidRDefault="4E193667" w:rsidP="4E193667">
            <w:pPr>
              <w:jc w:val="right"/>
              <w:rPr>
                <w:rFonts w:eastAsiaTheme="minorEastAsia" w:cstheme="minorHAnsi"/>
                <w:bCs/>
                <w:iCs/>
              </w:rPr>
            </w:pPr>
            <w:r w:rsidRPr="000F0FF0">
              <w:rPr>
                <w:rFonts w:eastAsiaTheme="minorEastAsia" w:cstheme="minorHAnsi"/>
                <w:bCs/>
                <w:iCs/>
              </w:rPr>
              <w:t>28</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3A088F1" w14:textId="409C2C5C" w:rsidR="4E193667" w:rsidRPr="000F0FF0" w:rsidRDefault="4E193667" w:rsidP="4E193667">
            <w:pPr>
              <w:jc w:val="right"/>
              <w:rPr>
                <w:rFonts w:eastAsiaTheme="minorEastAsia" w:cstheme="minorHAnsi"/>
                <w:bCs/>
                <w:iCs/>
              </w:rPr>
            </w:pPr>
            <w:r w:rsidRPr="000F0FF0">
              <w:rPr>
                <w:rFonts w:eastAsiaTheme="minorEastAsia" w:cstheme="minorHAnsi"/>
                <w:bCs/>
                <w:iCs/>
              </w:rPr>
              <w:t>1.489</w:t>
            </w:r>
          </w:p>
        </w:tc>
      </w:tr>
      <w:tr w:rsidR="4E193667" w14:paraId="54F38FC0" w14:textId="77777777" w:rsidTr="005D37C0">
        <w:trPr>
          <w:gridAfter w:val="1"/>
          <w:wAfter w:w="8" w:type="dxa"/>
          <w:trHeight w:val="302"/>
        </w:trPr>
        <w:tc>
          <w:tcPr>
            <w:tcW w:w="306"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379063C" w14:textId="17398C08" w:rsidR="4E193667" w:rsidRPr="000F0FF0" w:rsidRDefault="4E193667" w:rsidP="4E193667">
            <w:pPr>
              <w:rPr>
                <w:rFonts w:eastAsiaTheme="minorEastAsia" w:cstheme="minorHAnsi"/>
                <w:bCs/>
                <w:iCs/>
              </w:rPr>
            </w:pPr>
            <w:r w:rsidRPr="000F0FF0">
              <w:rPr>
                <w:rFonts w:eastAsiaTheme="minorEastAsia" w:cstheme="minorHAnsi"/>
                <w:bCs/>
                <w:iCs/>
              </w:rPr>
              <w:t xml:space="preserve">S </w:t>
            </w:r>
          </w:p>
        </w:tc>
        <w:tc>
          <w:tcPr>
            <w:tcW w:w="255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7DD9A62" w14:textId="1F8A416F"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Ostale uslužne djelatnosti </w:t>
            </w:r>
          </w:p>
        </w:tc>
        <w:tc>
          <w:tcPr>
            <w:tcW w:w="1255"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2B762B8" w14:textId="02451AD5"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30.339 </w:t>
            </w:r>
          </w:p>
        </w:tc>
        <w:tc>
          <w:tcPr>
            <w:tcW w:w="809"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1913EF9" w14:textId="5696AC18"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116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2B354814" w14:textId="1FAA70FB"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1.249 </w:t>
            </w:r>
          </w:p>
        </w:tc>
        <w:tc>
          <w:tcPr>
            <w:tcW w:w="1133" w:type="dxa"/>
            <w:tcBorders>
              <w:top w:val="single" w:sz="8" w:space="0" w:color="F3CFC1"/>
              <w:left w:val="single" w:sz="8" w:space="0" w:color="D2232A" w:themeColor="accent1"/>
              <w:bottom w:val="single" w:sz="8" w:space="0" w:color="F3CFC1"/>
              <w:right w:val="single" w:sz="4" w:space="0" w:color="000000"/>
            </w:tcBorders>
            <w:shd w:val="clear" w:color="auto" w:fill="FFFFFF" w:themeFill="background1"/>
            <w:vAlign w:val="center"/>
          </w:tcPr>
          <w:p w14:paraId="3178CB0A" w14:textId="2BEEF28D"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30.648 </w:t>
            </w:r>
          </w:p>
        </w:tc>
        <w:tc>
          <w:tcPr>
            <w:tcW w:w="88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C0FB17B" w14:textId="2CCAE18E"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122 </w:t>
            </w:r>
          </w:p>
        </w:tc>
        <w:tc>
          <w:tcPr>
            <w:tcW w:w="1035" w:type="dxa"/>
            <w:tcBorders>
              <w:top w:val="single" w:sz="8" w:space="0" w:color="F3CFC1"/>
              <w:left w:val="single" w:sz="4" w:space="0" w:color="000000"/>
              <w:bottom w:val="single" w:sz="8" w:space="0" w:color="F3CFC1"/>
              <w:right w:val="single" w:sz="8" w:space="0" w:color="D2232A" w:themeColor="accent1"/>
            </w:tcBorders>
            <w:shd w:val="clear" w:color="auto" w:fill="FFFFFF" w:themeFill="background1"/>
            <w:vAlign w:val="center"/>
          </w:tcPr>
          <w:p w14:paraId="710274D6" w14:textId="07C7A418"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1.143 </w:t>
            </w:r>
          </w:p>
        </w:tc>
        <w:tc>
          <w:tcPr>
            <w:tcW w:w="120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1DEA0B6C" w14:textId="0198ABA7"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41.466 </w:t>
            </w:r>
          </w:p>
        </w:tc>
        <w:tc>
          <w:tcPr>
            <w:tcW w:w="864"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4E35A6EF" w14:textId="468FAC09"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174 </w:t>
            </w:r>
          </w:p>
        </w:tc>
        <w:tc>
          <w:tcPr>
            <w:tcW w:w="1038"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0915FCC2" w14:textId="6DFE3CF0"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3.278 </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61EA7918" w14:textId="2A6101AD" w:rsidR="4E193667" w:rsidRPr="000F0FF0" w:rsidRDefault="4E193667" w:rsidP="4E193667">
            <w:pPr>
              <w:jc w:val="right"/>
              <w:rPr>
                <w:rFonts w:eastAsiaTheme="minorEastAsia" w:cstheme="minorHAnsi"/>
                <w:bCs/>
                <w:iCs/>
              </w:rPr>
            </w:pPr>
            <w:r w:rsidRPr="000F0FF0">
              <w:rPr>
                <w:rFonts w:eastAsiaTheme="minorEastAsia" w:cstheme="minorHAnsi"/>
                <w:bCs/>
                <w:iCs/>
              </w:rPr>
              <w:t>44.282</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2F3F6019" w14:textId="40C2BFA2" w:rsidR="4E193667" w:rsidRPr="000F0FF0" w:rsidRDefault="4E193667" w:rsidP="4E193667">
            <w:pPr>
              <w:jc w:val="right"/>
              <w:rPr>
                <w:rFonts w:eastAsiaTheme="minorEastAsia" w:cstheme="minorHAnsi"/>
                <w:bCs/>
                <w:iCs/>
              </w:rPr>
            </w:pPr>
            <w:r w:rsidRPr="000F0FF0">
              <w:rPr>
                <w:rFonts w:eastAsiaTheme="minorEastAsia" w:cstheme="minorHAnsi"/>
                <w:bCs/>
                <w:iCs/>
              </w:rPr>
              <w:t>169</w:t>
            </w:r>
          </w:p>
        </w:tc>
        <w:tc>
          <w:tcPr>
            <w:tcW w:w="1020"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36FD1EA7" w14:textId="6D5757F1" w:rsidR="4E193667" w:rsidRPr="000F0FF0" w:rsidRDefault="4E193667" w:rsidP="4E193667">
            <w:pPr>
              <w:jc w:val="right"/>
              <w:rPr>
                <w:rFonts w:eastAsiaTheme="minorEastAsia" w:cstheme="minorHAnsi"/>
                <w:bCs/>
                <w:iCs/>
              </w:rPr>
            </w:pPr>
            <w:r w:rsidRPr="000F0FF0">
              <w:rPr>
                <w:rFonts w:eastAsiaTheme="minorEastAsia" w:cstheme="minorHAnsi"/>
                <w:bCs/>
                <w:iCs/>
              </w:rPr>
              <w:t>2.216</w:t>
            </w:r>
          </w:p>
        </w:tc>
      </w:tr>
      <w:tr w:rsidR="4E193667" w14:paraId="7C2F1C88" w14:textId="77777777" w:rsidTr="005D37C0">
        <w:trPr>
          <w:gridAfter w:val="1"/>
          <w:wAfter w:w="8" w:type="dxa"/>
          <w:trHeight w:val="302"/>
        </w:trPr>
        <w:tc>
          <w:tcPr>
            <w:tcW w:w="306" w:type="dxa"/>
            <w:tcBorders>
              <w:top w:val="single" w:sz="8" w:space="0" w:color="F3CFC1"/>
              <w:left w:val="single" w:sz="4" w:space="0" w:color="000000"/>
              <w:bottom w:val="single" w:sz="4" w:space="0" w:color="000000"/>
              <w:right w:val="single" w:sz="4" w:space="0" w:color="000000"/>
            </w:tcBorders>
            <w:shd w:val="clear" w:color="auto" w:fill="FFFFFF" w:themeFill="background1"/>
            <w:vAlign w:val="center"/>
          </w:tcPr>
          <w:p w14:paraId="2ABF38D5" w14:textId="3B93F19A" w:rsidR="4E193667" w:rsidRPr="000F0FF0" w:rsidRDefault="4E193667" w:rsidP="4E193667">
            <w:pPr>
              <w:rPr>
                <w:rFonts w:eastAsiaTheme="minorEastAsia" w:cstheme="minorHAnsi"/>
                <w:bCs/>
                <w:iCs/>
              </w:rPr>
            </w:pPr>
            <w:r w:rsidRPr="000F0FF0">
              <w:rPr>
                <w:rFonts w:eastAsiaTheme="minorEastAsia" w:cstheme="minorHAnsi"/>
                <w:bCs/>
                <w:iCs/>
              </w:rPr>
              <w:t xml:space="preserve">T </w:t>
            </w:r>
          </w:p>
        </w:tc>
        <w:tc>
          <w:tcPr>
            <w:tcW w:w="2550" w:type="dxa"/>
            <w:tcBorders>
              <w:top w:val="single" w:sz="8" w:space="0" w:color="F3CFC1"/>
              <w:left w:val="single" w:sz="4" w:space="0" w:color="000000"/>
              <w:bottom w:val="single" w:sz="4" w:space="0" w:color="000000"/>
              <w:right w:val="single" w:sz="4" w:space="0" w:color="000000"/>
            </w:tcBorders>
            <w:shd w:val="clear" w:color="auto" w:fill="FFFFFF" w:themeFill="background1"/>
            <w:vAlign w:val="center"/>
          </w:tcPr>
          <w:p w14:paraId="38D114AC" w14:textId="6A75E80E" w:rsidR="4E193667" w:rsidRPr="000F0FF0" w:rsidRDefault="4E193667" w:rsidP="4E193667">
            <w:pPr>
              <w:jc w:val="left"/>
              <w:rPr>
                <w:rFonts w:eastAsiaTheme="minorEastAsia" w:cstheme="minorHAnsi"/>
                <w:bCs/>
                <w:iCs/>
              </w:rPr>
            </w:pPr>
            <w:r w:rsidRPr="000F0FF0">
              <w:rPr>
                <w:rFonts w:eastAsiaTheme="minorEastAsia" w:cstheme="minorHAnsi"/>
                <w:bCs/>
                <w:iCs/>
              </w:rPr>
              <w:t xml:space="preserve">Djelatnosti kućanstava kao poslodavaca </w:t>
            </w:r>
          </w:p>
        </w:tc>
        <w:tc>
          <w:tcPr>
            <w:tcW w:w="1255" w:type="dxa"/>
            <w:tcBorders>
              <w:top w:val="single" w:sz="8" w:space="0" w:color="F3CFC1"/>
              <w:left w:val="single" w:sz="4" w:space="0" w:color="000000"/>
              <w:bottom w:val="single" w:sz="4" w:space="0" w:color="000000"/>
              <w:right w:val="single" w:sz="4" w:space="0" w:color="000000"/>
            </w:tcBorders>
            <w:shd w:val="clear" w:color="auto" w:fill="FFFFFF" w:themeFill="background1"/>
            <w:vAlign w:val="center"/>
          </w:tcPr>
          <w:p w14:paraId="46F9DF81" w14:textId="1250A03E"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247 </w:t>
            </w:r>
          </w:p>
        </w:tc>
        <w:tc>
          <w:tcPr>
            <w:tcW w:w="809" w:type="dxa"/>
            <w:tcBorders>
              <w:top w:val="single" w:sz="8" w:space="0" w:color="F3CFC1"/>
              <w:left w:val="single" w:sz="4" w:space="0" w:color="000000"/>
              <w:bottom w:val="single" w:sz="4" w:space="0" w:color="000000"/>
              <w:right w:val="single" w:sz="4" w:space="0" w:color="000000"/>
            </w:tcBorders>
            <w:shd w:val="clear" w:color="auto" w:fill="FFFFFF" w:themeFill="background1"/>
            <w:vAlign w:val="center"/>
          </w:tcPr>
          <w:p w14:paraId="6E1767B9" w14:textId="4C47C56D"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 </w:t>
            </w:r>
          </w:p>
        </w:tc>
        <w:tc>
          <w:tcPr>
            <w:tcW w:w="1035" w:type="dxa"/>
            <w:tcBorders>
              <w:top w:val="single" w:sz="8" w:space="0" w:color="F3CFC1"/>
              <w:left w:val="single" w:sz="4" w:space="0" w:color="000000"/>
              <w:bottom w:val="single" w:sz="4" w:space="0" w:color="000000"/>
              <w:right w:val="single" w:sz="8" w:space="0" w:color="D2232A" w:themeColor="accent1"/>
            </w:tcBorders>
            <w:shd w:val="clear" w:color="auto" w:fill="FFFFFF" w:themeFill="background1"/>
            <w:vAlign w:val="center"/>
          </w:tcPr>
          <w:p w14:paraId="5611E1FB" w14:textId="78619845"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-9 </w:t>
            </w:r>
          </w:p>
        </w:tc>
        <w:tc>
          <w:tcPr>
            <w:tcW w:w="1133" w:type="dxa"/>
            <w:tcBorders>
              <w:top w:val="single" w:sz="8" w:space="0" w:color="F3CFC1"/>
              <w:left w:val="single" w:sz="8" w:space="0" w:color="D2232A" w:themeColor="accent1"/>
              <w:bottom w:val="single" w:sz="4" w:space="0" w:color="000000"/>
              <w:right w:val="single" w:sz="4" w:space="0" w:color="000000"/>
            </w:tcBorders>
            <w:shd w:val="clear" w:color="auto" w:fill="FFFFFF" w:themeFill="background1"/>
            <w:vAlign w:val="center"/>
          </w:tcPr>
          <w:p w14:paraId="7AA324AF" w14:textId="5EC583F3"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129 </w:t>
            </w:r>
          </w:p>
        </w:tc>
        <w:tc>
          <w:tcPr>
            <w:tcW w:w="883" w:type="dxa"/>
            <w:tcBorders>
              <w:top w:val="single" w:sz="8" w:space="0" w:color="F3CFC1"/>
              <w:left w:val="single" w:sz="4" w:space="0" w:color="000000"/>
              <w:bottom w:val="single" w:sz="4" w:space="0" w:color="000000"/>
              <w:right w:val="single" w:sz="4" w:space="0" w:color="000000"/>
            </w:tcBorders>
            <w:shd w:val="clear" w:color="auto" w:fill="FFFFFF" w:themeFill="background1"/>
            <w:vAlign w:val="center"/>
          </w:tcPr>
          <w:p w14:paraId="7C17071C" w14:textId="7B66AA8D"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0 </w:t>
            </w:r>
          </w:p>
        </w:tc>
        <w:tc>
          <w:tcPr>
            <w:tcW w:w="1035" w:type="dxa"/>
            <w:tcBorders>
              <w:top w:val="single" w:sz="8" w:space="0" w:color="F3CFC1"/>
              <w:left w:val="single" w:sz="4" w:space="0" w:color="000000"/>
              <w:bottom w:val="single" w:sz="4" w:space="0" w:color="000000"/>
              <w:right w:val="single" w:sz="8" w:space="0" w:color="D2232A" w:themeColor="accent1"/>
            </w:tcBorders>
            <w:shd w:val="clear" w:color="auto" w:fill="FFFFFF" w:themeFill="background1"/>
            <w:vAlign w:val="center"/>
          </w:tcPr>
          <w:p w14:paraId="1959AA69" w14:textId="1CE16A9A"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10 </w:t>
            </w:r>
          </w:p>
        </w:tc>
        <w:tc>
          <w:tcPr>
            <w:tcW w:w="1200" w:type="dxa"/>
            <w:tcBorders>
              <w:top w:val="single" w:sz="8" w:space="0" w:color="F3CFC1"/>
              <w:left w:val="single" w:sz="4" w:space="0" w:color="000000"/>
              <w:bottom w:val="single" w:sz="4" w:space="0" w:color="000000"/>
              <w:right w:val="single" w:sz="4" w:space="0" w:color="000000"/>
            </w:tcBorders>
            <w:shd w:val="clear" w:color="auto" w:fill="FFFFFF" w:themeFill="background1"/>
            <w:vAlign w:val="center"/>
          </w:tcPr>
          <w:p w14:paraId="1CB9EB49" w14:textId="4F190924"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124 </w:t>
            </w:r>
          </w:p>
        </w:tc>
        <w:tc>
          <w:tcPr>
            <w:tcW w:w="864" w:type="dxa"/>
            <w:tcBorders>
              <w:top w:val="single" w:sz="8" w:space="0" w:color="F3CFC1"/>
              <w:left w:val="single" w:sz="4" w:space="0" w:color="000000"/>
              <w:bottom w:val="single" w:sz="4" w:space="0" w:color="000000"/>
              <w:right w:val="single" w:sz="4" w:space="0" w:color="000000"/>
            </w:tcBorders>
            <w:shd w:val="clear" w:color="auto" w:fill="FFFFFF" w:themeFill="background1"/>
            <w:vAlign w:val="center"/>
          </w:tcPr>
          <w:p w14:paraId="19255319" w14:textId="2C945135"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0 </w:t>
            </w:r>
          </w:p>
        </w:tc>
        <w:tc>
          <w:tcPr>
            <w:tcW w:w="1038" w:type="dxa"/>
            <w:tcBorders>
              <w:top w:val="single" w:sz="8" w:space="0" w:color="F3CFC1"/>
              <w:left w:val="single" w:sz="4" w:space="0" w:color="000000"/>
              <w:bottom w:val="single" w:sz="4" w:space="0" w:color="000000"/>
              <w:right w:val="single" w:sz="4" w:space="0" w:color="000000"/>
            </w:tcBorders>
            <w:shd w:val="clear" w:color="auto" w:fill="FFFFFF" w:themeFill="background1"/>
            <w:vAlign w:val="center"/>
          </w:tcPr>
          <w:p w14:paraId="17B16AE2" w14:textId="21BB0981" w:rsidR="4E193667" w:rsidRPr="000F0FF0" w:rsidRDefault="4E193667" w:rsidP="4E193667">
            <w:pPr>
              <w:jc w:val="right"/>
              <w:rPr>
                <w:rFonts w:eastAsiaTheme="minorEastAsia" w:cstheme="minorHAnsi"/>
                <w:bCs/>
                <w:iCs/>
              </w:rPr>
            </w:pPr>
            <w:r w:rsidRPr="000F0FF0">
              <w:rPr>
                <w:rFonts w:eastAsiaTheme="minorEastAsia" w:cstheme="minorHAnsi"/>
                <w:bCs/>
                <w:iCs/>
              </w:rPr>
              <w:t xml:space="preserve">-23 </w:t>
            </w:r>
          </w:p>
        </w:tc>
        <w:tc>
          <w:tcPr>
            <w:tcW w:w="1217"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5D6C9CB1" w14:textId="1C8725F6" w:rsidR="4E193667" w:rsidRPr="000F0FF0" w:rsidRDefault="4E193667" w:rsidP="4E193667">
            <w:pPr>
              <w:jc w:val="right"/>
              <w:rPr>
                <w:rFonts w:eastAsiaTheme="minorEastAsia" w:cstheme="minorHAnsi"/>
                <w:bCs/>
                <w:iCs/>
              </w:rPr>
            </w:pPr>
            <w:r w:rsidRPr="000F0FF0">
              <w:rPr>
                <w:rFonts w:eastAsiaTheme="minorEastAsia" w:cstheme="minorHAnsi"/>
                <w:bCs/>
                <w:iCs/>
              </w:rPr>
              <w:t>122</w:t>
            </w:r>
          </w:p>
        </w:tc>
        <w:tc>
          <w:tcPr>
            <w:tcW w:w="863" w:type="dxa"/>
            <w:tcBorders>
              <w:top w:val="single" w:sz="8" w:space="0" w:color="F3CFC1"/>
              <w:left w:val="single" w:sz="4" w:space="0" w:color="000000"/>
              <w:bottom w:val="single" w:sz="8" w:space="0" w:color="F3CFC1"/>
              <w:right w:val="single" w:sz="4" w:space="0" w:color="000000"/>
            </w:tcBorders>
            <w:shd w:val="clear" w:color="auto" w:fill="FFFFFF" w:themeFill="background1"/>
            <w:vAlign w:val="center"/>
          </w:tcPr>
          <w:p w14:paraId="774FCDCF" w14:textId="775659DF" w:rsidR="4E193667" w:rsidRPr="000F0FF0" w:rsidRDefault="4E193667" w:rsidP="4E193667">
            <w:pPr>
              <w:jc w:val="right"/>
              <w:rPr>
                <w:rFonts w:eastAsiaTheme="minorEastAsia" w:cstheme="minorHAnsi"/>
                <w:bCs/>
                <w:iCs/>
              </w:rPr>
            </w:pPr>
            <w:r w:rsidRPr="000F0FF0">
              <w:rPr>
                <w:rFonts w:eastAsiaTheme="minorEastAsia" w:cstheme="minorHAnsi"/>
                <w:bCs/>
                <w:iCs/>
              </w:rPr>
              <w:t>0</w:t>
            </w:r>
          </w:p>
        </w:tc>
        <w:tc>
          <w:tcPr>
            <w:tcW w:w="1020" w:type="dxa"/>
            <w:tcBorders>
              <w:top w:val="single" w:sz="8" w:space="0" w:color="F3CFC1"/>
              <w:left w:val="single" w:sz="4" w:space="0" w:color="000000"/>
              <w:bottom w:val="single" w:sz="4" w:space="0" w:color="000000"/>
              <w:right w:val="single" w:sz="4" w:space="0" w:color="000000"/>
            </w:tcBorders>
            <w:shd w:val="clear" w:color="auto" w:fill="FFFFFF" w:themeFill="background1"/>
            <w:vAlign w:val="center"/>
          </w:tcPr>
          <w:p w14:paraId="6297219E" w14:textId="55C7931C" w:rsidR="4E193667" w:rsidRPr="000F0FF0" w:rsidRDefault="4E193667" w:rsidP="4E193667">
            <w:pPr>
              <w:jc w:val="right"/>
              <w:rPr>
                <w:rFonts w:eastAsiaTheme="minorEastAsia" w:cstheme="minorHAnsi"/>
                <w:bCs/>
                <w:iCs/>
              </w:rPr>
            </w:pPr>
            <w:r w:rsidRPr="000F0FF0">
              <w:rPr>
                <w:rFonts w:eastAsiaTheme="minorEastAsia" w:cstheme="minorHAnsi"/>
                <w:bCs/>
                <w:iCs/>
              </w:rPr>
              <w:t>1</w:t>
            </w:r>
          </w:p>
        </w:tc>
      </w:tr>
      <w:tr w:rsidR="4E193667" w14:paraId="3EFDB62C" w14:textId="77777777" w:rsidTr="005D37C0">
        <w:trPr>
          <w:gridAfter w:val="1"/>
          <w:wAfter w:w="8" w:type="dxa"/>
          <w:trHeight w:val="484"/>
        </w:trPr>
        <w:tc>
          <w:tcPr>
            <w:tcW w:w="2856" w:type="dxa"/>
            <w:gridSpan w:val="2"/>
            <w:tcBorders>
              <w:top w:val="single" w:sz="4" w:space="0" w:color="000000"/>
              <w:left w:val="single" w:sz="4" w:space="0" w:color="000000"/>
              <w:bottom w:val="single" w:sz="4" w:space="0" w:color="000000"/>
              <w:right w:val="single" w:sz="8" w:space="0" w:color="FFFFFF" w:themeColor="background1"/>
            </w:tcBorders>
            <w:shd w:val="clear" w:color="auto" w:fill="D2232A" w:themeFill="accent1"/>
            <w:vAlign w:val="center"/>
          </w:tcPr>
          <w:p w14:paraId="719D987B" w14:textId="772472FE" w:rsidR="4E193667" w:rsidRPr="000F0FF0" w:rsidRDefault="4E193667" w:rsidP="4E193667">
            <w:pPr>
              <w:rPr>
                <w:rFonts w:cstheme="minorHAnsi"/>
                <w:color w:val="FFFFFF" w:themeColor="background1"/>
                <w:szCs w:val="18"/>
                <w:lang w:eastAsia="hr-HR"/>
              </w:rPr>
            </w:pPr>
            <w:r w:rsidRPr="000F0FF0">
              <w:rPr>
                <w:rFonts w:cstheme="minorHAnsi"/>
                <w:color w:val="FFFFFF" w:themeColor="background1"/>
                <w:szCs w:val="18"/>
                <w:lang w:eastAsia="hr-HR"/>
              </w:rPr>
              <w:t xml:space="preserve">Ukupno sve djelatnosti </w:t>
            </w:r>
          </w:p>
        </w:tc>
        <w:tc>
          <w:tcPr>
            <w:tcW w:w="1255" w:type="dxa"/>
            <w:tcBorders>
              <w:top w:val="single" w:sz="4" w:space="0" w:color="000000"/>
              <w:left w:val="nil"/>
              <w:bottom w:val="single" w:sz="4" w:space="0" w:color="000000"/>
              <w:right w:val="single" w:sz="8" w:space="0" w:color="FFFFFF" w:themeColor="background1"/>
            </w:tcBorders>
            <w:shd w:val="clear" w:color="auto" w:fill="D2232A" w:themeFill="accent1"/>
            <w:vAlign w:val="center"/>
          </w:tcPr>
          <w:p w14:paraId="199610F8" w14:textId="0ACA81EE"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11.053.588</w:t>
            </w:r>
          </w:p>
        </w:tc>
        <w:tc>
          <w:tcPr>
            <w:tcW w:w="809"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65D971AE" w14:textId="62EA7BE5"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 xml:space="preserve">19.309 </w:t>
            </w:r>
          </w:p>
        </w:tc>
        <w:tc>
          <w:tcPr>
            <w:tcW w:w="1035"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3276FE5B" w14:textId="201F8EEA"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 xml:space="preserve">531.135 </w:t>
            </w:r>
          </w:p>
        </w:tc>
        <w:tc>
          <w:tcPr>
            <w:tcW w:w="1133"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2861E1A3" w14:textId="4CE10EA2"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11.755.960</w:t>
            </w:r>
          </w:p>
        </w:tc>
        <w:tc>
          <w:tcPr>
            <w:tcW w:w="883"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1084E42A" w14:textId="17E80709"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 xml:space="preserve">20.203 </w:t>
            </w:r>
          </w:p>
        </w:tc>
        <w:tc>
          <w:tcPr>
            <w:tcW w:w="1035"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75EC1BDA" w14:textId="0D2C1F40"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 xml:space="preserve">578.280 </w:t>
            </w:r>
          </w:p>
        </w:tc>
        <w:tc>
          <w:tcPr>
            <w:tcW w:w="1200"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230D0C1A" w14:textId="64476EB2"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13.011.130</w:t>
            </w:r>
          </w:p>
        </w:tc>
        <w:tc>
          <w:tcPr>
            <w:tcW w:w="864"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532BE190" w14:textId="31F93383"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 xml:space="preserve">21.044 </w:t>
            </w:r>
          </w:p>
        </w:tc>
        <w:tc>
          <w:tcPr>
            <w:tcW w:w="1038" w:type="dxa"/>
            <w:tcBorders>
              <w:top w:val="single" w:sz="4" w:space="0" w:color="000000"/>
              <w:left w:val="single" w:sz="8" w:space="0" w:color="FFFFFF" w:themeColor="background1"/>
              <w:bottom w:val="single" w:sz="4" w:space="0" w:color="000000"/>
              <w:right w:val="single" w:sz="4" w:space="0" w:color="000000"/>
            </w:tcBorders>
            <w:shd w:val="clear" w:color="auto" w:fill="D2232A" w:themeFill="accent1"/>
            <w:vAlign w:val="center"/>
          </w:tcPr>
          <w:p w14:paraId="345A92A5" w14:textId="77587B88"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 xml:space="preserve">586.188 </w:t>
            </w:r>
          </w:p>
        </w:tc>
        <w:tc>
          <w:tcPr>
            <w:tcW w:w="1217"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5320E3D3" w14:textId="14F93DD0"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13.629.265</w:t>
            </w:r>
          </w:p>
        </w:tc>
        <w:tc>
          <w:tcPr>
            <w:tcW w:w="863"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5BF145FA" w14:textId="2F660D0B"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21.742</w:t>
            </w:r>
          </w:p>
        </w:tc>
        <w:tc>
          <w:tcPr>
            <w:tcW w:w="1020"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78A70CCC" w14:textId="5AADC733" w:rsidR="4E193667" w:rsidRPr="000F0FF0" w:rsidRDefault="4E193667" w:rsidP="4E193667">
            <w:pPr>
              <w:jc w:val="right"/>
              <w:rPr>
                <w:rFonts w:cstheme="minorHAnsi"/>
                <w:color w:val="FFFFFF" w:themeColor="background1"/>
                <w:szCs w:val="18"/>
                <w:lang w:eastAsia="hr-HR"/>
              </w:rPr>
            </w:pPr>
            <w:r w:rsidRPr="000F0FF0">
              <w:rPr>
                <w:rFonts w:cstheme="minorHAnsi"/>
                <w:color w:val="FFFFFF" w:themeColor="background1"/>
                <w:szCs w:val="18"/>
                <w:lang w:eastAsia="hr-HR"/>
              </w:rPr>
              <w:t>661.581</w:t>
            </w:r>
          </w:p>
        </w:tc>
      </w:tr>
    </w:tbl>
    <w:p w14:paraId="03CC76B6" w14:textId="64DB8B59" w:rsidR="008878A0" w:rsidRPr="0053248A" w:rsidRDefault="0053248A" w:rsidP="006207AF">
      <w:pPr>
        <w:autoSpaceDE w:val="0"/>
        <w:autoSpaceDN w:val="0"/>
        <w:adjustRightInd w:val="0"/>
        <w:spacing w:after="0" w:line="240" w:lineRule="auto"/>
        <w:rPr>
          <w:b/>
          <w:bCs/>
        </w:rPr>
        <w:sectPr w:rsidR="008878A0" w:rsidRPr="0053248A" w:rsidSect="005514E8">
          <w:type w:val="continuous"/>
          <w:pgSz w:w="16840" w:h="11900" w:orient="landscape"/>
          <w:pgMar w:top="1298" w:right="1338" w:bottom="1298" w:left="278" w:header="0" w:footer="1006" w:gutter="0"/>
          <w:cols w:space="720"/>
        </w:sectPr>
      </w:pPr>
      <w:r w:rsidRPr="006207AF">
        <w:rPr>
          <w:rFonts w:eastAsia="ArialNarrow" w:cstheme="minorHAnsi"/>
          <w:i/>
          <w:color w:val="ABABAB" w:themeColor="text1" w:themeTint="A6"/>
          <w:sz w:val="16"/>
          <w:szCs w:val="16"/>
        </w:rPr>
        <w:t>Izvor: FINA, 2016., 20</w:t>
      </w:r>
      <w:r w:rsidR="002C1563" w:rsidRPr="006207AF">
        <w:rPr>
          <w:rFonts w:eastAsia="ArialNarrow" w:cstheme="minorHAnsi"/>
          <w:i/>
          <w:color w:val="ABABAB" w:themeColor="text1" w:themeTint="A6"/>
          <w:sz w:val="16"/>
          <w:szCs w:val="16"/>
        </w:rPr>
        <w:t xml:space="preserve">17., 2018. </w:t>
      </w:r>
      <w:r w:rsidR="351B1071" w:rsidRPr="006207AF">
        <w:rPr>
          <w:rFonts w:eastAsia="ArialNarrow" w:cstheme="minorHAnsi"/>
          <w:i/>
          <w:color w:val="ABABAB" w:themeColor="text1" w:themeTint="A6"/>
          <w:sz w:val="16"/>
          <w:szCs w:val="16"/>
        </w:rPr>
        <w:t xml:space="preserve">i 2019. </w:t>
      </w:r>
      <w:r w:rsidR="002C1563" w:rsidRPr="006207AF">
        <w:rPr>
          <w:rFonts w:eastAsia="ArialNarrow" w:cstheme="minorHAnsi"/>
          <w:i/>
          <w:color w:val="ABABAB" w:themeColor="text1" w:themeTint="A6"/>
          <w:sz w:val="16"/>
          <w:szCs w:val="16"/>
        </w:rPr>
        <w:t>godina</w:t>
      </w:r>
      <w:r w:rsidRPr="4E193667">
        <w:rPr>
          <w:b/>
          <w:bCs/>
        </w:rPr>
        <w:t xml:space="preserve"> </w:t>
      </w:r>
      <w:r w:rsidRPr="4E193667">
        <w:rPr>
          <w:b/>
          <w:bCs/>
        </w:rPr>
        <w:br w:type="page"/>
      </w:r>
    </w:p>
    <w:p w14:paraId="55F2C742" w14:textId="3478A768" w:rsidR="008878A0" w:rsidRDefault="00F97618" w:rsidP="006207AF">
      <w:pPr>
        <w:pStyle w:val="podpodnaslov111"/>
      </w:pPr>
      <w:r>
        <w:lastRenderedPageBreak/>
        <w:tab/>
      </w:r>
      <w:bookmarkStart w:id="152" w:name="_Toc85181331"/>
      <w:r w:rsidR="00B601EE">
        <w:t>10</w:t>
      </w:r>
      <w:r w:rsidR="008878A0">
        <w:t>.</w:t>
      </w:r>
      <w:r w:rsidR="007D6366">
        <w:t>5</w:t>
      </w:r>
      <w:r w:rsidR="008878A0">
        <w:t>.2. Pokazatelji uspješnosti poslovanja poduzetnika</w:t>
      </w:r>
      <w:bookmarkEnd w:id="152"/>
    </w:p>
    <w:p w14:paraId="5DD31015" w14:textId="77777777" w:rsidR="008878A0" w:rsidRDefault="008878A0" w:rsidP="00941871">
      <w:pPr>
        <w:spacing w:before="1" w:line="280" w:lineRule="exact"/>
        <w:rPr>
          <w:rFonts w:cstheme="minorHAnsi"/>
          <w:sz w:val="28"/>
          <w:szCs w:val="28"/>
        </w:rPr>
      </w:pPr>
    </w:p>
    <w:p w14:paraId="433632F7" w14:textId="4E5986D9" w:rsidR="00675AF7" w:rsidRDefault="008473A1" w:rsidP="00675AF7">
      <w:pPr>
        <w:spacing w:line="285" w:lineRule="auto"/>
        <w:ind w:left="708" w:right="84"/>
        <w:jc w:val="left"/>
        <w:rPr>
          <w:rFonts w:eastAsia="Arial Narrow"/>
          <w:spacing w:val="-1"/>
        </w:rPr>
      </w:pPr>
      <w:r w:rsidRPr="4E193667">
        <w:rPr>
          <w:rFonts w:eastAsia="Arial Narrow"/>
          <w:spacing w:val="-1"/>
        </w:rPr>
        <w:t>Pokazatelji uspješnosti poslovanja poduzetnika u razdoblju 2012. do 201</w:t>
      </w:r>
      <w:r w:rsidR="628B4473" w:rsidRPr="4E193667">
        <w:rPr>
          <w:rFonts w:eastAsia="Arial Narrow"/>
          <w:spacing w:val="-1"/>
        </w:rPr>
        <w:t>9</w:t>
      </w:r>
      <w:r w:rsidRPr="4E193667">
        <w:rPr>
          <w:rFonts w:eastAsia="Arial Narrow"/>
          <w:spacing w:val="-1"/>
        </w:rPr>
        <w:t xml:space="preserve">. godine </w:t>
      </w:r>
      <w:r w:rsidR="00CD1208" w:rsidRPr="4E193667">
        <w:rPr>
          <w:rFonts w:eastAsia="Arial Narrow"/>
          <w:spacing w:val="-1"/>
        </w:rPr>
        <w:t xml:space="preserve">u </w:t>
      </w:r>
      <w:r w:rsidRPr="4E193667">
        <w:rPr>
          <w:rFonts w:eastAsia="Arial Narrow"/>
          <w:spacing w:val="-1"/>
        </w:rPr>
        <w:t>Krapinsko-zagorsk</w:t>
      </w:r>
      <w:r w:rsidR="00CD1208" w:rsidRPr="4E193667">
        <w:rPr>
          <w:rFonts w:eastAsia="Arial Narrow"/>
          <w:spacing w:val="-1"/>
        </w:rPr>
        <w:t>oj</w:t>
      </w:r>
      <w:r w:rsidRPr="4E193667">
        <w:rPr>
          <w:rFonts w:eastAsia="Arial Narrow"/>
          <w:spacing w:val="-1"/>
        </w:rPr>
        <w:t xml:space="preserve"> županij</w:t>
      </w:r>
      <w:r w:rsidR="00CD1208" w:rsidRPr="4E193667">
        <w:rPr>
          <w:rFonts w:eastAsia="Arial Narrow"/>
          <w:spacing w:val="-1"/>
        </w:rPr>
        <w:t>i</w:t>
      </w:r>
      <w:r w:rsidRPr="4E193667">
        <w:rPr>
          <w:rFonts w:eastAsia="Arial Narrow"/>
          <w:spacing w:val="-1"/>
        </w:rPr>
        <w:t xml:space="preserve"> uglavnom nemaju izražen pozitivan ili negativan trend već pokazuju fluktuacije u promatranom razdoblju. Najstabilniji trend rasta pokazuje produktivnost rada tj. ukupni prihodi po zaposlenom.</w:t>
      </w:r>
    </w:p>
    <w:p w14:paraId="66F37B97" w14:textId="77777777" w:rsidR="00AD4AD1" w:rsidRDefault="00AD4AD1" w:rsidP="00675AF7">
      <w:pPr>
        <w:spacing w:line="285" w:lineRule="auto"/>
        <w:ind w:left="708" w:right="84"/>
        <w:jc w:val="left"/>
        <w:rPr>
          <w:rFonts w:eastAsia="Arial Narrow"/>
          <w:spacing w:val="-1"/>
        </w:rPr>
      </w:pPr>
    </w:p>
    <w:p w14:paraId="2704433F" w14:textId="1EF95E14" w:rsidR="00C85D76" w:rsidRPr="00675AF7" w:rsidRDefault="008878A0" w:rsidP="00675AF7">
      <w:pPr>
        <w:spacing w:line="285" w:lineRule="auto"/>
        <w:ind w:left="708" w:right="84"/>
        <w:jc w:val="left"/>
        <w:rPr>
          <w:rFonts w:eastAsia="Arial Narrow"/>
          <w:spacing w:val="-1"/>
        </w:rPr>
      </w:pPr>
      <w:r>
        <w:t xml:space="preserve">Tablica </w:t>
      </w:r>
      <w:r w:rsidR="006207AF">
        <w:rPr>
          <w:noProof/>
        </w:rPr>
        <w:t>8</w:t>
      </w:r>
      <w:r w:rsidR="000D5E3F">
        <w:rPr>
          <w:noProof/>
        </w:rPr>
        <w:t>5</w:t>
      </w:r>
      <w:r w:rsidR="001838EE" w:rsidRPr="4E193667">
        <w:rPr>
          <w:noProof/>
        </w:rPr>
        <w:t>.</w:t>
      </w:r>
      <w:r>
        <w:t xml:space="preserve"> Pokazatelji produktivnosti, ekonomičnosti i rentabilnosti poduzetnika u Krapinsko-zagorskoj županiji tijekom 2012. - 201</w:t>
      </w:r>
      <w:r w:rsidR="787F8EB9">
        <w:t>9</w:t>
      </w:r>
      <w:r>
        <w:t>. godine</w:t>
      </w:r>
    </w:p>
    <w:tbl>
      <w:tblPr>
        <w:tblStyle w:val="Reetkatablice"/>
        <w:tblW w:w="0" w:type="auto"/>
        <w:tblInd w:w="749" w:type="dxa"/>
        <w:tblLayout w:type="fixed"/>
        <w:tblLook w:val="06A0" w:firstRow="1" w:lastRow="0" w:firstColumn="1" w:lastColumn="0" w:noHBand="1" w:noVBand="1"/>
      </w:tblPr>
      <w:tblGrid>
        <w:gridCol w:w="1083"/>
        <w:gridCol w:w="1083"/>
        <w:gridCol w:w="1083"/>
        <w:gridCol w:w="1083"/>
        <w:gridCol w:w="1083"/>
        <w:gridCol w:w="1083"/>
        <w:gridCol w:w="1083"/>
        <w:gridCol w:w="1083"/>
        <w:gridCol w:w="1083"/>
        <w:gridCol w:w="1083"/>
        <w:gridCol w:w="1083"/>
        <w:gridCol w:w="1083"/>
        <w:gridCol w:w="1083"/>
      </w:tblGrid>
      <w:tr w:rsidR="4E193667" w14:paraId="2B5072DC" w14:textId="77777777" w:rsidTr="00545C44">
        <w:trPr>
          <w:trHeight w:val="1080"/>
        </w:trPr>
        <w:tc>
          <w:tcPr>
            <w:tcW w:w="1083" w:type="dxa"/>
            <w:vMerge w:val="restart"/>
            <w:tcBorders>
              <w:top w:val="single" w:sz="4" w:space="0" w:color="000000"/>
              <w:left w:val="single" w:sz="4" w:space="0" w:color="000000"/>
              <w:bottom w:val="single" w:sz="8" w:space="0" w:color="FFFFFF" w:themeColor="background1"/>
              <w:right w:val="single" w:sz="8" w:space="0" w:color="FFFFFF" w:themeColor="background1"/>
            </w:tcBorders>
            <w:shd w:val="clear" w:color="auto" w:fill="D2232A" w:themeFill="accent1"/>
            <w:vAlign w:val="center"/>
          </w:tcPr>
          <w:p w14:paraId="4E8BFBFF" w14:textId="6ED51510" w:rsidR="4E193667" w:rsidRPr="00545C44" w:rsidRDefault="4E193667" w:rsidP="00545C44">
            <w:pPr>
              <w:rPr>
                <w:rFonts w:cstheme="minorHAnsi"/>
                <w:color w:val="FFFFFF" w:themeColor="background1"/>
                <w:szCs w:val="18"/>
                <w:lang w:eastAsia="hr-HR"/>
              </w:rPr>
            </w:pPr>
            <w:r w:rsidRPr="00545C44">
              <w:rPr>
                <w:rFonts w:cstheme="minorHAnsi"/>
                <w:color w:val="FFFFFF" w:themeColor="background1"/>
                <w:szCs w:val="18"/>
                <w:lang w:eastAsia="hr-HR"/>
              </w:rPr>
              <w:t xml:space="preserve">Godina </w:t>
            </w:r>
          </w:p>
        </w:tc>
        <w:tc>
          <w:tcPr>
            <w:tcW w:w="2166" w:type="dxa"/>
            <w:gridSpan w:val="2"/>
            <w:tcBorders>
              <w:top w:val="single" w:sz="4" w:space="0" w:color="000000"/>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5C7DBC8B" w14:textId="1B6F26B7" w:rsidR="4E193667" w:rsidRPr="00545C44" w:rsidRDefault="4E193667" w:rsidP="00545C44">
            <w:pPr>
              <w:rPr>
                <w:rFonts w:cstheme="minorHAnsi"/>
                <w:color w:val="FFFFFF" w:themeColor="background1"/>
                <w:szCs w:val="18"/>
                <w:lang w:eastAsia="hr-HR"/>
              </w:rPr>
            </w:pPr>
            <w:r w:rsidRPr="00545C44">
              <w:rPr>
                <w:rFonts w:cstheme="minorHAnsi"/>
                <w:color w:val="FFFFFF" w:themeColor="background1"/>
                <w:szCs w:val="18"/>
                <w:lang w:eastAsia="hr-HR"/>
              </w:rPr>
              <w:t xml:space="preserve">Ukupni prihodi po zaposlenom (u 000 kn) </w:t>
            </w:r>
          </w:p>
        </w:tc>
        <w:tc>
          <w:tcPr>
            <w:tcW w:w="2166" w:type="dxa"/>
            <w:gridSpan w:val="2"/>
            <w:tcBorders>
              <w:top w:val="single" w:sz="4" w:space="0" w:color="000000"/>
              <w:left w:val="nil"/>
              <w:bottom w:val="single" w:sz="8" w:space="0" w:color="FFFFFF" w:themeColor="background1"/>
              <w:right w:val="single" w:sz="8" w:space="0" w:color="FFFFFF" w:themeColor="background1"/>
            </w:tcBorders>
            <w:shd w:val="clear" w:color="auto" w:fill="D2232A" w:themeFill="accent1"/>
            <w:vAlign w:val="center"/>
          </w:tcPr>
          <w:p w14:paraId="318B9E40" w14:textId="3FAECBC0" w:rsidR="4E193667" w:rsidRPr="00545C44" w:rsidRDefault="4E193667" w:rsidP="00545C44">
            <w:pPr>
              <w:rPr>
                <w:rFonts w:cstheme="minorHAnsi"/>
                <w:color w:val="FFFFFF" w:themeColor="background1"/>
                <w:szCs w:val="18"/>
                <w:lang w:eastAsia="hr-HR"/>
              </w:rPr>
            </w:pPr>
            <w:r w:rsidRPr="00545C44">
              <w:rPr>
                <w:rFonts w:cstheme="minorHAnsi"/>
                <w:color w:val="FFFFFF" w:themeColor="background1"/>
                <w:szCs w:val="18"/>
                <w:lang w:eastAsia="hr-HR"/>
              </w:rPr>
              <w:t xml:space="preserve">Neto dobit ili gubitak razdoblja po zaposlenom u kn </w:t>
            </w:r>
          </w:p>
        </w:tc>
        <w:tc>
          <w:tcPr>
            <w:tcW w:w="2166" w:type="dxa"/>
            <w:gridSpan w:val="2"/>
            <w:tcBorders>
              <w:top w:val="single" w:sz="4" w:space="0" w:color="000000"/>
              <w:left w:val="nil"/>
              <w:bottom w:val="single" w:sz="8" w:space="0" w:color="FFFFFF" w:themeColor="background1"/>
              <w:right w:val="single" w:sz="8" w:space="0" w:color="FFFFFF" w:themeColor="background1"/>
            </w:tcBorders>
            <w:shd w:val="clear" w:color="auto" w:fill="D2232A" w:themeFill="accent1"/>
            <w:vAlign w:val="center"/>
          </w:tcPr>
          <w:p w14:paraId="587A2C51" w14:textId="0E250E3E" w:rsidR="4E193667" w:rsidRPr="00545C44" w:rsidRDefault="4E193667" w:rsidP="00545C44">
            <w:pPr>
              <w:rPr>
                <w:rFonts w:cstheme="minorHAnsi"/>
                <w:color w:val="FFFFFF" w:themeColor="background1"/>
                <w:szCs w:val="18"/>
                <w:lang w:eastAsia="hr-HR"/>
              </w:rPr>
            </w:pPr>
            <w:r w:rsidRPr="00545C44">
              <w:rPr>
                <w:rFonts w:cstheme="minorHAnsi"/>
                <w:color w:val="FFFFFF" w:themeColor="background1"/>
                <w:szCs w:val="18"/>
                <w:lang w:eastAsia="hr-HR"/>
              </w:rPr>
              <w:t xml:space="preserve">Ekonomičnost poslovanja % </w:t>
            </w:r>
          </w:p>
        </w:tc>
        <w:tc>
          <w:tcPr>
            <w:tcW w:w="2166" w:type="dxa"/>
            <w:gridSpan w:val="2"/>
            <w:tcBorders>
              <w:top w:val="single" w:sz="4" w:space="0" w:color="000000"/>
              <w:left w:val="nil"/>
              <w:bottom w:val="single" w:sz="8" w:space="0" w:color="FFFFFF" w:themeColor="background1"/>
              <w:right w:val="single" w:sz="8" w:space="0" w:color="FFFFFF" w:themeColor="background1"/>
            </w:tcBorders>
            <w:shd w:val="clear" w:color="auto" w:fill="D2232A" w:themeFill="accent1"/>
            <w:vAlign w:val="center"/>
          </w:tcPr>
          <w:p w14:paraId="7E4C0F27" w14:textId="289F2877" w:rsidR="4E193667" w:rsidRPr="00545C44" w:rsidRDefault="4E193667" w:rsidP="00545C44">
            <w:pPr>
              <w:rPr>
                <w:rFonts w:cstheme="minorHAnsi"/>
                <w:color w:val="FFFFFF" w:themeColor="background1"/>
                <w:szCs w:val="18"/>
                <w:lang w:eastAsia="hr-HR"/>
              </w:rPr>
            </w:pPr>
            <w:r w:rsidRPr="00545C44">
              <w:rPr>
                <w:rFonts w:cstheme="minorHAnsi"/>
                <w:color w:val="FFFFFF" w:themeColor="background1"/>
                <w:szCs w:val="18"/>
                <w:lang w:eastAsia="hr-HR"/>
              </w:rPr>
              <w:t xml:space="preserve">Rentabilnost prometa neto % </w:t>
            </w:r>
          </w:p>
        </w:tc>
        <w:tc>
          <w:tcPr>
            <w:tcW w:w="2166" w:type="dxa"/>
            <w:gridSpan w:val="2"/>
            <w:tcBorders>
              <w:top w:val="single" w:sz="4" w:space="0" w:color="000000"/>
              <w:left w:val="nil"/>
              <w:bottom w:val="single" w:sz="8" w:space="0" w:color="FFFFFF" w:themeColor="background1"/>
              <w:right w:val="single" w:sz="8" w:space="0" w:color="FFFFFF" w:themeColor="background1"/>
            </w:tcBorders>
            <w:shd w:val="clear" w:color="auto" w:fill="D2232A" w:themeFill="accent1"/>
            <w:vAlign w:val="center"/>
          </w:tcPr>
          <w:p w14:paraId="1FB0E89F" w14:textId="27800C07" w:rsidR="4E193667" w:rsidRPr="00545C44" w:rsidRDefault="4E193667" w:rsidP="00545C44">
            <w:pPr>
              <w:rPr>
                <w:rFonts w:cstheme="minorHAnsi"/>
                <w:color w:val="FFFFFF" w:themeColor="background1"/>
                <w:szCs w:val="18"/>
                <w:lang w:eastAsia="hr-HR"/>
              </w:rPr>
            </w:pPr>
            <w:r w:rsidRPr="00545C44">
              <w:rPr>
                <w:rFonts w:cstheme="minorHAnsi"/>
                <w:color w:val="FFFFFF" w:themeColor="background1"/>
                <w:szCs w:val="18"/>
                <w:lang w:eastAsia="hr-HR"/>
              </w:rPr>
              <w:t xml:space="preserve">Rentabilnost ukupne imovine neto % </w:t>
            </w:r>
          </w:p>
        </w:tc>
        <w:tc>
          <w:tcPr>
            <w:tcW w:w="2166" w:type="dxa"/>
            <w:gridSpan w:val="2"/>
            <w:tcBorders>
              <w:top w:val="single" w:sz="4" w:space="0" w:color="000000"/>
              <w:left w:val="nil"/>
              <w:bottom w:val="single" w:sz="8" w:space="0" w:color="FFFFFF" w:themeColor="background1"/>
              <w:right w:val="single" w:sz="4" w:space="0" w:color="000000"/>
            </w:tcBorders>
            <w:shd w:val="clear" w:color="auto" w:fill="D2232A" w:themeFill="accent1"/>
            <w:vAlign w:val="center"/>
          </w:tcPr>
          <w:p w14:paraId="24D2D261" w14:textId="467033D7" w:rsidR="4E193667" w:rsidRPr="00545C44" w:rsidRDefault="4E193667" w:rsidP="00545C44">
            <w:pPr>
              <w:rPr>
                <w:rFonts w:cstheme="minorHAnsi"/>
                <w:color w:val="FFFFFF" w:themeColor="background1"/>
                <w:szCs w:val="18"/>
                <w:lang w:eastAsia="hr-HR"/>
              </w:rPr>
            </w:pPr>
            <w:r w:rsidRPr="00545C44">
              <w:rPr>
                <w:rFonts w:cstheme="minorHAnsi"/>
                <w:color w:val="FFFFFF" w:themeColor="background1"/>
                <w:szCs w:val="18"/>
                <w:lang w:eastAsia="hr-HR"/>
              </w:rPr>
              <w:t xml:space="preserve">Rentabilnost vlastitog kapitala % </w:t>
            </w:r>
          </w:p>
        </w:tc>
      </w:tr>
      <w:tr w:rsidR="4E193667" w14:paraId="21012A33" w14:textId="77777777" w:rsidTr="00545C44">
        <w:trPr>
          <w:trHeight w:val="327"/>
        </w:trPr>
        <w:tc>
          <w:tcPr>
            <w:tcW w:w="1083" w:type="dxa"/>
            <w:vMerge/>
            <w:tcBorders>
              <w:left w:val="single" w:sz="0" w:space="0" w:color="000000"/>
              <w:bottom w:val="single" w:sz="0" w:space="0" w:color="FFFFFF" w:themeColor="background1"/>
              <w:right w:val="single" w:sz="0" w:space="0" w:color="FFFFFF" w:themeColor="background1"/>
            </w:tcBorders>
            <w:vAlign w:val="center"/>
          </w:tcPr>
          <w:p w14:paraId="68A0B26F" w14:textId="77777777" w:rsidR="0006033B" w:rsidRPr="00545C44" w:rsidRDefault="0006033B">
            <w:pPr>
              <w:rPr>
                <w:rFonts w:cstheme="minorHAnsi"/>
                <w:color w:val="FFFFFF" w:themeColor="background1"/>
                <w:szCs w:val="18"/>
                <w:lang w:eastAsia="hr-HR"/>
              </w:rPr>
            </w:pPr>
          </w:p>
        </w:tc>
        <w:tc>
          <w:tcPr>
            <w:tcW w:w="1083" w:type="dxa"/>
            <w:tcBorders>
              <w:top w:val="single" w:sz="8" w:space="0" w:color="FFFFFF" w:themeColor="background1"/>
              <w:left w:val="nil"/>
              <w:bottom w:val="single" w:sz="8" w:space="0" w:color="FFFFFF" w:themeColor="background1"/>
              <w:right w:val="single" w:sz="8" w:space="0" w:color="FFFFFF" w:themeColor="background1"/>
            </w:tcBorders>
            <w:shd w:val="clear" w:color="auto" w:fill="D2232A" w:themeFill="accent1"/>
            <w:vAlign w:val="center"/>
          </w:tcPr>
          <w:p w14:paraId="5DC3107A" w14:textId="6BB42F87"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KZŽ </w:t>
            </w:r>
          </w:p>
        </w:tc>
        <w:tc>
          <w:tcPr>
            <w:tcW w:w="1083" w:type="dxa"/>
            <w:tcBorders>
              <w:top w:val="nil"/>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07BA95C2" w14:textId="003FBC92"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RH </w:t>
            </w:r>
          </w:p>
        </w:tc>
        <w:tc>
          <w:tcPr>
            <w:tcW w:w="108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1C808A84" w14:textId="446915DA"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KZŽ </w:t>
            </w:r>
          </w:p>
        </w:tc>
        <w:tc>
          <w:tcPr>
            <w:tcW w:w="1083" w:type="dxa"/>
            <w:tcBorders>
              <w:top w:val="nil"/>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69CEFA3D" w14:textId="41C8DF5A"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RH </w:t>
            </w:r>
          </w:p>
        </w:tc>
        <w:tc>
          <w:tcPr>
            <w:tcW w:w="108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4E7B8D69" w14:textId="1B023585"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KZŽ </w:t>
            </w:r>
          </w:p>
        </w:tc>
        <w:tc>
          <w:tcPr>
            <w:tcW w:w="1083" w:type="dxa"/>
            <w:tcBorders>
              <w:top w:val="nil"/>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70E687EC" w14:textId="47C99386"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RH </w:t>
            </w:r>
          </w:p>
        </w:tc>
        <w:tc>
          <w:tcPr>
            <w:tcW w:w="108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56EE52F5" w14:textId="79B83660"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KZŽ </w:t>
            </w:r>
          </w:p>
        </w:tc>
        <w:tc>
          <w:tcPr>
            <w:tcW w:w="1083" w:type="dxa"/>
            <w:tcBorders>
              <w:top w:val="nil"/>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114ACB38" w14:textId="68AFD6E3"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RH </w:t>
            </w:r>
          </w:p>
        </w:tc>
        <w:tc>
          <w:tcPr>
            <w:tcW w:w="108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781EB9D8" w14:textId="69C2C27B"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KZŽ </w:t>
            </w:r>
          </w:p>
        </w:tc>
        <w:tc>
          <w:tcPr>
            <w:tcW w:w="1083" w:type="dxa"/>
            <w:tcBorders>
              <w:top w:val="nil"/>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50A1C981" w14:textId="1D7486A3"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RH </w:t>
            </w:r>
          </w:p>
        </w:tc>
        <w:tc>
          <w:tcPr>
            <w:tcW w:w="108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32A" w:themeFill="accent1"/>
            <w:vAlign w:val="center"/>
          </w:tcPr>
          <w:p w14:paraId="759F1273" w14:textId="3C075441"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KZŽ </w:t>
            </w:r>
          </w:p>
        </w:tc>
        <w:tc>
          <w:tcPr>
            <w:tcW w:w="1083" w:type="dxa"/>
            <w:tcBorders>
              <w:top w:val="nil"/>
              <w:left w:val="single" w:sz="8" w:space="0" w:color="FFFFFF" w:themeColor="background1"/>
              <w:bottom w:val="single" w:sz="8" w:space="0" w:color="FFFFFF" w:themeColor="background1"/>
              <w:right w:val="single" w:sz="4" w:space="0" w:color="000000"/>
            </w:tcBorders>
            <w:shd w:val="clear" w:color="auto" w:fill="D2232A" w:themeFill="accent1"/>
            <w:vAlign w:val="center"/>
          </w:tcPr>
          <w:p w14:paraId="568CCABB" w14:textId="2B3766F6" w:rsidR="4E193667" w:rsidRPr="00545C44" w:rsidRDefault="4E193667" w:rsidP="4E193667">
            <w:pPr>
              <w:jc w:val="center"/>
              <w:rPr>
                <w:rFonts w:cstheme="minorHAnsi"/>
                <w:color w:val="FFFFFF" w:themeColor="background1"/>
                <w:szCs w:val="18"/>
                <w:lang w:eastAsia="hr-HR"/>
              </w:rPr>
            </w:pPr>
            <w:r w:rsidRPr="00545C44">
              <w:rPr>
                <w:rFonts w:cstheme="minorHAnsi"/>
                <w:color w:val="FFFFFF" w:themeColor="background1"/>
                <w:szCs w:val="18"/>
                <w:lang w:eastAsia="hr-HR"/>
              </w:rPr>
              <w:t xml:space="preserve">RH </w:t>
            </w:r>
          </w:p>
        </w:tc>
      </w:tr>
      <w:tr w:rsidR="4E193667" w14:paraId="5E8083A9" w14:textId="77777777" w:rsidTr="00545C44">
        <w:trPr>
          <w:trHeight w:val="327"/>
        </w:trPr>
        <w:tc>
          <w:tcPr>
            <w:tcW w:w="1083" w:type="dxa"/>
            <w:tcBorders>
              <w:top w:val="nil"/>
              <w:left w:val="single" w:sz="4" w:space="0" w:color="000000"/>
              <w:bottom w:val="single" w:sz="8" w:space="0" w:color="F3CFC1"/>
              <w:right w:val="single" w:sz="4" w:space="0" w:color="000000"/>
            </w:tcBorders>
            <w:vAlign w:val="center"/>
          </w:tcPr>
          <w:p w14:paraId="6F866B64" w14:textId="470E608E" w:rsidR="4E193667" w:rsidRPr="00545C44" w:rsidRDefault="4E193667" w:rsidP="4E193667">
            <w:pPr>
              <w:rPr>
                <w:rFonts w:eastAsiaTheme="minorEastAsia"/>
                <w:szCs w:val="21"/>
              </w:rPr>
            </w:pPr>
            <w:r w:rsidRPr="00545C44">
              <w:rPr>
                <w:rFonts w:eastAsiaTheme="minorEastAsia"/>
                <w:szCs w:val="21"/>
              </w:rPr>
              <w:t xml:space="preserve">2012. </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3EA6FEAB" w14:textId="563559E0" w:rsidR="4E193667" w:rsidRPr="00545C44" w:rsidRDefault="4E193667" w:rsidP="00545C44">
            <w:pPr>
              <w:jc w:val="center"/>
              <w:rPr>
                <w:rFonts w:eastAsiaTheme="minorEastAsia"/>
                <w:szCs w:val="21"/>
              </w:rPr>
            </w:pPr>
            <w:r w:rsidRPr="00545C44">
              <w:rPr>
                <w:rFonts w:eastAsiaTheme="minorEastAsia"/>
                <w:szCs w:val="21"/>
              </w:rPr>
              <w:t>590</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4D9F3697" w14:textId="57C5BAE5" w:rsidR="4E193667" w:rsidRPr="00545C44" w:rsidRDefault="4E193667" w:rsidP="00545C44">
            <w:pPr>
              <w:jc w:val="center"/>
              <w:rPr>
                <w:rFonts w:eastAsiaTheme="minorEastAsia"/>
                <w:szCs w:val="21"/>
              </w:rPr>
            </w:pPr>
            <w:r w:rsidRPr="00545C44">
              <w:rPr>
                <w:rFonts w:eastAsiaTheme="minorEastAsia"/>
                <w:szCs w:val="21"/>
              </w:rPr>
              <w:t>736</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081277F5" w14:textId="579FB8D5" w:rsidR="4E193667" w:rsidRPr="00545C44" w:rsidRDefault="4E193667" w:rsidP="00545C44">
            <w:pPr>
              <w:jc w:val="center"/>
              <w:rPr>
                <w:rFonts w:eastAsiaTheme="minorEastAsia"/>
                <w:szCs w:val="21"/>
              </w:rPr>
            </w:pPr>
            <w:r w:rsidRPr="00545C44">
              <w:rPr>
                <w:rFonts w:eastAsiaTheme="minorEastAsia"/>
                <w:szCs w:val="21"/>
              </w:rPr>
              <w:t>-1.058</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3BD26D4D" w14:textId="2582B4D3" w:rsidR="4E193667" w:rsidRPr="00545C44" w:rsidRDefault="4E193667" w:rsidP="00545C44">
            <w:pPr>
              <w:jc w:val="center"/>
              <w:rPr>
                <w:rFonts w:eastAsiaTheme="minorEastAsia"/>
                <w:szCs w:val="21"/>
              </w:rPr>
            </w:pPr>
            <w:r w:rsidRPr="00545C44">
              <w:rPr>
                <w:rFonts w:eastAsiaTheme="minorEastAsia"/>
                <w:szCs w:val="21"/>
              </w:rPr>
              <w:t>5.954</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712CD855" w14:textId="225FB648" w:rsidR="4E193667" w:rsidRPr="00545C44" w:rsidRDefault="4E193667" w:rsidP="00545C44">
            <w:pPr>
              <w:jc w:val="center"/>
              <w:rPr>
                <w:rFonts w:eastAsiaTheme="minorEastAsia"/>
                <w:szCs w:val="21"/>
              </w:rPr>
            </w:pPr>
            <w:r w:rsidRPr="00545C44">
              <w:rPr>
                <w:rFonts w:eastAsiaTheme="minorEastAsia"/>
                <w:szCs w:val="21"/>
              </w:rPr>
              <w:t>100,2</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742C3A1F" w14:textId="4CE0A167" w:rsidR="4E193667" w:rsidRPr="00545C44" w:rsidRDefault="4E193667" w:rsidP="00545C44">
            <w:pPr>
              <w:jc w:val="center"/>
              <w:rPr>
                <w:rFonts w:eastAsiaTheme="minorEastAsia"/>
                <w:szCs w:val="21"/>
              </w:rPr>
            </w:pPr>
            <w:r w:rsidRPr="00545C44">
              <w:rPr>
                <w:rFonts w:eastAsiaTheme="minorEastAsia"/>
                <w:szCs w:val="21"/>
              </w:rPr>
              <w:t>101,5</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0B5ABF02" w14:textId="609CBD90" w:rsidR="4E193667" w:rsidRPr="00545C44" w:rsidRDefault="4E193667" w:rsidP="00545C44">
            <w:pPr>
              <w:jc w:val="center"/>
              <w:rPr>
                <w:rFonts w:eastAsiaTheme="minorEastAsia"/>
                <w:szCs w:val="21"/>
              </w:rPr>
            </w:pPr>
            <w:r w:rsidRPr="00545C44">
              <w:rPr>
                <w:rFonts w:eastAsiaTheme="minorEastAsia"/>
                <w:szCs w:val="21"/>
              </w:rPr>
              <w:t>-0,2</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78B9D802" w14:textId="782132A6" w:rsidR="4E193667" w:rsidRPr="00545C44" w:rsidRDefault="4E193667" w:rsidP="00545C44">
            <w:pPr>
              <w:jc w:val="center"/>
              <w:rPr>
                <w:rFonts w:eastAsiaTheme="minorEastAsia"/>
                <w:szCs w:val="21"/>
              </w:rPr>
            </w:pPr>
            <w:r w:rsidRPr="00545C44">
              <w:rPr>
                <w:rFonts w:eastAsiaTheme="minorEastAsia"/>
                <w:szCs w:val="21"/>
              </w:rPr>
              <w:t>0,8</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794C827B" w14:textId="2CA0F561" w:rsidR="4E193667" w:rsidRPr="00545C44" w:rsidRDefault="4E193667" w:rsidP="00545C44">
            <w:pPr>
              <w:jc w:val="center"/>
              <w:rPr>
                <w:rFonts w:eastAsiaTheme="minorEastAsia"/>
                <w:szCs w:val="21"/>
              </w:rPr>
            </w:pPr>
            <w:r w:rsidRPr="00545C44">
              <w:rPr>
                <w:rFonts w:eastAsiaTheme="minorEastAsia"/>
                <w:szCs w:val="21"/>
              </w:rPr>
              <w:t>-0,1</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4A150C26" w14:textId="35F25372" w:rsidR="4E193667" w:rsidRPr="00545C44" w:rsidRDefault="4E193667" w:rsidP="00545C44">
            <w:pPr>
              <w:jc w:val="center"/>
              <w:rPr>
                <w:rFonts w:eastAsiaTheme="minorEastAsia"/>
                <w:szCs w:val="21"/>
              </w:rPr>
            </w:pPr>
            <w:r w:rsidRPr="00545C44">
              <w:rPr>
                <w:rFonts w:eastAsiaTheme="minorEastAsia"/>
                <w:szCs w:val="21"/>
              </w:rPr>
              <w:t>0,5</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68B6BA35" w14:textId="2C7801A6" w:rsidR="4E193667" w:rsidRPr="00545C44" w:rsidRDefault="4E193667" w:rsidP="00545C44">
            <w:pPr>
              <w:jc w:val="center"/>
              <w:rPr>
                <w:rFonts w:eastAsiaTheme="minorEastAsia"/>
                <w:szCs w:val="21"/>
              </w:rPr>
            </w:pPr>
            <w:r w:rsidRPr="00545C44">
              <w:rPr>
                <w:rFonts w:eastAsiaTheme="minorEastAsia"/>
                <w:szCs w:val="21"/>
              </w:rPr>
              <w:t>-0,8</w:t>
            </w:r>
          </w:p>
        </w:tc>
        <w:tc>
          <w:tcPr>
            <w:tcW w:w="1083" w:type="dxa"/>
            <w:tcBorders>
              <w:top w:val="single" w:sz="8" w:space="0" w:color="FFFFFF" w:themeColor="background1"/>
              <w:left w:val="single" w:sz="4" w:space="0" w:color="000000"/>
              <w:bottom w:val="single" w:sz="8" w:space="0" w:color="F3CFC1"/>
              <w:right w:val="single" w:sz="4" w:space="0" w:color="000000"/>
            </w:tcBorders>
            <w:vAlign w:val="center"/>
          </w:tcPr>
          <w:p w14:paraId="3FC60CC7" w14:textId="12E410DA" w:rsidR="4E193667" w:rsidRPr="00545C44" w:rsidRDefault="4E193667" w:rsidP="00545C44">
            <w:pPr>
              <w:jc w:val="center"/>
              <w:rPr>
                <w:rFonts w:eastAsiaTheme="minorEastAsia"/>
                <w:szCs w:val="21"/>
              </w:rPr>
            </w:pPr>
            <w:r w:rsidRPr="00545C44">
              <w:rPr>
                <w:rFonts w:eastAsiaTheme="minorEastAsia"/>
                <w:szCs w:val="21"/>
              </w:rPr>
              <w:t>1,3</w:t>
            </w:r>
          </w:p>
        </w:tc>
      </w:tr>
      <w:tr w:rsidR="4E193667" w14:paraId="14E7A2D7" w14:textId="77777777" w:rsidTr="00545C44">
        <w:trPr>
          <w:trHeight w:val="327"/>
        </w:trPr>
        <w:tc>
          <w:tcPr>
            <w:tcW w:w="1083" w:type="dxa"/>
            <w:tcBorders>
              <w:top w:val="single" w:sz="8" w:space="0" w:color="F3CFC1"/>
              <w:left w:val="single" w:sz="4" w:space="0" w:color="000000"/>
              <w:bottom w:val="single" w:sz="8" w:space="0" w:color="F3CFC1"/>
              <w:right w:val="single" w:sz="4" w:space="0" w:color="000000"/>
            </w:tcBorders>
            <w:vAlign w:val="center"/>
          </w:tcPr>
          <w:p w14:paraId="50EEC88F" w14:textId="2FF4B1CC" w:rsidR="4E193667" w:rsidRPr="00545C44" w:rsidRDefault="4E193667" w:rsidP="4E193667">
            <w:pPr>
              <w:rPr>
                <w:rFonts w:eastAsiaTheme="minorEastAsia"/>
                <w:szCs w:val="21"/>
              </w:rPr>
            </w:pPr>
            <w:r w:rsidRPr="00545C44">
              <w:rPr>
                <w:rFonts w:eastAsiaTheme="minorEastAsia"/>
                <w:szCs w:val="21"/>
              </w:rPr>
              <w:t xml:space="preserve">2013. </w:t>
            </w:r>
          </w:p>
        </w:tc>
        <w:tc>
          <w:tcPr>
            <w:tcW w:w="1083" w:type="dxa"/>
            <w:tcBorders>
              <w:top w:val="single" w:sz="8" w:space="0" w:color="F3CFC1"/>
              <w:left w:val="single" w:sz="4" w:space="0" w:color="000000"/>
              <w:bottom w:val="single" w:sz="8" w:space="0" w:color="F3CFC1"/>
              <w:right w:val="single" w:sz="4" w:space="0" w:color="000000"/>
            </w:tcBorders>
            <w:vAlign w:val="center"/>
          </w:tcPr>
          <w:p w14:paraId="75ED69BC" w14:textId="526742FA" w:rsidR="4E193667" w:rsidRPr="00545C44" w:rsidRDefault="4E193667" w:rsidP="00545C44">
            <w:pPr>
              <w:jc w:val="center"/>
              <w:rPr>
                <w:rFonts w:eastAsiaTheme="minorEastAsia"/>
                <w:szCs w:val="21"/>
              </w:rPr>
            </w:pPr>
            <w:r w:rsidRPr="00545C44">
              <w:rPr>
                <w:rFonts w:eastAsiaTheme="minorEastAsia"/>
                <w:szCs w:val="21"/>
              </w:rPr>
              <w:t>602</w:t>
            </w:r>
          </w:p>
        </w:tc>
        <w:tc>
          <w:tcPr>
            <w:tcW w:w="1083" w:type="dxa"/>
            <w:tcBorders>
              <w:top w:val="single" w:sz="8" w:space="0" w:color="F3CFC1"/>
              <w:left w:val="single" w:sz="4" w:space="0" w:color="000000"/>
              <w:bottom w:val="single" w:sz="8" w:space="0" w:color="F3CFC1"/>
              <w:right w:val="single" w:sz="4" w:space="0" w:color="000000"/>
            </w:tcBorders>
            <w:vAlign w:val="center"/>
          </w:tcPr>
          <w:p w14:paraId="03CCE00B" w14:textId="5E814B1B" w:rsidR="4E193667" w:rsidRPr="00545C44" w:rsidRDefault="4E193667" w:rsidP="00545C44">
            <w:pPr>
              <w:jc w:val="center"/>
              <w:rPr>
                <w:rFonts w:eastAsiaTheme="minorEastAsia"/>
                <w:szCs w:val="21"/>
              </w:rPr>
            </w:pPr>
            <w:r w:rsidRPr="00545C44">
              <w:rPr>
                <w:rFonts w:eastAsiaTheme="minorEastAsia"/>
                <w:szCs w:val="21"/>
              </w:rPr>
              <w:t>737</w:t>
            </w:r>
          </w:p>
        </w:tc>
        <w:tc>
          <w:tcPr>
            <w:tcW w:w="1083" w:type="dxa"/>
            <w:tcBorders>
              <w:top w:val="single" w:sz="8" w:space="0" w:color="F3CFC1"/>
              <w:left w:val="single" w:sz="4" w:space="0" w:color="000000"/>
              <w:bottom w:val="single" w:sz="8" w:space="0" w:color="F3CFC1"/>
              <w:right w:val="single" w:sz="4" w:space="0" w:color="000000"/>
            </w:tcBorders>
            <w:vAlign w:val="center"/>
          </w:tcPr>
          <w:p w14:paraId="6D5BC231" w14:textId="212B464B" w:rsidR="4E193667" w:rsidRPr="00545C44" w:rsidRDefault="4E193667" w:rsidP="00545C44">
            <w:pPr>
              <w:jc w:val="center"/>
              <w:rPr>
                <w:rFonts w:eastAsiaTheme="minorEastAsia"/>
                <w:szCs w:val="21"/>
              </w:rPr>
            </w:pPr>
            <w:r w:rsidRPr="00545C44">
              <w:rPr>
                <w:rFonts w:eastAsiaTheme="minorEastAsia"/>
                <w:szCs w:val="21"/>
              </w:rPr>
              <w:t>15.634</w:t>
            </w:r>
          </w:p>
        </w:tc>
        <w:tc>
          <w:tcPr>
            <w:tcW w:w="1083" w:type="dxa"/>
            <w:tcBorders>
              <w:top w:val="single" w:sz="8" w:space="0" w:color="F3CFC1"/>
              <w:left w:val="single" w:sz="4" w:space="0" w:color="000000"/>
              <w:bottom w:val="single" w:sz="8" w:space="0" w:color="F3CFC1"/>
              <w:right w:val="single" w:sz="4" w:space="0" w:color="000000"/>
            </w:tcBorders>
            <w:vAlign w:val="center"/>
          </w:tcPr>
          <w:p w14:paraId="0210709B" w14:textId="14346BEA" w:rsidR="4E193667" w:rsidRPr="00545C44" w:rsidRDefault="4E193667" w:rsidP="00545C44">
            <w:pPr>
              <w:jc w:val="center"/>
              <w:rPr>
                <w:rFonts w:eastAsiaTheme="minorEastAsia"/>
                <w:szCs w:val="21"/>
              </w:rPr>
            </w:pPr>
            <w:r w:rsidRPr="00545C44">
              <w:rPr>
                <w:rFonts w:eastAsiaTheme="minorEastAsia"/>
                <w:szCs w:val="21"/>
              </w:rPr>
              <w:t>4.248</w:t>
            </w:r>
          </w:p>
        </w:tc>
        <w:tc>
          <w:tcPr>
            <w:tcW w:w="1083" w:type="dxa"/>
            <w:tcBorders>
              <w:top w:val="single" w:sz="8" w:space="0" w:color="F3CFC1"/>
              <w:left w:val="single" w:sz="4" w:space="0" w:color="000000"/>
              <w:bottom w:val="single" w:sz="8" w:space="0" w:color="F3CFC1"/>
              <w:right w:val="single" w:sz="4" w:space="0" w:color="000000"/>
            </w:tcBorders>
            <w:vAlign w:val="center"/>
          </w:tcPr>
          <w:p w14:paraId="4F1BDA30" w14:textId="3A1C9A1E" w:rsidR="4E193667" w:rsidRPr="00545C44" w:rsidRDefault="4E193667" w:rsidP="00545C44">
            <w:pPr>
              <w:jc w:val="center"/>
              <w:rPr>
                <w:rFonts w:eastAsiaTheme="minorEastAsia"/>
                <w:szCs w:val="21"/>
              </w:rPr>
            </w:pPr>
            <w:r w:rsidRPr="00545C44">
              <w:rPr>
                <w:rFonts w:eastAsiaTheme="minorEastAsia"/>
                <w:szCs w:val="21"/>
              </w:rPr>
              <w:t>103,5</w:t>
            </w:r>
          </w:p>
        </w:tc>
        <w:tc>
          <w:tcPr>
            <w:tcW w:w="1083" w:type="dxa"/>
            <w:tcBorders>
              <w:top w:val="single" w:sz="8" w:space="0" w:color="F3CFC1"/>
              <w:left w:val="single" w:sz="4" w:space="0" w:color="000000"/>
              <w:bottom w:val="single" w:sz="8" w:space="0" w:color="F3CFC1"/>
              <w:right w:val="single" w:sz="4" w:space="0" w:color="000000"/>
            </w:tcBorders>
            <w:vAlign w:val="center"/>
          </w:tcPr>
          <w:p w14:paraId="7017B70C" w14:textId="76514DE2" w:rsidR="4E193667" w:rsidRPr="00545C44" w:rsidRDefault="4E193667" w:rsidP="00545C44">
            <w:pPr>
              <w:jc w:val="center"/>
              <w:rPr>
                <w:rFonts w:eastAsiaTheme="minorEastAsia"/>
                <w:szCs w:val="21"/>
              </w:rPr>
            </w:pPr>
            <w:r w:rsidRPr="00545C44">
              <w:rPr>
                <w:rFonts w:eastAsiaTheme="minorEastAsia"/>
                <w:szCs w:val="21"/>
              </w:rPr>
              <w:t>101,2</w:t>
            </w:r>
          </w:p>
        </w:tc>
        <w:tc>
          <w:tcPr>
            <w:tcW w:w="1083" w:type="dxa"/>
            <w:tcBorders>
              <w:top w:val="single" w:sz="8" w:space="0" w:color="F3CFC1"/>
              <w:left w:val="single" w:sz="4" w:space="0" w:color="000000"/>
              <w:bottom w:val="single" w:sz="8" w:space="0" w:color="F3CFC1"/>
              <w:right w:val="single" w:sz="4" w:space="0" w:color="000000"/>
            </w:tcBorders>
            <w:vAlign w:val="center"/>
          </w:tcPr>
          <w:p w14:paraId="10778210" w14:textId="2825C0E7" w:rsidR="4E193667" w:rsidRPr="00545C44" w:rsidRDefault="4E193667" w:rsidP="00545C44">
            <w:pPr>
              <w:jc w:val="center"/>
              <w:rPr>
                <w:rFonts w:eastAsiaTheme="minorEastAsia"/>
                <w:szCs w:val="21"/>
              </w:rPr>
            </w:pPr>
            <w:r w:rsidRPr="00545C44">
              <w:rPr>
                <w:rFonts w:eastAsiaTheme="minorEastAsia"/>
                <w:szCs w:val="21"/>
              </w:rPr>
              <w:t>2,6</w:t>
            </w:r>
          </w:p>
        </w:tc>
        <w:tc>
          <w:tcPr>
            <w:tcW w:w="1083" w:type="dxa"/>
            <w:tcBorders>
              <w:top w:val="single" w:sz="8" w:space="0" w:color="F3CFC1"/>
              <w:left w:val="single" w:sz="4" w:space="0" w:color="000000"/>
              <w:bottom w:val="single" w:sz="8" w:space="0" w:color="F3CFC1"/>
              <w:right w:val="single" w:sz="4" w:space="0" w:color="000000"/>
            </w:tcBorders>
            <w:vAlign w:val="center"/>
          </w:tcPr>
          <w:p w14:paraId="0296442B" w14:textId="4B6623AD" w:rsidR="4E193667" w:rsidRPr="00545C44" w:rsidRDefault="4E193667" w:rsidP="00545C44">
            <w:pPr>
              <w:jc w:val="center"/>
              <w:rPr>
                <w:rFonts w:eastAsiaTheme="minorEastAsia"/>
                <w:szCs w:val="21"/>
              </w:rPr>
            </w:pPr>
            <w:r w:rsidRPr="00545C44">
              <w:rPr>
                <w:rFonts w:eastAsiaTheme="minorEastAsia"/>
                <w:szCs w:val="21"/>
              </w:rPr>
              <w:t>0,6</w:t>
            </w:r>
          </w:p>
        </w:tc>
        <w:tc>
          <w:tcPr>
            <w:tcW w:w="1083" w:type="dxa"/>
            <w:tcBorders>
              <w:top w:val="single" w:sz="8" w:space="0" w:color="F3CFC1"/>
              <w:left w:val="single" w:sz="4" w:space="0" w:color="000000"/>
              <w:bottom w:val="single" w:sz="8" w:space="0" w:color="F3CFC1"/>
              <w:right w:val="single" w:sz="4" w:space="0" w:color="000000"/>
            </w:tcBorders>
            <w:vAlign w:val="center"/>
          </w:tcPr>
          <w:p w14:paraId="1CCF4709" w14:textId="287381CF" w:rsidR="4E193667" w:rsidRPr="00545C44" w:rsidRDefault="4E193667" w:rsidP="00545C44">
            <w:pPr>
              <w:jc w:val="center"/>
              <w:rPr>
                <w:rFonts w:eastAsiaTheme="minorEastAsia"/>
                <w:szCs w:val="21"/>
              </w:rPr>
            </w:pPr>
            <w:r w:rsidRPr="00545C44">
              <w:rPr>
                <w:rFonts w:eastAsiaTheme="minorEastAsia"/>
                <w:szCs w:val="21"/>
              </w:rPr>
              <w:t>2,0</w:t>
            </w:r>
          </w:p>
        </w:tc>
        <w:tc>
          <w:tcPr>
            <w:tcW w:w="1083" w:type="dxa"/>
            <w:tcBorders>
              <w:top w:val="single" w:sz="8" w:space="0" w:color="F3CFC1"/>
              <w:left w:val="single" w:sz="4" w:space="0" w:color="000000"/>
              <w:bottom w:val="single" w:sz="8" w:space="0" w:color="F3CFC1"/>
              <w:right w:val="single" w:sz="4" w:space="0" w:color="000000"/>
            </w:tcBorders>
            <w:vAlign w:val="center"/>
          </w:tcPr>
          <w:p w14:paraId="2D17D585" w14:textId="7247B37E" w:rsidR="4E193667" w:rsidRPr="00545C44" w:rsidRDefault="4E193667" w:rsidP="00545C44">
            <w:pPr>
              <w:jc w:val="center"/>
              <w:rPr>
                <w:rFonts w:eastAsiaTheme="minorEastAsia"/>
                <w:szCs w:val="21"/>
              </w:rPr>
            </w:pPr>
            <w:r w:rsidRPr="00545C44">
              <w:rPr>
                <w:rFonts w:eastAsiaTheme="minorEastAsia"/>
                <w:szCs w:val="21"/>
              </w:rPr>
              <w:t>0,3</w:t>
            </w:r>
          </w:p>
        </w:tc>
        <w:tc>
          <w:tcPr>
            <w:tcW w:w="1083" w:type="dxa"/>
            <w:tcBorders>
              <w:top w:val="single" w:sz="8" w:space="0" w:color="F3CFC1"/>
              <w:left w:val="single" w:sz="4" w:space="0" w:color="000000"/>
              <w:bottom w:val="single" w:sz="8" w:space="0" w:color="F3CFC1"/>
              <w:right w:val="single" w:sz="4" w:space="0" w:color="000000"/>
            </w:tcBorders>
            <w:vAlign w:val="center"/>
          </w:tcPr>
          <w:p w14:paraId="3F6024D5" w14:textId="43BDEC0C" w:rsidR="4E193667" w:rsidRPr="00545C44" w:rsidRDefault="4E193667" w:rsidP="00545C44">
            <w:pPr>
              <w:jc w:val="center"/>
              <w:rPr>
                <w:rFonts w:eastAsiaTheme="minorEastAsia"/>
                <w:szCs w:val="21"/>
              </w:rPr>
            </w:pPr>
            <w:r w:rsidRPr="00545C44">
              <w:rPr>
                <w:rFonts w:eastAsiaTheme="minorEastAsia"/>
                <w:szCs w:val="21"/>
              </w:rPr>
              <w:t>9,4</w:t>
            </w:r>
          </w:p>
        </w:tc>
        <w:tc>
          <w:tcPr>
            <w:tcW w:w="1083" w:type="dxa"/>
            <w:tcBorders>
              <w:top w:val="single" w:sz="8" w:space="0" w:color="F3CFC1"/>
              <w:left w:val="single" w:sz="4" w:space="0" w:color="000000"/>
              <w:bottom w:val="single" w:sz="8" w:space="0" w:color="F3CFC1"/>
              <w:right w:val="single" w:sz="4" w:space="0" w:color="000000"/>
            </w:tcBorders>
            <w:vAlign w:val="center"/>
          </w:tcPr>
          <w:p w14:paraId="0A9AD8B6" w14:textId="68156B30" w:rsidR="4E193667" w:rsidRPr="00545C44" w:rsidRDefault="4E193667" w:rsidP="00545C44">
            <w:pPr>
              <w:jc w:val="center"/>
              <w:rPr>
                <w:rFonts w:eastAsiaTheme="minorEastAsia"/>
                <w:szCs w:val="21"/>
              </w:rPr>
            </w:pPr>
            <w:r w:rsidRPr="00545C44">
              <w:rPr>
                <w:rFonts w:eastAsiaTheme="minorEastAsia"/>
                <w:szCs w:val="21"/>
              </w:rPr>
              <w:t>0,9</w:t>
            </w:r>
          </w:p>
        </w:tc>
      </w:tr>
      <w:tr w:rsidR="4E193667" w14:paraId="0403889D" w14:textId="77777777" w:rsidTr="00545C44">
        <w:trPr>
          <w:trHeight w:val="327"/>
        </w:trPr>
        <w:tc>
          <w:tcPr>
            <w:tcW w:w="1083" w:type="dxa"/>
            <w:tcBorders>
              <w:top w:val="single" w:sz="8" w:space="0" w:color="F3CFC1"/>
              <w:left w:val="single" w:sz="4" w:space="0" w:color="000000"/>
              <w:bottom w:val="single" w:sz="8" w:space="0" w:color="F3CFC1"/>
              <w:right w:val="single" w:sz="4" w:space="0" w:color="000000"/>
            </w:tcBorders>
            <w:vAlign w:val="center"/>
          </w:tcPr>
          <w:p w14:paraId="1E84EFF7" w14:textId="07A9A302" w:rsidR="4E193667" w:rsidRPr="00545C44" w:rsidRDefault="4E193667" w:rsidP="4E193667">
            <w:pPr>
              <w:rPr>
                <w:rFonts w:eastAsiaTheme="minorEastAsia"/>
                <w:szCs w:val="21"/>
              </w:rPr>
            </w:pPr>
            <w:r w:rsidRPr="00545C44">
              <w:rPr>
                <w:rFonts w:eastAsiaTheme="minorEastAsia"/>
                <w:szCs w:val="21"/>
              </w:rPr>
              <w:t xml:space="preserve">2014. </w:t>
            </w:r>
          </w:p>
        </w:tc>
        <w:tc>
          <w:tcPr>
            <w:tcW w:w="1083" w:type="dxa"/>
            <w:tcBorders>
              <w:top w:val="single" w:sz="8" w:space="0" w:color="F3CFC1"/>
              <w:left w:val="single" w:sz="4" w:space="0" w:color="000000"/>
              <w:bottom w:val="single" w:sz="8" w:space="0" w:color="F3CFC1"/>
              <w:right w:val="single" w:sz="4" w:space="0" w:color="000000"/>
            </w:tcBorders>
            <w:vAlign w:val="center"/>
          </w:tcPr>
          <w:p w14:paraId="5462A5A9" w14:textId="18BE00AF" w:rsidR="4E193667" w:rsidRPr="00545C44" w:rsidRDefault="4E193667" w:rsidP="00545C44">
            <w:pPr>
              <w:jc w:val="center"/>
              <w:rPr>
                <w:rFonts w:eastAsiaTheme="minorEastAsia"/>
                <w:szCs w:val="21"/>
              </w:rPr>
            </w:pPr>
            <w:r w:rsidRPr="00545C44">
              <w:rPr>
                <w:rFonts w:eastAsiaTheme="minorEastAsia"/>
                <w:szCs w:val="21"/>
              </w:rPr>
              <w:t>561</w:t>
            </w:r>
          </w:p>
        </w:tc>
        <w:tc>
          <w:tcPr>
            <w:tcW w:w="1083" w:type="dxa"/>
            <w:tcBorders>
              <w:top w:val="single" w:sz="8" w:space="0" w:color="F3CFC1"/>
              <w:left w:val="single" w:sz="4" w:space="0" w:color="000000"/>
              <w:bottom w:val="single" w:sz="8" w:space="0" w:color="F3CFC1"/>
              <w:right w:val="single" w:sz="4" w:space="0" w:color="000000"/>
            </w:tcBorders>
            <w:vAlign w:val="center"/>
          </w:tcPr>
          <w:p w14:paraId="77BA01FD" w14:textId="4C2CF0CC" w:rsidR="4E193667" w:rsidRPr="00545C44" w:rsidRDefault="4E193667" w:rsidP="00545C44">
            <w:pPr>
              <w:jc w:val="center"/>
              <w:rPr>
                <w:rFonts w:eastAsiaTheme="minorEastAsia"/>
                <w:szCs w:val="21"/>
              </w:rPr>
            </w:pPr>
            <w:r w:rsidRPr="00545C44">
              <w:rPr>
                <w:rFonts w:eastAsiaTheme="minorEastAsia"/>
                <w:szCs w:val="21"/>
              </w:rPr>
              <w:t>745</w:t>
            </w:r>
          </w:p>
        </w:tc>
        <w:tc>
          <w:tcPr>
            <w:tcW w:w="1083" w:type="dxa"/>
            <w:tcBorders>
              <w:top w:val="single" w:sz="8" w:space="0" w:color="F3CFC1"/>
              <w:left w:val="single" w:sz="4" w:space="0" w:color="000000"/>
              <w:bottom w:val="single" w:sz="8" w:space="0" w:color="F3CFC1"/>
              <w:right w:val="single" w:sz="4" w:space="0" w:color="000000"/>
            </w:tcBorders>
            <w:vAlign w:val="center"/>
          </w:tcPr>
          <w:p w14:paraId="6F3BA434" w14:textId="731E96ED" w:rsidR="4E193667" w:rsidRPr="00545C44" w:rsidRDefault="4E193667" w:rsidP="00545C44">
            <w:pPr>
              <w:jc w:val="center"/>
              <w:rPr>
                <w:rFonts w:eastAsiaTheme="minorEastAsia"/>
                <w:szCs w:val="21"/>
              </w:rPr>
            </w:pPr>
            <w:r w:rsidRPr="00545C44">
              <w:rPr>
                <w:rFonts w:eastAsiaTheme="minorEastAsia"/>
                <w:szCs w:val="21"/>
              </w:rPr>
              <w:t>11.886</w:t>
            </w:r>
          </w:p>
        </w:tc>
        <w:tc>
          <w:tcPr>
            <w:tcW w:w="1083" w:type="dxa"/>
            <w:tcBorders>
              <w:top w:val="single" w:sz="8" w:space="0" w:color="F3CFC1"/>
              <w:left w:val="single" w:sz="4" w:space="0" w:color="000000"/>
              <w:bottom w:val="single" w:sz="8" w:space="0" w:color="F3CFC1"/>
              <w:right w:val="single" w:sz="4" w:space="0" w:color="000000"/>
            </w:tcBorders>
            <w:vAlign w:val="center"/>
          </w:tcPr>
          <w:p w14:paraId="04608270" w14:textId="7790F39C" w:rsidR="4E193667" w:rsidRPr="00545C44" w:rsidRDefault="4E193667" w:rsidP="00545C44">
            <w:pPr>
              <w:jc w:val="center"/>
              <w:rPr>
                <w:rFonts w:eastAsiaTheme="minorEastAsia"/>
                <w:szCs w:val="21"/>
              </w:rPr>
            </w:pPr>
            <w:r w:rsidRPr="00545C44">
              <w:rPr>
                <w:rFonts w:eastAsiaTheme="minorEastAsia"/>
                <w:szCs w:val="21"/>
              </w:rPr>
              <w:t>11.750</w:t>
            </w:r>
          </w:p>
        </w:tc>
        <w:tc>
          <w:tcPr>
            <w:tcW w:w="1083" w:type="dxa"/>
            <w:tcBorders>
              <w:top w:val="single" w:sz="8" w:space="0" w:color="F3CFC1"/>
              <w:left w:val="single" w:sz="4" w:space="0" w:color="000000"/>
              <w:bottom w:val="single" w:sz="8" w:space="0" w:color="F3CFC1"/>
              <w:right w:val="single" w:sz="4" w:space="0" w:color="000000"/>
            </w:tcBorders>
            <w:vAlign w:val="center"/>
          </w:tcPr>
          <w:p w14:paraId="6E1AD0D0" w14:textId="0EDEAF12" w:rsidR="4E193667" w:rsidRPr="00545C44" w:rsidRDefault="4E193667" w:rsidP="00545C44">
            <w:pPr>
              <w:jc w:val="center"/>
              <w:rPr>
                <w:rFonts w:eastAsiaTheme="minorEastAsia"/>
                <w:szCs w:val="21"/>
              </w:rPr>
            </w:pPr>
            <w:r w:rsidRPr="00545C44">
              <w:rPr>
                <w:rFonts w:eastAsiaTheme="minorEastAsia"/>
                <w:szCs w:val="21"/>
              </w:rPr>
              <w:t>102,8</w:t>
            </w:r>
          </w:p>
        </w:tc>
        <w:tc>
          <w:tcPr>
            <w:tcW w:w="1083" w:type="dxa"/>
            <w:tcBorders>
              <w:top w:val="single" w:sz="8" w:space="0" w:color="F3CFC1"/>
              <w:left w:val="single" w:sz="4" w:space="0" w:color="000000"/>
              <w:bottom w:val="single" w:sz="8" w:space="0" w:color="F3CFC1"/>
              <w:right w:val="single" w:sz="4" w:space="0" w:color="000000"/>
            </w:tcBorders>
            <w:vAlign w:val="center"/>
          </w:tcPr>
          <w:p w14:paraId="3814B4B6" w14:textId="0FEF01B6" w:rsidR="4E193667" w:rsidRPr="00545C44" w:rsidRDefault="4E193667" w:rsidP="00545C44">
            <w:pPr>
              <w:jc w:val="center"/>
              <w:rPr>
                <w:rFonts w:eastAsiaTheme="minorEastAsia"/>
                <w:szCs w:val="21"/>
              </w:rPr>
            </w:pPr>
            <w:r w:rsidRPr="00545C44">
              <w:rPr>
                <w:rFonts w:eastAsiaTheme="minorEastAsia"/>
                <w:szCs w:val="21"/>
              </w:rPr>
              <w:t>103,3</w:t>
            </w:r>
          </w:p>
        </w:tc>
        <w:tc>
          <w:tcPr>
            <w:tcW w:w="1083" w:type="dxa"/>
            <w:tcBorders>
              <w:top w:val="single" w:sz="8" w:space="0" w:color="F3CFC1"/>
              <w:left w:val="single" w:sz="4" w:space="0" w:color="000000"/>
              <w:bottom w:val="single" w:sz="8" w:space="0" w:color="F3CFC1"/>
              <w:right w:val="single" w:sz="4" w:space="0" w:color="000000"/>
            </w:tcBorders>
            <w:vAlign w:val="center"/>
          </w:tcPr>
          <w:p w14:paraId="19B9C46F" w14:textId="5F21511F" w:rsidR="4E193667" w:rsidRPr="00545C44" w:rsidRDefault="4E193667" w:rsidP="00545C44">
            <w:pPr>
              <w:jc w:val="center"/>
              <w:rPr>
                <w:rFonts w:eastAsiaTheme="minorEastAsia"/>
                <w:szCs w:val="21"/>
              </w:rPr>
            </w:pPr>
            <w:r w:rsidRPr="00545C44">
              <w:rPr>
                <w:rFonts w:eastAsiaTheme="minorEastAsia"/>
                <w:szCs w:val="21"/>
              </w:rPr>
              <w:t>2,1</w:t>
            </w:r>
          </w:p>
        </w:tc>
        <w:tc>
          <w:tcPr>
            <w:tcW w:w="1083" w:type="dxa"/>
            <w:tcBorders>
              <w:top w:val="single" w:sz="8" w:space="0" w:color="F3CFC1"/>
              <w:left w:val="single" w:sz="4" w:space="0" w:color="000000"/>
              <w:bottom w:val="single" w:sz="8" w:space="0" w:color="F3CFC1"/>
              <w:right w:val="single" w:sz="4" w:space="0" w:color="000000"/>
            </w:tcBorders>
            <w:vAlign w:val="center"/>
          </w:tcPr>
          <w:p w14:paraId="65980689" w14:textId="1C320055" w:rsidR="4E193667" w:rsidRPr="00545C44" w:rsidRDefault="4E193667" w:rsidP="00545C44">
            <w:pPr>
              <w:jc w:val="center"/>
              <w:rPr>
                <w:rFonts w:eastAsiaTheme="minorEastAsia"/>
                <w:szCs w:val="21"/>
              </w:rPr>
            </w:pPr>
            <w:r w:rsidRPr="00545C44">
              <w:rPr>
                <w:rFonts w:eastAsiaTheme="minorEastAsia"/>
                <w:szCs w:val="21"/>
              </w:rPr>
              <w:t>1,6</w:t>
            </w:r>
          </w:p>
        </w:tc>
        <w:tc>
          <w:tcPr>
            <w:tcW w:w="1083" w:type="dxa"/>
            <w:tcBorders>
              <w:top w:val="single" w:sz="8" w:space="0" w:color="F3CFC1"/>
              <w:left w:val="single" w:sz="4" w:space="0" w:color="000000"/>
              <w:bottom w:val="single" w:sz="8" w:space="0" w:color="F3CFC1"/>
              <w:right w:val="single" w:sz="4" w:space="0" w:color="000000"/>
            </w:tcBorders>
            <w:vAlign w:val="center"/>
          </w:tcPr>
          <w:p w14:paraId="73063B0B" w14:textId="45439033" w:rsidR="4E193667" w:rsidRPr="00545C44" w:rsidRDefault="4E193667" w:rsidP="00545C44">
            <w:pPr>
              <w:jc w:val="center"/>
              <w:rPr>
                <w:rFonts w:eastAsiaTheme="minorEastAsia"/>
                <w:szCs w:val="21"/>
              </w:rPr>
            </w:pPr>
            <w:r w:rsidRPr="00545C44">
              <w:rPr>
                <w:rFonts w:eastAsiaTheme="minorEastAsia"/>
                <w:szCs w:val="21"/>
              </w:rPr>
              <w:t>2,0</w:t>
            </w:r>
          </w:p>
        </w:tc>
        <w:tc>
          <w:tcPr>
            <w:tcW w:w="1083" w:type="dxa"/>
            <w:tcBorders>
              <w:top w:val="single" w:sz="8" w:space="0" w:color="F3CFC1"/>
              <w:left w:val="single" w:sz="4" w:space="0" w:color="000000"/>
              <w:bottom w:val="single" w:sz="8" w:space="0" w:color="F3CFC1"/>
              <w:right w:val="single" w:sz="4" w:space="0" w:color="000000"/>
            </w:tcBorders>
            <w:vAlign w:val="center"/>
          </w:tcPr>
          <w:p w14:paraId="7920129A" w14:textId="4BFFCDC4" w:rsidR="4E193667" w:rsidRPr="00545C44" w:rsidRDefault="4E193667" w:rsidP="00545C44">
            <w:pPr>
              <w:jc w:val="center"/>
              <w:rPr>
                <w:rFonts w:eastAsiaTheme="minorEastAsia"/>
                <w:szCs w:val="21"/>
              </w:rPr>
            </w:pPr>
            <w:r w:rsidRPr="00545C44">
              <w:rPr>
                <w:rFonts w:eastAsiaTheme="minorEastAsia"/>
                <w:szCs w:val="21"/>
              </w:rPr>
              <w:t>0,9</w:t>
            </w:r>
          </w:p>
        </w:tc>
        <w:tc>
          <w:tcPr>
            <w:tcW w:w="1083" w:type="dxa"/>
            <w:tcBorders>
              <w:top w:val="single" w:sz="8" w:space="0" w:color="F3CFC1"/>
              <w:left w:val="single" w:sz="4" w:space="0" w:color="000000"/>
              <w:bottom w:val="single" w:sz="8" w:space="0" w:color="F3CFC1"/>
              <w:right w:val="single" w:sz="4" w:space="0" w:color="000000"/>
            </w:tcBorders>
            <w:vAlign w:val="center"/>
          </w:tcPr>
          <w:p w14:paraId="54FCEE46" w14:textId="2F85BEDB" w:rsidR="4E193667" w:rsidRPr="00545C44" w:rsidRDefault="4E193667" w:rsidP="00545C44">
            <w:pPr>
              <w:jc w:val="center"/>
              <w:rPr>
                <w:rFonts w:eastAsiaTheme="minorEastAsia"/>
                <w:szCs w:val="21"/>
              </w:rPr>
            </w:pPr>
            <w:r w:rsidRPr="00545C44">
              <w:rPr>
                <w:rFonts w:eastAsiaTheme="minorEastAsia"/>
                <w:szCs w:val="21"/>
              </w:rPr>
              <w:t>6,6</w:t>
            </w:r>
          </w:p>
        </w:tc>
        <w:tc>
          <w:tcPr>
            <w:tcW w:w="1083" w:type="dxa"/>
            <w:tcBorders>
              <w:top w:val="single" w:sz="8" w:space="0" w:color="F3CFC1"/>
              <w:left w:val="single" w:sz="4" w:space="0" w:color="000000"/>
              <w:bottom w:val="single" w:sz="8" w:space="0" w:color="F3CFC1"/>
              <w:right w:val="single" w:sz="4" w:space="0" w:color="000000"/>
            </w:tcBorders>
            <w:vAlign w:val="center"/>
          </w:tcPr>
          <w:p w14:paraId="651B729E" w14:textId="38F7AB8E" w:rsidR="4E193667" w:rsidRPr="00545C44" w:rsidRDefault="4E193667" w:rsidP="00545C44">
            <w:pPr>
              <w:jc w:val="center"/>
              <w:rPr>
                <w:rFonts w:eastAsiaTheme="minorEastAsia"/>
                <w:szCs w:val="21"/>
              </w:rPr>
            </w:pPr>
            <w:r w:rsidRPr="00545C44">
              <w:rPr>
                <w:rFonts w:eastAsiaTheme="minorEastAsia"/>
                <w:szCs w:val="21"/>
              </w:rPr>
              <w:t>2,5</w:t>
            </w:r>
          </w:p>
        </w:tc>
      </w:tr>
      <w:tr w:rsidR="4E193667" w14:paraId="00FD0521" w14:textId="77777777" w:rsidTr="00545C44">
        <w:trPr>
          <w:trHeight w:val="327"/>
        </w:trPr>
        <w:tc>
          <w:tcPr>
            <w:tcW w:w="1083" w:type="dxa"/>
            <w:tcBorders>
              <w:top w:val="single" w:sz="8" w:space="0" w:color="F3CFC1"/>
              <w:left w:val="single" w:sz="4" w:space="0" w:color="000000"/>
              <w:bottom w:val="single" w:sz="8" w:space="0" w:color="F3CFC1"/>
              <w:right w:val="single" w:sz="4" w:space="0" w:color="000000"/>
            </w:tcBorders>
            <w:vAlign w:val="center"/>
          </w:tcPr>
          <w:p w14:paraId="4DFD06EE" w14:textId="627E7EEA" w:rsidR="4E193667" w:rsidRPr="00545C44" w:rsidRDefault="4E193667" w:rsidP="4E193667">
            <w:pPr>
              <w:rPr>
                <w:rFonts w:eastAsiaTheme="minorEastAsia"/>
                <w:szCs w:val="21"/>
              </w:rPr>
            </w:pPr>
            <w:r w:rsidRPr="00545C44">
              <w:rPr>
                <w:rFonts w:eastAsiaTheme="minorEastAsia"/>
                <w:szCs w:val="21"/>
              </w:rPr>
              <w:t xml:space="preserve">2015. </w:t>
            </w:r>
          </w:p>
        </w:tc>
        <w:tc>
          <w:tcPr>
            <w:tcW w:w="1083" w:type="dxa"/>
            <w:tcBorders>
              <w:top w:val="single" w:sz="8" w:space="0" w:color="F3CFC1"/>
              <w:left w:val="single" w:sz="4" w:space="0" w:color="000000"/>
              <w:bottom w:val="single" w:sz="8" w:space="0" w:color="F3CFC1"/>
              <w:right w:val="single" w:sz="4" w:space="0" w:color="000000"/>
            </w:tcBorders>
            <w:vAlign w:val="center"/>
          </w:tcPr>
          <w:p w14:paraId="441BCC0B" w14:textId="107D31D1" w:rsidR="4E193667" w:rsidRPr="00545C44" w:rsidRDefault="4E193667" w:rsidP="00545C44">
            <w:pPr>
              <w:jc w:val="center"/>
              <w:rPr>
                <w:rFonts w:eastAsiaTheme="minorEastAsia"/>
                <w:szCs w:val="21"/>
              </w:rPr>
            </w:pPr>
            <w:r w:rsidRPr="00545C44">
              <w:rPr>
                <w:rFonts w:eastAsiaTheme="minorEastAsia"/>
                <w:szCs w:val="21"/>
              </w:rPr>
              <w:t>555</w:t>
            </w:r>
          </w:p>
        </w:tc>
        <w:tc>
          <w:tcPr>
            <w:tcW w:w="1083" w:type="dxa"/>
            <w:tcBorders>
              <w:top w:val="single" w:sz="8" w:space="0" w:color="F3CFC1"/>
              <w:left w:val="single" w:sz="4" w:space="0" w:color="000000"/>
              <w:bottom w:val="single" w:sz="8" w:space="0" w:color="F3CFC1"/>
              <w:right w:val="single" w:sz="4" w:space="0" w:color="000000"/>
            </w:tcBorders>
            <w:vAlign w:val="center"/>
          </w:tcPr>
          <w:p w14:paraId="0521541D" w14:textId="2DECE07D" w:rsidR="4E193667" w:rsidRPr="00545C44" w:rsidRDefault="4E193667" w:rsidP="00545C44">
            <w:pPr>
              <w:jc w:val="center"/>
              <w:rPr>
                <w:rFonts w:eastAsiaTheme="minorEastAsia"/>
                <w:szCs w:val="21"/>
              </w:rPr>
            </w:pPr>
            <w:r w:rsidRPr="00545C44">
              <w:rPr>
                <w:rFonts w:eastAsiaTheme="minorEastAsia"/>
                <w:szCs w:val="21"/>
              </w:rPr>
              <w:t>742</w:t>
            </w:r>
          </w:p>
        </w:tc>
        <w:tc>
          <w:tcPr>
            <w:tcW w:w="1083" w:type="dxa"/>
            <w:tcBorders>
              <w:top w:val="single" w:sz="8" w:space="0" w:color="F3CFC1"/>
              <w:left w:val="single" w:sz="4" w:space="0" w:color="000000"/>
              <w:bottom w:val="single" w:sz="8" w:space="0" w:color="F3CFC1"/>
              <w:right w:val="single" w:sz="4" w:space="0" w:color="000000"/>
            </w:tcBorders>
            <w:vAlign w:val="center"/>
          </w:tcPr>
          <w:p w14:paraId="605B5836" w14:textId="736CF2C6" w:rsidR="4E193667" w:rsidRPr="00545C44" w:rsidRDefault="4E193667" w:rsidP="00545C44">
            <w:pPr>
              <w:jc w:val="center"/>
              <w:rPr>
                <w:rFonts w:eastAsiaTheme="minorEastAsia"/>
                <w:szCs w:val="21"/>
              </w:rPr>
            </w:pPr>
            <w:r w:rsidRPr="00545C44">
              <w:rPr>
                <w:rFonts w:eastAsiaTheme="minorEastAsia"/>
                <w:szCs w:val="21"/>
              </w:rPr>
              <w:t>20.391</w:t>
            </w:r>
          </w:p>
        </w:tc>
        <w:tc>
          <w:tcPr>
            <w:tcW w:w="1083" w:type="dxa"/>
            <w:tcBorders>
              <w:top w:val="single" w:sz="8" w:space="0" w:color="F3CFC1"/>
              <w:left w:val="single" w:sz="4" w:space="0" w:color="000000"/>
              <w:bottom w:val="single" w:sz="8" w:space="0" w:color="F3CFC1"/>
              <w:right w:val="single" w:sz="4" w:space="0" w:color="000000"/>
            </w:tcBorders>
            <w:vAlign w:val="center"/>
          </w:tcPr>
          <w:p w14:paraId="72989327" w14:textId="35AA8E31" w:rsidR="4E193667" w:rsidRPr="00545C44" w:rsidRDefault="4E193667" w:rsidP="00545C44">
            <w:pPr>
              <w:jc w:val="center"/>
              <w:rPr>
                <w:rFonts w:eastAsiaTheme="minorEastAsia"/>
                <w:szCs w:val="21"/>
              </w:rPr>
            </w:pPr>
            <w:r w:rsidRPr="00545C44">
              <w:rPr>
                <w:rFonts w:eastAsiaTheme="minorEastAsia"/>
                <w:szCs w:val="21"/>
              </w:rPr>
              <w:t>21.418</w:t>
            </w:r>
          </w:p>
        </w:tc>
        <w:tc>
          <w:tcPr>
            <w:tcW w:w="1083" w:type="dxa"/>
            <w:tcBorders>
              <w:top w:val="single" w:sz="8" w:space="0" w:color="F3CFC1"/>
              <w:left w:val="single" w:sz="4" w:space="0" w:color="000000"/>
              <w:bottom w:val="single" w:sz="8" w:space="0" w:color="F3CFC1"/>
              <w:right w:val="single" w:sz="4" w:space="0" w:color="000000"/>
            </w:tcBorders>
            <w:vAlign w:val="center"/>
          </w:tcPr>
          <w:p w14:paraId="306011F7" w14:textId="6B1DB5CE" w:rsidR="4E193667" w:rsidRPr="00545C44" w:rsidRDefault="4E193667" w:rsidP="00545C44">
            <w:pPr>
              <w:jc w:val="center"/>
              <w:rPr>
                <w:rFonts w:eastAsiaTheme="minorEastAsia"/>
                <w:szCs w:val="21"/>
              </w:rPr>
            </w:pPr>
            <w:r w:rsidRPr="00545C44">
              <w:rPr>
                <w:rFonts w:eastAsiaTheme="minorEastAsia"/>
                <w:szCs w:val="21"/>
              </w:rPr>
              <w:t>104,6</w:t>
            </w:r>
          </w:p>
        </w:tc>
        <w:tc>
          <w:tcPr>
            <w:tcW w:w="1083" w:type="dxa"/>
            <w:tcBorders>
              <w:top w:val="single" w:sz="8" w:space="0" w:color="F3CFC1"/>
              <w:left w:val="single" w:sz="4" w:space="0" w:color="000000"/>
              <w:bottom w:val="single" w:sz="8" w:space="0" w:color="F3CFC1"/>
              <w:right w:val="single" w:sz="4" w:space="0" w:color="000000"/>
            </w:tcBorders>
            <w:vAlign w:val="center"/>
          </w:tcPr>
          <w:p w14:paraId="0C523D94" w14:textId="6DD48F07" w:rsidR="4E193667" w:rsidRPr="00545C44" w:rsidRDefault="4E193667" w:rsidP="00545C44">
            <w:pPr>
              <w:jc w:val="center"/>
              <w:rPr>
                <w:rFonts w:eastAsiaTheme="minorEastAsia"/>
                <w:szCs w:val="21"/>
              </w:rPr>
            </w:pPr>
            <w:r w:rsidRPr="00545C44">
              <w:rPr>
                <w:rFonts w:eastAsiaTheme="minorEastAsia"/>
                <w:szCs w:val="21"/>
              </w:rPr>
              <w:t>103,9</w:t>
            </w:r>
          </w:p>
        </w:tc>
        <w:tc>
          <w:tcPr>
            <w:tcW w:w="1083" w:type="dxa"/>
            <w:tcBorders>
              <w:top w:val="single" w:sz="8" w:space="0" w:color="F3CFC1"/>
              <w:left w:val="single" w:sz="4" w:space="0" w:color="000000"/>
              <w:bottom w:val="single" w:sz="8" w:space="0" w:color="F3CFC1"/>
              <w:right w:val="single" w:sz="4" w:space="0" w:color="000000"/>
            </w:tcBorders>
            <w:vAlign w:val="center"/>
          </w:tcPr>
          <w:p w14:paraId="09AE1BDC" w14:textId="0E7FEEAA" w:rsidR="4E193667" w:rsidRPr="00545C44" w:rsidRDefault="4E193667" w:rsidP="00545C44">
            <w:pPr>
              <w:jc w:val="center"/>
              <w:rPr>
                <w:rFonts w:eastAsiaTheme="minorEastAsia"/>
                <w:szCs w:val="21"/>
              </w:rPr>
            </w:pPr>
            <w:r w:rsidRPr="00545C44">
              <w:rPr>
                <w:rFonts w:eastAsiaTheme="minorEastAsia"/>
                <w:szCs w:val="21"/>
              </w:rPr>
              <w:t>3,67</w:t>
            </w:r>
          </w:p>
        </w:tc>
        <w:tc>
          <w:tcPr>
            <w:tcW w:w="1083" w:type="dxa"/>
            <w:tcBorders>
              <w:top w:val="single" w:sz="8" w:space="0" w:color="F3CFC1"/>
              <w:left w:val="single" w:sz="4" w:space="0" w:color="000000"/>
              <w:bottom w:val="single" w:sz="8" w:space="0" w:color="F3CFC1"/>
              <w:right w:val="single" w:sz="4" w:space="0" w:color="000000"/>
            </w:tcBorders>
            <w:vAlign w:val="center"/>
          </w:tcPr>
          <w:p w14:paraId="09D590E8" w14:textId="5CF3B19E" w:rsidR="4E193667" w:rsidRPr="00545C44" w:rsidRDefault="4E193667" w:rsidP="00545C44">
            <w:pPr>
              <w:jc w:val="center"/>
              <w:rPr>
                <w:rFonts w:eastAsiaTheme="minorEastAsia"/>
                <w:szCs w:val="21"/>
              </w:rPr>
            </w:pPr>
            <w:r w:rsidRPr="00545C44">
              <w:rPr>
                <w:rFonts w:eastAsiaTheme="minorEastAsia"/>
                <w:szCs w:val="21"/>
              </w:rPr>
              <w:t>2,89</w:t>
            </w:r>
          </w:p>
        </w:tc>
        <w:tc>
          <w:tcPr>
            <w:tcW w:w="1083" w:type="dxa"/>
            <w:tcBorders>
              <w:top w:val="single" w:sz="8" w:space="0" w:color="F3CFC1"/>
              <w:left w:val="single" w:sz="4" w:space="0" w:color="000000"/>
              <w:bottom w:val="single" w:sz="8" w:space="0" w:color="F3CFC1"/>
              <w:right w:val="single" w:sz="4" w:space="0" w:color="000000"/>
            </w:tcBorders>
            <w:vAlign w:val="center"/>
          </w:tcPr>
          <w:p w14:paraId="47977D08" w14:textId="0BF1EDA4" w:rsidR="4E193667" w:rsidRPr="00545C44" w:rsidRDefault="4E193667" w:rsidP="00545C44">
            <w:pPr>
              <w:jc w:val="center"/>
              <w:rPr>
                <w:rFonts w:eastAsiaTheme="minorEastAsia"/>
                <w:szCs w:val="21"/>
              </w:rPr>
            </w:pPr>
            <w:r w:rsidRPr="00545C44">
              <w:rPr>
                <w:rFonts w:eastAsiaTheme="minorEastAsia"/>
                <w:szCs w:val="21"/>
              </w:rPr>
              <w:t>2,5</w:t>
            </w:r>
          </w:p>
        </w:tc>
        <w:tc>
          <w:tcPr>
            <w:tcW w:w="1083" w:type="dxa"/>
            <w:tcBorders>
              <w:top w:val="single" w:sz="8" w:space="0" w:color="F3CFC1"/>
              <w:left w:val="single" w:sz="4" w:space="0" w:color="000000"/>
              <w:bottom w:val="single" w:sz="8" w:space="0" w:color="F3CFC1"/>
              <w:right w:val="single" w:sz="4" w:space="0" w:color="000000"/>
            </w:tcBorders>
            <w:vAlign w:val="center"/>
          </w:tcPr>
          <w:p w14:paraId="6E861278" w14:textId="5B366DFD" w:rsidR="4E193667" w:rsidRPr="00545C44" w:rsidRDefault="4E193667" w:rsidP="00545C44">
            <w:pPr>
              <w:jc w:val="center"/>
              <w:rPr>
                <w:rFonts w:eastAsiaTheme="minorEastAsia"/>
                <w:szCs w:val="21"/>
              </w:rPr>
            </w:pPr>
            <w:r w:rsidRPr="00545C44">
              <w:rPr>
                <w:rFonts w:eastAsiaTheme="minorEastAsia"/>
                <w:szCs w:val="21"/>
              </w:rPr>
              <w:t>1,69</w:t>
            </w:r>
          </w:p>
        </w:tc>
        <w:tc>
          <w:tcPr>
            <w:tcW w:w="1083" w:type="dxa"/>
            <w:tcBorders>
              <w:top w:val="single" w:sz="8" w:space="0" w:color="F3CFC1"/>
              <w:left w:val="single" w:sz="4" w:space="0" w:color="000000"/>
              <w:bottom w:val="single" w:sz="8" w:space="0" w:color="F3CFC1"/>
              <w:right w:val="single" w:sz="4" w:space="0" w:color="000000"/>
            </w:tcBorders>
            <w:vAlign w:val="center"/>
          </w:tcPr>
          <w:p w14:paraId="6FD57DE4" w14:textId="522672B4" w:rsidR="4E193667" w:rsidRPr="00545C44" w:rsidRDefault="4E193667" w:rsidP="00545C44">
            <w:pPr>
              <w:jc w:val="center"/>
              <w:rPr>
                <w:rFonts w:eastAsiaTheme="minorEastAsia"/>
                <w:szCs w:val="21"/>
              </w:rPr>
            </w:pPr>
            <w:r w:rsidRPr="00545C44">
              <w:rPr>
                <w:rFonts w:eastAsiaTheme="minorEastAsia"/>
                <w:szCs w:val="21"/>
              </w:rPr>
              <w:t>10,56</w:t>
            </w:r>
          </w:p>
        </w:tc>
        <w:tc>
          <w:tcPr>
            <w:tcW w:w="1083" w:type="dxa"/>
            <w:tcBorders>
              <w:top w:val="single" w:sz="8" w:space="0" w:color="F3CFC1"/>
              <w:left w:val="single" w:sz="4" w:space="0" w:color="000000"/>
              <w:bottom w:val="single" w:sz="8" w:space="0" w:color="F3CFC1"/>
              <w:right w:val="single" w:sz="4" w:space="0" w:color="000000"/>
            </w:tcBorders>
            <w:vAlign w:val="center"/>
          </w:tcPr>
          <w:p w14:paraId="5A8725CF" w14:textId="280B3D88" w:rsidR="4E193667" w:rsidRPr="00545C44" w:rsidRDefault="4E193667" w:rsidP="00545C44">
            <w:pPr>
              <w:jc w:val="center"/>
              <w:rPr>
                <w:rFonts w:eastAsiaTheme="minorEastAsia"/>
                <w:szCs w:val="21"/>
              </w:rPr>
            </w:pPr>
            <w:r w:rsidRPr="00545C44">
              <w:rPr>
                <w:rFonts w:eastAsiaTheme="minorEastAsia"/>
                <w:szCs w:val="21"/>
              </w:rPr>
              <w:t>4,28</w:t>
            </w:r>
          </w:p>
        </w:tc>
      </w:tr>
      <w:tr w:rsidR="4E193667" w14:paraId="215F544C" w14:textId="77777777" w:rsidTr="00545C44">
        <w:trPr>
          <w:trHeight w:val="327"/>
        </w:trPr>
        <w:tc>
          <w:tcPr>
            <w:tcW w:w="1083" w:type="dxa"/>
            <w:tcBorders>
              <w:top w:val="single" w:sz="8" w:space="0" w:color="F3CFC1"/>
              <w:left w:val="single" w:sz="4" w:space="0" w:color="000000"/>
              <w:bottom w:val="single" w:sz="8" w:space="0" w:color="F3CFC1"/>
              <w:right w:val="single" w:sz="4" w:space="0" w:color="000000"/>
            </w:tcBorders>
            <w:vAlign w:val="center"/>
          </w:tcPr>
          <w:p w14:paraId="29244796" w14:textId="0B0F3F51" w:rsidR="4E193667" w:rsidRPr="00545C44" w:rsidRDefault="4E193667" w:rsidP="4E193667">
            <w:pPr>
              <w:rPr>
                <w:rFonts w:eastAsiaTheme="minorEastAsia"/>
                <w:szCs w:val="21"/>
              </w:rPr>
            </w:pPr>
            <w:r w:rsidRPr="00545C44">
              <w:rPr>
                <w:rFonts w:eastAsiaTheme="minorEastAsia"/>
                <w:szCs w:val="21"/>
              </w:rPr>
              <w:t xml:space="preserve">2016. </w:t>
            </w:r>
          </w:p>
        </w:tc>
        <w:tc>
          <w:tcPr>
            <w:tcW w:w="1083" w:type="dxa"/>
            <w:tcBorders>
              <w:top w:val="single" w:sz="8" w:space="0" w:color="F3CFC1"/>
              <w:left w:val="single" w:sz="4" w:space="0" w:color="000000"/>
              <w:bottom w:val="single" w:sz="8" w:space="0" w:color="F3CFC1"/>
              <w:right w:val="single" w:sz="4" w:space="0" w:color="000000"/>
            </w:tcBorders>
            <w:vAlign w:val="center"/>
          </w:tcPr>
          <w:p w14:paraId="76A9960F" w14:textId="52445196" w:rsidR="4E193667" w:rsidRPr="00545C44" w:rsidRDefault="4E193667" w:rsidP="00545C44">
            <w:pPr>
              <w:jc w:val="center"/>
              <w:rPr>
                <w:rFonts w:eastAsiaTheme="minorEastAsia"/>
                <w:szCs w:val="21"/>
              </w:rPr>
            </w:pPr>
            <w:r w:rsidRPr="00545C44">
              <w:rPr>
                <w:rFonts w:eastAsiaTheme="minorEastAsia"/>
                <w:szCs w:val="21"/>
              </w:rPr>
              <w:t>580</w:t>
            </w:r>
          </w:p>
        </w:tc>
        <w:tc>
          <w:tcPr>
            <w:tcW w:w="1083" w:type="dxa"/>
            <w:tcBorders>
              <w:top w:val="single" w:sz="8" w:space="0" w:color="F3CFC1"/>
              <w:left w:val="single" w:sz="4" w:space="0" w:color="000000"/>
              <w:bottom w:val="single" w:sz="8" w:space="0" w:color="F3CFC1"/>
              <w:right w:val="single" w:sz="4" w:space="0" w:color="000000"/>
            </w:tcBorders>
            <w:vAlign w:val="center"/>
          </w:tcPr>
          <w:p w14:paraId="261A8745" w14:textId="21FAD6C3" w:rsidR="4E193667" w:rsidRPr="00545C44" w:rsidRDefault="4E193667" w:rsidP="00545C44">
            <w:pPr>
              <w:jc w:val="center"/>
              <w:rPr>
                <w:rFonts w:eastAsiaTheme="minorEastAsia"/>
                <w:szCs w:val="21"/>
              </w:rPr>
            </w:pPr>
            <w:r w:rsidRPr="00545C44">
              <w:rPr>
                <w:rFonts w:eastAsiaTheme="minorEastAsia"/>
                <w:szCs w:val="21"/>
              </w:rPr>
              <w:t>743</w:t>
            </w:r>
          </w:p>
        </w:tc>
        <w:tc>
          <w:tcPr>
            <w:tcW w:w="1083" w:type="dxa"/>
            <w:tcBorders>
              <w:top w:val="single" w:sz="8" w:space="0" w:color="F3CFC1"/>
              <w:left w:val="single" w:sz="4" w:space="0" w:color="000000"/>
              <w:bottom w:val="single" w:sz="8" w:space="0" w:color="F3CFC1"/>
              <w:right w:val="single" w:sz="4" w:space="0" w:color="000000"/>
            </w:tcBorders>
            <w:vAlign w:val="center"/>
          </w:tcPr>
          <w:p w14:paraId="3199C55B" w14:textId="2F0DC691" w:rsidR="4E193667" w:rsidRPr="00545C44" w:rsidRDefault="4E193667" w:rsidP="00545C44">
            <w:pPr>
              <w:jc w:val="center"/>
              <w:rPr>
                <w:rFonts w:eastAsiaTheme="minorEastAsia"/>
                <w:szCs w:val="21"/>
              </w:rPr>
            </w:pPr>
            <w:r w:rsidRPr="00545C44">
              <w:rPr>
                <w:rFonts w:eastAsiaTheme="minorEastAsia"/>
                <w:szCs w:val="21"/>
              </w:rPr>
              <w:t>33.399</w:t>
            </w:r>
          </w:p>
        </w:tc>
        <w:tc>
          <w:tcPr>
            <w:tcW w:w="1083" w:type="dxa"/>
            <w:tcBorders>
              <w:top w:val="single" w:sz="8" w:space="0" w:color="F3CFC1"/>
              <w:left w:val="single" w:sz="4" w:space="0" w:color="000000"/>
              <w:bottom w:val="single" w:sz="8" w:space="0" w:color="F3CFC1"/>
              <w:right w:val="single" w:sz="4" w:space="0" w:color="000000"/>
            </w:tcBorders>
            <w:vAlign w:val="center"/>
          </w:tcPr>
          <w:p w14:paraId="3C47AB7B" w14:textId="3E876658" w:rsidR="4E193667" w:rsidRPr="00545C44" w:rsidRDefault="4E193667" w:rsidP="00545C44">
            <w:pPr>
              <w:jc w:val="center"/>
              <w:rPr>
                <w:rFonts w:eastAsiaTheme="minorEastAsia"/>
                <w:szCs w:val="21"/>
              </w:rPr>
            </w:pPr>
            <w:r w:rsidRPr="00545C44">
              <w:rPr>
                <w:rFonts w:eastAsiaTheme="minorEastAsia"/>
                <w:szCs w:val="21"/>
              </w:rPr>
              <w:t>28.994</w:t>
            </w:r>
          </w:p>
        </w:tc>
        <w:tc>
          <w:tcPr>
            <w:tcW w:w="1083" w:type="dxa"/>
            <w:tcBorders>
              <w:top w:val="single" w:sz="8" w:space="0" w:color="F3CFC1"/>
              <w:left w:val="single" w:sz="4" w:space="0" w:color="000000"/>
              <w:bottom w:val="single" w:sz="8" w:space="0" w:color="F3CFC1"/>
              <w:right w:val="single" w:sz="4" w:space="0" w:color="000000"/>
            </w:tcBorders>
            <w:vAlign w:val="center"/>
          </w:tcPr>
          <w:p w14:paraId="19835241" w14:textId="6B6E0440" w:rsidR="4E193667" w:rsidRPr="00545C44" w:rsidRDefault="4E193667" w:rsidP="00545C44">
            <w:pPr>
              <w:jc w:val="center"/>
              <w:rPr>
                <w:rFonts w:eastAsiaTheme="minorEastAsia"/>
                <w:szCs w:val="21"/>
              </w:rPr>
            </w:pPr>
            <w:r w:rsidRPr="00545C44">
              <w:rPr>
                <w:rFonts w:eastAsiaTheme="minorEastAsia"/>
                <w:szCs w:val="21"/>
              </w:rPr>
              <w:t>107,27</w:t>
            </w:r>
          </w:p>
        </w:tc>
        <w:tc>
          <w:tcPr>
            <w:tcW w:w="1083" w:type="dxa"/>
            <w:tcBorders>
              <w:top w:val="single" w:sz="8" w:space="0" w:color="F3CFC1"/>
              <w:left w:val="single" w:sz="4" w:space="0" w:color="000000"/>
              <w:bottom w:val="single" w:sz="8" w:space="0" w:color="F3CFC1"/>
              <w:right w:val="single" w:sz="4" w:space="0" w:color="000000"/>
            </w:tcBorders>
            <w:vAlign w:val="center"/>
          </w:tcPr>
          <w:p w14:paraId="280A43DD" w14:textId="76A5F39F" w:rsidR="4E193667" w:rsidRPr="00545C44" w:rsidRDefault="4E193667" w:rsidP="00545C44">
            <w:pPr>
              <w:jc w:val="center"/>
              <w:rPr>
                <w:rFonts w:eastAsiaTheme="minorEastAsia"/>
                <w:szCs w:val="21"/>
              </w:rPr>
            </w:pPr>
            <w:r w:rsidRPr="00545C44">
              <w:rPr>
                <w:rFonts w:eastAsiaTheme="minorEastAsia"/>
                <w:szCs w:val="21"/>
              </w:rPr>
              <w:t>105,28</w:t>
            </w:r>
          </w:p>
        </w:tc>
        <w:tc>
          <w:tcPr>
            <w:tcW w:w="1083" w:type="dxa"/>
            <w:tcBorders>
              <w:top w:val="single" w:sz="8" w:space="0" w:color="F3CFC1"/>
              <w:left w:val="single" w:sz="4" w:space="0" w:color="000000"/>
              <w:bottom w:val="single" w:sz="8" w:space="0" w:color="F3CFC1"/>
              <w:right w:val="single" w:sz="4" w:space="0" w:color="000000"/>
            </w:tcBorders>
            <w:vAlign w:val="center"/>
          </w:tcPr>
          <w:p w14:paraId="55F2BB03" w14:textId="57801C03" w:rsidR="4E193667" w:rsidRPr="00545C44" w:rsidRDefault="4E193667" w:rsidP="00545C44">
            <w:pPr>
              <w:jc w:val="center"/>
              <w:rPr>
                <w:rFonts w:eastAsiaTheme="minorEastAsia"/>
                <w:szCs w:val="21"/>
              </w:rPr>
            </w:pPr>
            <w:r w:rsidRPr="00545C44">
              <w:rPr>
                <w:rFonts w:eastAsiaTheme="minorEastAsia"/>
                <w:szCs w:val="21"/>
              </w:rPr>
              <w:t>5,76</w:t>
            </w:r>
          </w:p>
        </w:tc>
        <w:tc>
          <w:tcPr>
            <w:tcW w:w="1083" w:type="dxa"/>
            <w:tcBorders>
              <w:top w:val="single" w:sz="8" w:space="0" w:color="F3CFC1"/>
              <w:left w:val="single" w:sz="4" w:space="0" w:color="000000"/>
              <w:bottom w:val="single" w:sz="8" w:space="0" w:color="F3CFC1"/>
              <w:right w:val="single" w:sz="4" w:space="0" w:color="000000"/>
            </w:tcBorders>
            <w:vAlign w:val="center"/>
          </w:tcPr>
          <w:p w14:paraId="012AE905" w14:textId="68BF85AA" w:rsidR="4E193667" w:rsidRPr="00545C44" w:rsidRDefault="4E193667" w:rsidP="00545C44">
            <w:pPr>
              <w:jc w:val="center"/>
              <w:rPr>
                <w:rFonts w:eastAsiaTheme="minorEastAsia"/>
                <w:szCs w:val="21"/>
              </w:rPr>
            </w:pPr>
            <w:r w:rsidRPr="00545C44">
              <w:rPr>
                <w:rFonts w:eastAsiaTheme="minorEastAsia"/>
                <w:szCs w:val="21"/>
              </w:rPr>
              <w:t>3,90</w:t>
            </w:r>
          </w:p>
        </w:tc>
        <w:tc>
          <w:tcPr>
            <w:tcW w:w="1083" w:type="dxa"/>
            <w:tcBorders>
              <w:top w:val="single" w:sz="8" w:space="0" w:color="F3CFC1"/>
              <w:left w:val="single" w:sz="4" w:space="0" w:color="000000"/>
              <w:bottom w:val="single" w:sz="8" w:space="0" w:color="F3CFC1"/>
              <w:right w:val="single" w:sz="4" w:space="0" w:color="000000"/>
            </w:tcBorders>
            <w:vAlign w:val="center"/>
          </w:tcPr>
          <w:p w14:paraId="7443E661" w14:textId="1677BE26" w:rsidR="4E193667" w:rsidRPr="00545C44" w:rsidRDefault="4E193667" w:rsidP="00545C44">
            <w:pPr>
              <w:jc w:val="center"/>
              <w:rPr>
                <w:rFonts w:eastAsiaTheme="minorEastAsia"/>
                <w:szCs w:val="21"/>
              </w:rPr>
            </w:pPr>
            <w:r w:rsidRPr="00545C44">
              <w:rPr>
                <w:rFonts w:eastAsiaTheme="minorEastAsia"/>
                <w:szCs w:val="21"/>
              </w:rPr>
              <w:t>5,83</w:t>
            </w:r>
          </w:p>
        </w:tc>
        <w:tc>
          <w:tcPr>
            <w:tcW w:w="1083" w:type="dxa"/>
            <w:tcBorders>
              <w:top w:val="single" w:sz="8" w:space="0" w:color="F3CFC1"/>
              <w:left w:val="single" w:sz="4" w:space="0" w:color="000000"/>
              <w:bottom w:val="single" w:sz="8" w:space="0" w:color="F3CFC1"/>
              <w:right w:val="single" w:sz="4" w:space="0" w:color="000000"/>
            </w:tcBorders>
            <w:vAlign w:val="center"/>
          </w:tcPr>
          <w:p w14:paraId="4872CC46" w14:textId="0AC68728" w:rsidR="4E193667" w:rsidRPr="00545C44" w:rsidRDefault="4E193667" w:rsidP="00545C44">
            <w:pPr>
              <w:jc w:val="center"/>
              <w:rPr>
                <w:rFonts w:eastAsiaTheme="minorEastAsia"/>
                <w:szCs w:val="21"/>
              </w:rPr>
            </w:pPr>
            <w:r w:rsidRPr="00545C44">
              <w:rPr>
                <w:rFonts w:eastAsiaTheme="minorEastAsia"/>
                <w:szCs w:val="21"/>
              </w:rPr>
              <w:t>2,32</w:t>
            </w:r>
          </w:p>
        </w:tc>
        <w:tc>
          <w:tcPr>
            <w:tcW w:w="1083" w:type="dxa"/>
            <w:tcBorders>
              <w:top w:val="single" w:sz="8" w:space="0" w:color="F3CFC1"/>
              <w:left w:val="single" w:sz="4" w:space="0" w:color="000000"/>
              <w:bottom w:val="single" w:sz="8" w:space="0" w:color="F3CFC1"/>
              <w:right w:val="single" w:sz="4" w:space="0" w:color="000000"/>
            </w:tcBorders>
            <w:vAlign w:val="center"/>
          </w:tcPr>
          <w:p w14:paraId="0D190AD6" w14:textId="7D3BCAB7" w:rsidR="4E193667" w:rsidRPr="00545C44" w:rsidRDefault="4E193667" w:rsidP="00545C44">
            <w:pPr>
              <w:jc w:val="center"/>
              <w:rPr>
                <w:rFonts w:eastAsiaTheme="minorEastAsia"/>
                <w:szCs w:val="21"/>
              </w:rPr>
            </w:pPr>
            <w:r w:rsidRPr="00545C44">
              <w:rPr>
                <w:rFonts w:eastAsiaTheme="minorEastAsia"/>
                <w:szCs w:val="21"/>
              </w:rPr>
              <w:t>15,03</w:t>
            </w:r>
          </w:p>
        </w:tc>
        <w:tc>
          <w:tcPr>
            <w:tcW w:w="1083" w:type="dxa"/>
            <w:tcBorders>
              <w:top w:val="single" w:sz="8" w:space="0" w:color="F3CFC1"/>
              <w:left w:val="single" w:sz="4" w:space="0" w:color="000000"/>
              <w:bottom w:val="single" w:sz="8" w:space="0" w:color="F3CFC1"/>
              <w:right w:val="single" w:sz="4" w:space="0" w:color="000000"/>
            </w:tcBorders>
            <w:vAlign w:val="center"/>
          </w:tcPr>
          <w:p w14:paraId="09774C44" w14:textId="79DCCFBB" w:rsidR="4E193667" w:rsidRPr="00545C44" w:rsidRDefault="4E193667" w:rsidP="00545C44">
            <w:pPr>
              <w:jc w:val="center"/>
              <w:rPr>
                <w:rFonts w:eastAsiaTheme="minorEastAsia"/>
                <w:szCs w:val="21"/>
              </w:rPr>
            </w:pPr>
            <w:r w:rsidRPr="00545C44">
              <w:rPr>
                <w:rFonts w:eastAsiaTheme="minorEastAsia"/>
                <w:szCs w:val="21"/>
              </w:rPr>
              <w:t>5,65</w:t>
            </w:r>
          </w:p>
        </w:tc>
      </w:tr>
      <w:tr w:rsidR="4E193667" w14:paraId="3438FB2B" w14:textId="77777777" w:rsidTr="00545C44">
        <w:trPr>
          <w:trHeight w:val="327"/>
        </w:trPr>
        <w:tc>
          <w:tcPr>
            <w:tcW w:w="1083" w:type="dxa"/>
            <w:tcBorders>
              <w:top w:val="single" w:sz="8" w:space="0" w:color="F3CFC1"/>
              <w:left w:val="single" w:sz="4" w:space="0" w:color="000000"/>
              <w:bottom w:val="single" w:sz="8" w:space="0" w:color="F3CFC1"/>
              <w:right w:val="single" w:sz="4" w:space="0" w:color="000000"/>
            </w:tcBorders>
            <w:vAlign w:val="center"/>
          </w:tcPr>
          <w:p w14:paraId="7B68EE33" w14:textId="68481236" w:rsidR="4E193667" w:rsidRPr="00545C44" w:rsidRDefault="4E193667" w:rsidP="4E193667">
            <w:pPr>
              <w:rPr>
                <w:rFonts w:eastAsiaTheme="minorEastAsia"/>
                <w:szCs w:val="21"/>
              </w:rPr>
            </w:pPr>
            <w:r w:rsidRPr="00545C44">
              <w:rPr>
                <w:rFonts w:eastAsiaTheme="minorEastAsia"/>
                <w:szCs w:val="21"/>
              </w:rPr>
              <w:t xml:space="preserve">2017. </w:t>
            </w:r>
          </w:p>
        </w:tc>
        <w:tc>
          <w:tcPr>
            <w:tcW w:w="1083" w:type="dxa"/>
            <w:tcBorders>
              <w:top w:val="single" w:sz="8" w:space="0" w:color="F3CFC1"/>
              <w:left w:val="single" w:sz="4" w:space="0" w:color="000000"/>
              <w:bottom w:val="single" w:sz="8" w:space="0" w:color="F3CFC1"/>
              <w:right w:val="single" w:sz="4" w:space="0" w:color="000000"/>
            </w:tcBorders>
            <w:vAlign w:val="center"/>
          </w:tcPr>
          <w:p w14:paraId="67787FAC" w14:textId="271A1F83" w:rsidR="4E193667" w:rsidRPr="00545C44" w:rsidRDefault="4E193667" w:rsidP="00545C44">
            <w:pPr>
              <w:jc w:val="center"/>
              <w:rPr>
                <w:rFonts w:eastAsiaTheme="minorEastAsia"/>
                <w:szCs w:val="21"/>
              </w:rPr>
            </w:pPr>
            <w:r w:rsidRPr="00545C44">
              <w:rPr>
                <w:rFonts w:eastAsiaTheme="minorEastAsia"/>
                <w:szCs w:val="21"/>
              </w:rPr>
              <w:t>586</w:t>
            </w:r>
          </w:p>
        </w:tc>
        <w:tc>
          <w:tcPr>
            <w:tcW w:w="1083" w:type="dxa"/>
            <w:tcBorders>
              <w:top w:val="single" w:sz="8" w:space="0" w:color="F3CFC1"/>
              <w:left w:val="single" w:sz="4" w:space="0" w:color="000000"/>
              <w:bottom w:val="single" w:sz="8" w:space="0" w:color="F3CFC1"/>
              <w:right w:val="single" w:sz="4" w:space="0" w:color="000000"/>
            </w:tcBorders>
            <w:vAlign w:val="center"/>
          </w:tcPr>
          <w:p w14:paraId="2C9559FE" w14:textId="3037B1B1" w:rsidR="4E193667" w:rsidRPr="00545C44" w:rsidRDefault="4E193667" w:rsidP="00545C44">
            <w:pPr>
              <w:jc w:val="center"/>
              <w:rPr>
                <w:rFonts w:eastAsiaTheme="minorEastAsia"/>
                <w:szCs w:val="21"/>
              </w:rPr>
            </w:pPr>
            <w:r w:rsidRPr="00545C44">
              <w:rPr>
                <w:rFonts w:eastAsiaTheme="minorEastAsia"/>
                <w:szCs w:val="21"/>
              </w:rPr>
              <w:t>774</w:t>
            </w:r>
          </w:p>
        </w:tc>
        <w:tc>
          <w:tcPr>
            <w:tcW w:w="1083" w:type="dxa"/>
            <w:tcBorders>
              <w:top w:val="single" w:sz="8" w:space="0" w:color="F3CFC1"/>
              <w:left w:val="single" w:sz="4" w:space="0" w:color="000000"/>
              <w:bottom w:val="single" w:sz="8" w:space="0" w:color="F3CFC1"/>
              <w:right w:val="single" w:sz="4" w:space="0" w:color="000000"/>
            </w:tcBorders>
            <w:vAlign w:val="center"/>
          </w:tcPr>
          <w:p w14:paraId="0DA0128B" w14:textId="63A8A99E" w:rsidR="4E193667" w:rsidRPr="00545C44" w:rsidRDefault="4E193667" w:rsidP="00545C44">
            <w:pPr>
              <w:jc w:val="center"/>
              <w:rPr>
                <w:rFonts w:eastAsiaTheme="minorEastAsia"/>
                <w:szCs w:val="21"/>
              </w:rPr>
            </w:pPr>
            <w:r w:rsidRPr="00545C44">
              <w:rPr>
                <w:rFonts w:eastAsiaTheme="minorEastAsia"/>
                <w:szCs w:val="21"/>
              </w:rPr>
              <w:t>28.163</w:t>
            </w:r>
          </w:p>
        </w:tc>
        <w:tc>
          <w:tcPr>
            <w:tcW w:w="1083" w:type="dxa"/>
            <w:tcBorders>
              <w:top w:val="single" w:sz="8" w:space="0" w:color="F3CFC1"/>
              <w:left w:val="single" w:sz="4" w:space="0" w:color="000000"/>
              <w:bottom w:val="single" w:sz="8" w:space="0" w:color="F3CFC1"/>
              <w:right w:val="single" w:sz="4" w:space="0" w:color="000000"/>
            </w:tcBorders>
            <w:vAlign w:val="center"/>
          </w:tcPr>
          <w:p w14:paraId="44E4FAD2" w14:textId="587FF5D4" w:rsidR="4E193667" w:rsidRPr="00545C44" w:rsidRDefault="4E193667" w:rsidP="00545C44">
            <w:pPr>
              <w:jc w:val="center"/>
              <w:rPr>
                <w:rFonts w:eastAsiaTheme="minorEastAsia"/>
                <w:szCs w:val="21"/>
              </w:rPr>
            </w:pPr>
            <w:r w:rsidRPr="00545C44">
              <w:rPr>
                <w:rFonts w:eastAsiaTheme="minorEastAsia"/>
                <w:szCs w:val="21"/>
              </w:rPr>
              <w:t>-3.420</w:t>
            </w:r>
          </w:p>
        </w:tc>
        <w:tc>
          <w:tcPr>
            <w:tcW w:w="1083" w:type="dxa"/>
            <w:tcBorders>
              <w:top w:val="single" w:sz="8" w:space="0" w:color="F3CFC1"/>
              <w:left w:val="single" w:sz="4" w:space="0" w:color="000000"/>
              <w:bottom w:val="single" w:sz="8" w:space="0" w:color="F3CFC1"/>
              <w:right w:val="single" w:sz="4" w:space="0" w:color="000000"/>
            </w:tcBorders>
            <w:vAlign w:val="center"/>
          </w:tcPr>
          <w:p w14:paraId="3159445A" w14:textId="4006A147" w:rsidR="4E193667" w:rsidRPr="00545C44" w:rsidRDefault="4E193667" w:rsidP="00545C44">
            <w:pPr>
              <w:jc w:val="center"/>
              <w:rPr>
                <w:rFonts w:eastAsiaTheme="minorEastAsia"/>
                <w:szCs w:val="21"/>
              </w:rPr>
            </w:pPr>
            <w:r w:rsidRPr="00545C44">
              <w:rPr>
                <w:rFonts w:eastAsiaTheme="minorEastAsia"/>
                <w:szCs w:val="21"/>
              </w:rPr>
              <w:t>106,12</w:t>
            </w:r>
          </w:p>
        </w:tc>
        <w:tc>
          <w:tcPr>
            <w:tcW w:w="1083" w:type="dxa"/>
            <w:tcBorders>
              <w:top w:val="single" w:sz="8" w:space="0" w:color="F3CFC1"/>
              <w:left w:val="single" w:sz="4" w:space="0" w:color="000000"/>
              <w:bottom w:val="single" w:sz="8" w:space="0" w:color="F3CFC1"/>
              <w:right w:val="single" w:sz="4" w:space="0" w:color="000000"/>
            </w:tcBorders>
            <w:vAlign w:val="center"/>
          </w:tcPr>
          <w:p w14:paraId="610FB2D1" w14:textId="596603C6" w:rsidR="4E193667" w:rsidRPr="00545C44" w:rsidRDefault="4E193667" w:rsidP="00545C44">
            <w:pPr>
              <w:jc w:val="center"/>
              <w:rPr>
                <w:rFonts w:eastAsiaTheme="minorEastAsia"/>
                <w:szCs w:val="21"/>
              </w:rPr>
            </w:pPr>
            <w:r w:rsidRPr="00545C44">
              <w:rPr>
                <w:rFonts w:eastAsiaTheme="minorEastAsia"/>
                <w:szCs w:val="21"/>
              </w:rPr>
              <w:t>100,54</w:t>
            </w:r>
          </w:p>
        </w:tc>
        <w:tc>
          <w:tcPr>
            <w:tcW w:w="1083" w:type="dxa"/>
            <w:tcBorders>
              <w:top w:val="single" w:sz="8" w:space="0" w:color="F3CFC1"/>
              <w:left w:val="single" w:sz="4" w:space="0" w:color="000000"/>
              <w:bottom w:val="single" w:sz="8" w:space="0" w:color="F3CFC1"/>
              <w:right w:val="single" w:sz="4" w:space="0" w:color="000000"/>
            </w:tcBorders>
            <w:vAlign w:val="center"/>
          </w:tcPr>
          <w:p w14:paraId="624C1F12" w14:textId="39AB9ABF" w:rsidR="4E193667" w:rsidRPr="00545C44" w:rsidRDefault="4E193667" w:rsidP="00545C44">
            <w:pPr>
              <w:jc w:val="center"/>
              <w:rPr>
                <w:rFonts w:eastAsiaTheme="minorEastAsia"/>
                <w:szCs w:val="21"/>
              </w:rPr>
            </w:pPr>
            <w:r w:rsidRPr="00545C44">
              <w:rPr>
                <w:rFonts w:eastAsiaTheme="minorEastAsia"/>
                <w:szCs w:val="21"/>
              </w:rPr>
              <w:t>4,81</w:t>
            </w:r>
          </w:p>
        </w:tc>
        <w:tc>
          <w:tcPr>
            <w:tcW w:w="1083" w:type="dxa"/>
            <w:tcBorders>
              <w:top w:val="single" w:sz="8" w:space="0" w:color="F3CFC1"/>
              <w:left w:val="single" w:sz="4" w:space="0" w:color="000000"/>
              <w:bottom w:val="single" w:sz="8" w:space="0" w:color="F3CFC1"/>
              <w:right w:val="single" w:sz="4" w:space="0" w:color="000000"/>
            </w:tcBorders>
            <w:vAlign w:val="center"/>
          </w:tcPr>
          <w:p w14:paraId="2DCF160E" w14:textId="075C66BC" w:rsidR="4E193667" w:rsidRPr="00545C44" w:rsidRDefault="4E193667" w:rsidP="00545C44">
            <w:pPr>
              <w:jc w:val="center"/>
              <w:rPr>
                <w:rFonts w:eastAsiaTheme="minorEastAsia"/>
                <w:szCs w:val="21"/>
              </w:rPr>
            </w:pPr>
            <w:r w:rsidRPr="00545C44">
              <w:rPr>
                <w:rFonts w:eastAsiaTheme="minorEastAsia"/>
                <w:szCs w:val="21"/>
              </w:rPr>
              <w:t>-0,44</w:t>
            </w:r>
          </w:p>
        </w:tc>
        <w:tc>
          <w:tcPr>
            <w:tcW w:w="1083" w:type="dxa"/>
            <w:tcBorders>
              <w:top w:val="single" w:sz="8" w:space="0" w:color="F3CFC1"/>
              <w:left w:val="single" w:sz="4" w:space="0" w:color="000000"/>
              <w:bottom w:val="single" w:sz="8" w:space="0" w:color="F3CFC1"/>
              <w:right w:val="single" w:sz="4" w:space="0" w:color="000000"/>
            </w:tcBorders>
            <w:vAlign w:val="center"/>
          </w:tcPr>
          <w:p w14:paraId="487F8236" w14:textId="7EDDE980" w:rsidR="4E193667" w:rsidRPr="00545C44" w:rsidRDefault="4E193667" w:rsidP="00545C44">
            <w:pPr>
              <w:jc w:val="center"/>
              <w:rPr>
                <w:rFonts w:eastAsiaTheme="minorEastAsia"/>
                <w:szCs w:val="21"/>
              </w:rPr>
            </w:pPr>
            <w:r w:rsidRPr="00545C44">
              <w:rPr>
                <w:rFonts w:eastAsiaTheme="minorEastAsia"/>
                <w:szCs w:val="21"/>
              </w:rPr>
              <w:t>5,05</w:t>
            </w:r>
          </w:p>
        </w:tc>
        <w:tc>
          <w:tcPr>
            <w:tcW w:w="1083" w:type="dxa"/>
            <w:tcBorders>
              <w:top w:val="single" w:sz="8" w:space="0" w:color="F3CFC1"/>
              <w:left w:val="single" w:sz="4" w:space="0" w:color="000000"/>
              <w:bottom w:val="single" w:sz="8" w:space="0" w:color="F3CFC1"/>
              <w:right w:val="single" w:sz="4" w:space="0" w:color="000000"/>
            </w:tcBorders>
            <w:vAlign w:val="center"/>
          </w:tcPr>
          <w:p w14:paraId="4AE9B997" w14:textId="2253BDFA" w:rsidR="4E193667" w:rsidRPr="00545C44" w:rsidRDefault="4E193667" w:rsidP="00545C44">
            <w:pPr>
              <w:jc w:val="center"/>
              <w:rPr>
                <w:rFonts w:eastAsiaTheme="minorEastAsia"/>
                <w:szCs w:val="21"/>
              </w:rPr>
            </w:pPr>
            <w:r w:rsidRPr="00545C44">
              <w:rPr>
                <w:rFonts w:eastAsiaTheme="minorEastAsia"/>
                <w:szCs w:val="21"/>
              </w:rPr>
              <w:t>-0,28</w:t>
            </w:r>
          </w:p>
        </w:tc>
        <w:tc>
          <w:tcPr>
            <w:tcW w:w="1083" w:type="dxa"/>
            <w:tcBorders>
              <w:top w:val="single" w:sz="8" w:space="0" w:color="F3CFC1"/>
              <w:left w:val="single" w:sz="4" w:space="0" w:color="000000"/>
              <w:bottom w:val="single" w:sz="8" w:space="0" w:color="F3CFC1"/>
              <w:right w:val="single" w:sz="4" w:space="0" w:color="000000"/>
            </w:tcBorders>
            <w:vAlign w:val="center"/>
          </w:tcPr>
          <w:p w14:paraId="0166A312" w14:textId="01ABD7A5" w:rsidR="4E193667" w:rsidRPr="00545C44" w:rsidRDefault="4E193667" w:rsidP="00545C44">
            <w:pPr>
              <w:jc w:val="center"/>
              <w:rPr>
                <w:rFonts w:eastAsiaTheme="minorEastAsia"/>
                <w:szCs w:val="21"/>
              </w:rPr>
            </w:pPr>
            <w:r w:rsidRPr="00545C44">
              <w:rPr>
                <w:rFonts w:eastAsiaTheme="minorEastAsia"/>
                <w:szCs w:val="21"/>
              </w:rPr>
              <w:t>12,34</w:t>
            </w:r>
          </w:p>
        </w:tc>
        <w:tc>
          <w:tcPr>
            <w:tcW w:w="1083" w:type="dxa"/>
            <w:tcBorders>
              <w:top w:val="single" w:sz="8" w:space="0" w:color="F3CFC1"/>
              <w:left w:val="single" w:sz="4" w:space="0" w:color="000000"/>
              <w:bottom w:val="single" w:sz="8" w:space="0" w:color="F3CFC1"/>
              <w:right w:val="single" w:sz="4" w:space="0" w:color="000000"/>
            </w:tcBorders>
            <w:vAlign w:val="center"/>
          </w:tcPr>
          <w:p w14:paraId="12031404" w14:textId="387C94C8" w:rsidR="4E193667" w:rsidRPr="00545C44" w:rsidRDefault="4E193667" w:rsidP="00545C44">
            <w:pPr>
              <w:jc w:val="center"/>
              <w:rPr>
                <w:rFonts w:eastAsiaTheme="minorEastAsia"/>
                <w:szCs w:val="21"/>
              </w:rPr>
            </w:pPr>
            <w:r w:rsidRPr="00545C44">
              <w:rPr>
                <w:rFonts w:eastAsiaTheme="minorEastAsia"/>
                <w:szCs w:val="21"/>
              </w:rPr>
              <w:t>-0,74</w:t>
            </w:r>
          </w:p>
        </w:tc>
      </w:tr>
      <w:tr w:rsidR="4E193667" w14:paraId="153A6C01" w14:textId="77777777" w:rsidTr="00545C44">
        <w:trPr>
          <w:trHeight w:val="327"/>
        </w:trPr>
        <w:tc>
          <w:tcPr>
            <w:tcW w:w="1083" w:type="dxa"/>
            <w:tcBorders>
              <w:top w:val="single" w:sz="8" w:space="0" w:color="F3CFC1"/>
              <w:left w:val="single" w:sz="4" w:space="0" w:color="000000"/>
              <w:bottom w:val="single" w:sz="8" w:space="0" w:color="F3CFC1"/>
              <w:right w:val="single" w:sz="4" w:space="0" w:color="000000"/>
            </w:tcBorders>
            <w:vAlign w:val="center"/>
          </w:tcPr>
          <w:p w14:paraId="3DE3DD71" w14:textId="3BBA056A" w:rsidR="4E193667" w:rsidRPr="00545C44" w:rsidRDefault="4E193667" w:rsidP="4E193667">
            <w:pPr>
              <w:rPr>
                <w:rFonts w:eastAsiaTheme="minorEastAsia"/>
                <w:szCs w:val="21"/>
              </w:rPr>
            </w:pPr>
            <w:r w:rsidRPr="00545C44">
              <w:rPr>
                <w:rFonts w:eastAsiaTheme="minorEastAsia"/>
                <w:szCs w:val="21"/>
              </w:rPr>
              <w:t xml:space="preserve">2018. </w:t>
            </w:r>
          </w:p>
        </w:tc>
        <w:tc>
          <w:tcPr>
            <w:tcW w:w="1083" w:type="dxa"/>
            <w:tcBorders>
              <w:top w:val="single" w:sz="8" w:space="0" w:color="F3CFC1"/>
              <w:left w:val="single" w:sz="4" w:space="0" w:color="000000"/>
              <w:bottom w:val="single" w:sz="8" w:space="0" w:color="F3CFC1"/>
              <w:right w:val="single" w:sz="4" w:space="0" w:color="000000"/>
            </w:tcBorders>
            <w:vAlign w:val="center"/>
          </w:tcPr>
          <w:p w14:paraId="54BE5633" w14:textId="1E648D35" w:rsidR="4E193667" w:rsidRPr="00545C44" w:rsidRDefault="4E193667" w:rsidP="00545C44">
            <w:pPr>
              <w:jc w:val="center"/>
              <w:rPr>
                <w:rFonts w:eastAsiaTheme="minorEastAsia"/>
                <w:szCs w:val="21"/>
              </w:rPr>
            </w:pPr>
            <w:r w:rsidRPr="00545C44">
              <w:rPr>
                <w:rFonts w:eastAsiaTheme="minorEastAsia"/>
                <w:szCs w:val="21"/>
              </w:rPr>
              <w:t>618</w:t>
            </w:r>
          </w:p>
        </w:tc>
        <w:tc>
          <w:tcPr>
            <w:tcW w:w="1083" w:type="dxa"/>
            <w:tcBorders>
              <w:top w:val="single" w:sz="8" w:space="0" w:color="F3CFC1"/>
              <w:left w:val="single" w:sz="4" w:space="0" w:color="000000"/>
              <w:bottom w:val="single" w:sz="8" w:space="0" w:color="F3CFC1"/>
              <w:right w:val="single" w:sz="4" w:space="0" w:color="000000"/>
            </w:tcBorders>
            <w:vAlign w:val="center"/>
          </w:tcPr>
          <w:p w14:paraId="41B11069" w14:textId="1289FEDA" w:rsidR="4E193667" w:rsidRPr="00545C44" w:rsidRDefault="4E193667" w:rsidP="00545C44">
            <w:pPr>
              <w:jc w:val="center"/>
              <w:rPr>
                <w:rFonts w:eastAsiaTheme="minorEastAsia"/>
                <w:szCs w:val="21"/>
              </w:rPr>
            </w:pPr>
            <w:r w:rsidRPr="00545C44">
              <w:rPr>
                <w:rFonts w:eastAsiaTheme="minorEastAsia"/>
                <w:szCs w:val="21"/>
              </w:rPr>
              <w:t>799</w:t>
            </w:r>
          </w:p>
        </w:tc>
        <w:tc>
          <w:tcPr>
            <w:tcW w:w="1083" w:type="dxa"/>
            <w:tcBorders>
              <w:top w:val="single" w:sz="8" w:space="0" w:color="F3CFC1"/>
              <w:left w:val="single" w:sz="4" w:space="0" w:color="000000"/>
              <w:bottom w:val="single" w:sz="8" w:space="0" w:color="F3CFC1"/>
              <w:right w:val="single" w:sz="4" w:space="0" w:color="000000"/>
            </w:tcBorders>
            <w:vAlign w:val="center"/>
          </w:tcPr>
          <w:p w14:paraId="068151CA" w14:textId="5302A771" w:rsidR="4E193667" w:rsidRPr="00545C44" w:rsidRDefault="4E193667" w:rsidP="00545C44">
            <w:pPr>
              <w:jc w:val="center"/>
              <w:rPr>
                <w:rFonts w:eastAsiaTheme="minorEastAsia"/>
                <w:szCs w:val="21"/>
              </w:rPr>
            </w:pPr>
            <w:r w:rsidRPr="00545C44">
              <w:rPr>
                <w:rFonts w:eastAsiaTheme="minorEastAsia"/>
                <w:szCs w:val="21"/>
              </w:rPr>
              <w:t>27.855</w:t>
            </w:r>
          </w:p>
        </w:tc>
        <w:tc>
          <w:tcPr>
            <w:tcW w:w="1083" w:type="dxa"/>
            <w:tcBorders>
              <w:top w:val="single" w:sz="8" w:space="0" w:color="F3CFC1"/>
              <w:left w:val="single" w:sz="4" w:space="0" w:color="000000"/>
              <w:bottom w:val="single" w:sz="8" w:space="0" w:color="F3CFC1"/>
              <w:right w:val="single" w:sz="4" w:space="0" w:color="000000"/>
            </w:tcBorders>
            <w:vAlign w:val="center"/>
          </w:tcPr>
          <w:p w14:paraId="3F381D5A" w14:textId="27DE875F" w:rsidR="4E193667" w:rsidRPr="00545C44" w:rsidRDefault="4E193667" w:rsidP="00545C44">
            <w:pPr>
              <w:jc w:val="center"/>
              <w:rPr>
                <w:rFonts w:eastAsiaTheme="minorEastAsia"/>
                <w:szCs w:val="21"/>
              </w:rPr>
            </w:pPr>
            <w:r w:rsidRPr="00545C44">
              <w:rPr>
                <w:rFonts w:eastAsiaTheme="minorEastAsia"/>
                <w:szCs w:val="21"/>
              </w:rPr>
              <w:t>30.055</w:t>
            </w:r>
          </w:p>
        </w:tc>
        <w:tc>
          <w:tcPr>
            <w:tcW w:w="1083" w:type="dxa"/>
            <w:tcBorders>
              <w:top w:val="single" w:sz="8" w:space="0" w:color="F3CFC1"/>
              <w:left w:val="single" w:sz="4" w:space="0" w:color="000000"/>
              <w:bottom w:val="single" w:sz="8" w:space="0" w:color="F3CFC1"/>
              <w:right w:val="single" w:sz="4" w:space="0" w:color="000000"/>
            </w:tcBorders>
            <w:vAlign w:val="center"/>
          </w:tcPr>
          <w:p w14:paraId="6790903C" w14:textId="1EFC21E1" w:rsidR="4E193667" w:rsidRPr="00545C44" w:rsidRDefault="4E193667" w:rsidP="00545C44">
            <w:pPr>
              <w:jc w:val="center"/>
              <w:rPr>
                <w:rFonts w:eastAsiaTheme="minorEastAsia"/>
                <w:szCs w:val="21"/>
              </w:rPr>
            </w:pPr>
            <w:r w:rsidRPr="00545C44">
              <w:rPr>
                <w:rFonts w:eastAsiaTheme="minorEastAsia"/>
                <w:szCs w:val="21"/>
              </w:rPr>
              <w:t>105,82</w:t>
            </w:r>
          </w:p>
        </w:tc>
        <w:tc>
          <w:tcPr>
            <w:tcW w:w="1083" w:type="dxa"/>
            <w:tcBorders>
              <w:top w:val="single" w:sz="8" w:space="0" w:color="F3CFC1"/>
              <w:left w:val="single" w:sz="4" w:space="0" w:color="000000"/>
              <w:bottom w:val="single" w:sz="8" w:space="0" w:color="F3CFC1"/>
              <w:right w:val="single" w:sz="4" w:space="0" w:color="000000"/>
            </w:tcBorders>
            <w:vAlign w:val="center"/>
          </w:tcPr>
          <w:p w14:paraId="09A98871" w14:textId="49AC6A76" w:rsidR="4E193667" w:rsidRPr="00545C44" w:rsidRDefault="4E193667" w:rsidP="00545C44">
            <w:pPr>
              <w:jc w:val="center"/>
              <w:rPr>
                <w:rFonts w:eastAsiaTheme="minorEastAsia"/>
                <w:szCs w:val="21"/>
              </w:rPr>
            </w:pPr>
            <w:r w:rsidRPr="00545C44">
              <w:rPr>
                <w:rFonts w:eastAsiaTheme="minorEastAsia"/>
                <w:szCs w:val="21"/>
              </w:rPr>
              <w:t>105,00</w:t>
            </w:r>
          </w:p>
        </w:tc>
        <w:tc>
          <w:tcPr>
            <w:tcW w:w="1083" w:type="dxa"/>
            <w:tcBorders>
              <w:top w:val="single" w:sz="8" w:space="0" w:color="F3CFC1"/>
              <w:left w:val="single" w:sz="4" w:space="0" w:color="000000"/>
              <w:bottom w:val="single" w:sz="8" w:space="0" w:color="F3CFC1"/>
              <w:right w:val="single" w:sz="4" w:space="0" w:color="000000"/>
            </w:tcBorders>
            <w:vAlign w:val="center"/>
          </w:tcPr>
          <w:p w14:paraId="0159F918" w14:textId="767D13C5" w:rsidR="4E193667" w:rsidRPr="00545C44" w:rsidRDefault="4E193667" w:rsidP="00545C44">
            <w:pPr>
              <w:jc w:val="center"/>
              <w:rPr>
                <w:rFonts w:eastAsiaTheme="minorEastAsia"/>
                <w:szCs w:val="21"/>
              </w:rPr>
            </w:pPr>
            <w:r w:rsidRPr="00545C44">
              <w:rPr>
                <w:rFonts w:eastAsiaTheme="minorEastAsia"/>
                <w:szCs w:val="21"/>
              </w:rPr>
              <w:t>4,51</w:t>
            </w:r>
          </w:p>
        </w:tc>
        <w:tc>
          <w:tcPr>
            <w:tcW w:w="1083" w:type="dxa"/>
            <w:tcBorders>
              <w:top w:val="single" w:sz="8" w:space="0" w:color="F3CFC1"/>
              <w:left w:val="single" w:sz="4" w:space="0" w:color="000000"/>
              <w:bottom w:val="single" w:sz="8" w:space="0" w:color="F3CFC1"/>
              <w:right w:val="single" w:sz="4" w:space="0" w:color="000000"/>
            </w:tcBorders>
            <w:vAlign w:val="center"/>
          </w:tcPr>
          <w:p w14:paraId="099A48C1" w14:textId="376C63C7" w:rsidR="4E193667" w:rsidRPr="00545C44" w:rsidRDefault="4E193667" w:rsidP="00545C44">
            <w:pPr>
              <w:jc w:val="center"/>
              <w:rPr>
                <w:rFonts w:eastAsiaTheme="minorEastAsia"/>
                <w:szCs w:val="21"/>
              </w:rPr>
            </w:pPr>
            <w:r w:rsidRPr="00545C44">
              <w:rPr>
                <w:rFonts w:eastAsiaTheme="minorEastAsia"/>
                <w:szCs w:val="21"/>
              </w:rPr>
              <w:t>3,76</w:t>
            </w:r>
          </w:p>
        </w:tc>
        <w:tc>
          <w:tcPr>
            <w:tcW w:w="1083" w:type="dxa"/>
            <w:tcBorders>
              <w:top w:val="single" w:sz="8" w:space="0" w:color="F3CFC1"/>
              <w:left w:val="single" w:sz="4" w:space="0" w:color="000000"/>
              <w:bottom w:val="single" w:sz="8" w:space="0" w:color="F3CFC1"/>
              <w:right w:val="single" w:sz="4" w:space="0" w:color="000000"/>
            </w:tcBorders>
            <w:vAlign w:val="center"/>
          </w:tcPr>
          <w:p w14:paraId="5BABCD82" w14:textId="543CA2D5" w:rsidR="4E193667" w:rsidRPr="00545C44" w:rsidRDefault="4E193667" w:rsidP="00545C44">
            <w:pPr>
              <w:jc w:val="center"/>
              <w:rPr>
                <w:rFonts w:eastAsiaTheme="minorEastAsia"/>
                <w:szCs w:val="21"/>
              </w:rPr>
            </w:pPr>
            <w:r w:rsidRPr="00545C44">
              <w:rPr>
                <w:rFonts w:eastAsiaTheme="minorEastAsia"/>
                <w:szCs w:val="21"/>
              </w:rPr>
              <w:t>4,92</w:t>
            </w:r>
          </w:p>
        </w:tc>
        <w:tc>
          <w:tcPr>
            <w:tcW w:w="1083" w:type="dxa"/>
            <w:tcBorders>
              <w:top w:val="single" w:sz="8" w:space="0" w:color="F3CFC1"/>
              <w:left w:val="single" w:sz="4" w:space="0" w:color="000000"/>
              <w:bottom w:val="single" w:sz="8" w:space="0" w:color="F3CFC1"/>
              <w:right w:val="single" w:sz="4" w:space="0" w:color="000000"/>
            </w:tcBorders>
            <w:vAlign w:val="center"/>
          </w:tcPr>
          <w:p w14:paraId="3DD7C384" w14:textId="353FA18B" w:rsidR="4E193667" w:rsidRPr="00545C44" w:rsidRDefault="4E193667" w:rsidP="00545C44">
            <w:pPr>
              <w:jc w:val="center"/>
              <w:rPr>
                <w:rFonts w:eastAsiaTheme="minorEastAsia"/>
                <w:szCs w:val="21"/>
              </w:rPr>
            </w:pPr>
            <w:r w:rsidRPr="00545C44">
              <w:rPr>
                <w:rFonts w:eastAsiaTheme="minorEastAsia"/>
                <w:szCs w:val="21"/>
              </w:rPr>
              <w:t>2,47</w:t>
            </w:r>
          </w:p>
        </w:tc>
        <w:tc>
          <w:tcPr>
            <w:tcW w:w="1083" w:type="dxa"/>
            <w:tcBorders>
              <w:top w:val="single" w:sz="8" w:space="0" w:color="F3CFC1"/>
              <w:left w:val="single" w:sz="4" w:space="0" w:color="000000"/>
              <w:bottom w:val="single" w:sz="8" w:space="0" w:color="F3CFC1"/>
              <w:right w:val="single" w:sz="4" w:space="0" w:color="000000"/>
            </w:tcBorders>
            <w:vAlign w:val="center"/>
          </w:tcPr>
          <w:p w14:paraId="29A22DF2" w14:textId="65251501" w:rsidR="4E193667" w:rsidRPr="00545C44" w:rsidRDefault="4E193667" w:rsidP="00545C44">
            <w:pPr>
              <w:jc w:val="center"/>
              <w:rPr>
                <w:rFonts w:eastAsiaTheme="minorEastAsia"/>
                <w:szCs w:val="21"/>
              </w:rPr>
            </w:pPr>
            <w:r w:rsidRPr="00545C44">
              <w:rPr>
                <w:rFonts w:eastAsiaTheme="minorEastAsia"/>
                <w:szCs w:val="21"/>
              </w:rPr>
              <w:t>12,45</w:t>
            </w:r>
          </w:p>
        </w:tc>
        <w:tc>
          <w:tcPr>
            <w:tcW w:w="1083" w:type="dxa"/>
            <w:tcBorders>
              <w:top w:val="single" w:sz="8" w:space="0" w:color="F3CFC1"/>
              <w:left w:val="single" w:sz="4" w:space="0" w:color="000000"/>
              <w:bottom w:val="single" w:sz="8" w:space="0" w:color="F3CFC1"/>
              <w:right w:val="single" w:sz="4" w:space="0" w:color="000000"/>
            </w:tcBorders>
            <w:vAlign w:val="center"/>
          </w:tcPr>
          <w:p w14:paraId="3D492021" w14:textId="5AA3BA74" w:rsidR="4E193667" w:rsidRPr="00545C44" w:rsidRDefault="4E193667" w:rsidP="00545C44">
            <w:pPr>
              <w:jc w:val="center"/>
              <w:rPr>
                <w:rFonts w:eastAsiaTheme="minorEastAsia"/>
                <w:szCs w:val="21"/>
              </w:rPr>
            </w:pPr>
            <w:r w:rsidRPr="00545C44">
              <w:rPr>
                <w:rFonts w:eastAsiaTheme="minorEastAsia"/>
                <w:szCs w:val="21"/>
              </w:rPr>
              <w:t>6,52</w:t>
            </w:r>
          </w:p>
        </w:tc>
      </w:tr>
      <w:tr w:rsidR="4E193667" w14:paraId="652CB288" w14:textId="77777777" w:rsidTr="00545C44">
        <w:trPr>
          <w:trHeight w:val="311"/>
        </w:trPr>
        <w:tc>
          <w:tcPr>
            <w:tcW w:w="1083" w:type="dxa"/>
            <w:tcBorders>
              <w:top w:val="single" w:sz="8" w:space="0" w:color="F3CFC1"/>
              <w:left w:val="single" w:sz="4" w:space="0" w:color="000000"/>
              <w:bottom w:val="single" w:sz="4" w:space="0" w:color="000000"/>
              <w:right w:val="single" w:sz="4" w:space="0" w:color="000000"/>
            </w:tcBorders>
            <w:vAlign w:val="center"/>
          </w:tcPr>
          <w:p w14:paraId="791FFF8B" w14:textId="184702D2" w:rsidR="4E193667" w:rsidRPr="00545C44" w:rsidRDefault="4E193667" w:rsidP="4E193667">
            <w:pPr>
              <w:rPr>
                <w:rFonts w:eastAsiaTheme="minorEastAsia"/>
                <w:szCs w:val="21"/>
              </w:rPr>
            </w:pPr>
            <w:r w:rsidRPr="00545C44">
              <w:rPr>
                <w:rFonts w:eastAsiaTheme="minorEastAsia"/>
                <w:szCs w:val="21"/>
              </w:rPr>
              <w:t xml:space="preserve">2019. </w:t>
            </w:r>
          </w:p>
        </w:tc>
        <w:tc>
          <w:tcPr>
            <w:tcW w:w="1083" w:type="dxa"/>
            <w:tcBorders>
              <w:top w:val="single" w:sz="8" w:space="0" w:color="F3CFC1"/>
              <w:left w:val="single" w:sz="4" w:space="0" w:color="000000"/>
              <w:bottom w:val="single" w:sz="4" w:space="0" w:color="000000"/>
              <w:right w:val="single" w:sz="4" w:space="0" w:color="000000"/>
            </w:tcBorders>
            <w:vAlign w:val="center"/>
          </w:tcPr>
          <w:p w14:paraId="00EB2392" w14:textId="2291D91B" w:rsidR="4E193667" w:rsidRPr="00545C44" w:rsidRDefault="4E193667" w:rsidP="00545C44">
            <w:pPr>
              <w:jc w:val="center"/>
              <w:rPr>
                <w:rFonts w:eastAsiaTheme="minorEastAsia"/>
                <w:szCs w:val="21"/>
              </w:rPr>
            </w:pPr>
            <w:r w:rsidRPr="00545C44">
              <w:rPr>
                <w:rFonts w:eastAsiaTheme="minorEastAsia"/>
                <w:szCs w:val="21"/>
              </w:rPr>
              <w:t>627</w:t>
            </w:r>
          </w:p>
        </w:tc>
        <w:tc>
          <w:tcPr>
            <w:tcW w:w="1083" w:type="dxa"/>
            <w:tcBorders>
              <w:top w:val="single" w:sz="8" w:space="0" w:color="F3CFC1"/>
              <w:left w:val="single" w:sz="4" w:space="0" w:color="000000"/>
              <w:bottom w:val="single" w:sz="4" w:space="0" w:color="000000"/>
              <w:right w:val="single" w:sz="4" w:space="0" w:color="000000"/>
            </w:tcBorders>
            <w:vAlign w:val="center"/>
          </w:tcPr>
          <w:p w14:paraId="5C94F9F9" w14:textId="793BFFF4" w:rsidR="4E193667" w:rsidRPr="00545C44" w:rsidRDefault="4E193667" w:rsidP="00545C44">
            <w:pPr>
              <w:jc w:val="center"/>
              <w:rPr>
                <w:rFonts w:eastAsiaTheme="minorEastAsia"/>
                <w:szCs w:val="21"/>
              </w:rPr>
            </w:pPr>
            <w:r w:rsidRPr="00545C44">
              <w:rPr>
                <w:rFonts w:eastAsiaTheme="minorEastAsia"/>
                <w:szCs w:val="21"/>
              </w:rPr>
              <w:t>821</w:t>
            </w:r>
          </w:p>
        </w:tc>
        <w:tc>
          <w:tcPr>
            <w:tcW w:w="1083" w:type="dxa"/>
            <w:tcBorders>
              <w:top w:val="single" w:sz="8" w:space="0" w:color="F3CFC1"/>
              <w:left w:val="single" w:sz="4" w:space="0" w:color="000000"/>
              <w:bottom w:val="single" w:sz="4" w:space="0" w:color="000000"/>
              <w:right w:val="single" w:sz="4" w:space="0" w:color="000000"/>
            </w:tcBorders>
            <w:vAlign w:val="center"/>
          </w:tcPr>
          <w:p w14:paraId="7C75C3CA" w14:textId="27334EA4" w:rsidR="4E193667" w:rsidRPr="00545C44" w:rsidRDefault="4E193667" w:rsidP="00545C44">
            <w:pPr>
              <w:jc w:val="center"/>
              <w:rPr>
                <w:rFonts w:eastAsiaTheme="minorEastAsia"/>
                <w:szCs w:val="21"/>
              </w:rPr>
            </w:pPr>
            <w:r w:rsidRPr="00545C44">
              <w:rPr>
                <w:rFonts w:eastAsiaTheme="minorEastAsia"/>
                <w:szCs w:val="21"/>
              </w:rPr>
              <w:t>30</w:t>
            </w:r>
            <w:r w:rsidR="6713159D" w:rsidRPr="00545C44">
              <w:rPr>
                <w:rFonts w:eastAsiaTheme="minorEastAsia"/>
                <w:szCs w:val="21"/>
              </w:rPr>
              <w:t>.</w:t>
            </w:r>
            <w:r w:rsidRPr="00545C44">
              <w:rPr>
                <w:rFonts w:eastAsiaTheme="minorEastAsia"/>
                <w:szCs w:val="21"/>
              </w:rPr>
              <w:t>429</w:t>
            </w:r>
          </w:p>
        </w:tc>
        <w:tc>
          <w:tcPr>
            <w:tcW w:w="1083" w:type="dxa"/>
            <w:tcBorders>
              <w:top w:val="single" w:sz="8" w:space="0" w:color="F3CFC1"/>
              <w:left w:val="single" w:sz="4" w:space="0" w:color="000000"/>
              <w:bottom w:val="single" w:sz="4" w:space="0" w:color="000000"/>
              <w:right w:val="single" w:sz="4" w:space="0" w:color="000000"/>
            </w:tcBorders>
            <w:vAlign w:val="center"/>
          </w:tcPr>
          <w:p w14:paraId="712667D3" w14:textId="5C88A465" w:rsidR="4E193667" w:rsidRPr="00545C44" w:rsidRDefault="4E193667" w:rsidP="00545C44">
            <w:pPr>
              <w:jc w:val="center"/>
              <w:rPr>
                <w:rFonts w:eastAsiaTheme="minorEastAsia"/>
                <w:szCs w:val="21"/>
              </w:rPr>
            </w:pPr>
            <w:r w:rsidRPr="00545C44">
              <w:rPr>
                <w:rFonts w:eastAsiaTheme="minorEastAsia"/>
                <w:szCs w:val="21"/>
              </w:rPr>
              <w:t>32</w:t>
            </w:r>
            <w:r w:rsidR="6FD5B972" w:rsidRPr="00545C44">
              <w:rPr>
                <w:rFonts w:eastAsiaTheme="minorEastAsia"/>
                <w:szCs w:val="21"/>
              </w:rPr>
              <w:t>.</w:t>
            </w:r>
            <w:r w:rsidRPr="00545C44">
              <w:rPr>
                <w:rFonts w:eastAsiaTheme="minorEastAsia"/>
                <w:szCs w:val="21"/>
              </w:rPr>
              <w:t>256</w:t>
            </w:r>
          </w:p>
        </w:tc>
        <w:tc>
          <w:tcPr>
            <w:tcW w:w="1083" w:type="dxa"/>
            <w:tcBorders>
              <w:top w:val="single" w:sz="8" w:space="0" w:color="F3CFC1"/>
              <w:left w:val="single" w:sz="4" w:space="0" w:color="000000"/>
              <w:bottom w:val="single" w:sz="4" w:space="0" w:color="000000"/>
              <w:right w:val="single" w:sz="4" w:space="0" w:color="000000"/>
            </w:tcBorders>
            <w:vAlign w:val="center"/>
          </w:tcPr>
          <w:p w14:paraId="187416CB" w14:textId="3733F1AC" w:rsidR="4E193667" w:rsidRPr="00545C44" w:rsidRDefault="4E193667" w:rsidP="00545C44">
            <w:pPr>
              <w:jc w:val="center"/>
              <w:rPr>
                <w:rFonts w:eastAsiaTheme="minorEastAsia"/>
                <w:szCs w:val="21"/>
              </w:rPr>
            </w:pPr>
            <w:r w:rsidRPr="00545C44">
              <w:rPr>
                <w:rFonts w:eastAsiaTheme="minorEastAsia"/>
                <w:szCs w:val="21"/>
              </w:rPr>
              <w:t>106,09</w:t>
            </w:r>
          </w:p>
        </w:tc>
        <w:tc>
          <w:tcPr>
            <w:tcW w:w="1083" w:type="dxa"/>
            <w:tcBorders>
              <w:top w:val="single" w:sz="8" w:space="0" w:color="F3CFC1"/>
              <w:left w:val="single" w:sz="4" w:space="0" w:color="000000"/>
              <w:bottom w:val="single" w:sz="4" w:space="0" w:color="000000"/>
              <w:right w:val="single" w:sz="4" w:space="0" w:color="000000"/>
            </w:tcBorders>
            <w:vAlign w:val="center"/>
          </w:tcPr>
          <w:p w14:paraId="79E48059" w14:textId="0C40A049" w:rsidR="4E193667" w:rsidRPr="00545C44" w:rsidRDefault="4E193667" w:rsidP="00545C44">
            <w:pPr>
              <w:jc w:val="center"/>
              <w:rPr>
                <w:rFonts w:eastAsiaTheme="minorEastAsia"/>
                <w:szCs w:val="21"/>
              </w:rPr>
            </w:pPr>
            <w:r w:rsidRPr="00545C44">
              <w:rPr>
                <w:rFonts w:eastAsiaTheme="minorEastAsia"/>
                <w:szCs w:val="21"/>
              </w:rPr>
              <w:t>105,24</w:t>
            </w:r>
          </w:p>
        </w:tc>
        <w:tc>
          <w:tcPr>
            <w:tcW w:w="1083" w:type="dxa"/>
            <w:tcBorders>
              <w:top w:val="single" w:sz="8" w:space="0" w:color="F3CFC1"/>
              <w:left w:val="single" w:sz="4" w:space="0" w:color="000000"/>
              <w:bottom w:val="single" w:sz="4" w:space="0" w:color="000000"/>
              <w:right w:val="single" w:sz="4" w:space="0" w:color="000000"/>
            </w:tcBorders>
            <w:vAlign w:val="center"/>
          </w:tcPr>
          <w:p w14:paraId="437BE3E7" w14:textId="0500D072" w:rsidR="4E193667" w:rsidRPr="00545C44" w:rsidRDefault="4E193667" w:rsidP="00545C44">
            <w:pPr>
              <w:jc w:val="center"/>
              <w:rPr>
                <w:rFonts w:eastAsiaTheme="minorEastAsia"/>
                <w:szCs w:val="21"/>
              </w:rPr>
            </w:pPr>
            <w:r w:rsidRPr="00545C44">
              <w:rPr>
                <w:rFonts w:eastAsiaTheme="minorEastAsia"/>
                <w:szCs w:val="21"/>
              </w:rPr>
              <w:t>4,85</w:t>
            </w:r>
          </w:p>
        </w:tc>
        <w:tc>
          <w:tcPr>
            <w:tcW w:w="1083" w:type="dxa"/>
            <w:tcBorders>
              <w:top w:val="single" w:sz="8" w:space="0" w:color="F3CFC1"/>
              <w:left w:val="single" w:sz="4" w:space="0" w:color="000000"/>
              <w:bottom w:val="single" w:sz="4" w:space="0" w:color="000000"/>
              <w:right w:val="single" w:sz="4" w:space="0" w:color="000000"/>
            </w:tcBorders>
            <w:vAlign w:val="center"/>
          </w:tcPr>
          <w:p w14:paraId="0FF3D737" w14:textId="0349F2F2" w:rsidR="4E193667" w:rsidRPr="00545C44" w:rsidRDefault="4E193667" w:rsidP="00545C44">
            <w:pPr>
              <w:jc w:val="center"/>
              <w:rPr>
                <w:rFonts w:eastAsiaTheme="minorEastAsia"/>
                <w:szCs w:val="21"/>
              </w:rPr>
            </w:pPr>
            <w:r w:rsidRPr="00545C44">
              <w:rPr>
                <w:rFonts w:eastAsiaTheme="minorEastAsia"/>
                <w:szCs w:val="21"/>
              </w:rPr>
              <w:t>3,93</w:t>
            </w:r>
          </w:p>
        </w:tc>
        <w:tc>
          <w:tcPr>
            <w:tcW w:w="1083" w:type="dxa"/>
            <w:tcBorders>
              <w:top w:val="single" w:sz="8" w:space="0" w:color="F3CFC1"/>
              <w:left w:val="single" w:sz="4" w:space="0" w:color="000000"/>
              <w:bottom w:val="single" w:sz="4" w:space="0" w:color="000000"/>
              <w:right w:val="single" w:sz="4" w:space="0" w:color="000000"/>
            </w:tcBorders>
            <w:vAlign w:val="center"/>
          </w:tcPr>
          <w:p w14:paraId="3B70355B" w14:textId="3473C4F9" w:rsidR="4E193667" w:rsidRPr="00545C44" w:rsidRDefault="4E193667" w:rsidP="00545C44">
            <w:pPr>
              <w:jc w:val="center"/>
              <w:rPr>
                <w:rFonts w:eastAsiaTheme="minorEastAsia"/>
                <w:szCs w:val="21"/>
              </w:rPr>
            </w:pPr>
            <w:r w:rsidRPr="00545C44">
              <w:rPr>
                <w:rFonts w:eastAsiaTheme="minorEastAsia"/>
                <w:szCs w:val="21"/>
              </w:rPr>
              <w:t>5,26</w:t>
            </w:r>
          </w:p>
        </w:tc>
        <w:tc>
          <w:tcPr>
            <w:tcW w:w="1083" w:type="dxa"/>
            <w:tcBorders>
              <w:top w:val="single" w:sz="8" w:space="0" w:color="F3CFC1"/>
              <w:left w:val="single" w:sz="4" w:space="0" w:color="000000"/>
              <w:bottom w:val="single" w:sz="4" w:space="0" w:color="000000"/>
              <w:right w:val="single" w:sz="4" w:space="0" w:color="000000"/>
            </w:tcBorders>
            <w:vAlign w:val="center"/>
          </w:tcPr>
          <w:p w14:paraId="0F776B66" w14:textId="5D547C4E" w:rsidR="4E193667" w:rsidRPr="00545C44" w:rsidRDefault="4E193667" w:rsidP="00545C44">
            <w:pPr>
              <w:jc w:val="center"/>
              <w:rPr>
                <w:rFonts w:eastAsiaTheme="minorEastAsia"/>
                <w:szCs w:val="21"/>
              </w:rPr>
            </w:pPr>
            <w:r w:rsidRPr="00545C44">
              <w:rPr>
                <w:rFonts w:eastAsiaTheme="minorEastAsia"/>
                <w:szCs w:val="21"/>
              </w:rPr>
              <w:t>2,57</w:t>
            </w:r>
          </w:p>
        </w:tc>
        <w:tc>
          <w:tcPr>
            <w:tcW w:w="1083" w:type="dxa"/>
            <w:tcBorders>
              <w:top w:val="single" w:sz="8" w:space="0" w:color="F3CFC1"/>
              <w:left w:val="single" w:sz="4" w:space="0" w:color="000000"/>
              <w:bottom w:val="single" w:sz="4" w:space="0" w:color="000000"/>
              <w:right w:val="single" w:sz="4" w:space="0" w:color="000000"/>
            </w:tcBorders>
            <w:vAlign w:val="center"/>
          </w:tcPr>
          <w:p w14:paraId="17F147E8" w14:textId="48F1D33F" w:rsidR="4E193667" w:rsidRPr="00545C44" w:rsidRDefault="4E193667" w:rsidP="00545C44">
            <w:pPr>
              <w:jc w:val="center"/>
              <w:rPr>
                <w:rFonts w:eastAsiaTheme="minorEastAsia"/>
                <w:szCs w:val="21"/>
              </w:rPr>
            </w:pPr>
            <w:r w:rsidRPr="00545C44">
              <w:rPr>
                <w:rFonts w:eastAsiaTheme="minorEastAsia"/>
                <w:szCs w:val="21"/>
              </w:rPr>
              <w:t>12,77</w:t>
            </w:r>
          </w:p>
        </w:tc>
        <w:tc>
          <w:tcPr>
            <w:tcW w:w="1083" w:type="dxa"/>
            <w:tcBorders>
              <w:top w:val="single" w:sz="8" w:space="0" w:color="F3CFC1"/>
              <w:left w:val="single" w:sz="4" w:space="0" w:color="000000"/>
              <w:bottom w:val="single" w:sz="4" w:space="0" w:color="000000"/>
              <w:right w:val="single" w:sz="4" w:space="0" w:color="000000"/>
            </w:tcBorders>
            <w:vAlign w:val="center"/>
          </w:tcPr>
          <w:p w14:paraId="7EC96AD5" w14:textId="0F18D819" w:rsidR="4E193667" w:rsidRPr="00545C44" w:rsidRDefault="4E193667" w:rsidP="00545C44">
            <w:pPr>
              <w:jc w:val="center"/>
              <w:rPr>
                <w:rFonts w:eastAsiaTheme="minorEastAsia"/>
                <w:szCs w:val="21"/>
              </w:rPr>
            </w:pPr>
            <w:r w:rsidRPr="00545C44">
              <w:rPr>
                <w:rFonts w:eastAsiaTheme="minorEastAsia"/>
                <w:szCs w:val="21"/>
              </w:rPr>
              <w:t>6,35</w:t>
            </w:r>
          </w:p>
        </w:tc>
      </w:tr>
    </w:tbl>
    <w:p w14:paraId="03C05E48" w14:textId="5C34A94B"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FINA, 2012., 2013., 2014., 2015., 2016., 2017., 2018.</w:t>
      </w:r>
      <w:r w:rsidR="39BB1BAB" w:rsidRPr="006207AF">
        <w:rPr>
          <w:rFonts w:eastAsia="ArialNarrow" w:cstheme="minorHAnsi"/>
          <w:i/>
          <w:color w:val="ABABAB" w:themeColor="text1" w:themeTint="A6"/>
          <w:sz w:val="16"/>
          <w:szCs w:val="16"/>
        </w:rPr>
        <w:t xml:space="preserve"> i 2019.</w:t>
      </w:r>
      <w:r w:rsidR="004A3ED6" w:rsidRPr="006207AF">
        <w:rPr>
          <w:rFonts w:eastAsia="ArialNarrow" w:cstheme="minorHAnsi"/>
          <w:i/>
          <w:color w:val="ABABAB" w:themeColor="text1" w:themeTint="A6"/>
          <w:sz w:val="16"/>
          <w:szCs w:val="16"/>
        </w:rPr>
        <w:t xml:space="preserve"> godina</w:t>
      </w:r>
    </w:p>
    <w:p w14:paraId="70D4A9C6" w14:textId="1AA4E00C" w:rsidR="00C85D76" w:rsidRPr="00C85D76" w:rsidRDefault="008878A0" w:rsidP="004413C7">
      <w:pPr>
        <w:ind w:left="116" w:right="72"/>
        <w:rPr>
          <w:rFonts w:eastAsia="Arial Narrow" w:cstheme="minorHAnsi"/>
          <w:spacing w:val="-1"/>
          <w:sz w:val="22"/>
          <w:szCs w:val="22"/>
        </w:rPr>
        <w:sectPr w:rsidR="00C85D76" w:rsidRPr="00C85D76" w:rsidSect="005514E8">
          <w:pgSz w:w="16840" w:h="11900" w:orient="landscape"/>
          <w:pgMar w:top="1298" w:right="1338" w:bottom="1298" w:left="278" w:header="0" w:footer="1006" w:gutter="0"/>
          <w:cols w:space="720"/>
        </w:sectPr>
      </w:pPr>
      <w:r>
        <w:rPr>
          <w:rFonts w:eastAsia="Arial Narrow" w:cstheme="minorHAnsi"/>
          <w:spacing w:val="-1"/>
        </w:rPr>
        <w:tab/>
        <w:t xml:space="preserve"> </w:t>
      </w:r>
    </w:p>
    <w:p w14:paraId="14DA1610" w14:textId="412E5348" w:rsidR="008878A0" w:rsidRDefault="00B601EE" w:rsidP="0052192B">
      <w:pPr>
        <w:pStyle w:val="Naslov2"/>
      </w:pPr>
      <w:bookmarkStart w:id="153" w:name="_Toc85181332"/>
      <w:r>
        <w:lastRenderedPageBreak/>
        <w:t>10</w:t>
      </w:r>
      <w:r w:rsidR="008878A0">
        <w:t>.</w:t>
      </w:r>
      <w:r w:rsidR="007D6366">
        <w:t>6</w:t>
      </w:r>
      <w:r w:rsidR="008878A0">
        <w:t>. Izravna strana ulaganja</w:t>
      </w:r>
      <w:bookmarkEnd w:id="153"/>
    </w:p>
    <w:p w14:paraId="0D8D1BF0" w14:textId="77777777" w:rsidR="008878A0" w:rsidRDefault="008878A0" w:rsidP="00941871">
      <w:pPr>
        <w:spacing w:before="3" w:line="280" w:lineRule="exact"/>
        <w:rPr>
          <w:sz w:val="28"/>
          <w:szCs w:val="28"/>
        </w:rPr>
      </w:pPr>
    </w:p>
    <w:p w14:paraId="79757B89" w14:textId="53D72856" w:rsidR="008878A0" w:rsidRDefault="008878A0" w:rsidP="00941871">
      <w:pPr>
        <w:spacing w:after="0"/>
        <w:ind w:left="116" w:right="72"/>
        <w:rPr>
          <w:rFonts w:eastAsia="Arial Narrow" w:cstheme="minorHAnsi"/>
          <w:sz w:val="22"/>
          <w:szCs w:val="22"/>
        </w:rPr>
      </w:pPr>
      <w:r>
        <w:rPr>
          <w:rFonts w:eastAsia="Arial Narrow" w:cstheme="minorHAnsi"/>
        </w:rPr>
        <w:t>I</w:t>
      </w:r>
      <w:r>
        <w:rPr>
          <w:rFonts w:eastAsia="Arial Narrow" w:cstheme="minorHAnsi"/>
          <w:spacing w:val="1"/>
        </w:rPr>
        <w:t>z</w:t>
      </w:r>
      <w:r>
        <w:rPr>
          <w:rFonts w:eastAsia="Arial Narrow" w:cstheme="minorHAnsi"/>
        </w:rPr>
        <w:t>ra</w:t>
      </w:r>
      <w:r>
        <w:rPr>
          <w:rFonts w:eastAsia="Arial Narrow" w:cstheme="minorHAnsi"/>
          <w:spacing w:val="1"/>
        </w:rPr>
        <w:t>v</w:t>
      </w:r>
      <w:r>
        <w:rPr>
          <w:rFonts w:eastAsia="Arial Narrow" w:cstheme="minorHAnsi"/>
        </w:rPr>
        <w:t xml:space="preserve">na </w:t>
      </w:r>
      <w:r>
        <w:rPr>
          <w:rFonts w:eastAsia="Arial Narrow" w:cstheme="minorHAnsi"/>
          <w:spacing w:val="1"/>
        </w:rPr>
        <w:t>s</w:t>
      </w:r>
      <w:r>
        <w:rPr>
          <w:rFonts w:eastAsia="Arial Narrow" w:cstheme="minorHAnsi"/>
        </w:rPr>
        <w:t>t</w:t>
      </w:r>
      <w:r>
        <w:rPr>
          <w:rFonts w:eastAsia="Arial Narrow" w:cstheme="minorHAnsi"/>
          <w:spacing w:val="-3"/>
        </w:rPr>
        <w:t>r</w:t>
      </w:r>
      <w:r>
        <w:rPr>
          <w:rFonts w:eastAsia="Arial Narrow" w:cstheme="minorHAnsi"/>
        </w:rPr>
        <w:t>ana u</w:t>
      </w:r>
      <w:r>
        <w:rPr>
          <w:rFonts w:eastAsia="Arial Narrow" w:cstheme="minorHAnsi"/>
          <w:spacing w:val="1"/>
        </w:rPr>
        <w:t>l</w:t>
      </w:r>
      <w:r>
        <w:rPr>
          <w:rFonts w:eastAsia="Arial Narrow" w:cstheme="minorHAnsi"/>
        </w:rPr>
        <w:t>ag</w:t>
      </w:r>
      <w:r>
        <w:rPr>
          <w:rFonts w:eastAsia="Arial Narrow" w:cstheme="minorHAnsi"/>
          <w:spacing w:val="-2"/>
        </w:rPr>
        <w:t>a</w:t>
      </w:r>
      <w:r>
        <w:rPr>
          <w:rFonts w:eastAsia="Arial Narrow" w:cstheme="minorHAnsi"/>
        </w:rPr>
        <w:t>n</w:t>
      </w:r>
      <w:r>
        <w:rPr>
          <w:rFonts w:eastAsia="Arial Narrow" w:cstheme="minorHAnsi"/>
          <w:spacing w:val="1"/>
        </w:rPr>
        <w:t>j</w:t>
      </w:r>
      <w:r>
        <w:rPr>
          <w:rFonts w:eastAsia="Arial Narrow" w:cstheme="minorHAnsi"/>
        </w:rPr>
        <w:t>a u</w:t>
      </w:r>
      <w:r>
        <w:rPr>
          <w:rFonts w:eastAsia="Arial Narrow" w:cstheme="minorHAnsi"/>
          <w:spacing w:val="2"/>
        </w:rPr>
        <w:t xml:space="preserve"> </w:t>
      </w:r>
      <w:r>
        <w:rPr>
          <w:rFonts w:eastAsia="Arial Narrow" w:cstheme="minorHAnsi"/>
          <w:spacing w:val="-3"/>
        </w:rPr>
        <w:t>K</w:t>
      </w:r>
      <w:r>
        <w:rPr>
          <w:rFonts w:eastAsia="Arial Narrow" w:cstheme="minorHAnsi"/>
        </w:rPr>
        <w:t>rap</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o-</w:t>
      </w:r>
      <w:r>
        <w:rPr>
          <w:rFonts w:eastAsia="Arial Narrow" w:cstheme="minorHAnsi"/>
          <w:spacing w:val="1"/>
        </w:rPr>
        <w:t>z</w:t>
      </w:r>
      <w:r>
        <w:rPr>
          <w:rFonts w:eastAsia="Arial Narrow" w:cstheme="minorHAnsi"/>
          <w:spacing w:val="-2"/>
        </w:rPr>
        <w:t>a</w:t>
      </w:r>
      <w:r>
        <w:rPr>
          <w:rFonts w:eastAsia="Arial Narrow" w:cstheme="minorHAnsi"/>
        </w:rPr>
        <w:t>gor</w:t>
      </w:r>
      <w:r>
        <w:rPr>
          <w:rFonts w:eastAsia="Arial Narrow" w:cstheme="minorHAnsi"/>
          <w:spacing w:val="-2"/>
        </w:rPr>
        <w:t>s</w:t>
      </w:r>
      <w:r>
        <w:rPr>
          <w:rFonts w:eastAsia="Arial Narrow" w:cstheme="minorHAnsi"/>
          <w:spacing w:val="1"/>
        </w:rPr>
        <w:t>k</w:t>
      </w:r>
      <w:r>
        <w:rPr>
          <w:rFonts w:eastAsia="Arial Narrow" w:cstheme="minorHAnsi"/>
        </w:rPr>
        <w:t>oj</w:t>
      </w:r>
      <w:r>
        <w:rPr>
          <w:rFonts w:eastAsia="Arial Narrow" w:cstheme="minorHAnsi"/>
          <w:spacing w:val="1"/>
        </w:rPr>
        <w:t xml:space="preserve"> ž</w:t>
      </w:r>
      <w:r>
        <w:rPr>
          <w:rFonts w:eastAsia="Arial Narrow" w:cstheme="minorHAnsi"/>
        </w:rPr>
        <w:t>u</w:t>
      </w:r>
      <w:r>
        <w:rPr>
          <w:rFonts w:eastAsia="Arial Narrow" w:cstheme="minorHAnsi"/>
          <w:spacing w:val="-2"/>
        </w:rPr>
        <w:t>p</w:t>
      </w:r>
      <w:r>
        <w:rPr>
          <w:rFonts w:eastAsia="Arial Narrow" w:cstheme="minorHAnsi"/>
        </w:rPr>
        <w:t>an</w:t>
      </w:r>
      <w:r>
        <w:rPr>
          <w:rFonts w:eastAsia="Arial Narrow" w:cstheme="minorHAnsi"/>
          <w:spacing w:val="1"/>
        </w:rPr>
        <w:t>i</w:t>
      </w:r>
      <w:r>
        <w:rPr>
          <w:rFonts w:eastAsia="Arial Narrow" w:cstheme="minorHAnsi"/>
          <w:spacing w:val="-2"/>
        </w:rPr>
        <w:t>j</w:t>
      </w:r>
      <w:r>
        <w:rPr>
          <w:rFonts w:eastAsia="Arial Narrow" w:cstheme="minorHAnsi"/>
        </w:rPr>
        <w:t>i</w:t>
      </w:r>
      <w:r>
        <w:rPr>
          <w:rFonts w:eastAsia="Arial Narrow" w:cstheme="minorHAnsi"/>
          <w:spacing w:val="3"/>
        </w:rPr>
        <w:t xml:space="preserve"> </w:t>
      </w:r>
      <w:r w:rsidR="008473A1">
        <w:rPr>
          <w:rFonts w:eastAsia="Arial Narrow" w:cstheme="minorHAnsi"/>
          <w:spacing w:val="-2"/>
        </w:rPr>
        <w:t>fluktuiraju</w:t>
      </w:r>
      <w:r>
        <w:rPr>
          <w:rFonts w:eastAsia="Arial Narrow" w:cstheme="minorHAnsi"/>
        </w:rPr>
        <w:t xml:space="preserve"> u p</w:t>
      </w:r>
      <w:r>
        <w:rPr>
          <w:rFonts w:eastAsia="Arial Narrow" w:cstheme="minorHAnsi"/>
          <w:spacing w:val="-3"/>
        </w:rPr>
        <w:t>r</w:t>
      </w:r>
      <w:r>
        <w:rPr>
          <w:rFonts w:eastAsia="Arial Narrow" w:cstheme="minorHAnsi"/>
        </w:rPr>
        <w:t>omatran</w:t>
      </w:r>
      <w:r>
        <w:rPr>
          <w:rFonts w:eastAsia="Arial Narrow" w:cstheme="minorHAnsi"/>
          <w:spacing w:val="-2"/>
        </w:rPr>
        <w:t>o</w:t>
      </w:r>
      <w:r>
        <w:rPr>
          <w:rFonts w:eastAsia="Arial Narrow" w:cstheme="minorHAnsi"/>
        </w:rPr>
        <w:t>m</w:t>
      </w:r>
      <w:r>
        <w:rPr>
          <w:rFonts w:eastAsia="Arial Narrow" w:cstheme="minorHAnsi"/>
          <w:spacing w:val="3"/>
        </w:rPr>
        <w:t xml:space="preserve"> </w:t>
      </w:r>
      <w:r>
        <w:rPr>
          <w:rFonts w:eastAsia="Arial Narrow" w:cstheme="minorHAnsi"/>
        </w:rPr>
        <w:t>r</w:t>
      </w:r>
      <w:r>
        <w:rPr>
          <w:rFonts w:eastAsia="Arial Narrow" w:cstheme="minorHAnsi"/>
          <w:spacing w:val="-2"/>
        </w:rPr>
        <w:t>a</w:t>
      </w:r>
      <w:r>
        <w:rPr>
          <w:rFonts w:eastAsia="Arial Narrow" w:cstheme="minorHAnsi"/>
          <w:spacing w:val="1"/>
        </w:rPr>
        <w:t>z</w:t>
      </w:r>
      <w:r>
        <w:rPr>
          <w:rFonts w:eastAsia="Arial Narrow" w:cstheme="minorHAnsi"/>
        </w:rPr>
        <w:t>do</w:t>
      </w:r>
      <w:r>
        <w:rPr>
          <w:rFonts w:eastAsia="Arial Narrow" w:cstheme="minorHAnsi"/>
          <w:spacing w:val="-2"/>
        </w:rPr>
        <w:t>b</w:t>
      </w:r>
      <w:r>
        <w:rPr>
          <w:rFonts w:eastAsia="Arial Narrow" w:cstheme="minorHAnsi"/>
          <w:spacing w:val="1"/>
        </w:rPr>
        <w:t>lj</w:t>
      </w:r>
      <w:r>
        <w:rPr>
          <w:rFonts w:eastAsia="Arial Narrow" w:cstheme="minorHAnsi"/>
          <w:spacing w:val="-2"/>
        </w:rPr>
        <w:t>u</w:t>
      </w:r>
      <w:r>
        <w:rPr>
          <w:rFonts w:eastAsia="Arial Narrow" w:cstheme="minorHAnsi"/>
        </w:rPr>
        <w:t xml:space="preserve">. </w:t>
      </w:r>
      <w:r>
        <w:rPr>
          <w:rFonts w:eastAsia="Arial Narrow" w:cstheme="minorHAnsi"/>
          <w:spacing w:val="-1"/>
        </w:rPr>
        <w:t>N</w:t>
      </w:r>
      <w:r>
        <w:rPr>
          <w:rFonts w:eastAsia="Arial Narrow" w:cstheme="minorHAnsi"/>
        </w:rPr>
        <w:t>egat</w:t>
      </w:r>
      <w:r>
        <w:rPr>
          <w:rFonts w:eastAsia="Arial Narrow" w:cstheme="minorHAnsi"/>
          <w:spacing w:val="1"/>
        </w:rPr>
        <w:t>iv</w:t>
      </w:r>
      <w:r>
        <w:rPr>
          <w:rFonts w:eastAsia="Arial Narrow" w:cstheme="minorHAnsi"/>
          <w:spacing w:val="-2"/>
        </w:rPr>
        <w:t>n</w:t>
      </w:r>
      <w:r>
        <w:rPr>
          <w:rFonts w:eastAsia="Arial Narrow" w:cstheme="minorHAnsi"/>
        </w:rPr>
        <w:t>i</w:t>
      </w:r>
      <w:r>
        <w:rPr>
          <w:rFonts w:eastAsia="Arial Narrow" w:cstheme="minorHAnsi"/>
          <w:spacing w:val="3"/>
        </w:rPr>
        <w:t xml:space="preserve"> </w:t>
      </w:r>
      <w:r>
        <w:rPr>
          <w:rFonts w:eastAsia="Arial Narrow" w:cstheme="minorHAnsi"/>
        </w:rPr>
        <w:t>pre</w:t>
      </w:r>
      <w:r>
        <w:rPr>
          <w:rFonts w:eastAsia="Arial Narrow" w:cstheme="minorHAnsi"/>
          <w:spacing w:val="-2"/>
        </w:rPr>
        <w:t>d</w:t>
      </w:r>
      <w:r>
        <w:rPr>
          <w:rFonts w:eastAsia="Arial Narrow" w:cstheme="minorHAnsi"/>
          <w:spacing w:val="1"/>
        </w:rPr>
        <w:t>z</w:t>
      </w:r>
      <w:r>
        <w:rPr>
          <w:rFonts w:eastAsia="Arial Narrow" w:cstheme="minorHAnsi"/>
        </w:rPr>
        <w:t xml:space="preserve">nak </w:t>
      </w:r>
      <w:r>
        <w:rPr>
          <w:rFonts w:eastAsia="Arial Narrow" w:cstheme="minorHAnsi"/>
          <w:spacing w:val="1"/>
        </w:rPr>
        <w:t>is</w:t>
      </w:r>
      <w:r>
        <w:rPr>
          <w:rFonts w:eastAsia="Arial Narrow" w:cstheme="minorHAnsi"/>
        </w:rPr>
        <w:t>pr</w:t>
      </w:r>
      <w:r>
        <w:rPr>
          <w:rFonts w:eastAsia="Arial Narrow" w:cstheme="minorHAnsi"/>
          <w:spacing w:val="-2"/>
        </w:rPr>
        <w:t>e</w:t>
      </w:r>
      <w:r>
        <w:rPr>
          <w:rFonts w:eastAsia="Arial Narrow" w:cstheme="minorHAnsi"/>
        </w:rPr>
        <w:t>d</w:t>
      </w:r>
      <w:r>
        <w:rPr>
          <w:rFonts w:eastAsia="Arial Narrow" w:cstheme="minorHAnsi"/>
          <w:spacing w:val="2"/>
        </w:rPr>
        <w:t xml:space="preserve"> </w:t>
      </w:r>
      <w:r>
        <w:rPr>
          <w:rFonts w:eastAsia="Arial Narrow" w:cstheme="minorHAnsi"/>
          <w:spacing w:val="1"/>
        </w:rPr>
        <w:t>i</w:t>
      </w:r>
      <w:r>
        <w:rPr>
          <w:rFonts w:eastAsia="Arial Narrow" w:cstheme="minorHAnsi"/>
          <w:spacing w:val="-2"/>
        </w:rPr>
        <w:t>zn</w:t>
      </w:r>
      <w:r>
        <w:rPr>
          <w:rFonts w:eastAsia="Arial Narrow" w:cstheme="minorHAnsi"/>
        </w:rPr>
        <w:t>o</w:t>
      </w:r>
      <w:r>
        <w:rPr>
          <w:rFonts w:eastAsia="Arial Narrow" w:cstheme="minorHAnsi"/>
          <w:spacing w:val="1"/>
        </w:rPr>
        <w:t>s</w:t>
      </w:r>
      <w:r>
        <w:rPr>
          <w:rFonts w:eastAsia="Arial Narrow" w:cstheme="minorHAnsi"/>
        </w:rPr>
        <w:t>a</w:t>
      </w:r>
      <w:r>
        <w:rPr>
          <w:rFonts w:eastAsia="Arial Narrow" w:cstheme="minorHAnsi"/>
          <w:spacing w:val="2"/>
        </w:rPr>
        <w:t xml:space="preserve"> </w:t>
      </w:r>
      <w:r>
        <w:rPr>
          <w:rFonts w:eastAsia="Arial Narrow" w:cstheme="minorHAnsi"/>
        </w:rPr>
        <w:t>u</w:t>
      </w:r>
      <w:r>
        <w:rPr>
          <w:rFonts w:eastAsia="Arial Narrow" w:cstheme="minorHAnsi"/>
          <w:spacing w:val="1"/>
        </w:rPr>
        <w:t>l</w:t>
      </w:r>
      <w:r>
        <w:rPr>
          <w:rFonts w:eastAsia="Arial Narrow" w:cstheme="minorHAnsi"/>
          <w:spacing w:val="-2"/>
        </w:rPr>
        <w:t>a</w:t>
      </w:r>
      <w:r>
        <w:rPr>
          <w:rFonts w:eastAsia="Arial Narrow" w:cstheme="minorHAnsi"/>
        </w:rPr>
        <w:t>gan</w:t>
      </w:r>
      <w:r>
        <w:rPr>
          <w:rFonts w:eastAsia="Arial Narrow" w:cstheme="minorHAnsi"/>
          <w:spacing w:val="-2"/>
        </w:rPr>
        <w:t>j</w:t>
      </w:r>
      <w:r>
        <w:rPr>
          <w:rFonts w:eastAsia="Arial Narrow" w:cstheme="minorHAnsi"/>
        </w:rPr>
        <w:t>a</w:t>
      </w:r>
      <w:r>
        <w:rPr>
          <w:rFonts w:eastAsia="Arial Narrow" w:cstheme="minorHAnsi"/>
          <w:spacing w:val="2"/>
        </w:rPr>
        <w:t xml:space="preserve"> </w:t>
      </w:r>
      <w:r>
        <w:rPr>
          <w:rFonts w:eastAsia="Arial Narrow" w:cstheme="minorHAnsi"/>
          <w:spacing w:val="1"/>
        </w:rPr>
        <w:t>z</w:t>
      </w:r>
      <w:r>
        <w:rPr>
          <w:rFonts w:eastAsia="Arial Narrow" w:cstheme="minorHAnsi"/>
        </w:rPr>
        <w:t>n</w:t>
      </w:r>
      <w:r>
        <w:rPr>
          <w:rFonts w:eastAsia="Arial Narrow" w:cstheme="minorHAnsi"/>
          <w:spacing w:val="-2"/>
        </w:rPr>
        <w:t>a</w:t>
      </w:r>
      <w:r>
        <w:rPr>
          <w:rFonts w:eastAsia="Arial Narrow" w:cstheme="minorHAnsi"/>
          <w:spacing w:val="1"/>
        </w:rPr>
        <w:t>č</w:t>
      </w:r>
      <w:r>
        <w:rPr>
          <w:rFonts w:eastAsia="Arial Narrow" w:cstheme="minorHAnsi"/>
        </w:rPr>
        <w:t>i</w:t>
      </w:r>
      <w:r>
        <w:rPr>
          <w:rFonts w:eastAsia="Arial Narrow" w:cstheme="minorHAnsi"/>
          <w:spacing w:val="3"/>
        </w:rPr>
        <w:t xml:space="preserve"> </w:t>
      </w:r>
      <w:r>
        <w:rPr>
          <w:rFonts w:eastAsia="Arial Narrow" w:cstheme="minorHAnsi"/>
        </w:rPr>
        <w:t>n</w:t>
      </w:r>
      <w:r>
        <w:rPr>
          <w:rFonts w:eastAsia="Arial Narrow" w:cstheme="minorHAnsi"/>
          <w:spacing w:val="-2"/>
        </w:rPr>
        <w:t>e</w:t>
      </w:r>
      <w:r>
        <w:rPr>
          <w:rFonts w:eastAsia="Arial Narrow" w:cstheme="minorHAnsi"/>
        </w:rPr>
        <w:t>to</w:t>
      </w:r>
      <w:r>
        <w:rPr>
          <w:rFonts w:eastAsia="Arial Narrow" w:cstheme="minorHAnsi"/>
          <w:spacing w:val="2"/>
        </w:rPr>
        <w:t xml:space="preserve"> </w:t>
      </w:r>
      <w:r>
        <w:rPr>
          <w:rFonts w:eastAsia="Arial Narrow" w:cstheme="minorHAnsi"/>
        </w:rPr>
        <w:t>po</w:t>
      </w:r>
      <w:r>
        <w:rPr>
          <w:rFonts w:eastAsia="Arial Narrow" w:cstheme="minorHAnsi"/>
          <w:spacing w:val="-2"/>
        </w:rPr>
        <w:t>v</w:t>
      </w:r>
      <w:r>
        <w:rPr>
          <w:rFonts w:eastAsia="Arial Narrow" w:cstheme="minorHAnsi"/>
          <w:spacing w:val="1"/>
        </w:rPr>
        <w:t>l</w:t>
      </w:r>
      <w:r>
        <w:rPr>
          <w:rFonts w:eastAsia="Arial Narrow" w:cstheme="minorHAnsi"/>
          <w:spacing w:val="-2"/>
        </w:rPr>
        <w:t>a</w:t>
      </w:r>
      <w:r>
        <w:rPr>
          <w:rFonts w:eastAsia="Arial Narrow" w:cstheme="minorHAnsi"/>
          <w:spacing w:val="1"/>
        </w:rPr>
        <w:t>č</w:t>
      </w:r>
      <w:r>
        <w:rPr>
          <w:rFonts w:eastAsia="Arial Narrow" w:cstheme="minorHAnsi"/>
        </w:rPr>
        <w:t>en</w:t>
      </w:r>
      <w:r>
        <w:rPr>
          <w:rFonts w:eastAsia="Arial Narrow" w:cstheme="minorHAnsi"/>
          <w:spacing w:val="1"/>
        </w:rPr>
        <w:t>j</w:t>
      </w:r>
      <w:r>
        <w:rPr>
          <w:rFonts w:eastAsia="Arial Narrow" w:cstheme="minorHAnsi"/>
        </w:rPr>
        <w:t>e</w:t>
      </w:r>
      <w:r>
        <w:rPr>
          <w:rFonts w:eastAsia="Arial Narrow" w:cstheme="minorHAnsi"/>
          <w:spacing w:val="2"/>
        </w:rPr>
        <w:t xml:space="preserve"> </w:t>
      </w:r>
      <w:r>
        <w:rPr>
          <w:rFonts w:eastAsia="Arial Narrow" w:cstheme="minorHAnsi"/>
          <w:spacing w:val="-2"/>
        </w:rPr>
        <w:t>u</w:t>
      </w:r>
      <w:r>
        <w:rPr>
          <w:rFonts w:eastAsia="Arial Narrow" w:cstheme="minorHAnsi"/>
          <w:spacing w:val="1"/>
        </w:rPr>
        <w:t>l</w:t>
      </w:r>
      <w:r>
        <w:rPr>
          <w:rFonts w:eastAsia="Arial Narrow" w:cstheme="minorHAnsi"/>
        </w:rPr>
        <w:t>ag</w:t>
      </w:r>
      <w:r>
        <w:rPr>
          <w:rFonts w:eastAsia="Arial Narrow" w:cstheme="minorHAnsi"/>
          <w:spacing w:val="-2"/>
        </w:rPr>
        <w:t>a</w:t>
      </w:r>
      <w:r>
        <w:rPr>
          <w:rFonts w:eastAsia="Arial Narrow" w:cstheme="minorHAnsi"/>
        </w:rPr>
        <w:t>n</w:t>
      </w:r>
      <w:r>
        <w:rPr>
          <w:rFonts w:eastAsia="Arial Narrow" w:cstheme="minorHAnsi"/>
          <w:spacing w:val="1"/>
        </w:rPr>
        <w:t>j</w:t>
      </w:r>
      <w:r>
        <w:rPr>
          <w:rFonts w:eastAsia="Arial Narrow" w:cstheme="minorHAnsi"/>
        </w:rPr>
        <w:t>a</w:t>
      </w:r>
      <w:r>
        <w:rPr>
          <w:rFonts w:eastAsia="Arial Narrow" w:cstheme="minorHAnsi"/>
          <w:spacing w:val="2"/>
        </w:rPr>
        <w:t xml:space="preserve"> </w:t>
      </w:r>
      <w:r>
        <w:rPr>
          <w:rFonts w:eastAsia="Arial Narrow" w:cstheme="minorHAnsi"/>
          <w:spacing w:val="-2"/>
        </w:rPr>
        <w:t>z</w:t>
      </w:r>
      <w:r>
        <w:rPr>
          <w:rFonts w:eastAsia="Arial Narrow" w:cstheme="minorHAnsi"/>
        </w:rPr>
        <w:t>a</w:t>
      </w:r>
      <w:r>
        <w:rPr>
          <w:rFonts w:eastAsia="Arial Narrow" w:cstheme="minorHAnsi"/>
          <w:spacing w:val="2"/>
        </w:rPr>
        <w:t xml:space="preserve"> </w:t>
      </w:r>
      <w:r>
        <w:rPr>
          <w:rFonts w:eastAsia="Arial Narrow" w:cstheme="minorHAnsi"/>
        </w:rPr>
        <w:t>ra</w:t>
      </w:r>
      <w:r>
        <w:rPr>
          <w:rFonts w:eastAsia="Arial Narrow" w:cstheme="minorHAnsi"/>
          <w:spacing w:val="1"/>
        </w:rPr>
        <w:t>z</w:t>
      </w:r>
      <w:r>
        <w:rPr>
          <w:rFonts w:eastAsia="Arial Narrow" w:cstheme="minorHAnsi"/>
          <w:spacing w:val="-2"/>
        </w:rPr>
        <w:t>d</w:t>
      </w:r>
      <w:r>
        <w:rPr>
          <w:rFonts w:eastAsia="Arial Narrow" w:cstheme="minorHAnsi"/>
        </w:rPr>
        <w:t>ob</w:t>
      </w:r>
      <w:r>
        <w:rPr>
          <w:rFonts w:eastAsia="Arial Narrow" w:cstheme="minorHAnsi"/>
          <w:spacing w:val="1"/>
        </w:rPr>
        <w:t>l</w:t>
      </w:r>
      <w:r>
        <w:rPr>
          <w:rFonts w:eastAsia="Arial Narrow" w:cstheme="minorHAnsi"/>
          <w:spacing w:val="-2"/>
        </w:rPr>
        <w:t>j</w:t>
      </w:r>
      <w:r>
        <w:rPr>
          <w:rFonts w:eastAsia="Arial Narrow" w:cstheme="minorHAnsi"/>
        </w:rPr>
        <w:t>e</w:t>
      </w:r>
      <w:r>
        <w:rPr>
          <w:rFonts w:eastAsia="Arial Narrow" w:cstheme="minorHAnsi"/>
          <w:spacing w:val="2"/>
        </w:rPr>
        <w:t xml:space="preserve"> </w:t>
      </w:r>
      <w:r>
        <w:rPr>
          <w:rFonts w:eastAsia="Arial Narrow" w:cstheme="minorHAnsi"/>
          <w:spacing w:val="1"/>
        </w:rPr>
        <w:t>z</w:t>
      </w:r>
      <w:r>
        <w:rPr>
          <w:rFonts w:eastAsia="Arial Narrow" w:cstheme="minorHAnsi"/>
        </w:rPr>
        <w:t xml:space="preserve">a </w:t>
      </w:r>
      <w:r>
        <w:rPr>
          <w:rFonts w:eastAsia="Arial Narrow" w:cstheme="minorHAnsi"/>
          <w:spacing w:val="1"/>
        </w:rPr>
        <w:t>k</w:t>
      </w:r>
      <w:r>
        <w:rPr>
          <w:rFonts w:eastAsia="Arial Narrow" w:cstheme="minorHAnsi"/>
        </w:rPr>
        <w:t>o</w:t>
      </w:r>
      <w:r>
        <w:rPr>
          <w:rFonts w:eastAsia="Arial Narrow" w:cstheme="minorHAnsi"/>
          <w:spacing w:val="1"/>
        </w:rPr>
        <w:t>j</w:t>
      </w:r>
      <w:r>
        <w:rPr>
          <w:rFonts w:eastAsia="Arial Narrow" w:cstheme="minorHAnsi"/>
        </w:rPr>
        <w:t>e</w:t>
      </w:r>
      <w:r>
        <w:rPr>
          <w:rFonts w:eastAsia="Arial Narrow" w:cstheme="minorHAnsi"/>
          <w:spacing w:val="2"/>
        </w:rPr>
        <w:t xml:space="preserve"> </w:t>
      </w:r>
      <w:r>
        <w:rPr>
          <w:rFonts w:eastAsia="Arial Narrow" w:cstheme="minorHAnsi"/>
          <w:spacing w:val="-2"/>
        </w:rPr>
        <w:t>j</w:t>
      </w:r>
      <w:r>
        <w:rPr>
          <w:rFonts w:eastAsia="Arial Narrow" w:cstheme="minorHAnsi"/>
        </w:rPr>
        <w:t>e</w:t>
      </w:r>
      <w:r>
        <w:rPr>
          <w:rFonts w:eastAsia="Arial Narrow" w:cstheme="minorHAnsi"/>
          <w:spacing w:val="2"/>
        </w:rPr>
        <w:t xml:space="preserve"> </w:t>
      </w:r>
      <w:r>
        <w:rPr>
          <w:rFonts w:eastAsia="Arial Narrow" w:cstheme="minorHAnsi"/>
          <w:spacing w:val="1"/>
        </w:rPr>
        <w:t>iz</w:t>
      </w:r>
      <w:r>
        <w:rPr>
          <w:rFonts w:eastAsia="Arial Narrow" w:cstheme="minorHAnsi"/>
          <w:spacing w:val="-2"/>
        </w:rPr>
        <w:t>n</w:t>
      </w:r>
      <w:r>
        <w:rPr>
          <w:rFonts w:eastAsia="Arial Narrow" w:cstheme="minorHAnsi"/>
        </w:rPr>
        <w:t>os</w:t>
      </w:r>
      <w:r>
        <w:rPr>
          <w:rFonts w:eastAsia="Arial Narrow" w:cstheme="minorHAnsi"/>
          <w:spacing w:val="3"/>
        </w:rPr>
        <w:t xml:space="preserve"> </w:t>
      </w:r>
      <w:r>
        <w:rPr>
          <w:rFonts w:eastAsia="Arial Narrow" w:cstheme="minorHAnsi"/>
        </w:rPr>
        <w:t>p</w:t>
      </w:r>
      <w:r>
        <w:rPr>
          <w:rFonts w:eastAsia="Arial Narrow" w:cstheme="minorHAnsi"/>
          <w:spacing w:val="-3"/>
        </w:rPr>
        <w:t>r</w:t>
      </w:r>
      <w:r>
        <w:rPr>
          <w:rFonts w:eastAsia="Arial Narrow" w:cstheme="minorHAnsi"/>
          <w:spacing w:val="1"/>
        </w:rPr>
        <w:t>ik</w:t>
      </w:r>
      <w:r>
        <w:rPr>
          <w:rFonts w:eastAsia="Arial Narrow" w:cstheme="minorHAnsi"/>
          <w:spacing w:val="-2"/>
        </w:rPr>
        <w:t>a</w:t>
      </w:r>
      <w:r>
        <w:rPr>
          <w:rFonts w:eastAsia="Arial Narrow" w:cstheme="minorHAnsi"/>
          <w:spacing w:val="1"/>
        </w:rPr>
        <w:t>z</w:t>
      </w:r>
      <w:r>
        <w:rPr>
          <w:rFonts w:eastAsia="Arial Narrow" w:cstheme="minorHAnsi"/>
        </w:rPr>
        <w:t xml:space="preserve">an. </w:t>
      </w:r>
      <w:r>
        <w:rPr>
          <w:rFonts w:eastAsia="Arial Narrow" w:cstheme="minorHAnsi"/>
          <w:spacing w:val="-1"/>
        </w:rPr>
        <w:t>N</w:t>
      </w:r>
      <w:r>
        <w:rPr>
          <w:rFonts w:eastAsia="Arial Narrow" w:cstheme="minorHAnsi"/>
        </w:rPr>
        <w:t>egat</w:t>
      </w:r>
      <w:r>
        <w:rPr>
          <w:rFonts w:eastAsia="Arial Narrow" w:cstheme="minorHAnsi"/>
          <w:spacing w:val="1"/>
        </w:rPr>
        <w:t>iv</w:t>
      </w:r>
      <w:r>
        <w:rPr>
          <w:rFonts w:eastAsia="Arial Narrow" w:cstheme="minorHAnsi"/>
          <w:spacing w:val="-2"/>
        </w:rPr>
        <w:t>n</w:t>
      </w:r>
      <w:r>
        <w:rPr>
          <w:rFonts w:eastAsia="Arial Narrow" w:cstheme="minorHAnsi"/>
        </w:rPr>
        <w:t>i</w:t>
      </w:r>
      <w:r>
        <w:rPr>
          <w:rFonts w:eastAsia="Arial Narrow" w:cstheme="minorHAnsi"/>
          <w:spacing w:val="1"/>
        </w:rPr>
        <w:t xml:space="preserve"> i</w:t>
      </w:r>
      <w:r>
        <w:rPr>
          <w:rFonts w:eastAsia="Arial Narrow" w:cstheme="minorHAnsi"/>
          <w:spacing w:val="-2"/>
        </w:rPr>
        <w:t>z</w:t>
      </w:r>
      <w:r>
        <w:rPr>
          <w:rFonts w:eastAsia="Arial Narrow" w:cstheme="minorHAnsi"/>
        </w:rPr>
        <w:t>nos</w:t>
      </w:r>
      <w:r>
        <w:rPr>
          <w:rFonts w:eastAsia="Arial Narrow" w:cstheme="minorHAnsi"/>
          <w:spacing w:val="1"/>
        </w:rPr>
        <w:t xml:space="preserve"> </w:t>
      </w:r>
      <w:r>
        <w:rPr>
          <w:rFonts w:eastAsia="Arial Narrow" w:cstheme="minorHAnsi"/>
          <w:spacing w:val="-2"/>
        </w:rPr>
        <w:t>u</w:t>
      </w:r>
      <w:r>
        <w:rPr>
          <w:rFonts w:eastAsia="Arial Narrow" w:cstheme="minorHAnsi"/>
          <w:spacing w:val="1"/>
        </w:rPr>
        <w:t>l</w:t>
      </w:r>
      <w:r>
        <w:rPr>
          <w:rFonts w:eastAsia="Arial Narrow" w:cstheme="minorHAnsi"/>
        </w:rPr>
        <w:t>ag</w:t>
      </w:r>
      <w:r>
        <w:rPr>
          <w:rFonts w:eastAsia="Arial Narrow" w:cstheme="minorHAnsi"/>
          <w:spacing w:val="-2"/>
        </w:rPr>
        <w:t>a</w:t>
      </w:r>
      <w:r>
        <w:rPr>
          <w:rFonts w:eastAsia="Arial Narrow" w:cstheme="minorHAnsi"/>
        </w:rPr>
        <w:t>n</w:t>
      </w:r>
      <w:r>
        <w:rPr>
          <w:rFonts w:eastAsia="Arial Narrow" w:cstheme="minorHAnsi"/>
          <w:spacing w:val="1"/>
        </w:rPr>
        <w:t>j</w:t>
      </w:r>
      <w:r>
        <w:rPr>
          <w:rFonts w:eastAsia="Arial Narrow" w:cstheme="minorHAnsi"/>
        </w:rPr>
        <w:t>a</w:t>
      </w:r>
      <w:r>
        <w:rPr>
          <w:rFonts w:eastAsia="Arial Narrow" w:cstheme="minorHAnsi"/>
          <w:spacing w:val="-2"/>
        </w:rPr>
        <w:t xml:space="preserve"> </w:t>
      </w:r>
      <w:r>
        <w:rPr>
          <w:rFonts w:eastAsia="Arial Narrow" w:cstheme="minorHAnsi"/>
        </w:rPr>
        <w:t>mo</w:t>
      </w:r>
      <w:r>
        <w:rPr>
          <w:rFonts w:eastAsia="Arial Narrow" w:cstheme="minorHAnsi"/>
          <w:spacing w:val="1"/>
        </w:rPr>
        <w:t>ž</w:t>
      </w:r>
      <w:r>
        <w:rPr>
          <w:rFonts w:eastAsia="Arial Narrow" w:cstheme="minorHAnsi"/>
        </w:rPr>
        <w:t>e</w:t>
      </w:r>
      <w:r>
        <w:rPr>
          <w:rFonts w:eastAsia="Arial Narrow" w:cstheme="minorHAnsi"/>
          <w:spacing w:val="-2"/>
        </w:rPr>
        <w:t xml:space="preserve"> </w:t>
      </w:r>
      <w:r>
        <w:rPr>
          <w:rFonts w:eastAsia="Arial Narrow" w:cstheme="minorHAnsi"/>
        </w:rPr>
        <w:t>na</w:t>
      </w:r>
      <w:r>
        <w:rPr>
          <w:rFonts w:eastAsia="Arial Narrow" w:cstheme="minorHAnsi"/>
          <w:spacing w:val="1"/>
        </w:rPr>
        <w:t>s</w:t>
      </w:r>
      <w:r>
        <w:rPr>
          <w:rFonts w:eastAsia="Arial Narrow" w:cstheme="minorHAnsi"/>
        </w:rPr>
        <w:t>ta</w:t>
      </w:r>
      <w:r>
        <w:rPr>
          <w:rFonts w:eastAsia="Arial Narrow" w:cstheme="minorHAnsi"/>
          <w:spacing w:val="-2"/>
        </w:rPr>
        <w:t>t</w:t>
      </w:r>
      <w:r>
        <w:rPr>
          <w:rFonts w:eastAsia="Arial Narrow" w:cstheme="minorHAnsi"/>
        </w:rPr>
        <w:t>i</w:t>
      </w:r>
      <w:r>
        <w:rPr>
          <w:rFonts w:eastAsia="Arial Narrow" w:cstheme="minorHAnsi"/>
          <w:spacing w:val="1"/>
        </w:rPr>
        <w:t xml:space="preserve"> k</w:t>
      </w:r>
      <w:r>
        <w:rPr>
          <w:rFonts w:eastAsia="Arial Narrow" w:cstheme="minorHAnsi"/>
        </w:rPr>
        <w:t>ao</w:t>
      </w:r>
      <w:r>
        <w:rPr>
          <w:rFonts w:eastAsia="Arial Narrow" w:cstheme="minorHAnsi"/>
          <w:spacing w:val="-2"/>
        </w:rPr>
        <w:t xml:space="preserve"> </w:t>
      </w:r>
      <w:r>
        <w:rPr>
          <w:rFonts w:eastAsia="Arial Narrow" w:cstheme="minorHAnsi"/>
        </w:rPr>
        <w:t>po</w:t>
      </w:r>
      <w:r>
        <w:rPr>
          <w:rFonts w:eastAsia="Arial Narrow" w:cstheme="minorHAnsi"/>
          <w:spacing w:val="-2"/>
        </w:rPr>
        <w:t>s</w:t>
      </w:r>
      <w:r>
        <w:rPr>
          <w:rFonts w:eastAsia="Arial Narrow" w:cstheme="minorHAnsi"/>
          <w:spacing w:val="1"/>
        </w:rPr>
        <w:t>lj</w:t>
      </w:r>
      <w:r>
        <w:rPr>
          <w:rFonts w:eastAsia="Arial Narrow" w:cstheme="minorHAnsi"/>
        </w:rPr>
        <w:t>e</w:t>
      </w:r>
      <w:r>
        <w:rPr>
          <w:rFonts w:eastAsia="Arial Narrow" w:cstheme="minorHAnsi"/>
          <w:spacing w:val="-2"/>
        </w:rPr>
        <w:t>d</w:t>
      </w:r>
      <w:r>
        <w:rPr>
          <w:rFonts w:eastAsia="Arial Narrow" w:cstheme="minorHAnsi"/>
          <w:spacing w:val="1"/>
        </w:rPr>
        <w:t>ic</w:t>
      </w:r>
      <w:r>
        <w:rPr>
          <w:rFonts w:eastAsia="Arial Narrow" w:cstheme="minorHAnsi"/>
        </w:rPr>
        <w:t>a:</w:t>
      </w:r>
    </w:p>
    <w:p w14:paraId="2B111D33" w14:textId="77777777" w:rsidR="008878A0" w:rsidRDefault="008878A0" w:rsidP="00941871">
      <w:pPr>
        <w:spacing w:before="2" w:after="0"/>
        <w:ind w:left="476"/>
        <w:rPr>
          <w:rFonts w:eastAsia="Arial Narrow" w:cstheme="minorHAnsi"/>
        </w:rPr>
      </w:pPr>
      <w:r>
        <w:rPr>
          <w:rFonts w:eastAsia="Calibri" w:cstheme="minorHAnsi"/>
        </w:rPr>
        <w:t xml:space="preserve">-    </w:t>
      </w:r>
      <w:r>
        <w:rPr>
          <w:rFonts w:eastAsia="Calibri" w:cstheme="minorHAnsi"/>
          <w:spacing w:val="44"/>
        </w:rPr>
        <w:t xml:space="preserve"> </w:t>
      </w:r>
      <w:r>
        <w:rPr>
          <w:rFonts w:eastAsia="Arial Narrow" w:cstheme="minorHAnsi"/>
        </w:rPr>
        <w:t>po</w:t>
      </w:r>
      <w:r>
        <w:rPr>
          <w:rFonts w:eastAsia="Arial Narrow" w:cstheme="minorHAnsi"/>
          <w:spacing w:val="1"/>
        </w:rPr>
        <w:t>vl</w:t>
      </w:r>
      <w:r>
        <w:rPr>
          <w:rFonts w:eastAsia="Arial Narrow" w:cstheme="minorHAnsi"/>
          <w:spacing w:val="-2"/>
        </w:rPr>
        <w:t>a</w:t>
      </w:r>
      <w:r>
        <w:rPr>
          <w:rFonts w:eastAsia="Arial Narrow" w:cstheme="minorHAnsi"/>
          <w:spacing w:val="1"/>
        </w:rPr>
        <w:t>č</w:t>
      </w:r>
      <w:r>
        <w:rPr>
          <w:rFonts w:eastAsia="Arial Narrow" w:cstheme="minorHAnsi"/>
        </w:rPr>
        <w:t>en</w:t>
      </w:r>
      <w:r>
        <w:rPr>
          <w:rFonts w:eastAsia="Arial Narrow" w:cstheme="minorHAnsi"/>
          <w:spacing w:val="-2"/>
        </w:rPr>
        <w:t>j</w:t>
      </w:r>
      <w:r>
        <w:rPr>
          <w:rFonts w:eastAsia="Arial Narrow" w:cstheme="minorHAnsi"/>
        </w:rPr>
        <w:t>a u</w:t>
      </w:r>
      <w:r>
        <w:rPr>
          <w:rFonts w:eastAsia="Arial Narrow" w:cstheme="minorHAnsi"/>
          <w:spacing w:val="1"/>
        </w:rPr>
        <w:t>l</w:t>
      </w:r>
      <w:r>
        <w:rPr>
          <w:rFonts w:eastAsia="Arial Narrow" w:cstheme="minorHAnsi"/>
          <w:spacing w:val="-2"/>
        </w:rPr>
        <w:t>o</w:t>
      </w:r>
      <w:r>
        <w:rPr>
          <w:rFonts w:eastAsia="Arial Narrow" w:cstheme="minorHAnsi"/>
          <w:spacing w:val="1"/>
        </w:rPr>
        <w:t>ž</w:t>
      </w:r>
      <w:r>
        <w:rPr>
          <w:rFonts w:eastAsia="Arial Narrow" w:cstheme="minorHAnsi"/>
        </w:rPr>
        <w:t>en</w:t>
      </w:r>
      <w:r>
        <w:rPr>
          <w:rFonts w:eastAsia="Arial Narrow" w:cstheme="minorHAnsi"/>
          <w:spacing w:val="-2"/>
        </w:rPr>
        <w:t>o</w:t>
      </w:r>
      <w:r>
        <w:rPr>
          <w:rFonts w:eastAsia="Arial Narrow" w:cstheme="minorHAnsi"/>
        </w:rPr>
        <w:t xml:space="preserve">g </w:t>
      </w:r>
      <w:r>
        <w:rPr>
          <w:rFonts w:eastAsia="Arial Narrow" w:cstheme="minorHAnsi"/>
          <w:spacing w:val="1"/>
        </w:rPr>
        <w:t>k</w:t>
      </w:r>
      <w:r>
        <w:rPr>
          <w:rFonts w:eastAsia="Arial Narrow" w:cstheme="minorHAnsi"/>
        </w:rPr>
        <w:t>a</w:t>
      </w:r>
      <w:r>
        <w:rPr>
          <w:rFonts w:eastAsia="Arial Narrow" w:cstheme="minorHAnsi"/>
          <w:spacing w:val="-2"/>
        </w:rPr>
        <w:t>p</w:t>
      </w:r>
      <w:r>
        <w:rPr>
          <w:rFonts w:eastAsia="Arial Narrow" w:cstheme="minorHAnsi"/>
          <w:spacing w:val="1"/>
        </w:rPr>
        <w:t>i</w:t>
      </w:r>
      <w:r>
        <w:rPr>
          <w:rFonts w:eastAsia="Arial Narrow" w:cstheme="minorHAnsi"/>
        </w:rPr>
        <w:t>ta</w:t>
      </w:r>
      <w:r>
        <w:rPr>
          <w:rFonts w:eastAsia="Arial Narrow" w:cstheme="minorHAnsi"/>
          <w:spacing w:val="1"/>
        </w:rPr>
        <w:t>l</w:t>
      </w:r>
      <w:r>
        <w:rPr>
          <w:rFonts w:eastAsia="Arial Narrow" w:cstheme="minorHAnsi"/>
          <w:spacing w:val="-2"/>
        </w:rPr>
        <w:t>a</w:t>
      </w:r>
      <w:r>
        <w:rPr>
          <w:rFonts w:eastAsia="Arial Narrow" w:cstheme="minorHAnsi"/>
        </w:rPr>
        <w:t>,</w:t>
      </w:r>
    </w:p>
    <w:p w14:paraId="4A99ECB1" w14:textId="77777777" w:rsidR="008878A0" w:rsidRDefault="008878A0" w:rsidP="00941871">
      <w:pPr>
        <w:spacing w:before="24" w:after="0"/>
        <w:ind w:left="476"/>
        <w:rPr>
          <w:rFonts w:eastAsia="Arial Narrow" w:cstheme="minorHAnsi"/>
        </w:rPr>
      </w:pPr>
      <w:r>
        <w:rPr>
          <w:rFonts w:eastAsia="Calibri" w:cstheme="minorHAnsi"/>
        </w:rPr>
        <w:t xml:space="preserve">-    </w:t>
      </w:r>
      <w:r>
        <w:rPr>
          <w:rFonts w:eastAsia="Calibri" w:cstheme="minorHAnsi"/>
          <w:spacing w:val="44"/>
        </w:rPr>
        <w:t xml:space="preserve"> </w:t>
      </w:r>
      <w:r>
        <w:rPr>
          <w:rFonts w:eastAsia="Arial Narrow" w:cstheme="minorHAnsi"/>
        </w:rPr>
        <w:t>proda</w:t>
      </w:r>
      <w:r>
        <w:rPr>
          <w:rFonts w:eastAsia="Arial Narrow" w:cstheme="minorHAnsi"/>
          <w:spacing w:val="1"/>
        </w:rPr>
        <w:t>j</w:t>
      </w:r>
      <w:r>
        <w:rPr>
          <w:rFonts w:eastAsia="Arial Narrow" w:cstheme="minorHAnsi"/>
        </w:rPr>
        <w:t>e</w:t>
      </w:r>
      <w:r>
        <w:rPr>
          <w:rFonts w:eastAsia="Arial Narrow" w:cstheme="minorHAnsi"/>
          <w:spacing w:val="-2"/>
        </w:rPr>
        <w:t xml:space="preserve"> </w:t>
      </w:r>
      <w:r>
        <w:rPr>
          <w:rFonts w:eastAsia="Arial Narrow" w:cstheme="minorHAnsi"/>
        </w:rPr>
        <w:t>po</w:t>
      </w:r>
      <w:r>
        <w:rPr>
          <w:rFonts w:eastAsia="Arial Narrow" w:cstheme="minorHAnsi"/>
          <w:spacing w:val="1"/>
        </w:rPr>
        <w:t>s</w:t>
      </w:r>
      <w:r>
        <w:rPr>
          <w:rFonts w:eastAsia="Arial Narrow" w:cstheme="minorHAnsi"/>
        </w:rPr>
        <w:t>t</w:t>
      </w:r>
      <w:r>
        <w:rPr>
          <w:rFonts w:eastAsia="Arial Narrow" w:cstheme="minorHAnsi"/>
          <w:spacing w:val="-2"/>
        </w:rPr>
        <w:t>o</w:t>
      </w:r>
      <w:r>
        <w:rPr>
          <w:rFonts w:eastAsia="Arial Narrow" w:cstheme="minorHAnsi"/>
          <w:spacing w:val="1"/>
        </w:rPr>
        <w:t>j</w:t>
      </w:r>
      <w:r>
        <w:rPr>
          <w:rFonts w:eastAsia="Arial Narrow" w:cstheme="minorHAnsi"/>
        </w:rPr>
        <w:t>e</w:t>
      </w:r>
      <w:r>
        <w:rPr>
          <w:rFonts w:eastAsia="Arial Narrow" w:cstheme="minorHAnsi"/>
          <w:spacing w:val="-2"/>
        </w:rPr>
        <w:t>ć</w:t>
      </w:r>
      <w:r>
        <w:rPr>
          <w:rFonts w:eastAsia="Arial Narrow" w:cstheme="minorHAnsi"/>
          <w:spacing w:val="1"/>
        </w:rPr>
        <w:t>i</w:t>
      </w:r>
      <w:r>
        <w:rPr>
          <w:rFonts w:eastAsia="Arial Narrow" w:cstheme="minorHAnsi"/>
        </w:rPr>
        <w:t xml:space="preserve">h </w:t>
      </w:r>
      <w:r>
        <w:rPr>
          <w:rFonts w:eastAsia="Arial Narrow" w:cstheme="minorHAnsi"/>
          <w:spacing w:val="-2"/>
        </w:rPr>
        <w:t>v</w:t>
      </w:r>
      <w:r>
        <w:rPr>
          <w:rFonts w:eastAsia="Arial Narrow" w:cstheme="minorHAnsi"/>
          <w:spacing w:val="1"/>
        </w:rPr>
        <w:t>l</w:t>
      </w:r>
      <w:r>
        <w:rPr>
          <w:rFonts w:eastAsia="Arial Narrow" w:cstheme="minorHAnsi"/>
        </w:rPr>
        <w:t>a</w:t>
      </w:r>
      <w:r>
        <w:rPr>
          <w:rFonts w:eastAsia="Arial Narrow" w:cstheme="minorHAnsi"/>
          <w:spacing w:val="1"/>
        </w:rPr>
        <w:t>s</w:t>
      </w:r>
      <w:r>
        <w:rPr>
          <w:rFonts w:eastAsia="Arial Narrow" w:cstheme="minorHAnsi"/>
          <w:spacing w:val="-2"/>
        </w:rPr>
        <w:t>n</w:t>
      </w:r>
      <w:r>
        <w:rPr>
          <w:rFonts w:eastAsia="Arial Narrow" w:cstheme="minorHAnsi"/>
          <w:spacing w:val="1"/>
        </w:rPr>
        <w:t>ič</w:t>
      </w:r>
      <w:r>
        <w:rPr>
          <w:rFonts w:eastAsia="Arial Narrow" w:cstheme="minorHAnsi"/>
          <w:spacing w:val="-2"/>
        </w:rPr>
        <w:t>k</w:t>
      </w:r>
      <w:r>
        <w:rPr>
          <w:rFonts w:eastAsia="Arial Narrow" w:cstheme="minorHAnsi"/>
          <w:spacing w:val="1"/>
        </w:rPr>
        <w:t>i</w:t>
      </w:r>
      <w:r>
        <w:rPr>
          <w:rFonts w:eastAsia="Arial Narrow" w:cstheme="minorHAnsi"/>
        </w:rPr>
        <w:t xml:space="preserve">h </w:t>
      </w:r>
      <w:r>
        <w:rPr>
          <w:rFonts w:eastAsia="Arial Narrow" w:cstheme="minorHAnsi"/>
          <w:spacing w:val="-2"/>
        </w:rPr>
        <w:t>u</w:t>
      </w:r>
      <w:r>
        <w:rPr>
          <w:rFonts w:eastAsia="Arial Narrow" w:cstheme="minorHAnsi"/>
        </w:rPr>
        <w:t>d</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rPr>
        <w:t>a r</w:t>
      </w:r>
      <w:r>
        <w:rPr>
          <w:rFonts w:eastAsia="Arial Narrow" w:cstheme="minorHAnsi"/>
          <w:spacing w:val="-2"/>
        </w:rPr>
        <w:t>e</w:t>
      </w:r>
      <w:r>
        <w:rPr>
          <w:rFonts w:eastAsia="Arial Narrow" w:cstheme="minorHAnsi"/>
          <w:spacing w:val="1"/>
        </w:rPr>
        <w:t>zi</w:t>
      </w:r>
      <w:r>
        <w:rPr>
          <w:rFonts w:eastAsia="Arial Narrow" w:cstheme="minorHAnsi"/>
          <w:spacing w:val="-2"/>
        </w:rPr>
        <w:t>d</w:t>
      </w:r>
      <w:r>
        <w:rPr>
          <w:rFonts w:eastAsia="Arial Narrow" w:cstheme="minorHAnsi"/>
        </w:rPr>
        <w:t>ent</w:t>
      </w:r>
      <w:r>
        <w:rPr>
          <w:rFonts w:eastAsia="Arial Narrow" w:cstheme="minorHAnsi"/>
          <w:spacing w:val="-2"/>
        </w:rPr>
        <w:t>i</w:t>
      </w:r>
      <w:r>
        <w:rPr>
          <w:rFonts w:eastAsia="Arial Narrow" w:cstheme="minorHAnsi"/>
        </w:rPr>
        <w:t>ma,</w:t>
      </w:r>
    </w:p>
    <w:p w14:paraId="0E1A20DD" w14:textId="77777777" w:rsidR="008878A0" w:rsidRDefault="008878A0" w:rsidP="00941871">
      <w:pPr>
        <w:tabs>
          <w:tab w:val="left" w:pos="820"/>
        </w:tabs>
        <w:spacing w:before="26" w:after="0" w:line="259" w:lineRule="auto"/>
        <w:ind w:left="836" w:right="72" w:hanging="360"/>
        <w:rPr>
          <w:rFonts w:eastAsia="Arial Narrow" w:cstheme="minorHAnsi"/>
        </w:rPr>
      </w:pPr>
      <w:r>
        <w:rPr>
          <w:rFonts w:eastAsia="Calibri" w:cstheme="minorHAnsi"/>
        </w:rPr>
        <w:t>-</w:t>
      </w:r>
      <w:r>
        <w:rPr>
          <w:rFonts w:eastAsia="Calibri" w:cstheme="minorHAnsi"/>
        </w:rPr>
        <w:tab/>
      </w:r>
      <w:r>
        <w:rPr>
          <w:rFonts w:eastAsia="Arial Narrow" w:cstheme="minorHAnsi"/>
        </w:rPr>
        <w:t>gub</w:t>
      </w:r>
      <w:r>
        <w:rPr>
          <w:rFonts w:eastAsia="Arial Narrow" w:cstheme="minorHAnsi"/>
          <w:spacing w:val="1"/>
        </w:rPr>
        <w:t>i</w:t>
      </w:r>
      <w:r>
        <w:rPr>
          <w:rFonts w:eastAsia="Arial Narrow" w:cstheme="minorHAnsi"/>
        </w:rPr>
        <w:t>t</w:t>
      </w:r>
      <w:r>
        <w:rPr>
          <w:rFonts w:eastAsia="Arial Narrow" w:cstheme="minorHAnsi"/>
          <w:spacing w:val="-2"/>
        </w:rPr>
        <w:t>a</w:t>
      </w:r>
      <w:r>
        <w:rPr>
          <w:rFonts w:eastAsia="Arial Narrow" w:cstheme="minorHAnsi"/>
          <w:spacing w:val="1"/>
        </w:rPr>
        <w:t>k</w:t>
      </w:r>
      <w:r>
        <w:rPr>
          <w:rFonts w:eastAsia="Arial Narrow" w:cstheme="minorHAnsi"/>
        </w:rPr>
        <w:t>a</w:t>
      </w:r>
      <w:r>
        <w:rPr>
          <w:rFonts w:eastAsia="Arial Narrow" w:cstheme="minorHAnsi"/>
          <w:spacing w:val="15"/>
        </w:rPr>
        <w:t xml:space="preserve"> </w:t>
      </w:r>
      <w:r>
        <w:rPr>
          <w:rFonts w:eastAsia="Arial Narrow" w:cstheme="minorHAnsi"/>
        </w:rPr>
        <w:t>u</w:t>
      </w:r>
      <w:r>
        <w:rPr>
          <w:rFonts w:eastAsia="Arial Narrow" w:cstheme="minorHAnsi"/>
          <w:spacing w:val="15"/>
        </w:rPr>
        <w:t xml:space="preserve"> </w:t>
      </w:r>
      <w:r>
        <w:rPr>
          <w:rFonts w:eastAsia="Arial Narrow" w:cstheme="minorHAnsi"/>
        </w:rPr>
        <w:t>p</w:t>
      </w:r>
      <w:r>
        <w:rPr>
          <w:rFonts w:eastAsia="Arial Narrow" w:cstheme="minorHAnsi"/>
          <w:spacing w:val="-2"/>
        </w:rPr>
        <w:t>o</w:t>
      </w:r>
      <w:r>
        <w:rPr>
          <w:rFonts w:eastAsia="Arial Narrow" w:cstheme="minorHAnsi"/>
          <w:spacing w:val="1"/>
        </w:rPr>
        <w:t>sl</w:t>
      </w:r>
      <w:r>
        <w:rPr>
          <w:rFonts w:eastAsia="Arial Narrow" w:cstheme="minorHAnsi"/>
        </w:rPr>
        <w:t>o</w:t>
      </w:r>
      <w:r>
        <w:rPr>
          <w:rFonts w:eastAsia="Arial Narrow" w:cstheme="minorHAnsi"/>
          <w:spacing w:val="-2"/>
        </w:rPr>
        <w:t>v</w:t>
      </w:r>
      <w:r>
        <w:rPr>
          <w:rFonts w:eastAsia="Arial Narrow" w:cstheme="minorHAnsi"/>
        </w:rPr>
        <w:t>an</w:t>
      </w:r>
      <w:r>
        <w:rPr>
          <w:rFonts w:eastAsia="Arial Narrow" w:cstheme="minorHAnsi"/>
          <w:spacing w:val="1"/>
        </w:rPr>
        <w:t>j</w:t>
      </w:r>
      <w:r>
        <w:rPr>
          <w:rFonts w:eastAsia="Arial Narrow" w:cstheme="minorHAnsi"/>
        </w:rPr>
        <w:t>u</w:t>
      </w:r>
      <w:r>
        <w:rPr>
          <w:rFonts w:eastAsia="Arial Narrow" w:cstheme="minorHAnsi"/>
          <w:spacing w:val="12"/>
        </w:rPr>
        <w:t xml:space="preserve"> </w:t>
      </w:r>
      <w:r>
        <w:rPr>
          <w:rFonts w:eastAsia="Arial Narrow" w:cstheme="minorHAnsi"/>
          <w:spacing w:val="1"/>
        </w:rPr>
        <w:t>il</w:t>
      </w:r>
      <w:r>
        <w:rPr>
          <w:rFonts w:eastAsia="Arial Narrow" w:cstheme="minorHAnsi"/>
        </w:rPr>
        <w:t>i</w:t>
      </w:r>
      <w:r>
        <w:rPr>
          <w:rFonts w:eastAsia="Arial Narrow" w:cstheme="minorHAnsi"/>
          <w:spacing w:val="15"/>
        </w:rPr>
        <w:t xml:space="preserve"> </w:t>
      </w:r>
      <w:r>
        <w:rPr>
          <w:rFonts w:eastAsia="Arial Narrow" w:cstheme="minorHAnsi"/>
          <w:spacing w:val="-2"/>
        </w:rPr>
        <w:t>i</w:t>
      </w:r>
      <w:r>
        <w:rPr>
          <w:rFonts w:eastAsia="Arial Narrow" w:cstheme="minorHAnsi"/>
          <w:spacing w:val="1"/>
        </w:rPr>
        <w:t>s</w:t>
      </w:r>
      <w:r>
        <w:rPr>
          <w:rFonts w:eastAsia="Arial Narrow" w:cstheme="minorHAnsi"/>
        </w:rPr>
        <w:t>p</w:t>
      </w:r>
      <w:r>
        <w:rPr>
          <w:rFonts w:eastAsia="Arial Narrow" w:cstheme="minorHAnsi"/>
          <w:spacing w:val="-2"/>
        </w:rPr>
        <w:t>la</w:t>
      </w:r>
      <w:r>
        <w:rPr>
          <w:rFonts w:eastAsia="Arial Narrow" w:cstheme="minorHAnsi"/>
          <w:spacing w:val="1"/>
        </w:rPr>
        <w:t>ćiv</w:t>
      </w:r>
      <w:r>
        <w:rPr>
          <w:rFonts w:eastAsia="Arial Narrow" w:cstheme="minorHAnsi"/>
        </w:rPr>
        <w:t>a</w:t>
      </w:r>
      <w:r>
        <w:rPr>
          <w:rFonts w:eastAsia="Arial Narrow" w:cstheme="minorHAnsi"/>
          <w:spacing w:val="-2"/>
        </w:rPr>
        <w:t>n</w:t>
      </w:r>
      <w:r>
        <w:rPr>
          <w:rFonts w:eastAsia="Arial Narrow" w:cstheme="minorHAnsi"/>
          <w:spacing w:val="1"/>
        </w:rPr>
        <w:t>j</w:t>
      </w:r>
      <w:r>
        <w:rPr>
          <w:rFonts w:eastAsia="Arial Narrow" w:cstheme="minorHAnsi"/>
        </w:rPr>
        <w:t>a</w:t>
      </w:r>
      <w:r>
        <w:rPr>
          <w:rFonts w:eastAsia="Arial Narrow" w:cstheme="minorHAnsi"/>
          <w:spacing w:val="15"/>
        </w:rPr>
        <w:t xml:space="preserve"> </w:t>
      </w:r>
      <w:r>
        <w:rPr>
          <w:rFonts w:eastAsia="Arial Narrow" w:cstheme="minorHAnsi"/>
        </w:rPr>
        <w:t>d</w:t>
      </w:r>
      <w:r>
        <w:rPr>
          <w:rFonts w:eastAsia="Arial Narrow" w:cstheme="minorHAnsi"/>
          <w:spacing w:val="-2"/>
        </w:rPr>
        <w:t>i</w:t>
      </w:r>
      <w:r>
        <w:rPr>
          <w:rFonts w:eastAsia="Arial Narrow" w:cstheme="minorHAnsi"/>
          <w:spacing w:val="1"/>
        </w:rPr>
        <w:t>vi</w:t>
      </w:r>
      <w:r>
        <w:rPr>
          <w:rFonts w:eastAsia="Arial Narrow" w:cstheme="minorHAnsi"/>
        </w:rPr>
        <w:t>d</w:t>
      </w:r>
      <w:r>
        <w:rPr>
          <w:rFonts w:eastAsia="Arial Narrow" w:cstheme="minorHAnsi"/>
          <w:spacing w:val="-2"/>
        </w:rPr>
        <w:t>e</w:t>
      </w:r>
      <w:r>
        <w:rPr>
          <w:rFonts w:eastAsia="Arial Narrow" w:cstheme="minorHAnsi"/>
        </w:rPr>
        <w:t>ndi</w:t>
      </w:r>
      <w:r>
        <w:rPr>
          <w:rFonts w:eastAsia="Arial Narrow" w:cstheme="minorHAnsi"/>
          <w:spacing w:val="15"/>
        </w:rPr>
        <w:t xml:space="preserve"> </w:t>
      </w:r>
      <w:r>
        <w:rPr>
          <w:rFonts w:eastAsia="Arial Narrow" w:cstheme="minorHAnsi"/>
          <w:spacing w:val="-2"/>
        </w:rPr>
        <w:t>v</w:t>
      </w:r>
      <w:r>
        <w:rPr>
          <w:rFonts w:eastAsia="Arial Narrow" w:cstheme="minorHAnsi"/>
        </w:rPr>
        <w:t>e</w:t>
      </w:r>
      <w:r>
        <w:rPr>
          <w:rFonts w:eastAsia="Arial Narrow" w:cstheme="minorHAnsi"/>
          <w:spacing w:val="1"/>
        </w:rPr>
        <w:t>ć</w:t>
      </w:r>
      <w:r>
        <w:rPr>
          <w:rFonts w:eastAsia="Arial Narrow" w:cstheme="minorHAnsi"/>
          <w:spacing w:val="-2"/>
        </w:rPr>
        <w:t>i</w:t>
      </w:r>
      <w:r>
        <w:rPr>
          <w:rFonts w:eastAsia="Arial Narrow" w:cstheme="minorHAnsi"/>
        </w:rPr>
        <w:t>h</w:t>
      </w:r>
      <w:r>
        <w:rPr>
          <w:rFonts w:eastAsia="Arial Narrow" w:cstheme="minorHAnsi"/>
          <w:spacing w:val="15"/>
        </w:rPr>
        <w:t xml:space="preserve"> </w:t>
      </w:r>
      <w:r>
        <w:rPr>
          <w:rFonts w:eastAsia="Arial Narrow" w:cstheme="minorHAnsi"/>
        </w:rPr>
        <w:t>od</w:t>
      </w:r>
      <w:r>
        <w:rPr>
          <w:rFonts w:eastAsia="Arial Narrow" w:cstheme="minorHAnsi"/>
          <w:spacing w:val="15"/>
        </w:rPr>
        <w:t xml:space="preserve"> </w:t>
      </w:r>
      <w:r>
        <w:rPr>
          <w:rFonts w:eastAsia="Arial Narrow" w:cstheme="minorHAnsi"/>
        </w:rPr>
        <w:t>o</w:t>
      </w:r>
      <w:r>
        <w:rPr>
          <w:rFonts w:eastAsia="Arial Narrow" w:cstheme="minorHAnsi"/>
          <w:spacing w:val="1"/>
        </w:rPr>
        <w:t>s</w:t>
      </w:r>
      <w:r>
        <w:rPr>
          <w:rFonts w:eastAsia="Arial Narrow" w:cstheme="minorHAnsi"/>
          <w:spacing w:val="-2"/>
        </w:rPr>
        <w:t>t</w:t>
      </w:r>
      <w:r>
        <w:rPr>
          <w:rFonts w:eastAsia="Arial Narrow" w:cstheme="minorHAnsi"/>
          <w:spacing w:val="1"/>
        </w:rPr>
        <w:t>v</w:t>
      </w:r>
      <w:r>
        <w:rPr>
          <w:rFonts w:eastAsia="Arial Narrow" w:cstheme="minorHAnsi"/>
        </w:rPr>
        <w:t>arene</w:t>
      </w:r>
      <w:r>
        <w:rPr>
          <w:rFonts w:eastAsia="Arial Narrow" w:cstheme="minorHAnsi"/>
          <w:spacing w:val="15"/>
        </w:rPr>
        <w:t xml:space="preserve"> </w:t>
      </w:r>
      <w:r>
        <w:rPr>
          <w:rFonts w:eastAsia="Arial Narrow" w:cstheme="minorHAnsi"/>
        </w:rPr>
        <w:t>d</w:t>
      </w:r>
      <w:r>
        <w:rPr>
          <w:rFonts w:eastAsia="Arial Narrow" w:cstheme="minorHAnsi"/>
          <w:spacing w:val="-2"/>
        </w:rPr>
        <w:t>o</w:t>
      </w:r>
      <w:r>
        <w:rPr>
          <w:rFonts w:eastAsia="Arial Narrow" w:cstheme="minorHAnsi"/>
        </w:rPr>
        <w:t>b</w:t>
      </w:r>
      <w:r>
        <w:rPr>
          <w:rFonts w:eastAsia="Arial Narrow" w:cstheme="minorHAnsi"/>
          <w:spacing w:val="1"/>
        </w:rPr>
        <w:t>i</w:t>
      </w:r>
      <w:r>
        <w:rPr>
          <w:rFonts w:eastAsia="Arial Narrow" w:cstheme="minorHAnsi"/>
        </w:rPr>
        <w:t>t</w:t>
      </w:r>
      <w:r>
        <w:rPr>
          <w:rFonts w:eastAsia="Arial Narrow" w:cstheme="minorHAnsi"/>
          <w:spacing w:val="1"/>
        </w:rPr>
        <w:t>i</w:t>
      </w:r>
      <w:r>
        <w:rPr>
          <w:rFonts w:eastAsia="Arial Narrow" w:cstheme="minorHAnsi"/>
        </w:rPr>
        <w:t>,</w:t>
      </w:r>
      <w:r>
        <w:rPr>
          <w:rFonts w:eastAsia="Arial Narrow" w:cstheme="minorHAnsi"/>
          <w:spacing w:val="12"/>
        </w:rPr>
        <w:t xml:space="preserve"> </w:t>
      </w:r>
      <w:r>
        <w:rPr>
          <w:rFonts w:eastAsia="Arial Narrow" w:cstheme="minorHAnsi"/>
          <w:spacing w:val="1"/>
        </w:rPr>
        <w:t>k</w:t>
      </w:r>
      <w:r>
        <w:rPr>
          <w:rFonts w:eastAsia="Arial Narrow" w:cstheme="minorHAnsi"/>
        </w:rPr>
        <w:t>o</w:t>
      </w:r>
      <w:r>
        <w:rPr>
          <w:rFonts w:eastAsia="Arial Narrow" w:cstheme="minorHAnsi"/>
          <w:spacing w:val="-2"/>
        </w:rPr>
        <w:t>j</w:t>
      </w:r>
      <w:r>
        <w:rPr>
          <w:rFonts w:eastAsia="Arial Narrow" w:cstheme="minorHAnsi"/>
        </w:rPr>
        <w:t>i</w:t>
      </w:r>
      <w:r>
        <w:rPr>
          <w:rFonts w:eastAsia="Arial Narrow" w:cstheme="minorHAnsi"/>
          <w:spacing w:val="15"/>
        </w:rPr>
        <w:t xml:space="preserve"> </w:t>
      </w:r>
      <w:r>
        <w:rPr>
          <w:rFonts w:eastAsia="Arial Narrow" w:cstheme="minorHAnsi"/>
        </w:rPr>
        <w:t>onda</w:t>
      </w:r>
      <w:r>
        <w:rPr>
          <w:rFonts w:eastAsia="Arial Narrow" w:cstheme="minorHAnsi"/>
          <w:spacing w:val="15"/>
        </w:rPr>
        <w:t xml:space="preserve"> </w:t>
      </w:r>
      <w:r>
        <w:rPr>
          <w:rFonts w:eastAsia="Arial Narrow" w:cstheme="minorHAnsi"/>
        </w:rPr>
        <w:t>u</w:t>
      </w:r>
      <w:r>
        <w:rPr>
          <w:rFonts w:eastAsia="Arial Narrow" w:cstheme="minorHAnsi"/>
          <w:spacing w:val="-2"/>
        </w:rPr>
        <w:t>t</w:t>
      </w:r>
      <w:r>
        <w:rPr>
          <w:rFonts w:eastAsia="Arial Narrow" w:cstheme="minorHAnsi"/>
          <w:spacing w:val="1"/>
        </w:rPr>
        <w:t>j</w:t>
      </w:r>
      <w:r>
        <w:rPr>
          <w:rFonts w:eastAsia="Arial Narrow" w:cstheme="minorHAnsi"/>
        </w:rPr>
        <w:t>e</w:t>
      </w:r>
      <w:r>
        <w:rPr>
          <w:rFonts w:eastAsia="Arial Narrow" w:cstheme="minorHAnsi"/>
          <w:spacing w:val="-2"/>
        </w:rPr>
        <w:t>č</w:t>
      </w:r>
      <w:r>
        <w:rPr>
          <w:rFonts w:eastAsia="Arial Narrow" w:cstheme="minorHAnsi"/>
        </w:rPr>
        <w:t>u</w:t>
      </w:r>
      <w:r>
        <w:rPr>
          <w:rFonts w:eastAsia="Arial Narrow" w:cstheme="minorHAnsi"/>
          <w:spacing w:val="12"/>
        </w:rPr>
        <w:t xml:space="preserve"> </w:t>
      </w:r>
      <w:r>
        <w:rPr>
          <w:rFonts w:eastAsia="Arial Narrow" w:cstheme="minorHAnsi"/>
        </w:rPr>
        <w:t>na</w:t>
      </w:r>
      <w:r>
        <w:rPr>
          <w:rFonts w:eastAsia="Arial Narrow" w:cstheme="minorHAnsi"/>
          <w:spacing w:val="15"/>
        </w:rPr>
        <w:t xml:space="preserve"> </w:t>
      </w:r>
      <w:r>
        <w:rPr>
          <w:rFonts w:eastAsia="Arial Narrow" w:cstheme="minorHAnsi"/>
        </w:rPr>
        <w:t>negat</w:t>
      </w:r>
      <w:r>
        <w:rPr>
          <w:rFonts w:eastAsia="Arial Narrow" w:cstheme="minorHAnsi"/>
          <w:spacing w:val="-2"/>
        </w:rPr>
        <w:t>i</w:t>
      </w:r>
      <w:r>
        <w:rPr>
          <w:rFonts w:eastAsia="Arial Narrow" w:cstheme="minorHAnsi"/>
          <w:spacing w:val="1"/>
        </w:rPr>
        <w:t>v</w:t>
      </w:r>
      <w:r>
        <w:rPr>
          <w:rFonts w:eastAsia="Arial Narrow" w:cstheme="minorHAnsi"/>
        </w:rPr>
        <w:t xml:space="preserve">nu </w:t>
      </w:r>
      <w:r>
        <w:rPr>
          <w:rFonts w:eastAsia="Arial Narrow" w:cstheme="minorHAnsi"/>
          <w:spacing w:val="1"/>
        </w:rPr>
        <w:t>z</w:t>
      </w:r>
      <w:r>
        <w:rPr>
          <w:rFonts w:eastAsia="Arial Narrow" w:cstheme="minorHAnsi"/>
        </w:rPr>
        <w:t>adr</w:t>
      </w:r>
      <w:r>
        <w:rPr>
          <w:rFonts w:eastAsia="Arial Narrow" w:cstheme="minorHAnsi"/>
          <w:spacing w:val="1"/>
        </w:rPr>
        <w:t>ž</w:t>
      </w:r>
      <w:r>
        <w:rPr>
          <w:rFonts w:eastAsia="Arial Narrow" w:cstheme="minorHAnsi"/>
          <w:spacing w:val="-2"/>
        </w:rPr>
        <w:t>a</w:t>
      </w:r>
      <w:r>
        <w:rPr>
          <w:rFonts w:eastAsia="Arial Narrow" w:cstheme="minorHAnsi"/>
        </w:rPr>
        <w:t>nu do</w:t>
      </w:r>
      <w:r>
        <w:rPr>
          <w:rFonts w:eastAsia="Arial Narrow" w:cstheme="minorHAnsi"/>
          <w:spacing w:val="-2"/>
        </w:rPr>
        <w:t>b</w:t>
      </w:r>
      <w:r>
        <w:rPr>
          <w:rFonts w:eastAsia="Arial Narrow" w:cstheme="minorHAnsi"/>
          <w:spacing w:val="1"/>
        </w:rPr>
        <w:t>i</w:t>
      </w:r>
      <w:r>
        <w:rPr>
          <w:rFonts w:eastAsia="Arial Narrow" w:cstheme="minorHAnsi"/>
        </w:rPr>
        <w:t xml:space="preserve">t u </w:t>
      </w:r>
      <w:r>
        <w:rPr>
          <w:rFonts w:eastAsia="Arial Narrow" w:cstheme="minorHAnsi"/>
          <w:spacing w:val="-2"/>
        </w:rPr>
        <w:t>o</w:t>
      </w:r>
      <w:r>
        <w:rPr>
          <w:rFonts w:eastAsia="Arial Narrow" w:cstheme="minorHAnsi"/>
          <w:spacing w:val="1"/>
        </w:rPr>
        <w:t>kvi</w:t>
      </w:r>
      <w:r>
        <w:rPr>
          <w:rFonts w:eastAsia="Arial Narrow" w:cstheme="minorHAnsi"/>
          <w:spacing w:val="-3"/>
        </w:rPr>
        <w:t>r</w:t>
      </w:r>
      <w:r>
        <w:rPr>
          <w:rFonts w:eastAsia="Arial Narrow" w:cstheme="minorHAnsi"/>
        </w:rPr>
        <w:t xml:space="preserve">u </w:t>
      </w:r>
      <w:r>
        <w:rPr>
          <w:rFonts w:eastAsia="Arial Narrow" w:cstheme="minorHAnsi"/>
          <w:spacing w:val="1"/>
        </w:rPr>
        <w:t>iz</w:t>
      </w:r>
      <w:r>
        <w:rPr>
          <w:rFonts w:eastAsia="Arial Narrow" w:cstheme="minorHAnsi"/>
          <w:spacing w:val="-3"/>
        </w:rPr>
        <w:t>r</w:t>
      </w:r>
      <w:r>
        <w:rPr>
          <w:rFonts w:eastAsia="Arial Narrow" w:cstheme="minorHAnsi"/>
        </w:rPr>
        <w:t>a</w:t>
      </w:r>
      <w:r>
        <w:rPr>
          <w:rFonts w:eastAsia="Arial Narrow" w:cstheme="minorHAnsi"/>
          <w:spacing w:val="1"/>
        </w:rPr>
        <w:t>v</w:t>
      </w:r>
      <w:r>
        <w:rPr>
          <w:rFonts w:eastAsia="Arial Narrow" w:cstheme="minorHAnsi"/>
          <w:spacing w:val="-2"/>
        </w:rPr>
        <w:t>ni</w:t>
      </w:r>
      <w:r>
        <w:rPr>
          <w:rFonts w:eastAsia="Arial Narrow" w:cstheme="minorHAnsi"/>
        </w:rPr>
        <w:t>h u</w:t>
      </w:r>
      <w:r>
        <w:rPr>
          <w:rFonts w:eastAsia="Arial Narrow" w:cstheme="minorHAnsi"/>
          <w:spacing w:val="1"/>
        </w:rPr>
        <w:t>l</w:t>
      </w:r>
      <w:r>
        <w:rPr>
          <w:rFonts w:eastAsia="Arial Narrow" w:cstheme="minorHAnsi"/>
        </w:rPr>
        <w:t>ag</w:t>
      </w:r>
      <w:r>
        <w:rPr>
          <w:rFonts w:eastAsia="Arial Narrow" w:cstheme="minorHAnsi"/>
          <w:spacing w:val="-2"/>
        </w:rPr>
        <w:t>a</w:t>
      </w:r>
      <w:r>
        <w:rPr>
          <w:rFonts w:eastAsia="Arial Narrow" w:cstheme="minorHAnsi"/>
        </w:rPr>
        <w:t>n</w:t>
      </w:r>
      <w:r>
        <w:rPr>
          <w:rFonts w:eastAsia="Arial Narrow" w:cstheme="minorHAnsi"/>
          <w:spacing w:val="1"/>
        </w:rPr>
        <w:t>j</w:t>
      </w:r>
      <w:r>
        <w:rPr>
          <w:rFonts w:eastAsia="Arial Narrow" w:cstheme="minorHAnsi"/>
        </w:rPr>
        <w:t>a,</w:t>
      </w:r>
    </w:p>
    <w:p w14:paraId="481C93BD" w14:textId="60FE9DB0" w:rsidR="00C85D76" w:rsidRDefault="008878A0" w:rsidP="00114CB7">
      <w:pPr>
        <w:tabs>
          <w:tab w:val="left" w:pos="820"/>
        </w:tabs>
        <w:spacing w:before="18" w:after="0" w:line="259" w:lineRule="auto"/>
        <w:ind w:left="836" w:right="72" w:hanging="360"/>
        <w:rPr>
          <w:rFonts w:eastAsia="Arial Narrow" w:cstheme="minorHAnsi"/>
        </w:rPr>
      </w:pPr>
      <w:r>
        <w:rPr>
          <w:rFonts w:eastAsia="Calibri" w:cstheme="minorHAnsi"/>
        </w:rPr>
        <w:t>-</w:t>
      </w:r>
      <w:r>
        <w:rPr>
          <w:rFonts w:eastAsia="Calibri" w:cstheme="minorHAnsi"/>
        </w:rPr>
        <w:tab/>
      </w:r>
      <w:r>
        <w:rPr>
          <w:rFonts w:eastAsia="Arial Narrow" w:cstheme="minorHAnsi"/>
        </w:rPr>
        <w:t>po</w:t>
      </w:r>
      <w:r>
        <w:rPr>
          <w:rFonts w:eastAsia="Arial Narrow" w:cstheme="minorHAnsi"/>
          <w:spacing w:val="1"/>
        </w:rPr>
        <w:t>vl</w:t>
      </w:r>
      <w:r>
        <w:rPr>
          <w:rFonts w:eastAsia="Arial Narrow" w:cstheme="minorHAnsi"/>
          <w:spacing w:val="-2"/>
        </w:rPr>
        <w:t>a</w:t>
      </w:r>
      <w:r>
        <w:rPr>
          <w:rFonts w:eastAsia="Arial Narrow" w:cstheme="minorHAnsi"/>
          <w:spacing w:val="1"/>
        </w:rPr>
        <w:t>č</w:t>
      </w:r>
      <w:r>
        <w:rPr>
          <w:rFonts w:eastAsia="Arial Narrow" w:cstheme="minorHAnsi"/>
        </w:rPr>
        <w:t>en</w:t>
      </w:r>
      <w:r>
        <w:rPr>
          <w:rFonts w:eastAsia="Arial Narrow" w:cstheme="minorHAnsi"/>
          <w:spacing w:val="-2"/>
        </w:rPr>
        <w:t>j</w:t>
      </w:r>
      <w:r>
        <w:rPr>
          <w:rFonts w:eastAsia="Arial Narrow" w:cstheme="minorHAnsi"/>
        </w:rPr>
        <w:t>e</w:t>
      </w:r>
      <w:r>
        <w:rPr>
          <w:rFonts w:eastAsia="Arial Narrow" w:cstheme="minorHAnsi"/>
          <w:spacing w:val="39"/>
        </w:rPr>
        <w:t xml:space="preserve"> </w:t>
      </w:r>
      <w:r>
        <w:rPr>
          <w:rFonts w:eastAsia="Arial Narrow" w:cstheme="minorHAnsi"/>
        </w:rPr>
        <w:t>o</w:t>
      </w:r>
      <w:r>
        <w:rPr>
          <w:rFonts w:eastAsia="Arial Narrow" w:cstheme="minorHAnsi"/>
          <w:spacing w:val="1"/>
        </w:rPr>
        <w:t>s</w:t>
      </w:r>
      <w:r>
        <w:rPr>
          <w:rFonts w:eastAsia="Arial Narrow" w:cstheme="minorHAnsi"/>
          <w:spacing w:val="-2"/>
        </w:rPr>
        <w:t>t</w:t>
      </w:r>
      <w:r>
        <w:rPr>
          <w:rFonts w:eastAsia="Arial Narrow" w:cstheme="minorHAnsi"/>
        </w:rPr>
        <w:t>a</w:t>
      </w:r>
      <w:r>
        <w:rPr>
          <w:rFonts w:eastAsia="Arial Narrow" w:cstheme="minorHAnsi"/>
          <w:spacing w:val="1"/>
        </w:rPr>
        <w:t>l</w:t>
      </w:r>
      <w:r>
        <w:rPr>
          <w:rFonts w:eastAsia="Arial Narrow" w:cstheme="minorHAnsi"/>
        </w:rPr>
        <w:t>og</w:t>
      </w:r>
      <w:r>
        <w:rPr>
          <w:rFonts w:eastAsia="Arial Narrow" w:cstheme="minorHAnsi"/>
          <w:spacing w:val="36"/>
        </w:rPr>
        <w:t xml:space="preserve"> </w:t>
      </w:r>
      <w:r>
        <w:rPr>
          <w:rFonts w:eastAsia="Arial Narrow" w:cstheme="minorHAnsi"/>
          <w:spacing w:val="1"/>
        </w:rPr>
        <w:t>k</w:t>
      </w:r>
      <w:r>
        <w:rPr>
          <w:rFonts w:eastAsia="Arial Narrow" w:cstheme="minorHAnsi"/>
        </w:rPr>
        <w:t>a</w:t>
      </w:r>
      <w:r>
        <w:rPr>
          <w:rFonts w:eastAsia="Arial Narrow" w:cstheme="minorHAnsi"/>
          <w:spacing w:val="-2"/>
        </w:rPr>
        <w:t>p</w:t>
      </w:r>
      <w:r>
        <w:rPr>
          <w:rFonts w:eastAsia="Arial Narrow" w:cstheme="minorHAnsi"/>
          <w:spacing w:val="1"/>
        </w:rPr>
        <w:t>i</w:t>
      </w:r>
      <w:r>
        <w:rPr>
          <w:rFonts w:eastAsia="Arial Narrow" w:cstheme="minorHAnsi"/>
        </w:rPr>
        <w:t>ta</w:t>
      </w:r>
      <w:r>
        <w:rPr>
          <w:rFonts w:eastAsia="Arial Narrow" w:cstheme="minorHAnsi"/>
          <w:spacing w:val="1"/>
        </w:rPr>
        <w:t>l</w:t>
      </w:r>
      <w:r>
        <w:rPr>
          <w:rFonts w:eastAsia="Arial Narrow" w:cstheme="minorHAnsi"/>
        </w:rPr>
        <w:t>a</w:t>
      </w:r>
      <w:r>
        <w:rPr>
          <w:rFonts w:eastAsia="Arial Narrow" w:cstheme="minorHAnsi"/>
          <w:spacing w:val="36"/>
        </w:rPr>
        <w:t xml:space="preserve"> </w:t>
      </w:r>
      <w:r>
        <w:rPr>
          <w:rFonts w:eastAsia="Arial Narrow" w:cstheme="minorHAnsi"/>
        </w:rPr>
        <w:t>u</w:t>
      </w:r>
      <w:r>
        <w:rPr>
          <w:rFonts w:eastAsia="Arial Narrow" w:cstheme="minorHAnsi"/>
          <w:spacing w:val="36"/>
        </w:rPr>
        <w:t xml:space="preserve"> </w:t>
      </w:r>
      <w:r>
        <w:rPr>
          <w:rFonts w:eastAsia="Arial Narrow" w:cstheme="minorHAnsi"/>
        </w:rPr>
        <w:t>o</w:t>
      </w:r>
      <w:r>
        <w:rPr>
          <w:rFonts w:eastAsia="Arial Narrow" w:cstheme="minorHAnsi"/>
          <w:spacing w:val="1"/>
        </w:rPr>
        <w:t>kvi</w:t>
      </w:r>
      <w:r>
        <w:rPr>
          <w:rFonts w:eastAsia="Arial Narrow" w:cstheme="minorHAnsi"/>
          <w:spacing w:val="-3"/>
        </w:rPr>
        <w:t>r</w:t>
      </w:r>
      <w:r>
        <w:rPr>
          <w:rFonts w:eastAsia="Arial Narrow" w:cstheme="minorHAnsi"/>
        </w:rPr>
        <w:t>u</w:t>
      </w:r>
      <w:r>
        <w:rPr>
          <w:rFonts w:eastAsia="Arial Narrow" w:cstheme="minorHAnsi"/>
          <w:spacing w:val="39"/>
        </w:rPr>
        <w:t xml:space="preserve"> </w:t>
      </w:r>
      <w:r>
        <w:rPr>
          <w:rFonts w:eastAsia="Arial Narrow" w:cstheme="minorHAnsi"/>
          <w:spacing w:val="1"/>
        </w:rPr>
        <w:t>iz</w:t>
      </w:r>
      <w:r>
        <w:rPr>
          <w:rFonts w:eastAsia="Arial Narrow" w:cstheme="minorHAnsi"/>
          <w:spacing w:val="-3"/>
        </w:rPr>
        <w:t>r</w:t>
      </w:r>
      <w:r>
        <w:rPr>
          <w:rFonts w:eastAsia="Arial Narrow" w:cstheme="minorHAnsi"/>
        </w:rPr>
        <w:t>a</w:t>
      </w:r>
      <w:r>
        <w:rPr>
          <w:rFonts w:eastAsia="Arial Narrow" w:cstheme="minorHAnsi"/>
          <w:spacing w:val="1"/>
        </w:rPr>
        <w:t>v</w:t>
      </w:r>
      <w:r>
        <w:rPr>
          <w:rFonts w:eastAsia="Arial Narrow" w:cstheme="minorHAnsi"/>
          <w:spacing w:val="-2"/>
        </w:rPr>
        <w:t>n</w:t>
      </w:r>
      <w:r>
        <w:rPr>
          <w:rFonts w:eastAsia="Arial Narrow" w:cstheme="minorHAnsi"/>
          <w:spacing w:val="1"/>
        </w:rPr>
        <w:t>i</w:t>
      </w:r>
      <w:r>
        <w:rPr>
          <w:rFonts w:eastAsia="Arial Narrow" w:cstheme="minorHAnsi"/>
        </w:rPr>
        <w:t>h</w:t>
      </w:r>
      <w:r>
        <w:rPr>
          <w:rFonts w:eastAsia="Arial Narrow" w:cstheme="minorHAnsi"/>
          <w:spacing w:val="39"/>
        </w:rPr>
        <w:t xml:space="preserve"> </w:t>
      </w:r>
      <w:r>
        <w:rPr>
          <w:rFonts w:eastAsia="Arial Narrow" w:cstheme="minorHAnsi"/>
        </w:rPr>
        <w:t>u</w:t>
      </w:r>
      <w:r>
        <w:rPr>
          <w:rFonts w:eastAsia="Arial Narrow" w:cstheme="minorHAnsi"/>
          <w:spacing w:val="-2"/>
        </w:rPr>
        <w:t>l</w:t>
      </w:r>
      <w:r>
        <w:rPr>
          <w:rFonts w:eastAsia="Arial Narrow" w:cstheme="minorHAnsi"/>
        </w:rPr>
        <w:t>agan</w:t>
      </w:r>
      <w:r>
        <w:rPr>
          <w:rFonts w:eastAsia="Arial Narrow" w:cstheme="minorHAnsi"/>
          <w:spacing w:val="-2"/>
        </w:rPr>
        <w:t>j</w:t>
      </w:r>
      <w:r>
        <w:rPr>
          <w:rFonts w:eastAsia="Arial Narrow" w:cstheme="minorHAnsi"/>
        </w:rPr>
        <w:t>a</w:t>
      </w:r>
      <w:r>
        <w:rPr>
          <w:rFonts w:eastAsia="Arial Narrow" w:cstheme="minorHAnsi"/>
          <w:spacing w:val="39"/>
        </w:rPr>
        <w:t xml:space="preserve"> </w:t>
      </w:r>
      <w:r>
        <w:rPr>
          <w:rFonts w:eastAsia="Arial Narrow" w:cstheme="minorHAnsi"/>
        </w:rPr>
        <w:t>npr.</w:t>
      </w:r>
      <w:r>
        <w:rPr>
          <w:rFonts w:eastAsia="Arial Narrow" w:cstheme="minorHAnsi"/>
          <w:spacing w:val="36"/>
        </w:rPr>
        <w:t xml:space="preserve"> </w:t>
      </w:r>
      <w:r>
        <w:rPr>
          <w:rFonts w:eastAsia="Arial Narrow" w:cstheme="minorHAnsi"/>
          <w:spacing w:val="1"/>
        </w:rPr>
        <w:t>v</w:t>
      </w:r>
      <w:r>
        <w:rPr>
          <w:rFonts w:eastAsia="Arial Narrow" w:cstheme="minorHAnsi"/>
        </w:rPr>
        <w:t>ra</w:t>
      </w:r>
      <w:r>
        <w:rPr>
          <w:rFonts w:eastAsia="Arial Narrow" w:cstheme="minorHAnsi"/>
          <w:spacing w:val="1"/>
        </w:rPr>
        <w:t>ć</w:t>
      </w:r>
      <w:r>
        <w:rPr>
          <w:rFonts w:eastAsia="Arial Narrow" w:cstheme="minorHAnsi"/>
          <w:spacing w:val="-2"/>
        </w:rPr>
        <w:t>a</w:t>
      </w:r>
      <w:r>
        <w:rPr>
          <w:rFonts w:eastAsia="Arial Narrow" w:cstheme="minorHAnsi"/>
        </w:rPr>
        <w:t>n</w:t>
      </w:r>
      <w:r>
        <w:rPr>
          <w:rFonts w:eastAsia="Arial Narrow" w:cstheme="minorHAnsi"/>
          <w:spacing w:val="1"/>
        </w:rPr>
        <w:t>j</w:t>
      </w:r>
      <w:r>
        <w:rPr>
          <w:rFonts w:eastAsia="Arial Narrow" w:cstheme="minorHAnsi"/>
        </w:rPr>
        <w:t>e</w:t>
      </w:r>
      <w:r>
        <w:rPr>
          <w:rFonts w:eastAsia="Arial Narrow" w:cstheme="minorHAnsi"/>
          <w:spacing w:val="39"/>
        </w:rPr>
        <w:t xml:space="preserve"> </w:t>
      </w:r>
      <w:r>
        <w:rPr>
          <w:rFonts w:eastAsia="Arial Narrow" w:cstheme="minorHAnsi"/>
          <w:spacing w:val="-2"/>
        </w:rPr>
        <w:t>p</w:t>
      </w:r>
      <w:r>
        <w:rPr>
          <w:rFonts w:eastAsia="Arial Narrow" w:cstheme="minorHAnsi"/>
        </w:rPr>
        <w:t>o</w:t>
      </w:r>
      <w:r>
        <w:rPr>
          <w:rFonts w:eastAsia="Arial Narrow" w:cstheme="minorHAnsi"/>
          <w:spacing w:val="1"/>
        </w:rPr>
        <w:t>z</w:t>
      </w:r>
      <w:r>
        <w:rPr>
          <w:rFonts w:eastAsia="Arial Narrow" w:cstheme="minorHAnsi"/>
        </w:rPr>
        <w:t>a</w:t>
      </w:r>
      <w:r>
        <w:rPr>
          <w:rFonts w:eastAsia="Arial Narrow" w:cstheme="minorHAnsi"/>
          <w:spacing w:val="-2"/>
        </w:rPr>
        <w:t>j</w:t>
      </w:r>
      <w:r>
        <w:rPr>
          <w:rFonts w:eastAsia="Arial Narrow" w:cstheme="minorHAnsi"/>
        </w:rPr>
        <w:t>m</w:t>
      </w:r>
      <w:r>
        <w:rPr>
          <w:rFonts w:eastAsia="Arial Narrow" w:cstheme="minorHAnsi"/>
          <w:spacing w:val="-2"/>
        </w:rPr>
        <w:t>i</w:t>
      </w:r>
      <w:r>
        <w:rPr>
          <w:rFonts w:eastAsia="Arial Narrow" w:cstheme="minorHAnsi"/>
          <w:spacing w:val="1"/>
        </w:rPr>
        <w:t>c</w:t>
      </w:r>
      <w:r>
        <w:rPr>
          <w:rFonts w:eastAsia="Arial Narrow" w:cstheme="minorHAnsi"/>
        </w:rPr>
        <w:t>e</w:t>
      </w:r>
      <w:r>
        <w:rPr>
          <w:rFonts w:eastAsia="Arial Narrow" w:cstheme="minorHAnsi"/>
          <w:spacing w:val="39"/>
        </w:rPr>
        <w:t xml:space="preserve"> </w:t>
      </w:r>
      <w:r>
        <w:rPr>
          <w:rFonts w:eastAsia="Arial Narrow" w:cstheme="minorHAnsi"/>
        </w:rPr>
        <w:t>po</w:t>
      </w:r>
      <w:r>
        <w:rPr>
          <w:rFonts w:eastAsia="Arial Narrow" w:cstheme="minorHAnsi"/>
          <w:spacing w:val="-2"/>
        </w:rPr>
        <w:t>d</w:t>
      </w:r>
      <w:r>
        <w:rPr>
          <w:rFonts w:eastAsia="Arial Narrow" w:cstheme="minorHAnsi"/>
        </w:rPr>
        <w:t>u</w:t>
      </w:r>
      <w:r>
        <w:rPr>
          <w:rFonts w:eastAsia="Arial Narrow" w:cstheme="minorHAnsi"/>
          <w:spacing w:val="1"/>
        </w:rPr>
        <w:t>z</w:t>
      </w:r>
      <w:r>
        <w:rPr>
          <w:rFonts w:eastAsia="Arial Narrow" w:cstheme="minorHAnsi"/>
          <w:spacing w:val="-2"/>
        </w:rPr>
        <w:t>eć</w:t>
      </w:r>
      <w:r>
        <w:rPr>
          <w:rFonts w:eastAsia="Arial Narrow" w:cstheme="minorHAnsi"/>
        </w:rPr>
        <w:t>u</w:t>
      </w:r>
      <w:r>
        <w:rPr>
          <w:rFonts w:eastAsia="Arial Narrow" w:cstheme="minorHAnsi"/>
          <w:spacing w:val="39"/>
        </w:rPr>
        <w:t xml:space="preserve"> </w:t>
      </w:r>
      <w:r>
        <w:rPr>
          <w:rFonts w:eastAsia="Arial Narrow" w:cstheme="minorHAnsi"/>
          <w:spacing w:val="1"/>
        </w:rPr>
        <w:t>vl</w:t>
      </w:r>
      <w:r>
        <w:rPr>
          <w:rFonts w:eastAsia="Arial Narrow" w:cstheme="minorHAnsi"/>
          <w:spacing w:val="-2"/>
        </w:rPr>
        <w:t>a</w:t>
      </w:r>
      <w:r>
        <w:rPr>
          <w:rFonts w:eastAsia="Arial Narrow" w:cstheme="minorHAnsi"/>
          <w:spacing w:val="1"/>
        </w:rPr>
        <w:t>s</w:t>
      </w:r>
      <w:r>
        <w:rPr>
          <w:rFonts w:eastAsia="Arial Narrow" w:cstheme="minorHAnsi"/>
        </w:rPr>
        <w:t>n</w:t>
      </w:r>
      <w:r>
        <w:rPr>
          <w:rFonts w:eastAsia="Arial Narrow" w:cstheme="minorHAnsi"/>
          <w:spacing w:val="-2"/>
        </w:rPr>
        <w:t>i</w:t>
      </w:r>
      <w:r>
        <w:rPr>
          <w:rFonts w:eastAsia="Arial Narrow" w:cstheme="minorHAnsi"/>
          <w:spacing w:val="1"/>
        </w:rPr>
        <w:t>k</w:t>
      </w:r>
      <w:r>
        <w:rPr>
          <w:rFonts w:eastAsia="Arial Narrow" w:cstheme="minorHAnsi"/>
        </w:rPr>
        <w:t>u</w:t>
      </w:r>
      <w:r>
        <w:rPr>
          <w:rFonts w:eastAsia="Arial Narrow" w:cstheme="minorHAnsi"/>
          <w:spacing w:val="39"/>
        </w:rPr>
        <w:t xml:space="preserve"> </w:t>
      </w:r>
      <w:r>
        <w:rPr>
          <w:rFonts w:eastAsia="Arial Narrow" w:cstheme="minorHAnsi"/>
        </w:rPr>
        <w:t xml:space="preserve">u </w:t>
      </w:r>
      <w:r>
        <w:rPr>
          <w:rFonts w:eastAsia="Arial Narrow" w:cstheme="minorHAnsi"/>
          <w:spacing w:val="1"/>
        </w:rPr>
        <w:t>i</w:t>
      </w:r>
      <w:r>
        <w:rPr>
          <w:rFonts w:eastAsia="Arial Narrow" w:cstheme="minorHAnsi"/>
        </w:rPr>
        <w:t>no</w:t>
      </w:r>
      <w:r>
        <w:rPr>
          <w:rFonts w:eastAsia="Arial Narrow" w:cstheme="minorHAnsi"/>
          <w:spacing w:val="1"/>
        </w:rPr>
        <w:t>z</w:t>
      </w:r>
      <w:r>
        <w:rPr>
          <w:rFonts w:eastAsia="Arial Narrow" w:cstheme="minorHAnsi"/>
          <w:spacing w:val="-2"/>
        </w:rPr>
        <w:t>e</w:t>
      </w:r>
      <w:r>
        <w:rPr>
          <w:rFonts w:eastAsia="Arial Narrow" w:cstheme="minorHAnsi"/>
        </w:rPr>
        <w:t>m</w:t>
      </w:r>
      <w:r>
        <w:rPr>
          <w:rFonts w:eastAsia="Arial Narrow" w:cstheme="minorHAnsi"/>
          <w:spacing w:val="1"/>
        </w:rPr>
        <w:t>s</w:t>
      </w:r>
      <w:r>
        <w:rPr>
          <w:rFonts w:eastAsia="Arial Narrow" w:cstheme="minorHAnsi"/>
          <w:spacing w:val="-2"/>
        </w:rPr>
        <w:t>t</w:t>
      </w:r>
      <w:r>
        <w:rPr>
          <w:rFonts w:eastAsia="Arial Narrow" w:cstheme="minorHAnsi"/>
          <w:spacing w:val="1"/>
        </w:rPr>
        <w:t>v</w:t>
      </w:r>
      <w:r>
        <w:rPr>
          <w:rFonts w:eastAsia="Arial Narrow" w:cstheme="minorHAnsi"/>
        </w:rPr>
        <w:t>o i</w:t>
      </w:r>
      <w:r>
        <w:rPr>
          <w:rFonts w:eastAsia="Arial Narrow" w:cstheme="minorHAnsi"/>
          <w:spacing w:val="-2"/>
        </w:rPr>
        <w:t xml:space="preserve"> </w:t>
      </w:r>
      <w:r>
        <w:rPr>
          <w:rFonts w:eastAsia="Arial Narrow" w:cstheme="minorHAnsi"/>
          <w:spacing w:val="1"/>
        </w:rPr>
        <w:t>sl</w:t>
      </w:r>
      <w:r>
        <w:rPr>
          <w:rFonts w:eastAsia="Arial Narrow" w:cstheme="minorHAnsi"/>
        </w:rPr>
        <w:t>.</w:t>
      </w:r>
    </w:p>
    <w:p w14:paraId="22F4495F" w14:textId="77777777" w:rsidR="00114CB7" w:rsidRPr="00114CB7" w:rsidRDefault="00114CB7" w:rsidP="00114CB7">
      <w:pPr>
        <w:tabs>
          <w:tab w:val="left" w:pos="820"/>
        </w:tabs>
        <w:spacing w:before="18" w:after="0" w:line="259" w:lineRule="auto"/>
        <w:ind w:left="836" w:right="72" w:hanging="360"/>
        <w:rPr>
          <w:rFonts w:eastAsia="Arial Narrow" w:cstheme="minorHAnsi"/>
        </w:rPr>
      </w:pPr>
    </w:p>
    <w:p w14:paraId="7C6DEA26" w14:textId="569B931A" w:rsidR="001838EE" w:rsidRDefault="001838EE" w:rsidP="003E3F3C">
      <w:pPr>
        <w:pStyle w:val="Opisslike"/>
      </w:pPr>
      <w:r>
        <w:t xml:space="preserve">Tablica </w:t>
      </w:r>
      <w:r w:rsidR="006207AF">
        <w:t>8</w:t>
      </w:r>
      <w:r w:rsidR="000D5E3F">
        <w:t>6</w:t>
      </w:r>
      <w:r>
        <w:t xml:space="preserve">. </w:t>
      </w:r>
      <w:r w:rsidRPr="00401CF1">
        <w:t>Izravna strana ulaganja u Krapinsko-zagorsku županiju, 2010. -2014. godina, milijuni EUR</w:t>
      </w:r>
    </w:p>
    <w:tbl>
      <w:tblPr>
        <w:tblW w:w="9270" w:type="dxa"/>
        <w:tblInd w:w="-5" w:type="dxa"/>
        <w:tblLayout w:type="fixed"/>
        <w:tblCellMar>
          <w:left w:w="0" w:type="dxa"/>
          <w:right w:w="0" w:type="dxa"/>
        </w:tblCellMar>
        <w:tblLook w:val="01E0" w:firstRow="1" w:lastRow="1" w:firstColumn="1" w:lastColumn="1" w:noHBand="0" w:noVBand="0"/>
      </w:tblPr>
      <w:tblGrid>
        <w:gridCol w:w="4271"/>
        <w:gridCol w:w="923"/>
        <w:gridCol w:w="938"/>
        <w:gridCol w:w="897"/>
        <w:gridCol w:w="896"/>
        <w:gridCol w:w="1345"/>
      </w:tblGrid>
      <w:tr w:rsidR="008878A0" w:rsidRPr="001838EE" w14:paraId="3936C435" w14:textId="77777777" w:rsidTr="00114CB7">
        <w:trPr>
          <w:trHeight w:val="285"/>
        </w:trPr>
        <w:tc>
          <w:tcPr>
            <w:tcW w:w="4271" w:type="dxa"/>
            <w:tcBorders>
              <w:bottom w:val="single" w:sz="4" w:space="0" w:color="FFFFFF"/>
              <w:right w:val="single" w:sz="4" w:space="0" w:color="FFFFFF"/>
            </w:tcBorders>
            <w:shd w:val="clear" w:color="auto" w:fill="D2232A" w:themeFill="accent1"/>
            <w:hideMark/>
          </w:tcPr>
          <w:p w14:paraId="341FA514" w14:textId="77777777" w:rsidR="008878A0" w:rsidRPr="001838EE" w:rsidRDefault="008878A0" w:rsidP="001838EE">
            <w:pPr>
              <w:spacing w:after="0" w:line="240" w:lineRule="auto"/>
              <w:ind w:left="1229"/>
              <w:rPr>
                <w:rFonts w:eastAsia="Arial Narrow" w:cs="Calibri"/>
                <w:szCs w:val="18"/>
              </w:rPr>
            </w:pPr>
            <w:r w:rsidRPr="001838EE">
              <w:rPr>
                <w:rFonts w:eastAsia="Arial Narrow" w:cs="Calibri"/>
                <w:b/>
                <w:color w:val="FFFFFF"/>
                <w:szCs w:val="18"/>
              </w:rPr>
              <w:t>Djela</w:t>
            </w:r>
            <w:r w:rsidRPr="001838EE">
              <w:rPr>
                <w:rFonts w:eastAsia="Arial Narrow" w:cs="Calibri"/>
                <w:b/>
                <w:color w:val="FFFFFF"/>
                <w:spacing w:val="1"/>
                <w:szCs w:val="18"/>
              </w:rPr>
              <w:t>tno</w:t>
            </w:r>
            <w:r w:rsidRPr="001838EE">
              <w:rPr>
                <w:rFonts w:eastAsia="Arial Narrow" w:cs="Calibri"/>
                <w:b/>
                <w:color w:val="FFFFFF"/>
                <w:szCs w:val="18"/>
              </w:rPr>
              <w:t>st</w:t>
            </w:r>
          </w:p>
        </w:tc>
        <w:tc>
          <w:tcPr>
            <w:tcW w:w="923" w:type="dxa"/>
            <w:tcBorders>
              <w:left w:val="single" w:sz="4" w:space="0" w:color="FFFFFF"/>
              <w:bottom w:val="single" w:sz="4" w:space="0" w:color="FFFFFF"/>
              <w:right w:val="single" w:sz="4" w:space="0" w:color="FFFFFF"/>
            </w:tcBorders>
            <w:shd w:val="clear" w:color="auto" w:fill="D2232A" w:themeFill="accent1"/>
            <w:hideMark/>
          </w:tcPr>
          <w:p w14:paraId="3D0CC456" w14:textId="77777777" w:rsidR="008878A0" w:rsidRPr="001838EE" w:rsidRDefault="008878A0" w:rsidP="007F2B15">
            <w:pPr>
              <w:spacing w:after="0" w:line="240" w:lineRule="auto"/>
              <w:jc w:val="center"/>
              <w:rPr>
                <w:rFonts w:eastAsia="Arial Narrow" w:cs="Calibri"/>
                <w:b/>
                <w:color w:val="FFFFFF"/>
                <w:szCs w:val="18"/>
              </w:rPr>
            </w:pPr>
            <w:r w:rsidRPr="001838EE">
              <w:rPr>
                <w:rFonts w:eastAsia="Arial Narrow" w:cs="Calibri"/>
                <w:b/>
                <w:color w:val="FFFFFF"/>
                <w:szCs w:val="18"/>
              </w:rPr>
              <w:t>2010.</w:t>
            </w:r>
          </w:p>
        </w:tc>
        <w:tc>
          <w:tcPr>
            <w:tcW w:w="938" w:type="dxa"/>
            <w:tcBorders>
              <w:left w:val="single" w:sz="4" w:space="0" w:color="FFFFFF"/>
              <w:bottom w:val="single" w:sz="4" w:space="0" w:color="FFFFFF"/>
              <w:right w:val="single" w:sz="4" w:space="0" w:color="FFFFFF"/>
            </w:tcBorders>
            <w:shd w:val="clear" w:color="auto" w:fill="D2232A" w:themeFill="accent1"/>
            <w:hideMark/>
          </w:tcPr>
          <w:p w14:paraId="2DD4E971" w14:textId="77777777" w:rsidR="008878A0" w:rsidRPr="001838EE" w:rsidRDefault="008878A0" w:rsidP="007F2B15">
            <w:pPr>
              <w:spacing w:after="0" w:line="240" w:lineRule="auto"/>
              <w:jc w:val="center"/>
              <w:rPr>
                <w:rFonts w:eastAsia="Arial Narrow" w:cs="Calibri"/>
                <w:b/>
                <w:color w:val="FFFFFF"/>
                <w:szCs w:val="18"/>
              </w:rPr>
            </w:pPr>
            <w:r w:rsidRPr="001838EE">
              <w:rPr>
                <w:rFonts w:eastAsia="Arial Narrow" w:cs="Calibri"/>
                <w:b/>
                <w:color w:val="FFFFFF"/>
                <w:szCs w:val="18"/>
              </w:rPr>
              <w:t>2011.</w:t>
            </w:r>
          </w:p>
        </w:tc>
        <w:tc>
          <w:tcPr>
            <w:tcW w:w="897" w:type="dxa"/>
            <w:tcBorders>
              <w:left w:val="single" w:sz="4" w:space="0" w:color="FFFFFF"/>
              <w:bottom w:val="single" w:sz="4" w:space="0" w:color="FFFFFF"/>
              <w:right w:val="single" w:sz="4" w:space="0" w:color="FFFFFF"/>
            </w:tcBorders>
            <w:shd w:val="clear" w:color="auto" w:fill="D2232A" w:themeFill="accent1"/>
            <w:hideMark/>
          </w:tcPr>
          <w:p w14:paraId="5C0C517E" w14:textId="77777777" w:rsidR="008878A0" w:rsidRPr="001838EE" w:rsidRDefault="008878A0" w:rsidP="007F2B15">
            <w:pPr>
              <w:spacing w:after="0" w:line="240" w:lineRule="auto"/>
              <w:jc w:val="center"/>
              <w:rPr>
                <w:rFonts w:eastAsia="Arial Narrow" w:cs="Calibri"/>
                <w:b/>
                <w:color w:val="FFFFFF"/>
                <w:szCs w:val="18"/>
              </w:rPr>
            </w:pPr>
            <w:r w:rsidRPr="001838EE">
              <w:rPr>
                <w:rFonts w:eastAsia="Arial Narrow" w:cs="Calibri"/>
                <w:b/>
                <w:color w:val="FFFFFF"/>
                <w:szCs w:val="18"/>
              </w:rPr>
              <w:t>2012.</w:t>
            </w:r>
          </w:p>
        </w:tc>
        <w:tc>
          <w:tcPr>
            <w:tcW w:w="896" w:type="dxa"/>
            <w:tcBorders>
              <w:left w:val="single" w:sz="4" w:space="0" w:color="FFFFFF"/>
              <w:bottom w:val="single" w:sz="4" w:space="0" w:color="FFFFFF"/>
              <w:right w:val="single" w:sz="4" w:space="0" w:color="FFFFFF"/>
            </w:tcBorders>
            <w:shd w:val="clear" w:color="auto" w:fill="D2232A" w:themeFill="accent1"/>
            <w:hideMark/>
          </w:tcPr>
          <w:p w14:paraId="5F9F2683" w14:textId="77777777" w:rsidR="008878A0" w:rsidRPr="001838EE" w:rsidRDefault="008878A0" w:rsidP="007F2B15">
            <w:pPr>
              <w:spacing w:after="0" w:line="240" w:lineRule="auto"/>
              <w:jc w:val="center"/>
              <w:rPr>
                <w:rFonts w:eastAsia="Arial Narrow" w:cs="Calibri"/>
                <w:b/>
                <w:color w:val="FFFFFF"/>
                <w:szCs w:val="18"/>
              </w:rPr>
            </w:pPr>
            <w:r w:rsidRPr="001838EE">
              <w:rPr>
                <w:rFonts w:eastAsia="Arial Narrow" w:cs="Calibri"/>
                <w:b/>
                <w:color w:val="FFFFFF"/>
                <w:szCs w:val="18"/>
              </w:rPr>
              <w:t>2013.</w:t>
            </w:r>
          </w:p>
        </w:tc>
        <w:tc>
          <w:tcPr>
            <w:tcW w:w="1345" w:type="dxa"/>
            <w:tcBorders>
              <w:left w:val="single" w:sz="4" w:space="0" w:color="FFFFFF"/>
              <w:bottom w:val="single" w:sz="4" w:space="0" w:color="FFFFFF"/>
              <w:right w:val="single" w:sz="8" w:space="0" w:color="D2232A"/>
            </w:tcBorders>
            <w:shd w:val="clear" w:color="auto" w:fill="D2232A" w:themeFill="accent1"/>
            <w:hideMark/>
          </w:tcPr>
          <w:p w14:paraId="77956453" w14:textId="77777777" w:rsidR="008878A0" w:rsidRPr="001838EE" w:rsidRDefault="008878A0" w:rsidP="00E0374D">
            <w:pPr>
              <w:spacing w:after="0" w:line="240" w:lineRule="auto"/>
              <w:jc w:val="center"/>
              <w:rPr>
                <w:rFonts w:eastAsia="Arial Narrow" w:cs="Calibri"/>
                <w:b/>
                <w:color w:val="FFFFFF"/>
                <w:szCs w:val="18"/>
              </w:rPr>
            </w:pPr>
            <w:r w:rsidRPr="001838EE">
              <w:rPr>
                <w:rFonts w:eastAsia="Arial Narrow" w:cs="Calibri"/>
                <w:b/>
                <w:color w:val="FFFFFF"/>
                <w:szCs w:val="18"/>
              </w:rPr>
              <w:t>2014.</w:t>
            </w:r>
          </w:p>
        </w:tc>
      </w:tr>
      <w:tr w:rsidR="008878A0" w:rsidRPr="001838EE" w14:paraId="3CBF8ED7" w14:textId="77777777" w:rsidTr="00114CB7">
        <w:trPr>
          <w:trHeight w:val="285"/>
        </w:trPr>
        <w:tc>
          <w:tcPr>
            <w:tcW w:w="4271" w:type="dxa"/>
            <w:tcBorders>
              <w:top w:val="single" w:sz="4" w:space="0" w:color="FFFFFF"/>
              <w:bottom w:val="single" w:sz="8" w:space="0" w:color="F3CFC1"/>
            </w:tcBorders>
            <w:shd w:val="clear" w:color="auto" w:fill="D2232A" w:themeFill="accent1"/>
            <w:hideMark/>
          </w:tcPr>
          <w:p w14:paraId="0511E911" w14:textId="77777777" w:rsidR="008878A0" w:rsidRPr="001838EE" w:rsidRDefault="008878A0" w:rsidP="001838EE">
            <w:pPr>
              <w:spacing w:after="0" w:line="240" w:lineRule="auto"/>
              <w:ind w:left="103" w:right="136"/>
              <w:jc w:val="left"/>
              <w:rPr>
                <w:rFonts w:eastAsia="Arial Narrow" w:cs="Calibri"/>
                <w:color w:val="auto"/>
                <w:szCs w:val="18"/>
              </w:rPr>
            </w:pPr>
            <w:r w:rsidRPr="001838EE">
              <w:rPr>
                <w:rFonts w:eastAsia="Arial Narrow" w:cs="Calibri"/>
                <w:b/>
                <w:color w:val="FFFFFF"/>
                <w:spacing w:val="-1"/>
                <w:szCs w:val="18"/>
              </w:rPr>
              <w:t>P</w:t>
            </w:r>
            <w:r w:rsidRPr="001838EE">
              <w:rPr>
                <w:rFonts w:eastAsia="Arial Narrow" w:cs="Calibri"/>
                <w:b/>
                <w:color w:val="FFFFFF"/>
                <w:szCs w:val="18"/>
              </w:rPr>
              <w:t>ROI</w:t>
            </w:r>
            <w:r w:rsidRPr="001838EE">
              <w:rPr>
                <w:rFonts w:eastAsia="Arial Narrow" w:cs="Calibri"/>
                <w:b/>
                <w:color w:val="FFFFFF"/>
                <w:spacing w:val="1"/>
                <w:szCs w:val="18"/>
              </w:rPr>
              <w:t>Z</w:t>
            </w:r>
            <w:r w:rsidRPr="001838EE">
              <w:rPr>
                <w:rFonts w:eastAsia="Arial Narrow" w:cs="Calibri"/>
                <w:b/>
                <w:color w:val="FFFFFF"/>
                <w:spacing w:val="2"/>
                <w:szCs w:val="18"/>
              </w:rPr>
              <w:t>V</w:t>
            </w:r>
            <w:r w:rsidRPr="001838EE">
              <w:rPr>
                <w:rFonts w:eastAsia="Arial Narrow" w:cs="Calibri"/>
                <w:b/>
                <w:color w:val="FFFFFF"/>
                <w:szCs w:val="18"/>
              </w:rPr>
              <w:t>ODN</w:t>
            </w:r>
            <w:r w:rsidRPr="001838EE">
              <w:rPr>
                <w:rFonts w:eastAsia="Arial Narrow" w:cs="Calibri"/>
                <w:b/>
                <w:color w:val="FFFFFF"/>
                <w:spacing w:val="3"/>
                <w:szCs w:val="18"/>
              </w:rPr>
              <w:t>J</w:t>
            </w:r>
            <w:r w:rsidRPr="001838EE">
              <w:rPr>
                <w:rFonts w:eastAsia="Arial Narrow" w:cs="Calibri"/>
                <w:b/>
                <w:color w:val="FFFFFF"/>
                <w:szCs w:val="18"/>
              </w:rPr>
              <w:t>A</w:t>
            </w:r>
            <w:r w:rsidRPr="001838EE">
              <w:rPr>
                <w:rFonts w:eastAsia="Arial Narrow" w:cs="Calibri"/>
                <w:b/>
                <w:color w:val="FFFFFF"/>
                <w:spacing w:val="-12"/>
                <w:szCs w:val="18"/>
              </w:rPr>
              <w:t xml:space="preserve"> </w:t>
            </w:r>
            <w:r w:rsidRPr="001838EE">
              <w:rPr>
                <w:rFonts w:eastAsia="Arial Narrow" w:cs="Calibri"/>
                <w:b/>
                <w:color w:val="FFFFFF"/>
                <w:spacing w:val="-1"/>
                <w:szCs w:val="18"/>
              </w:rPr>
              <w:t>P</w:t>
            </w:r>
            <w:r w:rsidRPr="001838EE">
              <w:rPr>
                <w:rFonts w:eastAsia="Arial Narrow" w:cs="Calibri"/>
                <w:b/>
                <w:color w:val="FFFFFF"/>
                <w:spacing w:val="2"/>
                <w:szCs w:val="18"/>
              </w:rPr>
              <w:t>R</w:t>
            </w:r>
            <w:r w:rsidRPr="001838EE">
              <w:rPr>
                <w:rFonts w:eastAsia="Arial Narrow" w:cs="Calibri"/>
                <w:b/>
                <w:color w:val="FFFFFF"/>
                <w:szCs w:val="18"/>
              </w:rPr>
              <w:t>OI</w:t>
            </w:r>
            <w:r w:rsidRPr="001838EE">
              <w:rPr>
                <w:rFonts w:eastAsia="Arial Narrow" w:cs="Calibri"/>
                <w:b/>
                <w:color w:val="FFFFFF"/>
                <w:spacing w:val="1"/>
                <w:szCs w:val="18"/>
              </w:rPr>
              <w:t>Z</w:t>
            </w:r>
            <w:r w:rsidRPr="001838EE">
              <w:rPr>
                <w:rFonts w:eastAsia="Arial Narrow" w:cs="Calibri"/>
                <w:b/>
                <w:color w:val="FFFFFF"/>
                <w:spacing w:val="-1"/>
                <w:szCs w:val="18"/>
              </w:rPr>
              <w:t>V</w:t>
            </w:r>
            <w:r w:rsidRPr="001838EE">
              <w:rPr>
                <w:rFonts w:eastAsia="Arial Narrow" w:cs="Calibri"/>
                <w:b/>
                <w:color w:val="FFFFFF"/>
                <w:szCs w:val="18"/>
              </w:rPr>
              <w:t>O</w:t>
            </w:r>
            <w:r w:rsidRPr="001838EE">
              <w:rPr>
                <w:rFonts w:eastAsia="Arial Narrow" w:cs="Calibri"/>
                <w:b/>
                <w:color w:val="FFFFFF"/>
                <w:spacing w:val="2"/>
                <w:szCs w:val="18"/>
              </w:rPr>
              <w:t>D</w:t>
            </w:r>
            <w:r w:rsidRPr="001838EE">
              <w:rPr>
                <w:rFonts w:eastAsia="Arial Narrow" w:cs="Calibri"/>
                <w:b/>
                <w:color w:val="FFFFFF"/>
                <w:szCs w:val="18"/>
              </w:rPr>
              <w:t>A</w:t>
            </w:r>
            <w:r w:rsidRPr="001838EE">
              <w:rPr>
                <w:rFonts w:eastAsia="Arial Narrow" w:cs="Calibri"/>
                <w:b/>
                <w:color w:val="FFFFFF"/>
                <w:spacing w:val="-10"/>
                <w:szCs w:val="18"/>
              </w:rPr>
              <w:t xml:space="preserve"> </w:t>
            </w:r>
            <w:r w:rsidRPr="001838EE">
              <w:rPr>
                <w:rFonts w:eastAsia="Arial Narrow" w:cs="Calibri"/>
                <w:b/>
                <w:color w:val="FFFFFF"/>
                <w:spacing w:val="3"/>
                <w:szCs w:val="18"/>
              </w:rPr>
              <w:t>O</w:t>
            </w:r>
            <w:r w:rsidRPr="001838EE">
              <w:rPr>
                <w:rFonts w:eastAsia="Arial Narrow" w:cs="Calibri"/>
                <w:b/>
                <w:color w:val="FFFFFF"/>
                <w:szCs w:val="18"/>
              </w:rPr>
              <w:t xml:space="preserve">D </w:t>
            </w:r>
            <w:r w:rsidRPr="001838EE">
              <w:rPr>
                <w:rFonts w:eastAsia="Arial Narrow" w:cs="Calibri"/>
                <w:b/>
                <w:color w:val="FFFFFF"/>
                <w:spacing w:val="1"/>
                <w:szCs w:val="18"/>
              </w:rPr>
              <w:t>M</w:t>
            </w:r>
            <w:r w:rsidRPr="001838EE">
              <w:rPr>
                <w:rFonts w:eastAsia="Arial Narrow" w:cs="Calibri"/>
                <w:b/>
                <w:color w:val="FFFFFF"/>
                <w:spacing w:val="-1"/>
                <w:szCs w:val="18"/>
              </w:rPr>
              <w:t>E</w:t>
            </w:r>
            <w:r w:rsidRPr="001838EE">
              <w:rPr>
                <w:rFonts w:eastAsia="Arial Narrow" w:cs="Calibri"/>
                <w:b/>
                <w:color w:val="FFFFFF"/>
                <w:spacing w:val="1"/>
                <w:szCs w:val="18"/>
              </w:rPr>
              <w:t>T</w:t>
            </w:r>
            <w:r w:rsidRPr="001838EE">
              <w:rPr>
                <w:rFonts w:eastAsia="Arial Narrow" w:cs="Calibri"/>
                <w:b/>
                <w:color w:val="FFFFFF"/>
                <w:szCs w:val="18"/>
              </w:rPr>
              <w:t>A</w:t>
            </w:r>
            <w:r w:rsidRPr="001838EE">
              <w:rPr>
                <w:rFonts w:eastAsia="Arial Narrow" w:cs="Calibri"/>
                <w:b/>
                <w:color w:val="FFFFFF"/>
                <w:spacing w:val="1"/>
                <w:szCs w:val="18"/>
              </w:rPr>
              <w:t>L</w:t>
            </w:r>
            <w:r w:rsidRPr="001838EE">
              <w:rPr>
                <w:rFonts w:eastAsia="Arial Narrow" w:cs="Calibri"/>
                <w:b/>
                <w:color w:val="FFFFFF"/>
                <w:szCs w:val="18"/>
              </w:rPr>
              <w:t>A,</w:t>
            </w:r>
            <w:r w:rsidRPr="001838EE">
              <w:rPr>
                <w:rFonts w:eastAsia="Arial Narrow" w:cs="Calibri"/>
                <w:b/>
                <w:color w:val="FFFFFF"/>
                <w:spacing w:val="-7"/>
                <w:szCs w:val="18"/>
              </w:rPr>
              <w:t xml:space="preserve"> </w:t>
            </w:r>
            <w:r w:rsidRPr="001838EE">
              <w:rPr>
                <w:rFonts w:eastAsia="Arial Narrow" w:cs="Calibri"/>
                <w:b/>
                <w:color w:val="FFFFFF"/>
                <w:szCs w:val="18"/>
              </w:rPr>
              <w:t>O</w:t>
            </w:r>
            <w:r w:rsidRPr="001838EE">
              <w:rPr>
                <w:rFonts w:eastAsia="Arial Narrow" w:cs="Calibri"/>
                <w:b/>
                <w:color w:val="FFFFFF"/>
                <w:spacing w:val="-1"/>
                <w:szCs w:val="18"/>
              </w:rPr>
              <w:t>S</w:t>
            </w:r>
            <w:r w:rsidRPr="001838EE">
              <w:rPr>
                <w:rFonts w:eastAsia="Arial Narrow" w:cs="Calibri"/>
                <w:b/>
                <w:color w:val="FFFFFF"/>
                <w:szCs w:val="18"/>
              </w:rPr>
              <w:t>IM</w:t>
            </w:r>
            <w:r w:rsidRPr="001838EE">
              <w:rPr>
                <w:rFonts w:eastAsia="Arial Narrow" w:cs="Calibri"/>
                <w:b/>
                <w:color w:val="FFFFFF"/>
                <w:spacing w:val="-1"/>
                <w:szCs w:val="18"/>
              </w:rPr>
              <w:t xml:space="preserve"> S</w:t>
            </w:r>
            <w:r w:rsidRPr="001838EE">
              <w:rPr>
                <w:rFonts w:eastAsia="Arial Narrow" w:cs="Calibri"/>
                <w:b/>
                <w:color w:val="FFFFFF"/>
                <w:spacing w:val="1"/>
                <w:szCs w:val="18"/>
              </w:rPr>
              <w:t>T</w:t>
            </w:r>
            <w:r w:rsidRPr="001838EE">
              <w:rPr>
                <w:rFonts w:eastAsia="Arial Narrow" w:cs="Calibri"/>
                <w:b/>
                <w:color w:val="FFFFFF"/>
                <w:szCs w:val="18"/>
              </w:rPr>
              <w:t>RO</w:t>
            </w:r>
            <w:r w:rsidRPr="001838EE">
              <w:rPr>
                <w:rFonts w:eastAsia="Arial Narrow" w:cs="Calibri"/>
                <w:b/>
                <w:color w:val="FFFFFF"/>
                <w:spacing w:val="3"/>
                <w:szCs w:val="18"/>
              </w:rPr>
              <w:t>J</w:t>
            </w:r>
            <w:r w:rsidRPr="001838EE">
              <w:rPr>
                <w:rFonts w:eastAsia="Arial Narrow" w:cs="Calibri"/>
                <w:b/>
                <w:color w:val="FFFFFF"/>
                <w:spacing w:val="-1"/>
                <w:szCs w:val="18"/>
              </w:rPr>
              <w:t>E</w:t>
            </w:r>
            <w:r w:rsidRPr="001838EE">
              <w:rPr>
                <w:rFonts w:eastAsia="Arial Narrow" w:cs="Calibri"/>
                <w:b/>
                <w:color w:val="FFFFFF"/>
                <w:spacing w:val="2"/>
                <w:szCs w:val="18"/>
              </w:rPr>
              <w:t>V</w:t>
            </w:r>
            <w:r w:rsidRPr="001838EE">
              <w:rPr>
                <w:rFonts w:eastAsia="Arial Narrow" w:cs="Calibri"/>
                <w:b/>
                <w:color w:val="FFFFFF"/>
                <w:szCs w:val="18"/>
              </w:rPr>
              <w:t>A</w:t>
            </w:r>
            <w:r w:rsidRPr="001838EE">
              <w:rPr>
                <w:rFonts w:eastAsia="Arial Narrow" w:cs="Calibri"/>
                <w:b/>
                <w:color w:val="FFFFFF"/>
                <w:spacing w:val="-9"/>
                <w:szCs w:val="18"/>
              </w:rPr>
              <w:t xml:space="preserve"> </w:t>
            </w:r>
            <w:r w:rsidRPr="001838EE">
              <w:rPr>
                <w:rFonts w:eastAsia="Arial Narrow" w:cs="Calibri"/>
                <w:b/>
                <w:color w:val="FFFFFF"/>
                <w:szCs w:val="18"/>
              </w:rPr>
              <w:t xml:space="preserve">I </w:t>
            </w:r>
            <w:r w:rsidRPr="001838EE">
              <w:rPr>
                <w:rFonts w:eastAsia="Arial Narrow" w:cs="Calibri"/>
                <w:b/>
                <w:color w:val="FFFFFF"/>
                <w:spacing w:val="3"/>
                <w:szCs w:val="18"/>
              </w:rPr>
              <w:t>O</w:t>
            </w:r>
            <w:r w:rsidRPr="001838EE">
              <w:rPr>
                <w:rFonts w:eastAsia="Arial Narrow" w:cs="Calibri"/>
                <w:b/>
                <w:color w:val="FFFFFF"/>
                <w:spacing w:val="-1"/>
                <w:szCs w:val="18"/>
              </w:rPr>
              <w:t>P</w:t>
            </w:r>
            <w:r w:rsidRPr="001838EE">
              <w:rPr>
                <w:rFonts w:eastAsia="Arial Narrow" w:cs="Calibri"/>
                <w:b/>
                <w:color w:val="FFFFFF"/>
                <w:szCs w:val="18"/>
              </w:rPr>
              <w:t>R</w:t>
            </w:r>
            <w:r w:rsidRPr="001838EE">
              <w:rPr>
                <w:rFonts w:eastAsia="Arial Narrow" w:cs="Calibri"/>
                <w:b/>
                <w:color w:val="FFFFFF"/>
                <w:spacing w:val="-1"/>
                <w:szCs w:val="18"/>
              </w:rPr>
              <w:t>E</w:t>
            </w:r>
            <w:r w:rsidRPr="001838EE">
              <w:rPr>
                <w:rFonts w:eastAsia="Arial Narrow" w:cs="Calibri"/>
                <w:b/>
                <w:color w:val="FFFFFF"/>
                <w:spacing w:val="3"/>
                <w:szCs w:val="18"/>
              </w:rPr>
              <w:t>M</w:t>
            </w:r>
            <w:r w:rsidRPr="001838EE">
              <w:rPr>
                <w:rFonts w:eastAsia="Arial Narrow" w:cs="Calibri"/>
                <w:b/>
                <w:color w:val="FFFFFF"/>
                <w:szCs w:val="18"/>
              </w:rPr>
              <w:t>A</w:t>
            </w:r>
          </w:p>
        </w:tc>
        <w:tc>
          <w:tcPr>
            <w:tcW w:w="923" w:type="dxa"/>
            <w:tcBorders>
              <w:top w:val="single" w:sz="4" w:space="0" w:color="FFFFFF"/>
              <w:bottom w:val="single" w:sz="8" w:space="0" w:color="F3CFC1"/>
            </w:tcBorders>
            <w:shd w:val="clear" w:color="auto" w:fill="auto"/>
          </w:tcPr>
          <w:p w14:paraId="1B26F36A" w14:textId="77777777" w:rsidR="008878A0" w:rsidRPr="001838EE" w:rsidRDefault="008878A0" w:rsidP="001838EE">
            <w:pPr>
              <w:spacing w:after="0" w:line="240" w:lineRule="auto"/>
              <w:jc w:val="right"/>
              <w:rPr>
                <w:rFonts w:eastAsia="Arial Narrow" w:cs="Calibri"/>
                <w:szCs w:val="18"/>
              </w:rPr>
            </w:pPr>
          </w:p>
          <w:p w14:paraId="4054F2DD"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1,2</w:t>
            </w:r>
          </w:p>
        </w:tc>
        <w:tc>
          <w:tcPr>
            <w:tcW w:w="938" w:type="dxa"/>
            <w:tcBorders>
              <w:top w:val="single" w:sz="4" w:space="0" w:color="FFFFFF"/>
              <w:bottom w:val="single" w:sz="8" w:space="0" w:color="F3CFC1"/>
            </w:tcBorders>
            <w:shd w:val="clear" w:color="auto" w:fill="auto"/>
          </w:tcPr>
          <w:p w14:paraId="15F5DB75" w14:textId="77777777" w:rsidR="008878A0" w:rsidRPr="001838EE" w:rsidRDefault="008878A0" w:rsidP="001838EE">
            <w:pPr>
              <w:spacing w:after="0" w:line="240" w:lineRule="auto"/>
              <w:jc w:val="right"/>
              <w:rPr>
                <w:rFonts w:eastAsia="Arial Narrow" w:cs="Calibri"/>
                <w:szCs w:val="18"/>
              </w:rPr>
            </w:pPr>
          </w:p>
          <w:p w14:paraId="13F0E2CF"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1,6</w:t>
            </w:r>
          </w:p>
        </w:tc>
        <w:tc>
          <w:tcPr>
            <w:tcW w:w="897" w:type="dxa"/>
            <w:tcBorders>
              <w:top w:val="single" w:sz="4" w:space="0" w:color="FFFFFF"/>
              <w:bottom w:val="single" w:sz="8" w:space="0" w:color="F3CFC1"/>
            </w:tcBorders>
            <w:shd w:val="clear" w:color="auto" w:fill="auto"/>
          </w:tcPr>
          <w:p w14:paraId="1B39E7BB" w14:textId="77777777" w:rsidR="008878A0" w:rsidRPr="001838EE" w:rsidRDefault="008878A0" w:rsidP="001838EE">
            <w:pPr>
              <w:spacing w:after="0" w:line="240" w:lineRule="auto"/>
              <w:jc w:val="right"/>
              <w:rPr>
                <w:rFonts w:eastAsia="Arial Narrow" w:cs="Calibri"/>
                <w:szCs w:val="18"/>
              </w:rPr>
            </w:pPr>
          </w:p>
          <w:p w14:paraId="177BC42F"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3,3</w:t>
            </w:r>
          </w:p>
        </w:tc>
        <w:tc>
          <w:tcPr>
            <w:tcW w:w="896" w:type="dxa"/>
            <w:tcBorders>
              <w:top w:val="single" w:sz="4" w:space="0" w:color="FFFFFF"/>
              <w:bottom w:val="single" w:sz="8" w:space="0" w:color="F3CFC1"/>
            </w:tcBorders>
            <w:shd w:val="clear" w:color="auto" w:fill="auto"/>
          </w:tcPr>
          <w:p w14:paraId="0221EAFC" w14:textId="77777777" w:rsidR="008878A0" w:rsidRPr="001838EE" w:rsidRDefault="008878A0" w:rsidP="001838EE">
            <w:pPr>
              <w:spacing w:after="0" w:line="240" w:lineRule="auto"/>
              <w:jc w:val="right"/>
              <w:rPr>
                <w:rFonts w:eastAsia="Arial Narrow" w:cs="Calibri"/>
                <w:szCs w:val="18"/>
              </w:rPr>
            </w:pPr>
          </w:p>
          <w:p w14:paraId="6A4089F4"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3,8</w:t>
            </w:r>
          </w:p>
        </w:tc>
        <w:tc>
          <w:tcPr>
            <w:tcW w:w="1345" w:type="dxa"/>
            <w:tcBorders>
              <w:top w:val="single" w:sz="4" w:space="0" w:color="FFFFFF"/>
              <w:bottom w:val="single" w:sz="8" w:space="0" w:color="F3CFC1"/>
              <w:right w:val="single" w:sz="8" w:space="0" w:color="D2232A"/>
            </w:tcBorders>
            <w:shd w:val="clear" w:color="auto" w:fill="auto"/>
          </w:tcPr>
          <w:p w14:paraId="48F94FA0" w14:textId="77777777" w:rsidR="008878A0" w:rsidRPr="001838EE" w:rsidRDefault="008878A0" w:rsidP="001838EE">
            <w:pPr>
              <w:spacing w:after="0" w:line="240" w:lineRule="auto"/>
              <w:jc w:val="center"/>
              <w:rPr>
                <w:rFonts w:eastAsia="Arial Narrow" w:cs="Calibri"/>
                <w:szCs w:val="18"/>
              </w:rPr>
            </w:pPr>
          </w:p>
          <w:p w14:paraId="1F7092E1"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3,5</w:t>
            </w:r>
          </w:p>
        </w:tc>
      </w:tr>
      <w:tr w:rsidR="008878A0" w:rsidRPr="001838EE" w14:paraId="1C41C79F"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1BD7A46D" w14:textId="77777777" w:rsidR="008878A0" w:rsidRPr="001838EE" w:rsidRDefault="008878A0" w:rsidP="001838EE">
            <w:pPr>
              <w:spacing w:after="0" w:line="240" w:lineRule="auto"/>
              <w:ind w:left="103"/>
              <w:jc w:val="left"/>
              <w:rPr>
                <w:rFonts w:eastAsia="Arial Narrow" w:cs="Calibri"/>
                <w:szCs w:val="18"/>
              </w:rPr>
            </w:pPr>
            <w:r w:rsidRPr="001838EE">
              <w:rPr>
                <w:rFonts w:eastAsia="Arial Narrow" w:cs="Calibri"/>
                <w:b/>
                <w:color w:val="FFFFFF"/>
                <w:spacing w:val="-1"/>
                <w:szCs w:val="18"/>
              </w:rPr>
              <w:t>P</w:t>
            </w:r>
            <w:r w:rsidRPr="001838EE">
              <w:rPr>
                <w:rFonts w:eastAsia="Arial Narrow" w:cs="Calibri"/>
                <w:b/>
                <w:color w:val="FFFFFF"/>
                <w:szCs w:val="18"/>
              </w:rPr>
              <w:t>O</w:t>
            </w:r>
            <w:r w:rsidRPr="001838EE">
              <w:rPr>
                <w:rFonts w:eastAsia="Arial Narrow" w:cs="Calibri"/>
                <w:b/>
                <w:color w:val="FFFFFF"/>
                <w:spacing w:val="-1"/>
                <w:szCs w:val="18"/>
              </w:rPr>
              <w:t>S</w:t>
            </w:r>
            <w:r w:rsidRPr="001838EE">
              <w:rPr>
                <w:rFonts w:eastAsia="Arial Narrow" w:cs="Calibri"/>
                <w:b/>
                <w:color w:val="FFFFFF"/>
                <w:spacing w:val="1"/>
                <w:szCs w:val="18"/>
              </w:rPr>
              <w:t>L</w:t>
            </w:r>
            <w:r w:rsidRPr="001838EE">
              <w:rPr>
                <w:rFonts w:eastAsia="Arial Narrow" w:cs="Calibri"/>
                <w:b/>
                <w:color w:val="FFFFFF"/>
                <w:spacing w:val="3"/>
                <w:szCs w:val="18"/>
              </w:rPr>
              <w:t>O</w:t>
            </w:r>
            <w:r w:rsidRPr="001838EE">
              <w:rPr>
                <w:rFonts w:eastAsia="Arial Narrow" w:cs="Calibri"/>
                <w:b/>
                <w:color w:val="FFFFFF"/>
                <w:spacing w:val="-1"/>
                <w:szCs w:val="18"/>
              </w:rPr>
              <w:t>V</w:t>
            </w:r>
            <w:r w:rsidRPr="001838EE">
              <w:rPr>
                <w:rFonts w:eastAsia="Arial Narrow" w:cs="Calibri"/>
                <w:b/>
                <w:color w:val="FFFFFF"/>
                <w:szCs w:val="18"/>
              </w:rPr>
              <w:t>A</w:t>
            </w:r>
            <w:r w:rsidRPr="001838EE">
              <w:rPr>
                <w:rFonts w:eastAsia="Arial Narrow" w:cs="Calibri"/>
                <w:b/>
                <w:color w:val="FFFFFF"/>
                <w:spacing w:val="2"/>
                <w:szCs w:val="18"/>
              </w:rPr>
              <w:t>N</w:t>
            </w:r>
            <w:r w:rsidRPr="001838EE">
              <w:rPr>
                <w:rFonts w:eastAsia="Arial Narrow" w:cs="Calibri"/>
                <w:b/>
                <w:color w:val="FFFFFF"/>
                <w:szCs w:val="18"/>
              </w:rPr>
              <w:t>JE</w:t>
            </w:r>
            <w:r w:rsidRPr="001838EE">
              <w:rPr>
                <w:rFonts w:eastAsia="Arial Narrow" w:cs="Calibri"/>
                <w:b/>
                <w:color w:val="FFFFFF"/>
                <w:spacing w:val="-12"/>
                <w:szCs w:val="18"/>
              </w:rPr>
              <w:t xml:space="preserve"> </w:t>
            </w:r>
            <w:r w:rsidRPr="001838EE">
              <w:rPr>
                <w:rFonts w:eastAsia="Arial Narrow" w:cs="Calibri"/>
                <w:b/>
                <w:color w:val="FFFFFF"/>
                <w:spacing w:val="2"/>
                <w:szCs w:val="18"/>
              </w:rPr>
              <w:t>N</w:t>
            </w:r>
            <w:r w:rsidRPr="001838EE">
              <w:rPr>
                <w:rFonts w:eastAsia="Arial Narrow" w:cs="Calibri"/>
                <w:b/>
                <w:color w:val="FFFFFF"/>
                <w:spacing w:val="-1"/>
                <w:szCs w:val="18"/>
              </w:rPr>
              <w:t>E</w:t>
            </w:r>
            <w:r w:rsidRPr="001838EE">
              <w:rPr>
                <w:rFonts w:eastAsia="Arial Narrow" w:cs="Calibri"/>
                <w:b/>
                <w:color w:val="FFFFFF"/>
                <w:spacing w:val="2"/>
                <w:szCs w:val="18"/>
              </w:rPr>
              <w:t>K</w:t>
            </w:r>
            <w:r w:rsidRPr="001838EE">
              <w:rPr>
                <w:rFonts w:eastAsia="Arial Narrow" w:cs="Calibri"/>
                <w:b/>
                <w:color w:val="FFFFFF"/>
                <w:szCs w:val="18"/>
              </w:rPr>
              <w:t>R</w:t>
            </w:r>
            <w:r w:rsidRPr="001838EE">
              <w:rPr>
                <w:rFonts w:eastAsia="Arial Narrow" w:cs="Calibri"/>
                <w:b/>
                <w:color w:val="FFFFFF"/>
                <w:spacing w:val="-1"/>
                <w:szCs w:val="18"/>
              </w:rPr>
              <w:t>E</w:t>
            </w:r>
            <w:r w:rsidRPr="001838EE">
              <w:rPr>
                <w:rFonts w:eastAsia="Arial Narrow" w:cs="Calibri"/>
                <w:b/>
                <w:color w:val="FFFFFF"/>
                <w:spacing w:val="1"/>
                <w:szCs w:val="18"/>
              </w:rPr>
              <w:t>T</w:t>
            </w:r>
            <w:r w:rsidRPr="001838EE">
              <w:rPr>
                <w:rFonts w:eastAsia="Arial Narrow" w:cs="Calibri"/>
                <w:b/>
                <w:color w:val="FFFFFF"/>
                <w:szCs w:val="18"/>
              </w:rPr>
              <w:t>N</w:t>
            </w:r>
            <w:r w:rsidRPr="001838EE">
              <w:rPr>
                <w:rFonts w:eastAsia="Arial Narrow" w:cs="Calibri"/>
                <w:b/>
                <w:color w:val="FFFFFF"/>
                <w:spacing w:val="3"/>
                <w:szCs w:val="18"/>
              </w:rPr>
              <w:t>I</w:t>
            </w:r>
            <w:r w:rsidRPr="001838EE">
              <w:rPr>
                <w:rFonts w:eastAsia="Arial Narrow" w:cs="Calibri"/>
                <w:b/>
                <w:color w:val="FFFFFF"/>
                <w:szCs w:val="18"/>
              </w:rPr>
              <w:t>NA</w:t>
            </w:r>
            <w:r w:rsidRPr="001838EE">
              <w:rPr>
                <w:rFonts w:eastAsia="Arial Narrow" w:cs="Calibri"/>
                <w:b/>
                <w:color w:val="FFFFFF"/>
                <w:spacing w:val="3"/>
                <w:szCs w:val="18"/>
              </w:rPr>
              <w:t>M</w:t>
            </w:r>
            <w:r w:rsidRPr="001838EE">
              <w:rPr>
                <w:rFonts w:eastAsia="Arial Narrow" w:cs="Calibri"/>
                <w:b/>
                <w:color w:val="FFFFFF"/>
                <w:szCs w:val="18"/>
              </w:rPr>
              <w:t>A</w:t>
            </w:r>
          </w:p>
        </w:tc>
        <w:tc>
          <w:tcPr>
            <w:tcW w:w="923" w:type="dxa"/>
            <w:tcBorders>
              <w:top w:val="single" w:sz="8" w:space="0" w:color="F3CFC1"/>
              <w:bottom w:val="single" w:sz="8" w:space="0" w:color="F3CFC1"/>
            </w:tcBorders>
            <w:shd w:val="clear" w:color="auto" w:fill="auto"/>
            <w:hideMark/>
          </w:tcPr>
          <w:p w14:paraId="3ACBA6AA"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-0,1</w:t>
            </w:r>
          </w:p>
        </w:tc>
        <w:tc>
          <w:tcPr>
            <w:tcW w:w="938" w:type="dxa"/>
            <w:tcBorders>
              <w:top w:val="single" w:sz="8" w:space="0" w:color="F3CFC1"/>
              <w:bottom w:val="single" w:sz="8" w:space="0" w:color="F3CFC1"/>
            </w:tcBorders>
            <w:shd w:val="clear" w:color="auto" w:fill="auto"/>
            <w:hideMark/>
          </w:tcPr>
          <w:p w14:paraId="31C5A306"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-0,4</w:t>
            </w:r>
          </w:p>
        </w:tc>
        <w:tc>
          <w:tcPr>
            <w:tcW w:w="897" w:type="dxa"/>
            <w:tcBorders>
              <w:top w:val="single" w:sz="8" w:space="0" w:color="F3CFC1"/>
              <w:bottom w:val="single" w:sz="8" w:space="0" w:color="F3CFC1"/>
            </w:tcBorders>
            <w:shd w:val="clear" w:color="auto" w:fill="auto"/>
            <w:hideMark/>
          </w:tcPr>
          <w:p w14:paraId="060BD9CD"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0,5</w:t>
            </w:r>
          </w:p>
        </w:tc>
        <w:tc>
          <w:tcPr>
            <w:tcW w:w="896" w:type="dxa"/>
            <w:tcBorders>
              <w:top w:val="single" w:sz="8" w:space="0" w:color="F3CFC1"/>
              <w:bottom w:val="single" w:sz="8" w:space="0" w:color="F3CFC1"/>
            </w:tcBorders>
            <w:shd w:val="clear" w:color="auto" w:fill="auto"/>
            <w:hideMark/>
          </w:tcPr>
          <w:p w14:paraId="0FAF3EEE"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-1,3</w:t>
            </w:r>
          </w:p>
        </w:tc>
        <w:tc>
          <w:tcPr>
            <w:tcW w:w="1345" w:type="dxa"/>
            <w:tcBorders>
              <w:top w:val="single" w:sz="8" w:space="0" w:color="F3CFC1"/>
              <w:bottom w:val="single" w:sz="8" w:space="0" w:color="F3CFC1"/>
              <w:right w:val="single" w:sz="8" w:space="0" w:color="D2232A"/>
            </w:tcBorders>
            <w:shd w:val="clear" w:color="auto" w:fill="auto"/>
            <w:hideMark/>
          </w:tcPr>
          <w:p w14:paraId="510DDF71"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9,9</w:t>
            </w:r>
          </w:p>
        </w:tc>
      </w:tr>
      <w:tr w:rsidR="008878A0" w:rsidRPr="001838EE" w14:paraId="39F1B1C1"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2293E2E0" w14:textId="77777777" w:rsidR="008878A0" w:rsidRPr="001838EE" w:rsidRDefault="008878A0" w:rsidP="001838EE">
            <w:pPr>
              <w:spacing w:after="0" w:line="240" w:lineRule="auto"/>
              <w:ind w:left="103" w:right="109"/>
              <w:jc w:val="left"/>
              <w:rPr>
                <w:rFonts w:eastAsia="Arial Narrow" w:cs="Calibri"/>
                <w:szCs w:val="18"/>
              </w:rPr>
            </w:pPr>
            <w:r w:rsidRPr="001838EE">
              <w:rPr>
                <w:rFonts w:eastAsia="Arial Narrow" w:cs="Calibri"/>
                <w:b/>
                <w:color w:val="FFFFFF"/>
                <w:szCs w:val="18"/>
              </w:rPr>
              <w:t>UK</w:t>
            </w:r>
            <w:r w:rsidRPr="001838EE">
              <w:rPr>
                <w:rFonts w:eastAsia="Arial Narrow" w:cs="Calibri"/>
                <w:b/>
                <w:color w:val="FFFFFF"/>
                <w:spacing w:val="1"/>
                <w:szCs w:val="18"/>
              </w:rPr>
              <w:t>L</w:t>
            </w:r>
            <w:r w:rsidRPr="001838EE">
              <w:rPr>
                <w:rFonts w:eastAsia="Arial Narrow" w:cs="Calibri"/>
                <w:b/>
                <w:color w:val="FFFFFF"/>
                <w:szCs w:val="18"/>
              </w:rPr>
              <w:t>ANJ</w:t>
            </w:r>
            <w:r w:rsidRPr="001838EE">
              <w:rPr>
                <w:rFonts w:eastAsia="Arial Narrow" w:cs="Calibri"/>
                <w:b/>
                <w:color w:val="FFFFFF"/>
                <w:spacing w:val="2"/>
                <w:szCs w:val="18"/>
              </w:rPr>
              <w:t>A</w:t>
            </w:r>
            <w:r w:rsidRPr="001838EE">
              <w:rPr>
                <w:rFonts w:eastAsia="Arial Narrow" w:cs="Calibri"/>
                <w:b/>
                <w:color w:val="FFFFFF"/>
                <w:szCs w:val="18"/>
              </w:rPr>
              <w:t>NJA</w:t>
            </w:r>
            <w:r w:rsidRPr="001838EE">
              <w:rPr>
                <w:rFonts w:eastAsia="Arial Narrow" w:cs="Calibri"/>
                <w:b/>
                <w:color w:val="FFFFFF"/>
                <w:spacing w:val="-11"/>
                <w:szCs w:val="18"/>
              </w:rPr>
              <w:t xml:space="preserve"> </w:t>
            </w:r>
            <w:r w:rsidRPr="001838EE">
              <w:rPr>
                <w:rFonts w:eastAsia="Arial Narrow" w:cs="Calibri"/>
                <w:b/>
                <w:color w:val="FFFFFF"/>
                <w:szCs w:val="18"/>
              </w:rPr>
              <w:t>O</w:t>
            </w:r>
            <w:r w:rsidRPr="001838EE">
              <w:rPr>
                <w:rFonts w:eastAsia="Arial Narrow" w:cs="Calibri"/>
                <w:b/>
                <w:color w:val="FFFFFF"/>
                <w:spacing w:val="3"/>
                <w:szCs w:val="18"/>
              </w:rPr>
              <w:t>T</w:t>
            </w:r>
            <w:r w:rsidRPr="001838EE">
              <w:rPr>
                <w:rFonts w:eastAsia="Arial Narrow" w:cs="Calibri"/>
                <w:b/>
                <w:color w:val="FFFFFF"/>
                <w:spacing w:val="-1"/>
                <w:szCs w:val="18"/>
              </w:rPr>
              <w:t>P</w:t>
            </w:r>
            <w:r w:rsidRPr="001838EE">
              <w:rPr>
                <w:rFonts w:eastAsia="Arial Narrow" w:cs="Calibri"/>
                <w:b/>
                <w:color w:val="FFFFFF"/>
                <w:szCs w:val="18"/>
              </w:rPr>
              <w:t>ADN</w:t>
            </w:r>
            <w:r w:rsidRPr="001838EE">
              <w:rPr>
                <w:rFonts w:eastAsia="Arial Narrow" w:cs="Calibri"/>
                <w:b/>
                <w:color w:val="FFFFFF"/>
                <w:spacing w:val="3"/>
                <w:szCs w:val="18"/>
              </w:rPr>
              <w:t>I</w:t>
            </w:r>
            <w:r w:rsidRPr="001838EE">
              <w:rPr>
                <w:rFonts w:eastAsia="Arial Narrow" w:cs="Calibri"/>
                <w:b/>
                <w:color w:val="FFFFFF"/>
                <w:szCs w:val="18"/>
              </w:rPr>
              <w:t>H</w:t>
            </w:r>
            <w:r w:rsidRPr="001838EE">
              <w:rPr>
                <w:rFonts w:eastAsia="Arial Narrow" w:cs="Calibri"/>
                <w:b/>
                <w:color w:val="FFFFFF"/>
                <w:spacing w:val="-9"/>
                <w:szCs w:val="18"/>
              </w:rPr>
              <w:t xml:space="preserve"> </w:t>
            </w:r>
            <w:r w:rsidRPr="001838EE">
              <w:rPr>
                <w:rFonts w:eastAsia="Arial Narrow" w:cs="Calibri"/>
                <w:b/>
                <w:color w:val="FFFFFF"/>
                <w:spacing w:val="2"/>
                <w:szCs w:val="18"/>
              </w:rPr>
              <w:t>V</w:t>
            </w:r>
            <w:r w:rsidRPr="001838EE">
              <w:rPr>
                <w:rFonts w:eastAsia="Arial Narrow" w:cs="Calibri"/>
                <w:b/>
                <w:color w:val="FFFFFF"/>
                <w:szCs w:val="18"/>
              </w:rPr>
              <w:t>O</w:t>
            </w:r>
            <w:r w:rsidRPr="001838EE">
              <w:rPr>
                <w:rFonts w:eastAsia="Arial Narrow" w:cs="Calibri"/>
                <w:b/>
                <w:color w:val="FFFFFF"/>
                <w:spacing w:val="2"/>
                <w:szCs w:val="18"/>
              </w:rPr>
              <w:t>D</w:t>
            </w:r>
            <w:r w:rsidRPr="001838EE">
              <w:rPr>
                <w:rFonts w:eastAsia="Arial Narrow" w:cs="Calibri"/>
                <w:b/>
                <w:color w:val="FFFFFF"/>
                <w:szCs w:val="18"/>
              </w:rPr>
              <w:t>A, OD</w:t>
            </w:r>
            <w:r w:rsidRPr="001838EE">
              <w:rPr>
                <w:rFonts w:eastAsia="Arial Narrow" w:cs="Calibri"/>
                <w:b/>
                <w:color w:val="FFFFFF"/>
                <w:spacing w:val="-1"/>
                <w:szCs w:val="18"/>
              </w:rPr>
              <w:t>V</w:t>
            </w:r>
            <w:r w:rsidRPr="001838EE">
              <w:rPr>
                <w:rFonts w:eastAsia="Arial Narrow" w:cs="Calibri"/>
                <w:b/>
                <w:color w:val="FFFFFF"/>
                <w:szCs w:val="18"/>
              </w:rPr>
              <w:t>OZ</w:t>
            </w:r>
            <w:r w:rsidRPr="001838EE">
              <w:rPr>
                <w:rFonts w:eastAsia="Arial Narrow" w:cs="Calibri"/>
                <w:b/>
                <w:color w:val="FFFFFF"/>
                <w:spacing w:val="-3"/>
                <w:szCs w:val="18"/>
              </w:rPr>
              <w:t xml:space="preserve"> </w:t>
            </w:r>
            <w:r w:rsidRPr="001838EE">
              <w:rPr>
                <w:rFonts w:eastAsia="Arial Narrow" w:cs="Calibri"/>
                <w:b/>
                <w:color w:val="FFFFFF"/>
                <w:spacing w:val="-1"/>
                <w:szCs w:val="18"/>
              </w:rPr>
              <w:t>S</w:t>
            </w:r>
            <w:r w:rsidRPr="001838EE">
              <w:rPr>
                <w:rFonts w:eastAsia="Arial Narrow" w:cs="Calibri"/>
                <w:b/>
                <w:color w:val="FFFFFF"/>
                <w:spacing w:val="1"/>
                <w:szCs w:val="18"/>
              </w:rPr>
              <w:t>M</w:t>
            </w:r>
            <w:r w:rsidRPr="001838EE">
              <w:rPr>
                <w:rFonts w:eastAsia="Arial Narrow" w:cs="Calibri"/>
                <w:b/>
                <w:color w:val="FFFFFF"/>
                <w:spacing w:val="-1"/>
                <w:szCs w:val="18"/>
              </w:rPr>
              <w:t>E</w:t>
            </w:r>
            <w:r w:rsidRPr="001838EE">
              <w:rPr>
                <w:rFonts w:eastAsia="Arial Narrow" w:cs="Calibri"/>
                <w:b/>
                <w:color w:val="FFFFFF"/>
                <w:spacing w:val="2"/>
                <w:szCs w:val="18"/>
              </w:rPr>
              <w:t>Ć</w:t>
            </w:r>
            <w:r w:rsidRPr="001838EE">
              <w:rPr>
                <w:rFonts w:eastAsia="Arial Narrow" w:cs="Calibri"/>
                <w:b/>
                <w:color w:val="FFFFFF"/>
                <w:szCs w:val="18"/>
              </w:rPr>
              <w:t>A,</w:t>
            </w:r>
            <w:r w:rsidRPr="001838EE">
              <w:rPr>
                <w:rFonts w:eastAsia="Arial Narrow" w:cs="Calibri"/>
                <w:b/>
                <w:color w:val="FFFFFF"/>
                <w:spacing w:val="-6"/>
                <w:szCs w:val="18"/>
              </w:rPr>
              <w:t xml:space="preserve"> </w:t>
            </w:r>
            <w:r w:rsidRPr="001838EE">
              <w:rPr>
                <w:rFonts w:eastAsia="Arial Narrow" w:cs="Calibri"/>
                <w:b/>
                <w:color w:val="FFFFFF"/>
                <w:spacing w:val="2"/>
                <w:szCs w:val="18"/>
              </w:rPr>
              <w:t>S</w:t>
            </w:r>
            <w:r w:rsidRPr="001838EE">
              <w:rPr>
                <w:rFonts w:eastAsia="Arial Narrow" w:cs="Calibri"/>
                <w:b/>
                <w:color w:val="FFFFFF"/>
                <w:szCs w:val="18"/>
              </w:rPr>
              <w:t>ANI</w:t>
            </w:r>
            <w:r w:rsidRPr="001838EE">
              <w:rPr>
                <w:rFonts w:eastAsia="Arial Narrow" w:cs="Calibri"/>
                <w:b/>
                <w:color w:val="FFFFFF"/>
                <w:spacing w:val="1"/>
                <w:szCs w:val="18"/>
              </w:rPr>
              <w:t>T</w:t>
            </w:r>
            <w:r w:rsidRPr="001838EE">
              <w:rPr>
                <w:rFonts w:eastAsia="Arial Narrow" w:cs="Calibri"/>
                <w:b/>
                <w:color w:val="FFFFFF"/>
                <w:szCs w:val="18"/>
              </w:rPr>
              <w:t>A</w:t>
            </w:r>
            <w:r w:rsidRPr="001838EE">
              <w:rPr>
                <w:rFonts w:eastAsia="Arial Narrow" w:cs="Calibri"/>
                <w:b/>
                <w:color w:val="FFFFFF"/>
                <w:spacing w:val="2"/>
                <w:szCs w:val="18"/>
              </w:rPr>
              <w:t>R</w:t>
            </w:r>
            <w:r w:rsidRPr="001838EE">
              <w:rPr>
                <w:rFonts w:eastAsia="Arial Narrow" w:cs="Calibri"/>
                <w:b/>
                <w:color w:val="FFFFFF"/>
                <w:szCs w:val="18"/>
              </w:rPr>
              <w:t>NE</w:t>
            </w:r>
            <w:r w:rsidRPr="001838EE">
              <w:rPr>
                <w:rFonts w:eastAsia="Arial Narrow" w:cs="Calibri"/>
                <w:b/>
                <w:color w:val="FFFFFF"/>
                <w:spacing w:val="-11"/>
                <w:szCs w:val="18"/>
              </w:rPr>
              <w:t xml:space="preserve"> </w:t>
            </w:r>
            <w:r w:rsidRPr="001838EE">
              <w:rPr>
                <w:rFonts w:eastAsia="Arial Narrow" w:cs="Calibri"/>
                <w:b/>
                <w:color w:val="FFFFFF"/>
                <w:szCs w:val="18"/>
              </w:rPr>
              <w:t>I</w:t>
            </w:r>
            <w:r w:rsidRPr="001838EE">
              <w:rPr>
                <w:rFonts w:eastAsia="Arial Narrow" w:cs="Calibri"/>
                <w:b/>
                <w:color w:val="FFFFFF"/>
                <w:spacing w:val="3"/>
                <w:szCs w:val="18"/>
              </w:rPr>
              <w:t xml:space="preserve"> </w:t>
            </w:r>
            <w:r w:rsidRPr="001838EE">
              <w:rPr>
                <w:rFonts w:eastAsia="Arial Narrow" w:cs="Calibri"/>
                <w:b/>
                <w:color w:val="FFFFFF"/>
                <w:spacing w:val="-1"/>
                <w:szCs w:val="18"/>
              </w:rPr>
              <w:t>S</w:t>
            </w:r>
            <w:r w:rsidRPr="001838EE">
              <w:rPr>
                <w:rFonts w:eastAsia="Arial Narrow" w:cs="Calibri"/>
                <w:b/>
                <w:color w:val="FFFFFF"/>
                <w:spacing w:val="1"/>
                <w:szCs w:val="18"/>
              </w:rPr>
              <w:t>L</w:t>
            </w:r>
            <w:r w:rsidRPr="001838EE">
              <w:rPr>
                <w:rFonts w:eastAsia="Arial Narrow" w:cs="Calibri"/>
                <w:b/>
                <w:color w:val="FFFFFF"/>
                <w:szCs w:val="18"/>
              </w:rPr>
              <w:t>IČ</w:t>
            </w:r>
            <w:r w:rsidRPr="001838EE">
              <w:rPr>
                <w:rFonts w:eastAsia="Arial Narrow" w:cs="Calibri"/>
                <w:b/>
                <w:color w:val="FFFFFF"/>
                <w:spacing w:val="2"/>
                <w:szCs w:val="18"/>
              </w:rPr>
              <w:t>N</w:t>
            </w:r>
            <w:r w:rsidRPr="001838EE">
              <w:rPr>
                <w:rFonts w:eastAsia="Arial Narrow" w:cs="Calibri"/>
                <w:b/>
                <w:color w:val="FFFFFF"/>
                <w:szCs w:val="18"/>
              </w:rPr>
              <w:t>E DJ</w:t>
            </w:r>
            <w:r w:rsidRPr="001838EE">
              <w:rPr>
                <w:rFonts w:eastAsia="Arial Narrow" w:cs="Calibri"/>
                <w:b/>
                <w:color w:val="FFFFFF"/>
                <w:spacing w:val="-1"/>
                <w:szCs w:val="18"/>
              </w:rPr>
              <w:t>E</w:t>
            </w:r>
            <w:r w:rsidRPr="001838EE">
              <w:rPr>
                <w:rFonts w:eastAsia="Arial Narrow" w:cs="Calibri"/>
                <w:b/>
                <w:color w:val="FFFFFF"/>
                <w:spacing w:val="1"/>
                <w:szCs w:val="18"/>
              </w:rPr>
              <w:t>L</w:t>
            </w:r>
            <w:r w:rsidRPr="001838EE">
              <w:rPr>
                <w:rFonts w:eastAsia="Arial Narrow" w:cs="Calibri"/>
                <w:b/>
                <w:color w:val="FFFFFF"/>
                <w:szCs w:val="18"/>
              </w:rPr>
              <w:t>A</w:t>
            </w:r>
            <w:r w:rsidRPr="001838EE">
              <w:rPr>
                <w:rFonts w:eastAsia="Arial Narrow" w:cs="Calibri"/>
                <w:b/>
                <w:color w:val="FFFFFF"/>
                <w:spacing w:val="1"/>
                <w:szCs w:val="18"/>
              </w:rPr>
              <w:t>T</w:t>
            </w:r>
            <w:r w:rsidRPr="001838EE">
              <w:rPr>
                <w:rFonts w:eastAsia="Arial Narrow" w:cs="Calibri"/>
                <w:b/>
                <w:color w:val="FFFFFF"/>
                <w:szCs w:val="18"/>
              </w:rPr>
              <w:t>N</w:t>
            </w:r>
            <w:r w:rsidRPr="001838EE">
              <w:rPr>
                <w:rFonts w:eastAsia="Arial Narrow" w:cs="Calibri"/>
                <w:b/>
                <w:color w:val="FFFFFF"/>
                <w:spacing w:val="3"/>
                <w:szCs w:val="18"/>
              </w:rPr>
              <w:t>O</w:t>
            </w:r>
            <w:r w:rsidRPr="001838EE">
              <w:rPr>
                <w:rFonts w:eastAsia="Arial Narrow" w:cs="Calibri"/>
                <w:b/>
                <w:color w:val="FFFFFF"/>
                <w:spacing w:val="-1"/>
                <w:szCs w:val="18"/>
              </w:rPr>
              <w:t>S</w:t>
            </w:r>
            <w:r w:rsidRPr="001838EE">
              <w:rPr>
                <w:rFonts w:eastAsia="Arial Narrow" w:cs="Calibri"/>
                <w:b/>
                <w:color w:val="FFFFFF"/>
                <w:spacing w:val="1"/>
                <w:szCs w:val="18"/>
              </w:rPr>
              <w:t>T</w:t>
            </w:r>
            <w:r w:rsidRPr="001838EE">
              <w:rPr>
                <w:rFonts w:eastAsia="Arial Narrow" w:cs="Calibri"/>
                <w:b/>
                <w:color w:val="FFFFFF"/>
                <w:szCs w:val="18"/>
              </w:rPr>
              <w:t>I</w:t>
            </w:r>
          </w:p>
        </w:tc>
        <w:tc>
          <w:tcPr>
            <w:tcW w:w="923" w:type="dxa"/>
            <w:tcBorders>
              <w:top w:val="single" w:sz="8" w:space="0" w:color="F3CFC1"/>
              <w:bottom w:val="single" w:sz="8" w:space="0" w:color="F3CFC1"/>
            </w:tcBorders>
            <w:shd w:val="clear" w:color="auto" w:fill="auto"/>
          </w:tcPr>
          <w:p w14:paraId="1E736320" w14:textId="77777777" w:rsidR="008878A0" w:rsidRPr="001838EE" w:rsidRDefault="008878A0" w:rsidP="001838EE">
            <w:pPr>
              <w:spacing w:after="0" w:line="240" w:lineRule="auto"/>
              <w:jc w:val="right"/>
              <w:rPr>
                <w:rFonts w:eastAsia="Times New Roman" w:cs="Calibri"/>
                <w:szCs w:val="18"/>
              </w:rPr>
            </w:pPr>
          </w:p>
          <w:p w14:paraId="4BAE7B7F"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938" w:type="dxa"/>
            <w:tcBorders>
              <w:top w:val="single" w:sz="8" w:space="0" w:color="F3CFC1"/>
              <w:bottom w:val="single" w:sz="8" w:space="0" w:color="F3CFC1"/>
            </w:tcBorders>
            <w:shd w:val="clear" w:color="auto" w:fill="auto"/>
          </w:tcPr>
          <w:p w14:paraId="7FC48BCD" w14:textId="77777777" w:rsidR="008878A0" w:rsidRPr="001838EE" w:rsidRDefault="008878A0" w:rsidP="001838EE">
            <w:pPr>
              <w:spacing w:after="0" w:line="240" w:lineRule="auto"/>
              <w:jc w:val="right"/>
              <w:rPr>
                <w:rFonts w:eastAsia="Times New Roman" w:cs="Calibri"/>
                <w:szCs w:val="18"/>
              </w:rPr>
            </w:pPr>
          </w:p>
          <w:p w14:paraId="3234416B"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8,5</w:t>
            </w:r>
          </w:p>
        </w:tc>
        <w:tc>
          <w:tcPr>
            <w:tcW w:w="897" w:type="dxa"/>
            <w:tcBorders>
              <w:top w:val="single" w:sz="8" w:space="0" w:color="F3CFC1"/>
              <w:bottom w:val="single" w:sz="8" w:space="0" w:color="F3CFC1"/>
            </w:tcBorders>
            <w:shd w:val="clear" w:color="auto" w:fill="auto"/>
          </w:tcPr>
          <w:p w14:paraId="19BE68C9" w14:textId="77777777" w:rsidR="008878A0" w:rsidRPr="001838EE" w:rsidRDefault="008878A0" w:rsidP="001838EE">
            <w:pPr>
              <w:spacing w:after="0" w:line="240" w:lineRule="auto"/>
              <w:jc w:val="right"/>
              <w:rPr>
                <w:rFonts w:eastAsia="Times New Roman" w:cs="Calibri"/>
                <w:szCs w:val="18"/>
              </w:rPr>
            </w:pPr>
          </w:p>
          <w:p w14:paraId="38C6A25D"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6" w:type="dxa"/>
            <w:tcBorders>
              <w:top w:val="single" w:sz="8" w:space="0" w:color="F3CFC1"/>
              <w:bottom w:val="single" w:sz="8" w:space="0" w:color="F3CFC1"/>
            </w:tcBorders>
            <w:shd w:val="clear" w:color="auto" w:fill="auto"/>
          </w:tcPr>
          <w:p w14:paraId="374F9E3B" w14:textId="77777777" w:rsidR="008878A0" w:rsidRPr="001838EE" w:rsidRDefault="008878A0" w:rsidP="001838EE">
            <w:pPr>
              <w:spacing w:after="0" w:line="240" w:lineRule="auto"/>
              <w:jc w:val="right"/>
              <w:rPr>
                <w:rFonts w:eastAsia="Times New Roman" w:cs="Calibri"/>
                <w:szCs w:val="18"/>
              </w:rPr>
            </w:pPr>
          </w:p>
          <w:p w14:paraId="04760C1D"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1345" w:type="dxa"/>
            <w:tcBorders>
              <w:top w:val="single" w:sz="8" w:space="0" w:color="F3CFC1"/>
              <w:bottom w:val="single" w:sz="8" w:space="0" w:color="F3CFC1"/>
              <w:right w:val="single" w:sz="8" w:space="0" w:color="D2232A"/>
            </w:tcBorders>
            <w:shd w:val="clear" w:color="auto" w:fill="auto"/>
          </w:tcPr>
          <w:p w14:paraId="3FBB5D5F" w14:textId="77777777" w:rsidR="008878A0" w:rsidRPr="001838EE" w:rsidRDefault="008878A0" w:rsidP="001838EE">
            <w:pPr>
              <w:spacing w:after="0" w:line="240" w:lineRule="auto"/>
              <w:jc w:val="center"/>
              <w:rPr>
                <w:rFonts w:eastAsia="Times New Roman" w:cs="Calibri"/>
                <w:szCs w:val="18"/>
              </w:rPr>
            </w:pPr>
          </w:p>
          <w:p w14:paraId="11F9DF21"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0,0</w:t>
            </w:r>
          </w:p>
        </w:tc>
      </w:tr>
      <w:tr w:rsidR="008878A0" w:rsidRPr="001838EE" w14:paraId="53D77AA2"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083D1EDF" w14:textId="77777777" w:rsidR="008878A0" w:rsidRPr="001838EE" w:rsidRDefault="008878A0" w:rsidP="001838EE">
            <w:pPr>
              <w:spacing w:after="0" w:line="220" w:lineRule="exact"/>
              <w:ind w:left="103"/>
              <w:jc w:val="left"/>
              <w:rPr>
                <w:rFonts w:eastAsia="Arial Narrow" w:cs="Calibri"/>
                <w:color w:val="FFFFFF" w:themeColor="background1"/>
                <w:szCs w:val="18"/>
              </w:rPr>
            </w:pPr>
            <w:r w:rsidRPr="001838EE">
              <w:rPr>
                <w:rFonts w:eastAsia="Arial Narrow" w:cs="Calibri"/>
                <w:b/>
                <w:color w:val="FFFFFF" w:themeColor="background1"/>
                <w:spacing w:val="-1"/>
                <w:szCs w:val="18"/>
              </w:rPr>
              <w:t>P</w:t>
            </w:r>
            <w:r w:rsidRPr="001838EE">
              <w:rPr>
                <w:rFonts w:eastAsia="Arial Narrow" w:cs="Calibri"/>
                <w:b/>
                <w:color w:val="FFFFFF" w:themeColor="background1"/>
                <w:szCs w:val="18"/>
              </w:rPr>
              <w:t>ROI</w:t>
            </w:r>
            <w:r w:rsidRPr="001838EE">
              <w:rPr>
                <w:rFonts w:eastAsia="Arial Narrow" w:cs="Calibri"/>
                <w:b/>
                <w:color w:val="FFFFFF" w:themeColor="background1"/>
                <w:spacing w:val="1"/>
                <w:szCs w:val="18"/>
              </w:rPr>
              <w:t>Z</w:t>
            </w:r>
            <w:r w:rsidRPr="001838EE">
              <w:rPr>
                <w:rFonts w:eastAsia="Arial Narrow" w:cs="Calibri"/>
                <w:b/>
                <w:color w:val="FFFFFF" w:themeColor="background1"/>
                <w:spacing w:val="2"/>
                <w:szCs w:val="18"/>
              </w:rPr>
              <w:t>V</w:t>
            </w:r>
            <w:r w:rsidRPr="001838EE">
              <w:rPr>
                <w:rFonts w:eastAsia="Arial Narrow" w:cs="Calibri"/>
                <w:b/>
                <w:color w:val="FFFFFF" w:themeColor="background1"/>
                <w:szCs w:val="18"/>
              </w:rPr>
              <w:t>ODN</w:t>
            </w:r>
            <w:r w:rsidRPr="001838EE">
              <w:rPr>
                <w:rFonts w:eastAsia="Arial Narrow" w:cs="Calibri"/>
                <w:b/>
                <w:color w:val="FFFFFF" w:themeColor="background1"/>
                <w:spacing w:val="3"/>
                <w:szCs w:val="18"/>
              </w:rPr>
              <w:t>J</w:t>
            </w:r>
            <w:r w:rsidRPr="001838EE">
              <w:rPr>
                <w:rFonts w:eastAsia="Arial Narrow" w:cs="Calibri"/>
                <w:b/>
                <w:color w:val="FFFFFF" w:themeColor="background1"/>
                <w:szCs w:val="18"/>
              </w:rPr>
              <w:t>A</w:t>
            </w:r>
            <w:r w:rsidRPr="001838EE">
              <w:rPr>
                <w:rFonts w:eastAsia="Arial Narrow" w:cs="Calibri"/>
                <w:b/>
                <w:color w:val="FFFFFF" w:themeColor="background1"/>
                <w:spacing w:val="-12"/>
                <w:szCs w:val="18"/>
              </w:rPr>
              <w:t xml:space="preserve"> </w:t>
            </w:r>
            <w:r w:rsidRPr="001838EE">
              <w:rPr>
                <w:rFonts w:eastAsia="Arial Narrow" w:cs="Calibri"/>
                <w:b/>
                <w:color w:val="FFFFFF" w:themeColor="background1"/>
                <w:spacing w:val="1"/>
                <w:szCs w:val="18"/>
              </w:rPr>
              <w:t>T</w:t>
            </w:r>
            <w:r w:rsidRPr="001838EE">
              <w:rPr>
                <w:rFonts w:eastAsia="Arial Narrow" w:cs="Calibri"/>
                <w:b/>
                <w:color w:val="FFFFFF" w:themeColor="background1"/>
                <w:spacing w:val="-1"/>
                <w:szCs w:val="18"/>
              </w:rPr>
              <w:t>E</w:t>
            </w:r>
            <w:r w:rsidRPr="001838EE">
              <w:rPr>
                <w:rFonts w:eastAsia="Arial Narrow" w:cs="Calibri"/>
                <w:b/>
                <w:color w:val="FFFFFF" w:themeColor="background1"/>
                <w:spacing w:val="2"/>
                <w:szCs w:val="18"/>
              </w:rPr>
              <w:t>K</w:t>
            </w:r>
            <w:r w:rsidRPr="001838EE">
              <w:rPr>
                <w:rFonts w:eastAsia="Arial Narrow" w:cs="Calibri"/>
                <w:b/>
                <w:color w:val="FFFFFF" w:themeColor="background1"/>
                <w:spacing w:val="-1"/>
                <w:szCs w:val="18"/>
              </w:rPr>
              <w:t>S</w:t>
            </w:r>
            <w:r w:rsidRPr="001838EE">
              <w:rPr>
                <w:rFonts w:eastAsia="Arial Narrow" w:cs="Calibri"/>
                <w:b/>
                <w:color w:val="FFFFFF" w:themeColor="background1"/>
                <w:spacing w:val="1"/>
                <w:szCs w:val="18"/>
              </w:rPr>
              <w:t>T</w:t>
            </w:r>
            <w:r w:rsidRPr="001838EE">
              <w:rPr>
                <w:rFonts w:eastAsia="Arial Narrow" w:cs="Calibri"/>
                <w:b/>
                <w:color w:val="FFFFFF" w:themeColor="background1"/>
                <w:szCs w:val="18"/>
              </w:rPr>
              <w:t>I</w:t>
            </w:r>
            <w:r w:rsidRPr="001838EE">
              <w:rPr>
                <w:rFonts w:eastAsia="Arial Narrow" w:cs="Calibri"/>
                <w:b/>
                <w:color w:val="FFFFFF" w:themeColor="background1"/>
                <w:spacing w:val="1"/>
                <w:szCs w:val="18"/>
              </w:rPr>
              <w:t>L</w:t>
            </w:r>
            <w:r w:rsidRPr="001838EE">
              <w:rPr>
                <w:rFonts w:eastAsia="Arial Narrow" w:cs="Calibri"/>
                <w:b/>
                <w:color w:val="FFFFFF" w:themeColor="background1"/>
                <w:szCs w:val="18"/>
              </w:rPr>
              <w:t>A</w:t>
            </w:r>
          </w:p>
        </w:tc>
        <w:tc>
          <w:tcPr>
            <w:tcW w:w="923" w:type="dxa"/>
            <w:tcBorders>
              <w:top w:val="single" w:sz="8" w:space="0" w:color="F3CFC1"/>
              <w:bottom w:val="single" w:sz="8" w:space="0" w:color="F3CFC1"/>
            </w:tcBorders>
            <w:shd w:val="clear" w:color="auto" w:fill="auto"/>
            <w:hideMark/>
          </w:tcPr>
          <w:p w14:paraId="2BD5F7C0"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-2,0</w:t>
            </w:r>
          </w:p>
        </w:tc>
        <w:tc>
          <w:tcPr>
            <w:tcW w:w="938" w:type="dxa"/>
            <w:tcBorders>
              <w:top w:val="single" w:sz="8" w:space="0" w:color="F3CFC1"/>
              <w:bottom w:val="single" w:sz="8" w:space="0" w:color="F3CFC1"/>
            </w:tcBorders>
            <w:shd w:val="clear" w:color="auto" w:fill="auto"/>
            <w:hideMark/>
          </w:tcPr>
          <w:p w14:paraId="4A8E5711"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-0,8</w:t>
            </w:r>
          </w:p>
        </w:tc>
        <w:tc>
          <w:tcPr>
            <w:tcW w:w="897" w:type="dxa"/>
            <w:tcBorders>
              <w:top w:val="single" w:sz="8" w:space="0" w:color="F3CFC1"/>
              <w:bottom w:val="single" w:sz="8" w:space="0" w:color="F3CFC1"/>
            </w:tcBorders>
            <w:shd w:val="clear" w:color="auto" w:fill="auto"/>
            <w:hideMark/>
          </w:tcPr>
          <w:p w14:paraId="51AF0A9B"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1,1</w:t>
            </w:r>
          </w:p>
        </w:tc>
        <w:tc>
          <w:tcPr>
            <w:tcW w:w="896" w:type="dxa"/>
            <w:tcBorders>
              <w:top w:val="single" w:sz="8" w:space="0" w:color="F3CFC1"/>
              <w:bottom w:val="single" w:sz="8" w:space="0" w:color="F3CFC1"/>
            </w:tcBorders>
            <w:shd w:val="clear" w:color="auto" w:fill="auto"/>
            <w:hideMark/>
          </w:tcPr>
          <w:p w14:paraId="4336B792"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3,4</w:t>
            </w:r>
          </w:p>
        </w:tc>
        <w:tc>
          <w:tcPr>
            <w:tcW w:w="1345" w:type="dxa"/>
            <w:tcBorders>
              <w:top w:val="single" w:sz="8" w:space="0" w:color="F3CFC1"/>
              <w:bottom w:val="single" w:sz="8" w:space="0" w:color="F3CFC1"/>
              <w:right w:val="single" w:sz="8" w:space="0" w:color="D2232A"/>
            </w:tcBorders>
            <w:shd w:val="clear" w:color="auto" w:fill="auto"/>
            <w:hideMark/>
          </w:tcPr>
          <w:p w14:paraId="252D3F05" w14:textId="77777777" w:rsidR="008878A0" w:rsidRPr="001838EE" w:rsidRDefault="008878A0" w:rsidP="001838EE">
            <w:pPr>
              <w:spacing w:after="0" w:line="240" w:lineRule="auto"/>
              <w:jc w:val="center"/>
              <w:rPr>
                <w:rFonts w:eastAsia="Times New Roman" w:cs="Calibri"/>
                <w:szCs w:val="18"/>
              </w:rPr>
            </w:pPr>
            <w:r w:rsidRPr="001838EE">
              <w:rPr>
                <w:rFonts w:eastAsia="Times New Roman" w:cs="Calibri"/>
                <w:szCs w:val="18"/>
              </w:rPr>
              <w:t>5,2</w:t>
            </w:r>
          </w:p>
        </w:tc>
      </w:tr>
      <w:tr w:rsidR="008878A0" w:rsidRPr="001838EE" w14:paraId="0B6E026B"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0C886E33" w14:textId="77777777" w:rsidR="008878A0" w:rsidRPr="001838EE" w:rsidRDefault="008878A0" w:rsidP="001838EE">
            <w:pPr>
              <w:spacing w:after="0" w:line="240" w:lineRule="auto"/>
              <w:ind w:left="103"/>
              <w:jc w:val="left"/>
              <w:rPr>
                <w:rFonts w:eastAsia="Arial Narrow" w:cs="Calibri"/>
                <w:szCs w:val="18"/>
              </w:rPr>
            </w:pPr>
            <w:r w:rsidRPr="001838EE">
              <w:rPr>
                <w:rFonts w:eastAsia="Arial Narrow" w:cs="Calibri"/>
                <w:b/>
                <w:color w:val="FFFFFF"/>
                <w:szCs w:val="18"/>
              </w:rPr>
              <w:t>GRA</w:t>
            </w:r>
            <w:r w:rsidRPr="001838EE">
              <w:rPr>
                <w:rFonts w:eastAsia="Arial Narrow" w:cs="Calibri"/>
                <w:b/>
                <w:color w:val="FFFFFF"/>
                <w:spacing w:val="2"/>
                <w:szCs w:val="18"/>
              </w:rPr>
              <w:t>Đ</w:t>
            </w:r>
            <w:r w:rsidRPr="001838EE">
              <w:rPr>
                <w:rFonts w:eastAsia="Arial Narrow" w:cs="Calibri"/>
                <w:b/>
                <w:color w:val="FFFFFF"/>
                <w:spacing w:val="-1"/>
                <w:szCs w:val="18"/>
              </w:rPr>
              <w:t>EV</w:t>
            </w:r>
            <w:r w:rsidRPr="001838EE">
              <w:rPr>
                <w:rFonts w:eastAsia="Arial Narrow" w:cs="Calibri"/>
                <w:b/>
                <w:color w:val="FFFFFF"/>
                <w:spacing w:val="3"/>
                <w:szCs w:val="18"/>
              </w:rPr>
              <w:t>I</w:t>
            </w:r>
            <w:r w:rsidRPr="001838EE">
              <w:rPr>
                <w:rFonts w:eastAsia="Arial Narrow" w:cs="Calibri"/>
                <w:b/>
                <w:color w:val="FFFFFF"/>
                <w:szCs w:val="18"/>
              </w:rPr>
              <w:t>NA</w:t>
            </w:r>
            <w:r w:rsidRPr="001838EE">
              <w:rPr>
                <w:rFonts w:eastAsia="Arial Narrow" w:cs="Calibri"/>
                <w:b/>
                <w:color w:val="FFFFFF"/>
                <w:spacing w:val="2"/>
                <w:szCs w:val="18"/>
              </w:rPr>
              <w:t>R</w:t>
            </w:r>
            <w:r w:rsidRPr="001838EE">
              <w:rPr>
                <w:rFonts w:eastAsia="Arial Narrow" w:cs="Calibri"/>
                <w:b/>
                <w:color w:val="FFFFFF"/>
                <w:spacing w:val="-1"/>
                <w:szCs w:val="18"/>
              </w:rPr>
              <w:t>S</w:t>
            </w:r>
            <w:r w:rsidRPr="001838EE">
              <w:rPr>
                <w:rFonts w:eastAsia="Arial Narrow" w:cs="Calibri"/>
                <w:b/>
                <w:color w:val="FFFFFF"/>
                <w:spacing w:val="1"/>
                <w:szCs w:val="18"/>
              </w:rPr>
              <w:t>T</w:t>
            </w:r>
            <w:r w:rsidRPr="001838EE">
              <w:rPr>
                <w:rFonts w:eastAsia="Arial Narrow" w:cs="Calibri"/>
                <w:b/>
                <w:color w:val="FFFFFF"/>
                <w:spacing w:val="-1"/>
                <w:szCs w:val="18"/>
              </w:rPr>
              <w:t>V</w:t>
            </w:r>
            <w:r w:rsidRPr="001838EE">
              <w:rPr>
                <w:rFonts w:eastAsia="Arial Narrow" w:cs="Calibri"/>
                <w:b/>
                <w:color w:val="FFFFFF"/>
                <w:szCs w:val="18"/>
              </w:rPr>
              <w:t>O</w:t>
            </w:r>
          </w:p>
        </w:tc>
        <w:tc>
          <w:tcPr>
            <w:tcW w:w="923" w:type="dxa"/>
            <w:tcBorders>
              <w:top w:val="single" w:sz="8" w:space="0" w:color="F3CFC1"/>
              <w:bottom w:val="single" w:sz="8" w:space="0" w:color="F3CFC1"/>
            </w:tcBorders>
            <w:shd w:val="clear" w:color="auto" w:fill="auto"/>
            <w:hideMark/>
          </w:tcPr>
          <w:p w14:paraId="68F849BB"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1,7</w:t>
            </w:r>
          </w:p>
        </w:tc>
        <w:tc>
          <w:tcPr>
            <w:tcW w:w="938" w:type="dxa"/>
            <w:tcBorders>
              <w:top w:val="single" w:sz="8" w:space="0" w:color="F3CFC1"/>
              <w:bottom w:val="single" w:sz="8" w:space="0" w:color="F3CFC1"/>
            </w:tcBorders>
            <w:shd w:val="clear" w:color="auto" w:fill="auto"/>
            <w:hideMark/>
          </w:tcPr>
          <w:p w14:paraId="18317569"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0,3</w:t>
            </w:r>
          </w:p>
        </w:tc>
        <w:tc>
          <w:tcPr>
            <w:tcW w:w="897" w:type="dxa"/>
            <w:tcBorders>
              <w:top w:val="single" w:sz="8" w:space="0" w:color="F3CFC1"/>
              <w:bottom w:val="single" w:sz="8" w:space="0" w:color="F3CFC1"/>
            </w:tcBorders>
            <w:shd w:val="clear" w:color="auto" w:fill="auto"/>
            <w:hideMark/>
          </w:tcPr>
          <w:p w14:paraId="3C71F4E4"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0,3</w:t>
            </w:r>
          </w:p>
        </w:tc>
        <w:tc>
          <w:tcPr>
            <w:tcW w:w="896" w:type="dxa"/>
            <w:tcBorders>
              <w:top w:val="single" w:sz="8" w:space="0" w:color="F3CFC1"/>
              <w:bottom w:val="single" w:sz="8" w:space="0" w:color="F3CFC1"/>
            </w:tcBorders>
            <w:shd w:val="clear" w:color="auto" w:fill="auto"/>
            <w:hideMark/>
          </w:tcPr>
          <w:p w14:paraId="7ACCAE0F"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0,5</w:t>
            </w:r>
          </w:p>
        </w:tc>
        <w:tc>
          <w:tcPr>
            <w:tcW w:w="1345" w:type="dxa"/>
            <w:tcBorders>
              <w:top w:val="single" w:sz="8" w:space="0" w:color="F3CFC1"/>
              <w:bottom w:val="single" w:sz="8" w:space="0" w:color="F3CFC1"/>
              <w:right w:val="single" w:sz="8" w:space="0" w:color="D2232A"/>
            </w:tcBorders>
            <w:shd w:val="clear" w:color="auto" w:fill="auto"/>
            <w:hideMark/>
          </w:tcPr>
          <w:p w14:paraId="193E707C"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0,9</w:t>
            </w:r>
          </w:p>
        </w:tc>
      </w:tr>
      <w:tr w:rsidR="008878A0" w:rsidRPr="001838EE" w14:paraId="0E155D79"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165F6D49" w14:textId="77777777" w:rsidR="008878A0" w:rsidRPr="001838EE" w:rsidRDefault="008878A0" w:rsidP="001838EE">
            <w:pPr>
              <w:spacing w:after="0" w:line="240" w:lineRule="auto"/>
              <w:ind w:left="103" w:right="201"/>
              <w:jc w:val="left"/>
              <w:rPr>
                <w:rFonts w:eastAsia="Arial Narrow" w:cs="Calibri"/>
                <w:szCs w:val="18"/>
              </w:rPr>
            </w:pPr>
            <w:r w:rsidRPr="001838EE">
              <w:rPr>
                <w:rFonts w:eastAsia="Arial Narrow" w:cs="Calibri"/>
                <w:b/>
                <w:color w:val="FFFFFF"/>
                <w:spacing w:val="-1"/>
                <w:szCs w:val="18"/>
              </w:rPr>
              <w:t>P</w:t>
            </w:r>
            <w:r w:rsidRPr="001838EE">
              <w:rPr>
                <w:rFonts w:eastAsia="Arial Narrow" w:cs="Calibri"/>
                <w:b/>
                <w:color w:val="FFFFFF"/>
                <w:szCs w:val="18"/>
              </w:rPr>
              <w:t>ROI</w:t>
            </w:r>
            <w:r w:rsidRPr="001838EE">
              <w:rPr>
                <w:rFonts w:eastAsia="Arial Narrow" w:cs="Calibri"/>
                <w:b/>
                <w:color w:val="FFFFFF"/>
                <w:spacing w:val="1"/>
                <w:szCs w:val="18"/>
              </w:rPr>
              <w:t>Z</w:t>
            </w:r>
            <w:r w:rsidRPr="001838EE">
              <w:rPr>
                <w:rFonts w:eastAsia="Arial Narrow" w:cs="Calibri"/>
                <w:b/>
                <w:color w:val="FFFFFF"/>
                <w:spacing w:val="2"/>
                <w:szCs w:val="18"/>
              </w:rPr>
              <w:t>V</w:t>
            </w:r>
            <w:r w:rsidRPr="001838EE">
              <w:rPr>
                <w:rFonts w:eastAsia="Arial Narrow" w:cs="Calibri"/>
                <w:b/>
                <w:color w:val="FFFFFF"/>
                <w:szCs w:val="18"/>
              </w:rPr>
              <w:t>ODN</w:t>
            </w:r>
            <w:r w:rsidRPr="001838EE">
              <w:rPr>
                <w:rFonts w:eastAsia="Arial Narrow" w:cs="Calibri"/>
                <w:b/>
                <w:color w:val="FFFFFF"/>
                <w:spacing w:val="3"/>
                <w:szCs w:val="18"/>
              </w:rPr>
              <w:t>J</w:t>
            </w:r>
            <w:r w:rsidRPr="001838EE">
              <w:rPr>
                <w:rFonts w:eastAsia="Arial Narrow" w:cs="Calibri"/>
                <w:b/>
                <w:color w:val="FFFFFF"/>
                <w:szCs w:val="18"/>
              </w:rPr>
              <w:t>A</w:t>
            </w:r>
            <w:r w:rsidRPr="001838EE">
              <w:rPr>
                <w:rFonts w:eastAsia="Arial Narrow" w:cs="Calibri"/>
                <w:b/>
                <w:color w:val="FFFFFF"/>
                <w:spacing w:val="-12"/>
                <w:szCs w:val="18"/>
              </w:rPr>
              <w:t xml:space="preserve"> </w:t>
            </w:r>
            <w:r w:rsidRPr="001838EE">
              <w:rPr>
                <w:rFonts w:eastAsia="Arial Narrow" w:cs="Calibri"/>
                <w:b/>
                <w:color w:val="FFFFFF"/>
                <w:szCs w:val="18"/>
              </w:rPr>
              <w:t>C</w:t>
            </w:r>
            <w:r w:rsidRPr="001838EE">
              <w:rPr>
                <w:rFonts w:eastAsia="Arial Narrow" w:cs="Calibri"/>
                <w:b/>
                <w:color w:val="FFFFFF"/>
                <w:spacing w:val="-1"/>
                <w:szCs w:val="18"/>
              </w:rPr>
              <w:t>E</w:t>
            </w:r>
            <w:r w:rsidRPr="001838EE">
              <w:rPr>
                <w:rFonts w:eastAsia="Arial Narrow" w:cs="Calibri"/>
                <w:b/>
                <w:color w:val="FFFFFF"/>
                <w:spacing w:val="3"/>
                <w:szCs w:val="18"/>
              </w:rPr>
              <w:t>L</w:t>
            </w:r>
            <w:r w:rsidRPr="001838EE">
              <w:rPr>
                <w:rFonts w:eastAsia="Arial Narrow" w:cs="Calibri"/>
                <w:b/>
                <w:color w:val="FFFFFF"/>
                <w:szCs w:val="18"/>
              </w:rPr>
              <w:t>U</w:t>
            </w:r>
            <w:r w:rsidRPr="001838EE">
              <w:rPr>
                <w:rFonts w:eastAsia="Arial Narrow" w:cs="Calibri"/>
                <w:b/>
                <w:color w:val="FFFFFF"/>
                <w:spacing w:val="1"/>
                <w:szCs w:val="18"/>
              </w:rPr>
              <w:t>L</w:t>
            </w:r>
            <w:r w:rsidRPr="001838EE">
              <w:rPr>
                <w:rFonts w:eastAsia="Arial Narrow" w:cs="Calibri"/>
                <w:b/>
                <w:color w:val="FFFFFF"/>
                <w:szCs w:val="18"/>
              </w:rPr>
              <w:t>O</w:t>
            </w:r>
            <w:r w:rsidRPr="001838EE">
              <w:rPr>
                <w:rFonts w:eastAsia="Arial Narrow" w:cs="Calibri"/>
                <w:b/>
                <w:color w:val="FFFFFF"/>
                <w:spacing w:val="1"/>
                <w:szCs w:val="18"/>
              </w:rPr>
              <w:t>Z</w:t>
            </w:r>
            <w:r w:rsidRPr="001838EE">
              <w:rPr>
                <w:rFonts w:eastAsia="Arial Narrow" w:cs="Calibri"/>
                <w:b/>
                <w:color w:val="FFFFFF"/>
                <w:spacing w:val="-1"/>
                <w:szCs w:val="18"/>
              </w:rPr>
              <w:t>E</w:t>
            </w:r>
            <w:r w:rsidRPr="001838EE">
              <w:rPr>
                <w:rFonts w:eastAsia="Arial Narrow" w:cs="Calibri"/>
                <w:b/>
                <w:color w:val="FFFFFF"/>
                <w:szCs w:val="18"/>
              </w:rPr>
              <w:t>,</w:t>
            </w:r>
            <w:r w:rsidRPr="001838EE">
              <w:rPr>
                <w:rFonts w:eastAsia="Arial Narrow" w:cs="Calibri"/>
                <w:b/>
                <w:color w:val="FFFFFF"/>
                <w:spacing w:val="-9"/>
                <w:szCs w:val="18"/>
              </w:rPr>
              <w:t xml:space="preserve"> </w:t>
            </w:r>
            <w:r w:rsidRPr="001838EE">
              <w:rPr>
                <w:rFonts w:eastAsia="Arial Narrow" w:cs="Calibri"/>
                <w:b/>
                <w:color w:val="FFFFFF"/>
                <w:spacing w:val="2"/>
                <w:szCs w:val="18"/>
              </w:rPr>
              <w:t>PA</w:t>
            </w:r>
            <w:r w:rsidRPr="001838EE">
              <w:rPr>
                <w:rFonts w:eastAsia="Arial Narrow" w:cs="Calibri"/>
                <w:b/>
                <w:color w:val="FFFFFF"/>
                <w:spacing w:val="-1"/>
                <w:szCs w:val="18"/>
              </w:rPr>
              <w:t>P</w:t>
            </w:r>
            <w:r w:rsidRPr="001838EE">
              <w:rPr>
                <w:rFonts w:eastAsia="Arial Narrow" w:cs="Calibri"/>
                <w:b/>
                <w:color w:val="FFFFFF"/>
                <w:szCs w:val="18"/>
              </w:rPr>
              <w:t>IRA</w:t>
            </w:r>
            <w:r w:rsidRPr="001838EE">
              <w:rPr>
                <w:rFonts w:eastAsia="Arial Narrow" w:cs="Calibri"/>
                <w:b/>
                <w:color w:val="FFFFFF"/>
                <w:spacing w:val="-6"/>
                <w:szCs w:val="18"/>
              </w:rPr>
              <w:t xml:space="preserve"> </w:t>
            </w:r>
            <w:r w:rsidRPr="001838EE">
              <w:rPr>
                <w:rFonts w:eastAsia="Arial Narrow" w:cs="Calibri"/>
                <w:b/>
                <w:color w:val="FFFFFF"/>
                <w:szCs w:val="18"/>
              </w:rPr>
              <w:t xml:space="preserve">I </w:t>
            </w:r>
            <w:r w:rsidRPr="001838EE">
              <w:rPr>
                <w:rFonts w:eastAsia="Arial Narrow" w:cs="Calibri"/>
                <w:b/>
                <w:color w:val="FFFFFF"/>
                <w:spacing w:val="-1"/>
                <w:szCs w:val="18"/>
              </w:rPr>
              <w:t>P</w:t>
            </w:r>
            <w:r w:rsidRPr="001838EE">
              <w:rPr>
                <w:rFonts w:eastAsia="Arial Narrow" w:cs="Calibri"/>
                <w:b/>
                <w:color w:val="FFFFFF"/>
                <w:szCs w:val="18"/>
              </w:rPr>
              <w:t>ROI</w:t>
            </w:r>
            <w:r w:rsidRPr="001838EE">
              <w:rPr>
                <w:rFonts w:eastAsia="Arial Narrow" w:cs="Calibri"/>
                <w:b/>
                <w:color w:val="FFFFFF"/>
                <w:spacing w:val="1"/>
                <w:szCs w:val="18"/>
              </w:rPr>
              <w:t>Z</w:t>
            </w:r>
            <w:r w:rsidRPr="001838EE">
              <w:rPr>
                <w:rFonts w:eastAsia="Arial Narrow" w:cs="Calibri"/>
                <w:b/>
                <w:color w:val="FFFFFF"/>
                <w:spacing w:val="2"/>
                <w:szCs w:val="18"/>
              </w:rPr>
              <w:t>V</w:t>
            </w:r>
            <w:r w:rsidRPr="001838EE">
              <w:rPr>
                <w:rFonts w:eastAsia="Arial Narrow" w:cs="Calibri"/>
                <w:b/>
                <w:color w:val="FFFFFF"/>
                <w:szCs w:val="18"/>
              </w:rPr>
              <w:t>ODA</w:t>
            </w:r>
            <w:r w:rsidRPr="001838EE">
              <w:rPr>
                <w:rFonts w:eastAsia="Arial Narrow" w:cs="Calibri"/>
                <w:b/>
                <w:color w:val="FFFFFF"/>
                <w:spacing w:val="-10"/>
                <w:szCs w:val="18"/>
              </w:rPr>
              <w:t xml:space="preserve"> </w:t>
            </w:r>
            <w:r w:rsidRPr="001838EE">
              <w:rPr>
                <w:rFonts w:eastAsia="Arial Narrow" w:cs="Calibri"/>
                <w:b/>
                <w:color w:val="FFFFFF"/>
                <w:spacing w:val="3"/>
                <w:szCs w:val="18"/>
              </w:rPr>
              <w:t>O</w:t>
            </w:r>
            <w:r w:rsidRPr="001838EE">
              <w:rPr>
                <w:rFonts w:eastAsia="Arial Narrow" w:cs="Calibri"/>
                <w:b/>
                <w:color w:val="FFFFFF"/>
                <w:szCs w:val="18"/>
              </w:rPr>
              <w:t>D</w:t>
            </w:r>
            <w:r w:rsidRPr="001838EE">
              <w:rPr>
                <w:rFonts w:eastAsia="Arial Narrow" w:cs="Calibri"/>
                <w:b/>
                <w:color w:val="FFFFFF"/>
                <w:spacing w:val="-2"/>
                <w:szCs w:val="18"/>
              </w:rPr>
              <w:t xml:space="preserve"> </w:t>
            </w:r>
            <w:r w:rsidRPr="001838EE">
              <w:rPr>
                <w:rFonts w:eastAsia="Arial Narrow" w:cs="Calibri"/>
                <w:b/>
                <w:color w:val="FFFFFF"/>
                <w:spacing w:val="2"/>
                <w:szCs w:val="18"/>
              </w:rPr>
              <w:t>P</w:t>
            </w:r>
            <w:r w:rsidRPr="001838EE">
              <w:rPr>
                <w:rFonts w:eastAsia="Arial Narrow" w:cs="Calibri"/>
                <w:b/>
                <w:color w:val="FFFFFF"/>
                <w:szCs w:val="18"/>
              </w:rPr>
              <w:t>A</w:t>
            </w:r>
            <w:r w:rsidRPr="001838EE">
              <w:rPr>
                <w:rFonts w:eastAsia="Arial Narrow" w:cs="Calibri"/>
                <w:b/>
                <w:color w:val="FFFFFF"/>
                <w:spacing w:val="-1"/>
                <w:szCs w:val="18"/>
              </w:rPr>
              <w:t>P</w:t>
            </w:r>
            <w:r w:rsidRPr="001838EE">
              <w:rPr>
                <w:rFonts w:eastAsia="Arial Narrow" w:cs="Calibri"/>
                <w:b/>
                <w:color w:val="FFFFFF"/>
                <w:spacing w:val="3"/>
                <w:szCs w:val="18"/>
              </w:rPr>
              <w:t>I</w:t>
            </w:r>
            <w:r w:rsidRPr="001838EE">
              <w:rPr>
                <w:rFonts w:eastAsia="Arial Narrow" w:cs="Calibri"/>
                <w:b/>
                <w:color w:val="FFFFFF"/>
                <w:szCs w:val="18"/>
              </w:rPr>
              <w:t>RA</w:t>
            </w:r>
          </w:p>
        </w:tc>
        <w:tc>
          <w:tcPr>
            <w:tcW w:w="923" w:type="dxa"/>
            <w:tcBorders>
              <w:top w:val="single" w:sz="8" w:space="0" w:color="F3CFC1"/>
              <w:bottom w:val="single" w:sz="8" w:space="0" w:color="F3CFC1"/>
            </w:tcBorders>
            <w:shd w:val="clear" w:color="auto" w:fill="auto"/>
          </w:tcPr>
          <w:p w14:paraId="65F035A6" w14:textId="77777777" w:rsidR="008878A0" w:rsidRPr="001838EE" w:rsidRDefault="008878A0" w:rsidP="001838EE">
            <w:pPr>
              <w:spacing w:after="0" w:line="240" w:lineRule="auto"/>
              <w:jc w:val="right"/>
              <w:rPr>
                <w:rFonts w:eastAsia="Times New Roman" w:cs="Calibri"/>
                <w:szCs w:val="18"/>
              </w:rPr>
            </w:pPr>
          </w:p>
          <w:p w14:paraId="4B4720FB"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3,6</w:t>
            </w:r>
          </w:p>
        </w:tc>
        <w:tc>
          <w:tcPr>
            <w:tcW w:w="938" w:type="dxa"/>
            <w:tcBorders>
              <w:top w:val="single" w:sz="8" w:space="0" w:color="F3CFC1"/>
              <w:bottom w:val="single" w:sz="8" w:space="0" w:color="F3CFC1"/>
            </w:tcBorders>
            <w:shd w:val="clear" w:color="auto" w:fill="auto"/>
          </w:tcPr>
          <w:p w14:paraId="02C92ACF" w14:textId="77777777" w:rsidR="008878A0" w:rsidRPr="001838EE" w:rsidRDefault="008878A0" w:rsidP="001838EE">
            <w:pPr>
              <w:spacing w:after="0" w:line="240" w:lineRule="auto"/>
              <w:jc w:val="right"/>
              <w:rPr>
                <w:rFonts w:eastAsia="Times New Roman" w:cs="Calibri"/>
                <w:szCs w:val="18"/>
              </w:rPr>
            </w:pPr>
          </w:p>
          <w:p w14:paraId="7A7BF0B5"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-2,4</w:t>
            </w:r>
          </w:p>
        </w:tc>
        <w:tc>
          <w:tcPr>
            <w:tcW w:w="897" w:type="dxa"/>
            <w:tcBorders>
              <w:top w:val="single" w:sz="8" w:space="0" w:color="F3CFC1"/>
              <w:bottom w:val="single" w:sz="8" w:space="0" w:color="F3CFC1"/>
            </w:tcBorders>
            <w:shd w:val="clear" w:color="auto" w:fill="auto"/>
          </w:tcPr>
          <w:p w14:paraId="7FCE41B8" w14:textId="77777777" w:rsidR="008878A0" w:rsidRPr="001838EE" w:rsidRDefault="008878A0" w:rsidP="001838EE">
            <w:pPr>
              <w:spacing w:after="0" w:line="240" w:lineRule="auto"/>
              <w:jc w:val="right"/>
              <w:rPr>
                <w:rFonts w:eastAsia="Times New Roman" w:cs="Calibri"/>
                <w:szCs w:val="18"/>
              </w:rPr>
            </w:pPr>
          </w:p>
          <w:p w14:paraId="26BC2B41"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-0,2</w:t>
            </w:r>
          </w:p>
        </w:tc>
        <w:tc>
          <w:tcPr>
            <w:tcW w:w="896" w:type="dxa"/>
            <w:tcBorders>
              <w:top w:val="single" w:sz="8" w:space="0" w:color="F3CFC1"/>
              <w:bottom w:val="single" w:sz="8" w:space="0" w:color="F3CFC1"/>
            </w:tcBorders>
            <w:shd w:val="clear" w:color="auto" w:fill="auto"/>
          </w:tcPr>
          <w:p w14:paraId="1BD41663" w14:textId="77777777" w:rsidR="008878A0" w:rsidRPr="001838EE" w:rsidRDefault="008878A0" w:rsidP="001838EE">
            <w:pPr>
              <w:spacing w:after="0" w:line="240" w:lineRule="auto"/>
              <w:jc w:val="right"/>
              <w:rPr>
                <w:rFonts w:eastAsia="Times New Roman" w:cs="Calibri"/>
                <w:szCs w:val="18"/>
              </w:rPr>
            </w:pPr>
          </w:p>
          <w:p w14:paraId="326B892A"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1,1</w:t>
            </w:r>
          </w:p>
        </w:tc>
        <w:tc>
          <w:tcPr>
            <w:tcW w:w="1345" w:type="dxa"/>
            <w:tcBorders>
              <w:top w:val="single" w:sz="8" w:space="0" w:color="F3CFC1"/>
              <w:bottom w:val="single" w:sz="8" w:space="0" w:color="F3CFC1"/>
              <w:right w:val="single" w:sz="8" w:space="0" w:color="D2232A"/>
            </w:tcBorders>
            <w:shd w:val="clear" w:color="auto" w:fill="auto"/>
          </w:tcPr>
          <w:p w14:paraId="6279E8BF" w14:textId="77777777" w:rsidR="008878A0" w:rsidRPr="001838EE" w:rsidRDefault="008878A0" w:rsidP="001838EE">
            <w:pPr>
              <w:spacing w:after="0" w:line="240" w:lineRule="auto"/>
              <w:jc w:val="center"/>
              <w:rPr>
                <w:rFonts w:eastAsia="Times New Roman" w:cs="Calibri"/>
                <w:szCs w:val="18"/>
              </w:rPr>
            </w:pPr>
          </w:p>
          <w:p w14:paraId="79E2D514"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1,0</w:t>
            </w:r>
          </w:p>
        </w:tc>
      </w:tr>
      <w:tr w:rsidR="008878A0" w:rsidRPr="001838EE" w14:paraId="4F17DA7B"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64AFB283" w14:textId="77777777" w:rsidR="008878A0" w:rsidRPr="001838EE" w:rsidRDefault="008878A0" w:rsidP="001838EE">
            <w:pPr>
              <w:spacing w:after="0" w:line="220" w:lineRule="exact"/>
              <w:ind w:left="103"/>
              <w:jc w:val="left"/>
              <w:rPr>
                <w:rFonts w:eastAsia="Arial Narrow" w:cs="Calibri"/>
                <w:szCs w:val="18"/>
              </w:rPr>
            </w:pPr>
            <w:r w:rsidRPr="001838EE">
              <w:rPr>
                <w:rFonts w:eastAsia="Arial Narrow" w:cs="Calibri"/>
                <w:b/>
                <w:color w:val="FFFFFF"/>
                <w:szCs w:val="18"/>
              </w:rPr>
              <w:t>HO</w:t>
            </w:r>
            <w:r w:rsidRPr="001838EE">
              <w:rPr>
                <w:rFonts w:eastAsia="Arial Narrow" w:cs="Calibri"/>
                <w:b/>
                <w:color w:val="FFFFFF"/>
                <w:spacing w:val="1"/>
                <w:szCs w:val="18"/>
              </w:rPr>
              <w:t>T</w:t>
            </w:r>
            <w:r w:rsidRPr="001838EE">
              <w:rPr>
                <w:rFonts w:eastAsia="Arial Narrow" w:cs="Calibri"/>
                <w:b/>
                <w:color w:val="FFFFFF"/>
                <w:spacing w:val="-1"/>
                <w:szCs w:val="18"/>
              </w:rPr>
              <w:t>E</w:t>
            </w:r>
            <w:r w:rsidRPr="001838EE">
              <w:rPr>
                <w:rFonts w:eastAsia="Arial Narrow" w:cs="Calibri"/>
                <w:b/>
                <w:color w:val="FFFFFF"/>
                <w:spacing w:val="1"/>
                <w:szCs w:val="18"/>
              </w:rPr>
              <w:t>L</w:t>
            </w:r>
            <w:r w:rsidRPr="001838EE">
              <w:rPr>
                <w:rFonts w:eastAsia="Arial Narrow" w:cs="Calibri"/>
                <w:b/>
                <w:color w:val="FFFFFF"/>
                <w:szCs w:val="18"/>
              </w:rPr>
              <w:t>I</w:t>
            </w:r>
            <w:r w:rsidRPr="001838EE">
              <w:rPr>
                <w:rFonts w:eastAsia="Arial Narrow" w:cs="Calibri"/>
                <w:b/>
                <w:color w:val="FFFFFF"/>
                <w:spacing w:val="-6"/>
                <w:szCs w:val="18"/>
              </w:rPr>
              <w:t xml:space="preserve"> </w:t>
            </w:r>
            <w:r w:rsidRPr="001838EE">
              <w:rPr>
                <w:rFonts w:eastAsia="Arial Narrow" w:cs="Calibri"/>
                <w:b/>
                <w:color w:val="FFFFFF"/>
                <w:szCs w:val="18"/>
              </w:rPr>
              <w:t>I R</w:t>
            </w:r>
            <w:r w:rsidRPr="001838EE">
              <w:rPr>
                <w:rFonts w:eastAsia="Arial Narrow" w:cs="Calibri"/>
                <w:b/>
                <w:color w:val="FFFFFF"/>
                <w:spacing w:val="2"/>
                <w:szCs w:val="18"/>
              </w:rPr>
              <w:t>E</w:t>
            </w:r>
            <w:r w:rsidRPr="001838EE">
              <w:rPr>
                <w:rFonts w:eastAsia="Arial Narrow" w:cs="Calibri"/>
                <w:b/>
                <w:color w:val="FFFFFF"/>
                <w:spacing w:val="-1"/>
                <w:szCs w:val="18"/>
              </w:rPr>
              <w:t>S</w:t>
            </w:r>
            <w:r w:rsidRPr="001838EE">
              <w:rPr>
                <w:rFonts w:eastAsia="Arial Narrow" w:cs="Calibri"/>
                <w:b/>
                <w:color w:val="FFFFFF"/>
                <w:spacing w:val="1"/>
                <w:szCs w:val="18"/>
              </w:rPr>
              <w:t>T</w:t>
            </w:r>
            <w:r w:rsidRPr="001838EE">
              <w:rPr>
                <w:rFonts w:eastAsia="Arial Narrow" w:cs="Calibri"/>
                <w:b/>
                <w:color w:val="FFFFFF"/>
                <w:szCs w:val="18"/>
              </w:rPr>
              <w:t>O</w:t>
            </w:r>
            <w:r w:rsidRPr="001838EE">
              <w:rPr>
                <w:rFonts w:eastAsia="Arial Narrow" w:cs="Calibri"/>
                <w:b/>
                <w:color w:val="FFFFFF"/>
                <w:spacing w:val="2"/>
                <w:szCs w:val="18"/>
              </w:rPr>
              <w:t>R</w:t>
            </w:r>
            <w:r w:rsidRPr="001838EE">
              <w:rPr>
                <w:rFonts w:eastAsia="Arial Narrow" w:cs="Calibri"/>
                <w:b/>
                <w:color w:val="FFFFFF"/>
                <w:szCs w:val="18"/>
              </w:rPr>
              <w:t>ANI</w:t>
            </w:r>
          </w:p>
        </w:tc>
        <w:tc>
          <w:tcPr>
            <w:tcW w:w="923" w:type="dxa"/>
            <w:tcBorders>
              <w:top w:val="single" w:sz="8" w:space="0" w:color="F3CFC1"/>
              <w:bottom w:val="single" w:sz="8" w:space="0" w:color="F3CFC1"/>
            </w:tcBorders>
            <w:shd w:val="clear" w:color="auto" w:fill="auto"/>
            <w:hideMark/>
          </w:tcPr>
          <w:p w14:paraId="43603756"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2,1</w:t>
            </w:r>
          </w:p>
        </w:tc>
        <w:tc>
          <w:tcPr>
            <w:tcW w:w="938" w:type="dxa"/>
            <w:tcBorders>
              <w:top w:val="single" w:sz="8" w:space="0" w:color="F3CFC1"/>
              <w:bottom w:val="single" w:sz="8" w:space="0" w:color="F3CFC1"/>
            </w:tcBorders>
            <w:shd w:val="clear" w:color="auto" w:fill="auto"/>
            <w:hideMark/>
          </w:tcPr>
          <w:p w14:paraId="5D37BFB9"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7" w:type="dxa"/>
            <w:tcBorders>
              <w:top w:val="single" w:sz="8" w:space="0" w:color="F3CFC1"/>
              <w:bottom w:val="single" w:sz="8" w:space="0" w:color="F3CFC1"/>
            </w:tcBorders>
            <w:shd w:val="clear" w:color="auto" w:fill="auto"/>
            <w:hideMark/>
          </w:tcPr>
          <w:p w14:paraId="3EC3021C"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-0,5</w:t>
            </w:r>
          </w:p>
        </w:tc>
        <w:tc>
          <w:tcPr>
            <w:tcW w:w="896" w:type="dxa"/>
            <w:tcBorders>
              <w:top w:val="single" w:sz="8" w:space="0" w:color="F3CFC1"/>
              <w:bottom w:val="single" w:sz="8" w:space="0" w:color="F3CFC1"/>
            </w:tcBorders>
            <w:shd w:val="clear" w:color="auto" w:fill="auto"/>
            <w:hideMark/>
          </w:tcPr>
          <w:p w14:paraId="5A34C735"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-0,8</w:t>
            </w:r>
          </w:p>
        </w:tc>
        <w:tc>
          <w:tcPr>
            <w:tcW w:w="1345" w:type="dxa"/>
            <w:tcBorders>
              <w:top w:val="single" w:sz="8" w:space="0" w:color="F3CFC1"/>
              <w:bottom w:val="single" w:sz="8" w:space="0" w:color="F3CFC1"/>
              <w:right w:val="single" w:sz="8" w:space="0" w:color="D2232A"/>
            </w:tcBorders>
            <w:shd w:val="clear" w:color="auto" w:fill="auto"/>
            <w:hideMark/>
          </w:tcPr>
          <w:p w14:paraId="35CB30B2"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-0,2</w:t>
            </w:r>
          </w:p>
        </w:tc>
      </w:tr>
      <w:tr w:rsidR="008878A0" w:rsidRPr="001838EE" w14:paraId="04E3005F"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612574E7" w14:textId="77777777" w:rsidR="008878A0" w:rsidRPr="001838EE" w:rsidRDefault="008878A0" w:rsidP="001838EE">
            <w:pPr>
              <w:spacing w:after="0" w:line="220" w:lineRule="exact"/>
              <w:ind w:left="103"/>
              <w:jc w:val="left"/>
              <w:rPr>
                <w:rFonts w:eastAsia="Arial Narrow" w:cs="Calibri"/>
                <w:szCs w:val="18"/>
              </w:rPr>
            </w:pPr>
            <w:r w:rsidRPr="001838EE">
              <w:rPr>
                <w:rFonts w:eastAsia="Arial Narrow" w:cs="Calibri"/>
                <w:b/>
                <w:color w:val="FFFFFF"/>
                <w:spacing w:val="-1"/>
                <w:szCs w:val="18"/>
              </w:rPr>
              <w:t>P</w:t>
            </w:r>
            <w:r w:rsidRPr="001838EE">
              <w:rPr>
                <w:rFonts w:eastAsia="Arial Narrow" w:cs="Calibri"/>
                <w:b/>
                <w:color w:val="FFFFFF"/>
                <w:szCs w:val="18"/>
              </w:rPr>
              <w:t>ROI</w:t>
            </w:r>
            <w:r w:rsidRPr="001838EE">
              <w:rPr>
                <w:rFonts w:eastAsia="Arial Narrow" w:cs="Calibri"/>
                <w:b/>
                <w:color w:val="FFFFFF"/>
                <w:spacing w:val="1"/>
                <w:szCs w:val="18"/>
              </w:rPr>
              <w:t>Z</w:t>
            </w:r>
            <w:r w:rsidRPr="001838EE">
              <w:rPr>
                <w:rFonts w:eastAsia="Arial Narrow" w:cs="Calibri"/>
                <w:b/>
                <w:color w:val="FFFFFF"/>
                <w:spacing w:val="2"/>
                <w:szCs w:val="18"/>
              </w:rPr>
              <w:t>V</w:t>
            </w:r>
            <w:r w:rsidRPr="001838EE">
              <w:rPr>
                <w:rFonts w:eastAsia="Arial Narrow" w:cs="Calibri"/>
                <w:b/>
                <w:color w:val="FFFFFF"/>
                <w:szCs w:val="18"/>
              </w:rPr>
              <w:t>ODN</w:t>
            </w:r>
            <w:r w:rsidRPr="001838EE">
              <w:rPr>
                <w:rFonts w:eastAsia="Arial Narrow" w:cs="Calibri"/>
                <w:b/>
                <w:color w:val="FFFFFF"/>
                <w:spacing w:val="3"/>
                <w:szCs w:val="18"/>
              </w:rPr>
              <w:t>J</w:t>
            </w:r>
            <w:r w:rsidRPr="001838EE">
              <w:rPr>
                <w:rFonts w:eastAsia="Arial Narrow" w:cs="Calibri"/>
                <w:b/>
                <w:color w:val="FFFFFF"/>
                <w:szCs w:val="18"/>
              </w:rPr>
              <w:t>A</w:t>
            </w:r>
            <w:r w:rsidRPr="001838EE">
              <w:rPr>
                <w:rFonts w:eastAsia="Arial Narrow" w:cs="Calibri"/>
                <w:b/>
                <w:color w:val="FFFFFF"/>
                <w:spacing w:val="-12"/>
                <w:szCs w:val="18"/>
              </w:rPr>
              <w:t xml:space="preserve"> </w:t>
            </w:r>
            <w:r w:rsidRPr="001838EE">
              <w:rPr>
                <w:rFonts w:eastAsia="Arial Narrow" w:cs="Calibri"/>
                <w:b/>
                <w:color w:val="FFFFFF"/>
                <w:szCs w:val="18"/>
              </w:rPr>
              <w:t>H</w:t>
            </w:r>
            <w:r w:rsidRPr="001838EE">
              <w:rPr>
                <w:rFonts w:eastAsia="Arial Narrow" w:cs="Calibri"/>
                <w:b/>
                <w:color w:val="FFFFFF"/>
                <w:spacing w:val="2"/>
                <w:szCs w:val="18"/>
              </w:rPr>
              <w:t>R</w:t>
            </w:r>
            <w:r w:rsidRPr="001838EE">
              <w:rPr>
                <w:rFonts w:eastAsia="Arial Narrow" w:cs="Calibri"/>
                <w:b/>
                <w:color w:val="FFFFFF"/>
                <w:szCs w:val="18"/>
              </w:rPr>
              <w:t>ANE</w:t>
            </w:r>
            <w:r w:rsidRPr="001838EE">
              <w:rPr>
                <w:rFonts w:eastAsia="Arial Narrow" w:cs="Calibri"/>
                <w:b/>
                <w:color w:val="FFFFFF"/>
                <w:spacing w:val="-7"/>
                <w:szCs w:val="18"/>
              </w:rPr>
              <w:t xml:space="preserve"> </w:t>
            </w:r>
            <w:r w:rsidRPr="001838EE">
              <w:rPr>
                <w:rFonts w:eastAsia="Arial Narrow" w:cs="Calibri"/>
                <w:b/>
                <w:color w:val="FFFFFF"/>
                <w:szCs w:val="18"/>
              </w:rPr>
              <w:t>I</w:t>
            </w:r>
            <w:r w:rsidRPr="001838EE">
              <w:rPr>
                <w:rFonts w:eastAsia="Arial Narrow" w:cs="Calibri"/>
                <w:b/>
                <w:color w:val="FFFFFF"/>
                <w:spacing w:val="3"/>
                <w:szCs w:val="18"/>
              </w:rPr>
              <w:t xml:space="preserve"> </w:t>
            </w:r>
            <w:r w:rsidRPr="001838EE">
              <w:rPr>
                <w:rFonts w:eastAsia="Arial Narrow" w:cs="Calibri"/>
                <w:b/>
                <w:color w:val="FFFFFF"/>
                <w:spacing w:val="-1"/>
                <w:szCs w:val="18"/>
              </w:rPr>
              <w:t>P</w:t>
            </w:r>
            <w:r w:rsidRPr="001838EE">
              <w:rPr>
                <w:rFonts w:eastAsia="Arial Narrow" w:cs="Calibri"/>
                <w:b/>
                <w:color w:val="FFFFFF"/>
                <w:szCs w:val="18"/>
              </w:rPr>
              <w:t>I</w:t>
            </w:r>
            <w:r w:rsidRPr="001838EE">
              <w:rPr>
                <w:rFonts w:eastAsia="Arial Narrow" w:cs="Calibri"/>
                <w:b/>
                <w:color w:val="FFFFFF"/>
                <w:spacing w:val="2"/>
                <w:szCs w:val="18"/>
              </w:rPr>
              <w:t>Ć</w:t>
            </w:r>
            <w:r w:rsidRPr="001838EE">
              <w:rPr>
                <w:rFonts w:eastAsia="Arial Narrow" w:cs="Calibri"/>
                <w:b/>
                <w:color w:val="FFFFFF"/>
                <w:szCs w:val="18"/>
              </w:rPr>
              <w:t>A</w:t>
            </w:r>
          </w:p>
        </w:tc>
        <w:tc>
          <w:tcPr>
            <w:tcW w:w="923" w:type="dxa"/>
            <w:tcBorders>
              <w:top w:val="single" w:sz="8" w:space="0" w:color="F3CFC1"/>
              <w:bottom w:val="single" w:sz="8" w:space="0" w:color="F3CFC1"/>
            </w:tcBorders>
            <w:shd w:val="clear" w:color="auto" w:fill="auto"/>
            <w:hideMark/>
          </w:tcPr>
          <w:p w14:paraId="7502A20C"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938" w:type="dxa"/>
            <w:tcBorders>
              <w:top w:val="single" w:sz="8" w:space="0" w:color="F3CFC1"/>
              <w:bottom w:val="single" w:sz="8" w:space="0" w:color="F3CFC1"/>
            </w:tcBorders>
            <w:shd w:val="clear" w:color="auto" w:fill="auto"/>
            <w:hideMark/>
          </w:tcPr>
          <w:p w14:paraId="010FA84A"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7" w:type="dxa"/>
            <w:tcBorders>
              <w:top w:val="single" w:sz="8" w:space="0" w:color="F3CFC1"/>
              <w:bottom w:val="single" w:sz="8" w:space="0" w:color="F3CFC1"/>
            </w:tcBorders>
            <w:shd w:val="clear" w:color="auto" w:fill="auto"/>
            <w:hideMark/>
          </w:tcPr>
          <w:p w14:paraId="50B7D129"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6" w:type="dxa"/>
            <w:tcBorders>
              <w:top w:val="single" w:sz="8" w:space="0" w:color="F3CFC1"/>
              <w:bottom w:val="single" w:sz="8" w:space="0" w:color="F3CFC1"/>
            </w:tcBorders>
            <w:shd w:val="clear" w:color="auto" w:fill="auto"/>
            <w:hideMark/>
          </w:tcPr>
          <w:p w14:paraId="36DFE72A"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1345" w:type="dxa"/>
            <w:tcBorders>
              <w:top w:val="single" w:sz="8" w:space="0" w:color="F3CFC1"/>
              <w:bottom w:val="single" w:sz="8" w:space="0" w:color="F3CFC1"/>
              <w:right w:val="single" w:sz="8" w:space="0" w:color="D2232A"/>
            </w:tcBorders>
            <w:shd w:val="clear" w:color="auto" w:fill="auto"/>
            <w:hideMark/>
          </w:tcPr>
          <w:p w14:paraId="46B41052"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0,5</w:t>
            </w:r>
          </w:p>
        </w:tc>
      </w:tr>
      <w:tr w:rsidR="008878A0" w:rsidRPr="001838EE" w14:paraId="2D4C68AA"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1391E32E" w14:textId="77777777" w:rsidR="008878A0" w:rsidRPr="001838EE" w:rsidRDefault="008878A0" w:rsidP="001838EE">
            <w:pPr>
              <w:spacing w:after="0" w:line="220" w:lineRule="exact"/>
              <w:ind w:left="103" w:right="748"/>
              <w:jc w:val="left"/>
              <w:rPr>
                <w:rFonts w:eastAsia="Arial Narrow" w:cs="Calibri"/>
                <w:szCs w:val="18"/>
              </w:rPr>
            </w:pPr>
            <w:r w:rsidRPr="001838EE">
              <w:rPr>
                <w:rFonts w:eastAsia="Arial Narrow" w:cs="Calibri"/>
                <w:b/>
                <w:color w:val="FFFFFF"/>
                <w:spacing w:val="1"/>
                <w:szCs w:val="18"/>
              </w:rPr>
              <w:t>T</w:t>
            </w:r>
            <w:r w:rsidRPr="001838EE">
              <w:rPr>
                <w:rFonts w:eastAsia="Arial Narrow" w:cs="Calibri"/>
                <w:b/>
                <w:color w:val="FFFFFF"/>
                <w:szCs w:val="18"/>
              </w:rPr>
              <w:t>RGO</w:t>
            </w:r>
            <w:r w:rsidRPr="001838EE">
              <w:rPr>
                <w:rFonts w:eastAsia="Arial Narrow" w:cs="Calibri"/>
                <w:b/>
                <w:color w:val="FFFFFF"/>
                <w:spacing w:val="-1"/>
                <w:szCs w:val="18"/>
              </w:rPr>
              <w:t>V</w:t>
            </w:r>
            <w:r w:rsidRPr="001838EE">
              <w:rPr>
                <w:rFonts w:eastAsia="Arial Narrow" w:cs="Calibri"/>
                <w:b/>
                <w:color w:val="FFFFFF"/>
                <w:szCs w:val="18"/>
              </w:rPr>
              <w:t>I</w:t>
            </w:r>
            <w:r w:rsidRPr="001838EE">
              <w:rPr>
                <w:rFonts w:eastAsia="Arial Narrow" w:cs="Calibri"/>
                <w:b/>
                <w:color w:val="FFFFFF"/>
                <w:spacing w:val="2"/>
                <w:szCs w:val="18"/>
              </w:rPr>
              <w:t>N</w:t>
            </w:r>
            <w:r w:rsidRPr="001838EE">
              <w:rPr>
                <w:rFonts w:eastAsia="Arial Narrow" w:cs="Calibri"/>
                <w:b/>
                <w:color w:val="FFFFFF"/>
                <w:szCs w:val="18"/>
              </w:rPr>
              <w:t>A</w:t>
            </w:r>
            <w:r w:rsidRPr="001838EE">
              <w:rPr>
                <w:rFonts w:eastAsia="Arial Narrow" w:cs="Calibri"/>
                <w:b/>
                <w:color w:val="FFFFFF"/>
                <w:spacing w:val="-9"/>
                <w:szCs w:val="18"/>
              </w:rPr>
              <w:t xml:space="preserve"> </w:t>
            </w:r>
            <w:r w:rsidRPr="001838EE">
              <w:rPr>
                <w:rFonts w:eastAsia="Arial Narrow" w:cs="Calibri"/>
                <w:b/>
                <w:color w:val="FFFFFF"/>
                <w:szCs w:val="18"/>
              </w:rPr>
              <w:t xml:space="preserve">NA </w:t>
            </w:r>
            <w:r w:rsidRPr="001838EE">
              <w:rPr>
                <w:rFonts w:eastAsia="Arial Narrow" w:cs="Calibri"/>
                <w:b/>
                <w:color w:val="FFFFFF"/>
                <w:spacing w:val="-1"/>
                <w:szCs w:val="18"/>
              </w:rPr>
              <w:t>VE</w:t>
            </w:r>
            <w:r w:rsidRPr="001838EE">
              <w:rPr>
                <w:rFonts w:eastAsia="Arial Narrow" w:cs="Calibri"/>
                <w:b/>
                <w:color w:val="FFFFFF"/>
                <w:spacing w:val="1"/>
                <w:szCs w:val="18"/>
              </w:rPr>
              <w:t>L</w:t>
            </w:r>
            <w:r w:rsidRPr="001838EE">
              <w:rPr>
                <w:rFonts w:eastAsia="Arial Narrow" w:cs="Calibri"/>
                <w:b/>
                <w:color w:val="FFFFFF"/>
                <w:spacing w:val="3"/>
                <w:szCs w:val="18"/>
              </w:rPr>
              <w:t>I</w:t>
            </w:r>
            <w:r w:rsidRPr="001838EE">
              <w:rPr>
                <w:rFonts w:eastAsia="Arial Narrow" w:cs="Calibri"/>
                <w:b/>
                <w:color w:val="FFFFFF"/>
                <w:szCs w:val="18"/>
              </w:rPr>
              <w:t>KO</w:t>
            </w:r>
            <w:r w:rsidRPr="001838EE">
              <w:rPr>
                <w:rFonts w:eastAsia="Arial Narrow" w:cs="Calibri"/>
                <w:b/>
                <w:color w:val="FFFFFF"/>
                <w:spacing w:val="-6"/>
                <w:szCs w:val="18"/>
              </w:rPr>
              <w:t xml:space="preserve"> </w:t>
            </w:r>
            <w:r w:rsidRPr="001838EE">
              <w:rPr>
                <w:rFonts w:eastAsia="Arial Narrow" w:cs="Calibri"/>
                <w:b/>
                <w:color w:val="FFFFFF"/>
                <w:szCs w:val="18"/>
              </w:rPr>
              <w:t xml:space="preserve">I </w:t>
            </w:r>
            <w:r w:rsidRPr="001838EE">
              <w:rPr>
                <w:rFonts w:eastAsia="Arial Narrow" w:cs="Calibri"/>
                <w:b/>
                <w:color w:val="FFFFFF"/>
                <w:spacing w:val="-1"/>
                <w:szCs w:val="18"/>
              </w:rPr>
              <w:t>P</w:t>
            </w:r>
            <w:r w:rsidRPr="001838EE">
              <w:rPr>
                <w:rFonts w:eastAsia="Arial Narrow" w:cs="Calibri"/>
                <w:b/>
                <w:color w:val="FFFFFF"/>
                <w:szCs w:val="18"/>
              </w:rPr>
              <w:t>O</w:t>
            </w:r>
            <w:r w:rsidRPr="001838EE">
              <w:rPr>
                <w:rFonts w:eastAsia="Arial Narrow" w:cs="Calibri"/>
                <w:b/>
                <w:color w:val="FFFFFF"/>
                <w:spacing w:val="2"/>
                <w:szCs w:val="18"/>
              </w:rPr>
              <w:t>S</w:t>
            </w:r>
            <w:r w:rsidRPr="001838EE">
              <w:rPr>
                <w:rFonts w:eastAsia="Arial Narrow" w:cs="Calibri"/>
                <w:b/>
                <w:color w:val="FFFFFF"/>
                <w:szCs w:val="18"/>
              </w:rPr>
              <w:t>R</w:t>
            </w:r>
            <w:r w:rsidRPr="001838EE">
              <w:rPr>
                <w:rFonts w:eastAsia="Arial Narrow" w:cs="Calibri"/>
                <w:b/>
                <w:color w:val="FFFFFF"/>
                <w:spacing w:val="2"/>
                <w:szCs w:val="18"/>
              </w:rPr>
              <w:t>E</w:t>
            </w:r>
            <w:r w:rsidRPr="001838EE">
              <w:rPr>
                <w:rFonts w:eastAsia="Arial Narrow" w:cs="Calibri"/>
                <w:b/>
                <w:color w:val="FFFFFF"/>
                <w:szCs w:val="18"/>
              </w:rPr>
              <w:t>DO</w:t>
            </w:r>
            <w:r w:rsidRPr="001838EE">
              <w:rPr>
                <w:rFonts w:eastAsia="Arial Narrow" w:cs="Calibri"/>
                <w:b/>
                <w:color w:val="FFFFFF"/>
                <w:spacing w:val="2"/>
                <w:szCs w:val="18"/>
              </w:rPr>
              <w:t>V</w:t>
            </w:r>
            <w:r w:rsidRPr="001838EE">
              <w:rPr>
                <w:rFonts w:eastAsia="Arial Narrow" w:cs="Calibri"/>
                <w:b/>
                <w:color w:val="FFFFFF"/>
                <w:szCs w:val="18"/>
              </w:rPr>
              <w:t>AN</w:t>
            </w:r>
            <w:r w:rsidRPr="001838EE">
              <w:rPr>
                <w:rFonts w:eastAsia="Arial Narrow" w:cs="Calibri"/>
                <w:b/>
                <w:color w:val="FFFFFF"/>
                <w:spacing w:val="3"/>
                <w:szCs w:val="18"/>
              </w:rPr>
              <w:t>J</w:t>
            </w:r>
            <w:r w:rsidRPr="001838EE">
              <w:rPr>
                <w:rFonts w:eastAsia="Arial Narrow" w:cs="Calibri"/>
                <w:b/>
                <w:color w:val="FFFFFF"/>
                <w:szCs w:val="18"/>
              </w:rPr>
              <w:t>E</w:t>
            </w:r>
            <w:r w:rsidRPr="001838EE">
              <w:rPr>
                <w:rFonts w:eastAsia="Arial Narrow" w:cs="Calibri"/>
                <w:b/>
                <w:color w:val="FFFFFF"/>
                <w:spacing w:val="-15"/>
                <w:szCs w:val="18"/>
              </w:rPr>
              <w:t xml:space="preserve"> </w:t>
            </w:r>
            <w:r w:rsidRPr="001838EE">
              <w:rPr>
                <w:rFonts w:eastAsia="Arial Narrow" w:cs="Calibri"/>
                <w:b/>
                <w:color w:val="FFFFFF"/>
                <w:szCs w:val="18"/>
              </w:rPr>
              <w:t>U</w:t>
            </w:r>
            <w:r w:rsidRPr="001838EE">
              <w:rPr>
                <w:rFonts w:eastAsia="Arial Narrow" w:cs="Calibri"/>
                <w:b/>
                <w:color w:val="FFFFFF"/>
                <w:spacing w:val="-1"/>
                <w:szCs w:val="18"/>
              </w:rPr>
              <w:t xml:space="preserve"> </w:t>
            </w:r>
            <w:r w:rsidRPr="001838EE">
              <w:rPr>
                <w:rFonts w:eastAsia="Arial Narrow" w:cs="Calibri"/>
                <w:b/>
                <w:color w:val="FFFFFF"/>
                <w:spacing w:val="1"/>
                <w:szCs w:val="18"/>
              </w:rPr>
              <w:t>T</w:t>
            </w:r>
            <w:r w:rsidRPr="001838EE">
              <w:rPr>
                <w:rFonts w:eastAsia="Arial Narrow" w:cs="Calibri"/>
                <w:b/>
                <w:color w:val="FFFFFF"/>
                <w:szCs w:val="18"/>
              </w:rPr>
              <w:t>RG</w:t>
            </w:r>
            <w:r w:rsidRPr="001838EE">
              <w:rPr>
                <w:rFonts w:eastAsia="Arial Narrow" w:cs="Calibri"/>
                <w:b/>
                <w:color w:val="FFFFFF"/>
                <w:spacing w:val="3"/>
                <w:szCs w:val="18"/>
              </w:rPr>
              <w:t>O</w:t>
            </w:r>
            <w:r w:rsidRPr="001838EE">
              <w:rPr>
                <w:rFonts w:eastAsia="Arial Narrow" w:cs="Calibri"/>
                <w:b/>
                <w:color w:val="FFFFFF"/>
                <w:spacing w:val="-1"/>
                <w:szCs w:val="18"/>
              </w:rPr>
              <w:t>V</w:t>
            </w:r>
            <w:r w:rsidRPr="001838EE">
              <w:rPr>
                <w:rFonts w:eastAsia="Arial Narrow" w:cs="Calibri"/>
                <w:b/>
                <w:color w:val="FFFFFF"/>
                <w:szCs w:val="18"/>
              </w:rPr>
              <w:t>INI</w:t>
            </w:r>
          </w:p>
        </w:tc>
        <w:tc>
          <w:tcPr>
            <w:tcW w:w="923" w:type="dxa"/>
            <w:tcBorders>
              <w:top w:val="single" w:sz="8" w:space="0" w:color="F3CFC1"/>
              <w:bottom w:val="single" w:sz="8" w:space="0" w:color="F3CFC1"/>
            </w:tcBorders>
            <w:shd w:val="clear" w:color="auto" w:fill="auto"/>
          </w:tcPr>
          <w:p w14:paraId="5EC504B2" w14:textId="77777777" w:rsidR="008878A0" w:rsidRPr="001838EE" w:rsidRDefault="008878A0" w:rsidP="001838EE">
            <w:pPr>
              <w:spacing w:after="0" w:line="240" w:lineRule="auto"/>
              <w:jc w:val="right"/>
              <w:rPr>
                <w:rFonts w:eastAsia="Times New Roman" w:cs="Calibri"/>
                <w:szCs w:val="18"/>
              </w:rPr>
            </w:pPr>
          </w:p>
          <w:p w14:paraId="47520837"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938" w:type="dxa"/>
            <w:tcBorders>
              <w:top w:val="single" w:sz="8" w:space="0" w:color="F3CFC1"/>
              <w:bottom w:val="single" w:sz="8" w:space="0" w:color="F3CFC1"/>
            </w:tcBorders>
            <w:shd w:val="clear" w:color="auto" w:fill="auto"/>
          </w:tcPr>
          <w:p w14:paraId="311200DF" w14:textId="77777777" w:rsidR="008878A0" w:rsidRPr="001838EE" w:rsidRDefault="008878A0" w:rsidP="001838EE">
            <w:pPr>
              <w:spacing w:after="0" w:line="240" w:lineRule="auto"/>
              <w:jc w:val="right"/>
              <w:rPr>
                <w:rFonts w:eastAsia="Times New Roman" w:cs="Calibri"/>
                <w:szCs w:val="18"/>
              </w:rPr>
            </w:pPr>
          </w:p>
          <w:p w14:paraId="1AB82B27"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7" w:type="dxa"/>
            <w:tcBorders>
              <w:top w:val="single" w:sz="8" w:space="0" w:color="F3CFC1"/>
              <w:bottom w:val="single" w:sz="8" w:space="0" w:color="F3CFC1"/>
            </w:tcBorders>
            <w:shd w:val="clear" w:color="auto" w:fill="auto"/>
          </w:tcPr>
          <w:p w14:paraId="265C3D3A" w14:textId="77777777" w:rsidR="008878A0" w:rsidRPr="001838EE" w:rsidRDefault="008878A0" w:rsidP="001838EE">
            <w:pPr>
              <w:spacing w:after="0" w:line="240" w:lineRule="auto"/>
              <w:jc w:val="right"/>
              <w:rPr>
                <w:rFonts w:eastAsia="Times New Roman" w:cs="Calibri"/>
                <w:szCs w:val="18"/>
              </w:rPr>
            </w:pPr>
          </w:p>
          <w:p w14:paraId="3BA5AD8B"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0,3</w:t>
            </w:r>
          </w:p>
        </w:tc>
        <w:tc>
          <w:tcPr>
            <w:tcW w:w="896" w:type="dxa"/>
            <w:tcBorders>
              <w:top w:val="single" w:sz="8" w:space="0" w:color="F3CFC1"/>
              <w:bottom w:val="single" w:sz="8" w:space="0" w:color="F3CFC1"/>
            </w:tcBorders>
            <w:shd w:val="clear" w:color="auto" w:fill="auto"/>
          </w:tcPr>
          <w:p w14:paraId="5DFF6E4F" w14:textId="77777777" w:rsidR="008878A0" w:rsidRPr="001838EE" w:rsidRDefault="008878A0" w:rsidP="001838EE">
            <w:pPr>
              <w:spacing w:after="0" w:line="240" w:lineRule="auto"/>
              <w:jc w:val="right"/>
              <w:rPr>
                <w:rFonts w:eastAsia="Times New Roman" w:cs="Calibri"/>
                <w:szCs w:val="18"/>
              </w:rPr>
            </w:pPr>
          </w:p>
          <w:p w14:paraId="2B37AB1C"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1345" w:type="dxa"/>
            <w:tcBorders>
              <w:top w:val="single" w:sz="8" w:space="0" w:color="F3CFC1"/>
              <w:bottom w:val="single" w:sz="8" w:space="0" w:color="F3CFC1"/>
              <w:right w:val="single" w:sz="8" w:space="0" w:color="D2232A"/>
            </w:tcBorders>
            <w:shd w:val="clear" w:color="auto" w:fill="auto"/>
          </w:tcPr>
          <w:p w14:paraId="11AC25EB" w14:textId="77777777" w:rsidR="008878A0" w:rsidRPr="001838EE" w:rsidRDefault="008878A0" w:rsidP="001838EE">
            <w:pPr>
              <w:spacing w:after="0" w:line="240" w:lineRule="auto"/>
              <w:jc w:val="center"/>
              <w:rPr>
                <w:rFonts w:eastAsia="Times New Roman" w:cs="Calibri"/>
                <w:szCs w:val="18"/>
              </w:rPr>
            </w:pPr>
          </w:p>
          <w:p w14:paraId="14376C8F"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0,0</w:t>
            </w:r>
          </w:p>
        </w:tc>
      </w:tr>
      <w:tr w:rsidR="008878A0" w:rsidRPr="001838EE" w14:paraId="13B1EEC9"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67581CDE" w14:textId="77777777" w:rsidR="008878A0" w:rsidRPr="001838EE" w:rsidRDefault="008878A0" w:rsidP="001838EE">
            <w:pPr>
              <w:spacing w:after="0" w:line="240" w:lineRule="auto"/>
              <w:ind w:left="103" w:right="1041"/>
              <w:jc w:val="left"/>
              <w:rPr>
                <w:rFonts w:eastAsia="Arial Narrow" w:cs="Calibri"/>
                <w:szCs w:val="18"/>
              </w:rPr>
            </w:pPr>
            <w:r w:rsidRPr="001838EE">
              <w:rPr>
                <w:rFonts w:eastAsia="Arial Narrow" w:cs="Calibri"/>
                <w:b/>
                <w:color w:val="FFFFFF"/>
                <w:spacing w:val="-1"/>
                <w:szCs w:val="18"/>
              </w:rPr>
              <w:t>V</w:t>
            </w:r>
            <w:r w:rsidRPr="001838EE">
              <w:rPr>
                <w:rFonts w:eastAsia="Arial Narrow" w:cs="Calibri"/>
                <w:b/>
                <w:color w:val="FFFFFF"/>
                <w:spacing w:val="1"/>
                <w:szCs w:val="18"/>
              </w:rPr>
              <w:t>L</w:t>
            </w:r>
            <w:r w:rsidRPr="001838EE">
              <w:rPr>
                <w:rFonts w:eastAsia="Arial Narrow" w:cs="Calibri"/>
                <w:b/>
                <w:color w:val="FFFFFF"/>
                <w:szCs w:val="18"/>
              </w:rPr>
              <w:t>A</w:t>
            </w:r>
            <w:r w:rsidRPr="001838EE">
              <w:rPr>
                <w:rFonts w:eastAsia="Arial Narrow" w:cs="Calibri"/>
                <w:b/>
                <w:color w:val="FFFFFF"/>
                <w:spacing w:val="2"/>
                <w:szCs w:val="18"/>
              </w:rPr>
              <w:t>S</w:t>
            </w:r>
            <w:r w:rsidRPr="001838EE">
              <w:rPr>
                <w:rFonts w:eastAsia="Arial Narrow" w:cs="Calibri"/>
                <w:b/>
                <w:color w:val="FFFFFF"/>
                <w:szCs w:val="18"/>
              </w:rPr>
              <w:t>NIČ</w:t>
            </w:r>
            <w:r w:rsidRPr="001838EE">
              <w:rPr>
                <w:rFonts w:eastAsia="Arial Narrow" w:cs="Calibri"/>
                <w:b/>
                <w:color w:val="FFFFFF"/>
                <w:spacing w:val="2"/>
                <w:szCs w:val="18"/>
              </w:rPr>
              <w:t>K</w:t>
            </w:r>
            <w:r w:rsidRPr="001838EE">
              <w:rPr>
                <w:rFonts w:eastAsia="Arial Narrow" w:cs="Calibri"/>
                <w:b/>
                <w:color w:val="FFFFFF"/>
                <w:szCs w:val="18"/>
              </w:rPr>
              <w:t>A</w:t>
            </w:r>
            <w:r w:rsidRPr="001838EE">
              <w:rPr>
                <w:rFonts w:eastAsia="Arial Narrow" w:cs="Calibri"/>
                <w:b/>
                <w:color w:val="FFFFFF"/>
                <w:spacing w:val="-10"/>
                <w:szCs w:val="18"/>
              </w:rPr>
              <w:t xml:space="preserve"> </w:t>
            </w:r>
            <w:r w:rsidRPr="001838EE">
              <w:rPr>
                <w:rFonts w:eastAsia="Arial Narrow" w:cs="Calibri"/>
                <w:b/>
                <w:color w:val="FFFFFF"/>
                <w:szCs w:val="18"/>
              </w:rPr>
              <w:t>U</w:t>
            </w:r>
            <w:r w:rsidRPr="001838EE">
              <w:rPr>
                <w:rFonts w:eastAsia="Arial Narrow" w:cs="Calibri"/>
                <w:b/>
                <w:color w:val="FFFFFF"/>
                <w:spacing w:val="1"/>
                <w:szCs w:val="18"/>
              </w:rPr>
              <w:t>L</w:t>
            </w:r>
            <w:r w:rsidRPr="001838EE">
              <w:rPr>
                <w:rFonts w:eastAsia="Arial Narrow" w:cs="Calibri"/>
                <w:b/>
                <w:color w:val="FFFFFF"/>
                <w:szCs w:val="18"/>
              </w:rPr>
              <w:t>AG</w:t>
            </w:r>
            <w:r w:rsidRPr="001838EE">
              <w:rPr>
                <w:rFonts w:eastAsia="Arial Narrow" w:cs="Calibri"/>
                <w:b/>
                <w:color w:val="FFFFFF"/>
                <w:spacing w:val="2"/>
                <w:szCs w:val="18"/>
              </w:rPr>
              <w:t>A</w:t>
            </w:r>
            <w:r w:rsidRPr="001838EE">
              <w:rPr>
                <w:rFonts w:eastAsia="Arial Narrow" w:cs="Calibri"/>
                <w:b/>
                <w:color w:val="FFFFFF"/>
                <w:szCs w:val="18"/>
              </w:rPr>
              <w:t>NJA</w:t>
            </w:r>
            <w:r w:rsidRPr="001838EE">
              <w:rPr>
                <w:rFonts w:eastAsia="Arial Narrow" w:cs="Calibri"/>
                <w:b/>
                <w:color w:val="FFFFFF"/>
                <w:spacing w:val="-9"/>
                <w:szCs w:val="18"/>
              </w:rPr>
              <w:t xml:space="preserve"> </w:t>
            </w:r>
            <w:r w:rsidRPr="001838EE">
              <w:rPr>
                <w:rFonts w:eastAsia="Arial Narrow" w:cs="Calibri"/>
                <w:b/>
                <w:color w:val="FFFFFF"/>
                <w:szCs w:val="18"/>
              </w:rPr>
              <w:t>U N</w:t>
            </w:r>
            <w:r w:rsidRPr="001838EE">
              <w:rPr>
                <w:rFonts w:eastAsia="Arial Narrow" w:cs="Calibri"/>
                <w:b/>
                <w:color w:val="FFFFFF"/>
                <w:spacing w:val="-1"/>
                <w:szCs w:val="18"/>
              </w:rPr>
              <w:t>E</w:t>
            </w:r>
            <w:r w:rsidRPr="001838EE">
              <w:rPr>
                <w:rFonts w:eastAsia="Arial Narrow" w:cs="Calibri"/>
                <w:b/>
                <w:color w:val="FFFFFF"/>
                <w:spacing w:val="2"/>
                <w:szCs w:val="18"/>
              </w:rPr>
              <w:t>K</w:t>
            </w:r>
            <w:r w:rsidRPr="001838EE">
              <w:rPr>
                <w:rFonts w:eastAsia="Arial Narrow" w:cs="Calibri"/>
                <w:b/>
                <w:color w:val="FFFFFF"/>
                <w:szCs w:val="18"/>
              </w:rPr>
              <w:t>R</w:t>
            </w:r>
            <w:r w:rsidRPr="001838EE">
              <w:rPr>
                <w:rFonts w:eastAsia="Arial Narrow" w:cs="Calibri"/>
                <w:b/>
                <w:color w:val="FFFFFF"/>
                <w:spacing w:val="-1"/>
                <w:szCs w:val="18"/>
              </w:rPr>
              <w:t>E</w:t>
            </w:r>
            <w:r w:rsidRPr="001838EE">
              <w:rPr>
                <w:rFonts w:eastAsia="Arial Narrow" w:cs="Calibri"/>
                <w:b/>
                <w:color w:val="FFFFFF"/>
                <w:spacing w:val="1"/>
                <w:szCs w:val="18"/>
              </w:rPr>
              <w:t>T</w:t>
            </w:r>
            <w:r w:rsidRPr="001838EE">
              <w:rPr>
                <w:rFonts w:eastAsia="Arial Narrow" w:cs="Calibri"/>
                <w:b/>
                <w:color w:val="FFFFFF"/>
                <w:szCs w:val="18"/>
              </w:rPr>
              <w:t>N</w:t>
            </w:r>
            <w:r w:rsidRPr="001838EE">
              <w:rPr>
                <w:rFonts w:eastAsia="Arial Narrow" w:cs="Calibri"/>
                <w:b/>
                <w:color w:val="FFFFFF"/>
                <w:spacing w:val="3"/>
                <w:szCs w:val="18"/>
              </w:rPr>
              <w:t>I</w:t>
            </w:r>
            <w:r w:rsidRPr="001838EE">
              <w:rPr>
                <w:rFonts w:eastAsia="Arial Narrow" w:cs="Calibri"/>
                <w:b/>
                <w:color w:val="FFFFFF"/>
                <w:szCs w:val="18"/>
              </w:rPr>
              <w:t>NE</w:t>
            </w:r>
          </w:p>
        </w:tc>
        <w:tc>
          <w:tcPr>
            <w:tcW w:w="923" w:type="dxa"/>
            <w:tcBorders>
              <w:top w:val="single" w:sz="8" w:space="0" w:color="F3CFC1"/>
              <w:bottom w:val="single" w:sz="8" w:space="0" w:color="F3CFC1"/>
            </w:tcBorders>
            <w:shd w:val="clear" w:color="auto" w:fill="auto"/>
          </w:tcPr>
          <w:p w14:paraId="3A586C0E" w14:textId="77777777" w:rsidR="008878A0" w:rsidRPr="001838EE" w:rsidRDefault="008878A0" w:rsidP="001838EE">
            <w:pPr>
              <w:spacing w:after="0" w:line="240" w:lineRule="auto"/>
              <w:jc w:val="right"/>
              <w:rPr>
                <w:rFonts w:eastAsia="Times New Roman" w:cs="Calibri"/>
                <w:szCs w:val="18"/>
              </w:rPr>
            </w:pPr>
          </w:p>
          <w:p w14:paraId="6D363524"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0,1</w:t>
            </w:r>
          </w:p>
        </w:tc>
        <w:tc>
          <w:tcPr>
            <w:tcW w:w="938" w:type="dxa"/>
            <w:tcBorders>
              <w:top w:val="single" w:sz="8" w:space="0" w:color="F3CFC1"/>
              <w:bottom w:val="single" w:sz="8" w:space="0" w:color="F3CFC1"/>
            </w:tcBorders>
            <w:shd w:val="clear" w:color="auto" w:fill="auto"/>
          </w:tcPr>
          <w:p w14:paraId="53A1A109" w14:textId="77777777" w:rsidR="008878A0" w:rsidRPr="001838EE" w:rsidRDefault="008878A0" w:rsidP="001838EE">
            <w:pPr>
              <w:spacing w:after="0" w:line="240" w:lineRule="auto"/>
              <w:jc w:val="right"/>
              <w:rPr>
                <w:rFonts w:eastAsia="Times New Roman" w:cs="Calibri"/>
                <w:szCs w:val="18"/>
              </w:rPr>
            </w:pPr>
          </w:p>
          <w:p w14:paraId="7AABB2F4"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7" w:type="dxa"/>
            <w:tcBorders>
              <w:top w:val="single" w:sz="8" w:space="0" w:color="F3CFC1"/>
              <w:bottom w:val="single" w:sz="8" w:space="0" w:color="F3CFC1"/>
            </w:tcBorders>
            <w:shd w:val="clear" w:color="auto" w:fill="auto"/>
          </w:tcPr>
          <w:p w14:paraId="27FD2EEE" w14:textId="77777777" w:rsidR="008878A0" w:rsidRPr="001838EE" w:rsidRDefault="008878A0" w:rsidP="001838EE">
            <w:pPr>
              <w:spacing w:after="0" w:line="240" w:lineRule="auto"/>
              <w:jc w:val="right"/>
              <w:rPr>
                <w:rFonts w:eastAsia="Times New Roman" w:cs="Calibri"/>
                <w:szCs w:val="18"/>
              </w:rPr>
            </w:pPr>
          </w:p>
          <w:p w14:paraId="36FE36B4"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0,1</w:t>
            </w:r>
          </w:p>
        </w:tc>
        <w:tc>
          <w:tcPr>
            <w:tcW w:w="896" w:type="dxa"/>
            <w:tcBorders>
              <w:top w:val="single" w:sz="8" w:space="0" w:color="F3CFC1"/>
              <w:bottom w:val="single" w:sz="8" w:space="0" w:color="F3CFC1"/>
            </w:tcBorders>
            <w:shd w:val="clear" w:color="auto" w:fill="auto"/>
          </w:tcPr>
          <w:p w14:paraId="518573DA" w14:textId="77777777" w:rsidR="008878A0" w:rsidRPr="001838EE" w:rsidRDefault="008878A0" w:rsidP="001838EE">
            <w:pPr>
              <w:spacing w:after="0" w:line="240" w:lineRule="auto"/>
              <w:jc w:val="right"/>
              <w:rPr>
                <w:rFonts w:eastAsia="Times New Roman" w:cs="Calibri"/>
                <w:szCs w:val="18"/>
              </w:rPr>
            </w:pPr>
          </w:p>
          <w:p w14:paraId="07BA5195"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1345" w:type="dxa"/>
            <w:tcBorders>
              <w:top w:val="single" w:sz="8" w:space="0" w:color="F3CFC1"/>
              <w:bottom w:val="single" w:sz="8" w:space="0" w:color="F3CFC1"/>
              <w:right w:val="single" w:sz="8" w:space="0" w:color="D2232A"/>
            </w:tcBorders>
            <w:shd w:val="clear" w:color="auto" w:fill="auto"/>
          </w:tcPr>
          <w:p w14:paraId="11D87D60" w14:textId="77777777" w:rsidR="008878A0" w:rsidRPr="001838EE" w:rsidRDefault="008878A0" w:rsidP="001838EE">
            <w:pPr>
              <w:spacing w:after="0" w:line="240" w:lineRule="auto"/>
              <w:jc w:val="center"/>
              <w:rPr>
                <w:rFonts w:eastAsia="Times New Roman" w:cs="Calibri"/>
                <w:szCs w:val="18"/>
              </w:rPr>
            </w:pPr>
          </w:p>
          <w:p w14:paraId="394E80DA"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-0,1</w:t>
            </w:r>
          </w:p>
        </w:tc>
      </w:tr>
      <w:tr w:rsidR="008878A0" w:rsidRPr="001838EE" w14:paraId="0A9E3EB2"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2C22425A" w14:textId="77777777" w:rsidR="008878A0" w:rsidRPr="001838EE" w:rsidRDefault="008878A0" w:rsidP="001838EE">
            <w:pPr>
              <w:spacing w:after="0" w:line="220" w:lineRule="exact"/>
              <w:ind w:left="103" w:right="299"/>
              <w:jc w:val="left"/>
              <w:rPr>
                <w:rFonts w:eastAsia="Arial Narrow" w:cs="Calibri"/>
                <w:szCs w:val="18"/>
              </w:rPr>
            </w:pPr>
            <w:r w:rsidRPr="001838EE">
              <w:rPr>
                <w:rFonts w:eastAsia="Arial Narrow" w:cs="Calibri"/>
                <w:b/>
                <w:color w:val="FFFFFF"/>
                <w:spacing w:val="-1"/>
                <w:szCs w:val="18"/>
              </w:rPr>
              <w:t>P</w:t>
            </w:r>
            <w:r w:rsidRPr="001838EE">
              <w:rPr>
                <w:rFonts w:eastAsia="Arial Narrow" w:cs="Calibri"/>
                <w:b/>
                <w:color w:val="FFFFFF"/>
                <w:szCs w:val="18"/>
              </w:rPr>
              <w:t>ROI</w:t>
            </w:r>
            <w:r w:rsidRPr="001838EE">
              <w:rPr>
                <w:rFonts w:eastAsia="Arial Narrow" w:cs="Calibri"/>
                <w:b/>
                <w:color w:val="FFFFFF"/>
                <w:spacing w:val="1"/>
                <w:szCs w:val="18"/>
              </w:rPr>
              <w:t>Z</w:t>
            </w:r>
            <w:r w:rsidRPr="001838EE">
              <w:rPr>
                <w:rFonts w:eastAsia="Arial Narrow" w:cs="Calibri"/>
                <w:b/>
                <w:color w:val="FFFFFF"/>
                <w:spacing w:val="2"/>
                <w:szCs w:val="18"/>
              </w:rPr>
              <w:t>V</w:t>
            </w:r>
            <w:r w:rsidRPr="001838EE">
              <w:rPr>
                <w:rFonts w:eastAsia="Arial Narrow" w:cs="Calibri"/>
                <w:b/>
                <w:color w:val="FFFFFF"/>
                <w:szCs w:val="18"/>
              </w:rPr>
              <w:t>ODN</w:t>
            </w:r>
            <w:r w:rsidRPr="001838EE">
              <w:rPr>
                <w:rFonts w:eastAsia="Arial Narrow" w:cs="Calibri"/>
                <w:b/>
                <w:color w:val="FFFFFF"/>
                <w:spacing w:val="3"/>
                <w:szCs w:val="18"/>
              </w:rPr>
              <w:t>J</w:t>
            </w:r>
            <w:r w:rsidRPr="001838EE">
              <w:rPr>
                <w:rFonts w:eastAsia="Arial Narrow" w:cs="Calibri"/>
                <w:b/>
                <w:color w:val="FFFFFF"/>
                <w:szCs w:val="18"/>
              </w:rPr>
              <w:t>A</w:t>
            </w:r>
            <w:r w:rsidRPr="001838EE">
              <w:rPr>
                <w:rFonts w:eastAsia="Arial Narrow" w:cs="Calibri"/>
                <w:b/>
                <w:color w:val="FFFFFF"/>
                <w:spacing w:val="-12"/>
                <w:szCs w:val="18"/>
              </w:rPr>
              <w:t xml:space="preserve"> </w:t>
            </w:r>
            <w:r w:rsidRPr="001838EE">
              <w:rPr>
                <w:rFonts w:eastAsia="Arial Narrow" w:cs="Calibri"/>
                <w:b/>
                <w:color w:val="FFFFFF"/>
                <w:spacing w:val="1"/>
                <w:szCs w:val="18"/>
              </w:rPr>
              <w:t>M</w:t>
            </w:r>
            <w:r w:rsidRPr="001838EE">
              <w:rPr>
                <w:rFonts w:eastAsia="Arial Narrow" w:cs="Calibri"/>
                <w:b/>
                <w:color w:val="FFFFFF"/>
                <w:szCs w:val="18"/>
              </w:rPr>
              <w:t>O</w:t>
            </w:r>
            <w:r w:rsidRPr="001838EE">
              <w:rPr>
                <w:rFonts w:eastAsia="Arial Narrow" w:cs="Calibri"/>
                <w:b/>
                <w:color w:val="FFFFFF"/>
                <w:spacing w:val="1"/>
                <w:szCs w:val="18"/>
              </w:rPr>
              <w:t>T</w:t>
            </w:r>
            <w:r w:rsidRPr="001838EE">
              <w:rPr>
                <w:rFonts w:eastAsia="Arial Narrow" w:cs="Calibri"/>
                <w:b/>
                <w:color w:val="FFFFFF"/>
                <w:szCs w:val="18"/>
              </w:rPr>
              <w:t>ORN</w:t>
            </w:r>
            <w:r w:rsidRPr="001838EE">
              <w:rPr>
                <w:rFonts w:eastAsia="Arial Narrow" w:cs="Calibri"/>
                <w:b/>
                <w:color w:val="FFFFFF"/>
                <w:spacing w:val="3"/>
                <w:szCs w:val="18"/>
              </w:rPr>
              <w:t>I</w:t>
            </w:r>
            <w:r w:rsidRPr="001838EE">
              <w:rPr>
                <w:rFonts w:eastAsia="Arial Narrow" w:cs="Calibri"/>
                <w:b/>
                <w:color w:val="FFFFFF"/>
                <w:szCs w:val="18"/>
              </w:rPr>
              <w:t>H</w:t>
            </w:r>
            <w:r w:rsidRPr="001838EE">
              <w:rPr>
                <w:rFonts w:eastAsia="Arial Narrow" w:cs="Calibri"/>
                <w:b/>
                <w:color w:val="FFFFFF"/>
                <w:spacing w:val="-9"/>
                <w:szCs w:val="18"/>
              </w:rPr>
              <w:t xml:space="preserve"> </w:t>
            </w:r>
            <w:r w:rsidRPr="001838EE">
              <w:rPr>
                <w:rFonts w:eastAsia="Arial Narrow" w:cs="Calibri"/>
                <w:b/>
                <w:color w:val="FFFFFF"/>
                <w:spacing w:val="-1"/>
                <w:szCs w:val="18"/>
              </w:rPr>
              <w:t>V</w:t>
            </w:r>
            <w:r w:rsidRPr="001838EE">
              <w:rPr>
                <w:rFonts w:eastAsia="Arial Narrow" w:cs="Calibri"/>
                <w:b/>
                <w:color w:val="FFFFFF"/>
                <w:spacing w:val="3"/>
                <w:szCs w:val="18"/>
              </w:rPr>
              <w:t>O</w:t>
            </w:r>
            <w:r w:rsidRPr="001838EE">
              <w:rPr>
                <w:rFonts w:eastAsia="Arial Narrow" w:cs="Calibri"/>
                <w:b/>
                <w:color w:val="FFFFFF"/>
                <w:spacing w:val="1"/>
                <w:szCs w:val="18"/>
              </w:rPr>
              <w:t>Z</w:t>
            </w:r>
            <w:r w:rsidRPr="001838EE">
              <w:rPr>
                <w:rFonts w:eastAsia="Arial Narrow" w:cs="Calibri"/>
                <w:b/>
                <w:color w:val="FFFFFF"/>
                <w:szCs w:val="18"/>
              </w:rPr>
              <w:t>I</w:t>
            </w:r>
            <w:r w:rsidRPr="001838EE">
              <w:rPr>
                <w:rFonts w:eastAsia="Arial Narrow" w:cs="Calibri"/>
                <w:b/>
                <w:color w:val="FFFFFF"/>
                <w:spacing w:val="1"/>
                <w:szCs w:val="18"/>
              </w:rPr>
              <w:t>L</w:t>
            </w:r>
            <w:r w:rsidRPr="001838EE">
              <w:rPr>
                <w:rFonts w:eastAsia="Arial Narrow" w:cs="Calibri"/>
                <w:b/>
                <w:color w:val="FFFFFF"/>
                <w:szCs w:val="18"/>
              </w:rPr>
              <w:t xml:space="preserve">A, </w:t>
            </w:r>
            <w:r w:rsidRPr="001838EE">
              <w:rPr>
                <w:rFonts w:eastAsia="Arial Narrow" w:cs="Calibri"/>
                <w:b/>
                <w:color w:val="FFFFFF"/>
                <w:spacing w:val="-1"/>
                <w:szCs w:val="18"/>
              </w:rPr>
              <w:t>P</w:t>
            </w:r>
            <w:r w:rsidRPr="001838EE">
              <w:rPr>
                <w:rFonts w:eastAsia="Arial Narrow" w:cs="Calibri"/>
                <w:b/>
                <w:color w:val="FFFFFF"/>
                <w:szCs w:val="18"/>
              </w:rPr>
              <w:t>RIKO</w:t>
            </w:r>
            <w:r w:rsidRPr="001838EE">
              <w:rPr>
                <w:rFonts w:eastAsia="Arial Narrow" w:cs="Calibri"/>
                <w:b/>
                <w:color w:val="FFFFFF"/>
                <w:spacing w:val="1"/>
                <w:szCs w:val="18"/>
              </w:rPr>
              <w:t>L</w:t>
            </w:r>
            <w:r w:rsidRPr="001838EE">
              <w:rPr>
                <w:rFonts w:eastAsia="Arial Narrow" w:cs="Calibri"/>
                <w:b/>
                <w:color w:val="FFFFFF"/>
                <w:szCs w:val="18"/>
              </w:rPr>
              <w:t>I</w:t>
            </w:r>
            <w:r w:rsidRPr="001838EE">
              <w:rPr>
                <w:rFonts w:eastAsia="Arial Narrow" w:cs="Calibri"/>
                <w:b/>
                <w:color w:val="FFFFFF"/>
                <w:spacing w:val="2"/>
                <w:szCs w:val="18"/>
              </w:rPr>
              <w:t>C</w:t>
            </w:r>
            <w:r w:rsidRPr="001838EE">
              <w:rPr>
                <w:rFonts w:eastAsia="Arial Narrow" w:cs="Calibri"/>
                <w:b/>
                <w:color w:val="FFFFFF"/>
                <w:szCs w:val="18"/>
              </w:rPr>
              <w:t>A</w:t>
            </w:r>
            <w:r w:rsidRPr="001838EE">
              <w:rPr>
                <w:rFonts w:eastAsia="Arial Narrow" w:cs="Calibri"/>
                <w:b/>
                <w:color w:val="FFFFFF"/>
                <w:spacing w:val="-9"/>
                <w:szCs w:val="18"/>
              </w:rPr>
              <w:t xml:space="preserve"> </w:t>
            </w:r>
            <w:r w:rsidRPr="001838EE">
              <w:rPr>
                <w:rFonts w:eastAsia="Arial Narrow" w:cs="Calibri"/>
                <w:b/>
                <w:color w:val="FFFFFF"/>
                <w:szCs w:val="18"/>
              </w:rPr>
              <w:t xml:space="preserve">I </w:t>
            </w:r>
            <w:r w:rsidRPr="001838EE">
              <w:rPr>
                <w:rFonts w:eastAsia="Arial Narrow" w:cs="Calibri"/>
                <w:b/>
                <w:color w:val="FFFFFF"/>
                <w:spacing w:val="2"/>
                <w:szCs w:val="18"/>
              </w:rPr>
              <w:t>P</w:t>
            </w:r>
            <w:r w:rsidRPr="001838EE">
              <w:rPr>
                <w:rFonts w:eastAsia="Arial Narrow" w:cs="Calibri"/>
                <w:b/>
                <w:color w:val="FFFFFF"/>
                <w:szCs w:val="18"/>
              </w:rPr>
              <w:t>O</w:t>
            </w:r>
            <w:r w:rsidRPr="001838EE">
              <w:rPr>
                <w:rFonts w:eastAsia="Arial Narrow" w:cs="Calibri"/>
                <w:b/>
                <w:color w:val="FFFFFF"/>
                <w:spacing w:val="1"/>
                <w:szCs w:val="18"/>
              </w:rPr>
              <w:t>L</w:t>
            </w:r>
            <w:r w:rsidRPr="001838EE">
              <w:rPr>
                <w:rFonts w:eastAsia="Arial Narrow" w:cs="Calibri"/>
                <w:b/>
                <w:color w:val="FFFFFF"/>
                <w:szCs w:val="18"/>
              </w:rPr>
              <w:t>U</w:t>
            </w:r>
            <w:r w:rsidRPr="001838EE">
              <w:rPr>
                <w:rFonts w:eastAsia="Arial Narrow" w:cs="Calibri"/>
                <w:b/>
                <w:color w:val="FFFFFF"/>
                <w:spacing w:val="2"/>
                <w:szCs w:val="18"/>
              </w:rPr>
              <w:t>P</w:t>
            </w:r>
            <w:r w:rsidRPr="001838EE">
              <w:rPr>
                <w:rFonts w:eastAsia="Arial Narrow" w:cs="Calibri"/>
                <w:b/>
                <w:color w:val="FFFFFF"/>
                <w:szCs w:val="18"/>
              </w:rPr>
              <w:t>RIKO</w:t>
            </w:r>
            <w:r w:rsidRPr="001838EE">
              <w:rPr>
                <w:rFonts w:eastAsia="Arial Narrow" w:cs="Calibri"/>
                <w:b/>
                <w:color w:val="FFFFFF"/>
                <w:spacing w:val="1"/>
                <w:szCs w:val="18"/>
              </w:rPr>
              <w:t>L</w:t>
            </w:r>
            <w:r w:rsidRPr="001838EE">
              <w:rPr>
                <w:rFonts w:eastAsia="Arial Narrow" w:cs="Calibri"/>
                <w:b/>
                <w:color w:val="FFFFFF"/>
                <w:szCs w:val="18"/>
              </w:rPr>
              <w:t>ICA</w:t>
            </w:r>
          </w:p>
        </w:tc>
        <w:tc>
          <w:tcPr>
            <w:tcW w:w="923" w:type="dxa"/>
            <w:tcBorders>
              <w:top w:val="single" w:sz="8" w:space="0" w:color="F3CFC1"/>
              <w:bottom w:val="single" w:sz="8" w:space="0" w:color="F3CFC1"/>
            </w:tcBorders>
            <w:shd w:val="clear" w:color="auto" w:fill="auto"/>
          </w:tcPr>
          <w:p w14:paraId="39584C6A" w14:textId="77777777" w:rsidR="008878A0" w:rsidRPr="001838EE" w:rsidRDefault="008878A0" w:rsidP="001838EE">
            <w:pPr>
              <w:spacing w:after="0" w:line="240" w:lineRule="auto"/>
              <w:jc w:val="right"/>
              <w:rPr>
                <w:rFonts w:eastAsia="Times New Roman" w:cs="Calibri"/>
                <w:szCs w:val="18"/>
              </w:rPr>
            </w:pPr>
          </w:p>
          <w:p w14:paraId="0B78508F"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-0,1</w:t>
            </w:r>
          </w:p>
        </w:tc>
        <w:tc>
          <w:tcPr>
            <w:tcW w:w="938" w:type="dxa"/>
            <w:tcBorders>
              <w:top w:val="single" w:sz="8" w:space="0" w:color="F3CFC1"/>
              <w:bottom w:val="single" w:sz="8" w:space="0" w:color="F3CFC1"/>
            </w:tcBorders>
            <w:shd w:val="clear" w:color="auto" w:fill="auto"/>
          </w:tcPr>
          <w:p w14:paraId="21B72D75" w14:textId="77777777" w:rsidR="008878A0" w:rsidRPr="001838EE" w:rsidRDefault="008878A0" w:rsidP="001838EE">
            <w:pPr>
              <w:spacing w:after="0" w:line="240" w:lineRule="auto"/>
              <w:jc w:val="right"/>
              <w:rPr>
                <w:rFonts w:eastAsia="Times New Roman" w:cs="Calibri"/>
                <w:szCs w:val="18"/>
              </w:rPr>
            </w:pPr>
          </w:p>
          <w:p w14:paraId="0B579B21"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7" w:type="dxa"/>
            <w:tcBorders>
              <w:top w:val="single" w:sz="8" w:space="0" w:color="F3CFC1"/>
              <w:bottom w:val="single" w:sz="8" w:space="0" w:color="F3CFC1"/>
            </w:tcBorders>
            <w:shd w:val="clear" w:color="auto" w:fill="auto"/>
          </w:tcPr>
          <w:p w14:paraId="3AE6E840" w14:textId="77777777" w:rsidR="008878A0" w:rsidRPr="001838EE" w:rsidRDefault="008878A0" w:rsidP="001838EE">
            <w:pPr>
              <w:spacing w:after="0" w:line="240" w:lineRule="auto"/>
              <w:jc w:val="right"/>
              <w:rPr>
                <w:rFonts w:eastAsia="Times New Roman" w:cs="Calibri"/>
                <w:szCs w:val="18"/>
              </w:rPr>
            </w:pPr>
          </w:p>
          <w:p w14:paraId="4768BFFB"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6" w:type="dxa"/>
            <w:tcBorders>
              <w:top w:val="single" w:sz="8" w:space="0" w:color="F3CFC1"/>
              <w:bottom w:val="single" w:sz="8" w:space="0" w:color="F3CFC1"/>
            </w:tcBorders>
            <w:shd w:val="clear" w:color="auto" w:fill="auto"/>
          </w:tcPr>
          <w:p w14:paraId="1899ED22" w14:textId="77777777" w:rsidR="008878A0" w:rsidRPr="001838EE" w:rsidRDefault="008878A0" w:rsidP="001838EE">
            <w:pPr>
              <w:spacing w:after="0" w:line="240" w:lineRule="auto"/>
              <w:jc w:val="right"/>
              <w:rPr>
                <w:rFonts w:eastAsia="Times New Roman" w:cs="Calibri"/>
                <w:szCs w:val="18"/>
              </w:rPr>
            </w:pPr>
          </w:p>
          <w:p w14:paraId="642AE8DF"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1345" w:type="dxa"/>
            <w:tcBorders>
              <w:top w:val="single" w:sz="8" w:space="0" w:color="F3CFC1"/>
              <w:bottom w:val="single" w:sz="8" w:space="0" w:color="F3CFC1"/>
              <w:right w:val="single" w:sz="8" w:space="0" w:color="D2232A"/>
            </w:tcBorders>
            <w:shd w:val="clear" w:color="auto" w:fill="auto"/>
          </w:tcPr>
          <w:p w14:paraId="5D34A3B4" w14:textId="77777777" w:rsidR="008878A0" w:rsidRPr="001838EE" w:rsidRDefault="008878A0" w:rsidP="001838EE">
            <w:pPr>
              <w:spacing w:after="0" w:line="240" w:lineRule="auto"/>
              <w:jc w:val="center"/>
              <w:rPr>
                <w:rFonts w:eastAsia="Times New Roman" w:cs="Calibri"/>
                <w:szCs w:val="18"/>
              </w:rPr>
            </w:pPr>
          </w:p>
          <w:p w14:paraId="4779116C"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0,0</w:t>
            </w:r>
          </w:p>
        </w:tc>
      </w:tr>
      <w:tr w:rsidR="008878A0" w:rsidRPr="001838EE" w14:paraId="7841877A"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73D7D9B3" w14:textId="77777777" w:rsidR="008878A0" w:rsidRPr="001838EE" w:rsidRDefault="008878A0" w:rsidP="001838EE">
            <w:pPr>
              <w:spacing w:after="0" w:line="240" w:lineRule="auto"/>
              <w:ind w:left="103" w:right="408"/>
              <w:jc w:val="left"/>
              <w:rPr>
                <w:rFonts w:eastAsia="Arial Narrow" w:cs="Calibri"/>
                <w:szCs w:val="18"/>
              </w:rPr>
            </w:pPr>
            <w:r w:rsidRPr="001838EE">
              <w:rPr>
                <w:rFonts w:eastAsia="Arial Narrow" w:cs="Calibri"/>
                <w:b/>
                <w:color w:val="FFFFFF"/>
                <w:spacing w:val="1"/>
                <w:szCs w:val="18"/>
              </w:rPr>
              <w:t>T</w:t>
            </w:r>
            <w:r w:rsidRPr="001838EE">
              <w:rPr>
                <w:rFonts w:eastAsia="Arial Narrow" w:cs="Calibri"/>
                <w:b/>
                <w:color w:val="FFFFFF"/>
                <w:szCs w:val="18"/>
              </w:rPr>
              <w:t>RGO</w:t>
            </w:r>
            <w:r w:rsidRPr="001838EE">
              <w:rPr>
                <w:rFonts w:eastAsia="Arial Narrow" w:cs="Calibri"/>
                <w:b/>
                <w:color w:val="FFFFFF"/>
                <w:spacing w:val="-1"/>
                <w:szCs w:val="18"/>
              </w:rPr>
              <w:t>V</w:t>
            </w:r>
            <w:r w:rsidRPr="001838EE">
              <w:rPr>
                <w:rFonts w:eastAsia="Arial Narrow" w:cs="Calibri"/>
                <w:b/>
                <w:color w:val="FFFFFF"/>
                <w:szCs w:val="18"/>
              </w:rPr>
              <w:t>I</w:t>
            </w:r>
            <w:r w:rsidRPr="001838EE">
              <w:rPr>
                <w:rFonts w:eastAsia="Arial Narrow" w:cs="Calibri"/>
                <w:b/>
                <w:color w:val="FFFFFF"/>
                <w:spacing w:val="2"/>
                <w:szCs w:val="18"/>
              </w:rPr>
              <w:t>N</w:t>
            </w:r>
            <w:r w:rsidRPr="001838EE">
              <w:rPr>
                <w:rFonts w:eastAsia="Arial Narrow" w:cs="Calibri"/>
                <w:b/>
                <w:color w:val="FFFFFF"/>
                <w:szCs w:val="18"/>
              </w:rPr>
              <w:t>A</w:t>
            </w:r>
            <w:r w:rsidRPr="001838EE">
              <w:rPr>
                <w:rFonts w:eastAsia="Arial Narrow" w:cs="Calibri"/>
                <w:b/>
                <w:color w:val="FFFFFF"/>
                <w:spacing w:val="-9"/>
                <w:szCs w:val="18"/>
              </w:rPr>
              <w:t xml:space="preserve"> </w:t>
            </w:r>
            <w:r w:rsidRPr="001838EE">
              <w:rPr>
                <w:rFonts w:eastAsia="Arial Narrow" w:cs="Calibri"/>
                <w:b/>
                <w:color w:val="FFFFFF"/>
                <w:spacing w:val="1"/>
                <w:szCs w:val="18"/>
              </w:rPr>
              <w:t>M</w:t>
            </w:r>
            <w:r w:rsidRPr="001838EE">
              <w:rPr>
                <w:rFonts w:eastAsia="Arial Narrow" w:cs="Calibri"/>
                <w:b/>
                <w:color w:val="FFFFFF"/>
                <w:szCs w:val="18"/>
              </w:rPr>
              <w:t>O</w:t>
            </w:r>
            <w:r w:rsidRPr="001838EE">
              <w:rPr>
                <w:rFonts w:eastAsia="Arial Narrow" w:cs="Calibri"/>
                <w:b/>
                <w:color w:val="FFFFFF"/>
                <w:spacing w:val="1"/>
                <w:szCs w:val="18"/>
              </w:rPr>
              <w:t>T</w:t>
            </w:r>
            <w:r w:rsidRPr="001838EE">
              <w:rPr>
                <w:rFonts w:eastAsia="Arial Narrow" w:cs="Calibri"/>
                <w:b/>
                <w:color w:val="FFFFFF"/>
                <w:szCs w:val="18"/>
              </w:rPr>
              <w:t>ORNIM</w:t>
            </w:r>
            <w:r w:rsidRPr="001838EE">
              <w:rPr>
                <w:rFonts w:eastAsia="Arial Narrow" w:cs="Calibri"/>
                <w:b/>
                <w:color w:val="FFFFFF"/>
                <w:spacing w:val="-6"/>
                <w:szCs w:val="18"/>
              </w:rPr>
              <w:t xml:space="preserve"> </w:t>
            </w:r>
            <w:r w:rsidRPr="001838EE">
              <w:rPr>
                <w:rFonts w:eastAsia="Arial Narrow" w:cs="Calibri"/>
                <w:b/>
                <w:color w:val="FFFFFF"/>
                <w:spacing w:val="-1"/>
                <w:szCs w:val="18"/>
              </w:rPr>
              <w:t>V</w:t>
            </w:r>
            <w:r w:rsidRPr="001838EE">
              <w:rPr>
                <w:rFonts w:eastAsia="Arial Narrow" w:cs="Calibri"/>
                <w:b/>
                <w:color w:val="FFFFFF"/>
                <w:szCs w:val="18"/>
              </w:rPr>
              <w:t>O</w:t>
            </w:r>
            <w:r w:rsidRPr="001838EE">
              <w:rPr>
                <w:rFonts w:eastAsia="Arial Narrow" w:cs="Calibri"/>
                <w:b/>
                <w:color w:val="FFFFFF"/>
                <w:spacing w:val="1"/>
                <w:szCs w:val="18"/>
              </w:rPr>
              <w:t>Z</w:t>
            </w:r>
            <w:r w:rsidRPr="001838EE">
              <w:rPr>
                <w:rFonts w:eastAsia="Arial Narrow" w:cs="Calibri"/>
                <w:b/>
                <w:color w:val="FFFFFF"/>
                <w:szCs w:val="18"/>
              </w:rPr>
              <w:t>I</w:t>
            </w:r>
            <w:r w:rsidRPr="001838EE">
              <w:rPr>
                <w:rFonts w:eastAsia="Arial Narrow" w:cs="Calibri"/>
                <w:b/>
                <w:color w:val="FFFFFF"/>
                <w:spacing w:val="1"/>
                <w:szCs w:val="18"/>
              </w:rPr>
              <w:t>L</w:t>
            </w:r>
            <w:r w:rsidRPr="001838EE">
              <w:rPr>
                <w:rFonts w:eastAsia="Arial Narrow" w:cs="Calibri"/>
                <w:b/>
                <w:color w:val="FFFFFF"/>
                <w:spacing w:val="3"/>
                <w:szCs w:val="18"/>
              </w:rPr>
              <w:t>I</w:t>
            </w:r>
            <w:r w:rsidRPr="001838EE">
              <w:rPr>
                <w:rFonts w:eastAsia="Arial Narrow" w:cs="Calibri"/>
                <w:b/>
                <w:color w:val="FFFFFF"/>
                <w:spacing w:val="1"/>
                <w:szCs w:val="18"/>
              </w:rPr>
              <w:t>M</w:t>
            </w:r>
            <w:r w:rsidRPr="001838EE">
              <w:rPr>
                <w:rFonts w:eastAsia="Arial Narrow" w:cs="Calibri"/>
                <w:b/>
                <w:color w:val="FFFFFF"/>
                <w:szCs w:val="18"/>
              </w:rPr>
              <w:t xml:space="preserve">A; </w:t>
            </w:r>
            <w:r w:rsidRPr="001838EE">
              <w:rPr>
                <w:rFonts w:eastAsia="Arial Narrow" w:cs="Calibri"/>
                <w:b/>
                <w:color w:val="FFFFFF"/>
                <w:spacing w:val="-1"/>
                <w:szCs w:val="18"/>
              </w:rPr>
              <w:t>P</w:t>
            </w:r>
            <w:r w:rsidRPr="001838EE">
              <w:rPr>
                <w:rFonts w:eastAsia="Arial Narrow" w:cs="Calibri"/>
                <w:b/>
                <w:color w:val="FFFFFF"/>
                <w:szCs w:val="18"/>
              </w:rPr>
              <w:t>O</w:t>
            </w:r>
            <w:r w:rsidRPr="001838EE">
              <w:rPr>
                <w:rFonts w:eastAsia="Arial Narrow" w:cs="Calibri"/>
                <w:b/>
                <w:color w:val="FFFFFF"/>
                <w:spacing w:val="2"/>
                <w:szCs w:val="18"/>
              </w:rPr>
              <w:t>P</w:t>
            </w:r>
            <w:r w:rsidRPr="001838EE">
              <w:rPr>
                <w:rFonts w:eastAsia="Arial Narrow" w:cs="Calibri"/>
                <w:b/>
                <w:color w:val="FFFFFF"/>
                <w:szCs w:val="18"/>
              </w:rPr>
              <w:t>R</w:t>
            </w:r>
            <w:r w:rsidRPr="001838EE">
              <w:rPr>
                <w:rFonts w:eastAsia="Arial Narrow" w:cs="Calibri"/>
                <w:b/>
                <w:color w:val="FFFFFF"/>
                <w:spacing w:val="2"/>
                <w:szCs w:val="18"/>
              </w:rPr>
              <w:t>A</w:t>
            </w:r>
            <w:r w:rsidRPr="001838EE">
              <w:rPr>
                <w:rFonts w:eastAsia="Arial Narrow" w:cs="Calibri"/>
                <w:b/>
                <w:color w:val="FFFFFF"/>
                <w:spacing w:val="-1"/>
                <w:szCs w:val="18"/>
              </w:rPr>
              <w:t>V</w:t>
            </w:r>
            <w:r w:rsidRPr="001838EE">
              <w:rPr>
                <w:rFonts w:eastAsia="Arial Narrow" w:cs="Calibri"/>
                <w:b/>
                <w:color w:val="FFFFFF"/>
                <w:szCs w:val="18"/>
              </w:rPr>
              <w:t>AK</w:t>
            </w:r>
            <w:r w:rsidRPr="001838EE">
              <w:rPr>
                <w:rFonts w:eastAsia="Arial Narrow" w:cs="Calibri"/>
                <w:b/>
                <w:color w:val="FFFFFF"/>
                <w:spacing w:val="-9"/>
                <w:szCs w:val="18"/>
              </w:rPr>
              <w:t xml:space="preserve"> </w:t>
            </w:r>
            <w:r w:rsidRPr="001838EE">
              <w:rPr>
                <w:rFonts w:eastAsia="Arial Narrow" w:cs="Calibri"/>
                <w:b/>
                <w:color w:val="FFFFFF"/>
                <w:spacing w:val="1"/>
                <w:szCs w:val="18"/>
              </w:rPr>
              <w:t>M</w:t>
            </w:r>
            <w:r w:rsidRPr="001838EE">
              <w:rPr>
                <w:rFonts w:eastAsia="Arial Narrow" w:cs="Calibri"/>
                <w:b/>
                <w:color w:val="FFFFFF"/>
                <w:szCs w:val="18"/>
              </w:rPr>
              <w:t>O</w:t>
            </w:r>
            <w:r w:rsidRPr="001838EE">
              <w:rPr>
                <w:rFonts w:eastAsia="Arial Narrow" w:cs="Calibri"/>
                <w:b/>
                <w:color w:val="FFFFFF"/>
                <w:spacing w:val="1"/>
                <w:szCs w:val="18"/>
              </w:rPr>
              <w:t>T</w:t>
            </w:r>
            <w:r w:rsidRPr="001838EE">
              <w:rPr>
                <w:rFonts w:eastAsia="Arial Narrow" w:cs="Calibri"/>
                <w:b/>
                <w:color w:val="FFFFFF"/>
                <w:spacing w:val="3"/>
                <w:szCs w:val="18"/>
              </w:rPr>
              <w:t>O</w:t>
            </w:r>
            <w:r w:rsidRPr="001838EE">
              <w:rPr>
                <w:rFonts w:eastAsia="Arial Narrow" w:cs="Calibri"/>
                <w:b/>
                <w:color w:val="FFFFFF"/>
                <w:szCs w:val="18"/>
              </w:rPr>
              <w:t>RNIH</w:t>
            </w:r>
            <w:r w:rsidRPr="001838EE">
              <w:rPr>
                <w:rFonts w:eastAsia="Arial Narrow" w:cs="Calibri"/>
                <w:b/>
                <w:color w:val="FFFFFF"/>
                <w:spacing w:val="-7"/>
                <w:szCs w:val="18"/>
              </w:rPr>
              <w:t xml:space="preserve"> </w:t>
            </w:r>
            <w:r w:rsidRPr="001838EE">
              <w:rPr>
                <w:rFonts w:eastAsia="Arial Narrow" w:cs="Calibri"/>
                <w:b/>
                <w:color w:val="FFFFFF"/>
                <w:spacing w:val="-1"/>
                <w:szCs w:val="18"/>
              </w:rPr>
              <w:t>V</w:t>
            </w:r>
            <w:r w:rsidRPr="001838EE">
              <w:rPr>
                <w:rFonts w:eastAsia="Arial Narrow" w:cs="Calibri"/>
                <w:b/>
                <w:color w:val="FFFFFF"/>
                <w:szCs w:val="18"/>
              </w:rPr>
              <w:t>O</w:t>
            </w:r>
            <w:r w:rsidRPr="001838EE">
              <w:rPr>
                <w:rFonts w:eastAsia="Arial Narrow" w:cs="Calibri"/>
                <w:b/>
                <w:color w:val="FFFFFF"/>
                <w:spacing w:val="1"/>
                <w:szCs w:val="18"/>
              </w:rPr>
              <w:t>Z</w:t>
            </w:r>
            <w:r w:rsidRPr="001838EE">
              <w:rPr>
                <w:rFonts w:eastAsia="Arial Narrow" w:cs="Calibri"/>
                <w:b/>
                <w:color w:val="FFFFFF"/>
                <w:szCs w:val="18"/>
              </w:rPr>
              <w:t>I</w:t>
            </w:r>
            <w:r w:rsidRPr="001838EE">
              <w:rPr>
                <w:rFonts w:eastAsia="Arial Narrow" w:cs="Calibri"/>
                <w:b/>
                <w:color w:val="FFFFFF"/>
                <w:spacing w:val="1"/>
                <w:szCs w:val="18"/>
              </w:rPr>
              <w:t>L</w:t>
            </w:r>
            <w:r w:rsidRPr="001838EE">
              <w:rPr>
                <w:rFonts w:eastAsia="Arial Narrow" w:cs="Calibri"/>
                <w:b/>
                <w:color w:val="FFFFFF"/>
                <w:szCs w:val="18"/>
              </w:rPr>
              <w:t>A</w:t>
            </w:r>
          </w:p>
        </w:tc>
        <w:tc>
          <w:tcPr>
            <w:tcW w:w="923" w:type="dxa"/>
            <w:tcBorders>
              <w:top w:val="single" w:sz="8" w:space="0" w:color="F3CFC1"/>
              <w:bottom w:val="single" w:sz="8" w:space="0" w:color="F3CFC1"/>
            </w:tcBorders>
            <w:shd w:val="clear" w:color="auto" w:fill="auto"/>
          </w:tcPr>
          <w:p w14:paraId="3AC79A38" w14:textId="77777777" w:rsidR="008878A0" w:rsidRPr="001838EE" w:rsidRDefault="008878A0" w:rsidP="001838EE">
            <w:pPr>
              <w:spacing w:after="0" w:line="240" w:lineRule="auto"/>
              <w:jc w:val="right"/>
              <w:rPr>
                <w:rFonts w:eastAsia="Times New Roman" w:cs="Calibri"/>
                <w:szCs w:val="18"/>
              </w:rPr>
            </w:pPr>
          </w:p>
          <w:p w14:paraId="1674294B"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-0,1</w:t>
            </w:r>
          </w:p>
        </w:tc>
        <w:tc>
          <w:tcPr>
            <w:tcW w:w="938" w:type="dxa"/>
            <w:tcBorders>
              <w:top w:val="single" w:sz="8" w:space="0" w:color="F3CFC1"/>
              <w:bottom w:val="single" w:sz="8" w:space="0" w:color="F3CFC1"/>
            </w:tcBorders>
            <w:shd w:val="clear" w:color="auto" w:fill="auto"/>
          </w:tcPr>
          <w:p w14:paraId="0160D8A6" w14:textId="77777777" w:rsidR="008878A0" w:rsidRPr="001838EE" w:rsidRDefault="008878A0" w:rsidP="001838EE">
            <w:pPr>
              <w:spacing w:after="0" w:line="240" w:lineRule="auto"/>
              <w:jc w:val="right"/>
              <w:rPr>
                <w:rFonts w:eastAsia="Times New Roman" w:cs="Calibri"/>
                <w:szCs w:val="18"/>
              </w:rPr>
            </w:pPr>
          </w:p>
          <w:p w14:paraId="7B6406D5"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-0,4</w:t>
            </w:r>
          </w:p>
        </w:tc>
        <w:tc>
          <w:tcPr>
            <w:tcW w:w="897" w:type="dxa"/>
            <w:tcBorders>
              <w:top w:val="single" w:sz="8" w:space="0" w:color="F3CFC1"/>
              <w:bottom w:val="single" w:sz="8" w:space="0" w:color="F3CFC1"/>
            </w:tcBorders>
            <w:shd w:val="clear" w:color="auto" w:fill="auto"/>
          </w:tcPr>
          <w:p w14:paraId="476711DD" w14:textId="77777777" w:rsidR="008878A0" w:rsidRPr="001838EE" w:rsidRDefault="008878A0" w:rsidP="001838EE">
            <w:pPr>
              <w:spacing w:after="0" w:line="240" w:lineRule="auto"/>
              <w:jc w:val="right"/>
              <w:rPr>
                <w:rFonts w:eastAsia="Times New Roman" w:cs="Calibri"/>
                <w:szCs w:val="18"/>
              </w:rPr>
            </w:pPr>
          </w:p>
          <w:p w14:paraId="582533A9"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-0,4</w:t>
            </w:r>
          </w:p>
        </w:tc>
        <w:tc>
          <w:tcPr>
            <w:tcW w:w="896" w:type="dxa"/>
            <w:tcBorders>
              <w:top w:val="single" w:sz="8" w:space="0" w:color="F3CFC1"/>
              <w:bottom w:val="single" w:sz="8" w:space="0" w:color="F3CFC1"/>
            </w:tcBorders>
            <w:shd w:val="clear" w:color="auto" w:fill="auto"/>
          </w:tcPr>
          <w:p w14:paraId="263BB536" w14:textId="77777777" w:rsidR="008878A0" w:rsidRPr="001838EE" w:rsidRDefault="008878A0" w:rsidP="001838EE">
            <w:pPr>
              <w:spacing w:after="0" w:line="240" w:lineRule="auto"/>
              <w:jc w:val="right"/>
              <w:rPr>
                <w:rFonts w:eastAsia="Times New Roman" w:cs="Calibri"/>
                <w:szCs w:val="18"/>
              </w:rPr>
            </w:pPr>
          </w:p>
          <w:p w14:paraId="5BA391C9"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1345" w:type="dxa"/>
            <w:tcBorders>
              <w:top w:val="single" w:sz="8" w:space="0" w:color="F3CFC1"/>
              <w:bottom w:val="single" w:sz="8" w:space="0" w:color="F3CFC1"/>
              <w:right w:val="single" w:sz="8" w:space="0" w:color="D2232A"/>
            </w:tcBorders>
            <w:shd w:val="clear" w:color="auto" w:fill="auto"/>
          </w:tcPr>
          <w:p w14:paraId="2D1CBC90" w14:textId="77777777" w:rsidR="008878A0" w:rsidRPr="001838EE" w:rsidRDefault="008878A0" w:rsidP="001838EE">
            <w:pPr>
              <w:spacing w:after="0" w:line="240" w:lineRule="auto"/>
              <w:jc w:val="center"/>
              <w:rPr>
                <w:rFonts w:eastAsia="Times New Roman" w:cs="Calibri"/>
                <w:szCs w:val="18"/>
              </w:rPr>
            </w:pPr>
          </w:p>
          <w:p w14:paraId="427AB368"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0,0</w:t>
            </w:r>
          </w:p>
        </w:tc>
      </w:tr>
      <w:tr w:rsidR="008878A0" w:rsidRPr="001838EE" w14:paraId="60E081D0"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04F74657" w14:textId="77777777" w:rsidR="008878A0" w:rsidRPr="001838EE" w:rsidRDefault="008878A0" w:rsidP="001838EE">
            <w:pPr>
              <w:spacing w:after="0" w:line="240" w:lineRule="auto"/>
              <w:ind w:left="103"/>
              <w:jc w:val="left"/>
              <w:rPr>
                <w:rFonts w:eastAsia="Arial Narrow" w:cs="Calibri"/>
                <w:szCs w:val="18"/>
              </w:rPr>
            </w:pPr>
            <w:r w:rsidRPr="001838EE">
              <w:rPr>
                <w:rFonts w:eastAsia="Arial Narrow" w:cs="Calibri"/>
                <w:b/>
                <w:color w:val="FFFFFF"/>
                <w:szCs w:val="18"/>
              </w:rPr>
              <w:t>R</w:t>
            </w:r>
            <w:r w:rsidRPr="001838EE">
              <w:rPr>
                <w:rFonts w:eastAsia="Arial Narrow" w:cs="Calibri"/>
                <w:b/>
                <w:color w:val="FFFFFF"/>
                <w:spacing w:val="-1"/>
                <w:szCs w:val="18"/>
              </w:rPr>
              <w:t>E</w:t>
            </w:r>
            <w:r w:rsidRPr="001838EE">
              <w:rPr>
                <w:rFonts w:eastAsia="Arial Narrow" w:cs="Calibri"/>
                <w:b/>
                <w:color w:val="FFFFFF"/>
                <w:szCs w:val="18"/>
              </w:rPr>
              <w:t>C</w:t>
            </w:r>
            <w:r w:rsidRPr="001838EE">
              <w:rPr>
                <w:rFonts w:eastAsia="Arial Narrow" w:cs="Calibri"/>
                <w:b/>
                <w:color w:val="FFFFFF"/>
                <w:spacing w:val="3"/>
                <w:szCs w:val="18"/>
              </w:rPr>
              <w:t>I</w:t>
            </w:r>
            <w:r w:rsidRPr="001838EE">
              <w:rPr>
                <w:rFonts w:eastAsia="Arial Narrow" w:cs="Calibri"/>
                <w:b/>
                <w:color w:val="FFFFFF"/>
                <w:szCs w:val="18"/>
              </w:rPr>
              <w:t>K</w:t>
            </w:r>
            <w:r w:rsidRPr="001838EE">
              <w:rPr>
                <w:rFonts w:eastAsia="Arial Narrow" w:cs="Calibri"/>
                <w:b/>
                <w:color w:val="FFFFFF"/>
                <w:spacing w:val="1"/>
                <w:szCs w:val="18"/>
              </w:rPr>
              <w:t>L</w:t>
            </w:r>
            <w:r w:rsidRPr="001838EE">
              <w:rPr>
                <w:rFonts w:eastAsia="Arial Narrow" w:cs="Calibri"/>
                <w:b/>
                <w:color w:val="FFFFFF"/>
                <w:szCs w:val="18"/>
              </w:rPr>
              <w:t>A</w:t>
            </w:r>
            <w:r w:rsidRPr="001838EE">
              <w:rPr>
                <w:rFonts w:eastAsia="Arial Narrow" w:cs="Calibri"/>
                <w:b/>
                <w:color w:val="FFFFFF"/>
                <w:spacing w:val="1"/>
                <w:szCs w:val="18"/>
              </w:rPr>
              <w:t>Ž</w:t>
            </w:r>
            <w:r w:rsidRPr="001838EE">
              <w:rPr>
                <w:rFonts w:eastAsia="Arial Narrow" w:cs="Calibri"/>
                <w:b/>
                <w:color w:val="FFFFFF"/>
                <w:szCs w:val="18"/>
              </w:rPr>
              <w:t>A</w:t>
            </w:r>
          </w:p>
        </w:tc>
        <w:tc>
          <w:tcPr>
            <w:tcW w:w="923" w:type="dxa"/>
            <w:tcBorders>
              <w:top w:val="single" w:sz="8" w:space="0" w:color="F3CFC1"/>
              <w:bottom w:val="single" w:sz="8" w:space="0" w:color="F3CFC1"/>
            </w:tcBorders>
            <w:shd w:val="clear" w:color="auto" w:fill="auto"/>
            <w:hideMark/>
          </w:tcPr>
          <w:p w14:paraId="1D522431"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938" w:type="dxa"/>
            <w:tcBorders>
              <w:top w:val="single" w:sz="8" w:space="0" w:color="F3CFC1"/>
              <w:bottom w:val="single" w:sz="8" w:space="0" w:color="F3CFC1"/>
            </w:tcBorders>
            <w:shd w:val="clear" w:color="auto" w:fill="auto"/>
            <w:hideMark/>
          </w:tcPr>
          <w:p w14:paraId="73432232"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-0,6</w:t>
            </w:r>
          </w:p>
        </w:tc>
        <w:tc>
          <w:tcPr>
            <w:tcW w:w="897" w:type="dxa"/>
            <w:tcBorders>
              <w:top w:val="single" w:sz="8" w:space="0" w:color="F3CFC1"/>
              <w:bottom w:val="single" w:sz="8" w:space="0" w:color="F3CFC1"/>
            </w:tcBorders>
            <w:shd w:val="clear" w:color="auto" w:fill="auto"/>
            <w:hideMark/>
          </w:tcPr>
          <w:p w14:paraId="7183D36B"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-0,3</w:t>
            </w:r>
          </w:p>
        </w:tc>
        <w:tc>
          <w:tcPr>
            <w:tcW w:w="896" w:type="dxa"/>
            <w:tcBorders>
              <w:top w:val="single" w:sz="8" w:space="0" w:color="F3CFC1"/>
              <w:bottom w:val="single" w:sz="8" w:space="0" w:color="F3CFC1"/>
            </w:tcBorders>
            <w:shd w:val="clear" w:color="auto" w:fill="auto"/>
            <w:hideMark/>
          </w:tcPr>
          <w:p w14:paraId="6952A86E"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-0,5</w:t>
            </w:r>
          </w:p>
        </w:tc>
        <w:tc>
          <w:tcPr>
            <w:tcW w:w="1345" w:type="dxa"/>
            <w:tcBorders>
              <w:top w:val="single" w:sz="8" w:space="0" w:color="F3CFC1"/>
              <w:bottom w:val="single" w:sz="8" w:space="0" w:color="F3CFC1"/>
              <w:right w:val="single" w:sz="8" w:space="0" w:color="D2232A"/>
            </w:tcBorders>
            <w:shd w:val="clear" w:color="auto" w:fill="auto"/>
            <w:hideMark/>
          </w:tcPr>
          <w:p w14:paraId="231467D8"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-0,1</w:t>
            </w:r>
          </w:p>
        </w:tc>
      </w:tr>
      <w:tr w:rsidR="008878A0" w:rsidRPr="001838EE" w14:paraId="5CE6E321"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1FE0F92F" w14:textId="77777777" w:rsidR="008878A0" w:rsidRPr="001838EE" w:rsidRDefault="008878A0" w:rsidP="001838EE">
            <w:pPr>
              <w:spacing w:after="0" w:line="240" w:lineRule="auto"/>
              <w:ind w:left="103"/>
              <w:jc w:val="left"/>
              <w:rPr>
                <w:rFonts w:eastAsia="Arial Narrow" w:cs="Calibri"/>
                <w:szCs w:val="18"/>
              </w:rPr>
            </w:pPr>
            <w:r w:rsidRPr="001838EE">
              <w:rPr>
                <w:rFonts w:eastAsia="Arial Narrow" w:cs="Calibri"/>
                <w:b/>
                <w:color w:val="FFFFFF"/>
                <w:spacing w:val="-1"/>
                <w:szCs w:val="18"/>
              </w:rPr>
              <w:t>P</w:t>
            </w:r>
            <w:r w:rsidRPr="001838EE">
              <w:rPr>
                <w:rFonts w:eastAsia="Arial Narrow" w:cs="Calibri"/>
                <w:b/>
                <w:color w:val="FFFFFF"/>
                <w:szCs w:val="18"/>
              </w:rPr>
              <w:t>ROI</w:t>
            </w:r>
            <w:r w:rsidRPr="001838EE">
              <w:rPr>
                <w:rFonts w:eastAsia="Arial Narrow" w:cs="Calibri"/>
                <w:b/>
                <w:color w:val="FFFFFF"/>
                <w:spacing w:val="1"/>
                <w:szCs w:val="18"/>
              </w:rPr>
              <w:t>Z</w:t>
            </w:r>
            <w:r w:rsidRPr="001838EE">
              <w:rPr>
                <w:rFonts w:eastAsia="Arial Narrow" w:cs="Calibri"/>
                <w:b/>
                <w:color w:val="FFFFFF"/>
                <w:spacing w:val="2"/>
                <w:szCs w:val="18"/>
              </w:rPr>
              <w:t>V</w:t>
            </w:r>
            <w:r w:rsidRPr="001838EE">
              <w:rPr>
                <w:rFonts w:eastAsia="Arial Narrow" w:cs="Calibri"/>
                <w:b/>
                <w:color w:val="FFFFFF"/>
                <w:szCs w:val="18"/>
              </w:rPr>
              <w:t>ODN</w:t>
            </w:r>
            <w:r w:rsidRPr="001838EE">
              <w:rPr>
                <w:rFonts w:eastAsia="Arial Narrow" w:cs="Calibri"/>
                <w:b/>
                <w:color w:val="FFFFFF"/>
                <w:spacing w:val="3"/>
                <w:szCs w:val="18"/>
              </w:rPr>
              <w:t>J</w:t>
            </w:r>
            <w:r w:rsidRPr="001838EE">
              <w:rPr>
                <w:rFonts w:eastAsia="Arial Narrow" w:cs="Calibri"/>
                <w:b/>
                <w:color w:val="FFFFFF"/>
                <w:szCs w:val="18"/>
              </w:rPr>
              <w:t>A</w:t>
            </w:r>
            <w:r w:rsidRPr="001838EE">
              <w:rPr>
                <w:rFonts w:eastAsia="Arial Narrow" w:cs="Calibri"/>
                <w:b/>
                <w:color w:val="FFFFFF"/>
                <w:spacing w:val="-12"/>
                <w:szCs w:val="18"/>
              </w:rPr>
              <w:t xml:space="preserve"> </w:t>
            </w:r>
            <w:r w:rsidRPr="001838EE">
              <w:rPr>
                <w:rFonts w:eastAsia="Arial Narrow" w:cs="Calibri"/>
                <w:b/>
                <w:color w:val="FFFFFF"/>
                <w:spacing w:val="1"/>
                <w:szCs w:val="18"/>
              </w:rPr>
              <w:t>M</w:t>
            </w:r>
            <w:r w:rsidRPr="001838EE">
              <w:rPr>
                <w:rFonts w:eastAsia="Arial Narrow" w:cs="Calibri"/>
                <w:b/>
                <w:color w:val="FFFFFF"/>
                <w:spacing w:val="-1"/>
                <w:szCs w:val="18"/>
              </w:rPr>
              <w:t>E</w:t>
            </w:r>
            <w:r w:rsidRPr="001838EE">
              <w:rPr>
                <w:rFonts w:eastAsia="Arial Narrow" w:cs="Calibri"/>
                <w:b/>
                <w:color w:val="FFFFFF"/>
                <w:spacing w:val="1"/>
                <w:szCs w:val="18"/>
              </w:rPr>
              <w:t>T</w:t>
            </w:r>
            <w:r w:rsidRPr="001838EE">
              <w:rPr>
                <w:rFonts w:eastAsia="Arial Narrow" w:cs="Calibri"/>
                <w:b/>
                <w:color w:val="FFFFFF"/>
                <w:szCs w:val="18"/>
              </w:rPr>
              <w:t>A</w:t>
            </w:r>
            <w:r w:rsidRPr="001838EE">
              <w:rPr>
                <w:rFonts w:eastAsia="Arial Narrow" w:cs="Calibri"/>
                <w:b/>
                <w:color w:val="FFFFFF"/>
                <w:spacing w:val="1"/>
                <w:szCs w:val="18"/>
              </w:rPr>
              <w:t>L</w:t>
            </w:r>
            <w:r w:rsidRPr="001838EE">
              <w:rPr>
                <w:rFonts w:eastAsia="Arial Narrow" w:cs="Calibri"/>
                <w:b/>
                <w:color w:val="FFFFFF"/>
                <w:szCs w:val="18"/>
              </w:rPr>
              <w:t>A</w:t>
            </w:r>
          </w:p>
        </w:tc>
        <w:tc>
          <w:tcPr>
            <w:tcW w:w="923" w:type="dxa"/>
            <w:tcBorders>
              <w:top w:val="single" w:sz="8" w:space="0" w:color="F3CFC1"/>
              <w:bottom w:val="single" w:sz="8" w:space="0" w:color="F3CFC1"/>
            </w:tcBorders>
            <w:shd w:val="clear" w:color="auto" w:fill="auto"/>
            <w:hideMark/>
          </w:tcPr>
          <w:p w14:paraId="14C433C7"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-0,5</w:t>
            </w:r>
          </w:p>
        </w:tc>
        <w:tc>
          <w:tcPr>
            <w:tcW w:w="938" w:type="dxa"/>
            <w:tcBorders>
              <w:top w:val="single" w:sz="8" w:space="0" w:color="F3CFC1"/>
              <w:bottom w:val="single" w:sz="8" w:space="0" w:color="F3CFC1"/>
            </w:tcBorders>
            <w:shd w:val="clear" w:color="auto" w:fill="auto"/>
            <w:hideMark/>
          </w:tcPr>
          <w:p w14:paraId="46031982"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-0,5</w:t>
            </w:r>
          </w:p>
        </w:tc>
        <w:tc>
          <w:tcPr>
            <w:tcW w:w="897" w:type="dxa"/>
            <w:tcBorders>
              <w:top w:val="single" w:sz="8" w:space="0" w:color="F3CFC1"/>
              <w:bottom w:val="single" w:sz="8" w:space="0" w:color="F3CFC1"/>
            </w:tcBorders>
            <w:shd w:val="clear" w:color="auto" w:fill="auto"/>
            <w:hideMark/>
          </w:tcPr>
          <w:p w14:paraId="7FF65D40"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6" w:type="dxa"/>
            <w:tcBorders>
              <w:top w:val="single" w:sz="8" w:space="0" w:color="F3CFC1"/>
              <w:bottom w:val="single" w:sz="8" w:space="0" w:color="F3CFC1"/>
            </w:tcBorders>
            <w:shd w:val="clear" w:color="auto" w:fill="auto"/>
            <w:hideMark/>
          </w:tcPr>
          <w:p w14:paraId="296455F7"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-0,5</w:t>
            </w:r>
          </w:p>
        </w:tc>
        <w:tc>
          <w:tcPr>
            <w:tcW w:w="1345" w:type="dxa"/>
            <w:tcBorders>
              <w:top w:val="single" w:sz="8" w:space="0" w:color="F3CFC1"/>
              <w:bottom w:val="single" w:sz="8" w:space="0" w:color="F3CFC1"/>
              <w:right w:val="single" w:sz="8" w:space="0" w:color="D2232A"/>
            </w:tcBorders>
            <w:shd w:val="clear" w:color="auto" w:fill="auto"/>
            <w:hideMark/>
          </w:tcPr>
          <w:p w14:paraId="0942A5FF"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0,0</w:t>
            </w:r>
          </w:p>
        </w:tc>
      </w:tr>
      <w:tr w:rsidR="008878A0" w:rsidRPr="001838EE" w14:paraId="71862674"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20A44B5F" w14:textId="77777777" w:rsidR="008878A0" w:rsidRPr="001838EE" w:rsidRDefault="008878A0" w:rsidP="001838EE">
            <w:pPr>
              <w:spacing w:after="0" w:line="240" w:lineRule="auto"/>
              <w:ind w:left="103" w:right="302"/>
              <w:jc w:val="left"/>
              <w:rPr>
                <w:rFonts w:eastAsia="Arial Narrow" w:cs="Calibri"/>
                <w:szCs w:val="18"/>
              </w:rPr>
            </w:pPr>
            <w:r w:rsidRPr="001838EE">
              <w:rPr>
                <w:rFonts w:eastAsia="Arial Narrow" w:cs="Calibri"/>
                <w:b/>
                <w:color w:val="FFFFFF"/>
                <w:spacing w:val="-1"/>
                <w:szCs w:val="18"/>
              </w:rPr>
              <w:t>P</w:t>
            </w:r>
            <w:r w:rsidRPr="001838EE">
              <w:rPr>
                <w:rFonts w:eastAsia="Arial Narrow" w:cs="Calibri"/>
                <w:b/>
                <w:color w:val="FFFFFF"/>
                <w:szCs w:val="18"/>
              </w:rPr>
              <w:t>ROI</w:t>
            </w:r>
            <w:r w:rsidRPr="001838EE">
              <w:rPr>
                <w:rFonts w:eastAsia="Arial Narrow" w:cs="Calibri"/>
                <w:b/>
                <w:color w:val="FFFFFF"/>
                <w:spacing w:val="1"/>
                <w:szCs w:val="18"/>
              </w:rPr>
              <w:t>Z</w:t>
            </w:r>
            <w:r w:rsidRPr="001838EE">
              <w:rPr>
                <w:rFonts w:eastAsia="Arial Narrow" w:cs="Calibri"/>
                <w:b/>
                <w:color w:val="FFFFFF"/>
                <w:spacing w:val="2"/>
                <w:szCs w:val="18"/>
              </w:rPr>
              <w:t>V</w:t>
            </w:r>
            <w:r w:rsidRPr="001838EE">
              <w:rPr>
                <w:rFonts w:eastAsia="Arial Narrow" w:cs="Calibri"/>
                <w:b/>
                <w:color w:val="FFFFFF"/>
                <w:szCs w:val="18"/>
              </w:rPr>
              <w:t>ODN</w:t>
            </w:r>
            <w:r w:rsidRPr="001838EE">
              <w:rPr>
                <w:rFonts w:eastAsia="Arial Narrow" w:cs="Calibri"/>
                <w:b/>
                <w:color w:val="FFFFFF"/>
                <w:spacing w:val="3"/>
                <w:szCs w:val="18"/>
              </w:rPr>
              <w:t>J</w:t>
            </w:r>
            <w:r w:rsidRPr="001838EE">
              <w:rPr>
                <w:rFonts w:eastAsia="Arial Narrow" w:cs="Calibri"/>
                <w:b/>
                <w:color w:val="FFFFFF"/>
                <w:szCs w:val="18"/>
              </w:rPr>
              <w:t>A</w:t>
            </w:r>
            <w:r w:rsidRPr="001838EE">
              <w:rPr>
                <w:rFonts w:eastAsia="Arial Narrow" w:cs="Calibri"/>
                <w:b/>
                <w:color w:val="FFFFFF"/>
                <w:spacing w:val="-12"/>
                <w:szCs w:val="18"/>
              </w:rPr>
              <w:t xml:space="preserve"> </w:t>
            </w:r>
            <w:r w:rsidRPr="001838EE">
              <w:rPr>
                <w:rFonts w:eastAsia="Arial Narrow" w:cs="Calibri"/>
                <w:b/>
                <w:color w:val="FFFFFF"/>
                <w:szCs w:val="18"/>
              </w:rPr>
              <w:t>OD</w:t>
            </w:r>
            <w:r w:rsidRPr="001838EE">
              <w:rPr>
                <w:rFonts w:eastAsia="Arial Narrow" w:cs="Calibri"/>
                <w:b/>
                <w:color w:val="FFFFFF"/>
                <w:spacing w:val="3"/>
                <w:szCs w:val="18"/>
              </w:rPr>
              <w:t>J</w:t>
            </w:r>
            <w:r w:rsidRPr="001838EE">
              <w:rPr>
                <w:rFonts w:eastAsia="Arial Narrow" w:cs="Calibri"/>
                <w:b/>
                <w:color w:val="FFFFFF"/>
                <w:spacing w:val="-1"/>
                <w:szCs w:val="18"/>
              </w:rPr>
              <w:t>E</w:t>
            </w:r>
            <w:r w:rsidRPr="001838EE">
              <w:rPr>
                <w:rFonts w:eastAsia="Arial Narrow" w:cs="Calibri"/>
                <w:b/>
                <w:color w:val="FFFFFF"/>
                <w:spacing w:val="2"/>
                <w:szCs w:val="18"/>
              </w:rPr>
              <w:t>Ć</w:t>
            </w:r>
            <w:r w:rsidRPr="001838EE">
              <w:rPr>
                <w:rFonts w:eastAsia="Arial Narrow" w:cs="Calibri"/>
                <w:b/>
                <w:color w:val="FFFFFF"/>
                <w:spacing w:val="-1"/>
                <w:szCs w:val="18"/>
              </w:rPr>
              <w:t>E</w:t>
            </w:r>
            <w:r w:rsidRPr="001838EE">
              <w:rPr>
                <w:rFonts w:eastAsia="Arial Narrow" w:cs="Calibri"/>
                <w:b/>
                <w:color w:val="FFFFFF"/>
                <w:szCs w:val="18"/>
              </w:rPr>
              <w:t>;</w:t>
            </w:r>
            <w:r w:rsidRPr="001838EE">
              <w:rPr>
                <w:rFonts w:eastAsia="Arial Narrow" w:cs="Calibri"/>
                <w:b/>
                <w:color w:val="FFFFFF"/>
                <w:spacing w:val="-6"/>
                <w:szCs w:val="18"/>
              </w:rPr>
              <w:t xml:space="preserve"> </w:t>
            </w:r>
            <w:r w:rsidRPr="001838EE">
              <w:rPr>
                <w:rFonts w:eastAsia="Arial Narrow" w:cs="Calibri"/>
                <w:b/>
                <w:color w:val="FFFFFF"/>
                <w:szCs w:val="18"/>
              </w:rPr>
              <w:t>DO</w:t>
            </w:r>
            <w:r w:rsidRPr="001838EE">
              <w:rPr>
                <w:rFonts w:eastAsia="Arial Narrow" w:cs="Calibri"/>
                <w:b/>
                <w:color w:val="FFFFFF"/>
                <w:spacing w:val="2"/>
                <w:szCs w:val="18"/>
              </w:rPr>
              <w:t>R</w:t>
            </w:r>
            <w:r w:rsidRPr="001838EE">
              <w:rPr>
                <w:rFonts w:eastAsia="Arial Narrow" w:cs="Calibri"/>
                <w:b/>
                <w:color w:val="FFFFFF"/>
                <w:szCs w:val="18"/>
              </w:rPr>
              <w:t>ADA</w:t>
            </w:r>
            <w:r w:rsidRPr="001838EE">
              <w:rPr>
                <w:rFonts w:eastAsia="Arial Narrow" w:cs="Calibri"/>
                <w:b/>
                <w:color w:val="FFFFFF"/>
                <w:spacing w:val="-7"/>
                <w:szCs w:val="18"/>
              </w:rPr>
              <w:t xml:space="preserve"> </w:t>
            </w:r>
            <w:r w:rsidRPr="001838EE">
              <w:rPr>
                <w:rFonts w:eastAsia="Arial Narrow" w:cs="Calibri"/>
                <w:b/>
                <w:color w:val="FFFFFF"/>
                <w:szCs w:val="18"/>
              </w:rPr>
              <w:t>I BOJ</w:t>
            </w:r>
            <w:r w:rsidRPr="001838EE">
              <w:rPr>
                <w:rFonts w:eastAsia="Arial Narrow" w:cs="Calibri"/>
                <w:b/>
                <w:color w:val="FFFFFF"/>
                <w:spacing w:val="-1"/>
                <w:szCs w:val="18"/>
              </w:rPr>
              <w:t>E</w:t>
            </w:r>
            <w:r w:rsidRPr="001838EE">
              <w:rPr>
                <w:rFonts w:eastAsia="Arial Narrow" w:cs="Calibri"/>
                <w:b/>
                <w:color w:val="FFFFFF"/>
                <w:szCs w:val="18"/>
              </w:rPr>
              <w:t>N</w:t>
            </w:r>
            <w:r w:rsidRPr="001838EE">
              <w:rPr>
                <w:rFonts w:eastAsia="Arial Narrow" w:cs="Calibri"/>
                <w:b/>
                <w:color w:val="FFFFFF"/>
                <w:spacing w:val="3"/>
                <w:szCs w:val="18"/>
              </w:rPr>
              <w:t>J</w:t>
            </w:r>
            <w:r w:rsidRPr="001838EE">
              <w:rPr>
                <w:rFonts w:eastAsia="Arial Narrow" w:cs="Calibri"/>
                <w:b/>
                <w:color w:val="FFFFFF"/>
                <w:szCs w:val="18"/>
              </w:rPr>
              <w:t>E</w:t>
            </w:r>
            <w:r w:rsidRPr="001838EE">
              <w:rPr>
                <w:rFonts w:eastAsia="Arial Narrow" w:cs="Calibri"/>
                <w:b/>
                <w:color w:val="FFFFFF"/>
                <w:spacing w:val="-9"/>
                <w:szCs w:val="18"/>
              </w:rPr>
              <w:t xml:space="preserve"> </w:t>
            </w:r>
            <w:r w:rsidRPr="001838EE">
              <w:rPr>
                <w:rFonts w:eastAsia="Arial Narrow" w:cs="Calibri"/>
                <w:b/>
                <w:color w:val="FFFFFF"/>
                <w:spacing w:val="2"/>
                <w:szCs w:val="18"/>
              </w:rPr>
              <w:t>K</w:t>
            </w:r>
            <w:r w:rsidRPr="001838EE">
              <w:rPr>
                <w:rFonts w:eastAsia="Arial Narrow" w:cs="Calibri"/>
                <w:b/>
                <w:color w:val="FFFFFF"/>
                <w:szCs w:val="18"/>
              </w:rPr>
              <w:t>R</w:t>
            </w:r>
            <w:r w:rsidRPr="001838EE">
              <w:rPr>
                <w:rFonts w:eastAsia="Arial Narrow" w:cs="Calibri"/>
                <w:b/>
                <w:color w:val="FFFFFF"/>
                <w:spacing w:val="1"/>
                <w:szCs w:val="18"/>
              </w:rPr>
              <w:t>Z</w:t>
            </w:r>
            <w:r w:rsidRPr="001838EE">
              <w:rPr>
                <w:rFonts w:eastAsia="Arial Narrow" w:cs="Calibri"/>
                <w:b/>
                <w:color w:val="FFFFFF"/>
                <w:szCs w:val="18"/>
              </w:rPr>
              <w:t>NA</w:t>
            </w:r>
          </w:p>
        </w:tc>
        <w:tc>
          <w:tcPr>
            <w:tcW w:w="923" w:type="dxa"/>
            <w:tcBorders>
              <w:top w:val="single" w:sz="8" w:space="0" w:color="F3CFC1"/>
              <w:bottom w:val="single" w:sz="8" w:space="0" w:color="F3CFC1"/>
            </w:tcBorders>
            <w:shd w:val="clear" w:color="auto" w:fill="auto"/>
          </w:tcPr>
          <w:p w14:paraId="59EC41F1" w14:textId="77777777" w:rsidR="008878A0" w:rsidRPr="001838EE" w:rsidRDefault="008878A0" w:rsidP="001838EE">
            <w:pPr>
              <w:spacing w:after="0" w:line="240" w:lineRule="auto"/>
              <w:jc w:val="right"/>
              <w:rPr>
                <w:rFonts w:eastAsia="Times New Roman" w:cs="Calibri"/>
                <w:szCs w:val="18"/>
              </w:rPr>
            </w:pPr>
          </w:p>
          <w:p w14:paraId="57AAB0DD"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-1,4</w:t>
            </w:r>
          </w:p>
        </w:tc>
        <w:tc>
          <w:tcPr>
            <w:tcW w:w="938" w:type="dxa"/>
            <w:tcBorders>
              <w:top w:val="single" w:sz="8" w:space="0" w:color="F3CFC1"/>
              <w:bottom w:val="single" w:sz="8" w:space="0" w:color="F3CFC1"/>
            </w:tcBorders>
            <w:shd w:val="clear" w:color="auto" w:fill="auto"/>
          </w:tcPr>
          <w:p w14:paraId="4A4FE0DB" w14:textId="77777777" w:rsidR="008878A0" w:rsidRPr="001838EE" w:rsidRDefault="008878A0" w:rsidP="001838EE">
            <w:pPr>
              <w:spacing w:after="0" w:line="240" w:lineRule="auto"/>
              <w:jc w:val="right"/>
              <w:rPr>
                <w:rFonts w:eastAsia="Times New Roman" w:cs="Calibri"/>
                <w:szCs w:val="18"/>
              </w:rPr>
            </w:pPr>
          </w:p>
          <w:p w14:paraId="757211D7"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-1,4</w:t>
            </w:r>
          </w:p>
        </w:tc>
        <w:tc>
          <w:tcPr>
            <w:tcW w:w="897" w:type="dxa"/>
            <w:tcBorders>
              <w:top w:val="single" w:sz="8" w:space="0" w:color="F3CFC1"/>
              <w:bottom w:val="single" w:sz="8" w:space="0" w:color="F3CFC1"/>
            </w:tcBorders>
            <w:shd w:val="clear" w:color="auto" w:fill="auto"/>
          </w:tcPr>
          <w:p w14:paraId="34234E9B" w14:textId="77777777" w:rsidR="008878A0" w:rsidRPr="001838EE" w:rsidRDefault="008878A0" w:rsidP="001838EE">
            <w:pPr>
              <w:spacing w:after="0" w:line="240" w:lineRule="auto"/>
              <w:jc w:val="right"/>
              <w:rPr>
                <w:rFonts w:eastAsia="Times New Roman" w:cs="Calibri"/>
                <w:szCs w:val="18"/>
              </w:rPr>
            </w:pPr>
          </w:p>
          <w:p w14:paraId="498B608E"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896" w:type="dxa"/>
            <w:tcBorders>
              <w:top w:val="single" w:sz="8" w:space="0" w:color="F3CFC1"/>
              <w:bottom w:val="single" w:sz="8" w:space="0" w:color="F3CFC1"/>
            </w:tcBorders>
            <w:shd w:val="clear" w:color="auto" w:fill="auto"/>
          </w:tcPr>
          <w:p w14:paraId="03041609" w14:textId="77777777" w:rsidR="008878A0" w:rsidRPr="001838EE" w:rsidRDefault="008878A0" w:rsidP="001838EE">
            <w:pPr>
              <w:spacing w:after="0" w:line="240" w:lineRule="auto"/>
              <w:jc w:val="right"/>
              <w:rPr>
                <w:rFonts w:eastAsia="Times New Roman" w:cs="Calibri"/>
                <w:szCs w:val="18"/>
              </w:rPr>
            </w:pPr>
          </w:p>
          <w:p w14:paraId="4ECE00B4"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0,0</w:t>
            </w:r>
          </w:p>
        </w:tc>
        <w:tc>
          <w:tcPr>
            <w:tcW w:w="1345" w:type="dxa"/>
            <w:tcBorders>
              <w:top w:val="single" w:sz="8" w:space="0" w:color="F3CFC1"/>
              <w:bottom w:val="single" w:sz="8" w:space="0" w:color="F3CFC1"/>
              <w:right w:val="single" w:sz="8" w:space="0" w:color="D2232A"/>
            </w:tcBorders>
            <w:shd w:val="clear" w:color="auto" w:fill="auto"/>
          </w:tcPr>
          <w:p w14:paraId="4FFDE464" w14:textId="77777777" w:rsidR="008878A0" w:rsidRPr="001838EE" w:rsidRDefault="008878A0" w:rsidP="001838EE">
            <w:pPr>
              <w:spacing w:after="0" w:line="240" w:lineRule="auto"/>
              <w:jc w:val="center"/>
              <w:rPr>
                <w:rFonts w:eastAsia="Times New Roman" w:cs="Calibri"/>
                <w:szCs w:val="18"/>
              </w:rPr>
            </w:pPr>
          </w:p>
          <w:p w14:paraId="5A2FA97E"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0,0</w:t>
            </w:r>
          </w:p>
        </w:tc>
      </w:tr>
      <w:tr w:rsidR="00406CB9" w:rsidRPr="001838EE" w14:paraId="7451181A" w14:textId="77777777" w:rsidTr="00114CB7">
        <w:trPr>
          <w:trHeight w:val="285"/>
        </w:trPr>
        <w:tc>
          <w:tcPr>
            <w:tcW w:w="4271" w:type="dxa"/>
            <w:tcBorders>
              <w:top w:val="single" w:sz="8" w:space="0" w:color="F3CFC1"/>
              <w:bottom w:val="single" w:sz="8" w:space="0" w:color="F3CFC1"/>
            </w:tcBorders>
            <w:shd w:val="clear" w:color="auto" w:fill="D2232A" w:themeFill="accent1"/>
            <w:hideMark/>
          </w:tcPr>
          <w:p w14:paraId="427E2E9F" w14:textId="77777777" w:rsidR="008878A0" w:rsidRPr="001838EE" w:rsidRDefault="008878A0" w:rsidP="001838EE">
            <w:pPr>
              <w:spacing w:after="0" w:line="220" w:lineRule="exact"/>
              <w:ind w:left="103"/>
              <w:jc w:val="left"/>
              <w:rPr>
                <w:rFonts w:eastAsia="Arial Narrow" w:cs="Calibri"/>
                <w:szCs w:val="18"/>
              </w:rPr>
            </w:pPr>
            <w:r w:rsidRPr="001838EE">
              <w:rPr>
                <w:rFonts w:eastAsia="Arial Narrow" w:cs="Calibri"/>
                <w:b/>
                <w:color w:val="FFFFFF"/>
                <w:spacing w:val="-1"/>
                <w:szCs w:val="18"/>
              </w:rPr>
              <w:t>P</w:t>
            </w:r>
            <w:r w:rsidRPr="001838EE">
              <w:rPr>
                <w:rFonts w:eastAsia="Arial Narrow" w:cs="Calibri"/>
                <w:b/>
                <w:color w:val="FFFFFF"/>
                <w:szCs w:val="18"/>
              </w:rPr>
              <w:t>ROI</w:t>
            </w:r>
            <w:r w:rsidRPr="001838EE">
              <w:rPr>
                <w:rFonts w:eastAsia="Arial Narrow" w:cs="Calibri"/>
                <w:b/>
                <w:color w:val="FFFFFF"/>
                <w:spacing w:val="1"/>
                <w:szCs w:val="18"/>
              </w:rPr>
              <w:t>Z</w:t>
            </w:r>
            <w:r w:rsidRPr="001838EE">
              <w:rPr>
                <w:rFonts w:eastAsia="Arial Narrow" w:cs="Calibri"/>
                <w:b/>
                <w:color w:val="FFFFFF"/>
                <w:spacing w:val="2"/>
                <w:szCs w:val="18"/>
              </w:rPr>
              <w:t>V</w:t>
            </w:r>
            <w:r w:rsidRPr="001838EE">
              <w:rPr>
                <w:rFonts w:eastAsia="Arial Narrow" w:cs="Calibri"/>
                <w:b/>
                <w:color w:val="FFFFFF"/>
                <w:szCs w:val="18"/>
              </w:rPr>
              <w:t>ODN</w:t>
            </w:r>
            <w:r w:rsidRPr="001838EE">
              <w:rPr>
                <w:rFonts w:eastAsia="Arial Narrow" w:cs="Calibri"/>
                <w:b/>
                <w:color w:val="FFFFFF"/>
                <w:spacing w:val="3"/>
                <w:szCs w:val="18"/>
              </w:rPr>
              <w:t>J</w:t>
            </w:r>
            <w:r w:rsidRPr="001838EE">
              <w:rPr>
                <w:rFonts w:eastAsia="Arial Narrow" w:cs="Calibri"/>
                <w:b/>
                <w:color w:val="FFFFFF"/>
                <w:szCs w:val="18"/>
              </w:rPr>
              <w:t>A</w:t>
            </w:r>
            <w:r w:rsidRPr="001838EE">
              <w:rPr>
                <w:rFonts w:eastAsia="Arial Narrow" w:cs="Calibri"/>
                <w:b/>
                <w:color w:val="FFFFFF"/>
                <w:spacing w:val="-12"/>
                <w:szCs w:val="18"/>
              </w:rPr>
              <w:t xml:space="preserve"> </w:t>
            </w:r>
            <w:r w:rsidRPr="001838EE">
              <w:rPr>
                <w:rFonts w:eastAsia="Arial Narrow" w:cs="Calibri"/>
                <w:b/>
                <w:color w:val="FFFFFF"/>
                <w:szCs w:val="18"/>
              </w:rPr>
              <w:t>O</w:t>
            </w:r>
            <w:r w:rsidRPr="001838EE">
              <w:rPr>
                <w:rFonts w:eastAsia="Arial Narrow" w:cs="Calibri"/>
                <w:b/>
                <w:color w:val="FFFFFF"/>
                <w:spacing w:val="-1"/>
                <w:szCs w:val="18"/>
              </w:rPr>
              <w:t>S</w:t>
            </w:r>
            <w:r w:rsidRPr="001838EE">
              <w:rPr>
                <w:rFonts w:eastAsia="Arial Narrow" w:cs="Calibri"/>
                <w:b/>
                <w:color w:val="FFFFFF"/>
                <w:spacing w:val="1"/>
                <w:szCs w:val="18"/>
              </w:rPr>
              <w:t>T</w:t>
            </w:r>
            <w:r w:rsidRPr="001838EE">
              <w:rPr>
                <w:rFonts w:eastAsia="Arial Narrow" w:cs="Calibri"/>
                <w:b/>
                <w:color w:val="FFFFFF"/>
                <w:szCs w:val="18"/>
              </w:rPr>
              <w:t>A</w:t>
            </w:r>
            <w:r w:rsidRPr="001838EE">
              <w:rPr>
                <w:rFonts w:eastAsia="Arial Narrow" w:cs="Calibri"/>
                <w:b/>
                <w:color w:val="FFFFFF"/>
                <w:spacing w:val="1"/>
                <w:szCs w:val="18"/>
              </w:rPr>
              <w:t>L</w:t>
            </w:r>
            <w:r w:rsidRPr="001838EE">
              <w:rPr>
                <w:rFonts w:eastAsia="Arial Narrow" w:cs="Calibri"/>
                <w:b/>
                <w:color w:val="FFFFFF"/>
                <w:szCs w:val="18"/>
              </w:rPr>
              <w:t>IH</w:t>
            </w:r>
          </w:p>
          <w:p w14:paraId="7DCF549D" w14:textId="77777777" w:rsidR="008878A0" w:rsidRPr="001838EE" w:rsidRDefault="008878A0" w:rsidP="001838EE">
            <w:pPr>
              <w:spacing w:after="0" w:line="220" w:lineRule="exact"/>
              <w:ind w:left="103" w:right="966"/>
              <w:jc w:val="left"/>
              <w:rPr>
                <w:rFonts w:eastAsia="Arial Narrow" w:cs="Calibri"/>
                <w:szCs w:val="18"/>
              </w:rPr>
            </w:pPr>
            <w:r w:rsidRPr="001838EE">
              <w:rPr>
                <w:rFonts w:eastAsia="Arial Narrow" w:cs="Calibri"/>
                <w:b/>
                <w:color w:val="FFFFFF"/>
                <w:szCs w:val="18"/>
              </w:rPr>
              <w:t>N</w:t>
            </w:r>
            <w:r w:rsidRPr="001838EE">
              <w:rPr>
                <w:rFonts w:eastAsia="Arial Narrow" w:cs="Calibri"/>
                <w:b/>
                <w:color w:val="FFFFFF"/>
                <w:spacing w:val="-1"/>
                <w:szCs w:val="18"/>
              </w:rPr>
              <w:t>E</w:t>
            </w:r>
            <w:r w:rsidRPr="001838EE">
              <w:rPr>
                <w:rFonts w:eastAsia="Arial Narrow" w:cs="Calibri"/>
                <w:b/>
                <w:color w:val="FFFFFF"/>
                <w:spacing w:val="1"/>
                <w:szCs w:val="18"/>
              </w:rPr>
              <w:t>M</w:t>
            </w:r>
            <w:r w:rsidRPr="001838EE">
              <w:rPr>
                <w:rFonts w:eastAsia="Arial Narrow" w:cs="Calibri"/>
                <w:b/>
                <w:color w:val="FFFFFF"/>
                <w:spacing w:val="-1"/>
                <w:szCs w:val="18"/>
              </w:rPr>
              <w:t>E</w:t>
            </w:r>
            <w:r w:rsidRPr="001838EE">
              <w:rPr>
                <w:rFonts w:eastAsia="Arial Narrow" w:cs="Calibri"/>
                <w:b/>
                <w:color w:val="FFFFFF"/>
                <w:spacing w:val="1"/>
                <w:szCs w:val="18"/>
              </w:rPr>
              <w:t>T</w:t>
            </w:r>
            <w:r w:rsidRPr="001838EE">
              <w:rPr>
                <w:rFonts w:eastAsia="Arial Narrow" w:cs="Calibri"/>
                <w:b/>
                <w:color w:val="FFFFFF"/>
                <w:szCs w:val="18"/>
              </w:rPr>
              <w:t>A</w:t>
            </w:r>
            <w:r w:rsidRPr="001838EE">
              <w:rPr>
                <w:rFonts w:eastAsia="Arial Narrow" w:cs="Calibri"/>
                <w:b/>
                <w:color w:val="FFFFFF"/>
                <w:spacing w:val="3"/>
                <w:szCs w:val="18"/>
              </w:rPr>
              <w:t>L</w:t>
            </w:r>
            <w:r w:rsidRPr="001838EE">
              <w:rPr>
                <w:rFonts w:eastAsia="Arial Narrow" w:cs="Calibri"/>
                <w:b/>
                <w:color w:val="FFFFFF"/>
                <w:szCs w:val="18"/>
              </w:rPr>
              <w:t>NIH</w:t>
            </w:r>
            <w:r w:rsidRPr="001838EE">
              <w:rPr>
                <w:rFonts w:eastAsia="Arial Narrow" w:cs="Calibri"/>
                <w:b/>
                <w:color w:val="FFFFFF"/>
                <w:spacing w:val="-11"/>
                <w:szCs w:val="18"/>
              </w:rPr>
              <w:t xml:space="preserve"> </w:t>
            </w:r>
            <w:r w:rsidRPr="001838EE">
              <w:rPr>
                <w:rFonts w:eastAsia="Arial Narrow" w:cs="Calibri"/>
                <w:b/>
                <w:color w:val="FFFFFF"/>
                <w:spacing w:val="1"/>
                <w:szCs w:val="18"/>
              </w:rPr>
              <w:t>M</w:t>
            </w:r>
            <w:r w:rsidRPr="001838EE">
              <w:rPr>
                <w:rFonts w:eastAsia="Arial Narrow" w:cs="Calibri"/>
                <w:b/>
                <w:color w:val="FFFFFF"/>
                <w:szCs w:val="18"/>
              </w:rPr>
              <w:t>I</w:t>
            </w:r>
            <w:r w:rsidRPr="001838EE">
              <w:rPr>
                <w:rFonts w:eastAsia="Arial Narrow" w:cs="Calibri"/>
                <w:b/>
                <w:color w:val="FFFFFF"/>
                <w:spacing w:val="2"/>
                <w:szCs w:val="18"/>
              </w:rPr>
              <w:t>N</w:t>
            </w:r>
            <w:r w:rsidRPr="001838EE">
              <w:rPr>
                <w:rFonts w:eastAsia="Arial Narrow" w:cs="Calibri"/>
                <w:b/>
                <w:color w:val="FFFFFF"/>
                <w:spacing w:val="-1"/>
                <w:szCs w:val="18"/>
              </w:rPr>
              <w:t>E</w:t>
            </w:r>
            <w:r w:rsidRPr="001838EE">
              <w:rPr>
                <w:rFonts w:eastAsia="Arial Narrow" w:cs="Calibri"/>
                <w:b/>
                <w:color w:val="FFFFFF"/>
                <w:szCs w:val="18"/>
              </w:rPr>
              <w:t>RA</w:t>
            </w:r>
            <w:r w:rsidRPr="001838EE">
              <w:rPr>
                <w:rFonts w:eastAsia="Arial Narrow" w:cs="Calibri"/>
                <w:b/>
                <w:color w:val="FFFFFF"/>
                <w:spacing w:val="1"/>
                <w:szCs w:val="18"/>
              </w:rPr>
              <w:t>L</w:t>
            </w:r>
            <w:r w:rsidRPr="001838EE">
              <w:rPr>
                <w:rFonts w:eastAsia="Arial Narrow" w:cs="Calibri"/>
                <w:b/>
                <w:color w:val="FFFFFF"/>
                <w:szCs w:val="18"/>
              </w:rPr>
              <w:t>N</w:t>
            </w:r>
            <w:r w:rsidRPr="001838EE">
              <w:rPr>
                <w:rFonts w:eastAsia="Arial Narrow" w:cs="Calibri"/>
                <w:b/>
                <w:color w:val="FFFFFF"/>
                <w:spacing w:val="3"/>
                <w:szCs w:val="18"/>
              </w:rPr>
              <w:t>I</w:t>
            </w:r>
            <w:r w:rsidRPr="001838EE">
              <w:rPr>
                <w:rFonts w:eastAsia="Arial Narrow" w:cs="Calibri"/>
                <w:b/>
                <w:color w:val="FFFFFF"/>
                <w:szCs w:val="18"/>
              </w:rPr>
              <w:t xml:space="preserve">H </w:t>
            </w:r>
            <w:r w:rsidRPr="001838EE">
              <w:rPr>
                <w:rFonts w:eastAsia="Arial Narrow" w:cs="Calibri"/>
                <w:b/>
                <w:color w:val="FFFFFF"/>
                <w:spacing w:val="-1"/>
                <w:szCs w:val="18"/>
              </w:rPr>
              <w:t>P</w:t>
            </w:r>
            <w:r w:rsidRPr="001838EE">
              <w:rPr>
                <w:rFonts w:eastAsia="Arial Narrow" w:cs="Calibri"/>
                <w:b/>
                <w:color w:val="FFFFFF"/>
                <w:szCs w:val="18"/>
              </w:rPr>
              <w:t>ROI</w:t>
            </w:r>
            <w:r w:rsidRPr="001838EE">
              <w:rPr>
                <w:rFonts w:eastAsia="Arial Narrow" w:cs="Calibri"/>
                <w:b/>
                <w:color w:val="FFFFFF"/>
                <w:spacing w:val="1"/>
                <w:szCs w:val="18"/>
              </w:rPr>
              <w:t>Z</w:t>
            </w:r>
            <w:r w:rsidRPr="001838EE">
              <w:rPr>
                <w:rFonts w:eastAsia="Arial Narrow" w:cs="Calibri"/>
                <w:b/>
                <w:color w:val="FFFFFF"/>
                <w:spacing w:val="2"/>
                <w:szCs w:val="18"/>
              </w:rPr>
              <w:t>V</w:t>
            </w:r>
            <w:r w:rsidRPr="001838EE">
              <w:rPr>
                <w:rFonts w:eastAsia="Arial Narrow" w:cs="Calibri"/>
                <w:b/>
                <w:color w:val="FFFFFF"/>
                <w:szCs w:val="18"/>
              </w:rPr>
              <w:t>ODA</w:t>
            </w:r>
          </w:p>
        </w:tc>
        <w:tc>
          <w:tcPr>
            <w:tcW w:w="923" w:type="dxa"/>
            <w:tcBorders>
              <w:top w:val="single" w:sz="8" w:space="0" w:color="F3CFC1"/>
              <w:bottom w:val="single" w:sz="8" w:space="0" w:color="F3CFC1"/>
            </w:tcBorders>
            <w:shd w:val="clear" w:color="auto" w:fill="auto"/>
          </w:tcPr>
          <w:p w14:paraId="15EDF67C" w14:textId="77777777" w:rsidR="008878A0" w:rsidRPr="001838EE" w:rsidRDefault="008878A0" w:rsidP="001838EE">
            <w:pPr>
              <w:spacing w:after="0" w:line="240" w:lineRule="auto"/>
              <w:jc w:val="right"/>
              <w:rPr>
                <w:rFonts w:eastAsia="Times New Roman" w:cs="Calibri"/>
                <w:szCs w:val="18"/>
              </w:rPr>
            </w:pPr>
          </w:p>
          <w:p w14:paraId="6515B8CE"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-17,7</w:t>
            </w:r>
          </w:p>
        </w:tc>
        <w:tc>
          <w:tcPr>
            <w:tcW w:w="938" w:type="dxa"/>
            <w:tcBorders>
              <w:top w:val="single" w:sz="8" w:space="0" w:color="F3CFC1"/>
              <w:bottom w:val="single" w:sz="8" w:space="0" w:color="F3CFC1"/>
            </w:tcBorders>
            <w:shd w:val="clear" w:color="auto" w:fill="auto"/>
          </w:tcPr>
          <w:p w14:paraId="0D5F94CD" w14:textId="77777777" w:rsidR="008878A0" w:rsidRPr="001838EE" w:rsidRDefault="008878A0" w:rsidP="001838EE">
            <w:pPr>
              <w:spacing w:after="0" w:line="240" w:lineRule="auto"/>
              <w:jc w:val="right"/>
              <w:rPr>
                <w:rFonts w:eastAsia="Times New Roman" w:cs="Calibri"/>
                <w:szCs w:val="18"/>
              </w:rPr>
            </w:pPr>
          </w:p>
          <w:p w14:paraId="26DC2769"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2,9</w:t>
            </w:r>
          </w:p>
        </w:tc>
        <w:tc>
          <w:tcPr>
            <w:tcW w:w="897" w:type="dxa"/>
            <w:tcBorders>
              <w:top w:val="single" w:sz="8" w:space="0" w:color="F3CFC1"/>
              <w:bottom w:val="single" w:sz="8" w:space="0" w:color="F3CFC1"/>
            </w:tcBorders>
            <w:shd w:val="clear" w:color="auto" w:fill="auto"/>
          </w:tcPr>
          <w:p w14:paraId="66E09DB1" w14:textId="77777777" w:rsidR="008878A0" w:rsidRPr="001838EE" w:rsidRDefault="008878A0" w:rsidP="001838EE">
            <w:pPr>
              <w:spacing w:after="0" w:line="240" w:lineRule="auto"/>
              <w:jc w:val="right"/>
              <w:rPr>
                <w:rFonts w:eastAsia="Times New Roman" w:cs="Calibri"/>
                <w:szCs w:val="18"/>
              </w:rPr>
            </w:pPr>
          </w:p>
          <w:p w14:paraId="520E7221"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0,3</w:t>
            </w:r>
          </w:p>
        </w:tc>
        <w:tc>
          <w:tcPr>
            <w:tcW w:w="896" w:type="dxa"/>
            <w:tcBorders>
              <w:top w:val="single" w:sz="8" w:space="0" w:color="F3CFC1"/>
              <w:bottom w:val="single" w:sz="8" w:space="0" w:color="F3CFC1"/>
            </w:tcBorders>
            <w:shd w:val="clear" w:color="auto" w:fill="auto"/>
          </w:tcPr>
          <w:p w14:paraId="0F3D4C3C" w14:textId="77777777" w:rsidR="008878A0" w:rsidRPr="001838EE" w:rsidRDefault="008878A0" w:rsidP="001838EE">
            <w:pPr>
              <w:spacing w:after="0" w:line="240" w:lineRule="auto"/>
              <w:jc w:val="right"/>
              <w:rPr>
                <w:rFonts w:eastAsia="Times New Roman" w:cs="Calibri"/>
                <w:szCs w:val="18"/>
              </w:rPr>
            </w:pPr>
          </w:p>
          <w:p w14:paraId="3DA25105"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-6,6</w:t>
            </w:r>
          </w:p>
        </w:tc>
        <w:tc>
          <w:tcPr>
            <w:tcW w:w="1345" w:type="dxa"/>
            <w:tcBorders>
              <w:top w:val="single" w:sz="8" w:space="0" w:color="F3CFC1"/>
              <w:bottom w:val="single" w:sz="8" w:space="0" w:color="F3CFC1"/>
              <w:right w:val="single" w:sz="8" w:space="0" w:color="D2232A"/>
            </w:tcBorders>
            <w:shd w:val="clear" w:color="auto" w:fill="auto"/>
          </w:tcPr>
          <w:p w14:paraId="170B01A3" w14:textId="77777777" w:rsidR="008878A0" w:rsidRPr="001838EE" w:rsidRDefault="008878A0" w:rsidP="001838EE">
            <w:pPr>
              <w:spacing w:after="0" w:line="240" w:lineRule="auto"/>
              <w:jc w:val="center"/>
              <w:rPr>
                <w:rFonts w:eastAsia="Times New Roman" w:cs="Calibri"/>
                <w:szCs w:val="18"/>
              </w:rPr>
            </w:pPr>
          </w:p>
          <w:p w14:paraId="1C4A955F" w14:textId="77777777" w:rsidR="008878A0" w:rsidRPr="001838EE" w:rsidRDefault="008878A0" w:rsidP="001838EE">
            <w:pPr>
              <w:spacing w:after="0" w:line="240" w:lineRule="auto"/>
              <w:jc w:val="center"/>
              <w:rPr>
                <w:rFonts w:eastAsia="Times New Roman" w:cs="Calibri"/>
                <w:szCs w:val="18"/>
              </w:rPr>
            </w:pPr>
            <w:r w:rsidRPr="001838EE">
              <w:rPr>
                <w:rFonts w:eastAsia="Times New Roman" w:cs="Calibri"/>
                <w:szCs w:val="18"/>
              </w:rPr>
              <w:t>10,2</w:t>
            </w:r>
          </w:p>
        </w:tc>
      </w:tr>
      <w:tr w:rsidR="00406CB9" w:rsidRPr="001838EE" w14:paraId="0F91D381" w14:textId="77777777" w:rsidTr="00114CB7">
        <w:trPr>
          <w:trHeight w:val="285"/>
        </w:trPr>
        <w:tc>
          <w:tcPr>
            <w:tcW w:w="4271" w:type="dxa"/>
            <w:tcBorders>
              <w:top w:val="single" w:sz="8" w:space="0" w:color="F3CFC1"/>
              <w:bottom w:val="single" w:sz="8" w:space="0" w:color="D2232A"/>
            </w:tcBorders>
            <w:shd w:val="clear" w:color="auto" w:fill="D2232A" w:themeFill="accent1"/>
            <w:hideMark/>
          </w:tcPr>
          <w:p w14:paraId="66169F4B" w14:textId="6440D2DF" w:rsidR="008878A0" w:rsidRPr="001838EE" w:rsidRDefault="00406CB9" w:rsidP="001838EE">
            <w:pPr>
              <w:spacing w:after="0" w:line="240" w:lineRule="auto"/>
              <w:jc w:val="left"/>
              <w:rPr>
                <w:rFonts w:eastAsia="Arial Narrow" w:cs="Calibri"/>
                <w:b/>
                <w:szCs w:val="18"/>
              </w:rPr>
            </w:pPr>
            <w:r w:rsidRPr="001838EE">
              <w:rPr>
                <w:rFonts w:eastAsia="Arial Narrow" w:cs="Calibri"/>
                <w:b/>
                <w:color w:val="FFFFFF"/>
                <w:szCs w:val="18"/>
              </w:rPr>
              <w:t xml:space="preserve">  </w:t>
            </w:r>
            <w:r w:rsidR="008878A0" w:rsidRPr="001838EE">
              <w:rPr>
                <w:rFonts w:eastAsia="Arial Narrow" w:cs="Calibri"/>
                <w:b/>
                <w:color w:val="FFFFFF"/>
                <w:szCs w:val="18"/>
              </w:rPr>
              <w:t>Ostalo</w:t>
            </w:r>
          </w:p>
        </w:tc>
        <w:tc>
          <w:tcPr>
            <w:tcW w:w="923" w:type="dxa"/>
            <w:tcBorders>
              <w:top w:val="single" w:sz="8" w:space="0" w:color="F3CFC1"/>
              <w:bottom w:val="single" w:sz="8" w:space="0" w:color="D2232A"/>
            </w:tcBorders>
            <w:shd w:val="clear" w:color="auto" w:fill="auto"/>
            <w:vAlign w:val="center"/>
            <w:hideMark/>
          </w:tcPr>
          <w:p w14:paraId="0CE9F836"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-0,7</w:t>
            </w:r>
          </w:p>
        </w:tc>
        <w:tc>
          <w:tcPr>
            <w:tcW w:w="938" w:type="dxa"/>
            <w:tcBorders>
              <w:top w:val="single" w:sz="8" w:space="0" w:color="F3CFC1"/>
              <w:bottom w:val="single" w:sz="8" w:space="0" w:color="D2232A"/>
            </w:tcBorders>
            <w:shd w:val="clear" w:color="auto" w:fill="auto"/>
            <w:vAlign w:val="center"/>
            <w:hideMark/>
          </w:tcPr>
          <w:p w14:paraId="06E3DBAE"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0,1</w:t>
            </w:r>
          </w:p>
        </w:tc>
        <w:tc>
          <w:tcPr>
            <w:tcW w:w="897" w:type="dxa"/>
            <w:tcBorders>
              <w:top w:val="single" w:sz="8" w:space="0" w:color="F3CFC1"/>
              <w:bottom w:val="single" w:sz="8" w:space="0" w:color="D2232A"/>
            </w:tcBorders>
            <w:shd w:val="clear" w:color="auto" w:fill="auto"/>
            <w:vAlign w:val="center"/>
            <w:hideMark/>
          </w:tcPr>
          <w:p w14:paraId="6E6F4E31"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0,0</w:t>
            </w:r>
          </w:p>
        </w:tc>
        <w:tc>
          <w:tcPr>
            <w:tcW w:w="896" w:type="dxa"/>
            <w:tcBorders>
              <w:top w:val="single" w:sz="8" w:space="0" w:color="F3CFC1"/>
              <w:bottom w:val="single" w:sz="8" w:space="0" w:color="D2232A"/>
            </w:tcBorders>
            <w:shd w:val="clear" w:color="auto" w:fill="auto"/>
            <w:vAlign w:val="center"/>
            <w:hideMark/>
          </w:tcPr>
          <w:p w14:paraId="3F179F8B" w14:textId="77777777" w:rsidR="008878A0" w:rsidRPr="001838EE" w:rsidRDefault="008878A0" w:rsidP="001838EE">
            <w:pPr>
              <w:spacing w:after="0" w:line="240" w:lineRule="auto"/>
              <w:jc w:val="right"/>
              <w:rPr>
                <w:rFonts w:eastAsia="Times New Roman" w:cs="Calibri"/>
                <w:szCs w:val="18"/>
              </w:rPr>
            </w:pPr>
            <w:r w:rsidRPr="001838EE">
              <w:rPr>
                <w:rFonts w:eastAsia="Times New Roman" w:cs="Calibri"/>
                <w:szCs w:val="18"/>
              </w:rPr>
              <w:t>-0,1</w:t>
            </w:r>
          </w:p>
        </w:tc>
        <w:tc>
          <w:tcPr>
            <w:tcW w:w="1345" w:type="dxa"/>
            <w:tcBorders>
              <w:top w:val="single" w:sz="8" w:space="0" w:color="F3CFC1"/>
              <w:bottom w:val="single" w:sz="8" w:space="0" w:color="D2232A"/>
              <w:right w:val="single" w:sz="8" w:space="0" w:color="D2232A"/>
            </w:tcBorders>
            <w:shd w:val="clear" w:color="auto" w:fill="auto"/>
            <w:vAlign w:val="center"/>
            <w:hideMark/>
          </w:tcPr>
          <w:p w14:paraId="08506726" w14:textId="6F5F6488" w:rsidR="008878A0" w:rsidRPr="001838EE" w:rsidRDefault="008878A0" w:rsidP="001838EE">
            <w:pPr>
              <w:spacing w:after="0" w:line="240" w:lineRule="auto"/>
              <w:jc w:val="center"/>
              <w:rPr>
                <w:rFonts w:eastAsia="Times New Roman" w:cs="Calibri"/>
                <w:szCs w:val="18"/>
              </w:rPr>
            </w:pPr>
            <w:r w:rsidRPr="001838EE">
              <w:rPr>
                <w:rFonts w:eastAsia="Times New Roman" w:cs="Calibri"/>
                <w:szCs w:val="18"/>
              </w:rPr>
              <w:t>0,3</w:t>
            </w:r>
          </w:p>
        </w:tc>
      </w:tr>
      <w:tr w:rsidR="00406CB9" w:rsidRPr="001838EE" w14:paraId="67CE8701" w14:textId="77777777" w:rsidTr="00114CB7">
        <w:trPr>
          <w:trHeight w:val="285"/>
        </w:trPr>
        <w:tc>
          <w:tcPr>
            <w:tcW w:w="4271" w:type="dxa"/>
            <w:tcBorders>
              <w:top w:val="single" w:sz="8" w:space="0" w:color="D2232A"/>
            </w:tcBorders>
            <w:shd w:val="clear" w:color="auto" w:fill="E5E5E5" w:themeFill="text1" w:themeFillTint="33"/>
            <w:hideMark/>
          </w:tcPr>
          <w:p w14:paraId="686BC644" w14:textId="7BEA02CF" w:rsidR="008878A0" w:rsidRPr="001838EE" w:rsidRDefault="008878A0" w:rsidP="001838EE">
            <w:pPr>
              <w:spacing w:after="0" w:line="240" w:lineRule="auto"/>
              <w:ind w:left="103"/>
              <w:jc w:val="left"/>
              <w:rPr>
                <w:rFonts w:eastAsia="Arial Narrow" w:cs="Arial Narrow"/>
                <w:szCs w:val="18"/>
              </w:rPr>
            </w:pPr>
            <w:r w:rsidRPr="001838EE">
              <w:rPr>
                <w:rFonts w:eastAsia="Arial Narrow" w:cs="Arial Narrow"/>
                <w:b/>
                <w:szCs w:val="18"/>
              </w:rPr>
              <w:t>UK</w:t>
            </w:r>
            <w:r w:rsidRPr="001838EE">
              <w:rPr>
                <w:rFonts w:eastAsia="Arial Narrow" w:cs="Arial Narrow"/>
                <w:b/>
                <w:spacing w:val="2"/>
                <w:szCs w:val="18"/>
              </w:rPr>
              <w:t>U</w:t>
            </w:r>
            <w:r w:rsidRPr="001838EE">
              <w:rPr>
                <w:rFonts w:eastAsia="Arial Narrow" w:cs="Arial Narrow"/>
                <w:b/>
                <w:spacing w:val="-1"/>
                <w:szCs w:val="18"/>
              </w:rPr>
              <w:t>P</w:t>
            </w:r>
            <w:r w:rsidRPr="001838EE">
              <w:rPr>
                <w:rFonts w:eastAsia="Arial Narrow" w:cs="Arial Narrow"/>
                <w:b/>
                <w:szCs w:val="18"/>
              </w:rPr>
              <w:t>NO</w:t>
            </w:r>
          </w:p>
        </w:tc>
        <w:tc>
          <w:tcPr>
            <w:tcW w:w="923" w:type="dxa"/>
            <w:tcBorders>
              <w:top w:val="single" w:sz="8" w:space="0" w:color="D2232A"/>
            </w:tcBorders>
            <w:shd w:val="clear" w:color="auto" w:fill="E5E5E5" w:themeFill="text1" w:themeFillTint="33"/>
            <w:vAlign w:val="center"/>
            <w:hideMark/>
          </w:tcPr>
          <w:p w14:paraId="09A206B5" w14:textId="7FCB5BBF"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-13,7</w:t>
            </w:r>
          </w:p>
        </w:tc>
        <w:tc>
          <w:tcPr>
            <w:tcW w:w="938" w:type="dxa"/>
            <w:tcBorders>
              <w:top w:val="single" w:sz="8" w:space="0" w:color="D2232A"/>
            </w:tcBorders>
            <w:shd w:val="clear" w:color="auto" w:fill="E5E5E5" w:themeFill="text1" w:themeFillTint="33"/>
            <w:vAlign w:val="center"/>
            <w:hideMark/>
          </w:tcPr>
          <w:p w14:paraId="27E805BA"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7,1</w:t>
            </w:r>
          </w:p>
        </w:tc>
        <w:tc>
          <w:tcPr>
            <w:tcW w:w="897" w:type="dxa"/>
            <w:tcBorders>
              <w:top w:val="single" w:sz="8" w:space="0" w:color="D2232A"/>
            </w:tcBorders>
            <w:shd w:val="clear" w:color="auto" w:fill="E5E5E5" w:themeFill="text1" w:themeFillTint="33"/>
            <w:vAlign w:val="center"/>
            <w:hideMark/>
          </w:tcPr>
          <w:p w14:paraId="0B307E59"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4,5</w:t>
            </w:r>
          </w:p>
        </w:tc>
        <w:tc>
          <w:tcPr>
            <w:tcW w:w="896" w:type="dxa"/>
            <w:tcBorders>
              <w:top w:val="single" w:sz="8" w:space="0" w:color="D2232A"/>
            </w:tcBorders>
            <w:shd w:val="clear" w:color="auto" w:fill="E5E5E5" w:themeFill="text1" w:themeFillTint="33"/>
            <w:vAlign w:val="center"/>
            <w:hideMark/>
          </w:tcPr>
          <w:p w14:paraId="5E6BE4A3" w14:textId="77777777" w:rsidR="008878A0" w:rsidRPr="001838EE" w:rsidRDefault="008878A0" w:rsidP="001838EE">
            <w:pPr>
              <w:spacing w:after="0" w:line="240" w:lineRule="auto"/>
              <w:jc w:val="right"/>
              <w:rPr>
                <w:rFonts w:eastAsia="Arial Narrow" w:cs="Calibri"/>
                <w:szCs w:val="18"/>
              </w:rPr>
            </w:pPr>
            <w:r w:rsidRPr="001838EE">
              <w:rPr>
                <w:rFonts w:eastAsia="Arial Narrow" w:cs="Calibri"/>
                <w:szCs w:val="18"/>
              </w:rPr>
              <w:t>-1,0</w:t>
            </w:r>
          </w:p>
        </w:tc>
        <w:tc>
          <w:tcPr>
            <w:tcW w:w="1345" w:type="dxa"/>
            <w:tcBorders>
              <w:top w:val="single" w:sz="8" w:space="0" w:color="D2232A"/>
              <w:right w:val="single" w:sz="8" w:space="0" w:color="D2232A"/>
            </w:tcBorders>
            <w:shd w:val="clear" w:color="auto" w:fill="E5E5E5" w:themeFill="text1" w:themeFillTint="33"/>
            <w:vAlign w:val="center"/>
            <w:hideMark/>
          </w:tcPr>
          <w:p w14:paraId="6C2F25EB" w14:textId="77777777" w:rsidR="008878A0" w:rsidRPr="001838EE" w:rsidRDefault="008878A0" w:rsidP="001838EE">
            <w:pPr>
              <w:spacing w:after="0" w:line="240" w:lineRule="auto"/>
              <w:jc w:val="center"/>
              <w:rPr>
                <w:rFonts w:eastAsia="Arial Narrow" w:cs="Calibri"/>
                <w:szCs w:val="18"/>
              </w:rPr>
            </w:pPr>
            <w:r w:rsidRPr="001838EE">
              <w:rPr>
                <w:rFonts w:eastAsia="Arial Narrow" w:cs="Calibri"/>
                <w:szCs w:val="18"/>
              </w:rPr>
              <w:t>31,1</w:t>
            </w:r>
          </w:p>
        </w:tc>
      </w:tr>
    </w:tbl>
    <w:p w14:paraId="791E1B15" w14:textId="394D6B80"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HNB 2015. godina</w:t>
      </w:r>
    </w:p>
    <w:p w14:paraId="13020026" w14:textId="595E9354" w:rsidR="008878A0" w:rsidRDefault="008878A0" w:rsidP="00941871">
      <w:pPr>
        <w:rPr>
          <w:sz w:val="22"/>
          <w:szCs w:val="22"/>
        </w:rPr>
      </w:pPr>
    </w:p>
    <w:p w14:paraId="1DF999B5" w14:textId="44906C0D" w:rsidR="001838EE" w:rsidRDefault="008878A0" w:rsidP="00941871">
      <w:r>
        <w:t xml:space="preserve">U razdoblju od 2015. do 2019. godine podaci su prikazani zbirno, </w:t>
      </w:r>
      <w:r w:rsidR="00893FFC">
        <w:t>jer je HNB obvezna</w:t>
      </w:r>
      <w:r>
        <w:t xml:space="preserve"> čuvati u tajnosti individualne podatke u skladu sa Zakonom o službenoj statistici.</w:t>
      </w:r>
    </w:p>
    <w:p w14:paraId="738DFCB8" w14:textId="77777777" w:rsidR="00F03A55" w:rsidRDefault="00F03A55" w:rsidP="00941871"/>
    <w:p w14:paraId="550694FB" w14:textId="48E94B9B" w:rsidR="001838EE" w:rsidRDefault="001838EE" w:rsidP="003E3F3C">
      <w:pPr>
        <w:pStyle w:val="Opisslike"/>
      </w:pPr>
      <w:r>
        <w:t xml:space="preserve">Tablica </w:t>
      </w:r>
      <w:r w:rsidR="000D5E3F">
        <w:t>87</w:t>
      </w:r>
      <w:r>
        <w:t xml:space="preserve">. </w:t>
      </w:r>
      <w:r w:rsidRPr="00B87EFB">
        <w:t>Izravna strana ulaganja u Krapinsko-zagorsku županiju, 2015</w:t>
      </w:r>
      <w:r w:rsidR="002E1535">
        <w:t>.</w:t>
      </w:r>
      <w:r w:rsidRPr="00B87EFB">
        <w:t>- travanj 2019. godina, milijuni EUR</w:t>
      </w:r>
    </w:p>
    <w:tbl>
      <w:tblPr>
        <w:tblW w:w="9148" w:type="dxa"/>
        <w:tblLook w:val="04A0" w:firstRow="1" w:lastRow="0" w:firstColumn="1" w:lastColumn="0" w:noHBand="0" w:noVBand="1"/>
      </w:tblPr>
      <w:tblGrid>
        <w:gridCol w:w="1000"/>
        <w:gridCol w:w="5856"/>
        <w:gridCol w:w="2292"/>
      </w:tblGrid>
      <w:tr w:rsidR="00FF0A6F" w:rsidRPr="00FF0A6F" w14:paraId="36A3DE2F" w14:textId="77777777" w:rsidTr="00114CB7">
        <w:trPr>
          <w:trHeight w:val="285"/>
          <w:tblHeader/>
        </w:trPr>
        <w:tc>
          <w:tcPr>
            <w:tcW w:w="1000" w:type="dxa"/>
            <w:tcBorders>
              <w:bottom w:val="single" w:sz="4" w:space="0" w:color="FFFFFF"/>
            </w:tcBorders>
            <w:shd w:val="clear" w:color="auto" w:fill="D2232A" w:themeFill="accent1"/>
            <w:vAlign w:val="center"/>
            <w:hideMark/>
          </w:tcPr>
          <w:p w14:paraId="529C8E29" w14:textId="77777777" w:rsidR="008878A0" w:rsidRPr="00FF0A6F" w:rsidRDefault="008878A0" w:rsidP="001838EE">
            <w:pPr>
              <w:spacing w:after="0"/>
              <w:jc w:val="center"/>
              <w:rPr>
                <w:rFonts w:cstheme="minorHAnsi"/>
                <w:b/>
                <w:bCs/>
                <w:color w:val="FFFFFF" w:themeColor="background1"/>
                <w:szCs w:val="18"/>
                <w:lang w:eastAsia="hr-HR"/>
              </w:rPr>
            </w:pPr>
            <w:r w:rsidRPr="00FF0A6F">
              <w:rPr>
                <w:rFonts w:cstheme="minorHAnsi"/>
                <w:b/>
                <w:bCs/>
                <w:color w:val="FFFFFF" w:themeColor="background1"/>
                <w:szCs w:val="18"/>
                <w:lang w:eastAsia="hr-HR"/>
              </w:rPr>
              <w:t>NKD</w:t>
            </w:r>
          </w:p>
        </w:tc>
        <w:tc>
          <w:tcPr>
            <w:tcW w:w="5856" w:type="dxa"/>
            <w:tcBorders>
              <w:bottom w:val="single" w:sz="4" w:space="0" w:color="FFFFFF"/>
            </w:tcBorders>
            <w:shd w:val="clear" w:color="auto" w:fill="D2232A" w:themeFill="accent1"/>
            <w:vAlign w:val="center"/>
            <w:hideMark/>
          </w:tcPr>
          <w:p w14:paraId="5B068CB7" w14:textId="77777777" w:rsidR="008878A0" w:rsidRPr="00FF0A6F" w:rsidRDefault="008878A0" w:rsidP="001838EE">
            <w:pPr>
              <w:spacing w:after="0"/>
              <w:jc w:val="center"/>
              <w:rPr>
                <w:rFonts w:cstheme="minorHAnsi"/>
                <w:b/>
                <w:bCs/>
                <w:color w:val="FFFFFF" w:themeColor="background1"/>
                <w:szCs w:val="18"/>
                <w:lang w:eastAsia="hr-HR"/>
              </w:rPr>
            </w:pPr>
            <w:r w:rsidRPr="00FF0A6F">
              <w:rPr>
                <w:rFonts w:cstheme="minorHAnsi"/>
                <w:b/>
                <w:bCs/>
                <w:color w:val="FFFFFF" w:themeColor="background1"/>
                <w:szCs w:val="18"/>
                <w:lang w:eastAsia="hr-HR"/>
              </w:rPr>
              <w:t>Djelatnost</w:t>
            </w:r>
          </w:p>
        </w:tc>
        <w:tc>
          <w:tcPr>
            <w:tcW w:w="2292" w:type="dxa"/>
            <w:tcBorders>
              <w:bottom w:val="single" w:sz="4" w:space="0" w:color="FFFFFF"/>
              <w:right w:val="single" w:sz="8" w:space="0" w:color="D2232A"/>
            </w:tcBorders>
            <w:shd w:val="clear" w:color="auto" w:fill="D2232A" w:themeFill="accent1"/>
            <w:vAlign w:val="center"/>
            <w:hideMark/>
          </w:tcPr>
          <w:p w14:paraId="25512FCF" w14:textId="77777777" w:rsidR="008878A0" w:rsidRPr="00FF0A6F" w:rsidRDefault="008878A0" w:rsidP="001838EE">
            <w:pPr>
              <w:spacing w:after="0"/>
              <w:jc w:val="center"/>
              <w:rPr>
                <w:rFonts w:cstheme="minorHAnsi"/>
                <w:b/>
                <w:bCs/>
                <w:color w:val="FFFFFF" w:themeColor="background1"/>
                <w:szCs w:val="18"/>
                <w:lang w:eastAsia="hr-HR"/>
              </w:rPr>
            </w:pPr>
            <w:r w:rsidRPr="00FF0A6F">
              <w:rPr>
                <w:rFonts w:cstheme="minorHAnsi"/>
                <w:b/>
                <w:bCs/>
                <w:color w:val="FFFFFF" w:themeColor="background1"/>
                <w:szCs w:val="18"/>
                <w:lang w:eastAsia="hr-HR"/>
              </w:rPr>
              <w:t>2015.- 4/2019.</w:t>
            </w:r>
          </w:p>
        </w:tc>
      </w:tr>
      <w:tr w:rsidR="008878A0" w14:paraId="0C4FFE15" w14:textId="77777777" w:rsidTr="00114CB7">
        <w:trPr>
          <w:trHeight w:val="285"/>
        </w:trPr>
        <w:tc>
          <w:tcPr>
            <w:tcW w:w="1000" w:type="dxa"/>
            <w:tcBorders>
              <w:top w:val="single" w:sz="4" w:space="0" w:color="FFFFFF"/>
              <w:bottom w:val="single" w:sz="8" w:space="0" w:color="F3CFC1"/>
            </w:tcBorders>
            <w:shd w:val="clear" w:color="auto" w:fill="D2232A" w:themeFill="accent1"/>
            <w:noWrap/>
            <w:vAlign w:val="center"/>
            <w:hideMark/>
          </w:tcPr>
          <w:p w14:paraId="478F7D93"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55</w:t>
            </w:r>
          </w:p>
        </w:tc>
        <w:tc>
          <w:tcPr>
            <w:tcW w:w="5856" w:type="dxa"/>
            <w:tcBorders>
              <w:bottom w:val="single" w:sz="8" w:space="0" w:color="F3CFC1"/>
            </w:tcBorders>
            <w:shd w:val="clear" w:color="auto" w:fill="FFFFFF"/>
            <w:noWrap/>
            <w:vAlign w:val="center"/>
            <w:hideMark/>
          </w:tcPr>
          <w:p w14:paraId="66D15BB3" w14:textId="77777777" w:rsidR="008878A0" w:rsidRPr="00FF0A6F" w:rsidRDefault="008878A0" w:rsidP="001838EE">
            <w:pPr>
              <w:spacing w:after="0"/>
              <w:rPr>
                <w:rFonts w:cstheme="minorHAnsi"/>
                <w:szCs w:val="18"/>
                <w:lang w:eastAsia="hr-HR"/>
              </w:rPr>
            </w:pPr>
            <w:r w:rsidRPr="00FF0A6F">
              <w:rPr>
                <w:rFonts w:cstheme="minorHAnsi"/>
                <w:szCs w:val="18"/>
                <w:lang w:eastAsia="hr-HR"/>
              </w:rPr>
              <w:t>Smještaj</w:t>
            </w:r>
          </w:p>
        </w:tc>
        <w:tc>
          <w:tcPr>
            <w:tcW w:w="2292" w:type="dxa"/>
            <w:tcBorders>
              <w:bottom w:val="single" w:sz="8" w:space="0" w:color="F3CFC1"/>
              <w:right w:val="single" w:sz="8" w:space="0" w:color="D2232A"/>
            </w:tcBorders>
            <w:shd w:val="clear" w:color="auto" w:fill="FFFFFF"/>
            <w:noWrap/>
            <w:vAlign w:val="center"/>
            <w:hideMark/>
          </w:tcPr>
          <w:p w14:paraId="08B7C011"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16,03</w:t>
            </w:r>
          </w:p>
        </w:tc>
      </w:tr>
      <w:tr w:rsidR="008878A0" w14:paraId="42AE8C4A" w14:textId="77777777" w:rsidTr="00114CB7">
        <w:trPr>
          <w:trHeight w:val="285"/>
        </w:trPr>
        <w:tc>
          <w:tcPr>
            <w:tcW w:w="1000" w:type="dxa"/>
            <w:tcBorders>
              <w:top w:val="single" w:sz="8" w:space="0" w:color="F3CFC1"/>
              <w:bottom w:val="single" w:sz="8" w:space="0" w:color="F3CFC1"/>
            </w:tcBorders>
            <w:shd w:val="clear" w:color="auto" w:fill="D2232A" w:themeFill="accent1"/>
            <w:noWrap/>
            <w:vAlign w:val="center"/>
            <w:hideMark/>
          </w:tcPr>
          <w:p w14:paraId="73D31E0E"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47</w:t>
            </w:r>
          </w:p>
        </w:tc>
        <w:tc>
          <w:tcPr>
            <w:tcW w:w="5856" w:type="dxa"/>
            <w:tcBorders>
              <w:top w:val="single" w:sz="8" w:space="0" w:color="F3CFC1"/>
              <w:bottom w:val="single" w:sz="8" w:space="0" w:color="F3CFC1"/>
            </w:tcBorders>
            <w:shd w:val="clear" w:color="auto" w:fill="FFFFFF"/>
            <w:noWrap/>
            <w:vAlign w:val="center"/>
            <w:hideMark/>
          </w:tcPr>
          <w:p w14:paraId="0534E24B" w14:textId="77777777" w:rsidR="008878A0" w:rsidRPr="00FF0A6F" w:rsidRDefault="008878A0" w:rsidP="001838EE">
            <w:pPr>
              <w:spacing w:after="0"/>
              <w:rPr>
                <w:rFonts w:cstheme="minorHAnsi"/>
                <w:szCs w:val="18"/>
                <w:lang w:eastAsia="hr-HR"/>
              </w:rPr>
            </w:pPr>
            <w:r w:rsidRPr="00FF0A6F">
              <w:rPr>
                <w:rFonts w:cstheme="minorHAnsi"/>
                <w:szCs w:val="18"/>
                <w:lang w:eastAsia="hr-HR"/>
              </w:rPr>
              <w:t>Trgovina na malo, osim trgovine motornim vozilima i motociklima</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58DA1D9A"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7,05</w:t>
            </w:r>
          </w:p>
        </w:tc>
      </w:tr>
      <w:tr w:rsidR="008878A0" w14:paraId="467F9AB2" w14:textId="77777777" w:rsidTr="00114CB7">
        <w:trPr>
          <w:trHeight w:val="285"/>
        </w:trPr>
        <w:tc>
          <w:tcPr>
            <w:tcW w:w="1000" w:type="dxa"/>
            <w:tcBorders>
              <w:top w:val="single" w:sz="8" w:space="0" w:color="F3CFC1"/>
              <w:bottom w:val="single" w:sz="8" w:space="0" w:color="F3CFC1"/>
            </w:tcBorders>
            <w:shd w:val="clear" w:color="auto" w:fill="D2232A" w:themeFill="accent1"/>
            <w:noWrap/>
            <w:vAlign w:val="center"/>
            <w:hideMark/>
          </w:tcPr>
          <w:p w14:paraId="3D48C993"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38</w:t>
            </w:r>
          </w:p>
        </w:tc>
        <w:tc>
          <w:tcPr>
            <w:tcW w:w="5856" w:type="dxa"/>
            <w:tcBorders>
              <w:top w:val="single" w:sz="8" w:space="0" w:color="F3CFC1"/>
              <w:bottom w:val="single" w:sz="8" w:space="0" w:color="F3CFC1"/>
            </w:tcBorders>
            <w:shd w:val="clear" w:color="auto" w:fill="FFFFFF"/>
            <w:noWrap/>
            <w:vAlign w:val="center"/>
            <w:hideMark/>
          </w:tcPr>
          <w:p w14:paraId="2C69EC50" w14:textId="77777777" w:rsidR="008878A0" w:rsidRPr="00FF0A6F" w:rsidRDefault="008878A0" w:rsidP="001838EE">
            <w:pPr>
              <w:spacing w:after="0"/>
              <w:rPr>
                <w:rFonts w:cstheme="minorHAnsi"/>
                <w:szCs w:val="18"/>
                <w:lang w:eastAsia="hr-HR"/>
              </w:rPr>
            </w:pPr>
            <w:r w:rsidRPr="00FF0A6F">
              <w:rPr>
                <w:rFonts w:cstheme="minorHAnsi"/>
                <w:szCs w:val="18"/>
                <w:lang w:eastAsia="hr-HR"/>
              </w:rPr>
              <w:t>Skupljanje otpada, djelatnosti obrade i zbrinjavanja otpada; oporaba materijala</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769B7FB8"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6,64</w:t>
            </w:r>
          </w:p>
        </w:tc>
      </w:tr>
      <w:tr w:rsidR="008878A0" w14:paraId="0B9C5138" w14:textId="77777777" w:rsidTr="00114CB7">
        <w:trPr>
          <w:trHeight w:val="285"/>
        </w:trPr>
        <w:tc>
          <w:tcPr>
            <w:tcW w:w="1000" w:type="dxa"/>
            <w:tcBorders>
              <w:top w:val="single" w:sz="8" w:space="0" w:color="F3CFC1"/>
              <w:bottom w:val="single" w:sz="8" w:space="0" w:color="F3CFC1"/>
            </w:tcBorders>
            <w:shd w:val="clear" w:color="auto" w:fill="D2232A" w:themeFill="accent1"/>
            <w:noWrap/>
            <w:vAlign w:val="center"/>
            <w:hideMark/>
          </w:tcPr>
          <w:p w14:paraId="285E8B63"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17</w:t>
            </w:r>
          </w:p>
        </w:tc>
        <w:tc>
          <w:tcPr>
            <w:tcW w:w="5856" w:type="dxa"/>
            <w:tcBorders>
              <w:top w:val="single" w:sz="8" w:space="0" w:color="F3CFC1"/>
              <w:bottom w:val="single" w:sz="8" w:space="0" w:color="F3CFC1"/>
            </w:tcBorders>
            <w:shd w:val="clear" w:color="auto" w:fill="FFFFFF"/>
            <w:noWrap/>
            <w:vAlign w:val="center"/>
            <w:hideMark/>
          </w:tcPr>
          <w:p w14:paraId="4E161DF2" w14:textId="77777777" w:rsidR="008878A0" w:rsidRPr="00FF0A6F" w:rsidRDefault="008878A0" w:rsidP="001838EE">
            <w:pPr>
              <w:spacing w:after="0"/>
              <w:rPr>
                <w:rFonts w:cstheme="minorHAnsi"/>
                <w:szCs w:val="18"/>
                <w:lang w:eastAsia="hr-HR"/>
              </w:rPr>
            </w:pPr>
            <w:r w:rsidRPr="00FF0A6F">
              <w:rPr>
                <w:rFonts w:cstheme="minorHAnsi"/>
                <w:szCs w:val="18"/>
                <w:lang w:eastAsia="hr-HR"/>
              </w:rPr>
              <w:t>Proizvodnja papira i proizvoda od papira</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4187A39B"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5,12</w:t>
            </w:r>
          </w:p>
        </w:tc>
      </w:tr>
      <w:tr w:rsidR="008878A0" w14:paraId="1DCE179D" w14:textId="77777777" w:rsidTr="00114CB7">
        <w:trPr>
          <w:trHeight w:val="285"/>
        </w:trPr>
        <w:tc>
          <w:tcPr>
            <w:tcW w:w="1000" w:type="dxa"/>
            <w:tcBorders>
              <w:top w:val="single" w:sz="8" w:space="0" w:color="F3CFC1"/>
              <w:bottom w:val="single" w:sz="8" w:space="0" w:color="F3CFC1"/>
            </w:tcBorders>
            <w:shd w:val="clear" w:color="auto" w:fill="D2232A" w:themeFill="accent1"/>
            <w:noWrap/>
            <w:vAlign w:val="center"/>
            <w:hideMark/>
          </w:tcPr>
          <w:p w14:paraId="06E49801"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lastRenderedPageBreak/>
              <w:t>25</w:t>
            </w:r>
          </w:p>
        </w:tc>
        <w:tc>
          <w:tcPr>
            <w:tcW w:w="5856" w:type="dxa"/>
            <w:tcBorders>
              <w:top w:val="single" w:sz="8" w:space="0" w:color="F3CFC1"/>
              <w:bottom w:val="single" w:sz="8" w:space="0" w:color="F3CFC1"/>
            </w:tcBorders>
            <w:shd w:val="clear" w:color="auto" w:fill="FFFFFF"/>
            <w:noWrap/>
            <w:vAlign w:val="center"/>
            <w:hideMark/>
          </w:tcPr>
          <w:p w14:paraId="0AA81CDB" w14:textId="77777777" w:rsidR="008878A0" w:rsidRPr="00FF0A6F" w:rsidRDefault="008878A0" w:rsidP="001838EE">
            <w:pPr>
              <w:spacing w:after="0"/>
              <w:rPr>
                <w:rFonts w:cstheme="minorHAnsi"/>
                <w:szCs w:val="18"/>
                <w:lang w:eastAsia="hr-HR"/>
              </w:rPr>
            </w:pPr>
            <w:r w:rsidRPr="00FF0A6F">
              <w:rPr>
                <w:rFonts w:cstheme="minorHAnsi"/>
                <w:szCs w:val="18"/>
                <w:lang w:eastAsia="hr-HR"/>
              </w:rPr>
              <w:t>Proizvodnja gotovih metalnih proizvoda, osim strojeva i opreme</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6E67C3C4"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5,05</w:t>
            </w:r>
          </w:p>
        </w:tc>
      </w:tr>
      <w:tr w:rsidR="008878A0" w14:paraId="0A58CCF3" w14:textId="77777777" w:rsidTr="00114CB7">
        <w:trPr>
          <w:trHeight w:val="285"/>
        </w:trPr>
        <w:tc>
          <w:tcPr>
            <w:tcW w:w="1000" w:type="dxa"/>
            <w:tcBorders>
              <w:top w:val="single" w:sz="8" w:space="0" w:color="F3CFC1"/>
              <w:bottom w:val="single" w:sz="8" w:space="0" w:color="F3CFC1"/>
            </w:tcBorders>
            <w:shd w:val="clear" w:color="auto" w:fill="D2232A" w:themeFill="accent1"/>
            <w:noWrap/>
            <w:vAlign w:val="center"/>
            <w:hideMark/>
          </w:tcPr>
          <w:p w14:paraId="066C9A9C"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49</w:t>
            </w:r>
          </w:p>
        </w:tc>
        <w:tc>
          <w:tcPr>
            <w:tcW w:w="5856" w:type="dxa"/>
            <w:tcBorders>
              <w:top w:val="single" w:sz="8" w:space="0" w:color="F3CFC1"/>
              <w:bottom w:val="single" w:sz="8" w:space="0" w:color="F3CFC1"/>
            </w:tcBorders>
            <w:shd w:val="clear" w:color="auto" w:fill="FFFFFF"/>
            <w:noWrap/>
            <w:vAlign w:val="center"/>
            <w:hideMark/>
          </w:tcPr>
          <w:p w14:paraId="0F740B79" w14:textId="77777777" w:rsidR="008878A0" w:rsidRPr="00FF0A6F" w:rsidRDefault="008878A0" w:rsidP="001838EE">
            <w:pPr>
              <w:spacing w:after="0"/>
              <w:rPr>
                <w:rFonts w:cstheme="minorHAnsi"/>
                <w:szCs w:val="18"/>
                <w:lang w:eastAsia="hr-HR"/>
              </w:rPr>
            </w:pPr>
            <w:r w:rsidRPr="00FF0A6F">
              <w:rPr>
                <w:rFonts w:cstheme="minorHAnsi"/>
                <w:szCs w:val="18"/>
                <w:lang w:eastAsia="hr-HR"/>
              </w:rPr>
              <w:t>Kopneni prijevoz i cjevovodni transport</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71E8C84B"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4,75</w:t>
            </w:r>
          </w:p>
        </w:tc>
      </w:tr>
      <w:tr w:rsidR="008878A0" w14:paraId="0FA5CCED" w14:textId="77777777" w:rsidTr="00114CB7">
        <w:trPr>
          <w:trHeight w:val="285"/>
        </w:trPr>
        <w:tc>
          <w:tcPr>
            <w:tcW w:w="1000" w:type="dxa"/>
            <w:tcBorders>
              <w:top w:val="single" w:sz="8" w:space="0" w:color="F3CFC1"/>
              <w:bottom w:val="single" w:sz="8" w:space="0" w:color="F3CFC1"/>
            </w:tcBorders>
            <w:shd w:val="clear" w:color="auto" w:fill="D2232A" w:themeFill="accent1"/>
            <w:noWrap/>
            <w:vAlign w:val="center"/>
            <w:hideMark/>
          </w:tcPr>
          <w:p w14:paraId="0BBB48BE"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13</w:t>
            </w:r>
          </w:p>
        </w:tc>
        <w:tc>
          <w:tcPr>
            <w:tcW w:w="5856" w:type="dxa"/>
            <w:tcBorders>
              <w:top w:val="single" w:sz="8" w:space="0" w:color="F3CFC1"/>
              <w:bottom w:val="single" w:sz="8" w:space="0" w:color="F3CFC1"/>
            </w:tcBorders>
            <w:shd w:val="clear" w:color="auto" w:fill="FFFFFF"/>
            <w:noWrap/>
            <w:vAlign w:val="center"/>
            <w:hideMark/>
          </w:tcPr>
          <w:p w14:paraId="2AE258EC" w14:textId="77777777" w:rsidR="008878A0" w:rsidRPr="00FF0A6F" w:rsidRDefault="008878A0" w:rsidP="001838EE">
            <w:pPr>
              <w:spacing w:after="0"/>
              <w:rPr>
                <w:rFonts w:cstheme="minorHAnsi"/>
                <w:szCs w:val="18"/>
                <w:lang w:eastAsia="hr-HR"/>
              </w:rPr>
            </w:pPr>
            <w:r w:rsidRPr="00FF0A6F">
              <w:rPr>
                <w:rFonts w:cstheme="minorHAnsi"/>
                <w:szCs w:val="18"/>
                <w:lang w:eastAsia="hr-HR"/>
              </w:rPr>
              <w:t>Proizvodnja tekstila</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487A1C8B"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4,28</w:t>
            </w:r>
          </w:p>
        </w:tc>
      </w:tr>
      <w:tr w:rsidR="008878A0" w14:paraId="04DD91DD" w14:textId="77777777" w:rsidTr="00114CB7">
        <w:trPr>
          <w:trHeight w:val="285"/>
        </w:trPr>
        <w:tc>
          <w:tcPr>
            <w:tcW w:w="1000" w:type="dxa"/>
            <w:tcBorders>
              <w:top w:val="single" w:sz="8" w:space="0" w:color="F3CFC1"/>
              <w:bottom w:val="single" w:sz="8" w:space="0" w:color="F3CFC1"/>
            </w:tcBorders>
            <w:shd w:val="clear" w:color="auto" w:fill="D2232A" w:themeFill="accent1"/>
            <w:noWrap/>
            <w:vAlign w:val="center"/>
            <w:hideMark/>
          </w:tcPr>
          <w:p w14:paraId="66B35E10"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42</w:t>
            </w:r>
          </w:p>
        </w:tc>
        <w:tc>
          <w:tcPr>
            <w:tcW w:w="5856" w:type="dxa"/>
            <w:tcBorders>
              <w:top w:val="single" w:sz="8" w:space="0" w:color="F3CFC1"/>
              <w:bottom w:val="single" w:sz="8" w:space="0" w:color="F3CFC1"/>
            </w:tcBorders>
            <w:shd w:val="clear" w:color="auto" w:fill="FFFFFF"/>
            <w:noWrap/>
            <w:vAlign w:val="center"/>
            <w:hideMark/>
          </w:tcPr>
          <w:p w14:paraId="0A2C6DF9" w14:textId="77777777" w:rsidR="008878A0" w:rsidRPr="00FF0A6F" w:rsidRDefault="008878A0" w:rsidP="001838EE">
            <w:pPr>
              <w:spacing w:after="0"/>
              <w:rPr>
                <w:rFonts w:cstheme="minorHAnsi"/>
                <w:szCs w:val="18"/>
                <w:lang w:eastAsia="hr-HR"/>
              </w:rPr>
            </w:pPr>
            <w:r w:rsidRPr="00FF0A6F">
              <w:rPr>
                <w:rFonts w:cstheme="minorHAnsi"/>
                <w:szCs w:val="18"/>
                <w:lang w:eastAsia="hr-HR"/>
              </w:rPr>
              <w:t>Gradnja građevina niskogradnje</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65839AFC"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4,26</w:t>
            </w:r>
          </w:p>
        </w:tc>
      </w:tr>
      <w:tr w:rsidR="008878A0" w14:paraId="7E82F6B2" w14:textId="77777777" w:rsidTr="00114CB7">
        <w:trPr>
          <w:trHeight w:val="285"/>
        </w:trPr>
        <w:tc>
          <w:tcPr>
            <w:tcW w:w="1000" w:type="dxa"/>
            <w:tcBorders>
              <w:top w:val="single" w:sz="8" w:space="0" w:color="F3CFC1"/>
              <w:bottom w:val="single" w:sz="8" w:space="0" w:color="F3CFC1"/>
            </w:tcBorders>
            <w:shd w:val="clear" w:color="auto" w:fill="D2232A" w:themeFill="accent1"/>
            <w:noWrap/>
            <w:vAlign w:val="center"/>
            <w:hideMark/>
          </w:tcPr>
          <w:p w14:paraId="4331765E"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46</w:t>
            </w:r>
          </w:p>
        </w:tc>
        <w:tc>
          <w:tcPr>
            <w:tcW w:w="5856" w:type="dxa"/>
            <w:tcBorders>
              <w:top w:val="single" w:sz="8" w:space="0" w:color="F3CFC1"/>
              <w:bottom w:val="single" w:sz="8" w:space="0" w:color="F3CFC1"/>
            </w:tcBorders>
            <w:shd w:val="clear" w:color="auto" w:fill="FFFFFF"/>
            <w:noWrap/>
            <w:vAlign w:val="center"/>
            <w:hideMark/>
          </w:tcPr>
          <w:p w14:paraId="5B96DEFF" w14:textId="77777777" w:rsidR="008878A0" w:rsidRPr="00FF0A6F" w:rsidRDefault="008878A0" w:rsidP="001838EE">
            <w:pPr>
              <w:spacing w:after="0"/>
              <w:rPr>
                <w:rFonts w:cstheme="minorHAnsi"/>
                <w:szCs w:val="18"/>
                <w:lang w:eastAsia="hr-HR"/>
              </w:rPr>
            </w:pPr>
            <w:r w:rsidRPr="00FF0A6F">
              <w:rPr>
                <w:rFonts w:cstheme="minorHAnsi"/>
                <w:szCs w:val="18"/>
                <w:lang w:eastAsia="hr-HR"/>
              </w:rPr>
              <w:t>Trgovina na veliko, osim trgovine motornim vozilima i motociklima</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45F5B73A"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3,98</w:t>
            </w:r>
          </w:p>
        </w:tc>
      </w:tr>
      <w:tr w:rsidR="008878A0" w14:paraId="57088E5E" w14:textId="77777777" w:rsidTr="00114CB7">
        <w:trPr>
          <w:trHeight w:val="285"/>
        </w:trPr>
        <w:tc>
          <w:tcPr>
            <w:tcW w:w="1000" w:type="dxa"/>
            <w:tcBorders>
              <w:top w:val="single" w:sz="8" w:space="0" w:color="F3CFC1"/>
              <w:bottom w:val="single" w:sz="8" w:space="0" w:color="F3CFC1"/>
            </w:tcBorders>
            <w:shd w:val="clear" w:color="auto" w:fill="D2232A" w:themeFill="accent1"/>
            <w:noWrap/>
            <w:vAlign w:val="center"/>
            <w:hideMark/>
          </w:tcPr>
          <w:p w14:paraId="013F0793"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68</w:t>
            </w:r>
          </w:p>
        </w:tc>
        <w:tc>
          <w:tcPr>
            <w:tcW w:w="5856" w:type="dxa"/>
            <w:tcBorders>
              <w:top w:val="single" w:sz="8" w:space="0" w:color="F3CFC1"/>
              <w:bottom w:val="single" w:sz="8" w:space="0" w:color="F3CFC1"/>
            </w:tcBorders>
            <w:shd w:val="clear" w:color="auto" w:fill="FFFFFF"/>
            <w:noWrap/>
            <w:vAlign w:val="center"/>
            <w:hideMark/>
          </w:tcPr>
          <w:p w14:paraId="6A123E15" w14:textId="77777777" w:rsidR="008878A0" w:rsidRPr="00FF0A6F" w:rsidRDefault="008878A0" w:rsidP="001838EE">
            <w:pPr>
              <w:spacing w:after="0"/>
              <w:rPr>
                <w:rFonts w:cstheme="minorHAnsi"/>
                <w:szCs w:val="18"/>
                <w:lang w:eastAsia="hr-HR"/>
              </w:rPr>
            </w:pPr>
            <w:r w:rsidRPr="00FF0A6F">
              <w:rPr>
                <w:rFonts w:cstheme="minorHAnsi"/>
                <w:szCs w:val="18"/>
                <w:lang w:eastAsia="hr-HR"/>
              </w:rPr>
              <w:t>Poslovanje nekretninama</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58E4A7DC"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-2,05</w:t>
            </w:r>
          </w:p>
        </w:tc>
      </w:tr>
      <w:tr w:rsidR="008878A0" w14:paraId="6FFA529C" w14:textId="77777777" w:rsidTr="00114CB7">
        <w:trPr>
          <w:trHeight w:val="285"/>
        </w:trPr>
        <w:tc>
          <w:tcPr>
            <w:tcW w:w="1000" w:type="dxa"/>
            <w:tcBorders>
              <w:top w:val="single" w:sz="8" w:space="0" w:color="F3CFC1"/>
              <w:bottom w:val="single" w:sz="8" w:space="0" w:color="D2232A"/>
            </w:tcBorders>
            <w:shd w:val="clear" w:color="auto" w:fill="D2232A" w:themeFill="accent1"/>
            <w:noWrap/>
            <w:vAlign w:val="center"/>
            <w:hideMark/>
          </w:tcPr>
          <w:p w14:paraId="7E4A981E" w14:textId="77777777" w:rsidR="008878A0" w:rsidRPr="00FF0A6F" w:rsidRDefault="008878A0" w:rsidP="001838EE">
            <w:pPr>
              <w:spacing w:after="0"/>
              <w:jc w:val="center"/>
              <w:rPr>
                <w:rFonts w:cstheme="minorHAnsi"/>
                <w:color w:val="FFFFFF" w:themeColor="background1"/>
                <w:szCs w:val="18"/>
                <w:lang w:eastAsia="hr-HR"/>
              </w:rPr>
            </w:pPr>
            <w:r w:rsidRPr="00FF0A6F">
              <w:rPr>
                <w:rFonts w:cstheme="minorHAnsi"/>
                <w:color w:val="FFFFFF" w:themeColor="background1"/>
                <w:szCs w:val="18"/>
                <w:lang w:eastAsia="hr-HR"/>
              </w:rPr>
              <w:t>23</w:t>
            </w:r>
          </w:p>
        </w:tc>
        <w:tc>
          <w:tcPr>
            <w:tcW w:w="5856" w:type="dxa"/>
            <w:tcBorders>
              <w:top w:val="single" w:sz="8" w:space="0" w:color="F3CFC1"/>
              <w:bottom w:val="single" w:sz="8" w:space="0" w:color="F3CFC1"/>
            </w:tcBorders>
            <w:shd w:val="clear" w:color="auto" w:fill="FFFFFF"/>
            <w:noWrap/>
            <w:vAlign w:val="center"/>
            <w:hideMark/>
          </w:tcPr>
          <w:p w14:paraId="0EBAAD4A" w14:textId="77777777" w:rsidR="008878A0" w:rsidRPr="00FF0A6F" w:rsidRDefault="008878A0" w:rsidP="001838EE">
            <w:pPr>
              <w:spacing w:after="0"/>
              <w:rPr>
                <w:rFonts w:cstheme="minorHAnsi"/>
                <w:szCs w:val="18"/>
                <w:lang w:eastAsia="hr-HR"/>
              </w:rPr>
            </w:pPr>
            <w:r w:rsidRPr="00FF0A6F">
              <w:rPr>
                <w:rFonts w:cstheme="minorHAnsi"/>
                <w:szCs w:val="18"/>
                <w:lang w:eastAsia="hr-HR"/>
              </w:rPr>
              <w:t>Proizvodnja ostalih nemetalnih mineralnih proizvoda</w:t>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2A96A30F"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-11,34</w:t>
            </w:r>
          </w:p>
        </w:tc>
      </w:tr>
      <w:tr w:rsidR="008878A0" w14:paraId="1C00FF51" w14:textId="77777777" w:rsidTr="00114CB7">
        <w:trPr>
          <w:trHeight w:val="285"/>
        </w:trPr>
        <w:tc>
          <w:tcPr>
            <w:tcW w:w="1000" w:type="dxa"/>
            <w:tcBorders>
              <w:top w:val="single" w:sz="8" w:space="0" w:color="D2232A"/>
              <w:bottom w:val="single" w:sz="8" w:space="0" w:color="D2232A"/>
            </w:tcBorders>
            <w:shd w:val="clear" w:color="auto" w:fill="D2232A" w:themeFill="accent1"/>
            <w:noWrap/>
            <w:vAlign w:val="center"/>
            <w:hideMark/>
          </w:tcPr>
          <w:p w14:paraId="7140148B" w14:textId="5FE81654" w:rsidR="008878A0" w:rsidRDefault="008878A0" w:rsidP="001838EE">
            <w:pPr>
              <w:spacing w:after="0"/>
              <w:jc w:val="center"/>
              <w:rPr>
                <w:rFonts w:cstheme="minorHAnsi"/>
                <w:szCs w:val="18"/>
                <w:lang w:eastAsia="hr-HR"/>
              </w:rPr>
            </w:pPr>
          </w:p>
        </w:tc>
        <w:tc>
          <w:tcPr>
            <w:tcW w:w="5856" w:type="dxa"/>
            <w:tcBorders>
              <w:top w:val="single" w:sz="8" w:space="0" w:color="F3CFC1"/>
              <w:bottom w:val="single" w:sz="8" w:space="0" w:color="F3CFC1"/>
            </w:tcBorders>
            <w:shd w:val="clear" w:color="auto" w:fill="FFFFFF"/>
            <w:noWrap/>
            <w:vAlign w:val="center"/>
            <w:hideMark/>
          </w:tcPr>
          <w:p w14:paraId="42610BA9" w14:textId="77777777" w:rsidR="008878A0" w:rsidRPr="00FF0A6F" w:rsidRDefault="008878A0" w:rsidP="001838EE">
            <w:pPr>
              <w:spacing w:after="0"/>
              <w:rPr>
                <w:rFonts w:cstheme="minorHAnsi"/>
                <w:szCs w:val="18"/>
                <w:lang w:eastAsia="hr-HR"/>
              </w:rPr>
            </w:pPr>
            <w:r w:rsidRPr="00FF0A6F">
              <w:rPr>
                <w:rFonts w:cstheme="minorHAnsi"/>
                <w:szCs w:val="18"/>
                <w:lang w:eastAsia="hr-HR"/>
              </w:rPr>
              <w:t xml:space="preserve">Ostale djelatnosti </w:t>
            </w:r>
            <w:r w:rsidRPr="00FF0A6F">
              <w:rPr>
                <w:rStyle w:val="Referencafusnote"/>
                <w:rFonts w:cstheme="minorHAnsi"/>
                <w:szCs w:val="18"/>
                <w:lang w:eastAsia="hr-HR"/>
              </w:rPr>
              <w:footnoteReference w:id="69"/>
            </w:r>
          </w:p>
        </w:tc>
        <w:tc>
          <w:tcPr>
            <w:tcW w:w="2292" w:type="dxa"/>
            <w:tcBorders>
              <w:top w:val="single" w:sz="8" w:space="0" w:color="F3CFC1"/>
              <w:bottom w:val="single" w:sz="8" w:space="0" w:color="F3CFC1"/>
              <w:right w:val="single" w:sz="8" w:space="0" w:color="D2232A"/>
            </w:tcBorders>
            <w:shd w:val="clear" w:color="auto" w:fill="FFFFFF"/>
            <w:noWrap/>
            <w:vAlign w:val="center"/>
            <w:hideMark/>
          </w:tcPr>
          <w:p w14:paraId="20093347" w14:textId="77777777" w:rsidR="008878A0" w:rsidRPr="00FF0A6F" w:rsidRDefault="008878A0" w:rsidP="001838EE">
            <w:pPr>
              <w:spacing w:after="0"/>
              <w:jc w:val="center"/>
              <w:rPr>
                <w:rFonts w:cstheme="minorHAnsi"/>
                <w:szCs w:val="18"/>
                <w:lang w:eastAsia="hr-HR"/>
              </w:rPr>
            </w:pPr>
            <w:r w:rsidRPr="00FF0A6F">
              <w:rPr>
                <w:rFonts w:cstheme="minorHAnsi"/>
                <w:szCs w:val="18"/>
                <w:lang w:eastAsia="hr-HR"/>
              </w:rPr>
              <w:t>4,69</w:t>
            </w:r>
          </w:p>
        </w:tc>
      </w:tr>
      <w:tr w:rsidR="008878A0" w14:paraId="24B04980" w14:textId="77777777" w:rsidTr="00114CB7">
        <w:trPr>
          <w:trHeight w:val="285"/>
        </w:trPr>
        <w:tc>
          <w:tcPr>
            <w:tcW w:w="1000" w:type="dxa"/>
            <w:tcBorders>
              <w:top w:val="single" w:sz="8" w:space="0" w:color="D2232A"/>
            </w:tcBorders>
            <w:shd w:val="clear" w:color="auto" w:fill="D2232A" w:themeFill="accent1"/>
            <w:vAlign w:val="center"/>
            <w:hideMark/>
          </w:tcPr>
          <w:p w14:paraId="6D4F75B4" w14:textId="65AD710D" w:rsidR="008878A0" w:rsidRDefault="008878A0" w:rsidP="001838EE">
            <w:pPr>
              <w:spacing w:after="0"/>
              <w:jc w:val="center"/>
              <w:rPr>
                <w:rFonts w:cstheme="minorHAnsi"/>
                <w:b/>
                <w:bCs/>
                <w:color w:val="000000"/>
                <w:szCs w:val="18"/>
                <w:lang w:eastAsia="hr-HR"/>
              </w:rPr>
            </w:pPr>
          </w:p>
        </w:tc>
        <w:tc>
          <w:tcPr>
            <w:tcW w:w="5856" w:type="dxa"/>
            <w:tcBorders>
              <w:top w:val="single" w:sz="8" w:space="0" w:color="F3CFC1"/>
            </w:tcBorders>
            <w:shd w:val="clear" w:color="auto" w:fill="FFFFFF"/>
            <w:vAlign w:val="center"/>
            <w:hideMark/>
          </w:tcPr>
          <w:p w14:paraId="1C636BD6" w14:textId="77777777" w:rsidR="008878A0" w:rsidRPr="00FF0A6F" w:rsidRDefault="008878A0" w:rsidP="001838EE">
            <w:pPr>
              <w:spacing w:after="0"/>
              <w:rPr>
                <w:rFonts w:cstheme="minorHAnsi"/>
                <w:b/>
                <w:bCs/>
                <w:szCs w:val="18"/>
                <w:lang w:eastAsia="hr-HR"/>
              </w:rPr>
            </w:pPr>
            <w:r w:rsidRPr="00FF0A6F">
              <w:rPr>
                <w:rFonts w:cstheme="minorHAnsi"/>
                <w:b/>
                <w:bCs/>
                <w:szCs w:val="18"/>
                <w:lang w:eastAsia="hr-HR"/>
              </w:rPr>
              <w:t>Ukupno</w:t>
            </w:r>
          </w:p>
        </w:tc>
        <w:tc>
          <w:tcPr>
            <w:tcW w:w="2292" w:type="dxa"/>
            <w:tcBorders>
              <w:top w:val="single" w:sz="8" w:space="0" w:color="F3CFC1"/>
              <w:right w:val="single" w:sz="8" w:space="0" w:color="D2232A"/>
            </w:tcBorders>
            <w:shd w:val="clear" w:color="auto" w:fill="FFFFFF"/>
            <w:vAlign w:val="center"/>
            <w:hideMark/>
          </w:tcPr>
          <w:p w14:paraId="2D2CA485" w14:textId="77777777" w:rsidR="008878A0" w:rsidRPr="00FF0A6F" w:rsidRDefault="008878A0" w:rsidP="001838EE">
            <w:pPr>
              <w:spacing w:after="0"/>
              <w:jc w:val="center"/>
              <w:rPr>
                <w:rFonts w:cstheme="minorHAnsi"/>
                <w:b/>
                <w:bCs/>
                <w:szCs w:val="18"/>
                <w:lang w:eastAsia="hr-HR"/>
              </w:rPr>
            </w:pPr>
            <w:r w:rsidRPr="00FF0A6F">
              <w:rPr>
                <w:rFonts w:cstheme="minorHAnsi"/>
                <w:b/>
                <w:bCs/>
                <w:szCs w:val="18"/>
                <w:lang w:eastAsia="hr-HR"/>
              </w:rPr>
              <w:t>48,45</w:t>
            </w:r>
          </w:p>
        </w:tc>
      </w:tr>
    </w:tbl>
    <w:p w14:paraId="1A007C68" w14:textId="79A28FB4"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 xml:space="preserve">Izvor: HNB, 2019. </w:t>
      </w:r>
    </w:p>
    <w:p w14:paraId="1FB17182" w14:textId="77777777" w:rsidR="008878A0" w:rsidRDefault="008878A0" w:rsidP="00941871">
      <w:pPr>
        <w:spacing w:line="273" w:lineRule="auto"/>
        <w:ind w:left="116" w:right="72"/>
        <w:rPr>
          <w:rFonts w:eastAsia="Arial Narrow" w:cstheme="minorHAnsi"/>
          <w:spacing w:val="-1"/>
        </w:rPr>
      </w:pPr>
    </w:p>
    <w:p w14:paraId="755C45E4" w14:textId="51345B85" w:rsidR="008878A0" w:rsidRDefault="008878A0" w:rsidP="00941871">
      <w:pPr>
        <w:spacing w:line="273" w:lineRule="auto"/>
        <w:ind w:left="116" w:right="72"/>
        <w:rPr>
          <w:rFonts w:eastAsia="Arial Narrow" w:cstheme="minorHAnsi"/>
        </w:rPr>
      </w:pPr>
      <w:r>
        <w:rPr>
          <w:rFonts w:eastAsia="Arial Narrow" w:cstheme="minorHAnsi"/>
          <w:spacing w:val="-1"/>
        </w:rPr>
        <w:t>Podaci HNB</w:t>
      </w:r>
      <w:r w:rsidR="00FD4CD5">
        <w:rPr>
          <w:rFonts w:eastAsia="Arial Narrow" w:cstheme="minorHAnsi"/>
          <w:spacing w:val="-1"/>
        </w:rPr>
        <w:t>-a za razbolje 2015. do trav</w:t>
      </w:r>
      <w:r>
        <w:rPr>
          <w:rFonts w:eastAsia="Arial Narrow" w:cstheme="minorHAnsi"/>
          <w:spacing w:val="-1"/>
        </w:rPr>
        <w:t>nja 2019.</w:t>
      </w:r>
      <w:r>
        <w:rPr>
          <w:rFonts w:eastAsia="Arial Narrow" w:cstheme="minorHAnsi"/>
        </w:rPr>
        <w:t xml:space="preserve"> </w:t>
      </w:r>
      <w:r>
        <w:rPr>
          <w:rFonts w:eastAsia="Arial Narrow" w:cstheme="minorHAnsi"/>
          <w:spacing w:val="1"/>
        </w:rPr>
        <w:t xml:space="preserve">godine </w:t>
      </w:r>
      <w:r>
        <w:rPr>
          <w:rFonts w:eastAsia="Arial Narrow" w:cstheme="minorHAnsi"/>
        </w:rPr>
        <w:t>pr</w:t>
      </w:r>
      <w:r>
        <w:rPr>
          <w:rFonts w:eastAsia="Arial Narrow" w:cstheme="minorHAnsi"/>
          <w:spacing w:val="-2"/>
        </w:rPr>
        <w:t>i</w:t>
      </w:r>
      <w:r>
        <w:rPr>
          <w:rFonts w:eastAsia="Arial Narrow" w:cstheme="minorHAnsi"/>
          <w:spacing w:val="1"/>
        </w:rPr>
        <w:t>k</w:t>
      </w:r>
      <w:r>
        <w:rPr>
          <w:rFonts w:eastAsia="Arial Narrow" w:cstheme="minorHAnsi"/>
        </w:rPr>
        <w:t>a</w:t>
      </w:r>
      <w:r>
        <w:rPr>
          <w:rFonts w:eastAsia="Arial Narrow" w:cstheme="minorHAnsi"/>
          <w:spacing w:val="1"/>
        </w:rPr>
        <w:t>z</w:t>
      </w:r>
      <w:r>
        <w:rPr>
          <w:rFonts w:eastAsia="Arial Narrow" w:cstheme="minorHAnsi"/>
          <w:spacing w:val="-2"/>
        </w:rPr>
        <w:t>u</w:t>
      </w:r>
      <w:r>
        <w:rPr>
          <w:rFonts w:eastAsia="Arial Narrow" w:cstheme="minorHAnsi"/>
          <w:spacing w:val="1"/>
        </w:rPr>
        <w:t>j</w:t>
      </w:r>
      <w:r>
        <w:rPr>
          <w:rFonts w:eastAsia="Arial Narrow" w:cstheme="minorHAnsi"/>
        </w:rPr>
        <w:t>u</w:t>
      </w:r>
      <w:r>
        <w:rPr>
          <w:rFonts w:eastAsia="Arial Narrow" w:cstheme="minorHAnsi"/>
          <w:spacing w:val="2"/>
        </w:rPr>
        <w:t xml:space="preserve"> da su najveća ulaganja izvršena u djelatnost smještaja, ča</w:t>
      </w:r>
      <w:r w:rsidR="00FD4CD5">
        <w:rPr>
          <w:rFonts w:eastAsia="Arial Narrow" w:cstheme="minorHAnsi"/>
          <w:spacing w:val="2"/>
        </w:rPr>
        <w:t>k 33% od ukupnih ulaganja. Slijede ulaganja</w:t>
      </w:r>
      <w:r>
        <w:rPr>
          <w:rFonts w:eastAsia="Arial Narrow" w:cstheme="minorHAnsi"/>
          <w:spacing w:val="2"/>
        </w:rPr>
        <w:t xml:space="preserve"> u </w:t>
      </w:r>
      <w:r w:rsidR="00FD4CD5">
        <w:rPr>
          <w:rFonts w:eastAsia="Arial Narrow" w:cstheme="minorHAnsi"/>
          <w:spacing w:val="2"/>
        </w:rPr>
        <w:t xml:space="preserve">djelatnost </w:t>
      </w:r>
      <w:r w:rsidR="00FD4CD5">
        <w:rPr>
          <w:rFonts w:cstheme="minorHAnsi"/>
          <w:lang w:eastAsia="hr-HR"/>
        </w:rPr>
        <w:t>Trgovina</w:t>
      </w:r>
      <w:r>
        <w:rPr>
          <w:rFonts w:cstheme="minorHAnsi"/>
          <w:lang w:eastAsia="hr-HR"/>
        </w:rPr>
        <w:t xml:space="preserve"> na malo, osim trgovine motornim vozilima i motociklima</w:t>
      </w:r>
      <w:r w:rsidR="00FD4CD5">
        <w:rPr>
          <w:rFonts w:cstheme="minorHAnsi"/>
          <w:lang w:eastAsia="hr-HR"/>
        </w:rPr>
        <w:t xml:space="preserve"> koja iznose 14,5% od ukupnih ulaganja, zatim ulaganja u djelatnost </w:t>
      </w:r>
      <w:r>
        <w:rPr>
          <w:rFonts w:cstheme="minorHAnsi"/>
          <w:lang w:eastAsia="hr-HR"/>
        </w:rPr>
        <w:t>Skupljanje otpada, djelatnosti obrade i zbrinjavanja otpada;</w:t>
      </w:r>
      <w:r w:rsidR="00FD4CD5">
        <w:rPr>
          <w:rFonts w:cstheme="minorHAnsi"/>
          <w:lang w:eastAsia="hr-HR"/>
        </w:rPr>
        <w:t xml:space="preserve"> oporaba materijala  koja iznose 13,7% te ulaganja u </w:t>
      </w:r>
      <w:r>
        <w:rPr>
          <w:rFonts w:cstheme="minorHAnsi"/>
          <w:lang w:eastAsia="hr-HR"/>
        </w:rPr>
        <w:t xml:space="preserve">djelatnost Proizvodnje papira i proizvoda od papira </w:t>
      </w:r>
      <w:r w:rsidR="00FD4CD5">
        <w:rPr>
          <w:rFonts w:cstheme="minorHAnsi"/>
          <w:lang w:eastAsia="hr-HR"/>
        </w:rPr>
        <w:t xml:space="preserve">s </w:t>
      </w:r>
      <w:r>
        <w:rPr>
          <w:rFonts w:cstheme="minorHAnsi"/>
          <w:lang w:eastAsia="hr-HR"/>
        </w:rPr>
        <w:t>10,5% od ukupnih ulaganja. Sve ostale djelatnosti su ostvarile manje od 10% udjela u ukupnim stranim ulaganjima.</w:t>
      </w:r>
    </w:p>
    <w:p w14:paraId="6FF22879" w14:textId="77777777" w:rsidR="008878A0" w:rsidRDefault="008878A0" w:rsidP="00941871">
      <w:pPr>
        <w:spacing w:line="273" w:lineRule="auto"/>
        <w:ind w:left="116" w:right="72"/>
        <w:rPr>
          <w:rFonts w:eastAsia="Arial Narrow" w:cstheme="minorHAnsi"/>
        </w:rPr>
      </w:pPr>
    </w:p>
    <w:p w14:paraId="3807927C" w14:textId="4720DBF0" w:rsidR="008878A0" w:rsidRDefault="00B601EE" w:rsidP="0052192B">
      <w:pPr>
        <w:pStyle w:val="Naslov2"/>
        <w:rPr>
          <w:rFonts w:eastAsia="Arial Narrow"/>
          <w:w w:val="99"/>
        </w:rPr>
      </w:pPr>
      <w:bookmarkStart w:id="154" w:name="_Toc85181333"/>
      <w:r>
        <w:rPr>
          <w:rFonts w:eastAsia="Arial Narrow"/>
          <w:w w:val="99"/>
        </w:rPr>
        <w:t>10</w:t>
      </w:r>
      <w:r w:rsidR="008878A0">
        <w:rPr>
          <w:rFonts w:eastAsia="Arial Narrow"/>
          <w:w w:val="99"/>
        </w:rPr>
        <w:t>.</w:t>
      </w:r>
      <w:r w:rsidR="007D6366">
        <w:rPr>
          <w:rFonts w:eastAsia="Arial Narrow"/>
          <w:w w:val="99"/>
        </w:rPr>
        <w:t>7</w:t>
      </w:r>
      <w:r w:rsidR="008878A0">
        <w:rPr>
          <w:rFonts w:eastAsia="Arial Narrow"/>
          <w:w w:val="99"/>
        </w:rPr>
        <w:t>.</w:t>
      </w:r>
      <w:r w:rsidR="002337E0">
        <w:rPr>
          <w:rFonts w:eastAsia="Arial Narrow"/>
          <w:w w:val="99"/>
        </w:rPr>
        <w:t>K</w:t>
      </w:r>
      <w:r w:rsidR="002D59EA" w:rsidRPr="002D59EA">
        <w:t>oeficijent specijalizacije</w:t>
      </w:r>
      <w:bookmarkEnd w:id="154"/>
    </w:p>
    <w:p w14:paraId="158B6183" w14:textId="77777777" w:rsidR="008878A0" w:rsidRDefault="008878A0" w:rsidP="00941871">
      <w:pPr>
        <w:ind w:left="116" w:right="72"/>
        <w:rPr>
          <w:rFonts w:eastAsia="Arial Narrow" w:cstheme="minorHAnsi"/>
        </w:rPr>
      </w:pPr>
    </w:p>
    <w:p w14:paraId="1F28967D" w14:textId="300F97A6" w:rsidR="008878A0" w:rsidRDefault="002337E0" w:rsidP="00941871">
      <w:pPr>
        <w:ind w:left="116" w:right="72"/>
        <w:rPr>
          <w:rFonts w:eastAsia="Arial Narrow" w:cstheme="minorHAnsi"/>
        </w:rPr>
      </w:pPr>
      <w:r>
        <w:rPr>
          <w:rFonts w:eastAsia="Arial Narrow" w:cstheme="minorHAnsi"/>
        </w:rPr>
        <w:t xml:space="preserve">Koeficijent </w:t>
      </w:r>
      <w:r w:rsidR="000B4418">
        <w:rPr>
          <w:rFonts w:eastAsia="Arial Narrow" w:cstheme="minorHAnsi"/>
        </w:rPr>
        <w:t>specijalizacije</w:t>
      </w:r>
      <w:r w:rsidR="008878A0">
        <w:rPr>
          <w:rFonts w:eastAsia="Arial Narrow" w:cstheme="minorHAnsi"/>
          <w:spacing w:val="3"/>
        </w:rPr>
        <w:t xml:space="preserve"> </w:t>
      </w:r>
      <w:r w:rsidR="008878A0">
        <w:rPr>
          <w:rFonts w:eastAsia="Arial Narrow" w:cstheme="minorHAnsi"/>
        </w:rPr>
        <w:t>pr</w:t>
      </w:r>
      <w:r w:rsidR="008878A0">
        <w:rPr>
          <w:rFonts w:eastAsia="Arial Narrow" w:cstheme="minorHAnsi"/>
          <w:spacing w:val="-2"/>
        </w:rPr>
        <w:t>i</w:t>
      </w:r>
      <w:r w:rsidR="008878A0">
        <w:rPr>
          <w:rFonts w:eastAsia="Arial Narrow" w:cstheme="minorHAnsi"/>
          <w:spacing w:val="1"/>
        </w:rPr>
        <w:t>k</w:t>
      </w:r>
      <w:r w:rsidR="008878A0">
        <w:rPr>
          <w:rFonts w:eastAsia="Arial Narrow" w:cstheme="minorHAnsi"/>
        </w:rPr>
        <w:t>a</w:t>
      </w:r>
      <w:r w:rsidR="008878A0">
        <w:rPr>
          <w:rFonts w:eastAsia="Arial Narrow" w:cstheme="minorHAnsi"/>
          <w:spacing w:val="-2"/>
        </w:rPr>
        <w:t>z</w:t>
      </w:r>
      <w:r w:rsidR="008878A0">
        <w:rPr>
          <w:rFonts w:eastAsia="Arial Narrow" w:cstheme="minorHAnsi"/>
        </w:rPr>
        <w:t>u</w:t>
      </w:r>
      <w:r w:rsidR="008878A0">
        <w:rPr>
          <w:rFonts w:eastAsia="Arial Narrow" w:cstheme="minorHAnsi"/>
          <w:spacing w:val="-2"/>
        </w:rPr>
        <w:t>j</w:t>
      </w:r>
      <w:r w:rsidR="008878A0">
        <w:rPr>
          <w:rFonts w:eastAsia="Arial Narrow" w:cstheme="minorHAnsi"/>
        </w:rPr>
        <w:t>e</w:t>
      </w:r>
      <w:r w:rsidR="008878A0">
        <w:rPr>
          <w:rFonts w:eastAsia="Arial Narrow" w:cstheme="minorHAnsi"/>
          <w:spacing w:val="3"/>
        </w:rPr>
        <w:t xml:space="preserve"> </w:t>
      </w:r>
      <w:r w:rsidR="00893FFC">
        <w:rPr>
          <w:rFonts w:eastAsia="Arial Narrow" w:cstheme="minorHAnsi"/>
          <w:spacing w:val="1"/>
        </w:rPr>
        <w:t>specijalizaciju</w:t>
      </w:r>
      <w:r w:rsidR="008878A0">
        <w:rPr>
          <w:rFonts w:eastAsia="Arial Narrow" w:cstheme="minorHAnsi"/>
        </w:rPr>
        <w:t xml:space="preserve"> go</w:t>
      </w:r>
      <w:r w:rsidR="008878A0">
        <w:rPr>
          <w:rFonts w:eastAsia="Arial Narrow" w:cstheme="minorHAnsi"/>
          <w:spacing w:val="-2"/>
        </w:rPr>
        <w:t>s</w:t>
      </w:r>
      <w:r w:rsidR="008878A0">
        <w:rPr>
          <w:rFonts w:eastAsia="Arial Narrow" w:cstheme="minorHAnsi"/>
        </w:rPr>
        <w:t>poda</w:t>
      </w:r>
      <w:r w:rsidR="008878A0">
        <w:rPr>
          <w:rFonts w:eastAsia="Arial Narrow" w:cstheme="minorHAnsi"/>
          <w:spacing w:val="-3"/>
        </w:rPr>
        <w:t>r</w:t>
      </w:r>
      <w:r w:rsidR="008878A0">
        <w:rPr>
          <w:rFonts w:eastAsia="Arial Narrow" w:cstheme="minorHAnsi"/>
          <w:spacing w:val="1"/>
        </w:rPr>
        <w:t>s</w:t>
      </w:r>
      <w:r w:rsidR="008878A0">
        <w:rPr>
          <w:rFonts w:eastAsia="Arial Narrow" w:cstheme="minorHAnsi"/>
          <w:spacing w:val="-2"/>
        </w:rPr>
        <w:t>k</w:t>
      </w:r>
      <w:r w:rsidR="008878A0">
        <w:rPr>
          <w:rFonts w:eastAsia="Arial Narrow" w:cstheme="minorHAnsi"/>
        </w:rPr>
        <w:t>og</w:t>
      </w:r>
      <w:r w:rsidR="008878A0">
        <w:rPr>
          <w:rFonts w:eastAsia="Arial Narrow" w:cstheme="minorHAnsi"/>
          <w:spacing w:val="3"/>
        </w:rPr>
        <w:t xml:space="preserve"> </w:t>
      </w:r>
      <w:r w:rsidR="008878A0">
        <w:rPr>
          <w:rFonts w:eastAsia="Arial Narrow" w:cstheme="minorHAnsi"/>
          <w:spacing w:val="1"/>
        </w:rPr>
        <w:t>s</w:t>
      </w:r>
      <w:r w:rsidR="008878A0">
        <w:rPr>
          <w:rFonts w:eastAsia="Arial Narrow" w:cstheme="minorHAnsi"/>
          <w:spacing w:val="-2"/>
        </w:rPr>
        <w:t>e</w:t>
      </w:r>
      <w:r w:rsidR="008878A0">
        <w:rPr>
          <w:rFonts w:eastAsia="Arial Narrow" w:cstheme="minorHAnsi"/>
          <w:spacing w:val="1"/>
        </w:rPr>
        <w:t>k</w:t>
      </w:r>
      <w:r w:rsidR="008878A0">
        <w:rPr>
          <w:rFonts w:eastAsia="Arial Narrow" w:cstheme="minorHAnsi"/>
        </w:rPr>
        <w:t>tora</w:t>
      </w:r>
      <w:r w:rsidR="008878A0">
        <w:rPr>
          <w:rFonts w:eastAsia="Arial Narrow" w:cstheme="minorHAnsi"/>
          <w:spacing w:val="3"/>
        </w:rPr>
        <w:t xml:space="preserve"> </w:t>
      </w:r>
      <w:r w:rsidR="008878A0">
        <w:rPr>
          <w:rFonts w:eastAsia="Arial Narrow" w:cstheme="minorHAnsi"/>
        </w:rPr>
        <w:t xml:space="preserve">u </w:t>
      </w:r>
      <w:r w:rsidR="008878A0">
        <w:rPr>
          <w:rFonts w:eastAsia="Arial Narrow" w:cstheme="minorHAnsi"/>
          <w:spacing w:val="1"/>
        </w:rPr>
        <w:t>l</w:t>
      </w:r>
      <w:r w:rsidR="008878A0">
        <w:rPr>
          <w:rFonts w:eastAsia="Arial Narrow" w:cstheme="minorHAnsi"/>
          <w:spacing w:val="-2"/>
        </w:rPr>
        <w:t>o</w:t>
      </w:r>
      <w:r w:rsidR="008878A0">
        <w:rPr>
          <w:rFonts w:eastAsia="Arial Narrow" w:cstheme="minorHAnsi"/>
          <w:spacing w:val="1"/>
        </w:rPr>
        <w:t>k</w:t>
      </w:r>
      <w:r w:rsidR="008878A0">
        <w:rPr>
          <w:rFonts w:eastAsia="Arial Narrow" w:cstheme="minorHAnsi"/>
        </w:rPr>
        <w:t>a</w:t>
      </w:r>
      <w:r w:rsidR="008878A0">
        <w:rPr>
          <w:rFonts w:eastAsia="Arial Narrow" w:cstheme="minorHAnsi"/>
          <w:spacing w:val="1"/>
        </w:rPr>
        <w:t>l</w:t>
      </w:r>
      <w:r w:rsidR="008878A0">
        <w:rPr>
          <w:rFonts w:eastAsia="Arial Narrow" w:cstheme="minorHAnsi"/>
        </w:rPr>
        <w:t>n</w:t>
      </w:r>
      <w:r w:rsidR="008878A0">
        <w:rPr>
          <w:rFonts w:eastAsia="Arial Narrow" w:cstheme="minorHAnsi"/>
          <w:spacing w:val="-2"/>
        </w:rPr>
        <w:t>o</w:t>
      </w:r>
      <w:r w:rsidR="008878A0">
        <w:rPr>
          <w:rFonts w:eastAsia="Arial Narrow" w:cstheme="minorHAnsi"/>
        </w:rPr>
        <w:t>j</w:t>
      </w:r>
      <w:r w:rsidR="008878A0">
        <w:rPr>
          <w:rFonts w:eastAsia="Arial Narrow" w:cstheme="minorHAnsi"/>
          <w:spacing w:val="3"/>
        </w:rPr>
        <w:t xml:space="preserve"> </w:t>
      </w:r>
      <w:r w:rsidR="008878A0">
        <w:rPr>
          <w:rFonts w:eastAsia="Arial Narrow" w:cstheme="minorHAnsi"/>
        </w:rPr>
        <w:t>e</w:t>
      </w:r>
      <w:r w:rsidR="008878A0">
        <w:rPr>
          <w:rFonts w:eastAsia="Arial Narrow" w:cstheme="minorHAnsi"/>
          <w:spacing w:val="-2"/>
        </w:rPr>
        <w:t>ko</w:t>
      </w:r>
      <w:r w:rsidR="008878A0">
        <w:rPr>
          <w:rFonts w:eastAsia="Arial Narrow" w:cstheme="minorHAnsi"/>
        </w:rPr>
        <w:t>nom</w:t>
      </w:r>
      <w:r w:rsidR="008878A0">
        <w:rPr>
          <w:rFonts w:eastAsia="Arial Narrow" w:cstheme="minorHAnsi"/>
          <w:spacing w:val="1"/>
        </w:rPr>
        <w:t>i</w:t>
      </w:r>
      <w:r w:rsidR="008878A0">
        <w:rPr>
          <w:rFonts w:eastAsia="Arial Narrow" w:cstheme="minorHAnsi"/>
          <w:spacing w:val="-2"/>
        </w:rPr>
        <w:t>j</w:t>
      </w:r>
      <w:r w:rsidR="008878A0">
        <w:rPr>
          <w:rFonts w:eastAsia="Arial Narrow" w:cstheme="minorHAnsi"/>
        </w:rPr>
        <w:t>i</w:t>
      </w:r>
      <w:r w:rsidR="008878A0">
        <w:rPr>
          <w:rFonts w:eastAsia="Arial Narrow" w:cstheme="minorHAnsi"/>
          <w:spacing w:val="3"/>
        </w:rPr>
        <w:t xml:space="preserve"> </w:t>
      </w:r>
      <w:r w:rsidR="008878A0">
        <w:rPr>
          <w:rFonts w:eastAsia="Arial Narrow" w:cstheme="minorHAnsi"/>
        </w:rPr>
        <w:t>u</w:t>
      </w:r>
      <w:r w:rsidR="008878A0">
        <w:rPr>
          <w:rFonts w:eastAsia="Arial Narrow" w:cstheme="minorHAnsi"/>
          <w:spacing w:val="3"/>
        </w:rPr>
        <w:t xml:space="preserve"> </w:t>
      </w:r>
      <w:r w:rsidR="008878A0">
        <w:rPr>
          <w:rFonts w:eastAsia="Arial Narrow" w:cstheme="minorHAnsi"/>
          <w:spacing w:val="-2"/>
        </w:rPr>
        <w:t>o</w:t>
      </w:r>
      <w:r w:rsidR="008878A0">
        <w:rPr>
          <w:rFonts w:eastAsia="Arial Narrow" w:cstheme="minorHAnsi"/>
        </w:rPr>
        <w:t>dno</w:t>
      </w:r>
      <w:r w:rsidR="008878A0">
        <w:rPr>
          <w:rFonts w:eastAsia="Arial Narrow" w:cstheme="minorHAnsi"/>
          <w:spacing w:val="-2"/>
        </w:rPr>
        <w:t>s</w:t>
      </w:r>
      <w:r w:rsidR="008878A0">
        <w:rPr>
          <w:rFonts w:eastAsia="Arial Narrow" w:cstheme="minorHAnsi"/>
        </w:rPr>
        <w:t>u</w:t>
      </w:r>
      <w:r w:rsidR="008878A0">
        <w:rPr>
          <w:rFonts w:eastAsia="Arial Narrow" w:cstheme="minorHAnsi"/>
          <w:spacing w:val="3"/>
        </w:rPr>
        <w:t xml:space="preserve"> </w:t>
      </w:r>
      <w:r w:rsidR="008878A0">
        <w:rPr>
          <w:rFonts w:eastAsia="Arial Narrow" w:cstheme="minorHAnsi"/>
        </w:rPr>
        <w:t>na na</w:t>
      </w:r>
      <w:r w:rsidR="008878A0">
        <w:rPr>
          <w:rFonts w:eastAsia="Arial Narrow" w:cstheme="minorHAnsi"/>
          <w:spacing w:val="1"/>
        </w:rPr>
        <w:t>ci</w:t>
      </w:r>
      <w:r w:rsidR="008878A0">
        <w:rPr>
          <w:rFonts w:eastAsia="Arial Narrow" w:cstheme="minorHAnsi"/>
        </w:rPr>
        <w:t>o</w:t>
      </w:r>
      <w:r w:rsidR="008878A0">
        <w:rPr>
          <w:rFonts w:eastAsia="Arial Narrow" w:cstheme="minorHAnsi"/>
          <w:spacing w:val="-2"/>
        </w:rPr>
        <w:t>n</w:t>
      </w:r>
      <w:r w:rsidR="008878A0">
        <w:rPr>
          <w:rFonts w:eastAsia="Arial Narrow" w:cstheme="minorHAnsi"/>
        </w:rPr>
        <w:t>a</w:t>
      </w:r>
      <w:r w:rsidR="008878A0">
        <w:rPr>
          <w:rFonts w:eastAsia="Arial Narrow" w:cstheme="minorHAnsi"/>
          <w:spacing w:val="1"/>
        </w:rPr>
        <w:t>l</w:t>
      </w:r>
      <w:r w:rsidR="008878A0">
        <w:rPr>
          <w:rFonts w:eastAsia="Arial Narrow" w:cstheme="minorHAnsi"/>
        </w:rPr>
        <w:t>nu/</w:t>
      </w:r>
      <w:r w:rsidR="008878A0">
        <w:rPr>
          <w:rFonts w:eastAsia="Arial Narrow" w:cstheme="minorHAnsi"/>
          <w:spacing w:val="-3"/>
        </w:rPr>
        <w:t>r</w:t>
      </w:r>
      <w:r w:rsidR="008878A0">
        <w:rPr>
          <w:rFonts w:eastAsia="Arial Narrow" w:cstheme="minorHAnsi"/>
        </w:rPr>
        <w:t>eferen</w:t>
      </w:r>
      <w:r w:rsidR="008878A0">
        <w:rPr>
          <w:rFonts w:eastAsia="Arial Narrow" w:cstheme="minorHAnsi"/>
          <w:spacing w:val="-2"/>
        </w:rPr>
        <w:t>t</w:t>
      </w:r>
      <w:r w:rsidR="008878A0">
        <w:rPr>
          <w:rFonts w:eastAsia="Arial Narrow" w:cstheme="minorHAnsi"/>
        </w:rPr>
        <w:t>nu</w:t>
      </w:r>
      <w:r w:rsidR="008878A0">
        <w:rPr>
          <w:rFonts w:eastAsia="Arial Narrow" w:cstheme="minorHAnsi"/>
          <w:spacing w:val="2"/>
        </w:rPr>
        <w:t xml:space="preserve"> </w:t>
      </w:r>
      <w:r w:rsidR="008878A0">
        <w:rPr>
          <w:rFonts w:eastAsia="Arial Narrow" w:cstheme="minorHAnsi"/>
          <w:spacing w:val="-2"/>
        </w:rPr>
        <w:t>e</w:t>
      </w:r>
      <w:r w:rsidR="008878A0">
        <w:rPr>
          <w:rFonts w:eastAsia="Arial Narrow" w:cstheme="minorHAnsi"/>
          <w:spacing w:val="1"/>
        </w:rPr>
        <w:t>k</w:t>
      </w:r>
      <w:r w:rsidR="008878A0">
        <w:rPr>
          <w:rFonts w:eastAsia="Arial Narrow" w:cstheme="minorHAnsi"/>
        </w:rPr>
        <w:t>on</w:t>
      </w:r>
      <w:r w:rsidR="008878A0">
        <w:rPr>
          <w:rFonts w:eastAsia="Arial Narrow" w:cstheme="minorHAnsi"/>
          <w:spacing w:val="-2"/>
        </w:rPr>
        <w:t>o</w:t>
      </w:r>
      <w:r w:rsidR="008878A0">
        <w:rPr>
          <w:rFonts w:eastAsia="Arial Narrow" w:cstheme="minorHAnsi"/>
        </w:rPr>
        <w:t>m</w:t>
      </w:r>
      <w:r w:rsidR="008878A0">
        <w:rPr>
          <w:rFonts w:eastAsia="Arial Narrow" w:cstheme="minorHAnsi"/>
          <w:spacing w:val="1"/>
        </w:rPr>
        <w:t>ij</w:t>
      </w:r>
      <w:r w:rsidR="008878A0">
        <w:rPr>
          <w:rFonts w:eastAsia="Arial Narrow" w:cstheme="minorHAnsi"/>
        </w:rPr>
        <w:t xml:space="preserve">u. </w:t>
      </w:r>
      <w:r w:rsidR="00CD1208">
        <w:rPr>
          <w:rFonts w:eastAsia="Arial Narrow" w:cstheme="minorHAnsi"/>
        </w:rPr>
        <w:t>Kako je ovdje riječ o županijskom gospodarstvu, i</w:t>
      </w:r>
      <w:r w:rsidR="008878A0">
        <w:rPr>
          <w:rFonts w:eastAsia="Arial Narrow" w:cstheme="minorHAnsi"/>
          <w:spacing w:val="1"/>
        </w:rPr>
        <w:t>z</w:t>
      </w:r>
      <w:r w:rsidR="008878A0">
        <w:rPr>
          <w:rFonts w:eastAsia="Arial Narrow" w:cstheme="minorHAnsi"/>
        </w:rPr>
        <w:t>r</w:t>
      </w:r>
      <w:r w:rsidR="008878A0">
        <w:rPr>
          <w:rFonts w:eastAsia="Arial Narrow" w:cstheme="minorHAnsi"/>
          <w:spacing w:val="-2"/>
        </w:rPr>
        <w:t>a</w:t>
      </w:r>
      <w:r w:rsidR="008878A0">
        <w:rPr>
          <w:rFonts w:eastAsia="Arial Narrow" w:cstheme="minorHAnsi"/>
          <w:spacing w:val="1"/>
        </w:rPr>
        <w:t>č</w:t>
      </w:r>
      <w:r w:rsidR="008878A0">
        <w:rPr>
          <w:rFonts w:eastAsia="Arial Narrow" w:cstheme="minorHAnsi"/>
        </w:rPr>
        <w:t>un</w:t>
      </w:r>
      <w:r w:rsidR="008878A0">
        <w:rPr>
          <w:rFonts w:eastAsia="Arial Narrow" w:cstheme="minorHAnsi"/>
          <w:spacing w:val="-2"/>
        </w:rPr>
        <w:t>a</w:t>
      </w:r>
      <w:r w:rsidR="008878A0">
        <w:rPr>
          <w:rFonts w:eastAsia="Arial Narrow" w:cstheme="minorHAnsi"/>
          <w:spacing w:val="1"/>
        </w:rPr>
        <w:t>v</w:t>
      </w:r>
      <w:r w:rsidR="008878A0">
        <w:rPr>
          <w:rFonts w:eastAsia="Arial Narrow" w:cstheme="minorHAnsi"/>
        </w:rPr>
        <w:t xml:space="preserve">a </w:t>
      </w:r>
      <w:r w:rsidR="008878A0">
        <w:rPr>
          <w:rFonts w:eastAsia="Arial Narrow" w:cstheme="minorHAnsi"/>
          <w:spacing w:val="1"/>
        </w:rPr>
        <w:t>s</w:t>
      </w:r>
      <w:r w:rsidR="00477D31">
        <w:rPr>
          <w:rFonts w:eastAsia="Arial Narrow" w:cstheme="minorHAnsi"/>
        </w:rPr>
        <w:t xml:space="preserve">e </w:t>
      </w:r>
      <w:r w:rsidR="00B132D8">
        <w:rPr>
          <w:rFonts w:eastAsia="Arial Narrow" w:cstheme="minorHAnsi"/>
        </w:rPr>
        <w:t xml:space="preserve">tako da se udio </w:t>
      </w:r>
      <w:r w:rsidR="008878A0">
        <w:rPr>
          <w:rFonts w:eastAsia="Arial Narrow" w:cstheme="minorHAnsi"/>
          <w:spacing w:val="1"/>
        </w:rPr>
        <w:t>z</w:t>
      </w:r>
      <w:r w:rsidR="008878A0">
        <w:rPr>
          <w:rFonts w:eastAsia="Arial Narrow" w:cstheme="minorHAnsi"/>
        </w:rPr>
        <w:t>apo</w:t>
      </w:r>
      <w:r w:rsidR="008878A0">
        <w:rPr>
          <w:rFonts w:eastAsia="Arial Narrow" w:cstheme="minorHAnsi"/>
          <w:spacing w:val="-2"/>
        </w:rPr>
        <w:t>s</w:t>
      </w:r>
      <w:r w:rsidR="008878A0">
        <w:rPr>
          <w:rFonts w:eastAsia="Arial Narrow" w:cstheme="minorHAnsi"/>
          <w:spacing w:val="1"/>
        </w:rPr>
        <w:t>l</w:t>
      </w:r>
      <w:r w:rsidR="008878A0">
        <w:rPr>
          <w:rFonts w:eastAsia="Arial Narrow" w:cstheme="minorHAnsi"/>
        </w:rPr>
        <w:t>en</w:t>
      </w:r>
      <w:r w:rsidR="008878A0">
        <w:rPr>
          <w:rFonts w:eastAsia="Arial Narrow" w:cstheme="minorHAnsi"/>
          <w:spacing w:val="-2"/>
        </w:rPr>
        <w:t>i</w:t>
      </w:r>
      <w:r w:rsidR="008878A0">
        <w:rPr>
          <w:rFonts w:eastAsia="Arial Narrow" w:cstheme="minorHAnsi"/>
        </w:rPr>
        <w:t>h</w:t>
      </w:r>
      <w:r w:rsidR="008878A0">
        <w:rPr>
          <w:rFonts w:eastAsia="Arial Narrow" w:cstheme="minorHAnsi"/>
          <w:spacing w:val="2"/>
        </w:rPr>
        <w:t xml:space="preserve"> </w:t>
      </w:r>
      <w:r w:rsidR="008878A0">
        <w:rPr>
          <w:rFonts w:eastAsia="Arial Narrow" w:cstheme="minorHAnsi"/>
        </w:rPr>
        <w:t xml:space="preserve">u </w:t>
      </w:r>
      <w:r w:rsidR="00CD1208">
        <w:rPr>
          <w:rFonts w:eastAsia="Arial Narrow" w:cstheme="minorHAnsi"/>
        </w:rPr>
        <w:t xml:space="preserve">određenom </w:t>
      </w:r>
      <w:r w:rsidR="008878A0">
        <w:rPr>
          <w:rFonts w:eastAsia="Arial Narrow" w:cstheme="minorHAnsi"/>
        </w:rPr>
        <w:t>go</w:t>
      </w:r>
      <w:r w:rsidR="008878A0">
        <w:rPr>
          <w:rFonts w:eastAsia="Arial Narrow" w:cstheme="minorHAnsi"/>
          <w:spacing w:val="-2"/>
        </w:rPr>
        <w:t>s</w:t>
      </w:r>
      <w:r w:rsidR="008878A0">
        <w:rPr>
          <w:rFonts w:eastAsia="Arial Narrow" w:cstheme="minorHAnsi"/>
        </w:rPr>
        <w:t>pod</w:t>
      </w:r>
      <w:r w:rsidR="008878A0">
        <w:rPr>
          <w:rFonts w:eastAsia="Arial Narrow" w:cstheme="minorHAnsi"/>
          <w:spacing w:val="-2"/>
        </w:rPr>
        <w:t>a</w:t>
      </w:r>
      <w:r w:rsidR="008878A0">
        <w:rPr>
          <w:rFonts w:eastAsia="Arial Narrow" w:cstheme="minorHAnsi"/>
        </w:rPr>
        <w:t>r</w:t>
      </w:r>
      <w:r w:rsidR="008878A0">
        <w:rPr>
          <w:rFonts w:eastAsia="Arial Narrow" w:cstheme="minorHAnsi"/>
          <w:spacing w:val="1"/>
        </w:rPr>
        <w:t>sk</w:t>
      </w:r>
      <w:r w:rsidR="008878A0">
        <w:rPr>
          <w:rFonts w:eastAsia="Arial Narrow" w:cstheme="minorHAnsi"/>
        </w:rPr>
        <w:t xml:space="preserve">om </w:t>
      </w:r>
      <w:r w:rsidR="008878A0">
        <w:rPr>
          <w:rFonts w:eastAsia="Arial Narrow" w:cstheme="minorHAnsi"/>
          <w:spacing w:val="1"/>
        </w:rPr>
        <w:t>s</w:t>
      </w:r>
      <w:r w:rsidR="008878A0">
        <w:rPr>
          <w:rFonts w:eastAsia="Arial Narrow" w:cstheme="minorHAnsi"/>
          <w:spacing w:val="-2"/>
        </w:rPr>
        <w:t>e</w:t>
      </w:r>
      <w:r w:rsidR="008878A0">
        <w:rPr>
          <w:rFonts w:eastAsia="Arial Narrow" w:cstheme="minorHAnsi"/>
          <w:spacing w:val="1"/>
        </w:rPr>
        <w:t>k</w:t>
      </w:r>
      <w:r w:rsidR="00380F6B">
        <w:rPr>
          <w:rFonts w:eastAsia="Arial Narrow" w:cstheme="minorHAnsi"/>
        </w:rPr>
        <w:t>toru</w:t>
      </w:r>
      <w:r w:rsidR="008878A0">
        <w:rPr>
          <w:rFonts w:eastAsia="Arial Narrow" w:cstheme="minorHAnsi"/>
          <w:spacing w:val="2"/>
        </w:rPr>
        <w:t xml:space="preserve"> </w:t>
      </w:r>
      <w:r w:rsidR="00380F6B">
        <w:rPr>
          <w:rFonts w:eastAsia="Arial Narrow" w:cstheme="minorHAnsi"/>
          <w:spacing w:val="2"/>
        </w:rPr>
        <w:t>u ukupn</w:t>
      </w:r>
      <w:r w:rsidR="00B132D8">
        <w:rPr>
          <w:rFonts w:eastAsia="Arial Narrow" w:cstheme="minorHAnsi"/>
          <w:spacing w:val="2"/>
        </w:rPr>
        <w:t>om</w:t>
      </w:r>
      <w:r w:rsidR="00380F6B">
        <w:rPr>
          <w:rFonts w:eastAsia="Arial Narrow" w:cstheme="minorHAnsi"/>
          <w:spacing w:val="2"/>
        </w:rPr>
        <w:t xml:space="preserve"> </w:t>
      </w:r>
      <w:r w:rsidR="008878A0">
        <w:rPr>
          <w:rFonts w:eastAsia="Arial Narrow" w:cstheme="minorHAnsi"/>
        </w:rPr>
        <w:t>bro</w:t>
      </w:r>
      <w:r w:rsidR="008878A0">
        <w:rPr>
          <w:rFonts w:eastAsia="Arial Narrow" w:cstheme="minorHAnsi"/>
          <w:spacing w:val="1"/>
        </w:rPr>
        <w:t>j</w:t>
      </w:r>
      <w:r w:rsidR="00B132D8">
        <w:rPr>
          <w:rFonts w:eastAsia="Arial Narrow" w:cstheme="minorHAnsi"/>
          <w:spacing w:val="1"/>
        </w:rPr>
        <w:t>u</w:t>
      </w:r>
      <w:r w:rsidR="008878A0">
        <w:rPr>
          <w:rFonts w:eastAsia="Arial Narrow" w:cstheme="minorHAnsi"/>
          <w:spacing w:val="-4"/>
        </w:rPr>
        <w:t xml:space="preserve"> </w:t>
      </w:r>
      <w:r w:rsidR="008878A0">
        <w:rPr>
          <w:rFonts w:eastAsia="Arial Narrow" w:cstheme="minorHAnsi"/>
          <w:spacing w:val="1"/>
        </w:rPr>
        <w:t>z</w:t>
      </w:r>
      <w:r w:rsidR="008878A0">
        <w:rPr>
          <w:rFonts w:eastAsia="Arial Narrow" w:cstheme="minorHAnsi"/>
        </w:rPr>
        <w:t>ap</w:t>
      </w:r>
      <w:r w:rsidR="008878A0">
        <w:rPr>
          <w:rFonts w:eastAsia="Arial Narrow" w:cstheme="minorHAnsi"/>
          <w:spacing w:val="-2"/>
        </w:rPr>
        <w:t>o</w:t>
      </w:r>
      <w:r w:rsidR="008878A0">
        <w:rPr>
          <w:rFonts w:eastAsia="Arial Narrow" w:cstheme="minorHAnsi"/>
          <w:spacing w:val="1"/>
        </w:rPr>
        <w:t>sl</w:t>
      </w:r>
      <w:r w:rsidR="008878A0">
        <w:rPr>
          <w:rFonts w:eastAsia="Arial Narrow" w:cstheme="minorHAnsi"/>
        </w:rPr>
        <w:t>e</w:t>
      </w:r>
      <w:r w:rsidR="008878A0">
        <w:rPr>
          <w:rFonts w:eastAsia="Arial Narrow" w:cstheme="minorHAnsi"/>
          <w:spacing w:val="-2"/>
        </w:rPr>
        <w:t>n</w:t>
      </w:r>
      <w:r w:rsidR="008878A0">
        <w:rPr>
          <w:rFonts w:eastAsia="Arial Narrow" w:cstheme="minorHAnsi"/>
          <w:spacing w:val="1"/>
        </w:rPr>
        <w:t>i</w:t>
      </w:r>
      <w:r w:rsidR="008878A0">
        <w:rPr>
          <w:rFonts w:eastAsia="Arial Narrow" w:cstheme="minorHAnsi"/>
        </w:rPr>
        <w:t>h</w:t>
      </w:r>
      <w:r w:rsidR="008878A0">
        <w:rPr>
          <w:rFonts w:eastAsia="Arial Narrow" w:cstheme="minorHAnsi"/>
          <w:spacing w:val="-2"/>
        </w:rPr>
        <w:t xml:space="preserve"> </w:t>
      </w:r>
      <w:r w:rsidR="00CD1208">
        <w:rPr>
          <w:rFonts w:eastAsia="Arial Narrow" w:cstheme="minorHAnsi"/>
          <w:spacing w:val="-2"/>
        </w:rPr>
        <w:t>gospodarstv</w:t>
      </w:r>
      <w:r w:rsidR="00B132D8">
        <w:rPr>
          <w:rFonts w:eastAsia="Arial Narrow" w:cstheme="minorHAnsi"/>
          <w:spacing w:val="-2"/>
        </w:rPr>
        <w:t>a</w:t>
      </w:r>
      <w:r w:rsidR="00CD1208">
        <w:rPr>
          <w:rFonts w:eastAsia="Arial Narrow" w:cstheme="minorHAnsi"/>
          <w:spacing w:val="-2"/>
        </w:rPr>
        <w:t xml:space="preserve"> županije </w:t>
      </w:r>
      <w:r w:rsidR="008878A0">
        <w:rPr>
          <w:rFonts w:eastAsia="Arial Narrow" w:cstheme="minorHAnsi"/>
          <w:spacing w:val="-1"/>
        </w:rPr>
        <w:t xml:space="preserve"> </w:t>
      </w:r>
      <w:r w:rsidR="00B132D8">
        <w:rPr>
          <w:rFonts w:eastAsia="Arial Narrow" w:cstheme="minorHAnsi"/>
          <w:spacing w:val="-2"/>
        </w:rPr>
        <w:t xml:space="preserve">stavlja </w:t>
      </w:r>
      <w:r w:rsidR="008878A0">
        <w:rPr>
          <w:rFonts w:eastAsia="Arial Narrow" w:cstheme="minorHAnsi"/>
        </w:rPr>
        <w:t>u</w:t>
      </w:r>
      <w:r w:rsidR="008878A0">
        <w:rPr>
          <w:rFonts w:eastAsia="Arial Narrow" w:cstheme="minorHAnsi"/>
          <w:spacing w:val="-4"/>
        </w:rPr>
        <w:t xml:space="preserve"> </w:t>
      </w:r>
      <w:r w:rsidR="008878A0">
        <w:rPr>
          <w:rFonts w:eastAsia="Arial Narrow" w:cstheme="minorHAnsi"/>
        </w:rPr>
        <w:t>odn</w:t>
      </w:r>
      <w:r w:rsidR="008878A0">
        <w:rPr>
          <w:rFonts w:eastAsia="Arial Narrow" w:cstheme="minorHAnsi"/>
          <w:spacing w:val="-2"/>
        </w:rPr>
        <w:t>o</w:t>
      </w:r>
      <w:r w:rsidR="008878A0">
        <w:rPr>
          <w:rFonts w:eastAsia="Arial Narrow" w:cstheme="minorHAnsi"/>
          <w:spacing w:val="1"/>
        </w:rPr>
        <w:t>s</w:t>
      </w:r>
      <w:r w:rsidR="008878A0">
        <w:rPr>
          <w:rFonts w:eastAsia="Arial Narrow" w:cstheme="minorHAnsi"/>
          <w:spacing w:val="-2"/>
        </w:rPr>
        <w:t xml:space="preserve"> </w:t>
      </w:r>
      <w:r w:rsidR="00B132D8">
        <w:rPr>
          <w:rFonts w:eastAsia="Arial Narrow" w:cstheme="minorHAnsi"/>
          <w:spacing w:val="-2"/>
        </w:rPr>
        <w:t xml:space="preserve">s udjelom </w:t>
      </w:r>
      <w:r w:rsidR="008878A0">
        <w:rPr>
          <w:rFonts w:eastAsia="Arial Narrow" w:cstheme="minorHAnsi"/>
          <w:spacing w:val="-4"/>
        </w:rPr>
        <w:t xml:space="preserve"> </w:t>
      </w:r>
      <w:r w:rsidR="008878A0">
        <w:rPr>
          <w:rFonts w:eastAsia="Arial Narrow" w:cstheme="minorHAnsi"/>
          <w:spacing w:val="1"/>
        </w:rPr>
        <w:t>z</w:t>
      </w:r>
      <w:r w:rsidR="008878A0">
        <w:rPr>
          <w:rFonts w:eastAsia="Arial Narrow" w:cstheme="minorHAnsi"/>
        </w:rPr>
        <w:t>apo</w:t>
      </w:r>
      <w:r w:rsidR="008878A0">
        <w:rPr>
          <w:rFonts w:eastAsia="Arial Narrow" w:cstheme="minorHAnsi"/>
          <w:spacing w:val="-2"/>
        </w:rPr>
        <w:t>s</w:t>
      </w:r>
      <w:r w:rsidR="008878A0">
        <w:rPr>
          <w:rFonts w:eastAsia="Arial Narrow" w:cstheme="minorHAnsi"/>
          <w:spacing w:val="1"/>
        </w:rPr>
        <w:t>l</w:t>
      </w:r>
      <w:r w:rsidR="008878A0">
        <w:rPr>
          <w:rFonts w:eastAsia="Arial Narrow" w:cstheme="minorHAnsi"/>
        </w:rPr>
        <w:t>en</w:t>
      </w:r>
      <w:r w:rsidR="008878A0">
        <w:rPr>
          <w:rFonts w:eastAsia="Arial Narrow" w:cstheme="minorHAnsi"/>
          <w:spacing w:val="-2"/>
        </w:rPr>
        <w:t>i</w:t>
      </w:r>
      <w:r w:rsidR="008878A0">
        <w:rPr>
          <w:rFonts w:eastAsia="Arial Narrow" w:cstheme="minorHAnsi"/>
        </w:rPr>
        <w:t>h</w:t>
      </w:r>
      <w:r w:rsidR="008878A0">
        <w:rPr>
          <w:rFonts w:eastAsia="Arial Narrow" w:cstheme="minorHAnsi"/>
          <w:spacing w:val="-2"/>
        </w:rPr>
        <w:t xml:space="preserve"> </w:t>
      </w:r>
      <w:r w:rsidR="008878A0">
        <w:rPr>
          <w:rFonts w:eastAsia="Arial Narrow" w:cstheme="minorHAnsi"/>
        </w:rPr>
        <w:t>u</w:t>
      </w:r>
      <w:r w:rsidR="008878A0">
        <w:rPr>
          <w:rFonts w:eastAsia="Arial Narrow" w:cstheme="minorHAnsi"/>
          <w:spacing w:val="-2"/>
        </w:rPr>
        <w:t xml:space="preserve"> </w:t>
      </w:r>
      <w:r w:rsidR="00B132D8">
        <w:rPr>
          <w:rFonts w:eastAsia="Arial Narrow" w:cstheme="minorHAnsi"/>
          <w:spacing w:val="1"/>
        </w:rPr>
        <w:t>t</w:t>
      </w:r>
      <w:r w:rsidR="008878A0">
        <w:rPr>
          <w:rFonts w:eastAsia="Arial Narrow" w:cstheme="minorHAnsi"/>
        </w:rPr>
        <w:t>om</w:t>
      </w:r>
      <w:r w:rsidR="008878A0">
        <w:rPr>
          <w:rFonts w:eastAsia="Arial Narrow" w:cstheme="minorHAnsi"/>
          <w:spacing w:val="-2"/>
        </w:rPr>
        <w:t xml:space="preserve"> g</w:t>
      </w:r>
      <w:r w:rsidR="008878A0">
        <w:rPr>
          <w:rFonts w:eastAsia="Arial Narrow" w:cstheme="minorHAnsi"/>
        </w:rPr>
        <w:t>o</w:t>
      </w:r>
      <w:r w:rsidR="008878A0">
        <w:rPr>
          <w:rFonts w:eastAsia="Arial Narrow" w:cstheme="minorHAnsi"/>
          <w:spacing w:val="1"/>
        </w:rPr>
        <w:t>s</w:t>
      </w:r>
      <w:r w:rsidR="008878A0">
        <w:rPr>
          <w:rFonts w:eastAsia="Arial Narrow" w:cstheme="minorHAnsi"/>
        </w:rPr>
        <w:t>p</w:t>
      </w:r>
      <w:r w:rsidR="008878A0">
        <w:rPr>
          <w:rFonts w:eastAsia="Arial Narrow" w:cstheme="minorHAnsi"/>
          <w:spacing w:val="-2"/>
        </w:rPr>
        <w:t>o</w:t>
      </w:r>
      <w:r w:rsidR="008878A0">
        <w:rPr>
          <w:rFonts w:eastAsia="Arial Narrow" w:cstheme="minorHAnsi"/>
        </w:rPr>
        <w:t>da</w:t>
      </w:r>
      <w:r w:rsidR="008878A0">
        <w:rPr>
          <w:rFonts w:eastAsia="Arial Narrow" w:cstheme="minorHAnsi"/>
          <w:spacing w:val="-3"/>
        </w:rPr>
        <w:t>r</w:t>
      </w:r>
      <w:r w:rsidR="008878A0">
        <w:rPr>
          <w:rFonts w:eastAsia="Arial Narrow" w:cstheme="minorHAnsi"/>
          <w:spacing w:val="1"/>
        </w:rPr>
        <w:t>sk</w:t>
      </w:r>
      <w:r w:rsidR="008878A0">
        <w:rPr>
          <w:rFonts w:eastAsia="Arial Narrow" w:cstheme="minorHAnsi"/>
        </w:rPr>
        <w:t>om</w:t>
      </w:r>
      <w:r w:rsidR="008878A0">
        <w:rPr>
          <w:rFonts w:eastAsia="Arial Narrow" w:cstheme="minorHAnsi"/>
          <w:spacing w:val="-4"/>
        </w:rPr>
        <w:t xml:space="preserve"> </w:t>
      </w:r>
      <w:r w:rsidR="008878A0">
        <w:rPr>
          <w:rFonts w:eastAsia="Arial Narrow" w:cstheme="minorHAnsi"/>
          <w:spacing w:val="1"/>
        </w:rPr>
        <w:t>s</w:t>
      </w:r>
      <w:r w:rsidR="008878A0">
        <w:rPr>
          <w:rFonts w:eastAsia="Arial Narrow" w:cstheme="minorHAnsi"/>
        </w:rPr>
        <w:t>e</w:t>
      </w:r>
      <w:r w:rsidR="008878A0">
        <w:rPr>
          <w:rFonts w:eastAsia="Arial Narrow" w:cstheme="minorHAnsi"/>
          <w:spacing w:val="1"/>
        </w:rPr>
        <w:t>k</w:t>
      </w:r>
      <w:r w:rsidR="008878A0">
        <w:rPr>
          <w:rFonts w:eastAsia="Arial Narrow" w:cstheme="minorHAnsi"/>
          <w:spacing w:val="-2"/>
        </w:rPr>
        <w:t>t</w:t>
      </w:r>
      <w:r w:rsidR="008878A0">
        <w:rPr>
          <w:rFonts w:eastAsia="Arial Narrow" w:cstheme="minorHAnsi"/>
        </w:rPr>
        <w:t>oru</w:t>
      </w:r>
      <w:r w:rsidR="008878A0">
        <w:rPr>
          <w:rFonts w:eastAsia="Arial Narrow" w:cstheme="minorHAnsi"/>
          <w:spacing w:val="-2"/>
        </w:rPr>
        <w:t xml:space="preserve"> </w:t>
      </w:r>
      <w:r w:rsidR="00477D31">
        <w:rPr>
          <w:rFonts w:eastAsia="Arial Narrow" w:cstheme="minorHAnsi"/>
          <w:spacing w:val="1"/>
        </w:rPr>
        <w:t xml:space="preserve">u </w:t>
      </w:r>
      <w:r w:rsidR="008878A0">
        <w:rPr>
          <w:rFonts w:eastAsia="Arial Narrow" w:cstheme="minorHAnsi"/>
        </w:rPr>
        <w:t>u</w:t>
      </w:r>
      <w:r w:rsidR="008878A0">
        <w:rPr>
          <w:rFonts w:eastAsia="Arial Narrow" w:cstheme="minorHAnsi"/>
          <w:spacing w:val="1"/>
        </w:rPr>
        <w:t>k</w:t>
      </w:r>
      <w:r w:rsidR="008878A0">
        <w:rPr>
          <w:rFonts w:eastAsia="Arial Narrow" w:cstheme="minorHAnsi"/>
        </w:rPr>
        <w:t>upn</w:t>
      </w:r>
      <w:r w:rsidR="00B132D8">
        <w:rPr>
          <w:rFonts w:eastAsia="Arial Narrow" w:cstheme="minorHAnsi"/>
        </w:rPr>
        <w:t>om</w:t>
      </w:r>
      <w:r w:rsidR="008878A0">
        <w:rPr>
          <w:rFonts w:eastAsia="Arial Narrow" w:cstheme="minorHAnsi"/>
          <w:spacing w:val="2"/>
        </w:rPr>
        <w:t xml:space="preserve"> </w:t>
      </w:r>
      <w:r w:rsidR="008878A0">
        <w:rPr>
          <w:rFonts w:eastAsia="Arial Narrow" w:cstheme="minorHAnsi"/>
        </w:rPr>
        <w:t>bro</w:t>
      </w:r>
      <w:r w:rsidR="008878A0">
        <w:rPr>
          <w:rFonts w:eastAsia="Arial Narrow" w:cstheme="minorHAnsi"/>
          <w:spacing w:val="1"/>
        </w:rPr>
        <w:t>j</w:t>
      </w:r>
      <w:r w:rsidR="00B132D8">
        <w:rPr>
          <w:rFonts w:eastAsia="Arial Narrow" w:cstheme="minorHAnsi"/>
          <w:spacing w:val="1"/>
        </w:rPr>
        <w:t>u</w:t>
      </w:r>
      <w:r w:rsidR="008878A0">
        <w:rPr>
          <w:rFonts w:eastAsia="Arial Narrow" w:cstheme="minorHAnsi"/>
        </w:rPr>
        <w:t xml:space="preserve"> </w:t>
      </w:r>
      <w:r w:rsidR="008878A0">
        <w:rPr>
          <w:rFonts w:eastAsia="Arial Narrow" w:cstheme="minorHAnsi"/>
          <w:spacing w:val="1"/>
        </w:rPr>
        <w:t>z</w:t>
      </w:r>
      <w:r w:rsidR="008878A0">
        <w:rPr>
          <w:rFonts w:eastAsia="Arial Narrow" w:cstheme="minorHAnsi"/>
        </w:rPr>
        <w:t>ap</w:t>
      </w:r>
      <w:r w:rsidR="008878A0">
        <w:rPr>
          <w:rFonts w:eastAsia="Arial Narrow" w:cstheme="minorHAnsi"/>
          <w:spacing w:val="-2"/>
        </w:rPr>
        <w:t>o</w:t>
      </w:r>
      <w:r w:rsidR="008878A0">
        <w:rPr>
          <w:rFonts w:eastAsia="Arial Narrow" w:cstheme="minorHAnsi"/>
          <w:spacing w:val="1"/>
        </w:rPr>
        <w:t>sl</w:t>
      </w:r>
      <w:r w:rsidR="008878A0">
        <w:rPr>
          <w:rFonts w:eastAsia="Arial Narrow" w:cstheme="minorHAnsi"/>
        </w:rPr>
        <w:t>e</w:t>
      </w:r>
      <w:r w:rsidR="008878A0">
        <w:rPr>
          <w:rFonts w:eastAsia="Arial Narrow" w:cstheme="minorHAnsi"/>
          <w:spacing w:val="-2"/>
        </w:rPr>
        <w:t>n</w:t>
      </w:r>
      <w:r w:rsidR="008878A0">
        <w:rPr>
          <w:rFonts w:eastAsia="Arial Narrow" w:cstheme="minorHAnsi"/>
          <w:spacing w:val="1"/>
        </w:rPr>
        <w:t>i</w:t>
      </w:r>
      <w:r w:rsidR="008878A0">
        <w:rPr>
          <w:rFonts w:eastAsia="Arial Narrow" w:cstheme="minorHAnsi"/>
        </w:rPr>
        <w:t>h</w:t>
      </w:r>
      <w:r w:rsidR="008878A0">
        <w:rPr>
          <w:rFonts w:eastAsia="Arial Narrow" w:cstheme="minorHAnsi"/>
          <w:spacing w:val="2"/>
        </w:rPr>
        <w:t xml:space="preserve"> </w:t>
      </w:r>
      <w:r w:rsidR="00B132D8">
        <w:rPr>
          <w:rFonts w:eastAsia="Arial Narrow" w:cstheme="minorHAnsi"/>
          <w:spacing w:val="2"/>
        </w:rPr>
        <w:t xml:space="preserve">u gospodarstvu RH. </w:t>
      </w:r>
      <w:r w:rsidR="008878A0">
        <w:rPr>
          <w:rFonts w:eastAsia="Arial Narrow" w:cstheme="minorHAnsi"/>
          <w:spacing w:val="-1"/>
        </w:rPr>
        <w:t>R</w:t>
      </w:r>
      <w:r w:rsidR="008878A0">
        <w:rPr>
          <w:rFonts w:eastAsia="Arial Narrow" w:cstheme="minorHAnsi"/>
        </w:rPr>
        <w:t>e</w:t>
      </w:r>
      <w:r w:rsidR="008878A0">
        <w:rPr>
          <w:rFonts w:eastAsia="Arial Narrow" w:cstheme="minorHAnsi"/>
          <w:spacing w:val="1"/>
        </w:rPr>
        <w:t>z</w:t>
      </w:r>
      <w:r w:rsidR="008878A0">
        <w:rPr>
          <w:rFonts w:eastAsia="Arial Narrow" w:cstheme="minorHAnsi"/>
        </w:rPr>
        <w:t>u</w:t>
      </w:r>
      <w:r w:rsidR="008878A0">
        <w:rPr>
          <w:rFonts w:eastAsia="Arial Narrow" w:cstheme="minorHAnsi"/>
          <w:spacing w:val="1"/>
        </w:rPr>
        <w:t>l</w:t>
      </w:r>
      <w:r w:rsidR="008878A0">
        <w:rPr>
          <w:rFonts w:eastAsia="Arial Narrow" w:cstheme="minorHAnsi"/>
        </w:rPr>
        <w:t xml:space="preserve">tat </w:t>
      </w:r>
      <w:r w:rsidR="008878A0">
        <w:rPr>
          <w:rFonts w:eastAsia="Arial Narrow" w:cstheme="minorHAnsi"/>
          <w:spacing w:val="1"/>
        </w:rPr>
        <w:t>v</w:t>
      </w:r>
      <w:r w:rsidR="008878A0">
        <w:rPr>
          <w:rFonts w:eastAsia="Arial Narrow" w:cstheme="minorHAnsi"/>
        </w:rPr>
        <w:t>e</w:t>
      </w:r>
      <w:r w:rsidR="008878A0">
        <w:rPr>
          <w:rFonts w:eastAsia="Arial Narrow" w:cstheme="minorHAnsi"/>
          <w:spacing w:val="-2"/>
        </w:rPr>
        <w:t>ć</w:t>
      </w:r>
      <w:r w:rsidR="008878A0">
        <w:rPr>
          <w:rFonts w:eastAsia="Arial Narrow" w:cstheme="minorHAnsi"/>
        </w:rPr>
        <w:t>i</w:t>
      </w:r>
      <w:r w:rsidR="008878A0">
        <w:rPr>
          <w:rFonts w:eastAsia="Arial Narrow" w:cstheme="minorHAnsi"/>
          <w:spacing w:val="3"/>
        </w:rPr>
        <w:t xml:space="preserve"> </w:t>
      </w:r>
      <w:r w:rsidR="008878A0">
        <w:rPr>
          <w:rFonts w:eastAsia="Arial Narrow" w:cstheme="minorHAnsi"/>
        </w:rPr>
        <w:t>od</w:t>
      </w:r>
      <w:r w:rsidR="008878A0">
        <w:rPr>
          <w:rFonts w:eastAsia="Arial Narrow" w:cstheme="minorHAnsi"/>
          <w:spacing w:val="2"/>
        </w:rPr>
        <w:t xml:space="preserve"> </w:t>
      </w:r>
      <w:r w:rsidR="008878A0">
        <w:rPr>
          <w:rFonts w:eastAsia="Arial Narrow" w:cstheme="minorHAnsi"/>
        </w:rPr>
        <w:t>1</w:t>
      </w:r>
      <w:r w:rsidR="008878A0">
        <w:rPr>
          <w:rFonts w:eastAsia="Arial Narrow" w:cstheme="minorHAnsi"/>
          <w:spacing w:val="2"/>
        </w:rPr>
        <w:t xml:space="preserve"> </w:t>
      </w:r>
      <w:r w:rsidR="008878A0">
        <w:rPr>
          <w:rFonts w:eastAsia="Arial Narrow" w:cstheme="minorHAnsi"/>
          <w:spacing w:val="-2"/>
        </w:rPr>
        <w:t>u</w:t>
      </w:r>
      <w:r w:rsidR="008878A0">
        <w:rPr>
          <w:rFonts w:eastAsia="Arial Narrow" w:cstheme="minorHAnsi"/>
          <w:spacing w:val="1"/>
        </w:rPr>
        <w:t>k</w:t>
      </w:r>
      <w:r w:rsidR="008878A0">
        <w:rPr>
          <w:rFonts w:eastAsia="Arial Narrow" w:cstheme="minorHAnsi"/>
        </w:rPr>
        <w:t>a</w:t>
      </w:r>
      <w:r w:rsidR="008878A0">
        <w:rPr>
          <w:rFonts w:eastAsia="Arial Narrow" w:cstheme="minorHAnsi"/>
          <w:spacing w:val="1"/>
        </w:rPr>
        <w:t>z</w:t>
      </w:r>
      <w:r w:rsidR="008878A0">
        <w:rPr>
          <w:rFonts w:eastAsia="Arial Narrow" w:cstheme="minorHAnsi"/>
          <w:spacing w:val="-2"/>
        </w:rPr>
        <w:t>u</w:t>
      </w:r>
      <w:r w:rsidR="008878A0">
        <w:rPr>
          <w:rFonts w:eastAsia="Arial Narrow" w:cstheme="minorHAnsi"/>
          <w:spacing w:val="1"/>
        </w:rPr>
        <w:t>j</w:t>
      </w:r>
      <w:r w:rsidR="008878A0">
        <w:rPr>
          <w:rFonts w:eastAsia="Arial Narrow" w:cstheme="minorHAnsi"/>
        </w:rPr>
        <w:t>e</w:t>
      </w:r>
      <w:r w:rsidR="008878A0">
        <w:rPr>
          <w:rFonts w:eastAsia="Arial Narrow" w:cstheme="minorHAnsi"/>
          <w:spacing w:val="2"/>
        </w:rPr>
        <w:t xml:space="preserve"> </w:t>
      </w:r>
      <w:r w:rsidR="008878A0">
        <w:rPr>
          <w:rFonts w:eastAsia="Arial Narrow" w:cstheme="minorHAnsi"/>
        </w:rPr>
        <w:t xml:space="preserve">na </w:t>
      </w:r>
      <w:r w:rsidR="002B58C9">
        <w:rPr>
          <w:rFonts w:eastAsia="Arial Narrow" w:cstheme="minorHAnsi"/>
          <w:spacing w:val="1"/>
        </w:rPr>
        <w:t>djelatnosti</w:t>
      </w:r>
      <w:r w:rsidR="008878A0">
        <w:rPr>
          <w:rFonts w:eastAsia="Arial Narrow" w:cstheme="minorHAnsi"/>
        </w:rPr>
        <w:t xml:space="preserve"> </w:t>
      </w:r>
      <w:r w:rsidR="008878A0">
        <w:rPr>
          <w:rFonts w:eastAsia="Arial Narrow" w:cstheme="minorHAnsi"/>
          <w:spacing w:val="1"/>
        </w:rPr>
        <w:t>k</w:t>
      </w:r>
      <w:r w:rsidR="008878A0">
        <w:rPr>
          <w:rFonts w:eastAsia="Arial Narrow" w:cstheme="minorHAnsi"/>
        </w:rPr>
        <w:t>o</w:t>
      </w:r>
      <w:r w:rsidR="008878A0">
        <w:rPr>
          <w:rFonts w:eastAsia="Arial Narrow" w:cstheme="minorHAnsi"/>
          <w:spacing w:val="-2"/>
        </w:rPr>
        <w:t>j</w:t>
      </w:r>
      <w:r w:rsidR="002B58C9">
        <w:rPr>
          <w:rFonts w:eastAsia="Arial Narrow" w:cstheme="minorHAnsi"/>
        </w:rPr>
        <w:t>e</w:t>
      </w:r>
      <w:r w:rsidR="008878A0">
        <w:rPr>
          <w:rFonts w:eastAsia="Arial Narrow" w:cstheme="minorHAnsi"/>
          <w:spacing w:val="3"/>
        </w:rPr>
        <w:t xml:space="preserve"> </w:t>
      </w:r>
      <w:r w:rsidR="008878A0">
        <w:rPr>
          <w:rFonts w:eastAsia="Arial Narrow" w:cstheme="minorHAnsi"/>
          <w:spacing w:val="1"/>
        </w:rPr>
        <w:t>i</w:t>
      </w:r>
      <w:r w:rsidR="008878A0">
        <w:rPr>
          <w:rFonts w:eastAsia="Arial Narrow" w:cstheme="minorHAnsi"/>
          <w:spacing w:val="-2"/>
        </w:rPr>
        <w:t>m</w:t>
      </w:r>
      <w:r w:rsidR="008878A0">
        <w:rPr>
          <w:rFonts w:eastAsia="Arial Narrow" w:cstheme="minorHAnsi"/>
        </w:rPr>
        <w:t>a</w:t>
      </w:r>
      <w:r w:rsidR="008878A0">
        <w:rPr>
          <w:rFonts w:eastAsia="Arial Narrow" w:cstheme="minorHAnsi"/>
          <w:spacing w:val="1"/>
        </w:rPr>
        <w:t>j</w:t>
      </w:r>
      <w:r w:rsidR="008878A0">
        <w:rPr>
          <w:rFonts w:eastAsia="Arial Narrow" w:cstheme="minorHAnsi"/>
        </w:rPr>
        <w:t>u</w:t>
      </w:r>
      <w:r w:rsidR="008878A0">
        <w:rPr>
          <w:rFonts w:eastAsia="Arial Narrow" w:cstheme="minorHAnsi"/>
          <w:spacing w:val="2"/>
        </w:rPr>
        <w:t xml:space="preserve"> </w:t>
      </w:r>
      <w:r w:rsidR="008878A0">
        <w:rPr>
          <w:rFonts w:eastAsia="Arial Narrow" w:cstheme="minorHAnsi"/>
          <w:spacing w:val="-2"/>
        </w:rPr>
        <w:t>v</w:t>
      </w:r>
      <w:r w:rsidR="008878A0">
        <w:rPr>
          <w:rFonts w:eastAsia="Arial Narrow" w:cstheme="minorHAnsi"/>
        </w:rPr>
        <w:t>e</w:t>
      </w:r>
      <w:r w:rsidR="008878A0">
        <w:rPr>
          <w:rFonts w:eastAsia="Arial Narrow" w:cstheme="minorHAnsi"/>
          <w:spacing w:val="-2"/>
        </w:rPr>
        <w:t>ć</w:t>
      </w:r>
      <w:r w:rsidR="008878A0">
        <w:rPr>
          <w:rFonts w:eastAsia="Arial Narrow" w:cstheme="minorHAnsi"/>
        </w:rPr>
        <w:t xml:space="preserve">u </w:t>
      </w:r>
      <w:r w:rsidR="00893FFC">
        <w:rPr>
          <w:rFonts w:eastAsia="Arial Narrow" w:cstheme="minorHAnsi"/>
          <w:spacing w:val="1"/>
        </w:rPr>
        <w:t>specijalizaciju</w:t>
      </w:r>
      <w:r w:rsidR="002B58C9">
        <w:rPr>
          <w:rFonts w:eastAsia="Arial Narrow" w:cstheme="minorHAnsi"/>
          <w:spacing w:val="1"/>
        </w:rPr>
        <w:t xml:space="preserve"> tj. </w:t>
      </w:r>
      <w:r w:rsidR="00C407D8">
        <w:rPr>
          <w:rFonts w:eastAsia="Arial Narrow" w:cstheme="minorHAnsi"/>
          <w:spacing w:val="1"/>
        </w:rPr>
        <w:t xml:space="preserve">relativno </w:t>
      </w:r>
      <w:r w:rsidR="002B58C9">
        <w:rPr>
          <w:rFonts w:eastAsia="Arial Narrow" w:cstheme="minorHAnsi"/>
          <w:spacing w:val="1"/>
        </w:rPr>
        <w:t xml:space="preserve">veću važnost </w:t>
      </w:r>
      <w:r w:rsidR="008878A0">
        <w:rPr>
          <w:rFonts w:eastAsia="Arial Narrow" w:cstheme="minorHAnsi"/>
        </w:rPr>
        <w:t xml:space="preserve">na </w:t>
      </w:r>
      <w:r w:rsidR="00C407D8">
        <w:rPr>
          <w:rFonts w:eastAsia="Arial Narrow" w:cstheme="minorHAnsi"/>
          <w:spacing w:val="1"/>
        </w:rPr>
        <w:t>županijskoj</w:t>
      </w:r>
      <w:r w:rsidR="008878A0">
        <w:rPr>
          <w:rFonts w:eastAsia="Arial Narrow" w:cstheme="minorHAnsi"/>
          <w:spacing w:val="3"/>
        </w:rPr>
        <w:t xml:space="preserve"> </w:t>
      </w:r>
      <w:r w:rsidR="008878A0">
        <w:rPr>
          <w:rFonts w:eastAsia="Arial Narrow" w:cstheme="minorHAnsi"/>
        </w:rPr>
        <w:t>r</w:t>
      </w:r>
      <w:r w:rsidR="008878A0">
        <w:rPr>
          <w:rFonts w:eastAsia="Arial Narrow" w:cstheme="minorHAnsi"/>
          <w:spacing w:val="-2"/>
        </w:rPr>
        <w:t>a</w:t>
      </w:r>
      <w:r w:rsidR="008878A0">
        <w:rPr>
          <w:rFonts w:eastAsia="Arial Narrow" w:cstheme="minorHAnsi"/>
          <w:spacing w:val="1"/>
        </w:rPr>
        <w:t>z</w:t>
      </w:r>
      <w:r w:rsidR="008878A0">
        <w:rPr>
          <w:rFonts w:eastAsia="Arial Narrow" w:cstheme="minorHAnsi"/>
          <w:spacing w:val="-2"/>
        </w:rPr>
        <w:t>i</w:t>
      </w:r>
      <w:r w:rsidR="008878A0">
        <w:rPr>
          <w:rFonts w:eastAsia="Arial Narrow" w:cstheme="minorHAnsi"/>
        </w:rPr>
        <w:t>ni</w:t>
      </w:r>
      <w:r w:rsidR="008878A0">
        <w:rPr>
          <w:rFonts w:eastAsia="Arial Narrow" w:cstheme="minorHAnsi"/>
          <w:spacing w:val="3"/>
        </w:rPr>
        <w:t xml:space="preserve"> </w:t>
      </w:r>
      <w:r w:rsidR="002B58C9">
        <w:rPr>
          <w:rFonts w:eastAsia="Arial Narrow" w:cstheme="minorHAnsi"/>
          <w:spacing w:val="3"/>
        </w:rPr>
        <w:t>u odnosu na nacionalnu razinu.</w:t>
      </w:r>
      <w:r w:rsidR="00C407D8">
        <w:rPr>
          <w:rFonts w:eastAsia="Arial Narrow" w:cstheme="minorHAnsi"/>
          <w:spacing w:val="3"/>
        </w:rPr>
        <w:t xml:space="preserve"> Takve djelatnosti predstavljaju konkurentsku prednost te potencijalnu atraktivnost za </w:t>
      </w:r>
      <w:r>
        <w:rPr>
          <w:rFonts w:eastAsia="Arial Narrow" w:cstheme="minorHAnsi"/>
          <w:spacing w:val="3"/>
        </w:rPr>
        <w:t xml:space="preserve">privlačenje </w:t>
      </w:r>
      <w:r w:rsidR="00C407D8">
        <w:rPr>
          <w:rFonts w:eastAsia="Arial Narrow" w:cstheme="minorHAnsi"/>
          <w:spacing w:val="3"/>
        </w:rPr>
        <w:t>ulaganja.</w:t>
      </w:r>
    </w:p>
    <w:p w14:paraId="2439D983" w14:textId="60A7EF95" w:rsidR="00DC3B9F" w:rsidRDefault="008878A0" w:rsidP="00941871">
      <w:pPr>
        <w:ind w:left="116" w:right="72"/>
        <w:rPr>
          <w:rFonts w:eastAsia="Arial Narrow" w:cstheme="minorHAnsi"/>
          <w:spacing w:val="2"/>
        </w:rPr>
      </w:pPr>
      <w:r>
        <w:rPr>
          <w:rFonts w:eastAsia="Arial Narrow" w:cstheme="minorHAnsi"/>
          <w:spacing w:val="-1"/>
        </w:rPr>
        <w:t>P</w:t>
      </w:r>
      <w:r>
        <w:rPr>
          <w:rFonts w:eastAsia="Arial Narrow" w:cstheme="minorHAnsi"/>
        </w:rPr>
        <w:t>r</w:t>
      </w:r>
      <w:r>
        <w:rPr>
          <w:rFonts w:eastAsia="Arial Narrow" w:cstheme="minorHAnsi"/>
          <w:spacing w:val="1"/>
        </w:rPr>
        <w:t>ilik</w:t>
      </w:r>
      <w:r>
        <w:rPr>
          <w:rFonts w:eastAsia="Arial Narrow" w:cstheme="minorHAnsi"/>
          <w:spacing w:val="-2"/>
        </w:rPr>
        <w:t>o</w:t>
      </w:r>
      <w:r>
        <w:rPr>
          <w:rFonts w:eastAsia="Arial Narrow" w:cstheme="minorHAnsi"/>
        </w:rPr>
        <w:t>m</w:t>
      </w:r>
      <w:r>
        <w:rPr>
          <w:rFonts w:eastAsia="Arial Narrow" w:cstheme="minorHAnsi"/>
          <w:spacing w:val="3"/>
        </w:rPr>
        <w:t xml:space="preserve"> </w:t>
      </w:r>
      <w:r>
        <w:rPr>
          <w:rFonts w:eastAsia="Arial Narrow" w:cstheme="minorHAnsi"/>
          <w:spacing w:val="-2"/>
        </w:rPr>
        <w:t>i</w:t>
      </w:r>
      <w:r>
        <w:rPr>
          <w:rFonts w:eastAsia="Arial Narrow" w:cstheme="minorHAnsi"/>
          <w:spacing w:val="1"/>
        </w:rPr>
        <w:t>z</w:t>
      </w:r>
      <w:r>
        <w:rPr>
          <w:rFonts w:eastAsia="Arial Narrow" w:cstheme="minorHAnsi"/>
        </w:rPr>
        <w:t>ra</w:t>
      </w:r>
      <w:r>
        <w:rPr>
          <w:rFonts w:eastAsia="Arial Narrow" w:cstheme="minorHAnsi"/>
          <w:spacing w:val="1"/>
        </w:rPr>
        <w:t>č</w:t>
      </w:r>
      <w:r>
        <w:rPr>
          <w:rFonts w:eastAsia="Arial Narrow" w:cstheme="minorHAnsi"/>
          <w:spacing w:val="-2"/>
        </w:rPr>
        <w:t>u</w:t>
      </w:r>
      <w:r>
        <w:rPr>
          <w:rFonts w:eastAsia="Arial Narrow" w:cstheme="minorHAnsi"/>
        </w:rPr>
        <w:t>na</w:t>
      </w:r>
      <w:r>
        <w:rPr>
          <w:rFonts w:eastAsia="Arial Narrow" w:cstheme="minorHAnsi"/>
          <w:spacing w:val="3"/>
        </w:rPr>
        <w:t xml:space="preserve"> </w:t>
      </w:r>
      <w:r>
        <w:rPr>
          <w:rFonts w:eastAsia="Arial Narrow" w:cstheme="minorHAnsi"/>
          <w:spacing w:val="1"/>
        </w:rPr>
        <w:t>l</w:t>
      </w:r>
      <w:r>
        <w:rPr>
          <w:rFonts w:eastAsia="Arial Narrow" w:cstheme="minorHAnsi"/>
          <w:spacing w:val="-2"/>
        </w:rPr>
        <w:t>o</w:t>
      </w:r>
      <w:r>
        <w:rPr>
          <w:rFonts w:eastAsia="Arial Narrow" w:cstheme="minorHAnsi"/>
          <w:spacing w:val="1"/>
        </w:rPr>
        <w:t>k</w:t>
      </w:r>
      <w:r>
        <w:rPr>
          <w:rFonts w:eastAsia="Arial Narrow" w:cstheme="minorHAnsi"/>
        </w:rPr>
        <w:t>a</w:t>
      </w:r>
      <w:r>
        <w:rPr>
          <w:rFonts w:eastAsia="Arial Narrow" w:cstheme="minorHAnsi"/>
          <w:spacing w:val="-2"/>
        </w:rPr>
        <w:t>c</w:t>
      </w:r>
      <w:r>
        <w:rPr>
          <w:rFonts w:eastAsia="Arial Narrow" w:cstheme="minorHAnsi"/>
          <w:spacing w:val="1"/>
        </w:rPr>
        <w:t>ij</w:t>
      </w:r>
      <w:r>
        <w:rPr>
          <w:rFonts w:eastAsia="Arial Narrow" w:cstheme="minorHAnsi"/>
          <w:spacing w:val="-2"/>
        </w:rPr>
        <w:t>s</w:t>
      </w:r>
      <w:r>
        <w:rPr>
          <w:rFonts w:eastAsia="Arial Narrow" w:cstheme="minorHAnsi"/>
          <w:spacing w:val="1"/>
        </w:rPr>
        <w:t>k</w:t>
      </w:r>
      <w:r>
        <w:rPr>
          <w:rFonts w:eastAsia="Arial Narrow" w:cstheme="minorHAnsi"/>
        </w:rPr>
        <w:t xml:space="preserve">og </w:t>
      </w:r>
      <w:r>
        <w:rPr>
          <w:rFonts w:eastAsia="Arial Narrow" w:cstheme="minorHAnsi"/>
          <w:spacing w:val="1"/>
        </w:rPr>
        <w:t>kv</w:t>
      </w:r>
      <w:r>
        <w:rPr>
          <w:rFonts w:eastAsia="Arial Narrow" w:cstheme="minorHAnsi"/>
        </w:rPr>
        <w:t>o</w:t>
      </w:r>
      <w:r>
        <w:rPr>
          <w:rFonts w:eastAsia="Arial Narrow" w:cstheme="minorHAnsi"/>
          <w:spacing w:val="-2"/>
        </w:rPr>
        <w:t>c</w:t>
      </w:r>
      <w:r>
        <w:rPr>
          <w:rFonts w:eastAsia="Arial Narrow" w:cstheme="minorHAnsi"/>
          <w:spacing w:val="1"/>
        </w:rPr>
        <w:t>ij</w:t>
      </w:r>
      <w:r>
        <w:rPr>
          <w:rFonts w:eastAsia="Arial Narrow" w:cstheme="minorHAnsi"/>
        </w:rPr>
        <w:t>en</w:t>
      </w:r>
      <w:r>
        <w:rPr>
          <w:rFonts w:eastAsia="Arial Narrow" w:cstheme="minorHAnsi"/>
          <w:spacing w:val="-2"/>
        </w:rPr>
        <w:t>t</w:t>
      </w:r>
      <w:r>
        <w:rPr>
          <w:rFonts w:eastAsia="Arial Narrow" w:cstheme="minorHAnsi"/>
        </w:rPr>
        <w:t>a</w:t>
      </w:r>
      <w:r>
        <w:rPr>
          <w:rFonts w:eastAsia="Arial Narrow" w:cstheme="minorHAnsi"/>
          <w:spacing w:val="3"/>
        </w:rPr>
        <w:t xml:space="preserve"> </w:t>
      </w:r>
      <w:r w:rsidR="00B132D8">
        <w:rPr>
          <w:rFonts w:eastAsia="Arial Narrow" w:cstheme="minorHAnsi"/>
          <w:spacing w:val="3"/>
        </w:rPr>
        <w:t xml:space="preserve">gospodarstva </w:t>
      </w:r>
      <w:r>
        <w:rPr>
          <w:rFonts w:eastAsia="Arial Narrow" w:cstheme="minorHAnsi"/>
          <w:spacing w:val="-1"/>
        </w:rPr>
        <w:t>K</w:t>
      </w:r>
      <w:r>
        <w:rPr>
          <w:rFonts w:eastAsia="Arial Narrow" w:cstheme="minorHAnsi"/>
        </w:rPr>
        <w:t>r</w:t>
      </w:r>
      <w:r>
        <w:rPr>
          <w:rFonts w:eastAsia="Arial Narrow" w:cstheme="minorHAnsi"/>
          <w:spacing w:val="-2"/>
        </w:rPr>
        <w:t>a</w:t>
      </w:r>
      <w:r>
        <w:rPr>
          <w:rFonts w:eastAsia="Arial Narrow" w:cstheme="minorHAnsi"/>
        </w:rPr>
        <w:t>p</w:t>
      </w:r>
      <w:r>
        <w:rPr>
          <w:rFonts w:eastAsia="Arial Narrow" w:cstheme="minorHAnsi"/>
          <w:spacing w:val="1"/>
        </w:rPr>
        <w:t>i</w:t>
      </w:r>
      <w:r>
        <w:rPr>
          <w:rFonts w:eastAsia="Arial Narrow" w:cstheme="minorHAnsi"/>
          <w:spacing w:val="-2"/>
        </w:rPr>
        <w:t>n</w:t>
      </w:r>
      <w:r>
        <w:rPr>
          <w:rFonts w:eastAsia="Arial Narrow" w:cstheme="minorHAnsi"/>
          <w:spacing w:val="1"/>
        </w:rPr>
        <w:t>sk</w:t>
      </w:r>
      <w:r>
        <w:rPr>
          <w:rFonts w:eastAsia="Arial Narrow" w:cstheme="minorHAnsi"/>
        </w:rPr>
        <w:t>o-</w:t>
      </w:r>
      <w:r>
        <w:rPr>
          <w:rFonts w:eastAsia="Arial Narrow" w:cstheme="minorHAnsi"/>
          <w:spacing w:val="-2"/>
        </w:rPr>
        <w:t>z</w:t>
      </w:r>
      <w:r>
        <w:rPr>
          <w:rFonts w:eastAsia="Arial Narrow" w:cstheme="minorHAnsi"/>
        </w:rPr>
        <w:t>agor</w:t>
      </w:r>
      <w:r>
        <w:rPr>
          <w:rFonts w:eastAsia="Arial Narrow" w:cstheme="minorHAnsi"/>
          <w:spacing w:val="-2"/>
        </w:rPr>
        <w:t>s</w:t>
      </w:r>
      <w:r>
        <w:rPr>
          <w:rFonts w:eastAsia="Arial Narrow" w:cstheme="minorHAnsi"/>
          <w:spacing w:val="1"/>
        </w:rPr>
        <w:t>k</w:t>
      </w:r>
      <w:r>
        <w:rPr>
          <w:rFonts w:eastAsia="Arial Narrow" w:cstheme="minorHAnsi"/>
        </w:rPr>
        <w:t>e</w:t>
      </w:r>
      <w:r>
        <w:rPr>
          <w:rFonts w:eastAsia="Arial Narrow" w:cstheme="minorHAnsi"/>
          <w:spacing w:val="3"/>
        </w:rPr>
        <w:t xml:space="preserve"> </w:t>
      </w:r>
      <w:r>
        <w:rPr>
          <w:rFonts w:eastAsia="Arial Narrow" w:cstheme="minorHAnsi"/>
          <w:spacing w:val="-2"/>
        </w:rPr>
        <w:t>ž</w:t>
      </w:r>
      <w:r>
        <w:rPr>
          <w:rFonts w:eastAsia="Arial Narrow" w:cstheme="minorHAnsi"/>
        </w:rPr>
        <w:t>upa</w:t>
      </w:r>
      <w:r>
        <w:rPr>
          <w:rFonts w:eastAsia="Arial Narrow" w:cstheme="minorHAnsi"/>
          <w:spacing w:val="-2"/>
        </w:rPr>
        <w:t>n</w:t>
      </w:r>
      <w:r>
        <w:rPr>
          <w:rFonts w:eastAsia="Arial Narrow" w:cstheme="minorHAnsi"/>
          <w:spacing w:val="1"/>
        </w:rPr>
        <w:t>ij</w:t>
      </w:r>
      <w:r>
        <w:rPr>
          <w:rFonts w:eastAsia="Arial Narrow" w:cstheme="minorHAnsi"/>
        </w:rPr>
        <w:t>e</w:t>
      </w:r>
      <w:r>
        <w:rPr>
          <w:rFonts w:eastAsia="Arial Narrow" w:cstheme="minorHAnsi"/>
          <w:spacing w:val="3"/>
        </w:rPr>
        <w:t xml:space="preserve"> </w:t>
      </w:r>
      <w:r>
        <w:rPr>
          <w:rFonts w:eastAsia="Arial Narrow" w:cstheme="minorHAnsi"/>
        </w:rPr>
        <w:t>u odn</w:t>
      </w:r>
      <w:r>
        <w:rPr>
          <w:rFonts w:eastAsia="Arial Narrow" w:cstheme="minorHAnsi"/>
          <w:spacing w:val="-2"/>
        </w:rPr>
        <w:t>o</w:t>
      </w:r>
      <w:r>
        <w:rPr>
          <w:rFonts w:eastAsia="Arial Narrow" w:cstheme="minorHAnsi"/>
          <w:spacing w:val="1"/>
        </w:rPr>
        <w:t>s</w:t>
      </w:r>
      <w:r>
        <w:rPr>
          <w:rFonts w:eastAsia="Arial Narrow" w:cstheme="minorHAnsi"/>
        </w:rPr>
        <w:t>u</w:t>
      </w:r>
      <w:r>
        <w:rPr>
          <w:rFonts w:eastAsia="Arial Narrow" w:cstheme="minorHAnsi"/>
          <w:spacing w:val="3"/>
        </w:rPr>
        <w:t xml:space="preserve"> </w:t>
      </w:r>
      <w:r>
        <w:rPr>
          <w:rFonts w:eastAsia="Arial Narrow" w:cstheme="minorHAnsi"/>
        </w:rPr>
        <w:t>na</w:t>
      </w:r>
      <w:r>
        <w:rPr>
          <w:rFonts w:eastAsia="Arial Narrow" w:cstheme="minorHAnsi"/>
          <w:spacing w:val="3"/>
        </w:rPr>
        <w:t xml:space="preserve"> </w:t>
      </w:r>
      <w:r>
        <w:rPr>
          <w:rFonts w:eastAsia="Arial Narrow" w:cstheme="minorHAnsi"/>
          <w:spacing w:val="-1"/>
        </w:rPr>
        <w:t>R</w:t>
      </w:r>
      <w:r>
        <w:rPr>
          <w:rFonts w:eastAsia="Arial Narrow" w:cstheme="minorHAnsi"/>
        </w:rPr>
        <w:t>H</w:t>
      </w:r>
      <w:r>
        <w:rPr>
          <w:rFonts w:eastAsia="Arial Narrow" w:cstheme="minorHAnsi"/>
          <w:spacing w:val="1"/>
        </w:rPr>
        <w:t xml:space="preserve"> </w:t>
      </w:r>
      <w:r>
        <w:rPr>
          <w:rFonts w:eastAsia="Arial Narrow" w:cstheme="minorHAnsi"/>
          <w:spacing w:val="-2"/>
        </w:rPr>
        <w:t>k</w:t>
      </w:r>
      <w:r>
        <w:rPr>
          <w:rFonts w:eastAsia="Arial Narrow" w:cstheme="minorHAnsi"/>
        </w:rPr>
        <w:t>or</w:t>
      </w:r>
      <w:r>
        <w:rPr>
          <w:rFonts w:eastAsia="Arial Narrow" w:cstheme="minorHAnsi"/>
          <w:spacing w:val="1"/>
        </w:rPr>
        <w:t>iš</w:t>
      </w:r>
      <w:r>
        <w:rPr>
          <w:rFonts w:eastAsia="Arial Narrow" w:cstheme="minorHAnsi"/>
          <w:spacing w:val="-2"/>
        </w:rPr>
        <w:t>t</w:t>
      </w:r>
      <w:r>
        <w:rPr>
          <w:rFonts w:eastAsia="Arial Narrow" w:cstheme="minorHAnsi"/>
        </w:rPr>
        <w:t>eni</w:t>
      </w:r>
      <w:r>
        <w:rPr>
          <w:rFonts w:eastAsia="Arial Narrow" w:cstheme="minorHAnsi"/>
          <w:spacing w:val="1"/>
        </w:rPr>
        <w:t xml:space="preserve"> </w:t>
      </w:r>
      <w:r>
        <w:rPr>
          <w:rFonts w:eastAsia="Arial Narrow" w:cstheme="minorHAnsi"/>
          <w:spacing w:val="-2"/>
        </w:rPr>
        <w:t>s</w:t>
      </w:r>
      <w:r>
        <w:rPr>
          <w:rFonts w:eastAsia="Arial Narrow" w:cstheme="minorHAnsi"/>
        </w:rPr>
        <w:t>u poda</w:t>
      </w:r>
      <w:r>
        <w:rPr>
          <w:rFonts w:eastAsia="Arial Narrow" w:cstheme="minorHAnsi"/>
          <w:spacing w:val="1"/>
        </w:rPr>
        <w:t>c</w:t>
      </w:r>
      <w:r>
        <w:rPr>
          <w:rFonts w:eastAsia="Arial Narrow" w:cstheme="minorHAnsi"/>
        </w:rPr>
        <w:t>i</w:t>
      </w:r>
      <w:r>
        <w:rPr>
          <w:rFonts w:eastAsia="Arial Narrow" w:cstheme="minorHAnsi"/>
          <w:spacing w:val="1"/>
        </w:rPr>
        <w:t xml:space="preserve"> </w:t>
      </w:r>
      <w:r>
        <w:rPr>
          <w:rFonts w:eastAsia="Arial Narrow" w:cstheme="minorHAnsi"/>
          <w:spacing w:val="-1"/>
        </w:rPr>
        <w:t>D</w:t>
      </w:r>
      <w:r>
        <w:rPr>
          <w:rFonts w:eastAsia="Arial Narrow" w:cstheme="minorHAnsi"/>
        </w:rPr>
        <w:t>r</w:t>
      </w:r>
      <w:r>
        <w:rPr>
          <w:rFonts w:eastAsia="Arial Narrow" w:cstheme="minorHAnsi"/>
          <w:spacing w:val="1"/>
        </w:rPr>
        <w:t>ž</w:t>
      </w:r>
      <w:r>
        <w:rPr>
          <w:rFonts w:eastAsia="Arial Narrow" w:cstheme="minorHAnsi"/>
        </w:rPr>
        <w:t>a</w:t>
      </w:r>
      <w:r>
        <w:rPr>
          <w:rFonts w:eastAsia="Arial Narrow" w:cstheme="minorHAnsi"/>
          <w:spacing w:val="-2"/>
        </w:rPr>
        <w:t>v</w:t>
      </w:r>
      <w:r>
        <w:rPr>
          <w:rFonts w:eastAsia="Arial Narrow" w:cstheme="minorHAnsi"/>
        </w:rPr>
        <w:t>nog</w:t>
      </w:r>
      <w:r>
        <w:rPr>
          <w:rFonts w:eastAsia="Arial Narrow" w:cstheme="minorHAnsi"/>
          <w:spacing w:val="3"/>
        </w:rPr>
        <w:t xml:space="preserve"> </w:t>
      </w:r>
      <w:r>
        <w:rPr>
          <w:rFonts w:eastAsia="Arial Narrow" w:cstheme="minorHAnsi"/>
          <w:spacing w:val="-2"/>
        </w:rPr>
        <w:t>z</w:t>
      </w:r>
      <w:r>
        <w:rPr>
          <w:rFonts w:eastAsia="Arial Narrow" w:cstheme="minorHAnsi"/>
        </w:rPr>
        <w:t>a</w:t>
      </w:r>
      <w:r>
        <w:rPr>
          <w:rFonts w:eastAsia="Arial Narrow" w:cstheme="minorHAnsi"/>
          <w:spacing w:val="1"/>
        </w:rPr>
        <w:t>v</w:t>
      </w:r>
      <w:r>
        <w:rPr>
          <w:rFonts w:eastAsia="Arial Narrow" w:cstheme="minorHAnsi"/>
        </w:rPr>
        <w:t>o</w:t>
      </w:r>
      <w:r>
        <w:rPr>
          <w:rFonts w:eastAsia="Arial Narrow" w:cstheme="minorHAnsi"/>
          <w:spacing w:val="-2"/>
        </w:rPr>
        <w:t>d</w:t>
      </w:r>
      <w:r>
        <w:rPr>
          <w:rFonts w:eastAsia="Arial Narrow" w:cstheme="minorHAnsi"/>
        </w:rPr>
        <w:t>a</w:t>
      </w:r>
      <w:r>
        <w:rPr>
          <w:rFonts w:eastAsia="Arial Narrow" w:cstheme="minorHAnsi"/>
          <w:spacing w:val="3"/>
        </w:rPr>
        <w:t xml:space="preserve"> </w:t>
      </w:r>
      <w:r>
        <w:rPr>
          <w:rFonts w:eastAsia="Arial Narrow" w:cstheme="minorHAnsi"/>
          <w:spacing w:val="1"/>
        </w:rPr>
        <w:t>z</w:t>
      </w:r>
      <w:r>
        <w:rPr>
          <w:rFonts w:eastAsia="Arial Narrow" w:cstheme="minorHAnsi"/>
        </w:rPr>
        <w:t xml:space="preserve">a </w:t>
      </w:r>
      <w:r>
        <w:rPr>
          <w:rFonts w:eastAsia="Arial Narrow" w:cstheme="minorHAnsi"/>
          <w:spacing w:val="1"/>
        </w:rPr>
        <w:t>s</w:t>
      </w:r>
      <w:r>
        <w:rPr>
          <w:rFonts w:eastAsia="Arial Narrow" w:cstheme="minorHAnsi"/>
          <w:spacing w:val="-2"/>
        </w:rPr>
        <w:t>t</w:t>
      </w:r>
      <w:r>
        <w:rPr>
          <w:rFonts w:eastAsia="Arial Narrow" w:cstheme="minorHAnsi"/>
        </w:rPr>
        <w:t>at</w:t>
      </w:r>
      <w:r>
        <w:rPr>
          <w:rFonts w:eastAsia="Arial Narrow" w:cstheme="minorHAnsi"/>
          <w:spacing w:val="1"/>
        </w:rPr>
        <w:t>is</w:t>
      </w:r>
      <w:r>
        <w:rPr>
          <w:rFonts w:eastAsia="Arial Narrow" w:cstheme="minorHAnsi"/>
        </w:rPr>
        <w:t>t</w:t>
      </w:r>
      <w:r>
        <w:rPr>
          <w:rFonts w:eastAsia="Arial Narrow" w:cstheme="minorHAnsi"/>
          <w:spacing w:val="-2"/>
        </w:rPr>
        <w:t>i</w:t>
      </w:r>
      <w:r>
        <w:rPr>
          <w:rFonts w:eastAsia="Arial Narrow" w:cstheme="minorHAnsi"/>
          <w:spacing w:val="1"/>
        </w:rPr>
        <w:t>k</w:t>
      </w:r>
      <w:r>
        <w:rPr>
          <w:rFonts w:eastAsia="Arial Narrow" w:cstheme="minorHAnsi"/>
        </w:rPr>
        <w:t>u</w:t>
      </w:r>
      <w:r>
        <w:rPr>
          <w:rFonts w:eastAsia="Arial Narrow" w:cstheme="minorHAnsi"/>
          <w:spacing w:val="3"/>
        </w:rPr>
        <w:t xml:space="preserve"> </w:t>
      </w:r>
      <w:r>
        <w:rPr>
          <w:rFonts w:eastAsia="Arial Narrow" w:cstheme="minorHAnsi"/>
        </w:rPr>
        <w:t>(</w:t>
      </w:r>
      <w:r>
        <w:rPr>
          <w:rFonts w:eastAsia="Arial Narrow" w:cstheme="minorHAnsi"/>
          <w:spacing w:val="-1"/>
        </w:rPr>
        <w:t>S</w:t>
      </w:r>
      <w:r>
        <w:rPr>
          <w:rFonts w:eastAsia="Arial Narrow" w:cstheme="minorHAnsi"/>
        </w:rPr>
        <w:t>ta</w:t>
      </w:r>
      <w:r>
        <w:rPr>
          <w:rFonts w:eastAsia="Arial Narrow" w:cstheme="minorHAnsi"/>
          <w:spacing w:val="-2"/>
        </w:rPr>
        <w:t>t</w:t>
      </w:r>
      <w:r>
        <w:rPr>
          <w:rFonts w:eastAsia="Arial Narrow" w:cstheme="minorHAnsi"/>
          <w:spacing w:val="1"/>
        </w:rPr>
        <w:t>is</w:t>
      </w:r>
      <w:r>
        <w:rPr>
          <w:rFonts w:eastAsia="Arial Narrow" w:cstheme="minorHAnsi"/>
        </w:rPr>
        <w:t>t</w:t>
      </w:r>
      <w:r>
        <w:rPr>
          <w:rFonts w:eastAsia="Arial Narrow" w:cstheme="minorHAnsi"/>
          <w:spacing w:val="-2"/>
        </w:rPr>
        <w:t>i</w:t>
      </w:r>
      <w:r>
        <w:rPr>
          <w:rFonts w:eastAsia="Arial Narrow" w:cstheme="minorHAnsi"/>
          <w:spacing w:val="1"/>
        </w:rPr>
        <w:t>čk</w:t>
      </w:r>
      <w:r>
        <w:rPr>
          <w:rFonts w:eastAsia="Arial Narrow" w:cstheme="minorHAnsi"/>
        </w:rPr>
        <w:t xml:space="preserve">o </w:t>
      </w:r>
      <w:r>
        <w:rPr>
          <w:rFonts w:eastAsia="Arial Narrow" w:cstheme="minorHAnsi"/>
          <w:spacing w:val="1"/>
        </w:rPr>
        <w:t>i</w:t>
      </w:r>
      <w:r>
        <w:rPr>
          <w:rFonts w:eastAsia="Arial Narrow" w:cstheme="minorHAnsi"/>
          <w:spacing w:val="-2"/>
        </w:rPr>
        <w:t>z</w:t>
      </w:r>
      <w:r>
        <w:rPr>
          <w:rFonts w:eastAsia="Arial Narrow" w:cstheme="minorHAnsi"/>
          <w:spacing w:val="1"/>
        </w:rPr>
        <w:t>vj</w:t>
      </w:r>
      <w:r>
        <w:rPr>
          <w:rFonts w:eastAsia="Arial Narrow" w:cstheme="minorHAnsi"/>
          <w:spacing w:val="-2"/>
        </w:rPr>
        <w:t>e</w:t>
      </w:r>
      <w:r>
        <w:rPr>
          <w:rFonts w:eastAsia="Arial Narrow" w:cstheme="minorHAnsi"/>
          <w:spacing w:val="1"/>
        </w:rPr>
        <w:t>šć</w:t>
      </w:r>
      <w:r>
        <w:rPr>
          <w:rFonts w:eastAsia="Arial Narrow" w:cstheme="minorHAnsi"/>
        </w:rPr>
        <w:t>e</w:t>
      </w:r>
      <w:r>
        <w:rPr>
          <w:rFonts w:eastAsia="Arial Narrow" w:cstheme="minorHAnsi"/>
          <w:spacing w:val="3"/>
        </w:rPr>
        <w:t xml:space="preserve"> </w:t>
      </w:r>
      <w:r w:rsidR="00893FFC">
        <w:rPr>
          <w:rFonts w:eastAsia="Arial Narrow" w:cstheme="minorHAnsi"/>
          <w:spacing w:val="-1"/>
        </w:rPr>
        <w:t>1648/2019</w:t>
      </w:r>
      <w:r>
        <w:rPr>
          <w:rFonts w:eastAsia="Arial Narrow" w:cstheme="minorHAnsi"/>
          <w:spacing w:val="-1"/>
        </w:rPr>
        <w:t>.</w:t>
      </w:r>
      <w:r>
        <w:rPr>
          <w:rFonts w:eastAsia="Arial Narrow" w:cstheme="minorHAnsi"/>
          <w:spacing w:val="3"/>
        </w:rPr>
        <w:t xml:space="preserve"> </w:t>
      </w:r>
      <w:r>
        <w:rPr>
          <w:rFonts w:eastAsia="Arial Narrow" w:cstheme="minorHAnsi"/>
        </w:rPr>
        <w:t>Za</w:t>
      </w:r>
      <w:r>
        <w:rPr>
          <w:rFonts w:eastAsia="Arial Narrow" w:cstheme="minorHAnsi"/>
          <w:spacing w:val="-2"/>
        </w:rPr>
        <w:t>p</w:t>
      </w:r>
      <w:r>
        <w:rPr>
          <w:rFonts w:eastAsia="Arial Narrow" w:cstheme="minorHAnsi"/>
        </w:rPr>
        <w:t>o</w:t>
      </w:r>
      <w:r>
        <w:rPr>
          <w:rFonts w:eastAsia="Arial Narrow" w:cstheme="minorHAnsi"/>
          <w:spacing w:val="1"/>
        </w:rPr>
        <w:t>sl</w:t>
      </w:r>
      <w:r>
        <w:rPr>
          <w:rFonts w:eastAsia="Arial Narrow" w:cstheme="minorHAnsi"/>
          <w:spacing w:val="-2"/>
        </w:rPr>
        <w:t>e</w:t>
      </w:r>
      <w:r>
        <w:rPr>
          <w:rFonts w:eastAsia="Arial Narrow" w:cstheme="minorHAnsi"/>
        </w:rPr>
        <w:t>no</w:t>
      </w:r>
      <w:r>
        <w:rPr>
          <w:rFonts w:eastAsia="Arial Narrow" w:cstheme="minorHAnsi"/>
          <w:spacing w:val="1"/>
        </w:rPr>
        <w:t>s</w:t>
      </w:r>
      <w:r>
        <w:rPr>
          <w:rFonts w:eastAsia="Arial Narrow" w:cstheme="minorHAnsi"/>
        </w:rPr>
        <w:t>t i</w:t>
      </w:r>
      <w:r>
        <w:rPr>
          <w:rFonts w:eastAsia="Arial Narrow" w:cstheme="minorHAnsi"/>
          <w:spacing w:val="3"/>
        </w:rPr>
        <w:t xml:space="preserve"> </w:t>
      </w:r>
      <w:r>
        <w:rPr>
          <w:rFonts w:eastAsia="Arial Narrow" w:cstheme="minorHAnsi"/>
        </w:rPr>
        <w:t>p</w:t>
      </w:r>
      <w:r>
        <w:rPr>
          <w:rFonts w:eastAsia="Arial Narrow" w:cstheme="minorHAnsi"/>
          <w:spacing w:val="-2"/>
        </w:rPr>
        <w:t>l</w:t>
      </w:r>
      <w:r>
        <w:rPr>
          <w:rFonts w:eastAsia="Arial Narrow" w:cstheme="minorHAnsi"/>
        </w:rPr>
        <w:t>a</w:t>
      </w:r>
      <w:r>
        <w:rPr>
          <w:rFonts w:eastAsia="Arial Narrow" w:cstheme="minorHAnsi"/>
          <w:spacing w:val="1"/>
        </w:rPr>
        <w:t>ć</w:t>
      </w:r>
      <w:r>
        <w:rPr>
          <w:rFonts w:eastAsia="Arial Narrow" w:cstheme="minorHAnsi"/>
        </w:rPr>
        <w:t>e u</w:t>
      </w:r>
      <w:r>
        <w:rPr>
          <w:rFonts w:eastAsia="Arial Narrow" w:cstheme="minorHAnsi"/>
          <w:spacing w:val="3"/>
        </w:rPr>
        <w:t xml:space="preserve"> </w:t>
      </w:r>
      <w:r>
        <w:rPr>
          <w:rFonts w:eastAsia="Arial Narrow" w:cstheme="minorHAnsi"/>
          <w:spacing w:val="-2"/>
        </w:rPr>
        <w:t>2</w:t>
      </w:r>
      <w:r>
        <w:rPr>
          <w:rFonts w:eastAsia="Arial Narrow" w:cstheme="minorHAnsi"/>
        </w:rPr>
        <w:t>018.)</w:t>
      </w:r>
      <w:r>
        <w:rPr>
          <w:rFonts w:eastAsia="Arial Narrow" w:cstheme="minorHAnsi"/>
          <w:spacing w:val="2"/>
        </w:rPr>
        <w:t xml:space="preserve"> </w:t>
      </w:r>
      <w:r>
        <w:rPr>
          <w:rFonts w:eastAsia="Arial Narrow" w:cstheme="minorHAnsi"/>
        </w:rPr>
        <w:t xml:space="preserve">o </w:t>
      </w:r>
      <w:r>
        <w:rPr>
          <w:rFonts w:eastAsia="Arial Narrow" w:cstheme="minorHAnsi"/>
          <w:spacing w:val="1"/>
        </w:rPr>
        <w:t>z</w:t>
      </w:r>
      <w:r>
        <w:rPr>
          <w:rFonts w:eastAsia="Arial Narrow" w:cstheme="minorHAnsi"/>
        </w:rPr>
        <w:t>ap</w:t>
      </w:r>
      <w:r>
        <w:rPr>
          <w:rFonts w:eastAsia="Arial Narrow" w:cstheme="minorHAnsi"/>
          <w:spacing w:val="-2"/>
        </w:rPr>
        <w:t>o</w:t>
      </w:r>
      <w:r>
        <w:rPr>
          <w:rFonts w:eastAsia="Arial Narrow" w:cstheme="minorHAnsi"/>
          <w:spacing w:val="1"/>
        </w:rPr>
        <w:t>sl</w:t>
      </w:r>
      <w:r>
        <w:rPr>
          <w:rFonts w:eastAsia="Arial Narrow" w:cstheme="minorHAnsi"/>
        </w:rPr>
        <w:t>e</w:t>
      </w:r>
      <w:r>
        <w:rPr>
          <w:rFonts w:eastAsia="Arial Narrow" w:cstheme="minorHAnsi"/>
          <w:spacing w:val="-2"/>
        </w:rPr>
        <w:t>n</w:t>
      </w:r>
      <w:r>
        <w:rPr>
          <w:rFonts w:eastAsia="Arial Narrow" w:cstheme="minorHAnsi"/>
          <w:spacing w:val="1"/>
        </w:rPr>
        <w:t>i</w:t>
      </w:r>
      <w:r>
        <w:rPr>
          <w:rFonts w:eastAsia="Arial Narrow" w:cstheme="minorHAnsi"/>
        </w:rPr>
        <w:t>ma</w:t>
      </w:r>
      <w:r>
        <w:rPr>
          <w:rFonts w:eastAsia="Arial Narrow" w:cstheme="minorHAnsi"/>
          <w:spacing w:val="2"/>
        </w:rPr>
        <w:t xml:space="preserve"> </w:t>
      </w:r>
      <w:r>
        <w:rPr>
          <w:rFonts w:eastAsia="Arial Narrow" w:cstheme="minorHAnsi"/>
        </w:rPr>
        <w:t>u</w:t>
      </w:r>
      <w:r>
        <w:rPr>
          <w:rFonts w:eastAsia="Arial Narrow" w:cstheme="minorHAnsi"/>
          <w:spacing w:val="2"/>
        </w:rPr>
        <w:t xml:space="preserve"> </w:t>
      </w:r>
      <w:r>
        <w:rPr>
          <w:rFonts w:eastAsia="Arial Narrow" w:cstheme="minorHAnsi"/>
        </w:rPr>
        <w:t>pr</w:t>
      </w:r>
      <w:r>
        <w:rPr>
          <w:rFonts w:eastAsia="Arial Narrow" w:cstheme="minorHAnsi"/>
          <w:spacing w:val="-2"/>
        </w:rPr>
        <w:t>av</w:t>
      </w:r>
      <w:r>
        <w:rPr>
          <w:rFonts w:eastAsia="Arial Narrow" w:cstheme="minorHAnsi"/>
        </w:rPr>
        <w:t>n</w:t>
      </w:r>
      <w:r>
        <w:rPr>
          <w:rFonts w:eastAsia="Arial Narrow" w:cstheme="minorHAnsi"/>
          <w:spacing w:val="1"/>
        </w:rPr>
        <w:t>i</w:t>
      </w:r>
      <w:r>
        <w:rPr>
          <w:rFonts w:eastAsia="Arial Narrow" w:cstheme="minorHAnsi"/>
        </w:rPr>
        <w:t>m</w:t>
      </w:r>
      <w:r>
        <w:rPr>
          <w:rFonts w:eastAsia="Arial Narrow" w:cstheme="minorHAnsi"/>
          <w:spacing w:val="2"/>
        </w:rPr>
        <w:t xml:space="preserve"> </w:t>
      </w:r>
      <w:r>
        <w:rPr>
          <w:rFonts w:eastAsia="Arial Narrow" w:cstheme="minorHAnsi"/>
        </w:rPr>
        <w:t>o</w:t>
      </w:r>
      <w:r>
        <w:rPr>
          <w:rFonts w:eastAsia="Arial Narrow" w:cstheme="minorHAnsi"/>
          <w:spacing w:val="1"/>
        </w:rPr>
        <w:t>s</w:t>
      </w:r>
      <w:r>
        <w:rPr>
          <w:rFonts w:eastAsia="Arial Narrow" w:cstheme="minorHAnsi"/>
          <w:spacing w:val="-2"/>
        </w:rPr>
        <w:t>o</w:t>
      </w:r>
      <w:r>
        <w:rPr>
          <w:rFonts w:eastAsia="Arial Narrow" w:cstheme="minorHAnsi"/>
        </w:rPr>
        <w:t>bama</w:t>
      </w:r>
      <w:r>
        <w:rPr>
          <w:rFonts w:eastAsia="Arial Narrow" w:cstheme="minorHAnsi"/>
          <w:spacing w:val="2"/>
        </w:rPr>
        <w:t xml:space="preserve"> </w:t>
      </w:r>
      <w:r>
        <w:rPr>
          <w:rFonts w:eastAsia="Arial Narrow" w:cstheme="minorHAnsi"/>
        </w:rPr>
        <w:t xml:space="preserve">i </w:t>
      </w:r>
      <w:r>
        <w:rPr>
          <w:rFonts w:eastAsia="Arial Narrow" w:cstheme="minorHAnsi"/>
          <w:spacing w:val="1"/>
        </w:rPr>
        <w:t>z</w:t>
      </w:r>
      <w:r>
        <w:rPr>
          <w:rFonts w:eastAsia="Arial Narrow" w:cstheme="minorHAnsi"/>
        </w:rPr>
        <w:t>ap</w:t>
      </w:r>
      <w:r>
        <w:rPr>
          <w:rFonts w:eastAsia="Arial Narrow" w:cstheme="minorHAnsi"/>
          <w:spacing w:val="-2"/>
        </w:rPr>
        <w:t>o</w:t>
      </w:r>
      <w:r>
        <w:rPr>
          <w:rFonts w:eastAsia="Arial Narrow" w:cstheme="minorHAnsi"/>
          <w:spacing w:val="1"/>
        </w:rPr>
        <w:t>sl</w:t>
      </w:r>
      <w:r>
        <w:rPr>
          <w:rFonts w:eastAsia="Arial Narrow" w:cstheme="minorHAnsi"/>
        </w:rPr>
        <w:t>e</w:t>
      </w:r>
      <w:r>
        <w:rPr>
          <w:rFonts w:eastAsia="Arial Narrow" w:cstheme="minorHAnsi"/>
          <w:spacing w:val="-2"/>
        </w:rPr>
        <w:t>n</w:t>
      </w:r>
      <w:r>
        <w:rPr>
          <w:rFonts w:eastAsia="Arial Narrow" w:cstheme="minorHAnsi"/>
          <w:spacing w:val="1"/>
        </w:rPr>
        <w:t>i</w:t>
      </w:r>
      <w:r>
        <w:rPr>
          <w:rFonts w:eastAsia="Arial Narrow" w:cstheme="minorHAnsi"/>
        </w:rPr>
        <w:t>ma u</w:t>
      </w:r>
      <w:r>
        <w:rPr>
          <w:rFonts w:eastAsia="Arial Narrow" w:cstheme="minorHAnsi"/>
          <w:spacing w:val="2"/>
        </w:rPr>
        <w:t xml:space="preserve"> </w:t>
      </w:r>
      <w:r>
        <w:rPr>
          <w:rFonts w:eastAsia="Arial Narrow" w:cstheme="minorHAnsi"/>
        </w:rPr>
        <w:t>obrtu</w:t>
      </w:r>
      <w:r>
        <w:rPr>
          <w:rFonts w:eastAsia="Arial Narrow" w:cstheme="minorHAnsi"/>
          <w:spacing w:val="2"/>
        </w:rPr>
        <w:t xml:space="preserve"> </w:t>
      </w:r>
      <w:r>
        <w:rPr>
          <w:rFonts w:eastAsia="Arial Narrow" w:cstheme="minorHAnsi"/>
        </w:rPr>
        <w:t>i</w:t>
      </w:r>
      <w:r>
        <w:rPr>
          <w:rFonts w:eastAsia="Arial Narrow" w:cstheme="minorHAnsi"/>
          <w:spacing w:val="2"/>
        </w:rPr>
        <w:t xml:space="preserve"> </w:t>
      </w:r>
      <w:r>
        <w:rPr>
          <w:rFonts w:eastAsia="Arial Narrow" w:cstheme="minorHAnsi"/>
        </w:rPr>
        <w:t>d</w:t>
      </w:r>
      <w:r>
        <w:rPr>
          <w:rFonts w:eastAsia="Arial Narrow" w:cstheme="minorHAnsi"/>
          <w:spacing w:val="1"/>
        </w:rPr>
        <w:t>j</w:t>
      </w:r>
      <w:r>
        <w:rPr>
          <w:rFonts w:eastAsia="Arial Narrow" w:cstheme="minorHAnsi"/>
        </w:rPr>
        <w:t>e</w:t>
      </w:r>
      <w:r>
        <w:rPr>
          <w:rFonts w:eastAsia="Arial Narrow" w:cstheme="minorHAnsi"/>
          <w:spacing w:val="-2"/>
        </w:rPr>
        <w:t>l</w:t>
      </w:r>
      <w:r>
        <w:rPr>
          <w:rFonts w:eastAsia="Arial Narrow" w:cstheme="minorHAnsi"/>
        </w:rPr>
        <w:t>atno</w:t>
      </w:r>
      <w:r>
        <w:rPr>
          <w:rFonts w:eastAsia="Arial Narrow" w:cstheme="minorHAnsi"/>
          <w:spacing w:val="-2"/>
        </w:rPr>
        <w:t>s</w:t>
      </w:r>
      <w:r>
        <w:rPr>
          <w:rFonts w:eastAsia="Arial Narrow" w:cstheme="minorHAnsi"/>
        </w:rPr>
        <w:t>t</w:t>
      </w:r>
      <w:r>
        <w:rPr>
          <w:rFonts w:eastAsia="Arial Narrow" w:cstheme="minorHAnsi"/>
          <w:spacing w:val="1"/>
        </w:rPr>
        <w:t>i</w:t>
      </w:r>
      <w:r>
        <w:rPr>
          <w:rFonts w:eastAsia="Arial Narrow" w:cstheme="minorHAnsi"/>
        </w:rPr>
        <w:t xml:space="preserve">ma </w:t>
      </w:r>
      <w:r>
        <w:rPr>
          <w:rFonts w:eastAsia="Arial Narrow" w:cstheme="minorHAnsi"/>
          <w:spacing w:val="1"/>
        </w:rPr>
        <w:t>sl</w:t>
      </w:r>
      <w:r>
        <w:rPr>
          <w:rFonts w:eastAsia="Arial Narrow" w:cstheme="minorHAnsi"/>
        </w:rPr>
        <w:t>ob</w:t>
      </w:r>
      <w:r>
        <w:rPr>
          <w:rFonts w:eastAsia="Arial Narrow" w:cstheme="minorHAnsi"/>
          <w:spacing w:val="-2"/>
        </w:rPr>
        <w:t>od</w:t>
      </w:r>
      <w:r>
        <w:rPr>
          <w:rFonts w:eastAsia="Arial Narrow" w:cstheme="minorHAnsi"/>
        </w:rPr>
        <w:t>n</w:t>
      </w:r>
      <w:r>
        <w:rPr>
          <w:rFonts w:eastAsia="Arial Narrow" w:cstheme="minorHAnsi"/>
          <w:spacing w:val="1"/>
        </w:rPr>
        <w:t>i</w:t>
      </w:r>
      <w:r>
        <w:rPr>
          <w:rFonts w:eastAsia="Arial Narrow" w:cstheme="minorHAnsi"/>
        </w:rPr>
        <w:t>h</w:t>
      </w:r>
      <w:r>
        <w:rPr>
          <w:rFonts w:eastAsia="Arial Narrow" w:cstheme="minorHAnsi"/>
          <w:spacing w:val="2"/>
        </w:rPr>
        <w:t xml:space="preserve"> </w:t>
      </w:r>
      <w:r>
        <w:rPr>
          <w:rFonts w:eastAsia="Arial Narrow" w:cstheme="minorHAnsi"/>
        </w:rPr>
        <w:t>profe</w:t>
      </w:r>
      <w:r>
        <w:rPr>
          <w:rFonts w:eastAsia="Arial Narrow" w:cstheme="minorHAnsi"/>
          <w:spacing w:val="-2"/>
        </w:rPr>
        <w:t>s</w:t>
      </w:r>
      <w:r>
        <w:rPr>
          <w:rFonts w:eastAsia="Arial Narrow" w:cstheme="minorHAnsi"/>
          <w:spacing w:val="1"/>
        </w:rPr>
        <w:t>ij</w:t>
      </w:r>
      <w:r>
        <w:rPr>
          <w:rFonts w:eastAsia="Arial Narrow" w:cstheme="minorHAnsi"/>
        </w:rPr>
        <w:t>a</w:t>
      </w:r>
      <w:r>
        <w:rPr>
          <w:rFonts w:eastAsia="Arial Narrow" w:cstheme="minorHAnsi"/>
          <w:spacing w:val="2"/>
        </w:rPr>
        <w:t xml:space="preserve"> </w:t>
      </w:r>
      <w:r w:rsidR="00477D31">
        <w:rPr>
          <w:rFonts w:eastAsia="Arial Narrow" w:cstheme="minorHAnsi"/>
          <w:spacing w:val="2"/>
        </w:rPr>
        <w:t>(</w:t>
      </w:r>
      <w:r>
        <w:rPr>
          <w:rFonts w:eastAsia="Arial Narrow" w:cstheme="minorHAnsi"/>
          <w:spacing w:val="-2"/>
        </w:rPr>
        <w:t>s</w:t>
      </w:r>
      <w:r>
        <w:rPr>
          <w:rFonts w:eastAsia="Arial Narrow" w:cstheme="minorHAnsi"/>
        </w:rPr>
        <w:t>tan</w:t>
      </w:r>
      <w:r>
        <w:rPr>
          <w:rFonts w:eastAsia="Arial Narrow" w:cstheme="minorHAnsi"/>
          <w:spacing w:val="1"/>
        </w:rPr>
        <w:t>j</w:t>
      </w:r>
      <w:r>
        <w:rPr>
          <w:rFonts w:eastAsia="Arial Narrow" w:cstheme="minorHAnsi"/>
        </w:rPr>
        <w:t>e</w:t>
      </w:r>
      <w:r>
        <w:rPr>
          <w:rFonts w:eastAsia="Arial Narrow" w:cstheme="minorHAnsi"/>
          <w:spacing w:val="2"/>
        </w:rPr>
        <w:t xml:space="preserve"> </w:t>
      </w:r>
      <w:r w:rsidR="00477D31">
        <w:rPr>
          <w:rFonts w:eastAsia="Arial Narrow" w:cstheme="minorHAnsi"/>
          <w:spacing w:val="2"/>
        </w:rPr>
        <w:t xml:space="preserve">na </w:t>
      </w:r>
      <w:r>
        <w:rPr>
          <w:rFonts w:eastAsia="Arial Narrow" w:cstheme="minorHAnsi"/>
          <w:spacing w:val="-2"/>
        </w:rPr>
        <w:t>3</w:t>
      </w:r>
      <w:r>
        <w:rPr>
          <w:rFonts w:eastAsia="Arial Narrow" w:cstheme="minorHAnsi"/>
        </w:rPr>
        <w:t>1. o</w:t>
      </w:r>
      <w:r>
        <w:rPr>
          <w:rFonts w:eastAsia="Arial Narrow" w:cstheme="minorHAnsi"/>
          <w:spacing w:val="1"/>
        </w:rPr>
        <w:t>ž</w:t>
      </w:r>
      <w:r>
        <w:rPr>
          <w:rFonts w:eastAsia="Arial Narrow" w:cstheme="minorHAnsi"/>
        </w:rPr>
        <w:t>u</w:t>
      </w:r>
      <w:r>
        <w:rPr>
          <w:rFonts w:eastAsia="Arial Narrow" w:cstheme="minorHAnsi"/>
          <w:spacing w:val="1"/>
        </w:rPr>
        <w:t>j</w:t>
      </w:r>
      <w:r>
        <w:rPr>
          <w:rFonts w:eastAsia="Arial Narrow" w:cstheme="minorHAnsi"/>
          <w:spacing w:val="-2"/>
        </w:rPr>
        <w:t>k</w:t>
      </w:r>
      <w:r>
        <w:rPr>
          <w:rFonts w:eastAsia="Arial Narrow" w:cstheme="minorHAnsi"/>
        </w:rPr>
        <w:t>a</w:t>
      </w:r>
      <w:r>
        <w:rPr>
          <w:rFonts w:eastAsia="Arial Narrow" w:cstheme="minorHAnsi"/>
          <w:spacing w:val="2"/>
        </w:rPr>
        <w:t xml:space="preserve"> </w:t>
      </w:r>
      <w:r>
        <w:rPr>
          <w:rFonts w:eastAsia="Arial Narrow" w:cstheme="minorHAnsi"/>
        </w:rPr>
        <w:t>2018.</w:t>
      </w:r>
      <w:r>
        <w:rPr>
          <w:rFonts w:eastAsia="Arial Narrow" w:cstheme="minorHAnsi"/>
          <w:spacing w:val="2"/>
        </w:rPr>
        <w:t xml:space="preserve"> </w:t>
      </w:r>
      <w:r w:rsidR="00477D31">
        <w:rPr>
          <w:rFonts w:eastAsia="Arial Narrow" w:cstheme="minorHAnsi"/>
        </w:rPr>
        <w:t>godine)</w:t>
      </w:r>
      <w:r>
        <w:rPr>
          <w:rFonts w:eastAsia="Arial Narrow" w:cstheme="minorHAnsi"/>
          <w:spacing w:val="2"/>
        </w:rPr>
        <w:t xml:space="preserve"> </w:t>
      </w:r>
      <w:r>
        <w:rPr>
          <w:rFonts w:eastAsia="Arial Narrow" w:cstheme="minorHAnsi"/>
        </w:rPr>
        <w:t>po</w:t>
      </w:r>
      <w:r>
        <w:rPr>
          <w:rFonts w:eastAsia="Arial Narrow" w:cstheme="minorHAnsi"/>
          <w:spacing w:val="2"/>
        </w:rPr>
        <w:t xml:space="preserve"> </w:t>
      </w:r>
      <w:r>
        <w:rPr>
          <w:rFonts w:eastAsia="Arial Narrow" w:cstheme="minorHAnsi"/>
          <w:spacing w:val="1"/>
        </w:rPr>
        <w:t>ž</w:t>
      </w:r>
      <w:r>
        <w:rPr>
          <w:rFonts w:eastAsia="Arial Narrow" w:cstheme="minorHAnsi"/>
          <w:spacing w:val="-2"/>
        </w:rPr>
        <w:t>u</w:t>
      </w:r>
      <w:r>
        <w:rPr>
          <w:rFonts w:eastAsia="Arial Narrow" w:cstheme="minorHAnsi"/>
        </w:rPr>
        <w:t>pan</w:t>
      </w:r>
      <w:r>
        <w:rPr>
          <w:rFonts w:eastAsia="Arial Narrow" w:cstheme="minorHAnsi"/>
          <w:spacing w:val="-2"/>
        </w:rPr>
        <w:t>i</w:t>
      </w:r>
      <w:r>
        <w:rPr>
          <w:rFonts w:eastAsia="Arial Narrow" w:cstheme="minorHAnsi"/>
          <w:spacing w:val="1"/>
        </w:rPr>
        <w:t>j</w:t>
      </w:r>
      <w:r>
        <w:rPr>
          <w:rFonts w:eastAsia="Arial Narrow" w:cstheme="minorHAnsi"/>
        </w:rPr>
        <w:t>a</w:t>
      </w:r>
      <w:r>
        <w:rPr>
          <w:rFonts w:eastAsia="Arial Narrow" w:cstheme="minorHAnsi"/>
          <w:spacing w:val="-2"/>
        </w:rPr>
        <w:t>m</w:t>
      </w:r>
      <w:r>
        <w:rPr>
          <w:rFonts w:eastAsia="Arial Narrow" w:cstheme="minorHAnsi"/>
        </w:rPr>
        <w:t>a.</w:t>
      </w:r>
    </w:p>
    <w:p w14:paraId="73220037" w14:textId="3E7B88BF" w:rsidR="008878A0" w:rsidRDefault="008878A0" w:rsidP="00941871">
      <w:pPr>
        <w:ind w:left="116" w:right="72"/>
        <w:rPr>
          <w:rFonts w:eastAsia="Arial Narrow" w:cstheme="minorHAnsi"/>
        </w:rPr>
      </w:pPr>
      <w:r>
        <w:rPr>
          <w:rFonts w:eastAsia="Arial Narrow" w:cstheme="minorHAnsi"/>
          <w:spacing w:val="-1"/>
        </w:rPr>
        <w:t>K</w:t>
      </w:r>
      <w:r>
        <w:rPr>
          <w:rFonts w:eastAsia="Arial Narrow" w:cstheme="minorHAnsi"/>
        </w:rPr>
        <w:t>od</w:t>
      </w:r>
      <w:r>
        <w:rPr>
          <w:rFonts w:eastAsia="Arial Narrow" w:cstheme="minorHAnsi"/>
          <w:spacing w:val="2"/>
        </w:rPr>
        <w:t xml:space="preserve"> </w:t>
      </w:r>
      <w:r>
        <w:rPr>
          <w:rFonts w:eastAsia="Arial Narrow" w:cstheme="minorHAnsi"/>
          <w:spacing w:val="1"/>
        </w:rPr>
        <w:t>z</w:t>
      </w:r>
      <w:r>
        <w:rPr>
          <w:rFonts w:eastAsia="Arial Narrow" w:cstheme="minorHAnsi"/>
        </w:rPr>
        <w:t>apo</w:t>
      </w:r>
      <w:r>
        <w:rPr>
          <w:rFonts w:eastAsia="Arial Narrow" w:cstheme="minorHAnsi"/>
          <w:spacing w:val="-2"/>
        </w:rPr>
        <w:t>s</w:t>
      </w:r>
      <w:r>
        <w:rPr>
          <w:rFonts w:eastAsia="Arial Narrow" w:cstheme="minorHAnsi"/>
          <w:spacing w:val="1"/>
        </w:rPr>
        <w:t>l</w:t>
      </w:r>
      <w:r>
        <w:rPr>
          <w:rFonts w:eastAsia="Arial Narrow" w:cstheme="minorHAnsi"/>
        </w:rPr>
        <w:t>en</w:t>
      </w:r>
      <w:r>
        <w:rPr>
          <w:rFonts w:eastAsia="Arial Narrow" w:cstheme="minorHAnsi"/>
          <w:spacing w:val="1"/>
        </w:rPr>
        <w:t>i</w:t>
      </w:r>
      <w:r>
        <w:rPr>
          <w:rFonts w:eastAsia="Arial Narrow" w:cstheme="minorHAnsi"/>
        </w:rPr>
        <w:t>h</w:t>
      </w:r>
      <w:r>
        <w:rPr>
          <w:rFonts w:eastAsia="Arial Narrow" w:cstheme="minorHAnsi"/>
          <w:spacing w:val="2"/>
        </w:rPr>
        <w:t xml:space="preserve"> </w:t>
      </w:r>
      <w:r>
        <w:rPr>
          <w:rFonts w:eastAsia="Arial Narrow" w:cstheme="minorHAnsi"/>
        </w:rPr>
        <w:t>u</w:t>
      </w:r>
      <w:r>
        <w:rPr>
          <w:rFonts w:eastAsia="Arial Narrow" w:cstheme="minorHAnsi"/>
          <w:spacing w:val="2"/>
        </w:rPr>
        <w:t xml:space="preserve"> </w:t>
      </w:r>
      <w:r>
        <w:rPr>
          <w:rFonts w:eastAsia="Arial Narrow" w:cstheme="minorHAnsi"/>
        </w:rPr>
        <w:t>pr</w:t>
      </w:r>
      <w:r>
        <w:rPr>
          <w:rFonts w:eastAsia="Arial Narrow" w:cstheme="minorHAnsi"/>
          <w:spacing w:val="-2"/>
        </w:rPr>
        <w:t>a</w:t>
      </w:r>
      <w:r>
        <w:rPr>
          <w:rFonts w:eastAsia="Arial Narrow" w:cstheme="minorHAnsi"/>
          <w:spacing w:val="1"/>
        </w:rPr>
        <w:t>v</w:t>
      </w:r>
      <w:r>
        <w:rPr>
          <w:rFonts w:eastAsia="Arial Narrow" w:cstheme="minorHAnsi"/>
        </w:rPr>
        <w:t>n</w:t>
      </w:r>
      <w:r>
        <w:rPr>
          <w:rFonts w:eastAsia="Arial Narrow" w:cstheme="minorHAnsi"/>
          <w:spacing w:val="-2"/>
        </w:rPr>
        <w:t>i</w:t>
      </w:r>
      <w:r>
        <w:rPr>
          <w:rFonts w:eastAsia="Arial Narrow" w:cstheme="minorHAnsi"/>
        </w:rPr>
        <w:t>m</w:t>
      </w:r>
      <w:r>
        <w:rPr>
          <w:rFonts w:eastAsia="Arial Narrow" w:cstheme="minorHAnsi"/>
          <w:spacing w:val="2"/>
        </w:rPr>
        <w:t xml:space="preserve"> </w:t>
      </w:r>
      <w:r>
        <w:rPr>
          <w:rFonts w:eastAsia="Arial Narrow" w:cstheme="minorHAnsi"/>
        </w:rPr>
        <w:t>o</w:t>
      </w:r>
      <w:r>
        <w:rPr>
          <w:rFonts w:eastAsia="Arial Narrow" w:cstheme="minorHAnsi"/>
          <w:spacing w:val="1"/>
        </w:rPr>
        <w:t>s</w:t>
      </w:r>
      <w:r>
        <w:rPr>
          <w:rFonts w:eastAsia="Arial Narrow" w:cstheme="minorHAnsi"/>
        </w:rPr>
        <w:t>ob</w:t>
      </w:r>
      <w:r>
        <w:rPr>
          <w:rFonts w:eastAsia="Arial Narrow" w:cstheme="minorHAnsi"/>
          <w:spacing w:val="-2"/>
        </w:rPr>
        <w:t>a</w:t>
      </w:r>
      <w:r>
        <w:rPr>
          <w:rFonts w:eastAsia="Arial Narrow" w:cstheme="minorHAnsi"/>
        </w:rPr>
        <w:t>ma i obrtima</w:t>
      </w:r>
      <w:r>
        <w:rPr>
          <w:rFonts w:eastAsia="Arial Narrow" w:cstheme="minorHAnsi"/>
          <w:spacing w:val="2"/>
        </w:rPr>
        <w:t xml:space="preserve"> </w:t>
      </w:r>
      <w:r>
        <w:rPr>
          <w:rFonts w:eastAsia="Arial Narrow" w:cstheme="minorHAnsi"/>
          <w:spacing w:val="1"/>
        </w:rPr>
        <w:t>is</w:t>
      </w:r>
      <w:r>
        <w:rPr>
          <w:rFonts w:eastAsia="Arial Narrow" w:cstheme="minorHAnsi"/>
        </w:rPr>
        <w:t>tr</w:t>
      </w:r>
      <w:r>
        <w:rPr>
          <w:rFonts w:eastAsia="Arial Narrow" w:cstheme="minorHAnsi"/>
          <w:spacing w:val="-2"/>
        </w:rPr>
        <w:t>a</w:t>
      </w:r>
      <w:r>
        <w:rPr>
          <w:rFonts w:eastAsia="Arial Narrow" w:cstheme="minorHAnsi"/>
          <w:spacing w:val="1"/>
        </w:rPr>
        <w:t>ži</w:t>
      </w:r>
      <w:r>
        <w:rPr>
          <w:rFonts w:eastAsia="Arial Narrow" w:cstheme="minorHAnsi"/>
          <w:spacing w:val="-2"/>
        </w:rPr>
        <w:t>v</w:t>
      </w:r>
      <w:r>
        <w:rPr>
          <w:rFonts w:eastAsia="Arial Narrow" w:cstheme="minorHAnsi"/>
        </w:rPr>
        <w:t>an</w:t>
      </w:r>
      <w:r>
        <w:rPr>
          <w:rFonts w:eastAsia="Arial Narrow" w:cstheme="minorHAnsi"/>
          <w:spacing w:val="1"/>
        </w:rPr>
        <w:t>j</w:t>
      </w:r>
      <w:r>
        <w:rPr>
          <w:rFonts w:eastAsia="Arial Narrow" w:cstheme="minorHAnsi"/>
          <w:spacing w:val="-2"/>
        </w:rPr>
        <w:t>e</w:t>
      </w:r>
      <w:r>
        <w:rPr>
          <w:rFonts w:eastAsia="Arial Narrow" w:cstheme="minorHAnsi"/>
        </w:rPr>
        <w:t>m</w:t>
      </w:r>
      <w:r>
        <w:rPr>
          <w:rFonts w:eastAsia="Arial Narrow" w:cstheme="minorHAnsi"/>
          <w:spacing w:val="2"/>
        </w:rPr>
        <w:t xml:space="preserve"> </w:t>
      </w:r>
      <w:r>
        <w:rPr>
          <w:rFonts w:eastAsia="Arial Narrow" w:cstheme="minorHAnsi"/>
        </w:rPr>
        <w:t>n</w:t>
      </w:r>
      <w:r>
        <w:rPr>
          <w:rFonts w:eastAsia="Arial Narrow" w:cstheme="minorHAnsi"/>
          <w:spacing w:val="1"/>
        </w:rPr>
        <w:t>is</w:t>
      </w:r>
      <w:r>
        <w:rPr>
          <w:rFonts w:eastAsia="Arial Narrow" w:cstheme="minorHAnsi"/>
        </w:rPr>
        <w:t>u</w:t>
      </w:r>
      <w:r>
        <w:rPr>
          <w:rFonts w:eastAsia="Arial Narrow" w:cstheme="minorHAnsi"/>
          <w:spacing w:val="2"/>
        </w:rPr>
        <w:t xml:space="preserve"> </w:t>
      </w:r>
      <w:r>
        <w:rPr>
          <w:rFonts w:eastAsia="Arial Narrow" w:cstheme="minorHAnsi"/>
          <w:spacing w:val="-2"/>
        </w:rPr>
        <w:t>o</w:t>
      </w:r>
      <w:r>
        <w:rPr>
          <w:rFonts w:eastAsia="Arial Narrow" w:cstheme="minorHAnsi"/>
        </w:rPr>
        <w:t>buh</w:t>
      </w:r>
      <w:r>
        <w:rPr>
          <w:rFonts w:eastAsia="Arial Narrow" w:cstheme="minorHAnsi"/>
          <w:spacing w:val="1"/>
        </w:rPr>
        <w:t>v</w:t>
      </w:r>
      <w:r>
        <w:rPr>
          <w:rFonts w:eastAsia="Arial Narrow" w:cstheme="minorHAnsi"/>
          <w:spacing w:val="-2"/>
        </w:rPr>
        <w:t>a</w:t>
      </w:r>
      <w:r>
        <w:rPr>
          <w:rFonts w:eastAsia="Arial Narrow" w:cstheme="minorHAnsi"/>
          <w:spacing w:val="1"/>
        </w:rPr>
        <w:t>ć</w:t>
      </w:r>
      <w:r>
        <w:rPr>
          <w:rFonts w:eastAsia="Arial Narrow" w:cstheme="minorHAnsi"/>
        </w:rPr>
        <w:t>ene</w:t>
      </w:r>
      <w:r>
        <w:rPr>
          <w:rFonts w:eastAsia="Arial Narrow" w:cstheme="minorHAnsi"/>
          <w:spacing w:val="2"/>
        </w:rPr>
        <w:t xml:space="preserve"> </w:t>
      </w:r>
      <w:r>
        <w:rPr>
          <w:rFonts w:eastAsia="Arial Narrow" w:cstheme="minorHAnsi"/>
        </w:rPr>
        <w:t>d</w:t>
      </w:r>
      <w:r>
        <w:rPr>
          <w:rFonts w:eastAsia="Arial Narrow" w:cstheme="minorHAnsi"/>
          <w:spacing w:val="1"/>
        </w:rPr>
        <w:t>j</w:t>
      </w:r>
      <w:r>
        <w:rPr>
          <w:rFonts w:eastAsia="Arial Narrow" w:cstheme="minorHAnsi"/>
          <w:spacing w:val="-2"/>
        </w:rPr>
        <w:t>e</w:t>
      </w:r>
      <w:r>
        <w:rPr>
          <w:rFonts w:eastAsia="Arial Narrow" w:cstheme="minorHAnsi"/>
          <w:spacing w:val="1"/>
        </w:rPr>
        <w:t>l</w:t>
      </w:r>
      <w:r>
        <w:rPr>
          <w:rFonts w:eastAsia="Arial Narrow" w:cstheme="minorHAnsi"/>
        </w:rPr>
        <w:t>atn</w:t>
      </w:r>
      <w:r>
        <w:rPr>
          <w:rFonts w:eastAsia="Arial Narrow" w:cstheme="minorHAnsi"/>
          <w:spacing w:val="-2"/>
        </w:rPr>
        <w:t>o</w:t>
      </w:r>
      <w:r>
        <w:rPr>
          <w:rFonts w:eastAsia="Arial Narrow" w:cstheme="minorHAnsi"/>
          <w:spacing w:val="1"/>
        </w:rPr>
        <w:t>s</w:t>
      </w:r>
      <w:r>
        <w:rPr>
          <w:rFonts w:eastAsia="Arial Narrow" w:cstheme="minorHAnsi"/>
        </w:rPr>
        <w:t>ti T (d</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rPr>
        <w:t>at</w:t>
      </w:r>
      <w:r>
        <w:rPr>
          <w:rFonts w:eastAsia="Arial Narrow" w:cstheme="minorHAnsi"/>
          <w:spacing w:val="-2"/>
        </w:rPr>
        <w:t>n</w:t>
      </w:r>
      <w:r>
        <w:rPr>
          <w:rFonts w:eastAsia="Arial Narrow" w:cstheme="minorHAnsi"/>
        </w:rPr>
        <w:t>o</w:t>
      </w:r>
      <w:r>
        <w:rPr>
          <w:rFonts w:eastAsia="Arial Narrow" w:cstheme="minorHAnsi"/>
          <w:spacing w:val="1"/>
        </w:rPr>
        <w:t>s</w:t>
      </w:r>
      <w:r>
        <w:rPr>
          <w:rFonts w:eastAsia="Arial Narrow" w:cstheme="minorHAnsi"/>
        </w:rPr>
        <w:t xml:space="preserve">ti </w:t>
      </w:r>
      <w:r>
        <w:rPr>
          <w:rFonts w:eastAsia="Arial Narrow" w:cstheme="minorHAnsi"/>
          <w:spacing w:val="1"/>
        </w:rPr>
        <w:t>k</w:t>
      </w:r>
      <w:r>
        <w:rPr>
          <w:rFonts w:eastAsia="Arial Narrow" w:cstheme="minorHAnsi"/>
          <w:spacing w:val="-2"/>
        </w:rPr>
        <w:t>u</w:t>
      </w:r>
      <w:r>
        <w:rPr>
          <w:rFonts w:eastAsia="Arial Narrow" w:cstheme="minorHAnsi"/>
          <w:spacing w:val="1"/>
        </w:rPr>
        <w:t>ć</w:t>
      </w:r>
      <w:r>
        <w:rPr>
          <w:rFonts w:eastAsia="Arial Narrow" w:cstheme="minorHAnsi"/>
        </w:rPr>
        <w:t>an</w:t>
      </w:r>
      <w:r>
        <w:rPr>
          <w:rFonts w:eastAsia="Arial Narrow" w:cstheme="minorHAnsi"/>
          <w:spacing w:val="-2"/>
        </w:rPr>
        <w:t>s</w:t>
      </w:r>
      <w:r>
        <w:rPr>
          <w:rFonts w:eastAsia="Arial Narrow" w:cstheme="minorHAnsi"/>
        </w:rPr>
        <w:t>t</w:t>
      </w:r>
      <w:r>
        <w:rPr>
          <w:rFonts w:eastAsia="Arial Narrow" w:cstheme="minorHAnsi"/>
          <w:spacing w:val="1"/>
        </w:rPr>
        <w:t>v</w:t>
      </w:r>
      <w:r>
        <w:rPr>
          <w:rFonts w:eastAsia="Arial Narrow" w:cstheme="minorHAnsi"/>
        </w:rPr>
        <w:t xml:space="preserve">a </w:t>
      </w:r>
      <w:r>
        <w:rPr>
          <w:rFonts w:eastAsia="Arial Narrow" w:cstheme="minorHAnsi"/>
          <w:spacing w:val="1"/>
        </w:rPr>
        <w:t>k</w:t>
      </w:r>
      <w:r>
        <w:rPr>
          <w:rFonts w:eastAsia="Arial Narrow" w:cstheme="minorHAnsi"/>
        </w:rPr>
        <w:t>ao</w:t>
      </w:r>
      <w:r>
        <w:rPr>
          <w:rFonts w:eastAsia="Arial Narrow" w:cstheme="minorHAnsi"/>
          <w:spacing w:val="2"/>
        </w:rPr>
        <w:t xml:space="preserve"> </w:t>
      </w:r>
      <w:r>
        <w:rPr>
          <w:rFonts w:eastAsia="Arial Narrow" w:cstheme="minorHAnsi"/>
          <w:spacing w:val="-2"/>
        </w:rPr>
        <w:t>po</w:t>
      </w:r>
      <w:r>
        <w:rPr>
          <w:rFonts w:eastAsia="Arial Narrow" w:cstheme="minorHAnsi"/>
          <w:spacing w:val="1"/>
        </w:rPr>
        <w:t>sl</w:t>
      </w:r>
      <w:r>
        <w:rPr>
          <w:rFonts w:eastAsia="Arial Narrow" w:cstheme="minorHAnsi"/>
        </w:rPr>
        <w:t>od</w:t>
      </w:r>
      <w:r>
        <w:rPr>
          <w:rFonts w:eastAsia="Arial Narrow" w:cstheme="minorHAnsi"/>
          <w:spacing w:val="-2"/>
        </w:rPr>
        <w:t>a</w:t>
      </w:r>
      <w:r>
        <w:rPr>
          <w:rFonts w:eastAsia="Arial Narrow" w:cstheme="minorHAnsi"/>
          <w:spacing w:val="1"/>
        </w:rPr>
        <w:t>v</w:t>
      </w:r>
      <w:r>
        <w:rPr>
          <w:rFonts w:eastAsia="Arial Narrow" w:cstheme="minorHAnsi"/>
        </w:rPr>
        <w:t>a</w:t>
      </w:r>
      <w:r>
        <w:rPr>
          <w:rFonts w:eastAsia="Arial Narrow" w:cstheme="minorHAnsi"/>
          <w:spacing w:val="1"/>
        </w:rPr>
        <w:t>c</w:t>
      </w:r>
      <w:r>
        <w:rPr>
          <w:rFonts w:eastAsia="Arial Narrow" w:cstheme="minorHAnsi"/>
          <w:spacing w:val="-2"/>
        </w:rPr>
        <w:t>a</w:t>
      </w:r>
      <w:r>
        <w:rPr>
          <w:rFonts w:eastAsia="Arial Narrow" w:cstheme="minorHAnsi"/>
        </w:rPr>
        <w:t>;</w:t>
      </w:r>
      <w:r>
        <w:rPr>
          <w:rFonts w:eastAsia="Arial Narrow" w:cstheme="minorHAnsi"/>
          <w:spacing w:val="2"/>
        </w:rPr>
        <w:t xml:space="preserve"> </w:t>
      </w:r>
      <w:r>
        <w:rPr>
          <w:rFonts w:eastAsia="Arial Narrow" w:cstheme="minorHAnsi"/>
        </w:rPr>
        <w:t>d</w:t>
      </w:r>
      <w:r>
        <w:rPr>
          <w:rFonts w:eastAsia="Arial Narrow" w:cstheme="minorHAnsi"/>
          <w:spacing w:val="1"/>
        </w:rPr>
        <w:t>j</w:t>
      </w:r>
      <w:r>
        <w:rPr>
          <w:rFonts w:eastAsia="Arial Narrow" w:cstheme="minorHAnsi"/>
          <w:spacing w:val="-2"/>
        </w:rPr>
        <w:t>e</w:t>
      </w:r>
      <w:r>
        <w:rPr>
          <w:rFonts w:eastAsia="Arial Narrow" w:cstheme="minorHAnsi"/>
          <w:spacing w:val="1"/>
        </w:rPr>
        <w:t>l</w:t>
      </w:r>
      <w:r>
        <w:rPr>
          <w:rFonts w:eastAsia="Arial Narrow" w:cstheme="minorHAnsi"/>
        </w:rPr>
        <w:t>atn</w:t>
      </w:r>
      <w:r>
        <w:rPr>
          <w:rFonts w:eastAsia="Arial Narrow" w:cstheme="minorHAnsi"/>
          <w:spacing w:val="-2"/>
        </w:rPr>
        <w:t>o</w:t>
      </w:r>
      <w:r>
        <w:rPr>
          <w:rFonts w:eastAsia="Arial Narrow" w:cstheme="minorHAnsi"/>
          <w:spacing w:val="1"/>
        </w:rPr>
        <w:t>s</w:t>
      </w:r>
      <w:r>
        <w:rPr>
          <w:rFonts w:eastAsia="Arial Narrow" w:cstheme="minorHAnsi"/>
        </w:rPr>
        <w:t xml:space="preserve">ti </w:t>
      </w:r>
      <w:r>
        <w:rPr>
          <w:rFonts w:eastAsia="Arial Narrow" w:cstheme="minorHAnsi"/>
          <w:spacing w:val="1"/>
        </w:rPr>
        <w:t>k</w:t>
      </w:r>
      <w:r>
        <w:rPr>
          <w:rFonts w:eastAsia="Arial Narrow" w:cstheme="minorHAnsi"/>
        </w:rPr>
        <w:t>u</w:t>
      </w:r>
      <w:r>
        <w:rPr>
          <w:rFonts w:eastAsia="Arial Narrow" w:cstheme="minorHAnsi"/>
          <w:spacing w:val="-2"/>
        </w:rPr>
        <w:t>ć</w:t>
      </w:r>
      <w:r>
        <w:rPr>
          <w:rFonts w:eastAsia="Arial Narrow" w:cstheme="minorHAnsi"/>
        </w:rPr>
        <w:t>an</w:t>
      </w:r>
      <w:r>
        <w:rPr>
          <w:rFonts w:eastAsia="Arial Narrow" w:cstheme="minorHAnsi"/>
          <w:spacing w:val="1"/>
        </w:rPr>
        <w:t>s</w:t>
      </w:r>
      <w:r>
        <w:rPr>
          <w:rFonts w:eastAsia="Arial Narrow" w:cstheme="minorHAnsi"/>
          <w:spacing w:val="-2"/>
        </w:rPr>
        <w:t>t</w:t>
      </w:r>
      <w:r>
        <w:rPr>
          <w:rFonts w:eastAsia="Arial Narrow" w:cstheme="minorHAnsi"/>
        </w:rPr>
        <w:t>a</w:t>
      </w:r>
      <w:r>
        <w:rPr>
          <w:rFonts w:eastAsia="Arial Narrow" w:cstheme="minorHAnsi"/>
          <w:spacing w:val="1"/>
        </w:rPr>
        <w:t>v</w:t>
      </w:r>
      <w:r>
        <w:rPr>
          <w:rFonts w:eastAsia="Arial Narrow" w:cstheme="minorHAnsi"/>
        </w:rPr>
        <w:t>a</w:t>
      </w:r>
      <w:r>
        <w:rPr>
          <w:rFonts w:eastAsia="Arial Narrow" w:cstheme="minorHAnsi"/>
          <w:spacing w:val="2"/>
        </w:rPr>
        <w:t xml:space="preserve"> </w:t>
      </w:r>
      <w:r>
        <w:rPr>
          <w:rFonts w:eastAsia="Arial Narrow" w:cstheme="minorHAnsi"/>
          <w:spacing w:val="-2"/>
        </w:rPr>
        <w:t>k</w:t>
      </w:r>
      <w:r>
        <w:rPr>
          <w:rFonts w:eastAsia="Arial Narrow" w:cstheme="minorHAnsi"/>
        </w:rPr>
        <w:t>o</w:t>
      </w:r>
      <w:r>
        <w:rPr>
          <w:rFonts w:eastAsia="Arial Narrow" w:cstheme="minorHAnsi"/>
          <w:spacing w:val="1"/>
        </w:rPr>
        <w:t>j</w:t>
      </w:r>
      <w:r>
        <w:rPr>
          <w:rFonts w:eastAsia="Arial Narrow" w:cstheme="minorHAnsi"/>
        </w:rPr>
        <w:t>a</w:t>
      </w:r>
      <w:r>
        <w:rPr>
          <w:rFonts w:eastAsia="Arial Narrow" w:cstheme="minorHAnsi"/>
          <w:spacing w:val="2"/>
        </w:rPr>
        <w:t xml:space="preserve"> </w:t>
      </w:r>
      <w:r>
        <w:rPr>
          <w:rFonts w:eastAsia="Arial Narrow" w:cstheme="minorHAnsi"/>
        </w:rPr>
        <w:t>p</w:t>
      </w:r>
      <w:r>
        <w:rPr>
          <w:rFonts w:eastAsia="Arial Narrow" w:cstheme="minorHAnsi"/>
          <w:spacing w:val="-3"/>
        </w:rPr>
        <w:t>r</w:t>
      </w:r>
      <w:r>
        <w:rPr>
          <w:rFonts w:eastAsia="Arial Narrow" w:cstheme="minorHAnsi"/>
        </w:rPr>
        <w:t>o</w:t>
      </w:r>
      <w:r>
        <w:rPr>
          <w:rFonts w:eastAsia="Arial Narrow" w:cstheme="minorHAnsi"/>
          <w:spacing w:val="1"/>
        </w:rPr>
        <w:t>i</w:t>
      </w:r>
      <w:r>
        <w:rPr>
          <w:rFonts w:eastAsia="Arial Narrow" w:cstheme="minorHAnsi"/>
          <w:spacing w:val="-2"/>
        </w:rPr>
        <w:t>z</w:t>
      </w:r>
      <w:r>
        <w:rPr>
          <w:rFonts w:eastAsia="Arial Narrow" w:cstheme="minorHAnsi"/>
          <w:spacing w:val="1"/>
        </w:rPr>
        <w:t>v</w:t>
      </w:r>
      <w:r>
        <w:rPr>
          <w:rFonts w:eastAsia="Arial Narrow" w:cstheme="minorHAnsi"/>
        </w:rPr>
        <w:t>ode ra</w:t>
      </w:r>
      <w:r>
        <w:rPr>
          <w:rFonts w:eastAsia="Arial Narrow" w:cstheme="minorHAnsi"/>
          <w:spacing w:val="1"/>
        </w:rPr>
        <w:t>z</w:t>
      </w:r>
      <w:r>
        <w:rPr>
          <w:rFonts w:eastAsia="Arial Narrow" w:cstheme="minorHAnsi"/>
          <w:spacing w:val="-2"/>
        </w:rPr>
        <w:t>l</w:t>
      </w:r>
      <w:r>
        <w:rPr>
          <w:rFonts w:eastAsia="Arial Narrow" w:cstheme="minorHAnsi"/>
          <w:spacing w:val="1"/>
        </w:rPr>
        <w:t>iči</w:t>
      </w:r>
      <w:r>
        <w:rPr>
          <w:rFonts w:eastAsia="Arial Narrow" w:cstheme="minorHAnsi"/>
          <w:spacing w:val="-2"/>
        </w:rPr>
        <w:t>t</w:t>
      </w:r>
      <w:r>
        <w:rPr>
          <w:rFonts w:eastAsia="Arial Narrow" w:cstheme="minorHAnsi"/>
        </w:rPr>
        <w:t>u</w:t>
      </w:r>
      <w:r>
        <w:rPr>
          <w:rFonts w:eastAsia="Arial Narrow" w:cstheme="minorHAnsi"/>
          <w:spacing w:val="2"/>
        </w:rPr>
        <w:t xml:space="preserve"> </w:t>
      </w:r>
      <w:r>
        <w:rPr>
          <w:rFonts w:eastAsia="Arial Narrow" w:cstheme="minorHAnsi"/>
          <w:spacing w:val="-3"/>
        </w:rPr>
        <w:t>r</w:t>
      </w:r>
      <w:r>
        <w:rPr>
          <w:rFonts w:eastAsia="Arial Narrow" w:cstheme="minorHAnsi"/>
        </w:rPr>
        <w:t>obu</w:t>
      </w:r>
      <w:r>
        <w:rPr>
          <w:rFonts w:eastAsia="Arial Narrow" w:cstheme="minorHAnsi"/>
          <w:spacing w:val="2"/>
        </w:rPr>
        <w:t xml:space="preserve"> </w:t>
      </w:r>
      <w:r>
        <w:rPr>
          <w:rFonts w:eastAsia="Arial Narrow" w:cstheme="minorHAnsi"/>
        </w:rPr>
        <w:t>i</w:t>
      </w:r>
      <w:r>
        <w:rPr>
          <w:rFonts w:eastAsia="Arial Narrow" w:cstheme="minorHAnsi"/>
          <w:spacing w:val="2"/>
        </w:rPr>
        <w:t xml:space="preserve"> </w:t>
      </w:r>
      <w:r>
        <w:rPr>
          <w:rFonts w:eastAsia="Arial Narrow" w:cstheme="minorHAnsi"/>
          <w:spacing w:val="-2"/>
        </w:rPr>
        <w:t>o</w:t>
      </w:r>
      <w:r>
        <w:rPr>
          <w:rFonts w:eastAsia="Arial Narrow" w:cstheme="minorHAnsi"/>
        </w:rPr>
        <w:t>ba</w:t>
      </w:r>
      <w:r>
        <w:rPr>
          <w:rFonts w:eastAsia="Arial Narrow" w:cstheme="minorHAnsi"/>
          <w:spacing w:val="-2"/>
        </w:rPr>
        <w:t>v</w:t>
      </w:r>
      <w:r>
        <w:rPr>
          <w:rFonts w:eastAsia="Arial Narrow" w:cstheme="minorHAnsi"/>
          <w:spacing w:val="1"/>
        </w:rPr>
        <w:t>lj</w:t>
      </w:r>
      <w:r>
        <w:rPr>
          <w:rFonts w:eastAsia="Arial Narrow" w:cstheme="minorHAnsi"/>
        </w:rPr>
        <w:t>a</w:t>
      </w:r>
      <w:r>
        <w:rPr>
          <w:rFonts w:eastAsia="Arial Narrow" w:cstheme="minorHAnsi"/>
          <w:spacing w:val="-2"/>
        </w:rPr>
        <w:t>j</w:t>
      </w:r>
      <w:r>
        <w:rPr>
          <w:rFonts w:eastAsia="Arial Narrow" w:cstheme="minorHAnsi"/>
        </w:rPr>
        <w:t>u</w:t>
      </w:r>
      <w:r>
        <w:rPr>
          <w:rFonts w:eastAsia="Arial Narrow" w:cstheme="minorHAnsi"/>
          <w:spacing w:val="2"/>
        </w:rPr>
        <w:t xml:space="preserve"> </w:t>
      </w:r>
      <w:r>
        <w:rPr>
          <w:rFonts w:eastAsia="Arial Narrow" w:cstheme="minorHAnsi"/>
        </w:rPr>
        <w:t>ra</w:t>
      </w:r>
      <w:r>
        <w:rPr>
          <w:rFonts w:eastAsia="Arial Narrow" w:cstheme="minorHAnsi"/>
          <w:spacing w:val="-2"/>
        </w:rPr>
        <w:t>z</w:t>
      </w:r>
      <w:r>
        <w:rPr>
          <w:rFonts w:eastAsia="Arial Narrow" w:cstheme="minorHAnsi"/>
          <w:spacing w:val="1"/>
        </w:rPr>
        <w:t>li</w:t>
      </w:r>
      <w:r>
        <w:rPr>
          <w:rFonts w:eastAsia="Arial Narrow" w:cstheme="minorHAnsi"/>
          <w:spacing w:val="-2"/>
        </w:rPr>
        <w:t>č</w:t>
      </w:r>
      <w:r>
        <w:rPr>
          <w:rFonts w:eastAsia="Arial Narrow" w:cstheme="minorHAnsi"/>
          <w:spacing w:val="1"/>
        </w:rPr>
        <w:t>i</w:t>
      </w:r>
      <w:r>
        <w:rPr>
          <w:rFonts w:eastAsia="Arial Narrow" w:cstheme="minorHAnsi"/>
        </w:rPr>
        <w:t>te u</w:t>
      </w:r>
      <w:r>
        <w:rPr>
          <w:rFonts w:eastAsia="Arial Narrow" w:cstheme="minorHAnsi"/>
          <w:spacing w:val="1"/>
        </w:rPr>
        <w:t>sl</w:t>
      </w:r>
      <w:r>
        <w:rPr>
          <w:rFonts w:eastAsia="Arial Narrow" w:cstheme="minorHAnsi"/>
        </w:rPr>
        <w:t xml:space="preserve">uge </w:t>
      </w:r>
      <w:r>
        <w:rPr>
          <w:rFonts w:eastAsia="Arial Narrow" w:cstheme="minorHAnsi"/>
          <w:spacing w:val="1"/>
        </w:rPr>
        <w:t>z</w:t>
      </w:r>
      <w:r>
        <w:rPr>
          <w:rFonts w:eastAsia="Arial Narrow" w:cstheme="minorHAnsi"/>
        </w:rPr>
        <w:t>a</w:t>
      </w:r>
      <w:r>
        <w:rPr>
          <w:rFonts w:eastAsia="Arial Narrow" w:cstheme="minorHAnsi"/>
          <w:spacing w:val="3"/>
        </w:rPr>
        <w:t xml:space="preserve"> </w:t>
      </w:r>
      <w:r>
        <w:rPr>
          <w:rFonts w:eastAsia="Arial Narrow" w:cstheme="minorHAnsi"/>
          <w:spacing w:val="-2"/>
        </w:rPr>
        <w:t>v</w:t>
      </w:r>
      <w:r>
        <w:rPr>
          <w:rFonts w:eastAsia="Arial Narrow" w:cstheme="minorHAnsi"/>
          <w:spacing w:val="1"/>
        </w:rPr>
        <w:t>l</w:t>
      </w:r>
      <w:r>
        <w:rPr>
          <w:rFonts w:eastAsia="Arial Narrow" w:cstheme="minorHAnsi"/>
        </w:rPr>
        <w:t>a</w:t>
      </w:r>
      <w:r>
        <w:rPr>
          <w:rFonts w:eastAsia="Arial Narrow" w:cstheme="minorHAnsi"/>
          <w:spacing w:val="1"/>
        </w:rPr>
        <w:t>s</w:t>
      </w:r>
      <w:r>
        <w:rPr>
          <w:rFonts w:eastAsia="Arial Narrow" w:cstheme="minorHAnsi"/>
          <w:spacing w:val="-2"/>
        </w:rPr>
        <w:t>t</w:t>
      </w:r>
      <w:r>
        <w:rPr>
          <w:rFonts w:eastAsia="Arial Narrow" w:cstheme="minorHAnsi"/>
          <w:spacing w:val="1"/>
        </w:rPr>
        <w:t>i</w:t>
      </w:r>
      <w:r>
        <w:rPr>
          <w:rFonts w:eastAsia="Arial Narrow" w:cstheme="minorHAnsi"/>
        </w:rPr>
        <w:t>te</w:t>
      </w:r>
      <w:r>
        <w:rPr>
          <w:rFonts w:eastAsia="Arial Narrow" w:cstheme="minorHAnsi"/>
          <w:spacing w:val="3"/>
        </w:rPr>
        <w:t xml:space="preserve"> </w:t>
      </w:r>
      <w:r>
        <w:rPr>
          <w:rFonts w:eastAsia="Arial Narrow" w:cstheme="minorHAnsi"/>
        </w:rPr>
        <w:t>p</w:t>
      </w:r>
      <w:r>
        <w:rPr>
          <w:rFonts w:eastAsia="Arial Narrow" w:cstheme="minorHAnsi"/>
          <w:spacing w:val="-2"/>
        </w:rPr>
        <w:t>o</w:t>
      </w:r>
      <w:r>
        <w:rPr>
          <w:rFonts w:eastAsia="Arial Narrow" w:cstheme="minorHAnsi"/>
        </w:rPr>
        <w:t>trebe)</w:t>
      </w:r>
      <w:r>
        <w:rPr>
          <w:rFonts w:eastAsia="Arial Narrow" w:cstheme="minorHAnsi"/>
          <w:spacing w:val="2"/>
        </w:rPr>
        <w:t xml:space="preserve"> </w:t>
      </w:r>
      <w:r>
        <w:rPr>
          <w:rFonts w:eastAsia="Arial Narrow" w:cstheme="minorHAnsi"/>
        </w:rPr>
        <w:t>i</w:t>
      </w:r>
      <w:r>
        <w:rPr>
          <w:rFonts w:eastAsia="Arial Narrow" w:cstheme="minorHAnsi"/>
          <w:spacing w:val="1"/>
        </w:rPr>
        <w:t xml:space="preserve"> </w:t>
      </w:r>
      <w:r>
        <w:rPr>
          <w:rFonts w:eastAsia="Arial Narrow" w:cstheme="minorHAnsi"/>
        </w:rPr>
        <w:t>U</w:t>
      </w:r>
      <w:r>
        <w:rPr>
          <w:rFonts w:eastAsia="Arial Narrow" w:cstheme="minorHAnsi"/>
          <w:spacing w:val="2"/>
        </w:rPr>
        <w:t xml:space="preserve"> </w:t>
      </w:r>
      <w:r>
        <w:rPr>
          <w:rFonts w:eastAsia="Arial Narrow" w:cstheme="minorHAnsi"/>
        </w:rPr>
        <w:t>(</w:t>
      </w:r>
      <w:r>
        <w:rPr>
          <w:rFonts w:eastAsia="Arial Narrow" w:cstheme="minorHAnsi"/>
          <w:spacing w:val="-1"/>
        </w:rPr>
        <w:t>D</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rPr>
        <w:t>atno</w:t>
      </w:r>
      <w:r>
        <w:rPr>
          <w:rFonts w:eastAsia="Arial Narrow" w:cstheme="minorHAnsi"/>
          <w:spacing w:val="1"/>
        </w:rPr>
        <w:t>s</w:t>
      </w:r>
      <w:r>
        <w:rPr>
          <w:rFonts w:eastAsia="Arial Narrow" w:cstheme="minorHAnsi"/>
          <w:spacing w:val="-2"/>
        </w:rPr>
        <w:t>t</w:t>
      </w:r>
      <w:r>
        <w:rPr>
          <w:rFonts w:eastAsia="Arial Narrow" w:cstheme="minorHAnsi"/>
        </w:rPr>
        <w:t>i</w:t>
      </w:r>
      <w:r>
        <w:rPr>
          <w:rFonts w:eastAsia="Arial Narrow" w:cstheme="minorHAnsi"/>
          <w:spacing w:val="3"/>
        </w:rPr>
        <w:t xml:space="preserve"> </w:t>
      </w:r>
      <w:r>
        <w:rPr>
          <w:rFonts w:eastAsia="Arial Narrow" w:cstheme="minorHAnsi"/>
          <w:spacing w:val="1"/>
        </w:rPr>
        <w:t>i</w:t>
      </w:r>
      <w:r>
        <w:rPr>
          <w:rFonts w:eastAsia="Arial Narrow" w:cstheme="minorHAnsi"/>
          <w:spacing w:val="-2"/>
        </w:rPr>
        <w:t>z</w:t>
      </w:r>
      <w:r>
        <w:rPr>
          <w:rFonts w:eastAsia="Arial Narrow" w:cstheme="minorHAnsi"/>
          <w:spacing w:val="1"/>
        </w:rPr>
        <w:t>v</w:t>
      </w:r>
      <w:r>
        <w:rPr>
          <w:rFonts w:eastAsia="Arial Narrow" w:cstheme="minorHAnsi"/>
        </w:rPr>
        <w:t>an</w:t>
      </w:r>
      <w:r>
        <w:rPr>
          <w:rFonts w:eastAsia="Arial Narrow" w:cstheme="minorHAnsi"/>
          <w:spacing w:val="3"/>
        </w:rPr>
        <w:t xml:space="preserve"> </w:t>
      </w:r>
      <w:r>
        <w:rPr>
          <w:rFonts w:eastAsia="Arial Narrow" w:cstheme="minorHAnsi"/>
          <w:spacing w:val="-2"/>
        </w:rPr>
        <w:t>t</w:t>
      </w:r>
      <w:r>
        <w:rPr>
          <w:rFonts w:eastAsia="Arial Narrow" w:cstheme="minorHAnsi"/>
        </w:rPr>
        <w:t>er</w:t>
      </w:r>
      <w:r>
        <w:rPr>
          <w:rFonts w:eastAsia="Arial Narrow" w:cstheme="minorHAnsi"/>
          <w:spacing w:val="1"/>
        </w:rPr>
        <w:t>i</w:t>
      </w:r>
      <w:r>
        <w:rPr>
          <w:rFonts w:eastAsia="Arial Narrow" w:cstheme="minorHAnsi"/>
        </w:rPr>
        <w:t>tor</w:t>
      </w:r>
      <w:r>
        <w:rPr>
          <w:rFonts w:eastAsia="Arial Narrow" w:cstheme="minorHAnsi"/>
          <w:spacing w:val="-2"/>
        </w:rPr>
        <w:t>i</w:t>
      </w:r>
      <w:r>
        <w:rPr>
          <w:rFonts w:eastAsia="Arial Narrow" w:cstheme="minorHAnsi"/>
          <w:spacing w:val="1"/>
        </w:rPr>
        <w:t>j</w:t>
      </w:r>
      <w:r>
        <w:rPr>
          <w:rFonts w:eastAsia="Arial Narrow" w:cstheme="minorHAnsi"/>
        </w:rPr>
        <w:t>a</w:t>
      </w:r>
      <w:r>
        <w:rPr>
          <w:rFonts w:eastAsia="Arial Narrow" w:cstheme="minorHAnsi"/>
          <w:spacing w:val="-2"/>
        </w:rPr>
        <w:t>l</w:t>
      </w:r>
      <w:r>
        <w:rPr>
          <w:rFonts w:eastAsia="Arial Narrow" w:cstheme="minorHAnsi"/>
        </w:rPr>
        <w:t>n</w:t>
      </w:r>
      <w:r>
        <w:rPr>
          <w:rFonts w:eastAsia="Arial Narrow" w:cstheme="minorHAnsi"/>
          <w:spacing w:val="1"/>
        </w:rPr>
        <w:t>i</w:t>
      </w:r>
      <w:r>
        <w:rPr>
          <w:rFonts w:eastAsia="Arial Narrow" w:cstheme="minorHAnsi"/>
        </w:rPr>
        <w:t>h</w:t>
      </w:r>
      <w:r>
        <w:rPr>
          <w:rFonts w:eastAsia="Arial Narrow" w:cstheme="minorHAnsi"/>
          <w:spacing w:val="3"/>
        </w:rPr>
        <w:t xml:space="preserve"> </w:t>
      </w:r>
      <w:r>
        <w:rPr>
          <w:rFonts w:eastAsia="Arial Narrow" w:cstheme="minorHAnsi"/>
        </w:rPr>
        <w:t>orga</w:t>
      </w:r>
      <w:r>
        <w:rPr>
          <w:rFonts w:eastAsia="Arial Narrow" w:cstheme="minorHAnsi"/>
          <w:spacing w:val="-2"/>
        </w:rPr>
        <w:t>n</w:t>
      </w:r>
      <w:r>
        <w:rPr>
          <w:rFonts w:eastAsia="Arial Narrow" w:cstheme="minorHAnsi"/>
          <w:spacing w:val="1"/>
        </w:rPr>
        <w:t>iz</w:t>
      </w:r>
      <w:r>
        <w:rPr>
          <w:rFonts w:eastAsia="Arial Narrow" w:cstheme="minorHAnsi"/>
          <w:spacing w:val="-2"/>
        </w:rPr>
        <w:t>a</w:t>
      </w:r>
      <w:r>
        <w:rPr>
          <w:rFonts w:eastAsia="Arial Narrow" w:cstheme="minorHAnsi"/>
          <w:spacing w:val="1"/>
        </w:rPr>
        <w:t>ci</w:t>
      </w:r>
      <w:r>
        <w:rPr>
          <w:rFonts w:eastAsia="Arial Narrow" w:cstheme="minorHAnsi"/>
          <w:spacing w:val="-2"/>
        </w:rPr>
        <w:t>j</w:t>
      </w:r>
      <w:r>
        <w:rPr>
          <w:rFonts w:eastAsia="Arial Narrow" w:cstheme="minorHAnsi"/>
        </w:rPr>
        <w:t>a</w:t>
      </w:r>
      <w:r>
        <w:rPr>
          <w:rFonts w:eastAsia="Arial Narrow" w:cstheme="minorHAnsi"/>
          <w:spacing w:val="3"/>
        </w:rPr>
        <w:t xml:space="preserve"> </w:t>
      </w:r>
      <w:r>
        <w:rPr>
          <w:rFonts w:eastAsia="Arial Narrow" w:cstheme="minorHAnsi"/>
        </w:rPr>
        <w:t>i</w:t>
      </w:r>
      <w:r>
        <w:rPr>
          <w:rFonts w:eastAsia="Arial Narrow" w:cstheme="minorHAnsi"/>
          <w:spacing w:val="3"/>
        </w:rPr>
        <w:t xml:space="preserve"> </w:t>
      </w:r>
      <w:r>
        <w:rPr>
          <w:rFonts w:eastAsia="Arial Narrow" w:cstheme="minorHAnsi"/>
        </w:rPr>
        <w:t>t</w:t>
      </w:r>
      <w:r>
        <w:rPr>
          <w:rFonts w:eastAsia="Arial Narrow" w:cstheme="minorHAnsi"/>
          <w:spacing w:val="-2"/>
        </w:rPr>
        <w:t>i</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rPr>
        <w:t>a)</w:t>
      </w:r>
      <w:r>
        <w:rPr>
          <w:rFonts w:eastAsia="Arial Narrow" w:cstheme="minorHAnsi"/>
          <w:spacing w:val="2"/>
        </w:rPr>
        <w:t xml:space="preserve"> </w:t>
      </w:r>
      <w:r>
        <w:rPr>
          <w:rFonts w:eastAsia="Arial Narrow" w:cstheme="minorHAnsi"/>
          <w:spacing w:val="-2"/>
        </w:rPr>
        <w:t>p</w:t>
      </w:r>
      <w:r>
        <w:rPr>
          <w:rFonts w:eastAsia="Arial Narrow" w:cstheme="minorHAnsi"/>
        </w:rPr>
        <w:t>a</w:t>
      </w:r>
      <w:r>
        <w:rPr>
          <w:rFonts w:eastAsia="Arial Narrow" w:cstheme="minorHAnsi"/>
          <w:spacing w:val="3"/>
        </w:rPr>
        <w:t xml:space="preserve"> </w:t>
      </w:r>
      <w:r>
        <w:rPr>
          <w:rFonts w:eastAsia="Arial Narrow" w:cstheme="minorHAnsi"/>
          <w:spacing w:val="-2"/>
        </w:rPr>
        <w:t>n</w:t>
      </w:r>
      <w:r>
        <w:rPr>
          <w:rFonts w:eastAsia="Arial Narrow" w:cstheme="minorHAnsi"/>
        </w:rPr>
        <w:t>a</w:t>
      </w:r>
      <w:r>
        <w:rPr>
          <w:rFonts w:eastAsia="Arial Narrow" w:cstheme="minorHAnsi"/>
          <w:spacing w:val="1"/>
        </w:rPr>
        <w:t>v</w:t>
      </w:r>
      <w:r>
        <w:rPr>
          <w:rFonts w:eastAsia="Arial Narrow" w:cstheme="minorHAnsi"/>
        </w:rPr>
        <w:t>ede</w:t>
      </w:r>
      <w:r>
        <w:rPr>
          <w:rFonts w:eastAsia="Arial Narrow" w:cstheme="minorHAnsi"/>
          <w:spacing w:val="-2"/>
        </w:rPr>
        <w:t>n</w:t>
      </w:r>
      <w:r>
        <w:rPr>
          <w:rFonts w:eastAsia="Arial Narrow" w:cstheme="minorHAnsi"/>
        </w:rPr>
        <w:t>e</w:t>
      </w:r>
      <w:r>
        <w:rPr>
          <w:rFonts w:eastAsia="Arial Narrow" w:cstheme="minorHAnsi"/>
          <w:spacing w:val="3"/>
        </w:rPr>
        <w:t xml:space="preserve"> </w:t>
      </w:r>
      <w:r>
        <w:rPr>
          <w:rFonts w:eastAsia="Arial Narrow" w:cstheme="minorHAnsi"/>
        </w:rPr>
        <w:t>d</w:t>
      </w:r>
      <w:r>
        <w:rPr>
          <w:rFonts w:eastAsia="Arial Narrow" w:cstheme="minorHAnsi"/>
          <w:spacing w:val="1"/>
        </w:rPr>
        <w:t>j</w:t>
      </w:r>
      <w:r>
        <w:rPr>
          <w:rFonts w:eastAsia="Arial Narrow" w:cstheme="minorHAnsi"/>
          <w:spacing w:val="-2"/>
        </w:rPr>
        <w:t>e</w:t>
      </w:r>
      <w:r>
        <w:rPr>
          <w:rFonts w:eastAsia="Arial Narrow" w:cstheme="minorHAnsi"/>
          <w:spacing w:val="1"/>
        </w:rPr>
        <w:t>l</w:t>
      </w:r>
      <w:r>
        <w:rPr>
          <w:rFonts w:eastAsia="Arial Narrow" w:cstheme="minorHAnsi"/>
        </w:rPr>
        <w:t>atn</w:t>
      </w:r>
      <w:r>
        <w:rPr>
          <w:rFonts w:eastAsia="Arial Narrow" w:cstheme="minorHAnsi"/>
          <w:spacing w:val="-2"/>
        </w:rPr>
        <w:t>o</w:t>
      </w:r>
      <w:r>
        <w:rPr>
          <w:rFonts w:eastAsia="Arial Narrow" w:cstheme="minorHAnsi"/>
          <w:spacing w:val="1"/>
        </w:rPr>
        <w:t>s</w:t>
      </w:r>
      <w:r>
        <w:rPr>
          <w:rFonts w:eastAsia="Arial Narrow" w:cstheme="minorHAnsi"/>
        </w:rPr>
        <w:t>ti</w:t>
      </w:r>
      <w:r>
        <w:rPr>
          <w:rFonts w:eastAsia="Arial Narrow" w:cstheme="minorHAnsi"/>
          <w:spacing w:val="3"/>
        </w:rPr>
        <w:t xml:space="preserve"> </w:t>
      </w:r>
      <w:r>
        <w:rPr>
          <w:rFonts w:eastAsia="Arial Narrow" w:cstheme="minorHAnsi"/>
          <w:spacing w:val="-2"/>
        </w:rPr>
        <w:t>n</w:t>
      </w:r>
      <w:r>
        <w:rPr>
          <w:rFonts w:eastAsia="Arial Narrow" w:cstheme="minorHAnsi"/>
        </w:rPr>
        <w:t>e u</w:t>
      </w:r>
      <w:r>
        <w:rPr>
          <w:rFonts w:eastAsia="Arial Narrow" w:cstheme="minorHAnsi"/>
          <w:spacing w:val="1"/>
        </w:rPr>
        <w:t>zi</w:t>
      </w:r>
      <w:r>
        <w:rPr>
          <w:rFonts w:eastAsia="Arial Narrow" w:cstheme="minorHAnsi"/>
        </w:rPr>
        <w:t>m</w:t>
      </w:r>
      <w:r>
        <w:rPr>
          <w:rFonts w:eastAsia="Arial Narrow" w:cstheme="minorHAnsi"/>
          <w:spacing w:val="-2"/>
        </w:rPr>
        <w:t>a</w:t>
      </w:r>
      <w:r>
        <w:rPr>
          <w:rFonts w:eastAsia="Arial Narrow" w:cstheme="minorHAnsi"/>
        </w:rPr>
        <w:t>mo</w:t>
      </w:r>
      <w:r>
        <w:rPr>
          <w:rFonts w:eastAsia="Arial Narrow" w:cstheme="minorHAnsi"/>
          <w:spacing w:val="2"/>
        </w:rPr>
        <w:t xml:space="preserve"> </w:t>
      </w:r>
      <w:r>
        <w:rPr>
          <w:rFonts w:eastAsia="Arial Narrow" w:cstheme="minorHAnsi"/>
        </w:rPr>
        <w:t>u ra</w:t>
      </w:r>
      <w:r>
        <w:rPr>
          <w:rFonts w:eastAsia="Arial Narrow" w:cstheme="minorHAnsi"/>
          <w:spacing w:val="1"/>
        </w:rPr>
        <w:t>z</w:t>
      </w:r>
      <w:r>
        <w:rPr>
          <w:rFonts w:eastAsia="Arial Narrow" w:cstheme="minorHAnsi"/>
          <w:spacing w:val="-2"/>
        </w:rPr>
        <w:t>m</w:t>
      </w:r>
      <w:r>
        <w:rPr>
          <w:rFonts w:eastAsia="Arial Narrow" w:cstheme="minorHAnsi"/>
        </w:rPr>
        <w:t>atran</w:t>
      </w:r>
      <w:r>
        <w:rPr>
          <w:rFonts w:eastAsia="Arial Narrow" w:cstheme="minorHAnsi"/>
          <w:spacing w:val="-2"/>
        </w:rPr>
        <w:t>j</w:t>
      </w:r>
      <w:r>
        <w:rPr>
          <w:rFonts w:eastAsia="Arial Narrow" w:cstheme="minorHAnsi"/>
        </w:rPr>
        <w:t>e.</w:t>
      </w:r>
      <w:r>
        <w:rPr>
          <w:rFonts w:eastAsia="Arial Narrow" w:cstheme="minorHAnsi"/>
          <w:spacing w:val="2"/>
        </w:rPr>
        <w:t xml:space="preserve"> </w:t>
      </w:r>
      <w:r>
        <w:rPr>
          <w:rFonts w:eastAsia="Arial Narrow" w:cstheme="minorHAnsi"/>
          <w:spacing w:val="-1"/>
        </w:rPr>
        <w:t>K</w:t>
      </w:r>
      <w:r>
        <w:rPr>
          <w:rFonts w:eastAsia="Arial Narrow" w:cstheme="minorHAnsi"/>
        </w:rPr>
        <w:t xml:space="preserve">od </w:t>
      </w:r>
      <w:r>
        <w:rPr>
          <w:rFonts w:eastAsia="Arial Narrow" w:cstheme="minorHAnsi"/>
          <w:spacing w:val="1"/>
        </w:rPr>
        <w:t>z</w:t>
      </w:r>
      <w:r>
        <w:rPr>
          <w:rFonts w:eastAsia="Arial Narrow" w:cstheme="minorHAnsi"/>
        </w:rPr>
        <w:t>apo</w:t>
      </w:r>
      <w:r>
        <w:rPr>
          <w:rFonts w:eastAsia="Arial Narrow" w:cstheme="minorHAnsi"/>
          <w:spacing w:val="-2"/>
        </w:rPr>
        <w:t>s</w:t>
      </w:r>
      <w:r>
        <w:rPr>
          <w:rFonts w:eastAsia="Arial Narrow" w:cstheme="minorHAnsi"/>
          <w:spacing w:val="1"/>
        </w:rPr>
        <w:t>l</w:t>
      </w:r>
      <w:r>
        <w:rPr>
          <w:rFonts w:eastAsia="Arial Narrow" w:cstheme="minorHAnsi"/>
        </w:rPr>
        <w:t>en</w:t>
      </w:r>
      <w:r>
        <w:rPr>
          <w:rFonts w:eastAsia="Arial Narrow" w:cstheme="minorHAnsi"/>
          <w:spacing w:val="-2"/>
        </w:rPr>
        <w:t>i</w:t>
      </w:r>
      <w:r>
        <w:rPr>
          <w:rFonts w:eastAsia="Arial Narrow" w:cstheme="minorHAnsi"/>
        </w:rPr>
        <w:t>h</w:t>
      </w:r>
      <w:r>
        <w:rPr>
          <w:rFonts w:eastAsia="Arial Narrow" w:cstheme="minorHAnsi"/>
          <w:spacing w:val="2"/>
        </w:rPr>
        <w:t xml:space="preserve"> </w:t>
      </w:r>
      <w:r>
        <w:rPr>
          <w:rFonts w:eastAsia="Arial Narrow" w:cstheme="minorHAnsi"/>
        </w:rPr>
        <w:t>u</w:t>
      </w:r>
      <w:r>
        <w:rPr>
          <w:rFonts w:eastAsia="Arial Narrow" w:cstheme="minorHAnsi"/>
          <w:spacing w:val="2"/>
        </w:rPr>
        <w:t xml:space="preserve"> </w:t>
      </w:r>
      <w:r>
        <w:rPr>
          <w:rFonts w:eastAsia="Arial Narrow" w:cstheme="minorHAnsi"/>
        </w:rPr>
        <w:t>obr</w:t>
      </w:r>
      <w:r>
        <w:rPr>
          <w:rFonts w:eastAsia="Arial Narrow" w:cstheme="minorHAnsi"/>
          <w:spacing w:val="-2"/>
        </w:rPr>
        <w:t>t</w:t>
      </w:r>
      <w:r>
        <w:rPr>
          <w:rFonts w:eastAsia="Arial Narrow" w:cstheme="minorHAnsi"/>
        </w:rPr>
        <w:t>u</w:t>
      </w:r>
      <w:r>
        <w:rPr>
          <w:rFonts w:eastAsia="Arial Narrow" w:cstheme="minorHAnsi"/>
          <w:spacing w:val="2"/>
        </w:rPr>
        <w:t xml:space="preserve"> </w:t>
      </w:r>
      <w:r>
        <w:rPr>
          <w:rFonts w:eastAsia="Arial Narrow" w:cstheme="minorHAnsi"/>
        </w:rPr>
        <w:t>i</w:t>
      </w:r>
      <w:r>
        <w:rPr>
          <w:rFonts w:eastAsia="Arial Narrow" w:cstheme="minorHAnsi"/>
          <w:spacing w:val="3"/>
        </w:rPr>
        <w:t xml:space="preserve"> </w:t>
      </w:r>
      <w:r>
        <w:rPr>
          <w:rFonts w:eastAsia="Arial Narrow" w:cstheme="minorHAnsi"/>
          <w:spacing w:val="-2"/>
        </w:rPr>
        <w:t>d</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spacing w:val="-2"/>
        </w:rPr>
        <w:t>a</w:t>
      </w:r>
      <w:r>
        <w:rPr>
          <w:rFonts w:eastAsia="Arial Narrow" w:cstheme="minorHAnsi"/>
        </w:rPr>
        <w:t>tno</w:t>
      </w:r>
      <w:r>
        <w:rPr>
          <w:rFonts w:eastAsia="Arial Narrow" w:cstheme="minorHAnsi"/>
          <w:spacing w:val="1"/>
        </w:rPr>
        <w:t>s</w:t>
      </w:r>
      <w:r>
        <w:rPr>
          <w:rFonts w:eastAsia="Arial Narrow" w:cstheme="minorHAnsi"/>
          <w:spacing w:val="-2"/>
        </w:rPr>
        <w:t>t</w:t>
      </w:r>
      <w:r>
        <w:rPr>
          <w:rFonts w:eastAsia="Arial Narrow" w:cstheme="minorHAnsi"/>
          <w:spacing w:val="1"/>
        </w:rPr>
        <w:t>i</w:t>
      </w:r>
      <w:r>
        <w:rPr>
          <w:rFonts w:eastAsia="Arial Narrow" w:cstheme="minorHAnsi"/>
        </w:rPr>
        <w:t>ma</w:t>
      </w:r>
      <w:r>
        <w:rPr>
          <w:rFonts w:eastAsia="Arial Narrow" w:cstheme="minorHAnsi"/>
          <w:spacing w:val="2"/>
        </w:rPr>
        <w:t xml:space="preserve"> </w:t>
      </w:r>
      <w:r>
        <w:rPr>
          <w:rFonts w:eastAsia="Arial Narrow" w:cstheme="minorHAnsi"/>
          <w:spacing w:val="-2"/>
        </w:rPr>
        <w:t>s</w:t>
      </w:r>
      <w:r>
        <w:rPr>
          <w:rFonts w:eastAsia="Arial Narrow" w:cstheme="minorHAnsi"/>
          <w:spacing w:val="1"/>
        </w:rPr>
        <w:t>l</w:t>
      </w:r>
      <w:r>
        <w:rPr>
          <w:rFonts w:eastAsia="Arial Narrow" w:cstheme="minorHAnsi"/>
        </w:rPr>
        <w:t>obo</w:t>
      </w:r>
      <w:r>
        <w:rPr>
          <w:rFonts w:eastAsia="Arial Narrow" w:cstheme="minorHAnsi"/>
          <w:spacing w:val="-2"/>
        </w:rPr>
        <w:t>d</w:t>
      </w:r>
      <w:r>
        <w:rPr>
          <w:rFonts w:eastAsia="Arial Narrow" w:cstheme="minorHAnsi"/>
        </w:rPr>
        <w:t>n</w:t>
      </w:r>
      <w:r>
        <w:rPr>
          <w:rFonts w:eastAsia="Arial Narrow" w:cstheme="minorHAnsi"/>
          <w:spacing w:val="1"/>
        </w:rPr>
        <w:t>i</w:t>
      </w:r>
      <w:r>
        <w:rPr>
          <w:rFonts w:eastAsia="Arial Narrow" w:cstheme="minorHAnsi"/>
        </w:rPr>
        <w:t>h profe</w:t>
      </w:r>
      <w:r>
        <w:rPr>
          <w:rFonts w:eastAsia="Arial Narrow" w:cstheme="minorHAnsi"/>
          <w:spacing w:val="-2"/>
        </w:rPr>
        <w:t>s</w:t>
      </w:r>
      <w:r>
        <w:rPr>
          <w:rFonts w:eastAsia="Arial Narrow" w:cstheme="minorHAnsi"/>
          <w:spacing w:val="1"/>
        </w:rPr>
        <w:t>ij</w:t>
      </w:r>
      <w:r>
        <w:rPr>
          <w:rFonts w:eastAsia="Arial Narrow" w:cstheme="minorHAnsi"/>
        </w:rPr>
        <w:t>a</w:t>
      </w:r>
      <w:r>
        <w:rPr>
          <w:rFonts w:eastAsia="Arial Narrow" w:cstheme="minorHAnsi"/>
          <w:spacing w:val="2"/>
        </w:rPr>
        <w:t xml:space="preserve"> </w:t>
      </w:r>
      <w:r>
        <w:rPr>
          <w:rFonts w:eastAsia="Arial Narrow" w:cstheme="minorHAnsi"/>
          <w:spacing w:val="-2"/>
        </w:rPr>
        <w:t>p</w:t>
      </w:r>
      <w:r>
        <w:rPr>
          <w:rFonts w:eastAsia="Arial Narrow" w:cstheme="minorHAnsi"/>
        </w:rPr>
        <w:t>o</w:t>
      </w:r>
      <w:r>
        <w:rPr>
          <w:rFonts w:eastAsia="Arial Narrow" w:cstheme="minorHAnsi"/>
          <w:spacing w:val="1"/>
        </w:rPr>
        <w:t>s</w:t>
      </w:r>
      <w:r>
        <w:rPr>
          <w:rFonts w:eastAsia="Arial Narrow" w:cstheme="minorHAnsi"/>
        </w:rPr>
        <w:t>t</w:t>
      </w:r>
      <w:r>
        <w:rPr>
          <w:rFonts w:eastAsia="Arial Narrow" w:cstheme="minorHAnsi"/>
          <w:spacing w:val="-2"/>
        </w:rPr>
        <w:t>oj</w:t>
      </w:r>
      <w:r>
        <w:rPr>
          <w:rFonts w:eastAsia="Arial Narrow" w:cstheme="minorHAnsi"/>
        </w:rPr>
        <w:t>e</w:t>
      </w:r>
      <w:r>
        <w:rPr>
          <w:rFonts w:eastAsia="Arial Narrow" w:cstheme="minorHAnsi"/>
          <w:spacing w:val="2"/>
        </w:rPr>
        <w:t xml:space="preserve"> </w:t>
      </w:r>
      <w:r>
        <w:rPr>
          <w:rFonts w:eastAsia="Arial Narrow" w:cstheme="minorHAnsi"/>
        </w:rPr>
        <w:t>i</w:t>
      </w:r>
      <w:r>
        <w:rPr>
          <w:rFonts w:eastAsia="Arial Narrow" w:cstheme="minorHAnsi"/>
          <w:spacing w:val="3"/>
        </w:rPr>
        <w:t xml:space="preserve"> </w:t>
      </w:r>
      <w:r>
        <w:rPr>
          <w:rFonts w:eastAsia="Arial Narrow" w:cstheme="minorHAnsi"/>
        </w:rPr>
        <w:t>ner</w:t>
      </w:r>
      <w:r>
        <w:rPr>
          <w:rFonts w:eastAsia="Arial Narrow" w:cstheme="minorHAnsi"/>
          <w:spacing w:val="-2"/>
        </w:rPr>
        <w:t>a</w:t>
      </w:r>
      <w:r>
        <w:rPr>
          <w:rFonts w:eastAsia="Arial Narrow" w:cstheme="minorHAnsi"/>
          <w:spacing w:val="1"/>
        </w:rPr>
        <w:t>zv</w:t>
      </w:r>
      <w:r>
        <w:rPr>
          <w:rFonts w:eastAsia="Arial Narrow" w:cstheme="minorHAnsi"/>
          <w:spacing w:val="-3"/>
        </w:rPr>
        <w:t>r</w:t>
      </w:r>
      <w:r>
        <w:rPr>
          <w:rFonts w:eastAsia="Arial Narrow" w:cstheme="minorHAnsi"/>
          <w:spacing w:val="1"/>
        </w:rPr>
        <w:t>s</w:t>
      </w:r>
      <w:r>
        <w:rPr>
          <w:rFonts w:eastAsia="Arial Narrow" w:cstheme="minorHAnsi"/>
        </w:rPr>
        <w:t>tani pre</w:t>
      </w:r>
      <w:r>
        <w:rPr>
          <w:rFonts w:eastAsia="Arial Narrow" w:cstheme="minorHAnsi"/>
          <w:spacing w:val="-2"/>
        </w:rPr>
        <w:t>m</w:t>
      </w:r>
      <w:r>
        <w:rPr>
          <w:rFonts w:eastAsia="Arial Narrow" w:cstheme="minorHAnsi"/>
        </w:rPr>
        <w:t>a d</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rPr>
        <w:t>at</w:t>
      </w:r>
      <w:r>
        <w:rPr>
          <w:rFonts w:eastAsia="Arial Narrow" w:cstheme="minorHAnsi"/>
          <w:spacing w:val="-2"/>
        </w:rPr>
        <w:t>n</w:t>
      </w:r>
      <w:r>
        <w:rPr>
          <w:rFonts w:eastAsia="Arial Narrow" w:cstheme="minorHAnsi"/>
        </w:rPr>
        <w:t>o</w:t>
      </w:r>
      <w:r>
        <w:rPr>
          <w:rFonts w:eastAsia="Arial Narrow" w:cstheme="minorHAnsi"/>
          <w:spacing w:val="1"/>
        </w:rPr>
        <w:t>s</w:t>
      </w:r>
      <w:r>
        <w:rPr>
          <w:rFonts w:eastAsia="Arial Narrow" w:cstheme="minorHAnsi"/>
        </w:rPr>
        <w:t>ti</w:t>
      </w:r>
      <w:r>
        <w:rPr>
          <w:rFonts w:eastAsia="Arial Narrow" w:cstheme="minorHAnsi"/>
          <w:spacing w:val="-2"/>
        </w:rPr>
        <w:t xml:space="preserve"> </w:t>
      </w:r>
      <w:r>
        <w:rPr>
          <w:rFonts w:eastAsia="Arial Narrow" w:cstheme="minorHAnsi"/>
        </w:rPr>
        <w:t xml:space="preserve">(324 u </w:t>
      </w:r>
      <w:r>
        <w:rPr>
          <w:rFonts w:eastAsia="Arial Narrow" w:cstheme="minorHAnsi"/>
          <w:spacing w:val="-1"/>
        </w:rPr>
        <w:t>R</w:t>
      </w:r>
      <w:r>
        <w:rPr>
          <w:rFonts w:eastAsia="Arial Narrow" w:cstheme="minorHAnsi"/>
        </w:rPr>
        <w:t>H</w:t>
      </w:r>
      <w:r>
        <w:rPr>
          <w:rFonts w:eastAsia="Arial Narrow" w:cstheme="minorHAnsi"/>
          <w:spacing w:val="-1"/>
        </w:rPr>
        <w:t xml:space="preserve"> </w:t>
      </w:r>
      <w:r>
        <w:rPr>
          <w:rFonts w:eastAsia="Arial Narrow" w:cstheme="minorHAnsi"/>
        </w:rPr>
        <w:t xml:space="preserve">) </w:t>
      </w:r>
      <w:r>
        <w:rPr>
          <w:rFonts w:eastAsia="Arial Narrow" w:cstheme="minorHAnsi"/>
          <w:spacing w:val="1"/>
        </w:rPr>
        <w:t>k</w:t>
      </w:r>
      <w:r>
        <w:rPr>
          <w:rFonts w:eastAsia="Arial Narrow" w:cstheme="minorHAnsi"/>
          <w:spacing w:val="-2"/>
        </w:rPr>
        <w:t>o</w:t>
      </w:r>
      <w:r>
        <w:rPr>
          <w:rFonts w:eastAsia="Arial Narrow" w:cstheme="minorHAnsi"/>
          <w:spacing w:val="1"/>
        </w:rPr>
        <w:t>j</w:t>
      </w:r>
      <w:r>
        <w:rPr>
          <w:rFonts w:eastAsia="Arial Narrow" w:cstheme="minorHAnsi"/>
        </w:rPr>
        <w:t>e t</w:t>
      </w:r>
      <w:r>
        <w:rPr>
          <w:rFonts w:eastAsia="Arial Narrow" w:cstheme="minorHAnsi"/>
          <w:spacing w:val="-2"/>
        </w:rPr>
        <w:t>a</w:t>
      </w:r>
      <w:r>
        <w:rPr>
          <w:rFonts w:eastAsia="Arial Narrow" w:cstheme="minorHAnsi"/>
          <w:spacing w:val="1"/>
        </w:rPr>
        <w:t>k</w:t>
      </w:r>
      <w:r>
        <w:rPr>
          <w:rFonts w:eastAsia="Arial Narrow" w:cstheme="minorHAnsi"/>
        </w:rPr>
        <w:t>o</w:t>
      </w:r>
      <w:r>
        <w:rPr>
          <w:rFonts w:eastAsia="Arial Narrow" w:cstheme="minorHAnsi"/>
          <w:spacing w:val="1"/>
        </w:rPr>
        <w:t>đ</w:t>
      </w:r>
      <w:r>
        <w:rPr>
          <w:rFonts w:eastAsia="Arial Narrow" w:cstheme="minorHAnsi"/>
        </w:rPr>
        <w:t>er</w:t>
      </w:r>
      <w:r>
        <w:rPr>
          <w:rFonts w:eastAsia="Arial Narrow" w:cstheme="minorHAnsi"/>
          <w:spacing w:val="-2"/>
        </w:rPr>
        <w:t xml:space="preserve"> </w:t>
      </w:r>
      <w:r>
        <w:rPr>
          <w:rFonts w:eastAsia="Arial Narrow" w:cstheme="minorHAnsi"/>
        </w:rPr>
        <w:t xml:space="preserve">ne </w:t>
      </w:r>
      <w:r>
        <w:rPr>
          <w:rFonts w:eastAsia="Arial Narrow" w:cstheme="minorHAnsi"/>
          <w:spacing w:val="-2"/>
        </w:rPr>
        <w:t>u</w:t>
      </w:r>
      <w:r>
        <w:rPr>
          <w:rFonts w:eastAsia="Arial Narrow" w:cstheme="minorHAnsi"/>
          <w:spacing w:val="1"/>
        </w:rPr>
        <w:t>zi</w:t>
      </w:r>
      <w:r>
        <w:rPr>
          <w:rFonts w:eastAsia="Arial Narrow" w:cstheme="minorHAnsi"/>
          <w:spacing w:val="-2"/>
        </w:rPr>
        <w:t>m</w:t>
      </w:r>
      <w:r>
        <w:rPr>
          <w:rFonts w:eastAsia="Arial Narrow" w:cstheme="minorHAnsi"/>
        </w:rPr>
        <w:t>amo u r</w:t>
      </w:r>
      <w:r>
        <w:rPr>
          <w:rFonts w:eastAsia="Arial Narrow" w:cstheme="minorHAnsi"/>
          <w:spacing w:val="-2"/>
        </w:rPr>
        <w:t>a</w:t>
      </w:r>
      <w:r>
        <w:rPr>
          <w:rFonts w:eastAsia="Arial Narrow" w:cstheme="minorHAnsi"/>
          <w:spacing w:val="1"/>
        </w:rPr>
        <w:t>z</w:t>
      </w:r>
      <w:r>
        <w:rPr>
          <w:rFonts w:eastAsia="Arial Narrow" w:cstheme="minorHAnsi"/>
        </w:rPr>
        <w:t>mat</w:t>
      </w:r>
      <w:r>
        <w:rPr>
          <w:rFonts w:eastAsia="Arial Narrow" w:cstheme="minorHAnsi"/>
          <w:spacing w:val="-3"/>
        </w:rPr>
        <w:t>r</w:t>
      </w:r>
      <w:r>
        <w:rPr>
          <w:rFonts w:eastAsia="Arial Narrow" w:cstheme="minorHAnsi"/>
        </w:rPr>
        <w:t>an</w:t>
      </w:r>
      <w:r>
        <w:rPr>
          <w:rFonts w:eastAsia="Arial Narrow" w:cstheme="minorHAnsi"/>
          <w:spacing w:val="1"/>
        </w:rPr>
        <w:t>j</w:t>
      </w:r>
      <w:r>
        <w:rPr>
          <w:rFonts w:eastAsia="Arial Narrow" w:cstheme="minorHAnsi"/>
        </w:rPr>
        <w:t>e.</w:t>
      </w:r>
    </w:p>
    <w:p w14:paraId="7A6F30C4" w14:textId="25B5EE09" w:rsidR="008878A0" w:rsidRDefault="008878A0" w:rsidP="00941871">
      <w:pPr>
        <w:ind w:left="116" w:right="71"/>
        <w:rPr>
          <w:rFonts w:eastAsia="Arial Narrow" w:cstheme="minorHAnsi"/>
        </w:rPr>
      </w:pPr>
      <w:r>
        <w:rPr>
          <w:rFonts w:eastAsia="Arial Narrow" w:cstheme="minorHAnsi"/>
          <w:spacing w:val="-1"/>
        </w:rPr>
        <w:t>P</w:t>
      </w:r>
      <w:r>
        <w:rPr>
          <w:rFonts w:eastAsia="Arial Narrow" w:cstheme="minorHAnsi"/>
        </w:rPr>
        <w:t>rema</w:t>
      </w:r>
      <w:r>
        <w:rPr>
          <w:rFonts w:eastAsia="Arial Narrow" w:cstheme="minorHAnsi"/>
          <w:spacing w:val="2"/>
        </w:rPr>
        <w:t xml:space="preserve"> </w:t>
      </w:r>
      <w:r>
        <w:rPr>
          <w:rFonts w:eastAsia="Arial Narrow" w:cstheme="minorHAnsi"/>
          <w:spacing w:val="1"/>
        </w:rPr>
        <w:t>iz</w:t>
      </w:r>
      <w:r>
        <w:rPr>
          <w:rFonts w:eastAsia="Arial Narrow" w:cstheme="minorHAnsi"/>
          <w:spacing w:val="-3"/>
        </w:rPr>
        <w:t>r</w:t>
      </w:r>
      <w:r>
        <w:rPr>
          <w:rFonts w:eastAsia="Arial Narrow" w:cstheme="minorHAnsi"/>
        </w:rPr>
        <w:t>a</w:t>
      </w:r>
      <w:r>
        <w:rPr>
          <w:rFonts w:eastAsia="Arial Narrow" w:cstheme="minorHAnsi"/>
          <w:spacing w:val="1"/>
        </w:rPr>
        <w:t>č</w:t>
      </w:r>
      <w:r>
        <w:rPr>
          <w:rFonts w:eastAsia="Arial Narrow" w:cstheme="minorHAnsi"/>
        </w:rPr>
        <w:t>u</w:t>
      </w:r>
      <w:r>
        <w:rPr>
          <w:rFonts w:eastAsia="Arial Narrow" w:cstheme="minorHAnsi"/>
          <w:spacing w:val="-2"/>
        </w:rPr>
        <w:t>n</w:t>
      </w:r>
      <w:r>
        <w:rPr>
          <w:rFonts w:eastAsia="Arial Narrow" w:cstheme="minorHAnsi"/>
        </w:rPr>
        <w:t>u,</w:t>
      </w:r>
      <w:r>
        <w:rPr>
          <w:rFonts w:eastAsia="Arial Narrow" w:cstheme="minorHAnsi"/>
          <w:spacing w:val="2"/>
        </w:rPr>
        <w:t xml:space="preserve"> </w:t>
      </w:r>
      <w:r>
        <w:rPr>
          <w:rFonts w:eastAsia="Arial Narrow" w:cstheme="minorHAnsi"/>
          <w:spacing w:val="1"/>
        </w:rPr>
        <w:t>l</w:t>
      </w:r>
      <w:r>
        <w:rPr>
          <w:rFonts w:eastAsia="Arial Narrow" w:cstheme="minorHAnsi"/>
          <w:spacing w:val="-2"/>
        </w:rPr>
        <w:t>o</w:t>
      </w:r>
      <w:r>
        <w:rPr>
          <w:rFonts w:eastAsia="Arial Narrow" w:cstheme="minorHAnsi"/>
          <w:spacing w:val="1"/>
        </w:rPr>
        <w:t>k</w:t>
      </w:r>
      <w:r>
        <w:rPr>
          <w:rFonts w:eastAsia="Arial Narrow" w:cstheme="minorHAnsi"/>
        </w:rPr>
        <w:t>a</w:t>
      </w:r>
      <w:r>
        <w:rPr>
          <w:rFonts w:eastAsia="Arial Narrow" w:cstheme="minorHAnsi"/>
          <w:spacing w:val="-2"/>
        </w:rPr>
        <w:t>c</w:t>
      </w:r>
      <w:r>
        <w:rPr>
          <w:rFonts w:eastAsia="Arial Narrow" w:cstheme="minorHAnsi"/>
          <w:spacing w:val="1"/>
        </w:rPr>
        <w:t>ij</w:t>
      </w:r>
      <w:r>
        <w:rPr>
          <w:rFonts w:eastAsia="Arial Narrow" w:cstheme="minorHAnsi"/>
          <w:spacing w:val="-2"/>
        </w:rPr>
        <w:t>s</w:t>
      </w:r>
      <w:r>
        <w:rPr>
          <w:rFonts w:eastAsia="Arial Narrow" w:cstheme="minorHAnsi"/>
          <w:spacing w:val="1"/>
        </w:rPr>
        <w:t>k</w:t>
      </w:r>
      <w:r>
        <w:rPr>
          <w:rFonts w:eastAsia="Arial Narrow" w:cstheme="minorHAnsi"/>
        </w:rPr>
        <w:t xml:space="preserve">i </w:t>
      </w:r>
      <w:r>
        <w:rPr>
          <w:rFonts w:eastAsia="Arial Narrow" w:cstheme="minorHAnsi"/>
          <w:spacing w:val="-2"/>
        </w:rPr>
        <w:t>k</w:t>
      </w:r>
      <w:r>
        <w:rPr>
          <w:rFonts w:eastAsia="Arial Narrow" w:cstheme="minorHAnsi"/>
          <w:spacing w:val="1"/>
        </w:rPr>
        <w:t>v</w:t>
      </w:r>
      <w:r>
        <w:rPr>
          <w:rFonts w:eastAsia="Arial Narrow" w:cstheme="minorHAnsi"/>
        </w:rPr>
        <w:t>o</w:t>
      </w:r>
      <w:r>
        <w:rPr>
          <w:rFonts w:eastAsia="Arial Narrow" w:cstheme="minorHAnsi"/>
          <w:spacing w:val="1"/>
        </w:rPr>
        <w:t>c</w:t>
      </w:r>
      <w:r>
        <w:rPr>
          <w:rFonts w:eastAsia="Arial Narrow" w:cstheme="minorHAnsi"/>
          <w:spacing w:val="-2"/>
        </w:rPr>
        <w:t>i</w:t>
      </w:r>
      <w:r>
        <w:rPr>
          <w:rFonts w:eastAsia="Arial Narrow" w:cstheme="minorHAnsi"/>
          <w:spacing w:val="1"/>
        </w:rPr>
        <w:t>j</w:t>
      </w:r>
      <w:r>
        <w:rPr>
          <w:rFonts w:eastAsia="Arial Narrow" w:cstheme="minorHAnsi"/>
        </w:rPr>
        <w:t>ent</w:t>
      </w:r>
      <w:r>
        <w:rPr>
          <w:rFonts w:eastAsia="Arial Narrow" w:cstheme="minorHAnsi"/>
          <w:spacing w:val="2"/>
        </w:rPr>
        <w:t xml:space="preserve"> </w:t>
      </w:r>
      <w:r>
        <w:rPr>
          <w:rFonts w:eastAsia="Arial Narrow" w:cstheme="minorHAnsi"/>
          <w:spacing w:val="-2"/>
        </w:rPr>
        <w:t>n</w:t>
      </w:r>
      <w:r>
        <w:rPr>
          <w:rFonts w:eastAsia="Arial Narrow" w:cstheme="minorHAnsi"/>
        </w:rPr>
        <w:t>a</w:t>
      </w:r>
      <w:r>
        <w:rPr>
          <w:rFonts w:eastAsia="Arial Narrow" w:cstheme="minorHAnsi"/>
          <w:spacing w:val="2"/>
        </w:rPr>
        <w:t xml:space="preserve"> </w:t>
      </w:r>
      <w:r>
        <w:rPr>
          <w:rFonts w:eastAsia="Arial Narrow" w:cstheme="minorHAnsi"/>
        </w:rPr>
        <w:t>pod</w:t>
      </w:r>
      <w:r>
        <w:rPr>
          <w:rFonts w:eastAsia="Arial Narrow" w:cstheme="minorHAnsi"/>
          <w:spacing w:val="-3"/>
        </w:rPr>
        <w:t>r</w:t>
      </w:r>
      <w:r>
        <w:rPr>
          <w:rFonts w:eastAsia="Arial Narrow" w:cstheme="minorHAnsi"/>
        </w:rPr>
        <w:t>u</w:t>
      </w:r>
      <w:r>
        <w:rPr>
          <w:rFonts w:eastAsia="Arial Narrow" w:cstheme="minorHAnsi"/>
          <w:spacing w:val="1"/>
        </w:rPr>
        <w:t>čj</w:t>
      </w:r>
      <w:r>
        <w:rPr>
          <w:rFonts w:eastAsia="Arial Narrow" w:cstheme="minorHAnsi"/>
        </w:rPr>
        <w:t xml:space="preserve">u </w:t>
      </w:r>
      <w:r>
        <w:rPr>
          <w:rFonts w:eastAsia="Arial Narrow" w:cstheme="minorHAnsi"/>
          <w:spacing w:val="-1"/>
        </w:rPr>
        <w:t>K</w:t>
      </w:r>
      <w:r>
        <w:rPr>
          <w:rFonts w:eastAsia="Arial Narrow" w:cstheme="minorHAnsi"/>
        </w:rPr>
        <w:t>rap</w:t>
      </w:r>
      <w:r>
        <w:rPr>
          <w:rFonts w:eastAsia="Arial Narrow" w:cstheme="minorHAnsi"/>
          <w:spacing w:val="1"/>
        </w:rPr>
        <w:t>i</w:t>
      </w:r>
      <w:r>
        <w:rPr>
          <w:rFonts w:eastAsia="Arial Narrow" w:cstheme="minorHAnsi"/>
          <w:spacing w:val="-2"/>
        </w:rPr>
        <w:t>ns</w:t>
      </w:r>
      <w:r>
        <w:rPr>
          <w:rFonts w:eastAsia="Arial Narrow" w:cstheme="minorHAnsi"/>
          <w:spacing w:val="1"/>
        </w:rPr>
        <w:t>k</w:t>
      </w:r>
      <w:r>
        <w:rPr>
          <w:rFonts w:eastAsia="Arial Narrow" w:cstheme="minorHAnsi"/>
        </w:rPr>
        <w:t>o-</w:t>
      </w:r>
      <w:r>
        <w:rPr>
          <w:rFonts w:eastAsia="Arial Narrow" w:cstheme="minorHAnsi"/>
          <w:spacing w:val="1"/>
        </w:rPr>
        <w:t>z</w:t>
      </w:r>
      <w:r>
        <w:rPr>
          <w:rFonts w:eastAsia="Arial Narrow" w:cstheme="minorHAnsi"/>
        </w:rPr>
        <w:t>a</w:t>
      </w:r>
      <w:r>
        <w:rPr>
          <w:rFonts w:eastAsia="Arial Narrow" w:cstheme="minorHAnsi"/>
          <w:spacing w:val="-2"/>
        </w:rPr>
        <w:t>g</w:t>
      </w:r>
      <w:r>
        <w:rPr>
          <w:rFonts w:eastAsia="Arial Narrow" w:cstheme="minorHAnsi"/>
        </w:rPr>
        <w:t>or</w:t>
      </w:r>
      <w:r>
        <w:rPr>
          <w:rFonts w:eastAsia="Arial Narrow" w:cstheme="minorHAnsi"/>
          <w:spacing w:val="1"/>
        </w:rPr>
        <w:t>s</w:t>
      </w:r>
      <w:r>
        <w:rPr>
          <w:rFonts w:eastAsia="Arial Narrow" w:cstheme="minorHAnsi"/>
          <w:spacing w:val="-2"/>
        </w:rPr>
        <w:t>k</w:t>
      </w:r>
      <w:r>
        <w:rPr>
          <w:rFonts w:eastAsia="Arial Narrow" w:cstheme="minorHAnsi"/>
        </w:rPr>
        <w:t>e</w:t>
      </w:r>
      <w:r>
        <w:rPr>
          <w:rFonts w:eastAsia="Arial Narrow" w:cstheme="minorHAnsi"/>
          <w:spacing w:val="2"/>
        </w:rPr>
        <w:t xml:space="preserve"> </w:t>
      </w:r>
      <w:r>
        <w:rPr>
          <w:rFonts w:eastAsia="Arial Narrow" w:cstheme="minorHAnsi"/>
          <w:spacing w:val="1"/>
        </w:rPr>
        <w:t>ž</w:t>
      </w:r>
      <w:r>
        <w:rPr>
          <w:rFonts w:eastAsia="Arial Narrow" w:cstheme="minorHAnsi"/>
        </w:rPr>
        <w:t>u</w:t>
      </w:r>
      <w:r>
        <w:rPr>
          <w:rFonts w:eastAsia="Arial Narrow" w:cstheme="minorHAnsi"/>
          <w:spacing w:val="-2"/>
        </w:rPr>
        <w:t>p</w:t>
      </w:r>
      <w:r>
        <w:rPr>
          <w:rFonts w:eastAsia="Arial Narrow" w:cstheme="minorHAnsi"/>
        </w:rPr>
        <w:t>an</w:t>
      </w:r>
      <w:r>
        <w:rPr>
          <w:rFonts w:eastAsia="Arial Narrow" w:cstheme="minorHAnsi"/>
          <w:spacing w:val="1"/>
        </w:rPr>
        <w:t>i</w:t>
      </w:r>
      <w:r>
        <w:rPr>
          <w:rFonts w:eastAsia="Arial Narrow" w:cstheme="minorHAnsi"/>
          <w:spacing w:val="-2"/>
        </w:rPr>
        <w:t>j</w:t>
      </w:r>
      <w:r>
        <w:rPr>
          <w:rFonts w:eastAsia="Arial Narrow" w:cstheme="minorHAnsi"/>
        </w:rPr>
        <w:t>e</w:t>
      </w:r>
      <w:r>
        <w:rPr>
          <w:rFonts w:eastAsia="Arial Narrow" w:cstheme="minorHAnsi"/>
          <w:spacing w:val="2"/>
        </w:rPr>
        <w:t xml:space="preserve"> </w:t>
      </w:r>
      <w:r>
        <w:rPr>
          <w:rFonts w:eastAsia="Arial Narrow" w:cstheme="minorHAnsi"/>
          <w:spacing w:val="1"/>
        </w:rPr>
        <w:t>i</w:t>
      </w:r>
      <w:r>
        <w:rPr>
          <w:rFonts w:eastAsia="Arial Narrow" w:cstheme="minorHAnsi"/>
          <w:spacing w:val="-2"/>
        </w:rPr>
        <w:t>z</w:t>
      </w:r>
      <w:r>
        <w:rPr>
          <w:rFonts w:eastAsia="Arial Narrow" w:cstheme="minorHAnsi"/>
        </w:rPr>
        <w:t>nad 1</w:t>
      </w:r>
      <w:r>
        <w:rPr>
          <w:rFonts w:eastAsia="Arial Narrow" w:cstheme="minorHAnsi"/>
          <w:spacing w:val="2"/>
        </w:rPr>
        <w:t xml:space="preserve"> </w:t>
      </w:r>
      <w:r>
        <w:rPr>
          <w:rFonts w:eastAsia="Arial Narrow" w:cstheme="minorHAnsi"/>
          <w:spacing w:val="1"/>
        </w:rPr>
        <w:t>i</w:t>
      </w:r>
      <w:r>
        <w:rPr>
          <w:rFonts w:eastAsia="Arial Narrow" w:cstheme="minorHAnsi"/>
        </w:rPr>
        <w:t>m</w:t>
      </w:r>
      <w:r>
        <w:rPr>
          <w:rFonts w:eastAsia="Arial Narrow" w:cstheme="minorHAnsi"/>
          <w:spacing w:val="-2"/>
        </w:rPr>
        <w:t>a</w:t>
      </w:r>
      <w:r>
        <w:rPr>
          <w:rFonts w:eastAsia="Arial Narrow" w:cstheme="minorHAnsi"/>
          <w:spacing w:val="1"/>
        </w:rPr>
        <w:t>j</w:t>
      </w:r>
      <w:r>
        <w:rPr>
          <w:rFonts w:eastAsia="Arial Narrow" w:cstheme="minorHAnsi"/>
        </w:rPr>
        <w:t>u</w:t>
      </w:r>
      <w:r>
        <w:rPr>
          <w:rFonts w:eastAsia="Arial Narrow" w:cstheme="minorHAnsi"/>
          <w:spacing w:val="2"/>
        </w:rPr>
        <w:t xml:space="preserve"> </w:t>
      </w:r>
      <w:r>
        <w:rPr>
          <w:rFonts w:eastAsia="Arial Narrow" w:cstheme="minorHAnsi"/>
        </w:rPr>
        <w:t>d</w:t>
      </w:r>
      <w:r>
        <w:rPr>
          <w:rFonts w:eastAsia="Arial Narrow" w:cstheme="minorHAnsi"/>
          <w:spacing w:val="-2"/>
        </w:rPr>
        <w:t>j</w:t>
      </w:r>
      <w:r>
        <w:rPr>
          <w:rFonts w:eastAsia="Arial Narrow" w:cstheme="minorHAnsi"/>
        </w:rPr>
        <w:t>e</w:t>
      </w:r>
      <w:r>
        <w:rPr>
          <w:rFonts w:eastAsia="Arial Narrow" w:cstheme="minorHAnsi"/>
          <w:spacing w:val="1"/>
        </w:rPr>
        <w:t>l</w:t>
      </w:r>
      <w:r>
        <w:rPr>
          <w:rFonts w:eastAsia="Arial Narrow" w:cstheme="minorHAnsi"/>
        </w:rPr>
        <w:t>at</w:t>
      </w:r>
      <w:r>
        <w:rPr>
          <w:rFonts w:eastAsia="Arial Narrow" w:cstheme="minorHAnsi"/>
          <w:spacing w:val="-2"/>
        </w:rPr>
        <w:t>n</w:t>
      </w:r>
      <w:r>
        <w:rPr>
          <w:rFonts w:eastAsia="Arial Narrow" w:cstheme="minorHAnsi"/>
        </w:rPr>
        <w:t>o</w:t>
      </w:r>
      <w:r>
        <w:rPr>
          <w:rFonts w:eastAsia="Arial Narrow" w:cstheme="minorHAnsi"/>
          <w:spacing w:val="1"/>
        </w:rPr>
        <w:t>s</w:t>
      </w:r>
      <w:r>
        <w:rPr>
          <w:rFonts w:eastAsia="Arial Narrow" w:cstheme="minorHAnsi"/>
        </w:rPr>
        <w:t>ti</w:t>
      </w:r>
      <w:r>
        <w:rPr>
          <w:rFonts w:eastAsia="Arial Narrow" w:cstheme="minorHAnsi"/>
          <w:spacing w:val="3"/>
        </w:rPr>
        <w:t xml:space="preserve"> </w:t>
      </w:r>
      <w:r w:rsidR="00477D31">
        <w:rPr>
          <w:rFonts w:eastAsia="Arial Narrow" w:cstheme="minorHAnsi"/>
        </w:rPr>
        <w:t xml:space="preserve">C - </w:t>
      </w:r>
      <w:r>
        <w:rPr>
          <w:rFonts w:eastAsia="Arial Narrow" w:cstheme="minorHAnsi"/>
        </w:rPr>
        <w:t>prera</w:t>
      </w:r>
      <w:r>
        <w:rPr>
          <w:rFonts w:eastAsia="Arial Narrow" w:cstheme="minorHAnsi"/>
          <w:spacing w:val="1"/>
        </w:rPr>
        <w:t>đ</w:t>
      </w:r>
      <w:r>
        <w:rPr>
          <w:rFonts w:eastAsia="Arial Narrow" w:cstheme="minorHAnsi"/>
          <w:spacing w:val="-2"/>
        </w:rPr>
        <w:t>i</w:t>
      </w:r>
      <w:r>
        <w:rPr>
          <w:rFonts w:eastAsia="Arial Narrow" w:cstheme="minorHAnsi"/>
          <w:spacing w:val="1"/>
        </w:rPr>
        <w:t>v</w:t>
      </w:r>
      <w:r>
        <w:rPr>
          <w:rFonts w:eastAsia="Arial Narrow" w:cstheme="minorHAnsi"/>
        </w:rPr>
        <w:t>a</w:t>
      </w:r>
      <w:r>
        <w:rPr>
          <w:rFonts w:eastAsia="Arial Narrow" w:cstheme="minorHAnsi"/>
          <w:spacing w:val="-2"/>
        </w:rPr>
        <w:t>č</w:t>
      </w:r>
      <w:r>
        <w:rPr>
          <w:rFonts w:eastAsia="Arial Narrow" w:cstheme="minorHAnsi"/>
          <w:spacing w:val="1"/>
        </w:rPr>
        <w:t>k</w:t>
      </w:r>
      <w:r>
        <w:rPr>
          <w:rFonts w:eastAsia="Arial Narrow" w:cstheme="minorHAnsi"/>
        </w:rPr>
        <w:t>a</w:t>
      </w:r>
      <w:r>
        <w:rPr>
          <w:rFonts w:eastAsia="Arial Narrow" w:cstheme="minorHAnsi"/>
          <w:spacing w:val="3"/>
        </w:rPr>
        <w:t xml:space="preserve"> </w:t>
      </w:r>
      <w:r>
        <w:rPr>
          <w:rFonts w:eastAsia="Arial Narrow" w:cstheme="minorHAnsi"/>
          <w:spacing w:val="-2"/>
        </w:rPr>
        <w:t>i</w:t>
      </w:r>
      <w:r>
        <w:rPr>
          <w:rFonts w:eastAsia="Arial Narrow" w:cstheme="minorHAnsi"/>
        </w:rPr>
        <w:t>ndu</w:t>
      </w:r>
      <w:r>
        <w:rPr>
          <w:rFonts w:eastAsia="Arial Narrow" w:cstheme="minorHAnsi"/>
          <w:spacing w:val="-2"/>
        </w:rPr>
        <w:t>s</w:t>
      </w:r>
      <w:r>
        <w:rPr>
          <w:rFonts w:eastAsia="Arial Narrow" w:cstheme="minorHAnsi"/>
        </w:rPr>
        <w:t>tr</w:t>
      </w:r>
      <w:r>
        <w:rPr>
          <w:rFonts w:eastAsia="Arial Narrow" w:cstheme="minorHAnsi"/>
          <w:spacing w:val="1"/>
        </w:rPr>
        <w:t>ij</w:t>
      </w:r>
      <w:r>
        <w:rPr>
          <w:rFonts w:eastAsia="Arial Narrow" w:cstheme="minorHAnsi"/>
        </w:rPr>
        <w:t>a (1,95), slijedi B</w:t>
      </w:r>
      <w:r w:rsidR="00477D31">
        <w:rPr>
          <w:rFonts w:eastAsia="Arial Narrow" w:cstheme="minorHAnsi"/>
          <w:spacing w:val="2"/>
        </w:rPr>
        <w:t xml:space="preserve"> - </w:t>
      </w:r>
      <w:r>
        <w:rPr>
          <w:rFonts w:eastAsia="Arial Narrow" w:cstheme="minorHAnsi"/>
        </w:rPr>
        <w:t>rudar</w:t>
      </w:r>
      <w:r>
        <w:rPr>
          <w:rFonts w:eastAsia="Arial Narrow" w:cstheme="minorHAnsi"/>
          <w:spacing w:val="1"/>
        </w:rPr>
        <w:t>s</w:t>
      </w:r>
      <w:r>
        <w:rPr>
          <w:rFonts w:eastAsia="Arial Narrow" w:cstheme="minorHAnsi"/>
        </w:rPr>
        <w:t>t</w:t>
      </w:r>
      <w:r>
        <w:rPr>
          <w:rFonts w:eastAsia="Arial Narrow" w:cstheme="minorHAnsi"/>
          <w:spacing w:val="1"/>
        </w:rPr>
        <w:t>v</w:t>
      </w:r>
      <w:r>
        <w:rPr>
          <w:rFonts w:eastAsia="Arial Narrow" w:cstheme="minorHAnsi"/>
        </w:rPr>
        <w:t xml:space="preserve">o i </w:t>
      </w:r>
      <w:r>
        <w:rPr>
          <w:rFonts w:eastAsia="Arial Narrow" w:cstheme="minorHAnsi"/>
          <w:spacing w:val="1"/>
        </w:rPr>
        <w:t>v</w:t>
      </w:r>
      <w:r>
        <w:rPr>
          <w:rFonts w:eastAsia="Arial Narrow" w:cstheme="minorHAnsi"/>
        </w:rPr>
        <w:t>a</w:t>
      </w:r>
      <w:r>
        <w:rPr>
          <w:rFonts w:eastAsia="Arial Narrow" w:cstheme="minorHAnsi"/>
          <w:spacing w:val="1"/>
        </w:rPr>
        <w:t>đ</w:t>
      </w:r>
      <w:r>
        <w:rPr>
          <w:rFonts w:eastAsia="Arial Narrow" w:cstheme="minorHAnsi"/>
        </w:rPr>
        <w:t>e</w:t>
      </w:r>
      <w:r>
        <w:rPr>
          <w:rFonts w:eastAsia="Arial Narrow" w:cstheme="minorHAnsi"/>
          <w:spacing w:val="-2"/>
        </w:rPr>
        <w:t>n</w:t>
      </w:r>
      <w:r>
        <w:rPr>
          <w:rFonts w:eastAsia="Arial Narrow" w:cstheme="minorHAnsi"/>
          <w:spacing w:val="1"/>
        </w:rPr>
        <w:t>j</w:t>
      </w:r>
      <w:r>
        <w:rPr>
          <w:rFonts w:eastAsia="Arial Narrow" w:cstheme="minorHAnsi"/>
        </w:rPr>
        <w:t>e</w:t>
      </w:r>
      <w:r>
        <w:rPr>
          <w:rFonts w:eastAsia="Arial Narrow" w:cstheme="minorHAnsi"/>
          <w:spacing w:val="3"/>
        </w:rPr>
        <w:t xml:space="preserve"> </w:t>
      </w:r>
      <w:r>
        <w:rPr>
          <w:rFonts w:eastAsia="Arial Narrow" w:cstheme="minorHAnsi"/>
          <w:spacing w:val="-3"/>
        </w:rPr>
        <w:t>(</w:t>
      </w:r>
      <w:r>
        <w:rPr>
          <w:rFonts w:eastAsia="Arial Narrow" w:cstheme="minorHAnsi"/>
        </w:rPr>
        <w:t xml:space="preserve">1,4), </w:t>
      </w:r>
      <w:r>
        <w:rPr>
          <w:rFonts w:eastAsia="Arial Narrow" w:cstheme="minorHAnsi"/>
          <w:spacing w:val="1"/>
        </w:rPr>
        <w:t>z</w:t>
      </w:r>
      <w:r>
        <w:rPr>
          <w:rFonts w:eastAsia="Arial Narrow" w:cstheme="minorHAnsi"/>
        </w:rPr>
        <w:t>at</w:t>
      </w:r>
      <w:r>
        <w:rPr>
          <w:rFonts w:eastAsia="Arial Narrow" w:cstheme="minorHAnsi"/>
          <w:spacing w:val="-2"/>
        </w:rPr>
        <w:t>i</w:t>
      </w:r>
      <w:r>
        <w:rPr>
          <w:rFonts w:eastAsia="Arial Narrow" w:cstheme="minorHAnsi"/>
        </w:rPr>
        <w:t>m</w:t>
      </w:r>
      <w:r>
        <w:rPr>
          <w:rFonts w:eastAsia="Arial Narrow" w:cstheme="minorHAnsi"/>
          <w:spacing w:val="3"/>
        </w:rPr>
        <w:t xml:space="preserve"> </w:t>
      </w:r>
      <w:r>
        <w:rPr>
          <w:rFonts w:eastAsia="Arial Narrow" w:cstheme="minorHAnsi"/>
        </w:rPr>
        <w:t>Q</w:t>
      </w:r>
      <w:r w:rsidR="00477D31">
        <w:rPr>
          <w:rFonts w:eastAsia="Arial Narrow" w:cstheme="minorHAnsi"/>
          <w:spacing w:val="3"/>
        </w:rPr>
        <w:t xml:space="preserve"> - </w:t>
      </w:r>
      <w:r>
        <w:rPr>
          <w:rFonts w:eastAsia="Arial Narrow" w:cstheme="minorHAnsi"/>
        </w:rPr>
        <w:t>d</w:t>
      </w:r>
      <w:r>
        <w:rPr>
          <w:rFonts w:eastAsia="Arial Narrow" w:cstheme="minorHAnsi"/>
          <w:spacing w:val="-2"/>
        </w:rPr>
        <w:t>j</w:t>
      </w:r>
      <w:r>
        <w:rPr>
          <w:rFonts w:eastAsia="Arial Narrow" w:cstheme="minorHAnsi"/>
        </w:rPr>
        <w:t>e</w:t>
      </w:r>
      <w:r>
        <w:rPr>
          <w:rFonts w:eastAsia="Arial Narrow" w:cstheme="minorHAnsi"/>
          <w:spacing w:val="1"/>
        </w:rPr>
        <w:t>l</w:t>
      </w:r>
      <w:r>
        <w:rPr>
          <w:rFonts w:eastAsia="Arial Narrow" w:cstheme="minorHAnsi"/>
        </w:rPr>
        <w:t>at</w:t>
      </w:r>
      <w:r>
        <w:rPr>
          <w:rFonts w:eastAsia="Arial Narrow" w:cstheme="minorHAnsi"/>
          <w:spacing w:val="-2"/>
        </w:rPr>
        <w:t>n</w:t>
      </w:r>
      <w:r>
        <w:rPr>
          <w:rFonts w:eastAsia="Arial Narrow" w:cstheme="minorHAnsi"/>
        </w:rPr>
        <w:t>o</w:t>
      </w:r>
      <w:r>
        <w:rPr>
          <w:rFonts w:eastAsia="Arial Narrow" w:cstheme="minorHAnsi"/>
          <w:spacing w:val="1"/>
        </w:rPr>
        <w:t>s</w:t>
      </w:r>
      <w:r>
        <w:rPr>
          <w:rFonts w:eastAsia="Arial Narrow" w:cstheme="minorHAnsi"/>
        </w:rPr>
        <w:t>ti</w:t>
      </w:r>
      <w:r>
        <w:rPr>
          <w:rFonts w:eastAsia="Arial Narrow" w:cstheme="minorHAnsi"/>
          <w:spacing w:val="1"/>
        </w:rPr>
        <w:t xml:space="preserve"> z</w:t>
      </w:r>
      <w:r>
        <w:rPr>
          <w:rFonts w:eastAsia="Arial Narrow" w:cstheme="minorHAnsi"/>
        </w:rPr>
        <w:t>dra</w:t>
      </w:r>
      <w:r>
        <w:rPr>
          <w:rFonts w:eastAsia="Arial Narrow" w:cstheme="minorHAnsi"/>
          <w:spacing w:val="-2"/>
        </w:rPr>
        <w:t>v</w:t>
      </w:r>
      <w:r>
        <w:rPr>
          <w:rFonts w:eastAsia="Arial Narrow" w:cstheme="minorHAnsi"/>
          <w:spacing w:val="1"/>
        </w:rPr>
        <w:t>s</w:t>
      </w:r>
      <w:r>
        <w:rPr>
          <w:rFonts w:eastAsia="Arial Narrow" w:cstheme="minorHAnsi"/>
        </w:rPr>
        <w:t>t</w:t>
      </w:r>
      <w:r>
        <w:rPr>
          <w:rFonts w:eastAsia="Arial Narrow" w:cstheme="minorHAnsi"/>
          <w:spacing w:val="1"/>
        </w:rPr>
        <w:t>v</w:t>
      </w:r>
      <w:r>
        <w:rPr>
          <w:rFonts w:eastAsia="Arial Narrow" w:cstheme="minorHAnsi"/>
        </w:rPr>
        <w:t>e</w:t>
      </w:r>
      <w:r>
        <w:rPr>
          <w:rFonts w:eastAsia="Arial Narrow" w:cstheme="minorHAnsi"/>
          <w:spacing w:val="-2"/>
        </w:rPr>
        <w:t>n</w:t>
      </w:r>
      <w:r>
        <w:rPr>
          <w:rFonts w:eastAsia="Arial Narrow" w:cstheme="minorHAnsi"/>
        </w:rPr>
        <w:t>e</w:t>
      </w:r>
      <w:r>
        <w:rPr>
          <w:rFonts w:eastAsia="Arial Narrow" w:cstheme="minorHAnsi"/>
          <w:spacing w:val="3"/>
        </w:rPr>
        <w:t xml:space="preserve"> </w:t>
      </w:r>
      <w:r>
        <w:rPr>
          <w:rFonts w:eastAsia="Arial Narrow" w:cstheme="minorHAnsi"/>
          <w:spacing w:val="1"/>
        </w:rPr>
        <w:t>z</w:t>
      </w:r>
      <w:r>
        <w:rPr>
          <w:rFonts w:eastAsia="Arial Narrow" w:cstheme="minorHAnsi"/>
        </w:rPr>
        <w:t>a</w:t>
      </w:r>
      <w:r>
        <w:rPr>
          <w:rFonts w:eastAsia="Arial Narrow" w:cstheme="minorHAnsi"/>
          <w:spacing w:val="1"/>
        </w:rPr>
        <w:t>š</w:t>
      </w:r>
      <w:r>
        <w:rPr>
          <w:rFonts w:eastAsia="Arial Narrow" w:cstheme="minorHAnsi"/>
          <w:spacing w:val="-2"/>
        </w:rPr>
        <w:t>t</w:t>
      </w:r>
      <w:r>
        <w:rPr>
          <w:rFonts w:eastAsia="Arial Narrow" w:cstheme="minorHAnsi"/>
          <w:spacing w:val="1"/>
        </w:rPr>
        <w:t>i</w:t>
      </w:r>
      <w:r>
        <w:rPr>
          <w:rFonts w:eastAsia="Arial Narrow" w:cstheme="minorHAnsi"/>
        </w:rPr>
        <w:t>te</w:t>
      </w:r>
      <w:r>
        <w:rPr>
          <w:rFonts w:eastAsia="Arial Narrow" w:cstheme="minorHAnsi"/>
          <w:spacing w:val="3"/>
        </w:rPr>
        <w:t xml:space="preserve"> </w:t>
      </w:r>
      <w:r>
        <w:rPr>
          <w:rFonts w:eastAsia="Arial Narrow" w:cstheme="minorHAnsi"/>
        </w:rPr>
        <w:t>i</w:t>
      </w:r>
      <w:r>
        <w:rPr>
          <w:rFonts w:eastAsia="Arial Narrow" w:cstheme="minorHAnsi"/>
          <w:spacing w:val="3"/>
        </w:rPr>
        <w:t xml:space="preserve"> </w:t>
      </w:r>
      <w:r>
        <w:rPr>
          <w:rFonts w:eastAsia="Arial Narrow" w:cstheme="minorHAnsi"/>
          <w:spacing w:val="1"/>
        </w:rPr>
        <w:t>s</w:t>
      </w:r>
      <w:r>
        <w:rPr>
          <w:rFonts w:eastAsia="Arial Narrow" w:cstheme="minorHAnsi"/>
          <w:spacing w:val="-2"/>
        </w:rPr>
        <w:t>o</w:t>
      </w:r>
      <w:r>
        <w:rPr>
          <w:rFonts w:eastAsia="Arial Narrow" w:cstheme="minorHAnsi"/>
          <w:spacing w:val="1"/>
        </w:rPr>
        <w:t>cij</w:t>
      </w:r>
      <w:r>
        <w:rPr>
          <w:rFonts w:eastAsia="Arial Narrow" w:cstheme="minorHAnsi"/>
          <w:spacing w:val="-2"/>
        </w:rPr>
        <w:t>a</w:t>
      </w:r>
      <w:r>
        <w:rPr>
          <w:rFonts w:eastAsia="Arial Narrow" w:cstheme="minorHAnsi"/>
          <w:spacing w:val="1"/>
        </w:rPr>
        <w:t>l</w:t>
      </w:r>
      <w:r>
        <w:rPr>
          <w:rFonts w:eastAsia="Arial Narrow" w:cstheme="minorHAnsi"/>
        </w:rPr>
        <w:t xml:space="preserve">ne </w:t>
      </w:r>
      <w:r>
        <w:rPr>
          <w:rFonts w:eastAsia="Arial Narrow" w:cstheme="minorHAnsi"/>
          <w:spacing w:val="1"/>
        </w:rPr>
        <w:t>sk</w:t>
      </w:r>
      <w:r>
        <w:rPr>
          <w:rFonts w:eastAsia="Arial Narrow" w:cstheme="minorHAnsi"/>
        </w:rPr>
        <w:t>rbi</w:t>
      </w:r>
      <w:r>
        <w:rPr>
          <w:rFonts w:eastAsia="Arial Narrow" w:cstheme="minorHAnsi"/>
          <w:spacing w:val="3"/>
        </w:rPr>
        <w:t xml:space="preserve"> </w:t>
      </w:r>
      <w:r w:rsidR="00477D31">
        <w:rPr>
          <w:rFonts w:eastAsia="Arial Narrow" w:cstheme="minorHAnsi"/>
        </w:rPr>
        <w:t xml:space="preserve">(1,33), E - </w:t>
      </w:r>
      <w:r>
        <w:rPr>
          <w:rFonts w:eastAsia="Arial Narrow" w:cstheme="minorHAnsi"/>
        </w:rPr>
        <w:t>opskrba vodom; uklanjanje otpadnih voda, gospodarenje otpadom i djelatn</w:t>
      </w:r>
      <w:r w:rsidR="00477D31">
        <w:rPr>
          <w:rFonts w:eastAsia="Arial Narrow" w:cstheme="minorHAnsi"/>
        </w:rPr>
        <w:t xml:space="preserve">osti sanacije okoliša (1,29), F - </w:t>
      </w:r>
      <w:r>
        <w:rPr>
          <w:rFonts w:eastAsia="Arial Narrow" w:cstheme="minorHAnsi"/>
        </w:rPr>
        <w:t>gra</w:t>
      </w:r>
      <w:r>
        <w:rPr>
          <w:rFonts w:eastAsia="Arial Narrow" w:cstheme="minorHAnsi"/>
          <w:spacing w:val="1"/>
        </w:rPr>
        <w:t>đ</w:t>
      </w:r>
      <w:r>
        <w:rPr>
          <w:rFonts w:eastAsia="Arial Narrow" w:cstheme="minorHAnsi"/>
        </w:rPr>
        <w:t>e</w:t>
      </w:r>
      <w:r>
        <w:rPr>
          <w:rFonts w:eastAsia="Arial Narrow" w:cstheme="minorHAnsi"/>
          <w:spacing w:val="-2"/>
        </w:rPr>
        <w:t>v</w:t>
      </w:r>
      <w:r>
        <w:rPr>
          <w:rFonts w:eastAsia="Arial Narrow" w:cstheme="minorHAnsi"/>
          <w:spacing w:val="1"/>
        </w:rPr>
        <w:t>i</w:t>
      </w:r>
      <w:r>
        <w:rPr>
          <w:rFonts w:eastAsia="Arial Narrow" w:cstheme="minorHAnsi"/>
        </w:rPr>
        <w:t>nar</w:t>
      </w:r>
      <w:r>
        <w:rPr>
          <w:rFonts w:eastAsia="Arial Narrow" w:cstheme="minorHAnsi"/>
          <w:spacing w:val="-2"/>
        </w:rPr>
        <w:t>s</w:t>
      </w:r>
      <w:r>
        <w:rPr>
          <w:rFonts w:eastAsia="Arial Narrow" w:cstheme="minorHAnsi"/>
        </w:rPr>
        <w:t>t</w:t>
      </w:r>
      <w:r>
        <w:rPr>
          <w:rFonts w:eastAsia="Arial Narrow" w:cstheme="minorHAnsi"/>
          <w:spacing w:val="1"/>
        </w:rPr>
        <w:t>v</w:t>
      </w:r>
      <w:r>
        <w:rPr>
          <w:rFonts w:eastAsia="Arial Narrow" w:cstheme="minorHAnsi"/>
        </w:rPr>
        <w:t>o (1,24) D</w:t>
      </w:r>
      <w:r w:rsidR="00477D31">
        <w:rPr>
          <w:rFonts w:eastAsia="Arial Narrow" w:cstheme="minorHAnsi"/>
          <w:spacing w:val="2"/>
        </w:rPr>
        <w:t xml:space="preserve"> - </w:t>
      </w:r>
      <w:r>
        <w:rPr>
          <w:rFonts w:eastAsia="Arial Narrow" w:cstheme="minorHAnsi"/>
        </w:rPr>
        <w:t>o</w:t>
      </w:r>
      <w:r>
        <w:rPr>
          <w:rFonts w:eastAsia="Arial Narrow" w:cstheme="minorHAnsi"/>
          <w:spacing w:val="-2"/>
        </w:rPr>
        <w:t>p</w:t>
      </w:r>
      <w:r>
        <w:rPr>
          <w:rFonts w:eastAsia="Arial Narrow" w:cstheme="minorHAnsi"/>
          <w:spacing w:val="1"/>
        </w:rPr>
        <w:t>sk</w:t>
      </w:r>
      <w:r>
        <w:rPr>
          <w:rFonts w:eastAsia="Arial Narrow" w:cstheme="minorHAnsi"/>
        </w:rPr>
        <w:t>rba e</w:t>
      </w:r>
      <w:r>
        <w:rPr>
          <w:rFonts w:eastAsia="Arial Narrow" w:cstheme="minorHAnsi"/>
          <w:spacing w:val="1"/>
        </w:rPr>
        <w:t>l</w:t>
      </w:r>
      <w:r>
        <w:rPr>
          <w:rFonts w:eastAsia="Arial Narrow" w:cstheme="minorHAnsi"/>
          <w:spacing w:val="-2"/>
        </w:rPr>
        <w:t>e</w:t>
      </w:r>
      <w:r>
        <w:rPr>
          <w:rFonts w:eastAsia="Arial Narrow" w:cstheme="minorHAnsi"/>
          <w:spacing w:val="1"/>
        </w:rPr>
        <w:t>k</w:t>
      </w:r>
      <w:r>
        <w:rPr>
          <w:rFonts w:eastAsia="Arial Narrow" w:cstheme="minorHAnsi"/>
        </w:rPr>
        <w:t>tr</w:t>
      </w:r>
      <w:r>
        <w:rPr>
          <w:rFonts w:eastAsia="Arial Narrow" w:cstheme="minorHAnsi"/>
          <w:spacing w:val="-2"/>
        </w:rPr>
        <w:t>i</w:t>
      </w:r>
      <w:r>
        <w:rPr>
          <w:rFonts w:eastAsia="Arial Narrow" w:cstheme="minorHAnsi"/>
          <w:spacing w:val="1"/>
        </w:rPr>
        <w:t>č</w:t>
      </w:r>
      <w:r>
        <w:rPr>
          <w:rFonts w:eastAsia="Arial Narrow" w:cstheme="minorHAnsi"/>
          <w:spacing w:val="-2"/>
        </w:rPr>
        <w:t>n</w:t>
      </w:r>
      <w:r>
        <w:rPr>
          <w:rFonts w:eastAsia="Arial Narrow" w:cstheme="minorHAnsi"/>
        </w:rPr>
        <w:t>om</w:t>
      </w:r>
      <w:r>
        <w:rPr>
          <w:rFonts w:eastAsia="Arial Narrow" w:cstheme="minorHAnsi"/>
          <w:spacing w:val="3"/>
        </w:rPr>
        <w:t xml:space="preserve"> </w:t>
      </w:r>
      <w:r>
        <w:rPr>
          <w:rFonts w:eastAsia="Arial Narrow" w:cstheme="minorHAnsi"/>
        </w:rPr>
        <w:t>ene</w:t>
      </w:r>
      <w:r>
        <w:rPr>
          <w:rFonts w:eastAsia="Arial Narrow" w:cstheme="minorHAnsi"/>
          <w:spacing w:val="-3"/>
        </w:rPr>
        <w:t>r</w:t>
      </w:r>
      <w:r>
        <w:rPr>
          <w:rFonts w:eastAsia="Arial Narrow" w:cstheme="minorHAnsi"/>
        </w:rPr>
        <w:t>g</w:t>
      </w:r>
      <w:r>
        <w:rPr>
          <w:rFonts w:eastAsia="Arial Narrow" w:cstheme="minorHAnsi"/>
          <w:spacing w:val="1"/>
        </w:rPr>
        <w:t>ij</w:t>
      </w:r>
      <w:r>
        <w:rPr>
          <w:rFonts w:eastAsia="Arial Narrow" w:cstheme="minorHAnsi"/>
          <w:spacing w:val="-2"/>
        </w:rPr>
        <w:t>o</w:t>
      </w:r>
      <w:r>
        <w:rPr>
          <w:rFonts w:eastAsia="Arial Narrow" w:cstheme="minorHAnsi"/>
        </w:rPr>
        <w:t>m,</w:t>
      </w:r>
      <w:r>
        <w:rPr>
          <w:rFonts w:eastAsia="Arial Narrow" w:cstheme="minorHAnsi"/>
          <w:spacing w:val="3"/>
        </w:rPr>
        <w:t xml:space="preserve"> </w:t>
      </w:r>
      <w:r>
        <w:rPr>
          <w:rFonts w:eastAsia="Arial Narrow" w:cstheme="minorHAnsi"/>
          <w:spacing w:val="-2"/>
        </w:rPr>
        <w:t>p</w:t>
      </w:r>
      <w:r>
        <w:rPr>
          <w:rFonts w:eastAsia="Arial Narrow" w:cstheme="minorHAnsi"/>
          <w:spacing w:val="1"/>
        </w:rPr>
        <w:t>li</w:t>
      </w:r>
      <w:r>
        <w:rPr>
          <w:rFonts w:eastAsia="Arial Narrow" w:cstheme="minorHAnsi"/>
        </w:rPr>
        <w:t>n</w:t>
      </w:r>
      <w:r>
        <w:rPr>
          <w:rFonts w:eastAsia="Arial Narrow" w:cstheme="minorHAnsi"/>
          <w:spacing w:val="-2"/>
        </w:rPr>
        <w:t>o</w:t>
      </w:r>
      <w:r>
        <w:rPr>
          <w:rFonts w:eastAsia="Arial Narrow" w:cstheme="minorHAnsi"/>
        </w:rPr>
        <w:t>m,</w:t>
      </w:r>
      <w:r>
        <w:rPr>
          <w:rFonts w:eastAsia="Arial Narrow" w:cstheme="minorHAnsi"/>
          <w:spacing w:val="3"/>
        </w:rPr>
        <w:t xml:space="preserve"> </w:t>
      </w:r>
      <w:r>
        <w:rPr>
          <w:rFonts w:eastAsia="Arial Narrow" w:cstheme="minorHAnsi"/>
        </w:rPr>
        <w:t>pa</w:t>
      </w:r>
      <w:r>
        <w:rPr>
          <w:rFonts w:eastAsia="Arial Narrow" w:cstheme="minorHAnsi"/>
          <w:spacing w:val="-3"/>
        </w:rPr>
        <w:t>r</w:t>
      </w:r>
      <w:r>
        <w:rPr>
          <w:rFonts w:eastAsia="Arial Narrow" w:cstheme="minorHAnsi"/>
          <w:spacing w:val="-2"/>
        </w:rPr>
        <w:t>o</w:t>
      </w:r>
      <w:r>
        <w:rPr>
          <w:rFonts w:eastAsia="Arial Narrow" w:cstheme="minorHAnsi"/>
        </w:rPr>
        <w:t>m</w:t>
      </w:r>
      <w:r>
        <w:rPr>
          <w:rFonts w:eastAsia="Arial Narrow" w:cstheme="minorHAnsi"/>
          <w:spacing w:val="3"/>
        </w:rPr>
        <w:t xml:space="preserve"> </w:t>
      </w:r>
      <w:r>
        <w:rPr>
          <w:rFonts w:eastAsia="Arial Narrow" w:cstheme="minorHAnsi"/>
        </w:rPr>
        <w:t>i</w:t>
      </w:r>
      <w:r>
        <w:rPr>
          <w:rFonts w:eastAsia="Arial Narrow" w:cstheme="minorHAnsi"/>
          <w:spacing w:val="1"/>
        </w:rPr>
        <w:t xml:space="preserve"> kl</w:t>
      </w:r>
      <w:r>
        <w:rPr>
          <w:rFonts w:eastAsia="Arial Narrow" w:cstheme="minorHAnsi"/>
          <w:spacing w:val="-2"/>
        </w:rPr>
        <w:t>i</w:t>
      </w:r>
      <w:r>
        <w:rPr>
          <w:rFonts w:eastAsia="Arial Narrow" w:cstheme="minorHAnsi"/>
        </w:rPr>
        <w:t>mat</w:t>
      </w:r>
      <w:r>
        <w:rPr>
          <w:rFonts w:eastAsia="Arial Narrow" w:cstheme="minorHAnsi"/>
          <w:spacing w:val="-2"/>
        </w:rPr>
        <w:t>i</w:t>
      </w:r>
      <w:r>
        <w:rPr>
          <w:rFonts w:eastAsia="Arial Narrow" w:cstheme="minorHAnsi"/>
          <w:spacing w:val="1"/>
        </w:rPr>
        <w:t>z</w:t>
      </w:r>
      <w:r>
        <w:rPr>
          <w:rFonts w:eastAsia="Arial Narrow" w:cstheme="minorHAnsi"/>
        </w:rPr>
        <w:t>a</w:t>
      </w:r>
      <w:r>
        <w:rPr>
          <w:rFonts w:eastAsia="Arial Narrow" w:cstheme="minorHAnsi"/>
          <w:spacing w:val="1"/>
        </w:rPr>
        <w:t>c</w:t>
      </w:r>
      <w:r>
        <w:rPr>
          <w:rFonts w:eastAsia="Arial Narrow" w:cstheme="minorHAnsi"/>
          <w:spacing w:val="-2"/>
        </w:rPr>
        <w:t>i</w:t>
      </w:r>
      <w:r>
        <w:rPr>
          <w:rFonts w:eastAsia="Arial Narrow" w:cstheme="minorHAnsi"/>
          <w:spacing w:val="1"/>
        </w:rPr>
        <w:t>j</w:t>
      </w:r>
      <w:r>
        <w:rPr>
          <w:rFonts w:eastAsia="Arial Narrow" w:cstheme="minorHAnsi"/>
        </w:rPr>
        <w:t>a (1,14). Najniži lokacijsk</w:t>
      </w:r>
      <w:r w:rsidR="00477D31">
        <w:rPr>
          <w:rFonts w:eastAsia="Arial Narrow" w:cstheme="minorHAnsi"/>
        </w:rPr>
        <w:t xml:space="preserve">i kvocijent imaju djelatnosti N - </w:t>
      </w:r>
      <w:r>
        <w:rPr>
          <w:rFonts w:eastAsia="Arial Narrow" w:cstheme="minorHAnsi"/>
        </w:rPr>
        <w:t>Administrativne i pomoćne uslužne djelatnosti (0,12).</w:t>
      </w:r>
    </w:p>
    <w:p w14:paraId="16AED9E6" w14:textId="3C5DC5FA" w:rsidR="008878A0" w:rsidRDefault="008878A0" w:rsidP="003E3F3C">
      <w:pPr>
        <w:pStyle w:val="Opisslike"/>
      </w:pPr>
      <w:bookmarkStart w:id="155" w:name="_Hlk66987121"/>
      <w:r>
        <w:lastRenderedPageBreak/>
        <w:t>Grafikon</w:t>
      </w:r>
      <w:r w:rsidR="006207AF">
        <w:t xml:space="preserve"> </w:t>
      </w:r>
      <w:r w:rsidR="00F73E03">
        <w:rPr>
          <w:noProof/>
        </w:rPr>
        <w:t>4</w:t>
      </w:r>
      <w:r w:rsidR="00CF4B96">
        <w:rPr>
          <w:noProof/>
        </w:rPr>
        <w:t>5</w:t>
      </w:r>
      <w:r w:rsidR="001838EE">
        <w:rPr>
          <w:noProof/>
        </w:rPr>
        <w:t>.</w:t>
      </w:r>
      <w:r>
        <w:t xml:space="preserve"> Lokacijski kvocijent djelatnosti KZŽ, 31. ožujka 2018.</w:t>
      </w:r>
    </w:p>
    <w:bookmarkEnd w:id="155"/>
    <w:p w14:paraId="4CEA086C" w14:textId="77777777" w:rsidR="008878A0" w:rsidRDefault="008878A0" w:rsidP="00941871">
      <w:pPr>
        <w:ind w:left="116" w:right="72"/>
        <w:rPr>
          <w:rFonts w:eastAsia="Arial Narrow" w:cstheme="minorHAnsi"/>
          <w:color w:val="FF0000"/>
          <w:sz w:val="22"/>
          <w:szCs w:val="22"/>
        </w:rPr>
      </w:pPr>
      <w:r>
        <w:rPr>
          <w:noProof/>
          <w:lang w:eastAsia="hr-HR"/>
        </w:rPr>
        <w:drawing>
          <wp:inline distT="0" distB="0" distL="0" distR="0" wp14:anchorId="15604811" wp14:editId="4FCC3348">
            <wp:extent cx="5836920" cy="2122098"/>
            <wp:effectExtent l="0" t="0" r="11430" b="1206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951F618" w14:textId="3576B82D"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DZS, Statističko izvješće 1648/2019</w:t>
      </w:r>
      <w:r w:rsidR="002E1535" w:rsidRPr="006207AF">
        <w:rPr>
          <w:rFonts w:eastAsia="ArialNarrow" w:cstheme="minorHAnsi"/>
          <w:i/>
          <w:color w:val="ABABAB" w:themeColor="text1" w:themeTint="A6"/>
          <w:sz w:val="16"/>
          <w:szCs w:val="16"/>
        </w:rPr>
        <w:t>.</w:t>
      </w:r>
    </w:p>
    <w:p w14:paraId="657A5117" w14:textId="77777777" w:rsidR="00675AF7" w:rsidRDefault="00675AF7" w:rsidP="003C2276">
      <w:pPr>
        <w:pStyle w:val="Izvor"/>
      </w:pPr>
    </w:p>
    <w:p w14:paraId="685ACEE8" w14:textId="7A8B9D9D" w:rsidR="008878A0" w:rsidRDefault="008878A0" w:rsidP="00941871">
      <w:pPr>
        <w:rPr>
          <w:rFonts w:eastAsia="Arial Narrow" w:cstheme="minorHAnsi"/>
        </w:rPr>
      </w:pPr>
      <w:r w:rsidRPr="002167B8">
        <w:rPr>
          <w:rFonts w:eastAsia="Arial Narrow" w:cstheme="minorHAnsi"/>
          <w:spacing w:val="-1"/>
        </w:rPr>
        <w:t>P</w:t>
      </w:r>
      <w:r w:rsidRPr="002167B8">
        <w:rPr>
          <w:rFonts w:eastAsia="Arial Narrow" w:cstheme="minorHAnsi"/>
        </w:rPr>
        <w:t>oda</w:t>
      </w:r>
      <w:r w:rsidRPr="002167B8">
        <w:rPr>
          <w:rFonts w:eastAsia="Arial Narrow" w:cstheme="minorHAnsi"/>
          <w:spacing w:val="1"/>
        </w:rPr>
        <w:t>c</w:t>
      </w:r>
      <w:r w:rsidRPr="002167B8">
        <w:rPr>
          <w:rFonts w:eastAsia="Arial Narrow" w:cstheme="minorHAnsi"/>
        </w:rPr>
        <w:t>i</w:t>
      </w:r>
      <w:r w:rsidRPr="002167B8">
        <w:rPr>
          <w:rFonts w:eastAsia="Arial Narrow" w:cstheme="minorHAnsi"/>
          <w:spacing w:val="1"/>
        </w:rPr>
        <w:t xml:space="preserve"> </w:t>
      </w:r>
      <w:r w:rsidRPr="002167B8">
        <w:rPr>
          <w:rFonts w:eastAsia="Arial Narrow" w:cstheme="minorHAnsi"/>
        </w:rPr>
        <w:t>o</w:t>
      </w:r>
      <w:r w:rsidRPr="002167B8">
        <w:rPr>
          <w:rFonts w:eastAsia="Arial Narrow" w:cstheme="minorHAnsi"/>
          <w:spacing w:val="2"/>
        </w:rPr>
        <w:t xml:space="preserve"> </w:t>
      </w:r>
      <w:r w:rsidR="000B4418">
        <w:rPr>
          <w:rFonts w:eastAsia="Arial Narrow" w:cstheme="minorHAnsi"/>
          <w:spacing w:val="-2"/>
        </w:rPr>
        <w:t>koeficijentu specijalizacije</w:t>
      </w:r>
      <w:r w:rsidRPr="002167B8">
        <w:rPr>
          <w:rFonts w:eastAsia="Arial Narrow" w:cstheme="minorHAnsi"/>
          <w:spacing w:val="2"/>
        </w:rPr>
        <w:t xml:space="preserve"> </w:t>
      </w:r>
      <w:r w:rsidRPr="002167B8">
        <w:rPr>
          <w:rFonts w:eastAsia="Arial Narrow" w:cstheme="minorHAnsi"/>
        </w:rPr>
        <w:t>pot</w:t>
      </w:r>
      <w:r w:rsidRPr="002167B8">
        <w:rPr>
          <w:rFonts w:eastAsia="Arial Narrow" w:cstheme="minorHAnsi"/>
          <w:spacing w:val="1"/>
        </w:rPr>
        <w:t>v</w:t>
      </w:r>
      <w:r w:rsidRPr="002167B8">
        <w:rPr>
          <w:rFonts w:eastAsia="Arial Narrow" w:cstheme="minorHAnsi"/>
          <w:spacing w:val="-3"/>
        </w:rPr>
        <w:t>r</w:t>
      </w:r>
      <w:r w:rsidRPr="002167B8">
        <w:rPr>
          <w:rFonts w:eastAsia="Arial Narrow" w:cstheme="minorHAnsi"/>
          <w:spacing w:val="1"/>
        </w:rPr>
        <w:t>đ</w:t>
      </w:r>
      <w:r w:rsidRPr="002167B8">
        <w:rPr>
          <w:rFonts w:eastAsia="Arial Narrow" w:cstheme="minorHAnsi"/>
        </w:rPr>
        <w:t>u</w:t>
      </w:r>
      <w:r w:rsidRPr="002167B8">
        <w:rPr>
          <w:rFonts w:eastAsia="Arial Narrow" w:cstheme="minorHAnsi"/>
          <w:spacing w:val="-2"/>
        </w:rPr>
        <w:t>j</w:t>
      </w:r>
      <w:r w:rsidRPr="002167B8">
        <w:rPr>
          <w:rFonts w:eastAsia="Arial Narrow" w:cstheme="minorHAnsi"/>
        </w:rPr>
        <w:t>u</w:t>
      </w:r>
      <w:r w:rsidRPr="002167B8">
        <w:rPr>
          <w:rFonts w:eastAsia="Arial Narrow" w:cstheme="minorHAnsi"/>
          <w:spacing w:val="2"/>
        </w:rPr>
        <w:t xml:space="preserve"> </w:t>
      </w:r>
      <w:r w:rsidRPr="002167B8">
        <w:rPr>
          <w:rFonts w:eastAsia="Arial Narrow" w:cstheme="minorHAnsi"/>
          <w:spacing w:val="-2"/>
        </w:rPr>
        <w:t>v</w:t>
      </w:r>
      <w:r w:rsidRPr="002167B8">
        <w:rPr>
          <w:rFonts w:eastAsia="Arial Narrow" w:cstheme="minorHAnsi"/>
        </w:rPr>
        <w:t>a</w:t>
      </w:r>
      <w:r w:rsidRPr="002167B8">
        <w:rPr>
          <w:rFonts w:eastAsia="Arial Narrow" w:cstheme="minorHAnsi"/>
          <w:spacing w:val="1"/>
        </w:rPr>
        <w:t>ž</w:t>
      </w:r>
      <w:r w:rsidRPr="002167B8">
        <w:rPr>
          <w:rFonts w:eastAsia="Arial Narrow" w:cstheme="minorHAnsi"/>
        </w:rPr>
        <w:t>n</w:t>
      </w:r>
      <w:r w:rsidRPr="002167B8">
        <w:rPr>
          <w:rFonts w:eastAsia="Arial Narrow" w:cstheme="minorHAnsi"/>
          <w:spacing w:val="-2"/>
        </w:rPr>
        <w:t>o</w:t>
      </w:r>
      <w:r w:rsidRPr="002167B8">
        <w:rPr>
          <w:rFonts w:eastAsia="Arial Narrow" w:cstheme="minorHAnsi"/>
          <w:spacing w:val="1"/>
        </w:rPr>
        <w:t>s</w:t>
      </w:r>
      <w:r w:rsidRPr="002167B8">
        <w:rPr>
          <w:rFonts w:eastAsia="Arial Narrow" w:cstheme="minorHAnsi"/>
        </w:rPr>
        <w:t>t</w:t>
      </w:r>
      <w:r w:rsidRPr="002167B8">
        <w:rPr>
          <w:rFonts w:eastAsia="Arial Narrow" w:cstheme="minorHAnsi"/>
          <w:spacing w:val="2"/>
        </w:rPr>
        <w:t xml:space="preserve"> </w:t>
      </w:r>
      <w:r w:rsidRPr="002167B8">
        <w:rPr>
          <w:rFonts w:eastAsia="Arial Narrow" w:cstheme="minorHAnsi"/>
        </w:rPr>
        <w:t>p</w:t>
      </w:r>
      <w:r w:rsidRPr="002167B8">
        <w:rPr>
          <w:rFonts w:eastAsia="Arial Narrow" w:cstheme="minorHAnsi"/>
          <w:spacing w:val="-3"/>
        </w:rPr>
        <w:t>r</w:t>
      </w:r>
      <w:r w:rsidRPr="002167B8">
        <w:rPr>
          <w:rFonts w:eastAsia="Arial Narrow" w:cstheme="minorHAnsi"/>
        </w:rPr>
        <w:t>era</w:t>
      </w:r>
      <w:r w:rsidRPr="002167B8">
        <w:rPr>
          <w:rFonts w:eastAsia="Arial Narrow" w:cstheme="minorHAnsi"/>
          <w:spacing w:val="1"/>
        </w:rPr>
        <w:t>đ</w:t>
      </w:r>
      <w:r w:rsidRPr="002167B8">
        <w:rPr>
          <w:rFonts w:eastAsia="Arial Narrow" w:cstheme="minorHAnsi"/>
          <w:spacing w:val="-2"/>
        </w:rPr>
        <w:t>iv</w:t>
      </w:r>
      <w:r w:rsidRPr="002167B8">
        <w:rPr>
          <w:rFonts w:eastAsia="Arial Narrow" w:cstheme="minorHAnsi"/>
        </w:rPr>
        <w:t>a</w:t>
      </w:r>
      <w:r w:rsidRPr="002167B8">
        <w:rPr>
          <w:rFonts w:eastAsia="Arial Narrow" w:cstheme="minorHAnsi"/>
          <w:spacing w:val="1"/>
        </w:rPr>
        <w:t>čk</w:t>
      </w:r>
      <w:r w:rsidRPr="002167B8">
        <w:rPr>
          <w:rFonts w:eastAsia="Arial Narrow" w:cstheme="minorHAnsi"/>
        </w:rPr>
        <w:t xml:space="preserve">e </w:t>
      </w:r>
      <w:r w:rsidRPr="002167B8">
        <w:rPr>
          <w:rFonts w:eastAsia="Arial Narrow" w:cstheme="minorHAnsi"/>
          <w:spacing w:val="1"/>
        </w:rPr>
        <w:t>i</w:t>
      </w:r>
      <w:r w:rsidRPr="002167B8">
        <w:rPr>
          <w:rFonts w:eastAsia="Arial Narrow" w:cstheme="minorHAnsi"/>
        </w:rPr>
        <w:t>nd</w:t>
      </w:r>
      <w:r w:rsidRPr="002167B8">
        <w:rPr>
          <w:rFonts w:eastAsia="Arial Narrow" w:cstheme="minorHAnsi"/>
          <w:spacing w:val="-2"/>
        </w:rPr>
        <w:t>u</w:t>
      </w:r>
      <w:r w:rsidRPr="002167B8">
        <w:rPr>
          <w:rFonts w:eastAsia="Arial Narrow" w:cstheme="minorHAnsi"/>
          <w:spacing w:val="1"/>
        </w:rPr>
        <w:t>s</w:t>
      </w:r>
      <w:r w:rsidRPr="002167B8">
        <w:rPr>
          <w:rFonts w:eastAsia="Arial Narrow" w:cstheme="minorHAnsi"/>
        </w:rPr>
        <w:t>tr</w:t>
      </w:r>
      <w:r w:rsidRPr="002167B8">
        <w:rPr>
          <w:rFonts w:eastAsia="Arial Narrow" w:cstheme="minorHAnsi"/>
          <w:spacing w:val="-2"/>
        </w:rPr>
        <w:t>i</w:t>
      </w:r>
      <w:r w:rsidRPr="002167B8">
        <w:rPr>
          <w:rFonts w:eastAsia="Arial Narrow" w:cstheme="minorHAnsi"/>
          <w:spacing w:val="1"/>
        </w:rPr>
        <w:t>j</w:t>
      </w:r>
      <w:r w:rsidRPr="002167B8">
        <w:rPr>
          <w:rFonts w:eastAsia="Arial Narrow" w:cstheme="minorHAnsi"/>
        </w:rPr>
        <w:t>e</w:t>
      </w:r>
      <w:r w:rsidRPr="002167B8">
        <w:rPr>
          <w:rFonts w:eastAsia="Arial Narrow" w:cstheme="minorHAnsi"/>
          <w:spacing w:val="2"/>
        </w:rPr>
        <w:t xml:space="preserve"> </w:t>
      </w:r>
      <w:r w:rsidR="00477D31" w:rsidRPr="002167B8">
        <w:rPr>
          <w:rFonts w:eastAsia="Arial Narrow" w:cstheme="minorHAnsi"/>
          <w:spacing w:val="2"/>
        </w:rPr>
        <w:t xml:space="preserve">(C) </w:t>
      </w:r>
      <w:r w:rsidRPr="002167B8">
        <w:rPr>
          <w:rFonts w:eastAsia="Arial Narrow" w:cstheme="minorHAnsi"/>
        </w:rPr>
        <w:t xml:space="preserve">u </w:t>
      </w:r>
      <w:r w:rsidRPr="002167B8">
        <w:rPr>
          <w:rFonts w:eastAsia="Arial Narrow" w:cstheme="minorHAnsi"/>
          <w:spacing w:val="1"/>
        </w:rPr>
        <w:t>k</w:t>
      </w:r>
      <w:r w:rsidRPr="002167B8">
        <w:rPr>
          <w:rFonts w:eastAsia="Arial Narrow" w:cstheme="minorHAnsi"/>
          <w:spacing w:val="-2"/>
        </w:rPr>
        <w:t>o</w:t>
      </w:r>
      <w:r w:rsidRPr="002167B8">
        <w:rPr>
          <w:rFonts w:eastAsia="Arial Narrow" w:cstheme="minorHAnsi"/>
          <w:spacing w:val="1"/>
        </w:rPr>
        <w:t>j</w:t>
      </w:r>
      <w:r w:rsidRPr="002167B8">
        <w:rPr>
          <w:rFonts w:eastAsia="Arial Narrow" w:cstheme="minorHAnsi"/>
        </w:rPr>
        <w:t>oj</w:t>
      </w:r>
      <w:r w:rsidRPr="002167B8">
        <w:rPr>
          <w:rFonts w:eastAsia="Arial Narrow" w:cstheme="minorHAnsi"/>
          <w:spacing w:val="1"/>
        </w:rPr>
        <w:t xml:space="preserve"> j</w:t>
      </w:r>
      <w:r w:rsidRPr="002167B8">
        <w:rPr>
          <w:rFonts w:eastAsia="Arial Narrow" w:cstheme="minorHAnsi"/>
        </w:rPr>
        <w:t xml:space="preserve">e </w:t>
      </w:r>
      <w:r w:rsidRPr="002167B8">
        <w:rPr>
          <w:rFonts w:eastAsia="Arial Narrow" w:cstheme="minorHAnsi"/>
          <w:spacing w:val="1"/>
        </w:rPr>
        <w:t>z</w:t>
      </w:r>
      <w:r w:rsidRPr="002167B8">
        <w:rPr>
          <w:rFonts w:eastAsia="Arial Narrow" w:cstheme="minorHAnsi"/>
          <w:spacing w:val="-2"/>
        </w:rPr>
        <w:t>a</w:t>
      </w:r>
      <w:r w:rsidRPr="002167B8">
        <w:rPr>
          <w:rFonts w:eastAsia="Arial Narrow" w:cstheme="minorHAnsi"/>
        </w:rPr>
        <w:t>po</w:t>
      </w:r>
      <w:r w:rsidRPr="002167B8">
        <w:rPr>
          <w:rFonts w:eastAsia="Arial Narrow" w:cstheme="minorHAnsi"/>
          <w:spacing w:val="1"/>
        </w:rPr>
        <w:t>sl</w:t>
      </w:r>
      <w:r w:rsidRPr="002167B8">
        <w:rPr>
          <w:rFonts w:eastAsia="Arial Narrow" w:cstheme="minorHAnsi"/>
        </w:rPr>
        <w:t>e</w:t>
      </w:r>
      <w:r w:rsidRPr="002167B8">
        <w:rPr>
          <w:rFonts w:eastAsia="Arial Narrow" w:cstheme="minorHAnsi"/>
          <w:spacing w:val="-2"/>
        </w:rPr>
        <w:t>n</w:t>
      </w:r>
      <w:r w:rsidRPr="002167B8">
        <w:rPr>
          <w:rFonts w:eastAsia="Arial Narrow" w:cstheme="minorHAnsi"/>
        </w:rPr>
        <w:t>o</w:t>
      </w:r>
      <w:r w:rsidRPr="002167B8">
        <w:rPr>
          <w:rFonts w:eastAsia="Arial Narrow" w:cstheme="minorHAnsi"/>
          <w:spacing w:val="2"/>
        </w:rPr>
        <w:t xml:space="preserve"> </w:t>
      </w:r>
      <w:r w:rsidRPr="002167B8">
        <w:rPr>
          <w:rFonts w:eastAsia="Arial Narrow" w:cstheme="minorHAnsi"/>
        </w:rPr>
        <w:t>47%</w:t>
      </w:r>
      <w:r w:rsidRPr="002167B8">
        <w:rPr>
          <w:rFonts w:eastAsia="Arial Narrow" w:cstheme="minorHAnsi"/>
          <w:spacing w:val="5"/>
        </w:rPr>
        <w:t xml:space="preserve"> </w:t>
      </w:r>
      <w:r w:rsidRPr="002167B8">
        <w:rPr>
          <w:rFonts w:eastAsia="Arial Narrow" w:cstheme="minorHAnsi"/>
          <w:spacing w:val="-2"/>
        </w:rPr>
        <w:t>u</w:t>
      </w:r>
      <w:r w:rsidRPr="002167B8">
        <w:rPr>
          <w:rFonts w:eastAsia="Arial Narrow" w:cstheme="minorHAnsi"/>
          <w:spacing w:val="1"/>
        </w:rPr>
        <w:t>k</w:t>
      </w:r>
      <w:r w:rsidRPr="002167B8">
        <w:rPr>
          <w:rFonts w:eastAsia="Arial Narrow" w:cstheme="minorHAnsi"/>
        </w:rPr>
        <w:t xml:space="preserve">upno </w:t>
      </w:r>
      <w:r w:rsidRPr="002167B8">
        <w:rPr>
          <w:rFonts w:eastAsia="Arial Narrow" w:cstheme="minorHAnsi"/>
          <w:spacing w:val="1"/>
        </w:rPr>
        <w:t>z</w:t>
      </w:r>
      <w:r w:rsidRPr="002167B8">
        <w:rPr>
          <w:rFonts w:eastAsia="Arial Narrow" w:cstheme="minorHAnsi"/>
        </w:rPr>
        <w:t>apo</w:t>
      </w:r>
      <w:r w:rsidRPr="002167B8">
        <w:rPr>
          <w:rFonts w:eastAsia="Arial Narrow" w:cstheme="minorHAnsi"/>
          <w:spacing w:val="-2"/>
        </w:rPr>
        <w:t>s</w:t>
      </w:r>
      <w:r w:rsidRPr="002167B8">
        <w:rPr>
          <w:rFonts w:eastAsia="Arial Narrow" w:cstheme="minorHAnsi"/>
          <w:spacing w:val="1"/>
        </w:rPr>
        <w:t>l</w:t>
      </w:r>
      <w:r w:rsidRPr="002167B8">
        <w:rPr>
          <w:rFonts w:eastAsia="Arial Narrow" w:cstheme="minorHAnsi"/>
        </w:rPr>
        <w:t>en</w:t>
      </w:r>
      <w:r w:rsidRPr="002167B8">
        <w:rPr>
          <w:rFonts w:eastAsia="Arial Narrow" w:cstheme="minorHAnsi"/>
          <w:spacing w:val="-2"/>
        </w:rPr>
        <w:t>i</w:t>
      </w:r>
      <w:r w:rsidRPr="002167B8">
        <w:rPr>
          <w:rFonts w:eastAsia="Arial Narrow" w:cstheme="minorHAnsi"/>
        </w:rPr>
        <w:t>h u</w:t>
      </w:r>
      <w:r w:rsidRPr="002167B8">
        <w:rPr>
          <w:rFonts w:eastAsia="Arial Narrow" w:cstheme="minorHAnsi"/>
          <w:spacing w:val="-2"/>
        </w:rPr>
        <w:t xml:space="preserve"> </w:t>
      </w:r>
      <w:r w:rsidRPr="002167B8">
        <w:rPr>
          <w:rFonts w:eastAsia="Arial Narrow" w:cstheme="minorHAnsi"/>
          <w:spacing w:val="-1"/>
        </w:rPr>
        <w:t>K</w:t>
      </w:r>
      <w:r w:rsidRPr="002167B8">
        <w:rPr>
          <w:rFonts w:eastAsia="Arial Narrow" w:cstheme="minorHAnsi"/>
        </w:rPr>
        <w:t>rap</w:t>
      </w:r>
      <w:r w:rsidRPr="002167B8">
        <w:rPr>
          <w:rFonts w:eastAsia="Arial Narrow" w:cstheme="minorHAnsi"/>
          <w:spacing w:val="-2"/>
        </w:rPr>
        <w:t>i</w:t>
      </w:r>
      <w:r w:rsidRPr="002167B8">
        <w:rPr>
          <w:rFonts w:eastAsia="Arial Narrow" w:cstheme="minorHAnsi"/>
        </w:rPr>
        <w:t>n</w:t>
      </w:r>
      <w:r w:rsidRPr="002167B8">
        <w:rPr>
          <w:rFonts w:eastAsia="Arial Narrow" w:cstheme="minorHAnsi"/>
          <w:spacing w:val="1"/>
        </w:rPr>
        <w:t>s</w:t>
      </w:r>
      <w:r w:rsidRPr="002167B8">
        <w:rPr>
          <w:rFonts w:eastAsia="Arial Narrow" w:cstheme="minorHAnsi"/>
          <w:spacing w:val="-2"/>
        </w:rPr>
        <w:t>k</w:t>
      </w:r>
      <w:r w:rsidRPr="002167B8">
        <w:rPr>
          <w:rFonts w:eastAsia="Arial Narrow" w:cstheme="minorHAnsi"/>
        </w:rPr>
        <w:t>o-</w:t>
      </w:r>
      <w:r w:rsidRPr="002167B8">
        <w:rPr>
          <w:rFonts w:eastAsia="Arial Narrow" w:cstheme="minorHAnsi"/>
          <w:spacing w:val="1"/>
        </w:rPr>
        <w:t>z</w:t>
      </w:r>
      <w:r w:rsidRPr="002167B8">
        <w:rPr>
          <w:rFonts w:eastAsia="Arial Narrow" w:cstheme="minorHAnsi"/>
        </w:rPr>
        <w:t>a</w:t>
      </w:r>
      <w:r w:rsidRPr="002167B8">
        <w:rPr>
          <w:rFonts w:eastAsia="Arial Narrow" w:cstheme="minorHAnsi"/>
          <w:spacing w:val="-2"/>
        </w:rPr>
        <w:t>g</w:t>
      </w:r>
      <w:r w:rsidRPr="002167B8">
        <w:rPr>
          <w:rFonts w:eastAsia="Arial Narrow" w:cstheme="minorHAnsi"/>
        </w:rPr>
        <w:t>o</w:t>
      </w:r>
      <w:r w:rsidRPr="002167B8">
        <w:rPr>
          <w:rFonts w:eastAsia="Arial Narrow" w:cstheme="minorHAnsi"/>
          <w:spacing w:val="-3"/>
        </w:rPr>
        <w:t>r</w:t>
      </w:r>
      <w:r w:rsidRPr="002167B8">
        <w:rPr>
          <w:rFonts w:eastAsia="Arial Narrow" w:cstheme="minorHAnsi"/>
          <w:spacing w:val="1"/>
        </w:rPr>
        <w:t>sk</w:t>
      </w:r>
      <w:r w:rsidRPr="002167B8">
        <w:rPr>
          <w:rFonts w:eastAsia="Arial Narrow" w:cstheme="minorHAnsi"/>
        </w:rPr>
        <w:t>oj</w:t>
      </w:r>
      <w:r w:rsidRPr="002167B8">
        <w:rPr>
          <w:rFonts w:eastAsia="Arial Narrow" w:cstheme="minorHAnsi"/>
          <w:spacing w:val="-1"/>
        </w:rPr>
        <w:t xml:space="preserve"> </w:t>
      </w:r>
      <w:r w:rsidRPr="002167B8">
        <w:rPr>
          <w:rFonts w:eastAsia="Arial Narrow" w:cstheme="minorHAnsi"/>
          <w:spacing w:val="1"/>
        </w:rPr>
        <w:t>ž</w:t>
      </w:r>
      <w:r w:rsidRPr="002167B8">
        <w:rPr>
          <w:rFonts w:eastAsia="Arial Narrow" w:cstheme="minorHAnsi"/>
          <w:spacing w:val="-2"/>
        </w:rPr>
        <w:t>u</w:t>
      </w:r>
      <w:r w:rsidRPr="002167B8">
        <w:rPr>
          <w:rFonts w:eastAsia="Arial Narrow" w:cstheme="minorHAnsi"/>
        </w:rPr>
        <w:t>pan</w:t>
      </w:r>
      <w:r w:rsidRPr="002167B8">
        <w:rPr>
          <w:rFonts w:eastAsia="Arial Narrow" w:cstheme="minorHAnsi"/>
          <w:spacing w:val="-2"/>
        </w:rPr>
        <w:t>i</w:t>
      </w:r>
      <w:r w:rsidRPr="002167B8">
        <w:rPr>
          <w:rFonts w:eastAsia="Arial Narrow" w:cstheme="minorHAnsi"/>
          <w:spacing w:val="1"/>
        </w:rPr>
        <w:t>j</w:t>
      </w:r>
      <w:r w:rsidRPr="002167B8">
        <w:rPr>
          <w:rFonts w:eastAsia="Arial Narrow" w:cstheme="minorHAnsi"/>
        </w:rPr>
        <w:t>i</w:t>
      </w:r>
      <w:r w:rsidR="00DC4BAC" w:rsidRPr="002167B8">
        <w:rPr>
          <w:rFonts w:eastAsia="Arial Narrow" w:cstheme="minorHAnsi"/>
          <w:spacing w:val="-2"/>
        </w:rPr>
        <w:t xml:space="preserve">, </w:t>
      </w:r>
      <w:r w:rsidRPr="002167B8">
        <w:rPr>
          <w:rFonts w:eastAsia="Arial Narrow" w:cstheme="minorHAnsi"/>
        </w:rPr>
        <w:t>u</w:t>
      </w:r>
      <w:r w:rsidRPr="002167B8">
        <w:rPr>
          <w:rFonts w:eastAsia="Arial Narrow" w:cstheme="minorHAnsi"/>
          <w:spacing w:val="-2"/>
        </w:rPr>
        <w:t xml:space="preserve"> </w:t>
      </w:r>
      <w:r w:rsidRPr="002167B8">
        <w:rPr>
          <w:rFonts w:eastAsia="Arial Narrow" w:cstheme="minorHAnsi"/>
          <w:spacing w:val="1"/>
        </w:rPr>
        <w:t>k</w:t>
      </w:r>
      <w:r w:rsidRPr="002167B8">
        <w:rPr>
          <w:rFonts w:eastAsia="Arial Narrow" w:cstheme="minorHAnsi"/>
        </w:rPr>
        <w:t>o</w:t>
      </w:r>
      <w:r w:rsidRPr="002167B8">
        <w:rPr>
          <w:rFonts w:eastAsia="Arial Narrow" w:cstheme="minorHAnsi"/>
          <w:spacing w:val="1"/>
        </w:rPr>
        <w:t>j</w:t>
      </w:r>
      <w:r w:rsidRPr="002167B8">
        <w:rPr>
          <w:rFonts w:eastAsia="Arial Narrow" w:cstheme="minorHAnsi"/>
          <w:spacing w:val="-2"/>
        </w:rPr>
        <w:t>o</w:t>
      </w:r>
      <w:r w:rsidRPr="002167B8">
        <w:rPr>
          <w:rFonts w:eastAsia="Arial Narrow" w:cstheme="minorHAnsi"/>
        </w:rPr>
        <w:t>j</w:t>
      </w:r>
      <w:r w:rsidRPr="002167B8">
        <w:rPr>
          <w:rFonts w:eastAsia="Arial Narrow" w:cstheme="minorHAnsi"/>
          <w:spacing w:val="1"/>
        </w:rPr>
        <w:t xml:space="preserve"> </w:t>
      </w:r>
      <w:r w:rsidRPr="002167B8">
        <w:rPr>
          <w:rFonts w:eastAsia="Arial Narrow" w:cstheme="minorHAnsi"/>
        </w:rPr>
        <w:t>p</w:t>
      </w:r>
      <w:r w:rsidRPr="002167B8">
        <w:rPr>
          <w:rFonts w:eastAsia="Arial Narrow" w:cstheme="minorHAnsi"/>
          <w:spacing w:val="-2"/>
        </w:rPr>
        <w:t>o</w:t>
      </w:r>
      <w:r w:rsidRPr="002167B8">
        <w:rPr>
          <w:rFonts w:eastAsia="Arial Narrow" w:cstheme="minorHAnsi"/>
          <w:spacing w:val="1"/>
        </w:rPr>
        <w:t>sl</w:t>
      </w:r>
      <w:r w:rsidRPr="002167B8">
        <w:rPr>
          <w:rFonts w:eastAsia="Arial Narrow" w:cstheme="minorHAnsi"/>
          <w:spacing w:val="-2"/>
        </w:rPr>
        <w:t>u</w:t>
      </w:r>
      <w:r w:rsidRPr="002167B8">
        <w:rPr>
          <w:rFonts w:eastAsia="Arial Narrow" w:cstheme="minorHAnsi"/>
          <w:spacing w:val="1"/>
        </w:rPr>
        <w:t>j</w:t>
      </w:r>
      <w:r w:rsidRPr="002167B8">
        <w:rPr>
          <w:rFonts w:eastAsia="Arial Narrow" w:cstheme="minorHAnsi"/>
        </w:rPr>
        <w:t>e</w:t>
      </w:r>
      <w:r w:rsidRPr="002167B8">
        <w:rPr>
          <w:rFonts w:eastAsia="Arial Narrow" w:cstheme="minorHAnsi"/>
          <w:spacing w:val="-2"/>
        </w:rPr>
        <w:t xml:space="preserve"> </w:t>
      </w:r>
      <w:r w:rsidRPr="002167B8">
        <w:rPr>
          <w:rFonts w:eastAsia="Arial Narrow" w:cstheme="minorHAnsi"/>
        </w:rPr>
        <w:t>23% u</w:t>
      </w:r>
      <w:r w:rsidRPr="002167B8">
        <w:rPr>
          <w:rFonts w:eastAsia="Arial Narrow" w:cstheme="minorHAnsi"/>
          <w:spacing w:val="1"/>
        </w:rPr>
        <w:t>k</w:t>
      </w:r>
      <w:r w:rsidRPr="002167B8">
        <w:rPr>
          <w:rFonts w:eastAsia="Arial Narrow" w:cstheme="minorHAnsi"/>
          <w:spacing w:val="-2"/>
        </w:rPr>
        <w:t>u</w:t>
      </w:r>
      <w:r w:rsidRPr="002167B8">
        <w:rPr>
          <w:rFonts w:eastAsia="Arial Narrow" w:cstheme="minorHAnsi"/>
        </w:rPr>
        <w:t>pnog</w:t>
      </w:r>
      <w:r w:rsidRPr="002167B8">
        <w:rPr>
          <w:rFonts w:eastAsia="Arial Narrow" w:cstheme="minorHAnsi"/>
          <w:spacing w:val="-2"/>
        </w:rPr>
        <w:t xml:space="preserve"> </w:t>
      </w:r>
      <w:r w:rsidRPr="002167B8">
        <w:rPr>
          <w:rFonts w:eastAsia="Arial Narrow" w:cstheme="minorHAnsi"/>
        </w:rPr>
        <w:t>bro</w:t>
      </w:r>
      <w:r w:rsidRPr="002167B8">
        <w:rPr>
          <w:rFonts w:eastAsia="Arial Narrow" w:cstheme="minorHAnsi"/>
          <w:spacing w:val="-2"/>
        </w:rPr>
        <w:t>j</w:t>
      </w:r>
      <w:r w:rsidRPr="002167B8">
        <w:rPr>
          <w:rFonts w:eastAsia="Arial Narrow" w:cstheme="minorHAnsi"/>
        </w:rPr>
        <w:t xml:space="preserve">a </w:t>
      </w:r>
      <w:r w:rsidRPr="002167B8">
        <w:rPr>
          <w:rFonts w:eastAsia="Arial Narrow" w:cstheme="minorHAnsi"/>
          <w:spacing w:val="-2"/>
        </w:rPr>
        <w:t>p</w:t>
      </w:r>
      <w:r w:rsidRPr="002167B8">
        <w:rPr>
          <w:rFonts w:eastAsia="Arial Narrow" w:cstheme="minorHAnsi"/>
        </w:rPr>
        <w:t>o</w:t>
      </w:r>
      <w:r w:rsidRPr="002167B8">
        <w:rPr>
          <w:rFonts w:eastAsia="Arial Narrow" w:cstheme="minorHAnsi"/>
          <w:spacing w:val="-2"/>
        </w:rPr>
        <w:t>d</w:t>
      </w:r>
      <w:r w:rsidRPr="002167B8">
        <w:rPr>
          <w:rFonts w:eastAsia="Arial Narrow" w:cstheme="minorHAnsi"/>
        </w:rPr>
        <w:t>u</w:t>
      </w:r>
      <w:r w:rsidRPr="002167B8">
        <w:rPr>
          <w:rFonts w:eastAsia="Arial Narrow" w:cstheme="minorHAnsi"/>
          <w:spacing w:val="1"/>
        </w:rPr>
        <w:t>z</w:t>
      </w:r>
      <w:r w:rsidRPr="002167B8">
        <w:rPr>
          <w:rFonts w:eastAsia="Arial Narrow" w:cstheme="minorHAnsi"/>
        </w:rPr>
        <w:t>etn</w:t>
      </w:r>
      <w:r w:rsidRPr="002167B8">
        <w:rPr>
          <w:rFonts w:eastAsia="Arial Narrow" w:cstheme="minorHAnsi"/>
          <w:spacing w:val="-2"/>
        </w:rPr>
        <w:t>i</w:t>
      </w:r>
      <w:r w:rsidRPr="002167B8">
        <w:rPr>
          <w:rFonts w:eastAsia="Arial Narrow" w:cstheme="minorHAnsi"/>
          <w:spacing w:val="1"/>
        </w:rPr>
        <w:t>k</w:t>
      </w:r>
      <w:r w:rsidRPr="002167B8">
        <w:rPr>
          <w:rFonts w:eastAsia="Arial Narrow" w:cstheme="minorHAnsi"/>
        </w:rPr>
        <w:t>a</w:t>
      </w:r>
      <w:r w:rsidR="00DC4BAC" w:rsidRPr="002167B8">
        <w:rPr>
          <w:rFonts w:eastAsia="Arial Narrow" w:cstheme="minorHAnsi"/>
        </w:rPr>
        <w:t xml:space="preserve"> i koja ostvaruje najveći izvoz (73% ukupnog izvoza)</w:t>
      </w:r>
      <w:r w:rsidRPr="002167B8">
        <w:rPr>
          <w:rFonts w:eastAsia="Arial Narrow" w:cstheme="minorHAnsi"/>
        </w:rPr>
        <w:t>.</w:t>
      </w:r>
      <w:r w:rsidRPr="002167B8">
        <w:rPr>
          <w:rFonts w:eastAsia="Arial Narrow" w:cstheme="minorHAnsi"/>
          <w:spacing w:val="-2"/>
        </w:rPr>
        <w:t xml:space="preserve"> </w:t>
      </w:r>
      <w:r w:rsidR="00DC4BAC" w:rsidRPr="002167B8">
        <w:rPr>
          <w:rFonts w:eastAsia="Arial Narrow" w:cstheme="minorHAnsi"/>
          <w:spacing w:val="-2"/>
        </w:rPr>
        <w:t>Djelatnost</w:t>
      </w:r>
      <w:r w:rsidR="002167B8" w:rsidRPr="002167B8">
        <w:rPr>
          <w:rFonts w:eastAsia="Arial Narrow" w:cstheme="minorHAnsi"/>
          <w:spacing w:val="-2"/>
        </w:rPr>
        <w:t>i</w:t>
      </w:r>
      <w:r w:rsidR="00DC4BAC" w:rsidRPr="002167B8">
        <w:rPr>
          <w:rFonts w:eastAsia="Arial Narrow" w:cstheme="minorHAnsi"/>
          <w:spacing w:val="-2"/>
        </w:rPr>
        <w:t xml:space="preserve"> </w:t>
      </w:r>
      <w:r w:rsidR="002167B8" w:rsidRPr="002167B8">
        <w:rPr>
          <w:rFonts w:eastAsia="Arial Narrow" w:cstheme="minorHAnsi"/>
          <w:spacing w:val="-2"/>
        </w:rPr>
        <w:t xml:space="preserve">B - rudarstvo i vađenje; </w:t>
      </w:r>
      <w:r w:rsidR="002167B8" w:rsidRPr="002167B8">
        <w:rPr>
          <w:rFonts w:eastAsia="Arial Narrow" w:cstheme="minorHAnsi"/>
        </w:rPr>
        <w:t>Q</w:t>
      </w:r>
      <w:r w:rsidR="002167B8" w:rsidRPr="002167B8">
        <w:rPr>
          <w:rFonts w:eastAsia="Arial Narrow" w:cstheme="minorHAnsi"/>
          <w:spacing w:val="3"/>
        </w:rPr>
        <w:t xml:space="preserve"> - </w:t>
      </w:r>
      <w:r w:rsidR="002167B8" w:rsidRPr="002167B8">
        <w:rPr>
          <w:rFonts w:eastAsia="Arial Narrow" w:cstheme="minorHAnsi"/>
        </w:rPr>
        <w:t>d</w:t>
      </w:r>
      <w:r w:rsidR="002167B8" w:rsidRPr="002167B8">
        <w:rPr>
          <w:rFonts w:eastAsia="Arial Narrow" w:cstheme="minorHAnsi"/>
          <w:spacing w:val="-2"/>
        </w:rPr>
        <w:t>j</w:t>
      </w:r>
      <w:r w:rsidR="002167B8" w:rsidRPr="002167B8">
        <w:rPr>
          <w:rFonts w:eastAsia="Arial Narrow" w:cstheme="minorHAnsi"/>
        </w:rPr>
        <w:t>e</w:t>
      </w:r>
      <w:r w:rsidR="002167B8" w:rsidRPr="002167B8">
        <w:rPr>
          <w:rFonts w:eastAsia="Arial Narrow" w:cstheme="minorHAnsi"/>
          <w:spacing w:val="1"/>
        </w:rPr>
        <w:t>l</w:t>
      </w:r>
      <w:r w:rsidR="002167B8" w:rsidRPr="002167B8">
        <w:rPr>
          <w:rFonts w:eastAsia="Arial Narrow" w:cstheme="minorHAnsi"/>
        </w:rPr>
        <w:t>at</w:t>
      </w:r>
      <w:r w:rsidR="002167B8" w:rsidRPr="002167B8">
        <w:rPr>
          <w:rFonts w:eastAsia="Arial Narrow" w:cstheme="minorHAnsi"/>
          <w:spacing w:val="-2"/>
        </w:rPr>
        <w:t>n</w:t>
      </w:r>
      <w:r w:rsidR="002167B8" w:rsidRPr="002167B8">
        <w:rPr>
          <w:rFonts w:eastAsia="Arial Narrow" w:cstheme="minorHAnsi"/>
        </w:rPr>
        <w:t>o</w:t>
      </w:r>
      <w:r w:rsidR="002167B8" w:rsidRPr="002167B8">
        <w:rPr>
          <w:rFonts w:eastAsia="Arial Narrow" w:cstheme="minorHAnsi"/>
          <w:spacing w:val="1"/>
        </w:rPr>
        <w:t>s</w:t>
      </w:r>
      <w:r w:rsidR="002167B8" w:rsidRPr="002167B8">
        <w:rPr>
          <w:rFonts w:eastAsia="Arial Narrow" w:cstheme="minorHAnsi"/>
        </w:rPr>
        <w:t>ti</w:t>
      </w:r>
      <w:r w:rsidR="002167B8" w:rsidRPr="002167B8">
        <w:rPr>
          <w:rFonts w:eastAsia="Arial Narrow" w:cstheme="minorHAnsi"/>
          <w:spacing w:val="1"/>
        </w:rPr>
        <w:t xml:space="preserve"> z</w:t>
      </w:r>
      <w:r w:rsidR="002167B8" w:rsidRPr="002167B8">
        <w:rPr>
          <w:rFonts w:eastAsia="Arial Narrow" w:cstheme="minorHAnsi"/>
        </w:rPr>
        <w:t>dra</w:t>
      </w:r>
      <w:r w:rsidR="002167B8" w:rsidRPr="002167B8">
        <w:rPr>
          <w:rFonts w:eastAsia="Arial Narrow" w:cstheme="minorHAnsi"/>
          <w:spacing w:val="-2"/>
        </w:rPr>
        <w:t>v</w:t>
      </w:r>
      <w:r w:rsidR="002167B8" w:rsidRPr="002167B8">
        <w:rPr>
          <w:rFonts w:eastAsia="Arial Narrow" w:cstheme="minorHAnsi"/>
          <w:spacing w:val="1"/>
        </w:rPr>
        <w:t>s</w:t>
      </w:r>
      <w:r w:rsidR="002167B8" w:rsidRPr="002167B8">
        <w:rPr>
          <w:rFonts w:eastAsia="Arial Narrow" w:cstheme="minorHAnsi"/>
        </w:rPr>
        <w:t>t</w:t>
      </w:r>
      <w:r w:rsidR="002167B8" w:rsidRPr="002167B8">
        <w:rPr>
          <w:rFonts w:eastAsia="Arial Narrow" w:cstheme="minorHAnsi"/>
          <w:spacing w:val="1"/>
        </w:rPr>
        <w:t>v</w:t>
      </w:r>
      <w:r w:rsidR="002167B8" w:rsidRPr="002167B8">
        <w:rPr>
          <w:rFonts w:eastAsia="Arial Narrow" w:cstheme="minorHAnsi"/>
        </w:rPr>
        <w:t>e</w:t>
      </w:r>
      <w:r w:rsidR="002167B8" w:rsidRPr="002167B8">
        <w:rPr>
          <w:rFonts w:eastAsia="Arial Narrow" w:cstheme="minorHAnsi"/>
          <w:spacing w:val="-2"/>
        </w:rPr>
        <w:t>n</w:t>
      </w:r>
      <w:r w:rsidR="002167B8" w:rsidRPr="002167B8">
        <w:rPr>
          <w:rFonts w:eastAsia="Arial Narrow" w:cstheme="minorHAnsi"/>
        </w:rPr>
        <w:t>e</w:t>
      </w:r>
      <w:r w:rsidR="002167B8" w:rsidRPr="002167B8">
        <w:rPr>
          <w:rFonts w:eastAsia="Arial Narrow" w:cstheme="minorHAnsi"/>
          <w:spacing w:val="3"/>
        </w:rPr>
        <w:t xml:space="preserve"> </w:t>
      </w:r>
      <w:r w:rsidR="002167B8" w:rsidRPr="002167B8">
        <w:rPr>
          <w:rFonts w:eastAsia="Arial Narrow" w:cstheme="minorHAnsi"/>
          <w:spacing w:val="1"/>
        </w:rPr>
        <w:t>z</w:t>
      </w:r>
      <w:r w:rsidR="002167B8" w:rsidRPr="002167B8">
        <w:rPr>
          <w:rFonts w:eastAsia="Arial Narrow" w:cstheme="minorHAnsi"/>
        </w:rPr>
        <w:t>a</w:t>
      </w:r>
      <w:r w:rsidR="002167B8" w:rsidRPr="002167B8">
        <w:rPr>
          <w:rFonts w:eastAsia="Arial Narrow" w:cstheme="minorHAnsi"/>
          <w:spacing w:val="1"/>
        </w:rPr>
        <w:t>š</w:t>
      </w:r>
      <w:r w:rsidR="002167B8" w:rsidRPr="002167B8">
        <w:rPr>
          <w:rFonts w:eastAsia="Arial Narrow" w:cstheme="minorHAnsi"/>
          <w:spacing w:val="-2"/>
        </w:rPr>
        <w:t>t</w:t>
      </w:r>
      <w:r w:rsidR="002167B8" w:rsidRPr="002167B8">
        <w:rPr>
          <w:rFonts w:eastAsia="Arial Narrow" w:cstheme="minorHAnsi"/>
          <w:spacing w:val="1"/>
        </w:rPr>
        <w:t>i</w:t>
      </w:r>
      <w:r w:rsidR="002167B8" w:rsidRPr="002167B8">
        <w:rPr>
          <w:rFonts w:eastAsia="Arial Narrow" w:cstheme="minorHAnsi"/>
        </w:rPr>
        <w:t>te</w:t>
      </w:r>
      <w:r w:rsidR="002167B8" w:rsidRPr="002167B8">
        <w:rPr>
          <w:rFonts w:eastAsia="Arial Narrow" w:cstheme="minorHAnsi"/>
          <w:spacing w:val="3"/>
        </w:rPr>
        <w:t xml:space="preserve"> </w:t>
      </w:r>
      <w:r w:rsidR="002167B8" w:rsidRPr="002167B8">
        <w:rPr>
          <w:rFonts w:eastAsia="Arial Narrow" w:cstheme="minorHAnsi"/>
        </w:rPr>
        <w:t>i</w:t>
      </w:r>
      <w:r w:rsidR="002167B8" w:rsidRPr="002167B8">
        <w:rPr>
          <w:rFonts w:eastAsia="Arial Narrow" w:cstheme="minorHAnsi"/>
          <w:spacing w:val="3"/>
        </w:rPr>
        <w:t xml:space="preserve"> </w:t>
      </w:r>
      <w:r w:rsidR="002167B8" w:rsidRPr="002167B8">
        <w:rPr>
          <w:rFonts w:eastAsia="Arial Narrow" w:cstheme="minorHAnsi"/>
          <w:spacing w:val="1"/>
        </w:rPr>
        <w:t>s</w:t>
      </w:r>
      <w:r w:rsidR="002167B8" w:rsidRPr="002167B8">
        <w:rPr>
          <w:rFonts w:eastAsia="Arial Narrow" w:cstheme="minorHAnsi"/>
          <w:spacing w:val="-2"/>
        </w:rPr>
        <w:t>o</w:t>
      </w:r>
      <w:r w:rsidR="002167B8" w:rsidRPr="002167B8">
        <w:rPr>
          <w:rFonts w:eastAsia="Arial Narrow" w:cstheme="minorHAnsi"/>
          <w:spacing w:val="1"/>
        </w:rPr>
        <w:t>cij</w:t>
      </w:r>
      <w:r w:rsidR="002167B8" w:rsidRPr="002167B8">
        <w:rPr>
          <w:rFonts w:eastAsia="Arial Narrow" w:cstheme="minorHAnsi"/>
          <w:spacing w:val="-2"/>
        </w:rPr>
        <w:t>a</w:t>
      </w:r>
      <w:r w:rsidR="002167B8" w:rsidRPr="002167B8">
        <w:rPr>
          <w:rFonts w:eastAsia="Arial Narrow" w:cstheme="minorHAnsi"/>
          <w:spacing w:val="1"/>
        </w:rPr>
        <w:t>l</w:t>
      </w:r>
      <w:r w:rsidR="002167B8" w:rsidRPr="002167B8">
        <w:rPr>
          <w:rFonts w:eastAsia="Arial Narrow" w:cstheme="minorHAnsi"/>
        </w:rPr>
        <w:t xml:space="preserve">ne </w:t>
      </w:r>
      <w:r w:rsidR="002167B8" w:rsidRPr="002167B8">
        <w:rPr>
          <w:rFonts w:eastAsia="Arial Narrow" w:cstheme="minorHAnsi"/>
          <w:spacing w:val="1"/>
        </w:rPr>
        <w:t>sk</w:t>
      </w:r>
      <w:r w:rsidR="002167B8" w:rsidRPr="002167B8">
        <w:rPr>
          <w:rFonts w:eastAsia="Arial Narrow" w:cstheme="minorHAnsi"/>
        </w:rPr>
        <w:t>rbi, E - opskrba vodom; uklanjanje otpadnih voda, gospodarenje otpadom i djelatnosti sanacije okoliša i F - gra</w:t>
      </w:r>
      <w:r w:rsidR="002167B8" w:rsidRPr="002167B8">
        <w:rPr>
          <w:rFonts w:eastAsia="Arial Narrow" w:cstheme="minorHAnsi"/>
          <w:spacing w:val="1"/>
        </w:rPr>
        <w:t>đ</w:t>
      </w:r>
      <w:r w:rsidR="002167B8" w:rsidRPr="002167B8">
        <w:rPr>
          <w:rFonts w:eastAsia="Arial Narrow" w:cstheme="minorHAnsi"/>
        </w:rPr>
        <w:t>e</w:t>
      </w:r>
      <w:r w:rsidR="002167B8" w:rsidRPr="002167B8">
        <w:rPr>
          <w:rFonts w:eastAsia="Arial Narrow" w:cstheme="minorHAnsi"/>
          <w:spacing w:val="-2"/>
        </w:rPr>
        <w:t>v</w:t>
      </w:r>
      <w:r w:rsidR="002167B8" w:rsidRPr="002167B8">
        <w:rPr>
          <w:rFonts w:eastAsia="Arial Narrow" w:cstheme="minorHAnsi"/>
          <w:spacing w:val="1"/>
        </w:rPr>
        <w:t>i</w:t>
      </w:r>
      <w:r w:rsidR="002167B8" w:rsidRPr="002167B8">
        <w:rPr>
          <w:rFonts w:eastAsia="Arial Narrow" w:cstheme="minorHAnsi"/>
        </w:rPr>
        <w:t>nar</w:t>
      </w:r>
      <w:r w:rsidR="002167B8" w:rsidRPr="002167B8">
        <w:rPr>
          <w:rFonts w:eastAsia="Arial Narrow" w:cstheme="minorHAnsi"/>
          <w:spacing w:val="-2"/>
        </w:rPr>
        <w:t>s</w:t>
      </w:r>
      <w:r w:rsidR="002167B8" w:rsidRPr="002167B8">
        <w:rPr>
          <w:rFonts w:eastAsia="Arial Narrow" w:cstheme="minorHAnsi"/>
        </w:rPr>
        <w:t>t</w:t>
      </w:r>
      <w:r w:rsidR="002167B8" w:rsidRPr="002167B8">
        <w:rPr>
          <w:rFonts w:eastAsia="Arial Narrow" w:cstheme="minorHAnsi"/>
          <w:spacing w:val="1"/>
        </w:rPr>
        <w:t>v</w:t>
      </w:r>
      <w:r w:rsidR="002167B8" w:rsidRPr="002167B8">
        <w:rPr>
          <w:rFonts w:eastAsia="Arial Narrow" w:cstheme="minorHAnsi"/>
        </w:rPr>
        <w:t>o zbog visoke specijalizacije sektora predstavljaj</w:t>
      </w:r>
      <w:r w:rsidR="000B4418">
        <w:rPr>
          <w:rFonts w:eastAsia="Arial Narrow" w:cstheme="minorHAnsi"/>
        </w:rPr>
        <w:t>u konkurentsku prednost KZŽ</w:t>
      </w:r>
      <w:r w:rsidR="002167B8" w:rsidRPr="002167B8">
        <w:rPr>
          <w:rFonts w:eastAsia="Arial Narrow" w:cstheme="minorHAnsi"/>
        </w:rPr>
        <w:t xml:space="preserve"> te potencijal za ulaganje.</w:t>
      </w:r>
    </w:p>
    <w:p w14:paraId="30EA0697" w14:textId="77777777" w:rsidR="001838EE" w:rsidRDefault="001838EE" w:rsidP="00941871">
      <w:pPr>
        <w:rPr>
          <w:rFonts w:eastAsiaTheme="minorHAnsi" w:cstheme="minorHAnsi"/>
          <w:sz w:val="22"/>
          <w:szCs w:val="22"/>
          <w:lang w:eastAsia="hr-HR"/>
        </w:rPr>
      </w:pPr>
    </w:p>
    <w:p w14:paraId="7EC09276" w14:textId="1745898D" w:rsidR="008878A0" w:rsidRDefault="00B601EE" w:rsidP="0052192B">
      <w:pPr>
        <w:pStyle w:val="Naslov2"/>
        <w:rPr>
          <w:w w:val="99"/>
        </w:rPr>
      </w:pPr>
      <w:bookmarkStart w:id="156" w:name="_Toc85181334"/>
      <w:r>
        <w:rPr>
          <w:w w:val="99"/>
        </w:rPr>
        <w:t>10</w:t>
      </w:r>
      <w:r w:rsidR="008878A0">
        <w:rPr>
          <w:w w:val="99"/>
        </w:rPr>
        <w:t>.</w:t>
      </w:r>
      <w:r w:rsidR="007D6366">
        <w:rPr>
          <w:w w:val="99"/>
        </w:rPr>
        <w:t>8</w:t>
      </w:r>
      <w:r w:rsidR="008878A0">
        <w:rPr>
          <w:w w:val="99"/>
        </w:rPr>
        <w:t xml:space="preserve">. </w:t>
      </w:r>
      <w:r w:rsidR="008878A0">
        <w:t>Vanjskotrgovinski</w:t>
      </w:r>
      <w:r w:rsidR="008878A0">
        <w:rPr>
          <w:w w:val="99"/>
        </w:rPr>
        <w:t xml:space="preserve"> partneri Krapinsko-zagorske županije</w:t>
      </w:r>
      <w:bookmarkEnd w:id="156"/>
    </w:p>
    <w:p w14:paraId="3CBFC68F" w14:textId="00B8C77C" w:rsidR="008878A0" w:rsidRDefault="008878A0" w:rsidP="00941871">
      <w:pPr>
        <w:rPr>
          <w:rFonts w:eastAsia="Arial Narrow" w:cstheme="minorHAnsi"/>
        </w:rPr>
      </w:pPr>
      <w:r>
        <w:rPr>
          <w:rFonts w:cstheme="minorHAnsi"/>
        </w:rPr>
        <w:br/>
        <w:t>Gospodarstvo Krapinsko-zagorske županije ostvaruje pozitivan saldo vanjskotrgovinske razmjene. V</w:t>
      </w:r>
      <w:r>
        <w:rPr>
          <w:rFonts w:eastAsia="Arial Narrow" w:cstheme="minorHAnsi"/>
        </w:rPr>
        <w:t>an</w:t>
      </w:r>
      <w:r>
        <w:rPr>
          <w:rFonts w:eastAsia="Arial Narrow" w:cstheme="minorHAnsi"/>
          <w:spacing w:val="1"/>
        </w:rPr>
        <w:t>js</w:t>
      </w:r>
      <w:r>
        <w:rPr>
          <w:rFonts w:eastAsia="Arial Narrow" w:cstheme="minorHAnsi"/>
          <w:spacing w:val="-2"/>
        </w:rPr>
        <w:t>k</w:t>
      </w:r>
      <w:r>
        <w:rPr>
          <w:rFonts w:eastAsia="Arial Narrow" w:cstheme="minorHAnsi"/>
        </w:rPr>
        <w:t>otrgo</w:t>
      </w:r>
      <w:r>
        <w:rPr>
          <w:rFonts w:eastAsia="Arial Narrow" w:cstheme="minorHAnsi"/>
          <w:spacing w:val="-2"/>
        </w:rPr>
        <w:t>v</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i</w:t>
      </w:r>
      <w:r>
        <w:rPr>
          <w:rFonts w:eastAsia="Arial Narrow" w:cstheme="minorHAnsi"/>
          <w:spacing w:val="5"/>
        </w:rPr>
        <w:t xml:space="preserve"> </w:t>
      </w:r>
      <w:r>
        <w:rPr>
          <w:rFonts w:eastAsia="Arial Narrow" w:cstheme="minorHAnsi"/>
        </w:rPr>
        <w:t>p</w:t>
      </w:r>
      <w:r>
        <w:rPr>
          <w:rFonts w:eastAsia="Arial Narrow" w:cstheme="minorHAnsi"/>
          <w:spacing w:val="-3"/>
        </w:rPr>
        <w:t>r</w:t>
      </w:r>
      <w:r>
        <w:rPr>
          <w:rFonts w:eastAsia="Arial Narrow" w:cstheme="minorHAnsi"/>
        </w:rPr>
        <w:t>omet</w:t>
      </w:r>
      <w:r>
        <w:rPr>
          <w:rFonts w:eastAsia="Arial Narrow" w:cstheme="minorHAnsi"/>
          <w:spacing w:val="5"/>
        </w:rPr>
        <w:t xml:space="preserve"> </w:t>
      </w:r>
      <w:r>
        <w:rPr>
          <w:rFonts w:eastAsia="Arial Narrow" w:cstheme="minorHAnsi"/>
          <w:spacing w:val="-1"/>
        </w:rPr>
        <w:t>K</w:t>
      </w:r>
      <w:r>
        <w:rPr>
          <w:rFonts w:eastAsia="Arial Narrow" w:cstheme="minorHAnsi"/>
        </w:rPr>
        <w:t>r</w:t>
      </w:r>
      <w:r>
        <w:rPr>
          <w:rFonts w:eastAsia="Arial Narrow" w:cstheme="minorHAnsi"/>
          <w:spacing w:val="-2"/>
        </w:rPr>
        <w:t>a</w:t>
      </w:r>
      <w:r>
        <w:rPr>
          <w:rFonts w:eastAsia="Arial Narrow" w:cstheme="minorHAnsi"/>
        </w:rPr>
        <w:t>p</w:t>
      </w:r>
      <w:r>
        <w:rPr>
          <w:rFonts w:eastAsia="Arial Narrow" w:cstheme="minorHAnsi"/>
          <w:spacing w:val="1"/>
        </w:rPr>
        <w:t>i</w:t>
      </w:r>
      <w:r>
        <w:rPr>
          <w:rFonts w:eastAsia="Arial Narrow" w:cstheme="minorHAnsi"/>
        </w:rPr>
        <w:t>n</w:t>
      </w:r>
      <w:r>
        <w:rPr>
          <w:rFonts w:eastAsia="Arial Narrow" w:cstheme="minorHAnsi"/>
          <w:spacing w:val="1"/>
        </w:rPr>
        <w:t>s</w:t>
      </w:r>
      <w:r>
        <w:rPr>
          <w:rFonts w:eastAsia="Arial Narrow" w:cstheme="minorHAnsi"/>
          <w:spacing w:val="-2"/>
        </w:rPr>
        <w:t>k</w:t>
      </w:r>
      <w:r>
        <w:rPr>
          <w:rFonts w:eastAsia="Arial Narrow" w:cstheme="minorHAnsi"/>
        </w:rPr>
        <w:t>o-</w:t>
      </w:r>
      <w:r>
        <w:rPr>
          <w:rFonts w:eastAsia="Arial Narrow" w:cstheme="minorHAnsi"/>
          <w:spacing w:val="1"/>
        </w:rPr>
        <w:t>z</w:t>
      </w:r>
      <w:r>
        <w:rPr>
          <w:rFonts w:eastAsia="Arial Narrow" w:cstheme="minorHAnsi"/>
        </w:rPr>
        <w:t>a</w:t>
      </w:r>
      <w:r>
        <w:rPr>
          <w:rFonts w:eastAsia="Arial Narrow" w:cstheme="minorHAnsi"/>
          <w:spacing w:val="-2"/>
        </w:rPr>
        <w:t>g</w:t>
      </w:r>
      <w:r>
        <w:rPr>
          <w:rFonts w:eastAsia="Arial Narrow" w:cstheme="minorHAnsi"/>
        </w:rPr>
        <w:t>or</w:t>
      </w:r>
      <w:r>
        <w:rPr>
          <w:rFonts w:eastAsia="Arial Narrow" w:cstheme="minorHAnsi"/>
          <w:spacing w:val="1"/>
        </w:rPr>
        <w:t>s</w:t>
      </w:r>
      <w:r>
        <w:rPr>
          <w:rFonts w:eastAsia="Arial Narrow" w:cstheme="minorHAnsi"/>
          <w:spacing w:val="-2"/>
        </w:rPr>
        <w:t>k</w:t>
      </w:r>
      <w:r>
        <w:rPr>
          <w:rFonts w:eastAsia="Arial Narrow" w:cstheme="minorHAnsi"/>
        </w:rPr>
        <w:t>e</w:t>
      </w:r>
      <w:r>
        <w:rPr>
          <w:rFonts w:eastAsia="Arial Narrow" w:cstheme="minorHAnsi"/>
          <w:spacing w:val="5"/>
        </w:rPr>
        <w:t xml:space="preserve"> </w:t>
      </w:r>
      <w:r>
        <w:rPr>
          <w:rFonts w:eastAsia="Arial Narrow" w:cstheme="minorHAnsi"/>
          <w:spacing w:val="1"/>
        </w:rPr>
        <w:t>ž</w:t>
      </w:r>
      <w:r>
        <w:rPr>
          <w:rFonts w:eastAsia="Arial Narrow" w:cstheme="minorHAnsi"/>
          <w:spacing w:val="-2"/>
        </w:rPr>
        <w:t>u</w:t>
      </w:r>
      <w:r>
        <w:rPr>
          <w:rFonts w:eastAsia="Arial Narrow" w:cstheme="minorHAnsi"/>
        </w:rPr>
        <w:t>pan</w:t>
      </w:r>
      <w:r>
        <w:rPr>
          <w:rFonts w:eastAsia="Arial Narrow" w:cstheme="minorHAnsi"/>
          <w:spacing w:val="-2"/>
        </w:rPr>
        <w:t>i</w:t>
      </w:r>
      <w:r>
        <w:rPr>
          <w:rFonts w:eastAsia="Arial Narrow" w:cstheme="minorHAnsi"/>
          <w:spacing w:val="1"/>
        </w:rPr>
        <w:t>j</w:t>
      </w:r>
      <w:r>
        <w:rPr>
          <w:rFonts w:eastAsia="Arial Narrow" w:cstheme="minorHAnsi"/>
        </w:rPr>
        <w:t>e</w:t>
      </w:r>
      <w:r>
        <w:rPr>
          <w:rFonts w:eastAsia="Arial Narrow" w:cstheme="minorHAnsi"/>
          <w:spacing w:val="5"/>
        </w:rPr>
        <w:t xml:space="preserve"> u promatranih 9 godina za koje su dos</w:t>
      </w:r>
      <w:r>
        <w:rPr>
          <w:rFonts w:eastAsia="Arial Narrow" w:cstheme="minorHAnsi"/>
        </w:rPr>
        <w:t>tu</w:t>
      </w:r>
      <w:r>
        <w:rPr>
          <w:rFonts w:eastAsia="Arial Narrow" w:cstheme="minorHAnsi"/>
          <w:spacing w:val="-2"/>
        </w:rPr>
        <w:t>p</w:t>
      </w:r>
      <w:r>
        <w:rPr>
          <w:rFonts w:eastAsia="Arial Narrow" w:cstheme="minorHAnsi"/>
        </w:rPr>
        <w:t>ni</w:t>
      </w:r>
      <w:r>
        <w:rPr>
          <w:rFonts w:eastAsia="Arial Narrow" w:cstheme="minorHAnsi"/>
          <w:spacing w:val="5"/>
        </w:rPr>
        <w:t xml:space="preserve"> </w:t>
      </w:r>
      <w:r>
        <w:rPr>
          <w:rFonts w:eastAsia="Arial Narrow" w:cstheme="minorHAnsi"/>
        </w:rPr>
        <w:t>p</w:t>
      </w:r>
      <w:r>
        <w:rPr>
          <w:rFonts w:eastAsia="Arial Narrow" w:cstheme="minorHAnsi"/>
          <w:spacing w:val="-2"/>
        </w:rPr>
        <w:t>o</w:t>
      </w:r>
      <w:r>
        <w:rPr>
          <w:rFonts w:eastAsia="Arial Narrow" w:cstheme="minorHAnsi"/>
        </w:rPr>
        <w:t>dat</w:t>
      </w:r>
      <w:r>
        <w:rPr>
          <w:rFonts w:eastAsia="Arial Narrow" w:cstheme="minorHAnsi"/>
          <w:spacing w:val="1"/>
        </w:rPr>
        <w:t>c</w:t>
      </w:r>
      <w:r>
        <w:rPr>
          <w:rFonts w:eastAsia="Arial Narrow" w:cstheme="minorHAnsi"/>
        </w:rPr>
        <w:t>i</w:t>
      </w:r>
      <w:r>
        <w:rPr>
          <w:rFonts w:eastAsia="Arial Narrow" w:cstheme="minorHAnsi"/>
          <w:spacing w:val="5"/>
        </w:rPr>
        <w:t xml:space="preserve"> </w:t>
      </w:r>
      <w:r>
        <w:rPr>
          <w:rFonts w:eastAsia="Arial Narrow" w:cstheme="minorHAnsi"/>
          <w:spacing w:val="-2"/>
        </w:rPr>
        <w:t>j</w:t>
      </w:r>
      <w:r>
        <w:rPr>
          <w:rFonts w:eastAsia="Arial Narrow" w:cstheme="minorHAnsi"/>
        </w:rPr>
        <w:t>e po</w:t>
      </w:r>
      <w:r>
        <w:rPr>
          <w:rFonts w:eastAsia="Arial Narrow" w:cstheme="minorHAnsi"/>
          <w:spacing w:val="1"/>
        </w:rPr>
        <w:t>zi</w:t>
      </w:r>
      <w:r>
        <w:rPr>
          <w:rFonts w:eastAsia="Arial Narrow" w:cstheme="minorHAnsi"/>
        </w:rPr>
        <w:t>t</w:t>
      </w:r>
      <w:r>
        <w:rPr>
          <w:rFonts w:eastAsia="Arial Narrow" w:cstheme="minorHAnsi"/>
          <w:spacing w:val="-2"/>
        </w:rPr>
        <w:t>i</w:t>
      </w:r>
      <w:r>
        <w:rPr>
          <w:rFonts w:eastAsia="Arial Narrow" w:cstheme="minorHAnsi"/>
          <w:spacing w:val="1"/>
        </w:rPr>
        <w:t>v</w:t>
      </w:r>
      <w:r>
        <w:rPr>
          <w:rFonts w:eastAsia="Arial Narrow" w:cstheme="minorHAnsi"/>
        </w:rPr>
        <w:t>an,</w:t>
      </w:r>
      <w:r>
        <w:rPr>
          <w:rFonts w:eastAsia="Arial Narrow" w:cstheme="minorHAnsi"/>
          <w:spacing w:val="2"/>
        </w:rPr>
        <w:t xml:space="preserve"> </w:t>
      </w:r>
      <w:r>
        <w:rPr>
          <w:rFonts w:eastAsia="Arial Narrow" w:cstheme="minorHAnsi"/>
          <w:spacing w:val="1"/>
        </w:rPr>
        <w:t>i</w:t>
      </w:r>
      <w:r>
        <w:rPr>
          <w:rFonts w:eastAsia="Arial Narrow" w:cstheme="minorHAnsi"/>
          <w:spacing w:val="-2"/>
        </w:rPr>
        <w:t>a</w:t>
      </w:r>
      <w:r>
        <w:rPr>
          <w:rFonts w:eastAsia="Arial Narrow" w:cstheme="minorHAnsi"/>
          <w:spacing w:val="1"/>
        </w:rPr>
        <w:t>k</w:t>
      </w:r>
      <w:r>
        <w:rPr>
          <w:rFonts w:eastAsia="Arial Narrow" w:cstheme="minorHAnsi"/>
        </w:rPr>
        <w:t>o</w:t>
      </w:r>
      <w:r>
        <w:rPr>
          <w:rFonts w:eastAsia="Arial Narrow" w:cstheme="minorHAnsi"/>
          <w:spacing w:val="4"/>
        </w:rPr>
        <w:t xml:space="preserve"> </w:t>
      </w:r>
      <w:r>
        <w:rPr>
          <w:rFonts w:eastAsia="Arial Narrow" w:cstheme="minorHAnsi"/>
        </w:rPr>
        <w:t>r</w:t>
      </w:r>
      <w:r>
        <w:rPr>
          <w:rFonts w:eastAsia="Arial Narrow" w:cstheme="minorHAnsi"/>
          <w:spacing w:val="-2"/>
        </w:rPr>
        <w:t>e</w:t>
      </w:r>
      <w:r>
        <w:rPr>
          <w:rFonts w:eastAsia="Arial Narrow" w:cstheme="minorHAnsi"/>
          <w:spacing w:val="1"/>
        </w:rPr>
        <w:t>z</w:t>
      </w:r>
      <w:r>
        <w:rPr>
          <w:rFonts w:eastAsia="Arial Narrow" w:cstheme="minorHAnsi"/>
        </w:rPr>
        <w:t>u</w:t>
      </w:r>
      <w:r>
        <w:rPr>
          <w:rFonts w:eastAsia="Arial Narrow" w:cstheme="minorHAnsi"/>
          <w:spacing w:val="1"/>
        </w:rPr>
        <w:t>l</w:t>
      </w:r>
      <w:r>
        <w:rPr>
          <w:rFonts w:eastAsia="Arial Narrow" w:cstheme="minorHAnsi"/>
          <w:spacing w:val="-2"/>
        </w:rPr>
        <w:t>t</w:t>
      </w:r>
      <w:r>
        <w:rPr>
          <w:rFonts w:eastAsia="Arial Narrow" w:cstheme="minorHAnsi"/>
          <w:spacing w:val="1"/>
        </w:rPr>
        <w:t>i</w:t>
      </w:r>
      <w:r>
        <w:rPr>
          <w:rFonts w:eastAsia="Arial Narrow" w:cstheme="minorHAnsi"/>
        </w:rPr>
        <w:t>ra</w:t>
      </w:r>
      <w:r>
        <w:rPr>
          <w:rFonts w:eastAsia="Arial Narrow" w:cstheme="minorHAnsi"/>
          <w:spacing w:val="4"/>
        </w:rPr>
        <w:t xml:space="preserve"> kako povećanjem izvoza tako i </w:t>
      </w:r>
      <w:r>
        <w:rPr>
          <w:rFonts w:eastAsia="Arial Narrow" w:cstheme="minorHAnsi"/>
          <w:spacing w:val="-2"/>
        </w:rPr>
        <w:t>p</w:t>
      </w:r>
      <w:r>
        <w:rPr>
          <w:rFonts w:eastAsia="Arial Narrow" w:cstheme="minorHAnsi"/>
        </w:rPr>
        <w:t>o</w:t>
      </w:r>
      <w:r>
        <w:rPr>
          <w:rFonts w:eastAsia="Arial Narrow" w:cstheme="minorHAnsi"/>
          <w:spacing w:val="1"/>
        </w:rPr>
        <w:t>v</w:t>
      </w:r>
      <w:r>
        <w:rPr>
          <w:rFonts w:eastAsia="Arial Narrow" w:cstheme="minorHAnsi"/>
          <w:spacing w:val="-2"/>
        </w:rPr>
        <w:t>eć</w:t>
      </w:r>
      <w:r>
        <w:rPr>
          <w:rFonts w:eastAsia="Arial Narrow" w:cstheme="minorHAnsi"/>
        </w:rPr>
        <w:t>an</w:t>
      </w:r>
      <w:r>
        <w:rPr>
          <w:rFonts w:eastAsia="Arial Narrow" w:cstheme="minorHAnsi"/>
          <w:spacing w:val="1"/>
        </w:rPr>
        <w:t>j</w:t>
      </w:r>
      <w:r>
        <w:rPr>
          <w:rFonts w:eastAsia="Arial Narrow" w:cstheme="minorHAnsi"/>
        </w:rPr>
        <w:t>em</w:t>
      </w:r>
      <w:r>
        <w:rPr>
          <w:rFonts w:eastAsia="Arial Narrow" w:cstheme="minorHAnsi"/>
          <w:spacing w:val="2"/>
        </w:rPr>
        <w:t xml:space="preserve"> </w:t>
      </w:r>
      <w:r>
        <w:rPr>
          <w:rFonts w:eastAsia="Arial Narrow" w:cstheme="minorHAnsi"/>
        </w:rPr>
        <w:t>u</w:t>
      </w:r>
      <w:r>
        <w:rPr>
          <w:rFonts w:eastAsia="Arial Narrow" w:cstheme="minorHAnsi"/>
          <w:spacing w:val="1"/>
        </w:rPr>
        <w:t>v</w:t>
      </w:r>
      <w:r>
        <w:rPr>
          <w:rFonts w:eastAsia="Arial Narrow" w:cstheme="minorHAnsi"/>
          <w:spacing w:val="-2"/>
        </w:rPr>
        <w:t>o</w:t>
      </w:r>
      <w:r>
        <w:rPr>
          <w:rFonts w:eastAsia="Arial Narrow" w:cstheme="minorHAnsi"/>
          <w:spacing w:val="1"/>
        </w:rPr>
        <w:t>z</w:t>
      </w:r>
      <w:r>
        <w:rPr>
          <w:rFonts w:eastAsia="Arial Narrow" w:cstheme="minorHAnsi"/>
        </w:rPr>
        <w:t xml:space="preserve">a. </w:t>
      </w:r>
    </w:p>
    <w:p w14:paraId="4BC9A38F" w14:textId="77777777" w:rsidR="00F4699E" w:rsidRDefault="00F4699E" w:rsidP="00941871">
      <w:pPr>
        <w:rPr>
          <w:rFonts w:eastAsia="Arial Narrow" w:cstheme="minorHAnsi"/>
        </w:rPr>
      </w:pPr>
    </w:p>
    <w:p w14:paraId="11CC599D" w14:textId="1A3209B9" w:rsidR="001838EE" w:rsidRDefault="001838EE" w:rsidP="003E3F3C">
      <w:pPr>
        <w:pStyle w:val="Opisslike"/>
      </w:pPr>
      <w:r>
        <w:t xml:space="preserve">Tablica </w:t>
      </w:r>
      <w:r w:rsidR="00F4699E">
        <w:t>8</w:t>
      </w:r>
      <w:r w:rsidR="000D5E3F">
        <w:t>8</w:t>
      </w:r>
      <w:r>
        <w:t xml:space="preserve">. </w:t>
      </w:r>
      <w:r w:rsidRPr="00417911">
        <w:t>Uvoz i izvoz - Krapinsko-zagorska županija, 2010. - 2014. godina, kune</w:t>
      </w:r>
    </w:p>
    <w:tbl>
      <w:tblPr>
        <w:tblW w:w="4966" w:type="pct"/>
        <w:tblCellMar>
          <w:left w:w="0" w:type="dxa"/>
          <w:right w:w="0" w:type="dxa"/>
        </w:tblCellMar>
        <w:tblLook w:val="01E0" w:firstRow="1" w:lastRow="1" w:firstColumn="1" w:lastColumn="1" w:noHBand="0" w:noVBand="0"/>
      </w:tblPr>
      <w:tblGrid>
        <w:gridCol w:w="3027"/>
        <w:gridCol w:w="1010"/>
        <w:gridCol w:w="1300"/>
        <w:gridCol w:w="1300"/>
        <w:gridCol w:w="1300"/>
        <w:gridCol w:w="1294"/>
      </w:tblGrid>
      <w:tr w:rsidR="008878A0" w14:paraId="58689947" w14:textId="77777777" w:rsidTr="00D9613D">
        <w:trPr>
          <w:trHeight w:val="317"/>
        </w:trPr>
        <w:tc>
          <w:tcPr>
            <w:tcW w:w="1640" w:type="pct"/>
            <w:tcBorders>
              <w:bottom w:val="single" w:sz="8" w:space="0" w:color="F3CFC1"/>
            </w:tcBorders>
            <w:shd w:val="clear" w:color="auto" w:fill="D2232A" w:themeFill="accent1"/>
            <w:vAlign w:val="center"/>
            <w:hideMark/>
          </w:tcPr>
          <w:p w14:paraId="0BF27A33" w14:textId="77777777" w:rsidR="008878A0" w:rsidRDefault="008878A0" w:rsidP="00F4699E">
            <w:pPr>
              <w:spacing w:after="0" w:line="220" w:lineRule="exact"/>
              <w:jc w:val="center"/>
              <w:rPr>
                <w:rFonts w:eastAsia="Arial Narrow" w:cstheme="minorHAnsi"/>
              </w:rPr>
            </w:pPr>
            <w:r>
              <w:rPr>
                <w:rFonts w:eastAsia="Arial Narrow" w:cstheme="minorHAnsi"/>
                <w:b/>
                <w:color w:val="FFFFFF"/>
                <w:spacing w:val="-1"/>
              </w:rPr>
              <w:t>P</w:t>
            </w:r>
            <w:r>
              <w:rPr>
                <w:rFonts w:eastAsia="Arial Narrow" w:cstheme="minorHAnsi"/>
                <w:b/>
                <w:color w:val="FFFFFF"/>
                <w:spacing w:val="1"/>
              </w:rPr>
              <w:t>o</w:t>
            </w:r>
            <w:r>
              <w:rPr>
                <w:rFonts w:eastAsia="Arial Narrow" w:cstheme="minorHAnsi"/>
                <w:b/>
                <w:color w:val="FFFFFF"/>
              </w:rPr>
              <w:t>kaza</w:t>
            </w:r>
            <w:r>
              <w:rPr>
                <w:rFonts w:eastAsia="Arial Narrow" w:cstheme="minorHAnsi"/>
                <w:b/>
                <w:color w:val="FFFFFF"/>
                <w:spacing w:val="1"/>
              </w:rPr>
              <w:t>t</w:t>
            </w:r>
            <w:r>
              <w:rPr>
                <w:rFonts w:eastAsia="Arial Narrow" w:cstheme="minorHAnsi"/>
                <w:b/>
                <w:color w:val="FFFFFF"/>
              </w:rPr>
              <w:t>elj/G</w:t>
            </w:r>
            <w:r>
              <w:rPr>
                <w:rFonts w:eastAsia="Arial Narrow" w:cstheme="minorHAnsi"/>
                <w:b/>
                <w:color w:val="FFFFFF"/>
                <w:spacing w:val="1"/>
              </w:rPr>
              <w:t>od</w:t>
            </w:r>
            <w:r>
              <w:rPr>
                <w:rFonts w:eastAsia="Arial Narrow" w:cstheme="minorHAnsi"/>
                <w:b/>
                <w:color w:val="FFFFFF"/>
              </w:rPr>
              <w:t>i</w:t>
            </w:r>
            <w:r>
              <w:rPr>
                <w:rFonts w:eastAsia="Arial Narrow" w:cstheme="minorHAnsi"/>
                <w:b/>
                <w:color w:val="FFFFFF"/>
                <w:spacing w:val="1"/>
              </w:rPr>
              <w:t>n</w:t>
            </w:r>
            <w:r>
              <w:rPr>
                <w:rFonts w:eastAsia="Arial Narrow" w:cstheme="minorHAnsi"/>
                <w:b/>
                <w:color w:val="FFFFFF"/>
              </w:rPr>
              <w:t>a</w:t>
            </w:r>
          </w:p>
        </w:tc>
        <w:tc>
          <w:tcPr>
            <w:tcW w:w="547" w:type="pct"/>
            <w:shd w:val="clear" w:color="auto" w:fill="D2232A" w:themeFill="accent1"/>
            <w:vAlign w:val="center"/>
            <w:hideMark/>
          </w:tcPr>
          <w:p w14:paraId="7046B756" w14:textId="77777777" w:rsidR="008878A0" w:rsidRDefault="008878A0" w:rsidP="00F4699E">
            <w:pPr>
              <w:spacing w:after="0"/>
              <w:jc w:val="center"/>
              <w:rPr>
                <w:rFonts w:eastAsia="Arial Narrow" w:cstheme="minorHAnsi"/>
                <w:color w:val="FFFFFF" w:themeColor="background1"/>
              </w:rPr>
            </w:pPr>
            <w:r>
              <w:rPr>
                <w:rFonts w:eastAsia="Arial Narrow" w:cstheme="minorHAnsi"/>
                <w:color w:val="FFFFFF" w:themeColor="background1"/>
              </w:rPr>
              <w:t>2010.</w:t>
            </w:r>
          </w:p>
        </w:tc>
        <w:tc>
          <w:tcPr>
            <w:tcW w:w="704" w:type="pct"/>
            <w:shd w:val="clear" w:color="auto" w:fill="D2232A" w:themeFill="accent1"/>
            <w:vAlign w:val="center"/>
            <w:hideMark/>
          </w:tcPr>
          <w:p w14:paraId="63F46303" w14:textId="77777777" w:rsidR="008878A0" w:rsidRDefault="008878A0" w:rsidP="00F4699E">
            <w:pPr>
              <w:spacing w:after="0"/>
              <w:jc w:val="center"/>
              <w:rPr>
                <w:rFonts w:eastAsia="Arial Narrow" w:cstheme="minorHAnsi"/>
                <w:color w:val="FFFFFF" w:themeColor="background1"/>
              </w:rPr>
            </w:pPr>
            <w:r>
              <w:rPr>
                <w:rFonts w:eastAsia="Arial Narrow" w:cstheme="minorHAnsi"/>
                <w:color w:val="FFFFFF" w:themeColor="background1"/>
              </w:rPr>
              <w:t>2011.</w:t>
            </w:r>
          </w:p>
        </w:tc>
        <w:tc>
          <w:tcPr>
            <w:tcW w:w="704" w:type="pct"/>
            <w:shd w:val="clear" w:color="auto" w:fill="D2232A" w:themeFill="accent1"/>
            <w:vAlign w:val="center"/>
            <w:hideMark/>
          </w:tcPr>
          <w:p w14:paraId="31876533" w14:textId="77777777" w:rsidR="008878A0" w:rsidRDefault="008878A0" w:rsidP="00F4699E">
            <w:pPr>
              <w:spacing w:after="0"/>
              <w:jc w:val="center"/>
              <w:rPr>
                <w:rFonts w:eastAsia="Arial Narrow" w:cstheme="minorHAnsi"/>
                <w:color w:val="FFFFFF" w:themeColor="background1"/>
              </w:rPr>
            </w:pPr>
            <w:r>
              <w:rPr>
                <w:rFonts w:eastAsia="Arial Narrow" w:cstheme="minorHAnsi"/>
                <w:color w:val="FFFFFF" w:themeColor="background1"/>
              </w:rPr>
              <w:t>2012.</w:t>
            </w:r>
          </w:p>
        </w:tc>
        <w:tc>
          <w:tcPr>
            <w:tcW w:w="704" w:type="pct"/>
            <w:shd w:val="clear" w:color="auto" w:fill="D2232A" w:themeFill="accent1"/>
            <w:vAlign w:val="center"/>
            <w:hideMark/>
          </w:tcPr>
          <w:p w14:paraId="324219B7" w14:textId="77777777" w:rsidR="008878A0" w:rsidRDefault="008878A0" w:rsidP="00F4699E">
            <w:pPr>
              <w:spacing w:after="0"/>
              <w:jc w:val="center"/>
              <w:rPr>
                <w:rFonts w:eastAsia="Arial Narrow" w:cstheme="minorHAnsi"/>
                <w:color w:val="FFFFFF" w:themeColor="background1"/>
              </w:rPr>
            </w:pPr>
            <w:r>
              <w:rPr>
                <w:rFonts w:eastAsia="Arial Narrow" w:cstheme="minorHAnsi"/>
                <w:color w:val="FFFFFF" w:themeColor="background1"/>
              </w:rPr>
              <w:t>2013.</w:t>
            </w:r>
          </w:p>
        </w:tc>
        <w:tc>
          <w:tcPr>
            <w:tcW w:w="701" w:type="pct"/>
            <w:tcBorders>
              <w:right w:val="single" w:sz="8" w:space="0" w:color="D2232A"/>
            </w:tcBorders>
            <w:shd w:val="clear" w:color="auto" w:fill="D2232A" w:themeFill="accent1"/>
            <w:vAlign w:val="center"/>
            <w:hideMark/>
          </w:tcPr>
          <w:p w14:paraId="2CE14032" w14:textId="77777777" w:rsidR="008878A0" w:rsidRDefault="008878A0" w:rsidP="00F4699E">
            <w:pPr>
              <w:spacing w:after="0"/>
              <w:jc w:val="center"/>
              <w:rPr>
                <w:rFonts w:eastAsia="Arial Narrow" w:cstheme="minorHAnsi"/>
                <w:color w:val="FFFFFF" w:themeColor="background1"/>
              </w:rPr>
            </w:pPr>
            <w:r>
              <w:rPr>
                <w:rFonts w:eastAsia="Arial Narrow" w:cstheme="minorHAnsi"/>
                <w:color w:val="FFFFFF" w:themeColor="background1"/>
              </w:rPr>
              <w:t>2014.</w:t>
            </w:r>
          </w:p>
        </w:tc>
      </w:tr>
      <w:tr w:rsidR="00FF0A6F" w:rsidRPr="00FF0A6F" w14:paraId="06FA500E" w14:textId="77777777" w:rsidTr="00D9613D">
        <w:trPr>
          <w:trHeight w:val="317"/>
        </w:trPr>
        <w:tc>
          <w:tcPr>
            <w:tcW w:w="1640" w:type="pct"/>
            <w:tcBorders>
              <w:top w:val="single" w:sz="8" w:space="0" w:color="F3CFC1"/>
              <w:bottom w:val="single" w:sz="8" w:space="0" w:color="F3CFC1"/>
            </w:tcBorders>
            <w:shd w:val="clear" w:color="auto" w:fill="D2232A" w:themeFill="accent1"/>
            <w:vAlign w:val="center"/>
            <w:hideMark/>
          </w:tcPr>
          <w:p w14:paraId="3FCD0DD6" w14:textId="77777777" w:rsidR="008878A0" w:rsidRPr="00776F63" w:rsidRDefault="008878A0" w:rsidP="00F4699E">
            <w:pPr>
              <w:spacing w:after="0"/>
              <w:ind w:left="142" w:right="129"/>
              <w:jc w:val="center"/>
              <w:rPr>
                <w:rFonts w:eastAsia="Arial Narrow" w:cstheme="minorHAnsi"/>
                <w:b/>
                <w:color w:val="D2232A" w:themeColor="accent1"/>
              </w:rPr>
            </w:pPr>
            <w:r>
              <w:rPr>
                <w:rFonts w:eastAsia="Arial Narrow" w:cstheme="minorHAnsi"/>
                <w:b/>
                <w:color w:val="FFFFFF"/>
              </w:rPr>
              <w:t>IZVOZ</w:t>
            </w:r>
          </w:p>
        </w:tc>
        <w:tc>
          <w:tcPr>
            <w:tcW w:w="547" w:type="pct"/>
            <w:tcBorders>
              <w:bottom w:val="single" w:sz="8" w:space="0" w:color="F3CFC1"/>
            </w:tcBorders>
            <w:vAlign w:val="center"/>
            <w:hideMark/>
          </w:tcPr>
          <w:p w14:paraId="3898AACD" w14:textId="77777777" w:rsidR="008878A0" w:rsidRPr="00FF0A6F" w:rsidRDefault="008878A0" w:rsidP="00F4699E">
            <w:pPr>
              <w:spacing w:after="0"/>
              <w:jc w:val="center"/>
              <w:rPr>
                <w:rFonts w:eastAsia="Arial Narrow" w:cstheme="minorHAnsi"/>
              </w:rPr>
            </w:pPr>
            <w:r w:rsidRPr="00FF0A6F">
              <w:rPr>
                <w:rFonts w:eastAsia="Arial Narrow" w:cstheme="minorHAnsi"/>
              </w:rPr>
              <w:t>2.111.394</w:t>
            </w:r>
          </w:p>
        </w:tc>
        <w:tc>
          <w:tcPr>
            <w:tcW w:w="704" w:type="pct"/>
            <w:tcBorders>
              <w:bottom w:val="single" w:sz="8" w:space="0" w:color="F3CFC1"/>
            </w:tcBorders>
            <w:vAlign w:val="center"/>
            <w:hideMark/>
          </w:tcPr>
          <w:p w14:paraId="53DD4F11" w14:textId="77777777" w:rsidR="008878A0" w:rsidRPr="00FF0A6F" w:rsidRDefault="008878A0" w:rsidP="00F4699E">
            <w:pPr>
              <w:spacing w:after="0"/>
              <w:jc w:val="center"/>
              <w:rPr>
                <w:rFonts w:eastAsia="Arial Narrow" w:cstheme="minorHAnsi"/>
              </w:rPr>
            </w:pPr>
            <w:r w:rsidRPr="00FF0A6F">
              <w:rPr>
                <w:rFonts w:eastAsia="Arial Narrow" w:cstheme="minorHAnsi"/>
              </w:rPr>
              <w:t>2.338.701</w:t>
            </w:r>
          </w:p>
        </w:tc>
        <w:tc>
          <w:tcPr>
            <w:tcW w:w="704" w:type="pct"/>
            <w:tcBorders>
              <w:bottom w:val="single" w:sz="8" w:space="0" w:color="F3CFC1"/>
            </w:tcBorders>
            <w:vAlign w:val="center"/>
            <w:hideMark/>
          </w:tcPr>
          <w:p w14:paraId="6C2F1BC9" w14:textId="77777777" w:rsidR="008878A0" w:rsidRPr="00FF0A6F" w:rsidRDefault="008878A0" w:rsidP="00F4699E">
            <w:pPr>
              <w:spacing w:after="0"/>
              <w:jc w:val="center"/>
              <w:rPr>
                <w:rFonts w:eastAsia="Arial Narrow" w:cstheme="minorHAnsi"/>
              </w:rPr>
            </w:pPr>
            <w:r w:rsidRPr="00FF0A6F">
              <w:rPr>
                <w:rFonts w:eastAsia="Arial Narrow" w:cstheme="minorHAnsi"/>
              </w:rPr>
              <w:t>2.380.751</w:t>
            </w:r>
          </w:p>
        </w:tc>
        <w:tc>
          <w:tcPr>
            <w:tcW w:w="704" w:type="pct"/>
            <w:tcBorders>
              <w:bottom w:val="single" w:sz="8" w:space="0" w:color="F3CFC1"/>
            </w:tcBorders>
            <w:vAlign w:val="center"/>
            <w:hideMark/>
          </w:tcPr>
          <w:p w14:paraId="6649DB57" w14:textId="77777777" w:rsidR="008878A0" w:rsidRPr="00FF0A6F" w:rsidRDefault="008878A0" w:rsidP="00F4699E">
            <w:pPr>
              <w:spacing w:after="0"/>
              <w:jc w:val="center"/>
              <w:rPr>
                <w:rFonts w:eastAsia="Arial Narrow" w:cstheme="minorHAnsi"/>
              </w:rPr>
            </w:pPr>
            <w:r w:rsidRPr="00FF0A6F">
              <w:rPr>
                <w:rFonts w:eastAsia="Arial Narrow" w:cstheme="minorHAnsi"/>
              </w:rPr>
              <w:t>2.664.083</w:t>
            </w:r>
          </w:p>
        </w:tc>
        <w:tc>
          <w:tcPr>
            <w:tcW w:w="701" w:type="pct"/>
            <w:tcBorders>
              <w:bottom w:val="single" w:sz="8" w:space="0" w:color="F3CFC1"/>
              <w:right w:val="single" w:sz="8" w:space="0" w:color="D2232A"/>
            </w:tcBorders>
            <w:vAlign w:val="center"/>
            <w:hideMark/>
          </w:tcPr>
          <w:p w14:paraId="3A70730B" w14:textId="77777777" w:rsidR="008878A0" w:rsidRPr="00FF0A6F" w:rsidRDefault="008878A0" w:rsidP="00F4699E">
            <w:pPr>
              <w:spacing w:after="0"/>
              <w:jc w:val="center"/>
              <w:rPr>
                <w:rFonts w:eastAsia="Arial Narrow" w:cstheme="minorHAnsi"/>
              </w:rPr>
            </w:pPr>
            <w:r w:rsidRPr="00FF0A6F">
              <w:rPr>
                <w:rFonts w:eastAsia="Arial Narrow" w:cstheme="minorHAnsi"/>
              </w:rPr>
              <w:t>3.075.464</w:t>
            </w:r>
          </w:p>
        </w:tc>
      </w:tr>
      <w:tr w:rsidR="00FF0A6F" w:rsidRPr="00FF0A6F" w14:paraId="6B95589C" w14:textId="77777777" w:rsidTr="00D9613D">
        <w:trPr>
          <w:trHeight w:val="317"/>
        </w:trPr>
        <w:tc>
          <w:tcPr>
            <w:tcW w:w="1640" w:type="pct"/>
            <w:tcBorders>
              <w:top w:val="single" w:sz="8" w:space="0" w:color="F3CFC1"/>
              <w:bottom w:val="single" w:sz="8" w:space="0" w:color="F3CFC1"/>
            </w:tcBorders>
            <w:shd w:val="clear" w:color="auto" w:fill="D2232A" w:themeFill="accent1"/>
            <w:vAlign w:val="center"/>
            <w:hideMark/>
          </w:tcPr>
          <w:p w14:paraId="4BDDE182" w14:textId="77777777" w:rsidR="008878A0" w:rsidRDefault="008878A0" w:rsidP="00F4699E">
            <w:pPr>
              <w:spacing w:after="0"/>
              <w:ind w:left="142" w:right="129"/>
              <w:jc w:val="center"/>
              <w:rPr>
                <w:rFonts w:eastAsia="Arial Narrow" w:cstheme="minorHAnsi"/>
                <w:b/>
                <w:color w:val="FFFFFF"/>
              </w:rPr>
            </w:pPr>
            <w:r>
              <w:rPr>
                <w:rFonts w:eastAsia="Arial Narrow" w:cstheme="minorHAnsi"/>
                <w:b/>
                <w:color w:val="FFFFFF"/>
              </w:rPr>
              <w:t>UVOZ</w:t>
            </w:r>
          </w:p>
        </w:tc>
        <w:tc>
          <w:tcPr>
            <w:tcW w:w="547" w:type="pct"/>
            <w:tcBorders>
              <w:top w:val="single" w:sz="8" w:space="0" w:color="F3CFC1"/>
              <w:bottom w:val="single" w:sz="8" w:space="0" w:color="F3CFC1"/>
            </w:tcBorders>
            <w:vAlign w:val="center"/>
            <w:hideMark/>
          </w:tcPr>
          <w:p w14:paraId="1A210974" w14:textId="77777777" w:rsidR="008878A0" w:rsidRPr="00FF0A6F" w:rsidRDefault="008878A0" w:rsidP="00F4699E">
            <w:pPr>
              <w:spacing w:after="0"/>
              <w:jc w:val="center"/>
              <w:rPr>
                <w:rFonts w:eastAsia="Arial Narrow" w:cstheme="minorHAnsi"/>
              </w:rPr>
            </w:pPr>
            <w:r w:rsidRPr="00FF0A6F">
              <w:rPr>
                <w:rFonts w:eastAsia="Arial Narrow" w:cstheme="minorHAnsi"/>
              </w:rPr>
              <w:t>1.466.891</w:t>
            </w:r>
          </w:p>
        </w:tc>
        <w:tc>
          <w:tcPr>
            <w:tcW w:w="704" w:type="pct"/>
            <w:tcBorders>
              <w:top w:val="single" w:sz="8" w:space="0" w:color="F3CFC1"/>
              <w:bottom w:val="single" w:sz="8" w:space="0" w:color="F3CFC1"/>
            </w:tcBorders>
            <w:vAlign w:val="center"/>
            <w:hideMark/>
          </w:tcPr>
          <w:p w14:paraId="007456B9" w14:textId="77777777" w:rsidR="008878A0" w:rsidRPr="00FF0A6F" w:rsidRDefault="008878A0" w:rsidP="00F4699E">
            <w:pPr>
              <w:spacing w:after="0"/>
              <w:jc w:val="center"/>
              <w:rPr>
                <w:rFonts w:eastAsia="Arial Narrow" w:cstheme="minorHAnsi"/>
              </w:rPr>
            </w:pPr>
            <w:r w:rsidRPr="00FF0A6F">
              <w:rPr>
                <w:rFonts w:eastAsia="Arial Narrow" w:cstheme="minorHAnsi"/>
              </w:rPr>
              <w:t>1.627.340</w:t>
            </w:r>
          </w:p>
        </w:tc>
        <w:tc>
          <w:tcPr>
            <w:tcW w:w="704" w:type="pct"/>
            <w:tcBorders>
              <w:top w:val="single" w:sz="8" w:space="0" w:color="F3CFC1"/>
              <w:bottom w:val="single" w:sz="8" w:space="0" w:color="F3CFC1"/>
            </w:tcBorders>
            <w:vAlign w:val="center"/>
            <w:hideMark/>
          </w:tcPr>
          <w:p w14:paraId="0A2FB7CD" w14:textId="77777777" w:rsidR="008878A0" w:rsidRPr="00FF0A6F" w:rsidRDefault="008878A0" w:rsidP="00F4699E">
            <w:pPr>
              <w:spacing w:after="0"/>
              <w:jc w:val="center"/>
              <w:rPr>
                <w:rFonts w:eastAsia="Arial Narrow" w:cstheme="minorHAnsi"/>
              </w:rPr>
            </w:pPr>
            <w:r w:rsidRPr="00FF0A6F">
              <w:rPr>
                <w:rFonts w:eastAsia="Arial Narrow" w:cstheme="minorHAnsi"/>
              </w:rPr>
              <w:t>1.487.210</w:t>
            </w:r>
          </w:p>
        </w:tc>
        <w:tc>
          <w:tcPr>
            <w:tcW w:w="704" w:type="pct"/>
            <w:tcBorders>
              <w:top w:val="single" w:sz="8" w:space="0" w:color="F3CFC1"/>
              <w:bottom w:val="single" w:sz="8" w:space="0" w:color="F3CFC1"/>
            </w:tcBorders>
            <w:vAlign w:val="center"/>
            <w:hideMark/>
          </w:tcPr>
          <w:p w14:paraId="63AAD69D" w14:textId="77777777" w:rsidR="008878A0" w:rsidRPr="00FF0A6F" w:rsidRDefault="008878A0" w:rsidP="00F4699E">
            <w:pPr>
              <w:spacing w:after="0"/>
              <w:jc w:val="center"/>
              <w:rPr>
                <w:rFonts w:eastAsia="Arial Narrow" w:cstheme="minorHAnsi"/>
              </w:rPr>
            </w:pPr>
            <w:r w:rsidRPr="00FF0A6F">
              <w:rPr>
                <w:rFonts w:eastAsia="Arial Narrow" w:cstheme="minorHAnsi"/>
              </w:rPr>
              <w:t>1.806.176</w:t>
            </w:r>
          </w:p>
        </w:tc>
        <w:tc>
          <w:tcPr>
            <w:tcW w:w="701" w:type="pct"/>
            <w:tcBorders>
              <w:top w:val="single" w:sz="8" w:space="0" w:color="F3CFC1"/>
              <w:bottom w:val="single" w:sz="8" w:space="0" w:color="F3CFC1"/>
              <w:right w:val="single" w:sz="8" w:space="0" w:color="D2232A"/>
            </w:tcBorders>
            <w:vAlign w:val="center"/>
            <w:hideMark/>
          </w:tcPr>
          <w:p w14:paraId="2BF831A5" w14:textId="77777777" w:rsidR="008878A0" w:rsidRPr="00FF0A6F" w:rsidRDefault="008878A0" w:rsidP="00F4699E">
            <w:pPr>
              <w:spacing w:after="0"/>
              <w:jc w:val="center"/>
              <w:rPr>
                <w:rFonts w:eastAsia="Arial Narrow" w:cstheme="minorHAnsi"/>
              </w:rPr>
            </w:pPr>
            <w:r w:rsidRPr="00FF0A6F">
              <w:rPr>
                <w:rFonts w:eastAsia="Arial Narrow" w:cstheme="minorHAnsi"/>
              </w:rPr>
              <w:t>1.970.568</w:t>
            </w:r>
          </w:p>
        </w:tc>
      </w:tr>
      <w:tr w:rsidR="00FF0A6F" w:rsidRPr="00FF0A6F" w14:paraId="04C8781B" w14:textId="77777777" w:rsidTr="00D9613D">
        <w:trPr>
          <w:trHeight w:val="317"/>
        </w:trPr>
        <w:tc>
          <w:tcPr>
            <w:tcW w:w="1640" w:type="pct"/>
            <w:tcBorders>
              <w:top w:val="single" w:sz="8" w:space="0" w:color="F3CFC1"/>
              <w:bottom w:val="single" w:sz="8" w:space="0" w:color="FBE8E8" w:themeColor="accent6" w:themeTint="33"/>
            </w:tcBorders>
            <w:shd w:val="clear" w:color="auto" w:fill="D2232A" w:themeFill="accent1"/>
            <w:vAlign w:val="center"/>
            <w:hideMark/>
          </w:tcPr>
          <w:p w14:paraId="5B75586C" w14:textId="77777777" w:rsidR="008878A0" w:rsidRDefault="008878A0" w:rsidP="00F4699E">
            <w:pPr>
              <w:spacing w:after="0"/>
              <w:ind w:left="142" w:right="129"/>
              <w:jc w:val="center"/>
              <w:rPr>
                <w:rFonts w:eastAsia="Arial Narrow" w:cstheme="minorHAnsi"/>
                <w:b/>
                <w:color w:val="FFFFFF"/>
              </w:rPr>
            </w:pPr>
            <w:r>
              <w:rPr>
                <w:rFonts w:eastAsia="Arial Narrow" w:cstheme="minorHAnsi"/>
                <w:b/>
                <w:color w:val="FFFFFF"/>
              </w:rPr>
              <w:t>KOEFICIJENT POKRIVENOSTI UVOZA IZVOZOM</w:t>
            </w:r>
          </w:p>
        </w:tc>
        <w:tc>
          <w:tcPr>
            <w:tcW w:w="547" w:type="pct"/>
            <w:tcBorders>
              <w:top w:val="single" w:sz="8" w:space="0" w:color="F3CFC1"/>
              <w:bottom w:val="single" w:sz="8" w:space="0" w:color="FBE8E8" w:themeColor="accent6" w:themeTint="33"/>
            </w:tcBorders>
            <w:vAlign w:val="center"/>
            <w:hideMark/>
          </w:tcPr>
          <w:p w14:paraId="3FCE1BE6" w14:textId="77777777" w:rsidR="008878A0" w:rsidRPr="00FF0A6F" w:rsidRDefault="008878A0" w:rsidP="00F4699E">
            <w:pPr>
              <w:spacing w:after="0"/>
              <w:jc w:val="center"/>
              <w:rPr>
                <w:rFonts w:eastAsia="Arial Narrow" w:cstheme="minorHAnsi"/>
              </w:rPr>
            </w:pPr>
            <w:r w:rsidRPr="00FF0A6F">
              <w:rPr>
                <w:rFonts w:eastAsia="Arial Narrow" w:cstheme="minorHAnsi"/>
                <w:w w:val="99"/>
              </w:rPr>
              <w:t>1,4</w:t>
            </w:r>
          </w:p>
        </w:tc>
        <w:tc>
          <w:tcPr>
            <w:tcW w:w="704" w:type="pct"/>
            <w:tcBorders>
              <w:top w:val="single" w:sz="8" w:space="0" w:color="F3CFC1"/>
              <w:bottom w:val="single" w:sz="8" w:space="0" w:color="FBE8E8" w:themeColor="accent6" w:themeTint="33"/>
            </w:tcBorders>
            <w:vAlign w:val="center"/>
            <w:hideMark/>
          </w:tcPr>
          <w:p w14:paraId="61111946" w14:textId="77777777" w:rsidR="008878A0" w:rsidRPr="00FF0A6F" w:rsidRDefault="008878A0" w:rsidP="00F4699E">
            <w:pPr>
              <w:spacing w:after="0"/>
              <w:jc w:val="center"/>
              <w:rPr>
                <w:rFonts w:eastAsia="Arial Narrow" w:cstheme="minorHAnsi"/>
              </w:rPr>
            </w:pPr>
            <w:r w:rsidRPr="00FF0A6F">
              <w:rPr>
                <w:rFonts w:eastAsia="Arial Narrow" w:cstheme="minorHAnsi"/>
                <w:w w:val="99"/>
              </w:rPr>
              <w:t>1,6</w:t>
            </w:r>
          </w:p>
        </w:tc>
        <w:tc>
          <w:tcPr>
            <w:tcW w:w="704" w:type="pct"/>
            <w:tcBorders>
              <w:top w:val="single" w:sz="8" w:space="0" w:color="F3CFC1"/>
              <w:bottom w:val="single" w:sz="8" w:space="0" w:color="FBE8E8" w:themeColor="accent6" w:themeTint="33"/>
            </w:tcBorders>
            <w:vAlign w:val="center"/>
            <w:hideMark/>
          </w:tcPr>
          <w:p w14:paraId="680380A6" w14:textId="77777777" w:rsidR="008878A0" w:rsidRPr="00FF0A6F" w:rsidRDefault="008878A0" w:rsidP="00F4699E">
            <w:pPr>
              <w:spacing w:after="0"/>
              <w:jc w:val="center"/>
              <w:rPr>
                <w:rFonts w:eastAsia="Arial Narrow" w:cstheme="minorHAnsi"/>
              </w:rPr>
            </w:pPr>
            <w:r w:rsidRPr="00FF0A6F">
              <w:rPr>
                <w:rFonts w:eastAsia="Arial Narrow" w:cstheme="minorHAnsi"/>
                <w:w w:val="99"/>
              </w:rPr>
              <w:t>1,5</w:t>
            </w:r>
          </w:p>
        </w:tc>
        <w:tc>
          <w:tcPr>
            <w:tcW w:w="704" w:type="pct"/>
            <w:tcBorders>
              <w:top w:val="single" w:sz="8" w:space="0" w:color="F3CFC1"/>
              <w:bottom w:val="single" w:sz="8" w:space="0" w:color="FBE8E8" w:themeColor="accent6" w:themeTint="33"/>
            </w:tcBorders>
            <w:vAlign w:val="center"/>
            <w:hideMark/>
          </w:tcPr>
          <w:p w14:paraId="696B418F" w14:textId="77777777" w:rsidR="008878A0" w:rsidRPr="00FF0A6F" w:rsidRDefault="008878A0" w:rsidP="00F4699E">
            <w:pPr>
              <w:spacing w:after="0"/>
              <w:jc w:val="center"/>
              <w:rPr>
                <w:rFonts w:eastAsia="Arial Narrow" w:cstheme="minorHAnsi"/>
              </w:rPr>
            </w:pPr>
            <w:r w:rsidRPr="00FF0A6F">
              <w:rPr>
                <w:rFonts w:eastAsia="Arial Narrow" w:cstheme="minorHAnsi"/>
                <w:w w:val="99"/>
              </w:rPr>
              <w:t>1,5</w:t>
            </w:r>
          </w:p>
        </w:tc>
        <w:tc>
          <w:tcPr>
            <w:tcW w:w="701" w:type="pct"/>
            <w:tcBorders>
              <w:top w:val="single" w:sz="8" w:space="0" w:color="F3CFC1"/>
              <w:bottom w:val="single" w:sz="8" w:space="0" w:color="FBE8E8" w:themeColor="accent6" w:themeTint="33"/>
              <w:right w:val="single" w:sz="8" w:space="0" w:color="D2232A"/>
            </w:tcBorders>
            <w:vAlign w:val="center"/>
            <w:hideMark/>
          </w:tcPr>
          <w:p w14:paraId="52BF024F" w14:textId="77777777" w:rsidR="008878A0" w:rsidRPr="00FF0A6F" w:rsidRDefault="008878A0" w:rsidP="00F4699E">
            <w:pPr>
              <w:spacing w:after="0"/>
              <w:jc w:val="center"/>
              <w:rPr>
                <w:rFonts w:eastAsia="Arial Narrow" w:cstheme="minorHAnsi"/>
              </w:rPr>
            </w:pPr>
            <w:r w:rsidRPr="00FF0A6F">
              <w:rPr>
                <w:rFonts w:eastAsia="Arial Narrow" w:cstheme="minorHAnsi"/>
                <w:w w:val="99"/>
              </w:rPr>
              <w:t>1,5</w:t>
            </w:r>
          </w:p>
        </w:tc>
      </w:tr>
    </w:tbl>
    <w:p w14:paraId="0532C6BA" w14:textId="2DD7A8D8" w:rsidR="00FF0A6F"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Fina, obrada: HGK ŽK Krapina</w:t>
      </w:r>
    </w:p>
    <w:p w14:paraId="457539B7" w14:textId="77777777" w:rsidR="00D9613D" w:rsidRPr="00D9613D" w:rsidRDefault="00D9613D" w:rsidP="00D9613D">
      <w:pPr>
        <w:pStyle w:val="Izvor"/>
        <w:rPr>
          <w:i/>
          <w:color w:val="ABABAB" w:themeColor="text1" w:themeTint="A6"/>
          <w:szCs w:val="18"/>
        </w:rPr>
      </w:pPr>
    </w:p>
    <w:p w14:paraId="2A78F295" w14:textId="33E8BFEF" w:rsidR="001838EE" w:rsidRDefault="001838EE" w:rsidP="003E3F3C">
      <w:pPr>
        <w:pStyle w:val="Opisslike"/>
      </w:pPr>
      <w:r>
        <w:t xml:space="preserve">Tablica </w:t>
      </w:r>
      <w:r w:rsidR="006207AF">
        <w:t>8</w:t>
      </w:r>
      <w:r w:rsidR="000D5E3F">
        <w:t>9</w:t>
      </w:r>
      <w:r>
        <w:t>. Uvoz i izvoz - Krapinsko-zagorska županija, 2015. - 201</w:t>
      </w:r>
      <w:r w:rsidR="288FDBC6">
        <w:t>9</w:t>
      </w:r>
      <w:r>
        <w:t>. godina, kune</w:t>
      </w:r>
    </w:p>
    <w:tbl>
      <w:tblPr>
        <w:tblW w:w="0" w:type="auto"/>
        <w:tblLayout w:type="fixed"/>
        <w:tblLook w:val="01E0" w:firstRow="1" w:lastRow="1" w:firstColumn="1" w:lastColumn="1" w:noHBand="0" w:noVBand="0"/>
      </w:tblPr>
      <w:tblGrid>
        <w:gridCol w:w="2265"/>
        <w:gridCol w:w="1200"/>
        <w:gridCol w:w="1350"/>
        <w:gridCol w:w="1470"/>
        <w:gridCol w:w="1545"/>
        <w:gridCol w:w="1440"/>
      </w:tblGrid>
      <w:tr w:rsidR="4E193667" w14:paraId="49298426" w14:textId="77777777" w:rsidTr="00887C0A">
        <w:trPr>
          <w:trHeight w:val="407"/>
        </w:trPr>
        <w:tc>
          <w:tcPr>
            <w:tcW w:w="2265" w:type="dxa"/>
            <w:tcBorders>
              <w:bottom w:val="single" w:sz="8" w:space="0" w:color="FFFFFF" w:themeColor="background1"/>
              <w:right w:val="single" w:sz="8" w:space="0" w:color="FFFFFF" w:themeColor="background1"/>
            </w:tcBorders>
            <w:shd w:val="clear" w:color="auto" w:fill="D2232A" w:themeFill="accent1"/>
            <w:vAlign w:val="center"/>
          </w:tcPr>
          <w:p w14:paraId="73C7EE28" w14:textId="267AC404" w:rsidR="4E193667" w:rsidRPr="00D9613D" w:rsidRDefault="4E193667" w:rsidP="00D9613D">
            <w:pPr>
              <w:spacing w:after="0"/>
              <w:jc w:val="center"/>
              <w:rPr>
                <w:rFonts w:eastAsia="Arial Narrow" w:cstheme="minorHAnsi"/>
                <w:color w:val="FFFFFF" w:themeColor="background1"/>
              </w:rPr>
            </w:pPr>
            <w:r w:rsidRPr="00D9613D">
              <w:rPr>
                <w:rFonts w:eastAsia="Arial Narrow" w:cstheme="minorHAnsi"/>
                <w:color w:val="FFFFFF" w:themeColor="background1"/>
              </w:rPr>
              <w:t>Pokazatelj/Godina</w:t>
            </w:r>
          </w:p>
        </w:tc>
        <w:tc>
          <w:tcPr>
            <w:tcW w:w="1200"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4F0ECF2E" w14:textId="4EBE91B6" w:rsidR="4E193667" w:rsidRPr="00675AF7" w:rsidRDefault="4E193667" w:rsidP="00D9613D">
            <w:pPr>
              <w:spacing w:after="0"/>
              <w:jc w:val="center"/>
              <w:rPr>
                <w:rFonts w:eastAsia="Arial Narrow" w:cstheme="minorHAnsi"/>
                <w:color w:val="FFFFFF" w:themeColor="background1"/>
              </w:rPr>
            </w:pPr>
            <w:r w:rsidRPr="00675AF7">
              <w:rPr>
                <w:rFonts w:eastAsia="Arial Narrow" w:cstheme="minorHAnsi"/>
                <w:color w:val="FFFFFF" w:themeColor="background1"/>
              </w:rPr>
              <w:t>2015.</w:t>
            </w:r>
          </w:p>
        </w:tc>
        <w:tc>
          <w:tcPr>
            <w:tcW w:w="1350"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7A6BF532" w14:textId="7FE8DF29" w:rsidR="4E193667" w:rsidRPr="00675AF7" w:rsidRDefault="4E193667" w:rsidP="00D9613D">
            <w:pPr>
              <w:spacing w:after="0"/>
              <w:jc w:val="center"/>
              <w:rPr>
                <w:rFonts w:eastAsia="Arial Narrow" w:cstheme="minorHAnsi"/>
                <w:color w:val="FFFFFF" w:themeColor="background1"/>
              </w:rPr>
            </w:pPr>
            <w:r w:rsidRPr="00675AF7">
              <w:rPr>
                <w:rFonts w:eastAsia="Arial Narrow" w:cstheme="minorHAnsi"/>
                <w:color w:val="FFFFFF" w:themeColor="background1"/>
              </w:rPr>
              <w:t>2016.</w:t>
            </w:r>
          </w:p>
        </w:tc>
        <w:tc>
          <w:tcPr>
            <w:tcW w:w="1470" w:type="dxa"/>
            <w:tcBorders>
              <w:top w:val="single" w:sz="4" w:space="0" w:color="000000"/>
              <w:left w:val="single" w:sz="8" w:space="0" w:color="FFFFFF" w:themeColor="background1"/>
              <w:bottom w:val="single" w:sz="4" w:space="0" w:color="000000"/>
              <w:right w:val="single" w:sz="8" w:space="0" w:color="FFFFFF" w:themeColor="background1"/>
            </w:tcBorders>
            <w:shd w:val="clear" w:color="auto" w:fill="D2232A" w:themeFill="accent1"/>
            <w:vAlign w:val="center"/>
          </w:tcPr>
          <w:p w14:paraId="5ED7A22F" w14:textId="23C62540" w:rsidR="4E193667" w:rsidRPr="00675AF7" w:rsidRDefault="4E193667" w:rsidP="00D9613D">
            <w:pPr>
              <w:spacing w:after="0"/>
              <w:jc w:val="center"/>
              <w:rPr>
                <w:rFonts w:eastAsia="Arial Narrow" w:cstheme="minorHAnsi"/>
                <w:color w:val="FFFFFF" w:themeColor="background1"/>
              </w:rPr>
            </w:pPr>
            <w:r w:rsidRPr="00675AF7">
              <w:rPr>
                <w:rFonts w:eastAsia="Arial Narrow" w:cstheme="minorHAnsi"/>
                <w:color w:val="FFFFFF" w:themeColor="background1"/>
              </w:rPr>
              <w:t>2017.</w:t>
            </w:r>
          </w:p>
        </w:tc>
        <w:tc>
          <w:tcPr>
            <w:tcW w:w="1545" w:type="dxa"/>
            <w:tcBorders>
              <w:top w:val="single" w:sz="4" w:space="0" w:color="000000"/>
              <w:left w:val="single" w:sz="8" w:space="0" w:color="FFFFFF" w:themeColor="background1"/>
              <w:bottom w:val="single" w:sz="4" w:space="0" w:color="000000"/>
              <w:right w:val="single" w:sz="4" w:space="0" w:color="000000"/>
            </w:tcBorders>
            <w:shd w:val="clear" w:color="auto" w:fill="D2232A" w:themeFill="accent1"/>
            <w:vAlign w:val="center"/>
          </w:tcPr>
          <w:p w14:paraId="06DF4927" w14:textId="038FDDBF" w:rsidR="4E193667" w:rsidRPr="00675AF7" w:rsidRDefault="4E193667" w:rsidP="00D9613D">
            <w:pPr>
              <w:spacing w:after="0"/>
              <w:jc w:val="center"/>
              <w:rPr>
                <w:rFonts w:eastAsia="Arial Narrow" w:cstheme="minorHAnsi"/>
                <w:color w:val="FFFFFF" w:themeColor="background1"/>
              </w:rPr>
            </w:pPr>
            <w:r w:rsidRPr="00675AF7">
              <w:rPr>
                <w:rFonts w:eastAsia="Arial Narrow" w:cstheme="minorHAnsi"/>
                <w:color w:val="FFFFFF" w:themeColor="background1"/>
              </w:rPr>
              <w:t>2018.</w:t>
            </w:r>
          </w:p>
        </w:tc>
        <w:tc>
          <w:tcPr>
            <w:tcW w:w="1440" w:type="dxa"/>
            <w:tcBorders>
              <w:top w:val="single" w:sz="4" w:space="0" w:color="000000"/>
              <w:left w:val="single" w:sz="8" w:space="0" w:color="FFFFFF" w:themeColor="background1"/>
              <w:bottom w:val="single" w:sz="4" w:space="0" w:color="000000"/>
              <w:right w:val="single" w:sz="4" w:space="0" w:color="000000"/>
            </w:tcBorders>
            <w:shd w:val="clear" w:color="auto" w:fill="D2232A" w:themeFill="accent1"/>
            <w:vAlign w:val="center"/>
          </w:tcPr>
          <w:p w14:paraId="33894C65" w14:textId="413AA587" w:rsidR="4E193667" w:rsidRPr="00675AF7" w:rsidRDefault="4E193667" w:rsidP="00D9613D">
            <w:pPr>
              <w:spacing w:after="0"/>
              <w:jc w:val="center"/>
              <w:rPr>
                <w:rFonts w:eastAsia="Arial Narrow" w:cstheme="minorHAnsi"/>
                <w:color w:val="FFFFFF" w:themeColor="background1"/>
              </w:rPr>
            </w:pPr>
            <w:r w:rsidRPr="00675AF7">
              <w:rPr>
                <w:rFonts w:eastAsia="Arial Narrow" w:cstheme="minorHAnsi"/>
                <w:color w:val="FFFFFF" w:themeColor="background1"/>
              </w:rPr>
              <w:t>2019.</w:t>
            </w:r>
          </w:p>
        </w:tc>
      </w:tr>
      <w:tr w:rsidR="4E193667" w14:paraId="077587FA" w14:textId="77777777" w:rsidTr="4E193667">
        <w:trPr>
          <w:trHeight w:val="300"/>
        </w:trPr>
        <w:tc>
          <w:tcPr>
            <w:tcW w:w="2265" w:type="dxa"/>
            <w:tcBorders>
              <w:top w:val="single" w:sz="8" w:space="0" w:color="FFFFFF" w:themeColor="background1"/>
              <w:bottom w:val="single" w:sz="8" w:space="0" w:color="F3CFC1"/>
            </w:tcBorders>
            <w:shd w:val="clear" w:color="auto" w:fill="D2232A" w:themeFill="accent1"/>
            <w:vAlign w:val="center"/>
          </w:tcPr>
          <w:p w14:paraId="09562D02" w14:textId="528D725E" w:rsidR="4E193667" w:rsidRPr="00D9613D" w:rsidRDefault="4E193667" w:rsidP="00D9613D">
            <w:pPr>
              <w:jc w:val="center"/>
              <w:rPr>
                <w:rFonts w:eastAsia="Arial Narrow" w:cstheme="minorHAnsi"/>
                <w:b/>
                <w:color w:val="FFFFFF"/>
              </w:rPr>
            </w:pPr>
            <w:r w:rsidRPr="00D9613D">
              <w:rPr>
                <w:rFonts w:eastAsia="Arial Narrow" w:cstheme="minorHAnsi"/>
                <w:b/>
                <w:color w:val="FFFFFF"/>
              </w:rPr>
              <w:t>IZVOZ</w:t>
            </w:r>
          </w:p>
        </w:tc>
        <w:tc>
          <w:tcPr>
            <w:tcW w:w="1200" w:type="dxa"/>
            <w:tcBorders>
              <w:top w:val="single" w:sz="4" w:space="0" w:color="000000"/>
              <w:bottom w:val="single" w:sz="8" w:space="0" w:color="F3CFC1"/>
              <w:right w:val="single" w:sz="4" w:space="0" w:color="000000"/>
            </w:tcBorders>
            <w:vAlign w:val="center"/>
          </w:tcPr>
          <w:p w14:paraId="5A64025F" w14:textId="6C4A91EF" w:rsidR="4E193667" w:rsidRPr="00BB310E" w:rsidRDefault="00A35406" w:rsidP="00D9613D">
            <w:pPr>
              <w:spacing w:after="0"/>
              <w:jc w:val="center"/>
              <w:rPr>
                <w:rFonts w:eastAsia="Arial Narrow" w:cstheme="minorHAnsi"/>
              </w:rPr>
            </w:pPr>
            <w:r w:rsidRPr="00BB310E">
              <w:rPr>
                <w:rFonts w:eastAsia="Arial Narrow" w:cstheme="minorHAnsi"/>
              </w:rPr>
              <w:t>N/A</w:t>
            </w:r>
          </w:p>
        </w:tc>
        <w:tc>
          <w:tcPr>
            <w:tcW w:w="1350" w:type="dxa"/>
            <w:tcBorders>
              <w:top w:val="single" w:sz="4" w:space="0" w:color="000000"/>
              <w:left w:val="single" w:sz="4" w:space="0" w:color="000000"/>
              <w:bottom w:val="single" w:sz="8" w:space="0" w:color="F3CFC1"/>
              <w:right w:val="single" w:sz="4" w:space="0" w:color="000000"/>
            </w:tcBorders>
            <w:vAlign w:val="center"/>
          </w:tcPr>
          <w:p w14:paraId="2F392C4A" w14:textId="02E6A157" w:rsidR="4E193667" w:rsidRPr="00BB310E" w:rsidRDefault="4E193667" w:rsidP="00D9613D">
            <w:pPr>
              <w:spacing w:after="0"/>
              <w:jc w:val="center"/>
              <w:rPr>
                <w:rFonts w:eastAsia="Arial Narrow" w:cstheme="minorHAnsi"/>
              </w:rPr>
            </w:pPr>
            <w:r w:rsidRPr="00BB310E">
              <w:rPr>
                <w:rFonts w:eastAsia="Arial Narrow" w:cstheme="minorHAnsi"/>
              </w:rPr>
              <w:t>3.618.426</w:t>
            </w:r>
          </w:p>
        </w:tc>
        <w:tc>
          <w:tcPr>
            <w:tcW w:w="1470" w:type="dxa"/>
            <w:tcBorders>
              <w:top w:val="single" w:sz="4" w:space="0" w:color="000000"/>
              <w:left w:val="single" w:sz="4" w:space="0" w:color="000000"/>
              <w:bottom w:val="single" w:sz="8" w:space="0" w:color="F3CFC1"/>
              <w:right w:val="single" w:sz="4" w:space="0" w:color="000000"/>
            </w:tcBorders>
            <w:vAlign w:val="center"/>
          </w:tcPr>
          <w:p w14:paraId="495BC205" w14:textId="64C83A9B" w:rsidR="4E193667" w:rsidRPr="00BB310E" w:rsidRDefault="4E193667" w:rsidP="00D9613D">
            <w:pPr>
              <w:spacing w:after="0"/>
              <w:jc w:val="center"/>
              <w:rPr>
                <w:rFonts w:eastAsia="Arial Narrow" w:cstheme="minorHAnsi"/>
              </w:rPr>
            </w:pPr>
            <w:r w:rsidRPr="00BB310E">
              <w:rPr>
                <w:rFonts w:eastAsia="Arial Narrow" w:cstheme="minorHAnsi"/>
              </w:rPr>
              <w:t>3.808.126</w:t>
            </w:r>
          </w:p>
        </w:tc>
        <w:tc>
          <w:tcPr>
            <w:tcW w:w="1545" w:type="dxa"/>
            <w:tcBorders>
              <w:top w:val="single" w:sz="4" w:space="0" w:color="000000"/>
              <w:left w:val="single" w:sz="4" w:space="0" w:color="000000"/>
              <w:bottom w:val="single" w:sz="8" w:space="0" w:color="F3CFC1"/>
              <w:right w:val="single" w:sz="4" w:space="0" w:color="000000"/>
            </w:tcBorders>
            <w:vAlign w:val="center"/>
          </w:tcPr>
          <w:p w14:paraId="3E99EF69" w14:textId="707D2865" w:rsidR="4E193667" w:rsidRPr="00BB310E" w:rsidRDefault="4E193667" w:rsidP="00D9613D">
            <w:pPr>
              <w:spacing w:after="0"/>
              <w:jc w:val="center"/>
              <w:rPr>
                <w:rFonts w:eastAsia="Arial Narrow" w:cstheme="minorHAnsi"/>
              </w:rPr>
            </w:pPr>
            <w:r w:rsidRPr="00BB310E">
              <w:rPr>
                <w:rFonts w:eastAsia="Arial Narrow" w:cstheme="minorHAnsi"/>
              </w:rPr>
              <w:t>4.201.999</w:t>
            </w:r>
          </w:p>
        </w:tc>
        <w:tc>
          <w:tcPr>
            <w:tcW w:w="1440" w:type="dxa"/>
            <w:tcBorders>
              <w:top w:val="single" w:sz="4" w:space="0" w:color="000000"/>
              <w:left w:val="single" w:sz="4" w:space="0" w:color="000000"/>
              <w:bottom w:val="single" w:sz="8" w:space="0" w:color="F3CFC1"/>
              <w:right w:val="single" w:sz="4" w:space="0" w:color="000000"/>
            </w:tcBorders>
            <w:vAlign w:val="center"/>
          </w:tcPr>
          <w:p w14:paraId="05A03F4B" w14:textId="67732659" w:rsidR="4E193667" w:rsidRPr="00BB310E" w:rsidRDefault="4E193667" w:rsidP="00D9613D">
            <w:pPr>
              <w:spacing w:after="0"/>
              <w:jc w:val="center"/>
              <w:rPr>
                <w:rFonts w:eastAsia="Arial Narrow" w:cstheme="minorHAnsi"/>
              </w:rPr>
            </w:pPr>
            <w:r w:rsidRPr="00BB310E">
              <w:rPr>
                <w:rFonts w:eastAsia="Arial Narrow" w:cstheme="minorHAnsi"/>
              </w:rPr>
              <w:t>4.190.047</w:t>
            </w:r>
          </w:p>
        </w:tc>
      </w:tr>
      <w:tr w:rsidR="4E193667" w14:paraId="0580CF98" w14:textId="77777777" w:rsidTr="4E193667">
        <w:trPr>
          <w:trHeight w:val="300"/>
        </w:trPr>
        <w:tc>
          <w:tcPr>
            <w:tcW w:w="2265" w:type="dxa"/>
            <w:tcBorders>
              <w:top w:val="single" w:sz="8" w:space="0" w:color="F3CFC1"/>
              <w:bottom w:val="single" w:sz="8" w:space="0" w:color="F3CFC1"/>
            </w:tcBorders>
            <w:shd w:val="clear" w:color="auto" w:fill="D2232A" w:themeFill="accent1"/>
            <w:vAlign w:val="center"/>
          </w:tcPr>
          <w:p w14:paraId="6F6E5006" w14:textId="046D2923" w:rsidR="4E193667" w:rsidRPr="00D9613D" w:rsidRDefault="4E193667" w:rsidP="00D9613D">
            <w:pPr>
              <w:jc w:val="center"/>
              <w:rPr>
                <w:rFonts w:eastAsia="Arial Narrow" w:cstheme="minorHAnsi"/>
                <w:b/>
                <w:color w:val="FFFFFF"/>
              </w:rPr>
            </w:pPr>
            <w:r w:rsidRPr="00D9613D">
              <w:rPr>
                <w:rFonts w:eastAsia="Arial Narrow" w:cstheme="minorHAnsi"/>
                <w:b/>
                <w:color w:val="FFFFFF"/>
              </w:rPr>
              <w:t>UVOZ</w:t>
            </w:r>
          </w:p>
        </w:tc>
        <w:tc>
          <w:tcPr>
            <w:tcW w:w="1200" w:type="dxa"/>
            <w:tcBorders>
              <w:top w:val="single" w:sz="8" w:space="0" w:color="F3CFC1"/>
              <w:bottom w:val="single" w:sz="8" w:space="0" w:color="F3CFC1"/>
              <w:right w:val="single" w:sz="4" w:space="0" w:color="000000"/>
            </w:tcBorders>
            <w:vAlign w:val="center"/>
          </w:tcPr>
          <w:p w14:paraId="056FA302" w14:textId="135BECAA" w:rsidR="4E193667" w:rsidRPr="00BB310E" w:rsidRDefault="00A35406" w:rsidP="00D9613D">
            <w:pPr>
              <w:spacing w:after="0"/>
              <w:jc w:val="center"/>
              <w:rPr>
                <w:rFonts w:eastAsia="Arial Narrow" w:cstheme="minorHAnsi"/>
              </w:rPr>
            </w:pPr>
            <w:r w:rsidRPr="00BB310E">
              <w:rPr>
                <w:rFonts w:eastAsia="Arial Narrow" w:cstheme="minorHAnsi"/>
              </w:rPr>
              <w:t>N/A</w:t>
            </w:r>
          </w:p>
        </w:tc>
        <w:tc>
          <w:tcPr>
            <w:tcW w:w="1350" w:type="dxa"/>
            <w:tcBorders>
              <w:top w:val="single" w:sz="8" w:space="0" w:color="F3CFC1"/>
              <w:left w:val="single" w:sz="4" w:space="0" w:color="000000"/>
              <w:bottom w:val="single" w:sz="8" w:space="0" w:color="F3CFC1"/>
              <w:right w:val="single" w:sz="4" w:space="0" w:color="000000"/>
            </w:tcBorders>
            <w:vAlign w:val="center"/>
          </w:tcPr>
          <w:p w14:paraId="409E1C85" w14:textId="314E6FCE" w:rsidR="4E193667" w:rsidRPr="00BB310E" w:rsidRDefault="4E193667" w:rsidP="00D9613D">
            <w:pPr>
              <w:spacing w:after="0"/>
              <w:jc w:val="center"/>
              <w:rPr>
                <w:rFonts w:eastAsia="Arial Narrow" w:cstheme="minorHAnsi"/>
              </w:rPr>
            </w:pPr>
            <w:r w:rsidRPr="00BB310E">
              <w:rPr>
                <w:rFonts w:eastAsia="Arial Narrow" w:cstheme="minorHAnsi"/>
              </w:rPr>
              <w:t>2.048.207</w:t>
            </w:r>
          </w:p>
        </w:tc>
        <w:tc>
          <w:tcPr>
            <w:tcW w:w="1470" w:type="dxa"/>
            <w:tcBorders>
              <w:top w:val="single" w:sz="8" w:space="0" w:color="F3CFC1"/>
              <w:left w:val="single" w:sz="4" w:space="0" w:color="000000"/>
              <w:bottom w:val="single" w:sz="8" w:space="0" w:color="F3CFC1"/>
              <w:right w:val="single" w:sz="4" w:space="0" w:color="000000"/>
            </w:tcBorders>
            <w:vAlign w:val="center"/>
          </w:tcPr>
          <w:p w14:paraId="0EA6B05F" w14:textId="2923ECBB" w:rsidR="4E193667" w:rsidRPr="00BB310E" w:rsidRDefault="4E193667" w:rsidP="00D9613D">
            <w:pPr>
              <w:spacing w:after="0"/>
              <w:jc w:val="center"/>
              <w:rPr>
                <w:rFonts w:eastAsia="Arial Narrow" w:cstheme="minorHAnsi"/>
              </w:rPr>
            </w:pPr>
            <w:r w:rsidRPr="00BB310E">
              <w:rPr>
                <w:rFonts w:eastAsia="Arial Narrow" w:cstheme="minorHAnsi"/>
              </w:rPr>
              <w:t>2.090.440</w:t>
            </w:r>
          </w:p>
        </w:tc>
        <w:tc>
          <w:tcPr>
            <w:tcW w:w="1545" w:type="dxa"/>
            <w:tcBorders>
              <w:top w:val="single" w:sz="8" w:space="0" w:color="F3CFC1"/>
              <w:left w:val="single" w:sz="4" w:space="0" w:color="000000"/>
              <w:bottom w:val="single" w:sz="8" w:space="0" w:color="F3CFC1"/>
              <w:right w:val="single" w:sz="4" w:space="0" w:color="000000"/>
            </w:tcBorders>
            <w:vAlign w:val="center"/>
          </w:tcPr>
          <w:p w14:paraId="2224C831" w14:textId="623D92EE" w:rsidR="4E193667" w:rsidRPr="00BB310E" w:rsidRDefault="4E193667" w:rsidP="00D9613D">
            <w:pPr>
              <w:spacing w:after="0"/>
              <w:jc w:val="center"/>
              <w:rPr>
                <w:rFonts w:eastAsia="Arial Narrow" w:cstheme="minorHAnsi"/>
              </w:rPr>
            </w:pPr>
            <w:r w:rsidRPr="00BB310E">
              <w:rPr>
                <w:rFonts w:eastAsia="Arial Narrow" w:cstheme="minorHAnsi"/>
              </w:rPr>
              <w:t>2.383.500</w:t>
            </w:r>
          </w:p>
        </w:tc>
        <w:tc>
          <w:tcPr>
            <w:tcW w:w="1440" w:type="dxa"/>
            <w:tcBorders>
              <w:top w:val="single" w:sz="8" w:space="0" w:color="F3CFC1"/>
              <w:left w:val="single" w:sz="4" w:space="0" w:color="000000"/>
              <w:bottom w:val="single" w:sz="8" w:space="0" w:color="F3CFC1"/>
              <w:right w:val="single" w:sz="4" w:space="0" w:color="000000"/>
            </w:tcBorders>
            <w:vAlign w:val="center"/>
          </w:tcPr>
          <w:p w14:paraId="598B2899" w14:textId="0A7A1903" w:rsidR="4E193667" w:rsidRPr="00BB310E" w:rsidRDefault="4E193667" w:rsidP="00D9613D">
            <w:pPr>
              <w:spacing w:after="0"/>
              <w:jc w:val="center"/>
              <w:rPr>
                <w:rFonts w:eastAsia="Arial Narrow" w:cstheme="minorHAnsi"/>
              </w:rPr>
            </w:pPr>
            <w:r w:rsidRPr="00BB310E">
              <w:rPr>
                <w:rFonts w:eastAsia="Arial Narrow" w:cstheme="minorHAnsi"/>
              </w:rPr>
              <w:t>2.264.969</w:t>
            </w:r>
          </w:p>
        </w:tc>
      </w:tr>
      <w:tr w:rsidR="4E193667" w14:paraId="3B624873" w14:textId="77777777" w:rsidTr="00D9613D">
        <w:trPr>
          <w:trHeight w:val="739"/>
        </w:trPr>
        <w:tc>
          <w:tcPr>
            <w:tcW w:w="2265" w:type="dxa"/>
            <w:tcBorders>
              <w:top w:val="single" w:sz="8" w:space="0" w:color="F3CFC1"/>
            </w:tcBorders>
            <w:shd w:val="clear" w:color="auto" w:fill="D2232A" w:themeFill="accent1"/>
            <w:vAlign w:val="center"/>
          </w:tcPr>
          <w:p w14:paraId="1277BE0F" w14:textId="4772FDFC" w:rsidR="4E193667" w:rsidRPr="00D9613D" w:rsidRDefault="4E193667" w:rsidP="00D9613D">
            <w:pPr>
              <w:jc w:val="center"/>
              <w:rPr>
                <w:rFonts w:eastAsia="Arial Narrow" w:cstheme="minorHAnsi"/>
                <w:b/>
                <w:color w:val="FFFFFF"/>
              </w:rPr>
            </w:pPr>
            <w:r w:rsidRPr="00D9613D">
              <w:rPr>
                <w:rFonts w:eastAsia="Arial Narrow" w:cstheme="minorHAnsi"/>
                <w:b/>
                <w:color w:val="FFFFFF"/>
              </w:rPr>
              <w:t>KOEFICIJENT POKRIVENOSTI UVOZA IZVOZOM</w:t>
            </w:r>
          </w:p>
        </w:tc>
        <w:tc>
          <w:tcPr>
            <w:tcW w:w="1200" w:type="dxa"/>
            <w:tcBorders>
              <w:top w:val="single" w:sz="8" w:space="0" w:color="F3CFC1"/>
              <w:bottom w:val="single" w:sz="4" w:space="0" w:color="000000"/>
              <w:right w:val="single" w:sz="4" w:space="0" w:color="000000"/>
            </w:tcBorders>
            <w:vAlign w:val="center"/>
          </w:tcPr>
          <w:p w14:paraId="7DAFEFF2" w14:textId="15225241" w:rsidR="4E193667" w:rsidRPr="00BB310E" w:rsidRDefault="00A35406" w:rsidP="00D9613D">
            <w:pPr>
              <w:spacing w:after="0"/>
              <w:jc w:val="center"/>
              <w:rPr>
                <w:rFonts w:eastAsia="Arial Narrow" w:cstheme="minorHAnsi"/>
              </w:rPr>
            </w:pPr>
            <w:r w:rsidRPr="00BB310E">
              <w:rPr>
                <w:rFonts w:eastAsia="Arial Narrow" w:cstheme="minorHAnsi"/>
              </w:rPr>
              <w:t>N/A</w:t>
            </w:r>
          </w:p>
        </w:tc>
        <w:tc>
          <w:tcPr>
            <w:tcW w:w="1350" w:type="dxa"/>
            <w:tcBorders>
              <w:top w:val="single" w:sz="8" w:space="0" w:color="F3CFC1"/>
              <w:left w:val="single" w:sz="4" w:space="0" w:color="000000"/>
              <w:bottom w:val="single" w:sz="4" w:space="0" w:color="000000"/>
              <w:right w:val="single" w:sz="4" w:space="0" w:color="000000"/>
            </w:tcBorders>
            <w:vAlign w:val="center"/>
          </w:tcPr>
          <w:p w14:paraId="64B853D5" w14:textId="367A3A3D" w:rsidR="4E193667" w:rsidRPr="00BB310E" w:rsidRDefault="4E193667" w:rsidP="00D9613D">
            <w:pPr>
              <w:spacing w:after="0"/>
              <w:jc w:val="center"/>
              <w:rPr>
                <w:rFonts w:eastAsia="Arial Narrow" w:cstheme="minorHAnsi"/>
              </w:rPr>
            </w:pPr>
            <w:r w:rsidRPr="00BB310E">
              <w:rPr>
                <w:rFonts w:eastAsia="Arial Narrow" w:cstheme="minorHAnsi"/>
              </w:rPr>
              <w:t>1,76</w:t>
            </w:r>
          </w:p>
        </w:tc>
        <w:tc>
          <w:tcPr>
            <w:tcW w:w="1470" w:type="dxa"/>
            <w:tcBorders>
              <w:top w:val="single" w:sz="8" w:space="0" w:color="F3CFC1"/>
              <w:left w:val="single" w:sz="4" w:space="0" w:color="000000"/>
              <w:bottom w:val="single" w:sz="4" w:space="0" w:color="000000"/>
              <w:right w:val="single" w:sz="4" w:space="0" w:color="000000"/>
            </w:tcBorders>
            <w:vAlign w:val="center"/>
          </w:tcPr>
          <w:p w14:paraId="47389346" w14:textId="0A18FE9F" w:rsidR="4E193667" w:rsidRPr="00BB310E" w:rsidRDefault="4E193667" w:rsidP="00D9613D">
            <w:pPr>
              <w:spacing w:after="0"/>
              <w:jc w:val="center"/>
              <w:rPr>
                <w:rFonts w:eastAsia="Arial Narrow" w:cstheme="minorHAnsi"/>
              </w:rPr>
            </w:pPr>
            <w:r w:rsidRPr="00BB310E">
              <w:rPr>
                <w:rFonts w:eastAsia="Arial Narrow" w:cstheme="minorHAnsi"/>
              </w:rPr>
              <w:t>1,82</w:t>
            </w:r>
          </w:p>
        </w:tc>
        <w:tc>
          <w:tcPr>
            <w:tcW w:w="1545" w:type="dxa"/>
            <w:tcBorders>
              <w:top w:val="single" w:sz="8" w:space="0" w:color="F3CFC1"/>
              <w:left w:val="single" w:sz="4" w:space="0" w:color="000000"/>
              <w:bottom w:val="single" w:sz="4" w:space="0" w:color="000000"/>
              <w:right w:val="single" w:sz="4" w:space="0" w:color="000000"/>
            </w:tcBorders>
            <w:vAlign w:val="center"/>
          </w:tcPr>
          <w:p w14:paraId="663858A5" w14:textId="7BECBFAC" w:rsidR="4E193667" w:rsidRPr="00BB310E" w:rsidRDefault="4E193667" w:rsidP="00D9613D">
            <w:pPr>
              <w:spacing w:after="0"/>
              <w:jc w:val="center"/>
              <w:rPr>
                <w:rFonts w:eastAsia="Arial Narrow" w:cstheme="minorHAnsi"/>
              </w:rPr>
            </w:pPr>
            <w:r w:rsidRPr="00BB310E">
              <w:rPr>
                <w:rFonts w:eastAsia="Arial Narrow" w:cstheme="minorHAnsi"/>
              </w:rPr>
              <w:t>1,76</w:t>
            </w:r>
          </w:p>
        </w:tc>
        <w:tc>
          <w:tcPr>
            <w:tcW w:w="1440" w:type="dxa"/>
            <w:tcBorders>
              <w:top w:val="single" w:sz="8" w:space="0" w:color="F3CFC1"/>
              <w:left w:val="single" w:sz="4" w:space="0" w:color="000000"/>
              <w:bottom w:val="single" w:sz="4" w:space="0" w:color="000000"/>
              <w:right w:val="single" w:sz="4" w:space="0" w:color="000000"/>
            </w:tcBorders>
            <w:vAlign w:val="center"/>
          </w:tcPr>
          <w:p w14:paraId="230B9C19" w14:textId="4A57BA50" w:rsidR="4E193667" w:rsidRPr="00BB310E" w:rsidRDefault="4E193667" w:rsidP="00D9613D">
            <w:pPr>
              <w:spacing w:after="0"/>
              <w:jc w:val="center"/>
              <w:rPr>
                <w:rFonts w:eastAsia="Arial Narrow" w:cstheme="minorHAnsi"/>
              </w:rPr>
            </w:pPr>
            <w:r w:rsidRPr="00BB310E">
              <w:rPr>
                <w:rFonts w:eastAsia="Arial Narrow" w:cstheme="minorHAnsi"/>
              </w:rPr>
              <w:t>1,85</w:t>
            </w:r>
          </w:p>
        </w:tc>
      </w:tr>
    </w:tbl>
    <w:p w14:paraId="4F98051A" w14:textId="5E52EBD9"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Fina, obrada autora</w:t>
      </w:r>
    </w:p>
    <w:p w14:paraId="2E2EBDD3" w14:textId="77777777" w:rsidR="00675AF7" w:rsidRDefault="00675AF7" w:rsidP="00855D8D">
      <w:pPr>
        <w:pStyle w:val="Izvor"/>
        <w:rPr>
          <w:rFonts w:asciiTheme="minorHAnsi" w:hAnsiTheme="minorHAnsi"/>
        </w:rPr>
      </w:pPr>
    </w:p>
    <w:p w14:paraId="16088978" w14:textId="54038FB9" w:rsidR="008878A0" w:rsidRDefault="008878A0" w:rsidP="4E193667">
      <w:r w:rsidRPr="4E193667">
        <w:rPr>
          <w:rFonts w:eastAsia="Arial Narrow"/>
        </w:rPr>
        <w:t>U 201</w:t>
      </w:r>
      <w:r w:rsidR="4D18B75E" w:rsidRPr="4E193667">
        <w:rPr>
          <w:rFonts w:eastAsia="Arial Narrow"/>
        </w:rPr>
        <w:t>9</w:t>
      </w:r>
      <w:r w:rsidRPr="4E193667">
        <w:rPr>
          <w:rFonts w:eastAsia="Arial Narrow"/>
        </w:rPr>
        <w:t xml:space="preserve">. godini </w:t>
      </w:r>
      <w:r w:rsidR="285330E4" w:rsidRPr="4E193667">
        <w:t>smanjeni su</w:t>
      </w:r>
      <w:r w:rsidRPr="4E193667">
        <w:t xml:space="preserve"> i izvoz (</w:t>
      </w:r>
      <w:r w:rsidR="7C438962" w:rsidRPr="4E193667">
        <w:t>-0,3</w:t>
      </w:r>
      <w:r w:rsidRPr="4E193667">
        <w:t>%)</w:t>
      </w:r>
      <w:r w:rsidR="19DE53B4" w:rsidRPr="4E193667">
        <w:t xml:space="preserve"> i</w:t>
      </w:r>
      <w:r w:rsidRPr="4E193667">
        <w:t xml:space="preserve"> uvoz (</w:t>
      </w:r>
      <w:r w:rsidR="192DC42C" w:rsidRPr="4E193667">
        <w:t>-4,97</w:t>
      </w:r>
      <w:r w:rsidRPr="4E193667">
        <w:t>%)</w:t>
      </w:r>
      <w:r w:rsidR="5211CB0D" w:rsidRPr="4E193667">
        <w:t>, a povećan je</w:t>
      </w:r>
      <w:r w:rsidRPr="4E193667">
        <w:t xml:space="preserve"> trgovinski saldo (5,9%). Ostvaren je pozitivan saldo vanjskotrgovinske razmjene u iznosu</w:t>
      </w:r>
      <w:r w:rsidR="00D9613D">
        <w:rPr>
          <w:rFonts w:ascii="Calibri" w:hAnsi="Calibri" w:cs="Calibri"/>
        </w:rPr>
        <w:t xml:space="preserve"> </w:t>
      </w:r>
      <w:r w:rsidRPr="00AA4753">
        <w:rPr>
          <w:rStyle w:val="Naglaeno"/>
          <w:rFonts w:eastAsiaTheme="majorEastAsia"/>
          <w:b w:val="0"/>
          <w:bCs w:val="0"/>
        </w:rPr>
        <w:t>1,</w:t>
      </w:r>
      <w:r w:rsidR="06D4540B" w:rsidRPr="00AA4753">
        <w:rPr>
          <w:rStyle w:val="Naglaeno"/>
          <w:rFonts w:eastAsiaTheme="majorEastAsia"/>
          <w:b w:val="0"/>
          <w:bCs w:val="0"/>
        </w:rPr>
        <w:t>93</w:t>
      </w:r>
      <w:r w:rsidRPr="00AA4753">
        <w:rPr>
          <w:rStyle w:val="Naglaeno"/>
          <w:rFonts w:eastAsiaTheme="majorEastAsia"/>
          <w:b w:val="0"/>
          <w:bCs w:val="0"/>
        </w:rPr>
        <w:t xml:space="preserve"> milijard</w:t>
      </w:r>
      <w:r w:rsidR="117C59E8" w:rsidRPr="00AA4753">
        <w:rPr>
          <w:rStyle w:val="Naglaeno"/>
          <w:rFonts w:eastAsiaTheme="majorEastAsia"/>
          <w:b w:val="0"/>
          <w:bCs w:val="0"/>
        </w:rPr>
        <w:t>e</w:t>
      </w:r>
      <w:r w:rsidRPr="00AA4753">
        <w:rPr>
          <w:rStyle w:val="Naglaeno"/>
          <w:rFonts w:eastAsiaTheme="majorEastAsia"/>
          <w:b w:val="0"/>
          <w:bCs w:val="0"/>
        </w:rPr>
        <w:t xml:space="preserve"> kuna</w:t>
      </w:r>
      <w:r w:rsidRPr="4E193667">
        <w:rPr>
          <w:rStyle w:val="Naglaeno"/>
          <w:rFonts w:eastAsiaTheme="majorEastAsia"/>
          <w:b w:val="0"/>
          <w:bCs w:val="0"/>
        </w:rPr>
        <w:t>, a</w:t>
      </w:r>
      <w:r w:rsidRPr="4E193667">
        <w:rPr>
          <w:rStyle w:val="Naglaeno"/>
          <w:rFonts w:eastAsiaTheme="majorEastAsia"/>
        </w:rPr>
        <w:t xml:space="preserve"> </w:t>
      </w:r>
      <w:r w:rsidRPr="4E193667">
        <w:t>pokrivenost uvoza izvozom Krapinsko-zagorske županije u 201</w:t>
      </w:r>
      <w:r w:rsidR="1F4DBDC4" w:rsidRPr="4E193667">
        <w:t>9</w:t>
      </w:r>
      <w:r w:rsidRPr="4E193667">
        <w:t>. godini iznosila je 1</w:t>
      </w:r>
      <w:r w:rsidR="1D7D89F1" w:rsidRPr="4E193667">
        <w:t>85</w:t>
      </w:r>
      <w:r w:rsidRPr="4E193667">
        <w:t>%.</w:t>
      </w:r>
    </w:p>
    <w:p w14:paraId="74961C9C" w14:textId="607BF0F1" w:rsidR="001838EE" w:rsidRDefault="001838EE" w:rsidP="003E3F3C">
      <w:pPr>
        <w:pStyle w:val="Opisslike"/>
      </w:pPr>
      <w:r>
        <w:lastRenderedPageBreak/>
        <w:t xml:space="preserve">Tablica </w:t>
      </w:r>
      <w:r w:rsidR="000D5E3F">
        <w:t>90</w:t>
      </w:r>
      <w:r>
        <w:t>. Ukupan izvoz prema veličini poduzeća (mikro, mala, srednja i velika) za 2016., 2017.</w:t>
      </w:r>
      <w:r w:rsidR="646650FE">
        <w:t>, 2018.</w:t>
      </w:r>
      <w:r>
        <w:t xml:space="preserve"> i 201</w:t>
      </w:r>
      <w:r w:rsidR="12EBF1A5">
        <w:t>9</w:t>
      </w:r>
      <w:r>
        <w:t xml:space="preserve">. </w:t>
      </w:r>
      <w:r w:rsidR="00675AF7">
        <w:t>g</w:t>
      </w:r>
      <w:r>
        <w:t>odinu</w:t>
      </w:r>
    </w:p>
    <w:tbl>
      <w:tblPr>
        <w:tblW w:w="0" w:type="auto"/>
        <w:tblLayout w:type="fixed"/>
        <w:tblLook w:val="04A0" w:firstRow="1" w:lastRow="0" w:firstColumn="1" w:lastColumn="0" w:noHBand="0" w:noVBand="1"/>
      </w:tblPr>
      <w:tblGrid>
        <w:gridCol w:w="1410"/>
        <w:gridCol w:w="1470"/>
        <w:gridCol w:w="1530"/>
        <w:gridCol w:w="1590"/>
        <w:gridCol w:w="1575"/>
        <w:gridCol w:w="1740"/>
      </w:tblGrid>
      <w:tr w:rsidR="4E193667" w14:paraId="3334C749" w14:textId="77777777" w:rsidTr="4E193667">
        <w:trPr>
          <w:trHeight w:val="495"/>
        </w:trPr>
        <w:tc>
          <w:tcPr>
            <w:tcW w:w="1410" w:type="dxa"/>
            <w:tcBorders>
              <w:bottom w:val="single" w:sz="8" w:space="0" w:color="F3CFC1"/>
              <w:right w:val="single" w:sz="8" w:space="0" w:color="FFFFFF" w:themeColor="background1"/>
            </w:tcBorders>
            <w:shd w:val="clear" w:color="auto" w:fill="D2232A" w:themeFill="accent1"/>
            <w:vAlign w:val="center"/>
          </w:tcPr>
          <w:p w14:paraId="0E586279" w14:textId="40BA8E51" w:rsidR="4E193667" w:rsidRPr="00115ED9" w:rsidRDefault="4E193667" w:rsidP="00115ED9">
            <w:pPr>
              <w:jc w:val="center"/>
              <w:rPr>
                <w:rFonts w:eastAsia="Arial Narrow" w:cstheme="minorHAnsi"/>
                <w:b/>
                <w:color w:val="FFFFFF"/>
              </w:rPr>
            </w:pPr>
            <w:r w:rsidRPr="00115ED9">
              <w:rPr>
                <w:rFonts w:eastAsia="Arial Narrow" w:cstheme="minorHAnsi"/>
                <w:b/>
                <w:color w:val="FFFFFF"/>
              </w:rPr>
              <w:t xml:space="preserve">Godina </w:t>
            </w:r>
          </w:p>
        </w:tc>
        <w:tc>
          <w:tcPr>
            <w:tcW w:w="1470" w:type="dxa"/>
            <w:tcBorders>
              <w:top w:val="single" w:sz="4" w:space="0" w:color="000000"/>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0A0924EC" w14:textId="60FE4B5E" w:rsidR="4E193667" w:rsidRPr="00115ED9" w:rsidRDefault="4E193667" w:rsidP="00115ED9">
            <w:pPr>
              <w:jc w:val="center"/>
              <w:rPr>
                <w:rFonts w:eastAsia="Arial Narrow" w:cstheme="minorHAnsi"/>
                <w:b/>
                <w:color w:val="FFFFFF"/>
              </w:rPr>
            </w:pPr>
            <w:r w:rsidRPr="00115ED9">
              <w:rPr>
                <w:rFonts w:eastAsia="Arial Narrow" w:cstheme="minorHAnsi"/>
                <w:b/>
                <w:color w:val="FFFFFF"/>
              </w:rPr>
              <w:t xml:space="preserve">MIKRO </w:t>
            </w:r>
          </w:p>
        </w:tc>
        <w:tc>
          <w:tcPr>
            <w:tcW w:w="1530" w:type="dxa"/>
            <w:tcBorders>
              <w:top w:val="single" w:sz="4" w:space="0" w:color="000000"/>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00D6BCA1" w14:textId="33D7E7B3" w:rsidR="4E193667" w:rsidRPr="00115ED9" w:rsidRDefault="4E193667" w:rsidP="00115ED9">
            <w:pPr>
              <w:jc w:val="center"/>
              <w:rPr>
                <w:rFonts w:eastAsia="Arial Narrow" w:cstheme="minorHAnsi"/>
                <w:b/>
                <w:color w:val="FFFFFF"/>
              </w:rPr>
            </w:pPr>
            <w:r w:rsidRPr="00115ED9">
              <w:rPr>
                <w:rFonts w:eastAsia="Arial Narrow" w:cstheme="minorHAnsi"/>
                <w:b/>
                <w:color w:val="FFFFFF"/>
              </w:rPr>
              <w:t xml:space="preserve">MALI </w:t>
            </w:r>
          </w:p>
        </w:tc>
        <w:tc>
          <w:tcPr>
            <w:tcW w:w="1590" w:type="dxa"/>
            <w:tcBorders>
              <w:top w:val="single" w:sz="4" w:space="0" w:color="000000"/>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1C27D362" w14:textId="4A8A2E1B" w:rsidR="4E193667" w:rsidRPr="00115ED9" w:rsidRDefault="4E193667" w:rsidP="00115ED9">
            <w:pPr>
              <w:jc w:val="center"/>
              <w:rPr>
                <w:rFonts w:eastAsia="Arial Narrow" w:cstheme="minorHAnsi"/>
                <w:b/>
                <w:color w:val="FFFFFF"/>
              </w:rPr>
            </w:pPr>
            <w:r w:rsidRPr="00115ED9">
              <w:rPr>
                <w:rFonts w:eastAsia="Arial Narrow" w:cstheme="minorHAnsi"/>
                <w:b/>
                <w:color w:val="FFFFFF"/>
              </w:rPr>
              <w:t>SREDNJI</w:t>
            </w:r>
          </w:p>
        </w:tc>
        <w:tc>
          <w:tcPr>
            <w:tcW w:w="1575" w:type="dxa"/>
            <w:tcBorders>
              <w:top w:val="single" w:sz="4" w:space="0" w:color="000000"/>
              <w:left w:val="single" w:sz="8" w:space="0" w:color="FFFFFF" w:themeColor="background1"/>
              <w:bottom w:val="single" w:sz="8" w:space="0" w:color="F3CFC1"/>
              <w:right w:val="single" w:sz="8" w:space="0" w:color="FFFFFF" w:themeColor="background1"/>
            </w:tcBorders>
            <w:shd w:val="clear" w:color="auto" w:fill="D2232A" w:themeFill="accent1"/>
            <w:vAlign w:val="center"/>
          </w:tcPr>
          <w:p w14:paraId="166DA8AD" w14:textId="75E9552B" w:rsidR="4E193667" w:rsidRPr="00115ED9" w:rsidRDefault="4E193667" w:rsidP="00115ED9">
            <w:pPr>
              <w:jc w:val="center"/>
              <w:rPr>
                <w:rFonts w:eastAsia="Arial Narrow" w:cstheme="minorHAnsi"/>
                <w:b/>
                <w:color w:val="FFFFFF"/>
              </w:rPr>
            </w:pPr>
            <w:r w:rsidRPr="00115ED9">
              <w:rPr>
                <w:rFonts w:eastAsia="Arial Narrow" w:cstheme="minorHAnsi"/>
                <w:b/>
                <w:color w:val="FFFFFF"/>
              </w:rPr>
              <w:t xml:space="preserve">VELIKI </w:t>
            </w:r>
          </w:p>
        </w:tc>
        <w:tc>
          <w:tcPr>
            <w:tcW w:w="1740" w:type="dxa"/>
            <w:tcBorders>
              <w:top w:val="single" w:sz="4" w:space="0" w:color="000000"/>
              <w:left w:val="single" w:sz="8" w:space="0" w:color="FFFFFF" w:themeColor="background1"/>
              <w:bottom w:val="single" w:sz="8" w:space="0" w:color="F3CFC1"/>
              <w:right w:val="single" w:sz="4" w:space="0" w:color="000000"/>
            </w:tcBorders>
            <w:shd w:val="clear" w:color="auto" w:fill="D2232A" w:themeFill="accent1"/>
            <w:vAlign w:val="center"/>
          </w:tcPr>
          <w:p w14:paraId="600D176F" w14:textId="349AB338" w:rsidR="4E193667" w:rsidRPr="00115ED9" w:rsidRDefault="4E193667" w:rsidP="00115ED9">
            <w:pPr>
              <w:jc w:val="center"/>
              <w:rPr>
                <w:rFonts w:eastAsia="Arial Narrow" w:cstheme="minorHAnsi"/>
                <w:b/>
                <w:color w:val="FFFFFF"/>
              </w:rPr>
            </w:pPr>
            <w:r w:rsidRPr="00115ED9">
              <w:rPr>
                <w:rFonts w:eastAsia="Arial Narrow" w:cstheme="minorHAnsi"/>
                <w:b/>
                <w:color w:val="FFFFFF"/>
              </w:rPr>
              <w:t xml:space="preserve">UKUPNI IZVOZ </w:t>
            </w:r>
          </w:p>
        </w:tc>
      </w:tr>
      <w:tr w:rsidR="4E193667" w14:paraId="4DCBA953" w14:textId="77777777" w:rsidTr="00115ED9">
        <w:trPr>
          <w:trHeight w:val="300"/>
        </w:trPr>
        <w:tc>
          <w:tcPr>
            <w:tcW w:w="1410" w:type="dxa"/>
            <w:tcBorders>
              <w:bottom w:val="single" w:sz="8" w:space="0" w:color="F3CFC1"/>
              <w:right w:val="single" w:sz="8" w:space="0" w:color="FFFFFF" w:themeColor="background1"/>
            </w:tcBorders>
            <w:shd w:val="clear" w:color="auto" w:fill="D2232A" w:themeFill="accent1"/>
            <w:vAlign w:val="center"/>
          </w:tcPr>
          <w:p w14:paraId="5663250A" w14:textId="13E3D5D6" w:rsidR="4E193667" w:rsidRPr="00115ED9" w:rsidRDefault="4E193667" w:rsidP="00115ED9">
            <w:pPr>
              <w:jc w:val="center"/>
              <w:rPr>
                <w:rFonts w:eastAsia="Arial Narrow" w:cstheme="minorHAnsi"/>
                <w:b/>
                <w:color w:val="FFFFFF"/>
              </w:rPr>
            </w:pPr>
            <w:r w:rsidRPr="00115ED9">
              <w:rPr>
                <w:rFonts w:eastAsia="Arial Narrow" w:cstheme="minorHAnsi"/>
                <w:b/>
                <w:color w:val="FFFFFF"/>
              </w:rPr>
              <w:t xml:space="preserve">2016. </w:t>
            </w:r>
          </w:p>
        </w:tc>
        <w:tc>
          <w:tcPr>
            <w:tcW w:w="1470" w:type="dxa"/>
            <w:tcBorders>
              <w:top w:val="single" w:sz="4" w:space="0" w:color="000000"/>
              <w:left w:val="single" w:sz="8" w:space="0" w:color="FFFFFF" w:themeColor="background1"/>
              <w:bottom w:val="single" w:sz="8" w:space="0" w:color="F3CFC1"/>
              <w:right w:val="single" w:sz="4" w:space="0" w:color="000000"/>
            </w:tcBorders>
            <w:vAlign w:val="center"/>
          </w:tcPr>
          <w:p w14:paraId="5B2CA9BB" w14:textId="22153807" w:rsidR="4E193667" w:rsidRPr="00922BC7" w:rsidRDefault="4E193667" w:rsidP="00115ED9">
            <w:pPr>
              <w:jc w:val="center"/>
              <w:rPr>
                <w:rFonts w:eastAsia="Arial Narrow" w:cstheme="minorHAnsi"/>
                <w:bCs/>
                <w:color w:val="auto"/>
              </w:rPr>
            </w:pPr>
            <w:r w:rsidRPr="00922BC7">
              <w:rPr>
                <w:rFonts w:eastAsia="Arial Narrow" w:cstheme="minorHAnsi"/>
                <w:bCs/>
                <w:color w:val="auto"/>
              </w:rPr>
              <w:t>157.213</w:t>
            </w:r>
          </w:p>
        </w:tc>
        <w:tc>
          <w:tcPr>
            <w:tcW w:w="1530" w:type="dxa"/>
            <w:tcBorders>
              <w:top w:val="single" w:sz="4" w:space="0" w:color="000000"/>
              <w:left w:val="single" w:sz="4" w:space="0" w:color="000000"/>
              <w:bottom w:val="single" w:sz="8" w:space="0" w:color="F3CFC1"/>
              <w:right w:val="single" w:sz="4" w:space="0" w:color="000000"/>
            </w:tcBorders>
            <w:vAlign w:val="center"/>
          </w:tcPr>
          <w:p w14:paraId="24E88DDF" w14:textId="3FBBD3C9" w:rsidR="4E193667" w:rsidRPr="00922BC7" w:rsidRDefault="4E193667" w:rsidP="00115ED9">
            <w:pPr>
              <w:jc w:val="center"/>
              <w:rPr>
                <w:rFonts w:eastAsia="Arial Narrow" w:cstheme="minorHAnsi"/>
                <w:bCs/>
                <w:color w:val="auto"/>
              </w:rPr>
            </w:pPr>
            <w:r w:rsidRPr="00922BC7">
              <w:rPr>
                <w:rFonts w:eastAsia="Arial Narrow" w:cstheme="minorHAnsi"/>
                <w:bCs/>
                <w:color w:val="auto"/>
              </w:rPr>
              <w:t>711.879</w:t>
            </w:r>
          </w:p>
        </w:tc>
        <w:tc>
          <w:tcPr>
            <w:tcW w:w="1590" w:type="dxa"/>
            <w:tcBorders>
              <w:top w:val="single" w:sz="4" w:space="0" w:color="000000"/>
              <w:left w:val="single" w:sz="4" w:space="0" w:color="000000"/>
              <w:bottom w:val="single" w:sz="8" w:space="0" w:color="F3CFC1"/>
              <w:right w:val="single" w:sz="4" w:space="0" w:color="000000"/>
            </w:tcBorders>
            <w:vAlign w:val="center"/>
          </w:tcPr>
          <w:p w14:paraId="77E5E360" w14:textId="3C316143" w:rsidR="4E193667" w:rsidRPr="00922BC7" w:rsidRDefault="4E193667" w:rsidP="00115ED9">
            <w:pPr>
              <w:jc w:val="center"/>
              <w:rPr>
                <w:rFonts w:eastAsia="Arial Narrow" w:cstheme="minorHAnsi"/>
                <w:bCs/>
                <w:color w:val="auto"/>
              </w:rPr>
            </w:pPr>
            <w:r w:rsidRPr="00922BC7">
              <w:rPr>
                <w:rFonts w:eastAsia="Arial Narrow" w:cstheme="minorHAnsi"/>
                <w:bCs/>
                <w:color w:val="auto"/>
              </w:rPr>
              <w:t>999.657</w:t>
            </w:r>
          </w:p>
        </w:tc>
        <w:tc>
          <w:tcPr>
            <w:tcW w:w="1575" w:type="dxa"/>
            <w:tcBorders>
              <w:top w:val="single" w:sz="4" w:space="0" w:color="000000"/>
              <w:left w:val="single" w:sz="4" w:space="0" w:color="000000"/>
              <w:bottom w:val="single" w:sz="8" w:space="0" w:color="F3CFC1"/>
              <w:right w:val="single" w:sz="4" w:space="0" w:color="000000"/>
            </w:tcBorders>
            <w:vAlign w:val="center"/>
          </w:tcPr>
          <w:p w14:paraId="7EB5608B" w14:textId="471F446A" w:rsidR="4E193667" w:rsidRPr="00922BC7" w:rsidRDefault="4E193667" w:rsidP="00115ED9">
            <w:pPr>
              <w:jc w:val="center"/>
              <w:rPr>
                <w:rFonts w:eastAsia="Arial Narrow" w:cstheme="minorHAnsi"/>
                <w:bCs/>
                <w:color w:val="auto"/>
              </w:rPr>
            </w:pPr>
            <w:r w:rsidRPr="00922BC7">
              <w:rPr>
                <w:rFonts w:eastAsia="Arial Narrow" w:cstheme="minorHAnsi"/>
                <w:bCs/>
                <w:color w:val="auto"/>
              </w:rPr>
              <w:t>1.673.259</w:t>
            </w:r>
          </w:p>
        </w:tc>
        <w:tc>
          <w:tcPr>
            <w:tcW w:w="1740" w:type="dxa"/>
            <w:tcBorders>
              <w:top w:val="single" w:sz="4" w:space="0" w:color="000000"/>
              <w:left w:val="single" w:sz="4" w:space="0" w:color="000000"/>
              <w:bottom w:val="single" w:sz="8" w:space="0" w:color="F3CFC1"/>
              <w:right w:val="single" w:sz="4" w:space="0" w:color="000000"/>
            </w:tcBorders>
            <w:shd w:val="clear" w:color="auto" w:fill="FFFFFF" w:themeFill="background1"/>
            <w:vAlign w:val="center"/>
          </w:tcPr>
          <w:p w14:paraId="0954776F" w14:textId="1EAF8E9A" w:rsidR="4E193667" w:rsidRPr="00922BC7" w:rsidRDefault="4E193667" w:rsidP="00115ED9">
            <w:pPr>
              <w:jc w:val="center"/>
              <w:rPr>
                <w:rFonts w:eastAsia="Arial Narrow" w:cstheme="minorHAnsi"/>
                <w:bCs/>
                <w:color w:val="auto"/>
              </w:rPr>
            </w:pPr>
            <w:r w:rsidRPr="00922BC7">
              <w:rPr>
                <w:rFonts w:eastAsia="Arial Narrow" w:cstheme="minorHAnsi"/>
                <w:bCs/>
                <w:color w:val="auto"/>
              </w:rPr>
              <w:t>3.542.009</w:t>
            </w:r>
          </w:p>
        </w:tc>
      </w:tr>
      <w:tr w:rsidR="4E193667" w14:paraId="55F51F56" w14:textId="77777777" w:rsidTr="00115ED9">
        <w:trPr>
          <w:trHeight w:val="300"/>
        </w:trPr>
        <w:tc>
          <w:tcPr>
            <w:tcW w:w="1410" w:type="dxa"/>
            <w:tcBorders>
              <w:bottom w:val="single" w:sz="8" w:space="0" w:color="F3CFC1"/>
              <w:right w:val="single" w:sz="8" w:space="0" w:color="FFFFFF" w:themeColor="background1"/>
            </w:tcBorders>
            <w:shd w:val="clear" w:color="auto" w:fill="D2232A" w:themeFill="accent1"/>
            <w:vAlign w:val="center"/>
          </w:tcPr>
          <w:p w14:paraId="2D015A9A" w14:textId="5C638FBF" w:rsidR="4E193667" w:rsidRPr="00115ED9" w:rsidRDefault="4E193667" w:rsidP="00115ED9">
            <w:pPr>
              <w:jc w:val="center"/>
              <w:rPr>
                <w:rFonts w:eastAsia="Arial Narrow" w:cstheme="minorHAnsi"/>
                <w:b/>
                <w:color w:val="FFFFFF"/>
              </w:rPr>
            </w:pPr>
            <w:r w:rsidRPr="00115ED9">
              <w:rPr>
                <w:rFonts w:eastAsia="Arial Narrow" w:cstheme="minorHAnsi"/>
                <w:b/>
                <w:color w:val="FFFFFF"/>
              </w:rPr>
              <w:t xml:space="preserve">2017. </w:t>
            </w:r>
          </w:p>
        </w:tc>
        <w:tc>
          <w:tcPr>
            <w:tcW w:w="1470" w:type="dxa"/>
            <w:tcBorders>
              <w:top w:val="single" w:sz="4" w:space="0" w:color="000000"/>
              <w:left w:val="single" w:sz="8" w:space="0" w:color="FFFFFF" w:themeColor="background1"/>
              <w:bottom w:val="single" w:sz="8" w:space="0" w:color="F3CFC1"/>
              <w:right w:val="single" w:sz="4" w:space="0" w:color="000000"/>
            </w:tcBorders>
            <w:vAlign w:val="center"/>
          </w:tcPr>
          <w:p w14:paraId="7FD39C57" w14:textId="7A209764" w:rsidR="4E193667" w:rsidRPr="00922BC7" w:rsidRDefault="4E193667" w:rsidP="00115ED9">
            <w:pPr>
              <w:jc w:val="center"/>
              <w:rPr>
                <w:rFonts w:eastAsia="Arial Narrow" w:cstheme="minorHAnsi"/>
                <w:bCs/>
                <w:color w:val="auto"/>
              </w:rPr>
            </w:pPr>
            <w:r w:rsidRPr="00922BC7">
              <w:rPr>
                <w:rFonts w:eastAsia="Arial Narrow" w:cstheme="minorHAnsi"/>
                <w:bCs/>
                <w:color w:val="auto"/>
              </w:rPr>
              <w:t>178.562</w:t>
            </w:r>
          </w:p>
        </w:tc>
        <w:tc>
          <w:tcPr>
            <w:tcW w:w="1530" w:type="dxa"/>
            <w:tcBorders>
              <w:top w:val="single" w:sz="4" w:space="0" w:color="000000"/>
              <w:left w:val="single" w:sz="4" w:space="0" w:color="000000"/>
              <w:bottom w:val="single" w:sz="8" w:space="0" w:color="F3CFC1"/>
              <w:right w:val="single" w:sz="4" w:space="0" w:color="000000"/>
            </w:tcBorders>
            <w:vAlign w:val="center"/>
          </w:tcPr>
          <w:p w14:paraId="1BA637E1" w14:textId="761DABFB" w:rsidR="4E193667" w:rsidRPr="00922BC7" w:rsidRDefault="4E193667" w:rsidP="00115ED9">
            <w:pPr>
              <w:jc w:val="center"/>
              <w:rPr>
                <w:rFonts w:eastAsia="Arial Narrow" w:cstheme="minorHAnsi"/>
                <w:bCs/>
                <w:color w:val="auto"/>
              </w:rPr>
            </w:pPr>
            <w:r w:rsidRPr="00922BC7">
              <w:rPr>
                <w:rFonts w:eastAsia="Arial Narrow" w:cstheme="minorHAnsi"/>
                <w:bCs/>
                <w:color w:val="auto"/>
              </w:rPr>
              <w:t>905.164</w:t>
            </w:r>
          </w:p>
        </w:tc>
        <w:tc>
          <w:tcPr>
            <w:tcW w:w="1590" w:type="dxa"/>
            <w:tcBorders>
              <w:top w:val="single" w:sz="4" w:space="0" w:color="000000"/>
              <w:left w:val="single" w:sz="4" w:space="0" w:color="000000"/>
              <w:bottom w:val="single" w:sz="8" w:space="0" w:color="F3CFC1"/>
              <w:right w:val="single" w:sz="4" w:space="0" w:color="000000"/>
            </w:tcBorders>
            <w:vAlign w:val="center"/>
          </w:tcPr>
          <w:p w14:paraId="7CFFB04F" w14:textId="31DB0319" w:rsidR="4E193667" w:rsidRPr="00922BC7" w:rsidRDefault="4E193667" w:rsidP="00115ED9">
            <w:pPr>
              <w:jc w:val="center"/>
              <w:rPr>
                <w:rFonts w:eastAsia="Arial Narrow" w:cstheme="minorHAnsi"/>
                <w:bCs/>
                <w:color w:val="auto"/>
              </w:rPr>
            </w:pPr>
            <w:r w:rsidRPr="00922BC7">
              <w:rPr>
                <w:rFonts w:eastAsia="Arial Narrow" w:cstheme="minorHAnsi"/>
                <w:bCs/>
                <w:color w:val="auto"/>
              </w:rPr>
              <w:t>1.080.881</w:t>
            </w:r>
          </w:p>
        </w:tc>
        <w:tc>
          <w:tcPr>
            <w:tcW w:w="1575" w:type="dxa"/>
            <w:tcBorders>
              <w:top w:val="single" w:sz="4" w:space="0" w:color="000000"/>
              <w:left w:val="single" w:sz="4" w:space="0" w:color="000000"/>
              <w:bottom w:val="single" w:sz="8" w:space="0" w:color="F3CFC1"/>
              <w:right w:val="single" w:sz="4" w:space="0" w:color="000000"/>
            </w:tcBorders>
            <w:vAlign w:val="center"/>
          </w:tcPr>
          <w:p w14:paraId="31DB8C42" w14:textId="6242FA99" w:rsidR="4E193667" w:rsidRPr="00922BC7" w:rsidRDefault="4E193667" w:rsidP="00115ED9">
            <w:pPr>
              <w:jc w:val="center"/>
              <w:rPr>
                <w:rFonts w:eastAsia="Arial Narrow" w:cstheme="minorHAnsi"/>
                <w:bCs/>
                <w:color w:val="auto"/>
              </w:rPr>
            </w:pPr>
            <w:r w:rsidRPr="00922BC7">
              <w:rPr>
                <w:rFonts w:eastAsia="Arial Narrow" w:cstheme="minorHAnsi"/>
                <w:bCs/>
                <w:color w:val="auto"/>
              </w:rPr>
              <w:t>1.631.486</w:t>
            </w:r>
          </w:p>
        </w:tc>
        <w:tc>
          <w:tcPr>
            <w:tcW w:w="1740" w:type="dxa"/>
            <w:tcBorders>
              <w:top w:val="single" w:sz="4" w:space="0" w:color="000000"/>
              <w:left w:val="single" w:sz="4" w:space="0" w:color="000000"/>
              <w:bottom w:val="single" w:sz="8" w:space="0" w:color="F3CFC1"/>
              <w:right w:val="single" w:sz="4" w:space="0" w:color="000000"/>
            </w:tcBorders>
            <w:shd w:val="clear" w:color="auto" w:fill="FFFFFF" w:themeFill="background1"/>
            <w:vAlign w:val="center"/>
          </w:tcPr>
          <w:p w14:paraId="049351C3" w14:textId="7711E5B6" w:rsidR="4E193667" w:rsidRPr="00922BC7" w:rsidRDefault="4E193667" w:rsidP="00115ED9">
            <w:pPr>
              <w:jc w:val="center"/>
              <w:rPr>
                <w:rFonts w:eastAsia="Arial Narrow" w:cstheme="minorHAnsi"/>
                <w:bCs/>
                <w:color w:val="auto"/>
              </w:rPr>
            </w:pPr>
            <w:r w:rsidRPr="00922BC7">
              <w:rPr>
                <w:rFonts w:eastAsia="Arial Narrow" w:cstheme="minorHAnsi"/>
                <w:bCs/>
                <w:color w:val="auto"/>
              </w:rPr>
              <w:t>3.796.094</w:t>
            </w:r>
          </w:p>
        </w:tc>
      </w:tr>
      <w:tr w:rsidR="4E193667" w14:paraId="1F988D10" w14:textId="77777777" w:rsidTr="00115ED9">
        <w:trPr>
          <w:trHeight w:val="300"/>
        </w:trPr>
        <w:tc>
          <w:tcPr>
            <w:tcW w:w="1410" w:type="dxa"/>
            <w:tcBorders>
              <w:bottom w:val="single" w:sz="8" w:space="0" w:color="FFFFFF" w:themeColor="background1"/>
              <w:right w:val="single" w:sz="8" w:space="0" w:color="FFFFFF" w:themeColor="background1"/>
            </w:tcBorders>
            <w:shd w:val="clear" w:color="auto" w:fill="D2232A" w:themeFill="accent1"/>
            <w:vAlign w:val="center"/>
          </w:tcPr>
          <w:p w14:paraId="34E20D73" w14:textId="0DA42621" w:rsidR="4E193667" w:rsidRPr="00115ED9" w:rsidRDefault="4E193667" w:rsidP="00115ED9">
            <w:pPr>
              <w:jc w:val="center"/>
              <w:rPr>
                <w:rFonts w:eastAsia="Arial Narrow" w:cstheme="minorHAnsi"/>
                <w:b/>
                <w:color w:val="FFFFFF"/>
              </w:rPr>
            </w:pPr>
            <w:r w:rsidRPr="00115ED9">
              <w:rPr>
                <w:rFonts w:eastAsia="Arial Narrow" w:cstheme="minorHAnsi"/>
                <w:b/>
                <w:color w:val="FFFFFF"/>
              </w:rPr>
              <w:t xml:space="preserve">2018. </w:t>
            </w:r>
          </w:p>
        </w:tc>
        <w:tc>
          <w:tcPr>
            <w:tcW w:w="1470" w:type="dxa"/>
            <w:tcBorders>
              <w:top w:val="single" w:sz="4" w:space="0" w:color="000000"/>
              <w:left w:val="single" w:sz="8" w:space="0" w:color="FFFFFF" w:themeColor="background1"/>
              <w:bottom w:val="single" w:sz="8" w:space="0" w:color="F3CFC1"/>
              <w:right w:val="single" w:sz="4" w:space="0" w:color="000000"/>
            </w:tcBorders>
            <w:vAlign w:val="center"/>
          </w:tcPr>
          <w:p w14:paraId="142C833F" w14:textId="776E05F1" w:rsidR="4E193667" w:rsidRPr="00922BC7" w:rsidRDefault="4E193667" w:rsidP="00115ED9">
            <w:pPr>
              <w:jc w:val="center"/>
              <w:rPr>
                <w:rFonts w:eastAsia="Arial Narrow" w:cstheme="minorHAnsi"/>
                <w:bCs/>
                <w:color w:val="auto"/>
              </w:rPr>
            </w:pPr>
            <w:r w:rsidRPr="00922BC7">
              <w:rPr>
                <w:rFonts w:eastAsia="Arial Narrow" w:cstheme="minorHAnsi"/>
                <w:bCs/>
                <w:color w:val="auto"/>
              </w:rPr>
              <w:t>284.355</w:t>
            </w:r>
          </w:p>
        </w:tc>
        <w:tc>
          <w:tcPr>
            <w:tcW w:w="1530" w:type="dxa"/>
            <w:tcBorders>
              <w:top w:val="single" w:sz="4" w:space="0" w:color="000000"/>
              <w:left w:val="single" w:sz="4" w:space="0" w:color="000000"/>
              <w:bottom w:val="single" w:sz="8" w:space="0" w:color="F3CFC1"/>
              <w:right w:val="single" w:sz="4" w:space="0" w:color="000000"/>
            </w:tcBorders>
            <w:vAlign w:val="center"/>
          </w:tcPr>
          <w:p w14:paraId="58648942" w14:textId="2986AA3B" w:rsidR="4E193667" w:rsidRPr="00922BC7" w:rsidRDefault="4E193667" w:rsidP="00115ED9">
            <w:pPr>
              <w:jc w:val="center"/>
              <w:rPr>
                <w:rFonts w:eastAsia="Arial Narrow" w:cstheme="minorHAnsi"/>
                <w:bCs/>
                <w:color w:val="auto"/>
              </w:rPr>
            </w:pPr>
            <w:r w:rsidRPr="00922BC7">
              <w:rPr>
                <w:rFonts w:eastAsia="Arial Narrow" w:cstheme="minorHAnsi"/>
                <w:bCs/>
                <w:color w:val="auto"/>
              </w:rPr>
              <w:t>1.046.167</w:t>
            </w:r>
          </w:p>
        </w:tc>
        <w:tc>
          <w:tcPr>
            <w:tcW w:w="1590" w:type="dxa"/>
            <w:tcBorders>
              <w:top w:val="single" w:sz="4" w:space="0" w:color="000000"/>
              <w:left w:val="single" w:sz="4" w:space="0" w:color="000000"/>
              <w:bottom w:val="single" w:sz="8" w:space="0" w:color="F3CFC1"/>
              <w:right w:val="single" w:sz="4" w:space="0" w:color="000000"/>
            </w:tcBorders>
            <w:vAlign w:val="center"/>
          </w:tcPr>
          <w:p w14:paraId="02B00290" w14:textId="45B704A8" w:rsidR="4E193667" w:rsidRPr="00922BC7" w:rsidRDefault="4E193667" w:rsidP="00115ED9">
            <w:pPr>
              <w:jc w:val="center"/>
              <w:rPr>
                <w:rFonts w:eastAsia="Arial Narrow" w:cstheme="minorHAnsi"/>
                <w:bCs/>
                <w:color w:val="auto"/>
              </w:rPr>
            </w:pPr>
            <w:r w:rsidRPr="00922BC7">
              <w:rPr>
                <w:rFonts w:eastAsia="Arial Narrow" w:cstheme="minorHAnsi"/>
                <w:bCs/>
                <w:color w:val="auto"/>
              </w:rPr>
              <w:t>1.498.135</w:t>
            </w:r>
          </w:p>
        </w:tc>
        <w:tc>
          <w:tcPr>
            <w:tcW w:w="1575" w:type="dxa"/>
            <w:tcBorders>
              <w:top w:val="single" w:sz="4" w:space="0" w:color="000000"/>
              <w:left w:val="single" w:sz="4" w:space="0" w:color="000000"/>
              <w:bottom w:val="single" w:sz="8" w:space="0" w:color="F3CFC1"/>
              <w:right w:val="single" w:sz="4" w:space="0" w:color="000000"/>
            </w:tcBorders>
            <w:vAlign w:val="center"/>
          </w:tcPr>
          <w:p w14:paraId="5B5361BF" w14:textId="588C84CE" w:rsidR="4E193667" w:rsidRPr="00922BC7" w:rsidRDefault="4E193667" w:rsidP="00115ED9">
            <w:pPr>
              <w:jc w:val="center"/>
              <w:rPr>
                <w:rFonts w:eastAsia="Arial Narrow" w:cstheme="minorHAnsi"/>
                <w:bCs/>
                <w:color w:val="auto"/>
              </w:rPr>
            </w:pPr>
            <w:r w:rsidRPr="00922BC7">
              <w:rPr>
                <w:rFonts w:eastAsia="Arial Narrow" w:cstheme="minorHAnsi"/>
                <w:bCs/>
                <w:color w:val="auto"/>
              </w:rPr>
              <w:t>1.373.341</w:t>
            </w:r>
          </w:p>
        </w:tc>
        <w:tc>
          <w:tcPr>
            <w:tcW w:w="1740" w:type="dxa"/>
            <w:tcBorders>
              <w:top w:val="single" w:sz="4" w:space="0" w:color="000000"/>
              <w:left w:val="single" w:sz="4" w:space="0" w:color="000000"/>
              <w:bottom w:val="single" w:sz="8" w:space="0" w:color="F3CFC1"/>
              <w:right w:val="single" w:sz="4" w:space="0" w:color="000000"/>
            </w:tcBorders>
            <w:vAlign w:val="center"/>
          </w:tcPr>
          <w:p w14:paraId="44F4EBF5" w14:textId="528CF8B2" w:rsidR="4E193667" w:rsidRPr="00922BC7" w:rsidRDefault="4E193667" w:rsidP="00115ED9">
            <w:pPr>
              <w:jc w:val="center"/>
              <w:rPr>
                <w:rFonts w:eastAsia="Arial Narrow" w:cstheme="minorHAnsi"/>
                <w:bCs/>
                <w:color w:val="auto"/>
              </w:rPr>
            </w:pPr>
            <w:r w:rsidRPr="00922BC7">
              <w:rPr>
                <w:rFonts w:eastAsia="Arial Narrow" w:cstheme="minorHAnsi"/>
                <w:bCs/>
                <w:color w:val="auto"/>
              </w:rPr>
              <w:t>4.201.999</w:t>
            </w:r>
          </w:p>
        </w:tc>
      </w:tr>
      <w:tr w:rsidR="4E193667" w14:paraId="327CC5F0" w14:textId="77777777" w:rsidTr="00115ED9">
        <w:trPr>
          <w:trHeight w:val="285"/>
        </w:trPr>
        <w:tc>
          <w:tcPr>
            <w:tcW w:w="1410" w:type="dxa"/>
            <w:tcBorders>
              <w:top w:val="single" w:sz="8" w:space="0" w:color="FFFFFF" w:themeColor="background1"/>
              <w:left w:val="single" w:sz="4" w:space="0" w:color="000000"/>
              <w:bottom w:val="single" w:sz="8" w:space="0" w:color="EC8E92" w:themeColor="accent6"/>
              <w:right w:val="single" w:sz="8" w:space="0" w:color="FFFFFF" w:themeColor="background1"/>
            </w:tcBorders>
            <w:shd w:val="clear" w:color="auto" w:fill="D2232A" w:themeFill="accent1"/>
            <w:vAlign w:val="center"/>
          </w:tcPr>
          <w:p w14:paraId="19E8ADD8" w14:textId="3A0B61D1" w:rsidR="4E193667" w:rsidRPr="00115ED9" w:rsidRDefault="4E193667" w:rsidP="00115ED9">
            <w:pPr>
              <w:jc w:val="center"/>
              <w:rPr>
                <w:rFonts w:eastAsia="Arial Narrow" w:cstheme="minorHAnsi"/>
                <w:b/>
                <w:color w:val="FFFFFF"/>
              </w:rPr>
            </w:pPr>
            <w:r w:rsidRPr="00115ED9">
              <w:rPr>
                <w:rFonts w:eastAsia="Arial Narrow" w:cstheme="minorHAnsi"/>
                <w:b/>
                <w:color w:val="FFFFFF"/>
              </w:rPr>
              <w:t xml:space="preserve">2019. </w:t>
            </w:r>
          </w:p>
        </w:tc>
        <w:tc>
          <w:tcPr>
            <w:tcW w:w="1470" w:type="dxa"/>
            <w:tcBorders>
              <w:top w:val="single" w:sz="4" w:space="0" w:color="000000"/>
              <w:left w:val="single" w:sz="8" w:space="0" w:color="FFFFFF" w:themeColor="background1"/>
              <w:bottom w:val="single" w:sz="8" w:space="0" w:color="EC8E92" w:themeColor="accent6"/>
              <w:right w:val="single" w:sz="4" w:space="0" w:color="000000"/>
            </w:tcBorders>
            <w:vAlign w:val="center"/>
          </w:tcPr>
          <w:p w14:paraId="7187A6AA" w14:textId="4531D756" w:rsidR="4E193667" w:rsidRPr="00922BC7" w:rsidRDefault="4E193667" w:rsidP="00115ED9">
            <w:pPr>
              <w:jc w:val="center"/>
              <w:rPr>
                <w:rFonts w:eastAsia="Arial Narrow" w:cstheme="minorHAnsi"/>
                <w:bCs/>
                <w:color w:val="auto"/>
              </w:rPr>
            </w:pPr>
            <w:r w:rsidRPr="00922BC7">
              <w:rPr>
                <w:rFonts w:eastAsia="Arial Narrow" w:cstheme="minorHAnsi"/>
                <w:bCs/>
                <w:color w:val="auto"/>
              </w:rPr>
              <w:t>184.398</w:t>
            </w:r>
          </w:p>
        </w:tc>
        <w:tc>
          <w:tcPr>
            <w:tcW w:w="1530" w:type="dxa"/>
            <w:tcBorders>
              <w:top w:val="single" w:sz="4" w:space="0" w:color="000000"/>
              <w:left w:val="single" w:sz="4" w:space="0" w:color="000000"/>
              <w:bottom w:val="single" w:sz="8" w:space="0" w:color="EC8E92" w:themeColor="accent6"/>
              <w:right w:val="single" w:sz="4" w:space="0" w:color="000000"/>
            </w:tcBorders>
            <w:vAlign w:val="center"/>
          </w:tcPr>
          <w:p w14:paraId="7D673D7E" w14:textId="2F67CCA5" w:rsidR="4E193667" w:rsidRPr="00922BC7" w:rsidRDefault="4E193667" w:rsidP="00115ED9">
            <w:pPr>
              <w:jc w:val="center"/>
              <w:rPr>
                <w:rFonts w:eastAsia="Arial Narrow" w:cstheme="minorHAnsi"/>
                <w:bCs/>
                <w:color w:val="auto"/>
              </w:rPr>
            </w:pPr>
            <w:r w:rsidRPr="00922BC7">
              <w:rPr>
                <w:rFonts w:eastAsia="Arial Narrow" w:cstheme="minorHAnsi"/>
                <w:bCs/>
                <w:color w:val="auto"/>
              </w:rPr>
              <w:t>1.039.772</w:t>
            </w:r>
          </w:p>
        </w:tc>
        <w:tc>
          <w:tcPr>
            <w:tcW w:w="1590" w:type="dxa"/>
            <w:tcBorders>
              <w:top w:val="single" w:sz="4" w:space="0" w:color="000000"/>
              <w:left w:val="single" w:sz="4" w:space="0" w:color="000000"/>
              <w:bottom w:val="single" w:sz="8" w:space="0" w:color="EC8E92" w:themeColor="accent6"/>
              <w:right w:val="single" w:sz="4" w:space="0" w:color="000000"/>
            </w:tcBorders>
            <w:vAlign w:val="center"/>
          </w:tcPr>
          <w:p w14:paraId="552B10C5" w14:textId="47FD1633" w:rsidR="4E193667" w:rsidRPr="00922BC7" w:rsidRDefault="4E193667" w:rsidP="00115ED9">
            <w:pPr>
              <w:jc w:val="center"/>
              <w:rPr>
                <w:rFonts w:eastAsia="Arial Narrow" w:cstheme="minorHAnsi"/>
                <w:bCs/>
                <w:color w:val="auto"/>
              </w:rPr>
            </w:pPr>
            <w:r w:rsidRPr="00922BC7">
              <w:rPr>
                <w:rFonts w:eastAsia="Arial Narrow" w:cstheme="minorHAnsi"/>
                <w:bCs/>
                <w:color w:val="auto"/>
              </w:rPr>
              <w:t>1.505.130</w:t>
            </w:r>
          </w:p>
        </w:tc>
        <w:tc>
          <w:tcPr>
            <w:tcW w:w="1575" w:type="dxa"/>
            <w:tcBorders>
              <w:top w:val="single" w:sz="4" w:space="0" w:color="000000"/>
              <w:left w:val="single" w:sz="4" w:space="0" w:color="000000"/>
              <w:bottom w:val="single" w:sz="8" w:space="0" w:color="EC8E92" w:themeColor="accent6"/>
              <w:right w:val="single" w:sz="4" w:space="0" w:color="000000"/>
            </w:tcBorders>
            <w:vAlign w:val="center"/>
          </w:tcPr>
          <w:p w14:paraId="33852072" w14:textId="2AB08430" w:rsidR="4E193667" w:rsidRPr="00922BC7" w:rsidRDefault="4E193667" w:rsidP="00115ED9">
            <w:pPr>
              <w:jc w:val="center"/>
              <w:rPr>
                <w:rFonts w:eastAsia="Arial Narrow" w:cstheme="minorHAnsi"/>
                <w:bCs/>
                <w:color w:val="auto"/>
              </w:rPr>
            </w:pPr>
            <w:r w:rsidRPr="00922BC7">
              <w:rPr>
                <w:rFonts w:eastAsia="Arial Narrow" w:cstheme="minorHAnsi"/>
                <w:bCs/>
                <w:color w:val="auto"/>
              </w:rPr>
              <w:t>1.460.747</w:t>
            </w:r>
          </w:p>
        </w:tc>
        <w:tc>
          <w:tcPr>
            <w:tcW w:w="1740" w:type="dxa"/>
            <w:tcBorders>
              <w:top w:val="single" w:sz="4" w:space="0" w:color="000000"/>
              <w:left w:val="single" w:sz="4" w:space="0" w:color="000000"/>
              <w:bottom w:val="single" w:sz="8" w:space="0" w:color="EC8E92" w:themeColor="accent6"/>
              <w:right w:val="single" w:sz="4" w:space="0" w:color="000000"/>
            </w:tcBorders>
            <w:shd w:val="clear" w:color="auto" w:fill="FFFFFF" w:themeFill="background1"/>
            <w:vAlign w:val="center"/>
          </w:tcPr>
          <w:p w14:paraId="43B43157" w14:textId="09947C08" w:rsidR="4E193667" w:rsidRPr="00922BC7" w:rsidRDefault="4E193667" w:rsidP="00115ED9">
            <w:pPr>
              <w:jc w:val="center"/>
              <w:rPr>
                <w:rFonts w:eastAsia="Arial Narrow" w:cstheme="minorHAnsi"/>
                <w:bCs/>
                <w:color w:val="auto"/>
              </w:rPr>
            </w:pPr>
            <w:r w:rsidRPr="00922BC7">
              <w:rPr>
                <w:rFonts w:eastAsia="Arial Narrow" w:cstheme="minorHAnsi"/>
                <w:bCs/>
                <w:color w:val="auto"/>
              </w:rPr>
              <w:t>4.190.047</w:t>
            </w:r>
          </w:p>
        </w:tc>
      </w:tr>
    </w:tbl>
    <w:p w14:paraId="01D16307" w14:textId="4674F3F8"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FINA, 2019.</w:t>
      </w:r>
      <w:r w:rsidR="1A686CA4" w:rsidRPr="006207AF">
        <w:rPr>
          <w:rFonts w:eastAsia="ArialNarrow" w:cstheme="minorHAnsi"/>
          <w:i/>
          <w:color w:val="ABABAB" w:themeColor="text1" w:themeTint="A6"/>
          <w:sz w:val="16"/>
          <w:szCs w:val="16"/>
        </w:rPr>
        <w:t xml:space="preserve"> </w:t>
      </w:r>
      <w:r w:rsidR="2CF3F999" w:rsidRPr="006207AF">
        <w:rPr>
          <w:rFonts w:eastAsia="ArialNarrow" w:cstheme="minorHAnsi"/>
          <w:i/>
          <w:color w:val="ABABAB" w:themeColor="text1" w:themeTint="A6"/>
          <w:sz w:val="16"/>
          <w:szCs w:val="16"/>
        </w:rPr>
        <w:t xml:space="preserve">i </w:t>
      </w:r>
      <w:r w:rsidR="705B818B" w:rsidRPr="006207AF">
        <w:rPr>
          <w:rFonts w:eastAsia="ArialNarrow" w:cstheme="minorHAnsi"/>
          <w:i/>
          <w:color w:val="ABABAB" w:themeColor="text1" w:themeTint="A6"/>
          <w:sz w:val="16"/>
          <w:szCs w:val="16"/>
        </w:rPr>
        <w:t xml:space="preserve">2020. </w:t>
      </w:r>
      <w:r w:rsidRPr="006207AF">
        <w:rPr>
          <w:rFonts w:eastAsia="ArialNarrow" w:cstheme="minorHAnsi"/>
          <w:i/>
          <w:color w:val="ABABAB" w:themeColor="text1" w:themeTint="A6"/>
          <w:sz w:val="16"/>
          <w:szCs w:val="16"/>
        </w:rPr>
        <w:t>godine</w:t>
      </w:r>
    </w:p>
    <w:p w14:paraId="0FC03F9F" w14:textId="77777777" w:rsidR="00675AF7" w:rsidRDefault="00675AF7" w:rsidP="003C2276">
      <w:pPr>
        <w:pStyle w:val="Izvor"/>
        <w:rPr>
          <w:rFonts w:asciiTheme="minorHAnsi" w:hAnsiTheme="minorHAnsi"/>
        </w:rPr>
      </w:pPr>
    </w:p>
    <w:p w14:paraId="58D0AEA0" w14:textId="63BFBE5E" w:rsidR="008878A0" w:rsidRDefault="008878A0" w:rsidP="4E193667">
      <w:pPr>
        <w:rPr>
          <w:rFonts w:eastAsia="Arial Narrow"/>
        </w:rPr>
      </w:pPr>
      <w:r w:rsidRPr="4E193667">
        <w:rPr>
          <w:rFonts w:eastAsia="Arial Narrow"/>
        </w:rPr>
        <w:t xml:space="preserve">Gledano prema veličini poduzeća, najveći izvoznici su velika poduzeća, </w:t>
      </w:r>
      <w:r w:rsidR="045C2801" w:rsidRPr="4E193667">
        <w:rPr>
          <w:rFonts w:eastAsia="Arial Narrow"/>
        </w:rPr>
        <w:t>no</w:t>
      </w:r>
      <w:r w:rsidRPr="4E193667">
        <w:rPr>
          <w:rFonts w:eastAsia="Arial Narrow"/>
        </w:rPr>
        <w:t xml:space="preserve"> 2018.</w:t>
      </w:r>
      <w:r w:rsidR="69FAF14E" w:rsidRPr="4E193667">
        <w:rPr>
          <w:rFonts w:eastAsia="Arial Narrow"/>
        </w:rPr>
        <w:t xml:space="preserve"> </w:t>
      </w:r>
      <w:r w:rsidR="00B90B63">
        <w:rPr>
          <w:rFonts w:eastAsia="Arial Narrow"/>
        </w:rPr>
        <w:t xml:space="preserve">i </w:t>
      </w:r>
      <w:r w:rsidR="69FAF14E" w:rsidRPr="4E193667">
        <w:rPr>
          <w:rFonts w:eastAsia="Arial Narrow"/>
        </w:rPr>
        <w:t xml:space="preserve">2019. </w:t>
      </w:r>
      <w:r w:rsidRPr="4E193667">
        <w:rPr>
          <w:rFonts w:eastAsia="Arial Narrow"/>
        </w:rPr>
        <w:t>godin</w:t>
      </w:r>
      <w:r w:rsidR="5EF9558A" w:rsidRPr="4E193667">
        <w:rPr>
          <w:rFonts w:eastAsia="Arial Narrow"/>
        </w:rPr>
        <w:t xml:space="preserve">e </w:t>
      </w:r>
      <w:r w:rsidRPr="4E193667">
        <w:rPr>
          <w:rFonts w:eastAsia="Arial Narrow"/>
        </w:rPr>
        <w:t xml:space="preserve">je vrijednost izvoza </w:t>
      </w:r>
      <w:r w:rsidR="2E18484F" w:rsidRPr="4E193667">
        <w:rPr>
          <w:rFonts w:eastAsia="Arial Narrow"/>
        </w:rPr>
        <w:t xml:space="preserve">bila viša </w:t>
      </w:r>
      <w:r w:rsidRPr="4E193667">
        <w:rPr>
          <w:rFonts w:eastAsia="Arial Narrow"/>
        </w:rPr>
        <w:t>kod srednje velikih poduzeća. Zna</w:t>
      </w:r>
      <w:r w:rsidRPr="4E193667">
        <w:rPr>
          <w:rFonts w:eastAsia="Arial Narrow"/>
          <w:spacing w:val="1"/>
        </w:rPr>
        <w:t>č</w:t>
      </w:r>
      <w:r w:rsidRPr="4E193667">
        <w:rPr>
          <w:rFonts w:eastAsia="Arial Narrow"/>
        </w:rPr>
        <w:t>a</w:t>
      </w:r>
      <w:r w:rsidRPr="4E193667">
        <w:rPr>
          <w:rFonts w:eastAsia="Arial Narrow"/>
          <w:spacing w:val="1"/>
        </w:rPr>
        <w:t>j</w:t>
      </w:r>
      <w:r w:rsidRPr="4E193667">
        <w:rPr>
          <w:rFonts w:eastAsia="Arial Narrow"/>
          <w:spacing w:val="-2"/>
        </w:rPr>
        <w:t>n</w:t>
      </w:r>
      <w:r w:rsidRPr="4E193667">
        <w:rPr>
          <w:rFonts w:eastAsia="Arial Narrow"/>
          <w:spacing w:val="1"/>
        </w:rPr>
        <w:t>ij</w:t>
      </w:r>
      <w:r w:rsidRPr="4E193667">
        <w:rPr>
          <w:rFonts w:eastAsia="Arial Narrow"/>
          <w:spacing w:val="-2"/>
        </w:rPr>
        <w:t>i</w:t>
      </w:r>
      <w:r w:rsidRPr="4E193667">
        <w:rPr>
          <w:rFonts w:eastAsia="Arial Narrow"/>
        </w:rPr>
        <w:t>h</w:t>
      </w:r>
      <w:r w:rsidRPr="4E193667">
        <w:rPr>
          <w:rFonts w:eastAsia="Arial Narrow"/>
          <w:spacing w:val="2"/>
        </w:rPr>
        <w:t xml:space="preserve"> </w:t>
      </w:r>
      <w:r w:rsidRPr="4E193667">
        <w:rPr>
          <w:rFonts w:eastAsia="Arial Narrow"/>
        </w:rPr>
        <w:t>pro</w:t>
      </w:r>
      <w:r w:rsidRPr="4E193667">
        <w:rPr>
          <w:rFonts w:eastAsia="Arial Narrow"/>
          <w:spacing w:val="-2"/>
        </w:rPr>
        <w:t>m</w:t>
      </w:r>
      <w:r w:rsidRPr="4E193667">
        <w:rPr>
          <w:rFonts w:eastAsia="Arial Narrow"/>
          <w:spacing w:val="1"/>
        </w:rPr>
        <w:t>j</w:t>
      </w:r>
      <w:r w:rsidRPr="4E193667">
        <w:rPr>
          <w:rFonts w:eastAsia="Arial Narrow"/>
        </w:rPr>
        <w:t xml:space="preserve">ena u </w:t>
      </w:r>
      <w:r w:rsidRPr="4E193667">
        <w:rPr>
          <w:rFonts w:eastAsia="Arial Narrow"/>
          <w:spacing w:val="1"/>
        </w:rPr>
        <w:t>z</w:t>
      </w:r>
      <w:r w:rsidRPr="4E193667">
        <w:rPr>
          <w:rFonts w:eastAsia="Arial Narrow"/>
        </w:rPr>
        <w:t>em</w:t>
      </w:r>
      <w:r w:rsidRPr="4E193667">
        <w:rPr>
          <w:rFonts w:eastAsia="Arial Narrow"/>
          <w:spacing w:val="-2"/>
        </w:rPr>
        <w:t>l</w:t>
      </w:r>
      <w:r w:rsidRPr="4E193667">
        <w:rPr>
          <w:rFonts w:eastAsia="Arial Narrow"/>
          <w:spacing w:val="1"/>
        </w:rPr>
        <w:t>j</w:t>
      </w:r>
      <w:r w:rsidRPr="4E193667">
        <w:rPr>
          <w:rFonts w:eastAsia="Arial Narrow"/>
        </w:rPr>
        <w:t>ama pr</w:t>
      </w:r>
      <w:r w:rsidRPr="4E193667">
        <w:rPr>
          <w:rFonts w:eastAsia="Arial Narrow"/>
          <w:spacing w:val="-2"/>
        </w:rPr>
        <w:t>e</w:t>
      </w:r>
      <w:r w:rsidRPr="4E193667">
        <w:rPr>
          <w:rFonts w:eastAsia="Arial Narrow"/>
        </w:rPr>
        <w:t xml:space="preserve">ma </w:t>
      </w:r>
      <w:r w:rsidRPr="4E193667">
        <w:rPr>
          <w:rFonts w:eastAsia="Arial Narrow"/>
          <w:spacing w:val="1"/>
        </w:rPr>
        <w:t>k</w:t>
      </w:r>
      <w:r w:rsidRPr="4E193667">
        <w:rPr>
          <w:rFonts w:eastAsia="Arial Narrow"/>
        </w:rPr>
        <w:t>o</w:t>
      </w:r>
      <w:r w:rsidRPr="4E193667">
        <w:rPr>
          <w:rFonts w:eastAsia="Arial Narrow"/>
          <w:spacing w:val="-2"/>
        </w:rPr>
        <w:t>j</w:t>
      </w:r>
      <w:r w:rsidRPr="4E193667">
        <w:rPr>
          <w:rFonts w:eastAsia="Arial Narrow"/>
          <w:spacing w:val="1"/>
        </w:rPr>
        <w:t>i</w:t>
      </w:r>
      <w:r w:rsidRPr="4E193667">
        <w:rPr>
          <w:rFonts w:eastAsia="Arial Narrow"/>
        </w:rPr>
        <w:t xml:space="preserve">ma </w:t>
      </w:r>
      <w:r w:rsidRPr="4E193667">
        <w:rPr>
          <w:rFonts w:eastAsia="Arial Narrow"/>
          <w:spacing w:val="1"/>
        </w:rPr>
        <w:t>j</w:t>
      </w:r>
      <w:r w:rsidRPr="4E193667">
        <w:rPr>
          <w:rFonts w:eastAsia="Arial Narrow"/>
        </w:rPr>
        <w:t xml:space="preserve">e </w:t>
      </w:r>
      <w:r w:rsidRPr="4E193667">
        <w:rPr>
          <w:rFonts w:eastAsia="Arial Narrow"/>
          <w:spacing w:val="-2"/>
        </w:rPr>
        <w:t>u</w:t>
      </w:r>
      <w:r w:rsidRPr="4E193667">
        <w:rPr>
          <w:rFonts w:eastAsia="Arial Narrow"/>
          <w:spacing w:val="1"/>
        </w:rPr>
        <w:t>s</w:t>
      </w:r>
      <w:r w:rsidRPr="4E193667">
        <w:rPr>
          <w:rFonts w:eastAsia="Arial Narrow"/>
        </w:rPr>
        <w:t>m</w:t>
      </w:r>
      <w:r w:rsidRPr="4E193667">
        <w:rPr>
          <w:rFonts w:eastAsia="Arial Narrow"/>
          <w:spacing w:val="1"/>
        </w:rPr>
        <w:t>j</w:t>
      </w:r>
      <w:r w:rsidRPr="4E193667">
        <w:rPr>
          <w:rFonts w:eastAsia="Arial Narrow"/>
        </w:rPr>
        <w:t>er</w:t>
      </w:r>
      <w:r w:rsidRPr="4E193667">
        <w:rPr>
          <w:rFonts w:eastAsia="Arial Narrow"/>
          <w:spacing w:val="-2"/>
        </w:rPr>
        <w:t>e</w:t>
      </w:r>
      <w:r w:rsidRPr="4E193667">
        <w:rPr>
          <w:rFonts w:eastAsia="Arial Narrow"/>
        </w:rPr>
        <w:t xml:space="preserve">n </w:t>
      </w:r>
      <w:r w:rsidRPr="4E193667">
        <w:rPr>
          <w:rFonts w:eastAsia="Arial Narrow"/>
          <w:spacing w:val="1"/>
        </w:rPr>
        <w:t>iz</w:t>
      </w:r>
      <w:r w:rsidRPr="4E193667">
        <w:rPr>
          <w:rFonts w:eastAsia="Arial Narrow"/>
          <w:spacing w:val="-2"/>
        </w:rPr>
        <w:t>v</w:t>
      </w:r>
      <w:r w:rsidRPr="4E193667">
        <w:rPr>
          <w:rFonts w:eastAsia="Arial Narrow"/>
        </w:rPr>
        <w:t>o</w:t>
      </w:r>
      <w:r w:rsidRPr="4E193667">
        <w:rPr>
          <w:rFonts w:eastAsia="Arial Narrow"/>
          <w:spacing w:val="1"/>
        </w:rPr>
        <w:t>z nema</w:t>
      </w:r>
      <w:r w:rsidRPr="4E193667">
        <w:rPr>
          <w:rFonts w:eastAsia="Arial Narrow"/>
        </w:rPr>
        <w:t xml:space="preserve">. </w:t>
      </w:r>
      <w:r w:rsidR="06B709AA" w:rsidRPr="4E193667">
        <w:rPr>
          <w:rFonts w:eastAsia="Arial Narrow"/>
        </w:rPr>
        <w:t>Prema podacima iz 201</w:t>
      </w:r>
      <w:r w:rsidR="008276CA">
        <w:rPr>
          <w:rFonts w:eastAsia="Arial Narrow"/>
        </w:rPr>
        <w:t>9</w:t>
      </w:r>
      <w:r w:rsidR="06B709AA" w:rsidRPr="4E193667">
        <w:rPr>
          <w:rFonts w:eastAsia="Arial Narrow"/>
        </w:rPr>
        <w:t xml:space="preserve">., </w:t>
      </w:r>
      <w:r w:rsidR="42EC84B2" w:rsidRPr="4E193667">
        <w:rPr>
          <w:rFonts w:eastAsia="Arial Narrow"/>
        </w:rPr>
        <w:t>n</w:t>
      </w:r>
      <w:r w:rsidRPr="4E193667">
        <w:rPr>
          <w:rFonts w:eastAsia="Arial Narrow"/>
        </w:rPr>
        <w:t xml:space="preserve">ajviše </w:t>
      </w:r>
      <w:r w:rsidR="000F4955" w:rsidRPr="4E193667">
        <w:rPr>
          <w:rFonts w:eastAsia="Arial Narrow"/>
        </w:rPr>
        <w:t xml:space="preserve">se i dalje </w:t>
      </w:r>
      <w:r w:rsidRPr="4E193667">
        <w:rPr>
          <w:rFonts w:eastAsia="Arial Narrow"/>
        </w:rPr>
        <w:t xml:space="preserve">izvozi </w:t>
      </w:r>
      <w:r w:rsidR="000F4955" w:rsidRPr="4E193667">
        <w:rPr>
          <w:rFonts w:eastAsia="Arial Narrow"/>
        </w:rPr>
        <w:t xml:space="preserve">u </w:t>
      </w:r>
      <w:r w:rsidRPr="4E193667">
        <w:rPr>
          <w:rFonts w:eastAsia="Arial Narrow"/>
        </w:rPr>
        <w:t>Slovenij</w:t>
      </w:r>
      <w:r w:rsidR="000F4955" w:rsidRPr="4E193667">
        <w:rPr>
          <w:rFonts w:eastAsia="Arial Narrow"/>
        </w:rPr>
        <w:t>u</w:t>
      </w:r>
      <w:r w:rsidRPr="4E193667">
        <w:rPr>
          <w:rFonts w:eastAsia="Arial Narrow"/>
        </w:rPr>
        <w:t>, Njemačk</w:t>
      </w:r>
      <w:r w:rsidR="000F4955" w:rsidRPr="4E193667">
        <w:rPr>
          <w:rFonts w:eastAsia="Arial Narrow"/>
        </w:rPr>
        <w:t>u</w:t>
      </w:r>
      <w:r w:rsidRPr="4E193667">
        <w:rPr>
          <w:rFonts w:eastAsia="Arial Narrow"/>
        </w:rPr>
        <w:t>, Italij</w:t>
      </w:r>
      <w:r w:rsidR="000F4955" w:rsidRPr="4E193667">
        <w:rPr>
          <w:rFonts w:eastAsia="Arial Narrow"/>
        </w:rPr>
        <w:t>u</w:t>
      </w:r>
      <w:r w:rsidRPr="4E193667">
        <w:rPr>
          <w:rFonts w:eastAsia="Arial Narrow"/>
        </w:rPr>
        <w:t>, Austrij</w:t>
      </w:r>
      <w:r w:rsidR="000F4955" w:rsidRPr="4E193667">
        <w:rPr>
          <w:rFonts w:eastAsia="Arial Narrow"/>
        </w:rPr>
        <w:t>u</w:t>
      </w:r>
      <w:r w:rsidR="0015329C">
        <w:rPr>
          <w:rFonts w:eastAsia="Arial Narrow"/>
        </w:rPr>
        <w:t>, Srbiju i BIH</w:t>
      </w:r>
      <w:r w:rsidRPr="4E193667">
        <w:rPr>
          <w:rFonts w:eastAsia="Arial Narrow"/>
        </w:rPr>
        <w:t xml:space="preserve">. </w:t>
      </w:r>
      <w:r w:rsidR="008276CA">
        <w:rPr>
          <w:rFonts w:eastAsia="Arial Narrow"/>
        </w:rPr>
        <w:t xml:space="preserve">Kao novi partner u izvozu u 2020. godini javlja se Turska (1,3 %). </w:t>
      </w:r>
    </w:p>
    <w:p w14:paraId="74F76528" w14:textId="77777777" w:rsidR="00887C0A" w:rsidRDefault="00887C0A" w:rsidP="4E193667">
      <w:pPr>
        <w:rPr>
          <w:rFonts w:eastAsia="Arial Narrow"/>
        </w:rPr>
      </w:pPr>
    </w:p>
    <w:p w14:paraId="35CEA792" w14:textId="10C811C6" w:rsidR="00FF0A6F" w:rsidRDefault="00887C0A" w:rsidP="00887C0A">
      <w:pPr>
        <w:pStyle w:val="Opisslike"/>
      </w:pPr>
      <w:r>
        <w:t xml:space="preserve">Grafikon </w:t>
      </w:r>
      <w:r w:rsidR="006207AF">
        <w:rPr>
          <w:noProof/>
        </w:rPr>
        <w:t>4</w:t>
      </w:r>
      <w:r w:rsidR="00CF4B96">
        <w:rPr>
          <w:noProof/>
        </w:rPr>
        <w:t>6</w:t>
      </w:r>
      <w:r>
        <w:rPr>
          <w:noProof/>
        </w:rPr>
        <w:t>.</w:t>
      </w:r>
      <w:r>
        <w:t xml:space="preserve"> Najznačajniji vanjskotrgovinski partneri u izvozu, 2010. – 20</w:t>
      </w:r>
      <w:r w:rsidR="008276CA">
        <w:t>20</w:t>
      </w:r>
      <w:r>
        <w:t>. godina.</w:t>
      </w:r>
    </w:p>
    <w:p w14:paraId="542B07B6" w14:textId="2CF843DD" w:rsidR="00AA4753" w:rsidRPr="00AA4753" w:rsidRDefault="00AA4753" w:rsidP="00AA4753">
      <w:r>
        <w:rPr>
          <w:noProof/>
        </w:rPr>
        <w:drawing>
          <wp:inline distT="0" distB="0" distL="0" distR="0" wp14:anchorId="22498D40" wp14:editId="6B19EA63">
            <wp:extent cx="5945767" cy="3596929"/>
            <wp:effectExtent l="0" t="0" r="17145" b="3810"/>
            <wp:docPr id="16" name="Grafikon 16">
              <a:extLst xmlns:a="http://schemas.openxmlformats.org/drawingml/2006/main">
                <a:ext uri="{FF2B5EF4-FFF2-40B4-BE49-F238E27FC236}">
                  <a16:creationId xmlns:a16="http://schemas.microsoft.com/office/drawing/2014/main" id="{5BAEB6E6-AE95-443A-8787-5F16E26454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40DDBF3E" w14:textId="151C2B33" w:rsidR="00776F63" w:rsidRDefault="00776F63"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HGK ŽK Krapina 2010. – 20</w:t>
      </w:r>
      <w:r w:rsidR="00AA4753">
        <w:rPr>
          <w:rFonts w:eastAsia="ArialNarrow" w:cstheme="minorHAnsi"/>
          <w:i/>
          <w:color w:val="ABABAB" w:themeColor="text1" w:themeTint="A6"/>
          <w:sz w:val="16"/>
          <w:szCs w:val="16"/>
        </w:rPr>
        <w:t>20</w:t>
      </w:r>
      <w:r w:rsidRPr="006207AF">
        <w:rPr>
          <w:rFonts w:eastAsia="ArialNarrow" w:cstheme="minorHAnsi"/>
          <w:i/>
          <w:color w:val="ABABAB" w:themeColor="text1" w:themeTint="A6"/>
          <w:sz w:val="16"/>
          <w:szCs w:val="16"/>
        </w:rPr>
        <w:t>. godina, obrada autora</w:t>
      </w:r>
      <w:r w:rsidR="00AA4753">
        <w:rPr>
          <w:rFonts w:eastAsia="ArialNarrow" w:cstheme="minorHAnsi"/>
          <w:i/>
          <w:color w:val="ABABAB" w:themeColor="text1" w:themeTint="A6"/>
          <w:sz w:val="16"/>
          <w:szCs w:val="16"/>
        </w:rPr>
        <w:t xml:space="preserve"> 2021</w:t>
      </w:r>
    </w:p>
    <w:p w14:paraId="74B201B7" w14:textId="38632D3A" w:rsidR="00AA4753" w:rsidRPr="006207AF" w:rsidRDefault="00AA4753" w:rsidP="006207AF">
      <w:pPr>
        <w:autoSpaceDE w:val="0"/>
        <w:autoSpaceDN w:val="0"/>
        <w:adjustRightInd w:val="0"/>
        <w:spacing w:after="0" w:line="240" w:lineRule="auto"/>
        <w:rPr>
          <w:rFonts w:eastAsia="ArialNarrow" w:cstheme="minorHAnsi"/>
          <w:i/>
          <w:color w:val="ABABAB" w:themeColor="text1" w:themeTint="A6"/>
          <w:sz w:val="16"/>
          <w:szCs w:val="16"/>
        </w:rPr>
      </w:pPr>
      <w:r>
        <w:rPr>
          <w:rFonts w:eastAsia="ArialNarrow" w:cstheme="minorHAnsi"/>
          <w:i/>
          <w:color w:val="ABABAB" w:themeColor="text1" w:themeTint="A6"/>
          <w:sz w:val="16"/>
          <w:szCs w:val="16"/>
        </w:rPr>
        <w:t>*</w:t>
      </w:r>
      <w:r w:rsidRPr="00AA4753">
        <w:rPr>
          <w:rFonts w:eastAsia="ArialNarrow" w:cstheme="minorHAnsi"/>
          <w:i/>
          <w:color w:val="ABABAB" w:themeColor="text1" w:themeTint="A6"/>
          <w:sz w:val="16"/>
          <w:szCs w:val="16"/>
        </w:rPr>
        <w:t>prema Statističkom poslovnom registru na dan 1.ožujka 2021.</w:t>
      </w:r>
    </w:p>
    <w:p w14:paraId="6407B677" w14:textId="77777777" w:rsidR="00776F63" w:rsidRPr="0026498F" w:rsidRDefault="00776F63" w:rsidP="00941871">
      <w:pPr>
        <w:rPr>
          <w:rFonts w:eastAsia="Arial Narrow" w:cstheme="minorHAnsi"/>
        </w:rPr>
      </w:pPr>
    </w:p>
    <w:p w14:paraId="606DF4CB" w14:textId="19577ACF" w:rsidR="00776F63" w:rsidRDefault="0026498F" w:rsidP="008074F2">
      <w:pPr>
        <w:spacing w:after="0"/>
        <w:rPr>
          <w:rFonts w:eastAsia="Arial Narrow"/>
        </w:rPr>
      </w:pPr>
      <w:r w:rsidRPr="4E193667">
        <w:rPr>
          <w:rFonts w:eastAsia="Arial Narrow"/>
        </w:rPr>
        <w:t>Najznačajnije izvozne djelatnosti u Krapinsko-zagorskoj županiji su C - p</w:t>
      </w:r>
      <w:r w:rsidR="005B4ED7" w:rsidRPr="4E193667">
        <w:rPr>
          <w:rFonts w:eastAsia="Arial Narrow"/>
        </w:rPr>
        <w:t>rerađivačka industrija s</w:t>
      </w:r>
      <w:r w:rsidRPr="4E193667">
        <w:rPr>
          <w:rFonts w:eastAsia="Arial Narrow"/>
        </w:rPr>
        <w:t xml:space="preserve"> 7</w:t>
      </w:r>
      <w:r w:rsidR="51FE826C" w:rsidRPr="4E193667">
        <w:rPr>
          <w:rFonts w:eastAsia="Arial Narrow"/>
        </w:rPr>
        <w:t>7</w:t>
      </w:r>
      <w:r w:rsidRPr="4E193667">
        <w:rPr>
          <w:rFonts w:eastAsia="Arial Narrow"/>
        </w:rPr>
        <w:t>,</w:t>
      </w:r>
      <w:r w:rsidR="3AC02FBF" w:rsidRPr="4E193667">
        <w:rPr>
          <w:rFonts w:eastAsia="Arial Narrow"/>
        </w:rPr>
        <w:t>2</w:t>
      </w:r>
      <w:r w:rsidR="13EFCE5F" w:rsidRPr="4E193667">
        <w:rPr>
          <w:rFonts w:eastAsia="Arial Narrow"/>
        </w:rPr>
        <w:t>1</w:t>
      </w:r>
      <w:r w:rsidRPr="4E193667">
        <w:rPr>
          <w:rFonts w:eastAsia="Arial Narrow"/>
        </w:rPr>
        <w:t xml:space="preserve">%, H - </w:t>
      </w:r>
      <w:r w:rsidR="005B4ED7" w:rsidRPr="4E193667">
        <w:rPr>
          <w:rFonts w:eastAsia="Arial Narrow"/>
        </w:rPr>
        <w:t>Prijevoz i skladištenje s</w:t>
      </w:r>
      <w:r w:rsidRPr="4E193667">
        <w:rPr>
          <w:rFonts w:eastAsia="Arial Narrow"/>
        </w:rPr>
        <w:t xml:space="preserve"> 9,</w:t>
      </w:r>
      <w:r w:rsidR="4FFF3E53" w:rsidRPr="4E193667">
        <w:rPr>
          <w:rFonts w:eastAsia="Arial Narrow"/>
        </w:rPr>
        <w:t>4</w:t>
      </w:r>
      <w:r w:rsidR="47C7297D" w:rsidRPr="4E193667">
        <w:rPr>
          <w:rFonts w:eastAsia="Arial Narrow"/>
        </w:rPr>
        <w:t>0</w:t>
      </w:r>
      <w:r w:rsidRPr="4E193667">
        <w:rPr>
          <w:rFonts w:eastAsia="Arial Narrow"/>
        </w:rPr>
        <w:t xml:space="preserve">%, G - </w:t>
      </w:r>
      <w:r w:rsidR="005B4ED7" w:rsidRPr="4E193667">
        <w:rPr>
          <w:rFonts w:eastAsia="Arial Narrow"/>
        </w:rPr>
        <w:t>Trgovina na veliko i malo s</w:t>
      </w:r>
      <w:r w:rsidRPr="4E193667">
        <w:rPr>
          <w:rFonts w:eastAsia="Arial Narrow"/>
        </w:rPr>
        <w:t xml:space="preserve"> </w:t>
      </w:r>
      <w:r w:rsidR="1E00F44E" w:rsidRPr="4E193667">
        <w:rPr>
          <w:rFonts w:eastAsia="Arial Narrow"/>
        </w:rPr>
        <w:t>5,6</w:t>
      </w:r>
      <w:r w:rsidR="644F128E" w:rsidRPr="4E193667">
        <w:rPr>
          <w:rFonts w:eastAsia="Arial Narrow"/>
        </w:rPr>
        <w:t>3</w:t>
      </w:r>
      <w:r w:rsidRPr="4E193667">
        <w:rPr>
          <w:rFonts w:eastAsia="Arial Narrow"/>
        </w:rPr>
        <w:t xml:space="preserve">% te E - </w:t>
      </w:r>
      <w:r w:rsidR="005B4ED7" w:rsidRPr="4E193667">
        <w:rPr>
          <w:rFonts w:eastAsia="Arial Narrow"/>
        </w:rPr>
        <w:t>Opskrba vodom s</w:t>
      </w:r>
      <w:r w:rsidRPr="4E193667">
        <w:rPr>
          <w:rFonts w:eastAsia="Arial Narrow"/>
        </w:rPr>
        <w:t xml:space="preserve"> </w:t>
      </w:r>
      <w:r w:rsidR="7B4D81BD" w:rsidRPr="4E193667">
        <w:rPr>
          <w:rFonts w:eastAsia="Arial Narrow"/>
        </w:rPr>
        <w:t>5,63</w:t>
      </w:r>
      <w:r w:rsidRPr="4E193667">
        <w:rPr>
          <w:rFonts w:eastAsia="Arial Narrow"/>
        </w:rPr>
        <w:t xml:space="preserve"> % ukupnog županijskog izvoza. Navedene četiri djelatnosti zajedno ostvaruju 96,</w:t>
      </w:r>
      <w:r w:rsidR="70D596A7" w:rsidRPr="4E193667">
        <w:rPr>
          <w:rFonts w:eastAsia="Arial Narrow"/>
        </w:rPr>
        <w:t>57</w:t>
      </w:r>
      <w:r w:rsidRPr="4E193667">
        <w:rPr>
          <w:rFonts w:eastAsia="Arial Narrow"/>
        </w:rPr>
        <w:t>% ukupnog županijskog izvoza.</w:t>
      </w:r>
      <w:r w:rsidR="00776F63" w:rsidRPr="4E193667">
        <w:rPr>
          <w:rFonts w:eastAsia="Arial Narrow"/>
        </w:rPr>
        <w:t xml:space="preserve"> Gledano pojedinačno, na razini pod</w:t>
      </w:r>
      <w:r w:rsidR="007F61F3" w:rsidRPr="4E193667">
        <w:rPr>
          <w:rFonts w:eastAsia="Arial Narrow"/>
        </w:rPr>
        <w:t>d</w:t>
      </w:r>
      <w:r w:rsidR="00776F63" w:rsidRPr="4E193667">
        <w:rPr>
          <w:rFonts w:eastAsia="Arial Narrow"/>
        </w:rPr>
        <w:t>jelatnosti</w:t>
      </w:r>
      <w:r w:rsidR="00776F63" w:rsidRPr="4E193667">
        <w:rPr>
          <w:rFonts w:ascii="Arial" w:hAnsi="Arial" w:cs="Arial"/>
        </w:rPr>
        <w:t xml:space="preserve"> </w:t>
      </w:r>
      <w:r w:rsidR="00776F63" w:rsidRPr="4E193667">
        <w:rPr>
          <w:rFonts w:eastAsia="Arial Narrow"/>
        </w:rPr>
        <w:t xml:space="preserve">značajniji </w:t>
      </w:r>
      <w:r w:rsidR="000F4955" w:rsidRPr="4E193667">
        <w:rPr>
          <w:rFonts w:eastAsia="Arial Narrow"/>
        </w:rPr>
        <w:t xml:space="preserve">izvoznici </w:t>
      </w:r>
      <w:r w:rsidR="41CB181E" w:rsidRPr="4E193667">
        <w:rPr>
          <w:rFonts w:eastAsia="Arial Narrow"/>
        </w:rPr>
        <w:t xml:space="preserve">(za 2018.) </w:t>
      </w:r>
      <w:r w:rsidR="000F4955" w:rsidRPr="4E193667">
        <w:rPr>
          <w:rFonts w:eastAsia="Arial Narrow"/>
        </w:rPr>
        <w:t xml:space="preserve">su </w:t>
      </w:r>
      <w:r w:rsidR="00776F63" w:rsidRPr="4E193667">
        <w:rPr>
          <w:rFonts w:eastAsia="Arial Narrow"/>
        </w:rPr>
        <w:t xml:space="preserve">poddjelatnosti prerađivačke industrije: proizvodnja šupljeg stakla </w:t>
      </w:r>
      <w:r w:rsidR="005B4ED7" w:rsidRPr="4E193667">
        <w:rPr>
          <w:rFonts w:eastAsia="Arial Narrow"/>
        </w:rPr>
        <w:t xml:space="preserve">s </w:t>
      </w:r>
      <w:r w:rsidR="00776F63" w:rsidRPr="4E193667">
        <w:rPr>
          <w:rFonts w:eastAsia="Arial Narrow"/>
        </w:rPr>
        <w:t xml:space="preserve">14,81%, proizvodnja alata </w:t>
      </w:r>
      <w:r w:rsidR="005B4ED7" w:rsidRPr="4E193667">
        <w:rPr>
          <w:rFonts w:eastAsia="Arial Narrow"/>
        </w:rPr>
        <w:t>s</w:t>
      </w:r>
      <w:r w:rsidR="00776F63" w:rsidRPr="4E193667">
        <w:rPr>
          <w:rFonts w:eastAsia="Arial Narrow"/>
        </w:rPr>
        <w:t xml:space="preserve"> 12,45%, priprema i predenje tekstilnih vlakana</w:t>
      </w:r>
      <w:r w:rsidR="005B4ED7" w:rsidRPr="4E193667">
        <w:rPr>
          <w:rFonts w:eastAsia="Arial Narrow"/>
        </w:rPr>
        <w:t xml:space="preserve"> s 8,02% </w:t>
      </w:r>
      <w:r w:rsidR="00776F63" w:rsidRPr="4E193667">
        <w:rPr>
          <w:rFonts w:eastAsia="Arial Narrow"/>
        </w:rPr>
        <w:t xml:space="preserve">te cestovni prijevoz robe </w:t>
      </w:r>
      <w:r w:rsidR="005B4ED7" w:rsidRPr="4E193667">
        <w:rPr>
          <w:rFonts w:eastAsia="Arial Narrow"/>
        </w:rPr>
        <w:t>s</w:t>
      </w:r>
      <w:r w:rsidR="00776F63" w:rsidRPr="4E193667">
        <w:rPr>
          <w:rFonts w:eastAsia="Arial Narrow"/>
        </w:rPr>
        <w:t xml:space="preserve"> 9,20% ukupnog županijskog izvoza. </w:t>
      </w:r>
    </w:p>
    <w:p w14:paraId="4C0F10E5" w14:textId="77777777" w:rsidR="008074F2" w:rsidRPr="008074F2" w:rsidRDefault="008074F2" w:rsidP="008074F2">
      <w:pPr>
        <w:spacing w:after="0"/>
        <w:rPr>
          <w:i/>
          <w:iCs/>
        </w:rPr>
      </w:pPr>
    </w:p>
    <w:p w14:paraId="23A642EB" w14:textId="18596138" w:rsidR="00776F63" w:rsidRDefault="007F61F3" w:rsidP="00776F63">
      <w:r>
        <w:t>Kada se razmatra uvoz, z</w:t>
      </w:r>
      <w:r w:rsidR="00776F63" w:rsidRPr="00396028">
        <w:t>emlje iz kojih se najviše uvozi su Slovenija, Njemačka, Italija i Austrija.</w:t>
      </w:r>
      <w:r w:rsidR="005B4ED7">
        <w:t xml:space="preserve"> U promatranom razdoblju od 2010. do 201</w:t>
      </w:r>
      <w:r w:rsidR="0015329C">
        <w:t>9</w:t>
      </w:r>
      <w:r w:rsidR="005B4ED7">
        <w:t>. godine, postotno se najviše povećao uvoz iz Slovenije</w:t>
      </w:r>
      <w:r w:rsidR="008276CA">
        <w:t xml:space="preserve"> (27,6 % u 2020. godini)</w:t>
      </w:r>
      <w:r w:rsidR="000F4955">
        <w:t>.</w:t>
      </w:r>
      <w:r w:rsidR="008276CA">
        <w:t xml:space="preserve"> Od 2013. godine povećava se i postotni udio u uvozu iz Kine, Poljske i Mađarske. </w:t>
      </w:r>
    </w:p>
    <w:p w14:paraId="5B2D3602" w14:textId="707DC5C3" w:rsidR="00AA4753" w:rsidRDefault="00AA4753" w:rsidP="00776F63"/>
    <w:p w14:paraId="2418BE48" w14:textId="64488E1F" w:rsidR="00AA4753" w:rsidRDefault="00AA4753" w:rsidP="00776F63"/>
    <w:p w14:paraId="4E811D6B" w14:textId="77777777" w:rsidR="00AA4753" w:rsidRPr="00396028" w:rsidRDefault="00AA4753" w:rsidP="00776F63"/>
    <w:p w14:paraId="6B8C67BB" w14:textId="56D82573" w:rsidR="008878A0" w:rsidRDefault="008878A0" w:rsidP="003E3F3C">
      <w:pPr>
        <w:pStyle w:val="Opisslike"/>
      </w:pPr>
      <w:r>
        <w:lastRenderedPageBreak/>
        <w:t xml:space="preserve">Grafikon </w:t>
      </w:r>
      <w:r w:rsidR="008074F2">
        <w:rPr>
          <w:noProof/>
        </w:rPr>
        <w:t>4</w:t>
      </w:r>
      <w:r w:rsidR="00CF4B96">
        <w:rPr>
          <w:noProof/>
        </w:rPr>
        <w:t>7</w:t>
      </w:r>
      <w:r w:rsidR="001838EE">
        <w:rPr>
          <w:noProof/>
        </w:rPr>
        <w:t>.</w:t>
      </w:r>
      <w:r>
        <w:t xml:space="preserve"> Najznačajniji vanjskotrgovinski partneri u uvozu</w:t>
      </w:r>
    </w:p>
    <w:p w14:paraId="33C76824" w14:textId="11930127" w:rsidR="00AA4753" w:rsidRDefault="00AA4753" w:rsidP="00AA4753">
      <w:r>
        <w:rPr>
          <w:noProof/>
        </w:rPr>
        <w:drawing>
          <wp:inline distT="0" distB="0" distL="0" distR="0" wp14:anchorId="4F9FE785" wp14:editId="0BC16C08">
            <wp:extent cx="5908040" cy="3034665"/>
            <wp:effectExtent l="0" t="0" r="16510" b="13335"/>
            <wp:docPr id="246" name="Grafikon 246">
              <a:extLst xmlns:a="http://schemas.openxmlformats.org/drawingml/2006/main">
                <a:ext uri="{FF2B5EF4-FFF2-40B4-BE49-F238E27FC236}">
                  <a16:creationId xmlns:a16="http://schemas.microsoft.com/office/drawing/2014/main" id="{B7F6BAF6-8AFA-4D68-8AE0-2823050E14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7E22EBB4" w14:textId="41C7672C" w:rsidR="008878A0"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HGK ŽK Krapina</w:t>
      </w:r>
      <w:r w:rsidR="00776F63" w:rsidRPr="006207AF">
        <w:rPr>
          <w:rFonts w:eastAsia="ArialNarrow" w:cstheme="minorHAnsi"/>
          <w:i/>
          <w:color w:val="ABABAB" w:themeColor="text1" w:themeTint="A6"/>
          <w:sz w:val="16"/>
          <w:szCs w:val="16"/>
        </w:rPr>
        <w:t xml:space="preserve"> 2010. – 20</w:t>
      </w:r>
      <w:r w:rsidR="008276CA">
        <w:rPr>
          <w:rFonts w:eastAsia="ArialNarrow" w:cstheme="minorHAnsi"/>
          <w:i/>
          <w:color w:val="ABABAB" w:themeColor="text1" w:themeTint="A6"/>
          <w:sz w:val="16"/>
          <w:szCs w:val="16"/>
        </w:rPr>
        <w:t>20</w:t>
      </w:r>
      <w:r w:rsidR="00776F63" w:rsidRPr="006207AF">
        <w:rPr>
          <w:rFonts w:eastAsia="ArialNarrow" w:cstheme="minorHAnsi"/>
          <w:i/>
          <w:color w:val="ABABAB" w:themeColor="text1" w:themeTint="A6"/>
          <w:sz w:val="16"/>
          <w:szCs w:val="16"/>
        </w:rPr>
        <w:t>. godina</w:t>
      </w:r>
      <w:r w:rsidRPr="006207AF">
        <w:rPr>
          <w:rFonts w:eastAsia="ArialNarrow" w:cstheme="minorHAnsi"/>
          <w:i/>
          <w:color w:val="ABABAB" w:themeColor="text1" w:themeTint="A6"/>
          <w:sz w:val="16"/>
          <w:szCs w:val="16"/>
        </w:rPr>
        <w:t>, obrada autora</w:t>
      </w:r>
      <w:r w:rsidR="008276CA">
        <w:rPr>
          <w:rFonts w:eastAsia="ArialNarrow" w:cstheme="minorHAnsi"/>
          <w:i/>
          <w:color w:val="ABABAB" w:themeColor="text1" w:themeTint="A6"/>
          <w:sz w:val="16"/>
          <w:szCs w:val="16"/>
        </w:rPr>
        <w:t>, 2021</w:t>
      </w:r>
    </w:p>
    <w:p w14:paraId="0EA1FB9A" w14:textId="7B959A5A" w:rsidR="008276CA" w:rsidRPr="006207AF" w:rsidRDefault="008276CA" w:rsidP="006207AF">
      <w:pPr>
        <w:autoSpaceDE w:val="0"/>
        <w:autoSpaceDN w:val="0"/>
        <w:adjustRightInd w:val="0"/>
        <w:spacing w:after="0" w:line="240" w:lineRule="auto"/>
        <w:rPr>
          <w:rFonts w:eastAsia="ArialNarrow" w:cstheme="minorHAnsi"/>
          <w:i/>
          <w:color w:val="ABABAB" w:themeColor="text1" w:themeTint="A6"/>
          <w:sz w:val="16"/>
          <w:szCs w:val="16"/>
        </w:rPr>
      </w:pPr>
      <w:r>
        <w:rPr>
          <w:rFonts w:eastAsia="ArialNarrow" w:cstheme="minorHAnsi"/>
          <w:i/>
          <w:color w:val="ABABAB" w:themeColor="text1" w:themeTint="A6"/>
          <w:sz w:val="16"/>
          <w:szCs w:val="16"/>
        </w:rPr>
        <w:t>*</w:t>
      </w:r>
      <w:r w:rsidRPr="008276CA">
        <w:rPr>
          <w:rFonts w:eastAsia="ArialNarrow" w:cstheme="minorHAnsi"/>
          <w:i/>
          <w:color w:val="ABABAB" w:themeColor="text1" w:themeTint="A6"/>
          <w:sz w:val="16"/>
          <w:szCs w:val="16"/>
        </w:rPr>
        <w:t>prema Statističkom poslovnom registru na dan 1.ožujka 2021.</w:t>
      </w:r>
    </w:p>
    <w:p w14:paraId="21A53BFE" w14:textId="77777777" w:rsidR="008074F2" w:rsidRPr="008074F2" w:rsidRDefault="008074F2" w:rsidP="003C2276">
      <w:pPr>
        <w:pStyle w:val="Izvor"/>
        <w:rPr>
          <w:i/>
          <w:color w:val="ABABAB" w:themeColor="text1" w:themeTint="A6"/>
          <w:szCs w:val="18"/>
        </w:rPr>
      </w:pPr>
    </w:p>
    <w:p w14:paraId="0BD0C4D5" w14:textId="14A3BDFD" w:rsidR="008878A0" w:rsidRDefault="005B4ED7" w:rsidP="4E193667">
      <w:r w:rsidRPr="4E193667">
        <w:t>Najznačajnije uvozne djelatnosti u Krapinsko-zagorskoj županiji su C - Prerađivačka industrija sa 64,0</w:t>
      </w:r>
      <w:r w:rsidR="7B15B0B9" w:rsidRPr="4E193667">
        <w:t>4</w:t>
      </w:r>
      <w:r w:rsidRPr="4E193667">
        <w:t>%, G - Trgovina na veliko i malo s 30,</w:t>
      </w:r>
      <w:r w:rsidR="3BAFAD28" w:rsidRPr="4E193667">
        <w:t>1</w:t>
      </w:r>
      <w:r w:rsidRPr="4E193667">
        <w:t>9% te H - Prijevoz i skladištenje s 2,</w:t>
      </w:r>
      <w:r w:rsidR="4B206A79" w:rsidRPr="4E193667">
        <w:t>89</w:t>
      </w:r>
      <w:r w:rsidRPr="4E193667">
        <w:t>% ukupnog županijskog uvoza. Ove djelatnosti zajedno ostvaruju 9</w:t>
      </w:r>
      <w:r w:rsidR="697A2076" w:rsidRPr="4E193667">
        <w:t>7</w:t>
      </w:r>
      <w:r w:rsidRPr="4E193667">
        <w:t>,</w:t>
      </w:r>
      <w:r w:rsidR="77D40B98" w:rsidRPr="4E193667">
        <w:t>78</w:t>
      </w:r>
      <w:r w:rsidRPr="4E193667">
        <w:t xml:space="preserve">% ukupnog županijskog uvoza, dok ostale djelatnosti ostvaruju veoma male udjele u županijskom uvozu. </w:t>
      </w:r>
    </w:p>
    <w:p w14:paraId="2F2873EC" w14:textId="7F530D24" w:rsidR="005B4ED7" w:rsidRPr="005B4ED7" w:rsidRDefault="000F4955" w:rsidP="4E193667">
      <w:r w:rsidRPr="4E193667">
        <w:t>Z</w:t>
      </w:r>
      <w:r w:rsidR="005B4ED7" w:rsidRPr="4E193667">
        <w:t>načajniji uvoz</w:t>
      </w:r>
      <w:r w:rsidRPr="4E193667">
        <w:t xml:space="preserve">nici </w:t>
      </w:r>
      <w:r w:rsidR="66158A28" w:rsidRPr="4E193667">
        <w:t xml:space="preserve">(za 2018.) </w:t>
      </w:r>
      <w:r w:rsidRPr="4E193667">
        <w:t>su</w:t>
      </w:r>
      <w:r w:rsidR="005B4ED7" w:rsidRPr="4E193667">
        <w:t xml:space="preserve"> poddjelatnosti prerađivačke industrije: proizvodnja šupljeg stakla s 14,67%, priprema i predenje tekstilnih vlakana s 11,35% te proizvodnja alata s 10,63%. Slijede poddjelatnosti Trgovine na veliko i malo s pojedinačnim udjelima u ukupnom županijskom uvozu od 8,64% u poddjelatnosti Nespecijalizirana trgovina na veliko, zatim 6,23% u poddjelatnosti Trgovina na malo obućom i proizvodima od kože te Trgovina automobilima i motornim vozilima lake kategorije s 5,53%. </w:t>
      </w:r>
    </w:p>
    <w:p w14:paraId="3AD23D0E" w14:textId="77777777" w:rsidR="001838EE" w:rsidRPr="005B4ED7" w:rsidRDefault="001838EE" w:rsidP="00941871">
      <w:pPr>
        <w:rPr>
          <w:rFonts w:cstheme="minorHAnsi"/>
        </w:rPr>
      </w:pPr>
    </w:p>
    <w:p w14:paraId="631BCAB0" w14:textId="4112993C" w:rsidR="008878A0" w:rsidRDefault="00B601EE" w:rsidP="0052192B">
      <w:pPr>
        <w:pStyle w:val="Naslov2"/>
        <w:rPr>
          <w:w w:val="99"/>
        </w:rPr>
      </w:pPr>
      <w:bookmarkStart w:id="157" w:name="_Toc85181335"/>
      <w:r>
        <w:rPr>
          <w:w w:val="99"/>
        </w:rPr>
        <w:t>10</w:t>
      </w:r>
      <w:r w:rsidR="008878A0">
        <w:rPr>
          <w:w w:val="99"/>
        </w:rPr>
        <w:t>.</w:t>
      </w:r>
      <w:r w:rsidR="007D6366">
        <w:rPr>
          <w:w w:val="99"/>
        </w:rPr>
        <w:t>9</w:t>
      </w:r>
      <w:r w:rsidR="008878A0">
        <w:rPr>
          <w:w w:val="99"/>
        </w:rPr>
        <w:t xml:space="preserve">. </w:t>
      </w:r>
      <w:r w:rsidR="002337E0">
        <w:rPr>
          <w:w w:val="99"/>
        </w:rPr>
        <w:t xml:space="preserve">Poduzetničke </w:t>
      </w:r>
      <w:r w:rsidR="008878A0">
        <w:rPr>
          <w:w w:val="99"/>
        </w:rPr>
        <w:t>zone Krapinsko-zagorske županije</w:t>
      </w:r>
      <w:bookmarkEnd w:id="157"/>
      <w:r w:rsidR="008878A0">
        <w:rPr>
          <w:w w:val="99"/>
        </w:rPr>
        <w:br/>
      </w:r>
    </w:p>
    <w:p w14:paraId="3C3B9B54" w14:textId="0EA56C41" w:rsidR="008878A0" w:rsidRDefault="008878A0" w:rsidP="00941871">
      <w:pPr>
        <w:rPr>
          <w:rFonts w:cstheme="minorHAnsi"/>
        </w:rPr>
      </w:pPr>
      <w:r>
        <w:rPr>
          <w:rFonts w:cstheme="minorHAnsi"/>
        </w:rPr>
        <w:t>Prema dostavljenim podacima Ministarstva gospodarstva, u Jedinstvenom registru poduzetničke infrastrukture nalazi se 20 poduzetničkih zona, međutim samo 9 ih je službeno verificiran</w:t>
      </w:r>
      <w:r w:rsidR="000F4955">
        <w:rPr>
          <w:rFonts w:cstheme="minorHAnsi"/>
        </w:rPr>
        <w:t>o</w:t>
      </w:r>
      <w:r>
        <w:rPr>
          <w:rFonts w:cstheme="minorHAnsi"/>
        </w:rPr>
        <w:t xml:space="preserve">. U verificiranim zonama </w:t>
      </w:r>
      <w:r w:rsidR="001838EE">
        <w:rPr>
          <w:rFonts w:cstheme="minorHAnsi"/>
        </w:rPr>
        <w:t>Krapinsko</w:t>
      </w:r>
      <w:r w:rsidR="005B4ED7">
        <w:rPr>
          <w:rFonts w:cstheme="minorHAnsi"/>
        </w:rPr>
        <w:t>-zagorske županije</w:t>
      </w:r>
      <w:r w:rsidR="00216ACE" w:rsidRPr="00216ACE">
        <w:rPr>
          <w:rFonts w:cstheme="minorHAnsi"/>
        </w:rPr>
        <w:t xml:space="preserve"> u studenome 2019. godine </w:t>
      </w:r>
      <w:r w:rsidR="00216ACE">
        <w:rPr>
          <w:rFonts w:cstheme="minorHAnsi"/>
        </w:rPr>
        <w:t>p</w:t>
      </w:r>
      <w:r>
        <w:rPr>
          <w:rFonts w:cstheme="minorHAnsi"/>
        </w:rPr>
        <w:t>osl</w:t>
      </w:r>
      <w:r w:rsidR="0052192B">
        <w:rPr>
          <w:rFonts w:cstheme="minorHAnsi"/>
        </w:rPr>
        <w:t>ovalo je</w:t>
      </w:r>
      <w:r>
        <w:rPr>
          <w:rFonts w:cstheme="minorHAnsi"/>
        </w:rPr>
        <w:t xml:space="preserve"> 159 aktivnih poduzetnika koji zapošljavaju 4.594 radnika.</w:t>
      </w:r>
    </w:p>
    <w:p w14:paraId="752F5AE1" w14:textId="77777777" w:rsidR="008074F2" w:rsidRDefault="008074F2" w:rsidP="00941871">
      <w:pPr>
        <w:rPr>
          <w:rFonts w:eastAsiaTheme="minorHAnsi" w:cstheme="minorHAnsi"/>
        </w:rPr>
      </w:pPr>
    </w:p>
    <w:p w14:paraId="185FA323" w14:textId="13851BBA" w:rsidR="001838EE" w:rsidRDefault="001838EE" w:rsidP="003E3F3C">
      <w:pPr>
        <w:pStyle w:val="Opisslike"/>
      </w:pPr>
      <w:r>
        <w:t>Tablica</w:t>
      </w:r>
      <w:r w:rsidR="006207AF">
        <w:t xml:space="preserve"> </w:t>
      </w:r>
      <w:r w:rsidR="000D5E3F">
        <w:t>91</w:t>
      </w:r>
      <w:r>
        <w:t xml:space="preserve">. </w:t>
      </w:r>
      <w:r w:rsidRPr="00FD023C">
        <w:t xml:space="preserve">Verificirane </w:t>
      </w:r>
      <w:r w:rsidR="002337E0">
        <w:t xml:space="preserve">poduzetničke </w:t>
      </w:r>
      <w:r w:rsidRPr="00FD023C">
        <w:t xml:space="preserve"> zone Krapinsko-zagorske županije, stanje studeni 2019.</w:t>
      </w:r>
    </w:p>
    <w:tbl>
      <w:tblPr>
        <w:tblW w:w="0" w:type="auto"/>
        <w:jc w:val="center"/>
        <w:tblLook w:val="04A0" w:firstRow="1" w:lastRow="0" w:firstColumn="1" w:lastColumn="0" w:noHBand="0" w:noVBand="1"/>
      </w:tblPr>
      <w:tblGrid>
        <w:gridCol w:w="3280"/>
        <w:gridCol w:w="1169"/>
        <w:gridCol w:w="1363"/>
        <w:gridCol w:w="2324"/>
      </w:tblGrid>
      <w:tr w:rsidR="008878A0" w:rsidRPr="001838EE" w14:paraId="1C1D6DC1" w14:textId="77777777" w:rsidTr="00CD416C">
        <w:trPr>
          <w:trHeight w:val="283"/>
          <w:tblHeader/>
          <w:jc w:val="center"/>
        </w:trPr>
        <w:tc>
          <w:tcPr>
            <w:tcW w:w="0" w:type="auto"/>
            <w:tcBorders>
              <w:left w:val="single" w:sz="8" w:space="0" w:color="D2232A"/>
              <w:right w:val="single" w:sz="4" w:space="0" w:color="FFFFFF"/>
            </w:tcBorders>
            <w:shd w:val="clear" w:color="auto" w:fill="D2232A" w:themeFill="accent1"/>
            <w:noWrap/>
            <w:vAlign w:val="center"/>
            <w:hideMark/>
          </w:tcPr>
          <w:p w14:paraId="29764BC7" w14:textId="77777777" w:rsidR="008878A0" w:rsidRPr="001838EE" w:rsidRDefault="008878A0" w:rsidP="007F2B15">
            <w:pPr>
              <w:spacing w:after="0"/>
              <w:jc w:val="center"/>
              <w:rPr>
                <w:rFonts w:cstheme="minorHAnsi"/>
                <w:b/>
                <w:bCs/>
                <w:color w:val="FFFFFF" w:themeColor="background1"/>
                <w:szCs w:val="18"/>
                <w:lang w:eastAsia="hr-HR"/>
              </w:rPr>
            </w:pPr>
            <w:r w:rsidRPr="001838EE">
              <w:rPr>
                <w:rFonts w:cstheme="minorHAnsi"/>
                <w:b/>
                <w:bCs/>
                <w:color w:val="FFFFFF" w:themeColor="background1"/>
                <w:szCs w:val="18"/>
                <w:lang w:eastAsia="hr-HR"/>
              </w:rPr>
              <w:t>Poduzetnička zona</w:t>
            </w:r>
          </w:p>
        </w:tc>
        <w:tc>
          <w:tcPr>
            <w:tcW w:w="0" w:type="auto"/>
            <w:tcBorders>
              <w:left w:val="single" w:sz="4" w:space="0" w:color="FFFFFF"/>
              <w:right w:val="single" w:sz="4" w:space="0" w:color="FFFFFF"/>
            </w:tcBorders>
            <w:shd w:val="clear" w:color="auto" w:fill="D2232A" w:themeFill="accent1"/>
            <w:vAlign w:val="center"/>
            <w:hideMark/>
          </w:tcPr>
          <w:p w14:paraId="3A45DD45" w14:textId="77777777" w:rsidR="008878A0" w:rsidRPr="001838EE" w:rsidRDefault="008878A0" w:rsidP="007F2B15">
            <w:pPr>
              <w:spacing w:after="0"/>
              <w:jc w:val="center"/>
              <w:rPr>
                <w:rFonts w:cstheme="minorHAnsi"/>
                <w:b/>
                <w:bCs/>
                <w:color w:val="FFFFFF" w:themeColor="background1"/>
                <w:szCs w:val="18"/>
                <w:lang w:eastAsia="hr-HR"/>
              </w:rPr>
            </w:pPr>
            <w:r w:rsidRPr="001838EE">
              <w:rPr>
                <w:rFonts w:cstheme="minorHAnsi"/>
                <w:b/>
                <w:bCs/>
                <w:color w:val="FFFFFF" w:themeColor="background1"/>
                <w:szCs w:val="18"/>
                <w:lang w:eastAsia="hr-HR"/>
              </w:rPr>
              <w:t xml:space="preserve">Broj aktivnih </w:t>
            </w:r>
            <w:r w:rsidRPr="001838EE">
              <w:rPr>
                <w:rFonts w:cstheme="minorHAnsi"/>
                <w:b/>
                <w:bCs/>
                <w:color w:val="FFFFFF" w:themeColor="background1"/>
                <w:szCs w:val="18"/>
                <w:lang w:eastAsia="hr-HR"/>
              </w:rPr>
              <w:br/>
              <w:t>poduzetnika</w:t>
            </w:r>
          </w:p>
        </w:tc>
        <w:tc>
          <w:tcPr>
            <w:tcW w:w="0" w:type="auto"/>
            <w:tcBorders>
              <w:left w:val="single" w:sz="4" w:space="0" w:color="FFFFFF"/>
              <w:right w:val="single" w:sz="4" w:space="0" w:color="FFFFFF"/>
            </w:tcBorders>
            <w:shd w:val="clear" w:color="auto" w:fill="D2232A" w:themeFill="accent1"/>
            <w:noWrap/>
            <w:vAlign w:val="center"/>
            <w:hideMark/>
          </w:tcPr>
          <w:p w14:paraId="254680F3" w14:textId="77777777" w:rsidR="008878A0" w:rsidRPr="001838EE" w:rsidRDefault="008878A0" w:rsidP="007F2B15">
            <w:pPr>
              <w:spacing w:after="0"/>
              <w:jc w:val="center"/>
              <w:rPr>
                <w:rFonts w:cstheme="minorHAnsi"/>
                <w:b/>
                <w:bCs/>
                <w:color w:val="FFFFFF" w:themeColor="background1"/>
                <w:szCs w:val="18"/>
                <w:lang w:eastAsia="hr-HR"/>
              </w:rPr>
            </w:pPr>
            <w:r w:rsidRPr="001838EE">
              <w:rPr>
                <w:rFonts w:cstheme="minorHAnsi"/>
                <w:b/>
                <w:bCs/>
                <w:color w:val="FFFFFF" w:themeColor="background1"/>
                <w:szCs w:val="18"/>
                <w:lang w:eastAsia="hr-HR"/>
              </w:rPr>
              <w:t>Broj zaposlenih</w:t>
            </w:r>
          </w:p>
        </w:tc>
        <w:tc>
          <w:tcPr>
            <w:tcW w:w="0" w:type="auto"/>
            <w:tcBorders>
              <w:left w:val="single" w:sz="4" w:space="0" w:color="FFFFFF"/>
              <w:right w:val="single" w:sz="8" w:space="0" w:color="D2232A"/>
            </w:tcBorders>
            <w:shd w:val="clear" w:color="auto" w:fill="D2232A" w:themeFill="accent1"/>
            <w:vAlign w:val="center"/>
            <w:hideMark/>
          </w:tcPr>
          <w:p w14:paraId="1CCDBECD" w14:textId="77777777" w:rsidR="008878A0" w:rsidRPr="001838EE" w:rsidRDefault="008878A0" w:rsidP="007F2B15">
            <w:pPr>
              <w:spacing w:after="0"/>
              <w:jc w:val="center"/>
              <w:rPr>
                <w:rFonts w:cstheme="minorHAnsi"/>
                <w:b/>
                <w:bCs/>
                <w:color w:val="FFFFFF" w:themeColor="background1"/>
                <w:szCs w:val="18"/>
                <w:lang w:eastAsia="hr-HR"/>
              </w:rPr>
            </w:pPr>
            <w:r w:rsidRPr="001838EE">
              <w:rPr>
                <w:rFonts w:cstheme="minorHAnsi"/>
                <w:b/>
                <w:bCs/>
                <w:color w:val="FFFFFF" w:themeColor="background1"/>
                <w:szCs w:val="18"/>
                <w:lang w:eastAsia="hr-HR"/>
              </w:rPr>
              <w:t>Broj neaktivnih poduzetnika</w:t>
            </w:r>
          </w:p>
        </w:tc>
      </w:tr>
      <w:tr w:rsidR="008878A0" w:rsidRPr="001838EE" w14:paraId="54184448" w14:textId="77777777" w:rsidTr="00CD416C">
        <w:trPr>
          <w:trHeight w:val="283"/>
          <w:jc w:val="center"/>
        </w:trPr>
        <w:tc>
          <w:tcPr>
            <w:tcW w:w="0" w:type="auto"/>
            <w:tcBorders>
              <w:left w:val="single" w:sz="8" w:space="0" w:color="D2232A"/>
              <w:right w:val="single" w:sz="4" w:space="0" w:color="D2232A" w:themeColor="accent1"/>
            </w:tcBorders>
            <w:noWrap/>
            <w:vAlign w:val="center"/>
            <w:hideMark/>
          </w:tcPr>
          <w:p w14:paraId="30085031" w14:textId="77777777" w:rsidR="008878A0" w:rsidRPr="001838EE" w:rsidRDefault="008878A0" w:rsidP="00396028">
            <w:pPr>
              <w:spacing w:after="0"/>
              <w:jc w:val="left"/>
              <w:rPr>
                <w:rFonts w:cstheme="minorHAnsi"/>
                <w:b/>
                <w:bCs/>
                <w:color w:val="auto"/>
                <w:szCs w:val="18"/>
                <w:lang w:eastAsia="hr-HR"/>
              </w:rPr>
            </w:pPr>
            <w:r w:rsidRPr="001838EE">
              <w:rPr>
                <w:rFonts w:cstheme="minorHAnsi"/>
                <w:b/>
                <w:bCs/>
                <w:szCs w:val="18"/>
                <w:lang w:eastAsia="hr-HR"/>
              </w:rPr>
              <w:t>Gornja Stubica</w:t>
            </w:r>
          </w:p>
        </w:tc>
        <w:tc>
          <w:tcPr>
            <w:tcW w:w="0" w:type="auto"/>
            <w:tcBorders>
              <w:left w:val="single" w:sz="4" w:space="0" w:color="D2232A" w:themeColor="accent1"/>
              <w:right w:val="single" w:sz="8" w:space="0" w:color="D2232A"/>
            </w:tcBorders>
            <w:noWrap/>
            <w:vAlign w:val="center"/>
            <w:hideMark/>
          </w:tcPr>
          <w:p w14:paraId="49F941CA" w14:textId="77777777" w:rsidR="008878A0" w:rsidRPr="001838EE" w:rsidRDefault="008878A0" w:rsidP="00941871">
            <w:pPr>
              <w:spacing w:after="0"/>
              <w:rPr>
                <w:rFonts w:cstheme="minorHAnsi"/>
                <w:b/>
                <w:bCs/>
                <w:szCs w:val="18"/>
                <w:lang w:eastAsia="hr-HR"/>
              </w:rPr>
            </w:pPr>
            <w:r w:rsidRPr="001838EE">
              <w:rPr>
                <w:rFonts w:ascii="Calibri" w:hAnsi="Calibri" w:cs="Calibri"/>
                <w:b/>
                <w:bCs/>
                <w:szCs w:val="18"/>
                <w:lang w:eastAsia="hr-HR"/>
              </w:rPr>
              <w:t> </w:t>
            </w:r>
          </w:p>
        </w:tc>
        <w:tc>
          <w:tcPr>
            <w:tcW w:w="0" w:type="auto"/>
            <w:tcBorders>
              <w:left w:val="single" w:sz="8" w:space="0" w:color="D2232A"/>
              <w:right w:val="single" w:sz="8" w:space="0" w:color="D2232A"/>
            </w:tcBorders>
            <w:noWrap/>
            <w:vAlign w:val="center"/>
            <w:hideMark/>
          </w:tcPr>
          <w:p w14:paraId="7A5DC1FD" w14:textId="77777777" w:rsidR="008878A0" w:rsidRPr="001838EE" w:rsidRDefault="008878A0" w:rsidP="00941871">
            <w:pPr>
              <w:spacing w:after="0"/>
              <w:rPr>
                <w:rFonts w:cstheme="minorHAnsi"/>
                <w:b/>
                <w:bCs/>
                <w:szCs w:val="18"/>
                <w:lang w:eastAsia="hr-HR"/>
              </w:rPr>
            </w:pPr>
            <w:r w:rsidRPr="001838EE">
              <w:rPr>
                <w:rFonts w:ascii="Calibri" w:hAnsi="Calibri" w:cs="Calibri"/>
                <w:b/>
                <w:bCs/>
                <w:szCs w:val="18"/>
                <w:lang w:eastAsia="hr-HR"/>
              </w:rPr>
              <w:t> </w:t>
            </w:r>
          </w:p>
        </w:tc>
        <w:tc>
          <w:tcPr>
            <w:tcW w:w="0" w:type="auto"/>
            <w:tcBorders>
              <w:left w:val="single" w:sz="8" w:space="0" w:color="D2232A"/>
              <w:right w:val="single" w:sz="8" w:space="0" w:color="D2232A"/>
            </w:tcBorders>
            <w:vAlign w:val="center"/>
            <w:hideMark/>
          </w:tcPr>
          <w:p w14:paraId="79E7FE6B" w14:textId="77777777" w:rsidR="008878A0" w:rsidRPr="001838EE" w:rsidRDefault="008878A0" w:rsidP="00941871">
            <w:pPr>
              <w:spacing w:after="0"/>
              <w:rPr>
                <w:rFonts w:cstheme="minorHAnsi"/>
                <w:b/>
                <w:bCs/>
                <w:szCs w:val="18"/>
                <w:lang w:eastAsia="hr-HR"/>
              </w:rPr>
            </w:pPr>
            <w:r w:rsidRPr="001838EE">
              <w:rPr>
                <w:rFonts w:ascii="Calibri" w:hAnsi="Calibri" w:cs="Calibri"/>
                <w:b/>
                <w:bCs/>
                <w:szCs w:val="18"/>
                <w:lang w:eastAsia="hr-HR"/>
              </w:rPr>
              <w:t> </w:t>
            </w:r>
          </w:p>
        </w:tc>
      </w:tr>
      <w:tr w:rsidR="008878A0" w:rsidRPr="001838EE" w14:paraId="70F4526F" w14:textId="77777777" w:rsidTr="00CD416C">
        <w:trPr>
          <w:trHeight w:val="283"/>
          <w:jc w:val="center"/>
        </w:trPr>
        <w:tc>
          <w:tcPr>
            <w:tcW w:w="0" w:type="auto"/>
            <w:tcBorders>
              <w:left w:val="single" w:sz="8" w:space="0" w:color="D2232A"/>
              <w:bottom w:val="single" w:sz="8" w:space="0" w:color="F3CFC1"/>
              <w:right w:val="single" w:sz="4" w:space="0" w:color="D2232A" w:themeColor="accent1"/>
            </w:tcBorders>
            <w:noWrap/>
            <w:vAlign w:val="center"/>
            <w:hideMark/>
          </w:tcPr>
          <w:p w14:paraId="42007046" w14:textId="77777777" w:rsidR="008878A0" w:rsidRPr="001838EE" w:rsidRDefault="008878A0" w:rsidP="00396028">
            <w:pPr>
              <w:spacing w:after="0"/>
              <w:jc w:val="left"/>
              <w:rPr>
                <w:rFonts w:cstheme="minorHAnsi"/>
                <w:szCs w:val="18"/>
                <w:lang w:eastAsia="hr-HR"/>
              </w:rPr>
            </w:pPr>
            <w:r w:rsidRPr="001838EE">
              <w:rPr>
                <w:rFonts w:cstheme="minorHAnsi"/>
                <w:szCs w:val="18"/>
                <w:lang w:eastAsia="hr-HR"/>
              </w:rPr>
              <w:t>1. PZ "GORNJA STUBICA"</w:t>
            </w:r>
          </w:p>
        </w:tc>
        <w:tc>
          <w:tcPr>
            <w:tcW w:w="0" w:type="auto"/>
            <w:tcBorders>
              <w:left w:val="single" w:sz="4" w:space="0" w:color="D2232A" w:themeColor="accent1"/>
              <w:bottom w:val="single" w:sz="8" w:space="0" w:color="F3CFC1"/>
              <w:right w:val="single" w:sz="8" w:space="0" w:color="D2232A"/>
            </w:tcBorders>
            <w:noWrap/>
            <w:vAlign w:val="center"/>
            <w:hideMark/>
          </w:tcPr>
          <w:p w14:paraId="25DFF969"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18</w:t>
            </w:r>
          </w:p>
        </w:tc>
        <w:tc>
          <w:tcPr>
            <w:tcW w:w="0" w:type="auto"/>
            <w:tcBorders>
              <w:left w:val="single" w:sz="8" w:space="0" w:color="D2232A"/>
              <w:bottom w:val="single" w:sz="8" w:space="0" w:color="F3CFC1"/>
              <w:right w:val="single" w:sz="8" w:space="0" w:color="D2232A"/>
            </w:tcBorders>
            <w:noWrap/>
            <w:vAlign w:val="center"/>
            <w:hideMark/>
          </w:tcPr>
          <w:p w14:paraId="1C6FEBAB"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418</w:t>
            </w:r>
          </w:p>
        </w:tc>
        <w:tc>
          <w:tcPr>
            <w:tcW w:w="0" w:type="auto"/>
            <w:tcBorders>
              <w:left w:val="single" w:sz="8" w:space="0" w:color="D2232A"/>
              <w:bottom w:val="single" w:sz="8" w:space="0" w:color="F3CFC1"/>
              <w:right w:val="single" w:sz="8" w:space="0" w:color="D2232A"/>
            </w:tcBorders>
            <w:vAlign w:val="center"/>
            <w:hideMark/>
          </w:tcPr>
          <w:p w14:paraId="0CB0AD48"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1</w:t>
            </w:r>
          </w:p>
        </w:tc>
      </w:tr>
      <w:tr w:rsidR="008878A0" w:rsidRPr="001838EE" w14:paraId="13851EA1" w14:textId="77777777" w:rsidTr="00CD416C">
        <w:trPr>
          <w:trHeight w:val="283"/>
          <w:jc w:val="center"/>
        </w:trPr>
        <w:tc>
          <w:tcPr>
            <w:tcW w:w="0" w:type="auto"/>
            <w:tcBorders>
              <w:top w:val="single" w:sz="8" w:space="0" w:color="F3CFC1"/>
              <w:left w:val="single" w:sz="8" w:space="0" w:color="D2232A"/>
              <w:right w:val="single" w:sz="4" w:space="0" w:color="D2232A" w:themeColor="accent1"/>
            </w:tcBorders>
            <w:noWrap/>
            <w:vAlign w:val="center"/>
            <w:hideMark/>
          </w:tcPr>
          <w:p w14:paraId="680B5DC3" w14:textId="77777777" w:rsidR="008878A0" w:rsidRPr="001838EE" w:rsidRDefault="008878A0" w:rsidP="00396028">
            <w:pPr>
              <w:spacing w:after="0"/>
              <w:jc w:val="left"/>
              <w:rPr>
                <w:rFonts w:cstheme="minorHAnsi"/>
                <w:b/>
                <w:bCs/>
                <w:szCs w:val="18"/>
                <w:lang w:eastAsia="hr-HR"/>
              </w:rPr>
            </w:pPr>
            <w:r w:rsidRPr="001838EE">
              <w:rPr>
                <w:rFonts w:cstheme="minorHAnsi"/>
                <w:b/>
                <w:bCs/>
                <w:szCs w:val="18"/>
                <w:lang w:eastAsia="hr-HR"/>
              </w:rPr>
              <w:t>Hum Na Sutli</w:t>
            </w:r>
          </w:p>
        </w:tc>
        <w:tc>
          <w:tcPr>
            <w:tcW w:w="0" w:type="auto"/>
            <w:tcBorders>
              <w:top w:val="single" w:sz="8" w:space="0" w:color="F3CFC1"/>
              <w:left w:val="single" w:sz="4" w:space="0" w:color="D2232A" w:themeColor="accent1"/>
              <w:right w:val="single" w:sz="8" w:space="0" w:color="D2232A"/>
            </w:tcBorders>
            <w:noWrap/>
            <w:vAlign w:val="center"/>
            <w:hideMark/>
          </w:tcPr>
          <w:p w14:paraId="17190258"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noWrap/>
            <w:vAlign w:val="center"/>
            <w:hideMark/>
          </w:tcPr>
          <w:p w14:paraId="357BB127"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vAlign w:val="center"/>
            <w:hideMark/>
          </w:tcPr>
          <w:p w14:paraId="6547EE12"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r>
      <w:tr w:rsidR="008878A0" w:rsidRPr="001838EE" w14:paraId="5754A042" w14:textId="77777777" w:rsidTr="00CD416C">
        <w:trPr>
          <w:trHeight w:val="283"/>
          <w:jc w:val="center"/>
        </w:trPr>
        <w:tc>
          <w:tcPr>
            <w:tcW w:w="0" w:type="auto"/>
            <w:tcBorders>
              <w:left w:val="single" w:sz="8" w:space="0" w:color="D2232A"/>
              <w:bottom w:val="single" w:sz="8" w:space="0" w:color="F3CFC1"/>
              <w:right w:val="single" w:sz="4" w:space="0" w:color="D2232A" w:themeColor="accent1"/>
            </w:tcBorders>
            <w:noWrap/>
            <w:vAlign w:val="center"/>
            <w:hideMark/>
          </w:tcPr>
          <w:p w14:paraId="74F4C427" w14:textId="77777777" w:rsidR="008878A0" w:rsidRPr="001838EE" w:rsidRDefault="008878A0" w:rsidP="00396028">
            <w:pPr>
              <w:spacing w:after="0"/>
              <w:jc w:val="left"/>
              <w:rPr>
                <w:rFonts w:cstheme="minorHAnsi"/>
                <w:szCs w:val="18"/>
                <w:lang w:eastAsia="hr-HR"/>
              </w:rPr>
            </w:pPr>
            <w:r w:rsidRPr="001838EE">
              <w:rPr>
                <w:rFonts w:cstheme="minorHAnsi"/>
                <w:szCs w:val="18"/>
                <w:lang w:eastAsia="hr-HR"/>
              </w:rPr>
              <w:t>2. Zona malog gospodarstva - Drajža</w:t>
            </w:r>
          </w:p>
        </w:tc>
        <w:tc>
          <w:tcPr>
            <w:tcW w:w="0" w:type="auto"/>
            <w:tcBorders>
              <w:left w:val="single" w:sz="4" w:space="0" w:color="D2232A" w:themeColor="accent1"/>
              <w:bottom w:val="single" w:sz="8" w:space="0" w:color="F3CFC1"/>
              <w:right w:val="single" w:sz="8" w:space="0" w:color="D2232A"/>
            </w:tcBorders>
            <w:noWrap/>
            <w:vAlign w:val="center"/>
            <w:hideMark/>
          </w:tcPr>
          <w:p w14:paraId="6D15F8D0"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4</w:t>
            </w:r>
          </w:p>
        </w:tc>
        <w:tc>
          <w:tcPr>
            <w:tcW w:w="0" w:type="auto"/>
            <w:tcBorders>
              <w:left w:val="single" w:sz="8" w:space="0" w:color="D2232A"/>
              <w:bottom w:val="single" w:sz="8" w:space="0" w:color="F3CFC1"/>
              <w:right w:val="single" w:sz="8" w:space="0" w:color="D2232A"/>
            </w:tcBorders>
            <w:noWrap/>
            <w:vAlign w:val="center"/>
            <w:hideMark/>
          </w:tcPr>
          <w:p w14:paraId="7EF72C15"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720</w:t>
            </w:r>
          </w:p>
        </w:tc>
        <w:tc>
          <w:tcPr>
            <w:tcW w:w="0" w:type="auto"/>
            <w:tcBorders>
              <w:left w:val="single" w:sz="8" w:space="0" w:color="D2232A"/>
              <w:bottom w:val="single" w:sz="8" w:space="0" w:color="F3CFC1"/>
              <w:right w:val="single" w:sz="8" w:space="0" w:color="D2232A"/>
            </w:tcBorders>
            <w:vAlign w:val="center"/>
            <w:hideMark/>
          </w:tcPr>
          <w:p w14:paraId="6B6330D1"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1</w:t>
            </w:r>
          </w:p>
        </w:tc>
      </w:tr>
      <w:tr w:rsidR="008878A0" w:rsidRPr="001838EE" w14:paraId="7AE49F36" w14:textId="77777777" w:rsidTr="00CD416C">
        <w:trPr>
          <w:trHeight w:val="283"/>
          <w:jc w:val="center"/>
        </w:trPr>
        <w:tc>
          <w:tcPr>
            <w:tcW w:w="0" w:type="auto"/>
            <w:tcBorders>
              <w:top w:val="single" w:sz="8" w:space="0" w:color="F3CFC1"/>
              <w:left w:val="single" w:sz="8" w:space="0" w:color="D2232A"/>
              <w:right w:val="single" w:sz="4" w:space="0" w:color="D2232A" w:themeColor="accent1"/>
            </w:tcBorders>
            <w:noWrap/>
            <w:vAlign w:val="center"/>
            <w:hideMark/>
          </w:tcPr>
          <w:p w14:paraId="6494F830" w14:textId="77777777" w:rsidR="008878A0" w:rsidRPr="001838EE" w:rsidRDefault="008878A0" w:rsidP="00396028">
            <w:pPr>
              <w:spacing w:after="0"/>
              <w:jc w:val="left"/>
              <w:rPr>
                <w:rFonts w:cstheme="minorHAnsi"/>
                <w:b/>
                <w:bCs/>
                <w:szCs w:val="18"/>
                <w:lang w:eastAsia="hr-HR"/>
              </w:rPr>
            </w:pPr>
            <w:r w:rsidRPr="001838EE">
              <w:rPr>
                <w:rFonts w:cstheme="minorHAnsi"/>
                <w:b/>
                <w:bCs/>
                <w:szCs w:val="18"/>
                <w:lang w:eastAsia="hr-HR"/>
              </w:rPr>
              <w:t>Konjščina</w:t>
            </w:r>
          </w:p>
        </w:tc>
        <w:tc>
          <w:tcPr>
            <w:tcW w:w="0" w:type="auto"/>
            <w:tcBorders>
              <w:top w:val="single" w:sz="8" w:space="0" w:color="F3CFC1"/>
              <w:left w:val="single" w:sz="4" w:space="0" w:color="D2232A" w:themeColor="accent1"/>
              <w:right w:val="single" w:sz="8" w:space="0" w:color="D2232A"/>
            </w:tcBorders>
            <w:noWrap/>
            <w:vAlign w:val="center"/>
            <w:hideMark/>
          </w:tcPr>
          <w:p w14:paraId="42023F13"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noWrap/>
            <w:vAlign w:val="center"/>
            <w:hideMark/>
          </w:tcPr>
          <w:p w14:paraId="6B3A9C7C"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vAlign w:val="center"/>
            <w:hideMark/>
          </w:tcPr>
          <w:p w14:paraId="4292200E"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r>
      <w:tr w:rsidR="008878A0" w:rsidRPr="001838EE" w14:paraId="71154337" w14:textId="77777777" w:rsidTr="00CD416C">
        <w:trPr>
          <w:trHeight w:val="283"/>
          <w:jc w:val="center"/>
        </w:trPr>
        <w:tc>
          <w:tcPr>
            <w:tcW w:w="0" w:type="auto"/>
            <w:tcBorders>
              <w:left w:val="single" w:sz="8" w:space="0" w:color="D2232A"/>
              <w:bottom w:val="single" w:sz="8" w:space="0" w:color="F3CFC1"/>
              <w:right w:val="single" w:sz="4" w:space="0" w:color="D2232A" w:themeColor="accent1"/>
            </w:tcBorders>
            <w:noWrap/>
            <w:vAlign w:val="center"/>
            <w:hideMark/>
          </w:tcPr>
          <w:p w14:paraId="2FBCCA90" w14:textId="77777777" w:rsidR="008878A0" w:rsidRPr="001838EE" w:rsidRDefault="008878A0" w:rsidP="00396028">
            <w:pPr>
              <w:spacing w:after="0"/>
              <w:jc w:val="left"/>
              <w:rPr>
                <w:rFonts w:cstheme="minorHAnsi"/>
                <w:szCs w:val="18"/>
                <w:lang w:eastAsia="hr-HR"/>
              </w:rPr>
            </w:pPr>
            <w:r w:rsidRPr="001838EE">
              <w:rPr>
                <w:rFonts w:cstheme="minorHAnsi"/>
                <w:szCs w:val="18"/>
                <w:lang w:eastAsia="hr-HR"/>
              </w:rPr>
              <w:t>3. Poduzetnička zona Mala Lasača</w:t>
            </w:r>
          </w:p>
        </w:tc>
        <w:tc>
          <w:tcPr>
            <w:tcW w:w="0" w:type="auto"/>
            <w:tcBorders>
              <w:left w:val="single" w:sz="4" w:space="0" w:color="D2232A" w:themeColor="accent1"/>
              <w:bottom w:val="single" w:sz="8" w:space="0" w:color="F3CFC1"/>
              <w:right w:val="single" w:sz="8" w:space="0" w:color="D2232A"/>
            </w:tcBorders>
            <w:noWrap/>
            <w:vAlign w:val="center"/>
            <w:hideMark/>
          </w:tcPr>
          <w:p w14:paraId="78B3B82C"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1</w:t>
            </w:r>
          </w:p>
        </w:tc>
        <w:tc>
          <w:tcPr>
            <w:tcW w:w="0" w:type="auto"/>
            <w:tcBorders>
              <w:left w:val="single" w:sz="8" w:space="0" w:color="D2232A"/>
              <w:bottom w:val="single" w:sz="8" w:space="0" w:color="F3CFC1"/>
              <w:right w:val="single" w:sz="8" w:space="0" w:color="D2232A"/>
            </w:tcBorders>
            <w:noWrap/>
            <w:vAlign w:val="center"/>
            <w:hideMark/>
          </w:tcPr>
          <w:p w14:paraId="21AD633A"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0</w:t>
            </w:r>
          </w:p>
        </w:tc>
        <w:tc>
          <w:tcPr>
            <w:tcW w:w="0" w:type="auto"/>
            <w:tcBorders>
              <w:left w:val="single" w:sz="8" w:space="0" w:color="D2232A"/>
              <w:bottom w:val="single" w:sz="8" w:space="0" w:color="F3CFC1"/>
              <w:right w:val="single" w:sz="8" w:space="0" w:color="D2232A"/>
            </w:tcBorders>
            <w:vAlign w:val="center"/>
            <w:hideMark/>
          </w:tcPr>
          <w:p w14:paraId="13C469A3"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6</w:t>
            </w:r>
          </w:p>
        </w:tc>
      </w:tr>
      <w:tr w:rsidR="008878A0" w:rsidRPr="001838EE" w14:paraId="2AA7263C" w14:textId="77777777" w:rsidTr="00CD416C">
        <w:trPr>
          <w:trHeight w:val="283"/>
          <w:jc w:val="center"/>
        </w:trPr>
        <w:tc>
          <w:tcPr>
            <w:tcW w:w="0" w:type="auto"/>
            <w:tcBorders>
              <w:top w:val="single" w:sz="8" w:space="0" w:color="F3CFC1"/>
              <w:left w:val="single" w:sz="8" w:space="0" w:color="D2232A"/>
              <w:right w:val="single" w:sz="4" w:space="0" w:color="D2232A" w:themeColor="accent1"/>
            </w:tcBorders>
            <w:noWrap/>
            <w:vAlign w:val="center"/>
            <w:hideMark/>
          </w:tcPr>
          <w:p w14:paraId="57C08D3D" w14:textId="77777777" w:rsidR="008878A0" w:rsidRPr="001838EE" w:rsidRDefault="008878A0" w:rsidP="00396028">
            <w:pPr>
              <w:spacing w:after="0"/>
              <w:jc w:val="left"/>
              <w:rPr>
                <w:rFonts w:cstheme="minorHAnsi"/>
                <w:b/>
                <w:bCs/>
                <w:szCs w:val="18"/>
                <w:lang w:eastAsia="hr-HR"/>
              </w:rPr>
            </w:pPr>
            <w:r w:rsidRPr="001838EE">
              <w:rPr>
                <w:rFonts w:cstheme="minorHAnsi"/>
                <w:b/>
                <w:bCs/>
                <w:szCs w:val="18"/>
                <w:lang w:eastAsia="hr-HR"/>
              </w:rPr>
              <w:t>Krapina</w:t>
            </w:r>
          </w:p>
        </w:tc>
        <w:tc>
          <w:tcPr>
            <w:tcW w:w="0" w:type="auto"/>
            <w:tcBorders>
              <w:top w:val="single" w:sz="8" w:space="0" w:color="F3CFC1"/>
              <w:left w:val="single" w:sz="4" w:space="0" w:color="D2232A" w:themeColor="accent1"/>
              <w:right w:val="single" w:sz="8" w:space="0" w:color="D2232A"/>
            </w:tcBorders>
            <w:noWrap/>
            <w:vAlign w:val="center"/>
            <w:hideMark/>
          </w:tcPr>
          <w:p w14:paraId="10F74B88"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noWrap/>
            <w:vAlign w:val="center"/>
            <w:hideMark/>
          </w:tcPr>
          <w:p w14:paraId="7A19693C"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vAlign w:val="center"/>
            <w:hideMark/>
          </w:tcPr>
          <w:p w14:paraId="3BE711EB"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1</w:t>
            </w:r>
          </w:p>
        </w:tc>
      </w:tr>
      <w:tr w:rsidR="008878A0" w:rsidRPr="001838EE" w14:paraId="2AC092F1" w14:textId="77777777" w:rsidTr="00CD416C">
        <w:trPr>
          <w:trHeight w:val="283"/>
          <w:jc w:val="center"/>
        </w:trPr>
        <w:tc>
          <w:tcPr>
            <w:tcW w:w="0" w:type="auto"/>
            <w:tcBorders>
              <w:left w:val="single" w:sz="8" w:space="0" w:color="D2232A"/>
              <w:bottom w:val="single" w:sz="8" w:space="0" w:color="F3CFC1"/>
              <w:right w:val="single" w:sz="4" w:space="0" w:color="D2232A" w:themeColor="accent1"/>
            </w:tcBorders>
            <w:noWrap/>
            <w:vAlign w:val="center"/>
            <w:hideMark/>
          </w:tcPr>
          <w:p w14:paraId="697298AC" w14:textId="77777777" w:rsidR="008878A0" w:rsidRPr="001838EE" w:rsidRDefault="008878A0" w:rsidP="00396028">
            <w:pPr>
              <w:spacing w:after="0"/>
              <w:jc w:val="left"/>
              <w:rPr>
                <w:rFonts w:cstheme="minorHAnsi"/>
                <w:szCs w:val="18"/>
                <w:lang w:eastAsia="hr-HR"/>
              </w:rPr>
            </w:pPr>
            <w:r w:rsidRPr="001838EE">
              <w:rPr>
                <w:rFonts w:cstheme="minorHAnsi"/>
                <w:szCs w:val="18"/>
                <w:lang w:eastAsia="hr-HR"/>
              </w:rPr>
              <w:t>4. Poduzetnička zona Krapina Nova-Zapad</w:t>
            </w:r>
          </w:p>
        </w:tc>
        <w:tc>
          <w:tcPr>
            <w:tcW w:w="0" w:type="auto"/>
            <w:tcBorders>
              <w:left w:val="single" w:sz="4" w:space="0" w:color="D2232A" w:themeColor="accent1"/>
              <w:bottom w:val="single" w:sz="8" w:space="0" w:color="F3CFC1"/>
              <w:right w:val="single" w:sz="8" w:space="0" w:color="D2232A"/>
            </w:tcBorders>
            <w:noWrap/>
            <w:vAlign w:val="center"/>
            <w:hideMark/>
          </w:tcPr>
          <w:p w14:paraId="6C57E642"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5</w:t>
            </w:r>
          </w:p>
        </w:tc>
        <w:tc>
          <w:tcPr>
            <w:tcW w:w="0" w:type="auto"/>
            <w:tcBorders>
              <w:left w:val="single" w:sz="8" w:space="0" w:color="D2232A"/>
              <w:bottom w:val="single" w:sz="8" w:space="0" w:color="F3CFC1"/>
              <w:right w:val="single" w:sz="8" w:space="0" w:color="D2232A"/>
            </w:tcBorders>
            <w:noWrap/>
            <w:vAlign w:val="center"/>
            <w:hideMark/>
          </w:tcPr>
          <w:p w14:paraId="032961C6"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73</w:t>
            </w:r>
          </w:p>
        </w:tc>
        <w:tc>
          <w:tcPr>
            <w:tcW w:w="0" w:type="auto"/>
            <w:tcBorders>
              <w:left w:val="single" w:sz="8" w:space="0" w:color="D2232A"/>
              <w:bottom w:val="single" w:sz="8" w:space="0" w:color="F3CFC1"/>
              <w:right w:val="single" w:sz="8" w:space="0" w:color="D2232A"/>
            </w:tcBorders>
            <w:vAlign w:val="center"/>
            <w:hideMark/>
          </w:tcPr>
          <w:p w14:paraId="65989CB4"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r>
      <w:tr w:rsidR="008878A0" w:rsidRPr="001838EE" w14:paraId="180C154E" w14:textId="77777777" w:rsidTr="00CD416C">
        <w:trPr>
          <w:trHeight w:val="283"/>
          <w:jc w:val="center"/>
        </w:trPr>
        <w:tc>
          <w:tcPr>
            <w:tcW w:w="0" w:type="auto"/>
            <w:tcBorders>
              <w:top w:val="single" w:sz="8" w:space="0" w:color="F3CFC1"/>
              <w:left w:val="single" w:sz="8" w:space="0" w:color="D2232A"/>
              <w:bottom w:val="single" w:sz="8" w:space="0" w:color="F3CFC1"/>
              <w:right w:val="single" w:sz="4" w:space="0" w:color="D2232A" w:themeColor="accent1"/>
            </w:tcBorders>
            <w:noWrap/>
            <w:vAlign w:val="center"/>
            <w:hideMark/>
          </w:tcPr>
          <w:p w14:paraId="38D1E119" w14:textId="77777777" w:rsidR="008878A0" w:rsidRPr="001838EE" w:rsidRDefault="008878A0" w:rsidP="00396028">
            <w:pPr>
              <w:spacing w:after="0"/>
              <w:jc w:val="left"/>
              <w:rPr>
                <w:rFonts w:cstheme="minorHAnsi"/>
                <w:szCs w:val="18"/>
                <w:lang w:eastAsia="hr-HR"/>
              </w:rPr>
            </w:pPr>
            <w:r w:rsidRPr="001838EE">
              <w:rPr>
                <w:rFonts w:cstheme="minorHAnsi"/>
                <w:szCs w:val="18"/>
                <w:lang w:eastAsia="hr-HR"/>
              </w:rPr>
              <w:t>5. Zona malog gospodarstva</w:t>
            </w:r>
          </w:p>
        </w:tc>
        <w:tc>
          <w:tcPr>
            <w:tcW w:w="0" w:type="auto"/>
            <w:tcBorders>
              <w:top w:val="single" w:sz="8" w:space="0" w:color="F3CFC1"/>
              <w:left w:val="single" w:sz="4" w:space="0" w:color="D2232A" w:themeColor="accent1"/>
              <w:bottom w:val="single" w:sz="8" w:space="0" w:color="F3CFC1"/>
              <w:right w:val="single" w:sz="8" w:space="0" w:color="D2232A"/>
            </w:tcBorders>
            <w:noWrap/>
            <w:vAlign w:val="center"/>
            <w:hideMark/>
          </w:tcPr>
          <w:p w14:paraId="66B542BD"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4</w:t>
            </w:r>
          </w:p>
        </w:tc>
        <w:tc>
          <w:tcPr>
            <w:tcW w:w="0" w:type="auto"/>
            <w:tcBorders>
              <w:top w:val="single" w:sz="8" w:space="0" w:color="F3CFC1"/>
              <w:left w:val="single" w:sz="8" w:space="0" w:color="D2232A"/>
              <w:bottom w:val="single" w:sz="8" w:space="0" w:color="F3CFC1"/>
              <w:right w:val="single" w:sz="8" w:space="0" w:color="D2232A"/>
            </w:tcBorders>
            <w:noWrap/>
            <w:vAlign w:val="center"/>
            <w:hideMark/>
          </w:tcPr>
          <w:p w14:paraId="52CE3183"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316</w:t>
            </w:r>
          </w:p>
        </w:tc>
        <w:tc>
          <w:tcPr>
            <w:tcW w:w="0" w:type="auto"/>
            <w:tcBorders>
              <w:top w:val="single" w:sz="8" w:space="0" w:color="F3CFC1"/>
              <w:left w:val="single" w:sz="8" w:space="0" w:color="D2232A"/>
              <w:bottom w:val="single" w:sz="8" w:space="0" w:color="F3CFC1"/>
              <w:right w:val="single" w:sz="8" w:space="0" w:color="D2232A"/>
            </w:tcBorders>
            <w:vAlign w:val="center"/>
            <w:hideMark/>
          </w:tcPr>
          <w:p w14:paraId="4B4E5B29"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3</w:t>
            </w:r>
          </w:p>
        </w:tc>
      </w:tr>
      <w:tr w:rsidR="008878A0" w:rsidRPr="001838EE" w14:paraId="1CBB219B" w14:textId="77777777" w:rsidTr="00CD416C">
        <w:trPr>
          <w:trHeight w:val="283"/>
          <w:jc w:val="center"/>
        </w:trPr>
        <w:tc>
          <w:tcPr>
            <w:tcW w:w="0" w:type="auto"/>
            <w:tcBorders>
              <w:top w:val="single" w:sz="8" w:space="0" w:color="F3CFC1"/>
              <w:left w:val="single" w:sz="8" w:space="0" w:color="D2232A"/>
              <w:right w:val="single" w:sz="4" w:space="0" w:color="D2232A" w:themeColor="accent1"/>
            </w:tcBorders>
            <w:noWrap/>
            <w:vAlign w:val="center"/>
            <w:hideMark/>
          </w:tcPr>
          <w:p w14:paraId="229A09E9" w14:textId="77777777" w:rsidR="008878A0" w:rsidRPr="001838EE" w:rsidRDefault="008878A0" w:rsidP="00396028">
            <w:pPr>
              <w:spacing w:after="0"/>
              <w:jc w:val="left"/>
              <w:rPr>
                <w:rFonts w:cstheme="minorHAnsi"/>
                <w:b/>
                <w:bCs/>
                <w:szCs w:val="18"/>
                <w:lang w:eastAsia="hr-HR"/>
              </w:rPr>
            </w:pPr>
            <w:r w:rsidRPr="001838EE">
              <w:rPr>
                <w:rFonts w:cstheme="minorHAnsi"/>
                <w:b/>
                <w:bCs/>
                <w:szCs w:val="18"/>
                <w:lang w:eastAsia="hr-HR"/>
              </w:rPr>
              <w:t>Pregrada</w:t>
            </w:r>
          </w:p>
        </w:tc>
        <w:tc>
          <w:tcPr>
            <w:tcW w:w="0" w:type="auto"/>
            <w:tcBorders>
              <w:top w:val="single" w:sz="8" w:space="0" w:color="F3CFC1"/>
              <w:left w:val="single" w:sz="4" w:space="0" w:color="D2232A" w:themeColor="accent1"/>
              <w:right w:val="single" w:sz="8" w:space="0" w:color="D2232A"/>
            </w:tcBorders>
            <w:noWrap/>
            <w:vAlign w:val="center"/>
            <w:hideMark/>
          </w:tcPr>
          <w:p w14:paraId="0A7AE872"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noWrap/>
            <w:vAlign w:val="center"/>
            <w:hideMark/>
          </w:tcPr>
          <w:p w14:paraId="283404C1"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vAlign w:val="center"/>
            <w:hideMark/>
          </w:tcPr>
          <w:p w14:paraId="6EA72173"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r>
      <w:tr w:rsidR="008878A0" w:rsidRPr="001838EE" w14:paraId="342155F0" w14:textId="77777777" w:rsidTr="00CD416C">
        <w:trPr>
          <w:trHeight w:val="283"/>
          <w:jc w:val="center"/>
        </w:trPr>
        <w:tc>
          <w:tcPr>
            <w:tcW w:w="0" w:type="auto"/>
            <w:tcBorders>
              <w:left w:val="single" w:sz="8" w:space="0" w:color="D2232A"/>
              <w:bottom w:val="single" w:sz="8" w:space="0" w:color="F3CFC1"/>
              <w:right w:val="single" w:sz="4" w:space="0" w:color="D2232A" w:themeColor="accent1"/>
            </w:tcBorders>
            <w:noWrap/>
            <w:vAlign w:val="center"/>
            <w:hideMark/>
          </w:tcPr>
          <w:p w14:paraId="5204EF47" w14:textId="77777777" w:rsidR="008878A0" w:rsidRPr="001838EE" w:rsidRDefault="008878A0" w:rsidP="00396028">
            <w:pPr>
              <w:spacing w:after="0"/>
              <w:jc w:val="left"/>
              <w:rPr>
                <w:rFonts w:cstheme="minorHAnsi"/>
                <w:szCs w:val="18"/>
                <w:lang w:eastAsia="hr-HR"/>
              </w:rPr>
            </w:pPr>
            <w:r w:rsidRPr="001838EE">
              <w:rPr>
                <w:rFonts w:cstheme="minorHAnsi"/>
                <w:szCs w:val="18"/>
                <w:lang w:eastAsia="hr-HR"/>
              </w:rPr>
              <w:t>6. PZ Pregrada</w:t>
            </w:r>
          </w:p>
        </w:tc>
        <w:tc>
          <w:tcPr>
            <w:tcW w:w="0" w:type="auto"/>
            <w:tcBorders>
              <w:left w:val="single" w:sz="4" w:space="0" w:color="D2232A" w:themeColor="accent1"/>
              <w:bottom w:val="single" w:sz="8" w:space="0" w:color="F3CFC1"/>
              <w:right w:val="single" w:sz="8" w:space="0" w:color="D2232A"/>
            </w:tcBorders>
            <w:noWrap/>
            <w:vAlign w:val="center"/>
            <w:hideMark/>
          </w:tcPr>
          <w:p w14:paraId="225C6AEF"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14</w:t>
            </w:r>
          </w:p>
        </w:tc>
        <w:tc>
          <w:tcPr>
            <w:tcW w:w="0" w:type="auto"/>
            <w:tcBorders>
              <w:left w:val="single" w:sz="8" w:space="0" w:color="D2232A"/>
              <w:bottom w:val="single" w:sz="8" w:space="0" w:color="F3CFC1"/>
              <w:right w:val="single" w:sz="8" w:space="0" w:color="D2232A"/>
            </w:tcBorders>
            <w:noWrap/>
            <w:vAlign w:val="center"/>
            <w:hideMark/>
          </w:tcPr>
          <w:p w14:paraId="4E7F1B21"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601</w:t>
            </w:r>
          </w:p>
        </w:tc>
        <w:tc>
          <w:tcPr>
            <w:tcW w:w="0" w:type="auto"/>
            <w:tcBorders>
              <w:left w:val="single" w:sz="8" w:space="0" w:color="D2232A"/>
              <w:bottom w:val="single" w:sz="8" w:space="0" w:color="F3CFC1"/>
              <w:right w:val="single" w:sz="8" w:space="0" w:color="D2232A"/>
            </w:tcBorders>
            <w:vAlign w:val="center"/>
            <w:hideMark/>
          </w:tcPr>
          <w:p w14:paraId="7D40A5B0"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2</w:t>
            </w:r>
          </w:p>
        </w:tc>
      </w:tr>
      <w:tr w:rsidR="008878A0" w:rsidRPr="001838EE" w14:paraId="5F00E87E" w14:textId="77777777" w:rsidTr="00CD416C">
        <w:trPr>
          <w:trHeight w:val="283"/>
          <w:jc w:val="center"/>
        </w:trPr>
        <w:tc>
          <w:tcPr>
            <w:tcW w:w="0" w:type="auto"/>
            <w:tcBorders>
              <w:top w:val="single" w:sz="8" w:space="0" w:color="F3CFC1"/>
              <w:left w:val="single" w:sz="8" w:space="0" w:color="D2232A"/>
              <w:right w:val="single" w:sz="4" w:space="0" w:color="D2232A" w:themeColor="accent1"/>
            </w:tcBorders>
            <w:noWrap/>
            <w:vAlign w:val="center"/>
            <w:hideMark/>
          </w:tcPr>
          <w:p w14:paraId="7DEA9B8B" w14:textId="77777777" w:rsidR="008878A0" w:rsidRPr="001838EE" w:rsidRDefault="008878A0" w:rsidP="00396028">
            <w:pPr>
              <w:spacing w:after="0"/>
              <w:jc w:val="left"/>
              <w:rPr>
                <w:rFonts w:cstheme="minorHAnsi"/>
                <w:b/>
                <w:bCs/>
                <w:szCs w:val="18"/>
                <w:lang w:eastAsia="hr-HR"/>
              </w:rPr>
            </w:pPr>
            <w:r w:rsidRPr="001838EE">
              <w:rPr>
                <w:rFonts w:cstheme="minorHAnsi"/>
                <w:b/>
                <w:bCs/>
                <w:szCs w:val="18"/>
                <w:lang w:eastAsia="hr-HR"/>
              </w:rPr>
              <w:lastRenderedPageBreak/>
              <w:t>Sveti Križ Začretje</w:t>
            </w:r>
          </w:p>
        </w:tc>
        <w:tc>
          <w:tcPr>
            <w:tcW w:w="0" w:type="auto"/>
            <w:tcBorders>
              <w:top w:val="single" w:sz="8" w:space="0" w:color="F3CFC1"/>
              <w:left w:val="single" w:sz="4" w:space="0" w:color="D2232A" w:themeColor="accent1"/>
              <w:right w:val="single" w:sz="8" w:space="0" w:color="D2232A"/>
            </w:tcBorders>
            <w:noWrap/>
            <w:vAlign w:val="center"/>
            <w:hideMark/>
          </w:tcPr>
          <w:p w14:paraId="2C5E2F04"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noWrap/>
            <w:vAlign w:val="center"/>
            <w:hideMark/>
          </w:tcPr>
          <w:p w14:paraId="343E6852"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vAlign w:val="center"/>
            <w:hideMark/>
          </w:tcPr>
          <w:p w14:paraId="5934F0A6"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r>
      <w:tr w:rsidR="008878A0" w:rsidRPr="001838EE" w14:paraId="4E842551" w14:textId="77777777" w:rsidTr="00CD416C">
        <w:trPr>
          <w:trHeight w:val="283"/>
          <w:jc w:val="center"/>
        </w:trPr>
        <w:tc>
          <w:tcPr>
            <w:tcW w:w="0" w:type="auto"/>
            <w:tcBorders>
              <w:left w:val="single" w:sz="8" w:space="0" w:color="D2232A"/>
              <w:bottom w:val="single" w:sz="8" w:space="0" w:color="F3CFC1"/>
              <w:right w:val="single" w:sz="4" w:space="0" w:color="D2232A" w:themeColor="accent1"/>
            </w:tcBorders>
            <w:noWrap/>
            <w:vAlign w:val="center"/>
            <w:hideMark/>
          </w:tcPr>
          <w:p w14:paraId="40E421F5" w14:textId="77777777" w:rsidR="008878A0" w:rsidRPr="001838EE" w:rsidRDefault="008878A0" w:rsidP="00396028">
            <w:pPr>
              <w:spacing w:after="0"/>
              <w:jc w:val="left"/>
              <w:rPr>
                <w:rFonts w:cstheme="minorHAnsi"/>
                <w:szCs w:val="18"/>
                <w:lang w:eastAsia="hr-HR"/>
              </w:rPr>
            </w:pPr>
            <w:r w:rsidRPr="001838EE">
              <w:rPr>
                <w:rFonts w:cstheme="minorHAnsi"/>
                <w:szCs w:val="18"/>
                <w:lang w:eastAsia="hr-HR"/>
              </w:rPr>
              <w:t>7. Zona malog gospodarstva LUG</w:t>
            </w:r>
          </w:p>
        </w:tc>
        <w:tc>
          <w:tcPr>
            <w:tcW w:w="0" w:type="auto"/>
            <w:tcBorders>
              <w:left w:val="single" w:sz="4" w:space="0" w:color="D2232A" w:themeColor="accent1"/>
              <w:bottom w:val="single" w:sz="8" w:space="0" w:color="F3CFC1"/>
              <w:right w:val="single" w:sz="8" w:space="0" w:color="D2232A"/>
            </w:tcBorders>
            <w:noWrap/>
            <w:vAlign w:val="center"/>
            <w:hideMark/>
          </w:tcPr>
          <w:p w14:paraId="0AF79B55"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17</w:t>
            </w:r>
          </w:p>
        </w:tc>
        <w:tc>
          <w:tcPr>
            <w:tcW w:w="0" w:type="auto"/>
            <w:tcBorders>
              <w:left w:val="single" w:sz="8" w:space="0" w:color="D2232A"/>
              <w:bottom w:val="single" w:sz="8" w:space="0" w:color="F3CFC1"/>
              <w:right w:val="single" w:sz="8" w:space="0" w:color="D2232A"/>
            </w:tcBorders>
            <w:noWrap/>
            <w:vAlign w:val="center"/>
            <w:hideMark/>
          </w:tcPr>
          <w:p w14:paraId="580ED1DC"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508</w:t>
            </w:r>
          </w:p>
        </w:tc>
        <w:tc>
          <w:tcPr>
            <w:tcW w:w="0" w:type="auto"/>
            <w:tcBorders>
              <w:left w:val="single" w:sz="8" w:space="0" w:color="D2232A"/>
              <w:bottom w:val="single" w:sz="8" w:space="0" w:color="F3CFC1"/>
              <w:right w:val="single" w:sz="8" w:space="0" w:color="D2232A"/>
            </w:tcBorders>
            <w:vAlign w:val="center"/>
            <w:hideMark/>
          </w:tcPr>
          <w:p w14:paraId="4B95D7C9"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4</w:t>
            </w:r>
          </w:p>
        </w:tc>
      </w:tr>
      <w:tr w:rsidR="008878A0" w:rsidRPr="001838EE" w14:paraId="4CD5ACBF" w14:textId="77777777" w:rsidTr="00CD416C">
        <w:trPr>
          <w:trHeight w:val="283"/>
          <w:jc w:val="center"/>
        </w:trPr>
        <w:tc>
          <w:tcPr>
            <w:tcW w:w="0" w:type="auto"/>
            <w:tcBorders>
              <w:top w:val="single" w:sz="8" w:space="0" w:color="F3CFC1"/>
              <w:left w:val="single" w:sz="8" w:space="0" w:color="D2232A"/>
              <w:right w:val="single" w:sz="4" w:space="0" w:color="D2232A" w:themeColor="accent1"/>
            </w:tcBorders>
            <w:noWrap/>
            <w:vAlign w:val="center"/>
            <w:hideMark/>
          </w:tcPr>
          <w:p w14:paraId="3E987276" w14:textId="77777777" w:rsidR="008878A0" w:rsidRPr="001838EE" w:rsidRDefault="008878A0" w:rsidP="00396028">
            <w:pPr>
              <w:spacing w:after="0"/>
              <w:jc w:val="left"/>
              <w:rPr>
                <w:rFonts w:cstheme="minorHAnsi"/>
                <w:b/>
                <w:bCs/>
                <w:szCs w:val="18"/>
                <w:lang w:eastAsia="hr-HR"/>
              </w:rPr>
            </w:pPr>
            <w:r w:rsidRPr="001838EE">
              <w:rPr>
                <w:rFonts w:cstheme="minorHAnsi"/>
                <w:b/>
                <w:bCs/>
                <w:szCs w:val="18"/>
                <w:lang w:eastAsia="hr-HR"/>
              </w:rPr>
              <w:t>Veliko Trgovišće</w:t>
            </w:r>
          </w:p>
        </w:tc>
        <w:tc>
          <w:tcPr>
            <w:tcW w:w="0" w:type="auto"/>
            <w:tcBorders>
              <w:top w:val="single" w:sz="8" w:space="0" w:color="F3CFC1"/>
              <w:left w:val="single" w:sz="4" w:space="0" w:color="D2232A" w:themeColor="accent1"/>
              <w:right w:val="single" w:sz="8" w:space="0" w:color="D2232A"/>
            </w:tcBorders>
            <w:noWrap/>
            <w:vAlign w:val="center"/>
            <w:hideMark/>
          </w:tcPr>
          <w:p w14:paraId="796BF121"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noWrap/>
            <w:vAlign w:val="center"/>
            <w:hideMark/>
          </w:tcPr>
          <w:p w14:paraId="3D0E7E24"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vAlign w:val="center"/>
            <w:hideMark/>
          </w:tcPr>
          <w:p w14:paraId="700A0E5B" w14:textId="77777777" w:rsidR="008878A0" w:rsidRPr="001838EE" w:rsidRDefault="008878A0" w:rsidP="00396028">
            <w:pPr>
              <w:spacing w:after="0"/>
              <w:jc w:val="right"/>
              <w:rPr>
                <w:rFonts w:cstheme="minorHAnsi"/>
                <w:b/>
                <w:bCs/>
                <w:szCs w:val="18"/>
                <w:lang w:eastAsia="hr-HR"/>
              </w:rPr>
            </w:pPr>
            <w:r w:rsidRPr="001838EE">
              <w:rPr>
                <w:rFonts w:ascii="Calibri" w:hAnsi="Calibri" w:cs="Calibri"/>
                <w:b/>
                <w:bCs/>
                <w:szCs w:val="18"/>
                <w:lang w:eastAsia="hr-HR"/>
              </w:rPr>
              <w:t> </w:t>
            </w:r>
          </w:p>
        </w:tc>
      </w:tr>
      <w:tr w:rsidR="008878A0" w:rsidRPr="001838EE" w14:paraId="271A06A9" w14:textId="77777777" w:rsidTr="00CD416C">
        <w:trPr>
          <w:trHeight w:val="283"/>
          <w:jc w:val="center"/>
        </w:trPr>
        <w:tc>
          <w:tcPr>
            <w:tcW w:w="0" w:type="auto"/>
            <w:tcBorders>
              <w:left w:val="single" w:sz="8" w:space="0" w:color="D2232A"/>
              <w:bottom w:val="single" w:sz="8" w:space="0" w:color="F3CFC1"/>
              <w:right w:val="single" w:sz="4" w:space="0" w:color="D2232A" w:themeColor="accent1"/>
            </w:tcBorders>
            <w:noWrap/>
            <w:vAlign w:val="center"/>
            <w:hideMark/>
          </w:tcPr>
          <w:p w14:paraId="3C51069C" w14:textId="77777777" w:rsidR="008878A0" w:rsidRPr="001838EE" w:rsidRDefault="008878A0" w:rsidP="00396028">
            <w:pPr>
              <w:spacing w:after="0"/>
              <w:jc w:val="left"/>
              <w:rPr>
                <w:rFonts w:cstheme="minorHAnsi"/>
                <w:szCs w:val="18"/>
                <w:lang w:eastAsia="hr-HR"/>
              </w:rPr>
            </w:pPr>
            <w:r w:rsidRPr="001838EE">
              <w:rPr>
                <w:rFonts w:cstheme="minorHAnsi"/>
                <w:szCs w:val="18"/>
                <w:lang w:eastAsia="hr-HR"/>
              </w:rPr>
              <w:t>8. Gospodarska zona Veliko Trgovišće</w:t>
            </w:r>
          </w:p>
        </w:tc>
        <w:tc>
          <w:tcPr>
            <w:tcW w:w="0" w:type="auto"/>
            <w:tcBorders>
              <w:left w:val="single" w:sz="4" w:space="0" w:color="D2232A" w:themeColor="accent1"/>
              <w:bottom w:val="single" w:sz="8" w:space="0" w:color="F3CFC1"/>
              <w:right w:val="single" w:sz="8" w:space="0" w:color="D2232A"/>
            </w:tcBorders>
            <w:noWrap/>
            <w:vAlign w:val="center"/>
            <w:hideMark/>
          </w:tcPr>
          <w:p w14:paraId="0B7765BE"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6</w:t>
            </w:r>
          </w:p>
        </w:tc>
        <w:tc>
          <w:tcPr>
            <w:tcW w:w="0" w:type="auto"/>
            <w:tcBorders>
              <w:left w:val="single" w:sz="8" w:space="0" w:color="D2232A"/>
              <w:bottom w:val="single" w:sz="8" w:space="0" w:color="F3CFC1"/>
              <w:right w:val="single" w:sz="8" w:space="0" w:color="D2232A"/>
            </w:tcBorders>
            <w:noWrap/>
            <w:vAlign w:val="center"/>
            <w:hideMark/>
          </w:tcPr>
          <w:p w14:paraId="7E86E00B"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149</w:t>
            </w:r>
          </w:p>
        </w:tc>
        <w:tc>
          <w:tcPr>
            <w:tcW w:w="0" w:type="auto"/>
            <w:tcBorders>
              <w:left w:val="single" w:sz="8" w:space="0" w:color="D2232A"/>
              <w:bottom w:val="single" w:sz="8" w:space="0" w:color="F3CFC1"/>
              <w:right w:val="single" w:sz="8" w:space="0" w:color="D2232A"/>
            </w:tcBorders>
            <w:vAlign w:val="center"/>
            <w:hideMark/>
          </w:tcPr>
          <w:p w14:paraId="174E04C7" w14:textId="77777777" w:rsidR="008878A0" w:rsidRPr="001838EE" w:rsidRDefault="008878A0" w:rsidP="00396028">
            <w:pPr>
              <w:spacing w:after="0"/>
              <w:jc w:val="right"/>
              <w:rPr>
                <w:rFonts w:cstheme="minorHAnsi"/>
                <w:szCs w:val="18"/>
                <w:lang w:eastAsia="hr-HR"/>
              </w:rPr>
            </w:pPr>
            <w:r w:rsidRPr="001838EE">
              <w:rPr>
                <w:rFonts w:cstheme="minorHAnsi"/>
                <w:szCs w:val="18"/>
                <w:lang w:eastAsia="hr-HR"/>
              </w:rPr>
              <w:t>3</w:t>
            </w:r>
          </w:p>
        </w:tc>
      </w:tr>
      <w:tr w:rsidR="008878A0" w:rsidRPr="001838EE" w14:paraId="116FDBC2" w14:textId="77777777" w:rsidTr="00CD416C">
        <w:trPr>
          <w:trHeight w:val="283"/>
          <w:jc w:val="center"/>
        </w:trPr>
        <w:tc>
          <w:tcPr>
            <w:tcW w:w="0" w:type="auto"/>
            <w:tcBorders>
              <w:top w:val="single" w:sz="8" w:space="0" w:color="F3CFC1"/>
              <w:left w:val="single" w:sz="8" w:space="0" w:color="D2232A"/>
              <w:right w:val="single" w:sz="4" w:space="0" w:color="D2232A" w:themeColor="accent1"/>
            </w:tcBorders>
            <w:noWrap/>
            <w:vAlign w:val="center"/>
            <w:hideMark/>
          </w:tcPr>
          <w:p w14:paraId="2C7E35FF" w14:textId="77777777" w:rsidR="008878A0" w:rsidRPr="001838EE" w:rsidRDefault="008878A0" w:rsidP="00396028">
            <w:pPr>
              <w:spacing w:after="0"/>
              <w:jc w:val="left"/>
              <w:rPr>
                <w:rFonts w:cstheme="minorHAnsi"/>
                <w:b/>
                <w:bCs/>
                <w:szCs w:val="18"/>
                <w:lang w:eastAsia="hr-HR"/>
              </w:rPr>
            </w:pPr>
            <w:r w:rsidRPr="001838EE">
              <w:rPr>
                <w:rFonts w:cstheme="minorHAnsi"/>
                <w:b/>
                <w:bCs/>
                <w:szCs w:val="18"/>
                <w:lang w:eastAsia="hr-HR"/>
              </w:rPr>
              <w:t>Zabok</w:t>
            </w:r>
          </w:p>
        </w:tc>
        <w:tc>
          <w:tcPr>
            <w:tcW w:w="0" w:type="auto"/>
            <w:tcBorders>
              <w:top w:val="single" w:sz="8" w:space="0" w:color="F3CFC1"/>
              <w:left w:val="single" w:sz="4" w:space="0" w:color="D2232A" w:themeColor="accent1"/>
              <w:right w:val="single" w:sz="8" w:space="0" w:color="D2232A"/>
            </w:tcBorders>
            <w:noWrap/>
            <w:vAlign w:val="center"/>
            <w:hideMark/>
          </w:tcPr>
          <w:p w14:paraId="00EA3EBF" w14:textId="77777777" w:rsidR="008878A0" w:rsidRPr="001838EE" w:rsidRDefault="008878A0" w:rsidP="00941871">
            <w:pPr>
              <w:spacing w:after="0"/>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noWrap/>
            <w:vAlign w:val="center"/>
            <w:hideMark/>
          </w:tcPr>
          <w:p w14:paraId="3575E753" w14:textId="77777777" w:rsidR="008878A0" w:rsidRPr="001838EE" w:rsidRDefault="008878A0" w:rsidP="00941871">
            <w:pPr>
              <w:spacing w:after="0"/>
              <w:rPr>
                <w:rFonts w:cstheme="minorHAnsi"/>
                <w:b/>
                <w:bCs/>
                <w:szCs w:val="18"/>
                <w:lang w:eastAsia="hr-HR"/>
              </w:rPr>
            </w:pPr>
            <w:r w:rsidRPr="001838EE">
              <w:rPr>
                <w:rFonts w:ascii="Calibri" w:hAnsi="Calibri" w:cs="Calibri"/>
                <w:b/>
                <w:bCs/>
                <w:szCs w:val="18"/>
                <w:lang w:eastAsia="hr-HR"/>
              </w:rPr>
              <w:t> </w:t>
            </w:r>
          </w:p>
        </w:tc>
        <w:tc>
          <w:tcPr>
            <w:tcW w:w="0" w:type="auto"/>
            <w:tcBorders>
              <w:top w:val="single" w:sz="8" w:space="0" w:color="F3CFC1"/>
              <w:left w:val="single" w:sz="8" w:space="0" w:color="D2232A"/>
              <w:right w:val="single" w:sz="8" w:space="0" w:color="D2232A"/>
            </w:tcBorders>
            <w:vAlign w:val="center"/>
            <w:hideMark/>
          </w:tcPr>
          <w:p w14:paraId="07382F01" w14:textId="77777777" w:rsidR="008878A0" w:rsidRPr="001838EE" w:rsidRDefault="008878A0" w:rsidP="00941871">
            <w:pPr>
              <w:spacing w:after="0"/>
              <w:rPr>
                <w:rFonts w:cstheme="minorHAnsi"/>
                <w:b/>
                <w:bCs/>
                <w:szCs w:val="18"/>
                <w:lang w:eastAsia="hr-HR"/>
              </w:rPr>
            </w:pPr>
            <w:r w:rsidRPr="001838EE">
              <w:rPr>
                <w:rFonts w:ascii="Calibri" w:hAnsi="Calibri" w:cs="Calibri"/>
                <w:b/>
                <w:bCs/>
                <w:szCs w:val="18"/>
                <w:lang w:eastAsia="hr-HR"/>
              </w:rPr>
              <w:t> </w:t>
            </w:r>
          </w:p>
        </w:tc>
      </w:tr>
      <w:tr w:rsidR="008878A0" w:rsidRPr="001838EE" w14:paraId="49F68574" w14:textId="77777777" w:rsidTr="00CD416C">
        <w:trPr>
          <w:trHeight w:val="283"/>
          <w:jc w:val="center"/>
        </w:trPr>
        <w:tc>
          <w:tcPr>
            <w:tcW w:w="0" w:type="auto"/>
            <w:tcBorders>
              <w:left w:val="single" w:sz="8" w:space="0" w:color="D2232A"/>
              <w:right w:val="single" w:sz="4" w:space="0" w:color="D2232A" w:themeColor="accent1"/>
            </w:tcBorders>
            <w:noWrap/>
            <w:vAlign w:val="center"/>
            <w:hideMark/>
          </w:tcPr>
          <w:p w14:paraId="0B4E6344" w14:textId="77777777" w:rsidR="008878A0" w:rsidRPr="001838EE" w:rsidRDefault="008878A0" w:rsidP="00396028">
            <w:pPr>
              <w:spacing w:after="0"/>
              <w:rPr>
                <w:rFonts w:cstheme="minorHAnsi"/>
                <w:szCs w:val="18"/>
                <w:lang w:eastAsia="hr-HR"/>
              </w:rPr>
            </w:pPr>
            <w:r w:rsidRPr="001838EE">
              <w:rPr>
                <w:rFonts w:cstheme="minorHAnsi"/>
                <w:szCs w:val="18"/>
                <w:lang w:eastAsia="hr-HR"/>
              </w:rPr>
              <w:t>9. Gospodarska zona</w:t>
            </w:r>
          </w:p>
        </w:tc>
        <w:tc>
          <w:tcPr>
            <w:tcW w:w="0" w:type="auto"/>
            <w:tcBorders>
              <w:left w:val="single" w:sz="4" w:space="0" w:color="D2232A" w:themeColor="accent1"/>
              <w:right w:val="single" w:sz="8" w:space="0" w:color="D2232A"/>
            </w:tcBorders>
            <w:noWrap/>
            <w:vAlign w:val="center"/>
            <w:hideMark/>
          </w:tcPr>
          <w:p w14:paraId="5942ED9C" w14:textId="77777777" w:rsidR="008878A0" w:rsidRPr="001838EE" w:rsidRDefault="008878A0" w:rsidP="007F2B15">
            <w:pPr>
              <w:spacing w:after="0"/>
              <w:jc w:val="right"/>
              <w:rPr>
                <w:rFonts w:cstheme="minorHAnsi"/>
                <w:szCs w:val="18"/>
                <w:lang w:eastAsia="hr-HR"/>
              </w:rPr>
            </w:pPr>
            <w:r w:rsidRPr="001838EE">
              <w:rPr>
                <w:rFonts w:cstheme="minorHAnsi"/>
                <w:szCs w:val="18"/>
                <w:lang w:eastAsia="hr-HR"/>
              </w:rPr>
              <w:t>90</w:t>
            </w:r>
          </w:p>
        </w:tc>
        <w:tc>
          <w:tcPr>
            <w:tcW w:w="0" w:type="auto"/>
            <w:tcBorders>
              <w:left w:val="single" w:sz="8" w:space="0" w:color="D2232A"/>
              <w:right w:val="single" w:sz="8" w:space="0" w:color="D2232A"/>
            </w:tcBorders>
            <w:noWrap/>
            <w:vAlign w:val="center"/>
            <w:hideMark/>
          </w:tcPr>
          <w:p w14:paraId="77A26591" w14:textId="77777777" w:rsidR="008878A0" w:rsidRPr="001838EE" w:rsidRDefault="008878A0" w:rsidP="007F2B15">
            <w:pPr>
              <w:spacing w:after="0"/>
              <w:jc w:val="right"/>
              <w:rPr>
                <w:rFonts w:cstheme="minorHAnsi"/>
                <w:szCs w:val="18"/>
                <w:lang w:eastAsia="hr-HR"/>
              </w:rPr>
            </w:pPr>
            <w:r w:rsidRPr="001838EE">
              <w:rPr>
                <w:rFonts w:cstheme="minorHAnsi"/>
                <w:szCs w:val="18"/>
                <w:lang w:eastAsia="hr-HR"/>
              </w:rPr>
              <w:t>1.809</w:t>
            </w:r>
          </w:p>
        </w:tc>
        <w:tc>
          <w:tcPr>
            <w:tcW w:w="0" w:type="auto"/>
            <w:tcBorders>
              <w:left w:val="single" w:sz="8" w:space="0" w:color="D2232A"/>
              <w:right w:val="single" w:sz="8" w:space="0" w:color="D2232A"/>
            </w:tcBorders>
            <w:vAlign w:val="center"/>
            <w:hideMark/>
          </w:tcPr>
          <w:p w14:paraId="2C1F5B18" w14:textId="77777777" w:rsidR="008878A0" w:rsidRPr="001838EE" w:rsidRDefault="008878A0" w:rsidP="007F2B15">
            <w:pPr>
              <w:spacing w:after="0"/>
              <w:jc w:val="right"/>
              <w:rPr>
                <w:rFonts w:cstheme="minorHAnsi"/>
                <w:szCs w:val="18"/>
                <w:lang w:eastAsia="hr-HR"/>
              </w:rPr>
            </w:pPr>
            <w:r w:rsidRPr="001838EE">
              <w:rPr>
                <w:rFonts w:cstheme="minorHAnsi"/>
                <w:szCs w:val="18"/>
                <w:lang w:eastAsia="hr-HR"/>
              </w:rPr>
              <w:t>17</w:t>
            </w:r>
          </w:p>
        </w:tc>
      </w:tr>
      <w:tr w:rsidR="008878A0" w:rsidRPr="001838EE" w14:paraId="70AE8186" w14:textId="77777777" w:rsidTr="00CD416C">
        <w:trPr>
          <w:trHeight w:val="283"/>
          <w:jc w:val="center"/>
        </w:trPr>
        <w:tc>
          <w:tcPr>
            <w:tcW w:w="0" w:type="auto"/>
            <w:tcBorders>
              <w:left w:val="single" w:sz="8" w:space="0" w:color="D2232A"/>
              <w:right w:val="single" w:sz="4" w:space="0" w:color="D2232A" w:themeColor="accent1"/>
            </w:tcBorders>
            <w:shd w:val="clear" w:color="auto" w:fill="E5E5E5" w:themeFill="text1" w:themeFillTint="33"/>
            <w:noWrap/>
            <w:vAlign w:val="center"/>
            <w:hideMark/>
          </w:tcPr>
          <w:p w14:paraId="116A95E6" w14:textId="77777777" w:rsidR="008878A0" w:rsidRPr="001838EE" w:rsidRDefault="008878A0" w:rsidP="007F2B15">
            <w:pPr>
              <w:spacing w:after="0"/>
              <w:jc w:val="center"/>
              <w:rPr>
                <w:rFonts w:cstheme="minorHAnsi"/>
                <w:b/>
                <w:bCs/>
                <w:szCs w:val="18"/>
                <w:lang w:eastAsia="hr-HR"/>
              </w:rPr>
            </w:pPr>
            <w:r w:rsidRPr="001838EE">
              <w:rPr>
                <w:rFonts w:cstheme="minorHAnsi"/>
                <w:b/>
                <w:bCs/>
                <w:szCs w:val="18"/>
                <w:lang w:eastAsia="hr-HR"/>
              </w:rPr>
              <w:t>Ukupno</w:t>
            </w:r>
          </w:p>
        </w:tc>
        <w:tc>
          <w:tcPr>
            <w:tcW w:w="0" w:type="auto"/>
            <w:tcBorders>
              <w:left w:val="single" w:sz="4" w:space="0" w:color="D2232A" w:themeColor="accent1"/>
              <w:right w:val="single" w:sz="8" w:space="0" w:color="D2232A"/>
            </w:tcBorders>
            <w:shd w:val="clear" w:color="auto" w:fill="E5E5E5" w:themeFill="text1" w:themeFillTint="33"/>
            <w:noWrap/>
            <w:vAlign w:val="center"/>
            <w:hideMark/>
          </w:tcPr>
          <w:p w14:paraId="41055B77" w14:textId="77777777" w:rsidR="008878A0" w:rsidRPr="001838EE" w:rsidRDefault="008878A0" w:rsidP="007F2B15">
            <w:pPr>
              <w:spacing w:after="0"/>
              <w:jc w:val="center"/>
              <w:rPr>
                <w:rFonts w:cstheme="minorHAnsi"/>
                <w:b/>
                <w:bCs/>
                <w:szCs w:val="18"/>
                <w:lang w:eastAsia="hr-HR"/>
              </w:rPr>
            </w:pPr>
            <w:r w:rsidRPr="001838EE">
              <w:rPr>
                <w:rFonts w:cstheme="minorHAnsi"/>
                <w:b/>
                <w:bCs/>
                <w:szCs w:val="18"/>
                <w:lang w:eastAsia="hr-HR"/>
              </w:rPr>
              <w:t>159</w:t>
            </w:r>
          </w:p>
        </w:tc>
        <w:tc>
          <w:tcPr>
            <w:tcW w:w="0" w:type="auto"/>
            <w:tcBorders>
              <w:left w:val="single" w:sz="8" w:space="0" w:color="D2232A"/>
              <w:right w:val="single" w:sz="8" w:space="0" w:color="D2232A"/>
            </w:tcBorders>
            <w:shd w:val="clear" w:color="auto" w:fill="E5E5E5" w:themeFill="text1" w:themeFillTint="33"/>
            <w:noWrap/>
            <w:vAlign w:val="center"/>
            <w:hideMark/>
          </w:tcPr>
          <w:p w14:paraId="0592C5F1" w14:textId="77777777" w:rsidR="008878A0" w:rsidRPr="001838EE" w:rsidRDefault="008878A0" w:rsidP="007F2B15">
            <w:pPr>
              <w:spacing w:after="0"/>
              <w:jc w:val="center"/>
              <w:rPr>
                <w:rFonts w:cstheme="minorHAnsi"/>
                <w:b/>
                <w:bCs/>
                <w:szCs w:val="18"/>
                <w:lang w:eastAsia="hr-HR"/>
              </w:rPr>
            </w:pPr>
            <w:r w:rsidRPr="001838EE">
              <w:rPr>
                <w:rFonts w:cstheme="minorHAnsi"/>
                <w:b/>
                <w:bCs/>
                <w:szCs w:val="18"/>
                <w:lang w:eastAsia="hr-HR"/>
              </w:rPr>
              <w:t>4.594</w:t>
            </w:r>
          </w:p>
        </w:tc>
        <w:tc>
          <w:tcPr>
            <w:tcW w:w="0" w:type="auto"/>
            <w:tcBorders>
              <w:left w:val="single" w:sz="8" w:space="0" w:color="D2232A"/>
              <w:right w:val="single" w:sz="8" w:space="0" w:color="D2232A"/>
            </w:tcBorders>
            <w:shd w:val="clear" w:color="auto" w:fill="E5E5E5" w:themeFill="text1" w:themeFillTint="33"/>
            <w:vAlign w:val="center"/>
            <w:hideMark/>
          </w:tcPr>
          <w:p w14:paraId="6AC05CA1" w14:textId="77777777" w:rsidR="008878A0" w:rsidRPr="001838EE" w:rsidRDefault="008878A0" w:rsidP="007F2B15">
            <w:pPr>
              <w:spacing w:after="0"/>
              <w:jc w:val="center"/>
              <w:rPr>
                <w:rFonts w:cstheme="minorHAnsi"/>
                <w:b/>
                <w:bCs/>
                <w:szCs w:val="18"/>
                <w:lang w:eastAsia="hr-HR"/>
              </w:rPr>
            </w:pPr>
            <w:r w:rsidRPr="001838EE">
              <w:rPr>
                <w:rFonts w:cstheme="minorHAnsi"/>
                <w:b/>
                <w:bCs/>
                <w:szCs w:val="18"/>
                <w:lang w:eastAsia="hr-HR"/>
              </w:rPr>
              <w:t>38</w:t>
            </w:r>
          </w:p>
        </w:tc>
      </w:tr>
    </w:tbl>
    <w:p w14:paraId="71ABE73D" w14:textId="516F33F7"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MINGO</w:t>
      </w:r>
    </w:p>
    <w:p w14:paraId="48F08411" w14:textId="77777777" w:rsidR="001838EE" w:rsidRDefault="001838EE" w:rsidP="00941871">
      <w:pPr>
        <w:rPr>
          <w:rFonts w:cstheme="minorHAnsi"/>
        </w:rPr>
      </w:pPr>
    </w:p>
    <w:p w14:paraId="2803B3BE" w14:textId="41D9A4D1" w:rsidR="001838EE" w:rsidRDefault="008878A0" w:rsidP="00941871">
      <w:pPr>
        <w:rPr>
          <w:rFonts w:cstheme="minorHAnsi"/>
        </w:rPr>
      </w:pPr>
      <w:r>
        <w:rPr>
          <w:rFonts w:cstheme="minorHAnsi"/>
        </w:rPr>
        <w:t xml:space="preserve">Prema informaciji Ministarstva, </w:t>
      </w:r>
      <w:r w:rsidR="000F4955">
        <w:rPr>
          <w:rFonts w:cstheme="minorHAnsi"/>
        </w:rPr>
        <w:t>preostalih</w:t>
      </w:r>
      <w:r>
        <w:rPr>
          <w:rFonts w:cstheme="minorHAnsi"/>
        </w:rPr>
        <w:t xml:space="preserve"> jedanaest poduzetničkih zona koje su upisane u Jedinstveni registar poduzetničke infrastrukture, za sada nije službeno verificirano (iz razloga što osnivači nisu dostavili sve relevantne podatke potrebne za verifikaciju).</w:t>
      </w:r>
    </w:p>
    <w:p w14:paraId="5594BA72" w14:textId="77777777" w:rsidR="0052192B" w:rsidRPr="00675AF7" w:rsidRDefault="0052192B" w:rsidP="00941871">
      <w:pPr>
        <w:rPr>
          <w:rFonts w:cstheme="minorHAnsi"/>
        </w:rPr>
      </w:pPr>
    </w:p>
    <w:p w14:paraId="5C79D96E" w14:textId="61F2C84E" w:rsidR="001838EE" w:rsidRDefault="001838EE" w:rsidP="003E3F3C">
      <w:pPr>
        <w:pStyle w:val="Opisslike"/>
      </w:pPr>
      <w:r>
        <w:t>Tablica</w:t>
      </w:r>
      <w:r w:rsidR="006207AF">
        <w:t xml:space="preserve"> </w:t>
      </w:r>
      <w:r w:rsidR="000D5E3F">
        <w:t>92</w:t>
      </w:r>
      <w:r>
        <w:t xml:space="preserve">. </w:t>
      </w:r>
      <w:r w:rsidR="006513DC">
        <w:t xml:space="preserve">Poduzetničke </w:t>
      </w:r>
      <w:r w:rsidRPr="00DF6DA0">
        <w:t>zone Krapinsko-zagorske županije bez verifikacije, stanje studeni 2019.</w:t>
      </w:r>
    </w:p>
    <w:tbl>
      <w:tblPr>
        <w:tblW w:w="0" w:type="auto"/>
        <w:tblCellMar>
          <w:left w:w="0" w:type="dxa"/>
          <w:right w:w="0" w:type="dxa"/>
        </w:tblCellMar>
        <w:tblLook w:val="04A0" w:firstRow="1" w:lastRow="0" w:firstColumn="1" w:lastColumn="0" w:noHBand="0" w:noVBand="1"/>
      </w:tblPr>
      <w:tblGrid>
        <w:gridCol w:w="8637"/>
      </w:tblGrid>
      <w:tr w:rsidR="008878A0" w14:paraId="3DA4D9C6" w14:textId="77777777" w:rsidTr="0095306D">
        <w:trPr>
          <w:trHeight w:val="300"/>
          <w:tblHeader/>
        </w:trPr>
        <w:tc>
          <w:tcPr>
            <w:tcW w:w="8637" w:type="dxa"/>
            <w:tcBorders>
              <w:left w:val="single" w:sz="8" w:space="0" w:color="D2232A"/>
              <w:right w:val="single" w:sz="8" w:space="0" w:color="D2232A"/>
            </w:tcBorders>
            <w:shd w:val="clear" w:color="auto" w:fill="D2232A" w:themeFill="accent1"/>
            <w:noWrap/>
            <w:tcMar>
              <w:top w:w="0" w:type="dxa"/>
              <w:left w:w="108" w:type="dxa"/>
              <w:bottom w:w="0" w:type="dxa"/>
              <w:right w:w="108" w:type="dxa"/>
            </w:tcMar>
            <w:vAlign w:val="center"/>
            <w:hideMark/>
          </w:tcPr>
          <w:p w14:paraId="72BC520E" w14:textId="77777777" w:rsidR="008878A0" w:rsidRDefault="008878A0" w:rsidP="0095306D">
            <w:pPr>
              <w:spacing w:after="0"/>
              <w:jc w:val="left"/>
              <w:rPr>
                <w:rFonts w:cstheme="minorHAnsi"/>
                <w:b/>
                <w:bCs/>
                <w:color w:val="C00000"/>
              </w:rPr>
            </w:pPr>
            <w:r>
              <w:rPr>
                <w:rFonts w:cstheme="minorHAnsi"/>
                <w:b/>
                <w:bCs/>
                <w:color w:val="FFFFFF" w:themeColor="background1"/>
              </w:rPr>
              <w:t>Poduzetnička zona</w:t>
            </w:r>
          </w:p>
        </w:tc>
      </w:tr>
      <w:tr w:rsidR="008878A0" w14:paraId="49601BDC" w14:textId="77777777" w:rsidTr="0095306D">
        <w:trPr>
          <w:trHeight w:val="300"/>
        </w:trPr>
        <w:tc>
          <w:tcPr>
            <w:tcW w:w="8637" w:type="dxa"/>
            <w:tcBorders>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78434FFA" w14:textId="77777777" w:rsidR="008878A0" w:rsidRPr="00807CBF" w:rsidRDefault="008878A0" w:rsidP="0095306D">
            <w:pPr>
              <w:spacing w:after="0"/>
              <w:jc w:val="left"/>
              <w:rPr>
                <w:rFonts w:cstheme="minorHAnsi"/>
                <w:b/>
                <w:bCs/>
              </w:rPr>
            </w:pPr>
            <w:r w:rsidRPr="00807CBF">
              <w:rPr>
                <w:rFonts w:cstheme="minorHAnsi"/>
                <w:b/>
                <w:bCs/>
              </w:rPr>
              <w:t>Bedekovčina</w:t>
            </w:r>
          </w:p>
        </w:tc>
      </w:tr>
      <w:tr w:rsidR="008878A0" w14:paraId="7FDF8BFD"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0719B273" w14:textId="6F639254" w:rsidR="008878A0" w:rsidRPr="00807CBF" w:rsidRDefault="008878A0" w:rsidP="009C3D14">
            <w:pPr>
              <w:pStyle w:val="Odlomakpopisa"/>
              <w:numPr>
                <w:ilvl w:val="0"/>
                <w:numId w:val="31"/>
              </w:numPr>
              <w:spacing w:after="0"/>
            </w:pPr>
            <w:r w:rsidRPr="00807CBF">
              <w:t xml:space="preserve">Gospodarska </w:t>
            </w:r>
            <w:r w:rsidRPr="009C3D14">
              <w:rPr>
                <w:rFonts w:cstheme="minorHAnsi"/>
                <w:szCs w:val="18"/>
                <w:lang w:eastAsia="hr-HR"/>
              </w:rPr>
              <w:t>zona</w:t>
            </w:r>
            <w:r w:rsidRPr="00807CBF">
              <w:t xml:space="preserve"> Bedekovčina I</w:t>
            </w:r>
          </w:p>
        </w:tc>
      </w:tr>
      <w:tr w:rsidR="008878A0" w14:paraId="2E58A757"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3E0A5B2D" w14:textId="650CED3D" w:rsidR="008878A0" w:rsidRPr="00807CBF" w:rsidRDefault="008878A0" w:rsidP="009C3D14">
            <w:pPr>
              <w:pStyle w:val="Odlomakpopisa"/>
              <w:numPr>
                <w:ilvl w:val="0"/>
                <w:numId w:val="31"/>
              </w:numPr>
              <w:spacing w:after="0"/>
              <w:jc w:val="left"/>
            </w:pPr>
            <w:r w:rsidRPr="009C3D14">
              <w:rPr>
                <w:rFonts w:cstheme="minorHAnsi"/>
                <w:szCs w:val="18"/>
                <w:lang w:eastAsia="hr-HR"/>
              </w:rPr>
              <w:t>Gospodarska zona Poznanovec</w:t>
            </w:r>
          </w:p>
        </w:tc>
      </w:tr>
      <w:tr w:rsidR="008878A0" w14:paraId="363B1558"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1A186DDA" w14:textId="77777777" w:rsidR="008878A0" w:rsidRPr="00807CBF" w:rsidRDefault="008878A0" w:rsidP="0095306D">
            <w:pPr>
              <w:spacing w:after="0"/>
              <w:jc w:val="left"/>
              <w:rPr>
                <w:rFonts w:cstheme="minorHAnsi"/>
                <w:b/>
                <w:bCs/>
              </w:rPr>
            </w:pPr>
            <w:r w:rsidRPr="00807CBF">
              <w:rPr>
                <w:rFonts w:cstheme="minorHAnsi"/>
                <w:b/>
                <w:bCs/>
              </w:rPr>
              <w:t>Klanjec</w:t>
            </w:r>
          </w:p>
        </w:tc>
      </w:tr>
      <w:tr w:rsidR="008878A0" w14:paraId="2D3ACBA0"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13AE9FF2" w14:textId="77777777" w:rsidR="008878A0" w:rsidRPr="009C3D14" w:rsidRDefault="008878A0" w:rsidP="009C3D14">
            <w:pPr>
              <w:pStyle w:val="Odlomakpopisa"/>
              <w:numPr>
                <w:ilvl w:val="0"/>
                <w:numId w:val="31"/>
              </w:numPr>
              <w:spacing w:after="0"/>
              <w:jc w:val="left"/>
              <w:rPr>
                <w:rFonts w:cstheme="minorHAnsi"/>
                <w:szCs w:val="18"/>
                <w:lang w:eastAsia="hr-HR"/>
              </w:rPr>
            </w:pPr>
            <w:r w:rsidRPr="009C3D14">
              <w:rPr>
                <w:rFonts w:cstheme="minorHAnsi"/>
                <w:szCs w:val="18"/>
                <w:lang w:eastAsia="hr-HR"/>
              </w:rPr>
              <w:t>PS " LEPOGLAVEC II"</w:t>
            </w:r>
          </w:p>
        </w:tc>
      </w:tr>
      <w:tr w:rsidR="008878A0" w14:paraId="4C6BDC3E"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43A28241" w14:textId="77777777" w:rsidR="008878A0" w:rsidRPr="009C3D14" w:rsidRDefault="008878A0" w:rsidP="009C3D14">
            <w:pPr>
              <w:pStyle w:val="Odlomakpopisa"/>
              <w:numPr>
                <w:ilvl w:val="0"/>
                <w:numId w:val="31"/>
              </w:numPr>
              <w:spacing w:after="0"/>
              <w:jc w:val="left"/>
              <w:rPr>
                <w:rFonts w:cstheme="minorHAnsi"/>
                <w:szCs w:val="18"/>
                <w:lang w:eastAsia="hr-HR"/>
              </w:rPr>
            </w:pPr>
            <w:r w:rsidRPr="009C3D14">
              <w:rPr>
                <w:rFonts w:cstheme="minorHAnsi"/>
                <w:szCs w:val="18"/>
                <w:lang w:eastAsia="hr-HR"/>
              </w:rPr>
              <w:t>PS "LEPOGLAVEC" I</w:t>
            </w:r>
          </w:p>
        </w:tc>
      </w:tr>
      <w:tr w:rsidR="008878A0" w14:paraId="01463536"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60ED0E30" w14:textId="77777777" w:rsidR="008878A0" w:rsidRPr="00807CBF" w:rsidRDefault="008878A0" w:rsidP="0095306D">
            <w:pPr>
              <w:spacing w:after="0"/>
              <w:jc w:val="left"/>
              <w:rPr>
                <w:rFonts w:cstheme="minorHAnsi"/>
                <w:b/>
                <w:bCs/>
              </w:rPr>
            </w:pPr>
            <w:r w:rsidRPr="00807CBF">
              <w:rPr>
                <w:rFonts w:cstheme="minorHAnsi"/>
                <w:b/>
                <w:bCs/>
              </w:rPr>
              <w:t>Konjščina</w:t>
            </w:r>
          </w:p>
        </w:tc>
      </w:tr>
      <w:tr w:rsidR="008878A0" w14:paraId="68991F89"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7D741010" w14:textId="77777777" w:rsidR="008878A0" w:rsidRPr="009C3D14" w:rsidRDefault="008878A0" w:rsidP="009C3D14">
            <w:pPr>
              <w:pStyle w:val="Odlomakpopisa"/>
              <w:numPr>
                <w:ilvl w:val="0"/>
                <w:numId w:val="31"/>
              </w:numPr>
              <w:spacing w:after="0"/>
              <w:jc w:val="left"/>
              <w:rPr>
                <w:rFonts w:cstheme="minorHAnsi"/>
                <w:szCs w:val="18"/>
                <w:lang w:eastAsia="hr-HR"/>
              </w:rPr>
            </w:pPr>
            <w:r w:rsidRPr="009C3D14">
              <w:rPr>
                <w:rFonts w:cstheme="minorHAnsi"/>
                <w:szCs w:val="18"/>
                <w:lang w:eastAsia="hr-HR"/>
              </w:rPr>
              <w:t>Poduzetnička zona Pešćeno</w:t>
            </w:r>
          </w:p>
        </w:tc>
      </w:tr>
      <w:tr w:rsidR="008878A0" w14:paraId="3B365EC5"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555BBB89" w14:textId="77777777" w:rsidR="008878A0" w:rsidRPr="009C3D14" w:rsidRDefault="008878A0" w:rsidP="009C3D14">
            <w:pPr>
              <w:pStyle w:val="Odlomakpopisa"/>
              <w:numPr>
                <w:ilvl w:val="0"/>
                <w:numId w:val="31"/>
              </w:numPr>
              <w:spacing w:after="0"/>
              <w:jc w:val="left"/>
              <w:rPr>
                <w:rFonts w:cstheme="minorHAnsi"/>
                <w:szCs w:val="18"/>
                <w:lang w:eastAsia="hr-HR"/>
              </w:rPr>
            </w:pPr>
            <w:r w:rsidRPr="009C3D14">
              <w:rPr>
                <w:rFonts w:cstheme="minorHAnsi"/>
                <w:szCs w:val="18"/>
                <w:lang w:eastAsia="hr-HR"/>
              </w:rPr>
              <w:t>ZMG Konjščina 1</w:t>
            </w:r>
          </w:p>
        </w:tc>
      </w:tr>
      <w:tr w:rsidR="008878A0" w14:paraId="075D30B3"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2FDE89E7" w14:textId="77777777" w:rsidR="008878A0" w:rsidRPr="00807CBF" w:rsidRDefault="008878A0" w:rsidP="0095306D">
            <w:pPr>
              <w:spacing w:after="0"/>
              <w:jc w:val="left"/>
              <w:rPr>
                <w:rFonts w:cstheme="minorHAnsi"/>
                <w:b/>
                <w:bCs/>
              </w:rPr>
            </w:pPr>
            <w:r w:rsidRPr="00807CBF">
              <w:rPr>
                <w:rFonts w:cstheme="minorHAnsi"/>
                <w:b/>
                <w:bCs/>
              </w:rPr>
              <w:t>Kraljevec Na Sutli</w:t>
            </w:r>
          </w:p>
        </w:tc>
      </w:tr>
      <w:tr w:rsidR="008878A0" w14:paraId="3859E2CC"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1D21E4F9" w14:textId="77777777" w:rsidR="008878A0" w:rsidRPr="00807CBF" w:rsidRDefault="008878A0" w:rsidP="009C3D14">
            <w:pPr>
              <w:pStyle w:val="Odlomakpopisa"/>
              <w:numPr>
                <w:ilvl w:val="0"/>
                <w:numId w:val="31"/>
              </w:numPr>
              <w:spacing w:after="0"/>
              <w:jc w:val="left"/>
            </w:pPr>
            <w:r w:rsidRPr="00807CBF">
              <w:t>Poslovna zona</w:t>
            </w:r>
          </w:p>
        </w:tc>
      </w:tr>
      <w:tr w:rsidR="008878A0" w14:paraId="24FD84AD"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6B5E8ABE" w14:textId="77777777" w:rsidR="008878A0" w:rsidRPr="00807CBF" w:rsidRDefault="008878A0" w:rsidP="0095306D">
            <w:pPr>
              <w:spacing w:after="0"/>
              <w:jc w:val="left"/>
              <w:rPr>
                <w:rFonts w:cstheme="minorHAnsi"/>
                <w:b/>
                <w:bCs/>
              </w:rPr>
            </w:pPr>
            <w:r w:rsidRPr="00807CBF">
              <w:rPr>
                <w:rFonts w:cstheme="minorHAnsi"/>
                <w:b/>
                <w:bCs/>
              </w:rPr>
              <w:t>Krapina</w:t>
            </w:r>
          </w:p>
        </w:tc>
      </w:tr>
      <w:tr w:rsidR="008878A0" w14:paraId="660E7E10"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2CD798D2" w14:textId="77777777" w:rsidR="008878A0" w:rsidRPr="00807CBF" w:rsidRDefault="008878A0" w:rsidP="009C3D14">
            <w:pPr>
              <w:pStyle w:val="Odlomakpopisa"/>
              <w:numPr>
                <w:ilvl w:val="0"/>
                <w:numId w:val="31"/>
              </w:numPr>
              <w:spacing w:after="0"/>
              <w:jc w:val="left"/>
            </w:pPr>
            <w:r w:rsidRPr="00807CBF">
              <w:t>Poduzetnička zona Krapina Nova-Jug</w:t>
            </w:r>
          </w:p>
        </w:tc>
      </w:tr>
      <w:tr w:rsidR="008878A0" w14:paraId="0C8FC564"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55071A7B" w14:textId="77777777" w:rsidR="008878A0" w:rsidRPr="00807CBF" w:rsidRDefault="008878A0" w:rsidP="0095306D">
            <w:pPr>
              <w:spacing w:after="0"/>
              <w:jc w:val="left"/>
              <w:rPr>
                <w:rFonts w:cstheme="minorHAnsi"/>
                <w:b/>
                <w:bCs/>
              </w:rPr>
            </w:pPr>
            <w:r w:rsidRPr="00807CBF">
              <w:rPr>
                <w:rFonts w:cstheme="minorHAnsi"/>
                <w:b/>
                <w:bCs/>
              </w:rPr>
              <w:t>Lobor</w:t>
            </w:r>
          </w:p>
        </w:tc>
      </w:tr>
      <w:tr w:rsidR="008878A0" w14:paraId="0D3EE83C"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0294459A" w14:textId="77777777" w:rsidR="008878A0" w:rsidRPr="00807CBF" w:rsidRDefault="008878A0" w:rsidP="009C3D14">
            <w:pPr>
              <w:pStyle w:val="Odlomakpopisa"/>
              <w:numPr>
                <w:ilvl w:val="0"/>
                <w:numId w:val="31"/>
              </w:numPr>
              <w:spacing w:after="0"/>
              <w:jc w:val="left"/>
            </w:pPr>
            <w:r w:rsidRPr="00807CBF">
              <w:t>OPĆINA LOBOR</w:t>
            </w:r>
          </w:p>
        </w:tc>
      </w:tr>
      <w:tr w:rsidR="008878A0" w14:paraId="1A919399"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415FFD9F" w14:textId="77777777" w:rsidR="008878A0" w:rsidRPr="00807CBF" w:rsidRDefault="008878A0" w:rsidP="0095306D">
            <w:pPr>
              <w:spacing w:after="0"/>
              <w:jc w:val="left"/>
              <w:rPr>
                <w:rFonts w:cstheme="minorHAnsi"/>
                <w:b/>
                <w:bCs/>
              </w:rPr>
            </w:pPr>
            <w:r w:rsidRPr="00807CBF">
              <w:rPr>
                <w:rFonts w:cstheme="minorHAnsi"/>
                <w:b/>
                <w:bCs/>
              </w:rPr>
              <w:t>Radoboj</w:t>
            </w:r>
          </w:p>
        </w:tc>
      </w:tr>
      <w:tr w:rsidR="008878A0" w14:paraId="446F10F9" w14:textId="77777777" w:rsidTr="0095306D">
        <w:trPr>
          <w:trHeight w:val="300"/>
        </w:trPr>
        <w:tc>
          <w:tcPr>
            <w:tcW w:w="8637" w:type="dxa"/>
            <w:tcBorders>
              <w:top w:val="single" w:sz="8" w:space="0" w:color="F3CFC1"/>
              <w:left w:val="single" w:sz="8" w:space="0" w:color="D2232A"/>
              <w:bottom w:val="single" w:sz="8" w:space="0" w:color="F3CFC1"/>
              <w:right w:val="single" w:sz="8" w:space="0" w:color="D2232A"/>
            </w:tcBorders>
            <w:noWrap/>
            <w:tcMar>
              <w:top w:w="0" w:type="dxa"/>
              <w:left w:w="108" w:type="dxa"/>
              <w:bottom w:w="0" w:type="dxa"/>
              <w:right w:w="108" w:type="dxa"/>
            </w:tcMar>
            <w:vAlign w:val="center"/>
            <w:hideMark/>
          </w:tcPr>
          <w:p w14:paraId="5DD80CC7" w14:textId="77777777" w:rsidR="008878A0" w:rsidRPr="00807CBF" w:rsidRDefault="008878A0" w:rsidP="009C3D14">
            <w:pPr>
              <w:pStyle w:val="Odlomakpopisa"/>
              <w:numPr>
                <w:ilvl w:val="0"/>
                <w:numId w:val="31"/>
              </w:numPr>
              <w:spacing w:after="0"/>
              <w:jc w:val="left"/>
            </w:pPr>
            <w:r w:rsidRPr="00807CBF">
              <w:t>Općina Radoboj</w:t>
            </w:r>
          </w:p>
        </w:tc>
      </w:tr>
      <w:tr w:rsidR="008878A0" w14:paraId="19D5D8AC" w14:textId="77777777" w:rsidTr="0095306D">
        <w:trPr>
          <w:trHeight w:val="300"/>
        </w:trPr>
        <w:tc>
          <w:tcPr>
            <w:tcW w:w="8637" w:type="dxa"/>
            <w:tcBorders>
              <w:top w:val="single" w:sz="8" w:space="0" w:color="F3CFC1"/>
              <w:left w:val="single" w:sz="8" w:space="0" w:color="D2232A"/>
              <w:right w:val="single" w:sz="8" w:space="0" w:color="D2232A"/>
            </w:tcBorders>
            <w:noWrap/>
            <w:tcMar>
              <w:top w:w="0" w:type="dxa"/>
              <w:left w:w="108" w:type="dxa"/>
              <w:bottom w:w="0" w:type="dxa"/>
              <w:right w:w="108" w:type="dxa"/>
            </w:tcMar>
            <w:vAlign w:val="center"/>
            <w:hideMark/>
          </w:tcPr>
          <w:p w14:paraId="73EB02C3" w14:textId="77777777" w:rsidR="008878A0" w:rsidRPr="00807CBF" w:rsidRDefault="008878A0" w:rsidP="009C3D14">
            <w:pPr>
              <w:pStyle w:val="Odlomakpopisa"/>
              <w:numPr>
                <w:ilvl w:val="0"/>
                <w:numId w:val="31"/>
              </w:numPr>
              <w:spacing w:after="0"/>
              <w:jc w:val="left"/>
            </w:pPr>
            <w:r w:rsidRPr="00807CBF">
              <w:t>Poduzetnička zona "Brod"</w:t>
            </w:r>
          </w:p>
        </w:tc>
      </w:tr>
    </w:tbl>
    <w:p w14:paraId="3BE5EC44" w14:textId="1F6D04AE"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MINGO</w:t>
      </w:r>
      <w:r w:rsidR="00675AF7" w:rsidRPr="006207AF">
        <w:rPr>
          <w:rFonts w:eastAsia="ArialNarrow" w:cstheme="minorHAnsi"/>
          <w:i/>
          <w:color w:val="ABABAB" w:themeColor="text1" w:themeTint="A6"/>
          <w:sz w:val="16"/>
          <w:szCs w:val="16"/>
        </w:rPr>
        <w:t>, 2019. godina</w:t>
      </w:r>
    </w:p>
    <w:p w14:paraId="1877CB65" w14:textId="77777777" w:rsidR="006726A9" w:rsidRDefault="006726A9" w:rsidP="00855D8D">
      <w:pPr>
        <w:pStyle w:val="Izvor"/>
      </w:pPr>
    </w:p>
    <w:p w14:paraId="7EA5C5DD" w14:textId="2978A091" w:rsidR="008878A0" w:rsidRPr="00675AF7" w:rsidRDefault="008878A0" w:rsidP="00941871">
      <w:pPr>
        <w:rPr>
          <w:rFonts w:cstheme="minorHAnsi"/>
        </w:rPr>
      </w:pPr>
      <w:r>
        <w:rPr>
          <w:rFonts w:cstheme="minorHAnsi"/>
        </w:rPr>
        <w:t xml:space="preserve">Najveći broj tvrtki i dalje </w:t>
      </w:r>
      <w:r w:rsidR="000F4955">
        <w:rPr>
          <w:rFonts w:cstheme="minorHAnsi"/>
        </w:rPr>
        <w:t xml:space="preserve">je u </w:t>
      </w:r>
      <w:r>
        <w:rPr>
          <w:rFonts w:cstheme="minorHAnsi"/>
        </w:rPr>
        <w:t>poslovn</w:t>
      </w:r>
      <w:r w:rsidR="000F4955">
        <w:rPr>
          <w:rFonts w:cstheme="minorHAnsi"/>
        </w:rPr>
        <w:t>oj</w:t>
      </w:r>
      <w:r>
        <w:rPr>
          <w:rFonts w:cstheme="minorHAnsi"/>
        </w:rPr>
        <w:t xml:space="preserve"> zon</w:t>
      </w:r>
      <w:r w:rsidR="000F4955">
        <w:rPr>
          <w:rFonts w:cstheme="minorHAnsi"/>
        </w:rPr>
        <w:t>i</w:t>
      </w:r>
      <w:r>
        <w:rPr>
          <w:rFonts w:cstheme="minorHAnsi"/>
        </w:rPr>
        <w:t xml:space="preserve"> grada Zaboka - njih 90</w:t>
      </w:r>
      <w:r w:rsidR="000F4955">
        <w:rPr>
          <w:rFonts w:cstheme="minorHAnsi"/>
        </w:rPr>
        <w:t>. S</w:t>
      </w:r>
      <w:r>
        <w:rPr>
          <w:rFonts w:cstheme="minorHAnsi"/>
        </w:rPr>
        <w:t>lijedi  PZ "GORNJA STUBICA" s 18 aktivnih tvrtki te Sveti Križ Začretje s</w:t>
      </w:r>
      <w:r w:rsidR="005B4ED7">
        <w:rPr>
          <w:rFonts w:cstheme="minorHAnsi"/>
        </w:rPr>
        <w:t>a</w:t>
      </w:r>
      <w:r>
        <w:rPr>
          <w:rFonts w:cstheme="minorHAnsi"/>
        </w:rPr>
        <w:t xml:space="preserve"> 17 tvrtki. </w:t>
      </w:r>
    </w:p>
    <w:p w14:paraId="21CD5612" w14:textId="7B36BEFE" w:rsidR="00807CBF" w:rsidRDefault="008878A0" w:rsidP="005B4ED7">
      <w:pPr>
        <w:rPr>
          <w:rFonts w:cstheme="minorHAnsi"/>
        </w:rPr>
      </w:pPr>
      <w:r>
        <w:rPr>
          <w:rFonts w:cstheme="minorHAnsi"/>
        </w:rPr>
        <w:t>Osim navedenih, u p</w:t>
      </w:r>
      <w:r w:rsidR="005B4ED7">
        <w:rPr>
          <w:rFonts w:cstheme="minorHAnsi"/>
        </w:rPr>
        <w:t>rostornim planovima evidentiran</w:t>
      </w:r>
      <w:r>
        <w:rPr>
          <w:rFonts w:cstheme="minorHAnsi"/>
        </w:rPr>
        <w:t xml:space="preserve"> je velik broj drugih zona u kojima se ne posluje ili su prazne, a razlog tome je neizgrađena infrastruktura, neatraktivnost samih zona, nedovoljno privlačenje investitora od strane jedinica lokalnih samouprava te općenito neadekvatna procjena potreba izgradnje tih poslovnih zona.</w:t>
      </w:r>
    </w:p>
    <w:p w14:paraId="4B6467E8" w14:textId="60C42402" w:rsidR="00B12014" w:rsidRDefault="0052192B" w:rsidP="005B4ED7">
      <w:pPr>
        <w:rPr>
          <w:rFonts w:cstheme="minorHAnsi"/>
        </w:rPr>
      </w:pPr>
      <w:r>
        <w:rPr>
          <w:rFonts w:cstheme="minorHAnsi"/>
        </w:rPr>
        <w:t xml:space="preserve">U Krapinsko- zagorskoj županiji djeluje </w:t>
      </w:r>
      <w:r w:rsidRPr="0052192B">
        <w:rPr>
          <w:rFonts w:cstheme="minorHAnsi"/>
        </w:rPr>
        <w:t xml:space="preserve">Poduzetnički centar Krapinsko-zagorske županije d.o.o. potporna institucija za poduzetništvo </w:t>
      </w:r>
      <w:r>
        <w:rPr>
          <w:rFonts w:cstheme="minorHAnsi"/>
        </w:rPr>
        <w:t>koja</w:t>
      </w:r>
      <w:r w:rsidRPr="0052192B">
        <w:rPr>
          <w:rFonts w:cstheme="minorHAnsi"/>
        </w:rPr>
        <w:t xml:space="preserve"> svojim uslugama unapređuje poduzetničko okruženje u Županiji</w:t>
      </w:r>
      <w:r>
        <w:rPr>
          <w:rFonts w:cstheme="minorHAnsi"/>
        </w:rPr>
        <w:t xml:space="preserve">. </w:t>
      </w:r>
      <w:r w:rsidR="00675AF7" w:rsidRPr="00C42BF8">
        <w:rPr>
          <w:rFonts w:cstheme="minorHAnsi"/>
        </w:rPr>
        <w:t>Poduzetničk</w:t>
      </w:r>
      <w:r w:rsidR="00C42BF8">
        <w:rPr>
          <w:rFonts w:cstheme="minorHAnsi"/>
        </w:rPr>
        <w:t>i</w:t>
      </w:r>
      <w:r w:rsidR="00C42BF8" w:rsidRPr="00C42BF8">
        <w:rPr>
          <w:rFonts w:cstheme="minorHAnsi"/>
        </w:rPr>
        <w:t xml:space="preserve"> </w:t>
      </w:r>
      <w:r w:rsidR="00675AF7" w:rsidRPr="00C42BF8">
        <w:rPr>
          <w:rFonts w:cstheme="minorHAnsi"/>
        </w:rPr>
        <w:t>cent</w:t>
      </w:r>
      <w:r w:rsidR="00C42BF8">
        <w:rPr>
          <w:rFonts w:cstheme="minorHAnsi"/>
        </w:rPr>
        <w:t>ar</w:t>
      </w:r>
      <w:r w:rsidR="00675AF7" w:rsidRPr="00C42BF8">
        <w:rPr>
          <w:rFonts w:cstheme="minorHAnsi"/>
        </w:rPr>
        <w:t xml:space="preserve"> Krapinsko- zagorske županije </w:t>
      </w:r>
      <w:r w:rsidR="00C42BF8">
        <w:rPr>
          <w:rFonts w:cstheme="minorHAnsi"/>
        </w:rPr>
        <w:t>izradio je tablicu p</w:t>
      </w:r>
      <w:r w:rsidR="00675AF7" w:rsidRPr="00C42BF8">
        <w:rPr>
          <w:rFonts w:cstheme="minorHAnsi"/>
        </w:rPr>
        <w:t>oduzetničk</w:t>
      </w:r>
      <w:r w:rsidR="00C42BF8">
        <w:rPr>
          <w:rFonts w:cstheme="minorHAnsi"/>
        </w:rPr>
        <w:t>ih</w:t>
      </w:r>
      <w:r w:rsidR="00675AF7" w:rsidRPr="00C42BF8">
        <w:rPr>
          <w:rFonts w:cstheme="minorHAnsi"/>
        </w:rPr>
        <w:t xml:space="preserve"> zon</w:t>
      </w:r>
      <w:r w:rsidR="00C42BF8">
        <w:rPr>
          <w:rFonts w:cstheme="minorHAnsi"/>
        </w:rPr>
        <w:t>a</w:t>
      </w:r>
      <w:r w:rsidR="00675AF7" w:rsidRPr="00C42BF8">
        <w:rPr>
          <w:rFonts w:cstheme="minorHAnsi"/>
        </w:rPr>
        <w:t xml:space="preserve"> na području Krapinsko-zagorske županije, sa stanjem </w:t>
      </w:r>
      <w:r w:rsidR="00C42BF8">
        <w:rPr>
          <w:rFonts w:cstheme="minorHAnsi"/>
        </w:rPr>
        <w:t xml:space="preserve">na </w:t>
      </w:r>
      <w:r w:rsidR="00675AF7" w:rsidRPr="00C42BF8">
        <w:rPr>
          <w:rFonts w:cstheme="minorHAnsi"/>
        </w:rPr>
        <w:t xml:space="preserve">08.12.2020. godine te projekcijom </w:t>
      </w:r>
      <w:r w:rsidR="00C42BF8">
        <w:rPr>
          <w:rFonts w:cstheme="minorHAnsi"/>
        </w:rPr>
        <w:t xml:space="preserve">broja korisnika </w:t>
      </w:r>
      <w:r w:rsidR="00675AF7" w:rsidRPr="00C42BF8">
        <w:rPr>
          <w:rFonts w:cstheme="minorHAnsi"/>
        </w:rPr>
        <w:t>do 2027. godine</w:t>
      </w:r>
      <w:r w:rsidR="00C42BF8">
        <w:rPr>
          <w:rFonts w:cstheme="minorHAnsi"/>
        </w:rPr>
        <w:t xml:space="preserve"> u skladu sa trenutnim trendovima potražnje. U prosincu 2020. godine zabilježeno je 229 korisnika poduzetničkih zona te se očekuje do 2027. godine rast za 113 korisnika.</w:t>
      </w:r>
      <w:r>
        <w:rPr>
          <w:rFonts w:cstheme="minorHAnsi"/>
        </w:rPr>
        <w:t xml:space="preserve"> Najveći broj korisnika u poduzetničkoj zoni ima Grad Zabok. </w:t>
      </w:r>
    </w:p>
    <w:p w14:paraId="3590F197" w14:textId="0F2102B5" w:rsidR="0052192B" w:rsidRDefault="0052192B" w:rsidP="005B4ED7">
      <w:pPr>
        <w:rPr>
          <w:rFonts w:cstheme="minorHAnsi"/>
        </w:rPr>
      </w:pPr>
    </w:p>
    <w:p w14:paraId="6E3671C2" w14:textId="74E8F835" w:rsidR="00C42BF8" w:rsidRDefault="00C42BF8" w:rsidP="005B4ED7">
      <w:pPr>
        <w:rPr>
          <w:rFonts w:cstheme="minorHAnsi"/>
        </w:rPr>
      </w:pPr>
      <w:r>
        <w:rPr>
          <w:rFonts w:cstheme="minorHAnsi"/>
        </w:rPr>
        <w:lastRenderedPageBreak/>
        <w:t xml:space="preserve">Tablica </w:t>
      </w:r>
      <w:r w:rsidR="0018019C">
        <w:rPr>
          <w:rFonts w:cstheme="minorHAnsi"/>
        </w:rPr>
        <w:t>9</w:t>
      </w:r>
      <w:r w:rsidR="000D5E3F">
        <w:rPr>
          <w:rFonts w:cstheme="minorHAnsi"/>
        </w:rPr>
        <w:t>3</w:t>
      </w:r>
      <w:r>
        <w:rPr>
          <w:rFonts w:cstheme="minorHAnsi"/>
        </w:rPr>
        <w:t xml:space="preserve">. </w:t>
      </w:r>
      <w:r w:rsidRPr="00C42BF8">
        <w:rPr>
          <w:rFonts w:cstheme="minorHAnsi"/>
        </w:rPr>
        <w:t>Poduzetničke zone- sadašnje stanje i projekcija za novu financijsku perspektivu 2021.-2027.</w:t>
      </w:r>
    </w:p>
    <w:tbl>
      <w:tblPr>
        <w:tblStyle w:val="Tamnatablicareetke5-isticanje11"/>
        <w:tblW w:w="9480" w:type="dxa"/>
        <w:tblInd w:w="5" w:type="dxa"/>
        <w:tblLook w:val="04A0" w:firstRow="1" w:lastRow="0" w:firstColumn="1" w:lastColumn="0" w:noHBand="0" w:noVBand="1"/>
      </w:tblPr>
      <w:tblGrid>
        <w:gridCol w:w="1880"/>
        <w:gridCol w:w="2120"/>
        <w:gridCol w:w="2260"/>
        <w:gridCol w:w="3220"/>
      </w:tblGrid>
      <w:tr w:rsidR="00C42BF8" w:rsidRPr="00C42BF8" w14:paraId="0037A103" w14:textId="77777777" w:rsidTr="00C42BF8">
        <w:trPr>
          <w:cnfStyle w:val="100000000000" w:firstRow="1" w:lastRow="0" w:firstColumn="0" w:lastColumn="0" w:oddVBand="0" w:evenVBand="0" w:oddHBand="0" w:evenHBand="0" w:firstRowFirstColumn="0" w:firstRowLastColumn="0" w:lastRowFirstColumn="0" w:lastRowLastColumn="0"/>
          <w:trHeight w:val="876"/>
        </w:trPr>
        <w:tc>
          <w:tcPr>
            <w:cnfStyle w:val="001000000000" w:firstRow="0" w:lastRow="0" w:firstColumn="1" w:lastColumn="0" w:oddVBand="0" w:evenVBand="0" w:oddHBand="0" w:evenHBand="0" w:firstRowFirstColumn="0" w:firstRowLastColumn="0" w:lastRowFirstColumn="0" w:lastRowLastColumn="0"/>
            <w:tcW w:w="1880" w:type="dxa"/>
            <w:hideMark/>
          </w:tcPr>
          <w:p w14:paraId="5DFF4F0C" w14:textId="2C0EC3CC" w:rsidR="00C42BF8" w:rsidRPr="0052192B" w:rsidRDefault="00C42BF8" w:rsidP="0052192B">
            <w:pPr>
              <w:spacing w:line="264" w:lineRule="auto"/>
              <w:jc w:val="center"/>
              <w:rPr>
                <w:rFonts w:eastAsiaTheme="minorEastAsia" w:cstheme="minorHAnsi"/>
                <w:color w:val="FFFFFF" w:themeColor="background1"/>
              </w:rPr>
            </w:pPr>
            <w:r w:rsidRPr="0052192B">
              <w:rPr>
                <w:rFonts w:eastAsiaTheme="minorEastAsia" w:cstheme="minorHAnsi"/>
                <w:color w:val="FFFFFF" w:themeColor="background1"/>
              </w:rPr>
              <w:t>OPĆINA/</w:t>
            </w:r>
            <w:r w:rsidRPr="0052192B">
              <w:rPr>
                <w:rFonts w:eastAsiaTheme="minorEastAsia" w:cstheme="minorHAnsi"/>
                <w:color w:val="FFFFFF" w:themeColor="background1"/>
              </w:rPr>
              <w:br/>
              <w:t>GRAD</w:t>
            </w:r>
          </w:p>
        </w:tc>
        <w:tc>
          <w:tcPr>
            <w:tcW w:w="2120" w:type="dxa"/>
            <w:hideMark/>
          </w:tcPr>
          <w:p w14:paraId="26885EE5" w14:textId="77777777" w:rsidR="00C42BF8" w:rsidRPr="0052192B" w:rsidRDefault="00C42BF8" w:rsidP="0052192B">
            <w:pPr>
              <w:spacing w:line="264" w:lineRule="auto"/>
              <w:jc w:val="center"/>
              <w:cnfStyle w:val="100000000000" w:firstRow="1" w:lastRow="0" w:firstColumn="0" w:lastColumn="0" w:oddVBand="0" w:evenVBand="0" w:oddHBand="0" w:evenHBand="0" w:firstRowFirstColumn="0" w:firstRowLastColumn="0" w:lastRowFirstColumn="0" w:lastRowLastColumn="0"/>
              <w:rPr>
                <w:rFonts w:eastAsiaTheme="minorEastAsia" w:cstheme="minorHAnsi"/>
                <w:color w:val="FFFFFF" w:themeColor="background1"/>
              </w:rPr>
            </w:pPr>
            <w:r w:rsidRPr="0052192B">
              <w:rPr>
                <w:rFonts w:eastAsiaTheme="minorEastAsia" w:cstheme="minorHAnsi"/>
                <w:color w:val="FFFFFF" w:themeColor="background1"/>
              </w:rPr>
              <w:t>Broj korisnika poduzetničkih zona (prosinac 2020.)</w:t>
            </w:r>
          </w:p>
        </w:tc>
        <w:tc>
          <w:tcPr>
            <w:tcW w:w="2260" w:type="dxa"/>
            <w:hideMark/>
          </w:tcPr>
          <w:p w14:paraId="58AD415F" w14:textId="77777777" w:rsidR="00C42BF8" w:rsidRPr="0052192B" w:rsidRDefault="00C42BF8" w:rsidP="0052192B">
            <w:pPr>
              <w:spacing w:line="264" w:lineRule="auto"/>
              <w:jc w:val="center"/>
              <w:cnfStyle w:val="100000000000" w:firstRow="1" w:lastRow="0" w:firstColumn="0" w:lastColumn="0" w:oddVBand="0" w:evenVBand="0" w:oddHBand="0" w:evenHBand="0" w:firstRowFirstColumn="0" w:firstRowLastColumn="0" w:lastRowFirstColumn="0" w:lastRowLastColumn="0"/>
              <w:rPr>
                <w:rFonts w:eastAsiaTheme="minorEastAsia" w:cstheme="minorHAnsi"/>
                <w:color w:val="FFFFFF" w:themeColor="background1"/>
              </w:rPr>
            </w:pPr>
            <w:r w:rsidRPr="0052192B">
              <w:rPr>
                <w:rFonts w:eastAsiaTheme="minorEastAsia" w:cstheme="minorHAnsi"/>
                <w:color w:val="FFFFFF" w:themeColor="background1"/>
              </w:rPr>
              <w:t>Povećanje broja korisnika poduzetničkih zona</w:t>
            </w:r>
          </w:p>
        </w:tc>
        <w:tc>
          <w:tcPr>
            <w:tcW w:w="3220" w:type="dxa"/>
            <w:hideMark/>
          </w:tcPr>
          <w:p w14:paraId="09B1AC9C" w14:textId="77777777" w:rsidR="00C42BF8" w:rsidRPr="0052192B" w:rsidRDefault="00C42BF8" w:rsidP="0052192B">
            <w:pPr>
              <w:spacing w:line="264" w:lineRule="auto"/>
              <w:jc w:val="center"/>
              <w:cnfStyle w:val="100000000000" w:firstRow="1" w:lastRow="0" w:firstColumn="0" w:lastColumn="0" w:oddVBand="0" w:evenVBand="0" w:oddHBand="0" w:evenHBand="0" w:firstRowFirstColumn="0" w:firstRowLastColumn="0" w:lastRowFirstColumn="0" w:lastRowLastColumn="0"/>
              <w:rPr>
                <w:rFonts w:eastAsiaTheme="minorEastAsia" w:cstheme="minorHAnsi"/>
                <w:color w:val="FFFFFF" w:themeColor="background1"/>
              </w:rPr>
            </w:pPr>
            <w:r w:rsidRPr="0052192B">
              <w:rPr>
                <w:rFonts w:eastAsiaTheme="minorEastAsia" w:cstheme="minorHAnsi"/>
                <w:color w:val="FFFFFF" w:themeColor="background1"/>
              </w:rPr>
              <w:t>Projekcija broja korisnika poduzetničkih zona (2027)</w:t>
            </w:r>
          </w:p>
        </w:tc>
      </w:tr>
      <w:tr w:rsidR="00C42BF8" w:rsidRPr="00C42BF8" w14:paraId="552C8924"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71289660"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Bedekovčina</w:t>
            </w:r>
          </w:p>
        </w:tc>
        <w:tc>
          <w:tcPr>
            <w:tcW w:w="2120" w:type="dxa"/>
            <w:noWrap/>
            <w:hideMark/>
          </w:tcPr>
          <w:p w14:paraId="3D1DDA1C"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3D45485A"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10</w:t>
            </w:r>
          </w:p>
        </w:tc>
        <w:tc>
          <w:tcPr>
            <w:tcW w:w="3220" w:type="dxa"/>
            <w:noWrap/>
            <w:hideMark/>
          </w:tcPr>
          <w:p w14:paraId="25F578EB"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10</w:t>
            </w:r>
          </w:p>
        </w:tc>
      </w:tr>
      <w:tr w:rsidR="00C42BF8" w:rsidRPr="00C42BF8" w14:paraId="31B4680B"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289605A4"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Budinšćina</w:t>
            </w:r>
          </w:p>
        </w:tc>
        <w:tc>
          <w:tcPr>
            <w:tcW w:w="2120" w:type="dxa"/>
            <w:noWrap/>
            <w:hideMark/>
          </w:tcPr>
          <w:p w14:paraId="1E633D12"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602AA2DF"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5EB71BDA"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38CA255B"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71082C69"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Desinić</w:t>
            </w:r>
          </w:p>
        </w:tc>
        <w:tc>
          <w:tcPr>
            <w:tcW w:w="2120" w:type="dxa"/>
            <w:noWrap/>
            <w:hideMark/>
          </w:tcPr>
          <w:p w14:paraId="619C9DBF"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505C8DEA"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09BD2892"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2244222B"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3E07F65D"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Donja Stubica</w:t>
            </w:r>
          </w:p>
        </w:tc>
        <w:tc>
          <w:tcPr>
            <w:tcW w:w="2120" w:type="dxa"/>
            <w:noWrap/>
            <w:hideMark/>
          </w:tcPr>
          <w:p w14:paraId="5283339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0E5FE21C"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0F71F802"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5CA54FB3"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2ADFA35D"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Đurmanec</w:t>
            </w:r>
          </w:p>
        </w:tc>
        <w:tc>
          <w:tcPr>
            <w:tcW w:w="2120" w:type="dxa"/>
            <w:noWrap/>
            <w:hideMark/>
          </w:tcPr>
          <w:p w14:paraId="608AF529"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4DEBFF95"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71B8E13A"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7CB8A959"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4CEF79F1"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Gornja Stubica</w:t>
            </w:r>
          </w:p>
        </w:tc>
        <w:tc>
          <w:tcPr>
            <w:tcW w:w="2120" w:type="dxa"/>
            <w:noWrap/>
            <w:hideMark/>
          </w:tcPr>
          <w:p w14:paraId="1A25EC51"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16</w:t>
            </w:r>
          </w:p>
        </w:tc>
        <w:tc>
          <w:tcPr>
            <w:tcW w:w="2260" w:type="dxa"/>
            <w:noWrap/>
            <w:hideMark/>
          </w:tcPr>
          <w:p w14:paraId="3BE7AA21"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41769180"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16</w:t>
            </w:r>
          </w:p>
        </w:tc>
      </w:tr>
      <w:tr w:rsidR="00C42BF8" w:rsidRPr="00C42BF8" w14:paraId="185889ED"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5345B0F8"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Hrašćina</w:t>
            </w:r>
          </w:p>
        </w:tc>
        <w:tc>
          <w:tcPr>
            <w:tcW w:w="2120" w:type="dxa"/>
            <w:noWrap/>
            <w:hideMark/>
          </w:tcPr>
          <w:p w14:paraId="33A2FAD4"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0E7D5D9A"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4</w:t>
            </w:r>
          </w:p>
        </w:tc>
        <w:tc>
          <w:tcPr>
            <w:tcW w:w="3220" w:type="dxa"/>
            <w:noWrap/>
            <w:hideMark/>
          </w:tcPr>
          <w:p w14:paraId="7A7C9477"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4</w:t>
            </w:r>
          </w:p>
        </w:tc>
      </w:tr>
      <w:tr w:rsidR="00C42BF8" w:rsidRPr="00C42BF8" w14:paraId="65D16B22"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17B003C5"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Hum na Sutli</w:t>
            </w:r>
          </w:p>
        </w:tc>
        <w:tc>
          <w:tcPr>
            <w:tcW w:w="2120" w:type="dxa"/>
            <w:noWrap/>
            <w:hideMark/>
          </w:tcPr>
          <w:p w14:paraId="568D58A8"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4</w:t>
            </w:r>
          </w:p>
        </w:tc>
        <w:tc>
          <w:tcPr>
            <w:tcW w:w="2260" w:type="dxa"/>
            <w:noWrap/>
            <w:hideMark/>
          </w:tcPr>
          <w:p w14:paraId="078F18C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3</w:t>
            </w:r>
          </w:p>
        </w:tc>
        <w:tc>
          <w:tcPr>
            <w:tcW w:w="3220" w:type="dxa"/>
            <w:noWrap/>
            <w:hideMark/>
          </w:tcPr>
          <w:p w14:paraId="17B715F1"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7</w:t>
            </w:r>
          </w:p>
        </w:tc>
      </w:tr>
      <w:tr w:rsidR="00C42BF8" w:rsidRPr="00C42BF8" w14:paraId="33019E18"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2E07D41D"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Jesenje</w:t>
            </w:r>
          </w:p>
        </w:tc>
        <w:tc>
          <w:tcPr>
            <w:tcW w:w="2120" w:type="dxa"/>
            <w:noWrap/>
            <w:hideMark/>
          </w:tcPr>
          <w:p w14:paraId="7D61316D"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14B21B16"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0FC5D178"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0D7E9817"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601ACCB8"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Klanjec</w:t>
            </w:r>
          </w:p>
        </w:tc>
        <w:tc>
          <w:tcPr>
            <w:tcW w:w="2120" w:type="dxa"/>
            <w:noWrap/>
            <w:hideMark/>
          </w:tcPr>
          <w:p w14:paraId="7F2C8C0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6B05CD6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58A6AE6E"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3E06CA72"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4C9D73EF"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Konjšćina</w:t>
            </w:r>
          </w:p>
        </w:tc>
        <w:tc>
          <w:tcPr>
            <w:tcW w:w="2120" w:type="dxa"/>
            <w:noWrap/>
            <w:hideMark/>
          </w:tcPr>
          <w:p w14:paraId="4F757FE6"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8</w:t>
            </w:r>
          </w:p>
        </w:tc>
        <w:tc>
          <w:tcPr>
            <w:tcW w:w="2260" w:type="dxa"/>
            <w:noWrap/>
            <w:hideMark/>
          </w:tcPr>
          <w:p w14:paraId="69B87FDB"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3</w:t>
            </w:r>
          </w:p>
        </w:tc>
        <w:tc>
          <w:tcPr>
            <w:tcW w:w="3220" w:type="dxa"/>
            <w:noWrap/>
            <w:hideMark/>
          </w:tcPr>
          <w:p w14:paraId="660DE493"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11</w:t>
            </w:r>
          </w:p>
        </w:tc>
      </w:tr>
      <w:tr w:rsidR="00C42BF8" w:rsidRPr="00C42BF8" w14:paraId="2DDB3DED"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25915899"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Kraljevec na Sutli</w:t>
            </w:r>
          </w:p>
        </w:tc>
        <w:tc>
          <w:tcPr>
            <w:tcW w:w="2120" w:type="dxa"/>
            <w:noWrap/>
            <w:hideMark/>
          </w:tcPr>
          <w:p w14:paraId="5400AF9C"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395DDF32"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61484DB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7000E000"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4EE38703"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Krapina</w:t>
            </w:r>
          </w:p>
        </w:tc>
        <w:tc>
          <w:tcPr>
            <w:tcW w:w="2120" w:type="dxa"/>
            <w:noWrap/>
            <w:hideMark/>
          </w:tcPr>
          <w:p w14:paraId="09BF56BC"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18</w:t>
            </w:r>
          </w:p>
        </w:tc>
        <w:tc>
          <w:tcPr>
            <w:tcW w:w="2260" w:type="dxa"/>
            <w:noWrap/>
            <w:hideMark/>
          </w:tcPr>
          <w:p w14:paraId="0C6F1935"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5</w:t>
            </w:r>
          </w:p>
        </w:tc>
        <w:tc>
          <w:tcPr>
            <w:tcW w:w="3220" w:type="dxa"/>
            <w:noWrap/>
            <w:hideMark/>
          </w:tcPr>
          <w:p w14:paraId="1D26AE7E"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23</w:t>
            </w:r>
          </w:p>
        </w:tc>
      </w:tr>
      <w:tr w:rsidR="00C42BF8" w:rsidRPr="00C42BF8" w14:paraId="51143E6E"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6C9E6419"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Krapinske Toplice</w:t>
            </w:r>
          </w:p>
        </w:tc>
        <w:tc>
          <w:tcPr>
            <w:tcW w:w="2120" w:type="dxa"/>
            <w:noWrap/>
            <w:hideMark/>
          </w:tcPr>
          <w:p w14:paraId="1372F5EA"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3C50DBF6"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051350E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49E04982"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10ABF3DB"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Kumrovec</w:t>
            </w:r>
          </w:p>
        </w:tc>
        <w:tc>
          <w:tcPr>
            <w:tcW w:w="2120" w:type="dxa"/>
            <w:noWrap/>
            <w:hideMark/>
          </w:tcPr>
          <w:p w14:paraId="2FB6CFA2"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5</w:t>
            </w:r>
          </w:p>
        </w:tc>
        <w:tc>
          <w:tcPr>
            <w:tcW w:w="2260" w:type="dxa"/>
            <w:noWrap/>
            <w:hideMark/>
          </w:tcPr>
          <w:p w14:paraId="134840BD"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w:t>
            </w:r>
          </w:p>
        </w:tc>
        <w:tc>
          <w:tcPr>
            <w:tcW w:w="3220" w:type="dxa"/>
            <w:noWrap/>
            <w:hideMark/>
          </w:tcPr>
          <w:p w14:paraId="55E83FB1"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6</w:t>
            </w:r>
          </w:p>
        </w:tc>
      </w:tr>
      <w:tr w:rsidR="00C42BF8" w:rsidRPr="00C42BF8" w14:paraId="43B4C461"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3C70E2C2"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Lobor</w:t>
            </w:r>
          </w:p>
        </w:tc>
        <w:tc>
          <w:tcPr>
            <w:tcW w:w="2120" w:type="dxa"/>
            <w:noWrap/>
            <w:hideMark/>
          </w:tcPr>
          <w:p w14:paraId="51B800D8"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1B054C8A"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5</w:t>
            </w:r>
          </w:p>
        </w:tc>
        <w:tc>
          <w:tcPr>
            <w:tcW w:w="3220" w:type="dxa"/>
            <w:noWrap/>
            <w:hideMark/>
          </w:tcPr>
          <w:p w14:paraId="35561D74"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5</w:t>
            </w:r>
          </w:p>
        </w:tc>
      </w:tr>
      <w:tr w:rsidR="00C42BF8" w:rsidRPr="00C42BF8" w14:paraId="26C68E20"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08DEA3E5"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Mače</w:t>
            </w:r>
          </w:p>
        </w:tc>
        <w:tc>
          <w:tcPr>
            <w:tcW w:w="2120" w:type="dxa"/>
            <w:noWrap/>
            <w:hideMark/>
          </w:tcPr>
          <w:p w14:paraId="604235D2"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6717AAE1"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120361AB"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612F8EBC"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2A473386"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Marija Bistrica</w:t>
            </w:r>
          </w:p>
        </w:tc>
        <w:tc>
          <w:tcPr>
            <w:tcW w:w="2120" w:type="dxa"/>
            <w:noWrap/>
            <w:hideMark/>
          </w:tcPr>
          <w:p w14:paraId="0890639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264A3FE6"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10</w:t>
            </w:r>
          </w:p>
        </w:tc>
        <w:tc>
          <w:tcPr>
            <w:tcW w:w="3220" w:type="dxa"/>
            <w:noWrap/>
            <w:hideMark/>
          </w:tcPr>
          <w:p w14:paraId="0982276F"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10</w:t>
            </w:r>
          </w:p>
        </w:tc>
      </w:tr>
      <w:tr w:rsidR="00C42BF8" w:rsidRPr="00C42BF8" w14:paraId="59D8A526"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7883B216"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Mihovljan</w:t>
            </w:r>
          </w:p>
        </w:tc>
        <w:tc>
          <w:tcPr>
            <w:tcW w:w="2120" w:type="dxa"/>
            <w:noWrap/>
            <w:hideMark/>
          </w:tcPr>
          <w:p w14:paraId="6F53F67E"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03242D66"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1DEE4BA4"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096F1480"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67449A17"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Novi Golubovec</w:t>
            </w:r>
          </w:p>
        </w:tc>
        <w:tc>
          <w:tcPr>
            <w:tcW w:w="2120" w:type="dxa"/>
            <w:noWrap/>
            <w:hideMark/>
          </w:tcPr>
          <w:p w14:paraId="4DD844CA"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7CD3CA74"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640AB282"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2D3B5310"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05721BDD"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Oroslavje</w:t>
            </w:r>
          </w:p>
        </w:tc>
        <w:tc>
          <w:tcPr>
            <w:tcW w:w="2120" w:type="dxa"/>
            <w:noWrap/>
            <w:hideMark/>
          </w:tcPr>
          <w:p w14:paraId="05A3AAF4"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6</w:t>
            </w:r>
          </w:p>
        </w:tc>
        <w:tc>
          <w:tcPr>
            <w:tcW w:w="2260" w:type="dxa"/>
            <w:noWrap/>
            <w:hideMark/>
          </w:tcPr>
          <w:p w14:paraId="72E218EC"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4</w:t>
            </w:r>
          </w:p>
        </w:tc>
        <w:tc>
          <w:tcPr>
            <w:tcW w:w="3220" w:type="dxa"/>
            <w:noWrap/>
            <w:hideMark/>
          </w:tcPr>
          <w:p w14:paraId="66E2FE1C"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10</w:t>
            </w:r>
          </w:p>
        </w:tc>
      </w:tr>
      <w:tr w:rsidR="00C42BF8" w:rsidRPr="00C42BF8" w14:paraId="44287E4A"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57EE4CF3"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Petrovsko</w:t>
            </w:r>
          </w:p>
        </w:tc>
        <w:tc>
          <w:tcPr>
            <w:tcW w:w="2120" w:type="dxa"/>
            <w:noWrap/>
            <w:hideMark/>
          </w:tcPr>
          <w:p w14:paraId="6C0AF2B2"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7B0D907F"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526D3F76"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72F7685E"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6081B05A"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Pregrada</w:t>
            </w:r>
          </w:p>
        </w:tc>
        <w:tc>
          <w:tcPr>
            <w:tcW w:w="2120" w:type="dxa"/>
            <w:noWrap/>
            <w:hideMark/>
          </w:tcPr>
          <w:p w14:paraId="6A5753DF"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17</w:t>
            </w:r>
          </w:p>
        </w:tc>
        <w:tc>
          <w:tcPr>
            <w:tcW w:w="2260" w:type="dxa"/>
            <w:noWrap/>
            <w:hideMark/>
          </w:tcPr>
          <w:p w14:paraId="3339706C"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4</w:t>
            </w:r>
          </w:p>
        </w:tc>
        <w:tc>
          <w:tcPr>
            <w:tcW w:w="3220" w:type="dxa"/>
            <w:noWrap/>
            <w:hideMark/>
          </w:tcPr>
          <w:p w14:paraId="3D9AB3FB"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21</w:t>
            </w:r>
          </w:p>
        </w:tc>
      </w:tr>
      <w:tr w:rsidR="00C42BF8" w:rsidRPr="00C42BF8" w14:paraId="02F6D0CE"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186BC33B"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Radoboj</w:t>
            </w:r>
          </w:p>
        </w:tc>
        <w:tc>
          <w:tcPr>
            <w:tcW w:w="2120" w:type="dxa"/>
            <w:noWrap/>
            <w:hideMark/>
          </w:tcPr>
          <w:p w14:paraId="792D6341"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6</w:t>
            </w:r>
          </w:p>
        </w:tc>
        <w:tc>
          <w:tcPr>
            <w:tcW w:w="2260" w:type="dxa"/>
            <w:noWrap/>
            <w:hideMark/>
          </w:tcPr>
          <w:p w14:paraId="5D45B6F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4</w:t>
            </w:r>
          </w:p>
        </w:tc>
        <w:tc>
          <w:tcPr>
            <w:tcW w:w="3220" w:type="dxa"/>
            <w:noWrap/>
            <w:hideMark/>
          </w:tcPr>
          <w:p w14:paraId="5689E3D9"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10</w:t>
            </w:r>
          </w:p>
        </w:tc>
      </w:tr>
      <w:tr w:rsidR="00C42BF8" w:rsidRPr="00C42BF8" w14:paraId="242C14C2"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51B52190"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Stubičke Toplice</w:t>
            </w:r>
          </w:p>
        </w:tc>
        <w:tc>
          <w:tcPr>
            <w:tcW w:w="2120" w:type="dxa"/>
            <w:noWrap/>
            <w:hideMark/>
          </w:tcPr>
          <w:p w14:paraId="2CD56A08"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125181C9"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2</w:t>
            </w:r>
          </w:p>
        </w:tc>
        <w:tc>
          <w:tcPr>
            <w:tcW w:w="3220" w:type="dxa"/>
            <w:noWrap/>
            <w:hideMark/>
          </w:tcPr>
          <w:p w14:paraId="5BECBD6E"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2</w:t>
            </w:r>
          </w:p>
        </w:tc>
      </w:tr>
      <w:tr w:rsidR="00C42BF8" w:rsidRPr="00C42BF8" w14:paraId="4295F861"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4A250A40"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Sveti Križ Začretje</w:t>
            </w:r>
          </w:p>
        </w:tc>
        <w:tc>
          <w:tcPr>
            <w:tcW w:w="2120" w:type="dxa"/>
            <w:noWrap/>
            <w:hideMark/>
          </w:tcPr>
          <w:p w14:paraId="0A0726CC"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18</w:t>
            </w:r>
          </w:p>
        </w:tc>
        <w:tc>
          <w:tcPr>
            <w:tcW w:w="2260" w:type="dxa"/>
            <w:noWrap/>
            <w:hideMark/>
          </w:tcPr>
          <w:p w14:paraId="4F682904"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12</w:t>
            </w:r>
          </w:p>
        </w:tc>
        <w:tc>
          <w:tcPr>
            <w:tcW w:w="3220" w:type="dxa"/>
            <w:noWrap/>
            <w:hideMark/>
          </w:tcPr>
          <w:p w14:paraId="69FA4E2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30</w:t>
            </w:r>
          </w:p>
        </w:tc>
      </w:tr>
      <w:tr w:rsidR="00C42BF8" w:rsidRPr="00C42BF8" w14:paraId="280842B8"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0E666786"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Tuhelj</w:t>
            </w:r>
          </w:p>
        </w:tc>
        <w:tc>
          <w:tcPr>
            <w:tcW w:w="2120" w:type="dxa"/>
            <w:noWrap/>
            <w:hideMark/>
          </w:tcPr>
          <w:p w14:paraId="099E41B2"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174AFE1E"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33037E12"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0D00D55D"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5FF45FF0"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Veliko Trgovišće</w:t>
            </w:r>
          </w:p>
        </w:tc>
        <w:tc>
          <w:tcPr>
            <w:tcW w:w="2120" w:type="dxa"/>
            <w:noWrap/>
            <w:hideMark/>
          </w:tcPr>
          <w:p w14:paraId="3D1164E3"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10</w:t>
            </w:r>
          </w:p>
        </w:tc>
        <w:tc>
          <w:tcPr>
            <w:tcW w:w="2260" w:type="dxa"/>
            <w:noWrap/>
            <w:hideMark/>
          </w:tcPr>
          <w:p w14:paraId="5F58251D"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7</w:t>
            </w:r>
          </w:p>
        </w:tc>
        <w:tc>
          <w:tcPr>
            <w:tcW w:w="3220" w:type="dxa"/>
            <w:noWrap/>
            <w:hideMark/>
          </w:tcPr>
          <w:p w14:paraId="5394C2C5"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17</w:t>
            </w:r>
          </w:p>
        </w:tc>
      </w:tr>
      <w:tr w:rsidR="00C42BF8" w:rsidRPr="00C42BF8" w14:paraId="5C31E73A"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7406036F"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Zabok</w:t>
            </w:r>
          </w:p>
        </w:tc>
        <w:tc>
          <w:tcPr>
            <w:tcW w:w="2120" w:type="dxa"/>
            <w:noWrap/>
            <w:hideMark/>
          </w:tcPr>
          <w:p w14:paraId="25BEB170"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108</w:t>
            </w:r>
          </w:p>
        </w:tc>
        <w:tc>
          <w:tcPr>
            <w:tcW w:w="2260" w:type="dxa"/>
            <w:noWrap/>
            <w:hideMark/>
          </w:tcPr>
          <w:p w14:paraId="1FA9CFC2"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35</w:t>
            </w:r>
          </w:p>
        </w:tc>
        <w:tc>
          <w:tcPr>
            <w:tcW w:w="3220" w:type="dxa"/>
            <w:noWrap/>
            <w:hideMark/>
          </w:tcPr>
          <w:p w14:paraId="5094168C"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143</w:t>
            </w:r>
          </w:p>
        </w:tc>
      </w:tr>
      <w:tr w:rsidR="00C42BF8" w:rsidRPr="00C42BF8" w14:paraId="760CE14B" w14:textId="77777777" w:rsidTr="00C42BF8">
        <w:trPr>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01808B45"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Zagorska sela</w:t>
            </w:r>
          </w:p>
        </w:tc>
        <w:tc>
          <w:tcPr>
            <w:tcW w:w="2120" w:type="dxa"/>
            <w:noWrap/>
            <w:hideMark/>
          </w:tcPr>
          <w:p w14:paraId="3B6B7876"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24F908A8"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00CDE668"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079EF9E0" w14:textId="77777777" w:rsidTr="00C42BF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0" w:type="dxa"/>
            <w:noWrap/>
            <w:hideMark/>
          </w:tcPr>
          <w:p w14:paraId="672BFF51"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Zlatar</w:t>
            </w:r>
          </w:p>
        </w:tc>
        <w:tc>
          <w:tcPr>
            <w:tcW w:w="2120" w:type="dxa"/>
            <w:noWrap/>
            <w:hideMark/>
          </w:tcPr>
          <w:p w14:paraId="1DEEC296"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2260" w:type="dxa"/>
            <w:noWrap/>
            <w:hideMark/>
          </w:tcPr>
          <w:p w14:paraId="6BABA724"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c>
          <w:tcPr>
            <w:tcW w:w="3220" w:type="dxa"/>
            <w:noWrap/>
            <w:hideMark/>
          </w:tcPr>
          <w:p w14:paraId="33380830" w14:textId="77777777" w:rsidR="00C42BF8" w:rsidRPr="0052192B" w:rsidRDefault="00C42BF8" w:rsidP="00C42BF8">
            <w:pPr>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0</w:t>
            </w:r>
          </w:p>
        </w:tc>
      </w:tr>
      <w:tr w:rsidR="00C42BF8" w:rsidRPr="00C42BF8" w14:paraId="58DD9B43" w14:textId="77777777" w:rsidTr="00C42BF8">
        <w:trPr>
          <w:trHeight w:val="300"/>
        </w:trPr>
        <w:tc>
          <w:tcPr>
            <w:cnfStyle w:val="001000000000" w:firstRow="0" w:lastRow="0" w:firstColumn="1" w:lastColumn="0" w:oddVBand="0" w:evenVBand="0" w:oddHBand="0" w:evenHBand="0" w:firstRowFirstColumn="0" w:firstRowLastColumn="0" w:lastRowFirstColumn="0" w:lastRowLastColumn="0"/>
            <w:tcW w:w="1880" w:type="dxa"/>
            <w:noWrap/>
            <w:hideMark/>
          </w:tcPr>
          <w:p w14:paraId="78E4B115" w14:textId="77777777" w:rsidR="00C42BF8" w:rsidRPr="0052192B" w:rsidRDefault="00C42BF8" w:rsidP="00C42BF8">
            <w:pPr>
              <w:jc w:val="left"/>
              <w:rPr>
                <w:rFonts w:eastAsiaTheme="minorEastAsia" w:cstheme="minorHAnsi"/>
                <w:color w:val="FFFFFF" w:themeColor="background1"/>
              </w:rPr>
            </w:pPr>
            <w:r w:rsidRPr="0052192B">
              <w:rPr>
                <w:rFonts w:eastAsiaTheme="minorEastAsia" w:cstheme="minorHAnsi"/>
                <w:color w:val="FFFFFF" w:themeColor="background1"/>
              </w:rPr>
              <w:t>Zlatar Bistrica</w:t>
            </w:r>
          </w:p>
        </w:tc>
        <w:tc>
          <w:tcPr>
            <w:tcW w:w="2120" w:type="dxa"/>
            <w:noWrap/>
            <w:hideMark/>
          </w:tcPr>
          <w:p w14:paraId="786A60FF"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13</w:t>
            </w:r>
          </w:p>
        </w:tc>
        <w:tc>
          <w:tcPr>
            <w:tcW w:w="2260" w:type="dxa"/>
            <w:noWrap/>
            <w:hideMark/>
          </w:tcPr>
          <w:p w14:paraId="241805E8"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4</w:t>
            </w:r>
          </w:p>
        </w:tc>
        <w:tc>
          <w:tcPr>
            <w:tcW w:w="3220" w:type="dxa"/>
            <w:noWrap/>
            <w:hideMark/>
          </w:tcPr>
          <w:p w14:paraId="48A76514" w14:textId="77777777" w:rsidR="00C42BF8" w:rsidRPr="0052192B" w:rsidRDefault="00C42BF8" w:rsidP="00C42BF8">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Cs w:val="21"/>
              </w:rPr>
            </w:pPr>
            <w:r w:rsidRPr="0052192B">
              <w:rPr>
                <w:rFonts w:eastAsiaTheme="minorEastAsia" w:cstheme="minorHAnsi"/>
                <w:szCs w:val="21"/>
              </w:rPr>
              <w:t>17</w:t>
            </w:r>
          </w:p>
        </w:tc>
      </w:tr>
    </w:tbl>
    <w:p w14:paraId="1B6BEA03" w14:textId="136F3FFC" w:rsidR="00C42BF8" w:rsidRPr="006207AF" w:rsidRDefault="00C42BF8"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 xml:space="preserve">Izvor: Poduzetnički centar Krapinsko- zagorske županije d.o.o, prosinac 2020. </w:t>
      </w:r>
    </w:p>
    <w:p w14:paraId="0F2D531B" w14:textId="77777777" w:rsidR="00C42BF8" w:rsidRDefault="00C42BF8" w:rsidP="005B4ED7">
      <w:pPr>
        <w:rPr>
          <w:rFonts w:cstheme="minorHAnsi"/>
        </w:rPr>
      </w:pPr>
    </w:p>
    <w:p w14:paraId="5D6BC25C" w14:textId="25C461E0" w:rsidR="008878A0" w:rsidRDefault="00B601EE" w:rsidP="0052192B">
      <w:pPr>
        <w:pStyle w:val="Naslov2"/>
        <w:rPr>
          <w:rFonts w:eastAsia="Arial Narrow"/>
          <w:w w:val="99"/>
        </w:rPr>
      </w:pPr>
      <w:bookmarkStart w:id="158" w:name="_Toc85181336"/>
      <w:r>
        <w:rPr>
          <w:rFonts w:eastAsia="Arial Narrow"/>
          <w:w w:val="99"/>
        </w:rPr>
        <w:t>10</w:t>
      </w:r>
      <w:r w:rsidR="008878A0">
        <w:rPr>
          <w:rFonts w:eastAsia="Arial Narrow"/>
          <w:w w:val="99"/>
        </w:rPr>
        <w:t>.</w:t>
      </w:r>
      <w:r w:rsidR="007D6366">
        <w:rPr>
          <w:rFonts w:eastAsia="Arial Narrow"/>
          <w:w w:val="99"/>
        </w:rPr>
        <w:t>10</w:t>
      </w:r>
      <w:r w:rsidR="008878A0">
        <w:rPr>
          <w:rFonts w:eastAsia="Arial Narrow"/>
          <w:w w:val="99"/>
        </w:rPr>
        <w:t xml:space="preserve">. </w:t>
      </w:r>
      <w:r w:rsidR="008878A0">
        <w:t>Obrtništvo</w:t>
      </w:r>
      <w:bookmarkEnd w:id="158"/>
      <w:r w:rsidR="008878A0">
        <w:br/>
      </w:r>
    </w:p>
    <w:p w14:paraId="0A0C2AC0" w14:textId="59906C7E" w:rsidR="008878A0" w:rsidRDefault="008878A0" w:rsidP="00941871">
      <w:pPr>
        <w:rPr>
          <w:rFonts w:eastAsia="Arial Narrow" w:cstheme="minorHAnsi"/>
        </w:rPr>
      </w:pPr>
      <w:r>
        <w:rPr>
          <w:rFonts w:eastAsia="Arial Narrow" w:cstheme="minorHAnsi"/>
          <w:spacing w:val="1"/>
        </w:rPr>
        <w:t>O</w:t>
      </w:r>
      <w:r>
        <w:rPr>
          <w:rFonts w:eastAsia="Arial Narrow" w:cstheme="minorHAnsi"/>
        </w:rPr>
        <w:t>brtn</w:t>
      </w:r>
      <w:r>
        <w:rPr>
          <w:rFonts w:eastAsia="Arial Narrow" w:cstheme="minorHAnsi"/>
          <w:spacing w:val="-2"/>
        </w:rPr>
        <w:t>i</w:t>
      </w:r>
      <w:r>
        <w:rPr>
          <w:rFonts w:eastAsia="Arial Narrow" w:cstheme="minorHAnsi"/>
          <w:spacing w:val="1"/>
        </w:rPr>
        <w:t>čk</w:t>
      </w:r>
      <w:r>
        <w:rPr>
          <w:rFonts w:eastAsia="Arial Narrow" w:cstheme="minorHAnsi"/>
        </w:rPr>
        <w:t>a</w:t>
      </w:r>
      <w:r>
        <w:rPr>
          <w:rFonts w:eastAsia="Arial Narrow" w:cstheme="minorHAnsi"/>
          <w:spacing w:val="-12"/>
        </w:rPr>
        <w:t xml:space="preserve"> </w:t>
      </w:r>
      <w:r>
        <w:rPr>
          <w:rFonts w:eastAsia="Arial Narrow" w:cstheme="minorHAnsi"/>
          <w:spacing w:val="-2"/>
        </w:rPr>
        <w:t>k</w:t>
      </w:r>
      <w:r>
        <w:rPr>
          <w:rFonts w:eastAsia="Arial Narrow" w:cstheme="minorHAnsi"/>
        </w:rPr>
        <w:t>omora</w:t>
      </w:r>
      <w:r>
        <w:rPr>
          <w:rFonts w:eastAsia="Arial Narrow" w:cstheme="minorHAnsi"/>
          <w:spacing w:val="-12"/>
        </w:rPr>
        <w:t xml:space="preserve"> </w:t>
      </w:r>
      <w:r>
        <w:rPr>
          <w:rFonts w:eastAsia="Arial Narrow" w:cstheme="minorHAnsi"/>
          <w:spacing w:val="-1"/>
        </w:rPr>
        <w:t>K</w:t>
      </w:r>
      <w:r>
        <w:rPr>
          <w:rFonts w:eastAsia="Arial Narrow" w:cstheme="minorHAnsi"/>
        </w:rPr>
        <w:t>ra</w:t>
      </w:r>
      <w:r>
        <w:rPr>
          <w:rFonts w:eastAsia="Arial Narrow" w:cstheme="minorHAnsi"/>
          <w:spacing w:val="-2"/>
        </w:rPr>
        <w:t>p</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o-</w:t>
      </w:r>
      <w:r>
        <w:rPr>
          <w:rFonts w:eastAsia="Arial Narrow" w:cstheme="minorHAnsi"/>
          <w:spacing w:val="-2"/>
        </w:rPr>
        <w:t>z</w:t>
      </w:r>
      <w:r>
        <w:rPr>
          <w:rFonts w:eastAsia="Arial Narrow" w:cstheme="minorHAnsi"/>
        </w:rPr>
        <w:t>agor</w:t>
      </w:r>
      <w:r>
        <w:rPr>
          <w:rFonts w:eastAsia="Arial Narrow" w:cstheme="minorHAnsi"/>
          <w:spacing w:val="1"/>
        </w:rPr>
        <w:t>s</w:t>
      </w:r>
      <w:r>
        <w:rPr>
          <w:rFonts w:eastAsia="Arial Narrow" w:cstheme="minorHAnsi"/>
          <w:spacing w:val="-2"/>
        </w:rPr>
        <w:t>k</w:t>
      </w:r>
      <w:r>
        <w:rPr>
          <w:rFonts w:eastAsia="Arial Narrow" w:cstheme="minorHAnsi"/>
        </w:rPr>
        <w:t>e</w:t>
      </w:r>
      <w:r>
        <w:rPr>
          <w:rFonts w:eastAsia="Arial Narrow" w:cstheme="minorHAnsi"/>
          <w:spacing w:val="-12"/>
        </w:rPr>
        <w:t xml:space="preserve"> </w:t>
      </w:r>
      <w:r>
        <w:rPr>
          <w:rFonts w:eastAsia="Arial Narrow" w:cstheme="minorHAnsi"/>
          <w:spacing w:val="1"/>
        </w:rPr>
        <w:t>ž</w:t>
      </w:r>
      <w:r>
        <w:rPr>
          <w:rFonts w:eastAsia="Arial Narrow" w:cstheme="minorHAnsi"/>
        </w:rPr>
        <w:t>up</w:t>
      </w:r>
      <w:r>
        <w:rPr>
          <w:rFonts w:eastAsia="Arial Narrow" w:cstheme="minorHAnsi"/>
          <w:spacing w:val="-2"/>
        </w:rPr>
        <w:t>a</w:t>
      </w:r>
      <w:r>
        <w:rPr>
          <w:rFonts w:eastAsia="Arial Narrow" w:cstheme="minorHAnsi"/>
        </w:rPr>
        <w:t>n</w:t>
      </w:r>
      <w:r>
        <w:rPr>
          <w:rFonts w:eastAsia="Arial Narrow" w:cstheme="minorHAnsi"/>
          <w:spacing w:val="1"/>
        </w:rPr>
        <w:t>ij</w:t>
      </w:r>
      <w:r>
        <w:rPr>
          <w:rFonts w:eastAsia="Arial Narrow" w:cstheme="minorHAnsi"/>
        </w:rPr>
        <w:t>e</w:t>
      </w:r>
      <w:r>
        <w:rPr>
          <w:rFonts w:eastAsia="Arial Narrow" w:cstheme="minorHAnsi"/>
          <w:spacing w:val="-12"/>
        </w:rPr>
        <w:t xml:space="preserve"> </w:t>
      </w:r>
      <w:r>
        <w:rPr>
          <w:rFonts w:eastAsia="Arial Narrow" w:cstheme="minorHAnsi"/>
        </w:rPr>
        <w:t>pr</w:t>
      </w:r>
      <w:r>
        <w:rPr>
          <w:rFonts w:eastAsia="Arial Narrow" w:cstheme="minorHAnsi"/>
          <w:spacing w:val="-2"/>
        </w:rPr>
        <w:t>e</w:t>
      </w:r>
      <w:r>
        <w:rPr>
          <w:rFonts w:eastAsia="Arial Narrow" w:cstheme="minorHAnsi"/>
        </w:rPr>
        <w:t>ma</w:t>
      </w:r>
      <w:r>
        <w:rPr>
          <w:rFonts w:eastAsia="Arial Narrow" w:cstheme="minorHAnsi"/>
          <w:spacing w:val="-12"/>
        </w:rPr>
        <w:t xml:space="preserve"> </w:t>
      </w:r>
      <w:r>
        <w:rPr>
          <w:rFonts w:eastAsia="Arial Narrow" w:cstheme="minorHAnsi"/>
        </w:rPr>
        <w:t>ter</w:t>
      </w:r>
      <w:r>
        <w:rPr>
          <w:rFonts w:eastAsia="Arial Narrow" w:cstheme="minorHAnsi"/>
          <w:spacing w:val="-2"/>
        </w:rPr>
        <w:t>i</w:t>
      </w:r>
      <w:r>
        <w:rPr>
          <w:rFonts w:eastAsia="Arial Narrow" w:cstheme="minorHAnsi"/>
        </w:rPr>
        <w:t>tor</w:t>
      </w:r>
      <w:r>
        <w:rPr>
          <w:rFonts w:eastAsia="Arial Narrow" w:cstheme="minorHAnsi"/>
          <w:spacing w:val="-2"/>
        </w:rPr>
        <w:t>i</w:t>
      </w:r>
      <w:r>
        <w:rPr>
          <w:rFonts w:eastAsia="Arial Narrow" w:cstheme="minorHAnsi"/>
          <w:spacing w:val="1"/>
        </w:rPr>
        <w:t>j</w:t>
      </w:r>
      <w:r>
        <w:rPr>
          <w:rFonts w:eastAsia="Arial Narrow" w:cstheme="minorHAnsi"/>
        </w:rPr>
        <w:t>a</w:t>
      </w:r>
      <w:r>
        <w:rPr>
          <w:rFonts w:eastAsia="Arial Narrow" w:cstheme="minorHAnsi"/>
          <w:spacing w:val="1"/>
        </w:rPr>
        <w:t>l</w:t>
      </w:r>
      <w:r>
        <w:rPr>
          <w:rFonts w:eastAsia="Arial Narrow" w:cstheme="minorHAnsi"/>
        </w:rPr>
        <w:t>n</w:t>
      </w:r>
      <w:r>
        <w:rPr>
          <w:rFonts w:eastAsia="Arial Narrow" w:cstheme="minorHAnsi"/>
          <w:spacing w:val="-2"/>
        </w:rPr>
        <w:t>o</w:t>
      </w:r>
      <w:r>
        <w:rPr>
          <w:rFonts w:eastAsia="Arial Narrow" w:cstheme="minorHAnsi"/>
        </w:rPr>
        <w:t>m</w:t>
      </w:r>
      <w:r>
        <w:rPr>
          <w:rFonts w:eastAsia="Arial Narrow" w:cstheme="minorHAnsi"/>
          <w:spacing w:val="-11"/>
        </w:rPr>
        <w:t xml:space="preserve"> </w:t>
      </w:r>
      <w:r>
        <w:rPr>
          <w:rFonts w:eastAsia="Arial Narrow" w:cstheme="minorHAnsi"/>
        </w:rPr>
        <w:t>pr</w:t>
      </w:r>
      <w:r>
        <w:rPr>
          <w:rFonts w:eastAsia="Arial Narrow" w:cstheme="minorHAnsi"/>
          <w:spacing w:val="1"/>
        </w:rPr>
        <w:t>i</w:t>
      </w:r>
      <w:r>
        <w:rPr>
          <w:rFonts w:eastAsia="Arial Narrow" w:cstheme="minorHAnsi"/>
        </w:rPr>
        <w:t>n</w:t>
      </w:r>
      <w:r>
        <w:rPr>
          <w:rFonts w:eastAsia="Arial Narrow" w:cstheme="minorHAnsi"/>
          <w:spacing w:val="-2"/>
        </w:rPr>
        <w:t>c</w:t>
      </w:r>
      <w:r>
        <w:rPr>
          <w:rFonts w:eastAsia="Arial Narrow" w:cstheme="minorHAnsi"/>
          <w:spacing w:val="1"/>
        </w:rPr>
        <w:t>i</w:t>
      </w:r>
      <w:r>
        <w:rPr>
          <w:rFonts w:eastAsia="Arial Narrow" w:cstheme="minorHAnsi"/>
        </w:rPr>
        <w:t>pu</w:t>
      </w:r>
      <w:r>
        <w:rPr>
          <w:rFonts w:eastAsia="Arial Narrow" w:cstheme="minorHAnsi"/>
          <w:spacing w:val="-12"/>
        </w:rPr>
        <w:t xml:space="preserve"> </w:t>
      </w:r>
      <w:r>
        <w:rPr>
          <w:rFonts w:eastAsia="Arial Narrow" w:cstheme="minorHAnsi"/>
        </w:rPr>
        <w:t>o</w:t>
      </w:r>
      <w:r>
        <w:rPr>
          <w:rFonts w:eastAsia="Arial Narrow" w:cstheme="minorHAnsi"/>
          <w:spacing w:val="-2"/>
        </w:rPr>
        <w:t>b</w:t>
      </w:r>
      <w:r>
        <w:rPr>
          <w:rFonts w:eastAsia="Arial Narrow" w:cstheme="minorHAnsi"/>
        </w:rPr>
        <w:t>uh</w:t>
      </w:r>
      <w:r>
        <w:rPr>
          <w:rFonts w:eastAsia="Arial Narrow" w:cstheme="minorHAnsi"/>
          <w:spacing w:val="1"/>
        </w:rPr>
        <w:t>v</w:t>
      </w:r>
      <w:r>
        <w:rPr>
          <w:rFonts w:eastAsia="Arial Narrow" w:cstheme="minorHAnsi"/>
          <w:spacing w:val="-2"/>
        </w:rPr>
        <w:t>a</w:t>
      </w:r>
      <w:r>
        <w:rPr>
          <w:rFonts w:eastAsia="Arial Narrow" w:cstheme="minorHAnsi"/>
          <w:spacing w:val="1"/>
        </w:rPr>
        <w:t>ć</w:t>
      </w:r>
      <w:r>
        <w:rPr>
          <w:rFonts w:eastAsia="Arial Narrow" w:cstheme="minorHAnsi"/>
        </w:rPr>
        <w:t>a</w:t>
      </w:r>
      <w:r>
        <w:rPr>
          <w:rFonts w:eastAsia="Arial Narrow" w:cstheme="minorHAnsi"/>
          <w:spacing w:val="-12"/>
        </w:rPr>
        <w:t xml:space="preserve"> </w:t>
      </w:r>
      <w:r>
        <w:rPr>
          <w:rFonts w:eastAsia="Arial Narrow" w:cstheme="minorHAnsi"/>
        </w:rPr>
        <w:t>de</w:t>
      </w:r>
      <w:r>
        <w:rPr>
          <w:rFonts w:eastAsia="Arial Narrow" w:cstheme="minorHAnsi"/>
          <w:spacing w:val="-2"/>
        </w:rPr>
        <w:t>v</w:t>
      </w:r>
      <w:r>
        <w:rPr>
          <w:rFonts w:eastAsia="Arial Narrow" w:cstheme="minorHAnsi"/>
        </w:rPr>
        <w:t>et</w:t>
      </w:r>
      <w:r>
        <w:rPr>
          <w:rFonts w:eastAsia="Arial Narrow" w:cstheme="minorHAnsi"/>
          <w:spacing w:val="-12"/>
        </w:rPr>
        <w:t xml:space="preserve"> </w:t>
      </w:r>
      <w:r>
        <w:rPr>
          <w:rFonts w:eastAsia="Arial Narrow" w:cstheme="minorHAnsi"/>
        </w:rPr>
        <w:t>ud</w:t>
      </w:r>
      <w:r>
        <w:rPr>
          <w:rFonts w:eastAsia="Arial Narrow" w:cstheme="minorHAnsi"/>
          <w:spacing w:val="-1"/>
        </w:rPr>
        <w:t>r</w:t>
      </w:r>
      <w:r>
        <w:rPr>
          <w:rFonts w:eastAsia="Arial Narrow" w:cstheme="minorHAnsi"/>
        </w:rPr>
        <w:t>u</w:t>
      </w:r>
      <w:r>
        <w:rPr>
          <w:rFonts w:eastAsia="Arial Narrow" w:cstheme="minorHAnsi"/>
          <w:spacing w:val="1"/>
        </w:rPr>
        <w:t>ž</w:t>
      </w:r>
      <w:r>
        <w:rPr>
          <w:rFonts w:eastAsia="Arial Narrow" w:cstheme="minorHAnsi"/>
        </w:rPr>
        <w:t>enja</w:t>
      </w:r>
      <w:r>
        <w:rPr>
          <w:rFonts w:eastAsia="Arial Narrow" w:cstheme="minorHAnsi"/>
          <w:spacing w:val="-12"/>
        </w:rPr>
        <w:t xml:space="preserve"> </w:t>
      </w:r>
      <w:r>
        <w:rPr>
          <w:rFonts w:eastAsia="Arial Narrow" w:cstheme="minorHAnsi"/>
        </w:rPr>
        <w:t>ob</w:t>
      </w:r>
      <w:r>
        <w:rPr>
          <w:rFonts w:eastAsia="Arial Narrow" w:cstheme="minorHAnsi"/>
          <w:spacing w:val="-1"/>
        </w:rPr>
        <w:t>r</w:t>
      </w:r>
      <w:r>
        <w:rPr>
          <w:rFonts w:eastAsia="Arial Narrow" w:cstheme="minorHAnsi"/>
        </w:rPr>
        <w:t>tnik</w:t>
      </w:r>
      <w:r>
        <w:rPr>
          <w:rFonts w:eastAsia="Arial Narrow" w:cstheme="minorHAnsi"/>
          <w:spacing w:val="-2"/>
        </w:rPr>
        <w:t>a</w:t>
      </w:r>
      <w:r>
        <w:rPr>
          <w:rFonts w:eastAsia="Arial Narrow" w:cstheme="minorHAnsi"/>
        </w:rPr>
        <w:t xml:space="preserve">: </w:t>
      </w:r>
      <w:r>
        <w:rPr>
          <w:rFonts w:eastAsia="Arial Narrow" w:cstheme="minorHAnsi"/>
          <w:spacing w:val="-1"/>
        </w:rPr>
        <w:t>U</w:t>
      </w:r>
      <w:r>
        <w:rPr>
          <w:rFonts w:eastAsia="Arial Narrow" w:cstheme="minorHAnsi"/>
        </w:rPr>
        <w:t>O</w:t>
      </w:r>
      <w:r>
        <w:rPr>
          <w:rFonts w:eastAsia="Arial Narrow" w:cstheme="minorHAnsi"/>
          <w:spacing w:val="1"/>
        </w:rPr>
        <w:t xml:space="preserve"> </w:t>
      </w:r>
      <w:r>
        <w:rPr>
          <w:rFonts w:eastAsia="Arial Narrow" w:cstheme="minorHAnsi"/>
          <w:spacing w:val="-1"/>
        </w:rPr>
        <w:t>B</w:t>
      </w:r>
      <w:r>
        <w:rPr>
          <w:rFonts w:eastAsia="Arial Narrow" w:cstheme="minorHAnsi"/>
        </w:rPr>
        <w:t>ed</w:t>
      </w:r>
      <w:r>
        <w:rPr>
          <w:rFonts w:eastAsia="Arial Narrow" w:cstheme="minorHAnsi"/>
          <w:spacing w:val="-2"/>
        </w:rPr>
        <w:t>e</w:t>
      </w:r>
      <w:r>
        <w:rPr>
          <w:rFonts w:eastAsia="Arial Narrow" w:cstheme="minorHAnsi"/>
          <w:spacing w:val="1"/>
        </w:rPr>
        <w:t>k</w:t>
      </w:r>
      <w:r>
        <w:rPr>
          <w:rFonts w:eastAsia="Arial Narrow" w:cstheme="minorHAnsi"/>
        </w:rPr>
        <w:t>o</w:t>
      </w:r>
      <w:r>
        <w:rPr>
          <w:rFonts w:eastAsia="Arial Narrow" w:cstheme="minorHAnsi"/>
          <w:spacing w:val="-2"/>
        </w:rPr>
        <w:t>v</w:t>
      </w:r>
      <w:r>
        <w:rPr>
          <w:rFonts w:eastAsia="Arial Narrow" w:cstheme="minorHAnsi"/>
          <w:spacing w:val="1"/>
        </w:rPr>
        <w:t>či</w:t>
      </w:r>
      <w:r>
        <w:rPr>
          <w:rFonts w:eastAsia="Arial Narrow" w:cstheme="minorHAnsi"/>
        </w:rPr>
        <w:t>na,</w:t>
      </w:r>
      <w:r>
        <w:rPr>
          <w:rFonts w:eastAsia="Arial Narrow" w:cstheme="minorHAnsi"/>
          <w:spacing w:val="-2"/>
        </w:rPr>
        <w:t xml:space="preserve"> </w:t>
      </w:r>
      <w:r>
        <w:rPr>
          <w:rFonts w:eastAsia="Arial Narrow" w:cstheme="minorHAnsi"/>
          <w:spacing w:val="-1"/>
        </w:rPr>
        <w:t>U</w:t>
      </w:r>
      <w:r>
        <w:rPr>
          <w:rFonts w:eastAsia="Arial Narrow" w:cstheme="minorHAnsi"/>
        </w:rPr>
        <w:t>O</w:t>
      </w:r>
      <w:r>
        <w:rPr>
          <w:rFonts w:eastAsia="Arial Narrow" w:cstheme="minorHAnsi"/>
          <w:spacing w:val="-1"/>
        </w:rPr>
        <w:t xml:space="preserve"> </w:t>
      </w:r>
      <w:r>
        <w:rPr>
          <w:rFonts w:eastAsia="Arial Narrow" w:cstheme="minorHAnsi"/>
        </w:rPr>
        <w:t>grad</w:t>
      </w:r>
      <w:r>
        <w:rPr>
          <w:rFonts w:eastAsia="Arial Narrow" w:cstheme="minorHAnsi"/>
          <w:spacing w:val="-2"/>
        </w:rPr>
        <w:t>o</w:t>
      </w:r>
      <w:r>
        <w:rPr>
          <w:rFonts w:eastAsia="Arial Narrow" w:cstheme="minorHAnsi"/>
          <w:spacing w:val="1"/>
        </w:rPr>
        <w:t>v</w:t>
      </w:r>
      <w:r>
        <w:rPr>
          <w:rFonts w:eastAsia="Arial Narrow" w:cstheme="minorHAnsi"/>
        </w:rPr>
        <w:t>a</w:t>
      </w:r>
      <w:r>
        <w:rPr>
          <w:rFonts w:eastAsia="Arial Narrow" w:cstheme="minorHAnsi"/>
          <w:spacing w:val="-2"/>
        </w:rPr>
        <w:t xml:space="preserve"> </w:t>
      </w:r>
      <w:r>
        <w:rPr>
          <w:rFonts w:eastAsia="Arial Narrow" w:cstheme="minorHAnsi"/>
          <w:spacing w:val="-1"/>
        </w:rPr>
        <w:t>D</w:t>
      </w:r>
      <w:r>
        <w:rPr>
          <w:rFonts w:eastAsia="Arial Narrow" w:cstheme="minorHAnsi"/>
        </w:rPr>
        <w:t>on</w:t>
      </w:r>
      <w:r>
        <w:rPr>
          <w:rFonts w:eastAsia="Arial Narrow" w:cstheme="minorHAnsi"/>
          <w:spacing w:val="1"/>
        </w:rPr>
        <w:t>j</w:t>
      </w:r>
      <w:r>
        <w:rPr>
          <w:rFonts w:eastAsia="Arial Narrow" w:cstheme="minorHAnsi"/>
        </w:rPr>
        <w:t>a</w:t>
      </w:r>
      <w:r>
        <w:rPr>
          <w:rFonts w:eastAsia="Arial Narrow" w:cstheme="minorHAnsi"/>
          <w:spacing w:val="-2"/>
        </w:rPr>
        <w:t xml:space="preserve"> </w:t>
      </w:r>
      <w:r>
        <w:rPr>
          <w:rFonts w:eastAsia="Arial Narrow" w:cstheme="minorHAnsi"/>
          <w:spacing w:val="-1"/>
        </w:rPr>
        <w:t>S</w:t>
      </w:r>
      <w:r>
        <w:rPr>
          <w:rFonts w:eastAsia="Arial Narrow" w:cstheme="minorHAnsi"/>
        </w:rPr>
        <w:t>tub</w:t>
      </w:r>
      <w:r>
        <w:rPr>
          <w:rFonts w:eastAsia="Arial Narrow" w:cstheme="minorHAnsi"/>
          <w:spacing w:val="-2"/>
        </w:rPr>
        <w:t>i</w:t>
      </w:r>
      <w:r>
        <w:rPr>
          <w:rFonts w:eastAsia="Arial Narrow" w:cstheme="minorHAnsi"/>
          <w:spacing w:val="1"/>
        </w:rPr>
        <w:t>c</w:t>
      </w:r>
      <w:r>
        <w:rPr>
          <w:rFonts w:eastAsia="Arial Narrow" w:cstheme="minorHAnsi"/>
        </w:rPr>
        <w:t>a,</w:t>
      </w:r>
      <w:r>
        <w:rPr>
          <w:rFonts w:eastAsia="Arial Narrow" w:cstheme="minorHAnsi"/>
          <w:spacing w:val="-2"/>
        </w:rPr>
        <w:t xml:space="preserve"> </w:t>
      </w:r>
      <w:r>
        <w:rPr>
          <w:rFonts w:eastAsia="Arial Narrow" w:cstheme="minorHAnsi"/>
          <w:spacing w:val="1"/>
        </w:rPr>
        <w:t>O</w:t>
      </w:r>
      <w:r>
        <w:rPr>
          <w:rFonts w:eastAsia="Arial Narrow" w:cstheme="minorHAnsi"/>
        </w:rPr>
        <w:t>r</w:t>
      </w:r>
      <w:r>
        <w:rPr>
          <w:rFonts w:eastAsia="Arial Narrow" w:cstheme="minorHAnsi"/>
          <w:spacing w:val="-2"/>
        </w:rPr>
        <w:t>o</w:t>
      </w:r>
      <w:r>
        <w:rPr>
          <w:rFonts w:eastAsia="Arial Narrow" w:cstheme="minorHAnsi"/>
          <w:spacing w:val="1"/>
        </w:rPr>
        <w:t>sl</w:t>
      </w:r>
      <w:r>
        <w:rPr>
          <w:rFonts w:eastAsia="Arial Narrow" w:cstheme="minorHAnsi"/>
        </w:rPr>
        <w:t>a</w:t>
      </w:r>
      <w:r>
        <w:rPr>
          <w:rFonts w:eastAsia="Arial Narrow" w:cstheme="minorHAnsi"/>
          <w:spacing w:val="-2"/>
        </w:rPr>
        <w:t>v</w:t>
      </w:r>
      <w:r>
        <w:rPr>
          <w:rFonts w:eastAsia="Arial Narrow" w:cstheme="minorHAnsi"/>
          <w:spacing w:val="1"/>
        </w:rPr>
        <w:t>j</w:t>
      </w:r>
      <w:r>
        <w:rPr>
          <w:rFonts w:eastAsia="Arial Narrow" w:cstheme="minorHAnsi"/>
        </w:rPr>
        <w:t>e</w:t>
      </w:r>
      <w:r>
        <w:rPr>
          <w:rFonts w:eastAsia="Arial Narrow" w:cstheme="minorHAnsi"/>
          <w:spacing w:val="-2"/>
        </w:rPr>
        <w:t xml:space="preserve"> </w:t>
      </w:r>
      <w:r>
        <w:rPr>
          <w:rFonts w:eastAsia="Arial Narrow" w:cstheme="minorHAnsi"/>
        </w:rPr>
        <w:t>i</w:t>
      </w:r>
      <w:r>
        <w:rPr>
          <w:rFonts w:eastAsia="Arial Narrow" w:cstheme="minorHAnsi"/>
          <w:spacing w:val="1"/>
        </w:rPr>
        <w:t xml:space="preserve"> </w:t>
      </w:r>
      <w:r>
        <w:rPr>
          <w:rFonts w:eastAsia="Arial Narrow" w:cstheme="minorHAnsi"/>
          <w:spacing w:val="-2"/>
        </w:rPr>
        <w:t>op</w:t>
      </w:r>
      <w:r>
        <w:rPr>
          <w:rFonts w:eastAsia="Arial Narrow" w:cstheme="minorHAnsi"/>
          <w:spacing w:val="1"/>
        </w:rPr>
        <w:t>ći</w:t>
      </w:r>
      <w:r>
        <w:rPr>
          <w:rFonts w:eastAsia="Arial Narrow" w:cstheme="minorHAnsi"/>
        </w:rPr>
        <w:t>na</w:t>
      </w:r>
      <w:r>
        <w:rPr>
          <w:rFonts w:eastAsia="Arial Narrow" w:cstheme="minorHAnsi"/>
          <w:spacing w:val="-2"/>
        </w:rPr>
        <w:t xml:space="preserve"> </w:t>
      </w:r>
      <w:r>
        <w:rPr>
          <w:rFonts w:eastAsia="Arial Narrow" w:cstheme="minorHAnsi"/>
        </w:rPr>
        <w:t>Mar</w:t>
      </w:r>
      <w:r>
        <w:rPr>
          <w:rFonts w:eastAsia="Arial Narrow" w:cstheme="minorHAnsi"/>
          <w:spacing w:val="-2"/>
        </w:rPr>
        <w:t>i</w:t>
      </w:r>
      <w:r>
        <w:rPr>
          <w:rFonts w:eastAsia="Arial Narrow" w:cstheme="minorHAnsi"/>
          <w:spacing w:val="1"/>
        </w:rPr>
        <w:t>j</w:t>
      </w:r>
      <w:r>
        <w:rPr>
          <w:rFonts w:eastAsia="Arial Narrow" w:cstheme="minorHAnsi"/>
        </w:rPr>
        <w:t xml:space="preserve">a </w:t>
      </w:r>
      <w:r>
        <w:rPr>
          <w:rFonts w:eastAsia="Arial Narrow" w:cstheme="minorHAnsi"/>
          <w:spacing w:val="-3"/>
        </w:rPr>
        <w:t>B</w:t>
      </w:r>
      <w:r>
        <w:rPr>
          <w:rFonts w:eastAsia="Arial Narrow" w:cstheme="minorHAnsi"/>
          <w:spacing w:val="1"/>
        </w:rPr>
        <w:t>is</w:t>
      </w:r>
      <w:r>
        <w:rPr>
          <w:rFonts w:eastAsia="Arial Narrow" w:cstheme="minorHAnsi"/>
        </w:rPr>
        <w:t>tr</w:t>
      </w:r>
      <w:r>
        <w:rPr>
          <w:rFonts w:eastAsia="Arial Narrow" w:cstheme="minorHAnsi"/>
          <w:spacing w:val="-2"/>
        </w:rPr>
        <w:t>i</w:t>
      </w:r>
      <w:r>
        <w:rPr>
          <w:rFonts w:eastAsia="Arial Narrow" w:cstheme="minorHAnsi"/>
          <w:spacing w:val="1"/>
        </w:rPr>
        <w:t>c</w:t>
      </w:r>
      <w:r>
        <w:rPr>
          <w:rFonts w:eastAsia="Arial Narrow" w:cstheme="minorHAnsi"/>
        </w:rPr>
        <w:t>a,</w:t>
      </w:r>
      <w:r>
        <w:rPr>
          <w:rFonts w:eastAsia="Arial Narrow" w:cstheme="minorHAnsi"/>
          <w:spacing w:val="-2"/>
        </w:rPr>
        <w:t xml:space="preserve"> </w:t>
      </w:r>
      <w:r>
        <w:rPr>
          <w:rFonts w:eastAsia="Arial Narrow" w:cstheme="minorHAnsi"/>
          <w:spacing w:val="1"/>
        </w:rPr>
        <w:t>G</w:t>
      </w:r>
      <w:r>
        <w:rPr>
          <w:rFonts w:eastAsia="Arial Narrow" w:cstheme="minorHAnsi"/>
        </w:rPr>
        <w:t>or</w:t>
      </w:r>
      <w:r>
        <w:rPr>
          <w:rFonts w:eastAsia="Arial Narrow" w:cstheme="minorHAnsi"/>
          <w:spacing w:val="-2"/>
        </w:rPr>
        <w:t>n</w:t>
      </w:r>
      <w:r>
        <w:rPr>
          <w:rFonts w:eastAsia="Arial Narrow" w:cstheme="minorHAnsi"/>
          <w:spacing w:val="1"/>
        </w:rPr>
        <w:t>j</w:t>
      </w:r>
      <w:r>
        <w:rPr>
          <w:rFonts w:eastAsia="Arial Narrow" w:cstheme="minorHAnsi"/>
        </w:rPr>
        <w:t xml:space="preserve">a </w:t>
      </w:r>
      <w:r>
        <w:rPr>
          <w:rFonts w:eastAsia="Arial Narrow" w:cstheme="minorHAnsi"/>
          <w:spacing w:val="-1"/>
        </w:rPr>
        <w:t>S</w:t>
      </w:r>
      <w:r>
        <w:rPr>
          <w:rFonts w:eastAsia="Arial Narrow" w:cstheme="minorHAnsi"/>
          <w:spacing w:val="-2"/>
        </w:rPr>
        <w:t>t</w:t>
      </w:r>
      <w:r>
        <w:rPr>
          <w:rFonts w:eastAsia="Arial Narrow" w:cstheme="minorHAnsi"/>
        </w:rPr>
        <w:t>ub</w:t>
      </w:r>
      <w:r>
        <w:rPr>
          <w:rFonts w:eastAsia="Arial Narrow" w:cstheme="minorHAnsi"/>
          <w:spacing w:val="1"/>
        </w:rPr>
        <w:t>ic</w:t>
      </w:r>
      <w:r>
        <w:rPr>
          <w:rFonts w:eastAsia="Arial Narrow" w:cstheme="minorHAnsi"/>
        </w:rPr>
        <w:t>a,</w:t>
      </w:r>
      <w:r>
        <w:rPr>
          <w:rFonts w:eastAsia="Arial Narrow" w:cstheme="minorHAnsi"/>
          <w:spacing w:val="-2"/>
        </w:rPr>
        <w:t xml:space="preserve"> </w:t>
      </w:r>
      <w:r>
        <w:rPr>
          <w:rFonts w:eastAsia="Arial Narrow" w:cstheme="minorHAnsi"/>
          <w:spacing w:val="-1"/>
        </w:rPr>
        <w:t>S</w:t>
      </w:r>
      <w:r>
        <w:rPr>
          <w:rFonts w:eastAsia="Arial Narrow" w:cstheme="minorHAnsi"/>
        </w:rPr>
        <w:t>tu</w:t>
      </w:r>
      <w:r>
        <w:rPr>
          <w:rFonts w:eastAsia="Arial Narrow" w:cstheme="minorHAnsi"/>
          <w:spacing w:val="-2"/>
        </w:rPr>
        <w:t>b</w:t>
      </w:r>
      <w:r>
        <w:rPr>
          <w:rFonts w:eastAsia="Arial Narrow" w:cstheme="minorHAnsi"/>
          <w:spacing w:val="1"/>
        </w:rPr>
        <w:t>ič</w:t>
      </w:r>
      <w:r>
        <w:rPr>
          <w:rFonts w:eastAsia="Arial Narrow" w:cstheme="minorHAnsi"/>
          <w:spacing w:val="-2"/>
        </w:rPr>
        <w:t>k</w:t>
      </w:r>
      <w:r>
        <w:rPr>
          <w:rFonts w:eastAsia="Arial Narrow" w:cstheme="minorHAnsi"/>
        </w:rPr>
        <w:t>e To</w:t>
      </w:r>
      <w:r>
        <w:rPr>
          <w:rFonts w:eastAsia="Arial Narrow" w:cstheme="minorHAnsi"/>
          <w:spacing w:val="-2"/>
        </w:rPr>
        <w:t>p</w:t>
      </w:r>
      <w:r>
        <w:rPr>
          <w:rFonts w:eastAsia="Arial Narrow" w:cstheme="minorHAnsi"/>
          <w:spacing w:val="1"/>
        </w:rPr>
        <w:t>li</w:t>
      </w:r>
      <w:r>
        <w:rPr>
          <w:rFonts w:eastAsia="Arial Narrow" w:cstheme="minorHAnsi"/>
          <w:spacing w:val="-2"/>
        </w:rPr>
        <w:t>c</w:t>
      </w:r>
      <w:r>
        <w:rPr>
          <w:rFonts w:eastAsia="Arial Narrow" w:cstheme="minorHAnsi"/>
        </w:rPr>
        <w:t>e, M</w:t>
      </w:r>
      <w:r>
        <w:rPr>
          <w:rFonts w:eastAsia="Arial Narrow" w:cstheme="minorHAnsi"/>
          <w:spacing w:val="-1"/>
        </w:rPr>
        <w:t>U</w:t>
      </w:r>
      <w:r>
        <w:rPr>
          <w:rFonts w:eastAsia="Arial Narrow" w:cstheme="minorHAnsi"/>
        </w:rPr>
        <w:t>O</w:t>
      </w:r>
      <w:r>
        <w:rPr>
          <w:rFonts w:eastAsia="Arial Narrow" w:cstheme="minorHAnsi"/>
          <w:spacing w:val="3"/>
        </w:rPr>
        <w:t xml:space="preserve"> </w:t>
      </w:r>
      <w:r>
        <w:rPr>
          <w:rFonts w:eastAsia="Arial Narrow" w:cstheme="minorHAnsi"/>
          <w:spacing w:val="-1"/>
        </w:rPr>
        <w:t>K</w:t>
      </w:r>
      <w:r>
        <w:rPr>
          <w:rFonts w:eastAsia="Arial Narrow" w:cstheme="minorHAnsi"/>
          <w:spacing w:val="1"/>
        </w:rPr>
        <w:t>l</w:t>
      </w:r>
      <w:r>
        <w:rPr>
          <w:rFonts w:eastAsia="Arial Narrow" w:cstheme="minorHAnsi"/>
        </w:rPr>
        <w:t>a</w:t>
      </w:r>
      <w:r>
        <w:rPr>
          <w:rFonts w:eastAsia="Arial Narrow" w:cstheme="minorHAnsi"/>
          <w:spacing w:val="-2"/>
        </w:rPr>
        <w:t>n</w:t>
      </w:r>
      <w:r>
        <w:rPr>
          <w:rFonts w:eastAsia="Arial Narrow" w:cstheme="minorHAnsi"/>
          <w:spacing w:val="1"/>
        </w:rPr>
        <w:t>j</w:t>
      </w:r>
      <w:r>
        <w:rPr>
          <w:rFonts w:eastAsia="Arial Narrow" w:cstheme="minorHAnsi"/>
        </w:rPr>
        <w:t>e</w:t>
      </w:r>
      <w:r>
        <w:rPr>
          <w:rFonts w:eastAsia="Arial Narrow" w:cstheme="minorHAnsi"/>
          <w:spacing w:val="1"/>
        </w:rPr>
        <w:t>c</w:t>
      </w:r>
      <w:r>
        <w:rPr>
          <w:rFonts w:eastAsia="Arial Narrow" w:cstheme="minorHAnsi"/>
        </w:rPr>
        <w:t xml:space="preserve">, </w:t>
      </w:r>
      <w:r>
        <w:rPr>
          <w:rFonts w:eastAsia="Arial Narrow" w:cstheme="minorHAnsi"/>
          <w:spacing w:val="-1"/>
        </w:rPr>
        <w:t>U</w:t>
      </w:r>
      <w:r>
        <w:rPr>
          <w:rFonts w:eastAsia="Arial Narrow" w:cstheme="minorHAnsi"/>
        </w:rPr>
        <w:t>O</w:t>
      </w:r>
      <w:r>
        <w:rPr>
          <w:rFonts w:eastAsia="Arial Narrow" w:cstheme="minorHAnsi"/>
          <w:spacing w:val="3"/>
        </w:rPr>
        <w:t xml:space="preserve"> </w:t>
      </w:r>
      <w:r>
        <w:rPr>
          <w:rFonts w:eastAsia="Arial Narrow" w:cstheme="minorHAnsi"/>
        </w:rPr>
        <w:t>gr</w:t>
      </w:r>
      <w:r>
        <w:rPr>
          <w:rFonts w:eastAsia="Arial Narrow" w:cstheme="minorHAnsi"/>
          <w:spacing w:val="-2"/>
        </w:rPr>
        <w:t>a</w:t>
      </w:r>
      <w:r>
        <w:rPr>
          <w:rFonts w:eastAsia="Arial Narrow" w:cstheme="minorHAnsi"/>
        </w:rPr>
        <w:t>da</w:t>
      </w:r>
      <w:r>
        <w:rPr>
          <w:rFonts w:eastAsia="Arial Narrow" w:cstheme="minorHAnsi"/>
          <w:spacing w:val="2"/>
        </w:rPr>
        <w:t xml:space="preserve"> </w:t>
      </w:r>
      <w:r>
        <w:rPr>
          <w:rFonts w:eastAsia="Arial Narrow" w:cstheme="minorHAnsi"/>
          <w:spacing w:val="-1"/>
        </w:rPr>
        <w:t>K</w:t>
      </w:r>
      <w:r>
        <w:rPr>
          <w:rFonts w:eastAsia="Arial Narrow" w:cstheme="minorHAnsi"/>
        </w:rPr>
        <w:t>ra</w:t>
      </w:r>
      <w:r>
        <w:rPr>
          <w:rFonts w:eastAsia="Arial Narrow" w:cstheme="minorHAnsi"/>
          <w:spacing w:val="-2"/>
        </w:rPr>
        <w:t>p</w:t>
      </w:r>
      <w:r>
        <w:rPr>
          <w:rFonts w:eastAsia="Arial Narrow" w:cstheme="minorHAnsi"/>
          <w:spacing w:val="1"/>
        </w:rPr>
        <w:t>i</w:t>
      </w:r>
      <w:r>
        <w:rPr>
          <w:rFonts w:eastAsia="Arial Narrow" w:cstheme="minorHAnsi"/>
        </w:rPr>
        <w:t>ne</w:t>
      </w:r>
      <w:r>
        <w:rPr>
          <w:rFonts w:eastAsia="Arial Narrow" w:cstheme="minorHAnsi"/>
          <w:spacing w:val="2"/>
        </w:rPr>
        <w:t xml:space="preserve"> </w:t>
      </w:r>
      <w:r>
        <w:rPr>
          <w:rFonts w:eastAsia="Arial Narrow" w:cstheme="minorHAnsi"/>
        </w:rPr>
        <w:t>i op</w:t>
      </w:r>
      <w:r>
        <w:rPr>
          <w:rFonts w:eastAsia="Arial Narrow" w:cstheme="minorHAnsi"/>
          <w:spacing w:val="-2"/>
        </w:rPr>
        <w:t>ć</w:t>
      </w:r>
      <w:r>
        <w:rPr>
          <w:rFonts w:eastAsia="Arial Narrow" w:cstheme="minorHAnsi"/>
          <w:spacing w:val="1"/>
        </w:rPr>
        <w:t>i</w:t>
      </w:r>
      <w:r>
        <w:rPr>
          <w:rFonts w:eastAsia="Arial Narrow" w:cstheme="minorHAnsi"/>
        </w:rPr>
        <w:t>na</w:t>
      </w:r>
      <w:r>
        <w:rPr>
          <w:rFonts w:eastAsia="Arial Narrow" w:cstheme="minorHAnsi"/>
          <w:spacing w:val="2"/>
        </w:rPr>
        <w:t xml:space="preserve"> </w:t>
      </w:r>
      <w:r>
        <w:rPr>
          <w:rFonts w:eastAsia="Arial Narrow" w:cstheme="minorHAnsi"/>
          <w:spacing w:val="-1"/>
        </w:rPr>
        <w:t>Đ</w:t>
      </w:r>
      <w:r>
        <w:rPr>
          <w:rFonts w:eastAsia="Arial Narrow" w:cstheme="minorHAnsi"/>
        </w:rPr>
        <w:t>ur</w:t>
      </w:r>
      <w:r>
        <w:rPr>
          <w:rFonts w:eastAsia="Arial Narrow" w:cstheme="minorHAnsi"/>
          <w:spacing w:val="-2"/>
        </w:rPr>
        <w:t>m</w:t>
      </w:r>
      <w:r>
        <w:rPr>
          <w:rFonts w:eastAsia="Arial Narrow" w:cstheme="minorHAnsi"/>
        </w:rPr>
        <w:t>ane</w:t>
      </w:r>
      <w:r>
        <w:rPr>
          <w:rFonts w:eastAsia="Arial Narrow" w:cstheme="minorHAnsi"/>
          <w:spacing w:val="1"/>
        </w:rPr>
        <w:t>c</w:t>
      </w:r>
      <w:r>
        <w:rPr>
          <w:rFonts w:eastAsia="Arial Narrow" w:cstheme="minorHAnsi"/>
        </w:rPr>
        <w:t xml:space="preserve">, </w:t>
      </w:r>
      <w:r>
        <w:rPr>
          <w:rFonts w:eastAsia="Arial Narrow" w:cstheme="minorHAnsi"/>
          <w:spacing w:val="1"/>
        </w:rPr>
        <w:t>J</w:t>
      </w:r>
      <w:r>
        <w:rPr>
          <w:rFonts w:eastAsia="Arial Narrow" w:cstheme="minorHAnsi"/>
          <w:spacing w:val="-2"/>
        </w:rPr>
        <w:t>e</w:t>
      </w:r>
      <w:r>
        <w:rPr>
          <w:rFonts w:eastAsia="Arial Narrow" w:cstheme="minorHAnsi"/>
          <w:spacing w:val="1"/>
        </w:rPr>
        <w:t>s</w:t>
      </w:r>
      <w:r>
        <w:rPr>
          <w:rFonts w:eastAsia="Arial Narrow" w:cstheme="minorHAnsi"/>
        </w:rPr>
        <w:t>e</w:t>
      </w:r>
      <w:r>
        <w:rPr>
          <w:rFonts w:eastAsia="Arial Narrow" w:cstheme="minorHAnsi"/>
          <w:spacing w:val="-2"/>
        </w:rPr>
        <w:t>n</w:t>
      </w:r>
      <w:r>
        <w:rPr>
          <w:rFonts w:eastAsia="Arial Narrow" w:cstheme="minorHAnsi"/>
          <w:spacing w:val="1"/>
        </w:rPr>
        <w:t>j</w:t>
      </w:r>
      <w:r>
        <w:rPr>
          <w:rFonts w:eastAsia="Arial Narrow" w:cstheme="minorHAnsi"/>
        </w:rPr>
        <w:t>e,</w:t>
      </w:r>
      <w:r>
        <w:rPr>
          <w:rFonts w:eastAsia="Arial Narrow" w:cstheme="minorHAnsi"/>
          <w:spacing w:val="2"/>
        </w:rPr>
        <w:t xml:space="preserve"> </w:t>
      </w:r>
      <w:r>
        <w:rPr>
          <w:rFonts w:eastAsia="Arial Narrow" w:cstheme="minorHAnsi"/>
          <w:spacing w:val="-1"/>
        </w:rPr>
        <w:t>P</w:t>
      </w:r>
      <w:r>
        <w:rPr>
          <w:rFonts w:eastAsia="Arial Narrow" w:cstheme="minorHAnsi"/>
        </w:rPr>
        <w:t>etr</w:t>
      </w:r>
      <w:r>
        <w:rPr>
          <w:rFonts w:eastAsia="Arial Narrow" w:cstheme="minorHAnsi"/>
          <w:spacing w:val="-2"/>
        </w:rPr>
        <w:t>o</w:t>
      </w:r>
      <w:r>
        <w:rPr>
          <w:rFonts w:eastAsia="Arial Narrow" w:cstheme="minorHAnsi"/>
          <w:spacing w:val="1"/>
        </w:rPr>
        <w:t>vs</w:t>
      </w:r>
      <w:r>
        <w:rPr>
          <w:rFonts w:eastAsia="Arial Narrow" w:cstheme="minorHAnsi"/>
          <w:spacing w:val="-2"/>
        </w:rPr>
        <w:t>k</w:t>
      </w:r>
      <w:r>
        <w:rPr>
          <w:rFonts w:eastAsia="Arial Narrow" w:cstheme="minorHAnsi"/>
        </w:rPr>
        <w:t>o</w:t>
      </w:r>
      <w:r>
        <w:rPr>
          <w:rFonts w:eastAsia="Arial Narrow" w:cstheme="minorHAnsi"/>
          <w:spacing w:val="2"/>
        </w:rPr>
        <w:t xml:space="preserve"> </w:t>
      </w:r>
      <w:r>
        <w:rPr>
          <w:rFonts w:eastAsia="Arial Narrow" w:cstheme="minorHAnsi"/>
        </w:rPr>
        <w:t>i</w:t>
      </w:r>
      <w:r>
        <w:rPr>
          <w:rFonts w:eastAsia="Arial Narrow" w:cstheme="minorHAnsi"/>
          <w:spacing w:val="3"/>
        </w:rPr>
        <w:t xml:space="preserve"> </w:t>
      </w:r>
      <w:r>
        <w:rPr>
          <w:rFonts w:eastAsia="Arial Narrow" w:cstheme="minorHAnsi"/>
          <w:spacing w:val="-1"/>
        </w:rPr>
        <w:t>R</w:t>
      </w:r>
      <w:r>
        <w:rPr>
          <w:rFonts w:eastAsia="Arial Narrow" w:cstheme="minorHAnsi"/>
        </w:rPr>
        <w:t>a</w:t>
      </w:r>
      <w:r>
        <w:rPr>
          <w:rFonts w:eastAsia="Arial Narrow" w:cstheme="minorHAnsi"/>
          <w:spacing w:val="-2"/>
        </w:rPr>
        <w:t>d</w:t>
      </w:r>
      <w:r>
        <w:rPr>
          <w:rFonts w:eastAsia="Arial Narrow" w:cstheme="minorHAnsi"/>
        </w:rPr>
        <w:t>obo</w:t>
      </w:r>
      <w:r>
        <w:rPr>
          <w:rFonts w:eastAsia="Arial Narrow" w:cstheme="minorHAnsi"/>
          <w:spacing w:val="1"/>
        </w:rPr>
        <w:t>j</w:t>
      </w:r>
      <w:r>
        <w:rPr>
          <w:rFonts w:eastAsia="Arial Narrow" w:cstheme="minorHAnsi"/>
        </w:rPr>
        <w:t xml:space="preserve">, </w:t>
      </w:r>
      <w:r>
        <w:rPr>
          <w:rFonts w:eastAsia="Arial Narrow" w:cstheme="minorHAnsi"/>
          <w:spacing w:val="-1"/>
        </w:rPr>
        <w:t>U</w:t>
      </w:r>
      <w:r>
        <w:rPr>
          <w:rFonts w:eastAsia="Arial Narrow" w:cstheme="minorHAnsi"/>
        </w:rPr>
        <w:t xml:space="preserve">O </w:t>
      </w:r>
      <w:r>
        <w:rPr>
          <w:rFonts w:eastAsia="Arial Narrow" w:cstheme="minorHAnsi"/>
          <w:spacing w:val="-1"/>
        </w:rPr>
        <w:t>K</w:t>
      </w:r>
      <w:r>
        <w:rPr>
          <w:rFonts w:eastAsia="Arial Narrow" w:cstheme="minorHAnsi"/>
        </w:rPr>
        <w:t>rap</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e</w:t>
      </w:r>
      <w:r>
        <w:rPr>
          <w:rFonts w:eastAsia="Arial Narrow" w:cstheme="minorHAnsi"/>
          <w:spacing w:val="2"/>
        </w:rPr>
        <w:t xml:space="preserve"> </w:t>
      </w:r>
      <w:r>
        <w:rPr>
          <w:rFonts w:eastAsia="Arial Narrow" w:cstheme="minorHAnsi"/>
        </w:rPr>
        <w:t>To</w:t>
      </w:r>
      <w:r>
        <w:rPr>
          <w:rFonts w:eastAsia="Arial Narrow" w:cstheme="minorHAnsi"/>
          <w:spacing w:val="-2"/>
        </w:rPr>
        <w:t>p</w:t>
      </w:r>
      <w:r>
        <w:rPr>
          <w:rFonts w:eastAsia="Arial Narrow" w:cstheme="minorHAnsi"/>
          <w:spacing w:val="1"/>
        </w:rPr>
        <w:t>li</w:t>
      </w:r>
      <w:r>
        <w:rPr>
          <w:rFonts w:eastAsia="Arial Narrow" w:cstheme="minorHAnsi"/>
          <w:spacing w:val="-2"/>
        </w:rPr>
        <w:t>c</w:t>
      </w:r>
      <w:r>
        <w:rPr>
          <w:rFonts w:eastAsia="Arial Narrow" w:cstheme="minorHAnsi"/>
        </w:rPr>
        <w:t>e,</w:t>
      </w:r>
      <w:r>
        <w:rPr>
          <w:rFonts w:eastAsia="Arial Narrow" w:cstheme="minorHAnsi"/>
          <w:spacing w:val="2"/>
        </w:rPr>
        <w:t xml:space="preserve"> </w:t>
      </w:r>
      <w:r>
        <w:rPr>
          <w:rFonts w:eastAsia="Arial Narrow" w:cstheme="minorHAnsi"/>
          <w:spacing w:val="-3"/>
        </w:rPr>
        <w:t>U</w:t>
      </w:r>
      <w:r>
        <w:rPr>
          <w:rFonts w:eastAsia="Arial Narrow" w:cstheme="minorHAnsi"/>
        </w:rPr>
        <w:t xml:space="preserve">O </w:t>
      </w:r>
      <w:r>
        <w:rPr>
          <w:rFonts w:eastAsia="Arial Narrow" w:cstheme="minorHAnsi"/>
          <w:spacing w:val="-1"/>
        </w:rPr>
        <w:t>P</w:t>
      </w:r>
      <w:r>
        <w:rPr>
          <w:rFonts w:eastAsia="Arial Narrow" w:cstheme="minorHAnsi"/>
        </w:rPr>
        <w:t>regrada,</w:t>
      </w:r>
      <w:r>
        <w:rPr>
          <w:rFonts w:eastAsia="Arial Narrow" w:cstheme="minorHAnsi"/>
          <w:spacing w:val="3"/>
        </w:rPr>
        <w:t xml:space="preserve"> </w:t>
      </w:r>
      <w:r>
        <w:rPr>
          <w:rFonts w:eastAsia="Arial Narrow" w:cstheme="minorHAnsi"/>
          <w:spacing w:val="-1"/>
        </w:rPr>
        <w:t>H</w:t>
      </w:r>
      <w:r>
        <w:rPr>
          <w:rFonts w:eastAsia="Arial Narrow" w:cstheme="minorHAnsi"/>
          <w:spacing w:val="-2"/>
        </w:rPr>
        <w:t>u</w:t>
      </w:r>
      <w:r>
        <w:rPr>
          <w:rFonts w:eastAsia="Arial Narrow" w:cstheme="minorHAnsi"/>
        </w:rPr>
        <w:t>m</w:t>
      </w:r>
      <w:r>
        <w:rPr>
          <w:rFonts w:eastAsia="Arial Narrow" w:cstheme="minorHAnsi"/>
          <w:spacing w:val="3"/>
        </w:rPr>
        <w:t xml:space="preserve"> </w:t>
      </w:r>
      <w:r>
        <w:rPr>
          <w:rFonts w:eastAsia="Arial Narrow" w:cstheme="minorHAnsi"/>
        </w:rPr>
        <w:t xml:space="preserve">na </w:t>
      </w:r>
      <w:r>
        <w:rPr>
          <w:rFonts w:eastAsia="Arial Narrow" w:cstheme="minorHAnsi"/>
          <w:spacing w:val="-1"/>
        </w:rPr>
        <w:t>S</w:t>
      </w:r>
      <w:r>
        <w:rPr>
          <w:rFonts w:eastAsia="Arial Narrow" w:cstheme="minorHAnsi"/>
        </w:rPr>
        <w:t>ut</w:t>
      </w:r>
      <w:r>
        <w:rPr>
          <w:rFonts w:eastAsia="Arial Narrow" w:cstheme="minorHAnsi"/>
          <w:spacing w:val="1"/>
        </w:rPr>
        <w:t>li</w:t>
      </w:r>
      <w:r>
        <w:rPr>
          <w:rFonts w:eastAsia="Arial Narrow" w:cstheme="minorHAnsi"/>
        </w:rPr>
        <w:t xml:space="preserve">, </w:t>
      </w:r>
      <w:r>
        <w:rPr>
          <w:rFonts w:eastAsia="Arial Narrow" w:cstheme="minorHAnsi"/>
          <w:spacing w:val="-1"/>
        </w:rPr>
        <w:t>D</w:t>
      </w:r>
      <w:r>
        <w:rPr>
          <w:rFonts w:eastAsia="Arial Narrow" w:cstheme="minorHAnsi"/>
        </w:rPr>
        <w:t>e</w:t>
      </w:r>
      <w:r>
        <w:rPr>
          <w:rFonts w:eastAsia="Arial Narrow" w:cstheme="minorHAnsi"/>
          <w:spacing w:val="-2"/>
        </w:rPr>
        <w:t>s</w:t>
      </w:r>
      <w:r>
        <w:rPr>
          <w:rFonts w:eastAsia="Arial Narrow" w:cstheme="minorHAnsi"/>
          <w:spacing w:val="1"/>
        </w:rPr>
        <w:t>i</w:t>
      </w:r>
      <w:r>
        <w:rPr>
          <w:rFonts w:eastAsia="Arial Narrow" w:cstheme="minorHAnsi"/>
        </w:rPr>
        <w:t>n</w:t>
      </w:r>
      <w:r>
        <w:rPr>
          <w:rFonts w:eastAsia="Arial Narrow" w:cstheme="minorHAnsi"/>
          <w:spacing w:val="1"/>
        </w:rPr>
        <w:t>ić</w:t>
      </w:r>
      <w:r>
        <w:rPr>
          <w:rFonts w:eastAsia="Arial Narrow" w:cstheme="minorHAnsi"/>
        </w:rPr>
        <w:t xml:space="preserve">, </w:t>
      </w:r>
      <w:r>
        <w:rPr>
          <w:rFonts w:eastAsia="Arial Narrow" w:cstheme="minorHAnsi"/>
          <w:spacing w:val="-1"/>
        </w:rPr>
        <w:t>U</w:t>
      </w:r>
      <w:r>
        <w:rPr>
          <w:rFonts w:eastAsia="Arial Narrow" w:cstheme="minorHAnsi"/>
        </w:rPr>
        <w:t>O</w:t>
      </w:r>
      <w:r>
        <w:rPr>
          <w:rFonts w:eastAsia="Arial Narrow" w:cstheme="minorHAnsi"/>
          <w:spacing w:val="3"/>
        </w:rPr>
        <w:t xml:space="preserve"> </w:t>
      </w:r>
      <w:r>
        <w:rPr>
          <w:rFonts w:eastAsia="Arial Narrow" w:cstheme="minorHAnsi"/>
          <w:spacing w:val="-1"/>
        </w:rPr>
        <w:t>S</w:t>
      </w:r>
      <w:r>
        <w:rPr>
          <w:rFonts w:eastAsia="Arial Narrow" w:cstheme="minorHAnsi"/>
          <w:spacing w:val="-2"/>
        </w:rPr>
        <w:t>v</w:t>
      </w:r>
      <w:r>
        <w:rPr>
          <w:rFonts w:eastAsia="Arial Narrow" w:cstheme="minorHAnsi"/>
        </w:rPr>
        <w:t>eti</w:t>
      </w:r>
      <w:r>
        <w:rPr>
          <w:rFonts w:eastAsia="Arial Narrow" w:cstheme="minorHAnsi"/>
          <w:spacing w:val="3"/>
        </w:rPr>
        <w:t xml:space="preserve"> </w:t>
      </w:r>
      <w:r>
        <w:rPr>
          <w:rFonts w:eastAsia="Arial Narrow" w:cstheme="minorHAnsi"/>
          <w:spacing w:val="-1"/>
        </w:rPr>
        <w:t>K</w:t>
      </w:r>
      <w:r>
        <w:rPr>
          <w:rFonts w:eastAsia="Arial Narrow" w:cstheme="minorHAnsi"/>
        </w:rPr>
        <w:t>r</w:t>
      </w:r>
      <w:r>
        <w:rPr>
          <w:rFonts w:eastAsia="Arial Narrow" w:cstheme="minorHAnsi"/>
          <w:spacing w:val="-2"/>
        </w:rPr>
        <w:t>i</w:t>
      </w:r>
      <w:r>
        <w:rPr>
          <w:rFonts w:eastAsia="Arial Narrow" w:cstheme="minorHAnsi"/>
        </w:rPr>
        <w:t>ž</w:t>
      </w:r>
      <w:r>
        <w:rPr>
          <w:rFonts w:eastAsia="Arial Narrow" w:cstheme="minorHAnsi"/>
          <w:spacing w:val="3"/>
        </w:rPr>
        <w:t xml:space="preserve"> </w:t>
      </w:r>
      <w:r>
        <w:rPr>
          <w:rFonts w:eastAsia="Arial Narrow" w:cstheme="minorHAnsi"/>
        </w:rPr>
        <w:t>Z</w:t>
      </w:r>
      <w:r>
        <w:rPr>
          <w:rFonts w:eastAsia="Arial Narrow" w:cstheme="minorHAnsi"/>
          <w:spacing w:val="-2"/>
        </w:rPr>
        <w:t>a</w:t>
      </w:r>
      <w:r>
        <w:rPr>
          <w:rFonts w:eastAsia="Arial Narrow" w:cstheme="minorHAnsi"/>
          <w:spacing w:val="1"/>
        </w:rPr>
        <w:t>č</w:t>
      </w:r>
      <w:r>
        <w:rPr>
          <w:rFonts w:eastAsia="Arial Narrow" w:cstheme="minorHAnsi"/>
        </w:rPr>
        <w:t>ret</w:t>
      </w:r>
      <w:r>
        <w:rPr>
          <w:rFonts w:eastAsia="Arial Narrow" w:cstheme="minorHAnsi"/>
          <w:spacing w:val="-2"/>
        </w:rPr>
        <w:t>j</w:t>
      </w:r>
      <w:r>
        <w:rPr>
          <w:rFonts w:eastAsia="Arial Narrow" w:cstheme="minorHAnsi"/>
        </w:rPr>
        <w:t xml:space="preserve">e, </w:t>
      </w:r>
      <w:r>
        <w:rPr>
          <w:rFonts w:eastAsia="Arial Narrow" w:cstheme="minorHAnsi"/>
          <w:spacing w:val="-1"/>
        </w:rPr>
        <w:t>U</w:t>
      </w:r>
      <w:r>
        <w:rPr>
          <w:rFonts w:eastAsia="Arial Narrow" w:cstheme="minorHAnsi"/>
        </w:rPr>
        <w:t>O</w:t>
      </w:r>
      <w:r>
        <w:rPr>
          <w:rFonts w:eastAsia="Arial Narrow" w:cstheme="minorHAnsi"/>
          <w:spacing w:val="3"/>
        </w:rPr>
        <w:t xml:space="preserve"> </w:t>
      </w:r>
      <w:r>
        <w:rPr>
          <w:rFonts w:eastAsia="Arial Narrow" w:cstheme="minorHAnsi"/>
        </w:rPr>
        <w:t>Zab</w:t>
      </w:r>
      <w:r>
        <w:rPr>
          <w:rFonts w:eastAsia="Arial Narrow" w:cstheme="minorHAnsi"/>
          <w:spacing w:val="-2"/>
        </w:rPr>
        <w:t>o</w:t>
      </w:r>
      <w:r>
        <w:rPr>
          <w:rFonts w:eastAsia="Arial Narrow" w:cstheme="minorHAnsi"/>
          <w:spacing w:val="1"/>
        </w:rPr>
        <w:t>k</w:t>
      </w:r>
      <w:r>
        <w:rPr>
          <w:rFonts w:eastAsia="Arial Narrow" w:cstheme="minorHAnsi"/>
        </w:rPr>
        <w:t>,</w:t>
      </w:r>
      <w:r>
        <w:rPr>
          <w:rFonts w:eastAsia="Arial Narrow" w:cstheme="minorHAnsi"/>
          <w:spacing w:val="3"/>
        </w:rPr>
        <w:t xml:space="preserve"> </w:t>
      </w:r>
      <w:r>
        <w:rPr>
          <w:rFonts w:eastAsia="Arial Narrow" w:cstheme="minorHAnsi"/>
          <w:spacing w:val="-1"/>
        </w:rPr>
        <w:t>U</w:t>
      </w:r>
      <w:r>
        <w:rPr>
          <w:rFonts w:eastAsia="Arial Narrow" w:cstheme="minorHAnsi"/>
        </w:rPr>
        <w:t>O</w:t>
      </w:r>
      <w:r>
        <w:rPr>
          <w:rFonts w:eastAsia="Arial Narrow" w:cstheme="minorHAnsi"/>
          <w:spacing w:val="1"/>
        </w:rPr>
        <w:t xml:space="preserve"> </w:t>
      </w:r>
      <w:r>
        <w:rPr>
          <w:rFonts w:eastAsia="Arial Narrow" w:cstheme="minorHAnsi"/>
        </w:rPr>
        <w:t>Z</w:t>
      </w:r>
      <w:r>
        <w:rPr>
          <w:rFonts w:eastAsia="Arial Narrow" w:cstheme="minorHAnsi"/>
          <w:spacing w:val="1"/>
        </w:rPr>
        <w:t>l</w:t>
      </w:r>
      <w:r>
        <w:rPr>
          <w:rFonts w:eastAsia="Arial Narrow" w:cstheme="minorHAnsi"/>
        </w:rPr>
        <w:t xml:space="preserve">atar. </w:t>
      </w:r>
      <w:r>
        <w:rPr>
          <w:rFonts w:eastAsia="Arial Narrow" w:cstheme="minorHAnsi"/>
          <w:spacing w:val="-1"/>
        </w:rPr>
        <w:t>N</w:t>
      </w:r>
      <w:r>
        <w:rPr>
          <w:rFonts w:eastAsia="Arial Narrow" w:cstheme="minorHAnsi"/>
        </w:rPr>
        <w:t>a</w:t>
      </w:r>
      <w:r>
        <w:rPr>
          <w:rFonts w:eastAsia="Arial Narrow" w:cstheme="minorHAnsi"/>
          <w:spacing w:val="1"/>
        </w:rPr>
        <w:t>j</w:t>
      </w:r>
      <w:r>
        <w:rPr>
          <w:rFonts w:eastAsia="Arial Narrow" w:cstheme="minorHAnsi"/>
          <w:spacing w:val="-2"/>
        </w:rPr>
        <w:t>ve</w:t>
      </w:r>
      <w:r>
        <w:rPr>
          <w:rFonts w:eastAsia="Arial Narrow" w:cstheme="minorHAnsi"/>
          <w:spacing w:val="1"/>
        </w:rPr>
        <w:t>ć</w:t>
      </w:r>
      <w:r>
        <w:rPr>
          <w:rFonts w:eastAsia="Arial Narrow" w:cstheme="minorHAnsi"/>
        </w:rPr>
        <w:t>i</w:t>
      </w:r>
      <w:r>
        <w:rPr>
          <w:rFonts w:eastAsia="Arial Narrow" w:cstheme="minorHAnsi"/>
          <w:spacing w:val="3"/>
        </w:rPr>
        <w:t xml:space="preserve"> </w:t>
      </w:r>
      <w:r>
        <w:rPr>
          <w:rFonts w:eastAsia="Arial Narrow" w:cstheme="minorHAnsi"/>
        </w:rPr>
        <w:t>br</w:t>
      </w:r>
      <w:r>
        <w:rPr>
          <w:rFonts w:eastAsia="Arial Narrow" w:cstheme="minorHAnsi"/>
          <w:spacing w:val="-2"/>
        </w:rPr>
        <w:t>o</w:t>
      </w:r>
      <w:r>
        <w:rPr>
          <w:rFonts w:eastAsia="Arial Narrow" w:cstheme="minorHAnsi"/>
        </w:rPr>
        <w:t>j</w:t>
      </w:r>
      <w:r>
        <w:rPr>
          <w:rFonts w:eastAsia="Arial Narrow" w:cstheme="minorHAnsi"/>
          <w:spacing w:val="3"/>
        </w:rPr>
        <w:t xml:space="preserve"> </w:t>
      </w:r>
      <w:r>
        <w:rPr>
          <w:rFonts w:eastAsia="Arial Narrow" w:cstheme="minorHAnsi"/>
        </w:rPr>
        <w:t>obr</w:t>
      </w:r>
      <w:r>
        <w:rPr>
          <w:rFonts w:eastAsia="Arial Narrow" w:cstheme="minorHAnsi"/>
          <w:spacing w:val="-2"/>
        </w:rPr>
        <w:t>t</w:t>
      </w:r>
      <w:r>
        <w:rPr>
          <w:rFonts w:eastAsia="Arial Narrow" w:cstheme="minorHAnsi"/>
        </w:rPr>
        <w:t>n</w:t>
      </w:r>
      <w:r>
        <w:rPr>
          <w:rFonts w:eastAsia="Arial Narrow" w:cstheme="minorHAnsi"/>
          <w:spacing w:val="1"/>
        </w:rPr>
        <w:t>i</w:t>
      </w:r>
      <w:r>
        <w:rPr>
          <w:rFonts w:eastAsia="Arial Narrow" w:cstheme="minorHAnsi"/>
          <w:spacing w:val="-2"/>
        </w:rPr>
        <w:t>k</w:t>
      </w:r>
      <w:r>
        <w:rPr>
          <w:rFonts w:eastAsia="Arial Narrow" w:cstheme="minorHAnsi"/>
        </w:rPr>
        <w:t>a</w:t>
      </w:r>
      <w:r>
        <w:rPr>
          <w:rFonts w:eastAsia="Arial Narrow" w:cstheme="minorHAnsi"/>
          <w:spacing w:val="3"/>
        </w:rPr>
        <w:t xml:space="preserve"> </w:t>
      </w:r>
      <w:r>
        <w:rPr>
          <w:rFonts w:eastAsia="Arial Narrow" w:cstheme="minorHAnsi"/>
          <w:spacing w:val="-1"/>
        </w:rPr>
        <w:t>K</w:t>
      </w:r>
      <w:r>
        <w:rPr>
          <w:rFonts w:eastAsia="Arial Narrow" w:cstheme="minorHAnsi"/>
        </w:rPr>
        <w:t xml:space="preserve">ZŽ-a </w:t>
      </w:r>
      <w:r>
        <w:rPr>
          <w:rFonts w:eastAsia="Arial Narrow" w:cstheme="minorHAnsi"/>
          <w:spacing w:val="1"/>
        </w:rPr>
        <w:t>k</w:t>
      </w:r>
      <w:r>
        <w:rPr>
          <w:rFonts w:eastAsia="Arial Narrow" w:cstheme="minorHAnsi"/>
        </w:rPr>
        <w:t>on</w:t>
      </w:r>
      <w:r>
        <w:rPr>
          <w:rFonts w:eastAsia="Arial Narrow" w:cstheme="minorHAnsi"/>
          <w:spacing w:val="1"/>
        </w:rPr>
        <w:t>c</w:t>
      </w:r>
      <w:r>
        <w:rPr>
          <w:rFonts w:eastAsia="Arial Narrow" w:cstheme="minorHAnsi"/>
          <w:spacing w:val="-2"/>
        </w:rPr>
        <w:t>e</w:t>
      </w:r>
      <w:r>
        <w:rPr>
          <w:rFonts w:eastAsia="Arial Narrow" w:cstheme="minorHAnsi"/>
        </w:rPr>
        <w:t>ntr</w:t>
      </w:r>
      <w:r>
        <w:rPr>
          <w:rFonts w:eastAsia="Arial Narrow" w:cstheme="minorHAnsi"/>
          <w:spacing w:val="1"/>
        </w:rPr>
        <w:t>i</w:t>
      </w:r>
      <w:r>
        <w:rPr>
          <w:rFonts w:eastAsia="Arial Narrow" w:cstheme="minorHAnsi"/>
        </w:rPr>
        <w:t>ran</w:t>
      </w:r>
      <w:r>
        <w:rPr>
          <w:rFonts w:eastAsia="Arial Narrow" w:cstheme="minorHAnsi"/>
          <w:spacing w:val="-2"/>
        </w:rPr>
        <w:t xml:space="preserve"> </w:t>
      </w:r>
      <w:r>
        <w:rPr>
          <w:rFonts w:eastAsia="Arial Narrow" w:cstheme="minorHAnsi"/>
          <w:spacing w:val="1"/>
        </w:rPr>
        <w:t>j</w:t>
      </w:r>
      <w:r>
        <w:rPr>
          <w:rFonts w:eastAsia="Arial Narrow" w:cstheme="minorHAnsi"/>
        </w:rPr>
        <w:t>e up</w:t>
      </w:r>
      <w:r>
        <w:rPr>
          <w:rFonts w:eastAsia="Arial Narrow" w:cstheme="minorHAnsi"/>
          <w:spacing w:val="-3"/>
        </w:rPr>
        <w:t>r</w:t>
      </w:r>
      <w:r>
        <w:rPr>
          <w:rFonts w:eastAsia="Arial Narrow" w:cstheme="minorHAnsi"/>
        </w:rPr>
        <w:t>a</w:t>
      </w:r>
      <w:r>
        <w:rPr>
          <w:rFonts w:eastAsia="Arial Narrow" w:cstheme="minorHAnsi"/>
          <w:spacing w:val="1"/>
        </w:rPr>
        <w:t>v</w:t>
      </w:r>
      <w:r>
        <w:rPr>
          <w:rFonts w:eastAsia="Arial Narrow" w:cstheme="minorHAnsi"/>
        </w:rPr>
        <w:t xml:space="preserve">o </w:t>
      </w:r>
      <w:r>
        <w:rPr>
          <w:rFonts w:eastAsia="Arial Narrow" w:cstheme="minorHAnsi"/>
          <w:spacing w:val="-2"/>
        </w:rPr>
        <w:t>n</w:t>
      </w:r>
      <w:r>
        <w:rPr>
          <w:rFonts w:eastAsia="Arial Narrow" w:cstheme="minorHAnsi"/>
        </w:rPr>
        <w:t>a pod</w:t>
      </w:r>
      <w:r>
        <w:rPr>
          <w:rFonts w:eastAsia="Arial Narrow" w:cstheme="minorHAnsi"/>
          <w:spacing w:val="-3"/>
        </w:rPr>
        <w:t>r</w:t>
      </w:r>
      <w:r>
        <w:rPr>
          <w:rFonts w:eastAsia="Arial Narrow" w:cstheme="minorHAnsi"/>
        </w:rPr>
        <w:t>u</w:t>
      </w:r>
      <w:r>
        <w:rPr>
          <w:rFonts w:eastAsia="Arial Narrow" w:cstheme="minorHAnsi"/>
          <w:spacing w:val="1"/>
        </w:rPr>
        <w:t>čj</w:t>
      </w:r>
      <w:r>
        <w:rPr>
          <w:rFonts w:eastAsia="Arial Narrow" w:cstheme="minorHAnsi"/>
        </w:rPr>
        <w:t>u</w:t>
      </w:r>
      <w:r>
        <w:rPr>
          <w:rFonts w:eastAsia="Arial Narrow" w:cstheme="minorHAnsi"/>
          <w:spacing w:val="-2"/>
        </w:rPr>
        <w:t xml:space="preserve"> </w:t>
      </w:r>
      <w:r>
        <w:rPr>
          <w:rFonts w:eastAsia="Arial Narrow" w:cstheme="minorHAnsi"/>
          <w:spacing w:val="1"/>
        </w:rPr>
        <w:t>v</w:t>
      </w:r>
      <w:r>
        <w:rPr>
          <w:rFonts w:eastAsia="Arial Narrow" w:cstheme="minorHAnsi"/>
        </w:rPr>
        <w:t>e</w:t>
      </w:r>
      <w:r>
        <w:rPr>
          <w:rFonts w:eastAsia="Arial Narrow" w:cstheme="minorHAnsi"/>
          <w:spacing w:val="1"/>
        </w:rPr>
        <w:t>ć</w:t>
      </w:r>
      <w:r>
        <w:rPr>
          <w:rFonts w:eastAsia="Arial Narrow" w:cstheme="minorHAnsi"/>
          <w:spacing w:val="-2"/>
        </w:rPr>
        <w:t>i</w:t>
      </w:r>
      <w:r>
        <w:rPr>
          <w:rFonts w:eastAsia="Arial Narrow" w:cstheme="minorHAnsi"/>
        </w:rPr>
        <w:t>h gra</w:t>
      </w:r>
      <w:r>
        <w:rPr>
          <w:rFonts w:eastAsia="Arial Narrow" w:cstheme="minorHAnsi"/>
          <w:spacing w:val="-2"/>
        </w:rPr>
        <w:t>d</w:t>
      </w:r>
      <w:r>
        <w:rPr>
          <w:rFonts w:eastAsia="Arial Narrow" w:cstheme="minorHAnsi"/>
        </w:rPr>
        <w:t>o</w:t>
      </w:r>
      <w:r>
        <w:rPr>
          <w:rFonts w:eastAsia="Arial Narrow" w:cstheme="minorHAnsi"/>
          <w:spacing w:val="1"/>
        </w:rPr>
        <w:t>v</w:t>
      </w:r>
      <w:r>
        <w:rPr>
          <w:rFonts w:eastAsia="Arial Narrow" w:cstheme="minorHAnsi"/>
        </w:rPr>
        <w:t>a</w:t>
      </w:r>
      <w:r>
        <w:rPr>
          <w:rFonts w:eastAsia="Arial Narrow" w:cstheme="minorHAnsi"/>
          <w:spacing w:val="-2"/>
        </w:rPr>
        <w:t xml:space="preserve"> </w:t>
      </w:r>
      <w:r>
        <w:rPr>
          <w:rFonts w:eastAsia="Arial Narrow" w:cstheme="minorHAnsi"/>
          <w:spacing w:val="1"/>
        </w:rPr>
        <w:t>k</w:t>
      </w:r>
      <w:r>
        <w:rPr>
          <w:rFonts w:eastAsia="Arial Narrow" w:cstheme="minorHAnsi"/>
        </w:rPr>
        <w:t xml:space="preserve">ao </w:t>
      </w:r>
      <w:r>
        <w:rPr>
          <w:rFonts w:eastAsia="Arial Narrow" w:cstheme="minorHAnsi"/>
          <w:spacing w:val="-2"/>
        </w:rPr>
        <w:t>š</w:t>
      </w:r>
      <w:r>
        <w:rPr>
          <w:rFonts w:eastAsia="Arial Narrow" w:cstheme="minorHAnsi"/>
        </w:rPr>
        <w:t xml:space="preserve">to </w:t>
      </w:r>
      <w:r>
        <w:rPr>
          <w:rFonts w:eastAsia="Arial Narrow" w:cstheme="minorHAnsi"/>
          <w:spacing w:val="1"/>
        </w:rPr>
        <w:t>s</w:t>
      </w:r>
      <w:r>
        <w:rPr>
          <w:rFonts w:eastAsia="Arial Narrow" w:cstheme="minorHAnsi"/>
        </w:rPr>
        <w:t>u</w:t>
      </w:r>
      <w:r>
        <w:rPr>
          <w:rFonts w:eastAsia="Arial Narrow" w:cstheme="minorHAnsi"/>
          <w:spacing w:val="-4"/>
        </w:rPr>
        <w:t xml:space="preserve"> </w:t>
      </w:r>
      <w:r>
        <w:rPr>
          <w:rFonts w:eastAsia="Arial Narrow" w:cstheme="minorHAnsi"/>
          <w:spacing w:val="-1"/>
        </w:rPr>
        <w:t>D</w:t>
      </w:r>
      <w:r>
        <w:rPr>
          <w:rFonts w:eastAsia="Arial Narrow" w:cstheme="minorHAnsi"/>
        </w:rPr>
        <w:t>on</w:t>
      </w:r>
      <w:r>
        <w:rPr>
          <w:rFonts w:eastAsia="Arial Narrow" w:cstheme="minorHAnsi"/>
          <w:spacing w:val="1"/>
        </w:rPr>
        <w:t>j</w:t>
      </w:r>
      <w:r>
        <w:rPr>
          <w:rFonts w:eastAsia="Arial Narrow" w:cstheme="minorHAnsi"/>
        </w:rPr>
        <w:t xml:space="preserve">a </w:t>
      </w:r>
      <w:r>
        <w:rPr>
          <w:rFonts w:eastAsia="Arial Narrow" w:cstheme="minorHAnsi"/>
          <w:spacing w:val="-1"/>
        </w:rPr>
        <w:t>S</w:t>
      </w:r>
      <w:r>
        <w:rPr>
          <w:rFonts w:eastAsia="Arial Narrow" w:cstheme="minorHAnsi"/>
        </w:rPr>
        <w:t>tub</w:t>
      </w:r>
      <w:r>
        <w:rPr>
          <w:rFonts w:eastAsia="Arial Narrow" w:cstheme="minorHAnsi"/>
          <w:spacing w:val="-2"/>
        </w:rPr>
        <w:t>i</w:t>
      </w:r>
      <w:r>
        <w:rPr>
          <w:rFonts w:eastAsia="Arial Narrow" w:cstheme="minorHAnsi"/>
          <w:spacing w:val="1"/>
        </w:rPr>
        <w:t>c</w:t>
      </w:r>
      <w:r>
        <w:rPr>
          <w:rFonts w:eastAsia="Arial Narrow" w:cstheme="minorHAnsi"/>
        </w:rPr>
        <w:t xml:space="preserve">a, </w:t>
      </w:r>
      <w:r>
        <w:rPr>
          <w:rFonts w:eastAsia="Arial Narrow" w:cstheme="minorHAnsi"/>
          <w:spacing w:val="-1"/>
        </w:rPr>
        <w:t>K</w:t>
      </w:r>
      <w:r>
        <w:rPr>
          <w:rFonts w:eastAsia="Arial Narrow" w:cstheme="minorHAnsi"/>
        </w:rPr>
        <w:t>ra</w:t>
      </w:r>
      <w:r>
        <w:rPr>
          <w:rFonts w:eastAsia="Arial Narrow" w:cstheme="minorHAnsi"/>
          <w:spacing w:val="-2"/>
        </w:rPr>
        <w:t>p</w:t>
      </w:r>
      <w:r>
        <w:rPr>
          <w:rFonts w:eastAsia="Arial Narrow" w:cstheme="minorHAnsi"/>
          <w:spacing w:val="1"/>
        </w:rPr>
        <w:t>i</w:t>
      </w:r>
      <w:r>
        <w:rPr>
          <w:rFonts w:eastAsia="Arial Narrow" w:cstheme="minorHAnsi"/>
        </w:rPr>
        <w:t xml:space="preserve">na, </w:t>
      </w:r>
      <w:r>
        <w:rPr>
          <w:rFonts w:eastAsia="Arial Narrow" w:cstheme="minorHAnsi"/>
          <w:spacing w:val="-3"/>
        </w:rPr>
        <w:t>Z</w:t>
      </w:r>
      <w:r>
        <w:rPr>
          <w:rFonts w:eastAsia="Arial Narrow" w:cstheme="minorHAnsi"/>
          <w:spacing w:val="1"/>
        </w:rPr>
        <w:t>l</w:t>
      </w:r>
      <w:r>
        <w:rPr>
          <w:rFonts w:eastAsia="Arial Narrow" w:cstheme="minorHAnsi"/>
        </w:rPr>
        <w:t>at</w:t>
      </w:r>
      <w:r>
        <w:rPr>
          <w:rFonts w:eastAsia="Arial Narrow" w:cstheme="minorHAnsi"/>
          <w:spacing w:val="-2"/>
        </w:rPr>
        <w:t>a</w:t>
      </w:r>
      <w:r>
        <w:rPr>
          <w:rFonts w:eastAsia="Arial Narrow" w:cstheme="minorHAnsi"/>
        </w:rPr>
        <w:t>r</w:t>
      </w:r>
      <w:r>
        <w:rPr>
          <w:rFonts w:eastAsia="Arial Narrow" w:cstheme="minorHAnsi"/>
          <w:spacing w:val="50"/>
        </w:rPr>
        <w:t xml:space="preserve"> </w:t>
      </w:r>
      <w:r>
        <w:rPr>
          <w:rFonts w:eastAsia="Arial Narrow" w:cstheme="minorHAnsi"/>
        </w:rPr>
        <w:t>i</w:t>
      </w:r>
      <w:r>
        <w:rPr>
          <w:rFonts w:eastAsia="Arial Narrow" w:cstheme="minorHAnsi"/>
          <w:spacing w:val="1"/>
        </w:rPr>
        <w:t xml:space="preserve"> </w:t>
      </w:r>
      <w:r>
        <w:rPr>
          <w:rFonts w:eastAsia="Arial Narrow" w:cstheme="minorHAnsi"/>
        </w:rPr>
        <w:t>Zab</w:t>
      </w:r>
      <w:r>
        <w:rPr>
          <w:rFonts w:eastAsia="Arial Narrow" w:cstheme="minorHAnsi"/>
          <w:spacing w:val="-2"/>
        </w:rPr>
        <w:t>o</w:t>
      </w:r>
      <w:r>
        <w:rPr>
          <w:rFonts w:eastAsia="Arial Narrow" w:cstheme="minorHAnsi"/>
          <w:spacing w:val="1"/>
        </w:rPr>
        <w:t>k</w:t>
      </w:r>
      <w:r>
        <w:rPr>
          <w:rFonts w:eastAsia="Arial Narrow" w:cstheme="minorHAnsi"/>
        </w:rPr>
        <w:t>.</w:t>
      </w:r>
    </w:p>
    <w:p w14:paraId="0FD0CDBC" w14:textId="4A97E8AC" w:rsidR="008878A0" w:rsidRDefault="008878A0" w:rsidP="003E3F3C">
      <w:pPr>
        <w:pStyle w:val="Opisslike"/>
      </w:pPr>
      <w:r>
        <w:lastRenderedPageBreak/>
        <w:t xml:space="preserve">Grafikon </w:t>
      </w:r>
      <w:r w:rsidR="009E7D03">
        <w:t>4</w:t>
      </w:r>
      <w:r w:rsidR="00CF4B96">
        <w:t>8</w:t>
      </w:r>
      <w:r w:rsidR="001838EE">
        <w:t>.</w:t>
      </w:r>
      <w:r>
        <w:t xml:space="preserve"> Prikaz broja obrtnika po udruženjima, 2016.- 2018.</w:t>
      </w:r>
      <w:r w:rsidR="00B12014">
        <w:t xml:space="preserve"> godina</w:t>
      </w:r>
    </w:p>
    <w:p w14:paraId="587171CC" w14:textId="77777777" w:rsidR="008878A0" w:rsidRDefault="008878A0" w:rsidP="00941871">
      <w:pPr>
        <w:ind w:left="116" w:right="72"/>
        <w:rPr>
          <w:rFonts w:eastAsia="Arial Narrow" w:cstheme="minorHAnsi"/>
          <w:b/>
          <w:position w:val="-1"/>
        </w:rPr>
      </w:pPr>
      <w:r>
        <w:rPr>
          <w:noProof/>
          <w:lang w:eastAsia="hr-HR"/>
        </w:rPr>
        <w:drawing>
          <wp:inline distT="0" distB="0" distL="0" distR="0" wp14:anchorId="67BA50A7" wp14:editId="279A2183">
            <wp:extent cx="5753100" cy="2660650"/>
            <wp:effectExtent l="0" t="0" r="0" b="635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13278A69" w14:textId="6D10A9B5"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OKKZŽ, 2019. godina</w:t>
      </w:r>
    </w:p>
    <w:p w14:paraId="334B8003" w14:textId="77777777" w:rsidR="009E7D03" w:rsidRPr="009E7D03" w:rsidRDefault="009E7D03" w:rsidP="003C2276">
      <w:pPr>
        <w:pStyle w:val="Izvor"/>
        <w:rPr>
          <w:i/>
          <w:color w:val="ABABAB" w:themeColor="text1" w:themeTint="A6"/>
          <w:szCs w:val="18"/>
        </w:rPr>
      </w:pPr>
    </w:p>
    <w:p w14:paraId="6EF595D0" w14:textId="7F31D17A" w:rsidR="008878A0" w:rsidRDefault="008878A0" w:rsidP="4E193667">
      <w:pPr>
        <w:ind w:left="116" w:right="72"/>
        <w:rPr>
          <w:rFonts w:eastAsia="Arial Narrow"/>
          <w:position w:val="-1"/>
        </w:rPr>
      </w:pPr>
      <w:r w:rsidRPr="4E193667">
        <w:rPr>
          <w:rFonts w:eastAsia="Arial Narrow"/>
          <w:position w:val="-1"/>
        </w:rPr>
        <w:t>Nakon perioda negativnog trenda tj. opadanja broja obrta, u razdoblju  od 2016. do 2018. godine zabilježen je pozitivan trend tj. povećanje broja obrta. Gledano prema djelatnostima</w:t>
      </w:r>
      <w:r w:rsidR="00B12014" w:rsidRPr="4E193667">
        <w:rPr>
          <w:rFonts w:eastAsia="Arial Narrow"/>
          <w:position w:val="-1"/>
        </w:rPr>
        <w:t xml:space="preserve"> obrta, u promatranom razdoblju</w:t>
      </w:r>
      <w:r w:rsidRPr="4E193667">
        <w:rPr>
          <w:rFonts w:eastAsia="Arial Narrow"/>
          <w:position w:val="-1"/>
        </w:rPr>
        <w:t xml:space="preserve"> najveće povećanje broja obrta ostvareno je u uslužnim obrtima, dok je najveće smanjenje broja obrta zamijećeno u djelatnosti ugostiteljstva.</w:t>
      </w:r>
    </w:p>
    <w:p w14:paraId="39CE0B0E" w14:textId="77777777" w:rsidR="001838EE" w:rsidRDefault="001838EE" w:rsidP="00B12014">
      <w:pPr>
        <w:ind w:left="116" w:right="72"/>
        <w:rPr>
          <w:rFonts w:eastAsia="Arial Narrow" w:cstheme="minorHAnsi"/>
          <w:position w:val="-1"/>
        </w:rPr>
      </w:pPr>
    </w:p>
    <w:p w14:paraId="1A71DA83" w14:textId="5C8BC164" w:rsidR="001838EE" w:rsidRDefault="001838EE" w:rsidP="003E3F3C">
      <w:pPr>
        <w:pStyle w:val="Opisslike"/>
      </w:pPr>
      <w:r>
        <w:t xml:space="preserve">Tablica </w:t>
      </w:r>
      <w:r w:rsidR="006207AF">
        <w:t>9</w:t>
      </w:r>
      <w:r w:rsidR="000D5E3F">
        <w:t>4</w:t>
      </w:r>
      <w:r>
        <w:t xml:space="preserve">. </w:t>
      </w:r>
      <w:r w:rsidRPr="00DF2EC7">
        <w:t>Usporedba broja obrtnika KZŽ-a, 31.12.2017. i 31.12.2018.</w:t>
      </w:r>
    </w:p>
    <w:tbl>
      <w:tblPr>
        <w:tblW w:w="11208" w:type="dxa"/>
        <w:tblInd w:w="-860" w:type="dxa"/>
        <w:tblLayout w:type="fixed"/>
        <w:tblLook w:val="04A0" w:firstRow="1" w:lastRow="0" w:firstColumn="1" w:lastColumn="0" w:noHBand="0" w:noVBand="1"/>
      </w:tblPr>
      <w:tblGrid>
        <w:gridCol w:w="1569"/>
        <w:gridCol w:w="851"/>
        <w:gridCol w:w="850"/>
        <w:gridCol w:w="851"/>
        <w:gridCol w:w="992"/>
        <w:gridCol w:w="1417"/>
        <w:gridCol w:w="709"/>
        <w:gridCol w:w="1276"/>
        <w:gridCol w:w="850"/>
        <w:gridCol w:w="851"/>
        <w:gridCol w:w="992"/>
      </w:tblGrid>
      <w:tr w:rsidR="00A133EF" w:rsidRPr="00483E21" w14:paraId="2C5BDD71" w14:textId="77777777" w:rsidTr="00CD416C">
        <w:trPr>
          <w:trHeight w:val="462"/>
        </w:trPr>
        <w:tc>
          <w:tcPr>
            <w:tcW w:w="1569" w:type="dxa"/>
            <w:vMerge w:val="restart"/>
            <w:tcBorders>
              <w:right w:val="single" w:sz="4" w:space="0" w:color="FFFFFF" w:themeColor="background1"/>
            </w:tcBorders>
            <w:shd w:val="clear" w:color="auto" w:fill="C00000"/>
            <w:noWrap/>
            <w:vAlign w:val="center"/>
            <w:hideMark/>
          </w:tcPr>
          <w:p w14:paraId="4A43B8A6" w14:textId="77777777" w:rsidR="00527173" w:rsidRPr="00483E21" w:rsidRDefault="00527173" w:rsidP="00A133EF">
            <w:pPr>
              <w:spacing w:after="0"/>
              <w:rPr>
                <w:rFonts w:cstheme="minorHAnsi"/>
                <w:b/>
                <w:bCs/>
                <w:color w:val="FFFFFF"/>
                <w:szCs w:val="18"/>
                <w:lang w:eastAsia="hr-HR"/>
              </w:rPr>
            </w:pPr>
            <w:r w:rsidRPr="00483E21">
              <w:rPr>
                <w:rFonts w:cstheme="minorHAnsi"/>
                <w:b/>
                <w:bCs/>
                <w:color w:val="FFFFFF"/>
                <w:szCs w:val="18"/>
                <w:lang w:eastAsia="hr-HR"/>
              </w:rPr>
              <w:t>UDRUŽENJE</w:t>
            </w:r>
          </w:p>
        </w:tc>
        <w:tc>
          <w:tcPr>
            <w:tcW w:w="851" w:type="dxa"/>
            <w:vMerge w:val="restart"/>
            <w:tcBorders>
              <w:left w:val="single" w:sz="4" w:space="0" w:color="FFFFFF" w:themeColor="background1"/>
              <w:right w:val="single" w:sz="4" w:space="0" w:color="FFFFFF" w:themeColor="background1"/>
            </w:tcBorders>
            <w:shd w:val="clear" w:color="auto" w:fill="C00000"/>
            <w:noWrap/>
            <w:vAlign w:val="center"/>
            <w:hideMark/>
          </w:tcPr>
          <w:p w14:paraId="230FA674" w14:textId="77777777"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Uslužni obrt</w:t>
            </w:r>
          </w:p>
        </w:tc>
        <w:tc>
          <w:tcPr>
            <w:tcW w:w="850" w:type="dxa"/>
            <w:vMerge w:val="restart"/>
            <w:tcBorders>
              <w:left w:val="single" w:sz="4" w:space="0" w:color="FFFFFF" w:themeColor="background1"/>
              <w:right w:val="single" w:sz="4" w:space="0" w:color="FFFFFF" w:themeColor="background1"/>
            </w:tcBorders>
            <w:shd w:val="clear" w:color="auto" w:fill="C00000"/>
            <w:noWrap/>
            <w:vAlign w:val="center"/>
            <w:hideMark/>
          </w:tcPr>
          <w:p w14:paraId="2A716411" w14:textId="38A7C16C"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Proizv. obrt</w:t>
            </w:r>
          </w:p>
        </w:tc>
        <w:tc>
          <w:tcPr>
            <w:tcW w:w="851" w:type="dxa"/>
            <w:vMerge w:val="restart"/>
            <w:tcBorders>
              <w:left w:val="single" w:sz="4" w:space="0" w:color="FFFFFF" w:themeColor="background1"/>
              <w:right w:val="single" w:sz="4" w:space="0" w:color="FFFFFF" w:themeColor="background1"/>
            </w:tcBorders>
            <w:shd w:val="clear" w:color="auto" w:fill="C00000"/>
            <w:noWrap/>
            <w:vAlign w:val="center"/>
            <w:hideMark/>
          </w:tcPr>
          <w:p w14:paraId="5B18B54B" w14:textId="77777777"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Prijevoz</w:t>
            </w:r>
          </w:p>
        </w:tc>
        <w:tc>
          <w:tcPr>
            <w:tcW w:w="992" w:type="dxa"/>
            <w:vMerge w:val="restart"/>
            <w:tcBorders>
              <w:left w:val="single" w:sz="4" w:space="0" w:color="FFFFFF" w:themeColor="background1"/>
              <w:right w:val="single" w:sz="4" w:space="0" w:color="FFFFFF" w:themeColor="background1"/>
            </w:tcBorders>
            <w:shd w:val="clear" w:color="auto" w:fill="C00000"/>
            <w:noWrap/>
            <w:vAlign w:val="center"/>
            <w:hideMark/>
          </w:tcPr>
          <w:p w14:paraId="5DEFE545" w14:textId="77777777"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Trgovina</w:t>
            </w:r>
          </w:p>
        </w:tc>
        <w:tc>
          <w:tcPr>
            <w:tcW w:w="1417" w:type="dxa"/>
            <w:vMerge w:val="restart"/>
            <w:tcBorders>
              <w:left w:val="single" w:sz="4" w:space="0" w:color="FFFFFF" w:themeColor="background1"/>
              <w:right w:val="single" w:sz="4" w:space="0" w:color="FFFFFF" w:themeColor="background1"/>
            </w:tcBorders>
            <w:shd w:val="clear" w:color="auto" w:fill="C00000"/>
            <w:noWrap/>
            <w:vAlign w:val="center"/>
            <w:hideMark/>
          </w:tcPr>
          <w:p w14:paraId="573B7EE7" w14:textId="77777777"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Ugostiteljstvo</w:t>
            </w:r>
          </w:p>
        </w:tc>
        <w:tc>
          <w:tcPr>
            <w:tcW w:w="709" w:type="dxa"/>
            <w:vMerge w:val="restart"/>
            <w:tcBorders>
              <w:left w:val="single" w:sz="4" w:space="0" w:color="FFFFFF" w:themeColor="background1"/>
              <w:right w:val="single" w:sz="4" w:space="0" w:color="FFFFFF" w:themeColor="background1"/>
            </w:tcBorders>
            <w:shd w:val="clear" w:color="auto" w:fill="C00000"/>
            <w:vAlign w:val="center"/>
            <w:hideMark/>
          </w:tcPr>
          <w:p w14:paraId="208040E8" w14:textId="77777777"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Trad. obrt</w:t>
            </w:r>
          </w:p>
        </w:tc>
        <w:tc>
          <w:tcPr>
            <w:tcW w:w="1276" w:type="dxa"/>
            <w:vMerge w:val="restart"/>
            <w:tcBorders>
              <w:left w:val="single" w:sz="4" w:space="0" w:color="FFFFFF" w:themeColor="background1"/>
              <w:right w:val="single" w:sz="4" w:space="0" w:color="FFFFFF" w:themeColor="background1"/>
            </w:tcBorders>
            <w:shd w:val="clear" w:color="auto" w:fill="C00000"/>
            <w:noWrap/>
            <w:vAlign w:val="center"/>
            <w:hideMark/>
          </w:tcPr>
          <w:p w14:paraId="7346C7B7" w14:textId="77777777"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Graditeljstvo</w:t>
            </w:r>
          </w:p>
        </w:tc>
        <w:tc>
          <w:tcPr>
            <w:tcW w:w="850" w:type="dxa"/>
            <w:vMerge w:val="restart"/>
            <w:tcBorders>
              <w:left w:val="single" w:sz="4" w:space="0" w:color="FFFFFF" w:themeColor="background1"/>
              <w:right w:val="single" w:sz="4" w:space="0" w:color="FFFFFF" w:themeColor="background1"/>
            </w:tcBorders>
            <w:shd w:val="clear" w:color="auto" w:fill="C00000"/>
            <w:vAlign w:val="center"/>
            <w:hideMark/>
          </w:tcPr>
          <w:p w14:paraId="7D68A399" w14:textId="77777777"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Frizeri</w:t>
            </w:r>
          </w:p>
        </w:tc>
        <w:tc>
          <w:tcPr>
            <w:tcW w:w="851" w:type="dxa"/>
            <w:vMerge w:val="restart"/>
            <w:tcBorders>
              <w:left w:val="single" w:sz="4" w:space="0" w:color="FFFFFF" w:themeColor="background1"/>
              <w:right w:val="single" w:sz="4" w:space="0" w:color="FFFFFF" w:themeColor="background1"/>
            </w:tcBorders>
            <w:shd w:val="clear" w:color="auto" w:fill="C00000"/>
            <w:vAlign w:val="center"/>
            <w:hideMark/>
          </w:tcPr>
          <w:p w14:paraId="325928FB" w14:textId="77777777"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Proizv. tekstila</w:t>
            </w:r>
          </w:p>
        </w:tc>
        <w:tc>
          <w:tcPr>
            <w:tcW w:w="992" w:type="dxa"/>
            <w:vMerge w:val="restart"/>
            <w:tcBorders>
              <w:left w:val="single" w:sz="4" w:space="0" w:color="FFFFFF" w:themeColor="background1"/>
              <w:right w:val="single" w:sz="8" w:space="0" w:color="D2232A"/>
            </w:tcBorders>
            <w:shd w:val="clear" w:color="auto" w:fill="C00000"/>
            <w:noWrap/>
            <w:vAlign w:val="center"/>
            <w:hideMark/>
          </w:tcPr>
          <w:p w14:paraId="2185FD87" w14:textId="77777777" w:rsidR="00527173" w:rsidRPr="00527173" w:rsidRDefault="00527173" w:rsidP="00527173">
            <w:pPr>
              <w:spacing w:after="0"/>
              <w:jc w:val="right"/>
              <w:rPr>
                <w:rFonts w:cstheme="minorHAnsi"/>
                <w:b/>
                <w:bCs/>
                <w:color w:val="FFFFFF"/>
                <w:sz w:val="16"/>
                <w:szCs w:val="18"/>
                <w:lang w:eastAsia="hr-HR"/>
              </w:rPr>
            </w:pPr>
            <w:r w:rsidRPr="00527173">
              <w:rPr>
                <w:rFonts w:cstheme="minorHAnsi"/>
                <w:b/>
                <w:bCs/>
                <w:color w:val="FFFFFF"/>
                <w:sz w:val="16"/>
                <w:szCs w:val="18"/>
                <w:lang w:eastAsia="hr-HR"/>
              </w:rPr>
              <w:t>UKUPNO</w:t>
            </w:r>
          </w:p>
        </w:tc>
      </w:tr>
      <w:tr w:rsidR="00A133EF" w:rsidRPr="00483E21" w14:paraId="1F8DAE42" w14:textId="77777777" w:rsidTr="00CD416C">
        <w:trPr>
          <w:trHeight w:val="462"/>
        </w:trPr>
        <w:tc>
          <w:tcPr>
            <w:tcW w:w="1569" w:type="dxa"/>
            <w:vMerge/>
            <w:tcBorders>
              <w:right w:val="single" w:sz="4" w:space="0" w:color="FFFFFF" w:themeColor="background1"/>
            </w:tcBorders>
            <w:shd w:val="clear" w:color="auto" w:fill="C00000"/>
            <w:vAlign w:val="center"/>
            <w:hideMark/>
          </w:tcPr>
          <w:p w14:paraId="5B4AF0C5" w14:textId="77777777" w:rsidR="00527173" w:rsidRPr="00483E21" w:rsidRDefault="00527173" w:rsidP="00A133EF">
            <w:pPr>
              <w:spacing w:after="0"/>
              <w:rPr>
                <w:rFonts w:cstheme="minorHAnsi"/>
                <w:b/>
                <w:bCs/>
                <w:color w:val="FFFFFF"/>
                <w:szCs w:val="18"/>
                <w:lang w:eastAsia="hr-HR"/>
              </w:rPr>
            </w:pPr>
          </w:p>
        </w:tc>
        <w:tc>
          <w:tcPr>
            <w:tcW w:w="851" w:type="dxa"/>
            <w:vMerge/>
            <w:tcBorders>
              <w:left w:val="single" w:sz="4" w:space="0" w:color="FFFFFF" w:themeColor="background1"/>
              <w:right w:val="single" w:sz="4" w:space="0" w:color="FFFFFF" w:themeColor="background1"/>
            </w:tcBorders>
            <w:shd w:val="clear" w:color="auto" w:fill="C00000"/>
            <w:vAlign w:val="center"/>
            <w:hideMark/>
          </w:tcPr>
          <w:p w14:paraId="6503A2A9" w14:textId="77777777" w:rsidR="00527173" w:rsidRPr="00483E21" w:rsidRDefault="00527173" w:rsidP="00A133EF">
            <w:pPr>
              <w:spacing w:after="0"/>
              <w:rPr>
                <w:rFonts w:cstheme="minorHAnsi"/>
                <w:b/>
                <w:bCs/>
                <w:color w:val="FFFFFF"/>
                <w:szCs w:val="18"/>
                <w:lang w:eastAsia="hr-HR"/>
              </w:rPr>
            </w:pPr>
          </w:p>
        </w:tc>
        <w:tc>
          <w:tcPr>
            <w:tcW w:w="850" w:type="dxa"/>
            <w:vMerge/>
            <w:tcBorders>
              <w:left w:val="single" w:sz="4" w:space="0" w:color="FFFFFF" w:themeColor="background1"/>
              <w:right w:val="single" w:sz="4" w:space="0" w:color="FFFFFF" w:themeColor="background1"/>
            </w:tcBorders>
            <w:shd w:val="clear" w:color="auto" w:fill="C00000"/>
            <w:vAlign w:val="center"/>
            <w:hideMark/>
          </w:tcPr>
          <w:p w14:paraId="57841937" w14:textId="77777777" w:rsidR="00527173" w:rsidRPr="00483E21" w:rsidRDefault="00527173" w:rsidP="00A133EF">
            <w:pPr>
              <w:spacing w:after="0"/>
              <w:rPr>
                <w:rFonts w:cstheme="minorHAnsi"/>
                <w:b/>
                <w:bCs/>
                <w:color w:val="FFFFFF"/>
                <w:szCs w:val="18"/>
                <w:lang w:eastAsia="hr-HR"/>
              </w:rPr>
            </w:pPr>
          </w:p>
        </w:tc>
        <w:tc>
          <w:tcPr>
            <w:tcW w:w="851" w:type="dxa"/>
            <w:vMerge/>
            <w:tcBorders>
              <w:left w:val="single" w:sz="4" w:space="0" w:color="FFFFFF" w:themeColor="background1"/>
              <w:right w:val="single" w:sz="4" w:space="0" w:color="FFFFFF" w:themeColor="background1"/>
            </w:tcBorders>
            <w:shd w:val="clear" w:color="auto" w:fill="C00000"/>
            <w:vAlign w:val="center"/>
            <w:hideMark/>
          </w:tcPr>
          <w:p w14:paraId="01C83B6F" w14:textId="77777777" w:rsidR="00527173" w:rsidRPr="00483E21" w:rsidRDefault="00527173" w:rsidP="00A133EF">
            <w:pPr>
              <w:spacing w:after="0"/>
              <w:rPr>
                <w:rFonts w:cstheme="minorHAnsi"/>
                <w:b/>
                <w:bCs/>
                <w:color w:val="FFFFFF"/>
                <w:szCs w:val="18"/>
                <w:lang w:eastAsia="hr-HR"/>
              </w:rPr>
            </w:pPr>
          </w:p>
        </w:tc>
        <w:tc>
          <w:tcPr>
            <w:tcW w:w="992" w:type="dxa"/>
            <w:vMerge/>
            <w:tcBorders>
              <w:left w:val="single" w:sz="4" w:space="0" w:color="FFFFFF" w:themeColor="background1"/>
              <w:right w:val="single" w:sz="4" w:space="0" w:color="FFFFFF" w:themeColor="background1"/>
            </w:tcBorders>
            <w:shd w:val="clear" w:color="auto" w:fill="C00000"/>
            <w:vAlign w:val="center"/>
            <w:hideMark/>
          </w:tcPr>
          <w:p w14:paraId="799CCCBD" w14:textId="77777777" w:rsidR="00527173" w:rsidRPr="00483E21" w:rsidRDefault="00527173" w:rsidP="00A133EF">
            <w:pPr>
              <w:spacing w:after="0"/>
              <w:rPr>
                <w:rFonts w:cstheme="minorHAnsi"/>
                <w:b/>
                <w:bCs/>
                <w:color w:val="FFFFFF"/>
                <w:szCs w:val="18"/>
                <w:lang w:eastAsia="hr-HR"/>
              </w:rPr>
            </w:pPr>
          </w:p>
        </w:tc>
        <w:tc>
          <w:tcPr>
            <w:tcW w:w="1417" w:type="dxa"/>
            <w:vMerge/>
            <w:tcBorders>
              <w:left w:val="single" w:sz="4" w:space="0" w:color="FFFFFF" w:themeColor="background1"/>
              <w:right w:val="single" w:sz="4" w:space="0" w:color="FFFFFF" w:themeColor="background1"/>
            </w:tcBorders>
            <w:shd w:val="clear" w:color="auto" w:fill="C00000"/>
            <w:vAlign w:val="center"/>
            <w:hideMark/>
          </w:tcPr>
          <w:p w14:paraId="0F677071" w14:textId="77777777" w:rsidR="00527173" w:rsidRPr="00483E21" w:rsidRDefault="00527173" w:rsidP="00A133EF">
            <w:pPr>
              <w:spacing w:after="0"/>
              <w:rPr>
                <w:rFonts w:cstheme="minorHAnsi"/>
                <w:b/>
                <w:bCs/>
                <w:color w:val="FFFFFF"/>
                <w:szCs w:val="18"/>
                <w:lang w:eastAsia="hr-HR"/>
              </w:rPr>
            </w:pPr>
          </w:p>
        </w:tc>
        <w:tc>
          <w:tcPr>
            <w:tcW w:w="709" w:type="dxa"/>
            <w:vMerge/>
            <w:tcBorders>
              <w:left w:val="single" w:sz="4" w:space="0" w:color="FFFFFF" w:themeColor="background1"/>
              <w:right w:val="single" w:sz="4" w:space="0" w:color="FFFFFF" w:themeColor="background1"/>
            </w:tcBorders>
            <w:shd w:val="clear" w:color="auto" w:fill="C00000"/>
            <w:vAlign w:val="center"/>
            <w:hideMark/>
          </w:tcPr>
          <w:p w14:paraId="0E515A53" w14:textId="77777777" w:rsidR="00527173" w:rsidRPr="00483E21" w:rsidRDefault="00527173" w:rsidP="00A133EF">
            <w:pPr>
              <w:spacing w:after="0"/>
              <w:rPr>
                <w:rFonts w:cstheme="minorHAnsi"/>
                <w:b/>
                <w:bCs/>
                <w:color w:val="FFFFFF"/>
                <w:szCs w:val="18"/>
                <w:lang w:eastAsia="hr-HR"/>
              </w:rPr>
            </w:pPr>
          </w:p>
        </w:tc>
        <w:tc>
          <w:tcPr>
            <w:tcW w:w="1276" w:type="dxa"/>
            <w:vMerge/>
            <w:tcBorders>
              <w:left w:val="single" w:sz="4" w:space="0" w:color="FFFFFF" w:themeColor="background1"/>
              <w:right w:val="single" w:sz="4" w:space="0" w:color="FFFFFF" w:themeColor="background1"/>
            </w:tcBorders>
            <w:shd w:val="clear" w:color="auto" w:fill="C00000"/>
            <w:vAlign w:val="center"/>
            <w:hideMark/>
          </w:tcPr>
          <w:p w14:paraId="6202C943" w14:textId="77777777" w:rsidR="00527173" w:rsidRPr="00483E21" w:rsidRDefault="00527173" w:rsidP="00A133EF">
            <w:pPr>
              <w:spacing w:after="0"/>
              <w:rPr>
                <w:rFonts w:cstheme="minorHAnsi"/>
                <w:b/>
                <w:bCs/>
                <w:color w:val="FFFFFF"/>
                <w:szCs w:val="18"/>
                <w:lang w:eastAsia="hr-HR"/>
              </w:rPr>
            </w:pPr>
          </w:p>
        </w:tc>
        <w:tc>
          <w:tcPr>
            <w:tcW w:w="850" w:type="dxa"/>
            <w:vMerge/>
            <w:tcBorders>
              <w:left w:val="single" w:sz="4" w:space="0" w:color="FFFFFF" w:themeColor="background1"/>
              <w:right w:val="single" w:sz="4" w:space="0" w:color="FFFFFF" w:themeColor="background1"/>
            </w:tcBorders>
            <w:shd w:val="clear" w:color="auto" w:fill="C00000"/>
            <w:vAlign w:val="center"/>
            <w:hideMark/>
          </w:tcPr>
          <w:p w14:paraId="1FF00880" w14:textId="77777777" w:rsidR="00527173" w:rsidRPr="00483E21" w:rsidRDefault="00527173" w:rsidP="00A133EF">
            <w:pPr>
              <w:spacing w:after="0"/>
              <w:rPr>
                <w:rFonts w:cstheme="minorHAnsi"/>
                <w:b/>
                <w:bCs/>
                <w:color w:val="FFFFFF"/>
                <w:szCs w:val="18"/>
                <w:lang w:eastAsia="hr-HR"/>
              </w:rPr>
            </w:pPr>
          </w:p>
        </w:tc>
        <w:tc>
          <w:tcPr>
            <w:tcW w:w="851" w:type="dxa"/>
            <w:vMerge/>
            <w:tcBorders>
              <w:left w:val="single" w:sz="4" w:space="0" w:color="FFFFFF" w:themeColor="background1"/>
              <w:right w:val="single" w:sz="4" w:space="0" w:color="FFFFFF" w:themeColor="background1"/>
            </w:tcBorders>
            <w:shd w:val="clear" w:color="auto" w:fill="C00000"/>
            <w:vAlign w:val="center"/>
            <w:hideMark/>
          </w:tcPr>
          <w:p w14:paraId="5682E553" w14:textId="77777777" w:rsidR="00527173" w:rsidRPr="00483E21" w:rsidRDefault="00527173" w:rsidP="00A133EF">
            <w:pPr>
              <w:spacing w:after="0"/>
              <w:rPr>
                <w:rFonts w:cstheme="minorHAnsi"/>
                <w:b/>
                <w:bCs/>
                <w:color w:val="FFFFFF"/>
                <w:szCs w:val="18"/>
                <w:lang w:eastAsia="hr-HR"/>
              </w:rPr>
            </w:pPr>
          </w:p>
        </w:tc>
        <w:tc>
          <w:tcPr>
            <w:tcW w:w="992" w:type="dxa"/>
            <w:vMerge/>
            <w:tcBorders>
              <w:left w:val="single" w:sz="4" w:space="0" w:color="FFFFFF" w:themeColor="background1"/>
              <w:right w:val="single" w:sz="8" w:space="0" w:color="D2232A"/>
            </w:tcBorders>
            <w:shd w:val="clear" w:color="auto" w:fill="C00000"/>
            <w:vAlign w:val="center"/>
            <w:hideMark/>
          </w:tcPr>
          <w:p w14:paraId="76A47E49" w14:textId="77777777" w:rsidR="00527173" w:rsidRPr="00483E21" w:rsidRDefault="00527173" w:rsidP="00A133EF">
            <w:pPr>
              <w:spacing w:after="0"/>
              <w:rPr>
                <w:rFonts w:cstheme="minorHAnsi"/>
                <w:b/>
                <w:bCs/>
                <w:color w:val="FFFFFF"/>
                <w:szCs w:val="18"/>
                <w:lang w:eastAsia="hr-HR"/>
              </w:rPr>
            </w:pPr>
          </w:p>
        </w:tc>
      </w:tr>
      <w:tr w:rsidR="00A133EF" w:rsidRPr="00483E21" w14:paraId="7321C815" w14:textId="77777777" w:rsidTr="00CD416C">
        <w:trPr>
          <w:trHeight w:val="462"/>
        </w:trPr>
        <w:tc>
          <w:tcPr>
            <w:tcW w:w="1569" w:type="dxa"/>
            <w:vMerge/>
            <w:tcBorders>
              <w:bottom w:val="single" w:sz="4" w:space="0" w:color="FFFFFF" w:themeColor="background1"/>
              <w:right w:val="single" w:sz="4" w:space="0" w:color="FFFFFF" w:themeColor="background1"/>
            </w:tcBorders>
            <w:shd w:val="clear" w:color="auto" w:fill="C00000"/>
            <w:vAlign w:val="center"/>
            <w:hideMark/>
          </w:tcPr>
          <w:p w14:paraId="1962D7A5" w14:textId="77777777" w:rsidR="00527173" w:rsidRPr="00483E21" w:rsidRDefault="00527173" w:rsidP="00A133EF">
            <w:pPr>
              <w:spacing w:after="0"/>
              <w:rPr>
                <w:rFonts w:cstheme="minorHAnsi"/>
                <w:b/>
                <w:bCs/>
                <w:color w:val="FFFFFF"/>
                <w:szCs w:val="18"/>
                <w:lang w:eastAsia="hr-HR"/>
              </w:rPr>
            </w:pPr>
          </w:p>
        </w:tc>
        <w:tc>
          <w:tcPr>
            <w:tcW w:w="851" w:type="dxa"/>
            <w:vMerge/>
            <w:tcBorders>
              <w:left w:val="single" w:sz="4" w:space="0" w:color="FFFFFF" w:themeColor="background1"/>
              <w:right w:val="single" w:sz="4" w:space="0" w:color="FFFFFF" w:themeColor="background1"/>
            </w:tcBorders>
            <w:shd w:val="clear" w:color="auto" w:fill="C00000"/>
            <w:vAlign w:val="center"/>
            <w:hideMark/>
          </w:tcPr>
          <w:p w14:paraId="7FF79B38" w14:textId="77777777" w:rsidR="00527173" w:rsidRPr="00483E21" w:rsidRDefault="00527173" w:rsidP="00A133EF">
            <w:pPr>
              <w:spacing w:after="0"/>
              <w:rPr>
                <w:rFonts w:cstheme="minorHAnsi"/>
                <w:b/>
                <w:bCs/>
                <w:color w:val="FFFFFF"/>
                <w:szCs w:val="18"/>
                <w:lang w:eastAsia="hr-HR"/>
              </w:rPr>
            </w:pPr>
          </w:p>
        </w:tc>
        <w:tc>
          <w:tcPr>
            <w:tcW w:w="850" w:type="dxa"/>
            <w:vMerge/>
            <w:tcBorders>
              <w:left w:val="single" w:sz="4" w:space="0" w:color="FFFFFF" w:themeColor="background1"/>
              <w:right w:val="single" w:sz="4" w:space="0" w:color="FFFFFF" w:themeColor="background1"/>
            </w:tcBorders>
            <w:shd w:val="clear" w:color="auto" w:fill="C00000"/>
            <w:vAlign w:val="center"/>
            <w:hideMark/>
          </w:tcPr>
          <w:p w14:paraId="590AC215" w14:textId="77777777" w:rsidR="00527173" w:rsidRPr="00483E21" w:rsidRDefault="00527173" w:rsidP="00A133EF">
            <w:pPr>
              <w:spacing w:after="0"/>
              <w:rPr>
                <w:rFonts w:cstheme="minorHAnsi"/>
                <w:b/>
                <w:bCs/>
                <w:color w:val="FFFFFF"/>
                <w:szCs w:val="18"/>
                <w:lang w:eastAsia="hr-HR"/>
              </w:rPr>
            </w:pPr>
          </w:p>
        </w:tc>
        <w:tc>
          <w:tcPr>
            <w:tcW w:w="851" w:type="dxa"/>
            <w:vMerge/>
            <w:tcBorders>
              <w:left w:val="single" w:sz="4" w:space="0" w:color="FFFFFF" w:themeColor="background1"/>
              <w:right w:val="single" w:sz="4" w:space="0" w:color="FFFFFF" w:themeColor="background1"/>
            </w:tcBorders>
            <w:shd w:val="clear" w:color="auto" w:fill="C00000"/>
            <w:vAlign w:val="center"/>
            <w:hideMark/>
          </w:tcPr>
          <w:p w14:paraId="0CC47A85" w14:textId="77777777" w:rsidR="00527173" w:rsidRPr="00483E21" w:rsidRDefault="00527173" w:rsidP="00A133EF">
            <w:pPr>
              <w:spacing w:after="0"/>
              <w:rPr>
                <w:rFonts w:cstheme="minorHAnsi"/>
                <w:b/>
                <w:bCs/>
                <w:color w:val="FFFFFF"/>
                <w:szCs w:val="18"/>
                <w:lang w:eastAsia="hr-HR"/>
              </w:rPr>
            </w:pPr>
          </w:p>
        </w:tc>
        <w:tc>
          <w:tcPr>
            <w:tcW w:w="992" w:type="dxa"/>
            <w:vMerge/>
            <w:tcBorders>
              <w:left w:val="single" w:sz="4" w:space="0" w:color="FFFFFF" w:themeColor="background1"/>
              <w:right w:val="single" w:sz="4" w:space="0" w:color="FFFFFF" w:themeColor="background1"/>
            </w:tcBorders>
            <w:shd w:val="clear" w:color="auto" w:fill="C00000"/>
            <w:vAlign w:val="center"/>
            <w:hideMark/>
          </w:tcPr>
          <w:p w14:paraId="689D0074" w14:textId="77777777" w:rsidR="00527173" w:rsidRPr="00483E21" w:rsidRDefault="00527173" w:rsidP="00A133EF">
            <w:pPr>
              <w:spacing w:after="0"/>
              <w:rPr>
                <w:rFonts w:cstheme="minorHAnsi"/>
                <w:b/>
                <w:bCs/>
                <w:color w:val="FFFFFF"/>
                <w:szCs w:val="18"/>
                <w:lang w:eastAsia="hr-HR"/>
              </w:rPr>
            </w:pPr>
          </w:p>
        </w:tc>
        <w:tc>
          <w:tcPr>
            <w:tcW w:w="1417" w:type="dxa"/>
            <w:vMerge/>
            <w:tcBorders>
              <w:left w:val="single" w:sz="4" w:space="0" w:color="FFFFFF" w:themeColor="background1"/>
              <w:right w:val="single" w:sz="4" w:space="0" w:color="FFFFFF" w:themeColor="background1"/>
            </w:tcBorders>
            <w:shd w:val="clear" w:color="auto" w:fill="C00000"/>
            <w:vAlign w:val="center"/>
            <w:hideMark/>
          </w:tcPr>
          <w:p w14:paraId="6A274E8F" w14:textId="77777777" w:rsidR="00527173" w:rsidRPr="00483E21" w:rsidRDefault="00527173" w:rsidP="00A133EF">
            <w:pPr>
              <w:spacing w:after="0"/>
              <w:rPr>
                <w:rFonts w:cstheme="minorHAnsi"/>
                <w:b/>
                <w:bCs/>
                <w:color w:val="FFFFFF"/>
                <w:szCs w:val="18"/>
                <w:lang w:eastAsia="hr-HR"/>
              </w:rPr>
            </w:pPr>
          </w:p>
        </w:tc>
        <w:tc>
          <w:tcPr>
            <w:tcW w:w="709" w:type="dxa"/>
            <w:vMerge/>
            <w:tcBorders>
              <w:left w:val="single" w:sz="4" w:space="0" w:color="FFFFFF" w:themeColor="background1"/>
              <w:right w:val="single" w:sz="4" w:space="0" w:color="FFFFFF" w:themeColor="background1"/>
            </w:tcBorders>
            <w:shd w:val="clear" w:color="auto" w:fill="C00000"/>
            <w:vAlign w:val="center"/>
            <w:hideMark/>
          </w:tcPr>
          <w:p w14:paraId="00FDBDC9" w14:textId="77777777" w:rsidR="00527173" w:rsidRPr="00483E21" w:rsidRDefault="00527173" w:rsidP="00A133EF">
            <w:pPr>
              <w:spacing w:after="0"/>
              <w:rPr>
                <w:rFonts w:cstheme="minorHAnsi"/>
                <w:b/>
                <w:bCs/>
                <w:color w:val="FFFFFF"/>
                <w:szCs w:val="18"/>
                <w:lang w:eastAsia="hr-HR"/>
              </w:rPr>
            </w:pPr>
          </w:p>
        </w:tc>
        <w:tc>
          <w:tcPr>
            <w:tcW w:w="1276" w:type="dxa"/>
            <w:vMerge/>
            <w:tcBorders>
              <w:left w:val="single" w:sz="4" w:space="0" w:color="FFFFFF" w:themeColor="background1"/>
              <w:right w:val="single" w:sz="4" w:space="0" w:color="FFFFFF" w:themeColor="background1"/>
            </w:tcBorders>
            <w:shd w:val="clear" w:color="auto" w:fill="C00000"/>
            <w:vAlign w:val="center"/>
            <w:hideMark/>
          </w:tcPr>
          <w:p w14:paraId="216688D6" w14:textId="77777777" w:rsidR="00527173" w:rsidRPr="00483E21" w:rsidRDefault="00527173" w:rsidP="00A133EF">
            <w:pPr>
              <w:spacing w:after="0"/>
              <w:rPr>
                <w:rFonts w:cstheme="minorHAnsi"/>
                <w:b/>
                <w:bCs/>
                <w:color w:val="FFFFFF"/>
                <w:szCs w:val="18"/>
                <w:lang w:eastAsia="hr-HR"/>
              </w:rPr>
            </w:pPr>
          </w:p>
        </w:tc>
        <w:tc>
          <w:tcPr>
            <w:tcW w:w="850" w:type="dxa"/>
            <w:vMerge/>
            <w:tcBorders>
              <w:left w:val="single" w:sz="4" w:space="0" w:color="FFFFFF" w:themeColor="background1"/>
              <w:right w:val="single" w:sz="4" w:space="0" w:color="FFFFFF" w:themeColor="background1"/>
            </w:tcBorders>
            <w:shd w:val="clear" w:color="auto" w:fill="C00000"/>
            <w:vAlign w:val="center"/>
            <w:hideMark/>
          </w:tcPr>
          <w:p w14:paraId="759C31C9" w14:textId="77777777" w:rsidR="00527173" w:rsidRPr="00483E21" w:rsidRDefault="00527173" w:rsidP="00A133EF">
            <w:pPr>
              <w:spacing w:after="0"/>
              <w:rPr>
                <w:rFonts w:cstheme="minorHAnsi"/>
                <w:b/>
                <w:bCs/>
                <w:color w:val="FFFFFF"/>
                <w:szCs w:val="18"/>
                <w:lang w:eastAsia="hr-HR"/>
              </w:rPr>
            </w:pPr>
          </w:p>
        </w:tc>
        <w:tc>
          <w:tcPr>
            <w:tcW w:w="851" w:type="dxa"/>
            <w:vMerge/>
            <w:tcBorders>
              <w:left w:val="single" w:sz="4" w:space="0" w:color="FFFFFF" w:themeColor="background1"/>
              <w:right w:val="single" w:sz="4" w:space="0" w:color="FFFFFF" w:themeColor="background1"/>
            </w:tcBorders>
            <w:shd w:val="clear" w:color="auto" w:fill="C00000"/>
            <w:vAlign w:val="center"/>
            <w:hideMark/>
          </w:tcPr>
          <w:p w14:paraId="042EF2A2" w14:textId="77777777" w:rsidR="00527173" w:rsidRPr="00483E21" w:rsidRDefault="00527173" w:rsidP="00A133EF">
            <w:pPr>
              <w:spacing w:after="0"/>
              <w:rPr>
                <w:rFonts w:cstheme="minorHAnsi"/>
                <w:b/>
                <w:bCs/>
                <w:color w:val="FFFFFF"/>
                <w:szCs w:val="18"/>
                <w:lang w:eastAsia="hr-HR"/>
              </w:rPr>
            </w:pPr>
          </w:p>
        </w:tc>
        <w:tc>
          <w:tcPr>
            <w:tcW w:w="992" w:type="dxa"/>
            <w:vMerge/>
            <w:tcBorders>
              <w:left w:val="single" w:sz="4" w:space="0" w:color="FFFFFF" w:themeColor="background1"/>
              <w:right w:val="single" w:sz="8" w:space="0" w:color="D2232A"/>
            </w:tcBorders>
            <w:shd w:val="clear" w:color="auto" w:fill="C00000"/>
            <w:vAlign w:val="center"/>
            <w:hideMark/>
          </w:tcPr>
          <w:p w14:paraId="181EDD70" w14:textId="77777777" w:rsidR="00527173" w:rsidRPr="00483E21" w:rsidRDefault="00527173" w:rsidP="00A133EF">
            <w:pPr>
              <w:spacing w:after="0"/>
              <w:rPr>
                <w:rFonts w:cstheme="minorHAnsi"/>
                <w:b/>
                <w:bCs/>
                <w:color w:val="FFFFFF"/>
                <w:szCs w:val="18"/>
                <w:lang w:eastAsia="hr-HR"/>
              </w:rPr>
            </w:pPr>
          </w:p>
        </w:tc>
      </w:tr>
      <w:tr w:rsidR="00A133EF" w:rsidRPr="00483E21" w14:paraId="500B2A91" w14:textId="77777777" w:rsidTr="00CD416C">
        <w:trPr>
          <w:trHeight w:val="308"/>
        </w:trPr>
        <w:tc>
          <w:tcPr>
            <w:tcW w:w="1569" w:type="dxa"/>
            <w:tcBorders>
              <w:top w:val="single" w:sz="4" w:space="0" w:color="FFFFFF" w:themeColor="background1"/>
              <w:bottom w:val="single" w:sz="8" w:space="0" w:color="F3CFC1"/>
            </w:tcBorders>
            <w:shd w:val="clear" w:color="auto" w:fill="C00000"/>
            <w:noWrap/>
            <w:vAlign w:val="center"/>
            <w:hideMark/>
          </w:tcPr>
          <w:p w14:paraId="7205C8E2" w14:textId="77777777" w:rsidR="00527173" w:rsidRPr="00A133EF" w:rsidRDefault="00527173" w:rsidP="00A133EF">
            <w:pPr>
              <w:spacing w:after="0"/>
              <w:rPr>
                <w:rFonts w:cstheme="minorHAnsi"/>
                <w:b/>
                <w:bCs/>
                <w:color w:val="FFFFFF"/>
                <w:sz w:val="16"/>
                <w:szCs w:val="18"/>
                <w:lang w:eastAsia="hr-HR"/>
              </w:rPr>
            </w:pPr>
            <w:r w:rsidRPr="00A133EF">
              <w:rPr>
                <w:rFonts w:cstheme="minorHAnsi"/>
                <w:b/>
                <w:bCs/>
                <w:color w:val="FFFFFF"/>
                <w:sz w:val="16"/>
                <w:szCs w:val="18"/>
                <w:lang w:eastAsia="hr-HR"/>
              </w:rPr>
              <w:t>BEDEKOVČINA</w:t>
            </w:r>
          </w:p>
        </w:tc>
        <w:tc>
          <w:tcPr>
            <w:tcW w:w="851" w:type="dxa"/>
            <w:tcBorders>
              <w:bottom w:val="single" w:sz="8" w:space="0" w:color="F3CFC1"/>
            </w:tcBorders>
            <w:shd w:val="clear" w:color="auto" w:fill="auto"/>
            <w:noWrap/>
            <w:vAlign w:val="center"/>
            <w:hideMark/>
          </w:tcPr>
          <w:p w14:paraId="62F87EA9"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41</w:t>
            </w:r>
          </w:p>
        </w:tc>
        <w:tc>
          <w:tcPr>
            <w:tcW w:w="850" w:type="dxa"/>
            <w:tcBorders>
              <w:bottom w:val="single" w:sz="8" w:space="0" w:color="F3CFC1"/>
            </w:tcBorders>
            <w:shd w:val="clear" w:color="auto" w:fill="auto"/>
            <w:noWrap/>
            <w:vAlign w:val="center"/>
            <w:hideMark/>
          </w:tcPr>
          <w:p w14:paraId="721FFD45"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19</w:t>
            </w:r>
          </w:p>
        </w:tc>
        <w:tc>
          <w:tcPr>
            <w:tcW w:w="851" w:type="dxa"/>
            <w:tcBorders>
              <w:bottom w:val="single" w:sz="8" w:space="0" w:color="F3CFC1"/>
            </w:tcBorders>
            <w:shd w:val="clear" w:color="auto" w:fill="auto"/>
            <w:noWrap/>
            <w:vAlign w:val="center"/>
            <w:hideMark/>
          </w:tcPr>
          <w:p w14:paraId="50444523"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12</w:t>
            </w:r>
          </w:p>
        </w:tc>
        <w:tc>
          <w:tcPr>
            <w:tcW w:w="992" w:type="dxa"/>
            <w:tcBorders>
              <w:bottom w:val="single" w:sz="8" w:space="0" w:color="F3CFC1"/>
            </w:tcBorders>
            <w:shd w:val="clear" w:color="auto" w:fill="auto"/>
            <w:noWrap/>
            <w:vAlign w:val="center"/>
            <w:hideMark/>
          </w:tcPr>
          <w:p w14:paraId="661D4054"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18</w:t>
            </w:r>
          </w:p>
        </w:tc>
        <w:tc>
          <w:tcPr>
            <w:tcW w:w="1417" w:type="dxa"/>
            <w:tcBorders>
              <w:bottom w:val="single" w:sz="8" w:space="0" w:color="F3CFC1"/>
            </w:tcBorders>
            <w:shd w:val="clear" w:color="auto" w:fill="auto"/>
            <w:noWrap/>
            <w:vAlign w:val="center"/>
            <w:hideMark/>
          </w:tcPr>
          <w:p w14:paraId="0B39D6F2"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13</w:t>
            </w:r>
          </w:p>
        </w:tc>
        <w:tc>
          <w:tcPr>
            <w:tcW w:w="709" w:type="dxa"/>
            <w:tcBorders>
              <w:bottom w:val="single" w:sz="8" w:space="0" w:color="F3CFC1"/>
            </w:tcBorders>
            <w:shd w:val="clear" w:color="auto" w:fill="auto"/>
            <w:noWrap/>
            <w:vAlign w:val="center"/>
            <w:hideMark/>
          </w:tcPr>
          <w:p w14:paraId="44F7C221"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w:t>
            </w:r>
          </w:p>
        </w:tc>
        <w:tc>
          <w:tcPr>
            <w:tcW w:w="1276" w:type="dxa"/>
            <w:tcBorders>
              <w:bottom w:val="single" w:sz="8" w:space="0" w:color="F3CFC1"/>
            </w:tcBorders>
            <w:shd w:val="clear" w:color="auto" w:fill="auto"/>
            <w:noWrap/>
            <w:vAlign w:val="center"/>
            <w:hideMark/>
          </w:tcPr>
          <w:p w14:paraId="6FDF3903"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13</w:t>
            </w:r>
          </w:p>
        </w:tc>
        <w:tc>
          <w:tcPr>
            <w:tcW w:w="850" w:type="dxa"/>
            <w:tcBorders>
              <w:bottom w:val="single" w:sz="8" w:space="0" w:color="F3CFC1"/>
            </w:tcBorders>
            <w:shd w:val="clear" w:color="auto" w:fill="auto"/>
            <w:noWrap/>
            <w:vAlign w:val="center"/>
            <w:hideMark/>
          </w:tcPr>
          <w:p w14:paraId="619B1DCD"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10</w:t>
            </w:r>
          </w:p>
        </w:tc>
        <w:tc>
          <w:tcPr>
            <w:tcW w:w="851" w:type="dxa"/>
            <w:tcBorders>
              <w:bottom w:val="single" w:sz="8" w:space="0" w:color="F3CFC1"/>
            </w:tcBorders>
            <w:shd w:val="clear" w:color="auto" w:fill="auto"/>
            <w:noWrap/>
            <w:vAlign w:val="center"/>
            <w:hideMark/>
          </w:tcPr>
          <w:p w14:paraId="16D3291A"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w:t>
            </w:r>
          </w:p>
        </w:tc>
        <w:tc>
          <w:tcPr>
            <w:tcW w:w="992" w:type="dxa"/>
            <w:tcBorders>
              <w:bottom w:val="single" w:sz="8" w:space="0" w:color="F3CFC1"/>
              <w:right w:val="single" w:sz="8" w:space="0" w:color="D2232A"/>
            </w:tcBorders>
            <w:shd w:val="clear" w:color="auto" w:fill="auto"/>
            <w:noWrap/>
            <w:vAlign w:val="center"/>
            <w:hideMark/>
          </w:tcPr>
          <w:p w14:paraId="3DDC85F0"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131</w:t>
            </w:r>
          </w:p>
        </w:tc>
      </w:tr>
      <w:tr w:rsidR="00A133EF" w:rsidRPr="00483E21" w14:paraId="3A89AA9F" w14:textId="77777777" w:rsidTr="007F5268">
        <w:trPr>
          <w:trHeight w:val="308"/>
        </w:trPr>
        <w:tc>
          <w:tcPr>
            <w:tcW w:w="1569" w:type="dxa"/>
            <w:tcBorders>
              <w:top w:val="single" w:sz="8" w:space="0" w:color="F3CFC1"/>
              <w:bottom w:val="single" w:sz="8" w:space="0" w:color="F3CFC1"/>
            </w:tcBorders>
            <w:shd w:val="clear" w:color="auto" w:fill="C00000"/>
            <w:noWrap/>
            <w:vAlign w:val="center"/>
            <w:hideMark/>
          </w:tcPr>
          <w:p w14:paraId="576CE978" w14:textId="77777777" w:rsidR="00527173" w:rsidRPr="00A133EF" w:rsidRDefault="00527173" w:rsidP="00A133EF">
            <w:pPr>
              <w:spacing w:after="0"/>
              <w:rPr>
                <w:rFonts w:cstheme="minorHAnsi"/>
                <w:b/>
                <w:bCs/>
                <w:color w:val="FFFFFF"/>
                <w:sz w:val="16"/>
                <w:szCs w:val="18"/>
                <w:lang w:eastAsia="hr-HR"/>
              </w:rPr>
            </w:pPr>
            <w:r w:rsidRPr="00A133EF">
              <w:rPr>
                <w:rFonts w:cstheme="minorHAnsi"/>
                <w:b/>
                <w:bCs/>
                <w:color w:val="FFFFFF"/>
                <w:sz w:val="16"/>
                <w:szCs w:val="18"/>
                <w:lang w:eastAsia="hr-HR"/>
              </w:rPr>
              <w:t>DONJA STUBICA</w:t>
            </w:r>
          </w:p>
        </w:tc>
        <w:tc>
          <w:tcPr>
            <w:tcW w:w="851" w:type="dxa"/>
            <w:tcBorders>
              <w:top w:val="single" w:sz="8" w:space="0" w:color="F3CFC1"/>
              <w:bottom w:val="single" w:sz="8" w:space="0" w:color="F3CFC1"/>
            </w:tcBorders>
            <w:shd w:val="clear" w:color="auto" w:fill="auto"/>
            <w:noWrap/>
            <w:vAlign w:val="center"/>
            <w:hideMark/>
          </w:tcPr>
          <w:p w14:paraId="084596E9"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175</w:t>
            </w:r>
          </w:p>
        </w:tc>
        <w:tc>
          <w:tcPr>
            <w:tcW w:w="850" w:type="dxa"/>
            <w:tcBorders>
              <w:top w:val="single" w:sz="8" w:space="0" w:color="F3CFC1"/>
              <w:bottom w:val="single" w:sz="8" w:space="0" w:color="F3CFC1"/>
            </w:tcBorders>
            <w:shd w:val="clear" w:color="auto" w:fill="auto"/>
            <w:noWrap/>
            <w:vAlign w:val="center"/>
            <w:hideMark/>
          </w:tcPr>
          <w:p w14:paraId="70BB14D9"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96</w:t>
            </w:r>
          </w:p>
        </w:tc>
        <w:tc>
          <w:tcPr>
            <w:tcW w:w="851" w:type="dxa"/>
            <w:tcBorders>
              <w:top w:val="single" w:sz="8" w:space="0" w:color="F3CFC1"/>
              <w:bottom w:val="single" w:sz="8" w:space="0" w:color="F3CFC1"/>
            </w:tcBorders>
            <w:shd w:val="clear" w:color="auto" w:fill="auto"/>
            <w:noWrap/>
            <w:vAlign w:val="center"/>
            <w:hideMark/>
          </w:tcPr>
          <w:p w14:paraId="541BCF7A"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28</w:t>
            </w:r>
          </w:p>
        </w:tc>
        <w:tc>
          <w:tcPr>
            <w:tcW w:w="992" w:type="dxa"/>
            <w:tcBorders>
              <w:top w:val="single" w:sz="8" w:space="0" w:color="F3CFC1"/>
              <w:bottom w:val="single" w:sz="8" w:space="0" w:color="F3CFC1"/>
            </w:tcBorders>
            <w:shd w:val="clear" w:color="auto" w:fill="auto"/>
            <w:noWrap/>
            <w:vAlign w:val="center"/>
            <w:hideMark/>
          </w:tcPr>
          <w:p w14:paraId="49F364E5"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69</w:t>
            </w:r>
          </w:p>
        </w:tc>
        <w:tc>
          <w:tcPr>
            <w:tcW w:w="1417" w:type="dxa"/>
            <w:tcBorders>
              <w:top w:val="single" w:sz="8" w:space="0" w:color="F3CFC1"/>
              <w:bottom w:val="single" w:sz="8" w:space="0" w:color="F3CFC1"/>
            </w:tcBorders>
            <w:shd w:val="clear" w:color="auto" w:fill="auto"/>
            <w:noWrap/>
            <w:vAlign w:val="center"/>
            <w:hideMark/>
          </w:tcPr>
          <w:p w14:paraId="19727C69"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48</w:t>
            </w:r>
          </w:p>
        </w:tc>
        <w:tc>
          <w:tcPr>
            <w:tcW w:w="709" w:type="dxa"/>
            <w:tcBorders>
              <w:top w:val="single" w:sz="8" w:space="0" w:color="F3CFC1"/>
              <w:bottom w:val="single" w:sz="8" w:space="0" w:color="F3CFC1"/>
            </w:tcBorders>
            <w:shd w:val="clear" w:color="auto" w:fill="auto"/>
            <w:noWrap/>
            <w:vAlign w:val="center"/>
            <w:hideMark/>
          </w:tcPr>
          <w:p w14:paraId="581B8C1A"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21</w:t>
            </w:r>
          </w:p>
        </w:tc>
        <w:tc>
          <w:tcPr>
            <w:tcW w:w="1276" w:type="dxa"/>
            <w:tcBorders>
              <w:top w:val="single" w:sz="8" w:space="0" w:color="F3CFC1"/>
              <w:bottom w:val="single" w:sz="8" w:space="0" w:color="F3CFC1"/>
            </w:tcBorders>
            <w:shd w:val="clear" w:color="auto" w:fill="auto"/>
            <w:noWrap/>
            <w:vAlign w:val="center"/>
            <w:hideMark/>
          </w:tcPr>
          <w:p w14:paraId="33DAB7FC"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59</w:t>
            </w:r>
          </w:p>
        </w:tc>
        <w:tc>
          <w:tcPr>
            <w:tcW w:w="850" w:type="dxa"/>
            <w:tcBorders>
              <w:top w:val="single" w:sz="8" w:space="0" w:color="F3CFC1"/>
              <w:bottom w:val="single" w:sz="8" w:space="0" w:color="F3CFC1"/>
            </w:tcBorders>
            <w:shd w:val="clear" w:color="auto" w:fill="auto"/>
            <w:noWrap/>
            <w:vAlign w:val="center"/>
            <w:hideMark/>
          </w:tcPr>
          <w:p w14:paraId="68D0FFA8"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40</w:t>
            </w:r>
          </w:p>
        </w:tc>
        <w:tc>
          <w:tcPr>
            <w:tcW w:w="851" w:type="dxa"/>
            <w:tcBorders>
              <w:top w:val="single" w:sz="8" w:space="0" w:color="F3CFC1"/>
              <w:bottom w:val="single" w:sz="8" w:space="0" w:color="F3CFC1"/>
            </w:tcBorders>
            <w:shd w:val="clear" w:color="auto" w:fill="auto"/>
            <w:noWrap/>
            <w:vAlign w:val="center"/>
            <w:hideMark/>
          </w:tcPr>
          <w:p w14:paraId="34ECCA51"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9</w:t>
            </w:r>
          </w:p>
        </w:tc>
        <w:tc>
          <w:tcPr>
            <w:tcW w:w="992" w:type="dxa"/>
            <w:tcBorders>
              <w:top w:val="single" w:sz="8" w:space="0" w:color="F3CFC1"/>
              <w:bottom w:val="single" w:sz="8" w:space="0" w:color="F3CFC1"/>
              <w:right w:val="single" w:sz="8" w:space="0" w:color="D2232A"/>
            </w:tcBorders>
            <w:shd w:val="clear" w:color="auto" w:fill="auto"/>
            <w:noWrap/>
            <w:vAlign w:val="center"/>
            <w:hideMark/>
          </w:tcPr>
          <w:p w14:paraId="7B1A49AF"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545</w:t>
            </w:r>
          </w:p>
        </w:tc>
      </w:tr>
      <w:tr w:rsidR="00A133EF" w:rsidRPr="00483E21" w14:paraId="22854F9F" w14:textId="77777777" w:rsidTr="007F5268">
        <w:trPr>
          <w:trHeight w:val="308"/>
        </w:trPr>
        <w:tc>
          <w:tcPr>
            <w:tcW w:w="1569" w:type="dxa"/>
            <w:tcBorders>
              <w:top w:val="single" w:sz="8" w:space="0" w:color="F3CFC1"/>
              <w:bottom w:val="single" w:sz="8" w:space="0" w:color="F3CFC1"/>
            </w:tcBorders>
            <w:shd w:val="clear" w:color="auto" w:fill="C00000"/>
            <w:noWrap/>
            <w:vAlign w:val="center"/>
            <w:hideMark/>
          </w:tcPr>
          <w:p w14:paraId="4E636CE7" w14:textId="77777777" w:rsidR="00527173" w:rsidRPr="00A133EF" w:rsidRDefault="00527173" w:rsidP="00A133EF">
            <w:pPr>
              <w:spacing w:after="0"/>
              <w:rPr>
                <w:rFonts w:cstheme="minorHAnsi"/>
                <w:b/>
                <w:bCs/>
                <w:color w:val="FFFFFF"/>
                <w:sz w:val="16"/>
                <w:szCs w:val="18"/>
                <w:lang w:eastAsia="hr-HR"/>
              </w:rPr>
            </w:pPr>
            <w:r w:rsidRPr="00A133EF">
              <w:rPr>
                <w:rFonts w:cstheme="minorHAnsi"/>
                <w:b/>
                <w:bCs/>
                <w:color w:val="FFFFFF"/>
                <w:sz w:val="16"/>
                <w:szCs w:val="18"/>
                <w:lang w:eastAsia="hr-HR"/>
              </w:rPr>
              <w:t>KLANJEC</w:t>
            </w:r>
          </w:p>
        </w:tc>
        <w:tc>
          <w:tcPr>
            <w:tcW w:w="851" w:type="dxa"/>
            <w:tcBorders>
              <w:top w:val="single" w:sz="8" w:space="0" w:color="F3CFC1"/>
              <w:bottom w:val="single" w:sz="8" w:space="0" w:color="F3CFC1"/>
            </w:tcBorders>
            <w:shd w:val="clear" w:color="auto" w:fill="auto"/>
            <w:noWrap/>
            <w:vAlign w:val="center"/>
            <w:hideMark/>
          </w:tcPr>
          <w:p w14:paraId="5755BD46"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59</w:t>
            </w:r>
          </w:p>
        </w:tc>
        <w:tc>
          <w:tcPr>
            <w:tcW w:w="850" w:type="dxa"/>
            <w:tcBorders>
              <w:top w:val="single" w:sz="8" w:space="0" w:color="F3CFC1"/>
              <w:bottom w:val="single" w:sz="8" w:space="0" w:color="F3CFC1"/>
            </w:tcBorders>
            <w:shd w:val="clear" w:color="auto" w:fill="auto"/>
            <w:noWrap/>
            <w:vAlign w:val="center"/>
            <w:hideMark/>
          </w:tcPr>
          <w:p w14:paraId="0F4AFABA"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34</w:t>
            </w:r>
          </w:p>
        </w:tc>
        <w:tc>
          <w:tcPr>
            <w:tcW w:w="851" w:type="dxa"/>
            <w:tcBorders>
              <w:top w:val="single" w:sz="8" w:space="0" w:color="F3CFC1"/>
              <w:bottom w:val="single" w:sz="8" w:space="0" w:color="F3CFC1"/>
            </w:tcBorders>
            <w:shd w:val="clear" w:color="auto" w:fill="auto"/>
            <w:noWrap/>
            <w:vAlign w:val="center"/>
            <w:hideMark/>
          </w:tcPr>
          <w:p w14:paraId="4A81724F"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19</w:t>
            </w:r>
          </w:p>
        </w:tc>
        <w:tc>
          <w:tcPr>
            <w:tcW w:w="992" w:type="dxa"/>
            <w:tcBorders>
              <w:top w:val="single" w:sz="8" w:space="0" w:color="F3CFC1"/>
              <w:bottom w:val="single" w:sz="8" w:space="0" w:color="F3CFC1"/>
            </w:tcBorders>
            <w:shd w:val="clear" w:color="auto" w:fill="auto"/>
            <w:noWrap/>
            <w:vAlign w:val="center"/>
            <w:hideMark/>
          </w:tcPr>
          <w:p w14:paraId="630B1824"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18</w:t>
            </w:r>
          </w:p>
        </w:tc>
        <w:tc>
          <w:tcPr>
            <w:tcW w:w="1417" w:type="dxa"/>
            <w:tcBorders>
              <w:top w:val="single" w:sz="8" w:space="0" w:color="F3CFC1"/>
              <w:bottom w:val="single" w:sz="8" w:space="0" w:color="F3CFC1"/>
            </w:tcBorders>
            <w:shd w:val="clear" w:color="auto" w:fill="auto"/>
            <w:noWrap/>
            <w:vAlign w:val="center"/>
            <w:hideMark/>
          </w:tcPr>
          <w:p w14:paraId="3BA9F5F2"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18</w:t>
            </w:r>
          </w:p>
        </w:tc>
        <w:tc>
          <w:tcPr>
            <w:tcW w:w="709" w:type="dxa"/>
            <w:tcBorders>
              <w:top w:val="single" w:sz="8" w:space="0" w:color="F3CFC1"/>
              <w:bottom w:val="single" w:sz="8" w:space="0" w:color="F3CFC1"/>
            </w:tcBorders>
            <w:shd w:val="clear" w:color="auto" w:fill="auto"/>
            <w:noWrap/>
            <w:vAlign w:val="center"/>
            <w:hideMark/>
          </w:tcPr>
          <w:p w14:paraId="024D08BA"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w:t>
            </w:r>
          </w:p>
        </w:tc>
        <w:tc>
          <w:tcPr>
            <w:tcW w:w="1276" w:type="dxa"/>
            <w:tcBorders>
              <w:top w:val="single" w:sz="8" w:space="0" w:color="F3CFC1"/>
              <w:bottom w:val="single" w:sz="8" w:space="0" w:color="F3CFC1"/>
            </w:tcBorders>
            <w:shd w:val="clear" w:color="auto" w:fill="auto"/>
            <w:noWrap/>
            <w:vAlign w:val="center"/>
            <w:hideMark/>
          </w:tcPr>
          <w:p w14:paraId="605489CE"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31</w:t>
            </w:r>
          </w:p>
        </w:tc>
        <w:tc>
          <w:tcPr>
            <w:tcW w:w="850" w:type="dxa"/>
            <w:tcBorders>
              <w:top w:val="single" w:sz="8" w:space="0" w:color="F3CFC1"/>
              <w:bottom w:val="single" w:sz="8" w:space="0" w:color="F3CFC1"/>
            </w:tcBorders>
            <w:shd w:val="clear" w:color="auto" w:fill="auto"/>
            <w:noWrap/>
            <w:vAlign w:val="center"/>
            <w:hideMark/>
          </w:tcPr>
          <w:p w14:paraId="2637938F"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7</w:t>
            </w:r>
          </w:p>
        </w:tc>
        <w:tc>
          <w:tcPr>
            <w:tcW w:w="851" w:type="dxa"/>
            <w:tcBorders>
              <w:top w:val="single" w:sz="8" w:space="0" w:color="F3CFC1"/>
              <w:bottom w:val="single" w:sz="8" w:space="0" w:color="F3CFC1"/>
            </w:tcBorders>
            <w:shd w:val="clear" w:color="auto" w:fill="auto"/>
            <w:noWrap/>
            <w:vAlign w:val="center"/>
            <w:hideMark/>
          </w:tcPr>
          <w:p w14:paraId="3D2498C3"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w:t>
            </w:r>
          </w:p>
        </w:tc>
        <w:tc>
          <w:tcPr>
            <w:tcW w:w="992" w:type="dxa"/>
            <w:tcBorders>
              <w:top w:val="single" w:sz="8" w:space="0" w:color="F3CFC1"/>
              <w:bottom w:val="single" w:sz="8" w:space="0" w:color="F3CFC1"/>
              <w:right w:val="single" w:sz="8" w:space="0" w:color="D2232A"/>
            </w:tcBorders>
            <w:shd w:val="clear" w:color="auto" w:fill="auto"/>
            <w:noWrap/>
            <w:vAlign w:val="center"/>
            <w:hideMark/>
          </w:tcPr>
          <w:p w14:paraId="40053314"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189</w:t>
            </w:r>
          </w:p>
        </w:tc>
      </w:tr>
      <w:tr w:rsidR="00A133EF" w:rsidRPr="00483E21" w14:paraId="5C8EDED8" w14:textId="77777777" w:rsidTr="007F5268">
        <w:trPr>
          <w:trHeight w:val="308"/>
        </w:trPr>
        <w:tc>
          <w:tcPr>
            <w:tcW w:w="1569" w:type="dxa"/>
            <w:tcBorders>
              <w:top w:val="single" w:sz="8" w:space="0" w:color="F3CFC1"/>
              <w:bottom w:val="single" w:sz="8" w:space="0" w:color="F3CFC1"/>
            </w:tcBorders>
            <w:shd w:val="clear" w:color="auto" w:fill="C00000"/>
            <w:noWrap/>
            <w:vAlign w:val="center"/>
            <w:hideMark/>
          </w:tcPr>
          <w:p w14:paraId="6F4C59EE" w14:textId="77777777" w:rsidR="00527173" w:rsidRPr="00A133EF" w:rsidRDefault="00527173" w:rsidP="00A133EF">
            <w:pPr>
              <w:spacing w:after="0"/>
              <w:rPr>
                <w:rFonts w:cstheme="minorHAnsi"/>
                <w:b/>
                <w:bCs/>
                <w:color w:val="FFFFFF"/>
                <w:sz w:val="16"/>
                <w:szCs w:val="18"/>
                <w:lang w:eastAsia="hr-HR"/>
              </w:rPr>
            </w:pPr>
            <w:r w:rsidRPr="00A133EF">
              <w:rPr>
                <w:rFonts w:cstheme="minorHAnsi"/>
                <w:b/>
                <w:bCs/>
                <w:color w:val="FFFFFF"/>
                <w:sz w:val="16"/>
                <w:szCs w:val="18"/>
                <w:lang w:eastAsia="hr-HR"/>
              </w:rPr>
              <w:t>KRAPINA</w:t>
            </w:r>
          </w:p>
        </w:tc>
        <w:tc>
          <w:tcPr>
            <w:tcW w:w="851" w:type="dxa"/>
            <w:tcBorders>
              <w:top w:val="single" w:sz="8" w:space="0" w:color="F3CFC1"/>
              <w:bottom w:val="single" w:sz="8" w:space="0" w:color="F3CFC1"/>
            </w:tcBorders>
            <w:shd w:val="clear" w:color="auto" w:fill="auto"/>
            <w:noWrap/>
            <w:vAlign w:val="center"/>
            <w:hideMark/>
          </w:tcPr>
          <w:p w14:paraId="5F22F120"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141</w:t>
            </w:r>
          </w:p>
        </w:tc>
        <w:tc>
          <w:tcPr>
            <w:tcW w:w="850" w:type="dxa"/>
            <w:tcBorders>
              <w:top w:val="single" w:sz="8" w:space="0" w:color="F3CFC1"/>
              <w:bottom w:val="single" w:sz="8" w:space="0" w:color="F3CFC1"/>
            </w:tcBorders>
            <w:shd w:val="clear" w:color="auto" w:fill="auto"/>
            <w:noWrap/>
            <w:vAlign w:val="center"/>
            <w:hideMark/>
          </w:tcPr>
          <w:p w14:paraId="5A894798"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53</w:t>
            </w:r>
          </w:p>
        </w:tc>
        <w:tc>
          <w:tcPr>
            <w:tcW w:w="851" w:type="dxa"/>
            <w:tcBorders>
              <w:top w:val="single" w:sz="8" w:space="0" w:color="F3CFC1"/>
              <w:bottom w:val="single" w:sz="8" w:space="0" w:color="F3CFC1"/>
            </w:tcBorders>
            <w:shd w:val="clear" w:color="auto" w:fill="auto"/>
            <w:noWrap/>
            <w:vAlign w:val="center"/>
            <w:hideMark/>
          </w:tcPr>
          <w:p w14:paraId="5F8C6C6E"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38</w:t>
            </w:r>
          </w:p>
        </w:tc>
        <w:tc>
          <w:tcPr>
            <w:tcW w:w="992" w:type="dxa"/>
            <w:tcBorders>
              <w:top w:val="single" w:sz="8" w:space="0" w:color="F3CFC1"/>
              <w:bottom w:val="single" w:sz="8" w:space="0" w:color="F3CFC1"/>
            </w:tcBorders>
            <w:shd w:val="clear" w:color="auto" w:fill="auto"/>
            <w:noWrap/>
            <w:vAlign w:val="center"/>
            <w:hideMark/>
          </w:tcPr>
          <w:p w14:paraId="2928AC7A"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39</w:t>
            </w:r>
          </w:p>
        </w:tc>
        <w:tc>
          <w:tcPr>
            <w:tcW w:w="1417" w:type="dxa"/>
            <w:tcBorders>
              <w:top w:val="single" w:sz="8" w:space="0" w:color="F3CFC1"/>
              <w:bottom w:val="single" w:sz="8" w:space="0" w:color="F3CFC1"/>
            </w:tcBorders>
            <w:shd w:val="clear" w:color="auto" w:fill="auto"/>
            <w:noWrap/>
            <w:vAlign w:val="center"/>
            <w:hideMark/>
          </w:tcPr>
          <w:p w14:paraId="186D891B"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41</w:t>
            </w:r>
          </w:p>
        </w:tc>
        <w:tc>
          <w:tcPr>
            <w:tcW w:w="709" w:type="dxa"/>
            <w:tcBorders>
              <w:top w:val="single" w:sz="8" w:space="0" w:color="F3CFC1"/>
              <w:bottom w:val="single" w:sz="8" w:space="0" w:color="F3CFC1"/>
            </w:tcBorders>
            <w:shd w:val="clear" w:color="auto" w:fill="auto"/>
            <w:noWrap/>
            <w:vAlign w:val="center"/>
            <w:hideMark/>
          </w:tcPr>
          <w:p w14:paraId="3D31A0E8"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w:t>
            </w:r>
          </w:p>
        </w:tc>
        <w:tc>
          <w:tcPr>
            <w:tcW w:w="1276" w:type="dxa"/>
            <w:tcBorders>
              <w:top w:val="single" w:sz="8" w:space="0" w:color="F3CFC1"/>
              <w:bottom w:val="single" w:sz="8" w:space="0" w:color="F3CFC1"/>
            </w:tcBorders>
            <w:shd w:val="clear" w:color="auto" w:fill="auto"/>
            <w:noWrap/>
            <w:vAlign w:val="center"/>
            <w:hideMark/>
          </w:tcPr>
          <w:p w14:paraId="33F6C4CA"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53</w:t>
            </w:r>
          </w:p>
        </w:tc>
        <w:tc>
          <w:tcPr>
            <w:tcW w:w="850" w:type="dxa"/>
            <w:tcBorders>
              <w:top w:val="single" w:sz="8" w:space="0" w:color="F3CFC1"/>
              <w:bottom w:val="single" w:sz="8" w:space="0" w:color="F3CFC1"/>
            </w:tcBorders>
            <w:shd w:val="clear" w:color="auto" w:fill="auto"/>
            <w:noWrap/>
            <w:vAlign w:val="center"/>
            <w:hideMark/>
          </w:tcPr>
          <w:p w14:paraId="1CE8516D"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33</w:t>
            </w:r>
          </w:p>
        </w:tc>
        <w:tc>
          <w:tcPr>
            <w:tcW w:w="851" w:type="dxa"/>
            <w:tcBorders>
              <w:top w:val="single" w:sz="8" w:space="0" w:color="F3CFC1"/>
              <w:bottom w:val="single" w:sz="8" w:space="0" w:color="F3CFC1"/>
            </w:tcBorders>
            <w:shd w:val="clear" w:color="auto" w:fill="auto"/>
            <w:noWrap/>
            <w:vAlign w:val="center"/>
            <w:hideMark/>
          </w:tcPr>
          <w:p w14:paraId="1788867C"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14</w:t>
            </w:r>
          </w:p>
        </w:tc>
        <w:tc>
          <w:tcPr>
            <w:tcW w:w="992" w:type="dxa"/>
            <w:tcBorders>
              <w:top w:val="single" w:sz="8" w:space="0" w:color="F3CFC1"/>
              <w:bottom w:val="single" w:sz="8" w:space="0" w:color="F3CFC1"/>
              <w:right w:val="single" w:sz="8" w:space="0" w:color="D2232A"/>
            </w:tcBorders>
            <w:shd w:val="clear" w:color="auto" w:fill="auto"/>
            <w:noWrap/>
            <w:vAlign w:val="center"/>
            <w:hideMark/>
          </w:tcPr>
          <w:p w14:paraId="6B9C0C40"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416</w:t>
            </w:r>
          </w:p>
        </w:tc>
      </w:tr>
      <w:tr w:rsidR="00A133EF" w:rsidRPr="00483E21" w14:paraId="77AA544E" w14:textId="77777777" w:rsidTr="007F5268">
        <w:trPr>
          <w:trHeight w:val="308"/>
        </w:trPr>
        <w:tc>
          <w:tcPr>
            <w:tcW w:w="1569" w:type="dxa"/>
            <w:tcBorders>
              <w:top w:val="single" w:sz="8" w:space="0" w:color="F3CFC1"/>
              <w:bottom w:val="single" w:sz="8" w:space="0" w:color="F3CFC1"/>
            </w:tcBorders>
            <w:shd w:val="clear" w:color="auto" w:fill="C00000"/>
            <w:noWrap/>
            <w:vAlign w:val="center"/>
            <w:hideMark/>
          </w:tcPr>
          <w:p w14:paraId="7007FE60" w14:textId="77777777" w:rsidR="00527173" w:rsidRPr="00A133EF" w:rsidRDefault="00527173" w:rsidP="00A133EF">
            <w:pPr>
              <w:spacing w:after="0"/>
              <w:rPr>
                <w:rFonts w:cstheme="minorHAnsi"/>
                <w:b/>
                <w:bCs/>
                <w:color w:val="FFFFFF"/>
                <w:sz w:val="16"/>
                <w:szCs w:val="18"/>
                <w:lang w:eastAsia="hr-HR"/>
              </w:rPr>
            </w:pPr>
            <w:r w:rsidRPr="00A133EF">
              <w:rPr>
                <w:rFonts w:cstheme="minorHAnsi"/>
                <w:b/>
                <w:bCs/>
                <w:color w:val="FFFFFF"/>
                <w:sz w:val="16"/>
                <w:szCs w:val="18"/>
                <w:lang w:eastAsia="hr-HR"/>
              </w:rPr>
              <w:t>KRAP.TOPLICE</w:t>
            </w:r>
          </w:p>
        </w:tc>
        <w:tc>
          <w:tcPr>
            <w:tcW w:w="851" w:type="dxa"/>
            <w:tcBorders>
              <w:top w:val="single" w:sz="8" w:space="0" w:color="F3CFC1"/>
              <w:bottom w:val="single" w:sz="8" w:space="0" w:color="F3CFC1"/>
            </w:tcBorders>
            <w:shd w:val="clear" w:color="auto" w:fill="auto"/>
            <w:noWrap/>
            <w:vAlign w:val="center"/>
            <w:hideMark/>
          </w:tcPr>
          <w:p w14:paraId="7DB69704"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20</w:t>
            </w:r>
          </w:p>
        </w:tc>
        <w:tc>
          <w:tcPr>
            <w:tcW w:w="850" w:type="dxa"/>
            <w:tcBorders>
              <w:top w:val="single" w:sz="8" w:space="0" w:color="F3CFC1"/>
              <w:bottom w:val="single" w:sz="8" w:space="0" w:color="F3CFC1"/>
            </w:tcBorders>
            <w:shd w:val="clear" w:color="auto" w:fill="auto"/>
            <w:noWrap/>
            <w:vAlign w:val="center"/>
            <w:hideMark/>
          </w:tcPr>
          <w:p w14:paraId="60CC7541"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17</w:t>
            </w:r>
          </w:p>
        </w:tc>
        <w:tc>
          <w:tcPr>
            <w:tcW w:w="851" w:type="dxa"/>
            <w:tcBorders>
              <w:top w:val="single" w:sz="8" w:space="0" w:color="F3CFC1"/>
              <w:bottom w:val="single" w:sz="8" w:space="0" w:color="F3CFC1"/>
            </w:tcBorders>
            <w:shd w:val="clear" w:color="auto" w:fill="auto"/>
            <w:noWrap/>
            <w:vAlign w:val="center"/>
            <w:hideMark/>
          </w:tcPr>
          <w:p w14:paraId="1EBB21BF"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6</w:t>
            </w:r>
          </w:p>
        </w:tc>
        <w:tc>
          <w:tcPr>
            <w:tcW w:w="992" w:type="dxa"/>
            <w:tcBorders>
              <w:top w:val="single" w:sz="8" w:space="0" w:color="F3CFC1"/>
              <w:bottom w:val="single" w:sz="8" w:space="0" w:color="F3CFC1"/>
            </w:tcBorders>
            <w:shd w:val="clear" w:color="auto" w:fill="auto"/>
            <w:noWrap/>
            <w:vAlign w:val="center"/>
            <w:hideMark/>
          </w:tcPr>
          <w:p w14:paraId="0C0A5BC8"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10</w:t>
            </w:r>
          </w:p>
        </w:tc>
        <w:tc>
          <w:tcPr>
            <w:tcW w:w="1417" w:type="dxa"/>
            <w:tcBorders>
              <w:top w:val="single" w:sz="8" w:space="0" w:color="F3CFC1"/>
              <w:bottom w:val="single" w:sz="8" w:space="0" w:color="F3CFC1"/>
            </w:tcBorders>
            <w:shd w:val="clear" w:color="auto" w:fill="auto"/>
            <w:noWrap/>
            <w:vAlign w:val="center"/>
            <w:hideMark/>
          </w:tcPr>
          <w:p w14:paraId="046FAE66"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15</w:t>
            </w:r>
          </w:p>
        </w:tc>
        <w:tc>
          <w:tcPr>
            <w:tcW w:w="709" w:type="dxa"/>
            <w:tcBorders>
              <w:top w:val="single" w:sz="8" w:space="0" w:color="F3CFC1"/>
              <w:bottom w:val="single" w:sz="8" w:space="0" w:color="F3CFC1"/>
            </w:tcBorders>
            <w:shd w:val="clear" w:color="auto" w:fill="auto"/>
            <w:noWrap/>
            <w:vAlign w:val="center"/>
            <w:hideMark/>
          </w:tcPr>
          <w:p w14:paraId="4B822F02"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w:t>
            </w:r>
          </w:p>
        </w:tc>
        <w:tc>
          <w:tcPr>
            <w:tcW w:w="1276" w:type="dxa"/>
            <w:tcBorders>
              <w:top w:val="single" w:sz="8" w:space="0" w:color="F3CFC1"/>
              <w:bottom w:val="single" w:sz="8" w:space="0" w:color="F3CFC1"/>
            </w:tcBorders>
            <w:shd w:val="clear" w:color="auto" w:fill="auto"/>
            <w:noWrap/>
            <w:vAlign w:val="center"/>
            <w:hideMark/>
          </w:tcPr>
          <w:p w14:paraId="5C524328"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29</w:t>
            </w:r>
          </w:p>
        </w:tc>
        <w:tc>
          <w:tcPr>
            <w:tcW w:w="850" w:type="dxa"/>
            <w:tcBorders>
              <w:top w:val="single" w:sz="8" w:space="0" w:color="F3CFC1"/>
              <w:bottom w:val="single" w:sz="8" w:space="0" w:color="F3CFC1"/>
            </w:tcBorders>
            <w:shd w:val="clear" w:color="auto" w:fill="auto"/>
            <w:noWrap/>
            <w:vAlign w:val="center"/>
            <w:hideMark/>
          </w:tcPr>
          <w:p w14:paraId="5AE730CB"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7</w:t>
            </w:r>
          </w:p>
        </w:tc>
        <w:tc>
          <w:tcPr>
            <w:tcW w:w="851" w:type="dxa"/>
            <w:tcBorders>
              <w:top w:val="single" w:sz="8" w:space="0" w:color="F3CFC1"/>
              <w:bottom w:val="single" w:sz="8" w:space="0" w:color="F3CFC1"/>
            </w:tcBorders>
            <w:shd w:val="clear" w:color="auto" w:fill="auto"/>
            <w:noWrap/>
            <w:vAlign w:val="center"/>
            <w:hideMark/>
          </w:tcPr>
          <w:p w14:paraId="7247BEB9" w14:textId="237905BC" w:rsidR="00527173" w:rsidRPr="00A133EF" w:rsidRDefault="00527173" w:rsidP="00A133EF">
            <w:pPr>
              <w:spacing w:after="0"/>
              <w:jc w:val="right"/>
              <w:rPr>
                <w:rFonts w:cstheme="minorHAnsi"/>
                <w:szCs w:val="18"/>
                <w:lang w:eastAsia="hr-HR"/>
              </w:rPr>
            </w:pPr>
          </w:p>
        </w:tc>
        <w:tc>
          <w:tcPr>
            <w:tcW w:w="992" w:type="dxa"/>
            <w:tcBorders>
              <w:top w:val="single" w:sz="8" w:space="0" w:color="F3CFC1"/>
              <w:bottom w:val="single" w:sz="8" w:space="0" w:color="F3CFC1"/>
              <w:right w:val="single" w:sz="8" w:space="0" w:color="D2232A"/>
            </w:tcBorders>
            <w:shd w:val="clear" w:color="auto" w:fill="auto"/>
            <w:noWrap/>
            <w:vAlign w:val="center"/>
            <w:hideMark/>
          </w:tcPr>
          <w:p w14:paraId="456CBD63"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105</w:t>
            </w:r>
          </w:p>
        </w:tc>
      </w:tr>
      <w:tr w:rsidR="00A133EF" w:rsidRPr="00483E21" w14:paraId="43C3EF09" w14:textId="77777777" w:rsidTr="007F5268">
        <w:trPr>
          <w:trHeight w:val="308"/>
        </w:trPr>
        <w:tc>
          <w:tcPr>
            <w:tcW w:w="1569" w:type="dxa"/>
            <w:tcBorders>
              <w:top w:val="single" w:sz="8" w:space="0" w:color="F3CFC1"/>
              <w:bottom w:val="single" w:sz="8" w:space="0" w:color="F3CFC1"/>
            </w:tcBorders>
            <w:shd w:val="clear" w:color="auto" w:fill="C00000"/>
            <w:noWrap/>
            <w:vAlign w:val="center"/>
            <w:hideMark/>
          </w:tcPr>
          <w:p w14:paraId="5C713044" w14:textId="77777777" w:rsidR="00527173" w:rsidRPr="00A133EF" w:rsidRDefault="00527173" w:rsidP="00A133EF">
            <w:pPr>
              <w:spacing w:after="0"/>
              <w:rPr>
                <w:rFonts w:cstheme="minorHAnsi"/>
                <w:b/>
                <w:bCs/>
                <w:color w:val="FFFFFF"/>
                <w:sz w:val="16"/>
                <w:szCs w:val="18"/>
                <w:lang w:eastAsia="hr-HR"/>
              </w:rPr>
            </w:pPr>
            <w:r w:rsidRPr="00A133EF">
              <w:rPr>
                <w:rFonts w:cstheme="minorHAnsi"/>
                <w:b/>
                <w:bCs/>
                <w:color w:val="FFFFFF"/>
                <w:sz w:val="16"/>
                <w:szCs w:val="18"/>
                <w:lang w:eastAsia="hr-HR"/>
              </w:rPr>
              <w:t>PREGRADA</w:t>
            </w:r>
          </w:p>
        </w:tc>
        <w:tc>
          <w:tcPr>
            <w:tcW w:w="851" w:type="dxa"/>
            <w:tcBorders>
              <w:top w:val="single" w:sz="8" w:space="0" w:color="F3CFC1"/>
              <w:bottom w:val="single" w:sz="8" w:space="0" w:color="F3CFC1"/>
            </w:tcBorders>
            <w:shd w:val="clear" w:color="auto" w:fill="auto"/>
            <w:noWrap/>
            <w:vAlign w:val="center"/>
            <w:hideMark/>
          </w:tcPr>
          <w:p w14:paraId="7D558B53"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48</w:t>
            </w:r>
          </w:p>
        </w:tc>
        <w:tc>
          <w:tcPr>
            <w:tcW w:w="850" w:type="dxa"/>
            <w:tcBorders>
              <w:top w:val="single" w:sz="8" w:space="0" w:color="F3CFC1"/>
              <w:bottom w:val="single" w:sz="8" w:space="0" w:color="F3CFC1"/>
            </w:tcBorders>
            <w:shd w:val="clear" w:color="auto" w:fill="auto"/>
            <w:noWrap/>
            <w:vAlign w:val="center"/>
            <w:hideMark/>
          </w:tcPr>
          <w:p w14:paraId="55CEDB33"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23</w:t>
            </w:r>
          </w:p>
        </w:tc>
        <w:tc>
          <w:tcPr>
            <w:tcW w:w="851" w:type="dxa"/>
            <w:tcBorders>
              <w:top w:val="single" w:sz="8" w:space="0" w:color="F3CFC1"/>
              <w:bottom w:val="single" w:sz="8" w:space="0" w:color="F3CFC1"/>
            </w:tcBorders>
            <w:shd w:val="clear" w:color="auto" w:fill="auto"/>
            <w:noWrap/>
            <w:vAlign w:val="center"/>
            <w:hideMark/>
          </w:tcPr>
          <w:p w14:paraId="7BBC0AAA"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64</w:t>
            </w:r>
          </w:p>
        </w:tc>
        <w:tc>
          <w:tcPr>
            <w:tcW w:w="992" w:type="dxa"/>
            <w:tcBorders>
              <w:top w:val="single" w:sz="8" w:space="0" w:color="F3CFC1"/>
              <w:bottom w:val="single" w:sz="8" w:space="0" w:color="F3CFC1"/>
            </w:tcBorders>
            <w:shd w:val="clear" w:color="auto" w:fill="auto"/>
            <w:noWrap/>
            <w:vAlign w:val="center"/>
            <w:hideMark/>
          </w:tcPr>
          <w:p w14:paraId="77F22579"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19</w:t>
            </w:r>
          </w:p>
        </w:tc>
        <w:tc>
          <w:tcPr>
            <w:tcW w:w="1417" w:type="dxa"/>
            <w:tcBorders>
              <w:top w:val="single" w:sz="8" w:space="0" w:color="F3CFC1"/>
              <w:bottom w:val="single" w:sz="8" w:space="0" w:color="F3CFC1"/>
            </w:tcBorders>
            <w:shd w:val="clear" w:color="auto" w:fill="auto"/>
            <w:noWrap/>
            <w:vAlign w:val="center"/>
            <w:hideMark/>
          </w:tcPr>
          <w:p w14:paraId="1F948DC4"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23</w:t>
            </w:r>
          </w:p>
        </w:tc>
        <w:tc>
          <w:tcPr>
            <w:tcW w:w="709" w:type="dxa"/>
            <w:tcBorders>
              <w:top w:val="single" w:sz="8" w:space="0" w:color="F3CFC1"/>
              <w:bottom w:val="single" w:sz="8" w:space="0" w:color="F3CFC1"/>
            </w:tcBorders>
            <w:shd w:val="clear" w:color="auto" w:fill="auto"/>
            <w:noWrap/>
            <w:vAlign w:val="center"/>
            <w:hideMark/>
          </w:tcPr>
          <w:p w14:paraId="210F66F4"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w:t>
            </w:r>
          </w:p>
        </w:tc>
        <w:tc>
          <w:tcPr>
            <w:tcW w:w="1276" w:type="dxa"/>
            <w:tcBorders>
              <w:top w:val="single" w:sz="8" w:space="0" w:color="F3CFC1"/>
              <w:bottom w:val="single" w:sz="8" w:space="0" w:color="F3CFC1"/>
            </w:tcBorders>
            <w:shd w:val="clear" w:color="auto" w:fill="auto"/>
            <w:noWrap/>
            <w:vAlign w:val="center"/>
            <w:hideMark/>
          </w:tcPr>
          <w:p w14:paraId="66ED74CE"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58</w:t>
            </w:r>
          </w:p>
        </w:tc>
        <w:tc>
          <w:tcPr>
            <w:tcW w:w="850" w:type="dxa"/>
            <w:tcBorders>
              <w:top w:val="single" w:sz="8" w:space="0" w:color="F3CFC1"/>
              <w:bottom w:val="single" w:sz="8" w:space="0" w:color="F3CFC1"/>
            </w:tcBorders>
            <w:shd w:val="clear" w:color="auto" w:fill="auto"/>
            <w:noWrap/>
            <w:vAlign w:val="center"/>
            <w:hideMark/>
          </w:tcPr>
          <w:p w14:paraId="3EA6FEB1"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20</w:t>
            </w:r>
          </w:p>
        </w:tc>
        <w:tc>
          <w:tcPr>
            <w:tcW w:w="851" w:type="dxa"/>
            <w:tcBorders>
              <w:top w:val="single" w:sz="8" w:space="0" w:color="F3CFC1"/>
              <w:bottom w:val="single" w:sz="8" w:space="0" w:color="F3CFC1"/>
            </w:tcBorders>
            <w:shd w:val="clear" w:color="auto" w:fill="auto"/>
            <w:noWrap/>
            <w:vAlign w:val="center"/>
            <w:hideMark/>
          </w:tcPr>
          <w:p w14:paraId="2785AFCF" w14:textId="74DDB51E" w:rsidR="00527173" w:rsidRPr="00A133EF" w:rsidRDefault="00527173" w:rsidP="00A133EF">
            <w:pPr>
              <w:spacing w:after="0"/>
              <w:jc w:val="right"/>
              <w:rPr>
                <w:rFonts w:cstheme="minorHAnsi"/>
                <w:szCs w:val="18"/>
                <w:lang w:eastAsia="hr-HR"/>
              </w:rPr>
            </w:pPr>
          </w:p>
        </w:tc>
        <w:tc>
          <w:tcPr>
            <w:tcW w:w="992" w:type="dxa"/>
            <w:tcBorders>
              <w:top w:val="single" w:sz="8" w:space="0" w:color="F3CFC1"/>
              <w:bottom w:val="single" w:sz="8" w:space="0" w:color="F3CFC1"/>
              <w:right w:val="single" w:sz="8" w:space="0" w:color="D2232A"/>
            </w:tcBorders>
            <w:shd w:val="clear" w:color="auto" w:fill="auto"/>
            <w:noWrap/>
            <w:vAlign w:val="center"/>
            <w:hideMark/>
          </w:tcPr>
          <w:p w14:paraId="4EB65411"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257</w:t>
            </w:r>
          </w:p>
        </w:tc>
      </w:tr>
      <w:tr w:rsidR="00A133EF" w:rsidRPr="00483E21" w14:paraId="74ED43A8" w14:textId="77777777" w:rsidTr="007F5268">
        <w:trPr>
          <w:trHeight w:val="308"/>
        </w:trPr>
        <w:tc>
          <w:tcPr>
            <w:tcW w:w="1569" w:type="dxa"/>
            <w:tcBorders>
              <w:top w:val="single" w:sz="8" w:space="0" w:color="F3CFC1"/>
              <w:bottom w:val="single" w:sz="8" w:space="0" w:color="F3CFC1"/>
            </w:tcBorders>
            <w:shd w:val="clear" w:color="auto" w:fill="C00000"/>
            <w:noWrap/>
            <w:vAlign w:val="center"/>
            <w:hideMark/>
          </w:tcPr>
          <w:p w14:paraId="4EB60476" w14:textId="77777777" w:rsidR="00527173" w:rsidRPr="00A133EF" w:rsidRDefault="00527173" w:rsidP="00A133EF">
            <w:pPr>
              <w:spacing w:after="0"/>
              <w:rPr>
                <w:rFonts w:cstheme="minorHAnsi"/>
                <w:b/>
                <w:bCs/>
                <w:color w:val="FFFFFF"/>
                <w:sz w:val="16"/>
                <w:szCs w:val="18"/>
                <w:lang w:eastAsia="hr-HR"/>
              </w:rPr>
            </w:pPr>
            <w:r w:rsidRPr="00A133EF">
              <w:rPr>
                <w:rFonts w:cstheme="minorHAnsi"/>
                <w:b/>
                <w:bCs/>
                <w:color w:val="FFFFFF"/>
                <w:sz w:val="16"/>
                <w:szCs w:val="18"/>
                <w:lang w:eastAsia="hr-HR"/>
              </w:rPr>
              <w:t>S.K.ZAČRETJE</w:t>
            </w:r>
          </w:p>
        </w:tc>
        <w:tc>
          <w:tcPr>
            <w:tcW w:w="851" w:type="dxa"/>
            <w:tcBorders>
              <w:top w:val="single" w:sz="8" w:space="0" w:color="F3CFC1"/>
              <w:bottom w:val="single" w:sz="8" w:space="0" w:color="F3CFC1"/>
            </w:tcBorders>
            <w:shd w:val="clear" w:color="auto" w:fill="auto"/>
            <w:noWrap/>
            <w:vAlign w:val="center"/>
            <w:hideMark/>
          </w:tcPr>
          <w:p w14:paraId="37D5F4B1"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47</w:t>
            </w:r>
          </w:p>
        </w:tc>
        <w:tc>
          <w:tcPr>
            <w:tcW w:w="850" w:type="dxa"/>
            <w:tcBorders>
              <w:top w:val="single" w:sz="8" w:space="0" w:color="F3CFC1"/>
              <w:bottom w:val="single" w:sz="8" w:space="0" w:color="F3CFC1"/>
            </w:tcBorders>
            <w:shd w:val="clear" w:color="auto" w:fill="auto"/>
            <w:noWrap/>
            <w:vAlign w:val="center"/>
            <w:hideMark/>
          </w:tcPr>
          <w:p w14:paraId="2618EB44"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15</w:t>
            </w:r>
          </w:p>
        </w:tc>
        <w:tc>
          <w:tcPr>
            <w:tcW w:w="851" w:type="dxa"/>
            <w:tcBorders>
              <w:top w:val="single" w:sz="8" w:space="0" w:color="F3CFC1"/>
              <w:bottom w:val="single" w:sz="8" w:space="0" w:color="F3CFC1"/>
            </w:tcBorders>
            <w:shd w:val="clear" w:color="auto" w:fill="auto"/>
            <w:noWrap/>
            <w:vAlign w:val="center"/>
            <w:hideMark/>
          </w:tcPr>
          <w:p w14:paraId="250655B0"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6</w:t>
            </w:r>
          </w:p>
        </w:tc>
        <w:tc>
          <w:tcPr>
            <w:tcW w:w="992" w:type="dxa"/>
            <w:tcBorders>
              <w:top w:val="single" w:sz="8" w:space="0" w:color="F3CFC1"/>
              <w:bottom w:val="single" w:sz="8" w:space="0" w:color="F3CFC1"/>
            </w:tcBorders>
            <w:shd w:val="clear" w:color="auto" w:fill="auto"/>
            <w:noWrap/>
            <w:vAlign w:val="center"/>
            <w:hideMark/>
          </w:tcPr>
          <w:p w14:paraId="7F120D70"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7</w:t>
            </w:r>
          </w:p>
        </w:tc>
        <w:tc>
          <w:tcPr>
            <w:tcW w:w="1417" w:type="dxa"/>
            <w:tcBorders>
              <w:top w:val="single" w:sz="8" w:space="0" w:color="F3CFC1"/>
              <w:bottom w:val="single" w:sz="8" w:space="0" w:color="F3CFC1"/>
            </w:tcBorders>
            <w:shd w:val="clear" w:color="auto" w:fill="auto"/>
            <w:noWrap/>
            <w:vAlign w:val="center"/>
            <w:hideMark/>
          </w:tcPr>
          <w:p w14:paraId="729A6CFB"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11</w:t>
            </w:r>
          </w:p>
        </w:tc>
        <w:tc>
          <w:tcPr>
            <w:tcW w:w="709" w:type="dxa"/>
            <w:tcBorders>
              <w:top w:val="single" w:sz="8" w:space="0" w:color="F3CFC1"/>
              <w:bottom w:val="single" w:sz="8" w:space="0" w:color="F3CFC1"/>
            </w:tcBorders>
            <w:shd w:val="clear" w:color="auto" w:fill="auto"/>
            <w:noWrap/>
            <w:vAlign w:val="center"/>
            <w:hideMark/>
          </w:tcPr>
          <w:p w14:paraId="2953DD95"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w:t>
            </w:r>
          </w:p>
        </w:tc>
        <w:tc>
          <w:tcPr>
            <w:tcW w:w="1276" w:type="dxa"/>
            <w:tcBorders>
              <w:top w:val="single" w:sz="8" w:space="0" w:color="F3CFC1"/>
              <w:bottom w:val="single" w:sz="8" w:space="0" w:color="F3CFC1"/>
            </w:tcBorders>
            <w:shd w:val="clear" w:color="auto" w:fill="auto"/>
            <w:noWrap/>
            <w:vAlign w:val="center"/>
            <w:hideMark/>
          </w:tcPr>
          <w:p w14:paraId="11687579"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10</w:t>
            </w:r>
          </w:p>
        </w:tc>
        <w:tc>
          <w:tcPr>
            <w:tcW w:w="850" w:type="dxa"/>
            <w:tcBorders>
              <w:top w:val="single" w:sz="8" w:space="0" w:color="F3CFC1"/>
              <w:bottom w:val="single" w:sz="8" w:space="0" w:color="F3CFC1"/>
            </w:tcBorders>
            <w:shd w:val="clear" w:color="auto" w:fill="auto"/>
            <w:noWrap/>
            <w:vAlign w:val="center"/>
            <w:hideMark/>
          </w:tcPr>
          <w:p w14:paraId="6F6F5C59"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6</w:t>
            </w:r>
          </w:p>
        </w:tc>
        <w:tc>
          <w:tcPr>
            <w:tcW w:w="851" w:type="dxa"/>
            <w:tcBorders>
              <w:top w:val="single" w:sz="8" w:space="0" w:color="F3CFC1"/>
              <w:bottom w:val="single" w:sz="8" w:space="0" w:color="F3CFC1"/>
            </w:tcBorders>
            <w:shd w:val="clear" w:color="auto" w:fill="auto"/>
            <w:noWrap/>
            <w:vAlign w:val="center"/>
            <w:hideMark/>
          </w:tcPr>
          <w:p w14:paraId="1E36C7C8"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w:t>
            </w:r>
          </w:p>
        </w:tc>
        <w:tc>
          <w:tcPr>
            <w:tcW w:w="992" w:type="dxa"/>
            <w:tcBorders>
              <w:top w:val="single" w:sz="8" w:space="0" w:color="F3CFC1"/>
              <w:bottom w:val="single" w:sz="8" w:space="0" w:color="F3CFC1"/>
              <w:right w:val="single" w:sz="8" w:space="0" w:color="D2232A"/>
            </w:tcBorders>
            <w:shd w:val="clear" w:color="auto" w:fill="auto"/>
            <w:noWrap/>
            <w:vAlign w:val="center"/>
            <w:hideMark/>
          </w:tcPr>
          <w:p w14:paraId="369B0A77"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106</w:t>
            </w:r>
          </w:p>
        </w:tc>
      </w:tr>
      <w:tr w:rsidR="00A133EF" w:rsidRPr="00483E21" w14:paraId="62748E35" w14:textId="77777777" w:rsidTr="007F5268">
        <w:trPr>
          <w:trHeight w:val="308"/>
        </w:trPr>
        <w:tc>
          <w:tcPr>
            <w:tcW w:w="1569" w:type="dxa"/>
            <w:tcBorders>
              <w:top w:val="single" w:sz="8" w:space="0" w:color="F3CFC1"/>
              <w:bottom w:val="single" w:sz="8" w:space="0" w:color="F3CFC1"/>
            </w:tcBorders>
            <w:shd w:val="clear" w:color="auto" w:fill="C00000"/>
            <w:noWrap/>
            <w:vAlign w:val="center"/>
            <w:hideMark/>
          </w:tcPr>
          <w:p w14:paraId="4D49685C" w14:textId="77777777" w:rsidR="00527173" w:rsidRPr="00A133EF" w:rsidRDefault="00527173" w:rsidP="00A133EF">
            <w:pPr>
              <w:spacing w:after="0"/>
              <w:rPr>
                <w:rFonts w:cstheme="minorHAnsi"/>
                <w:b/>
                <w:bCs/>
                <w:color w:val="FFFFFF"/>
                <w:sz w:val="16"/>
                <w:szCs w:val="18"/>
                <w:lang w:eastAsia="hr-HR"/>
              </w:rPr>
            </w:pPr>
            <w:r w:rsidRPr="00A133EF">
              <w:rPr>
                <w:rFonts w:cstheme="minorHAnsi"/>
                <w:b/>
                <w:bCs/>
                <w:color w:val="FFFFFF"/>
                <w:sz w:val="16"/>
                <w:szCs w:val="18"/>
                <w:lang w:eastAsia="hr-HR"/>
              </w:rPr>
              <w:t>ZABOK</w:t>
            </w:r>
          </w:p>
        </w:tc>
        <w:tc>
          <w:tcPr>
            <w:tcW w:w="851" w:type="dxa"/>
            <w:tcBorders>
              <w:top w:val="single" w:sz="8" w:space="0" w:color="F3CFC1"/>
              <w:bottom w:val="single" w:sz="8" w:space="0" w:color="F3CFC1"/>
            </w:tcBorders>
            <w:shd w:val="clear" w:color="auto" w:fill="auto"/>
            <w:noWrap/>
            <w:vAlign w:val="center"/>
            <w:hideMark/>
          </w:tcPr>
          <w:p w14:paraId="143573A8"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133</w:t>
            </w:r>
          </w:p>
        </w:tc>
        <w:tc>
          <w:tcPr>
            <w:tcW w:w="850" w:type="dxa"/>
            <w:tcBorders>
              <w:top w:val="single" w:sz="8" w:space="0" w:color="F3CFC1"/>
              <w:bottom w:val="single" w:sz="8" w:space="0" w:color="F3CFC1"/>
            </w:tcBorders>
            <w:shd w:val="clear" w:color="auto" w:fill="auto"/>
            <w:noWrap/>
            <w:vAlign w:val="center"/>
            <w:hideMark/>
          </w:tcPr>
          <w:p w14:paraId="61A2AC87"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40</w:t>
            </w:r>
          </w:p>
        </w:tc>
        <w:tc>
          <w:tcPr>
            <w:tcW w:w="851" w:type="dxa"/>
            <w:tcBorders>
              <w:top w:val="single" w:sz="8" w:space="0" w:color="F3CFC1"/>
              <w:bottom w:val="single" w:sz="8" w:space="0" w:color="F3CFC1"/>
            </w:tcBorders>
            <w:shd w:val="clear" w:color="auto" w:fill="auto"/>
            <w:noWrap/>
            <w:vAlign w:val="center"/>
            <w:hideMark/>
          </w:tcPr>
          <w:p w14:paraId="38C18F3C"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13</w:t>
            </w:r>
          </w:p>
        </w:tc>
        <w:tc>
          <w:tcPr>
            <w:tcW w:w="992" w:type="dxa"/>
            <w:tcBorders>
              <w:top w:val="single" w:sz="8" w:space="0" w:color="F3CFC1"/>
              <w:bottom w:val="single" w:sz="8" w:space="0" w:color="F3CFC1"/>
            </w:tcBorders>
            <w:shd w:val="clear" w:color="auto" w:fill="auto"/>
            <w:noWrap/>
            <w:vAlign w:val="center"/>
            <w:hideMark/>
          </w:tcPr>
          <w:p w14:paraId="74A0C29E"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33</w:t>
            </w:r>
          </w:p>
        </w:tc>
        <w:tc>
          <w:tcPr>
            <w:tcW w:w="1417" w:type="dxa"/>
            <w:tcBorders>
              <w:top w:val="single" w:sz="8" w:space="0" w:color="F3CFC1"/>
              <w:bottom w:val="single" w:sz="8" w:space="0" w:color="F3CFC1"/>
            </w:tcBorders>
            <w:shd w:val="clear" w:color="auto" w:fill="auto"/>
            <w:noWrap/>
            <w:vAlign w:val="center"/>
            <w:hideMark/>
          </w:tcPr>
          <w:p w14:paraId="56570EB9"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33</w:t>
            </w:r>
          </w:p>
        </w:tc>
        <w:tc>
          <w:tcPr>
            <w:tcW w:w="709" w:type="dxa"/>
            <w:tcBorders>
              <w:top w:val="single" w:sz="8" w:space="0" w:color="F3CFC1"/>
              <w:bottom w:val="single" w:sz="8" w:space="0" w:color="F3CFC1"/>
            </w:tcBorders>
            <w:shd w:val="clear" w:color="auto" w:fill="auto"/>
            <w:noWrap/>
            <w:vAlign w:val="center"/>
            <w:hideMark/>
          </w:tcPr>
          <w:p w14:paraId="64DCBBA0"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w:t>
            </w:r>
          </w:p>
        </w:tc>
        <w:tc>
          <w:tcPr>
            <w:tcW w:w="1276" w:type="dxa"/>
            <w:tcBorders>
              <w:top w:val="single" w:sz="8" w:space="0" w:color="F3CFC1"/>
              <w:bottom w:val="single" w:sz="8" w:space="0" w:color="F3CFC1"/>
            </w:tcBorders>
            <w:shd w:val="clear" w:color="auto" w:fill="auto"/>
            <w:noWrap/>
            <w:vAlign w:val="center"/>
            <w:hideMark/>
          </w:tcPr>
          <w:p w14:paraId="0316E2F6"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42</w:t>
            </w:r>
          </w:p>
        </w:tc>
        <w:tc>
          <w:tcPr>
            <w:tcW w:w="850" w:type="dxa"/>
            <w:tcBorders>
              <w:top w:val="single" w:sz="8" w:space="0" w:color="F3CFC1"/>
              <w:bottom w:val="single" w:sz="8" w:space="0" w:color="F3CFC1"/>
            </w:tcBorders>
            <w:shd w:val="clear" w:color="auto" w:fill="auto"/>
            <w:noWrap/>
            <w:vAlign w:val="center"/>
            <w:hideMark/>
          </w:tcPr>
          <w:p w14:paraId="200DB82F"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18</w:t>
            </w:r>
          </w:p>
        </w:tc>
        <w:tc>
          <w:tcPr>
            <w:tcW w:w="851" w:type="dxa"/>
            <w:tcBorders>
              <w:top w:val="single" w:sz="8" w:space="0" w:color="F3CFC1"/>
              <w:bottom w:val="single" w:sz="8" w:space="0" w:color="F3CFC1"/>
            </w:tcBorders>
            <w:shd w:val="clear" w:color="auto" w:fill="auto"/>
            <w:noWrap/>
            <w:vAlign w:val="center"/>
            <w:hideMark/>
          </w:tcPr>
          <w:p w14:paraId="495F9B1F"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15</w:t>
            </w:r>
          </w:p>
        </w:tc>
        <w:tc>
          <w:tcPr>
            <w:tcW w:w="992" w:type="dxa"/>
            <w:tcBorders>
              <w:top w:val="single" w:sz="8" w:space="0" w:color="F3CFC1"/>
              <w:bottom w:val="single" w:sz="8" w:space="0" w:color="F3CFC1"/>
              <w:right w:val="single" w:sz="8" w:space="0" w:color="D2232A"/>
            </w:tcBorders>
            <w:shd w:val="clear" w:color="auto" w:fill="auto"/>
            <w:noWrap/>
            <w:vAlign w:val="center"/>
            <w:hideMark/>
          </w:tcPr>
          <w:p w14:paraId="73CEE001"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328</w:t>
            </w:r>
          </w:p>
        </w:tc>
      </w:tr>
      <w:tr w:rsidR="00A133EF" w:rsidRPr="00483E21" w14:paraId="49849183" w14:textId="77777777" w:rsidTr="007F5268">
        <w:trPr>
          <w:trHeight w:val="308"/>
        </w:trPr>
        <w:tc>
          <w:tcPr>
            <w:tcW w:w="1569" w:type="dxa"/>
            <w:tcBorders>
              <w:top w:val="single" w:sz="8" w:space="0" w:color="F3CFC1"/>
              <w:bottom w:val="single" w:sz="8" w:space="0" w:color="F3CFC1"/>
            </w:tcBorders>
            <w:shd w:val="clear" w:color="auto" w:fill="C00000"/>
            <w:noWrap/>
            <w:vAlign w:val="center"/>
            <w:hideMark/>
          </w:tcPr>
          <w:p w14:paraId="2C806D3C" w14:textId="77777777" w:rsidR="00527173" w:rsidRPr="00A133EF" w:rsidRDefault="00527173" w:rsidP="00A133EF">
            <w:pPr>
              <w:spacing w:after="0"/>
              <w:rPr>
                <w:rFonts w:cstheme="minorHAnsi"/>
                <w:b/>
                <w:bCs/>
                <w:color w:val="FFFFFF"/>
                <w:sz w:val="16"/>
                <w:szCs w:val="18"/>
                <w:lang w:eastAsia="hr-HR"/>
              </w:rPr>
            </w:pPr>
            <w:r w:rsidRPr="00A133EF">
              <w:rPr>
                <w:rFonts w:cstheme="minorHAnsi"/>
                <w:b/>
                <w:bCs/>
                <w:color w:val="FFFFFF"/>
                <w:sz w:val="16"/>
                <w:szCs w:val="18"/>
                <w:lang w:eastAsia="hr-HR"/>
              </w:rPr>
              <w:t>ZLATAR</w:t>
            </w:r>
          </w:p>
        </w:tc>
        <w:tc>
          <w:tcPr>
            <w:tcW w:w="851" w:type="dxa"/>
            <w:tcBorders>
              <w:top w:val="single" w:sz="8" w:space="0" w:color="F3CFC1"/>
              <w:bottom w:val="single" w:sz="8" w:space="0" w:color="F3CFC1"/>
            </w:tcBorders>
            <w:shd w:val="clear" w:color="auto" w:fill="auto"/>
            <w:noWrap/>
            <w:vAlign w:val="center"/>
            <w:hideMark/>
          </w:tcPr>
          <w:p w14:paraId="55EB5270"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80</w:t>
            </w:r>
          </w:p>
        </w:tc>
        <w:tc>
          <w:tcPr>
            <w:tcW w:w="850" w:type="dxa"/>
            <w:tcBorders>
              <w:top w:val="single" w:sz="8" w:space="0" w:color="F3CFC1"/>
              <w:bottom w:val="single" w:sz="8" w:space="0" w:color="F3CFC1"/>
            </w:tcBorders>
            <w:shd w:val="clear" w:color="auto" w:fill="auto"/>
            <w:noWrap/>
            <w:vAlign w:val="center"/>
            <w:hideMark/>
          </w:tcPr>
          <w:p w14:paraId="3FC68301"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90</w:t>
            </w:r>
          </w:p>
        </w:tc>
        <w:tc>
          <w:tcPr>
            <w:tcW w:w="851" w:type="dxa"/>
            <w:tcBorders>
              <w:top w:val="single" w:sz="8" w:space="0" w:color="F3CFC1"/>
              <w:bottom w:val="single" w:sz="8" w:space="0" w:color="F3CFC1"/>
            </w:tcBorders>
            <w:shd w:val="clear" w:color="auto" w:fill="auto"/>
            <w:noWrap/>
            <w:vAlign w:val="center"/>
            <w:hideMark/>
          </w:tcPr>
          <w:p w14:paraId="3D9CA1EB"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43</w:t>
            </w:r>
          </w:p>
        </w:tc>
        <w:tc>
          <w:tcPr>
            <w:tcW w:w="992" w:type="dxa"/>
            <w:tcBorders>
              <w:top w:val="single" w:sz="8" w:space="0" w:color="F3CFC1"/>
              <w:bottom w:val="single" w:sz="8" w:space="0" w:color="F3CFC1"/>
            </w:tcBorders>
            <w:shd w:val="clear" w:color="auto" w:fill="auto"/>
            <w:noWrap/>
            <w:vAlign w:val="center"/>
            <w:hideMark/>
          </w:tcPr>
          <w:p w14:paraId="3CFC8512"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35</w:t>
            </w:r>
          </w:p>
        </w:tc>
        <w:tc>
          <w:tcPr>
            <w:tcW w:w="1417" w:type="dxa"/>
            <w:tcBorders>
              <w:top w:val="single" w:sz="8" w:space="0" w:color="F3CFC1"/>
              <w:bottom w:val="single" w:sz="8" w:space="0" w:color="F3CFC1"/>
            </w:tcBorders>
            <w:shd w:val="clear" w:color="auto" w:fill="auto"/>
            <w:noWrap/>
            <w:vAlign w:val="center"/>
            <w:hideMark/>
          </w:tcPr>
          <w:p w14:paraId="3E89CF11"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53</w:t>
            </w:r>
          </w:p>
        </w:tc>
        <w:tc>
          <w:tcPr>
            <w:tcW w:w="709" w:type="dxa"/>
            <w:tcBorders>
              <w:top w:val="single" w:sz="8" w:space="0" w:color="F3CFC1"/>
              <w:bottom w:val="single" w:sz="8" w:space="0" w:color="F3CFC1"/>
            </w:tcBorders>
            <w:shd w:val="clear" w:color="auto" w:fill="auto"/>
            <w:noWrap/>
            <w:vAlign w:val="center"/>
            <w:hideMark/>
          </w:tcPr>
          <w:p w14:paraId="47D99C9C"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12</w:t>
            </w:r>
          </w:p>
        </w:tc>
        <w:tc>
          <w:tcPr>
            <w:tcW w:w="1276" w:type="dxa"/>
            <w:tcBorders>
              <w:top w:val="single" w:sz="8" w:space="0" w:color="F3CFC1"/>
              <w:bottom w:val="single" w:sz="8" w:space="0" w:color="F3CFC1"/>
            </w:tcBorders>
            <w:shd w:val="clear" w:color="auto" w:fill="auto"/>
            <w:noWrap/>
            <w:vAlign w:val="center"/>
            <w:hideMark/>
          </w:tcPr>
          <w:p w14:paraId="0259F9EC"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22</w:t>
            </w:r>
          </w:p>
        </w:tc>
        <w:tc>
          <w:tcPr>
            <w:tcW w:w="850" w:type="dxa"/>
            <w:tcBorders>
              <w:top w:val="single" w:sz="8" w:space="0" w:color="F3CFC1"/>
              <w:bottom w:val="single" w:sz="8" w:space="0" w:color="F3CFC1"/>
            </w:tcBorders>
            <w:shd w:val="clear" w:color="auto" w:fill="auto"/>
            <w:noWrap/>
            <w:vAlign w:val="center"/>
            <w:hideMark/>
          </w:tcPr>
          <w:p w14:paraId="50D57FC4"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25</w:t>
            </w:r>
          </w:p>
        </w:tc>
        <w:tc>
          <w:tcPr>
            <w:tcW w:w="851" w:type="dxa"/>
            <w:tcBorders>
              <w:top w:val="single" w:sz="8" w:space="0" w:color="F3CFC1"/>
              <w:bottom w:val="single" w:sz="8" w:space="0" w:color="F3CFC1"/>
            </w:tcBorders>
            <w:shd w:val="clear" w:color="auto" w:fill="auto"/>
            <w:noWrap/>
            <w:vAlign w:val="center"/>
            <w:hideMark/>
          </w:tcPr>
          <w:p w14:paraId="2993626A"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6</w:t>
            </w:r>
          </w:p>
        </w:tc>
        <w:tc>
          <w:tcPr>
            <w:tcW w:w="992" w:type="dxa"/>
            <w:tcBorders>
              <w:top w:val="single" w:sz="8" w:space="0" w:color="F3CFC1"/>
              <w:bottom w:val="single" w:sz="8" w:space="0" w:color="F3CFC1"/>
              <w:right w:val="single" w:sz="8" w:space="0" w:color="D2232A"/>
            </w:tcBorders>
            <w:shd w:val="clear" w:color="auto" w:fill="auto"/>
            <w:noWrap/>
            <w:vAlign w:val="center"/>
            <w:hideMark/>
          </w:tcPr>
          <w:p w14:paraId="16334FAE"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366</w:t>
            </w:r>
          </w:p>
        </w:tc>
      </w:tr>
      <w:tr w:rsidR="00A133EF" w:rsidRPr="00483E21" w14:paraId="1F7143E1" w14:textId="77777777" w:rsidTr="007F5268">
        <w:trPr>
          <w:trHeight w:val="308"/>
        </w:trPr>
        <w:tc>
          <w:tcPr>
            <w:tcW w:w="1569" w:type="dxa"/>
            <w:tcBorders>
              <w:top w:val="single" w:sz="8" w:space="0" w:color="F3CFC1"/>
            </w:tcBorders>
            <w:shd w:val="clear" w:color="auto" w:fill="C00000"/>
            <w:noWrap/>
            <w:vAlign w:val="center"/>
            <w:hideMark/>
          </w:tcPr>
          <w:p w14:paraId="7DCF3D7B" w14:textId="77777777" w:rsidR="00527173" w:rsidRPr="00483E21" w:rsidRDefault="00527173" w:rsidP="00A133EF">
            <w:pPr>
              <w:spacing w:after="0"/>
              <w:rPr>
                <w:rFonts w:cstheme="minorHAnsi"/>
                <w:b/>
                <w:bCs/>
                <w:color w:val="FFFFFF"/>
                <w:szCs w:val="18"/>
                <w:lang w:eastAsia="hr-HR"/>
              </w:rPr>
            </w:pPr>
            <w:r w:rsidRPr="00483E21">
              <w:rPr>
                <w:rFonts w:cstheme="minorHAnsi"/>
                <w:b/>
                <w:bCs/>
                <w:color w:val="FFFFFF"/>
                <w:szCs w:val="18"/>
                <w:lang w:eastAsia="hr-HR"/>
              </w:rPr>
              <w:t>UKUPNO</w:t>
            </w:r>
          </w:p>
        </w:tc>
        <w:tc>
          <w:tcPr>
            <w:tcW w:w="851" w:type="dxa"/>
            <w:tcBorders>
              <w:top w:val="single" w:sz="8" w:space="0" w:color="F3CFC1"/>
            </w:tcBorders>
            <w:shd w:val="clear" w:color="auto" w:fill="auto"/>
            <w:noWrap/>
            <w:vAlign w:val="center"/>
            <w:hideMark/>
          </w:tcPr>
          <w:p w14:paraId="1276914C"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744</w:t>
            </w:r>
          </w:p>
        </w:tc>
        <w:tc>
          <w:tcPr>
            <w:tcW w:w="850" w:type="dxa"/>
            <w:tcBorders>
              <w:top w:val="single" w:sz="8" w:space="0" w:color="F3CFC1"/>
            </w:tcBorders>
            <w:shd w:val="clear" w:color="auto" w:fill="auto"/>
            <w:noWrap/>
            <w:vAlign w:val="center"/>
            <w:hideMark/>
          </w:tcPr>
          <w:p w14:paraId="69B0BC97"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387</w:t>
            </w:r>
          </w:p>
        </w:tc>
        <w:tc>
          <w:tcPr>
            <w:tcW w:w="851" w:type="dxa"/>
            <w:tcBorders>
              <w:top w:val="single" w:sz="8" w:space="0" w:color="F3CFC1"/>
            </w:tcBorders>
            <w:shd w:val="clear" w:color="auto" w:fill="auto"/>
            <w:noWrap/>
            <w:vAlign w:val="center"/>
            <w:hideMark/>
          </w:tcPr>
          <w:p w14:paraId="3C3FDE99"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229</w:t>
            </w:r>
          </w:p>
        </w:tc>
        <w:tc>
          <w:tcPr>
            <w:tcW w:w="992" w:type="dxa"/>
            <w:tcBorders>
              <w:top w:val="single" w:sz="8" w:space="0" w:color="F3CFC1"/>
            </w:tcBorders>
            <w:shd w:val="clear" w:color="auto" w:fill="auto"/>
            <w:noWrap/>
            <w:vAlign w:val="center"/>
            <w:hideMark/>
          </w:tcPr>
          <w:p w14:paraId="794B6314"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248</w:t>
            </w:r>
          </w:p>
        </w:tc>
        <w:tc>
          <w:tcPr>
            <w:tcW w:w="1417" w:type="dxa"/>
            <w:tcBorders>
              <w:top w:val="single" w:sz="8" w:space="0" w:color="F3CFC1"/>
            </w:tcBorders>
            <w:shd w:val="clear" w:color="auto" w:fill="auto"/>
            <w:noWrap/>
            <w:vAlign w:val="center"/>
            <w:hideMark/>
          </w:tcPr>
          <w:p w14:paraId="5C24EBC0"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255</w:t>
            </w:r>
          </w:p>
        </w:tc>
        <w:tc>
          <w:tcPr>
            <w:tcW w:w="709" w:type="dxa"/>
            <w:tcBorders>
              <w:top w:val="single" w:sz="8" w:space="0" w:color="F3CFC1"/>
            </w:tcBorders>
            <w:shd w:val="clear" w:color="auto" w:fill="auto"/>
            <w:noWrap/>
            <w:vAlign w:val="center"/>
            <w:hideMark/>
          </w:tcPr>
          <w:p w14:paraId="0F751DC3"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46</w:t>
            </w:r>
          </w:p>
        </w:tc>
        <w:tc>
          <w:tcPr>
            <w:tcW w:w="1276" w:type="dxa"/>
            <w:tcBorders>
              <w:top w:val="single" w:sz="8" w:space="0" w:color="F3CFC1"/>
            </w:tcBorders>
            <w:shd w:val="clear" w:color="auto" w:fill="auto"/>
            <w:noWrap/>
            <w:vAlign w:val="center"/>
            <w:hideMark/>
          </w:tcPr>
          <w:p w14:paraId="1B0382BB"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317</w:t>
            </w:r>
          </w:p>
        </w:tc>
        <w:tc>
          <w:tcPr>
            <w:tcW w:w="850" w:type="dxa"/>
            <w:tcBorders>
              <w:top w:val="single" w:sz="8" w:space="0" w:color="F3CFC1"/>
            </w:tcBorders>
            <w:shd w:val="clear" w:color="auto" w:fill="auto"/>
            <w:noWrap/>
            <w:vAlign w:val="center"/>
            <w:hideMark/>
          </w:tcPr>
          <w:p w14:paraId="70BAFEF2"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166</w:t>
            </w:r>
          </w:p>
        </w:tc>
        <w:tc>
          <w:tcPr>
            <w:tcW w:w="851" w:type="dxa"/>
            <w:tcBorders>
              <w:top w:val="single" w:sz="8" w:space="0" w:color="F3CFC1"/>
            </w:tcBorders>
            <w:shd w:val="clear" w:color="auto" w:fill="auto"/>
            <w:noWrap/>
            <w:vAlign w:val="center"/>
            <w:hideMark/>
          </w:tcPr>
          <w:p w14:paraId="50D380E6" w14:textId="77777777" w:rsidR="00527173" w:rsidRPr="00A133EF" w:rsidRDefault="00527173" w:rsidP="00A133EF">
            <w:pPr>
              <w:spacing w:after="0"/>
              <w:jc w:val="right"/>
              <w:rPr>
                <w:rFonts w:cstheme="minorHAnsi"/>
                <w:szCs w:val="18"/>
                <w:lang w:eastAsia="hr-HR"/>
              </w:rPr>
            </w:pPr>
            <w:r w:rsidRPr="00A133EF">
              <w:rPr>
                <w:rFonts w:cstheme="minorHAnsi"/>
                <w:szCs w:val="18"/>
                <w:lang w:eastAsia="hr-HR"/>
              </w:rPr>
              <w:t>51</w:t>
            </w:r>
          </w:p>
        </w:tc>
        <w:tc>
          <w:tcPr>
            <w:tcW w:w="992" w:type="dxa"/>
            <w:tcBorders>
              <w:top w:val="single" w:sz="8" w:space="0" w:color="F3CFC1"/>
              <w:right w:val="single" w:sz="8" w:space="0" w:color="D2232A"/>
            </w:tcBorders>
            <w:shd w:val="clear" w:color="auto" w:fill="auto"/>
            <w:noWrap/>
            <w:vAlign w:val="center"/>
            <w:hideMark/>
          </w:tcPr>
          <w:p w14:paraId="5D04E27A" w14:textId="77777777" w:rsidR="00527173" w:rsidRPr="00A133EF" w:rsidRDefault="00527173" w:rsidP="00A133EF">
            <w:pPr>
              <w:spacing w:after="0"/>
              <w:jc w:val="right"/>
              <w:rPr>
                <w:rFonts w:cstheme="minorHAnsi"/>
                <w:b/>
                <w:bCs/>
                <w:szCs w:val="18"/>
                <w:lang w:eastAsia="hr-HR"/>
              </w:rPr>
            </w:pPr>
            <w:r w:rsidRPr="00A133EF">
              <w:rPr>
                <w:rFonts w:cstheme="minorHAnsi"/>
                <w:b/>
                <w:bCs/>
                <w:szCs w:val="18"/>
                <w:lang w:eastAsia="hr-HR"/>
              </w:rPr>
              <w:t>2.443</w:t>
            </w:r>
          </w:p>
        </w:tc>
      </w:tr>
      <w:tr w:rsidR="00A133EF" w:rsidRPr="00483E21" w14:paraId="00FF790B" w14:textId="77777777" w:rsidTr="007F5268">
        <w:trPr>
          <w:trHeight w:val="462"/>
        </w:trPr>
        <w:tc>
          <w:tcPr>
            <w:tcW w:w="1569" w:type="dxa"/>
            <w:vMerge w:val="restart"/>
            <w:shd w:val="clear" w:color="auto" w:fill="E5E5E5" w:themeFill="text1" w:themeFillTint="33"/>
            <w:vAlign w:val="center"/>
            <w:hideMark/>
          </w:tcPr>
          <w:p w14:paraId="5745D53F" w14:textId="77777777" w:rsidR="00527173" w:rsidRPr="00A133EF" w:rsidRDefault="00527173" w:rsidP="00A133EF">
            <w:pPr>
              <w:spacing w:after="0"/>
              <w:rPr>
                <w:rFonts w:cstheme="minorHAnsi"/>
                <w:b/>
                <w:bCs/>
                <w:szCs w:val="18"/>
                <w:lang w:eastAsia="hr-HR"/>
              </w:rPr>
            </w:pPr>
            <w:r w:rsidRPr="00A133EF">
              <w:rPr>
                <w:rFonts w:cstheme="minorHAnsi"/>
                <w:b/>
                <w:bCs/>
                <w:szCs w:val="18"/>
                <w:shd w:val="clear" w:color="auto" w:fill="E5E5E5" w:themeFill="text1" w:themeFillTint="33"/>
                <w:lang w:eastAsia="hr-HR"/>
              </w:rPr>
              <w:t>RAZLIKA    31.12.2017</w:t>
            </w:r>
            <w:r w:rsidRPr="00A133EF">
              <w:rPr>
                <w:rFonts w:cstheme="minorHAnsi"/>
                <w:b/>
                <w:bCs/>
                <w:szCs w:val="18"/>
                <w:lang w:eastAsia="hr-HR"/>
              </w:rPr>
              <w:t xml:space="preserve"> 31.12.2018.</w:t>
            </w:r>
          </w:p>
        </w:tc>
        <w:tc>
          <w:tcPr>
            <w:tcW w:w="851" w:type="dxa"/>
            <w:vMerge w:val="restart"/>
            <w:shd w:val="clear" w:color="auto" w:fill="E5E5E5" w:themeFill="text1" w:themeFillTint="33"/>
            <w:noWrap/>
            <w:vAlign w:val="center"/>
            <w:hideMark/>
          </w:tcPr>
          <w:p w14:paraId="2D12A8CE"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76</w:t>
            </w:r>
          </w:p>
        </w:tc>
        <w:tc>
          <w:tcPr>
            <w:tcW w:w="850" w:type="dxa"/>
            <w:vMerge w:val="restart"/>
            <w:shd w:val="clear" w:color="auto" w:fill="E5E5E5" w:themeFill="text1" w:themeFillTint="33"/>
            <w:noWrap/>
            <w:vAlign w:val="center"/>
            <w:hideMark/>
          </w:tcPr>
          <w:p w14:paraId="3FE2B549"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-17</w:t>
            </w:r>
          </w:p>
        </w:tc>
        <w:tc>
          <w:tcPr>
            <w:tcW w:w="851" w:type="dxa"/>
            <w:vMerge w:val="restart"/>
            <w:shd w:val="clear" w:color="auto" w:fill="E5E5E5" w:themeFill="text1" w:themeFillTint="33"/>
            <w:noWrap/>
            <w:vAlign w:val="center"/>
            <w:hideMark/>
          </w:tcPr>
          <w:p w14:paraId="7751922D"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2</w:t>
            </w:r>
          </w:p>
        </w:tc>
        <w:tc>
          <w:tcPr>
            <w:tcW w:w="992" w:type="dxa"/>
            <w:vMerge w:val="restart"/>
            <w:shd w:val="clear" w:color="auto" w:fill="E5E5E5" w:themeFill="text1" w:themeFillTint="33"/>
            <w:noWrap/>
            <w:vAlign w:val="center"/>
            <w:hideMark/>
          </w:tcPr>
          <w:p w14:paraId="0F61AE54"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-15</w:t>
            </w:r>
          </w:p>
        </w:tc>
        <w:tc>
          <w:tcPr>
            <w:tcW w:w="1417" w:type="dxa"/>
            <w:vMerge w:val="restart"/>
            <w:shd w:val="clear" w:color="auto" w:fill="E5E5E5" w:themeFill="text1" w:themeFillTint="33"/>
            <w:noWrap/>
            <w:vAlign w:val="center"/>
            <w:hideMark/>
          </w:tcPr>
          <w:p w14:paraId="3169883C"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-29</w:t>
            </w:r>
          </w:p>
        </w:tc>
        <w:tc>
          <w:tcPr>
            <w:tcW w:w="709" w:type="dxa"/>
            <w:vMerge w:val="restart"/>
            <w:shd w:val="clear" w:color="auto" w:fill="E5E5E5" w:themeFill="text1" w:themeFillTint="33"/>
            <w:noWrap/>
            <w:vAlign w:val="center"/>
            <w:hideMark/>
          </w:tcPr>
          <w:p w14:paraId="389C36B8"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1</w:t>
            </w:r>
          </w:p>
        </w:tc>
        <w:tc>
          <w:tcPr>
            <w:tcW w:w="1276" w:type="dxa"/>
            <w:vMerge w:val="restart"/>
            <w:shd w:val="clear" w:color="auto" w:fill="E5E5E5" w:themeFill="text1" w:themeFillTint="33"/>
            <w:noWrap/>
            <w:vAlign w:val="center"/>
            <w:hideMark/>
          </w:tcPr>
          <w:p w14:paraId="5BEC1146"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51</w:t>
            </w:r>
          </w:p>
        </w:tc>
        <w:tc>
          <w:tcPr>
            <w:tcW w:w="850" w:type="dxa"/>
            <w:vMerge w:val="restart"/>
            <w:shd w:val="clear" w:color="auto" w:fill="E5E5E5" w:themeFill="text1" w:themeFillTint="33"/>
            <w:noWrap/>
            <w:vAlign w:val="center"/>
            <w:hideMark/>
          </w:tcPr>
          <w:p w14:paraId="0A5FA1DE"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13</w:t>
            </w:r>
          </w:p>
        </w:tc>
        <w:tc>
          <w:tcPr>
            <w:tcW w:w="851" w:type="dxa"/>
            <w:vMerge w:val="restart"/>
            <w:shd w:val="clear" w:color="auto" w:fill="E5E5E5" w:themeFill="text1" w:themeFillTint="33"/>
            <w:noWrap/>
            <w:vAlign w:val="center"/>
            <w:hideMark/>
          </w:tcPr>
          <w:p w14:paraId="11D189A8"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9</w:t>
            </w:r>
          </w:p>
        </w:tc>
        <w:tc>
          <w:tcPr>
            <w:tcW w:w="992" w:type="dxa"/>
            <w:vMerge w:val="restart"/>
            <w:tcBorders>
              <w:right w:val="single" w:sz="8" w:space="0" w:color="D2232A"/>
            </w:tcBorders>
            <w:shd w:val="clear" w:color="auto" w:fill="E5E5E5" w:themeFill="text1" w:themeFillTint="33"/>
            <w:noWrap/>
            <w:vAlign w:val="center"/>
            <w:hideMark/>
          </w:tcPr>
          <w:p w14:paraId="2E9ABADD" w14:textId="77777777" w:rsidR="00527173" w:rsidRPr="00A133EF" w:rsidRDefault="00527173" w:rsidP="00527173">
            <w:pPr>
              <w:spacing w:after="0"/>
              <w:jc w:val="right"/>
              <w:rPr>
                <w:rFonts w:cstheme="minorHAnsi"/>
                <w:b/>
                <w:bCs/>
                <w:szCs w:val="18"/>
                <w:lang w:eastAsia="hr-HR"/>
              </w:rPr>
            </w:pPr>
            <w:r w:rsidRPr="00A133EF">
              <w:rPr>
                <w:rFonts w:cstheme="minorHAnsi"/>
                <w:b/>
                <w:bCs/>
                <w:szCs w:val="18"/>
                <w:lang w:eastAsia="hr-HR"/>
              </w:rPr>
              <w:t>91</w:t>
            </w:r>
          </w:p>
        </w:tc>
      </w:tr>
      <w:tr w:rsidR="00A133EF" w:rsidRPr="00483E21" w14:paraId="5943646C" w14:textId="77777777" w:rsidTr="007F5268">
        <w:trPr>
          <w:trHeight w:val="462"/>
        </w:trPr>
        <w:tc>
          <w:tcPr>
            <w:tcW w:w="1569" w:type="dxa"/>
            <w:vMerge/>
            <w:shd w:val="clear" w:color="auto" w:fill="E5E5E5" w:themeFill="text1" w:themeFillTint="33"/>
            <w:vAlign w:val="center"/>
            <w:hideMark/>
          </w:tcPr>
          <w:p w14:paraId="63D35CC8" w14:textId="77777777" w:rsidR="00527173" w:rsidRPr="00483E21" w:rsidRDefault="00527173" w:rsidP="00A133EF">
            <w:pPr>
              <w:spacing w:after="0"/>
              <w:rPr>
                <w:rFonts w:cstheme="minorHAnsi"/>
                <w:b/>
                <w:bCs/>
                <w:color w:val="FFFFFF"/>
                <w:szCs w:val="18"/>
                <w:lang w:eastAsia="hr-HR"/>
              </w:rPr>
            </w:pPr>
          </w:p>
        </w:tc>
        <w:tc>
          <w:tcPr>
            <w:tcW w:w="851" w:type="dxa"/>
            <w:vMerge/>
            <w:shd w:val="clear" w:color="auto" w:fill="E5E5E5" w:themeFill="text1" w:themeFillTint="33"/>
            <w:vAlign w:val="center"/>
            <w:hideMark/>
          </w:tcPr>
          <w:p w14:paraId="3E9B50EE" w14:textId="77777777" w:rsidR="00527173" w:rsidRPr="00483E21" w:rsidRDefault="00527173" w:rsidP="00A133EF">
            <w:pPr>
              <w:spacing w:after="0"/>
              <w:rPr>
                <w:rFonts w:cstheme="minorHAnsi"/>
                <w:b/>
                <w:bCs/>
                <w:color w:val="000000"/>
                <w:szCs w:val="18"/>
                <w:lang w:eastAsia="hr-HR"/>
              </w:rPr>
            </w:pPr>
          </w:p>
        </w:tc>
        <w:tc>
          <w:tcPr>
            <w:tcW w:w="850" w:type="dxa"/>
            <w:vMerge/>
            <w:shd w:val="clear" w:color="auto" w:fill="E5E5E5" w:themeFill="text1" w:themeFillTint="33"/>
            <w:vAlign w:val="center"/>
            <w:hideMark/>
          </w:tcPr>
          <w:p w14:paraId="677C8B75" w14:textId="77777777" w:rsidR="00527173" w:rsidRPr="00483E21" w:rsidRDefault="00527173" w:rsidP="00A133EF">
            <w:pPr>
              <w:spacing w:after="0"/>
              <w:rPr>
                <w:rFonts w:cstheme="minorHAnsi"/>
                <w:b/>
                <w:bCs/>
                <w:color w:val="000000"/>
                <w:szCs w:val="18"/>
                <w:lang w:eastAsia="hr-HR"/>
              </w:rPr>
            </w:pPr>
          </w:p>
        </w:tc>
        <w:tc>
          <w:tcPr>
            <w:tcW w:w="851" w:type="dxa"/>
            <w:vMerge/>
            <w:shd w:val="clear" w:color="auto" w:fill="E5E5E5" w:themeFill="text1" w:themeFillTint="33"/>
            <w:vAlign w:val="center"/>
            <w:hideMark/>
          </w:tcPr>
          <w:p w14:paraId="2FFEEEE8" w14:textId="77777777" w:rsidR="00527173" w:rsidRPr="00483E21" w:rsidRDefault="00527173" w:rsidP="00A133EF">
            <w:pPr>
              <w:spacing w:after="0"/>
              <w:rPr>
                <w:rFonts w:cstheme="minorHAnsi"/>
                <w:b/>
                <w:bCs/>
                <w:color w:val="000000"/>
                <w:szCs w:val="18"/>
                <w:lang w:eastAsia="hr-HR"/>
              </w:rPr>
            </w:pPr>
          </w:p>
        </w:tc>
        <w:tc>
          <w:tcPr>
            <w:tcW w:w="992" w:type="dxa"/>
            <w:vMerge/>
            <w:shd w:val="clear" w:color="auto" w:fill="E5E5E5" w:themeFill="text1" w:themeFillTint="33"/>
            <w:vAlign w:val="center"/>
            <w:hideMark/>
          </w:tcPr>
          <w:p w14:paraId="6220073B" w14:textId="77777777" w:rsidR="00527173" w:rsidRPr="00483E21" w:rsidRDefault="00527173" w:rsidP="00A133EF">
            <w:pPr>
              <w:spacing w:after="0"/>
              <w:rPr>
                <w:rFonts w:cstheme="minorHAnsi"/>
                <w:b/>
                <w:bCs/>
                <w:color w:val="000000"/>
                <w:szCs w:val="18"/>
                <w:lang w:eastAsia="hr-HR"/>
              </w:rPr>
            </w:pPr>
          </w:p>
        </w:tc>
        <w:tc>
          <w:tcPr>
            <w:tcW w:w="1417" w:type="dxa"/>
            <w:vMerge/>
            <w:shd w:val="clear" w:color="auto" w:fill="E5E5E5" w:themeFill="text1" w:themeFillTint="33"/>
            <w:vAlign w:val="center"/>
            <w:hideMark/>
          </w:tcPr>
          <w:p w14:paraId="01C2512F" w14:textId="77777777" w:rsidR="00527173" w:rsidRPr="00483E21" w:rsidRDefault="00527173" w:rsidP="00A133EF">
            <w:pPr>
              <w:spacing w:after="0"/>
              <w:rPr>
                <w:rFonts w:cstheme="minorHAnsi"/>
                <w:b/>
                <w:bCs/>
                <w:color w:val="000000"/>
                <w:szCs w:val="18"/>
                <w:lang w:eastAsia="hr-HR"/>
              </w:rPr>
            </w:pPr>
          </w:p>
        </w:tc>
        <w:tc>
          <w:tcPr>
            <w:tcW w:w="709" w:type="dxa"/>
            <w:vMerge/>
            <w:shd w:val="clear" w:color="auto" w:fill="E5E5E5" w:themeFill="text1" w:themeFillTint="33"/>
            <w:vAlign w:val="center"/>
            <w:hideMark/>
          </w:tcPr>
          <w:p w14:paraId="16B11706" w14:textId="77777777" w:rsidR="00527173" w:rsidRPr="00483E21" w:rsidRDefault="00527173" w:rsidP="00A133EF">
            <w:pPr>
              <w:spacing w:after="0"/>
              <w:rPr>
                <w:rFonts w:cstheme="minorHAnsi"/>
                <w:b/>
                <w:bCs/>
                <w:color w:val="000000"/>
                <w:szCs w:val="18"/>
                <w:lang w:eastAsia="hr-HR"/>
              </w:rPr>
            </w:pPr>
          </w:p>
        </w:tc>
        <w:tc>
          <w:tcPr>
            <w:tcW w:w="1276" w:type="dxa"/>
            <w:vMerge/>
            <w:shd w:val="clear" w:color="auto" w:fill="E5E5E5" w:themeFill="text1" w:themeFillTint="33"/>
            <w:vAlign w:val="center"/>
            <w:hideMark/>
          </w:tcPr>
          <w:p w14:paraId="22CCF556" w14:textId="77777777" w:rsidR="00527173" w:rsidRPr="00483E21" w:rsidRDefault="00527173" w:rsidP="00A133EF">
            <w:pPr>
              <w:spacing w:after="0"/>
              <w:rPr>
                <w:rFonts w:cstheme="minorHAnsi"/>
                <w:b/>
                <w:bCs/>
                <w:color w:val="000000"/>
                <w:szCs w:val="18"/>
                <w:lang w:eastAsia="hr-HR"/>
              </w:rPr>
            </w:pPr>
          </w:p>
        </w:tc>
        <w:tc>
          <w:tcPr>
            <w:tcW w:w="850" w:type="dxa"/>
            <w:vMerge/>
            <w:shd w:val="clear" w:color="auto" w:fill="E5E5E5" w:themeFill="text1" w:themeFillTint="33"/>
            <w:vAlign w:val="center"/>
            <w:hideMark/>
          </w:tcPr>
          <w:p w14:paraId="2BEC988B" w14:textId="77777777" w:rsidR="00527173" w:rsidRPr="00483E21" w:rsidRDefault="00527173" w:rsidP="00A133EF">
            <w:pPr>
              <w:spacing w:after="0"/>
              <w:rPr>
                <w:rFonts w:cstheme="minorHAnsi"/>
                <w:b/>
                <w:bCs/>
                <w:color w:val="000000"/>
                <w:szCs w:val="18"/>
                <w:lang w:eastAsia="hr-HR"/>
              </w:rPr>
            </w:pPr>
          </w:p>
        </w:tc>
        <w:tc>
          <w:tcPr>
            <w:tcW w:w="851" w:type="dxa"/>
            <w:vMerge/>
            <w:shd w:val="clear" w:color="auto" w:fill="E5E5E5" w:themeFill="text1" w:themeFillTint="33"/>
            <w:vAlign w:val="center"/>
            <w:hideMark/>
          </w:tcPr>
          <w:p w14:paraId="2EA4DE18" w14:textId="77777777" w:rsidR="00527173" w:rsidRPr="00483E21" w:rsidRDefault="00527173" w:rsidP="00A133EF">
            <w:pPr>
              <w:spacing w:after="0"/>
              <w:rPr>
                <w:rFonts w:cstheme="minorHAnsi"/>
                <w:b/>
                <w:bCs/>
                <w:color w:val="000000"/>
                <w:szCs w:val="18"/>
                <w:lang w:eastAsia="hr-HR"/>
              </w:rPr>
            </w:pPr>
          </w:p>
        </w:tc>
        <w:tc>
          <w:tcPr>
            <w:tcW w:w="992" w:type="dxa"/>
            <w:vMerge/>
            <w:tcBorders>
              <w:right w:val="single" w:sz="8" w:space="0" w:color="D2232A"/>
            </w:tcBorders>
            <w:shd w:val="clear" w:color="auto" w:fill="E5E5E5" w:themeFill="text1" w:themeFillTint="33"/>
            <w:vAlign w:val="center"/>
            <w:hideMark/>
          </w:tcPr>
          <w:p w14:paraId="05E91125" w14:textId="77777777" w:rsidR="00527173" w:rsidRPr="00483E21" w:rsidRDefault="00527173" w:rsidP="00A133EF">
            <w:pPr>
              <w:spacing w:after="0"/>
              <w:rPr>
                <w:rFonts w:cstheme="minorHAnsi"/>
                <w:b/>
                <w:bCs/>
                <w:color w:val="000000"/>
                <w:szCs w:val="18"/>
                <w:lang w:eastAsia="hr-HR"/>
              </w:rPr>
            </w:pPr>
          </w:p>
        </w:tc>
      </w:tr>
    </w:tbl>
    <w:p w14:paraId="44ADED29" w14:textId="7DB88DBB"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OKKZŽ, 2019. godina</w:t>
      </w:r>
    </w:p>
    <w:p w14:paraId="08F22026" w14:textId="77777777" w:rsidR="006A48B1" w:rsidRDefault="006A48B1" w:rsidP="00941871">
      <w:pPr>
        <w:ind w:left="116" w:right="72"/>
        <w:rPr>
          <w:rFonts w:eastAsia="Arial Narrow" w:cstheme="minorHAnsi"/>
          <w:spacing w:val="-1"/>
        </w:rPr>
      </w:pPr>
    </w:p>
    <w:p w14:paraId="5F700C1E" w14:textId="5F046971" w:rsidR="008878A0" w:rsidRDefault="008878A0" w:rsidP="00941871">
      <w:pPr>
        <w:ind w:left="116" w:right="72"/>
        <w:rPr>
          <w:rFonts w:eastAsia="Arial Narrow" w:cstheme="minorHAnsi"/>
        </w:rPr>
      </w:pPr>
      <w:r>
        <w:rPr>
          <w:rFonts w:eastAsia="Arial Narrow" w:cstheme="minorHAnsi"/>
          <w:spacing w:val="-1"/>
        </w:rPr>
        <w:t xml:space="preserve">Broj obrta u Krapinsko-zagorskoj županiji u odnosu na 2017. godinu povećan je za nešto manje od 4%, odnosno za </w:t>
      </w:r>
      <w:r w:rsidR="00822CA8">
        <w:rPr>
          <w:rFonts w:eastAsia="Arial Narrow" w:cstheme="minorHAnsi"/>
          <w:spacing w:val="-1"/>
        </w:rPr>
        <w:t xml:space="preserve">91 </w:t>
      </w:r>
      <w:r>
        <w:rPr>
          <w:rFonts w:eastAsia="Arial Narrow" w:cstheme="minorHAnsi"/>
          <w:spacing w:val="-1"/>
        </w:rPr>
        <w:t>obrt. Međutim, broj zaposlenih u obrtništvu pao je s 6.458 na 6.289 tj. smanjio se za</w:t>
      </w:r>
      <w:r w:rsidR="00822CA8">
        <w:rPr>
          <w:rFonts w:eastAsia="Arial Narrow" w:cstheme="minorHAnsi"/>
          <w:spacing w:val="-1"/>
        </w:rPr>
        <w:t xml:space="preserve"> nešto</w:t>
      </w:r>
      <w:r>
        <w:rPr>
          <w:rFonts w:eastAsia="Arial Narrow" w:cstheme="minorHAnsi"/>
          <w:spacing w:val="-1"/>
        </w:rPr>
        <w:t xml:space="preserve"> manje od 4%. U lipnju 2019. evidentiran je daljnji rast broja obrta – njih 2.562 što</w:t>
      </w:r>
      <w:r>
        <w:rPr>
          <w:rFonts w:eastAsia="Arial Narrow" w:cstheme="minorHAnsi"/>
        </w:rPr>
        <w:t xml:space="preserve"> </w:t>
      </w:r>
      <w:r>
        <w:rPr>
          <w:rFonts w:eastAsia="Arial Narrow" w:cstheme="minorHAnsi"/>
          <w:spacing w:val="1"/>
        </w:rPr>
        <w:t>či</w:t>
      </w:r>
      <w:r>
        <w:rPr>
          <w:rFonts w:eastAsia="Arial Narrow" w:cstheme="minorHAnsi"/>
          <w:spacing w:val="-2"/>
        </w:rPr>
        <w:t>n</w:t>
      </w:r>
      <w:r>
        <w:rPr>
          <w:rFonts w:eastAsia="Arial Narrow" w:cstheme="minorHAnsi"/>
        </w:rPr>
        <w:t>i</w:t>
      </w:r>
      <w:r>
        <w:rPr>
          <w:rFonts w:eastAsia="Arial Narrow" w:cstheme="minorHAnsi"/>
          <w:spacing w:val="3"/>
        </w:rPr>
        <w:t xml:space="preserve"> </w:t>
      </w:r>
      <w:r>
        <w:rPr>
          <w:rFonts w:eastAsia="Arial Narrow" w:cstheme="minorHAnsi"/>
        </w:rPr>
        <w:t>3%</w:t>
      </w:r>
      <w:r>
        <w:rPr>
          <w:rFonts w:eastAsia="Arial Narrow" w:cstheme="minorHAnsi"/>
          <w:spacing w:val="5"/>
        </w:rPr>
        <w:t xml:space="preserve"> </w:t>
      </w:r>
      <w:r>
        <w:rPr>
          <w:rFonts w:eastAsia="Arial Narrow" w:cstheme="minorHAnsi"/>
        </w:rPr>
        <w:t>od</w:t>
      </w:r>
      <w:r>
        <w:rPr>
          <w:rFonts w:eastAsia="Arial Narrow" w:cstheme="minorHAnsi"/>
          <w:spacing w:val="3"/>
        </w:rPr>
        <w:t xml:space="preserve"> </w:t>
      </w:r>
      <w:r>
        <w:rPr>
          <w:rFonts w:eastAsia="Arial Narrow" w:cstheme="minorHAnsi"/>
          <w:spacing w:val="-2"/>
        </w:rPr>
        <w:t>u</w:t>
      </w:r>
      <w:r>
        <w:rPr>
          <w:rFonts w:eastAsia="Arial Narrow" w:cstheme="minorHAnsi"/>
          <w:spacing w:val="1"/>
        </w:rPr>
        <w:t>k</w:t>
      </w:r>
      <w:r>
        <w:rPr>
          <w:rFonts w:eastAsia="Arial Narrow" w:cstheme="minorHAnsi"/>
        </w:rPr>
        <w:t>up</w:t>
      </w:r>
      <w:r>
        <w:rPr>
          <w:rFonts w:eastAsia="Arial Narrow" w:cstheme="minorHAnsi"/>
          <w:spacing w:val="-2"/>
        </w:rPr>
        <w:t>no</w:t>
      </w:r>
      <w:r>
        <w:rPr>
          <w:rFonts w:eastAsia="Arial Narrow" w:cstheme="minorHAnsi"/>
        </w:rPr>
        <w:t>g</w:t>
      </w:r>
      <w:r>
        <w:rPr>
          <w:rFonts w:eastAsia="Arial Narrow" w:cstheme="minorHAnsi"/>
          <w:spacing w:val="3"/>
        </w:rPr>
        <w:t xml:space="preserve"> </w:t>
      </w:r>
      <w:r>
        <w:rPr>
          <w:rFonts w:eastAsia="Arial Narrow" w:cstheme="minorHAnsi"/>
        </w:rPr>
        <w:t>bro</w:t>
      </w:r>
      <w:r>
        <w:rPr>
          <w:rFonts w:eastAsia="Arial Narrow" w:cstheme="minorHAnsi"/>
          <w:spacing w:val="1"/>
        </w:rPr>
        <w:t>j</w:t>
      </w:r>
      <w:r>
        <w:rPr>
          <w:rFonts w:eastAsia="Arial Narrow" w:cstheme="minorHAnsi"/>
        </w:rPr>
        <w:t>a a</w:t>
      </w:r>
      <w:r>
        <w:rPr>
          <w:rFonts w:eastAsia="Arial Narrow" w:cstheme="minorHAnsi"/>
          <w:spacing w:val="1"/>
        </w:rPr>
        <w:t>k</w:t>
      </w:r>
      <w:r>
        <w:rPr>
          <w:rFonts w:eastAsia="Arial Narrow" w:cstheme="minorHAnsi"/>
        </w:rPr>
        <w:t>t</w:t>
      </w:r>
      <w:r>
        <w:rPr>
          <w:rFonts w:eastAsia="Arial Narrow" w:cstheme="minorHAnsi"/>
          <w:spacing w:val="-2"/>
        </w:rPr>
        <w:t>i</w:t>
      </w:r>
      <w:r>
        <w:rPr>
          <w:rFonts w:eastAsia="Arial Narrow" w:cstheme="minorHAnsi"/>
          <w:spacing w:val="1"/>
        </w:rPr>
        <w:t>v</w:t>
      </w:r>
      <w:r>
        <w:rPr>
          <w:rFonts w:eastAsia="Arial Narrow" w:cstheme="minorHAnsi"/>
        </w:rPr>
        <w:t>n</w:t>
      </w:r>
      <w:r>
        <w:rPr>
          <w:rFonts w:eastAsia="Arial Narrow" w:cstheme="minorHAnsi"/>
          <w:spacing w:val="1"/>
        </w:rPr>
        <w:t>i</w:t>
      </w:r>
      <w:r>
        <w:rPr>
          <w:rFonts w:eastAsia="Arial Narrow" w:cstheme="minorHAnsi"/>
        </w:rPr>
        <w:t xml:space="preserve">h obrta u </w:t>
      </w:r>
      <w:r>
        <w:rPr>
          <w:rFonts w:eastAsia="Arial Narrow" w:cstheme="minorHAnsi"/>
          <w:spacing w:val="-1"/>
        </w:rPr>
        <w:t>R</w:t>
      </w:r>
      <w:r>
        <w:rPr>
          <w:rFonts w:eastAsia="Arial Narrow" w:cstheme="minorHAnsi"/>
        </w:rPr>
        <w:t>epub</w:t>
      </w:r>
      <w:r>
        <w:rPr>
          <w:rFonts w:eastAsia="Arial Narrow" w:cstheme="minorHAnsi"/>
          <w:spacing w:val="1"/>
        </w:rPr>
        <w:t>l</w:t>
      </w:r>
      <w:r>
        <w:rPr>
          <w:rFonts w:eastAsia="Arial Narrow" w:cstheme="minorHAnsi"/>
          <w:spacing w:val="-2"/>
        </w:rPr>
        <w:t>i</w:t>
      </w:r>
      <w:r>
        <w:rPr>
          <w:rFonts w:eastAsia="Arial Narrow" w:cstheme="minorHAnsi"/>
          <w:spacing w:val="1"/>
        </w:rPr>
        <w:t>c</w:t>
      </w:r>
      <w:r>
        <w:rPr>
          <w:rFonts w:eastAsia="Arial Narrow" w:cstheme="minorHAnsi"/>
        </w:rPr>
        <w:t>i</w:t>
      </w:r>
      <w:r>
        <w:rPr>
          <w:rFonts w:eastAsia="Arial Narrow" w:cstheme="minorHAnsi"/>
          <w:spacing w:val="3"/>
        </w:rPr>
        <w:t xml:space="preserve"> </w:t>
      </w:r>
      <w:r>
        <w:rPr>
          <w:rFonts w:eastAsia="Arial Narrow" w:cstheme="minorHAnsi"/>
          <w:spacing w:val="-1"/>
        </w:rPr>
        <w:t>H</w:t>
      </w:r>
      <w:r>
        <w:rPr>
          <w:rFonts w:eastAsia="Arial Narrow" w:cstheme="minorHAnsi"/>
        </w:rPr>
        <w:t>r</w:t>
      </w:r>
      <w:r>
        <w:rPr>
          <w:rFonts w:eastAsia="Arial Narrow" w:cstheme="minorHAnsi"/>
          <w:spacing w:val="1"/>
        </w:rPr>
        <w:t>v</w:t>
      </w:r>
      <w:r>
        <w:rPr>
          <w:rFonts w:eastAsia="Arial Narrow" w:cstheme="minorHAnsi"/>
        </w:rPr>
        <w:t>a</w:t>
      </w:r>
      <w:r>
        <w:rPr>
          <w:rFonts w:eastAsia="Arial Narrow" w:cstheme="minorHAnsi"/>
          <w:spacing w:val="-2"/>
        </w:rPr>
        <w:t>t</w:t>
      </w:r>
      <w:r>
        <w:rPr>
          <w:rFonts w:eastAsia="Arial Narrow" w:cstheme="minorHAnsi"/>
          <w:spacing w:val="1"/>
        </w:rPr>
        <w:t>sk</w:t>
      </w:r>
      <w:r>
        <w:rPr>
          <w:rFonts w:eastAsia="Arial Narrow" w:cstheme="minorHAnsi"/>
          <w:spacing w:val="-2"/>
        </w:rPr>
        <w:t>o</w:t>
      </w:r>
      <w:r>
        <w:rPr>
          <w:rFonts w:eastAsia="Arial Narrow" w:cstheme="minorHAnsi"/>
          <w:spacing w:val="1"/>
        </w:rPr>
        <w:t>j</w:t>
      </w:r>
      <w:r>
        <w:rPr>
          <w:rFonts w:eastAsia="Arial Narrow" w:cstheme="minorHAnsi"/>
        </w:rPr>
        <w:t>.</w:t>
      </w:r>
      <w:r>
        <w:rPr>
          <w:rFonts w:eastAsia="Arial Narrow" w:cstheme="minorHAnsi"/>
          <w:spacing w:val="3"/>
        </w:rPr>
        <w:t xml:space="preserve"> </w:t>
      </w:r>
    </w:p>
    <w:p w14:paraId="688DCD03" w14:textId="01B56FC7" w:rsidR="008878A0" w:rsidRDefault="008878A0" w:rsidP="00941871">
      <w:pPr>
        <w:ind w:left="116" w:right="72"/>
        <w:rPr>
          <w:rFonts w:eastAsia="Arial Narrow" w:cstheme="minorHAnsi"/>
          <w:spacing w:val="-1"/>
        </w:rPr>
      </w:pPr>
      <w:r>
        <w:rPr>
          <w:rFonts w:eastAsia="Arial Narrow" w:cstheme="minorHAnsi"/>
          <w:spacing w:val="-1"/>
        </w:rPr>
        <w:t xml:space="preserve">Najveći broj obrta u 2018. godini poslovao je </w:t>
      </w:r>
      <w:r w:rsidR="009E7D03">
        <w:rPr>
          <w:rFonts w:eastAsia="Arial Narrow" w:cstheme="minorHAnsi"/>
          <w:spacing w:val="-1"/>
        </w:rPr>
        <w:t>pri udruženju</w:t>
      </w:r>
      <w:r>
        <w:rPr>
          <w:rFonts w:eastAsia="Arial Narrow" w:cstheme="minorHAnsi"/>
          <w:spacing w:val="-1"/>
        </w:rPr>
        <w:t xml:space="preserve"> grad</w:t>
      </w:r>
      <w:r w:rsidR="009E7D03">
        <w:rPr>
          <w:rFonts w:eastAsia="Arial Narrow" w:cstheme="minorHAnsi"/>
          <w:spacing w:val="-1"/>
        </w:rPr>
        <w:t xml:space="preserve">a </w:t>
      </w:r>
      <w:r>
        <w:rPr>
          <w:rFonts w:eastAsia="Arial Narrow" w:cstheme="minorHAnsi"/>
          <w:spacing w:val="-1"/>
        </w:rPr>
        <w:t>Donja Stubica</w:t>
      </w:r>
      <w:r w:rsidR="00AA2222">
        <w:rPr>
          <w:rFonts w:eastAsia="Arial Narrow" w:cstheme="minorHAnsi"/>
          <w:spacing w:val="-1"/>
        </w:rPr>
        <w:t xml:space="preserve"> (545)</w:t>
      </w:r>
      <w:r>
        <w:rPr>
          <w:rFonts w:eastAsia="Arial Narrow" w:cstheme="minorHAnsi"/>
          <w:spacing w:val="-1"/>
        </w:rPr>
        <w:t>. Najviše obrtnika posluje u djelatnosti uslužnog obrta (30%), slijedi proizvodni obrt (16%) i graditeljstvo s 13%. Sve ostale djelatnosti zastupljene s</w:t>
      </w:r>
      <w:r w:rsidR="00B12014">
        <w:rPr>
          <w:rFonts w:eastAsia="Arial Narrow" w:cstheme="minorHAnsi"/>
          <w:spacing w:val="-1"/>
        </w:rPr>
        <w:t>u s</w:t>
      </w:r>
      <w:r>
        <w:rPr>
          <w:rFonts w:eastAsia="Arial Narrow" w:cstheme="minorHAnsi"/>
          <w:spacing w:val="-1"/>
        </w:rPr>
        <w:t xml:space="preserve"> manje od 10%. </w:t>
      </w:r>
    </w:p>
    <w:p w14:paraId="26A802D8" w14:textId="4150E7A4" w:rsidR="008878A0" w:rsidRDefault="008878A0" w:rsidP="00941871">
      <w:pPr>
        <w:ind w:left="116" w:right="72"/>
        <w:rPr>
          <w:rFonts w:eastAsia="Arial Narrow" w:cstheme="minorHAnsi"/>
          <w:spacing w:val="-1"/>
        </w:rPr>
      </w:pPr>
      <w:r>
        <w:rPr>
          <w:rFonts w:eastAsia="Arial Narrow" w:cstheme="minorHAnsi"/>
          <w:spacing w:val="-1"/>
        </w:rPr>
        <w:lastRenderedPageBreak/>
        <w:t>S obzirom na spol vlasnika, tijekom 2019. godine evidentirano je više muškaraca vlasnika obrt</w:t>
      </w:r>
      <w:r w:rsidR="00B12014">
        <w:rPr>
          <w:rFonts w:eastAsia="Arial Narrow" w:cstheme="minorHAnsi"/>
          <w:spacing w:val="-1"/>
        </w:rPr>
        <w:t xml:space="preserve">a (71%) </w:t>
      </w:r>
      <w:r w:rsidR="000F4955">
        <w:rPr>
          <w:rFonts w:eastAsia="Arial Narrow" w:cstheme="minorHAnsi"/>
          <w:spacing w:val="-1"/>
        </w:rPr>
        <w:t xml:space="preserve">nego </w:t>
      </w:r>
      <w:r w:rsidR="00B12014">
        <w:rPr>
          <w:rFonts w:eastAsia="Arial Narrow" w:cstheme="minorHAnsi"/>
          <w:spacing w:val="-1"/>
        </w:rPr>
        <w:t>žen</w:t>
      </w:r>
      <w:r w:rsidR="000F4955">
        <w:rPr>
          <w:rFonts w:eastAsia="Arial Narrow" w:cstheme="minorHAnsi"/>
          <w:spacing w:val="-1"/>
        </w:rPr>
        <w:t>a</w:t>
      </w:r>
      <w:r w:rsidR="00B12014">
        <w:rPr>
          <w:rFonts w:eastAsia="Arial Narrow" w:cstheme="minorHAnsi"/>
          <w:spacing w:val="-1"/>
        </w:rPr>
        <w:t xml:space="preserve"> (29%). Na razini županije nešto je</w:t>
      </w:r>
      <w:r>
        <w:rPr>
          <w:rFonts w:eastAsia="Arial Narrow" w:cstheme="minorHAnsi"/>
          <w:spacing w:val="-1"/>
        </w:rPr>
        <w:t xml:space="preserve"> viši postotak muškaraca </w:t>
      </w:r>
      <w:r w:rsidR="00B12014">
        <w:rPr>
          <w:rFonts w:eastAsia="Arial Narrow" w:cstheme="minorHAnsi"/>
          <w:spacing w:val="-1"/>
        </w:rPr>
        <w:t xml:space="preserve">vlasnika obrta, u odnosu na državnu razinu gdje je evidentirano </w:t>
      </w:r>
      <w:r>
        <w:rPr>
          <w:rFonts w:eastAsia="Arial Narrow" w:cstheme="minorHAnsi"/>
          <w:spacing w:val="-1"/>
        </w:rPr>
        <w:t>66,1</w:t>
      </w:r>
      <w:r w:rsidR="00B12014">
        <w:rPr>
          <w:rFonts w:eastAsia="Arial Narrow" w:cstheme="minorHAnsi"/>
          <w:spacing w:val="-1"/>
        </w:rPr>
        <w:t xml:space="preserve">% muškaraca </w:t>
      </w:r>
      <w:r w:rsidR="000F4955">
        <w:rPr>
          <w:rFonts w:eastAsia="Arial Narrow" w:cstheme="minorHAnsi"/>
          <w:spacing w:val="-1"/>
        </w:rPr>
        <w:t xml:space="preserve">prema </w:t>
      </w:r>
      <w:r w:rsidR="00B12014">
        <w:rPr>
          <w:rFonts w:eastAsia="Arial Narrow" w:cstheme="minorHAnsi"/>
          <w:spacing w:val="-1"/>
        </w:rPr>
        <w:t>33,9% žena vlasnica obrta</w:t>
      </w:r>
      <w:r>
        <w:rPr>
          <w:rFonts w:eastAsia="Arial Narrow" w:cstheme="minorHAnsi"/>
          <w:spacing w:val="-1"/>
        </w:rPr>
        <w:t xml:space="preserve">. Većina vlasnika obrta (62%) </w:t>
      </w:r>
      <w:r w:rsidR="00B12014">
        <w:rPr>
          <w:rFonts w:eastAsia="Arial Narrow" w:cstheme="minorHAnsi"/>
          <w:spacing w:val="-1"/>
        </w:rPr>
        <w:t xml:space="preserve">na županijskoj razini </w:t>
      </w:r>
      <w:r>
        <w:rPr>
          <w:rFonts w:eastAsia="Arial Narrow" w:cstheme="minorHAnsi"/>
          <w:spacing w:val="-1"/>
        </w:rPr>
        <w:t xml:space="preserve">spada u dobne skupine od 35-54 godine. Ovo je u skladu s nacionalnim </w:t>
      </w:r>
      <w:r w:rsidR="00B12014">
        <w:rPr>
          <w:rFonts w:eastAsia="Arial Narrow" w:cstheme="minorHAnsi"/>
          <w:spacing w:val="-1"/>
        </w:rPr>
        <w:t>prosjekom gdje</w:t>
      </w:r>
      <w:r>
        <w:rPr>
          <w:rFonts w:eastAsia="Arial Narrow" w:cstheme="minorHAnsi"/>
          <w:spacing w:val="-1"/>
        </w:rPr>
        <w:t xml:space="preserve"> u navedene dobne skupine spada 60% vlasnika obrta.</w:t>
      </w:r>
      <w:r w:rsidR="007F5268">
        <w:rPr>
          <w:rFonts w:eastAsia="Arial Narrow" w:cstheme="minorHAnsi"/>
          <w:spacing w:val="-1"/>
        </w:rPr>
        <w:t xml:space="preserve"> </w:t>
      </w:r>
      <w:r>
        <w:rPr>
          <w:rFonts w:eastAsia="Arial Narrow" w:cstheme="minorHAnsi"/>
          <w:spacing w:val="-1"/>
        </w:rPr>
        <w:t xml:space="preserve">Gledajući strukturu zaposlenih u obrtima, radnici čine 61,8% a vlasnici 38,2% zaposlenih u obrtima na području Krapinsko-zagorske županije dok je </w:t>
      </w:r>
      <w:r w:rsidR="000F4955">
        <w:rPr>
          <w:rFonts w:eastAsia="Arial Narrow" w:cstheme="minorHAnsi"/>
          <w:spacing w:val="-1"/>
        </w:rPr>
        <w:t xml:space="preserve">u RH </w:t>
      </w:r>
      <w:r w:rsidR="00B12014">
        <w:rPr>
          <w:rFonts w:eastAsia="Arial Narrow" w:cstheme="minorHAnsi"/>
          <w:spacing w:val="-1"/>
        </w:rPr>
        <w:t xml:space="preserve">omjer radnika </w:t>
      </w:r>
      <w:r>
        <w:rPr>
          <w:rFonts w:eastAsia="Arial Narrow" w:cstheme="minorHAnsi"/>
          <w:spacing w:val="-1"/>
        </w:rPr>
        <w:t>56</w:t>
      </w:r>
      <w:r w:rsidR="00B12014">
        <w:rPr>
          <w:rFonts w:eastAsia="Arial Narrow" w:cstheme="minorHAnsi"/>
          <w:spacing w:val="-1"/>
        </w:rPr>
        <w:t>,7% i vlasnika 43,3%</w:t>
      </w:r>
      <w:r>
        <w:rPr>
          <w:rFonts w:eastAsia="Arial Narrow" w:cstheme="minorHAnsi"/>
          <w:spacing w:val="-1"/>
        </w:rPr>
        <w:t>.</w:t>
      </w:r>
    </w:p>
    <w:p w14:paraId="0832788C" w14:textId="722D0D2A" w:rsidR="00AF7C74" w:rsidRDefault="00AF7C74" w:rsidP="00941871">
      <w:pPr>
        <w:ind w:left="116" w:right="72"/>
        <w:rPr>
          <w:rFonts w:eastAsia="Arial Narrow" w:cstheme="minorHAnsi"/>
        </w:rPr>
      </w:pPr>
    </w:p>
    <w:p w14:paraId="455EED15" w14:textId="1A4F2A3E" w:rsidR="007B3024" w:rsidRDefault="007B3024" w:rsidP="00941871">
      <w:pPr>
        <w:ind w:left="116" w:right="72"/>
        <w:rPr>
          <w:rFonts w:eastAsia="Arial Narrow" w:cstheme="minorHAnsi"/>
        </w:rPr>
      </w:pPr>
      <w:r>
        <w:rPr>
          <w:rFonts w:eastAsia="Arial Narrow" w:cstheme="minorHAnsi"/>
        </w:rPr>
        <w:t xml:space="preserve">Kada uspoređujemo broj obrta po jedinicama lokalne samouprave najviše je obrta u 2019. godini bilo u Gradu Krapini (269), </w:t>
      </w:r>
      <w:r w:rsidR="000468C6">
        <w:rPr>
          <w:rFonts w:eastAsia="Arial Narrow" w:cstheme="minorHAnsi"/>
        </w:rPr>
        <w:t xml:space="preserve">zatim Gradu Zaboku (244) te Gradu Oroslavju (159). </w:t>
      </w:r>
    </w:p>
    <w:p w14:paraId="6A145760" w14:textId="77777777" w:rsidR="00847653" w:rsidRDefault="00847653" w:rsidP="00941871">
      <w:pPr>
        <w:ind w:left="116" w:right="72"/>
        <w:rPr>
          <w:rFonts w:eastAsia="Arial Narrow" w:cstheme="minorHAnsi"/>
        </w:rPr>
      </w:pPr>
    </w:p>
    <w:p w14:paraId="0351ED24" w14:textId="6F36873E" w:rsidR="00AF7C74" w:rsidRDefault="00AF7C74" w:rsidP="00AF7C74">
      <w:pPr>
        <w:pStyle w:val="Opisslike"/>
      </w:pPr>
      <w:r>
        <w:t xml:space="preserve">Tablica </w:t>
      </w:r>
      <w:r w:rsidR="006207AF">
        <w:t>9</w:t>
      </w:r>
      <w:r w:rsidR="000D5E3F">
        <w:t>5</w:t>
      </w:r>
      <w:r>
        <w:t>. Broj obrta po jedinicama lokalne samouprave u Krapinsko- zagorskoj županiji 2018.-2019.</w:t>
      </w:r>
    </w:p>
    <w:tbl>
      <w:tblPr>
        <w:tblStyle w:val="Tamnatablicareetke5-isticanje11"/>
        <w:tblW w:w="9346" w:type="dxa"/>
        <w:tblInd w:w="-5" w:type="dxa"/>
        <w:tblLook w:val="04A0" w:firstRow="1" w:lastRow="0" w:firstColumn="1" w:lastColumn="0" w:noHBand="0" w:noVBand="1"/>
      </w:tblPr>
      <w:tblGrid>
        <w:gridCol w:w="2765"/>
        <w:gridCol w:w="2976"/>
        <w:gridCol w:w="3605"/>
      </w:tblGrid>
      <w:tr w:rsidR="00AF7C74" w:rsidRPr="00AF7C74" w14:paraId="19706876" w14:textId="77777777" w:rsidTr="00E229ED">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2765" w:type="dxa"/>
            <w:vAlign w:val="center"/>
            <w:hideMark/>
          </w:tcPr>
          <w:p w14:paraId="5B8BDE84" w14:textId="77777777" w:rsidR="00AF7C74" w:rsidRPr="00AF7C74" w:rsidRDefault="00AF7C74" w:rsidP="00E229ED">
            <w:pPr>
              <w:spacing w:line="264" w:lineRule="auto"/>
              <w:jc w:val="center"/>
              <w:rPr>
                <w:rFonts w:eastAsiaTheme="minorEastAsia" w:cstheme="minorHAnsi"/>
                <w:color w:val="FFFFFF"/>
                <w:szCs w:val="18"/>
                <w:lang w:eastAsia="hr-HR"/>
              </w:rPr>
            </w:pPr>
            <w:r w:rsidRPr="00AF7C74">
              <w:rPr>
                <w:rFonts w:eastAsiaTheme="minorEastAsia" w:cstheme="minorHAnsi"/>
                <w:color w:val="FFFFFF"/>
                <w:szCs w:val="18"/>
                <w:lang w:eastAsia="hr-HR"/>
              </w:rPr>
              <w:t>OPĆINA/GRAD</w:t>
            </w:r>
          </w:p>
        </w:tc>
        <w:tc>
          <w:tcPr>
            <w:tcW w:w="2976" w:type="dxa"/>
            <w:vAlign w:val="center"/>
            <w:hideMark/>
          </w:tcPr>
          <w:p w14:paraId="1FE4597A" w14:textId="77777777" w:rsidR="00AF7C74" w:rsidRPr="00AF7C74" w:rsidRDefault="00AF7C74" w:rsidP="00E229ED">
            <w:pPr>
              <w:spacing w:line="264" w:lineRule="auto"/>
              <w:jc w:val="center"/>
              <w:cnfStyle w:val="100000000000" w:firstRow="1" w:lastRow="0" w:firstColumn="0" w:lastColumn="0" w:oddVBand="0" w:evenVBand="0" w:oddHBand="0" w:evenHBand="0" w:firstRowFirstColumn="0" w:firstRowLastColumn="0" w:lastRowFirstColumn="0" w:lastRowLastColumn="0"/>
              <w:rPr>
                <w:rFonts w:eastAsiaTheme="minorEastAsia" w:cstheme="minorHAnsi"/>
                <w:color w:val="FFFFFF"/>
                <w:szCs w:val="18"/>
                <w:lang w:eastAsia="hr-HR"/>
              </w:rPr>
            </w:pPr>
            <w:r w:rsidRPr="00AF7C74">
              <w:rPr>
                <w:rFonts w:eastAsiaTheme="minorEastAsia" w:cstheme="minorHAnsi"/>
                <w:color w:val="FFFFFF"/>
                <w:szCs w:val="18"/>
                <w:lang w:eastAsia="hr-HR"/>
              </w:rPr>
              <w:t>2018</w:t>
            </w:r>
          </w:p>
        </w:tc>
        <w:tc>
          <w:tcPr>
            <w:tcW w:w="3605" w:type="dxa"/>
            <w:vAlign w:val="center"/>
            <w:hideMark/>
          </w:tcPr>
          <w:p w14:paraId="164969E6" w14:textId="77777777" w:rsidR="00AF7C74" w:rsidRPr="00AF7C74" w:rsidRDefault="00AF7C74" w:rsidP="00E229ED">
            <w:pPr>
              <w:spacing w:line="264" w:lineRule="auto"/>
              <w:jc w:val="center"/>
              <w:cnfStyle w:val="100000000000" w:firstRow="1" w:lastRow="0" w:firstColumn="0" w:lastColumn="0" w:oddVBand="0" w:evenVBand="0" w:oddHBand="0" w:evenHBand="0" w:firstRowFirstColumn="0" w:firstRowLastColumn="0" w:lastRowFirstColumn="0" w:lastRowLastColumn="0"/>
              <w:rPr>
                <w:rFonts w:eastAsiaTheme="minorEastAsia" w:cstheme="minorHAnsi"/>
                <w:color w:val="FFFFFF"/>
                <w:szCs w:val="18"/>
                <w:lang w:eastAsia="hr-HR"/>
              </w:rPr>
            </w:pPr>
            <w:r w:rsidRPr="00AF7C74">
              <w:rPr>
                <w:rFonts w:eastAsiaTheme="minorEastAsia" w:cstheme="minorHAnsi"/>
                <w:color w:val="FFFFFF"/>
                <w:szCs w:val="18"/>
                <w:lang w:eastAsia="hr-HR"/>
              </w:rPr>
              <w:t>2019</w:t>
            </w:r>
          </w:p>
        </w:tc>
      </w:tr>
      <w:tr w:rsidR="00AF7C74" w:rsidRPr="00AF7C74" w14:paraId="4B0B1F85" w14:textId="77777777" w:rsidTr="00E229ED">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2765" w:type="dxa"/>
            <w:hideMark/>
          </w:tcPr>
          <w:p w14:paraId="08642A6C"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BEDEKOVČINA</w:t>
            </w:r>
          </w:p>
        </w:tc>
        <w:tc>
          <w:tcPr>
            <w:tcW w:w="2976" w:type="dxa"/>
            <w:noWrap/>
            <w:hideMark/>
          </w:tcPr>
          <w:p w14:paraId="05BC2384"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131</w:t>
            </w:r>
          </w:p>
        </w:tc>
        <w:tc>
          <w:tcPr>
            <w:tcW w:w="3605" w:type="dxa"/>
            <w:noWrap/>
            <w:hideMark/>
          </w:tcPr>
          <w:p w14:paraId="1DAB2DDC"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143</w:t>
            </w:r>
          </w:p>
        </w:tc>
      </w:tr>
      <w:tr w:rsidR="00E229ED" w:rsidRPr="00AF7C74" w14:paraId="39D78356" w14:textId="77777777" w:rsidTr="00E229ED">
        <w:trPr>
          <w:trHeight w:val="417"/>
        </w:trPr>
        <w:tc>
          <w:tcPr>
            <w:cnfStyle w:val="001000000000" w:firstRow="0" w:lastRow="0" w:firstColumn="1" w:lastColumn="0" w:oddVBand="0" w:evenVBand="0" w:oddHBand="0" w:evenHBand="0" w:firstRowFirstColumn="0" w:firstRowLastColumn="0" w:lastRowFirstColumn="0" w:lastRowLastColumn="0"/>
            <w:tcW w:w="2765" w:type="dxa"/>
          </w:tcPr>
          <w:p w14:paraId="585D3718" w14:textId="28FDAA4D" w:rsidR="00E229ED" w:rsidRPr="00AF7C74" w:rsidRDefault="00E229ED" w:rsidP="00AF7C74">
            <w:pPr>
              <w:rPr>
                <w:rFonts w:cstheme="minorHAnsi"/>
                <w:color w:val="FFFFFF"/>
                <w:szCs w:val="18"/>
                <w:lang w:eastAsia="hr-HR"/>
              </w:rPr>
            </w:pPr>
            <w:r w:rsidRPr="00E229ED">
              <w:rPr>
                <w:rFonts w:cstheme="minorHAnsi"/>
                <w:color w:val="FFFFFF"/>
                <w:szCs w:val="18"/>
                <w:lang w:eastAsia="hr-HR"/>
              </w:rPr>
              <w:t>BUDINŠĆINA</w:t>
            </w:r>
          </w:p>
        </w:tc>
        <w:tc>
          <w:tcPr>
            <w:tcW w:w="2976" w:type="dxa"/>
            <w:noWrap/>
          </w:tcPr>
          <w:p w14:paraId="0B17835E" w14:textId="419E18EA" w:rsidR="00E229ED" w:rsidRPr="00AF7C74" w:rsidRDefault="00E229ED" w:rsidP="00AF7C74">
            <w:pPr>
              <w:jc w:val="center"/>
              <w:cnfStyle w:val="000000000000" w:firstRow="0" w:lastRow="0" w:firstColumn="0" w:lastColumn="0" w:oddVBand="0" w:evenVBand="0" w:oddHBand="0" w:evenHBand="0" w:firstRowFirstColumn="0" w:firstRowLastColumn="0" w:lastRowFirstColumn="0" w:lastRowLastColumn="0"/>
              <w:rPr>
                <w:rFonts w:cstheme="minorHAnsi"/>
                <w:b/>
                <w:bCs/>
                <w:color w:val="auto"/>
                <w:szCs w:val="18"/>
                <w:lang w:eastAsia="hr-HR"/>
              </w:rPr>
            </w:pPr>
            <w:r>
              <w:rPr>
                <w:rFonts w:cstheme="minorHAnsi"/>
                <w:b/>
                <w:bCs/>
                <w:color w:val="auto"/>
                <w:szCs w:val="18"/>
                <w:lang w:eastAsia="hr-HR"/>
              </w:rPr>
              <w:t>31</w:t>
            </w:r>
          </w:p>
        </w:tc>
        <w:tc>
          <w:tcPr>
            <w:tcW w:w="3605" w:type="dxa"/>
            <w:noWrap/>
          </w:tcPr>
          <w:p w14:paraId="201752FD" w14:textId="3F8B9516" w:rsidR="00E229ED" w:rsidRPr="00AF7C74" w:rsidRDefault="00E229ED" w:rsidP="00AF7C74">
            <w:pPr>
              <w:jc w:val="center"/>
              <w:cnfStyle w:val="000000000000" w:firstRow="0" w:lastRow="0" w:firstColumn="0" w:lastColumn="0" w:oddVBand="0" w:evenVBand="0" w:oddHBand="0" w:evenHBand="0" w:firstRowFirstColumn="0" w:firstRowLastColumn="0" w:lastRowFirstColumn="0" w:lastRowLastColumn="0"/>
              <w:rPr>
                <w:rFonts w:cstheme="minorHAnsi"/>
                <w:b/>
                <w:bCs/>
                <w:color w:val="auto"/>
                <w:szCs w:val="18"/>
                <w:lang w:eastAsia="hr-HR"/>
              </w:rPr>
            </w:pPr>
            <w:r>
              <w:rPr>
                <w:rFonts w:cstheme="minorHAnsi"/>
                <w:b/>
                <w:bCs/>
                <w:color w:val="auto"/>
                <w:szCs w:val="18"/>
                <w:lang w:eastAsia="hr-HR"/>
              </w:rPr>
              <w:t>30</w:t>
            </w:r>
          </w:p>
        </w:tc>
      </w:tr>
      <w:tr w:rsidR="00AF7C74" w:rsidRPr="00AF7C74" w14:paraId="2A2BD4BD" w14:textId="77777777" w:rsidTr="00E229ED">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765" w:type="dxa"/>
            <w:hideMark/>
          </w:tcPr>
          <w:p w14:paraId="4B6B380D"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DESINIĆ</w:t>
            </w:r>
          </w:p>
        </w:tc>
        <w:tc>
          <w:tcPr>
            <w:tcW w:w="2976" w:type="dxa"/>
            <w:noWrap/>
            <w:hideMark/>
          </w:tcPr>
          <w:p w14:paraId="6B522B61"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35</w:t>
            </w:r>
          </w:p>
        </w:tc>
        <w:tc>
          <w:tcPr>
            <w:tcW w:w="3605" w:type="dxa"/>
            <w:noWrap/>
            <w:hideMark/>
          </w:tcPr>
          <w:p w14:paraId="4A570E37"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41</w:t>
            </w:r>
          </w:p>
        </w:tc>
      </w:tr>
      <w:tr w:rsidR="00AF7C74" w:rsidRPr="00AF7C74" w14:paraId="62448686" w14:textId="77777777" w:rsidTr="00E229ED">
        <w:trPr>
          <w:trHeight w:val="407"/>
        </w:trPr>
        <w:tc>
          <w:tcPr>
            <w:cnfStyle w:val="001000000000" w:firstRow="0" w:lastRow="0" w:firstColumn="1" w:lastColumn="0" w:oddVBand="0" w:evenVBand="0" w:oddHBand="0" w:evenHBand="0" w:firstRowFirstColumn="0" w:firstRowLastColumn="0" w:lastRowFirstColumn="0" w:lastRowLastColumn="0"/>
            <w:tcW w:w="2765" w:type="dxa"/>
            <w:hideMark/>
          </w:tcPr>
          <w:p w14:paraId="6E8D10BA"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DONJA STUBICA</w:t>
            </w:r>
          </w:p>
        </w:tc>
        <w:tc>
          <w:tcPr>
            <w:tcW w:w="2976" w:type="dxa"/>
            <w:noWrap/>
            <w:hideMark/>
          </w:tcPr>
          <w:p w14:paraId="34C7A702"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110</w:t>
            </w:r>
          </w:p>
        </w:tc>
        <w:tc>
          <w:tcPr>
            <w:tcW w:w="3605" w:type="dxa"/>
            <w:noWrap/>
            <w:hideMark/>
          </w:tcPr>
          <w:p w14:paraId="6A5EBFE1"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136</w:t>
            </w:r>
          </w:p>
        </w:tc>
      </w:tr>
      <w:tr w:rsidR="00E229ED" w:rsidRPr="00AF7C74" w14:paraId="388AC059" w14:textId="77777777" w:rsidTr="00E229ED">
        <w:trPr>
          <w:cnfStyle w:val="000000100000" w:firstRow="0" w:lastRow="0" w:firstColumn="0" w:lastColumn="0" w:oddVBand="0" w:evenVBand="0" w:oddHBand="1" w:evenHBand="0"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2765" w:type="dxa"/>
          </w:tcPr>
          <w:p w14:paraId="2D6CE7D0" w14:textId="1219146D" w:rsidR="00E229ED" w:rsidRPr="00AF7C74" w:rsidRDefault="00E229ED" w:rsidP="00AF7C74">
            <w:pPr>
              <w:rPr>
                <w:rFonts w:cstheme="minorHAnsi"/>
                <w:color w:val="FFFFFF"/>
                <w:szCs w:val="18"/>
                <w:lang w:eastAsia="hr-HR"/>
              </w:rPr>
            </w:pPr>
            <w:r w:rsidRPr="00AF7C74">
              <w:rPr>
                <w:rFonts w:eastAsiaTheme="minorEastAsia" w:cstheme="minorHAnsi"/>
                <w:color w:val="FFFFFF"/>
                <w:szCs w:val="18"/>
                <w:lang w:eastAsia="hr-HR"/>
              </w:rPr>
              <w:t>ĐURMANEC</w:t>
            </w:r>
          </w:p>
        </w:tc>
        <w:tc>
          <w:tcPr>
            <w:tcW w:w="2976" w:type="dxa"/>
            <w:noWrap/>
          </w:tcPr>
          <w:p w14:paraId="4605E457" w14:textId="6B43CE1B" w:rsidR="00E229ED" w:rsidRPr="00AF7C74" w:rsidRDefault="00E229ED" w:rsidP="00AF7C74">
            <w:pPr>
              <w:jc w:val="center"/>
              <w:cnfStyle w:val="000000100000" w:firstRow="0" w:lastRow="0" w:firstColumn="0" w:lastColumn="0" w:oddVBand="0" w:evenVBand="0" w:oddHBand="1" w:evenHBand="0" w:firstRowFirstColumn="0" w:firstRowLastColumn="0" w:lastRowFirstColumn="0" w:lastRowLastColumn="0"/>
              <w:rPr>
                <w:rFonts w:cstheme="minorHAnsi"/>
                <w:b/>
                <w:bCs/>
                <w:color w:val="auto"/>
                <w:szCs w:val="18"/>
                <w:lang w:eastAsia="hr-HR"/>
              </w:rPr>
            </w:pPr>
            <w:r>
              <w:rPr>
                <w:rFonts w:cstheme="minorHAnsi"/>
                <w:b/>
                <w:bCs/>
                <w:color w:val="auto"/>
                <w:szCs w:val="18"/>
                <w:lang w:eastAsia="hr-HR"/>
              </w:rPr>
              <w:t>73</w:t>
            </w:r>
          </w:p>
        </w:tc>
        <w:tc>
          <w:tcPr>
            <w:tcW w:w="3605" w:type="dxa"/>
            <w:noWrap/>
          </w:tcPr>
          <w:p w14:paraId="6B15A5E9" w14:textId="6C7F96B4" w:rsidR="00E229ED" w:rsidRPr="00AF7C74" w:rsidRDefault="00E229ED" w:rsidP="00AF7C74">
            <w:pPr>
              <w:jc w:val="center"/>
              <w:cnfStyle w:val="000000100000" w:firstRow="0" w:lastRow="0" w:firstColumn="0" w:lastColumn="0" w:oddVBand="0" w:evenVBand="0" w:oddHBand="1" w:evenHBand="0" w:firstRowFirstColumn="0" w:firstRowLastColumn="0" w:lastRowFirstColumn="0" w:lastRowLastColumn="0"/>
              <w:rPr>
                <w:rFonts w:cstheme="minorHAnsi"/>
                <w:b/>
                <w:bCs/>
                <w:color w:val="auto"/>
                <w:szCs w:val="18"/>
                <w:lang w:eastAsia="hr-HR"/>
              </w:rPr>
            </w:pPr>
            <w:r>
              <w:rPr>
                <w:rFonts w:cstheme="minorHAnsi"/>
                <w:b/>
                <w:bCs/>
                <w:color w:val="auto"/>
                <w:szCs w:val="18"/>
                <w:lang w:eastAsia="hr-HR"/>
              </w:rPr>
              <w:t>76</w:t>
            </w:r>
          </w:p>
        </w:tc>
      </w:tr>
      <w:tr w:rsidR="00AF7C74" w:rsidRPr="00AF7C74" w14:paraId="3A4FAAC3" w14:textId="77777777" w:rsidTr="00E229ED">
        <w:trPr>
          <w:trHeight w:val="433"/>
        </w:trPr>
        <w:tc>
          <w:tcPr>
            <w:cnfStyle w:val="001000000000" w:firstRow="0" w:lastRow="0" w:firstColumn="1" w:lastColumn="0" w:oddVBand="0" w:evenVBand="0" w:oddHBand="0" w:evenHBand="0" w:firstRowFirstColumn="0" w:firstRowLastColumn="0" w:lastRowFirstColumn="0" w:lastRowLastColumn="0"/>
            <w:tcW w:w="2765" w:type="dxa"/>
            <w:hideMark/>
          </w:tcPr>
          <w:p w14:paraId="74D604BA"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GORNJA STUBICA</w:t>
            </w:r>
          </w:p>
        </w:tc>
        <w:tc>
          <w:tcPr>
            <w:tcW w:w="2976" w:type="dxa"/>
            <w:noWrap/>
            <w:hideMark/>
          </w:tcPr>
          <w:p w14:paraId="518040AA"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70</w:t>
            </w:r>
          </w:p>
        </w:tc>
        <w:tc>
          <w:tcPr>
            <w:tcW w:w="3605" w:type="dxa"/>
            <w:noWrap/>
            <w:hideMark/>
          </w:tcPr>
          <w:p w14:paraId="403DA594"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79</w:t>
            </w:r>
          </w:p>
        </w:tc>
      </w:tr>
      <w:tr w:rsidR="00AF7C74" w:rsidRPr="00AF7C74" w14:paraId="4BBB9D80" w14:textId="77777777" w:rsidTr="00E229ED">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2765" w:type="dxa"/>
            <w:hideMark/>
          </w:tcPr>
          <w:p w14:paraId="1D56D641"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HRAŠĆINA</w:t>
            </w:r>
          </w:p>
        </w:tc>
        <w:tc>
          <w:tcPr>
            <w:tcW w:w="2976" w:type="dxa"/>
            <w:noWrap/>
            <w:hideMark/>
          </w:tcPr>
          <w:p w14:paraId="2766462B"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13</w:t>
            </w:r>
          </w:p>
        </w:tc>
        <w:tc>
          <w:tcPr>
            <w:tcW w:w="3605" w:type="dxa"/>
            <w:noWrap/>
            <w:hideMark/>
          </w:tcPr>
          <w:p w14:paraId="199EAF33"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12</w:t>
            </w:r>
          </w:p>
        </w:tc>
      </w:tr>
      <w:tr w:rsidR="00AF7C74" w:rsidRPr="00AF7C74" w14:paraId="415A178D" w14:textId="77777777" w:rsidTr="00E229ED">
        <w:trPr>
          <w:trHeight w:val="417"/>
        </w:trPr>
        <w:tc>
          <w:tcPr>
            <w:cnfStyle w:val="001000000000" w:firstRow="0" w:lastRow="0" w:firstColumn="1" w:lastColumn="0" w:oddVBand="0" w:evenVBand="0" w:oddHBand="0" w:evenHBand="0" w:firstRowFirstColumn="0" w:firstRowLastColumn="0" w:lastRowFirstColumn="0" w:lastRowLastColumn="0"/>
            <w:tcW w:w="2765" w:type="dxa"/>
            <w:hideMark/>
          </w:tcPr>
          <w:p w14:paraId="77961F1F"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HUM NA SUTLI</w:t>
            </w:r>
          </w:p>
        </w:tc>
        <w:tc>
          <w:tcPr>
            <w:tcW w:w="2976" w:type="dxa"/>
            <w:noWrap/>
            <w:hideMark/>
          </w:tcPr>
          <w:p w14:paraId="5534F07B"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92</w:t>
            </w:r>
          </w:p>
        </w:tc>
        <w:tc>
          <w:tcPr>
            <w:tcW w:w="3605" w:type="dxa"/>
            <w:noWrap/>
            <w:hideMark/>
          </w:tcPr>
          <w:p w14:paraId="6AFA8136"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97</w:t>
            </w:r>
          </w:p>
        </w:tc>
      </w:tr>
      <w:tr w:rsidR="00AF7C74" w:rsidRPr="00AF7C74" w14:paraId="38944B4B" w14:textId="77777777" w:rsidTr="00E229ED">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765" w:type="dxa"/>
            <w:hideMark/>
          </w:tcPr>
          <w:p w14:paraId="38465D7B"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JESENJE</w:t>
            </w:r>
          </w:p>
        </w:tc>
        <w:tc>
          <w:tcPr>
            <w:tcW w:w="2976" w:type="dxa"/>
            <w:noWrap/>
            <w:hideMark/>
          </w:tcPr>
          <w:p w14:paraId="7E7D08AD"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20</w:t>
            </w:r>
          </w:p>
        </w:tc>
        <w:tc>
          <w:tcPr>
            <w:tcW w:w="3605" w:type="dxa"/>
            <w:noWrap/>
            <w:hideMark/>
          </w:tcPr>
          <w:p w14:paraId="1DC2E29D"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21</w:t>
            </w:r>
          </w:p>
        </w:tc>
      </w:tr>
      <w:tr w:rsidR="00AF7C74" w:rsidRPr="00AF7C74" w14:paraId="183FED8F" w14:textId="77777777" w:rsidTr="00E229ED">
        <w:trPr>
          <w:trHeight w:val="415"/>
        </w:trPr>
        <w:tc>
          <w:tcPr>
            <w:cnfStyle w:val="001000000000" w:firstRow="0" w:lastRow="0" w:firstColumn="1" w:lastColumn="0" w:oddVBand="0" w:evenVBand="0" w:oddHBand="0" w:evenHBand="0" w:firstRowFirstColumn="0" w:firstRowLastColumn="0" w:lastRowFirstColumn="0" w:lastRowLastColumn="0"/>
            <w:tcW w:w="2765" w:type="dxa"/>
            <w:hideMark/>
          </w:tcPr>
          <w:p w14:paraId="2C19418E"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KLANJEC</w:t>
            </w:r>
          </w:p>
        </w:tc>
        <w:tc>
          <w:tcPr>
            <w:tcW w:w="2976" w:type="dxa"/>
            <w:noWrap/>
            <w:hideMark/>
          </w:tcPr>
          <w:p w14:paraId="5FF4BF19"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66</w:t>
            </w:r>
          </w:p>
        </w:tc>
        <w:tc>
          <w:tcPr>
            <w:tcW w:w="3605" w:type="dxa"/>
            <w:noWrap/>
            <w:hideMark/>
          </w:tcPr>
          <w:p w14:paraId="4B540C1B"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72</w:t>
            </w:r>
          </w:p>
        </w:tc>
      </w:tr>
      <w:tr w:rsidR="00AF7C74" w:rsidRPr="00AF7C74" w14:paraId="106C6AAD" w14:textId="77777777" w:rsidTr="00E229ED">
        <w:trPr>
          <w:cnfStyle w:val="000000100000" w:firstRow="0" w:lastRow="0" w:firstColumn="0" w:lastColumn="0" w:oddVBand="0" w:evenVBand="0" w:oddHBand="1" w:evenHBand="0" w:firstRowFirstColumn="0" w:firstRowLastColumn="0" w:lastRowFirstColumn="0" w:lastRowLastColumn="0"/>
          <w:trHeight w:val="501"/>
        </w:trPr>
        <w:tc>
          <w:tcPr>
            <w:cnfStyle w:val="001000000000" w:firstRow="0" w:lastRow="0" w:firstColumn="1" w:lastColumn="0" w:oddVBand="0" w:evenVBand="0" w:oddHBand="0" w:evenHBand="0" w:firstRowFirstColumn="0" w:firstRowLastColumn="0" w:lastRowFirstColumn="0" w:lastRowLastColumn="0"/>
            <w:tcW w:w="2765" w:type="dxa"/>
            <w:hideMark/>
          </w:tcPr>
          <w:p w14:paraId="67893314"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KRALJEVEC NA SUTLI</w:t>
            </w:r>
          </w:p>
        </w:tc>
        <w:tc>
          <w:tcPr>
            <w:tcW w:w="2976" w:type="dxa"/>
            <w:noWrap/>
            <w:hideMark/>
          </w:tcPr>
          <w:p w14:paraId="157985F2"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35</w:t>
            </w:r>
          </w:p>
        </w:tc>
        <w:tc>
          <w:tcPr>
            <w:tcW w:w="3605" w:type="dxa"/>
            <w:noWrap/>
            <w:hideMark/>
          </w:tcPr>
          <w:p w14:paraId="72145C2B"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37</w:t>
            </w:r>
          </w:p>
        </w:tc>
      </w:tr>
      <w:tr w:rsidR="00AF7C74" w:rsidRPr="00AF7C74" w14:paraId="26E7D31F" w14:textId="77777777" w:rsidTr="00E229ED">
        <w:trPr>
          <w:trHeight w:val="329"/>
        </w:trPr>
        <w:tc>
          <w:tcPr>
            <w:cnfStyle w:val="001000000000" w:firstRow="0" w:lastRow="0" w:firstColumn="1" w:lastColumn="0" w:oddVBand="0" w:evenVBand="0" w:oddHBand="0" w:evenHBand="0" w:firstRowFirstColumn="0" w:firstRowLastColumn="0" w:lastRowFirstColumn="0" w:lastRowLastColumn="0"/>
            <w:tcW w:w="2765" w:type="dxa"/>
            <w:hideMark/>
          </w:tcPr>
          <w:p w14:paraId="2A453AD4"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KRAPINA</w:t>
            </w:r>
          </w:p>
        </w:tc>
        <w:tc>
          <w:tcPr>
            <w:tcW w:w="2976" w:type="dxa"/>
            <w:noWrap/>
            <w:hideMark/>
          </w:tcPr>
          <w:p w14:paraId="3CEE9189"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256</w:t>
            </w:r>
          </w:p>
        </w:tc>
        <w:tc>
          <w:tcPr>
            <w:tcW w:w="3605" w:type="dxa"/>
            <w:noWrap/>
            <w:hideMark/>
          </w:tcPr>
          <w:p w14:paraId="2752094A"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269</w:t>
            </w:r>
          </w:p>
        </w:tc>
      </w:tr>
      <w:tr w:rsidR="00AF7C74" w:rsidRPr="00AF7C74" w14:paraId="5ED48ED0" w14:textId="77777777" w:rsidTr="00E229ED">
        <w:trPr>
          <w:cnfStyle w:val="000000100000" w:firstRow="0" w:lastRow="0" w:firstColumn="0" w:lastColumn="0" w:oddVBand="0" w:evenVBand="0" w:oddHBand="1"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2765" w:type="dxa"/>
            <w:hideMark/>
          </w:tcPr>
          <w:p w14:paraId="269B2641"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KRAPINSKE TOPLICE</w:t>
            </w:r>
          </w:p>
        </w:tc>
        <w:tc>
          <w:tcPr>
            <w:tcW w:w="2976" w:type="dxa"/>
            <w:noWrap/>
            <w:hideMark/>
          </w:tcPr>
          <w:p w14:paraId="291744DC"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105</w:t>
            </w:r>
          </w:p>
        </w:tc>
        <w:tc>
          <w:tcPr>
            <w:tcW w:w="3605" w:type="dxa"/>
            <w:noWrap/>
            <w:hideMark/>
          </w:tcPr>
          <w:p w14:paraId="7CB97D11"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112</w:t>
            </w:r>
          </w:p>
        </w:tc>
      </w:tr>
      <w:tr w:rsidR="00AF7C74" w:rsidRPr="00AF7C74" w14:paraId="06425582" w14:textId="77777777" w:rsidTr="00E229ED">
        <w:trPr>
          <w:trHeight w:val="283"/>
        </w:trPr>
        <w:tc>
          <w:tcPr>
            <w:cnfStyle w:val="001000000000" w:firstRow="0" w:lastRow="0" w:firstColumn="1" w:lastColumn="0" w:oddVBand="0" w:evenVBand="0" w:oddHBand="0" w:evenHBand="0" w:firstRowFirstColumn="0" w:firstRowLastColumn="0" w:lastRowFirstColumn="0" w:lastRowLastColumn="0"/>
            <w:tcW w:w="2765" w:type="dxa"/>
            <w:hideMark/>
          </w:tcPr>
          <w:p w14:paraId="1B7798B5"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KONJŠĆINA</w:t>
            </w:r>
          </w:p>
        </w:tc>
        <w:tc>
          <w:tcPr>
            <w:tcW w:w="2976" w:type="dxa"/>
            <w:noWrap/>
            <w:hideMark/>
          </w:tcPr>
          <w:p w14:paraId="562A14BF"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51</w:t>
            </w:r>
          </w:p>
        </w:tc>
        <w:tc>
          <w:tcPr>
            <w:tcW w:w="3605" w:type="dxa"/>
            <w:noWrap/>
            <w:hideMark/>
          </w:tcPr>
          <w:p w14:paraId="276AB7AF"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59</w:t>
            </w:r>
          </w:p>
        </w:tc>
      </w:tr>
      <w:tr w:rsidR="00AF7C74" w:rsidRPr="00AF7C74" w14:paraId="3A8E9CDB" w14:textId="77777777" w:rsidTr="00E229ED">
        <w:trPr>
          <w:cnfStyle w:val="000000100000" w:firstRow="0" w:lastRow="0" w:firstColumn="0" w:lastColumn="0" w:oddVBand="0" w:evenVBand="0" w:oddHBand="1" w:evenHBand="0" w:firstRowFirstColumn="0" w:firstRowLastColumn="0" w:lastRowFirstColumn="0" w:lastRowLastColumn="0"/>
          <w:trHeight w:val="401"/>
        </w:trPr>
        <w:tc>
          <w:tcPr>
            <w:cnfStyle w:val="001000000000" w:firstRow="0" w:lastRow="0" w:firstColumn="1" w:lastColumn="0" w:oddVBand="0" w:evenVBand="0" w:oddHBand="0" w:evenHBand="0" w:firstRowFirstColumn="0" w:firstRowLastColumn="0" w:lastRowFirstColumn="0" w:lastRowLastColumn="0"/>
            <w:tcW w:w="2765" w:type="dxa"/>
            <w:hideMark/>
          </w:tcPr>
          <w:p w14:paraId="39D70EBB"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KUMROVEC</w:t>
            </w:r>
          </w:p>
        </w:tc>
        <w:tc>
          <w:tcPr>
            <w:tcW w:w="2976" w:type="dxa"/>
            <w:noWrap/>
            <w:hideMark/>
          </w:tcPr>
          <w:p w14:paraId="0A5CDFBF"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29</w:t>
            </w:r>
          </w:p>
        </w:tc>
        <w:tc>
          <w:tcPr>
            <w:tcW w:w="3605" w:type="dxa"/>
            <w:noWrap/>
            <w:hideMark/>
          </w:tcPr>
          <w:p w14:paraId="280064A0"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33</w:t>
            </w:r>
          </w:p>
        </w:tc>
      </w:tr>
      <w:tr w:rsidR="00E229ED" w:rsidRPr="00AF7C74" w14:paraId="0DAD1F33" w14:textId="77777777" w:rsidTr="00E229ED">
        <w:trPr>
          <w:trHeight w:val="401"/>
        </w:trPr>
        <w:tc>
          <w:tcPr>
            <w:cnfStyle w:val="001000000000" w:firstRow="0" w:lastRow="0" w:firstColumn="1" w:lastColumn="0" w:oddVBand="0" w:evenVBand="0" w:oddHBand="0" w:evenHBand="0" w:firstRowFirstColumn="0" w:firstRowLastColumn="0" w:lastRowFirstColumn="0" w:lastRowLastColumn="0"/>
            <w:tcW w:w="2765" w:type="dxa"/>
          </w:tcPr>
          <w:p w14:paraId="2F92CE0F" w14:textId="23588C3E" w:rsidR="00E229ED" w:rsidRPr="00AF7C74" w:rsidRDefault="00E229ED" w:rsidP="00AF7C74">
            <w:pPr>
              <w:rPr>
                <w:rFonts w:cstheme="minorHAnsi"/>
                <w:color w:val="FFFFFF"/>
                <w:szCs w:val="18"/>
                <w:lang w:eastAsia="hr-HR"/>
              </w:rPr>
            </w:pPr>
            <w:r w:rsidRPr="00AF7C74">
              <w:rPr>
                <w:rFonts w:eastAsiaTheme="minorEastAsia" w:cstheme="minorHAnsi"/>
                <w:color w:val="FFFFFF"/>
                <w:szCs w:val="18"/>
                <w:lang w:eastAsia="hr-HR"/>
              </w:rPr>
              <w:t>LOBOR</w:t>
            </w:r>
          </w:p>
        </w:tc>
        <w:tc>
          <w:tcPr>
            <w:tcW w:w="2976" w:type="dxa"/>
            <w:noWrap/>
          </w:tcPr>
          <w:p w14:paraId="2DF7D30B" w14:textId="4ECA482E" w:rsidR="00E229ED" w:rsidRPr="00AF7C74" w:rsidRDefault="00E229ED" w:rsidP="00AF7C74">
            <w:pPr>
              <w:jc w:val="center"/>
              <w:cnfStyle w:val="000000000000" w:firstRow="0" w:lastRow="0" w:firstColumn="0" w:lastColumn="0" w:oddVBand="0" w:evenVBand="0" w:oddHBand="0" w:evenHBand="0" w:firstRowFirstColumn="0" w:firstRowLastColumn="0" w:lastRowFirstColumn="0" w:lastRowLastColumn="0"/>
              <w:rPr>
                <w:rFonts w:cstheme="minorHAnsi"/>
                <w:b/>
                <w:bCs/>
                <w:color w:val="auto"/>
                <w:szCs w:val="18"/>
                <w:lang w:eastAsia="hr-HR"/>
              </w:rPr>
            </w:pPr>
            <w:r>
              <w:rPr>
                <w:rFonts w:cstheme="minorHAnsi"/>
                <w:b/>
                <w:bCs/>
                <w:color w:val="auto"/>
                <w:szCs w:val="18"/>
                <w:lang w:eastAsia="hr-HR"/>
              </w:rPr>
              <w:t>35</w:t>
            </w:r>
          </w:p>
        </w:tc>
        <w:tc>
          <w:tcPr>
            <w:tcW w:w="3605" w:type="dxa"/>
            <w:noWrap/>
          </w:tcPr>
          <w:p w14:paraId="17680C50" w14:textId="4EC99ADF" w:rsidR="00E229ED" w:rsidRPr="00AF7C74" w:rsidRDefault="00E229ED" w:rsidP="00AF7C74">
            <w:pPr>
              <w:jc w:val="center"/>
              <w:cnfStyle w:val="000000000000" w:firstRow="0" w:lastRow="0" w:firstColumn="0" w:lastColumn="0" w:oddVBand="0" w:evenVBand="0" w:oddHBand="0" w:evenHBand="0" w:firstRowFirstColumn="0" w:firstRowLastColumn="0" w:lastRowFirstColumn="0" w:lastRowLastColumn="0"/>
              <w:rPr>
                <w:rFonts w:cstheme="minorHAnsi"/>
                <w:b/>
                <w:bCs/>
                <w:color w:val="auto"/>
                <w:szCs w:val="18"/>
                <w:lang w:eastAsia="hr-HR"/>
              </w:rPr>
            </w:pPr>
            <w:r>
              <w:rPr>
                <w:rFonts w:cstheme="minorHAnsi"/>
                <w:b/>
                <w:bCs/>
                <w:color w:val="auto"/>
                <w:szCs w:val="18"/>
                <w:lang w:eastAsia="hr-HR"/>
              </w:rPr>
              <w:t>41</w:t>
            </w:r>
          </w:p>
        </w:tc>
      </w:tr>
      <w:tr w:rsidR="00AF7C74" w:rsidRPr="00AF7C74" w14:paraId="60D1C1DF" w14:textId="77777777" w:rsidTr="00E229ED">
        <w:trPr>
          <w:cnfStyle w:val="000000100000" w:firstRow="0" w:lastRow="0" w:firstColumn="0" w:lastColumn="0" w:oddVBand="0" w:evenVBand="0" w:oddHBand="1" w:evenHBand="0" w:firstRowFirstColumn="0" w:firstRowLastColumn="0" w:lastRowFirstColumn="0" w:lastRowLastColumn="0"/>
          <w:trHeight w:val="299"/>
        </w:trPr>
        <w:tc>
          <w:tcPr>
            <w:cnfStyle w:val="001000000000" w:firstRow="0" w:lastRow="0" w:firstColumn="1" w:lastColumn="0" w:oddVBand="0" w:evenVBand="0" w:oddHBand="0" w:evenHBand="0" w:firstRowFirstColumn="0" w:firstRowLastColumn="0" w:lastRowFirstColumn="0" w:lastRowLastColumn="0"/>
            <w:tcW w:w="2765" w:type="dxa"/>
            <w:hideMark/>
          </w:tcPr>
          <w:p w14:paraId="7027827B"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MAČE</w:t>
            </w:r>
          </w:p>
        </w:tc>
        <w:tc>
          <w:tcPr>
            <w:tcW w:w="2976" w:type="dxa"/>
            <w:noWrap/>
            <w:hideMark/>
          </w:tcPr>
          <w:p w14:paraId="36C5930C"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40</w:t>
            </w:r>
          </w:p>
        </w:tc>
        <w:tc>
          <w:tcPr>
            <w:tcW w:w="3605" w:type="dxa"/>
            <w:noWrap/>
            <w:hideMark/>
          </w:tcPr>
          <w:p w14:paraId="54A6F3DF"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47</w:t>
            </w:r>
          </w:p>
        </w:tc>
      </w:tr>
      <w:tr w:rsidR="00AF7C74" w:rsidRPr="00AF7C74" w14:paraId="0284AF96" w14:textId="77777777" w:rsidTr="00E229ED">
        <w:trPr>
          <w:trHeight w:val="501"/>
        </w:trPr>
        <w:tc>
          <w:tcPr>
            <w:cnfStyle w:val="001000000000" w:firstRow="0" w:lastRow="0" w:firstColumn="1" w:lastColumn="0" w:oddVBand="0" w:evenVBand="0" w:oddHBand="0" w:evenHBand="0" w:firstRowFirstColumn="0" w:firstRowLastColumn="0" w:lastRowFirstColumn="0" w:lastRowLastColumn="0"/>
            <w:tcW w:w="2765" w:type="dxa"/>
            <w:hideMark/>
          </w:tcPr>
          <w:p w14:paraId="6A07710F"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MARIJA BISTRICA</w:t>
            </w:r>
          </w:p>
        </w:tc>
        <w:tc>
          <w:tcPr>
            <w:tcW w:w="2976" w:type="dxa"/>
            <w:noWrap/>
            <w:hideMark/>
          </w:tcPr>
          <w:p w14:paraId="3A893F9D"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137</w:t>
            </w:r>
          </w:p>
        </w:tc>
        <w:tc>
          <w:tcPr>
            <w:tcW w:w="3605" w:type="dxa"/>
            <w:noWrap/>
            <w:hideMark/>
          </w:tcPr>
          <w:p w14:paraId="3E5A4AD8"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149</w:t>
            </w:r>
          </w:p>
        </w:tc>
      </w:tr>
      <w:tr w:rsidR="00AF7C74" w:rsidRPr="00AF7C74" w14:paraId="256CAD11" w14:textId="77777777" w:rsidTr="00E229ED">
        <w:trPr>
          <w:cnfStyle w:val="000000100000" w:firstRow="0" w:lastRow="0" w:firstColumn="0" w:lastColumn="0" w:oddVBand="0" w:evenVBand="0" w:oddHBand="1" w:evenHBand="0" w:firstRowFirstColumn="0" w:firstRowLastColumn="0" w:lastRowFirstColumn="0" w:lastRowLastColumn="0"/>
          <w:trHeight w:val="325"/>
        </w:trPr>
        <w:tc>
          <w:tcPr>
            <w:cnfStyle w:val="001000000000" w:firstRow="0" w:lastRow="0" w:firstColumn="1" w:lastColumn="0" w:oddVBand="0" w:evenVBand="0" w:oddHBand="0" w:evenHBand="0" w:firstRowFirstColumn="0" w:firstRowLastColumn="0" w:lastRowFirstColumn="0" w:lastRowLastColumn="0"/>
            <w:tcW w:w="2765" w:type="dxa"/>
            <w:hideMark/>
          </w:tcPr>
          <w:p w14:paraId="3750B1D5"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MIHOVLJAN</w:t>
            </w:r>
          </w:p>
        </w:tc>
        <w:tc>
          <w:tcPr>
            <w:tcW w:w="2976" w:type="dxa"/>
            <w:noWrap/>
            <w:hideMark/>
          </w:tcPr>
          <w:p w14:paraId="2DC315E5"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26</w:t>
            </w:r>
          </w:p>
        </w:tc>
        <w:tc>
          <w:tcPr>
            <w:tcW w:w="3605" w:type="dxa"/>
            <w:noWrap/>
            <w:hideMark/>
          </w:tcPr>
          <w:p w14:paraId="302BB0AF"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30</w:t>
            </w:r>
          </w:p>
        </w:tc>
      </w:tr>
      <w:tr w:rsidR="00AF7C74" w:rsidRPr="00AF7C74" w14:paraId="1824D522" w14:textId="77777777" w:rsidTr="00E229ED">
        <w:trPr>
          <w:trHeight w:val="415"/>
        </w:trPr>
        <w:tc>
          <w:tcPr>
            <w:cnfStyle w:val="001000000000" w:firstRow="0" w:lastRow="0" w:firstColumn="1" w:lastColumn="0" w:oddVBand="0" w:evenVBand="0" w:oddHBand="0" w:evenHBand="0" w:firstRowFirstColumn="0" w:firstRowLastColumn="0" w:lastRowFirstColumn="0" w:lastRowLastColumn="0"/>
            <w:tcW w:w="2765" w:type="dxa"/>
            <w:hideMark/>
          </w:tcPr>
          <w:p w14:paraId="55381DBF"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NOVI GOLUBOVEC</w:t>
            </w:r>
          </w:p>
        </w:tc>
        <w:tc>
          <w:tcPr>
            <w:tcW w:w="2976" w:type="dxa"/>
            <w:noWrap/>
            <w:hideMark/>
          </w:tcPr>
          <w:p w14:paraId="64DA078B"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9</w:t>
            </w:r>
          </w:p>
        </w:tc>
        <w:tc>
          <w:tcPr>
            <w:tcW w:w="3605" w:type="dxa"/>
            <w:noWrap/>
            <w:hideMark/>
          </w:tcPr>
          <w:p w14:paraId="1B605390"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12</w:t>
            </w:r>
          </w:p>
        </w:tc>
      </w:tr>
      <w:tr w:rsidR="00AF7C74" w:rsidRPr="00AF7C74" w14:paraId="5AF4D68C" w14:textId="77777777" w:rsidTr="00E229ED">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765" w:type="dxa"/>
            <w:hideMark/>
          </w:tcPr>
          <w:p w14:paraId="5811313F"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OROSLAVJE</w:t>
            </w:r>
          </w:p>
        </w:tc>
        <w:tc>
          <w:tcPr>
            <w:tcW w:w="2976" w:type="dxa"/>
            <w:noWrap/>
            <w:hideMark/>
          </w:tcPr>
          <w:p w14:paraId="269B2B0F"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133</w:t>
            </w:r>
          </w:p>
        </w:tc>
        <w:tc>
          <w:tcPr>
            <w:tcW w:w="3605" w:type="dxa"/>
            <w:noWrap/>
            <w:hideMark/>
          </w:tcPr>
          <w:p w14:paraId="29CFAAE1" w14:textId="77777777" w:rsidR="00AF7C74" w:rsidRPr="00AF7C74" w:rsidRDefault="00AF7C74" w:rsidP="00AF7C74">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159</w:t>
            </w:r>
          </w:p>
        </w:tc>
      </w:tr>
      <w:tr w:rsidR="00AF7C74" w:rsidRPr="00AF7C74" w14:paraId="64E3383D" w14:textId="77777777" w:rsidTr="00E229ED">
        <w:trPr>
          <w:trHeight w:val="373"/>
        </w:trPr>
        <w:tc>
          <w:tcPr>
            <w:cnfStyle w:val="001000000000" w:firstRow="0" w:lastRow="0" w:firstColumn="1" w:lastColumn="0" w:oddVBand="0" w:evenVBand="0" w:oddHBand="0" w:evenHBand="0" w:firstRowFirstColumn="0" w:firstRowLastColumn="0" w:lastRowFirstColumn="0" w:lastRowLastColumn="0"/>
            <w:tcW w:w="2765" w:type="dxa"/>
            <w:vMerge w:val="restart"/>
            <w:hideMark/>
          </w:tcPr>
          <w:p w14:paraId="7DD790BF" w14:textId="77777777" w:rsidR="00AF7C74" w:rsidRPr="00AF7C74" w:rsidRDefault="00AF7C74" w:rsidP="00AF7C74">
            <w:pPr>
              <w:spacing w:line="264" w:lineRule="auto"/>
              <w:rPr>
                <w:rFonts w:eastAsiaTheme="minorEastAsia" w:cstheme="minorHAnsi"/>
                <w:color w:val="FFFFFF"/>
                <w:szCs w:val="18"/>
                <w:lang w:eastAsia="hr-HR"/>
              </w:rPr>
            </w:pPr>
            <w:r w:rsidRPr="00AF7C74">
              <w:rPr>
                <w:rFonts w:eastAsiaTheme="minorEastAsia" w:cstheme="minorHAnsi"/>
                <w:color w:val="FFFFFF"/>
                <w:szCs w:val="18"/>
                <w:lang w:eastAsia="hr-HR"/>
              </w:rPr>
              <w:t>PETROVSKO</w:t>
            </w:r>
          </w:p>
        </w:tc>
        <w:tc>
          <w:tcPr>
            <w:tcW w:w="2976" w:type="dxa"/>
            <w:vMerge w:val="restart"/>
            <w:noWrap/>
            <w:hideMark/>
          </w:tcPr>
          <w:p w14:paraId="51D8F210"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30</w:t>
            </w:r>
          </w:p>
        </w:tc>
        <w:tc>
          <w:tcPr>
            <w:tcW w:w="3605" w:type="dxa"/>
            <w:vMerge w:val="restart"/>
            <w:noWrap/>
            <w:hideMark/>
          </w:tcPr>
          <w:p w14:paraId="0ACB2143" w14:textId="77777777" w:rsidR="00AF7C74" w:rsidRPr="00AF7C74" w:rsidRDefault="00AF7C74" w:rsidP="00AF7C74">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AF7C74">
              <w:rPr>
                <w:rFonts w:eastAsiaTheme="minorEastAsia" w:cstheme="minorHAnsi"/>
                <w:b/>
                <w:bCs/>
                <w:color w:val="auto"/>
                <w:szCs w:val="18"/>
                <w:lang w:eastAsia="hr-HR"/>
              </w:rPr>
              <w:t>31</w:t>
            </w:r>
          </w:p>
        </w:tc>
      </w:tr>
      <w:tr w:rsidR="00AF7C74" w:rsidRPr="00AF7C74" w14:paraId="1862C37B" w14:textId="77777777" w:rsidTr="00B90B63">
        <w:trPr>
          <w:cnfStyle w:val="000000100000" w:firstRow="0" w:lastRow="0" w:firstColumn="0" w:lastColumn="0" w:oddVBand="0" w:evenVBand="0" w:oddHBand="1" w:evenHBand="0" w:firstRowFirstColumn="0" w:firstRowLastColumn="0" w:lastRowFirstColumn="0" w:lastRowLastColumn="0"/>
          <w:trHeight w:val="362"/>
        </w:trPr>
        <w:tc>
          <w:tcPr>
            <w:cnfStyle w:val="001000000000" w:firstRow="0" w:lastRow="0" w:firstColumn="1" w:lastColumn="0" w:oddVBand="0" w:evenVBand="0" w:oddHBand="0" w:evenHBand="0" w:firstRowFirstColumn="0" w:firstRowLastColumn="0" w:lastRowFirstColumn="0" w:lastRowLastColumn="0"/>
            <w:tcW w:w="2765" w:type="dxa"/>
            <w:vMerge/>
            <w:hideMark/>
          </w:tcPr>
          <w:p w14:paraId="7BF16D26" w14:textId="77777777" w:rsidR="00AF7C74" w:rsidRPr="00AF7C74" w:rsidRDefault="00AF7C74" w:rsidP="00AF7C74">
            <w:pPr>
              <w:jc w:val="left"/>
              <w:rPr>
                <w:rFonts w:ascii="Calibri" w:eastAsia="Times New Roman" w:hAnsi="Calibri" w:cs="Calibri"/>
                <w:color w:val="FFFFFF"/>
                <w:sz w:val="22"/>
                <w:lang w:eastAsia="hr-HR"/>
              </w:rPr>
            </w:pPr>
          </w:p>
        </w:tc>
        <w:tc>
          <w:tcPr>
            <w:tcW w:w="2976" w:type="dxa"/>
            <w:vMerge/>
            <w:hideMark/>
          </w:tcPr>
          <w:p w14:paraId="77F547B5" w14:textId="77777777" w:rsidR="00AF7C74" w:rsidRPr="00AF7C74" w:rsidRDefault="00AF7C74" w:rsidP="00AF7C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22"/>
                <w:lang w:eastAsia="hr-HR"/>
              </w:rPr>
            </w:pPr>
          </w:p>
        </w:tc>
        <w:tc>
          <w:tcPr>
            <w:tcW w:w="3605" w:type="dxa"/>
            <w:vMerge/>
            <w:hideMark/>
          </w:tcPr>
          <w:p w14:paraId="17CCE32B" w14:textId="77777777" w:rsidR="00AF7C74" w:rsidRPr="00AF7C74" w:rsidRDefault="00AF7C74" w:rsidP="00AF7C74">
            <w:pPr>
              <w:jc w:val="center"/>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auto"/>
                <w:sz w:val="22"/>
                <w:lang w:eastAsia="hr-HR"/>
              </w:rPr>
            </w:pPr>
          </w:p>
        </w:tc>
      </w:tr>
      <w:tr w:rsidR="00AF7C74" w:rsidRPr="00AF7C74" w14:paraId="3E778EA8" w14:textId="77777777" w:rsidTr="00E229ED">
        <w:trPr>
          <w:trHeight w:val="420"/>
        </w:trPr>
        <w:tc>
          <w:tcPr>
            <w:cnfStyle w:val="001000000000" w:firstRow="0" w:lastRow="0" w:firstColumn="1" w:lastColumn="0" w:oddVBand="0" w:evenVBand="0" w:oddHBand="0" w:evenHBand="0" w:firstRowFirstColumn="0" w:firstRowLastColumn="0" w:lastRowFirstColumn="0" w:lastRowLastColumn="0"/>
            <w:tcW w:w="2765" w:type="dxa"/>
            <w:hideMark/>
          </w:tcPr>
          <w:p w14:paraId="1FF20F31" w14:textId="77777777" w:rsidR="00AF7C74" w:rsidRPr="00E229ED" w:rsidRDefault="00AF7C74" w:rsidP="00E229ED">
            <w:pPr>
              <w:spacing w:line="264" w:lineRule="auto"/>
              <w:rPr>
                <w:rFonts w:eastAsiaTheme="minorEastAsia" w:cstheme="minorHAnsi"/>
                <w:color w:val="FFFFFF"/>
                <w:szCs w:val="18"/>
                <w:lang w:eastAsia="hr-HR"/>
              </w:rPr>
            </w:pPr>
            <w:r w:rsidRPr="00E229ED">
              <w:rPr>
                <w:rFonts w:eastAsiaTheme="minorEastAsia" w:cstheme="minorHAnsi"/>
                <w:color w:val="FFFFFF"/>
                <w:szCs w:val="18"/>
                <w:lang w:eastAsia="hr-HR"/>
              </w:rPr>
              <w:t>PREGRADA</w:t>
            </w:r>
          </w:p>
        </w:tc>
        <w:tc>
          <w:tcPr>
            <w:tcW w:w="2976" w:type="dxa"/>
            <w:noWrap/>
            <w:hideMark/>
          </w:tcPr>
          <w:p w14:paraId="243D858C" w14:textId="77777777" w:rsidR="00AF7C74" w:rsidRPr="00E229ED" w:rsidRDefault="00AF7C74" w:rsidP="00E229ED">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132</w:t>
            </w:r>
          </w:p>
        </w:tc>
        <w:tc>
          <w:tcPr>
            <w:tcW w:w="3605" w:type="dxa"/>
            <w:noWrap/>
            <w:hideMark/>
          </w:tcPr>
          <w:p w14:paraId="67390EEB" w14:textId="77777777" w:rsidR="00AF7C74" w:rsidRPr="00E229ED" w:rsidRDefault="00AF7C74" w:rsidP="00E229ED">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138</w:t>
            </w:r>
          </w:p>
        </w:tc>
      </w:tr>
      <w:tr w:rsidR="00AF7C74" w:rsidRPr="00AF7C74" w14:paraId="5625298A" w14:textId="77777777" w:rsidTr="00E229ED">
        <w:trPr>
          <w:cnfStyle w:val="000000100000" w:firstRow="0" w:lastRow="0" w:firstColumn="0" w:lastColumn="0" w:oddVBand="0" w:evenVBand="0" w:oddHBand="1" w:evenHBand="0" w:firstRowFirstColumn="0" w:firstRowLastColumn="0" w:lastRowFirstColumn="0" w:lastRowLastColumn="0"/>
          <w:trHeight w:val="412"/>
        </w:trPr>
        <w:tc>
          <w:tcPr>
            <w:cnfStyle w:val="001000000000" w:firstRow="0" w:lastRow="0" w:firstColumn="1" w:lastColumn="0" w:oddVBand="0" w:evenVBand="0" w:oddHBand="0" w:evenHBand="0" w:firstRowFirstColumn="0" w:firstRowLastColumn="0" w:lastRowFirstColumn="0" w:lastRowLastColumn="0"/>
            <w:tcW w:w="2765" w:type="dxa"/>
            <w:hideMark/>
          </w:tcPr>
          <w:p w14:paraId="0BA89275" w14:textId="77777777" w:rsidR="00AF7C74" w:rsidRPr="00E229ED" w:rsidRDefault="00AF7C74" w:rsidP="00E229ED">
            <w:pPr>
              <w:spacing w:line="264" w:lineRule="auto"/>
              <w:rPr>
                <w:rFonts w:eastAsiaTheme="minorEastAsia" w:cstheme="minorHAnsi"/>
                <w:color w:val="FFFFFF"/>
                <w:szCs w:val="18"/>
                <w:lang w:eastAsia="hr-HR"/>
              </w:rPr>
            </w:pPr>
            <w:r w:rsidRPr="00E229ED">
              <w:rPr>
                <w:rFonts w:eastAsiaTheme="minorEastAsia" w:cstheme="minorHAnsi"/>
                <w:color w:val="FFFFFF"/>
                <w:szCs w:val="18"/>
                <w:lang w:eastAsia="hr-HR"/>
              </w:rPr>
              <w:t>RADOBOJ</w:t>
            </w:r>
          </w:p>
        </w:tc>
        <w:tc>
          <w:tcPr>
            <w:tcW w:w="2976" w:type="dxa"/>
            <w:noWrap/>
            <w:hideMark/>
          </w:tcPr>
          <w:p w14:paraId="5D075AA9"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E229ED">
              <w:rPr>
                <w:rFonts w:eastAsiaTheme="minorEastAsia" w:cstheme="minorHAnsi"/>
                <w:b/>
                <w:bCs/>
                <w:color w:val="auto"/>
                <w:szCs w:val="18"/>
                <w:lang w:eastAsia="hr-HR"/>
              </w:rPr>
              <w:t>35</w:t>
            </w:r>
          </w:p>
        </w:tc>
        <w:tc>
          <w:tcPr>
            <w:tcW w:w="3605" w:type="dxa"/>
            <w:noWrap/>
            <w:hideMark/>
          </w:tcPr>
          <w:p w14:paraId="7E2DDC28"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E229ED">
              <w:rPr>
                <w:rFonts w:eastAsiaTheme="minorEastAsia" w:cstheme="minorHAnsi"/>
                <w:b/>
                <w:bCs/>
                <w:color w:val="auto"/>
                <w:szCs w:val="18"/>
                <w:lang w:eastAsia="hr-HR"/>
              </w:rPr>
              <w:t>38</w:t>
            </w:r>
          </w:p>
        </w:tc>
      </w:tr>
      <w:tr w:rsidR="00AF7C74" w:rsidRPr="00AF7C74" w14:paraId="587A9263" w14:textId="77777777" w:rsidTr="00E229ED">
        <w:trPr>
          <w:trHeight w:val="418"/>
        </w:trPr>
        <w:tc>
          <w:tcPr>
            <w:cnfStyle w:val="001000000000" w:firstRow="0" w:lastRow="0" w:firstColumn="1" w:lastColumn="0" w:oddVBand="0" w:evenVBand="0" w:oddHBand="0" w:evenHBand="0" w:firstRowFirstColumn="0" w:firstRowLastColumn="0" w:lastRowFirstColumn="0" w:lastRowLastColumn="0"/>
            <w:tcW w:w="2765" w:type="dxa"/>
            <w:hideMark/>
          </w:tcPr>
          <w:p w14:paraId="6AB77F54" w14:textId="77777777" w:rsidR="00AF7C74" w:rsidRPr="00E229ED" w:rsidRDefault="00AF7C74" w:rsidP="00E229ED">
            <w:pPr>
              <w:spacing w:line="264" w:lineRule="auto"/>
              <w:rPr>
                <w:rFonts w:eastAsiaTheme="minorEastAsia" w:cstheme="minorHAnsi"/>
                <w:color w:val="FFFFFF"/>
                <w:szCs w:val="18"/>
                <w:lang w:eastAsia="hr-HR"/>
              </w:rPr>
            </w:pPr>
            <w:r w:rsidRPr="00E229ED">
              <w:rPr>
                <w:rFonts w:eastAsiaTheme="minorEastAsia" w:cstheme="minorHAnsi"/>
                <w:color w:val="FFFFFF"/>
                <w:szCs w:val="18"/>
                <w:lang w:eastAsia="hr-HR"/>
              </w:rPr>
              <w:t>STUBIČKE TOPLICE</w:t>
            </w:r>
          </w:p>
        </w:tc>
        <w:tc>
          <w:tcPr>
            <w:tcW w:w="2976" w:type="dxa"/>
            <w:noWrap/>
            <w:hideMark/>
          </w:tcPr>
          <w:p w14:paraId="1C9C9E72" w14:textId="77777777" w:rsidR="00AF7C74" w:rsidRPr="00E229ED" w:rsidRDefault="00AF7C74" w:rsidP="00E229ED">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55</w:t>
            </w:r>
          </w:p>
        </w:tc>
        <w:tc>
          <w:tcPr>
            <w:tcW w:w="3605" w:type="dxa"/>
            <w:noWrap/>
            <w:hideMark/>
          </w:tcPr>
          <w:p w14:paraId="3F774897" w14:textId="77777777" w:rsidR="00AF7C74" w:rsidRPr="00E229ED" w:rsidRDefault="00AF7C74" w:rsidP="00E229ED">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70</w:t>
            </w:r>
          </w:p>
        </w:tc>
      </w:tr>
      <w:tr w:rsidR="00AF7C74" w:rsidRPr="00AF7C74" w14:paraId="3ABFC663" w14:textId="77777777" w:rsidTr="00E229ED">
        <w:trPr>
          <w:cnfStyle w:val="000000100000" w:firstRow="0" w:lastRow="0" w:firstColumn="0" w:lastColumn="0" w:oddVBand="0" w:evenVBand="0" w:oddHBand="1"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2765" w:type="dxa"/>
            <w:hideMark/>
          </w:tcPr>
          <w:p w14:paraId="714EBB99" w14:textId="77777777" w:rsidR="00AF7C74" w:rsidRPr="00E229ED" w:rsidRDefault="00AF7C74" w:rsidP="00E229ED">
            <w:pPr>
              <w:spacing w:line="264" w:lineRule="auto"/>
              <w:rPr>
                <w:rFonts w:eastAsiaTheme="minorEastAsia" w:cstheme="minorHAnsi"/>
                <w:color w:val="FFFFFF"/>
                <w:szCs w:val="18"/>
                <w:lang w:eastAsia="hr-HR"/>
              </w:rPr>
            </w:pPr>
            <w:r w:rsidRPr="00E229ED">
              <w:rPr>
                <w:rFonts w:eastAsiaTheme="minorEastAsia" w:cstheme="minorHAnsi"/>
                <w:color w:val="FFFFFF"/>
                <w:szCs w:val="18"/>
                <w:lang w:eastAsia="hr-HR"/>
              </w:rPr>
              <w:lastRenderedPageBreak/>
              <w:t>SVETI KRIŽ ZAČRETJE</w:t>
            </w:r>
          </w:p>
        </w:tc>
        <w:tc>
          <w:tcPr>
            <w:tcW w:w="2976" w:type="dxa"/>
            <w:noWrap/>
            <w:hideMark/>
          </w:tcPr>
          <w:p w14:paraId="747FE267"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E229ED">
              <w:rPr>
                <w:rFonts w:eastAsiaTheme="minorEastAsia" w:cstheme="minorHAnsi"/>
                <w:b/>
                <w:bCs/>
                <w:color w:val="auto"/>
                <w:szCs w:val="18"/>
                <w:lang w:eastAsia="hr-HR"/>
              </w:rPr>
              <w:t>106</w:t>
            </w:r>
          </w:p>
        </w:tc>
        <w:tc>
          <w:tcPr>
            <w:tcW w:w="3605" w:type="dxa"/>
            <w:noWrap/>
            <w:hideMark/>
          </w:tcPr>
          <w:p w14:paraId="691D7324"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E229ED">
              <w:rPr>
                <w:rFonts w:eastAsiaTheme="minorEastAsia" w:cstheme="minorHAnsi"/>
                <w:b/>
                <w:bCs/>
                <w:color w:val="auto"/>
                <w:szCs w:val="18"/>
                <w:lang w:eastAsia="hr-HR"/>
              </w:rPr>
              <w:t>118</w:t>
            </w:r>
          </w:p>
        </w:tc>
      </w:tr>
      <w:tr w:rsidR="00AF7C74" w:rsidRPr="00AF7C74" w14:paraId="620D839E" w14:textId="77777777" w:rsidTr="00E229ED">
        <w:trPr>
          <w:trHeight w:val="415"/>
        </w:trPr>
        <w:tc>
          <w:tcPr>
            <w:cnfStyle w:val="001000000000" w:firstRow="0" w:lastRow="0" w:firstColumn="1" w:lastColumn="0" w:oddVBand="0" w:evenVBand="0" w:oddHBand="0" w:evenHBand="0" w:firstRowFirstColumn="0" w:firstRowLastColumn="0" w:lastRowFirstColumn="0" w:lastRowLastColumn="0"/>
            <w:tcW w:w="2765" w:type="dxa"/>
            <w:hideMark/>
          </w:tcPr>
          <w:p w14:paraId="6A2A90C4" w14:textId="77777777" w:rsidR="00AF7C74" w:rsidRPr="00E229ED" w:rsidRDefault="00AF7C74" w:rsidP="00E229ED">
            <w:pPr>
              <w:spacing w:line="264" w:lineRule="auto"/>
              <w:rPr>
                <w:rFonts w:eastAsiaTheme="minorEastAsia" w:cstheme="minorHAnsi"/>
                <w:color w:val="FFFFFF"/>
                <w:szCs w:val="18"/>
                <w:lang w:eastAsia="hr-HR"/>
              </w:rPr>
            </w:pPr>
            <w:r w:rsidRPr="00E229ED">
              <w:rPr>
                <w:rFonts w:eastAsiaTheme="minorEastAsia" w:cstheme="minorHAnsi"/>
                <w:color w:val="FFFFFF"/>
                <w:szCs w:val="18"/>
                <w:lang w:eastAsia="hr-HR"/>
              </w:rPr>
              <w:t>TUHELJ</w:t>
            </w:r>
          </w:p>
        </w:tc>
        <w:tc>
          <w:tcPr>
            <w:tcW w:w="2976" w:type="dxa"/>
            <w:noWrap/>
            <w:hideMark/>
          </w:tcPr>
          <w:p w14:paraId="7E009002" w14:textId="77777777" w:rsidR="00AF7C74" w:rsidRPr="00E229ED" w:rsidRDefault="00AF7C74" w:rsidP="00E229ED">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40</w:t>
            </w:r>
          </w:p>
        </w:tc>
        <w:tc>
          <w:tcPr>
            <w:tcW w:w="3605" w:type="dxa"/>
            <w:noWrap/>
            <w:hideMark/>
          </w:tcPr>
          <w:p w14:paraId="76A190A3" w14:textId="77777777" w:rsidR="00AF7C74" w:rsidRPr="00E229ED" w:rsidRDefault="00AF7C74" w:rsidP="00E229ED">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46</w:t>
            </w:r>
          </w:p>
        </w:tc>
      </w:tr>
      <w:tr w:rsidR="00AF7C74" w:rsidRPr="00AF7C74" w14:paraId="370FBA9A" w14:textId="77777777" w:rsidTr="00E229ED">
        <w:trPr>
          <w:cnfStyle w:val="000000100000" w:firstRow="0" w:lastRow="0" w:firstColumn="0" w:lastColumn="0" w:oddVBand="0" w:evenVBand="0" w:oddHBand="1" w:evenHBand="0" w:firstRowFirstColumn="0" w:firstRowLastColumn="0" w:lastRowFirstColumn="0" w:lastRowLastColumn="0"/>
          <w:trHeight w:val="407"/>
        </w:trPr>
        <w:tc>
          <w:tcPr>
            <w:cnfStyle w:val="001000000000" w:firstRow="0" w:lastRow="0" w:firstColumn="1" w:lastColumn="0" w:oddVBand="0" w:evenVBand="0" w:oddHBand="0" w:evenHBand="0" w:firstRowFirstColumn="0" w:firstRowLastColumn="0" w:lastRowFirstColumn="0" w:lastRowLastColumn="0"/>
            <w:tcW w:w="2765" w:type="dxa"/>
            <w:hideMark/>
          </w:tcPr>
          <w:p w14:paraId="3B7F24C2" w14:textId="77777777" w:rsidR="00AF7C74" w:rsidRPr="00E229ED" w:rsidRDefault="00AF7C74" w:rsidP="00E229ED">
            <w:pPr>
              <w:spacing w:line="264" w:lineRule="auto"/>
              <w:rPr>
                <w:rFonts w:eastAsiaTheme="minorEastAsia" w:cstheme="minorHAnsi"/>
                <w:color w:val="FFFFFF"/>
                <w:szCs w:val="18"/>
                <w:lang w:eastAsia="hr-HR"/>
              </w:rPr>
            </w:pPr>
            <w:r w:rsidRPr="00E229ED">
              <w:rPr>
                <w:rFonts w:eastAsiaTheme="minorEastAsia" w:cstheme="minorHAnsi"/>
                <w:color w:val="FFFFFF"/>
                <w:szCs w:val="18"/>
                <w:lang w:eastAsia="hr-HR"/>
              </w:rPr>
              <w:t>VELIKO TRGOVIŠĆE</w:t>
            </w:r>
          </w:p>
        </w:tc>
        <w:tc>
          <w:tcPr>
            <w:tcW w:w="2976" w:type="dxa"/>
            <w:noWrap/>
            <w:hideMark/>
          </w:tcPr>
          <w:p w14:paraId="17B1F095"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E229ED">
              <w:rPr>
                <w:rFonts w:eastAsiaTheme="minorEastAsia" w:cstheme="minorHAnsi"/>
                <w:b/>
                <w:bCs/>
                <w:color w:val="auto"/>
                <w:szCs w:val="18"/>
                <w:lang w:eastAsia="hr-HR"/>
              </w:rPr>
              <w:t>102</w:t>
            </w:r>
          </w:p>
        </w:tc>
        <w:tc>
          <w:tcPr>
            <w:tcW w:w="3605" w:type="dxa"/>
            <w:noWrap/>
            <w:hideMark/>
          </w:tcPr>
          <w:p w14:paraId="20675042"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auto"/>
                <w:szCs w:val="18"/>
                <w:lang w:eastAsia="hr-HR"/>
              </w:rPr>
            </w:pPr>
            <w:r w:rsidRPr="00E229ED">
              <w:rPr>
                <w:rFonts w:eastAsiaTheme="minorEastAsia" w:cstheme="minorHAnsi"/>
                <w:b/>
                <w:bCs/>
                <w:color w:val="auto"/>
                <w:szCs w:val="18"/>
                <w:lang w:eastAsia="hr-HR"/>
              </w:rPr>
              <w:t>102</w:t>
            </w:r>
          </w:p>
        </w:tc>
      </w:tr>
      <w:tr w:rsidR="00E229ED" w:rsidRPr="00AF7C74" w14:paraId="6819CFBA" w14:textId="77777777" w:rsidTr="00E229ED">
        <w:trPr>
          <w:trHeight w:val="407"/>
        </w:trPr>
        <w:tc>
          <w:tcPr>
            <w:cnfStyle w:val="001000000000" w:firstRow="0" w:lastRow="0" w:firstColumn="1" w:lastColumn="0" w:oddVBand="0" w:evenVBand="0" w:oddHBand="0" w:evenHBand="0" w:firstRowFirstColumn="0" w:firstRowLastColumn="0" w:lastRowFirstColumn="0" w:lastRowLastColumn="0"/>
            <w:tcW w:w="2765" w:type="dxa"/>
          </w:tcPr>
          <w:p w14:paraId="62EC2F0F" w14:textId="440F82E3" w:rsidR="00E229ED" w:rsidRPr="00E229ED" w:rsidRDefault="00E229ED" w:rsidP="00E229ED">
            <w:pPr>
              <w:rPr>
                <w:rFonts w:cstheme="minorHAnsi"/>
                <w:color w:val="FFFFFF"/>
                <w:szCs w:val="18"/>
                <w:lang w:eastAsia="hr-HR"/>
              </w:rPr>
            </w:pPr>
            <w:r w:rsidRPr="00E229ED">
              <w:rPr>
                <w:rFonts w:eastAsiaTheme="minorEastAsia" w:cstheme="minorHAnsi"/>
                <w:color w:val="FFFFFF"/>
                <w:szCs w:val="18"/>
                <w:lang w:eastAsia="hr-HR"/>
              </w:rPr>
              <w:t>ZABOK</w:t>
            </w:r>
          </w:p>
        </w:tc>
        <w:tc>
          <w:tcPr>
            <w:tcW w:w="2976" w:type="dxa"/>
            <w:noWrap/>
          </w:tcPr>
          <w:p w14:paraId="19D62FE3" w14:textId="47E23BA1" w:rsidR="00E229ED" w:rsidRPr="00E229ED" w:rsidRDefault="00E229ED" w:rsidP="00E229ED">
            <w:pPr>
              <w:jc w:val="center"/>
              <w:cnfStyle w:val="000000000000" w:firstRow="0" w:lastRow="0" w:firstColumn="0" w:lastColumn="0" w:oddVBand="0" w:evenVBand="0" w:oddHBand="0" w:evenHBand="0" w:firstRowFirstColumn="0" w:firstRowLastColumn="0" w:lastRowFirstColumn="0" w:lastRowLastColumn="0"/>
              <w:rPr>
                <w:rFonts w:cstheme="minorHAnsi"/>
                <w:b/>
                <w:bCs/>
                <w:color w:val="auto"/>
                <w:szCs w:val="18"/>
                <w:lang w:eastAsia="hr-HR"/>
              </w:rPr>
            </w:pPr>
            <w:r>
              <w:rPr>
                <w:rFonts w:cstheme="minorHAnsi"/>
                <w:b/>
                <w:bCs/>
                <w:color w:val="auto"/>
                <w:szCs w:val="18"/>
                <w:lang w:eastAsia="hr-HR"/>
              </w:rPr>
              <w:t>227</w:t>
            </w:r>
          </w:p>
        </w:tc>
        <w:tc>
          <w:tcPr>
            <w:tcW w:w="3605" w:type="dxa"/>
            <w:noWrap/>
          </w:tcPr>
          <w:p w14:paraId="48F7DE59" w14:textId="0868005C" w:rsidR="00E229ED" w:rsidRPr="00E229ED" w:rsidRDefault="00E229ED" w:rsidP="00E229ED">
            <w:pPr>
              <w:jc w:val="center"/>
              <w:cnfStyle w:val="000000000000" w:firstRow="0" w:lastRow="0" w:firstColumn="0" w:lastColumn="0" w:oddVBand="0" w:evenVBand="0" w:oddHBand="0" w:evenHBand="0" w:firstRowFirstColumn="0" w:firstRowLastColumn="0" w:lastRowFirstColumn="0" w:lastRowLastColumn="0"/>
              <w:rPr>
                <w:rFonts w:cstheme="minorHAnsi"/>
                <w:b/>
                <w:bCs/>
                <w:color w:val="auto"/>
                <w:szCs w:val="18"/>
                <w:lang w:eastAsia="hr-HR"/>
              </w:rPr>
            </w:pPr>
            <w:r>
              <w:rPr>
                <w:rFonts w:cstheme="minorHAnsi"/>
                <w:b/>
                <w:bCs/>
                <w:color w:val="auto"/>
                <w:szCs w:val="18"/>
                <w:lang w:eastAsia="hr-HR"/>
              </w:rPr>
              <w:t>244</w:t>
            </w:r>
          </w:p>
        </w:tc>
      </w:tr>
      <w:tr w:rsidR="00AF7C74" w:rsidRPr="00AF7C74" w14:paraId="717AFC3E" w14:textId="77777777" w:rsidTr="00E229ED">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2765" w:type="dxa"/>
            <w:hideMark/>
          </w:tcPr>
          <w:p w14:paraId="413454C7" w14:textId="77777777" w:rsidR="00AF7C74" w:rsidRPr="00E229ED" w:rsidRDefault="00AF7C74" w:rsidP="00E229ED">
            <w:pPr>
              <w:spacing w:line="264" w:lineRule="auto"/>
              <w:rPr>
                <w:rFonts w:eastAsiaTheme="minorEastAsia" w:cstheme="minorHAnsi"/>
                <w:color w:val="FFFFFF"/>
                <w:szCs w:val="18"/>
                <w:lang w:eastAsia="hr-HR"/>
              </w:rPr>
            </w:pPr>
            <w:r w:rsidRPr="00E229ED">
              <w:rPr>
                <w:rFonts w:eastAsiaTheme="minorEastAsia" w:cstheme="minorHAnsi"/>
                <w:color w:val="FFFFFF"/>
                <w:szCs w:val="18"/>
                <w:lang w:eastAsia="hr-HR"/>
              </w:rPr>
              <w:t>ZAGORSKA SELA</w:t>
            </w:r>
          </w:p>
        </w:tc>
        <w:tc>
          <w:tcPr>
            <w:tcW w:w="2976" w:type="dxa"/>
            <w:noWrap/>
            <w:hideMark/>
          </w:tcPr>
          <w:p w14:paraId="0FA52A37"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15</w:t>
            </w:r>
          </w:p>
        </w:tc>
        <w:tc>
          <w:tcPr>
            <w:tcW w:w="3605" w:type="dxa"/>
            <w:noWrap/>
            <w:hideMark/>
          </w:tcPr>
          <w:p w14:paraId="4E51443D"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16</w:t>
            </w:r>
          </w:p>
        </w:tc>
      </w:tr>
      <w:tr w:rsidR="00AF7C74" w:rsidRPr="00AF7C74" w14:paraId="7AB1CFC6" w14:textId="77777777" w:rsidTr="00E229ED">
        <w:trPr>
          <w:trHeight w:val="409"/>
        </w:trPr>
        <w:tc>
          <w:tcPr>
            <w:cnfStyle w:val="001000000000" w:firstRow="0" w:lastRow="0" w:firstColumn="1" w:lastColumn="0" w:oddVBand="0" w:evenVBand="0" w:oddHBand="0" w:evenHBand="0" w:firstRowFirstColumn="0" w:firstRowLastColumn="0" w:lastRowFirstColumn="0" w:lastRowLastColumn="0"/>
            <w:tcW w:w="2765" w:type="dxa"/>
            <w:hideMark/>
          </w:tcPr>
          <w:p w14:paraId="162BD24F" w14:textId="77777777" w:rsidR="00AF7C74" w:rsidRPr="00E229ED" w:rsidRDefault="00AF7C74" w:rsidP="00E229ED">
            <w:pPr>
              <w:spacing w:line="264" w:lineRule="auto"/>
              <w:rPr>
                <w:rFonts w:eastAsiaTheme="minorEastAsia" w:cstheme="minorHAnsi"/>
                <w:color w:val="FFFFFF"/>
                <w:szCs w:val="18"/>
                <w:lang w:eastAsia="hr-HR"/>
              </w:rPr>
            </w:pPr>
            <w:r w:rsidRPr="00E229ED">
              <w:rPr>
                <w:rFonts w:eastAsiaTheme="minorEastAsia" w:cstheme="minorHAnsi"/>
                <w:color w:val="FFFFFF"/>
                <w:szCs w:val="18"/>
                <w:lang w:eastAsia="hr-HR"/>
              </w:rPr>
              <w:t>ZLATAR</w:t>
            </w:r>
          </w:p>
        </w:tc>
        <w:tc>
          <w:tcPr>
            <w:tcW w:w="2976" w:type="dxa"/>
            <w:noWrap/>
            <w:hideMark/>
          </w:tcPr>
          <w:p w14:paraId="2A2FD6E0" w14:textId="77777777" w:rsidR="00AF7C74" w:rsidRPr="00E229ED" w:rsidRDefault="00AF7C74" w:rsidP="00E229ED">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E229ED">
              <w:rPr>
                <w:rFonts w:eastAsiaTheme="minorEastAsia" w:cstheme="minorHAnsi"/>
                <w:b/>
                <w:bCs/>
                <w:color w:val="auto"/>
                <w:szCs w:val="18"/>
                <w:lang w:eastAsia="hr-HR"/>
              </w:rPr>
              <w:t>110</w:t>
            </w:r>
          </w:p>
        </w:tc>
        <w:tc>
          <w:tcPr>
            <w:tcW w:w="3605" w:type="dxa"/>
            <w:noWrap/>
            <w:hideMark/>
          </w:tcPr>
          <w:p w14:paraId="08530F5E" w14:textId="77777777" w:rsidR="00AF7C74" w:rsidRPr="00E229ED" w:rsidRDefault="00AF7C74" w:rsidP="00E229ED">
            <w:pPr>
              <w:spacing w:line="264" w:lineRule="auto"/>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b/>
                <w:bCs/>
                <w:color w:val="auto"/>
                <w:szCs w:val="18"/>
                <w:lang w:eastAsia="hr-HR"/>
              </w:rPr>
            </w:pPr>
            <w:r w:rsidRPr="00E229ED">
              <w:rPr>
                <w:rFonts w:eastAsiaTheme="minorEastAsia" w:cstheme="minorHAnsi"/>
                <w:b/>
                <w:bCs/>
                <w:color w:val="auto"/>
                <w:szCs w:val="18"/>
                <w:lang w:eastAsia="hr-HR"/>
              </w:rPr>
              <w:t>116</w:t>
            </w:r>
          </w:p>
        </w:tc>
      </w:tr>
      <w:tr w:rsidR="00AF7C74" w:rsidRPr="00AF7C74" w14:paraId="7826CDA6" w14:textId="77777777" w:rsidTr="00E229ED">
        <w:trPr>
          <w:cnfStyle w:val="000000100000" w:firstRow="0" w:lastRow="0" w:firstColumn="0" w:lastColumn="0" w:oddVBand="0" w:evenVBand="0" w:oddHBand="1" w:evenHBand="0" w:firstRowFirstColumn="0" w:firstRowLastColumn="0" w:lastRowFirstColumn="0" w:lastRowLastColumn="0"/>
          <w:trHeight w:val="415"/>
        </w:trPr>
        <w:tc>
          <w:tcPr>
            <w:cnfStyle w:val="001000000000" w:firstRow="0" w:lastRow="0" w:firstColumn="1" w:lastColumn="0" w:oddVBand="0" w:evenVBand="0" w:oddHBand="0" w:evenHBand="0" w:firstRowFirstColumn="0" w:firstRowLastColumn="0" w:lastRowFirstColumn="0" w:lastRowLastColumn="0"/>
            <w:tcW w:w="2765" w:type="dxa"/>
            <w:hideMark/>
          </w:tcPr>
          <w:p w14:paraId="127CEBB9" w14:textId="77777777" w:rsidR="00AF7C74" w:rsidRPr="00E229ED" w:rsidRDefault="00AF7C74" w:rsidP="00E229ED">
            <w:pPr>
              <w:spacing w:line="264" w:lineRule="auto"/>
              <w:rPr>
                <w:rFonts w:eastAsiaTheme="minorEastAsia" w:cstheme="minorHAnsi"/>
                <w:color w:val="FFFFFF"/>
                <w:szCs w:val="18"/>
                <w:lang w:eastAsia="hr-HR"/>
              </w:rPr>
            </w:pPr>
            <w:r w:rsidRPr="00E229ED">
              <w:rPr>
                <w:rFonts w:eastAsiaTheme="minorEastAsia" w:cstheme="minorHAnsi"/>
                <w:color w:val="FFFFFF"/>
                <w:szCs w:val="18"/>
                <w:lang w:eastAsia="hr-HR"/>
              </w:rPr>
              <w:t>ZLATAR BISTRICA</w:t>
            </w:r>
          </w:p>
        </w:tc>
        <w:tc>
          <w:tcPr>
            <w:tcW w:w="2976" w:type="dxa"/>
            <w:noWrap/>
            <w:hideMark/>
          </w:tcPr>
          <w:p w14:paraId="5D6BD75F"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49</w:t>
            </w:r>
          </w:p>
        </w:tc>
        <w:tc>
          <w:tcPr>
            <w:tcW w:w="3605" w:type="dxa"/>
            <w:noWrap/>
            <w:hideMark/>
          </w:tcPr>
          <w:p w14:paraId="0D323613" w14:textId="77777777" w:rsidR="00AF7C74" w:rsidRPr="00E229ED" w:rsidRDefault="00AF7C74" w:rsidP="00E229ED">
            <w:pPr>
              <w:spacing w:line="264" w:lineRule="auto"/>
              <w:jc w:val="center"/>
              <w:cnfStyle w:val="000000100000" w:firstRow="0" w:lastRow="0" w:firstColumn="0" w:lastColumn="0" w:oddVBand="0" w:evenVBand="0" w:oddHBand="1" w:evenHBand="0" w:firstRowFirstColumn="0" w:firstRowLastColumn="0" w:lastRowFirstColumn="0" w:lastRowLastColumn="0"/>
              <w:rPr>
                <w:rFonts w:eastAsiaTheme="minorEastAsia" w:cstheme="minorHAnsi"/>
                <w:color w:val="auto"/>
                <w:szCs w:val="18"/>
                <w:lang w:eastAsia="hr-HR"/>
              </w:rPr>
            </w:pPr>
            <w:r w:rsidRPr="00E229ED">
              <w:rPr>
                <w:rFonts w:eastAsiaTheme="minorEastAsia" w:cstheme="minorHAnsi"/>
                <w:color w:val="auto"/>
                <w:szCs w:val="18"/>
                <w:lang w:eastAsia="hr-HR"/>
              </w:rPr>
              <w:t>54</w:t>
            </w:r>
          </w:p>
        </w:tc>
      </w:tr>
      <w:tr w:rsidR="000468C6" w:rsidRPr="00AF7C74" w14:paraId="21C66033" w14:textId="77777777" w:rsidTr="000468C6">
        <w:trPr>
          <w:trHeight w:val="415"/>
        </w:trPr>
        <w:tc>
          <w:tcPr>
            <w:cnfStyle w:val="001000000000" w:firstRow="0" w:lastRow="0" w:firstColumn="1" w:lastColumn="0" w:oddVBand="0" w:evenVBand="0" w:oddHBand="0" w:evenHBand="0" w:firstRowFirstColumn="0" w:firstRowLastColumn="0" w:lastRowFirstColumn="0" w:lastRowLastColumn="0"/>
            <w:tcW w:w="2765" w:type="dxa"/>
            <w:vAlign w:val="center"/>
          </w:tcPr>
          <w:p w14:paraId="4D82D461" w14:textId="1F6A06BC" w:rsidR="000468C6" w:rsidRPr="000468C6" w:rsidRDefault="000468C6" w:rsidP="000468C6">
            <w:pPr>
              <w:jc w:val="center"/>
              <w:rPr>
                <w:rFonts w:cstheme="minorHAnsi"/>
                <w:color w:val="FFFFFF"/>
                <w:szCs w:val="18"/>
                <w:lang w:eastAsia="hr-HR"/>
              </w:rPr>
            </w:pPr>
            <w:r w:rsidRPr="000468C6">
              <w:rPr>
                <w:rFonts w:cstheme="minorHAnsi"/>
                <w:color w:val="FFFFFF"/>
                <w:szCs w:val="18"/>
                <w:lang w:eastAsia="hr-HR"/>
              </w:rPr>
              <w:t>UKUPNO</w:t>
            </w:r>
          </w:p>
        </w:tc>
        <w:tc>
          <w:tcPr>
            <w:tcW w:w="2976" w:type="dxa"/>
            <w:noWrap/>
            <w:vAlign w:val="center"/>
          </w:tcPr>
          <w:p w14:paraId="2F1A5BB1" w14:textId="692C54FB" w:rsidR="000468C6" w:rsidRPr="000468C6" w:rsidRDefault="000468C6" w:rsidP="000468C6">
            <w:pPr>
              <w:jc w:val="center"/>
              <w:cnfStyle w:val="000000000000" w:firstRow="0" w:lastRow="0" w:firstColumn="0" w:lastColumn="0" w:oddVBand="0" w:evenVBand="0" w:oddHBand="0" w:evenHBand="0" w:firstRowFirstColumn="0" w:firstRowLastColumn="0" w:lastRowFirstColumn="0" w:lastRowLastColumn="0"/>
              <w:rPr>
                <w:rFonts w:cstheme="minorHAnsi"/>
                <w:b/>
                <w:bCs/>
                <w:color w:val="auto"/>
                <w:szCs w:val="18"/>
                <w:lang w:eastAsia="hr-HR"/>
              </w:rPr>
            </w:pPr>
            <w:r w:rsidRPr="000468C6">
              <w:rPr>
                <w:rFonts w:cstheme="minorHAnsi"/>
                <w:b/>
                <w:bCs/>
                <w:color w:val="auto"/>
                <w:szCs w:val="18"/>
                <w:lang w:eastAsia="hr-HR"/>
              </w:rPr>
              <w:t>2398</w:t>
            </w:r>
          </w:p>
        </w:tc>
        <w:tc>
          <w:tcPr>
            <w:tcW w:w="3605" w:type="dxa"/>
            <w:noWrap/>
            <w:vAlign w:val="center"/>
          </w:tcPr>
          <w:p w14:paraId="213C4F99" w14:textId="07F25BBC" w:rsidR="000468C6" w:rsidRPr="000468C6" w:rsidRDefault="000468C6" w:rsidP="000468C6">
            <w:pPr>
              <w:jc w:val="center"/>
              <w:cnfStyle w:val="000000000000" w:firstRow="0" w:lastRow="0" w:firstColumn="0" w:lastColumn="0" w:oddVBand="0" w:evenVBand="0" w:oddHBand="0" w:evenHBand="0" w:firstRowFirstColumn="0" w:firstRowLastColumn="0" w:lastRowFirstColumn="0" w:lastRowLastColumn="0"/>
              <w:rPr>
                <w:rFonts w:cstheme="minorHAnsi"/>
                <w:b/>
                <w:bCs/>
                <w:color w:val="auto"/>
                <w:szCs w:val="18"/>
                <w:lang w:eastAsia="hr-HR"/>
              </w:rPr>
            </w:pPr>
            <w:r w:rsidRPr="000468C6">
              <w:rPr>
                <w:rFonts w:cstheme="minorHAnsi"/>
                <w:b/>
                <w:bCs/>
                <w:color w:val="auto"/>
                <w:szCs w:val="18"/>
                <w:lang w:eastAsia="hr-HR"/>
              </w:rPr>
              <w:t>2628</w:t>
            </w:r>
          </w:p>
        </w:tc>
      </w:tr>
    </w:tbl>
    <w:p w14:paraId="51F6ADA8" w14:textId="5BAA05EF" w:rsidR="00AF7C74" w:rsidRPr="006207AF" w:rsidRDefault="00AF7C74"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OKKZŽ, 2020. godina</w:t>
      </w:r>
    </w:p>
    <w:p w14:paraId="24B295E4" w14:textId="77777777" w:rsidR="007B3024" w:rsidRPr="00AF7C74" w:rsidRDefault="007B3024" w:rsidP="00AF7C74">
      <w:pPr>
        <w:pStyle w:val="Izvor"/>
        <w:rPr>
          <w:i/>
          <w:color w:val="ABABAB" w:themeColor="text1" w:themeTint="A6"/>
          <w:szCs w:val="18"/>
        </w:rPr>
      </w:pPr>
    </w:p>
    <w:p w14:paraId="779CF683" w14:textId="77777777" w:rsidR="007B3024" w:rsidRDefault="007B3024" w:rsidP="007B3024">
      <w:pPr>
        <w:ind w:left="116" w:right="72"/>
        <w:rPr>
          <w:rFonts w:eastAsia="Arial Narrow" w:cstheme="minorHAnsi"/>
        </w:rPr>
      </w:pPr>
      <w:r>
        <w:rPr>
          <w:rFonts w:eastAsia="Arial Narrow" w:cstheme="minorHAnsi"/>
        </w:rPr>
        <w:t>F</w:t>
      </w:r>
      <w:r>
        <w:rPr>
          <w:rFonts w:eastAsia="Arial Narrow" w:cstheme="minorHAnsi"/>
          <w:spacing w:val="1"/>
        </w:rPr>
        <w:t>i</w:t>
      </w:r>
      <w:r>
        <w:rPr>
          <w:rFonts w:eastAsia="Arial Narrow" w:cstheme="minorHAnsi"/>
        </w:rPr>
        <w:t>nan</w:t>
      </w:r>
      <w:r>
        <w:rPr>
          <w:rFonts w:eastAsia="Arial Narrow" w:cstheme="minorHAnsi"/>
          <w:spacing w:val="-2"/>
        </w:rPr>
        <w:t>c</w:t>
      </w:r>
      <w:r>
        <w:rPr>
          <w:rFonts w:eastAsia="Arial Narrow" w:cstheme="minorHAnsi"/>
          <w:spacing w:val="1"/>
        </w:rPr>
        <w:t>ij</w:t>
      </w:r>
      <w:r>
        <w:rPr>
          <w:rFonts w:eastAsia="Arial Narrow" w:cstheme="minorHAnsi"/>
          <w:spacing w:val="-2"/>
        </w:rPr>
        <w:t>s</w:t>
      </w:r>
      <w:r>
        <w:rPr>
          <w:rFonts w:eastAsia="Arial Narrow" w:cstheme="minorHAnsi"/>
          <w:spacing w:val="1"/>
        </w:rPr>
        <w:t>k</w:t>
      </w:r>
      <w:r>
        <w:rPr>
          <w:rFonts w:eastAsia="Arial Narrow" w:cstheme="minorHAnsi"/>
        </w:rPr>
        <w:t>e rezultate poslovanja obrta, koji se zasnivaju na</w:t>
      </w:r>
      <w:r>
        <w:rPr>
          <w:rFonts w:eastAsia="Arial Narrow" w:cstheme="minorHAnsi"/>
          <w:spacing w:val="2"/>
        </w:rPr>
        <w:t xml:space="preserve"> </w:t>
      </w:r>
      <w:r>
        <w:rPr>
          <w:rFonts w:eastAsia="Arial Narrow" w:cstheme="minorHAnsi"/>
          <w:spacing w:val="-2"/>
        </w:rPr>
        <w:t>p</w:t>
      </w:r>
      <w:r>
        <w:rPr>
          <w:rFonts w:eastAsia="Arial Narrow" w:cstheme="minorHAnsi"/>
        </w:rPr>
        <w:t>oda</w:t>
      </w:r>
      <w:r>
        <w:rPr>
          <w:rFonts w:eastAsia="Arial Narrow" w:cstheme="minorHAnsi"/>
          <w:spacing w:val="-2"/>
        </w:rPr>
        <w:t>ci</w:t>
      </w:r>
      <w:r>
        <w:rPr>
          <w:rFonts w:eastAsia="Arial Narrow" w:cstheme="minorHAnsi"/>
        </w:rPr>
        <w:t>ma</w:t>
      </w:r>
      <w:r>
        <w:rPr>
          <w:rFonts w:eastAsia="Arial Narrow" w:cstheme="minorHAnsi"/>
          <w:spacing w:val="2"/>
        </w:rPr>
        <w:t xml:space="preserve"> </w:t>
      </w:r>
      <w:r>
        <w:rPr>
          <w:rFonts w:eastAsia="Arial Narrow" w:cstheme="minorHAnsi"/>
          <w:spacing w:val="-2"/>
        </w:rPr>
        <w:t>i</w:t>
      </w:r>
      <w:r>
        <w:rPr>
          <w:rFonts w:eastAsia="Arial Narrow" w:cstheme="minorHAnsi"/>
        </w:rPr>
        <w:t>z</w:t>
      </w:r>
      <w:r>
        <w:rPr>
          <w:rFonts w:eastAsia="Arial Narrow" w:cstheme="minorHAnsi"/>
          <w:spacing w:val="3"/>
        </w:rPr>
        <w:t xml:space="preserve"> </w:t>
      </w:r>
      <w:r>
        <w:rPr>
          <w:rFonts w:eastAsia="Arial Narrow" w:cstheme="minorHAnsi"/>
        </w:rPr>
        <w:t>p</w:t>
      </w:r>
      <w:r>
        <w:rPr>
          <w:rFonts w:eastAsia="Arial Narrow" w:cstheme="minorHAnsi"/>
          <w:spacing w:val="-3"/>
        </w:rPr>
        <w:t>r</w:t>
      </w:r>
      <w:r>
        <w:rPr>
          <w:rFonts w:eastAsia="Arial Narrow" w:cstheme="minorHAnsi"/>
          <w:spacing w:val="1"/>
        </w:rPr>
        <w:t>ij</w:t>
      </w:r>
      <w:r>
        <w:rPr>
          <w:rFonts w:eastAsia="Arial Narrow" w:cstheme="minorHAnsi"/>
          <w:spacing w:val="-2"/>
        </w:rPr>
        <w:t>a</w:t>
      </w:r>
      <w:r>
        <w:rPr>
          <w:rFonts w:eastAsia="Arial Narrow" w:cstheme="minorHAnsi"/>
          <w:spacing w:val="1"/>
        </w:rPr>
        <w:t>v</w:t>
      </w:r>
      <w:r>
        <w:rPr>
          <w:rFonts w:eastAsia="Arial Narrow" w:cstheme="minorHAnsi"/>
        </w:rPr>
        <w:t>a</w:t>
      </w:r>
      <w:r>
        <w:rPr>
          <w:rFonts w:eastAsia="Arial Narrow" w:cstheme="minorHAnsi"/>
          <w:spacing w:val="2"/>
        </w:rPr>
        <w:t xml:space="preserve"> </w:t>
      </w:r>
      <w:r>
        <w:rPr>
          <w:rFonts w:eastAsia="Arial Narrow" w:cstheme="minorHAnsi"/>
          <w:spacing w:val="-2"/>
        </w:rPr>
        <w:t>p</w:t>
      </w:r>
      <w:r>
        <w:rPr>
          <w:rFonts w:eastAsia="Arial Narrow" w:cstheme="minorHAnsi"/>
        </w:rPr>
        <w:t>ore</w:t>
      </w:r>
      <w:r>
        <w:rPr>
          <w:rFonts w:eastAsia="Arial Narrow" w:cstheme="minorHAnsi"/>
          <w:spacing w:val="1"/>
        </w:rPr>
        <w:t>z</w:t>
      </w:r>
      <w:r>
        <w:rPr>
          <w:rFonts w:eastAsia="Arial Narrow" w:cstheme="minorHAnsi"/>
        </w:rPr>
        <w:t>a na do</w:t>
      </w:r>
      <w:r>
        <w:rPr>
          <w:rFonts w:eastAsia="Arial Narrow" w:cstheme="minorHAnsi"/>
          <w:spacing w:val="-2"/>
        </w:rPr>
        <w:t>h</w:t>
      </w:r>
      <w:r>
        <w:rPr>
          <w:rFonts w:eastAsia="Arial Narrow" w:cstheme="minorHAnsi"/>
        </w:rPr>
        <w:t>odak i</w:t>
      </w:r>
      <w:r>
        <w:rPr>
          <w:rFonts w:eastAsia="Arial Narrow" w:cstheme="minorHAnsi"/>
          <w:spacing w:val="3"/>
        </w:rPr>
        <w:t xml:space="preserve"> </w:t>
      </w:r>
      <w:r>
        <w:rPr>
          <w:rFonts w:eastAsia="Arial Narrow" w:cstheme="minorHAnsi"/>
          <w:spacing w:val="-2"/>
        </w:rPr>
        <w:t>p</w:t>
      </w:r>
      <w:r>
        <w:rPr>
          <w:rFonts w:eastAsia="Arial Narrow" w:cstheme="minorHAnsi"/>
        </w:rPr>
        <w:t>ore</w:t>
      </w:r>
      <w:r>
        <w:rPr>
          <w:rFonts w:eastAsia="Arial Narrow" w:cstheme="minorHAnsi"/>
          <w:spacing w:val="1"/>
        </w:rPr>
        <w:t>z</w:t>
      </w:r>
      <w:r>
        <w:rPr>
          <w:rFonts w:eastAsia="Arial Narrow" w:cstheme="minorHAnsi"/>
        </w:rPr>
        <w:t>a na do</w:t>
      </w:r>
      <w:r>
        <w:rPr>
          <w:rFonts w:eastAsia="Arial Narrow" w:cstheme="minorHAnsi"/>
          <w:spacing w:val="-2"/>
        </w:rPr>
        <w:t>b</w:t>
      </w:r>
      <w:r>
        <w:rPr>
          <w:rFonts w:eastAsia="Arial Narrow" w:cstheme="minorHAnsi"/>
          <w:spacing w:val="1"/>
        </w:rPr>
        <w:t>i</w:t>
      </w:r>
      <w:r>
        <w:rPr>
          <w:rFonts w:eastAsia="Arial Narrow" w:cstheme="minorHAnsi"/>
        </w:rPr>
        <w:t xml:space="preserve">t </w:t>
      </w:r>
      <w:r>
        <w:rPr>
          <w:rFonts w:eastAsia="Arial Narrow" w:cstheme="minorHAnsi"/>
          <w:spacing w:val="-1"/>
        </w:rPr>
        <w:t>P</w:t>
      </w:r>
      <w:r>
        <w:rPr>
          <w:rFonts w:eastAsia="Arial Narrow" w:cstheme="minorHAnsi"/>
        </w:rPr>
        <w:t>ore</w:t>
      </w:r>
      <w:r>
        <w:rPr>
          <w:rFonts w:eastAsia="Arial Narrow" w:cstheme="minorHAnsi"/>
          <w:spacing w:val="1"/>
        </w:rPr>
        <w:t>z</w:t>
      </w:r>
      <w:r>
        <w:rPr>
          <w:rFonts w:eastAsia="Arial Narrow" w:cstheme="minorHAnsi"/>
        </w:rPr>
        <w:t>ne</w:t>
      </w:r>
      <w:r>
        <w:rPr>
          <w:rFonts w:eastAsia="Arial Narrow" w:cstheme="minorHAnsi"/>
          <w:spacing w:val="8"/>
        </w:rPr>
        <w:t xml:space="preserve"> </w:t>
      </w:r>
      <w:r>
        <w:rPr>
          <w:rFonts w:eastAsia="Arial Narrow" w:cstheme="minorHAnsi"/>
        </w:rPr>
        <w:t>upr</w:t>
      </w:r>
      <w:r>
        <w:rPr>
          <w:rFonts w:eastAsia="Arial Narrow" w:cstheme="minorHAnsi"/>
          <w:spacing w:val="-2"/>
        </w:rPr>
        <w:t>a</w:t>
      </w:r>
      <w:r>
        <w:rPr>
          <w:rFonts w:eastAsia="Arial Narrow" w:cstheme="minorHAnsi"/>
          <w:spacing w:val="1"/>
        </w:rPr>
        <w:t>v</w:t>
      </w:r>
      <w:r>
        <w:rPr>
          <w:rFonts w:eastAsia="Arial Narrow" w:cstheme="minorHAnsi"/>
        </w:rPr>
        <w:t>e</w:t>
      </w:r>
      <w:r>
        <w:rPr>
          <w:rFonts w:eastAsia="Arial Narrow" w:cstheme="minorHAnsi"/>
          <w:spacing w:val="8"/>
        </w:rPr>
        <w:t xml:space="preserve"> </w:t>
      </w:r>
      <w:r>
        <w:rPr>
          <w:rFonts w:eastAsia="Arial Narrow" w:cstheme="minorHAnsi"/>
        </w:rPr>
        <w:t>M</w:t>
      </w:r>
      <w:r>
        <w:rPr>
          <w:rFonts w:eastAsia="Arial Narrow" w:cstheme="minorHAnsi"/>
          <w:spacing w:val="-2"/>
        </w:rPr>
        <w:t>i</w:t>
      </w:r>
      <w:r>
        <w:rPr>
          <w:rFonts w:eastAsia="Arial Narrow" w:cstheme="minorHAnsi"/>
        </w:rPr>
        <w:t>n</w:t>
      </w:r>
      <w:r>
        <w:rPr>
          <w:rFonts w:eastAsia="Arial Narrow" w:cstheme="minorHAnsi"/>
          <w:spacing w:val="1"/>
        </w:rPr>
        <w:t>is</w:t>
      </w:r>
      <w:r>
        <w:rPr>
          <w:rFonts w:eastAsia="Arial Narrow" w:cstheme="minorHAnsi"/>
          <w:spacing w:val="-2"/>
        </w:rPr>
        <w:t>t</w:t>
      </w:r>
      <w:r>
        <w:rPr>
          <w:rFonts w:eastAsia="Arial Narrow" w:cstheme="minorHAnsi"/>
        </w:rPr>
        <w:t>ar</w:t>
      </w:r>
      <w:r>
        <w:rPr>
          <w:rFonts w:eastAsia="Arial Narrow" w:cstheme="minorHAnsi"/>
          <w:spacing w:val="1"/>
        </w:rPr>
        <w:t>s</w:t>
      </w:r>
      <w:r>
        <w:rPr>
          <w:rFonts w:eastAsia="Arial Narrow" w:cstheme="minorHAnsi"/>
        </w:rPr>
        <w:t>t</w:t>
      </w:r>
      <w:r>
        <w:rPr>
          <w:rFonts w:eastAsia="Arial Narrow" w:cstheme="minorHAnsi"/>
          <w:spacing w:val="-2"/>
        </w:rPr>
        <w:t>v</w:t>
      </w:r>
      <w:r>
        <w:rPr>
          <w:rFonts w:eastAsia="Arial Narrow" w:cstheme="minorHAnsi"/>
        </w:rPr>
        <w:t>a</w:t>
      </w:r>
      <w:r>
        <w:rPr>
          <w:rFonts w:eastAsia="Arial Narrow" w:cstheme="minorHAnsi"/>
          <w:spacing w:val="8"/>
        </w:rPr>
        <w:t xml:space="preserve"> </w:t>
      </w:r>
      <w:r>
        <w:rPr>
          <w:rFonts w:eastAsia="Arial Narrow" w:cstheme="minorHAnsi"/>
        </w:rPr>
        <w:t>f</w:t>
      </w:r>
      <w:r>
        <w:rPr>
          <w:rFonts w:eastAsia="Arial Narrow" w:cstheme="minorHAnsi"/>
          <w:spacing w:val="-2"/>
        </w:rPr>
        <w:t>i</w:t>
      </w:r>
      <w:r>
        <w:rPr>
          <w:rFonts w:eastAsia="Arial Narrow" w:cstheme="minorHAnsi"/>
        </w:rPr>
        <w:t>nan</w:t>
      </w:r>
      <w:r>
        <w:rPr>
          <w:rFonts w:eastAsia="Arial Narrow" w:cstheme="minorHAnsi"/>
          <w:spacing w:val="1"/>
        </w:rPr>
        <w:t>c</w:t>
      </w:r>
      <w:r>
        <w:rPr>
          <w:rFonts w:eastAsia="Arial Narrow" w:cstheme="minorHAnsi"/>
          <w:spacing w:val="-2"/>
        </w:rPr>
        <w:t>i</w:t>
      </w:r>
      <w:r>
        <w:rPr>
          <w:rFonts w:eastAsia="Arial Narrow" w:cstheme="minorHAnsi"/>
          <w:spacing w:val="1"/>
        </w:rPr>
        <w:t>j</w:t>
      </w:r>
      <w:r>
        <w:rPr>
          <w:rFonts w:eastAsia="Arial Narrow" w:cstheme="minorHAnsi"/>
        </w:rPr>
        <w:t xml:space="preserve">a nije moguće dobiti/obraditi. </w:t>
      </w:r>
      <w:r>
        <w:rPr>
          <w:rFonts w:eastAsia="Arial Narrow" w:cstheme="minorHAnsi"/>
          <w:spacing w:val="-1"/>
        </w:rPr>
        <w:t>P</w:t>
      </w:r>
      <w:r>
        <w:rPr>
          <w:rFonts w:eastAsia="Arial Narrow" w:cstheme="minorHAnsi"/>
        </w:rPr>
        <w:t>repre</w:t>
      </w:r>
      <w:r>
        <w:rPr>
          <w:rFonts w:eastAsia="Arial Narrow" w:cstheme="minorHAnsi"/>
          <w:spacing w:val="-2"/>
        </w:rPr>
        <w:t>k</w:t>
      </w:r>
      <w:r>
        <w:rPr>
          <w:rFonts w:eastAsia="Arial Narrow" w:cstheme="minorHAnsi"/>
        </w:rPr>
        <w:t>a</w:t>
      </w:r>
      <w:r>
        <w:rPr>
          <w:rFonts w:eastAsia="Arial Narrow" w:cstheme="minorHAnsi"/>
          <w:spacing w:val="8"/>
        </w:rPr>
        <w:t xml:space="preserve"> </w:t>
      </w:r>
      <w:r>
        <w:rPr>
          <w:rFonts w:eastAsia="Arial Narrow" w:cstheme="minorHAnsi"/>
        </w:rPr>
        <w:t>pri</w:t>
      </w:r>
      <w:r>
        <w:rPr>
          <w:rFonts w:eastAsia="Arial Narrow" w:cstheme="minorHAnsi"/>
          <w:spacing w:val="8"/>
        </w:rPr>
        <w:t xml:space="preserve"> </w:t>
      </w:r>
      <w:r>
        <w:rPr>
          <w:rFonts w:eastAsia="Arial Narrow" w:cstheme="minorHAnsi"/>
        </w:rPr>
        <w:t>interpretaciji</w:t>
      </w:r>
      <w:r>
        <w:rPr>
          <w:rFonts w:eastAsia="Arial Narrow" w:cstheme="minorHAnsi"/>
          <w:spacing w:val="8"/>
        </w:rPr>
        <w:t xml:space="preserve"> </w:t>
      </w:r>
      <w:r>
        <w:rPr>
          <w:rFonts w:eastAsia="Arial Narrow" w:cstheme="minorHAnsi"/>
        </w:rPr>
        <w:t>re</w:t>
      </w:r>
      <w:r>
        <w:rPr>
          <w:rFonts w:eastAsia="Arial Narrow" w:cstheme="minorHAnsi"/>
          <w:spacing w:val="1"/>
        </w:rPr>
        <w:t>z</w:t>
      </w:r>
      <w:r>
        <w:rPr>
          <w:rFonts w:eastAsia="Arial Narrow" w:cstheme="minorHAnsi"/>
        </w:rPr>
        <w:t>u</w:t>
      </w:r>
      <w:r>
        <w:rPr>
          <w:rFonts w:eastAsia="Arial Narrow" w:cstheme="minorHAnsi"/>
          <w:spacing w:val="1"/>
        </w:rPr>
        <w:t>l</w:t>
      </w:r>
      <w:r>
        <w:rPr>
          <w:rFonts w:eastAsia="Arial Narrow" w:cstheme="minorHAnsi"/>
          <w:spacing w:val="-2"/>
        </w:rPr>
        <w:t>t</w:t>
      </w:r>
      <w:r>
        <w:rPr>
          <w:rFonts w:eastAsia="Arial Narrow" w:cstheme="minorHAnsi"/>
        </w:rPr>
        <w:t>ata</w:t>
      </w:r>
      <w:r>
        <w:rPr>
          <w:rFonts w:eastAsia="Arial Narrow" w:cstheme="minorHAnsi"/>
          <w:spacing w:val="8"/>
        </w:rPr>
        <w:t xml:space="preserve"> </w:t>
      </w:r>
      <w:r>
        <w:rPr>
          <w:rFonts w:eastAsia="Arial Narrow" w:cstheme="minorHAnsi"/>
        </w:rPr>
        <w:t>an</w:t>
      </w:r>
      <w:r>
        <w:rPr>
          <w:rFonts w:eastAsia="Arial Narrow" w:cstheme="minorHAnsi"/>
          <w:spacing w:val="-2"/>
        </w:rPr>
        <w:t>a</w:t>
      </w:r>
      <w:r>
        <w:rPr>
          <w:rFonts w:eastAsia="Arial Narrow" w:cstheme="minorHAnsi"/>
          <w:spacing w:val="1"/>
        </w:rPr>
        <w:t>liz</w:t>
      </w:r>
      <w:r>
        <w:rPr>
          <w:rFonts w:eastAsia="Arial Narrow" w:cstheme="minorHAnsi"/>
        </w:rPr>
        <w:t>e</w:t>
      </w:r>
      <w:r>
        <w:rPr>
          <w:rFonts w:eastAsia="Arial Narrow" w:cstheme="minorHAnsi"/>
          <w:spacing w:val="8"/>
        </w:rPr>
        <w:t xml:space="preserve"> je nedovoljna dezagregiranost podataka. P</w:t>
      </w:r>
      <w:r>
        <w:rPr>
          <w:rFonts w:eastAsia="Arial Narrow" w:cstheme="minorHAnsi"/>
        </w:rPr>
        <w:t>o</w:t>
      </w:r>
      <w:r>
        <w:rPr>
          <w:rFonts w:eastAsia="Arial Narrow" w:cstheme="minorHAnsi"/>
          <w:spacing w:val="-2"/>
        </w:rPr>
        <w:t>d</w:t>
      </w:r>
      <w:r>
        <w:rPr>
          <w:rFonts w:eastAsia="Arial Narrow" w:cstheme="minorHAnsi"/>
        </w:rPr>
        <w:t>a</w:t>
      </w:r>
      <w:r>
        <w:rPr>
          <w:rFonts w:eastAsia="Arial Narrow" w:cstheme="minorHAnsi"/>
          <w:spacing w:val="1"/>
        </w:rPr>
        <w:t>c</w:t>
      </w:r>
      <w:r>
        <w:rPr>
          <w:rFonts w:eastAsia="Arial Narrow" w:cstheme="minorHAnsi"/>
        </w:rPr>
        <w:t xml:space="preserve">i </w:t>
      </w:r>
      <w:r>
        <w:rPr>
          <w:rFonts w:eastAsia="Arial Narrow" w:cstheme="minorHAnsi"/>
          <w:spacing w:val="1"/>
        </w:rPr>
        <w:t>i</w:t>
      </w:r>
      <w:r>
        <w:rPr>
          <w:rFonts w:eastAsia="Arial Narrow" w:cstheme="minorHAnsi"/>
        </w:rPr>
        <w:t>z</w:t>
      </w:r>
      <w:r>
        <w:rPr>
          <w:rFonts w:eastAsia="Arial Narrow" w:cstheme="minorHAnsi"/>
          <w:spacing w:val="3"/>
        </w:rPr>
        <w:t xml:space="preserve"> </w:t>
      </w:r>
      <w:r>
        <w:rPr>
          <w:rFonts w:eastAsia="Arial Narrow" w:cstheme="minorHAnsi"/>
        </w:rPr>
        <w:t>p</w:t>
      </w:r>
      <w:r>
        <w:rPr>
          <w:rFonts w:eastAsia="Arial Narrow" w:cstheme="minorHAnsi"/>
          <w:spacing w:val="-3"/>
        </w:rPr>
        <w:t>r</w:t>
      </w:r>
      <w:r>
        <w:rPr>
          <w:rFonts w:eastAsia="Arial Narrow" w:cstheme="minorHAnsi"/>
          <w:spacing w:val="1"/>
        </w:rPr>
        <w:t>ij</w:t>
      </w:r>
      <w:r>
        <w:rPr>
          <w:rFonts w:eastAsia="Arial Narrow" w:cstheme="minorHAnsi"/>
        </w:rPr>
        <w:t>a</w:t>
      </w:r>
      <w:r>
        <w:rPr>
          <w:rFonts w:eastAsia="Arial Narrow" w:cstheme="minorHAnsi"/>
          <w:spacing w:val="-2"/>
        </w:rPr>
        <w:t>v</w:t>
      </w:r>
      <w:r>
        <w:rPr>
          <w:rFonts w:eastAsia="Arial Narrow" w:cstheme="minorHAnsi"/>
        </w:rPr>
        <w:t>a</w:t>
      </w:r>
      <w:r>
        <w:rPr>
          <w:rFonts w:eastAsia="Arial Narrow" w:cstheme="minorHAnsi"/>
          <w:spacing w:val="2"/>
        </w:rPr>
        <w:t xml:space="preserve"> </w:t>
      </w:r>
      <w:r>
        <w:rPr>
          <w:rFonts w:eastAsia="Arial Narrow" w:cstheme="minorHAnsi"/>
        </w:rPr>
        <w:t>po</w:t>
      </w:r>
      <w:r>
        <w:rPr>
          <w:rFonts w:eastAsia="Arial Narrow" w:cstheme="minorHAnsi"/>
          <w:spacing w:val="-3"/>
        </w:rPr>
        <w:t>r</w:t>
      </w:r>
      <w:r>
        <w:rPr>
          <w:rFonts w:eastAsia="Arial Narrow" w:cstheme="minorHAnsi"/>
        </w:rPr>
        <w:t>e</w:t>
      </w:r>
      <w:r>
        <w:rPr>
          <w:rFonts w:eastAsia="Arial Narrow" w:cstheme="minorHAnsi"/>
          <w:spacing w:val="1"/>
        </w:rPr>
        <w:t>z</w:t>
      </w:r>
      <w:r>
        <w:rPr>
          <w:rFonts w:eastAsia="Arial Narrow" w:cstheme="minorHAnsi"/>
        </w:rPr>
        <w:t>a na</w:t>
      </w:r>
      <w:r>
        <w:rPr>
          <w:rFonts w:eastAsia="Arial Narrow" w:cstheme="minorHAnsi"/>
          <w:spacing w:val="2"/>
        </w:rPr>
        <w:t xml:space="preserve"> </w:t>
      </w:r>
      <w:r>
        <w:rPr>
          <w:rFonts w:eastAsia="Arial Narrow" w:cstheme="minorHAnsi"/>
          <w:spacing w:val="-1"/>
        </w:rPr>
        <w:t>dohodak</w:t>
      </w:r>
      <w:r>
        <w:rPr>
          <w:rFonts w:eastAsia="Arial Narrow" w:cstheme="minorHAnsi"/>
          <w:spacing w:val="1"/>
        </w:rPr>
        <w:t xml:space="preserve"> </w:t>
      </w:r>
      <w:r>
        <w:rPr>
          <w:rFonts w:eastAsia="Arial Narrow" w:cstheme="minorHAnsi"/>
        </w:rPr>
        <w:t xml:space="preserve">prate se </w:t>
      </w:r>
      <w:r>
        <w:rPr>
          <w:rFonts w:eastAsia="Arial Narrow" w:cstheme="minorHAnsi"/>
          <w:spacing w:val="1"/>
        </w:rPr>
        <w:t>z</w:t>
      </w:r>
      <w:r>
        <w:rPr>
          <w:rFonts w:eastAsia="Arial Narrow" w:cstheme="minorHAnsi"/>
        </w:rPr>
        <w:t>b</w:t>
      </w:r>
      <w:r>
        <w:rPr>
          <w:rFonts w:eastAsia="Arial Narrow" w:cstheme="minorHAnsi"/>
          <w:spacing w:val="1"/>
        </w:rPr>
        <w:t>i</w:t>
      </w:r>
      <w:r>
        <w:rPr>
          <w:rFonts w:eastAsia="Arial Narrow" w:cstheme="minorHAnsi"/>
        </w:rPr>
        <w:t>r</w:t>
      </w:r>
      <w:r>
        <w:rPr>
          <w:rFonts w:eastAsia="Arial Narrow" w:cstheme="minorHAnsi"/>
          <w:spacing w:val="-2"/>
        </w:rPr>
        <w:t>n</w:t>
      </w:r>
      <w:r>
        <w:rPr>
          <w:rFonts w:eastAsia="Arial Narrow" w:cstheme="minorHAnsi"/>
        </w:rPr>
        <w:t>o</w:t>
      </w:r>
      <w:r>
        <w:rPr>
          <w:rFonts w:eastAsia="Arial Narrow" w:cstheme="minorHAnsi"/>
          <w:spacing w:val="2"/>
        </w:rPr>
        <w:t xml:space="preserve"> za </w:t>
      </w:r>
      <w:r>
        <w:rPr>
          <w:rFonts w:eastAsia="Arial Narrow" w:cstheme="minorHAnsi"/>
        </w:rPr>
        <w:t>obr</w:t>
      </w:r>
      <w:r>
        <w:rPr>
          <w:rFonts w:eastAsia="Arial Narrow" w:cstheme="minorHAnsi"/>
          <w:spacing w:val="-2"/>
        </w:rPr>
        <w:t>t</w:t>
      </w:r>
      <w:r>
        <w:rPr>
          <w:rFonts w:eastAsia="Arial Narrow" w:cstheme="minorHAnsi"/>
        </w:rPr>
        <w:t>e</w:t>
      </w:r>
      <w:r>
        <w:rPr>
          <w:rFonts w:eastAsia="Arial Narrow" w:cstheme="minorHAnsi"/>
          <w:spacing w:val="2"/>
        </w:rPr>
        <w:t xml:space="preserve"> </w:t>
      </w:r>
      <w:r>
        <w:rPr>
          <w:rFonts w:eastAsia="Arial Narrow" w:cstheme="minorHAnsi"/>
        </w:rPr>
        <w:t xml:space="preserve">i </w:t>
      </w:r>
      <w:r>
        <w:rPr>
          <w:rFonts w:eastAsia="Arial Narrow" w:cstheme="minorHAnsi"/>
          <w:spacing w:val="1"/>
        </w:rPr>
        <w:t>s</w:t>
      </w:r>
      <w:r>
        <w:rPr>
          <w:rFonts w:eastAsia="Arial Narrow" w:cstheme="minorHAnsi"/>
          <w:spacing w:val="-2"/>
        </w:rPr>
        <w:t>l</w:t>
      </w:r>
      <w:r>
        <w:rPr>
          <w:rFonts w:eastAsia="Arial Narrow" w:cstheme="minorHAnsi"/>
        </w:rPr>
        <w:t>obod</w:t>
      </w:r>
      <w:r>
        <w:rPr>
          <w:rFonts w:eastAsia="Arial Narrow" w:cstheme="minorHAnsi"/>
          <w:spacing w:val="-2"/>
        </w:rPr>
        <w:t>n</w:t>
      </w:r>
      <w:r>
        <w:rPr>
          <w:rFonts w:eastAsia="Arial Narrow" w:cstheme="minorHAnsi"/>
        </w:rPr>
        <w:t xml:space="preserve">a </w:t>
      </w:r>
      <w:r>
        <w:rPr>
          <w:rFonts w:eastAsia="Arial Narrow" w:cstheme="minorHAnsi"/>
          <w:spacing w:val="1"/>
        </w:rPr>
        <w:t>z</w:t>
      </w:r>
      <w:r>
        <w:rPr>
          <w:rFonts w:eastAsia="Arial Narrow" w:cstheme="minorHAnsi"/>
        </w:rPr>
        <w:t>an</w:t>
      </w:r>
      <w:r>
        <w:rPr>
          <w:rFonts w:eastAsia="Arial Narrow" w:cstheme="minorHAnsi"/>
          <w:spacing w:val="-2"/>
        </w:rPr>
        <w:t>i</w:t>
      </w:r>
      <w:r>
        <w:rPr>
          <w:rFonts w:eastAsia="Arial Narrow" w:cstheme="minorHAnsi"/>
        </w:rPr>
        <w:t>ma</w:t>
      </w:r>
      <w:r>
        <w:rPr>
          <w:rFonts w:eastAsia="Arial Narrow" w:cstheme="minorHAnsi"/>
          <w:spacing w:val="-2"/>
        </w:rPr>
        <w:t>n</w:t>
      </w:r>
      <w:r>
        <w:rPr>
          <w:rFonts w:eastAsia="Arial Narrow" w:cstheme="minorHAnsi"/>
          <w:spacing w:val="1"/>
        </w:rPr>
        <w:t>j</w:t>
      </w:r>
      <w:r>
        <w:rPr>
          <w:rFonts w:eastAsia="Arial Narrow" w:cstheme="minorHAnsi"/>
        </w:rPr>
        <w:t>a</w:t>
      </w:r>
      <w:r>
        <w:rPr>
          <w:rFonts w:eastAsia="Arial Narrow" w:cstheme="minorHAnsi"/>
          <w:spacing w:val="2"/>
        </w:rPr>
        <w:t xml:space="preserve"> </w:t>
      </w:r>
      <w:r>
        <w:rPr>
          <w:rFonts w:eastAsia="Arial Narrow" w:cstheme="minorHAnsi"/>
        </w:rPr>
        <w:t>te po</w:t>
      </w:r>
      <w:r>
        <w:rPr>
          <w:rFonts w:eastAsia="Arial Narrow" w:cstheme="minorHAnsi"/>
          <w:spacing w:val="-2"/>
        </w:rPr>
        <w:t>l</w:t>
      </w:r>
      <w:r>
        <w:rPr>
          <w:rFonts w:eastAsia="Arial Narrow" w:cstheme="minorHAnsi"/>
          <w:spacing w:val="1"/>
        </w:rPr>
        <w:t>j</w:t>
      </w:r>
      <w:r>
        <w:rPr>
          <w:rFonts w:eastAsia="Arial Narrow" w:cstheme="minorHAnsi"/>
        </w:rPr>
        <w:t>opr</w:t>
      </w:r>
      <w:r>
        <w:rPr>
          <w:rFonts w:eastAsia="Arial Narrow" w:cstheme="minorHAnsi"/>
          <w:spacing w:val="-2"/>
        </w:rPr>
        <w:t>i</w:t>
      </w:r>
      <w:r>
        <w:rPr>
          <w:rFonts w:eastAsia="Arial Narrow" w:cstheme="minorHAnsi"/>
          <w:spacing w:val="1"/>
        </w:rPr>
        <w:t>v</w:t>
      </w:r>
      <w:r>
        <w:rPr>
          <w:rFonts w:eastAsia="Arial Narrow" w:cstheme="minorHAnsi"/>
        </w:rPr>
        <w:t xml:space="preserve">redu i </w:t>
      </w:r>
      <w:r>
        <w:rPr>
          <w:rFonts w:eastAsia="Arial Narrow" w:cstheme="minorHAnsi"/>
          <w:spacing w:val="1"/>
        </w:rPr>
        <w:t>š</w:t>
      </w:r>
      <w:r>
        <w:rPr>
          <w:rFonts w:eastAsia="Arial Narrow" w:cstheme="minorHAnsi"/>
        </w:rPr>
        <w:t>uma</w:t>
      </w:r>
      <w:r>
        <w:rPr>
          <w:rFonts w:eastAsia="Arial Narrow" w:cstheme="minorHAnsi"/>
          <w:spacing w:val="-3"/>
        </w:rPr>
        <w:t>r</w:t>
      </w:r>
      <w:r>
        <w:rPr>
          <w:rFonts w:eastAsia="Arial Narrow" w:cstheme="minorHAnsi"/>
          <w:spacing w:val="1"/>
        </w:rPr>
        <w:t>s</w:t>
      </w:r>
      <w:r>
        <w:rPr>
          <w:rFonts w:eastAsia="Arial Narrow" w:cstheme="minorHAnsi"/>
        </w:rPr>
        <w:t>t</w:t>
      </w:r>
      <w:r>
        <w:rPr>
          <w:rFonts w:eastAsia="Arial Narrow" w:cstheme="minorHAnsi"/>
          <w:spacing w:val="1"/>
        </w:rPr>
        <w:t>v</w:t>
      </w:r>
      <w:r>
        <w:rPr>
          <w:rFonts w:eastAsia="Arial Narrow" w:cstheme="minorHAnsi"/>
        </w:rPr>
        <w:t xml:space="preserve">o pa je </w:t>
      </w:r>
      <w:r>
        <w:rPr>
          <w:rFonts w:eastAsia="Arial Narrow" w:cstheme="minorHAnsi"/>
          <w:spacing w:val="-2"/>
        </w:rPr>
        <w:t>o</w:t>
      </w:r>
      <w:r>
        <w:rPr>
          <w:rFonts w:eastAsia="Arial Narrow" w:cstheme="minorHAnsi"/>
        </w:rPr>
        <w:t>brte nemog</w:t>
      </w:r>
      <w:r>
        <w:rPr>
          <w:rFonts w:eastAsia="Arial Narrow" w:cstheme="minorHAnsi"/>
          <w:spacing w:val="-2"/>
        </w:rPr>
        <w:t>u</w:t>
      </w:r>
      <w:r>
        <w:rPr>
          <w:rFonts w:eastAsia="Arial Narrow" w:cstheme="minorHAnsi"/>
          <w:spacing w:val="1"/>
        </w:rPr>
        <w:t>ć</w:t>
      </w:r>
      <w:r>
        <w:rPr>
          <w:rFonts w:eastAsia="Arial Narrow" w:cstheme="minorHAnsi"/>
        </w:rPr>
        <w:t xml:space="preserve">e </w:t>
      </w:r>
      <w:r>
        <w:rPr>
          <w:rFonts w:eastAsia="Arial Narrow" w:cstheme="minorHAnsi"/>
          <w:spacing w:val="-2"/>
        </w:rPr>
        <w:t>i</w:t>
      </w:r>
      <w:r>
        <w:rPr>
          <w:rFonts w:eastAsia="Arial Narrow" w:cstheme="minorHAnsi"/>
          <w:spacing w:val="1"/>
        </w:rPr>
        <w:t>z</w:t>
      </w:r>
      <w:r>
        <w:rPr>
          <w:rFonts w:eastAsia="Arial Narrow" w:cstheme="minorHAnsi"/>
        </w:rPr>
        <w:t>d</w:t>
      </w:r>
      <w:r>
        <w:rPr>
          <w:rFonts w:eastAsia="Arial Narrow" w:cstheme="minorHAnsi"/>
          <w:spacing w:val="-2"/>
        </w:rPr>
        <w:t>v</w:t>
      </w:r>
      <w:r>
        <w:rPr>
          <w:rFonts w:eastAsia="Arial Narrow" w:cstheme="minorHAnsi"/>
        </w:rPr>
        <w:t>o</w:t>
      </w:r>
      <w:r>
        <w:rPr>
          <w:rFonts w:eastAsia="Arial Narrow" w:cstheme="minorHAnsi"/>
          <w:spacing w:val="1"/>
        </w:rPr>
        <w:t>ji</w:t>
      </w:r>
      <w:r>
        <w:rPr>
          <w:rFonts w:eastAsia="Arial Narrow" w:cstheme="minorHAnsi"/>
          <w:spacing w:val="-2"/>
        </w:rPr>
        <w:t>t</w:t>
      </w:r>
      <w:r>
        <w:rPr>
          <w:rFonts w:eastAsia="Arial Narrow" w:cstheme="minorHAnsi"/>
        </w:rPr>
        <w:t>i</w:t>
      </w:r>
      <w:r>
        <w:rPr>
          <w:rFonts w:eastAsia="Arial Narrow" w:cstheme="minorHAnsi"/>
          <w:spacing w:val="1"/>
        </w:rPr>
        <w:t xml:space="preserve"> i</w:t>
      </w:r>
      <w:r>
        <w:rPr>
          <w:rFonts w:eastAsia="Arial Narrow" w:cstheme="minorHAnsi"/>
        </w:rPr>
        <w:t>z</w:t>
      </w:r>
      <w:r>
        <w:rPr>
          <w:rFonts w:eastAsia="Arial Narrow" w:cstheme="minorHAnsi"/>
          <w:spacing w:val="1"/>
        </w:rPr>
        <w:t xml:space="preserve"> </w:t>
      </w:r>
      <w:r>
        <w:rPr>
          <w:rFonts w:eastAsia="Arial Narrow" w:cstheme="minorHAnsi"/>
          <w:spacing w:val="-3"/>
        </w:rPr>
        <w:t>r</w:t>
      </w:r>
      <w:r>
        <w:rPr>
          <w:rFonts w:eastAsia="Arial Narrow" w:cstheme="minorHAnsi"/>
        </w:rPr>
        <w:t>a</w:t>
      </w:r>
      <w:r>
        <w:rPr>
          <w:rFonts w:eastAsia="Arial Narrow" w:cstheme="minorHAnsi"/>
          <w:spacing w:val="1"/>
        </w:rPr>
        <w:t>s</w:t>
      </w:r>
      <w:r>
        <w:rPr>
          <w:rFonts w:eastAsia="Arial Narrow" w:cstheme="minorHAnsi"/>
        </w:rPr>
        <w:t>p</w:t>
      </w:r>
      <w:r>
        <w:rPr>
          <w:rFonts w:eastAsia="Arial Narrow" w:cstheme="minorHAnsi"/>
          <w:spacing w:val="-2"/>
        </w:rPr>
        <w:t>o</w:t>
      </w:r>
      <w:r>
        <w:rPr>
          <w:rFonts w:eastAsia="Arial Narrow" w:cstheme="minorHAnsi"/>
          <w:spacing w:val="1"/>
        </w:rPr>
        <w:t>l</w:t>
      </w:r>
      <w:r>
        <w:rPr>
          <w:rFonts w:eastAsia="Arial Narrow" w:cstheme="minorHAnsi"/>
        </w:rPr>
        <w:t>o</w:t>
      </w:r>
      <w:r>
        <w:rPr>
          <w:rFonts w:eastAsia="Arial Narrow" w:cstheme="minorHAnsi"/>
          <w:spacing w:val="-2"/>
        </w:rPr>
        <w:t>ži</w:t>
      </w:r>
      <w:r>
        <w:rPr>
          <w:rFonts w:eastAsia="Arial Narrow" w:cstheme="minorHAnsi"/>
          <w:spacing w:val="1"/>
        </w:rPr>
        <w:t>v</w:t>
      </w:r>
      <w:r>
        <w:rPr>
          <w:rFonts w:eastAsia="Arial Narrow" w:cstheme="minorHAnsi"/>
        </w:rPr>
        <w:t xml:space="preserve">og </w:t>
      </w:r>
      <w:r>
        <w:rPr>
          <w:rFonts w:eastAsia="Arial Narrow" w:cstheme="minorHAnsi"/>
          <w:spacing w:val="-2"/>
        </w:rPr>
        <w:t>s</w:t>
      </w:r>
      <w:r>
        <w:rPr>
          <w:rFonts w:eastAsia="Arial Narrow" w:cstheme="minorHAnsi"/>
          <w:spacing w:val="1"/>
        </w:rPr>
        <w:t>k</w:t>
      </w:r>
      <w:r>
        <w:rPr>
          <w:rFonts w:eastAsia="Arial Narrow" w:cstheme="minorHAnsi"/>
        </w:rPr>
        <w:t>upa</w:t>
      </w:r>
      <w:r>
        <w:rPr>
          <w:rFonts w:eastAsia="Arial Narrow" w:cstheme="minorHAnsi"/>
          <w:spacing w:val="-2"/>
        </w:rPr>
        <w:t xml:space="preserve"> </w:t>
      </w:r>
      <w:r>
        <w:rPr>
          <w:rFonts w:eastAsia="Arial Narrow" w:cstheme="minorHAnsi"/>
        </w:rPr>
        <w:t>podat</w:t>
      </w:r>
      <w:r>
        <w:rPr>
          <w:rFonts w:eastAsia="Arial Narrow" w:cstheme="minorHAnsi"/>
          <w:spacing w:val="-2"/>
        </w:rPr>
        <w:t>a</w:t>
      </w:r>
      <w:r>
        <w:rPr>
          <w:rFonts w:eastAsia="Arial Narrow" w:cstheme="minorHAnsi"/>
          <w:spacing w:val="1"/>
        </w:rPr>
        <w:t>k</w:t>
      </w:r>
      <w:r>
        <w:rPr>
          <w:rFonts w:eastAsia="Arial Narrow" w:cstheme="minorHAnsi"/>
        </w:rPr>
        <w:t>a.</w:t>
      </w:r>
    </w:p>
    <w:p w14:paraId="116D7B8E" w14:textId="4BC80222" w:rsidR="008878A0" w:rsidRDefault="008878A0" w:rsidP="00941871">
      <w:pPr>
        <w:ind w:left="116" w:right="352"/>
        <w:rPr>
          <w:rFonts w:eastAsia="Arial Narrow" w:cstheme="minorHAnsi"/>
        </w:rPr>
      </w:pPr>
    </w:p>
    <w:p w14:paraId="3029C1AA" w14:textId="273CCE55" w:rsidR="008878A0" w:rsidRDefault="00B601EE" w:rsidP="0052192B">
      <w:pPr>
        <w:pStyle w:val="Naslov2"/>
        <w:rPr>
          <w:w w:val="99"/>
        </w:rPr>
      </w:pPr>
      <w:bookmarkStart w:id="159" w:name="_Hlk48745561"/>
      <w:bookmarkStart w:id="160" w:name="_Toc85181337"/>
      <w:r>
        <w:rPr>
          <w:w w:val="99"/>
        </w:rPr>
        <w:t>10</w:t>
      </w:r>
      <w:r w:rsidR="008878A0">
        <w:rPr>
          <w:w w:val="99"/>
        </w:rPr>
        <w:t>.1</w:t>
      </w:r>
      <w:r w:rsidR="007D6366">
        <w:rPr>
          <w:w w:val="99"/>
        </w:rPr>
        <w:t>1</w:t>
      </w:r>
      <w:r w:rsidR="008878A0">
        <w:rPr>
          <w:w w:val="99"/>
        </w:rPr>
        <w:t xml:space="preserve">. Inovacijski </w:t>
      </w:r>
      <w:r w:rsidR="008878A0">
        <w:t>potencijal</w:t>
      </w:r>
      <w:r w:rsidR="008878A0">
        <w:rPr>
          <w:w w:val="99"/>
        </w:rPr>
        <w:t xml:space="preserve"> Krapinsko-zagorske županije</w:t>
      </w:r>
      <w:bookmarkEnd w:id="160"/>
    </w:p>
    <w:bookmarkEnd w:id="159"/>
    <w:p w14:paraId="4CF770BF" w14:textId="0BA6A630" w:rsidR="008878A0" w:rsidRDefault="008878A0" w:rsidP="00941871">
      <w:pPr>
        <w:ind w:left="116" w:right="72"/>
        <w:rPr>
          <w:rFonts w:eastAsia="Arial Narrow" w:cstheme="minorHAnsi"/>
        </w:rPr>
      </w:pPr>
      <w:r>
        <w:rPr>
          <w:rFonts w:eastAsia="Arial Narrow" w:cstheme="minorHAnsi"/>
        </w:rPr>
        <w:br/>
        <w:t>Ino</w:t>
      </w:r>
      <w:r>
        <w:rPr>
          <w:rFonts w:eastAsia="Arial Narrow" w:cstheme="minorHAnsi"/>
          <w:spacing w:val="1"/>
        </w:rPr>
        <w:t>v</w:t>
      </w:r>
      <w:r>
        <w:rPr>
          <w:rFonts w:eastAsia="Arial Narrow" w:cstheme="minorHAnsi"/>
        </w:rPr>
        <w:t>a</w:t>
      </w:r>
      <w:r>
        <w:rPr>
          <w:rFonts w:eastAsia="Arial Narrow" w:cstheme="minorHAnsi"/>
          <w:spacing w:val="-2"/>
        </w:rPr>
        <w:t>c</w:t>
      </w:r>
      <w:r>
        <w:rPr>
          <w:rFonts w:eastAsia="Arial Narrow" w:cstheme="minorHAnsi"/>
          <w:spacing w:val="1"/>
        </w:rPr>
        <w:t>ij</w:t>
      </w:r>
      <w:r>
        <w:rPr>
          <w:rFonts w:eastAsia="Arial Narrow" w:cstheme="minorHAnsi"/>
          <w:spacing w:val="-2"/>
        </w:rPr>
        <w:t>s</w:t>
      </w:r>
      <w:r>
        <w:rPr>
          <w:rFonts w:eastAsia="Arial Narrow" w:cstheme="minorHAnsi"/>
          <w:spacing w:val="1"/>
        </w:rPr>
        <w:t>k</w:t>
      </w:r>
      <w:r>
        <w:rPr>
          <w:rFonts w:eastAsia="Arial Narrow" w:cstheme="minorHAnsi"/>
        </w:rPr>
        <w:t>i</w:t>
      </w:r>
      <w:r>
        <w:rPr>
          <w:rFonts w:eastAsia="Arial Narrow" w:cstheme="minorHAnsi"/>
          <w:spacing w:val="-6"/>
        </w:rPr>
        <w:t xml:space="preserve"> </w:t>
      </w:r>
      <w:r>
        <w:rPr>
          <w:rFonts w:eastAsia="Arial Narrow" w:cstheme="minorHAnsi"/>
        </w:rPr>
        <w:t>pot</w:t>
      </w:r>
      <w:r>
        <w:rPr>
          <w:rFonts w:eastAsia="Arial Narrow" w:cstheme="minorHAnsi"/>
          <w:spacing w:val="-2"/>
        </w:rPr>
        <w:t>e</w:t>
      </w:r>
      <w:r>
        <w:rPr>
          <w:rFonts w:eastAsia="Arial Narrow" w:cstheme="minorHAnsi"/>
        </w:rPr>
        <w:t>n</w:t>
      </w:r>
      <w:r>
        <w:rPr>
          <w:rFonts w:eastAsia="Arial Narrow" w:cstheme="minorHAnsi"/>
          <w:spacing w:val="1"/>
        </w:rPr>
        <w:t>c</w:t>
      </w:r>
      <w:r>
        <w:rPr>
          <w:rFonts w:eastAsia="Arial Narrow" w:cstheme="minorHAnsi"/>
          <w:spacing w:val="-2"/>
        </w:rPr>
        <w:t>i</w:t>
      </w:r>
      <w:r>
        <w:rPr>
          <w:rFonts w:eastAsia="Arial Narrow" w:cstheme="minorHAnsi"/>
          <w:spacing w:val="1"/>
        </w:rPr>
        <w:t>j</w:t>
      </w:r>
      <w:r>
        <w:rPr>
          <w:rFonts w:eastAsia="Arial Narrow" w:cstheme="minorHAnsi"/>
        </w:rPr>
        <w:t>al</w:t>
      </w:r>
      <w:r>
        <w:rPr>
          <w:rFonts w:eastAsia="Arial Narrow" w:cstheme="minorHAnsi"/>
          <w:spacing w:val="-6"/>
        </w:rPr>
        <w:t xml:space="preserve"> </w:t>
      </w:r>
      <w:r>
        <w:rPr>
          <w:rFonts w:eastAsia="Arial Narrow" w:cstheme="minorHAnsi"/>
        </w:rPr>
        <w:t>m</w:t>
      </w:r>
      <w:r>
        <w:rPr>
          <w:rFonts w:eastAsia="Arial Narrow" w:cstheme="minorHAnsi"/>
          <w:spacing w:val="-2"/>
        </w:rPr>
        <w:t>o</w:t>
      </w:r>
      <w:r>
        <w:rPr>
          <w:rFonts w:eastAsia="Arial Narrow" w:cstheme="minorHAnsi"/>
          <w:spacing w:val="1"/>
        </w:rPr>
        <w:t>ž</w:t>
      </w:r>
      <w:r>
        <w:rPr>
          <w:rFonts w:eastAsia="Arial Narrow" w:cstheme="minorHAnsi"/>
        </w:rPr>
        <w:t>emo</w:t>
      </w:r>
      <w:r>
        <w:rPr>
          <w:rFonts w:eastAsia="Arial Narrow" w:cstheme="minorHAnsi"/>
          <w:spacing w:val="-9"/>
        </w:rPr>
        <w:t xml:space="preserve"> </w:t>
      </w:r>
      <w:r>
        <w:rPr>
          <w:rFonts w:eastAsia="Arial Narrow" w:cstheme="minorHAnsi"/>
        </w:rPr>
        <w:t>pro</w:t>
      </w:r>
      <w:r>
        <w:rPr>
          <w:rFonts w:eastAsia="Arial Narrow" w:cstheme="minorHAnsi"/>
          <w:spacing w:val="1"/>
        </w:rPr>
        <w:t>ci</w:t>
      </w:r>
      <w:r>
        <w:rPr>
          <w:rFonts w:eastAsia="Arial Narrow" w:cstheme="minorHAnsi"/>
          <w:spacing w:val="-2"/>
        </w:rPr>
        <w:t>j</w:t>
      </w:r>
      <w:r>
        <w:rPr>
          <w:rFonts w:eastAsia="Arial Narrow" w:cstheme="minorHAnsi"/>
        </w:rPr>
        <w:t>en</w:t>
      </w:r>
      <w:r>
        <w:rPr>
          <w:rFonts w:eastAsia="Arial Narrow" w:cstheme="minorHAnsi"/>
          <w:spacing w:val="1"/>
        </w:rPr>
        <w:t>i</w:t>
      </w:r>
      <w:r>
        <w:rPr>
          <w:rFonts w:eastAsia="Arial Narrow" w:cstheme="minorHAnsi"/>
        </w:rPr>
        <w:t>ti</w:t>
      </w:r>
      <w:r>
        <w:rPr>
          <w:rFonts w:eastAsia="Arial Narrow" w:cstheme="minorHAnsi"/>
          <w:spacing w:val="-6"/>
        </w:rPr>
        <w:t xml:space="preserve"> </w:t>
      </w:r>
      <w:r>
        <w:rPr>
          <w:rFonts w:eastAsia="Arial Narrow" w:cstheme="minorHAnsi"/>
        </w:rPr>
        <w:t>p</w:t>
      </w:r>
      <w:r>
        <w:rPr>
          <w:rFonts w:eastAsia="Arial Narrow" w:cstheme="minorHAnsi"/>
          <w:spacing w:val="-2"/>
        </w:rPr>
        <w:t>o</w:t>
      </w:r>
      <w:r>
        <w:rPr>
          <w:rFonts w:eastAsia="Arial Narrow" w:cstheme="minorHAnsi"/>
        </w:rPr>
        <w:t>mo</w:t>
      </w:r>
      <w:r>
        <w:rPr>
          <w:rFonts w:eastAsia="Arial Narrow" w:cstheme="minorHAnsi"/>
          <w:spacing w:val="-2"/>
        </w:rPr>
        <w:t>ć</w:t>
      </w:r>
      <w:r>
        <w:rPr>
          <w:rFonts w:eastAsia="Arial Narrow" w:cstheme="minorHAnsi"/>
        </w:rPr>
        <w:t>u</w:t>
      </w:r>
      <w:r>
        <w:rPr>
          <w:rFonts w:eastAsia="Arial Narrow" w:cstheme="minorHAnsi"/>
          <w:spacing w:val="-4"/>
        </w:rPr>
        <w:t xml:space="preserve"> </w:t>
      </w:r>
      <w:r>
        <w:rPr>
          <w:rFonts w:eastAsia="Arial Narrow" w:cstheme="minorHAnsi"/>
        </w:rPr>
        <w:t>p</w:t>
      </w:r>
      <w:r>
        <w:rPr>
          <w:rFonts w:eastAsia="Arial Narrow" w:cstheme="minorHAnsi"/>
          <w:spacing w:val="-2"/>
        </w:rPr>
        <w:t>o</w:t>
      </w:r>
      <w:r>
        <w:rPr>
          <w:rFonts w:eastAsia="Arial Narrow" w:cstheme="minorHAnsi"/>
        </w:rPr>
        <w:t>dat</w:t>
      </w:r>
      <w:r>
        <w:rPr>
          <w:rFonts w:eastAsia="Arial Narrow" w:cstheme="minorHAnsi"/>
          <w:spacing w:val="-2"/>
        </w:rPr>
        <w:t>a</w:t>
      </w:r>
      <w:r>
        <w:rPr>
          <w:rFonts w:eastAsia="Arial Narrow" w:cstheme="minorHAnsi"/>
          <w:spacing w:val="1"/>
        </w:rPr>
        <w:t>k</w:t>
      </w:r>
      <w:r>
        <w:rPr>
          <w:rFonts w:eastAsia="Arial Narrow" w:cstheme="minorHAnsi"/>
        </w:rPr>
        <w:t>a</w:t>
      </w:r>
      <w:r>
        <w:rPr>
          <w:rFonts w:eastAsia="Arial Narrow" w:cstheme="minorHAnsi"/>
          <w:spacing w:val="-4"/>
        </w:rPr>
        <w:t xml:space="preserve"> </w:t>
      </w:r>
      <w:r>
        <w:rPr>
          <w:rFonts w:eastAsia="Arial Narrow" w:cstheme="minorHAnsi"/>
          <w:spacing w:val="-3"/>
        </w:rPr>
        <w:t>D</w:t>
      </w:r>
      <w:r>
        <w:rPr>
          <w:rFonts w:eastAsia="Arial Narrow" w:cstheme="minorHAnsi"/>
        </w:rPr>
        <w:t>r</w:t>
      </w:r>
      <w:r>
        <w:rPr>
          <w:rFonts w:eastAsia="Arial Narrow" w:cstheme="minorHAnsi"/>
          <w:spacing w:val="1"/>
        </w:rPr>
        <w:t>ž</w:t>
      </w:r>
      <w:r>
        <w:rPr>
          <w:rFonts w:eastAsia="Arial Narrow" w:cstheme="minorHAnsi"/>
        </w:rPr>
        <w:t>a</w:t>
      </w:r>
      <w:r>
        <w:rPr>
          <w:rFonts w:eastAsia="Arial Narrow" w:cstheme="minorHAnsi"/>
          <w:spacing w:val="1"/>
        </w:rPr>
        <w:t>v</w:t>
      </w:r>
      <w:r>
        <w:rPr>
          <w:rFonts w:eastAsia="Arial Narrow" w:cstheme="minorHAnsi"/>
        </w:rPr>
        <w:t>n</w:t>
      </w:r>
      <w:r>
        <w:rPr>
          <w:rFonts w:eastAsia="Arial Narrow" w:cstheme="minorHAnsi"/>
          <w:spacing w:val="-2"/>
        </w:rPr>
        <w:t>o</w:t>
      </w:r>
      <w:r>
        <w:rPr>
          <w:rFonts w:eastAsia="Arial Narrow" w:cstheme="minorHAnsi"/>
        </w:rPr>
        <w:t>g</w:t>
      </w:r>
      <w:r>
        <w:rPr>
          <w:rFonts w:eastAsia="Arial Narrow" w:cstheme="minorHAnsi"/>
          <w:spacing w:val="-4"/>
        </w:rPr>
        <w:t xml:space="preserve"> </w:t>
      </w:r>
      <w:r>
        <w:rPr>
          <w:rFonts w:eastAsia="Arial Narrow" w:cstheme="minorHAnsi"/>
          <w:spacing w:val="-2"/>
        </w:rPr>
        <w:t>z</w:t>
      </w:r>
      <w:r>
        <w:rPr>
          <w:rFonts w:eastAsia="Arial Narrow" w:cstheme="minorHAnsi"/>
        </w:rPr>
        <w:t>a</w:t>
      </w:r>
      <w:r>
        <w:rPr>
          <w:rFonts w:eastAsia="Arial Narrow" w:cstheme="minorHAnsi"/>
          <w:spacing w:val="1"/>
        </w:rPr>
        <w:t>v</w:t>
      </w:r>
      <w:r>
        <w:rPr>
          <w:rFonts w:eastAsia="Arial Narrow" w:cstheme="minorHAnsi"/>
        </w:rPr>
        <w:t>o</w:t>
      </w:r>
      <w:r>
        <w:rPr>
          <w:rFonts w:eastAsia="Arial Narrow" w:cstheme="minorHAnsi"/>
          <w:spacing w:val="-2"/>
        </w:rPr>
        <w:t>d</w:t>
      </w:r>
      <w:r>
        <w:rPr>
          <w:rFonts w:eastAsia="Arial Narrow" w:cstheme="minorHAnsi"/>
        </w:rPr>
        <w:t>a</w:t>
      </w:r>
      <w:r>
        <w:rPr>
          <w:rFonts w:eastAsia="Arial Narrow" w:cstheme="minorHAnsi"/>
          <w:spacing w:val="-7"/>
        </w:rPr>
        <w:t xml:space="preserve"> </w:t>
      </w:r>
      <w:r>
        <w:rPr>
          <w:rFonts w:eastAsia="Arial Narrow" w:cstheme="minorHAnsi"/>
          <w:spacing w:val="1"/>
        </w:rPr>
        <w:t>z</w:t>
      </w:r>
      <w:r>
        <w:rPr>
          <w:rFonts w:eastAsia="Arial Narrow" w:cstheme="minorHAnsi"/>
        </w:rPr>
        <w:t>a</w:t>
      </w:r>
      <w:r>
        <w:rPr>
          <w:rFonts w:eastAsia="Arial Narrow" w:cstheme="minorHAnsi"/>
          <w:spacing w:val="-7"/>
        </w:rPr>
        <w:t xml:space="preserve"> </w:t>
      </w:r>
      <w:r>
        <w:rPr>
          <w:rFonts w:eastAsia="Arial Narrow" w:cstheme="minorHAnsi"/>
          <w:spacing w:val="1"/>
        </w:rPr>
        <w:t>i</w:t>
      </w:r>
      <w:r>
        <w:rPr>
          <w:rFonts w:eastAsia="Arial Narrow" w:cstheme="minorHAnsi"/>
        </w:rPr>
        <w:t>nte</w:t>
      </w:r>
      <w:r>
        <w:rPr>
          <w:rFonts w:eastAsia="Arial Narrow" w:cstheme="minorHAnsi"/>
          <w:spacing w:val="-2"/>
        </w:rPr>
        <w:t>l</w:t>
      </w:r>
      <w:r>
        <w:rPr>
          <w:rFonts w:eastAsia="Arial Narrow" w:cstheme="minorHAnsi"/>
        </w:rPr>
        <w:t>e</w:t>
      </w:r>
      <w:r>
        <w:rPr>
          <w:rFonts w:eastAsia="Arial Narrow" w:cstheme="minorHAnsi"/>
          <w:spacing w:val="1"/>
        </w:rPr>
        <w:t>k</w:t>
      </w:r>
      <w:r>
        <w:rPr>
          <w:rFonts w:eastAsia="Arial Narrow" w:cstheme="minorHAnsi"/>
        </w:rPr>
        <w:t>tu</w:t>
      </w:r>
      <w:r>
        <w:rPr>
          <w:rFonts w:eastAsia="Arial Narrow" w:cstheme="minorHAnsi"/>
          <w:spacing w:val="-2"/>
        </w:rPr>
        <w:t>al</w:t>
      </w:r>
      <w:r>
        <w:rPr>
          <w:rFonts w:eastAsia="Arial Narrow" w:cstheme="minorHAnsi"/>
        </w:rPr>
        <w:t>no</w:t>
      </w:r>
      <w:r>
        <w:rPr>
          <w:rFonts w:eastAsia="Arial Narrow" w:cstheme="minorHAnsi"/>
          <w:spacing w:val="-4"/>
        </w:rPr>
        <w:t xml:space="preserve"> </w:t>
      </w:r>
      <w:r>
        <w:rPr>
          <w:rFonts w:eastAsia="Arial Narrow" w:cstheme="minorHAnsi"/>
          <w:spacing w:val="-2"/>
        </w:rPr>
        <w:t>v</w:t>
      </w:r>
      <w:r>
        <w:rPr>
          <w:rFonts w:eastAsia="Arial Narrow" w:cstheme="minorHAnsi"/>
          <w:spacing w:val="1"/>
        </w:rPr>
        <w:t>l</w:t>
      </w:r>
      <w:r>
        <w:rPr>
          <w:rFonts w:eastAsia="Arial Narrow" w:cstheme="minorHAnsi"/>
        </w:rPr>
        <w:t>a</w:t>
      </w:r>
      <w:r>
        <w:rPr>
          <w:rFonts w:eastAsia="Arial Narrow" w:cstheme="minorHAnsi"/>
          <w:spacing w:val="1"/>
        </w:rPr>
        <w:t>s</w:t>
      </w:r>
      <w:r>
        <w:rPr>
          <w:rFonts w:eastAsia="Arial Narrow" w:cstheme="minorHAnsi"/>
          <w:spacing w:val="-2"/>
        </w:rPr>
        <w:t>n</w:t>
      </w:r>
      <w:r>
        <w:rPr>
          <w:rFonts w:eastAsia="Arial Narrow" w:cstheme="minorHAnsi"/>
          <w:spacing w:val="1"/>
        </w:rPr>
        <w:t>iš</w:t>
      </w:r>
      <w:r>
        <w:rPr>
          <w:rFonts w:eastAsia="Arial Narrow" w:cstheme="minorHAnsi"/>
          <w:spacing w:val="-2"/>
        </w:rPr>
        <w:t>t</w:t>
      </w:r>
      <w:r>
        <w:rPr>
          <w:rFonts w:eastAsia="Arial Narrow" w:cstheme="minorHAnsi"/>
          <w:spacing w:val="1"/>
        </w:rPr>
        <w:t>v</w:t>
      </w:r>
      <w:r>
        <w:rPr>
          <w:rFonts w:eastAsia="Arial Narrow" w:cstheme="minorHAnsi"/>
        </w:rPr>
        <w:t>o</w:t>
      </w:r>
      <w:r>
        <w:rPr>
          <w:rFonts w:eastAsia="Arial Narrow" w:cstheme="minorHAnsi"/>
          <w:spacing w:val="-4"/>
        </w:rPr>
        <w:t xml:space="preserve"> </w:t>
      </w:r>
      <w:r>
        <w:rPr>
          <w:rFonts w:eastAsia="Arial Narrow" w:cstheme="minorHAnsi"/>
          <w:spacing w:val="-1"/>
        </w:rPr>
        <w:t>R</w:t>
      </w:r>
      <w:r>
        <w:rPr>
          <w:rFonts w:eastAsia="Arial Narrow" w:cstheme="minorHAnsi"/>
        </w:rPr>
        <w:t>e</w:t>
      </w:r>
      <w:r>
        <w:rPr>
          <w:rFonts w:eastAsia="Arial Narrow" w:cstheme="minorHAnsi"/>
          <w:spacing w:val="-2"/>
        </w:rPr>
        <w:t>p</w:t>
      </w:r>
      <w:r>
        <w:rPr>
          <w:rFonts w:eastAsia="Arial Narrow" w:cstheme="minorHAnsi"/>
        </w:rPr>
        <w:t>ub</w:t>
      </w:r>
      <w:r>
        <w:rPr>
          <w:rFonts w:eastAsia="Arial Narrow" w:cstheme="minorHAnsi"/>
          <w:spacing w:val="1"/>
        </w:rPr>
        <w:t>l</w:t>
      </w:r>
      <w:r>
        <w:rPr>
          <w:rFonts w:eastAsia="Arial Narrow" w:cstheme="minorHAnsi"/>
          <w:spacing w:val="-2"/>
        </w:rPr>
        <w:t>i</w:t>
      </w:r>
      <w:r>
        <w:rPr>
          <w:rFonts w:eastAsia="Arial Narrow" w:cstheme="minorHAnsi"/>
          <w:spacing w:val="1"/>
        </w:rPr>
        <w:t>k</w:t>
      </w:r>
      <w:r>
        <w:rPr>
          <w:rFonts w:eastAsia="Arial Narrow" w:cstheme="minorHAnsi"/>
        </w:rPr>
        <w:t xml:space="preserve">e </w:t>
      </w:r>
      <w:r>
        <w:rPr>
          <w:rFonts w:eastAsia="Arial Narrow" w:cstheme="minorHAnsi"/>
          <w:spacing w:val="-1"/>
        </w:rPr>
        <w:t>H</w:t>
      </w:r>
      <w:r>
        <w:rPr>
          <w:rFonts w:eastAsia="Arial Narrow" w:cstheme="minorHAnsi"/>
        </w:rPr>
        <w:t>r</w:t>
      </w:r>
      <w:r>
        <w:rPr>
          <w:rFonts w:eastAsia="Arial Narrow" w:cstheme="minorHAnsi"/>
          <w:spacing w:val="1"/>
        </w:rPr>
        <w:t>v</w:t>
      </w:r>
      <w:r>
        <w:rPr>
          <w:rFonts w:eastAsia="Arial Narrow" w:cstheme="minorHAnsi"/>
        </w:rPr>
        <w:t>at</w:t>
      </w:r>
      <w:r>
        <w:rPr>
          <w:rFonts w:eastAsia="Arial Narrow" w:cstheme="minorHAnsi"/>
          <w:spacing w:val="1"/>
        </w:rPr>
        <w:t>sk</w:t>
      </w:r>
      <w:r>
        <w:rPr>
          <w:rFonts w:eastAsia="Arial Narrow" w:cstheme="minorHAnsi"/>
        </w:rPr>
        <w:t>e</w:t>
      </w:r>
      <w:r w:rsidR="000F4955">
        <w:rPr>
          <w:rFonts w:eastAsia="Arial Narrow" w:cstheme="minorHAnsi"/>
        </w:rPr>
        <w:t>,</w:t>
      </w:r>
      <w:r>
        <w:rPr>
          <w:rFonts w:eastAsia="Arial Narrow" w:cstheme="minorHAnsi"/>
          <w:spacing w:val="2"/>
        </w:rPr>
        <w:t xml:space="preserve"> </w:t>
      </w:r>
      <w:r>
        <w:rPr>
          <w:rFonts w:eastAsia="Arial Narrow" w:cstheme="minorHAnsi"/>
        </w:rPr>
        <w:t>podat</w:t>
      </w:r>
      <w:r>
        <w:rPr>
          <w:rFonts w:eastAsia="Arial Narrow" w:cstheme="minorHAnsi"/>
          <w:spacing w:val="-2"/>
        </w:rPr>
        <w:t>a</w:t>
      </w:r>
      <w:r>
        <w:rPr>
          <w:rFonts w:eastAsia="Arial Narrow" w:cstheme="minorHAnsi"/>
          <w:spacing w:val="1"/>
        </w:rPr>
        <w:t>k</w:t>
      </w:r>
      <w:r>
        <w:rPr>
          <w:rFonts w:eastAsia="Arial Narrow" w:cstheme="minorHAnsi"/>
        </w:rPr>
        <w:t>a</w:t>
      </w:r>
      <w:r>
        <w:rPr>
          <w:rFonts w:eastAsia="Arial Narrow" w:cstheme="minorHAnsi"/>
          <w:spacing w:val="2"/>
        </w:rPr>
        <w:t xml:space="preserve"> </w:t>
      </w:r>
      <w:r>
        <w:rPr>
          <w:rFonts w:eastAsia="Arial Narrow" w:cstheme="minorHAnsi"/>
        </w:rPr>
        <w:t>FI</w:t>
      </w:r>
      <w:r>
        <w:rPr>
          <w:rFonts w:eastAsia="Arial Narrow" w:cstheme="minorHAnsi"/>
          <w:spacing w:val="-1"/>
        </w:rPr>
        <w:t>NA</w:t>
      </w:r>
      <w:r>
        <w:rPr>
          <w:rFonts w:eastAsia="Arial Narrow" w:cstheme="minorHAnsi"/>
        </w:rPr>
        <w:t>-e o</w:t>
      </w:r>
      <w:r>
        <w:rPr>
          <w:rFonts w:eastAsia="Arial Narrow" w:cstheme="minorHAnsi"/>
          <w:spacing w:val="2"/>
        </w:rPr>
        <w:t xml:space="preserve"> </w:t>
      </w:r>
      <w:r>
        <w:rPr>
          <w:rFonts w:eastAsia="Arial Narrow" w:cstheme="minorHAnsi"/>
        </w:rPr>
        <w:t>po</w:t>
      </w:r>
      <w:r>
        <w:rPr>
          <w:rFonts w:eastAsia="Arial Narrow" w:cstheme="minorHAnsi"/>
          <w:spacing w:val="1"/>
        </w:rPr>
        <w:t>sl</w:t>
      </w:r>
      <w:r>
        <w:rPr>
          <w:rFonts w:eastAsia="Arial Narrow" w:cstheme="minorHAnsi"/>
          <w:spacing w:val="-2"/>
        </w:rPr>
        <w:t>o</w:t>
      </w:r>
      <w:r>
        <w:rPr>
          <w:rFonts w:eastAsia="Arial Narrow" w:cstheme="minorHAnsi"/>
          <w:spacing w:val="1"/>
        </w:rPr>
        <w:t>v</w:t>
      </w:r>
      <w:r>
        <w:rPr>
          <w:rFonts w:eastAsia="Arial Narrow" w:cstheme="minorHAnsi"/>
        </w:rPr>
        <w:t>n</w:t>
      </w:r>
      <w:r>
        <w:rPr>
          <w:rFonts w:eastAsia="Arial Narrow" w:cstheme="minorHAnsi"/>
          <w:spacing w:val="-2"/>
        </w:rPr>
        <w:t>i</w:t>
      </w:r>
      <w:r>
        <w:rPr>
          <w:rFonts w:eastAsia="Arial Narrow" w:cstheme="minorHAnsi"/>
        </w:rPr>
        <w:t>m</w:t>
      </w:r>
      <w:r>
        <w:rPr>
          <w:rFonts w:eastAsia="Arial Narrow" w:cstheme="minorHAnsi"/>
          <w:spacing w:val="3"/>
        </w:rPr>
        <w:t xml:space="preserve"> </w:t>
      </w:r>
      <w:r>
        <w:rPr>
          <w:rFonts w:eastAsia="Arial Narrow" w:cstheme="minorHAnsi"/>
        </w:rPr>
        <w:t>re</w:t>
      </w:r>
      <w:r>
        <w:rPr>
          <w:rFonts w:eastAsia="Arial Narrow" w:cstheme="minorHAnsi"/>
          <w:spacing w:val="1"/>
        </w:rPr>
        <w:t>z</w:t>
      </w:r>
      <w:r>
        <w:rPr>
          <w:rFonts w:eastAsia="Arial Narrow" w:cstheme="minorHAnsi"/>
        </w:rPr>
        <w:t>u</w:t>
      </w:r>
      <w:r>
        <w:rPr>
          <w:rFonts w:eastAsia="Arial Narrow" w:cstheme="minorHAnsi"/>
          <w:spacing w:val="-2"/>
        </w:rPr>
        <w:t>l</w:t>
      </w:r>
      <w:r>
        <w:rPr>
          <w:rFonts w:eastAsia="Arial Narrow" w:cstheme="minorHAnsi"/>
        </w:rPr>
        <w:t>tat</w:t>
      </w:r>
      <w:r>
        <w:rPr>
          <w:rFonts w:eastAsia="Arial Narrow" w:cstheme="minorHAnsi"/>
          <w:spacing w:val="-2"/>
        </w:rPr>
        <w:t>i</w:t>
      </w:r>
      <w:r>
        <w:rPr>
          <w:rFonts w:eastAsia="Arial Narrow" w:cstheme="minorHAnsi"/>
        </w:rPr>
        <w:t>ma</w:t>
      </w:r>
      <w:r>
        <w:rPr>
          <w:rFonts w:eastAsia="Arial Narrow" w:cstheme="minorHAnsi"/>
          <w:spacing w:val="2"/>
        </w:rPr>
        <w:t xml:space="preserve"> </w:t>
      </w:r>
      <w:r>
        <w:rPr>
          <w:rFonts w:eastAsia="Arial Narrow" w:cstheme="minorHAnsi"/>
        </w:rPr>
        <w:t>pod</w:t>
      </w:r>
      <w:r>
        <w:rPr>
          <w:rFonts w:eastAsia="Arial Narrow" w:cstheme="minorHAnsi"/>
          <w:spacing w:val="-2"/>
        </w:rPr>
        <w:t>u</w:t>
      </w:r>
      <w:r>
        <w:rPr>
          <w:rFonts w:eastAsia="Arial Narrow" w:cstheme="minorHAnsi"/>
          <w:spacing w:val="1"/>
        </w:rPr>
        <w:t>z</w:t>
      </w:r>
      <w:r>
        <w:rPr>
          <w:rFonts w:eastAsia="Arial Narrow" w:cstheme="minorHAnsi"/>
        </w:rPr>
        <w:t>etn</w:t>
      </w:r>
      <w:r>
        <w:rPr>
          <w:rFonts w:eastAsia="Arial Narrow" w:cstheme="minorHAnsi"/>
          <w:spacing w:val="-2"/>
        </w:rPr>
        <w:t>i</w:t>
      </w:r>
      <w:r>
        <w:rPr>
          <w:rFonts w:eastAsia="Arial Narrow" w:cstheme="minorHAnsi"/>
          <w:spacing w:val="1"/>
        </w:rPr>
        <w:t>k</w:t>
      </w:r>
      <w:r>
        <w:rPr>
          <w:rFonts w:eastAsia="Arial Narrow" w:cstheme="minorHAnsi"/>
        </w:rPr>
        <w:t>a</w:t>
      </w:r>
      <w:r>
        <w:rPr>
          <w:rFonts w:eastAsia="Arial Narrow" w:cstheme="minorHAnsi"/>
          <w:spacing w:val="2"/>
        </w:rPr>
        <w:t xml:space="preserve"> </w:t>
      </w:r>
      <w:r>
        <w:rPr>
          <w:rFonts w:eastAsia="Arial Narrow" w:cstheme="minorHAnsi"/>
          <w:spacing w:val="1"/>
        </w:rPr>
        <w:t>k</w:t>
      </w:r>
      <w:r>
        <w:rPr>
          <w:rFonts w:eastAsia="Arial Narrow" w:cstheme="minorHAnsi"/>
          <w:spacing w:val="-2"/>
        </w:rPr>
        <w:t>o</w:t>
      </w:r>
      <w:r>
        <w:rPr>
          <w:rFonts w:eastAsia="Arial Narrow" w:cstheme="minorHAnsi"/>
          <w:spacing w:val="1"/>
        </w:rPr>
        <w:t>j</w:t>
      </w:r>
      <w:r>
        <w:rPr>
          <w:rFonts w:eastAsia="Arial Narrow" w:cstheme="minorHAnsi"/>
        </w:rPr>
        <w:t>i</w:t>
      </w:r>
      <w:r>
        <w:rPr>
          <w:rFonts w:eastAsia="Arial Narrow" w:cstheme="minorHAnsi"/>
          <w:spacing w:val="3"/>
        </w:rPr>
        <w:t xml:space="preserve"> </w:t>
      </w:r>
      <w:r>
        <w:rPr>
          <w:rFonts w:eastAsia="Arial Narrow" w:cstheme="minorHAnsi"/>
        </w:rPr>
        <w:t>d</w:t>
      </w:r>
      <w:r>
        <w:rPr>
          <w:rFonts w:eastAsia="Arial Narrow" w:cstheme="minorHAnsi"/>
          <w:spacing w:val="1"/>
        </w:rPr>
        <w:t>j</w:t>
      </w:r>
      <w:r>
        <w:rPr>
          <w:rFonts w:eastAsia="Arial Narrow" w:cstheme="minorHAnsi"/>
          <w:spacing w:val="-2"/>
        </w:rPr>
        <w:t>e</w:t>
      </w:r>
      <w:r>
        <w:rPr>
          <w:rFonts w:eastAsia="Arial Narrow" w:cstheme="minorHAnsi"/>
          <w:spacing w:val="1"/>
        </w:rPr>
        <w:t>l</w:t>
      </w:r>
      <w:r>
        <w:rPr>
          <w:rFonts w:eastAsia="Arial Narrow" w:cstheme="minorHAnsi"/>
        </w:rPr>
        <w:t>u</w:t>
      </w:r>
      <w:r>
        <w:rPr>
          <w:rFonts w:eastAsia="Arial Narrow" w:cstheme="minorHAnsi"/>
          <w:spacing w:val="1"/>
        </w:rPr>
        <w:t>j</w:t>
      </w:r>
      <w:r>
        <w:rPr>
          <w:rFonts w:eastAsia="Arial Narrow" w:cstheme="minorHAnsi"/>
        </w:rPr>
        <w:t>u</w:t>
      </w:r>
      <w:r>
        <w:rPr>
          <w:rFonts w:eastAsia="Arial Narrow" w:cstheme="minorHAnsi"/>
          <w:spacing w:val="2"/>
        </w:rPr>
        <w:t xml:space="preserve"> </w:t>
      </w:r>
      <w:r>
        <w:rPr>
          <w:rFonts w:eastAsia="Arial Narrow" w:cstheme="minorHAnsi"/>
        </w:rPr>
        <w:t>u</w:t>
      </w:r>
      <w:r>
        <w:rPr>
          <w:rFonts w:eastAsia="Arial Narrow" w:cstheme="minorHAnsi"/>
          <w:spacing w:val="2"/>
        </w:rPr>
        <w:t xml:space="preserve"> </w:t>
      </w:r>
      <w:r>
        <w:rPr>
          <w:rFonts w:eastAsia="Arial Narrow" w:cstheme="minorHAnsi"/>
          <w:spacing w:val="-2"/>
        </w:rPr>
        <w:t>o</w:t>
      </w:r>
      <w:r>
        <w:rPr>
          <w:rFonts w:eastAsia="Arial Narrow" w:cstheme="minorHAnsi"/>
        </w:rPr>
        <w:t>dabra</w:t>
      </w:r>
      <w:r>
        <w:rPr>
          <w:rFonts w:eastAsia="Arial Narrow" w:cstheme="minorHAnsi"/>
          <w:spacing w:val="-2"/>
        </w:rPr>
        <w:t>ni</w:t>
      </w:r>
      <w:r>
        <w:rPr>
          <w:rFonts w:eastAsia="Arial Narrow" w:cstheme="minorHAnsi"/>
        </w:rPr>
        <w:t>m</w:t>
      </w:r>
      <w:r>
        <w:rPr>
          <w:rFonts w:eastAsia="Arial Narrow" w:cstheme="minorHAnsi"/>
          <w:spacing w:val="3"/>
        </w:rPr>
        <w:t xml:space="preserve"> </w:t>
      </w:r>
      <w:r>
        <w:rPr>
          <w:rFonts w:eastAsia="Arial Narrow" w:cstheme="minorHAnsi"/>
        </w:rPr>
        <w:t>I</w:t>
      </w:r>
      <w:r w:rsidR="0095306D">
        <w:rPr>
          <w:rFonts w:eastAsia="Arial Narrow" w:cstheme="minorHAnsi"/>
          <w:spacing w:val="-1"/>
        </w:rPr>
        <w:t>K</w:t>
      </w:r>
      <w:r>
        <w:rPr>
          <w:rFonts w:eastAsia="Arial Narrow" w:cstheme="minorHAnsi"/>
        </w:rPr>
        <w:t>T</w:t>
      </w:r>
      <w:r>
        <w:rPr>
          <w:rFonts w:eastAsia="Arial Narrow" w:cstheme="minorHAnsi"/>
          <w:spacing w:val="2"/>
        </w:rPr>
        <w:t xml:space="preserve"> </w:t>
      </w:r>
      <w:r>
        <w:rPr>
          <w:rFonts w:eastAsia="Arial Narrow" w:cstheme="minorHAnsi"/>
        </w:rPr>
        <w:t>d</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rPr>
        <w:t>at</w:t>
      </w:r>
      <w:r>
        <w:rPr>
          <w:rFonts w:eastAsia="Arial Narrow" w:cstheme="minorHAnsi"/>
          <w:spacing w:val="-2"/>
        </w:rPr>
        <w:t>n</w:t>
      </w:r>
      <w:r>
        <w:rPr>
          <w:rFonts w:eastAsia="Arial Narrow" w:cstheme="minorHAnsi"/>
        </w:rPr>
        <w:t>o</w:t>
      </w:r>
      <w:r>
        <w:rPr>
          <w:rFonts w:eastAsia="Arial Narrow" w:cstheme="minorHAnsi"/>
          <w:spacing w:val="1"/>
        </w:rPr>
        <w:t>s</w:t>
      </w:r>
      <w:r>
        <w:rPr>
          <w:rFonts w:eastAsia="Arial Narrow" w:cstheme="minorHAnsi"/>
        </w:rPr>
        <w:t>t</w:t>
      </w:r>
      <w:r>
        <w:rPr>
          <w:rFonts w:eastAsia="Arial Narrow" w:cstheme="minorHAnsi"/>
          <w:spacing w:val="-2"/>
        </w:rPr>
        <w:t>i</w:t>
      </w:r>
      <w:r>
        <w:rPr>
          <w:rFonts w:eastAsia="Arial Narrow" w:cstheme="minorHAnsi"/>
        </w:rPr>
        <w:t>ma</w:t>
      </w:r>
      <w:r>
        <w:rPr>
          <w:rFonts w:eastAsia="Arial Narrow" w:cstheme="minorHAnsi"/>
          <w:spacing w:val="2"/>
        </w:rPr>
        <w:t xml:space="preserve"> </w:t>
      </w:r>
      <w:r>
        <w:rPr>
          <w:rFonts w:eastAsia="Arial Narrow" w:cstheme="minorHAnsi"/>
        </w:rPr>
        <w:t>te prema pod</w:t>
      </w:r>
      <w:r>
        <w:rPr>
          <w:rFonts w:eastAsia="Arial Narrow" w:cstheme="minorHAnsi"/>
          <w:spacing w:val="-2"/>
        </w:rPr>
        <w:t>a</w:t>
      </w:r>
      <w:r>
        <w:rPr>
          <w:rFonts w:eastAsia="Arial Narrow" w:cstheme="minorHAnsi"/>
          <w:spacing w:val="1"/>
        </w:rPr>
        <w:t>ci</w:t>
      </w:r>
      <w:r>
        <w:rPr>
          <w:rFonts w:eastAsia="Arial Narrow" w:cstheme="minorHAnsi"/>
        </w:rPr>
        <w:t xml:space="preserve">ma o </w:t>
      </w:r>
      <w:r>
        <w:rPr>
          <w:rFonts w:eastAsia="Arial Narrow" w:cstheme="minorHAnsi"/>
          <w:spacing w:val="1"/>
        </w:rPr>
        <w:t>i</w:t>
      </w:r>
      <w:r>
        <w:rPr>
          <w:rFonts w:eastAsia="Arial Narrow" w:cstheme="minorHAnsi"/>
          <w:spacing w:val="-2"/>
        </w:rPr>
        <w:t>z</w:t>
      </w:r>
      <w:r>
        <w:rPr>
          <w:rFonts w:eastAsia="Arial Narrow" w:cstheme="minorHAnsi"/>
        </w:rPr>
        <w:t>da</w:t>
      </w:r>
      <w:r>
        <w:rPr>
          <w:rFonts w:eastAsia="Arial Narrow" w:cstheme="minorHAnsi"/>
          <w:spacing w:val="-2"/>
        </w:rPr>
        <w:t>c</w:t>
      </w:r>
      <w:r>
        <w:rPr>
          <w:rFonts w:eastAsia="Arial Narrow" w:cstheme="minorHAnsi"/>
          <w:spacing w:val="1"/>
        </w:rPr>
        <w:t>i</w:t>
      </w:r>
      <w:r>
        <w:rPr>
          <w:rFonts w:eastAsia="Arial Narrow" w:cstheme="minorHAnsi"/>
        </w:rPr>
        <w:t xml:space="preserve">ma </w:t>
      </w:r>
      <w:r>
        <w:rPr>
          <w:rFonts w:eastAsia="Arial Narrow" w:cstheme="minorHAnsi"/>
          <w:spacing w:val="-2"/>
        </w:rPr>
        <w:t>p</w:t>
      </w:r>
      <w:r>
        <w:rPr>
          <w:rFonts w:eastAsia="Arial Narrow" w:cstheme="minorHAnsi"/>
        </w:rPr>
        <w:t>odu</w:t>
      </w:r>
      <w:r>
        <w:rPr>
          <w:rFonts w:eastAsia="Arial Narrow" w:cstheme="minorHAnsi"/>
          <w:spacing w:val="1"/>
        </w:rPr>
        <w:t>z</w:t>
      </w:r>
      <w:r>
        <w:rPr>
          <w:rFonts w:eastAsia="Arial Narrow" w:cstheme="minorHAnsi"/>
          <w:spacing w:val="-2"/>
        </w:rPr>
        <w:t>e</w:t>
      </w:r>
      <w:r>
        <w:rPr>
          <w:rFonts w:eastAsia="Arial Narrow" w:cstheme="minorHAnsi"/>
          <w:spacing w:val="1"/>
        </w:rPr>
        <w:t>ć</w:t>
      </w:r>
      <w:r>
        <w:rPr>
          <w:rFonts w:eastAsia="Arial Narrow" w:cstheme="minorHAnsi"/>
        </w:rPr>
        <w:t xml:space="preserve">a </w:t>
      </w:r>
      <w:r>
        <w:rPr>
          <w:rFonts w:eastAsia="Arial Narrow" w:cstheme="minorHAnsi"/>
          <w:spacing w:val="1"/>
        </w:rPr>
        <w:t>z</w:t>
      </w:r>
      <w:r>
        <w:rPr>
          <w:rFonts w:eastAsia="Arial Narrow" w:cstheme="minorHAnsi"/>
        </w:rPr>
        <w:t>a</w:t>
      </w:r>
      <w:r>
        <w:rPr>
          <w:rFonts w:eastAsia="Arial Narrow" w:cstheme="minorHAnsi"/>
          <w:spacing w:val="2"/>
        </w:rPr>
        <w:t xml:space="preserve"> </w:t>
      </w:r>
      <w:r>
        <w:rPr>
          <w:rFonts w:eastAsia="Arial Narrow" w:cstheme="minorHAnsi"/>
          <w:spacing w:val="-3"/>
        </w:rPr>
        <w:t>r</w:t>
      </w:r>
      <w:r>
        <w:rPr>
          <w:rFonts w:eastAsia="Arial Narrow" w:cstheme="minorHAnsi"/>
        </w:rPr>
        <w:t>a</w:t>
      </w:r>
      <w:r>
        <w:rPr>
          <w:rFonts w:eastAsia="Arial Narrow" w:cstheme="minorHAnsi"/>
          <w:spacing w:val="1"/>
        </w:rPr>
        <w:t>z</w:t>
      </w:r>
      <w:r>
        <w:rPr>
          <w:rFonts w:eastAsia="Arial Narrow" w:cstheme="minorHAnsi"/>
          <w:spacing w:val="-2"/>
        </w:rPr>
        <w:t>v</w:t>
      </w:r>
      <w:r>
        <w:rPr>
          <w:rFonts w:eastAsia="Arial Narrow" w:cstheme="minorHAnsi"/>
        </w:rPr>
        <w:t>oj</w:t>
      </w:r>
      <w:r>
        <w:rPr>
          <w:rFonts w:eastAsia="Arial Narrow" w:cstheme="minorHAnsi"/>
          <w:spacing w:val="1"/>
        </w:rPr>
        <w:t xml:space="preserve"> </w:t>
      </w:r>
      <w:r>
        <w:rPr>
          <w:rFonts w:eastAsia="Arial Narrow" w:cstheme="minorHAnsi"/>
        </w:rPr>
        <w:t>i</w:t>
      </w:r>
      <w:r>
        <w:rPr>
          <w:rFonts w:eastAsia="Arial Narrow" w:cstheme="minorHAnsi"/>
          <w:spacing w:val="3"/>
        </w:rPr>
        <w:t xml:space="preserve"> </w:t>
      </w:r>
      <w:r>
        <w:rPr>
          <w:rFonts w:eastAsia="Arial Narrow" w:cstheme="minorHAnsi"/>
        </w:rPr>
        <w:t>b</w:t>
      </w:r>
      <w:r>
        <w:rPr>
          <w:rFonts w:eastAsia="Arial Narrow" w:cstheme="minorHAnsi"/>
          <w:spacing w:val="-3"/>
        </w:rPr>
        <w:t>r</w:t>
      </w:r>
      <w:r>
        <w:rPr>
          <w:rFonts w:eastAsia="Arial Narrow" w:cstheme="minorHAnsi"/>
        </w:rPr>
        <w:t>o</w:t>
      </w:r>
      <w:r>
        <w:rPr>
          <w:rFonts w:eastAsia="Arial Narrow" w:cstheme="minorHAnsi"/>
          <w:spacing w:val="1"/>
        </w:rPr>
        <w:t>j</w:t>
      </w:r>
      <w:r>
        <w:rPr>
          <w:rFonts w:eastAsia="Arial Narrow" w:cstheme="minorHAnsi"/>
        </w:rPr>
        <w:t xml:space="preserve">u </w:t>
      </w:r>
      <w:r>
        <w:rPr>
          <w:rFonts w:eastAsia="Arial Narrow" w:cstheme="minorHAnsi"/>
          <w:spacing w:val="1"/>
        </w:rPr>
        <w:t>z</w:t>
      </w:r>
      <w:r>
        <w:rPr>
          <w:rFonts w:eastAsia="Arial Narrow" w:cstheme="minorHAnsi"/>
        </w:rPr>
        <w:t>a</w:t>
      </w:r>
      <w:r>
        <w:rPr>
          <w:rFonts w:eastAsia="Arial Narrow" w:cstheme="minorHAnsi"/>
          <w:spacing w:val="-2"/>
        </w:rPr>
        <w:t>p</w:t>
      </w:r>
      <w:r>
        <w:rPr>
          <w:rFonts w:eastAsia="Arial Narrow" w:cstheme="minorHAnsi"/>
        </w:rPr>
        <w:t>o</w:t>
      </w:r>
      <w:r>
        <w:rPr>
          <w:rFonts w:eastAsia="Arial Narrow" w:cstheme="minorHAnsi"/>
          <w:spacing w:val="1"/>
        </w:rPr>
        <w:t>sl</w:t>
      </w:r>
      <w:r>
        <w:rPr>
          <w:rFonts w:eastAsia="Arial Narrow" w:cstheme="minorHAnsi"/>
        </w:rPr>
        <w:t>e</w:t>
      </w:r>
      <w:r>
        <w:rPr>
          <w:rFonts w:eastAsia="Arial Narrow" w:cstheme="minorHAnsi"/>
          <w:spacing w:val="-2"/>
        </w:rPr>
        <w:t>n</w:t>
      </w:r>
      <w:r>
        <w:rPr>
          <w:rFonts w:eastAsia="Arial Narrow" w:cstheme="minorHAnsi"/>
          <w:spacing w:val="1"/>
        </w:rPr>
        <w:t>i</w:t>
      </w:r>
      <w:r>
        <w:rPr>
          <w:rFonts w:eastAsia="Arial Narrow" w:cstheme="minorHAnsi"/>
        </w:rPr>
        <w:t>h</w:t>
      </w:r>
      <w:r>
        <w:rPr>
          <w:rFonts w:eastAsia="Arial Narrow" w:cstheme="minorHAnsi"/>
          <w:spacing w:val="2"/>
        </w:rPr>
        <w:t xml:space="preserve"> </w:t>
      </w:r>
      <w:r>
        <w:rPr>
          <w:rFonts w:eastAsia="Arial Narrow" w:cstheme="minorHAnsi"/>
        </w:rPr>
        <w:t xml:space="preserve">u </w:t>
      </w:r>
      <w:r>
        <w:rPr>
          <w:rFonts w:eastAsia="Arial Narrow" w:cstheme="minorHAnsi"/>
          <w:spacing w:val="-2"/>
        </w:rPr>
        <w:t>d</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rPr>
        <w:t>at</w:t>
      </w:r>
      <w:r>
        <w:rPr>
          <w:rFonts w:eastAsia="Arial Narrow" w:cstheme="minorHAnsi"/>
          <w:spacing w:val="-2"/>
        </w:rPr>
        <w:t>n</w:t>
      </w:r>
      <w:r>
        <w:rPr>
          <w:rFonts w:eastAsia="Arial Narrow" w:cstheme="minorHAnsi"/>
        </w:rPr>
        <w:t>o</w:t>
      </w:r>
      <w:r>
        <w:rPr>
          <w:rFonts w:eastAsia="Arial Narrow" w:cstheme="minorHAnsi"/>
          <w:spacing w:val="1"/>
        </w:rPr>
        <w:t>s</w:t>
      </w:r>
      <w:r>
        <w:rPr>
          <w:rFonts w:eastAsia="Arial Narrow" w:cstheme="minorHAnsi"/>
        </w:rPr>
        <w:t xml:space="preserve">ti </w:t>
      </w:r>
      <w:r>
        <w:rPr>
          <w:rFonts w:eastAsia="Arial Narrow" w:cstheme="minorHAnsi"/>
          <w:spacing w:val="1"/>
        </w:rPr>
        <w:t>is</w:t>
      </w:r>
      <w:r>
        <w:rPr>
          <w:rFonts w:eastAsia="Arial Narrow" w:cstheme="minorHAnsi"/>
        </w:rPr>
        <w:t>t</w:t>
      </w:r>
      <w:r>
        <w:rPr>
          <w:rFonts w:eastAsia="Arial Narrow" w:cstheme="minorHAnsi"/>
          <w:spacing w:val="-3"/>
        </w:rPr>
        <w:t>r</w:t>
      </w:r>
      <w:r>
        <w:rPr>
          <w:rFonts w:eastAsia="Arial Narrow" w:cstheme="minorHAnsi"/>
        </w:rPr>
        <w:t>a</w:t>
      </w:r>
      <w:r>
        <w:rPr>
          <w:rFonts w:eastAsia="Arial Narrow" w:cstheme="minorHAnsi"/>
          <w:spacing w:val="1"/>
        </w:rPr>
        <w:t>ž</w:t>
      </w:r>
      <w:r>
        <w:rPr>
          <w:rFonts w:eastAsia="Arial Narrow" w:cstheme="minorHAnsi"/>
          <w:spacing w:val="-2"/>
        </w:rPr>
        <w:t>i</w:t>
      </w:r>
      <w:r>
        <w:rPr>
          <w:rFonts w:eastAsia="Arial Narrow" w:cstheme="minorHAnsi"/>
          <w:spacing w:val="1"/>
        </w:rPr>
        <w:t>v</w:t>
      </w:r>
      <w:r>
        <w:rPr>
          <w:rFonts w:eastAsia="Arial Narrow" w:cstheme="minorHAnsi"/>
          <w:spacing w:val="-2"/>
        </w:rPr>
        <w:t>a</w:t>
      </w:r>
      <w:r>
        <w:rPr>
          <w:rFonts w:eastAsia="Arial Narrow" w:cstheme="minorHAnsi"/>
        </w:rPr>
        <w:t>n</w:t>
      </w:r>
      <w:r>
        <w:rPr>
          <w:rFonts w:eastAsia="Arial Narrow" w:cstheme="minorHAnsi"/>
          <w:spacing w:val="1"/>
        </w:rPr>
        <w:t>j</w:t>
      </w:r>
      <w:r>
        <w:rPr>
          <w:rFonts w:eastAsia="Arial Narrow" w:cstheme="minorHAnsi"/>
        </w:rPr>
        <w:t>a i</w:t>
      </w:r>
      <w:r>
        <w:rPr>
          <w:rFonts w:eastAsia="Arial Narrow" w:cstheme="minorHAnsi"/>
          <w:spacing w:val="3"/>
        </w:rPr>
        <w:t xml:space="preserve"> </w:t>
      </w:r>
      <w:r>
        <w:rPr>
          <w:rFonts w:eastAsia="Arial Narrow" w:cstheme="minorHAnsi"/>
        </w:rPr>
        <w:t>r</w:t>
      </w:r>
      <w:r>
        <w:rPr>
          <w:rFonts w:eastAsia="Arial Narrow" w:cstheme="minorHAnsi"/>
          <w:spacing w:val="-2"/>
        </w:rPr>
        <w:t>a</w:t>
      </w:r>
      <w:r>
        <w:rPr>
          <w:rFonts w:eastAsia="Arial Narrow" w:cstheme="minorHAnsi"/>
          <w:spacing w:val="1"/>
        </w:rPr>
        <w:t>zv</w:t>
      </w:r>
      <w:r>
        <w:rPr>
          <w:rFonts w:eastAsia="Arial Narrow" w:cstheme="minorHAnsi"/>
          <w:spacing w:val="-2"/>
        </w:rPr>
        <w:t>o</w:t>
      </w:r>
      <w:r>
        <w:rPr>
          <w:rFonts w:eastAsia="Arial Narrow" w:cstheme="minorHAnsi"/>
          <w:spacing w:val="1"/>
        </w:rPr>
        <w:t>j</w:t>
      </w:r>
      <w:r>
        <w:rPr>
          <w:rFonts w:eastAsia="Arial Narrow" w:cstheme="minorHAnsi"/>
        </w:rPr>
        <w:t>a.</w:t>
      </w:r>
      <w:r>
        <w:rPr>
          <w:rFonts w:eastAsia="Arial Narrow" w:cstheme="minorHAnsi"/>
          <w:spacing w:val="2"/>
        </w:rPr>
        <w:t xml:space="preserve"> </w:t>
      </w:r>
      <w:r>
        <w:rPr>
          <w:rFonts w:eastAsia="Arial Narrow" w:cstheme="minorHAnsi"/>
          <w:spacing w:val="-3"/>
        </w:rPr>
        <w:t>T</w:t>
      </w:r>
      <w:r>
        <w:rPr>
          <w:rFonts w:eastAsia="Arial Narrow" w:cstheme="minorHAnsi"/>
        </w:rPr>
        <w:t>ab</w:t>
      </w:r>
      <w:r>
        <w:rPr>
          <w:rFonts w:eastAsia="Arial Narrow" w:cstheme="minorHAnsi"/>
          <w:spacing w:val="1"/>
        </w:rPr>
        <w:t>l</w:t>
      </w:r>
      <w:r>
        <w:rPr>
          <w:rFonts w:eastAsia="Arial Narrow" w:cstheme="minorHAnsi"/>
          <w:spacing w:val="-2"/>
        </w:rPr>
        <w:t>i</w:t>
      </w:r>
      <w:r>
        <w:rPr>
          <w:rFonts w:eastAsia="Arial Narrow" w:cstheme="minorHAnsi"/>
          <w:spacing w:val="1"/>
        </w:rPr>
        <w:t>c</w:t>
      </w:r>
      <w:r>
        <w:rPr>
          <w:rFonts w:eastAsia="Arial Narrow" w:cstheme="minorHAnsi"/>
        </w:rPr>
        <w:t>a u na</w:t>
      </w:r>
      <w:r>
        <w:rPr>
          <w:rFonts w:eastAsia="Arial Narrow" w:cstheme="minorHAnsi"/>
          <w:spacing w:val="1"/>
        </w:rPr>
        <w:t>s</w:t>
      </w:r>
      <w:r>
        <w:rPr>
          <w:rFonts w:eastAsia="Arial Narrow" w:cstheme="minorHAnsi"/>
        </w:rPr>
        <w:t>ta</w:t>
      </w:r>
      <w:r>
        <w:rPr>
          <w:rFonts w:eastAsia="Arial Narrow" w:cstheme="minorHAnsi"/>
          <w:spacing w:val="-2"/>
        </w:rPr>
        <w:t>v</w:t>
      </w:r>
      <w:r>
        <w:rPr>
          <w:rFonts w:eastAsia="Arial Narrow" w:cstheme="minorHAnsi"/>
          <w:spacing w:val="1"/>
        </w:rPr>
        <w:t>k</w:t>
      </w:r>
      <w:r>
        <w:rPr>
          <w:rFonts w:eastAsia="Arial Narrow" w:cstheme="minorHAnsi"/>
        </w:rPr>
        <w:t>u</w:t>
      </w:r>
      <w:r>
        <w:rPr>
          <w:rFonts w:eastAsia="Arial Narrow" w:cstheme="minorHAnsi"/>
          <w:spacing w:val="-12"/>
        </w:rPr>
        <w:t xml:space="preserve"> </w:t>
      </w:r>
      <w:r>
        <w:rPr>
          <w:rFonts w:eastAsia="Arial Narrow" w:cstheme="minorHAnsi"/>
        </w:rPr>
        <w:t>pr</w:t>
      </w:r>
      <w:r>
        <w:rPr>
          <w:rFonts w:eastAsia="Arial Narrow" w:cstheme="minorHAnsi"/>
          <w:spacing w:val="1"/>
        </w:rPr>
        <w:t>i</w:t>
      </w:r>
      <w:r>
        <w:rPr>
          <w:rFonts w:eastAsia="Arial Narrow" w:cstheme="minorHAnsi"/>
          <w:spacing w:val="-2"/>
        </w:rPr>
        <w:t>k</w:t>
      </w:r>
      <w:r>
        <w:rPr>
          <w:rFonts w:eastAsia="Arial Narrow" w:cstheme="minorHAnsi"/>
        </w:rPr>
        <w:t>a</w:t>
      </w:r>
      <w:r>
        <w:rPr>
          <w:rFonts w:eastAsia="Arial Narrow" w:cstheme="minorHAnsi"/>
          <w:spacing w:val="1"/>
        </w:rPr>
        <w:t>z</w:t>
      </w:r>
      <w:r>
        <w:rPr>
          <w:rFonts w:eastAsia="Arial Narrow" w:cstheme="minorHAnsi"/>
        </w:rPr>
        <w:t>u</w:t>
      </w:r>
      <w:r>
        <w:rPr>
          <w:rFonts w:eastAsia="Arial Narrow" w:cstheme="minorHAnsi"/>
          <w:spacing w:val="-2"/>
        </w:rPr>
        <w:t>j</w:t>
      </w:r>
      <w:r>
        <w:rPr>
          <w:rFonts w:eastAsia="Arial Narrow" w:cstheme="minorHAnsi"/>
        </w:rPr>
        <w:t>e</w:t>
      </w:r>
      <w:r>
        <w:rPr>
          <w:rFonts w:eastAsia="Arial Narrow" w:cstheme="minorHAnsi"/>
          <w:spacing w:val="-9"/>
        </w:rPr>
        <w:t xml:space="preserve"> </w:t>
      </w:r>
      <w:r>
        <w:rPr>
          <w:rFonts w:eastAsia="Arial Narrow" w:cstheme="minorHAnsi"/>
          <w:spacing w:val="-2"/>
        </w:rPr>
        <w:t>p</w:t>
      </w:r>
      <w:r>
        <w:rPr>
          <w:rFonts w:eastAsia="Arial Narrow" w:cstheme="minorHAnsi"/>
        </w:rPr>
        <w:t>odat</w:t>
      </w:r>
      <w:r>
        <w:rPr>
          <w:rFonts w:eastAsia="Arial Narrow" w:cstheme="minorHAnsi"/>
          <w:spacing w:val="-2"/>
        </w:rPr>
        <w:t>k</w:t>
      </w:r>
      <w:r>
        <w:rPr>
          <w:rFonts w:eastAsia="Arial Narrow" w:cstheme="minorHAnsi"/>
        </w:rPr>
        <w:t>e</w:t>
      </w:r>
      <w:r>
        <w:rPr>
          <w:rFonts w:eastAsia="Arial Narrow" w:cstheme="minorHAnsi"/>
          <w:spacing w:val="-9"/>
        </w:rPr>
        <w:t xml:space="preserve"> </w:t>
      </w:r>
      <w:r>
        <w:rPr>
          <w:rFonts w:eastAsia="Arial Narrow" w:cstheme="minorHAnsi"/>
        </w:rPr>
        <w:t>o</w:t>
      </w:r>
      <w:r>
        <w:rPr>
          <w:rFonts w:eastAsia="Arial Narrow" w:cstheme="minorHAnsi"/>
          <w:spacing w:val="-12"/>
        </w:rPr>
        <w:t xml:space="preserve"> </w:t>
      </w:r>
      <w:r>
        <w:rPr>
          <w:rFonts w:eastAsia="Arial Narrow" w:cstheme="minorHAnsi"/>
          <w:spacing w:val="-2"/>
        </w:rPr>
        <w:t>d</w:t>
      </w:r>
      <w:r>
        <w:rPr>
          <w:rFonts w:eastAsia="Arial Narrow" w:cstheme="minorHAnsi"/>
          <w:spacing w:val="1"/>
        </w:rPr>
        <w:t>is</w:t>
      </w:r>
      <w:r>
        <w:rPr>
          <w:rFonts w:eastAsia="Arial Narrow" w:cstheme="minorHAnsi"/>
        </w:rPr>
        <w:t>tr</w:t>
      </w:r>
      <w:r>
        <w:rPr>
          <w:rFonts w:eastAsia="Arial Narrow" w:cstheme="minorHAnsi"/>
          <w:spacing w:val="1"/>
        </w:rPr>
        <w:t>i</w:t>
      </w:r>
      <w:r>
        <w:rPr>
          <w:rFonts w:eastAsia="Arial Narrow" w:cstheme="minorHAnsi"/>
        </w:rPr>
        <w:t>b</w:t>
      </w:r>
      <w:r>
        <w:rPr>
          <w:rFonts w:eastAsia="Arial Narrow" w:cstheme="minorHAnsi"/>
          <w:spacing w:val="-2"/>
        </w:rPr>
        <w:t>u</w:t>
      </w:r>
      <w:r>
        <w:rPr>
          <w:rFonts w:eastAsia="Arial Narrow" w:cstheme="minorHAnsi"/>
          <w:spacing w:val="1"/>
        </w:rPr>
        <w:t>ci</w:t>
      </w:r>
      <w:r>
        <w:rPr>
          <w:rFonts w:eastAsia="Arial Narrow" w:cstheme="minorHAnsi"/>
          <w:spacing w:val="-2"/>
        </w:rPr>
        <w:t>j</w:t>
      </w:r>
      <w:r>
        <w:rPr>
          <w:rFonts w:eastAsia="Arial Narrow" w:cstheme="minorHAnsi"/>
        </w:rPr>
        <w:t>i</w:t>
      </w:r>
      <w:r>
        <w:rPr>
          <w:rFonts w:eastAsia="Arial Narrow" w:cstheme="minorHAnsi"/>
          <w:spacing w:val="-11"/>
        </w:rPr>
        <w:t xml:space="preserve"> </w:t>
      </w:r>
      <w:r>
        <w:rPr>
          <w:rFonts w:eastAsia="Arial Narrow" w:cstheme="minorHAnsi"/>
          <w:spacing w:val="1"/>
        </w:rPr>
        <w:t>k</w:t>
      </w:r>
      <w:r>
        <w:rPr>
          <w:rFonts w:eastAsia="Arial Narrow" w:cstheme="minorHAnsi"/>
        </w:rPr>
        <w:t>um</w:t>
      </w:r>
      <w:r>
        <w:rPr>
          <w:rFonts w:eastAsia="Arial Narrow" w:cstheme="minorHAnsi"/>
          <w:spacing w:val="-2"/>
        </w:rPr>
        <w:t>u</w:t>
      </w:r>
      <w:r>
        <w:rPr>
          <w:rFonts w:eastAsia="Arial Narrow" w:cstheme="minorHAnsi"/>
          <w:spacing w:val="1"/>
        </w:rPr>
        <w:t>l</w:t>
      </w:r>
      <w:r>
        <w:rPr>
          <w:rFonts w:eastAsia="Arial Narrow" w:cstheme="minorHAnsi"/>
        </w:rPr>
        <w:t>at</w:t>
      </w:r>
      <w:r>
        <w:rPr>
          <w:rFonts w:eastAsia="Arial Narrow" w:cstheme="minorHAnsi"/>
          <w:spacing w:val="-2"/>
        </w:rPr>
        <w:t>i</w:t>
      </w:r>
      <w:r>
        <w:rPr>
          <w:rFonts w:eastAsia="Arial Narrow" w:cstheme="minorHAnsi"/>
          <w:spacing w:val="1"/>
        </w:rPr>
        <w:t>v</w:t>
      </w:r>
      <w:r>
        <w:rPr>
          <w:rFonts w:eastAsia="Arial Narrow" w:cstheme="minorHAnsi"/>
        </w:rPr>
        <w:t>nog</w:t>
      </w:r>
      <w:r>
        <w:rPr>
          <w:rFonts w:eastAsia="Arial Narrow" w:cstheme="minorHAnsi"/>
          <w:spacing w:val="-12"/>
        </w:rPr>
        <w:t xml:space="preserve"> </w:t>
      </w:r>
      <w:r>
        <w:rPr>
          <w:rFonts w:eastAsia="Arial Narrow" w:cstheme="minorHAnsi"/>
        </w:rPr>
        <w:t>bro</w:t>
      </w:r>
      <w:r>
        <w:rPr>
          <w:rFonts w:eastAsia="Arial Narrow" w:cstheme="minorHAnsi"/>
          <w:spacing w:val="-2"/>
        </w:rPr>
        <w:t>j</w:t>
      </w:r>
      <w:r>
        <w:rPr>
          <w:rFonts w:eastAsia="Arial Narrow" w:cstheme="minorHAnsi"/>
        </w:rPr>
        <w:t>a</w:t>
      </w:r>
      <w:r>
        <w:rPr>
          <w:rFonts w:eastAsia="Arial Narrow" w:cstheme="minorHAnsi"/>
          <w:spacing w:val="-9"/>
        </w:rPr>
        <w:t xml:space="preserve"> </w:t>
      </w:r>
      <w:r>
        <w:rPr>
          <w:rFonts w:eastAsia="Arial Narrow" w:cstheme="minorHAnsi"/>
        </w:rPr>
        <w:t>p</w:t>
      </w:r>
      <w:r>
        <w:rPr>
          <w:rFonts w:eastAsia="Arial Narrow" w:cstheme="minorHAnsi"/>
          <w:spacing w:val="-3"/>
        </w:rPr>
        <w:t>r</w:t>
      </w:r>
      <w:r>
        <w:rPr>
          <w:rFonts w:eastAsia="Arial Narrow" w:cstheme="minorHAnsi"/>
          <w:spacing w:val="1"/>
        </w:rPr>
        <w:t>ij</w:t>
      </w:r>
      <w:r>
        <w:rPr>
          <w:rFonts w:eastAsia="Arial Narrow" w:cstheme="minorHAnsi"/>
        </w:rPr>
        <w:t>a</w:t>
      </w:r>
      <w:r>
        <w:rPr>
          <w:rFonts w:eastAsia="Arial Narrow" w:cstheme="minorHAnsi"/>
          <w:spacing w:val="-2"/>
        </w:rPr>
        <w:t>v</w:t>
      </w:r>
      <w:r>
        <w:rPr>
          <w:rFonts w:eastAsia="Arial Narrow" w:cstheme="minorHAnsi"/>
          <w:spacing w:val="1"/>
        </w:rPr>
        <w:t>lj</w:t>
      </w:r>
      <w:r>
        <w:rPr>
          <w:rFonts w:eastAsia="Arial Narrow" w:cstheme="minorHAnsi"/>
        </w:rPr>
        <w:t>en</w:t>
      </w:r>
      <w:r>
        <w:rPr>
          <w:rFonts w:eastAsia="Arial Narrow" w:cstheme="minorHAnsi"/>
          <w:spacing w:val="-2"/>
        </w:rPr>
        <w:t>i</w:t>
      </w:r>
      <w:r>
        <w:rPr>
          <w:rFonts w:eastAsia="Arial Narrow" w:cstheme="minorHAnsi"/>
        </w:rPr>
        <w:t>h</w:t>
      </w:r>
      <w:r>
        <w:rPr>
          <w:rFonts w:eastAsia="Arial Narrow" w:cstheme="minorHAnsi"/>
          <w:spacing w:val="-9"/>
        </w:rPr>
        <w:t xml:space="preserve"> </w:t>
      </w:r>
      <w:r>
        <w:rPr>
          <w:rFonts w:eastAsia="Arial Narrow" w:cstheme="minorHAnsi"/>
          <w:spacing w:val="-2"/>
        </w:rPr>
        <w:t>p</w:t>
      </w:r>
      <w:r>
        <w:rPr>
          <w:rFonts w:eastAsia="Arial Narrow" w:cstheme="minorHAnsi"/>
        </w:rPr>
        <w:t>atenat</w:t>
      </w:r>
      <w:r>
        <w:rPr>
          <w:rFonts w:eastAsia="Arial Narrow" w:cstheme="minorHAnsi"/>
          <w:spacing w:val="-2"/>
        </w:rPr>
        <w:t>a</w:t>
      </w:r>
      <w:r>
        <w:rPr>
          <w:rFonts w:eastAsia="Arial Narrow" w:cstheme="minorHAnsi"/>
        </w:rPr>
        <w:t>,</w:t>
      </w:r>
      <w:r>
        <w:rPr>
          <w:rFonts w:eastAsia="Arial Narrow" w:cstheme="minorHAnsi"/>
          <w:spacing w:val="-9"/>
        </w:rPr>
        <w:t xml:space="preserve"> </w:t>
      </w:r>
      <w:r>
        <w:rPr>
          <w:rFonts w:eastAsia="Arial Narrow" w:cstheme="minorHAnsi"/>
        </w:rPr>
        <w:t>p</w:t>
      </w:r>
      <w:r>
        <w:rPr>
          <w:rFonts w:eastAsia="Arial Narrow" w:cstheme="minorHAnsi"/>
          <w:spacing w:val="-3"/>
        </w:rPr>
        <w:t>r</w:t>
      </w:r>
      <w:r>
        <w:rPr>
          <w:rFonts w:eastAsia="Arial Narrow" w:cstheme="minorHAnsi"/>
          <w:spacing w:val="1"/>
        </w:rPr>
        <w:t>iz</w:t>
      </w:r>
      <w:r>
        <w:rPr>
          <w:rFonts w:eastAsia="Arial Narrow" w:cstheme="minorHAnsi"/>
        </w:rPr>
        <w:t>na</w:t>
      </w:r>
      <w:r>
        <w:rPr>
          <w:rFonts w:eastAsia="Arial Narrow" w:cstheme="minorHAnsi"/>
          <w:spacing w:val="-2"/>
        </w:rPr>
        <w:t>t</w:t>
      </w:r>
      <w:r>
        <w:rPr>
          <w:rFonts w:eastAsia="Arial Narrow" w:cstheme="minorHAnsi"/>
          <w:spacing w:val="1"/>
        </w:rPr>
        <w:t>i</w:t>
      </w:r>
      <w:r>
        <w:rPr>
          <w:rFonts w:eastAsia="Arial Narrow" w:cstheme="minorHAnsi"/>
        </w:rPr>
        <w:t>h</w:t>
      </w:r>
      <w:r>
        <w:rPr>
          <w:rFonts w:eastAsia="Arial Narrow" w:cstheme="minorHAnsi"/>
          <w:spacing w:val="-12"/>
        </w:rPr>
        <w:t xml:space="preserve"> </w:t>
      </w:r>
      <w:r>
        <w:rPr>
          <w:rFonts w:eastAsia="Arial Narrow" w:cstheme="minorHAnsi"/>
        </w:rPr>
        <w:t>p</w:t>
      </w:r>
      <w:r>
        <w:rPr>
          <w:rFonts w:eastAsia="Arial Narrow" w:cstheme="minorHAnsi"/>
          <w:spacing w:val="-2"/>
        </w:rPr>
        <w:t>a</w:t>
      </w:r>
      <w:r>
        <w:rPr>
          <w:rFonts w:eastAsia="Arial Narrow" w:cstheme="minorHAnsi"/>
        </w:rPr>
        <w:t>tenata,</w:t>
      </w:r>
      <w:r>
        <w:rPr>
          <w:rFonts w:eastAsia="Arial Narrow" w:cstheme="minorHAnsi"/>
          <w:spacing w:val="-12"/>
        </w:rPr>
        <w:t xml:space="preserve"> </w:t>
      </w:r>
      <w:r>
        <w:rPr>
          <w:rFonts w:eastAsia="Arial Narrow" w:cstheme="minorHAnsi"/>
          <w:spacing w:val="1"/>
        </w:rPr>
        <w:t>k</w:t>
      </w:r>
      <w:r>
        <w:rPr>
          <w:rFonts w:eastAsia="Arial Narrow" w:cstheme="minorHAnsi"/>
        </w:rPr>
        <w:t>o</w:t>
      </w:r>
      <w:r>
        <w:rPr>
          <w:rFonts w:eastAsia="Arial Narrow" w:cstheme="minorHAnsi"/>
          <w:spacing w:val="-2"/>
        </w:rPr>
        <w:t>n</w:t>
      </w:r>
      <w:r>
        <w:rPr>
          <w:rFonts w:eastAsia="Arial Narrow" w:cstheme="minorHAnsi"/>
          <w:spacing w:val="1"/>
        </w:rPr>
        <w:t>s</w:t>
      </w:r>
      <w:r>
        <w:rPr>
          <w:rFonts w:eastAsia="Arial Narrow" w:cstheme="minorHAnsi"/>
        </w:rPr>
        <w:t>en</w:t>
      </w:r>
      <w:r>
        <w:rPr>
          <w:rFonts w:eastAsia="Arial Narrow" w:cstheme="minorHAnsi"/>
          <w:spacing w:val="-2"/>
        </w:rPr>
        <w:t>z</w:t>
      </w:r>
      <w:r>
        <w:rPr>
          <w:rFonts w:eastAsia="Arial Narrow" w:cstheme="minorHAnsi"/>
        </w:rPr>
        <w:t>ua</w:t>
      </w:r>
      <w:r>
        <w:rPr>
          <w:rFonts w:eastAsia="Arial Narrow" w:cstheme="minorHAnsi"/>
          <w:spacing w:val="1"/>
        </w:rPr>
        <w:t>l</w:t>
      </w:r>
      <w:r>
        <w:rPr>
          <w:rFonts w:eastAsia="Arial Narrow" w:cstheme="minorHAnsi"/>
          <w:spacing w:val="-2"/>
        </w:rPr>
        <w:t>n</w:t>
      </w:r>
      <w:r>
        <w:rPr>
          <w:rFonts w:eastAsia="Arial Narrow" w:cstheme="minorHAnsi"/>
          <w:spacing w:val="1"/>
        </w:rPr>
        <w:t>i</w:t>
      </w:r>
      <w:r>
        <w:rPr>
          <w:rFonts w:eastAsia="Arial Narrow" w:cstheme="minorHAnsi"/>
        </w:rPr>
        <w:t>h patenata, pr</w:t>
      </w:r>
      <w:r>
        <w:rPr>
          <w:rFonts w:eastAsia="Arial Narrow" w:cstheme="minorHAnsi"/>
          <w:spacing w:val="1"/>
        </w:rPr>
        <w:t>i</w:t>
      </w:r>
      <w:r>
        <w:rPr>
          <w:rFonts w:eastAsia="Arial Narrow" w:cstheme="minorHAnsi"/>
          <w:spacing w:val="-2"/>
        </w:rPr>
        <w:t>z</w:t>
      </w:r>
      <w:r>
        <w:rPr>
          <w:rFonts w:eastAsia="Arial Narrow" w:cstheme="minorHAnsi"/>
        </w:rPr>
        <w:t>nat</w:t>
      </w:r>
      <w:r>
        <w:rPr>
          <w:rFonts w:eastAsia="Arial Narrow" w:cstheme="minorHAnsi"/>
          <w:spacing w:val="1"/>
        </w:rPr>
        <w:t>i</w:t>
      </w:r>
      <w:r>
        <w:rPr>
          <w:rFonts w:eastAsia="Arial Narrow" w:cstheme="minorHAnsi"/>
        </w:rPr>
        <w:t xml:space="preserve">h </w:t>
      </w:r>
      <w:r>
        <w:rPr>
          <w:rFonts w:eastAsia="Arial Narrow" w:cstheme="minorHAnsi"/>
          <w:spacing w:val="1"/>
        </w:rPr>
        <w:t>ži</w:t>
      </w:r>
      <w:r>
        <w:rPr>
          <w:rFonts w:eastAsia="Arial Narrow" w:cstheme="minorHAnsi"/>
          <w:spacing w:val="-2"/>
        </w:rPr>
        <w:t>g</w:t>
      </w:r>
      <w:r>
        <w:rPr>
          <w:rFonts w:eastAsia="Arial Narrow" w:cstheme="minorHAnsi"/>
        </w:rPr>
        <w:t>o</w:t>
      </w:r>
      <w:r>
        <w:rPr>
          <w:rFonts w:eastAsia="Arial Narrow" w:cstheme="minorHAnsi"/>
          <w:spacing w:val="1"/>
        </w:rPr>
        <w:t>v</w:t>
      </w:r>
      <w:r>
        <w:rPr>
          <w:rFonts w:eastAsia="Arial Narrow" w:cstheme="minorHAnsi"/>
        </w:rPr>
        <w:t>a i</w:t>
      </w:r>
      <w:r>
        <w:rPr>
          <w:rFonts w:eastAsia="Arial Narrow" w:cstheme="minorHAnsi"/>
          <w:spacing w:val="3"/>
        </w:rPr>
        <w:t xml:space="preserve"> </w:t>
      </w:r>
      <w:r>
        <w:rPr>
          <w:rFonts w:eastAsia="Arial Narrow" w:cstheme="minorHAnsi"/>
          <w:spacing w:val="-2"/>
        </w:rPr>
        <w:t>p</w:t>
      </w:r>
      <w:r>
        <w:rPr>
          <w:rFonts w:eastAsia="Arial Narrow" w:cstheme="minorHAnsi"/>
        </w:rPr>
        <w:t>r</w:t>
      </w:r>
      <w:r>
        <w:rPr>
          <w:rFonts w:eastAsia="Arial Narrow" w:cstheme="minorHAnsi"/>
          <w:spacing w:val="1"/>
        </w:rPr>
        <w:t>iz</w:t>
      </w:r>
      <w:r>
        <w:rPr>
          <w:rFonts w:eastAsia="Arial Narrow" w:cstheme="minorHAnsi"/>
        </w:rPr>
        <w:t>nat</w:t>
      </w:r>
      <w:r>
        <w:rPr>
          <w:rFonts w:eastAsia="Arial Narrow" w:cstheme="minorHAnsi"/>
          <w:spacing w:val="-2"/>
        </w:rPr>
        <w:t>o</w:t>
      </w:r>
      <w:r>
        <w:rPr>
          <w:rFonts w:eastAsia="Arial Narrow" w:cstheme="minorHAnsi"/>
        </w:rPr>
        <w:t>m</w:t>
      </w:r>
      <w:r>
        <w:rPr>
          <w:rFonts w:eastAsia="Arial Narrow" w:cstheme="minorHAnsi"/>
          <w:spacing w:val="3"/>
        </w:rPr>
        <w:t xml:space="preserve"> </w:t>
      </w:r>
      <w:r>
        <w:rPr>
          <w:rFonts w:eastAsia="Arial Narrow" w:cstheme="minorHAnsi"/>
        </w:rPr>
        <w:t>d</w:t>
      </w:r>
      <w:r>
        <w:rPr>
          <w:rFonts w:eastAsia="Arial Narrow" w:cstheme="minorHAnsi"/>
          <w:spacing w:val="-2"/>
        </w:rPr>
        <w:t>i</w:t>
      </w:r>
      <w:r>
        <w:rPr>
          <w:rFonts w:eastAsia="Arial Narrow" w:cstheme="minorHAnsi"/>
          <w:spacing w:val="1"/>
        </w:rPr>
        <w:t>z</w:t>
      </w:r>
      <w:r>
        <w:rPr>
          <w:rFonts w:eastAsia="Arial Narrow" w:cstheme="minorHAnsi"/>
        </w:rPr>
        <w:t>a</w:t>
      </w:r>
      <w:r>
        <w:rPr>
          <w:rFonts w:eastAsia="Arial Narrow" w:cstheme="minorHAnsi"/>
          <w:spacing w:val="1"/>
        </w:rPr>
        <w:t>j</w:t>
      </w:r>
      <w:r>
        <w:rPr>
          <w:rFonts w:eastAsia="Arial Narrow" w:cstheme="minorHAnsi"/>
          <w:spacing w:val="-2"/>
        </w:rPr>
        <w:t>n</w:t>
      </w:r>
      <w:r>
        <w:rPr>
          <w:rFonts w:eastAsia="Arial Narrow" w:cstheme="minorHAnsi"/>
        </w:rPr>
        <w:t>u</w:t>
      </w:r>
      <w:r>
        <w:rPr>
          <w:rFonts w:eastAsia="Arial Narrow" w:cstheme="minorHAnsi"/>
          <w:spacing w:val="3"/>
        </w:rPr>
        <w:t xml:space="preserve"> </w:t>
      </w:r>
      <w:r>
        <w:rPr>
          <w:rFonts w:eastAsia="Arial Narrow" w:cstheme="minorHAnsi"/>
        </w:rPr>
        <w:t>unu</w:t>
      </w:r>
      <w:r>
        <w:rPr>
          <w:rFonts w:eastAsia="Arial Narrow" w:cstheme="minorHAnsi"/>
          <w:spacing w:val="-2"/>
        </w:rPr>
        <w:t>t</w:t>
      </w:r>
      <w:r>
        <w:rPr>
          <w:rFonts w:eastAsia="Arial Narrow" w:cstheme="minorHAnsi"/>
        </w:rPr>
        <w:t>ar</w:t>
      </w:r>
      <w:r>
        <w:rPr>
          <w:rFonts w:eastAsia="Arial Narrow" w:cstheme="minorHAnsi"/>
          <w:spacing w:val="2"/>
        </w:rPr>
        <w:t xml:space="preserve"> </w:t>
      </w:r>
      <w:r w:rsidR="007B5034">
        <w:rPr>
          <w:rFonts w:eastAsia="Arial Narrow" w:cstheme="minorHAnsi"/>
          <w:spacing w:val="-1"/>
        </w:rPr>
        <w:t>Sjeverne</w:t>
      </w:r>
      <w:r>
        <w:rPr>
          <w:rFonts w:eastAsia="Arial Narrow" w:cstheme="minorHAnsi"/>
          <w:spacing w:val="3"/>
        </w:rPr>
        <w:t xml:space="preserve"> </w:t>
      </w:r>
      <w:r>
        <w:rPr>
          <w:rFonts w:eastAsia="Arial Narrow" w:cstheme="minorHAnsi"/>
          <w:spacing w:val="-1"/>
        </w:rPr>
        <w:t>H</w:t>
      </w:r>
      <w:r>
        <w:rPr>
          <w:rFonts w:eastAsia="Arial Narrow" w:cstheme="minorHAnsi"/>
        </w:rPr>
        <w:t>r</w:t>
      </w:r>
      <w:r>
        <w:rPr>
          <w:rFonts w:eastAsia="Arial Narrow" w:cstheme="minorHAnsi"/>
          <w:spacing w:val="1"/>
        </w:rPr>
        <w:t>v</w:t>
      </w:r>
      <w:r>
        <w:rPr>
          <w:rFonts w:eastAsia="Arial Narrow" w:cstheme="minorHAnsi"/>
        </w:rPr>
        <w:t>at</w:t>
      </w:r>
      <w:r>
        <w:rPr>
          <w:rFonts w:eastAsia="Arial Narrow" w:cstheme="minorHAnsi"/>
          <w:spacing w:val="-2"/>
        </w:rPr>
        <w:t>s</w:t>
      </w:r>
      <w:r>
        <w:rPr>
          <w:rFonts w:eastAsia="Arial Narrow" w:cstheme="minorHAnsi"/>
          <w:spacing w:val="1"/>
        </w:rPr>
        <w:t>k</w:t>
      </w:r>
      <w:r>
        <w:rPr>
          <w:rFonts w:eastAsia="Arial Narrow" w:cstheme="minorHAnsi"/>
        </w:rPr>
        <w:t>e</w:t>
      </w:r>
      <w:r>
        <w:rPr>
          <w:rFonts w:eastAsia="Arial Narrow" w:cstheme="minorHAnsi"/>
          <w:spacing w:val="3"/>
        </w:rPr>
        <w:t xml:space="preserve"> </w:t>
      </w:r>
      <w:r>
        <w:rPr>
          <w:rFonts w:eastAsia="Arial Narrow" w:cstheme="minorHAnsi"/>
        </w:rPr>
        <w:t>te na</w:t>
      </w:r>
      <w:r>
        <w:rPr>
          <w:rFonts w:eastAsia="Arial Narrow" w:cstheme="minorHAnsi"/>
          <w:spacing w:val="3"/>
        </w:rPr>
        <w:t xml:space="preserve"> </w:t>
      </w:r>
      <w:r>
        <w:rPr>
          <w:rFonts w:eastAsia="Arial Narrow" w:cstheme="minorHAnsi"/>
        </w:rPr>
        <w:t>r</w:t>
      </w:r>
      <w:r>
        <w:rPr>
          <w:rFonts w:eastAsia="Arial Narrow" w:cstheme="minorHAnsi"/>
          <w:spacing w:val="-2"/>
        </w:rPr>
        <w:t>a</w:t>
      </w:r>
      <w:r>
        <w:rPr>
          <w:rFonts w:eastAsia="Arial Narrow" w:cstheme="minorHAnsi"/>
          <w:spacing w:val="1"/>
        </w:rPr>
        <w:t>z</w:t>
      </w:r>
      <w:r>
        <w:rPr>
          <w:rFonts w:eastAsia="Arial Narrow" w:cstheme="minorHAnsi"/>
          <w:spacing w:val="-2"/>
        </w:rPr>
        <w:t>i</w:t>
      </w:r>
      <w:r>
        <w:rPr>
          <w:rFonts w:eastAsia="Arial Narrow" w:cstheme="minorHAnsi"/>
        </w:rPr>
        <w:t>ni</w:t>
      </w:r>
      <w:r>
        <w:rPr>
          <w:rFonts w:eastAsia="Arial Narrow" w:cstheme="minorHAnsi"/>
          <w:spacing w:val="3"/>
        </w:rPr>
        <w:t xml:space="preserve"> </w:t>
      </w:r>
      <w:r>
        <w:rPr>
          <w:rFonts w:eastAsia="Arial Narrow" w:cstheme="minorHAnsi"/>
          <w:spacing w:val="-1"/>
        </w:rPr>
        <w:t>R</w:t>
      </w:r>
      <w:r>
        <w:rPr>
          <w:rFonts w:eastAsia="Arial Narrow" w:cstheme="minorHAnsi"/>
        </w:rPr>
        <w:t>epub</w:t>
      </w:r>
      <w:r>
        <w:rPr>
          <w:rFonts w:eastAsia="Arial Narrow" w:cstheme="minorHAnsi"/>
          <w:spacing w:val="-2"/>
        </w:rPr>
        <w:t>l</w:t>
      </w:r>
      <w:r>
        <w:rPr>
          <w:rFonts w:eastAsia="Arial Narrow" w:cstheme="minorHAnsi"/>
          <w:spacing w:val="1"/>
        </w:rPr>
        <w:t>ik</w:t>
      </w:r>
      <w:r>
        <w:rPr>
          <w:rFonts w:eastAsia="Arial Narrow" w:cstheme="minorHAnsi"/>
        </w:rPr>
        <w:t>e</w:t>
      </w:r>
      <w:r>
        <w:rPr>
          <w:rFonts w:eastAsia="Arial Narrow" w:cstheme="minorHAnsi"/>
          <w:spacing w:val="3"/>
        </w:rPr>
        <w:t xml:space="preserve"> </w:t>
      </w:r>
      <w:r>
        <w:rPr>
          <w:rFonts w:eastAsia="Arial Narrow" w:cstheme="minorHAnsi"/>
          <w:spacing w:val="-1"/>
        </w:rPr>
        <w:t>H</w:t>
      </w:r>
      <w:r>
        <w:rPr>
          <w:rFonts w:eastAsia="Arial Narrow" w:cstheme="minorHAnsi"/>
          <w:spacing w:val="-3"/>
        </w:rPr>
        <w:t>r</w:t>
      </w:r>
      <w:r>
        <w:rPr>
          <w:rFonts w:eastAsia="Arial Narrow" w:cstheme="minorHAnsi"/>
          <w:spacing w:val="1"/>
        </w:rPr>
        <w:t>v</w:t>
      </w:r>
      <w:r>
        <w:rPr>
          <w:rFonts w:eastAsia="Arial Narrow" w:cstheme="minorHAnsi"/>
        </w:rPr>
        <w:t>at</w:t>
      </w:r>
      <w:r>
        <w:rPr>
          <w:rFonts w:eastAsia="Arial Narrow" w:cstheme="minorHAnsi"/>
          <w:spacing w:val="-2"/>
        </w:rPr>
        <w:t>s</w:t>
      </w:r>
      <w:r>
        <w:rPr>
          <w:rFonts w:eastAsia="Arial Narrow" w:cstheme="minorHAnsi"/>
          <w:spacing w:val="1"/>
        </w:rPr>
        <w:t>k</w:t>
      </w:r>
      <w:r>
        <w:rPr>
          <w:rFonts w:eastAsia="Arial Narrow" w:cstheme="minorHAnsi"/>
        </w:rPr>
        <w:t>e u</w:t>
      </w:r>
      <w:r>
        <w:rPr>
          <w:rFonts w:eastAsia="Arial Narrow" w:cstheme="minorHAnsi"/>
          <w:spacing w:val="1"/>
        </w:rPr>
        <w:t>k</w:t>
      </w:r>
      <w:r>
        <w:rPr>
          <w:rFonts w:eastAsia="Arial Narrow" w:cstheme="minorHAnsi"/>
        </w:rPr>
        <w:t>upno.</w:t>
      </w:r>
    </w:p>
    <w:p w14:paraId="1677E367" w14:textId="77777777" w:rsidR="00A133EF" w:rsidRPr="00A133EF" w:rsidRDefault="00A133EF" w:rsidP="00A133EF"/>
    <w:p w14:paraId="02E279B6" w14:textId="0D065A57" w:rsidR="001838EE" w:rsidRDefault="001838EE" w:rsidP="003E3F3C">
      <w:pPr>
        <w:pStyle w:val="Opisslike"/>
      </w:pPr>
      <w:r>
        <w:t xml:space="preserve">Tablica </w:t>
      </w:r>
      <w:r w:rsidR="006207AF">
        <w:t>9</w:t>
      </w:r>
      <w:r w:rsidR="000D5E3F">
        <w:t>6</w:t>
      </w:r>
      <w:r>
        <w:t xml:space="preserve">. </w:t>
      </w:r>
      <w:r w:rsidRPr="00E5517F">
        <w:t>Zaštita industrijskog i intelektualnog vlasništva, Sjeverna Hrvatska i Republika Hrvatska, 2008. - 2014. godina</w:t>
      </w:r>
    </w:p>
    <w:tbl>
      <w:tblPr>
        <w:tblW w:w="9414" w:type="dxa"/>
        <w:tblInd w:w="-1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ayout w:type="fixed"/>
        <w:tblCellMar>
          <w:left w:w="0" w:type="dxa"/>
          <w:right w:w="0" w:type="dxa"/>
        </w:tblCellMar>
        <w:tblLook w:val="01E0" w:firstRow="1" w:lastRow="1" w:firstColumn="1" w:lastColumn="1" w:noHBand="0" w:noVBand="0"/>
      </w:tblPr>
      <w:tblGrid>
        <w:gridCol w:w="2019"/>
        <w:gridCol w:w="816"/>
        <w:gridCol w:w="816"/>
        <w:gridCol w:w="701"/>
        <w:gridCol w:w="708"/>
        <w:gridCol w:w="752"/>
        <w:gridCol w:w="660"/>
        <w:gridCol w:w="701"/>
        <w:gridCol w:w="896"/>
        <w:gridCol w:w="672"/>
        <w:gridCol w:w="673"/>
      </w:tblGrid>
      <w:tr w:rsidR="008878A0" w14:paraId="7FAD0718" w14:textId="77777777" w:rsidTr="00211B14">
        <w:trPr>
          <w:trHeight w:hRule="exact" w:val="632"/>
        </w:trPr>
        <w:tc>
          <w:tcPr>
            <w:tcW w:w="2019" w:type="dxa"/>
            <w:vMerge w:val="restart"/>
            <w:shd w:val="clear" w:color="auto" w:fill="D2232A" w:themeFill="accent1"/>
          </w:tcPr>
          <w:p w14:paraId="27AD96FF" w14:textId="77777777" w:rsidR="008878A0" w:rsidRDefault="008878A0" w:rsidP="00941871">
            <w:pPr>
              <w:spacing w:before="7" w:line="120" w:lineRule="exact"/>
              <w:rPr>
                <w:rFonts w:cstheme="minorHAnsi"/>
                <w:szCs w:val="18"/>
              </w:rPr>
            </w:pPr>
          </w:p>
          <w:p w14:paraId="46EA1476" w14:textId="77777777" w:rsidR="008878A0" w:rsidRDefault="008878A0" w:rsidP="00A133EF">
            <w:pPr>
              <w:ind w:right="897"/>
              <w:jc w:val="center"/>
              <w:rPr>
                <w:rFonts w:eastAsia="Arial Narrow" w:cstheme="minorHAnsi"/>
                <w:szCs w:val="18"/>
              </w:rPr>
            </w:pPr>
            <w:r>
              <w:rPr>
                <w:rFonts w:eastAsia="Arial Narrow" w:cstheme="minorHAnsi"/>
                <w:b/>
                <w:color w:val="FFFFFF"/>
                <w:spacing w:val="1"/>
                <w:w w:val="99"/>
                <w:szCs w:val="18"/>
              </w:rPr>
              <w:t>Žup</w:t>
            </w:r>
            <w:r>
              <w:rPr>
                <w:rFonts w:eastAsia="Arial Narrow" w:cstheme="minorHAnsi"/>
                <w:b/>
                <w:color w:val="FFFFFF"/>
                <w:w w:val="99"/>
                <w:szCs w:val="18"/>
              </w:rPr>
              <w:t>a</w:t>
            </w:r>
            <w:r>
              <w:rPr>
                <w:rFonts w:eastAsia="Arial Narrow" w:cstheme="minorHAnsi"/>
                <w:b/>
                <w:color w:val="FFFFFF"/>
                <w:spacing w:val="1"/>
                <w:w w:val="99"/>
                <w:szCs w:val="18"/>
              </w:rPr>
              <w:t>n</w:t>
            </w:r>
            <w:r>
              <w:rPr>
                <w:rFonts w:eastAsia="Arial Narrow" w:cstheme="minorHAnsi"/>
                <w:b/>
                <w:color w:val="FFFFFF"/>
                <w:w w:val="99"/>
                <w:szCs w:val="18"/>
              </w:rPr>
              <w:t>ija</w:t>
            </w:r>
          </w:p>
        </w:tc>
        <w:tc>
          <w:tcPr>
            <w:tcW w:w="1632" w:type="dxa"/>
            <w:gridSpan w:val="2"/>
            <w:shd w:val="clear" w:color="auto" w:fill="D2232A" w:themeFill="accent1"/>
            <w:hideMark/>
          </w:tcPr>
          <w:p w14:paraId="1D1FD780" w14:textId="77777777" w:rsidR="008878A0" w:rsidRDefault="008878A0" w:rsidP="00CC3476">
            <w:pPr>
              <w:jc w:val="center"/>
              <w:rPr>
                <w:rFonts w:eastAsia="Arial Narrow" w:cstheme="minorHAnsi"/>
                <w:b/>
                <w:color w:val="FFFFFF" w:themeColor="background1"/>
                <w:szCs w:val="18"/>
              </w:rPr>
            </w:pPr>
            <w:r>
              <w:rPr>
                <w:rFonts w:eastAsia="Arial Narrow" w:cstheme="minorHAnsi"/>
                <w:b/>
                <w:color w:val="FFFFFF" w:themeColor="background1"/>
                <w:szCs w:val="18"/>
              </w:rPr>
              <w:t>Prijavljeni patenti</w:t>
            </w:r>
          </w:p>
        </w:tc>
        <w:tc>
          <w:tcPr>
            <w:tcW w:w="1409" w:type="dxa"/>
            <w:gridSpan w:val="2"/>
            <w:shd w:val="clear" w:color="auto" w:fill="D2232A" w:themeFill="accent1"/>
            <w:hideMark/>
          </w:tcPr>
          <w:p w14:paraId="699AFACD" w14:textId="77777777" w:rsidR="008878A0" w:rsidRDefault="008878A0" w:rsidP="00CC3476">
            <w:pPr>
              <w:jc w:val="center"/>
              <w:rPr>
                <w:rFonts w:eastAsia="Arial Narrow" w:cstheme="minorHAnsi"/>
                <w:b/>
                <w:color w:val="FFFFFF" w:themeColor="background1"/>
                <w:szCs w:val="18"/>
              </w:rPr>
            </w:pPr>
            <w:r>
              <w:rPr>
                <w:rFonts w:eastAsia="Arial Narrow" w:cstheme="minorHAnsi"/>
                <w:b/>
                <w:color w:val="FFFFFF" w:themeColor="background1"/>
                <w:szCs w:val="18"/>
              </w:rPr>
              <w:t>Priznati patenti</w:t>
            </w:r>
          </w:p>
        </w:tc>
        <w:tc>
          <w:tcPr>
            <w:tcW w:w="1412" w:type="dxa"/>
            <w:gridSpan w:val="2"/>
            <w:shd w:val="clear" w:color="auto" w:fill="D2232A" w:themeFill="accent1"/>
            <w:hideMark/>
          </w:tcPr>
          <w:p w14:paraId="7994783D" w14:textId="77777777" w:rsidR="008878A0" w:rsidRDefault="008878A0" w:rsidP="00CC3476">
            <w:pPr>
              <w:jc w:val="center"/>
              <w:rPr>
                <w:rFonts w:eastAsia="Arial Narrow" w:cstheme="minorHAnsi"/>
                <w:b/>
                <w:color w:val="FFFFFF" w:themeColor="background1"/>
                <w:szCs w:val="18"/>
              </w:rPr>
            </w:pPr>
            <w:r>
              <w:rPr>
                <w:rFonts w:eastAsia="Arial Narrow" w:cstheme="minorHAnsi"/>
                <w:b/>
                <w:color w:val="FFFFFF" w:themeColor="background1"/>
                <w:szCs w:val="18"/>
              </w:rPr>
              <w:t>Konsenzualni patenti</w:t>
            </w:r>
          </w:p>
        </w:tc>
        <w:tc>
          <w:tcPr>
            <w:tcW w:w="1597" w:type="dxa"/>
            <w:gridSpan w:val="2"/>
            <w:shd w:val="clear" w:color="auto" w:fill="D2232A" w:themeFill="accent1"/>
            <w:hideMark/>
          </w:tcPr>
          <w:p w14:paraId="4FD5C055" w14:textId="77777777" w:rsidR="008878A0" w:rsidRDefault="008878A0" w:rsidP="00CC3476">
            <w:pPr>
              <w:jc w:val="center"/>
              <w:rPr>
                <w:rFonts w:eastAsia="Arial Narrow" w:cstheme="minorHAnsi"/>
                <w:b/>
                <w:color w:val="FFFFFF" w:themeColor="background1"/>
                <w:szCs w:val="18"/>
              </w:rPr>
            </w:pPr>
            <w:r>
              <w:rPr>
                <w:rFonts w:eastAsia="Arial Narrow" w:cstheme="minorHAnsi"/>
                <w:b/>
                <w:color w:val="FFFFFF" w:themeColor="background1"/>
                <w:szCs w:val="18"/>
              </w:rPr>
              <w:t>Priznati žigovi</w:t>
            </w:r>
          </w:p>
        </w:tc>
        <w:tc>
          <w:tcPr>
            <w:tcW w:w="1345" w:type="dxa"/>
            <w:gridSpan w:val="2"/>
            <w:shd w:val="clear" w:color="auto" w:fill="D2232A" w:themeFill="accent1"/>
            <w:hideMark/>
          </w:tcPr>
          <w:p w14:paraId="5640669A" w14:textId="77777777" w:rsidR="008878A0" w:rsidRDefault="008878A0" w:rsidP="00CC3476">
            <w:pPr>
              <w:jc w:val="center"/>
              <w:rPr>
                <w:rFonts w:eastAsia="Arial Narrow" w:cstheme="minorHAnsi"/>
                <w:b/>
                <w:color w:val="FFFFFF" w:themeColor="background1"/>
                <w:szCs w:val="18"/>
              </w:rPr>
            </w:pPr>
            <w:r>
              <w:rPr>
                <w:rFonts w:eastAsia="Arial Narrow" w:cstheme="minorHAnsi"/>
                <w:b/>
                <w:color w:val="FFFFFF" w:themeColor="background1"/>
                <w:szCs w:val="18"/>
              </w:rPr>
              <w:t>Priznati dizajn</w:t>
            </w:r>
          </w:p>
        </w:tc>
      </w:tr>
      <w:tr w:rsidR="00211B14" w14:paraId="0DE23889" w14:textId="77777777" w:rsidTr="00211B14">
        <w:trPr>
          <w:trHeight w:hRule="exact" w:val="659"/>
        </w:trPr>
        <w:tc>
          <w:tcPr>
            <w:tcW w:w="2019" w:type="dxa"/>
            <w:vMerge/>
            <w:shd w:val="clear" w:color="auto" w:fill="D2232A" w:themeFill="accent1"/>
            <w:vAlign w:val="center"/>
            <w:hideMark/>
          </w:tcPr>
          <w:p w14:paraId="2BF62C2A" w14:textId="77777777" w:rsidR="008878A0" w:rsidRDefault="008878A0" w:rsidP="00941871">
            <w:pPr>
              <w:spacing w:after="0"/>
              <w:rPr>
                <w:rFonts w:eastAsia="Arial Narrow" w:cstheme="minorHAnsi"/>
                <w:szCs w:val="18"/>
              </w:rPr>
            </w:pPr>
          </w:p>
        </w:tc>
        <w:tc>
          <w:tcPr>
            <w:tcW w:w="816" w:type="dxa"/>
            <w:shd w:val="clear" w:color="auto" w:fill="E5E5E5" w:themeFill="text1" w:themeFillTint="33"/>
            <w:hideMark/>
          </w:tcPr>
          <w:p w14:paraId="1E091842" w14:textId="3A245BA7" w:rsidR="008878A0" w:rsidRPr="00B643CB" w:rsidRDefault="008878A0" w:rsidP="000E675E">
            <w:pPr>
              <w:jc w:val="center"/>
              <w:rPr>
                <w:szCs w:val="18"/>
              </w:rPr>
            </w:pPr>
            <w:r w:rsidRPr="00A133EF">
              <w:rPr>
                <w:szCs w:val="18"/>
              </w:rPr>
              <w:t>2008.-2013.</w:t>
            </w:r>
          </w:p>
        </w:tc>
        <w:tc>
          <w:tcPr>
            <w:tcW w:w="816" w:type="dxa"/>
            <w:shd w:val="clear" w:color="auto" w:fill="E5E5E5" w:themeFill="text1" w:themeFillTint="33"/>
            <w:hideMark/>
          </w:tcPr>
          <w:p w14:paraId="5DF45D03" w14:textId="77777777" w:rsidR="008878A0" w:rsidRPr="00A133EF" w:rsidRDefault="008878A0" w:rsidP="000E675E">
            <w:pPr>
              <w:jc w:val="center"/>
              <w:rPr>
                <w:szCs w:val="18"/>
              </w:rPr>
            </w:pPr>
            <w:r w:rsidRPr="00A133EF">
              <w:rPr>
                <w:szCs w:val="18"/>
              </w:rPr>
              <w:t>2014.</w:t>
            </w:r>
          </w:p>
        </w:tc>
        <w:tc>
          <w:tcPr>
            <w:tcW w:w="701" w:type="dxa"/>
            <w:shd w:val="clear" w:color="auto" w:fill="E5E5E5" w:themeFill="text1" w:themeFillTint="33"/>
            <w:hideMark/>
          </w:tcPr>
          <w:p w14:paraId="02A12F69" w14:textId="77777777" w:rsidR="008878A0" w:rsidRPr="00A133EF" w:rsidRDefault="008878A0" w:rsidP="000E675E">
            <w:pPr>
              <w:jc w:val="center"/>
              <w:rPr>
                <w:szCs w:val="18"/>
              </w:rPr>
            </w:pPr>
            <w:r w:rsidRPr="00A133EF">
              <w:rPr>
                <w:szCs w:val="18"/>
              </w:rPr>
              <w:t>2008.-2013.</w:t>
            </w:r>
          </w:p>
        </w:tc>
        <w:tc>
          <w:tcPr>
            <w:tcW w:w="708" w:type="dxa"/>
            <w:shd w:val="clear" w:color="auto" w:fill="E5E5E5" w:themeFill="text1" w:themeFillTint="33"/>
            <w:hideMark/>
          </w:tcPr>
          <w:p w14:paraId="7CA47129" w14:textId="77777777" w:rsidR="008878A0" w:rsidRPr="00A133EF" w:rsidRDefault="008878A0" w:rsidP="000E675E">
            <w:pPr>
              <w:jc w:val="center"/>
              <w:rPr>
                <w:szCs w:val="18"/>
              </w:rPr>
            </w:pPr>
            <w:r w:rsidRPr="00A133EF">
              <w:rPr>
                <w:szCs w:val="18"/>
              </w:rPr>
              <w:t>2014.</w:t>
            </w:r>
          </w:p>
        </w:tc>
        <w:tc>
          <w:tcPr>
            <w:tcW w:w="752" w:type="dxa"/>
            <w:shd w:val="clear" w:color="auto" w:fill="E5E5E5" w:themeFill="text1" w:themeFillTint="33"/>
            <w:hideMark/>
          </w:tcPr>
          <w:p w14:paraId="4B961D92" w14:textId="77777777" w:rsidR="008878A0" w:rsidRPr="00A133EF" w:rsidRDefault="008878A0" w:rsidP="000E675E">
            <w:pPr>
              <w:jc w:val="center"/>
              <w:rPr>
                <w:szCs w:val="18"/>
              </w:rPr>
            </w:pPr>
            <w:r w:rsidRPr="00A133EF">
              <w:rPr>
                <w:szCs w:val="18"/>
              </w:rPr>
              <w:t>2008.-2013.</w:t>
            </w:r>
          </w:p>
        </w:tc>
        <w:tc>
          <w:tcPr>
            <w:tcW w:w="660" w:type="dxa"/>
            <w:shd w:val="clear" w:color="auto" w:fill="E5E5E5" w:themeFill="text1" w:themeFillTint="33"/>
            <w:hideMark/>
          </w:tcPr>
          <w:p w14:paraId="58F93531" w14:textId="77777777" w:rsidR="008878A0" w:rsidRPr="00A133EF" w:rsidRDefault="008878A0" w:rsidP="000E675E">
            <w:pPr>
              <w:jc w:val="center"/>
              <w:rPr>
                <w:szCs w:val="18"/>
              </w:rPr>
            </w:pPr>
            <w:r w:rsidRPr="00A133EF">
              <w:rPr>
                <w:szCs w:val="18"/>
              </w:rPr>
              <w:t>2014.</w:t>
            </w:r>
          </w:p>
        </w:tc>
        <w:tc>
          <w:tcPr>
            <w:tcW w:w="701" w:type="dxa"/>
            <w:shd w:val="clear" w:color="auto" w:fill="E5E5E5" w:themeFill="text1" w:themeFillTint="33"/>
            <w:hideMark/>
          </w:tcPr>
          <w:p w14:paraId="6B7A79C1" w14:textId="77777777" w:rsidR="008878A0" w:rsidRPr="00A133EF" w:rsidRDefault="008878A0" w:rsidP="000E675E">
            <w:pPr>
              <w:jc w:val="center"/>
              <w:rPr>
                <w:szCs w:val="18"/>
              </w:rPr>
            </w:pPr>
            <w:r w:rsidRPr="00A133EF">
              <w:rPr>
                <w:szCs w:val="18"/>
              </w:rPr>
              <w:t>2008.-2013.</w:t>
            </w:r>
          </w:p>
        </w:tc>
        <w:tc>
          <w:tcPr>
            <w:tcW w:w="896" w:type="dxa"/>
            <w:shd w:val="clear" w:color="auto" w:fill="E5E5E5" w:themeFill="text1" w:themeFillTint="33"/>
            <w:hideMark/>
          </w:tcPr>
          <w:p w14:paraId="549DE2F7" w14:textId="0E9D11A4" w:rsidR="008878A0" w:rsidRPr="00A133EF" w:rsidRDefault="008878A0" w:rsidP="000E675E">
            <w:pPr>
              <w:jc w:val="center"/>
              <w:rPr>
                <w:szCs w:val="18"/>
              </w:rPr>
            </w:pPr>
            <w:r w:rsidRPr="00A133EF">
              <w:rPr>
                <w:szCs w:val="18"/>
              </w:rPr>
              <w:t>2014.</w:t>
            </w:r>
          </w:p>
        </w:tc>
        <w:tc>
          <w:tcPr>
            <w:tcW w:w="672" w:type="dxa"/>
            <w:shd w:val="clear" w:color="auto" w:fill="E5E5E5" w:themeFill="text1" w:themeFillTint="33"/>
            <w:hideMark/>
          </w:tcPr>
          <w:p w14:paraId="4818EF54" w14:textId="3DDF8B09" w:rsidR="008878A0" w:rsidRPr="00A133EF" w:rsidRDefault="00AB24C2" w:rsidP="000E675E">
            <w:pPr>
              <w:jc w:val="center"/>
              <w:rPr>
                <w:szCs w:val="18"/>
              </w:rPr>
            </w:pPr>
            <w:r>
              <w:rPr>
                <w:szCs w:val="18"/>
              </w:rPr>
              <w:t>2008.-</w:t>
            </w:r>
            <w:r w:rsidR="008878A0" w:rsidRPr="00A133EF">
              <w:rPr>
                <w:szCs w:val="18"/>
              </w:rPr>
              <w:t>2013.</w:t>
            </w:r>
          </w:p>
        </w:tc>
        <w:tc>
          <w:tcPr>
            <w:tcW w:w="673" w:type="dxa"/>
            <w:shd w:val="clear" w:color="auto" w:fill="E5E5E5" w:themeFill="text1" w:themeFillTint="33"/>
            <w:hideMark/>
          </w:tcPr>
          <w:p w14:paraId="7FA23BEF" w14:textId="3ABA8C55" w:rsidR="008878A0" w:rsidRPr="00A133EF" w:rsidRDefault="008878A0" w:rsidP="000E675E">
            <w:pPr>
              <w:jc w:val="center"/>
              <w:rPr>
                <w:szCs w:val="18"/>
              </w:rPr>
            </w:pPr>
            <w:r w:rsidRPr="00A133EF">
              <w:rPr>
                <w:szCs w:val="18"/>
              </w:rPr>
              <w:t>2014.</w:t>
            </w:r>
          </w:p>
        </w:tc>
      </w:tr>
      <w:tr w:rsidR="00B643CB" w14:paraId="2A70839C" w14:textId="77777777" w:rsidTr="00211B14">
        <w:trPr>
          <w:trHeight w:hRule="exact" w:val="490"/>
        </w:trPr>
        <w:tc>
          <w:tcPr>
            <w:tcW w:w="2019" w:type="dxa"/>
            <w:tcBorders>
              <w:bottom w:val="single" w:sz="4" w:space="0" w:color="C00000"/>
            </w:tcBorders>
            <w:hideMark/>
          </w:tcPr>
          <w:p w14:paraId="1A78802D" w14:textId="746C0C74" w:rsidR="008878A0" w:rsidRDefault="008878A0" w:rsidP="00A133EF">
            <w:pPr>
              <w:spacing w:after="0" w:line="220" w:lineRule="exact"/>
              <w:ind w:right="219"/>
              <w:jc w:val="left"/>
              <w:rPr>
                <w:rFonts w:eastAsia="Arial Narrow" w:cstheme="minorHAnsi"/>
                <w:szCs w:val="18"/>
              </w:rPr>
            </w:pPr>
            <w:r>
              <w:rPr>
                <w:rFonts w:eastAsia="Arial Narrow" w:cstheme="minorHAnsi"/>
                <w:b/>
                <w:szCs w:val="18"/>
              </w:rPr>
              <w:t>G</w:t>
            </w:r>
            <w:r>
              <w:rPr>
                <w:rFonts w:eastAsia="Arial Narrow" w:cstheme="minorHAnsi"/>
                <w:b/>
                <w:spacing w:val="-1"/>
                <w:szCs w:val="18"/>
              </w:rPr>
              <w:t>r</w:t>
            </w:r>
            <w:r>
              <w:rPr>
                <w:rFonts w:eastAsia="Arial Narrow" w:cstheme="minorHAnsi"/>
                <w:b/>
                <w:szCs w:val="18"/>
              </w:rPr>
              <w:t>ad</w:t>
            </w:r>
            <w:r>
              <w:rPr>
                <w:rFonts w:eastAsia="Arial Narrow" w:cstheme="minorHAnsi"/>
                <w:b/>
                <w:spacing w:val="-3"/>
                <w:szCs w:val="18"/>
              </w:rPr>
              <w:t xml:space="preserve"> </w:t>
            </w:r>
            <w:r>
              <w:rPr>
                <w:rFonts w:eastAsia="Arial Narrow" w:cstheme="minorHAnsi"/>
                <w:b/>
                <w:spacing w:val="1"/>
                <w:szCs w:val="18"/>
              </w:rPr>
              <w:t>Z</w:t>
            </w:r>
            <w:r>
              <w:rPr>
                <w:rFonts w:eastAsia="Arial Narrow" w:cstheme="minorHAnsi"/>
                <w:b/>
                <w:szCs w:val="18"/>
              </w:rPr>
              <w:t>a</w:t>
            </w:r>
            <w:r>
              <w:rPr>
                <w:rFonts w:eastAsia="Arial Narrow" w:cstheme="minorHAnsi"/>
                <w:b/>
                <w:spacing w:val="1"/>
                <w:szCs w:val="18"/>
              </w:rPr>
              <w:t>g</w:t>
            </w:r>
            <w:r>
              <w:rPr>
                <w:rFonts w:eastAsia="Arial Narrow" w:cstheme="minorHAnsi"/>
                <w:b/>
                <w:spacing w:val="-1"/>
                <w:szCs w:val="18"/>
              </w:rPr>
              <w:t>r</w:t>
            </w:r>
            <w:r>
              <w:rPr>
                <w:rFonts w:eastAsia="Arial Narrow" w:cstheme="minorHAnsi"/>
                <w:b/>
                <w:szCs w:val="18"/>
              </w:rPr>
              <w:t>eb</w:t>
            </w:r>
            <w:r>
              <w:rPr>
                <w:rFonts w:eastAsia="Arial Narrow" w:cstheme="minorHAnsi"/>
                <w:b/>
                <w:spacing w:val="-4"/>
                <w:szCs w:val="18"/>
              </w:rPr>
              <w:t xml:space="preserve"> </w:t>
            </w:r>
            <w:r>
              <w:rPr>
                <w:rFonts w:eastAsia="Arial Narrow" w:cstheme="minorHAnsi"/>
                <w:b/>
                <w:szCs w:val="18"/>
              </w:rPr>
              <w:t xml:space="preserve">i </w:t>
            </w:r>
            <w:r>
              <w:rPr>
                <w:rFonts w:eastAsia="Arial Narrow" w:cstheme="minorHAnsi"/>
                <w:b/>
                <w:spacing w:val="1"/>
                <w:w w:val="99"/>
                <w:szCs w:val="18"/>
              </w:rPr>
              <w:t>Z</w:t>
            </w:r>
            <w:r>
              <w:rPr>
                <w:rFonts w:eastAsia="Arial Narrow" w:cstheme="minorHAnsi"/>
                <w:b/>
                <w:w w:val="99"/>
                <w:szCs w:val="18"/>
              </w:rPr>
              <w:t>a</w:t>
            </w:r>
            <w:r>
              <w:rPr>
                <w:rFonts w:eastAsia="Arial Narrow" w:cstheme="minorHAnsi"/>
                <w:b/>
                <w:spacing w:val="1"/>
                <w:w w:val="99"/>
                <w:szCs w:val="18"/>
              </w:rPr>
              <w:t>g</w:t>
            </w:r>
            <w:r>
              <w:rPr>
                <w:rFonts w:eastAsia="Arial Narrow" w:cstheme="minorHAnsi"/>
                <w:b/>
                <w:spacing w:val="-1"/>
                <w:w w:val="99"/>
                <w:szCs w:val="18"/>
              </w:rPr>
              <w:t>r</w:t>
            </w:r>
            <w:r>
              <w:rPr>
                <w:rFonts w:eastAsia="Arial Narrow" w:cstheme="minorHAnsi"/>
                <w:b/>
                <w:w w:val="99"/>
                <w:szCs w:val="18"/>
              </w:rPr>
              <w:t>e</w:t>
            </w:r>
            <w:r>
              <w:rPr>
                <w:rFonts w:eastAsia="Arial Narrow" w:cstheme="minorHAnsi"/>
                <w:b/>
                <w:spacing w:val="1"/>
                <w:w w:val="99"/>
                <w:szCs w:val="18"/>
              </w:rPr>
              <w:t>b</w:t>
            </w:r>
            <w:r>
              <w:rPr>
                <w:rFonts w:eastAsia="Arial Narrow" w:cstheme="minorHAnsi"/>
                <w:b/>
                <w:w w:val="99"/>
                <w:szCs w:val="18"/>
              </w:rPr>
              <w:t>ačka</w:t>
            </w:r>
            <w:r w:rsidR="00A133EF">
              <w:rPr>
                <w:rFonts w:eastAsia="Arial Narrow" w:cstheme="minorHAnsi"/>
                <w:szCs w:val="18"/>
              </w:rPr>
              <w:t xml:space="preserve"> </w:t>
            </w:r>
            <w:r>
              <w:rPr>
                <w:rFonts w:eastAsia="Arial Narrow" w:cstheme="minorHAnsi"/>
                <w:b/>
                <w:w w:val="99"/>
                <w:szCs w:val="18"/>
              </w:rPr>
              <w:t>ž</w:t>
            </w:r>
            <w:r>
              <w:rPr>
                <w:rFonts w:eastAsia="Arial Narrow" w:cstheme="minorHAnsi"/>
                <w:b/>
                <w:spacing w:val="1"/>
                <w:w w:val="99"/>
                <w:szCs w:val="18"/>
              </w:rPr>
              <w:t>up</w:t>
            </w:r>
            <w:r>
              <w:rPr>
                <w:rFonts w:eastAsia="Arial Narrow" w:cstheme="minorHAnsi"/>
                <w:b/>
                <w:w w:val="99"/>
                <w:szCs w:val="18"/>
              </w:rPr>
              <w:t>a</w:t>
            </w:r>
            <w:r>
              <w:rPr>
                <w:rFonts w:eastAsia="Arial Narrow" w:cstheme="minorHAnsi"/>
                <w:b/>
                <w:spacing w:val="1"/>
                <w:w w:val="99"/>
                <w:szCs w:val="18"/>
              </w:rPr>
              <w:t>n</w:t>
            </w:r>
            <w:r>
              <w:rPr>
                <w:rFonts w:eastAsia="Arial Narrow" w:cstheme="minorHAnsi"/>
                <w:b/>
                <w:w w:val="99"/>
                <w:szCs w:val="18"/>
              </w:rPr>
              <w:t>ija</w:t>
            </w:r>
          </w:p>
        </w:tc>
        <w:tc>
          <w:tcPr>
            <w:tcW w:w="816" w:type="dxa"/>
            <w:tcBorders>
              <w:bottom w:val="single" w:sz="4" w:space="0" w:color="C00000"/>
            </w:tcBorders>
            <w:vAlign w:val="center"/>
          </w:tcPr>
          <w:p w14:paraId="094D5F56" w14:textId="13EFE720" w:rsidR="00B060C4" w:rsidRPr="00B060C4" w:rsidRDefault="00B060C4" w:rsidP="00211B14">
            <w:pPr>
              <w:jc w:val="center"/>
            </w:pPr>
            <w:r w:rsidRPr="00B060C4">
              <w:t>617</w:t>
            </w:r>
          </w:p>
          <w:p w14:paraId="16A594B8" w14:textId="06AF7388" w:rsidR="008878A0" w:rsidRPr="00B060C4" w:rsidRDefault="008878A0" w:rsidP="00211B14">
            <w:pPr>
              <w:jc w:val="center"/>
            </w:pPr>
          </w:p>
        </w:tc>
        <w:tc>
          <w:tcPr>
            <w:tcW w:w="816" w:type="dxa"/>
            <w:tcBorders>
              <w:bottom w:val="single" w:sz="4" w:space="0" w:color="C00000"/>
            </w:tcBorders>
            <w:vAlign w:val="center"/>
          </w:tcPr>
          <w:p w14:paraId="66DF2C63" w14:textId="77777777" w:rsidR="008878A0" w:rsidRPr="00B060C4" w:rsidRDefault="008878A0" w:rsidP="00211B14">
            <w:pPr>
              <w:jc w:val="center"/>
            </w:pPr>
            <w:r w:rsidRPr="00B060C4">
              <w:t>68</w:t>
            </w:r>
          </w:p>
        </w:tc>
        <w:tc>
          <w:tcPr>
            <w:tcW w:w="701" w:type="dxa"/>
            <w:tcBorders>
              <w:bottom w:val="single" w:sz="4" w:space="0" w:color="C00000"/>
            </w:tcBorders>
            <w:vAlign w:val="center"/>
          </w:tcPr>
          <w:p w14:paraId="718FD9F7" w14:textId="77777777" w:rsidR="008878A0" w:rsidRPr="00B060C4" w:rsidRDefault="008878A0" w:rsidP="00211B14">
            <w:pPr>
              <w:jc w:val="center"/>
            </w:pPr>
            <w:r w:rsidRPr="00B060C4">
              <w:t>55</w:t>
            </w:r>
          </w:p>
        </w:tc>
        <w:tc>
          <w:tcPr>
            <w:tcW w:w="708" w:type="dxa"/>
            <w:tcBorders>
              <w:bottom w:val="single" w:sz="4" w:space="0" w:color="C00000"/>
            </w:tcBorders>
            <w:vAlign w:val="center"/>
          </w:tcPr>
          <w:p w14:paraId="2A2B3AA5" w14:textId="77777777" w:rsidR="008878A0" w:rsidRPr="00B060C4" w:rsidRDefault="008878A0" w:rsidP="00211B14">
            <w:pPr>
              <w:jc w:val="center"/>
            </w:pPr>
            <w:r w:rsidRPr="00B060C4">
              <w:t>23</w:t>
            </w:r>
          </w:p>
        </w:tc>
        <w:tc>
          <w:tcPr>
            <w:tcW w:w="752" w:type="dxa"/>
            <w:tcBorders>
              <w:bottom w:val="single" w:sz="4" w:space="0" w:color="C00000"/>
            </w:tcBorders>
            <w:vAlign w:val="center"/>
          </w:tcPr>
          <w:p w14:paraId="564EE7DF" w14:textId="286D4D73" w:rsidR="008878A0" w:rsidRPr="00B060C4" w:rsidRDefault="008878A0" w:rsidP="00211B14">
            <w:pPr>
              <w:jc w:val="center"/>
            </w:pPr>
            <w:r w:rsidRPr="00B060C4">
              <w:t>196</w:t>
            </w:r>
          </w:p>
        </w:tc>
        <w:tc>
          <w:tcPr>
            <w:tcW w:w="660" w:type="dxa"/>
            <w:tcBorders>
              <w:bottom w:val="single" w:sz="4" w:space="0" w:color="C00000"/>
            </w:tcBorders>
            <w:vAlign w:val="center"/>
          </w:tcPr>
          <w:p w14:paraId="38EB54D7" w14:textId="77777777" w:rsidR="008878A0" w:rsidRPr="00B060C4" w:rsidRDefault="008878A0" w:rsidP="00211B14">
            <w:pPr>
              <w:jc w:val="center"/>
            </w:pPr>
            <w:r w:rsidRPr="00B060C4">
              <w:t>3</w:t>
            </w:r>
          </w:p>
        </w:tc>
        <w:tc>
          <w:tcPr>
            <w:tcW w:w="701" w:type="dxa"/>
            <w:tcBorders>
              <w:bottom w:val="single" w:sz="4" w:space="0" w:color="C00000"/>
            </w:tcBorders>
            <w:vAlign w:val="center"/>
          </w:tcPr>
          <w:p w14:paraId="4235F53C" w14:textId="00E2515E" w:rsidR="008878A0" w:rsidRPr="00B060C4" w:rsidRDefault="008878A0" w:rsidP="00211B14">
            <w:pPr>
              <w:jc w:val="center"/>
            </w:pPr>
            <w:r w:rsidRPr="00B060C4">
              <w:t>5432</w:t>
            </w:r>
          </w:p>
        </w:tc>
        <w:tc>
          <w:tcPr>
            <w:tcW w:w="896" w:type="dxa"/>
            <w:tcBorders>
              <w:bottom w:val="single" w:sz="4" w:space="0" w:color="C00000"/>
            </w:tcBorders>
            <w:vAlign w:val="center"/>
          </w:tcPr>
          <w:p w14:paraId="4FCEF945" w14:textId="05583E45" w:rsidR="008878A0" w:rsidRPr="00B060C4" w:rsidRDefault="008878A0" w:rsidP="00211B14">
            <w:pPr>
              <w:jc w:val="center"/>
            </w:pPr>
            <w:r w:rsidRPr="00B060C4">
              <w:t>787</w:t>
            </w:r>
          </w:p>
        </w:tc>
        <w:tc>
          <w:tcPr>
            <w:tcW w:w="672" w:type="dxa"/>
            <w:tcBorders>
              <w:bottom w:val="single" w:sz="4" w:space="0" w:color="C00000"/>
            </w:tcBorders>
            <w:vAlign w:val="center"/>
          </w:tcPr>
          <w:p w14:paraId="244E8D38" w14:textId="25599C9C" w:rsidR="008878A0" w:rsidRPr="00B060C4" w:rsidRDefault="008878A0" w:rsidP="00211B14">
            <w:pPr>
              <w:jc w:val="center"/>
            </w:pPr>
            <w:r w:rsidRPr="00B060C4">
              <w:t>583</w:t>
            </w:r>
          </w:p>
        </w:tc>
        <w:tc>
          <w:tcPr>
            <w:tcW w:w="673" w:type="dxa"/>
            <w:tcBorders>
              <w:bottom w:val="single" w:sz="4" w:space="0" w:color="C00000"/>
            </w:tcBorders>
            <w:vAlign w:val="center"/>
          </w:tcPr>
          <w:p w14:paraId="4989117B" w14:textId="37D1A637" w:rsidR="008878A0" w:rsidRPr="00B060C4" w:rsidRDefault="008878A0" w:rsidP="00211B14">
            <w:pPr>
              <w:jc w:val="center"/>
            </w:pPr>
            <w:r w:rsidRPr="00B060C4">
              <w:t>108</w:t>
            </w:r>
          </w:p>
        </w:tc>
      </w:tr>
      <w:tr w:rsidR="00B643CB" w14:paraId="1C980F2C" w14:textId="77777777" w:rsidTr="00211B14">
        <w:trPr>
          <w:trHeight w:hRule="exact" w:val="234"/>
        </w:trPr>
        <w:tc>
          <w:tcPr>
            <w:tcW w:w="2019" w:type="dxa"/>
            <w:tcBorders>
              <w:top w:val="single" w:sz="4" w:space="0" w:color="C00000"/>
              <w:bottom w:val="single" w:sz="4" w:space="0" w:color="C00000"/>
            </w:tcBorders>
          </w:tcPr>
          <w:p w14:paraId="7A95009C" w14:textId="63A2E4DA" w:rsidR="00A133EF" w:rsidRDefault="00A133EF" w:rsidP="00A133EF">
            <w:pPr>
              <w:spacing w:line="220" w:lineRule="exact"/>
              <w:jc w:val="left"/>
              <w:rPr>
                <w:rFonts w:eastAsia="Arial Narrow" w:cstheme="minorHAnsi"/>
                <w:szCs w:val="18"/>
              </w:rPr>
            </w:pPr>
            <w:r>
              <w:rPr>
                <w:rFonts w:eastAsia="Arial Narrow" w:cstheme="minorHAnsi"/>
                <w:b/>
                <w:spacing w:val="-1"/>
                <w:szCs w:val="18"/>
              </w:rPr>
              <w:t>V</w:t>
            </w:r>
            <w:r>
              <w:rPr>
                <w:rFonts w:eastAsia="Arial Narrow" w:cstheme="minorHAnsi"/>
                <w:b/>
                <w:szCs w:val="18"/>
              </w:rPr>
              <w:t>a</w:t>
            </w:r>
            <w:r>
              <w:rPr>
                <w:rFonts w:eastAsia="Arial Narrow" w:cstheme="minorHAnsi"/>
                <w:b/>
                <w:spacing w:val="-1"/>
                <w:szCs w:val="18"/>
              </w:rPr>
              <w:t>r</w:t>
            </w:r>
            <w:r>
              <w:rPr>
                <w:rFonts w:eastAsia="Arial Narrow" w:cstheme="minorHAnsi"/>
                <w:b/>
                <w:szCs w:val="18"/>
              </w:rPr>
              <w:t>až</w:t>
            </w:r>
            <w:r>
              <w:rPr>
                <w:rFonts w:eastAsia="Arial Narrow" w:cstheme="minorHAnsi"/>
                <w:b/>
                <w:spacing w:val="1"/>
                <w:szCs w:val="18"/>
              </w:rPr>
              <w:t>d</w:t>
            </w:r>
            <w:r>
              <w:rPr>
                <w:rFonts w:eastAsia="Arial Narrow" w:cstheme="minorHAnsi"/>
                <w:b/>
                <w:szCs w:val="18"/>
              </w:rPr>
              <w:t>i</w:t>
            </w:r>
            <w:r>
              <w:rPr>
                <w:rFonts w:eastAsia="Arial Narrow" w:cstheme="minorHAnsi"/>
                <w:b/>
                <w:spacing w:val="1"/>
                <w:szCs w:val="18"/>
              </w:rPr>
              <w:t>n</w:t>
            </w:r>
            <w:r>
              <w:rPr>
                <w:rFonts w:eastAsia="Arial Narrow" w:cstheme="minorHAnsi"/>
                <w:b/>
                <w:szCs w:val="18"/>
              </w:rPr>
              <w:t>ska</w:t>
            </w:r>
          </w:p>
        </w:tc>
        <w:tc>
          <w:tcPr>
            <w:tcW w:w="816" w:type="dxa"/>
            <w:tcBorders>
              <w:top w:val="single" w:sz="4" w:space="0" w:color="C00000"/>
              <w:bottom w:val="single" w:sz="4" w:space="0" w:color="C00000"/>
            </w:tcBorders>
            <w:vAlign w:val="center"/>
            <w:hideMark/>
          </w:tcPr>
          <w:p w14:paraId="4145685E" w14:textId="77777777" w:rsidR="00A133EF" w:rsidRPr="00B060C4" w:rsidRDefault="00A133EF" w:rsidP="00B060C4">
            <w:pPr>
              <w:jc w:val="center"/>
            </w:pPr>
            <w:r w:rsidRPr="00B060C4">
              <w:t>41</w:t>
            </w:r>
          </w:p>
        </w:tc>
        <w:tc>
          <w:tcPr>
            <w:tcW w:w="816" w:type="dxa"/>
            <w:tcBorders>
              <w:top w:val="single" w:sz="4" w:space="0" w:color="C00000"/>
              <w:bottom w:val="single" w:sz="4" w:space="0" w:color="C00000"/>
            </w:tcBorders>
            <w:vAlign w:val="center"/>
            <w:hideMark/>
          </w:tcPr>
          <w:p w14:paraId="1EC1B631" w14:textId="77777777" w:rsidR="00A133EF" w:rsidRPr="00B060C4" w:rsidRDefault="00A133EF" w:rsidP="00B060C4">
            <w:pPr>
              <w:jc w:val="center"/>
            </w:pPr>
            <w:r w:rsidRPr="00B060C4">
              <w:t>6</w:t>
            </w:r>
          </w:p>
        </w:tc>
        <w:tc>
          <w:tcPr>
            <w:tcW w:w="701" w:type="dxa"/>
            <w:tcBorders>
              <w:top w:val="single" w:sz="4" w:space="0" w:color="C00000"/>
              <w:bottom w:val="single" w:sz="4" w:space="0" w:color="C00000"/>
            </w:tcBorders>
            <w:vAlign w:val="center"/>
            <w:hideMark/>
          </w:tcPr>
          <w:p w14:paraId="087739B1" w14:textId="77777777" w:rsidR="00A133EF" w:rsidRPr="00B060C4" w:rsidRDefault="00A133EF" w:rsidP="00B060C4">
            <w:pPr>
              <w:jc w:val="center"/>
            </w:pPr>
            <w:r w:rsidRPr="00B060C4">
              <w:t>5</w:t>
            </w:r>
          </w:p>
        </w:tc>
        <w:tc>
          <w:tcPr>
            <w:tcW w:w="708" w:type="dxa"/>
            <w:tcBorders>
              <w:top w:val="single" w:sz="4" w:space="0" w:color="C00000"/>
              <w:bottom w:val="single" w:sz="4" w:space="0" w:color="C00000"/>
            </w:tcBorders>
            <w:vAlign w:val="center"/>
            <w:hideMark/>
          </w:tcPr>
          <w:p w14:paraId="60ECDE24" w14:textId="77777777" w:rsidR="00A133EF" w:rsidRPr="00B060C4" w:rsidRDefault="00A133EF" w:rsidP="00B060C4">
            <w:pPr>
              <w:jc w:val="center"/>
            </w:pPr>
            <w:r w:rsidRPr="00B060C4">
              <w:t>3</w:t>
            </w:r>
          </w:p>
        </w:tc>
        <w:tc>
          <w:tcPr>
            <w:tcW w:w="752" w:type="dxa"/>
            <w:tcBorders>
              <w:top w:val="single" w:sz="4" w:space="0" w:color="C00000"/>
              <w:bottom w:val="single" w:sz="4" w:space="0" w:color="C00000"/>
            </w:tcBorders>
            <w:vAlign w:val="center"/>
            <w:hideMark/>
          </w:tcPr>
          <w:p w14:paraId="7A12F6AC" w14:textId="77777777" w:rsidR="00A133EF" w:rsidRPr="00B060C4" w:rsidRDefault="00A133EF" w:rsidP="00B060C4">
            <w:pPr>
              <w:jc w:val="center"/>
            </w:pPr>
            <w:r w:rsidRPr="00B060C4">
              <w:t>26</w:t>
            </w:r>
          </w:p>
        </w:tc>
        <w:tc>
          <w:tcPr>
            <w:tcW w:w="660" w:type="dxa"/>
            <w:tcBorders>
              <w:top w:val="single" w:sz="4" w:space="0" w:color="C00000"/>
              <w:bottom w:val="single" w:sz="4" w:space="0" w:color="C00000"/>
            </w:tcBorders>
            <w:vAlign w:val="center"/>
            <w:hideMark/>
          </w:tcPr>
          <w:p w14:paraId="448E1E65" w14:textId="77777777" w:rsidR="00A133EF" w:rsidRPr="00B060C4" w:rsidRDefault="00A133EF" w:rsidP="00B060C4">
            <w:pPr>
              <w:jc w:val="center"/>
            </w:pPr>
            <w:r w:rsidRPr="00B060C4">
              <w:t>0</w:t>
            </w:r>
          </w:p>
        </w:tc>
        <w:tc>
          <w:tcPr>
            <w:tcW w:w="701" w:type="dxa"/>
            <w:tcBorders>
              <w:top w:val="single" w:sz="4" w:space="0" w:color="C00000"/>
              <w:bottom w:val="single" w:sz="4" w:space="0" w:color="C00000"/>
            </w:tcBorders>
            <w:vAlign w:val="center"/>
            <w:hideMark/>
          </w:tcPr>
          <w:p w14:paraId="1B30D08D" w14:textId="5D11799F" w:rsidR="00A133EF" w:rsidRPr="00B060C4" w:rsidRDefault="00A133EF" w:rsidP="00B060C4">
            <w:pPr>
              <w:jc w:val="center"/>
            </w:pPr>
            <w:r w:rsidRPr="00B060C4">
              <w:t>300</w:t>
            </w:r>
          </w:p>
        </w:tc>
        <w:tc>
          <w:tcPr>
            <w:tcW w:w="896" w:type="dxa"/>
            <w:tcBorders>
              <w:top w:val="single" w:sz="4" w:space="0" w:color="C00000"/>
              <w:bottom w:val="single" w:sz="4" w:space="0" w:color="C00000"/>
            </w:tcBorders>
            <w:vAlign w:val="center"/>
            <w:hideMark/>
          </w:tcPr>
          <w:p w14:paraId="3ABD6C1E" w14:textId="77777777" w:rsidR="00A133EF" w:rsidRPr="00B060C4" w:rsidRDefault="00A133EF" w:rsidP="00B060C4">
            <w:pPr>
              <w:jc w:val="center"/>
            </w:pPr>
            <w:r w:rsidRPr="00B060C4">
              <w:t>30</w:t>
            </w:r>
          </w:p>
        </w:tc>
        <w:tc>
          <w:tcPr>
            <w:tcW w:w="672" w:type="dxa"/>
            <w:tcBorders>
              <w:top w:val="single" w:sz="4" w:space="0" w:color="C00000"/>
              <w:bottom w:val="single" w:sz="4" w:space="0" w:color="C00000"/>
            </w:tcBorders>
            <w:vAlign w:val="center"/>
            <w:hideMark/>
          </w:tcPr>
          <w:p w14:paraId="0FE98BE6" w14:textId="77777777" w:rsidR="00A133EF" w:rsidRPr="00B060C4" w:rsidRDefault="00A133EF" w:rsidP="00B060C4">
            <w:pPr>
              <w:jc w:val="center"/>
            </w:pPr>
            <w:r w:rsidRPr="00B060C4">
              <w:t>29</w:t>
            </w:r>
          </w:p>
        </w:tc>
        <w:tc>
          <w:tcPr>
            <w:tcW w:w="673" w:type="dxa"/>
            <w:tcBorders>
              <w:top w:val="single" w:sz="4" w:space="0" w:color="C00000"/>
              <w:bottom w:val="single" w:sz="4" w:space="0" w:color="C00000"/>
            </w:tcBorders>
            <w:vAlign w:val="center"/>
            <w:hideMark/>
          </w:tcPr>
          <w:p w14:paraId="0DA8B799" w14:textId="77777777" w:rsidR="00A133EF" w:rsidRPr="00B060C4" w:rsidRDefault="00A133EF" w:rsidP="00B060C4">
            <w:pPr>
              <w:jc w:val="center"/>
            </w:pPr>
            <w:r w:rsidRPr="00B060C4">
              <w:t>5</w:t>
            </w:r>
          </w:p>
        </w:tc>
      </w:tr>
      <w:tr w:rsidR="00B643CB" w14:paraId="07D8CF94" w14:textId="77777777" w:rsidTr="00211B14">
        <w:trPr>
          <w:trHeight w:hRule="exact" w:val="219"/>
        </w:trPr>
        <w:tc>
          <w:tcPr>
            <w:tcW w:w="2019" w:type="dxa"/>
            <w:tcBorders>
              <w:top w:val="single" w:sz="4" w:space="0" w:color="C00000"/>
              <w:bottom w:val="single" w:sz="4" w:space="0" w:color="C00000"/>
            </w:tcBorders>
          </w:tcPr>
          <w:p w14:paraId="108AD35E" w14:textId="7B3277FA" w:rsidR="00A133EF" w:rsidRDefault="00A133EF" w:rsidP="00A133EF">
            <w:pPr>
              <w:spacing w:line="200" w:lineRule="exact"/>
              <w:jc w:val="left"/>
              <w:rPr>
                <w:rFonts w:eastAsia="Arial Narrow" w:cstheme="minorHAnsi"/>
                <w:szCs w:val="18"/>
              </w:rPr>
            </w:pPr>
            <w:r>
              <w:rPr>
                <w:rFonts w:eastAsia="Arial Narrow" w:cstheme="minorHAnsi"/>
                <w:b/>
                <w:spacing w:val="1"/>
                <w:szCs w:val="18"/>
              </w:rPr>
              <w:t>M</w:t>
            </w:r>
            <w:r>
              <w:rPr>
                <w:rFonts w:eastAsia="Arial Narrow" w:cstheme="minorHAnsi"/>
                <w:b/>
                <w:szCs w:val="18"/>
              </w:rPr>
              <w:t>eđi</w:t>
            </w:r>
            <w:r>
              <w:rPr>
                <w:rFonts w:eastAsia="Arial Narrow" w:cstheme="minorHAnsi"/>
                <w:b/>
                <w:spacing w:val="1"/>
                <w:szCs w:val="18"/>
              </w:rPr>
              <w:t>mu</w:t>
            </w:r>
            <w:r>
              <w:rPr>
                <w:rFonts w:eastAsia="Arial Narrow" w:cstheme="minorHAnsi"/>
                <w:b/>
                <w:spacing w:val="-1"/>
                <w:szCs w:val="18"/>
              </w:rPr>
              <w:t>r</w:t>
            </w:r>
            <w:r>
              <w:rPr>
                <w:rFonts w:eastAsia="Arial Narrow" w:cstheme="minorHAnsi"/>
                <w:b/>
                <w:szCs w:val="18"/>
              </w:rPr>
              <w:t>ska</w:t>
            </w:r>
          </w:p>
        </w:tc>
        <w:tc>
          <w:tcPr>
            <w:tcW w:w="816" w:type="dxa"/>
            <w:tcBorders>
              <w:top w:val="single" w:sz="4" w:space="0" w:color="C00000"/>
              <w:bottom w:val="single" w:sz="4" w:space="0" w:color="C00000"/>
            </w:tcBorders>
            <w:vAlign w:val="center"/>
            <w:hideMark/>
          </w:tcPr>
          <w:p w14:paraId="38DB8275" w14:textId="77777777" w:rsidR="00A133EF" w:rsidRPr="00B060C4" w:rsidRDefault="00A133EF" w:rsidP="00B060C4">
            <w:pPr>
              <w:jc w:val="center"/>
            </w:pPr>
            <w:r w:rsidRPr="00B060C4">
              <w:t>66</w:t>
            </w:r>
          </w:p>
        </w:tc>
        <w:tc>
          <w:tcPr>
            <w:tcW w:w="816" w:type="dxa"/>
            <w:tcBorders>
              <w:top w:val="single" w:sz="4" w:space="0" w:color="C00000"/>
              <w:bottom w:val="single" w:sz="4" w:space="0" w:color="C00000"/>
            </w:tcBorders>
            <w:vAlign w:val="center"/>
            <w:hideMark/>
          </w:tcPr>
          <w:p w14:paraId="58289D04" w14:textId="77777777" w:rsidR="00A133EF" w:rsidRPr="00B060C4" w:rsidRDefault="00A133EF" w:rsidP="00B060C4">
            <w:pPr>
              <w:jc w:val="center"/>
            </w:pPr>
            <w:r w:rsidRPr="00B060C4">
              <w:t>10</w:t>
            </w:r>
          </w:p>
        </w:tc>
        <w:tc>
          <w:tcPr>
            <w:tcW w:w="701" w:type="dxa"/>
            <w:tcBorders>
              <w:top w:val="single" w:sz="4" w:space="0" w:color="C00000"/>
              <w:bottom w:val="single" w:sz="4" w:space="0" w:color="C00000"/>
            </w:tcBorders>
            <w:vAlign w:val="center"/>
            <w:hideMark/>
          </w:tcPr>
          <w:p w14:paraId="291C8C7A" w14:textId="77777777" w:rsidR="00A133EF" w:rsidRPr="00B060C4" w:rsidRDefault="00A133EF" w:rsidP="00B060C4">
            <w:pPr>
              <w:jc w:val="center"/>
            </w:pPr>
            <w:r w:rsidRPr="00B060C4">
              <w:t>2</w:t>
            </w:r>
          </w:p>
        </w:tc>
        <w:tc>
          <w:tcPr>
            <w:tcW w:w="708" w:type="dxa"/>
            <w:tcBorders>
              <w:top w:val="single" w:sz="4" w:space="0" w:color="C00000"/>
              <w:bottom w:val="single" w:sz="4" w:space="0" w:color="C00000"/>
            </w:tcBorders>
            <w:vAlign w:val="center"/>
            <w:hideMark/>
          </w:tcPr>
          <w:p w14:paraId="4745FEFC" w14:textId="77777777" w:rsidR="00A133EF" w:rsidRPr="00B060C4" w:rsidRDefault="00A133EF" w:rsidP="00B060C4">
            <w:pPr>
              <w:jc w:val="center"/>
            </w:pPr>
            <w:r w:rsidRPr="00B060C4">
              <w:t>1</w:t>
            </w:r>
          </w:p>
        </w:tc>
        <w:tc>
          <w:tcPr>
            <w:tcW w:w="752" w:type="dxa"/>
            <w:tcBorders>
              <w:top w:val="single" w:sz="4" w:space="0" w:color="C00000"/>
              <w:bottom w:val="single" w:sz="4" w:space="0" w:color="C00000"/>
            </w:tcBorders>
            <w:vAlign w:val="center"/>
            <w:hideMark/>
          </w:tcPr>
          <w:p w14:paraId="6353DB24" w14:textId="77777777" w:rsidR="00A133EF" w:rsidRPr="00B060C4" w:rsidRDefault="00A133EF" w:rsidP="00B060C4">
            <w:pPr>
              <w:jc w:val="center"/>
            </w:pPr>
            <w:r w:rsidRPr="00B060C4">
              <w:t>18</w:t>
            </w:r>
          </w:p>
        </w:tc>
        <w:tc>
          <w:tcPr>
            <w:tcW w:w="660" w:type="dxa"/>
            <w:tcBorders>
              <w:top w:val="single" w:sz="4" w:space="0" w:color="C00000"/>
              <w:bottom w:val="single" w:sz="4" w:space="0" w:color="C00000"/>
            </w:tcBorders>
            <w:vAlign w:val="center"/>
            <w:hideMark/>
          </w:tcPr>
          <w:p w14:paraId="230AECDD" w14:textId="77777777" w:rsidR="00A133EF" w:rsidRPr="00B060C4" w:rsidRDefault="00A133EF" w:rsidP="00B060C4">
            <w:pPr>
              <w:jc w:val="center"/>
            </w:pPr>
            <w:r w:rsidRPr="00B060C4">
              <w:t>1</w:t>
            </w:r>
          </w:p>
        </w:tc>
        <w:tc>
          <w:tcPr>
            <w:tcW w:w="701" w:type="dxa"/>
            <w:tcBorders>
              <w:top w:val="single" w:sz="4" w:space="0" w:color="C00000"/>
              <w:bottom w:val="single" w:sz="4" w:space="0" w:color="C00000"/>
            </w:tcBorders>
            <w:vAlign w:val="center"/>
            <w:hideMark/>
          </w:tcPr>
          <w:p w14:paraId="752DACA1" w14:textId="79D9CCD7" w:rsidR="00A133EF" w:rsidRPr="00B060C4" w:rsidRDefault="00A133EF" w:rsidP="00B060C4">
            <w:pPr>
              <w:jc w:val="center"/>
            </w:pPr>
            <w:r w:rsidRPr="00B060C4">
              <w:t>68</w:t>
            </w:r>
          </w:p>
        </w:tc>
        <w:tc>
          <w:tcPr>
            <w:tcW w:w="896" w:type="dxa"/>
            <w:tcBorders>
              <w:top w:val="single" w:sz="4" w:space="0" w:color="C00000"/>
              <w:bottom w:val="single" w:sz="4" w:space="0" w:color="C00000"/>
            </w:tcBorders>
            <w:vAlign w:val="center"/>
            <w:hideMark/>
          </w:tcPr>
          <w:p w14:paraId="74448E3A" w14:textId="77777777" w:rsidR="00A133EF" w:rsidRPr="00B060C4" w:rsidRDefault="00A133EF" w:rsidP="00B060C4">
            <w:pPr>
              <w:jc w:val="center"/>
            </w:pPr>
            <w:r w:rsidRPr="00B060C4">
              <w:t>11</w:t>
            </w:r>
          </w:p>
        </w:tc>
        <w:tc>
          <w:tcPr>
            <w:tcW w:w="672" w:type="dxa"/>
            <w:tcBorders>
              <w:top w:val="single" w:sz="4" w:space="0" w:color="C00000"/>
              <w:bottom w:val="single" w:sz="4" w:space="0" w:color="C00000"/>
            </w:tcBorders>
            <w:vAlign w:val="center"/>
            <w:hideMark/>
          </w:tcPr>
          <w:p w14:paraId="05113D16" w14:textId="77777777" w:rsidR="00A133EF" w:rsidRPr="00B060C4" w:rsidRDefault="00A133EF" w:rsidP="00B060C4">
            <w:pPr>
              <w:jc w:val="center"/>
            </w:pPr>
            <w:r w:rsidRPr="00B060C4">
              <w:t>33</w:t>
            </w:r>
          </w:p>
        </w:tc>
        <w:tc>
          <w:tcPr>
            <w:tcW w:w="673" w:type="dxa"/>
            <w:tcBorders>
              <w:top w:val="single" w:sz="4" w:space="0" w:color="C00000"/>
              <w:bottom w:val="single" w:sz="4" w:space="0" w:color="C00000"/>
            </w:tcBorders>
            <w:vAlign w:val="center"/>
            <w:hideMark/>
          </w:tcPr>
          <w:p w14:paraId="01612BC5" w14:textId="77777777" w:rsidR="00A133EF" w:rsidRPr="00B060C4" w:rsidRDefault="00A133EF" w:rsidP="00B060C4">
            <w:pPr>
              <w:jc w:val="center"/>
            </w:pPr>
            <w:r w:rsidRPr="00B060C4">
              <w:t>4</w:t>
            </w:r>
          </w:p>
        </w:tc>
      </w:tr>
      <w:tr w:rsidR="00B643CB" w14:paraId="2844AB3B" w14:textId="77777777" w:rsidTr="00211B14">
        <w:trPr>
          <w:trHeight w:hRule="exact" w:val="234"/>
        </w:trPr>
        <w:tc>
          <w:tcPr>
            <w:tcW w:w="2019" w:type="dxa"/>
            <w:tcBorders>
              <w:top w:val="single" w:sz="4" w:space="0" w:color="C00000"/>
            </w:tcBorders>
          </w:tcPr>
          <w:p w14:paraId="49585CE5" w14:textId="01BF3EE7" w:rsidR="00A133EF" w:rsidRDefault="00A133EF" w:rsidP="00A133EF">
            <w:pPr>
              <w:spacing w:line="220" w:lineRule="exact"/>
              <w:jc w:val="left"/>
              <w:rPr>
                <w:rFonts w:eastAsia="Arial Narrow" w:cstheme="minorHAnsi"/>
                <w:szCs w:val="18"/>
              </w:rPr>
            </w:pPr>
            <w:r>
              <w:rPr>
                <w:rFonts w:eastAsia="Arial Narrow" w:cstheme="minorHAnsi"/>
                <w:b/>
                <w:szCs w:val="18"/>
              </w:rPr>
              <w:t>K</w:t>
            </w:r>
            <w:r>
              <w:rPr>
                <w:rFonts w:eastAsia="Arial Narrow" w:cstheme="minorHAnsi"/>
                <w:b/>
                <w:spacing w:val="1"/>
                <w:szCs w:val="18"/>
              </w:rPr>
              <w:t>op</w:t>
            </w:r>
            <w:r>
              <w:rPr>
                <w:rFonts w:eastAsia="Arial Narrow" w:cstheme="minorHAnsi"/>
                <w:b/>
                <w:spacing w:val="-1"/>
                <w:szCs w:val="18"/>
              </w:rPr>
              <w:t>r</w:t>
            </w:r>
            <w:r>
              <w:rPr>
                <w:rFonts w:eastAsia="Arial Narrow" w:cstheme="minorHAnsi"/>
                <w:b/>
                <w:szCs w:val="18"/>
              </w:rPr>
              <w:t>iv</w:t>
            </w:r>
            <w:r>
              <w:rPr>
                <w:rFonts w:eastAsia="Arial Narrow" w:cstheme="minorHAnsi"/>
                <w:b/>
                <w:spacing w:val="1"/>
                <w:szCs w:val="18"/>
              </w:rPr>
              <w:t>n</w:t>
            </w:r>
            <w:r>
              <w:rPr>
                <w:rFonts w:eastAsia="Arial Narrow" w:cstheme="minorHAnsi"/>
                <w:b/>
                <w:szCs w:val="18"/>
              </w:rPr>
              <w:t>ičk</w:t>
            </w:r>
            <w:r>
              <w:rPr>
                <w:rFonts w:eastAsia="Arial Narrow" w:cstheme="minorHAnsi"/>
                <w:b/>
                <w:spacing w:val="1"/>
                <w:szCs w:val="18"/>
              </w:rPr>
              <w:t>o-</w:t>
            </w:r>
            <w:r>
              <w:rPr>
                <w:rFonts w:eastAsia="Arial Narrow" w:cstheme="minorHAnsi"/>
                <w:b/>
                <w:szCs w:val="18"/>
              </w:rPr>
              <w:t>k</w:t>
            </w:r>
            <w:r>
              <w:rPr>
                <w:rFonts w:eastAsia="Arial Narrow" w:cstheme="minorHAnsi"/>
                <w:b/>
                <w:spacing w:val="-1"/>
                <w:szCs w:val="18"/>
              </w:rPr>
              <w:t>r</w:t>
            </w:r>
            <w:r>
              <w:rPr>
                <w:rFonts w:eastAsia="Arial Narrow" w:cstheme="minorHAnsi"/>
                <w:b/>
                <w:szCs w:val="18"/>
              </w:rPr>
              <w:t>iževačka</w:t>
            </w:r>
          </w:p>
        </w:tc>
        <w:tc>
          <w:tcPr>
            <w:tcW w:w="816" w:type="dxa"/>
            <w:tcBorders>
              <w:top w:val="single" w:sz="4" w:space="0" w:color="C00000"/>
            </w:tcBorders>
            <w:vAlign w:val="center"/>
            <w:hideMark/>
          </w:tcPr>
          <w:p w14:paraId="5DF0A39E" w14:textId="77777777" w:rsidR="00A133EF" w:rsidRPr="00B060C4" w:rsidRDefault="00A133EF" w:rsidP="00B060C4">
            <w:pPr>
              <w:jc w:val="center"/>
            </w:pPr>
            <w:r w:rsidRPr="00B060C4">
              <w:t>12</w:t>
            </w:r>
          </w:p>
        </w:tc>
        <w:tc>
          <w:tcPr>
            <w:tcW w:w="816" w:type="dxa"/>
            <w:tcBorders>
              <w:top w:val="single" w:sz="4" w:space="0" w:color="C00000"/>
            </w:tcBorders>
            <w:vAlign w:val="center"/>
            <w:hideMark/>
          </w:tcPr>
          <w:p w14:paraId="73C1C9D9" w14:textId="77777777" w:rsidR="00A133EF" w:rsidRPr="00B060C4" w:rsidRDefault="00A133EF" w:rsidP="00B060C4">
            <w:pPr>
              <w:jc w:val="center"/>
            </w:pPr>
            <w:r w:rsidRPr="00B060C4">
              <w:t>2</w:t>
            </w:r>
          </w:p>
        </w:tc>
        <w:tc>
          <w:tcPr>
            <w:tcW w:w="701" w:type="dxa"/>
            <w:tcBorders>
              <w:top w:val="single" w:sz="4" w:space="0" w:color="C00000"/>
            </w:tcBorders>
            <w:vAlign w:val="center"/>
            <w:hideMark/>
          </w:tcPr>
          <w:p w14:paraId="6C6987C9" w14:textId="77777777" w:rsidR="00A133EF" w:rsidRPr="00B060C4" w:rsidRDefault="00A133EF" w:rsidP="00B060C4">
            <w:pPr>
              <w:jc w:val="center"/>
            </w:pPr>
            <w:r w:rsidRPr="00B060C4">
              <w:t>1</w:t>
            </w:r>
          </w:p>
        </w:tc>
        <w:tc>
          <w:tcPr>
            <w:tcW w:w="708" w:type="dxa"/>
            <w:tcBorders>
              <w:top w:val="single" w:sz="4" w:space="0" w:color="C00000"/>
            </w:tcBorders>
            <w:vAlign w:val="center"/>
            <w:hideMark/>
          </w:tcPr>
          <w:p w14:paraId="278B10E6" w14:textId="77777777" w:rsidR="00A133EF" w:rsidRPr="00B060C4" w:rsidRDefault="00A133EF" w:rsidP="00B060C4">
            <w:pPr>
              <w:jc w:val="center"/>
            </w:pPr>
            <w:r w:rsidRPr="00B060C4">
              <w:t>1</w:t>
            </w:r>
          </w:p>
        </w:tc>
        <w:tc>
          <w:tcPr>
            <w:tcW w:w="752" w:type="dxa"/>
            <w:tcBorders>
              <w:top w:val="single" w:sz="4" w:space="0" w:color="C00000"/>
            </w:tcBorders>
            <w:vAlign w:val="center"/>
            <w:hideMark/>
          </w:tcPr>
          <w:p w14:paraId="1D140A2B" w14:textId="77777777" w:rsidR="00A133EF" w:rsidRPr="00B060C4" w:rsidRDefault="00A133EF" w:rsidP="00B060C4">
            <w:pPr>
              <w:jc w:val="center"/>
            </w:pPr>
            <w:r w:rsidRPr="00B060C4">
              <w:t>9</w:t>
            </w:r>
          </w:p>
        </w:tc>
        <w:tc>
          <w:tcPr>
            <w:tcW w:w="660" w:type="dxa"/>
            <w:tcBorders>
              <w:top w:val="single" w:sz="4" w:space="0" w:color="C00000"/>
            </w:tcBorders>
            <w:vAlign w:val="center"/>
            <w:hideMark/>
          </w:tcPr>
          <w:p w14:paraId="24D6D975" w14:textId="77777777" w:rsidR="00A133EF" w:rsidRPr="00B060C4" w:rsidRDefault="00A133EF" w:rsidP="00B060C4">
            <w:pPr>
              <w:jc w:val="center"/>
            </w:pPr>
            <w:r w:rsidRPr="00B060C4">
              <w:t>1</w:t>
            </w:r>
          </w:p>
        </w:tc>
        <w:tc>
          <w:tcPr>
            <w:tcW w:w="701" w:type="dxa"/>
            <w:tcBorders>
              <w:top w:val="single" w:sz="4" w:space="0" w:color="C00000"/>
            </w:tcBorders>
            <w:vAlign w:val="center"/>
            <w:hideMark/>
          </w:tcPr>
          <w:p w14:paraId="61611C11" w14:textId="77777777" w:rsidR="00A133EF" w:rsidRPr="00B060C4" w:rsidRDefault="00A133EF" w:rsidP="00B060C4">
            <w:pPr>
              <w:jc w:val="center"/>
            </w:pPr>
            <w:r w:rsidRPr="00B060C4">
              <w:t>218</w:t>
            </w:r>
          </w:p>
        </w:tc>
        <w:tc>
          <w:tcPr>
            <w:tcW w:w="896" w:type="dxa"/>
            <w:tcBorders>
              <w:top w:val="single" w:sz="4" w:space="0" w:color="C00000"/>
            </w:tcBorders>
            <w:vAlign w:val="center"/>
            <w:hideMark/>
          </w:tcPr>
          <w:p w14:paraId="657EABB7" w14:textId="77777777" w:rsidR="00A133EF" w:rsidRPr="00B060C4" w:rsidRDefault="00A133EF" w:rsidP="00B060C4">
            <w:pPr>
              <w:jc w:val="center"/>
            </w:pPr>
            <w:r w:rsidRPr="00B060C4">
              <w:t>29</w:t>
            </w:r>
          </w:p>
        </w:tc>
        <w:tc>
          <w:tcPr>
            <w:tcW w:w="672" w:type="dxa"/>
            <w:tcBorders>
              <w:top w:val="single" w:sz="4" w:space="0" w:color="C00000"/>
            </w:tcBorders>
            <w:vAlign w:val="center"/>
            <w:hideMark/>
          </w:tcPr>
          <w:p w14:paraId="478E68C4" w14:textId="77777777" w:rsidR="00A133EF" w:rsidRPr="00B060C4" w:rsidRDefault="00A133EF" w:rsidP="00B060C4">
            <w:pPr>
              <w:jc w:val="center"/>
            </w:pPr>
            <w:r w:rsidRPr="00B060C4">
              <w:t>3</w:t>
            </w:r>
          </w:p>
        </w:tc>
        <w:tc>
          <w:tcPr>
            <w:tcW w:w="673" w:type="dxa"/>
            <w:tcBorders>
              <w:top w:val="single" w:sz="4" w:space="0" w:color="C00000"/>
            </w:tcBorders>
            <w:vAlign w:val="center"/>
            <w:hideMark/>
          </w:tcPr>
          <w:p w14:paraId="3D560683" w14:textId="77777777" w:rsidR="00A133EF" w:rsidRPr="00B060C4" w:rsidRDefault="00A133EF" w:rsidP="00B060C4">
            <w:pPr>
              <w:jc w:val="center"/>
            </w:pPr>
            <w:r w:rsidRPr="00B060C4">
              <w:t>0</w:t>
            </w:r>
          </w:p>
        </w:tc>
      </w:tr>
      <w:tr w:rsidR="00211B14" w14:paraId="65A44811" w14:textId="77777777" w:rsidTr="00211B14">
        <w:trPr>
          <w:trHeight w:hRule="exact" w:val="346"/>
        </w:trPr>
        <w:tc>
          <w:tcPr>
            <w:tcW w:w="2019" w:type="dxa"/>
            <w:shd w:val="clear" w:color="auto" w:fill="D2232A" w:themeFill="accent1"/>
          </w:tcPr>
          <w:p w14:paraId="6A0DF791" w14:textId="54BB7E4B" w:rsidR="00A133EF" w:rsidRPr="00A133EF" w:rsidRDefault="00A133EF" w:rsidP="00A133EF">
            <w:pPr>
              <w:spacing w:line="220" w:lineRule="exact"/>
              <w:jc w:val="left"/>
              <w:rPr>
                <w:rFonts w:eastAsia="Arial Narrow" w:cstheme="minorHAnsi"/>
                <w:color w:val="FFFFFF" w:themeColor="background1"/>
                <w:szCs w:val="18"/>
              </w:rPr>
            </w:pPr>
            <w:r w:rsidRPr="00A133EF">
              <w:rPr>
                <w:rFonts w:eastAsia="Arial Narrow" w:cstheme="minorHAnsi"/>
                <w:b/>
                <w:color w:val="FFFFFF" w:themeColor="background1"/>
                <w:szCs w:val="18"/>
              </w:rPr>
              <w:t>K</w:t>
            </w:r>
            <w:r w:rsidRPr="00A133EF">
              <w:rPr>
                <w:rFonts w:eastAsia="Arial Narrow" w:cstheme="minorHAnsi"/>
                <w:b/>
                <w:color w:val="FFFFFF" w:themeColor="background1"/>
                <w:spacing w:val="-1"/>
                <w:szCs w:val="18"/>
              </w:rPr>
              <w:t>r</w:t>
            </w:r>
            <w:r w:rsidRPr="00A133EF">
              <w:rPr>
                <w:rFonts w:eastAsia="Arial Narrow" w:cstheme="minorHAnsi"/>
                <w:b/>
                <w:color w:val="FFFFFF" w:themeColor="background1"/>
                <w:szCs w:val="18"/>
              </w:rPr>
              <w:t>a</w:t>
            </w:r>
            <w:r w:rsidRPr="00A133EF">
              <w:rPr>
                <w:rFonts w:eastAsia="Arial Narrow" w:cstheme="minorHAnsi"/>
                <w:b/>
                <w:color w:val="FFFFFF" w:themeColor="background1"/>
                <w:spacing w:val="1"/>
                <w:szCs w:val="18"/>
              </w:rPr>
              <w:t>p</w:t>
            </w:r>
            <w:r w:rsidRPr="00A133EF">
              <w:rPr>
                <w:rFonts w:eastAsia="Arial Narrow" w:cstheme="minorHAnsi"/>
                <w:b/>
                <w:color w:val="FFFFFF" w:themeColor="background1"/>
                <w:szCs w:val="18"/>
              </w:rPr>
              <w:t>i</w:t>
            </w:r>
            <w:r w:rsidRPr="00A133EF">
              <w:rPr>
                <w:rFonts w:eastAsia="Arial Narrow" w:cstheme="minorHAnsi"/>
                <w:b/>
                <w:color w:val="FFFFFF" w:themeColor="background1"/>
                <w:spacing w:val="1"/>
                <w:szCs w:val="18"/>
              </w:rPr>
              <w:t>n</w:t>
            </w:r>
            <w:r w:rsidRPr="00A133EF">
              <w:rPr>
                <w:rFonts w:eastAsia="Arial Narrow" w:cstheme="minorHAnsi"/>
                <w:b/>
                <w:color w:val="FFFFFF" w:themeColor="background1"/>
                <w:szCs w:val="18"/>
              </w:rPr>
              <w:t>sk</w:t>
            </w:r>
            <w:r w:rsidRPr="00A133EF">
              <w:rPr>
                <w:rFonts w:eastAsia="Arial Narrow" w:cstheme="minorHAnsi"/>
                <w:b/>
                <w:color w:val="FFFFFF" w:themeColor="background1"/>
                <w:spacing w:val="1"/>
                <w:szCs w:val="18"/>
              </w:rPr>
              <w:t>o-</w:t>
            </w:r>
            <w:r w:rsidRPr="00A133EF">
              <w:rPr>
                <w:rFonts w:eastAsia="Arial Narrow" w:cstheme="minorHAnsi"/>
                <w:b/>
                <w:color w:val="FFFFFF" w:themeColor="background1"/>
                <w:szCs w:val="18"/>
              </w:rPr>
              <w:t>za</w:t>
            </w:r>
            <w:r w:rsidRPr="00A133EF">
              <w:rPr>
                <w:rFonts w:eastAsia="Arial Narrow" w:cstheme="minorHAnsi"/>
                <w:b/>
                <w:color w:val="FFFFFF" w:themeColor="background1"/>
                <w:spacing w:val="1"/>
                <w:szCs w:val="18"/>
              </w:rPr>
              <w:t>go</w:t>
            </w:r>
            <w:r w:rsidRPr="00A133EF">
              <w:rPr>
                <w:rFonts w:eastAsia="Arial Narrow" w:cstheme="minorHAnsi"/>
                <w:b/>
                <w:color w:val="FFFFFF" w:themeColor="background1"/>
                <w:spacing w:val="-1"/>
                <w:szCs w:val="18"/>
              </w:rPr>
              <w:t>r</w:t>
            </w:r>
            <w:r w:rsidRPr="00A133EF">
              <w:rPr>
                <w:rFonts w:eastAsia="Arial Narrow" w:cstheme="minorHAnsi"/>
                <w:b/>
                <w:color w:val="FFFFFF" w:themeColor="background1"/>
                <w:szCs w:val="18"/>
              </w:rPr>
              <w:t>ska</w:t>
            </w:r>
          </w:p>
        </w:tc>
        <w:tc>
          <w:tcPr>
            <w:tcW w:w="816" w:type="dxa"/>
            <w:shd w:val="clear" w:color="auto" w:fill="D2232A" w:themeFill="accent1"/>
            <w:vAlign w:val="center"/>
            <w:hideMark/>
          </w:tcPr>
          <w:p w14:paraId="34DF762E" w14:textId="77777777" w:rsidR="00A133EF" w:rsidRPr="00AB24C2" w:rsidRDefault="00A133EF" w:rsidP="00B060C4">
            <w:pPr>
              <w:spacing w:before="11"/>
              <w:ind w:left="199" w:right="197"/>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20</w:t>
            </w:r>
          </w:p>
        </w:tc>
        <w:tc>
          <w:tcPr>
            <w:tcW w:w="816" w:type="dxa"/>
            <w:shd w:val="clear" w:color="auto" w:fill="D2232A" w:themeFill="accent1"/>
            <w:vAlign w:val="center"/>
            <w:hideMark/>
          </w:tcPr>
          <w:p w14:paraId="7BC589E4" w14:textId="77777777" w:rsidR="00A133EF" w:rsidRPr="00AB24C2" w:rsidRDefault="00A133EF" w:rsidP="00B060C4">
            <w:pPr>
              <w:spacing w:before="11"/>
              <w:ind w:left="242" w:right="245"/>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3</w:t>
            </w:r>
          </w:p>
        </w:tc>
        <w:tc>
          <w:tcPr>
            <w:tcW w:w="701" w:type="dxa"/>
            <w:shd w:val="clear" w:color="auto" w:fill="D2232A" w:themeFill="accent1"/>
            <w:vAlign w:val="center"/>
            <w:hideMark/>
          </w:tcPr>
          <w:p w14:paraId="6447DF18" w14:textId="77777777" w:rsidR="00A133EF" w:rsidRPr="00AB24C2" w:rsidRDefault="00A133EF" w:rsidP="00B060C4">
            <w:pPr>
              <w:spacing w:before="11"/>
              <w:ind w:left="242" w:right="243"/>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2</w:t>
            </w:r>
          </w:p>
        </w:tc>
        <w:tc>
          <w:tcPr>
            <w:tcW w:w="708" w:type="dxa"/>
            <w:shd w:val="clear" w:color="auto" w:fill="D2232A" w:themeFill="accent1"/>
            <w:vAlign w:val="center"/>
            <w:hideMark/>
          </w:tcPr>
          <w:p w14:paraId="344691E2" w14:textId="77777777" w:rsidR="00A133EF" w:rsidRPr="00AB24C2" w:rsidRDefault="00A133EF" w:rsidP="00B060C4">
            <w:pPr>
              <w:spacing w:before="11"/>
              <w:ind w:left="242" w:right="245"/>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3</w:t>
            </w:r>
          </w:p>
        </w:tc>
        <w:tc>
          <w:tcPr>
            <w:tcW w:w="752" w:type="dxa"/>
            <w:shd w:val="clear" w:color="auto" w:fill="D2232A" w:themeFill="accent1"/>
            <w:vAlign w:val="center"/>
            <w:hideMark/>
          </w:tcPr>
          <w:p w14:paraId="12574FBD" w14:textId="77777777" w:rsidR="00A133EF" w:rsidRPr="00AB24C2" w:rsidRDefault="00A133EF" w:rsidP="00B060C4">
            <w:pPr>
              <w:spacing w:before="11"/>
              <w:ind w:left="242" w:right="243"/>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3</w:t>
            </w:r>
          </w:p>
        </w:tc>
        <w:tc>
          <w:tcPr>
            <w:tcW w:w="660" w:type="dxa"/>
            <w:shd w:val="clear" w:color="auto" w:fill="D2232A" w:themeFill="accent1"/>
            <w:vAlign w:val="center"/>
            <w:hideMark/>
          </w:tcPr>
          <w:p w14:paraId="3A9AC7D3" w14:textId="77777777" w:rsidR="00A133EF" w:rsidRPr="00AB24C2" w:rsidRDefault="00A133EF" w:rsidP="00B060C4">
            <w:pPr>
              <w:spacing w:before="11"/>
              <w:ind w:left="245" w:right="243"/>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0</w:t>
            </w:r>
          </w:p>
        </w:tc>
        <w:tc>
          <w:tcPr>
            <w:tcW w:w="701" w:type="dxa"/>
            <w:shd w:val="clear" w:color="auto" w:fill="D2232A" w:themeFill="accent1"/>
            <w:vAlign w:val="center"/>
            <w:hideMark/>
          </w:tcPr>
          <w:p w14:paraId="5EF0AC0A" w14:textId="77777777" w:rsidR="00A133EF" w:rsidRPr="00AB24C2" w:rsidRDefault="00A133EF" w:rsidP="00B060C4">
            <w:pPr>
              <w:spacing w:before="11"/>
              <w:ind w:left="197" w:right="197"/>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75</w:t>
            </w:r>
          </w:p>
        </w:tc>
        <w:tc>
          <w:tcPr>
            <w:tcW w:w="896" w:type="dxa"/>
            <w:shd w:val="clear" w:color="auto" w:fill="D2232A" w:themeFill="accent1"/>
            <w:vAlign w:val="center"/>
            <w:hideMark/>
          </w:tcPr>
          <w:p w14:paraId="5204D2EC" w14:textId="77777777" w:rsidR="00A133EF" w:rsidRPr="00AB24C2" w:rsidRDefault="00A133EF" w:rsidP="00B060C4">
            <w:pPr>
              <w:spacing w:before="11"/>
              <w:ind w:left="199" w:right="197"/>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10</w:t>
            </w:r>
          </w:p>
        </w:tc>
        <w:tc>
          <w:tcPr>
            <w:tcW w:w="672" w:type="dxa"/>
            <w:shd w:val="clear" w:color="auto" w:fill="D2232A" w:themeFill="accent1"/>
            <w:vAlign w:val="center"/>
            <w:hideMark/>
          </w:tcPr>
          <w:p w14:paraId="1E1C9907" w14:textId="77777777" w:rsidR="00A133EF" w:rsidRPr="00AB24C2" w:rsidRDefault="00A133EF" w:rsidP="00B060C4">
            <w:pPr>
              <w:spacing w:before="11"/>
              <w:ind w:left="197" w:right="200"/>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21</w:t>
            </w:r>
          </w:p>
        </w:tc>
        <w:tc>
          <w:tcPr>
            <w:tcW w:w="673" w:type="dxa"/>
            <w:shd w:val="clear" w:color="auto" w:fill="D2232A" w:themeFill="accent1"/>
            <w:vAlign w:val="center"/>
            <w:hideMark/>
          </w:tcPr>
          <w:p w14:paraId="4A276D98" w14:textId="77777777" w:rsidR="00A133EF" w:rsidRPr="00AB24C2" w:rsidRDefault="00A133EF" w:rsidP="00B060C4">
            <w:pPr>
              <w:spacing w:before="11"/>
              <w:ind w:left="241" w:right="244"/>
              <w:jc w:val="right"/>
              <w:rPr>
                <w:rFonts w:eastAsia="Arial Narrow" w:cstheme="minorHAnsi"/>
                <w:color w:val="FFFFFF" w:themeColor="background1"/>
                <w:sz w:val="16"/>
                <w:szCs w:val="16"/>
              </w:rPr>
            </w:pPr>
            <w:r w:rsidRPr="00AB24C2">
              <w:rPr>
                <w:rFonts w:eastAsia="Arial Narrow" w:cstheme="minorHAnsi"/>
                <w:color w:val="FFFFFF" w:themeColor="background1"/>
                <w:w w:val="99"/>
                <w:sz w:val="16"/>
                <w:szCs w:val="16"/>
              </w:rPr>
              <w:t>5</w:t>
            </w:r>
          </w:p>
        </w:tc>
      </w:tr>
      <w:tr w:rsidR="00AB24C2" w14:paraId="469C3EA0" w14:textId="77777777" w:rsidTr="00211B14">
        <w:trPr>
          <w:trHeight w:hRule="exact" w:val="459"/>
        </w:trPr>
        <w:tc>
          <w:tcPr>
            <w:tcW w:w="2019" w:type="dxa"/>
          </w:tcPr>
          <w:p w14:paraId="2E012DDF" w14:textId="34E9F44C" w:rsidR="00AB24C2" w:rsidRDefault="00AB24C2" w:rsidP="00AB24C2">
            <w:pPr>
              <w:spacing w:line="220" w:lineRule="exact"/>
              <w:jc w:val="left"/>
              <w:rPr>
                <w:rFonts w:eastAsia="Arial Narrow" w:cstheme="minorHAnsi"/>
                <w:b/>
                <w:spacing w:val="-1"/>
                <w:szCs w:val="18"/>
              </w:rPr>
            </w:pPr>
            <w:r>
              <w:rPr>
                <w:rFonts w:eastAsia="Arial Narrow" w:cstheme="minorHAnsi"/>
                <w:b/>
                <w:szCs w:val="18"/>
              </w:rPr>
              <w:t>Sjeverna Hrvatska s Gradom Zagrebom</w:t>
            </w:r>
          </w:p>
        </w:tc>
        <w:tc>
          <w:tcPr>
            <w:tcW w:w="816" w:type="dxa"/>
            <w:vAlign w:val="center"/>
          </w:tcPr>
          <w:p w14:paraId="7E499B26" w14:textId="56B87EA5" w:rsidR="00AB24C2" w:rsidRPr="00AB24C2" w:rsidRDefault="00AB24C2" w:rsidP="00B060C4">
            <w:pPr>
              <w:spacing w:line="220" w:lineRule="exact"/>
              <w:ind w:left="245" w:right="243"/>
              <w:jc w:val="right"/>
              <w:rPr>
                <w:rFonts w:eastAsia="Arial Narrow" w:cstheme="minorHAnsi"/>
                <w:w w:val="99"/>
                <w:sz w:val="16"/>
                <w:szCs w:val="16"/>
              </w:rPr>
            </w:pPr>
            <w:r w:rsidRPr="00AB24C2">
              <w:rPr>
                <w:rFonts w:cs="Calibri"/>
                <w:color w:val="3F3F3F"/>
                <w:sz w:val="16"/>
                <w:szCs w:val="16"/>
              </w:rPr>
              <w:t>756</w:t>
            </w:r>
          </w:p>
        </w:tc>
        <w:tc>
          <w:tcPr>
            <w:tcW w:w="816" w:type="dxa"/>
            <w:vAlign w:val="center"/>
          </w:tcPr>
          <w:p w14:paraId="68D20A85" w14:textId="7EDF682A" w:rsidR="00AB24C2" w:rsidRPr="00AB24C2" w:rsidRDefault="00AB24C2" w:rsidP="00B060C4">
            <w:pPr>
              <w:spacing w:line="220" w:lineRule="exact"/>
              <w:ind w:left="242" w:right="245"/>
              <w:jc w:val="right"/>
              <w:rPr>
                <w:rFonts w:eastAsia="Arial Narrow" w:cstheme="minorHAnsi"/>
                <w:w w:val="99"/>
                <w:sz w:val="16"/>
                <w:szCs w:val="16"/>
              </w:rPr>
            </w:pPr>
            <w:r w:rsidRPr="00AB24C2">
              <w:rPr>
                <w:rFonts w:cs="Calibri"/>
                <w:color w:val="3F3F3F"/>
                <w:sz w:val="16"/>
                <w:szCs w:val="16"/>
              </w:rPr>
              <w:t>89</w:t>
            </w:r>
          </w:p>
        </w:tc>
        <w:tc>
          <w:tcPr>
            <w:tcW w:w="701" w:type="dxa"/>
            <w:vAlign w:val="center"/>
          </w:tcPr>
          <w:p w14:paraId="5CEA8B1F" w14:textId="5BAC067F" w:rsidR="00AB24C2" w:rsidRPr="00AB24C2" w:rsidRDefault="00AB24C2" w:rsidP="00B060C4">
            <w:pPr>
              <w:spacing w:line="220" w:lineRule="exact"/>
              <w:ind w:left="242" w:right="243"/>
              <w:jc w:val="right"/>
              <w:rPr>
                <w:rFonts w:eastAsia="Arial Narrow" w:cstheme="minorHAnsi"/>
                <w:w w:val="99"/>
                <w:sz w:val="16"/>
                <w:szCs w:val="16"/>
              </w:rPr>
            </w:pPr>
            <w:r w:rsidRPr="00AB24C2">
              <w:rPr>
                <w:rFonts w:cs="Calibri"/>
                <w:color w:val="3F3F3F"/>
                <w:sz w:val="16"/>
                <w:szCs w:val="16"/>
              </w:rPr>
              <w:t>65</w:t>
            </w:r>
          </w:p>
        </w:tc>
        <w:tc>
          <w:tcPr>
            <w:tcW w:w="708" w:type="dxa"/>
            <w:vAlign w:val="center"/>
          </w:tcPr>
          <w:p w14:paraId="2CE8194D" w14:textId="71821E0F" w:rsidR="00AB24C2" w:rsidRPr="00AB24C2" w:rsidRDefault="00AB24C2" w:rsidP="00B060C4">
            <w:pPr>
              <w:spacing w:line="220" w:lineRule="exact"/>
              <w:ind w:left="242" w:right="245"/>
              <w:jc w:val="right"/>
              <w:rPr>
                <w:rFonts w:eastAsia="Arial Narrow" w:cstheme="minorHAnsi"/>
                <w:w w:val="99"/>
                <w:sz w:val="16"/>
                <w:szCs w:val="16"/>
              </w:rPr>
            </w:pPr>
            <w:r w:rsidRPr="00AB24C2">
              <w:rPr>
                <w:rFonts w:cs="Calibri"/>
                <w:color w:val="3F3F3F"/>
                <w:sz w:val="16"/>
                <w:szCs w:val="16"/>
              </w:rPr>
              <w:t>31</w:t>
            </w:r>
          </w:p>
        </w:tc>
        <w:tc>
          <w:tcPr>
            <w:tcW w:w="752" w:type="dxa"/>
            <w:vAlign w:val="center"/>
          </w:tcPr>
          <w:p w14:paraId="5F1F6E2C" w14:textId="27C8232E" w:rsidR="00AB24C2" w:rsidRPr="00AB24C2" w:rsidRDefault="00AB24C2" w:rsidP="00B060C4">
            <w:pPr>
              <w:spacing w:line="220" w:lineRule="exact"/>
              <w:ind w:left="242" w:right="243"/>
              <w:jc w:val="right"/>
              <w:rPr>
                <w:rFonts w:eastAsia="Arial Narrow" w:cstheme="minorHAnsi"/>
                <w:w w:val="99"/>
                <w:sz w:val="16"/>
                <w:szCs w:val="16"/>
              </w:rPr>
            </w:pPr>
            <w:r w:rsidRPr="00AB24C2">
              <w:rPr>
                <w:rFonts w:cs="Calibri"/>
                <w:color w:val="3F3F3F"/>
                <w:sz w:val="16"/>
                <w:szCs w:val="16"/>
              </w:rPr>
              <w:t>252</w:t>
            </w:r>
          </w:p>
        </w:tc>
        <w:tc>
          <w:tcPr>
            <w:tcW w:w="660" w:type="dxa"/>
            <w:vAlign w:val="center"/>
          </w:tcPr>
          <w:p w14:paraId="53D26799" w14:textId="43FA6DC2" w:rsidR="00AB24C2" w:rsidRPr="00AB24C2" w:rsidRDefault="00AB24C2" w:rsidP="00B060C4">
            <w:pPr>
              <w:spacing w:line="220" w:lineRule="exact"/>
              <w:ind w:left="245" w:right="243"/>
              <w:jc w:val="right"/>
              <w:rPr>
                <w:rFonts w:eastAsia="Arial Narrow" w:cstheme="minorHAnsi"/>
                <w:w w:val="99"/>
                <w:sz w:val="16"/>
                <w:szCs w:val="16"/>
              </w:rPr>
            </w:pPr>
            <w:r w:rsidRPr="00AB24C2">
              <w:rPr>
                <w:rFonts w:cs="Calibri"/>
                <w:color w:val="3F3F3F"/>
                <w:sz w:val="16"/>
                <w:szCs w:val="16"/>
              </w:rPr>
              <w:t>5</w:t>
            </w:r>
          </w:p>
        </w:tc>
        <w:tc>
          <w:tcPr>
            <w:tcW w:w="701" w:type="dxa"/>
            <w:vAlign w:val="center"/>
          </w:tcPr>
          <w:p w14:paraId="49DD3BB6" w14:textId="79518157" w:rsidR="00AB24C2" w:rsidRPr="00AB24C2" w:rsidRDefault="00AB24C2" w:rsidP="00B060C4">
            <w:pPr>
              <w:spacing w:line="220" w:lineRule="exact"/>
              <w:ind w:left="197" w:right="197"/>
              <w:jc w:val="right"/>
              <w:rPr>
                <w:rFonts w:eastAsia="Arial Narrow" w:cstheme="minorHAnsi"/>
                <w:w w:val="99"/>
                <w:sz w:val="16"/>
                <w:szCs w:val="16"/>
              </w:rPr>
            </w:pPr>
            <w:r w:rsidRPr="00AB24C2">
              <w:rPr>
                <w:rFonts w:cs="Calibri"/>
                <w:color w:val="3F3F3F"/>
                <w:sz w:val="16"/>
                <w:szCs w:val="16"/>
              </w:rPr>
              <w:t>6093</w:t>
            </w:r>
          </w:p>
        </w:tc>
        <w:tc>
          <w:tcPr>
            <w:tcW w:w="896" w:type="dxa"/>
            <w:vAlign w:val="center"/>
          </w:tcPr>
          <w:p w14:paraId="47489ADF" w14:textId="46DBECF4" w:rsidR="00AB24C2" w:rsidRPr="00AB24C2" w:rsidRDefault="00AB24C2" w:rsidP="00B060C4">
            <w:pPr>
              <w:spacing w:line="220" w:lineRule="exact"/>
              <w:ind w:left="245" w:right="243"/>
              <w:jc w:val="right"/>
              <w:rPr>
                <w:rFonts w:eastAsia="Arial Narrow" w:cstheme="minorHAnsi"/>
                <w:w w:val="99"/>
                <w:sz w:val="16"/>
                <w:szCs w:val="16"/>
              </w:rPr>
            </w:pPr>
            <w:r w:rsidRPr="00AB24C2">
              <w:rPr>
                <w:rFonts w:cs="Calibri"/>
                <w:color w:val="3F3F3F"/>
                <w:sz w:val="16"/>
                <w:szCs w:val="16"/>
              </w:rPr>
              <w:t>867</w:t>
            </w:r>
          </w:p>
        </w:tc>
        <w:tc>
          <w:tcPr>
            <w:tcW w:w="672" w:type="dxa"/>
            <w:vAlign w:val="center"/>
          </w:tcPr>
          <w:p w14:paraId="476A2A1D" w14:textId="7E1E1A56" w:rsidR="00AB24C2" w:rsidRPr="00AB24C2" w:rsidRDefault="00AB24C2" w:rsidP="00B060C4">
            <w:pPr>
              <w:spacing w:line="220" w:lineRule="exact"/>
              <w:ind w:left="197" w:right="200"/>
              <w:jc w:val="right"/>
              <w:rPr>
                <w:rFonts w:eastAsia="Arial Narrow" w:cstheme="minorHAnsi"/>
                <w:w w:val="99"/>
                <w:sz w:val="16"/>
                <w:szCs w:val="16"/>
              </w:rPr>
            </w:pPr>
            <w:r w:rsidRPr="00AB24C2">
              <w:rPr>
                <w:rFonts w:cs="Calibri"/>
                <w:color w:val="3F3F3F"/>
                <w:sz w:val="16"/>
                <w:szCs w:val="16"/>
              </w:rPr>
              <w:t>669</w:t>
            </w:r>
          </w:p>
        </w:tc>
        <w:tc>
          <w:tcPr>
            <w:tcW w:w="673" w:type="dxa"/>
            <w:vAlign w:val="center"/>
          </w:tcPr>
          <w:p w14:paraId="4EDE70DA" w14:textId="63E5634E" w:rsidR="00AB24C2" w:rsidRPr="00AB24C2" w:rsidRDefault="00AB24C2" w:rsidP="00B060C4">
            <w:pPr>
              <w:spacing w:line="220" w:lineRule="exact"/>
              <w:ind w:left="242" w:right="245"/>
              <w:jc w:val="right"/>
              <w:rPr>
                <w:rFonts w:eastAsia="Arial Narrow" w:cstheme="minorHAnsi"/>
                <w:w w:val="99"/>
                <w:sz w:val="16"/>
                <w:szCs w:val="16"/>
              </w:rPr>
            </w:pPr>
            <w:r w:rsidRPr="00AB24C2">
              <w:rPr>
                <w:rFonts w:cs="Calibri"/>
                <w:color w:val="3F3F3F"/>
                <w:sz w:val="16"/>
                <w:szCs w:val="16"/>
              </w:rPr>
              <w:t>756</w:t>
            </w:r>
          </w:p>
        </w:tc>
      </w:tr>
      <w:tr w:rsidR="00211B14" w14:paraId="132CD491" w14:textId="77777777" w:rsidTr="00211B14">
        <w:trPr>
          <w:trHeight w:hRule="exact" w:val="391"/>
        </w:trPr>
        <w:tc>
          <w:tcPr>
            <w:tcW w:w="2019" w:type="dxa"/>
            <w:shd w:val="clear" w:color="auto" w:fill="E5E5E5" w:themeFill="text1" w:themeFillTint="33"/>
            <w:hideMark/>
          </w:tcPr>
          <w:p w14:paraId="4FDAD33C" w14:textId="6DE35132" w:rsidR="004B573B" w:rsidRDefault="004B573B" w:rsidP="004B573B">
            <w:pPr>
              <w:spacing w:before="1"/>
              <w:rPr>
                <w:rFonts w:eastAsia="Arial Narrow" w:cstheme="minorHAnsi"/>
                <w:szCs w:val="18"/>
              </w:rPr>
            </w:pPr>
            <w:r>
              <w:rPr>
                <w:rFonts w:eastAsia="Arial Narrow" w:cstheme="minorHAnsi"/>
                <w:b/>
                <w:szCs w:val="18"/>
              </w:rPr>
              <w:t>Republika Hrvatska</w:t>
            </w:r>
          </w:p>
        </w:tc>
        <w:tc>
          <w:tcPr>
            <w:tcW w:w="816" w:type="dxa"/>
            <w:shd w:val="clear" w:color="auto" w:fill="E5E5E5" w:themeFill="text1" w:themeFillTint="33"/>
            <w:hideMark/>
          </w:tcPr>
          <w:p w14:paraId="18E67EA3" w14:textId="214CE90D" w:rsidR="004B573B" w:rsidRPr="00AB24C2" w:rsidRDefault="004B573B" w:rsidP="00B060C4">
            <w:pPr>
              <w:spacing w:before="1"/>
              <w:jc w:val="center"/>
              <w:rPr>
                <w:rFonts w:eastAsia="Arial Narrow" w:cstheme="minorHAnsi"/>
                <w:sz w:val="16"/>
                <w:szCs w:val="16"/>
              </w:rPr>
            </w:pPr>
            <w:r w:rsidRPr="00AB24C2">
              <w:rPr>
                <w:rFonts w:eastAsia="Arial Narrow" w:cstheme="minorHAnsi"/>
                <w:sz w:val="16"/>
                <w:szCs w:val="16"/>
              </w:rPr>
              <w:t>1.523</w:t>
            </w:r>
          </w:p>
        </w:tc>
        <w:tc>
          <w:tcPr>
            <w:tcW w:w="816" w:type="dxa"/>
            <w:shd w:val="clear" w:color="auto" w:fill="E5E5E5" w:themeFill="text1" w:themeFillTint="33"/>
            <w:hideMark/>
          </w:tcPr>
          <w:p w14:paraId="5D9504E3" w14:textId="25A465C8" w:rsidR="004B573B" w:rsidRPr="00AB24C2" w:rsidRDefault="004B573B" w:rsidP="00B060C4">
            <w:pPr>
              <w:spacing w:before="1"/>
              <w:jc w:val="center"/>
              <w:rPr>
                <w:rFonts w:eastAsia="Arial Narrow" w:cstheme="minorHAnsi"/>
                <w:sz w:val="16"/>
                <w:szCs w:val="16"/>
              </w:rPr>
            </w:pPr>
            <w:r w:rsidRPr="00AB24C2">
              <w:rPr>
                <w:rFonts w:eastAsia="Arial Narrow" w:cstheme="minorHAnsi"/>
                <w:sz w:val="16"/>
                <w:szCs w:val="16"/>
              </w:rPr>
              <w:t>176</w:t>
            </w:r>
          </w:p>
        </w:tc>
        <w:tc>
          <w:tcPr>
            <w:tcW w:w="701" w:type="dxa"/>
            <w:shd w:val="clear" w:color="auto" w:fill="E5E5E5" w:themeFill="text1" w:themeFillTint="33"/>
            <w:hideMark/>
          </w:tcPr>
          <w:p w14:paraId="38E951DB" w14:textId="77C3566A" w:rsidR="004B573B" w:rsidRPr="00AB24C2" w:rsidRDefault="004B573B" w:rsidP="00B060C4">
            <w:pPr>
              <w:spacing w:before="1"/>
              <w:jc w:val="center"/>
              <w:rPr>
                <w:rFonts w:eastAsia="Arial Narrow" w:cstheme="minorHAnsi"/>
                <w:sz w:val="16"/>
                <w:szCs w:val="16"/>
              </w:rPr>
            </w:pPr>
            <w:r w:rsidRPr="00AB24C2">
              <w:rPr>
                <w:rFonts w:eastAsia="Arial Narrow" w:cstheme="minorHAnsi"/>
                <w:sz w:val="16"/>
                <w:szCs w:val="16"/>
              </w:rPr>
              <w:t>122</w:t>
            </w:r>
          </w:p>
        </w:tc>
        <w:tc>
          <w:tcPr>
            <w:tcW w:w="708" w:type="dxa"/>
            <w:shd w:val="clear" w:color="auto" w:fill="E5E5E5" w:themeFill="text1" w:themeFillTint="33"/>
            <w:hideMark/>
          </w:tcPr>
          <w:p w14:paraId="69F60CC8" w14:textId="77777777" w:rsidR="004B573B" w:rsidRPr="00AB24C2" w:rsidRDefault="004B573B" w:rsidP="00B060C4">
            <w:pPr>
              <w:spacing w:before="1"/>
              <w:ind w:left="197" w:right="200"/>
              <w:jc w:val="center"/>
              <w:rPr>
                <w:rFonts w:eastAsia="Arial Narrow" w:cstheme="minorHAnsi"/>
                <w:sz w:val="16"/>
                <w:szCs w:val="16"/>
              </w:rPr>
            </w:pPr>
            <w:r w:rsidRPr="00AB24C2">
              <w:rPr>
                <w:rFonts w:eastAsia="Arial Narrow" w:cstheme="minorHAnsi"/>
                <w:w w:val="99"/>
                <w:sz w:val="16"/>
                <w:szCs w:val="16"/>
              </w:rPr>
              <w:t>69</w:t>
            </w:r>
          </w:p>
        </w:tc>
        <w:tc>
          <w:tcPr>
            <w:tcW w:w="752" w:type="dxa"/>
            <w:shd w:val="clear" w:color="auto" w:fill="E5E5E5" w:themeFill="text1" w:themeFillTint="33"/>
            <w:hideMark/>
          </w:tcPr>
          <w:p w14:paraId="1F5546C6" w14:textId="77777777" w:rsidR="004B573B" w:rsidRPr="00AB24C2" w:rsidRDefault="004B573B" w:rsidP="00B060C4">
            <w:pPr>
              <w:spacing w:before="1"/>
              <w:ind w:left="186"/>
              <w:jc w:val="center"/>
              <w:rPr>
                <w:rFonts w:eastAsia="Arial Narrow" w:cstheme="minorHAnsi"/>
                <w:sz w:val="16"/>
                <w:szCs w:val="16"/>
              </w:rPr>
            </w:pPr>
            <w:r w:rsidRPr="00AB24C2">
              <w:rPr>
                <w:rFonts w:eastAsia="Arial Narrow" w:cstheme="minorHAnsi"/>
                <w:sz w:val="16"/>
                <w:szCs w:val="16"/>
              </w:rPr>
              <w:t>580</w:t>
            </w:r>
          </w:p>
        </w:tc>
        <w:tc>
          <w:tcPr>
            <w:tcW w:w="660" w:type="dxa"/>
            <w:shd w:val="clear" w:color="auto" w:fill="E5E5E5" w:themeFill="text1" w:themeFillTint="33"/>
            <w:hideMark/>
          </w:tcPr>
          <w:p w14:paraId="2588E5E9" w14:textId="77777777" w:rsidR="004B573B" w:rsidRPr="00AB24C2" w:rsidRDefault="004B573B" w:rsidP="00B060C4">
            <w:pPr>
              <w:spacing w:before="1"/>
              <w:ind w:left="245" w:right="243"/>
              <w:jc w:val="center"/>
              <w:rPr>
                <w:rFonts w:eastAsia="Arial Narrow" w:cstheme="minorHAnsi"/>
                <w:sz w:val="16"/>
                <w:szCs w:val="16"/>
              </w:rPr>
            </w:pPr>
            <w:r w:rsidRPr="00AB24C2">
              <w:rPr>
                <w:rFonts w:eastAsia="Arial Narrow" w:cstheme="minorHAnsi"/>
                <w:w w:val="99"/>
                <w:sz w:val="16"/>
                <w:szCs w:val="16"/>
              </w:rPr>
              <w:t>6</w:t>
            </w:r>
          </w:p>
        </w:tc>
        <w:tc>
          <w:tcPr>
            <w:tcW w:w="701" w:type="dxa"/>
            <w:shd w:val="clear" w:color="auto" w:fill="E5E5E5" w:themeFill="text1" w:themeFillTint="33"/>
            <w:hideMark/>
          </w:tcPr>
          <w:p w14:paraId="0FE8D62B" w14:textId="77777777" w:rsidR="004B573B" w:rsidRPr="00AB24C2" w:rsidRDefault="004B573B" w:rsidP="00B060C4">
            <w:pPr>
              <w:spacing w:before="1"/>
              <w:jc w:val="center"/>
              <w:rPr>
                <w:rFonts w:eastAsia="Arial Narrow" w:cstheme="minorHAnsi"/>
                <w:sz w:val="16"/>
                <w:szCs w:val="16"/>
              </w:rPr>
            </w:pPr>
            <w:r w:rsidRPr="00AB24C2">
              <w:rPr>
                <w:rFonts w:eastAsia="Arial Narrow" w:cstheme="minorHAnsi"/>
                <w:sz w:val="16"/>
                <w:szCs w:val="16"/>
              </w:rPr>
              <w:t>8.333</w:t>
            </w:r>
          </w:p>
        </w:tc>
        <w:tc>
          <w:tcPr>
            <w:tcW w:w="896" w:type="dxa"/>
            <w:shd w:val="clear" w:color="auto" w:fill="E5E5E5" w:themeFill="text1" w:themeFillTint="33"/>
            <w:hideMark/>
          </w:tcPr>
          <w:p w14:paraId="726CDDC6" w14:textId="77777777" w:rsidR="004B573B" w:rsidRPr="00AB24C2" w:rsidRDefault="004B573B" w:rsidP="00B060C4">
            <w:pPr>
              <w:spacing w:before="1"/>
              <w:ind w:left="121"/>
              <w:jc w:val="center"/>
              <w:rPr>
                <w:rFonts w:eastAsia="Arial Narrow" w:cstheme="minorHAnsi"/>
                <w:sz w:val="16"/>
                <w:szCs w:val="16"/>
              </w:rPr>
            </w:pPr>
            <w:r w:rsidRPr="00AB24C2">
              <w:rPr>
                <w:rFonts w:eastAsia="Arial Narrow" w:cstheme="minorHAnsi"/>
                <w:sz w:val="16"/>
                <w:szCs w:val="16"/>
              </w:rPr>
              <w:t>1.166</w:t>
            </w:r>
          </w:p>
        </w:tc>
        <w:tc>
          <w:tcPr>
            <w:tcW w:w="672" w:type="dxa"/>
            <w:shd w:val="clear" w:color="auto" w:fill="E5E5E5" w:themeFill="text1" w:themeFillTint="33"/>
            <w:hideMark/>
          </w:tcPr>
          <w:p w14:paraId="5584F0EF" w14:textId="77777777" w:rsidR="004B573B" w:rsidRPr="00AB24C2" w:rsidRDefault="004B573B" w:rsidP="00B060C4">
            <w:pPr>
              <w:spacing w:before="1"/>
              <w:ind w:left="119"/>
              <w:jc w:val="center"/>
              <w:rPr>
                <w:rFonts w:eastAsia="Arial Narrow" w:cstheme="minorHAnsi"/>
                <w:sz w:val="16"/>
                <w:szCs w:val="16"/>
              </w:rPr>
            </w:pPr>
            <w:r w:rsidRPr="00AB24C2">
              <w:rPr>
                <w:rFonts w:eastAsia="Arial Narrow" w:cstheme="minorHAnsi"/>
                <w:sz w:val="16"/>
                <w:szCs w:val="16"/>
              </w:rPr>
              <w:t>1.122</w:t>
            </w:r>
          </w:p>
        </w:tc>
        <w:tc>
          <w:tcPr>
            <w:tcW w:w="673" w:type="dxa"/>
            <w:shd w:val="clear" w:color="auto" w:fill="E5E5E5" w:themeFill="text1" w:themeFillTint="33"/>
            <w:hideMark/>
          </w:tcPr>
          <w:p w14:paraId="681BF257" w14:textId="77777777" w:rsidR="004B573B" w:rsidRPr="00AB24C2" w:rsidRDefault="004B573B" w:rsidP="00B060C4">
            <w:pPr>
              <w:spacing w:before="1"/>
              <w:ind w:left="186"/>
              <w:jc w:val="center"/>
              <w:rPr>
                <w:rFonts w:eastAsia="Arial Narrow" w:cstheme="minorHAnsi"/>
                <w:sz w:val="16"/>
                <w:szCs w:val="16"/>
              </w:rPr>
            </w:pPr>
            <w:r w:rsidRPr="00AB24C2">
              <w:rPr>
                <w:rFonts w:eastAsia="Arial Narrow" w:cstheme="minorHAnsi"/>
                <w:sz w:val="16"/>
                <w:szCs w:val="16"/>
              </w:rPr>
              <w:t>188</w:t>
            </w:r>
          </w:p>
        </w:tc>
      </w:tr>
    </w:tbl>
    <w:p w14:paraId="39E373CD" w14:textId="77777777" w:rsidR="008878A0" w:rsidRPr="006207AF" w:rsidRDefault="008878A0" w:rsidP="006207AF">
      <w:pPr>
        <w:autoSpaceDE w:val="0"/>
        <w:autoSpaceDN w:val="0"/>
        <w:adjustRightInd w:val="0"/>
        <w:spacing w:after="0" w:line="240" w:lineRule="auto"/>
        <w:rPr>
          <w:rFonts w:eastAsia="ArialNarrow" w:cstheme="minorHAnsi"/>
          <w:i/>
          <w:color w:val="ABABAB" w:themeColor="text1" w:themeTint="A6"/>
          <w:sz w:val="16"/>
          <w:szCs w:val="16"/>
        </w:rPr>
      </w:pPr>
      <w:r w:rsidRPr="006207AF">
        <w:rPr>
          <w:rFonts w:eastAsia="ArialNarrow" w:cstheme="minorHAnsi"/>
          <w:i/>
          <w:color w:val="ABABAB" w:themeColor="text1" w:themeTint="A6"/>
          <w:sz w:val="16"/>
          <w:szCs w:val="16"/>
        </w:rPr>
        <w:t>Izvor: Analitičke podloge za izradu Strategije regionalnog razvoja Republike Hrvatske, MRRFEU 2015., Državni zavod za intelektualno vlasništvo Republike Hrvatske, 2015. godina</w:t>
      </w:r>
    </w:p>
    <w:p w14:paraId="191D84C2" w14:textId="2F7E496D" w:rsidR="00CC3476" w:rsidRDefault="00CC3476" w:rsidP="00CC3476"/>
    <w:p w14:paraId="649CCBED" w14:textId="77777777" w:rsidR="00E03E42" w:rsidRDefault="004A1982" w:rsidP="004A1982">
      <w:pPr>
        <w:sectPr w:rsidR="00E03E42" w:rsidSect="005514E8">
          <w:pgSz w:w="11900" w:h="16840"/>
          <w:pgMar w:top="1338" w:right="1298" w:bottom="278" w:left="1298" w:header="708" w:footer="708" w:gutter="0"/>
          <w:cols w:space="708"/>
          <w:docGrid w:linePitch="360"/>
        </w:sectPr>
      </w:pPr>
      <w:r>
        <w:t xml:space="preserve">Posebni oblik patentne zaštite u Hrvatskoj predstavlja konsenzualni patent. Njegova je osnovna značajka da se priznaje bez potpunog ispitivanja, tj. na temelju sporazuma (konsenzusa) javnosti, ukoliko protiv njega nema prigovora zainteresiranih strana. Konsenzualni patent može trajati najviše 10 godina. Postupak zaštite izuma konsenzualnim patentom je brži, jednostavniji i jeftiniji od postupka za dobivanje klasičnog patenta. Međutim, valja imati na umu da konsenzualni patent pruža zaštitu samo tako dugo dok mu se nitko ne protivi. Tijekom cijelog razdoblja zaštite, bilo koja zainteresirana osoba može pokrenuti postupak potpunog ispitivanja, u kojem će se utvrditi ispunjava li izum uvjete za zaštitu patentom. Novim Zakonom o patentu (NN 16/20) uvedena je zaštita izuma uporabnim modelom koji je zamijenio institut konsenzualnog patenta. Ipak postupci za priznanje patenta koji su pokrenuti prije stupanja na snagu novog Zakona dovršit će se prema odredbama Zakona o patentu (NN 173/03, </w:t>
      </w:r>
    </w:p>
    <w:p w14:paraId="7BD676FC" w14:textId="32833745" w:rsidR="00E03E42" w:rsidRDefault="004A1982" w:rsidP="00E03E42">
      <w:r>
        <w:lastRenderedPageBreak/>
        <w:t>87/05, 76/07, 30/09, 128/10, 49/11, 76/13 i 46/18), što znači da je još uvijek moguće zatražiti konsenzualni patent ako je postupak započet prema odredbama toga Zakona. Konsenzualni patenti koji su priznati i dalje ostaju na snazi.</w:t>
      </w:r>
      <w:r w:rsidR="001C22AB">
        <w:t xml:space="preserve"> U 2018. godini za područje Krapinsko-zagorske županije evidentirano je 3 priznata konsenzualna patenta.</w:t>
      </w:r>
    </w:p>
    <w:p w14:paraId="6EEC1C18" w14:textId="77777777" w:rsidR="001E67E6" w:rsidRDefault="001E67E6" w:rsidP="00E03E42"/>
    <w:p w14:paraId="0C35E87A" w14:textId="54EC358D" w:rsidR="00E03E42" w:rsidRDefault="00E03E42" w:rsidP="00E03E42">
      <w:pPr>
        <w:pStyle w:val="Opisslike"/>
      </w:pPr>
      <w:r>
        <w:t>Tablica 9</w:t>
      </w:r>
      <w:r w:rsidR="000D5E3F">
        <w:t>7</w:t>
      </w:r>
      <w:r>
        <w:t>. Zaštita industrijskog i intelektualnog vlasništva, Sjeverna Hrvatska i Republika Hrvatska, 2015. – 2020. godina</w:t>
      </w:r>
    </w:p>
    <w:tbl>
      <w:tblPr>
        <w:tblpPr w:leftFromText="180" w:rightFromText="180" w:vertAnchor="text" w:horzAnchor="margin" w:tblpY="140"/>
        <w:tblW w:w="16013" w:type="dxa"/>
        <w:tblLayout w:type="fixed"/>
        <w:tblLook w:val="01E0" w:firstRow="1" w:lastRow="1" w:firstColumn="1" w:lastColumn="1" w:noHBand="0" w:noVBand="0"/>
      </w:tblPr>
      <w:tblGrid>
        <w:gridCol w:w="3036"/>
        <w:gridCol w:w="1532"/>
        <w:gridCol w:w="1116"/>
        <w:gridCol w:w="1069"/>
        <w:gridCol w:w="1069"/>
        <w:gridCol w:w="1382"/>
        <w:gridCol w:w="992"/>
        <w:gridCol w:w="993"/>
        <w:gridCol w:w="1134"/>
        <w:gridCol w:w="1559"/>
        <w:gridCol w:w="2131"/>
      </w:tblGrid>
      <w:tr w:rsidR="00DF2FCE" w:rsidRPr="00F20C25" w14:paraId="63400733" w14:textId="77777777" w:rsidTr="002652D1">
        <w:trPr>
          <w:trHeight w:val="439"/>
        </w:trPr>
        <w:tc>
          <w:tcPr>
            <w:tcW w:w="3036" w:type="dxa"/>
            <w:vMerge w:val="restart"/>
            <w:tcBorders>
              <w:top w:val="nil"/>
              <w:left w:val="single" w:sz="8" w:space="0" w:color="D2232A" w:themeColor="accent1"/>
              <w:bottom w:val="nil"/>
              <w:right w:val="single" w:sz="4" w:space="0" w:color="C00000"/>
            </w:tcBorders>
            <w:shd w:val="clear" w:color="auto" w:fill="D2232A" w:themeFill="accent1"/>
            <w:vAlign w:val="center"/>
          </w:tcPr>
          <w:p w14:paraId="69402999" w14:textId="77777777" w:rsidR="00F20C25" w:rsidRPr="00F20C25" w:rsidRDefault="00F20C25" w:rsidP="00F20C25">
            <w:pPr>
              <w:jc w:val="center"/>
              <w:rPr>
                <w:color w:val="FFFFFF" w:themeColor="background1"/>
                <w:sz w:val="20"/>
                <w:szCs w:val="20"/>
              </w:rPr>
            </w:pPr>
          </w:p>
          <w:p w14:paraId="5D88B8DC" w14:textId="77777777" w:rsidR="00F20C25" w:rsidRPr="00F20C25" w:rsidRDefault="00F20C25" w:rsidP="00F20C25">
            <w:pPr>
              <w:jc w:val="center"/>
              <w:rPr>
                <w:sz w:val="20"/>
                <w:szCs w:val="20"/>
              </w:rPr>
            </w:pPr>
          </w:p>
          <w:p w14:paraId="6128A770" w14:textId="77777777" w:rsidR="00F20C25" w:rsidRPr="00F20C25" w:rsidRDefault="00F20C25" w:rsidP="00F20C25">
            <w:pPr>
              <w:jc w:val="center"/>
              <w:rPr>
                <w:sz w:val="20"/>
                <w:szCs w:val="20"/>
              </w:rPr>
            </w:pPr>
            <w:r w:rsidRPr="00F20C25">
              <w:rPr>
                <w:b/>
                <w:bCs/>
                <w:color w:val="FFFFFF" w:themeColor="background1"/>
                <w:sz w:val="20"/>
                <w:szCs w:val="20"/>
              </w:rPr>
              <w:t>Županija</w:t>
            </w:r>
          </w:p>
        </w:tc>
        <w:tc>
          <w:tcPr>
            <w:tcW w:w="4786" w:type="dxa"/>
            <w:gridSpan w:val="4"/>
            <w:tcBorders>
              <w:top w:val="nil"/>
              <w:left w:val="single" w:sz="4" w:space="0" w:color="C00000"/>
              <w:bottom w:val="single" w:sz="4" w:space="0" w:color="FFFFFF" w:themeColor="background1"/>
              <w:right w:val="single" w:sz="4" w:space="0" w:color="FFFFFF" w:themeColor="background1"/>
            </w:tcBorders>
            <w:shd w:val="clear" w:color="auto" w:fill="D2232A" w:themeFill="accent1"/>
            <w:vAlign w:val="center"/>
          </w:tcPr>
          <w:p w14:paraId="6FAC5385" w14:textId="77777777" w:rsidR="00F20C25" w:rsidRPr="00F20C25" w:rsidRDefault="00F20C25" w:rsidP="00F20C25">
            <w:pPr>
              <w:jc w:val="center"/>
              <w:rPr>
                <w:b/>
                <w:bCs/>
                <w:color w:val="FFFFFF" w:themeColor="background1"/>
                <w:sz w:val="20"/>
                <w:szCs w:val="20"/>
              </w:rPr>
            </w:pPr>
            <w:r w:rsidRPr="00F20C25">
              <w:rPr>
                <w:b/>
                <w:bCs/>
                <w:color w:val="FFFFFF" w:themeColor="background1"/>
                <w:sz w:val="20"/>
                <w:szCs w:val="20"/>
              </w:rPr>
              <w:t>Prijavljeni patenti</w:t>
            </w:r>
          </w:p>
        </w:tc>
        <w:tc>
          <w:tcPr>
            <w:tcW w:w="4501" w:type="dxa"/>
            <w:gridSpan w:val="4"/>
            <w:tcBorders>
              <w:top w:val="nil"/>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410CFB5E" w14:textId="77777777" w:rsidR="00F20C25" w:rsidRPr="00F20C25" w:rsidRDefault="00F20C25" w:rsidP="00F20C25">
            <w:pPr>
              <w:jc w:val="center"/>
              <w:rPr>
                <w:b/>
                <w:bCs/>
                <w:color w:val="FFFFFF" w:themeColor="background1"/>
                <w:sz w:val="20"/>
                <w:szCs w:val="20"/>
              </w:rPr>
            </w:pPr>
            <w:r w:rsidRPr="00F20C25">
              <w:rPr>
                <w:b/>
                <w:bCs/>
                <w:color w:val="FFFFFF" w:themeColor="background1"/>
                <w:sz w:val="20"/>
                <w:szCs w:val="20"/>
              </w:rPr>
              <w:t>Priznati patenti</w:t>
            </w:r>
          </w:p>
        </w:tc>
        <w:tc>
          <w:tcPr>
            <w:tcW w:w="3690" w:type="dxa"/>
            <w:gridSpan w:val="2"/>
            <w:tcBorders>
              <w:top w:val="nil"/>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2A142E46" w14:textId="77777777" w:rsidR="00F20C25" w:rsidRPr="00F20C25" w:rsidRDefault="00F20C25" w:rsidP="00F20C25">
            <w:pPr>
              <w:jc w:val="center"/>
              <w:rPr>
                <w:sz w:val="20"/>
                <w:szCs w:val="20"/>
              </w:rPr>
            </w:pPr>
            <w:r w:rsidRPr="00F20C25">
              <w:rPr>
                <w:b/>
                <w:bCs/>
                <w:color w:val="FFFFFF" w:themeColor="background1"/>
                <w:sz w:val="20"/>
                <w:szCs w:val="20"/>
              </w:rPr>
              <w:t>Konsenzualni patenti</w:t>
            </w:r>
          </w:p>
        </w:tc>
      </w:tr>
      <w:tr w:rsidR="00DF2FCE" w:rsidRPr="00F20C25" w14:paraId="29C8B9A7" w14:textId="77777777" w:rsidTr="002652D1">
        <w:trPr>
          <w:trHeight w:val="950"/>
        </w:trPr>
        <w:tc>
          <w:tcPr>
            <w:tcW w:w="3036" w:type="dxa"/>
            <w:vMerge/>
            <w:tcBorders>
              <w:left w:val="single" w:sz="0" w:space="0" w:color="D2232A" w:themeColor="accent1"/>
              <w:right w:val="single" w:sz="4" w:space="0" w:color="C00000"/>
            </w:tcBorders>
            <w:vAlign w:val="center"/>
          </w:tcPr>
          <w:p w14:paraId="2A610C37" w14:textId="77777777" w:rsidR="00F20C25" w:rsidRPr="00F20C25" w:rsidRDefault="00F20C25" w:rsidP="00F20C25">
            <w:pPr>
              <w:rPr>
                <w:sz w:val="20"/>
                <w:szCs w:val="20"/>
              </w:rPr>
            </w:pPr>
          </w:p>
        </w:tc>
        <w:tc>
          <w:tcPr>
            <w:tcW w:w="1532" w:type="dxa"/>
            <w:tcBorders>
              <w:top w:val="single" w:sz="4" w:space="0" w:color="FFFFFF" w:themeColor="background1"/>
              <w:left w:val="single" w:sz="4" w:space="0" w:color="C00000"/>
              <w:right w:val="single" w:sz="4" w:space="0" w:color="FFFFFF" w:themeColor="background1"/>
            </w:tcBorders>
            <w:shd w:val="clear" w:color="auto" w:fill="E5E5E5" w:themeFill="text1" w:themeFillTint="33"/>
            <w:vAlign w:val="center"/>
          </w:tcPr>
          <w:p w14:paraId="681E67E7" w14:textId="77777777" w:rsidR="00F20C25" w:rsidRPr="00F20C25" w:rsidRDefault="00F20C25" w:rsidP="002652D1">
            <w:pPr>
              <w:jc w:val="center"/>
              <w:rPr>
                <w:b/>
                <w:bCs/>
                <w:sz w:val="20"/>
                <w:szCs w:val="20"/>
              </w:rPr>
            </w:pPr>
            <w:r w:rsidRPr="00F20C25">
              <w:rPr>
                <w:b/>
                <w:bCs/>
                <w:sz w:val="20"/>
                <w:szCs w:val="20"/>
              </w:rPr>
              <w:t>2015.-2018.</w:t>
            </w:r>
          </w:p>
        </w:tc>
        <w:tc>
          <w:tcPr>
            <w:tcW w:w="1116" w:type="dxa"/>
            <w:tcBorders>
              <w:top w:val="single" w:sz="4" w:space="0" w:color="FFFFFF" w:themeColor="background1"/>
              <w:left w:val="single" w:sz="4" w:space="0" w:color="FFFFFF" w:themeColor="background1"/>
              <w:bottom w:val="nil"/>
              <w:right w:val="single" w:sz="4" w:space="0" w:color="FFFFFF" w:themeColor="background1"/>
            </w:tcBorders>
            <w:shd w:val="clear" w:color="auto" w:fill="E5E5E5" w:themeFill="text1" w:themeFillTint="33"/>
            <w:vAlign w:val="center"/>
          </w:tcPr>
          <w:p w14:paraId="71850585" w14:textId="77777777" w:rsidR="00F20C25" w:rsidRPr="00F20C25" w:rsidRDefault="00F20C25" w:rsidP="002652D1">
            <w:pPr>
              <w:jc w:val="center"/>
              <w:rPr>
                <w:b/>
                <w:bCs/>
                <w:sz w:val="20"/>
                <w:szCs w:val="20"/>
              </w:rPr>
            </w:pPr>
            <w:r w:rsidRPr="00F20C25">
              <w:rPr>
                <w:b/>
                <w:bCs/>
                <w:sz w:val="20"/>
                <w:szCs w:val="20"/>
              </w:rPr>
              <w:t>2018.</w:t>
            </w:r>
          </w:p>
        </w:tc>
        <w:tc>
          <w:tcPr>
            <w:tcW w:w="1069" w:type="dxa"/>
            <w:tcBorders>
              <w:top w:val="single" w:sz="4" w:space="0" w:color="FFFFFF" w:themeColor="background1"/>
              <w:left w:val="single" w:sz="4" w:space="0" w:color="FFFFFF" w:themeColor="background1"/>
              <w:bottom w:val="nil"/>
              <w:right w:val="single" w:sz="4" w:space="0" w:color="FFFFFF" w:themeColor="background1"/>
            </w:tcBorders>
            <w:shd w:val="clear" w:color="auto" w:fill="E5E5E5" w:themeFill="text1" w:themeFillTint="33"/>
            <w:vAlign w:val="center"/>
          </w:tcPr>
          <w:p w14:paraId="1731C225" w14:textId="77777777" w:rsidR="00F20C25" w:rsidRPr="00F20C25" w:rsidRDefault="00F20C25" w:rsidP="002652D1">
            <w:pPr>
              <w:jc w:val="center"/>
              <w:rPr>
                <w:b/>
                <w:bCs/>
                <w:sz w:val="20"/>
                <w:szCs w:val="20"/>
              </w:rPr>
            </w:pPr>
            <w:r w:rsidRPr="00F20C25">
              <w:rPr>
                <w:b/>
                <w:bCs/>
                <w:sz w:val="20"/>
                <w:szCs w:val="20"/>
              </w:rPr>
              <w:t>2019.</w:t>
            </w:r>
          </w:p>
        </w:tc>
        <w:tc>
          <w:tcPr>
            <w:tcW w:w="1069" w:type="dxa"/>
            <w:tcBorders>
              <w:top w:val="single" w:sz="4" w:space="0" w:color="FFFFFF" w:themeColor="background1"/>
              <w:left w:val="single" w:sz="4" w:space="0" w:color="FFFFFF" w:themeColor="background1"/>
              <w:bottom w:val="nil"/>
              <w:right w:val="single" w:sz="8" w:space="0" w:color="D2232A" w:themeColor="accent1"/>
            </w:tcBorders>
            <w:shd w:val="clear" w:color="auto" w:fill="E5E5E5" w:themeFill="text1" w:themeFillTint="33"/>
            <w:vAlign w:val="center"/>
          </w:tcPr>
          <w:p w14:paraId="6AF1BE9C" w14:textId="77777777" w:rsidR="00F20C25" w:rsidRPr="00F20C25" w:rsidRDefault="00F20C25" w:rsidP="002652D1">
            <w:pPr>
              <w:jc w:val="center"/>
              <w:rPr>
                <w:b/>
                <w:bCs/>
                <w:sz w:val="20"/>
                <w:szCs w:val="20"/>
              </w:rPr>
            </w:pPr>
            <w:r w:rsidRPr="00F20C25">
              <w:rPr>
                <w:b/>
                <w:bCs/>
                <w:sz w:val="20"/>
                <w:szCs w:val="20"/>
              </w:rPr>
              <w:t>2020.</w:t>
            </w:r>
          </w:p>
        </w:tc>
        <w:tc>
          <w:tcPr>
            <w:tcW w:w="1382" w:type="dxa"/>
            <w:tcBorders>
              <w:top w:val="single" w:sz="4" w:space="0" w:color="FFFFFF" w:themeColor="background1"/>
              <w:left w:val="single" w:sz="8" w:space="0" w:color="D2232A" w:themeColor="accent1"/>
              <w:bottom w:val="nil"/>
              <w:right w:val="single" w:sz="4" w:space="0" w:color="FFFFFF" w:themeColor="background1"/>
            </w:tcBorders>
            <w:shd w:val="clear" w:color="auto" w:fill="E5E5E5" w:themeFill="text1" w:themeFillTint="33"/>
            <w:vAlign w:val="center"/>
          </w:tcPr>
          <w:p w14:paraId="572A5737" w14:textId="77777777" w:rsidR="00F20C25" w:rsidRPr="00F20C25" w:rsidRDefault="00F20C25" w:rsidP="002652D1">
            <w:pPr>
              <w:jc w:val="center"/>
              <w:rPr>
                <w:b/>
                <w:bCs/>
                <w:sz w:val="20"/>
                <w:szCs w:val="20"/>
              </w:rPr>
            </w:pPr>
            <w:r w:rsidRPr="00F20C25">
              <w:rPr>
                <w:b/>
                <w:bCs/>
                <w:sz w:val="20"/>
                <w:szCs w:val="20"/>
              </w:rPr>
              <w:t>2015.- 2018.</w:t>
            </w:r>
          </w:p>
        </w:tc>
        <w:tc>
          <w:tcPr>
            <w:tcW w:w="992" w:type="dxa"/>
            <w:tcBorders>
              <w:top w:val="single" w:sz="4" w:space="0" w:color="FFFFFF" w:themeColor="background1"/>
              <w:left w:val="single" w:sz="4" w:space="0" w:color="FFFFFF" w:themeColor="background1"/>
              <w:bottom w:val="nil"/>
              <w:right w:val="single" w:sz="4" w:space="0" w:color="FFFFFF" w:themeColor="background1"/>
            </w:tcBorders>
            <w:shd w:val="clear" w:color="auto" w:fill="E5E5E5" w:themeFill="text1" w:themeFillTint="33"/>
            <w:vAlign w:val="center"/>
          </w:tcPr>
          <w:p w14:paraId="0E60AC3B" w14:textId="77777777" w:rsidR="00F20C25" w:rsidRPr="00F20C25" w:rsidRDefault="00F20C25" w:rsidP="002652D1">
            <w:pPr>
              <w:jc w:val="center"/>
              <w:rPr>
                <w:b/>
                <w:bCs/>
                <w:sz w:val="20"/>
                <w:szCs w:val="20"/>
              </w:rPr>
            </w:pPr>
            <w:r w:rsidRPr="00F20C25">
              <w:rPr>
                <w:b/>
                <w:bCs/>
                <w:sz w:val="20"/>
                <w:szCs w:val="20"/>
              </w:rPr>
              <w:t>2018.</w:t>
            </w:r>
          </w:p>
        </w:tc>
        <w:tc>
          <w:tcPr>
            <w:tcW w:w="993" w:type="dxa"/>
            <w:tcBorders>
              <w:top w:val="single" w:sz="4" w:space="0" w:color="FFFFFF" w:themeColor="background1"/>
              <w:left w:val="single" w:sz="4" w:space="0" w:color="FFFFFF" w:themeColor="background1"/>
              <w:bottom w:val="nil"/>
              <w:right w:val="single" w:sz="4" w:space="0" w:color="FFFFFF" w:themeColor="background1"/>
            </w:tcBorders>
            <w:shd w:val="clear" w:color="auto" w:fill="E5E5E5" w:themeFill="text1" w:themeFillTint="33"/>
            <w:vAlign w:val="center"/>
          </w:tcPr>
          <w:p w14:paraId="2DBBFF58" w14:textId="77777777" w:rsidR="00F20C25" w:rsidRPr="00F20C25" w:rsidRDefault="00F20C25" w:rsidP="002652D1">
            <w:pPr>
              <w:jc w:val="center"/>
              <w:rPr>
                <w:b/>
                <w:bCs/>
                <w:sz w:val="20"/>
                <w:szCs w:val="20"/>
              </w:rPr>
            </w:pPr>
            <w:r w:rsidRPr="00F20C25">
              <w:rPr>
                <w:b/>
                <w:bCs/>
                <w:sz w:val="20"/>
                <w:szCs w:val="20"/>
              </w:rPr>
              <w:t>2019.</w:t>
            </w:r>
          </w:p>
        </w:tc>
        <w:tc>
          <w:tcPr>
            <w:tcW w:w="1134" w:type="dxa"/>
            <w:tcBorders>
              <w:top w:val="single" w:sz="4" w:space="0" w:color="FFFFFF" w:themeColor="background1"/>
              <w:left w:val="single" w:sz="4" w:space="0" w:color="FFFFFF" w:themeColor="background1"/>
              <w:bottom w:val="nil"/>
              <w:right w:val="single" w:sz="8" w:space="0" w:color="D2232A" w:themeColor="accent1"/>
            </w:tcBorders>
            <w:shd w:val="clear" w:color="auto" w:fill="E5E5E5" w:themeFill="text1" w:themeFillTint="33"/>
            <w:vAlign w:val="center"/>
          </w:tcPr>
          <w:p w14:paraId="203F9761" w14:textId="77777777" w:rsidR="00F20C25" w:rsidRPr="00F20C25" w:rsidRDefault="00F20C25" w:rsidP="002652D1">
            <w:pPr>
              <w:jc w:val="center"/>
              <w:rPr>
                <w:b/>
                <w:bCs/>
                <w:sz w:val="20"/>
                <w:szCs w:val="20"/>
              </w:rPr>
            </w:pPr>
            <w:r w:rsidRPr="00F20C25">
              <w:rPr>
                <w:b/>
                <w:bCs/>
                <w:sz w:val="20"/>
                <w:szCs w:val="20"/>
              </w:rPr>
              <w:t>2020.</w:t>
            </w:r>
          </w:p>
        </w:tc>
        <w:tc>
          <w:tcPr>
            <w:tcW w:w="1559" w:type="dxa"/>
            <w:tcBorders>
              <w:top w:val="single" w:sz="4" w:space="0" w:color="FFFFFF" w:themeColor="background1"/>
              <w:left w:val="single" w:sz="8" w:space="0" w:color="D2232A" w:themeColor="accent1"/>
              <w:bottom w:val="nil"/>
              <w:right w:val="single" w:sz="4" w:space="0" w:color="FFFFFF" w:themeColor="background1"/>
            </w:tcBorders>
            <w:shd w:val="clear" w:color="auto" w:fill="E5E5E5" w:themeFill="text1" w:themeFillTint="33"/>
            <w:vAlign w:val="center"/>
          </w:tcPr>
          <w:p w14:paraId="429F37DC" w14:textId="77777777" w:rsidR="00F20C25" w:rsidRPr="00F20C25" w:rsidRDefault="00F20C25" w:rsidP="002652D1">
            <w:pPr>
              <w:jc w:val="center"/>
              <w:rPr>
                <w:b/>
                <w:bCs/>
                <w:sz w:val="20"/>
                <w:szCs w:val="20"/>
              </w:rPr>
            </w:pPr>
            <w:r w:rsidRPr="00F20C25">
              <w:rPr>
                <w:b/>
                <w:bCs/>
                <w:sz w:val="20"/>
                <w:szCs w:val="20"/>
              </w:rPr>
              <w:t>2015.-2018.</w:t>
            </w:r>
          </w:p>
        </w:tc>
        <w:tc>
          <w:tcPr>
            <w:tcW w:w="2131" w:type="dxa"/>
            <w:tcBorders>
              <w:top w:val="nil"/>
              <w:left w:val="single" w:sz="4" w:space="0" w:color="FFFFFF" w:themeColor="background1"/>
              <w:bottom w:val="nil"/>
              <w:right w:val="single" w:sz="8" w:space="0" w:color="D2232A" w:themeColor="accent1"/>
            </w:tcBorders>
            <w:shd w:val="clear" w:color="auto" w:fill="E5E5E5" w:themeFill="text1" w:themeFillTint="33"/>
            <w:vAlign w:val="center"/>
          </w:tcPr>
          <w:p w14:paraId="712EC1AB" w14:textId="77777777" w:rsidR="00F20C25" w:rsidRPr="00F20C25" w:rsidRDefault="00F20C25" w:rsidP="002652D1">
            <w:pPr>
              <w:jc w:val="center"/>
              <w:rPr>
                <w:b/>
                <w:bCs/>
                <w:sz w:val="20"/>
                <w:szCs w:val="20"/>
              </w:rPr>
            </w:pPr>
            <w:r w:rsidRPr="00F20C25">
              <w:rPr>
                <w:b/>
                <w:bCs/>
                <w:sz w:val="20"/>
                <w:szCs w:val="20"/>
              </w:rPr>
              <w:t>2018.</w:t>
            </w:r>
          </w:p>
        </w:tc>
      </w:tr>
      <w:tr w:rsidR="00DF2FCE" w:rsidRPr="00F20C25" w14:paraId="7C2DAB5F" w14:textId="77777777" w:rsidTr="002652D1">
        <w:trPr>
          <w:trHeight w:val="551"/>
        </w:trPr>
        <w:tc>
          <w:tcPr>
            <w:tcW w:w="3036" w:type="dxa"/>
            <w:tcBorders>
              <w:top w:val="nil"/>
              <w:left w:val="single" w:sz="8" w:space="0" w:color="D2232A" w:themeColor="accent1"/>
              <w:bottom w:val="single" w:sz="8" w:space="0" w:color="F3CFC1"/>
              <w:right w:val="single" w:sz="4" w:space="0" w:color="C00000"/>
            </w:tcBorders>
          </w:tcPr>
          <w:p w14:paraId="14871150" w14:textId="77777777" w:rsidR="00F20C25" w:rsidRPr="00F20C25" w:rsidRDefault="00F20C25" w:rsidP="00F20C25">
            <w:pPr>
              <w:jc w:val="left"/>
              <w:rPr>
                <w:sz w:val="20"/>
                <w:szCs w:val="20"/>
              </w:rPr>
            </w:pPr>
            <w:r w:rsidRPr="00F20C25">
              <w:rPr>
                <w:b/>
                <w:bCs/>
                <w:sz w:val="20"/>
                <w:szCs w:val="20"/>
              </w:rPr>
              <w:t>Grad Zagreb i Zagrebačka</w:t>
            </w:r>
            <w:r w:rsidRPr="00F20C25">
              <w:rPr>
                <w:sz w:val="20"/>
                <w:szCs w:val="20"/>
              </w:rPr>
              <w:t xml:space="preserve"> </w:t>
            </w:r>
            <w:r w:rsidRPr="00F20C25">
              <w:rPr>
                <w:b/>
                <w:bCs/>
                <w:sz w:val="20"/>
                <w:szCs w:val="20"/>
              </w:rPr>
              <w:t>županija</w:t>
            </w:r>
          </w:p>
        </w:tc>
        <w:tc>
          <w:tcPr>
            <w:tcW w:w="1532" w:type="dxa"/>
            <w:tcBorders>
              <w:left w:val="single" w:sz="4" w:space="0" w:color="C00000"/>
              <w:bottom w:val="single" w:sz="8" w:space="0" w:color="F3CFC1"/>
              <w:right w:val="nil"/>
            </w:tcBorders>
            <w:vAlign w:val="center"/>
          </w:tcPr>
          <w:p w14:paraId="1CAFF525" w14:textId="77777777" w:rsidR="00F20C25" w:rsidRPr="00F20C25" w:rsidRDefault="00F20C25" w:rsidP="002652D1">
            <w:pPr>
              <w:jc w:val="center"/>
              <w:rPr>
                <w:sz w:val="20"/>
                <w:szCs w:val="20"/>
              </w:rPr>
            </w:pPr>
            <w:r w:rsidRPr="00F20C25">
              <w:rPr>
                <w:sz w:val="20"/>
                <w:szCs w:val="20"/>
              </w:rPr>
              <w:t>227</w:t>
            </w:r>
          </w:p>
        </w:tc>
        <w:tc>
          <w:tcPr>
            <w:tcW w:w="1116" w:type="dxa"/>
            <w:tcBorders>
              <w:top w:val="nil"/>
              <w:left w:val="nil"/>
              <w:bottom w:val="single" w:sz="8" w:space="0" w:color="F3CFC1"/>
              <w:right w:val="single" w:sz="4" w:space="0" w:color="FFFFFF" w:themeColor="background1"/>
            </w:tcBorders>
            <w:vAlign w:val="center"/>
          </w:tcPr>
          <w:p w14:paraId="255C4012" w14:textId="77777777" w:rsidR="00F20C25" w:rsidRPr="00F20C25" w:rsidRDefault="00F20C25" w:rsidP="002652D1">
            <w:pPr>
              <w:jc w:val="center"/>
              <w:rPr>
                <w:sz w:val="20"/>
                <w:szCs w:val="20"/>
              </w:rPr>
            </w:pPr>
            <w:r w:rsidRPr="00F20C25">
              <w:rPr>
                <w:sz w:val="20"/>
                <w:szCs w:val="20"/>
              </w:rPr>
              <w:t>58</w:t>
            </w:r>
          </w:p>
        </w:tc>
        <w:tc>
          <w:tcPr>
            <w:tcW w:w="1069" w:type="dxa"/>
            <w:tcBorders>
              <w:top w:val="nil"/>
              <w:left w:val="single" w:sz="4" w:space="0" w:color="FFFFFF" w:themeColor="background1"/>
              <w:bottom w:val="single" w:sz="8" w:space="0" w:color="F3CFC1"/>
              <w:right w:val="single" w:sz="4" w:space="0" w:color="FFFFFF" w:themeColor="background1"/>
            </w:tcBorders>
            <w:vAlign w:val="center"/>
          </w:tcPr>
          <w:p w14:paraId="5F12ABC8" w14:textId="77777777" w:rsidR="00F20C25" w:rsidRPr="00F20C25" w:rsidRDefault="00F20C25" w:rsidP="002652D1">
            <w:pPr>
              <w:jc w:val="center"/>
              <w:rPr>
                <w:sz w:val="20"/>
                <w:szCs w:val="20"/>
              </w:rPr>
            </w:pPr>
            <w:r w:rsidRPr="00F20C25">
              <w:rPr>
                <w:sz w:val="20"/>
                <w:szCs w:val="20"/>
              </w:rPr>
              <w:t>93</w:t>
            </w:r>
          </w:p>
        </w:tc>
        <w:tc>
          <w:tcPr>
            <w:tcW w:w="1069" w:type="dxa"/>
            <w:tcBorders>
              <w:top w:val="nil"/>
              <w:left w:val="single" w:sz="4" w:space="0" w:color="FFFFFF" w:themeColor="background1"/>
              <w:bottom w:val="single" w:sz="8" w:space="0" w:color="F3CFC1"/>
              <w:right w:val="single" w:sz="8" w:space="0" w:color="D2232A" w:themeColor="accent1"/>
            </w:tcBorders>
            <w:vAlign w:val="center"/>
          </w:tcPr>
          <w:p w14:paraId="6A550F2A" w14:textId="77777777" w:rsidR="00F20C25" w:rsidRPr="00F20C25" w:rsidRDefault="00F20C25" w:rsidP="002652D1">
            <w:pPr>
              <w:jc w:val="center"/>
              <w:rPr>
                <w:sz w:val="20"/>
                <w:szCs w:val="20"/>
              </w:rPr>
            </w:pPr>
            <w:r w:rsidRPr="00F20C25">
              <w:rPr>
                <w:sz w:val="20"/>
                <w:szCs w:val="20"/>
              </w:rPr>
              <w:t>56</w:t>
            </w:r>
          </w:p>
        </w:tc>
        <w:tc>
          <w:tcPr>
            <w:tcW w:w="1382" w:type="dxa"/>
            <w:tcBorders>
              <w:top w:val="nil"/>
              <w:left w:val="single" w:sz="8" w:space="0" w:color="D2232A" w:themeColor="accent1"/>
              <w:bottom w:val="single" w:sz="8" w:space="0" w:color="F3CFC1"/>
              <w:right w:val="nil"/>
            </w:tcBorders>
            <w:vAlign w:val="center"/>
          </w:tcPr>
          <w:p w14:paraId="5C33B398" w14:textId="77777777" w:rsidR="00F20C25" w:rsidRPr="00F20C25" w:rsidRDefault="00F20C25" w:rsidP="002652D1">
            <w:pPr>
              <w:jc w:val="center"/>
              <w:rPr>
                <w:sz w:val="20"/>
                <w:szCs w:val="20"/>
              </w:rPr>
            </w:pPr>
            <w:r w:rsidRPr="00F20C25">
              <w:rPr>
                <w:sz w:val="20"/>
                <w:szCs w:val="20"/>
              </w:rPr>
              <w:t>14</w:t>
            </w:r>
          </w:p>
        </w:tc>
        <w:tc>
          <w:tcPr>
            <w:tcW w:w="992" w:type="dxa"/>
            <w:tcBorders>
              <w:top w:val="nil"/>
              <w:left w:val="nil"/>
              <w:bottom w:val="single" w:sz="8" w:space="0" w:color="F3CFC1"/>
              <w:right w:val="single" w:sz="4" w:space="0" w:color="FFFFFF" w:themeColor="background1"/>
            </w:tcBorders>
            <w:vAlign w:val="center"/>
          </w:tcPr>
          <w:p w14:paraId="467DB94B" w14:textId="77777777" w:rsidR="00F20C25" w:rsidRPr="00F20C25" w:rsidRDefault="00F20C25" w:rsidP="002652D1">
            <w:pPr>
              <w:jc w:val="center"/>
              <w:rPr>
                <w:sz w:val="20"/>
                <w:szCs w:val="20"/>
              </w:rPr>
            </w:pPr>
            <w:r w:rsidRPr="00F20C25">
              <w:rPr>
                <w:sz w:val="20"/>
                <w:szCs w:val="20"/>
              </w:rPr>
              <w:t>3</w:t>
            </w:r>
          </w:p>
        </w:tc>
        <w:tc>
          <w:tcPr>
            <w:tcW w:w="993" w:type="dxa"/>
            <w:tcBorders>
              <w:top w:val="nil"/>
              <w:left w:val="single" w:sz="4" w:space="0" w:color="FFFFFF" w:themeColor="background1"/>
              <w:bottom w:val="single" w:sz="8" w:space="0" w:color="F3CFC1"/>
              <w:right w:val="single" w:sz="4" w:space="0" w:color="FFFFFF" w:themeColor="background1"/>
            </w:tcBorders>
            <w:vAlign w:val="center"/>
          </w:tcPr>
          <w:p w14:paraId="603A3B60" w14:textId="77777777" w:rsidR="00F20C25" w:rsidRPr="00F20C25" w:rsidRDefault="00F20C25" w:rsidP="002652D1">
            <w:pPr>
              <w:jc w:val="center"/>
              <w:rPr>
                <w:sz w:val="20"/>
                <w:szCs w:val="20"/>
              </w:rPr>
            </w:pPr>
            <w:r w:rsidRPr="00F20C25">
              <w:rPr>
                <w:sz w:val="20"/>
                <w:szCs w:val="20"/>
              </w:rPr>
              <w:t>35</w:t>
            </w:r>
          </w:p>
        </w:tc>
        <w:tc>
          <w:tcPr>
            <w:tcW w:w="1134" w:type="dxa"/>
            <w:tcBorders>
              <w:top w:val="nil"/>
              <w:left w:val="single" w:sz="4" w:space="0" w:color="FFFFFF" w:themeColor="background1"/>
              <w:bottom w:val="single" w:sz="8" w:space="0" w:color="F3CFC1"/>
              <w:right w:val="single" w:sz="8" w:space="0" w:color="D2232A" w:themeColor="accent1"/>
            </w:tcBorders>
            <w:vAlign w:val="center"/>
          </w:tcPr>
          <w:p w14:paraId="3504B681" w14:textId="77777777" w:rsidR="00F20C25" w:rsidRPr="00F20C25" w:rsidRDefault="00F20C25" w:rsidP="002652D1">
            <w:pPr>
              <w:jc w:val="center"/>
              <w:rPr>
                <w:sz w:val="20"/>
                <w:szCs w:val="20"/>
              </w:rPr>
            </w:pPr>
            <w:r w:rsidRPr="00F20C25">
              <w:rPr>
                <w:sz w:val="20"/>
                <w:szCs w:val="20"/>
              </w:rPr>
              <w:t>30</w:t>
            </w:r>
          </w:p>
        </w:tc>
        <w:tc>
          <w:tcPr>
            <w:tcW w:w="1559" w:type="dxa"/>
            <w:tcBorders>
              <w:top w:val="nil"/>
              <w:left w:val="single" w:sz="8" w:space="0" w:color="D2232A" w:themeColor="accent1"/>
              <w:bottom w:val="single" w:sz="8" w:space="0" w:color="F3CFC1"/>
              <w:right w:val="nil"/>
            </w:tcBorders>
            <w:vAlign w:val="center"/>
          </w:tcPr>
          <w:p w14:paraId="10DA4A88" w14:textId="77777777" w:rsidR="00F20C25" w:rsidRPr="00F20C25" w:rsidRDefault="00F20C25" w:rsidP="002652D1">
            <w:pPr>
              <w:jc w:val="center"/>
              <w:rPr>
                <w:sz w:val="20"/>
                <w:szCs w:val="20"/>
              </w:rPr>
            </w:pPr>
            <w:r w:rsidRPr="00F20C25">
              <w:rPr>
                <w:sz w:val="20"/>
                <w:szCs w:val="20"/>
              </w:rPr>
              <w:t>93</w:t>
            </w:r>
          </w:p>
        </w:tc>
        <w:tc>
          <w:tcPr>
            <w:tcW w:w="2131" w:type="dxa"/>
            <w:tcBorders>
              <w:top w:val="nil"/>
              <w:left w:val="nil"/>
              <w:bottom w:val="single" w:sz="8" w:space="0" w:color="F3CFC1"/>
              <w:right w:val="single" w:sz="8" w:space="0" w:color="D2232A" w:themeColor="accent1"/>
            </w:tcBorders>
            <w:vAlign w:val="center"/>
          </w:tcPr>
          <w:p w14:paraId="216A0AD1" w14:textId="77777777" w:rsidR="00F20C25" w:rsidRPr="00F20C25" w:rsidRDefault="00F20C25" w:rsidP="002652D1">
            <w:pPr>
              <w:jc w:val="center"/>
              <w:rPr>
                <w:sz w:val="20"/>
                <w:szCs w:val="20"/>
              </w:rPr>
            </w:pPr>
            <w:r w:rsidRPr="00F20C25">
              <w:rPr>
                <w:sz w:val="20"/>
                <w:szCs w:val="20"/>
              </w:rPr>
              <w:t>16</w:t>
            </w:r>
          </w:p>
        </w:tc>
      </w:tr>
      <w:tr w:rsidR="00DF2FCE" w:rsidRPr="00F20C25" w14:paraId="18C7A80A" w14:textId="77777777" w:rsidTr="002652D1">
        <w:trPr>
          <w:trHeight w:val="344"/>
        </w:trPr>
        <w:tc>
          <w:tcPr>
            <w:tcW w:w="3036" w:type="dxa"/>
            <w:tcBorders>
              <w:top w:val="single" w:sz="8" w:space="0" w:color="F3CFC1"/>
              <w:left w:val="single" w:sz="8" w:space="0" w:color="D2232A" w:themeColor="accent1"/>
              <w:bottom w:val="single" w:sz="8" w:space="0" w:color="F3CFC1"/>
              <w:right w:val="single" w:sz="4" w:space="0" w:color="C00000"/>
            </w:tcBorders>
          </w:tcPr>
          <w:p w14:paraId="7F14453B" w14:textId="77777777" w:rsidR="00F20C25" w:rsidRPr="00F20C25" w:rsidRDefault="00F20C25" w:rsidP="00F20C25">
            <w:pPr>
              <w:jc w:val="left"/>
              <w:rPr>
                <w:sz w:val="20"/>
                <w:szCs w:val="20"/>
              </w:rPr>
            </w:pPr>
            <w:r w:rsidRPr="00F20C25">
              <w:rPr>
                <w:b/>
                <w:bCs/>
                <w:sz w:val="20"/>
                <w:szCs w:val="20"/>
              </w:rPr>
              <w:t>Varaždinska</w:t>
            </w:r>
          </w:p>
        </w:tc>
        <w:tc>
          <w:tcPr>
            <w:tcW w:w="1532" w:type="dxa"/>
            <w:tcBorders>
              <w:top w:val="single" w:sz="8" w:space="0" w:color="F3CFC1"/>
              <w:left w:val="single" w:sz="4" w:space="0" w:color="C00000"/>
              <w:bottom w:val="single" w:sz="8" w:space="0" w:color="F3CFC1"/>
              <w:right w:val="nil"/>
            </w:tcBorders>
            <w:vAlign w:val="center"/>
          </w:tcPr>
          <w:p w14:paraId="47B0F406" w14:textId="77777777" w:rsidR="00F20C25" w:rsidRPr="00F20C25" w:rsidRDefault="00F20C25" w:rsidP="002652D1">
            <w:pPr>
              <w:jc w:val="center"/>
              <w:rPr>
                <w:sz w:val="20"/>
                <w:szCs w:val="20"/>
              </w:rPr>
            </w:pPr>
            <w:r w:rsidRPr="00F20C25">
              <w:rPr>
                <w:sz w:val="20"/>
                <w:szCs w:val="20"/>
              </w:rPr>
              <w:t>24</w:t>
            </w:r>
          </w:p>
        </w:tc>
        <w:tc>
          <w:tcPr>
            <w:tcW w:w="1116" w:type="dxa"/>
            <w:tcBorders>
              <w:top w:val="single" w:sz="8" w:space="0" w:color="F3CFC1"/>
              <w:left w:val="nil"/>
              <w:bottom w:val="single" w:sz="8" w:space="0" w:color="F3CFC1"/>
              <w:right w:val="single" w:sz="4" w:space="0" w:color="FFFFFF" w:themeColor="background1"/>
            </w:tcBorders>
            <w:vAlign w:val="center"/>
          </w:tcPr>
          <w:p w14:paraId="6A8E734D" w14:textId="77777777" w:rsidR="00F20C25" w:rsidRPr="00F20C25" w:rsidRDefault="00F20C25" w:rsidP="002652D1">
            <w:pPr>
              <w:jc w:val="center"/>
              <w:rPr>
                <w:sz w:val="20"/>
                <w:szCs w:val="20"/>
              </w:rPr>
            </w:pPr>
            <w:r w:rsidRPr="00F20C25">
              <w:rPr>
                <w:sz w:val="20"/>
                <w:szCs w:val="20"/>
              </w:rPr>
              <w:t>4</w:t>
            </w:r>
          </w:p>
        </w:tc>
        <w:tc>
          <w:tcPr>
            <w:tcW w:w="1069"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75EA4B1A" w14:textId="77777777" w:rsidR="00F20C25" w:rsidRPr="00F20C25" w:rsidRDefault="00F20C25" w:rsidP="002652D1">
            <w:pPr>
              <w:jc w:val="center"/>
              <w:rPr>
                <w:sz w:val="20"/>
                <w:szCs w:val="20"/>
              </w:rPr>
            </w:pPr>
            <w:r w:rsidRPr="00F20C25">
              <w:rPr>
                <w:sz w:val="20"/>
                <w:szCs w:val="20"/>
              </w:rPr>
              <w:t>6</w:t>
            </w:r>
          </w:p>
        </w:tc>
        <w:tc>
          <w:tcPr>
            <w:tcW w:w="1069"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3850277F" w14:textId="77777777" w:rsidR="00F20C25" w:rsidRPr="00F20C25" w:rsidRDefault="00F20C25" w:rsidP="002652D1">
            <w:pPr>
              <w:jc w:val="center"/>
              <w:rPr>
                <w:sz w:val="20"/>
                <w:szCs w:val="20"/>
              </w:rPr>
            </w:pPr>
            <w:r w:rsidRPr="00F20C25">
              <w:rPr>
                <w:sz w:val="20"/>
                <w:szCs w:val="20"/>
              </w:rPr>
              <w:t>4</w:t>
            </w:r>
          </w:p>
        </w:tc>
        <w:tc>
          <w:tcPr>
            <w:tcW w:w="1382" w:type="dxa"/>
            <w:tcBorders>
              <w:top w:val="single" w:sz="8" w:space="0" w:color="F3CFC1"/>
              <w:left w:val="single" w:sz="8" w:space="0" w:color="D2232A" w:themeColor="accent1"/>
              <w:bottom w:val="single" w:sz="8" w:space="0" w:color="F3CFC1"/>
              <w:right w:val="nil"/>
            </w:tcBorders>
            <w:vAlign w:val="center"/>
          </w:tcPr>
          <w:p w14:paraId="76080122" w14:textId="77777777" w:rsidR="00F20C25" w:rsidRPr="00F20C25" w:rsidRDefault="00F20C25" w:rsidP="002652D1">
            <w:pPr>
              <w:jc w:val="center"/>
              <w:rPr>
                <w:sz w:val="20"/>
                <w:szCs w:val="20"/>
              </w:rPr>
            </w:pPr>
            <w:r w:rsidRPr="00F20C25">
              <w:rPr>
                <w:sz w:val="20"/>
                <w:szCs w:val="20"/>
              </w:rPr>
              <w:t>1</w:t>
            </w:r>
          </w:p>
        </w:tc>
        <w:tc>
          <w:tcPr>
            <w:tcW w:w="992" w:type="dxa"/>
            <w:tcBorders>
              <w:top w:val="single" w:sz="8" w:space="0" w:color="F3CFC1"/>
              <w:left w:val="nil"/>
              <w:bottom w:val="single" w:sz="8" w:space="0" w:color="F3CFC1"/>
              <w:right w:val="single" w:sz="4" w:space="0" w:color="FFFFFF" w:themeColor="background1"/>
            </w:tcBorders>
            <w:vAlign w:val="center"/>
          </w:tcPr>
          <w:p w14:paraId="2C2078ED" w14:textId="77777777" w:rsidR="00F20C25" w:rsidRPr="00F20C25" w:rsidRDefault="00F20C25" w:rsidP="002652D1">
            <w:pPr>
              <w:jc w:val="center"/>
              <w:rPr>
                <w:sz w:val="20"/>
                <w:szCs w:val="20"/>
              </w:rPr>
            </w:pPr>
            <w:r w:rsidRPr="00F20C25">
              <w:rPr>
                <w:sz w:val="20"/>
                <w:szCs w:val="20"/>
              </w:rPr>
              <w:t>0</w:t>
            </w:r>
          </w:p>
        </w:tc>
        <w:tc>
          <w:tcPr>
            <w:tcW w:w="993"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74CBF46F" w14:textId="77777777" w:rsidR="00F20C25" w:rsidRPr="00F20C25" w:rsidRDefault="00F20C25" w:rsidP="002652D1">
            <w:pPr>
              <w:jc w:val="center"/>
              <w:rPr>
                <w:sz w:val="20"/>
                <w:szCs w:val="20"/>
              </w:rPr>
            </w:pPr>
            <w:r w:rsidRPr="00F20C25">
              <w:rPr>
                <w:sz w:val="20"/>
                <w:szCs w:val="20"/>
              </w:rPr>
              <w:t>3</w:t>
            </w:r>
          </w:p>
        </w:tc>
        <w:tc>
          <w:tcPr>
            <w:tcW w:w="1134"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4F6D4C72" w14:textId="77777777" w:rsidR="00F20C25" w:rsidRPr="00F20C25" w:rsidRDefault="00F20C25" w:rsidP="002652D1">
            <w:pPr>
              <w:jc w:val="center"/>
              <w:rPr>
                <w:sz w:val="20"/>
                <w:szCs w:val="20"/>
              </w:rPr>
            </w:pPr>
            <w:r w:rsidRPr="00F20C25">
              <w:rPr>
                <w:sz w:val="20"/>
                <w:szCs w:val="20"/>
              </w:rPr>
              <w:t>1</w:t>
            </w:r>
          </w:p>
        </w:tc>
        <w:tc>
          <w:tcPr>
            <w:tcW w:w="1559" w:type="dxa"/>
            <w:tcBorders>
              <w:top w:val="single" w:sz="8" w:space="0" w:color="F3CFC1"/>
              <w:left w:val="single" w:sz="8" w:space="0" w:color="D2232A" w:themeColor="accent1"/>
              <w:bottom w:val="single" w:sz="8" w:space="0" w:color="F3CFC1"/>
              <w:right w:val="nil"/>
            </w:tcBorders>
            <w:vAlign w:val="center"/>
          </w:tcPr>
          <w:p w14:paraId="2F1A90A6" w14:textId="77777777" w:rsidR="00F20C25" w:rsidRPr="00F20C25" w:rsidRDefault="00F20C25" w:rsidP="002652D1">
            <w:pPr>
              <w:jc w:val="center"/>
              <w:rPr>
                <w:sz w:val="20"/>
                <w:szCs w:val="20"/>
              </w:rPr>
            </w:pPr>
            <w:r w:rsidRPr="00F20C25">
              <w:rPr>
                <w:sz w:val="20"/>
                <w:szCs w:val="20"/>
              </w:rPr>
              <w:t>5</w:t>
            </w:r>
          </w:p>
        </w:tc>
        <w:tc>
          <w:tcPr>
            <w:tcW w:w="2131" w:type="dxa"/>
            <w:tcBorders>
              <w:top w:val="single" w:sz="8" w:space="0" w:color="F3CFC1"/>
              <w:left w:val="nil"/>
              <w:bottom w:val="single" w:sz="8" w:space="0" w:color="F3CFC1"/>
              <w:right w:val="single" w:sz="8" w:space="0" w:color="D2232A" w:themeColor="accent1"/>
            </w:tcBorders>
            <w:vAlign w:val="center"/>
          </w:tcPr>
          <w:p w14:paraId="292C04FA" w14:textId="77777777" w:rsidR="00F20C25" w:rsidRPr="00F20C25" w:rsidRDefault="00F20C25" w:rsidP="002652D1">
            <w:pPr>
              <w:jc w:val="center"/>
              <w:rPr>
                <w:sz w:val="20"/>
                <w:szCs w:val="20"/>
              </w:rPr>
            </w:pPr>
            <w:r w:rsidRPr="00F20C25">
              <w:rPr>
                <w:sz w:val="20"/>
                <w:szCs w:val="20"/>
              </w:rPr>
              <w:t>3</w:t>
            </w:r>
          </w:p>
        </w:tc>
      </w:tr>
      <w:tr w:rsidR="00DF2FCE" w:rsidRPr="00F20C25" w14:paraId="0587BD5D" w14:textId="77777777" w:rsidTr="002652D1">
        <w:trPr>
          <w:trHeight w:val="308"/>
        </w:trPr>
        <w:tc>
          <w:tcPr>
            <w:tcW w:w="3036" w:type="dxa"/>
            <w:tcBorders>
              <w:top w:val="single" w:sz="8" w:space="0" w:color="F3CFC1"/>
              <w:left w:val="single" w:sz="8" w:space="0" w:color="D2232A" w:themeColor="accent1"/>
              <w:bottom w:val="single" w:sz="8" w:space="0" w:color="F3CFC1"/>
              <w:right w:val="single" w:sz="4" w:space="0" w:color="C00000"/>
            </w:tcBorders>
          </w:tcPr>
          <w:p w14:paraId="3E864A78" w14:textId="77777777" w:rsidR="00F20C25" w:rsidRPr="00F20C25" w:rsidRDefault="00F20C25" w:rsidP="00F20C25">
            <w:pPr>
              <w:jc w:val="left"/>
              <w:rPr>
                <w:sz w:val="20"/>
                <w:szCs w:val="20"/>
              </w:rPr>
            </w:pPr>
            <w:r w:rsidRPr="00F20C25">
              <w:rPr>
                <w:b/>
                <w:bCs/>
                <w:sz w:val="20"/>
                <w:szCs w:val="20"/>
              </w:rPr>
              <w:t>Međimurska</w:t>
            </w:r>
          </w:p>
        </w:tc>
        <w:tc>
          <w:tcPr>
            <w:tcW w:w="1532" w:type="dxa"/>
            <w:tcBorders>
              <w:top w:val="single" w:sz="8" w:space="0" w:color="F3CFC1"/>
              <w:left w:val="single" w:sz="4" w:space="0" w:color="C00000"/>
              <w:bottom w:val="single" w:sz="8" w:space="0" w:color="F3CFC1"/>
              <w:right w:val="nil"/>
            </w:tcBorders>
            <w:vAlign w:val="center"/>
          </w:tcPr>
          <w:p w14:paraId="40E3B855" w14:textId="77777777" w:rsidR="00F20C25" w:rsidRPr="00F20C25" w:rsidRDefault="00F20C25" w:rsidP="002652D1">
            <w:pPr>
              <w:jc w:val="center"/>
              <w:rPr>
                <w:sz w:val="20"/>
                <w:szCs w:val="20"/>
              </w:rPr>
            </w:pPr>
            <w:r w:rsidRPr="00F20C25">
              <w:rPr>
                <w:sz w:val="20"/>
                <w:szCs w:val="20"/>
              </w:rPr>
              <w:t>24</w:t>
            </w:r>
          </w:p>
        </w:tc>
        <w:tc>
          <w:tcPr>
            <w:tcW w:w="1116" w:type="dxa"/>
            <w:tcBorders>
              <w:top w:val="single" w:sz="8" w:space="0" w:color="F3CFC1"/>
              <w:left w:val="nil"/>
              <w:bottom w:val="single" w:sz="8" w:space="0" w:color="F3CFC1"/>
              <w:right w:val="single" w:sz="4" w:space="0" w:color="FFFFFF" w:themeColor="background1"/>
            </w:tcBorders>
            <w:vAlign w:val="center"/>
          </w:tcPr>
          <w:p w14:paraId="7B236D71" w14:textId="77777777" w:rsidR="00F20C25" w:rsidRPr="00F20C25" w:rsidRDefault="00F20C25" w:rsidP="002652D1">
            <w:pPr>
              <w:jc w:val="center"/>
              <w:rPr>
                <w:sz w:val="20"/>
                <w:szCs w:val="20"/>
              </w:rPr>
            </w:pPr>
            <w:r w:rsidRPr="00F20C25">
              <w:rPr>
                <w:sz w:val="20"/>
                <w:szCs w:val="20"/>
              </w:rPr>
              <w:t>3</w:t>
            </w:r>
          </w:p>
        </w:tc>
        <w:tc>
          <w:tcPr>
            <w:tcW w:w="1069"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192A7CB8" w14:textId="77777777" w:rsidR="00F20C25" w:rsidRPr="00F20C25" w:rsidRDefault="00F20C25" w:rsidP="002652D1">
            <w:pPr>
              <w:jc w:val="center"/>
              <w:rPr>
                <w:sz w:val="20"/>
                <w:szCs w:val="20"/>
              </w:rPr>
            </w:pPr>
            <w:r w:rsidRPr="00F20C25">
              <w:rPr>
                <w:sz w:val="20"/>
                <w:szCs w:val="20"/>
              </w:rPr>
              <w:t>6</w:t>
            </w:r>
          </w:p>
        </w:tc>
        <w:tc>
          <w:tcPr>
            <w:tcW w:w="1069"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0DFF4B48" w14:textId="77777777" w:rsidR="00F20C25" w:rsidRPr="00F20C25" w:rsidRDefault="00F20C25" w:rsidP="002652D1">
            <w:pPr>
              <w:jc w:val="center"/>
              <w:rPr>
                <w:sz w:val="20"/>
                <w:szCs w:val="20"/>
              </w:rPr>
            </w:pPr>
            <w:r w:rsidRPr="00F20C25">
              <w:rPr>
                <w:sz w:val="20"/>
                <w:szCs w:val="20"/>
              </w:rPr>
              <w:t>6</w:t>
            </w:r>
          </w:p>
        </w:tc>
        <w:tc>
          <w:tcPr>
            <w:tcW w:w="1382" w:type="dxa"/>
            <w:tcBorders>
              <w:top w:val="single" w:sz="8" w:space="0" w:color="F3CFC1"/>
              <w:left w:val="single" w:sz="8" w:space="0" w:color="D2232A" w:themeColor="accent1"/>
              <w:bottom w:val="single" w:sz="8" w:space="0" w:color="F3CFC1"/>
              <w:right w:val="nil"/>
            </w:tcBorders>
            <w:vAlign w:val="center"/>
          </w:tcPr>
          <w:p w14:paraId="15F7B19F" w14:textId="77777777" w:rsidR="00F20C25" w:rsidRPr="00F20C25" w:rsidRDefault="00F20C25" w:rsidP="002652D1">
            <w:pPr>
              <w:jc w:val="center"/>
              <w:rPr>
                <w:sz w:val="20"/>
                <w:szCs w:val="20"/>
              </w:rPr>
            </w:pPr>
            <w:r w:rsidRPr="00F20C25">
              <w:rPr>
                <w:sz w:val="20"/>
                <w:szCs w:val="20"/>
              </w:rPr>
              <w:t>2</w:t>
            </w:r>
          </w:p>
        </w:tc>
        <w:tc>
          <w:tcPr>
            <w:tcW w:w="992" w:type="dxa"/>
            <w:tcBorders>
              <w:top w:val="single" w:sz="8" w:space="0" w:color="F3CFC1"/>
              <w:left w:val="nil"/>
              <w:bottom w:val="single" w:sz="8" w:space="0" w:color="F3CFC1"/>
              <w:right w:val="single" w:sz="4" w:space="0" w:color="FFFFFF" w:themeColor="background1"/>
            </w:tcBorders>
            <w:vAlign w:val="center"/>
          </w:tcPr>
          <w:p w14:paraId="5A65D788" w14:textId="77777777" w:rsidR="00F20C25" w:rsidRPr="00F20C25" w:rsidRDefault="00F20C25" w:rsidP="002652D1">
            <w:pPr>
              <w:jc w:val="center"/>
              <w:rPr>
                <w:sz w:val="20"/>
                <w:szCs w:val="20"/>
              </w:rPr>
            </w:pPr>
            <w:r w:rsidRPr="00F20C25">
              <w:rPr>
                <w:sz w:val="20"/>
                <w:szCs w:val="20"/>
              </w:rPr>
              <w:t>0</w:t>
            </w:r>
          </w:p>
        </w:tc>
        <w:tc>
          <w:tcPr>
            <w:tcW w:w="993"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100A7425" w14:textId="77777777" w:rsidR="00F20C25" w:rsidRPr="00F20C25" w:rsidRDefault="00F20C25" w:rsidP="002652D1">
            <w:pPr>
              <w:jc w:val="center"/>
              <w:rPr>
                <w:sz w:val="20"/>
                <w:szCs w:val="20"/>
              </w:rPr>
            </w:pPr>
            <w:r w:rsidRPr="00F20C25">
              <w:rPr>
                <w:sz w:val="20"/>
                <w:szCs w:val="20"/>
              </w:rPr>
              <w:t>6</w:t>
            </w:r>
          </w:p>
        </w:tc>
        <w:tc>
          <w:tcPr>
            <w:tcW w:w="1134"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7C166CF4" w14:textId="77777777" w:rsidR="00F20C25" w:rsidRPr="00F20C25" w:rsidRDefault="00F20C25" w:rsidP="002652D1">
            <w:pPr>
              <w:jc w:val="center"/>
              <w:rPr>
                <w:sz w:val="20"/>
                <w:szCs w:val="20"/>
              </w:rPr>
            </w:pPr>
            <w:r w:rsidRPr="00F20C25">
              <w:rPr>
                <w:sz w:val="20"/>
                <w:szCs w:val="20"/>
              </w:rPr>
              <w:t>4</w:t>
            </w:r>
          </w:p>
        </w:tc>
        <w:tc>
          <w:tcPr>
            <w:tcW w:w="1559" w:type="dxa"/>
            <w:tcBorders>
              <w:top w:val="single" w:sz="8" w:space="0" w:color="F3CFC1"/>
              <w:left w:val="single" w:sz="8" w:space="0" w:color="D2232A" w:themeColor="accent1"/>
              <w:bottom w:val="single" w:sz="8" w:space="0" w:color="F3CFC1"/>
              <w:right w:val="nil"/>
            </w:tcBorders>
            <w:vAlign w:val="center"/>
          </w:tcPr>
          <w:p w14:paraId="035ED1B8" w14:textId="77777777" w:rsidR="00F20C25" w:rsidRPr="00F20C25" w:rsidRDefault="00F20C25" w:rsidP="002652D1">
            <w:pPr>
              <w:jc w:val="center"/>
              <w:rPr>
                <w:sz w:val="20"/>
                <w:szCs w:val="20"/>
              </w:rPr>
            </w:pPr>
            <w:r w:rsidRPr="00F20C25">
              <w:rPr>
                <w:sz w:val="20"/>
                <w:szCs w:val="20"/>
              </w:rPr>
              <w:t>12</w:t>
            </w:r>
          </w:p>
        </w:tc>
        <w:tc>
          <w:tcPr>
            <w:tcW w:w="2131" w:type="dxa"/>
            <w:tcBorders>
              <w:top w:val="single" w:sz="8" w:space="0" w:color="F3CFC1"/>
              <w:left w:val="nil"/>
              <w:bottom w:val="single" w:sz="8" w:space="0" w:color="F3CFC1"/>
              <w:right w:val="single" w:sz="8" w:space="0" w:color="D2232A" w:themeColor="accent1"/>
            </w:tcBorders>
            <w:vAlign w:val="center"/>
          </w:tcPr>
          <w:p w14:paraId="67A023BB" w14:textId="77777777" w:rsidR="00F20C25" w:rsidRPr="00F20C25" w:rsidRDefault="00F20C25" w:rsidP="002652D1">
            <w:pPr>
              <w:jc w:val="center"/>
              <w:rPr>
                <w:sz w:val="20"/>
                <w:szCs w:val="20"/>
              </w:rPr>
            </w:pPr>
            <w:r w:rsidRPr="00F20C25">
              <w:rPr>
                <w:sz w:val="20"/>
                <w:szCs w:val="20"/>
              </w:rPr>
              <w:t>2</w:t>
            </w:r>
          </w:p>
        </w:tc>
      </w:tr>
      <w:tr w:rsidR="00DF2FCE" w:rsidRPr="00F20C25" w14:paraId="6D3E4AAC" w14:textId="77777777" w:rsidTr="002652D1">
        <w:trPr>
          <w:trHeight w:val="344"/>
        </w:trPr>
        <w:tc>
          <w:tcPr>
            <w:tcW w:w="3036" w:type="dxa"/>
            <w:tcBorders>
              <w:top w:val="single" w:sz="8" w:space="0" w:color="F3CFC1"/>
              <w:left w:val="single" w:sz="8" w:space="0" w:color="D2232A" w:themeColor="accent1"/>
              <w:bottom w:val="single" w:sz="8" w:space="0" w:color="F3CFC1"/>
              <w:right w:val="single" w:sz="4" w:space="0" w:color="C00000"/>
            </w:tcBorders>
          </w:tcPr>
          <w:p w14:paraId="43785900" w14:textId="77777777" w:rsidR="00F20C25" w:rsidRPr="00F20C25" w:rsidRDefault="00F20C25" w:rsidP="00F20C25">
            <w:pPr>
              <w:jc w:val="left"/>
              <w:rPr>
                <w:sz w:val="20"/>
                <w:szCs w:val="20"/>
              </w:rPr>
            </w:pPr>
            <w:r w:rsidRPr="00F20C25">
              <w:rPr>
                <w:b/>
                <w:bCs/>
                <w:sz w:val="20"/>
                <w:szCs w:val="20"/>
              </w:rPr>
              <w:t>Koprivničko-križevačka</w:t>
            </w:r>
          </w:p>
        </w:tc>
        <w:tc>
          <w:tcPr>
            <w:tcW w:w="1532" w:type="dxa"/>
            <w:tcBorders>
              <w:top w:val="single" w:sz="8" w:space="0" w:color="F3CFC1"/>
              <w:left w:val="single" w:sz="4" w:space="0" w:color="C00000"/>
              <w:bottom w:val="single" w:sz="8" w:space="0" w:color="F3CFC1"/>
              <w:right w:val="nil"/>
            </w:tcBorders>
            <w:vAlign w:val="center"/>
          </w:tcPr>
          <w:p w14:paraId="7AFB2206" w14:textId="77777777" w:rsidR="00F20C25" w:rsidRPr="00F20C25" w:rsidRDefault="00F20C25" w:rsidP="002652D1">
            <w:pPr>
              <w:jc w:val="center"/>
              <w:rPr>
                <w:sz w:val="20"/>
                <w:szCs w:val="20"/>
              </w:rPr>
            </w:pPr>
            <w:r w:rsidRPr="00F20C25">
              <w:rPr>
                <w:sz w:val="20"/>
                <w:szCs w:val="20"/>
              </w:rPr>
              <w:t>4</w:t>
            </w:r>
          </w:p>
        </w:tc>
        <w:tc>
          <w:tcPr>
            <w:tcW w:w="1116" w:type="dxa"/>
            <w:tcBorders>
              <w:top w:val="single" w:sz="8" w:space="0" w:color="F3CFC1"/>
              <w:left w:val="nil"/>
              <w:bottom w:val="single" w:sz="8" w:space="0" w:color="F3CFC1"/>
              <w:right w:val="single" w:sz="4" w:space="0" w:color="FFFFFF" w:themeColor="background1"/>
            </w:tcBorders>
            <w:vAlign w:val="center"/>
          </w:tcPr>
          <w:p w14:paraId="0F5535E5" w14:textId="77777777" w:rsidR="00F20C25" w:rsidRPr="00F20C25" w:rsidRDefault="00F20C25" w:rsidP="002652D1">
            <w:pPr>
              <w:jc w:val="center"/>
              <w:rPr>
                <w:sz w:val="20"/>
                <w:szCs w:val="20"/>
              </w:rPr>
            </w:pPr>
            <w:r w:rsidRPr="00F20C25">
              <w:rPr>
                <w:sz w:val="20"/>
                <w:szCs w:val="20"/>
              </w:rPr>
              <w:t>0</w:t>
            </w:r>
          </w:p>
        </w:tc>
        <w:tc>
          <w:tcPr>
            <w:tcW w:w="1069"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53015374" w14:textId="77777777" w:rsidR="00F20C25" w:rsidRPr="00F20C25" w:rsidRDefault="00F20C25" w:rsidP="002652D1">
            <w:pPr>
              <w:jc w:val="center"/>
              <w:rPr>
                <w:sz w:val="20"/>
                <w:szCs w:val="20"/>
              </w:rPr>
            </w:pPr>
            <w:r w:rsidRPr="00F20C25">
              <w:rPr>
                <w:sz w:val="20"/>
                <w:szCs w:val="20"/>
              </w:rPr>
              <w:t>2</w:t>
            </w:r>
          </w:p>
        </w:tc>
        <w:tc>
          <w:tcPr>
            <w:tcW w:w="1069"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74EB6AFE" w14:textId="77777777" w:rsidR="00F20C25" w:rsidRPr="00F20C25" w:rsidRDefault="00F20C25" w:rsidP="002652D1">
            <w:pPr>
              <w:jc w:val="center"/>
              <w:rPr>
                <w:sz w:val="20"/>
                <w:szCs w:val="20"/>
              </w:rPr>
            </w:pPr>
            <w:r w:rsidRPr="00F20C25">
              <w:rPr>
                <w:sz w:val="20"/>
                <w:szCs w:val="20"/>
              </w:rPr>
              <w:t>1</w:t>
            </w:r>
          </w:p>
        </w:tc>
        <w:tc>
          <w:tcPr>
            <w:tcW w:w="1382" w:type="dxa"/>
            <w:tcBorders>
              <w:top w:val="single" w:sz="8" w:space="0" w:color="F3CFC1"/>
              <w:left w:val="single" w:sz="8" w:space="0" w:color="D2232A" w:themeColor="accent1"/>
              <w:bottom w:val="single" w:sz="8" w:space="0" w:color="F3CFC1"/>
              <w:right w:val="nil"/>
            </w:tcBorders>
            <w:vAlign w:val="center"/>
          </w:tcPr>
          <w:p w14:paraId="06749B05" w14:textId="77777777" w:rsidR="00F20C25" w:rsidRPr="00F20C25" w:rsidRDefault="00F20C25" w:rsidP="002652D1">
            <w:pPr>
              <w:jc w:val="center"/>
              <w:rPr>
                <w:sz w:val="20"/>
                <w:szCs w:val="20"/>
              </w:rPr>
            </w:pPr>
            <w:r w:rsidRPr="00F20C25">
              <w:rPr>
                <w:sz w:val="20"/>
                <w:szCs w:val="20"/>
              </w:rPr>
              <w:t>0</w:t>
            </w:r>
          </w:p>
        </w:tc>
        <w:tc>
          <w:tcPr>
            <w:tcW w:w="992" w:type="dxa"/>
            <w:tcBorders>
              <w:top w:val="single" w:sz="8" w:space="0" w:color="F3CFC1"/>
              <w:left w:val="nil"/>
              <w:bottom w:val="single" w:sz="8" w:space="0" w:color="F3CFC1"/>
              <w:right w:val="single" w:sz="4" w:space="0" w:color="FFFFFF" w:themeColor="background1"/>
            </w:tcBorders>
            <w:vAlign w:val="center"/>
          </w:tcPr>
          <w:p w14:paraId="426BD553" w14:textId="77777777" w:rsidR="00F20C25" w:rsidRPr="00F20C25" w:rsidRDefault="00F20C25" w:rsidP="002652D1">
            <w:pPr>
              <w:jc w:val="center"/>
              <w:rPr>
                <w:sz w:val="20"/>
                <w:szCs w:val="20"/>
              </w:rPr>
            </w:pPr>
            <w:r w:rsidRPr="00F20C25">
              <w:rPr>
                <w:sz w:val="20"/>
                <w:szCs w:val="20"/>
              </w:rPr>
              <w:t>0</w:t>
            </w:r>
          </w:p>
        </w:tc>
        <w:tc>
          <w:tcPr>
            <w:tcW w:w="993"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3DE3A812" w14:textId="77777777" w:rsidR="00F20C25" w:rsidRPr="00F20C25" w:rsidRDefault="00F20C25" w:rsidP="002652D1">
            <w:pPr>
              <w:jc w:val="center"/>
              <w:rPr>
                <w:sz w:val="20"/>
                <w:szCs w:val="20"/>
              </w:rPr>
            </w:pPr>
            <w:r w:rsidRPr="00F20C25">
              <w:rPr>
                <w:sz w:val="20"/>
                <w:szCs w:val="20"/>
              </w:rPr>
              <w:t>2</w:t>
            </w:r>
          </w:p>
        </w:tc>
        <w:tc>
          <w:tcPr>
            <w:tcW w:w="1134"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61B388FD" w14:textId="77777777" w:rsidR="00F20C25" w:rsidRPr="00F20C25" w:rsidRDefault="00F20C25" w:rsidP="002652D1">
            <w:pPr>
              <w:jc w:val="center"/>
              <w:rPr>
                <w:sz w:val="20"/>
                <w:szCs w:val="20"/>
              </w:rPr>
            </w:pPr>
            <w:r w:rsidRPr="00F20C25">
              <w:rPr>
                <w:sz w:val="20"/>
                <w:szCs w:val="20"/>
              </w:rPr>
              <w:t>1</w:t>
            </w:r>
          </w:p>
        </w:tc>
        <w:tc>
          <w:tcPr>
            <w:tcW w:w="1559" w:type="dxa"/>
            <w:tcBorders>
              <w:top w:val="single" w:sz="8" w:space="0" w:color="F3CFC1"/>
              <w:left w:val="single" w:sz="8" w:space="0" w:color="D2232A" w:themeColor="accent1"/>
              <w:bottom w:val="single" w:sz="8" w:space="0" w:color="F3CFC1"/>
              <w:right w:val="nil"/>
            </w:tcBorders>
            <w:vAlign w:val="center"/>
          </w:tcPr>
          <w:p w14:paraId="3F9B3291" w14:textId="77777777" w:rsidR="00F20C25" w:rsidRPr="00F20C25" w:rsidRDefault="00F20C25" w:rsidP="002652D1">
            <w:pPr>
              <w:jc w:val="center"/>
              <w:rPr>
                <w:sz w:val="20"/>
                <w:szCs w:val="20"/>
              </w:rPr>
            </w:pPr>
            <w:r w:rsidRPr="00F20C25">
              <w:rPr>
                <w:sz w:val="20"/>
                <w:szCs w:val="20"/>
              </w:rPr>
              <w:t>2</w:t>
            </w:r>
          </w:p>
        </w:tc>
        <w:tc>
          <w:tcPr>
            <w:tcW w:w="2131" w:type="dxa"/>
            <w:tcBorders>
              <w:top w:val="single" w:sz="8" w:space="0" w:color="F3CFC1"/>
              <w:left w:val="nil"/>
              <w:bottom w:val="single" w:sz="8" w:space="0" w:color="F3CFC1"/>
              <w:right w:val="single" w:sz="8" w:space="0" w:color="D2232A" w:themeColor="accent1"/>
            </w:tcBorders>
            <w:vAlign w:val="center"/>
          </w:tcPr>
          <w:p w14:paraId="3FEFCAA7" w14:textId="77777777" w:rsidR="00F20C25" w:rsidRPr="00F20C25" w:rsidRDefault="00F20C25" w:rsidP="002652D1">
            <w:pPr>
              <w:jc w:val="center"/>
              <w:rPr>
                <w:sz w:val="20"/>
                <w:szCs w:val="20"/>
              </w:rPr>
            </w:pPr>
            <w:r w:rsidRPr="00F20C25">
              <w:rPr>
                <w:sz w:val="20"/>
                <w:szCs w:val="20"/>
              </w:rPr>
              <w:t>1</w:t>
            </w:r>
          </w:p>
        </w:tc>
      </w:tr>
      <w:tr w:rsidR="00DF2FCE" w:rsidRPr="00F20C25" w14:paraId="217EE27B" w14:textId="77777777" w:rsidTr="002652D1">
        <w:trPr>
          <w:trHeight w:val="326"/>
        </w:trPr>
        <w:tc>
          <w:tcPr>
            <w:tcW w:w="3036" w:type="dxa"/>
            <w:tcBorders>
              <w:top w:val="single" w:sz="8" w:space="0" w:color="F3CFC1"/>
              <w:left w:val="single" w:sz="8" w:space="0" w:color="D2232A" w:themeColor="accent1"/>
              <w:bottom w:val="single" w:sz="8" w:space="0" w:color="F3CFC1"/>
              <w:right w:val="single" w:sz="4" w:space="0" w:color="C00000"/>
            </w:tcBorders>
            <w:shd w:val="clear" w:color="auto" w:fill="D2232A" w:themeFill="accent1"/>
          </w:tcPr>
          <w:p w14:paraId="09C398CE" w14:textId="77777777" w:rsidR="00F20C25" w:rsidRPr="00F20C25" w:rsidRDefault="00F20C25" w:rsidP="00F20C25">
            <w:pPr>
              <w:jc w:val="left"/>
              <w:rPr>
                <w:sz w:val="20"/>
                <w:szCs w:val="20"/>
              </w:rPr>
            </w:pPr>
            <w:r w:rsidRPr="00F20C25">
              <w:rPr>
                <w:b/>
                <w:bCs/>
                <w:color w:val="FFFFFF" w:themeColor="background1"/>
                <w:sz w:val="20"/>
                <w:szCs w:val="20"/>
              </w:rPr>
              <w:t>KZŽ</w:t>
            </w:r>
          </w:p>
        </w:tc>
        <w:tc>
          <w:tcPr>
            <w:tcW w:w="1532" w:type="dxa"/>
            <w:tcBorders>
              <w:top w:val="single" w:sz="8" w:space="0" w:color="F3CFC1"/>
              <w:left w:val="single" w:sz="4" w:space="0" w:color="C00000"/>
              <w:bottom w:val="single" w:sz="8" w:space="0" w:color="F3CFC1"/>
              <w:right w:val="nil"/>
            </w:tcBorders>
            <w:shd w:val="clear" w:color="auto" w:fill="D2232A" w:themeFill="accent1"/>
            <w:vAlign w:val="center"/>
          </w:tcPr>
          <w:p w14:paraId="2FC9D51A" w14:textId="77777777" w:rsidR="00F20C25" w:rsidRPr="00F20C25" w:rsidRDefault="00F20C25" w:rsidP="002652D1">
            <w:pPr>
              <w:jc w:val="center"/>
              <w:rPr>
                <w:sz w:val="20"/>
                <w:szCs w:val="20"/>
              </w:rPr>
            </w:pPr>
            <w:r w:rsidRPr="00F20C25">
              <w:rPr>
                <w:color w:val="FFFFFF" w:themeColor="background1"/>
                <w:sz w:val="20"/>
                <w:szCs w:val="20"/>
              </w:rPr>
              <w:t>6</w:t>
            </w:r>
          </w:p>
        </w:tc>
        <w:tc>
          <w:tcPr>
            <w:tcW w:w="1116" w:type="dxa"/>
            <w:tcBorders>
              <w:top w:val="single" w:sz="8" w:space="0" w:color="F3CFC1"/>
              <w:left w:val="nil"/>
              <w:bottom w:val="single" w:sz="8" w:space="0" w:color="F3CFC1"/>
              <w:right w:val="single" w:sz="8" w:space="0" w:color="D2232A" w:themeColor="accent1"/>
            </w:tcBorders>
            <w:shd w:val="clear" w:color="auto" w:fill="D2232A" w:themeFill="accent1"/>
            <w:vAlign w:val="center"/>
          </w:tcPr>
          <w:p w14:paraId="6D011E1C" w14:textId="77777777" w:rsidR="00F20C25" w:rsidRPr="00F20C25" w:rsidRDefault="00F20C25" w:rsidP="002652D1">
            <w:pPr>
              <w:jc w:val="center"/>
              <w:rPr>
                <w:sz w:val="20"/>
                <w:szCs w:val="20"/>
              </w:rPr>
            </w:pPr>
            <w:r w:rsidRPr="00F20C25">
              <w:rPr>
                <w:color w:val="FFFFFF" w:themeColor="background1"/>
                <w:sz w:val="20"/>
                <w:szCs w:val="20"/>
              </w:rPr>
              <w:t>0</w:t>
            </w:r>
          </w:p>
        </w:tc>
        <w:tc>
          <w:tcPr>
            <w:tcW w:w="1069"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5EED05F1" w14:textId="77777777" w:rsidR="00F20C25" w:rsidRPr="00F20C25" w:rsidRDefault="00F20C25" w:rsidP="002652D1">
            <w:pPr>
              <w:jc w:val="center"/>
              <w:rPr>
                <w:color w:val="FFFFFF" w:themeColor="background1"/>
                <w:sz w:val="20"/>
                <w:szCs w:val="20"/>
              </w:rPr>
            </w:pPr>
            <w:r w:rsidRPr="00F20C25">
              <w:rPr>
                <w:color w:val="FFFFFF" w:themeColor="background1"/>
                <w:sz w:val="20"/>
                <w:szCs w:val="20"/>
              </w:rPr>
              <w:t>1</w:t>
            </w:r>
          </w:p>
        </w:tc>
        <w:tc>
          <w:tcPr>
            <w:tcW w:w="1069"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4609CC70" w14:textId="77777777" w:rsidR="00F20C25" w:rsidRPr="00F20C25" w:rsidRDefault="00F20C25" w:rsidP="002652D1">
            <w:pPr>
              <w:jc w:val="center"/>
              <w:rPr>
                <w:color w:val="FFFFFF" w:themeColor="background1"/>
                <w:sz w:val="20"/>
                <w:szCs w:val="20"/>
              </w:rPr>
            </w:pPr>
            <w:r w:rsidRPr="00F20C25">
              <w:rPr>
                <w:color w:val="FFFFFF" w:themeColor="background1"/>
                <w:sz w:val="20"/>
                <w:szCs w:val="20"/>
              </w:rPr>
              <w:t>2</w:t>
            </w:r>
          </w:p>
        </w:tc>
        <w:tc>
          <w:tcPr>
            <w:tcW w:w="1382" w:type="dxa"/>
            <w:tcBorders>
              <w:top w:val="single" w:sz="8" w:space="0" w:color="F3CFC1"/>
              <w:left w:val="single" w:sz="8" w:space="0" w:color="D2232A" w:themeColor="accent1"/>
              <w:bottom w:val="single" w:sz="8" w:space="0" w:color="F3CFC1"/>
              <w:right w:val="nil"/>
            </w:tcBorders>
            <w:shd w:val="clear" w:color="auto" w:fill="D2232A" w:themeFill="accent1"/>
            <w:vAlign w:val="center"/>
          </w:tcPr>
          <w:p w14:paraId="00F4AF05" w14:textId="77777777" w:rsidR="00F20C25" w:rsidRPr="00F20C25" w:rsidRDefault="00F20C25" w:rsidP="002652D1">
            <w:pPr>
              <w:jc w:val="center"/>
              <w:rPr>
                <w:sz w:val="20"/>
                <w:szCs w:val="20"/>
              </w:rPr>
            </w:pPr>
            <w:r w:rsidRPr="00F20C25">
              <w:rPr>
                <w:color w:val="FFFFFF" w:themeColor="background1"/>
                <w:sz w:val="20"/>
                <w:szCs w:val="20"/>
              </w:rPr>
              <w:t>1</w:t>
            </w:r>
          </w:p>
        </w:tc>
        <w:tc>
          <w:tcPr>
            <w:tcW w:w="992" w:type="dxa"/>
            <w:tcBorders>
              <w:top w:val="single" w:sz="8" w:space="0" w:color="F3CFC1"/>
              <w:left w:val="nil"/>
              <w:bottom w:val="single" w:sz="8" w:space="0" w:color="F3CFC1"/>
              <w:right w:val="single" w:sz="8" w:space="0" w:color="D2232A" w:themeColor="accent1"/>
            </w:tcBorders>
            <w:shd w:val="clear" w:color="auto" w:fill="D2232A" w:themeFill="accent1"/>
            <w:vAlign w:val="center"/>
          </w:tcPr>
          <w:p w14:paraId="45EB0D7C" w14:textId="77777777" w:rsidR="00F20C25" w:rsidRPr="00F20C25" w:rsidRDefault="00F20C25" w:rsidP="002652D1">
            <w:pPr>
              <w:jc w:val="center"/>
              <w:rPr>
                <w:sz w:val="20"/>
                <w:szCs w:val="20"/>
              </w:rPr>
            </w:pPr>
            <w:r w:rsidRPr="00F20C25">
              <w:rPr>
                <w:color w:val="FFFFFF" w:themeColor="background1"/>
                <w:sz w:val="20"/>
                <w:szCs w:val="20"/>
              </w:rPr>
              <w:t>0</w:t>
            </w:r>
          </w:p>
        </w:tc>
        <w:tc>
          <w:tcPr>
            <w:tcW w:w="993"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65713080" w14:textId="77777777" w:rsidR="00F20C25" w:rsidRPr="00F20C25" w:rsidRDefault="00F20C25" w:rsidP="002652D1">
            <w:pPr>
              <w:jc w:val="center"/>
              <w:rPr>
                <w:color w:val="FFFFFF" w:themeColor="background1"/>
                <w:sz w:val="20"/>
                <w:szCs w:val="20"/>
              </w:rPr>
            </w:pPr>
            <w:r w:rsidRPr="00F20C25">
              <w:rPr>
                <w:color w:val="FFFFFF" w:themeColor="background1"/>
                <w:sz w:val="20"/>
                <w:szCs w:val="20"/>
              </w:rPr>
              <w:t>0</w:t>
            </w:r>
          </w:p>
        </w:tc>
        <w:tc>
          <w:tcPr>
            <w:tcW w:w="1134"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425E9DBA" w14:textId="77777777" w:rsidR="00F20C25" w:rsidRPr="00F20C25" w:rsidRDefault="00F20C25" w:rsidP="002652D1">
            <w:pPr>
              <w:jc w:val="center"/>
              <w:rPr>
                <w:color w:val="FFFFFF" w:themeColor="background1"/>
                <w:sz w:val="20"/>
                <w:szCs w:val="20"/>
              </w:rPr>
            </w:pPr>
            <w:r w:rsidRPr="00F20C25">
              <w:rPr>
                <w:color w:val="FFFFFF" w:themeColor="background1"/>
                <w:sz w:val="20"/>
                <w:szCs w:val="20"/>
              </w:rPr>
              <w:t>0</w:t>
            </w:r>
          </w:p>
        </w:tc>
        <w:tc>
          <w:tcPr>
            <w:tcW w:w="1559" w:type="dxa"/>
            <w:tcBorders>
              <w:top w:val="single" w:sz="8" w:space="0" w:color="F3CFC1"/>
              <w:left w:val="single" w:sz="8" w:space="0" w:color="D2232A" w:themeColor="accent1"/>
              <w:bottom w:val="single" w:sz="8" w:space="0" w:color="F3CFC1"/>
              <w:right w:val="nil"/>
            </w:tcBorders>
            <w:shd w:val="clear" w:color="auto" w:fill="D2232A" w:themeFill="accent1"/>
            <w:vAlign w:val="center"/>
          </w:tcPr>
          <w:p w14:paraId="42D5D2BE" w14:textId="77777777" w:rsidR="00F20C25" w:rsidRPr="00F20C25" w:rsidRDefault="00F20C25" w:rsidP="002652D1">
            <w:pPr>
              <w:jc w:val="center"/>
              <w:rPr>
                <w:sz w:val="20"/>
                <w:szCs w:val="20"/>
              </w:rPr>
            </w:pPr>
            <w:r w:rsidRPr="00F20C25">
              <w:rPr>
                <w:color w:val="FFFFFF" w:themeColor="background1"/>
                <w:sz w:val="20"/>
                <w:szCs w:val="20"/>
              </w:rPr>
              <w:t>4</w:t>
            </w:r>
          </w:p>
        </w:tc>
        <w:tc>
          <w:tcPr>
            <w:tcW w:w="2131" w:type="dxa"/>
            <w:tcBorders>
              <w:top w:val="single" w:sz="8" w:space="0" w:color="F3CFC1"/>
              <w:left w:val="nil"/>
              <w:bottom w:val="single" w:sz="8" w:space="0" w:color="F3CFC1"/>
              <w:right w:val="single" w:sz="8" w:space="0" w:color="D2232A" w:themeColor="accent1"/>
            </w:tcBorders>
            <w:shd w:val="clear" w:color="auto" w:fill="D2232A" w:themeFill="accent1"/>
            <w:vAlign w:val="center"/>
          </w:tcPr>
          <w:p w14:paraId="2002ABA0" w14:textId="77777777" w:rsidR="00F20C25" w:rsidRPr="00F20C25" w:rsidRDefault="00F20C25" w:rsidP="002652D1">
            <w:pPr>
              <w:jc w:val="center"/>
              <w:rPr>
                <w:sz w:val="20"/>
                <w:szCs w:val="20"/>
              </w:rPr>
            </w:pPr>
            <w:r w:rsidRPr="00F20C25">
              <w:rPr>
                <w:color w:val="FFFFFF" w:themeColor="background1"/>
                <w:sz w:val="20"/>
                <w:szCs w:val="20"/>
              </w:rPr>
              <w:t>3</w:t>
            </w:r>
          </w:p>
        </w:tc>
      </w:tr>
      <w:tr w:rsidR="00DF2FCE" w:rsidRPr="00F20C25" w14:paraId="69041D7B" w14:textId="77777777" w:rsidTr="002652D1">
        <w:trPr>
          <w:trHeight w:val="527"/>
        </w:trPr>
        <w:tc>
          <w:tcPr>
            <w:tcW w:w="3036" w:type="dxa"/>
            <w:tcBorders>
              <w:top w:val="single" w:sz="8" w:space="0" w:color="F3CFC1"/>
              <w:left w:val="single" w:sz="8" w:space="0" w:color="D2232A" w:themeColor="accent1"/>
              <w:bottom w:val="single" w:sz="8" w:space="0" w:color="F3CFC1"/>
              <w:right w:val="single" w:sz="4" w:space="0" w:color="C00000"/>
            </w:tcBorders>
          </w:tcPr>
          <w:p w14:paraId="1BC35BDB" w14:textId="77777777" w:rsidR="00F20C25" w:rsidRPr="00F20C25" w:rsidRDefault="00F20C25" w:rsidP="00F20C25">
            <w:pPr>
              <w:jc w:val="left"/>
              <w:rPr>
                <w:sz w:val="20"/>
                <w:szCs w:val="20"/>
              </w:rPr>
            </w:pPr>
            <w:r w:rsidRPr="00F20C25">
              <w:rPr>
                <w:b/>
                <w:bCs/>
                <w:sz w:val="20"/>
                <w:szCs w:val="20"/>
              </w:rPr>
              <w:t xml:space="preserve">Sjeverna Hrvatska s Gradom Zagrebom </w:t>
            </w:r>
          </w:p>
        </w:tc>
        <w:tc>
          <w:tcPr>
            <w:tcW w:w="1532" w:type="dxa"/>
            <w:tcBorders>
              <w:top w:val="single" w:sz="8" w:space="0" w:color="F3CFC1"/>
              <w:left w:val="single" w:sz="4" w:space="0" w:color="C00000"/>
              <w:bottom w:val="single" w:sz="8" w:space="0" w:color="F3CFC1"/>
              <w:right w:val="nil"/>
            </w:tcBorders>
            <w:vAlign w:val="center"/>
          </w:tcPr>
          <w:p w14:paraId="30A7ABDD" w14:textId="77777777" w:rsidR="00F20C25" w:rsidRPr="00F20C25" w:rsidRDefault="00F20C25" w:rsidP="002652D1">
            <w:pPr>
              <w:jc w:val="center"/>
              <w:rPr>
                <w:sz w:val="20"/>
                <w:szCs w:val="20"/>
              </w:rPr>
            </w:pPr>
            <w:r w:rsidRPr="00F20C25">
              <w:rPr>
                <w:sz w:val="20"/>
                <w:szCs w:val="20"/>
              </w:rPr>
              <w:t>285</w:t>
            </w:r>
          </w:p>
        </w:tc>
        <w:tc>
          <w:tcPr>
            <w:tcW w:w="1116" w:type="dxa"/>
            <w:tcBorders>
              <w:top w:val="single" w:sz="8" w:space="0" w:color="F3CFC1"/>
              <w:left w:val="nil"/>
              <w:bottom w:val="single" w:sz="8" w:space="0" w:color="F3CFC1"/>
              <w:right w:val="single" w:sz="4" w:space="0" w:color="FFFFFF" w:themeColor="background1"/>
            </w:tcBorders>
            <w:vAlign w:val="center"/>
          </w:tcPr>
          <w:p w14:paraId="2B7905D1" w14:textId="77777777" w:rsidR="00F20C25" w:rsidRPr="00F20C25" w:rsidRDefault="00F20C25" w:rsidP="002652D1">
            <w:pPr>
              <w:jc w:val="center"/>
              <w:rPr>
                <w:sz w:val="20"/>
                <w:szCs w:val="20"/>
              </w:rPr>
            </w:pPr>
            <w:r w:rsidRPr="00F20C25">
              <w:rPr>
                <w:sz w:val="20"/>
                <w:szCs w:val="20"/>
              </w:rPr>
              <w:t>65</w:t>
            </w:r>
          </w:p>
        </w:tc>
        <w:tc>
          <w:tcPr>
            <w:tcW w:w="1069"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5CE0F62B" w14:textId="77777777" w:rsidR="00F20C25" w:rsidRPr="00F20C25" w:rsidRDefault="00F20C25" w:rsidP="002652D1">
            <w:pPr>
              <w:jc w:val="center"/>
              <w:rPr>
                <w:sz w:val="20"/>
                <w:szCs w:val="20"/>
              </w:rPr>
            </w:pPr>
            <w:r w:rsidRPr="00F20C25">
              <w:rPr>
                <w:sz w:val="20"/>
                <w:szCs w:val="20"/>
              </w:rPr>
              <w:t>108</w:t>
            </w:r>
          </w:p>
        </w:tc>
        <w:tc>
          <w:tcPr>
            <w:tcW w:w="1069"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3D50C842" w14:textId="77777777" w:rsidR="00F20C25" w:rsidRPr="00F20C25" w:rsidRDefault="00F20C25" w:rsidP="002652D1">
            <w:pPr>
              <w:jc w:val="center"/>
              <w:rPr>
                <w:sz w:val="20"/>
                <w:szCs w:val="20"/>
              </w:rPr>
            </w:pPr>
            <w:r w:rsidRPr="00F20C25">
              <w:rPr>
                <w:sz w:val="20"/>
                <w:szCs w:val="20"/>
              </w:rPr>
              <w:t>67</w:t>
            </w:r>
          </w:p>
        </w:tc>
        <w:tc>
          <w:tcPr>
            <w:tcW w:w="1382" w:type="dxa"/>
            <w:tcBorders>
              <w:top w:val="single" w:sz="8" w:space="0" w:color="F3CFC1"/>
              <w:left w:val="single" w:sz="8" w:space="0" w:color="D2232A" w:themeColor="accent1"/>
              <w:bottom w:val="single" w:sz="8" w:space="0" w:color="F3CFC1"/>
              <w:right w:val="nil"/>
            </w:tcBorders>
            <w:vAlign w:val="center"/>
          </w:tcPr>
          <w:p w14:paraId="5F1F5062" w14:textId="77777777" w:rsidR="00F20C25" w:rsidRPr="00F20C25" w:rsidRDefault="00F20C25" w:rsidP="002652D1">
            <w:pPr>
              <w:jc w:val="center"/>
              <w:rPr>
                <w:sz w:val="20"/>
                <w:szCs w:val="20"/>
              </w:rPr>
            </w:pPr>
            <w:r w:rsidRPr="00F20C25">
              <w:rPr>
                <w:sz w:val="20"/>
                <w:szCs w:val="20"/>
              </w:rPr>
              <w:t>17</w:t>
            </w:r>
          </w:p>
        </w:tc>
        <w:tc>
          <w:tcPr>
            <w:tcW w:w="992" w:type="dxa"/>
            <w:tcBorders>
              <w:top w:val="single" w:sz="8" w:space="0" w:color="F3CFC1"/>
              <w:left w:val="nil"/>
              <w:bottom w:val="single" w:sz="8" w:space="0" w:color="F3CFC1"/>
              <w:right w:val="single" w:sz="4" w:space="0" w:color="FFFFFF" w:themeColor="background1"/>
            </w:tcBorders>
            <w:vAlign w:val="center"/>
          </w:tcPr>
          <w:p w14:paraId="4F5BB996" w14:textId="77777777" w:rsidR="00F20C25" w:rsidRPr="00F20C25" w:rsidRDefault="00F20C25" w:rsidP="002652D1">
            <w:pPr>
              <w:jc w:val="center"/>
              <w:rPr>
                <w:sz w:val="20"/>
                <w:szCs w:val="20"/>
              </w:rPr>
            </w:pPr>
            <w:r w:rsidRPr="00F20C25">
              <w:rPr>
                <w:sz w:val="20"/>
                <w:szCs w:val="20"/>
              </w:rPr>
              <w:t>3</w:t>
            </w:r>
          </w:p>
        </w:tc>
        <w:tc>
          <w:tcPr>
            <w:tcW w:w="993"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0CEB7E3F" w14:textId="77777777" w:rsidR="00F20C25" w:rsidRPr="00F20C25" w:rsidRDefault="00F20C25" w:rsidP="002652D1">
            <w:pPr>
              <w:jc w:val="center"/>
              <w:rPr>
                <w:sz w:val="20"/>
                <w:szCs w:val="20"/>
              </w:rPr>
            </w:pPr>
            <w:r w:rsidRPr="00F20C25">
              <w:rPr>
                <w:sz w:val="20"/>
                <w:szCs w:val="20"/>
              </w:rPr>
              <w:t>46</w:t>
            </w:r>
          </w:p>
        </w:tc>
        <w:tc>
          <w:tcPr>
            <w:tcW w:w="1134"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4156E6B1" w14:textId="77777777" w:rsidR="00F20C25" w:rsidRPr="00F20C25" w:rsidRDefault="00F20C25" w:rsidP="002652D1">
            <w:pPr>
              <w:jc w:val="center"/>
              <w:rPr>
                <w:sz w:val="20"/>
                <w:szCs w:val="20"/>
              </w:rPr>
            </w:pPr>
            <w:r w:rsidRPr="00F20C25">
              <w:rPr>
                <w:sz w:val="20"/>
                <w:szCs w:val="20"/>
              </w:rPr>
              <w:t>36</w:t>
            </w:r>
          </w:p>
        </w:tc>
        <w:tc>
          <w:tcPr>
            <w:tcW w:w="1559" w:type="dxa"/>
            <w:tcBorders>
              <w:top w:val="single" w:sz="8" w:space="0" w:color="F3CFC1"/>
              <w:left w:val="single" w:sz="8" w:space="0" w:color="D2232A" w:themeColor="accent1"/>
              <w:bottom w:val="single" w:sz="8" w:space="0" w:color="F3CFC1"/>
              <w:right w:val="nil"/>
            </w:tcBorders>
            <w:vAlign w:val="center"/>
          </w:tcPr>
          <w:p w14:paraId="3DDCE9CB" w14:textId="77777777" w:rsidR="00F20C25" w:rsidRPr="00F20C25" w:rsidRDefault="00F20C25" w:rsidP="002652D1">
            <w:pPr>
              <w:jc w:val="center"/>
              <w:rPr>
                <w:sz w:val="20"/>
                <w:szCs w:val="20"/>
              </w:rPr>
            </w:pPr>
            <w:r w:rsidRPr="00F20C25">
              <w:rPr>
                <w:sz w:val="20"/>
                <w:szCs w:val="20"/>
              </w:rPr>
              <w:t>116</w:t>
            </w:r>
          </w:p>
        </w:tc>
        <w:tc>
          <w:tcPr>
            <w:tcW w:w="2131" w:type="dxa"/>
            <w:tcBorders>
              <w:top w:val="single" w:sz="8" w:space="0" w:color="F3CFC1"/>
              <w:left w:val="nil"/>
              <w:bottom w:val="single" w:sz="8" w:space="0" w:color="F3CFC1"/>
              <w:right w:val="single" w:sz="8" w:space="0" w:color="D2232A" w:themeColor="accent1"/>
            </w:tcBorders>
            <w:vAlign w:val="center"/>
          </w:tcPr>
          <w:p w14:paraId="5F01F440" w14:textId="77777777" w:rsidR="00F20C25" w:rsidRPr="00F20C25" w:rsidRDefault="00F20C25" w:rsidP="002652D1">
            <w:pPr>
              <w:jc w:val="center"/>
              <w:rPr>
                <w:sz w:val="20"/>
                <w:szCs w:val="20"/>
              </w:rPr>
            </w:pPr>
            <w:r w:rsidRPr="00F20C25">
              <w:rPr>
                <w:sz w:val="20"/>
                <w:szCs w:val="20"/>
              </w:rPr>
              <w:t>25</w:t>
            </w:r>
          </w:p>
        </w:tc>
      </w:tr>
      <w:tr w:rsidR="00DF2FCE" w:rsidRPr="00F20C25" w14:paraId="1309E8B7" w14:textId="77777777" w:rsidTr="002652D1">
        <w:trPr>
          <w:trHeight w:val="326"/>
        </w:trPr>
        <w:tc>
          <w:tcPr>
            <w:tcW w:w="3036" w:type="dxa"/>
            <w:tcBorders>
              <w:top w:val="single" w:sz="8" w:space="0" w:color="F3CFC1"/>
              <w:left w:val="single" w:sz="8" w:space="0" w:color="D2232A" w:themeColor="accent1"/>
              <w:bottom w:val="nil"/>
              <w:right w:val="single" w:sz="4" w:space="0" w:color="C00000"/>
            </w:tcBorders>
          </w:tcPr>
          <w:p w14:paraId="5DEBD68B" w14:textId="77777777" w:rsidR="00F20C25" w:rsidRPr="00F20C25" w:rsidRDefault="00F20C25" w:rsidP="00F20C25">
            <w:pPr>
              <w:jc w:val="left"/>
              <w:rPr>
                <w:sz w:val="20"/>
                <w:szCs w:val="20"/>
              </w:rPr>
            </w:pPr>
            <w:r w:rsidRPr="00F20C25">
              <w:rPr>
                <w:b/>
                <w:bCs/>
                <w:sz w:val="20"/>
                <w:szCs w:val="20"/>
              </w:rPr>
              <w:t>Republika Hrvatska</w:t>
            </w:r>
          </w:p>
        </w:tc>
        <w:tc>
          <w:tcPr>
            <w:tcW w:w="1532" w:type="dxa"/>
            <w:tcBorders>
              <w:top w:val="single" w:sz="8" w:space="0" w:color="F3CFC1"/>
              <w:left w:val="single" w:sz="4" w:space="0" w:color="C00000"/>
              <w:bottom w:val="nil"/>
              <w:right w:val="nil"/>
            </w:tcBorders>
            <w:vAlign w:val="center"/>
          </w:tcPr>
          <w:p w14:paraId="3B926AB0" w14:textId="77777777" w:rsidR="00F20C25" w:rsidRPr="00F20C25" w:rsidRDefault="00F20C25" w:rsidP="002652D1">
            <w:pPr>
              <w:jc w:val="center"/>
              <w:rPr>
                <w:sz w:val="20"/>
                <w:szCs w:val="20"/>
              </w:rPr>
            </w:pPr>
            <w:r w:rsidRPr="00F20C25">
              <w:rPr>
                <w:sz w:val="20"/>
                <w:szCs w:val="20"/>
              </w:rPr>
              <w:t>575</w:t>
            </w:r>
          </w:p>
        </w:tc>
        <w:tc>
          <w:tcPr>
            <w:tcW w:w="1116" w:type="dxa"/>
            <w:tcBorders>
              <w:top w:val="single" w:sz="8" w:space="0" w:color="F3CFC1"/>
              <w:left w:val="nil"/>
              <w:bottom w:val="nil"/>
              <w:right w:val="single" w:sz="4" w:space="0" w:color="FFFFFF" w:themeColor="background1"/>
            </w:tcBorders>
            <w:vAlign w:val="center"/>
          </w:tcPr>
          <w:p w14:paraId="7B13B3C2" w14:textId="77777777" w:rsidR="00F20C25" w:rsidRPr="00F20C25" w:rsidRDefault="00F20C25" w:rsidP="002652D1">
            <w:pPr>
              <w:jc w:val="center"/>
              <w:rPr>
                <w:sz w:val="20"/>
                <w:szCs w:val="20"/>
              </w:rPr>
            </w:pPr>
            <w:r w:rsidRPr="00F20C25">
              <w:rPr>
                <w:sz w:val="20"/>
                <w:szCs w:val="20"/>
              </w:rPr>
              <w:t>125</w:t>
            </w:r>
          </w:p>
        </w:tc>
        <w:tc>
          <w:tcPr>
            <w:tcW w:w="1069" w:type="dxa"/>
            <w:tcBorders>
              <w:top w:val="single" w:sz="8" w:space="0" w:color="F3CFC1"/>
              <w:left w:val="single" w:sz="4" w:space="0" w:color="FFFFFF" w:themeColor="background1"/>
              <w:bottom w:val="nil"/>
              <w:right w:val="single" w:sz="4" w:space="0" w:color="FFFFFF" w:themeColor="background1"/>
            </w:tcBorders>
            <w:vAlign w:val="center"/>
          </w:tcPr>
          <w:p w14:paraId="3DE400CE" w14:textId="77777777" w:rsidR="00F20C25" w:rsidRPr="00F20C25" w:rsidRDefault="00F20C25" w:rsidP="002652D1">
            <w:pPr>
              <w:jc w:val="center"/>
              <w:rPr>
                <w:sz w:val="20"/>
                <w:szCs w:val="20"/>
              </w:rPr>
            </w:pPr>
            <w:r w:rsidRPr="00F20C25">
              <w:rPr>
                <w:sz w:val="20"/>
                <w:szCs w:val="20"/>
              </w:rPr>
              <w:t>200</w:t>
            </w:r>
          </w:p>
        </w:tc>
        <w:tc>
          <w:tcPr>
            <w:tcW w:w="1069" w:type="dxa"/>
            <w:tcBorders>
              <w:top w:val="single" w:sz="8" w:space="0" w:color="F3CFC1"/>
              <w:left w:val="single" w:sz="4" w:space="0" w:color="FFFFFF" w:themeColor="background1"/>
              <w:bottom w:val="nil"/>
              <w:right w:val="single" w:sz="8" w:space="0" w:color="D2232A" w:themeColor="accent1"/>
            </w:tcBorders>
            <w:vAlign w:val="center"/>
          </w:tcPr>
          <w:p w14:paraId="6EFFA4E4" w14:textId="77777777" w:rsidR="00F20C25" w:rsidRPr="00F20C25" w:rsidRDefault="00F20C25" w:rsidP="002652D1">
            <w:pPr>
              <w:jc w:val="center"/>
              <w:rPr>
                <w:sz w:val="20"/>
                <w:szCs w:val="20"/>
              </w:rPr>
            </w:pPr>
            <w:r w:rsidRPr="00F20C25">
              <w:rPr>
                <w:sz w:val="20"/>
                <w:szCs w:val="20"/>
              </w:rPr>
              <w:t>123</w:t>
            </w:r>
          </w:p>
        </w:tc>
        <w:tc>
          <w:tcPr>
            <w:tcW w:w="1382" w:type="dxa"/>
            <w:tcBorders>
              <w:top w:val="single" w:sz="8" w:space="0" w:color="F3CFC1"/>
              <w:left w:val="single" w:sz="8" w:space="0" w:color="D2232A" w:themeColor="accent1"/>
              <w:bottom w:val="nil"/>
              <w:right w:val="nil"/>
            </w:tcBorders>
            <w:vAlign w:val="center"/>
          </w:tcPr>
          <w:p w14:paraId="6065B8A9" w14:textId="77777777" w:rsidR="00F20C25" w:rsidRPr="00F20C25" w:rsidRDefault="00F20C25" w:rsidP="002652D1">
            <w:pPr>
              <w:jc w:val="center"/>
              <w:rPr>
                <w:sz w:val="20"/>
                <w:szCs w:val="20"/>
              </w:rPr>
            </w:pPr>
            <w:r w:rsidRPr="00F20C25">
              <w:rPr>
                <w:sz w:val="20"/>
                <w:szCs w:val="20"/>
              </w:rPr>
              <w:t>34</w:t>
            </w:r>
          </w:p>
        </w:tc>
        <w:tc>
          <w:tcPr>
            <w:tcW w:w="992" w:type="dxa"/>
            <w:tcBorders>
              <w:top w:val="single" w:sz="8" w:space="0" w:color="F3CFC1"/>
              <w:left w:val="nil"/>
              <w:bottom w:val="nil"/>
              <w:right w:val="single" w:sz="4" w:space="0" w:color="FFFFFF" w:themeColor="background1"/>
            </w:tcBorders>
            <w:vAlign w:val="center"/>
          </w:tcPr>
          <w:p w14:paraId="396A12B9" w14:textId="77777777" w:rsidR="00F20C25" w:rsidRPr="00F20C25" w:rsidRDefault="00F20C25" w:rsidP="002652D1">
            <w:pPr>
              <w:jc w:val="center"/>
              <w:rPr>
                <w:sz w:val="20"/>
                <w:szCs w:val="20"/>
              </w:rPr>
            </w:pPr>
            <w:r w:rsidRPr="00F20C25">
              <w:rPr>
                <w:sz w:val="20"/>
                <w:szCs w:val="20"/>
              </w:rPr>
              <w:t>9</w:t>
            </w:r>
          </w:p>
        </w:tc>
        <w:tc>
          <w:tcPr>
            <w:tcW w:w="993" w:type="dxa"/>
            <w:tcBorders>
              <w:top w:val="single" w:sz="8" w:space="0" w:color="F3CFC1"/>
              <w:left w:val="single" w:sz="4" w:space="0" w:color="FFFFFF" w:themeColor="background1"/>
              <w:bottom w:val="nil"/>
              <w:right w:val="single" w:sz="4" w:space="0" w:color="FFFFFF" w:themeColor="background1"/>
            </w:tcBorders>
            <w:vAlign w:val="center"/>
          </w:tcPr>
          <w:p w14:paraId="355D0931" w14:textId="77777777" w:rsidR="00F20C25" w:rsidRPr="00F20C25" w:rsidRDefault="00F20C25" w:rsidP="002652D1">
            <w:pPr>
              <w:jc w:val="center"/>
              <w:rPr>
                <w:sz w:val="20"/>
                <w:szCs w:val="20"/>
              </w:rPr>
            </w:pPr>
            <w:r w:rsidRPr="00F20C25">
              <w:rPr>
                <w:sz w:val="20"/>
                <w:szCs w:val="20"/>
              </w:rPr>
              <w:t>72</w:t>
            </w:r>
          </w:p>
        </w:tc>
        <w:tc>
          <w:tcPr>
            <w:tcW w:w="1134" w:type="dxa"/>
            <w:tcBorders>
              <w:top w:val="single" w:sz="8" w:space="0" w:color="F3CFC1"/>
              <w:left w:val="single" w:sz="4" w:space="0" w:color="FFFFFF" w:themeColor="background1"/>
              <w:bottom w:val="nil"/>
              <w:right w:val="single" w:sz="8" w:space="0" w:color="D2232A" w:themeColor="accent1"/>
            </w:tcBorders>
            <w:vAlign w:val="center"/>
          </w:tcPr>
          <w:p w14:paraId="4D36694D" w14:textId="77777777" w:rsidR="00F20C25" w:rsidRPr="00F20C25" w:rsidRDefault="00F20C25" w:rsidP="002652D1">
            <w:pPr>
              <w:jc w:val="center"/>
              <w:rPr>
                <w:sz w:val="20"/>
                <w:szCs w:val="20"/>
              </w:rPr>
            </w:pPr>
            <w:r w:rsidRPr="00F20C25">
              <w:rPr>
                <w:sz w:val="20"/>
                <w:szCs w:val="20"/>
              </w:rPr>
              <w:t>62</w:t>
            </w:r>
          </w:p>
        </w:tc>
        <w:tc>
          <w:tcPr>
            <w:tcW w:w="1559" w:type="dxa"/>
            <w:tcBorders>
              <w:top w:val="single" w:sz="8" w:space="0" w:color="F3CFC1"/>
              <w:left w:val="single" w:sz="8" w:space="0" w:color="D2232A" w:themeColor="accent1"/>
              <w:bottom w:val="nil"/>
              <w:right w:val="nil"/>
            </w:tcBorders>
            <w:vAlign w:val="center"/>
          </w:tcPr>
          <w:p w14:paraId="3B729A45" w14:textId="77777777" w:rsidR="00F20C25" w:rsidRPr="00F20C25" w:rsidRDefault="00F20C25" w:rsidP="002652D1">
            <w:pPr>
              <w:jc w:val="center"/>
              <w:rPr>
                <w:sz w:val="20"/>
                <w:szCs w:val="20"/>
              </w:rPr>
            </w:pPr>
            <w:r w:rsidRPr="00F20C25">
              <w:rPr>
                <w:sz w:val="20"/>
                <w:szCs w:val="20"/>
              </w:rPr>
              <w:t>236</w:t>
            </w:r>
          </w:p>
        </w:tc>
        <w:tc>
          <w:tcPr>
            <w:tcW w:w="2131" w:type="dxa"/>
            <w:tcBorders>
              <w:top w:val="single" w:sz="8" w:space="0" w:color="F3CFC1"/>
              <w:left w:val="nil"/>
              <w:bottom w:val="nil"/>
              <w:right w:val="single" w:sz="8" w:space="0" w:color="D2232A" w:themeColor="accent1"/>
            </w:tcBorders>
            <w:vAlign w:val="center"/>
          </w:tcPr>
          <w:p w14:paraId="3695271A" w14:textId="77777777" w:rsidR="00F20C25" w:rsidRPr="00F20C25" w:rsidRDefault="00F20C25" w:rsidP="002652D1">
            <w:pPr>
              <w:jc w:val="center"/>
              <w:rPr>
                <w:sz w:val="20"/>
                <w:szCs w:val="20"/>
              </w:rPr>
            </w:pPr>
            <w:r w:rsidRPr="00F20C25">
              <w:rPr>
                <w:sz w:val="20"/>
                <w:szCs w:val="20"/>
              </w:rPr>
              <w:t>48</w:t>
            </w:r>
          </w:p>
        </w:tc>
      </w:tr>
    </w:tbl>
    <w:p w14:paraId="4845B57C" w14:textId="1B1C3614" w:rsidR="00F20C25" w:rsidRDefault="00F20C25" w:rsidP="00F20C25">
      <w:pPr>
        <w:rPr>
          <w:rFonts w:eastAsia="ArialNarrow" w:cstheme="minorHAnsi"/>
          <w:i/>
          <w:color w:val="ABABAB" w:themeColor="text1" w:themeTint="A6"/>
          <w:sz w:val="20"/>
          <w:szCs w:val="20"/>
        </w:rPr>
      </w:pPr>
      <w:bookmarkStart w:id="161" w:name="_Hlk82502160"/>
      <w:r w:rsidRPr="00DF2FCE">
        <w:rPr>
          <w:rFonts w:eastAsia="ArialNarrow" w:cstheme="minorHAnsi"/>
          <w:i/>
          <w:color w:val="ABABAB" w:themeColor="text1" w:themeTint="A6"/>
          <w:sz w:val="20"/>
          <w:szCs w:val="20"/>
        </w:rPr>
        <w:t>Izvor: Državni zavod za intelektualno vlasništvo, 2021. godina</w:t>
      </w:r>
    </w:p>
    <w:bookmarkEnd w:id="161"/>
    <w:p w14:paraId="2453687F" w14:textId="44EE2803" w:rsidR="00DF2FCE" w:rsidRDefault="00DF2FCE" w:rsidP="00F20C25">
      <w:pPr>
        <w:rPr>
          <w:sz w:val="20"/>
          <w:szCs w:val="20"/>
        </w:rPr>
      </w:pPr>
    </w:p>
    <w:p w14:paraId="7F81CC3C" w14:textId="31850F23" w:rsidR="00DF2FCE" w:rsidRDefault="00DF2FCE" w:rsidP="00F20C25">
      <w:pPr>
        <w:rPr>
          <w:sz w:val="20"/>
          <w:szCs w:val="20"/>
        </w:rPr>
      </w:pPr>
    </w:p>
    <w:p w14:paraId="58A27693" w14:textId="6BABBC77" w:rsidR="00DF2FCE" w:rsidRDefault="00DF2FCE" w:rsidP="00F20C25">
      <w:pPr>
        <w:rPr>
          <w:sz w:val="20"/>
          <w:szCs w:val="20"/>
        </w:rPr>
      </w:pPr>
    </w:p>
    <w:p w14:paraId="366A23FB" w14:textId="20F32CAD" w:rsidR="00DF2FCE" w:rsidRDefault="00DF2FCE" w:rsidP="00F20C25">
      <w:pPr>
        <w:rPr>
          <w:sz w:val="20"/>
          <w:szCs w:val="20"/>
        </w:rPr>
      </w:pPr>
    </w:p>
    <w:p w14:paraId="2C05B02E" w14:textId="7144AB8D" w:rsidR="00DF2FCE" w:rsidRDefault="00DF2FCE" w:rsidP="00F20C25">
      <w:pPr>
        <w:rPr>
          <w:sz w:val="20"/>
          <w:szCs w:val="20"/>
        </w:rPr>
      </w:pPr>
    </w:p>
    <w:p w14:paraId="72762E11" w14:textId="3AD2271B" w:rsidR="00DF2FCE" w:rsidRDefault="00DF2FCE" w:rsidP="00F20C25">
      <w:pPr>
        <w:rPr>
          <w:sz w:val="20"/>
          <w:szCs w:val="20"/>
        </w:rPr>
      </w:pPr>
    </w:p>
    <w:p w14:paraId="2B330410" w14:textId="77777777" w:rsidR="00DF2FCE" w:rsidRPr="00DF2FCE" w:rsidRDefault="00DF2FCE" w:rsidP="00F20C25">
      <w:pPr>
        <w:rPr>
          <w:sz w:val="20"/>
          <w:szCs w:val="20"/>
        </w:rPr>
      </w:pPr>
    </w:p>
    <w:p w14:paraId="59D9FF19" w14:textId="1F2B8D5F" w:rsidR="00DF2FCE" w:rsidRDefault="00DF2FCE" w:rsidP="00DF2FCE">
      <w:pPr>
        <w:pStyle w:val="Opisslike"/>
      </w:pPr>
      <w:r>
        <w:lastRenderedPageBreak/>
        <w:t>Tablica 9</w:t>
      </w:r>
      <w:r w:rsidR="000D5E3F">
        <w:t>8</w:t>
      </w:r>
      <w:r>
        <w:t>. Zaštita industrijskog i intelektualnog vlasništva, Sjeverna Hrvatska i Republika Hrvatska, 2015. – 2020. godina</w:t>
      </w:r>
    </w:p>
    <w:tbl>
      <w:tblPr>
        <w:tblpPr w:leftFromText="180" w:rightFromText="180" w:vertAnchor="text" w:horzAnchor="margin" w:tblpY="41"/>
        <w:tblW w:w="15339" w:type="dxa"/>
        <w:tblLayout w:type="fixed"/>
        <w:tblLook w:val="01E0" w:firstRow="1" w:lastRow="1" w:firstColumn="1" w:lastColumn="1" w:noHBand="0" w:noVBand="0"/>
      </w:tblPr>
      <w:tblGrid>
        <w:gridCol w:w="1520"/>
        <w:gridCol w:w="873"/>
        <w:gridCol w:w="876"/>
        <w:gridCol w:w="742"/>
        <w:gridCol w:w="860"/>
        <w:gridCol w:w="860"/>
        <w:gridCol w:w="860"/>
        <w:gridCol w:w="860"/>
        <w:gridCol w:w="868"/>
        <w:gridCol w:w="860"/>
        <w:gridCol w:w="860"/>
        <w:gridCol w:w="860"/>
        <w:gridCol w:w="967"/>
        <w:gridCol w:w="866"/>
        <w:gridCol w:w="869"/>
        <w:gridCol w:w="868"/>
        <w:gridCol w:w="870"/>
      </w:tblGrid>
      <w:tr w:rsidR="00EC18D8" w:rsidRPr="00DF2FCE" w14:paraId="14A477CD" w14:textId="77777777" w:rsidTr="00C13F1D">
        <w:trPr>
          <w:trHeight w:val="610"/>
        </w:trPr>
        <w:tc>
          <w:tcPr>
            <w:tcW w:w="1520" w:type="dxa"/>
            <w:vMerge w:val="restart"/>
            <w:tcBorders>
              <w:top w:val="nil"/>
              <w:left w:val="single" w:sz="8" w:space="0" w:color="D2232A" w:themeColor="accent1"/>
              <w:bottom w:val="nil"/>
              <w:right w:val="single" w:sz="4" w:space="0" w:color="C00000"/>
            </w:tcBorders>
            <w:shd w:val="clear" w:color="auto" w:fill="D2232A" w:themeFill="accent1"/>
            <w:vAlign w:val="center"/>
          </w:tcPr>
          <w:p w14:paraId="576E57AB" w14:textId="77777777" w:rsidR="00DF2FCE" w:rsidRPr="00DF2FCE" w:rsidRDefault="00DF2FCE" w:rsidP="00DF2FCE">
            <w:pPr>
              <w:jc w:val="center"/>
              <w:rPr>
                <w:color w:val="FFFFFF" w:themeColor="background1"/>
                <w:sz w:val="20"/>
                <w:szCs w:val="20"/>
              </w:rPr>
            </w:pPr>
          </w:p>
          <w:p w14:paraId="3F26321A" w14:textId="77777777" w:rsidR="00DF2FCE" w:rsidRPr="00DF2FCE" w:rsidRDefault="00DF2FCE" w:rsidP="00DF2FCE">
            <w:pPr>
              <w:jc w:val="center"/>
              <w:rPr>
                <w:sz w:val="20"/>
                <w:szCs w:val="20"/>
              </w:rPr>
            </w:pPr>
          </w:p>
          <w:p w14:paraId="375CF2BA" w14:textId="77777777" w:rsidR="00DF2FCE" w:rsidRPr="00DF2FCE" w:rsidRDefault="00DF2FCE" w:rsidP="00DF2FCE">
            <w:pPr>
              <w:jc w:val="center"/>
              <w:rPr>
                <w:sz w:val="20"/>
                <w:szCs w:val="20"/>
              </w:rPr>
            </w:pPr>
            <w:r w:rsidRPr="00DF2FCE">
              <w:rPr>
                <w:b/>
                <w:bCs/>
                <w:color w:val="FFFFFF" w:themeColor="background1"/>
                <w:sz w:val="20"/>
                <w:szCs w:val="20"/>
              </w:rPr>
              <w:t>Županija</w:t>
            </w:r>
          </w:p>
        </w:tc>
        <w:tc>
          <w:tcPr>
            <w:tcW w:w="3351" w:type="dxa"/>
            <w:gridSpan w:val="4"/>
            <w:tcBorders>
              <w:top w:val="nil"/>
              <w:left w:val="single" w:sz="4" w:space="0" w:color="FFFFFF" w:themeColor="background1"/>
              <w:bottom w:val="single" w:sz="4" w:space="0" w:color="FFFFFF" w:themeColor="background1"/>
              <w:right w:val="single" w:sz="4" w:space="0" w:color="FFFFFF" w:themeColor="background1"/>
            </w:tcBorders>
            <w:shd w:val="clear" w:color="auto" w:fill="D2232A" w:themeFill="accent1"/>
            <w:vAlign w:val="center"/>
          </w:tcPr>
          <w:p w14:paraId="03D896E6" w14:textId="77777777" w:rsidR="00DF2FCE" w:rsidRPr="00DF2FCE" w:rsidRDefault="00DF2FCE" w:rsidP="00DF2FCE">
            <w:pPr>
              <w:jc w:val="center"/>
              <w:rPr>
                <w:b/>
                <w:bCs/>
                <w:color w:val="FFFFFF" w:themeColor="background1"/>
                <w:sz w:val="20"/>
                <w:szCs w:val="20"/>
              </w:rPr>
            </w:pPr>
            <w:r w:rsidRPr="00DF2FCE">
              <w:rPr>
                <w:b/>
                <w:bCs/>
                <w:color w:val="FFFFFF" w:themeColor="background1"/>
                <w:sz w:val="20"/>
                <w:szCs w:val="20"/>
              </w:rPr>
              <w:t>Podnesene prijave žigova</w:t>
            </w:r>
          </w:p>
        </w:tc>
        <w:tc>
          <w:tcPr>
            <w:tcW w:w="3448" w:type="dxa"/>
            <w:gridSpan w:val="4"/>
            <w:tcBorders>
              <w:top w:val="nil"/>
              <w:left w:val="single" w:sz="4" w:space="0" w:color="FFFFFF" w:themeColor="background1"/>
              <w:bottom w:val="nil"/>
              <w:right w:val="single" w:sz="4" w:space="0" w:color="FFFFFF" w:themeColor="background1"/>
            </w:tcBorders>
            <w:shd w:val="clear" w:color="auto" w:fill="D2232A" w:themeFill="accent1"/>
            <w:vAlign w:val="center"/>
          </w:tcPr>
          <w:p w14:paraId="2721BA6A" w14:textId="77777777" w:rsidR="00DF2FCE" w:rsidRPr="00DF2FCE" w:rsidRDefault="00DF2FCE" w:rsidP="00DF2FCE">
            <w:pPr>
              <w:jc w:val="center"/>
              <w:rPr>
                <w:b/>
                <w:bCs/>
                <w:color w:val="FFFFFF" w:themeColor="background1"/>
                <w:sz w:val="20"/>
                <w:szCs w:val="20"/>
              </w:rPr>
            </w:pPr>
            <w:r w:rsidRPr="00DF2FCE">
              <w:rPr>
                <w:b/>
                <w:bCs/>
                <w:color w:val="FFFFFF" w:themeColor="background1"/>
                <w:sz w:val="20"/>
                <w:szCs w:val="20"/>
              </w:rPr>
              <w:t>Registrirani žigovi</w:t>
            </w:r>
          </w:p>
        </w:tc>
        <w:tc>
          <w:tcPr>
            <w:tcW w:w="3547" w:type="dxa"/>
            <w:gridSpan w:val="4"/>
            <w:tcBorders>
              <w:top w:val="nil"/>
              <w:left w:val="single" w:sz="4" w:space="0" w:color="FFFFFF" w:themeColor="background1"/>
              <w:bottom w:val="nil"/>
              <w:right w:val="single" w:sz="4" w:space="0" w:color="FFFFFF" w:themeColor="background1"/>
            </w:tcBorders>
            <w:shd w:val="clear" w:color="auto" w:fill="D2232A" w:themeFill="accent1"/>
            <w:vAlign w:val="center"/>
          </w:tcPr>
          <w:p w14:paraId="53F94B93" w14:textId="77777777" w:rsidR="00DF2FCE" w:rsidRPr="00DF2FCE" w:rsidRDefault="00DF2FCE" w:rsidP="00DF2FCE">
            <w:pPr>
              <w:jc w:val="left"/>
              <w:rPr>
                <w:b/>
                <w:bCs/>
                <w:color w:val="FFFFFF" w:themeColor="background1"/>
                <w:sz w:val="20"/>
                <w:szCs w:val="20"/>
              </w:rPr>
            </w:pPr>
            <w:r w:rsidRPr="00DF2FCE">
              <w:rPr>
                <w:b/>
                <w:bCs/>
                <w:color w:val="FFFFFF" w:themeColor="background1"/>
                <w:sz w:val="20"/>
                <w:szCs w:val="20"/>
              </w:rPr>
              <w:t>Prijavljeni industrijski dizajn</w:t>
            </w:r>
          </w:p>
        </w:tc>
        <w:tc>
          <w:tcPr>
            <w:tcW w:w="3473" w:type="dxa"/>
            <w:gridSpan w:val="4"/>
            <w:tcBorders>
              <w:top w:val="nil"/>
              <w:left w:val="single" w:sz="4" w:space="0" w:color="FFFFFF" w:themeColor="background1"/>
              <w:bottom w:val="nil"/>
              <w:right w:val="single" w:sz="8" w:space="0" w:color="D2232A" w:themeColor="accent1"/>
            </w:tcBorders>
            <w:shd w:val="clear" w:color="auto" w:fill="D2232A" w:themeFill="accent1"/>
            <w:vAlign w:val="center"/>
          </w:tcPr>
          <w:p w14:paraId="1DD522CB" w14:textId="77777777" w:rsidR="00DF2FCE" w:rsidRPr="00DF2FCE" w:rsidRDefault="00DF2FCE" w:rsidP="00484F52">
            <w:pPr>
              <w:jc w:val="center"/>
              <w:rPr>
                <w:sz w:val="20"/>
                <w:szCs w:val="20"/>
              </w:rPr>
            </w:pPr>
            <w:r w:rsidRPr="00DF2FCE">
              <w:rPr>
                <w:b/>
                <w:bCs/>
                <w:color w:val="FFFFFF" w:themeColor="background1"/>
                <w:sz w:val="20"/>
                <w:szCs w:val="20"/>
              </w:rPr>
              <w:t>Registrirani industrijski dizajn</w:t>
            </w:r>
          </w:p>
        </w:tc>
      </w:tr>
      <w:tr w:rsidR="00C13F1D" w:rsidRPr="00DF2FCE" w14:paraId="1E2510D9" w14:textId="77777777" w:rsidTr="00AF6F96">
        <w:trPr>
          <w:trHeight w:val="1321"/>
        </w:trPr>
        <w:tc>
          <w:tcPr>
            <w:tcW w:w="1520" w:type="dxa"/>
            <w:vMerge/>
            <w:tcBorders>
              <w:left w:val="single" w:sz="0" w:space="0" w:color="D2232A" w:themeColor="accent1"/>
              <w:right w:val="single" w:sz="4" w:space="0" w:color="C00000"/>
            </w:tcBorders>
            <w:vAlign w:val="center"/>
          </w:tcPr>
          <w:p w14:paraId="0494B3D7" w14:textId="77777777" w:rsidR="00DF2FCE" w:rsidRPr="00DF2FCE" w:rsidRDefault="00DF2FCE" w:rsidP="00DF2FCE">
            <w:pPr>
              <w:rPr>
                <w:sz w:val="20"/>
                <w:szCs w:val="20"/>
              </w:rPr>
            </w:pPr>
          </w:p>
        </w:tc>
        <w:tc>
          <w:tcPr>
            <w:tcW w:w="873" w:type="dxa"/>
            <w:tcBorders>
              <w:top w:val="nil"/>
              <w:left w:val="single" w:sz="8" w:space="0" w:color="D2232A" w:themeColor="accent1"/>
              <w:bottom w:val="nil"/>
              <w:right w:val="single" w:sz="4" w:space="0" w:color="FFFFFF" w:themeColor="background1"/>
            </w:tcBorders>
            <w:shd w:val="clear" w:color="auto" w:fill="E5E5E5" w:themeFill="text1" w:themeFillTint="33"/>
            <w:vAlign w:val="center"/>
          </w:tcPr>
          <w:p w14:paraId="57C3F3B4" w14:textId="77777777" w:rsidR="00DF2FCE" w:rsidRPr="00DF2FCE" w:rsidRDefault="00DF2FCE" w:rsidP="00AF6F96">
            <w:pPr>
              <w:jc w:val="center"/>
              <w:rPr>
                <w:b/>
                <w:bCs/>
                <w:sz w:val="20"/>
                <w:szCs w:val="20"/>
              </w:rPr>
            </w:pPr>
            <w:r w:rsidRPr="00DF2FCE">
              <w:rPr>
                <w:b/>
                <w:bCs/>
                <w:sz w:val="20"/>
                <w:szCs w:val="20"/>
              </w:rPr>
              <w:t>2015.-2018.</w:t>
            </w:r>
          </w:p>
        </w:tc>
        <w:tc>
          <w:tcPr>
            <w:tcW w:w="876" w:type="dxa"/>
            <w:tcBorders>
              <w:top w:val="nil"/>
              <w:left w:val="single" w:sz="4" w:space="0" w:color="FFFFFF" w:themeColor="background1"/>
              <w:bottom w:val="nil"/>
              <w:right w:val="single" w:sz="4" w:space="0" w:color="FFFFFF" w:themeColor="background1"/>
            </w:tcBorders>
            <w:shd w:val="clear" w:color="auto" w:fill="E5E5E5" w:themeFill="text1" w:themeFillTint="33"/>
            <w:vAlign w:val="center"/>
          </w:tcPr>
          <w:p w14:paraId="13692DDD" w14:textId="77777777" w:rsidR="00DF2FCE" w:rsidRPr="00DF2FCE" w:rsidRDefault="00DF2FCE" w:rsidP="00AF6F96">
            <w:pPr>
              <w:jc w:val="center"/>
              <w:rPr>
                <w:b/>
                <w:bCs/>
                <w:sz w:val="20"/>
                <w:szCs w:val="20"/>
              </w:rPr>
            </w:pPr>
            <w:r w:rsidRPr="00DF2FCE">
              <w:rPr>
                <w:b/>
                <w:bCs/>
                <w:sz w:val="20"/>
                <w:szCs w:val="20"/>
              </w:rPr>
              <w:t>2018.</w:t>
            </w:r>
          </w:p>
        </w:tc>
        <w:tc>
          <w:tcPr>
            <w:tcW w:w="742" w:type="dxa"/>
            <w:tcBorders>
              <w:top w:val="nil"/>
              <w:left w:val="single" w:sz="4" w:space="0" w:color="FFFFFF" w:themeColor="background1"/>
              <w:bottom w:val="nil"/>
              <w:right w:val="single" w:sz="4" w:space="0" w:color="FFFFFF" w:themeColor="background1"/>
            </w:tcBorders>
            <w:shd w:val="clear" w:color="auto" w:fill="E5E5E5" w:themeFill="text1" w:themeFillTint="33"/>
            <w:vAlign w:val="center"/>
          </w:tcPr>
          <w:p w14:paraId="45113939" w14:textId="77777777" w:rsidR="00DF2FCE" w:rsidRPr="00DF2FCE" w:rsidRDefault="00DF2FCE" w:rsidP="00AF6F96">
            <w:pPr>
              <w:jc w:val="center"/>
              <w:rPr>
                <w:b/>
                <w:bCs/>
                <w:sz w:val="20"/>
                <w:szCs w:val="20"/>
              </w:rPr>
            </w:pPr>
            <w:r w:rsidRPr="00DF2FCE">
              <w:rPr>
                <w:b/>
                <w:bCs/>
                <w:sz w:val="20"/>
                <w:szCs w:val="20"/>
              </w:rPr>
              <w:t>2019.</w:t>
            </w:r>
          </w:p>
        </w:tc>
        <w:tc>
          <w:tcPr>
            <w:tcW w:w="859" w:type="dxa"/>
            <w:tcBorders>
              <w:top w:val="nil"/>
              <w:left w:val="single" w:sz="4" w:space="0" w:color="FFFFFF" w:themeColor="background1"/>
              <w:bottom w:val="nil"/>
              <w:right w:val="single" w:sz="8" w:space="0" w:color="D2232A" w:themeColor="accent1"/>
            </w:tcBorders>
            <w:shd w:val="clear" w:color="auto" w:fill="E5E5E5" w:themeFill="text1" w:themeFillTint="33"/>
            <w:vAlign w:val="center"/>
          </w:tcPr>
          <w:p w14:paraId="40CD138D" w14:textId="77777777" w:rsidR="00DF2FCE" w:rsidRPr="00DF2FCE" w:rsidRDefault="00DF2FCE" w:rsidP="00AF6F96">
            <w:pPr>
              <w:jc w:val="center"/>
              <w:rPr>
                <w:b/>
                <w:bCs/>
                <w:sz w:val="20"/>
                <w:szCs w:val="20"/>
              </w:rPr>
            </w:pPr>
            <w:r w:rsidRPr="00DF2FCE">
              <w:rPr>
                <w:b/>
                <w:bCs/>
                <w:sz w:val="20"/>
                <w:szCs w:val="20"/>
              </w:rPr>
              <w:t>2020.</w:t>
            </w:r>
          </w:p>
        </w:tc>
        <w:tc>
          <w:tcPr>
            <w:tcW w:w="860" w:type="dxa"/>
            <w:tcBorders>
              <w:top w:val="nil"/>
              <w:left w:val="single" w:sz="8" w:space="0" w:color="D2232A" w:themeColor="accent1"/>
              <w:bottom w:val="nil"/>
              <w:right w:val="single" w:sz="4" w:space="0" w:color="FFFFFF"/>
            </w:tcBorders>
            <w:shd w:val="clear" w:color="auto" w:fill="E5E5E5" w:themeFill="text1" w:themeFillTint="33"/>
            <w:vAlign w:val="center"/>
          </w:tcPr>
          <w:p w14:paraId="1673EBE1" w14:textId="77777777" w:rsidR="00DF2FCE" w:rsidRPr="00DF2FCE" w:rsidRDefault="00DF2FCE" w:rsidP="00AF6F96">
            <w:pPr>
              <w:jc w:val="center"/>
              <w:rPr>
                <w:b/>
                <w:bCs/>
                <w:sz w:val="20"/>
                <w:szCs w:val="20"/>
              </w:rPr>
            </w:pPr>
            <w:r w:rsidRPr="00DF2FCE">
              <w:rPr>
                <w:b/>
                <w:bCs/>
                <w:sz w:val="20"/>
                <w:szCs w:val="20"/>
              </w:rPr>
              <w:t>2015.-2018.</w:t>
            </w:r>
          </w:p>
        </w:tc>
        <w:tc>
          <w:tcPr>
            <w:tcW w:w="860" w:type="dxa"/>
            <w:tcBorders>
              <w:top w:val="nil"/>
              <w:left w:val="single" w:sz="4" w:space="0" w:color="FFFFFF"/>
              <w:bottom w:val="nil"/>
              <w:right w:val="single" w:sz="4" w:space="0" w:color="FFFFFF"/>
            </w:tcBorders>
            <w:shd w:val="clear" w:color="auto" w:fill="E5E5E5" w:themeFill="text1" w:themeFillTint="33"/>
            <w:vAlign w:val="center"/>
          </w:tcPr>
          <w:p w14:paraId="782CE08A" w14:textId="77777777" w:rsidR="00DF2FCE" w:rsidRPr="00DF2FCE" w:rsidRDefault="00DF2FCE" w:rsidP="00AF6F96">
            <w:pPr>
              <w:jc w:val="center"/>
              <w:rPr>
                <w:b/>
                <w:bCs/>
                <w:sz w:val="20"/>
                <w:szCs w:val="20"/>
              </w:rPr>
            </w:pPr>
            <w:r w:rsidRPr="00DF2FCE">
              <w:rPr>
                <w:b/>
                <w:bCs/>
                <w:sz w:val="20"/>
                <w:szCs w:val="20"/>
              </w:rPr>
              <w:t>2018.</w:t>
            </w:r>
          </w:p>
        </w:tc>
        <w:tc>
          <w:tcPr>
            <w:tcW w:w="860" w:type="dxa"/>
            <w:tcBorders>
              <w:top w:val="nil"/>
              <w:left w:val="single" w:sz="4" w:space="0" w:color="FFFFFF"/>
              <w:bottom w:val="nil"/>
              <w:right w:val="single" w:sz="4" w:space="0" w:color="FFFFFF"/>
            </w:tcBorders>
            <w:shd w:val="clear" w:color="auto" w:fill="E5E5E5" w:themeFill="text1" w:themeFillTint="33"/>
            <w:vAlign w:val="center"/>
          </w:tcPr>
          <w:p w14:paraId="6CAF0B1C" w14:textId="77777777" w:rsidR="00DF2FCE" w:rsidRPr="00DF2FCE" w:rsidRDefault="00DF2FCE" w:rsidP="00AF6F96">
            <w:pPr>
              <w:jc w:val="center"/>
              <w:rPr>
                <w:b/>
                <w:bCs/>
                <w:sz w:val="20"/>
                <w:szCs w:val="20"/>
              </w:rPr>
            </w:pPr>
            <w:r w:rsidRPr="00DF2FCE">
              <w:rPr>
                <w:b/>
                <w:bCs/>
                <w:sz w:val="20"/>
                <w:szCs w:val="20"/>
              </w:rPr>
              <w:t>2019.</w:t>
            </w:r>
          </w:p>
        </w:tc>
        <w:tc>
          <w:tcPr>
            <w:tcW w:w="867" w:type="dxa"/>
            <w:tcBorders>
              <w:top w:val="nil"/>
              <w:left w:val="single" w:sz="4" w:space="0" w:color="FFFFFF"/>
              <w:bottom w:val="nil"/>
              <w:right w:val="single" w:sz="8" w:space="0" w:color="D2232A" w:themeColor="accent1"/>
            </w:tcBorders>
            <w:shd w:val="clear" w:color="auto" w:fill="E5E5E5" w:themeFill="text1" w:themeFillTint="33"/>
            <w:vAlign w:val="center"/>
          </w:tcPr>
          <w:p w14:paraId="124A307A" w14:textId="77777777" w:rsidR="00DF2FCE" w:rsidRPr="00DF2FCE" w:rsidRDefault="00DF2FCE" w:rsidP="00AF6F96">
            <w:pPr>
              <w:jc w:val="center"/>
              <w:rPr>
                <w:b/>
                <w:bCs/>
                <w:sz w:val="20"/>
                <w:szCs w:val="20"/>
              </w:rPr>
            </w:pPr>
            <w:r w:rsidRPr="00DF2FCE">
              <w:rPr>
                <w:b/>
                <w:bCs/>
                <w:sz w:val="20"/>
                <w:szCs w:val="20"/>
              </w:rPr>
              <w:t>2020.</w:t>
            </w:r>
          </w:p>
        </w:tc>
        <w:tc>
          <w:tcPr>
            <w:tcW w:w="860" w:type="dxa"/>
            <w:tcBorders>
              <w:top w:val="nil"/>
              <w:left w:val="single" w:sz="8" w:space="0" w:color="D2232A" w:themeColor="accent1"/>
              <w:bottom w:val="nil"/>
              <w:right w:val="single" w:sz="4" w:space="0" w:color="FFFFFF" w:themeColor="background1"/>
            </w:tcBorders>
            <w:shd w:val="clear" w:color="auto" w:fill="E5E5E5" w:themeFill="text1" w:themeFillTint="33"/>
            <w:vAlign w:val="center"/>
          </w:tcPr>
          <w:p w14:paraId="4332832C" w14:textId="77777777" w:rsidR="00DF2FCE" w:rsidRPr="00DF2FCE" w:rsidRDefault="00DF2FCE" w:rsidP="00AF6F96">
            <w:pPr>
              <w:jc w:val="center"/>
              <w:rPr>
                <w:b/>
                <w:bCs/>
                <w:sz w:val="20"/>
                <w:szCs w:val="20"/>
              </w:rPr>
            </w:pPr>
            <w:r w:rsidRPr="00DF2FCE">
              <w:rPr>
                <w:b/>
                <w:bCs/>
                <w:sz w:val="20"/>
                <w:szCs w:val="20"/>
              </w:rPr>
              <w:t>2015.-2018.</w:t>
            </w:r>
          </w:p>
        </w:tc>
        <w:tc>
          <w:tcPr>
            <w:tcW w:w="860" w:type="dxa"/>
            <w:tcBorders>
              <w:top w:val="nil"/>
              <w:left w:val="single" w:sz="4" w:space="0" w:color="FFFFFF" w:themeColor="background1"/>
              <w:bottom w:val="nil"/>
              <w:right w:val="single" w:sz="4" w:space="0" w:color="FFFFFF" w:themeColor="background1"/>
            </w:tcBorders>
            <w:shd w:val="clear" w:color="auto" w:fill="E5E5E5" w:themeFill="text1" w:themeFillTint="33"/>
            <w:vAlign w:val="center"/>
          </w:tcPr>
          <w:p w14:paraId="03DF1A6F" w14:textId="77777777" w:rsidR="00DF2FCE" w:rsidRPr="00DF2FCE" w:rsidRDefault="00DF2FCE" w:rsidP="00AF6F96">
            <w:pPr>
              <w:jc w:val="center"/>
              <w:rPr>
                <w:b/>
                <w:bCs/>
                <w:sz w:val="20"/>
                <w:szCs w:val="20"/>
              </w:rPr>
            </w:pPr>
            <w:r w:rsidRPr="00DF2FCE">
              <w:rPr>
                <w:b/>
                <w:bCs/>
                <w:sz w:val="20"/>
                <w:szCs w:val="20"/>
              </w:rPr>
              <w:t>2018.</w:t>
            </w:r>
          </w:p>
        </w:tc>
        <w:tc>
          <w:tcPr>
            <w:tcW w:w="860" w:type="dxa"/>
            <w:tcBorders>
              <w:top w:val="nil"/>
              <w:left w:val="single" w:sz="4" w:space="0" w:color="FFFFFF" w:themeColor="background1"/>
              <w:bottom w:val="nil"/>
              <w:right w:val="single" w:sz="4" w:space="0" w:color="FFFFFF" w:themeColor="background1"/>
            </w:tcBorders>
            <w:shd w:val="clear" w:color="auto" w:fill="E5E5E5" w:themeFill="text1" w:themeFillTint="33"/>
            <w:vAlign w:val="center"/>
          </w:tcPr>
          <w:p w14:paraId="2105D9EF" w14:textId="77777777" w:rsidR="00DF2FCE" w:rsidRPr="00DF2FCE" w:rsidRDefault="00DF2FCE" w:rsidP="00AF6F96">
            <w:pPr>
              <w:jc w:val="center"/>
              <w:rPr>
                <w:b/>
                <w:bCs/>
                <w:sz w:val="20"/>
                <w:szCs w:val="20"/>
              </w:rPr>
            </w:pPr>
            <w:r w:rsidRPr="00DF2FCE">
              <w:rPr>
                <w:b/>
                <w:bCs/>
                <w:sz w:val="20"/>
                <w:szCs w:val="20"/>
              </w:rPr>
              <w:t>2019.</w:t>
            </w:r>
          </w:p>
        </w:tc>
        <w:tc>
          <w:tcPr>
            <w:tcW w:w="966" w:type="dxa"/>
            <w:tcBorders>
              <w:top w:val="nil"/>
              <w:left w:val="single" w:sz="4" w:space="0" w:color="FFFFFF" w:themeColor="background1"/>
              <w:bottom w:val="nil"/>
              <w:right w:val="single" w:sz="8" w:space="0" w:color="D2232A" w:themeColor="accent1"/>
            </w:tcBorders>
            <w:shd w:val="clear" w:color="auto" w:fill="E5E5E5" w:themeFill="text1" w:themeFillTint="33"/>
            <w:vAlign w:val="center"/>
          </w:tcPr>
          <w:p w14:paraId="788675D8" w14:textId="77777777" w:rsidR="00DF2FCE" w:rsidRPr="00DF2FCE" w:rsidRDefault="00DF2FCE" w:rsidP="00AF6F96">
            <w:pPr>
              <w:jc w:val="center"/>
              <w:rPr>
                <w:b/>
                <w:bCs/>
                <w:sz w:val="20"/>
                <w:szCs w:val="20"/>
              </w:rPr>
            </w:pPr>
            <w:r w:rsidRPr="00DF2FCE">
              <w:rPr>
                <w:b/>
                <w:bCs/>
                <w:sz w:val="20"/>
                <w:szCs w:val="20"/>
              </w:rPr>
              <w:t>2020.</w:t>
            </w:r>
          </w:p>
        </w:tc>
        <w:tc>
          <w:tcPr>
            <w:tcW w:w="866" w:type="dxa"/>
            <w:tcBorders>
              <w:top w:val="nil"/>
              <w:left w:val="single" w:sz="8" w:space="0" w:color="D2232A" w:themeColor="accent1"/>
              <w:bottom w:val="nil"/>
              <w:right w:val="single" w:sz="4" w:space="0" w:color="FFFFFF" w:themeColor="background1"/>
            </w:tcBorders>
            <w:shd w:val="clear" w:color="auto" w:fill="E5E5E5" w:themeFill="text1" w:themeFillTint="33"/>
            <w:vAlign w:val="center"/>
          </w:tcPr>
          <w:p w14:paraId="5963DF5F" w14:textId="77777777" w:rsidR="00DF2FCE" w:rsidRPr="00DF2FCE" w:rsidRDefault="00DF2FCE" w:rsidP="00AF6F96">
            <w:pPr>
              <w:jc w:val="center"/>
              <w:rPr>
                <w:b/>
                <w:bCs/>
                <w:sz w:val="20"/>
                <w:szCs w:val="20"/>
              </w:rPr>
            </w:pPr>
            <w:r w:rsidRPr="00DF2FCE">
              <w:rPr>
                <w:b/>
                <w:bCs/>
                <w:sz w:val="20"/>
                <w:szCs w:val="20"/>
              </w:rPr>
              <w:t>2015.- 2018.</w:t>
            </w:r>
          </w:p>
        </w:tc>
        <w:tc>
          <w:tcPr>
            <w:tcW w:w="869" w:type="dxa"/>
            <w:tcBorders>
              <w:top w:val="nil"/>
              <w:left w:val="single" w:sz="4" w:space="0" w:color="FFFFFF" w:themeColor="background1"/>
              <w:bottom w:val="nil"/>
              <w:right w:val="single" w:sz="4" w:space="0" w:color="FFFFFF" w:themeColor="background1"/>
            </w:tcBorders>
            <w:shd w:val="clear" w:color="auto" w:fill="E5E5E5" w:themeFill="text1" w:themeFillTint="33"/>
            <w:vAlign w:val="center"/>
          </w:tcPr>
          <w:p w14:paraId="677D1BBF" w14:textId="77777777" w:rsidR="00DF2FCE" w:rsidRPr="00DF2FCE" w:rsidRDefault="00DF2FCE" w:rsidP="00AF6F96">
            <w:pPr>
              <w:jc w:val="center"/>
              <w:rPr>
                <w:b/>
                <w:bCs/>
                <w:sz w:val="20"/>
                <w:szCs w:val="20"/>
              </w:rPr>
            </w:pPr>
            <w:r w:rsidRPr="00DF2FCE">
              <w:rPr>
                <w:b/>
                <w:bCs/>
                <w:sz w:val="20"/>
                <w:szCs w:val="20"/>
              </w:rPr>
              <w:t>2018.</w:t>
            </w:r>
          </w:p>
        </w:tc>
        <w:tc>
          <w:tcPr>
            <w:tcW w:w="868" w:type="dxa"/>
            <w:tcBorders>
              <w:top w:val="nil"/>
              <w:left w:val="single" w:sz="4" w:space="0" w:color="FFFFFF" w:themeColor="background1"/>
              <w:bottom w:val="nil"/>
              <w:right w:val="single" w:sz="4" w:space="0" w:color="FFFFFF" w:themeColor="background1"/>
            </w:tcBorders>
            <w:shd w:val="clear" w:color="auto" w:fill="E5E5E5" w:themeFill="text1" w:themeFillTint="33"/>
            <w:vAlign w:val="center"/>
          </w:tcPr>
          <w:p w14:paraId="459E5F3B" w14:textId="77777777" w:rsidR="00DF2FCE" w:rsidRPr="00DF2FCE" w:rsidRDefault="00DF2FCE" w:rsidP="00AF6F96">
            <w:pPr>
              <w:jc w:val="center"/>
              <w:rPr>
                <w:b/>
                <w:bCs/>
                <w:sz w:val="20"/>
                <w:szCs w:val="20"/>
              </w:rPr>
            </w:pPr>
            <w:r>
              <w:rPr>
                <w:b/>
                <w:bCs/>
                <w:sz w:val="20"/>
                <w:szCs w:val="20"/>
              </w:rPr>
              <w:t>2019.</w:t>
            </w:r>
          </w:p>
        </w:tc>
        <w:tc>
          <w:tcPr>
            <w:tcW w:w="869" w:type="dxa"/>
            <w:tcBorders>
              <w:top w:val="nil"/>
              <w:left w:val="single" w:sz="4" w:space="0" w:color="FFFFFF" w:themeColor="background1"/>
              <w:bottom w:val="nil"/>
              <w:right w:val="single" w:sz="8" w:space="0" w:color="D2232A" w:themeColor="accent1"/>
            </w:tcBorders>
            <w:shd w:val="clear" w:color="auto" w:fill="E5E5E5" w:themeFill="text1" w:themeFillTint="33"/>
            <w:vAlign w:val="center"/>
          </w:tcPr>
          <w:p w14:paraId="67B82309" w14:textId="77777777" w:rsidR="00DF2FCE" w:rsidRPr="00DF2FCE" w:rsidRDefault="00DF2FCE" w:rsidP="00AF6F96">
            <w:pPr>
              <w:jc w:val="center"/>
              <w:rPr>
                <w:b/>
                <w:bCs/>
                <w:sz w:val="20"/>
                <w:szCs w:val="20"/>
              </w:rPr>
            </w:pPr>
            <w:r>
              <w:rPr>
                <w:b/>
                <w:bCs/>
                <w:sz w:val="20"/>
                <w:szCs w:val="20"/>
              </w:rPr>
              <w:t>2020.</w:t>
            </w:r>
          </w:p>
        </w:tc>
      </w:tr>
      <w:tr w:rsidR="00C13F1D" w:rsidRPr="00DF2FCE" w14:paraId="0F3A67CF" w14:textId="77777777" w:rsidTr="00AF6F96">
        <w:trPr>
          <w:trHeight w:val="766"/>
        </w:trPr>
        <w:tc>
          <w:tcPr>
            <w:tcW w:w="1520" w:type="dxa"/>
            <w:tcBorders>
              <w:top w:val="nil"/>
              <w:left w:val="single" w:sz="8" w:space="0" w:color="D2232A" w:themeColor="accent1"/>
              <w:bottom w:val="single" w:sz="8" w:space="0" w:color="F3CFC1"/>
              <w:right w:val="single" w:sz="4" w:space="0" w:color="C00000"/>
            </w:tcBorders>
          </w:tcPr>
          <w:p w14:paraId="0F0422FC" w14:textId="77777777" w:rsidR="00DF2FCE" w:rsidRPr="00DF2FCE" w:rsidRDefault="00DF2FCE" w:rsidP="00DF2FCE">
            <w:pPr>
              <w:jc w:val="left"/>
              <w:rPr>
                <w:sz w:val="20"/>
                <w:szCs w:val="20"/>
              </w:rPr>
            </w:pPr>
            <w:r w:rsidRPr="00DF2FCE">
              <w:rPr>
                <w:b/>
                <w:bCs/>
                <w:sz w:val="20"/>
                <w:szCs w:val="20"/>
              </w:rPr>
              <w:t>Grad Zagreb i Zagrebačka</w:t>
            </w:r>
            <w:r w:rsidRPr="00DF2FCE">
              <w:rPr>
                <w:sz w:val="20"/>
                <w:szCs w:val="20"/>
              </w:rPr>
              <w:t xml:space="preserve"> </w:t>
            </w:r>
            <w:r w:rsidRPr="00DF2FCE">
              <w:rPr>
                <w:b/>
                <w:bCs/>
                <w:sz w:val="20"/>
                <w:szCs w:val="20"/>
              </w:rPr>
              <w:t>županija</w:t>
            </w:r>
          </w:p>
        </w:tc>
        <w:tc>
          <w:tcPr>
            <w:tcW w:w="873" w:type="dxa"/>
            <w:tcBorders>
              <w:top w:val="nil"/>
              <w:left w:val="single" w:sz="8" w:space="0" w:color="D2232A" w:themeColor="accent1"/>
              <w:bottom w:val="single" w:sz="8" w:space="0" w:color="F3CFC1"/>
              <w:right w:val="nil"/>
            </w:tcBorders>
            <w:vAlign w:val="center"/>
          </w:tcPr>
          <w:p w14:paraId="2CBEE255" w14:textId="77777777" w:rsidR="00DF2FCE" w:rsidRPr="00DF2FCE" w:rsidRDefault="00DF2FCE" w:rsidP="00AF6F96">
            <w:pPr>
              <w:jc w:val="center"/>
              <w:rPr>
                <w:sz w:val="20"/>
                <w:szCs w:val="20"/>
              </w:rPr>
            </w:pPr>
            <w:r w:rsidRPr="00DF2FCE">
              <w:rPr>
                <w:sz w:val="20"/>
                <w:szCs w:val="20"/>
              </w:rPr>
              <w:t>2956</w:t>
            </w:r>
          </w:p>
        </w:tc>
        <w:tc>
          <w:tcPr>
            <w:tcW w:w="876" w:type="dxa"/>
            <w:tcBorders>
              <w:top w:val="nil"/>
              <w:left w:val="nil"/>
              <w:bottom w:val="single" w:sz="8" w:space="0" w:color="F3CFC1"/>
              <w:right w:val="single" w:sz="4" w:space="0" w:color="FFFFFF" w:themeColor="background1"/>
            </w:tcBorders>
            <w:vAlign w:val="center"/>
          </w:tcPr>
          <w:p w14:paraId="31FDA6FA" w14:textId="77777777" w:rsidR="00DF2FCE" w:rsidRPr="00DF2FCE" w:rsidRDefault="00DF2FCE" w:rsidP="00AF6F96">
            <w:pPr>
              <w:jc w:val="center"/>
              <w:rPr>
                <w:sz w:val="20"/>
                <w:szCs w:val="20"/>
              </w:rPr>
            </w:pPr>
            <w:r w:rsidRPr="00DF2FCE">
              <w:rPr>
                <w:sz w:val="20"/>
                <w:szCs w:val="20"/>
              </w:rPr>
              <w:t>618</w:t>
            </w:r>
          </w:p>
        </w:tc>
        <w:tc>
          <w:tcPr>
            <w:tcW w:w="742" w:type="dxa"/>
            <w:tcBorders>
              <w:top w:val="nil"/>
              <w:left w:val="single" w:sz="4" w:space="0" w:color="FFFFFF" w:themeColor="background1"/>
              <w:bottom w:val="single" w:sz="8" w:space="0" w:color="F3CFC1"/>
              <w:right w:val="single" w:sz="4" w:space="0" w:color="FFFFFF" w:themeColor="background1"/>
            </w:tcBorders>
            <w:vAlign w:val="center"/>
          </w:tcPr>
          <w:p w14:paraId="6AFBA553" w14:textId="77777777" w:rsidR="00DF2FCE" w:rsidRPr="00DF2FCE" w:rsidRDefault="00DF2FCE" w:rsidP="00AF6F96">
            <w:pPr>
              <w:jc w:val="center"/>
              <w:rPr>
                <w:sz w:val="20"/>
                <w:szCs w:val="20"/>
              </w:rPr>
            </w:pPr>
            <w:r w:rsidRPr="00DF2FCE">
              <w:rPr>
                <w:sz w:val="20"/>
                <w:szCs w:val="20"/>
              </w:rPr>
              <w:t>948</w:t>
            </w:r>
          </w:p>
        </w:tc>
        <w:tc>
          <w:tcPr>
            <w:tcW w:w="859" w:type="dxa"/>
            <w:tcBorders>
              <w:top w:val="nil"/>
              <w:left w:val="single" w:sz="4" w:space="0" w:color="FFFFFF" w:themeColor="background1"/>
              <w:bottom w:val="single" w:sz="8" w:space="0" w:color="F3CFC1"/>
              <w:right w:val="single" w:sz="8" w:space="0" w:color="D2232A" w:themeColor="accent1"/>
            </w:tcBorders>
            <w:vAlign w:val="center"/>
          </w:tcPr>
          <w:p w14:paraId="53025F8E" w14:textId="77777777" w:rsidR="00DF2FCE" w:rsidRPr="00DF2FCE" w:rsidRDefault="00DF2FCE" w:rsidP="00AF6F96">
            <w:pPr>
              <w:jc w:val="center"/>
              <w:rPr>
                <w:sz w:val="20"/>
                <w:szCs w:val="20"/>
              </w:rPr>
            </w:pPr>
            <w:r w:rsidRPr="00DF2FCE">
              <w:rPr>
                <w:sz w:val="20"/>
                <w:szCs w:val="20"/>
              </w:rPr>
              <w:t>706</w:t>
            </w:r>
          </w:p>
        </w:tc>
        <w:tc>
          <w:tcPr>
            <w:tcW w:w="860" w:type="dxa"/>
            <w:tcBorders>
              <w:top w:val="nil"/>
              <w:left w:val="single" w:sz="8" w:space="0" w:color="D2232A" w:themeColor="accent1"/>
              <w:bottom w:val="single" w:sz="8" w:space="0" w:color="F3CFC1"/>
              <w:right w:val="single" w:sz="4" w:space="0" w:color="FFFFFF"/>
            </w:tcBorders>
            <w:vAlign w:val="center"/>
          </w:tcPr>
          <w:p w14:paraId="1D18B4E9" w14:textId="77777777" w:rsidR="00DF2FCE" w:rsidRPr="00DF2FCE" w:rsidRDefault="00DF2FCE" w:rsidP="00AF6F96">
            <w:pPr>
              <w:jc w:val="center"/>
              <w:rPr>
                <w:sz w:val="20"/>
                <w:szCs w:val="20"/>
              </w:rPr>
            </w:pPr>
            <w:r w:rsidRPr="00DF2FCE">
              <w:rPr>
                <w:sz w:val="20"/>
                <w:szCs w:val="20"/>
              </w:rPr>
              <w:t>2529</w:t>
            </w:r>
          </w:p>
        </w:tc>
        <w:tc>
          <w:tcPr>
            <w:tcW w:w="860" w:type="dxa"/>
            <w:tcBorders>
              <w:top w:val="nil"/>
              <w:left w:val="single" w:sz="4" w:space="0" w:color="FFFFFF"/>
              <w:bottom w:val="single" w:sz="8" w:space="0" w:color="F3CFC1"/>
              <w:right w:val="single" w:sz="4" w:space="0" w:color="FFFFFF"/>
            </w:tcBorders>
            <w:vAlign w:val="center"/>
          </w:tcPr>
          <w:p w14:paraId="57E11ED1" w14:textId="77777777" w:rsidR="00DF2FCE" w:rsidRPr="00DF2FCE" w:rsidRDefault="00DF2FCE" w:rsidP="00AF6F96">
            <w:pPr>
              <w:jc w:val="center"/>
              <w:rPr>
                <w:sz w:val="20"/>
                <w:szCs w:val="20"/>
              </w:rPr>
            </w:pPr>
            <w:r w:rsidRPr="00DF2FCE">
              <w:rPr>
                <w:sz w:val="20"/>
                <w:szCs w:val="20"/>
              </w:rPr>
              <w:t>552</w:t>
            </w:r>
          </w:p>
        </w:tc>
        <w:tc>
          <w:tcPr>
            <w:tcW w:w="860" w:type="dxa"/>
            <w:tcBorders>
              <w:top w:val="nil"/>
              <w:left w:val="single" w:sz="4" w:space="0" w:color="FFFFFF"/>
              <w:bottom w:val="single" w:sz="8" w:space="0" w:color="F3CFC1"/>
              <w:right w:val="single" w:sz="4" w:space="0" w:color="FFFFFF"/>
            </w:tcBorders>
            <w:vAlign w:val="center"/>
          </w:tcPr>
          <w:p w14:paraId="72681F66" w14:textId="050DCD53" w:rsidR="00DF2FCE" w:rsidRPr="00DF2FCE" w:rsidRDefault="004A23CA" w:rsidP="00AF6F96">
            <w:pPr>
              <w:jc w:val="center"/>
              <w:rPr>
                <w:sz w:val="20"/>
                <w:szCs w:val="20"/>
              </w:rPr>
            </w:pPr>
            <w:r>
              <w:rPr>
                <w:sz w:val="20"/>
                <w:szCs w:val="20"/>
              </w:rPr>
              <w:t>615</w:t>
            </w:r>
          </w:p>
        </w:tc>
        <w:tc>
          <w:tcPr>
            <w:tcW w:w="867" w:type="dxa"/>
            <w:tcBorders>
              <w:top w:val="nil"/>
              <w:left w:val="single" w:sz="4" w:space="0" w:color="FFFFFF"/>
              <w:bottom w:val="single" w:sz="8" w:space="0" w:color="F3CFC1"/>
              <w:right w:val="single" w:sz="8" w:space="0" w:color="D2232A" w:themeColor="accent1"/>
            </w:tcBorders>
            <w:vAlign w:val="center"/>
          </w:tcPr>
          <w:p w14:paraId="1F898657" w14:textId="43227993" w:rsidR="00DF2FCE" w:rsidRPr="00DF2FCE" w:rsidRDefault="004A23CA" w:rsidP="00AF6F96">
            <w:pPr>
              <w:jc w:val="center"/>
              <w:rPr>
                <w:sz w:val="20"/>
                <w:szCs w:val="20"/>
              </w:rPr>
            </w:pPr>
            <w:r>
              <w:rPr>
                <w:sz w:val="20"/>
                <w:szCs w:val="20"/>
              </w:rPr>
              <w:t>659</w:t>
            </w:r>
          </w:p>
        </w:tc>
        <w:tc>
          <w:tcPr>
            <w:tcW w:w="860" w:type="dxa"/>
            <w:tcBorders>
              <w:top w:val="nil"/>
              <w:left w:val="single" w:sz="8" w:space="0" w:color="D2232A" w:themeColor="accent1"/>
              <w:bottom w:val="single" w:sz="8" w:space="0" w:color="F3CFC1"/>
              <w:right w:val="single" w:sz="4" w:space="0" w:color="FFFFFF" w:themeColor="background1"/>
            </w:tcBorders>
            <w:vAlign w:val="center"/>
          </w:tcPr>
          <w:p w14:paraId="79F37BDD" w14:textId="4746BD4C" w:rsidR="00DF2FCE" w:rsidRPr="00DF2FCE" w:rsidRDefault="00764F69" w:rsidP="00AF6F96">
            <w:pPr>
              <w:jc w:val="center"/>
              <w:rPr>
                <w:sz w:val="20"/>
                <w:szCs w:val="20"/>
              </w:rPr>
            </w:pPr>
            <w:r>
              <w:rPr>
                <w:sz w:val="20"/>
                <w:szCs w:val="20"/>
              </w:rPr>
              <w:t>350</w:t>
            </w:r>
          </w:p>
        </w:tc>
        <w:tc>
          <w:tcPr>
            <w:tcW w:w="860" w:type="dxa"/>
            <w:tcBorders>
              <w:top w:val="nil"/>
              <w:left w:val="single" w:sz="4" w:space="0" w:color="FFFFFF" w:themeColor="background1"/>
              <w:bottom w:val="single" w:sz="8" w:space="0" w:color="F3CFC1"/>
              <w:right w:val="single" w:sz="4" w:space="0" w:color="FFFFFF" w:themeColor="background1"/>
            </w:tcBorders>
            <w:vAlign w:val="center"/>
          </w:tcPr>
          <w:p w14:paraId="0CE3B956" w14:textId="16EAACC4" w:rsidR="00DF2FCE" w:rsidRPr="00DF2FCE" w:rsidRDefault="00764F69" w:rsidP="00AF6F96">
            <w:pPr>
              <w:jc w:val="center"/>
              <w:rPr>
                <w:sz w:val="20"/>
                <w:szCs w:val="20"/>
              </w:rPr>
            </w:pPr>
            <w:r>
              <w:rPr>
                <w:sz w:val="20"/>
                <w:szCs w:val="20"/>
              </w:rPr>
              <w:t>71</w:t>
            </w:r>
          </w:p>
        </w:tc>
        <w:tc>
          <w:tcPr>
            <w:tcW w:w="860" w:type="dxa"/>
            <w:tcBorders>
              <w:top w:val="nil"/>
              <w:left w:val="single" w:sz="4" w:space="0" w:color="FFFFFF" w:themeColor="background1"/>
              <w:bottom w:val="single" w:sz="8" w:space="0" w:color="F3CFC1"/>
              <w:right w:val="single" w:sz="4" w:space="0" w:color="FFFFFF" w:themeColor="background1"/>
            </w:tcBorders>
            <w:vAlign w:val="center"/>
          </w:tcPr>
          <w:p w14:paraId="1749C906" w14:textId="3D31E305" w:rsidR="00DF2FCE" w:rsidRPr="00DF2FCE" w:rsidRDefault="00AF6F96" w:rsidP="00AF6F96">
            <w:pPr>
              <w:jc w:val="center"/>
              <w:rPr>
                <w:sz w:val="20"/>
                <w:szCs w:val="20"/>
              </w:rPr>
            </w:pPr>
            <w:r>
              <w:rPr>
                <w:sz w:val="20"/>
                <w:szCs w:val="20"/>
              </w:rPr>
              <w:t>64</w:t>
            </w:r>
          </w:p>
        </w:tc>
        <w:tc>
          <w:tcPr>
            <w:tcW w:w="966" w:type="dxa"/>
            <w:tcBorders>
              <w:top w:val="nil"/>
              <w:left w:val="single" w:sz="4" w:space="0" w:color="FFFFFF" w:themeColor="background1"/>
              <w:bottom w:val="single" w:sz="8" w:space="0" w:color="F3CFC1"/>
              <w:right w:val="single" w:sz="8" w:space="0" w:color="D2232A" w:themeColor="accent1"/>
            </w:tcBorders>
            <w:vAlign w:val="center"/>
          </w:tcPr>
          <w:p w14:paraId="04B1A82D" w14:textId="4F9EE83F" w:rsidR="00DF2FCE" w:rsidRPr="00DF2FCE" w:rsidRDefault="003A6CE8" w:rsidP="00AF6F96">
            <w:pPr>
              <w:jc w:val="center"/>
              <w:rPr>
                <w:sz w:val="20"/>
                <w:szCs w:val="20"/>
              </w:rPr>
            </w:pPr>
            <w:r>
              <w:rPr>
                <w:sz w:val="20"/>
                <w:szCs w:val="20"/>
              </w:rPr>
              <w:t>86</w:t>
            </w:r>
          </w:p>
        </w:tc>
        <w:tc>
          <w:tcPr>
            <w:tcW w:w="866" w:type="dxa"/>
            <w:tcBorders>
              <w:top w:val="nil"/>
              <w:left w:val="single" w:sz="8" w:space="0" w:color="D2232A" w:themeColor="accent1"/>
              <w:bottom w:val="single" w:sz="8" w:space="0" w:color="F3CFC1"/>
              <w:right w:val="nil"/>
            </w:tcBorders>
            <w:vAlign w:val="center"/>
          </w:tcPr>
          <w:p w14:paraId="2E8D7448" w14:textId="77777777" w:rsidR="00DF2FCE" w:rsidRPr="00DF2FCE" w:rsidRDefault="00DF2FCE" w:rsidP="00AF6F96">
            <w:pPr>
              <w:jc w:val="center"/>
              <w:rPr>
                <w:sz w:val="20"/>
                <w:szCs w:val="20"/>
              </w:rPr>
            </w:pPr>
            <w:r w:rsidRPr="00DF2FCE">
              <w:rPr>
                <w:sz w:val="20"/>
                <w:szCs w:val="20"/>
              </w:rPr>
              <w:t>288</w:t>
            </w:r>
          </w:p>
        </w:tc>
        <w:tc>
          <w:tcPr>
            <w:tcW w:w="869" w:type="dxa"/>
            <w:tcBorders>
              <w:top w:val="nil"/>
              <w:left w:val="nil"/>
              <w:bottom w:val="single" w:sz="8" w:space="0" w:color="F3CFC1"/>
              <w:right w:val="single" w:sz="4" w:space="0" w:color="FFFFFF" w:themeColor="background1"/>
            </w:tcBorders>
            <w:vAlign w:val="center"/>
          </w:tcPr>
          <w:p w14:paraId="03B2AEE6" w14:textId="77777777" w:rsidR="00DF2FCE" w:rsidRPr="00DF2FCE" w:rsidRDefault="00DF2FCE" w:rsidP="00AF6F96">
            <w:pPr>
              <w:jc w:val="center"/>
              <w:rPr>
                <w:sz w:val="20"/>
                <w:szCs w:val="20"/>
              </w:rPr>
            </w:pPr>
            <w:r w:rsidRPr="00DF2FCE">
              <w:rPr>
                <w:sz w:val="20"/>
                <w:szCs w:val="20"/>
              </w:rPr>
              <w:t>65</w:t>
            </w:r>
          </w:p>
        </w:tc>
        <w:tc>
          <w:tcPr>
            <w:tcW w:w="868" w:type="dxa"/>
            <w:tcBorders>
              <w:top w:val="nil"/>
              <w:left w:val="single" w:sz="4" w:space="0" w:color="FFFFFF" w:themeColor="background1"/>
              <w:bottom w:val="single" w:sz="8" w:space="0" w:color="F3CFC1"/>
              <w:right w:val="nil"/>
            </w:tcBorders>
            <w:vAlign w:val="center"/>
          </w:tcPr>
          <w:p w14:paraId="78EC5EA1" w14:textId="25332EB3" w:rsidR="00DF2FCE" w:rsidRPr="00DF2FCE" w:rsidRDefault="00242DF3" w:rsidP="00AF6F96">
            <w:pPr>
              <w:jc w:val="center"/>
              <w:rPr>
                <w:sz w:val="20"/>
                <w:szCs w:val="20"/>
              </w:rPr>
            </w:pPr>
            <w:r>
              <w:rPr>
                <w:sz w:val="20"/>
                <w:szCs w:val="20"/>
              </w:rPr>
              <w:t>36</w:t>
            </w:r>
          </w:p>
        </w:tc>
        <w:tc>
          <w:tcPr>
            <w:tcW w:w="869" w:type="dxa"/>
            <w:tcBorders>
              <w:top w:val="nil"/>
              <w:left w:val="nil"/>
              <w:bottom w:val="single" w:sz="8" w:space="0" w:color="F3CFC1"/>
              <w:right w:val="single" w:sz="8" w:space="0" w:color="D2232A" w:themeColor="accent1"/>
            </w:tcBorders>
            <w:vAlign w:val="center"/>
          </w:tcPr>
          <w:p w14:paraId="1EF745B8" w14:textId="3DF36D7D" w:rsidR="00DF2FCE" w:rsidRPr="00DF2FCE" w:rsidRDefault="00242DF3" w:rsidP="00AF6F96">
            <w:pPr>
              <w:jc w:val="center"/>
              <w:rPr>
                <w:sz w:val="20"/>
                <w:szCs w:val="20"/>
              </w:rPr>
            </w:pPr>
            <w:r>
              <w:rPr>
                <w:sz w:val="20"/>
                <w:szCs w:val="20"/>
              </w:rPr>
              <w:t>59</w:t>
            </w:r>
          </w:p>
        </w:tc>
      </w:tr>
      <w:tr w:rsidR="00C13F1D" w:rsidRPr="00DF2FCE" w14:paraId="5C382C2D" w14:textId="77777777" w:rsidTr="00AF6F96">
        <w:trPr>
          <w:trHeight w:val="479"/>
        </w:trPr>
        <w:tc>
          <w:tcPr>
            <w:tcW w:w="1520" w:type="dxa"/>
            <w:tcBorders>
              <w:top w:val="single" w:sz="8" w:space="0" w:color="F3CFC1"/>
              <w:left w:val="single" w:sz="8" w:space="0" w:color="D2232A" w:themeColor="accent1"/>
              <w:bottom w:val="single" w:sz="8" w:space="0" w:color="F3CFC1"/>
              <w:right w:val="single" w:sz="4" w:space="0" w:color="C00000"/>
            </w:tcBorders>
          </w:tcPr>
          <w:p w14:paraId="4EAD1A02" w14:textId="77777777" w:rsidR="00DF2FCE" w:rsidRPr="00DF2FCE" w:rsidRDefault="00DF2FCE" w:rsidP="00DF2FCE">
            <w:pPr>
              <w:jc w:val="left"/>
              <w:rPr>
                <w:sz w:val="20"/>
                <w:szCs w:val="20"/>
              </w:rPr>
            </w:pPr>
            <w:r w:rsidRPr="00DF2FCE">
              <w:rPr>
                <w:b/>
                <w:bCs/>
                <w:sz w:val="20"/>
                <w:szCs w:val="20"/>
              </w:rPr>
              <w:t>Varaždinska</w:t>
            </w:r>
          </w:p>
        </w:tc>
        <w:tc>
          <w:tcPr>
            <w:tcW w:w="873" w:type="dxa"/>
            <w:tcBorders>
              <w:top w:val="single" w:sz="8" w:space="0" w:color="F3CFC1"/>
              <w:left w:val="single" w:sz="8" w:space="0" w:color="D2232A" w:themeColor="accent1"/>
              <w:bottom w:val="single" w:sz="8" w:space="0" w:color="F3CFC1"/>
              <w:right w:val="nil"/>
            </w:tcBorders>
            <w:vAlign w:val="center"/>
          </w:tcPr>
          <w:p w14:paraId="61CBA633" w14:textId="77777777" w:rsidR="00DF2FCE" w:rsidRPr="00DF2FCE" w:rsidRDefault="00DF2FCE" w:rsidP="00AF6F96">
            <w:pPr>
              <w:jc w:val="center"/>
              <w:rPr>
                <w:sz w:val="20"/>
                <w:szCs w:val="20"/>
              </w:rPr>
            </w:pPr>
            <w:r w:rsidRPr="00DF2FCE">
              <w:rPr>
                <w:sz w:val="20"/>
                <w:szCs w:val="20"/>
              </w:rPr>
              <w:t>91</w:t>
            </w:r>
          </w:p>
        </w:tc>
        <w:tc>
          <w:tcPr>
            <w:tcW w:w="876" w:type="dxa"/>
            <w:tcBorders>
              <w:top w:val="single" w:sz="8" w:space="0" w:color="F3CFC1"/>
              <w:left w:val="nil"/>
              <w:bottom w:val="single" w:sz="8" w:space="0" w:color="F3CFC1"/>
              <w:right w:val="single" w:sz="4" w:space="0" w:color="FFFFFF" w:themeColor="background1"/>
            </w:tcBorders>
            <w:vAlign w:val="center"/>
          </w:tcPr>
          <w:p w14:paraId="5CB3ECCF" w14:textId="77777777" w:rsidR="00DF2FCE" w:rsidRPr="00DF2FCE" w:rsidRDefault="00DF2FCE" w:rsidP="00AF6F96">
            <w:pPr>
              <w:jc w:val="center"/>
              <w:rPr>
                <w:sz w:val="20"/>
                <w:szCs w:val="20"/>
              </w:rPr>
            </w:pPr>
            <w:r w:rsidRPr="00DF2FCE">
              <w:rPr>
                <w:sz w:val="20"/>
                <w:szCs w:val="20"/>
              </w:rPr>
              <w:t>24</w:t>
            </w:r>
          </w:p>
        </w:tc>
        <w:tc>
          <w:tcPr>
            <w:tcW w:w="742"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7D90ABD2" w14:textId="77777777" w:rsidR="00DF2FCE" w:rsidRPr="00DF2FCE" w:rsidRDefault="00DF2FCE" w:rsidP="00AF6F96">
            <w:pPr>
              <w:jc w:val="center"/>
              <w:rPr>
                <w:sz w:val="20"/>
                <w:szCs w:val="20"/>
              </w:rPr>
            </w:pPr>
            <w:r w:rsidRPr="00DF2FCE">
              <w:rPr>
                <w:sz w:val="20"/>
                <w:szCs w:val="20"/>
              </w:rPr>
              <w:t>28</w:t>
            </w:r>
          </w:p>
        </w:tc>
        <w:tc>
          <w:tcPr>
            <w:tcW w:w="859"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321C8356" w14:textId="77777777" w:rsidR="00DF2FCE" w:rsidRPr="00DF2FCE" w:rsidRDefault="00DF2FCE" w:rsidP="00AF6F96">
            <w:pPr>
              <w:jc w:val="center"/>
              <w:rPr>
                <w:sz w:val="20"/>
                <w:szCs w:val="20"/>
              </w:rPr>
            </w:pPr>
            <w:r w:rsidRPr="00DF2FCE">
              <w:rPr>
                <w:sz w:val="20"/>
                <w:szCs w:val="20"/>
              </w:rPr>
              <w:t>12</w:t>
            </w:r>
          </w:p>
        </w:tc>
        <w:tc>
          <w:tcPr>
            <w:tcW w:w="860" w:type="dxa"/>
            <w:tcBorders>
              <w:top w:val="single" w:sz="8" w:space="0" w:color="F3CFC1"/>
              <w:left w:val="single" w:sz="8" w:space="0" w:color="D2232A" w:themeColor="accent1"/>
              <w:bottom w:val="single" w:sz="8" w:space="0" w:color="F3CFC1"/>
              <w:right w:val="single" w:sz="4" w:space="0" w:color="FFFFFF"/>
            </w:tcBorders>
            <w:vAlign w:val="center"/>
          </w:tcPr>
          <w:p w14:paraId="0AE75163" w14:textId="77777777" w:rsidR="00DF2FCE" w:rsidRPr="00DF2FCE" w:rsidRDefault="00DF2FCE" w:rsidP="00AF6F96">
            <w:pPr>
              <w:jc w:val="center"/>
              <w:rPr>
                <w:sz w:val="20"/>
                <w:szCs w:val="20"/>
              </w:rPr>
            </w:pPr>
            <w:r w:rsidRPr="00DF2FCE">
              <w:rPr>
                <w:sz w:val="20"/>
                <w:szCs w:val="20"/>
              </w:rPr>
              <w:t>70</w:t>
            </w:r>
          </w:p>
        </w:tc>
        <w:tc>
          <w:tcPr>
            <w:tcW w:w="860" w:type="dxa"/>
            <w:tcBorders>
              <w:top w:val="single" w:sz="8" w:space="0" w:color="F3CFC1"/>
              <w:left w:val="single" w:sz="4" w:space="0" w:color="FFFFFF"/>
              <w:bottom w:val="single" w:sz="8" w:space="0" w:color="F3CFC1"/>
              <w:right w:val="single" w:sz="4" w:space="0" w:color="FFFFFF"/>
            </w:tcBorders>
            <w:vAlign w:val="center"/>
          </w:tcPr>
          <w:p w14:paraId="6729FFF4" w14:textId="77777777" w:rsidR="00DF2FCE" w:rsidRPr="00DF2FCE" w:rsidRDefault="00DF2FCE" w:rsidP="00AF6F96">
            <w:pPr>
              <w:jc w:val="center"/>
              <w:rPr>
                <w:sz w:val="20"/>
                <w:szCs w:val="20"/>
              </w:rPr>
            </w:pPr>
            <w:r w:rsidRPr="00DF2FCE">
              <w:rPr>
                <w:sz w:val="20"/>
                <w:szCs w:val="20"/>
              </w:rPr>
              <w:t>13</w:t>
            </w:r>
          </w:p>
        </w:tc>
        <w:tc>
          <w:tcPr>
            <w:tcW w:w="860" w:type="dxa"/>
            <w:tcBorders>
              <w:top w:val="single" w:sz="8" w:space="0" w:color="F3CFC1"/>
              <w:left w:val="single" w:sz="4" w:space="0" w:color="FFFFFF"/>
              <w:bottom w:val="single" w:sz="8" w:space="0" w:color="F3CFC1"/>
              <w:right w:val="single" w:sz="4" w:space="0" w:color="FFFFFF"/>
            </w:tcBorders>
            <w:vAlign w:val="center"/>
          </w:tcPr>
          <w:p w14:paraId="514D2E4C" w14:textId="46CA9F23" w:rsidR="00DF2FCE" w:rsidRPr="00DF2FCE" w:rsidRDefault="004A23CA" w:rsidP="00AF6F96">
            <w:pPr>
              <w:jc w:val="center"/>
              <w:rPr>
                <w:sz w:val="20"/>
                <w:szCs w:val="20"/>
              </w:rPr>
            </w:pPr>
            <w:r>
              <w:rPr>
                <w:sz w:val="20"/>
                <w:szCs w:val="20"/>
              </w:rPr>
              <w:t>26</w:t>
            </w:r>
          </w:p>
        </w:tc>
        <w:tc>
          <w:tcPr>
            <w:tcW w:w="867" w:type="dxa"/>
            <w:tcBorders>
              <w:top w:val="single" w:sz="8" w:space="0" w:color="F3CFC1"/>
              <w:left w:val="single" w:sz="4" w:space="0" w:color="FFFFFF"/>
              <w:bottom w:val="single" w:sz="8" w:space="0" w:color="F3CFC1"/>
              <w:right w:val="single" w:sz="8" w:space="0" w:color="D2232A" w:themeColor="accent1"/>
            </w:tcBorders>
            <w:vAlign w:val="center"/>
          </w:tcPr>
          <w:p w14:paraId="18F600B7" w14:textId="13126B45" w:rsidR="00DF2FCE" w:rsidRPr="00DF2FCE" w:rsidRDefault="004A23CA" w:rsidP="00AF6F96">
            <w:pPr>
              <w:jc w:val="center"/>
              <w:rPr>
                <w:sz w:val="20"/>
                <w:szCs w:val="20"/>
              </w:rPr>
            </w:pPr>
            <w:r>
              <w:rPr>
                <w:sz w:val="20"/>
                <w:szCs w:val="20"/>
              </w:rPr>
              <w:t>15</w:t>
            </w:r>
          </w:p>
        </w:tc>
        <w:tc>
          <w:tcPr>
            <w:tcW w:w="860" w:type="dxa"/>
            <w:tcBorders>
              <w:top w:val="single" w:sz="8" w:space="0" w:color="F3CFC1"/>
              <w:left w:val="single" w:sz="8" w:space="0" w:color="D2232A" w:themeColor="accent1"/>
              <w:bottom w:val="single" w:sz="8" w:space="0" w:color="F3CFC1"/>
              <w:right w:val="single" w:sz="4" w:space="0" w:color="FFFFFF" w:themeColor="background1"/>
            </w:tcBorders>
            <w:vAlign w:val="center"/>
          </w:tcPr>
          <w:p w14:paraId="30861D8F" w14:textId="7FD8F5E1" w:rsidR="00DF2FCE" w:rsidRPr="00DF2FCE" w:rsidRDefault="00764F69" w:rsidP="00AF6F96">
            <w:pPr>
              <w:jc w:val="center"/>
              <w:rPr>
                <w:sz w:val="20"/>
                <w:szCs w:val="20"/>
              </w:rPr>
            </w:pPr>
            <w:r>
              <w:rPr>
                <w:sz w:val="20"/>
                <w:szCs w:val="20"/>
              </w:rPr>
              <w:t>5</w:t>
            </w:r>
          </w:p>
        </w:tc>
        <w:tc>
          <w:tcPr>
            <w:tcW w:w="860"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2428CFD1" w14:textId="43F29845" w:rsidR="00DF2FCE" w:rsidRPr="00DF2FCE" w:rsidRDefault="00764F69" w:rsidP="00AF6F96">
            <w:pPr>
              <w:jc w:val="center"/>
              <w:rPr>
                <w:sz w:val="20"/>
                <w:szCs w:val="20"/>
              </w:rPr>
            </w:pPr>
            <w:r>
              <w:rPr>
                <w:sz w:val="20"/>
                <w:szCs w:val="20"/>
              </w:rPr>
              <w:t>2</w:t>
            </w:r>
          </w:p>
        </w:tc>
        <w:tc>
          <w:tcPr>
            <w:tcW w:w="860"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4CB948BC" w14:textId="313DB93B" w:rsidR="00DF2FCE" w:rsidRPr="00DF2FCE" w:rsidRDefault="003A6CE8" w:rsidP="00AF6F96">
            <w:pPr>
              <w:jc w:val="center"/>
              <w:rPr>
                <w:sz w:val="20"/>
                <w:szCs w:val="20"/>
              </w:rPr>
            </w:pPr>
            <w:r>
              <w:rPr>
                <w:sz w:val="20"/>
                <w:szCs w:val="20"/>
              </w:rPr>
              <w:t>0</w:t>
            </w:r>
          </w:p>
        </w:tc>
        <w:tc>
          <w:tcPr>
            <w:tcW w:w="966"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7B283CE5" w14:textId="7C51A4C5" w:rsidR="00DF2FCE" w:rsidRPr="00DF2FCE" w:rsidRDefault="003A6CE8" w:rsidP="00AF6F96">
            <w:pPr>
              <w:jc w:val="center"/>
              <w:rPr>
                <w:sz w:val="20"/>
                <w:szCs w:val="20"/>
              </w:rPr>
            </w:pPr>
            <w:r>
              <w:rPr>
                <w:sz w:val="20"/>
                <w:szCs w:val="20"/>
              </w:rPr>
              <w:t>5</w:t>
            </w:r>
          </w:p>
        </w:tc>
        <w:tc>
          <w:tcPr>
            <w:tcW w:w="866" w:type="dxa"/>
            <w:tcBorders>
              <w:top w:val="single" w:sz="8" w:space="0" w:color="F3CFC1"/>
              <w:left w:val="single" w:sz="8" w:space="0" w:color="D2232A" w:themeColor="accent1"/>
              <w:bottom w:val="single" w:sz="8" w:space="0" w:color="F3CFC1"/>
              <w:right w:val="nil"/>
            </w:tcBorders>
            <w:vAlign w:val="center"/>
          </w:tcPr>
          <w:p w14:paraId="51B50CE9" w14:textId="77777777" w:rsidR="00DF2FCE" w:rsidRPr="00DF2FCE" w:rsidRDefault="00DF2FCE" w:rsidP="00AF6F96">
            <w:pPr>
              <w:jc w:val="center"/>
              <w:rPr>
                <w:sz w:val="20"/>
                <w:szCs w:val="20"/>
              </w:rPr>
            </w:pPr>
            <w:r w:rsidRPr="00DF2FCE">
              <w:rPr>
                <w:sz w:val="20"/>
                <w:szCs w:val="20"/>
              </w:rPr>
              <w:t>5</w:t>
            </w:r>
          </w:p>
        </w:tc>
        <w:tc>
          <w:tcPr>
            <w:tcW w:w="869" w:type="dxa"/>
            <w:tcBorders>
              <w:top w:val="single" w:sz="8" w:space="0" w:color="F3CFC1"/>
              <w:left w:val="nil"/>
              <w:bottom w:val="single" w:sz="8" w:space="0" w:color="F3CFC1"/>
              <w:right w:val="single" w:sz="4" w:space="0" w:color="FFFFFF" w:themeColor="background1"/>
            </w:tcBorders>
            <w:vAlign w:val="center"/>
          </w:tcPr>
          <w:p w14:paraId="29BD19E4" w14:textId="25B30A96" w:rsidR="00DF2FCE" w:rsidRPr="00DF2FCE" w:rsidRDefault="00AF6F96" w:rsidP="00AF6F96">
            <w:pPr>
              <w:jc w:val="center"/>
              <w:rPr>
                <w:sz w:val="20"/>
                <w:szCs w:val="20"/>
              </w:rPr>
            </w:pPr>
            <w:r>
              <w:rPr>
                <w:sz w:val="20"/>
                <w:szCs w:val="20"/>
              </w:rPr>
              <w:t>0</w:t>
            </w:r>
          </w:p>
        </w:tc>
        <w:tc>
          <w:tcPr>
            <w:tcW w:w="868" w:type="dxa"/>
            <w:tcBorders>
              <w:top w:val="single" w:sz="8" w:space="0" w:color="F3CFC1"/>
              <w:left w:val="single" w:sz="4" w:space="0" w:color="FFFFFF" w:themeColor="background1"/>
              <w:bottom w:val="single" w:sz="8" w:space="0" w:color="F3CFC1"/>
              <w:right w:val="nil"/>
            </w:tcBorders>
            <w:vAlign w:val="center"/>
          </w:tcPr>
          <w:p w14:paraId="56971219" w14:textId="37934B0B" w:rsidR="00DF2FCE" w:rsidRPr="00DF2FCE" w:rsidRDefault="00242DF3" w:rsidP="00AF6F96">
            <w:pPr>
              <w:jc w:val="center"/>
              <w:rPr>
                <w:sz w:val="20"/>
                <w:szCs w:val="20"/>
              </w:rPr>
            </w:pPr>
            <w:r>
              <w:rPr>
                <w:sz w:val="20"/>
                <w:szCs w:val="20"/>
              </w:rPr>
              <w:t>0</w:t>
            </w:r>
          </w:p>
        </w:tc>
        <w:tc>
          <w:tcPr>
            <w:tcW w:w="869" w:type="dxa"/>
            <w:tcBorders>
              <w:top w:val="single" w:sz="8" w:space="0" w:color="F3CFC1"/>
              <w:left w:val="nil"/>
              <w:bottom w:val="single" w:sz="8" w:space="0" w:color="F3CFC1"/>
              <w:right w:val="single" w:sz="8" w:space="0" w:color="D2232A" w:themeColor="accent1"/>
            </w:tcBorders>
            <w:vAlign w:val="center"/>
          </w:tcPr>
          <w:p w14:paraId="7C9E33DA" w14:textId="3EBC2DBA" w:rsidR="00DF2FCE" w:rsidRPr="00DF2FCE" w:rsidRDefault="00242DF3" w:rsidP="00AF6F96">
            <w:pPr>
              <w:jc w:val="center"/>
              <w:rPr>
                <w:sz w:val="20"/>
                <w:szCs w:val="20"/>
              </w:rPr>
            </w:pPr>
            <w:r>
              <w:rPr>
                <w:sz w:val="20"/>
                <w:szCs w:val="20"/>
              </w:rPr>
              <w:t>4</w:t>
            </w:r>
          </w:p>
        </w:tc>
      </w:tr>
      <w:tr w:rsidR="00C13F1D" w:rsidRPr="00DF2FCE" w14:paraId="76586F0D" w14:textId="77777777" w:rsidTr="00AF6F96">
        <w:trPr>
          <w:trHeight w:val="428"/>
        </w:trPr>
        <w:tc>
          <w:tcPr>
            <w:tcW w:w="1520" w:type="dxa"/>
            <w:tcBorders>
              <w:top w:val="single" w:sz="8" w:space="0" w:color="F3CFC1"/>
              <w:left w:val="single" w:sz="8" w:space="0" w:color="D2232A" w:themeColor="accent1"/>
              <w:bottom w:val="single" w:sz="8" w:space="0" w:color="F3CFC1"/>
              <w:right w:val="single" w:sz="4" w:space="0" w:color="C00000"/>
            </w:tcBorders>
          </w:tcPr>
          <w:p w14:paraId="7203AF75" w14:textId="77777777" w:rsidR="00DF2FCE" w:rsidRPr="00DF2FCE" w:rsidRDefault="00DF2FCE" w:rsidP="00DF2FCE">
            <w:pPr>
              <w:jc w:val="left"/>
              <w:rPr>
                <w:sz w:val="20"/>
                <w:szCs w:val="20"/>
              </w:rPr>
            </w:pPr>
            <w:r w:rsidRPr="00DF2FCE">
              <w:rPr>
                <w:b/>
                <w:bCs/>
                <w:sz w:val="20"/>
                <w:szCs w:val="20"/>
              </w:rPr>
              <w:t>Međimurska</w:t>
            </w:r>
          </w:p>
        </w:tc>
        <w:tc>
          <w:tcPr>
            <w:tcW w:w="873" w:type="dxa"/>
            <w:tcBorders>
              <w:top w:val="single" w:sz="8" w:space="0" w:color="F3CFC1"/>
              <w:left w:val="single" w:sz="8" w:space="0" w:color="D2232A" w:themeColor="accent1"/>
              <w:bottom w:val="single" w:sz="8" w:space="0" w:color="F3CFC1"/>
              <w:right w:val="nil"/>
            </w:tcBorders>
            <w:vAlign w:val="center"/>
          </w:tcPr>
          <w:p w14:paraId="126F180A" w14:textId="77777777" w:rsidR="00DF2FCE" w:rsidRPr="00DF2FCE" w:rsidRDefault="00DF2FCE" w:rsidP="00AF6F96">
            <w:pPr>
              <w:jc w:val="center"/>
              <w:rPr>
                <w:sz w:val="20"/>
                <w:szCs w:val="20"/>
              </w:rPr>
            </w:pPr>
            <w:r w:rsidRPr="00DF2FCE">
              <w:rPr>
                <w:sz w:val="20"/>
                <w:szCs w:val="20"/>
              </w:rPr>
              <w:t>47</w:t>
            </w:r>
          </w:p>
        </w:tc>
        <w:tc>
          <w:tcPr>
            <w:tcW w:w="876" w:type="dxa"/>
            <w:tcBorders>
              <w:top w:val="single" w:sz="8" w:space="0" w:color="F3CFC1"/>
              <w:left w:val="nil"/>
              <w:bottom w:val="single" w:sz="8" w:space="0" w:color="F3CFC1"/>
              <w:right w:val="single" w:sz="4" w:space="0" w:color="FFFFFF" w:themeColor="background1"/>
            </w:tcBorders>
            <w:vAlign w:val="center"/>
          </w:tcPr>
          <w:p w14:paraId="4AF9E6EA" w14:textId="77777777" w:rsidR="00DF2FCE" w:rsidRPr="00DF2FCE" w:rsidRDefault="00DF2FCE" w:rsidP="00AF6F96">
            <w:pPr>
              <w:jc w:val="center"/>
              <w:rPr>
                <w:sz w:val="20"/>
                <w:szCs w:val="20"/>
              </w:rPr>
            </w:pPr>
            <w:r w:rsidRPr="00DF2FCE">
              <w:rPr>
                <w:sz w:val="20"/>
                <w:szCs w:val="20"/>
              </w:rPr>
              <w:t>14</w:t>
            </w:r>
          </w:p>
        </w:tc>
        <w:tc>
          <w:tcPr>
            <w:tcW w:w="742"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701C6A15" w14:textId="77777777" w:rsidR="00DF2FCE" w:rsidRPr="00DF2FCE" w:rsidRDefault="00DF2FCE" w:rsidP="00AF6F96">
            <w:pPr>
              <w:jc w:val="center"/>
              <w:rPr>
                <w:sz w:val="20"/>
                <w:szCs w:val="20"/>
              </w:rPr>
            </w:pPr>
            <w:r w:rsidRPr="00DF2FCE">
              <w:rPr>
                <w:sz w:val="20"/>
                <w:szCs w:val="20"/>
              </w:rPr>
              <w:t>11</w:t>
            </w:r>
          </w:p>
        </w:tc>
        <w:tc>
          <w:tcPr>
            <w:tcW w:w="859"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0D1EA7FC" w14:textId="77777777" w:rsidR="00DF2FCE" w:rsidRPr="00DF2FCE" w:rsidRDefault="00DF2FCE" w:rsidP="00AF6F96">
            <w:pPr>
              <w:jc w:val="center"/>
              <w:rPr>
                <w:sz w:val="20"/>
                <w:szCs w:val="20"/>
              </w:rPr>
            </w:pPr>
            <w:r w:rsidRPr="00DF2FCE">
              <w:rPr>
                <w:sz w:val="20"/>
                <w:szCs w:val="20"/>
              </w:rPr>
              <w:t>12</w:t>
            </w:r>
          </w:p>
        </w:tc>
        <w:tc>
          <w:tcPr>
            <w:tcW w:w="860" w:type="dxa"/>
            <w:tcBorders>
              <w:top w:val="single" w:sz="8" w:space="0" w:color="F3CFC1"/>
              <w:left w:val="single" w:sz="8" w:space="0" w:color="D2232A" w:themeColor="accent1"/>
              <w:bottom w:val="single" w:sz="8" w:space="0" w:color="F3CFC1"/>
              <w:right w:val="single" w:sz="4" w:space="0" w:color="FFFFFF"/>
            </w:tcBorders>
            <w:vAlign w:val="center"/>
          </w:tcPr>
          <w:p w14:paraId="6C1F27DD" w14:textId="77777777" w:rsidR="00DF2FCE" w:rsidRPr="00DF2FCE" w:rsidRDefault="00DF2FCE" w:rsidP="00AF6F96">
            <w:pPr>
              <w:jc w:val="center"/>
              <w:rPr>
                <w:sz w:val="20"/>
                <w:szCs w:val="20"/>
              </w:rPr>
            </w:pPr>
            <w:r w:rsidRPr="00DF2FCE">
              <w:rPr>
                <w:sz w:val="20"/>
                <w:szCs w:val="20"/>
              </w:rPr>
              <w:t>50</w:t>
            </w:r>
          </w:p>
        </w:tc>
        <w:tc>
          <w:tcPr>
            <w:tcW w:w="860" w:type="dxa"/>
            <w:tcBorders>
              <w:top w:val="single" w:sz="8" w:space="0" w:color="F3CFC1"/>
              <w:left w:val="single" w:sz="4" w:space="0" w:color="FFFFFF"/>
              <w:bottom w:val="single" w:sz="8" w:space="0" w:color="F3CFC1"/>
              <w:right w:val="single" w:sz="4" w:space="0" w:color="FFFFFF"/>
            </w:tcBorders>
            <w:vAlign w:val="center"/>
          </w:tcPr>
          <w:p w14:paraId="024947C5" w14:textId="77777777" w:rsidR="00DF2FCE" w:rsidRPr="00DF2FCE" w:rsidRDefault="00DF2FCE" w:rsidP="00AF6F96">
            <w:pPr>
              <w:jc w:val="center"/>
              <w:rPr>
                <w:sz w:val="20"/>
                <w:szCs w:val="20"/>
              </w:rPr>
            </w:pPr>
            <w:r w:rsidRPr="00DF2FCE">
              <w:rPr>
                <w:sz w:val="20"/>
                <w:szCs w:val="20"/>
              </w:rPr>
              <w:t>13</w:t>
            </w:r>
          </w:p>
        </w:tc>
        <w:tc>
          <w:tcPr>
            <w:tcW w:w="860" w:type="dxa"/>
            <w:tcBorders>
              <w:top w:val="single" w:sz="8" w:space="0" w:color="F3CFC1"/>
              <w:left w:val="single" w:sz="4" w:space="0" w:color="FFFFFF"/>
              <w:bottom w:val="single" w:sz="8" w:space="0" w:color="F3CFC1"/>
              <w:right w:val="single" w:sz="4" w:space="0" w:color="FFFFFF"/>
            </w:tcBorders>
            <w:vAlign w:val="center"/>
          </w:tcPr>
          <w:p w14:paraId="5052F50E" w14:textId="6FF20EE8" w:rsidR="00DF2FCE" w:rsidRPr="00DF2FCE" w:rsidRDefault="004A23CA" w:rsidP="00AF6F96">
            <w:pPr>
              <w:jc w:val="center"/>
              <w:rPr>
                <w:sz w:val="20"/>
                <w:szCs w:val="20"/>
              </w:rPr>
            </w:pPr>
            <w:r>
              <w:rPr>
                <w:sz w:val="20"/>
                <w:szCs w:val="20"/>
              </w:rPr>
              <w:t>14</w:t>
            </w:r>
          </w:p>
        </w:tc>
        <w:tc>
          <w:tcPr>
            <w:tcW w:w="867" w:type="dxa"/>
            <w:tcBorders>
              <w:top w:val="single" w:sz="8" w:space="0" w:color="F3CFC1"/>
              <w:left w:val="single" w:sz="4" w:space="0" w:color="FFFFFF"/>
              <w:bottom w:val="single" w:sz="8" w:space="0" w:color="F3CFC1"/>
              <w:right w:val="single" w:sz="8" w:space="0" w:color="D2232A" w:themeColor="accent1"/>
            </w:tcBorders>
            <w:vAlign w:val="center"/>
          </w:tcPr>
          <w:p w14:paraId="1990058A" w14:textId="44A9EFFC" w:rsidR="00DF2FCE" w:rsidRPr="00DF2FCE" w:rsidRDefault="004A23CA" w:rsidP="00AF6F96">
            <w:pPr>
              <w:jc w:val="center"/>
              <w:rPr>
                <w:sz w:val="20"/>
                <w:szCs w:val="20"/>
              </w:rPr>
            </w:pPr>
            <w:r>
              <w:rPr>
                <w:sz w:val="20"/>
                <w:szCs w:val="20"/>
              </w:rPr>
              <w:t>5</w:t>
            </w:r>
          </w:p>
        </w:tc>
        <w:tc>
          <w:tcPr>
            <w:tcW w:w="860" w:type="dxa"/>
            <w:tcBorders>
              <w:top w:val="single" w:sz="8" w:space="0" w:color="F3CFC1"/>
              <w:left w:val="single" w:sz="8" w:space="0" w:color="D2232A" w:themeColor="accent1"/>
              <w:bottom w:val="single" w:sz="8" w:space="0" w:color="F3CFC1"/>
              <w:right w:val="single" w:sz="4" w:space="0" w:color="FFFFFF" w:themeColor="background1"/>
            </w:tcBorders>
            <w:vAlign w:val="center"/>
          </w:tcPr>
          <w:p w14:paraId="45313562" w14:textId="44BA99A5" w:rsidR="00DF2FCE" w:rsidRPr="00DF2FCE" w:rsidRDefault="00764F69" w:rsidP="00AF6F96">
            <w:pPr>
              <w:jc w:val="center"/>
              <w:rPr>
                <w:sz w:val="20"/>
                <w:szCs w:val="20"/>
              </w:rPr>
            </w:pPr>
            <w:r>
              <w:rPr>
                <w:sz w:val="20"/>
                <w:szCs w:val="20"/>
              </w:rPr>
              <w:t>26</w:t>
            </w:r>
          </w:p>
        </w:tc>
        <w:tc>
          <w:tcPr>
            <w:tcW w:w="860"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0BD9B790" w14:textId="10F40EF5" w:rsidR="00DF2FCE" w:rsidRPr="00DF2FCE" w:rsidRDefault="00764F69" w:rsidP="00AF6F96">
            <w:pPr>
              <w:jc w:val="center"/>
              <w:rPr>
                <w:sz w:val="20"/>
                <w:szCs w:val="20"/>
              </w:rPr>
            </w:pPr>
            <w:r>
              <w:rPr>
                <w:sz w:val="20"/>
                <w:szCs w:val="20"/>
              </w:rPr>
              <w:t>6</w:t>
            </w:r>
          </w:p>
        </w:tc>
        <w:tc>
          <w:tcPr>
            <w:tcW w:w="860"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3A63C350" w14:textId="60A9DF07" w:rsidR="00DF2FCE" w:rsidRPr="00DF2FCE" w:rsidRDefault="00AF6F96" w:rsidP="00AF6F96">
            <w:pPr>
              <w:jc w:val="center"/>
              <w:rPr>
                <w:sz w:val="20"/>
                <w:szCs w:val="20"/>
              </w:rPr>
            </w:pPr>
            <w:r>
              <w:rPr>
                <w:sz w:val="20"/>
                <w:szCs w:val="20"/>
              </w:rPr>
              <w:t>9</w:t>
            </w:r>
          </w:p>
        </w:tc>
        <w:tc>
          <w:tcPr>
            <w:tcW w:w="966"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2048B027" w14:textId="632B1738" w:rsidR="00DF2FCE" w:rsidRPr="00DF2FCE" w:rsidRDefault="003A6CE8" w:rsidP="00AF6F96">
            <w:pPr>
              <w:jc w:val="center"/>
              <w:rPr>
                <w:sz w:val="20"/>
                <w:szCs w:val="20"/>
              </w:rPr>
            </w:pPr>
            <w:r>
              <w:rPr>
                <w:sz w:val="20"/>
                <w:szCs w:val="20"/>
              </w:rPr>
              <w:t>2</w:t>
            </w:r>
          </w:p>
        </w:tc>
        <w:tc>
          <w:tcPr>
            <w:tcW w:w="866" w:type="dxa"/>
            <w:tcBorders>
              <w:top w:val="single" w:sz="8" w:space="0" w:color="F3CFC1"/>
              <w:left w:val="single" w:sz="8" w:space="0" w:color="D2232A" w:themeColor="accent1"/>
              <w:bottom w:val="single" w:sz="8" w:space="0" w:color="F3CFC1"/>
              <w:right w:val="nil"/>
            </w:tcBorders>
            <w:vAlign w:val="center"/>
          </w:tcPr>
          <w:p w14:paraId="1F9A84B6" w14:textId="77777777" w:rsidR="00DF2FCE" w:rsidRPr="00DF2FCE" w:rsidRDefault="00DF2FCE" w:rsidP="00AF6F96">
            <w:pPr>
              <w:jc w:val="center"/>
              <w:rPr>
                <w:sz w:val="20"/>
                <w:szCs w:val="20"/>
              </w:rPr>
            </w:pPr>
            <w:r w:rsidRPr="00DF2FCE">
              <w:rPr>
                <w:sz w:val="20"/>
                <w:szCs w:val="20"/>
              </w:rPr>
              <w:t>19</w:t>
            </w:r>
          </w:p>
        </w:tc>
        <w:tc>
          <w:tcPr>
            <w:tcW w:w="869" w:type="dxa"/>
            <w:tcBorders>
              <w:top w:val="single" w:sz="8" w:space="0" w:color="F3CFC1"/>
              <w:left w:val="nil"/>
              <w:bottom w:val="single" w:sz="8" w:space="0" w:color="F3CFC1"/>
              <w:right w:val="single" w:sz="4" w:space="0" w:color="FFFFFF" w:themeColor="background1"/>
            </w:tcBorders>
            <w:vAlign w:val="center"/>
          </w:tcPr>
          <w:p w14:paraId="05E20AF8" w14:textId="77777777" w:rsidR="00DF2FCE" w:rsidRPr="00DF2FCE" w:rsidRDefault="00DF2FCE" w:rsidP="00AF6F96">
            <w:pPr>
              <w:jc w:val="center"/>
              <w:rPr>
                <w:sz w:val="20"/>
                <w:szCs w:val="20"/>
              </w:rPr>
            </w:pPr>
            <w:r w:rsidRPr="00DF2FCE">
              <w:rPr>
                <w:sz w:val="20"/>
                <w:szCs w:val="20"/>
              </w:rPr>
              <w:t>4</w:t>
            </w:r>
          </w:p>
        </w:tc>
        <w:tc>
          <w:tcPr>
            <w:tcW w:w="868" w:type="dxa"/>
            <w:tcBorders>
              <w:top w:val="single" w:sz="8" w:space="0" w:color="F3CFC1"/>
              <w:left w:val="single" w:sz="4" w:space="0" w:color="FFFFFF" w:themeColor="background1"/>
              <w:bottom w:val="single" w:sz="8" w:space="0" w:color="F3CFC1"/>
              <w:right w:val="nil"/>
            </w:tcBorders>
            <w:vAlign w:val="center"/>
          </w:tcPr>
          <w:p w14:paraId="4BCB7F32" w14:textId="28B2B073" w:rsidR="00DF2FCE" w:rsidRPr="00DF2FCE" w:rsidRDefault="00242DF3" w:rsidP="00AF6F96">
            <w:pPr>
              <w:jc w:val="center"/>
              <w:rPr>
                <w:sz w:val="20"/>
                <w:szCs w:val="20"/>
              </w:rPr>
            </w:pPr>
            <w:r>
              <w:rPr>
                <w:sz w:val="20"/>
                <w:szCs w:val="20"/>
              </w:rPr>
              <w:t>8</w:t>
            </w:r>
          </w:p>
        </w:tc>
        <w:tc>
          <w:tcPr>
            <w:tcW w:w="869" w:type="dxa"/>
            <w:tcBorders>
              <w:top w:val="single" w:sz="8" w:space="0" w:color="F3CFC1"/>
              <w:left w:val="nil"/>
              <w:bottom w:val="single" w:sz="8" w:space="0" w:color="F3CFC1"/>
              <w:right w:val="single" w:sz="8" w:space="0" w:color="D2232A" w:themeColor="accent1"/>
            </w:tcBorders>
            <w:vAlign w:val="center"/>
          </w:tcPr>
          <w:p w14:paraId="58DB765B" w14:textId="5432FFD4" w:rsidR="00DF2FCE" w:rsidRPr="00DF2FCE" w:rsidRDefault="00242DF3" w:rsidP="00AF6F96">
            <w:pPr>
              <w:jc w:val="center"/>
              <w:rPr>
                <w:sz w:val="20"/>
                <w:szCs w:val="20"/>
              </w:rPr>
            </w:pPr>
            <w:r>
              <w:rPr>
                <w:sz w:val="20"/>
                <w:szCs w:val="20"/>
              </w:rPr>
              <w:t>3</w:t>
            </w:r>
          </w:p>
        </w:tc>
      </w:tr>
      <w:tr w:rsidR="00C13F1D" w:rsidRPr="00DF2FCE" w14:paraId="5C8E9E4A" w14:textId="77777777" w:rsidTr="00AF6F96">
        <w:trPr>
          <w:trHeight w:val="479"/>
        </w:trPr>
        <w:tc>
          <w:tcPr>
            <w:tcW w:w="1520" w:type="dxa"/>
            <w:tcBorders>
              <w:top w:val="single" w:sz="8" w:space="0" w:color="F3CFC1"/>
              <w:left w:val="single" w:sz="8" w:space="0" w:color="D2232A" w:themeColor="accent1"/>
              <w:bottom w:val="single" w:sz="8" w:space="0" w:color="F3CFC1"/>
              <w:right w:val="single" w:sz="4" w:space="0" w:color="C00000"/>
            </w:tcBorders>
          </w:tcPr>
          <w:p w14:paraId="39A93870" w14:textId="77777777" w:rsidR="00DF2FCE" w:rsidRPr="00DF2FCE" w:rsidRDefault="00DF2FCE" w:rsidP="00DF2FCE">
            <w:pPr>
              <w:jc w:val="left"/>
              <w:rPr>
                <w:sz w:val="20"/>
                <w:szCs w:val="20"/>
              </w:rPr>
            </w:pPr>
            <w:r w:rsidRPr="00DF2FCE">
              <w:rPr>
                <w:b/>
                <w:bCs/>
                <w:sz w:val="20"/>
                <w:szCs w:val="20"/>
              </w:rPr>
              <w:t>Koprivničko-križevačka</w:t>
            </w:r>
          </w:p>
        </w:tc>
        <w:tc>
          <w:tcPr>
            <w:tcW w:w="873" w:type="dxa"/>
            <w:tcBorders>
              <w:top w:val="single" w:sz="8" w:space="0" w:color="F3CFC1"/>
              <w:left w:val="single" w:sz="8" w:space="0" w:color="D2232A" w:themeColor="accent1"/>
              <w:bottom w:val="single" w:sz="8" w:space="0" w:color="F3CFC1"/>
              <w:right w:val="nil"/>
            </w:tcBorders>
            <w:vAlign w:val="center"/>
          </w:tcPr>
          <w:p w14:paraId="2BE6FE20" w14:textId="77777777" w:rsidR="00DF2FCE" w:rsidRPr="00DF2FCE" w:rsidRDefault="00DF2FCE" w:rsidP="00AF6F96">
            <w:pPr>
              <w:jc w:val="center"/>
              <w:rPr>
                <w:sz w:val="20"/>
                <w:szCs w:val="20"/>
              </w:rPr>
            </w:pPr>
            <w:r w:rsidRPr="00DF2FCE">
              <w:rPr>
                <w:sz w:val="20"/>
                <w:szCs w:val="20"/>
              </w:rPr>
              <w:t>118</w:t>
            </w:r>
          </w:p>
        </w:tc>
        <w:tc>
          <w:tcPr>
            <w:tcW w:w="876" w:type="dxa"/>
            <w:tcBorders>
              <w:top w:val="single" w:sz="8" w:space="0" w:color="F3CFC1"/>
              <w:left w:val="nil"/>
              <w:bottom w:val="single" w:sz="8" w:space="0" w:color="F3CFC1"/>
              <w:right w:val="single" w:sz="4" w:space="0" w:color="FFFFFF" w:themeColor="background1"/>
            </w:tcBorders>
            <w:vAlign w:val="center"/>
          </w:tcPr>
          <w:p w14:paraId="57AFD882" w14:textId="77777777" w:rsidR="00DF2FCE" w:rsidRPr="00DF2FCE" w:rsidRDefault="00DF2FCE" w:rsidP="00AF6F96">
            <w:pPr>
              <w:jc w:val="center"/>
              <w:rPr>
                <w:sz w:val="20"/>
                <w:szCs w:val="20"/>
              </w:rPr>
            </w:pPr>
            <w:r w:rsidRPr="00DF2FCE">
              <w:rPr>
                <w:sz w:val="20"/>
                <w:szCs w:val="20"/>
              </w:rPr>
              <w:t>13</w:t>
            </w:r>
          </w:p>
        </w:tc>
        <w:tc>
          <w:tcPr>
            <w:tcW w:w="742"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1011C6A0" w14:textId="77777777" w:rsidR="00DF2FCE" w:rsidRPr="00DF2FCE" w:rsidRDefault="00DF2FCE" w:rsidP="00AF6F96">
            <w:pPr>
              <w:jc w:val="center"/>
              <w:rPr>
                <w:sz w:val="20"/>
                <w:szCs w:val="20"/>
              </w:rPr>
            </w:pPr>
            <w:r w:rsidRPr="00DF2FCE">
              <w:rPr>
                <w:sz w:val="20"/>
                <w:szCs w:val="20"/>
              </w:rPr>
              <w:t>23</w:t>
            </w:r>
          </w:p>
        </w:tc>
        <w:tc>
          <w:tcPr>
            <w:tcW w:w="859"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14FDA1F9" w14:textId="77777777" w:rsidR="00DF2FCE" w:rsidRPr="00DF2FCE" w:rsidRDefault="00DF2FCE" w:rsidP="00AF6F96">
            <w:pPr>
              <w:jc w:val="center"/>
              <w:rPr>
                <w:sz w:val="20"/>
                <w:szCs w:val="20"/>
              </w:rPr>
            </w:pPr>
            <w:r w:rsidRPr="00DF2FCE">
              <w:rPr>
                <w:sz w:val="20"/>
                <w:szCs w:val="20"/>
              </w:rPr>
              <w:t>11</w:t>
            </w:r>
          </w:p>
        </w:tc>
        <w:tc>
          <w:tcPr>
            <w:tcW w:w="860" w:type="dxa"/>
            <w:tcBorders>
              <w:top w:val="single" w:sz="8" w:space="0" w:color="F3CFC1"/>
              <w:left w:val="single" w:sz="8" w:space="0" w:color="D2232A" w:themeColor="accent1"/>
              <w:bottom w:val="single" w:sz="8" w:space="0" w:color="F3CFC1"/>
              <w:right w:val="single" w:sz="4" w:space="0" w:color="FFFFFF"/>
            </w:tcBorders>
            <w:vAlign w:val="center"/>
          </w:tcPr>
          <w:p w14:paraId="613B899F" w14:textId="014C34BE" w:rsidR="00DF2FCE" w:rsidRPr="00DF2FCE" w:rsidRDefault="0071473D" w:rsidP="00AF6F96">
            <w:pPr>
              <w:jc w:val="center"/>
              <w:rPr>
                <w:sz w:val="20"/>
                <w:szCs w:val="20"/>
              </w:rPr>
            </w:pPr>
            <w:r>
              <w:rPr>
                <w:sz w:val="20"/>
                <w:szCs w:val="20"/>
              </w:rPr>
              <w:t>104</w:t>
            </w:r>
          </w:p>
        </w:tc>
        <w:tc>
          <w:tcPr>
            <w:tcW w:w="860" w:type="dxa"/>
            <w:tcBorders>
              <w:top w:val="single" w:sz="8" w:space="0" w:color="F3CFC1"/>
              <w:left w:val="single" w:sz="4" w:space="0" w:color="FFFFFF"/>
              <w:bottom w:val="single" w:sz="8" w:space="0" w:color="F3CFC1"/>
              <w:right w:val="single" w:sz="4" w:space="0" w:color="FFFFFF"/>
            </w:tcBorders>
            <w:vAlign w:val="center"/>
          </w:tcPr>
          <w:p w14:paraId="441B937F" w14:textId="77777777" w:rsidR="00DF2FCE" w:rsidRPr="00DF2FCE" w:rsidRDefault="00DF2FCE" w:rsidP="00AF6F96">
            <w:pPr>
              <w:jc w:val="center"/>
              <w:rPr>
                <w:sz w:val="20"/>
                <w:szCs w:val="20"/>
              </w:rPr>
            </w:pPr>
            <w:r w:rsidRPr="00DF2FCE">
              <w:rPr>
                <w:sz w:val="20"/>
                <w:szCs w:val="20"/>
              </w:rPr>
              <w:t>17</w:t>
            </w:r>
          </w:p>
        </w:tc>
        <w:tc>
          <w:tcPr>
            <w:tcW w:w="860" w:type="dxa"/>
            <w:tcBorders>
              <w:top w:val="single" w:sz="8" w:space="0" w:color="F3CFC1"/>
              <w:left w:val="single" w:sz="4" w:space="0" w:color="FFFFFF"/>
              <w:bottom w:val="single" w:sz="8" w:space="0" w:color="F3CFC1"/>
              <w:right w:val="single" w:sz="4" w:space="0" w:color="FFFFFF"/>
            </w:tcBorders>
            <w:vAlign w:val="center"/>
          </w:tcPr>
          <w:p w14:paraId="70F636D7" w14:textId="1D92DD31" w:rsidR="00DF2FCE" w:rsidRPr="00DF2FCE" w:rsidRDefault="004A23CA" w:rsidP="00AF6F96">
            <w:pPr>
              <w:jc w:val="center"/>
              <w:rPr>
                <w:sz w:val="20"/>
                <w:szCs w:val="20"/>
              </w:rPr>
            </w:pPr>
            <w:r>
              <w:rPr>
                <w:sz w:val="20"/>
                <w:szCs w:val="20"/>
              </w:rPr>
              <w:t>13</w:t>
            </w:r>
          </w:p>
        </w:tc>
        <w:tc>
          <w:tcPr>
            <w:tcW w:w="867" w:type="dxa"/>
            <w:tcBorders>
              <w:top w:val="single" w:sz="8" w:space="0" w:color="F3CFC1"/>
              <w:left w:val="single" w:sz="4" w:space="0" w:color="FFFFFF"/>
              <w:bottom w:val="single" w:sz="8" w:space="0" w:color="F3CFC1"/>
              <w:right w:val="single" w:sz="8" w:space="0" w:color="D2232A" w:themeColor="accent1"/>
            </w:tcBorders>
            <w:vAlign w:val="center"/>
          </w:tcPr>
          <w:p w14:paraId="30A2CFCA" w14:textId="32051C9C" w:rsidR="00DF2FCE" w:rsidRPr="00DF2FCE" w:rsidRDefault="004A23CA" w:rsidP="00AF6F96">
            <w:pPr>
              <w:jc w:val="center"/>
              <w:rPr>
                <w:sz w:val="20"/>
                <w:szCs w:val="20"/>
              </w:rPr>
            </w:pPr>
            <w:r>
              <w:rPr>
                <w:sz w:val="20"/>
                <w:szCs w:val="20"/>
              </w:rPr>
              <w:t>14</w:t>
            </w:r>
          </w:p>
        </w:tc>
        <w:tc>
          <w:tcPr>
            <w:tcW w:w="860" w:type="dxa"/>
            <w:tcBorders>
              <w:top w:val="single" w:sz="8" w:space="0" w:color="F3CFC1"/>
              <w:left w:val="single" w:sz="8" w:space="0" w:color="D2232A" w:themeColor="accent1"/>
              <w:bottom w:val="single" w:sz="8" w:space="0" w:color="F3CFC1"/>
              <w:right w:val="single" w:sz="4" w:space="0" w:color="FFFFFF" w:themeColor="background1"/>
            </w:tcBorders>
            <w:vAlign w:val="center"/>
          </w:tcPr>
          <w:p w14:paraId="710A519F" w14:textId="45A51D9E" w:rsidR="00DF2FCE" w:rsidRPr="00DF2FCE" w:rsidRDefault="00764F69" w:rsidP="00AF6F96">
            <w:pPr>
              <w:jc w:val="center"/>
              <w:rPr>
                <w:sz w:val="20"/>
                <w:szCs w:val="20"/>
              </w:rPr>
            </w:pPr>
            <w:r>
              <w:rPr>
                <w:sz w:val="20"/>
                <w:szCs w:val="20"/>
              </w:rPr>
              <w:t>2</w:t>
            </w:r>
          </w:p>
        </w:tc>
        <w:tc>
          <w:tcPr>
            <w:tcW w:w="860"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33EA276A" w14:textId="7DEE7BFB" w:rsidR="00DF2FCE" w:rsidRPr="00DF2FCE" w:rsidRDefault="00764F69" w:rsidP="00AF6F96">
            <w:pPr>
              <w:jc w:val="center"/>
              <w:rPr>
                <w:sz w:val="20"/>
                <w:szCs w:val="20"/>
              </w:rPr>
            </w:pPr>
            <w:r>
              <w:rPr>
                <w:sz w:val="20"/>
                <w:szCs w:val="20"/>
              </w:rPr>
              <w:t>1</w:t>
            </w:r>
          </w:p>
        </w:tc>
        <w:tc>
          <w:tcPr>
            <w:tcW w:w="860"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38F6E1A7" w14:textId="6FDDF4C5" w:rsidR="00DF2FCE" w:rsidRPr="00DF2FCE" w:rsidRDefault="00AF6F96" w:rsidP="00AF6F96">
            <w:pPr>
              <w:jc w:val="center"/>
              <w:rPr>
                <w:sz w:val="20"/>
                <w:szCs w:val="20"/>
              </w:rPr>
            </w:pPr>
            <w:r>
              <w:rPr>
                <w:sz w:val="20"/>
                <w:szCs w:val="20"/>
              </w:rPr>
              <w:t>1</w:t>
            </w:r>
          </w:p>
        </w:tc>
        <w:tc>
          <w:tcPr>
            <w:tcW w:w="966"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723B9CD4" w14:textId="0726B0B7" w:rsidR="00DF2FCE" w:rsidRPr="00DF2FCE" w:rsidRDefault="003A6CE8" w:rsidP="00AF6F96">
            <w:pPr>
              <w:jc w:val="center"/>
              <w:rPr>
                <w:sz w:val="20"/>
                <w:szCs w:val="20"/>
              </w:rPr>
            </w:pPr>
            <w:r>
              <w:rPr>
                <w:sz w:val="20"/>
                <w:szCs w:val="20"/>
              </w:rPr>
              <w:t>0</w:t>
            </w:r>
          </w:p>
        </w:tc>
        <w:tc>
          <w:tcPr>
            <w:tcW w:w="866" w:type="dxa"/>
            <w:tcBorders>
              <w:top w:val="single" w:sz="8" w:space="0" w:color="F3CFC1"/>
              <w:left w:val="single" w:sz="8" w:space="0" w:color="D2232A" w:themeColor="accent1"/>
              <w:bottom w:val="single" w:sz="8" w:space="0" w:color="F3CFC1"/>
              <w:right w:val="nil"/>
            </w:tcBorders>
            <w:vAlign w:val="center"/>
          </w:tcPr>
          <w:p w14:paraId="73FC770F" w14:textId="77777777" w:rsidR="00DF2FCE" w:rsidRPr="00DF2FCE" w:rsidRDefault="00DF2FCE" w:rsidP="00AF6F96">
            <w:pPr>
              <w:jc w:val="center"/>
              <w:rPr>
                <w:sz w:val="20"/>
                <w:szCs w:val="20"/>
              </w:rPr>
            </w:pPr>
            <w:r w:rsidRPr="00DF2FCE">
              <w:rPr>
                <w:sz w:val="20"/>
                <w:szCs w:val="20"/>
              </w:rPr>
              <w:t>1</w:t>
            </w:r>
          </w:p>
        </w:tc>
        <w:tc>
          <w:tcPr>
            <w:tcW w:w="869" w:type="dxa"/>
            <w:tcBorders>
              <w:top w:val="single" w:sz="8" w:space="0" w:color="F3CFC1"/>
              <w:left w:val="nil"/>
              <w:bottom w:val="single" w:sz="8" w:space="0" w:color="F3CFC1"/>
              <w:right w:val="single" w:sz="4" w:space="0" w:color="FFFFFF" w:themeColor="background1"/>
            </w:tcBorders>
            <w:vAlign w:val="center"/>
          </w:tcPr>
          <w:p w14:paraId="37707901" w14:textId="77777777" w:rsidR="00DF2FCE" w:rsidRPr="00DF2FCE" w:rsidRDefault="00DF2FCE" w:rsidP="00AF6F96">
            <w:pPr>
              <w:jc w:val="center"/>
              <w:rPr>
                <w:sz w:val="20"/>
                <w:szCs w:val="20"/>
              </w:rPr>
            </w:pPr>
            <w:r w:rsidRPr="00DF2FCE">
              <w:rPr>
                <w:sz w:val="20"/>
                <w:szCs w:val="20"/>
              </w:rPr>
              <w:t>0</w:t>
            </w:r>
          </w:p>
        </w:tc>
        <w:tc>
          <w:tcPr>
            <w:tcW w:w="868" w:type="dxa"/>
            <w:tcBorders>
              <w:top w:val="single" w:sz="8" w:space="0" w:color="F3CFC1"/>
              <w:left w:val="single" w:sz="4" w:space="0" w:color="FFFFFF" w:themeColor="background1"/>
              <w:bottom w:val="single" w:sz="8" w:space="0" w:color="F3CFC1"/>
              <w:right w:val="nil"/>
            </w:tcBorders>
            <w:vAlign w:val="center"/>
          </w:tcPr>
          <w:p w14:paraId="70DEED42" w14:textId="6A28023E" w:rsidR="00DF2FCE" w:rsidRPr="00DF2FCE" w:rsidRDefault="00242DF3" w:rsidP="00AF6F96">
            <w:pPr>
              <w:jc w:val="center"/>
              <w:rPr>
                <w:sz w:val="20"/>
                <w:szCs w:val="20"/>
              </w:rPr>
            </w:pPr>
            <w:r>
              <w:rPr>
                <w:sz w:val="20"/>
                <w:szCs w:val="20"/>
              </w:rPr>
              <w:t>1</w:t>
            </w:r>
          </w:p>
        </w:tc>
        <w:tc>
          <w:tcPr>
            <w:tcW w:w="869" w:type="dxa"/>
            <w:tcBorders>
              <w:top w:val="single" w:sz="8" w:space="0" w:color="F3CFC1"/>
              <w:left w:val="nil"/>
              <w:bottom w:val="single" w:sz="8" w:space="0" w:color="F3CFC1"/>
              <w:right w:val="single" w:sz="8" w:space="0" w:color="D2232A" w:themeColor="accent1"/>
            </w:tcBorders>
            <w:vAlign w:val="center"/>
          </w:tcPr>
          <w:p w14:paraId="3340EB46" w14:textId="438D37E4" w:rsidR="00DF2FCE" w:rsidRPr="00DF2FCE" w:rsidRDefault="00242DF3" w:rsidP="00AF6F96">
            <w:pPr>
              <w:jc w:val="center"/>
              <w:rPr>
                <w:sz w:val="20"/>
                <w:szCs w:val="20"/>
              </w:rPr>
            </w:pPr>
            <w:r>
              <w:rPr>
                <w:sz w:val="20"/>
                <w:szCs w:val="20"/>
              </w:rPr>
              <w:t>0</w:t>
            </w:r>
          </w:p>
        </w:tc>
      </w:tr>
      <w:tr w:rsidR="00C13F1D" w:rsidRPr="00DF2FCE" w14:paraId="07B4E294" w14:textId="77777777" w:rsidTr="00AF6F96">
        <w:trPr>
          <w:trHeight w:val="453"/>
        </w:trPr>
        <w:tc>
          <w:tcPr>
            <w:tcW w:w="1520" w:type="dxa"/>
            <w:tcBorders>
              <w:top w:val="single" w:sz="8" w:space="0" w:color="F3CFC1"/>
              <w:left w:val="single" w:sz="8" w:space="0" w:color="D2232A" w:themeColor="accent1"/>
              <w:bottom w:val="single" w:sz="8" w:space="0" w:color="F3CFC1"/>
              <w:right w:val="single" w:sz="4" w:space="0" w:color="C00000"/>
            </w:tcBorders>
            <w:shd w:val="clear" w:color="auto" w:fill="D2232A" w:themeFill="accent1"/>
          </w:tcPr>
          <w:p w14:paraId="665B701F" w14:textId="77777777" w:rsidR="00DF2FCE" w:rsidRPr="00DF2FCE" w:rsidRDefault="00DF2FCE" w:rsidP="00DF2FCE">
            <w:pPr>
              <w:jc w:val="left"/>
              <w:rPr>
                <w:sz w:val="20"/>
                <w:szCs w:val="20"/>
              </w:rPr>
            </w:pPr>
            <w:r w:rsidRPr="00DF2FCE">
              <w:rPr>
                <w:b/>
                <w:bCs/>
                <w:color w:val="FFFFFF" w:themeColor="background1"/>
                <w:sz w:val="20"/>
                <w:szCs w:val="20"/>
              </w:rPr>
              <w:t>KZŽ</w:t>
            </w:r>
          </w:p>
        </w:tc>
        <w:tc>
          <w:tcPr>
            <w:tcW w:w="873" w:type="dxa"/>
            <w:tcBorders>
              <w:top w:val="single" w:sz="8" w:space="0" w:color="F3CFC1"/>
              <w:left w:val="single" w:sz="8" w:space="0" w:color="D2232A" w:themeColor="accent1"/>
              <w:bottom w:val="single" w:sz="8" w:space="0" w:color="F3CFC1"/>
              <w:right w:val="nil"/>
            </w:tcBorders>
            <w:shd w:val="clear" w:color="auto" w:fill="D2232A" w:themeFill="accent1"/>
            <w:vAlign w:val="center"/>
          </w:tcPr>
          <w:p w14:paraId="5CE93D09" w14:textId="77777777" w:rsidR="00DF2FCE" w:rsidRPr="00DF2FCE" w:rsidRDefault="00DF2FCE" w:rsidP="00AF6F96">
            <w:pPr>
              <w:jc w:val="center"/>
              <w:rPr>
                <w:color w:val="FFFFFF" w:themeColor="background1"/>
                <w:sz w:val="20"/>
                <w:szCs w:val="20"/>
              </w:rPr>
            </w:pPr>
            <w:r w:rsidRPr="00DF2FCE">
              <w:rPr>
                <w:color w:val="FFFFFF" w:themeColor="background1"/>
                <w:sz w:val="20"/>
                <w:szCs w:val="20"/>
              </w:rPr>
              <w:t>47</w:t>
            </w:r>
          </w:p>
        </w:tc>
        <w:tc>
          <w:tcPr>
            <w:tcW w:w="876" w:type="dxa"/>
            <w:tcBorders>
              <w:top w:val="single" w:sz="8" w:space="0" w:color="F3CFC1"/>
              <w:left w:val="nil"/>
              <w:bottom w:val="single" w:sz="8" w:space="0" w:color="F3CFC1"/>
              <w:right w:val="single" w:sz="8" w:space="0" w:color="D2232A" w:themeColor="accent1"/>
            </w:tcBorders>
            <w:shd w:val="clear" w:color="auto" w:fill="D2232A" w:themeFill="accent1"/>
            <w:vAlign w:val="center"/>
          </w:tcPr>
          <w:p w14:paraId="7AD7720F" w14:textId="77777777" w:rsidR="00DF2FCE" w:rsidRPr="00DF2FCE" w:rsidRDefault="00DF2FCE" w:rsidP="00AF6F96">
            <w:pPr>
              <w:jc w:val="center"/>
              <w:rPr>
                <w:color w:val="FFFFFF" w:themeColor="background1"/>
                <w:sz w:val="20"/>
                <w:szCs w:val="20"/>
              </w:rPr>
            </w:pPr>
            <w:r w:rsidRPr="00DF2FCE">
              <w:rPr>
                <w:color w:val="FFFFFF" w:themeColor="background1"/>
                <w:sz w:val="20"/>
                <w:szCs w:val="20"/>
              </w:rPr>
              <w:t>8</w:t>
            </w:r>
          </w:p>
        </w:tc>
        <w:tc>
          <w:tcPr>
            <w:tcW w:w="742"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363FA9F4" w14:textId="77777777" w:rsidR="00DF2FCE" w:rsidRPr="00DF2FCE" w:rsidRDefault="00DF2FCE" w:rsidP="00AF6F96">
            <w:pPr>
              <w:jc w:val="center"/>
              <w:rPr>
                <w:color w:val="FFFFFF" w:themeColor="background1"/>
                <w:sz w:val="20"/>
                <w:szCs w:val="20"/>
              </w:rPr>
            </w:pPr>
            <w:r w:rsidRPr="00DF2FCE">
              <w:rPr>
                <w:color w:val="FFFFFF" w:themeColor="background1"/>
                <w:sz w:val="20"/>
                <w:szCs w:val="20"/>
              </w:rPr>
              <w:t>16</w:t>
            </w:r>
          </w:p>
        </w:tc>
        <w:tc>
          <w:tcPr>
            <w:tcW w:w="859"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4367BCE6" w14:textId="77777777" w:rsidR="00DF2FCE" w:rsidRPr="00DF2FCE" w:rsidRDefault="00DF2FCE" w:rsidP="00AF6F96">
            <w:pPr>
              <w:jc w:val="center"/>
              <w:rPr>
                <w:color w:val="FFFFFF" w:themeColor="background1"/>
                <w:sz w:val="20"/>
                <w:szCs w:val="20"/>
              </w:rPr>
            </w:pPr>
            <w:r w:rsidRPr="00DF2FCE">
              <w:rPr>
                <w:color w:val="FFFFFF" w:themeColor="background1"/>
                <w:sz w:val="20"/>
                <w:szCs w:val="20"/>
              </w:rPr>
              <w:t>18</w:t>
            </w:r>
          </w:p>
        </w:tc>
        <w:tc>
          <w:tcPr>
            <w:tcW w:w="860"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7DC6936D" w14:textId="77777777" w:rsidR="00DF2FCE" w:rsidRPr="00DF2FCE" w:rsidRDefault="00DF2FCE" w:rsidP="00AF6F96">
            <w:pPr>
              <w:jc w:val="center"/>
              <w:rPr>
                <w:color w:val="FFFFFF" w:themeColor="background1"/>
                <w:sz w:val="20"/>
                <w:szCs w:val="20"/>
              </w:rPr>
            </w:pPr>
            <w:r w:rsidRPr="00DF2FCE">
              <w:rPr>
                <w:color w:val="FFFFFF" w:themeColor="background1"/>
                <w:sz w:val="20"/>
                <w:szCs w:val="20"/>
              </w:rPr>
              <w:t>22</w:t>
            </w:r>
          </w:p>
        </w:tc>
        <w:tc>
          <w:tcPr>
            <w:tcW w:w="860"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4612AE90" w14:textId="77777777" w:rsidR="00DF2FCE" w:rsidRPr="00DF2FCE" w:rsidRDefault="00DF2FCE" w:rsidP="00AF6F96">
            <w:pPr>
              <w:jc w:val="center"/>
              <w:rPr>
                <w:color w:val="FFFFFF" w:themeColor="background1"/>
                <w:sz w:val="20"/>
                <w:szCs w:val="20"/>
              </w:rPr>
            </w:pPr>
            <w:r w:rsidRPr="00DF2FCE">
              <w:rPr>
                <w:color w:val="FFFFFF" w:themeColor="background1"/>
                <w:sz w:val="20"/>
                <w:szCs w:val="20"/>
              </w:rPr>
              <w:t>2</w:t>
            </w:r>
          </w:p>
        </w:tc>
        <w:tc>
          <w:tcPr>
            <w:tcW w:w="860"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55BFAECA" w14:textId="78342304" w:rsidR="00DF2FCE" w:rsidRPr="00DF2FCE" w:rsidRDefault="004A23CA" w:rsidP="00AF6F96">
            <w:pPr>
              <w:jc w:val="center"/>
              <w:rPr>
                <w:color w:val="FFFFFF" w:themeColor="background1"/>
                <w:sz w:val="20"/>
                <w:szCs w:val="20"/>
              </w:rPr>
            </w:pPr>
            <w:r>
              <w:rPr>
                <w:color w:val="FFFFFF" w:themeColor="background1"/>
                <w:sz w:val="20"/>
                <w:szCs w:val="20"/>
              </w:rPr>
              <w:t>16</w:t>
            </w:r>
          </w:p>
        </w:tc>
        <w:tc>
          <w:tcPr>
            <w:tcW w:w="867"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35A16B7A" w14:textId="44EB3FE9" w:rsidR="00DF2FCE" w:rsidRPr="00DF2FCE" w:rsidRDefault="004A23CA" w:rsidP="00AF6F96">
            <w:pPr>
              <w:jc w:val="center"/>
              <w:rPr>
                <w:color w:val="FFFFFF" w:themeColor="background1"/>
                <w:sz w:val="20"/>
                <w:szCs w:val="20"/>
              </w:rPr>
            </w:pPr>
            <w:r>
              <w:rPr>
                <w:color w:val="FFFFFF" w:themeColor="background1"/>
                <w:sz w:val="20"/>
                <w:szCs w:val="20"/>
              </w:rPr>
              <w:t>24</w:t>
            </w:r>
          </w:p>
        </w:tc>
        <w:tc>
          <w:tcPr>
            <w:tcW w:w="860"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0CA4F6F9" w14:textId="6A6E0598" w:rsidR="00DF2FCE" w:rsidRPr="00DF2FCE" w:rsidRDefault="00764F69" w:rsidP="00AF6F96">
            <w:pPr>
              <w:jc w:val="center"/>
              <w:rPr>
                <w:color w:val="FFFFFF" w:themeColor="background1"/>
                <w:sz w:val="20"/>
                <w:szCs w:val="20"/>
              </w:rPr>
            </w:pPr>
            <w:r>
              <w:rPr>
                <w:color w:val="FFFFFF" w:themeColor="background1"/>
                <w:sz w:val="20"/>
                <w:szCs w:val="20"/>
              </w:rPr>
              <w:t>6</w:t>
            </w:r>
          </w:p>
        </w:tc>
        <w:tc>
          <w:tcPr>
            <w:tcW w:w="860"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2FA36528" w14:textId="13B3811C" w:rsidR="00DF2FCE" w:rsidRPr="00DF2FCE" w:rsidRDefault="00AF6F96" w:rsidP="00AF6F96">
            <w:pPr>
              <w:jc w:val="center"/>
              <w:rPr>
                <w:color w:val="FFFFFF" w:themeColor="background1"/>
                <w:sz w:val="20"/>
                <w:szCs w:val="20"/>
              </w:rPr>
            </w:pPr>
            <w:r>
              <w:rPr>
                <w:color w:val="FFFFFF" w:themeColor="background1"/>
                <w:sz w:val="20"/>
                <w:szCs w:val="20"/>
              </w:rPr>
              <w:t>0</w:t>
            </w:r>
          </w:p>
        </w:tc>
        <w:tc>
          <w:tcPr>
            <w:tcW w:w="860"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2A6C79F0" w14:textId="3104129E" w:rsidR="00DF2FCE" w:rsidRPr="00DF2FCE" w:rsidRDefault="00AF6F96" w:rsidP="00AF6F96">
            <w:pPr>
              <w:jc w:val="center"/>
              <w:rPr>
                <w:color w:val="FFFFFF" w:themeColor="background1"/>
                <w:sz w:val="20"/>
                <w:szCs w:val="20"/>
              </w:rPr>
            </w:pPr>
            <w:r>
              <w:rPr>
                <w:color w:val="FFFFFF" w:themeColor="background1"/>
                <w:sz w:val="20"/>
                <w:szCs w:val="20"/>
              </w:rPr>
              <w:t>2</w:t>
            </w:r>
          </w:p>
        </w:tc>
        <w:tc>
          <w:tcPr>
            <w:tcW w:w="966" w:type="dxa"/>
            <w:tcBorders>
              <w:top w:val="single" w:sz="8" w:space="0" w:color="F3CFC1"/>
              <w:left w:val="single" w:sz="8" w:space="0" w:color="D2232A" w:themeColor="accent1"/>
              <w:bottom w:val="single" w:sz="8" w:space="0" w:color="F3CFC1"/>
              <w:right w:val="single" w:sz="8" w:space="0" w:color="D2232A" w:themeColor="accent1"/>
            </w:tcBorders>
            <w:shd w:val="clear" w:color="auto" w:fill="D2232A" w:themeFill="accent1"/>
            <w:vAlign w:val="center"/>
          </w:tcPr>
          <w:p w14:paraId="1E8EADD4" w14:textId="72560923" w:rsidR="00DF2FCE" w:rsidRPr="00DF2FCE" w:rsidRDefault="003A6CE8" w:rsidP="00AF6F96">
            <w:pPr>
              <w:jc w:val="center"/>
              <w:rPr>
                <w:color w:val="FFFFFF" w:themeColor="background1"/>
                <w:sz w:val="20"/>
                <w:szCs w:val="20"/>
              </w:rPr>
            </w:pPr>
            <w:r>
              <w:rPr>
                <w:color w:val="FFFFFF" w:themeColor="background1"/>
                <w:sz w:val="20"/>
                <w:szCs w:val="20"/>
              </w:rPr>
              <w:t>1</w:t>
            </w:r>
          </w:p>
        </w:tc>
        <w:tc>
          <w:tcPr>
            <w:tcW w:w="866" w:type="dxa"/>
            <w:tcBorders>
              <w:top w:val="single" w:sz="8" w:space="0" w:color="F3CFC1"/>
              <w:left w:val="single" w:sz="8" w:space="0" w:color="D2232A" w:themeColor="accent1"/>
              <w:bottom w:val="single" w:sz="8" w:space="0" w:color="F3CFC1"/>
              <w:right w:val="nil"/>
            </w:tcBorders>
            <w:shd w:val="clear" w:color="auto" w:fill="D2232A" w:themeFill="accent1"/>
            <w:vAlign w:val="center"/>
          </w:tcPr>
          <w:p w14:paraId="62AF55FC" w14:textId="77777777" w:rsidR="00DF2FCE" w:rsidRPr="00DF2FCE" w:rsidRDefault="00DF2FCE" w:rsidP="00AF6F96">
            <w:pPr>
              <w:jc w:val="center"/>
              <w:rPr>
                <w:sz w:val="20"/>
                <w:szCs w:val="20"/>
              </w:rPr>
            </w:pPr>
            <w:r w:rsidRPr="00DF2FCE">
              <w:rPr>
                <w:color w:val="FFFFFF" w:themeColor="background1"/>
                <w:sz w:val="20"/>
                <w:szCs w:val="20"/>
              </w:rPr>
              <w:t>2</w:t>
            </w:r>
          </w:p>
        </w:tc>
        <w:tc>
          <w:tcPr>
            <w:tcW w:w="869" w:type="dxa"/>
            <w:tcBorders>
              <w:top w:val="single" w:sz="8" w:space="0" w:color="F3CFC1"/>
              <w:left w:val="nil"/>
              <w:bottom w:val="single" w:sz="8" w:space="0" w:color="F3CFC1"/>
              <w:right w:val="single" w:sz="8" w:space="0" w:color="D2232A" w:themeColor="accent1"/>
            </w:tcBorders>
            <w:shd w:val="clear" w:color="auto" w:fill="D2232A" w:themeFill="accent1"/>
            <w:vAlign w:val="center"/>
          </w:tcPr>
          <w:p w14:paraId="7B8298AF" w14:textId="77777777" w:rsidR="00DF2FCE" w:rsidRPr="00DF2FCE" w:rsidRDefault="00DF2FCE" w:rsidP="00AF6F96">
            <w:pPr>
              <w:jc w:val="center"/>
              <w:rPr>
                <w:sz w:val="20"/>
                <w:szCs w:val="20"/>
              </w:rPr>
            </w:pPr>
            <w:r w:rsidRPr="00DF2FCE">
              <w:rPr>
                <w:color w:val="FFFFFF" w:themeColor="background1"/>
                <w:sz w:val="20"/>
                <w:szCs w:val="20"/>
              </w:rPr>
              <w:t>0</w:t>
            </w:r>
          </w:p>
        </w:tc>
        <w:tc>
          <w:tcPr>
            <w:tcW w:w="868" w:type="dxa"/>
            <w:tcBorders>
              <w:top w:val="single" w:sz="8" w:space="0" w:color="F3CFC1"/>
              <w:left w:val="nil"/>
              <w:bottom w:val="single" w:sz="8" w:space="0" w:color="F3CFC1"/>
              <w:right w:val="nil"/>
            </w:tcBorders>
            <w:shd w:val="clear" w:color="auto" w:fill="D2232A" w:themeFill="accent1"/>
            <w:vAlign w:val="center"/>
          </w:tcPr>
          <w:p w14:paraId="5C28603E" w14:textId="1BEAF5E4" w:rsidR="00DF2FCE" w:rsidRPr="00DF2FCE" w:rsidRDefault="00242DF3" w:rsidP="00AF6F96">
            <w:pPr>
              <w:jc w:val="center"/>
              <w:rPr>
                <w:color w:val="FFFFFF" w:themeColor="background1"/>
                <w:sz w:val="20"/>
                <w:szCs w:val="20"/>
              </w:rPr>
            </w:pPr>
            <w:r>
              <w:rPr>
                <w:color w:val="FFFFFF" w:themeColor="background1"/>
                <w:sz w:val="20"/>
                <w:szCs w:val="20"/>
              </w:rPr>
              <w:t>1</w:t>
            </w:r>
          </w:p>
        </w:tc>
        <w:tc>
          <w:tcPr>
            <w:tcW w:w="869" w:type="dxa"/>
            <w:tcBorders>
              <w:top w:val="single" w:sz="8" w:space="0" w:color="F3CFC1"/>
              <w:left w:val="nil"/>
              <w:bottom w:val="single" w:sz="8" w:space="0" w:color="F3CFC1"/>
              <w:right w:val="single" w:sz="8" w:space="0" w:color="D2232A" w:themeColor="accent1"/>
            </w:tcBorders>
            <w:shd w:val="clear" w:color="auto" w:fill="D2232A" w:themeFill="accent1"/>
            <w:vAlign w:val="center"/>
          </w:tcPr>
          <w:p w14:paraId="14010F4E" w14:textId="1BA5F16F" w:rsidR="00DF2FCE" w:rsidRPr="00DF2FCE" w:rsidRDefault="00242DF3" w:rsidP="00AF6F96">
            <w:pPr>
              <w:jc w:val="center"/>
              <w:rPr>
                <w:color w:val="FFFFFF" w:themeColor="background1"/>
                <w:sz w:val="20"/>
                <w:szCs w:val="20"/>
              </w:rPr>
            </w:pPr>
            <w:r>
              <w:rPr>
                <w:color w:val="FFFFFF" w:themeColor="background1"/>
                <w:sz w:val="20"/>
                <w:szCs w:val="20"/>
              </w:rPr>
              <w:t>1</w:t>
            </w:r>
          </w:p>
        </w:tc>
      </w:tr>
      <w:tr w:rsidR="00C13F1D" w:rsidRPr="00DF2FCE" w14:paraId="245D0C2E" w14:textId="77777777" w:rsidTr="00AF6F96">
        <w:trPr>
          <w:trHeight w:val="733"/>
        </w:trPr>
        <w:tc>
          <w:tcPr>
            <w:tcW w:w="1520" w:type="dxa"/>
            <w:tcBorders>
              <w:top w:val="single" w:sz="8" w:space="0" w:color="F3CFC1"/>
              <w:left w:val="single" w:sz="8" w:space="0" w:color="D2232A" w:themeColor="accent1"/>
              <w:bottom w:val="single" w:sz="8" w:space="0" w:color="F3CFC1"/>
              <w:right w:val="single" w:sz="4" w:space="0" w:color="C00000"/>
            </w:tcBorders>
          </w:tcPr>
          <w:p w14:paraId="416506EE" w14:textId="77777777" w:rsidR="00DF2FCE" w:rsidRPr="00DF2FCE" w:rsidRDefault="00DF2FCE" w:rsidP="00DF2FCE">
            <w:pPr>
              <w:jc w:val="left"/>
              <w:rPr>
                <w:sz w:val="20"/>
                <w:szCs w:val="20"/>
              </w:rPr>
            </w:pPr>
            <w:r w:rsidRPr="00DF2FCE">
              <w:rPr>
                <w:b/>
                <w:bCs/>
                <w:sz w:val="20"/>
                <w:szCs w:val="20"/>
              </w:rPr>
              <w:t xml:space="preserve">Sjeverna Hrvatska s Gradom Zagrebom </w:t>
            </w:r>
          </w:p>
        </w:tc>
        <w:tc>
          <w:tcPr>
            <w:tcW w:w="873" w:type="dxa"/>
            <w:tcBorders>
              <w:top w:val="single" w:sz="8" w:space="0" w:color="F3CFC1"/>
              <w:left w:val="single" w:sz="8" w:space="0" w:color="D2232A" w:themeColor="accent1"/>
              <w:bottom w:val="single" w:sz="8" w:space="0" w:color="F3CFC1"/>
              <w:right w:val="nil"/>
            </w:tcBorders>
            <w:vAlign w:val="center"/>
          </w:tcPr>
          <w:p w14:paraId="5BC7B705" w14:textId="77777777" w:rsidR="00DF2FCE" w:rsidRPr="00DF2FCE" w:rsidRDefault="00DF2FCE" w:rsidP="00AF6F96">
            <w:pPr>
              <w:jc w:val="center"/>
              <w:rPr>
                <w:sz w:val="20"/>
                <w:szCs w:val="20"/>
              </w:rPr>
            </w:pPr>
            <w:r w:rsidRPr="00DF2FCE">
              <w:rPr>
                <w:sz w:val="20"/>
                <w:szCs w:val="20"/>
              </w:rPr>
              <w:t>3259</w:t>
            </w:r>
          </w:p>
        </w:tc>
        <w:tc>
          <w:tcPr>
            <w:tcW w:w="876" w:type="dxa"/>
            <w:tcBorders>
              <w:top w:val="single" w:sz="8" w:space="0" w:color="F3CFC1"/>
              <w:left w:val="nil"/>
              <w:bottom w:val="single" w:sz="8" w:space="0" w:color="F3CFC1"/>
              <w:right w:val="single" w:sz="4" w:space="0" w:color="FFFFFF" w:themeColor="background1"/>
            </w:tcBorders>
            <w:vAlign w:val="center"/>
          </w:tcPr>
          <w:p w14:paraId="17C51D80" w14:textId="77777777" w:rsidR="00DF2FCE" w:rsidRPr="00DF2FCE" w:rsidRDefault="00DF2FCE" w:rsidP="00AF6F96">
            <w:pPr>
              <w:jc w:val="center"/>
              <w:rPr>
                <w:sz w:val="20"/>
                <w:szCs w:val="20"/>
              </w:rPr>
            </w:pPr>
            <w:r w:rsidRPr="00DF2FCE">
              <w:rPr>
                <w:sz w:val="20"/>
                <w:szCs w:val="20"/>
              </w:rPr>
              <w:t>677</w:t>
            </w:r>
          </w:p>
        </w:tc>
        <w:tc>
          <w:tcPr>
            <w:tcW w:w="742"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00097372" w14:textId="77777777" w:rsidR="00DF2FCE" w:rsidRPr="00DF2FCE" w:rsidRDefault="00DF2FCE" w:rsidP="00AF6F96">
            <w:pPr>
              <w:jc w:val="center"/>
              <w:rPr>
                <w:sz w:val="20"/>
                <w:szCs w:val="20"/>
              </w:rPr>
            </w:pPr>
            <w:r w:rsidRPr="00DF2FCE">
              <w:rPr>
                <w:sz w:val="20"/>
                <w:szCs w:val="20"/>
              </w:rPr>
              <w:t>1026</w:t>
            </w:r>
          </w:p>
        </w:tc>
        <w:tc>
          <w:tcPr>
            <w:tcW w:w="859"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059E9BE2" w14:textId="77777777" w:rsidR="00DF2FCE" w:rsidRPr="00DF2FCE" w:rsidRDefault="00DF2FCE" w:rsidP="00AF6F96">
            <w:pPr>
              <w:jc w:val="center"/>
              <w:rPr>
                <w:sz w:val="20"/>
                <w:szCs w:val="20"/>
              </w:rPr>
            </w:pPr>
            <w:r w:rsidRPr="00DF2FCE">
              <w:rPr>
                <w:sz w:val="20"/>
                <w:szCs w:val="20"/>
              </w:rPr>
              <w:t>759</w:t>
            </w:r>
          </w:p>
        </w:tc>
        <w:tc>
          <w:tcPr>
            <w:tcW w:w="860" w:type="dxa"/>
            <w:tcBorders>
              <w:top w:val="single" w:sz="8" w:space="0" w:color="F3CFC1"/>
              <w:left w:val="single" w:sz="8" w:space="0" w:color="D2232A" w:themeColor="accent1"/>
              <w:bottom w:val="single" w:sz="8" w:space="0" w:color="F3CFC1"/>
              <w:right w:val="single" w:sz="4" w:space="0" w:color="FFFFFF"/>
            </w:tcBorders>
            <w:vAlign w:val="center"/>
          </w:tcPr>
          <w:p w14:paraId="30CEDACF" w14:textId="2A26210B" w:rsidR="00DF2FCE" w:rsidRPr="00DF2FCE" w:rsidRDefault="00DF2FCE" w:rsidP="00AF6F96">
            <w:pPr>
              <w:jc w:val="center"/>
              <w:rPr>
                <w:sz w:val="20"/>
                <w:szCs w:val="20"/>
              </w:rPr>
            </w:pPr>
            <w:r w:rsidRPr="00DF2FCE">
              <w:rPr>
                <w:sz w:val="20"/>
                <w:szCs w:val="20"/>
              </w:rPr>
              <w:t>2.7</w:t>
            </w:r>
            <w:r w:rsidR="0071473D">
              <w:rPr>
                <w:sz w:val="20"/>
                <w:szCs w:val="20"/>
              </w:rPr>
              <w:t>7</w:t>
            </w:r>
            <w:r w:rsidRPr="00DF2FCE">
              <w:rPr>
                <w:sz w:val="20"/>
                <w:szCs w:val="20"/>
              </w:rPr>
              <w:t>5</w:t>
            </w:r>
          </w:p>
        </w:tc>
        <w:tc>
          <w:tcPr>
            <w:tcW w:w="860" w:type="dxa"/>
            <w:tcBorders>
              <w:top w:val="single" w:sz="8" w:space="0" w:color="F3CFC1"/>
              <w:left w:val="single" w:sz="4" w:space="0" w:color="FFFFFF"/>
              <w:bottom w:val="single" w:sz="8" w:space="0" w:color="F3CFC1"/>
              <w:right w:val="single" w:sz="4" w:space="0" w:color="FFFFFF"/>
            </w:tcBorders>
            <w:vAlign w:val="center"/>
          </w:tcPr>
          <w:p w14:paraId="0AAD170E" w14:textId="77777777" w:rsidR="00DF2FCE" w:rsidRPr="00DF2FCE" w:rsidRDefault="00DF2FCE" w:rsidP="00AF6F96">
            <w:pPr>
              <w:jc w:val="center"/>
              <w:rPr>
                <w:sz w:val="20"/>
                <w:szCs w:val="20"/>
              </w:rPr>
            </w:pPr>
            <w:r w:rsidRPr="00DF2FCE">
              <w:rPr>
                <w:sz w:val="20"/>
                <w:szCs w:val="20"/>
              </w:rPr>
              <w:t>597</w:t>
            </w:r>
          </w:p>
        </w:tc>
        <w:tc>
          <w:tcPr>
            <w:tcW w:w="860" w:type="dxa"/>
            <w:tcBorders>
              <w:top w:val="single" w:sz="8" w:space="0" w:color="F3CFC1"/>
              <w:left w:val="single" w:sz="4" w:space="0" w:color="FFFFFF"/>
              <w:bottom w:val="single" w:sz="8" w:space="0" w:color="F3CFC1"/>
              <w:right w:val="single" w:sz="4" w:space="0" w:color="FFFFFF"/>
            </w:tcBorders>
            <w:vAlign w:val="center"/>
          </w:tcPr>
          <w:p w14:paraId="2D5A2BE9" w14:textId="58659BC1" w:rsidR="00DF2FCE" w:rsidRPr="00DF2FCE" w:rsidRDefault="004A23CA" w:rsidP="00AF6F96">
            <w:pPr>
              <w:jc w:val="center"/>
              <w:rPr>
                <w:sz w:val="20"/>
                <w:szCs w:val="20"/>
              </w:rPr>
            </w:pPr>
            <w:r>
              <w:rPr>
                <w:sz w:val="20"/>
                <w:szCs w:val="20"/>
              </w:rPr>
              <w:t>684</w:t>
            </w:r>
          </w:p>
        </w:tc>
        <w:tc>
          <w:tcPr>
            <w:tcW w:w="867" w:type="dxa"/>
            <w:tcBorders>
              <w:top w:val="single" w:sz="8" w:space="0" w:color="F3CFC1"/>
              <w:left w:val="single" w:sz="4" w:space="0" w:color="FFFFFF"/>
              <w:bottom w:val="single" w:sz="8" w:space="0" w:color="F3CFC1"/>
              <w:right w:val="single" w:sz="8" w:space="0" w:color="D2232A" w:themeColor="accent1"/>
            </w:tcBorders>
            <w:vAlign w:val="center"/>
          </w:tcPr>
          <w:p w14:paraId="7753497B" w14:textId="2AB65232" w:rsidR="00DF2FCE" w:rsidRPr="00DF2FCE" w:rsidRDefault="004A23CA" w:rsidP="00AF6F96">
            <w:pPr>
              <w:jc w:val="center"/>
              <w:rPr>
                <w:sz w:val="20"/>
                <w:szCs w:val="20"/>
              </w:rPr>
            </w:pPr>
            <w:r>
              <w:rPr>
                <w:sz w:val="20"/>
                <w:szCs w:val="20"/>
              </w:rPr>
              <w:t>717</w:t>
            </w:r>
          </w:p>
        </w:tc>
        <w:tc>
          <w:tcPr>
            <w:tcW w:w="860" w:type="dxa"/>
            <w:tcBorders>
              <w:top w:val="single" w:sz="8" w:space="0" w:color="F3CFC1"/>
              <w:left w:val="single" w:sz="8" w:space="0" w:color="D2232A" w:themeColor="accent1"/>
              <w:bottom w:val="single" w:sz="8" w:space="0" w:color="F3CFC1"/>
              <w:right w:val="single" w:sz="4" w:space="0" w:color="FFFFFF" w:themeColor="background1"/>
            </w:tcBorders>
            <w:vAlign w:val="center"/>
          </w:tcPr>
          <w:p w14:paraId="5136EA98" w14:textId="50F5B7FF" w:rsidR="00DF2FCE" w:rsidRPr="00DF2FCE" w:rsidRDefault="00764F69" w:rsidP="00AF6F96">
            <w:pPr>
              <w:jc w:val="center"/>
              <w:rPr>
                <w:sz w:val="20"/>
                <w:szCs w:val="20"/>
              </w:rPr>
            </w:pPr>
            <w:r>
              <w:rPr>
                <w:sz w:val="20"/>
                <w:szCs w:val="20"/>
              </w:rPr>
              <w:t>389</w:t>
            </w:r>
          </w:p>
        </w:tc>
        <w:tc>
          <w:tcPr>
            <w:tcW w:w="860"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42D2AD40" w14:textId="31CA1114" w:rsidR="00DF2FCE" w:rsidRPr="00DF2FCE" w:rsidRDefault="00AF6F96" w:rsidP="00AF6F96">
            <w:pPr>
              <w:jc w:val="center"/>
              <w:rPr>
                <w:sz w:val="20"/>
                <w:szCs w:val="20"/>
              </w:rPr>
            </w:pPr>
            <w:r>
              <w:rPr>
                <w:sz w:val="20"/>
                <w:szCs w:val="20"/>
              </w:rPr>
              <w:t>80</w:t>
            </w:r>
          </w:p>
        </w:tc>
        <w:tc>
          <w:tcPr>
            <w:tcW w:w="860" w:type="dxa"/>
            <w:tcBorders>
              <w:top w:val="single" w:sz="8" w:space="0" w:color="F3CFC1"/>
              <w:left w:val="single" w:sz="4" w:space="0" w:color="FFFFFF" w:themeColor="background1"/>
              <w:bottom w:val="single" w:sz="8" w:space="0" w:color="F3CFC1"/>
              <w:right w:val="single" w:sz="4" w:space="0" w:color="FFFFFF" w:themeColor="background1"/>
            </w:tcBorders>
            <w:vAlign w:val="center"/>
          </w:tcPr>
          <w:p w14:paraId="274D3689" w14:textId="205F1FBF" w:rsidR="00DF2FCE" w:rsidRPr="00DF2FCE" w:rsidRDefault="003A6CE8" w:rsidP="00AF6F96">
            <w:pPr>
              <w:jc w:val="center"/>
              <w:rPr>
                <w:sz w:val="20"/>
                <w:szCs w:val="20"/>
              </w:rPr>
            </w:pPr>
            <w:r>
              <w:rPr>
                <w:sz w:val="20"/>
                <w:szCs w:val="20"/>
              </w:rPr>
              <w:t>76</w:t>
            </w:r>
          </w:p>
        </w:tc>
        <w:tc>
          <w:tcPr>
            <w:tcW w:w="966" w:type="dxa"/>
            <w:tcBorders>
              <w:top w:val="single" w:sz="8" w:space="0" w:color="F3CFC1"/>
              <w:left w:val="single" w:sz="4" w:space="0" w:color="FFFFFF" w:themeColor="background1"/>
              <w:bottom w:val="single" w:sz="8" w:space="0" w:color="F3CFC1"/>
              <w:right w:val="single" w:sz="8" w:space="0" w:color="D2232A" w:themeColor="accent1"/>
            </w:tcBorders>
            <w:vAlign w:val="center"/>
          </w:tcPr>
          <w:p w14:paraId="5831E7C8" w14:textId="22F25144" w:rsidR="00DF2FCE" w:rsidRPr="00DF2FCE" w:rsidRDefault="003A6CE8" w:rsidP="00AF6F96">
            <w:pPr>
              <w:jc w:val="center"/>
              <w:rPr>
                <w:sz w:val="20"/>
                <w:szCs w:val="20"/>
              </w:rPr>
            </w:pPr>
            <w:r>
              <w:rPr>
                <w:sz w:val="20"/>
                <w:szCs w:val="20"/>
              </w:rPr>
              <w:t>94</w:t>
            </w:r>
          </w:p>
        </w:tc>
        <w:tc>
          <w:tcPr>
            <w:tcW w:w="866" w:type="dxa"/>
            <w:tcBorders>
              <w:top w:val="single" w:sz="8" w:space="0" w:color="F3CFC1"/>
              <w:left w:val="single" w:sz="8" w:space="0" w:color="D2232A" w:themeColor="accent1"/>
              <w:bottom w:val="single" w:sz="8" w:space="0" w:color="F3CFC1"/>
              <w:right w:val="nil"/>
            </w:tcBorders>
            <w:vAlign w:val="center"/>
          </w:tcPr>
          <w:p w14:paraId="0D95BE79" w14:textId="77777777" w:rsidR="00DF2FCE" w:rsidRPr="00DF2FCE" w:rsidRDefault="00DF2FCE" w:rsidP="00AF6F96">
            <w:pPr>
              <w:jc w:val="center"/>
              <w:rPr>
                <w:sz w:val="20"/>
                <w:szCs w:val="20"/>
              </w:rPr>
            </w:pPr>
            <w:r w:rsidRPr="00DF2FCE">
              <w:rPr>
                <w:sz w:val="20"/>
                <w:szCs w:val="20"/>
              </w:rPr>
              <w:t>285</w:t>
            </w:r>
          </w:p>
        </w:tc>
        <w:tc>
          <w:tcPr>
            <w:tcW w:w="869" w:type="dxa"/>
            <w:tcBorders>
              <w:top w:val="single" w:sz="8" w:space="0" w:color="F3CFC1"/>
              <w:left w:val="nil"/>
              <w:bottom w:val="single" w:sz="8" w:space="0" w:color="F3CFC1"/>
              <w:right w:val="single" w:sz="4" w:space="0" w:color="FFFFFF" w:themeColor="background1"/>
            </w:tcBorders>
            <w:vAlign w:val="center"/>
          </w:tcPr>
          <w:p w14:paraId="44B8E121" w14:textId="77777777" w:rsidR="00DF2FCE" w:rsidRPr="00DF2FCE" w:rsidRDefault="00DF2FCE" w:rsidP="00AF6F96">
            <w:pPr>
              <w:jc w:val="center"/>
              <w:rPr>
                <w:sz w:val="20"/>
                <w:szCs w:val="20"/>
              </w:rPr>
            </w:pPr>
            <w:r w:rsidRPr="00DF2FCE">
              <w:rPr>
                <w:sz w:val="20"/>
                <w:szCs w:val="20"/>
              </w:rPr>
              <w:t>65</w:t>
            </w:r>
          </w:p>
        </w:tc>
        <w:tc>
          <w:tcPr>
            <w:tcW w:w="868" w:type="dxa"/>
            <w:tcBorders>
              <w:top w:val="single" w:sz="8" w:space="0" w:color="F3CFC1"/>
              <w:left w:val="single" w:sz="4" w:space="0" w:color="FFFFFF" w:themeColor="background1"/>
              <w:bottom w:val="single" w:sz="8" w:space="0" w:color="F3CFC1"/>
              <w:right w:val="nil"/>
            </w:tcBorders>
            <w:vAlign w:val="center"/>
          </w:tcPr>
          <w:p w14:paraId="03A1792C" w14:textId="2228AE90" w:rsidR="00DF2FCE" w:rsidRPr="00DF2FCE" w:rsidRDefault="00242DF3" w:rsidP="00AF6F96">
            <w:pPr>
              <w:jc w:val="center"/>
              <w:rPr>
                <w:sz w:val="20"/>
                <w:szCs w:val="20"/>
              </w:rPr>
            </w:pPr>
            <w:r>
              <w:rPr>
                <w:sz w:val="20"/>
                <w:szCs w:val="20"/>
              </w:rPr>
              <w:t>46</w:t>
            </w:r>
          </w:p>
        </w:tc>
        <w:tc>
          <w:tcPr>
            <w:tcW w:w="869" w:type="dxa"/>
            <w:tcBorders>
              <w:top w:val="single" w:sz="8" w:space="0" w:color="F3CFC1"/>
              <w:left w:val="nil"/>
              <w:bottom w:val="single" w:sz="8" w:space="0" w:color="F3CFC1"/>
              <w:right w:val="single" w:sz="8" w:space="0" w:color="D2232A" w:themeColor="accent1"/>
            </w:tcBorders>
            <w:vAlign w:val="center"/>
          </w:tcPr>
          <w:p w14:paraId="64B239B7" w14:textId="583DF1E9" w:rsidR="00DF2FCE" w:rsidRPr="00DF2FCE" w:rsidRDefault="00242DF3" w:rsidP="00AF6F96">
            <w:pPr>
              <w:jc w:val="center"/>
              <w:rPr>
                <w:sz w:val="20"/>
                <w:szCs w:val="20"/>
              </w:rPr>
            </w:pPr>
            <w:r>
              <w:rPr>
                <w:sz w:val="20"/>
                <w:szCs w:val="20"/>
              </w:rPr>
              <w:t>67</w:t>
            </w:r>
          </w:p>
        </w:tc>
      </w:tr>
      <w:tr w:rsidR="00C13F1D" w:rsidRPr="00DF2FCE" w14:paraId="7F265442" w14:textId="77777777" w:rsidTr="00AF6F96">
        <w:trPr>
          <w:trHeight w:val="453"/>
        </w:trPr>
        <w:tc>
          <w:tcPr>
            <w:tcW w:w="1520" w:type="dxa"/>
            <w:tcBorders>
              <w:top w:val="single" w:sz="8" w:space="0" w:color="F3CFC1"/>
              <w:left w:val="single" w:sz="8" w:space="0" w:color="D2232A" w:themeColor="accent1"/>
              <w:bottom w:val="nil"/>
              <w:right w:val="single" w:sz="4" w:space="0" w:color="C00000"/>
            </w:tcBorders>
          </w:tcPr>
          <w:p w14:paraId="20A90D5D" w14:textId="77777777" w:rsidR="00DF2FCE" w:rsidRPr="00DF2FCE" w:rsidRDefault="00DF2FCE" w:rsidP="00DF2FCE">
            <w:pPr>
              <w:jc w:val="left"/>
              <w:rPr>
                <w:sz w:val="20"/>
                <w:szCs w:val="20"/>
              </w:rPr>
            </w:pPr>
            <w:r w:rsidRPr="00DF2FCE">
              <w:rPr>
                <w:b/>
                <w:bCs/>
                <w:sz w:val="20"/>
                <w:szCs w:val="20"/>
              </w:rPr>
              <w:t>Republika Hrvatska</w:t>
            </w:r>
          </w:p>
        </w:tc>
        <w:tc>
          <w:tcPr>
            <w:tcW w:w="873" w:type="dxa"/>
            <w:tcBorders>
              <w:top w:val="single" w:sz="8" w:space="0" w:color="F3CFC1"/>
              <w:left w:val="single" w:sz="8" w:space="0" w:color="D2232A" w:themeColor="accent1"/>
              <w:bottom w:val="nil"/>
              <w:right w:val="nil"/>
            </w:tcBorders>
            <w:vAlign w:val="center"/>
          </w:tcPr>
          <w:p w14:paraId="10727BA9" w14:textId="0230B6C8" w:rsidR="00DF2FCE" w:rsidRPr="00DF2FCE" w:rsidRDefault="00976DC3" w:rsidP="00AF6F96">
            <w:pPr>
              <w:jc w:val="center"/>
              <w:rPr>
                <w:sz w:val="20"/>
                <w:szCs w:val="20"/>
              </w:rPr>
            </w:pPr>
            <w:r>
              <w:rPr>
                <w:sz w:val="20"/>
                <w:szCs w:val="20"/>
              </w:rPr>
              <w:t>4905</w:t>
            </w:r>
          </w:p>
        </w:tc>
        <w:tc>
          <w:tcPr>
            <w:tcW w:w="876" w:type="dxa"/>
            <w:tcBorders>
              <w:top w:val="single" w:sz="8" w:space="0" w:color="F3CFC1"/>
              <w:left w:val="nil"/>
              <w:bottom w:val="nil"/>
              <w:right w:val="single" w:sz="4" w:space="0" w:color="FFFFFF" w:themeColor="background1"/>
            </w:tcBorders>
            <w:vAlign w:val="center"/>
          </w:tcPr>
          <w:p w14:paraId="12FEB1D4" w14:textId="238763E9" w:rsidR="00DF2FCE" w:rsidRPr="00DF2FCE" w:rsidRDefault="00976DC3" w:rsidP="00AF6F96">
            <w:pPr>
              <w:jc w:val="center"/>
              <w:rPr>
                <w:sz w:val="20"/>
                <w:szCs w:val="20"/>
              </w:rPr>
            </w:pPr>
            <w:r>
              <w:rPr>
                <w:sz w:val="20"/>
                <w:szCs w:val="20"/>
              </w:rPr>
              <w:t>1057</w:t>
            </w:r>
          </w:p>
        </w:tc>
        <w:tc>
          <w:tcPr>
            <w:tcW w:w="742" w:type="dxa"/>
            <w:tcBorders>
              <w:top w:val="single" w:sz="8" w:space="0" w:color="F3CFC1"/>
              <w:left w:val="single" w:sz="4" w:space="0" w:color="FFFFFF" w:themeColor="background1"/>
              <w:bottom w:val="nil"/>
              <w:right w:val="single" w:sz="4" w:space="0" w:color="FFFFFF" w:themeColor="background1"/>
            </w:tcBorders>
            <w:vAlign w:val="center"/>
          </w:tcPr>
          <w:p w14:paraId="4FF8C4AB" w14:textId="77777777" w:rsidR="00DF2FCE" w:rsidRPr="00DF2FCE" w:rsidRDefault="00DF2FCE" w:rsidP="00AF6F96">
            <w:pPr>
              <w:jc w:val="center"/>
              <w:rPr>
                <w:sz w:val="20"/>
                <w:szCs w:val="20"/>
              </w:rPr>
            </w:pPr>
            <w:r w:rsidRPr="00DF2FCE">
              <w:rPr>
                <w:sz w:val="20"/>
                <w:szCs w:val="20"/>
              </w:rPr>
              <w:t>1490</w:t>
            </w:r>
          </w:p>
        </w:tc>
        <w:tc>
          <w:tcPr>
            <w:tcW w:w="859" w:type="dxa"/>
            <w:tcBorders>
              <w:top w:val="single" w:sz="8" w:space="0" w:color="F3CFC1"/>
              <w:left w:val="single" w:sz="4" w:space="0" w:color="FFFFFF" w:themeColor="background1"/>
              <w:bottom w:val="nil"/>
              <w:right w:val="single" w:sz="8" w:space="0" w:color="D2232A" w:themeColor="accent1"/>
            </w:tcBorders>
            <w:vAlign w:val="center"/>
          </w:tcPr>
          <w:p w14:paraId="159DA5DF" w14:textId="77777777" w:rsidR="00DF2FCE" w:rsidRPr="00DF2FCE" w:rsidRDefault="00DF2FCE" w:rsidP="00AF6F96">
            <w:pPr>
              <w:jc w:val="center"/>
              <w:rPr>
                <w:sz w:val="20"/>
                <w:szCs w:val="20"/>
              </w:rPr>
            </w:pPr>
            <w:r w:rsidRPr="00DF2FCE">
              <w:rPr>
                <w:sz w:val="20"/>
                <w:szCs w:val="20"/>
              </w:rPr>
              <w:t>1217</w:t>
            </w:r>
          </w:p>
        </w:tc>
        <w:tc>
          <w:tcPr>
            <w:tcW w:w="860" w:type="dxa"/>
            <w:tcBorders>
              <w:top w:val="single" w:sz="8" w:space="0" w:color="F3CFC1"/>
              <w:left w:val="single" w:sz="8" w:space="0" w:color="D2232A" w:themeColor="accent1"/>
              <w:bottom w:val="nil"/>
              <w:right w:val="single" w:sz="4" w:space="0" w:color="FFFFFF"/>
            </w:tcBorders>
            <w:vAlign w:val="center"/>
          </w:tcPr>
          <w:p w14:paraId="5BF11601" w14:textId="47CF966F" w:rsidR="00DF2FCE" w:rsidRPr="004A23CA" w:rsidRDefault="00DF2FCE" w:rsidP="00AF6F96">
            <w:pPr>
              <w:jc w:val="center"/>
              <w:rPr>
                <w:sz w:val="20"/>
                <w:szCs w:val="20"/>
                <w:highlight w:val="yellow"/>
              </w:rPr>
            </w:pPr>
            <w:r w:rsidRPr="00C8254D">
              <w:rPr>
                <w:sz w:val="20"/>
                <w:szCs w:val="20"/>
              </w:rPr>
              <w:t>4.</w:t>
            </w:r>
            <w:r w:rsidR="006E043D" w:rsidRPr="00C8254D">
              <w:rPr>
                <w:sz w:val="20"/>
                <w:szCs w:val="20"/>
              </w:rPr>
              <w:t>1</w:t>
            </w:r>
            <w:r w:rsidR="004A23CA" w:rsidRPr="00C8254D">
              <w:rPr>
                <w:sz w:val="20"/>
                <w:szCs w:val="20"/>
              </w:rPr>
              <w:t>6</w:t>
            </w:r>
            <w:r w:rsidR="006E043D" w:rsidRPr="00C8254D">
              <w:rPr>
                <w:sz w:val="20"/>
                <w:szCs w:val="20"/>
              </w:rPr>
              <w:t>6</w:t>
            </w:r>
          </w:p>
        </w:tc>
        <w:tc>
          <w:tcPr>
            <w:tcW w:w="860" w:type="dxa"/>
            <w:tcBorders>
              <w:top w:val="single" w:sz="8" w:space="0" w:color="F3CFC1"/>
              <w:left w:val="single" w:sz="4" w:space="0" w:color="FFFFFF"/>
              <w:bottom w:val="nil"/>
              <w:right w:val="single" w:sz="4" w:space="0" w:color="FFFFFF"/>
            </w:tcBorders>
            <w:vAlign w:val="center"/>
          </w:tcPr>
          <w:p w14:paraId="4AE614D5" w14:textId="77777777" w:rsidR="00DF2FCE" w:rsidRPr="00DF2FCE" w:rsidRDefault="00DF2FCE" w:rsidP="00AF6F96">
            <w:pPr>
              <w:jc w:val="center"/>
              <w:rPr>
                <w:sz w:val="20"/>
                <w:szCs w:val="20"/>
              </w:rPr>
            </w:pPr>
            <w:r w:rsidRPr="00DF2FCE">
              <w:rPr>
                <w:sz w:val="20"/>
                <w:szCs w:val="20"/>
              </w:rPr>
              <w:t>948</w:t>
            </w:r>
          </w:p>
        </w:tc>
        <w:tc>
          <w:tcPr>
            <w:tcW w:w="860" w:type="dxa"/>
            <w:tcBorders>
              <w:top w:val="single" w:sz="8" w:space="0" w:color="F3CFC1"/>
              <w:left w:val="single" w:sz="4" w:space="0" w:color="FFFFFF"/>
              <w:bottom w:val="nil"/>
              <w:right w:val="single" w:sz="4" w:space="0" w:color="FFFFFF"/>
            </w:tcBorders>
            <w:vAlign w:val="center"/>
          </w:tcPr>
          <w:p w14:paraId="77B9FB81" w14:textId="482575EB" w:rsidR="00DF2FCE" w:rsidRPr="00DF2FCE" w:rsidRDefault="004A23CA" w:rsidP="00AF6F96">
            <w:pPr>
              <w:jc w:val="center"/>
              <w:rPr>
                <w:sz w:val="20"/>
                <w:szCs w:val="20"/>
              </w:rPr>
            </w:pPr>
            <w:r>
              <w:rPr>
                <w:sz w:val="20"/>
                <w:szCs w:val="20"/>
              </w:rPr>
              <w:t>969</w:t>
            </w:r>
          </w:p>
        </w:tc>
        <w:tc>
          <w:tcPr>
            <w:tcW w:w="867" w:type="dxa"/>
            <w:tcBorders>
              <w:top w:val="single" w:sz="8" w:space="0" w:color="F3CFC1"/>
              <w:left w:val="single" w:sz="4" w:space="0" w:color="FFFFFF"/>
              <w:bottom w:val="nil"/>
              <w:right w:val="single" w:sz="8" w:space="0" w:color="D2232A" w:themeColor="accent1"/>
            </w:tcBorders>
            <w:vAlign w:val="center"/>
          </w:tcPr>
          <w:p w14:paraId="34F272AF" w14:textId="3C59601D" w:rsidR="00DF2FCE" w:rsidRPr="00DF2FCE" w:rsidRDefault="004A23CA" w:rsidP="00AF6F96">
            <w:pPr>
              <w:jc w:val="center"/>
              <w:rPr>
                <w:sz w:val="20"/>
                <w:szCs w:val="20"/>
              </w:rPr>
            </w:pPr>
            <w:r>
              <w:rPr>
                <w:sz w:val="20"/>
                <w:szCs w:val="20"/>
              </w:rPr>
              <w:t>1093</w:t>
            </w:r>
          </w:p>
        </w:tc>
        <w:tc>
          <w:tcPr>
            <w:tcW w:w="860" w:type="dxa"/>
            <w:tcBorders>
              <w:top w:val="single" w:sz="8" w:space="0" w:color="F3CFC1"/>
              <w:left w:val="single" w:sz="8" w:space="0" w:color="D2232A" w:themeColor="accent1"/>
              <w:bottom w:val="nil"/>
              <w:right w:val="single" w:sz="4" w:space="0" w:color="FFFFFF" w:themeColor="background1"/>
            </w:tcBorders>
            <w:vAlign w:val="center"/>
          </w:tcPr>
          <w:p w14:paraId="54266FED" w14:textId="177030B7" w:rsidR="00DF2FCE" w:rsidRPr="00DF2FCE" w:rsidRDefault="00587DAB" w:rsidP="00AF6F96">
            <w:pPr>
              <w:jc w:val="center"/>
              <w:rPr>
                <w:sz w:val="20"/>
                <w:szCs w:val="20"/>
              </w:rPr>
            </w:pPr>
            <w:r>
              <w:rPr>
                <w:sz w:val="20"/>
                <w:szCs w:val="20"/>
              </w:rPr>
              <w:t>665</w:t>
            </w:r>
          </w:p>
        </w:tc>
        <w:tc>
          <w:tcPr>
            <w:tcW w:w="860" w:type="dxa"/>
            <w:tcBorders>
              <w:top w:val="single" w:sz="8" w:space="0" w:color="F3CFC1"/>
              <w:left w:val="single" w:sz="4" w:space="0" w:color="FFFFFF" w:themeColor="background1"/>
              <w:bottom w:val="nil"/>
              <w:right w:val="single" w:sz="4" w:space="0" w:color="FFFFFF" w:themeColor="background1"/>
            </w:tcBorders>
            <w:vAlign w:val="center"/>
          </w:tcPr>
          <w:p w14:paraId="61A0B475" w14:textId="5E4F5491" w:rsidR="00DF2FCE" w:rsidRPr="00DF2FCE" w:rsidRDefault="007D7BDA" w:rsidP="00AF6F96">
            <w:pPr>
              <w:jc w:val="center"/>
              <w:rPr>
                <w:sz w:val="20"/>
                <w:szCs w:val="20"/>
              </w:rPr>
            </w:pPr>
            <w:r>
              <w:rPr>
                <w:sz w:val="20"/>
                <w:szCs w:val="20"/>
              </w:rPr>
              <w:t>146</w:t>
            </w:r>
          </w:p>
        </w:tc>
        <w:tc>
          <w:tcPr>
            <w:tcW w:w="860" w:type="dxa"/>
            <w:tcBorders>
              <w:top w:val="single" w:sz="8" w:space="0" w:color="F3CFC1"/>
              <w:left w:val="single" w:sz="4" w:space="0" w:color="FFFFFF" w:themeColor="background1"/>
              <w:bottom w:val="nil"/>
              <w:right w:val="single" w:sz="4" w:space="0" w:color="FFFFFF" w:themeColor="background1"/>
            </w:tcBorders>
            <w:vAlign w:val="center"/>
          </w:tcPr>
          <w:p w14:paraId="6D37D2C7" w14:textId="7BA3DC6C" w:rsidR="00DF2FCE" w:rsidRPr="00DF2FCE" w:rsidRDefault="007D7BDA" w:rsidP="00AF6F96">
            <w:pPr>
              <w:jc w:val="center"/>
              <w:rPr>
                <w:sz w:val="20"/>
                <w:szCs w:val="20"/>
              </w:rPr>
            </w:pPr>
            <w:r>
              <w:rPr>
                <w:sz w:val="20"/>
                <w:szCs w:val="20"/>
              </w:rPr>
              <w:t>137</w:t>
            </w:r>
          </w:p>
        </w:tc>
        <w:tc>
          <w:tcPr>
            <w:tcW w:w="966" w:type="dxa"/>
            <w:tcBorders>
              <w:top w:val="single" w:sz="8" w:space="0" w:color="F3CFC1"/>
              <w:left w:val="single" w:sz="4" w:space="0" w:color="FFFFFF" w:themeColor="background1"/>
              <w:bottom w:val="nil"/>
              <w:right w:val="single" w:sz="8" w:space="0" w:color="D2232A" w:themeColor="accent1"/>
            </w:tcBorders>
            <w:vAlign w:val="center"/>
          </w:tcPr>
          <w:p w14:paraId="119E1A2D" w14:textId="12BCAE07" w:rsidR="00DF2FCE" w:rsidRPr="00DF2FCE" w:rsidRDefault="007D7BDA" w:rsidP="00AF6F96">
            <w:pPr>
              <w:jc w:val="center"/>
              <w:rPr>
                <w:sz w:val="20"/>
                <w:szCs w:val="20"/>
              </w:rPr>
            </w:pPr>
            <w:r>
              <w:rPr>
                <w:sz w:val="20"/>
                <w:szCs w:val="20"/>
              </w:rPr>
              <w:t>153</w:t>
            </w:r>
          </w:p>
        </w:tc>
        <w:tc>
          <w:tcPr>
            <w:tcW w:w="866" w:type="dxa"/>
            <w:tcBorders>
              <w:top w:val="single" w:sz="8" w:space="0" w:color="F3CFC1"/>
              <w:left w:val="single" w:sz="8" w:space="0" w:color="D2232A" w:themeColor="accent1"/>
              <w:bottom w:val="nil"/>
              <w:right w:val="nil"/>
            </w:tcBorders>
            <w:vAlign w:val="center"/>
          </w:tcPr>
          <w:p w14:paraId="795EE9D1" w14:textId="77777777" w:rsidR="00DF2FCE" w:rsidRPr="00DF2FCE" w:rsidRDefault="00DF2FCE" w:rsidP="00AF6F96">
            <w:pPr>
              <w:jc w:val="center"/>
              <w:rPr>
                <w:sz w:val="20"/>
                <w:szCs w:val="20"/>
              </w:rPr>
            </w:pPr>
            <w:r w:rsidRPr="00DF2FCE">
              <w:rPr>
                <w:sz w:val="20"/>
                <w:szCs w:val="20"/>
              </w:rPr>
              <w:t>542</w:t>
            </w:r>
          </w:p>
        </w:tc>
        <w:tc>
          <w:tcPr>
            <w:tcW w:w="869" w:type="dxa"/>
            <w:tcBorders>
              <w:top w:val="single" w:sz="8" w:space="0" w:color="F3CFC1"/>
              <w:left w:val="nil"/>
              <w:bottom w:val="nil"/>
              <w:right w:val="single" w:sz="4" w:space="0" w:color="FFFFFF" w:themeColor="background1"/>
            </w:tcBorders>
            <w:vAlign w:val="center"/>
          </w:tcPr>
          <w:p w14:paraId="493CDCFA" w14:textId="77777777" w:rsidR="00DF2FCE" w:rsidRPr="00DF2FCE" w:rsidRDefault="00DF2FCE" w:rsidP="00AF6F96">
            <w:pPr>
              <w:jc w:val="center"/>
              <w:rPr>
                <w:sz w:val="20"/>
                <w:szCs w:val="20"/>
              </w:rPr>
            </w:pPr>
            <w:r w:rsidRPr="00DF2FCE">
              <w:rPr>
                <w:sz w:val="20"/>
                <w:szCs w:val="20"/>
              </w:rPr>
              <w:t>123</w:t>
            </w:r>
          </w:p>
        </w:tc>
        <w:tc>
          <w:tcPr>
            <w:tcW w:w="868" w:type="dxa"/>
            <w:tcBorders>
              <w:top w:val="single" w:sz="8" w:space="0" w:color="F3CFC1"/>
              <w:left w:val="single" w:sz="4" w:space="0" w:color="FFFFFF" w:themeColor="background1"/>
              <w:bottom w:val="nil"/>
              <w:right w:val="nil"/>
            </w:tcBorders>
            <w:vAlign w:val="center"/>
          </w:tcPr>
          <w:p w14:paraId="3EF64BF2" w14:textId="5EE8927E" w:rsidR="00DF2FCE" w:rsidRPr="00DF2FCE" w:rsidRDefault="00670C4C" w:rsidP="00AF6F96">
            <w:pPr>
              <w:jc w:val="center"/>
              <w:rPr>
                <w:sz w:val="20"/>
                <w:szCs w:val="20"/>
              </w:rPr>
            </w:pPr>
            <w:r>
              <w:rPr>
                <w:sz w:val="20"/>
                <w:szCs w:val="20"/>
              </w:rPr>
              <w:t>88</w:t>
            </w:r>
          </w:p>
        </w:tc>
        <w:tc>
          <w:tcPr>
            <w:tcW w:w="869" w:type="dxa"/>
            <w:tcBorders>
              <w:top w:val="single" w:sz="8" w:space="0" w:color="F3CFC1"/>
              <w:left w:val="nil"/>
              <w:bottom w:val="nil"/>
              <w:right w:val="single" w:sz="8" w:space="0" w:color="D2232A" w:themeColor="accent1"/>
            </w:tcBorders>
            <w:vAlign w:val="center"/>
          </w:tcPr>
          <w:p w14:paraId="09CC56B0" w14:textId="10BF356D" w:rsidR="00DF2FCE" w:rsidRPr="00DF2FCE" w:rsidRDefault="00670C4C" w:rsidP="00AF6F96">
            <w:pPr>
              <w:jc w:val="center"/>
              <w:rPr>
                <w:sz w:val="20"/>
                <w:szCs w:val="20"/>
              </w:rPr>
            </w:pPr>
            <w:r>
              <w:rPr>
                <w:sz w:val="20"/>
                <w:szCs w:val="20"/>
              </w:rPr>
              <w:t>107</w:t>
            </w:r>
          </w:p>
        </w:tc>
      </w:tr>
    </w:tbl>
    <w:p w14:paraId="2EA7AA46" w14:textId="77777777" w:rsidR="00EC18D8" w:rsidRDefault="00EC18D8" w:rsidP="00EC18D8">
      <w:pPr>
        <w:rPr>
          <w:rFonts w:eastAsia="ArialNarrow" w:cstheme="minorHAnsi"/>
          <w:i/>
          <w:color w:val="ABABAB" w:themeColor="text1" w:themeTint="A6"/>
          <w:sz w:val="20"/>
          <w:szCs w:val="20"/>
        </w:rPr>
      </w:pPr>
      <w:r w:rsidRPr="00DF2FCE">
        <w:rPr>
          <w:rFonts w:eastAsia="ArialNarrow" w:cstheme="minorHAnsi"/>
          <w:i/>
          <w:color w:val="ABABAB" w:themeColor="text1" w:themeTint="A6"/>
          <w:sz w:val="20"/>
          <w:szCs w:val="20"/>
        </w:rPr>
        <w:t>Izvor: Državni zavod za intelektualno vlasništvo, 2021. godina</w:t>
      </w:r>
    </w:p>
    <w:p w14:paraId="53D37ED0" w14:textId="77777777" w:rsidR="00E03E42" w:rsidRDefault="00E03E42" w:rsidP="00E03E42"/>
    <w:p w14:paraId="4A783CB5" w14:textId="77777777" w:rsidR="00EC18D8" w:rsidRDefault="00EC18D8" w:rsidP="00E03E42"/>
    <w:p w14:paraId="2ECE1BB5" w14:textId="7936E83C" w:rsidR="00EC18D8" w:rsidRDefault="00EC18D8" w:rsidP="00E03E42">
      <w:pPr>
        <w:sectPr w:rsidR="00EC18D8" w:rsidSect="00E03E42">
          <w:pgSz w:w="16840" w:h="11900" w:orient="landscape"/>
          <w:pgMar w:top="1298" w:right="1338" w:bottom="1298" w:left="278" w:header="708" w:footer="708" w:gutter="0"/>
          <w:cols w:space="708"/>
          <w:docGrid w:linePitch="360"/>
        </w:sectPr>
      </w:pPr>
    </w:p>
    <w:p w14:paraId="1871B879" w14:textId="568A6F65" w:rsidR="008878A0" w:rsidRDefault="008878A0" w:rsidP="00941871">
      <w:pPr>
        <w:ind w:right="132"/>
        <w:rPr>
          <w:rFonts w:eastAsia="Arial Narrow" w:cstheme="minorHAnsi"/>
          <w:sz w:val="22"/>
          <w:szCs w:val="22"/>
        </w:rPr>
      </w:pPr>
      <w:r>
        <w:rPr>
          <w:rFonts w:eastAsia="Arial Narrow" w:cstheme="minorHAnsi"/>
          <w:spacing w:val="-1"/>
        </w:rPr>
        <w:lastRenderedPageBreak/>
        <w:t>P</w:t>
      </w:r>
      <w:r>
        <w:rPr>
          <w:rFonts w:eastAsia="Arial Narrow" w:cstheme="minorHAnsi"/>
        </w:rPr>
        <w:t>rema</w:t>
      </w:r>
      <w:r>
        <w:rPr>
          <w:rFonts w:eastAsia="Arial Narrow" w:cstheme="minorHAnsi"/>
          <w:spacing w:val="-7"/>
        </w:rPr>
        <w:t xml:space="preserve"> </w:t>
      </w:r>
      <w:r>
        <w:rPr>
          <w:rFonts w:eastAsia="Arial Narrow" w:cstheme="minorHAnsi"/>
          <w:spacing w:val="1"/>
        </w:rPr>
        <w:t>s</w:t>
      </w:r>
      <w:r>
        <w:rPr>
          <w:rFonts w:eastAsia="Arial Narrow" w:cstheme="minorHAnsi"/>
        </w:rPr>
        <w:t>po</w:t>
      </w:r>
      <w:r>
        <w:rPr>
          <w:rFonts w:eastAsia="Arial Narrow" w:cstheme="minorHAnsi"/>
          <w:spacing w:val="-2"/>
        </w:rPr>
        <w:t>m</w:t>
      </w:r>
      <w:r>
        <w:rPr>
          <w:rFonts w:eastAsia="Arial Narrow" w:cstheme="minorHAnsi"/>
        </w:rPr>
        <w:t>enut</w:t>
      </w:r>
      <w:r>
        <w:rPr>
          <w:rFonts w:eastAsia="Arial Narrow" w:cstheme="minorHAnsi"/>
          <w:spacing w:val="-2"/>
        </w:rPr>
        <w:t>i</w:t>
      </w:r>
      <w:r>
        <w:rPr>
          <w:rFonts w:eastAsia="Arial Narrow" w:cstheme="minorHAnsi"/>
        </w:rPr>
        <w:t>m</w:t>
      </w:r>
      <w:r>
        <w:rPr>
          <w:rFonts w:eastAsia="Arial Narrow" w:cstheme="minorHAnsi"/>
          <w:spacing w:val="-6"/>
        </w:rPr>
        <w:t xml:space="preserve"> </w:t>
      </w:r>
      <w:r>
        <w:rPr>
          <w:rFonts w:eastAsia="Arial Narrow" w:cstheme="minorHAnsi"/>
        </w:rPr>
        <w:t>poda</w:t>
      </w:r>
      <w:r>
        <w:rPr>
          <w:rFonts w:eastAsia="Arial Narrow" w:cstheme="minorHAnsi"/>
          <w:spacing w:val="-2"/>
        </w:rPr>
        <w:t>c</w:t>
      </w:r>
      <w:r>
        <w:rPr>
          <w:rFonts w:eastAsia="Arial Narrow" w:cstheme="minorHAnsi"/>
          <w:spacing w:val="1"/>
        </w:rPr>
        <w:t>i</w:t>
      </w:r>
      <w:r>
        <w:rPr>
          <w:rFonts w:eastAsia="Arial Narrow" w:cstheme="minorHAnsi"/>
        </w:rPr>
        <w:t>ma,</w:t>
      </w:r>
      <w:r>
        <w:rPr>
          <w:rFonts w:eastAsia="Arial Narrow" w:cstheme="minorHAnsi"/>
          <w:spacing w:val="-9"/>
        </w:rPr>
        <w:t xml:space="preserve"> </w:t>
      </w:r>
      <w:r>
        <w:rPr>
          <w:rFonts w:eastAsia="Arial Narrow" w:cstheme="minorHAnsi"/>
          <w:spacing w:val="1"/>
        </w:rPr>
        <w:t>vi</w:t>
      </w:r>
      <w:r>
        <w:rPr>
          <w:rFonts w:eastAsia="Arial Narrow" w:cstheme="minorHAnsi"/>
        </w:rPr>
        <w:t>d</w:t>
      </w:r>
      <w:r>
        <w:rPr>
          <w:rFonts w:eastAsia="Arial Narrow" w:cstheme="minorHAnsi"/>
          <w:spacing w:val="1"/>
        </w:rPr>
        <w:t>lj</w:t>
      </w:r>
      <w:r>
        <w:rPr>
          <w:rFonts w:eastAsia="Arial Narrow" w:cstheme="minorHAnsi"/>
          <w:spacing w:val="-2"/>
        </w:rPr>
        <w:t>i</w:t>
      </w:r>
      <w:r>
        <w:rPr>
          <w:rFonts w:eastAsia="Arial Narrow" w:cstheme="minorHAnsi"/>
          <w:spacing w:val="1"/>
        </w:rPr>
        <w:t>v</w:t>
      </w:r>
      <w:r>
        <w:rPr>
          <w:rFonts w:eastAsia="Arial Narrow" w:cstheme="minorHAnsi"/>
        </w:rPr>
        <w:t>o</w:t>
      </w:r>
      <w:r>
        <w:rPr>
          <w:rFonts w:eastAsia="Arial Narrow" w:cstheme="minorHAnsi"/>
          <w:spacing w:val="-7"/>
        </w:rPr>
        <w:t xml:space="preserve"> </w:t>
      </w:r>
      <w:r>
        <w:rPr>
          <w:rFonts w:eastAsia="Arial Narrow" w:cstheme="minorHAnsi"/>
          <w:spacing w:val="1"/>
        </w:rPr>
        <w:t>j</w:t>
      </w:r>
      <w:r>
        <w:rPr>
          <w:rFonts w:eastAsia="Arial Narrow" w:cstheme="minorHAnsi"/>
        </w:rPr>
        <w:t>e</w:t>
      </w:r>
      <w:r>
        <w:rPr>
          <w:rFonts w:eastAsia="Arial Narrow" w:cstheme="minorHAnsi"/>
          <w:spacing w:val="-7"/>
        </w:rPr>
        <w:t xml:space="preserve"> </w:t>
      </w:r>
      <w:r>
        <w:rPr>
          <w:rFonts w:eastAsia="Arial Narrow" w:cstheme="minorHAnsi"/>
        </w:rPr>
        <w:t>da</w:t>
      </w:r>
      <w:r>
        <w:rPr>
          <w:rFonts w:eastAsia="Arial Narrow" w:cstheme="minorHAnsi"/>
          <w:spacing w:val="-7"/>
        </w:rPr>
        <w:t xml:space="preserve"> </w:t>
      </w:r>
      <w:r>
        <w:rPr>
          <w:rFonts w:eastAsia="Arial Narrow" w:cstheme="minorHAnsi"/>
          <w:spacing w:val="1"/>
        </w:rPr>
        <w:t>j</w:t>
      </w:r>
      <w:r>
        <w:rPr>
          <w:rFonts w:eastAsia="Arial Narrow" w:cstheme="minorHAnsi"/>
        </w:rPr>
        <w:t>e</w:t>
      </w:r>
      <w:r>
        <w:rPr>
          <w:rFonts w:eastAsia="Arial Narrow" w:cstheme="minorHAnsi"/>
          <w:spacing w:val="-7"/>
        </w:rPr>
        <w:t xml:space="preserve"> </w:t>
      </w:r>
      <w:r>
        <w:rPr>
          <w:rFonts w:eastAsia="Arial Narrow" w:cstheme="minorHAnsi"/>
          <w:spacing w:val="1"/>
        </w:rPr>
        <w:t>i</w:t>
      </w:r>
      <w:r>
        <w:rPr>
          <w:rFonts w:eastAsia="Arial Narrow" w:cstheme="minorHAnsi"/>
        </w:rPr>
        <w:t>n</w:t>
      </w:r>
      <w:r>
        <w:rPr>
          <w:rFonts w:eastAsia="Arial Narrow" w:cstheme="minorHAnsi"/>
          <w:spacing w:val="-2"/>
        </w:rPr>
        <w:t>o</w:t>
      </w:r>
      <w:r>
        <w:rPr>
          <w:rFonts w:eastAsia="Arial Narrow" w:cstheme="minorHAnsi"/>
          <w:spacing w:val="1"/>
        </w:rPr>
        <w:t>v</w:t>
      </w:r>
      <w:r>
        <w:rPr>
          <w:rFonts w:eastAsia="Arial Narrow" w:cstheme="minorHAnsi"/>
        </w:rPr>
        <w:t>at</w:t>
      </w:r>
      <w:r>
        <w:rPr>
          <w:rFonts w:eastAsia="Arial Narrow" w:cstheme="minorHAnsi"/>
          <w:spacing w:val="-2"/>
        </w:rPr>
        <w:t>i</w:t>
      </w:r>
      <w:r>
        <w:rPr>
          <w:rFonts w:eastAsia="Arial Narrow" w:cstheme="minorHAnsi"/>
          <w:spacing w:val="1"/>
        </w:rPr>
        <w:t>v</w:t>
      </w:r>
      <w:r>
        <w:rPr>
          <w:rFonts w:eastAsia="Arial Narrow" w:cstheme="minorHAnsi"/>
        </w:rPr>
        <w:t>na</w:t>
      </w:r>
      <w:r>
        <w:rPr>
          <w:rFonts w:eastAsia="Arial Narrow" w:cstheme="minorHAnsi"/>
          <w:spacing w:val="-7"/>
        </w:rPr>
        <w:t xml:space="preserve"> </w:t>
      </w:r>
      <w:r>
        <w:rPr>
          <w:rFonts w:eastAsia="Arial Narrow" w:cstheme="minorHAnsi"/>
        </w:rPr>
        <w:t>a</w:t>
      </w:r>
      <w:r>
        <w:rPr>
          <w:rFonts w:eastAsia="Arial Narrow" w:cstheme="minorHAnsi"/>
          <w:spacing w:val="-2"/>
        </w:rPr>
        <w:t>k</w:t>
      </w:r>
      <w:r>
        <w:rPr>
          <w:rFonts w:eastAsia="Arial Narrow" w:cstheme="minorHAnsi"/>
        </w:rPr>
        <w:t>t</w:t>
      </w:r>
      <w:r>
        <w:rPr>
          <w:rFonts w:eastAsia="Arial Narrow" w:cstheme="minorHAnsi"/>
          <w:spacing w:val="-2"/>
        </w:rPr>
        <w:t>i</w:t>
      </w:r>
      <w:r>
        <w:rPr>
          <w:rFonts w:eastAsia="Arial Narrow" w:cstheme="minorHAnsi"/>
          <w:spacing w:val="1"/>
        </w:rPr>
        <w:t>v</w:t>
      </w:r>
      <w:r>
        <w:rPr>
          <w:rFonts w:eastAsia="Arial Narrow" w:cstheme="minorHAnsi"/>
        </w:rPr>
        <w:t>no</w:t>
      </w:r>
      <w:r>
        <w:rPr>
          <w:rFonts w:eastAsia="Arial Narrow" w:cstheme="minorHAnsi"/>
          <w:spacing w:val="1"/>
        </w:rPr>
        <w:t>s</w:t>
      </w:r>
      <w:r>
        <w:rPr>
          <w:rFonts w:eastAsia="Arial Narrow" w:cstheme="minorHAnsi"/>
        </w:rPr>
        <w:t>t</w:t>
      </w:r>
      <w:r>
        <w:rPr>
          <w:rFonts w:eastAsia="Arial Narrow" w:cstheme="minorHAnsi"/>
          <w:spacing w:val="-7"/>
        </w:rPr>
        <w:t xml:space="preserve"> </w:t>
      </w:r>
      <w:r>
        <w:rPr>
          <w:rFonts w:eastAsia="Arial Narrow" w:cstheme="minorHAnsi"/>
          <w:spacing w:val="1"/>
        </w:rPr>
        <w:t>k</w:t>
      </w:r>
      <w:r>
        <w:rPr>
          <w:rFonts w:eastAsia="Arial Narrow" w:cstheme="minorHAnsi"/>
          <w:spacing w:val="-2"/>
        </w:rPr>
        <w:t>o</w:t>
      </w:r>
      <w:r>
        <w:rPr>
          <w:rFonts w:eastAsia="Arial Narrow" w:cstheme="minorHAnsi"/>
        </w:rPr>
        <w:t>n</w:t>
      </w:r>
      <w:r>
        <w:rPr>
          <w:rFonts w:eastAsia="Arial Narrow" w:cstheme="minorHAnsi"/>
          <w:spacing w:val="1"/>
        </w:rPr>
        <w:t>c</w:t>
      </w:r>
      <w:r>
        <w:rPr>
          <w:rFonts w:eastAsia="Arial Narrow" w:cstheme="minorHAnsi"/>
        </w:rPr>
        <w:t>e</w:t>
      </w:r>
      <w:r>
        <w:rPr>
          <w:rFonts w:eastAsia="Arial Narrow" w:cstheme="minorHAnsi"/>
          <w:spacing w:val="-2"/>
        </w:rPr>
        <w:t>n</w:t>
      </w:r>
      <w:r>
        <w:rPr>
          <w:rFonts w:eastAsia="Arial Narrow" w:cstheme="minorHAnsi"/>
        </w:rPr>
        <w:t>tr</w:t>
      </w:r>
      <w:r>
        <w:rPr>
          <w:rFonts w:eastAsia="Arial Narrow" w:cstheme="minorHAnsi"/>
          <w:spacing w:val="1"/>
        </w:rPr>
        <w:t>i</w:t>
      </w:r>
      <w:r>
        <w:rPr>
          <w:rFonts w:eastAsia="Arial Narrow" w:cstheme="minorHAnsi"/>
        </w:rPr>
        <w:t>rana</w:t>
      </w:r>
      <w:r>
        <w:rPr>
          <w:rFonts w:eastAsia="Arial Narrow" w:cstheme="minorHAnsi"/>
          <w:spacing w:val="-7"/>
        </w:rPr>
        <w:t xml:space="preserve"> </w:t>
      </w:r>
      <w:r>
        <w:rPr>
          <w:rFonts w:eastAsia="Arial Narrow" w:cstheme="minorHAnsi"/>
        </w:rPr>
        <w:t>u</w:t>
      </w:r>
      <w:r>
        <w:rPr>
          <w:rFonts w:eastAsia="Arial Narrow" w:cstheme="minorHAnsi"/>
          <w:spacing w:val="-7"/>
        </w:rPr>
        <w:t xml:space="preserve"> </w:t>
      </w:r>
      <w:r>
        <w:rPr>
          <w:rFonts w:eastAsia="Arial Narrow" w:cstheme="minorHAnsi"/>
        </w:rPr>
        <w:t>Zagr</w:t>
      </w:r>
      <w:r>
        <w:rPr>
          <w:rFonts w:eastAsia="Arial Narrow" w:cstheme="minorHAnsi"/>
          <w:spacing w:val="-2"/>
        </w:rPr>
        <w:t>e</w:t>
      </w:r>
      <w:r>
        <w:rPr>
          <w:rFonts w:eastAsia="Arial Narrow" w:cstheme="minorHAnsi"/>
        </w:rPr>
        <w:t>bu</w:t>
      </w:r>
      <w:r>
        <w:rPr>
          <w:rFonts w:eastAsia="Arial Narrow" w:cstheme="minorHAnsi"/>
          <w:spacing w:val="-9"/>
        </w:rPr>
        <w:t xml:space="preserve"> </w:t>
      </w:r>
      <w:r>
        <w:rPr>
          <w:rFonts w:eastAsia="Arial Narrow" w:cstheme="minorHAnsi"/>
        </w:rPr>
        <w:t>i</w:t>
      </w:r>
      <w:r>
        <w:rPr>
          <w:rFonts w:eastAsia="Arial Narrow" w:cstheme="minorHAnsi"/>
          <w:spacing w:val="-6"/>
        </w:rPr>
        <w:t xml:space="preserve"> </w:t>
      </w:r>
      <w:r>
        <w:rPr>
          <w:rFonts w:eastAsia="Arial Narrow" w:cstheme="minorHAnsi"/>
        </w:rPr>
        <w:t>Zagreba</w:t>
      </w:r>
      <w:r>
        <w:rPr>
          <w:rFonts w:eastAsia="Arial Narrow" w:cstheme="minorHAnsi"/>
          <w:spacing w:val="1"/>
        </w:rPr>
        <w:t>č</w:t>
      </w:r>
      <w:r>
        <w:rPr>
          <w:rFonts w:eastAsia="Arial Narrow" w:cstheme="minorHAnsi"/>
          <w:spacing w:val="-2"/>
        </w:rPr>
        <w:t>k</w:t>
      </w:r>
      <w:r>
        <w:rPr>
          <w:rFonts w:eastAsia="Arial Narrow" w:cstheme="minorHAnsi"/>
        </w:rPr>
        <w:t>oj</w:t>
      </w:r>
      <w:r>
        <w:rPr>
          <w:rFonts w:eastAsia="Arial Narrow" w:cstheme="minorHAnsi"/>
          <w:spacing w:val="-6"/>
        </w:rPr>
        <w:t xml:space="preserve"> </w:t>
      </w:r>
      <w:r>
        <w:rPr>
          <w:rFonts w:eastAsia="Arial Narrow" w:cstheme="minorHAnsi"/>
          <w:spacing w:val="1"/>
        </w:rPr>
        <w:t>ž</w:t>
      </w:r>
      <w:r>
        <w:rPr>
          <w:rFonts w:eastAsia="Arial Narrow" w:cstheme="minorHAnsi"/>
        </w:rPr>
        <w:t>up</w:t>
      </w:r>
      <w:r>
        <w:rPr>
          <w:rFonts w:eastAsia="Arial Narrow" w:cstheme="minorHAnsi"/>
          <w:spacing w:val="-2"/>
        </w:rPr>
        <w:t>a</w:t>
      </w:r>
      <w:r>
        <w:rPr>
          <w:rFonts w:eastAsia="Arial Narrow" w:cstheme="minorHAnsi"/>
        </w:rPr>
        <w:t>n</w:t>
      </w:r>
      <w:r>
        <w:rPr>
          <w:rFonts w:eastAsia="Arial Narrow" w:cstheme="minorHAnsi"/>
          <w:spacing w:val="1"/>
        </w:rPr>
        <w:t>i</w:t>
      </w:r>
      <w:r>
        <w:rPr>
          <w:rFonts w:eastAsia="Arial Narrow" w:cstheme="minorHAnsi"/>
          <w:spacing w:val="-2"/>
        </w:rPr>
        <w:t>j</w:t>
      </w:r>
      <w:r>
        <w:rPr>
          <w:rFonts w:eastAsia="Arial Narrow" w:cstheme="minorHAnsi"/>
          <w:spacing w:val="1"/>
        </w:rPr>
        <w:t>i</w:t>
      </w:r>
      <w:r w:rsidR="00771954">
        <w:rPr>
          <w:rFonts w:eastAsia="Arial Narrow" w:cstheme="minorHAnsi"/>
        </w:rPr>
        <w:t xml:space="preserve"> </w:t>
      </w:r>
      <w:r>
        <w:rPr>
          <w:rFonts w:eastAsia="Arial Narrow" w:cstheme="minorHAnsi"/>
          <w:spacing w:val="-2"/>
        </w:rPr>
        <w:t>š</w:t>
      </w:r>
      <w:r>
        <w:rPr>
          <w:rFonts w:eastAsia="Arial Narrow" w:cstheme="minorHAnsi"/>
        </w:rPr>
        <w:t>to</w:t>
      </w:r>
      <w:r>
        <w:rPr>
          <w:rFonts w:eastAsia="Arial Narrow" w:cstheme="minorHAnsi"/>
          <w:spacing w:val="3"/>
        </w:rPr>
        <w:t xml:space="preserve"> </w:t>
      </w:r>
      <w:r>
        <w:rPr>
          <w:rFonts w:eastAsia="Arial Narrow" w:cstheme="minorHAnsi"/>
          <w:spacing w:val="-2"/>
        </w:rPr>
        <w:t>m</w:t>
      </w:r>
      <w:r>
        <w:rPr>
          <w:rFonts w:eastAsia="Arial Narrow" w:cstheme="minorHAnsi"/>
        </w:rPr>
        <w:t>o</w:t>
      </w:r>
      <w:r>
        <w:rPr>
          <w:rFonts w:eastAsia="Arial Narrow" w:cstheme="minorHAnsi"/>
          <w:spacing w:val="1"/>
        </w:rPr>
        <w:t>ž</w:t>
      </w:r>
      <w:r>
        <w:rPr>
          <w:rFonts w:eastAsia="Arial Narrow" w:cstheme="minorHAnsi"/>
          <w:spacing w:val="-2"/>
        </w:rPr>
        <w:t>e</w:t>
      </w:r>
      <w:r>
        <w:rPr>
          <w:rFonts w:eastAsia="Arial Narrow" w:cstheme="minorHAnsi"/>
        </w:rPr>
        <w:t>mo</w:t>
      </w:r>
      <w:r>
        <w:rPr>
          <w:rFonts w:eastAsia="Arial Narrow" w:cstheme="minorHAnsi"/>
          <w:spacing w:val="3"/>
        </w:rPr>
        <w:t xml:space="preserve"> </w:t>
      </w:r>
      <w:r>
        <w:rPr>
          <w:rFonts w:eastAsia="Arial Narrow" w:cstheme="minorHAnsi"/>
        </w:rPr>
        <w:t>p</w:t>
      </w:r>
      <w:r>
        <w:rPr>
          <w:rFonts w:eastAsia="Arial Narrow" w:cstheme="minorHAnsi"/>
          <w:spacing w:val="-2"/>
        </w:rPr>
        <w:t>o</w:t>
      </w:r>
      <w:r>
        <w:rPr>
          <w:rFonts w:eastAsia="Arial Narrow" w:cstheme="minorHAnsi"/>
          <w:spacing w:val="1"/>
        </w:rPr>
        <w:t>v</w:t>
      </w:r>
      <w:r>
        <w:rPr>
          <w:rFonts w:eastAsia="Arial Narrow" w:cstheme="minorHAnsi"/>
        </w:rPr>
        <w:t>e</w:t>
      </w:r>
      <w:r>
        <w:rPr>
          <w:rFonts w:eastAsia="Arial Narrow" w:cstheme="minorHAnsi"/>
          <w:spacing w:val="1"/>
        </w:rPr>
        <w:t>z</w:t>
      </w:r>
      <w:r>
        <w:rPr>
          <w:rFonts w:eastAsia="Arial Narrow" w:cstheme="minorHAnsi"/>
        </w:rPr>
        <w:t>a</w:t>
      </w:r>
      <w:r>
        <w:rPr>
          <w:rFonts w:eastAsia="Arial Narrow" w:cstheme="minorHAnsi"/>
          <w:spacing w:val="-2"/>
        </w:rPr>
        <w:t>t</w:t>
      </w:r>
      <w:r>
        <w:rPr>
          <w:rFonts w:eastAsia="Arial Narrow" w:cstheme="minorHAnsi"/>
        </w:rPr>
        <w:t>i</w:t>
      </w:r>
      <w:r>
        <w:rPr>
          <w:rFonts w:eastAsia="Arial Narrow" w:cstheme="minorHAnsi"/>
          <w:spacing w:val="3"/>
        </w:rPr>
        <w:t xml:space="preserve"> </w:t>
      </w:r>
      <w:r>
        <w:rPr>
          <w:rFonts w:eastAsia="Arial Narrow" w:cstheme="minorHAnsi"/>
        </w:rPr>
        <w:t>s</w:t>
      </w:r>
      <w:r>
        <w:rPr>
          <w:rFonts w:eastAsia="Arial Narrow" w:cstheme="minorHAnsi"/>
          <w:spacing w:val="1"/>
        </w:rPr>
        <w:t xml:space="preserve"> č</w:t>
      </w:r>
      <w:r>
        <w:rPr>
          <w:rFonts w:eastAsia="Arial Narrow" w:cstheme="minorHAnsi"/>
          <w:spacing w:val="-2"/>
        </w:rPr>
        <w:t>i</w:t>
      </w:r>
      <w:r>
        <w:rPr>
          <w:rFonts w:eastAsia="Arial Narrow" w:cstheme="minorHAnsi"/>
        </w:rPr>
        <w:t>n</w:t>
      </w:r>
      <w:r>
        <w:rPr>
          <w:rFonts w:eastAsia="Arial Narrow" w:cstheme="minorHAnsi"/>
          <w:spacing w:val="1"/>
        </w:rPr>
        <w:t>j</w:t>
      </w:r>
      <w:r>
        <w:rPr>
          <w:rFonts w:eastAsia="Arial Narrow" w:cstheme="minorHAnsi"/>
        </w:rPr>
        <w:t>e</w:t>
      </w:r>
      <w:r>
        <w:rPr>
          <w:rFonts w:eastAsia="Arial Narrow" w:cstheme="minorHAnsi"/>
          <w:spacing w:val="-2"/>
        </w:rPr>
        <w:t>n</w:t>
      </w:r>
      <w:r>
        <w:rPr>
          <w:rFonts w:eastAsia="Arial Narrow" w:cstheme="minorHAnsi"/>
          <w:spacing w:val="1"/>
        </w:rPr>
        <w:t>ic</w:t>
      </w:r>
      <w:r>
        <w:rPr>
          <w:rFonts w:eastAsia="Arial Narrow" w:cstheme="minorHAnsi"/>
        </w:rPr>
        <w:t>om</w:t>
      </w:r>
      <w:r>
        <w:rPr>
          <w:rFonts w:eastAsia="Arial Narrow" w:cstheme="minorHAnsi"/>
          <w:spacing w:val="1"/>
        </w:rPr>
        <w:t xml:space="preserve"> </w:t>
      </w:r>
      <w:r>
        <w:rPr>
          <w:rFonts w:eastAsia="Arial Narrow" w:cstheme="minorHAnsi"/>
        </w:rPr>
        <w:t xml:space="preserve">da </w:t>
      </w:r>
      <w:r>
        <w:rPr>
          <w:rFonts w:eastAsia="Arial Narrow" w:cstheme="minorHAnsi"/>
          <w:spacing w:val="1"/>
        </w:rPr>
        <w:t>s</w:t>
      </w:r>
      <w:r>
        <w:rPr>
          <w:rFonts w:eastAsia="Arial Narrow" w:cstheme="minorHAnsi"/>
        </w:rPr>
        <w:t>u</w:t>
      </w:r>
      <w:r>
        <w:rPr>
          <w:rFonts w:eastAsia="Arial Narrow" w:cstheme="minorHAnsi"/>
          <w:spacing w:val="3"/>
        </w:rPr>
        <w:t xml:space="preserve"> </w:t>
      </w:r>
      <w:r>
        <w:rPr>
          <w:rFonts w:eastAsia="Arial Narrow" w:cstheme="minorHAnsi"/>
          <w:spacing w:val="-2"/>
        </w:rPr>
        <w:t>t</w:t>
      </w:r>
      <w:r>
        <w:rPr>
          <w:rFonts w:eastAsia="Arial Narrow" w:cstheme="minorHAnsi"/>
        </w:rPr>
        <w:t>o u</w:t>
      </w:r>
      <w:r>
        <w:rPr>
          <w:rFonts w:eastAsia="Arial Narrow" w:cstheme="minorHAnsi"/>
          <w:spacing w:val="1"/>
        </w:rPr>
        <w:t>j</w:t>
      </w:r>
      <w:r>
        <w:rPr>
          <w:rFonts w:eastAsia="Arial Narrow" w:cstheme="minorHAnsi"/>
        </w:rPr>
        <w:t>edno i</w:t>
      </w:r>
      <w:r>
        <w:rPr>
          <w:rFonts w:eastAsia="Arial Narrow" w:cstheme="minorHAnsi"/>
          <w:spacing w:val="1"/>
        </w:rPr>
        <w:t xml:space="preserve"> s</w:t>
      </w:r>
      <w:r>
        <w:rPr>
          <w:rFonts w:eastAsia="Arial Narrow" w:cstheme="minorHAnsi"/>
        </w:rPr>
        <w:t>red</w:t>
      </w:r>
      <w:r>
        <w:rPr>
          <w:rFonts w:eastAsia="Arial Narrow" w:cstheme="minorHAnsi"/>
          <w:spacing w:val="-2"/>
        </w:rPr>
        <w:t>i</w:t>
      </w:r>
      <w:r>
        <w:rPr>
          <w:rFonts w:eastAsia="Arial Narrow" w:cstheme="minorHAnsi"/>
          <w:spacing w:val="1"/>
        </w:rPr>
        <w:t>š</w:t>
      </w:r>
      <w:r>
        <w:rPr>
          <w:rFonts w:eastAsia="Arial Narrow" w:cstheme="minorHAnsi"/>
        </w:rPr>
        <w:t xml:space="preserve">ta </w:t>
      </w:r>
      <w:r>
        <w:rPr>
          <w:rFonts w:eastAsia="Arial Narrow" w:cstheme="minorHAnsi"/>
          <w:spacing w:val="1"/>
        </w:rPr>
        <w:t>v</w:t>
      </w:r>
      <w:r>
        <w:rPr>
          <w:rFonts w:eastAsia="Arial Narrow" w:cstheme="minorHAnsi"/>
        </w:rPr>
        <w:t>e</w:t>
      </w:r>
      <w:r>
        <w:rPr>
          <w:rFonts w:eastAsia="Arial Narrow" w:cstheme="minorHAnsi"/>
          <w:spacing w:val="-2"/>
        </w:rPr>
        <w:t>ć</w:t>
      </w:r>
      <w:r>
        <w:rPr>
          <w:rFonts w:eastAsia="Arial Narrow" w:cstheme="minorHAnsi"/>
          <w:spacing w:val="1"/>
        </w:rPr>
        <w:t>i</w:t>
      </w:r>
      <w:r>
        <w:rPr>
          <w:rFonts w:eastAsia="Arial Narrow" w:cstheme="minorHAnsi"/>
        </w:rPr>
        <w:t xml:space="preserve">h </w:t>
      </w:r>
      <w:r>
        <w:rPr>
          <w:rFonts w:eastAsia="Arial Narrow" w:cstheme="minorHAnsi"/>
          <w:spacing w:val="1"/>
        </w:rPr>
        <w:t>sv</w:t>
      </w:r>
      <w:r>
        <w:rPr>
          <w:rFonts w:eastAsia="Arial Narrow" w:cstheme="minorHAnsi"/>
        </w:rPr>
        <w:t>e</w:t>
      </w:r>
      <w:r>
        <w:rPr>
          <w:rFonts w:eastAsia="Arial Narrow" w:cstheme="minorHAnsi"/>
          <w:spacing w:val="-2"/>
        </w:rPr>
        <w:t>u</w:t>
      </w:r>
      <w:r>
        <w:rPr>
          <w:rFonts w:eastAsia="Arial Narrow" w:cstheme="minorHAnsi"/>
          <w:spacing w:val="1"/>
        </w:rPr>
        <w:t>čil</w:t>
      </w:r>
      <w:r>
        <w:rPr>
          <w:rFonts w:eastAsia="Arial Narrow" w:cstheme="minorHAnsi"/>
          <w:spacing w:val="-2"/>
        </w:rPr>
        <w:t>i</w:t>
      </w:r>
      <w:r>
        <w:rPr>
          <w:rFonts w:eastAsia="Arial Narrow" w:cstheme="minorHAnsi"/>
          <w:spacing w:val="1"/>
        </w:rPr>
        <w:t>š</w:t>
      </w:r>
      <w:r>
        <w:rPr>
          <w:rFonts w:eastAsia="Arial Narrow" w:cstheme="minorHAnsi"/>
        </w:rPr>
        <w:t>n</w:t>
      </w:r>
      <w:r>
        <w:rPr>
          <w:rFonts w:eastAsia="Arial Narrow" w:cstheme="minorHAnsi"/>
          <w:spacing w:val="-2"/>
        </w:rPr>
        <w:t>i</w:t>
      </w:r>
      <w:r>
        <w:rPr>
          <w:rFonts w:eastAsia="Arial Narrow" w:cstheme="minorHAnsi"/>
        </w:rPr>
        <w:t>h</w:t>
      </w:r>
      <w:r>
        <w:rPr>
          <w:rFonts w:eastAsia="Arial Narrow" w:cstheme="minorHAnsi"/>
          <w:spacing w:val="-4"/>
        </w:rPr>
        <w:t xml:space="preserve"> i </w:t>
      </w:r>
      <w:r>
        <w:rPr>
          <w:rFonts w:eastAsia="Arial Narrow" w:cstheme="minorHAnsi"/>
        </w:rPr>
        <w:t>obra</w:t>
      </w:r>
      <w:r>
        <w:rPr>
          <w:rFonts w:eastAsia="Arial Narrow" w:cstheme="minorHAnsi"/>
          <w:spacing w:val="-2"/>
        </w:rPr>
        <w:t>z</w:t>
      </w:r>
      <w:r>
        <w:rPr>
          <w:rFonts w:eastAsia="Arial Narrow" w:cstheme="minorHAnsi"/>
        </w:rPr>
        <w:t>o</w:t>
      </w:r>
      <w:r>
        <w:rPr>
          <w:rFonts w:eastAsia="Arial Narrow" w:cstheme="minorHAnsi"/>
          <w:spacing w:val="1"/>
        </w:rPr>
        <w:t>v</w:t>
      </w:r>
      <w:r>
        <w:rPr>
          <w:rFonts w:eastAsia="Arial Narrow" w:cstheme="minorHAnsi"/>
        </w:rPr>
        <w:t>n</w:t>
      </w:r>
      <w:r>
        <w:rPr>
          <w:rFonts w:eastAsia="Arial Narrow" w:cstheme="minorHAnsi"/>
          <w:spacing w:val="-2"/>
        </w:rPr>
        <w:t>i</w:t>
      </w:r>
      <w:r>
        <w:rPr>
          <w:rFonts w:eastAsia="Arial Narrow" w:cstheme="minorHAnsi"/>
        </w:rPr>
        <w:t>h</w:t>
      </w:r>
      <w:r>
        <w:rPr>
          <w:rFonts w:eastAsia="Arial Narrow" w:cstheme="minorHAnsi"/>
          <w:spacing w:val="-4"/>
        </w:rPr>
        <w:t xml:space="preserve"> </w:t>
      </w:r>
      <w:r>
        <w:rPr>
          <w:rFonts w:eastAsia="Arial Narrow" w:cstheme="minorHAnsi"/>
          <w:spacing w:val="1"/>
        </w:rPr>
        <w:t>i</w:t>
      </w:r>
      <w:r>
        <w:rPr>
          <w:rFonts w:eastAsia="Arial Narrow" w:cstheme="minorHAnsi"/>
        </w:rPr>
        <w:t>n</w:t>
      </w:r>
      <w:r>
        <w:rPr>
          <w:rFonts w:eastAsia="Arial Narrow" w:cstheme="minorHAnsi"/>
          <w:spacing w:val="1"/>
        </w:rPr>
        <w:t>s</w:t>
      </w:r>
      <w:r>
        <w:rPr>
          <w:rFonts w:eastAsia="Arial Narrow" w:cstheme="minorHAnsi"/>
          <w:spacing w:val="-2"/>
        </w:rPr>
        <w:t>t</w:t>
      </w:r>
      <w:r>
        <w:rPr>
          <w:rFonts w:eastAsia="Arial Narrow" w:cstheme="minorHAnsi"/>
          <w:spacing w:val="1"/>
        </w:rPr>
        <w:t>i</w:t>
      </w:r>
      <w:r>
        <w:rPr>
          <w:rFonts w:eastAsia="Arial Narrow" w:cstheme="minorHAnsi"/>
        </w:rPr>
        <w:t>t</w:t>
      </w:r>
      <w:r>
        <w:rPr>
          <w:rFonts w:eastAsia="Arial Narrow" w:cstheme="minorHAnsi"/>
          <w:spacing w:val="-2"/>
        </w:rPr>
        <w:t>u</w:t>
      </w:r>
      <w:r>
        <w:rPr>
          <w:rFonts w:eastAsia="Arial Narrow" w:cstheme="minorHAnsi"/>
          <w:spacing w:val="1"/>
        </w:rPr>
        <w:t>cij</w:t>
      </w:r>
      <w:r>
        <w:rPr>
          <w:rFonts w:eastAsia="Arial Narrow" w:cstheme="minorHAnsi"/>
        </w:rPr>
        <w:t>a.</w:t>
      </w:r>
      <w:r>
        <w:rPr>
          <w:rFonts w:eastAsia="Arial Narrow" w:cstheme="minorHAnsi"/>
          <w:spacing w:val="-4"/>
        </w:rPr>
        <w:t xml:space="preserve"> </w:t>
      </w:r>
      <w:r w:rsidR="00771954">
        <w:rPr>
          <w:rFonts w:eastAsia="Arial Narrow" w:cstheme="minorHAnsi"/>
          <w:spacing w:val="-4"/>
        </w:rPr>
        <w:t xml:space="preserve">U odnosu na ostale županije Sjeverne Hrvatske, </w:t>
      </w:r>
      <w:r>
        <w:rPr>
          <w:rFonts w:eastAsia="Arial Narrow" w:cstheme="minorHAnsi"/>
          <w:spacing w:val="-1"/>
        </w:rPr>
        <w:t>K</w:t>
      </w:r>
      <w:r>
        <w:rPr>
          <w:rFonts w:eastAsia="Arial Narrow" w:cstheme="minorHAnsi"/>
        </w:rPr>
        <w:t>ra</w:t>
      </w:r>
      <w:r>
        <w:rPr>
          <w:rFonts w:eastAsia="Arial Narrow" w:cstheme="minorHAnsi"/>
          <w:spacing w:val="-2"/>
        </w:rPr>
        <w:t>p</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o-</w:t>
      </w:r>
      <w:r>
        <w:rPr>
          <w:rFonts w:eastAsia="Arial Narrow" w:cstheme="minorHAnsi"/>
          <w:spacing w:val="1"/>
        </w:rPr>
        <w:t>z</w:t>
      </w:r>
      <w:r>
        <w:rPr>
          <w:rFonts w:eastAsia="Arial Narrow" w:cstheme="minorHAnsi"/>
          <w:spacing w:val="-2"/>
        </w:rPr>
        <w:t>a</w:t>
      </w:r>
      <w:r>
        <w:rPr>
          <w:rFonts w:eastAsia="Arial Narrow" w:cstheme="minorHAnsi"/>
        </w:rPr>
        <w:t>gor</w:t>
      </w:r>
      <w:r>
        <w:rPr>
          <w:rFonts w:eastAsia="Arial Narrow" w:cstheme="minorHAnsi"/>
          <w:spacing w:val="-2"/>
        </w:rPr>
        <w:t>s</w:t>
      </w:r>
      <w:r>
        <w:rPr>
          <w:rFonts w:eastAsia="Arial Narrow" w:cstheme="minorHAnsi"/>
          <w:spacing w:val="1"/>
        </w:rPr>
        <w:t>k</w:t>
      </w:r>
      <w:r>
        <w:rPr>
          <w:rFonts w:eastAsia="Arial Narrow" w:cstheme="minorHAnsi"/>
        </w:rPr>
        <w:t>a</w:t>
      </w:r>
      <w:r>
        <w:rPr>
          <w:rFonts w:eastAsia="Arial Narrow" w:cstheme="minorHAnsi"/>
          <w:spacing w:val="-4"/>
        </w:rPr>
        <w:t xml:space="preserve"> </w:t>
      </w:r>
      <w:r>
        <w:rPr>
          <w:rFonts w:eastAsia="Arial Narrow" w:cstheme="minorHAnsi"/>
          <w:spacing w:val="1"/>
        </w:rPr>
        <w:t>ž</w:t>
      </w:r>
      <w:r>
        <w:rPr>
          <w:rFonts w:eastAsia="Arial Narrow" w:cstheme="minorHAnsi"/>
        </w:rPr>
        <w:t>u</w:t>
      </w:r>
      <w:r>
        <w:rPr>
          <w:rFonts w:eastAsia="Arial Narrow" w:cstheme="minorHAnsi"/>
          <w:spacing w:val="-2"/>
        </w:rPr>
        <w:t>pa</w:t>
      </w:r>
      <w:r>
        <w:rPr>
          <w:rFonts w:eastAsia="Arial Narrow" w:cstheme="minorHAnsi"/>
        </w:rPr>
        <w:t>n</w:t>
      </w:r>
      <w:r>
        <w:rPr>
          <w:rFonts w:eastAsia="Arial Narrow" w:cstheme="minorHAnsi"/>
          <w:spacing w:val="1"/>
        </w:rPr>
        <w:t>ij</w:t>
      </w:r>
      <w:r>
        <w:rPr>
          <w:rFonts w:eastAsia="Arial Narrow" w:cstheme="minorHAnsi"/>
        </w:rPr>
        <w:t>a</w:t>
      </w:r>
      <w:r>
        <w:rPr>
          <w:rFonts w:eastAsia="Arial Narrow" w:cstheme="minorHAnsi"/>
          <w:spacing w:val="-4"/>
        </w:rPr>
        <w:t xml:space="preserve"> </w:t>
      </w:r>
      <w:r>
        <w:rPr>
          <w:rFonts w:eastAsia="Arial Narrow" w:cstheme="minorHAnsi"/>
        </w:rPr>
        <w:t>na</w:t>
      </w:r>
      <w:r>
        <w:rPr>
          <w:rFonts w:eastAsia="Arial Narrow" w:cstheme="minorHAnsi"/>
          <w:spacing w:val="-2"/>
        </w:rPr>
        <w:t>l</w:t>
      </w:r>
      <w:r>
        <w:rPr>
          <w:rFonts w:eastAsia="Arial Narrow" w:cstheme="minorHAnsi"/>
        </w:rPr>
        <w:t>a</w:t>
      </w:r>
      <w:r>
        <w:rPr>
          <w:rFonts w:eastAsia="Arial Narrow" w:cstheme="minorHAnsi"/>
          <w:spacing w:val="1"/>
        </w:rPr>
        <w:t>z</w:t>
      </w:r>
      <w:r>
        <w:rPr>
          <w:rFonts w:eastAsia="Arial Narrow" w:cstheme="minorHAnsi"/>
        </w:rPr>
        <w:t>i</w:t>
      </w:r>
      <w:r>
        <w:rPr>
          <w:rFonts w:eastAsia="Arial Narrow" w:cstheme="minorHAnsi"/>
          <w:spacing w:val="-6"/>
        </w:rPr>
        <w:t xml:space="preserve"> </w:t>
      </w:r>
      <w:r>
        <w:rPr>
          <w:rFonts w:eastAsia="Arial Narrow" w:cstheme="minorHAnsi"/>
          <w:spacing w:val="1"/>
        </w:rPr>
        <w:t>s</w:t>
      </w:r>
      <w:r>
        <w:rPr>
          <w:rFonts w:eastAsia="Arial Narrow" w:cstheme="minorHAnsi"/>
        </w:rPr>
        <w:t>e</w:t>
      </w:r>
      <w:r>
        <w:rPr>
          <w:rFonts w:eastAsia="Arial Narrow" w:cstheme="minorHAnsi"/>
          <w:spacing w:val="-4"/>
        </w:rPr>
        <w:t xml:space="preserve"> </w:t>
      </w:r>
      <w:r>
        <w:rPr>
          <w:rFonts w:eastAsia="Arial Narrow" w:cstheme="minorHAnsi"/>
        </w:rPr>
        <w:t>na</w:t>
      </w:r>
      <w:r>
        <w:rPr>
          <w:rFonts w:eastAsia="Arial Narrow" w:cstheme="minorHAnsi"/>
          <w:spacing w:val="-4"/>
        </w:rPr>
        <w:t xml:space="preserve"> </w:t>
      </w:r>
      <w:r w:rsidR="00771954">
        <w:rPr>
          <w:rFonts w:eastAsia="Arial Narrow" w:cstheme="minorHAnsi"/>
        </w:rPr>
        <w:t>začelju</w:t>
      </w:r>
      <w:r>
        <w:rPr>
          <w:rFonts w:eastAsia="Arial Narrow" w:cstheme="minorHAnsi"/>
          <w:spacing w:val="-4"/>
        </w:rPr>
        <w:t xml:space="preserve"> </w:t>
      </w:r>
      <w:r>
        <w:rPr>
          <w:rFonts w:eastAsia="Arial Narrow" w:cstheme="minorHAnsi"/>
        </w:rPr>
        <w:t>s</w:t>
      </w:r>
      <w:r>
        <w:rPr>
          <w:rFonts w:eastAsia="Arial Narrow" w:cstheme="minorHAnsi"/>
          <w:spacing w:val="-6"/>
        </w:rPr>
        <w:t xml:space="preserve"> </w:t>
      </w:r>
      <w:r>
        <w:rPr>
          <w:rFonts w:eastAsia="Arial Narrow" w:cstheme="minorHAnsi"/>
        </w:rPr>
        <w:t>ma</w:t>
      </w:r>
      <w:r>
        <w:rPr>
          <w:rFonts w:eastAsia="Arial Narrow" w:cstheme="minorHAnsi"/>
          <w:spacing w:val="1"/>
        </w:rPr>
        <w:t>li</w:t>
      </w:r>
      <w:r>
        <w:rPr>
          <w:rFonts w:eastAsia="Arial Narrow" w:cstheme="minorHAnsi"/>
        </w:rPr>
        <w:t>m</w:t>
      </w:r>
      <w:r>
        <w:rPr>
          <w:rFonts w:eastAsia="Arial Narrow" w:cstheme="minorHAnsi"/>
          <w:spacing w:val="-4"/>
        </w:rPr>
        <w:t xml:space="preserve"> </w:t>
      </w:r>
      <w:r>
        <w:rPr>
          <w:rFonts w:eastAsia="Arial Narrow" w:cstheme="minorHAnsi"/>
        </w:rPr>
        <w:t>b</w:t>
      </w:r>
      <w:r>
        <w:rPr>
          <w:rFonts w:eastAsia="Arial Narrow" w:cstheme="minorHAnsi"/>
          <w:spacing w:val="-3"/>
        </w:rPr>
        <w:t>r</w:t>
      </w:r>
      <w:r>
        <w:rPr>
          <w:rFonts w:eastAsia="Arial Narrow" w:cstheme="minorHAnsi"/>
        </w:rPr>
        <w:t>o</w:t>
      </w:r>
      <w:r>
        <w:rPr>
          <w:rFonts w:eastAsia="Arial Narrow" w:cstheme="minorHAnsi"/>
          <w:spacing w:val="1"/>
        </w:rPr>
        <w:t>j</w:t>
      </w:r>
      <w:r>
        <w:rPr>
          <w:rFonts w:eastAsia="Arial Narrow" w:cstheme="minorHAnsi"/>
        </w:rPr>
        <w:t>em</w:t>
      </w:r>
      <w:r>
        <w:rPr>
          <w:rFonts w:eastAsia="Arial Narrow" w:cstheme="minorHAnsi"/>
          <w:spacing w:val="-4"/>
        </w:rPr>
        <w:t xml:space="preserve"> </w:t>
      </w:r>
      <w:r>
        <w:rPr>
          <w:rFonts w:eastAsia="Arial Narrow" w:cstheme="minorHAnsi"/>
        </w:rPr>
        <w:t>p</w:t>
      </w:r>
      <w:r>
        <w:rPr>
          <w:rFonts w:eastAsia="Arial Narrow" w:cstheme="minorHAnsi"/>
          <w:spacing w:val="-3"/>
        </w:rPr>
        <w:t>r</w:t>
      </w:r>
      <w:r>
        <w:rPr>
          <w:rFonts w:eastAsia="Arial Narrow" w:cstheme="minorHAnsi"/>
          <w:spacing w:val="1"/>
        </w:rPr>
        <w:t>iz</w:t>
      </w:r>
      <w:r>
        <w:rPr>
          <w:rFonts w:eastAsia="Arial Narrow" w:cstheme="minorHAnsi"/>
          <w:spacing w:val="-2"/>
        </w:rPr>
        <w:t>n</w:t>
      </w:r>
      <w:r>
        <w:rPr>
          <w:rFonts w:eastAsia="Arial Narrow" w:cstheme="minorHAnsi"/>
        </w:rPr>
        <w:t>at</w:t>
      </w:r>
      <w:r>
        <w:rPr>
          <w:rFonts w:eastAsia="Arial Narrow" w:cstheme="minorHAnsi"/>
          <w:spacing w:val="1"/>
        </w:rPr>
        <w:t>i</w:t>
      </w:r>
      <w:r>
        <w:rPr>
          <w:rFonts w:eastAsia="Arial Narrow" w:cstheme="minorHAnsi"/>
        </w:rPr>
        <w:t>h patenata.</w:t>
      </w:r>
      <w:r w:rsidR="00771954">
        <w:rPr>
          <w:rFonts w:eastAsia="Arial Narrow" w:cstheme="minorHAnsi"/>
        </w:rPr>
        <w:t xml:space="preserve"> </w:t>
      </w:r>
    </w:p>
    <w:p w14:paraId="5DBEC290" w14:textId="1717912E" w:rsidR="008878A0" w:rsidRDefault="008878A0" w:rsidP="00941871">
      <w:pPr>
        <w:rPr>
          <w:rFonts w:eastAsiaTheme="minorHAnsi" w:cstheme="minorHAnsi"/>
          <w:lang w:eastAsia="hr-HR"/>
        </w:rPr>
      </w:pPr>
      <w:r>
        <w:rPr>
          <w:rFonts w:cstheme="minorHAnsi"/>
        </w:rPr>
        <w:t>Pokazatelj inovacijskog potencijala su i podaci o poslovanju u djelatnosti istraživanja i razvoja. P</w:t>
      </w:r>
      <w:r>
        <w:rPr>
          <w:rFonts w:eastAsia="Arial Narrow" w:cstheme="minorHAnsi"/>
        </w:rPr>
        <w:t xml:space="preserve">rema podacima FINA-e za 2018. godinu u djelatnosti istraživanja i razvoja (M72) u Hrvatskoj je bilo registrirano 279 tvrtki koje su zapošljavanje </w:t>
      </w:r>
      <w:r>
        <w:rPr>
          <w:rFonts w:cstheme="minorHAnsi"/>
        </w:rPr>
        <w:t>2.856 radnika i investirale 32.387.607 kuna u</w:t>
      </w:r>
      <w:r>
        <w:rPr>
          <w:rFonts w:eastAsia="Arial Narrow" w:cstheme="minorHAnsi"/>
        </w:rPr>
        <w:t xml:space="preserve"> istraživanje i razvoj te dodatnih </w:t>
      </w:r>
      <w:r>
        <w:rPr>
          <w:rFonts w:cstheme="minorHAnsi"/>
        </w:rPr>
        <w:t xml:space="preserve">95.976.486 kuna za koncesije </w:t>
      </w:r>
      <w:r w:rsidR="00771954">
        <w:rPr>
          <w:rFonts w:cstheme="minorHAnsi"/>
        </w:rPr>
        <w:t xml:space="preserve">i prava. </w:t>
      </w:r>
      <w:r w:rsidR="000F4955">
        <w:rPr>
          <w:rFonts w:cstheme="minorHAnsi"/>
        </w:rPr>
        <w:t xml:space="preserve">U </w:t>
      </w:r>
      <w:r w:rsidR="00771954">
        <w:rPr>
          <w:rFonts w:cstheme="minorHAnsi"/>
        </w:rPr>
        <w:t>Sjevern</w:t>
      </w:r>
      <w:r w:rsidR="000F4955">
        <w:rPr>
          <w:rFonts w:cstheme="minorHAnsi"/>
        </w:rPr>
        <w:t>oj</w:t>
      </w:r>
      <w:r>
        <w:rPr>
          <w:rFonts w:cstheme="minorHAnsi"/>
        </w:rPr>
        <w:t xml:space="preserve"> Hrvatsk</w:t>
      </w:r>
      <w:r w:rsidR="000F4955">
        <w:rPr>
          <w:rFonts w:cstheme="minorHAnsi"/>
        </w:rPr>
        <w:t>oj</w:t>
      </w:r>
      <w:r>
        <w:rPr>
          <w:rFonts w:cstheme="minorHAnsi"/>
        </w:rPr>
        <w:t xml:space="preserve"> </w:t>
      </w:r>
      <w:r>
        <w:rPr>
          <w:rFonts w:eastAsia="Arial Narrow" w:cstheme="minorHAnsi"/>
        </w:rPr>
        <w:t>najviše poduzeća u djelatnosti istraživanja i razvoja registriran</w:t>
      </w:r>
      <w:r w:rsidR="00771954">
        <w:rPr>
          <w:rFonts w:eastAsia="Arial Narrow" w:cstheme="minorHAnsi"/>
        </w:rPr>
        <w:t xml:space="preserve">o </w:t>
      </w:r>
      <w:r w:rsidR="000F4955">
        <w:rPr>
          <w:rFonts w:eastAsia="Arial Narrow" w:cstheme="minorHAnsi"/>
        </w:rPr>
        <w:t xml:space="preserve">je </w:t>
      </w:r>
      <w:r w:rsidR="00771954">
        <w:rPr>
          <w:rFonts w:eastAsia="Arial Narrow" w:cstheme="minorHAnsi"/>
        </w:rPr>
        <w:t>u Zagrebačkoj županiji</w:t>
      </w:r>
      <w:r>
        <w:rPr>
          <w:rFonts w:eastAsia="Arial Narrow" w:cstheme="minorHAnsi"/>
        </w:rPr>
        <w:t xml:space="preserve">. U Krapinsko- zagorskoj županiji u djelatnosti istraživanje i razvoj u 2018. godini poslovale su 4 tvrtke koje su zapošljavale 9 zaposlenih i ostvarile ukupno </w:t>
      </w:r>
      <w:r>
        <w:rPr>
          <w:rFonts w:cstheme="minorHAnsi"/>
          <w:lang w:eastAsia="hr-HR"/>
        </w:rPr>
        <w:t>1.374.471 kn prihoda</w:t>
      </w:r>
      <w:r w:rsidR="00497818">
        <w:rPr>
          <w:rFonts w:cstheme="minorHAnsi"/>
          <w:lang w:eastAsia="hr-HR"/>
        </w:rPr>
        <w:t>. M</w:t>
      </w:r>
      <w:r>
        <w:rPr>
          <w:rFonts w:cstheme="minorHAnsi"/>
          <w:lang w:eastAsia="hr-HR"/>
        </w:rPr>
        <w:t>eđutim</w:t>
      </w:r>
      <w:r w:rsidR="00497818">
        <w:rPr>
          <w:rFonts w:cstheme="minorHAnsi"/>
          <w:lang w:eastAsia="hr-HR"/>
        </w:rPr>
        <w:t>,</w:t>
      </w:r>
      <w:r>
        <w:rPr>
          <w:rFonts w:cstheme="minorHAnsi"/>
          <w:lang w:eastAsia="hr-HR"/>
        </w:rPr>
        <w:t xml:space="preserve"> u 2018. godini </w:t>
      </w:r>
      <w:r w:rsidR="00497818">
        <w:rPr>
          <w:rFonts w:cstheme="minorHAnsi"/>
          <w:lang w:eastAsia="hr-HR"/>
        </w:rPr>
        <w:t>ni jedna od njih nije ulagala</w:t>
      </w:r>
      <w:r>
        <w:rPr>
          <w:rFonts w:cstheme="minorHAnsi"/>
          <w:lang w:eastAsia="hr-HR"/>
        </w:rPr>
        <w:t>.</w:t>
      </w:r>
    </w:p>
    <w:p w14:paraId="7A3AE886" w14:textId="29BB4AB4" w:rsidR="008878A0" w:rsidRDefault="008878A0" w:rsidP="00941871">
      <w:pPr>
        <w:rPr>
          <w:rFonts w:eastAsia="ArialNarrow" w:cstheme="minorHAnsi"/>
        </w:rPr>
      </w:pPr>
      <w:r>
        <w:rPr>
          <w:rFonts w:eastAsia="ArialNarrow" w:cstheme="minorHAnsi"/>
        </w:rPr>
        <w:t>U sektoru informacijske i komunikacijske tehnologije (ICT)</w:t>
      </w:r>
      <w:r>
        <w:rPr>
          <w:rStyle w:val="Referencafusnote"/>
          <w:rFonts w:eastAsia="ArialNarrow" w:cstheme="minorHAnsi"/>
        </w:rPr>
        <w:footnoteReference w:id="70"/>
      </w:r>
      <w:r>
        <w:rPr>
          <w:rFonts w:eastAsia="ArialNarrow" w:cstheme="minorHAnsi"/>
        </w:rPr>
        <w:t xml:space="preserve"> broj tvrtki </w:t>
      </w:r>
      <w:r w:rsidR="00305CCD">
        <w:rPr>
          <w:rFonts w:eastAsia="ArialNarrow" w:cstheme="minorHAnsi"/>
        </w:rPr>
        <w:t>u posljednje četiri godine kontinuirano</w:t>
      </w:r>
      <w:r>
        <w:rPr>
          <w:rFonts w:eastAsia="ArialNarrow" w:cstheme="minorHAnsi"/>
        </w:rPr>
        <w:t xml:space="preserve"> raste. Prema podacima FINA-e, </w:t>
      </w:r>
      <w:r w:rsidR="00497818">
        <w:rPr>
          <w:rFonts w:eastAsia="ArialNarrow" w:cstheme="minorHAnsi"/>
        </w:rPr>
        <w:t>od 2015. do</w:t>
      </w:r>
      <w:r>
        <w:rPr>
          <w:rFonts w:eastAsia="ArialNarrow" w:cstheme="minorHAnsi"/>
        </w:rPr>
        <w:t xml:space="preserve"> 2018. godin</w:t>
      </w:r>
      <w:r w:rsidR="00497818">
        <w:rPr>
          <w:rFonts w:eastAsia="ArialNarrow" w:cstheme="minorHAnsi"/>
        </w:rPr>
        <w:t>e</w:t>
      </w:r>
      <w:r>
        <w:rPr>
          <w:rFonts w:eastAsia="ArialNarrow" w:cstheme="minorHAnsi"/>
        </w:rPr>
        <w:t xml:space="preserve"> </w:t>
      </w:r>
      <w:r w:rsidR="00497818">
        <w:rPr>
          <w:rFonts w:eastAsia="ArialNarrow" w:cstheme="minorHAnsi"/>
        </w:rPr>
        <w:t>u</w:t>
      </w:r>
      <w:r w:rsidR="00305CCD">
        <w:rPr>
          <w:rFonts w:eastAsia="ArialNarrow" w:cstheme="minorHAnsi"/>
        </w:rPr>
        <w:t xml:space="preserve"> Hrvatsk</w:t>
      </w:r>
      <w:r w:rsidR="00497818">
        <w:rPr>
          <w:rFonts w:eastAsia="ArialNarrow" w:cstheme="minorHAnsi"/>
        </w:rPr>
        <w:t>oj je</w:t>
      </w:r>
      <w:r w:rsidR="00305CCD">
        <w:rPr>
          <w:rFonts w:eastAsia="ArialNarrow" w:cstheme="minorHAnsi"/>
        </w:rPr>
        <w:t xml:space="preserve"> </w:t>
      </w:r>
      <w:r>
        <w:rPr>
          <w:rFonts w:eastAsia="ArialNarrow" w:cstheme="minorHAnsi"/>
        </w:rPr>
        <w:t xml:space="preserve">broj tvrtki povećan za 29%, broj zaposlenih za 23%, prihodi za 22%, </w:t>
      </w:r>
      <w:r w:rsidR="00497818">
        <w:rPr>
          <w:rFonts w:eastAsia="ArialNarrow" w:cstheme="minorHAnsi"/>
        </w:rPr>
        <w:t xml:space="preserve">a </w:t>
      </w:r>
      <w:r>
        <w:rPr>
          <w:rFonts w:eastAsia="ArialNarrow" w:cstheme="minorHAnsi"/>
        </w:rPr>
        <w:t>izdaci za prava i koncesije za 13%</w:t>
      </w:r>
      <w:r w:rsidR="00497818">
        <w:rPr>
          <w:rFonts w:eastAsia="ArialNarrow" w:cstheme="minorHAnsi"/>
        </w:rPr>
        <w:t>. I</w:t>
      </w:r>
      <w:r>
        <w:rPr>
          <w:rFonts w:eastAsia="ArialNarrow" w:cstheme="minorHAnsi"/>
        </w:rPr>
        <w:t>zdaci za istraživanje i razvoj porasli za čak 195%. U Krapinsko-zagorskoj županiji broj tvrtki je u odnosu na 2015. godinu porastao za 27%, broj zaposlenih za 45%,</w:t>
      </w:r>
      <w:r w:rsidR="00305CCD">
        <w:rPr>
          <w:rFonts w:eastAsia="ArialNarrow" w:cstheme="minorHAnsi"/>
        </w:rPr>
        <w:t>a</w:t>
      </w:r>
      <w:r>
        <w:rPr>
          <w:rFonts w:eastAsia="ArialNarrow" w:cstheme="minorHAnsi"/>
        </w:rPr>
        <w:t xml:space="preserve"> prihodi su porasli za 50%.</w:t>
      </w:r>
      <w:r w:rsidR="00305CCD">
        <w:rPr>
          <w:rFonts w:eastAsia="ArialNarrow" w:cstheme="minorHAnsi"/>
        </w:rPr>
        <w:t xml:space="preserve"> Izdaci za prava i koncesije </w:t>
      </w:r>
      <w:r>
        <w:rPr>
          <w:rFonts w:eastAsia="ArialNarrow" w:cstheme="minorHAnsi"/>
        </w:rPr>
        <w:t xml:space="preserve">ostali </w:t>
      </w:r>
      <w:r w:rsidR="00305CCD">
        <w:rPr>
          <w:rFonts w:eastAsia="ArialNarrow" w:cstheme="minorHAnsi"/>
        </w:rPr>
        <w:t xml:space="preserve">su </w:t>
      </w:r>
      <w:r>
        <w:rPr>
          <w:rFonts w:eastAsia="ArialNarrow" w:cstheme="minorHAnsi"/>
        </w:rPr>
        <w:t>na istoj razini, dok izdaci u istraživanje i razvoj nisu ostvareni (niti u 2015. niti u 2018. godini). Najveći broj tvrtki u ICT sektoru očekivano posluje na području Grada Zagreba i na području Zagrebačke županije te su tamo ostvareni i najviši pr</w:t>
      </w:r>
      <w:r w:rsidR="00305CCD">
        <w:rPr>
          <w:rFonts w:eastAsia="ArialNarrow" w:cstheme="minorHAnsi"/>
        </w:rPr>
        <w:t>ihodi. Od županija Sjeverne</w:t>
      </w:r>
      <w:r>
        <w:rPr>
          <w:rFonts w:eastAsia="ArialNarrow" w:cstheme="minorHAnsi"/>
        </w:rPr>
        <w:t xml:space="preserve"> Hrvatske, </w:t>
      </w:r>
      <w:r w:rsidR="00305CCD">
        <w:rPr>
          <w:rFonts w:eastAsia="ArialNarrow" w:cstheme="minorHAnsi"/>
        </w:rPr>
        <w:t xml:space="preserve">osim Zagrebačke županije, </w:t>
      </w:r>
      <w:r>
        <w:rPr>
          <w:rFonts w:eastAsia="ArialNarrow" w:cstheme="minorHAnsi"/>
        </w:rPr>
        <w:t>značajn</w:t>
      </w:r>
      <w:r w:rsidR="00305CCD">
        <w:rPr>
          <w:rFonts w:eastAsia="ArialNarrow" w:cstheme="minorHAnsi"/>
        </w:rPr>
        <w:t xml:space="preserve">o se izdvaja </w:t>
      </w:r>
      <w:r>
        <w:rPr>
          <w:rFonts w:eastAsia="ArialNarrow" w:cstheme="minorHAnsi"/>
        </w:rPr>
        <w:t>Varaždins</w:t>
      </w:r>
      <w:r w:rsidR="00305CCD">
        <w:rPr>
          <w:rFonts w:eastAsia="ArialNarrow" w:cstheme="minorHAnsi"/>
        </w:rPr>
        <w:t xml:space="preserve">ka županija. </w:t>
      </w:r>
      <w:r>
        <w:rPr>
          <w:rFonts w:eastAsia="ArialNarrow" w:cstheme="minorHAnsi"/>
        </w:rPr>
        <w:t>Krapinsko-zagorska županija je pretposljednja po broju tvrtki (</w:t>
      </w:r>
      <w:r w:rsidR="00305CCD">
        <w:rPr>
          <w:rFonts w:eastAsia="ArialNarrow" w:cstheme="minorHAnsi"/>
        </w:rPr>
        <w:t>manje tvrtki ima Koprivničko-križevačka županija</w:t>
      </w:r>
      <w:r>
        <w:rPr>
          <w:rFonts w:eastAsia="ArialNarrow" w:cstheme="minorHAnsi"/>
        </w:rPr>
        <w:t>), međutim po ostvarenom prihodu, izdvajanjima za istraživanje i razvoj te koncesije i prava je na posljednjem mjestu</w:t>
      </w:r>
      <w:r w:rsidR="00497818">
        <w:rPr>
          <w:rFonts w:eastAsia="ArialNarrow" w:cstheme="minorHAnsi"/>
        </w:rPr>
        <w:t xml:space="preserve"> u </w:t>
      </w:r>
      <w:r w:rsidR="00305CCD">
        <w:rPr>
          <w:rFonts w:eastAsia="ArialNarrow" w:cstheme="minorHAnsi"/>
        </w:rPr>
        <w:t>Sjevern</w:t>
      </w:r>
      <w:r w:rsidR="00497818">
        <w:rPr>
          <w:rFonts w:eastAsia="ArialNarrow" w:cstheme="minorHAnsi"/>
        </w:rPr>
        <w:t>oj</w:t>
      </w:r>
      <w:r w:rsidR="00305CCD">
        <w:rPr>
          <w:rFonts w:eastAsia="ArialNarrow" w:cstheme="minorHAnsi"/>
        </w:rPr>
        <w:t xml:space="preserve"> Hrvatsk</w:t>
      </w:r>
      <w:r w:rsidR="00497818">
        <w:rPr>
          <w:rFonts w:eastAsia="ArialNarrow" w:cstheme="minorHAnsi"/>
        </w:rPr>
        <w:t>oj</w:t>
      </w:r>
      <w:r>
        <w:rPr>
          <w:rFonts w:eastAsia="ArialNarrow" w:cstheme="minorHAnsi"/>
        </w:rPr>
        <w:t xml:space="preserve">. </w:t>
      </w:r>
    </w:p>
    <w:p w14:paraId="4E035D2F" w14:textId="77777777" w:rsidR="003E2012" w:rsidRDefault="003E2012" w:rsidP="00941871">
      <w:pPr>
        <w:rPr>
          <w:rFonts w:eastAsia="ArialNarrow" w:cstheme="minorHAnsi"/>
        </w:rPr>
      </w:pPr>
    </w:p>
    <w:p w14:paraId="3F059434" w14:textId="5AC56C6B" w:rsidR="007D6366" w:rsidRDefault="00B601EE" w:rsidP="0052192B">
      <w:pPr>
        <w:pStyle w:val="Naslov2"/>
        <w:rPr>
          <w:w w:val="99"/>
        </w:rPr>
      </w:pPr>
      <w:bookmarkStart w:id="162" w:name="_Toc85181338"/>
      <w:r>
        <w:rPr>
          <w:w w:val="99"/>
        </w:rPr>
        <w:t>10</w:t>
      </w:r>
      <w:r w:rsidR="007D6366">
        <w:rPr>
          <w:w w:val="99"/>
        </w:rPr>
        <w:t>.12. Učinci epidemioloških mjera na gospodarstvo KZŽ i poslovanje gospodarskih subjekata</w:t>
      </w:r>
      <w:bookmarkEnd w:id="162"/>
    </w:p>
    <w:p w14:paraId="04F5FE71" w14:textId="3C62A7FB" w:rsidR="007D6366" w:rsidRPr="007D6366" w:rsidRDefault="007D6366" w:rsidP="007D6366"/>
    <w:p w14:paraId="1A6BE763" w14:textId="7F9BAFA5" w:rsidR="266BC6C1" w:rsidRDefault="266BC6C1" w:rsidP="4E193667">
      <w:pPr>
        <w:rPr>
          <w:rFonts w:eastAsia="ArialNarrow"/>
        </w:rPr>
      </w:pPr>
      <w:r w:rsidRPr="4E193667">
        <w:rPr>
          <w:rFonts w:eastAsia="ArialNarrow"/>
        </w:rPr>
        <w:t>Virus SARS-CoV-2 se krajem 2019. pojavio u Kini i u kratkom se roku proširio izvan Kine i Azije. Bolest uzrokovana virusom, COVID-19, ubrzo je poprimila pandemijske razmjere, a učinci na gospodarstvo usporedivi su s krizom 2008. te će se konačne kratkoročne i dugoročne posljedice tek pokazati</w:t>
      </w:r>
      <w:r w:rsidR="00BB477E">
        <w:rPr>
          <w:rStyle w:val="Referencafusnote"/>
          <w:rFonts w:eastAsia="ArialNarrow"/>
        </w:rPr>
        <w:footnoteReference w:id="71"/>
      </w:r>
      <w:r w:rsidRPr="4E193667">
        <w:rPr>
          <w:rFonts w:eastAsia="ArialNarrow"/>
        </w:rPr>
        <w:t xml:space="preserve">. </w:t>
      </w:r>
      <w:r w:rsidR="0177A00A" w:rsidRPr="4E193667">
        <w:rPr>
          <w:rFonts w:eastAsia="ArialNarrow"/>
        </w:rPr>
        <w:t xml:space="preserve">Zbog jačeg ispreplitanja gospodarstava i trgovine među državama, inicijalno lokalna kriza osjeti se i izvan lokalnih granica pa i kratka pandemija rezultira dugim usporenim ritmom oporavka globalnog ekonomskog rasta u 2020. </w:t>
      </w:r>
      <w:r w:rsidRPr="4E193667">
        <w:rPr>
          <w:rFonts w:eastAsia="ArialNarrow"/>
        </w:rPr>
        <w:t>Stoga, nužno je u Analizi stanja osvrnuti se i na najnovija događanja jer bez sumnje mijenjaju stratešku dinamiku Krapinsko-zagorske županije, Republike Hrvatske, Europske unije i drugih država uopće. Glavna ograničenja ovog osvrta proizlaze iz (1) dostupnosti informacija i (2) relevantnosti informacija.</w:t>
      </w:r>
    </w:p>
    <w:p w14:paraId="7F3C8DA2" w14:textId="5B69595F" w:rsidR="266BC6C1" w:rsidRDefault="266BC6C1" w:rsidP="002F13CF">
      <w:pPr>
        <w:pStyle w:val="Odlomakpopisa"/>
        <w:numPr>
          <w:ilvl w:val="0"/>
          <w:numId w:val="3"/>
        </w:numPr>
        <w:rPr>
          <w:rFonts w:asciiTheme="minorHAnsi" w:hAnsiTheme="minorHAnsi"/>
          <w:szCs w:val="18"/>
        </w:rPr>
      </w:pPr>
      <w:r w:rsidRPr="4E193667">
        <w:rPr>
          <w:rFonts w:eastAsia="ArialNarrow"/>
        </w:rPr>
        <w:t>Problem dostupnosti informacija vezan je uz nepotpuno poznavanje svojstava i virusa i bolesti (imunost, sezonalnost, broj oboljelih naprema broju registriranih oboljelih itd.), ritma objavljivanja ažurnih i provjerenih epidemioloških informacija te preciznosti i ažurnosti objavljivanja projekcija utjecaja na gospodarstvo i demografiju</w:t>
      </w:r>
      <w:r w:rsidR="71C97EAF" w:rsidRPr="4E193667">
        <w:rPr>
          <w:rFonts w:eastAsia="ArialNarrow"/>
        </w:rPr>
        <w:t>.</w:t>
      </w:r>
    </w:p>
    <w:p w14:paraId="3878C111" w14:textId="70D2D88A" w:rsidR="266BC6C1" w:rsidRDefault="266BC6C1" w:rsidP="002F13CF">
      <w:pPr>
        <w:pStyle w:val="Odlomakpopisa"/>
        <w:numPr>
          <w:ilvl w:val="0"/>
          <w:numId w:val="3"/>
        </w:numPr>
        <w:rPr>
          <w:rFonts w:asciiTheme="minorHAnsi" w:hAnsiTheme="minorHAnsi"/>
          <w:szCs w:val="18"/>
        </w:rPr>
      </w:pPr>
      <w:r w:rsidRPr="4E193667">
        <w:rPr>
          <w:rFonts w:eastAsia="ArialNarrow"/>
        </w:rPr>
        <w:t>Problem relevantnosti informacija vezan je uz niži stupanj relevantnosti dostupnih informacija, tj. njihove primjenjivosti na situaciju u Krapinsko-zagorskoj županiji. Dostupni su agregirani podaci i na njima temeljene projekcije na razini većih regija poput Europe ili određenih država (poput članica G20 ili članica OECD). U smislu odgovora na pandemiju i politike oporavka, to omogućuje pregled stanja ili planiranje na međunarodnoj razini, ali nije povoljan orijentir za operativne lokalizirane mjere.</w:t>
      </w:r>
    </w:p>
    <w:p w14:paraId="654FDC79" w14:textId="49E94578" w:rsidR="00C02F7C" w:rsidRPr="00C02F7C" w:rsidRDefault="266BC6C1" w:rsidP="00C02F7C">
      <w:pPr>
        <w:rPr>
          <w:rFonts w:eastAsia="ArialNarrow"/>
        </w:rPr>
      </w:pPr>
      <w:r w:rsidRPr="4E193667">
        <w:rPr>
          <w:rFonts w:eastAsia="ArialNarrow"/>
        </w:rPr>
        <w:t>Unatoč navedenim ograničenjima, trenutno dostupne informacije za Europu i Hrvatsku te ciljano prikupljene informacije od relevantnih dionika u Županiji će biti oslonac za analizu posljedica pandemije koronavirusa</w:t>
      </w:r>
      <w:r w:rsidRPr="4E193667">
        <w:rPr>
          <w:rStyle w:val="Referencafusnote"/>
          <w:rFonts w:eastAsia="ArialNarrow"/>
        </w:rPr>
        <w:footnoteReference w:id="72"/>
      </w:r>
      <w:r w:rsidRPr="4E193667">
        <w:rPr>
          <w:rFonts w:eastAsia="ArialNarrow"/>
        </w:rPr>
        <w:t xml:space="preserve"> na društveno-ekonomski razvoj županije te detektiranje potreba proizašlih iz novonastale situacije i određivanja polazišne točke s koje će Krapinsko-zagorska županija krenuti u društveno-ekonomski oporavak. Teme koje dobivaju na težini u ovim specifičnim okolnostima su digitalizacija i zdravstveni sustav, jer bez obzira na trajanje trenutnog i potencijalne nove valove pandemije, pokazalo se koliko je korisno i potrebno ulagati u digitalizaciju i zdravstvenu infrastrukturu.</w:t>
      </w:r>
    </w:p>
    <w:p w14:paraId="3B48A889" w14:textId="468284FD" w:rsidR="006276AE" w:rsidRDefault="006276AE" w:rsidP="006276AE">
      <w:pPr>
        <w:rPr>
          <w:rFonts w:eastAsia="ArialNarrow"/>
        </w:rPr>
      </w:pPr>
      <w:r w:rsidRPr="006276AE">
        <w:rPr>
          <w:rFonts w:eastAsia="ArialNarrow"/>
        </w:rPr>
        <w:t xml:space="preserve">Hrvatska kao malo otvoreno gospodarstvo izuzetno ovisi o svom okruženju, prvenstveno kroz uvoz i izvoz pa su tako najugroženiji sektor usluga i turizma. Te su djelatnosti direktno pogođene korona virusom i mjerama distanciranja i zatvaranja uslužnih objekata, no situacija u inozemstvu preko uvoza, izvoza i samog kretanja ima utjecaj na veći broj sektora. Simulacijom takvih šokova na vrijednosti od 2002. do 2018. dobiven je rezultat reakcije djelatnosti i BDP-a u Hrvatskoj na pad BDP-a u eurozoni; prema rezultatu takve simulacije, domaći BDP osjetljivo reagira na promjene BDP-a eurozone. Svi su sektori prema NKD osjetljivi, </w:t>
      </w:r>
      <w:r w:rsidRPr="006276AE">
        <w:rPr>
          <w:rFonts w:eastAsia="ArialNarrow"/>
        </w:rPr>
        <w:lastRenderedPageBreak/>
        <w:t>a posebno osjetljivi su F: Građevinarstvo, G, H, I: Trgovina, prijevoz i skladištenje, smještaj, priprema i usluživanje hrane (koji je najviše povezan s turizmom i ugostiteljstvom) te B, C, D, E: Industrija (posebno C: Prerađivačka industrija), a pada i A: Poljoprivreda. Bitno je istaknuti da efekti krize nisu jednokratni i trenutni već jačaju s vremenom. Krivulja pada varira ovisno o sektoru pa tako sektor trgovine i usluga maksimalni pad doseže nakon godinu i pol (3.5 %), a sektor građevinarstva slabo pada prvu godinu (1.5%), dok nakon tri godine pada oštro (čak 6%). Manje osjetljivi sektori su O, P, Q: javni sektor, L: poslovanje nekretninama i K: financije i osiguranje.</w:t>
      </w:r>
    </w:p>
    <w:p w14:paraId="0FA32186" w14:textId="4BC02D9B" w:rsidR="002A45AB" w:rsidRPr="002A45AB" w:rsidRDefault="002A45AB" w:rsidP="002A45AB">
      <w:pPr>
        <w:rPr>
          <w:rFonts w:eastAsia="ArialNarrow"/>
        </w:rPr>
      </w:pPr>
      <w:r w:rsidRPr="002A45AB">
        <w:rPr>
          <w:rFonts w:eastAsia="ArialNarrow"/>
        </w:rPr>
        <w:t>Kako se globalna gospodarska dinamika odrazila na europsko gospodarstvo, tako se i posljedice pandemije za hrvatsko gospodarstvo mogu očekivati i na županijskoj razini. U Krapinsko-zagorskoj županiji epidemiološke mjere od ožujka do studenog 2020. ticale su se ograničavanja broja ljudi na raznim okupljanjima, ograničenog pristupa zdravstvenim ustanovama i ustanovama skrbi, korištenja zdravstvenih materijala poput maski i dezinficijensa te fizičke distance, a u proljetnoj karanteni ticale su se obustave poslovanja i ograničavanja kretanja stanovništva (kao i u ostatku RH).</w:t>
      </w:r>
      <w:r>
        <w:rPr>
          <w:rFonts w:eastAsia="ArialNarrow"/>
        </w:rPr>
        <w:t xml:space="preserve"> </w:t>
      </w:r>
      <w:r w:rsidRPr="002A45AB">
        <w:rPr>
          <w:rFonts w:eastAsia="ArialNarrow"/>
        </w:rPr>
        <w:t xml:space="preserve">Na području institucionalnog kapaciteta, došlo je i do nekih pozitivnih promjena; COVID kriza je i u javnom i u privatnom sektoru nametnula brži prelazak na digitalne kanale poslovanja i komunikacije te je potaknula dugoročno pozitivne i poželjne procese digitalne transformacije poslovanja. </w:t>
      </w:r>
      <w:r w:rsidRPr="001503B1">
        <w:rPr>
          <w:rFonts w:eastAsia="ArialNarrow"/>
        </w:rPr>
        <w:t xml:space="preserve">U KZŽ je </w:t>
      </w:r>
      <w:r w:rsidR="001503B1" w:rsidRPr="001503B1">
        <w:rPr>
          <w:rFonts w:eastAsia="ArialNarrow"/>
        </w:rPr>
        <w:t xml:space="preserve">u većoj mjeri </w:t>
      </w:r>
      <w:r w:rsidRPr="001503B1">
        <w:rPr>
          <w:rFonts w:eastAsia="ArialNarrow"/>
        </w:rPr>
        <w:t>ubrzan razvoj i uvođenje novih načina rada poput rada od kuće te korištenja digitalnih alata u poslovanju.</w:t>
      </w:r>
      <w:r w:rsidRPr="002A45AB">
        <w:rPr>
          <w:rFonts w:eastAsia="ArialNarrow"/>
        </w:rPr>
        <w:t xml:space="preserve"> Započelo je provođenje digitalizacije poslovanja KZŽ i županijskih institucija </w:t>
      </w:r>
      <w:r>
        <w:rPr>
          <w:rFonts w:eastAsia="ArialNarrow"/>
        </w:rPr>
        <w:t>te je u veljači 2021. županijska skupština usvojila</w:t>
      </w:r>
      <w:r w:rsidRPr="002A45AB">
        <w:rPr>
          <w:rFonts w:eastAsia="ArialNarrow"/>
        </w:rPr>
        <w:t xml:space="preserve"> Strategij</w:t>
      </w:r>
      <w:r>
        <w:rPr>
          <w:rFonts w:eastAsia="ArialNarrow"/>
        </w:rPr>
        <w:t>u</w:t>
      </w:r>
      <w:r w:rsidRPr="002A45AB">
        <w:rPr>
          <w:rFonts w:eastAsia="ArialNarrow"/>
        </w:rPr>
        <w:t xml:space="preserve"> digitalne transformacije KZŽ i t</w:t>
      </w:r>
      <w:r>
        <w:rPr>
          <w:rFonts w:eastAsia="ArialNarrow"/>
        </w:rPr>
        <w:t>ako</w:t>
      </w:r>
      <w:r w:rsidRPr="002A45AB">
        <w:rPr>
          <w:rFonts w:eastAsia="ArialNarrow"/>
        </w:rPr>
        <w:t xml:space="preserve"> je digitalna transformacije integrirana u planiranje županijskog strateškog razvoja. No, posljedice korona krize manje su povoljne na području gospodarstva i poljoprivrede u županiji, što je analizirano u nastavku.</w:t>
      </w:r>
    </w:p>
    <w:p w14:paraId="7931B198" w14:textId="59F9623C" w:rsidR="001E52B3" w:rsidRDefault="00985EDB" w:rsidP="001E52B3">
      <w:pPr>
        <w:rPr>
          <w:rFonts w:eastAsia="ArialNarrow"/>
        </w:rPr>
      </w:pPr>
      <w:r w:rsidRPr="00985EDB">
        <w:rPr>
          <w:rFonts w:eastAsia="ArialNarrow"/>
        </w:rPr>
        <w:t xml:space="preserve">U listopadu 2020. Zagorska razvojna agencija je u suradnji s Krapinsko-zagorskom županijom provela anketu o utjecaju pandemije bolesti COVID-19 i epidemioloških mjera na poslovanje gospodarstvenika Krapinsko-zagorske županije. Rezultati provedene ankete daju informacije o utjecaju COVID-19 na poslovanje gospodarskih subjekata, financijsku održivost, kao i informacije o efektima poduzetih mjera kao odgovora na pandemijsku krizu. Na anketu je u periodu od 16. do 28. listopada 2020. odgovorilo 110 ispitanika, od toga 77% obrta, 18% trgovačkih društava, 1 zadruga i 4 ostalih subjekata (samostalne djelatnosti, slobodna zanimanja, djelatnosti poljoprivrede i šumarstva). Prije nastupa epidemioloških mjera (stanje na 19.03.2020.) ukupno je bilo zaposleno 6.977 radnika pri 110 poslovnih subjekata koji su odgovorili na anketni upitnik. Uočeno je da je ukupni broj zaposlenih u rujnu 2020. pao za 12 u odnosu na broj zaposlenih u ožujku 2020. godine te je iznosio 6.965. </w:t>
      </w:r>
      <w:r w:rsidR="001E52B3" w:rsidRPr="00C02F7C">
        <w:rPr>
          <w:rFonts w:eastAsia="ArialNarrow"/>
        </w:rPr>
        <w:t xml:space="preserve">Među ponuđenim kategorijama odabirom samo jednog odgovora </w:t>
      </w:r>
      <w:r w:rsidR="001E52B3" w:rsidRPr="001E52B3">
        <w:rPr>
          <w:rFonts w:eastAsia="ArialNarrow"/>
        </w:rPr>
        <w:t xml:space="preserve">poslovni subjekti </w:t>
      </w:r>
      <w:r w:rsidR="001E52B3" w:rsidRPr="00C02F7C">
        <w:rPr>
          <w:rFonts w:eastAsia="ArialNarrow"/>
        </w:rPr>
        <w:t xml:space="preserve">su </w:t>
      </w:r>
      <w:r w:rsidR="001E52B3" w:rsidRPr="001E52B3">
        <w:rPr>
          <w:rFonts w:eastAsia="ArialNarrow"/>
        </w:rPr>
        <w:t xml:space="preserve">procijenili dosadašnji učinak epidemioloških mjera provedenih radi pandemije bolesti COVID 19. na vlastito poslovanje (Grafikon </w:t>
      </w:r>
      <w:r w:rsidR="001E52B3" w:rsidRPr="00C02F7C">
        <w:rPr>
          <w:rFonts w:eastAsia="ArialNarrow"/>
        </w:rPr>
        <w:t>48</w:t>
      </w:r>
      <w:r w:rsidR="001E52B3" w:rsidRPr="001E52B3">
        <w:rPr>
          <w:rFonts w:eastAsia="ArialNarrow"/>
        </w:rPr>
        <w:t xml:space="preserve">.). Najviše ispitanika, odnosno </w:t>
      </w:r>
      <w:bookmarkStart w:id="163" w:name="_Hlk85028099"/>
      <w:r w:rsidR="001E52B3" w:rsidRPr="001E52B3">
        <w:rPr>
          <w:rFonts w:eastAsia="ArialNarrow"/>
        </w:rPr>
        <w:t>32 poslovna subjekta procijenilo je da osjeća srednji nepovoljni učinak epidemioloških mjera provedenih radi pandemije bolesti COVID 19. na poslovanje, dok 29 procjenjuje snažan nepovoljni učinak. Sumirano u tri veće kategorije (nepovoljan učinak, nije bilo nepovoljnog učinka, javio se pozitivni učinak) gotovo 85% ispitanih odgovorilo je kako je učinak bio nepovoljan (od toga je većina izrazila srednji i snažni nepovoljni učinak),</w:t>
      </w:r>
      <w:r w:rsidR="001E52B3" w:rsidRPr="001E52B3" w:rsidDel="0018032F">
        <w:rPr>
          <w:rFonts w:eastAsia="ArialNarrow"/>
        </w:rPr>
        <w:t xml:space="preserve"> </w:t>
      </w:r>
      <w:r w:rsidR="001E52B3" w:rsidRPr="001E52B3">
        <w:rPr>
          <w:rFonts w:eastAsia="ArialNarrow"/>
        </w:rPr>
        <w:t>11% smatra da nije bilo nepovoljnog učinka, samo 1 ispitanik odgovorio je kako se javio pozitivni učinak dok 3,6%</w:t>
      </w:r>
      <w:r w:rsidR="001E52B3" w:rsidRPr="001E52B3" w:rsidDel="0018032F">
        <w:rPr>
          <w:rFonts w:eastAsia="ArialNarrow"/>
        </w:rPr>
        <w:t xml:space="preserve"> </w:t>
      </w:r>
      <w:r w:rsidR="001E52B3" w:rsidRPr="001E52B3">
        <w:rPr>
          <w:rFonts w:eastAsia="ArialNarrow"/>
        </w:rPr>
        <w:t>ne zna procijeniti učinak.</w:t>
      </w:r>
    </w:p>
    <w:p w14:paraId="4F3A8019" w14:textId="77777777" w:rsidR="00CF4B96" w:rsidRPr="001E52B3" w:rsidRDefault="00CF4B96" w:rsidP="001E52B3">
      <w:pPr>
        <w:rPr>
          <w:rFonts w:eastAsia="ArialNarrow"/>
        </w:rPr>
      </w:pPr>
    </w:p>
    <w:bookmarkEnd w:id="163"/>
    <w:p w14:paraId="2A776617" w14:textId="055CF396" w:rsidR="001E52B3" w:rsidRPr="001E52B3" w:rsidRDefault="001E52B3" w:rsidP="001E52B3">
      <w:pPr>
        <w:rPr>
          <w:rFonts w:eastAsia="ArialNarrow"/>
        </w:rPr>
      </w:pPr>
      <w:r w:rsidRPr="001E52B3">
        <w:rPr>
          <w:rFonts w:cstheme="minorHAnsi"/>
          <w:bCs/>
          <w:iCs/>
          <w:szCs w:val="22"/>
        </w:rPr>
        <w:t xml:space="preserve">Grafikon </w:t>
      </w:r>
      <w:r>
        <w:rPr>
          <w:rFonts w:cstheme="minorHAnsi"/>
          <w:bCs/>
          <w:iCs/>
          <w:szCs w:val="22"/>
        </w:rPr>
        <w:t>4</w:t>
      </w:r>
      <w:r w:rsidR="00CF4B96">
        <w:rPr>
          <w:rFonts w:cstheme="minorHAnsi"/>
          <w:bCs/>
          <w:iCs/>
          <w:szCs w:val="22"/>
        </w:rPr>
        <w:t>9</w:t>
      </w:r>
      <w:r>
        <w:rPr>
          <w:rFonts w:cstheme="minorHAnsi"/>
          <w:bCs/>
          <w:iCs/>
          <w:szCs w:val="22"/>
        </w:rPr>
        <w:t>.</w:t>
      </w:r>
      <w:r w:rsidRPr="001E52B3">
        <w:rPr>
          <w:rFonts w:eastAsia="ArialNarrow"/>
        </w:rPr>
        <w:t xml:space="preserve"> </w:t>
      </w:r>
      <w:r>
        <w:rPr>
          <w:rFonts w:eastAsia="ArialNarrow"/>
        </w:rPr>
        <w:t>Procjena u</w:t>
      </w:r>
      <w:r w:rsidRPr="001E52B3">
        <w:rPr>
          <w:rFonts w:eastAsia="ArialNarrow"/>
        </w:rPr>
        <w:t>čin</w:t>
      </w:r>
      <w:r>
        <w:rPr>
          <w:rFonts w:eastAsia="ArialNarrow"/>
        </w:rPr>
        <w:t>ka</w:t>
      </w:r>
      <w:r w:rsidRPr="001E52B3">
        <w:rPr>
          <w:rFonts w:eastAsia="ArialNarrow"/>
        </w:rPr>
        <w:t xml:space="preserve"> epidemioloških mjera provedenih radi pandemije bolesti COVID-19 na poslovanje</w:t>
      </w:r>
    </w:p>
    <w:p w14:paraId="41944D89" w14:textId="77777777" w:rsidR="001E52B3" w:rsidRPr="001E52B3" w:rsidRDefault="001E52B3" w:rsidP="001E52B3">
      <w:pPr>
        <w:rPr>
          <w:rFonts w:eastAsia="ArialNarrow"/>
        </w:rPr>
      </w:pPr>
      <w:r w:rsidRPr="001E52B3">
        <w:rPr>
          <w:rFonts w:eastAsia="ArialNarrow"/>
          <w:noProof/>
        </w:rPr>
        <w:drawing>
          <wp:inline distT="0" distB="0" distL="0" distR="0" wp14:anchorId="1FD9D00D" wp14:editId="020F445D">
            <wp:extent cx="6047740" cy="2727960"/>
            <wp:effectExtent l="0" t="0" r="0" b="0"/>
            <wp:docPr id="548656501" name="Slika 548656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48656501"/>
                    <pic:cNvPicPr/>
                  </pic:nvPicPr>
                  <pic:blipFill>
                    <a:blip r:embed="rId92">
                      <a:extLst>
                        <a:ext uri="{28A0092B-C50C-407E-A947-70E740481C1C}">
                          <a14:useLocalDpi xmlns:a14="http://schemas.microsoft.com/office/drawing/2010/main" val="0"/>
                        </a:ext>
                      </a:extLst>
                    </a:blip>
                    <a:stretch>
                      <a:fillRect/>
                    </a:stretch>
                  </pic:blipFill>
                  <pic:spPr>
                    <a:xfrm>
                      <a:off x="0" y="0"/>
                      <a:ext cx="6056449" cy="2731888"/>
                    </a:xfrm>
                    <a:prstGeom prst="rect">
                      <a:avLst/>
                    </a:prstGeom>
                  </pic:spPr>
                </pic:pic>
              </a:graphicData>
            </a:graphic>
          </wp:inline>
        </w:drawing>
      </w:r>
    </w:p>
    <w:p w14:paraId="716F4EB1" w14:textId="77777777" w:rsidR="001E52B3" w:rsidRPr="001E52B3" w:rsidRDefault="001E52B3" w:rsidP="001E52B3">
      <w:pPr>
        <w:rPr>
          <w:rFonts w:eastAsia="ArialNarrow"/>
        </w:rPr>
      </w:pPr>
    </w:p>
    <w:p w14:paraId="562AD8E8" w14:textId="710CE1C5" w:rsidR="001E52B3" w:rsidRPr="001E52B3" w:rsidRDefault="001E52B3" w:rsidP="001E52B3">
      <w:pPr>
        <w:rPr>
          <w:rFonts w:eastAsia="ArialNarrow"/>
        </w:rPr>
      </w:pPr>
      <w:r w:rsidRPr="001E52B3">
        <w:rPr>
          <w:rFonts w:eastAsia="ArialNarrow"/>
        </w:rPr>
        <w:t xml:space="preserve">Od obrta (N=85), vrlo snažan nepovoljni učinak mjera provedenih radi pandemije bolesti COVID-19 procijenilo je 17 subjekata (20%), a snažan i srednji njih 48 (57%), </w:t>
      </w:r>
      <w:r w:rsidR="005147BC">
        <w:rPr>
          <w:rFonts w:eastAsia="ArialNarrow"/>
        </w:rPr>
        <w:t>ovdje se</w:t>
      </w:r>
      <w:r w:rsidRPr="001E52B3">
        <w:rPr>
          <w:rFonts w:eastAsia="ArialNarrow"/>
        </w:rPr>
        <w:t xml:space="preserve"> prvenstveno radi o malim i mikro obrtima. Od trgovačkih društava (N=20), 4 (20%) je odgovorilo kako ne znaju procijeniti ili nije bilo nepovoljnog učinka, 10 (50%) ih je prijavilo srednji ili snažan, a 3 (15%) </w:t>
      </w:r>
      <w:r w:rsidRPr="001E52B3">
        <w:rPr>
          <w:rFonts w:eastAsia="ArialNarrow"/>
        </w:rPr>
        <w:lastRenderedPageBreak/>
        <w:t>vrlo snažan nepovoljni učinak. Djelatnosti za koje je evidentiran ukupno najveći snažan i vrlo snažan nepovoljni učinak su pružanje smještaja te pripreme i usluživanje hrane, građevinarstvo, administrativne i pomoćne uslužne djelatnosti, prerađivačka industrija te trgovina. No, neki su subjekti istih primarnih djelatnosti prijavili manji ili nepostojanje nepovoljnog utjecaja, a jedan je građevinarski mikro obrt prijavio javljanje pozitivnog učinka.</w:t>
      </w:r>
    </w:p>
    <w:p w14:paraId="44D018D1" w14:textId="163E318A" w:rsidR="001E52B3" w:rsidRPr="001E52B3" w:rsidRDefault="001E52B3" w:rsidP="001E52B3">
      <w:pPr>
        <w:rPr>
          <w:rFonts w:eastAsia="ArialNarrow"/>
        </w:rPr>
      </w:pPr>
      <w:bookmarkStart w:id="164" w:name="_Hlk85028607"/>
      <w:r>
        <w:rPr>
          <w:rFonts w:eastAsia="ArialNarrow"/>
        </w:rPr>
        <w:t>Anketom se p</w:t>
      </w:r>
      <w:r w:rsidRPr="001E52B3">
        <w:rPr>
          <w:rFonts w:eastAsia="ArialNarrow"/>
        </w:rPr>
        <w:t>oslovne subjekte priupitalo o usporedbi prometa za razdoblje ožujak-rujan 2019. u usporedbi s istim razdobljem u 2020. godini</w:t>
      </w:r>
      <w:r>
        <w:rPr>
          <w:rFonts w:eastAsia="ArialNarrow"/>
        </w:rPr>
        <w:t xml:space="preserve">. </w:t>
      </w:r>
      <w:r w:rsidRPr="001E52B3">
        <w:rPr>
          <w:rFonts w:eastAsia="ArialNarrow"/>
        </w:rPr>
        <w:t xml:space="preserve">Najviše ispitanika, njih 30 (27%) </w:t>
      </w:r>
      <w:r w:rsidR="00D1698D">
        <w:rPr>
          <w:rFonts w:eastAsia="ArialNarrow"/>
        </w:rPr>
        <w:t>odgovorilo je da j</w:t>
      </w:r>
      <w:r w:rsidR="005147BC">
        <w:rPr>
          <w:rFonts w:eastAsia="ArialNarrow"/>
        </w:rPr>
        <w:t>e</w:t>
      </w:r>
      <w:r w:rsidR="00D1698D">
        <w:rPr>
          <w:rFonts w:eastAsia="ArialNarrow"/>
        </w:rPr>
        <w:t xml:space="preserve"> vidljivo smanjenje </w:t>
      </w:r>
      <w:r w:rsidRPr="001E52B3">
        <w:rPr>
          <w:rFonts w:eastAsia="ArialNarrow"/>
        </w:rPr>
        <w:t>prometa v</w:t>
      </w:r>
      <w:r w:rsidR="00D1698D">
        <w:rPr>
          <w:rFonts w:eastAsia="ArialNarrow"/>
        </w:rPr>
        <w:t>iše</w:t>
      </w:r>
      <w:r w:rsidRPr="001E52B3">
        <w:rPr>
          <w:rFonts w:eastAsia="ArialNarrow"/>
        </w:rPr>
        <w:t xml:space="preserve"> od 50%</w:t>
      </w:r>
      <w:r w:rsidR="00D1698D">
        <w:rPr>
          <w:rFonts w:eastAsia="ArialNarrow"/>
        </w:rPr>
        <w:t>, s</w:t>
      </w:r>
      <w:r w:rsidRPr="001E52B3">
        <w:rPr>
          <w:rFonts w:eastAsia="ArialNarrow"/>
        </w:rPr>
        <w:t xml:space="preserve">manjenje prometa od 10-30% </w:t>
      </w:r>
      <w:r w:rsidR="00D1698D">
        <w:rPr>
          <w:rFonts w:eastAsia="ArialNarrow"/>
        </w:rPr>
        <w:t>odgovorilo</w:t>
      </w:r>
      <w:r w:rsidRPr="001E52B3">
        <w:rPr>
          <w:rFonts w:eastAsia="ArialNarrow"/>
        </w:rPr>
        <w:t xml:space="preserve"> je 29 poslovnih subjekata (26%)</w:t>
      </w:r>
      <w:r w:rsidR="00D1698D">
        <w:rPr>
          <w:rFonts w:eastAsia="ArialNarrow"/>
        </w:rPr>
        <w:t>, n</w:t>
      </w:r>
      <w:r w:rsidRPr="001E52B3">
        <w:rPr>
          <w:rFonts w:eastAsia="ArialNarrow"/>
        </w:rPr>
        <w:t xml:space="preserve">ije vidljivo smanjenje prometa </w:t>
      </w:r>
      <w:r w:rsidR="00D1698D">
        <w:rPr>
          <w:rFonts w:eastAsia="ArialNarrow"/>
        </w:rPr>
        <w:t>odgovorilo</w:t>
      </w:r>
      <w:r w:rsidRPr="001E52B3">
        <w:rPr>
          <w:rFonts w:eastAsia="ArialNarrow"/>
        </w:rPr>
        <w:t xml:space="preserve"> je 11 ispitanika (10%) dok je jedan poslovni subjekt prijavio porast prometa. </w:t>
      </w:r>
    </w:p>
    <w:p w14:paraId="2419E8EA" w14:textId="77777777" w:rsidR="00D1698D" w:rsidRDefault="00D1698D" w:rsidP="001E52B3">
      <w:pPr>
        <w:rPr>
          <w:rFonts w:eastAsia="ArialNarrow"/>
        </w:rPr>
      </w:pPr>
    </w:p>
    <w:p w14:paraId="1B92B248" w14:textId="661EA3DB" w:rsidR="001E52B3" w:rsidRPr="001E52B3" w:rsidRDefault="001E52B3" w:rsidP="00D1698D">
      <w:pPr>
        <w:pStyle w:val="Opisslike"/>
      </w:pPr>
      <w:r w:rsidRPr="001E52B3">
        <w:t xml:space="preserve">Tablica </w:t>
      </w:r>
      <w:r w:rsidR="000D5E3F">
        <w:t>99</w:t>
      </w:r>
      <w:r w:rsidRPr="001E52B3">
        <w:t xml:space="preserve">. Procjene kretanja prometa u razdoblju ožujak – rujan 2020. u usporedbi s istim razdobljem 2019. </w:t>
      </w:r>
      <w:r w:rsidRPr="001E52B3">
        <w:fldChar w:fldCharType="begin"/>
      </w:r>
      <w:r w:rsidRPr="001E52B3">
        <w:instrText xml:space="preserve"> LINK Excel.Sheet.12 "C:\\Radni\\radne tablice za gospodarstvo i poljoprivredu.xlsx" Sheet1!R42C1:R48C6 \a \f 4 \h  \* MERGEFORMAT </w:instrText>
      </w:r>
      <w:r w:rsidRPr="001E52B3">
        <w:fldChar w:fldCharType="separate"/>
      </w:r>
    </w:p>
    <w:tbl>
      <w:tblPr>
        <w:tblW w:w="9132" w:type="dxa"/>
        <w:jc w:val="center"/>
        <w:tblLook w:val="04A0" w:firstRow="1" w:lastRow="0" w:firstColumn="1" w:lastColumn="0" w:noHBand="0" w:noVBand="1"/>
      </w:tblPr>
      <w:tblGrid>
        <w:gridCol w:w="3809"/>
        <w:gridCol w:w="887"/>
        <w:gridCol w:w="887"/>
        <w:gridCol w:w="1775"/>
        <w:gridCol w:w="887"/>
        <w:gridCol w:w="887"/>
      </w:tblGrid>
      <w:tr w:rsidR="001E52B3" w:rsidRPr="001E52B3" w14:paraId="4C70EAF4" w14:textId="77777777" w:rsidTr="00D1698D">
        <w:trPr>
          <w:trHeight w:val="330"/>
          <w:jc w:val="center"/>
        </w:trPr>
        <w:tc>
          <w:tcPr>
            <w:tcW w:w="3809"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65CE2994" w14:textId="0497ACCA" w:rsidR="001E52B3" w:rsidRPr="001E52B3" w:rsidRDefault="001E52B3" w:rsidP="001E52B3">
            <w:pPr>
              <w:rPr>
                <w:rFonts w:eastAsia="ArialNarrow"/>
                <w:b/>
                <w:bCs/>
                <w:color w:val="FFFFFF" w:themeColor="background1"/>
              </w:rPr>
            </w:pPr>
            <w:r w:rsidRPr="001E52B3">
              <w:rPr>
                <w:rFonts w:eastAsia="ArialNarrow"/>
                <w:b/>
                <w:bCs/>
                <w:color w:val="FFFFFF" w:themeColor="background1"/>
              </w:rPr>
              <w:t> </w:t>
            </w:r>
            <w:r w:rsidR="00D1698D" w:rsidRPr="00D1698D">
              <w:rPr>
                <w:rFonts w:eastAsia="ArialNarrow"/>
                <w:b/>
                <w:bCs/>
                <w:color w:val="FFFFFF" w:themeColor="background1"/>
              </w:rPr>
              <w:t>Kategorije</w:t>
            </w:r>
          </w:p>
        </w:tc>
        <w:tc>
          <w:tcPr>
            <w:tcW w:w="887"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311E002A" w14:textId="77777777" w:rsidR="001E52B3" w:rsidRPr="001E52B3" w:rsidRDefault="001E52B3" w:rsidP="001E52B3">
            <w:pPr>
              <w:rPr>
                <w:rFonts w:eastAsia="ArialNarrow"/>
                <w:b/>
                <w:bCs/>
                <w:color w:val="FFFFFF" w:themeColor="background1"/>
              </w:rPr>
            </w:pPr>
            <w:r w:rsidRPr="001E52B3">
              <w:rPr>
                <w:rFonts w:eastAsia="ArialNarrow"/>
                <w:b/>
                <w:bCs/>
                <w:color w:val="FFFFFF" w:themeColor="background1"/>
              </w:rPr>
              <w:t>Obrt</w:t>
            </w:r>
          </w:p>
        </w:tc>
        <w:tc>
          <w:tcPr>
            <w:tcW w:w="887"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66F90639" w14:textId="77777777" w:rsidR="001E52B3" w:rsidRPr="001E52B3" w:rsidRDefault="001E52B3" w:rsidP="001E52B3">
            <w:pPr>
              <w:rPr>
                <w:rFonts w:eastAsia="ArialNarrow"/>
                <w:b/>
                <w:bCs/>
                <w:color w:val="FFFFFF" w:themeColor="background1"/>
              </w:rPr>
            </w:pPr>
            <w:r w:rsidRPr="001E52B3">
              <w:rPr>
                <w:rFonts w:eastAsia="ArialNarrow"/>
                <w:b/>
                <w:bCs/>
                <w:color w:val="FFFFFF" w:themeColor="background1"/>
              </w:rPr>
              <w:t xml:space="preserve">Ostalo </w:t>
            </w:r>
          </w:p>
        </w:tc>
        <w:tc>
          <w:tcPr>
            <w:tcW w:w="1775"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7A70B708" w14:textId="77777777" w:rsidR="001E52B3" w:rsidRPr="001E52B3" w:rsidRDefault="001E52B3" w:rsidP="001E52B3">
            <w:pPr>
              <w:rPr>
                <w:rFonts w:eastAsia="ArialNarrow"/>
                <w:b/>
                <w:bCs/>
                <w:color w:val="FFFFFF" w:themeColor="background1"/>
              </w:rPr>
            </w:pPr>
            <w:r w:rsidRPr="001E52B3">
              <w:rPr>
                <w:rFonts w:eastAsia="ArialNarrow"/>
                <w:b/>
                <w:bCs/>
                <w:color w:val="FFFFFF" w:themeColor="background1"/>
              </w:rPr>
              <w:t>Trgovačko društvo</w:t>
            </w:r>
          </w:p>
        </w:tc>
        <w:tc>
          <w:tcPr>
            <w:tcW w:w="887"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512AB78C" w14:textId="77777777" w:rsidR="001E52B3" w:rsidRPr="001E52B3" w:rsidRDefault="001E52B3" w:rsidP="001E52B3">
            <w:pPr>
              <w:rPr>
                <w:rFonts w:eastAsia="ArialNarrow"/>
                <w:b/>
                <w:bCs/>
                <w:color w:val="FFFFFF" w:themeColor="background1"/>
              </w:rPr>
            </w:pPr>
            <w:r w:rsidRPr="001E52B3">
              <w:rPr>
                <w:rFonts w:eastAsia="ArialNarrow"/>
                <w:b/>
                <w:bCs/>
                <w:color w:val="FFFFFF" w:themeColor="background1"/>
              </w:rPr>
              <w:t>Zadruga</w:t>
            </w:r>
          </w:p>
        </w:tc>
        <w:tc>
          <w:tcPr>
            <w:tcW w:w="887"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6ED0699F" w14:textId="77777777" w:rsidR="001E52B3" w:rsidRPr="001E52B3" w:rsidRDefault="001E52B3" w:rsidP="001E52B3">
            <w:pPr>
              <w:rPr>
                <w:rFonts w:eastAsia="ArialNarrow"/>
                <w:b/>
                <w:bCs/>
                <w:color w:val="FFFFFF" w:themeColor="background1"/>
              </w:rPr>
            </w:pPr>
            <w:r w:rsidRPr="001E52B3">
              <w:rPr>
                <w:rFonts w:eastAsia="ArialNarrow"/>
                <w:b/>
                <w:bCs/>
                <w:color w:val="FFFFFF" w:themeColor="background1"/>
              </w:rPr>
              <w:t>Ukupno</w:t>
            </w:r>
          </w:p>
        </w:tc>
      </w:tr>
      <w:tr w:rsidR="001E52B3" w:rsidRPr="001E52B3" w14:paraId="3215820C" w14:textId="77777777" w:rsidTr="00D1698D">
        <w:trPr>
          <w:trHeight w:val="344"/>
          <w:jc w:val="center"/>
        </w:trPr>
        <w:tc>
          <w:tcPr>
            <w:tcW w:w="3809" w:type="dxa"/>
            <w:tcBorders>
              <w:top w:val="nil"/>
              <w:left w:val="single" w:sz="8" w:space="0" w:color="D2232A" w:themeColor="accent1"/>
              <w:bottom w:val="single" w:sz="8" w:space="0" w:color="F3CFC1"/>
              <w:right w:val="nil"/>
            </w:tcBorders>
            <w:shd w:val="clear" w:color="auto" w:fill="auto"/>
            <w:noWrap/>
            <w:vAlign w:val="center"/>
            <w:hideMark/>
          </w:tcPr>
          <w:p w14:paraId="22F26597" w14:textId="77777777" w:rsidR="001E52B3" w:rsidRPr="001E52B3" w:rsidRDefault="001E52B3" w:rsidP="001E52B3">
            <w:pPr>
              <w:rPr>
                <w:rFonts w:eastAsia="ArialNarrow"/>
                <w:b/>
                <w:bCs/>
              </w:rPr>
            </w:pPr>
            <w:r w:rsidRPr="001E52B3">
              <w:rPr>
                <w:rFonts w:eastAsia="ArialNarrow"/>
                <w:b/>
                <w:bCs/>
              </w:rPr>
              <w:t>Promet nam je porastao</w:t>
            </w:r>
          </w:p>
        </w:tc>
        <w:tc>
          <w:tcPr>
            <w:tcW w:w="887" w:type="dxa"/>
            <w:tcBorders>
              <w:top w:val="nil"/>
              <w:left w:val="nil"/>
              <w:bottom w:val="single" w:sz="8" w:space="0" w:color="F3CFC1"/>
              <w:right w:val="nil"/>
            </w:tcBorders>
            <w:shd w:val="clear" w:color="auto" w:fill="auto"/>
            <w:noWrap/>
            <w:vAlign w:val="center"/>
            <w:hideMark/>
          </w:tcPr>
          <w:p w14:paraId="48300841" w14:textId="77777777" w:rsidR="001E52B3" w:rsidRPr="001E52B3" w:rsidRDefault="001E52B3" w:rsidP="001E52B3">
            <w:pPr>
              <w:rPr>
                <w:rFonts w:eastAsia="ArialNarrow"/>
              </w:rPr>
            </w:pPr>
            <w:r w:rsidRPr="001E52B3">
              <w:rPr>
                <w:rFonts w:eastAsia="ArialNarrow"/>
              </w:rPr>
              <w:t>1</w:t>
            </w:r>
          </w:p>
        </w:tc>
        <w:tc>
          <w:tcPr>
            <w:tcW w:w="887" w:type="dxa"/>
            <w:tcBorders>
              <w:top w:val="nil"/>
              <w:left w:val="nil"/>
              <w:bottom w:val="single" w:sz="8" w:space="0" w:color="F3CFC1"/>
              <w:right w:val="nil"/>
            </w:tcBorders>
            <w:shd w:val="clear" w:color="auto" w:fill="auto"/>
            <w:noWrap/>
            <w:vAlign w:val="center"/>
            <w:hideMark/>
          </w:tcPr>
          <w:p w14:paraId="75B97A81" w14:textId="77777777" w:rsidR="001E52B3" w:rsidRPr="001E52B3" w:rsidRDefault="001E52B3" w:rsidP="001E52B3">
            <w:pPr>
              <w:rPr>
                <w:rFonts w:eastAsia="ArialNarrow"/>
              </w:rPr>
            </w:pPr>
            <w:r w:rsidRPr="001E52B3">
              <w:rPr>
                <w:rFonts w:eastAsia="ArialNarrow"/>
              </w:rPr>
              <w:t> </w:t>
            </w:r>
          </w:p>
        </w:tc>
        <w:tc>
          <w:tcPr>
            <w:tcW w:w="1775" w:type="dxa"/>
            <w:tcBorders>
              <w:top w:val="nil"/>
              <w:left w:val="nil"/>
              <w:bottom w:val="single" w:sz="8" w:space="0" w:color="F3CFC1"/>
              <w:right w:val="nil"/>
            </w:tcBorders>
            <w:shd w:val="clear" w:color="auto" w:fill="auto"/>
            <w:noWrap/>
            <w:vAlign w:val="center"/>
            <w:hideMark/>
          </w:tcPr>
          <w:p w14:paraId="679D9F59" w14:textId="77777777" w:rsidR="001E52B3" w:rsidRPr="001E52B3" w:rsidRDefault="001E52B3" w:rsidP="001E52B3">
            <w:pPr>
              <w:rPr>
                <w:rFonts w:eastAsia="ArialNarrow"/>
              </w:rPr>
            </w:pPr>
            <w:r w:rsidRPr="001E52B3">
              <w:rPr>
                <w:rFonts w:eastAsia="ArialNarrow"/>
              </w:rPr>
              <w:t> </w:t>
            </w:r>
          </w:p>
        </w:tc>
        <w:tc>
          <w:tcPr>
            <w:tcW w:w="887" w:type="dxa"/>
            <w:tcBorders>
              <w:top w:val="nil"/>
              <w:left w:val="nil"/>
              <w:bottom w:val="single" w:sz="8" w:space="0" w:color="F3CFC1"/>
              <w:right w:val="nil"/>
            </w:tcBorders>
            <w:shd w:val="clear" w:color="auto" w:fill="auto"/>
            <w:noWrap/>
            <w:vAlign w:val="center"/>
            <w:hideMark/>
          </w:tcPr>
          <w:p w14:paraId="24F6F62C" w14:textId="77777777" w:rsidR="001E52B3" w:rsidRPr="001E52B3" w:rsidRDefault="001E52B3" w:rsidP="001E52B3">
            <w:pPr>
              <w:rPr>
                <w:rFonts w:eastAsia="ArialNarrow"/>
              </w:rPr>
            </w:pPr>
            <w:r w:rsidRPr="001E52B3">
              <w:rPr>
                <w:rFonts w:eastAsia="ArialNarrow"/>
              </w:rPr>
              <w:t> </w:t>
            </w:r>
          </w:p>
        </w:tc>
        <w:tc>
          <w:tcPr>
            <w:tcW w:w="887" w:type="dxa"/>
            <w:tcBorders>
              <w:top w:val="nil"/>
              <w:left w:val="nil"/>
              <w:bottom w:val="single" w:sz="8" w:space="0" w:color="F3CFC1"/>
              <w:right w:val="nil"/>
            </w:tcBorders>
            <w:shd w:val="clear" w:color="auto" w:fill="F2F2F2" w:themeFill="background1" w:themeFillShade="F2"/>
            <w:noWrap/>
            <w:vAlign w:val="center"/>
            <w:hideMark/>
          </w:tcPr>
          <w:p w14:paraId="314EAB7C" w14:textId="77777777" w:rsidR="001E52B3" w:rsidRPr="001E52B3" w:rsidRDefault="001E52B3" w:rsidP="001E52B3">
            <w:pPr>
              <w:rPr>
                <w:rFonts w:eastAsia="ArialNarrow"/>
              </w:rPr>
            </w:pPr>
            <w:r w:rsidRPr="001E52B3">
              <w:rPr>
                <w:rFonts w:eastAsia="ArialNarrow"/>
              </w:rPr>
              <w:t>1</w:t>
            </w:r>
          </w:p>
        </w:tc>
      </w:tr>
      <w:tr w:rsidR="001E52B3" w:rsidRPr="001E52B3" w14:paraId="1BF1FB8C" w14:textId="77777777" w:rsidTr="00D1698D">
        <w:trPr>
          <w:trHeight w:val="344"/>
          <w:jc w:val="center"/>
        </w:trPr>
        <w:tc>
          <w:tcPr>
            <w:tcW w:w="3809" w:type="dxa"/>
            <w:tcBorders>
              <w:top w:val="nil"/>
              <w:left w:val="single" w:sz="8" w:space="0" w:color="D2232A" w:themeColor="accent1"/>
              <w:bottom w:val="single" w:sz="8" w:space="0" w:color="F3CFC1"/>
              <w:right w:val="nil"/>
            </w:tcBorders>
            <w:shd w:val="clear" w:color="auto" w:fill="auto"/>
            <w:noWrap/>
            <w:vAlign w:val="center"/>
            <w:hideMark/>
          </w:tcPr>
          <w:p w14:paraId="7E2AE391" w14:textId="77777777" w:rsidR="001E52B3" w:rsidRPr="001E52B3" w:rsidRDefault="001E52B3" w:rsidP="001E52B3">
            <w:pPr>
              <w:rPr>
                <w:rFonts w:eastAsia="ArialNarrow"/>
                <w:b/>
                <w:bCs/>
              </w:rPr>
            </w:pPr>
            <w:r w:rsidRPr="001E52B3">
              <w:rPr>
                <w:rFonts w:eastAsia="ArialNarrow"/>
                <w:b/>
                <w:bCs/>
              </w:rPr>
              <w:t>Nije vidljivo smanjenje prometa</w:t>
            </w:r>
          </w:p>
        </w:tc>
        <w:tc>
          <w:tcPr>
            <w:tcW w:w="887" w:type="dxa"/>
            <w:tcBorders>
              <w:top w:val="nil"/>
              <w:left w:val="nil"/>
              <w:bottom w:val="single" w:sz="8" w:space="0" w:color="F3CFC1"/>
              <w:right w:val="nil"/>
            </w:tcBorders>
            <w:shd w:val="clear" w:color="auto" w:fill="auto"/>
            <w:noWrap/>
            <w:vAlign w:val="center"/>
            <w:hideMark/>
          </w:tcPr>
          <w:p w14:paraId="4E693061" w14:textId="77777777" w:rsidR="001E52B3" w:rsidRPr="001E52B3" w:rsidRDefault="001E52B3" w:rsidP="001E52B3">
            <w:pPr>
              <w:rPr>
                <w:rFonts w:eastAsia="ArialNarrow"/>
              </w:rPr>
            </w:pPr>
            <w:r w:rsidRPr="001E52B3">
              <w:rPr>
                <w:rFonts w:eastAsia="ArialNarrow"/>
              </w:rPr>
              <w:t>7</w:t>
            </w:r>
          </w:p>
        </w:tc>
        <w:tc>
          <w:tcPr>
            <w:tcW w:w="887" w:type="dxa"/>
            <w:tcBorders>
              <w:top w:val="nil"/>
              <w:left w:val="nil"/>
              <w:bottom w:val="single" w:sz="8" w:space="0" w:color="F3CFC1"/>
              <w:right w:val="nil"/>
            </w:tcBorders>
            <w:shd w:val="clear" w:color="auto" w:fill="auto"/>
            <w:noWrap/>
            <w:vAlign w:val="center"/>
            <w:hideMark/>
          </w:tcPr>
          <w:p w14:paraId="3471D913" w14:textId="77777777" w:rsidR="001E52B3" w:rsidRPr="001E52B3" w:rsidRDefault="001E52B3" w:rsidP="001E52B3">
            <w:pPr>
              <w:rPr>
                <w:rFonts w:eastAsia="ArialNarrow"/>
              </w:rPr>
            </w:pPr>
            <w:r w:rsidRPr="001E52B3">
              <w:rPr>
                <w:rFonts w:eastAsia="ArialNarrow"/>
              </w:rPr>
              <w:t>1</w:t>
            </w:r>
          </w:p>
        </w:tc>
        <w:tc>
          <w:tcPr>
            <w:tcW w:w="1775" w:type="dxa"/>
            <w:tcBorders>
              <w:top w:val="nil"/>
              <w:left w:val="nil"/>
              <w:bottom w:val="single" w:sz="8" w:space="0" w:color="F3CFC1"/>
              <w:right w:val="nil"/>
            </w:tcBorders>
            <w:shd w:val="clear" w:color="auto" w:fill="auto"/>
            <w:noWrap/>
            <w:vAlign w:val="center"/>
            <w:hideMark/>
          </w:tcPr>
          <w:p w14:paraId="0EA16D98" w14:textId="77777777" w:rsidR="001E52B3" w:rsidRPr="001E52B3" w:rsidRDefault="001E52B3" w:rsidP="001E52B3">
            <w:pPr>
              <w:rPr>
                <w:rFonts w:eastAsia="ArialNarrow"/>
              </w:rPr>
            </w:pPr>
            <w:r w:rsidRPr="001E52B3">
              <w:rPr>
                <w:rFonts w:eastAsia="ArialNarrow"/>
              </w:rPr>
              <w:t>3</w:t>
            </w:r>
          </w:p>
        </w:tc>
        <w:tc>
          <w:tcPr>
            <w:tcW w:w="887" w:type="dxa"/>
            <w:tcBorders>
              <w:top w:val="nil"/>
              <w:left w:val="nil"/>
              <w:bottom w:val="single" w:sz="8" w:space="0" w:color="F3CFC1"/>
              <w:right w:val="nil"/>
            </w:tcBorders>
            <w:shd w:val="clear" w:color="auto" w:fill="auto"/>
            <w:noWrap/>
            <w:vAlign w:val="center"/>
            <w:hideMark/>
          </w:tcPr>
          <w:p w14:paraId="61F622D4" w14:textId="77777777" w:rsidR="001E52B3" w:rsidRPr="001E52B3" w:rsidRDefault="001E52B3" w:rsidP="001E52B3">
            <w:pPr>
              <w:rPr>
                <w:rFonts w:eastAsia="ArialNarrow"/>
              </w:rPr>
            </w:pPr>
            <w:r w:rsidRPr="001E52B3">
              <w:rPr>
                <w:rFonts w:eastAsia="ArialNarrow"/>
              </w:rPr>
              <w:t> </w:t>
            </w:r>
          </w:p>
        </w:tc>
        <w:tc>
          <w:tcPr>
            <w:tcW w:w="887" w:type="dxa"/>
            <w:tcBorders>
              <w:top w:val="nil"/>
              <w:left w:val="nil"/>
              <w:bottom w:val="single" w:sz="8" w:space="0" w:color="F3CFC1"/>
              <w:right w:val="nil"/>
            </w:tcBorders>
            <w:shd w:val="clear" w:color="auto" w:fill="F2F2F2" w:themeFill="background1" w:themeFillShade="F2"/>
            <w:noWrap/>
            <w:vAlign w:val="center"/>
            <w:hideMark/>
          </w:tcPr>
          <w:p w14:paraId="3AA30B36" w14:textId="77777777" w:rsidR="001E52B3" w:rsidRPr="001E52B3" w:rsidRDefault="001E52B3" w:rsidP="001E52B3">
            <w:pPr>
              <w:rPr>
                <w:rFonts w:eastAsia="ArialNarrow"/>
              </w:rPr>
            </w:pPr>
            <w:r w:rsidRPr="001E52B3">
              <w:rPr>
                <w:rFonts w:eastAsia="ArialNarrow"/>
              </w:rPr>
              <w:t>11</w:t>
            </w:r>
          </w:p>
        </w:tc>
      </w:tr>
      <w:tr w:rsidR="001E52B3" w:rsidRPr="001E52B3" w14:paraId="18D36484" w14:textId="77777777" w:rsidTr="00D1698D">
        <w:trPr>
          <w:trHeight w:val="344"/>
          <w:jc w:val="center"/>
        </w:trPr>
        <w:tc>
          <w:tcPr>
            <w:tcW w:w="3809" w:type="dxa"/>
            <w:tcBorders>
              <w:top w:val="nil"/>
              <w:left w:val="single" w:sz="8" w:space="0" w:color="D2232A" w:themeColor="accent1"/>
              <w:bottom w:val="single" w:sz="8" w:space="0" w:color="F3CFC1"/>
              <w:right w:val="nil"/>
            </w:tcBorders>
            <w:shd w:val="clear" w:color="auto" w:fill="auto"/>
            <w:noWrap/>
            <w:vAlign w:val="center"/>
            <w:hideMark/>
          </w:tcPr>
          <w:p w14:paraId="2D4BF709" w14:textId="77777777" w:rsidR="001E52B3" w:rsidRPr="001E52B3" w:rsidRDefault="001E52B3" w:rsidP="001E52B3">
            <w:pPr>
              <w:rPr>
                <w:rFonts w:eastAsia="ArialNarrow"/>
                <w:b/>
                <w:bCs/>
              </w:rPr>
            </w:pPr>
            <w:r w:rsidRPr="001E52B3">
              <w:rPr>
                <w:rFonts w:eastAsia="ArialNarrow"/>
                <w:b/>
                <w:bCs/>
              </w:rPr>
              <w:t>Vidljivo je smanjenje prometa do 10%</w:t>
            </w:r>
          </w:p>
        </w:tc>
        <w:tc>
          <w:tcPr>
            <w:tcW w:w="887" w:type="dxa"/>
            <w:tcBorders>
              <w:top w:val="nil"/>
              <w:left w:val="nil"/>
              <w:bottom w:val="single" w:sz="8" w:space="0" w:color="F3CFC1"/>
              <w:right w:val="nil"/>
            </w:tcBorders>
            <w:shd w:val="clear" w:color="auto" w:fill="auto"/>
            <w:noWrap/>
            <w:vAlign w:val="center"/>
            <w:hideMark/>
          </w:tcPr>
          <w:p w14:paraId="5650F18E" w14:textId="77777777" w:rsidR="001E52B3" w:rsidRPr="001E52B3" w:rsidRDefault="001E52B3" w:rsidP="001E52B3">
            <w:pPr>
              <w:rPr>
                <w:rFonts w:eastAsia="ArialNarrow"/>
              </w:rPr>
            </w:pPr>
            <w:r w:rsidRPr="001E52B3">
              <w:rPr>
                <w:rFonts w:eastAsia="ArialNarrow"/>
              </w:rPr>
              <w:t>11</w:t>
            </w:r>
          </w:p>
        </w:tc>
        <w:tc>
          <w:tcPr>
            <w:tcW w:w="887" w:type="dxa"/>
            <w:tcBorders>
              <w:top w:val="nil"/>
              <w:left w:val="nil"/>
              <w:bottom w:val="single" w:sz="8" w:space="0" w:color="F3CFC1"/>
              <w:right w:val="nil"/>
            </w:tcBorders>
            <w:shd w:val="clear" w:color="auto" w:fill="auto"/>
            <w:noWrap/>
            <w:vAlign w:val="center"/>
            <w:hideMark/>
          </w:tcPr>
          <w:p w14:paraId="7A4FB3E4" w14:textId="77777777" w:rsidR="001E52B3" w:rsidRPr="001E52B3" w:rsidRDefault="001E52B3" w:rsidP="001E52B3">
            <w:pPr>
              <w:rPr>
                <w:rFonts w:eastAsia="ArialNarrow"/>
              </w:rPr>
            </w:pPr>
            <w:r w:rsidRPr="001E52B3">
              <w:rPr>
                <w:rFonts w:eastAsia="ArialNarrow"/>
              </w:rPr>
              <w:t> </w:t>
            </w:r>
          </w:p>
        </w:tc>
        <w:tc>
          <w:tcPr>
            <w:tcW w:w="1775" w:type="dxa"/>
            <w:tcBorders>
              <w:top w:val="nil"/>
              <w:left w:val="nil"/>
              <w:bottom w:val="single" w:sz="8" w:space="0" w:color="F3CFC1"/>
              <w:right w:val="nil"/>
            </w:tcBorders>
            <w:shd w:val="clear" w:color="auto" w:fill="auto"/>
            <w:noWrap/>
            <w:vAlign w:val="center"/>
            <w:hideMark/>
          </w:tcPr>
          <w:p w14:paraId="5EB533D4" w14:textId="77777777" w:rsidR="001E52B3" w:rsidRPr="001E52B3" w:rsidRDefault="001E52B3" w:rsidP="001E52B3">
            <w:pPr>
              <w:rPr>
                <w:rFonts w:eastAsia="ArialNarrow"/>
              </w:rPr>
            </w:pPr>
            <w:r w:rsidRPr="001E52B3">
              <w:rPr>
                <w:rFonts w:eastAsia="ArialNarrow"/>
              </w:rPr>
              <w:t>5</w:t>
            </w:r>
          </w:p>
        </w:tc>
        <w:tc>
          <w:tcPr>
            <w:tcW w:w="887" w:type="dxa"/>
            <w:tcBorders>
              <w:top w:val="nil"/>
              <w:left w:val="nil"/>
              <w:bottom w:val="single" w:sz="8" w:space="0" w:color="F3CFC1"/>
              <w:right w:val="nil"/>
            </w:tcBorders>
            <w:shd w:val="clear" w:color="auto" w:fill="auto"/>
            <w:noWrap/>
            <w:vAlign w:val="center"/>
            <w:hideMark/>
          </w:tcPr>
          <w:p w14:paraId="68922B8C" w14:textId="77777777" w:rsidR="001E52B3" w:rsidRPr="001E52B3" w:rsidRDefault="001E52B3" w:rsidP="001E52B3">
            <w:pPr>
              <w:rPr>
                <w:rFonts w:eastAsia="ArialNarrow"/>
              </w:rPr>
            </w:pPr>
            <w:r w:rsidRPr="001E52B3">
              <w:rPr>
                <w:rFonts w:eastAsia="ArialNarrow"/>
              </w:rPr>
              <w:t> </w:t>
            </w:r>
          </w:p>
        </w:tc>
        <w:tc>
          <w:tcPr>
            <w:tcW w:w="887" w:type="dxa"/>
            <w:tcBorders>
              <w:top w:val="nil"/>
              <w:left w:val="nil"/>
              <w:bottom w:val="single" w:sz="8" w:space="0" w:color="F3CFC1"/>
              <w:right w:val="nil"/>
            </w:tcBorders>
            <w:shd w:val="clear" w:color="auto" w:fill="F2F2F2" w:themeFill="background1" w:themeFillShade="F2"/>
            <w:noWrap/>
            <w:vAlign w:val="center"/>
            <w:hideMark/>
          </w:tcPr>
          <w:p w14:paraId="4A9D8A67" w14:textId="77777777" w:rsidR="001E52B3" w:rsidRPr="001E52B3" w:rsidRDefault="001E52B3" w:rsidP="001E52B3">
            <w:pPr>
              <w:rPr>
                <w:rFonts w:eastAsia="ArialNarrow"/>
              </w:rPr>
            </w:pPr>
            <w:r w:rsidRPr="001E52B3">
              <w:rPr>
                <w:rFonts w:eastAsia="ArialNarrow"/>
              </w:rPr>
              <w:t>16</w:t>
            </w:r>
          </w:p>
        </w:tc>
      </w:tr>
      <w:tr w:rsidR="001E52B3" w:rsidRPr="001E52B3" w14:paraId="6CC6CBF7" w14:textId="77777777" w:rsidTr="00D1698D">
        <w:trPr>
          <w:trHeight w:val="344"/>
          <w:jc w:val="center"/>
        </w:trPr>
        <w:tc>
          <w:tcPr>
            <w:tcW w:w="3809" w:type="dxa"/>
            <w:tcBorders>
              <w:top w:val="nil"/>
              <w:left w:val="single" w:sz="8" w:space="0" w:color="D2232A" w:themeColor="accent1"/>
              <w:bottom w:val="single" w:sz="8" w:space="0" w:color="F3CFC1"/>
              <w:right w:val="nil"/>
            </w:tcBorders>
            <w:shd w:val="clear" w:color="auto" w:fill="auto"/>
            <w:noWrap/>
            <w:vAlign w:val="center"/>
            <w:hideMark/>
          </w:tcPr>
          <w:p w14:paraId="00C3E04B" w14:textId="77777777" w:rsidR="001E52B3" w:rsidRPr="001E52B3" w:rsidRDefault="001E52B3" w:rsidP="001E52B3">
            <w:pPr>
              <w:rPr>
                <w:rFonts w:eastAsia="ArialNarrow"/>
                <w:b/>
                <w:bCs/>
              </w:rPr>
            </w:pPr>
            <w:r w:rsidRPr="001E52B3">
              <w:rPr>
                <w:rFonts w:eastAsia="ArialNarrow"/>
                <w:b/>
                <w:bCs/>
              </w:rPr>
              <w:t>Vidljivo je smanjenje prometa 10- 30%</w:t>
            </w:r>
          </w:p>
        </w:tc>
        <w:tc>
          <w:tcPr>
            <w:tcW w:w="887" w:type="dxa"/>
            <w:tcBorders>
              <w:top w:val="nil"/>
              <w:left w:val="nil"/>
              <w:bottom w:val="single" w:sz="8" w:space="0" w:color="F3CFC1"/>
              <w:right w:val="nil"/>
            </w:tcBorders>
            <w:shd w:val="clear" w:color="auto" w:fill="auto"/>
            <w:noWrap/>
            <w:vAlign w:val="center"/>
            <w:hideMark/>
          </w:tcPr>
          <w:p w14:paraId="75804388" w14:textId="77777777" w:rsidR="001E52B3" w:rsidRPr="001E52B3" w:rsidRDefault="001E52B3" w:rsidP="001E52B3">
            <w:pPr>
              <w:rPr>
                <w:rFonts w:eastAsia="ArialNarrow"/>
              </w:rPr>
            </w:pPr>
            <w:r w:rsidRPr="001E52B3">
              <w:rPr>
                <w:rFonts w:eastAsia="ArialNarrow"/>
              </w:rPr>
              <w:t>24</w:t>
            </w:r>
          </w:p>
        </w:tc>
        <w:tc>
          <w:tcPr>
            <w:tcW w:w="887" w:type="dxa"/>
            <w:tcBorders>
              <w:top w:val="nil"/>
              <w:left w:val="nil"/>
              <w:bottom w:val="single" w:sz="8" w:space="0" w:color="F3CFC1"/>
              <w:right w:val="nil"/>
            </w:tcBorders>
            <w:shd w:val="clear" w:color="auto" w:fill="auto"/>
            <w:noWrap/>
            <w:vAlign w:val="center"/>
            <w:hideMark/>
          </w:tcPr>
          <w:p w14:paraId="54ABB1A4" w14:textId="77777777" w:rsidR="001E52B3" w:rsidRPr="001E52B3" w:rsidRDefault="001E52B3" w:rsidP="001E52B3">
            <w:pPr>
              <w:rPr>
                <w:rFonts w:eastAsia="ArialNarrow"/>
              </w:rPr>
            </w:pPr>
            <w:r w:rsidRPr="001E52B3">
              <w:rPr>
                <w:rFonts w:eastAsia="ArialNarrow"/>
              </w:rPr>
              <w:t>1</w:t>
            </w:r>
          </w:p>
        </w:tc>
        <w:tc>
          <w:tcPr>
            <w:tcW w:w="1775" w:type="dxa"/>
            <w:tcBorders>
              <w:top w:val="nil"/>
              <w:left w:val="nil"/>
              <w:bottom w:val="single" w:sz="8" w:space="0" w:color="F3CFC1"/>
              <w:right w:val="nil"/>
            </w:tcBorders>
            <w:shd w:val="clear" w:color="auto" w:fill="auto"/>
            <w:noWrap/>
            <w:vAlign w:val="center"/>
            <w:hideMark/>
          </w:tcPr>
          <w:p w14:paraId="59CAC1E9" w14:textId="77777777" w:rsidR="001E52B3" w:rsidRPr="001E52B3" w:rsidRDefault="001E52B3" w:rsidP="001E52B3">
            <w:pPr>
              <w:rPr>
                <w:rFonts w:eastAsia="ArialNarrow"/>
              </w:rPr>
            </w:pPr>
            <w:r w:rsidRPr="001E52B3">
              <w:rPr>
                <w:rFonts w:eastAsia="ArialNarrow"/>
              </w:rPr>
              <w:t>4</w:t>
            </w:r>
          </w:p>
        </w:tc>
        <w:tc>
          <w:tcPr>
            <w:tcW w:w="887" w:type="dxa"/>
            <w:tcBorders>
              <w:top w:val="nil"/>
              <w:left w:val="nil"/>
              <w:bottom w:val="single" w:sz="8" w:space="0" w:color="F3CFC1"/>
              <w:right w:val="nil"/>
            </w:tcBorders>
            <w:shd w:val="clear" w:color="auto" w:fill="auto"/>
            <w:noWrap/>
            <w:vAlign w:val="center"/>
            <w:hideMark/>
          </w:tcPr>
          <w:p w14:paraId="527DDF9C" w14:textId="77777777" w:rsidR="001E52B3" w:rsidRPr="001E52B3" w:rsidRDefault="001E52B3" w:rsidP="001E52B3">
            <w:pPr>
              <w:rPr>
                <w:rFonts w:eastAsia="ArialNarrow"/>
              </w:rPr>
            </w:pPr>
            <w:r w:rsidRPr="001E52B3">
              <w:rPr>
                <w:rFonts w:eastAsia="ArialNarrow"/>
              </w:rPr>
              <w:t> </w:t>
            </w:r>
          </w:p>
        </w:tc>
        <w:tc>
          <w:tcPr>
            <w:tcW w:w="887" w:type="dxa"/>
            <w:tcBorders>
              <w:top w:val="nil"/>
              <w:left w:val="nil"/>
              <w:bottom w:val="single" w:sz="8" w:space="0" w:color="F3CFC1"/>
              <w:right w:val="nil"/>
            </w:tcBorders>
            <w:shd w:val="clear" w:color="auto" w:fill="F2F2F2" w:themeFill="background1" w:themeFillShade="F2"/>
            <w:noWrap/>
            <w:vAlign w:val="center"/>
            <w:hideMark/>
          </w:tcPr>
          <w:p w14:paraId="41F846F4" w14:textId="77777777" w:rsidR="001E52B3" w:rsidRPr="001E52B3" w:rsidRDefault="001E52B3" w:rsidP="001E52B3">
            <w:pPr>
              <w:rPr>
                <w:rFonts w:eastAsia="ArialNarrow"/>
              </w:rPr>
            </w:pPr>
            <w:r w:rsidRPr="001E52B3">
              <w:rPr>
                <w:rFonts w:eastAsia="ArialNarrow"/>
              </w:rPr>
              <w:t>29</w:t>
            </w:r>
          </w:p>
        </w:tc>
      </w:tr>
      <w:tr w:rsidR="001E52B3" w:rsidRPr="001E52B3" w14:paraId="64BA593E" w14:textId="77777777" w:rsidTr="00D1698D">
        <w:trPr>
          <w:trHeight w:val="344"/>
          <w:jc w:val="center"/>
        </w:trPr>
        <w:tc>
          <w:tcPr>
            <w:tcW w:w="3809" w:type="dxa"/>
            <w:tcBorders>
              <w:top w:val="nil"/>
              <w:left w:val="single" w:sz="8" w:space="0" w:color="D2232A" w:themeColor="accent1"/>
              <w:bottom w:val="single" w:sz="8" w:space="0" w:color="F3CFC1"/>
              <w:right w:val="nil"/>
            </w:tcBorders>
            <w:shd w:val="clear" w:color="auto" w:fill="auto"/>
            <w:noWrap/>
            <w:vAlign w:val="center"/>
            <w:hideMark/>
          </w:tcPr>
          <w:p w14:paraId="218BADF4" w14:textId="77777777" w:rsidR="001E52B3" w:rsidRPr="001E52B3" w:rsidRDefault="001E52B3" w:rsidP="001E52B3">
            <w:pPr>
              <w:rPr>
                <w:rFonts w:eastAsia="ArialNarrow"/>
                <w:b/>
                <w:bCs/>
              </w:rPr>
            </w:pPr>
            <w:r w:rsidRPr="001E52B3">
              <w:rPr>
                <w:rFonts w:eastAsia="ArialNarrow"/>
                <w:b/>
                <w:bCs/>
              </w:rPr>
              <w:t>Vidljivo je smanjenje prometa 30- 50%</w:t>
            </w:r>
          </w:p>
        </w:tc>
        <w:tc>
          <w:tcPr>
            <w:tcW w:w="887" w:type="dxa"/>
            <w:tcBorders>
              <w:top w:val="nil"/>
              <w:left w:val="nil"/>
              <w:bottom w:val="single" w:sz="8" w:space="0" w:color="F3CFC1"/>
              <w:right w:val="nil"/>
            </w:tcBorders>
            <w:shd w:val="clear" w:color="auto" w:fill="auto"/>
            <w:noWrap/>
            <w:vAlign w:val="center"/>
            <w:hideMark/>
          </w:tcPr>
          <w:p w14:paraId="069D40C9" w14:textId="77777777" w:rsidR="001E52B3" w:rsidRPr="001E52B3" w:rsidRDefault="001E52B3" w:rsidP="001E52B3">
            <w:pPr>
              <w:rPr>
                <w:rFonts w:eastAsia="ArialNarrow"/>
              </w:rPr>
            </w:pPr>
            <w:r w:rsidRPr="001E52B3">
              <w:rPr>
                <w:rFonts w:eastAsia="ArialNarrow"/>
              </w:rPr>
              <w:t>19</w:t>
            </w:r>
          </w:p>
        </w:tc>
        <w:tc>
          <w:tcPr>
            <w:tcW w:w="887" w:type="dxa"/>
            <w:tcBorders>
              <w:top w:val="nil"/>
              <w:left w:val="nil"/>
              <w:bottom w:val="single" w:sz="8" w:space="0" w:color="F3CFC1"/>
              <w:right w:val="nil"/>
            </w:tcBorders>
            <w:shd w:val="clear" w:color="auto" w:fill="auto"/>
            <w:noWrap/>
            <w:vAlign w:val="center"/>
            <w:hideMark/>
          </w:tcPr>
          <w:p w14:paraId="59CB1C03" w14:textId="77777777" w:rsidR="001E52B3" w:rsidRPr="001E52B3" w:rsidRDefault="001E52B3" w:rsidP="001E52B3">
            <w:pPr>
              <w:rPr>
                <w:rFonts w:eastAsia="ArialNarrow"/>
              </w:rPr>
            </w:pPr>
            <w:r w:rsidRPr="001E52B3">
              <w:rPr>
                <w:rFonts w:eastAsia="ArialNarrow"/>
              </w:rPr>
              <w:t> </w:t>
            </w:r>
          </w:p>
        </w:tc>
        <w:tc>
          <w:tcPr>
            <w:tcW w:w="1775" w:type="dxa"/>
            <w:tcBorders>
              <w:top w:val="nil"/>
              <w:left w:val="nil"/>
              <w:bottom w:val="single" w:sz="8" w:space="0" w:color="F3CFC1"/>
              <w:right w:val="nil"/>
            </w:tcBorders>
            <w:shd w:val="clear" w:color="auto" w:fill="auto"/>
            <w:noWrap/>
            <w:vAlign w:val="center"/>
            <w:hideMark/>
          </w:tcPr>
          <w:p w14:paraId="5FFE7362" w14:textId="77777777" w:rsidR="001E52B3" w:rsidRPr="001E52B3" w:rsidRDefault="001E52B3" w:rsidP="001E52B3">
            <w:pPr>
              <w:rPr>
                <w:rFonts w:eastAsia="ArialNarrow"/>
              </w:rPr>
            </w:pPr>
            <w:r w:rsidRPr="001E52B3">
              <w:rPr>
                <w:rFonts w:eastAsia="ArialNarrow"/>
              </w:rPr>
              <w:t>4</w:t>
            </w:r>
          </w:p>
        </w:tc>
        <w:tc>
          <w:tcPr>
            <w:tcW w:w="887" w:type="dxa"/>
            <w:tcBorders>
              <w:top w:val="nil"/>
              <w:left w:val="nil"/>
              <w:bottom w:val="single" w:sz="8" w:space="0" w:color="F3CFC1"/>
              <w:right w:val="nil"/>
            </w:tcBorders>
            <w:shd w:val="clear" w:color="auto" w:fill="auto"/>
            <w:noWrap/>
            <w:vAlign w:val="center"/>
            <w:hideMark/>
          </w:tcPr>
          <w:p w14:paraId="3F9D5DB4" w14:textId="77777777" w:rsidR="001E52B3" w:rsidRPr="001E52B3" w:rsidRDefault="001E52B3" w:rsidP="001E52B3">
            <w:pPr>
              <w:rPr>
                <w:rFonts w:eastAsia="ArialNarrow"/>
              </w:rPr>
            </w:pPr>
            <w:r w:rsidRPr="001E52B3">
              <w:rPr>
                <w:rFonts w:eastAsia="ArialNarrow"/>
              </w:rPr>
              <w:t> </w:t>
            </w:r>
          </w:p>
        </w:tc>
        <w:tc>
          <w:tcPr>
            <w:tcW w:w="887" w:type="dxa"/>
            <w:tcBorders>
              <w:top w:val="nil"/>
              <w:left w:val="nil"/>
              <w:bottom w:val="single" w:sz="8" w:space="0" w:color="F3CFC1"/>
              <w:right w:val="nil"/>
            </w:tcBorders>
            <w:shd w:val="clear" w:color="auto" w:fill="F2F2F2" w:themeFill="background1" w:themeFillShade="F2"/>
            <w:noWrap/>
            <w:vAlign w:val="center"/>
            <w:hideMark/>
          </w:tcPr>
          <w:p w14:paraId="132099D6" w14:textId="77777777" w:rsidR="001E52B3" w:rsidRPr="001E52B3" w:rsidRDefault="001E52B3" w:rsidP="001E52B3">
            <w:pPr>
              <w:rPr>
                <w:rFonts w:eastAsia="ArialNarrow"/>
              </w:rPr>
            </w:pPr>
            <w:r w:rsidRPr="001E52B3">
              <w:rPr>
                <w:rFonts w:eastAsia="ArialNarrow"/>
              </w:rPr>
              <w:t>23</w:t>
            </w:r>
          </w:p>
        </w:tc>
      </w:tr>
      <w:tr w:rsidR="001E52B3" w:rsidRPr="001E52B3" w14:paraId="634513FF" w14:textId="77777777" w:rsidTr="00D1698D">
        <w:trPr>
          <w:trHeight w:val="344"/>
          <w:jc w:val="center"/>
        </w:trPr>
        <w:tc>
          <w:tcPr>
            <w:tcW w:w="3809" w:type="dxa"/>
            <w:tcBorders>
              <w:top w:val="nil"/>
              <w:left w:val="single" w:sz="8" w:space="0" w:color="D2232A" w:themeColor="accent1"/>
              <w:bottom w:val="single" w:sz="8" w:space="0" w:color="F3CFC1"/>
              <w:right w:val="nil"/>
            </w:tcBorders>
            <w:shd w:val="clear" w:color="auto" w:fill="auto"/>
            <w:noWrap/>
            <w:vAlign w:val="center"/>
            <w:hideMark/>
          </w:tcPr>
          <w:p w14:paraId="5BFE89B2" w14:textId="77777777" w:rsidR="001E52B3" w:rsidRPr="001E52B3" w:rsidRDefault="001E52B3" w:rsidP="001E52B3">
            <w:pPr>
              <w:rPr>
                <w:rFonts w:eastAsia="ArialNarrow"/>
                <w:b/>
                <w:bCs/>
              </w:rPr>
            </w:pPr>
            <w:r w:rsidRPr="001E52B3">
              <w:rPr>
                <w:rFonts w:eastAsia="ArialNarrow"/>
                <w:b/>
                <w:bCs/>
              </w:rPr>
              <w:t>Vidljivo je smanjenje prometa više od 50%</w:t>
            </w:r>
          </w:p>
        </w:tc>
        <w:tc>
          <w:tcPr>
            <w:tcW w:w="887" w:type="dxa"/>
            <w:tcBorders>
              <w:top w:val="nil"/>
              <w:left w:val="nil"/>
              <w:bottom w:val="single" w:sz="8" w:space="0" w:color="F3CFC1"/>
              <w:right w:val="nil"/>
            </w:tcBorders>
            <w:shd w:val="clear" w:color="auto" w:fill="auto"/>
            <w:noWrap/>
            <w:vAlign w:val="center"/>
            <w:hideMark/>
          </w:tcPr>
          <w:p w14:paraId="4EF55A43" w14:textId="77777777" w:rsidR="001E52B3" w:rsidRPr="001E52B3" w:rsidRDefault="001E52B3" w:rsidP="001E52B3">
            <w:pPr>
              <w:rPr>
                <w:rFonts w:eastAsia="ArialNarrow"/>
              </w:rPr>
            </w:pPr>
            <w:r w:rsidRPr="001E52B3">
              <w:rPr>
                <w:rFonts w:eastAsia="ArialNarrow"/>
              </w:rPr>
              <w:t>23</w:t>
            </w:r>
          </w:p>
        </w:tc>
        <w:tc>
          <w:tcPr>
            <w:tcW w:w="887" w:type="dxa"/>
            <w:tcBorders>
              <w:top w:val="nil"/>
              <w:left w:val="nil"/>
              <w:bottom w:val="single" w:sz="8" w:space="0" w:color="F3CFC1"/>
              <w:right w:val="nil"/>
            </w:tcBorders>
            <w:shd w:val="clear" w:color="auto" w:fill="auto"/>
            <w:noWrap/>
            <w:vAlign w:val="center"/>
            <w:hideMark/>
          </w:tcPr>
          <w:p w14:paraId="3594AC0F" w14:textId="77777777" w:rsidR="001E52B3" w:rsidRPr="001E52B3" w:rsidRDefault="001E52B3" w:rsidP="001E52B3">
            <w:pPr>
              <w:rPr>
                <w:rFonts w:eastAsia="ArialNarrow"/>
              </w:rPr>
            </w:pPr>
            <w:r w:rsidRPr="001E52B3">
              <w:rPr>
                <w:rFonts w:eastAsia="ArialNarrow"/>
              </w:rPr>
              <w:t>2</w:t>
            </w:r>
          </w:p>
        </w:tc>
        <w:tc>
          <w:tcPr>
            <w:tcW w:w="1775" w:type="dxa"/>
            <w:tcBorders>
              <w:top w:val="nil"/>
              <w:left w:val="nil"/>
              <w:bottom w:val="single" w:sz="8" w:space="0" w:color="F3CFC1"/>
              <w:right w:val="nil"/>
            </w:tcBorders>
            <w:shd w:val="clear" w:color="auto" w:fill="auto"/>
            <w:noWrap/>
            <w:vAlign w:val="center"/>
            <w:hideMark/>
          </w:tcPr>
          <w:p w14:paraId="23998E9F" w14:textId="77777777" w:rsidR="001E52B3" w:rsidRPr="001E52B3" w:rsidRDefault="001E52B3" w:rsidP="001E52B3">
            <w:pPr>
              <w:rPr>
                <w:rFonts w:eastAsia="ArialNarrow"/>
              </w:rPr>
            </w:pPr>
            <w:r w:rsidRPr="001E52B3">
              <w:rPr>
                <w:rFonts w:eastAsia="ArialNarrow"/>
              </w:rPr>
              <w:t>4</w:t>
            </w:r>
          </w:p>
        </w:tc>
        <w:tc>
          <w:tcPr>
            <w:tcW w:w="887" w:type="dxa"/>
            <w:tcBorders>
              <w:top w:val="nil"/>
              <w:left w:val="nil"/>
              <w:bottom w:val="single" w:sz="8" w:space="0" w:color="F3CFC1"/>
              <w:right w:val="nil"/>
            </w:tcBorders>
            <w:shd w:val="clear" w:color="auto" w:fill="auto"/>
            <w:noWrap/>
            <w:vAlign w:val="center"/>
            <w:hideMark/>
          </w:tcPr>
          <w:p w14:paraId="55013510" w14:textId="77777777" w:rsidR="001E52B3" w:rsidRPr="001E52B3" w:rsidRDefault="001E52B3" w:rsidP="001E52B3">
            <w:pPr>
              <w:rPr>
                <w:rFonts w:eastAsia="ArialNarrow"/>
              </w:rPr>
            </w:pPr>
            <w:r w:rsidRPr="001E52B3">
              <w:rPr>
                <w:rFonts w:eastAsia="ArialNarrow"/>
              </w:rPr>
              <w:t>1</w:t>
            </w:r>
          </w:p>
        </w:tc>
        <w:tc>
          <w:tcPr>
            <w:tcW w:w="887" w:type="dxa"/>
            <w:tcBorders>
              <w:top w:val="nil"/>
              <w:left w:val="nil"/>
              <w:bottom w:val="single" w:sz="8" w:space="0" w:color="F3CFC1"/>
              <w:right w:val="nil"/>
            </w:tcBorders>
            <w:shd w:val="clear" w:color="auto" w:fill="F2F2F2" w:themeFill="background1" w:themeFillShade="F2"/>
            <w:noWrap/>
            <w:vAlign w:val="center"/>
            <w:hideMark/>
          </w:tcPr>
          <w:p w14:paraId="2A5D95B5" w14:textId="77777777" w:rsidR="001E52B3" w:rsidRPr="001E52B3" w:rsidRDefault="001E52B3" w:rsidP="001E52B3">
            <w:pPr>
              <w:rPr>
                <w:rFonts w:eastAsia="ArialNarrow"/>
              </w:rPr>
            </w:pPr>
            <w:r w:rsidRPr="001E52B3">
              <w:rPr>
                <w:rFonts w:eastAsia="ArialNarrow"/>
              </w:rPr>
              <w:t>30</w:t>
            </w:r>
          </w:p>
        </w:tc>
      </w:tr>
    </w:tbl>
    <w:p w14:paraId="6C1D1645" w14:textId="77777777" w:rsidR="001E52B3" w:rsidRPr="001E52B3" w:rsidRDefault="001E52B3" w:rsidP="001E52B3">
      <w:pPr>
        <w:rPr>
          <w:rFonts w:eastAsia="ArialNarrow"/>
        </w:rPr>
      </w:pPr>
      <w:r w:rsidRPr="001E52B3">
        <w:rPr>
          <w:rFonts w:eastAsia="ArialNarrow"/>
        </w:rPr>
        <w:fldChar w:fldCharType="end"/>
      </w:r>
      <w:bookmarkEnd w:id="164"/>
    </w:p>
    <w:p w14:paraId="2C59EECD" w14:textId="03A7ADEA" w:rsidR="001E52B3" w:rsidRDefault="001E52B3" w:rsidP="00D2372E">
      <w:pPr>
        <w:rPr>
          <w:rFonts w:eastAsia="ArialNarrow"/>
        </w:rPr>
      </w:pPr>
      <w:r w:rsidRPr="001E52B3">
        <w:rPr>
          <w:rFonts w:eastAsia="ArialNarrow"/>
        </w:rPr>
        <w:t>Osim o procjeni kretanja prometa ispitanike se pitalo i o procjeni dosadašnjeg gubitka u poslovanju u kunama izazvanog epidemiološkim mjerama i bolešću zaposlenika. Procjenu gubitka zbog epidemioloških mjera i bolesti zaposlenika od 0 - 50.000 kn prijavilo je 48 poslovnih subjekata (44%), a 22 subjekta (20%) prijavilo je kako nisu imali gubitaka. No, 8 trgovačkih društava prijavilo je procjenu gubitaka iznad milijun kuna. Ni jedan ispitanik nije odgovorio da je ostvario dobit.</w:t>
      </w:r>
    </w:p>
    <w:p w14:paraId="52C79B16" w14:textId="77777777" w:rsidR="00456F85" w:rsidRPr="001E52B3" w:rsidRDefault="00456F85" w:rsidP="00D2372E">
      <w:pPr>
        <w:rPr>
          <w:rFonts w:eastAsia="ArialNarrow"/>
        </w:rPr>
      </w:pPr>
    </w:p>
    <w:p w14:paraId="112B0432" w14:textId="66AA89EA" w:rsidR="001E52B3" w:rsidRPr="001E52B3" w:rsidRDefault="001E52B3" w:rsidP="00D2372E">
      <w:pPr>
        <w:pStyle w:val="Opisslike"/>
      </w:pPr>
      <w:r w:rsidRPr="001E52B3">
        <w:t xml:space="preserve">Tablica </w:t>
      </w:r>
      <w:r w:rsidR="000D5E3F">
        <w:t>100</w:t>
      </w:r>
      <w:r w:rsidRPr="001E52B3">
        <w:t>. Procjene kretanja prometa</w:t>
      </w:r>
      <w:r w:rsidRPr="001E52B3">
        <w:rPr>
          <w:bCs w:val="0"/>
          <w:iCs w:val="0"/>
        </w:rPr>
        <w:t xml:space="preserve"> u kunama</w:t>
      </w:r>
      <w:r w:rsidRPr="001E52B3">
        <w:rPr>
          <w:rFonts w:eastAsia="ArialNarrow"/>
        </w:rPr>
        <w:fldChar w:fldCharType="begin"/>
      </w:r>
      <w:r w:rsidRPr="001E52B3">
        <w:rPr>
          <w:rFonts w:eastAsia="ArialNarrow"/>
        </w:rPr>
        <w:instrText xml:space="preserve"> LINK Excel.Sheet.12 "C:\\Radni\\radne tablice za gospodarstvo i poljoprivredu.xlsx" Sheet1!R50C1:R57C6 \a \f 4 \h  \* MERGEFORMAT </w:instrText>
      </w:r>
      <w:r w:rsidRPr="001E52B3">
        <w:rPr>
          <w:rFonts w:eastAsia="ArialNarrow"/>
        </w:rPr>
        <w:fldChar w:fldCharType="separate"/>
      </w:r>
    </w:p>
    <w:tbl>
      <w:tblPr>
        <w:tblW w:w="9277" w:type="dxa"/>
        <w:jc w:val="center"/>
        <w:tblLook w:val="04A0" w:firstRow="1" w:lastRow="0" w:firstColumn="1" w:lastColumn="0" w:noHBand="0" w:noVBand="1"/>
      </w:tblPr>
      <w:tblGrid>
        <w:gridCol w:w="3870"/>
        <w:gridCol w:w="901"/>
        <w:gridCol w:w="901"/>
        <w:gridCol w:w="1803"/>
        <w:gridCol w:w="901"/>
        <w:gridCol w:w="901"/>
      </w:tblGrid>
      <w:tr w:rsidR="001E52B3" w:rsidRPr="001E52B3" w14:paraId="61AA6532" w14:textId="77777777" w:rsidTr="00D1698D">
        <w:trPr>
          <w:trHeight w:val="279"/>
          <w:jc w:val="center"/>
        </w:trPr>
        <w:tc>
          <w:tcPr>
            <w:tcW w:w="3870"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3A4C9DD9" w14:textId="5DC1FD94" w:rsidR="001E52B3" w:rsidRPr="001E52B3" w:rsidRDefault="001E52B3" w:rsidP="001E52B3">
            <w:pPr>
              <w:rPr>
                <w:rFonts w:eastAsia="ArialNarrow"/>
                <w:b/>
                <w:bCs/>
                <w:color w:val="FFFFFF" w:themeColor="background1"/>
              </w:rPr>
            </w:pPr>
            <w:r w:rsidRPr="001E52B3">
              <w:rPr>
                <w:rFonts w:eastAsia="ArialNarrow"/>
                <w:b/>
                <w:bCs/>
                <w:color w:val="FFFFFF" w:themeColor="background1"/>
              </w:rPr>
              <w:t> </w:t>
            </w:r>
            <w:r w:rsidR="00D1698D" w:rsidRPr="00D1698D">
              <w:rPr>
                <w:rFonts w:eastAsia="ArialNarrow"/>
                <w:b/>
                <w:bCs/>
                <w:color w:val="FFFFFF" w:themeColor="background1"/>
              </w:rPr>
              <w:t>Kategorije</w:t>
            </w:r>
          </w:p>
        </w:tc>
        <w:tc>
          <w:tcPr>
            <w:tcW w:w="901"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285063B4" w14:textId="77777777" w:rsidR="001E52B3" w:rsidRPr="001E52B3" w:rsidRDefault="001E52B3" w:rsidP="001E52B3">
            <w:pPr>
              <w:rPr>
                <w:rFonts w:eastAsia="ArialNarrow"/>
                <w:b/>
                <w:bCs/>
                <w:color w:val="FFFFFF" w:themeColor="background1"/>
              </w:rPr>
            </w:pPr>
            <w:r w:rsidRPr="001E52B3">
              <w:rPr>
                <w:rFonts w:eastAsia="ArialNarrow"/>
                <w:b/>
                <w:bCs/>
                <w:color w:val="FFFFFF" w:themeColor="background1"/>
              </w:rPr>
              <w:t>Obrt</w:t>
            </w:r>
          </w:p>
        </w:tc>
        <w:tc>
          <w:tcPr>
            <w:tcW w:w="901"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2F0DAA03" w14:textId="77777777" w:rsidR="001E52B3" w:rsidRPr="001E52B3" w:rsidRDefault="001E52B3" w:rsidP="001E52B3">
            <w:pPr>
              <w:rPr>
                <w:rFonts w:eastAsia="ArialNarrow"/>
                <w:b/>
                <w:bCs/>
                <w:color w:val="FFFFFF" w:themeColor="background1"/>
              </w:rPr>
            </w:pPr>
            <w:r w:rsidRPr="001E52B3">
              <w:rPr>
                <w:rFonts w:eastAsia="ArialNarrow"/>
                <w:b/>
                <w:bCs/>
                <w:color w:val="FFFFFF" w:themeColor="background1"/>
              </w:rPr>
              <w:t xml:space="preserve">Ostalo </w:t>
            </w:r>
          </w:p>
        </w:tc>
        <w:tc>
          <w:tcPr>
            <w:tcW w:w="1803"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3A4002B7" w14:textId="77777777" w:rsidR="001E52B3" w:rsidRPr="001E52B3" w:rsidRDefault="001E52B3" w:rsidP="001E52B3">
            <w:pPr>
              <w:rPr>
                <w:rFonts w:eastAsia="ArialNarrow"/>
                <w:b/>
                <w:bCs/>
                <w:color w:val="FFFFFF" w:themeColor="background1"/>
              </w:rPr>
            </w:pPr>
            <w:r w:rsidRPr="001E52B3">
              <w:rPr>
                <w:rFonts w:eastAsia="ArialNarrow"/>
                <w:b/>
                <w:bCs/>
                <w:color w:val="FFFFFF" w:themeColor="background1"/>
              </w:rPr>
              <w:t>Trgovačko društvo</w:t>
            </w:r>
          </w:p>
        </w:tc>
        <w:tc>
          <w:tcPr>
            <w:tcW w:w="901"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44B50737" w14:textId="77777777" w:rsidR="001E52B3" w:rsidRPr="001E52B3" w:rsidRDefault="001E52B3" w:rsidP="001E52B3">
            <w:pPr>
              <w:rPr>
                <w:rFonts w:eastAsia="ArialNarrow"/>
                <w:b/>
                <w:bCs/>
                <w:color w:val="FFFFFF" w:themeColor="background1"/>
              </w:rPr>
            </w:pPr>
            <w:r w:rsidRPr="001E52B3">
              <w:rPr>
                <w:rFonts w:eastAsia="ArialNarrow"/>
                <w:b/>
                <w:bCs/>
                <w:color w:val="FFFFFF" w:themeColor="background1"/>
              </w:rPr>
              <w:t>Zadruga</w:t>
            </w:r>
          </w:p>
        </w:tc>
        <w:tc>
          <w:tcPr>
            <w:tcW w:w="901"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6FE28F8F" w14:textId="77777777" w:rsidR="001E52B3" w:rsidRPr="001E52B3" w:rsidRDefault="001E52B3" w:rsidP="001E52B3">
            <w:pPr>
              <w:rPr>
                <w:rFonts w:eastAsia="ArialNarrow"/>
                <w:b/>
                <w:bCs/>
              </w:rPr>
            </w:pPr>
            <w:r w:rsidRPr="001E52B3">
              <w:rPr>
                <w:rFonts w:eastAsia="ArialNarrow"/>
                <w:b/>
                <w:bCs/>
              </w:rPr>
              <w:t>Ukupno</w:t>
            </w:r>
          </w:p>
        </w:tc>
      </w:tr>
      <w:tr w:rsidR="001E52B3" w:rsidRPr="001E52B3" w14:paraId="13C8689C" w14:textId="77777777" w:rsidTr="00D1698D">
        <w:trPr>
          <w:trHeight w:val="291"/>
          <w:jc w:val="center"/>
        </w:trPr>
        <w:tc>
          <w:tcPr>
            <w:tcW w:w="3870" w:type="dxa"/>
            <w:tcBorders>
              <w:top w:val="nil"/>
              <w:left w:val="single" w:sz="8" w:space="0" w:color="D2232A" w:themeColor="accent1"/>
              <w:bottom w:val="single" w:sz="8" w:space="0" w:color="F3CFC1"/>
              <w:right w:val="nil"/>
            </w:tcBorders>
            <w:shd w:val="clear" w:color="auto" w:fill="auto"/>
            <w:noWrap/>
            <w:vAlign w:val="center"/>
            <w:hideMark/>
          </w:tcPr>
          <w:p w14:paraId="60F91FEE" w14:textId="77777777" w:rsidR="001E52B3" w:rsidRPr="001E52B3" w:rsidRDefault="001E52B3" w:rsidP="001E52B3">
            <w:pPr>
              <w:rPr>
                <w:rFonts w:eastAsia="ArialNarrow"/>
                <w:b/>
                <w:bCs/>
              </w:rPr>
            </w:pPr>
            <w:r w:rsidRPr="001E52B3">
              <w:rPr>
                <w:rFonts w:eastAsia="ArialNarrow"/>
                <w:b/>
                <w:bCs/>
              </w:rPr>
              <w:t>Nisam imao/imala gubitak</w:t>
            </w:r>
          </w:p>
        </w:tc>
        <w:tc>
          <w:tcPr>
            <w:tcW w:w="901" w:type="dxa"/>
            <w:tcBorders>
              <w:top w:val="nil"/>
              <w:left w:val="nil"/>
              <w:bottom w:val="single" w:sz="8" w:space="0" w:color="F3CFC1"/>
              <w:right w:val="nil"/>
            </w:tcBorders>
            <w:shd w:val="clear" w:color="auto" w:fill="auto"/>
            <w:noWrap/>
            <w:vAlign w:val="center"/>
            <w:hideMark/>
          </w:tcPr>
          <w:p w14:paraId="504AD576" w14:textId="77777777" w:rsidR="001E52B3" w:rsidRPr="001E52B3" w:rsidRDefault="001E52B3" w:rsidP="00D1698D">
            <w:pPr>
              <w:jc w:val="center"/>
              <w:rPr>
                <w:rFonts w:eastAsia="ArialNarrow"/>
              </w:rPr>
            </w:pPr>
            <w:r w:rsidRPr="001E52B3">
              <w:rPr>
                <w:rFonts w:eastAsia="ArialNarrow"/>
              </w:rPr>
              <w:t>17</w:t>
            </w:r>
          </w:p>
        </w:tc>
        <w:tc>
          <w:tcPr>
            <w:tcW w:w="901" w:type="dxa"/>
            <w:tcBorders>
              <w:top w:val="nil"/>
              <w:left w:val="nil"/>
              <w:bottom w:val="single" w:sz="8" w:space="0" w:color="F3CFC1"/>
              <w:right w:val="nil"/>
            </w:tcBorders>
            <w:shd w:val="clear" w:color="auto" w:fill="auto"/>
            <w:noWrap/>
            <w:vAlign w:val="center"/>
            <w:hideMark/>
          </w:tcPr>
          <w:p w14:paraId="61EBEE33" w14:textId="77777777" w:rsidR="001E52B3" w:rsidRPr="001E52B3" w:rsidRDefault="001E52B3" w:rsidP="00D1698D">
            <w:pPr>
              <w:jc w:val="center"/>
              <w:rPr>
                <w:rFonts w:eastAsia="ArialNarrow"/>
              </w:rPr>
            </w:pPr>
            <w:r w:rsidRPr="001E52B3">
              <w:rPr>
                <w:rFonts w:eastAsia="ArialNarrow"/>
              </w:rPr>
              <w:t>1</w:t>
            </w:r>
          </w:p>
        </w:tc>
        <w:tc>
          <w:tcPr>
            <w:tcW w:w="1803" w:type="dxa"/>
            <w:tcBorders>
              <w:top w:val="nil"/>
              <w:left w:val="nil"/>
              <w:bottom w:val="single" w:sz="8" w:space="0" w:color="F3CFC1"/>
              <w:right w:val="nil"/>
            </w:tcBorders>
            <w:shd w:val="clear" w:color="auto" w:fill="auto"/>
            <w:noWrap/>
            <w:vAlign w:val="center"/>
            <w:hideMark/>
          </w:tcPr>
          <w:p w14:paraId="331E0EAB" w14:textId="77777777" w:rsidR="001E52B3" w:rsidRPr="001E52B3" w:rsidRDefault="001E52B3" w:rsidP="00D1698D">
            <w:pPr>
              <w:jc w:val="center"/>
              <w:rPr>
                <w:rFonts w:eastAsia="ArialNarrow"/>
              </w:rPr>
            </w:pPr>
            <w:r w:rsidRPr="001E52B3">
              <w:rPr>
                <w:rFonts w:eastAsia="ArialNarrow"/>
              </w:rPr>
              <w:t>4</w:t>
            </w:r>
          </w:p>
        </w:tc>
        <w:tc>
          <w:tcPr>
            <w:tcW w:w="901" w:type="dxa"/>
            <w:tcBorders>
              <w:top w:val="nil"/>
              <w:left w:val="nil"/>
              <w:bottom w:val="single" w:sz="8" w:space="0" w:color="F3CFC1"/>
              <w:right w:val="nil"/>
            </w:tcBorders>
            <w:shd w:val="clear" w:color="auto" w:fill="auto"/>
            <w:noWrap/>
            <w:vAlign w:val="center"/>
            <w:hideMark/>
          </w:tcPr>
          <w:p w14:paraId="23257E6E" w14:textId="2BED52EE" w:rsidR="001E52B3" w:rsidRPr="001E52B3" w:rsidRDefault="001E52B3" w:rsidP="00D1698D">
            <w:pPr>
              <w:jc w:val="center"/>
              <w:rPr>
                <w:rFonts w:eastAsia="ArialNarrow"/>
              </w:rPr>
            </w:pPr>
          </w:p>
        </w:tc>
        <w:tc>
          <w:tcPr>
            <w:tcW w:w="901" w:type="dxa"/>
            <w:tcBorders>
              <w:top w:val="nil"/>
              <w:left w:val="nil"/>
              <w:bottom w:val="single" w:sz="8" w:space="0" w:color="F3CFC1"/>
              <w:right w:val="nil"/>
            </w:tcBorders>
            <w:shd w:val="clear" w:color="auto" w:fill="auto"/>
            <w:noWrap/>
            <w:vAlign w:val="center"/>
            <w:hideMark/>
          </w:tcPr>
          <w:p w14:paraId="7070004C" w14:textId="77777777" w:rsidR="001E52B3" w:rsidRPr="001E52B3" w:rsidRDefault="001E52B3" w:rsidP="00D1698D">
            <w:pPr>
              <w:jc w:val="center"/>
              <w:rPr>
                <w:rFonts w:eastAsia="ArialNarrow"/>
              </w:rPr>
            </w:pPr>
            <w:r w:rsidRPr="001E52B3">
              <w:rPr>
                <w:rFonts w:eastAsia="ArialNarrow"/>
              </w:rPr>
              <w:t>22</w:t>
            </w:r>
          </w:p>
        </w:tc>
      </w:tr>
      <w:tr w:rsidR="001E52B3" w:rsidRPr="001E52B3" w14:paraId="47306892" w14:textId="77777777" w:rsidTr="00D1698D">
        <w:trPr>
          <w:trHeight w:val="291"/>
          <w:jc w:val="center"/>
        </w:trPr>
        <w:tc>
          <w:tcPr>
            <w:tcW w:w="3870" w:type="dxa"/>
            <w:tcBorders>
              <w:top w:val="nil"/>
              <w:left w:val="single" w:sz="8" w:space="0" w:color="D2232A" w:themeColor="accent1"/>
              <w:bottom w:val="single" w:sz="8" w:space="0" w:color="F3CFC1"/>
              <w:right w:val="nil"/>
            </w:tcBorders>
            <w:shd w:val="clear" w:color="auto" w:fill="auto"/>
            <w:noWrap/>
            <w:vAlign w:val="center"/>
            <w:hideMark/>
          </w:tcPr>
          <w:p w14:paraId="0A61EC09" w14:textId="77777777" w:rsidR="001E52B3" w:rsidRPr="001E52B3" w:rsidRDefault="001E52B3" w:rsidP="001E52B3">
            <w:pPr>
              <w:rPr>
                <w:rFonts w:eastAsia="ArialNarrow"/>
                <w:b/>
                <w:bCs/>
              </w:rPr>
            </w:pPr>
            <w:r w:rsidRPr="001E52B3">
              <w:rPr>
                <w:rFonts w:eastAsia="ArialNarrow"/>
                <w:b/>
                <w:bCs/>
              </w:rPr>
              <w:t>0 – 50.000 kn</w:t>
            </w:r>
          </w:p>
        </w:tc>
        <w:tc>
          <w:tcPr>
            <w:tcW w:w="901" w:type="dxa"/>
            <w:tcBorders>
              <w:top w:val="nil"/>
              <w:left w:val="nil"/>
              <w:bottom w:val="single" w:sz="8" w:space="0" w:color="F3CFC1"/>
              <w:right w:val="nil"/>
            </w:tcBorders>
            <w:shd w:val="clear" w:color="auto" w:fill="auto"/>
            <w:noWrap/>
            <w:vAlign w:val="center"/>
            <w:hideMark/>
          </w:tcPr>
          <w:p w14:paraId="69A8D40F" w14:textId="77777777" w:rsidR="001E52B3" w:rsidRPr="001E52B3" w:rsidRDefault="001E52B3" w:rsidP="00D1698D">
            <w:pPr>
              <w:jc w:val="center"/>
              <w:rPr>
                <w:rFonts w:eastAsia="ArialNarrow"/>
              </w:rPr>
            </w:pPr>
            <w:r w:rsidRPr="001E52B3">
              <w:rPr>
                <w:rFonts w:eastAsia="ArialNarrow"/>
              </w:rPr>
              <w:t>42</w:t>
            </w:r>
          </w:p>
        </w:tc>
        <w:tc>
          <w:tcPr>
            <w:tcW w:w="901" w:type="dxa"/>
            <w:tcBorders>
              <w:top w:val="nil"/>
              <w:left w:val="nil"/>
              <w:bottom w:val="single" w:sz="8" w:space="0" w:color="F3CFC1"/>
              <w:right w:val="nil"/>
            </w:tcBorders>
            <w:shd w:val="clear" w:color="auto" w:fill="auto"/>
            <w:noWrap/>
            <w:vAlign w:val="center"/>
            <w:hideMark/>
          </w:tcPr>
          <w:p w14:paraId="0CDC2589" w14:textId="77777777" w:rsidR="001E52B3" w:rsidRPr="001E52B3" w:rsidRDefault="001E52B3" w:rsidP="00D1698D">
            <w:pPr>
              <w:jc w:val="center"/>
              <w:rPr>
                <w:rFonts w:eastAsia="ArialNarrow"/>
              </w:rPr>
            </w:pPr>
            <w:r w:rsidRPr="001E52B3">
              <w:rPr>
                <w:rFonts w:eastAsia="ArialNarrow"/>
              </w:rPr>
              <w:t>3</w:t>
            </w:r>
          </w:p>
        </w:tc>
        <w:tc>
          <w:tcPr>
            <w:tcW w:w="1803" w:type="dxa"/>
            <w:tcBorders>
              <w:top w:val="nil"/>
              <w:left w:val="nil"/>
              <w:bottom w:val="single" w:sz="8" w:space="0" w:color="F3CFC1"/>
              <w:right w:val="nil"/>
            </w:tcBorders>
            <w:shd w:val="clear" w:color="auto" w:fill="auto"/>
            <w:noWrap/>
            <w:vAlign w:val="center"/>
            <w:hideMark/>
          </w:tcPr>
          <w:p w14:paraId="7498A353" w14:textId="77777777" w:rsidR="001E52B3" w:rsidRPr="001E52B3" w:rsidRDefault="001E52B3" w:rsidP="00D1698D">
            <w:pPr>
              <w:jc w:val="center"/>
              <w:rPr>
                <w:rFonts w:eastAsia="ArialNarrow"/>
              </w:rPr>
            </w:pPr>
            <w:r w:rsidRPr="001E52B3">
              <w:rPr>
                <w:rFonts w:eastAsia="ArialNarrow"/>
              </w:rPr>
              <w:t>2</w:t>
            </w:r>
          </w:p>
        </w:tc>
        <w:tc>
          <w:tcPr>
            <w:tcW w:w="901" w:type="dxa"/>
            <w:tcBorders>
              <w:top w:val="nil"/>
              <w:left w:val="nil"/>
              <w:bottom w:val="single" w:sz="8" w:space="0" w:color="F3CFC1"/>
              <w:right w:val="nil"/>
            </w:tcBorders>
            <w:shd w:val="clear" w:color="auto" w:fill="auto"/>
            <w:noWrap/>
            <w:vAlign w:val="center"/>
            <w:hideMark/>
          </w:tcPr>
          <w:p w14:paraId="1EBEADF3" w14:textId="77777777" w:rsidR="001E52B3" w:rsidRPr="001E52B3" w:rsidRDefault="001E52B3" w:rsidP="00D1698D">
            <w:pPr>
              <w:jc w:val="center"/>
              <w:rPr>
                <w:rFonts w:eastAsia="ArialNarrow"/>
              </w:rPr>
            </w:pPr>
            <w:r w:rsidRPr="001E52B3">
              <w:rPr>
                <w:rFonts w:eastAsia="ArialNarrow"/>
              </w:rPr>
              <w:t>1</w:t>
            </w:r>
          </w:p>
        </w:tc>
        <w:tc>
          <w:tcPr>
            <w:tcW w:w="901" w:type="dxa"/>
            <w:tcBorders>
              <w:top w:val="nil"/>
              <w:left w:val="nil"/>
              <w:bottom w:val="single" w:sz="8" w:space="0" w:color="F3CFC1"/>
              <w:right w:val="nil"/>
            </w:tcBorders>
            <w:shd w:val="clear" w:color="auto" w:fill="auto"/>
            <w:noWrap/>
            <w:vAlign w:val="center"/>
            <w:hideMark/>
          </w:tcPr>
          <w:p w14:paraId="1424146D" w14:textId="77777777" w:rsidR="001E52B3" w:rsidRPr="001E52B3" w:rsidRDefault="001E52B3" w:rsidP="00D1698D">
            <w:pPr>
              <w:jc w:val="center"/>
              <w:rPr>
                <w:rFonts w:eastAsia="ArialNarrow"/>
              </w:rPr>
            </w:pPr>
            <w:r w:rsidRPr="001E52B3">
              <w:rPr>
                <w:rFonts w:eastAsia="ArialNarrow"/>
              </w:rPr>
              <w:t>48</w:t>
            </w:r>
          </w:p>
        </w:tc>
      </w:tr>
      <w:tr w:rsidR="001E52B3" w:rsidRPr="001E52B3" w14:paraId="48A843BE" w14:textId="77777777" w:rsidTr="00D1698D">
        <w:trPr>
          <w:trHeight w:val="291"/>
          <w:jc w:val="center"/>
        </w:trPr>
        <w:tc>
          <w:tcPr>
            <w:tcW w:w="3870" w:type="dxa"/>
            <w:tcBorders>
              <w:top w:val="nil"/>
              <w:left w:val="single" w:sz="8" w:space="0" w:color="D2232A" w:themeColor="accent1"/>
              <w:bottom w:val="single" w:sz="8" w:space="0" w:color="F3CFC1"/>
              <w:right w:val="nil"/>
            </w:tcBorders>
            <w:shd w:val="clear" w:color="auto" w:fill="auto"/>
            <w:noWrap/>
            <w:vAlign w:val="center"/>
            <w:hideMark/>
          </w:tcPr>
          <w:p w14:paraId="2728941D" w14:textId="77777777" w:rsidR="001E52B3" w:rsidRPr="001E52B3" w:rsidRDefault="001E52B3" w:rsidP="001E52B3">
            <w:pPr>
              <w:rPr>
                <w:rFonts w:eastAsia="ArialNarrow"/>
                <w:b/>
                <w:bCs/>
              </w:rPr>
            </w:pPr>
            <w:r w:rsidRPr="001E52B3">
              <w:rPr>
                <w:rFonts w:eastAsia="ArialNarrow"/>
                <w:b/>
                <w:bCs/>
              </w:rPr>
              <w:t>50.000kn – 100.000 kn</w:t>
            </w:r>
          </w:p>
        </w:tc>
        <w:tc>
          <w:tcPr>
            <w:tcW w:w="901" w:type="dxa"/>
            <w:tcBorders>
              <w:top w:val="nil"/>
              <w:left w:val="nil"/>
              <w:bottom w:val="single" w:sz="8" w:space="0" w:color="F3CFC1"/>
              <w:right w:val="nil"/>
            </w:tcBorders>
            <w:shd w:val="clear" w:color="auto" w:fill="auto"/>
            <w:noWrap/>
            <w:vAlign w:val="center"/>
            <w:hideMark/>
          </w:tcPr>
          <w:p w14:paraId="5AC6E5AA" w14:textId="77777777" w:rsidR="001E52B3" w:rsidRPr="001E52B3" w:rsidRDefault="001E52B3" w:rsidP="00D1698D">
            <w:pPr>
              <w:jc w:val="center"/>
              <w:rPr>
                <w:rFonts w:eastAsia="ArialNarrow"/>
              </w:rPr>
            </w:pPr>
            <w:r w:rsidRPr="001E52B3">
              <w:rPr>
                <w:rFonts w:eastAsia="ArialNarrow"/>
              </w:rPr>
              <w:t>7</w:t>
            </w:r>
          </w:p>
        </w:tc>
        <w:tc>
          <w:tcPr>
            <w:tcW w:w="901" w:type="dxa"/>
            <w:tcBorders>
              <w:top w:val="nil"/>
              <w:left w:val="nil"/>
              <w:bottom w:val="single" w:sz="8" w:space="0" w:color="F3CFC1"/>
              <w:right w:val="nil"/>
            </w:tcBorders>
            <w:shd w:val="clear" w:color="auto" w:fill="auto"/>
            <w:noWrap/>
            <w:vAlign w:val="center"/>
            <w:hideMark/>
          </w:tcPr>
          <w:p w14:paraId="1B658F64" w14:textId="4A932F0F" w:rsidR="001E52B3" w:rsidRPr="001E52B3" w:rsidRDefault="001E52B3" w:rsidP="00D1698D">
            <w:pPr>
              <w:jc w:val="center"/>
              <w:rPr>
                <w:rFonts w:eastAsia="ArialNarrow"/>
              </w:rPr>
            </w:pPr>
          </w:p>
        </w:tc>
        <w:tc>
          <w:tcPr>
            <w:tcW w:w="1803" w:type="dxa"/>
            <w:tcBorders>
              <w:top w:val="nil"/>
              <w:left w:val="nil"/>
              <w:bottom w:val="single" w:sz="8" w:space="0" w:color="F3CFC1"/>
              <w:right w:val="nil"/>
            </w:tcBorders>
            <w:shd w:val="clear" w:color="auto" w:fill="auto"/>
            <w:noWrap/>
            <w:vAlign w:val="center"/>
            <w:hideMark/>
          </w:tcPr>
          <w:p w14:paraId="223AA0A2" w14:textId="77777777" w:rsidR="001E52B3" w:rsidRPr="001E52B3" w:rsidRDefault="001E52B3" w:rsidP="00D1698D">
            <w:pPr>
              <w:jc w:val="center"/>
              <w:rPr>
                <w:rFonts w:eastAsia="ArialNarrow"/>
              </w:rPr>
            </w:pPr>
            <w:r w:rsidRPr="001E52B3">
              <w:rPr>
                <w:rFonts w:eastAsia="ArialNarrow"/>
              </w:rPr>
              <w:t>2</w:t>
            </w:r>
          </w:p>
        </w:tc>
        <w:tc>
          <w:tcPr>
            <w:tcW w:w="901" w:type="dxa"/>
            <w:tcBorders>
              <w:top w:val="nil"/>
              <w:left w:val="nil"/>
              <w:bottom w:val="single" w:sz="8" w:space="0" w:color="F3CFC1"/>
              <w:right w:val="nil"/>
            </w:tcBorders>
            <w:shd w:val="clear" w:color="auto" w:fill="auto"/>
            <w:noWrap/>
            <w:vAlign w:val="center"/>
            <w:hideMark/>
          </w:tcPr>
          <w:p w14:paraId="3E312E42" w14:textId="0B811E94" w:rsidR="001E52B3" w:rsidRPr="001E52B3" w:rsidRDefault="001E52B3" w:rsidP="00D1698D">
            <w:pPr>
              <w:jc w:val="center"/>
              <w:rPr>
                <w:rFonts w:eastAsia="ArialNarrow"/>
              </w:rPr>
            </w:pPr>
          </w:p>
        </w:tc>
        <w:tc>
          <w:tcPr>
            <w:tcW w:w="901" w:type="dxa"/>
            <w:tcBorders>
              <w:top w:val="nil"/>
              <w:left w:val="nil"/>
              <w:bottom w:val="single" w:sz="8" w:space="0" w:color="F3CFC1"/>
              <w:right w:val="nil"/>
            </w:tcBorders>
            <w:shd w:val="clear" w:color="auto" w:fill="auto"/>
            <w:noWrap/>
            <w:vAlign w:val="center"/>
            <w:hideMark/>
          </w:tcPr>
          <w:p w14:paraId="7FC877C9" w14:textId="77777777" w:rsidR="001E52B3" w:rsidRPr="001E52B3" w:rsidRDefault="001E52B3" w:rsidP="00D1698D">
            <w:pPr>
              <w:jc w:val="center"/>
              <w:rPr>
                <w:rFonts w:eastAsia="ArialNarrow"/>
              </w:rPr>
            </w:pPr>
            <w:r w:rsidRPr="001E52B3">
              <w:rPr>
                <w:rFonts w:eastAsia="ArialNarrow"/>
              </w:rPr>
              <w:t>9</w:t>
            </w:r>
          </w:p>
        </w:tc>
      </w:tr>
      <w:tr w:rsidR="001E52B3" w:rsidRPr="001E52B3" w14:paraId="130EF50C" w14:textId="77777777" w:rsidTr="00D1698D">
        <w:trPr>
          <w:trHeight w:val="291"/>
          <w:jc w:val="center"/>
        </w:trPr>
        <w:tc>
          <w:tcPr>
            <w:tcW w:w="3870" w:type="dxa"/>
            <w:tcBorders>
              <w:top w:val="nil"/>
              <w:left w:val="single" w:sz="8" w:space="0" w:color="D2232A" w:themeColor="accent1"/>
              <w:bottom w:val="single" w:sz="8" w:space="0" w:color="F3CFC1"/>
              <w:right w:val="nil"/>
            </w:tcBorders>
            <w:shd w:val="clear" w:color="auto" w:fill="auto"/>
            <w:noWrap/>
            <w:vAlign w:val="center"/>
            <w:hideMark/>
          </w:tcPr>
          <w:p w14:paraId="7A3BB540" w14:textId="77777777" w:rsidR="001E52B3" w:rsidRPr="001E52B3" w:rsidRDefault="001E52B3" w:rsidP="001E52B3">
            <w:pPr>
              <w:rPr>
                <w:rFonts w:eastAsia="ArialNarrow"/>
                <w:b/>
                <w:bCs/>
              </w:rPr>
            </w:pPr>
            <w:r w:rsidRPr="001E52B3">
              <w:rPr>
                <w:rFonts w:eastAsia="ArialNarrow"/>
                <w:b/>
                <w:bCs/>
              </w:rPr>
              <w:t>100.000 – 300.000 kn</w:t>
            </w:r>
          </w:p>
        </w:tc>
        <w:tc>
          <w:tcPr>
            <w:tcW w:w="901" w:type="dxa"/>
            <w:tcBorders>
              <w:top w:val="nil"/>
              <w:left w:val="nil"/>
              <w:bottom w:val="single" w:sz="8" w:space="0" w:color="F3CFC1"/>
              <w:right w:val="nil"/>
            </w:tcBorders>
            <w:shd w:val="clear" w:color="auto" w:fill="auto"/>
            <w:noWrap/>
            <w:vAlign w:val="center"/>
            <w:hideMark/>
          </w:tcPr>
          <w:p w14:paraId="5FA5414C" w14:textId="77777777" w:rsidR="001E52B3" w:rsidRPr="001E52B3" w:rsidRDefault="001E52B3" w:rsidP="00D1698D">
            <w:pPr>
              <w:jc w:val="center"/>
              <w:rPr>
                <w:rFonts w:eastAsia="ArialNarrow"/>
              </w:rPr>
            </w:pPr>
            <w:r w:rsidRPr="001E52B3">
              <w:rPr>
                <w:rFonts w:eastAsia="ArialNarrow"/>
              </w:rPr>
              <w:t>16</w:t>
            </w:r>
          </w:p>
        </w:tc>
        <w:tc>
          <w:tcPr>
            <w:tcW w:w="901" w:type="dxa"/>
            <w:tcBorders>
              <w:top w:val="nil"/>
              <w:left w:val="nil"/>
              <w:bottom w:val="single" w:sz="8" w:space="0" w:color="F3CFC1"/>
              <w:right w:val="nil"/>
            </w:tcBorders>
            <w:shd w:val="clear" w:color="auto" w:fill="auto"/>
            <w:noWrap/>
            <w:vAlign w:val="center"/>
            <w:hideMark/>
          </w:tcPr>
          <w:p w14:paraId="61C6F3EC" w14:textId="737EDC38" w:rsidR="001E52B3" w:rsidRPr="001E52B3" w:rsidRDefault="001E52B3" w:rsidP="00D1698D">
            <w:pPr>
              <w:jc w:val="center"/>
              <w:rPr>
                <w:rFonts w:eastAsia="ArialNarrow"/>
              </w:rPr>
            </w:pPr>
          </w:p>
        </w:tc>
        <w:tc>
          <w:tcPr>
            <w:tcW w:w="1803" w:type="dxa"/>
            <w:tcBorders>
              <w:top w:val="nil"/>
              <w:left w:val="nil"/>
              <w:bottom w:val="single" w:sz="8" w:space="0" w:color="F3CFC1"/>
              <w:right w:val="nil"/>
            </w:tcBorders>
            <w:shd w:val="clear" w:color="auto" w:fill="auto"/>
            <w:noWrap/>
            <w:vAlign w:val="center"/>
            <w:hideMark/>
          </w:tcPr>
          <w:p w14:paraId="2888937B" w14:textId="77777777" w:rsidR="001E52B3" w:rsidRPr="001E52B3" w:rsidRDefault="001E52B3" w:rsidP="00D1698D">
            <w:pPr>
              <w:jc w:val="center"/>
              <w:rPr>
                <w:rFonts w:eastAsia="ArialNarrow"/>
              </w:rPr>
            </w:pPr>
            <w:r w:rsidRPr="001E52B3">
              <w:rPr>
                <w:rFonts w:eastAsia="ArialNarrow"/>
              </w:rPr>
              <w:t>3</w:t>
            </w:r>
          </w:p>
        </w:tc>
        <w:tc>
          <w:tcPr>
            <w:tcW w:w="901" w:type="dxa"/>
            <w:tcBorders>
              <w:top w:val="nil"/>
              <w:left w:val="nil"/>
              <w:bottom w:val="single" w:sz="8" w:space="0" w:color="F3CFC1"/>
              <w:right w:val="nil"/>
            </w:tcBorders>
            <w:shd w:val="clear" w:color="auto" w:fill="auto"/>
            <w:noWrap/>
            <w:vAlign w:val="center"/>
            <w:hideMark/>
          </w:tcPr>
          <w:p w14:paraId="1A8E9AFF" w14:textId="64D342FB" w:rsidR="001E52B3" w:rsidRPr="001E52B3" w:rsidRDefault="001E52B3" w:rsidP="00D1698D">
            <w:pPr>
              <w:jc w:val="center"/>
              <w:rPr>
                <w:rFonts w:eastAsia="ArialNarrow"/>
              </w:rPr>
            </w:pPr>
          </w:p>
        </w:tc>
        <w:tc>
          <w:tcPr>
            <w:tcW w:w="901" w:type="dxa"/>
            <w:tcBorders>
              <w:top w:val="nil"/>
              <w:left w:val="nil"/>
              <w:bottom w:val="single" w:sz="8" w:space="0" w:color="F3CFC1"/>
              <w:right w:val="nil"/>
            </w:tcBorders>
            <w:shd w:val="clear" w:color="auto" w:fill="auto"/>
            <w:noWrap/>
            <w:vAlign w:val="center"/>
            <w:hideMark/>
          </w:tcPr>
          <w:p w14:paraId="6BDCDCC9" w14:textId="77777777" w:rsidR="001E52B3" w:rsidRPr="001E52B3" w:rsidRDefault="001E52B3" w:rsidP="00D1698D">
            <w:pPr>
              <w:jc w:val="center"/>
              <w:rPr>
                <w:rFonts w:eastAsia="ArialNarrow"/>
              </w:rPr>
            </w:pPr>
            <w:r w:rsidRPr="001E52B3">
              <w:rPr>
                <w:rFonts w:eastAsia="ArialNarrow"/>
              </w:rPr>
              <w:t>19</w:t>
            </w:r>
          </w:p>
        </w:tc>
      </w:tr>
      <w:tr w:rsidR="001E52B3" w:rsidRPr="001E52B3" w14:paraId="7F42461C" w14:textId="77777777" w:rsidTr="00D1698D">
        <w:trPr>
          <w:trHeight w:val="291"/>
          <w:jc w:val="center"/>
        </w:trPr>
        <w:tc>
          <w:tcPr>
            <w:tcW w:w="3870" w:type="dxa"/>
            <w:tcBorders>
              <w:top w:val="nil"/>
              <w:left w:val="single" w:sz="8" w:space="0" w:color="D2232A" w:themeColor="accent1"/>
              <w:bottom w:val="single" w:sz="8" w:space="0" w:color="F3CFC1"/>
              <w:right w:val="nil"/>
            </w:tcBorders>
            <w:shd w:val="clear" w:color="auto" w:fill="auto"/>
            <w:noWrap/>
            <w:vAlign w:val="center"/>
            <w:hideMark/>
          </w:tcPr>
          <w:p w14:paraId="3FDB81BC" w14:textId="77777777" w:rsidR="001E52B3" w:rsidRPr="001E52B3" w:rsidRDefault="001E52B3" w:rsidP="001E52B3">
            <w:pPr>
              <w:rPr>
                <w:rFonts w:eastAsia="ArialNarrow"/>
                <w:b/>
                <w:bCs/>
              </w:rPr>
            </w:pPr>
            <w:r w:rsidRPr="001E52B3">
              <w:rPr>
                <w:rFonts w:eastAsia="ArialNarrow"/>
                <w:b/>
                <w:bCs/>
              </w:rPr>
              <w:t>300.000 – 500.000 kn</w:t>
            </w:r>
          </w:p>
        </w:tc>
        <w:tc>
          <w:tcPr>
            <w:tcW w:w="901" w:type="dxa"/>
            <w:tcBorders>
              <w:top w:val="nil"/>
              <w:left w:val="nil"/>
              <w:bottom w:val="single" w:sz="8" w:space="0" w:color="F3CFC1"/>
              <w:right w:val="nil"/>
            </w:tcBorders>
            <w:shd w:val="clear" w:color="auto" w:fill="auto"/>
            <w:noWrap/>
            <w:vAlign w:val="center"/>
            <w:hideMark/>
          </w:tcPr>
          <w:p w14:paraId="630CE1DC" w14:textId="77777777" w:rsidR="001E52B3" w:rsidRPr="001E52B3" w:rsidRDefault="001E52B3" w:rsidP="00D1698D">
            <w:pPr>
              <w:jc w:val="center"/>
              <w:rPr>
                <w:rFonts w:eastAsia="ArialNarrow"/>
              </w:rPr>
            </w:pPr>
            <w:r w:rsidRPr="001E52B3">
              <w:rPr>
                <w:rFonts w:eastAsia="ArialNarrow"/>
              </w:rPr>
              <w:t>3</w:t>
            </w:r>
          </w:p>
        </w:tc>
        <w:tc>
          <w:tcPr>
            <w:tcW w:w="901" w:type="dxa"/>
            <w:tcBorders>
              <w:top w:val="nil"/>
              <w:left w:val="nil"/>
              <w:bottom w:val="single" w:sz="8" w:space="0" w:color="F3CFC1"/>
              <w:right w:val="nil"/>
            </w:tcBorders>
            <w:shd w:val="clear" w:color="auto" w:fill="auto"/>
            <w:noWrap/>
            <w:vAlign w:val="center"/>
            <w:hideMark/>
          </w:tcPr>
          <w:p w14:paraId="0041A997" w14:textId="17BD9418" w:rsidR="001E52B3" w:rsidRPr="001E52B3" w:rsidRDefault="001E52B3" w:rsidP="00D1698D">
            <w:pPr>
              <w:jc w:val="center"/>
              <w:rPr>
                <w:rFonts w:eastAsia="ArialNarrow"/>
              </w:rPr>
            </w:pPr>
          </w:p>
        </w:tc>
        <w:tc>
          <w:tcPr>
            <w:tcW w:w="1803" w:type="dxa"/>
            <w:tcBorders>
              <w:top w:val="nil"/>
              <w:left w:val="nil"/>
              <w:bottom w:val="single" w:sz="8" w:space="0" w:color="F3CFC1"/>
              <w:right w:val="nil"/>
            </w:tcBorders>
            <w:shd w:val="clear" w:color="auto" w:fill="auto"/>
            <w:noWrap/>
            <w:vAlign w:val="center"/>
            <w:hideMark/>
          </w:tcPr>
          <w:p w14:paraId="7213B236" w14:textId="77777777" w:rsidR="001E52B3" w:rsidRPr="001E52B3" w:rsidRDefault="001E52B3" w:rsidP="00D1698D">
            <w:pPr>
              <w:jc w:val="center"/>
              <w:rPr>
                <w:rFonts w:eastAsia="ArialNarrow"/>
              </w:rPr>
            </w:pPr>
            <w:r w:rsidRPr="001E52B3">
              <w:rPr>
                <w:rFonts w:eastAsia="ArialNarrow"/>
              </w:rPr>
              <w:t>1</w:t>
            </w:r>
          </w:p>
        </w:tc>
        <w:tc>
          <w:tcPr>
            <w:tcW w:w="901" w:type="dxa"/>
            <w:tcBorders>
              <w:top w:val="nil"/>
              <w:left w:val="nil"/>
              <w:bottom w:val="single" w:sz="8" w:space="0" w:color="F3CFC1"/>
              <w:right w:val="nil"/>
            </w:tcBorders>
            <w:shd w:val="clear" w:color="auto" w:fill="auto"/>
            <w:noWrap/>
            <w:vAlign w:val="center"/>
            <w:hideMark/>
          </w:tcPr>
          <w:p w14:paraId="78A8AFD6" w14:textId="5EE70853" w:rsidR="001E52B3" w:rsidRPr="001E52B3" w:rsidRDefault="001E52B3" w:rsidP="00D1698D">
            <w:pPr>
              <w:jc w:val="center"/>
              <w:rPr>
                <w:rFonts w:eastAsia="ArialNarrow"/>
              </w:rPr>
            </w:pPr>
          </w:p>
        </w:tc>
        <w:tc>
          <w:tcPr>
            <w:tcW w:w="901" w:type="dxa"/>
            <w:tcBorders>
              <w:top w:val="nil"/>
              <w:left w:val="nil"/>
              <w:bottom w:val="single" w:sz="8" w:space="0" w:color="F3CFC1"/>
              <w:right w:val="nil"/>
            </w:tcBorders>
            <w:shd w:val="clear" w:color="auto" w:fill="auto"/>
            <w:noWrap/>
            <w:vAlign w:val="center"/>
            <w:hideMark/>
          </w:tcPr>
          <w:p w14:paraId="7A6E9475" w14:textId="77777777" w:rsidR="001E52B3" w:rsidRPr="001E52B3" w:rsidRDefault="001E52B3" w:rsidP="00D1698D">
            <w:pPr>
              <w:jc w:val="center"/>
              <w:rPr>
                <w:rFonts w:eastAsia="ArialNarrow"/>
              </w:rPr>
            </w:pPr>
            <w:r w:rsidRPr="001E52B3">
              <w:rPr>
                <w:rFonts w:eastAsia="ArialNarrow"/>
              </w:rPr>
              <w:t>4</w:t>
            </w:r>
          </w:p>
        </w:tc>
      </w:tr>
      <w:tr w:rsidR="001E52B3" w:rsidRPr="001E52B3" w14:paraId="0DA3E516" w14:textId="77777777" w:rsidTr="00D1698D">
        <w:trPr>
          <w:trHeight w:val="291"/>
          <w:jc w:val="center"/>
        </w:trPr>
        <w:tc>
          <w:tcPr>
            <w:tcW w:w="3870" w:type="dxa"/>
            <w:tcBorders>
              <w:top w:val="nil"/>
              <w:left w:val="single" w:sz="8" w:space="0" w:color="D2232A" w:themeColor="accent1"/>
              <w:bottom w:val="single" w:sz="8" w:space="0" w:color="F3CFC1"/>
              <w:right w:val="nil"/>
            </w:tcBorders>
            <w:shd w:val="clear" w:color="auto" w:fill="auto"/>
            <w:noWrap/>
            <w:vAlign w:val="center"/>
            <w:hideMark/>
          </w:tcPr>
          <w:p w14:paraId="2C8898E2" w14:textId="77777777" w:rsidR="001E52B3" w:rsidRPr="001E52B3" w:rsidRDefault="001E52B3" w:rsidP="001E52B3">
            <w:pPr>
              <w:rPr>
                <w:rFonts w:eastAsia="ArialNarrow"/>
                <w:b/>
                <w:bCs/>
              </w:rPr>
            </w:pPr>
            <w:r w:rsidRPr="001E52B3">
              <w:rPr>
                <w:rFonts w:eastAsia="ArialNarrow"/>
                <w:b/>
                <w:bCs/>
              </w:rPr>
              <w:t>500.000 kn - 1.000.000 kn</w:t>
            </w:r>
          </w:p>
        </w:tc>
        <w:tc>
          <w:tcPr>
            <w:tcW w:w="901" w:type="dxa"/>
            <w:tcBorders>
              <w:top w:val="nil"/>
              <w:left w:val="nil"/>
              <w:bottom w:val="single" w:sz="8" w:space="0" w:color="F3CFC1"/>
              <w:right w:val="nil"/>
            </w:tcBorders>
            <w:shd w:val="clear" w:color="auto" w:fill="auto"/>
            <w:noWrap/>
            <w:vAlign w:val="center"/>
            <w:hideMark/>
          </w:tcPr>
          <w:p w14:paraId="0F5DE18F" w14:textId="60374D6A" w:rsidR="001E52B3" w:rsidRPr="001E52B3" w:rsidRDefault="001E52B3" w:rsidP="00D1698D">
            <w:pPr>
              <w:jc w:val="center"/>
              <w:rPr>
                <w:rFonts w:eastAsia="ArialNarrow"/>
              </w:rPr>
            </w:pPr>
          </w:p>
        </w:tc>
        <w:tc>
          <w:tcPr>
            <w:tcW w:w="901" w:type="dxa"/>
            <w:tcBorders>
              <w:top w:val="nil"/>
              <w:left w:val="nil"/>
              <w:bottom w:val="single" w:sz="8" w:space="0" w:color="F3CFC1"/>
              <w:right w:val="nil"/>
            </w:tcBorders>
            <w:shd w:val="clear" w:color="auto" w:fill="auto"/>
            <w:noWrap/>
            <w:vAlign w:val="center"/>
            <w:hideMark/>
          </w:tcPr>
          <w:p w14:paraId="1FA2DB0E" w14:textId="44A1BF9D" w:rsidR="001E52B3" w:rsidRPr="001E52B3" w:rsidRDefault="001E52B3" w:rsidP="00D1698D">
            <w:pPr>
              <w:jc w:val="center"/>
              <w:rPr>
                <w:rFonts w:eastAsia="ArialNarrow"/>
              </w:rPr>
            </w:pPr>
          </w:p>
        </w:tc>
        <w:tc>
          <w:tcPr>
            <w:tcW w:w="1803" w:type="dxa"/>
            <w:tcBorders>
              <w:top w:val="nil"/>
              <w:left w:val="nil"/>
              <w:bottom w:val="single" w:sz="8" w:space="0" w:color="F3CFC1"/>
              <w:right w:val="nil"/>
            </w:tcBorders>
            <w:shd w:val="clear" w:color="auto" w:fill="auto"/>
            <w:noWrap/>
            <w:vAlign w:val="center"/>
            <w:hideMark/>
          </w:tcPr>
          <w:p w14:paraId="45BA7317" w14:textId="0C40B74A" w:rsidR="001E52B3" w:rsidRPr="001E52B3" w:rsidRDefault="001E52B3" w:rsidP="00D1698D">
            <w:pPr>
              <w:jc w:val="center"/>
              <w:rPr>
                <w:rFonts w:eastAsia="ArialNarrow"/>
              </w:rPr>
            </w:pPr>
          </w:p>
        </w:tc>
        <w:tc>
          <w:tcPr>
            <w:tcW w:w="901" w:type="dxa"/>
            <w:tcBorders>
              <w:top w:val="nil"/>
              <w:left w:val="nil"/>
              <w:bottom w:val="single" w:sz="8" w:space="0" w:color="F3CFC1"/>
              <w:right w:val="nil"/>
            </w:tcBorders>
            <w:shd w:val="clear" w:color="auto" w:fill="auto"/>
            <w:noWrap/>
            <w:vAlign w:val="center"/>
            <w:hideMark/>
          </w:tcPr>
          <w:p w14:paraId="1CDE0C61" w14:textId="29C44FC6" w:rsidR="001E52B3" w:rsidRPr="001E52B3" w:rsidRDefault="001E52B3" w:rsidP="00D1698D">
            <w:pPr>
              <w:jc w:val="center"/>
              <w:rPr>
                <w:rFonts w:eastAsia="ArialNarrow"/>
              </w:rPr>
            </w:pPr>
          </w:p>
        </w:tc>
        <w:tc>
          <w:tcPr>
            <w:tcW w:w="901" w:type="dxa"/>
            <w:tcBorders>
              <w:top w:val="nil"/>
              <w:left w:val="nil"/>
              <w:bottom w:val="single" w:sz="8" w:space="0" w:color="F3CFC1"/>
              <w:right w:val="nil"/>
            </w:tcBorders>
            <w:shd w:val="clear" w:color="auto" w:fill="auto"/>
            <w:noWrap/>
            <w:vAlign w:val="center"/>
            <w:hideMark/>
          </w:tcPr>
          <w:p w14:paraId="0D8DA29C" w14:textId="6B353A1D" w:rsidR="001E52B3" w:rsidRPr="001E52B3" w:rsidRDefault="001E52B3" w:rsidP="00D1698D">
            <w:pPr>
              <w:jc w:val="center"/>
              <w:rPr>
                <w:rFonts w:eastAsia="ArialNarrow"/>
              </w:rPr>
            </w:pPr>
          </w:p>
        </w:tc>
      </w:tr>
      <w:tr w:rsidR="001E52B3" w:rsidRPr="001E52B3" w14:paraId="3D7A94B3" w14:textId="77777777" w:rsidTr="00D1698D">
        <w:trPr>
          <w:trHeight w:val="291"/>
          <w:jc w:val="center"/>
        </w:trPr>
        <w:tc>
          <w:tcPr>
            <w:tcW w:w="3870" w:type="dxa"/>
            <w:tcBorders>
              <w:top w:val="nil"/>
              <w:left w:val="single" w:sz="8" w:space="0" w:color="D2232A" w:themeColor="accent1"/>
              <w:bottom w:val="single" w:sz="8" w:space="0" w:color="F3CFC1"/>
              <w:right w:val="nil"/>
            </w:tcBorders>
            <w:shd w:val="clear" w:color="auto" w:fill="auto"/>
            <w:noWrap/>
            <w:vAlign w:val="center"/>
            <w:hideMark/>
          </w:tcPr>
          <w:p w14:paraId="63982920" w14:textId="77777777" w:rsidR="001E52B3" w:rsidRPr="001E52B3" w:rsidRDefault="001E52B3" w:rsidP="001E52B3">
            <w:pPr>
              <w:rPr>
                <w:rFonts w:eastAsia="ArialNarrow"/>
                <w:b/>
                <w:bCs/>
              </w:rPr>
            </w:pPr>
            <w:r w:rsidRPr="001E52B3">
              <w:rPr>
                <w:rFonts w:eastAsia="ArialNarrow"/>
                <w:b/>
                <w:bCs/>
              </w:rPr>
              <w:t>Više od 1.000.000 kn</w:t>
            </w:r>
          </w:p>
        </w:tc>
        <w:tc>
          <w:tcPr>
            <w:tcW w:w="901" w:type="dxa"/>
            <w:tcBorders>
              <w:top w:val="nil"/>
              <w:left w:val="nil"/>
              <w:bottom w:val="single" w:sz="8" w:space="0" w:color="F3CFC1"/>
              <w:right w:val="nil"/>
            </w:tcBorders>
            <w:shd w:val="clear" w:color="auto" w:fill="auto"/>
            <w:noWrap/>
            <w:vAlign w:val="center"/>
            <w:hideMark/>
          </w:tcPr>
          <w:p w14:paraId="5F6E89F0" w14:textId="74036CE8" w:rsidR="001E52B3" w:rsidRPr="001E52B3" w:rsidRDefault="001E52B3" w:rsidP="00D1698D">
            <w:pPr>
              <w:jc w:val="center"/>
              <w:rPr>
                <w:rFonts w:eastAsia="ArialNarrow"/>
              </w:rPr>
            </w:pPr>
          </w:p>
        </w:tc>
        <w:tc>
          <w:tcPr>
            <w:tcW w:w="901" w:type="dxa"/>
            <w:tcBorders>
              <w:top w:val="nil"/>
              <w:left w:val="nil"/>
              <w:bottom w:val="single" w:sz="8" w:space="0" w:color="F3CFC1"/>
              <w:right w:val="nil"/>
            </w:tcBorders>
            <w:shd w:val="clear" w:color="auto" w:fill="auto"/>
            <w:noWrap/>
            <w:vAlign w:val="center"/>
            <w:hideMark/>
          </w:tcPr>
          <w:p w14:paraId="2EAEA9CF" w14:textId="42760295" w:rsidR="001E52B3" w:rsidRPr="001E52B3" w:rsidRDefault="001E52B3" w:rsidP="00D1698D">
            <w:pPr>
              <w:jc w:val="center"/>
              <w:rPr>
                <w:rFonts w:eastAsia="ArialNarrow"/>
              </w:rPr>
            </w:pPr>
          </w:p>
        </w:tc>
        <w:tc>
          <w:tcPr>
            <w:tcW w:w="1803" w:type="dxa"/>
            <w:tcBorders>
              <w:top w:val="nil"/>
              <w:left w:val="nil"/>
              <w:bottom w:val="single" w:sz="8" w:space="0" w:color="F3CFC1"/>
              <w:right w:val="nil"/>
            </w:tcBorders>
            <w:shd w:val="clear" w:color="auto" w:fill="auto"/>
            <w:noWrap/>
            <w:vAlign w:val="center"/>
            <w:hideMark/>
          </w:tcPr>
          <w:p w14:paraId="7DB53A12" w14:textId="77777777" w:rsidR="001E52B3" w:rsidRPr="001E52B3" w:rsidRDefault="001E52B3" w:rsidP="00D1698D">
            <w:pPr>
              <w:jc w:val="center"/>
              <w:rPr>
                <w:rFonts w:eastAsia="ArialNarrow"/>
              </w:rPr>
            </w:pPr>
            <w:r w:rsidRPr="001E52B3">
              <w:rPr>
                <w:rFonts w:eastAsia="ArialNarrow"/>
              </w:rPr>
              <w:t>8</w:t>
            </w:r>
          </w:p>
        </w:tc>
        <w:tc>
          <w:tcPr>
            <w:tcW w:w="901" w:type="dxa"/>
            <w:tcBorders>
              <w:top w:val="nil"/>
              <w:left w:val="nil"/>
              <w:bottom w:val="single" w:sz="8" w:space="0" w:color="F3CFC1"/>
              <w:right w:val="nil"/>
            </w:tcBorders>
            <w:shd w:val="clear" w:color="auto" w:fill="auto"/>
            <w:noWrap/>
            <w:vAlign w:val="center"/>
            <w:hideMark/>
          </w:tcPr>
          <w:p w14:paraId="2C81B682" w14:textId="444DE32C" w:rsidR="001E52B3" w:rsidRPr="001E52B3" w:rsidRDefault="001E52B3" w:rsidP="00D1698D">
            <w:pPr>
              <w:jc w:val="center"/>
              <w:rPr>
                <w:rFonts w:eastAsia="ArialNarrow"/>
              </w:rPr>
            </w:pPr>
          </w:p>
        </w:tc>
        <w:tc>
          <w:tcPr>
            <w:tcW w:w="901" w:type="dxa"/>
            <w:tcBorders>
              <w:top w:val="nil"/>
              <w:left w:val="nil"/>
              <w:bottom w:val="single" w:sz="8" w:space="0" w:color="F3CFC1"/>
              <w:right w:val="nil"/>
            </w:tcBorders>
            <w:shd w:val="clear" w:color="auto" w:fill="auto"/>
            <w:noWrap/>
            <w:vAlign w:val="center"/>
            <w:hideMark/>
          </w:tcPr>
          <w:p w14:paraId="07435759" w14:textId="77777777" w:rsidR="001E52B3" w:rsidRPr="001E52B3" w:rsidRDefault="001E52B3" w:rsidP="00D1698D">
            <w:pPr>
              <w:jc w:val="center"/>
              <w:rPr>
                <w:rFonts w:eastAsia="ArialNarrow"/>
              </w:rPr>
            </w:pPr>
            <w:r w:rsidRPr="001E52B3">
              <w:rPr>
                <w:rFonts w:eastAsia="ArialNarrow"/>
              </w:rPr>
              <w:t>8</w:t>
            </w:r>
          </w:p>
        </w:tc>
      </w:tr>
    </w:tbl>
    <w:p w14:paraId="22A766AE" w14:textId="77777777" w:rsidR="001E52B3" w:rsidRPr="001E52B3" w:rsidRDefault="001E52B3" w:rsidP="001E52B3">
      <w:pPr>
        <w:rPr>
          <w:rFonts w:eastAsia="ArialNarrow"/>
        </w:rPr>
      </w:pPr>
      <w:r w:rsidRPr="001E52B3">
        <w:rPr>
          <w:rFonts w:eastAsia="ArialNarrow"/>
        </w:rPr>
        <w:fldChar w:fldCharType="end"/>
      </w:r>
    </w:p>
    <w:p w14:paraId="779DBB91" w14:textId="7CAAE57A" w:rsidR="001E52B3" w:rsidRDefault="001E52B3" w:rsidP="00985EDB">
      <w:pPr>
        <w:rPr>
          <w:rFonts w:eastAsia="ArialNarrow"/>
        </w:rPr>
      </w:pPr>
      <w:bookmarkStart w:id="165" w:name="_Hlk85028676"/>
      <w:r w:rsidRPr="001E52B3">
        <w:rPr>
          <w:rFonts w:eastAsia="ArialNarrow"/>
        </w:rPr>
        <w:t xml:space="preserve">Poslovni subjekti odabirom ponuđenih odgovora pokušali su predvidjeti utjecaj epidemioloških mjera na ukupne primitke/prihode do kraja 2020. godine </w:t>
      </w:r>
      <w:r w:rsidR="00D1698D">
        <w:rPr>
          <w:rFonts w:eastAsia="ArialNarrow"/>
        </w:rPr>
        <w:t xml:space="preserve">. </w:t>
      </w:r>
      <w:r w:rsidRPr="001E52B3">
        <w:rPr>
          <w:rFonts w:eastAsia="ArialNarrow"/>
        </w:rPr>
        <w:t>Gotovo 90% ispitanika očekuje smanjenje prihoda do kraja 2020. godine, dok preostalih 10% ne očekuje smanjenje prihoda</w:t>
      </w:r>
      <w:r w:rsidRPr="001E52B3">
        <w:rPr>
          <w:rFonts w:eastAsia="ArialNarrow"/>
          <w:b/>
          <w:bCs/>
        </w:rPr>
        <w:t xml:space="preserve">. </w:t>
      </w:r>
      <w:r w:rsidRPr="001E52B3">
        <w:rPr>
          <w:rFonts w:eastAsia="ArialNarrow"/>
        </w:rPr>
        <w:t>Najveće smanjenje prihoda od 30%-50% procjenjuje 31 poslovni subjekt.</w:t>
      </w:r>
      <w:r w:rsidRPr="001E52B3">
        <w:rPr>
          <w:rFonts w:eastAsia="ArialNarrow"/>
          <w:b/>
          <w:bCs/>
        </w:rPr>
        <w:t xml:space="preserve"> </w:t>
      </w:r>
      <w:r w:rsidRPr="001E52B3">
        <w:rPr>
          <w:rFonts w:eastAsia="ArialNarrow"/>
        </w:rPr>
        <w:t xml:space="preserve">Samo građevinarski mikro obrt koji je tek osnovan u 2020. godini očekuje povećanje prihoda do kraja 2020. godine. </w:t>
      </w:r>
      <w:bookmarkEnd w:id="165"/>
    </w:p>
    <w:p w14:paraId="467566BF" w14:textId="635FBD34" w:rsidR="00985EDB" w:rsidRPr="00985EDB" w:rsidRDefault="00985EDB" w:rsidP="00985EDB">
      <w:pPr>
        <w:rPr>
          <w:rFonts w:eastAsia="ArialNarrow"/>
        </w:rPr>
      </w:pPr>
      <w:r w:rsidRPr="00985EDB">
        <w:rPr>
          <w:rFonts w:eastAsia="ArialNarrow"/>
        </w:rPr>
        <w:t>O tipu i intenzitetu nepovoljnih posljedica epidemiološke situacije na poslovanje izjasnili su se gotovo svi ispitanici</w:t>
      </w:r>
      <w:r w:rsidR="00D2372E">
        <w:rPr>
          <w:rFonts w:eastAsia="ArialNarrow"/>
        </w:rPr>
        <w:t xml:space="preserve"> te navode kao posljedice </w:t>
      </w:r>
      <w:r w:rsidRPr="00985EDB">
        <w:rPr>
          <w:rFonts w:eastAsia="ArialNarrow"/>
        </w:rPr>
        <w:t>smanjenje potražnje, proizvodnje, prometa, prihoda i mogućnosti širenja poslovanja (87 odgovora), povećanje troškova poslovanja zbog jednakih rashoda i pada prihoda, nabave potrebne zaštitne opreme, veće nabavne cijene materijala ili pada kreditnog rejtinga (29 odgovora), gubitak klijenata radi pada potražnje ili obustave poslovanja suradnika (15 odgovora), nedostatak materijala zbog problema s nabavom ili propadanje materijala (10 odgovora), gomilanje ili propadanje zaliha proizvoda (8 odgovora), otkazivanje narudžbi (6 odgovora), obustava prometa (3 odgovora), problemi s naplatom (2 odgovora) i nedostatak ili odsustvo radne snage (1 odgovor). Da su rashodi ostali isti, da nema negativnih posljedica ili da su troškovi poslovanja pali odgovorilo je 9 ispitanih subjekata. Kako bi odgovori bili pregledniji, grupirani su još jednom i prikazani u tablici u nastavku.</w:t>
      </w:r>
    </w:p>
    <w:p w14:paraId="20F3855B" w14:textId="77777777" w:rsidR="00985EDB" w:rsidRPr="00985EDB" w:rsidRDefault="00985EDB" w:rsidP="00985EDB">
      <w:pPr>
        <w:rPr>
          <w:rFonts w:eastAsia="ArialNarrow"/>
        </w:rPr>
      </w:pPr>
    </w:p>
    <w:p w14:paraId="394FB0FA" w14:textId="3F0DD920" w:rsidR="00985EDB" w:rsidRPr="00985EDB" w:rsidRDefault="00985EDB" w:rsidP="00D2372E">
      <w:pPr>
        <w:pStyle w:val="Opisslike"/>
      </w:pPr>
      <w:r w:rsidRPr="00985EDB">
        <w:t xml:space="preserve">Tablica </w:t>
      </w:r>
      <w:r w:rsidR="00456F85">
        <w:t>101</w:t>
      </w:r>
      <w:r w:rsidRPr="00985EDB">
        <w:t>. Tip i intenzitet posljedica epidemiološke situacije</w:t>
      </w:r>
    </w:p>
    <w:tbl>
      <w:tblPr>
        <w:tblW w:w="9196" w:type="dxa"/>
        <w:jc w:val="center"/>
        <w:tblLook w:val="04A0" w:firstRow="1" w:lastRow="0" w:firstColumn="1" w:lastColumn="0" w:noHBand="0" w:noVBand="1"/>
      </w:tblPr>
      <w:tblGrid>
        <w:gridCol w:w="6435"/>
        <w:gridCol w:w="1346"/>
        <w:gridCol w:w="1415"/>
      </w:tblGrid>
      <w:tr w:rsidR="00985EDB" w:rsidRPr="00985EDB" w14:paraId="478E350A" w14:textId="77777777" w:rsidTr="00010F2B">
        <w:trPr>
          <w:trHeight w:val="336"/>
          <w:jc w:val="center"/>
        </w:trPr>
        <w:tc>
          <w:tcPr>
            <w:tcW w:w="6435"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41453426" w14:textId="77777777" w:rsidR="00985EDB" w:rsidRPr="00985EDB" w:rsidRDefault="00985EDB" w:rsidP="00985EDB">
            <w:pPr>
              <w:rPr>
                <w:rFonts w:eastAsia="ArialNarrow"/>
                <w:b/>
                <w:bCs/>
                <w:color w:val="FFFFFF" w:themeColor="background1"/>
              </w:rPr>
            </w:pPr>
            <w:r w:rsidRPr="00985EDB">
              <w:rPr>
                <w:rFonts w:eastAsia="ArialNarrow"/>
                <w:b/>
                <w:bCs/>
                <w:color w:val="FFFFFF" w:themeColor="background1"/>
              </w:rPr>
              <w:t>Problemi u poslovanju  </w:t>
            </w:r>
          </w:p>
        </w:tc>
        <w:tc>
          <w:tcPr>
            <w:tcW w:w="1346"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16EE5AAB" w14:textId="77777777" w:rsidR="00985EDB" w:rsidRPr="00985EDB" w:rsidRDefault="00985EDB" w:rsidP="00985EDB">
            <w:pPr>
              <w:rPr>
                <w:rFonts w:eastAsia="ArialNarrow"/>
                <w:b/>
                <w:bCs/>
                <w:color w:val="FFFFFF" w:themeColor="background1"/>
              </w:rPr>
            </w:pPr>
            <w:r w:rsidRPr="00985EDB">
              <w:rPr>
                <w:rFonts w:eastAsia="ArialNarrow"/>
                <w:b/>
                <w:bCs/>
                <w:color w:val="FFFFFF" w:themeColor="background1"/>
              </w:rPr>
              <w:t>Broj odgovora</w:t>
            </w:r>
          </w:p>
        </w:tc>
        <w:tc>
          <w:tcPr>
            <w:tcW w:w="1415" w:type="dxa"/>
            <w:tcBorders>
              <w:top w:val="nil"/>
              <w:left w:val="single" w:sz="8" w:space="0" w:color="D2232A" w:themeColor="accent1"/>
              <w:bottom w:val="nil"/>
              <w:right w:val="single" w:sz="8" w:space="0" w:color="FFFFFF" w:themeColor="background1"/>
            </w:tcBorders>
            <w:shd w:val="clear" w:color="auto" w:fill="D2232A" w:themeFill="accent1"/>
            <w:noWrap/>
            <w:vAlign w:val="center"/>
            <w:hideMark/>
          </w:tcPr>
          <w:p w14:paraId="511902D3" w14:textId="77777777" w:rsidR="00985EDB" w:rsidRPr="00985EDB" w:rsidRDefault="00985EDB" w:rsidP="00985EDB">
            <w:pPr>
              <w:rPr>
                <w:rFonts w:eastAsia="ArialNarrow"/>
                <w:b/>
                <w:bCs/>
                <w:color w:val="FFFFFF" w:themeColor="background1"/>
              </w:rPr>
            </w:pPr>
            <w:r w:rsidRPr="00985EDB">
              <w:rPr>
                <w:rFonts w:eastAsia="ArialNarrow"/>
                <w:b/>
                <w:bCs/>
                <w:color w:val="FFFFFF" w:themeColor="background1"/>
              </w:rPr>
              <w:t>Postotak</w:t>
            </w:r>
          </w:p>
        </w:tc>
      </w:tr>
      <w:tr w:rsidR="00985EDB" w:rsidRPr="00985EDB" w14:paraId="01D8D41D" w14:textId="77777777" w:rsidTr="00010F2B">
        <w:trPr>
          <w:trHeight w:val="350"/>
          <w:jc w:val="center"/>
        </w:trPr>
        <w:tc>
          <w:tcPr>
            <w:tcW w:w="6435" w:type="dxa"/>
            <w:tcBorders>
              <w:top w:val="nil"/>
              <w:left w:val="single" w:sz="8" w:space="0" w:color="D2232A" w:themeColor="accent1"/>
              <w:bottom w:val="single" w:sz="8" w:space="0" w:color="F3CFC1"/>
              <w:right w:val="nil"/>
            </w:tcBorders>
            <w:shd w:val="clear" w:color="auto" w:fill="auto"/>
            <w:noWrap/>
            <w:vAlign w:val="center"/>
            <w:hideMark/>
          </w:tcPr>
          <w:p w14:paraId="3595990D" w14:textId="77777777" w:rsidR="00985EDB" w:rsidRPr="00985EDB" w:rsidRDefault="00985EDB" w:rsidP="00985EDB">
            <w:pPr>
              <w:rPr>
                <w:rFonts w:eastAsia="ArialNarrow"/>
                <w:b/>
                <w:bCs/>
              </w:rPr>
            </w:pPr>
            <w:r w:rsidRPr="00985EDB">
              <w:rPr>
                <w:rFonts w:eastAsia="ArialNarrow"/>
                <w:b/>
                <w:bCs/>
              </w:rPr>
              <w:t>Smanjenje ili otežano poslovanje te pad prihoda</w:t>
            </w:r>
          </w:p>
        </w:tc>
        <w:tc>
          <w:tcPr>
            <w:tcW w:w="1346" w:type="dxa"/>
            <w:tcBorders>
              <w:top w:val="nil"/>
              <w:left w:val="nil"/>
              <w:bottom w:val="single" w:sz="8" w:space="0" w:color="F3CFC1"/>
              <w:right w:val="nil"/>
            </w:tcBorders>
            <w:shd w:val="clear" w:color="auto" w:fill="auto"/>
            <w:noWrap/>
            <w:vAlign w:val="center"/>
            <w:hideMark/>
          </w:tcPr>
          <w:p w14:paraId="471D4816" w14:textId="77777777" w:rsidR="00985EDB" w:rsidRPr="00985EDB" w:rsidRDefault="00985EDB" w:rsidP="00985EDB">
            <w:pPr>
              <w:rPr>
                <w:rFonts w:eastAsia="ArialNarrow"/>
              </w:rPr>
            </w:pPr>
            <w:r w:rsidRPr="00985EDB">
              <w:rPr>
                <w:rFonts w:eastAsia="ArialNarrow"/>
              </w:rPr>
              <w:t>87</w:t>
            </w:r>
          </w:p>
        </w:tc>
        <w:tc>
          <w:tcPr>
            <w:tcW w:w="1415" w:type="dxa"/>
            <w:tcBorders>
              <w:top w:val="nil"/>
              <w:left w:val="nil"/>
              <w:bottom w:val="single" w:sz="8" w:space="0" w:color="F3CFC1"/>
              <w:right w:val="nil"/>
            </w:tcBorders>
            <w:shd w:val="clear" w:color="auto" w:fill="auto"/>
            <w:noWrap/>
            <w:vAlign w:val="center"/>
            <w:hideMark/>
          </w:tcPr>
          <w:p w14:paraId="49634EF4" w14:textId="77777777" w:rsidR="00985EDB" w:rsidRPr="00985EDB" w:rsidRDefault="00985EDB" w:rsidP="00985EDB">
            <w:pPr>
              <w:rPr>
                <w:rFonts w:eastAsia="ArialNarrow"/>
              </w:rPr>
            </w:pPr>
            <w:r w:rsidRPr="00985EDB">
              <w:rPr>
                <w:rFonts w:eastAsia="ArialNarrow"/>
              </w:rPr>
              <w:t>53%</w:t>
            </w:r>
          </w:p>
        </w:tc>
      </w:tr>
      <w:tr w:rsidR="00985EDB" w:rsidRPr="00985EDB" w14:paraId="78A9D316" w14:textId="77777777" w:rsidTr="00010F2B">
        <w:trPr>
          <w:trHeight w:val="350"/>
          <w:jc w:val="center"/>
        </w:trPr>
        <w:tc>
          <w:tcPr>
            <w:tcW w:w="6435" w:type="dxa"/>
            <w:tcBorders>
              <w:top w:val="nil"/>
              <w:left w:val="single" w:sz="8" w:space="0" w:color="D2232A" w:themeColor="accent1"/>
              <w:bottom w:val="single" w:sz="8" w:space="0" w:color="F3CFC1"/>
              <w:right w:val="nil"/>
            </w:tcBorders>
            <w:shd w:val="clear" w:color="auto" w:fill="auto"/>
            <w:noWrap/>
            <w:vAlign w:val="center"/>
            <w:hideMark/>
          </w:tcPr>
          <w:p w14:paraId="764E1E78" w14:textId="77777777" w:rsidR="00985EDB" w:rsidRPr="00985EDB" w:rsidRDefault="00985EDB" w:rsidP="00985EDB">
            <w:pPr>
              <w:rPr>
                <w:rFonts w:eastAsia="ArialNarrow"/>
                <w:b/>
                <w:bCs/>
              </w:rPr>
            </w:pPr>
            <w:r w:rsidRPr="00985EDB">
              <w:rPr>
                <w:rFonts w:eastAsia="ArialNarrow"/>
                <w:b/>
                <w:bCs/>
              </w:rPr>
              <w:t>Povećanje troškova poslovanja</w:t>
            </w:r>
          </w:p>
        </w:tc>
        <w:tc>
          <w:tcPr>
            <w:tcW w:w="1346" w:type="dxa"/>
            <w:tcBorders>
              <w:top w:val="nil"/>
              <w:left w:val="nil"/>
              <w:bottom w:val="single" w:sz="8" w:space="0" w:color="F3CFC1"/>
              <w:right w:val="nil"/>
            </w:tcBorders>
            <w:shd w:val="clear" w:color="auto" w:fill="auto"/>
            <w:noWrap/>
            <w:vAlign w:val="center"/>
            <w:hideMark/>
          </w:tcPr>
          <w:p w14:paraId="2DF3DBCE" w14:textId="77777777" w:rsidR="00985EDB" w:rsidRPr="00985EDB" w:rsidRDefault="00985EDB" w:rsidP="00985EDB">
            <w:pPr>
              <w:rPr>
                <w:rFonts w:eastAsia="ArialNarrow"/>
              </w:rPr>
            </w:pPr>
            <w:r w:rsidRPr="00985EDB">
              <w:rPr>
                <w:rFonts w:eastAsia="ArialNarrow"/>
              </w:rPr>
              <w:t>29</w:t>
            </w:r>
          </w:p>
        </w:tc>
        <w:tc>
          <w:tcPr>
            <w:tcW w:w="1415" w:type="dxa"/>
            <w:tcBorders>
              <w:top w:val="nil"/>
              <w:left w:val="nil"/>
              <w:bottom w:val="single" w:sz="8" w:space="0" w:color="F3CFC1"/>
              <w:right w:val="nil"/>
            </w:tcBorders>
            <w:shd w:val="clear" w:color="auto" w:fill="auto"/>
            <w:noWrap/>
            <w:vAlign w:val="center"/>
            <w:hideMark/>
          </w:tcPr>
          <w:p w14:paraId="7F444220" w14:textId="77777777" w:rsidR="00985EDB" w:rsidRPr="00985EDB" w:rsidRDefault="00985EDB" w:rsidP="00985EDB">
            <w:pPr>
              <w:rPr>
                <w:rFonts w:eastAsia="ArialNarrow"/>
              </w:rPr>
            </w:pPr>
            <w:r w:rsidRPr="00985EDB">
              <w:rPr>
                <w:rFonts w:eastAsia="ArialNarrow"/>
              </w:rPr>
              <w:t>18%</w:t>
            </w:r>
          </w:p>
        </w:tc>
      </w:tr>
      <w:tr w:rsidR="00985EDB" w:rsidRPr="00985EDB" w14:paraId="79826EFA" w14:textId="77777777" w:rsidTr="00010F2B">
        <w:trPr>
          <w:trHeight w:val="350"/>
          <w:jc w:val="center"/>
        </w:trPr>
        <w:tc>
          <w:tcPr>
            <w:tcW w:w="6435" w:type="dxa"/>
            <w:tcBorders>
              <w:top w:val="nil"/>
              <w:left w:val="single" w:sz="8" w:space="0" w:color="D2232A" w:themeColor="accent1"/>
              <w:bottom w:val="single" w:sz="8" w:space="0" w:color="F3CFC1"/>
              <w:right w:val="nil"/>
            </w:tcBorders>
            <w:shd w:val="clear" w:color="auto" w:fill="auto"/>
            <w:noWrap/>
            <w:vAlign w:val="center"/>
            <w:hideMark/>
          </w:tcPr>
          <w:p w14:paraId="2613F0CC" w14:textId="77777777" w:rsidR="00985EDB" w:rsidRPr="00985EDB" w:rsidRDefault="00985EDB" w:rsidP="00985EDB">
            <w:pPr>
              <w:rPr>
                <w:rFonts w:eastAsia="ArialNarrow"/>
                <w:b/>
                <w:bCs/>
              </w:rPr>
            </w:pPr>
            <w:r w:rsidRPr="00985EDB">
              <w:rPr>
                <w:rFonts w:eastAsia="ArialNarrow"/>
                <w:b/>
                <w:bCs/>
              </w:rPr>
              <w:t>Gubitak klijenata ili narudžbi</w:t>
            </w:r>
          </w:p>
        </w:tc>
        <w:tc>
          <w:tcPr>
            <w:tcW w:w="1346" w:type="dxa"/>
            <w:tcBorders>
              <w:top w:val="nil"/>
              <w:left w:val="nil"/>
              <w:bottom w:val="single" w:sz="8" w:space="0" w:color="F3CFC1"/>
              <w:right w:val="nil"/>
            </w:tcBorders>
            <w:shd w:val="clear" w:color="auto" w:fill="auto"/>
            <w:noWrap/>
            <w:vAlign w:val="center"/>
            <w:hideMark/>
          </w:tcPr>
          <w:p w14:paraId="66099B0C" w14:textId="77777777" w:rsidR="00985EDB" w:rsidRPr="00985EDB" w:rsidRDefault="00985EDB" w:rsidP="00985EDB">
            <w:pPr>
              <w:rPr>
                <w:rFonts w:eastAsia="ArialNarrow"/>
              </w:rPr>
            </w:pPr>
            <w:r w:rsidRPr="00985EDB">
              <w:rPr>
                <w:rFonts w:eastAsia="ArialNarrow"/>
              </w:rPr>
              <w:t>21</w:t>
            </w:r>
          </w:p>
        </w:tc>
        <w:tc>
          <w:tcPr>
            <w:tcW w:w="1415" w:type="dxa"/>
            <w:tcBorders>
              <w:top w:val="nil"/>
              <w:left w:val="nil"/>
              <w:bottom w:val="single" w:sz="8" w:space="0" w:color="F3CFC1"/>
              <w:right w:val="nil"/>
            </w:tcBorders>
            <w:shd w:val="clear" w:color="auto" w:fill="auto"/>
            <w:noWrap/>
            <w:vAlign w:val="center"/>
            <w:hideMark/>
          </w:tcPr>
          <w:p w14:paraId="198E0C81" w14:textId="77777777" w:rsidR="00985EDB" w:rsidRPr="00985EDB" w:rsidRDefault="00985EDB" w:rsidP="00985EDB">
            <w:pPr>
              <w:rPr>
                <w:rFonts w:eastAsia="ArialNarrow"/>
              </w:rPr>
            </w:pPr>
            <w:r w:rsidRPr="00985EDB">
              <w:rPr>
                <w:rFonts w:eastAsia="ArialNarrow"/>
              </w:rPr>
              <w:t>13%</w:t>
            </w:r>
          </w:p>
        </w:tc>
      </w:tr>
      <w:tr w:rsidR="00985EDB" w:rsidRPr="00985EDB" w14:paraId="55BEB11F" w14:textId="77777777" w:rsidTr="00010F2B">
        <w:trPr>
          <w:trHeight w:val="350"/>
          <w:jc w:val="center"/>
        </w:trPr>
        <w:tc>
          <w:tcPr>
            <w:tcW w:w="6435" w:type="dxa"/>
            <w:tcBorders>
              <w:top w:val="nil"/>
              <w:left w:val="single" w:sz="8" w:space="0" w:color="D2232A" w:themeColor="accent1"/>
              <w:bottom w:val="single" w:sz="8" w:space="0" w:color="F3CFC1"/>
              <w:right w:val="nil"/>
            </w:tcBorders>
            <w:shd w:val="clear" w:color="auto" w:fill="auto"/>
            <w:noWrap/>
            <w:vAlign w:val="center"/>
            <w:hideMark/>
          </w:tcPr>
          <w:p w14:paraId="1BE85CEA" w14:textId="77777777" w:rsidR="00985EDB" w:rsidRPr="00985EDB" w:rsidRDefault="00985EDB" w:rsidP="00985EDB">
            <w:pPr>
              <w:rPr>
                <w:rFonts w:eastAsia="ArialNarrow"/>
                <w:b/>
                <w:bCs/>
              </w:rPr>
            </w:pPr>
            <w:r w:rsidRPr="00985EDB">
              <w:rPr>
                <w:rFonts w:eastAsia="ArialNarrow"/>
                <w:b/>
                <w:bCs/>
              </w:rPr>
              <w:t>Nedostatak ili propadanje materijala</w:t>
            </w:r>
          </w:p>
        </w:tc>
        <w:tc>
          <w:tcPr>
            <w:tcW w:w="1346" w:type="dxa"/>
            <w:tcBorders>
              <w:top w:val="nil"/>
              <w:left w:val="nil"/>
              <w:bottom w:val="single" w:sz="8" w:space="0" w:color="F3CFC1"/>
              <w:right w:val="nil"/>
            </w:tcBorders>
            <w:shd w:val="clear" w:color="auto" w:fill="auto"/>
            <w:noWrap/>
            <w:vAlign w:val="center"/>
            <w:hideMark/>
          </w:tcPr>
          <w:p w14:paraId="3C414CA8" w14:textId="77777777" w:rsidR="00985EDB" w:rsidRPr="00985EDB" w:rsidRDefault="00985EDB" w:rsidP="00985EDB">
            <w:pPr>
              <w:rPr>
                <w:rFonts w:eastAsia="ArialNarrow"/>
              </w:rPr>
            </w:pPr>
            <w:r w:rsidRPr="00985EDB">
              <w:rPr>
                <w:rFonts w:eastAsia="ArialNarrow"/>
              </w:rPr>
              <w:t>10</w:t>
            </w:r>
          </w:p>
        </w:tc>
        <w:tc>
          <w:tcPr>
            <w:tcW w:w="1415" w:type="dxa"/>
            <w:tcBorders>
              <w:top w:val="nil"/>
              <w:left w:val="nil"/>
              <w:bottom w:val="single" w:sz="8" w:space="0" w:color="F3CFC1"/>
              <w:right w:val="nil"/>
            </w:tcBorders>
            <w:shd w:val="clear" w:color="auto" w:fill="auto"/>
            <w:noWrap/>
            <w:vAlign w:val="center"/>
            <w:hideMark/>
          </w:tcPr>
          <w:p w14:paraId="3026A618" w14:textId="77777777" w:rsidR="00985EDB" w:rsidRPr="00985EDB" w:rsidRDefault="00985EDB" w:rsidP="00985EDB">
            <w:pPr>
              <w:rPr>
                <w:rFonts w:eastAsia="ArialNarrow"/>
              </w:rPr>
            </w:pPr>
            <w:r w:rsidRPr="00985EDB">
              <w:rPr>
                <w:rFonts w:eastAsia="ArialNarrow"/>
              </w:rPr>
              <w:t>6%</w:t>
            </w:r>
          </w:p>
        </w:tc>
      </w:tr>
      <w:tr w:rsidR="00985EDB" w:rsidRPr="00985EDB" w14:paraId="4C7BBE6E" w14:textId="77777777" w:rsidTr="00010F2B">
        <w:trPr>
          <w:trHeight w:val="350"/>
          <w:jc w:val="center"/>
        </w:trPr>
        <w:tc>
          <w:tcPr>
            <w:tcW w:w="6435" w:type="dxa"/>
            <w:tcBorders>
              <w:top w:val="nil"/>
              <w:left w:val="single" w:sz="8" w:space="0" w:color="D2232A" w:themeColor="accent1"/>
              <w:bottom w:val="single" w:sz="8" w:space="0" w:color="F3CFC1"/>
              <w:right w:val="nil"/>
            </w:tcBorders>
            <w:shd w:val="clear" w:color="auto" w:fill="auto"/>
            <w:noWrap/>
            <w:vAlign w:val="center"/>
            <w:hideMark/>
          </w:tcPr>
          <w:p w14:paraId="0F9DDA44" w14:textId="77777777" w:rsidR="00985EDB" w:rsidRPr="00985EDB" w:rsidRDefault="00985EDB" w:rsidP="00985EDB">
            <w:pPr>
              <w:rPr>
                <w:rFonts w:eastAsia="ArialNarrow"/>
                <w:b/>
                <w:bCs/>
              </w:rPr>
            </w:pPr>
            <w:r w:rsidRPr="00985EDB">
              <w:rPr>
                <w:rFonts w:eastAsia="ArialNarrow"/>
                <w:b/>
                <w:bCs/>
              </w:rPr>
              <w:t>Nema negativnih ili javljanje pozitivnih učinaka</w:t>
            </w:r>
          </w:p>
        </w:tc>
        <w:tc>
          <w:tcPr>
            <w:tcW w:w="1346" w:type="dxa"/>
            <w:tcBorders>
              <w:top w:val="nil"/>
              <w:left w:val="nil"/>
              <w:bottom w:val="single" w:sz="8" w:space="0" w:color="F3CFC1"/>
              <w:right w:val="nil"/>
            </w:tcBorders>
            <w:shd w:val="clear" w:color="auto" w:fill="auto"/>
            <w:noWrap/>
            <w:vAlign w:val="center"/>
            <w:hideMark/>
          </w:tcPr>
          <w:p w14:paraId="35CB1AAD" w14:textId="77777777" w:rsidR="00985EDB" w:rsidRPr="00985EDB" w:rsidRDefault="00985EDB" w:rsidP="00985EDB">
            <w:pPr>
              <w:rPr>
                <w:rFonts w:eastAsia="ArialNarrow"/>
              </w:rPr>
            </w:pPr>
            <w:r w:rsidRPr="00985EDB">
              <w:rPr>
                <w:rFonts w:eastAsia="ArialNarrow"/>
              </w:rPr>
              <w:t>9</w:t>
            </w:r>
          </w:p>
        </w:tc>
        <w:tc>
          <w:tcPr>
            <w:tcW w:w="1415" w:type="dxa"/>
            <w:tcBorders>
              <w:top w:val="nil"/>
              <w:left w:val="nil"/>
              <w:bottom w:val="single" w:sz="8" w:space="0" w:color="F3CFC1"/>
              <w:right w:val="nil"/>
            </w:tcBorders>
            <w:shd w:val="clear" w:color="auto" w:fill="auto"/>
            <w:noWrap/>
            <w:vAlign w:val="center"/>
            <w:hideMark/>
          </w:tcPr>
          <w:p w14:paraId="4BCB2C9F" w14:textId="77777777" w:rsidR="00985EDB" w:rsidRPr="00985EDB" w:rsidRDefault="00985EDB" w:rsidP="00985EDB">
            <w:pPr>
              <w:rPr>
                <w:rFonts w:eastAsia="ArialNarrow"/>
              </w:rPr>
            </w:pPr>
            <w:r w:rsidRPr="00985EDB">
              <w:rPr>
                <w:rFonts w:eastAsia="ArialNarrow"/>
              </w:rPr>
              <w:t>5%</w:t>
            </w:r>
          </w:p>
        </w:tc>
      </w:tr>
      <w:tr w:rsidR="00985EDB" w:rsidRPr="00985EDB" w14:paraId="75709C27" w14:textId="77777777" w:rsidTr="00010F2B">
        <w:trPr>
          <w:trHeight w:val="350"/>
          <w:jc w:val="center"/>
        </w:trPr>
        <w:tc>
          <w:tcPr>
            <w:tcW w:w="6435" w:type="dxa"/>
            <w:tcBorders>
              <w:top w:val="nil"/>
              <w:left w:val="single" w:sz="8" w:space="0" w:color="D2232A" w:themeColor="accent1"/>
              <w:bottom w:val="single" w:sz="8" w:space="0" w:color="F3CFC1"/>
              <w:right w:val="nil"/>
            </w:tcBorders>
            <w:shd w:val="clear" w:color="auto" w:fill="auto"/>
            <w:noWrap/>
            <w:vAlign w:val="center"/>
            <w:hideMark/>
          </w:tcPr>
          <w:p w14:paraId="424566AA" w14:textId="77777777" w:rsidR="00985EDB" w:rsidRPr="00985EDB" w:rsidRDefault="00985EDB" w:rsidP="00985EDB">
            <w:pPr>
              <w:rPr>
                <w:rFonts w:eastAsia="ArialNarrow"/>
                <w:b/>
                <w:bCs/>
              </w:rPr>
            </w:pPr>
            <w:r w:rsidRPr="00985EDB">
              <w:rPr>
                <w:rFonts w:eastAsia="ArialNarrow"/>
                <w:b/>
                <w:bCs/>
              </w:rPr>
              <w:t>Gomilanje ili propadanje zaliha proizvoda</w:t>
            </w:r>
          </w:p>
        </w:tc>
        <w:tc>
          <w:tcPr>
            <w:tcW w:w="1346" w:type="dxa"/>
            <w:tcBorders>
              <w:top w:val="nil"/>
              <w:left w:val="nil"/>
              <w:bottom w:val="single" w:sz="8" w:space="0" w:color="F3CFC1"/>
              <w:right w:val="nil"/>
            </w:tcBorders>
            <w:shd w:val="clear" w:color="auto" w:fill="auto"/>
            <w:noWrap/>
            <w:vAlign w:val="center"/>
            <w:hideMark/>
          </w:tcPr>
          <w:p w14:paraId="7B806664" w14:textId="77777777" w:rsidR="00985EDB" w:rsidRPr="00985EDB" w:rsidRDefault="00985EDB" w:rsidP="00985EDB">
            <w:pPr>
              <w:rPr>
                <w:rFonts w:eastAsia="ArialNarrow"/>
              </w:rPr>
            </w:pPr>
            <w:r w:rsidRPr="00985EDB">
              <w:rPr>
                <w:rFonts w:eastAsia="ArialNarrow"/>
              </w:rPr>
              <w:t>8</w:t>
            </w:r>
          </w:p>
        </w:tc>
        <w:tc>
          <w:tcPr>
            <w:tcW w:w="1415" w:type="dxa"/>
            <w:tcBorders>
              <w:top w:val="nil"/>
              <w:left w:val="nil"/>
              <w:bottom w:val="single" w:sz="8" w:space="0" w:color="F3CFC1"/>
              <w:right w:val="nil"/>
            </w:tcBorders>
            <w:shd w:val="clear" w:color="auto" w:fill="auto"/>
            <w:noWrap/>
            <w:vAlign w:val="center"/>
            <w:hideMark/>
          </w:tcPr>
          <w:p w14:paraId="07E4F3FB" w14:textId="77777777" w:rsidR="00985EDB" w:rsidRPr="00985EDB" w:rsidRDefault="00985EDB" w:rsidP="00985EDB">
            <w:pPr>
              <w:rPr>
                <w:rFonts w:eastAsia="ArialNarrow"/>
              </w:rPr>
            </w:pPr>
            <w:r w:rsidRPr="00985EDB">
              <w:rPr>
                <w:rFonts w:eastAsia="ArialNarrow"/>
              </w:rPr>
              <w:t>5%</w:t>
            </w:r>
          </w:p>
        </w:tc>
      </w:tr>
    </w:tbl>
    <w:p w14:paraId="7C23784E" w14:textId="1DC5C584" w:rsidR="00985EDB" w:rsidRDefault="00985EDB" w:rsidP="00985EDB">
      <w:pPr>
        <w:rPr>
          <w:rFonts w:eastAsia="ArialNarrow"/>
        </w:rPr>
      </w:pPr>
    </w:p>
    <w:p w14:paraId="279DCF82" w14:textId="06070A5E" w:rsidR="00010F2B" w:rsidRPr="00010F2B" w:rsidRDefault="00010F2B" w:rsidP="00010F2B">
      <w:pPr>
        <w:rPr>
          <w:rFonts w:eastAsia="ArialNarrow"/>
        </w:rPr>
      </w:pPr>
      <w:r w:rsidRPr="00010F2B">
        <w:rPr>
          <w:rFonts w:eastAsia="ArialNarrow"/>
        </w:rPr>
        <w:t xml:space="preserve">Zbog epidemioloških mjera koje su poslodavci morali provesti ili </w:t>
      </w:r>
      <w:r>
        <w:rPr>
          <w:rFonts w:eastAsia="ArialNarrow"/>
        </w:rPr>
        <w:t>su u trenutku anketiranja provodili</w:t>
      </w:r>
      <w:r w:rsidRPr="00010F2B">
        <w:rPr>
          <w:rFonts w:eastAsia="ArialNarrow"/>
        </w:rPr>
        <w:t>, 89% nije moralo otpustiti djelatnike. Od ostalih 11% (12 subjekata), njih 10 su mikro i mali obrti te ih je većina otpustila 1 zaposlenog. Navedeni razlozi su nemogućnost nastavka poslovanja radi pada prometa ili prisilne obustave rada poslovnog subjekta. Od tih 10 subjekata, 5 je odgovorilo kako ne očekuju povratak otpuštenih djelatnika/djelatnika na čekanju kada se za to stvore uvjeti, 5 je odgovorilo kako očekuje povratak, 1 je odgovorio kako ne zna te 1 kako su se već djelatnici vratili.</w:t>
      </w:r>
    </w:p>
    <w:p w14:paraId="6C2E81EB" w14:textId="77777777" w:rsidR="00010F2B" w:rsidRPr="00010F2B" w:rsidRDefault="00010F2B" w:rsidP="00010F2B">
      <w:pPr>
        <w:rPr>
          <w:rFonts w:eastAsia="ArialNarrow"/>
        </w:rPr>
      </w:pPr>
    </w:p>
    <w:p w14:paraId="4F3B1074" w14:textId="22F4B5E1" w:rsidR="00010F2B" w:rsidRPr="00010F2B" w:rsidRDefault="00010F2B" w:rsidP="00010F2B">
      <w:pPr>
        <w:pStyle w:val="Opisslike"/>
      </w:pPr>
      <w:r w:rsidRPr="00010F2B">
        <w:t xml:space="preserve">Tablica </w:t>
      </w:r>
      <w:r w:rsidR="00456F85">
        <w:t>102</w:t>
      </w:r>
      <w:r w:rsidRPr="00010F2B">
        <w:t>. Kretanje zaposlenih pri subjektima koji su morali otpuštati djelatnike</w:t>
      </w:r>
    </w:p>
    <w:tbl>
      <w:tblPr>
        <w:tblW w:w="9099" w:type="dxa"/>
        <w:jc w:val="center"/>
        <w:tblLook w:val="04A0" w:firstRow="1" w:lastRow="0" w:firstColumn="1" w:lastColumn="0" w:noHBand="0" w:noVBand="1"/>
      </w:tblPr>
      <w:tblGrid>
        <w:gridCol w:w="1137"/>
        <w:gridCol w:w="1730"/>
        <w:gridCol w:w="843"/>
        <w:gridCol w:w="1288"/>
        <w:gridCol w:w="1339"/>
        <w:gridCol w:w="1516"/>
        <w:gridCol w:w="1246"/>
      </w:tblGrid>
      <w:tr w:rsidR="00010F2B" w:rsidRPr="00010F2B" w14:paraId="53B45DFE" w14:textId="77777777" w:rsidTr="00010F2B">
        <w:trPr>
          <w:trHeight w:val="283"/>
          <w:jc w:val="center"/>
        </w:trPr>
        <w:tc>
          <w:tcPr>
            <w:tcW w:w="1137" w:type="dxa"/>
            <w:tcBorders>
              <w:top w:val="nil"/>
              <w:left w:val="single" w:sz="8" w:space="0" w:color="D2232A" w:themeColor="accent1"/>
              <w:bottom w:val="nil"/>
              <w:right w:val="single" w:sz="4" w:space="0" w:color="FFFFFF" w:themeColor="background1"/>
            </w:tcBorders>
            <w:shd w:val="clear" w:color="auto" w:fill="D2232A" w:themeFill="accent1"/>
            <w:noWrap/>
            <w:vAlign w:val="center"/>
            <w:hideMark/>
          </w:tcPr>
          <w:p w14:paraId="27F30430" w14:textId="77777777" w:rsidR="00010F2B" w:rsidRPr="00010F2B" w:rsidRDefault="00010F2B" w:rsidP="00010F2B">
            <w:pPr>
              <w:jc w:val="center"/>
              <w:rPr>
                <w:rFonts w:eastAsia="ArialNarrow"/>
                <w:b/>
                <w:bCs/>
                <w:color w:val="FFFFFF" w:themeColor="background1"/>
              </w:rPr>
            </w:pPr>
            <w:r w:rsidRPr="00010F2B">
              <w:rPr>
                <w:rFonts w:eastAsia="ArialNarrow"/>
                <w:b/>
                <w:bCs/>
                <w:color w:val="FFFFFF" w:themeColor="background1"/>
              </w:rPr>
              <w:t>Vrsta</w:t>
            </w:r>
          </w:p>
        </w:tc>
        <w:tc>
          <w:tcPr>
            <w:tcW w:w="1730" w:type="dxa"/>
            <w:tcBorders>
              <w:top w:val="nil"/>
              <w:left w:val="single" w:sz="4" w:space="0" w:color="FFFFFF" w:themeColor="background1"/>
              <w:bottom w:val="nil"/>
              <w:right w:val="single" w:sz="4" w:space="0" w:color="FFFFFF" w:themeColor="background1"/>
            </w:tcBorders>
            <w:shd w:val="clear" w:color="auto" w:fill="D2232A" w:themeFill="accent1"/>
            <w:noWrap/>
            <w:vAlign w:val="center"/>
            <w:hideMark/>
          </w:tcPr>
          <w:p w14:paraId="30F47B4E" w14:textId="77777777" w:rsidR="00010F2B" w:rsidRPr="00010F2B" w:rsidRDefault="00010F2B" w:rsidP="00010F2B">
            <w:pPr>
              <w:jc w:val="center"/>
              <w:rPr>
                <w:rFonts w:eastAsia="ArialNarrow"/>
                <w:b/>
                <w:bCs/>
                <w:color w:val="FFFFFF" w:themeColor="background1"/>
              </w:rPr>
            </w:pPr>
            <w:r w:rsidRPr="00010F2B">
              <w:rPr>
                <w:rFonts w:eastAsia="ArialNarrow"/>
                <w:b/>
                <w:bCs/>
                <w:color w:val="FFFFFF" w:themeColor="background1"/>
              </w:rPr>
              <w:t>Glavna djelatnost</w:t>
            </w:r>
          </w:p>
        </w:tc>
        <w:tc>
          <w:tcPr>
            <w:tcW w:w="843" w:type="dxa"/>
            <w:tcBorders>
              <w:top w:val="nil"/>
              <w:left w:val="single" w:sz="4" w:space="0" w:color="FFFFFF" w:themeColor="background1"/>
              <w:bottom w:val="nil"/>
              <w:right w:val="single" w:sz="4" w:space="0" w:color="FFFFFF" w:themeColor="background1"/>
            </w:tcBorders>
            <w:shd w:val="clear" w:color="auto" w:fill="D2232A" w:themeFill="accent1"/>
            <w:noWrap/>
            <w:vAlign w:val="center"/>
            <w:hideMark/>
          </w:tcPr>
          <w:p w14:paraId="2E2B3F52" w14:textId="77777777" w:rsidR="00010F2B" w:rsidRPr="00010F2B" w:rsidRDefault="00010F2B" w:rsidP="00010F2B">
            <w:pPr>
              <w:jc w:val="center"/>
              <w:rPr>
                <w:rFonts w:eastAsia="ArialNarrow"/>
                <w:b/>
                <w:bCs/>
                <w:color w:val="FFFFFF" w:themeColor="background1"/>
              </w:rPr>
            </w:pPr>
            <w:r w:rsidRPr="00010F2B">
              <w:rPr>
                <w:rFonts w:eastAsia="ArialNarrow"/>
                <w:b/>
                <w:bCs/>
                <w:color w:val="FFFFFF" w:themeColor="background1"/>
              </w:rPr>
              <w:t>Veličina</w:t>
            </w:r>
          </w:p>
        </w:tc>
        <w:tc>
          <w:tcPr>
            <w:tcW w:w="1288" w:type="dxa"/>
            <w:tcBorders>
              <w:top w:val="nil"/>
              <w:left w:val="single" w:sz="4" w:space="0" w:color="FFFFFF" w:themeColor="background1"/>
              <w:bottom w:val="nil"/>
              <w:right w:val="single" w:sz="8" w:space="0" w:color="FFFFFF" w:themeColor="background1"/>
            </w:tcBorders>
            <w:shd w:val="clear" w:color="auto" w:fill="D2232A" w:themeFill="accent1"/>
            <w:noWrap/>
            <w:vAlign w:val="center"/>
            <w:hideMark/>
          </w:tcPr>
          <w:p w14:paraId="4C28FA6A" w14:textId="322784DB" w:rsidR="00010F2B" w:rsidRPr="00010F2B" w:rsidRDefault="00010F2B" w:rsidP="00010F2B">
            <w:pPr>
              <w:jc w:val="center"/>
              <w:rPr>
                <w:rFonts w:eastAsia="ArialNarrow"/>
                <w:b/>
                <w:bCs/>
                <w:color w:val="FFFFFF" w:themeColor="background1"/>
              </w:rPr>
            </w:pPr>
            <w:r w:rsidRPr="00010F2B">
              <w:rPr>
                <w:rFonts w:eastAsia="ArialNarrow"/>
                <w:b/>
                <w:bCs/>
                <w:color w:val="FFFFFF" w:themeColor="background1"/>
              </w:rPr>
              <w:t>Učinak epid</w:t>
            </w:r>
            <w:r>
              <w:rPr>
                <w:rFonts w:eastAsia="ArialNarrow"/>
                <w:b/>
                <w:bCs/>
                <w:color w:val="FFFFFF" w:themeColor="background1"/>
              </w:rPr>
              <w:t>e</w:t>
            </w:r>
            <w:r w:rsidRPr="00010F2B">
              <w:rPr>
                <w:rFonts w:eastAsia="ArialNarrow"/>
                <w:b/>
                <w:bCs/>
                <w:color w:val="FFFFFF" w:themeColor="background1"/>
              </w:rPr>
              <w:t>. mjera na poslovanje</w:t>
            </w:r>
          </w:p>
        </w:tc>
        <w:tc>
          <w:tcPr>
            <w:tcW w:w="1339" w:type="dxa"/>
            <w:tcBorders>
              <w:top w:val="nil"/>
              <w:left w:val="single" w:sz="8" w:space="0" w:color="D2232A" w:themeColor="accent1"/>
              <w:bottom w:val="nil"/>
              <w:right w:val="single" w:sz="4" w:space="0" w:color="FFFFFF" w:themeColor="background1"/>
            </w:tcBorders>
            <w:shd w:val="clear" w:color="auto" w:fill="D2232A" w:themeFill="accent1"/>
            <w:noWrap/>
            <w:vAlign w:val="center"/>
            <w:hideMark/>
          </w:tcPr>
          <w:p w14:paraId="5B1B953D" w14:textId="77777777" w:rsidR="00010F2B" w:rsidRPr="00010F2B" w:rsidRDefault="00010F2B" w:rsidP="00010F2B">
            <w:pPr>
              <w:jc w:val="center"/>
              <w:rPr>
                <w:rFonts w:eastAsia="ArialNarrow"/>
                <w:b/>
                <w:bCs/>
                <w:color w:val="FFFFFF" w:themeColor="background1"/>
              </w:rPr>
            </w:pPr>
            <w:r w:rsidRPr="00010F2B">
              <w:rPr>
                <w:rFonts w:eastAsia="ArialNarrow"/>
                <w:b/>
                <w:bCs/>
                <w:color w:val="FFFFFF" w:themeColor="background1"/>
              </w:rPr>
              <w:t>Br. otpuštenih ili djelatnika na čekanju</w:t>
            </w:r>
          </w:p>
        </w:tc>
        <w:tc>
          <w:tcPr>
            <w:tcW w:w="1516" w:type="dxa"/>
            <w:tcBorders>
              <w:top w:val="nil"/>
              <w:left w:val="single" w:sz="4" w:space="0" w:color="FFFFFF" w:themeColor="background1"/>
              <w:bottom w:val="nil"/>
              <w:right w:val="single" w:sz="4" w:space="0" w:color="FFFFFF" w:themeColor="background1"/>
            </w:tcBorders>
            <w:shd w:val="clear" w:color="auto" w:fill="D2232A" w:themeFill="accent1"/>
            <w:noWrap/>
            <w:vAlign w:val="center"/>
            <w:hideMark/>
          </w:tcPr>
          <w:p w14:paraId="4C39321B" w14:textId="77777777" w:rsidR="00010F2B" w:rsidRPr="00010F2B" w:rsidRDefault="00010F2B" w:rsidP="00010F2B">
            <w:pPr>
              <w:jc w:val="center"/>
              <w:rPr>
                <w:rFonts w:eastAsia="ArialNarrow"/>
                <w:b/>
                <w:bCs/>
                <w:color w:val="FFFFFF" w:themeColor="background1"/>
              </w:rPr>
            </w:pPr>
            <w:r w:rsidRPr="00010F2B">
              <w:rPr>
                <w:rFonts w:eastAsia="ArialNarrow"/>
                <w:b/>
                <w:bCs/>
                <w:color w:val="FFFFFF" w:themeColor="background1"/>
              </w:rPr>
              <w:t>Razlog otpuštanja djelatnika</w:t>
            </w:r>
          </w:p>
        </w:tc>
        <w:tc>
          <w:tcPr>
            <w:tcW w:w="1246" w:type="dxa"/>
            <w:tcBorders>
              <w:top w:val="nil"/>
              <w:left w:val="single" w:sz="4" w:space="0" w:color="FFFFFF" w:themeColor="background1"/>
              <w:bottom w:val="nil"/>
              <w:right w:val="single" w:sz="8" w:space="0" w:color="FFFFFF" w:themeColor="background1"/>
            </w:tcBorders>
            <w:shd w:val="clear" w:color="auto" w:fill="D2232A" w:themeFill="accent1"/>
            <w:noWrap/>
            <w:vAlign w:val="center"/>
            <w:hideMark/>
          </w:tcPr>
          <w:p w14:paraId="494413B2" w14:textId="77777777" w:rsidR="00010F2B" w:rsidRPr="00010F2B" w:rsidRDefault="00010F2B" w:rsidP="00010F2B">
            <w:pPr>
              <w:jc w:val="center"/>
              <w:rPr>
                <w:rFonts w:eastAsia="ArialNarrow"/>
                <w:b/>
                <w:bCs/>
                <w:color w:val="FFFFFF" w:themeColor="background1"/>
              </w:rPr>
            </w:pPr>
            <w:r w:rsidRPr="00010F2B">
              <w:rPr>
                <w:rFonts w:eastAsia="ArialNarrow"/>
                <w:b/>
                <w:bCs/>
                <w:color w:val="FFFFFF" w:themeColor="background1"/>
              </w:rPr>
              <w:t>Očekivanje povratka otpuštenih</w:t>
            </w:r>
          </w:p>
        </w:tc>
      </w:tr>
      <w:tr w:rsidR="00010F2B" w:rsidRPr="00010F2B" w14:paraId="4CA96A25"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4986BA4E"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50A624CB" w14:textId="77777777" w:rsidR="00010F2B" w:rsidRPr="00010F2B" w:rsidRDefault="00010F2B" w:rsidP="00010F2B">
            <w:pPr>
              <w:jc w:val="center"/>
              <w:rPr>
                <w:rFonts w:eastAsia="ArialNarrow"/>
              </w:rPr>
            </w:pPr>
            <w:r w:rsidRPr="00010F2B">
              <w:rPr>
                <w:rFonts w:eastAsia="ArialNarrow"/>
              </w:rPr>
              <w:t>Fizičke osobe bez djelatnosti</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10DE4D26" w14:textId="77777777" w:rsidR="00010F2B" w:rsidRPr="00010F2B" w:rsidRDefault="00010F2B" w:rsidP="00010F2B">
            <w:pPr>
              <w:jc w:val="center"/>
              <w:rPr>
                <w:rFonts w:eastAsia="ArialNarrow"/>
              </w:rPr>
            </w:pPr>
            <w:r w:rsidRPr="00010F2B">
              <w:rPr>
                <w:rFonts w:eastAsia="ArialNarrow"/>
              </w:rPr>
              <w:t>mikro</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3B4276A2" w14:textId="77777777" w:rsidR="00010F2B" w:rsidRPr="00010F2B" w:rsidRDefault="00010F2B" w:rsidP="00010F2B">
            <w:pPr>
              <w:jc w:val="center"/>
              <w:rPr>
                <w:rFonts w:eastAsia="ArialNarrow"/>
              </w:rPr>
            </w:pPr>
            <w:r w:rsidRPr="00010F2B">
              <w:rPr>
                <w:rFonts w:eastAsia="ArialNarrow"/>
              </w:rPr>
              <w:t>Srednji</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FCDF7CB" w14:textId="77777777" w:rsidR="00010F2B" w:rsidRPr="00010F2B" w:rsidRDefault="00010F2B" w:rsidP="00010F2B">
            <w:pPr>
              <w:jc w:val="center"/>
              <w:rPr>
                <w:rFonts w:eastAsia="ArialNarrow"/>
              </w:rPr>
            </w:pPr>
            <w:r w:rsidRPr="00010F2B">
              <w:rPr>
                <w:rFonts w:eastAsia="ArialNarrow"/>
              </w:rPr>
              <w:t>1</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1BA829E0" w14:textId="77777777" w:rsidR="00010F2B" w:rsidRPr="00010F2B" w:rsidRDefault="00010F2B" w:rsidP="00010F2B">
            <w:pPr>
              <w:jc w:val="center"/>
              <w:rPr>
                <w:rFonts w:eastAsia="ArialNarrow"/>
              </w:rPr>
            </w:pPr>
            <w:r w:rsidRPr="00010F2B">
              <w:rPr>
                <w:rFonts w:eastAsia="ArialNarrow"/>
              </w:rPr>
              <w:t>obustava poslovanja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1D5B250F" w14:textId="77777777" w:rsidR="00010F2B" w:rsidRPr="00010F2B" w:rsidRDefault="00010F2B" w:rsidP="00010F2B">
            <w:pPr>
              <w:jc w:val="center"/>
              <w:rPr>
                <w:rFonts w:eastAsia="ArialNarrow"/>
                <w:b/>
                <w:bCs/>
              </w:rPr>
            </w:pPr>
            <w:r w:rsidRPr="00010F2B">
              <w:rPr>
                <w:rFonts w:eastAsia="ArialNarrow"/>
                <w:b/>
                <w:bCs/>
              </w:rPr>
              <w:t>Da</w:t>
            </w:r>
          </w:p>
        </w:tc>
      </w:tr>
      <w:tr w:rsidR="00010F2B" w:rsidRPr="00010F2B" w14:paraId="676615C5"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1A59E20A"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05414FE3" w14:textId="77777777" w:rsidR="00010F2B" w:rsidRPr="00010F2B" w:rsidRDefault="00010F2B" w:rsidP="00010F2B">
            <w:pPr>
              <w:jc w:val="center"/>
              <w:rPr>
                <w:rFonts w:eastAsia="ArialNarrow"/>
              </w:rPr>
            </w:pPr>
            <w:r w:rsidRPr="00010F2B">
              <w:rPr>
                <w:rFonts w:eastAsia="ArialNarrow"/>
              </w:rPr>
              <w:t>Građevinarstvo</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35A2580F" w14:textId="77777777" w:rsidR="00010F2B" w:rsidRPr="00010F2B" w:rsidRDefault="00010F2B" w:rsidP="00010F2B">
            <w:pPr>
              <w:jc w:val="center"/>
              <w:rPr>
                <w:rFonts w:eastAsia="ArialNarrow"/>
              </w:rPr>
            </w:pPr>
            <w:r w:rsidRPr="00010F2B">
              <w:rPr>
                <w:rFonts w:eastAsia="ArialNarrow"/>
              </w:rPr>
              <w:t>mikro</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301911D0" w14:textId="77777777" w:rsidR="00010F2B" w:rsidRPr="00010F2B" w:rsidRDefault="00010F2B" w:rsidP="00010F2B">
            <w:pPr>
              <w:jc w:val="center"/>
              <w:rPr>
                <w:rFonts w:eastAsia="ArialNarrow"/>
              </w:rPr>
            </w:pPr>
            <w:r w:rsidRPr="00010F2B">
              <w:rPr>
                <w:rFonts w:eastAsia="ArialNarrow"/>
              </w:rPr>
              <w:t>Srednji</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4CCD34A6" w14:textId="77777777" w:rsidR="00010F2B" w:rsidRPr="00010F2B" w:rsidRDefault="00010F2B" w:rsidP="00010F2B">
            <w:pPr>
              <w:jc w:val="center"/>
              <w:rPr>
                <w:rFonts w:eastAsia="ArialNarrow"/>
              </w:rPr>
            </w:pPr>
            <w:r w:rsidRPr="00010F2B">
              <w:rPr>
                <w:rFonts w:eastAsia="ArialNarrow"/>
              </w:rPr>
              <w:t>1</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7769A735" w14:textId="77777777" w:rsidR="00010F2B" w:rsidRPr="00010F2B" w:rsidRDefault="00010F2B" w:rsidP="00010F2B">
            <w:pPr>
              <w:jc w:val="center"/>
              <w:rPr>
                <w:rFonts w:eastAsia="ArialNarrow"/>
              </w:rPr>
            </w:pPr>
            <w:r w:rsidRPr="00010F2B">
              <w:rPr>
                <w:rFonts w:eastAsia="ArialNarrow"/>
              </w:rPr>
              <w:t>pad poslovanja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2B409377" w14:textId="77777777" w:rsidR="00010F2B" w:rsidRPr="00010F2B" w:rsidRDefault="00010F2B" w:rsidP="00010F2B">
            <w:pPr>
              <w:jc w:val="center"/>
              <w:rPr>
                <w:rFonts w:eastAsia="ArialNarrow"/>
                <w:b/>
                <w:bCs/>
              </w:rPr>
            </w:pPr>
            <w:r w:rsidRPr="00010F2B">
              <w:rPr>
                <w:rFonts w:eastAsia="ArialNarrow"/>
                <w:b/>
                <w:bCs/>
              </w:rPr>
              <w:t>Da</w:t>
            </w:r>
          </w:p>
        </w:tc>
      </w:tr>
      <w:tr w:rsidR="00010F2B" w:rsidRPr="00010F2B" w14:paraId="6D3BF234"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525E02BA"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B9B8371" w14:textId="77777777" w:rsidR="00010F2B" w:rsidRPr="00010F2B" w:rsidRDefault="00010F2B" w:rsidP="00010F2B">
            <w:pPr>
              <w:jc w:val="center"/>
              <w:rPr>
                <w:rFonts w:eastAsia="ArialNarrow"/>
              </w:rPr>
            </w:pPr>
            <w:r w:rsidRPr="00010F2B">
              <w:rPr>
                <w:rFonts w:eastAsia="ArialNarrow"/>
              </w:rPr>
              <w:t>Građevinarstvo</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180E7925" w14:textId="77777777" w:rsidR="00010F2B" w:rsidRPr="00010F2B" w:rsidRDefault="00010F2B" w:rsidP="00010F2B">
            <w:pPr>
              <w:jc w:val="center"/>
              <w:rPr>
                <w:rFonts w:eastAsia="ArialNarrow"/>
              </w:rPr>
            </w:pPr>
            <w:r w:rsidRPr="00010F2B">
              <w:rPr>
                <w:rFonts w:eastAsia="ArialNarrow"/>
              </w:rPr>
              <w:t>mikro</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E4A33EA" w14:textId="77777777" w:rsidR="00010F2B" w:rsidRPr="00010F2B" w:rsidRDefault="00010F2B" w:rsidP="00010F2B">
            <w:pPr>
              <w:jc w:val="center"/>
              <w:rPr>
                <w:rFonts w:eastAsia="ArialNarrow"/>
              </w:rPr>
            </w:pPr>
            <w:r w:rsidRPr="00010F2B">
              <w:rPr>
                <w:rFonts w:eastAsia="ArialNarrow"/>
              </w:rPr>
              <w:t>Srednji</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FB6900A" w14:textId="77777777" w:rsidR="00010F2B" w:rsidRPr="00010F2B" w:rsidRDefault="00010F2B" w:rsidP="00010F2B">
            <w:pPr>
              <w:jc w:val="center"/>
              <w:rPr>
                <w:rFonts w:eastAsia="ArialNarrow"/>
              </w:rPr>
            </w:pPr>
            <w:r w:rsidRPr="00010F2B">
              <w:rPr>
                <w:rFonts w:eastAsia="ArialNarrow"/>
              </w:rPr>
              <w:t>1</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19C0CF8A" w14:textId="77777777" w:rsidR="00010F2B" w:rsidRPr="00010F2B" w:rsidRDefault="00010F2B" w:rsidP="00010F2B">
            <w:pPr>
              <w:jc w:val="center"/>
              <w:rPr>
                <w:rFonts w:eastAsia="ArialNarrow"/>
              </w:rPr>
            </w:pPr>
            <w:r w:rsidRPr="00010F2B">
              <w:rPr>
                <w:rFonts w:eastAsia="ArialNarrow"/>
              </w:rPr>
              <w:t>pad poslovanja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14E69702" w14:textId="77777777" w:rsidR="00010F2B" w:rsidRPr="00010F2B" w:rsidRDefault="00010F2B" w:rsidP="00010F2B">
            <w:pPr>
              <w:jc w:val="center"/>
              <w:rPr>
                <w:rFonts w:eastAsia="ArialNarrow"/>
                <w:b/>
                <w:bCs/>
              </w:rPr>
            </w:pPr>
            <w:r w:rsidRPr="00010F2B">
              <w:rPr>
                <w:rFonts w:eastAsia="ArialNarrow"/>
                <w:b/>
                <w:bCs/>
              </w:rPr>
              <w:t>Da</w:t>
            </w:r>
          </w:p>
        </w:tc>
      </w:tr>
      <w:tr w:rsidR="00010F2B" w:rsidRPr="00010F2B" w14:paraId="5536B429"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2FC7A3DC"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18E60937" w14:textId="77777777" w:rsidR="00010F2B" w:rsidRPr="00010F2B" w:rsidRDefault="00010F2B" w:rsidP="00010F2B">
            <w:pPr>
              <w:jc w:val="center"/>
              <w:rPr>
                <w:rFonts w:eastAsia="ArialNarrow"/>
              </w:rPr>
            </w:pPr>
            <w:r w:rsidRPr="00010F2B">
              <w:rPr>
                <w:rFonts w:eastAsia="ArialNarrow"/>
              </w:rPr>
              <w:t>Građevinarstvo</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4BFC31BC" w14:textId="77777777" w:rsidR="00010F2B" w:rsidRPr="00010F2B" w:rsidRDefault="00010F2B" w:rsidP="00010F2B">
            <w:pPr>
              <w:jc w:val="center"/>
              <w:rPr>
                <w:rFonts w:eastAsia="ArialNarrow"/>
              </w:rPr>
            </w:pPr>
            <w:r w:rsidRPr="00010F2B">
              <w:rPr>
                <w:rFonts w:eastAsia="ArialNarrow"/>
              </w:rPr>
              <w:t>mali</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250CE053" w14:textId="77777777" w:rsidR="00010F2B" w:rsidRPr="00010F2B" w:rsidRDefault="00010F2B" w:rsidP="00010F2B">
            <w:pPr>
              <w:jc w:val="center"/>
              <w:rPr>
                <w:rFonts w:eastAsia="ArialNarrow"/>
              </w:rPr>
            </w:pPr>
            <w:r w:rsidRPr="00010F2B">
              <w:rPr>
                <w:rFonts w:eastAsia="ArialNarrow"/>
              </w:rPr>
              <w:t>Vrlo snažan</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A06A09F" w14:textId="77777777" w:rsidR="00010F2B" w:rsidRPr="00010F2B" w:rsidRDefault="00010F2B" w:rsidP="00010F2B">
            <w:pPr>
              <w:jc w:val="center"/>
              <w:rPr>
                <w:rFonts w:eastAsia="ArialNarrow"/>
              </w:rPr>
            </w:pPr>
            <w:r w:rsidRPr="00010F2B">
              <w:rPr>
                <w:rFonts w:eastAsia="ArialNarrow"/>
              </w:rPr>
              <w:t>3</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6B4CF71C" w14:textId="77777777" w:rsidR="00010F2B" w:rsidRPr="00010F2B" w:rsidRDefault="00010F2B" w:rsidP="00010F2B">
            <w:pPr>
              <w:jc w:val="center"/>
              <w:rPr>
                <w:rFonts w:eastAsia="ArialNarrow"/>
              </w:rPr>
            </w:pPr>
            <w:r w:rsidRPr="00010F2B">
              <w:rPr>
                <w:rFonts w:eastAsia="ArialNarrow"/>
              </w:rPr>
              <w:t>n/a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02B0D70D" w14:textId="77777777" w:rsidR="00010F2B" w:rsidRPr="00010F2B" w:rsidRDefault="00010F2B" w:rsidP="00010F2B">
            <w:pPr>
              <w:jc w:val="center"/>
              <w:rPr>
                <w:rFonts w:eastAsia="ArialNarrow"/>
                <w:b/>
                <w:bCs/>
              </w:rPr>
            </w:pPr>
            <w:r w:rsidRPr="00010F2B">
              <w:rPr>
                <w:rFonts w:eastAsia="ArialNarrow"/>
                <w:b/>
                <w:bCs/>
              </w:rPr>
              <w:t>Da</w:t>
            </w:r>
          </w:p>
        </w:tc>
      </w:tr>
      <w:tr w:rsidR="00010F2B" w:rsidRPr="00010F2B" w14:paraId="093FD5DC"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2EAA69B5"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5AA602F1" w14:textId="77777777" w:rsidR="00010F2B" w:rsidRPr="00010F2B" w:rsidRDefault="00010F2B" w:rsidP="00010F2B">
            <w:pPr>
              <w:jc w:val="center"/>
              <w:rPr>
                <w:rFonts w:eastAsia="ArialNarrow"/>
              </w:rPr>
            </w:pPr>
            <w:r w:rsidRPr="00010F2B">
              <w:rPr>
                <w:rFonts w:eastAsia="ArialNarrow"/>
              </w:rPr>
              <w:t>Stručne, znanstvene i tehničke</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2DCBCE9D" w14:textId="77777777" w:rsidR="00010F2B" w:rsidRPr="00010F2B" w:rsidRDefault="00010F2B" w:rsidP="00010F2B">
            <w:pPr>
              <w:jc w:val="center"/>
              <w:rPr>
                <w:rFonts w:eastAsia="ArialNarrow"/>
              </w:rPr>
            </w:pPr>
            <w:r w:rsidRPr="00010F2B">
              <w:rPr>
                <w:rFonts w:eastAsia="ArialNarrow"/>
              </w:rPr>
              <w:t>mali</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EC2288F" w14:textId="77777777" w:rsidR="00010F2B" w:rsidRPr="00010F2B" w:rsidRDefault="00010F2B" w:rsidP="00010F2B">
            <w:pPr>
              <w:jc w:val="center"/>
              <w:rPr>
                <w:rFonts w:eastAsia="ArialNarrow"/>
              </w:rPr>
            </w:pPr>
            <w:r w:rsidRPr="00010F2B">
              <w:rPr>
                <w:rFonts w:eastAsia="ArialNarrow"/>
              </w:rPr>
              <w:t>Vrlo snažan</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99AF9BF" w14:textId="77777777" w:rsidR="00010F2B" w:rsidRPr="00010F2B" w:rsidRDefault="00010F2B" w:rsidP="00010F2B">
            <w:pPr>
              <w:jc w:val="center"/>
              <w:rPr>
                <w:rFonts w:eastAsia="ArialNarrow"/>
              </w:rPr>
            </w:pPr>
            <w:r w:rsidRPr="00010F2B">
              <w:rPr>
                <w:rFonts w:eastAsia="ArialNarrow"/>
              </w:rPr>
              <w:t>1</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496C01B5" w14:textId="77777777" w:rsidR="00010F2B" w:rsidRPr="00010F2B" w:rsidRDefault="00010F2B" w:rsidP="00010F2B">
            <w:pPr>
              <w:jc w:val="center"/>
              <w:rPr>
                <w:rFonts w:eastAsia="ArialNarrow"/>
              </w:rPr>
            </w:pPr>
            <w:r w:rsidRPr="00010F2B">
              <w:rPr>
                <w:rFonts w:eastAsia="ArialNarrow"/>
              </w:rPr>
              <w:t>pad poslovanja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4F8A5731" w14:textId="77777777" w:rsidR="00010F2B" w:rsidRPr="00010F2B" w:rsidRDefault="00010F2B" w:rsidP="00010F2B">
            <w:pPr>
              <w:jc w:val="center"/>
              <w:rPr>
                <w:rFonts w:eastAsia="ArialNarrow"/>
                <w:b/>
                <w:bCs/>
              </w:rPr>
            </w:pPr>
            <w:r w:rsidRPr="00010F2B">
              <w:rPr>
                <w:rFonts w:eastAsia="ArialNarrow"/>
                <w:b/>
                <w:bCs/>
              </w:rPr>
              <w:t>Da</w:t>
            </w:r>
          </w:p>
        </w:tc>
      </w:tr>
      <w:tr w:rsidR="00010F2B" w:rsidRPr="00010F2B" w14:paraId="497B40B3"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70FC1157"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11322E32" w14:textId="77777777" w:rsidR="00010F2B" w:rsidRPr="00010F2B" w:rsidRDefault="00010F2B" w:rsidP="00010F2B">
            <w:pPr>
              <w:jc w:val="center"/>
              <w:rPr>
                <w:rFonts w:eastAsia="ArialNarrow"/>
              </w:rPr>
            </w:pPr>
            <w:r w:rsidRPr="00010F2B">
              <w:rPr>
                <w:rFonts w:eastAsia="ArialNarrow"/>
              </w:rPr>
              <w:t>Administrativne i pomoćne uslužne</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4D22E3BE" w14:textId="77777777" w:rsidR="00010F2B" w:rsidRPr="00010F2B" w:rsidRDefault="00010F2B" w:rsidP="00010F2B">
            <w:pPr>
              <w:jc w:val="center"/>
              <w:rPr>
                <w:rFonts w:eastAsia="ArialNarrow"/>
              </w:rPr>
            </w:pPr>
            <w:r w:rsidRPr="00010F2B">
              <w:rPr>
                <w:rFonts w:eastAsia="ArialNarrow"/>
              </w:rPr>
              <w:t>mikro</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4E87D6F9" w14:textId="77777777" w:rsidR="00010F2B" w:rsidRPr="00010F2B" w:rsidRDefault="00010F2B" w:rsidP="00010F2B">
            <w:pPr>
              <w:jc w:val="center"/>
              <w:rPr>
                <w:rFonts w:eastAsia="ArialNarrow"/>
              </w:rPr>
            </w:pPr>
            <w:r w:rsidRPr="00010F2B">
              <w:rPr>
                <w:rFonts w:eastAsia="ArialNarrow"/>
              </w:rPr>
              <w:t>Snažan</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4C4EFE53" w14:textId="77777777" w:rsidR="00010F2B" w:rsidRPr="00010F2B" w:rsidRDefault="00010F2B" w:rsidP="00010F2B">
            <w:pPr>
              <w:jc w:val="center"/>
              <w:rPr>
                <w:rFonts w:eastAsia="ArialNarrow"/>
              </w:rPr>
            </w:pPr>
            <w:r w:rsidRPr="00010F2B">
              <w:rPr>
                <w:rFonts w:eastAsia="ArialNarrow"/>
              </w:rPr>
              <w:t>n/a</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0D7F9743" w14:textId="77777777" w:rsidR="00010F2B" w:rsidRPr="00010F2B" w:rsidRDefault="00010F2B" w:rsidP="00010F2B">
            <w:pPr>
              <w:jc w:val="center"/>
              <w:rPr>
                <w:rFonts w:eastAsia="ArialNarrow"/>
              </w:rPr>
            </w:pPr>
            <w:r w:rsidRPr="00010F2B">
              <w:rPr>
                <w:rFonts w:eastAsia="ArialNarrow"/>
              </w:rPr>
              <w:t>pad poslovanja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72DAA866" w14:textId="77777777" w:rsidR="00010F2B" w:rsidRPr="00010F2B" w:rsidRDefault="00010F2B" w:rsidP="00010F2B">
            <w:pPr>
              <w:jc w:val="center"/>
              <w:rPr>
                <w:rFonts w:eastAsia="ArialNarrow"/>
                <w:b/>
                <w:bCs/>
              </w:rPr>
            </w:pPr>
            <w:r w:rsidRPr="00010F2B">
              <w:rPr>
                <w:rFonts w:eastAsia="ArialNarrow"/>
                <w:b/>
                <w:bCs/>
              </w:rPr>
              <w:t>Ne</w:t>
            </w:r>
          </w:p>
        </w:tc>
      </w:tr>
      <w:tr w:rsidR="00010F2B" w:rsidRPr="00010F2B" w14:paraId="007CDFA1"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186DDF62"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4A1F6999" w14:textId="77777777" w:rsidR="00010F2B" w:rsidRPr="00010F2B" w:rsidRDefault="00010F2B" w:rsidP="00010F2B">
            <w:pPr>
              <w:jc w:val="center"/>
              <w:rPr>
                <w:rFonts w:eastAsia="ArialNarrow"/>
              </w:rPr>
            </w:pPr>
            <w:r w:rsidRPr="00010F2B">
              <w:rPr>
                <w:rFonts w:eastAsia="ArialNarrow"/>
              </w:rPr>
              <w:t>Fizičke osobe bez djelatnosti</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3222F8DC" w14:textId="77777777" w:rsidR="00010F2B" w:rsidRPr="00010F2B" w:rsidRDefault="00010F2B" w:rsidP="00010F2B">
            <w:pPr>
              <w:jc w:val="center"/>
              <w:rPr>
                <w:rFonts w:eastAsia="ArialNarrow"/>
              </w:rPr>
            </w:pPr>
            <w:r w:rsidRPr="00010F2B">
              <w:rPr>
                <w:rFonts w:eastAsia="ArialNarrow"/>
              </w:rPr>
              <w:t>mikro</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02B1E771" w14:textId="77777777" w:rsidR="00010F2B" w:rsidRPr="00010F2B" w:rsidRDefault="00010F2B" w:rsidP="00010F2B">
            <w:pPr>
              <w:jc w:val="center"/>
              <w:rPr>
                <w:rFonts w:eastAsia="ArialNarrow"/>
              </w:rPr>
            </w:pPr>
            <w:r w:rsidRPr="00010F2B">
              <w:rPr>
                <w:rFonts w:eastAsia="ArialNarrow"/>
              </w:rPr>
              <w:t>Snažan</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E089384" w14:textId="77777777" w:rsidR="00010F2B" w:rsidRPr="00010F2B" w:rsidRDefault="00010F2B" w:rsidP="00010F2B">
            <w:pPr>
              <w:jc w:val="center"/>
              <w:rPr>
                <w:rFonts w:eastAsia="ArialNarrow"/>
              </w:rPr>
            </w:pPr>
            <w:r w:rsidRPr="00010F2B">
              <w:rPr>
                <w:rFonts w:eastAsia="ArialNarrow"/>
              </w:rPr>
              <w:t>1</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2A103B5F" w14:textId="77777777" w:rsidR="00010F2B" w:rsidRPr="00010F2B" w:rsidRDefault="00010F2B" w:rsidP="00010F2B">
            <w:pPr>
              <w:jc w:val="center"/>
              <w:rPr>
                <w:rFonts w:eastAsia="ArialNarrow"/>
              </w:rPr>
            </w:pPr>
            <w:r w:rsidRPr="00010F2B">
              <w:rPr>
                <w:rFonts w:eastAsia="ArialNarrow"/>
              </w:rPr>
              <w:t>prisilno zatvaranje obrta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4BC28533" w14:textId="77777777" w:rsidR="00010F2B" w:rsidRPr="00010F2B" w:rsidRDefault="00010F2B" w:rsidP="00010F2B">
            <w:pPr>
              <w:jc w:val="center"/>
              <w:rPr>
                <w:rFonts w:eastAsia="ArialNarrow"/>
                <w:b/>
                <w:bCs/>
              </w:rPr>
            </w:pPr>
            <w:r w:rsidRPr="00010F2B">
              <w:rPr>
                <w:rFonts w:eastAsia="ArialNarrow"/>
                <w:b/>
                <w:bCs/>
              </w:rPr>
              <w:t>Ne</w:t>
            </w:r>
          </w:p>
        </w:tc>
      </w:tr>
      <w:tr w:rsidR="00010F2B" w:rsidRPr="00010F2B" w14:paraId="7457958E"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519BDEC1"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63BD85F4" w14:textId="77777777" w:rsidR="00010F2B" w:rsidRPr="00010F2B" w:rsidRDefault="00010F2B" w:rsidP="00010F2B">
            <w:pPr>
              <w:jc w:val="center"/>
              <w:rPr>
                <w:rFonts w:eastAsia="ArialNarrow"/>
              </w:rPr>
            </w:pPr>
            <w:r w:rsidRPr="00010F2B">
              <w:rPr>
                <w:rFonts w:eastAsia="ArialNarrow"/>
              </w:rPr>
              <w:t>Fizičke osobe bez djelatnosti</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8C8BFE6" w14:textId="77777777" w:rsidR="00010F2B" w:rsidRPr="00010F2B" w:rsidRDefault="00010F2B" w:rsidP="00010F2B">
            <w:pPr>
              <w:jc w:val="center"/>
              <w:rPr>
                <w:rFonts w:eastAsia="ArialNarrow"/>
              </w:rPr>
            </w:pPr>
            <w:r w:rsidRPr="00010F2B">
              <w:rPr>
                <w:rFonts w:eastAsia="ArialNarrow"/>
              </w:rPr>
              <w:t>mikro</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4876C7BA" w14:textId="77777777" w:rsidR="00010F2B" w:rsidRPr="00010F2B" w:rsidRDefault="00010F2B" w:rsidP="00010F2B">
            <w:pPr>
              <w:jc w:val="center"/>
              <w:rPr>
                <w:rFonts w:eastAsia="ArialNarrow"/>
              </w:rPr>
            </w:pPr>
            <w:r w:rsidRPr="00010F2B">
              <w:rPr>
                <w:rFonts w:eastAsia="ArialNarrow"/>
              </w:rPr>
              <w:t>Srednji</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0FD8F713" w14:textId="77777777" w:rsidR="00010F2B" w:rsidRPr="00010F2B" w:rsidRDefault="00010F2B" w:rsidP="00010F2B">
            <w:pPr>
              <w:jc w:val="center"/>
              <w:rPr>
                <w:rFonts w:eastAsia="ArialNarrow"/>
              </w:rPr>
            </w:pPr>
            <w:r w:rsidRPr="00010F2B">
              <w:rPr>
                <w:rFonts w:eastAsia="ArialNarrow"/>
              </w:rPr>
              <w:t>1</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118B58D7" w14:textId="77777777" w:rsidR="00010F2B" w:rsidRPr="00010F2B" w:rsidRDefault="00010F2B" w:rsidP="00010F2B">
            <w:pPr>
              <w:jc w:val="center"/>
              <w:rPr>
                <w:rFonts w:eastAsia="ArialNarrow"/>
              </w:rPr>
            </w:pPr>
            <w:r w:rsidRPr="00010F2B">
              <w:rPr>
                <w:rFonts w:eastAsia="ArialNarrow"/>
              </w:rPr>
              <w:t>nemogućnost poslovanja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29DBE7C7" w14:textId="77777777" w:rsidR="00010F2B" w:rsidRPr="00010F2B" w:rsidRDefault="00010F2B" w:rsidP="00010F2B">
            <w:pPr>
              <w:jc w:val="center"/>
              <w:rPr>
                <w:rFonts w:eastAsia="ArialNarrow"/>
                <w:b/>
                <w:bCs/>
              </w:rPr>
            </w:pPr>
            <w:r w:rsidRPr="00010F2B">
              <w:rPr>
                <w:rFonts w:eastAsia="ArialNarrow"/>
                <w:b/>
                <w:bCs/>
              </w:rPr>
              <w:t>Ne</w:t>
            </w:r>
          </w:p>
        </w:tc>
      </w:tr>
      <w:tr w:rsidR="00010F2B" w:rsidRPr="00010F2B" w14:paraId="2839B769"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5F1167BD"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39C5A0F1" w14:textId="77777777" w:rsidR="00010F2B" w:rsidRPr="00010F2B" w:rsidRDefault="00010F2B" w:rsidP="00010F2B">
            <w:pPr>
              <w:jc w:val="center"/>
              <w:rPr>
                <w:rFonts w:eastAsia="ArialNarrow"/>
              </w:rPr>
            </w:pPr>
            <w:r w:rsidRPr="00010F2B">
              <w:rPr>
                <w:rFonts w:eastAsia="ArialNarrow"/>
              </w:rPr>
              <w:t>Informacije i komunikacije</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6DBC0AE0" w14:textId="77777777" w:rsidR="00010F2B" w:rsidRPr="00010F2B" w:rsidRDefault="00010F2B" w:rsidP="00010F2B">
            <w:pPr>
              <w:jc w:val="center"/>
              <w:rPr>
                <w:rFonts w:eastAsia="ArialNarrow"/>
              </w:rPr>
            </w:pPr>
            <w:r w:rsidRPr="00010F2B">
              <w:rPr>
                <w:rFonts w:eastAsia="ArialNarrow"/>
              </w:rPr>
              <w:t>mikro</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61FA1E98" w14:textId="77777777" w:rsidR="00010F2B" w:rsidRPr="00010F2B" w:rsidRDefault="00010F2B" w:rsidP="00010F2B">
            <w:pPr>
              <w:jc w:val="center"/>
              <w:rPr>
                <w:rFonts w:eastAsia="ArialNarrow"/>
              </w:rPr>
            </w:pPr>
            <w:r w:rsidRPr="00010F2B">
              <w:rPr>
                <w:rFonts w:eastAsia="ArialNarrow"/>
              </w:rPr>
              <w:t>Vrlo snažan</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5374AAB9" w14:textId="77777777" w:rsidR="00010F2B" w:rsidRPr="00010F2B" w:rsidRDefault="00010F2B" w:rsidP="00010F2B">
            <w:pPr>
              <w:jc w:val="center"/>
              <w:rPr>
                <w:rFonts w:eastAsia="ArialNarrow"/>
              </w:rPr>
            </w:pPr>
            <w:r w:rsidRPr="00010F2B">
              <w:rPr>
                <w:rFonts w:eastAsia="ArialNarrow"/>
              </w:rPr>
              <w:t>n/a</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3DC65E90" w14:textId="77777777" w:rsidR="00010F2B" w:rsidRPr="00010F2B" w:rsidRDefault="00010F2B" w:rsidP="00010F2B">
            <w:pPr>
              <w:jc w:val="center"/>
              <w:rPr>
                <w:rFonts w:eastAsia="ArialNarrow"/>
              </w:rPr>
            </w:pPr>
            <w:r w:rsidRPr="00010F2B">
              <w:rPr>
                <w:rFonts w:eastAsia="ArialNarrow"/>
              </w:rPr>
              <w:t>pad poslovanja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7E268E9A" w14:textId="77777777" w:rsidR="00010F2B" w:rsidRPr="00010F2B" w:rsidRDefault="00010F2B" w:rsidP="00010F2B">
            <w:pPr>
              <w:jc w:val="center"/>
              <w:rPr>
                <w:rFonts w:eastAsia="ArialNarrow"/>
                <w:b/>
                <w:bCs/>
              </w:rPr>
            </w:pPr>
            <w:r w:rsidRPr="00010F2B">
              <w:rPr>
                <w:rFonts w:eastAsia="ArialNarrow"/>
                <w:b/>
                <w:bCs/>
              </w:rPr>
              <w:t>Ne</w:t>
            </w:r>
          </w:p>
        </w:tc>
      </w:tr>
      <w:tr w:rsidR="00010F2B" w:rsidRPr="00010F2B" w14:paraId="053CE01D"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493E0E96" w14:textId="77777777" w:rsidR="00010F2B" w:rsidRPr="00010F2B" w:rsidRDefault="00010F2B" w:rsidP="00010F2B">
            <w:pPr>
              <w:rPr>
                <w:rFonts w:eastAsia="ArialNarrow"/>
                <w:b/>
                <w:bCs/>
              </w:rPr>
            </w:pPr>
            <w:r w:rsidRPr="00010F2B">
              <w:rPr>
                <w:rFonts w:eastAsia="ArialNarrow"/>
                <w:b/>
                <w:bCs/>
              </w:rPr>
              <w:t>Trgovačko društvo</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6CC2695B" w14:textId="77777777" w:rsidR="00010F2B" w:rsidRPr="00010F2B" w:rsidRDefault="00010F2B" w:rsidP="00010F2B">
            <w:pPr>
              <w:jc w:val="center"/>
              <w:rPr>
                <w:rFonts w:eastAsia="ArialNarrow"/>
              </w:rPr>
            </w:pPr>
            <w:r w:rsidRPr="00010F2B">
              <w:rPr>
                <w:rFonts w:eastAsia="ArialNarrow"/>
              </w:rPr>
              <w:t>Prerađivačka industrija</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7950B23B" w14:textId="77777777" w:rsidR="00010F2B" w:rsidRPr="00010F2B" w:rsidRDefault="00010F2B" w:rsidP="00010F2B">
            <w:pPr>
              <w:jc w:val="center"/>
              <w:rPr>
                <w:rFonts w:eastAsia="ArialNarrow"/>
              </w:rPr>
            </w:pPr>
            <w:r w:rsidRPr="00010F2B">
              <w:rPr>
                <w:rFonts w:eastAsia="ArialNarrow"/>
              </w:rPr>
              <w:t>mikro</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27D26A1C" w14:textId="77777777" w:rsidR="00010F2B" w:rsidRPr="00010F2B" w:rsidRDefault="00010F2B" w:rsidP="00010F2B">
            <w:pPr>
              <w:jc w:val="center"/>
              <w:rPr>
                <w:rFonts w:eastAsia="ArialNarrow"/>
              </w:rPr>
            </w:pPr>
            <w:r w:rsidRPr="00010F2B">
              <w:rPr>
                <w:rFonts w:eastAsia="ArialNarrow"/>
              </w:rPr>
              <w:t>Vrlo snažan</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4E3D8492" w14:textId="77777777" w:rsidR="00010F2B" w:rsidRPr="00010F2B" w:rsidRDefault="00010F2B" w:rsidP="00010F2B">
            <w:pPr>
              <w:jc w:val="center"/>
              <w:rPr>
                <w:rFonts w:eastAsia="ArialNarrow"/>
              </w:rPr>
            </w:pPr>
            <w:r w:rsidRPr="00010F2B">
              <w:rPr>
                <w:rFonts w:eastAsia="ArialNarrow"/>
              </w:rPr>
              <w:t>1</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2913AB0F" w14:textId="77777777" w:rsidR="00010F2B" w:rsidRPr="00010F2B" w:rsidRDefault="00010F2B" w:rsidP="00010F2B">
            <w:pPr>
              <w:jc w:val="center"/>
              <w:rPr>
                <w:rFonts w:eastAsia="ArialNarrow"/>
              </w:rPr>
            </w:pPr>
            <w:r w:rsidRPr="00010F2B">
              <w:rPr>
                <w:rFonts w:eastAsia="ArialNarrow"/>
              </w:rPr>
              <w:t>zbog pada velikog poslovanja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72962601" w14:textId="77777777" w:rsidR="00010F2B" w:rsidRPr="00010F2B" w:rsidRDefault="00010F2B" w:rsidP="00010F2B">
            <w:pPr>
              <w:jc w:val="center"/>
              <w:rPr>
                <w:rFonts w:eastAsia="ArialNarrow"/>
                <w:b/>
                <w:bCs/>
              </w:rPr>
            </w:pPr>
            <w:r w:rsidRPr="00010F2B">
              <w:rPr>
                <w:rFonts w:eastAsia="ArialNarrow"/>
                <w:b/>
                <w:bCs/>
              </w:rPr>
              <w:t>Ne</w:t>
            </w:r>
          </w:p>
        </w:tc>
      </w:tr>
      <w:tr w:rsidR="00010F2B" w:rsidRPr="00010F2B" w14:paraId="583236A7" w14:textId="77777777" w:rsidTr="00010F2B">
        <w:trPr>
          <w:trHeight w:val="295"/>
          <w:jc w:val="center"/>
        </w:trPr>
        <w:tc>
          <w:tcPr>
            <w:tcW w:w="1137"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0B6E73CF" w14:textId="77777777" w:rsidR="00010F2B" w:rsidRPr="00010F2B" w:rsidRDefault="00010F2B" w:rsidP="00010F2B">
            <w:pPr>
              <w:rPr>
                <w:rFonts w:eastAsia="ArialNarrow"/>
                <w:b/>
                <w:bCs/>
              </w:rPr>
            </w:pPr>
            <w:r w:rsidRPr="00010F2B">
              <w:rPr>
                <w:rFonts w:eastAsia="ArialNarrow"/>
                <w:b/>
                <w:bCs/>
              </w:rPr>
              <w:t>Trgovačko društvo</w:t>
            </w:r>
          </w:p>
        </w:tc>
        <w:tc>
          <w:tcPr>
            <w:tcW w:w="1730"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275D7350" w14:textId="77777777" w:rsidR="00010F2B" w:rsidRPr="00010F2B" w:rsidRDefault="00010F2B" w:rsidP="00010F2B">
            <w:pPr>
              <w:jc w:val="center"/>
              <w:rPr>
                <w:rFonts w:eastAsia="ArialNarrow"/>
              </w:rPr>
            </w:pPr>
            <w:r w:rsidRPr="00010F2B">
              <w:rPr>
                <w:rFonts w:eastAsia="ArialNarrow"/>
              </w:rPr>
              <w:t>Smještaj, pripreme i usluživanje hrane</w:t>
            </w:r>
          </w:p>
        </w:tc>
        <w:tc>
          <w:tcPr>
            <w:tcW w:w="843"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471D96DC" w14:textId="77777777" w:rsidR="00010F2B" w:rsidRPr="00010F2B" w:rsidRDefault="00010F2B" w:rsidP="00010F2B">
            <w:pPr>
              <w:jc w:val="center"/>
              <w:rPr>
                <w:rFonts w:eastAsia="ArialNarrow"/>
              </w:rPr>
            </w:pPr>
            <w:r w:rsidRPr="00010F2B">
              <w:rPr>
                <w:rFonts w:eastAsia="ArialNarrow"/>
              </w:rPr>
              <w:t>mali</w:t>
            </w:r>
          </w:p>
        </w:tc>
        <w:tc>
          <w:tcPr>
            <w:tcW w:w="1288"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553144BF" w14:textId="77777777" w:rsidR="00010F2B" w:rsidRPr="00010F2B" w:rsidRDefault="00010F2B" w:rsidP="00010F2B">
            <w:pPr>
              <w:jc w:val="center"/>
              <w:rPr>
                <w:rFonts w:eastAsia="ArialNarrow"/>
              </w:rPr>
            </w:pPr>
            <w:r w:rsidRPr="00010F2B">
              <w:rPr>
                <w:rFonts w:eastAsia="ArialNarrow"/>
              </w:rPr>
              <w:t>Snažan</w:t>
            </w:r>
          </w:p>
        </w:tc>
        <w:tc>
          <w:tcPr>
            <w:tcW w:w="1339" w:type="dxa"/>
            <w:tcBorders>
              <w:top w:val="nil"/>
              <w:left w:val="single" w:sz="4" w:space="0" w:color="D2232A" w:themeColor="accent1"/>
              <w:bottom w:val="single" w:sz="8" w:space="0" w:color="F3CFC1"/>
              <w:right w:val="single" w:sz="4" w:space="0" w:color="D2232A" w:themeColor="accent1"/>
            </w:tcBorders>
            <w:shd w:val="clear" w:color="auto" w:fill="auto"/>
            <w:noWrap/>
            <w:vAlign w:val="center"/>
            <w:hideMark/>
          </w:tcPr>
          <w:p w14:paraId="5E273085" w14:textId="77777777" w:rsidR="00010F2B" w:rsidRPr="00010F2B" w:rsidRDefault="00010F2B" w:rsidP="00010F2B">
            <w:pPr>
              <w:jc w:val="center"/>
              <w:rPr>
                <w:rFonts w:eastAsia="ArialNarrow"/>
              </w:rPr>
            </w:pPr>
            <w:r w:rsidRPr="00010F2B">
              <w:rPr>
                <w:rFonts w:eastAsia="ArialNarrow"/>
              </w:rPr>
              <w:t>3</w:t>
            </w:r>
          </w:p>
        </w:tc>
        <w:tc>
          <w:tcPr>
            <w:tcW w:w="1516" w:type="dxa"/>
            <w:tcBorders>
              <w:top w:val="nil"/>
              <w:left w:val="single" w:sz="4" w:space="0" w:color="D2232A" w:themeColor="accent1"/>
              <w:bottom w:val="single" w:sz="8" w:space="0" w:color="F3CFC1"/>
              <w:right w:val="nil"/>
            </w:tcBorders>
            <w:shd w:val="clear" w:color="auto" w:fill="auto"/>
            <w:noWrap/>
            <w:vAlign w:val="center"/>
            <w:hideMark/>
          </w:tcPr>
          <w:p w14:paraId="207D560E" w14:textId="77777777" w:rsidR="00010F2B" w:rsidRPr="00010F2B" w:rsidRDefault="00010F2B" w:rsidP="00010F2B">
            <w:pPr>
              <w:jc w:val="center"/>
              <w:rPr>
                <w:rFonts w:eastAsia="ArialNarrow"/>
              </w:rPr>
            </w:pPr>
            <w:r w:rsidRPr="00010F2B">
              <w:rPr>
                <w:rFonts w:eastAsia="ArialNarrow"/>
              </w:rPr>
              <w:t>smanjenje obujma posla</w:t>
            </w:r>
          </w:p>
        </w:tc>
        <w:tc>
          <w:tcPr>
            <w:tcW w:w="1246" w:type="dxa"/>
            <w:tcBorders>
              <w:top w:val="nil"/>
              <w:left w:val="single" w:sz="8" w:space="0" w:color="D2232A" w:themeColor="accent1"/>
              <w:bottom w:val="single" w:sz="8" w:space="0" w:color="F3CFC1"/>
              <w:right w:val="single" w:sz="4" w:space="0" w:color="D2232A" w:themeColor="accent1"/>
            </w:tcBorders>
            <w:shd w:val="clear" w:color="auto" w:fill="auto"/>
            <w:noWrap/>
            <w:vAlign w:val="center"/>
            <w:hideMark/>
          </w:tcPr>
          <w:p w14:paraId="035B149B" w14:textId="77777777" w:rsidR="00010F2B" w:rsidRPr="00010F2B" w:rsidRDefault="00010F2B" w:rsidP="00010F2B">
            <w:pPr>
              <w:jc w:val="center"/>
              <w:rPr>
                <w:rFonts w:eastAsia="ArialNarrow"/>
                <w:b/>
                <w:bCs/>
              </w:rPr>
            </w:pPr>
            <w:r w:rsidRPr="00010F2B">
              <w:rPr>
                <w:rFonts w:eastAsia="ArialNarrow"/>
                <w:b/>
                <w:bCs/>
              </w:rPr>
              <w:t>Ne znam</w:t>
            </w:r>
          </w:p>
        </w:tc>
      </w:tr>
      <w:tr w:rsidR="00010F2B" w:rsidRPr="00010F2B" w14:paraId="035B6E97" w14:textId="77777777" w:rsidTr="00010F2B">
        <w:trPr>
          <w:trHeight w:val="295"/>
          <w:jc w:val="center"/>
        </w:trPr>
        <w:tc>
          <w:tcPr>
            <w:tcW w:w="1137" w:type="dxa"/>
            <w:tcBorders>
              <w:top w:val="nil"/>
              <w:left w:val="single" w:sz="8" w:space="0" w:color="D2232A" w:themeColor="accent1"/>
              <w:bottom w:val="single" w:sz="4" w:space="0" w:color="D2232A" w:themeColor="accent1"/>
              <w:right w:val="single" w:sz="4" w:space="0" w:color="D2232A" w:themeColor="accent1"/>
            </w:tcBorders>
            <w:shd w:val="clear" w:color="auto" w:fill="auto"/>
            <w:noWrap/>
            <w:vAlign w:val="center"/>
            <w:hideMark/>
          </w:tcPr>
          <w:p w14:paraId="1967954A" w14:textId="77777777" w:rsidR="00010F2B" w:rsidRPr="00010F2B" w:rsidRDefault="00010F2B" w:rsidP="00010F2B">
            <w:pPr>
              <w:rPr>
                <w:rFonts w:eastAsia="ArialNarrow"/>
                <w:b/>
                <w:bCs/>
              </w:rPr>
            </w:pPr>
            <w:r w:rsidRPr="00010F2B">
              <w:rPr>
                <w:rFonts w:eastAsia="ArialNarrow"/>
                <w:b/>
                <w:bCs/>
              </w:rPr>
              <w:t>Obrt</w:t>
            </w:r>
          </w:p>
        </w:tc>
        <w:tc>
          <w:tcPr>
            <w:tcW w:w="1730" w:type="dxa"/>
            <w:tcBorders>
              <w:top w:val="nil"/>
              <w:left w:val="single" w:sz="4" w:space="0" w:color="D2232A" w:themeColor="accent1"/>
              <w:bottom w:val="single" w:sz="4" w:space="0" w:color="D2232A" w:themeColor="accent1"/>
              <w:right w:val="single" w:sz="4" w:space="0" w:color="D2232A" w:themeColor="accent1"/>
            </w:tcBorders>
            <w:shd w:val="clear" w:color="auto" w:fill="auto"/>
            <w:noWrap/>
            <w:vAlign w:val="center"/>
            <w:hideMark/>
          </w:tcPr>
          <w:p w14:paraId="35D6EB96" w14:textId="77777777" w:rsidR="00010F2B" w:rsidRPr="00010F2B" w:rsidRDefault="00010F2B" w:rsidP="00010F2B">
            <w:pPr>
              <w:jc w:val="center"/>
              <w:rPr>
                <w:rFonts w:eastAsia="ArialNarrow"/>
              </w:rPr>
            </w:pPr>
            <w:r w:rsidRPr="00010F2B">
              <w:rPr>
                <w:rFonts w:eastAsia="ArialNarrow"/>
              </w:rPr>
              <w:t>Trgovina na veliko i malo</w:t>
            </w:r>
          </w:p>
        </w:tc>
        <w:tc>
          <w:tcPr>
            <w:tcW w:w="843" w:type="dxa"/>
            <w:tcBorders>
              <w:top w:val="nil"/>
              <w:left w:val="single" w:sz="4" w:space="0" w:color="D2232A" w:themeColor="accent1"/>
              <w:bottom w:val="single" w:sz="4" w:space="0" w:color="D2232A" w:themeColor="accent1"/>
              <w:right w:val="single" w:sz="4" w:space="0" w:color="D2232A" w:themeColor="accent1"/>
            </w:tcBorders>
            <w:shd w:val="clear" w:color="auto" w:fill="auto"/>
            <w:noWrap/>
            <w:vAlign w:val="center"/>
            <w:hideMark/>
          </w:tcPr>
          <w:p w14:paraId="111899B5" w14:textId="77777777" w:rsidR="00010F2B" w:rsidRPr="00010F2B" w:rsidRDefault="00010F2B" w:rsidP="00010F2B">
            <w:pPr>
              <w:jc w:val="center"/>
              <w:rPr>
                <w:rFonts w:eastAsia="ArialNarrow"/>
              </w:rPr>
            </w:pPr>
            <w:r w:rsidRPr="00010F2B">
              <w:rPr>
                <w:rFonts w:eastAsia="ArialNarrow"/>
              </w:rPr>
              <w:t>mali</w:t>
            </w:r>
          </w:p>
        </w:tc>
        <w:tc>
          <w:tcPr>
            <w:tcW w:w="1288" w:type="dxa"/>
            <w:tcBorders>
              <w:top w:val="nil"/>
              <w:left w:val="single" w:sz="4" w:space="0" w:color="D2232A" w:themeColor="accent1"/>
              <w:bottom w:val="single" w:sz="4" w:space="0" w:color="D2232A" w:themeColor="accent1"/>
              <w:right w:val="single" w:sz="4" w:space="0" w:color="D2232A" w:themeColor="accent1"/>
            </w:tcBorders>
            <w:shd w:val="clear" w:color="auto" w:fill="auto"/>
            <w:noWrap/>
            <w:vAlign w:val="center"/>
            <w:hideMark/>
          </w:tcPr>
          <w:p w14:paraId="77CD81C7" w14:textId="77777777" w:rsidR="00010F2B" w:rsidRPr="00010F2B" w:rsidRDefault="00010F2B" w:rsidP="00010F2B">
            <w:pPr>
              <w:jc w:val="center"/>
              <w:rPr>
                <w:rFonts w:eastAsia="ArialNarrow"/>
              </w:rPr>
            </w:pPr>
            <w:r w:rsidRPr="00010F2B">
              <w:rPr>
                <w:rFonts w:eastAsia="ArialNarrow"/>
              </w:rPr>
              <w:t>Vrlo snažan</w:t>
            </w:r>
          </w:p>
        </w:tc>
        <w:tc>
          <w:tcPr>
            <w:tcW w:w="1339" w:type="dxa"/>
            <w:tcBorders>
              <w:top w:val="nil"/>
              <w:left w:val="single" w:sz="4" w:space="0" w:color="D2232A" w:themeColor="accent1"/>
              <w:bottom w:val="single" w:sz="4" w:space="0" w:color="D2232A" w:themeColor="accent1"/>
              <w:right w:val="single" w:sz="4" w:space="0" w:color="D2232A" w:themeColor="accent1"/>
            </w:tcBorders>
            <w:shd w:val="clear" w:color="auto" w:fill="auto"/>
            <w:noWrap/>
            <w:vAlign w:val="center"/>
            <w:hideMark/>
          </w:tcPr>
          <w:p w14:paraId="21F8A502" w14:textId="77777777" w:rsidR="00010F2B" w:rsidRPr="00010F2B" w:rsidRDefault="00010F2B" w:rsidP="00010F2B">
            <w:pPr>
              <w:jc w:val="center"/>
              <w:rPr>
                <w:rFonts w:eastAsia="ArialNarrow"/>
              </w:rPr>
            </w:pPr>
            <w:r w:rsidRPr="00010F2B">
              <w:rPr>
                <w:rFonts w:eastAsia="ArialNarrow"/>
              </w:rPr>
              <w:t>n/a</w:t>
            </w:r>
          </w:p>
        </w:tc>
        <w:tc>
          <w:tcPr>
            <w:tcW w:w="1516" w:type="dxa"/>
            <w:tcBorders>
              <w:top w:val="nil"/>
              <w:left w:val="single" w:sz="4" w:space="0" w:color="D2232A" w:themeColor="accent1"/>
              <w:bottom w:val="single" w:sz="4" w:space="0" w:color="D2232A" w:themeColor="accent1"/>
              <w:right w:val="nil"/>
            </w:tcBorders>
            <w:shd w:val="clear" w:color="auto" w:fill="auto"/>
            <w:noWrap/>
            <w:vAlign w:val="center"/>
            <w:hideMark/>
          </w:tcPr>
          <w:p w14:paraId="5ADEFEFD" w14:textId="77777777" w:rsidR="00010F2B" w:rsidRPr="00010F2B" w:rsidRDefault="00010F2B" w:rsidP="00010F2B">
            <w:pPr>
              <w:jc w:val="center"/>
              <w:rPr>
                <w:rFonts w:eastAsia="ArialNarrow"/>
              </w:rPr>
            </w:pPr>
            <w:r w:rsidRPr="00010F2B">
              <w:rPr>
                <w:rFonts w:eastAsia="ArialNarrow"/>
              </w:rPr>
              <w:t xml:space="preserve">svi su dobili otkaz kad je nastupio </w:t>
            </w:r>
            <w:r w:rsidRPr="00010F2B">
              <w:rPr>
                <w:rFonts w:eastAsia="ArialNarrow"/>
                <w:i/>
                <w:iCs/>
              </w:rPr>
              <w:t>lockdown</w:t>
            </w:r>
          </w:p>
        </w:tc>
        <w:tc>
          <w:tcPr>
            <w:tcW w:w="1246" w:type="dxa"/>
            <w:tcBorders>
              <w:top w:val="nil"/>
              <w:left w:val="single" w:sz="8" w:space="0" w:color="D2232A" w:themeColor="accent1"/>
              <w:bottom w:val="single" w:sz="4" w:space="0" w:color="D2232A" w:themeColor="accent1"/>
              <w:right w:val="single" w:sz="4" w:space="0" w:color="D2232A" w:themeColor="accent1"/>
            </w:tcBorders>
            <w:shd w:val="clear" w:color="auto" w:fill="auto"/>
            <w:noWrap/>
            <w:vAlign w:val="center"/>
            <w:hideMark/>
          </w:tcPr>
          <w:p w14:paraId="37E911C4" w14:textId="77777777" w:rsidR="00010F2B" w:rsidRPr="00010F2B" w:rsidRDefault="00010F2B" w:rsidP="00010F2B">
            <w:pPr>
              <w:jc w:val="center"/>
              <w:rPr>
                <w:rFonts w:eastAsia="ArialNarrow"/>
                <w:b/>
                <w:bCs/>
              </w:rPr>
            </w:pPr>
            <w:r w:rsidRPr="00010F2B">
              <w:rPr>
                <w:rFonts w:eastAsia="ArialNarrow"/>
                <w:b/>
                <w:bCs/>
              </w:rPr>
              <w:t>Većina se vratila</w:t>
            </w:r>
          </w:p>
        </w:tc>
      </w:tr>
    </w:tbl>
    <w:p w14:paraId="65AE36EC" w14:textId="4D3D4397" w:rsidR="00010F2B" w:rsidRDefault="00010F2B" w:rsidP="00010F2B">
      <w:pPr>
        <w:rPr>
          <w:rFonts w:eastAsia="ArialNarrow"/>
        </w:rPr>
      </w:pPr>
    </w:p>
    <w:p w14:paraId="0905E275" w14:textId="7FAA7F13" w:rsidR="004E3DAC" w:rsidRDefault="004E3DAC" w:rsidP="004E3DAC">
      <w:pPr>
        <w:rPr>
          <w:rFonts w:eastAsia="ArialNarrow"/>
        </w:rPr>
      </w:pPr>
      <w:r w:rsidRPr="004E3DAC">
        <w:rPr>
          <w:rFonts w:eastAsia="ArialNarrow"/>
        </w:rPr>
        <w:lastRenderedPageBreak/>
        <w:t>Na pitanje o izazovima organizacije rada s kojima su se susretali za vrijeme trajanja epidemioloških mjera, oko tri četvrtine ispitanika navelo je sigurnost na radnom mjestu (uključujući osiguravanje zaštitne i dezinfekcijske opreme za djelatnike i klijente, mjerenje temperature te osiguravanje uvjeta za održavanje fizičke distance), oko 40% navelo je promjenu radnog vremena (uključujući smjenski rad ili dodatne smjene uz vremenski razmak između smjena), a 19% navelo je organizaciju rada od kuće. Manji broj ispitanika naveo je obustavu posla ili pad prometa (8%), troškove vezane uz dezinfekcijske i zaštitne materijale i ostale troškove (8%), osiguravanje zamjene za odsutnog djelatnika (6%), a 3 su ispitanika odgovorila kako se nisu susreli s problemima organizacije rada.</w:t>
      </w:r>
    </w:p>
    <w:p w14:paraId="179D709F" w14:textId="785ED175" w:rsidR="004D4B50" w:rsidRPr="004D4B50" w:rsidRDefault="00FE5E90" w:rsidP="004D4B50">
      <w:pPr>
        <w:rPr>
          <w:rFonts w:eastAsia="ArialNarrow"/>
        </w:rPr>
      </w:pPr>
      <w:r w:rsidRPr="00FE5E90">
        <w:rPr>
          <w:rFonts w:eastAsia="ArialNarrow"/>
        </w:rPr>
        <w:t>Za vrijeme trajanja epidemioloških mjera 34% je ispitanika odgovorilo kako je na određeno vrijeme moralo zatvoriti svoj poslovni subjekt, a 89% njih planira nastaviti poslovanje kada se za to stvore uvjeti (tj., od 37 subjekata, 33 ih namjerava ponovo pokrenuti poslovanje). Razlog zatvaranja je u 95% slučajeva Odluka stožera civilne zaštite, a ostatak čine pad prometa i bolovanje.</w:t>
      </w:r>
      <w:r w:rsidR="004D4B50">
        <w:rPr>
          <w:rFonts w:eastAsia="ArialNarrow"/>
        </w:rPr>
        <w:t xml:space="preserve"> </w:t>
      </w:r>
      <w:r w:rsidR="004D4B50" w:rsidRPr="004D4B50">
        <w:rPr>
          <w:rFonts w:eastAsia="ArialNarrow"/>
        </w:rPr>
        <w:t xml:space="preserve">U 2020. godini 7 ispitanika odgovorilo je da namjerava trajno ugasiti svoj obrt (6) </w:t>
      </w:r>
      <w:r w:rsidR="004D4B50">
        <w:rPr>
          <w:rFonts w:eastAsia="ArialNarrow"/>
        </w:rPr>
        <w:t xml:space="preserve">odnosno </w:t>
      </w:r>
      <w:r w:rsidR="004D4B50" w:rsidRPr="004D4B50">
        <w:rPr>
          <w:rFonts w:eastAsia="ArialNarrow"/>
        </w:rPr>
        <w:t>trgovačko društvo (1)</w:t>
      </w:r>
      <w:r w:rsidR="004D4B50">
        <w:rPr>
          <w:rFonts w:eastAsia="ArialNarrow"/>
        </w:rPr>
        <w:t>.</w:t>
      </w:r>
      <w:r w:rsidR="004D4B50" w:rsidRPr="004D4B50">
        <w:rPr>
          <w:rFonts w:eastAsia="ArialNarrow"/>
        </w:rPr>
        <w:t xml:space="preserve"> </w:t>
      </w:r>
      <w:r w:rsidR="004D4B50">
        <w:rPr>
          <w:rFonts w:eastAsia="ArialNarrow"/>
        </w:rPr>
        <w:t>R</w:t>
      </w:r>
      <w:r w:rsidR="004D4B50" w:rsidRPr="004D4B50">
        <w:rPr>
          <w:rFonts w:eastAsia="ArialNarrow"/>
        </w:rPr>
        <w:t>azlozi gašenja su gubici pretrpljeni zbog pandemije i epidemioloških mjera, nezadovoljstvo s državnim nametima te neisplativost poslovanja.</w:t>
      </w:r>
    </w:p>
    <w:p w14:paraId="766369FB" w14:textId="7C321FC7" w:rsidR="007511EA" w:rsidRPr="007511EA" w:rsidRDefault="00985EDB" w:rsidP="007511EA">
      <w:pPr>
        <w:rPr>
          <w:rFonts w:eastAsia="ArialNarrow"/>
        </w:rPr>
      </w:pPr>
      <w:r w:rsidRPr="00985EDB">
        <w:rPr>
          <w:rFonts w:eastAsia="ArialNarrow"/>
        </w:rPr>
        <w:t xml:space="preserve">Vlada RH poduzela je </w:t>
      </w:r>
      <w:r w:rsidR="007B2826">
        <w:rPr>
          <w:rFonts w:eastAsia="ArialNarrow"/>
        </w:rPr>
        <w:t xml:space="preserve">u 2020. godini </w:t>
      </w:r>
      <w:r w:rsidRPr="00985EDB">
        <w:rPr>
          <w:rFonts w:eastAsia="ArialNarrow"/>
        </w:rPr>
        <w:t xml:space="preserve">mjere ublažavanja nepovoljnih gospodarskih posljedica bolesti COVID-19 na gospodarstvo. Ispitanici su </w:t>
      </w:r>
      <w:r w:rsidR="005C7AA8">
        <w:rPr>
          <w:rFonts w:eastAsia="ArialNarrow"/>
        </w:rPr>
        <w:t xml:space="preserve">u anketi </w:t>
      </w:r>
      <w:r w:rsidRPr="00985EDB">
        <w:rPr>
          <w:rFonts w:eastAsia="ArialNarrow"/>
        </w:rPr>
        <w:t>dali svoje procjene koristi vladinih mjera. Oko 65% (71 subjekt) ispitanika odgovorilo je kako mjere Vlade RH poduzete radi ublažavanja nepovoljnih gospodarskih posljedica bolesti COVID-19 nisu dostatne za oporavak gospodarstva KZŽ, oko 20% (22) odgovorilo je kako jesu dostatne, a preostalih oko 16% (17) odgovorilo je kako nisu upoznati s mjerama. Dvije trećine obrta i 80% trgovačkih društava odgovorili su kako misle da mjere nisu dovoljne za ublažavanje nepovoljnih posljedica. Neke od dostupnih mjera za očuvanje poslovanja koristi 29% ispitanika (32 subjekta), 59% (65) ne koristi ni jednu mjeru Vlade RH, a 12% (13) ih nije upoznato s mjerama za očuvanje svog poslovanja.</w:t>
      </w:r>
      <w:r w:rsidR="007511EA">
        <w:rPr>
          <w:rFonts w:eastAsia="ArialNarrow"/>
        </w:rPr>
        <w:t xml:space="preserve"> </w:t>
      </w:r>
      <w:bookmarkStart w:id="166" w:name="_Hlk85029054"/>
      <w:r w:rsidR="007511EA" w:rsidRPr="007511EA">
        <w:rPr>
          <w:rFonts w:eastAsia="ArialNarrow"/>
        </w:rPr>
        <w:t xml:space="preserve">Neke od dostupnih mjera za očuvanje poslovanja </w:t>
      </w:r>
      <w:r w:rsidR="007511EA">
        <w:rPr>
          <w:rFonts w:eastAsia="ArialNarrow"/>
        </w:rPr>
        <w:t xml:space="preserve">u trenutku anketiranja </w:t>
      </w:r>
      <w:r w:rsidR="007511EA" w:rsidRPr="007511EA">
        <w:rPr>
          <w:rFonts w:eastAsia="ArialNarrow"/>
        </w:rPr>
        <w:t>koristi</w:t>
      </w:r>
      <w:r w:rsidR="007511EA">
        <w:rPr>
          <w:rFonts w:eastAsia="ArialNarrow"/>
        </w:rPr>
        <w:t>lo je</w:t>
      </w:r>
      <w:r w:rsidR="007511EA" w:rsidRPr="007511EA">
        <w:rPr>
          <w:rFonts w:eastAsia="ArialNarrow"/>
        </w:rPr>
        <w:t xml:space="preserve"> 29% ispitanika (32 subjekta), 59% (65) n</w:t>
      </w:r>
      <w:r w:rsidR="007511EA">
        <w:rPr>
          <w:rFonts w:eastAsia="ArialNarrow"/>
        </w:rPr>
        <w:t xml:space="preserve">ije koristilo </w:t>
      </w:r>
      <w:r w:rsidR="007511EA" w:rsidRPr="007511EA">
        <w:rPr>
          <w:rFonts w:eastAsia="ArialNarrow"/>
        </w:rPr>
        <w:t xml:space="preserve">ni jednu mjeru Vlade RH, a 12% (13) ih nije </w:t>
      </w:r>
      <w:r w:rsidR="007511EA">
        <w:rPr>
          <w:rFonts w:eastAsia="ArialNarrow"/>
        </w:rPr>
        <w:t xml:space="preserve">bilo </w:t>
      </w:r>
      <w:r w:rsidR="007511EA" w:rsidRPr="007511EA">
        <w:rPr>
          <w:rFonts w:eastAsia="ArialNarrow"/>
        </w:rPr>
        <w:t xml:space="preserve">upoznato s mjerama za očuvanje svog poslovanja. </w:t>
      </w:r>
      <w:bookmarkEnd w:id="166"/>
      <w:r w:rsidR="007511EA" w:rsidRPr="007511EA">
        <w:rPr>
          <w:rFonts w:eastAsia="ArialNarrow"/>
        </w:rPr>
        <w:t>Mjere za očuvanje poslovanja koristi</w:t>
      </w:r>
      <w:r w:rsidR="007511EA">
        <w:rPr>
          <w:rFonts w:eastAsia="ArialNarrow"/>
        </w:rPr>
        <w:t>lo je</w:t>
      </w:r>
      <w:r w:rsidR="007511EA" w:rsidRPr="007511EA">
        <w:rPr>
          <w:rFonts w:eastAsia="ArialNarrow"/>
        </w:rPr>
        <w:t xml:space="preserve"> 26% obrta i 50% trgovačkih društava. </w:t>
      </w:r>
      <w:bookmarkStart w:id="167" w:name="_Hlk55820905"/>
      <w:r w:rsidR="007511EA" w:rsidRPr="007511EA">
        <w:rPr>
          <w:rFonts w:eastAsia="ArialNarrow"/>
        </w:rPr>
        <w:t>Potporu za očuvanje radnih mjesta u djelatnostima pogođenim epidemiološkim mjerama provedenih zbog pandemije bolesti COVID-19 koristi</w:t>
      </w:r>
      <w:r w:rsidR="007511EA">
        <w:rPr>
          <w:rFonts w:eastAsia="ArialNarrow"/>
        </w:rPr>
        <w:t>lo je</w:t>
      </w:r>
      <w:r w:rsidR="007511EA" w:rsidRPr="007511EA">
        <w:rPr>
          <w:rFonts w:eastAsia="ArialNarrow"/>
        </w:rPr>
        <w:t xml:space="preserve"> ukupno 69 ispitanih poslovnih subjekata</w:t>
      </w:r>
      <w:r w:rsidR="004E3DAC">
        <w:rPr>
          <w:rFonts w:eastAsia="ArialNarrow"/>
        </w:rPr>
        <w:t xml:space="preserve"> od toga </w:t>
      </w:r>
      <w:r w:rsidR="007511EA" w:rsidRPr="007511EA">
        <w:rPr>
          <w:rFonts w:eastAsia="ArialNarrow"/>
        </w:rPr>
        <w:t>65% (55) ispitanih obrta i 70% (14) ispitanih trgovačkih društava</w:t>
      </w:r>
      <w:bookmarkEnd w:id="167"/>
      <w:r w:rsidR="007511EA" w:rsidRPr="007511EA">
        <w:rPr>
          <w:rFonts w:eastAsia="ArialNarrow"/>
        </w:rPr>
        <w:t>.</w:t>
      </w:r>
    </w:p>
    <w:p w14:paraId="4B2101A1" w14:textId="26BE10F6" w:rsidR="004D4B50" w:rsidRDefault="00FE5E90" w:rsidP="004D4B50">
      <w:pPr>
        <w:rPr>
          <w:rFonts w:eastAsia="ArialNarrow"/>
        </w:rPr>
      </w:pPr>
      <w:r>
        <w:rPr>
          <w:rFonts w:eastAsia="ArialNarrow"/>
        </w:rPr>
        <w:t>U provedenoj anketi poslovni subjekti bili su zamoljeni da navedu mjere/odgovore na koje</w:t>
      </w:r>
      <w:r w:rsidRPr="00FE5E90">
        <w:rPr>
          <w:rFonts w:eastAsia="ArialNarrow"/>
        </w:rPr>
        <w:t xml:space="preserve"> su samoinicijativno uveli u poslovanje</w:t>
      </w:r>
      <w:r>
        <w:rPr>
          <w:rFonts w:eastAsia="ArialNarrow"/>
        </w:rPr>
        <w:t xml:space="preserve"> u vrijeme pandemije. </w:t>
      </w:r>
      <w:r w:rsidRPr="00FE5E90">
        <w:rPr>
          <w:rFonts w:eastAsia="ArialNarrow"/>
        </w:rPr>
        <w:t>Mjere/odgovori koje su samoin</w:t>
      </w:r>
      <w:r w:rsidR="005147BC">
        <w:rPr>
          <w:rFonts w:eastAsia="ArialNarrow"/>
        </w:rPr>
        <w:t>i</w:t>
      </w:r>
      <w:r w:rsidRPr="00FE5E90">
        <w:rPr>
          <w:rFonts w:eastAsia="ArialNarrow"/>
        </w:rPr>
        <w:t>cijativno uveli prvenstveno se odnose na pridržavanje uputa stožera civilne zaštite, održavanje fizičke distance, korištenje zaštitnih maski i druge opreme te dezinficiranje prostora i oruđa (59%), zatim na prilagodbe radnog vremena, smjenski rad i rad od kuće (17%) te na razne prilagodbe poslovanja (19%); npr. smanjenje osobnog dohotka, jači marketing, promjene primarnih usluga ili proizvoda, popusti, naručivanje termina, korištenje godišnjeg odmora, smanjenje učestalosti putovanja, digitalna i telefonska komunikacija, ponuda dostave).</w:t>
      </w:r>
      <w:r w:rsidR="004D4B50">
        <w:rPr>
          <w:rFonts w:eastAsia="ArialNarrow"/>
        </w:rPr>
        <w:t xml:space="preserve"> </w:t>
      </w:r>
    </w:p>
    <w:p w14:paraId="5A274C89" w14:textId="1AA2B725" w:rsidR="00985EDB" w:rsidRDefault="004D4B50" w:rsidP="00985EDB">
      <w:pPr>
        <w:rPr>
          <w:rFonts w:eastAsia="ArialNarrow"/>
        </w:rPr>
      </w:pPr>
      <w:r w:rsidRPr="004D4B50">
        <w:rPr>
          <w:rFonts w:eastAsia="ArialNarrow"/>
        </w:rPr>
        <w:t>Oko trećina ispitanih ne zna procijeniti vrijeme potrebno za dostizanje razine poslovanja na kojoj su bili prije uvođenja epidemioloških mjera, a oko četvrtine ispitanih predviđa da će im za to biti potrebno 6-12 mjeseci.</w:t>
      </w:r>
      <w:r>
        <w:rPr>
          <w:rFonts w:eastAsia="ArialNarrow"/>
        </w:rPr>
        <w:t xml:space="preserve"> </w:t>
      </w:r>
    </w:p>
    <w:p w14:paraId="6F58D38A" w14:textId="77777777" w:rsidR="00CF4B96" w:rsidRDefault="00CF4B96" w:rsidP="00985EDB">
      <w:pPr>
        <w:rPr>
          <w:rFonts w:eastAsia="ArialNarrow"/>
        </w:rPr>
      </w:pPr>
    </w:p>
    <w:p w14:paraId="1A71F2F5" w14:textId="60F7B9E0" w:rsidR="004D4B50" w:rsidRPr="004D4B50" w:rsidRDefault="004D4B50" w:rsidP="004D4B50">
      <w:pPr>
        <w:rPr>
          <w:rFonts w:eastAsia="ArialNarrow"/>
        </w:rPr>
      </w:pPr>
      <w:r w:rsidRPr="004D4B50">
        <w:rPr>
          <w:rFonts w:eastAsia="ArialNarrow"/>
        </w:rPr>
        <w:t xml:space="preserve">Graf </w:t>
      </w:r>
      <w:r w:rsidR="00CF4B96">
        <w:rPr>
          <w:rFonts w:eastAsia="ArialNarrow"/>
        </w:rPr>
        <w:t>50</w:t>
      </w:r>
      <w:r w:rsidRPr="004D4B50">
        <w:rPr>
          <w:rFonts w:eastAsia="ArialNarrow"/>
        </w:rPr>
        <w:t>. Procjena ispitanika o vremenu potrebnom za dostizanje razine poslovanja kakva je bila prije uvođenja epidemioloških mjera</w:t>
      </w:r>
    </w:p>
    <w:p w14:paraId="3AEC6881" w14:textId="4283327E" w:rsidR="004D4B50" w:rsidRPr="00985EDB" w:rsidRDefault="004D4B50" w:rsidP="00985EDB">
      <w:pPr>
        <w:rPr>
          <w:rFonts w:eastAsia="ArialNarrow"/>
        </w:rPr>
      </w:pPr>
      <w:r>
        <w:rPr>
          <w:noProof/>
        </w:rPr>
        <w:drawing>
          <wp:inline distT="0" distB="0" distL="0" distR="0" wp14:anchorId="3E34D26E" wp14:editId="2EB427BC">
            <wp:extent cx="5861050" cy="2324100"/>
            <wp:effectExtent l="0" t="0" r="6350" b="0"/>
            <wp:docPr id="227" name="Chart 10" title="Chart">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05913ABA" w14:textId="573FE48F" w:rsidR="72F644C8" w:rsidRDefault="72F644C8" w:rsidP="009415A9">
      <w:pPr>
        <w:rPr>
          <w:rFonts w:eastAsia="ArialNarrow"/>
        </w:rPr>
      </w:pPr>
    </w:p>
    <w:p w14:paraId="09321CF5" w14:textId="63E882FE" w:rsidR="005B1E07" w:rsidRDefault="004D4B50" w:rsidP="005B1E07">
      <w:pPr>
        <w:rPr>
          <w:rFonts w:eastAsia="ArialNarrow"/>
        </w:rPr>
      </w:pPr>
      <w:r>
        <w:rPr>
          <w:rFonts w:eastAsia="ArialNarrow"/>
        </w:rPr>
        <w:t>Nakon što su ispitanici dali svoje viđenje utjecaja pandemije na njihovo poslovanje bili su zamoljeni za</w:t>
      </w:r>
      <w:r w:rsidRPr="004D4B50">
        <w:rPr>
          <w:rFonts w:eastAsia="ArialNarrow"/>
        </w:rPr>
        <w:t xml:space="preserve"> mišljenj</w:t>
      </w:r>
      <w:r>
        <w:rPr>
          <w:rFonts w:eastAsia="ArialNarrow"/>
        </w:rPr>
        <w:t>e</w:t>
      </w:r>
      <w:r w:rsidRPr="004D4B50">
        <w:rPr>
          <w:rFonts w:eastAsia="ArialNarrow"/>
        </w:rPr>
        <w:t xml:space="preserve"> koje bi djelatnosti Županija trebala poticati </w:t>
      </w:r>
      <w:r>
        <w:rPr>
          <w:rFonts w:eastAsia="ArialNarrow"/>
        </w:rPr>
        <w:t>te se n</w:t>
      </w:r>
      <w:r w:rsidR="005B1E07">
        <w:rPr>
          <w:rFonts w:eastAsia="ArialNarrow"/>
        </w:rPr>
        <w:t>a</w:t>
      </w:r>
      <w:r>
        <w:rPr>
          <w:rFonts w:eastAsia="ArialNarrow"/>
        </w:rPr>
        <w:t xml:space="preserve"> ovo pitanje </w:t>
      </w:r>
      <w:r w:rsidRPr="004D4B50">
        <w:rPr>
          <w:rFonts w:eastAsia="ArialNarrow"/>
        </w:rPr>
        <w:t xml:space="preserve">moglo dati više od jednog odgovora. Tako u ukupnom udjelu odgovora najviše (25%) čine djelatnosti proizvodnje i prerade, a slijede djelatnosti poljoprivrede, šumarstva i prehrane, uključujući OPG i eko uzgoj </w:t>
      </w:r>
      <w:r w:rsidRPr="004D4B50">
        <w:rPr>
          <w:rFonts w:eastAsia="ArialNarrow"/>
        </w:rPr>
        <w:lastRenderedPageBreak/>
        <w:t>(17%). Slijede usluge, ugostiteljstvo, turizam, obrti (uključujući tradicionalne i deficitarne), sve ili sve krizom pogođene djelatnosti (po desetak posto), zatim kategorija bez odgovora (7%), građevinarstvo, IT, prijevozništvo, zdravstvo i obrazovanje i znanost (po 4% i manje zastupljenosti u odgovorima)</w:t>
      </w:r>
      <w:r w:rsidR="005B1E07">
        <w:rPr>
          <w:rFonts w:eastAsia="ArialNarrow"/>
        </w:rPr>
        <w:t xml:space="preserve"> te </w:t>
      </w:r>
      <w:r w:rsidR="005B1E07" w:rsidRPr="004D4B50">
        <w:rPr>
          <w:rFonts w:eastAsia="ArialNarrow"/>
        </w:rPr>
        <w:t xml:space="preserve">odgovor </w:t>
      </w:r>
      <w:r w:rsidR="005B1E07" w:rsidRPr="004D4B50">
        <w:rPr>
          <w:rFonts w:eastAsia="ArialNarrow"/>
          <w:i/>
          <w:iCs/>
        </w:rPr>
        <w:t>ne znam</w:t>
      </w:r>
      <w:r w:rsidR="005B1E07" w:rsidRPr="004D4B50">
        <w:rPr>
          <w:rFonts w:eastAsia="ArialNarrow"/>
        </w:rPr>
        <w:t xml:space="preserve"> (3%)</w:t>
      </w:r>
      <w:r w:rsidRPr="004D4B50">
        <w:rPr>
          <w:rFonts w:eastAsia="ArialNarrow"/>
        </w:rPr>
        <w:t xml:space="preserve">. </w:t>
      </w:r>
      <w:r w:rsidR="00CE774C">
        <w:rPr>
          <w:rFonts w:eastAsia="ArialNarrow"/>
        </w:rPr>
        <w:t>Ispitanici su naveli i p</w:t>
      </w:r>
      <w:r w:rsidR="00CE774C" w:rsidRPr="00CE774C">
        <w:rPr>
          <w:rFonts w:eastAsia="ArialNarrow"/>
        </w:rPr>
        <w:t>rijedlo</w:t>
      </w:r>
      <w:r w:rsidR="00CE774C">
        <w:rPr>
          <w:rFonts w:eastAsia="ArialNarrow"/>
        </w:rPr>
        <w:t>ge</w:t>
      </w:r>
      <w:r w:rsidR="00CE774C" w:rsidRPr="00CE774C">
        <w:rPr>
          <w:rFonts w:eastAsia="ArialNarrow"/>
        </w:rPr>
        <w:t xml:space="preserve"> mjera koje bi olakšale poslovanje za vrijeme trajanja </w:t>
      </w:r>
      <w:r w:rsidR="00CE774C">
        <w:rPr>
          <w:rFonts w:eastAsia="ArialNarrow"/>
        </w:rPr>
        <w:t xml:space="preserve">pandemije bolesti </w:t>
      </w:r>
      <w:r w:rsidR="00CE774C" w:rsidRPr="00CE774C">
        <w:rPr>
          <w:rFonts w:eastAsia="ArialNarrow"/>
        </w:rPr>
        <w:t>COVID-19 pandemije</w:t>
      </w:r>
      <w:r w:rsidR="00CE774C">
        <w:rPr>
          <w:rFonts w:eastAsia="ArialNarrow"/>
        </w:rPr>
        <w:t xml:space="preserve">, a prema analizi odgovora mogu se grupirani u tri skupine </w:t>
      </w:r>
      <w:r w:rsidR="00CE774C" w:rsidRPr="00CE774C">
        <w:rPr>
          <w:rFonts w:eastAsia="ArialNarrow"/>
        </w:rPr>
        <w:t xml:space="preserve">skupine. Prvu čine odgovori vezani uz korektniju potporu za poslovne subjekte i uključuju izbjegavanje strogih mjera poput </w:t>
      </w:r>
      <w:r w:rsidR="00CE774C" w:rsidRPr="00CE774C">
        <w:rPr>
          <w:rFonts w:eastAsia="ArialNarrow"/>
          <w:i/>
        </w:rPr>
        <w:t>lockdowna</w:t>
      </w:r>
      <w:r w:rsidR="00CE774C" w:rsidRPr="00CE774C">
        <w:rPr>
          <w:rFonts w:eastAsia="ArialNarrow"/>
        </w:rPr>
        <w:t xml:space="preserve"> (opće karantene), poziv na jednaku primjenu ili kontrolu primjene mjera za sve zahvaćene subjekte, pomoć malim obrtima, subvenciju plaća u slučaju karantene te druge oblike državne pomoći poput pomoći pri dobivanju i korištenju bespovratnih sredstava ili povoljnih kredita (37%). Drugu skupinu čine prijedlozi vezani uz smanjivanje ili ukidanje fiskalnih i parafiskalnih nameta, poreza, prireza, administrativnog opterećenja i drugih financijskih obaveza prema državnim tijelima (29%)</w:t>
      </w:r>
      <w:r w:rsidR="00CE774C">
        <w:rPr>
          <w:rFonts w:eastAsia="ArialNarrow"/>
        </w:rPr>
        <w:t>, a t</w:t>
      </w:r>
      <w:r w:rsidR="00CE774C" w:rsidRPr="00CE774C">
        <w:rPr>
          <w:rFonts w:eastAsia="ArialNarrow"/>
        </w:rPr>
        <w:t xml:space="preserve">reću skupinu čine odgovori </w:t>
      </w:r>
      <w:r w:rsidR="00CE774C" w:rsidRPr="00CE774C">
        <w:rPr>
          <w:rFonts w:eastAsia="ArialNarrow"/>
          <w:i/>
        </w:rPr>
        <w:t>ne znam</w:t>
      </w:r>
      <w:r w:rsidR="00CE774C">
        <w:rPr>
          <w:rFonts w:eastAsia="ArialNarrow"/>
        </w:rPr>
        <w:t xml:space="preserve">, </w:t>
      </w:r>
      <w:r w:rsidR="00CE774C" w:rsidRPr="00CE774C">
        <w:rPr>
          <w:rFonts w:eastAsia="ArialNarrow"/>
          <w:i/>
        </w:rPr>
        <w:t>bez prijedloga</w:t>
      </w:r>
      <w:r w:rsidR="00CE774C">
        <w:rPr>
          <w:rFonts w:eastAsia="ArialNarrow"/>
          <w:i/>
        </w:rPr>
        <w:t xml:space="preserve"> i ostali odgovori</w:t>
      </w:r>
      <w:r w:rsidR="00CE774C" w:rsidRPr="00CE774C">
        <w:rPr>
          <w:rFonts w:eastAsia="ArialNarrow"/>
          <w:i/>
        </w:rPr>
        <w:t xml:space="preserve"> </w:t>
      </w:r>
      <w:r w:rsidR="00CE774C" w:rsidRPr="00CE774C">
        <w:rPr>
          <w:rFonts w:eastAsia="ArialNarrow"/>
        </w:rPr>
        <w:t>(</w:t>
      </w:r>
      <w:r w:rsidR="00CE774C">
        <w:rPr>
          <w:rFonts w:eastAsia="ArialNarrow"/>
        </w:rPr>
        <w:t>3</w:t>
      </w:r>
      <w:r w:rsidR="00CE774C" w:rsidRPr="00CE774C">
        <w:rPr>
          <w:rFonts w:eastAsia="ArialNarrow"/>
        </w:rPr>
        <w:t>4%)</w:t>
      </w:r>
      <w:r w:rsidR="00CE774C">
        <w:rPr>
          <w:rFonts w:eastAsia="ArialNarrow"/>
        </w:rPr>
        <w:t xml:space="preserve">. </w:t>
      </w:r>
      <w:r w:rsidRPr="004D4B50">
        <w:rPr>
          <w:rFonts w:eastAsia="ArialNarrow"/>
        </w:rPr>
        <w:t>Kao i za druge podatke, i ovdje treba imati na umu mali broj ispitanika</w:t>
      </w:r>
      <w:r w:rsidR="005B1E07">
        <w:rPr>
          <w:rFonts w:eastAsia="ArialNarrow"/>
        </w:rPr>
        <w:t xml:space="preserve"> koji se odazvao anketi no d</w:t>
      </w:r>
      <w:r w:rsidR="005B1E07" w:rsidRPr="00985EDB">
        <w:rPr>
          <w:rFonts w:eastAsia="ArialNarrow"/>
        </w:rPr>
        <w:t>obivene informacije iz ove provedene ankete pružaju dobro polazište za razradu potrebnih aktivnosti oporavka gospodarstva županije.</w:t>
      </w:r>
    </w:p>
    <w:p w14:paraId="69F641A2" w14:textId="77777777" w:rsidR="0023263D" w:rsidRPr="005B1E07" w:rsidRDefault="0023263D" w:rsidP="005B1E07">
      <w:pPr>
        <w:rPr>
          <w:rFonts w:eastAsia="ArialNarrow"/>
        </w:rPr>
      </w:pPr>
    </w:p>
    <w:p w14:paraId="6AF2B005" w14:textId="295140BA" w:rsidR="008878A0" w:rsidRDefault="008878A0" w:rsidP="007F5268">
      <w:pPr>
        <w:shd w:val="clear" w:color="auto" w:fill="E5E5E5" w:themeFill="text1" w:themeFillTint="33"/>
        <w:rPr>
          <w:rFonts w:cstheme="minorHAnsi"/>
          <w:bCs/>
          <w:color w:val="auto"/>
        </w:rPr>
      </w:pPr>
      <w:r w:rsidRPr="008B241A">
        <w:rPr>
          <w:b/>
          <w:bCs/>
        </w:rPr>
        <w:t>Zaključak</w:t>
      </w:r>
    </w:p>
    <w:p w14:paraId="7B57AD3E" w14:textId="0F2E7E54" w:rsidR="008878A0" w:rsidRDefault="008878A0" w:rsidP="007F5268">
      <w:pPr>
        <w:pStyle w:val="Default"/>
        <w:shd w:val="clear" w:color="auto" w:fill="E5E5E5" w:themeFill="text1" w:themeFillTint="33"/>
        <w:spacing w:line="276" w:lineRule="auto"/>
        <w:jc w:val="both"/>
        <w:rPr>
          <w:rFonts w:ascii="Newslab" w:hAnsi="Newslab" w:cstheme="minorHAnsi"/>
          <w:color w:val="3F3F3F" w:themeColor="text1" w:themeShade="80"/>
          <w:sz w:val="18"/>
          <w:szCs w:val="18"/>
        </w:rPr>
      </w:pPr>
      <w:r w:rsidRPr="004B573B">
        <w:rPr>
          <w:rFonts w:ascii="Newslab" w:eastAsia="Arial Narrow" w:hAnsi="Newslab" w:cstheme="minorHAnsi"/>
          <w:color w:val="3F3F3F" w:themeColor="text1" w:themeShade="80"/>
          <w:spacing w:val="-1"/>
          <w:sz w:val="18"/>
          <w:szCs w:val="18"/>
        </w:rPr>
        <w:t xml:space="preserve">Proteklih godina, uz manje fluktuacije, prisutan je lagani pozitivan trend kod svih ključnih pokazatelja poslovanja poduzetnika Krapinsko-zagorske županije: rast broja poduzetnika, ukupnih prihoda, dobiti nakon oporezivanja, neto plaća i rast broja zaposlenih </w:t>
      </w:r>
      <w:r w:rsidR="00305CCD">
        <w:rPr>
          <w:rFonts w:ascii="Newslab" w:eastAsia="Arial Narrow" w:hAnsi="Newslab" w:cstheme="minorHAnsi"/>
          <w:color w:val="3F3F3F" w:themeColor="text1" w:themeShade="80"/>
          <w:spacing w:val="-1"/>
          <w:sz w:val="18"/>
          <w:szCs w:val="18"/>
        </w:rPr>
        <w:t>što ukazuje na polagani rast</w:t>
      </w:r>
      <w:r w:rsidRPr="004B573B">
        <w:rPr>
          <w:rFonts w:ascii="Newslab" w:eastAsia="Arial Narrow" w:hAnsi="Newslab" w:cstheme="minorHAnsi"/>
          <w:color w:val="3F3F3F" w:themeColor="text1" w:themeShade="80"/>
          <w:spacing w:val="-1"/>
          <w:sz w:val="18"/>
          <w:szCs w:val="18"/>
        </w:rPr>
        <w:t xml:space="preserve"> gospodarstva. </w:t>
      </w:r>
      <w:r w:rsidRPr="004B573B">
        <w:rPr>
          <w:rFonts w:ascii="Newslab" w:hAnsi="Newslab" w:cstheme="minorHAnsi"/>
          <w:color w:val="3F3F3F" w:themeColor="text1" w:themeShade="80"/>
          <w:sz w:val="18"/>
          <w:szCs w:val="18"/>
        </w:rPr>
        <w:t>Pozitivne trendove u posljednje 4 godine bilježi i obrtništvo s kontinuiranim povećanjem broja obrta.</w:t>
      </w:r>
      <w:r w:rsidR="00873B3F">
        <w:rPr>
          <w:rFonts w:ascii="Newslab" w:hAnsi="Newslab" w:cstheme="minorHAnsi"/>
          <w:color w:val="3F3F3F" w:themeColor="text1" w:themeShade="80"/>
          <w:sz w:val="18"/>
          <w:szCs w:val="18"/>
        </w:rPr>
        <w:t xml:space="preserve"> </w:t>
      </w:r>
      <w:r w:rsidR="00873B3F" w:rsidRPr="00873B3F">
        <w:rPr>
          <w:rFonts w:ascii="Newslab" w:hAnsi="Newslab" w:cstheme="minorHAnsi"/>
          <w:color w:val="3F3F3F" w:themeColor="text1" w:themeShade="80"/>
          <w:sz w:val="18"/>
          <w:szCs w:val="18"/>
        </w:rPr>
        <w:t>U Krapinsko-zagorskoj županiji najveće tri tvrtke po ukupnom prihodu i položaju među 1000 najvećih su Vetropack Straža d.d. (109.), Omco Croatia d.o.o. (155.) i Jedinstvo Krapina d.o.o. (201.)</w:t>
      </w:r>
    </w:p>
    <w:p w14:paraId="716753CC" w14:textId="77777777" w:rsidR="007F5268" w:rsidRPr="004B573B" w:rsidRDefault="007F5268" w:rsidP="007F5268">
      <w:pPr>
        <w:pStyle w:val="Default"/>
        <w:shd w:val="clear" w:color="auto" w:fill="E5E5E5" w:themeFill="text1" w:themeFillTint="33"/>
        <w:spacing w:line="276" w:lineRule="auto"/>
        <w:jc w:val="both"/>
        <w:rPr>
          <w:rFonts w:ascii="Newslab" w:hAnsi="Newslab" w:cstheme="minorHAnsi"/>
          <w:color w:val="3F3F3F" w:themeColor="text1" w:themeShade="80"/>
          <w:sz w:val="18"/>
          <w:szCs w:val="18"/>
        </w:rPr>
      </w:pPr>
    </w:p>
    <w:p w14:paraId="6D9E266C" w14:textId="2D8653F3" w:rsidR="008878A0" w:rsidRPr="004B573B" w:rsidRDefault="00497818" w:rsidP="007F5268">
      <w:pPr>
        <w:shd w:val="clear" w:color="auto" w:fill="E5E5E5" w:themeFill="text1" w:themeFillTint="33"/>
        <w:ind w:right="72"/>
        <w:rPr>
          <w:rFonts w:eastAsia="Arial Narrow" w:cstheme="minorHAnsi"/>
          <w:spacing w:val="-1"/>
          <w:szCs w:val="18"/>
        </w:rPr>
      </w:pPr>
      <w:r>
        <w:rPr>
          <w:rFonts w:eastAsia="Arial Narrow" w:cstheme="minorHAnsi"/>
          <w:spacing w:val="-1"/>
          <w:szCs w:val="18"/>
        </w:rPr>
        <w:t>P</w:t>
      </w:r>
      <w:r w:rsidR="008878A0" w:rsidRPr="004B573B">
        <w:rPr>
          <w:rFonts w:eastAsia="Arial Narrow" w:cstheme="minorHAnsi"/>
          <w:spacing w:val="-1"/>
          <w:szCs w:val="18"/>
        </w:rPr>
        <w:t>rosječna plaća zaposlenih kod poduzetnika još uvijek je manja od prosjeka države.</w:t>
      </w:r>
      <w:r>
        <w:rPr>
          <w:rFonts w:eastAsia="Arial Narrow" w:cstheme="minorHAnsi"/>
          <w:spacing w:val="-1"/>
          <w:szCs w:val="18"/>
        </w:rPr>
        <w:t xml:space="preserve"> U pogledu </w:t>
      </w:r>
      <w:r w:rsidR="008878A0" w:rsidRPr="004B573B">
        <w:rPr>
          <w:rFonts w:eastAsia="Arial Narrow" w:cstheme="minorHAnsi"/>
          <w:spacing w:val="-1"/>
          <w:szCs w:val="18"/>
        </w:rPr>
        <w:t>poduzetničk</w:t>
      </w:r>
      <w:r>
        <w:rPr>
          <w:rFonts w:eastAsia="Arial Narrow" w:cstheme="minorHAnsi"/>
          <w:spacing w:val="-1"/>
          <w:szCs w:val="18"/>
        </w:rPr>
        <w:t>e</w:t>
      </w:r>
      <w:r w:rsidR="008878A0" w:rsidRPr="004B573B">
        <w:rPr>
          <w:rFonts w:eastAsia="Arial Narrow" w:cstheme="minorHAnsi"/>
          <w:spacing w:val="-1"/>
          <w:szCs w:val="18"/>
        </w:rPr>
        <w:t xml:space="preserve"> konkurentnost</w:t>
      </w:r>
      <w:r>
        <w:rPr>
          <w:rFonts w:eastAsia="Arial Narrow" w:cstheme="minorHAnsi"/>
          <w:spacing w:val="-1"/>
          <w:szCs w:val="18"/>
        </w:rPr>
        <w:t>i</w:t>
      </w:r>
      <w:r w:rsidR="008878A0" w:rsidRPr="004B573B">
        <w:rPr>
          <w:rFonts w:eastAsia="Arial Narrow" w:cstheme="minorHAnsi"/>
          <w:spacing w:val="-1"/>
          <w:szCs w:val="18"/>
        </w:rPr>
        <w:t xml:space="preserve"> i aktivnost</w:t>
      </w:r>
      <w:r>
        <w:rPr>
          <w:rFonts w:eastAsia="Arial Narrow" w:cstheme="minorHAnsi"/>
          <w:spacing w:val="-1"/>
          <w:szCs w:val="18"/>
        </w:rPr>
        <w:t>i</w:t>
      </w:r>
      <w:r w:rsidR="008878A0" w:rsidRPr="004B573B">
        <w:rPr>
          <w:rFonts w:eastAsia="Arial Narrow" w:cstheme="minorHAnsi"/>
          <w:spacing w:val="-1"/>
          <w:szCs w:val="18"/>
        </w:rPr>
        <w:t xml:space="preserve"> koja se mjeri </w:t>
      </w:r>
      <w:r w:rsidR="008878A0" w:rsidRPr="004B573B">
        <w:rPr>
          <w:rFonts w:cstheme="minorHAnsi"/>
          <w:szCs w:val="18"/>
        </w:rPr>
        <w:t>p</w:t>
      </w:r>
      <w:r w:rsidR="008878A0" w:rsidRPr="004B573B">
        <w:rPr>
          <w:rFonts w:eastAsia="Arial Narrow" w:cstheme="minorHAnsi"/>
          <w:spacing w:val="-1"/>
          <w:szCs w:val="18"/>
        </w:rPr>
        <w:t>rema broju poduzeća na km</w:t>
      </w:r>
      <w:r w:rsidR="008878A0" w:rsidRPr="004B573B">
        <w:rPr>
          <w:rFonts w:eastAsia="Arial Narrow" w:cstheme="minorHAnsi"/>
          <w:spacing w:val="-1"/>
          <w:szCs w:val="18"/>
          <w:vertAlign w:val="superscript"/>
        </w:rPr>
        <w:t>2</w:t>
      </w:r>
      <w:r w:rsidR="008878A0" w:rsidRPr="004B573B">
        <w:rPr>
          <w:rFonts w:eastAsia="Arial Narrow" w:cstheme="minorHAnsi"/>
          <w:spacing w:val="-1"/>
          <w:szCs w:val="18"/>
        </w:rPr>
        <w:t xml:space="preserve"> </w:t>
      </w:r>
      <w:r>
        <w:rPr>
          <w:rFonts w:eastAsia="Arial Narrow" w:cstheme="minorHAnsi"/>
          <w:spacing w:val="-1"/>
          <w:szCs w:val="18"/>
        </w:rPr>
        <w:t>te</w:t>
      </w:r>
      <w:r w:rsidR="008878A0" w:rsidRPr="004B573B">
        <w:rPr>
          <w:rFonts w:eastAsia="Arial Narrow" w:cstheme="minorHAnsi"/>
          <w:spacing w:val="-1"/>
          <w:szCs w:val="18"/>
        </w:rPr>
        <w:t xml:space="preserve"> prema broju poduzeća na 1000 stanovnika, Krapinsko-zagorska županije zaostaje i za prosjekom Hrvatske u cjelini i za prosjekom </w:t>
      </w:r>
      <w:r w:rsidR="002337E0">
        <w:rPr>
          <w:rFonts w:eastAsia="Arial Narrow" w:cstheme="minorHAnsi"/>
          <w:spacing w:val="-1"/>
          <w:szCs w:val="18"/>
        </w:rPr>
        <w:t>Sjeverne</w:t>
      </w:r>
      <w:r w:rsidR="008878A0" w:rsidRPr="004B573B">
        <w:rPr>
          <w:rFonts w:eastAsia="Arial Narrow" w:cstheme="minorHAnsi"/>
          <w:spacing w:val="-1"/>
          <w:szCs w:val="18"/>
        </w:rPr>
        <w:t xml:space="preserve"> Hrvatske. </w:t>
      </w:r>
    </w:p>
    <w:p w14:paraId="6734E3A9" w14:textId="53F94817" w:rsidR="008878A0" w:rsidRDefault="008878A0" w:rsidP="007F5268">
      <w:pPr>
        <w:shd w:val="clear" w:color="auto" w:fill="E5E5E5" w:themeFill="text1" w:themeFillTint="33"/>
        <w:ind w:right="72"/>
        <w:rPr>
          <w:rFonts w:eastAsia="Arial Narrow" w:cstheme="minorHAnsi"/>
          <w:spacing w:val="-1"/>
          <w:szCs w:val="18"/>
          <w:shd w:val="clear" w:color="auto" w:fill="E5E5E5" w:themeFill="text1" w:themeFillTint="33"/>
        </w:rPr>
      </w:pPr>
      <w:r w:rsidRPr="004B573B">
        <w:rPr>
          <w:rFonts w:eastAsia="Arial Narrow" w:cstheme="minorHAnsi"/>
          <w:spacing w:val="-1"/>
          <w:szCs w:val="18"/>
        </w:rPr>
        <w:t>Nešto je bolja situacija s ulaganjem poduzetnika u dugotrajnu imovinu</w:t>
      </w:r>
      <w:r w:rsidR="00497818">
        <w:rPr>
          <w:rFonts w:eastAsia="Arial Narrow" w:cstheme="minorHAnsi"/>
          <w:spacing w:val="-1"/>
          <w:szCs w:val="18"/>
        </w:rPr>
        <w:t>. I</w:t>
      </w:r>
      <w:r w:rsidRPr="004B573B">
        <w:rPr>
          <w:rFonts w:eastAsia="Arial Narrow" w:cstheme="minorHAnsi"/>
          <w:spacing w:val="-1"/>
          <w:szCs w:val="18"/>
        </w:rPr>
        <w:t>ako je postotak poduzetnika koji su ulagali u dugot</w:t>
      </w:r>
      <w:r w:rsidR="002337E0">
        <w:rPr>
          <w:rFonts w:eastAsia="Arial Narrow" w:cstheme="minorHAnsi"/>
          <w:spacing w:val="-1"/>
          <w:szCs w:val="18"/>
        </w:rPr>
        <w:t xml:space="preserve">rajnu imovinu nizak, istovremeno je najviši na razini županija Sjeverne </w:t>
      </w:r>
      <w:r w:rsidRPr="004B573B">
        <w:rPr>
          <w:rFonts w:eastAsia="Arial Narrow" w:cstheme="minorHAnsi"/>
          <w:spacing w:val="-1"/>
          <w:szCs w:val="18"/>
        </w:rPr>
        <w:t>Hrvatske. Također, broj otvorenih tvrtki u odnosu na broj brisanih</w:t>
      </w:r>
      <w:r w:rsidR="002E78F5">
        <w:rPr>
          <w:rFonts w:eastAsia="Arial Narrow" w:cstheme="minorHAnsi"/>
          <w:spacing w:val="-1"/>
          <w:szCs w:val="18"/>
        </w:rPr>
        <w:t>,</w:t>
      </w:r>
      <w:r w:rsidRPr="004B573B">
        <w:rPr>
          <w:rFonts w:eastAsia="Arial Narrow" w:cstheme="minorHAnsi"/>
          <w:spacing w:val="-1"/>
          <w:szCs w:val="18"/>
        </w:rPr>
        <w:t xml:space="preserve"> u protekle 4 godine značajno je veći od pro</w:t>
      </w:r>
      <w:r w:rsidR="002337E0">
        <w:rPr>
          <w:rFonts w:eastAsia="Arial Narrow" w:cstheme="minorHAnsi"/>
          <w:spacing w:val="-1"/>
          <w:szCs w:val="18"/>
        </w:rPr>
        <w:t xml:space="preserve">sjeka RH i županija Sjeverne </w:t>
      </w:r>
      <w:r w:rsidRPr="004B573B">
        <w:rPr>
          <w:rFonts w:eastAsia="Arial Narrow" w:cstheme="minorHAnsi"/>
          <w:spacing w:val="-1"/>
          <w:szCs w:val="18"/>
          <w:shd w:val="clear" w:color="auto" w:fill="E5E5E5" w:themeFill="text1" w:themeFillTint="33"/>
        </w:rPr>
        <w:t>Hrvatske što ukazuje n</w:t>
      </w:r>
      <w:r w:rsidR="005147BC">
        <w:rPr>
          <w:rFonts w:eastAsia="Arial Narrow" w:cstheme="minorHAnsi"/>
          <w:spacing w:val="-1"/>
          <w:szCs w:val="18"/>
          <w:shd w:val="clear" w:color="auto" w:fill="E5E5E5" w:themeFill="text1" w:themeFillTint="33"/>
        </w:rPr>
        <w:t>a</w:t>
      </w:r>
      <w:r w:rsidRPr="004B573B">
        <w:rPr>
          <w:rFonts w:eastAsia="Arial Narrow" w:cstheme="minorHAnsi"/>
          <w:spacing w:val="-1"/>
          <w:szCs w:val="18"/>
          <w:shd w:val="clear" w:color="auto" w:fill="E5E5E5" w:themeFill="text1" w:themeFillTint="33"/>
        </w:rPr>
        <w:t xml:space="preserve"> veću poduzetničku dinamiku.</w:t>
      </w:r>
      <w:r w:rsidR="00D316F6">
        <w:rPr>
          <w:rFonts w:eastAsia="Arial Narrow" w:cstheme="minorHAnsi"/>
          <w:spacing w:val="-1"/>
          <w:szCs w:val="18"/>
          <w:shd w:val="clear" w:color="auto" w:fill="E5E5E5" w:themeFill="text1" w:themeFillTint="33"/>
        </w:rPr>
        <w:t xml:space="preserve"> Na području županije djeluje više tvrtki koje posluju u sklopu svjetskih grupacija te kontinuiranim ulaganjem u unapređenje poslovnih procesa pridonose iznimnim poslovnim rezultatima. Brojne su tvrtke nagrađivane kao iznimno društveno odgovorne i ekološki osviještene, stoga postaju poželjnim poslodavcem. </w:t>
      </w:r>
    </w:p>
    <w:p w14:paraId="42833273" w14:textId="4952C8F7" w:rsidR="00E7391E" w:rsidRDefault="008878A0" w:rsidP="007F5268">
      <w:pPr>
        <w:shd w:val="clear" w:color="auto" w:fill="E5E5E5" w:themeFill="text1" w:themeFillTint="33"/>
        <w:ind w:right="72"/>
        <w:rPr>
          <w:rFonts w:cstheme="minorHAnsi"/>
          <w:szCs w:val="18"/>
        </w:rPr>
      </w:pPr>
      <w:r w:rsidRPr="004B573B">
        <w:rPr>
          <w:rFonts w:cstheme="minorHAnsi"/>
          <w:szCs w:val="18"/>
        </w:rPr>
        <w:t xml:space="preserve">U gospodarstvu županije i dalje je najznačajnija prerađivačka industrija koja zapošljava najveći broj radnika te je i dalje najveći izvoznik. Posljednjih godina vanjsko trgovinska bilanca </w:t>
      </w:r>
      <w:r w:rsidR="00497818">
        <w:rPr>
          <w:rFonts w:cstheme="minorHAnsi"/>
          <w:szCs w:val="18"/>
        </w:rPr>
        <w:t xml:space="preserve">je pozitivna. </w:t>
      </w:r>
      <w:r w:rsidR="00D316F6">
        <w:rPr>
          <w:rFonts w:cstheme="minorHAnsi"/>
          <w:szCs w:val="18"/>
        </w:rPr>
        <w:t xml:space="preserve">Čak se trećina ukupnih prihoda ostvaruje na stranim tržištima. </w:t>
      </w:r>
      <w:r w:rsidR="00497818">
        <w:rPr>
          <w:rFonts w:cstheme="minorHAnsi"/>
          <w:szCs w:val="18"/>
        </w:rPr>
        <w:t>P</w:t>
      </w:r>
      <w:r w:rsidRPr="004B573B">
        <w:rPr>
          <w:rFonts w:cstheme="minorHAnsi"/>
          <w:szCs w:val="18"/>
        </w:rPr>
        <w:t xml:space="preserve">okrivenost uvoza izvozom i dalje </w:t>
      </w:r>
      <w:r w:rsidR="00497818">
        <w:rPr>
          <w:rFonts w:cstheme="minorHAnsi"/>
          <w:szCs w:val="18"/>
        </w:rPr>
        <w:t xml:space="preserve">se kreće </w:t>
      </w:r>
      <w:r w:rsidRPr="004B573B">
        <w:rPr>
          <w:rFonts w:cstheme="minorHAnsi"/>
          <w:szCs w:val="18"/>
        </w:rPr>
        <w:t xml:space="preserve">oko 1,7 što dokazuje da je Krapinsko-zagorska županija izvozno orijentirana. </w:t>
      </w:r>
      <w:r w:rsidR="00D316F6">
        <w:rPr>
          <w:rFonts w:cstheme="minorHAnsi"/>
          <w:szCs w:val="18"/>
        </w:rPr>
        <w:t xml:space="preserve">S druge strane, županija obiluje mnogim prirodnim sirovinama poput termalnih izvora. </w:t>
      </w:r>
      <w:r w:rsidR="00073894">
        <w:rPr>
          <w:rFonts w:cstheme="minorHAnsi"/>
          <w:szCs w:val="18"/>
        </w:rPr>
        <w:t>P</w:t>
      </w:r>
      <w:r w:rsidR="00D316F6">
        <w:rPr>
          <w:rFonts w:cstheme="minorHAnsi"/>
          <w:szCs w:val="18"/>
        </w:rPr>
        <w:t>osljednjih godina bilježe</w:t>
      </w:r>
      <w:r w:rsidR="00424F58">
        <w:rPr>
          <w:rFonts w:cstheme="minorHAnsi"/>
          <w:szCs w:val="18"/>
        </w:rPr>
        <w:t xml:space="preserve"> se</w:t>
      </w:r>
      <w:r w:rsidR="00D316F6">
        <w:rPr>
          <w:rFonts w:cstheme="minorHAnsi"/>
          <w:szCs w:val="18"/>
        </w:rPr>
        <w:t xml:space="preserve"> sve veća ulaganja u turistički sektor. Jedan je od rezultata ulaganja otvaranje prvog kampa s 5 zvjezdica u kontinentalnoj Hrvatskoj u 2019. godini koji je nadograđen s 3 milijuna eura vrijednom investicijom u suvremeni glamping resort. Krapinsko-zagorska županija ima konkurentsku prednost i u zdravstvenom sektoru zbog brojnih lječilišta i specijalnih bolnica. </w:t>
      </w:r>
    </w:p>
    <w:p w14:paraId="4437055D" w14:textId="2AF27031" w:rsidR="00E7391E" w:rsidRDefault="008878A0" w:rsidP="007F5268">
      <w:pPr>
        <w:shd w:val="clear" w:color="auto" w:fill="E5E5E5" w:themeFill="text1" w:themeFillTint="33"/>
        <w:ind w:right="72"/>
        <w:rPr>
          <w:rFonts w:cstheme="minorHAnsi"/>
          <w:szCs w:val="18"/>
        </w:rPr>
      </w:pPr>
      <w:r w:rsidRPr="004B573B">
        <w:rPr>
          <w:rFonts w:cstheme="minorHAnsi"/>
          <w:szCs w:val="18"/>
        </w:rPr>
        <w:t>Inovativnost županije je i dalje niska što se očituje po malom broju prijavljenih i odobrenih patenata te malom broju poduzeća koji posluju u djelatn</w:t>
      </w:r>
      <w:r w:rsidR="007F5268">
        <w:rPr>
          <w:rFonts w:cstheme="minorHAnsi"/>
          <w:szCs w:val="18"/>
        </w:rPr>
        <w:t>osti istraživanje i razvoj. Izostaju i</w:t>
      </w:r>
      <w:r w:rsidRPr="004B573B">
        <w:rPr>
          <w:rFonts w:cstheme="minorHAnsi"/>
          <w:szCs w:val="18"/>
        </w:rPr>
        <w:t xml:space="preserve"> ulaganja u istraživanje i razvoj. </w:t>
      </w:r>
    </w:p>
    <w:p w14:paraId="3B604925" w14:textId="06A5D1D8" w:rsidR="009B2D94" w:rsidRDefault="008878A0" w:rsidP="0095094C">
      <w:pPr>
        <w:shd w:val="clear" w:color="auto" w:fill="E5E5E5" w:themeFill="text1" w:themeFillTint="33"/>
        <w:ind w:right="72"/>
        <w:rPr>
          <w:rStyle w:val="A2"/>
          <w:rFonts w:ascii="Newslab" w:hAnsi="Newslab" w:cstheme="minorHAnsi"/>
          <w:color w:val="3F3F3F" w:themeColor="text1" w:themeShade="80"/>
          <w:sz w:val="18"/>
          <w:szCs w:val="18"/>
        </w:rPr>
      </w:pPr>
      <w:r w:rsidRPr="004B573B">
        <w:rPr>
          <w:rStyle w:val="A2"/>
          <w:rFonts w:ascii="Newslab" w:hAnsi="Newslab" w:cstheme="minorHAnsi"/>
          <w:color w:val="3F3F3F" w:themeColor="text1" w:themeShade="80"/>
          <w:sz w:val="18"/>
          <w:szCs w:val="18"/>
        </w:rPr>
        <w:t>Potporna infrastruktura namijenjena poduzetnicima je zadnjih godina ojačala te potporu poduzetnicima pruža Poduzetnički centar</w:t>
      </w:r>
      <w:r w:rsidR="00FF23F6">
        <w:rPr>
          <w:rStyle w:val="A2"/>
          <w:rFonts w:ascii="Newslab" w:hAnsi="Newslab" w:cstheme="minorHAnsi"/>
          <w:color w:val="3F3F3F" w:themeColor="text1" w:themeShade="80"/>
          <w:sz w:val="18"/>
          <w:szCs w:val="18"/>
        </w:rPr>
        <w:t xml:space="preserve"> Krapinsko- zagorske županije te novo izgrađeni</w:t>
      </w:r>
      <w:r w:rsidRPr="004B573B">
        <w:rPr>
          <w:rStyle w:val="A2"/>
          <w:rFonts w:ascii="Newslab" w:hAnsi="Newslab" w:cstheme="minorHAnsi"/>
          <w:color w:val="3F3F3F" w:themeColor="text1" w:themeShade="80"/>
          <w:sz w:val="18"/>
          <w:szCs w:val="18"/>
        </w:rPr>
        <w:t xml:space="preserve"> </w:t>
      </w:r>
      <w:r w:rsidRPr="004B573B">
        <w:rPr>
          <w:rFonts w:cstheme="minorHAnsi"/>
          <w:iCs/>
          <w:szCs w:val="18"/>
        </w:rPr>
        <w:t>Poslovno-tehnološki inkubator</w:t>
      </w:r>
      <w:r w:rsidR="00FF23F6">
        <w:rPr>
          <w:rFonts w:cstheme="minorHAnsi"/>
          <w:iCs/>
          <w:szCs w:val="18"/>
        </w:rPr>
        <w:t xml:space="preserve"> u kojem su smješteni poduzetnici početnici</w:t>
      </w:r>
      <w:r w:rsidR="007F5268">
        <w:rPr>
          <w:rFonts w:cstheme="minorHAnsi"/>
          <w:iCs/>
          <w:szCs w:val="18"/>
        </w:rPr>
        <w:t>. Međutim, potrebno je ulagati</w:t>
      </w:r>
      <w:r w:rsidRPr="004B573B">
        <w:rPr>
          <w:rStyle w:val="A2"/>
          <w:rFonts w:ascii="Newslab" w:hAnsi="Newslab" w:cstheme="minorHAnsi"/>
          <w:color w:val="3F3F3F" w:themeColor="text1" w:themeShade="80"/>
          <w:sz w:val="18"/>
          <w:szCs w:val="18"/>
        </w:rPr>
        <w:t xml:space="preserve"> u daljnji razvoj poslovnih zona, ka</w:t>
      </w:r>
      <w:r w:rsidR="007F5268">
        <w:rPr>
          <w:rStyle w:val="A2"/>
          <w:rFonts w:ascii="Newslab" w:hAnsi="Newslab" w:cstheme="minorHAnsi"/>
          <w:color w:val="3F3F3F" w:themeColor="text1" w:themeShade="80"/>
          <w:sz w:val="18"/>
          <w:szCs w:val="18"/>
        </w:rPr>
        <w:t xml:space="preserve">ko </w:t>
      </w:r>
      <w:r w:rsidRPr="004B573B">
        <w:rPr>
          <w:rStyle w:val="A2"/>
          <w:rFonts w:ascii="Newslab" w:hAnsi="Newslab" w:cstheme="minorHAnsi"/>
          <w:color w:val="3F3F3F" w:themeColor="text1" w:themeShade="80"/>
          <w:sz w:val="18"/>
          <w:szCs w:val="18"/>
        </w:rPr>
        <w:t>u izgradnju infrastrukture novih zona tako i u privlačenje investitora u postojeće zone.</w:t>
      </w:r>
    </w:p>
    <w:p w14:paraId="11E92649" w14:textId="77777777" w:rsidR="009B2D94" w:rsidRPr="009B2D94" w:rsidRDefault="009B2D94" w:rsidP="009B2D94">
      <w:pPr>
        <w:shd w:val="clear" w:color="auto" w:fill="E5E5E5" w:themeFill="text1" w:themeFillTint="33"/>
        <w:ind w:right="72"/>
        <w:rPr>
          <w:rFonts w:cstheme="minorHAnsi"/>
          <w:szCs w:val="18"/>
        </w:rPr>
      </w:pPr>
      <w:r w:rsidRPr="009B2D94">
        <w:rPr>
          <w:rFonts w:cstheme="minorHAnsi"/>
          <w:szCs w:val="18"/>
        </w:rPr>
        <w:t>Djelatnosti za koje je evidentiran ukupno najveći snažan i vrlo snažan nepovoljni učinak su pružanje smještaja te pripreme i usluživanje hrane, građevinarstvo, administrativne i pomoćne uslužne djelatnosti, prerađivačka industrija te trgovina. No, neki su subjekti istih primarnih djelatnosti prijavili manji ili nepostojanje nepovoljnog utjecaja, a jedan je građevinarski mikro obrt prijavio javljanje pozitivnog učinka.</w:t>
      </w:r>
    </w:p>
    <w:p w14:paraId="58D22BDA" w14:textId="3869B400" w:rsidR="009B2D94" w:rsidRDefault="0005533E" w:rsidP="0095094C">
      <w:pPr>
        <w:shd w:val="clear" w:color="auto" w:fill="E5E5E5" w:themeFill="text1" w:themeFillTint="33"/>
        <w:ind w:right="72"/>
        <w:rPr>
          <w:rStyle w:val="A2"/>
          <w:rFonts w:ascii="Newslab" w:hAnsi="Newslab" w:cstheme="minorHAnsi"/>
          <w:color w:val="3F3F3F" w:themeColor="text1" w:themeShade="80"/>
          <w:sz w:val="18"/>
          <w:szCs w:val="18"/>
        </w:rPr>
      </w:pPr>
      <w:r w:rsidRPr="0005533E">
        <w:rPr>
          <w:rFonts w:cstheme="minorHAnsi"/>
          <w:szCs w:val="18"/>
        </w:rPr>
        <w:t>Virus SARS-CoV-2 se krajem 2019. pojavio u Kini i u kratkom se roku proširio izvan Kine i Azije. Bolest uzrokovana virusom, COVID-19, ubrzo je poprimila pandemijske razmjere, a učinci na gospodarstvo usporedivi su s krizom 2008. te će se konačne kratkoročne i dugoročne posljedice tek pokazati</w:t>
      </w:r>
      <w:r>
        <w:rPr>
          <w:rFonts w:cstheme="minorHAnsi"/>
          <w:szCs w:val="18"/>
        </w:rPr>
        <w:t xml:space="preserve">. </w:t>
      </w:r>
      <w:r w:rsidRPr="0005533E">
        <w:rPr>
          <w:rFonts w:cstheme="minorHAnsi"/>
          <w:szCs w:val="18"/>
        </w:rPr>
        <w:t>Teme koje dobivaju na težini u ovim specifičnim okolnostima su digitalizacija i zdravstveni sustav, jer bez obzira na trajanje trenutnog i potencijalne nove valove pandemije, pokazalo se koliko je korisno i potrebno ulagati u digitalizaciju i zdravstvenu infrastrukturu.</w:t>
      </w:r>
      <w:r>
        <w:rPr>
          <w:rFonts w:cstheme="minorHAnsi"/>
          <w:szCs w:val="18"/>
        </w:rPr>
        <w:t xml:space="preserve"> </w:t>
      </w:r>
      <w:r w:rsidR="009B2D94" w:rsidRPr="009B2D94">
        <w:rPr>
          <w:rFonts w:cstheme="minorHAnsi"/>
          <w:szCs w:val="18"/>
        </w:rPr>
        <w:t xml:space="preserve">U Krapinsko-zagorskoj županiji epidemiološke mjere od ožujka do studenog 2020. ticale su se ograničavanja broja ljudi na raznim okupljanjima, ograničenog pristupa zdravstvenim ustanovama i ustanovama skrbi, korištenja zdravstvenih materijala poput maski i dezinficijensa te fizičke distance, a u proljetnoj karanteni ticale su se obustave poslovanja i ograničavanja kretanja stanovništva (kao i u ostatku RH). Na području institucionalnog </w:t>
      </w:r>
      <w:r w:rsidR="009B2D94" w:rsidRPr="009B2D94">
        <w:rPr>
          <w:rFonts w:cstheme="minorHAnsi"/>
          <w:szCs w:val="18"/>
        </w:rPr>
        <w:lastRenderedPageBreak/>
        <w:t>kapaciteta, došlo je i do nekih pozitivnih promjena; COVID kriza je i u javnom i u privatnom sektoru nametnula brži prelazak na digitalne kanale poslovanja i komunikacije te je potaknula dugoročno pozitivne i poželjne procese digitalne transformacije poslovanja. U KZŽ je ubrzan razvoj i uvođenje novih načina rada poput rada od kuće te korištenja digitalnih alata u poslovanju u većoj mjeri. Započelo je provođenje digitalizacije poslovanja KZŽ i županijskih institucija te je u veljači 2021. županijska skupština usvojila Strategiju digitalne transformacije KZŽ</w:t>
      </w:r>
      <w:r w:rsidR="00424F58">
        <w:rPr>
          <w:rFonts w:cstheme="minorHAnsi"/>
          <w:szCs w:val="18"/>
        </w:rPr>
        <w:t xml:space="preserve"> čime</w:t>
      </w:r>
      <w:r w:rsidR="009B2D94" w:rsidRPr="009B2D94">
        <w:rPr>
          <w:rFonts w:cstheme="minorHAnsi"/>
          <w:szCs w:val="18"/>
        </w:rPr>
        <w:t xml:space="preserve"> je digitalna transformacije integrirana u planiranje županijskog strateškog razvoja. No, posljedice korona krize manje su povoljne na području gospodarstva i poljoprivrede u županiji</w:t>
      </w:r>
      <w:r w:rsidR="009B2D94">
        <w:rPr>
          <w:rFonts w:cstheme="minorHAnsi"/>
          <w:szCs w:val="18"/>
        </w:rPr>
        <w:t xml:space="preserve"> što su pokazali i rezultati provedene ankete u listopadu 2020.godine.</w:t>
      </w:r>
      <w:r>
        <w:rPr>
          <w:rFonts w:cstheme="minorHAnsi"/>
          <w:szCs w:val="18"/>
        </w:rPr>
        <w:t xml:space="preserve"> </w:t>
      </w:r>
      <w:r w:rsidR="009B2D94" w:rsidRPr="00985EDB">
        <w:rPr>
          <w:rFonts w:cstheme="minorHAnsi"/>
          <w:szCs w:val="18"/>
        </w:rPr>
        <w:t>Rezultati provedene ankete da</w:t>
      </w:r>
      <w:r>
        <w:rPr>
          <w:rFonts w:cstheme="minorHAnsi"/>
          <w:szCs w:val="18"/>
        </w:rPr>
        <w:t>li su</w:t>
      </w:r>
      <w:r w:rsidR="009B2D94" w:rsidRPr="00985EDB">
        <w:rPr>
          <w:rFonts w:cstheme="minorHAnsi"/>
          <w:szCs w:val="18"/>
        </w:rPr>
        <w:t xml:space="preserve"> informacije o utjecaju COVID-19 na poslovanje gospodarskih subjekata, financijsku održivost, kao i informacije o efektima poduzetih mjera kao odgovora na pandemijsku krizu</w:t>
      </w:r>
      <w:r>
        <w:rPr>
          <w:rFonts w:cstheme="minorHAnsi"/>
          <w:szCs w:val="18"/>
        </w:rPr>
        <w:t xml:space="preserve">. Ispitanici su u anketi uspoređivali promet za razdoblje </w:t>
      </w:r>
      <w:r w:rsidR="009B2D94" w:rsidRPr="009B2D94">
        <w:rPr>
          <w:rFonts w:cstheme="minorHAnsi"/>
          <w:szCs w:val="18"/>
        </w:rPr>
        <w:t>ožujak-rujan 2019. u usporedbi s istim razdobljem u 2020. godini. Najviše ispitanika, njih 30 (27%) odgovorilo je da j</w:t>
      </w:r>
      <w:r>
        <w:rPr>
          <w:rFonts w:cstheme="minorHAnsi"/>
          <w:szCs w:val="18"/>
        </w:rPr>
        <w:t>e</w:t>
      </w:r>
      <w:r w:rsidR="009B2D94" w:rsidRPr="009B2D94">
        <w:rPr>
          <w:rFonts w:cstheme="minorHAnsi"/>
          <w:szCs w:val="18"/>
        </w:rPr>
        <w:t xml:space="preserve"> vidljivo smanjenje prometa više od 50%, </w:t>
      </w:r>
      <w:r w:rsidRPr="009B2D94">
        <w:rPr>
          <w:rFonts w:cstheme="minorHAnsi"/>
          <w:szCs w:val="18"/>
        </w:rPr>
        <w:t>29 poslovnih subjekata (26%</w:t>
      </w:r>
      <w:r>
        <w:rPr>
          <w:rFonts w:cstheme="minorHAnsi"/>
          <w:szCs w:val="18"/>
        </w:rPr>
        <w:t>) odgovorilo je da je vidljivo</w:t>
      </w:r>
      <w:r w:rsidRPr="009B2D94">
        <w:rPr>
          <w:rFonts w:cstheme="minorHAnsi"/>
          <w:szCs w:val="18"/>
        </w:rPr>
        <w:t xml:space="preserve"> </w:t>
      </w:r>
      <w:r w:rsidR="009B2D94" w:rsidRPr="009B2D94">
        <w:rPr>
          <w:rFonts w:cstheme="minorHAnsi"/>
          <w:szCs w:val="18"/>
        </w:rPr>
        <w:t>smanjenje prometa od 10-30%</w:t>
      </w:r>
      <w:r>
        <w:rPr>
          <w:rFonts w:cstheme="minorHAnsi"/>
          <w:szCs w:val="18"/>
        </w:rPr>
        <w:t xml:space="preserve">, </w:t>
      </w:r>
      <w:r w:rsidR="009B2D94" w:rsidRPr="009B2D94">
        <w:rPr>
          <w:rFonts w:cstheme="minorHAnsi"/>
          <w:szCs w:val="18"/>
        </w:rPr>
        <w:t xml:space="preserve">nije vidljivo smanjenje prometa odgovorilo je 11 ispitanika (10%) dok je jedan poslovni subjekt prijavio porast prometa. </w:t>
      </w:r>
      <w:r w:rsidR="0023263D">
        <w:rPr>
          <w:rFonts w:cstheme="minorHAnsi"/>
          <w:szCs w:val="18"/>
        </w:rPr>
        <w:t>I</w:t>
      </w:r>
      <w:r w:rsidR="0023263D" w:rsidRPr="0023263D">
        <w:rPr>
          <w:rFonts w:cstheme="minorHAnsi"/>
          <w:szCs w:val="18"/>
        </w:rPr>
        <w:t xml:space="preserve">spitanici </w:t>
      </w:r>
      <w:r w:rsidR="0023263D">
        <w:rPr>
          <w:rFonts w:cstheme="minorHAnsi"/>
          <w:szCs w:val="18"/>
        </w:rPr>
        <w:t>su se anketom izjasnili i o djelatnostima za koje misle da bi ih Županija trebala poticati te tako navode</w:t>
      </w:r>
      <w:r w:rsidR="0023263D" w:rsidRPr="0023263D">
        <w:rPr>
          <w:rFonts w:cstheme="minorHAnsi"/>
          <w:szCs w:val="18"/>
        </w:rPr>
        <w:t xml:space="preserve"> djelatnosti </w:t>
      </w:r>
      <w:r w:rsidR="006A0CB0">
        <w:rPr>
          <w:rFonts w:cstheme="minorHAnsi"/>
          <w:szCs w:val="18"/>
        </w:rPr>
        <w:t xml:space="preserve">poput </w:t>
      </w:r>
      <w:r w:rsidR="0023263D" w:rsidRPr="0023263D">
        <w:rPr>
          <w:rFonts w:cstheme="minorHAnsi"/>
          <w:szCs w:val="18"/>
        </w:rPr>
        <w:t>proizvodnje i prerade, djelatnosti poljoprivrede, šumarstva i prehrane, uključujući OPG i eko uzgoj</w:t>
      </w:r>
      <w:r w:rsidR="0023263D">
        <w:rPr>
          <w:rFonts w:cstheme="minorHAnsi"/>
          <w:szCs w:val="18"/>
        </w:rPr>
        <w:t xml:space="preserve">, </w:t>
      </w:r>
      <w:r w:rsidR="0023263D" w:rsidRPr="0023263D">
        <w:rPr>
          <w:rFonts w:cstheme="minorHAnsi"/>
          <w:szCs w:val="18"/>
        </w:rPr>
        <w:t>usluge, ugostiteljstvo, turizam, obrti (uključujući tradicionalne i deficitarne)</w:t>
      </w:r>
      <w:r w:rsidR="0023263D">
        <w:rPr>
          <w:rFonts w:cstheme="minorHAnsi"/>
          <w:szCs w:val="18"/>
        </w:rPr>
        <w:t xml:space="preserve">, </w:t>
      </w:r>
      <w:r w:rsidR="0023263D" w:rsidRPr="0023263D">
        <w:rPr>
          <w:rFonts w:cstheme="minorHAnsi"/>
          <w:szCs w:val="18"/>
        </w:rPr>
        <w:t>građevinarstvo, IT, prijevozništvo, zdravstvo</w:t>
      </w:r>
      <w:r w:rsidR="0023263D">
        <w:rPr>
          <w:rFonts w:cstheme="minorHAnsi"/>
          <w:szCs w:val="18"/>
        </w:rPr>
        <w:t xml:space="preserve">, </w:t>
      </w:r>
      <w:r w:rsidR="0023263D" w:rsidRPr="0023263D">
        <w:rPr>
          <w:rFonts w:cstheme="minorHAnsi"/>
          <w:szCs w:val="18"/>
        </w:rPr>
        <w:t xml:space="preserve">obrazovanje i znanost </w:t>
      </w:r>
      <w:r w:rsidR="0023263D">
        <w:rPr>
          <w:rFonts w:cstheme="minorHAnsi"/>
          <w:szCs w:val="18"/>
        </w:rPr>
        <w:t xml:space="preserve">te </w:t>
      </w:r>
      <w:r w:rsidR="0023263D" w:rsidRPr="0023263D">
        <w:rPr>
          <w:rFonts w:cstheme="minorHAnsi"/>
          <w:szCs w:val="18"/>
        </w:rPr>
        <w:t>krizom pogođene djelatnosti</w:t>
      </w:r>
      <w:r w:rsidR="0023263D">
        <w:rPr>
          <w:rFonts w:cstheme="minorHAnsi"/>
          <w:szCs w:val="18"/>
        </w:rPr>
        <w:t xml:space="preserve">. </w:t>
      </w:r>
      <w:r w:rsidR="008577A3" w:rsidRPr="008577A3">
        <w:rPr>
          <w:rFonts w:cstheme="minorHAnsi"/>
          <w:szCs w:val="18"/>
        </w:rPr>
        <w:t>Dobivene informacije iz ove provedene ankete pružaju dobro polazište za razradu potrebnih aktivnosti oporavka gospodarstva županije.</w:t>
      </w:r>
    </w:p>
    <w:p w14:paraId="47D08F37" w14:textId="77E2F4B1" w:rsidR="004B573B" w:rsidRDefault="008878A0" w:rsidP="0095094C">
      <w:pPr>
        <w:shd w:val="clear" w:color="auto" w:fill="E5E5E5" w:themeFill="text1" w:themeFillTint="33"/>
        <w:ind w:right="72"/>
        <w:rPr>
          <w:rFonts w:eastAsiaTheme="majorEastAsia" w:cstheme="majorBidi"/>
          <w:color w:val="9D1A1F" w:themeColor="accent1" w:themeShade="BF"/>
          <w:sz w:val="28"/>
          <w:szCs w:val="28"/>
        </w:rPr>
      </w:pPr>
      <w:r w:rsidRPr="004B573B">
        <w:rPr>
          <w:rStyle w:val="A2"/>
          <w:rFonts w:ascii="Newslab" w:hAnsi="Newslab" w:cstheme="minorHAnsi"/>
          <w:color w:val="3F3F3F" w:themeColor="text1" w:themeShade="80"/>
          <w:sz w:val="18"/>
          <w:szCs w:val="18"/>
        </w:rPr>
        <w:t xml:space="preserve"> </w:t>
      </w:r>
      <w:r w:rsidR="004B573B">
        <w:br w:type="page"/>
      </w:r>
    </w:p>
    <w:p w14:paraId="0978AE23" w14:textId="361DFBDF" w:rsidR="008878A0" w:rsidRPr="00013DEC" w:rsidRDefault="004B573B" w:rsidP="005F13D3">
      <w:pPr>
        <w:pStyle w:val="Naslov1"/>
        <w:rPr>
          <w:rStyle w:val="NASLOV"/>
        </w:rPr>
      </w:pPr>
      <w:r w:rsidRPr="00013DEC">
        <w:rPr>
          <w:rStyle w:val="NASLOV"/>
        </w:rPr>
        <w:lastRenderedPageBreak/>
        <w:t xml:space="preserve"> </w:t>
      </w:r>
      <w:bookmarkStart w:id="168" w:name="_Toc85181339"/>
      <w:r w:rsidRPr="00013DEC">
        <w:rPr>
          <w:rStyle w:val="NASLOV"/>
        </w:rPr>
        <w:t>TURIZAM</w:t>
      </w:r>
      <w:bookmarkEnd w:id="168"/>
    </w:p>
    <w:p w14:paraId="259F5106" w14:textId="77777777" w:rsidR="002F7BC9" w:rsidRDefault="002F7BC9" w:rsidP="002F7BC9"/>
    <w:p w14:paraId="6BF40C0C" w14:textId="35AE16D6" w:rsidR="002F7BC9" w:rsidRPr="002F7BC9" w:rsidRDefault="0016046A" w:rsidP="002F7BC9">
      <w:r>
        <w:t>Turizam</w:t>
      </w:r>
      <w:r w:rsidR="002167B8">
        <w:t xml:space="preserve"> </w:t>
      </w:r>
      <w:r>
        <w:t>je izdvojen i obrađen kao zasebno poglavlje jer pre</w:t>
      </w:r>
      <w:r w:rsidR="004F55A9">
        <w:t>dstavlja sektor</w:t>
      </w:r>
      <w:r>
        <w:t xml:space="preserve"> gospodarstva u koji Krapinsko-zagorska županija značajno ulaže te po kojem je postala prepoznatljiva na nacionalnoj razini. </w:t>
      </w:r>
      <w:r w:rsidR="00193EDF">
        <w:t xml:space="preserve">U </w:t>
      </w:r>
      <w:r w:rsidR="00193EDF" w:rsidRPr="00193EDF">
        <w:t>2018.</w:t>
      </w:r>
      <w:r w:rsidR="00193EDF">
        <w:t xml:space="preserve"> godini</w:t>
      </w:r>
      <w:r w:rsidR="00193EDF" w:rsidRPr="00193EDF">
        <w:t xml:space="preserve"> KZŽ je proglašena najuspješnijom turističkom destinacijom kontinentalne Hrvatske</w:t>
      </w:r>
      <w:r w:rsidR="00193EDF">
        <w:t>.</w:t>
      </w:r>
      <w:r w:rsidR="002C7BD8">
        <w:t xml:space="preserve"> </w:t>
      </w:r>
      <w:r w:rsidR="00193EDF">
        <w:rPr>
          <w:vertAlign w:val="superscript"/>
        </w:rPr>
        <w:t>.</w:t>
      </w:r>
      <w:r w:rsidR="002C7BD8" w:rsidRPr="002C7BD8">
        <w:t>Nakon Grada Zagreba i Karlovačke županije, sada već prepoznatih top kontinentalnih destinacija, Zagorje je slijedeća regija u potpunosti spremna za prihvat sve većeg broja turista. Predispozicije su kvalitetni smještajni kapaciteti u različitim vrstama smještajnih objekata (kvalitetom i cijenom prihvatljivim različitim skupinama), bogatom eno-gastro ponudom te različitim sadržajima (od prirodne baštine, muzeja, dvoraca, do atrakcija poput Heli centra – simulatora leta ili Parka znanosti). Upravo su ti resursi razlog odličnog rasta koje zagorski turizam bilježi posljednjih godina. Nakon izvrsne 2019. godine u kojoj je u Krapinsko-zagorskoj županiji ostvareno 176.610 dolazaka i 373.149 noćenja te ostvaren rast od 10,97% ili 17.460 dolazaka više odnosno 7,09% ili 24.700 noćenja više, u Zagorju 2020. godine dolazi do pada uslijed pandemije COVID - 19.</w:t>
      </w:r>
      <w:r w:rsidR="002C7BD8">
        <w:rPr>
          <w:rStyle w:val="Referencafusnote"/>
        </w:rPr>
        <w:footnoteReference w:id="73"/>
      </w:r>
      <w:r w:rsidR="00513B6F">
        <w:t xml:space="preserve">. </w:t>
      </w:r>
      <w:r w:rsidR="00513B6F" w:rsidRPr="00513B6F">
        <w:t xml:space="preserve">Tako je u 2020. godini ostvareno 90.022 dolazaka i 205.125 noćenja. U usporedbi sa istim razdobljem </w:t>
      </w:r>
      <w:r w:rsidR="00513B6F">
        <w:t xml:space="preserve">prošle godine </w:t>
      </w:r>
      <w:r w:rsidR="00513B6F" w:rsidRPr="00513B6F">
        <w:t>(01.01.-31.12.), ovo predstavlja pad od 86.806 ili 49,09% u dolascima te pad od 168.267 ili 45,06% u noćenjima.</w:t>
      </w:r>
    </w:p>
    <w:p w14:paraId="75BD25B7" w14:textId="77777777" w:rsidR="008878A0" w:rsidRDefault="008878A0" w:rsidP="00941871">
      <w:pPr>
        <w:autoSpaceDE w:val="0"/>
        <w:autoSpaceDN w:val="0"/>
        <w:adjustRightInd w:val="0"/>
        <w:spacing w:after="0" w:line="240" w:lineRule="auto"/>
        <w:rPr>
          <w:rFonts w:ascii="Calibri" w:eastAsia="ArialNarrow,Bold" w:hAnsi="Calibri" w:cs="Calibri"/>
          <w:b/>
          <w:bCs/>
          <w:color w:val="4F82BE"/>
        </w:rPr>
      </w:pPr>
    </w:p>
    <w:p w14:paraId="745CD5BD" w14:textId="0F84CFE3" w:rsidR="008878A0" w:rsidRDefault="0035368C" w:rsidP="0052192B">
      <w:pPr>
        <w:pStyle w:val="Naslov2"/>
      </w:pPr>
      <w:bookmarkStart w:id="169" w:name="_Toc85181340"/>
      <w:r>
        <w:t>1</w:t>
      </w:r>
      <w:r w:rsidR="00B601EE">
        <w:t>1</w:t>
      </w:r>
      <w:r w:rsidR="008878A0">
        <w:t>.1. Upravljanje turizmom K</w:t>
      </w:r>
      <w:r w:rsidR="0016046A">
        <w:t>rapinsko-zagorske županije</w:t>
      </w:r>
      <w:bookmarkEnd w:id="169"/>
    </w:p>
    <w:p w14:paraId="2880A208" w14:textId="77777777" w:rsidR="008878A0" w:rsidRDefault="008878A0" w:rsidP="00941871">
      <w:pPr>
        <w:autoSpaceDE w:val="0"/>
        <w:autoSpaceDN w:val="0"/>
        <w:adjustRightInd w:val="0"/>
        <w:spacing w:after="0" w:line="240" w:lineRule="auto"/>
        <w:rPr>
          <w:rFonts w:ascii="Calibri" w:eastAsia="ArialNarrow,Bold" w:hAnsi="Calibri" w:cs="Calibri"/>
          <w:b/>
          <w:bCs/>
          <w:color w:val="4F82BE"/>
        </w:rPr>
      </w:pPr>
    </w:p>
    <w:p w14:paraId="69D4D5CF" w14:textId="4DAA1810" w:rsidR="008878A0" w:rsidRDefault="008878A0" w:rsidP="00941871">
      <w:pPr>
        <w:rPr>
          <w:rFonts w:asciiTheme="minorHAnsi" w:eastAsiaTheme="minorHAnsi" w:hAnsiTheme="minorHAnsi"/>
          <w:color w:val="auto"/>
        </w:rPr>
      </w:pPr>
      <w:r>
        <w:t>Krovni dokument za razvoj turizma u Krapinsko-zagorskoj županiji je Master-plan razvoja turizma Krapinsko-zagorske županije</w:t>
      </w:r>
      <w:r>
        <w:rPr>
          <w:vertAlign w:val="superscript"/>
        </w:rPr>
        <w:footnoteReference w:id="74"/>
      </w:r>
      <w:r>
        <w:t xml:space="preserve"> (u daljnjem tekstu: Master-plan). Riječ je o srednjoročnom strateškom dokumentu izrađenom 2015. godine koji daje smjernice razvoja turizma županije za period od 2016. do 2025. godine. Vizija turizma Zagorja u Master-planu govori o Zagorju kao najrazvijenijoj kontinentalnoj turističkoj regiji koja svojom raznolikom, cjelogodišnjom turističkom ponudom stvara temelj za dugoročno održivo poslovanje, obrazovanje i zadržavanje kvalitetnog kadra te stvaranje stabilnog tržišta za lokalne proizvođače. Naglašava se važnost visoko profesionalnog upravljanja turizmom Zagorja, što uključuje aktivan destinacijski menadžment, kreativan razvoj proizvoda i doživljaja, efikasan marketing i komunikaciju, proaktivno upravljanje zadovoljstvom posjetitelja te partnersko djelovanje svih dionika turističkog i povezanih sektora.</w:t>
      </w:r>
    </w:p>
    <w:p w14:paraId="251B5C4A" w14:textId="5BB4B04B" w:rsidR="008878A0" w:rsidRDefault="008878A0" w:rsidP="00941871">
      <w:r>
        <w:t>Kao prioritetne turističke proizvode Zagorja, Master-plan izdvaja: zdravlje, SPA i wellness; obiteljski odmor; poslovni turizam i događanja (MICE) te aktivni, sportski i avanturistički turizam. Definirana su i tri sekundarna proizvoda: kulturni turizam, vjerski turizam i agroturizam. U razvoju smještajne ponude, fokus je stavljen</w:t>
      </w:r>
      <w:r w:rsidR="0016046A">
        <w:t xml:space="preserve"> na termalne hotele, agroturizam</w:t>
      </w:r>
      <w:r>
        <w:t xml:space="preserve">, ruralne kuće za odmor, bed&amp;breakfast kapacitete te kampove i glamping, uz podršku </w:t>
      </w:r>
      <w:bookmarkStart w:id="170" w:name="_Hlk25169531"/>
      <w:r>
        <w:t>razvoju hotela unutar dvoraca i kurija, ali i malih privatnih tematskih hotela</w:t>
      </w:r>
      <w:bookmarkEnd w:id="170"/>
      <w:r>
        <w:t xml:space="preserve"> (npr. biciklistički ili vinski hoteli). </w:t>
      </w:r>
    </w:p>
    <w:p w14:paraId="25B0408D" w14:textId="48AB35F9" w:rsidR="008878A0" w:rsidRDefault="008878A0" w:rsidP="00941871">
      <w:r>
        <w:t>Infrastrukturu za upravljanje razvojem turizma predstavlja sustav turističkih zajednica koju čine Turistička zajednica Krapinsko-zagorske županije (TZ KZŽ) te 10 turističkih zajednica gradova i općina, odnosno, područja u KZŽ</w:t>
      </w:r>
      <w:r>
        <w:rPr>
          <w:vertAlign w:val="superscript"/>
        </w:rPr>
        <w:footnoteReference w:id="75"/>
      </w:r>
      <w:r>
        <w:t>. Stupanjem na snagu izmijenjenih zakona koji reguliraju sustav turističkih zajednica</w:t>
      </w:r>
      <w:r>
        <w:rPr>
          <w:vertAlign w:val="superscript"/>
        </w:rPr>
        <w:footnoteReference w:id="76"/>
      </w:r>
      <w:r>
        <w:t xml:space="preserve">, TZ KZŽ postaje regionalna destinacijska menadžment organizacija čije zadaće obuhvaćaju strateško planiranje i razvoj, upravljanje sustavom turizma na razini županije te marketing, dok bi se razvojem lokalnih proizvoda i događanja bavile lokalne turističke zajednice osnovane kao lokalne destinacijske menadžment organizacije za područje jedne ili više jedinica lokalne samouprave. Izmjene zakona imaju za cilj povećanje ukupne učinkovitosti sustava turističkih zajednica, osobito na regionalnoj i lokalnoj (destinacijskoj) razini, poticanjem udruživanja turističkih zajednica, kako bi se postigla financijska samodostatnost u djelovanju turističkih zajednica. Od trenutno ukupno 13 turističkih zajednica područja (TZP) u RH, u KZŽ su čak 4, što govori kako je sustav upravljanja turizmom KZŽ već krenuo u smjeru bolje koordinacije i veće prepoznatljivosti cijelog područja. </w:t>
      </w:r>
    </w:p>
    <w:p w14:paraId="75A92781" w14:textId="39101908" w:rsidR="008878A0" w:rsidRDefault="0002715A" w:rsidP="00941871">
      <w:r>
        <w:t>Na razini Ž</w:t>
      </w:r>
      <w:r w:rsidR="008878A0">
        <w:t xml:space="preserve">upanije 2017. godine osnovan je </w:t>
      </w:r>
      <w:bookmarkStart w:id="171" w:name="_Hlk25163330"/>
      <w:r w:rsidR="008878A0">
        <w:t xml:space="preserve">Klaster zdravstvenog turizma KZŽ </w:t>
      </w:r>
      <w:bookmarkEnd w:id="171"/>
      <w:r w:rsidR="008878A0">
        <w:t>koji broji 25 članova te okuplja ključne dionike u</w:t>
      </w:r>
      <w:r>
        <w:t xml:space="preserve"> području zdravstvenog turizma Ž</w:t>
      </w:r>
      <w:r w:rsidR="008878A0">
        <w:t>upanije. Cilj klastera je zajednički marketinški pristup i pozicioniranje KZŽ kao vodeće zdravstvene destinacije.</w:t>
      </w:r>
    </w:p>
    <w:p w14:paraId="755D683C" w14:textId="0CEE3551" w:rsidR="008878A0" w:rsidRDefault="008878A0" w:rsidP="00941871">
      <w:r>
        <w:t xml:space="preserve">Krapinsko-zagorska županija </w:t>
      </w:r>
      <w:r w:rsidR="00C777E1">
        <w:t xml:space="preserve">se </w:t>
      </w:r>
      <w:r w:rsidR="0002715A">
        <w:t>brendiranje</w:t>
      </w:r>
      <w:r w:rsidR="00C777E1">
        <w:t>m</w:t>
      </w:r>
      <w:r w:rsidR="0002715A">
        <w:t xml:space="preserve"> Ž</w:t>
      </w:r>
      <w:r w:rsidRPr="004B573B">
        <w:t xml:space="preserve">upanije </w:t>
      </w:r>
      <w:r w:rsidR="00C777E1">
        <w:t>i</w:t>
      </w:r>
      <w:r w:rsidRPr="004B573B">
        <w:t xml:space="preserve"> slogan</w:t>
      </w:r>
      <w:r w:rsidR="00C777E1">
        <w:t>om</w:t>
      </w:r>
      <w:r w:rsidRPr="004B573B">
        <w:t xml:space="preserve"> </w:t>
      </w:r>
      <w:r w:rsidRPr="004B573B">
        <w:rPr>
          <w:lang w:val="en-US"/>
        </w:rPr>
        <w:t>„</w:t>
      </w:r>
      <w:r w:rsidRPr="004B573B">
        <w:t xml:space="preserve">Zagorje - Bajka na dlanu“ želi pozicionirati kao destinacija za opuštajući odmor po mjeri posjetitelja. Vizualni identitet </w:t>
      </w:r>
      <w:r w:rsidRPr="004B573B">
        <w:rPr>
          <w:lang w:val="en-US"/>
        </w:rPr>
        <w:t>–</w:t>
      </w:r>
      <w:r w:rsidRPr="004B573B">
        <w:t xml:space="preserve"> logotip koji povezuje nekoliko elemenata u cjelinu koja označava prirodni krajolik, toplinu i gostoljubivost ljudi i čarobni, bajkovit dojam koji ovaj kraj ost</w:t>
      </w:r>
      <w:r w:rsidR="00D367A4">
        <w:t>avlja svojim izgledom</w:t>
      </w:r>
      <w:r w:rsidRPr="004B573B">
        <w:t xml:space="preserve"> te spomenuti slogan kao potpora vizualnom identitetu, kreirani su 2002. godine. Projekt brendiranja donio je pozitivne promjene s aspekta prepoznatljivosti i percepcije javnosti. U posljednj</w:t>
      </w:r>
      <w:r w:rsidR="0002715A">
        <w:t>ih 5 godina Krapinsko-zagorska ž</w:t>
      </w:r>
      <w:r w:rsidRPr="004B573B">
        <w:t xml:space="preserve">upanija koja upravlja brendom, intenzivno </w:t>
      </w:r>
      <w:r w:rsidRPr="004B573B">
        <w:lastRenderedPageBreak/>
        <w:t xml:space="preserve">brendira Zagorje kao turističku destinaciju pod </w:t>
      </w:r>
      <w:r>
        <w:t xml:space="preserve">sloganom „Zagorje – bajka na dlanu“, a </w:t>
      </w:r>
      <w:bookmarkStart w:id="172" w:name="_Hlk72397256"/>
      <w:r>
        <w:t>2018. KZŽ je proglašena najuspješnijom turističkom destinacijom kontinentalne Hrvatske</w:t>
      </w:r>
      <w:r>
        <w:rPr>
          <w:vertAlign w:val="superscript"/>
        </w:rPr>
        <w:footnoteReference w:id="77"/>
      </w:r>
      <w:r>
        <w:t>.</w:t>
      </w:r>
      <w:bookmarkEnd w:id="172"/>
    </w:p>
    <w:p w14:paraId="1B74C70D" w14:textId="0852CFEC" w:rsidR="008878A0" w:rsidRDefault="008878A0" w:rsidP="00941871">
      <w:r>
        <w:t>Važno je naglasiti kako je Srednja škola Zabok odabrana kao regionalni centar kompetentnosti u strukovnom obrazovanju i osposobljavanju koja bi u budućnosti svojom opremljenošću i stručnim kadrovima trebala biti nositelj kvalitetnog strukovnog obrazovanja u turizmu i ugostiteljstvu za šire područje SZ Hrvatske. Tome će doprinijeti i činjenica da je Ministarstvo regionalnog razvoja i fondova EU u studenom 2019. donijelo je Odluku o financiranju projektnog prijedloga „Regionalni centar kompetentnosti u turizmu i ugostiteljstvu Zabok“ te se kreće s realizacijom navedenog.</w:t>
      </w:r>
    </w:p>
    <w:p w14:paraId="6BFF3EF6" w14:textId="77777777" w:rsidR="00A7185B" w:rsidRDefault="00A7185B" w:rsidP="00941871"/>
    <w:p w14:paraId="5C8EAD36" w14:textId="16395F10" w:rsidR="008878A0" w:rsidRDefault="0035368C" w:rsidP="0052192B">
      <w:pPr>
        <w:pStyle w:val="Naslov2"/>
      </w:pPr>
      <w:bookmarkStart w:id="173" w:name="_Toc85181341"/>
      <w:r>
        <w:t>1</w:t>
      </w:r>
      <w:r w:rsidR="00B601EE">
        <w:t>1</w:t>
      </w:r>
      <w:r w:rsidR="008878A0">
        <w:t>.2. Turistička ponuda</w:t>
      </w:r>
      <w:bookmarkEnd w:id="173"/>
    </w:p>
    <w:p w14:paraId="6897E654" w14:textId="77777777" w:rsidR="008878A0" w:rsidRDefault="008878A0" w:rsidP="00941871">
      <w:pPr>
        <w:spacing w:after="0"/>
        <w:rPr>
          <w:rFonts w:eastAsiaTheme="minorHAnsi"/>
        </w:rPr>
      </w:pPr>
    </w:p>
    <w:p w14:paraId="266C0C12" w14:textId="5F41747B" w:rsidR="008878A0" w:rsidRDefault="0035368C" w:rsidP="006207AF">
      <w:pPr>
        <w:pStyle w:val="podpodnaslov111"/>
      </w:pPr>
      <w:bookmarkStart w:id="174" w:name="_Toc85181342"/>
      <w:r>
        <w:t>1</w:t>
      </w:r>
      <w:r w:rsidR="00B601EE">
        <w:t>1</w:t>
      </w:r>
      <w:r w:rsidR="008878A0">
        <w:t>.2.1. Postojeća smještajna infrastruktura</w:t>
      </w:r>
      <w:bookmarkEnd w:id="174"/>
    </w:p>
    <w:p w14:paraId="1A17C311" w14:textId="77777777" w:rsidR="008878A0" w:rsidRDefault="008878A0" w:rsidP="00941871"/>
    <w:p w14:paraId="1CA32351" w14:textId="711E053A" w:rsidR="008878A0" w:rsidRDefault="008878A0" w:rsidP="00941871">
      <w:r>
        <w:t xml:space="preserve">Na području Krapinsko-zagorske županije postoji raznovrsna ponuda smještajnih kapaciteta koja obuhvaća hotele, privatni </w:t>
      </w:r>
      <w:r w:rsidR="00D367A4">
        <w:t>smještaj, pansione, agroturizam/</w:t>
      </w:r>
      <w:r>
        <w:t xml:space="preserve">seoska domaćinstva, hostele i kampove. </w:t>
      </w:r>
      <w:r w:rsidRPr="00D367A4">
        <w:t xml:space="preserve">Iz perspektive upravljanja i kvalitete, KZŽ ima povoljnu </w:t>
      </w:r>
      <w:r w:rsidRPr="00AC3614">
        <w:t>smještajnu strukturu s obzirom na to da se najveći udio smještaja odnosi na hotele (</w:t>
      </w:r>
      <w:r w:rsidR="00AC3614">
        <w:t>45</w:t>
      </w:r>
      <w:r w:rsidRPr="00AC3614">
        <w:t>%)</w:t>
      </w:r>
      <w:r w:rsidR="00AC3614" w:rsidRPr="00AC3614">
        <w:t xml:space="preserve"> i privatne smještaje</w:t>
      </w:r>
      <w:r w:rsidR="00AC3614">
        <w:t xml:space="preserve"> (28%).</w:t>
      </w:r>
    </w:p>
    <w:p w14:paraId="06CA55BB" w14:textId="0CE02AE5" w:rsidR="001838EE" w:rsidRDefault="008878A0" w:rsidP="00941871">
      <w:pPr>
        <w:rPr>
          <w:rFonts w:ascii="Calibri" w:eastAsia="ArialNarrow" w:hAnsi="Calibri" w:cs="Calibri"/>
          <w:color w:val="000000"/>
        </w:rPr>
      </w:pPr>
      <w:r>
        <w:t>Tabela niže daje usporedni prikaz kretanja broja smještajnih objekata, smještajnih jedinica i broja krev</w:t>
      </w:r>
      <w:r w:rsidR="00A505EE">
        <w:t>eta u razdoblju od 201</w:t>
      </w:r>
      <w:r w:rsidR="00780BF2">
        <w:t>5</w:t>
      </w:r>
      <w:r w:rsidR="00A505EE">
        <w:t>. do 20</w:t>
      </w:r>
      <w:r w:rsidR="00780BF2">
        <w:t>20</w:t>
      </w:r>
      <w:r w:rsidR="0002715A">
        <w:t>. godine</w:t>
      </w:r>
      <w:r>
        <w:t xml:space="preserve">. </w:t>
      </w:r>
      <w:r w:rsidR="00CA6B43">
        <w:t xml:space="preserve">U </w:t>
      </w:r>
      <w:r>
        <w:t>promatranom periodu najveći porast broja kreveta relativno b</w:t>
      </w:r>
      <w:r w:rsidR="00A505EE">
        <w:t xml:space="preserve">ilježe kampovi </w:t>
      </w:r>
      <w:r w:rsidR="00A505EE" w:rsidRPr="002631DE">
        <w:t xml:space="preserve">(porast od </w:t>
      </w:r>
      <w:r w:rsidR="002631DE" w:rsidRPr="002631DE">
        <w:t>403</w:t>
      </w:r>
      <w:r w:rsidR="00A505EE" w:rsidRPr="002631DE">
        <w:t>,</w:t>
      </w:r>
      <w:r w:rsidR="002631DE" w:rsidRPr="002631DE">
        <w:t>3</w:t>
      </w:r>
      <w:r w:rsidR="00A505EE" w:rsidRPr="002631DE">
        <w:t>3</w:t>
      </w:r>
      <w:r w:rsidRPr="002631DE">
        <w:t>% u odnosu na</w:t>
      </w:r>
      <w:r w:rsidR="00B95FE6" w:rsidRPr="002631DE">
        <w:t xml:space="preserve"> 201</w:t>
      </w:r>
      <w:r w:rsidR="002631DE" w:rsidRPr="002631DE">
        <w:t>5</w:t>
      </w:r>
      <w:r w:rsidR="00B95FE6" w:rsidRPr="002631DE">
        <w:t xml:space="preserve">.) </w:t>
      </w:r>
      <w:r w:rsidR="004C5425">
        <w:t xml:space="preserve">i </w:t>
      </w:r>
      <w:r w:rsidR="00B95FE6" w:rsidRPr="00E8265D">
        <w:t>privatni smještaj (</w:t>
      </w:r>
      <w:r w:rsidR="00E8265D" w:rsidRPr="00E8265D">
        <w:t>176,38</w:t>
      </w:r>
      <w:r w:rsidR="00B95FE6" w:rsidRPr="00E8265D">
        <w:t>%)</w:t>
      </w:r>
      <w:r w:rsidRPr="00E8265D">
        <w:t>.</w:t>
      </w:r>
      <w:r>
        <w:t xml:space="preserve"> </w:t>
      </w:r>
      <w:r w:rsidR="002631DE">
        <w:t>Veliki porast broja kreveta u ov</w:t>
      </w:r>
      <w:r w:rsidR="003C4664">
        <w:t>im</w:t>
      </w:r>
      <w:r w:rsidR="002631DE">
        <w:t xml:space="preserve"> kategorij</w:t>
      </w:r>
      <w:r w:rsidR="003C4664">
        <w:t>ama</w:t>
      </w:r>
      <w:r w:rsidR="002631DE">
        <w:t xml:space="preserve"> ogleda se u činjenici </w:t>
      </w:r>
      <w:r w:rsidR="00E8265D">
        <w:t>kako</w:t>
      </w:r>
      <w:r w:rsidR="002631DE">
        <w:t xml:space="preserve"> </w:t>
      </w:r>
      <w:r w:rsidR="00E8265D">
        <w:t>su</w:t>
      </w:r>
      <w:r w:rsidR="002631DE">
        <w:t xml:space="preserve"> u 2020. godini zbog epidemioloških preporuka koje su bile na snazi </w:t>
      </w:r>
      <w:r w:rsidR="003C4664">
        <w:t>bili zatvoreni određeni smještajni objekti poput hotela</w:t>
      </w:r>
      <w:r w:rsidR="00123099">
        <w:t xml:space="preserve"> i </w:t>
      </w:r>
      <w:r w:rsidR="003C4664">
        <w:t xml:space="preserve">hostela </w:t>
      </w:r>
      <w:r w:rsidR="00123099">
        <w:t>pa je</w:t>
      </w:r>
      <w:r w:rsidR="003C4664">
        <w:t xml:space="preserve"> samim time porastao interes turista za odlaskom u privatne smještaje i kasnije kampove kojima se dozvolio rad prije nego što se dozvolio </w:t>
      </w:r>
      <w:r w:rsidR="00123099">
        <w:t xml:space="preserve">primjerice </w:t>
      </w:r>
      <w:r w:rsidR="003C4664">
        <w:t xml:space="preserve">hotelima. </w:t>
      </w:r>
      <w:r w:rsidR="00BC7770">
        <w:t xml:space="preserve">U 2020. godini primjetan je pad broja kreveta u hotelima (-8,26 %) </w:t>
      </w:r>
      <w:r w:rsidR="00FE30D4">
        <w:t xml:space="preserve">na što je utjecalo zatvaranje </w:t>
      </w:r>
      <w:r w:rsidR="00B86B82">
        <w:t>hotela Toplice</w:t>
      </w:r>
      <w:r w:rsidR="009D737A">
        <w:t xml:space="preserve"> u Krapinskim Toplicama.</w:t>
      </w:r>
    </w:p>
    <w:p w14:paraId="0EDA471F" w14:textId="77777777" w:rsidR="004C5425" w:rsidRPr="004C5425" w:rsidRDefault="004C5425" w:rsidP="00941871">
      <w:pPr>
        <w:rPr>
          <w:rFonts w:ascii="Calibri" w:eastAsia="ArialNarrow" w:hAnsi="Calibri" w:cs="Calibri"/>
          <w:color w:val="000000"/>
        </w:rPr>
      </w:pPr>
    </w:p>
    <w:p w14:paraId="7686988F" w14:textId="1583778D" w:rsidR="001838EE" w:rsidRDefault="001838EE" w:rsidP="003E3F3C">
      <w:pPr>
        <w:pStyle w:val="Opisslike"/>
      </w:pPr>
      <w:r>
        <w:t>Tablica</w:t>
      </w:r>
      <w:r w:rsidR="0035368C">
        <w:t xml:space="preserve"> </w:t>
      </w:r>
      <w:r w:rsidR="00A7185B">
        <w:t>103</w:t>
      </w:r>
      <w:r>
        <w:t xml:space="preserve">. </w:t>
      </w:r>
      <w:r w:rsidRPr="00A3361D">
        <w:t>Kretanje broja smještajnih kapaciteta u Krapinsko-zagorskoj županiji u razdoblju od 201</w:t>
      </w:r>
      <w:r w:rsidR="00813937">
        <w:t>5</w:t>
      </w:r>
      <w:r w:rsidRPr="00A3361D">
        <w:t xml:space="preserve">. </w:t>
      </w:r>
      <w:r w:rsidRPr="00E8265D">
        <w:t>do 20</w:t>
      </w:r>
      <w:r w:rsidR="00813937" w:rsidRPr="00E8265D">
        <w:t>20</w:t>
      </w:r>
      <w:r w:rsidRPr="00A3361D">
        <w:t>. godine</w:t>
      </w:r>
    </w:p>
    <w:tbl>
      <w:tblPr>
        <w:tblW w:w="9218" w:type="dxa"/>
        <w:tblInd w:w="-10" w:type="dxa"/>
        <w:tblBorders>
          <w:insideH w:val="single" w:sz="8" w:space="0" w:color="F3CFC1"/>
        </w:tblBorders>
        <w:tblLook w:val="04A0" w:firstRow="1" w:lastRow="0" w:firstColumn="1" w:lastColumn="0" w:noHBand="0" w:noVBand="1"/>
      </w:tblPr>
      <w:tblGrid>
        <w:gridCol w:w="249"/>
        <w:gridCol w:w="13"/>
        <w:gridCol w:w="2962"/>
        <w:gridCol w:w="793"/>
        <w:gridCol w:w="907"/>
        <w:gridCol w:w="783"/>
        <w:gridCol w:w="794"/>
        <w:gridCol w:w="672"/>
        <w:gridCol w:w="1045"/>
        <w:gridCol w:w="1000"/>
      </w:tblGrid>
      <w:tr w:rsidR="00780BF2" w:rsidRPr="000E19D8" w14:paraId="755D8C9B" w14:textId="77777777" w:rsidTr="002F0BCD">
        <w:trPr>
          <w:trHeight w:val="250"/>
          <w:tblHeader/>
        </w:trPr>
        <w:tc>
          <w:tcPr>
            <w:tcW w:w="3224" w:type="dxa"/>
            <w:gridSpan w:val="3"/>
            <w:tcBorders>
              <w:top w:val="nil"/>
              <w:left w:val="single" w:sz="8" w:space="0" w:color="D2232A"/>
              <w:bottom w:val="single" w:sz="4" w:space="0" w:color="FFFFFF"/>
              <w:right w:val="single" w:sz="4" w:space="0" w:color="FFFFFF"/>
            </w:tcBorders>
            <w:shd w:val="clear" w:color="auto" w:fill="D2232A"/>
            <w:noWrap/>
            <w:vAlign w:val="center"/>
            <w:hideMark/>
          </w:tcPr>
          <w:p w14:paraId="438B8F5D" w14:textId="77777777" w:rsidR="00780BF2" w:rsidRPr="000E19D8" w:rsidRDefault="00780BF2" w:rsidP="00780BF2">
            <w:pPr>
              <w:autoSpaceDE w:val="0"/>
              <w:autoSpaceDN w:val="0"/>
              <w:adjustRightInd w:val="0"/>
              <w:spacing w:after="0"/>
              <w:jc w:val="center"/>
              <w:rPr>
                <w:rFonts w:eastAsia="ArialNarrow" w:cs="Calibri"/>
                <w:color w:val="FFFFFF"/>
                <w:szCs w:val="18"/>
              </w:rPr>
            </w:pPr>
            <w:r w:rsidRPr="000E19D8">
              <w:rPr>
                <w:rFonts w:eastAsia="ArialNarrow" w:cs="Calibri"/>
                <w:b/>
                <w:bCs/>
                <w:color w:val="FFFFFF"/>
                <w:szCs w:val="18"/>
              </w:rPr>
              <w:t>Vrsta smještajnog objekta / godina</w:t>
            </w:r>
          </w:p>
        </w:tc>
        <w:tc>
          <w:tcPr>
            <w:tcW w:w="793" w:type="dxa"/>
            <w:tcBorders>
              <w:top w:val="nil"/>
              <w:left w:val="single" w:sz="4" w:space="0" w:color="FFFFFF"/>
              <w:bottom w:val="single" w:sz="4" w:space="0" w:color="FFFFFF"/>
              <w:right w:val="single" w:sz="4" w:space="0" w:color="FFFFFF"/>
            </w:tcBorders>
            <w:shd w:val="clear" w:color="auto" w:fill="D2232A"/>
            <w:noWrap/>
            <w:vAlign w:val="center"/>
            <w:hideMark/>
          </w:tcPr>
          <w:p w14:paraId="31F59F9D" w14:textId="77777777" w:rsidR="00780BF2" w:rsidRPr="000E19D8" w:rsidRDefault="00780BF2" w:rsidP="00780BF2">
            <w:pPr>
              <w:autoSpaceDE w:val="0"/>
              <w:autoSpaceDN w:val="0"/>
              <w:adjustRightInd w:val="0"/>
              <w:spacing w:after="0"/>
              <w:jc w:val="center"/>
              <w:rPr>
                <w:rFonts w:eastAsia="ArialNarrow" w:cs="Calibri"/>
                <w:b/>
                <w:bCs/>
                <w:color w:val="FFFFFF"/>
                <w:szCs w:val="18"/>
              </w:rPr>
            </w:pPr>
            <w:r w:rsidRPr="000E19D8">
              <w:rPr>
                <w:rFonts w:eastAsia="ArialNarrow" w:cs="Calibri"/>
                <w:b/>
                <w:bCs/>
                <w:color w:val="FFFFFF"/>
                <w:szCs w:val="18"/>
              </w:rPr>
              <w:t>2015.</w:t>
            </w:r>
          </w:p>
        </w:tc>
        <w:tc>
          <w:tcPr>
            <w:tcW w:w="907" w:type="dxa"/>
            <w:tcBorders>
              <w:top w:val="nil"/>
              <w:left w:val="single" w:sz="4" w:space="0" w:color="FFFFFF"/>
              <w:bottom w:val="single" w:sz="4" w:space="0" w:color="FFFFFF"/>
              <w:right w:val="single" w:sz="4" w:space="0" w:color="FFFFFF"/>
            </w:tcBorders>
            <w:shd w:val="clear" w:color="auto" w:fill="D2232A"/>
            <w:noWrap/>
            <w:vAlign w:val="center"/>
            <w:hideMark/>
          </w:tcPr>
          <w:p w14:paraId="36F9200E" w14:textId="10189528" w:rsidR="00780BF2" w:rsidRPr="000E19D8" w:rsidRDefault="00780BF2" w:rsidP="00780BF2">
            <w:pPr>
              <w:autoSpaceDE w:val="0"/>
              <w:autoSpaceDN w:val="0"/>
              <w:adjustRightInd w:val="0"/>
              <w:spacing w:after="0"/>
              <w:jc w:val="center"/>
              <w:rPr>
                <w:rFonts w:eastAsia="ArialNarrow" w:cs="Calibri"/>
                <w:b/>
                <w:bCs/>
                <w:color w:val="FFFFFF"/>
                <w:szCs w:val="18"/>
              </w:rPr>
            </w:pPr>
            <w:r w:rsidRPr="000E19D8">
              <w:rPr>
                <w:rFonts w:eastAsia="ArialNarrow" w:cs="Calibri"/>
                <w:b/>
                <w:bCs/>
                <w:color w:val="FFFFFF"/>
                <w:szCs w:val="18"/>
              </w:rPr>
              <w:t>2016.*</w:t>
            </w:r>
          </w:p>
        </w:tc>
        <w:tc>
          <w:tcPr>
            <w:tcW w:w="783" w:type="dxa"/>
            <w:tcBorders>
              <w:top w:val="nil"/>
              <w:left w:val="single" w:sz="4" w:space="0" w:color="FFFFFF"/>
              <w:bottom w:val="single" w:sz="4" w:space="0" w:color="FFFFFF"/>
              <w:right w:val="single" w:sz="4" w:space="0" w:color="FFFFFF"/>
            </w:tcBorders>
            <w:shd w:val="clear" w:color="auto" w:fill="D2232A"/>
            <w:noWrap/>
            <w:vAlign w:val="center"/>
            <w:hideMark/>
          </w:tcPr>
          <w:p w14:paraId="0E4F80A5" w14:textId="77777777" w:rsidR="00780BF2" w:rsidRPr="000E19D8" w:rsidRDefault="00780BF2" w:rsidP="00780BF2">
            <w:pPr>
              <w:autoSpaceDE w:val="0"/>
              <w:autoSpaceDN w:val="0"/>
              <w:adjustRightInd w:val="0"/>
              <w:spacing w:after="0"/>
              <w:jc w:val="center"/>
              <w:rPr>
                <w:rFonts w:eastAsia="ArialNarrow" w:cs="Calibri"/>
                <w:b/>
                <w:bCs/>
                <w:color w:val="FFFFFF"/>
                <w:szCs w:val="18"/>
              </w:rPr>
            </w:pPr>
            <w:r w:rsidRPr="000E19D8">
              <w:rPr>
                <w:rFonts w:eastAsia="ArialNarrow" w:cs="Calibri"/>
                <w:b/>
                <w:bCs/>
                <w:color w:val="FFFFFF"/>
                <w:szCs w:val="18"/>
              </w:rPr>
              <w:t>2017.</w:t>
            </w:r>
          </w:p>
        </w:tc>
        <w:tc>
          <w:tcPr>
            <w:tcW w:w="794" w:type="dxa"/>
            <w:tcBorders>
              <w:top w:val="nil"/>
              <w:left w:val="single" w:sz="4" w:space="0" w:color="FFFFFF"/>
              <w:bottom w:val="single" w:sz="4" w:space="0" w:color="FFFFFF"/>
              <w:right w:val="single" w:sz="4" w:space="0" w:color="FFFFFF"/>
            </w:tcBorders>
            <w:shd w:val="clear" w:color="auto" w:fill="D2232A"/>
            <w:noWrap/>
            <w:vAlign w:val="center"/>
            <w:hideMark/>
          </w:tcPr>
          <w:p w14:paraId="1B06FF54" w14:textId="77777777" w:rsidR="00780BF2" w:rsidRPr="000E19D8" w:rsidRDefault="00780BF2" w:rsidP="00780BF2">
            <w:pPr>
              <w:autoSpaceDE w:val="0"/>
              <w:autoSpaceDN w:val="0"/>
              <w:adjustRightInd w:val="0"/>
              <w:spacing w:after="0"/>
              <w:jc w:val="center"/>
              <w:rPr>
                <w:rFonts w:eastAsia="ArialNarrow" w:cs="Calibri"/>
                <w:b/>
                <w:bCs/>
                <w:color w:val="FFFFFF"/>
                <w:szCs w:val="18"/>
              </w:rPr>
            </w:pPr>
            <w:r w:rsidRPr="000E19D8">
              <w:rPr>
                <w:rFonts w:eastAsia="ArialNarrow" w:cs="Calibri"/>
                <w:b/>
                <w:bCs/>
                <w:color w:val="FFFFFF"/>
                <w:szCs w:val="18"/>
              </w:rPr>
              <w:t>2018.</w:t>
            </w:r>
          </w:p>
        </w:tc>
        <w:tc>
          <w:tcPr>
            <w:tcW w:w="672" w:type="dxa"/>
            <w:tcBorders>
              <w:top w:val="nil"/>
              <w:left w:val="single" w:sz="4" w:space="0" w:color="FFFFFF"/>
              <w:bottom w:val="single" w:sz="4" w:space="0" w:color="FFFFFF"/>
              <w:right w:val="single" w:sz="8" w:space="0" w:color="FFFFFF" w:themeColor="background1"/>
            </w:tcBorders>
            <w:shd w:val="clear" w:color="auto" w:fill="D2232A"/>
            <w:vAlign w:val="center"/>
          </w:tcPr>
          <w:p w14:paraId="767DF4A2" w14:textId="77777777" w:rsidR="00780BF2" w:rsidRPr="000E19D8" w:rsidRDefault="00780BF2" w:rsidP="00780BF2">
            <w:pPr>
              <w:autoSpaceDE w:val="0"/>
              <w:autoSpaceDN w:val="0"/>
              <w:adjustRightInd w:val="0"/>
              <w:spacing w:after="0"/>
              <w:jc w:val="center"/>
              <w:rPr>
                <w:rFonts w:eastAsia="ArialNarrow" w:cs="Calibri"/>
                <w:b/>
                <w:bCs/>
                <w:color w:val="FFFFFF"/>
                <w:szCs w:val="18"/>
              </w:rPr>
            </w:pPr>
            <w:r w:rsidRPr="000E19D8">
              <w:rPr>
                <w:rFonts w:eastAsia="ArialNarrow" w:cs="Calibri"/>
                <w:b/>
                <w:bCs/>
                <w:color w:val="FFFFFF"/>
                <w:szCs w:val="18"/>
              </w:rPr>
              <w:t>2019.</w:t>
            </w:r>
          </w:p>
        </w:tc>
        <w:tc>
          <w:tcPr>
            <w:tcW w:w="1045"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32A"/>
            <w:vAlign w:val="center"/>
          </w:tcPr>
          <w:p w14:paraId="158B413F" w14:textId="77777777" w:rsidR="00780BF2" w:rsidRPr="000E19D8" w:rsidRDefault="00780BF2" w:rsidP="00780BF2">
            <w:pPr>
              <w:autoSpaceDE w:val="0"/>
              <w:autoSpaceDN w:val="0"/>
              <w:adjustRightInd w:val="0"/>
              <w:spacing w:after="0"/>
              <w:jc w:val="center"/>
              <w:rPr>
                <w:rFonts w:eastAsia="ArialNarrow" w:cs="Calibri"/>
                <w:b/>
                <w:bCs/>
                <w:color w:val="FFFFFF"/>
                <w:szCs w:val="18"/>
              </w:rPr>
            </w:pPr>
            <w:r>
              <w:rPr>
                <w:rFonts w:eastAsia="ArialNarrow" w:cs="Calibri"/>
                <w:b/>
                <w:bCs/>
                <w:color w:val="FFFFFF"/>
                <w:szCs w:val="18"/>
              </w:rPr>
              <w:t>2020.</w:t>
            </w:r>
          </w:p>
        </w:tc>
        <w:tc>
          <w:tcPr>
            <w:tcW w:w="100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2232A"/>
            <w:vAlign w:val="center"/>
            <w:hideMark/>
          </w:tcPr>
          <w:p w14:paraId="1A52CBB5" w14:textId="70C26B49" w:rsidR="00780BF2" w:rsidRPr="000E19D8" w:rsidRDefault="00780BF2" w:rsidP="00780BF2">
            <w:pPr>
              <w:autoSpaceDE w:val="0"/>
              <w:autoSpaceDN w:val="0"/>
              <w:adjustRightInd w:val="0"/>
              <w:spacing w:after="0"/>
              <w:jc w:val="center"/>
              <w:rPr>
                <w:rFonts w:eastAsia="ArialNarrow" w:cs="Calibri"/>
                <w:b/>
                <w:bCs/>
                <w:color w:val="FFFFFF"/>
                <w:szCs w:val="18"/>
              </w:rPr>
            </w:pPr>
            <w:r w:rsidRPr="000E19D8">
              <w:rPr>
                <w:rFonts w:eastAsia="ArialNarrow" w:cs="Calibri"/>
                <w:b/>
                <w:bCs/>
                <w:color w:val="FFFFFF"/>
                <w:szCs w:val="18"/>
              </w:rPr>
              <w:t>Razlika u % (20</w:t>
            </w:r>
            <w:r>
              <w:rPr>
                <w:rFonts w:eastAsia="ArialNarrow" w:cs="Calibri"/>
                <w:b/>
                <w:bCs/>
                <w:color w:val="FFFFFF"/>
                <w:szCs w:val="18"/>
              </w:rPr>
              <w:t>20</w:t>
            </w:r>
            <w:r w:rsidRPr="000E19D8">
              <w:rPr>
                <w:rFonts w:eastAsia="ArialNarrow" w:cs="Calibri"/>
                <w:b/>
                <w:bCs/>
                <w:color w:val="FFFFFF"/>
                <w:szCs w:val="18"/>
              </w:rPr>
              <w:t>. u odnosu na 201</w:t>
            </w:r>
            <w:r>
              <w:rPr>
                <w:rFonts w:eastAsia="ArialNarrow" w:cs="Calibri"/>
                <w:b/>
                <w:bCs/>
                <w:color w:val="FFFFFF"/>
                <w:szCs w:val="18"/>
              </w:rPr>
              <w:t>5</w:t>
            </w:r>
            <w:r w:rsidRPr="000E19D8">
              <w:rPr>
                <w:rFonts w:eastAsia="ArialNarrow" w:cs="Calibri"/>
                <w:b/>
                <w:bCs/>
                <w:color w:val="FFFFFF"/>
                <w:szCs w:val="18"/>
              </w:rPr>
              <w:t>. )</w:t>
            </w:r>
          </w:p>
        </w:tc>
      </w:tr>
      <w:tr w:rsidR="00780BF2" w:rsidRPr="000E19D8" w14:paraId="66C80765" w14:textId="77777777" w:rsidTr="002F0BCD">
        <w:trPr>
          <w:trHeight w:val="250"/>
        </w:trPr>
        <w:tc>
          <w:tcPr>
            <w:tcW w:w="3224" w:type="dxa"/>
            <w:gridSpan w:val="3"/>
            <w:tcBorders>
              <w:top w:val="single" w:sz="4" w:space="0" w:color="FFFFFF"/>
              <w:left w:val="single" w:sz="8" w:space="0" w:color="D2232A"/>
              <w:bottom w:val="nil"/>
              <w:right w:val="single" w:sz="4" w:space="0" w:color="D2232A"/>
            </w:tcBorders>
            <w:noWrap/>
            <w:vAlign w:val="center"/>
            <w:hideMark/>
          </w:tcPr>
          <w:p w14:paraId="20E81CCF" w14:textId="77777777" w:rsidR="00780BF2" w:rsidRPr="000E19D8" w:rsidRDefault="00780BF2" w:rsidP="001F0A7B">
            <w:pPr>
              <w:autoSpaceDE w:val="0"/>
              <w:autoSpaceDN w:val="0"/>
              <w:adjustRightInd w:val="0"/>
              <w:spacing w:after="0"/>
              <w:rPr>
                <w:rFonts w:eastAsia="ArialNarrow" w:cs="Calibri"/>
                <w:b/>
                <w:bCs/>
                <w:szCs w:val="18"/>
              </w:rPr>
            </w:pPr>
            <w:r w:rsidRPr="000E19D8">
              <w:rPr>
                <w:rFonts w:eastAsia="ArialNarrow" w:cs="Calibri"/>
                <w:b/>
                <w:bCs/>
                <w:color w:val="3F3F3F"/>
                <w:szCs w:val="18"/>
              </w:rPr>
              <w:t>Hoteli</w:t>
            </w:r>
          </w:p>
        </w:tc>
        <w:tc>
          <w:tcPr>
            <w:tcW w:w="793" w:type="dxa"/>
            <w:tcBorders>
              <w:top w:val="single" w:sz="4" w:space="0" w:color="FFFFFF"/>
              <w:left w:val="single" w:sz="8" w:space="0" w:color="D2232A"/>
              <w:bottom w:val="nil"/>
              <w:right w:val="single" w:sz="8" w:space="0" w:color="D2232A"/>
            </w:tcBorders>
            <w:noWrap/>
            <w:vAlign w:val="center"/>
            <w:hideMark/>
          </w:tcPr>
          <w:p w14:paraId="0E878F6B" w14:textId="77777777" w:rsidR="00780BF2" w:rsidRPr="000E19D8" w:rsidRDefault="00780BF2" w:rsidP="001F0A7B">
            <w:pPr>
              <w:spacing w:after="0"/>
              <w:rPr>
                <w:rFonts w:eastAsia="Times New Roman" w:cs="Times New Roman"/>
                <w:color w:val="3F3F3F"/>
                <w:szCs w:val="18"/>
                <w:lang w:eastAsia="hr-HR"/>
              </w:rPr>
            </w:pPr>
          </w:p>
        </w:tc>
        <w:tc>
          <w:tcPr>
            <w:tcW w:w="907" w:type="dxa"/>
            <w:tcBorders>
              <w:top w:val="single" w:sz="4" w:space="0" w:color="FFFFFF"/>
              <w:left w:val="single" w:sz="8" w:space="0" w:color="D2232A"/>
              <w:bottom w:val="nil"/>
              <w:right w:val="single" w:sz="8" w:space="0" w:color="D2232A"/>
            </w:tcBorders>
            <w:noWrap/>
            <w:vAlign w:val="center"/>
            <w:hideMark/>
          </w:tcPr>
          <w:p w14:paraId="0195BF16" w14:textId="77777777" w:rsidR="00780BF2" w:rsidRPr="000E19D8" w:rsidRDefault="00780BF2" w:rsidP="001F0A7B">
            <w:pPr>
              <w:spacing w:after="0"/>
              <w:rPr>
                <w:rFonts w:eastAsia="Times New Roman" w:cs="Times New Roman"/>
                <w:color w:val="3F3F3F"/>
                <w:szCs w:val="18"/>
                <w:lang w:eastAsia="hr-HR"/>
              </w:rPr>
            </w:pPr>
          </w:p>
        </w:tc>
        <w:tc>
          <w:tcPr>
            <w:tcW w:w="783" w:type="dxa"/>
            <w:tcBorders>
              <w:top w:val="single" w:sz="4" w:space="0" w:color="FFFFFF"/>
              <w:left w:val="single" w:sz="8" w:space="0" w:color="D2232A"/>
              <w:bottom w:val="nil"/>
              <w:right w:val="single" w:sz="8" w:space="0" w:color="D2232A"/>
            </w:tcBorders>
            <w:noWrap/>
            <w:vAlign w:val="center"/>
            <w:hideMark/>
          </w:tcPr>
          <w:p w14:paraId="68D05FD8" w14:textId="77777777" w:rsidR="00780BF2" w:rsidRPr="000E19D8" w:rsidRDefault="00780BF2" w:rsidP="001F0A7B">
            <w:pPr>
              <w:spacing w:after="0"/>
              <w:rPr>
                <w:rFonts w:eastAsia="Times New Roman" w:cs="Times New Roman"/>
                <w:color w:val="3F3F3F"/>
                <w:szCs w:val="18"/>
                <w:lang w:eastAsia="hr-HR"/>
              </w:rPr>
            </w:pPr>
          </w:p>
        </w:tc>
        <w:tc>
          <w:tcPr>
            <w:tcW w:w="794" w:type="dxa"/>
            <w:tcBorders>
              <w:top w:val="single" w:sz="4" w:space="0" w:color="FFFFFF"/>
              <w:left w:val="single" w:sz="8" w:space="0" w:color="D2232A"/>
              <w:bottom w:val="nil"/>
              <w:right w:val="single" w:sz="8" w:space="0" w:color="D2232A"/>
            </w:tcBorders>
            <w:noWrap/>
            <w:vAlign w:val="center"/>
            <w:hideMark/>
          </w:tcPr>
          <w:p w14:paraId="1CF9CBCC" w14:textId="77777777" w:rsidR="00780BF2" w:rsidRPr="000E19D8" w:rsidRDefault="00780BF2" w:rsidP="001F0A7B">
            <w:pPr>
              <w:spacing w:after="0"/>
              <w:rPr>
                <w:rFonts w:eastAsia="Times New Roman" w:cs="Times New Roman"/>
                <w:color w:val="3F3F3F"/>
                <w:szCs w:val="18"/>
                <w:lang w:eastAsia="hr-HR"/>
              </w:rPr>
            </w:pPr>
          </w:p>
        </w:tc>
        <w:tc>
          <w:tcPr>
            <w:tcW w:w="672" w:type="dxa"/>
            <w:tcBorders>
              <w:top w:val="single" w:sz="4" w:space="0" w:color="FFFFFF"/>
              <w:left w:val="single" w:sz="8" w:space="0" w:color="D2232A"/>
              <w:bottom w:val="nil"/>
              <w:right w:val="single" w:sz="8" w:space="0" w:color="D2232A"/>
            </w:tcBorders>
          </w:tcPr>
          <w:p w14:paraId="360C0662"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45" w:type="dxa"/>
            <w:tcBorders>
              <w:top w:val="single" w:sz="8" w:space="0" w:color="FFFFFF" w:themeColor="background1"/>
              <w:left w:val="single" w:sz="8" w:space="0" w:color="D2232A"/>
              <w:bottom w:val="nil"/>
              <w:right w:val="single" w:sz="8" w:space="0" w:color="D2232A"/>
            </w:tcBorders>
          </w:tcPr>
          <w:p w14:paraId="065DBD10"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00" w:type="dxa"/>
            <w:tcBorders>
              <w:top w:val="single" w:sz="8" w:space="0" w:color="FFFFFF" w:themeColor="background1"/>
              <w:left w:val="single" w:sz="8" w:space="0" w:color="D2232A"/>
              <w:bottom w:val="nil"/>
              <w:right w:val="single" w:sz="8" w:space="0" w:color="D2232A"/>
            </w:tcBorders>
            <w:vAlign w:val="center"/>
          </w:tcPr>
          <w:p w14:paraId="552AD206" w14:textId="77777777" w:rsidR="00780BF2" w:rsidRPr="000E19D8" w:rsidRDefault="00780BF2" w:rsidP="001F0A7B">
            <w:pPr>
              <w:autoSpaceDE w:val="0"/>
              <w:autoSpaceDN w:val="0"/>
              <w:adjustRightInd w:val="0"/>
              <w:spacing w:after="0"/>
              <w:rPr>
                <w:rFonts w:eastAsia="ArialNarrow" w:cs="Calibri"/>
                <w:color w:val="3F3F3F"/>
                <w:szCs w:val="18"/>
              </w:rPr>
            </w:pPr>
          </w:p>
        </w:tc>
      </w:tr>
      <w:tr w:rsidR="00780BF2" w:rsidRPr="000E19D8" w14:paraId="75B176F7" w14:textId="77777777" w:rsidTr="002F0BCD">
        <w:trPr>
          <w:trHeight w:val="250"/>
        </w:trPr>
        <w:tc>
          <w:tcPr>
            <w:tcW w:w="249" w:type="dxa"/>
            <w:tcBorders>
              <w:top w:val="nil"/>
              <w:left w:val="single" w:sz="8" w:space="0" w:color="D2232A"/>
            </w:tcBorders>
            <w:noWrap/>
            <w:vAlign w:val="center"/>
            <w:hideMark/>
          </w:tcPr>
          <w:p w14:paraId="22D09804" w14:textId="77777777" w:rsidR="00780BF2" w:rsidRPr="000E19D8" w:rsidRDefault="00780BF2" w:rsidP="001F0A7B">
            <w:pPr>
              <w:spacing w:after="0"/>
              <w:rPr>
                <w:rFonts w:eastAsia="ArialNarrow" w:cs="Calibri"/>
                <w:color w:val="3F3F3F"/>
                <w:szCs w:val="18"/>
              </w:rPr>
            </w:pPr>
          </w:p>
        </w:tc>
        <w:tc>
          <w:tcPr>
            <w:tcW w:w="2975" w:type="dxa"/>
            <w:gridSpan w:val="2"/>
            <w:tcBorders>
              <w:top w:val="nil"/>
              <w:right w:val="single" w:sz="4" w:space="0" w:color="D2232A"/>
            </w:tcBorders>
            <w:noWrap/>
            <w:vAlign w:val="center"/>
            <w:hideMark/>
          </w:tcPr>
          <w:p w14:paraId="3764A1A1"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objekata</w:t>
            </w:r>
          </w:p>
        </w:tc>
        <w:tc>
          <w:tcPr>
            <w:tcW w:w="793" w:type="dxa"/>
            <w:tcBorders>
              <w:top w:val="nil"/>
              <w:left w:val="single" w:sz="8" w:space="0" w:color="D2232A"/>
              <w:right w:val="single" w:sz="8" w:space="0" w:color="D2232A"/>
            </w:tcBorders>
            <w:noWrap/>
            <w:vAlign w:val="center"/>
            <w:hideMark/>
          </w:tcPr>
          <w:p w14:paraId="58CF0DD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11</w:t>
            </w:r>
          </w:p>
        </w:tc>
        <w:tc>
          <w:tcPr>
            <w:tcW w:w="907" w:type="dxa"/>
            <w:tcBorders>
              <w:top w:val="nil"/>
              <w:left w:val="single" w:sz="8" w:space="0" w:color="D2232A"/>
              <w:right w:val="single" w:sz="8" w:space="0" w:color="D2232A"/>
            </w:tcBorders>
            <w:noWrap/>
            <w:vAlign w:val="center"/>
            <w:hideMark/>
          </w:tcPr>
          <w:p w14:paraId="1A53C1E9"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12</w:t>
            </w:r>
          </w:p>
        </w:tc>
        <w:tc>
          <w:tcPr>
            <w:tcW w:w="783" w:type="dxa"/>
            <w:tcBorders>
              <w:top w:val="nil"/>
              <w:left w:val="single" w:sz="8" w:space="0" w:color="D2232A"/>
              <w:right w:val="single" w:sz="8" w:space="0" w:color="D2232A"/>
            </w:tcBorders>
            <w:noWrap/>
            <w:vAlign w:val="center"/>
            <w:hideMark/>
          </w:tcPr>
          <w:p w14:paraId="1A42CD55"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12</w:t>
            </w:r>
          </w:p>
        </w:tc>
        <w:tc>
          <w:tcPr>
            <w:tcW w:w="794" w:type="dxa"/>
            <w:tcBorders>
              <w:top w:val="nil"/>
              <w:left w:val="single" w:sz="8" w:space="0" w:color="D2232A"/>
              <w:right w:val="single" w:sz="8" w:space="0" w:color="D2232A"/>
            </w:tcBorders>
            <w:noWrap/>
            <w:vAlign w:val="center"/>
            <w:hideMark/>
          </w:tcPr>
          <w:p w14:paraId="0FCBE68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12</w:t>
            </w:r>
          </w:p>
        </w:tc>
        <w:tc>
          <w:tcPr>
            <w:tcW w:w="672" w:type="dxa"/>
            <w:tcBorders>
              <w:top w:val="nil"/>
              <w:left w:val="single" w:sz="8" w:space="0" w:color="D2232A"/>
              <w:right w:val="single" w:sz="8" w:space="0" w:color="D2232A"/>
            </w:tcBorders>
          </w:tcPr>
          <w:p w14:paraId="1C56DEA6"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12</w:t>
            </w:r>
          </w:p>
        </w:tc>
        <w:tc>
          <w:tcPr>
            <w:tcW w:w="1045" w:type="dxa"/>
            <w:tcBorders>
              <w:top w:val="nil"/>
              <w:left w:val="single" w:sz="8" w:space="0" w:color="D2232A"/>
              <w:right w:val="single" w:sz="8" w:space="0" w:color="D2232A"/>
            </w:tcBorders>
          </w:tcPr>
          <w:p w14:paraId="4BA83C7A"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11</w:t>
            </w:r>
          </w:p>
        </w:tc>
        <w:tc>
          <w:tcPr>
            <w:tcW w:w="1000" w:type="dxa"/>
            <w:tcBorders>
              <w:top w:val="nil"/>
              <w:left w:val="single" w:sz="8" w:space="0" w:color="D2232A"/>
              <w:right w:val="single" w:sz="8" w:space="0" w:color="D2232A"/>
            </w:tcBorders>
            <w:vAlign w:val="center"/>
            <w:hideMark/>
          </w:tcPr>
          <w:p w14:paraId="1024FAAD" w14:textId="67845980"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0</w:t>
            </w:r>
          </w:p>
        </w:tc>
      </w:tr>
      <w:tr w:rsidR="00780BF2" w:rsidRPr="000E19D8" w14:paraId="2A775B63" w14:textId="77777777" w:rsidTr="002F0BCD">
        <w:trPr>
          <w:trHeight w:val="250"/>
        </w:trPr>
        <w:tc>
          <w:tcPr>
            <w:tcW w:w="249" w:type="dxa"/>
            <w:tcBorders>
              <w:left w:val="single" w:sz="8" w:space="0" w:color="D2232A"/>
            </w:tcBorders>
            <w:noWrap/>
            <w:vAlign w:val="center"/>
            <w:hideMark/>
          </w:tcPr>
          <w:p w14:paraId="342DE3CF" w14:textId="77777777" w:rsidR="00780BF2" w:rsidRPr="000E19D8" w:rsidRDefault="00780BF2" w:rsidP="001F0A7B">
            <w:pPr>
              <w:spacing w:after="0"/>
              <w:rPr>
                <w:rFonts w:eastAsia="ArialNarrow" w:cs="Calibri"/>
                <w:color w:val="3F3F3F"/>
                <w:szCs w:val="18"/>
              </w:rPr>
            </w:pPr>
          </w:p>
        </w:tc>
        <w:tc>
          <w:tcPr>
            <w:tcW w:w="2975" w:type="dxa"/>
            <w:gridSpan w:val="2"/>
            <w:tcBorders>
              <w:right w:val="single" w:sz="4" w:space="0" w:color="D2232A"/>
            </w:tcBorders>
            <w:noWrap/>
            <w:vAlign w:val="center"/>
            <w:hideMark/>
          </w:tcPr>
          <w:p w14:paraId="5F893C4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smještajnih jedinica</w:t>
            </w:r>
          </w:p>
        </w:tc>
        <w:tc>
          <w:tcPr>
            <w:tcW w:w="793" w:type="dxa"/>
            <w:tcBorders>
              <w:left w:val="single" w:sz="8" w:space="0" w:color="D2232A"/>
              <w:right w:val="single" w:sz="8" w:space="0" w:color="D2232A"/>
            </w:tcBorders>
            <w:noWrap/>
            <w:vAlign w:val="center"/>
            <w:hideMark/>
          </w:tcPr>
          <w:p w14:paraId="72063256"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688</w:t>
            </w:r>
          </w:p>
        </w:tc>
        <w:tc>
          <w:tcPr>
            <w:tcW w:w="907" w:type="dxa"/>
            <w:tcBorders>
              <w:left w:val="single" w:sz="8" w:space="0" w:color="D2232A"/>
              <w:right w:val="single" w:sz="8" w:space="0" w:color="D2232A"/>
            </w:tcBorders>
            <w:noWrap/>
            <w:vAlign w:val="center"/>
            <w:hideMark/>
          </w:tcPr>
          <w:p w14:paraId="72C5F40B"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698</w:t>
            </w:r>
          </w:p>
        </w:tc>
        <w:tc>
          <w:tcPr>
            <w:tcW w:w="783" w:type="dxa"/>
            <w:tcBorders>
              <w:left w:val="single" w:sz="8" w:space="0" w:color="D2232A"/>
              <w:right w:val="single" w:sz="8" w:space="0" w:color="D2232A"/>
            </w:tcBorders>
            <w:noWrap/>
            <w:vAlign w:val="center"/>
            <w:hideMark/>
          </w:tcPr>
          <w:p w14:paraId="2F302BEE"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713</w:t>
            </w:r>
          </w:p>
        </w:tc>
        <w:tc>
          <w:tcPr>
            <w:tcW w:w="794" w:type="dxa"/>
            <w:tcBorders>
              <w:left w:val="single" w:sz="8" w:space="0" w:color="D2232A"/>
              <w:right w:val="single" w:sz="8" w:space="0" w:color="D2232A"/>
            </w:tcBorders>
            <w:noWrap/>
            <w:vAlign w:val="center"/>
            <w:hideMark/>
          </w:tcPr>
          <w:p w14:paraId="66120C85"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712</w:t>
            </w:r>
          </w:p>
        </w:tc>
        <w:tc>
          <w:tcPr>
            <w:tcW w:w="672" w:type="dxa"/>
            <w:tcBorders>
              <w:left w:val="single" w:sz="8" w:space="0" w:color="D2232A"/>
              <w:right w:val="single" w:sz="8" w:space="0" w:color="D2232A"/>
            </w:tcBorders>
          </w:tcPr>
          <w:p w14:paraId="5D7739F5"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712</w:t>
            </w:r>
          </w:p>
        </w:tc>
        <w:tc>
          <w:tcPr>
            <w:tcW w:w="1045" w:type="dxa"/>
            <w:tcBorders>
              <w:left w:val="single" w:sz="8" w:space="0" w:color="D2232A"/>
              <w:right w:val="single" w:sz="8" w:space="0" w:color="D2232A"/>
            </w:tcBorders>
          </w:tcPr>
          <w:p w14:paraId="41F75E92"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580</w:t>
            </w:r>
          </w:p>
        </w:tc>
        <w:tc>
          <w:tcPr>
            <w:tcW w:w="1000" w:type="dxa"/>
            <w:tcBorders>
              <w:left w:val="single" w:sz="8" w:space="0" w:color="D2232A"/>
              <w:right w:val="single" w:sz="8" w:space="0" w:color="D2232A"/>
            </w:tcBorders>
            <w:vAlign w:val="center"/>
            <w:hideMark/>
          </w:tcPr>
          <w:p w14:paraId="49F3D676" w14:textId="169E8F56" w:rsidR="00780BF2" w:rsidRPr="000E19D8" w:rsidRDefault="002D7A26" w:rsidP="001F0A7B">
            <w:pPr>
              <w:autoSpaceDE w:val="0"/>
              <w:autoSpaceDN w:val="0"/>
              <w:adjustRightInd w:val="0"/>
              <w:spacing w:after="0"/>
              <w:rPr>
                <w:rFonts w:eastAsia="ArialNarrow" w:cs="Calibri"/>
                <w:color w:val="3F3F3F"/>
                <w:szCs w:val="18"/>
              </w:rPr>
            </w:pPr>
            <w:r>
              <w:rPr>
                <w:rFonts w:eastAsia="ArialNarrow" w:cs="Calibri"/>
                <w:color w:val="3F3F3F"/>
                <w:szCs w:val="18"/>
              </w:rPr>
              <w:t>-1</w:t>
            </w:r>
            <w:r w:rsidR="002631DE">
              <w:rPr>
                <w:rFonts w:eastAsia="ArialNarrow" w:cs="Calibri"/>
                <w:color w:val="3F3F3F"/>
                <w:szCs w:val="18"/>
              </w:rPr>
              <w:t>5</w:t>
            </w:r>
            <w:r>
              <w:rPr>
                <w:rFonts w:eastAsia="ArialNarrow" w:cs="Calibri"/>
                <w:color w:val="3F3F3F"/>
                <w:szCs w:val="18"/>
              </w:rPr>
              <w:t>,</w:t>
            </w:r>
            <w:r w:rsidR="002631DE">
              <w:rPr>
                <w:rFonts w:eastAsia="ArialNarrow" w:cs="Calibri"/>
                <w:color w:val="3F3F3F"/>
                <w:szCs w:val="18"/>
              </w:rPr>
              <w:t>69</w:t>
            </w:r>
          </w:p>
        </w:tc>
      </w:tr>
      <w:tr w:rsidR="00780BF2" w:rsidRPr="000E19D8" w14:paraId="6F46D613" w14:textId="77777777" w:rsidTr="002F0BCD">
        <w:trPr>
          <w:trHeight w:val="250"/>
        </w:trPr>
        <w:tc>
          <w:tcPr>
            <w:tcW w:w="249" w:type="dxa"/>
            <w:tcBorders>
              <w:left w:val="single" w:sz="8" w:space="0" w:color="D2232A"/>
            </w:tcBorders>
            <w:noWrap/>
            <w:vAlign w:val="center"/>
            <w:hideMark/>
          </w:tcPr>
          <w:p w14:paraId="3FF9BBBB" w14:textId="77777777" w:rsidR="00780BF2" w:rsidRPr="000E19D8" w:rsidRDefault="00780BF2" w:rsidP="001F0A7B">
            <w:pPr>
              <w:spacing w:after="0"/>
              <w:rPr>
                <w:rFonts w:eastAsia="ArialNarrow" w:cs="Calibri"/>
                <w:color w:val="3F3F3F"/>
                <w:szCs w:val="18"/>
              </w:rPr>
            </w:pPr>
          </w:p>
        </w:tc>
        <w:tc>
          <w:tcPr>
            <w:tcW w:w="2975" w:type="dxa"/>
            <w:gridSpan w:val="2"/>
            <w:tcBorders>
              <w:right w:val="single" w:sz="4" w:space="0" w:color="D2232A"/>
            </w:tcBorders>
            <w:noWrap/>
            <w:vAlign w:val="center"/>
            <w:hideMark/>
          </w:tcPr>
          <w:p w14:paraId="6AA3DBCF"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kreveta</w:t>
            </w:r>
          </w:p>
        </w:tc>
        <w:tc>
          <w:tcPr>
            <w:tcW w:w="793" w:type="dxa"/>
            <w:tcBorders>
              <w:left w:val="single" w:sz="8" w:space="0" w:color="D2232A"/>
              <w:right w:val="single" w:sz="8" w:space="0" w:color="D2232A"/>
            </w:tcBorders>
            <w:noWrap/>
            <w:vAlign w:val="center"/>
            <w:hideMark/>
          </w:tcPr>
          <w:p w14:paraId="17B00D50"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1270</w:t>
            </w:r>
          </w:p>
        </w:tc>
        <w:tc>
          <w:tcPr>
            <w:tcW w:w="907" w:type="dxa"/>
            <w:tcBorders>
              <w:left w:val="single" w:sz="8" w:space="0" w:color="D2232A"/>
              <w:right w:val="single" w:sz="8" w:space="0" w:color="D2232A"/>
            </w:tcBorders>
            <w:noWrap/>
            <w:vAlign w:val="center"/>
            <w:hideMark/>
          </w:tcPr>
          <w:p w14:paraId="57FB78BF"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1355</w:t>
            </w:r>
          </w:p>
        </w:tc>
        <w:tc>
          <w:tcPr>
            <w:tcW w:w="783" w:type="dxa"/>
            <w:tcBorders>
              <w:left w:val="single" w:sz="8" w:space="0" w:color="D2232A"/>
              <w:right w:val="single" w:sz="8" w:space="0" w:color="D2232A"/>
            </w:tcBorders>
            <w:noWrap/>
            <w:vAlign w:val="center"/>
            <w:hideMark/>
          </w:tcPr>
          <w:p w14:paraId="65542A8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1385</w:t>
            </w:r>
          </w:p>
        </w:tc>
        <w:tc>
          <w:tcPr>
            <w:tcW w:w="794" w:type="dxa"/>
            <w:tcBorders>
              <w:left w:val="single" w:sz="8" w:space="0" w:color="D2232A"/>
              <w:right w:val="single" w:sz="8" w:space="0" w:color="D2232A"/>
            </w:tcBorders>
            <w:noWrap/>
            <w:vAlign w:val="center"/>
            <w:hideMark/>
          </w:tcPr>
          <w:p w14:paraId="68F14407"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1384</w:t>
            </w:r>
          </w:p>
        </w:tc>
        <w:tc>
          <w:tcPr>
            <w:tcW w:w="672" w:type="dxa"/>
            <w:tcBorders>
              <w:left w:val="single" w:sz="8" w:space="0" w:color="D2232A"/>
              <w:right w:val="single" w:sz="8" w:space="0" w:color="D2232A"/>
            </w:tcBorders>
          </w:tcPr>
          <w:p w14:paraId="0ACBB476"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1384</w:t>
            </w:r>
          </w:p>
        </w:tc>
        <w:tc>
          <w:tcPr>
            <w:tcW w:w="1045" w:type="dxa"/>
            <w:tcBorders>
              <w:left w:val="single" w:sz="8" w:space="0" w:color="D2232A"/>
              <w:right w:val="single" w:sz="8" w:space="0" w:color="D2232A"/>
            </w:tcBorders>
          </w:tcPr>
          <w:p w14:paraId="43D6C645"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1165</w:t>
            </w:r>
          </w:p>
        </w:tc>
        <w:tc>
          <w:tcPr>
            <w:tcW w:w="1000" w:type="dxa"/>
            <w:tcBorders>
              <w:left w:val="single" w:sz="8" w:space="0" w:color="D2232A"/>
              <w:right w:val="single" w:sz="8" w:space="0" w:color="D2232A"/>
            </w:tcBorders>
            <w:vAlign w:val="center"/>
            <w:hideMark/>
          </w:tcPr>
          <w:p w14:paraId="21810FC6" w14:textId="6BA70B04" w:rsidR="00780BF2" w:rsidRPr="000E19D8" w:rsidRDefault="002631DE" w:rsidP="001F0A7B">
            <w:pPr>
              <w:autoSpaceDE w:val="0"/>
              <w:autoSpaceDN w:val="0"/>
              <w:adjustRightInd w:val="0"/>
              <w:spacing w:after="0"/>
              <w:rPr>
                <w:rFonts w:eastAsia="ArialNarrow" w:cs="Calibri"/>
                <w:color w:val="3F3F3F"/>
                <w:szCs w:val="18"/>
              </w:rPr>
            </w:pPr>
            <w:r>
              <w:rPr>
                <w:rFonts w:eastAsia="ArialNarrow" w:cs="Calibri"/>
                <w:color w:val="3F3F3F"/>
                <w:szCs w:val="18"/>
              </w:rPr>
              <w:t>-8,26</w:t>
            </w:r>
          </w:p>
        </w:tc>
      </w:tr>
      <w:tr w:rsidR="00780BF2" w:rsidRPr="000E19D8" w14:paraId="19593E98" w14:textId="77777777" w:rsidTr="002F0BCD">
        <w:trPr>
          <w:trHeight w:val="250"/>
        </w:trPr>
        <w:tc>
          <w:tcPr>
            <w:tcW w:w="3224" w:type="dxa"/>
            <w:gridSpan w:val="3"/>
            <w:tcBorders>
              <w:top w:val="single" w:sz="4" w:space="0" w:color="D2232A"/>
              <w:left w:val="single" w:sz="8" w:space="0" w:color="D2232A"/>
              <w:bottom w:val="nil"/>
              <w:right w:val="single" w:sz="4" w:space="0" w:color="D2232A"/>
            </w:tcBorders>
            <w:noWrap/>
            <w:vAlign w:val="center"/>
            <w:hideMark/>
          </w:tcPr>
          <w:p w14:paraId="0B8F8B1F" w14:textId="77777777" w:rsidR="00780BF2" w:rsidRPr="000E19D8" w:rsidRDefault="00780BF2" w:rsidP="001F0A7B">
            <w:pPr>
              <w:autoSpaceDE w:val="0"/>
              <w:autoSpaceDN w:val="0"/>
              <w:adjustRightInd w:val="0"/>
              <w:spacing w:after="0"/>
              <w:rPr>
                <w:rFonts w:eastAsia="ArialNarrow" w:cs="Calibri"/>
                <w:b/>
                <w:bCs/>
                <w:color w:val="3F3F3F"/>
                <w:szCs w:val="18"/>
              </w:rPr>
            </w:pPr>
            <w:r w:rsidRPr="000E19D8">
              <w:rPr>
                <w:rFonts w:eastAsia="ArialNarrow" w:cs="Calibri"/>
                <w:b/>
                <w:bCs/>
                <w:color w:val="3F3F3F"/>
                <w:szCs w:val="18"/>
              </w:rPr>
              <w:t>Kampovi</w:t>
            </w:r>
          </w:p>
        </w:tc>
        <w:tc>
          <w:tcPr>
            <w:tcW w:w="793" w:type="dxa"/>
            <w:tcBorders>
              <w:top w:val="single" w:sz="4" w:space="0" w:color="D2232A"/>
              <w:left w:val="single" w:sz="8" w:space="0" w:color="D2232A"/>
              <w:bottom w:val="nil"/>
              <w:right w:val="single" w:sz="8" w:space="0" w:color="D2232A"/>
            </w:tcBorders>
            <w:noWrap/>
            <w:vAlign w:val="center"/>
            <w:hideMark/>
          </w:tcPr>
          <w:p w14:paraId="4446D170" w14:textId="77777777" w:rsidR="00780BF2" w:rsidRPr="000E19D8" w:rsidRDefault="00780BF2" w:rsidP="001F0A7B">
            <w:pPr>
              <w:spacing w:after="0"/>
              <w:rPr>
                <w:rFonts w:eastAsia="Times New Roman" w:cs="Times New Roman"/>
                <w:color w:val="3F3F3F"/>
                <w:szCs w:val="18"/>
                <w:lang w:eastAsia="hr-HR"/>
              </w:rPr>
            </w:pPr>
          </w:p>
        </w:tc>
        <w:tc>
          <w:tcPr>
            <w:tcW w:w="907" w:type="dxa"/>
            <w:tcBorders>
              <w:top w:val="single" w:sz="4" w:space="0" w:color="D2232A"/>
              <w:left w:val="single" w:sz="8" w:space="0" w:color="D2232A"/>
              <w:bottom w:val="nil"/>
              <w:right w:val="single" w:sz="8" w:space="0" w:color="D2232A"/>
            </w:tcBorders>
            <w:noWrap/>
            <w:vAlign w:val="center"/>
            <w:hideMark/>
          </w:tcPr>
          <w:p w14:paraId="6BDD9093" w14:textId="77777777" w:rsidR="00780BF2" w:rsidRPr="000E19D8" w:rsidRDefault="00780BF2" w:rsidP="001F0A7B">
            <w:pPr>
              <w:spacing w:after="0"/>
              <w:rPr>
                <w:rFonts w:eastAsia="Times New Roman" w:cs="Times New Roman"/>
                <w:color w:val="3F3F3F"/>
                <w:szCs w:val="18"/>
                <w:lang w:eastAsia="hr-HR"/>
              </w:rPr>
            </w:pPr>
          </w:p>
        </w:tc>
        <w:tc>
          <w:tcPr>
            <w:tcW w:w="783" w:type="dxa"/>
            <w:tcBorders>
              <w:top w:val="single" w:sz="4" w:space="0" w:color="D2232A"/>
              <w:left w:val="single" w:sz="8" w:space="0" w:color="D2232A"/>
              <w:bottom w:val="nil"/>
              <w:right w:val="single" w:sz="8" w:space="0" w:color="D2232A"/>
            </w:tcBorders>
            <w:noWrap/>
            <w:vAlign w:val="center"/>
            <w:hideMark/>
          </w:tcPr>
          <w:p w14:paraId="2E003DE8" w14:textId="77777777" w:rsidR="00780BF2" w:rsidRPr="000E19D8" w:rsidRDefault="00780BF2" w:rsidP="001F0A7B">
            <w:pPr>
              <w:spacing w:after="0"/>
              <w:rPr>
                <w:rFonts w:eastAsia="Times New Roman" w:cs="Times New Roman"/>
                <w:color w:val="3F3F3F"/>
                <w:szCs w:val="18"/>
                <w:lang w:eastAsia="hr-HR"/>
              </w:rPr>
            </w:pPr>
          </w:p>
        </w:tc>
        <w:tc>
          <w:tcPr>
            <w:tcW w:w="794" w:type="dxa"/>
            <w:tcBorders>
              <w:top w:val="single" w:sz="4" w:space="0" w:color="D2232A"/>
              <w:left w:val="single" w:sz="8" w:space="0" w:color="D2232A"/>
              <w:bottom w:val="nil"/>
              <w:right w:val="single" w:sz="8" w:space="0" w:color="D2232A"/>
            </w:tcBorders>
            <w:noWrap/>
            <w:vAlign w:val="center"/>
            <w:hideMark/>
          </w:tcPr>
          <w:p w14:paraId="5A53B357" w14:textId="77777777" w:rsidR="00780BF2" w:rsidRPr="000E19D8" w:rsidRDefault="00780BF2" w:rsidP="001F0A7B">
            <w:pPr>
              <w:spacing w:after="0"/>
              <w:rPr>
                <w:rFonts w:eastAsia="Times New Roman" w:cs="Times New Roman"/>
                <w:color w:val="3F3F3F"/>
                <w:szCs w:val="18"/>
                <w:lang w:eastAsia="hr-HR"/>
              </w:rPr>
            </w:pPr>
          </w:p>
        </w:tc>
        <w:tc>
          <w:tcPr>
            <w:tcW w:w="672" w:type="dxa"/>
            <w:tcBorders>
              <w:top w:val="single" w:sz="4" w:space="0" w:color="D2232A"/>
              <w:left w:val="single" w:sz="8" w:space="0" w:color="D2232A"/>
              <w:bottom w:val="nil"/>
              <w:right w:val="single" w:sz="8" w:space="0" w:color="D2232A"/>
            </w:tcBorders>
          </w:tcPr>
          <w:p w14:paraId="5813E413"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45" w:type="dxa"/>
            <w:tcBorders>
              <w:top w:val="single" w:sz="4" w:space="0" w:color="D2232A"/>
              <w:left w:val="single" w:sz="8" w:space="0" w:color="D2232A"/>
              <w:bottom w:val="nil"/>
              <w:right w:val="single" w:sz="8" w:space="0" w:color="D2232A"/>
            </w:tcBorders>
          </w:tcPr>
          <w:p w14:paraId="0E219415"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00" w:type="dxa"/>
            <w:tcBorders>
              <w:top w:val="single" w:sz="4" w:space="0" w:color="D2232A"/>
              <w:left w:val="single" w:sz="8" w:space="0" w:color="D2232A"/>
              <w:bottom w:val="nil"/>
              <w:right w:val="single" w:sz="8" w:space="0" w:color="D2232A"/>
            </w:tcBorders>
            <w:vAlign w:val="center"/>
          </w:tcPr>
          <w:p w14:paraId="393AA1AD" w14:textId="77777777" w:rsidR="00780BF2" w:rsidRPr="000E19D8" w:rsidRDefault="00780BF2" w:rsidP="001F0A7B">
            <w:pPr>
              <w:autoSpaceDE w:val="0"/>
              <w:autoSpaceDN w:val="0"/>
              <w:adjustRightInd w:val="0"/>
              <w:spacing w:after="0"/>
              <w:rPr>
                <w:rFonts w:eastAsia="ArialNarrow" w:cs="Calibri"/>
                <w:color w:val="3F3F3F"/>
                <w:szCs w:val="18"/>
              </w:rPr>
            </w:pPr>
          </w:p>
        </w:tc>
      </w:tr>
      <w:tr w:rsidR="00780BF2" w:rsidRPr="000E19D8" w14:paraId="3AB21237" w14:textId="77777777" w:rsidTr="002F0BCD">
        <w:trPr>
          <w:trHeight w:val="250"/>
        </w:trPr>
        <w:tc>
          <w:tcPr>
            <w:tcW w:w="249" w:type="dxa"/>
            <w:tcBorders>
              <w:top w:val="nil"/>
              <w:left w:val="single" w:sz="8" w:space="0" w:color="D2232A"/>
            </w:tcBorders>
            <w:noWrap/>
            <w:vAlign w:val="center"/>
            <w:hideMark/>
          </w:tcPr>
          <w:p w14:paraId="0FC31168" w14:textId="77777777" w:rsidR="00780BF2" w:rsidRPr="000E19D8" w:rsidRDefault="00780BF2" w:rsidP="001F0A7B">
            <w:pPr>
              <w:spacing w:after="0"/>
              <w:rPr>
                <w:rFonts w:eastAsia="ArialNarrow" w:cs="Calibri"/>
                <w:color w:val="3F3F3F"/>
                <w:szCs w:val="18"/>
              </w:rPr>
            </w:pPr>
          </w:p>
        </w:tc>
        <w:tc>
          <w:tcPr>
            <w:tcW w:w="2975" w:type="dxa"/>
            <w:gridSpan w:val="2"/>
            <w:tcBorders>
              <w:top w:val="nil"/>
              <w:right w:val="single" w:sz="4" w:space="0" w:color="D2232A"/>
            </w:tcBorders>
            <w:noWrap/>
            <w:vAlign w:val="center"/>
            <w:hideMark/>
          </w:tcPr>
          <w:p w14:paraId="497F817F"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objekata</w:t>
            </w:r>
          </w:p>
        </w:tc>
        <w:tc>
          <w:tcPr>
            <w:tcW w:w="793" w:type="dxa"/>
            <w:tcBorders>
              <w:top w:val="nil"/>
              <w:left w:val="single" w:sz="8" w:space="0" w:color="D2232A"/>
              <w:right w:val="single" w:sz="8" w:space="0" w:color="D2232A"/>
            </w:tcBorders>
            <w:noWrap/>
            <w:vAlign w:val="center"/>
            <w:hideMark/>
          </w:tcPr>
          <w:p w14:paraId="47B72C4B"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w:t>
            </w:r>
          </w:p>
        </w:tc>
        <w:tc>
          <w:tcPr>
            <w:tcW w:w="907" w:type="dxa"/>
            <w:tcBorders>
              <w:top w:val="nil"/>
              <w:left w:val="single" w:sz="8" w:space="0" w:color="D2232A"/>
              <w:right w:val="single" w:sz="8" w:space="0" w:color="D2232A"/>
            </w:tcBorders>
            <w:noWrap/>
            <w:vAlign w:val="center"/>
            <w:hideMark/>
          </w:tcPr>
          <w:p w14:paraId="592B194E"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w:t>
            </w:r>
          </w:p>
        </w:tc>
        <w:tc>
          <w:tcPr>
            <w:tcW w:w="783" w:type="dxa"/>
            <w:tcBorders>
              <w:top w:val="nil"/>
              <w:left w:val="single" w:sz="8" w:space="0" w:color="D2232A"/>
              <w:right w:val="single" w:sz="8" w:space="0" w:color="D2232A"/>
            </w:tcBorders>
            <w:noWrap/>
            <w:vAlign w:val="center"/>
            <w:hideMark/>
          </w:tcPr>
          <w:p w14:paraId="657699EE"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w:t>
            </w:r>
          </w:p>
        </w:tc>
        <w:tc>
          <w:tcPr>
            <w:tcW w:w="794" w:type="dxa"/>
            <w:tcBorders>
              <w:top w:val="nil"/>
              <w:left w:val="single" w:sz="8" w:space="0" w:color="D2232A"/>
              <w:right w:val="single" w:sz="8" w:space="0" w:color="D2232A"/>
            </w:tcBorders>
            <w:noWrap/>
            <w:vAlign w:val="center"/>
            <w:hideMark/>
          </w:tcPr>
          <w:p w14:paraId="11FC1C1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w:t>
            </w:r>
          </w:p>
        </w:tc>
        <w:tc>
          <w:tcPr>
            <w:tcW w:w="672" w:type="dxa"/>
            <w:tcBorders>
              <w:top w:val="nil"/>
              <w:left w:val="single" w:sz="8" w:space="0" w:color="D2232A"/>
              <w:right w:val="single" w:sz="8" w:space="0" w:color="D2232A"/>
            </w:tcBorders>
          </w:tcPr>
          <w:p w14:paraId="0FCDCBD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w:t>
            </w:r>
          </w:p>
        </w:tc>
        <w:tc>
          <w:tcPr>
            <w:tcW w:w="1045" w:type="dxa"/>
            <w:tcBorders>
              <w:top w:val="nil"/>
              <w:left w:val="single" w:sz="8" w:space="0" w:color="D2232A"/>
              <w:right w:val="single" w:sz="8" w:space="0" w:color="D2232A"/>
            </w:tcBorders>
          </w:tcPr>
          <w:p w14:paraId="65129149"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2</w:t>
            </w:r>
          </w:p>
        </w:tc>
        <w:tc>
          <w:tcPr>
            <w:tcW w:w="1000" w:type="dxa"/>
            <w:tcBorders>
              <w:top w:val="nil"/>
              <w:left w:val="single" w:sz="8" w:space="0" w:color="D2232A"/>
              <w:right w:val="single" w:sz="8" w:space="0" w:color="D2232A"/>
            </w:tcBorders>
            <w:vAlign w:val="center"/>
            <w:hideMark/>
          </w:tcPr>
          <w:p w14:paraId="145C799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100</w:t>
            </w:r>
          </w:p>
        </w:tc>
      </w:tr>
      <w:tr w:rsidR="00780BF2" w:rsidRPr="000E19D8" w14:paraId="7677473B" w14:textId="77777777" w:rsidTr="002F0BCD">
        <w:trPr>
          <w:trHeight w:val="250"/>
        </w:trPr>
        <w:tc>
          <w:tcPr>
            <w:tcW w:w="262" w:type="dxa"/>
            <w:gridSpan w:val="2"/>
            <w:tcBorders>
              <w:left w:val="single" w:sz="8" w:space="0" w:color="D2232A"/>
            </w:tcBorders>
            <w:noWrap/>
            <w:vAlign w:val="center"/>
            <w:hideMark/>
          </w:tcPr>
          <w:p w14:paraId="5C7198D4" w14:textId="77777777" w:rsidR="00780BF2" w:rsidRPr="000E19D8" w:rsidRDefault="00780BF2" w:rsidP="001F0A7B">
            <w:pPr>
              <w:spacing w:after="0"/>
              <w:rPr>
                <w:rFonts w:eastAsia="ArialNarrow" w:cs="Calibri"/>
                <w:color w:val="3F3F3F"/>
                <w:szCs w:val="18"/>
              </w:rPr>
            </w:pPr>
          </w:p>
        </w:tc>
        <w:tc>
          <w:tcPr>
            <w:tcW w:w="2962" w:type="dxa"/>
            <w:tcBorders>
              <w:right w:val="single" w:sz="4" w:space="0" w:color="D2232A"/>
            </w:tcBorders>
            <w:noWrap/>
            <w:vAlign w:val="center"/>
            <w:hideMark/>
          </w:tcPr>
          <w:p w14:paraId="0D00D67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smještajnih jedinica</w:t>
            </w:r>
          </w:p>
        </w:tc>
        <w:tc>
          <w:tcPr>
            <w:tcW w:w="793" w:type="dxa"/>
            <w:tcBorders>
              <w:left w:val="single" w:sz="8" w:space="0" w:color="D2232A"/>
              <w:right w:val="single" w:sz="8" w:space="0" w:color="D2232A"/>
            </w:tcBorders>
            <w:noWrap/>
            <w:vAlign w:val="center"/>
            <w:hideMark/>
          </w:tcPr>
          <w:p w14:paraId="1721DC5F"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30</w:t>
            </w:r>
          </w:p>
        </w:tc>
        <w:tc>
          <w:tcPr>
            <w:tcW w:w="907" w:type="dxa"/>
            <w:tcBorders>
              <w:left w:val="single" w:sz="8" w:space="0" w:color="D2232A"/>
              <w:right w:val="single" w:sz="8" w:space="0" w:color="D2232A"/>
            </w:tcBorders>
            <w:noWrap/>
            <w:vAlign w:val="center"/>
            <w:hideMark/>
          </w:tcPr>
          <w:p w14:paraId="090FF4DE"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30</w:t>
            </w:r>
          </w:p>
        </w:tc>
        <w:tc>
          <w:tcPr>
            <w:tcW w:w="783" w:type="dxa"/>
            <w:tcBorders>
              <w:left w:val="single" w:sz="8" w:space="0" w:color="D2232A"/>
              <w:right w:val="single" w:sz="8" w:space="0" w:color="D2232A"/>
            </w:tcBorders>
            <w:noWrap/>
            <w:vAlign w:val="center"/>
            <w:hideMark/>
          </w:tcPr>
          <w:p w14:paraId="44319FA5"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30</w:t>
            </w:r>
          </w:p>
        </w:tc>
        <w:tc>
          <w:tcPr>
            <w:tcW w:w="794" w:type="dxa"/>
            <w:tcBorders>
              <w:left w:val="single" w:sz="8" w:space="0" w:color="D2232A"/>
              <w:right w:val="single" w:sz="8" w:space="0" w:color="D2232A"/>
            </w:tcBorders>
            <w:noWrap/>
            <w:vAlign w:val="center"/>
            <w:hideMark/>
          </w:tcPr>
          <w:p w14:paraId="3EC66338"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83</w:t>
            </w:r>
          </w:p>
        </w:tc>
        <w:tc>
          <w:tcPr>
            <w:tcW w:w="672" w:type="dxa"/>
            <w:tcBorders>
              <w:left w:val="single" w:sz="8" w:space="0" w:color="D2232A"/>
              <w:right w:val="single" w:sz="8" w:space="0" w:color="D2232A"/>
            </w:tcBorders>
          </w:tcPr>
          <w:p w14:paraId="5BD932D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109</w:t>
            </w:r>
          </w:p>
        </w:tc>
        <w:tc>
          <w:tcPr>
            <w:tcW w:w="1045" w:type="dxa"/>
            <w:tcBorders>
              <w:left w:val="single" w:sz="8" w:space="0" w:color="D2232A"/>
              <w:right w:val="single" w:sz="8" w:space="0" w:color="D2232A"/>
            </w:tcBorders>
          </w:tcPr>
          <w:p w14:paraId="368101C2"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151</w:t>
            </w:r>
          </w:p>
        </w:tc>
        <w:tc>
          <w:tcPr>
            <w:tcW w:w="1000" w:type="dxa"/>
            <w:tcBorders>
              <w:left w:val="single" w:sz="8" w:space="0" w:color="D2232A"/>
              <w:right w:val="single" w:sz="8" w:space="0" w:color="D2232A"/>
            </w:tcBorders>
            <w:vAlign w:val="center"/>
          </w:tcPr>
          <w:p w14:paraId="0E2D2F2B" w14:textId="23EC3430" w:rsidR="00780BF2" w:rsidRPr="000E19D8" w:rsidRDefault="002631DE" w:rsidP="001F0A7B">
            <w:pPr>
              <w:autoSpaceDE w:val="0"/>
              <w:autoSpaceDN w:val="0"/>
              <w:adjustRightInd w:val="0"/>
              <w:spacing w:after="0"/>
              <w:rPr>
                <w:rFonts w:eastAsia="ArialNarrow" w:cs="Calibri"/>
                <w:color w:val="3F3F3F"/>
                <w:szCs w:val="18"/>
              </w:rPr>
            </w:pPr>
            <w:r>
              <w:rPr>
                <w:rFonts w:eastAsia="ArialNarrow" w:cs="Calibri"/>
                <w:color w:val="3F3F3F"/>
                <w:szCs w:val="18"/>
              </w:rPr>
              <w:t>403</w:t>
            </w:r>
            <w:r w:rsidR="00780BF2" w:rsidRPr="000E19D8">
              <w:rPr>
                <w:rFonts w:eastAsia="ArialNarrow" w:cs="Calibri"/>
                <w:color w:val="3F3F3F"/>
                <w:szCs w:val="18"/>
              </w:rPr>
              <w:t>,33</w:t>
            </w:r>
          </w:p>
        </w:tc>
      </w:tr>
      <w:tr w:rsidR="00780BF2" w:rsidRPr="000E19D8" w14:paraId="4294E40D" w14:textId="77777777" w:rsidTr="002F0BCD">
        <w:trPr>
          <w:trHeight w:val="250"/>
        </w:trPr>
        <w:tc>
          <w:tcPr>
            <w:tcW w:w="249" w:type="dxa"/>
            <w:tcBorders>
              <w:left w:val="single" w:sz="8" w:space="0" w:color="D2232A"/>
            </w:tcBorders>
            <w:noWrap/>
            <w:vAlign w:val="center"/>
            <w:hideMark/>
          </w:tcPr>
          <w:p w14:paraId="58F48EA1" w14:textId="77777777" w:rsidR="00780BF2" w:rsidRPr="000E19D8" w:rsidRDefault="00780BF2" w:rsidP="001F0A7B">
            <w:pPr>
              <w:spacing w:after="0"/>
              <w:rPr>
                <w:rFonts w:eastAsia="ArialNarrow" w:cs="Calibri"/>
                <w:color w:val="3F3F3F"/>
                <w:szCs w:val="18"/>
              </w:rPr>
            </w:pPr>
          </w:p>
        </w:tc>
        <w:tc>
          <w:tcPr>
            <w:tcW w:w="2975" w:type="dxa"/>
            <w:gridSpan w:val="2"/>
            <w:tcBorders>
              <w:right w:val="single" w:sz="4" w:space="0" w:color="D2232A"/>
            </w:tcBorders>
            <w:noWrap/>
            <w:vAlign w:val="center"/>
            <w:hideMark/>
          </w:tcPr>
          <w:p w14:paraId="39109B6B"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kreveta</w:t>
            </w:r>
          </w:p>
        </w:tc>
        <w:tc>
          <w:tcPr>
            <w:tcW w:w="793" w:type="dxa"/>
            <w:tcBorders>
              <w:left w:val="single" w:sz="8" w:space="0" w:color="D2232A"/>
              <w:right w:val="single" w:sz="8" w:space="0" w:color="D2232A"/>
            </w:tcBorders>
            <w:noWrap/>
            <w:vAlign w:val="center"/>
            <w:hideMark/>
          </w:tcPr>
          <w:p w14:paraId="71C51AA4"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90</w:t>
            </w:r>
          </w:p>
        </w:tc>
        <w:tc>
          <w:tcPr>
            <w:tcW w:w="907" w:type="dxa"/>
            <w:tcBorders>
              <w:left w:val="single" w:sz="8" w:space="0" w:color="D2232A"/>
              <w:right w:val="single" w:sz="8" w:space="0" w:color="D2232A"/>
            </w:tcBorders>
            <w:noWrap/>
            <w:vAlign w:val="center"/>
            <w:hideMark/>
          </w:tcPr>
          <w:p w14:paraId="319C0B40"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90</w:t>
            </w:r>
          </w:p>
        </w:tc>
        <w:tc>
          <w:tcPr>
            <w:tcW w:w="783" w:type="dxa"/>
            <w:tcBorders>
              <w:left w:val="single" w:sz="8" w:space="0" w:color="D2232A"/>
              <w:right w:val="single" w:sz="8" w:space="0" w:color="D2232A"/>
            </w:tcBorders>
            <w:noWrap/>
            <w:vAlign w:val="center"/>
            <w:hideMark/>
          </w:tcPr>
          <w:p w14:paraId="4A6871E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90</w:t>
            </w:r>
          </w:p>
        </w:tc>
        <w:tc>
          <w:tcPr>
            <w:tcW w:w="794" w:type="dxa"/>
            <w:tcBorders>
              <w:left w:val="single" w:sz="8" w:space="0" w:color="D2232A"/>
              <w:right w:val="single" w:sz="8" w:space="0" w:color="D2232A"/>
            </w:tcBorders>
            <w:noWrap/>
            <w:vAlign w:val="center"/>
            <w:hideMark/>
          </w:tcPr>
          <w:p w14:paraId="23E5F0E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249</w:t>
            </w:r>
          </w:p>
        </w:tc>
        <w:tc>
          <w:tcPr>
            <w:tcW w:w="672" w:type="dxa"/>
            <w:tcBorders>
              <w:left w:val="single" w:sz="8" w:space="0" w:color="D2232A"/>
              <w:right w:val="single" w:sz="8" w:space="0" w:color="D2232A"/>
            </w:tcBorders>
          </w:tcPr>
          <w:p w14:paraId="4758774F"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327</w:t>
            </w:r>
          </w:p>
        </w:tc>
        <w:tc>
          <w:tcPr>
            <w:tcW w:w="1045" w:type="dxa"/>
            <w:tcBorders>
              <w:left w:val="single" w:sz="8" w:space="0" w:color="D2232A"/>
              <w:right w:val="single" w:sz="8" w:space="0" w:color="D2232A"/>
            </w:tcBorders>
          </w:tcPr>
          <w:p w14:paraId="27E5E8EB"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453</w:t>
            </w:r>
          </w:p>
        </w:tc>
        <w:tc>
          <w:tcPr>
            <w:tcW w:w="1000" w:type="dxa"/>
            <w:tcBorders>
              <w:left w:val="single" w:sz="8" w:space="0" w:color="D2232A"/>
              <w:right w:val="single" w:sz="8" w:space="0" w:color="D2232A"/>
            </w:tcBorders>
            <w:vAlign w:val="center"/>
          </w:tcPr>
          <w:p w14:paraId="3A254355" w14:textId="64F9CE76" w:rsidR="00780BF2" w:rsidRPr="000E19D8" w:rsidRDefault="002631DE" w:rsidP="001F0A7B">
            <w:pPr>
              <w:autoSpaceDE w:val="0"/>
              <w:autoSpaceDN w:val="0"/>
              <w:adjustRightInd w:val="0"/>
              <w:spacing w:after="0"/>
              <w:rPr>
                <w:rFonts w:eastAsia="ArialNarrow" w:cs="Calibri"/>
                <w:color w:val="3F3F3F"/>
                <w:szCs w:val="18"/>
              </w:rPr>
            </w:pPr>
            <w:r w:rsidRPr="002631DE">
              <w:rPr>
                <w:rFonts w:eastAsia="ArialNarrow" w:cs="Calibri"/>
                <w:color w:val="3F3F3F"/>
                <w:szCs w:val="18"/>
              </w:rPr>
              <w:t>403,33</w:t>
            </w:r>
          </w:p>
        </w:tc>
      </w:tr>
      <w:tr w:rsidR="00780BF2" w:rsidRPr="000E19D8" w14:paraId="70D359AA" w14:textId="77777777" w:rsidTr="002F0BCD">
        <w:trPr>
          <w:trHeight w:val="250"/>
        </w:trPr>
        <w:tc>
          <w:tcPr>
            <w:tcW w:w="3224" w:type="dxa"/>
            <w:gridSpan w:val="3"/>
            <w:tcBorders>
              <w:left w:val="single" w:sz="8" w:space="0" w:color="D2232A"/>
              <w:bottom w:val="nil"/>
              <w:right w:val="single" w:sz="4" w:space="0" w:color="D2232A"/>
            </w:tcBorders>
            <w:noWrap/>
            <w:vAlign w:val="center"/>
            <w:hideMark/>
          </w:tcPr>
          <w:p w14:paraId="64FDAE32" w14:textId="77777777" w:rsidR="00780BF2" w:rsidRPr="000E19D8" w:rsidRDefault="00780BF2" w:rsidP="001F0A7B">
            <w:pPr>
              <w:autoSpaceDE w:val="0"/>
              <w:autoSpaceDN w:val="0"/>
              <w:adjustRightInd w:val="0"/>
              <w:spacing w:after="0"/>
              <w:rPr>
                <w:rFonts w:eastAsia="ArialNarrow" w:cs="Calibri"/>
                <w:b/>
                <w:bCs/>
                <w:color w:val="3F3F3F"/>
                <w:szCs w:val="18"/>
              </w:rPr>
            </w:pPr>
            <w:r w:rsidRPr="000E19D8">
              <w:rPr>
                <w:rFonts w:eastAsia="ArialNarrow" w:cs="Calibri"/>
                <w:b/>
                <w:bCs/>
                <w:color w:val="3F3F3F"/>
                <w:szCs w:val="18"/>
              </w:rPr>
              <w:t>Privatni smještaj</w:t>
            </w:r>
          </w:p>
        </w:tc>
        <w:tc>
          <w:tcPr>
            <w:tcW w:w="793" w:type="dxa"/>
            <w:tcBorders>
              <w:left w:val="single" w:sz="8" w:space="0" w:color="D2232A"/>
              <w:bottom w:val="nil"/>
              <w:right w:val="single" w:sz="8" w:space="0" w:color="D2232A"/>
            </w:tcBorders>
            <w:noWrap/>
            <w:vAlign w:val="center"/>
            <w:hideMark/>
          </w:tcPr>
          <w:p w14:paraId="62013609" w14:textId="77777777" w:rsidR="00780BF2" w:rsidRPr="000E19D8" w:rsidRDefault="00780BF2" w:rsidP="001F0A7B">
            <w:pPr>
              <w:spacing w:after="0"/>
              <w:rPr>
                <w:rFonts w:eastAsia="Times New Roman" w:cs="Times New Roman"/>
                <w:color w:val="3F3F3F"/>
                <w:szCs w:val="18"/>
                <w:lang w:eastAsia="hr-HR"/>
              </w:rPr>
            </w:pPr>
          </w:p>
        </w:tc>
        <w:tc>
          <w:tcPr>
            <w:tcW w:w="907" w:type="dxa"/>
            <w:tcBorders>
              <w:left w:val="single" w:sz="8" w:space="0" w:color="D2232A"/>
              <w:bottom w:val="nil"/>
              <w:right w:val="single" w:sz="8" w:space="0" w:color="D2232A"/>
            </w:tcBorders>
            <w:noWrap/>
            <w:vAlign w:val="center"/>
            <w:hideMark/>
          </w:tcPr>
          <w:p w14:paraId="6382E364" w14:textId="77777777" w:rsidR="00780BF2" w:rsidRPr="000E19D8" w:rsidRDefault="00780BF2" w:rsidP="001F0A7B">
            <w:pPr>
              <w:spacing w:after="0"/>
              <w:rPr>
                <w:rFonts w:eastAsia="Times New Roman" w:cs="Times New Roman"/>
                <w:color w:val="3F3F3F"/>
                <w:szCs w:val="18"/>
                <w:lang w:eastAsia="hr-HR"/>
              </w:rPr>
            </w:pPr>
          </w:p>
        </w:tc>
        <w:tc>
          <w:tcPr>
            <w:tcW w:w="783" w:type="dxa"/>
            <w:tcBorders>
              <w:left w:val="single" w:sz="8" w:space="0" w:color="D2232A"/>
              <w:bottom w:val="nil"/>
              <w:right w:val="single" w:sz="8" w:space="0" w:color="D2232A"/>
            </w:tcBorders>
            <w:noWrap/>
            <w:vAlign w:val="center"/>
            <w:hideMark/>
          </w:tcPr>
          <w:p w14:paraId="2F5A514A" w14:textId="77777777" w:rsidR="00780BF2" w:rsidRPr="000E19D8" w:rsidRDefault="00780BF2" w:rsidP="001F0A7B">
            <w:pPr>
              <w:spacing w:after="0"/>
              <w:rPr>
                <w:rFonts w:eastAsia="Times New Roman" w:cs="Times New Roman"/>
                <w:color w:val="3F3F3F"/>
                <w:szCs w:val="18"/>
                <w:lang w:eastAsia="hr-HR"/>
              </w:rPr>
            </w:pPr>
          </w:p>
        </w:tc>
        <w:tc>
          <w:tcPr>
            <w:tcW w:w="794" w:type="dxa"/>
            <w:tcBorders>
              <w:left w:val="single" w:sz="8" w:space="0" w:color="D2232A"/>
              <w:bottom w:val="nil"/>
              <w:right w:val="single" w:sz="8" w:space="0" w:color="D2232A"/>
            </w:tcBorders>
            <w:noWrap/>
            <w:vAlign w:val="center"/>
            <w:hideMark/>
          </w:tcPr>
          <w:p w14:paraId="36ED552E" w14:textId="77777777" w:rsidR="00780BF2" w:rsidRPr="000E19D8" w:rsidRDefault="00780BF2" w:rsidP="001F0A7B">
            <w:pPr>
              <w:spacing w:after="0"/>
              <w:rPr>
                <w:rFonts w:eastAsia="Times New Roman" w:cs="Times New Roman"/>
                <w:color w:val="3F3F3F"/>
                <w:szCs w:val="18"/>
                <w:lang w:eastAsia="hr-HR"/>
              </w:rPr>
            </w:pPr>
          </w:p>
        </w:tc>
        <w:tc>
          <w:tcPr>
            <w:tcW w:w="672" w:type="dxa"/>
            <w:tcBorders>
              <w:left w:val="single" w:sz="8" w:space="0" w:color="D2232A"/>
              <w:bottom w:val="nil"/>
              <w:right w:val="single" w:sz="8" w:space="0" w:color="D2232A"/>
            </w:tcBorders>
          </w:tcPr>
          <w:p w14:paraId="49E9A29F"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45" w:type="dxa"/>
            <w:tcBorders>
              <w:left w:val="single" w:sz="8" w:space="0" w:color="D2232A"/>
              <w:bottom w:val="nil"/>
              <w:right w:val="single" w:sz="8" w:space="0" w:color="D2232A"/>
            </w:tcBorders>
          </w:tcPr>
          <w:p w14:paraId="23109098"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00" w:type="dxa"/>
            <w:tcBorders>
              <w:left w:val="single" w:sz="8" w:space="0" w:color="D2232A"/>
              <w:bottom w:val="nil"/>
              <w:right w:val="single" w:sz="8" w:space="0" w:color="D2232A"/>
            </w:tcBorders>
            <w:vAlign w:val="center"/>
          </w:tcPr>
          <w:p w14:paraId="4D87E119" w14:textId="77777777" w:rsidR="00780BF2" w:rsidRPr="000E19D8" w:rsidRDefault="00780BF2" w:rsidP="001F0A7B">
            <w:pPr>
              <w:autoSpaceDE w:val="0"/>
              <w:autoSpaceDN w:val="0"/>
              <w:adjustRightInd w:val="0"/>
              <w:spacing w:after="0"/>
              <w:rPr>
                <w:rFonts w:eastAsia="ArialNarrow" w:cs="Calibri"/>
                <w:color w:val="3F3F3F"/>
                <w:szCs w:val="18"/>
              </w:rPr>
            </w:pPr>
          </w:p>
        </w:tc>
      </w:tr>
      <w:tr w:rsidR="00780BF2" w:rsidRPr="000E19D8" w14:paraId="49C34A1F" w14:textId="77777777" w:rsidTr="002F0BCD">
        <w:trPr>
          <w:trHeight w:val="250"/>
        </w:trPr>
        <w:tc>
          <w:tcPr>
            <w:tcW w:w="249" w:type="dxa"/>
            <w:tcBorders>
              <w:top w:val="nil"/>
              <w:left w:val="single" w:sz="8" w:space="0" w:color="D2232A"/>
            </w:tcBorders>
            <w:noWrap/>
            <w:vAlign w:val="center"/>
            <w:hideMark/>
          </w:tcPr>
          <w:p w14:paraId="7723C9F0" w14:textId="77777777" w:rsidR="00780BF2" w:rsidRPr="000E19D8" w:rsidRDefault="00780BF2" w:rsidP="001F0A7B">
            <w:pPr>
              <w:spacing w:after="0"/>
              <w:rPr>
                <w:rFonts w:eastAsia="ArialNarrow" w:cs="Calibri"/>
                <w:color w:val="3F3F3F"/>
                <w:szCs w:val="18"/>
              </w:rPr>
            </w:pPr>
          </w:p>
        </w:tc>
        <w:tc>
          <w:tcPr>
            <w:tcW w:w="2975" w:type="dxa"/>
            <w:gridSpan w:val="2"/>
            <w:tcBorders>
              <w:top w:val="nil"/>
              <w:right w:val="single" w:sz="4" w:space="0" w:color="D2232A"/>
            </w:tcBorders>
            <w:noWrap/>
            <w:vAlign w:val="center"/>
            <w:hideMark/>
          </w:tcPr>
          <w:p w14:paraId="3306EDB4"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objekata</w:t>
            </w:r>
          </w:p>
        </w:tc>
        <w:tc>
          <w:tcPr>
            <w:tcW w:w="793" w:type="dxa"/>
            <w:tcBorders>
              <w:top w:val="nil"/>
              <w:left w:val="single" w:sz="8" w:space="0" w:color="D2232A"/>
              <w:right w:val="single" w:sz="8" w:space="0" w:color="D2232A"/>
            </w:tcBorders>
            <w:noWrap/>
            <w:vAlign w:val="center"/>
            <w:hideMark/>
          </w:tcPr>
          <w:p w14:paraId="635C58B0"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99</w:t>
            </w:r>
          </w:p>
        </w:tc>
        <w:tc>
          <w:tcPr>
            <w:tcW w:w="907" w:type="dxa"/>
            <w:tcBorders>
              <w:top w:val="nil"/>
              <w:left w:val="single" w:sz="8" w:space="0" w:color="D2232A"/>
              <w:right w:val="single" w:sz="8" w:space="0" w:color="D2232A"/>
            </w:tcBorders>
            <w:noWrap/>
            <w:vAlign w:val="center"/>
            <w:hideMark/>
          </w:tcPr>
          <w:p w14:paraId="68C34BB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200</w:t>
            </w:r>
          </w:p>
        </w:tc>
        <w:tc>
          <w:tcPr>
            <w:tcW w:w="783" w:type="dxa"/>
            <w:tcBorders>
              <w:top w:val="nil"/>
              <w:left w:val="single" w:sz="8" w:space="0" w:color="D2232A"/>
              <w:right w:val="single" w:sz="8" w:space="0" w:color="D2232A"/>
            </w:tcBorders>
            <w:noWrap/>
            <w:vAlign w:val="center"/>
            <w:hideMark/>
          </w:tcPr>
          <w:p w14:paraId="273C0438"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127</w:t>
            </w:r>
          </w:p>
        </w:tc>
        <w:tc>
          <w:tcPr>
            <w:tcW w:w="794" w:type="dxa"/>
            <w:tcBorders>
              <w:top w:val="nil"/>
              <w:left w:val="single" w:sz="8" w:space="0" w:color="D2232A"/>
              <w:right w:val="single" w:sz="8" w:space="0" w:color="D2232A"/>
            </w:tcBorders>
            <w:noWrap/>
            <w:vAlign w:val="center"/>
            <w:hideMark/>
          </w:tcPr>
          <w:p w14:paraId="447AAB4A"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163</w:t>
            </w:r>
          </w:p>
        </w:tc>
        <w:tc>
          <w:tcPr>
            <w:tcW w:w="672" w:type="dxa"/>
            <w:tcBorders>
              <w:top w:val="nil"/>
              <w:left w:val="single" w:sz="8" w:space="0" w:color="D2232A"/>
              <w:right w:val="single" w:sz="8" w:space="0" w:color="D2232A"/>
            </w:tcBorders>
          </w:tcPr>
          <w:p w14:paraId="310A12A5"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200</w:t>
            </w:r>
          </w:p>
        </w:tc>
        <w:tc>
          <w:tcPr>
            <w:tcW w:w="1045" w:type="dxa"/>
            <w:tcBorders>
              <w:top w:val="nil"/>
              <w:left w:val="single" w:sz="8" w:space="0" w:color="D2232A"/>
              <w:right w:val="single" w:sz="8" w:space="0" w:color="D2232A"/>
            </w:tcBorders>
          </w:tcPr>
          <w:p w14:paraId="6A7A18D5"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213</w:t>
            </w:r>
          </w:p>
        </w:tc>
        <w:tc>
          <w:tcPr>
            <w:tcW w:w="1000" w:type="dxa"/>
            <w:tcBorders>
              <w:top w:val="nil"/>
              <w:left w:val="single" w:sz="8" w:space="0" w:color="D2232A"/>
              <w:right w:val="single" w:sz="8" w:space="0" w:color="D2232A"/>
            </w:tcBorders>
            <w:vAlign w:val="center"/>
          </w:tcPr>
          <w:p w14:paraId="69179BDD" w14:textId="378CFA41" w:rsidR="00780BF2" w:rsidRPr="000E19D8" w:rsidRDefault="002631DE" w:rsidP="001F0A7B">
            <w:pPr>
              <w:autoSpaceDE w:val="0"/>
              <w:autoSpaceDN w:val="0"/>
              <w:adjustRightInd w:val="0"/>
              <w:spacing w:after="0"/>
              <w:rPr>
                <w:rFonts w:eastAsia="ArialNarrow" w:cs="Calibri"/>
                <w:color w:val="3F3F3F"/>
                <w:szCs w:val="18"/>
              </w:rPr>
            </w:pPr>
            <w:r>
              <w:rPr>
                <w:rFonts w:eastAsia="ArialNarrow" w:cs="Calibri"/>
                <w:color w:val="3F3F3F"/>
                <w:szCs w:val="18"/>
              </w:rPr>
              <w:t>115,15</w:t>
            </w:r>
          </w:p>
        </w:tc>
      </w:tr>
      <w:tr w:rsidR="00780BF2" w:rsidRPr="000E19D8" w14:paraId="27EF3A1D" w14:textId="77777777" w:rsidTr="002F0BCD">
        <w:trPr>
          <w:trHeight w:val="250"/>
        </w:trPr>
        <w:tc>
          <w:tcPr>
            <w:tcW w:w="249" w:type="dxa"/>
            <w:tcBorders>
              <w:left w:val="single" w:sz="8" w:space="0" w:color="D2232A"/>
            </w:tcBorders>
            <w:noWrap/>
            <w:vAlign w:val="center"/>
            <w:hideMark/>
          </w:tcPr>
          <w:p w14:paraId="63FF631F" w14:textId="77777777" w:rsidR="00780BF2" w:rsidRPr="000E19D8" w:rsidRDefault="00780BF2" w:rsidP="001F0A7B">
            <w:pPr>
              <w:spacing w:after="0"/>
              <w:rPr>
                <w:rFonts w:eastAsia="ArialNarrow" w:cs="Calibri"/>
                <w:color w:val="3F3F3F"/>
                <w:szCs w:val="18"/>
              </w:rPr>
            </w:pPr>
          </w:p>
        </w:tc>
        <w:tc>
          <w:tcPr>
            <w:tcW w:w="2975" w:type="dxa"/>
            <w:gridSpan w:val="2"/>
            <w:tcBorders>
              <w:right w:val="single" w:sz="4" w:space="0" w:color="D2232A"/>
            </w:tcBorders>
            <w:noWrap/>
            <w:vAlign w:val="center"/>
            <w:hideMark/>
          </w:tcPr>
          <w:p w14:paraId="578A90A0"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smještajnih jedinica</w:t>
            </w:r>
          </w:p>
        </w:tc>
        <w:tc>
          <w:tcPr>
            <w:tcW w:w="793" w:type="dxa"/>
            <w:tcBorders>
              <w:left w:val="single" w:sz="8" w:space="0" w:color="D2232A"/>
              <w:right w:val="single" w:sz="8" w:space="0" w:color="D2232A"/>
            </w:tcBorders>
            <w:noWrap/>
            <w:vAlign w:val="center"/>
            <w:hideMark/>
          </w:tcPr>
          <w:p w14:paraId="6780E695"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164</w:t>
            </w:r>
          </w:p>
        </w:tc>
        <w:tc>
          <w:tcPr>
            <w:tcW w:w="907" w:type="dxa"/>
            <w:tcBorders>
              <w:left w:val="single" w:sz="8" w:space="0" w:color="D2232A"/>
              <w:right w:val="single" w:sz="8" w:space="0" w:color="D2232A"/>
            </w:tcBorders>
            <w:noWrap/>
            <w:vAlign w:val="center"/>
            <w:hideMark/>
          </w:tcPr>
          <w:p w14:paraId="571AC1F6"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213</w:t>
            </w:r>
          </w:p>
        </w:tc>
        <w:tc>
          <w:tcPr>
            <w:tcW w:w="783" w:type="dxa"/>
            <w:tcBorders>
              <w:left w:val="single" w:sz="8" w:space="0" w:color="D2232A"/>
              <w:right w:val="single" w:sz="8" w:space="0" w:color="D2232A"/>
            </w:tcBorders>
            <w:noWrap/>
            <w:vAlign w:val="center"/>
            <w:hideMark/>
          </w:tcPr>
          <w:p w14:paraId="388FE06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283</w:t>
            </w:r>
          </w:p>
        </w:tc>
        <w:tc>
          <w:tcPr>
            <w:tcW w:w="794" w:type="dxa"/>
            <w:tcBorders>
              <w:left w:val="single" w:sz="8" w:space="0" w:color="D2232A"/>
              <w:right w:val="single" w:sz="8" w:space="0" w:color="D2232A"/>
            </w:tcBorders>
            <w:noWrap/>
            <w:vAlign w:val="center"/>
            <w:hideMark/>
          </w:tcPr>
          <w:p w14:paraId="02A151DA"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338</w:t>
            </w:r>
          </w:p>
        </w:tc>
        <w:tc>
          <w:tcPr>
            <w:tcW w:w="672" w:type="dxa"/>
            <w:tcBorders>
              <w:left w:val="single" w:sz="8" w:space="0" w:color="D2232A"/>
              <w:right w:val="single" w:sz="8" w:space="0" w:color="D2232A"/>
            </w:tcBorders>
          </w:tcPr>
          <w:p w14:paraId="01CDB7AB"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335</w:t>
            </w:r>
          </w:p>
        </w:tc>
        <w:tc>
          <w:tcPr>
            <w:tcW w:w="1045" w:type="dxa"/>
            <w:tcBorders>
              <w:left w:val="single" w:sz="8" w:space="0" w:color="D2232A"/>
              <w:right w:val="single" w:sz="8" w:space="0" w:color="D2232A"/>
            </w:tcBorders>
          </w:tcPr>
          <w:p w14:paraId="4C0BD9B0"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365</w:t>
            </w:r>
          </w:p>
        </w:tc>
        <w:tc>
          <w:tcPr>
            <w:tcW w:w="1000" w:type="dxa"/>
            <w:tcBorders>
              <w:left w:val="single" w:sz="8" w:space="0" w:color="D2232A"/>
              <w:right w:val="single" w:sz="8" w:space="0" w:color="D2232A"/>
            </w:tcBorders>
            <w:vAlign w:val="center"/>
          </w:tcPr>
          <w:p w14:paraId="7DAB191C" w14:textId="69192A5A" w:rsidR="00780BF2" w:rsidRPr="000E19D8" w:rsidRDefault="002631DE" w:rsidP="001F0A7B">
            <w:pPr>
              <w:autoSpaceDE w:val="0"/>
              <w:autoSpaceDN w:val="0"/>
              <w:adjustRightInd w:val="0"/>
              <w:spacing w:after="0"/>
              <w:rPr>
                <w:rFonts w:eastAsia="ArialNarrow" w:cs="Calibri"/>
                <w:color w:val="3F3F3F"/>
                <w:szCs w:val="18"/>
              </w:rPr>
            </w:pPr>
            <w:r>
              <w:rPr>
                <w:rFonts w:eastAsia="ArialNarrow" w:cs="Calibri"/>
                <w:color w:val="3F3F3F"/>
                <w:szCs w:val="18"/>
              </w:rPr>
              <w:t>122,56</w:t>
            </w:r>
          </w:p>
        </w:tc>
      </w:tr>
      <w:tr w:rsidR="00780BF2" w:rsidRPr="000E19D8" w14:paraId="1A1D2BD2" w14:textId="77777777" w:rsidTr="002F0BCD">
        <w:trPr>
          <w:trHeight w:val="250"/>
        </w:trPr>
        <w:tc>
          <w:tcPr>
            <w:tcW w:w="249" w:type="dxa"/>
            <w:tcBorders>
              <w:left w:val="single" w:sz="8" w:space="0" w:color="D2232A"/>
            </w:tcBorders>
            <w:noWrap/>
            <w:vAlign w:val="center"/>
            <w:hideMark/>
          </w:tcPr>
          <w:p w14:paraId="1F953697" w14:textId="77777777" w:rsidR="00780BF2" w:rsidRPr="000E19D8" w:rsidRDefault="00780BF2" w:rsidP="001F0A7B">
            <w:pPr>
              <w:spacing w:after="0"/>
              <w:rPr>
                <w:rFonts w:eastAsia="ArialNarrow" w:cs="Calibri"/>
                <w:color w:val="3F3F3F"/>
                <w:szCs w:val="18"/>
              </w:rPr>
            </w:pPr>
          </w:p>
        </w:tc>
        <w:tc>
          <w:tcPr>
            <w:tcW w:w="2975" w:type="dxa"/>
            <w:gridSpan w:val="2"/>
            <w:tcBorders>
              <w:right w:val="single" w:sz="4" w:space="0" w:color="D2232A"/>
            </w:tcBorders>
            <w:noWrap/>
            <w:vAlign w:val="center"/>
            <w:hideMark/>
          </w:tcPr>
          <w:p w14:paraId="3A5C0058"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kreveta</w:t>
            </w:r>
          </w:p>
        </w:tc>
        <w:tc>
          <w:tcPr>
            <w:tcW w:w="793" w:type="dxa"/>
            <w:tcBorders>
              <w:left w:val="single" w:sz="8" w:space="0" w:color="D2232A"/>
              <w:right w:val="single" w:sz="8" w:space="0" w:color="D2232A"/>
            </w:tcBorders>
            <w:noWrap/>
            <w:vAlign w:val="center"/>
            <w:hideMark/>
          </w:tcPr>
          <w:p w14:paraId="0DC8EC2B"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398</w:t>
            </w:r>
          </w:p>
        </w:tc>
        <w:tc>
          <w:tcPr>
            <w:tcW w:w="907" w:type="dxa"/>
            <w:tcBorders>
              <w:left w:val="single" w:sz="8" w:space="0" w:color="D2232A"/>
              <w:right w:val="single" w:sz="8" w:space="0" w:color="D2232A"/>
            </w:tcBorders>
            <w:noWrap/>
            <w:vAlign w:val="center"/>
            <w:hideMark/>
          </w:tcPr>
          <w:p w14:paraId="7018F52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530</w:t>
            </w:r>
          </w:p>
        </w:tc>
        <w:tc>
          <w:tcPr>
            <w:tcW w:w="783" w:type="dxa"/>
            <w:tcBorders>
              <w:left w:val="single" w:sz="8" w:space="0" w:color="D2232A"/>
              <w:right w:val="single" w:sz="8" w:space="0" w:color="D2232A"/>
            </w:tcBorders>
            <w:noWrap/>
            <w:vAlign w:val="center"/>
            <w:hideMark/>
          </w:tcPr>
          <w:p w14:paraId="0882AB19"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742</w:t>
            </w:r>
          </w:p>
        </w:tc>
        <w:tc>
          <w:tcPr>
            <w:tcW w:w="794" w:type="dxa"/>
            <w:tcBorders>
              <w:left w:val="single" w:sz="8" w:space="0" w:color="D2232A"/>
              <w:right w:val="single" w:sz="8" w:space="0" w:color="D2232A"/>
            </w:tcBorders>
            <w:noWrap/>
            <w:vAlign w:val="center"/>
            <w:hideMark/>
          </w:tcPr>
          <w:p w14:paraId="17EA995A"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902</w:t>
            </w:r>
          </w:p>
        </w:tc>
        <w:tc>
          <w:tcPr>
            <w:tcW w:w="672" w:type="dxa"/>
            <w:tcBorders>
              <w:left w:val="single" w:sz="8" w:space="0" w:color="D2232A"/>
              <w:right w:val="single" w:sz="8" w:space="0" w:color="D2232A"/>
            </w:tcBorders>
          </w:tcPr>
          <w:p w14:paraId="1E09DF2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984</w:t>
            </w:r>
          </w:p>
        </w:tc>
        <w:tc>
          <w:tcPr>
            <w:tcW w:w="1045" w:type="dxa"/>
            <w:tcBorders>
              <w:left w:val="single" w:sz="8" w:space="0" w:color="D2232A"/>
              <w:right w:val="single" w:sz="8" w:space="0" w:color="D2232A"/>
            </w:tcBorders>
          </w:tcPr>
          <w:p w14:paraId="7BC36DC7"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1100</w:t>
            </w:r>
          </w:p>
        </w:tc>
        <w:tc>
          <w:tcPr>
            <w:tcW w:w="1000" w:type="dxa"/>
            <w:tcBorders>
              <w:left w:val="single" w:sz="8" w:space="0" w:color="D2232A"/>
              <w:right w:val="single" w:sz="8" w:space="0" w:color="D2232A"/>
            </w:tcBorders>
            <w:vAlign w:val="center"/>
          </w:tcPr>
          <w:p w14:paraId="1357607C" w14:textId="2E4F5969" w:rsidR="00780BF2" w:rsidRPr="000E19D8" w:rsidRDefault="008253E7" w:rsidP="001F0A7B">
            <w:pPr>
              <w:autoSpaceDE w:val="0"/>
              <w:autoSpaceDN w:val="0"/>
              <w:adjustRightInd w:val="0"/>
              <w:spacing w:after="0"/>
              <w:rPr>
                <w:rFonts w:eastAsia="ArialNarrow" w:cs="Calibri"/>
                <w:color w:val="3F3F3F"/>
                <w:szCs w:val="18"/>
              </w:rPr>
            </w:pPr>
            <w:r>
              <w:rPr>
                <w:rFonts w:eastAsia="ArialNarrow" w:cs="Calibri"/>
                <w:color w:val="3F3F3F"/>
                <w:szCs w:val="18"/>
              </w:rPr>
              <w:t>176,38</w:t>
            </w:r>
          </w:p>
        </w:tc>
      </w:tr>
      <w:tr w:rsidR="00780BF2" w:rsidRPr="000E19D8" w14:paraId="218314FE" w14:textId="77777777" w:rsidTr="002F0BCD">
        <w:trPr>
          <w:trHeight w:val="250"/>
        </w:trPr>
        <w:tc>
          <w:tcPr>
            <w:tcW w:w="3224" w:type="dxa"/>
            <w:gridSpan w:val="3"/>
            <w:tcBorders>
              <w:left w:val="single" w:sz="8" w:space="0" w:color="D2232A"/>
              <w:bottom w:val="nil"/>
              <w:right w:val="single" w:sz="4" w:space="0" w:color="D2232A"/>
            </w:tcBorders>
            <w:noWrap/>
            <w:vAlign w:val="center"/>
            <w:hideMark/>
          </w:tcPr>
          <w:p w14:paraId="6C26E8A9" w14:textId="77777777" w:rsidR="00780BF2" w:rsidRPr="000E19D8" w:rsidRDefault="00780BF2" w:rsidP="001F0A7B">
            <w:pPr>
              <w:autoSpaceDE w:val="0"/>
              <w:autoSpaceDN w:val="0"/>
              <w:adjustRightInd w:val="0"/>
              <w:spacing w:after="0"/>
              <w:rPr>
                <w:rFonts w:eastAsia="ArialNarrow" w:cs="Calibri"/>
                <w:b/>
                <w:bCs/>
                <w:color w:val="3F3F3F"/>
                <w:szCs w:val="18"/>
              </w:rPr>
            </w:pPr>
            <w:r w:rsidRPr="000E19D8">
              <w:rPr>
                <w:rFonts w:eastAsia="ArialNarrow" w:cs="Calibri"/>
                <w:b/>
                <w:bCs/>
                <w:color w:val="3F3F3F"/>
                <w:szCs w:val="18"/>
              </w:rPr>
              <w:t>Pansioni</w:t>
            </w:r>
          </w:p>
        </w:tc>
        <w:tc>
          <w:tcPr>
            <w:tcW w:w="793" w:type="dxa"/>
            <w:tcBorders>
              <w:left w:val="single" w:sz="8" w:space="0" w:color="D2232A"/>
              <w:bottom w:val="nil"/>
              <w:right w:val="single" w:sz="8" w:space="0" w:color="D2232A"/>
            </w:tcBorders>
            <w:noWrap/>
            <w:vAlign w:val="center"/>
            <w:hideMark/>
          </w:tcPr>
          <w:p w14:paraId="5FF77F36" w14:textId="77777777" w:rsidR="00780BF2" w:rsidRPr="000E19D8" w:rsidRDefault="00780BF2" w:rsidP="001F0A7B">
            <w:pPr>
              <w:spacing w:after="0"/>
              <w:rPr>
                <w:rFonts w:eastAsia="Times New Roman" w:cs="Times New Roman"/>
                <w:color w:val="3F3F3F"/>
                <w:szCs w:val="18"/>
                <w:lang w:eastAsia="hr-HR"/>
              </w:rPr>
            </w:pPr>
          </w:p>
        </w:tc>
        <w:tc>
          <w:tcPr>
            <w:tcW w:w="907" w:type="dxa"/>
            <w:tcBorders>
              <w:left w:val="single" w:sz="8" w:space="0" w:color="D2232A"/>
              <w:bottom w:val="nil"/>
              <w:right w:val="single" w:sz="8" w:space="0" w:color="D2232A"/>
            </w:tcBorders>
            <w:noWrap/>
            <w:vAlign w:val="center"/>
            <w:hideMark/>
          </w:tcPr>
          <w:p w14:paraId="34D83234" w14:textId="77777777" w:rsidR="00780BF2" w:rsidRPr="000E19D8" w:rsidRDefault="00780BF2" w:rsidP="001F0A7B">
            <w:pPr>
              <w:spacing w:after="0"/>
              <w:rPr>
                <w:rFonts w:eastAsia="Times New Roman" w:cs="Times New Roman"/>
                <w:color w:val="3F3F3F"/>
                <w:szCs w:val="18"/>
                <w:lang w:eastAsia="hr-HR"/>
              </w:rPr>
            </w:pPr>
          </w:p>
        </w:tc>
        <w:tc>
          <w:tcPr>
            <w:tcW w:w="783" w:type="dxa"/>
            <w:tcBorders>
              <w:left w:val="single" w:sz="8" w:space="0" w:color="D2232A"/>
              <w:bottom w:val="nil"/>
              <w:right w:val="single" w:sz="8" w:space="0" w:color="D2232A"/>
            </w:tcBorders>
            <w:noWrap/>
            <w:vAlign w:val="center"/>
            <w:hideMark/>
          </w:tcPr>
          <w:p w14:paraId="650ACAD5" w14:textId="77777777" w:rsidR="00780BF2" w:rsidRPr="000E19D8" w:rsidRDefault="00780BF2" w:rsidP="001F0A7B">
            <w:pPr>
              <w:spacing w:after="0"/>
              <w:rPr>
                <w:rFonts w:eastAsia="Times New Roman" w:cs="Times New Roman"/>
                <w:color w:val="3F3F3F"/>
                <w:szCs w:val="18"/>
                <w:lang w:eastAsia="hr-HR"/>
              </w:rPr>
            </w:pPr>
          </w:p>
        </w:tc>
        <w:tc>
          <w:tcPr>
            <w:tcW w:w="794" w:type="dxa"/>
            <w:tcBorders>
              <w:left w:val="single" w:sz="8" w:space="0" w:color="D2232A"/>
              <w:bottom w:val="nil"/>
              <w:right w:val="single" w:sz="8" w:space="0" w:color="D2232A"/>
            </w:tcBorders>
            <w:noWrap/>
            <w:vAlign w:val="center"/>
            <w:hideMark/>
          </w:tcPr>
          <w:p w14:paraId="6A143454" w14:textId="77777777" w:rsidR="00780BF2" w:rsidRPr="000E19D8" w:rsidRDefault="00780BF2" w:rsidP="001F0A7B">
            <w:pPr>
              <w:spacing w:after="0"/>
              <w:rPr>
                <w:rFonts w:eastAsia="Times New Roman" w:cs="Times New Roman"/>
                <w:color w:val="3F3F3F"/>
                <w:szCs w:val="18"/>
                <w:lang w:eastAsia="hr-HR"/>
              </w:rPr>
            </w:pPr>
          </w:p>
        </w:tc>
        <w:tc>
          <w:tcPr>
            <w:tcW w:w="672" w:type="dxa"/>
            <w:tcBorders>
              <w:left w:val="single" w:sz="8" w:space="0" w:color="D2232A"/>
              <w:bottom w:val="nil"/>
              <w:right w:val="single" w:sz="8" w:space="0" w:color="D2232A"/>
            </w:tcBorders>
          </w:tcPr>
          <w:p w14:paraId="24286A63"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45" w:type="dxa"/>
            <w:tcBorders>
              <w:left w:val="single" w:sz="8" w:space="0" w:color="D2232A"/>
              <w:bottom w:val="nil"/>
              <w:right w:val="single" w:sz="8" w:space="0" w:color="D2232A"/>
            </w:tcBorders>
          </w:tcPr>
          <w:p w14:paraId="3D8612B6"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00" w:type="dxa"/>
            <w:tcBorders>
              <w:left w:val="single" w:sz="8" w:space="0" w:color="D2232A"/>
              <w:bottom w:val="nil"/>
              <w:right w:val="single" w:sz="8" w:space="0" w:color="D2232A"/>
            </w:tcBorders>
            <w:vAlign w:val="center"/>
          </w:tcPr>
          <w:p w14:paraId="5B88932D" w14:textId="77777777" w:rsidR="00780BF2" w:rsidRPr="000E19D8" w:rsidRDefault="00780BF2" w:rsidP="001F0A7B">
            <w:pPr>
              <w:autoSpaceDE w:val="0"/>
              <w:autoSpaceDN w:val="0"/>
              <w:adjustRightInd w:val="0"/>
              <w:spacing w:after="0"/>
              <w:rPr>
                <w:rFonts w:eastAsia="ArialNarrow" w:cs="Calibri"/>
                <w:color w:val="3F3F3F"/>
                <w:szCs w:val="18"/>
              </w:rPr>
            </w:pPr>
          </w:p>
        </w:tc>
      </w:tr>
      <w:tr w:rsidR="00780BF2" w:rsidRPr="000E19D8" w14:paraId="7FA3749C" w14:textId="77777777" w:rsidTr="002F0BCD">
        <w:trPr>
          <w:trHeight w:val="250"/>
        </w:trPr>
        <w:tc>
          <w:tcPr>
            <w:tcW w:w="249" w:type="dxa"/>
            <w:tcBorders>
              <w:top w:val="nil"/>
              <w:left w:val="single" w:sz="8" w:space="0" w:color="D2232A"/>
            </w:tcBorders>
            <w:noWrap/>
            <w:vAlign w:val="center"/>
            <w:hideMark/>
          </w:tcPr>
          <w:p w14:paraId="3CC9207A" w14:textId="77777777" w:rsidR="00780BF2" w:rsidRPr="000E19D8" w:rsidRDefault="00780BF2" w:rsidP="001F0A7B">
            <w:pPr>
              <w:spacing w:after="0"/>
              <w:rPr>
                <w:rFonts w:eastAsia="ArialNarrow" w:cs="Calibri"/>
                <w:color w:val="3F3F3F"/>
                <w:szCs w:val="18"/>
              </w:rPr>
            </w:pPr>
          </w:p>
        </w:tc>
        <w:tc>
          <w:tcPr>
            <w:tcW w:w="2975" w:type="dxa"/>
            <w:gridSpan w:val="2"/>
            <w:tcBorders>
              <w:top w:val="nil"/>
              <w:right w:val="single" w:sz="4" w:space="0" w:color="D2232A"/>
            </w:tcBorders>
            <w:noWrap/>
            <w:vAlign w:val="center"/>
            <w:hideMark/>
          </w:tcPr>
          <w:p w14:paraId="0AEFB7BF"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objekata</w:t>
            </w:r>
          </w:p>
        </w:tc>
        <w:tc>
          <w:tcPr>
            <w:tcW w:w="793" w:type="dxa"/>
            <w:tcBorders>
              <w:top w:val="nil"/>
              <w:left w:val="single" w:sz="8" w:space="0" w:color="D2232A"/>
              <w:right w:val="single" w:sz="8" w:space="0" w:color="D2232A"/>
            </w:tcBorders>
            <w:noWrap/>
            <w:vAlign w:val="center"/>
            <w:hideMark/>
          </w:tcPr>
          <w:p w14:paraId="37C7C544"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6</w:t>
            </w:r>
          </w:p>
        </w:tc>
        <w:tc>
          <w:tcPr>
            <w:tcW w:w="907" w:type="dxa"/>
            <w:tcBorders>
              <w:top w:val="nil"/>
              <w:left w:val="single" w:sz="8" w:space="0" w:color="D2232A"/>
              <w:right w:val="single" w:sz="8" w:space="0" w:color="D2232A"/>
            </w:tcBorders>
            <w:noWrap/>
            <w:vAlign w:val="center"/>
            <w:hideMark/>
          </w:tcPr>
          <w:p w14:paraId="05E78238" w14:textId="02E6C92D" w:rsidR="00780BF2" w:rsidRPr="000E19D8" w:rsidRDefault="00BC7770" w:rsidP="001F0A7B">
            <w:pPr>
              <w:autoSpaceDE w:val="0"/>
              <w:autoSpaceDN w:val="0"/>
              <w:adjustRightInd w:val="0"/>
              <w:spacing w:after="0"/>
              <w:rPr>
                <w:rFonts w:eastAsia="ArialNarrow" w:cs="Calibri"/>
                <w:color w:val="3F3F3F"/>
                <w:szCs w:val="18"/>
              </w:rPr>
            </w:pPr>
            <w:r>
              <w:rPr>
                <w:rFonts w:eastAsia="ArialNarrow" w:cs="Calibri"/>
                <w:color w:val="3F3F3F"/>
                <w:szCs w:val="18"/>
              </w:rPr>
              <w:t>n/a</w:t>
            </w:r>
          </w:p>
        </w:tc>
        <w:tc>
          <w:tcPr>
            <w:tcW w:w="783" w:type="dxa"/>
            <w:tcBorders>
              <w:top w:val="nil"/>
              <w:left w:val="single" w:sz="8" w:space="0" w:color="D2232A"/>
              <w:right w:val="single" w:sz="8" w:space="0" w:color="D2232A"/>
            </w:tcBorders>
            <w:noWrap/>
            <w:vAlign w:val="center"/>
            <w:hideMark/>
          </w:tcPr>
          <w:p w14:paraId="1D7B60E2"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6</w:t>
            </w:r>
          </w:p>
        </w:tc>
        <w:tc>
          <w:tcPr>
            <w:tcW w:w="794" w:type="dxa"/>
            <w:tcBorders>
              <w:top w:val="nil"/>
              <w:left w:val="single" w:sz="8" w:space="0" w:color="D2232A"/>
              <w:right w:val="single" w:sz="8" w:space="0" w:color="D2232A"/>
            </w:tcBorders>
            <w:noWrap/>
            <w:vAlign w:val="center"/>
            <w:hideMark/>
          </w:tcPr>
          <w:p w14:paraId="21407CF8"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5</w:t>
            </w:r>
          </w:p>
        </w:tc>
        <w:tc>
          <w:tcPr>
            <w:tcW w:w="672" w:type="dxa"/>
            <w:tcBorders>
              <w:top w:val="nil"/>
              <w:left w:val="single" w:sz="8" w:space="0" w:color="D2232A"/>
              <w:right w:val="single" w:sz="8" w:space="0" w:color="D2232A"/>
            </w:tcBorders>
          </w:tcPr>
          <w:p w14:paraId="4206F8C8"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5</w:t>
            </w:r>
          </w:p>
        </w:tc>
        <w:tc>
          <w:tcPr>
            <w:tcW w:w="1045" w:type="dxa"/>
            <w:tcBorders>
              <w:top w:val="nil"/>
              <w:left w:val="single" w:sz="8" w:space="0" w:color="D2232A"/>
              <w:right w:val="single" w:sz="8" w:space="0" w:color="D2232A"/>
            </w:tcBorders>
          </w:tcPr>
          <w:p w14:paraId="2082DD76"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5</w:t>
            </w:r>
          </w:p>
        </w:tc>
        <w:tc>
          <w:tcPr>
            <w:tcW w:w="1000" w:type="dxa"/>
            <w:tcBorders>
              <w:top w:val="nil"/>
              <w:left w:val="single" w:sz="8" w:space="0" w:color="D2232A"/>
              <w:right w:val="single" w:sz="8" w:space="0" w:color="D2232A"/>
            </w:tcBorders>
            <w:vAlign w:val="center"/>
            <w:hideMark/>
          </w:tcPr>
          <w:p w14:paraId="5776B24F" w14:textId="2AECF243" w:rsidR="00780BF2" w:rsidRPr="000E19D8" w:rsidRDefault="00BC7770" w:rsidP="001F0A7B">
            <w:pPr>
              <w:autoSpaceDE w:val="0"/>
              <w:autoSpaceDN w:val="0"/>
              <w:adjustRightInd w:val="0"/>
              <w:spacing w:after="0"/>
              <w:rPr>
                <w:rFonts w:eastAsia="ArialNarrow" w:cs="Calibri"/>
                <w:color w:val="3F3F3F"/>
                <w:szCs w:val="18"/>
              </w:rPr>
            </w:pPr>
            <w:r>
              <w:rPr>
                <w:rFonts w:eastAsia="ArialNarrow" w:cs="Calibri"/>
                <w:color w:val="3F3F3F"/>
                <w:szCs w:val="18"/>
              </w:rPr>
              <w:t>-16,6</w:t>
            </w:r>
          </w:p>
        </w:tc>
      </w:tr>
      <w:tr w:rsidR="00780BF2" w:rsidRPr="000E19D8" w14:paraId="5103AAA8" w14:textId="77777777" w:rsidTr="002F0BCD">
        <w:trPr>
          <w:trHeight w:val="250"/>
        </w:trPr>
        <w:tc>
          <w:tcPr>
            <w:tcW w:w="249" w:type="dxa"/>
            <w:tcBorders>
              <w:left w:val="single" w:sz="8" w:space="0" w:color="D2232A"/>
            </w:tcBorders>
            <w:noWrap/>
            <w:vAlign w:val="center"/>
            <w:hideMark/>
          </w:tcPr>
          <w:p w14:paraId="3CBD84CD" w14:textId="77777777" w:rsidR="00780BF2" w:rsidRPr="000E19D8" w:rsidRDefault="00780BF2" w:rsidP="001F0A7B">
            <w:pPr>
              <w:spacing w:after="0"/>
              <w:rPr>
                <w:rFonts w:eastAsia="ArialNarrow" w:cs="Calibri"/>
                <w:color w:val="3F3F3F"/>
                <w:szCs w:val="18"/>
              </w:rPr>
            </w:pPr>
          </w:p>
        </w:tc>
        <w:tc>
          <w:tcPr>
            <w:tcW w:w="2975" w:type="dxa"/>
            <w:gridSpan w:val="2"/>
            <w:tcBorders>
              <w:right w:val="single" w:sz="4" w:space="0" w:color="D2232A"/>
            </w:tcBorders>
            <w:noWrap/>
            <w:vAlign w:val="center"/>
            <w:hideMark/>
          </w:tcPr>
          <w:p w14:paraId="4D9C775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smještajnih jedinica</w:t>
            </w:r>
          </w:p>
        </w:tc>
        <w:tc>
          <w:tcPr>
            <w:tcW w:w="793" w:type="dxa"/>
            <w:tcBorders>
              <w:left w:val="single" w:sz="8" w:space="0" w:color="D2232A"/>
              <w:right w:val="single" w:sz="8" w:space="0" w:color="D2232A"/>
            </w:tcBorders>
            <w:noWrap/>
            <w:vAlign w:val="center"/>
            <w:hideMark/>
          </w:tcPr>
          <w:p w14:paraId="7390578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103</w:t>
            </w:r>
          </w:p>
        </w:tc>
        <w:tc>
          <w:tcPr>
            <w:tcW w:w="907" w:type="dxa"/>
            <w:tcBorders>
              <w:left w:val="single" w:sz="8" w:space="0" w:color="D2232A"/>
              <w:right w:val="single" w:sz="8" w:space="0" w:color="D2232A"/>
            </w:tcBorders>
            <w:noWrap/>
            <w:vAlign w:val="center"/>
            <w:hideMark/>
          </w:tcPr>
          <w:p w14:paraId="037BB29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87</w:t>
            </w:r>
          </w:p>
        </w:tc>
        <w:tc>
          <w:tcPr>
            <w:tcW w:w="783" w:type="dxa"/>
            <w:tcBorders>
              <w:left w:val="single" w:sz="8" w:space="0" w:color="D2232A"/>
              <w:right w:val="single" w:sz="8" w:space="0" w:color="D2232A"/>
            </w:tcBorders>
            <w:noWrap/>
            <w:vAlign w:val="center"/>
            <w:hideMark/>
          </w:tcPr>
          <w:p w14:paraId="3B7FE436"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87</w:t>
            </w:r>
          </w:p>
        </w:tc>
        <w:tc>
          <w:tcPr>
            <w:tcW w:w="794" w:type="dxa"/>
            <w:tcBorders>
              <w:left w:val="single" w:sz="8" w:space="0" w:color="D2232A"/>
              <w:right w:val="single" w:sz="8" w:space="0" w:color="D2232A"/>
            </w:tcBorders>
            <w:noWrap/>
            <w:vAlign w:val="center"/>
            <w:hideMark/>
          </w:tcPr>
          <w:p w14:paraId="3462C7C8"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85</w:t>
            </w:r>
          </w:p>
        </w:tc>
        <w:tc>
          <w:tcPr>
            <w:tcW w:w="672" w:type="dxa"/>
            <w:tcBorders>
              <w:left w:val="single" w:sz="8" w:space="0" w:color="D2232A"/>
              <w:right w:val="single" w:sz="8" w:space="0" w:color="D2232A"/>
            </w:tcBorders>
          </w:tcPr>
          <w:p w14:paraId="4C97072B"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85</w:t>
            </w:r>
          </w:p>
        </w:tc>
        <w:tc>
          <w:tcPr>
            <w:tcW w:w="1045" w:type="dxa"/>
            <w:tcBorders>
              <w:left w:val="single" w:sz="8" w:space="0" w:color="D2232A"/>
              <w:right w:val="single" w:sz="8" w:space="0" w:color="D2232A"/>
            </w:tcBorders>
          </w:tcPr>
          <w:p w14:paraId="58FAC959"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85</w:t>
            </w:r>
          </w:p>
        </w:tc>
        <w:tc>
          <w:tcPr>
            <w:tcW w:w="1000" w:type="dxa"/>
            <w:tcBorders>
              <w:left w:val="single" w:sz="8" w:space="0" w:color="D2232A"/>
              <w:right w:val="single" w:sz="8" w:space="0" w:color="D2232A"/>
            </w:tcBorders>
            <w:vAlign w:val="center"/>
            <w:hideMark/>
          </w:tcPr>
          <w:p w14:paraId="280B352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-17,48</w:t>
            </w:r>
          </w:p>
        </w:tc>
      </w:tr>
      <w:tr w:rsidR="00780BF2" w:rsidRPr="000E19D8" w14:paraId="66E1883E" w14:textId="77777777" w:rsidTr="002F0BCD">
        <w:trPr>
          <w:trHeight w:val="250"/>
        </w:trPr>
        <w:tc>
          <w:tcPr>
            <w:tcW w:w="249" w:type="dxa"/>
            <w:tcBorders>
              <w:left w:val="single" w:sz="8" w:space="0" w:color="D2232A"/>
              <w:bottom w:val="single" w:sz="8" w:space="0" w:color="F3CFC1"/>
            </w:tcBorders>
            <w:noWrap/>
            <w:vAlign w:val="center"/>
            <w:hideMark/>
          </w:tcPr>
          <w:p w14:paraId="14B6C86C" w14:textId="77777777" w:rsidR="00780BF2" w:rsidRPr="000E19D8" w:rsidRDefault="00780BF2" w:rsidP="001F0A7B">
            <w:pPr>
              <w:spacing w:after="0"/>
              <w:rPr>
                <w:rFonts w:eastAsia="ArialNarrow" w:cs="Calibri"/>
                <w:color w:val="3F3F3F"/>
                <w:szCs w:val="18"/>
              </w:rPr>
            </w:pPr>
          </w:p>
        </w:tc>
        <w:tc>
          <w:tcPr>
            <w:tcW w:w="2975" w:type="dxa"/>
            <w:gridSpan w:val="2"/>
            <w:tcBorders>
              <w:bottom w:val="single" w:sz="8" w:space="0" w:color="F3CFC1"/>
              <w:right w:val="single" w:sz="4" w:space="0" w:color="D2232A"/>
            </w:tcBorders>
            <w:noWrap/>
            <w:vAlign w:val="center"/>
            <w:hideMark/>
          </w:tcPr>
          <w:p w14:paraId="4333A576"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kreveta</w:t>
            </w:r>
          </w:p>
        </w:tc>
        <w:tc>
          <w:tcPr>
            <w:tcW w:w="793" w:type="dxa"/>
            <w:tcBorders>
              <w:left w:val="single" w:sz="8" w:space="0" w:color="D2232A"/>
              <w:right w:val="single" w:sz="8" w:space="0" w:color="D2232A"/>
            </w:tcBorders>
            <w:noWrap/>
            <w:vAlign w:val="center"/>
            <w:hideMark/>
          </w:tcPr>
          <w:p w14:paraId="7AB07EB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247</w:t>
            </w:r>
          </w:p>
        </w:tc>
        <w:tc>
          <w:tcPr>
            <w:tcW w:w="907" w:type="dxa"/>
            <w:tcBorders>
              <w:left w:val="single" w:sz="8" w:space="0" w:color="D2232A"/>
              <w:right w:val="single" w:sz="8" w:space="0" w:color="D2232A"/>
            </w:tcBorders>
            <w:noWrap/>
            <w:vAlign w:val="center"/>
            <w:hideMark/>
          </w:tcPr>
          <w:p w14:paraId="5FFAF98A"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212</w:t>
            </w:r>
          </w:p>
        </w:tc>
        <w:tc>
          <w:tcPr>
            <w:tcW w:w="783" w:type="dxa"/>
            <w:tcBorders>
              <w:left w:val="single" w:sz="8" w:space="0" w:color="D2232A"/>
              <w:right w:val="single" w:sz="8" w:space="0" w:color="D2232A"/>
            </w:tcBorders>
            <w:noWrap/>
            <w:vAlign w:val="center"/>
            <w:hideMark/>
          </w:tcPr>
          <w:p w14:paraId="3A441E17"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212</w:t>
            </w:r>
          </w:p>
        </w:tc>
        <w:tc>
          <w:tcPr>
            <w:tcW w:w="794" w:type="dxa"/>
            <w:tcBorders>
              <w:left w:val="single" w:sz="8" w:space="0" w:color="D2232A"/>
              <w:right w:val="single" w:sz="8" w:space="0" w:color="D2232A"/>
            </w:tcBorders>
            <w:noWrap/>
            <w:vAlign w:val="center"/>
            <w:hideMark/>
          </w:tcPr>
          <w:p w14:paraId="624334F7"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207</w:t>
            </w:r>
          </w:p>
        </w:tc>
        <w:tc>
          <w:tcPr>
            <w:tcW w:w="672" w:type="dxa"/>
            <w:tcBorders>
              <w:left w:val="single" w:sz="8" w:space="0" w:color="D2232A"/>
              <w:right w:val="single" w:sz="8" w:space="0" w:color="D2232A"/>
            </w:tcBorders>
          </w:tcPr>
          <w:p w14:paraId="4753D50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207</w:t>
            </w:r>
          </w:p>
        </w:tc>
        <w:tc>
          <w:tcPr>
            <w:tcW w:w="1045" w:type="dxa"/>
            <w:tcBorders>
              <w:left w:val="single" w:sz="8" w:space="0" w:color="D2232A"/>
              <w:right w:val="single" w:sz="8" w:space="0" w:color="D2232A"/>
            </w:tcBorders>
          </w:tcPr>
          <w:p w14:paraId="76212E15"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207</w:t>
            </w:r>
          </w:p>
        </w:tc>
        <w:tc>
          <w:tcPr>
            <w:tcW w:w="1000" w:type="dxa"/>
            <w:tcBorders>
              <w:left w:val="single" w:sz="8" w:space="0" w:color="D2232A"/>
              <w:right w:val="single" w:sz="8" w:space="0" w:color="D2232A"/>
            </w:tcBorders>
            <w:vAlign w:val="center"/>
            <w:hideMark/>
          </w:tcPr>
          <w:p w14:paraId="71F1DE14"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-16,19</w:t>
            </w:r>
          </w:p>
        </w:tc>
      </w:tr>
      <w:tr w:rsidR="00780BF2" w:rsidRPr="000E19D8" w14:paraId="16F8606D" w14:textId="77777777" w:rsidTr="002F0BCD">
        <w:trPr>
          <w:trHeight w:val="250"/>
        </w:trPr>
        <w:tc>
          <w:tcPr>
            <w:tcW w:w="3224" w:type="dxa"/>
            <w:gridSpan w:val="3"/>
            <w:tcBorders>
              <w:top w:val="single" w:sz="8" w:space="0" w:color="F3CFC1"/>
              <w:left w:val="single" w:sz="8" w:space="0" w:color="D2232A"/>
              <w:bottom w:val="nil"/>
              <w:right w:val="single" w:sz="8" w:space="0" w:color="FF0000"/>
            </w:tcBorders>
            <w:noWrap/>
            <w:vAlign w:val="center"/>
            <w:hideMark/>
          </w:tcPr>
          <w:p w14:paraId="7534B0C6" w14:textId="77777777" w:rsidR="00780BF2" w:rsidRPr="000E19D8" w:rsidRDefault="00780BF2" w:rsidP="001F0A7B">
            <w:pPr>
              <w:autoSpaceDE w:val="0"/>
              <w:autoSpaceDN w:val="0"/>
              <w:adjustRightInd w:val="0"/>
              <w:spacing w:after="0"/>
              <w:rPr>
                <w:rFonts w:eastAsia="ArialNarrow" w:cs="Calibri"/>
                <w:b/>
                <w:bCs/>
                <w:color w:val="3F3F3F"/>
                <w:szCs w:val="18"/>
              </w:rPr>
            </w:pPr>
            <w:r w:rsidRPr="000E19D8">
              <w:rPr>
                <w:rFonts w:eastAsia="ArialNarrow" w:cs="Calibri"/>
                <w:b/>
                <w:bCs/>
                <w:color w:val="3F3F3F"/>
                <w:szCs w:val="18"/>
              </w:rPr>
              <w:t>Agroturizam / seosko domaćinstvo</w:t>
            </w:r>
          </w:p>
        </w:tc>
        <w:tc>
          <w:tcPr>
            <w:tcW w:w="793" w:type="dxa"/>
            <w:tcBorders>
              <w:left w:val="single" w:sz="8" w:space="0" w:color="D2232A"/>
              <w:bottom w:val="nil"/>
              <w:right w:val="single" w:sz="8" w:space="0" w:color="D2232A"/>
            </w:tcBorders>
            <w:noWrap/>
            <w:vAlign w:val="center"/>
            <w:hideMark/>
          </w:tcPr>
          <w:p w14:paraId="0BC771C2" w14:textId="77777777" w:rsidR="00780BF2" w:rsidRPr="000E19D8" w:rsidRDefault="00780BF2" w:rsidP="001F0A7B">
            <w:pPr>
              <w:spacing w:after="0"/>
              <w:rPr>
                <w:rFonts w:eastAsia="ArialNarrow" w:cs="Calibri"/>
                <w:b/>
                <w:bCs/>
                <w:color w:val="3F3F3F"/>
                <w:szCs w:val="18"/>
              </w:rPr>
            </w:pPr>
          </w:p>
        </w:tc>
        <w:tc>
          <w:tcPr>
            <w:tcW w:w="907" w:type="dxa"/>
            <w:tcBorders>
              <w:left w:val="single" w:sz="8" w:space="0" w:color="D2232A"/>
              <w:bottom w:val="nil"/>
              <w:right w:val="single" w:sz="8" w:space="0" w:color="D2232A"/>
            </w:tcBorders>
            <w:noWrap/>
            <w:vAlign w:val="center"/>
            <w:hideMark/>
          </w:tcPr>
          <w:p w14:paraId="7D63E3F5" w14:textId="77777777" w:rsidR="00780BF2" w:rsidRPr="000E19D8" w:rsidRDefault="00780BF2" w:rsidP="001F0A7B">
            <w:pPr>
              <w:spacing w:after="0"/>
              <w:rPr>
                <w:rFonts w:eastAsia="Times New Roman" w:cs="Times New Roman"/>
                <w:color w:val="3F3F3F"/>
                <w:szCs w:val="18"/>
                <w:lang w:eastAsia="hr-HR"/>
              </w:rPr>
            </w:pPr>
          </w:p>
        </w:tc>
        <w:tc>
          <w:tcPr>
            <w:tcW w:w="783" w:type="dxa"/>
            <w:tcBorders>
              <w:left w:val="single" w:sz="8" w:space="0" w:color="D2232A"/>
              <w:bottom w:val="nil"/>
              <w:right w:val="single" w:sz="8" w:space="0" w:color="D2232A"/>
            </w:tcBorders>
            <w:noWrap/>
            <w:vAlign w:val="center"/>
            <w:hideMark/>
          </w:tcPr>
          <w:p w14:paraId="7C2D3A74" w14:textId="77777777" w:rsidR="00780BF2" w:rsidRPr="000E19D8" w:rsidRDefault="00780BF2" w:rsidP="001F0A7B">
            <w:pPr>
              <w:spacing w:after="0"/>
              <w:rPr>
                <w:rFonts w:eastAsia="Times New Roman" w:cs="Times New Roman"/>
                <w:color w:val="3F3F3F"/>
                <w:szCs w:val="18"/>
                <w:lang w:eastAsia="hr-HR"/>
              </w:rPr>
            </w:pPr>
          </w:p>
        </w:tc>
        <w:tc>
          <w:tcPr>
            <w:tcW w:w="794" w:type="dxa"/>
            <w:tcBorders>
              <w:left w:val="single" w:sz="8" w:space="0" w:color="D2232A"/>
              <w:bottom w:val="nil"/>
              <w:right w:val="single" w:sz="8" w:space="0" w:color="D2232A"/>
            </w:tcBorders>
            <w:noWrap/>
            <w:vAlign w:val="center"/>
            <w:hideMark/>
          </w:tcPr>
          <w:p w14:paraId="6E2873E4" w14:textId="77777777" w:rsidR="00780BF2" w:rsidRPr="000E19D8" w:rsidRDefault="00780BF2" w:rsidP="001F0A7B">
            <w:pPr>
              <w:spacing w:after="0"/>
              <w:rPr>
                <w:rFonts w:eastAsia="Times New Roman" w:cs="Times New Roman"/>
                <w:color w:val="3F3F3F"/>
                <w:szCs w:val="18"/>
                <w:lang w:eastAsia="hr-HR"/>
              </w:rPr>
            </w:pPr>
          </w:p>
        </w:tc>
        <w:tc>
          <w:tcPr>
            <w:tcW w:w="672" w:type="dxa"/>
            <w:tcBorders>
              <w:left w:val="single" w:sz="8" w:space="0" w:color="D2232A"/>
              <w:bottom w:val="nil"/>
              <w:right w:val="single" w:sz="8" w:space="0" w:color="D2232A"/>
            </w:tcBorders>
          </w:tcPr>
          <w:p w14:paraId="20F2E67E"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45" w:type="dxa"/>
            <w:tcBorders>
              <w:left w:val="single" w:sz="8" w:space="0" w:color="D2232A"/>
              <w:bottom w:val="nil"/>
              <w:right w:val="single" w:sz="8" w:space="0" w:color="D2232A"/>
            </w:tcBorders>
          </w:tcPr>
          <w:p w14:paraId="21814292"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00" w:type="dxa"/>
            <w:tcBorders>
              <w:left w:val="single" w:sz="8" w:space="0" w:color="D2232A"/>
              <w:bottom w:val="nil"/>
              <w:right w:val="single" w:sz="8" w:space="0" w:color="D2232A"/>
            </w:tcBorders>
            <w:vAlign w:val="center"/>
          </w:tcPr>
          <w:p w14:paraId="76E3A9DC" w14:textId="77777777" w:rsidR="00780BF2" w:rsidRPr="000E19D8" w:rsidRDefault="00780BF2" w:rsidP="001F0A7B">
            <w:pPr>
              <w:autoSpaceDE w:val="0"/>
              <w:autoSpaceDN w:val="0"/>
              <w:adjustRightInd w:val="0"/>
              <w:spacing w:after="0"/>
              <w:rPr>
                <w:rFonts w:eastAsia="ArialNarrow" w:cs="Calibri"/>
                <w:color w:val="3F3F3F"/>
                <w:szCs w:val="18"/>
              </w:rPr>
            </w:pPr>
          </w:p>
        </w:tc>
      </w:tr>
      <w:tr w:rsidR="00780BF2" w:rsidRPr="000E19D8" w14:paraId="57FFFBF1" w14:textId="77777777" w:rsidTr="002F0BCD">
        <w:trPr>
          <w:trHeight w:val="250"/>
        </w:trPr>
        <w:tc>
          <w:tcPr>
            <w:tcW w:w="249" w:type="dxa"/>
            <w:tcBorders>
              <w:top w:val="nil"/>
              <w:left w:val="single" w:sz="8" w:space="0" w:color="D2232A"/>
              <w:right w:val="single" w:sz="8" w:space="0" w:color="F3CFC1"/>
            </w:tcBorders>
            <w:noWrap/>
            <w:vAlign w:val="center"/>
            <w:hideMark/>
          </w:tcPr>
          <w:p w14:paraId="5197E0AE" w14:textId="77777777" w:rsidR="00780BF2" w:rsidRPr="000E19D8" w:rsidRDefault="00780BF2" w:rsidP="001F0A7B">
            <w:pPr>
              <w:spacing w:after="0"/>
              <w:rPr>
                <w:rFonts w:eastAsia="ArialNarrow" w:cs="Calibri"/>
                <w:color w:val="3F3F3F"/>
                <w:szCs w:val="18"/>
              </w:rPr>
            </w:pPr>
          </w:p>
        </w:tc>
        <w:tc>
          <w:tcPr>
            <w:tcW w:w="2975" w:type="dxa"/>
            <w:gridSpan w:val="2"/>
            <w:tcBorders>
              <w:top w:val="nil"/>
              <w:left w:val="single" w:sz="8" w:space="0" w:color="F3CFC1"/>
              <w:right w:val="single" w:sz="8" w:space="0" w:color="FF0000"/>
            </w:tcBorders>
            <w:noWrap/>
            <w:vAlign w:val="center"/>
            <w:hideMark/>
          </w:tcPr>
          <w:p w14:paraId="4A935E0F"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objekata</w:t>
            </w:r>
          </w:p>
        </w:tc>
        <w:tc>
          <w:tcPr>
            <w:tcW w:w="793" w:type="dxa"/>
            <w:tcBorders>
              <w:top w:val="nil"/>
              <w:left w:val="single" w:sz="8" w:space="0" w:color="D2232A"/>
              <w:right w:val="single" w:sz="8" w:space="0" w:color="D2232A"/>
            </w:tcBorders>
            <w:noWrap/>
            <w:vAlign w:val="center"/>
            <w:hideMark/>
          </w:tcPr>
          <w:p w14:paraId="29818A4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16</w:t>
            </w:r>
          </w:p>
        </w:tc>
        <w:tc>
          <w:tcPr>
            <w:tcW w:w="907" w:type="dxa"/>
            <w:tcBorders>
              <w:top w:val="nil"/>
              <w:left w:val="single" w:sz="8" w:space="0" w:color="D2232A"/>
              <w:right w:val="single" w:sz="8" w:space="0" w:color="D2232A"/>
            </w:tcBorders>
            <w:noWrap/>
            <w:vAlign w:val="center"/>
            <w:hideMark/>
          </w:tcPr>
          <w:p w14:paraId="69A202E1"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64</w:t>
            </w:r>
          </w:p>
        </w:tc>
        <w:tc>
          <w:tcPr>
            <w:tcW w:w="783" w:type="dxa"/>
            <w:tcBorders>
              <w:top w:val="nil"/>
              <w:left w:val="single" w:sz="8" w:space="0" w:color="D2232A"/>
              <w:right w:val="single" w:sz="8" w:space="0" w:color="D2232A"/>
            </w:tcBorders>
            <w:noWrap/>
            <w:vAlign w:val="center"/>
            <w:hideMark/>
          </w:tcPr>
          <w:p w14:paraId="07556A14"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16</w:t>
            </w:r>
          </w:p>
        </w:tc>
        <w:tc>
          <w:tcPr>
            <w:tcW w:w="794" w:type="dxa"/>
            <w:tcBorders>
              <w:top w:val="nil"/>
              <w:left w:val="single" w:sz="8" w:space="0" w:color="D2232A"/>
              <w:right w:val="single" w:sz="8" w:space="0" w:color="D2232A"/>
            </w:tcBorders>
            <w:noWrap/>
            <w:vAlign w:val="center"/>
            <w:hideMark/>
          </w:tcPr>
          <w:p w14:paraId="72D329C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15</w:t>
            </w:r>
          </w:p>
        </w:tc>
        <w:tc>
          <w:tcPr>
            <w:tcW w:w="672" w:type="dxa"/>
            <w:tcBorders>
              <w:top w:val="nil"/>
              <w:left w:val="single" w:sz="8" w:space="0" w:color="D2232A"/>
              <w:right w:val="single" w:sz="8" w:space="0" w:color="D2232A"/>
            </w:tcBorders>
          </w:tcPr>
          <w:p w14:paraId="29F78194"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17</w:t>
            </w:r>
          </w:p>
        </w:tc>
        <w:tc>
          <w:tcPr>
            <w:tcW w:w="1045" w:type="dxa"/>
            <w:tcBorders>
              <w:top w:val="nil"/>
              <w:left w:val="single" w:sz="8" w:space="0" w:color="D2232A"/>
              <w:right w:val="single" w:sz="8" w:space="0" w:color="D2232A"/>
            </w:tcBorders>
          </w:tcPr>
          <w:p w14:paraId="1732D805"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19</w:t>
            </w:r>
          </w:p>
        </w:tc>
        <w:tc>
          <w:tcPr>
            <w:tcW w:w="1000" w:type="dxa"/>
            <w:tcBorders>
              <w:top w:val="nil"/>
              <w:left w:val="single" w:sz="8" w:space="0" w:color="D2232A"/>
              <w:right w:val="single" w:sz="8" w:space="0" w:color="D2232A"/>
            </w:tcBorders>
            <w:vAlign w:val="center"/>
          </w:tcPr>
          <w:p w14:paraId="1495F5B6" w14:textId="63F0578F" w:rsidR="00780BF2" w:rsidRPr="000E19D8" w:rsidRDefault="007D26C2" w:rsidP="001F0A7B">
            <w:pPr>
              <w:autoSpaceDE w:val="0"/>
              <w:autoSpaceDN w:val="0"/>
              <w:adjustRightInd w:val="0"/>
              <w:spacing w:after="0"/>
              <w:rPr>
                <w:rFonts w:eastAsia="ArialNarrow" w:cs="Calibri"/>
                <w:color w:val="3F3F3F"/>
                <w:szCs w:val="18"/>
              </w:rPr>
            </w:pPr>
            <w:r>
              <w:rPr>
                <w:rFonts w:eastAsia="ArialNarrow" w:cs="Calibri"/>
                <w:color w:val="3F3F3F"/>
                <w:szCs w:val="18"/>
              </w:rPr>
              <w:t>18,75</w:t>
            </w:r>
          </w:p>
        </w:tc>
      </w:tr>
      <w:tr w:rsidR="00780BF2" w:rsidRPr="000E19D8" w14:paraId="07C2E231" w14:textId="77777777" w:rsidTr="002F0BCD">
        <w:trPr>
          <w:trHeight w:val="250"/>
        </w:trPr>
        <w:tc>
          <w:tcPr>
            <w:tcW w:w="249" w:type="dxa"/>
            <w:tcBorders>
              <w:left w:val="single" w:sz="8" w:space="0" w:color="D2232A"/>
              <w:right w:val="single" w:sz="8" w:space="0" w:color="F3CFC1"/>
            </w:tcBorders>
            <w:noWrap/>
            <w:vAlign w:val="center"/>
            <w:hideMark/>
          </w:tcPr>
          <w:p w14:paraId="12712891" w14:textId="77777777" w:rsidR="00780BF2" w:rsidRPr="000E19D8" w:rsidRDefault="00780BF2" w:rsidP="001F0A7B">
            <w:pPr>
              <w:spacing w:after="0"/>
              <w:rPr>
                <w:rFonts w:eastAsia="ArialNarrow" w:cs="Calibri"/>
                <w:color w:val="3F3F3F"/>
                <w:szCs w:val="18"/>
              </w:rPr>
            </w:pPr>
          </w:p>
        </w:tc>
        <w:tc>
          <w:tcPr>
            <w:tcW w:w="2975" w:type="dxa"/>
            <w:gridSpan w:val="2"/>
            <w:tcBorders>
              <w:left w:val="single" w:sz="8" w:space="0" w:color="F3CFC1"/>
              <w:right w:val="single" w:sz="8" w:space="0" w:color="FF0000"/>
            </w:tcBorders>
            <w:noWrap/>
            <w:vAlign w:val="center"/>
            <w:hideMark/>
          </w:tcPr>
          <w:p w14:paraId="1A2DF841"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smještajnih jedinica</w:t>
            </w:r>
          </w:p>
        </w:tc>
        <w:tc>
          <w:tcPr>
            <w:tcW w:w="793" w:type="dxa"/>
            <w:tcBorders>
              <w:left w:val="single" w:sz="8" w:space="0" w:color="D2232A"/>
              <w:right w:val="single" w:sz="8" w:space="0" w:color="D2232A"/>
            </w:tcBorders>
            <w:noWrap/>
            <w:vAlign w:val="center"/>
            <w:hideMark/>
          </w:tcPr>
          <w:p w14:paraId="4C72316F"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64</w:t>
            </w:r>
          </w:p>
        </w:tc>
        <w:tc>
          <w:tcPr>
            <w:tcW w:w="907" w:type="dxa"/>
            <w:tcBorders>
              <w:left w:val="single" w:sz="8" w:space="0" w:color="D2232A"/>
              <w:right w:val="single" w:sz="8" w:space="0" w:color="D2232A"/>
            </w:tcBorders>
            <w:noWrap/>
            <w:vAlign w:val="center"/>
            <w:hideMark/>
          </w:tcPr>
          <w:p w14:paraId="53DF481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64</w:t>
            </w:r>
          </w:p>
        </w:tc>
        <w:tc>
          <w:tcPr>
            <w:tcW w:w="783" w:type="dxa"/>
            <w:tcBorders>
              <w:left w:val="single" w:sz="8" w:space="0" w:color="D2232A"/>
              <w:right w:val="single" w:sz="8" w:space="0" w:color="D2232A"/>
            </w:tcBorders>
            <w:noWrap/>
            <w:vAlign w:val="center"/>
            <w:hideMark/>
          </w:tcPr>
          <w:p w14:paraId="37DE63BE"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64</w:t>
            </w:r>
          </w:p>
        </w:tc>
        <w:tc>
          <w:tcPr>
            <w:tcW w:w="794" w:type="dxa"/>
            <w:tcBorders>
              <w:left w:val="single" w:sz="8" w:space="0" w:color="D2232A"/>
              <w:right w:val="single" w:sz="8" w:space="0" w:color="D2232A"/>
            </w:tcBorders>
            <w:noWrap/>
            <w:vAlign w:val="center"/>
            <w:hideMark/>
          </w:tcPr>
          <w:p w14:paraId="69A53661"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40</w:t>
            </w:r>
          </w:p>
        </w:tc>
        <w:tc>
          <w:tcPr>
            <w:tcW w:w="672" w:type="dxa"/>
            <w:tcBorders>
              <w:left w:val="single" w:sz="8" w:space="0" w:color="D2232A"/>
              <w:right w:val="single" w:sz="8" w:space="0" w:color="D2232A"/>
            </w:tcBorders>
          </w:tcPr>
          <w:p w14:paraId="02241696"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48</w:t>
            </w:r>
          </w:p>
        </w:tc>
        <w:tc>
          <w:tcPr>
            <w:tcW w:w="1045" w:type="dxa"/>
            <w:tcBorders>
              <w:left w:val="single" w:sz="8" w:space="0" w:color="D2232A"/>
              <w:right w:val="single" w:sz="8" w:space="0" w:color="D2232A"/>
            </w:tcBorders>
          </w:tcPr>
          <w:p w14:paraId="3D8328D2"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50</w:t>
            </w:r>
          </w:p>
        </w:tc>
        <w:tc>
          <w:tcPr>
            <w:tcW w:w="1000" w:type="dxa"/>
            <w:tcBorders>
              <w:left w:val="single" w:sz="8" w:space="0" w:color="D2232A"/>
              <w:right w:val="single" w:sz="8" w:space="0" w:color="D2232A"/>
            </w:tcBorders>
            <w:vAlign w:val="center"/>
          </w:tcPr>
          <w:p w14:paraId="6BC1E033" w14:textId="1FE2447F" w:rsidR="00780BF2" w:rsidRPr="000E19D8" w:rsidRDefault="007D26C2" w:rsidP="001F0A7B">
            <w:pPr>
              <w:autoSpaceDE w:val="0"/>
              <w:autoSpaceDN w:val="0"/>
              <w:adjustRightInd w:val="0"/>
              <w:spacing w:after="0"/>
              <w:rPr>
                <w:rFonts w:eastAsia="ArialNarrow" w:cs="Calibri"/>
                <w:color w:val="3F3F3F"/>
                <w:szCs w:val="18"/>
              </w:rPr>
            </w:pPr>
            <w:r>
              <w:rPr>
                <w:rFonts w:eastAsia="ArialNarrow" w:cs="Calibri"/>
                <w:color w:val="3F3F3F"/>
                <w:szCs w:val="18"/>
              </w:rPr>
              <w:t>-21,87</w:t>
            </w:r>
          </w:p>
        </w:tc>
      </w:tr>
      <w:tr w:rsidR="00780BF2" w:rsidRPr="000E19D8" w14:paraId="173530F3" w14:textId="77777777" w:rsidTr="002F0BCD">
        <w:trPr>
          <w:trHeight w:val="250"/>
        </w:trPr>
        <w:tc>
          <w:tcPr>
            <w:tcW w:w="249" w:type="dxa"/>
            <w:tcBorders>
              <w:left w:val="single" w:sz="8" w:space="0" w:color="D2232A"/>
              <w:right w:val="single" w:sz="8" w:space="0" w:color="F3CFC1"/>
            </w:tcBorders>
            <w:noWrap/>
            <w:vAlign w:val="center"/>
            <w:hideMark/>
          </w:tcPr>
          <w:p w14:paraId="5A6C2760" w14:textId="77777777" w:rsidR="00780BF2" w:rsidRPr="000E19D8" w:rsidRDefault="00780BF2" w:rsidP="001F0A7B">
            <w:pPr>
              <w:spacing w:after="0"/>
              <w:rPr>
                <w:rFonts w:eastAsia="ArialNarrow" w:cs="Calibri"/>
                <w:color w:val="3F3F3F"/>
                <w:szCs w:val="18"/>
              </w:rPr>
            </w:pPr>
          </w:p>
        </w:tc>
        <w:tc>
          <w:tcPr>
            <w:tcW w:w="2975" w:type="dxa"/>
            <w:gridSpan w:val="2"/>
            <w:tcBorders>
              <w:left w:val="single" w:sz="8" w:space="0" w:color="F3CFC1"/>
              <w:right w:val="single" w:sz="8" w:space="0" w:color="FF0000"/>
            </w:tcBorders>
            <w:noWrap/>
            <w:vAlign w:val="center"/>
            <w:hideMark/>
          </w:tcPr>
          <w:p w14:paraId="022F62D9"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kreveta</w:t>
            </w:r>
          </w:p>
        </w:tc>
        <w:tc>
          <w:tcPr>
            <w:tcW w:w="793" w:type="dxa"/>
            <w:tcBorders>
              <w:left w:val="single" w:sz="8" w:space="0" w:color="D2232A"/>
              <w:right w:val="single" w:sz="8" w:space="0" w:color="D2232A"/>
            </w:tcBorders>
            <w:noWrap/>
            <w:vAlign w:val="center"/>
            <w:hideMark/>
          </w:tcPr>
          <w:p w14:paraId="014733A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153</w:t>
            </w:r>
          </w:p>
        </w:tc>
        <w:tc>
          <w:tcPr>
            <w:tcW w:w="907" w:type="dxa"/>
            <w:tcBorders>
              <w:left w:val="single" w:sz="8" w:space="0" w:color="D2232A"/>
              <w:right w:val="single" w:sz="8" w:space="0" w:color="D2232A"/>
            </w:tcBorders>
            <w:noWrap/>
            <w:vAlign w:val="center"/>
            <w:hideMark/>
          </w:tcPr>
          <w:p w14:paraId="2395F41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153</w:t>
            </w:r>
          </w:p>
        </w:tc>
        <w:tc>
          <w:tcPr>
            <w:tcW w:w="783" w:type="dxa"/>
            <w:tcBorders>
              <w:left w:val="single" w:sz="8" w:space="0" w:color="D2232A"/>
              <w:right w:val="single" w:sz="8" w:space="0" w:color="D2232A"/>
            </w:tcBorders>
            <w:noWrap/>
            <w:vAlign w:val="center"/>
            <w:hideMark/>
          </w:tcPr>
          <w:p w14:paraId="4AC14549"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153</w:t>
            </w:r>
          </w:p>
        </w:tc>
        <w:tc>
          <w:tcPr>
            <w:tcW w:w="794" w:type="dxa"/>
            <w:tcBorders>
              <w:left w:val="single" w:sz="8" w:space="0" w:color="D2232A"/>
              <w:right w:val="single" w:sz="8" w:space="0" w:color="D2232A"/>
            </w:tcBorders>
            <w:noWrap/>
            <w:vAlign w:val="center"/>
            <w:hideMark/>
          </w:tcPr>
          <w:p w14:paraId="738BD254"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90</w:t>
            </w:r>
          </w:p>
        </w:tc>
        <w:tc>
          <w:tcPr>
            <w:tcW w:w="672" w:type="dxa"/>
            <w:tcBorders>
              <w:left w:val="single" w:sz="8" w:space="0" w:color="D2232A"/>
              <w:right w:val="single" w:sz="8" w:space="0" w:color="D2232A"/>
            </w:tcBorders>
          </w:tcPr>
          <w:p w14:paraId="5610C9B7"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129</w:t>
            </w:r>
          </w:p>
        </w:tc>
        <w:tc>
          <w:tcPr>
            <w:tcW w:w="1045" w:type="dxa"/>
            <w:tcBorders>
              <w:left w:val="single" w:sz="8" w:space="0" w:color="D2232A"/>
              <w:right w:val="single" w:sz="8" w:space="0" w:color="D2232A"/>
            </w:tcBorders>
          </w:tcPr>
          <w:p w14:paraId="5D174C38"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141</w:t>
            </w:r>
          </w:p>
        </w:tc>
        <w:tc>
          <w:tcPr>
            <w:tcW w:w="1000" w:type="dxa"/>
            <w:tcBorders>
              <w:left w:val="single" w:sz="8" w:space="0" w:color="D2232A"/>
              <w:right w:val="single" w:sz="8" w:space="0" w:color="D2232A"/>
            </w:tcBorders>
            <w:vAlign w:val="center"/>
          </w:tcPr>
          <w:p w14:paraId="61D3D8E8" w14:textId="3A3F5C93" w:rsidR="00780BF2" w:rsidRPr="000E19D8" w:rsidRDefault="007D26C2" w:rsidP="001F0A7B">
            <w:pPr>
              <w:autoSpaceDE w:val="0"/>
              <w:autoSpaceDN w:val="0"/>
              <w:adjustRightInd w:val="0"/>
              <w:spacing w:after="0"/>
              <w:rPr>
                <w:rFonts w:eastAsia="ArialNarrow" w:cs="Calibri"/>
                <w:color w:val="3F3F3F"/>
                <w:szCs w:val="18"/>
              </w:rPr>
            </w:pPr>
            <w:r>
              <w:rPr>
                <w:rFonts w:eastAsia="ArialNarrow" w:cs="Calibri"/>
                <w:color w:val="3F3F3F"/>
                <w:szCs w:val="18"/>
              </w:rPr>
              <w:t>-7,84</w:t>
            </w:r>
          </w:p>
        </w:tc>
      </w:tr>
      <w:tr w:rsidR="00780BF2" w:rsidRPr="000E19D8" w14:paraId="7A349A7C" w14:textId="77777777" w:rsidTr="002F0BCD">
        <w:trPr>
          <w:trHeight w:val="250"/>
        </w:trPr>
        <w:tc>
          <w:tcPr>
            <w:tcW w:w="3224" w:type="dxa"/>
            <w:gridSpan w:val="3"/>
            <w:tcBorders>
              <w:left w:val="single" w:sz="8" w:space="0" w:color="D2232A"/>
              <w:bottom w:val="nil"/>
              <w:right w:val="single" w:sz="8" w:space="0" w:color="FF0000"/>
            </w:tcBorders>
            <w:noWrap/>
            <w:vAlign w:val="center"/>
            <w:hideMark/>
          </w:tcPr>
          <w:p w14:paraId="6EA386A2" w14:textId="77777777" w:rsidR="00780BF2" w:rsidRPr="000E19D8" w:rsidRDefault="00780BF2" w:rsidP="001F0A7B">
            <w:pPr>
              <w:autoSpaceDE w:val="0"/>
              <w:autoSpaceDN w:val="0"/>
              <w:adjustRightInd w:val="0"/>
              <w:spacing w:after="0"/>
              <w:rPr>
                <w:rFonts w:eastAsia="ArialNarrow" w:cs="Calibri"/>
                <w:b/>
                <w:bCs/>
                <w:color w:val="3F3F3F"/>
                <w:szCs w:val="18"/>
              </w:rPr>
            </w:pPr>
            <w:r w:rsidRPr="000E19D8">
              <w:rPr>
                <w:rFonts w:eastAsia="ArialNarrow" w:cs="Calibri"/>
                <w:b/>
                <w:bCs/>
                <w:color w:val="3F3F3F"/>
                <w:szCs w:val="18"/>
              </w:rPr>
              <w:t>Hosteli</w:t>
            </w:r>
          </w:p>
        </w:tc>
        <w:tc>
          <w:tcPr>
            <w:tcW w:w="793" w:type="dxa"/>
            <w:tcBorders>
              <w:left w:val="single" w:sz="8" w:space="0" w:color="D2232A"/>
              <w:bottom w:val="nil"/>
              <w:right w:val="single" w:sz="8" w:space="0" w:color="D2232A"/>
            </w:tcBorders>
            <w:noWrap/>
            <w:vAlign w:val="center"/>
            <w:hideMark/>
          </w:tcPr>
          <w:p w14:paraId="0FC40AE0" w14:textId="77777777" w:rsidR="00780BF2" w:rsidRPr="000E19D8" w:rsidRDefault="00780BF2" w:rsidP="001F0A7B">
            <w:pPr>
              <w:spacing w:after="0"/>
              <w:rPr>
                <w:rFonts w:eastAsia="Times New Roman" w:cs="Times New Roman"/>
                <w:color w:val="3F3F3F"/>
                <w:szCs w:val="18"/>
                <w:lang w:eastAsia="hr-HR"/>
              </w:rPr>
            </w:pPr>
          </w:p>
        </w:tc>
        <w:tc>
          <w:tcPr>
            <w:tcW w:w="907" w:type="dxa"/>
            <w:tcBorders>
              <w:left w:val="single" w:sz="8" w:space="0" w:color="D2232A"/>
              <w:bottom w:val="nil"/>
              <w:right w:val="single" w:sz="8" w:space="0" w:color="D2232A"/>
            </w:tcBorders>
            <w:noWrap/>
            <w:vAlign w:val="center"/>
            <w:hideMark/>
          </w:tcPr>
          <w:p w14:paraId="6EE1E4FA" w14:textId="77777777" w:rsidR="00780BF2" w:rsidRPr="000E19D8" w:rsidRDefault="00780BF2" w:rsidP="001F0A7B">
            <w:pPr>
              <w:spacing w:after="0"/>
              <w:rPr>
                <w:rFonts w:eastAsia="Times New Roman" w:cs="Times New Roman"/>
                <w:color w:val="3F3F3F"/>
                <w:szCs w:val="18"/>
                <w:lang w:eastAsia="hr-HR"/>
              </w:rPr>
            </w:pPr>
          </w:p>
        </w:tc>
        <w:tc>
          <w:tcPr>
            <w:tcW w:w="783" w:type="dxa"/>
            <w:tcBorders>
              <w:left w:val="single" w:sz="8" w:space="0" w:color="D2232A"/>
              <w:bottom w:val="nil"/>
              <w:right w:val="single" w:sz="8" w:space="0" w:color="D2232A"/>
            </w:tcBorders>
            <w:noWrap/>
            <w:vAlign w:val="center"/>
            <w:hideMark/>
          </w:tcPr>
          <w:p w14:paraId="6B1A2E19" w14:textId="77777777" w:rsidR="00780BF2" w:rsidRPr="000E19D8" w:rsidRDefault="00780BF2" w:rsidP="001F0A7B">
            <w:pPr>
              <w:spacing w:after="0"/>
              <w:rPr>
                <w:rFonts w:eastAsia="Times New Roman" w:cs="Times New Roman"/>
                <w:color w:val="3F3F3F"/>
                <w:szCs w:val="18"/>
                <w:lang w:eastAsia="hr-HR"/>
              </w:rPr>
            </w:pPr>
          </w:p>
        </w:tc>
        <w:tc>
          <w:tcPr>
            <w:tcW w:w="794" w:type="dxa"/>
            <w:tcBorders>
              <w:left w:val="single" w:sz="8" w:space="0" w:color="D2232A"/>
              <w:bottom w:val="nil"/>
              <w:right w:val="single" w:sz="8" w:space="0" w:color="D2232A"/>
            </w:tcBorders>
            <w:noWrap/>
            <w:vAlign w:val="center"/>
            <w:hideMark/>
          </w:tcPr>
          <w:p w14:paraId="666768D8" w14:textId="77777777" w:rsidR="00780BF2" w:rsidRPr="000E19D8" w:rsidRDefault="00780BF2" w:rsidP="001F0A7B">
            <w:pPr>
              <w:spacing w:after="0"/>
              <w:rPr>
                <w:rFonts w:eastAsia="Times New Roman" w:cs="Times New Roman"/>
                <w:color w:val="3F3F3F"/>
                <w:szCs w:val="18"/>
                <w:lang w:eastAsia="hr-HR"/>
              </w:rPr>
            </w:pPr>
          </w:p>
        </w:tc>
        <w:tc>
          <w:tcPr>
            <w:tcW w:w="672" w:type="dxa"/>
            <w:vMerge w:val="restart"/>
            <w:tcBorders>
              <w:left w:val="single" w:sz="8" w:space="0" w:color="D2232A"/>
              <w:right w:val="single" w:sz="8" w:space="0" w:color="D2232A"/>
            </w:tcBorders>
            <w:vAlign w:val="bottom"/>
          </w:tcPr>
          <w:p w14:paraId="282E18B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7</w:t>
            </w:r>
          </w:p>
        </w:tc>
        <w:tc>
          <w:tcPr>
            <w:tcW w:w="1045" w:type="dxa"/>
            <w:vMerge w:val="restart"/>
            <w:tcBorders>
              <w:left w:val="single" w:sz="8" w:space="0" w:color="D2232A"/>
              <w:right w:val="single" w:sz="8" w:space="0" w:color="D2232A"/>
            </w:tcBorders>
          </w:tcPr>
          <w:p w14:paraId="0B77BE37" w14:textId="77777777" w:rsidR="00780BF2" w:rsidRDefault="00780BF2" w:rsidP="001F0A7B">
            <w:pPr>
              <w:autoSpaceDE w:val="0"/>
              <w:autoSpaceDN w:val="0"/>
              <w:adjustRightInd w:val="0"/>
              <w:spacing w:after="0"/>
              <w:rPr>
                <w:rFonts w:eastAsia="ArialNarrow" w:cs="Calibri"/>
                <w:color w:val="3F3F3F"/>
                <w:szCs w:val="18"/>
              </w:rPr>
            </w:pPr>
          </w:p>
          <w:p w14:paraId="0BC8F643"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lastRenderedPageBreak/>
              <w:t>7</w:t>
            </w:r>
          </w:p>
        </w:tc>
        <w:tc>
          <w:tcPr>
            <w:tcW w:w="1000" w:type="dxa"/>
            <w:vMerge w:val="restart"/>
            <w:tcBorders>
              <w:left w:val="single" w:sz="8" w:space="0" w:color="D2232A"/>
              <w:right w:val="single" w:sz="8" w:space="0" w:color="D2232A"/>
            </w:tcBorders>
            <w:vAlign w:val="bottom"/>
          </w:tcPr>
          <w:p w14:paraId="379C173F" w14:textId="7986E845" w:rsidR="00780BF2" w:rsidRPr="000E19D8" w:rsidRDefault="007D26C2" w:rsidP="001F0A7B">
            <w:pPr>
              <w:autoSpaceDE w:val="0"/>
              <w:autoSpaceDN w:val="0"/>
              <w:adjustRightInd w:val="0"/>
              <w:spacing w:after="0"/>
              <w:rPr>
                <w:rFonts w:eastAsia="ArialNarrow" w:cs="Calibri"/>
                <w:color w:val="3F3F3F"/>
                <w:szCs w:val="18"/>
              </w:rPr>
            </w:pPr>
            <w:r>
              <w:rPr>
                <w:rFonts w:eastAsia="ArialNarrow" w:cs="Calibri"/>
                <w:color w:val="3F3F3F"/>
                <w:szCs w:val="18"/>
              </w:rPr>
              <w:lastRenderedPageBreak/>
              <w:t>40</w:t>
            </w:r>
          </w:p>
        </w:tc>
      </w:tr>
      <w:tr w:rsidR="00780BF2" w:rsidRPr="000E19D8" w14:paraId="3488CFB8" w14:textId="77777777" w:rsidTr="002F0BCD">
        <w:trPr>
          <w:trHeight w:val="250"/>
        </w:trPr>
        <w:tc>
          <w:tcPr>
            <w:tcW w:w="249" w:type="dxa"/>
            <w:tcBorders>
              <w:top w:val="nil"/>
              <w:left w:val="single" w:sz="8" w:space="0" w:color="D2232A"/>
              <w:right w:val="single" w:sz="8" w:space="0" w:color="F3CFC1"/>
            </w:tcBorders>
            <w:noWrap/>
            <w:vAlign w:val="center"/>
            <w:hideMark/>
          </w:tcPr>
          <w:p w14:paraId="4F1775A4" w14:textId="77777777" w:rsidR="00780BF2" w:rsidRPr="000E19D8" w:rsidRDefault="00780BF2" w:rsidP="001F0A7B">
            <w:pPr>
              <w:spacing w:after="0"/>
              <w:rPr>
                <w:rFonts w:eastAsia="ArialNarrow" w:cs="Calibri"/>
                <w:color w:val="3F3F3F"/>
                <w:szCs w:val="18"/>
              </w:rPr>
            </w:pPr>
          </w:p>
        </w:tc>
        <w:tc>
          <w:tcPr>
            <w:tcW w:w="2975" w:type="dxa"/>
            <w:gridSpan w:val="2"/>
            <w:tcBorders>
              <w:top w:val="nil"/>
              <w:left w:val="single" w:sz="8" w:space="0" w:color="F3CFC1"/>
              <w:right w:val="single" w:sz="8" w:space="0" w:color="FF0000"/>
            </w:tcBorders>
            <w:noWrap/>
            <w:vAlign w:val="center"/>
            <w:hideMark/>
          </w:tcPr>
          <w:p w14:paraId="5208F250"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objekata</w:t>
            </w:r>
          </w:p>
        </w:tc>
        <w:tc>
          <w:tcPr>
            <w:tcW w:w="793" w:type="dxa"/>
            <w:tcBorders>
              <w:top w:val="nil"/>
              <w:left w:val="single" w:sz="8" w:space="0" w:color="D2232A"/>
              <w:right w:val="single" w:sz="8" w:space="0" w:color="D2232A"/>
            </w:tcBorders>
            <w:noWrap/>
            <w:vAlign w:val="center"/>
            <w:hideMark/>
          </w:tcPr>
          <w:p w14:paraId="35FF403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5</w:t>
            </w:r>
          </w:p>
        </w:tc>
        <w:tc>
          <w:tcPr>
            <w:tcW w:w="907" w:type="dxa"/>
            <w:tcBorders>
              <w:top w:val="nil"/>
              <w:left w:val="single" w:sz="8" w:space="0" w:color="D2232A"/>
              <w:right w:val="single" w:sz="8" w:space="0" w:color="D2232A"/>
            </w:tcBorders>
            <w:noWrap/>
            <w:vAlign w:val="center"/>
            <w:hideMark/>
          </w:tcPr>
          <w:p w14:paraId="1C4EC63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37</w:t>
            </w:r>
          </w:p>
        </w:tc>
        <w:tc>
          <w:tcPr>
            <w:tcW w:w="783" w:type="dxa"/>
            <w:tcBorders>
              <w:top w:val="nil"/>
              <w:left w:val="single" w:sz="8" w:space="0" w:color="D2232A"/>
              <w:right w:val="single" w:sz="8" w:space="0" w:color="D2232A"/>
            </w:tcBorders>
            <w:noWrap/>
            <w:vAlign w:val="center"/>
            <w:hideMark/>
          </w:tcPr>
          <w:p w14:paraId="1517C03E"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6</w:t>
            </w:r>
          </w:p>
        </w:tc>
        <w:tc>
          <w:tcPr>
            <w:tcW w:w="794" w:type="dxa"/>
            <w:tcBorders>
              <w:top w:val="nil"/>
              <w:left w:val="single" w:sz="8" w:space="0" w:color="D2232A"/>
              <w:right w:val="single" w:sz="8" w:space="0" w:color="D2232A"/>
            </w:tcBorders>
            <w:noWrap/>
            <w:vAlign w:val="center"/>
            <w:hideMark/>
          </w:tcPr>
          <w:p w14:paraId="4B36D933"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7</w:t>
            </w:r>
          </w:p>
        </w:tc>
        <w:tc>
          <w:tcPr>
            <w:tcW w:w="672" w:type="dxa"/>
            <w:vMerge/>
            <w:tcBorders>
              <w:left w:val="single" w:sz="8" w:space="0" w:color="D2232A"/>
              <w:right w:val="single" w:sz="8" w:space="0" w:color="D2232A"/>
            </w:tcBorders>
          </w:tcPr>
          <w:p w14:paraId="123748BB"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45" w:type="dxa"/>
            <w:vMerge/>
            <w:tcBorders>
              <w:left w:val="single" w:sz="8" w:space="0" w:color="D2232A"/>
              <w:right w:val="single" w:sz="8" w:space="0" w:color="D2232A"/>
            </w:tcBorders>
          </w:tcPr>
          <w:p w14:paraId="6DEDE12F" w14:textId="77777777" w:rsidR="00780BF2" w:rsidRPr="000E19D8" w:rsidRDefault="00780BF2" w:rsidP="001F0A7B">
            <w:pPr>
              <w:autoSpaceDE w:val="0"/>
              <w:autoSpaceDN w:val="0"/>
              <w:adjustRightInd w:val="0"/>
              <w:spacing w:after="0"/>
              <w:rPr>
                <w:rFonts w:eastAsia="ArialNarrow" w:cs="Calibri"/>
                <w:color w:val="3F3F3F"/>
                <w:szCs w:val="18"/>
              </w:rPr>
            </w:pPr>
          </w:p>
        </w:tc>
        <w:tc>
          <w:tcPr>
            <w:tcW w:w="1000" w:type="dxa"/>
            <w:vMerge/>
            <w:tcBorders>
              <w:left w:val="single" w:sz="8" w:space="0" w:color="D2232A"/>
              <w:right w:val="single" w:sz="8" w:space="0" w:color="D2232A"/>
            </w:tcBorders>
            <w:vAlign w:val="center"/>
          </w:tcPr>
          <w:p w14:paraId="59E4AB34" w14:textId="77777777" w:rsidR="00780BF2" w:rsidRPr="000E19D8" w:rsidRDefault="00780BF2" w:rsidP="001F0A7B">
            <w:pPr>
              <w:autoSpaceDE w:val="0"/>
              <w:autoSpaceDN w:val="0"/>
              <w:adjustRightInd w:val="0"/>
              <w:spacing w:after="0"/>
              <w:rPr>
                <w:rFonts w:eastAsia="ArialNarrow" w:cs="Calibri"/>
                <w:color w:val="3F3F3F"/>
                <w:szCs w:val="18"/>
              </w:rPr>
            </w:pPr>
          </w:p>
        </w:tc>
      </w:tr>
      <w:tr w:rsidR="00780BF2" w:rsidRPr="000E19D8" w14:paraId="6E6806F0" w14:textId="77777777" w:rsidTr="002F0BCD">
        <w:trPr>
          <w:trHeight w:val="250"/>
        </w:trPr>
        <w:tc>
          <w:tcPr>
            <w:tcW w:w="249" w:type="dxa"/>
            <w:tcBorders>
              <w:left w:val="single" w:sz="8" w:space="0" w:color="D2232A"/>
              <w:right w:val="single" w:sz="8" w:space="0" w:color="F3CFC1"/>
            </w:tcBorders>
            <w:noWrap/>
            <w:vAlign w:val="center"/>
            <w:hideMark/>
          </w:tcPr>
          <w:p w14:paraId="7F9599E9" w14:textId="77777777" w:rsidR="00780BF2" w:rsidRPr="000E19D8" w:rsidRDefault="00780BF2" w:rsidP="001F0A7B">
            <w:pPr>
              <w:spacing w:after="0"/>
              <w:rPr>
                <w:rFonts w:eastAsia="ArialNarrow" w:cs="Calibri"/>
                <w:color w:val="3F3F3F"/>
                <w:szCs w:val="18"/>
              </w:rPr>
            </w:pPr>
          </w:p>
        </w:tc>
        <w:tc>
          <w:tcPr>
            <w:tcW w:w="2975" w:type="dxa"/>
            <w:gridSpan w:val="2"/>
            <w:tcBorders>
              <w:left w:val="single" w:sz="8" w:space="0" w:color="F3CFC1"/>
              <w:right w:val="single" w:sz="8" w:space="0" w:color="FF0000"/>
            </w:tcBorders>
            <w:noWrap/>
            <w:vAlign w:val="center"/>
            <w:hideMark/>
          </w:tcPr>
          <w:p w14:paraId="293E7835"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smještajnih jedinica</w:t>
            </w:r>
          </w:p>
        </w:tc>
        <w:tc>
          <w:tcPr>
            <w:tcW w:w="793" w:type="dxa"/>
            <w:tcBorders>
              <w:left w:val="single" w:sz="8" w:space="0" w:color="D2232A"/>
              <w:right w:val="single" w:sz="8" w:space="0" w:color="D2232A"/>
            </w:tcBorders>
            <w:noWrap/>
            <w:vAlign w:val="center"/>
            <w:hideMark/>
          </w:tcPr>
          <w:p w14:paraId="0C25D247"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37</w:t>
            </w:r>
          </w:p>
        </w:tc>
        <w:tc>
          <w:tcPr>
            <w:tcW w:w="907" w:type="dxa"/>
            <w:tcBorders>
              <w:left w:val="single" w:sz="8" w:space="0" w:color="D2232A"/>
              <w:right w:val="single" w:sz="8" w:space="0" w:color="D2232A"/>
            </w:tcBorders>
            <w:noWrap/>
            <w:vAlign w:val="center"/>
            <w:hideMark/>
          </w:tcPr>
          <w:p w14:paraId="2200B80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37</w:t>
            </w:r>
          </w:p>
        </w:tc>
        <w:tc>
          <w:tcPr>
            <w:tcW w:w="783" w:type="dxa"/>
            <w:tcBorders>
              <w:left w:val="single" w:sz="8" w:space="0" w:color="D2232A"/>
              <w:right w:val="single" w:sz="8" w:space="0" w:color="D2232A"/>
            </w:tcBorders>
            <w:noWrap/>
            <w:vAlign w:val="center"/>
            <w:hideMark/>
          </w:tcPr>
          <w:p w14:paraId="10A17E6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47</w:t>
            </w:r>
          </w:p>
        </w:tc>
        <w:tc>
          <w:tcPr>
            <w:tcW w:w="794" w:type="dxa"/>
            <w:tcBorders>
              <w:left w:val="single" w:sz="8" w:space="0" w:color="D2232A"/>
              <w:right w:val="single" w:sz="8" w:space="0" w:color="D2232A"/>
            </w:tcBorders>
            <w:noWrap/>
            <w:vAlign w:val="center"/>
            <w:hideMark/>
          </w:tcPr>
          <w:p w14:paraId="1E7BDBD0"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52</w:t>
            </w:r>
          </w:p>
        </w:tc>
        <w:tc>
          <w:tcPr>
            <w:tcW w:w="672" w:type="dxa"/>
            <w:tcBorders>
              <w:left w:val="single" w:sz="8" w:space="0" w:color="D2232A"/>
              <w:right w:val="single" w:sz="8" w:space="0" w:color="D2232A"/>
            </w:tcBorders>
          </w:tcPr>
          <w:p w14:paraId="10AC8798"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51</w:t>
            </w:r>
          </w:p>
        </w:tc>
        <w:tc>
          <w:tcPr>
            <w:tcW w:w="1045" w:type="dxa"/>
            <w:tcBorders>
              <w:left w:val="single" w:sz="8" w:space="0" w:color="D2232A"/>
              <w:right w:val="single" w:sz="8" w:space="0" w:color="D2232A"/>
            </w:tcBorders>
          </w:tcPr>
          <w:p w14:paraId="45DA7B34"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51</w:t>
            </w:r>
          </w:p>
        </w:tc>
        <w:tc>
          <w:tcPr>
            <w:tcW w:w="1000" w:type="dxa"/>
            <w:tcBorders>
              <w:left w:val="single" w:sz="8" w:space="0" w:color="D2232A"/>
              <w:right w:val="single" w:sz="8" w:space="0" w:color="D2232A"/>
            </w:tcBorders>
            <w:vAlign w:val="center"/>
          </w:tcPr>
          <w:p w14:paraId="69B56170" w14:textId="15824A67" w:rsidR="00780BF2" w:rsidRPr="000E19D8" w:rsidRDefault="007D26C2" w:rsidP="001F0A7B">
            <w:pPr>
              <w:autoSpaceDE w:val="0"/>
              <w:autoSpaceDN w:val="0"/>
              <w:adjustRightInd w:val="0"/>
              <w:spacing w:after="0"/>
              <w:rPr>
                <w:rFonts w:eastAsia="ArialNarrow" w:cs="Calibri"/>
                <w:color w:val="3F3F3F"/>
                <w:szCs w:val="18"/>
              </w:rPr>
            </w:pPr>
            <w:r>
              <w:rPr>
                <w:rFonts w:eastAsia="ArialNarrow" w:cs="Calibri"/>
                <w:color w:val="3F3F3F"/>
                <w:szCs w:val="18"/>
              </w:rPr>
              <w:t>37,83</w:t>
            </w:r>
          </w:p>
        </w:tc>
      </w:tr>
      <w:tr w:rsidR="00780BF2" w:rsidRPr="000E19D8" w14:paraId="3155984A" w14:textId="77777777" w:rsidTr="002F0BCD">
        <w:trPr>
          <w:trHeight w:val="250"/>
        </w:trPr>
        <w:tc>
          <w:tcPr>
            <w:tcW w:w="249" w:type="dxa"/>
            <w:tcBorders>
              <w:left w:val="single" w:sz="8" w:space="0" w:color="D2232A"/>
              <w:bottom w:val="nil"/>
              <w:right w:val="single" w:sz="8" w:space="0" w:color="F3CFC1"/>
            </w:tcBorders>
            <w:noWrap/>
            <w:vAlign w:val="center"/>
            <w:hideMark/>
          </w:tcPr>
          <w:p w14:paraId="27DF0BB1" w14:textId="77777777" w:rsidR="00780BF2" w:rsidRPr="000E19D8" w:rsidRDefault="00780BF2" w:rsidP="001F0A7B">
            <w:pPr>
              <w:spacing w:after="0"/>
              <w:rPr>
                <w:rFonts w:eastAsia="ArialNarrow" w:cs="Calibri"/>
                <w:color w:val="3F3F3F"/>
                <w:szCs w:val="18"/>
              </w:rPr>
            </w:pPr>
          </w:p>
        </w:tc>
        <w:tc>
          <w:tcPr>
            <w:tcW w:w="2975" w:type="dxa"/>
            <w:gridSpan w:val="2"/>
            <w:tcBorders>
              <w:left w:val="single" w:sz="8" w:space="0" w:color="F3CFC1"/>
              <w:bottom w:val="nil"/>
              <w:right w:val="single" w:sz="8" w:space="0" w:color="FF0000"/>
            </w:tcBorders>
            <w:noWrap/>
            <w:vAlign w:val="center"/>
            <w:hideMark/>
          </w:tcPr>
          <w:p w14:paraId="32D04B5C"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broj kreveta</w:t>
            </w:r>
          </w:p>
        </w:tc>
        <w:tc>
          <w:tcPr>
            <w:tcW w:w="793" w:type="dxa"/>
            <w:tcBorders>
              <w:left w:val="single" w:sz="8" w:space="0" w:color="D2232A"/>
              <w:bottom w:val="nil"/>
              <w:right w:val="single" w:sz="8" w:space="0" w:color="D2232A"/>
            </w:tcBorders>
            <w:noWrap/>
            <w:vAlign w:val="center"/>
            <w:hideMark/>
          </w:tcPr>
          <w:p w14:paraId="08EBA102"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126</w:t>
            </w:r>
          </w:p>
        </w:tc>
        <w:tc>
          <w:tcPr>
            <w:tcW w:w="907" w:type="dxa"/>
            <w:tcBorders>
              <w:left w:val="single" w:sz="8" w:space="0" w:color="D2232A"/>
              <w:bottom w:val="nil"/>
              <w:right w:val="single" w:sz="8" w:space="0" w:color="D2232A"/>
            </w:tcBorders>
            <w:noWrap/>
            <w:vAlign w:val="center"/>
            <w:hideMark/>
          </w:tcPr>
          <w:p w14:paraId="528C81D9"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126</w:t>
            </w:r>
          </w:p>
        </w:tc>
        <w:tc>
          <w:tcPr>
            <w:tcW w:w="783" w:type="dxa"/>
            <w:tcBorders>
              <w:left w:val="single" w:sz="8" w:space="0" w:color="D2232A"/>
              <w:bottom w:val="nil"/>
              <w:right w:val="single" w:sz="8" w:space="0" w:color="D2232A"/>
            </w:tcBorders>
            <w:noWrap/>
            <w:vAlign w:val="center"/>
            <w:hideMark/>
          </w:tcPr>
          <w:p w14:paraId="735E3D8B"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146</w:t>
            </w:r>
          </w:p>
        </w:tc>
        <w:tc>
          <w:tcPr>
            <w:tcW w:w="794" w:type="dxa"/>
            <w:tcBorders>
              <w:left w:val="single" w:sz="8" w:space="0" w:color="D2232A"/>
              <w:bottom w:val="nil"/>
              <w:right w:val="single" w:sz="8" w:space="0" w:color="D2232A"/>
            </w:tcBorders>
            <w:noWrap/>
            <w:vAlign w:val="center"/>
            <w:hideMark/>
          </w:tcPr>
          <w:p w14:paraId="016BE3ED"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161</w:t>
            </w:r>
          </w:p>
        </w:tc>
        <w:tc>
          <w:tcPr>
            <w:tcW w:w="672" w:type="dxa"/>
            <w:tcBorders>
              <w:left w:val="single" w:sz="8" w:space="0" w:color="D2232A"/>
              <w:bottom w:val="nil"/>
              <w:right w:val="single" w:sz="8" w:space="0" w:color="D2232A"/>
            </w:tcBorders>
          </w:tcPr>
          <w:p w14:paraId="2313BA44" w14:textId="77777777" w:rsidR="00780BF2" w:rsidRPr="000E19D8" w:rsidRDefault="00780BF2" w:rsidP="001F0A7B">
            <w:pPr>
              <w:autoSpaceDE w:val="0"/>
              <w:autoSpaceDN w:val="0"/>
              <w:adjustRightInd w:val="0"/>
              <w:spacing w:after="0"/>
              <w:rPr>
                <w:rFonts w:eastAsia="ArialNarrow" w:cs="Calibri"/>
                <w:color w:val="3F3F3F"/>
                <w:szCs w:val="18"/>
              </w:rPr>
            </w:pPr>
            <w:r w:rsidRPr="000E19D8">
              <w:rPr>
                <w:rFonts w:eastAsia="ArialNarrow" w:cs="Calibri"/>
                <w:color w:val="3F3F3F"/>
                <w:szCs w:val="18"/>
              </w:rPr>
              <w:t>197</w:t>
            </w:r>
          </w:p>
        </w:tc>
        <w:tc>
          <w:tcPr>
            <w:tcW w:w="1045" w:type="dxa"/>
            <w:tcBorders>
              <w:left w:val="single" w:sz="8" w:space="0" w:color="D2232A"/>
              <w:bottom w:val="nil"/>
              <w:right w:val="single" w:sz="8" w:space="0" w:color="D2232A"/>
            </w:tcBorders>
          </w:tcPr>
          <w:p w14:paraId="46DD7AE7" w14:textId="77777777" w:rsidR="00780BF2" w:rsidRPr="000E19D8" w:rsidRDefault="00780BF2" w:rsidP="001F0A7B">
            <w:pPr>
              <w:autoSpaceDE w:val="0"/>
              <w:autoSpaceDN w:val="0"/>
              <w:adjustRightInd w:val="0"/>
              <w:spacing w:after="0"/>
              <w:rPr>
                <w:rFonts w:eastAsia="ArialNarrow" w:cs="Calibri"/>
                <w:color w:val="3F3F3F"/>
                <w:szCs w:val="18"/>
              </w:rPr>
            </w:pPr>
            <w:r>
              <w:rPr>
                <w:rFonts w:eastAsia="ArialNarrow" w:cs="Calibri"/>
                <w:color w:val="3F3F3F"/>
                <w:szCs w:val="18"/>
              </w:rPr>
              <w:t>197</w:t>
            </w:r>
          </w:p>
        </w:tc>
        <w:tc>
          <w:tcPr>
            <w:tcW w:w="1000" w:type="dxa"/>
            <w:tcBorders>
              <w:left w:val="single" w:sz="8" w:space="0" w:color="D2232A"/>
              <w:bottom w:val="nil"/>
              <w:right w:val="single" w:sz="8" w:space="0" w:color="D2232A"/>
            </w:tcBorders>
            <w:vAlign w:val="center"/>
          </w:tcPr>
          <w:p w14:paraId="39C0B7BD" w14:textId="62996780" w:rsidR="00780BF2" w:rsidRPr="000E19D8" w:rsidRDefault="004C5425" w:rsidP="001F0A7B">
            <w:pPr>
              <w:autoSpaceDE w:val="0"/>
              <w:autoSpaceDN w:val="0"/>
              <w:adjustRightInd w:val="0"/>
              <w:spacing w:after="0"/>
              <w:rPr>
                <w:rFonts w:eastAsia="ArialNarrow" w:cs="Calibri"/>
                <w:color w:val="3F3F3F"/>
                <w:szCs w:val="18"/>
              </w:rPr>
            </w:pPr>
            <w:r>
              <w:rPr>
                <w:rFonts w:eastAsia="ArialNarrow" w:cs="Calibri"/>
                <w:color w:val="3F3F3F"/>
                <w:szCs w:val="18"/>
              </w:rPr>
              <w:t>56,34</w:t>
            </w:r>
          </w:p>
        </w:tc>
      </w:tr>
    </w:tbl>
    <w:p w14:paraId="7C9BA35E" w14:textId="713C1B25" w:rsidR="008878A0" w:rsidRDefault="008878A0"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Izvor: Turistička zajednica Krapinsko-zagorske županije, 20</w:t>
      </w:r>
      <w:r w:rsidR="00425B1B" w:rsidRPr="0035368C">
        <w:rPr>
          <w:rFonts w:eastAsia="ArialNarrow" w:cstheme="minorHAnsi"/>
          <w:i/>
          <w:color w:val="ABABAB" w:themeColor="text1" w:themeTint="A6"/>
          <w:sz w:val="16"/>
          <w:szCs w:val="16"/>
        </w:rPr>
        <w:t>20.</w:t>
      </w:r>
      <w:r w:rsidRPr="0035368C">
        <w:rPr>
          <w:rFonts w:eastAsia="ArialNarrow" w:cstheme="minorHAnsi"/>
          <w:i/>
          <w:color w:val="ABABAB" w:themeColor="text1" w:themeTint="A6"/>
          <w:sz w:val="16"/>
          <w:szCs w:val="16"/>
        </w:rPr>
        <w:t xml:space="preserve"> godina</w:t>
      </w:r>
    </w:p>
    <w:p w14:paraId="17AFCB63" w14:textId="6753ACC9" w:rsidR="008878A0" w:rsidRPr="00B95FE6" w:rsidRDefault="008878A0" w:rsidP="00370EBB">
      <w:pPr>
        <w:rPr>
          <w:rFonts w:eastAsia="ArialNarrow"/>
          <w:i/>
          <w:color w:val="A6A6A6" w:themeColor="background1" w:themeShade="A6"/>
        </w:rPr>
      </w:pPr>
      <w:r w:rsidRPr="00B95FE6">
        <w:rPr>
          <w:rFonts w:eastAsia="ArialNarrow"/>
          <w:i/>
          <w:color w:val="A6A6A6" w:themeColor="background1" w:themeShade="A6"/>
        </w:rPr>
        <w:t>*Podaci za 2016. u kategorijama privatni smještaj, pansioni, agroturizam/seosko domaćinstvo, hosteli nisu pouzdani s obzirom na to da ne postoji takva službena evidencija, a metodologija vođenja interne evidencije se mijenjala.</w:t>
      </w:r>
    </w:p>
    <w:p w14:paraId="73EDF545" w14:textId="77777777" w:rsidR="001838EE" w:rsidRPr="00B95FE6" w:rsidRDefault="001838EE" w:rsidP="00370EBB">
      <w:pPr>
        <w:rPr>
          <w:rFonts w:eastAsia="ArialNarrow"/>
          <w:i/>
          <w:color w:val="A6A6A6" w:themeColor="background1" w:themeShade="A6"/>
        </w:rPr>
      </w:pPr>
    </w:p>
    <w:p w14:paraId="64E91FB9" w14:textId="503226F2" w:rsidR="008878A0" w:rsidRDefault="00B95FE6" w:rsidP="00370EBB">
      <w:pPr>
        <w:rPr>
          <w:rFonts w:ascii="Calibri" w:eastAsia="ArialNarrow" w:hAnsi="Calibri" w:cs="Calibri"/>
        </w:rPr>
      </w:pPr>
      <w:r>
        <w:t>U</w:t>
      </w:r>
      <w:r w:rsidR="008878A0">
        <w:t xml:space="preserve"> 2019. godini u Tuheljskim toplicama otvoren </w:t>
      </w:r>
      <w:r w:rsidR="008318F2">
        <w:t xml:space="preserve">je </w:t>
      </w:r>
      <w:r w:rsidR="008878A0">
        <w:t xml:space="preserve">kamp s pet zvjezdica, prvi takav u </w:t>
      </w:r>
      <w:r w:rsidR="00CA6B43">
        <w:t xml:space="preserve">tom </w:t>
      </w:r>
      <w:r w:rsidR="008878A0">
        <w:t xml:space="preserve">dijelu Hrvatske, kapaciteta 56 kamp parcela, uz popratne sadržaje kao što su restoran i bar, kamp servis, prostor za kupanje kućnih ljubimaca, sanitarne prostorije prilagođene osobama s invaliditetom, obiteljske kupaonice, svlačionice, igralište za djecu, tereni za mini golf i tenis. U 2020. </w:t>
      </w:r>
      <w:r w:rsidR="004C5425">
        <w:t>kamp je proširen te se tako sada u kampu VITA</w:t>
      </w:r>
      <w:r w:rsidR="004C5425" w:rsidRPr="004C5425">
        <w:t xml:space="preserve"> nalazi 74 parcela za kampere, kamp prikolice i šatore raspoređenih u 3 zone.</w:t>
      </w:r>
      <w:r w:rsidR="004C5425">
        <w:rPr>
          <w:b/>
          <w:bCs/>
        </w:rPr>
        <w:t xml:space="preserve"> </w:t>
      </w:r>
      <w:r w:rsidR="008878A0">
        <w:t xml:space="preserve"> </w:t>
      </w:r>
      <w:r w:rsidR="008878A0" w:rsidRPr="002161E8">
        <w:t>U strukturi smještajnih kapaciteta prema podacima za 20</w:t>
      </w:r>
      <w:r w:rsidR="002161E8" w:rsidRPr="002161E8">
        <w:t>20</w:t>
      </w:r>
      <w:r w:rsidR="008878A0" w:rsidRPr="002161E8">
        <w:t>. dominiraju hoteli s 4</w:t>
      </w:r>
      <w:r w:rsidR="002161E8" w:rsidRPr="002161E8">
        <w:t xml:space="preserve">5 % </w:t>
      </w:r>
      <w:r w:rsidR="008878A0" w:rsidRPr="002161E8">
        <w:t xml:space="preserve">ukupnog broja kreveta u KZŽ, a slijedi privatni smještaj s </w:t>
      </w:r>
      <w:r w:rsidR="002161E8" w:rsidRPr="002161E8">
        <w:t xml:space="preserve">28 </w:t>
      </w:r>
      <w:r w:rsidR="008878A0" w:rsidRPr="002161E8">
        <w:t xml:space="preserve">%, </w:t>
      </w:r>
      <w:r w:rsidR="002161E8">
        <w:t xml:space="preserve">kampovi s 12% </w:t>
      </w:r>
      <w:r w:rsidR="008878A0" w:rsidRPr="002161E8">
        <w:t xml:space="preserve">dok su ostali oblici smještaja relativno ujednačeno zastupljeni. </w:t>
      </w:r>
      <w:r w:rsidR="008878A0" w:rsidRPr="002F0BCD">
        <w:t>U odnosu na 201</w:t>
      </w:r>
      <w:r w:rsidR="002F0BCD" w:rsidRPr="002F0BCD">
        <w:t>4</w:t>
      </w:r>
      <w:r w:rsidR="008878A0" w:rsidRPr="002F0BCD">
        <w:t>. godinu, kada je hotelski smještaj bio zastupljen s 58%, dominacija hotela u 20</w:t>
      </w:r>
      <w:r w:rsidR="002F0BCD" w:rsidRPr="002F0BCD">
        <w:t>20</w:t>
      </w:r>
      <w:r w:rsidR="008878A0" w:rsidRPr="002F0BCD">
        <w:t>. je značajno niža, što govori o bržem rastu smještajnih kapaciteta drugih vrsta (osobito kampova i privatnog smještaja</w:t>
      </w:r>
      <w:r w:rsidR="008878A0" w:rsidRPr="002F0BCD">
        <w:rPr>
          <w:rFonts w:ascii="Calibri" w:eastAsia="ArialNarrow" w:hAnsi="Calibri" w:cs="Calibri"/>
        </w:rPr>
        <w:t>).</w:t>
      </w:r>
    </w:p>
    <w:p w14:paraId="061AD067" w14:textId="77777777" w:rsidR="00A5180C" w:rsidRDefault="00A5180C" w:rsidP="00370EBB">
      <w:pPr>
        <w:rPr>
          <w:rFonts w:ascii="Calibri" w:eastAsia="ArialNarrow" w:hAnsi="Calibri" w:cs="Calibri"/>
        </w:rPr>
      </w:pPr>
    </w:p>
    <w:p w14:paraId="33AD75F2" w14:textId="50515CC0" w:rsidR="00D367A4" w:rsidRDefault="008878A0" w:rsidP="003E3F3C">
      <w:pPr>
        <w:pStyle w:val="Opisslike"/>
      </w:pPr>
      <w:r>
        <w:t>Grafikon</w:t>
      </w:r>
      <w:r w:rsidR="0035368C">
        <w:rPr>
          <w:noProof/>
        </w:rPr>
        <w:t xml:space="preserve"> </w:t>
      </w:r>
      <w:r w:rsidR="00CF4B96">
        <w:rPr>
          <w:noProof/>
        </w:rPr>
        <w:t>51</w:t>
      </w:r>
      <w:r w:rsidR="001838EE">
        <w:rPr>
          <w:noProof/>
        </w:rPr>
        <w:t>.</w:t>
      </w:r>
      <w:r>
        <w:t xml:space="preserve"> Struktu</w:t>
      </w:r>
      <w:r w:rsidR="00205838">
        <w:t>ra smještajnih kapaciteta u 20</w:t>
      </w:r>
      <w:r w:rsidR="004C5425">
        <w:t>20</w:t>
      </w:r>
      <w:r>
        <w:t>. godini u Krapinsko-zagorskoj županiji</w:t>
      </w:r>
    </w:p>
    <w:p w14:paraId="0AB999ED" w14:textId="0F625541" w:rsidR="008878A0" w:rsidRPr="002161E8" w:rsidRDefault="002161E8" w:rsidP="002161E8">
      <w:r>
        <w:rPr>
          <w:noProof/>
        </w:rPr>
        <w:drawing>
          <wp:inline distT="0" distB="0" distL="0" distR="0" wp14:anchorId="740EF513" wp14:editId="6EBEC83E">
            <wp:extent cx="5857875" cy="2795270"/>
            <wp:effectExtent l="0" t="0" r="9525" b="5080"/>
            <wp:docPr id="251" name="Grafikon 251">
              <a:extLst xmlns:a="http://schemas.openxmlformats.org/drawingml/2006/main">
                <a:ext uri="{FF2B5EF4-FFF2-40B4-BE49-F238E27FC236}">
                  <a16:creationId xmlns:a16="http://schemas.microsoft.com/office/drawing/2014/main" id="{19BFD4AA-22C3-4DE5-9A65-276723A04F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r w:rsidR="008878A0" w:rsidRPr="0035368C">
        <w:rPr>
          <w:rFonts w:eastAsia="ArialNarrow" w:cstheme="minorHAnsi"/>
          <w:i/>
          <w:color w:val="ABABAB" w:themeColor="text1" w:themeTint="A6"/>
          <w:sz w:val="16"/>
          <w:szCs w:val="16"/>
        </w:rPr>
        <w:t>Izvor: Turistička zajednica Kr</w:t>
      </w:r>
      <w:r w:rsidR="00205838" w:rsidRPr="0035368C">
        <w:rPr>
          <w:rFonts w:eastAsia="ArialNarrow" w:cstheme="minorHAnsi"/>
          <w:i/>
          <w:color w:val="ABABAB" w:themeColor="text1" w:themeTint="A6"/>
          <w:sz w:val="16"/>
          <w:szCs w:val="16"/>
        </w:rPr>
        <w:t>apinsko-zagorske županije, 2020</w:t>
      </w:r>
      <w:r w:rsidR="008878A0" w:rsidRPr="0035368C">
        <w:rPr>
          <w:rFonts w:eastAsia="ArialNarrow" w:cstheme="minorHAnsi"/>
          <w:i/>
          <w:color w:val="ABABAB" w:themeColor="text1" w:themeTint="A6"/>
          <w:sz w:val="16"/>
          <w:szCs w:val="16"/>
        </w:rPr>
        <w:t xml:space="preserve"> godina</w:t>
      </w:r>
      <w:r w:rsidR="00205838" w:rsidRPr="0035368C">
        <w:rPr>
          <w:rFonts w:eastAsia="ArialNarrow" w:cstheme="minorHAnsi"/>
          <w:i/>
          <w:color w:val="ABABAB" w:themeColor="text1" w:themeTint="A6"/>
          <w:sz w:val="16"/>
          <w:szCs w:val="16"/>
        </w:rPr>
        <w:t>, obrada autora</w:t>
      </w:r>
    </w:p>
    <w:p w14:paraId="16261A60" w14:textId="77777777" w:rsidR="00D367A4" w:rsidRDefault="00D367A4" w:rsidP="00370EBB">
      <w:pPr>
        <w:rPr>
          <w:rFonts w:eastAsia="ArialNarrow"/>
        </w:rPr>
      </w:pPr>
    </w:p>
    <w:p w14:paraId="0D52DAF7" w14:textId="28B9166E" w:rsidR="008878A0" w:rsidRDefault="00CA6B43" w:rsidP="00370EBB">
      <w:pPr>
        <w:rPr>
          <w:rFonts w:eastAsia="ArialNarrow"/>
        </w:rPr>
      </w:pPr>
      <w:r>
        <w:rPr>
          <w:rFonts w:eastAsia="ArialNarrow"/>
        </w:rPr>
        <w:t>B</w:t>
      </w:r>
      <w:r w:rsidR="008878A0">
        <w:rPr>
          <w:rFonts w:eastAsia="ArialNarrow"/>
        </w:rPr>
        <w:t>roj stalnih postelja na području Krapinsko-zagorske županije kontinui</w:t>
      </w:r>
      <w:r>
        <w:rPr>
          <w:rFonts w:eastAsia="ArialNarrow"/>
        </w:rPr>
        <w:t xml:space="preserve">rano raste </w:t>
      </w:r>
      <w:r w:rsidR="008878A0">
        <w:rPr>
          <w:rFonts w:eastAsia="ArialNarrow"/>
        </w:rPr>
        <w:t xml:space="preserve">, izuzev 2014. godine kada je zbog zatvaranja jednog hotela broj stalnih postelja značajnije smanjen. Ponovnim otvaranjem istog hotela u 2015. te otvaranjem dvaju novih hotela u posljednje četiri godine, broj stalnih postelja u KZŽ nastavlja rasti. </w:t>
      </w:r>
    </w:p>
    <w:p w14:paraId="2C02319A" w14:textId="77777777" w:rsidR="00A5180C" w:rsidRDefault="00A5180C" w:rsidP="00370EBB">
      <w:pPr>
        <w:rPr>
          <w:rFonts w:eastAsia="ArialNarrow"/>
        </w:rPr>
      </w:pPr>
    </w:p>
    <w:p w14:paraId="24C14EE8" w14:textId="78D04859" w:rsidR="008B241A" w:rsidRDefault="008878A0" w:rsidP="0035368C">
      <w:pPr>
        <w:pStyle w:val="Opisslike"/>
      </w:pPr>
      <w:r>
        <w:lastRenderedPageBreak/>
        <w:t>Grafikon</w:t>
      </w:r>
      <w:r w:rsidR="0035368C">
        <w:rPr>
          <w:noProof/>
        </w:rPr>
        <w:t xml:space="preserve"> </w:t>
      </w:r>
      <w:r w:rsidR="00CF4B96">
        <w:rPr>
          <w:noProof/>
        </w:rPr>
        <w:t>52</w:t>
      </w:r>
      <w:r w:rsidR="001838EE">
        <w:rPr>
          <w:noProof/>
        </w:rPr>
        <w:t>.</w:t>
      </w:r>
      <w:r>
        <w:t xml:space="preserve"> Kretanje broja stalnih postelja u Krapinsko-zagorskoj </w:t>
      </w:r>
      <w:r w:rsidR="006B46AD">
        <w:t>županiji, 2009. – 20</w:t>
      </w:r>
      <w:r w:rsidR="002F0BCD">
        <w:t>20</w:t>
      </w:r>
      <w:r w:rsidR="006B46AD">
        <w:t xml:space="preserve">. </w:t>
      </w:r>
      <w:r w:rsidR="00A5180C">
        <w:t>godina</w:t>
      </w:r>
    </w:p>
    <w:p w14:paraId="43033967" w14:textId="2D3B5E65" w:rsidR="008878A0" w:rsidRPr="002F0BCD" w:rsidRDefault="002F0BCD" w:rsidP="002F0BCD">
      <w:r>
        <w:rPr>
          <w:noProof/>
        </w:rPr>
        <w:drawing>
          <wp:inline distT="0" distB="0" distL="0" distR="0" wp14:anchorId="25F0C5AB" wp14:editId="769C8E0A">
            <wp:extent cx="5908040" cy="2042967"/>
            <wp:effectExtent l="0" t="0" r="16510" b="14605"/>
            <wp:docPr id="256" name="Grafikon 256">
              <a:extLst xmlns:a="http://schemas.openxmlformats.org/drawingml/2006/main">
                <a:ext uri="{FF2B5EF4-FFF2-40B4-BE49-F238E27FC236}">
                  <a16:creationId xmlns:a16="http://schemas.microsoft.com/office/drawing/2014/main" id="{29285B73-9B05-4870-8A34-F3E9E407A0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r w:rsidR="008878A0" w:rsidRPr="0035368C">
        <w:rPr>
          <w:rFonts w:eastAsia="ArialNarrow" w:cstheme="minorHAnsi"/>
          <w:i/>
          <w:color w:val="ABABAB" w:themeColor="text1" w:themeTint="A6"/>
          <w:sz w:val="16"/>
          <w:szCs w:val="16"/>
        </w:rPr>
        <w:t>Izvor: Turistička zajednica Krapinsko-zagorske županije, 20</w:t>
      </w:r>
      <w:r>
        <w:rPr>
          <w:rFonts w:eastAsia="ArialNarrow" w:cstheme="minorHAnsi"/>
          <w:i/>
          <w:color w:val="ABABAB" w:themeColor="text1" w:themeTint="A6"/>
          <w:sz w:val="16"/>
          <w:szCs w:val="16"/>
        </w:rPr>
        <w:t>20</w:t>
      </w:r>
      <w:r w:rsidR="008878A0" w:rsidRPr="0035368C">
        <w:rPr>
          <w:rFonts w:eastAsia="ArialNarrow" w:cstheme="minorHAnsi"/>
          <w:i/>
          <w:color w:val="ABABAB" w:themeColor="text1" w:themeTint="A6"/>
          <w:sz w:val="16"/>
          <w:szCs w:val="16"/>
        </w:rPr>
        <w:t>. godina</w:t>
      </w:r>
    </w:p>
    <w:p w14:paraId="40593481" w14:textId="77777777" w:rsidR="0035368C" w:rsidRPr="0035368C" w:rsidRDefault="0035368C" w:rsidP="0035368C">
      <w:pPr>
        <w:autoSpaceDE w:val="0"/>
        <w:autoSpaceDN w:val="0"/>
        <w:adjustRightInd w:val="0"/>
        <w:spacing w:after="0" w:line="240" w:lineRule="auto"/>
        <w:rPr>
          <w:rFonts w:eastAsia="ArialNarrow" w:cstheme="minorHAnsi"/>
          <w:i/>
          <w:color w:val="ABABAB" w:themeColor="text1" w:themeTint="A6"/>
          <w:sz w:val="16"/>
          <w:szCs w:val="16"/>
        </w:rPr>
      </w:pPr>
    </w:p>
    <w:p w14:paraId="6DBDFE8E" w14:textId="5C5E341C" w:rsidR="008878A0" w:rsidRDefault="008878A0" w:rsidP="00370EBB">
      <w:pPr>
        <w:rPr>
          <w:rFonts w:eastAsia="ArialNarrow"/>
          <w:sz w:val="22"/>
          <w:szCs w:val="22"/>
        </w:rPr>
      </w:pPr>
      <w:r>
        <w:rPr>
          <w:rFonts w:eastAsia="ArialNarrow"/>
        </w:rPr>
        <w:t>Promatrano prema broju stalnih postelj</w:t>
      </w:r>
      <w:r w:rsidR="006B46AD">
        <w:rPr>
          <w:rFonts w:eastAsia="ArialNarrow"/>
        </w:rPr>
        <w:t>a, hoteli čine 48</w:t>
      </w:r>
      <w:r>
        <w:rPr>
          <w:rFonts w:eastAsia="ArialNarrow"/>
        </w:rPr>
        <w:t>% smještajnih kapaciteta, a s</w:t>
      </w:r>
      <w:r w:rsidR="006B46AD">
        <w:rPr>
          <w:rFonts w:eastAsia="ArialNarrow"/>
        </w:rPr>
        <w:t>lijedi privatni smještaj s 34</w:t>
      </w:r>
      <w:r>
        <w:rPr>
          <w:rFonts w:eastAsia="ArialNarrow"/>
        </w:rPr>
        <w:t>%. Promatra li se broj noćenja prema vrsti smještajnog objekta, vidlji</w:t>
      </w:r>
      <w:r w:rsidR="006B46AD">
        <w:rPr>
          <w:rFonts w:eastAsia="ArialNarrow"/>
        </w:rPr>
        <w:t>vo je kako hoteli u posljednje 4</w:t>
      </w:r>
      <w:r>
        <w:rPr>
          <w:rFonts w:eastAsia="ArialNarrow"/>
        </w:rPr>
        <w:t xml:space="preserve"> godine (2</w:t>
      </w:r>
      <w:r w:rsidR="006B46AD">
        <w:rPr>
          <w:rFonts w:eastAsia="ArialNarrow"/>
        </w:rPr>
        <w:t>016.-2019</w:t>
      </w:r>
      <w:r w:rsidR="009812E4">
        <w:rPr>
          <w:rFonts w:eastAsia="ArialNarrow"/>
        </w:rPr>
        <w:t>.) ostvaruju godišnje 80-</w:t>
      </w:r>
      <w:r>
        <w:rPr>
          <w:rFonts w:eastAsia="ArialNarrow"/>
        </w:rPr>
        <w:t xml:space="preserve">85% svih turističkih noćenja. </w:t>
      </w:r>
    </w:p>
    <w:p w14:paraId="1F23C372" w14:textId="0577D56C" w:rsidR="00370EBB" w:rsidRDefault="008878A0" w:rsidP="00D367A4">
      <w:pPr>
        <w:rPr>
          <w:rFonts w:eastAsia="ArialNarrow"/>
        </w:rPr>
      </w:pPr>
      <w:r>
        <w:rPr>
          <w:rFonts w:eastAsia="ArialNarrow"/>
        </w:rPr>
        <w:t>Ponuda hotelskog smještaja u Krapinsko-zagorskoj županiji obuhvaća ukupno 1</w:t>
      </w:r>
      <w:r w:rsidR="002F0BCD">
        <w:rPr>
          <w:rFonts w:eastAsia="ArialNarrow"/>
        </w:rPr>
        <w:t>1</w:t>
      </w:r>
      <w:r>
        <w:rPr>
          <w:rFonts w:eastAsia="ArialNarrow"/>
        </w:rPr>
        <w:t xml:space="preserve"> hotela, kategorizacije 3 ili 4 zvjezdice i ukupnog kapaciteta 1</w:t>
      </w:r>
      <w:r w:rsidR="002F0BCD">
        <w:rPr>
          <w:rFonts w:eastAsia="ArialNarrow"/>
        </w:rPr>
        <w:t>251</w:t>
      </w:r>
      <w:r>
        <w:rPr>
          <w:rFonts w:eastAsia="ArialNarrow"/>
        </w:rPr>
        <w:t xml:space="preserve"> postelje. </w:t>
      </w:r>
      <w:r w:rsidR="002F0BCD" w:rsidRPr="002F0BCD">
        <w:rPr>
          <w:rFonts w:eastAsia="ArialNarrow"/>
        </w:rPr>
        <w:t xml:space="preserve">U odnosu na 2019.godinu broj ukupnog kapaciteta postelja u hotelima smanjen je sa 1384 na 1258 s obzirom na činjenicu da se Hotel Toplice zatvorio u 2020.godini. </w:t>
      </w:r>
      <w:r>
        <w:rPr>
          <w:rFonts w:eastAsia="ArialNarrow"/>
        </w:rPr>
        <w:t xml:space="preserve">U posljednjih 5 godina, značajnim ulaganjima u obnovu i izgradnju hotelskog smještaja, bitno je podignuta razina kvalitete smještajne ponude KZŽ. </w:t>
      </w:r>
    </w:p>
    <w:p w14:paraId="590639BD" w14:textId="77777777" w:rsidR="001838EE" w:rsidRDefault="001838EE" w:rsidP="00D367A4">
      <w:pPr>
        <w:rPr>
          <w:rFonts w:eastAsia="ArialNarrow"/>
        </w:rPr>
      </w:pPr>
    </w:p>
    <w:p w14:paraId="2E203247" w14:textId="34A80456" w:rsidR="001838EE" w:rsidRDefault="001838EE" w:rsidP="003E3F3C">
      <w:pPr>
        <w:pStyle w:val="Opisslike"/>
      </w:pPr>
      <w:r>
        <w:t>Tablica</w:t>
      </w:r>
      <w:r w:rsidR="0035368C">
        <w:t xml:space="preserve"> </w:t>
      </w:r>
      <w:r w:rsidR="00A7185B">
        <w:t>104</w:t>
      </w:r>
      <w:r>
        <w:t xml:space="preserve">. </w:t>
      </w:r>
      <w:r w:rsidRPr="00CF270F">
        <w:t>Pregled hotelskih kapaciteta na području KZŽ u 20</w:t>
      </w:r>
      <w:r w:rsidR="002F0BCD">
        <w:t>20</w:t>
      </w:r>
      <w:r w:rsidRPr="00CF270F">
        <w:t>. godini</w:t>
      </w:r>
    </w:p>
    <w:tbl>
      <w:tblPr>
        <w:tblW w:w="9072" w:type="dxa"/>
        <w:tblInd w:w="132" w:type="dxa"/>
        <w:tblLook w:val="04A0" w:firstRow="1" w:lastRow="0" w:firstColumn="1" w:lastColumn="0" w:noHBand="0" w:noVBand="1"/>
      </w:tblPr>
      <w:tblGrid>
        <w:gridCol w:w="751"/>
        <w:gridCol w:w="2935"/>
        <w:gridCol w:w="1761"/>
        <w:gridCol w:w="1455"/>
        <w:gridCol w:w="2170"/>
      </w:tblGrid>
      <w:tr w:rsidR="002F0BCD" w:rsidRPr="000E19D8" w14:paraId="5F2CD848" w14:textId="77777777" w:rsidTr="002F0BCD">
        <w:trPr>
          <w:trHeight w:val="587"/>
        </w:trPr>
        <w:tc>
          <w:tcPr>
            <w:tcW w:w="751" w:type="dxa"/>
            <w:vMerge w:val="restart"/>
            <w:tcBorders>
              <w:top w:val="single" w:sz="4" w:space="0" w:color="FFFFFF"/>
              <w:left w:val="single" w:sz="8" w:space="0" w:color="D2232A"/>
              <w:right w:val="single" w:sz="4" w:space="0" w:color="FFFFFF"/>
            </w:tcBorders>
            <w:shd w:val="clear" w:color="auto" w:fill="D2232A"/>
            <w:vAlign w:val="center"/>
            <w:hideMark/>
          </w:tcPr>
          <w:p w14:paraId="579C0C42" w14:textId="77777777" w:rsidR="002F0BCD" w:rsidRPr="000E19D8" w:rsidRDefault="002F0BCD" w:rsidP="00E0639E">
            <w:pPr>
              <w:jc w:val="center"/>
              <w:rPr>
                <w:rFonts w:eastAsia="Times New Roman" w:cs="Times New Roman"/>
                <w:color w:val="FFFFFF"/>
                <w:lang w:eastAsia="hr-HR"/>
              </w:rPr>
            </w:pPr>
            <w:r w:rsidRPr="000E19D8">
              <w:rPr>
                <w:rFonts w:eastAsia="Times New Roman" w:cs="Times New Roman"/>
                <w:color w:val="FFFFFF"/>
                <w:lang w:eastAsia="hr-HR"/>
              </w:rPr>
              <w:t>R.br.</w:t>
            </w:r>
          </w:p>
        </w:tc>
        <w:tc>
          <w:tcPr>
            <w:tcW w:w="2935" w:type="dxa"/>
            <w:vMerge w:val="restart"/>
            <w:tcBorders>
              <w:top w:val="single" w:sz="4" w:space="0" w:color="FFFFFF"/>
              <w:left w:val="single" w:sz="4" w:space="0" w:color="FFFFFF"/>
              <w:right w:val="single" w:sz="4" w:space="0" w:color="FFFFFF"/>
            </w:tcBorders>
            <w:shd w:val="clear" w:color="auto" w:fill="D2232A"/>
            <w:vAlign w:val="center"/>
            <w:hideMark/>
          </w:tcPr>
          <w:p w14:paraId="188F3671" w14:textId="77777777" w:rsidR="002F0BCD" w:rsidRPr="000E19D8" w:rsidRDefault="002F0BCD" w:rsidP="00E0639E">
            <w:pPr>
              <w:jc w:val="center"/>
              <w:rPr>
                <w:rFonts w:eastAsia="Times New Roman" w:cs="Times New Roman"/>
                <w:color w:val="FFFFFF"/>
                <w:lang w:eastAsia="hr-HR"/>
              </w:rPr>
            </w:pPr>
            <w:r w:rsidRPr="000E19D8">
              <w:rPr>
                <w:rFonts w:eastAsia="Times New Roman" w:cs="Times New Roman"/>
                <w:color w:val="FFFFFF"/>
                <w:lang w:eastAsia="hr-HR"/>
              </w:rPr>
              <w:t>Hotel</w:t>
            </w:r>
          </w:p>
        </w:tc>
        <w:tc>
          <w:tcPr>
            <w:tcW w:w="1761" w:type="dxa"/>
            <w:vMerge w:val="restart"/>
            <w:tcBorders>
              <w:top w:val="single" w:sz="4" w:space="0" w:color="FFFFFF"/>
              <w:left w:val="single" w:sz="4" w:space="0" w:color="FFFFFF"/>
              <w:right w:val="single" w:sz="4" w:space="0" w:color="FFFFFF"/>
            </w:tcBorders>
            <w:shd w:val="clear" w:color="auto" w:fill="D2232A"/>
            <w:vAlign w:val="center"/>
            <w:hideMark/>
          </w:tcPr>
          <w:p w14:paraId="49284732" w14:textId="77777777" w:rsidR="002F0BCD" w:rsidRPr="000E19D8" w:rsidRDefault="002F0BCD" w:rsidP="00E0639E">
            <w:pPr>
              <w:jc w:val="center"/>
              <w:rPr>
                <w:rFonts w:eastAsia="Times New Roman" w:cs="Times New Roman"/>
                <w:color w:val="FFFFFF"/>
                <w:lang w:eastAsia="hr-HR"/>
              </w:rPr>
            </w:pPr>
            <w:r w:rsidRPr="000E19D8">
              <w:rPr>
                <w:rFonts w:eastAsia="Times New Roman" w:cs="Times New Roman"/>
                <w:color w:val="FFFFFF"/>
                <w:lang w:eastAsia="hr-HR"/>
              </w:rPr>
              <w:t>Broj smještajnih jedinica</w:t>
            </w:r>
          </w:p>
        </w:tc>
        <w:tc>
          <w:tcPr>
            <w:tcW w:w="1455" w:type="dxa"/>
            <w:vMerge w:val="restart"/>
            <w:tcBorders>
              <w:top w:val="single" w:sz="4" w:space="0" w:color="FFFFFF"/>
              <w:left w:val="single" w:sz="4" w:space="0" w:color="FFFFFF"/>
              <w:right w:val="single" w:sz="4" w:space="0" w:color="FFFFFF"/>
            </w:tcBorders>
            <w:shd w:val="clear" w:color="auto" w:fill="D2232A"/>
            <w:vAlign w:val="center"/>
            <w:hideMark/>
          </w:tcPr>
          <w:p w14:paraId="29402135" w14:textId="77777777" w:rsidR="002F0BCD" w:rsidRPr="000E19D8" w:rsidRDefault="002F0BCD" w:rsidP="00E0639E">
            <w:pPr>
              <w:jc w:val="center"/>
              <w:rPr>
                <w:rFonts w:eastAsia="Times New Roman" w:cs="Times New Roman"/>
                <w:color w:val="FFFFFF"/>
                <w:lang w:eastAsia="hr-HR"/>
              </w:rPr>
            </w:pPr>
            <w:r w:rsidRPr="000E19D8">
              <w:rPr>
                <w:rFonts w:eastAsia="Times New Roman" w:cs="Times New Roman"/>
                <w:color w:val="FFFFFF"/>
                <w:lang w:eastAsia="hr-HR"/>
              </w:rPr>
              <w:t>Broj stalnih kreveta</w:t>
            </w:r>
          </w:p>
        </w:tc>
        <w:tc>
          <w:tcPr>
            <w:tcW w:w="2170" w:type="dxa"/>
            <w:vMerge w:val="restart"/>
            <w:tcBorders>
              <w:top w:val="single" w:sz="4" w:space="0" w:color="FFFFFF"/>
              <w:left w:val="single" w:sz="4" w:space="0" w:color="FFFFFF"/>
              <w:right w:val="single" w:sz="8" w:space="0" w:color="D2232A"/>
            </w:tcBorders>
            <w:shd w:val="clear" w:color="auto" w:fill="D2232A"/>
            <w:vAlign w:val="center"/>
            <w:hideMark/>
          </w:tcPr>
          <w:p w14:paraId="1C46B224" w14:textId="77777777" w:rsidR="002F0BCD" w:rsidRPr="000E19D8" w:rsidRDefault="002F0BCD" w:rsidP="00E0639E">
            <w:pPr>
              <w:jc w:val="center"/>
              <w:rPr>
                <w:rFonts w:eastAsia="Times New Roman" w:cs="Times New Roman"/>
                <w:color w:val="FFFFFF"/>
                <w:lang w:eastAsia="hr-HR"/>
              </w:rPr>
            </w:pPr>
            <w:r w:rsidRPr="000E19D8">
              <w:rPr>
                <w:rFonts w:eastAsia="Times New Roman" w:cs="Times New Roman"/>
                <w:color w:val="FFFFFF"/>
                <w:lang w:eastAsia="hr-HR"/>
              </w:rPr>
              <w:t>Kategorija</w:t>
            </w:r>
          </w:p>
        </w:tc>
      </w:tr>
      <w:tr w:rsidR="002F0BCD" w:rsidRPr="000E19D8" w14:paraId="5B19E8AF" w14:textId="77777777" w:rsidTr="002F0BCD">
        <w:trPr>
          <w:trHeight w:val="532"/>
        </w:trPr>
        <w:tc>
          <w:tcPr>
            <w:tcW w:w="751" w:type="dxa"/>
            <w:vMerge/>
            <w:tcBorders>
              <w:left w:val="single" w:sz="8" w:space="0" w:color="D2232A"/>
              <w:bottom w:val="single" w:sz="4" w:space="0" w:color="FFFFFF"/>
              <w:right w:val="single" w:sz="4" w:space="0" w:color="FFFFFF"/>
            </w:tcBorders>
            <w:shd w:val="clear" w:color="auto" w:fill="D2232A"/>
            <w:vAlign w:val="center"/>
            <w:hideMark/>
          </w:tcPr>
          <w:p w14:paraId="56722DC1" w14:textId="77777777" w:rsidR="002F0BCD" w:rsidRPr="000E19D8" w:rsidRDefault="002F0BCD" w:rsidP="00E0639E">
            <w:pPr>
              <w:rPr>
                <w:rFonts w:eastAsia="Times New Roman" w:cs="Times New Roman"/>
                <w:color w:val="3F3F3F"/>
                <w:lang w:eastAsia="hr-HR"/>
              </w:rPr>
            </w:pPr>
          </w:p>
        </w:tc>
        <w:tc>
          <w:tcPr>
            <w:tcW w:w="0" w:type="auto"/>
            <w:vMerge/>
            <w:tcBorders>
              <w:left w:val="single" w:sz="4" w:space="0" w:color="FFFFFF"/>
              <w:bottom w:val="single" w:sz="4" w:space="0" w:color="FFFFFF"/>
              <w:right w:val="single" w:sz="4" w:space="0" w:color="FFFFFF"/>
            </w:tcBorders>
            <w:shd w:val="clear" w:color="auto" w:fill="D2232A"/>
            <w:vAlign w:val="center"/>
            <w:hideMark/>
          </w:tcPr>
          <w:p w14:paraId="755218A8" w14:textId="77777777" w:rsidR="002F0BCD" w:rsidRPr="000E19D8" w:rsidRDefault="002F0BCD" w:rsidP="00E0639E">
            <w:pPr>
              <w:rPr>
                <w:rFonts w:eastAsia="Times New Roman" w:cs="Times New Roman"/>
                <w:color w:val="3F3F3F"/>
                <w:lang w:eastAsia="hr-HR"/>
              </w:rPr>
            </w:pPr>
          </w:p>
        </w:tc>
        <w:tc>
          <w:tcPr>
            <w:tcW w:w="0" w:type="auto"/>
            <w:vMerge/>
            <w:tcBorders>
              <w:left w:val="single" w:sz="4" w:space="0" w:color="FFFFFF"/>
              <w:bottom w:val="single" w:sz="4" w:space="0" w:color="FFFFFF"/>
              <w:right w:val="single" w:sz="4" w:space="0" w:color="FFFFFF"/>
            </w:tcBorders>
            <w:shd w:val="clear" w:color="auto" w:fill="D2232A"/>
            <w:vAlign w:val="center"/>
            <w:hideMark/>
          </w:tcPr>
          <w:p w14:paraId="6988D32C" w14:textId="77777777" w:rsidR="002F0BCD" w:rsidRPr="000E19D8" w:rsidRDefault="002F0BCD" w:rsidP="00E0639E">
            <w:pPr>
              <w:jc w:val="right"/>
              <w:rPr>
                <w:rFonts w:eastAsia="Times New Roman" w:cs="Times New Roman"/>
                <w:color w:val="3F3F3F"/>
                <w:lang w:eastAsia="hr-HR"/>
              </w:rPr>
            </w:pPr>
          </w:p>
        </w:tc>
        <w:tc>
          <w:tcPr>
            <w:tcW w:w="0" w:type="auto"/>
            <w:vMerge/>
            <w:tcBorders>
              <w:left w:val="single" w:sz="4" w:space="0" w:color="FFFFFF"/>
              <w:bottom w:val="single" w:sz="4" w:space="0" w:color="FFFFFF"/>
              <w:right w:val="single" w:sz="4" w:space="0" w:color="FFFFFF"/>
            </w:tcBorders>
            <w:shd w:val="clear" w:color="auto" w:fill="D2232A"/>
            <w:vAlign w:val="center"/>
            <w:hideMark/>
          </w:tcPr>
          <w:p w14:paraId="411A3FC9" w14:textId="77777777" w:rsidR="002F0BCD" w:rsidRPr="000E19D8" w:rsidRDefault="002F0BCD" w:rsidP="00E0639E">
            <w:pPr>
              <w:jc w:val="right"/>
              <w:rPr>
                <w:rFonts w:eastAsia="Times New Roman" w:cs="Times New Roman"/>
                <w:color w:val="3F3F3F"/>
                <w:lang w:eastAsia="hr-HR"/>
              </w:rPr>
            </w:pPr>
          </w:p>
        </w:tc>
        <w:tc>
          <w:tcPr>
            <w:tcW w:w="2170" w:type="dxa"/>
            <w:vMerge/>
            <w:tcBorders>
              <w:left w:val="single" w:sz="4" w:space="0" w:color="FFFFFF"/>
              <w:bottom w:val="single" w:sz="4" w:space="0" w:color="FFFFFF"/>
              <w:right w:val="single" w:sz="8" w:space="0" w:color="D2232A"/>
            </w:tcBorders>
            <w:shd w:val="clear" w:color="auto" w:fill="D2232A"/>
            <w:vAlign w:val="center"/>
            <w:hideMark/>
          </w:tcPr>
          <w:p w14:paraId="270DE514" w14:textId="77777777" w:rsidR="002F0BCD" w:rsidRPr="000E19D8" w:rsidRDefault="002F0BCD" w:rsidP="00E0639E">
            <w:pPr>
              <w:jc w:val="right"/>
              <w:rPr>
                <w:rFonts w:eastAsia="Times New Roman" w:cs="Times New Roman"/>
                <w:color w:val="3F3F3F"/>
                <w:lang w:eastAsia="hr-HR"/>
              </w:rPr>
            </w:pPr>
          </w:p>
        </w:tc>
      </w:tr>
      <w:tr w:rsidR="002F0BCD" w:rsidRPr="000E19D8" w14:paraId="0F742FFF" w14:textId="77777777" w:rsidTr="002F0BCD">
        <w:trPr>
          <w:trHeight w:val="300"/>
        </w:trPr>
        <w:tc>
          <w:tcPr>
            <w:tcW w:w="751" w:type="dxa"/>
            <w:tcBorders>
              <w:top w:val="single" w:sz="4" w:space="0" w:color="FFFFFF"/>
              <w:left w:val="single" w:sz="8" w:space="0" w:color="D2232A"/>
              <w:bottom w:val="single" w:sz="8" w:space="0" w:color="F3CFC1"/>
              <w:right w:val="single" w:sz="8" w:space="0" w:color="D2232A"/>
            </w:tcBorders>
            <w:shd w:val="clear" w:color="auto" w:fill="FFFFFF"/>
            <w:noWrap/>
            <w:vAlign w:val="bottom"/>
            <w:hideMark/>
          </w:tcPr>
          <w:p w14:paraId="0C00792A"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1.</w:t>
            </w:r>
          </w:p>
        </w:tc>
        <w:tc>
          <w:tcPr>
            <w:tcW w:w="2935" w:type="dxa"/>
            <w:tcBorders>
              <w:top w:val="single" w:sz="4" w:space="0" w:color="FFFFFF"/>
              <w:left w:val="single" w:sz="8" w:space="0" w:color="D2232A"/>
              <w:bottom w:val="single" w:sz="8" w:space="0" w:color="F3CFC1"/>
              <w:right w:val="single" w:sz="8" w:space="0" w:color="D2232A"/>
            </w:tcBorders>
            <w:shd w:val="clear" w:color="auto" w:fill="FFFFFF"/>
            <w:noWrap/>
            <w:vAlign w:val="bottom"/>
            <w:hideMark/>
          </w:tcPr>
          <w:p w14:paraId="0934EFD7"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Terme Tuhelj</w:t>
            </w:r>
          </w:p>
        </w:tc>
        <w:tc>
          <w:tcPr>
            <w:tcW w:w="1761" w:type="dxa"/>
            <w:tcBorders>
              <w:top w:val="single" w:sz="4" w:space="0" w:color="FFFFFF"/>
              <w:left w:val="single" w:sz="8" w:space="0" w:color="D2232A"/>
              <w:bottom w:val="single" w:sz="8" w:space="0" w:color="F3CFC1"/>
              <w:right w:val="single" w:sz="8" w:space="0" w:color="D2232A"/>
            </w:tcBorders>
            <w:shd w:val="clear" w:color="auto" w:fill="FFFFFF"/>
            <w:noWrap/>
            <w:vAlign w:val="bottom"/>
          </w:tcPr>
          <w:p w14:paraId="4EE1CBB1" w14:textId="77777777" w:rsidR="002F0BCD" w:rsidRPr="000E19D8" w:rsidRDefault="002F0BCD" w:rsidP="00E0639E">
            <w:pPr>
              <w:autoSpaceDE w:val="0"/>
              <w:autoSpaceDN w:val="0"/>
              <w:adjustRightInd w:val="0"/>
              <w:jc w:val="right"/>
              <w:rPr>
                <w:rFonts w:eastAsia="ArialNarrow" w:cs="Calibri"/>
                <w:color w:val="3F3F3F"/>
                <w:szCs w:val="18"/>
              </w:rPr>
            </w:pPr>
            <w:r w:rsidRPr="000E19D8">
              <w:rPr>
                <w:rFonts w:eastAsia="ArialNarrow" w:cs="Calibri"/>
                <w:color w:val="3F3F3F"/>
                <w:szCs w:val="18"/>
              </w:rPr>
              <w:t>264</w:t>
            </w:r>
          </w:p>
        </w:tc>
        <w:tc>
          <w:tcPr>
            <w:tcW w:w="1455" w:type="dxa"/>
            <w:tcBorders>
              <w:top w:val="single" w:sz="4" w:space="0" w:color="FFFFFF"/>
              <w:left w:val="single" w:sz="8" w:space="0" w:color="D2232A"/>
              <w:bottom w:val="single" w:sz="8" w:space="0" w:color="F3CFC1"/>
              <w:right w:val="single" w:sz="8" w:space="0" w:color="D2232A"/>
            </w:tcBorders>
            <w:shd w:val="clear" w:color="auto" w:fill="FFFFFF"/>
            <w:noWrap/>
            <w:vAlign w:val="bottom"/>
          </w:tcPr>
          <w:p w14:paraId="4750352B" w14:textId="77777777" w:rsidR="002F0BCD" w:rsidRPr="000E19D8" w:rsidRDefault="002F0BCD" w:rsidP="00E0639E">
            <w:pPr>
              <w:autoSpaceDE w:val="0"/>
              <w:autoSpaceDN w:val="0"/>
              <w:adjustRightInd w:val="0"/>
              <w:jc w:val="right"/>
              <w:rPr>
                <w:rFonts w:eastAsia="ArialNarrow" w:cs="Calibri"/>
                <w:color w:val="3F3F3F"/>
                <w:szCs w:val="18"/>
              </w:rPr>
            </w:pPr>
            <w:r w:rsidRPr="000E19D8">
              <w:rPr>
                <w:rFonts w:eastAsia="ArialNarrow" w:cs="Calibri"/>
                <w:color w:val="3F3F3F"/>
                <w:szCs w:val="18"/>
              </w:rPr>
              <w:t>468</w:t>
            </w:r>
          </w:p>
        </w:tc>
        <w:tc>
          <w:tcPr>
            <w:tcW w:w="2170" w:type="dxa"/>
            <w:tcBorders>
              <w:top w:val="single" w:sz="4" w:space="0" w:color="FFFFFF"/>
              <w:left w:val="single" w:sz="8" w:space="0" w:color="D2232A"/>
              <w:bottom w:val="single" w:sz="8" w:space="0" w:color="F3CFC1"/>
              <w:right w:val="single" w:sz="8" w:space="0" w:color="D2232A"/>
            </w:tcBorders>
            <w:shd w:val="clear" w:color="auto" w:fill="FFFFFF"/>
            <w:noWrap/>
            <w:vAlign w:val="bottom"/>
            <w:hideMark/>
          </w:tcPr>
          <w:p w14:paraId="6B1493BA"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r w:rsidR="002F0BCD" w:rsidRPr="000E19D8" w14:paraId="5AE78603" w14:textId="77777777" w:rsidTr="002F0BCD">
        <w:trPr>
          <w:trHeight w:val="300"/>
        </w:trPr>
        <w:tc>
          <w:tcPr>
            <w:tcW w:w="751"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776212FD" w14:textId="77777777" w:rsidR="002F0BCD" w:rsidRPr="000E19D8" w:rsidRDefault="002F0BCD" w:rsidP="00E0639E">
            <w:pPr>
              <w:rPr>
                <w:rFonts w:eastAsia="Times New Roman" w:cs="Times New Roman"/>
                <w:color w:val="3F3F3F"/>
                <w:lang w:eastAsia="hr-HR"/>
              </w:rPr>
            </w:pPr>
            <w:r>
              <w:rPr>
                <w:rFonts w:eastAsia="Times New Roman" w:cs="Times New Roman"/>
                <w:color w:val="3F3F3F"/>
                <w:lang w:eastAsia="hr-HR"/>
              </w:rPr>
              <w:t>2</w:t>
            </w:r>
            <w:r w:rsidRPr="000E19D8">
              <w:rPr>
                <w:rFonts w:eastAsia="Times New Roman" w:cs="Times New Roman"/>
                <w:color w:val="3F3F3F"/>
                <w:lang w:eastAsia="hr-HR"/>
              </w:rPr>
              <w:t>.</w:t>
            </w:r>
          </w:p>
        </w:tc>
        <w:tc>
          <w:tcPr>
            <w:tcW w:w="2935"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087F6D73"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Terme Jezerčica</w:t>
            </w:r>
          </w:p>
        </w:tc>
        <w:tc>
          <w:tcPr>
            <w:tcW w:w="1761" w:type="dxa"/>
            <w:tcBorders>
              <w:top w:val="single" w:sz="8" w:space="0" w:color="F3CFC1"/>
              <w:left w:val="single" w:sz="8" w:space="0" w:color="D2232A"/>
              <w:bottom w:val="single" w:sz="8" w:space="0" w:color="F3CFC1"/>
              <w:right w:val="single" w:sz="8" w:space="0" w:color="D2232A"/>
            </w:tcBorders>
            <w:shd w:val="clear" w:color="auto" w:fill="FFFFFF"/>
            <w:noWrap/>
          </w:tcPr>
          <w:p w14:paraId="1B9679DF"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47</w:t>
            </w:r>
          </w:p>
        </w:tc>
        <w:tc>
          <w:tcPr>
            <w:tcW w:w="1455" w:type="dxa"/>
            <w:tcBorders>
              <w:top w:val="single" w:sz="8" w:space="0" w:color="F3CFC1"/>
              <w:left w:val="single" w:sz="8" w:space="0" w:color="D2232A"/>
              <w:bottom w:val="single" w:sz="8" w:space="0" w:color="F3CFC1"/>
              <w:right w:val="single" w:sz="8" w:space="0" w:color="D2232A"/>
            </w:tcBorders>
            <w:shd w:val="clear" w:color="auto" w:fill="FFFFFF"/>
            <w:noWrap/>
          </w:tcPr>
          <w:p w14:paraId="76CE101D"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103</w:t>
            </w:r>
          </w:p>
        </w:tc>
        <w:tc>
          <w:tcPr>
            <w:tcW w:w="2170"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5A4D19E6"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r w:rsidR="002F0BCD" w:rsidRPr="000E19D8" w14:paraId="259DE93C" w14:textId="77777777" w:rsidTr="002F0BCD">
        <w:trPr>
          <w:trHeight w:val="300"/>
        </w:trPr>
        <w:tc>
          <w:tcPr>
            <w:tcW w:w="751"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7F0D0BC9" w14:textId="77777777" w:rsidR="002F0BCD" w:rsidRPr="000E19D8" w:rsidRDefault="002F0BCD" w:rsidP="00E0639E">
            <w:pPr>
              <w:rPr>
                <w:rFonts w:eastAsia="Times New Roman" w:cs="Times New Roman"/>
                <w:color w:val="3F3F3F"/>
                <w:lang w:eastAsia="hr-HR"/>
              </w:rPr>
            </w:pPr>
            <w:r>
              <w:rPr>
                <w:rFonts w:eastAsia="Times New Roman" w:cs="Times New Roman"/>
                <w:color w:val="3F3F3F"/>
                <w:lang w:eastAsia="hr-HR"/>
              </w:rPr>
              <w:t>3.</w:t>
            </w:r>
          </w:p>
        </w:tc>
        <w:tc>
          <w:tcPr>
            <w:tcW w:w="2935"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328A1109"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Bluesun hotel Kaj</w:t>
            </w:r>
          </w:p>
        </w:tc>
        <w:tc>
          <w:tcPr>
            <w:tcW w:w="1761" w:type="dxa"/>
            <w:tcBorders>
              <w:top w:val="single" w:sz="8" w:space="0" w:color="F3CFC1"/>
              <w:left w:val="single" w:sz="8" w:space="0" w:color="D2232A"/>
              <w:bottom w:val="single" w:sz="8" w:space="0" w:color="F3CFC1"/>
              <w:right w:val="single" w:sz="8" w:space="0" w:color="D2232A"/>
            </w:tcBorders>
            <w:shd w:val="clear" w:color="auto" w:fill="FFFFFF"/>
            <w:noWrap/>
          </w:tcPr>
          <w:p w14:paraId="75BC5936"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65</w:t>
            </w:r>
          </w:p>
        </w:tc>
        <w:tc>
          <w:tcPr>
            <w:tcW w:w="1455" w:type="dxa"/>
            <w:tcBorders>
              <w:top w:val="single" w:sz="8" w:space="0" w:color="F3CFC1"/>
              <w:left w:val="single" w:sz="8" w:space="0" w:color="D2232A"/>
              <w:bottom w:val="single" w:sz="8" w:space="0" w:color="F3CFC1"/>
              <w:right w:val="single" w:sz="8" w:space="0" w:color="D2232A"/>
            </w:tcBorders>
            <w:shd w:val="clear" w:color="auto" w:fill="FFFFFF"/>
            <w:noWrap/>
          </w:tcPr>
          <w:p w14:paraId="55B76FBE"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114</w:t>
            </w:r>
          </w:p>
        </w:tc>
        <w:tc>
          <w:tcPr>
            <w:tcW w:w="2170"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7946A110"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r w:rsidR="002F0BCD" w:rsidRPr="000E19D8" w14:paraId="3A4C4645" w14:textId="77777777" w:rsidTr="002F0BCD">
        <w:trPr>
          <w:trHeight w:val="300"/>
        </w:trPr>
        <w:tc>
          <w:tcPr>
            <w:tcW w:w="751"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3609778B" w14:textId="77777777" w:rsidR="002F0BCD" w:rsidRPr="000E19D8" w:rsidRDefault="002F0BCD" w:rsidP="00E0639E">
            <w:pPr>
              <w:rPr>
                <w:rFonts w:eastAsia="Times New Roman" w:cs="Times New Roman"/>
                <w:color w:val="3F3F3F"/>
                <w:lang w:eastAsia="hr-HR"/>
              </w:rPr>
            </w:pPr>
            <w:r>
              <w:rPr>
                <w:rFonts w:eastAsia="Times New Roman" w:cs="Times New Roman"/>
                <w:color w:val="3F3F3F"/>
                <w:lang w:eastAsia="hr-HR"/>
              </w:rPr>
              <w:t>4</w:t>
            </w:r>
            <w:r w:rsidRPr="000E19D8">
              <w:rPr>
                <w:rFonts w:eastAsia="Times New Roman" w:cs="Times New Roman"/>
                <w:color w:val="3F3F3F"/>
                <w:lang w:eastAsia="hr-HR"/>
              </w:rPr>
              <w:t>.</w:t>
            </w:r>
          </w:p>
        </w:tc>
        <w:tc>
          <w:tcPr>
            <w:tcW w:w="2935"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243BD3AF"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Matija Gubec</w:t>
            </w:r>
          </w:p>
        </w:tc>
        <w:tc>
          <w:tcPr>
            <w:tcW w:w="1761" w:type="dxa"/>
            <w:tcBorders>
              <w:top w:val="single" w:sz="8" w:space="0" w:color="F3CFC1"/>
              <w:left w:val="single" w:sz="8" w:space="0" w:color="D2232A"/>
              <w:bottom w:val="single" w:sz="8" w:space="0" w:color="F3CFC1"/>
              <w:right w:val="single" w:sz="8" w:space="0" w:color="D2232A"/>
            </w:tcBorders>
            <w:shd w:val="clear" w:color="auto" w:fill="FFFFFF"/>
            <w:noWrap/>
          </w:tcPr>
          <w:p w14:paraId="26349F4B"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97</w:t>
            </w:r>
          </w:p>
        </w:tc>
        <w:tc>
          <w:tcPr>
            <w:tcW w:w="1455" w:type="dxa"/>
            <w:tcBorders>
              <w:top w:val="single" w:sz="8" w:space="0" w:color="F3CFC1"/>
              <w:left w:val="single" w:sz="8" w:space="0" w:color="D2232A"/>
              <w:bottom w:val="single" w:sz="8" w:space="0" w:color="F3CFC1"/>
              <w:right w:val="single" w:sz="8" w:space="0" w:color="D2232A"/>
            </w:tcBorders>
            <w:shd w:val="clear" w:color="auto" w:fill="FFFFFF"/>
            <w:noWrap/>
          </w:tcPr>
          <w:p w14:paraId="4BCFB4FF"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134</w:t>
            </w:r>
          </w:p>
        </w:tc>
        <w:tc>
          <w:tcPr>
            <w:tcW w:w="2170"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7A5F6FAD"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r w:rsidR="002F0BCD" w:rsidRPr="000E19D8" w14:paraId="6C97AC25" w14:textId="77777777" w:rsidTr="002F0BCD">
        <w:trPr>
          <w:trHeight w:val="300"/>
        </w:trPr>
        <w:tc>
          <w:tcPr>
            <w:tcW w:w="751"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1B3099D0" w14:textId="77777777" w:rsidR="002F0BCD" w:rsidRPr="000E19D8" w:rsidRDefault="002F0BCD" w:rsidP="00E0639E">
            <w:pPr>
              <w:rPr>
                <w:rFonts w:eastAsia="Times New Roman" w:cs="Times New Roman"/>
                <w:color w:val="3F3F3F"/>
                <w:lang w:eastAsia="hr-HR"/>
              </w:rPr>
            </w:pPr>
            <w:r>
              <w:rPr>
                <w:rFonts w:eastAsia="Times New Roman" w:cs="Times New Roman"/>
                <w:color w:val="3F3F3F"/>
                <w:lang w:eastAsia="hr-HR"/>
              </w:rPr>
              <w:t>5</w:t>
            </w:r>
            <w:r w:rsidRPr="000E19D8">
              <w:rPr>
                <w:rFonts w:eastAsia="Times New Roman" w:cs="Times New Roman"/>
                <w:color w:val="3F3F3F"/>
                <w:lang w:eastAsia="hr-HR"/>
              </w:rPr>
              <w:t>.</w:t>
            </w:r>
          </w:p>
        </w:tc>
        <w:tc>
          <w:tcPr>
            <w:tcW w:w="2935"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328984C0"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Snježna Kraljica</w:t>
            </w:r>
          </w:p>
        </w:tc>
        <w:tc>
          <w:tcPr>
            <w:tcW w:w="1761" w:type="dxa"/>
            <w:tcBorders>
              <w:top w:val="single" w:sz="8" w:space="0" w:color="F3CFC1"/>
              <w:left w:val="single" w:sz="8" w:space="0" w:color="D2232A"/>
              <w:bottom w:val="single" w:sz="8" w:space="0" w:color="F3CFC1"/>
              <w:right w:val="single" w:sz="8" w:space="0" w:color="D2232A"/>
            </w:tcBorders>
            <w:shd w:val="clear" w:color="auto" w:fill="FFFFFF"/>
            <w:noWrap/>
          </w:tcPr>
          <w:p w14:paraId="60B67877"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17</w:t>
            </w:r>
          </w:p>
        </w:tc>
        <w:tc>
          <w:tcPr>
            <w:tcW w:w="1455" w:type="dxa"/>
            <w:tcBorders>
              <w:top w:val="single" w:sz="8" w:space="0" w:color="F3CFC1"/>
              <w:left w:val="single" w:sz="8" w:space="0" w:color="D2232A"/>
              <w:bottom w:val="single" w:sz="8" w:space="0" w:color="F3CFC1"/>
              <w:right w:val="single" w:sz="8" w:space="0" w:color="D2232A"/>
            </w:tcBorders>
            <w:shd w:val="clear" w:color="auto" w:fill="FFFFFF"/>
            <w:noWrap/>
          </w:tcPr>
          <w:p w14:paraId="53384858"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38</w:t>
            </w:r>
          </w:p>
        </w:tc>
        <w:tc>
          <w:tcPr>
            <w:tcW w:w="2170"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313C2D03"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r w:rsidR="002F0BCD" w:rsidRPr="000E19D8" w14:paraId="4877A08C" w14:textId="77777777" w:rsidTr="002F0BCD">
        <w:trPr>
          <w:trHeight w:val="300"/>
        </w:trPr>
        <w:tc>
          <w:tcPr>
            <w:tcW w:w="751"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11B40267" w14:textId="77777777" w:rsidR="002F0BCD" w:rsidRPr="000E19D8" w:rsidRDefault="002F0BCD" w:rsidP="00E0639E">
            <w:pPr>
              <w:rPr>
                <w:rFonts w:eastAsia="Times New Roman" w:cs="Times New Roman"/>
                <w:color w:val="3F3F3F"/>
                <w:lang w:eastAsia="hr-HR"/>
              </w:rPr>
            </w:pPr>
            <w:r>
              <w:rPr>
                <w:rFonts w:eastAsia="Times New Roman" w:cs="Times New Roman"/>
                <w:color w:val="3F3F3F"/>
                <w:lang w:eastAsia="hr-HR"/>
              </w:rPr>
              <w:t>6</w:t>
            </w:r>
            <w:r w:rsidRPr="000E19D8">
              <w:rPr>
                <w:rFonts w:eastAsia="Times New Roman" w:cs="Times New Roman"/>
                <w:color w:val="3F3F3F"/>
                <w:lang w:eastAsia="hr-HR"/>
              </w:rPr>
              <w:t>.</w:t>
            </w:r>
          </w:p>
        </w:tc>
        <w:tc>
          <w:tcPr>
            <w:tcW w:w="2935"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41CCDFBE"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Dvorac Bežanec</w:t>
            </w:r>
          </w:p>
        </w:tc>
        <w:tc>
          <w:tcPr>
            <w:tcW w:w="1761" w:type="dxa"/>
            <w:tcBorders>
              <w:top w:val="single" w:sz="8" w:space="0" w:color="F3CFC1"/>
              <w:left w:val="single" w:sz="8" w:space="0" w:color="D2232A"/>
              <w:bottom w:val="single" w:sz="8" w:space="0" w:color="F3CFC1"/>
              <w:right w:val="single" w:sz="8" w:space="0" w:color="D2232A"/>
            </w:tcBorders>
            <w:shd w:val="clear" w:color="auto" w:fill="FFFFFF"/>
            <w:noWrap/>
          </w:tcPr>
          <w:p w14:paraId="6BB049F2"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19</w:t>
            </w:r>
          </w:p>
        </w:tc>
        <w:tc>
          <w:tcPr>
            <w:tcW w:w="1455" w:type="dxa"/>
            <w:tcBorders>
              <w:top w:val="single" w:sz="8" w:space="0" w:color="F3CFC1"/>
              <w:left w:val="single" w:sz="8" w:space="0" w:color="D2232A"/>
              <w:bottom w:val="single" w:sz="8" w:space="0" w:color="F3CFC1"/>
              <w:right w:val="single" w:sz="8" w:space="0" w:color="D2232A"/>
            </w:tcBorders>
            <w:shd w:val="clear" w:color="auto" w:fill="FFFFFF"/>
            <w:noWrap/>
          </w:tcPr>
          <w:p w14:paraId="6511C585"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40</w:t>
            </w:r>
          </w:p>
        </w:tc>
        <w:tc>
          <w:tcPr>
            <w:tcW w:w="2170"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75D35BDA"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r w:rsidR="002F0BCD" w:rsidRPr="000E19D8" w14:paraId="57CAACBB" w14:textId="77777777" w:rsidTr="002F0BCD">
        <w:trPr>
          <w:trHeight w:val="300"/>
        </w:trPr>
        <w:tc>
          <w:tcPr>
            <w:tcW w:w="751"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3056F97F" w14:textId="77777777" w:rsidR="002F0BCD" w:rsidRPr="000E19D8" w:rsidRDefault="002F0BCD" w:rsidP="00E0639E">
            <w:pPr>
              <w:rPr>
                <w:rFonts w:eastAsia="Times New Roman" w:cs="Times New Roman"/>
                <w:color w:val="3F3F3F"/>
                <w:lang w:eastAsia="hr-HR"/>
              </w:rPr>
            </w:pPr>
            <w:r>
              <w:rPr>
                <w:rFonts w:eastAsia="Times New Roman" w:cs="Times New Roman"/>
                <w:color w:val="3F3F3F"/>
                <w:lang w:eastAsia="hr-HR"/>
              </w:rPr>
              <w:t>7</w:t>
            </w:r>
            <w:r w:rsidRPr="000E19D8">
              <w:rPr>
                <w:rFonts w:eastAsia="Times New Roman" w:cs="Times New Roman"/>
                <w:color w:val="3F3F3F"/>
                <w:lang w:eastAsia="hr-HR"/>
              </w:rPr>
              <w:t>.</w:t>
            </w:r>
          </w:p>
        </w:tc>
        <w:tc>
          <w:tcPr>
            <w:tcW w:w="2935"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13AE406D"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Dvorac Gjalski</w:t>
            </w:r>
          </w:p>
        </w:tc>
        <w:tc>
          <w:tcPr>
            <w:tcW w:w="1761" w:type="dxa"/>
            <w:tcBorders>
              <w:top w:val="single" w:sz="8" w:space="0" w:color="F3CFC1"/>
              <w:left w:val="single" w:sz="8" w:space="0" w:color="D2232A"/>
              <w:bottom w:val="single" w:sz="8" w:space="0" w:color="F3CFC1"/>
              <w:right w:val="single" w:sz="8" w:space="0" w:color="D2232A"/>
            </w:tcBorders>
            <w:shd w:val="clear" w:color="auto" w:fill="FFFFFF"/>
            <w:noWrap/>
          </w:tcPr>
          <w:p w14:paraId="1EEA4D6C"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20</w:t>
            </w:r>
          </w:p>
        </w:tc>
        <w:tc>
          <w:tcPr>
            <w:tcW w:w="1455" w:type="dxa"/>
            <w:tcBorders>
              <w:top w:val="single" w:sz="8" w:space="0" w:color="F3CFC1"/>
              <w:left w:val="single" w:sz="8" w:space="0" w:color="D2232A"/>
              <w:bottom w:val="single" w:sz="8" w:space="0" w:color="F3CFC1"/>
              <w:right w:val="single" w:sz="8" w:space="0" w:color="D2232A"/>
            </w:tcBorders>
            <w:shd w:val="clear" w:color="auto" w:fill="FFFFFF"/>
            <w:noWrap/>
          </w:tcPr>
          <w:p w14:paraId="1DA8E813"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41</w:t>
            </w:r>
          </w:p>
        </w:tc>
        <w:tc>
          <w:tcPr>
            <w:tcW w:w="2170"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73DBF173" w14:textId="77777777" w:rsidR="002F0BCD" w:rsidRPr="000E19D8" w:rsidRDefault="002F0BCD" w:rsidP="00E0639E">
            <w:pPr>
              <w:jc w:val="right"/>
              <w:rPr>
                <w:rFonts w:eastAsia="Times New Roman" w:cs="Times New Roman"/>
                <w:color w:val="3F3F3F"/>
                <w:lang w:eastAsia="hr-HR"/>
              </w:rPr>
            </w:pPr>
            <w:r>
              <w:rPr>
                <w:rFonts w:eastAsia="Times New Roman" w:cs="Times New Roman"/>
                <w:color w:val="3F3F3F"/>
                <w:lang w:eastAsia="hr-HR"/>
              </w:rPr>
              <w:t>*</w:t>
            </w:r>
            <w:r w:rsidRPr="000E19D8">
              <w:rPr>
                <w:rFonts w:eastAsia="Times New Roman" w:cs="Times New Roman"/>
                <w:color w:val="3F3F3F"/>
                <w:lang w:eastAsia="hr-HR"/>
              </w:rPr>
              <w:t>***</w:t>
            </w:r>
          </w:p>
        </w:tc>
      </w:tr>
      <w:tr w:rsidR="002F0BCD" w:rsidRPr="000E19D8" w14:paraId="2DD78E3B" w14:textId="77777777" w:rsidTr="002F0BCD">
        <w:trPr>
          <w:trHeight w:val="300"/>
        </w:trPr>
        <w:tc>
          <w:tcPr>
            <w:tcW w:w="751"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155167C4" w14:textId="77777777" w:rsidR="002F0BCD" w:rsidRPr="000E19D8" w:rsidRDefault="002F0BCD" w:rsidP="00E0639E">
            <w:pPr>
              <w:rPr>
                <w:rFonts w:eastAsia="Times New Roman" w:cs="Times New Roman"/>
                <w:color w:val="3F3F3F"/>
                <w:lang w:eastAsia="hr-HR"/>
              </w:rPr>
            </w:pPr>
            <w:r>
              <w:rPr>
                <w:rFonts w:eastAsia="Times New Roman" w:cs="Times New Roman"/>
                <w:color w:val="3F3F3F"/>
                <w:lang w:eastAsia="hr-HR"/>
              </w:rPr>
              <w:t>8</w:t>
            </w:r>
            <w:r w:rsidRPr="000E19D8">
              <w:rPr>
                <w:rFonts w:eastAsia="Times New Roman" w:cs="Times New Roman"/>
                <w:color w:val="3F3F3F"/>
                <w:lang w:eastAsia="hr-HR"/>
              </w:rPr>
              <w:t>.</w:t>
            </w:r>
          </w:p>
        </w:tc>
        <w:tc>
          <w:tcPr>
            <w:tcW w:w="2935"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6F0677E8"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Villa Magdalena</w:t>
            </w:r>
          </w:p>
        </w:tc>
        <w:tc>
          <w:tcPr>
            <w:tcW w:w="1761" w:type="dxa"/>
            <w:tcBorders>
              <w:top w:val="single" w:sz="8" w:space="0" w:color="F3CFC1"/>
              <w:left w:val="single" w:sz="8" w:space="0" w:color="D2232A"/>
              <w:bottom w:val="single" w:sz="8" w:space="0" w:color="F3CFC1"/>
              <w:right w:val="single" w:sz="8" w:space="0" w:color="D2232A"/>
            </w:tcBorders>
            <w:shd w:val="clear" w:color="auto" w:fill="FFFFFF"/>
            <w:noWrap/>
          </w:tcPr>
          <w:p w14:paraId="6632F7D7"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24</w:t>
            </w:r>
          </w:p>
        </w:tc>
        <w:tc>
          <w:tcPr>
            <w:tcW w:w="1455" w:type="dxa"/>
            <w:tcBorders>
              <w:top w:val="single" w:sz="8" w:space="0" w:color="F3CFC1"/>
              <w:left w:val="single" w:sz="8" w:space="0" w:color="D2232A"/>
              <w:bottom w:val="single" w:sz="8" w:space="0" w:color="F3CFC1"/>
              <w:right w:val="single" w:sz="8" w:space="0" w:color="D2232A"/>
            </w:tcBorders>
            <w:shd w:val="clear" w:color="auto" w:fill="FFFFFF"/>
            <w:noWrap/>
          </w:tcPr>
          <w:p w14:paraId="4C5AD6FC"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52</w:t>
            </w:r>
          </w:p>
        </w:tc>
        <w:tc>
          <w:tcPr>
            <w:tcW w:w="2170"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53F66041"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r w:rsidR="002F0BCD" w:rsidRPr="000E19D8" w14:paraId="5ED42187" w14:textId="77777777" w:rsidTr="002F0BCD">
        <w:trPr>
          <w:trHeight w:val="300"/>
        </w:trPr>
        <w:tc>
          <w:tcPr>
            <w:tcW w:w="751"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4178477F" w14:textId="77777777" w:rsidR="002F0BCD" w:rsidRPr="000E19D8" w:rsidRDefault="002F0BCD" w:rsidP="00E0639E">
            <w:pPr>
              <w:rPr>
                <w:rFonts w:eastAsia="Times New Roman" w:cs="Times New Roman"/>
                <w:color w:val="3F3F3F"/>
                <w:lang w:eastAsia="hr-HR"/>
              </w:rPr>
            </w:pPr>
            <w:r>
              <w:rPr>
                <w:rFonts w:eastAsia="Times New Roman" w:cs="Times New Roman"/>
                <w:color w:val="3F3F3F"/>
                <w:lang w:eastAsia="hr-HR"/>
              </w:rPr>
              <w:t>9</w:t>
            </w:r>
            <w:r w:rsidRPr="000E19D8">
              <w:rPr>
                <w:rFonts w:eastAsia="Times New Roman" w:cs="Times New Roman"/>
                <w:color w:val="3F3F3F"/>
                <w:lang w:eastAsia="hr-HR"/>
              </w:rPr>
              <w:t>.</w:t>
            </w:r>
          </w:p>
        </w:tc>
        <w:tc>
          <w:tcPr>
            <w:tcW w:w="2935"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3E5BB9B7"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Hotel Puntar</w:t>
            </w:r>
          </w:p>
        </w:tc>
        <w:tc>
          <w:tcPr>
            <w:tcW w:w="1761" w:type="dxa"/>
            <w:tcBorders>
              <w:top w:val="single" w:sz="8" w:space="0" w:color="F3CFC1"/>
              <w:left w:val="single" w:sz="8" w:space="0" w:color="D2232A"/>
              <w:bottom w:val="single" w:sz="8" w:space="0" w:color="F3CFC1"/>
              <w:right w:val="single" w:sz="8" w:space="0" w:color="D2232A"/>
            </w:tcBorders>
            <w:shd w:val="clear" w:color="auto" w:fill="FFFFFF"/>
            <w:noWrap/>
          </w:tcPr>
          <w:p w14:paraId="5FF06E81"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9</w:t>
            </w:r>
          </w:p>
        </w:tc>
        <w:tc>
          <w:tcPr>
            <w:tcW w:w="1455" w:type="dxa"/>
            <w:tcBorders>
              <w:top w:val="single" w:sz="8" w:space="0" w:color="F3CFC1"/>
              <w:left w:val="single" w:sz="8" w:space="0" w:color="D2232A"/>
              <w:bottom w:val="single" w:sz="8" w:space="0" w:color="F3CFC1"/>
              <w:right w:val="single" w:sz="8" w:space="0" w:color="D2232A"/>
            </w:tcBorders>
            <w:shd w:val="clear" w:color="auto" w:fill="FFFFFF"/>
            <w:noWrap/>
          </w:tcPr>
          <w:p w14:paraId="25CC4094"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18</w:t>
            </w:r>
          </w:p>
        </w:tc>
        <w:tc>
          <w:tcPr>
            <w:tcW w:w="2170"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27D62EF4"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r w:rsidR="002F0BCD" w:rsidRPr="000E19D8" w14:paraId="67F7A66B" w14:textId="77777777" w:rsidTr="002F0BCD">
        <w:trPr>
          <w:trHeight w:val="300"/>
        </w:trPr>
        <w:tc>
          <w:tcPr>
            <w:tcW w:w="751"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0B171E8C"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1</w:t>
            </w:r>
            <w:r>
              <w:rPr>
                <w:rFonts w:eastAsia="Times New Roman" w:cs="Times New Roman"/>
                <w:color w:val="3F3F3F"/>
                <w:lang w:eastAsia="hr-HR"/>
              </w:rPr>
              <w:t>0</w:t>
            </w:r>
            <w:r w:rsidRPr="000E19D8">
              <w:rPr>
                <w:rFonts w:eastAsia="Times New Roman" w:cs="Times New Roman"/>
                <w:color w:val="3F3F3F"/>
                <w:lang w:eastAsia="hr-HR"/>
              </w:rPr>
              <w:t>.</w:t>
            </w:r>
          </w:p>
        </w:tc>
        <w:tc>
          <w:tcPr>
            <w:tcW w:w="2935"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10FBA6EC"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Hotel &amp; Restoran SE MI</w:t>
            </w:r>
          </w:p>
        </w:tc>
        <w:tc>
          <w:tcPr>
            <w:tcW w:w="1761" w:type="dxa"/>
            <w:tcBorders>
              <w:top w:val="single" w:sz="8" w:space="0" w:color="F3CFC1"/>
              <w:left w:val="single" w:sz="8" w:space="0" w:color="D2232A"/>
              <w:bottom w:val="single" w:sz="8" w:space="0" w:color="F3CFC1"/>
              <w:right w:val="single" w:sz="8" w:space="0" w:color="D2232A"/>
            </w:tcBorders>
            <w:shd w:val="clear" w:color="auto" w:fill="FFFFFF"/>
            <w:noWrap/>
          </w:tcPr>
          <w:p w14:paraId="213F58D8"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8</w:t>
            </w:r>
          </w:p>
        </w:tc>
        <w:tc>
          <w:tcPr>
            <w:tcW w:w="1455" w:type="dxa"/>
            <w:tcBorders>
              <w:top w:val="single" w:sz="8" w:space="0" w:color="F3CFC1"/>
              <w:left w:val="single" w:sz="8" w:space="0" w:color="D2232A"/>
              <w:bottom w:val="single" w:sz="8" w:space="0" w:color="F3CFC1"/>
              <w:right w:val="single" w:sz="8" w:space="0" w:color="D2232A"/>
            </w:tcBorders>
            <w:shd w:val="clear" w:color="auto" w:fill="FFFFFF"/>
            <w:noWrap/>
          </w:tcPr>
          <w:p w14:paraId="16401749"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15</w:t>
            </w:r>
          </w:p>
        </w:tc>
        <w:tc>
          <w:tcPr>
            <w:tcW w:w="2170" w:type="dxa"/>
            <w:tcBorders>
              <w:top w:val="single" w:sz="8" w:space="0" w:color="F3CFC1"/>
              <w:left w:val="single" w:sz="8" w:space="0" w:color="D2232A"/>
              <w:bottom w:val="single" w:sz="8" w:space="0" w:color="F3CFC1"/>
              <w:right w:val="single" w:sz="8" w:space="0" w:color="D2232A"/>
            </w:tcBorders>
            <w:shd w:val="clear" w:color="auto" w:fill="FFFFFF"/>
            <w:noWrap/>
            <w:vAlign w:val="bottom"/>
            <w:hideMark/>
          </w:tcPr>
          <w:p w14:paraId="33CA0391"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r w:rsidR="002F0BCD" w:rsidRPr="000E19D8" w14:paraId="286EFDC9" w14:textId="77777777" w:rsidTr="002F0BCD">
        <w:trPr>
          <w:trHeight w:val="300"/>
        </w:trPr>
        <w:tc>
          <w:tcPr>
            <w:tcW w:w="751" w:type="dxa"/>
            <w:tcBorders>
              <w:top w:val="single" w:sz="8" w:space="0" w:color="F3CFC1"/>
              <w:left w:val="single" w:sz="8" w:space="0" w:color="D2232A"/>
              <w:bottom w:val="single" w:sz="4" w:space="0" w:color="DE3C43"/>
              <w:right w:val="single" w:sz="8" w:space="0" w:color="D2232A"/>
            </w:tcBorders>
            <w:shd w:val="clear" w:color="auto" w:fill="FFFFFF"/>
            <w:noWrap/>
            <w:vAlign w:val="bottom"/>
            <w:hideMark/>
          </w:tcPr>
          <w:p w14:paraId="22B8416C"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1</w:t>
            </w:r>
            <w:r>
              <w:rPr>
                <w:rFonts w:eastAsia="Times New Roman" w:cs="Times New Roman"/>
                <w:color w:val="3F3F3F"/>
                <w:lang w:eastAsia="hr-HR"/>
              </w:rPr>
              <w:t>1</w:t>
            </w:r>
            <w:r w:rsidRPr="000E19D8">
              <w:rPr>
                <w:rFonts w:eastAsia="Times New Roman" w:cs="Times New Roman"/>
                <w:color w:val="3F3F3F"/>
                <w:lang w:eastAsia="hr-HR"/>
              </w:rPr>
              <w:t>.</w:t>
            </w:r>
          </w:p>
        </w:tc>
        <w:tc>
          <w:tcPr>
            <w:tcW w:w="2935" w:type="dxa"/>
            <w:tcBorders>
              <w:top w:val="single" w:sz="8" w:space="0" w:color="F3CFC1"/>
              <w:left w:val="single" w:sz="8" w:space="0" w:color="D2232A"/>
              <w:bottom w:val="single" w:sz="4" w:space="0" w:color="DE3C43"/>
              <w:right w:val="single" w:sz="8" w:space="0" w:color="D2232A"/>
            </w:tcBorders>
            <w:shd w:val="clear" w:color="auto" w:fill="FFFFFF"/>
            <w:noWrap/>
            <w:vAlign w:val="bottom"/>
            <w:hideMark/>
          </w:tcPr>
          <w:p w14:paraId="11B28AF4" w14:textId="77777777" w:rsidR="002F0BCD" w:rsidRPr="000E19D8" w:rsidRDefault="002F0BCD" w:rsidP="00E0639E">
            <w:pPr>
              <w:rPr>
                <w:rFonts w:eastAsia="Times New Roman" w:cs="Times New Roman"/>
                <w:color w:val="3F3F3F"/>
                <w:lang w:eastAsia="hr-HR"/>
              </w:rPr>
            </w:pPr>
            <w:r w:rsidRPr="000E19D8">
              <w:rPr>
                <w:rFonts w:eastAsia="Times New Roman" w:cs="Times New Roman"/>
                <w:color w:val="3F3F3F"/>
                <w:lang w:eastAsia="hr-HR"/>
              </w:rPr>
              <w:t>Hotel i pansion ZAGI</w:t>
            </w:r>
          </w:p>
        </w:tc>
        <w:tc>
          <w:tcPr>
            <w:tcW w:w="1761" w:type="dxa"/>
            <w:tcBorders>
              <w:top w:val="single" w:sz="8" w:space="0" w:color="F3CFC1"/>
              <w:left w:val="single" w:sz="8" w:space="0" w:color="D2232A"/>
              <w:bottom w:val="single" w:sz="4" w:space="0" w:color="DE3C43"/>
              <w:right w:val="single" w:sz="8" w:space="0" w:color="D2232A"/>
            </w:tcBorders>
            <w:shd w:val="clear" w:color="auto" w:fill="FFFFFF"/>
            <w:noWrap/>
          </w:tcPr>
          <w:p w14:paraId="09896765"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10</w:t>
            </w:r>
          </w:p>
        </w:tc>
        <w:tc>
          <w:tcPr>
            <w:tcW w:w="1455" w:type="dxa"/>
            <w:tcBorders>
              <w:top w:val="single" w:sz="8" w:space="0" w:color="F3CFC1"/>
              <w:left w:val="single" w:sz="8" w:space="0" w:color="D2232A"/>
              <w:bottom w:val="single" w:sz="4" w:space="0" w:color="DE3C43"/>
              <w:right w:val="single" w:sz="8" w:space="0" w:color="D2232A"/>
            </w:tcBorders>
            <w:shd w:val="clear" w:color="auto" w:fill="FFFFFF"/>
            <w:noWrap/>
          </w:tcPr>
          <w:p w14:paraId="77503C5E" w14:textId="77777777" w:rsidR="002F0BCD" w:rsidRPr="00933111" w:rsidRDefault="002F0BCD" w:rsidP="00E0639E">
            <w:pPr>
              <w:autoSpaceDE w:val="0"/>
              <w:autoSpaceDN w:val="0"/>
              <w:adjustRightInd w:val="0"/>
              <w:jc w:val="right"/>
              <w:rPr>
                <w:rFonts w:eastAsia="ArialNarrow" w:cs="Calibri"/>
                <w:color w:val="3F3F3F"/>
                <w:szCs w:val="18"/>
              </w:rPr>
            </w:pPr>
            <w:r w:rsidRPr="00933111">
              <w:rPr>
                <w:szCs w:val="18"/>
              </w:rPr>
              <w:t>25</w:t>
            </w:r>
          </w:p>
        </w:tc>
        <w:tc>
          <w:tcPr>
            <w:tcW w:w="2170" w:type="dxa"/>
            <w:tcBorders>
              <w:top w:val="single" w:sz="8" w:space="0" w:color="F3CFC1"/>
              <w:left w:val="single" w:sz="8" w:space="0" w:color="D2232A"/>
              <w:bottom w:val="single" w:sz="4" w:space="0" w:color="DE3C43"/>
              <w:right w:val="single" w:sz="8" w:space="0" w:color="D2232A"/>
            </w:tcBorders>
            <w:shd w:val="clear" w:color="auto" w:fill="FFFFFF"/>
            <w:noWrap/>
            <w:vAlign w:val="bottom"/>
            <w:hideMark/>
          </w:tcPr>
          <w:p w14:paraId="5C28E892" w14:textId="77777777" w:rsidR="002F0BCD" w:rsidRPr="000E19D8" w:rsidRDefault="002F0BCD" w:rsidP="00E0639E">
            <w:pPr>
              <w:jc w:val="right"/>
              <w:rPr>
                <w:rFonts w:eastAsia="Times New Roman" w:cs="Times New Roman"/>
                <w:color w:val="3F3F3F"/>
                <w:lang w:eastAsia="hr-HR"/>
              </w:rPr>
            </w:pPr>
            <w:r w:rsidRPr="000E19D8">
              <w:rPr>
                <w:rFonts w:eastAsia="Times New Roman" w:cs="Times New Roman"/>
                <w:color w:val="3F3F3F"/>
                <w:lang w:eastAsia="hr-HR"/>
              </w:rPr>
              <w:t>***</w:t>
            </w:r>
          </w:p>
        </w:tc>
      </w:tr>
    </w:tbl>
    <w:p w14:paraId="0D962AE3" w14:textId="50295744" w:rsidR="008878A0" w:rsidRPr="0035368C" w:rsidRDefault="008878A0"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Izvor: Turistička zajednica Kr</w:t>
      </w:r>
      <w:r w:rsidR="009812E4" w:rsidRPr="0035368C">
        <w:rPr>
          <w:rFonts w:eastAsia="ArialNarrow" w:cstheme="minorHAnsi"/>
          <w:i/>
          <w:color w:val="ABABAB" w:themeColor="text1" w:themeTint="A6"/>
          <w:sz w:val="16"/>
          <w:szCs w:val="16"/>
        </w:rPr>
        <w:t>apinsko-zagorske županije, 2020</w:t>
      </w:r>
      <w:r w:rsidRPr="0035368C">
        <w:rPr>
          <w:rFonts w:eastAsia="ArialNarrow" w:cstheme="minorHAnsi"/>
          <w:i/>
          <w:color w:val="ABABAB" w:themeColor="text1" w:themeTint="A6"/>
          <w:sz w:val="16"/>
          <w:szCs w:val="16"/>
        </w:rPr>
        <w:t xml:space="preserve"> godina</w:t>
      </w:r>
    </w:p>
    <w:p w14:paraId="7C8A38DF" w14:textId="77777777" w:rsidR="00D367A4" w:rsidRDefault="00D367A4" w:rsidP="00855D8D">
      <w:pPr>
        <w:pStyle w:val="Izvor"/>
      </w:pPr>
    </w:p>
    <w:p w14:paraId="54F7F7B1" w14:textId="4535CB55" w:rsidR="008878A0" w:rsidRDefault="0035368C" w:rsidP="006207AF">
      <w:pPr>
        <w:pStyle w:val="podpodnaslov111"/>
      </w:pPr>
      <w:bookmarkStart w:id="175" w:name="_Toc85181343"/>
      <w:r>
        <w:t>1</w:t>
      </w:r>
      <w:r w:rsidR="00B601EE">
        <w:t>1</w:t>
      </w:r>
      <w:r w:rsidR="008878A0">
        <w:t>.2.2. Ključni i sekundarni turistički proizvodi</w:t>
      </w:r>
      <w:bookmarkEnd w:id="175"/>
    </w:p>
    <w:p w14:paraId="47E6281A" w14:textId="77777777" w:rsidR="008878A0" w:rsidRDefault="008878A0" w:rsidP="00941871">
      <w:pPr>
        <w:autoSpaceDE w:val="0"/>
        <w:autoSpaceDN w:val="0"/>
        <w:adjustRightInd w:val="0"/>
        <w:spacing w:after="0" w:line="240" w:lineRule="auto"/>
        <w:rPr>
          <w:rFonts w:ascii="Calibri" w:eastAsia="ArialNarrow" w:hAnsi="Calibri" w:cs="Calibri"/>
        </w:rPr>
      </w:pPr>
    </w:p>
    <w:p w14:paraId="639D4F60" w14:textId="77777777" w:rsidR="008878A0" w:rsidRDefault="008878A0" w:rsidP="00941871">
      <w:pPr>
        <w:autoSpaceDE w:val="0"/>
        <w:autoSpaceDN w:val="0"/>
        <w:adjustRightInd w:val="0"/>
        <w:spacing w:after="0" w:line="240" w:lineRule="auto"/>
        <w:rPr>
          <w:rFonts w:asciiTheme="minorHAnsi" w:eastAsiaTheme="minorHAnsi" w:hAnsiTheme="minorHAnsi"/>
        </w:rPr>
      </w:pPr>
      <w:r>
        <w:t xml:space="preserve">Master-plan razvoja turizma Krapinsko-zagorske županije identificira četiri ključna i tri sekundarna turistička proizvoda s obzirom na mogućnost komercijalizacije istih. Kao ključni proizvodi za razvoj turizma u KZŽ prepoznati su zdravlje, SPA i wellness, obiteljski odmor, poslovni turizam i događanja (MICE) te aktivni, sportski i avanturistički turizam. Kao sekundarni turistički proizvodi izdvojeni su kulturni turizam, vjerski turizam i agroturizam. </w:t>
      </w:r>
    </w:p>
    <w:p w14:paraId="24FAFF3A" w14:textId="77777777" w:rsidR="008878A0" w:rsidRDefault="008878A0" w:rsidP="00941871">
      <w:pPr>
        <w:autoSpaceDE w:val="0"/>
        <w:autoSpaceDN w:val="0"/>
        <w:adjustRightInd w:val="0"/>
        <w:spacing w:after="0" w:line="240" w:lineRule="auto"/>
      </w:pPr>
    </w:p>
    <w:p w14:paraId="4C1E1662" w14:textId="77777777" w:rsidR="008878A0" w:rsidRDefault="008878A0" w:rsidP="00941871">
      <w:pPr>
        <w:autoSpaceDE w:val="0"/>
        <w:autoSpaceDN w:val="0"/>
        <w:adjustRightInd w:val="0"/>
        <w:spacing w:after="0" w:line="240" w:lineRule="auto"/>
      </w:pPr>
      <w:r>
        <w:lastRenderedPageBreak/>
        <w:t>Pregled turističkih proizvoda koji slijedi kao i preporuke vezane uz daljnji razvoj pojedinog proizvoda zasnivaju se na Master-planu.</w:t>
      </w:r>
    </w:p>
    <w:p w14:paraId="6CE4BC25" w14:textId="77777777" w:rsidR="008878A0" w:rsidRDefault="008878A0" w:rsidP="00941871">
      <w:pPr>
        <w:autoSpaceDE w:val="0"/>
        <w:autoSpaceDN w:val="0"/>
        <w:adjustRightInd w:val="0"/>
        <w:spacing w:after="0" w:line="240" w:lineRule="auto"/>
        <w:rPr>
          <w:rFonts w:ascii="Calibri" w:eastAsia="ArialNarrow" w:hAnsi="Calibri" w:cs="Calibri"/>
        </w:rPr>
      </w:pPr>
    </w:p>
    <w:p w14:paraId="1E12C97C" w14:textId="420FCE4F" w:rsidR="008878A0" w:rsidRPr="00CA6F66" w:rsidRDefault="0035368C" w:rsidP="0052192B">
      <w:pPr>
        <w:pStyle w:val="Naslov2"/>
      </w:pPr>
      <w:bookmarkStart w:id="176" w:name="_Toc85181344"/>
      <w:r>
        <w:t>1</w:t>
      </w:r>
      <w:r w:rsidR="00B601EE">
        <w:t>1</w:t>
      </w:r>
      <w:r w:rsidR="008878A0">
        <w:t xml:space="preserve">.3. </w:t>
      </w:r>
      <w:r w:rsidR="008878A0" w:rsidRPr="00CA6F66">
        <w:t>Zdravlje, SPA i wellness</w:t>
      </w:r>
      <w:bookmarkEnd w:id="176"/>
    </w:p>
    <w:p w14:paraId="51C85F34" w14:textId="77777777" w:rsidR="008878A0" w:rsidRPr="00CA6F66" w:rsidRDefault="008878A0" w:rsidP="00941871">
      <w:pPr>
        <w:rPr>
          <w:rFonts w:eastAsiaTheme="minorHAnsi"/>
          <w:i/>
        </w:rPr>
      </w:pPr>
    </w:p>
    <w:p w14:paraId="0EF940D5" w14:textId="072EACC4" w:rsidR="008878A0" w:rsidRDefault="008878A0" w:rsidP="00941871">
      <w:r>
        <w:t xml:space="preserve">Termalni izvori na prostoru KZŽ omogućili su razvoj kupališnog i zdravstvenog turizma. Većina dostupnog hotelskog smještaja (više od 75%) vezana je uz termalni turizam. U odnosu na stanje u 2015. godini, atrakcijska osnova kupališnog turizma ostala je nepromijenjena. Tabela niže daje prikaz kupališnih kapaciteta i sadržaja na području Krapinsko-zagorske županije. </w:t>
      </w:r>
    </w:p>
    <w:p w14:paraId="54A6B660" w14:textId="77777777" w:rsidR="005842B3" w:rsidRDefault="005842B3" w:rsidP="00941871"/>
    <w:p w14:paraId="3CBF0032" w14:textId="14D6C7E1" w:rsidR="001838EE" w:rsidRDefault="001838EE" w:rsidP="003E3F3C">
      <w:pPr>
        <w:pStyle w:val="Opisslike"/>
      </w:pPr>
      <w:r>
        <w:t>Tablica</w:t>
      </w:r>
      <w:r w:rsidR="0035368C">
        <w:t xml:space="preserve"> </w:t>
      </w:r>
      <w:r w:rsidR="00A7185B">
        <w:t>105</w:t>
      </w:r>
      <w:r>
        <w:t xml:space="preserve">. </w:t>
      </w:r>
      <w:r w:rsidRPr="009971EC">
        <w:t>Pregled kupališnih kapaciteta i sadržaja na području KZŽ, 20</w:t>
      </w:r>
      <w:r w:rsidR="003B4514">
        <w:t>20</w:t>
      </w:r>
      <w:r w:rsidRPr="009971EC">
        <w:t>. godina</w:t>
      </w:r>
    </w:p>
    <w:tbl>
      <w:tblPr>
        <w:tblW w:w="5000" w:type="pct"/>
        <w:tblLook w:val="04A0" w:firstRow="1" w:lastRow="0" w:firstColumn="1" w:lastColumn="0" w:noHBand="0" w:noVBand="1"/>
      </w:tblPr>
      <w:tblGrid>
        <w:gridCol w:w="3246"/>
        <w:gridCol w:w="1758"/>
        <w:gridCol w:w="2651"/>
        <w:gridCol w:w="1639"/>
      </w:tblGrid>
      <w:tr w:rsidR="008878A0" w14:paraId="01A66DFD" w14:textId="77777777" w:rsidTr="007F2B15">
        <w:trPr>
          <w:trHeight w:val="469"/>
        </w:trPr>
        <w:tc>
          <w:tcPr>
            <w:tcW w:w="1746" w:type="pct"/>
            <w:tcBorders>
              <w:bottom w:val="single" w:sz="4" w:space="0" w:color="FFFFFF"/>
              <w:right w:val="single" w:sz="4" w:space="0" w:color="FFFFFF"/>
            </w:tcBorders>
            <w:shd w:val="clear" w:color="auto" w:fill="D2232A" w:themeFill="accent1"/>
            <w:vAlign w:val="center"/>
            <w:hideMark/>
          </w:tcPr>
          <w:p w14:paraId="1C130E2F" w14:textId="77777777" w:rsidR="008878A0" w:rsidRPr="00A01C6F" w:rsidRDefault="008878A0" w:rsidP="00A01C6F">
            <w:pPr>
              <w:rPr>
                <w:rFonts w:eastAsia="Times New Roman"/>
                <w:color w:val="FFFFFF" w:themeColor="background1"/>
                <w:lang w:eastAsia="hr-HR"/>
              </w:rPr>
            </w:pPr>
            <w:r w:rsidRPr="00A01C6F">
              <w:rPr>
                <w:rFonts w:eastAsia="Times New Roman"/>
                <w:color w:val="FFFFFF" w:themeColor="background1"/>
                <w:lang w:eastAsia="hr-HR"/>
              </w:rPr>
              <w:t>Naziv objekta</w:t>
            </w:r>
          </w:p>
        </w:tc>
        <w:tc>
          <w:tcPr>
            <w:tcW w:w="946" w:type="pct"/>
            <w:tcBorders>
              <w:left w:val="single" w:sz="4" w:space="0" w:color="FFFFFF"/>
              <w:bottom w:val="single" w:sz="4" w:space="0" w:color="FFFFFF"/>
              <w:right w:val="single" w:sz="4" w:space="0" w:color="FFFFFF"/>
            </w:tcBorders>
            <w:shd w:val="clear" w:color="auto" w:fill="D2232A" w:themeFill="accent1"/>
            <w:vAlign w:val="center"/>
            <w:hideMark/>
          </w:tcPr>
          <w:p w14:paraId="2213CFFB" w14:textId="77777777" w:rsidR="008878A0" w:rsidRPr="00A01C6F" w:rsidRDefault="008878A0" w:rsidP="00A01C6F">
            <w:pPr>
              <w:rPr>
                <w:rFonts w:eastAsia="Times New Roman"/>
                <w:color w:val="FFFFFF" w:themeColor="background1"/>
                <w:lang w:eastAsia="hr-HR"/>
              </w:rPr>
            </w:pPr>
            <w:r w:rsidRPr="00A01C6F">
              <w:rPr>
                <w:rFonts w:eastAsia="Times New Roman"/>
                <w:color w:val="FFFFFF" w:themeColor="background1"/>
                <w:lang w:eastAsia="hr-HR"/>
              </w:rPr>
              <w:t>Lokacija</w:t>
            </w:r>
          </w:p>
        </w:tc>
        <w:tc>
          <w:tcPr>
            <w:tcW w:w="1426" w:type="pct"/>
            <w:tcBorders>
              <w:left w:val="single" w:sz="4" w:space="0" w:color="FFFFFF"/>
              <w:bottom w:val="single" w:sz="4" w:space="0" w:color="FFFFFF"/>
              <w:right w:val="single" w:sz="4" w:space="0" w:color="FFFFFF"/>
            </w:tcBorders>
            <w:shd w:val="clear" w:color="auto" w:fill="D2232A" w:themeFill="accent1"/>
            <w:vAlign w:val="center"/>
            <w:hideMark/>
          </w:tcPr>
          <w:p w14:paraId="6D1E9EC8" w14:textId="77777777" w:rsidR="008878A0" w:rsidRPr="00A01C6F" w:rsidRDefault="008878A0" w:rsidP="00A01C6F">
            <w:pPr>
              <w:rPr>
                <w:rFonts w:eastAsia="Times New Roman"/>
                <w:color w:val="FFFFFF" w:themeColor="background1"/>
                <w:lang w:eastAsia="hr-HR"/>
              </w:rPr>
            </w:pPr>
            <w:r w:rsidRPr="00A01C6F">
              <w:rPr>
                <w:rFonts w:eastAsia="Times New Roman"/>
                <w:color w:val="FFFFFF" w:themeColor="background1"/>
                <w:lang w:eastAsia="hr-HR"/>
              </w:rPr>
              <w:t>Sadržaji</w:t>
            </w:r>
          </w:p>
        </w:tc>
        <w:tc>
          <w:tcPr>
            <w:tcW w:w="882" w:type="pct"/>
            <w:tcBorders>
              <w:left w:val="single" w:sz="4" w:space="0" w:color="FFFFFF"/>
              <w:bottom w:val="single" w:sz="4" w:space="0" w:color="FFFFFF"/>
              <w:right w:val="single" w:sz="8" w:space="0" w:color="D2232A"/>
            </w:tcBorders>
            <w:shd w:val="clear" w:color="auto" w:fill="D2232A" w:themeFill="accent1"/>
            <w:vAlign w:val="center"/>
            <w:hideMark/>
          </w:tcPr>
          <w:p w14:paraId="4ABE4D40" w14:textId="77777777" w:rsidR="008878A0" w:rsidRPr="00A01C6F" w:rsidRDefault="008878A0" w:rsidP="00A01C6F">
            <w:pPr>
              <w:jc w:val="center"/>
              <w:rPr>
                <w:rFonts w:eastAsia="Times New Roman"/>
                <w:color w:val="FFFFFF" w:themeColor="background1"/>
                <w:lang w:eastAsia="hr-HR"/>
              </w:rPr>
            </w:pPr>
            <w:r w:rsidRPr="00A01C6F">
              <w:rPr>
                <w:rFonts w:eastAsia="Times New Roman"/>
                <w:color w:val="FFFFFF" w:themeColor="background1"/>
                <w:lang w:eastAsia="hr-HR"/>
              </w:rPr>
              <w:t>Kapacitet – kupači</w:t>
            </w:r>
          </w:p>
        </w:tc>
      </w:tr>
      <w:tr w:rsidR="008878A0" w14:paraId="29D4D094" w14:textId="77777777" w:rsidTr="007F2B15">
        <w:trPr>
          <w:trHeight w:val="276"/>
        </w:trPr>
        <w:tc>
          <w:tcPr>
            <w:tcW w:w="1746" w:type="pct"/>
            <w:tcBorders>
              <w:top w:val="single" w:sz="4" w:space="0" w:color="FFFFFF"/>
              <w:bottom w:val="single" w:sz="8" w:space="0" w:color="F3CFC1"/>
            </w:tcBorders>
            <w:shd w:val="clear" w:color="auto" w:fill="D2232A" w:themeFill="accent1"/>
            <w:vAlign w:val="center"/>
            <w:hideMark/>
          </w:tcPr>
          <w:p w14:paraId="68D63F4D" w14:textId="77777777" w:rsidR="008878A0" w:rsidRPr="00A01C6F" w:rsidRDefault="008878A0" w:rsidP="00A01C6F">
            <w:pPr>
              <w:jc w:val="left"/>
              <w:rPr>
                <w:rFonts w:eastAsia="Times New Roman"/>
                <w:color w:val="FFFFFF" w:themeColor="background1"/>
                <w:lang w:eastAsia="hr-HR"/>
              </w:rPr>
            </w:pPr>
            <w:r w:rsidRPr="00A01C6F">
              <w:rPr>
                <w:rFonts w:eastAsia="Times New Roman"/>
                <w:color w:val="FFFFFF" w:themeColor="background1"/>
                <w:lang w:eastAsia="hr-HR"/>
              </w:rPr>
              <w:t>Hotel Matija Gubec - Terme Stubaki</w:t>
            </w:r>
          </w:p>
        </w:tc>
        <w:tc>
          <w:tcPr>
            <w:tcW w:w="946" w:type="pct"/>
            <w:tcBorders>
              <w:top w:val="single" w:sz="4" w:space="0" w:color="FFFFFF"/>
              <w:bottom w:val="single" w:sz="8" w:space="0" w:color="F3CFC1"/>
              <w:right w:val="single" w:sz="8" w:space="0" w:color="D2232A"/>
            </w:tcBorders>
            <w:shd w:val="clear" w:color="auto" w:fill="FFFFFF"/>
            <w:vAlign w:val="center"/>
            <w:hideMark/>
          </w:tcPr>
          <w:p w14:paraId="7E47563F" w14:textId="77777777" w:rsidR="008878A0" w:rsidRPr="00A01C6F" w:rsidRDefault="008878A0" w:rsidP="00A01C6F">
            <w:pPr>
              <w:jc w:val="left"/>
              <w:rPr>
                <w:rFonts w:eastAsia="Times New Roman"/>
                <w:lang w:eastAsia="hr-HR"/>
              </w:rPr>
            </w:pPr>
            <w:r w:rsidRPr="00A01C6F">
              <w:rPr>
                <w:rFonts w:eastAsia="Times New Roman"/>
                <w:lang w:eastAsia="hr-HR"/>
              </w:rPr>
              <w:t>Stubičke Toplice</w:t>
            </w:r>
          </w:p>
        </w:tc>
        <w:tc>
          <w:tcPr>
            <w:tcW w:w="1426" w:type="pct"/>
            <w:tcBorders>
              <w:top w:val="single" w:sz="4" w:space="0" w:color="FFFFFF"/>
              <w:left w:val="single" w:sz="8" w:space="0" w:color="D2232A"/>
              <w:bottom w:val="single" w:sz="8" w:space="0" w:color="F3CFC1"/>
              <w:right w:val="single" w:sz="8" w:space="0" w:color="D2232A"/>
            </w:tcBorders>
            <w:shd w:val="clear" w:color="auto" w:fill="FFFFFF"/>
            <w:vAlign w:val="center"/>
            <w:hideMark/>
          </w:tcPr>
          <w:p w14:paraId="11C49C0F" w14:textId="77777777" w:rsidR="008878A0" w:rsidRPr="00A01C6F" w:rsidRDefault="008878A0" w:rsidP="00A01C6F">
            <w:pPr>
              <w:jc w:val="left"/>
              <w:rPr>
                <w:rFonts w:eastAsia="Times New Roman"/>
                <w:lang w:eastAsia="hr-HR"/>
              </w:rPr>
            </w:pPr>
            <w:r w:rsidRPr="00A01C6F">
              <w:rPr>
                <w:rFonts w:eastAsia="Times New Roman"/>
                <w:lang w:eastAsia="hr-HR"/>
              </w:rPr>
              <w:t>Bazen</w:t>
            </w:r>
          </w:p>
        </w:tc>
        <w:tc>
          <w:tcPr>
            <w:tcW w:w="882" w:type="pct"/>
            <w:tcBorders>
              <w:top w:val="single" w:sz="4" w:space="0" w:color="FFFFFF"/>
              <w:left w:val="single" w:sz="8" w:space="0" w:color="D2232A"/>
              <w:bottom w:val="single" w:sz="8" w:space="0" w:color="F3CFC1"/>
              <w:right w:val="single" w:sz="8" w:space="0" w:color="D2232A"/>
            </w:tcBorders>
            <w:shd w:val="clear" w:color="auto" w:fill="FFFFFF"/>
            <w:vAlign w:val="center"/>
            <w:hideMark/>
          </w:tcPr>
          <w:p w14:paraId="3EA3B7F4" w14:textId="77777777" w:rsidR="008878A0" w:rsidRPr="00A01C6F" w:rsidRDefault="008878A0" w:rsidP="00A01C6F">
            <w:pPr>
              <w:jc w:val="right"/>
              <w:rPr>
                <w:rFonts w:eastAsia="Times New Roman"/>
                <w:lang w:eastAsia="hr-HR"/>
              </w:rPr>
            </w:pPr>
            <w:r w:rsidRPr="00A01C6F">
              <w:rPr>
                <w:rFonts w:eastAsia="Times New Roman"/>
                <w:lang w:eastAsia="hr-HR"/>
              </w:rPr>
              <w:t>100</w:t>
            </w:r>
          </w:p>
        </w:tc>
      </w:tr>
      <w:tr w:rsidR="008878A0" w14:paraId="3D21D0FB" w14:textId="77777777" w:rsidTr="007F2B15">
        <w:trPr>
          <w:trHeight w:val="469"/>
        </w:trPr>
        <w:tc>
          <w:tcPr>
            <w:tcW w:w="1746" w:type="pct"/>
            <w:tcBorders>
              <w:top w:val="single" w:sz="8" w:space="0" w:color="F3CFC1"/>
              <w:bottom w:val="single" w:sz="8" w:space="0" w:color="F3CFC1"/>
            </w:tcBorders>
            <w:shd w:val="clear" w:color="auto" w:fill="D2232A" w:themeFill="accent1"/>
            <w:vAlign w:val="center"/>
            <w:hideMark/>
          </w:tcPr>
          <w:p w14:paraId="6452756F" w14:textId="77777777" w:rsidR="008878A0" w:rsidRPr="00A01C6F" w:rsidRDefault="008878A0" w:rsidP="00A01C6F">
            <w:pPr>
              <w:jc w:val="left"/>
              <w:rPr>
                <w:rFonts w:eastAsia="Times New Roman"/>
                <w:color w:val="FFFFFF" w:themeColor="background1"/>
                <w:lang w:eastAsia="hr-HR"/>
              </w:rPr>
            </w:pPr>
            <w:r w:rsidRPr="00A01C6F">
              <w:rPr>
                <w:rFonts w:eastAsia="Times New Roman"/>
                <w:color w:val="FFFFFF" w:themeColor="background1"/>
                <w:lang w:eastAsia="hr-HR"/>
              </w:rPr>
              <w:t>Specijalna bolnica za medicinsku rehabilitaciju</w:t>
            </w:r>
          </w:p>
        </w:tc>
        <w:tc>
          <w:tcPr>
            <w:tcW w:w="946" w:type="pct"/>
            <w:tcBorders>
              <w:top w:val="single" w:sz="8" w:space="0" w:color="F3CFC1"/>
              <w:bottom w:val="single" w:sz="8" w:space="0" w:color="F3CFC1"/>
              <w:right w:val="single" w:sz="8" w:space="0" w:color="D2232A"/>
            </w:tcBorders>
            <w:shd w:val="clear" w:color="auto" w:fill="FFFFFF"/>
            <w:vAlign w:val="center"/>
            <w:hideMark/>
          </w:tcPr>
          <w:p w14:paraId="4A7021F4" w14:textId="77777777" w:rsidR="008878A0" w:rsidRPr="00A01C6F" w:rsidRDefault="008878A0" w:rsidP="00A01C6F">
            <w:pPr>
              <w:jc w:val="left"/>
              <w:rPr>
                <w:rFonts w:eastAsia="Times New Roman"/>
                <w:lang w:eastAsia="hr-HR"/>
              </w:rPr>
            </w:pPr>
            <w:r w:rsidRPr="00A01C6F">
              <w:rPr>
                <w:rFonts w:eastAsia="Times New Roman"/>
                <w:lang w:eastAsia="hr-HR"/>
              </w:rPr>
              <w:t>Stubičke Toplice</w:t>
            </w:r>
          </w:p>
        </w:tc>
        <w:tc>
          <w:tcPr>
            <w:tcW w:w="1426" w:type="pct"/>
            <w:tcBorders>
              <w:top w:val="single" w:sz="8" w:space="0" w:color="F3CFC1"/>
              <w:left w:val="single" w:sz="8" w:space="0" w:color="D2232A"/>
              <w:bottom w:val="single" w:sz="8" w:space="0" w:color="F3CFC1"/>
              <w:right w:val="single" w:sz="8" w:space="0" w:color="D2232A"/>
            </w:tcBorders>
            <w:shd w:val="clear" w:color="auto" w:fill="FFFFFF"/>
            <w:vAlign w:val="center"/>
            <w:hideMark/>
          </w:tcPr>
          <w:p w14:paraId="4AD3666E" w14:textId="77777777" w:rsidR="008878A0" w:rsidRPr="00A01C6F" w:rsidRDefault="008878A0" w:rsidP="00A01C6F">
            <w:pPr>
              <w:jc w:val="left"/>
              <w:rPr>
                <w:rFonts w:eastAsia="Times New Roman"/>
                <w:lang w:eastAsia="hr-HR"/>
              </w:rPr>
            </w:pPr>
            <w:r w:rsidRPr="00A01C6F">
              <w:rPr>
                <w:rFonts w:eastAsia="Times New Roman"/>
                <w:lang w:eastAsia="hr-HR"/>
              </w:rPr>
              <w:t>Bazen, wellness oaza</w:t>
            </w:r>
          </w:p>
        </w:tc>
        <w:tc>
          <w:tcPr>
            <w:tcW w:w="882" w:type="pct"/>
            <w:tcBorders>
              <w:top w:val="single" w:sz="8" w:space="0" w:color="F3CFC1"/>
              <w:left w:val="single" w:sz="8" w:space="0" w:color="D2232A"/>
              <w:bottom w:val="single" w:sz="8" w:space="0" w:color="F3CFC1"/>
              <w:right w:val="single" w:sz="8" w:space="0" w:color="D2232A"/>
            </w:tcBorders>
            <w:shd w:val="clear" w:color="auto" w:fill="FFFFFF"/>
            <w:vAlign w:val="center"/>
            <w:hideMark/>
          </w:tcPr>
          <w:p w14:paraId="2B0D6D2B" w14:textId="77777777" w:rsidR="008878A0" w:rsidRPr="00A01C6F" w:rsidRDefault="008878A0" w:rsidP="00A01C6F">
            <w:pPr>
              <w:jc w:val="right"/>
              <w:rPr>
                <w:rFonts w:eastAsia="Times New Roman"/>
                <w:lang w:eastAsia="hr-HR"/>
              </w:rPr>
            </w:pPr>
            <w:r w:rsidRPr="00A01C6F">
              <w:rPr>
                <w:rFonts w:eastAsia="Times New Roman"/>
                <w:lang w:eastAsia="hr-HR"/>
              </w:rPr>
              <w:t>100</w:t>
            </w:r>
          </w:p>
        </w:tc>
      </w:tr>
      <w:tr w:rsidR="008878A0" w14:paraId="0FDB2AA7" w14:textId="77777777" w:rsidTr="007F2B15">
        <w:trPr>
          <w:trHeight w:val="808"/>
        </w:trPr>
        <w:tc>
          <w:tcPr>
            <w:tcW w:w="1746" w:type="pct"/>
            <w:tcBorders>
              <w:top w:val="single" w:sz="8" w:space="0" w:color="F3CFC1"/>
              <w:bottom w:val="single" w:sz="8" w:space="0" w:color="F3CFC1"/>
            </w:tcBorders>
            <w:shd w:val="clear" w:color="auto" w:fill="D2232A" w:themeFill="accent1"/>
            <w:vAlign w:val="center"/>
            <w:hideMark/>
          </w:tcPr>
          <w:p w14:paraId="555AF62A" w14:textId="77777777" w:rsidR="008878A0" w:rsidRPr="00A01C6F" w:rsidRDefault="008878A0" w:rsidP="00A01C6F">
            <w:pPr>
              <w:jc w:val="left"/>
              <w:rPr>
                <w:rFonts w:eastAsia="Times New Roman"/>
                <w:color w:val="FFFFFF" w:themeColor="background1"/>
                <w:lang w:eastAsia="hr-HR"/>
              </w:rPr>
            </w:pPr>
            <w:r w:rsidRPr="00A01C6F">
              <w:rPr>
                <w:rFonts w:eastAsia="Times New Roman"/>
                <w:color w:val="FFFFFF" w:themeColor="background1"/>
                <w:lang w:eastAsia="hr-HR"/>
              </w:rPr>
              <w:t>Aquae Vivae</w:t>
            </w:r>
          </w:p>
        </w:tc>
        <w:tc>
          <w:tcPr>
            <w:tcW w:w="946" w:type="pct"/>
            <w:tcBorders>
              <w:top w:val="single" w:sz="8" w:space="0" w:color="F3CFC1"/>
              <w:bottom w:val="single" w:sz="8" w:space="0" w:color="F3CFC1"/>
              <w:right w:val="single" w:sz="8" w:space="0" w:color="D2232A"/>
            </w:tcBorders>
            <w:shd w:val="clear" w:color="auto" w:fill="FFFFFF"/>
            <w:vAlign w:val="center"/>
            <w:hideMark/>
          </w:tcPr>
          <w:p w14:paraId="1DA27FF4" w14:textId="77777777" w:rsidR="008878A0" w:rsidRPr="00A01C6F" w:rsidRDefault="008878A0" w:rsidP="00A01C6F">
            <w:pPr>
              <w:jc w:val="left"/>
              <w:rPr>
                <w:rFonts w:eastAsia="Times New Roman"/>
                <w:lang w:eastAsia="hr-HR"/>
              </w:rPr>
            </w:pPr>
            <w:r w:rsidRPr="00A01C6F">
              <w:rPr>
                <w:rFonts w:eastAsia="Times New Roman"/>
                <w:lang w:eastAsia="hr-HR"/>
              </w:rPr>
              <w:t>Krapinske Toplice</w:t>
            </w:r>
          </w:p>
        </w:tc>
        <w:tc>
          <w:tcPr>
            <w:tcW w:w="1426" w:type="pct"/>
            <w:tcBorders>
              <w:top w:val="single" w:sz="8" w:space="0" w:color="F3CFC1"/>
              <w:left w:val="single" w:sz="8" w:space="0" w:color="D2232A"/>
              <w:bottom w:val="single" w:sz="8" w:space="0" w:color="F3CFC1"/>
              <w:right w:val="single" w:sz="8" w:space="0" w:color="D2232A"/>
            </w:tcBorders>
            <w:shd w:val="clear" w:color="auto" w:fill="FFFFFF"/>
            <w:vAlign w:val="center"/>
            <w:hideMark/>
          </w:tcPr>
          <w:p w14:paraId="7E136D2F" w14:textId="77777777" w:rsidR="008878A0" w:rsidRPr="00A01C6F" w:rsidRDefault="008878A0" w:rsidP="00A01C6F">
            <w:pPr>
              <w:jc w:val="left"/>
              <w:rPr>
                <w:rFonts w:eastAsia="Times New Roman"/>
                <w:lang w:eastAsia="hr-HR"/>
              </w:rPr>
            </w:pPr>
            <w:r w:rsidRPr="00A01C6F">
              <w:rPr>
                <w:rFonts w:eastAsia="Times New Roman"/>
                <w:lang w:eastAsia="hr-HR"/>
              </w:rPr>
              <w:t>Unutarnji i vanjski bazeni, 1  kombinirano unutarnje- vanjski bazen</w:t>
            </w:r>
          </w:p>
        </w:tc>
        <w:tc>
          <w:tcPr>
            <w:tcW w:w="882" w:type="pct"/>
            <w:tcBorders>
              <w:top w:val="single" w:sz="8" w:space="0" w:color="F3CFC1"/>
              <w:left w:val="single" w:sz="8" w:space="0" w:color="D2232A"/>
              <w:bottom w:val="single" w:sz="8" w:space="0" w:color="F3CFC1"/>
              <w:right w:val="single" w:sz="8" w:space="0" w:color="D2232A"/>
            </w:tcBorders>
            <w:shd w:val="clear" w:color="auto" w:fill="FFFFFF"/>
            <w:vAlign w:val="center"/>
            <w:hideMark/>
          </w:tcPr>
          <w:p w14:paraId="4A509118" w14:textId="77777777" w:rsidR="008878A0" w:rsidRPr="00A01C6F" w:rsidRDefault="008878A0" w:rsidP="00A01C6F">
            <w:pPr>
              <w:jc w:val="right"/>
              <w:rPr>
                <w:rFonts w:eastAsia="Times New Roman"/>
                <w:lang w:eastAsia="hr-HR"/>
              </w:rPr>
            </w:pPr>
            <w:r w:rsidRPr="00A01C6F">
              <w:rPr>
                <w:rFonts w:eastAsia="Times New Roman"/>
                <w:lang w:eastAsia="hr-HR"/>
              </w:rPr>
              <w:t>1200</w:t>
            </w:r>
          </w:p>
        </w:tc>
      </w:tr>
      <w:tr w:rsidR="008878A0" w14:paraId="13B5DE9F" w14:textId="77777777" w:rsidTr="007F2B15">
        <w:trPr>
          <w:trHeight w:val="276"/>
        </w:trPr>
        <w:tc>
          <w:tcPr>
            <w:tcW w:w="1746" w:type="pct"/>
            <w:tcBorders>
              <w:top w:val="single" w:sz="8" w:space="0" w:color="F3CFC1"/>
              <w:bottom w:val="single" w:sz="8" w:space="0" w:color="F3CFC1"/>
            </w:tcBorders>
            <w:shd w:val="clear" w:color="auto" w:fill="D2232A" w:themeFill="accent1"/>
            <w:vAlign w:val="center"/>
            <w:hideMark/>
          </w:tcPr>
          <w:p w14:paraId="65FFEF7B" w14:textId="77777777" w:rsidR="008878A0" w:rsidRPr="00A01C6F" w:rsidRDefault="008878A0" w:rsidP="00A01C6F">
            <w:pPr>
              <w:jc w:val="left"/>
              <w:rPr>
                <w:rFonts w:eastAsia="Times New Roman"/>
                <w:color w:val="FFFFFF" w:themeColor="background1"/>
                <w:lang w:eastAsia="hr-HR"/>
              </w:rPr>
            </w:pPr>
            <w:r w:rsidRPr="00A01C6F">
              <w:rPr>
                <w:rFonts w:eastAsia="Times New Roman"/>
                <w:color w:val="FFFFFF" w:themeColor="background1"/>
                <w:lang w:eastAsia="hr-HR"/>
              </w:rPr>
              <w:t>Hotel Villa Magdalena</w:t>
            </w:r>
          </w:p>
        </w:tc>
        <w:tc>
          <w:tcPr>
            <w:tcW w:w="946" w:type="pct"/>
            <w:tcBorders>
              <w:top w:val="single" w:sz="8" w:space="0" w:color="F3CFC1"/>
              <w:bottom w:val="single" w:sz="8" w:space="0" w:color="F3CFC1"/>
              <w:right w:val="single" w:sz="8" w:space="0" w:color="D2232A"/>
            </w:tcBorders>
            <w:shd w:val="clear" w:color="auto" w:fill="FFFFFF"/>
            <w:vAlign w:val="center"/>
            <w:hideMark/>
          </w:tcPr>
          <w:p w14:paraId="26931EF9" w14:textId="77777777" w:rsidR="008878A0" w:rsidRPr="00A01C6F" w:rsidRDefault="008878A0" w:rsidP="00A01C6F">
            <w:pPr>
              <w:jc w:val="left"/>
              <w:rPr>
                <w:rFonts w:eastAsia="Times New Roman"/>
                <w:lang w:eastAsia="hr-HR"/>
              </w:rPr>
            </w:pPr>
            <w:r w:rsidRPr="00A01C6F">
              <w:rPr>
                <w:rFonts w:eastAsia="Times New Roman"/>
                <w:lang w:eastAsia="hr-HR"/>
              </w:rPr>
              <w:t>Krapinske Toplice</w:t>
            </w:r>
          </w:p>
        </w:tc>
        <w:tc>
          <w:tcPr>
            <w:tcW w:w="1426" w:type="pct"/>
            <w:tcBorders>
              <w:top w:val="single" w:sz="8" w:space="0" w:color="F3CFC1"/>
              <w:left w:val="single" w:sz="8" w:space="0" w:color="D2232A"/>
              <w:bottom w:val="single" w:sz="8" w:space="0" w:color="F3CFC1"/>
              <w:right w:val="single" w:sz="8" w:space="0" w:color="D2232A"/>
            </w:tcBorders>
            <w:shd w:val="clear" w:color="auto" w:fill="FFFFFF"/>
            <w:vAlign w:val="center"/>
            <w:hideMark/>
          </w:tcPr>
          <w:p w14:paraId="7517EF66" w14:textId="77777777" w:rsidR="008878A0" w:rsidRPr="00A01C6F" w:rsidRDefault="008878A0" w:rsidP="00A01C6F">
            <w:pPr>
              <w:jc w:val="left"/>
              <w:rPr>
                <w:rFonts w:eastAsia="Times New Roman"/>
                <w:lang w:eastAsia="hr-HR"/>
              </w:rPr>
            </w:pPr>
            <w:r w:rsidRPr="00A01C6F">
              <w:rPr>
                <w:rFonts w:eastAsia="Times New Roman"/>
                <w:lang w:eastAsia="hr-HR"/>
              </w:rPr>
              <w:t>Bazeni - wellness oaza</w:t>
            </w:r>
          </w:p>
        </w:tc>
        <w:tc>
          <w:tcPr>
            <w:tcW w:w="882" w:type="pct"/>
            <w:tcBorders>
              <w:top w:val="single" w:sz="8" w:space="0" w:color="F3CFC1"/>
              <w:left w:val="single" w:sz="8" w:space="0" w:color="D2232A"/>
              <w:bottom w:val="single" w:sz="8" w:space="0" w:color="F3CFC1"/>
              <w:right w:val="single" w:sz="8" w:space="0" w:color="D2232A"/>
            </w:tcBorders>
            <w:shd w:val="clear" w:color="auto" w:fill="FFFFFF"/>
            <w:vAlign w:val="center"/>
            <w:hideMark/>
          </w:tcPr>
          <w:p w14:paraId="32481E0E" w14:textId="77777777" w:rsidR="008878A0" w:rsidRPr="00A01C6F" w:rsidRDefault="008878A0" w:rsidP="00A01C6F">
            <w:pPr>
              <w:jc w:val="right"/>
              <w:rPr>
                <w:rFonts w:eastAsia="Times New Roman"/>
                <w:lang w:eastAsia="hr-HR"/>
              </w:rPr>
            </w:pPr>
            <w:r w:rsidRPr="00A01C6F">
              <w:rPr>
                <w:rFonts w:eastAsia="Times New Roman"/>
                <w:lang w:eastAsia="hr-HR"/>
              </w:rPr>
              <w:t>8</w:t>
            </w:r>
          </w:p>
        </w:tc>
      </w:tr>
      <w:tr w:rsidR="008878A0" w14:paraId="6A18A782" w14:textId="77777777" w:rsidTr="007F2B15">
        <w:trPr>
          <w:trHeight w:val="762"/>
        </w:trPr>
        <w:tc>
          <w:tcPr>
            <w:tcW w:w="1746" w:type="pct"/>
            <w:tcBorders>
              <w:top w:val="single" w:sz="8" w:space="0" w:color="F3CFC1"/>
              <w:bottom w:val="single" w:sz="8" w:space="0" w:color="F3CFC1"/>
            </w:tcBorders>
            <w:shd w:val="clear" w:color="auto" w:fill="D2232A" w:themeFill="accent1"/>
            <w:vAlign w:val="center"/>
            <w:hideMark/>
          </w:tcPr>
          <w:p w14:paraId="721FD320" w14:textId="77777777" w:rsidR="008878A0" w:rsidRPr="00A01C6F" w:rsidRDefault="008878A0" w:rsidP="00A01C6F">
            <w:pPr>
              <w:jc w:val="left"/>
              <w:rPr>
                <w:rFonts w:eastAsia="Times New Roman"/>
                <w:color w:val="FFFFFF" w:themeColor="background1"/>
                <w:lang w:eastAsia="hr-HR"/>
              </w:rPr>
            </w:pPr>
            <w:r w:rsidRPr="00A01C6F">
              <w:rPr>
                <w:rFonts w:eastAsia="Times New Roman"/>
                <w:color w:val="FFFFFF" w:themeColor="background1"/>
                <w:lang w:eastAsia="hr-HR"/>
              </w:rPr>
              <w:t>Terme Jezerčica</w:t>
            </w:r>
          </w:p>
        </w:tc>
        <w:tc>
          <w:tcPr>
            <w:tcW w:w="946" w:type="pct"/>
            <w:tcBorders>
              <w:top w:val="single" w:sz="8" w:space="0" w:color="F3CFC1"/>
              <w:bottom w:val="single" w:sz="8" w:space="0" w:color="F3CFC1"/>
              <w:right w:val="single" w:sz="8" w:space="0" w:color="D2232A"/>
            </w:tcBorders>
            <w:shd w:val="clear" w:color="auto" w:fill="FFFFFF"/>
            <w:vAlign w:val="center"/>
            <w:hideMark/>
          </w:tcPr>
          <w:p w14:paraId="49F37201" w14:textId="77777777" w:rsidR="008878A0" w:rsidRPr="00A01C6F" w:rsidRDefault="008878A0" w:rsidP="00A01C6F">
            <w:pPr>
              <w:jc w:val="left"/>
              <w:rPr>
                <w:rFonts w:eastAsia="Times New Roman"/>
                <w:lang w:eastAsia="hr-HR"/>
              </w:rPr>
            </w:pPr>
            <w:r w:rsidRPr="00A01C6F">
              <w:rPr>
                <w:rFonts w:eastAsia="Times New Roman"/>
                <w:lang w:eastAsia="hr-HR"/>
              </w:rPr>
              <w:t>Donja Stubica</w:t>
            </w:r>
          </w:p>
        </w:tc>
        <w:tc>
          <w:tcPr>
            <w:tcW w:w="1426" w:type="pct"/>
            <w:tcBorders>
              <w:top w:val="single" w:sz="8" w:space="0" w:color="F3CFC1"/>
              <w:left w:val="single" w:sz="8" w:space="0" w:color="D2232A"/>
              <w:bottom w:val="single" w:sz="8" w:space="0" w:color="F3CFC1"/>
              <w:right w:val="single" w:sz="8" w:space="0" w:color="D2232A"/>
            </w:tcBorders>
            <w:shd w:val="clear" w:color="auto" w:fill="FFFFFF"/>
            <w:vAlign w:val="center"/>
            <w:hideMark/>
          </w:tcPr>
          <w:p w14:paraId="1B69621D" w14:textId="77777777" w:rsidR="008878A0" w:rsidRPr="00A01C6F" w:rsidRDefault="008878A0" w:rsidP="00A01C6F">
            <w:pPr>
              <w:jc w:val="left"/>
              <w:rPr>
                <w:rFonts w:eastAsia="Times New Roman"/>
                <w:lang w:eastAsia="hr-HR"/>
              </w:rPr>
            </w:pPr>
            <w:r w:rsidRPr="00A01C6F">
              <w:rPr>
                <w:rFonts w:eastAsia="Times New Roman"/>
                <w:lang w:eastAsia="hr-HR"/>
              </w:rPr>
              <w:t>Unutarnji i vanjski vodeni park, wellness i spa program</w:t>
            </w:r>
            <w:r w:rsidRPr="00A01C6F">
              <w:rPr>
                <w:rFonts w:eastAsia="Times New Roman"/>
                <w:lang w:eastAsia="hr-HR"/>
              </w:rPr>
              <w:br/>
            </w:r>
          </w:p>
        </w:tc>
        <w:tc>
          <w:tcPr>
            <w:tcW w:w="882" w:type="pct"/>
            <w:tcBorders>
              <w:top w:val="single" w:sz="8" w:space="0" w:color="F3CFC1"/>
              <w:left w:val="single" w:sz="8" w:space="0" w:color="D2232A"/>
              <w:bottom w:val="single" w:sz="8" w:space="0" w:color="F3CFC1"/>
              <w:right w:val="single" w:sz="8" w:space="0" w:color="D2232A"/>
            </w:tcBorders>
            <w:shd w:val="clear" w:color="auto" w:fill="FFFFFF"/>
            <w:vAlign w:val="center"/>
            <w:hideMark/>
          </w:tcPr>
          <w:p w14:paraId="34E5AC88" w14:textId="77777777" w:rsidR="008878A0" w:rsidRPr="00A01C6F" w:rsidRDefault="008878A0" w:rsidP="00A01C6F">
            <w:pPr>
              <w:jc w:val="right"/>
              <w:rPr>
                <w:rFonts w:eastAsia="Times New Roman"/>
                <w:lang w:eastAsia="hr-HR"/>
              </w:rPr>
            </w:pPr>
            <w:r w:rsidRPr="00A01C6F">
              <w:rPr>
                <w:rFonts w:eastAsia="Times New Roman"/>
                <w:lang w:eastAsia="hr-HR"/>
              </w:rPr>
              <w:t>2000</w:t>
            </w:r>
          </w:p>
        </w:tc>
      </w:tr>
      <w:tr w:rsidR="008878A0" w14:paraId="64BEFBFA" w14:textId="77777777" w:rsidTr="007F2B15">
        <w:trPr>
          <w:trHeight w:val="689"/>
        </w:trPr>
        <w:tc>
          <w:tcPr>
            <w:tcW w:w="1746" w:type="pct"/>
            <w:tcBorders>
              <w:top w:val="single" w:sz="8" w:space="0" w:color="F3CFC1"/>
            </w:tcBorders>
            <w:shd w:val="clear" w:color="auto" w:fill="D2232A" w:themeFill="accent1"/>
            <w:vAlign w:val="center"/>
            <w:hideMark/>
          </w:tcPr>
          <w:p w14:paraId="4EDF18B7" w14:textId="77777777" w:rsidR="008878A0" w:rsidRPr="00A01C6F" w:rsidRDefault="008878A0" w:rsidP="00A01C6F">
            <w:pPr>
              <w:jc w:val="left"/>
              <w:rPr>
                <w:rFonts w:eastAsia="Times New Roman"/>
                <w:color w:val="FFFFFF" w:themeColor="background1"/>
                <w:lang w:eastAsia="hr-HR"/>
              </w:rPr>
            </w:pPr>
            <w:r w:rsidRPr="00A01C6F">
              <w:rPr>
                <w:rFonts w:eastAsia="Times New Roman"/>
                <w:color w:val="FFFFFF" w:themeColor="background1"/>
                <w:lang w:eastAsia="hr-HR"/>
              </w:rPr>
              <w:t>Vodeni planet Terme Tuhelj</w:t>
            </w:r>
          </w:p>
        </w:tc>
        <w:tc>
          <w:tcPr>
            <w:tcW w:w="946" w:type="pct"/>
            <w:tcBorders>
              <w:top w:val="single" w:sz="8" w:space="0" w:color="F3CFC1"/>
              <w:right w:val="single" w:sz="8" w:space="0" w:color="D2232A"/>
            </w:tcBorders>
            <w:shd w:val="clear" w:color="auto" w:fill="FFFFFF"/>
            <w:vAlign w:val="center"/>
            <w:hideMark/>
          </w:tcPr>
          <w:p w14:paraId="5FC4134C" w14:textId="77777777" w:rsidR="008878A0" w:rsidRPr="00A01C6F" w:rsidRDefault="008878A0" w:rsidP="00A01C6F">
            <w:pPr>
              <w:jc w:val="left"/>
              <w:rPr>
                <w:rFonts w:eastAsia="Times New Roman"/>
                <w:lang w:eastAsia="hr-HR"/>
              </w:rPr>
            </w:pPr>
            <w:r w:rsidRPr="00A01C6F">
              <w:rPr>
                <w:rFonts w:eastAsia="Times New Roman"/>
                <w:lang w:eastAsia="hr-HR"/>
              </w:rPr>
              <w:t>Tuheljske Toplice</w:t>
            </w:r>
          </w:p>
        </w:tc>
        <w:tc>
          <w:tcPr>
            <w:tcW w:w="1426" w:type="pct"/>
            <w:tcBorders>
              <w:top w:val="single" w:sz="8" w:space="0" w:color="F3CFC1"/>
              <w:left w:val="single" w:sz="8" w:space="0" w:color="D2232A"/>
              <w:right w:val="single" w:sz="8" w:space="0" w:color="D2232A"/>
            </w:tcBorders>
            <w:shd w:val="clear" w:color="auto" w:fill="FFFFFF"/>
            <w:vAlign w:val="center"/>
            <w:hideMark/>
          </w:tcPr>
          <w:p w14:paraId="00253D41" w14:textId="77777777" w:rsidR="008878A0" w:rsidRPr="00A01C6F" w:rsidRDefault="008878A0" w:rsidP="00A01C6F">
            <w:pPr>
              <w:jc w:val="left"/>
              <w:rPr>
                <w:rFonts w:eastAsia="Times New Roman"/>
                <w:lang w:eastAsia="hr-HR"/>
              </w:rPr>
            </w:pPr>
            <w:r w:rsidRPr="00A01C6F">
              <w:rPr>
                <w:rFonts w:eastAsia="Times New Roman"/>
                <w:lang w:eastAsia="hr-HR"/>
              </w:rPr>
              <w:t xml:space="preserve">Unutarnji i vanjski bazeni, wellness i spa program </w:t>
            </w:r>
          </w:p>
        </w:tc>
        <w:tc>
          <w:tcPr>
            <w:tcW w:w="882" w:type="pct"/>
            <w:tcBorders>
              <w:top w:val="single" w:sz="8" w:space="0" w:color="F3CFC1"/>
              <w:left w:val="single" w:sz="8" w:space="0" w:color="D2232A"/>
              <w:right w:val="single" w:sz="8" w:space="0" w:color="D2232A"/>
            </w:tcBorders>
            <w:shd w:val="clear" w:color="auto" w:fill="FFFFFF"/>
            <w:vAlign w:val="center"/>
            <w:hideMark/>
          </w:tcPr>
          <w:p w14:paraId="2FAB96A5" w14:textId="77777777" w:rsidR="008878A0" w:rsidRPr="00A01C6F" w:rsidRDefault="008878A0" w:rsidP="00A01C6F">
            <w:pPr>
              <w:jc w:val="right"/>
              <w:rPr>
                <w:rFonts w:eastAsia="Times New Roman"/>
                <w:lang w:eastAsia="hr-HR"/>
              </w:rPr>
            </w:pPr>
            <w:r w:rsidRPr="00A01C6F">
              <w:rPr>
                <w:rFonts w:eastAsia="Times New Roman"/>
                <w:lang w:eastAsia="hr-HR"/>
              </w:rPr>
              <w:t>2500</w:t>
            </w:r>
          </w:p>
        </w:tc>
      </w:tr>
    </w:tbl>
    <w:p w14:paraId="0DD58B5A" w14:textId="4D52B570" w:rsidR="008878A0" w:rsidRPr="0035368C" w:rsidRDefault="008878A0"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Izvor: Turistička zajednica Krapinsko-zagorske županije, 20</w:t>
      </w:r>
      <w:r w:rsidR="003B4514">
        <w:rPr>
          <w:rFonts w:eastAsia="ArialNarrow" w:cstheme="minorHAnsi"/>
          <w:i/>
          <w:color w:val="ABABAB" w:themeColor="text1" w:themeTint="A6"/>
          <w:sz w:val="16"/>
          <w:szCs w:val="16"/>
        </w:rPr>
        <w:t>20</w:t>
      </w:r>
      <w:r w:rsidRPr="0035368C">
        <w:rPr>
          <w:rFonts w:eastAsia="ArialNarrow" w:cstheme="minorHAnsi"/>
          <w:i/>
          <w:color w:val="ABABAB" w:themeColor="text1" w:themeTint="A6"/>
          <w:sz w:val="16"/>
          <w:szCs w:val="16"/>
        </w:rPr>
        <w:t>. godina</w:t>
      </w:r>
    </w:p>
    <w:p w14:paraId="252F770D" w14:textId="77777777" w:rsidR="005801C2" w:rsidRDefault="005801C2" w:rsidP="00A01C6F">
      <w:pPr>
        <w:rPr>
          <w:rFonts w:eastAsia="ArialNarrow"/>
        </w:rPr>
      </w:pPr>
    </w:p>
    <w:p w14:paraId="544FB3E4" w14:textId="0B430550" w:rsidR="008878A0" w:rsidRDefault="008878A0" w:rsidP="00A01C6F">
      <w:pPr>
        <w:rPr>
          <w:rFonts w:asciiTheme="minorHAnsi" w:eastAsiaTheme="minorHAnsi" w:hAnsiTheme="minorHAnsi"/>
          <w:sz w:val="22"/>
          <w:szCs w:val="22"/>
        </w:rPr>
      </w:pPr>
      <w:r>
        <w:rPr>
          <w:rFonts w:eastAsia="ArialNarrow"/>
        </w:rPr>
        <w:t>Proizvod „zdravlje, SPA  wellness“ je prema Master-planu ključan turistički proizvod županije, a sama županija planira daljnja ulaganja u razvoj zdravstvenog turizma, uz postojeće specijalizirane bolnice i kliniku</w:t>
      </w:r>
      <w:r>
        <w:t>.</w:t>
      </w:r>
    </w:p>
    <w:p w14:paraId="0DE0A189" w14:textId="10A9B263" w:rsidR="008878A0" w:rsidRDefault="008878A0" w:rsidP="00A01C6F">
      <w:pPr>
        <w:rPr>
          <w:rFonts w:eastAsia="ArialNarrow"/>
        </w:rPr>
      </w:pPr>
      <w:r>
        <w:rPr>
          <w:rFonts w:eastAsia="ArialNarrow"/>
        </w:rPr>
        <w:t xml:space="preserve">Praćenje broja posjetitelja vezano uz posjete pojedinom tipu atrakcija za koje postoje podaci (uz kupališta, riječ je o muzejima i svetištu MBB), pokazuje kako su stope rasta broja posjetitelja najviše upravo u slučaju kupališta. Prema podacima TZ KZŽ, u odnosu na 2013. </w:t>
      </w:r>
      <w:r w:rsidR="001765D0">
        <w:rPr>
          <w:rFonts w:eastAsia="ArialNarrow"/>
        </w:rPr>
        <w:t>godinu, broj posjetitelja u 2019</w:t>
      </w:r>
      <w:r>
        <w:rPr>
          <w:rFonts w:eastAsia="ArialNarrow"/>
        </w:rPr>
        <w:t>. se gotov</w:t>
      </w:r>
      <w:r w:rsidR="001765D0">
        <w:rPr>
          <w:rFonts w:eastAsia="ArialNarrow"/>
        </w:rPr>
        <w:t>o udvostručio te je iznosio 778.790</w:t>
      </w:r>
      <w:r>
        <w:rPr>
          <w:rFonts w:eastAsia="ArialNarrow"/>
        </w:rPr>
        <w:t>.</w:t>
      </w:r>
      <w:r w:rsidR="00D97655">
        <w:rPr>
          <w:rFonts w:eastAsia="ArialNarrow"/>
        </w:rPr>
        <w:t xml:space="preserve"> </w:t>
      </w:r>
      <w:r w:rsidR="00D97655" w:rsidRPr="00D97655">
        <w:rPr>
          <w:rFonts w:eastAsia="ArialNarrow"/>
        </w:rPr>
        <w:t xml:space="preserve">U 2020. godini zbog </w:t>
      </w:r>
      <w:r w:rsidR="00D97655" w:rsidRPr="00D97655">
        <w:rPr>
          <w:rFonts w:eastAsia="ArialNarrow"/>
          <w:lang w:val="en-GB"/>
        </w:rPr>
        <w:t xml:space="preserve">pandemije prouzročene koronavirusom </w:t>
      </w:r>
      <w:r w:rsidR="00D97655">
        <w:rPr>
          <w:rFonts w:eastAsia="ArialNarrow"/>
          <w:lang w:val="en-GB"/>
        </w:rPr>
        <w:t xml:space="preserve">te poduzetih epidemioloških mjera (npr. privremeno zatvaranje objekata) </w:t>
      </w:r>
      <w:r w:rsidR="00D97655" w:rsidRPr="00D97655">
        <w:rPr>
          <w:rFonts w:eastAsia="ArialNarrow"/>
          <w:lang w:val="en-GB"/>
        </w:rPr>
        <w:t>broj posjetitelja se drastično prepolovio</w:t>
      </w:r>
      <w:r w:rsidR="00D97655">
        <w:rPr>
          <w:rFonts w:eastAsia="ArialNarrow"/>
          <w:lang w:val="en-GB"/>
        </w:rPr>
        <w:t xml:space="preserve"> te je iznosio 368.317</w:t>
      </w:r>
      <w:r w:rsidR="00D97655" w:rsidRPr="00D97655">
        <w:rPr>
          <w:rFonts w:eastAsia="ArialNarrow"/>
          <w:lang w:val="en-GB"/>
        </w:rPr>
        <w:t xml:space="preserve">. </w:t>
      </w:r>
    </w:p>
    <w:p w14:paraId="15231AF3" w14:textId="77777777" w:rsidR="001838EE" w:rsidRDefault="001838EE" w:rsidP="00A01C6F">
      <w:pPr>
        <w:rPr>
          <w:rFonts w:eastAsia="ArialNarrow"/>
        </w:rPr>
      </w:pPr>
    </w:p>
    <w:p w14:paraId="7DA1C43B" w14:textId="4F7AD4F1" w:rsidR="008878A0" w:rsidRDefault="008878A0" w:rsidP="003E3F3C">
      <w:pPr>
        <w:pStyle w:val="Opisslike"/>
      </w:pPr>
      <w:r>
        <w:lastRenderedPageBreak/>
        <w:t xml:space="preserve">Grafikon </w:t>
      </w:r>
      <w:r w:rsidR="00CF4B96">
        <w:rPr>
          <w:noProof/>
        </w:rPr>
        <w:t>53</w:t>
      </w:r>
      <w:r w:rsidR="0035368C">
        <w:rPr>
          <w:noProof/>
        </w:rPr>
        <w:t>.</w:t>
      </w:r>
      <w:r>
        <w:t xml:space="preserve"> Kretanje broja posjetitelja kupališta </w:t>
      </w:r>
      <w:r w:rsidR="00E74311">
        <w:t>u KZŽ u periodu od 2013. do 20</w:t>
      </w:r>
      <w:r w:rsidR="00D97655">
        <w:t>20</w:t>
      </w:r>
      <w:r>
        <w:t>. godine</w:t>
      </w:r>
    </w:p>
    <w:p w14:paraId="41F205DE" w14:textId="56A97D7A" w:rsidR="008878A0" w:rsidRPr="00211F7D" w:rsidRDefault="00211F7D" w:rsidP="00211F7D">
      <w:r>
        <w:rPr>
          <w:noProof/>
        </w:rPr>
        <w:drawing>
          <wp:inline distT="0" distB="0" distL="0" distR="0" wp14:anchorId="1EE29EE2" wp14:editId="3A9DAA61">
            <wp:extent cx="5908040" cy="2700020"/>
            <wp:effectExtent l="0" t="0" r="16510" b="5080"/>
            <wp:docPr id="258" name="Grafikon 258">
              <a:extLst xmlns:a="http://schemas.openxmlformats.org/drawingml/2006/main">
                <a:ext uri="{FF2B5EF4-FFF2-40B4-BE49-F238E27FC236}">
                  <a16:creationId xmlns:a16="http://schemas.microsoft.com/office/drawing/2014/main" id="{B8E5F51C-4F2E-4971-A2FE-D641D38854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7CD7E7FE" w14:textId="1E3A61F1" w:rsidR="008878A0" w:rsidRPr="0035368C" w:rsidRDefault="008878A0"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Izvor: Turistička zajednica Krapinsko-zagorske županije</w:t>
      </w:r>
      <w:r w:rsidR="00E74311" w:rsidRPr="0035368C">
        <w:rPr>
          <w:rFonts w:eastAsia="ArialNarrow" w:cstheme="minorHAnsi"/>
          <w:i/>
          <w:color w:val="ABABAB" w:themeColor="text1" w:themeTint="A6"/>
          <w:sz w:val="16"/>
          <w:szCs w:val="16"/>
        </w:rPr>
        <w:t xml:space="preserve"> 2020. godina</w:t>
      </w:r>
    </w:p>
    <w:p w14:paraId="3B481F97" w14:textId="77777777" w:rsidR="001838EE" w:rsidRDefault="001838EE" w:rsidP="00A01C6F">
      <w:pPr>
        <w:rPr>
          <w:rFonts w:eastAsia="ArialNarrow"/>
        </w:rPr>
      </w:pPr>
    </w:p>
    <w:p w14:paraId="52F0821A" w14:textId="4D9E0E4C" w:rsidR="008878A0" w:rsidRDefault="008878A0" w:rsidP="00A01C6F">
      <w:pPr>
        <w:rPr>
          <w:rFonts w:eastAsia="ArialNarrow"/>
        </w:rPr>
      </w:pPr>
      <w:r w:rsidRPr="00A01C6F">
        <w:rPr>
          <w:rFonts w:eastAsia="ArialNarrow"/>
        </w:rPr>
        <w:t xml:space="preserve">Za daljnji razvoj turističkog proizvoda zdravlje, SPA i wellness, sukladno preporukama Master-plana, potrebna su ulaganja u razvoj Sutinskih i Šemničkih toplica uz prateće smještajne kapacitete kao i razvoj sportsko-rekreacijske i infrastrukture za slobodno vrijeme. Za razvoj Šemničkih toplica donesen je urbanistički plan uređenja turističko-rekreacijskog predjela Šemničke toplice te je u tijeku izrada projektno-tehničke dokumentacije za </w:t>
      </w:r>
      <w:r w:rsidR="00D367A4" w:rsidRPr="00A01C6F">
        <w:rPr>
          <w:rFonts w:eastAsia="ArialNarrow"/>
        </w:rPr>
        <w:t>bazenski</w:t>
      </w:r>
      <w:r w:rsidRPr="00A01C6F">
        <w:rPr>
          <w:rFonts w:eastAsia="ArialNarrow"/>
        </w:rPr>
        <w:t xml:space="preserve"> kompleks</w:t>
      </w:r>
      <w:r w:rsidR="00D367A4">
        <w:rPr>
          <w:rFonts w:eastAsia="ArialNarrow"/>
        </w:rPr>
        <w:t>.</w:t>
      </w:r>
      <w:r w:rsidRPr="00A01C6F">
        <w:rPr>
          <w:rFonts w:eastAsia="ArialNarrow"/>
        </w:rPr>
        <w:t xml:space="preserve"> Za projekt dogradnje Specijalne bolnice Krapinske toplice u tijeku je ishođenje građevinske dozvole, dok je projekt izgradnje vanjskih bazena i hotelskog smještaja Specijalne bolnice za medicinsku rehabilitaciju Stubičke toplice u fazi izgradnje vanjskog bazena te izbora izvoditelja usluge projektiranja.</w:t>
      </w:r>
    </w:p>
    <w:p w14:paraId="43976941" w14:textId="77777777" w:rsidR="00211F7D" w:rsidRDefault="00211F7D" w:rsidP="00A01C6F">
      <w:pPr>
        <w:rPr>
          <w:rFonts w:eastAsia="ArialNarrow"/>
        </w:rPr>
      </w:pPr>
    </w:p>
    <w:p w14:paraId="19D2E8A3" w14:textId="5A675A68" w:rsidR="008878A0" w:rsidRPr="00B93C23" w:rsidRDefault="0035368C" w:rsidP="0052192B">
      <w:pPr>
        <w:pStyle w:val="Naslov2"/>
        <w:rPr>
          <w:i/>
        </w:rPr>
      </w:pPr>
      <w:bookmarkStart w:id="177" w:name="_Toc85181345"/>
      <w:r>
        <w:t>1</w:t>
      </w:r>
      <w:r w:rsidR="00B601EE">
        <w:t>1</w:t>
      </w:r>
      <w:r w:rsidR="001876E8">
        <w:t>.4.</w:t>
      </w:r>
      <w:r w:rsidR="008878A0">
        <w:t>Aktivni odmor</w:t>
      </w:r>
      <w:bookmarkEnd w:id="177"/>
      <w:r w:rsidR="008878A0">
        <w:rPr>
          <w:rFonts w:eastAsia="ArialNarrow"/>
        </w:rPr>
        <w:br/>
      </w:r>
    </w:p>
    <w:p w14:paraId="4B336DC9" w14:textId="77777777" w:rsidR="008878A0" w:rsidRDefault="008878A0" w:rsidP="00A01C6F">
      <w:pPr>
        <w:rPr>
          <w:rFonts w:eastAsia="ArialNarrow"/>
        </w:rPr>
      </w:pPr>
      <w:r>
        <w:rPr>
          <w:rFonts w:eastAsia="ArialNarrow"/>
        </w:rPr>
        <w:t>Ponuda aktivnog turizma u KZŽ temelji se na netaknutoj prirodi, brojnim biciklističkim rutama, planinarskim i pješačkim stazama, poučnim stazama, moto stazama i paragliding uzletištima.</w:t>
      </w:r>
    </w:p>
    <w:p w14:paraId="0F07972F" w14:textId="10CB6757" w:rsidR="008878A0" w:rsidRDefault="008878A0" w:rsidP="00A01C6F">
      <w:pPr>
        <w:rPr>
          <w:rFonts w:asciiTheme="minorHAnsi" w:eastAsiaTheme="minorHAnsi" w:hAnsiTheme="minorHAnsi"/>
        </w:rPr>
      </w:pPr>
      <w:r>
        <w:t>Uz šest državnih i prekograničnih ruta te 22 rute županijskog značaja u Krapinsko-zagorskoj županiji postoji i mnogo lokalnih biciklističkih r</w:t>
      </w:r>
      <w:r w:rsidR="000E4A5D">
        <w:t>uta koje su atraktivne i</w:t>
      </w:r>
      <w:r>
        <w:t xml:space="preserve"> zbog manje dul</w:t>
      </w:r>
      <w:r w:rsidR="000E4A5D">
        <w:t>jine uglavnom nisu zahtjevne. S</w:t>
      </w:r>
      <w:r>
        <w:t xml:space="preserve">toga su pogodne za kratke biciklističke izlete. Kroz projekt „Mreža biciklističkih turističkih ruta Krapinsko-zagorske županije“ trasirane su biciklističke staze ukupne dužine od 688 km, izrađene su 4 biciklističke karte te web portal </w:t>
      </w:r>
      <w:hyperlink r:id="rId97" w:history="1">
        <w:r>
          <w:rPr>
            <w:rStyle w:val="Hiperveza"/>
          </w:rPr>
          <w:t>www.zagorjebike.com.hr</w:t>
        </w:r>
      </w:hyperlink>
      <w:r>
        <w:t xml:space="preserve">.   </w:t>
      </w:r>
    </w:p>
    <w:p w14:paraId="313F8D6A" w14:textId="3F4EB68A" w:rsidR="008878A0" w:rsidRDefault="008878A0" w:rsidP="00A01C6F">
      <w:r>
        <w:t>Biciklističke rute su zamišljene s namjenom i prilagodbom za rekreativne bicikliste (pojedince i grupe) te obitelji s djecom koji mogu dnevno prijeći 10 - 40 km, a maksimalno 70 km. Prolaze uz turističke atrakcije i ostale kulturno-povijesne i pri</w:t>
      </w:r>
      <w:r w:rsidR="00B27783">
        <w:t>rodne znamenitosti na području Ž</w:t>
      </w:r>
      <w:r>
        <w:t>upanije, a povezane su i sa Slovenijom na točkama nekadašnjih međunarodnih ili međudržavnih graničnih prijelaza. Vrsta podloge je uglavnom asfalt i makadam po prometnicama niskog/nižeg intenziteta prometa motornih vozila, a samo u iznimnim slučajevima kraće sekcije šumskih i poljskih putova.</w:t>
      </w:r>
    </w:p>
    <w:p w14:paraId="6E20DCD8" w14:textId="77777777" w:rsidR="008878A0" w:rsidRDefault="008878A0" w:rsidP="00A01C6F">
      <w:r>
        <w:t xml:space="preserve">Daljnji razvoj biciklizma također se odvija projektno:  unutar projekta „Razvoj selektivnih oblika turizma na prekograničnoj turističkoj destinaciji – RIDE&amp;BIKE“ trasirana je i digitalizirana konjička i biciklistička prekogranična staza, uređeno je 18 odmorišta, provedene su edukacijske i promotivne aktivnosti te je izrađena aplikacija za pametne telefone. Druga faza istoimenog projekta ima za cilj razviti turističke prekogranične proizvode temeljene na pametnoj integraciji zaštićene prirodne i kulturne baštine te standardizirati RIDE&amp;BIKE objekte turističkih usluga. Strategijom uspostavljanja prekogranične </w:t>
      </w:r>
      <w:r>
        <w:rPr>
          <w:i/>
          <w:iCs/>
        </w:rPr>
        <w:t>ride&amp;bike</w:t>
      </w:r>
      <w:r>
        <w:t xml:space="preserve"> destinacije naglasci su stavljeni na kvalitetno upravljanje destinacijom, edukaciju, razvoj proizvoda te marketing i promociju. </w:t>
      </w:r>
    </w:p>
    <w:p w14:paraId="53226007" w14:textId="77777777" w:rsidR="001838EE" w:rsidRPr="00A01C6F" w:rsidRDefault="001838EE" w:rsidP="00A01C6F"/>
    <w:p w14:paraId="58CBAB81" w14:textId="3F414B07" w:rsidR="001838EE" w:rsidRDefault="001838EE" w:rsidP="003E3F3C">
      <w:pPr>
        <w:pStyle w:val="Opisslike"/>
      </w:pPr>
      <w:r>
        <w:t>Tablica</w:t>
      </w:r>
      <w:r w:rsidR="0035368C">
        <w:t xml:space="preserve"> </w:t>
      </w:r>
      <w:r w:rsidR="00A7185B">
        <w:t>106</w:t>
      </w:r>
      <w:r>
        <w:t xml:space="preserve">. </w:t>
      </w:r>
      <w:r w:rsidRPr="00CB5A34">
        <w:t>Ponuda aktivnog turizma u KZŽ, 2019. godina</w:t>
      </w:r>
    </w:p>
    <w:tbl>
      <w:tblPr>
        <w:tblW w:w="0" w:type="auto"/>
        <w:tblBorders>
          <w:insideH w:val="single" w:sz="8" w:space="0" w:color="F3CFC1"/>
        </w:tblBorders>
        <w:tblLook w:val="04A0" w:firstRow="1" w:lastRow="0" w:firstColumn="1" w:lastColumn="0" w:noHBand="0" w:noVBand="1"/>
      </w:tblPr>
      <w:tblGrid>
        <w:gridCol w:w="1271"/>
        <w:gridCol w:w="7745"/>
      </w:tblGrid>
      <w:tr w:rsidR="00A01C6F" w:rsidRPr="001838EE" w14:paraId="72699B74" w14:textId="77777777" w:rsidTr="001838EE">
        <w:trPr>
          <w:trHeight w:val="283"/>
        </w:trPr>
        <w:tc>
          <w:tcPr>
            <w:tcW w:w="1271" w:type="dxa"/>
            <w:vMerge w:val="restart"/>
            <w:tcBorders>
              <w:top w:val="single" w:sz="8" w:space="0" w:color="D2232A"/>
            </w:tcBorders>
            <w:shd w:val="clear" w:color="auto" w:fill="D2232A" w:themeFill="accent1"/>
            <w:hideMark/>
          </w:tcPr>
          <w:p w14:paraId="42B1BD74" w14:textId="77777777" w:rsidR="00A01C6F" w:rsidRPr="001838EE" w:rsidRDefault="00A01C6F" w:rsidP="001838EE">
            <w:pPr>
              <w:spacing w:after="0"/>
              <w:jc w:val="left"/>
              <w:rPr>
                <w:color w:val="FFFFFF" w:themeColor="background1"/>
                <w:szCs w:val="18"/>
              </w:rPr>
            </w:pPr>
          </w:p>
          <w:p w14:paraId="097994B5" w14:textId="77777777" w:rsidR="00A01C6F" w:rsidRPr="001838EE" w:rsidRDefault="00A01C6F" w:rsidP="001838EE">
            <w:pPr>
              <w:spacing w:after="0"/>
              <w:jc w:val="left"/>
              <w:rPr>
                <w:color w:val="FFFFFF" w:themeColor="background1"/>
                <w:szCs w:val="18"/>
              </w:rPr>
            </w:pPr>
          </w:p>
          <w:p w14:paraId="7F849084" w14:textId="77777777" w:rsidR="00A01C6F" w:rsidRPr="001838EE" w:rsidRDefault="00A01C6F" w:rsidP="001838EE">
            <w:pPr>
              <w:spacing w:after="0"/>
              <w:jc w:val="left"/>
              <w:rPr>
                <w:color w:val="FFFFFF" w:themeColor="background1"/>
                <w:szCs w:val="18"/>
              </w:rPr>
            </w:pPr>
          </w:p>
          <w:p w14:paraId="42CB345D" w14:textId="77777777" w:rsidR="00A01C6F" w:rsidRPr="001838EE" w:rsidRDefault="00A01C6F" w:rsidP="001838EE">
            <w:pPr>
              <w:spacing w:after="0"/>
              <w:jc w:val="left"/>
              <w:rPr>
                <w:color w:val="FFFFFF" w:themeColor="background1"/>
                <w:szCs w:val="18"/>
              </w:rPr>
            </w:pPr>
          </w:p>
          <w:p w14:paraId="2E809D80" w14:textId="77777777" w:rsidR="00A01C6F" w:rsidRPr="001838EE" w:rsidRDefault="00A01C6F" w:rsidP="001838EE">
            <w:pPr>
              <w:spacing w:after="0"/>
              <w:jc w:val="left"/>
              <w:rPr>
                <w:color w:val="FFFFFF" w:themeColor="background1"/>
                <w:szCs w:val="18"/>
              </w:rPr>
            </w:pPr>
          </w:p>
          <w:p w14:paraId="4DF9C8FF" w14:textId="77777777" w:rsidR="00A01C6F" w:rsidRPr="001838EE" w:rsidRDefault="00A01C6F" w:rsidP="001838EE">
            <w:pPr>
              <w:spacing w:after="0"/>
              <w:jc w:val="left"/>
              <w:rPr>
                <w:color w:val="FFFFFF" w:themeColor="background1"/>
                <w:szCs w:val="18"/>
              </w:rPr>
            </w:pPr>
          </w:p>
          <w:p w14:paraId="114DA296" w14:textId="1726FE63" w:rsidR="008878A0" w:rsidRPr="001838EE" w:rsidRDefault="008878A0" w:rsidP="001838EE">
            <w:pPr>
              <w:spacing w:after="0"/>
              <w:jc w:val="left"/>
              <w:rPr>
                <w:color w:val="FFFFFF" w:themeColor="background1"/>
                <w:szCs w:val="18"/>
              </w:rPr>
            </w:pPr>
            <w:r w:rsidRPr="001838EE">
              <w:rPr>
                <w:color w:val="FFFFFF" w:themeColor="background1"/>
                <w:szCs w:val="18"/>
              </w:rPr>
              <w:t>Planinarske staze</w:t>
            </w:r>
          </w:p>
        </w:tc>
        <w:tc>
          <w:tcPr>
            <w:tcW w:w="7745" w:type="dxa"/>
            <w:tcBorders>
              <w:top w:val="single" w:sz="8" w:space="0" w:color="D2232A"/>
              <w:bottom w:val="single" w:sz="8" w:space="0" w:color="F3CFC1"/>
              <w:right w:val="single" w:sz="8" w:space="0" w:color="D2232A"/>
            </w:tcBorders>
            <w:hideMark/>
          </w:tcPr>
          <w:p w14:paraId="6A62FBFA" w14:textId="77777777" w:rsidR="008878A0" w:rsidRPr="001838EE" w:rsidRDefault="008878A0" w:rsidP="001838EE">
            <w:pPr>
              <w:spacing w:after="0"/>
              <w:rPr>
                <w:rFonts w:cs="Calibri"/>
                <w:szCs w:val="18"/>
              </w:rPr>
            </w:pPr>
            <w:r w:rsidRPr="001838EE">
              <w:rPr>
                <w:rFonts w:eastAsia="ArialNarrow" w:cs="Calibri"/>
                <w:szCs w:val="18"/>
              </w:rPr>
              <w:lastRenderedPageBreak/>
              <w:t>Planinarska staza Pregrada-Kunagora-Vraža peć-Kostelgrad</w:t>
            </w:r>
          </w:p>
        </w:tc>
      </w:tr>
      <w:tr w:rsidR="00A01C6F" w:rsidRPr="001838EE" w14:paraId="69DEDCFF" w14:textId="77777777" w:rsidTr="001838EE">
        <w:trPr>
          <w:trHeight w:val="283"/>
        </w:trPr>
        <w:tc>
          <w:tcPr>
            <w:tcW w:w="0" w:type="auto"/>
            <w:vMerge/>
            <w:shd w:val="clear" w:color="auto" w:fill="D2232A" w:themeFill="accent1"/>
            <w:vAlign w:val="center"/>
            <w:hideMark/>
          </w:tcPr>
          <w:p w14:paraId="587DB816"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A0C0313" w14:textId="77777777" w:rsidR="008878A0" w:rsidRPr="001838EE" w:rsidRDefault="008878A0" w:rsidP="001838EE">
            <w:pPr>
              <w:spacing w:after="0"/>
              <w:rPr>
                <w:rFonts w:eastAsia="ArialNarrow" w:cs="Calibri"/>
                <w:szCs w:val="18"/>
              </w:rPr>
            </w:pPr>
            <w:r w:rsidRPr="001838EE">
              <w:rPr>
                <w:rFonts w:eastAsia="ArialNarrow" w:cs="Calibri"/>
                <w:szCs w:val="18"/>
              </w:rPr>
              <w:t>Planinarska obilaznica "za dušu i tijele Mirko Fulir" Marija Bistrica</w:t>
            </w:r>
          </w:p>
        </w:tc>
      </w:tr>
      <w:tr w:rsidR="00A01C6F" w:rsidRPr="001838EE" w14:paraId="745A206B" w14:textId="77777777" w:rsidTr="001838EE">
        <w:trPr>
          <w:trHeight w:val="283"/>
        </w:trPr>
        <w:tc>
          <w:tcPr>
            <w:tcW w:w="0" w:type="auto"/>
            <w:vMerge/>
            <w:shd w:val="clear" w:color="auto" w:fill="D2232A" w:themeFill="accent1"/>
            <w:vAlign w:val="center"/>
            <w:hideMark/>
          </w:tcPr>
          <w:p w14:paraId="25D10E76"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02486F4" w14:textId="77777777" w:rsidR="008878A0" w:rsidRPr="001838EE" w:rsidRDefault="008878A0" w:rsidP="001838EE">
            <w:pPr>
              <w:spacing w:after="0"/>
              <w:rPr>
                <w:rFonts w:eastAsiaTheme="minorHAnsi" w:cs="Calibri"/>
                <w:szCs w:val="18"/>
              </w:rPr>
            </w:pPr>
            <w:r w:rsidRPr="001838EE">
              <w:rPr>
                <w:rFonts w:eastAsia="ArialNarrow" w:cs="Calibri"/>
                <w:szCs w:val="18"/>
              </w:rPr>
              <w:t>Planinarske staze na Strahinjčici</w:t>
            </w:r>
          </w:p>
        </w:tc>
      </w:tr>
      <w:tr w:rsidR="00A01C6F" w:rsidRPr="001838EE" w14:paraId="4E0A037F" w14:textId="77777777" w:rsidTr="001838EE">
        <w:trPr>
          <w:trHeight w:val="283"/>
        </w:trPr>
        <w:tc>
          <w:tcPr>
            <w:tcW w:w="0" w:type="auto"/>
            <w:vMerge/>
            <w:shd w:val="clear" w:color="auto" w:fill="D2232A" w:themeFill="accent1"/>
            <w:vAlign w:val="center"/>
            <w:hideMark/>
          </w:tcPr>
          <w:p w14:paraId="409AAAA6"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8916CDD" w14:textId="77777777" w:rsidR="008878A0" w:rsidRPr="001838EE" w:rsidRDefault="008878A0" w:rsidP="001838EE">
            <w:pPr>
              <w:spacing w:after="0"/>
              <w:rPr>
                <w:rFonts w:cs="Calibri"/>
                <w:szCs w:val="18"/>
              </w:rPr>
            </w:pPr>
            <w:r w:rsidRPr="001838EE">
              <w:rPr>
                <w:rFonts w:eastAsia="ArialNarrow" w:cs="Calibri"/>
                <w:szCs w:val="18"/>
              </w:rPr>
              <w:t>Planinarske staze na Ivanščici</w:t>
            </w:r>
          </w:p>
        </w:tc>
      </w:tr>
      <w:tr w:rsidR="00A01C6F" w:rsidRPr="001838EE" w14:paraId="6F01ECA1" w14:textId="77777777" w:rsidTr="001838EE">
        <w:trPr>
          <w:trHeight w:val="283"/>
        </w:trPr>
        <w:tc>
          <w:tcPr>
            <w:tcW w:w="0" w:type="auto"/>
            <w:vMerge/>
            <w:shd w:val="clear" w:color="auto" w:fill="D2232A" w:themeFill="accent1"/>
            <w:vAlign w:val="center"/>
            <w:hideMark/>
          </w:tcPr>
          <w:p w14:paraId="7134F53A"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7B0A6F6" w14:textId="77777777" w:rsidR="008878A0" w:rsidRPr="001838EE" w:rsidRDefault="008878A0" w:rsidP="001838EE">
            <w:pPr>
              <w:spacing w:after="0"/>
              <w:rPr>
                <w:rFonts w:eastAsia="ArialNarrow" w:cs="Calibri"/>
                <w:szCs w:val="18"/>
              </w:rPr>
            </w:pPr>
            <w:r w:rsidRPr="001838EE">
              <w:rPr>
                <w:rFonts w:eastAsia="ArialNarrow" w:cs="Calibri"/>
                <w:szCs w:val="18"/>
              </w:rPr>
              <w:t>Planinarske staze na Pokojcu</w:t>
            </w:r>
          </w:p>
        </w:tc>
      </w:tr>
      <w:tr w:rsidR="00A01C6F" w:rsidRPr="001838EE" w14:paraId="2236BADF" w14:textId="77777777" w:rsidTr="001838EE">
        <w:trPr>
          <w:trHeight w:val="283"/>
        </w:trPr>
        <w:tc>
          <w:tcPr>
            <w:tcW w:w="0" w:type="auto"/>
            <w:vMerge/>
            <w:shd w:val="clear" w:color="auto" w:fill="D2232A" w:themeFill="accent1"/>
            <w:vAlign w:val="center"/>
            <w:hideMark/>
          </w:tcPr>
          <w:p w14:paraId="37DFBE58"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D961880" w14:textId="77777777" w:rsidR="008878A0" w:rsidRPr="001838EE" w:rsidRDefault="008878A0" w:rsidP="001838EE">
            <w:pPr>
              <w:spacing w:after="0"/>
              <w:rPr>
                <w:rFonts w:eastAsiaTheme="minorHAnsi" w:cs="Calibri"/>
                <w:szCs w:val="18"/>
              </w:rPr>
            </w:pPr>
            <w:r w:rsidRPr="001838EE">
              <w:rPr>
                <w:rFonts w:eastAsia="ArialNarrow" w:cs="Calibri"/>
                <w:szCs w:val="18"/>
              </w:rPr>
              <w:t>Horvatove stube – Hunjka</w:t>
            </w:r>
          </w:p>
        </w:tc>
      </w:tr>
      <w:tr w:rsidR="00A01C6F" w:rsidRPr="001838EE" w14:paraId="7275167F" w14:textId="77777777" w:rsidTr="001838EE">
        <w:trPr>
          <w:trHeight w:val="283"/>
        </w:trPr>
        <w:tc>
          <w:tcPr>
            <w:tcW w:w="0" w:type="auto"/>
            <w:vMerge/>
            <w:shd w:val="clear" w:color="auto" w:fill="D2232A" w:themeFill="accent1"/>
            <w:vAlign w:val="center"/>
            <w:hideMark/>
          </w:tcPr>
          <w:p w14:paraId="28ABC4B8"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0A69A2A" w14:textId="77777777" w:rsidR="008878A0" w:rsidRPr="001838EE" w:rsidRDefault="008878A0" w:rsidP="001838EE">
            <w:pPr>
              <w:spacing w:after="0"/>
              <w:rPr>
                <w:rFonts w:eastAsia="ArialNarrow" w:cs="Calibri"/>
                <w:szCs w:val="18"/>
              </w:rPr>
            </w:pPr>
            <w:r w:rsidRPr="001838EE">
              <w:rPr>
                <w:rFonts w:eastAsia="ArialNarrow" w:cs="Calibri"/>
                <w:szCs w:val="18"/>
              </w:rPr>
              <w:t>„Javorova staza zdravlja“, Općina Zlatar Bistrica</w:t>
            </w:r>
          </w:p>
        </w:tc>
      </w:tr>
      <w:tr w:rsidR="00A01C6F" w:rsidRPr="001838EE" w14:paraId="27C07536" w14:textId="77777777" w:rsidTr="001838EE">
        <w:trPr>
          <w:trHeight w:val="283"/>
        </w:trPr>
        <w:tc>
          <w:tcPr>
            <w:tcW w:w="0" w:type="auto"/>
            <w:vMerge/>
            <w:shd w:val="clear" w:color="auto" w:fill="D2232A" w:themeFill="accent1"/>
            <w:vAlign w:val="center"/>
            <w:hideMark/>
          </w:tcPr>
          <w:p w14:paraId="10ECECCB"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C44D586" w14:textId="77777777" w:rsidR="008878A0" w:rsidRPr="001838EE" w:rsidRDefault="008878A0" w:rsidP="001838EE">
            <w:pPr>
              <w:spacing w:after="0"/>
              <w:rPr>
                <w:rFonts w:eastAsia="ArialNarrow" w:cs="Calibri"/>
                <w:szCs w:val="18"/>
              </w:rPr>
            </w:pPr>
            <w:r w:rsidRPr="001838EE">
              <w:rPr>
                <w:rFonts w:eastAsia="ArialNarrow" w:cs="Calibri"/>
                <w:szCs w:val="18"/>
              </w:rPr>
              <w:t>Planinarska staza-Trgovišće-Vidikovac, Hrašćina</w:t>
            </w:r>
          </w:p>
        </w:tc>
      </w:tr>
      <w:tr w:rsidR="00A01C6F" w:rsidRPr="001838EE" w14:paraId="792C1AF8" w14:textId="77777777" w:rsidTr="001838EE">
        <w:trPr>
          <w:trHeight w:val="283"/>
        </w:trPr>
        <w:tc>
          <w:tcPr>
            <w:tcW w:w="0" w:type="auto"/>
            <w:vMerge/>
            <w:shd w:val="clear" w:color="auto" w:fill="D2232A" w:themeFill="accent1"/>
            <w:vAlign w:val="center"/>
            <w:hideMark/>
          </w:tcPr>
          <w:p w14:paraId="1D5D5217"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022FC0C" w14:textId="77777777" w:rsidR="008878A0" w:rsidRPr="001838EE" w:rsidRDefault="008878A0" w:rsidP="001838EE">
            <w:pPr>
              <w:spacing w:after="0"/>
              <w:rPr>
                <w:rFonts w:eastAsia="ArialNarrow" w:cs="Calibri"/>
                <w:szCs w:val="18"/>
              </w:rPr>
            </w:pPr>
            <w:r w:rsidRPr="001838EE">
              <w:rPr>
                <w:rFonts w:eastAsia="ArialNarrow" w:cs="Calibri"/>
                <w:szCs w:val="18"/>
              </w:rPr>
              <w:t>Donja Stubica - Kuća Lojzekov izvor</w:t>
            </w:r>
          </w:p>
        </w:tc>
      </w:tr>
      <w:tr w:rsidR="00A01C6F" w:rsidRPr="001838EE" w14:paraId="00E1EFBE" w14:textId="77777777" w:rsidTr="001838EE">
        <w:trPr>
          <w:trHeight w:val="283"/>
        </w:trPr>
        <w:tc>
          <w:tcPr>
            <w:tcW w:w="0" w:type="auto"/>
            <w:vMerge/>
            <w:shd w:val="clear" w:color="auto" w:fill="D2232A" w:themeFill="accent1"/>
            <w:vAlign w:val="center"/>
            <w:hideMark/>
          </w:tcPr>
          <w:p w14:paraId="2C13884B"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46063D1" w14:textId="77777777" w:rsidR="008878A0" w:rsidRPr="001838EE" w:rsidRDefault="008878A0" w:rsidP="001838EE">
            <w:pPr>
              <w:spacing w:after="0"/>
              <w:rPr>
                <w:rFonts w:eastAsia="ArialNarrow" w:cs="Calibri"/>
                <w:szCs w:val="18"/>
              </w:rPr>
            </w:pPr>
            <w:r w:rsidRPr="001838EE">
              <w:rPr>
                <w:rFonts w:eastAsia="ArialNarrow" w:cs="Calibri"/>
                <w:szCs w:val="18"/>
              </w:rPr>
              <w:t>Planinarski put Konjščina - Ivanščica</w:t>
            </w:r>
          </w:p>
        </w:tc>
      </w:tr>
      <w:tr w:rsidR="00A01C6F" w:rsidRPr="001838EE" w14:paraId="174BBAE3" w14:textId="77777777" w:rsidTr="001838EE">
        <w:trPr>
          <w:trHeight w:val="283"/>
        </w:trPr>
        <w:tc>
          <w:tcPr>
            <w:tcW w:w="0" w:type="auto"/>
            <w:vMerge/>
            <w:shd w:val="clear" w:color="auto" w:fill="D2232A" w:themeFill="accent1"/>
            <w:vAlign w:val="center"/>
            <w:hideMark/>
          </w:tcPr>
          <w:p w14:paraId="76B702F1"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5F8DD39" w14:textId="77777777" w:rsidR="008878A0" w:rsidRPr="001838EE" w:rsidRDefault="008878A0" w:rsidP="001838EE">
            <w:pPr>
              <w:spacing w:after="0"/>
              <w:rPr>
                <w:rFonts w:eastAsia="ArialNarrow" w:cs="Calibri"/>
                <w:szCs w:val="18"/>
              </w:rPr>
            </w:pPr>
            <w:r w:rsidRPr="001838EE">
              <w:rPr>
                <w:rFonts w:eastAsia="ArialNarrow" w:cs="Calibri"/>
                <w:szCs w:val="18"/>
              </w:rPr>
              <w:t>Planinarska staza "Po dragome kraju"</w:t>
            </w:r>
          </w:p>
        </w:tc>
      </w:tr>
      <w:tr w:rsidR="00A01C6F" w:rsidRPr="001838EE" w14:paraId="4FB0C36D" w14:textId="77777777" w:rsidTr="001838EE">
        <w:trPr>
          <w:trHeight w:val="283"/>
        </w:trPr>
        <w:tc>
          <w:tcPr>
            <w:tcW w:w="0" w:type="auto"/>
            <w:vMerge/>
            <w:shd w:val="clear" w:color="auto" w:fill="D2232A" w:themeFill="accent1"/>
            <w:vAlign w:val="center"/>
            <w:hideMark/>
          </w:tcPr>
          <w:p w14:paraId="4F4D4E83"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3C9CC55" w14:textId="77777777" w:rsidR="008878A0" w:rsidRPr="001838EE" w:rsidRDefault="008878A0" w:rsidP="001838EE">
            <w:pPr>
              <w:spacing w:after="0"/>
              <w:rPr>
                <w:rFonts w:eastAsia="ArialNarrow" w:cs="Calibri"/>
                <w:szCs w:val="18"/>
              </w:rPr>
            </w:pPr>
            <w:r w:rsidRPr="001838EE">
              <w:rPr>
                <w:rFonts w:eastAsia="ArialNarrow" w:cs="Calibri"/>
                <w:szCs w:val="18"/>
              </w:rPr>
              <w:t>Planinarske staze po brijegu Piclju</w:t>
            </w:r>
          </w:p>
        </w:tc>
      </w:tr>
      <w:tr w:rsidR="00A01C6F" w:rsidRPr="001838EE" w14:paraId="3D625669" w14:textId="77777777" w:rsidTr="001838EE">
        <w:trPr>
          <w:trHeight w:val="283"/>
        </w:trPr>
        <w:tc>
          <w:tcPr>
            <w:tcW w:w="0" w:type="auto"/>
            <w:vMerge/>
            <w:shd w:val="clear" w:color="auto" w:fill="D2232A" w:themeFill="accent1"/>
            <w:vAlign w:val="center"/>
            <w:hideMark/>
          </w:tcPr>
          <w:p w14:paraId="4B4611AD" w14:textId="77777777" w:rsidR="008878A0" w:rsidRPr="001838EE" w:rsidRDefault="008878A0" w:rsidP="001838EE">
            <w:pPr>
              <w:spacing w:after="0"/>
              <w:jc w:val="left"/>
              <w:rPr>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5A20F4F6" w14:textId="77777777" w:rsidR="008878A0" w:rsidRPr="001838EE" w:rsidRDefault="008878A0" w:rsidP="001838EE">
            <w:pPr>
              <w:spacing w:after="0"/>
              <w:rPr>
                <w:rFonts w:eastAsia="ArialNarrow" w:cs="Calibri"/>
                <w:szCs w:val="18"/>
              </w:rPr>
            </w:pPr>
            <w:r w:rsidRPr="001838EE">
              <w:rPr>
                <w:rFonts w:eastAsia="ArialNarrow" w:cs="Calibri"/>
                <w:szCs w:val="18"/>
              </w:rPr>
              <w:t>Planinarska staza Sv. Magdalena-crkva Majke božje Klupci-Zabok</w:t>
            </w:r>
          </w:p>
        </w:tc>
      </w:tr>
      <w:tr w:rsidR="00A01C6F" w:rsidRPr="001838EE" w14:paraId="35F55EA9" w14:textId="77777777" w:rsidTr="001838EE">
        <w:trPr>
          <w:trHeight w:val="283"/>
        </w:trPr>
        <w:tc>
          <w:tcPr>
            <w:tcW w:w="1271" w:type="dxa"/>
            <w:vMerge w:val="restart"/>
            <w:shd w:val="clear" w:color="auto" w:fill="D2232A" w:themeFill="accent1"/>
            <w:hideMark/>
          </w:tcPr>
          <w:p w14:paraId="6BC646FF" w14:textId="77777777" w:rsidR="00A01C6F" w:rsidRPr="001838EE" w:rsidRDefault="00A01C6F" w:rsidP="001838EE">
            <w:pPr>
              <w:spacing w:after="0"/>
              <w:jc w:val="left"/>
              <w:rPr>
                <w:rFonts w:cs="Calibri"/>
                <w:color w:val="FFFFFF" w:themeColor="background1"/>
                <w:szCs w:val="18"/>
              </w:rPr>
            </w:pPr>
          </w:p>
          <w:p w14:paraId="5054DE4C" w14:textId="77777777" w:rsidR="00A01C6F" w:rsidRPr="001838EE" w:rsidRDefault="00A01C6F" w:rsidP="001838EE">
            <w:pPr>
              <w:spacing w:after="0"/>
              <w:jc w:val="left"/>
              <w:rPr>
                <w:rFonts w:cs="Calibri"/>
                <w:color w:val="FFFFFF" w:themeColor="background1"/>
                <w:szCs w:val="18"/>
              </w:rPr>
            </w:pPr>
          </w:p>
          <w:p w14:paraId="6737F352" w14:textId="164CFAFC" w:rsidR="00A01C6F" w:rsidRDefault="00A01C6F" w:rsidP="001838EE">
            <w:pPr>
              <w:spacing w:after="0"/>
              <w:jc w:val="left"/>
              <w:rPr>
                <w:rFonts w:cs="Calibri"/>
                <w:color w:val="FFFFFF" w:themeColor="background1"/>
                <w:szCs w:val="18"/>
              </w:rPr>
            </w:pPr>
          </w:p>
          <w:p w14:paraId="2245425B" w14:textId="560F685C" w:rsidR="001C0B08" w:rsidRDefault="001C0B08" w:rsidP="001838EE">
            <w:pPr>
              <w:spacing w:after="0"/>
              <w:jc w:val="left"/>
              <w:rPr>
                <w:rFonts w:cs="Calibri"/>
                <w:color w:val="FFFFFF" w:themeColor="background1"/>
                <w:szCs w:val="18"/>
              </w:rPr>
            </w:pPr>
          </w:p>
          <w:p w14:paraId="28238051" w14:textId="74FE76AB" w:rsidR="001C0B08" w:rsidRDefault="001C0B08" w:rsidP="001838EE">
            <w:pPr>
              <w:spacing w:after="0"/>
              <w:jc w:val="left"/>
              <w:rPr>
                <w:rFonts w:cs="Calibri"/>
                <w:color w:val="FFFFFF" w:themeColor="background1"/>
                <w:szCs w:val="18"/>
              </w:rPr>
            </w:pPr>
          </w:p>
          <w:p w14:paraId="611B76C1" w14:textId="77777777" w:rsidR="001C0B08" w:rsidRPr="001838EE" w:rsidRDefault="001C0B08" w:rsidP="001838EE">
            <w:pPr>
              <w:spacing w:after="0"/>
              <w:jc w:val="left"/>
              <w:rPr>
                <w:rFonts w:cs="Calibri"/>
                <w:color w:val="FFFFFF" w:themeColor="background1"/>
                <w:szCs w:val="18"/>
              </w:rPr>
            </w:pPr>
          </w:p>
          <w:p w14:paraId="0099DA35" w14:textId="62E0DAD4" w:rsidR="008878A0" w:rsidRPr="001838EE" w:rsidRDefault="008878A0" w:rsidP="001838EE">
            <w:pPr>
              <w:spacing w:after="0"/>
              <w:jc w:val="left"/>
              <w:rPr>
                <w:rFonts w:eastAsiaTheme="minorHAnsi" w:cs="Calibri"/>
                <w:color w:val="FFFFFF" w:themeColor="background1"/>
                <w:szCs w:val="18"/>
              </w:rPr>
            </w:pPr>
            <w:r w:rsidRPr="001838EE">
              <w:rPr>
                <w:rFonts w:cs="Calibri"/>
                <w:color w:val="FFFFFF" w:themeColor="background1"/>
                <w:szCs w:val="18"/>
              </w:rPr>
              <w:t>Pješačke staze i šetnice</w:t>
            </w:r>
          </w:p>
        </w:tc>
        <w:tc>
          <w:tcPr>
            <w:tcW w:w="7745" w:type="dxa"/>
            <w:tcBorders>
              <w:top w:val="single" w:sz="8" w:space="0" w:color="F3CFC1"/>
              <w:bottom w:val="single" w:sz="8" w:space="0" w:color="F3CFC1"/>
              <w:right w:val="single" w:sz="8" w:space="0" w:color="D2232A"/>
            </w:tcBorders>
            <w:hideMark/>
          </w:tcPr>
          <w:p w14:paraId="2954D17D" w14:textId="77777777" w:rsidR="008878A0" w:rsidRPr="001838EE" w:rsidRDefault="008878A0" w:rsidP="001838EE">
            <w:pPr>
              <w:spacing w:after="0"/>
              <w:rPr>
                <w:rFonts w:cs="Calibri"/>
                <w:szCs w:val="18"/>
              </w:rPr>
            </w:pPr>
            <w:r w:rsidRPr="001838EE">
              <w:rPr>
                <w:rFonts w:eastAsia="ArialNarrow" w:cs="Calibri"/>
                <w:szCs w:val="18"/>
              </w:rPr>
              <w:t>Lovne staze krapinskog pračovjeka, Jesenje</w:t>
            </w:r>
          </w:p>
        </w:tc>
      </w:tr>
      <w:tr w:rsidR="00A01C6F" w:rsidRPr="001838EE" w14:paraId="0D1BE4B1" w14:textId="77777777" w:rsidTr="001838EE">
        <w:trPr>
          <w:trHeight w:val="283"/>
        </w:trPr>
        <w:tc>
          <w:tcPr>
            <w:tcW w:w="0" w:type="auto"/>
            <w:vMerge/>
            <w:shd w:val="clear" w:color="auto" w:fill="D2232A" w:themeFill="accent1"/>
            <w:vAlign w:val="center"/>
            <w:hideMark/>
          </w:tcPr>
          <w:p w14:paraId="213D4BDB"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793D33F" w14:textId="77777777" w:rsidR="008878A0" w:rsidRPr="001838EE" w:rsidRDefault="008878A0" w:rsidP="001838EE">
            <w:pPr>
              <w:spacing w:after="0"/>
              <w:rPr>
                <w:rFonts w:eastAsia="ArialNarrow" w:cs="Calibri"/>
                <w:szCs w:val="18"/>
              </w:rPr>
            </w:pPr>
            <w:r w:rsidRPr="001838EE">
              <w:rPr>
                <w:rFonts w:eastAsia="ArialNarrow" w:cs="Calibri"/>
                <w:szCs w:val="18"/>
              </w:rPr>
              <w:t>Tuheljskim krajem, Tuhelj</w:t>
            </w:r>
          </w:p>
        </w:tc>
      </w:tr>
      <w:tr w:rsidR="00A01C6F" w:rsidRPr="001838EE" w14:paraId="2301C0F5" w14:textId="77777777" w:rsidTr="001838EE">
        <w:trPr>
          <w:trHeight w:val="283"/>
        </w:trPr>
        <w:tc>
          <w:tcPr>
            <w:tcW w:w="0" w:type="auto"/>
            <w:vMerge/>
            <w:shd w:val="clear" w:color="auto" w:fill="D2232A" w:themeFill="accent1"/>
            <w:vAlign w:val="center"/>
            <w:hideMark/>
          </w:tcPr>
          <w:p w14:paraId="022114C0"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A25B0F0" w14:textId="77777777" w:rsidR="008878A0" w:rsidRPr="001838EE" w:rsidRDefault="008878A0" w:rsidP="001838EE">
            <w:pPr>
              <w:spacing w:after="0"/>
              <w:rPr>
                <w:rFonts w:eastAsia="ArialNarrow" w:cs="Calibri"/>
                <w:szCs w:val="18"/>
              </w:rPr>
            </w:pPr>
            <w:r w:rsidRPr="001838EE">
              <w:rPr>
                <w:rFonts w:eastAsia="ArialNarrow" w:cs="Calibri"/>
                <w:szCs w:val="18"/>
              </w:rPr>
              <w:t>Toplički pješački prsten, Krapinske Toplice</w:t>
            </w:r>
          </w:p>
        </w:tc>
      </w:tr>
      <w:tr w:rsidR="00A01C6F" w:rsidRPr="001838EE" w14:paraId="0BED24F9" w14:textId="77777777" w:rsidTr="001838EE">
        <w:trPr>
          <w:trHeight w:val="283"/>
        </w:trPr>
        <w:tc>
          <w:tcPr>
            <w:tcW w:w="0" w:type="auto"/>
            <w:vMerge/>
            <w:shd w:val="clear" w:color="auto" w:fill="D2232A" w:themeFill="accent1"/>
            <w:vAlign w:val="center"/>
            <w:hideMark/>
          </w:tcPr>
          <w:p w14:paraId="1554325A"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5A1C54C6" w14:textId="77777777" w:rsidR="008878A0" w:rsidRPr="001838EE" w:rsidRDefault="008878A0" w:rsidP="001838EE">
            <w:pPr>
              <w:spacing w:after="0"/>
              <w:rPr>
                <w:rFonts w:eastAsiaTheme="minorHAnsi" w:cs="Calibri"/>
                <w:szCs w:val="18"/>
              </w:rPr>
            </w:pPr>
            <w:r w:rsidRPr="001838EE">
              <w:rPr>
                <w:rFonts w:eastAsia="ArialNarrow" w:cs="Calibri"/>
                <w:szCs w:val="18"/>
              </w:rPr>
              <w:t>Po brvnu preko granice – Zagorska Sela</w:t>
            </w:r>
          </w:p>
        </w:tc>
      </w:tr>
      <w:tr w:rsidR="00A01C6F" w:rsidRPr="001838EE" w14:paraId="38050E0E" w14:textId="77777777" w:rsidTr="001838EE">
        <w:trPr>
          <w:trHeight w:val="283"/>
        </w:trPr>
        <w:tc>
          <w:tcPr>
            <w:tcW w:w="0" w:type="auto"/>
            <w:vMerge/>
            <w:shd w:val="clear" w:color="auto" w:fill="D2232A" w:themeFill="accent1"/>
            <w:vAlign w:val="center"/>
            <w:hideMark/>
          </w:tcPr>
          <w:p w14:paraId="23B00D4C"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3FACFDD" w14:textId="77777777" w:rsidR="008878A0" w:rsidRPr="001838EE" w:rsidRDefault="008878A0" w:rsidP="001838EE">
            <w:pPr>
              <w:spacing w:after="0"/>
              <w:rPr>
                <w:rFonts w:cs="Calibri"/>
                <w:szCs w:val="18"/>
              </w:rPr>
            </w:pPr>
            <w:r w:rsidRPr="001838EE">
              <w:rPr>
                <w:rFonts w:eastAsia="ArialNarrow" w:cs="Calibri"/>
                <w:szCs w:val="18"/>
              </w:rPr>
              <w:t>Od crkvice do crkvice – Zagorska Sela</w:t>
            </w:r>
          </w:p>
        </w:tc>
      </w:tr>
      <w:tr w:rsidR="00A01C6F" w:rsidRPr="001838EE" w14:paraId="03AE848E" w14:textId="77777777" w:rsidTr="001838EE">
        <w:trPr>
          <w:trHeight w:val="283"/>
        </w:trPr>
        <w:tc>
          <w:tcPr>
            <w:tcW w:w="0" w:type="auto"/>
            <w:vMerge/>
            <w:shd w:val="clear" w:color="auto" w:fill="D2232A" w:themeFill="accent1"/>
            <w:vAlign w:val="center"/>
            <w:hideMark/>
          </w:tcPr>
          <w:p w14:paraId="34F8EE7A"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CE18B6C" w14:textId="77777777" w:rsidR="008878A0" w:rsidRPr="001838EE" w:rsidRDefault="008878A0" w:rsidP="001838EE">
            <w:pPr>
              <w:spacing w:after="0"/>
              <w:rPr>
                <w:rFonts w:cs="Calibri"/>
                <w:szCs w:val="18"/>
              </w:rPr>
            </w:pPr>
            <w:r w:rsidRPr="001838EE">
              <w:rPr>
                <w:rFonts w:eastAsia="ArialNarrow" w:cs="Calibri"/>
                <w:szCs w:val="18"/>
              </w:rPr>
              <w:t>K svetoj Emi – Zagorska Sela – Slovenija</w:t>
            </w:r>
          </w:p>
        </w:tc>
      </w:tr>
      <w:tr w:rsidR="00A01C6F" w:rsidRPr="001838EE" w14:paraId="338B0271" w14:textId="77777777" w:rsidTr="001838EE">
        <w:trPr>
          <w:trHeight w:val="283"/>
        </w:trPr>
        <w:tc>
          <w:tcPr>
            <w:tcW w:w="0" w:type="auto"/>
            <w:vMerge/>
            <w:shd w:val="clear" w:color="auto" w:fill="D2232A" w:themeFill="accent1"/>
            <w:vAlign w:val="center"/>
            <w:hideMark/>
          </w:tcPr>
          <w:p w14:paraId="591FF8A7"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A92F9EE" w14:textId="77777777" w:rsidR="008878A0" w:rsidRPr="001838EE" w:rsidRDefault="008878A0" w:rsidP="001838EE">
            <w:pPr>
              <w:spacing w:after="0"/>
              <w:rPr>
                <w:rFonts w:eastAsia="ArialNarrow" w:cs="Calibri"/>
                <w:szCs w:val="18"/>
              </w:rPr>
            </w:pPr>
            <w:r w:rsidRPr="001838EE">
              <w:rPr>
                <w:rFonts w:eastAsia="ArialNarrow" w:cs="Calibri"/>
                <w:szCs w:val="18"/>
              </w:rPr>
              <w:t>Poučno-pješačka staza na Risvičku goru (Značajni krajobraz Zelenjak)</w:t>
            </w:r>
          </w:p>
        </w:tc>
      </w:tr>
      <w:tr w:rsidR="00A01C6F" w:rsidRPr="001838EE" w14:paraId="137D7AEB" w14:textId="77777777" w:rsidTr="001838EE">
        <w:trPr>
          <w:trHeight w:val="283"/>
        </w:trPr>
        <w:tc>
          <w:tcPr>
            <w:tcW w:w="0" w:type="auto"/>
            <w:vMerge/>
            <w:shd w:val="clear" w:color="auto" w:fill="D2232A" w:themeFill="accent1"/>
            <w:vAlign w:val="center"/>
            <w:hideMark/>
          </w:tcPr>
          <w:p w14:paraId="76E980DD"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70199FD" w14:textId="77777777" w:rsidR="008878A0" w:rsidRPr="001838EE" w:rsidRDefault="008878A0" w:rsidP="001838EE">
            <w:pPr>
              <w:spacing w:after="0"/>
              <w:rPr>
                <w:rFonts w:eastAsia="ArialNarrow" w:cs="Calibri"/>
                <w:szCs w:val="18"/>
              </w:rPr>
            </w:pPr>
            <w:r w:rsidRPr="001838EE">
              <w:rPr>
                <w:rFonts w:eastAsia="ArialNarrow" w:cs="Calibri"/>
                <w:szCs w:val="18"/>
              </w:rPr>
              <w:t>Pješačka staza Kamenjak, Donja Stubica</w:t>
            </w:r>
          </w:p>
        </w:tc>
      </w:tr>
      <w:tr w:rsidR="00A01C6F" w:rsidRPr="001838EE" w14:paraId="196B3DB4" w14:textId="77777777" w:rsidTr="001838EE">
        <w:trPr>
          <w:trHeight w:val="283"/>
        </w:trPr>
        <w:tc>
          <w:tcPr>
            <w:tcW w:w="0" w:type="auto"/>
            <w:vMerge/>
            <w:shd w:val="clear" w:color="auto" w:fill="D2232A" w:themeFill="accent1"/>
            <w:vAlign w:val="center"/>
            <w:hideMark/>
          </w:tcPr>
          <w:p w14:paraId="4FE15486"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27479A4" w14:textId="77777777" w:rsidR="008878A0" w:rsidRPr="001838EE" w:rsidRDefault="008878A0" w:rsidP="001838EE">
            <w:pPr>
              <w:spacing w:after="0"/>
              <w:rPr>
                <w:rFonts w:eastAsia="ArialNarrow" w:cs="Calibri"/>
                <w:szCs w:val="18"/>
              </w:rPr>
            </w:pPr>
            <w:r w:rsidRPr="001838EE">
              <w:rPr>
                <w:rFonts w:eastAsia="ArialNarrow" w:cs="Calibri"/>
                <w:szCs w:val="18"/>
              </w:rPr>
              <w:t>Pješačka staza Gupčevim krajem</w:t>
            </w:r>
          </w:p>
        </w:tc>
      </w:tr>
      <w:tr w:rsidR="00A01C6F" w:rsidRPr="001838EE" w14:paraId="0C493C57" w14:textId="77777777" w:rsidTr="001838EE">
        <w:trPr>
          <w:trHeight w:val="283"/>
        </w:trPr>
        <w:tc>
          <w:tcPr>
            <w:tcW w:w="0" w:type="auto"/>
            <w:vMerge/>
            <w:shd w:val="clear" w:color="auto" w:fill="D2232A" w:themeFill="accent1"/>
            <w:vAlign w:val="center"/>
            <w:hideMark/>
          </w:tcPr>
          <w:p w14:paraId="422AF3EA"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4DC2377" w14:textId="77777777" w:rsidR="008878A0" w:rsidRPr="001838EE" w:rsidRDefault="008878A0" w:rsidP="001838EE">
            <w:pPr>
              <w:spacing w:after="0"/>
              <w:rPr>
                <w:rFonts w:eastAsia="ArialNarrow" w:cs="Calibri"/>
                <w:szCs w:val="18"/>
              </w:rPr>
            </w:pPr>
            <w:r w:rsidRPr="001838EE">
              <w:rPr>
                <w:rFonts w:eastAsia="ArialNarrow" w:cs="Calibri"/>
                <w:szCs w:val="18"/>
              </w:rPr>
              <w:t>Kajbumščakov put - Grad Krapina</w:t>
            </w:r>
          </w:p>
        </w:tc>
      </w:tr>
      <w:tr w:rsidR="00A01C6F" w:rsidRPr="001838EE" w14:paraId="3725C903" w14:textId="77777777" w:rsidTr="001838EE">
        <w:trPr>
          <w:trHeight w:val="283"/>
        </w:trPr>
        <w:tc>
          <w:tcPr>
            <w:tcW w:w="0" w:type="auto"/>
            <w:vMerge/>
            <w:shd w:val="clear" w:color="auto" w:fill="D2232A" w:themeFill="accent1"/>
            <w:vAlign w:val="center"/>
            <w:hideMark/>
          </w:tcPr>
          <w:p w14:paraId="709C7A3E"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E0A95E8" w14:textId="77777777" w:rsidR="008878A0" w:rsidRPr="001838EE" w:rsidRDefault="008878A0" w:rsidP="001838EE">
            <w:pPr>
              <w:spacing w:after="0"/>
              <w:rPr>
                <w:rFonts w:eastAsia="ArialNarrow" w:cs="Calibri"/>
                <w:szCs w:val="18"/>
              </w:rPr>
            </w:pPr>
            <w:r w:rsidRPr="001838EE">
              <w:rPr>
                <w:rFonts w:eastAsia="ArialNarrow" w:cs="Calibri"/>
                <w:szCs w:val="18"/>
              </w:rPr>
              <w:t>Pješačka staza - ruta "Uz Horvatsku" (nasuprot Terma Tuhelj)</w:t>
            </w:r>
          </w:p>
        </w:tc>
      </w:tr>
      <w:tr w:rsidR="00A01C6F" w:rsidRPr="001838EE" w14:paraId="152089F9" w14:textId="77777777" w:rsidTr="001838EE">
        <w:trPr>
          <w:trHeight w:val="283"/>
        </w:trPr>
        <w:tc>
          <w:tcPr>
            <w:tcW w:w="0" w:type="auto"/>
            <w:vMerge/>
            <w:shd w:val="clear" w:color="auto" w:fill="D2232A" w:themeFill="accent1"/>
            <w:vAlign w:val="center"/>
            <w:hideMark/>
          </w:tcPr>
          <w:p w14:paraId="3F9D48DD"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00118C9" w14:textId="77777777" w:rsidR="008878A0" w:rsidRPr="001838EE" w:rsidRDefault="008878A0" w:rsidP="001838EE">
            <w:pPr>
              <w:spacing w:after="0"/>
              <w:rPr>
                <w:rFonts w:eastAsia="ArialNarrow" w:cs="Calibri"/>
                <w:szCs w:val="18"/>
              </w:rPr>
            </w:pPr>
            <w:r w:rsidRPr="001838EE">
              <w:rPr>
                <w:rFonts w:eastAsia="ArialNarrow" w:cs="Calibri"/>
                <w:szCs w:val="18"/>
              </w:rPr>
              <w:t>Ksaverova staza-Zabok-dvorac Đalski-Planinarska kuća Picelj</w:t>
            </w:r>
          </w:p>
        </w:tc>
      </w:tr>
      <w:tr w:rsidR="00A01C6F" w:rsidRPr="001838EE" w14:paraId="2F99F6AA" w14:textId="77777777" w:rsidTr="001838EE">
        <w:trPr>
          <w:trHeight w:val="283"/>
        </w:trPr>
        <w:tc>
          <w:tcPr>
            <w:tcW w:w="0" w:type="auto"/>
            <w:vMerge/>
            <w:shd w:val="clear" w:color="auto" w:fill="D2232A" w:themeFill="accent1"/>
            <w:vAlign w:val="center"/>
            <w:hideMark/>
          </w:tcPr>
          <w:p w14:paraId="1C59DCB7"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E75285B" w14:textId="77777777" w:rsidR="008878A0" w:rsidRPr="001838EE" w:rsidRDefault="008878A0" w:rsidP="001838EE">
            <w:pPr>
              <w:spacing w:after="0"/>
              <w:rPr>
                <w:rFonts w:eastAsia="ArialNarrow" w:cs="Calibri"/>
                <w:szCs w:val="18"/>
              </w:rPr>
            </w:pPr>
            <w:r w:rsidRPr="001838EE">
              <w:rPr>
                <w:rFonts w:eastAsia="ArialNarrow" w:cs="Calibri"/>
                <w:szCs w:val="18"/>
              </w:rPr>
              <w:t>E-šetnica Marija Bistrica</w:t>
            </w:r>
          </w:p>
        </w:tc>
      </w:tr>
      <w:tr w:rsidR="00A01C6F" w:rsidRPr="001838EE" w14:paraId="76F17D90" w14:textId="77777777" w:rsidTr="001838EE">
        <w:trPr>
          <w:trHeight w:val="283"/>
        </w:trPr>
        <w:tc>
          <w:tcPr>
            <w:tcW w:w="0" w:type="auto"/>
            <w:vMerge/>
            <w:shd w:val="clear" w:color="auto" w:fill="D2232A" w:themeFill="accent1"/>
            <w:vAlign w:val="center"/>
            <w:hideMark/>
          </w:tcPr>
          <w:p w14:paraId="409895CC"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8B79C3C" w14:textId="77777777" w:rsidR="008878A0" w:rsidRPr="001838EE" w:rsidRDefault="008878A0" w:rsidP="001838EE">
            <w:pPr>
              <w:spacing w:after="0"/>
              <w:rPr>
                <w:rFonts w:eastAsia="ArialNarrow" w:cs="Calibri"/>
                <w:szCs w:val="18"/>
              </w:rPr>
            </w:pPr>
            <w:r w:rsidRPr="001838EE">
              <w:rPr>
                <w:rFonts w:eastAsia="ArialNarrow" w:cs="Calibri"/>
                <w:szCs w:val="18"/>
              </w:rPr>
              <w:t>Pješačka staza oko Bedekovčanskih jezera</w:t>
            </w:r>
          </w:p>
        </w:tc>
      </w:tr>
      <w:tr w:rsidR="00A01C6F" w:rsidRPr="001838EE" w14:paraId="6FF2A53A" w14:textId="77777777" w:rsidTr="001838EE">
        <w:trPr>
          <w:trHeight w:val="283"/>
        </w:trPr>
        <w:tc>
          <w:tcPr>
            <w:tcW w:w="0" w:type="auto"/>
            <w:vMerge/>
            <w:shd w:val="clear" w:color="auto" w:fill="D2232A" w:themeFill="accent1"/>
            <w:vAlign w:val="center"/>
            <w:hideMark/>
          </w:tcPr>
          <w:p w14:paraId="296B005D"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8F9BDCA" w14:textId="77777777" w:rsidR="008878A0" w:rsidRPr="001838EE" w:rsidRDefault="008878A0" w:rsidP="001838EE">
            <w:pPr>
              <w:spacing w:after="0"/>
              <w:rPr>
                <w:rFonts w:eastAsia="ArialNarrow" w:cs="Calibri"/>
                <w:szCs w:val="18"/>
              </w:rPr>
            </w:pPr>
            <w:r w:rsidRPr="001838EE">
              <w:rPr>
                <w:rFonts w:eastAsia="ArialNarrow" w:cs="Calibri"/>
                <w:szCs w:val="18"/>
              </w:rPr>
              <w:t>Lenartove stube u Pregradi</w:t>
            </w:r>
          </w:p>
        </w:tc>
      </w:tr>
      <w:tr w:rsidR="00A01C6F" w:rsidRPr="001838EE" w14:paraId="611F3DE4" w14:textId="77777777" w:rsidTr="001838EE">
        <w:trPr>
          <w:trHeight w:val="283"/>
        </w:trPr>
        <w:tc>
          <w:tcPr>
            <w:tcW w:w="1271" w:type="dxa"/>
            <w:vMerge w:val="restart"/>
            <w:shd w:val="clear" w:color="auto" w:fill="D2232A" w:themeFill="accent1"/>
            <w:hideMark/>
          </w:tcPr>
          <w:p w14:paraId="3DD8FBD4" w14:textId="77777777" w:rsidR="001C0B08" w:rsidRDefault="001C0B08" w:rsidP="001838EE">
            <w:pPr>
              <w:spacing w:after="0"/>
              <w:jc w:val="left"/>
              <w:rPr>
                <w:rFonts w:cs="Calibri"/>
                <w:color w:val="FFFFFF" w:themeColor="background1"/>
                <w:szCs w:val="18"/>
              </w:rPr>
            </w:pPr>
          </w:p>
          <w:p w14:paraId="1CA33D57" w14:textId="77777777" w:rsidR="001C0B08" w:rsidRDefault="001C0B08" w:rsidP="001838EE">
            <w:pPr>
              <w:spacing w:after="0"/>
              <w:jc w:val="left"/>
              <w:rPr>
                <w:rFonts w:cs="Calibri"/>
                <w:color w:val="FFFFFF" w:themeColor="background1"/>
                <w:szCs w:val="18"/>
              </w:rPr>
            </w:pPr>
          </w:p>
          <w:p w14:paraId="4B7A24F8" w14:textId="77777777" w:rsidR="001C0B08" w:rsidRDefault="001C0B08" w:rsidP="001838EE">
            <w:pPr>
              <w:spacing w:after="0"/>
              <w:jc w:val="left"/>
              <w:rPr>
                <w:rFonts w:cs="Calibri"/>
                <w:color w:val="FFFFFF" w:themeColor="background1"/>
                <w:szCs w:val="18"/>
              </w:rPr>
            </w:pPr>
          </w:p>
          <w:p w14:paraId="350B74B4" w14:textId="77777777" w:rsidR="001C0B08" w:rsidRDefault="001C0B08" w:rsidP="001838EE">
            <w:pPr>
              <w:spacing w:after="0"/>
              <w:jc w:val="left"/>
              <w:rPr>
                <w:rFonts w:cs="Calibri"/>
                <w:color w:val="FFFFFF" w:themeColor="background1"/>
                <w:szCs w:val="18"/>
              </w:rPr>
            </w:pPr>
          </w:p>
          <w:p w14:paraId="06AFB90F" w14:textId="77777777" w:rsidR="001C0B08" w:rsidRDefault="001C0B08" w:rsidP="001838EE">
            <w:pPr>
              <w:spacing w:after="0"/>
              <w:jc w:val="left"/>
              <w:rPr>
                <w:rFonts w:cs="Calibri"/>
                <w:color w:val="FFFFFF" w:themeColor="background1"/>
                <w:szCs w:val="18"/>
              </w:rPr>
            </w:pPr>
          </w:p>
          <w:p w14:paraId="2C5666E8" w14:textId="77777777" w:rsidR="001C0B08" w:rsidRDefault="001C0B08" w:rsidP="001838EE">
            <w:pPr>
              <w:spacing w:after="0"/>
              <w:jc w:val="left"/>
              <w:rPr>
                <w:rFonts w:cs="Calibri"/>
                <w:color w:val="FFFFFF" w:themeColor="background1"/>
                <w:szCs w:val="18"/>
              </w:rPr>
            </w:pPr>
          </w:p>
          <w:p w14:paraId="4AB9A0C6" w14:textId="1E5B36EA" w:rsidR="008878A0" w:rsidRPr="001838EE" w:rsidRDefault="008878A0" w:rsidP="001838EE">
            <w:pPr>
              <w:spacing w:after="0"/>
              <w:jc w:val="left"/>
              <w:rPr>
                <w:rFonts w:eastAsiaTheme="minorHAnsi" w:cs="Calibri"/>
                <w:color w:val="FFFFFF" w:themeColor="background1"/>
                <w:szCs w:val="18"/>
              </w:rPr>
            </w:pPr>
            <w:r w:rsidRPr="001838EE">
              <w:rPr>
                <w:rFonts w:cs="Calibri"/>
                <w:color w:val="FFFFFF" w:themeColor="background1"/>
                <w:szCs w:val="18"/>
              </w:rPr>
              <w:t>Poučne staze</w:t>
            </w:r>
          </w:p>
        </w:tc>
        <w:tc>
          <w:tcPr>
            <w:tcW w:w="7745" w:type="dxa"/>
            <w:tcBorders>
              <w:top w:val="single" w:sz="8" w:space="0" w:color="F3CFC1"/>
              <w:bottom w:val="single" w:sz="8" w:space="0" w:color="F3CFC1"/>
              <w:right w:val="single" w:sz="8" w:space="0" w:color="D2232A"/>
            </w:tcBorders>
            <w:hideMark/>
          </w:tcPr>
          <w:p w14:paraId="4E59ABC3" w14:textId="77777777" w:rsidR="008878A0" w:rsidRPr="001838EE" w:rsidRDefault="008878A0" w:rsidP="001838EE">
            <w:pPr>
              <w:spacing w:after="0"/>
              <w:rPr>
                <w:rFonts w:eastAsia="ArialNarrow" w:cs="Calibri"/>
                <w:szCs w:val="18"/>
              </w:rPr>
            </w:pPr>
            <w:r w:rsidRPr="001838EE">
              <w:rPr>
                <w:rFonts w:eastAsia="ArialNarrow" w:cs="Calibri"/>
                <w:szCs w:val="18"/>
              </w:rPr>
              <w:t>Planinarsko-poučna staza Put orhideja, Radoboj</w:t>
            </w:r>
          </w:p>
        </w:tc>
      </w:tr>
      <w:tr w:rsidR="00A01C6F" w:rsidRPr="001838EE" w14:paraId="4E9A350D" w14:textId="77777777" w:rsidTr="001838EE">
        <w:trPr>
          <w:trHeight w:val="283"/>
        </w:trPr>
        <w:tc>
          <w:tcPr>
            <w:tcW w:w="0" w:type="auto"/>
            <w:vMerge/>
            <w:shd w:val="clear" w:color="auto" w:fill="D2232A" w:themeFill="accent1"/>
            <w:vAlign w:val="center"/>
            <w:hideMark/>
          </w:tcPr>
          <w:p w14:paraId="06963CCE"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CA770AB" w14:textId="77777777" w:rsidR="008878A0" w:rsidRPr="001838EE" w:rsidRDefault="008878A0" w:rsidP="001838EE">
            <w:pPr>
              <w:spacing w:after="0"/>
              <w:rPr>
                <w:rFonts w:eastAsia="ArialNarrow" w:cs="Calibri"/>
                <w:szCs w:val="18"/>
              </w:rPr>
            </w:pPr>
            <w:r w:rsidRPr="001838EE">
              <w:rPr>
                <w:rFonts w:eastAsia="ArialNarrow" w:cs="Calibri"/>
                <w:szCs w:val="18"/>
              </w:rPr>
              <w:t>Poučna eko-staza na Cesarskoj gori, Klanjec</w:t>
            </w:r>
          </w:p>
        </w:tc>
      </w:tr>
      <w:tr w:rsidR="00A01C6F" w:rsidRPr="001838EE" w14:paraId="55D89B6A" w14:textId="77777777" w:rsidTr="001838EE">
        <w:trPr>
          <w:trHeight w:val="283"/>
        </w:trPr>
        <w:tc>
          <w:tcPr>
            <w:tcW w:w="0" w:type="auto"/>
            <w:vMerge/>
            <w:shd w:val="clear" w:color="auto" w:fill="D2232A" w:themeFill="accent1"/>
            <w:vAlign w:val="center"/>
            <w:hideMark/>
          </w:tcPr>
          <w:p w14:paraId="0CF200E7"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B1954D7" w14:textId="77777777" w:rsidR="008878A0" w:rsidRPr="001838EE" w:rsidRDefault="008878A0" w:rsidP="001838EE">
            <w:pPr>
              <w:spacing w:after="0"/>
              <w:rPr>
                <w:rFonts w:eastAsia="ArialNarrow" w:cs="Calibri"/>
                <w:szCs w:val="18"/>
              </w:rPr>
            </w:pPr>
            <w:r w:rsidRPr="001838EE">
              <w:rPr>
                <w:rFonts w:eastAsia="ArialNarrow" w:cs="Calibri"/>
                <w:szCs w:val="18"/>
              </w:rPr>
              <w:t>Poučna staza "Šumarica", Općina Zlatar Bistrica</w:t>
            </w:r>
          </w:p>
        </w:tc>
      </w:tr>
      <w:tr w:rsidR="00A01C6F" w:rsidRPr="001838EE" w14:paraId="17C61848" w14:textId="77777777" w:rsidTr="001838EE">
        <w:trPr>
          <w:trHeight w:val="283"/>
        </w:trPr>
        <w:tc>
          <w:tcPr>
            <w:tcW w:w="0" w:type="auto"/>
            <w:vMerge/>
            <w:shd w:val="clear" w:color="auto" w:fill="D2232A" w:themeFill="accent1"/>
            <w:vAlign w:val="center"/>
            <w:hideMark/>
          </w:tcPr>
          <w:p w14:paraId="71CF0D24"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F3823E7" w14:textId="77777777" w:rsidR="008878A0" w:rsidRPr="001838EE" w:rsidRDefault="008878A0" w:rsidP="001838EE">
            <w:pPr>
              <w:spacing w:after="0"/>
              <w:rPr>
                <w:rFonts w:eastAsia="ArialNarrow" w:cs="Calibri"/>
                <w:szCs w:val="18"/>
              </w:rPr>
            </w:pPr>
            <w:r w:rsidRPr="001838EE">
              <w:rPr>
                <w:rFonts w:eastAsia="ArialNarrow" w:cs="Calibri"/>
                <w:szCs w:val="18"/>
              </w:rPr>
              <w:t>Poučno-rekreativna šetnica "Kapelščak", Stubičke Toplice</w:t>
            </w:r>
          </w:p>
        </w:tc>
      </w:tr>
      <w:tr w:rsidR="00A01C6F" w:rsidRPr="001838EE" w14:paraId="660BB88F" w14:textId="77777777" w:rsidTr="001838EE">
        <w:trPr>
          <w:trHeight w:val="283"/>
        </w:trPr>
        <w:tc>
          <w:tcPr>
            <w:tcW w:w="0" w:type="auto"/>
            <w:vMerge/>
            <w:shd w:val="clear" w:color="auto" w:fill="D2232A" w:themeFill="accent1"/>
            <w:vAlign w:val="center"/>
            <w:hideMark/>
          </w:tcPr>
          <w:p w14:paraId="259E40F3"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32E65FF" w14:textId="77777777" w:rsidR="008878A0" w:rsidRPr="001838EE" w:rsidRDefault="008878A0" w:rsidP="001838EE">
            <w:pPr>
              <w:spacing w:after="0"/>
              <w:rPr>
                <w:rFonts w:eastAsia="ArialNarrow" w:cs="Calibri"/>
                <w:szCs w:val="18"/>
              </w:rPr>
            </w:pPr>
            <w:r w:rsidRPr="001838EE">
              <w:rPr>
                <w:rFonts w:eastAsia="ArialNarrow" w:cs="Calibri"/>
                <w:szCs w:val="18"/>
              </w:rPr>
              <w:t>Povijesno-poučna staza Kamenjak, Stubičke Toplice</w:t>
            </w:r>
          </w:p>
        </w:tc>
      </w:tr>
      <w:tr w:rsidR="00A01C6F" w:rsidRPr="001838EE" w14:paraId="2AA40ADB" w14:textId="77777777" w:rsidTr="001838EE">
        <w:trPr>
          <w:trHeight w:val="283"/>
        </w:trPr>
        <w:tc>
          <w:tcPr>
            <w:tcW w:w="0" w:type="auto"/>
            <w:vMerge/>
            <w:shd w:val="clear" w:color="auto" w:fill="D2232A" w:themeFill="accent1"/>
            <w:vAlign w:val="center"/>
            <w:hideMark/>
          </w:tcPr>
          <w:p w14:paraId="6AB42661"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C314EAD" w14:textId="77777777" w:rsidR="008878A0" w:rsidRPr="001838EE" w:rsidRDefault="008878A0" w:rsidP="001838EE">
            <w:pPr>
              <w:spacing w:after="0"/>
              <w:rPr>
                <w:rFonts w:eastAsia="ArialNarrow" w:cs="Calibri"/>
                <w:szCs w:val="18"/>
              </w:rPr>
            </w:pPr>
            <w:r w:rsidRPr="001838EE">
              <w:rPr>
                <w:rFonts w:eastAsia="ArialNarrow" w:cs="Calibri"/>
                <w:szCs w:val="18"/>
              </w:rPr>
              <w:t>Poučna staza Jarek Habekov- Vidikovac- Trgovišće, Hrašćina</w:t>
            </w:r>
          </w:p>
        </w:tc>
      </w:tr>
      <w:tr w:rsidR="00A01C6F" w:rsidRPr="001838EE" w14:paraId="35E8BADB" w14:textId="77777777" w:rsidTr="001838EE">
        <w:trPr>
          <w:trHeight w:val="283"/>
        </w:trPr>
        <w:tc>
          <w:tcPr>
            <w:tcW w:w="0" w:type="auto"/>
            <w:vMerge/>
            <w:shd w:val="clear" w:color="auto" w:fill="D2232A" w:themeFill="accent1"/>
            <w:vAlign w:val="center"/>
            <w:hideMark/>
          </w:tcPr>
          <w:p w14:paraId="72413C63"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BB69115" w14:textId="77777777" w:rsidR="008878A0" w:rsidRPr="001838EE" w:rsidRDefault="008878A0" w:rsidP="001838EE">
            <w:pPr>
              <w:spacing w:after="0"/>
              <w:rPr>
                <w:rFonts w:eastAsia="ArialNarrow" w:cs="Calibri"/>
                <w:szCs w:val="18"/>
              </w:rPr>
            </w:pPr>
            <w:r w:rsidRPr="001838EE">
              <w:rPr>
                <w:rFonts w:eastAsia="ArialNarrow" w:cs="Calibri"/>
                <w:szCs w:val="18"/>
              </w:rPr>
              <w:t>Poučna staza "Dubrava", Općina Kraljevec na Sutli</w:t>
            </w:r>
          </w:p>
        </w:tc>
      </w:tr>
      <w:tr w:rsidR="00A01C6F" w:rsidRPr="001838EE" w14:paraId="6A9A80DF" w14:textId="77777777" w:rsidTr="001838EE">
        <w:trPr>
          <w:trHeight w:val="283"/>
        </w:trPr>
        <w:tc>
          <w:tcPr>
            <w:tcW w:w="0" w:type="auto"/>
            <w:vMerge/>
            <w:shd w:val="clear" w:color="auto" w:fill="D2232A" w:themeFill="accent1"/>
            <w:vAlign w:val="center"/>
            <w:hideMark/>
          </w:tcPr>
          <w:p w14:paraId="3C553070"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B2FFA1A" w14:textId="77777777" w:rsidR="008878A0" w:rsidRPr="001838EE" w:rsidRDefault="008878A0" w:rsidP="001838EE">
            <w:pPr>
              <w:spacing w:after="0"/>
              <w:rPr>
                <w:rFonts w:eastAsia="ArialNarrow" w:cs="Calibri"/>
                <w:szCs w:val="18"/>
              </w:rPr>
            </w:pPr>
            <w:r w:rsidRPr="001838EE">
              <w:rPr>
                <w:rFonts w:eastAsia="ArialNarrow" w:cs="Calibri"/>
                <w:szCs w:val="18"/>
              </w:rPr>
              <w:t>Šetnica - Krapina kroz 10 priča</w:t>
            </w:r>
          </w:p>
        </w:tc>
      </w:tr>
      <w:tr w:rsidR="00A01C6F" w:rsidRPr="001838EE" w14:paraId="05957DA0" w14:textId="77777777" w:rsidTr="001838EE">
        <w:trPr>
          <w:trHeight w:val="283"/>
        </w:trPr>
        <w:tc>
          <w:tcPr>
            <w:tcW w:w="0" w:type="auto"/>
            <w:vMerge/>
            <w:shd w:val="clear" w:color="auto" w:fill="D2232A" w:themeFill="accent1"/>
            <w:vAlign w:val="center"/>
            <w:hideMark/>
          </w:tcPr>
          <w:p w14:paraId="444EEB84"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2ADEE23" w14:textId="77777777" w:rsidR="008878A0" w:rsidRPr="001838EE" w:rsidRDefault="008878A0" w:rsidP="001838EE">
            <w:pPr>
              <w:spacing w:after="0"/>
              <w:rPr>
                <w:rFonts w:eastAsia="ArialNarrow" w:cs="Calibri"/>
                <w:szCs w:val="18"/>
              </w:rPr>
            </w:pPr>
            <w:r w:rsidRPr="001838EE">
              <w:rPr>
                <w:rFonts w:eastAsia="ArialNarrow" w:cs="Calibri"/>
                <w:szCs w:val="18"/>
              </w:rPr>
              <w:t>Poučna staza Lobor, Lobor</w:t>
            </w:r>
          </w:p>
        </w:tc>
      </w:tr>
      <w:tr w:rsidR="00A01C6F" w:rsidRPr="001838EE" w14:paraId="0723268D" w14:textId="77777777" w:rsidTr="001838EE">
        <w:trPr>
          <w:trHeight w:val="283"/>
        </w:trPr>
        <w:tc>
          <w:tcPr>
            <w:tcW w:w="0" w:type="auto"/>
            <w:vMerge/>
            <w:shd w:val="clear" w:color="auto" w:fill="D2232A" w:themeFill="accent1"/>
            <w:vAlign w:val="center"/>
            <w:hideMark/>
          </w:tcPr>
          <w:p w14:paraId="53010C7C"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A48D513" w14:textId="77777777" w:rsidR="008878A0" w:rsidRPr="001838EE" w:rsidRDefault="008878A0" w:rsidP="001838EE">
            <w:pPr>
              <w:spacing w:after="0"/>
              <w:rPr>
                <w:rFonts w:eastAsia="ArialNarrow" w:cs="Calibri"/>
                <w:szCs w:val="18"/>
              </w:rPr>
            </w:pPr>
            <w:r w:rsidRPr="001838EE">
              <w:rPr>
                <w:rFonts w:eastAsia="ArialNarrow" w:cs="Calibri"/>
                <w:szCs w:val="18"/>
              </w:rPr>
              <w:t>Park znanosti Mokrice, Oroslavje</w:t>
            </w:r>
          </w:p>
        </w:tc>
      </w:tr>
      <w:tr w:rsidR="00A01C6F" w:rsidRPr="001838EE" w14:paraId="4AB5B135" w14:textId="77777777" w:rsidTr="001838EE">
        <w:trPr>
          <w:trHeight w:val="283"/>
        </w:trPr>
        <w:tc>
          <w:tcPr>
            <w:tcW w:w="0" w:type="auto"/>
            <w:vMerge/>
            <w:shd w:val="clear" w:color="auto" w:fill="D2232A" w:themeFill="accent1"/>
            <w:vAlign w:val="center"/>
            <w:hideMark/>
          </w:tcPr>
          <w:p w14:paraId="6A8AB13B"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5BE259C" w14:textId="77777777" w:rsidR="008878A0" w:rsidRPr="001838EE" w:rsidRDefault="008878A0" w:rsidP="001838EE">
            <w:pPr>
              <w:spacing w:after="0"/>
              <w:rPr>
                <w:rFonts w:eastAsia="ArialNarrow" w:cs="Calibri"/>
                <w:szCs w:val="18"/>
              </w:rPr>
            </w:pPr>
            <w:r w:rsidRPr="001838EE">
              <w:rPr>
                <w:rFonts w:eastAsia="ArialNarrow" w:cs="Calibri"/>
                <w:szCs w:val="18"/>
              </w:rPr>
              <w:t>Poučna staza Bračak, Zabok</w:t>
            </w:r>
          </w:p>
        </w:tc>
      </w:tr>
      <w:tr w:rsidR="00A01C6F" w:rsidRPr="001838EE" w14:paraId="3558BC92" w14:textId="77777777" w:rsidTr="001838EE">
        <w:trPr>
          <w:trHeight w:val="283"/>
        </w:trPr>
        <w:tc>
          <w:tcPr>
            <w:tcW w:w="0" w:type="auto"/>
            <w:vMerge/>
            <w:shd w:val="clear" w:color="auto" w:fill="D2232A" w:themeFill="accent1"/>
            <w:vAlign w:val="center"/>
            <w:hideMark/>
          </w:tcPr>
          <w:p w14:paraId="375C086F"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0BC5D6B" w14:textId="77777777" w:rsidR="008878A0" w:rsidRPr="001838EE" w:rsidRDefault="008878A0" w:rsidP="001838EE">
            <w:pPr>
              <w:spacing w:after="0"/>
              <w:rPr>
                <w:rFonts w:eastAsia="ArialNarrow" w:cs="Calibri"/>
                <w:szCs w:val="18"/>
              </w:rPr>
            </w:pPr>
            <w:r w:rsidRPr="001838EE">
              <w:rPr>
                <w:rFonts w:eastAsia="ArialNarrow" w:cs="Calibri"/>
                <w:szCs w:val="18"/>
              </w:rPr>
              <w:t>Poučna staza "Bajkovita šuma-Gušernjak", Jesenje</w:t>
            </w:r>
          </w:p>
        </w:tc>
      </w:tr>
      <w:tr w:rsidR="00A01C6F" w:rsidRPr="001838EE" w14:paraId="1C2343C8" w14:textId="77777777" w:rsidTr="001838EE">
        <w:trPr>
          <w:trHeight w:val="283"/>
        </w:trPr>
        <w:tc>
          <w:tcPr>
            <w:tcW w:w="1271" w:type="dxa"/>
            <w:vMerge w:val="restart"/>
            <w:shd w:val="clear" w:color="auto" w:fill="D2232A" w:themeFill="accent1"/>
            <w:hideMark/>
          </w:tcPr>
          <w:p w14:paraId="689433F8" w14:textId="77777777" w:rsidR="001C0B08" w:rsidRDefault="001C0B08" w:rsidP="001C0B08">
            <w:pPr>
              <w:spacing w:after="0"/>
              <w:jc w:val="left"/>
              <w:rPr>
                <w:rFonts w:cs="Calibri"/>
                <w:color w:val="FFFFFF" w:themeColor="background1"/>
                <w:szCs w:val="18"/>
              </w:rPr>
            </w:pPr>
          </w:p>
          <w:p w14:paraId="0090ADCC" w14:textId="77777777" w:rsidR="001C0B08" w:rsidRDefault="001C0B08" w:rsidP="001C0B08">
            <w:pPr>
              <w:spacing w:after="0"/>
              <w:jc w:val="left"/>
              <w:rPr>
                <w:rFonts w:cs="Calibri"/>
                <w:color w:val="FFFFFF" w:themeColor="background1"/>
                <w:szCs w:val="18"/>
              </w:rPr>
            </w:pPr>
          </w:p>
          <w:p w14:paraId="37D2300A" w14:textId="77777777" w:rsidR="001C0B08" w:rsidRDefault="001C0B08" w:rsidP="001C0B08">
            <w:pPr>
              <w:spacing w:after="0"/>
              <w:jc w:val="left"/>
              <w:rPr>
                <w:rFonts w:cs="Calibri"/>
                <w:color w:val="FFFFFF" w:themeColor="background1"/>
                <w:szCs w:val="18"/>
              </w:rPr>
            </w:pPr>
          </w:p>
          <w:p w14:paraId="629871E7" w14:textId="77777777" w:rsidR="001C0B08" w:rsidRDefault="001C0B08" w:rsidP="001C0B08">
            <w:pPr>
              <w:spacing w:after="0"/>
              <w:jc w:val="left"/>
              <w:rPr>
                <w:rFonts w:cs="Calibri"/>
                <w:color w:val="FFFFFF" w:themeColor="background1"/>
                <w:szCs w:val="18"/>
              </w:rPr>
            </w:pPr>
          </w:p>
          <w:p w14:paraId="2846F9B1" w14:textId="1589CD5F" w:rsidR="008878A0" w:rsidRPr="007F2B15" w:rsidRDefault="008878A0" w:rsidP="001C0B08">
            <w:pPr>
              <w:spacing w:after="0"/>
              <w:jc w:val="left"/>
              <w:rPr>
                <w:rFonts w:cs="Calibri"/>
                <w:color w:val="FFFFFF" w:themeColor="background1"/>
                <w:szCs w:val="18"/>
              </w:rPr>
            </w:pPr>
            <w:r w:rsidRPr="001838EE">
              <w:rPr>
                <w:rFonts w:cs="Calibri"/>
                <w:color w:val="FFFFFF" w:themeColor="background1"/>
                <w:szCs w:val="18"/>
              </w:rPr>
              <w:t>Moto staze</w:t>
            </w:r>
          </w:p>
        </w:tc>
        <w:tc>
          <w:tcPr>
            <w:tcW w:w="7745" w:type="dxa"/>
            <w:tcBorders>
              <w:top w:val="single" w:sz="8" w:space="0" w:color="F3CFC1"/>
              <w:bottom w:val="single" w:sz="8" w:space="0" w:color="F3CFC1"/>
              <w:right w:val="single" w:sz="8" w:space="0" w:color="D2232A"/>
            </w:tcBorders>
            <w:hideMark/>
          </w:tcPr>
          <w:p w14:paraId="45E5CE2C" w14:textId="77777777" w:rsidR="008878A0" w:rsidRPr="001838EE" w:rsidRDefault="008878A0" w:rsidP="001838EE">
            <w:pPr>
              <w:spacing w:after="0"/>
              <w:rPr>
                <w:rFonts w:eastAsia="ArialNarrow" w:cs="Calibri"/>
                <w:szCs w:val="18"/>
              </w:rPr>
            </w:pPr>
            <w:r w:rsidRPr="001838EE">
              <w:rPr>
                <w:rFonts w:eastAsia="ArialNarrow" w:cs="Calibri"/>
                <w:szCs w:val="18"/>
              </w:rPr>
              <w:t>Moto cross staza Marof na lokaciji naselje Grbovec – Židovinjak</w:t>
            </w:r>
          </w:p>
        </w:tc>
      </w:tr>
      <w:tr w:rsidR="00A01C6F" w:rsidRPr="001838EE" w14:paraId="57CA8FC5" w14:textId="77777777" w:rsidTr="001838EE">
        <w:trPr>
          <w:trHeight w:val="283"/>
        </w:trPr>
        <w:tc>
          <w:tcPr>
            <w:tcW w:w="0" w:type="auto"/>
            <w:vMerge/>
            <w:shd w:val="clear" w:color="auto" w:fill="D2232A" w:themeFill="accent1"/>
            <w:vAlign w:val="center"/>
            <w:hideMark/>
          </w:tcPr>
          <w:p w14:paraId="0FEC0250"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C216272" w14:textId="77777777" w:rsidR="008878A0" w:rsidRPr="001838EE" w:rsidRDefault="008878A0" w:rsidP="001838EE">
            <w:pPr>
              <w:spacing w:after="0"/>
              <w:rPr>
                <w:rFonts w:eastAsia="ArialNarrow" w:cs="Calibri"/>
                <w:szCs w:val="18"/>
              </w:rPr>
            </w:pPr>
            <w:r w:rsidRPr="001838EE">
              <w:rPr>
                <w:rFonts w:eastAsia="ArialNarrow" w:cs="Calibri"/>
                <w:szCs w:val="18"/>
              </w:rPr>
              <w:t>Motociklistička staza Borje – Radoboj</w:t>
            </w:r>
          </w:p>
        </w:tc>
      </w:tr>
      <w:tr w:rsidR="00A01C6F" w:rsidRPr="001838EE" w14:paraId="706BC74A" w14:textId="77777777" w:rsidTr="001838EE">
        <w:trPr>
          <w:trHeight w:val="283"/>
        </w:trPr>
        <w:tc>
          <w:tcPr>
            <w:tcW w:w="0" w:type="auto"/>
            <w:vMerge/>
            <w:shd w:val="clear" w:color="auto" w:fill="D2232A" w:themeFill="accent1"/>
            <w:vAlign w:val="center"/>
            <w:hideMark/>
          </w:tcPr>
          <w:p w14:paraId="10FA6930"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1A20A23" w14:textId="77777777" w:rsidR="008878A0" w:rsidRPr="001838EE" w:rsidRDefault="008878A0" w:rsidP="001838EE">
            <w:pPr>
              <w:spacing w:after="0"/>
              <w:rPr>
                <w:rFonts w:eastAsia="ArialNarrow" w:cs="Calibri"/>
                <w:szCs w:val="18"/>
              </w:rPr>
            </w:pPr>
            <w:r w:rsidRPr="001838EE">
              <w:rPr>
                <w:rFonts w:eastAsia="ArialNarrow" w:cs="Calibri"/>
                <w:szCs w:val="18"/>
              </w:rPr>
              <w:t>Off road staza – Lobor</w:t>
            </w:r>
          </w:p>
        </w:tc>
      </w:tr>
      <w:tr w:rsidR="00A01C6F" w:rsidRPr="001838EE" w14:paraId="3C075CAE" w14:textId="77777777" w:rsidTr="001838EE">
        <w:trPr>
          <w:trHeight w:val="283"/>
        </w:trPr>
        <w:tc>
          <w:tcPr>
            <w:tcW w:w="0" w:type="auto"/>
            <w:vMerge/>
            <w:shd w:val="clear" w:color="auto" w:fill="D2232A" w:themeFill="accent1"/>
            <w:vAlign w:val="center"/>
            <w:hideMark/>
          </w:tcPr>
          <w:p w14:paraId="71C95558"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53DC0DB9" w14:textId="77777777" w:rsidR="008878A0" w:rsidRPr="001838EE" w:rsidRDefault="008878A0" w:rsidP="001838EE">
            <w:pPr>
              <w:spacing w:after="0"/>
              <w:rPr>
                <w:rFonts w:eastAsia="ArialNarrow" w:cs="Calibri"/>
                <w:szCs w:val="18"/>
              </w:rPr>
            </w:pPr>
            <w:r w:rsidRPr="001838EE">
              <w:rPr>
                <w:rFonts w:eastAsia="ArialNarrow" w:cs="Calibri"/>
                <w:szCs w:val="18"/>
              </w:rPr>
              <w:t>Staza za moto crosss, autocross i utrke quadova u Keblu (Auto moto klub Kebel)</w:t>
            </w:r>
          </w:p>
        </w:tc>
      </w:tr>
      <w:tr w:rsidR="00A01C6F" w:rsidRPr="001838EE" w14:paraId="4FCCA4D9" w14:textId="77777777" w:rsidTr="001838EE">
        <w:trPr>
          <w:trHeight w:val="283"/>
        </w:trPr>
        <w:tc>
          <w:tcPr>
            <w:tcW w:w="0" w:type="auto"/>
            <w:vMerge/>
            <w:shd w:val="clear" w:color="auto" w:fill="D2232A" w:themeFill="accent1"/>
            <w:vAlign w:val="center"/>
            <w:hideMark/>
          </w:tcPr>
          <w:p w14:paraId="017B5D53"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4B7F205" w14:textId="6F82E518" w:rsidR="008878A0" w:rsidRPr="001838EE" w:rsidRDefault="008878A0" w:rsidP="001838EE">
            <w:pPr>
              <w:spacing w:after="0"/>
              <w:rPr>
                <w:rFonts w:eastAsia="ArialNarrow" w:cs="Calibri"/>
                <w:szCs w:val="18"/>
              </w:rPr>
            </w:pPr>
            <w:r w:rsidRPr="001838EE">
              <w:rPr>
                <w:rFonts w:eastAsia="ArialNarrow" w:cs="Calibri"/>
                <w:szCs w:val="18"/>
              </w:rPr>
              <w:t>Staza za moto cross na lokaciji naselje Radakovo (AMK Radakovo - Aut</w:t>
            </w:r>
            <w:r w:rsidR="004F4C89">
              <w:rPr>
                <w:rFonts w:eastAsia="ArialNarrow" w:cs="Calibri"/>
                <w:szCs w:val="18"/>
              </w:rPr>
              <w:t>o</w:t>
            </w:r>
            <w:r w:rsidRPr="001838EE">
              <w:rPr>
                <w:rFonts w:eastAsia="ArialNarrow" w:cs="Calibri"/>
                <w:szCs w:val="18"/>
              </w:rPr>
              <w:t xml:space="preserve"> moto klub Radakovo)</w:t>
            </w:r>
          </w:p>
        </w:tc>
      </w:tr>
      <w:tr w:rsidR="00A01C6F" w:rsidRPr="001838EE" w14:paraId="0C87124A" w14:textId="77777777" w:rsidTr="001838EE">
        <w:trPr>
          <w:trHeight w:val="283"/>
        </w:trPr>
        <w:tc>
          <w:tcPr>
            <w:tcW w:w="1271" w:type="dxa"/>
            <w:vMerge w:val="restart"/>
            <w:shd w:val="clear" w:color="auto" w:fill="D2232A" w:themeFill="accent1"/>
            <w:hideMark/>
          </w:tcPr>
          <w:p w14:paraId="4D7FFD82" w14:textId="77777777" w:rsidR="001C0B08" w:rsidRDefault="001C0B08" w:rsidP="001838EE">
            <w:pPr>
              <w:spacing w:after="0"/>
              <w:jc w:val="left"/>
              <w:rPr>
                <w:rFonts w:cs="Calibri"/>
                <w:color w:val="FFFFFF" w:themeColor="background1"/>
                <w:szCs w:val="18"/>
              </w:rPr>
            </w:pPr>
          </w:p>
          <w:p w14:paraId="5BE3ED28" w14:textId="77777777" w:rsidR="001C0B08" w:rsidRDefault="001C0B08" w:rsidP="001838EE">
            <w:pPr>
              <w:spacing w:after="0"/>
              <w:jc w:val="left"/>
              <w:rPr>
                <w:rFonts w:cs="Calibri"/>
                <w:color w:val="FFFFFF" w:themeColor="background1"/>
                <w:szCs w:val="18"/>
              </w:rPr>
            </w:pPr>
          </w:p>
          <w:p w14:paraId="00192B56" w14:textId="77777777" w:rsidR="001C0B08" w:rsidRDefault="001C0B08" w:rsidP="001838EE">
            <w:pPr>
              <w:spacing w:after="0"/>
              <w:jc w:val="left"/>
              <w:rPr>
                <w:rFonts w:cs="Calibri"/>
                <w:color w:val="FFFFFF" w:themeColor="background1"/>
                <w:szCs w:val="18"/>
              </w:rPr>
            </w:pPr>
          </w:p>
          <w:p w14:paraId="7E9E157A" w14:textId="77777777" w:rsidR="001C0B08" w:rsidRDefault="001C0B08" w:rsidP="001838EE">
            <w:pPr>
              <w:spacing w:after="0"/>
              <w:jc w:val="left"/>
              <w:rPr>
                <w:rFonts w:cs="Calibri"/>
                <w:color w:val="FFFFFF" w:themeColor="background1"/>
                <w:szCs w:val="18"/>
              </w:rPr>
            </w:pPr>
          </w:p>
          <w:p w14:paraId="64F009DF" w14:textId="77777777" w:rsidR="001C0B08" w:rsidRDefault="001C0B08" w:rsidP="001838EE">
            <w:pPr>
              <w:spacing w:after="0"/>
              <w:jc w:val="left"/>
              <w:rPr>
                <w:rFonts w:cs="Calibri"/>
                <w:color w:val="FFFFFF" w:themeColor="background1"/>
                <w:szCs w:val="18"/>
              </w:rPr>
            </w:pPr>
          </w:p>
          <w:p w14:paraId="0C40A78B" w14:textId="77777777" w:rsidR="001C0B08" w:rsidRDefault="001C0B08" w:rsidP="001838EE">
            <w:pPr>
              <w:spacing w:after="0"/>
              <w:jc w:val="left"/>
              <w:rPr>
                <w:rFonts w:cs="Calibri"/>
                <w:color w:val="FFFFFF" w:themeColor="background1"/>
                <w:szCs w:val="18"/>
              </w:rPr>
            </w:pPr>
          </w:p>
          <w:p w14:paraId="6694884E" w14:textId="77777777" w:rsidR="001C0B08" w:rsidRDefault="001C0B08" w:rsidP="001838EE">
            <w:pPr>
              <w:spacing w:after="0"/>
              <w:jc w:val="left"/>
              <w:rPr>
                <w:rFonts w:cs="Calibri"/>
                <w:color w:val="FFFFFF" w:themeColor="background1"/>
                <w:szCs w:val="18"/>
              </w:rPr>
            </w:pPr>
          </w:p>
          <w:p w14:paraId="43D68AA1" w14:textId="77777777" w:rsidR="001C0B08" w:rsidRDefault="001C0B08" w:rsidP="001838EE">
            <w:pPr>
              <w:spacing w:after="0"/>
              <w:jc w:val="left"/>
              <w:rPr>
                <w:rFonts w:cs="Calibri"/>
                <w:color w:val="FFFFFF" w:themeColor="background1"/>
                <w:szCs w:val="18"/>
              </w:rPr>
            </w:pPr>
          </w:p>
          <w:p w14:paraId="1329467B" w14:textId="77777777" w:rsidR="001C0B08" w:rsidRDefault="001C0B08" w:rsidP="001838EE">
            <w:pPr>
              <w:spacing w:after="0"/>
              <w:jc w:val="left"/>
              <w:rPr>
                <w:rFonts w:cs="Calibri"/>
                <w:color w:val="FFFFFF" w:themeColor="background1"/>
                <w:szCs w:val="18"/>
              </w:rPr>
            </w:pPr>
          </w:p>
          <w:p w14:paraId="55F99EBC" w14:textId="77777777" w:rsidR="001C0B08" w:rsidRDefault="001C0B08" w:rsidP="001838EE">
            <w:pPr>
              <w:spacing w:after="0"/>
              <w:jc w:val="left"/>
              <w:rPr>
                <w:rFonts w:cs="Calibri"/>
                <w:color w:val="FFFFFF" w:themeColor="background1"/>
                <w:szCs w:val="18"/>
              </w:rPr>
            </w:pPr>
          </w:p>
          <w:p w14:paraId="3BF092DB" w14:textId="77777777" w:rsidR="001C0B08" w:rsidRDefault="001C0B08" w:rsidP="001838EE">
            <w:pPr>
              <w:spacing w:after="0"/>
              <w:jc w:val="left"/>
              <w:rPr>
                <w:rFonts w:cs="Calibri"/>
                <w:color w:val="FFFFFF" w:themeColor="background1"/>
                <w:szCs w:val="18"/>
              </w:rPr>
            </w:pPr>
          </w:p>
          <w:p w14:paraId="58130625" w14:textId="77777777" w:rsidR="001C0B08" w:rsidRDefault="001C0B08" w:rsidP="001838EE">
            <w:pPr>
              <w:spacing w:after="0"/>
              <w:jc w:val="left"/>
              <w:rPr>
                <w:rFonts w:cs="Calibri"/>
                <w:color w:val="FFFFFF" w:themeColor="background1"/>
                <w:szCs w:val="18"/>
              </w:rPr>
            </w:pPr>
          </w:p>
          <w:p w14:paraId="5969B415" w14:textId="77777777" w:rsidR="001C0B08" w:rsidRDefault="001C0B08" w:rsidP="001838EE">
            <w:pPr>
              <w:spacing w:after="0"/>
              <w:jc w:val="left"/>
              <w:rPr>
                <w:rFonts w:cs="Calibri"/>
                <w:color w:val="FFFFFF" w:themeColor="background1"/>
                <w:szCs w:val="18"/>
              </w:rPr>
            </w:pPr>
          </w:p>
          <w:p w14:paraId="5DEF131F" w14:textId="77777777" w:rsidR="001C0B08" w:rsidRDefault="001C0B08" w:rsidP="001838EE">
            <w:pPr>
              <w:spacing w:after="0"/>
              <w:jc w:val="left"/>
              <w:rPr>
                <w:rFonts w:cs="Calibri"/>
                <w:color w:val="FFFFFF" w:themeColor="background1"/>
                <w:szCs w:val="18"/>
              </w:rPr>
            </w:pPr>
          </w:p>
          <w:p w14:paraId="78F9F9FE" w14:textId="77777777" w:rsidR="001C0B08" w:rsidRDefault="001C0B08" w:rsidP="001838EE">
            <w:pPr>
              <w:spacing w:after="0"/>
              <w:jc w:val="left"/>
              <w:rPr>
                <w:rFonts w:cs="Calibri"/>
                <w:color w:val="FFFFFF" w:themeColor="background1"/>
                <w:szCs w:val="18"/>
              </w:rPr>
            </w:pPr>
          </w:p>
          <w:p w14:paraId="5FB57B9F" w14:textId="77777777" w:rsidR="001C0B08" w:rsidRDefault="001C0B08" w:rsidP="001838EE">
            <w:pPr>
              <w:spacing w:after="0"/>
              <w:jc w:val="left"/>
              <w:rPr>
                <w:rFonts w:cs="Calibri"/>
                <w:color w:val="FFFFFF" w:themeColor="background1"/>
                <w:szCs w:val="18"/>
              </w:rPr>
            </w:pPr>
          </w:p>
          <w:p w14:paraId="4EFB76EB" w14:textId="77777777" w:rsidR="001C0B08" w:rsidRDefault="001C0B08" w:rsidP="001838EE">
            <w:pPr>
              <w:spacing w:after="0"/>
              <w:jc w:val="left"/>
              <w:rPr>
                <w:rFonts w:cs="Calibri"/>
                <w:color w:val="FFFFFF" w:themeColor="background1"/>
                <w:szCs w:val="18"/>
              </w:rPr>
            </w:pPr>
          </w:p>
          <w:p w14:paraId="53E0824B" w14:textId="77777777" w:rsidR="001C0B08" w:rsidRDefault="001C0B08" w:rsidP="001838EE">
            <w:pPr>
              <w:spacing w:after="0"/>
              <w:jc w:val="left"/>
              <w:rPr>
                <w:rFonts w:cs="Calibri"/>
                <w:color w:val="FFFFFF" w:themeColor="background1"/>
                <w:szCs w:val="18"/>
              </w:rPr>
            </w:pPr>
          </w:p>
          <w:p w14:paraId="78DD07F3" w14:textId="200DFE46" w:rsidR="008878A0" w:rsidRPr="001838EE" w:rsidRDefault="008878A0" w:rsidP="001838EE">
            <w:pPr>
              <w:spacing w:after="0"/>
              <w:jc w:val="left"/>
              <w:rPr>
                <w:rFonts w:eastAsiaTheme="minorHAnsi" w:cs="Calibri"/>
                <w:color w:val="FFFFFF" w:themeColor="background1"/>
                <w:szCs w:val="18"/>
              </w:rPr>
            </w:pPr>
            <w:r w:rsidRPr="001838EE">
              <w:rPr>
                <w:rFonts w:cs="Calibri"/>
                <w:color w:val="FFFFFF" w:themeColor="background1"/>
                <w:szCs w:val="18"/>
              </w:rPr>
              <w:t>Lokalne biciklističke rute</w:t>
            </w:r>
          </w:p>
          <w:p w14:paraId="5286DD6D" w14:textId="0B9BCD12"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AE98B05" w14:textId="77777777" w:rsidR="008878A0" w:rsidRPr="001838EE" w:rsidRDefault="008878A0" w:rsidP="001838EE">
            <w:pPr>
              <w:spacing w:after="0"/>
              <w:rPr>
                <w:rFonts w:eastAsia="ArialNarrow" w:cs="Calibri"/>
                <w:szCs w:val="18"/>
              </w:rPr>
            </w:pPr>
            <w:r w:rsidRPr="001838EE">
              <w:rPr>
                <w:rFonts w:eastAsia="ArialNarrow" w:cs="Calibri"/>
                <w:szCs w:val="18"/>
              </w:rPr>
              <w:lastRenderedPageBreak/>
              <w:t>Rimska cesta”, Radoboj (5,5 km)</w:t>
            </w:r>
          </w:p>
        </w:tc>
      </w:tr>
      <w:tr w:rsidR="00A01C6F" w:rsidRPr="001838EE" w14:paraId="3A3555A6" w14:textId="77777777" w:rsidTr="001838EE">
        <w:trPr>
          <w:trHeight w:val="283"/>
        </w:trPr>
        <w:tc>
          <w:tcPr>
            <w:tcW w:w="0" w:type="auto"/>
            <w:vMerge/>
            <w:shd w:val="clear" w:color="auto" w:fill="D2232A" w:themeFill="accent1"/>
            <w:vAlign w:val="center"/>
            <w:hideMark/>
          </w:tcPr>
          <w:p w14:paraId="34D561B2"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911C812" w14:textId="77777777" w:rsidR="008878A0" w:rsidRPr="001838EE" w:rsidRDefault="008878A0" w:rsidP="001838EE">
            <w:pPr>
              <w:spacing w:after="0"/>
              <w:rPr>
                <w:rFonts w:eastAsia="ArialNarrow" w:cs="Calibri"/>
                <w:szCs w:val="18"/>
              </w:rPr>
            </w:pPr>
            <w:r w:rsidRPr="001838EE">
              <w:rPr>
                <w:rFonts w:eastAsia="ArialNarrow" w:cs="Calibri"/>
                <w:szCs w:val="18"/>
              </w:rPr>
              <w:t>„Mirna“, Radoboj (6 km)</w:t>
            </w:r>
          </w:p>
        </w:tc>
      </w:tr>
      <w:tr w:rsidR="00A01C6F" w:rsidRPr="001838EE" w14:paraId="68B78D69" w14:textId="77777777" w:rsidTr="001838EE">
        <w:trPr>
          <w:trHeight w:val="283"/>
        </w:trPr>
        <w:tc>
          <w:tcPr>
            <w:tcW w:w="0" w:type="auto"/>
            <w:vMerge/>
            <w:shd w:val="clear" w:color="auto" w:fill="D2232A" w:themeFill="accent1"/>
            <w:vAlign w:val="center"/>
            <w:hideMark/>
          </w:tcPr>
          <w:p w14:paraId="2B238591"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CC7D15D" w14:textId="77777777" w:rsidR="008878A0" w:rsidRPr="001838EE" w:rsidRDefault="008878A0" w:rsidP="001838EE">
            <w:pPr>
              <w:spacing w:after="0"/>
              <w:rPr>
                <w:rFonts w:eastAsia="ArialNarrow" w:cs="Calibri"/>
                <w:szCs w:val="18"/>
              </w:rPr>
            </w:pPr>
            <w:r w:rsidRPr="001838EE">
              <w:rPr>
                <w:rFonts w:eastAsia="ArialNarrow" w:cs="Calibri"/>
                <w:szCs w:val="18"/>
              </w:rPr>
              <w:t>„Put Klanjca i dolinom Sutle“ (41 km)</w:t>
            </w:r>
          </w:p>
        </w:tc>
      </w:tr>
      <w:tr w:rsidR="00A01C6F" w:rsidRPr="001838EE" w14:paraId="585C7D34" w14:textId="77777777" w:rsidTr="001838EE">
        <w:trPr>
          <w:trHeight w:val="283"/>
        </w:trPr>
        <w:tc>
          <w:tcPr>
            <w:tcW w:w="0" w:type="auto"/>
            <w:vMerge/>
            <w:shd w:val="clear" w:color="auto" w:fill="D2232A" w:themeFill="accent1"/>
            <w:vAlign w:val="center"/>
            <w:hideMark/>
          </w:tcPr>
          <w:p w14:paraId="64B8F0ED"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5FF90A3" w14:textId="77777777" w:rsidR="008878A0" w:rsidRPr="001838EE" w:rsidRDefault="008878A0" w:rsidP="001838EE">
            <w:pPr>
              <w:spacing w:after="0"/>
              <w:rPr>
                <w:rFonts w:eastAsia="ArialNarrow" w:cs="Calibri"/>
                <w:szCs w:val="18"/>
              </w:rPr>
            </w:pPr>
            <w:r w:rsidRPr="001838EE">
              <w:rPr>
                <w:rFonts w:eastAsia="ArialNarrow" w:cs="Calibri"/>
                <w:szCs w:val="18"/>
              </w:rPr>
              <w:t>„Okolicom Zaboka i Sv. Križa Začretja“ (32 km)</w:t>
            </w:r>
          </w:p>
        </w:tc>
      </w:tr>
      <w:tr w:rsidR="00A01C6F" w:rsidRPr="001838EE" w14:paraId="1CB108EC" w14:textId="77777777" w:rsidTr="001838EE">
        <w:trPr>
          <w:trHeight w:val="283"/>
        </w:trPr>
        <w:tc>
          <w:tcPr>
            <w:tcW w:w="0" w:type="auto"/>
            <w:vMerge/>
            <w:shd w:val="clear" w:color="auto" w:fill="D2232A" w:themeFill="accent1"/>
            <w:vAlign w:val="center"/>
            <w:hideMark/>
          </w:tcPr>
          <w:p w14:paraId="6F3C125F"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E99C896" w14:textId="77777777" w:rsidR="008878A0" w:rsidRPr="001838EE" w:rsidRDefault="008878A0" w:rsidP="001838EE">
            <w:pPr>
              <w:spacing w:after="0"/>
              <w:rPr>
                <w:rFonts w:eastAsia="ArialNarrow" w:cs="Calibri"/>
                <w:szCs w:val="18"/>
              </w:rPr>
            </w:pPr>
            <w:r w:rsidRPr="001838EE">
              <w:rPr>
                <w:rFonts w:eastAsia="ArialNarrow" w:cs="Calibri"/>
                <w:szCs w:val="18"/>
              </w:rPr>
              <w:t>Rekreacijska staza ZA-ZA-KR (u postupku izgradnje dionica od Zaboka do Svetog Križa Začretja) (13,1 km)</w:t>
            </w:r>
          </w:p>
        </w:tc>
      </w:tr>
      <w:tr w:rsidR="00A01C6F" w:rsidRPr="001838EE" w14:paraId="392E9D37" w14:textId="77777777" w:rsidTr="001838EE">
        <w:trPr>
          <w:trHeight w:val="283"/>
        </w:trPr>
        <w:tc>
          <w:tcPr>
            <w:tcW w:w="0" w:type="auto"/>
            <w:vMerge/>
            <w:shd w:val="clear" w:color="auto" w:fill="D2232A" w:themeFill="accent1"/>
            <w:vAlign w:val="center"/>
            <w:hideMark/>
          </w:tcPr>
          <w:p w14:paraId="4EB004E6"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51B8CA1D" w14:textId="77777777" w:rsidR="008878A0" w:rsidRPr="001838EE" w:rsidRDefault="008878A0" w:rsidP="001838EE">
            <w:pPr>
              <w:spacing w:after="0"/>
              <w:rPr>
                <w:rFonts w:eastAsia="ArialNarrow" w:cs="Calibri"/>
                <w:szCs w:val="18"/>
              </w:rPr>
            </w:pPr>
            <w:r w:rsidRPr="001838EE">
              <w:rPr>
                <w:rFonts w:eastAsia="ArialNarrow" w:cs="Calibri"/>
                <w:szCs w:val="18"/>
              </w:rPr>
              <w:t>Biciklističko odmorište "Milifar" u Svetom Križu Začretju</w:t>
            </w:r>
          </w:p>
        </w:tc>
      </w:tr>
      <w:tr w:rsidR="00A01C6F" w:rsidRPr="001838EE" w14:paraId="284E1967" w14:textId="77777777" w:rsidTr="001838EE">
        <w:trPr>
          <w:trHeight w:val="283"/>
        </w:trPr>
        <w:tc>
          <w:tcPr>
            <w:tcW w:w="0" w:type="auto"/>
            <w:vMerge/>
            <w:shd w:val="clear" w:color="auto" w:fill="D2232A" w:themeFill="accent1"/>
            <w:vAlign w:val="center"/>
            <w:hideMark/>
          </w:tcPr>
          <w:p w14:paraId="4C522949"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706BB5A" w14:textId="77777777" w:rsidR="008878A0" w:rsidRPr="001838EE" w:rsidRDefault="008878A0" w:rsidP="001838EE">
            <w:pPr>
              <w:spacing w:after="0"/>
              <w:rPr>
                <w:rFonts w:eastAsia="ArialNarrow" w:cs="Calibri"/>
                <w:szCs w:val="18"/>
              </w:rPr>
            </w:pPr>
            <w:r w:rsidRPr="001838EE">
              <w:rPr>
                <w:rFonts w:eastAsia="ArialNarrow" w:cs="Calibri"/>
                <w:szCs w:val="18"/>
              </w:rPr>
              <w:t>„Pitoresknim brežuljcima i dolinama“ (22 km)</w:t>
            </w:r>
          </w:p>
        </w:tc>
      </w:tr>
      <w:tr w:rsidR="00A01C6F" w:rsidRPr="001838EE" w14:paraId="6B5E17D8" w14:textId="77777777" w:rsidTr="001838EE">
        <w:trPr>
          <w:trHeight w:val="283"/>
        </w:trPr>
        <w:tc>
          <w:tcPr>
            <w:tcW w:w="0" w:type="auto"/>
            <w:vMerge/>
            <w:shd w:val="clear" w:color="auto" w:fill="D2232A" w:themeFill="accent1"/>
            <w:vAlign w:val="center"/>
            <w:hideMark/>
          </w:tcPr>
          <w:p w14:paraId="5731569D"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AD4A8D8" w14:textId="77777777" w:rsidR="008878A0" w:rsidRPr="001838EE" w:rsidRDefault="008878A0" w:rsidP="001838EE">
            <w:pPr>
              <w:spacing w:after="0"/>
              <w:rPr>
                <w:rFonts w:eastAsia="ArialNarrow" w:cs="Calibri"/>
                <w:szCs w:val="18"/>
              </w:rPr>
            </w:pPr>
            <w:r w:rsidRPr="001838EE">
              <w:rPr>
                <w:rFonts w:eastAsia="ArialNarrow" w:cs="Calibri"/>
                <w:szCs w:val="18"/>
              </w:rPr>
              <w:t>„Ruta Vranyczany“ (47,5 km)</w:t>
            </w:r>
          </w:p>
        </w:tc>
      </w:tr>
      <w:tr w:rsidR="00A01C6F" w:rsidRPr="001838EE" w14:paraId="516BC764" w14:textId="77777777" w:rsidTr="001838EE">
        <w:trPr>
          <w:trHeight w:val="283"/>
        </w:trPr>
        <w:tc>
          <w:tcPr>
            <w:tcW w:w="0" w:type="auto"/>
            <w:vMerge/>
            <w:shd w:val="clear" w:color="auto" w:fill="D2232A" w:themeFill="accent1"/>
            <w:vAlign w:val="center"/>
            <w:hideMark/>
          </w:tcPr>
          <w:p w14:paraId="13C5AE36"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1B90118" w14:textId="77777777" w:rsidR="008878A0" w:rsidRPr="001838EE" w:rsidRDefault="008878A0" w:rsidP="001838EE">
            <w:pPr>
              <w:spacing w:after="0"/>
              <w:rPr>
                <w:rFonts w:eastAsia="ArialNarrow" w:cs="Calibri"/>
                <w:szCs w:val="18"/>
              </w:rPr>
            </w:pPr>
            <w:r w:rsidRPr="001838EE">
              <w:rPr>
                <w:rFonts w:eastAsia="ArialNarrow" w:cs="Calibri"/>
                <w:szCs w:val="18"/>
              </w:rPr>
              <w:t>„Okolicom Stubičkih Toplica“ (20 km)</w:t>
            </w:r>
          </w:p>
        </w:tc>
      </w:tr>
      <w:tr w:rsidR="00A01C6F" w:rsidRPr="001838EE" w14:paraId="06CEDB4C" w14:textId="77777777" w:rsidTr="001838EE">
        <w:trPr>
          <w:trHeight w:val="283"/>
        </w:trPr>
        <w:tc>
          <w:tcPr>
            <w:tcW w:w="0" w:type="auto"/>
            <w:vMerge/>
            <w:shd w:val="clear" w:color="auto" w:fill="D2232A" w:themeFill="accent1"/>
            <w:vAlign w:val="center"/>
            <w:hideMark/>
          </w:tcPr>
          <w:p w14:paraId="2ECD20B8"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E6D0112" w14:textId="77777777" w:rsidR="008878A0" w:rsidRPr="001838EE" w:rsidRDefault="008878A0" w:rsidP="001838EE">
            <w:pPr>
              <w:spacing w:after="0"/>
              <w:rPr>
                <w:rFonts w:eastAsia="ArialNarrow" w:cs="Calibri"/>
                <w:szCs w:val="18"/>
              </w:rPr>
            </w:pPr>
            <w:r w:rsidRPr="001838EE">
              <w:rPr>
                <w:rFonts w:eastAsia="ArialNarrow" w:cs="Calibri"/>
                <w:szCs w:val="18"/>
              </w:rPr>
              <w:t>„Kroz Oroslavje dolinom rijeke Krapine“ (30 km)</w:t>
            </w:r>
          </w:p>
        </w:tc>
      </w:tr>
      <w:tr w:rsidR="00A01C6F" w:rsidRPr="001838EE" w14:paraId="1973AC61" w14:textId="77777777" w:rsidTr="001838EE">
        <w:trPr>
          <w:trHeight w:val="283"/>
        </w:trPr>
        <w:tc>
          <w:tcPr>
            <w:tcW w:w="0" w:type="auto"/>
            <w:vMerge/>
            <w:shd w:val="clear" w:color="auto" w:fill="D2232A" w:themeFill="accent1"/>
            <w:vAlign w:val="center"/>
            <w:hideMark/>
          </w:tcPr>
          <w:p w14:paraId="48BF9839"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93FA396" w14:textId="77777777" w:rsidR="008878A0" w:rsidRPr="001838EE" w:rsidRDefault="008878A0" w:rsidP="001838EE">
            <w:pPr>
              <w:spacing w:after="0"/>
              <w:rPr>
                <w:rFonts w:eastAsia="ArialNarrow" w:cs="Calibri"/>
                <w:szCs w:val="18"/>
              </w:rPr>
            </w:pPr>
            <w:r w:rsidRPr="001838EE">
              <w:rPr>
                <w:rFonts w:eastAsia="ArialNarrow" w:cs="Calibri"/>
                <w:szCs w:val="18"/>
              </w:rPr>
              <w:t>„Putovima Seljačke bune“ (36 km)</w:t>
            </w:r>
          </w:p>
        </w:tc>
      </w:tr>
      <w:tr w:rsidR="00A01C6F" w:rsidRPr="001838EE" w14:paraId="1BCE85AF" w14:textId="77777777" w:rsidTr="001838EE">
        <w:trPr>
          <w:trHeight w:val="283"/>
        </w:trPr>
        <w:tc>
          <w:tcPr>
            <w:tcW w:w="0" w:type="auto"/>
            <w:vMerge/>
            <w:shd w:val="clear" w:color="auto" w:fill="D2232A" w:themeFill="accent1"/>
            <w:vAlign w:val="center"/>
            <w:hideMark/>
          </w:tcPr>
          <w:p w14:paraId="05A8B486"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4221D65" w14:textId="77777777" w:rsidR="008878A0" w:rsidRPr="001838EE" w:rsidRDefault="008878A0" w:rsidP="001838EE">
            <w:pPr>
              <w:spacing w:after="0"/>
              <w:rPr>
                <w:rFonts w:eastAsia="ArialNarrow" w:cs="Calibri"/>
                <w:szCs w:val="18"/>
              </w:rPr>
            </w:pPr>
            <w:r w:rsidRPr="001838EE">
              <w:rPr>
                <w:rFonts w:eastAsia="ArialNarrow" w:cs="Calibri"/>
                <w:szCs w:val="18"/>
              </w:rPr>
              <w:t>„Put Medvednice i stubičkog kraja“ (50 km)</w:t>
            </w:r>
          </w:p>
        </w:tc>
      </w:tr>
      <w:tr w:rsidR="00A01C6F" w:rsidRPr="001838EE" w14:paraId="2F38B7AA" w14:textId="77777777" w:rsidTr="001838EE">
        <w:trPr>
          <w:trHeight w:val="283"/>
        </w:trPr>
        <w:tc>
          <w:tcPr>
            <w:tcW w:w="0" w:type="auto"/>
            <w:vMerge/>
            <w:shd w:val="clear" w:color="auto" w:fill="D2232A" w:themeFill="accent1"/>
            <w:vAlign w:val="center"/>
            <w:hideMark/>
          </w:tcPr>
          <w:p w14:paraId="5CEB43D1"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895A070" w14:textId="77777777" w:rsidR="008878A0" w:rsidRPr="001838EE" w:rsidRDefault="008878A0" w:rsidP="001838EE">
            <w:pPr>
              <w:spacing w:after="0"/>
              <w:rPr>
                <w:rFonts w:eastAsia="ArialNarrow" w:cs="Calibri"/>
                <w:szCs w:val="18"/>
              </w:rPr>
            </w:pPr>
            <w:r w:rsidRPr="001838EE">
              <w:rPr>
                <w:rFonts w:eastAsia="ArialNarrow" w:cs="Calibri"/>
                <w:szCs w:val="18"/>
              </w:rPr>
              <w:t>„Od Marije Bistrice do Zeline“ (18 km)</w:t>
            </w:r>
          </w:p>
        </w:tc>
      </w:tr>
      <w:tr w:rsidR="00A01C6F" w:rsidRPr="001838EE" w14:paraId="654E12D5" w14:textId="77777777" w:rsidTr="001838EE">
        <w:trPr>
          <w:trHeight w:val="283"/>
        </w:trPr>
        <w:tc>
          <w:tcPr>
            <w:tcW w:w="0" w:type="auto"/>
            <w:vMerge/>
            <w:shd w:val="clear" w:color="auto" w:fill="D2232A" w:themeFill="accent1"/>
            <w:vAlign w:val="center"/>
            <w:hideMark/>
          </w:tcPr>
          <w:p w14:paraId="2DEAB978"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0D9F9BA" w14:textId="77777777" w:rsidR="008878A0" w:rsidRPr="001838EE" w:rsidRDefault="008878A0" w:rsidP="001838EE">
            <w:pPr>
              <w:spacing w:after="0"/>
              <w:rPr>
                <w:rFonts w:eastAsia="ArialNarrow" w:cs="Calibri"/>
                <w:szCs w:val="18"/>
              </w:rPr>
            </w:pPr>
            <w:r w:rsidRPr="001838EE">
              <w:rPr>
                <w:rFonts w:eastAsia="ArialNarrow" w:cs="Calibri"/>
                <w:szCs w:val="18"/>
              </w:rPr>
              <w:t>„Okolicom Lobora i zapadne Ivanščice“ (31 km)</w:t>
            </w:r>
          </w:p>
        </w:tc>
      </w:tr>
      <w:tr w:rsidR="00A01C6F" w:rsidRPr="001838EE" w14:paraId="53CDE11B" w14:textId="77777777" w:rsidTr="001838EE">
        <w:trPr>
          <w:trHeight w:val="283"/>
        </w:trPr>
        <w:tc>
          <w:tcPr>
            <w:tcW w:w="0" w:type="auto"/>
            <w:vMerge/>
            <w:shd w:val="clear" w:color="auto" w:fill="D2232A" w:themeFill="accent1"/>
            <w:vAlign w:val="center"/>
            <w:hideMark/>
          </w:tcPr>
          <w:p w14:paraId="7F357368"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0994A8D" w14:textId="77777777" w:rsidR="008878A0" w:rsidRPr="001838EE" w:rsidRDefault="008878A0" w:rsidP="001838EE">
            <w:pPr>
              <w:spacing w:after="0"/>
              <w:rPr>
                <w:rFonts w:eastAsia="ArialNarrow" w:cs="Calibri"/>
                <w:szCs w:val="18"/>
              </w:rPr>
            </w:pPr>
            <w:r w:rsidRPr="001838EE">
              <w:rPr>
                <w:rFonts w:eastAsia="ArialNarrow" w:cs="Calibri"/>
                <w:szCs w:val="18"/>
              </w:rPr>
              <w:t>„Dvorcima, kurijama i brežuljcima središnjeg Zagorja“ (49 km)</w:t>
            </w:r>
          </w:p>
        </w:tc>
      </w:tr>
      <w:tr w:rsidR="00A01C6F" w:rsidRPr="001838EE" w14:paraId="742FF7DC" w14:textId="77777777" w:rsidTr="001838EE">
        <w:trPr>
          <w:trHeight w:val="283"/>
        </w:trPr>
        <w:tc>
          <w:tcPr>
            <w:tcW w:w="0" w:type="auto"/>
            <w:vMerge/>
            <w:shd w:val="clear" w:color="auto" w:fill="D2232A" w:themeFill="accent1"/>
            <w:vAlign w:val="center"/>
            <w:hideMark/>
          </w:tcPr>
          <w:p w14:paraId="1C41B981"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0764489" w14:textId="77777777" w:rsidR="008878A0" w:rsidRPr="001838EE" w:rsidRDefault="008878A0" w:rsidP="001838EE">
            <w:pPr>
              <w:spacing w:after="0"/>
              <w:rPr>
                <w:rFonts w:eastAsia="ArialNarrow" w:cs="Calibri"/>
                <w:szCs w:val="18"/>
              </w:rPr>
            </w:pPr>
            <w:r w:rsidRPr="001838EE">
              <w:rPr>
                <w:rFonts w:eastAsia="ArialNarrow" w:cs="Calibri"/>
                <w:szCs w:val="18"/>
              </w:rPr>
              <w:t>„Bregima, dolinama i vidikovcima sjeverno-istočnog Zagorja“ (42 km)</w:t>
            </w:r>
          </w:p>
        </w:tc>
      </w:tr>
      <w:tr w:rsidR="00A01C6F" w:rsidRPr="001838EE" w14:paraId="2E3E0719" w14:textId="77777777" w:rsidTr="001838EE">
        <w:trPr>
          <w:trHeight w:val="283"/>
        </w:trPr>
        <w:tc>
          <w:tcPr>
            <w:tcW w:w="0" w:type="auto"/>
            <w:vMerge/>
            <w:shd w:val="clear" w:color="auto" w:fill="D2232A" w:themeFill="accent1"/>
            <w:vAlign w:val="center"/>
            <w:hideMark/>
          </w:tcPr>
          <w:p w14:paraId="6F44A6AF"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7BB79D7" w14:textId="77777777" w:rsidR="008878A0" w:rsidRPr="001838EE" w:rsidRDefault="008878A0" w:rsidP="001838EE">
            <w:pPr>
              <w:spacing w:after="0"/>
              <w:rPr>
                <w:rFonts w:eastAsia="ArialNarrow" w:cs="Calibri"/>
                <w:szCs w:val="18"/>
              </w:rPr>
            </w:pPr>
            <w:r w:rsidRPr="001838EE">
              <w:rPr>
                <w:rFonts w:eastAsia="ArialNarrow" w:cs="Calibri"/>
                <w:szCs w:val="18"/>
              </w:rPr>
              <w:t>„Uspon na Ivanščicu“ (27 km)</w:t>
            </w:r>
          </w:p>
        </w:tc>
      </w:tr>
      <w:tr w:rsidR="00A01C6F" w:rsidRPr="001838EE" w14:paraId="4ADF0EBB" w14:textId="77777777" w:rsidTr="001838EE">
        <w:trPr>
          <w:trHeight w:val="283"/>
        </w:trPr>
        <w:tc>
          <w:tcPr>
            <w:tcW w:w="0" w:type="auto"/>
            <w:vMerge/>
            <w:shd w:val="clear" w:color="auto" w:fill="D2232A" w:themeFill="accent1"/>
            <w:vAlign w:val="center"/>
            <w:hideMark/>
          </w:tcPr>
          <w:p w14:paraId="1CA30354"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4C37EAA" w14:textId="77777777" w:rsidR="008878A0" w:rsidRPr="001838EE" w:rsidRDefault="008878A0" w:rsidP="001838EE">
            <w:pPr>
              <w:spacing w:after="0"/>
              <w:rPr>
                <w:rFonts w:eastAsia="ArialNarrow" w:cs="Calibri"/>
                <w:szCs w:val="18"/>
              </w:rPr>
            </w:pPr>
            <w:r w:rsidRPr="001838EE">
              <w:rPr>
                <w:rFonts w:eastAsia="ArialNarrow" w:cs="Calibri"/>
                <w:szCs w:val="18"/>
              </w:rPr>
              <w:t>„Putovima hrvatskih velikana“ (35 km)</w:t>
            </w:r>
          </w:p>
        </w:tc>
      </w:tr>
      <w:tr w:rsidR="00A01C6F" w:rsidRPr="001838EE" w14:paraId="7F69D62F" w14:textId="77777777" w:rsidTr="001838EE">
        <w:trPr>
          <w:trHeight w:val="283"/>
        </w:trPr>
        <w:tc>
          <w:tcPr>
            <w:tcW w:w="0" w:type="auto"/>
            <w:vMerge/>
            <w:shd w:val="clear" w:color="auto" w:fill="D2232A" w:themeFill="accent1"/>
            <w:vAlign w:val="center"/>
            <w:hideMark/>
          </w:tcPr>
          <w:p w14:paraId="6A450701"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52AA0DB" w14:textId="77777777" w:rsidR="008878A0" w:rsidRPr="001838EE" w:rsidRDefault="008878A0" w:rsidP="001838EE">
            <w:pPr>
              <w:spacing w:after="0"/>
              <w:rPr>
                <w:rFonts w:eastAsia="ArialNarrow" w:cs="Calibri"/>
                <w:szCs w:val="18"/>
              </w:rPr>
            </w:pPr>
            <w:r w:rsidRPr="001838EE">
              <w:rPr>
                <w:rFonts w:eastAsia="ArialNarrow" w:cs="Calibri"/>
                <w:szCs w:val="18"/>
              </w:rPr>
              <w:t>„Nezaboravni vidici s Vinagore“ (37 km)</w:t>
            </w:r>
          </w:p>
        </w:tc>
      </w:tr>
      <w:tr w:rsidR="00A01C6F" w:rsidRPr="001838EE" w14:paraId="306E4B8E" w14:textId="77777777" w:rsidTr="001838EE">
        <w:trPr>
          <w:trHeight w:val="283"/>
        </w:trPr>
        <w:tc>
          <w:tcPr>
            <w:tcW w:w="0" w:type="auto"/>
            <w:vMerge/>
            <w:shd w:val="clear" w:color="auto" w:fill="D2232A" w:themeFill="accent1"/>
            <w:vAlign w:val="center"/>
            <w:hideMark/>
          </w:tcPr>
          <w:p w14:paraId="1A4AC72E"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1C7FE29" w14:textId="77777777" w:rsidR="008878A0" w:rsidRPr="001838EE" w:rsidRDefault="008878A0" w:rsidP="001838EE">
            <w:pPr>
              <w:spacing w:after="0"/>
              <w:rPr>
                <w:rFonts w:eastAsia="ArialNarrow" w:cs="Calibri"/>
                <w:szCs w:val="18"/>
              </w:rPr>
            </w:pPr>
            <w:r w:rsidRPr="001838EE">
              <w:rPr>
                <w:rFonts w:eastAsia="ArialNarrow" w:cs="Calibri"/>
                <w:szCs w:val="18"/>
              </w:rPr>
              <w:t>„Kroz pejzaž razigranih bregova“ (15 km)</w:t>
            </w:r>
          </w:p>
        </w:tc>
      </w:tr>
      <w:tr w:rsidR="00A01C6F" w:rsidRPr="001838EE" w14:paraId="111BF5BA" w14:textId="77777777" w:rsidTr="001838EE">
        <w:trPr>
          <w:trHeight w:val="283"/>
        </w:trPr>
        <w:tc>
          <w:tcPr>
            <w:tcW w:w="0" w:type="auto"/>
            <w:vMerge/>
            <w:shd w:val="clear" w:color="auto" w:fill="D2232A" w:themeFill="accent1"/>
            <w:vAlign w:val="center"/>
            <w:hideMark/>
          </w:tcPr>
          <w:p w14:paraId="12554634"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C72F488" w14:textId="77777777" w:rsidR="008878A0" w:rsidRPr="001838EE" w:rsidRDefault="008878A0" w:rsidP="001838EE">
            <w:pPr>
              <w:spacing w:after="0"/>
              <w:rPr>
                <w:rFonts w:eastAsia="ArialNarrow" w:cs="Calibri"/>
                <w:szCs w:val="18"/>
              </w:rPr>
            </w:pPr>
            <w:r w:rsidRPr="001838EE">
              <w:rPr>
                <w:rFonts w:eastAsia="ArialNarrow" w:cs="Calibri"/>
                <w:szCs w:val="18"/>
              </w:rPr>
              <w:t>„Put vidikovaca“ (33 km)</w:t>
            </w:r>
          </w:p>
        </w:tc>
      </w:tr>
      <w:tr w:rsidR="00A01C6F" w:rsidRPr="001838EE" w14:paraId="32C336B4" w14:textId="77777777" w:rsidTr="001838EE">
        <w:trPr>
          <w:trHeight w:val="283"/>
        </w:trPr>
        <w:tc>
          <w:tcPr>
            <w:tcW w:w="0" w:type="auto"/>
            <w:vMerge/>
            <w:shd w:val="clear" w:color="auto" w:fill="D2232A" w:themeFill="accent1"/>
            <w:vAlign w:val="center"/>
            <w:hideMark/>
          </w:tcPr>
          <w:p w14:paraId="78AE9ED5"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5E104F68" w14:textId="77777777" w:rsidR="008878A0" w:rsidRPr="001838EE" w:rsidRDefault="008878A0" w:rsidP="001838EE">
            <w:pPr>
              <w:spacing w:after="0"/>
              <w:rPr>
                <w:rFonts w:eastAsia="ArialNarrow" w:cs="Calibri"/>
                <w:szCs w:val="18"/>
              </w:rPr>
            </w:pPr>
            <w:r w:rsidRPr="001838EE">
              <w:rPr>
                <w:rFonts w:eastAsia="ArialNarrow" w:cs="Calibri"/>
                <w:szCs w:val="18"/>
              </w:rPr>
              <w:t>„Povijesnim putovima krapinskog pračovjeka“ (30 km)</w:t>
            </w:r>
          </w:p>
        </w:tc>
      </w:tr>
      <w:tr w:rsidR="00A01C6F" w:rsidRPr="001838EE" w14:paraId="37FA170C" w14:textId="77777777" w:rsidTr="001838EE">
        <w:trPr>
          <w:trHeight w:val="283"/>
        </w:trPr>
        <w:tc>
          <w:tcPr>
            <w:tcW w:w="0" w:type="auto"/>
            <w:vMerge/>
            <w:shd w:val="clear" w:color="auto" w:fill="D2232A" w:themeFill="accent1"/>
            <w:vAlign w:val="center"/>
            <w:hideMark/>
          </w:tcPr>
          <w:p w14:paraId="06165CC7"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2F1F96A" w14:textId="77777777" w:rsidR="008878A0" w:rsidRPr="001838EE" w:rsidRDefault="008878A0" w:rsidP="001838EE">
            <w:pPr>
              <w:spacing w:after="0"/>
              <w:rPr>
                <w:rFonts w:eastAsia="ArialNarrow" w:cs="Calibri"/>
                <w:szCs w:val="18"/>
              </w:rPr>
            </w:pPr>
            <w:r w:rsidRPr="001838EE">
              <w:rPr>
                <w:rFonts w:eastAsia="ArialNarrow" w:cs="Calibri"/>
                <w:szCs w:val="18"/>
              </w:rPr>
              <w:t>„Po obroncima Maceljske gore“ (38 km)</w:t>
            </w:r>
          </w:p>
        </w:tc>
      </w:tr>
      <w:tr w:rsidR="00A01C6F" w:rsidRPr="001838EE" w14:paraId="3756C32B" w14:textId="77777777" w:rsidTr="001838EE">
        <w:trPr>
          <w:trHeight w:val="283"/>
        </w:trPr>
        <w:tc>
          <w:tcPr>
            <w:tcW w:w="0" w:type="auto"/>
            <w:vMerge/>
            <w:shd w:val="clear" w:color="auto" w:fill="D2232A" w:themeFill="accent1"/>
            <w:vAlign w:val="center"/>
            <w:hideMark/>
          </w:tcPr>
          <w:p w14:paraId="10530267"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5B8FD121" w14:textId="77777777" w:rsidR="008878A0" w:rsidRPr="001838EE" w:rsidRDefault="008878A0" w:rsidP="001838EE">
            <w:pPr>
              <w:spacing w:after="0"/>
              <w:rPr>
                <w:rFonts w:eastAsia="ArialNarrow" w:cs="Calibri"/>
                <w:szCs w:val="18"/>
              </w:rPr>
            </w:pPr>
            <w:r w:rsidRPr="001838EE">
              <w:rPr>
                <w:rFonts w:eastAsia="ArialNarrow" w:cs="Calibri"/>
                <w:szCs w:val="18"/>
              </w:rPr>
              <w:t>Marija Bistrica – Podgorje Bistričko (8 km)</w:t>
            </w:r>
          </w:p>
        </w:tc>
      </w:tr>
      <w:tr w:rsidR="00A01C6F" w:rsidRPr="001838EE" w14:paraId="3923B3B9" w14:textId="77777777" w:rsidTr="001838EE">
        <w:trPr>
          <w:trHeight w:val="283"/>
        </w:trPr>
        <w:tc>
          <w:tcPr>
            <w:tcW w:w="0" w:type="auto"/>
            <w:vMerge/>
            <w:shd w:val="clear" w:color="auto" w:fill="D2232A" w:themeFill="accent1"/>
            <w:vAlign w:val="center"/>
            <w:hideMark/>
          </w:tcPr>
          <w:p w14:paraId="168A1CD8"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B81443D" w14:textId="77777777" w:rsidR="008878A0" w:rsidRPr="001838EE" w:rsidRDefault="008878A0" w:rsidP="001838EE">
            <w:pPr>
              <w:spacing w:after="0"/>
              <w:rPr>
                <w:rFonts w:eastAsia="ArialNarrow" w:cs="Calibri"/>
                <w:szCs w:val="18"/>
              </w:rPr>
            </w:pPr>
            <w:r w:rsidRPr="001838EE">
              <w:rPr>
                <w:rFonts w:eastAsia="ArialNarrow" w:cs="Calibri"/>
                <w:szCs w:val="18"/>
              </w:rPr>
              <w:t>Marija Bistrica (7 km)</w:t>
            </w:r>
          </w:p>
        </w:tc>
      </w:tr>
      <w:tr w:rsidR="00A01C6F" w:rsidRPr="001838EE" w14:paraId="58CAEA43" w14:textId="77777777" w:rsidTr="001838EE">
        <w:trPr>
          <w:trHeight w:val="283"/>
        </w:trPr>
        <w:tc>
          <w:tcPr>
            <w:tcW w:w="0" w:type="auto"/>
            <w:vMerge/>
            <w:shd w:val="clear" w:color="auto" w:fill="D2232A" w:themeFill="accent1"/>
            <w:vAlign w:val="center"/>
            <w:hideMark/>
          </w:tcPr>
          <w:p w14:paraId="29B298B3"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398D25C" w14:textId="77777777" w:rsidR="008878A0" w:rsidRPr="001838EE" w:rsidRDefault="008878A0" w:rsidP="001838EE">
            <w:pPr>
              <w:spacing w:after="0"/>
              <w:rPr>
                <w:rFonts w:eastAsia="ArialNarrow" w:cs="Calibri"/>
                <w:szCs w:val="18"/>
              </w:rPr>
            </w:pPr>
            <w:r w:rsidRPr="001838EE">
              <w:rPr>
                <w:rFonts w:eastAsia="ArialNarrow" w:cs="Calibri"/>
                <w:szCs w:val="18"/>
              </w:rPr>
              <w:t>Podgorje Bistričko (10 km)</w:t>
            </w:r>
          </w:p>
        </w:tc>
      </w:tr>
      <w:tr w:rsidR="00A01C6F" w:rsidRPr="001838EE" w14:paraId="49CCADDF" w14:textId="77777777" w:rsidTr="001838EE">
        <w:trPr>
          <w:trHeight w:val="283"/>
        </w:trPr>
        <w:tc>
          <w:tcPr>
            <w:tcW w:w="0" w:type="auto"/>
            <w:vMerge/>
            <w:shd w:val="clear" w:color="auto" w:fill="D2232A" w:themeFill="accent1"/>
            <w:vAlign w:val="center"/>
            <w:hideMark/>
          </w:tcPr>
          <w:p w14:paraId="7B89FA2E"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74FC1DA" w14:textId="77777777" w:rsidR="008878A0" w:rsidRPr="001838EE" w:rsidRDefault="008878A0" w:rsidP="001838EE">
            <w:pPr>
              <w:spacing w:after="0"/>
              <w:rPr>
                <w:rFonts w:eastAsia="ArialNarrow" w:cs="Calibri"/>
                <w:szCs w:val="18"/>
              </w:rPr>
            </w:pPr>
            <w:r w:rsidRPr="001838EE">
              <w:rPr>
                <w:rFonts w:eastAsia="ArialNarrow" w:cs="Calibri"/>
                <w:szCs w:val="18"/>
              </w:rPr>
              <w:t>Globočec – Poljanica – Šušobreg (12,5 km)</w:t>
            </w:r>
          </w:p>
        </w:tc>
      </w:tr>
      <w:tr w:rsidR="00A01C6F" w:rsidRPr="001838EE" w14:paraId="168E57B5" w14:textId="77777777" w:rsidTr="001838EE">
        <w:trPr>
          <w:trHeight w:val="283"/>
        </w:trPr>
        <w:tc>
          <w:tcPr>
            <w:tcW w:w="0" w:type="auto"/>
            <w:vMerge/>
            <w:shd w:val="clear" w:color="auto" w:fill="D2232A" w:themeFill="accent1"/>
            <w:vAlign w:val="center"/>
            <w:hideMark/>
          </w:tcPr>
          <w:p w14:paraId="4C373095"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C4FA588" w14:textId="77777777" w:rsidR="008878A0" w:rsidRPr="001838EE" w:rsidRDefault="008878A0" w:rsidP="001838EE">
            <w:pPr>
              <w:spacing w:after="0"/>
              <w:rPr>
                <w:rFonts w:eastAsia="ArialNarrow" w:cs="Calibri"/>
                <w:szCs w:val="18"/>
              </w:rPr>
            </w:pPr>
            <w:r w:rsidRPr="001838EE">
              <w:rPr>
                <w:rFonts w:eastAsia="ArialNarrow" w:cs="Calibri"/>
                <w:szCs w:val="18"/>
              </w:rPr>
              <w:t>Tugonica – Poljanica (10 km)</w:t>
            </w:r>
          </w:p>
        </w:tc>
      </w:tr>
      <w:tr w:rsidR="00A01C6F" w:rsidRPr="001838EE" w14:paraId="2C9E707A" w14:textId="77777777" w:rsidTr="001838EE">
        <w:trPr>
          <w:trHeight w:val="283"/>
        </w:trPr>
        <w:tc>
          <w:tcPr>
            <w:tcW w:w="0" w:type="auto"/>
            <w:vMerge/>
            <w:shd w:val="clear" w:color="auto" w:fill="D2232A" w:themeFill="accent1"/>
            <w:vAlign w:val="center"/>
            <w:hideMark/>
          </w:tcPr>
          <w:p w14:paraId="6DC7739F"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7AB95CC" w14:textId="77777777" w:rsidR="008878A0" w:rsidRPr="001838EE" w:rsidRDefault="008878A0" w:rsidP="001838EE">
            <w:pPr>
              <w:spacing w:after="0"/>
              <w:rPr>
                <w:rFonts w:eastAsia="ArialNarrow" w:cs="Calibri"/>
                <w:szCs w:val="18"/>
              </w:rPr>
            </w:pPr>
            <w:r w:rsidRPr="001838EE">
              <w:rPr>
                <w:rFonts w:eastAsia="ArialNarrow" w:cs="Calibri"/>
                <w:szCs w:val="18"/>
              </w:rPr>
              <w:t>Tugonica – Podgrađe – Selnica (4 km)</w:t>
            </w:r>
          </w:p>
        </w:tc>
      </w:tr>
      <w:tr w:rsidR="00A01C6F" w:rsidRPr="001838EE" w14:paraId="3E65C74C" w14:textId="77777777" w:rsidTr="001838EE">
        <w:trPr>
          <w:trHeight w:val="283"/>
        </w:trPr>
        <w:tc>
          <w:tcPr>
            <w:tcW w:w="0" w:type="auto"/>
            <w:vMerge/>
            <w:shd w:val="clear" w:color="auto" w:fill="D2232A" w:themeFill="accent1"/>
            <w:vAlign w:val="center"/>
            <w:hideMark/>
          </w:tcPr>
          <w:p w14:paraId="554DC918"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4287038" w14:textId="77777777" w:rsidR="008878A0" w:rsidRPr="001838EE" w:rsidRDefault="008878A0" w:rsidP="001838EE">
            <w:pPr>
              <w:spacing w:after="0"/>
              <w:rPr>
                <w:rFonts w:eastAsia="ArialNarrow" w:cs="Calibri"/>
                <w:szCs w:val="18"/>
              </w:rPr>
            </w:pPr>
            <w:r w:rsidRPr="001838EE">
              <w:rPr>
                <w:rFonts w:eastAsia="ArialNarrow" w:cs="Calibri"/>
                <w:szCs w:val="18"/>
              </w:rPr>
              <w:t>Podgrađe (6 km)</w:t>
            </w:r>
          </w:p>
        </w:tc>
      </w:tr>
      <w:tr w:rsidR="00A01C6F" w:rsidRPr="001838EE" w14:paraId="05460149" w14:textId="77777777" w:rsidTr="001838EE">
        <w:trPr>
          <w:trHeight w:val="283"/>
        </w:trPr>
        <w:tc>
          <w:tcPr>
            <w:tcW w:w="0" w:type="auto"/>
            <w:vMerge/>
            <w:shd w:val="clear" w:color="auto" w:fill="D2232A" w:themeFill="accent1"/>
            <w:vAlign w:val="center"/>
            <w:hideMark/>
          </w:tcPr>
          <w:p w14:paraId="619B75DD"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4059586" w14:textId="77777777" w:rsidR="008878A0" w:rsidRPr="001838EE" w:rsidRDefault="008878A0" w:rsidP="001838EE">
            <w:pPr>
              <w:spacing w:after="0"/>
              <w:rPr>
                <w:rFonts w:eastAsia="ArialNarrow" w:cs="Calibri"/>
                <w:szCs w:val="18"/>
              </w:rPr>
            </w:pPr>
            <w:r w:rsidRPr="001838EE">
              <w:rPr>
                <w:rFonts w:eastAsia="ArialNarrow" w:cs="Calibri"/>
                <w:szCs w:val="18"/>
              </w:rPr>
              <w:t>Selnica (8 km)</w:t>
            </w:r>
          </w:p>
        </w:tc>
      </w:tr>
      <w:tr w:rsidR="00A01C6F" w:rsidRPr="001838EE" w14:paraId="40A6EAAC" w14:textId="77777777" w:rsidTr="001838EE">
        <w:trPr>
          <w:trHeight w:val="283"/>
        </w:trPr>
        <w:tc>
          <w:tcPr>
            <w:tcW w:w="0" w:type="auto"/>
            <w:vMerge/>
            <w:shd w:val="clear" w:color="auto" w:fill="D2232A" w:themeFill="accent1"/>
            <w:vAlign w:val="center"/>
            <w:hideMark/>
          </w:tcPr>
          <w:p w14:paraId="69AC0B8F"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8445614" w14:textId="77777777" w:rsidR="008878A0" w:rsidRPr="001838EE" w:rsidRDefault="008878A0" w:rsidP="001838EE">
            <w:pPr>
              <w:spacing w:after="0"/>
              <w:rPr>
                <w:rFonts w:eastAsia="ArialNarrow" w:cs="Calibri"/>
                <w:szCs w:val="18"/>
              </w:rPr>
            </w:pPr>
            <w:r w:rsidRPr="001838EE">
              <w:rPr>
                <w:rFonts w:eastAsia="ArialNarrow" w:cs="Calibri"/>
                <w:szCs w:val="18"/>
              </w:rPr>
              <w:t>„Putevima dvaju izvora“ Tuheljske Toplice-Krapinske Toplice (33 km)</w:t>
            </w:r>
          </w:p>
        </w:tc>
      </w:tr>
      <w:tr w:rsidR="00A01C6F" w:rsidRPr="001838EE" w14:paraId="4EF8FEE3" w14:textId="77777777" w:rsidTr="001838EE">
        <w:trPr>
          <w:trHeight w:val="283"/>
        </w:trPr>
        <w:tc>
          <w:tcPr>
            <w:tcW w:w="0" w:type="auto"/>
            <w:vMerge/>
            <w:shd w:val="clear" w:color="auto" w:fill="D2232A" w:themeFill="accent1"/>
            <w:vAlign w:val="center"/>
            <w:hideMark/>
          </w:tcPr>
          <w:p w14:paraId="5E85A52B"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81E56E9" w14:textId="77777777" w:rsidR="008878A0" w:rsidRPr="001838EE" w:rsidRDefault="008878A0" w:rsidP="001838EE">
            <w:pPr>
              <w:spacing w:after="0"/>
              <w:rPr>
                <w:rFonts w:eastAsia="ArialNarrow" w:cs="Calibri"/>
                <w:szCs w:val="18"/>
              </w:rPr>
            </w:pPr>
            <w:r w:rsidRPr="001838EE">
              <w:rPr>
                <w:rFonts w:eastAsia="ArialNarrow" w:cs="Calibri"/>
                <w:szCs w:val="18"/>
              </w:rPr>
              <w:t>Biciklistička staza „2 izvora“, Krapinske Toplice (8 km)</w:t>
            </w:r>
          </w:p>
        </w:tc>
      </w:tr>
      <w:tr w:rsidR="00A01C6F" w:rsidRPr="001838EE" w14:paraId="28E01E4A" w14:textId="77777777" w:rsidTr="001838EE">
        <w:trPr>
          <w:trHeight w:val="283"/>
        </w:trPr>
        <w:tc>
          <w:tcPr>
            <w:tcW w:w="0" w:type="auto"/>
            <w:vMerge/>
            <w:shd w:val="clear" w:color="auto" w:fill="D2232A" w:themeFill="accent1"/>
            <w:vAlign w:val="center"/>
            <w:hideMark/>
          </w:tcPr>
          <w:p w14:paraId="415726ED"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477D317B" w14:textId="77777777" w:rsidR="008878A0" w:rsidRPr="001838EE" w:rsidRDefault="008878A0" w:rsidP="001838EE">
            <w:pPr>
              <w:spacing w:after="0"/>
              <w:rPr>
                <w:rFonts w:eastAsia="ArialNarrow" w:cs="Calibri"/>
                <w:szCs w:val="18"/>
              </w:rPr>
            </w:pPr>
            <w:r w:rsidRPr="001838EE">
              <w:rPr>
                <w:rFonts w:eastAsia="ArialNarrow" w:cs="Calibri"/>
                <w:szCs w:val="18"/>
              </w:rPr>
              <w:t>Biciklističke staze Tuhelj (36 km)</w:t>
            </w:r>
          </w:p>
        </w:tc>
      </w:tr>
      <w:tr w:rsidR="00A01C6F" w:rsidRPr="001838EE" w14:paraId="3AB0FEF1" w14:textId="77777777" w:rsidTr="001838EE">
        <w:trPr>
          <w:trHeight w:val="283"/>
        </w:trPr>
        <w:tc>
          <w:tcPr>
            <w:tcW w:w="0" w:type="auto"/>
            <w:vMerge/>
            <w:shd w:val="clear" w:color="auto" w:fill="D2232A" w:themeFill="accent1"/>
            <w:vAlign w:val="center"/>
            <w:hideMark/>
          </w:tcPr>
          <w:p w14:paraId="38F6D839"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0D1C64A" w14:textId="77777777" w:rsidR="008878A0" w:rsidRPr="001838EE" w:rsidRDefault="008878A0" w:rsidP="001838EE">
            <w:pPr>
              <w:spacing w:after="0"/>
              <w:rPr>
                <w:rFonts w:eastAsia="ArialNarrow" w:cs="Calibri"/>
                <w:szCs w:val="18"/>
              </w:rPr>
            </w:pPr>
            <w:r w:rsidRPr="001838EE">
              <w:rPr>
                <w:rFonts w:eastAsia="ArialNarrow" w:cs="Calibri"/>
                <w:szCs w:val="18"/>
              </w:rPr>
              <w:t>„Put kroz Dugnjevac“ (18 km)</w:t>
            </w:r>
          </w:p>
        </w:tc>
      </w:tr>
      <w:tr w:rsidR="00A01C6F" w:rsidRPr="001838EE" w14:paraId="60923E4B" w14:textId="77777777" w:rsidTr="001838EE">
        <w:trPr>
          <w:trHeight w:val="283"/>
        </w:trPr>
        <w:tc>
          <w:tcPr>
            <w:tcW w:w="0" w:type="auto"/>
            <w:vMerge/>
            <w:shd w:val="clear" w:color="auto" w:fill="D2232A" w:themeFill="accent1"/>
            <w:vAlign w:val="center"/>
            <w:hideMark/>
          </w:tcPr>
          <w:p w14:paraId="33313958"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271BDFD" w14:textId="77777777" w:rsidR="008878A0" w:rsidRPr="001838EE" w:rsidRDefault="008878A0" w:rsidP="001838EE">
            <w:pPr>
              <w:spacing w:after="0"/>
              <w:rPr>
                <w:rFonts w:eastAsia="ArialNarrow" w:cs="Calibri"/>
                <w:szCs w:val="18"/>
              </w:rPr>
            </w:pPr>
            <w:r w:rsidRPr="001838EE">
              <w:rPr>
                <w:rFonts w:eastAsia="ArialNarrow" w:cs="Calibri"/>
                <w:szCs w:val="18"/>
              </w:rPr>
              <w:t>„Gupčevim krajem“ (35 km)</w:t>
            </w:r>
          </w:p>
        </w:tc>
      </w:tr>
      <w:tr w:rsidR="00A01C6F" w:rsidRPr="001838EE" w14:paraId="46DF95EF" w14:textId="77777777" w:rsidTr="001838EE">
        <w:trPr>
          <w:trHeight w:val="283"/>
        </w:trPr>
        <w:tc>
          <w:tcPr>
            <w:tcW w:w="0" w:type="auto"/>
            <w:vMerge/>
            <w:shd w:val="clear" w:color="auto" w:fill="D2232A" w:themeFill="accent1"/>
            <w:vAlign w:val="center"/>
            <w:hideMark/>
          </w:tcPr>
          <w:p w14:paraId="656CA39B"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3CD526B" w14:textId="77777777" w:rsidR="008878A0" w:rsidRPr="001838EE" w:rsidRDefault="008878A0" w:rsidP="001838EE">
            <w:pPr>
              <w:spacing w:after="0"/>
              <w:rPr>
                <w:rFonts w:eastAsia="ArialNarrow" w:cs="Calibri"/>
                <w:szCs w:val="18"/>
              </w:rPr>
            </w:pPr>
            <w:r w:rsidRPr="001838EE">
              <w:rPr>
                <w:rFonts w:eastAsia="ArialNarrow" w:cs="Calibri"/>
                <w:szCs w:val="18"/>
              </w:rPr>
              <w:t>Kumrovec – Škrnik – Brezakovec - Zagorska Sela (7 km)</w:t>
            </w:r>
          </w:p>
        </w:tc>
      </w:tr>
      <w:tr w:rsidR="00A01C6F" w:rsidRPr="001838EE" w14:paraId="6EDC8D83" w14:textId="77777777" w:rsidTr="001838EE">
        <w:trPr>
          <w:trHeight w:val="283"/>
        </w:trPr>
        <w:tc>
          <w:tcPr>
            <w:tcW w:w="0" w:type="auto"/>
            <w:vMerge/>
            <w:shd w:val="clear" w:color="auto" w:fill="D2232A" w:themeFill="accent1"/>
            <w:vAlign w:val="center"/>
            <w:hideMark/>
          </w:tcPr>
          <w:p w14:paraId="0A87BB1C"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421C703" w14:textId="77777777" w:rsidR="008878A0" w:rsidRPr="001838EE" w:rsidRDefault="008878A0" w:rsidP="001838EE">
            <w:pPr>
              <w:spacing w:after="0"/>
              <w:rPr>
                <w:rFonts w:eastAsia="ArialNarrow" w:cs="Calibri"/>
                <w:szCs w:val="18"/>
              </w:rPr>
            </w:pPr>
            <w:r w:rsidRPr="001838EE">
              <w:rPr>
                <w:rFonts w:eastAsia="ArialNarrow" w:cs="Calibri"/>
                <w:szCs w:val="18"/>
              </w:rPr>
              <w:t>„Po slovenskim i hrvatskim brdima“ – Zagorska Sela (29 km)</w:t>
            </w:r>
          </w:p>
        </w:tc>
      </w:tr>
      <w:tr w:rsidR="00A01C6F" w:rsidRPr="001838EE" w14:paraId="6DEB76EF" w14:textId="77777777" w:rsidTr="001838EE">
        <w:trPr>
          <w:trHeight w:val="283"/>
        </w:trPr>
        <w:tc>
          <w:tcPr>
            <w:tcW w:w="0" w:type="auto"/>
            <w:vMerge/>
            <w:shd w:val="clear" w:color="auto" w:fill="D2232A" w:themeFill="accent1"/>
            <w:vAlign w:val="center"/>
            <w:hideMark/>
          </w:tcPr>
          <w:p w14:paraId="1E2DC91D"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5D890E03" w14:textId="77777777" w:rsidR="008878A0" w:rsidRPr="001838EE" w:rsidRDefault="008878A0" w:rsidP="001838EE">
            <w:pPr>
              <w:spacing w:after="0"/>
              <w:rPr>
                <w:rFonts w:eastAsia="ArialNarrow" w:cs="Calibri"/>
                <w:szCs w:val="18"/>
              </w:rPr>
            </w:pPr>
            <w:r w:rsidRPr="001838EE">
              <w:rPr>
                <w:rFonts w:eastAsia="ArialNarrow" w:cs="Calibri"/>
                <w:szCs w:val="18"/>
              </w:rPr>
              <w:t>„Lagano dolinom zdravlja“ – Zagorska Sela (6 km)</w:t>
            </w:r>
          </w:p>
        </w:tc>
      </w:tr>
      <w:tr w:rsidR="00A01C6F" w:rsidRPr="001838EE" w14:paraId="03D4A056" w14:textId="77777777" w:rsidTr="001838EE">
        <w:trPr>
          <w:trHeight w:val="283"/>
        </w:trPr>
        <w:tc>
          <w:tcPr>
            <w:tcW w:w="0" w:type="auto"/>
            <w:vMerge/>
            <w:shd w:val="clear" w:color="auto" w:fill="D2232A" w:themeFill="accent1"/>
            <w:vAlign w:val="center"/>
            <w:hideMark/>
          </w:tcPr>
          <w:p w14:paraId="7D3E9399"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4B1609F" w14:textId="77777777" w:rsidR="008878A0" w:rsidRPr="001838EE" w:rsidRDefault="008878A0" w:rsidP="001838EE">
            <w:pPr>
              <w:spacing w:after="0"/>
              <w:rPr>
                <w:rFonts w:eastAsia="ArialNarrow" w:cs="Calibri"/>
                <w:szCs w:val="18"/>
              </w:rPr>
            </w:pPr>
            <w:r w:rsidRPr="001838EE">
              <w:rPr>
                <w:rFonts w:eastAsia="ArialNarrow" w:cs="Calibri"/>
                <w:szCs w:val="18"/>
              </w:rPr>
              <w:t>„Uzbrdo i nizbrdo“ – Zagorska Sela (54 km)</w:t>
            </w:r>
          </w:p>
        </w:tc>
      </w:tr>
      <w:tr w:rsidR="00A01C6F" w:rsidRPr="001838EE" w14:paraId="1E68A24D" w14:textId="77777777" w:rsidTr="001838EE">
        <w:trPr>
          <w:trHeight w:val="283"/>
        </w:trPr>
        <w:tc>
          <w:tcPr>
            <w:tcW w:w="0" w:type="auto"/>
            <w:vMerge/>
            <w:shd w:val="clear" w:color="auto" w:fill="D2232A" w:themeFill="accent1"/>
            <w:vAlign w:val="center"/>
            <w:hideMark/>
          </w:tcPr>
          <w:p w14:paraId="0F17BE4A"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CEBD575" w14:textId="77777777" w:rsidR="008878A0" w:rsidRPr="001838EE" w:rsidRDefault="008878A0" w:rsidP="001838EE">
            <w:pPr>
              <w:spacing w:after="0"/>
              <w:rPr>
                <w:rFonts w:eastAsia="ArialNarrow" w:cs="Calibri"/>
                <w:szCs w:val="18"/>
              </w:rPr>
            </w:pPr>
            <w:r w:rsidRPr="001838EE">
              <w:rPr>
                <w:rFonts w:eastAsia="ArialNarrow" w:cs="Calibri"/>
                <w:szCs w:val="18"/>
              </w:rPr>
              <w:t>Biciklističko-pješačka staza G. Jesenje-Brdo Jesenjsko i natrag (10,2 km)</w:t>
            </w:r>
          </w:p>
        </w:tc>
      </w:tr>
      <w:tr w:rsidR="00A01C6F" w:rsidRPr="001838EE" w14:paraId="39E7A2E6" w14:textId="77777777" w:rsidTr="001838EE">
        <w:trPr>
          <w:trHeight w:val="283"/>
        </w:trPr>
        <w:tc>
          <w:tcPr>
            <w:tcW w:w="0" w:type="auto"/>
            <w:vMerge/>
            <w:shd w:val="clear" w:color="auto" w:fill="D2232A" w:themeFill="accent1"/>
            <w:vAlign w:val="center"/>
            <w:hideMark/>
          </w:tcPr>
          <w:p w14:paraId="2F2731AD"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DA97B30" w14:textId="77777777" w:rsidR="008878A0" w:rsidRPr="001838EE" w:rsidRDefault="008878A0" w:rsidP="001838EE">
            <w:pPr>
              <w:spacing w:after="0"/>
              <w:rPr>
                <w:rFonts w:eastAsia="ArialNarrow" w:cs="Calibri"/>
                <w:szCs w:val="18"/>
              </w:rPr>
            </w:pPr>
            <w:r w:rsidRPr="001838EE">
              <w:rPr>
                <w:rFonts w:eastAsia="ArialNarrow" w:cs="Calibri"/>
                <w:szCs w:val="18"/>
              </w:rPr>
              <w:t>Biciklističko-pješačka staza Gornje Jesenje-Donji Lužan-Gornji Lužan-G. Jesenje (13,2 km)</w:t>
            </w:r>
          </w:p>
        </w:tc>
      </w:tr>
      <w:tr w:rsidR="00A01C6F" w:rsidRPr="001838EE" w14:paraId="58BE97B9" w14:textId="77777777" w:rsidTr="001838EE">
        <w:trPr>
          <w:trHeight w:val="283"/>
        </w:trPr>
        <w:tc>
          <w:tcPr>
            <w:tcW w:w="0" w:type="auto"/>
            <w:vMerge/>
            <w:shd w:val="clear" w:color="auto" w:fill="D2232A" w:themeFill="accent1"/>
            <w:vAlign w:val="center"/>
            <w:hideMark/>
          </w:tcPr>
          <w:p w14:paraId="06612FD1"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59742BBB" w14:textId="77777777" w:rsidR="008878A0" w:rsidRPr="001838EE" w:rsidRDefault="008878A0" w:rsidP="001838EE">
            <w:pPr>
              <w:spacing w:after="0"/>
              <w:rPr>
                <w:rFonts w:eastAsia="ArialNarrow" w:cs="Calibri"/>
                <w:szCs w:val="18"/>
              </w:rPr>
            </w:pPr>
            <w:r w:rsidRPr="001838EE">
              <w:rPr>
                <w:rFonts w:eastAsia="ArialNarrow" w:cs="Calibri"/>
                <w:szCs w:val="18"/>
              </w:rPr>
              <w:t>Konjščina - PUTEVIMA RUDARA - Konjščina-Pešćeno-Maretić-Krapina Selo-Konjščina (13 km)</w:t>
            </w:r>
          </w:p>
        </w:tc>
      </w:tr>
      <w:tr w:rsidR="00A01C6F" w:rsidRPr="001838EE" w14:paraId="7466B8FC" w14:textId="77777777" w:rsidTr="001838EE">
        <w:trPr>
          <w:trHeight w:val="283"/>
        </w:trPr>
        <w:tc>
          <w:tcPr>
            <w:tcW w:w="0" w:type="auto"/>
            <w:vMerge/>
            <w:shd w:val="clear" w:color="auto" w:fill="D2232A" w:themeFill="accent1"/>
            <w:vAlign w:val="center"/>
            <w:hideMark/>
          </w:tcPr>
          <w:p w14:paraId="22CF788A"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C5001EE" w14:textId="5D4637BE" w:rsidR="008878A0" w:rsidRPr="001838EE" w:rsidRDefault="008878A0" w:rsidP="001838EE">
            <w:pPr>
              <w:spacing w:after="0"/>
              <w:rPr>
                <w:rFonts w:eastAsia="ArialNarrow" w:cs="Calibri"/>
                <w:szCs w:val="18"/>
              </w:rPr>
            </w:pPr>
            <w:r w:rsidRPr="001838EE">
              <w:rPr>
                <w:rFonts w:eastAsia="ArialNarrow" w:cs="Calibri"/>
                <w:szCs w:val="18"/>
              </w:rPr>
              <w:t>Kumrovec i Desinić - Biciklistička ruta 1 Kumrovec-Brezakovec-Ivanić Košnički-Ve</w:t>
            </w:r>
            <w:r w:rsidR="004F4C89">
              <w:rPr>
                <w:rFonts w:eastAsia="ArialNarrow" w:cs="Calibri"/>
                <w:szCs w:val="18"/>
              </w:rPr>
              <w:t>li</w:t>
            </w:r>
            <w:r w:rsidRPr="001838EE">
              <w:rPr>
                <w:rFonts w:eastAsia="ArialNarrow" w:cs="Calibri"/>
                <w:szCs w:val="18"/>
              </w:rPr>
              <w:t>ki Tabor (12 km)</w:t>
            </w:r>
          </w:p>
        </w:tc>
      </w:tr>
      <w:tr w:rsidR="00A01C6F" w:rsidRPr="001838EE" w14:paraId="5C4A3D04" w14:textId="77777777" w:rsidTr="001838EE">
        <w:trPr>
          <w:trHeight w:val="283"/>
        </w:trPr>
        <w:tc>
          <w:tcPr>
            <w:tcW w:w="0" w:type="auto"/>
            <w:vMerge/>
            <w:shd w:val="clear" w:color="auto" w:fill="D2232A" w:themeFill="accent1"/>
            <w:vAlign w:val="center"/>
            <w:hideMark/>
          </w:tcPr>
          <w:p w14:paraId="23D39E39"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869C228" w14:textId="77777777" w:rsidR="008878A0" w:rsidRPr="001838EE" w:rsidRDefault="008878A0" w:rsidP="001838EE">
            <w:pPr>
              <w:spacing w:after="0"/>
              <w:rPr>
                <w:rFonts w:eastAsia="ArialNarrow" w:cs="Calibri"/>
                <w:szCs w:val="18"/>
              </w:rPr>
            </w:pPr>
            <w:r w:rsidRPr="001838EE">
              <w:rPr>
                <w:rFonts w:eastAsia="ArialNarrow" w:cs="Calibri"/>
                <w:szCs w:val="18"/>
              </w:rPr>
              <w:t>Putovima hrvatskih velikana Kumrovec-Miljana-Desinić-Kumrovec (49 km)</w:t>
            </w:r>
          </w:p>
        </w:tc>
      </w:tr>
      <w:tr w:rsidR="00A01C6F" w:rsidRPr="001838EE" w14:paraId="6052C5AA" w14:textId="77777777" w:rsidTr="001838EE">
        <w:trPr>
          <w:trHeight w:val="283"/>
        </w:trPr>
        <w:tc>
          <w:tcPr>
            <w:tcW w:w="0" w:type="auto"/>
            <w:vMerge/>
            <w:shd w:val="clear" w:color="auto" w:fill="D2232A" w:themeFill="accent1"/>
            <w:vAlign w:val="center"/>
            <w:hideMark/>
          </w:tcPr>
          <w:p w14:paraId="27139D0B"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67C79A0" w14:textId="77777777" w:rsidR="008878A0" w:rsidRPr="001838EE" w:rsidRDefault="008878A0" w:rsidP="001838EE">
            <w:pPr>
              <w:spacing w:after="0"/>
              <w:rPr>
                <w:rFonts w:eastAsia="ArialNarrow" w:cs="Calibri"/>
                <w:szCs w:val="18"/>
              </w:rPr>
            </w:pPr>
            <w:r w:rsidRPr="001838EE">
              <w:rPr>
                <w:rFonts w:eastAsia="ArialNarrow" w:cs="Calibri"/>
                <w:szCs w:val="18"/>
              </w:rPr>
              <w:t>Ruta Sutla Kumrovec-Miljana-Hum na Sutli-Đurmanec (44 km)</w:t>
            </w:r>
          </w:p>
        </w:tc>
      </w:tr>
      <w:tr w:rsidR="00A01C6F" w:rsidRPr="001838EE" w14:paraId="0B435782" w14:textId="77777777" w:rsidTr="001838EE">
        <w:trPr>
          <w:trHeight w:val="283"/>
        </w:trPr>
        <w:tc>
          <w:tcPr>
            <w:tcW w:w="0" w:type="auto"/>
            <w:vMerge/>
            <w:shd w:val="clear" w:color="auto" w:fill="D2232A" w:themeFill="accent1"/>
            <w:vAlign w:val="center"/>
            <w:hideMark/>
          </w:tcPr>
          <w:p w14:paraId="62760317"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64617E9E" w14:textId="77777777" w:rsidR="008878A0" w:rsidRPr="001838EE" w:rsidRDefault="008878A0" w:rsidP="001838EE">
            <w:pPr>
              <w:spacing w:after="0"/>
              <w:rPr>
                <w:rFonts w:eastAsia="ArialNarrow" w:cs="Calibri"/>
                <w:szCs w:val="18"/>
              </w:rPr>
            </w:pPr>
            <w:r w:rsidRPr="001838EE">
              <w:rPr>
                <w:rFonts w:eastAsia="ArialNarrow" w:cs="Calibri"/>
                <w:szCs w:val="18"/>
              </w:rPr>
              <w:t>Toplička ruta GP Razvor-Kumrovec-Tuheljske Toplice-Krapinske Toplice-Sveti Križ Začretje-Bedekovčina-Marija Bistrica-Komin (68 km)</w:t>
            </w:r>
          </w:p>
        </w:tc>
      </w:tr>
      <w:tr w:rsidR="00A01C6F" w:rsidRPr="001838EE" w14:paraId="6BF35191" w14:textId="77777777" w:rsidTr="001838EE">
        <w:trPr>
          <w:trHeight w:val="283"/>
        </w:trPr>
        <w:tc>
          <w:tcPr>
            <w:tcW w:w="0" w:type="auto"/>
            <w:vMerge/>
            <w:shd w:val="clear" w:color="auto" w:fill="D2232A" w:themeFill="accent1"/>
            <w:vAlign w:val="center"/>
            <w:hideMark/>
          </w:tcPr>
          <w:p w14:paraId="3180BD1E"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32E3E5CA" w14:textId="7316EF0C" w:rsidR="008878A0" w:rsidRPr="001838EE" w:rsidRDefault="008878A0" w:rsidP="001838EE">
            <w:pPr>
              <w:spacing w:after="0"/>
              <w:rPr>
                <w:rFonts w:eastAsia="ArialNarrow" w:cs="Calibri"/>
                <w:szCs w:val="18"/>
              </w:rPr>
            </w:pPr>
            <w:r w:rsidRPr="001838EE">
              <w:rPr>
                <w:rFonts w:eastAsia="ArialNarrow" w:cs="Calibri"/>
                <w:szCs w:val="18"/>
              </w:rPr>
              <w:t>Kružna županijska ruta Krapina-Pregrada-Desnić-Kumrovec-Klanjec-Luka-Jakovlje-Donja Stubica-Marija Bistrica-Hraš</w:t>
            </w:r>
            <w:r w:rsidR="00856A54">
              <w:rPr>
                <w:rFonts w:eastAsia="ArialNarrow" w:cs="Calibri"/>
                <w:szCs w:val="18"/>
              </w:rPr>
              <w:t>ć</w:t>
            </w:r>
            <w:r w:rsidRPr="001838EE">
              <w:rPr>
                <w:rFonts w:eastAsia="ArialNarrow" w:cs="Calibri"/>
                <w:szCs w:val="18"/>
              </w:rPr>
              <w:t>ina-Budinščina-Belec-Lobor-Novi Golubovec-Radoboj-Krapina (165 km)</w:t>
            </w:r>
          </w:p>
        </w:tc>
      </w:tr>
      <w:tr w:rsidR="00A01C6F" w:rsidRPr="001838EE" w14:paraId="0EF2F871" w14:textId="77777777" w:rsidTr="001838EE">
        <w:trPr>
          <w:trHeight w:val="283"/>
        </w:trPr>
        <w:tc>
          <w:tcPr>
            <w:tcW w:w="0" w:type="auto"/>
            <w:vMerge/>
            <w:shd w:val="clear" w:color="auto" w:fill="D2232A" w:themeFill="accent1"/>
            <w:vAlign w:val="center"/>
            <w:hideMark/>
          </w:tcPr>
          <w:p w14:paraId="708D2A0C"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29310A8" w14:textId="77777777" w:rsidR="008878A0" w:rsidRPr="001838EE" w:rsidRDefault="008878A0" w:rsidP="001838EE">
            <w:pPr>
              <w:spacing w:after="0"/>
              <w:rPr>
                <w:rFonts w:eastAsia="ArialNarrow" w:cs="Calibri"/>
                <w:szCs w:val="18"/>
              </w:rPr>
            </w:pPr>
            <w:r w:rsidRPr="001838EE">
              <w:rPr>
                <w:rFonts w:eastAsia="ArialNarrow" w:cs="Calibri"/>
                <w:szCs w:val="18"/>
              </w:rPr>
              <w:t>3 Svetokriške Kapele - Kružna bike "cross country-mountain bike" staza u duljini od 55 km</w:t>
            </w:r>
          </w:p>
        </w:tc>
      </w:tr>
      <w:tr w:rsidR="00A01C6F" w:rsidRPr="001838EE" w14:paraId="1A696AB0" w14:textId="77777777" w:rsidTr="001838EE">
        <w:trPr>
          <w:trHeight w:val="283"/>
        </w:trPr>
        <w:tc>
          <w:tcPr>
            <w:tcW w:w="0" w:type="auto"/>
            <w:vMerge/>
            <w:shd w:val="clear" w:color="auto" w:fill="D2232A" w:themeFill="accent1"/>
            <w:vAlign w:val="center"/>
            <w:hideMark/>
          </w:tcPr>
          <w:p w14:paraId="1A31C0D3"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01BF13DB" w14:textId="77777777" w:rsidR="008878A0" w:rsidRPr="001838EE" w:rsidRDefault="008878A0" w:rsidP="001838EE">
            <w:pPr>
              <w:spacing w:after="0"/>
              <w:rPr>
                <w:rFonts w:eastAsia="ArialNarrow" w:cs="Calibri"/>
                <w:szCs w:val="18"/>
              </w:rPr>
            </w:pPr>
            <w:r w:rsidRPr="001838EE">
              <w:rPr>
                <w:rFonts w:eastAsia="ArialNarrow" w:cs="Calibri"/>
                <w:szCs w:val="18"/>
              </w:rPr>
              <w:t>ZaZaKr - spojna bike staza Zabok - Sveti Križ Začretje (6 km)</w:t>
            </w:r>
          </w:p>
        </w:tc>
      </w:tr>
      <w:tr w:rsidR="00A01C6F" w:rsidRPr="001838EE" w14:paraId="7623346C" w14:textId="77777777" w:rsidTr="001838EE">
        <w:trPr>
          <w:trHeight w:val="283"/>
        </w:trPr>
        <w:tc>
          <w:tcPr>
            <w:tcW w:w="1271" w:type="dxa"/>
            <w:vMerge w:val="restart"/>
            <w:shd w:val="clear" w:color="auto" w:fill="D2232A" w:themeFill="accent1"/>
            <w:hideMark/>
          </w:tcPr>
          <w:p w14:paraId="21C2106A" w14:textId="77777777" w:rsidR="001C0B08" w:rsidRDefault="001C0B08" w:rsidP="001838EE">
            <w:pPr>
              <w:spacing w:after="0"/>
              <w:jc w:val="left"/>
              <w:rPr>
                <w:rFonts w:cs="Calibri"/>
                <w:color w:val="FFFFFF" w:themeColor="background1"/>
                <w:szCs w:val="18"/>
              </w:rPr>
            </w:pPr>
          </w:p>
          <w:p w14:paraId="6AEC9A30" w14:textId="77777777" w:rsidR="001C0B08" w:rsidRDefault="001C0B08" w:rsidP="001838EE">
            <w:pPr>
              <w:spacing w:after="0"/>
              <w:jc w:val="left"/>
              <w:rPr>
                <w:rFonts w:cs="Calibri"/>
                <w:color w:val="FFFFFF" w:themeColor="background1"/>
                <w:szCs w:val="18"/>
              </w:rPr>
            </w:pPr>
          </w:p>
          <w:p w14:paraId="592EA945" w14:textId="2CFC6CF4" w:rsidR="008878A0" w:rsidRPr="001838EE" w:rsidRDefault="008878A0" w:rsidP="001838EE">
            <w:pPr>
              <w:spacing w:after="0"/>
              <w:jc w:val="left"/>
              <w:rPr>
                <w:rFonts w:eastAsiaTheme="minorHAnsi" w:cs="Calibri"/>
                <w:color w:val="FFFFFF" w:themeColor="background1"/>
                <w:szCs w:val="18"/>
              </w:rPr>
            </w:pPr>
            <w:r w:rsidRPr="001838EE">
              <w:rPr>
                <w:rFonts w:cs="Calibri"/>
                <w:color w:val="FFFFFF" w:themeColor="background1"/>
                <w:szCs w:val="18"/>
              </w:rPr>
              <w:t xml:space="preserve">Paragliding uzletišta </w:t>
            </w:r>
          </w:p>
        </w:tc>
        <w:tc>
          <w:tcPr>
            <w:tcW w:w="7745" w:type="dxa"/>
            <w:tcBorders>
              <w:top w:val="single" w:sz="8" w:space="0" w:color="F3CFC1"/>
              <w:bottom w:val="single" w:sz="8" w:space="0" w:color="F3CFC1"/>
              <w:right w:val="single" w:sz="8" w:space="0" w:color="D2232A"/>
            </w:tcBorders>
            <w:hideMark/>
          </w:tcPr>
          <w:p w14:paraId="6E20A9E9" w14:textId="77777777" w:rsidR="008878A0" w:rsidRPr="001838EE" w:rsidRDefault="008878A0" w:rsidP="001838EE">
            <w:pPr>
              <w:spacing w:after="0"/>
              <w:rPr>
                <w:rFonts w:eastAsia="ArialNarrow" w:cs="Calibri"/>
                <w:szCs w:val="18"/>
              </w:rPr>
            </w:pPr>
            <w:r w:rsidRPr="001838EE">
              <w:rPr>
                <w:rFonts w:eastAsia="ArialNarrow" w:cs="Calibri"/>
                <w:szCs w:val="18"/>
              </w:rPr>
              <w:t>Uzletište na Ivanščici – Grtovec, Pokojec</w:t>
            </w:r>
          </w:p>
        </w:tc>
      </w:tr>
      <w:tr w:rsidR="00A01C6F" w:rsidRPr="001838EE" w14:paraId="6E48F262" w14:textId="77777777" w:rsidTr="001838EE">
        <w:trPr>
          <w:trHeight w:val="283"/>
        </w:trPr>
        <w:tc>
          <w:tcPr>
            <w:tcW w:w="0" w:type="auto"/>
            <w:vMerge/>
            <w:shd w:val="clear" w:color="auto" w:fill="D2232A" w:themeFill="accent1"/>
            <w:vAlign w:val="center"/>
            <w:hideMark/>
          </w:tcPr>
          <w:p w14:paraId="3F9EF8EA"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50BFEF37" w14:textId="77777777" w:rsidR="008878A0" w:rsidRPr="001838EE" w:rsidRDefault="008878A0" w:rsidP="001838EE">
            <w:pPr>
              <w:spacing w:after="0"/>
              <w:rPr>
                <w:rFonts w:eastAsia="ArialNarrow" w:cs="Calibri"/>
                <w:szCs w:val="18"/>
              </w:rPr>
            </w:pPr>
            <w:r w:rsidRPr="001838EE">
              <w:rPr>
                <w:rFonts w:eastAsia="ArialNarrow" w:cs="Calibri"/>
                <w:szCs w:val="18"/>
              </w:rPr>
              <w:t>Uzletište na Kunagori, Pregrada</w:t>
            </w:r>
          </w:p>
        </w:tc>
      </w:tr>
      <w:tr w:rsidR="00A01C6F" w:rsidRPr="001838EE" w14:paraId="25426621" w14:textId="77777777" w:rsidTr="001838EE">
        <w:trPr>
          <w:trHeight w:val="283"/>
        </w:trPr>
        <w:tc>
          <w:tcPr>
            <w:tcW w:w="0" w:type="auto"/>
            <w:vMerge/>
            <w:shd w:val="clear" w:color="auto" w:fill="D2232A" w:themeFill="accent1"/>
            <w:vAlign w:val="center"/>
            <w:hideMark/>
          </w:tcPr>
          <w:p w14:paraId="7F879EE5"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10E7BCCB" w14:textId="77777777" w:rsidR="008878A0" w:rsidRPr="001838EE" w:rsidRDefault="008878A0" w:rsidP="001838EE">
            <w:pPr>
              <w:spacing w:after="0"/>
              <w:rPr>
                <w:rFonts w:eastAsia="ArialNarrow" w:cs="Calibri"/>
                <w:szCs w:val="18"/>
              </w:rPr>
            </w:pPr>
            <w:r w:rsidRPr="001838EE">
              <w:rPr>
                <w:rFonts w:eastAsia="ArialNarrow" w:cs="Calibri"/>
                <w:szCs w:val="18"/>
              </w:rPr>
              <w:t>Uzletište u Petrovoj Gori, Lobor</w:t>
            </w:r>
          </w:p>
        </w:tc>
      </w:tr>
      <w:tr w:rsidR="00A01C6F" w:rsidRPr="001838EE" w14:paraId="1FF38E01" w14:textId="77777777" w:rsidTr="001838EE">
        <w:trPr>
          <w:trHeight w:val="283"/>
        </w:trPr>
        <w:tc>
          <w:tcPr>
            <w:tcW w:w="0" w:type="auto"/>
            <w:vMerge/>
            <w:shd w:val="clear" w:color="auto" w:fill="D2232A" w:themeFill="accent1"/>
            <w:vAlign w:val="center"/>
            <w:hideMark/>
          </w:tcPr>
          <w:p w14:paraId="7F54C42B"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71F6B10F" w14:textId="77777777" w:rsidR="008878A0" w:rsidRPr="001838EE" w:rsidRDefault="008878A0" w:rsidP="001838EE">
            <w:pPr>
              <w:spacing w:after="0"/>
              <w:rPr>
                <w:rFonts w:eastAsia="ArialNarrow" w:cs="Calibri"/>
                <w:szCs w:val="18"/>
              </w:rPr>
            </w:pPr>
            <w:r w:rsidRPr="001838EE">
              <w:rPr>
                <w:rFonts w:eastAsia="ArialNarrow" w:cs="Calibri"/>
                <w:szCs w:val="18"/>
              </w:rPr>
              <w:t>Uzletište kod Planinarskog doma Strahinjčica, Radoboj</w:t>
            </w:r>
          </w:p>
        </w:tc>
      </w:tr>
      <w:tr w:rsidR="00A01C6F" w:rsidRPr="001838EE" w14:paraId="271A8067" w14:textId="77777777" w:rsidTr="001838EE">
        <w:trPr>
          <w:trHeight w:val="283"/>
        </w:trPr>
        <w:tc>
          <w:tcPr>
            <w:tcW w:w="0" w:type="auto"/>
            <w:vMerge/>
            <w:shd w:val="clear" w:color="auto" w:fill="D2232A" w:themeFill="accent1"/>
            <w:vAlign w:val="center"/>
            <w:hideMark/>
          </w:tcPr>
          <w:p w14:paraId="5D9B7216" w14:textId="77777777" w:rsidR="008878A0" w:rsidRPr="001838EE" w:rsidRDefault="008878A0" w:rsidP="001838EE">
            <w:pPr>
              <w:spacing w:after="0"/>
              <w:jc w:val="left"/>
              <w:rPr>
                <w:rFonts w:cs="Calibri"/>
                <w:color w:val="FFFFFF" w:themeColor="background1"/>
                <w:szCs w:val="18"/>
              </w:rPr>
            </w:pPr>
          </w:p>
        </w:tc>
        <w:tc>
          <w:tcPr>
            <w:tcW w:w="7745" w:type="dxa"/>
            <w:tcBorders>
              <w:top w:val="single" w:sz="8" w:space="0" w:color="F3CFC1"/>
              <w:bottom w:val="single" w:sz="8" w:space="0" w:color="F3CFC1"/>
              <w:right w:val="single" w:sz="8" w:space="0" w:color="D2232A"/>
            </w:tcBorders>
            <w:hideMark/>
          </w:tcPr>
          <w:p w14:paraId="2F7498E6" w14:textId="77777777" w:rsidR="008878A0" w:rsidRPr="001838EE" w:rsidRDefault="008878A0" w:rsidP="001838EE">
            <w:pPr>
              <w:spacing w:after="0"/>
              <w:rPr>
                <w:rFonts w:eastAsia="ArialNarrow" w:cs="Calibri"/>
                <w:szCs w:val="18"/>
              </w:rPr>
            </w:pPr>
            <w:r w:rsidRPr="001838EE">
              <w:rPr>
                <w:rFonts w:eastAsia="ArialNarrow" w:cs="Calibri"/>
                <w:szCs w:val="18"/>
              </w:rPr>
              <w:t>Aerodrom R. Perešina u Zaboku (festival balona, natjecanje zrakoplovnih modelara, parajedrilice)</w:t>
            </w:r>
          </w:p>
        </w:tc>
      </w:tr>
      <w:tr w:rsidR="00A01C6F" w:rsidRPr="001838EE" w14:paraId="43823A3E" w14:textId="77777777" w:rsidTr="007F2B15">
        <w:trPr>
          <w:trHeight w:val="323"/>
        </w:trPr>
        <w:tc>
          <w:tcPr>
            <w:tcW w:w="1271" w:type="dxa"/>
            <w:tcBorders>
              <w:bottom w:val="nil"/>
            </w:tcBorders>
            <w:shd w:val="clear" w:color="auto" w:fill="D2232A" w:themeFill="accent1"/>
            <w:hideMark/>
          </w:tcPr>
          <w:p w14:paraId="3EBCC8E2" w14:textId="51DD9273" w:rsidR="008878A0" w:rsidRPr="001838EE" w:rsidRDefault="008878A0" w:rsidP="001838EE">
            <w:pPr>
              <w:spacing w:after="0"/>
              <w:jc w:val="left"/>
              <w:rPr>
                <w:rFonts w:eastAsiaTheme="minorHAnsi" w:cs="Calibri"/>
                <w:color w:val="FFFFFF" w:themeColor="background1"/>
                <w:szCs w:val="18"/>
              </w:rPr>
            </w:pPr>
            <w:r w:rsidRPr="001838EE">
              <w:rPr>
                <w:rFonts w:cs="Calibri"/>
                <w:color w:val="FFFFFF" w:themeColor="background1"/>
                <w:szCs w:val="18"/>
              </w:rPr>
              <w:t>Trail i trekkingutrke</w:t>
            </w:r>
          </w:p>
        </w:tc>
        <w:tc>
          <w:tcPr>
            <w:tcW w:w="7745" w:type="dxa"/>
            <w:tcBorders>
              <w:top w:val="single" w:sz="8" w:space="0" w:color="F3CFC1"/>
              <w:bottom w:val="single" w:sz="8" w:space="0" w:color="F3CFC1"/>
              <w:right w:val="single" w:sz="8" w:space="0" w:color="D2232A"/>
            </w:tcBorders>
            <w:hideMark/>
          </w:tcPr>
          <w:p w14:paraId="6B735B4B" w14:textId="77777777" w:rsidR="008878A0" w:rsidRPr="001838EE" w:rsidRDefault="008878A0" w:rsidP="001838EE">
            <w:pPr>
              <w:spacing w:after="0"/>
              <w:rPr>
                <w:rFonts w:eastAsia="ArialNarrow" w:cs="Calibri"/>
                <w:szCs w:val="18"/>
              </w:rPr>
            </w:pPr>
            <w:r w:rsidRPr="001838EE">
              <w:rPr>
                <w:rFonts w:eastAsia="ArialNarrow" w:cs="Calibri"/>
                <w:szCs w:val="18"/>
              </w:rPr>
              <w:t>Zagorje trekk Zabok</w:t>
            </w:r>
          </w:p>
        </w:tc>
      </w:tr>
      <w:tr w:rsidR="00A01C6F" w:rsidRPr="001838EE" w14:paraId="38CB70BA" w14:textId="77777777" w:rsidTr="001838EE">
        <w:trPr>
          <w:trHeight w:val="283"/>
        </w:trPr>
        <w:tc>
          <w:tcPr>
            <w:tcW w:w="1271" w:type="dxa"/>
            <w:tcBorders>
              <w:top w:val="nil"/>
              <w:bottom w:val="nil"/>
            </w:tcBorders>
            <w:shd w:val="clear" w:color="auto" w:fill="D2232A" w:themeFill="accent1"/>
          </w:tcPr>
          <w:p w14:paraId="760128DF" w14:textId="77777777" w:rsidR="008878A0" w:rsidRPr="001838EE" w:rsidRDefault="008878A0" w:rsidP="001838EE">
            <w:pPr>
              <w:spacing w:after="0"/>
              <w:jc w:val="left"/>
              <w:rPr>
                <w:rFonts w:eastAsiaTheme="minorHAnsi" w:cs="Calibri"/>
                <w:color w:val="FFFFFF" w:themeColor="background1"/>
                <w:szCs w:val="18"/>
              </w:rPr>
            </w:pPr>
          </w:p>
        </w:tc>
        <w:tc>
          <w:tcPr>
            <w:tcW w:w="7745" w:type="dxa"/>
            <w:tcBorders>
              <w:top w:val="single" w:sz="8" w:space="0" w:color="F3CFC1"/>
              <w:bottom w:val="nil"/>
              <w:right w:val="single" w:sz="8" w:space="0" w:color="D2232A"/>
            </w:tcBorders>
            <w:hideMark/>
          </w:tcPr>
          <w:p w14:paraId="5E41D8F2" w14:textId="77777777" w:rsidR="008878A0" w:rsidRPr="001838EE" w:rsidRDefault="008878A0" w:rsidP="001838EE">
            <w:pPr>
              <w:spacing w:after="0"/>
              <w:rPr>
                <w:rFonts w:eastAsia="ArialNarrow" w:cs="Calibri"/>
                <w:szCs w:val="18"/>
              </w:rPr>
            </w:pPr>
            <w:r w:rsidRPr="001838EE">
              <w:rPr>
                <w:rFonts w:eastAsia="ArialNarrow" w:cs="Calibri"/>
                <w:szCs w:val="18"/>
              </w:rPr>
              <w:t>Trail utrka "Z brega na breg"</w:t>
            </w:r>
          </w:p>
          <w:p w14:paraId="2589F6BD" w14:textId="0F487E75" w:rsidR="00B27783" w:rsidRPr="001838EE" w:rsidRDefault="00B27783" w:rsidP="001838EE">
            <w:pPr>
              <w:spacing w:after="0"/>
              <w:rPr>
                <w:rFonts w:eastAsia="ArialNarrow" w:cs="Calibri"/>
                <w:szCs w:val="18"/>
              </w:rPr>
            </w:pPr>
            <w:r w:rsidRPr="001838EE">
              <w:rPr>
                <w:rFonts w:eastAsia="ArialNarrow" w:cs="Calibri"/>
                <w:szCs w:val="18"/>
              </w:rPr>
              <w:t>Trkačke lige</w:t>
            </w:r>
          </w:p>
        </w:tc>
      </w:tr>
    </w:tbl>
    <w:p w14:paraId="6FB04EA8" w14:textId="660648C8" w:rsidR="008878A0" w:rsidRDefault="008878A0"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 xml:space="preserve">Izvor: Turistička zajednica Krapinsko-zagorske županije, podaci JLS-ova KZŽ, </w:t>
      </w:r>
      <w:r w:rsidR="00B27783" w:rsidRPr="0035368C">
        <w:rPr>
          <w:rFonts w:eastAsia="ArialNarrow" w:cstheme="minorHAnsi"/>
          <w:i/>
          <w:color w:val="ABABAB" w:themeColor="text1" w:themeTint="A6"/>
          <w:sz w:val="16"/>
          <w:szCs w:val="16"/>
        </w:rPr>
        <w:t xml:space="preserve">obrada Zagorska razvojna agencija </w:t>
      </w:r>
      <w:r w:rsidRPr="0035368C">
        <w:rPr>
          <w:rFonts w:eastAsia="ArialNarrow" w:cstheme="minorHAnsi"/>
          <w:i/>
          <w:color w:val="ABABAB" w:themeColor="text1" w:themeTint="A6"/>
          <w:sz w:val="16"/>
          <w:szCs w:val="16"/>
        </w:rPr>
        <w:t>2019. godina</w:t>
      </w:r>
    </w:p>
    <w:p w14:paraId="1A230609" w14:textId="77777777" w:rsidR="0035368C" w:rsidRPr="0035368C" w:rsidRDefault="0035368C" w:rsidP="0035368C">
      <w:pPr>
        <w:autoSpaceDE w:val="0"/>
        <w:autoSpaceDN w:val="0"/>
        <w:adjustRightInd w:val="0"/>
        <w:spacing w:after="0" w:line="240" w:lineRule="auto"/>
        <w:rPr>
          <w:rFonts w:eastAsia="ArialNarrow" w:cstheme="minorHAnsi"/>
          <w:i/>
          <w:color w:val="ABABAB" w:themeColor="text1" w:themeTint="A6"/>
          <w:sz w:val="16"/>
          <w:szCs w:val="16"/>
        </w:rPr>
      </w:pPr>
    </w:p>
    <w:p w14:paraId="59C680FC" w14:textId="21D865AE" w:rsidR="008878A0" w:rsidRPr="000F53D0" w:rsidRDefault="008878A0" w:rsidP="000F53D0">
      <w:pPr>
        <w:rPr>
          <w:rFonts w:asciiTheme="minorHAnsi" w:eastAsiaTheme="minorHAnsi" w:hAnsiTheme="minorHAnsi"/>
          <w:sz w:val="22"/>
          <w:szCs w:val="22"/>
        </w:rPr>
      </w:pPr>
      <w:r w:rsidRPr="000F53D0">
        <w:t>Od gore navedenih atrakcija, a prema procjeni TZKZŽ, potencijal za uključivanje u turističku ponudu na županijskoj razini imaju prije svega Horvatove stube u Donjoj Stubici, Lenartove stube u Pregradi te značajni krajobraz Zelenjak</w:t>
      </w:r>
      <w:r w:rsidR="00B27783">
        <w:t xml:space="preserve"> (</w:t>
      </w:r>
      <w:r w:rsidR="00B27783" w:rsidRPr="00B27783">
        <w:t>područje Cesarske i Risvičke gore)</w:t>
      </w:r>
      <w:r w:rsidRPr="000F53D0">
        <w:t>.</w:t>
      </w:r>
    </w:p>
    <w:p w14:paraId="3352EFE6" w14:textId="03A64FF1" w:rsidR="008134B6" w:rsidRDefault="008878A0" w:rsidP="00CF4B96">
      <w:r w:rsidRPr="000F53D0">
        <w:t>U KZŽ postoje i predispozicije za razvoj sportskog turizma. Vanjsko nogometno igralište u neposrednoj blizini Termi Tuhelj te vanjska igrališta (za tenis i nogometno igralište) u Donjoj Stubici omogućavaju profesionalnim sportskim ekipama kvalitetne pripremne treninge z</w:t>
      </w:r>
      <w:r w:rsidR="005842B3">
        <w:t>a</w:t>
      </w:r>
      <w:r w:rsidRPr="000F53D0">
        <w:t xml:space="preserve"> natjecanja</w:t>
      </w:r>
      <w:r w:rsidR="00211F7D">
        <w:t xml:space="preserve"> ili u rekreacijske svrhe. </w:t>
      </w:r>
      <w:r w:rsidRPr="000F53D0">
        <w:t xml:space="preserve"> Županijskim prostornim planom definirano je i područje predviđeno za golf terene koje se nalazi na tromeđi općina Bedekovčina (Poznanovec), Mače i Zlatar Bistrica. Kao projekt najvišeg prioriteta, Master-planom je definirana gradnja golf terena Kumrovec, čime bi se KZŽ razvijala u smjeru turističke regije više dodane vrijednosti.</w:t>
      </w:r>
      <w:r w:rsidR="00B27783">
        <w:t xml:space="preserve"> </w:t>
      </w:r>
      <w:r w:rsidRPr="000F53D0">
        <w:t>Ponudu sportskog turizma nadopunjuju Bedekovčanska jezera kao poznata ribolovna destinacija.</w:t>
      </w:r>
    </w:p>
    <w:p w14:paraId="1E558959" w14:textId="77777777" w:rsidR="00CF4B96" w:rsidRPr="00CF4B96" w:rsidRDefault="00CF4B96" w:rsidP="00CF4B96">
      <w:pPr>
        <w:rPr>
          <w:rFonts w:asciiTheme="minorHAnsi" w:eastAsiaTheme="minorHAnsi" w:hAnsiTheme="minorHAnsi"/>
        </w:rPr>
      </w:pPr>
    </w:p>
    <w:p w14:paraId="10048667" w14:textId="08588B3D" w:rsidR="001838EE" w:rsidRDefault="001838EE" w:rsidP="003E3F3C">
      <w:pPr>
        <w:pStyle w:val="Opisslike"/>
      </w:pPr>
      <w:r>
        <w:t>Tablica</w:t>
      </w:r>
      <w:r w:rsidR="0035368C">
        <w:t xml:space="preserve"> </w:t>
      </w:r>
      <w:r w:rsidR="00A7185B">
        <w:t>107</w:t>
      </w:r>
      <w:r>
        <w:t xml:space="preserve">. </w:t>
      </w:r>
      <w:r w:rsidRPr="00332F71">
        <w:t>Potencijali za daljnji razvoj dodatnih sadržaja i turističke ponude u Krapinsko-zagorskoj županiji</w:t>
      </w:r>
    </w:p>
    <w:tbl>
      <w:tblPr>
        <w:tblStyle w:val="Style5"/>
        <w:tblW w:w="9214" w:type="dxa"/>
        <w:jc w:val="center"/>
        <w:tblLook w:val="04A0" w:firstRow="1" w:lastRow="0" w:firstColumn="1" w:lastColumn="0" w:noHBand="0" w:noVBand="1"/>
      </w:tblPr>
      <w:tblGrid>
        <w:gridCol w:w="2942"/>
        <w:gridCol w:w="2920"/>
        <w:gridCol w:w="3352"/>
      </w:tblGrid>
      <w:tr w:rsidR="00DB2056" w:rsidRPr="00DB2056" w14:paraId="7D88CF2E" w14:textId="77777777" w:rsidTr="00211F7D">
        <w:trPr>
          <w:cnfStyle w:val="100000000000" w:firstRow="1" w:lastRow="0" w:firstColumn="0" w:lastColumn="0" w:oddVBand="0" w:evenVBand="0" w:oddHBand="0" w:evenHBand="0" w:firstRowFirstColumn="0" w:firstRowLastColumn="0" w:lastRowFirstColumn="0" w:lastRowLastColumn="0"/>
          <w:trHeight w:val="283"/>
          <w:tblHeader/>
          <w:jc w:val="center"/>
        </w:trPr>
        <w:tc>
          <w:tcPr>
            <w:tcW w:w="2942" w:type="dxa"/>
            <w:vAlign w:val="center"/>
            <w:hideMark/>
          </w:tcPr>
          <w:p w14:paraId="73A3FAD2" w14:textId="77777777" w:rsidR="00DB2056" w:rsidRPr="00DB2056" w:rsidRDefault="00DB2056" w:rsidP="008E498A">
            <w:pPr>
              <w:jc w:val="left"/>
              <w:rPr>
                <w:b/>
                <w:bCs/>
                <w:color w:val="FFFFFF"/>
              </w:rPr>
            </w:pPr>
            <w:r w:rsidRPr="00DB2056">
              <w:rPr>
                <w:b/>
                <w:bCs/>
                <w:color w:val="FFFFFF"/>
              </w:rPr>
              <w:t>Pejzaž</w:t>
            </w:r>
          </w:p>
        </w:tc>
        <w:tc>
          <w:tcPr>
            <w:tcW w:w="2920" w:type="dxa"/>
            <w:vAlign w:val="center"/>
            <w:hideMark/>
          </w:tcPr>
          <w:p w14:paraId="74DA4565" w14:textId="77777777" w:rsidR="00DB2056" w:rsidRPr="00DB2056" w:rsidRDefault="00DB2056" w:rsidP="008E498A">
            <w:pPr>
              <w:jc w:val="left"/>
              <w:rPr>
                <w:b/>
                <w:bCs/>
                <w:color w:val="FFFFFF"/>
              </w:rPr>
            </w:pPr>
            <w:r w:rsidRPr="00DB2056">
              <w:rPr>
                <w:b/>
                <w:bCs/>
                <w:color w:val="FFFFFF"/>
              </w:rPr>
              <w:t>Arheološka nalazišta</w:t>
            </w:r>
          </w:p>
        </w:tc>
        <w:tc>
          <w:tcPr>
            <w:tcW w:w="3352" w:type="dxa"/>
            <w:vAlign w:val="center"/>
            <w:hideMark/>
          </w:tcPr>
          <w:p w14:paraId="74A51E50" w14:textId="77777777" w:rsidR="00DB2056" w:rsidRPr="00DB2056" w:rsidRDefault="00DB2056" w:rsidP="008E498A">
            <w:pPr>
              <w:jc w:val="left"/>
              <w:rPr>
                <w:b/>
                <w:bCs/>
                <w:color w:val="FFFFFF"/>
              </w:rPr>
            </w:pPr>
            <w:r w:rsidRPr="00DB2056">
              <w:rPr>
                <w:b/>
                <w:bCs/>
                <w:color w:val="FFFFFF"/>
              </w:rPr>
              <w:t>Atrakcije i lokaliteti</w:t>
            </w:r>
          </w:p>
        </w:tc>
      </w:tr>
      <w:tr w:rsidR="00DB2056" w:rsidRPr="00DB2056" w14:paraId="1C37786B" w14:textId="77777777" w:rsidTr="00211F7D">
        <w:trPr>
          <w:trHeight w:val="283"/>
          <w:jc w:val="center"/>
        </w:trPr>
        <w:tc>
          <w:tcPr>
            <w:tcW w:w="2942" w:type="dxa"/>
            <w:vAlign w:val="center"/>
            <w:hideMark/>
          </w:tcPr>
          <w:p w14:paraId="04811C1D" w14:textId="77777777" w:rsidR="00DB2056" w:rsidRPr="00DB2056" w:rsidRDefault="00DB2056" w:rsidP="008E498A">
            <w:pPr>
              <w:jc w:val="left"/>
              <w:rPr>
                <w:color w:val="000000"/>
              </w:rPr>
            </w:pPr>
            <w:r w:rsidRPr="00DB2056">
              <w:rPr>
                <w:color w:val="000000"/>
              </w:rPr>
              <w:t>Betlehemska špilja u Stubičkim Toplicama</w:t>
            </w:r>
          </w:p>
        </w:tc>
        <w:tc>
          <w:tcPr>
            <w:tcW w:w="2920" w:type="dxa"/>
            <w:vAlign w:val="center"/>
            <w:hideMark/>
          </w:tcPr>
          <w:p w14:paraId="68203683" w14:textId="77777777" w:rsidR="00DB2056" w:rsidRPr="00DB2056" w:rsidRDefault="00DB2056" w:rsidP="008E498A">
            <w:pPr>
              <w:jc w:val="left"/>
              <w:rPr>
                <w:color w:val="000000"/>
              </w:rPr>
            </w:pPr>
            <w:r w:rsidRPr="00DB2056">
              <w:rPr>
                <w:color w:val="000000"/>
              </w:rPr>
              <w:t>Hanžekova špilja u Belcu kod Zlatara</w:t>
            </w:r>
          </w:p>
        </w:tc>
        <w:tc>
          <w:tcPr>
            <w:tcW w:w="3352" w:type="dxa"/>
            <w:vAlign w:val="center"/>
            <w:hideMark/>
          </w:tcPr>
          <w:p w14:paraId="36D81F59" w14:textId="77777777" w:rsidR="00DB2056" w:rsidRPr="00DB2056" w:rsidRDefault="00DB2056" w:rsidP="008E498A">
            <w:pPr>
              <w:jc w:val="left"/>
              <w:rPr>
                <w:color w:val="000000"/>
              </w:rPr>
            </w:pPr>
            <w:r w:rsidRPr="00DB2056">
              <w:rPr>
                <w:color w:val="000000"/>
              </w:rPr>
              <w:t>Mauzolej Jakoba Badla u Krapinskim Toplicama</w:t>
            </w:r>
          </w:p>
        </w:tc>
      </w:tr>
      <w:tr w:rsidR="00DB2056" w:rsidRPr="00DB2056" w14:paraId="646AED73" w14:textId="77777777" w:rsidTr="00211F7D">
        <w:trPr>
          <w:trHeight w:val="283"/>
          <w:jc w:val="center"/>
        </w:trPr>
        <w:tc>
          <w:tcPr>
            <w:tcW w:w="2942" w:type="dxa"/>
            <w:vAlign w:val="center"/>
            <w:hideMark/>
          </w:tcPr>
          <w:p w14:paraId="1713679B" w14:textId="77777777" w:rsidR="00DB2056" w:rsidRPr="00DB2056" w:rsidRDefault="00DB2056" w:rsidP="008E498A">
            <w:pPr>
              <w:jc w:val="left"/>
              <w:rPr>
                <w:color w:val="000000"/>
              </w:rPr>
            </w:pPr>
            <w:r w:rsidRPr="00DB2056">
              <w:rPr>
                <w:color w:val="000000"/>
              </w:rPr>
              <w:t>Horvatove stube u Donjoj Stubici</w:t>
            </w:r>
          </w:p>
        </w:tc>
        <w:tc>
          <w:tcPr>
            <w:tcW w:w="2920" w:type="dxa"/>
            <w:vAlign w:val="center"/>
            <w:hideMark/>
          </w:tcPr>
          <w:p w14:paraId="5E7A6AC4" w14:textId="77777777" w:rsidR="00DB2056" w:rsidRPr="00DB2056" w:rsidRDefault="00DB2056" w:rsidP="008E498A">
            <w:pPr>
              <w:jc w:val="left"/>
              <w:rPr>
                <w:color w:val="000000"/>
              </w:rPr>
            </w:pPr>
            <w:r w:rsidRPr="00DB2056">
              <w:rPr>
                <w:color w:val="000000"/>
              </w:rPr>
              <w:t xml:space="preserve">Ravno Brezje, Kumrovec – prapovijesni arheološki lokalitet </w:t>
            </w:r>
          </w:p>
        </w:tc>
        <w:tc>
          <w:tcPr>
            <w:tcW w:w="3352" w:type="dxa"/>
            <w:vAlign w:val="center"/>
            <w:hideMark/>
          </w:tcPr>
          <w:p w14:paraId="195EC9A8" w14:textId="77777777" w:rsidR="00DB2056" w:rsidRPr="00DB2056" w:rsidRDefault="00DB2056" w:rsidP="008E498A">
            <w:pPr>
              <w:jc w:val="left"/>
              <w:rPr>
                <w:color w:val="auto"/>
              </w:rPr>
            </w:pPr>
            <w:r w:rsidRPr="00DB2056">
              <w:rPr>
                <w:color w:val="auto"/>
              </w:rPr>
              <w:t xml:space="preserve">Sarkofazi obitelji Erdődy / Zavičajna zbirka - Muzej himni u Klanjcu </w:t>
            </w:r>
          </w:p>
        </w:tc>
      </w:tr>
      <w:tr w:rsidR="00DB2056" w:rsidRPr="00DB2056" w14:paraId="7DCD08D0" w14:textId="77777777" w:rsidTr="00211F7D">
        <w:trPr>
          <w:trHeight w:val="283"/>
          <w:jc w:val="center"/>
        </w:trPr>
        <w:tc>
          <w:tcPr>
            <w:tcW w:w="2942" w:type="dxa"/>
            <w:vAlign w:val="center"/>
            <w:hideMark/>
          </w:tcPr>
          <w:p w14:paraId="75243030" w14:textId="77777777" w:rsidR="00DB2056" w:rsidRPr="00DB2056" w:rsidRDefault="00DB2056" w:rsidP="008E498A">
            <w:pPr>
              <w:jc w:val="left"/>
              <w:rPr>
                <w:color w:val="000000"/>
              </w:rPr>
            </w:pPr>
            <w:r w:rsidRPr="00DB2056">
              <w:rPr>
                <w:color w:val="000000"/>
              </w:rPr>
              <w:t>Kostelgrad kod Pregrade</w:t>
            </w:r>
          </w:p>
        </w:tc>
        <w:tc>
          <w:tcPr>
            <w:tcW w:w="2920" w:type="dxa"/>
            <w:vAlign w:val="center"/>
            <w:hideMark/>
          </w:tcPr>
          <w:p w14:paraId="0859925C" w14:textId="77777777" w:rsidR="00DB2056" w:rsidRPr="00DB2056" w:rsidRDefault="00DB2056" w:rsidP="008E498A">
            <w:pPr>
              <w:jc w:val="left"/>
              <w:rPr>
                <w:color w:val="000000"/>
              </w:rPr>
            </w:pPr>
            <w:r w:rsidRPr="00DB2056">
              <w:rPr>
                <w:color w:val="000000"/>
              </w:rPr>
              <w:t>Špičak (Zagorska Sela)</w:t>
            </w:r>
          </w:p>
        </w:tc>
        <w:tc>
          <w:tcPr>
            <w:tcW w:w="3352" w:type="dxa"/>
            <w:vAlign w:val="center"/>
            <w:hideMark/>
          </w:tcPr>
          <w:p w14:paraId="6F507CB4" w14:textId="77777777" w:rsidR="00DB2056" w:rsidRPr="00DB2056" w:rsidRDefault="00DB2056" w:rsidP="008E498A">
            <w:pPr>
              <w:jc w:val="left"/>
              <w:rPr>
                <w:color w:val="auto"/>
              </w:rPr>
            </w:pPr>
            <w:r w:rsidRPr="00DB2056">
              <w:rPr>
                <w:color w:val="auto"/>
              </w:rPr>
              <w:t>Rudnik sumpora u Radoboju</w:t>
            </w:r>
          </w:p>
        </w:tc>
      </w:tr>
      <w:tr w:rsidR="00DB2056" w:rsidRPr="00DB2056" w14:paraId="22D93EF5" w14:textId="77777777" w:rsidTr="00211F7D">
        <w:trPr>
          <w:trHeight w:val="283"/>
          <w:jc w:val="center"/>
        </w:trPr>
        <w:tc>
          <w:tcPr>
            <w:tcW w:w="2942" w:type="dxa"/>
            <w:vAlign w:val="center"/>
            <w:hideMark/>
          </w:tcPr>
          <w:p w14:paraId="3DD8047B" w14:textId="77777777" w:rsidR="00DB2056" w:rsidRPr="00DB2056" w:rsidRDefault="00DB2056" w:rsidP="008E498A">
            <w:pPr>
              <w:jc w:val="left"/>
              <w:rPr>
                <w:color w:val="000000"/>
              </w:rPr>
            </w:pPr>
            <w:r w:rsidRPr="00DB2056">
              <w:rPr>
                <w:color w:val="000000"/>
              </w:rPr>
              <w:t>Lenartove stube u Pregradi</w:t>
            </w:r>
          </w:p>
        </w:tc>
        <w:tc>
          <w:tcPr>
            <w:tcW w:w="2920" w:type="dxa"/>
            <w:vAlign w:val="center"/>
            <w:hideMark/>
          </w:tcPr>
          <w:p w14:paraId="2330B256" w14:textId="77777777" w:rsidR="00DB2056" w:rsidRPr="00DB2056" w:rsidRDefault="00DB2056" w:rsidP="008E498A">
            <w:pPr>
              <w:jc w:val="left"/>
              <w:rPr>
                <w:color w:val="000000"/>
              </w:rPr>
            </w:pPr>
            <w:r w:rsidRPr="00DB2056">
              <w:rPr>
                <w:color w:val="000000"/>
              </w:rPr>
              <w:t>Arheološko nalazište “Stari grad” u Donjoj Stubici (Tahyjev grad)</w:t>
            </w:r>
          </w:p>
        </w:tc>
        <w:tc>
          <w:tcPr>
            <w:tcW w:w="3352" w:type="dxa"/>
            <w:vAlign w:val="center"/>
            <w:hideMark/>
          </w:tcPr>
          <w:p w14:paraId="1E3643F1" w14:textId="77777777" w:rsidR="00DB2056" w:rsidRPr="00DB2056" w:rsidRDefault="00DB2056" w:rsidP="008E498A">
            <w:pPr>
              <w:jc w:val="left"/>
              <w:rPr>
                <w:color w:val="auto"/>
              </w:rPr>
            </w:pPr>
            <w:r w:rsidRPr="00DB2056">
              <w:rPr>
                <w:color w:val="auto"/>
              </w:rPr>
              <w:t>Bedekovčanska jezera</w:t>
            </w:r>
          </w:p>
        </w:tc>
      </w:tr>
      <w:tr w:rsidR="00DB2056" w:rsidRPr="00DB2056" w14:paraId="0B5A5355" w14:textId="77777777" w:rsidTr="00211F7D">
        <w:trPr>
          <w:trHeight w:val="283"/>
          <w:jc w:val="center"/>
        </w:trPr>
        <w:tc>
          <w:tcPr>
            <w:tcW w:w="2942" w:type="dxa"/>
            <w:vAlign w:val="center"/>
            <w:hideMark/>
          </w:tcPr>
          <w:p w14:paraId="0350FEA5" w14:textId="77777777" w:rsidR="00DB2056" w:rsidRPr="00DB2056" w:rsidRDefault="00DB2056" w:rsidP="008E498A">
            <w:pPr>
              <w:jc w:val="left"/>
              <w:rPr>
                <w:color w:val="000000"/>
              </w:rPr>
            </w:pPr>
            <w:r w:rsidRPr="00DB2056">
              <w:rPr>
                <w:color w:val="000000"/>
              </w:rPr>
              <w:t>Hrvatski vrt perunika u Donjoj Stubici</w:t>
            </w:r>
          </w:p>
        </w:tc>
        <w:tc>
          <w:tcPr>
            <w:tcW w:w="2920" w:type="dxa"/>
            <w:vAlign w:val="center"/>
            <w:hideMark/>
          </w:tcPr>
          <w:p w14:paraId="5545B7E9" w14:textId="77777777" w:rsidR="00DB2056" w:rsidRPr="00DB2056" w:rsidRDefault="00DB2056" w:rsidP="008E498A">
            <w:pPr>
              <w:jc w:val="left"/>
              <w:rPr>
                <w:color w:val="000000"/>
              </w:rPr>
            </w:pPr>
            <w:r w:rsidRPr="00DB2056">
              <w:rPr>
                <w:color w:val="000000"/>
              </w:rPr>
              <w:t xml:space="preserve">Brdo Zašat u Krapinskim Toplicama – kasno brončano doba </w:t>
            </w:r>
          </w:p>
        </w:tc>
        <w:tc>
          <w:tcPr>
            <w:tcW w:w="3352" w:type="dxa"/>
            <w:vAlign w:val="center"/>
            <w:hideMark/>
          </w:tcPr>
          <w:p w14:paraId="6EAD59C8" w14:textId="77777777" w:rsidR="00DB2056" w:rsidRPr="00DB2056" w:rsidRDefault="00DB2056" w:rsidP="008E498A">
            <w:pPr>
              <w:jc w:val="left"/>
              <w:rPr>
                <w:color w:val="auto"/>
              </w:rPr>
            </w:pPr>
            <w:r w:rsidRPr="00DB2056">
              <w:rPr>
                <w:color w:val="auto"/>
              </w:rPr>
              <w:t xml:space="preserve">Rudnik ugljena u Pregradi </w:t>
            </w:r>
          </w:p>
        </w:tc>
      </w:tr>
      <w:tr w:rsidR="00DB2056" w:rsidRPr="00DB2056" w14:paraId="67BECD3E" w14:textId="77777777" w:rsidTr="00211F7D">
        <w:trPr>
          <w:trHeight w:val="283"/>
          <w:jc w:val="center"/>
        </w:trPr>
        <w:tc>
          <w:tcPr>
            <w:tcW w:w="2942" w:type="dxa"/>
            <w:vAlign w:val="center"/>
            <w:hideMark/>
          </w:tcPr>
          <w:p w14:paraId="233B9928" w14:textId="77777777" w:rsidR="00DB2056" w:rsidRPr="00DB2056" w:rsidRDefault="00DB2056" w:rsidP="008E498A">
            <w:pPr>
              <w:jc w:val="left"/>
              <w:rPr>
                <w:color w:val="auto"/>
              </w:rPr>
            </w:pPr>
            <w:r w:rsidRPr="00DB2056">
              <w:rPr>
                <w:color w:val="auto"/>
              </w:rPr>
              <w:t xml:space="preserve">srednjovjekovna utvrda "Stari grad Milengrad" </w:t>
            </w:r>
          </w:p>
        </w:tc>
        <w:tc>
          <w:tcPr>
            <w:tcW w:w="2920" w:type="dxa"/>
            <w:vAlign w:val="center"/>
            <w:hideMark/>
          </w:tcPr>
          <w:p w14:paraId="406F4CA0" w14:textId="77777777" w:rsidR="00DB2056" w:rsidRPr="00DB2056" w:rsidRDefault="00DB2056" w:rsidP="008E498A">
            <w:pPr>
              <w:jc w:val="left"/>
              <w:rPr>
                <w:color w:val="auto"/>
              </w:rPr>
            </w:pPr>
            <w:r w:rsidRPr="00DB2056">
              <w:rPr>
                <w:color w:val="auto"/>
              </w:rPr>
              <w:t>Nalazište fosila školjaka u Zaboku</w:t>
            </w:r>
          </w:p>
        </w:tc>
        <w:tc>
          <w:tcPr>
            <w:tcW w:w="3352" w:type="dxa"/>
            <w:vAlign w:val="center"/>
            <w:hideMark/>
          </w:tcPr>
          <w:p w14:paraId="08DB7FB4" w14:textId="77777777" w:rsidR="00DB2056" w:rsidRPr="00DB2056" w:rsidRDefault="00DB2056" w:rsidP="008E498A">
            <w:pPr>
              <w:jc w:val="left"/>
              <w:rPr>
                <w:color w:val="auto"/>
              </w:rPr>
            </w:pPr>
            <w:r w:rsidRPr="00DB2056">
              <w:rPr>
                <w:color w:val="auto"/>
              </w:rPr>
              <w:t>Mauzolej Halper-Radić u Krapini</w:t>
            </w:r>
          </w:p>
        </w:tc>
      </w:tr>
      <w:tr w:rsidR="00DB2056" w:rsidRPr="00DB2056" w14:paraId="6B80E306" w14:textId="77777777" w:rsidTr="00211F7D">
        <w:trPr>
          <w:trHeight w:val="283"/>
          <w:jc w:val="center"/>
        </w:trPr>
        <w:tc>
          <w:tcPr>
            <w:tcW w:w="2942" w:type="dxa"/>
            <w:vAlign w:val="center"/>
            <w:hideMark/>
          </w:tcPr>
          <w:p w14:paraId="1DD4ADD9" w14:textId="77777777" w:rsidR="00DB2056" w:rsidRPr="00DB2056" w:rsidRDefault="00DB2056" w:rsidP="008E498A">
            <w:pPr>
              <w:jc w:val="left"/>
              <w:rPr>
                <w:color w:val="auto"/>
              </w:rPr>
            </w:pPr>
            <w:r w:rsidRPr="00DB2056">
              <w:rPr>
                <w:color w:val="auto"/>
              </w:rPr>
              <w:t xml:space="preserve">Značajni krajobraz Zelenjak </w:t>
            </w:r>
          </w:p>
        </w:tc>
        <w:tc>
          <w:tcPr>
            <w:tcW w:w="2920" w:type="dxa"/>
            <w:vAlign w:val="center"/>
            <w:hideMark/>
          </w:tcPr>
          <w:p w14:paraId="031E2E02" w14:textId="77777777" w:rsidR="00DB2056" w:rsidRPr="00DB2056" w:rsidRDefault="00DB2056" w:rsidP="008E498A">
            <w:pPr>
              <w:jc w:val="left"/>
              <w:rPr>
                <w:color w:val="auto"/>
              </w:rPr>
            </w:pPr>
            <w:r w:rsidRPr="00DB2056">
              <w:rPr>
                <w:color w:val="auto"/>
              </w:rPr>
              <w:t>Nalazište fosila vinove loze u Radoboju</w:t>
            </w:r>
          </w:p>
        </w:tc>
        <w:tc>
          <w:tcPr>
            <w:tcW w:w="3352" w:type="dxa"/>
            <w:vAlign w:val="center"/>
            <w:hideMark/>
          </w:tcPr>
          <w:p w14:paraId="37D7C3D7" w14:textId="77777777" w:rsidR="00DB2056" w:rsidRPr="00DB2056" w:rsidRDefault="00DB2056" w:rsidP="008E498A">
            <w:pPr>
              <w:jc w:val="left"/>
              <w:rPr>
                <w:color w:val="auto"/>
              </w:rPr>
            </w:pPr>
            <w:r w:rsidRPr="00DB2056">
              <w:rPr>
                <w:rFonts w:ascii="Calibri" w:hAnsi="Calibri" w:cs="Calibri"/>
                <w:color w:val="auto"/>
              </w:rPr>
              <w:t> </w:t>
            </w:r>
          </w:p>
        </w:tc>
      </w:tr>
      <w:tr w:rsidR="00DB2056" w:rsidRPr="00DB2056" w14:paraId="4EFA664C" w14:textId="77777777" w:rsidTr="00211F7D">
        <w:trPr>
          <w:trHeight w:val="283"/>
          <w:jc w:val="center"/>
        </w:trPr>
        <w:tc>
          <w:tcPr>
            <w:tcW w:w="2942" w:type="dxa"/>
            <w:vAlign w:val="center"/>
            <w:hideMark/>
          </w:tcPr>
          <w:p w14:paraId="4A925ECE" w14:textId="77777777" w:rsidR="00DB2056" w:rsidRPr="00DB2056" w:rsidRDefault="00DB2056" w:rsidP="008E498A">
            <w:pPr>
              <w:jc w:val="left"/>
              <w:rPr>
                <w:color w:val="auto"/>
              </w:rPr>
            </w:pPr>
            <w:r w:rsidRPr="00DB2056">
              <w:rPr>
                <w:rFonts w:ascii="Calibri" w:hAnsi="Calibri" w:cs="Calibri"/>
                <w:color w:val="auto"/>
              </w:rPr>
              <w:t> </w:t>
            </w:r>
          </w:p>
        </w:tc>
        <w:tc>
          <w:tcPr>
            <w:tcW w:w="2920" w:type="dxa"/>
            <w:vAlign w:val="center"/>
            <w:hideMark/>
          </w:tcPr>
          <w:p w14:paraId="6C4BE7F7" w14:textId="3C481F9E" w:rsidR="00DB2056" w:rsidRPr="00DB2056" w:rsidRDefault="00DB2056" w:rsidP="008E498A">
            <w:pPr>
              <w:jc w:val="left"/>
              <w:rPr>
                <w:color w:val="auto"/>
              </w:rPr>
            </w:pPr>
            <w:r w:rsidRPr="00DB2056">
              <w:rPr>
                <w:color w:val="auto"/>
              </w:rPr>
              <w:t xml:space="preserve">Kamenolom </w:t>
            </w:r>
            <w:r w:rsidR="004217AF">
              <w:rPr>
                <w:color w:val="auto"/>
              </w:rPr>
              <w:t>T</w:t>
            </w:r>
            <w:r w:rsidRPr="00DB2056">
              <w:rPr>
                <w:color w:val="auto"/>
              </w:rPr>
              <w:t xml:space="preserve">ufa u Donjem Jesenju </w:t>
            </w:r>
          </w:p>
        </w:tc>
        <w:tc>
          <w:tcPr>
            <w:tcW w:w="3352" w:type="dxa"/>
            <w:vAlign w:val="center"/>
            <w:hideMark/>
          </w:tcPr>
          <w:p w14:paraId="370ED47C" w14:textId="77777777" w:rsidR="00DB2056" w:rsidRPr="00DB2056" w:rsidRDefault="00DB2056" w:rsidP="008E498A">
            <w:pPr>
              <w:jc w:val="left"/>
              <w:rPr>
                <w:color w:val="auto"/>
              </w:rPr>
            </w:pPr>
            <w:r w:rsidRPr="00DB2056">
              <w:rPr>
                <w:rFonts w:ascii="Calibri" w:hAnsi="Calibri" w:cs="Calibri"/>
                <w:color w:val="auto"/>
              </w:rPr>
              <w:t> </w:t>
            </w:r>
          </w:p>
        </w:tc>
      </w:tr>
      <w:tr w:rsidR="00DB2056" w:rsidRPr="00DB2056" w14:paraId="1B5AF8E7" w14:textId="77777777" w:rsidTr="00211F7D">
        <w:trPr>
          <w:trHeight w:val="283"/>
          <w:jc w:val="center"/>
        </w:trPr>
        <w:tc>
          <w:tcPr>
            <w:tcW w:w="2942" w:type="dxa"/>
            <w:vAlign w:val="center"/>
            <w:hideMark/>
          </w:tcPr>
          <w:p w14:paraId="773355DC" w14:textId="77777777" w:rsidR="00DB2056" w:rsidRPr="00DB2056" w:rsidRDefault="00DB2056" w:rsidP="008E498A">
            <w:pPr>
              <w:jc w:val="left"/>
              <w:rPr>
                <w:color w:val="auto"/>
              </w:rPr>
            </w:pPr>
            <w:r w:rsidRPr="00DB2056">
              <w:rPr>
                <w:rFonts w:ascii="Calibri" w:hAnsi="Calibri" w:cs="Calibri"/>
                <w:color w:val="auto"/>
              </w:rPr>
              <w:t> </w:t>
            </w:r>
          </w:p>
        </w:tc>
        <w:tc>
          <w:tcPr>
            <w:tcW w:w="2920" w:type="dxa"/>
            <w:vAlign w:val="center"/>
            <w:hideMark/>
          </w:tcPr>
          <w:p w14:paraId="0771DA7A" w14:textId="77777777" w:rsidR="00DB2056" w:rsidRPr="00DB2056" w:rsidRDefault="00DB2056" w:rsidP="008E498A">
            <w:pPr>
              <w:jc w:val="left"/>
              <w:rPr>
                <w:color w:val="auto"/>
              </w:rPr>
            </w:pPr>
            <w:r w:rsidRPr="00DB2056">
              <w:rPr>
                <w:color w:val="auto"/>
              </w:rPr>
              <w:t xml:space="preserve">Arheološka zona Stari grad u Krapini </w:t>
            </w:r>
          </w:p>
        </w:tc>
        <w:tc>
          <w:tcPr>
            <w:tcW w:w="3352" w:type="dxa"/>
            <w:vAlign w:val="center"/>
            <w:hideMark/>
          </w:tcPr>
          <w:p w14:paraId="35D7300B" w14:textId="77777777" w:rsidR="00DB2056" w:rsidRPr="00DB2056" w:rsidRDefault="00DB2056" w:rsidP="008E498A">
            <w:pPr>
              <w:jc w:val="left"/>
              <w:rPr>
                <w:color w:val="auto"/>
              </w:rPr>
            </w:pPr>
            <w:r w:rsidRPr="00DB2056">
              <w:rPr>
                <w:rFonts w:ascii="Calibri" w:hAnsi="Calibri" w:cs="Calibri"/>
                <w:color w:val="auto"/>
              </w:rPr>
              <w:t> </w:t>
            </w:r>
          </w:p>
        </w:tc>
      </w:tr>
      <w:tr w:rsidR="00DB2056" w:rsidRPr="00DB2056" w14:paraId="23D7020F" w14:textId="77777777" w:rsidTr="00211F7D">
        <w:trPr>
          <w:trHeight w:val="283"/>
          <w:jc w:val="center"/>
        </w:trPr>
        <w:tc>
          <w:tcPr>
            <w:tcW w:w="2942" w:type="dxa"/>
            <w:vAlign w:val="center"/>
            <w:hideMark/>
          </w:tcPr>
          <w:p w14:paraId="0C0B86C5" w14:textId="77777777" w:rsidR="00DB2056" w:rsidRPr="00DB2056" w:rsidRDefault="00DB2056" w:rsidP="008E498A">
            <w:pPr>
              <w:jc w:val="left"/>
              <w:rPr>
                <w:color w:val="auto"/>
              </w:rPr>
            </w:pPr>
            <w:r w:rsidRPr="00DB2056">
              <w:rPr>
                <w:rFonts w:ascii="Calibri" w:hAnsi="Calibri" w:cs="Calibri"/>
                <w:color w:val="auto"/>
              </w:rPr>
              <w:t> </w:t>
            </w:r>
          </w:p>
        </w:tc>
        <w:tc>
          <w:tcPr>
            <w:tcW w:w="2920" w:type="dxa"/>
            <w:vAlign w:val="center"/>
            <w:hideMark/>
          </w:tcPr>
          <w:p w14:paraId="313DE6AB" w14:textId="77777777" w:rsidR="00DB2056" w:rsidRPr="00DB2056" w:rsidRDefault="00DB2056" w:rsidP="008E498A">
            <w:pPr>
              <w:jc w:val="left"/>
              <w:rPr>
                <w:color w:val="auto"/>
              </w:rPr>
            </w:pPr>
            <w:r w:rsidRPr="00DB2056">
              <w:rPr>
                <w:color w:val="auto"/>
              </w:rPr>
              <w:t xml:space="preserve">Arheološko nalazište kod crkve Majke Božje Gorske u Loboru </w:t>
            </w:r>
          </w:p>
        </w:tc>
        <w:tc>
          <w:tcPr>
            <w:tcW w:w="3352" w:type="dxa"/>
            <w:vAlign w:val="center"/>
            <w:hideMark/>
          </w:tcPr>
          <w:p w14:paraId="2EC70351" w14:textId="77777777" w:rsidR="00DB2056" w:rsidRPr="00DB2056" w:rsidRDefault="00DB2056" w:rsidP="008E498A">
            <w:pPr>
              <w:jc w:val="left"/>
              <w:rPr>
                <w:color w:val="auto"/>
              </w:rPr>
            </w:pPr>
            <w:r w:rsidRPr="00DB2056">
              <w:rPr>
                <w:rFonts w:ascii="Calibri" w:hAnsi="Calibri" w:cs="Calibri"/>
                <w:color w:val="auto"/>
              </w:rPr>
              <w:t> </w:t>
            </w:r>
          </w:p>
        </w:tc>
      </w:tr>
    </w:tbl>
    <w:p w14:paraId="58700D89" w14:textId="06679D9D" w:rsidR="008134B6" w:rsidRPr="0035368C" w:rsidRDefault="008134B6"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Izvor: Turistička zajednica Krapinsko-zagorske županije, podaci JLS-ova KZŽ, obrada Zagorska razvojna agencija 20</w:t>
      </w:r>
      <w:r w:rsidR="005B0B57">
        <w:rPr>
          <w:rFonts w:eastAsia="ArialNarrow" w:cstheme="minorHAnsi"/>
          <w:i/>
          <w:color w:val="ABABAB" w:themeColor="text1" w:themeTint="A6"/>
          <w:sz w:val="16"/>
          <w:szCs w:val="16"/>
        </w:rPr>
        <w:t>20</w:t>
      </w:r>
      <w:r w:rsidRPr="0035368C">
        <w:rPr>
          <w:rFonts w:eastAsia="ArialNarrow" w:cstheme="minorHAnsi"/>
          <w:i/>
          <w:color w:val="ABABAB" w:themeColor="text1" w:themeTint="A6"/>
          <w:sz w:val="16"/>
          <w:szCs w:val="16"/>
        </w:rPr>
        <w:t>. godina</w:t>
      </w:r>
    </w:p>
    <w:p w14:paraId="68D75F0A" w14:textId="2965E684" w:rsidR="00013DEC" w:rsidRDefault="00013DEC" w:rsidP="00941871">
      <w:pPr>
        <w:rPr>
          <w:rFonts w:ascii="Calibri" w:eastAsia="ArialNarrow" w:hAnsi="Calibri" w:cs="Calibri"/>
        </w:rPr>
      </w:pPr>
    </w:p>
    <w:p w14:paraId="3BF083BA" w14:textId="1AD2AAB7" w:rsidR="008878A0" w:rsidRDefault="0035368C" w:rsidP="0052192B">
      <w:pPr>
        <w:pStyle w:val="Naslov2"/>
      </w:pPr>
      <w:bookmarkStart w:id="178" w:name="_Toc85181346"/>
      <w:r>
        <w:t>1</w:t>
      </w:r>
      <w:r w:rsidR="00B601EE">
        <w:t>1</w:t>
      </w:r>
      <w:r w:rsidR="00447CDF">
        <w:t>.5</w:t>
      </w:r>
      <w:r w:rsidR="008878A0">
        <w:t>. Obiteljski turizam</w:t>
      </w:r>
      <w:bookmarkEnd w:id="178"/>
    </w:p>
    <w:p w14:paraId="14FA5761" w14:textId="77777777" w:rsidR="008878A0" w:rsidRDefault="008878A0" w:rsidP="00941871">
      <w:pPr>
        <w:rPr>
          <w:rFonts w:ascii="Calibri" w:eastAsia="ArialNarrow" w:hAnsi="Calibri" w:cs="Calibri"/>
        </w:rPr>
      </w:pPr>
    </w:p>
    <w:p w14:paraId="62F6F1CA" w14:textId="35F1C212" w:rsidR="008878A0" w:rsidRPr="000F53D0" w:rsidRDefault="008878A0" w:rsidP="000F53D0">
      <w:pPr>
        <w:rPr>
          <w:rFonts w:eastAsia="ArialNarrow"/>
        </w:rPr>
      </w:pPr>
      <w:r w:rsidRPr="000F53D0">
        <w:rPr>
          <w:rFonts w:eastAsia="ArialNarrow"/>
        </w:rPr>
        <w:t xml:space="preserve">Na resursnoj osnovi termi, kulturi i prirodi razvija se proizvod obiteljskog turizma. Ovaj proizvod zahtijeva daljnji razvoj infrastrukture vezane primarno uz terme i vodu, ali i druge sadržaje aktivnog turizma poput biciklističkih, konjičkih i </w:t>
      </w:r>
      <w:r w:rsidR="004217AF" w:rsidRPr="000F53D0">
        <w:rPr>
          <w:rFonts w:eastAsia="ArialNarrow"/>
        </w:rPr>
        <w:t>treking</w:t>
      </w:r>
      <w:r w:rsidRPr="000F53D0">
        <w:rPr>
          <w:rFonts w:eastAsia="ArialNarrow"/>
        </w:rPr>
        <w:t xml:space="preserve"> staza te razvoj smještajnih kapaciteta prilagođenih ovoj ciljnoj skupini (obiteljski hoteli).</w:t>
      </w:r>
    </w:p>
    <w:p w14:paraId="36A6AC26" w14:textId="1B9A44E3" w:rsidR="008878A0" w:rsidRDefault="008878A0" w:rsidP="000F53D0">
      <w:pPr>
        <w:rPr>
          <w:rFonts w:eastAsia="ArialNarrow"/>
        </w:rPr>
      </w:pPr>
      <w:r w:rsidRPr="000F53D0">
        <w:rPr>
          <w:rFonts w:eastAsia="ArialNarrow"/>
        </w:rPr>
        <w:t>Master-plan kao jedan od prioritetnih investicijskih projekata izdvaja Tematski zabavni park, pri čemu važnu ciljnu skupinu predstavljaju i gosti u tranzitu, što je osobito važno s obzirom na geoprometni položaj županije (županijom prolazi jedna od povoljnijih cestovnih veza između srednje i sjeverne Europe te juga i jugoistoka Europe i Jadranskog mora</w:t>
      </w:r>
      <w:r w:rsidR="000E4A5D">
        <w:rPr>
          <w:rFonts w:eastAsia="ArialNarrow"/>
        </w:rPr>
        <w:t xml:space="preserve"> – cestovna infrastruktura</w:t>
      </w:r>
      <w:r w:rsidRPr="000F53D0">
        <w:rPr>
          <w:rFonts w:eastAsia="ArialNarrow"/>
        </w:rPr>
        <w:t>).</w:t>
      </w:r>
    </w:p>
    <w:p w14:paraId="08516893" w14:textId="77777777" w:rsidR="001838EE" w:rsidRPr="000F53D0" w:rsidRDefault="001838EE" w:rsidP="000F53D0">
      <w:pPr>
        <w:rPr>
          <w:rFonts w:eastAsia="ArialNarrow"/>
        </w:rPr>
      </w:pPr>
    </w:p>
    <w:p w14:paraId="791870BC" w14:textId="597F0EBA" w:rsidR="008878A0" w:rsidRDefault="0035368C" w:rsidP="0052192B">
      <w:pPr>
        <w:pStyle w:val="Naslov2"/>
        <w:rPr>
          <w:rFonts w:eastAsia="ArialNarrow"/>
        </w:rPr>
      </w:pPr>
      <w:bookmarkStart w:id="179" w:name="_Toc85181347"/>
      <w:r>
        <w:lastRenderedPageBreak/>
        <w:t>1</w:t>
      </w:r>
      <w:r w:rsidR="00B601EE">
        <w:t>1</w:t>
      </w:r>
      <w:r w:rsidR="008878A0">
        <w:t>.</w:t>
      </w:r>
      <w:r w:rsidR="00DF050A">
        <w:t>6</w:t>
      </w:r>
      <w:r w:rsidR="008878A0">
        <w:t>. Kulturni turizam</w:t>
      </w:r>
      <w:bookmarkEnd w:id="179"/>
      <w:r w:rsidR="008878A0">
        <w:rPr>
          <w:rFonts w:eastAsia="ArialNarrow"/>
        </w:rPr>
        <w:br/>
      </w:r>
    </w:p>
    <w:p w14:paraId="39A9D083" w14:textId="29FB4F3A" w:rsidR="008878A0" w:rsidRDefault="008878A0" w:rsidP="000F53D0">
      <w:pPr>
        <w:rPr>
          <w:rFonts w:eastAsia="ArialNarrow"/>
        </w:rPr>
      </w:pPr>
      <w:r w:rsidRPr="000F53D0">
        <w:rPr>
          <w:rFonts w:eastAsia="ArialNarrow"/>
        </w:rPr>
        <w:t>Resursnu osnovu kulturnog turizma čine muzeji, dvorci, kurije, galerije, brojni spomenici, sakralni objekti, arheološka nalazišta, kao i nematerijalna kulturna baština (jezik i govor, tradicijska umijeća i obrti, folklorno stvaralaštvo i druge tradicionalne pučke vrednote). Glavni nositelj kulturne ponude na razini županije su Muzeji Hrvatskog zagorja, u sastavu kojih su Dvor Veliki Tabor (Desinić), Galerija Antuna Augustinčića (Klanjec), Muzej krapinskih neandertalaca (Krapina), Muzej seljačkih buna (Gornja Stubica) i Muzej „Staro selo“ (Kumrovec). Uz navedene, u 2017. su otvorena dva nova muzeja: Muzej Radboa s rudarskom, arheološkom i geološkom zbirkom, te Muzej automobila Presečki. Na području KZŽ značajna kulturna atrakcija je i Franjevački samostan i sarkofazi obitelji Erdődy. Prema podacima TZ KZŽ, broj posjetitelja nabrojanih kulturnih atra</w:t>
      </w:r>
      <w:r w:rsidR="00D84352">
        <w:rPr>
          <w:rFonts w:eastAsia="ArialNarrow"/>
        </w:rPr>
        <w:t>kcija u KZŽ nakon pada u 2018. godini ponovo je porastao u 2019. godini</w:t>
      </w:r>
      <w:r w:rsidR="0051043D">
        <w:rPr>
          <w:rFonts w:eastAsia="ArialNarrow"/>
        </w:rPr>
        <w:t>, da bi ponovo zbog lock downa u 2020.godini bio zabilježen pad broja posjetitelja.</w:t>
      </w:r>
    </w:p>
    <w:p w14:paraId="755CB036" w14:textId="77777777" w:rsidR="004B13AE" w:rsidRDefault="004B13AE" w:rsidP="000F53D0">
      <w:pPr>
        <w:rPr>
          <w:rFonts w:eastAsia="ArialNarrow"/>
        </w:rPr>
      </w:pPr>
    </w:p>
    <w:p w14:paraId="3A0C5B69" w14:textId="53CE9E1B" w:rsidR="001838EE" w:rsidRDefault="001838EE" w:rsidP="003E3F3C">
      <w:pPr>
        <w:pStyle w:val="Opisslike"/>
      </w:pPr>
      <w:r>
        <w:t>Tablica</w:t>
      </w:r>
      <w:r w:rsidR="0035368C">
        <w:t xml:space="preserve"> </w:t>
      </w:r>
      <w:r w:rsidR="0018019C">
        <w:t>10</w:t>
      </w:r>
      <w:r w:rsidR="00A7185B">
        <w:t>8</w:t>
      </w:r>
      <w:r>
        <w:t xml:space="preserve">. </w:t>
      </w:r>
      <w:r w:rsidRPr="00E04B50">
        <w:t>Pregled broja posjetitelja po kulturnim atrakcijama, 2012. – 2019. godina, Krapinsko-zagorska županija</w:t>
      </w:r>
    </w:p>
    <w:tbl>
      <w:tblPr>
        <w:tblStyle w:val="Style5"/>
        <w:tblpPr w:leftFromText="180" w:rightFromText="180" w:vertAnchor="text" w:horzAnchor="margin" w:tblpXSpec="center" w:tblpY="206"/>
        <w:tblW w:w="9073" w:type="dxa"/>
        <w:tblLayout w:type="fixed"/>
        <w:tblLook w:val="04A0" w:firstRow="1" w:lastRow="0" w:firstColumn="1" w:lastColumn="0" w:noHBand="0" w:noVBand="1"/>
      </w:tblPr>
      <w:tblGrid>
        <w:gridCol w:w="1702"/>
        <w:gridCol w:w="753"/>
        <w:gridCol w:w="809"/>
        <w:gridCol w:w="809"/>
        <w:gridCol w:w="809"/>
        <w:gridCol w:w="946"/>
        <w:gridCol w:w="809"/>
        <w:gridCol w:w="809"/>
        <w:gridCol w:w="809"/>
        <w:gridCol w:w="818"/>
      </w:tblGrid>
      <w:tr w:rsidR="002D543F" w:rsidRPr="000E19D8" w14:paraId="30E141E4" w14:textId="77777777" w:rsidTr="0051043D">
        <w:trPr>
          <w:cnfStyle w:val="100000000000" w:firstRow="1" w:lastRow="0" w:firstColumn="0" w:lastColumn="0" w:oddVBand="0" w:evenVBand="0" w:oddHBand="0" w:evenHBand="0" w:firstRowFirstColumn="0" w:firstRowLastColumn="0" w:lastRowFirstColumn="0" w:lastRowLastColumn="0"/>
          <w:trHeight w:val="274"/>
          <w:tblHeader/>
        </w:trPr>
        <w:tc>
          <w:tcPr>
            <w:tcW w:w="1702" w:type="dxa"/>
            <w:vMerge w:val="restart"/>
            <w:tcBorders>
              <w:right w:val="single" w:sz="4" w:space="0" w:color="FFFFFF"/>
            </w:tcBorders>
            <w:vAlign w:val="center"/>
            <w:hideMark/>
          </w:tcPr>
          <w:p w14:paraId="2C9E58EB" w14:textId="77777777" w:rsidR="002D543F" w:rsidRPr="002D543F" w:rsidRDefault="002D543F" w:rsidP="00E0639E">
            <w:pPr>
              <w:rPr>
                <w:rFonts w:eastAsia="ArialNarrow" w:cs="Times New Roman"/>
                <w:b/>
                <w:bCs/>
                <w:color w:val="FFFFFF" w:themeColor="background1"/>
              </w:rPr>
            </w:pPr>
            <w:r w:rsidRPr="002D543F">
              <w:rPr>
                <w:rFonts w:eastAsia="ArialNarrow" w:cs="Times New Roman"/>
                <w:b/>
                <w:bCs/>
                <w:color w:val="FFFFFF" w:themeColor="background1"/>
              </w:rPr>
              <w:t>Kulturna atrakcija</w:t>
            </w:r>
          </w:p>
        </w:tc>
        <w:tc>
          <w:tcPr>
            <w:tcW w:w="7371" w:type="dxa"/>
            <w:gridSpan w:val="9"/>
            <w:tcBorders>
              <w:top w:val="nil"/>
              <w:left w:val="single" w:sz="4" w:space="0" w:color="FFFFFF"/>
              <w:bottom w:val="single" w:sz="4" w:space="0" w:color="F3CFC1"/>
              <w:right w:val="single" w:sz="4" w:space="0" w:color="FFFFFF" w:themeColor="background1"/>
            </w:tcBorders>
            <w:vAlign w:val="center"/>
            <w:hideMark/>
          </w:tcPr>
          <w:p w14:paraId="51C5EB50" w14:textId="77777777" w:rsidR="002D543F" w:rsidRPr="002D543F" w:rsidRDefault="002D543F" w:rsidP="00E0639E">
            <w:pPr>
              <w:jc w:val="center"/>
              <w:rPr>
                <w:rFonts w:eastAsia="ArialNarrow" w:cs="Times New Roman"/>
                <w:b/>
                <w:bCs/>
                <w:color w:val="FFFFFF" w:themeColor="background1"/>
              </w:rPr>
            </w:pPr>
            <w:r w:rsidRPr="002D543F">
              <w:rPr>
                <w:rFonts w:eastAsia="ArialNarrow" w:cs="Times New Roman"/>
                <w:b/>
                <w:bCs/>
                <w:color w:val="FFFFFF" w:themeColor="background1"/>
              </w:rPr>
              <w:t>Broj posjetitelja</w:t>
            </w:r>
          </w:p>
        </w:tc>
      </w:tr>
      <w:tr w:rsidR="002D543F" w:rsidRPr="000E19D8" w14:paraId="42C22580" w14:textId="77777777" w:rsidTr="0051043D">
        <w:trPr>
          <w:cnfStyle w:val="100000000000" w:firstRow="1" w:lastRow="0" w:firstColumn="0" w:lastColumn="0" w:oddVBand="0" w:evenVBand="0" w:oddHBand="0" w:evenHBand="0" w:firstRowFirstColumn="0" w:firstRowLastColumn="0" w:lastRowFirstColumn="0" w:lastRowLastColumn="0"/>
          <w:trHeight w:val="274"/>
          <w:tblHeader/>
        </w:trPr>
        <w:tc>
          <w:tcPr>
            <w:tcW w:w="1702" w:type="dxa"/>
            <w:vMerge/>
            <w:tcBorders>
              <w:right w:val="single" w:sz="4" w:space="0" w:color="FFFFFF"/>
            </w:tcBorders>
            <w:vAlign w:val="center"/>
            <w:hideMark/>
          </w:tcPr>
          <w:p w14:paraId="4CA99BE6" w14:textId="77777777" w:rsidR="002D543F" w:rsidRPr="002D543F" w:rsidRDefault="002D543F" w:rsidP="00E0639E">
            <w:pPr>
              <w:rPr>
                <w:rFonts w:eastAsia="ArialNarrow" w:cs="Times New Roman"/>
                <w:b/>
                <w:bCs/>
                <w:color w:val="FFFFFF" w:themeColor="background1"/>
              </w:rPr>
            </w:pPr>
          </w:p>
        </w:tc>
        <w:tc>
          <w:tcPr>
            <w:tcW w:w="753" w:type="dxa"/>
            <w:tcBorders>
              <w:top w:val="single" w:sz="4" w:space="0" w:color="F3CFC1"/>
              <w:left w:val="single" w:sz="4" w:space="0" w:color="FFFFFF"/>
              <w:bottom w:val="single" w:sz="4" w:space="0" w:color="F3CFC1"/>
              <w:right w:val="single" w:sz="4" w:space="0" w:color="FFFFFF"/>
            </w:tcBorders>
            <w:vAlign w:val="center"/>
            <w:hideMark/>
          </w:tcPr>
          <w:p w14:paraId="21CE98C1" w14:textId="77777777" w:rsidR="002D543F" w:rsidRPr="002D543F" w:rsidRDefault="002D543F" w:rsidP="00E0639E">
            <w:pPr>
              <w:jc w:val="center"/>
              <w:rPr>
                <w:rFonts w:eastAsia="ArialNarrow" w:cs="Times New Roman"/>
                <w:b/>
                <w:bCs/>
                <w:color w:val="FFFFFF" w:themeColor="background1"/>
              </w:rPr>
            </w:pPr>
            <w:r w:rsidRPr="002D543F">
              <w:rPr>
                <w:rFonts w:eastAsia="ArialNarrow" w:cs="Times New Roman"/>
                <w:b/>
                <w:bCs/>
                <w:color w:val="FFFFFF" w:themeColor="background1"/>
              </w:rPr>
              <w:t>2012.</w:t>
            </w:r>
          </w:p>
        </w:tc>
        <w:tc>
          <w:tcPr>
            <w:tcW w:w="809" w:type="dxa"/>
            <w:tcBorders>
              <w:top w:val="single" w:sz="4" w:space="0" w:color="F3CFC1"/>
              <w:left w:val="single" w:sz="4" w:space="0" w:color="FFFFFF"/>
              <w:bottom w:val="single" w:sz="4" w:space="0" w:color="F3CFC1"/>
              <w:right w:val="single" w:sz="4" w:space="0" w:color="FFFFFF"/>
            </w:tcBorders>
            <w:vAlign w:val="center"/>
            <w:hideMark/>
          </w:tcPr>
          <w:p w14:paraId="0DC6E18F" w14:textId="77777777" w:rsidR="002D543F" w:rsidRPr="002D543F" w:rsidRDefault="002D543F" w:rsidP="00E0639E">
            <w:pPr>
              <w:jc w:val="center"/>
              <w:rPr>
                <w:rFonts w:eastAsia="ArialNarrow" w:cs="Times New Roman"/>
                <w:b/>
                <w:bCs/>
                <w:color w:val="FFFFFF" w:themeColor="background1"/>
              </w:rPr>
            </w:pPr>
            <w:r w:rsidRPr="002D543F">
              <w:rPr>
                <w:rFonts w:eastAsia="ArialNarrow" w:cs="Times New Roman"/>
                <w:b/>
                <w:bCs/>
                <w:color w:val="FFFFFF" w:themeColor="background1"/>
              </w:rPr>
              <w:t>2013.</w:t>
            </w:r>
          </w:p>
        </w:tc>
        <w:tc>
          <w:tcPr>
            <w:tcW w:w="809" w:type="dxa"/>
            <w:tcBorders>
              <w:top w:val="single" w:sz="4" w:space="0" w:color="F3CFC1"/>
              <w:left w:val="single" w:sz="4" w:space="0" w:color="FFFFFF"/>
              <w:bottom w:val="single" w:sz="4" w:space="0" w:color="F3CFC1"/>
              <w:right w:val="single" w:sz="4" w:space="0" w:color="FFFFFF"/>
            </w:tcBorders>
            <w:vAlign w:val="center"/>
            <w:hideMark/>
          </w:tcPr>
          <w:p w14:paraId="21C7DC54" w14:textId="77777777" w:rsidR="002D543F" w:rsidRPr="002D543F" w:rsidRDefault="002D543F" w:rsidP="00E0639E">
            <w:pPr>
              <w:jc w:val="center"/>
              <w:rPr>
                <w:rFonts w:eastAsia="ArialNarrow" w:cs="Times New Roman"/>
                <w:b/>
                <w:bCs/>
                <w:color w:val="FFFFFF" w:themeColor="background1"/>
              </w:rPr>
            </w:pPr>
            <w:r w:rsidRPr="002D543F">
              <w:rPr>
                <w:rFonts w:eastAsia="ArialNarrow" w:cs="Times New Roman"/>
                <w:b/>
                <w:bCs/>
                <w:color w:val="FFFFFF" w:themeColor="background1"/>
              </w:rPr>
              <w:t>2014.</w:t>
            </w:r>
          </w:p>
        </w:tc>
        <w:tc>
          <w:tcPr>
            <w:tcW w:w="809" w:type="dxa"/>
            <w:tcBorders>
              <w:top w:val="single" w:sz="4" w:space="0" w:color="F3CFC1"/>
              <w:left w:val="single" w:sz="4" w:space="0" w:color="FFFFFF"/>
              <w:bottom w:val="single" w:sz="4" w:space="0" w:color="F3CFC1"/>
              <w:right w:val="single" w:sz="4" w:space="0" w:color="FFFFFF"/>
            </w:tcBorders>
            <w:vAlign w:val="center"/>
            <w:hideMark/>
          </w:tcPr>
          <w:p w14:paraId="0B5C50E5" w14:textId="77777777" w:rsidR="002D543F" w:rsidRPr="002D543F" w:rsidRDefault="002D543F" w:rsidP="00E0639E">
            <w:pPr>
              <w:jc w:val="center"/>
              <w:rPr>
                <w:rFonts w:eastAsia="ArialNarrow" w:cs="Times New Roman"/>
                <w:b/>
                <w:bCs/>
                <w:color w:val="FFFFFF" w:themeColor="background1"/>
              </w:rPr>
            </w:pPr>
            <w:r w:rsidRPr="002D543F">
              <w:rPr>
                <w:rFonts w:eastAsia="ArialNarrow" w:cs="Times New Roman"/>
                <w:b/>
                <w:bCs/>
                <w:color w:val="FFFFFF" w:themeColor="background1"/>
              </w:rPr>
              <w:t>2015.</w:t>
            </w:r>
          </w:p>
        </w:tc>
        <w:tc>
          <w:tcPr>
            <w:tcW w:w="946" w:type="dxa"/>
            <w:tcBorders>
              <w:top w:val="single" w:sz="4" w:space="0" w:color="F3CFC1"/>
              <w:left w:val="single" w:sz="4" w:space="0" w:color="FFFFFF"/>
              <w:bottom w:val="single" w:sz="4" w:space="0" w:color="F3CFC1"/>
              <w:right w:val="single" w:sz="4" w:space="0" w:color="FFFFFF"/>
            </w:tcBorders>
            <w:vAlign w:val="center"/>
            <w:hideMark/>
          </w:tcPr>
          <w:p w14:paraId="6F981484" w14:textId="77777777" w:rsidR="002D543F" w:rsidRPr="002D543F" w:rsidRDefault="002D543F" w:rsidP="00E0639E">
            <w:pPr>
              <w:jc w:val="center"/>
              <w:rPr>
                <w:rFonts w:eastAsia="ArialNarrow" w:cs="Times New Roman"/>
                <w:b/>
                <w:bCs/>
                <w:color w:val="FFFFFF" w:themeColor="background1"/>
              </w:rPr>
            </w:pPr>
            <w:r w:rsidRPr="002D543F">
              <w:rPr>
                <w:rFonts w:eastAsia="ArialNarrow" w:cs="Times New Roman"/>
                <w:b/>
                <w:bCs/>
                <w:color w:val="FFFFFF" w:themeColor="background1"/>
              </w:rPr>
              <w:t>2016</w:t>
            </w:r>
          </w:p>
        </w:tc>
        <w:tc>
          <w:tcPr>
            <w:tcW w:w="809" w:type="dxa"/>
            <w:tcBorders>
              <w:top w:val="single" w:sz="4" w:space="0" w:color="F3CFC1"/>
              <w:left w:val="single" w:sz="4" w:space="0" w:color="FFFFFF"/>
              <w:bottom w:val="single" w:sz="4" w:space="0" w:color="F3CFC1"/>
              <w:right w:val="single" w:sz="4" w:space="0" w:color="FFFFFF"/>
            </w:tcBorders>
            <w:vAlign w:val="center"/>
            <w:hideMark/>
          </w:tcPr>
          <w:p w14:paraId="3857F60D" w14:textId="77777777" w:rsidR="002D543F" w:rsidRPr="002D543F" w:rsidRDefault="002D543F" w:rsidP="00E0639E">
            <w:pPr>
              <w:jc w:val="center"/>
              <w:rPr>
                <w:rFonts w:eastAsia="ArialNarrow" w:cs="Times New Roman"/>
                <w:b/>
                <w:bCs/>
                <w:color w:val="FFFFFF" w:themeColor="background1"/>
              </w:rPr>
            </w:pPr>
            <w:r w:rsidRPr="002D543F">
              <w:rPr>
                <w:rFonts w:eastAsia="ArialNarrow" w:cs="Times New Roman"/>
                <w:b/>
                <w:bCs/>
                <w:color w:val="FFFFFF" w:themeColor="background1"/>
              </w:rPr>
              <w:t>2017.</w:t>
            </w:r>
          </w:p>
        </w:tc>
        <w:tc>
          <w:tcPr>
            <w:tcW w:w="809" w:type="dxa"/>
            <w:tcBorders>
              <w:top w:val="single" w:sz="4" w:space="0" w:color="F3CFC1"/>
              <w:left w:val="single" w:sz="4" w:space="0" w:color="FFFFFF"/>
              <w:bottom w:val="single" w:sz="4" w:space="0" w:color="F3CFC1"/>
              <w:right w:val="single" w:sz="4" w:space="0" w:color="FFFFFF"/>
            </w:tcBorders>
            <w:vAlign w:val="center"/>
            <w:hideMark/>
          </w:tcPr>
          <w:p w14:paraId="2187325B" w14:textId="77777777" w:rsidR="002D543F" w:rsidRPr="002D543F" w:rsidRDefault="002D543F" w:rsidP="00E0639E">
            <w:pPr>
              <w:jc w:val="center"/>
              <w:rPr>
                <w:rFonts w:eastAsia="ArialNarrow" w:cs="Times New Roman"/>
                <w:b/>
                <w:bCs/>
                <w:color w:val="FFFFFF" w:themeColor="background1"/>
              </w:rPr>
            </w:pPr>
            <w:r w:rsidRPr="002D543F">
              <w:rPr>
                <w:rFonts w:eastAsia="ArialNarrow" w:cs="Times New Roman"/>
                <w:b/>
                <w:bCs/>
                <w:color w:val="FFFFFF" w:themeColor="background1"/>
              </w:rPr>
              <w:t>2018.</w:t>
            </w:r>
          </w:p>
        </w:tc>
        <w:tc>
          <w:tcPr>
            <w:tcW w:w="809" w:type="dxa"/>
            <w:tcBorders>
              <w:top w:val="single" w:sz="4" w:space="0" w:color="F3CFC1"/>
              <w:left w:val="single" w:sz="4" w:space="0" w:color="FFFFFF"/>
              <w:bottom w:val="single" w:sz="4" w:space="0" w:color="F3CFC1"/>
              <w:right w:val="single" w:sz="4" w:space="0" w:color="FFFFFF" w:themeColor="background1"/>
            </w:tcBorders>
            <w:vAlign w:val="center"/>
            <w:hideMark/>
          </w:tcPr>
          <w:p w14:paraId="5AA39A88" w14:textId="77777777" w:rsidR="002D543F" w:rsidRPr="002D543F" w:rsidRDefault="002D543F" w:rsidP="00E0639E">
            <w:pPr>
              <w:jc w:val="center"/>
              <w:rPr>
                <w:rFonts w:eastAsia="ArialNarrow" w:cs="Times New Roman"/>
                <w:b/>
                <w:bCs/>
                <w:color w:val="FFFFFF" w:themeColor="background1"/>
              </w:rPr>
            </w:pPr>
            <w:r w:rsidRPr="002D543F">
              <w:rPr>
                <w:rFonts w:eastAsia="ArialNarrow" w:cs="Times New Roman"/>
                <w:b/>
                <w:bCs/>
                <w:color w:val="FFFFFF" w:themeColor="background1"/>
              </w:rPr>
              <w:t>2019.</w:t>
            </w:r>
          </w:p>
        </w:tc>
        <w:tc>
          <w:tcPr>
            <w:tcW w:w="8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16C4C91" w14:textId="77777777" w:rsidR="002D543F" w:rsidRPr="002D543F" w:rsidRDefault="002D543F" w:rsidP="00E0639E">
            <w:pPr>
              <w:jc w:val="center"/>
              <w:rPr>
                <w:rFonts w:eastAsia="ArialNarrow" w:cs="Times New Roman"/>
                <w:b/>
                <w:bCs/>
                <w:color w:val="FFFFFF" w:themeColor="background1"/>
                <w:szCs w:val="18"/>
              </w:rPr>
            </w:pPr>
            <w:r w:rsidRPr="002D543F">
              <w:rPr>
                <w:b/>
                <w:bCs/>
                <w:color w:val="FFFFFF" w:themeColor="background1"/>
                <w:szCs w:val="18"/>
              </w:rPr>
              <w:t>2020.</w:t>
            </w:r>
          </w:p>
        </w:tc>
      </w:tr>
      <w:tr w:rsidR="002D543F" w:rsidRPr="000E19D8" w14:paraId="74E45BE2" w14:textId="77777777" w:rsidTr="0051043D">
        <w:trPr>
          <w:trHeight w:val="274"/>
        </w:trPr>
        <w:tc>
          <w:tcPr>
            <w:tcW w:w="1702" w:type="dxa"/>
            <w:noWrap/>
            <w:vAlign w:val="center"/>
            <w:hideMark/>
          </w:tcPr>
          <w:p w14:paraId="2D257CA3"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Muzej seljačkih buna – Dvorac Oršić</w:t>
            </w:r>
          </w:p>
        </w:tc>
        <w:tc>
          <w:tcPr>
            <w:tcW w:w="753" w:type="dxa"/>
            <w:tcBorders>
              <w:top w:val="single" w:sz="4" w:space="0" w:color="F3CFC1"/>
            </w:tcBorders>
            <w:vAlign w:val="center"/>
            <w:hideMark/>
          </w:tcPr>
          <w:p w14:paraId="122B4A97"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16.170</w:t>
            </w:r>
          </w:p>
        </w:tc>
        <w:tc>
          <w:tcPr>
            <w:tcW w:w="809" w:type="dxa"/>
            <w:tcBorders>
              <w:top w:val="single" w:sz="4" w:space="0" w:color="F3CFC1"/>
            </w:tcBorders>
            <w:vAlign w:val="center"/>
            <w:hideMark/>
          </w:tcPr>
          <w:p w14:paraId="21D94060"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17.339</w:t>
            </w:r>
          </w:p>
        </w:tc>
        <w:tc>
          <w:tcPr>
            <w:tcW w:w="809" w:type="dxa"/>
            <w:tcBorders>
              <w:top w:val="single" w:sz="4" w:space="0" w:color="F3CFC1"/>
            </w:tcBorders>
            <w:vAlign w:val="center"/>
            <w:hideMark/>
          </w:tcPr>
          <w:p w14:paraId="26875B39"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15.629</w:t>
            </w:r>
          </w:p>
        </w:tc>
        <w:tc>
          <w:tcPr>
            <w:tcW w:w="809" w:type="dxa"/>
            <w:tcBorders>
              <w:top w:val="single" w:sz="4" w:space="0" w:color="F3CFC1"/>
            </w:tcBorders>
            <w:vAlign w:val="center"/>
            <w:hideMark/>
          </w:tcPr>
          <w:p w14:paraId="31C363F6"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12.007</w:t>
            </w:r>
          </w:p>
        </w:tc>
        <w:tc>
          <w:tcPr>
            <w:tcW w:w="946" w:type="dxa"/>
            <w:tcBorders>
              <w:top w:val="single" w:sz="4" w:space="0" w:color="F3CFC1"/>
            </w:tcBorders>
            <w:vAlign w:val="center"/>
            <w:hideMark/>
          </w:tcPr>
          <w:p w14:paraId="2FDEAE6F"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13.760</w:t>
            </w:r>
          </w:p>
        </w:tc>
        <w:tc>
          <w:tcPr>
            <w:tcW w:w="809" w:type="dxa"/>
            <w:tcBorders>
              <w:top w:val="single" w:sz="4" w:space="0" w:color="F3CFC1"/>
            </w:tcBorders>
            <w:vAlign w:val="center"/>
            <w:hideMark/>
          </w:tcPr>
          <w:p w14:paraId="0CD6988B"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15.076</w:t>
            </w:r>
          </w:p>
        </w:tc>
        <w:tc>
          <w:tcPr>
            <w:tcW w:w="809" w:type="dxa"/>
            <w:tcBorders>
              <w:top w:val="single" w:sz="4" w:space="0" w:color="F3CFC1"/>
            </w:tcBorders>
            <w:vAlign w:val="center"/>
            <w:hideMark/>
          </w:tcPr>
          <w:p w14:paraId="1FA6B329"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12.723</w:t>
            </w:r>
          </w:p>
        </w:tc>
        <w:tc>
          <w:tcPr>
            <w:tcW w:w="809" w:type="dxa"/>
            <w:tcBorders>
              <w:top w:val="single" w:sz="4" w:space="0" w:color="F3CFC1"/>
            </w:tcBorders>
            <w:vAlign w:val="center"/>
            <w:hideMark/>
          </w:tcPr>
          <w:p w14:paraId="5933FB3E"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16.699</w:t>
            </w:r>
          </w:p>
        </w:tc>
        <w:tc>
          <w:tcPr>
            <w:tcW w:w="818" w:type="dxa"/>
            <w:tcBorders>
              <w:top w:val="single" w:sz="4" w:space="0" w:color="FFFFFF" w:themeColor="background1"/>
            </w:tcBorders>
          </w:tcPr>
          <w:p w14:paraId="3A3A6113" w14:textId="77777777" w:rsidR="002D543F" w:rsidRDefault="002D543F" w:rsidP="00E0639E">
            <w:pPr>
              <w:jc w:val="center"/>
              <w:rPr>
                <w:szCs w:val="18"/>
              </w:rPr>
            </w:pPr>
          </w:p>
          <w:p w14:paraId="6CAAF0CA" w14:textId="77777777" w:rsidR="002D543F" w:rsidRPr="00C8425D" w:rsidRDefault="002D543F" w:rsidP="00E0639E">
            <w:pPr>
              <w:jc w:val="center"/>
              <w:rPr>
                <w:rFonts w:eastAsia="ArialNarrow" w:cs="Times New Roman"/>
                <w:color w:val="3F3F3F"/>
                <w:szCs w:val="18"/>
              </w:rPr>
            </w:pPr>
            <w:r w:rsidRPr="00C8425D">
              <w:rPr>
                <w:szCs w:val="18"/>
              </w:rPr>
              <w:t>4.117</w:t>
            </w:r>
          </w:p>
        </w:tc>
      </w:tr>
      <w:tr w:rsidR="0051043D" w:rsidRPr="000E19D8" w14:paraId="591A4C93" w14:textId="77777777" w:rsidTr="0051043D">
        <w:trPr>
          <w:trHeight w:val="274"/>
        </w:trPr>
        <w:tc>
          <w:tcPr>
            <w:tcW w:w="1702" w:type="dxa"/>
            <w:vAlign w:val="center"/>
            <w:hideMark/>
          </w:tcPr>
          <w:p w14:paraId="77A5D985"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Dvor Veliki Tabor</w:t>
            </w:r>
          </w:p>
        </w:tc>
        <w:tc>
          <w:tcPr>
            <w:tcW w:w="753" w:type="dxa"/>
            <w:vAlign w:val="center"/>
            <w:hideMark/>
          </w:tcPr>
          <w:p w14:paraId="3096BD3A"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28.713</w:t>
            </w:r>
          </w:p>
        </w:tc>
        <w:tc>
          <w:tcPr>
            <w:tcW w:w="809" w:type="dxa"/>
            <w:vAlign w:val="center"/>
            <w:hideMark/>
          </w:tcPr>
          <w:p w14:paraId="21E621EE"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24.963</w:t>
            </w:r>
          </w:p>
        </w:tc>
        <w:tc>
          <w:tcPr>
            <w:tcW w:w="809" w:type="dxa"/>
            <w:vAlign w:val="center"/>
            <w:hideMark/>
          </w:tcPr>
          <w:p w14:paraId="14B0625C"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25.903</w:t>
            </w:r>
          </w:p>
        </w:tc>
        <w:tc>
          <w:tcPr>
            <w:tcW w:w="809" w:type="dxa"/>
            <w:vAlign w:val="center"/>
            <w:hideMark/>
          </w:tcPr>
          <w:p w14:paraId="4DBA0E0E"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22.555</w:t>
            </w:r>
          </w:p>
        </w:tc>
        <w:tc>
          <w:tcPr>
            <w:tcW w:w="946" w:type="dxa"/>
            <w:vAlign w:val="center"/>
            <w:hideMark/>
          </w:tcPr>
          <w:p w14:paraId="75BA167C"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26.233</w:t>
            </w:r>
          </w:p>
        </w:tc>
        <w:tc>
          <w:tcPr>
            <w:tcW w:w="809" w:type="dxa"/>
            <w:vAlign w:val="center"/>
            <w:hideMark/>
          </w:tcPr>
          <w:p w14:paraId="7EFD865C"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28.536</w:t>
            </w:r>
          </w:p>
        </w:tc>
        <w:tc>
          <w:tcPr>
            <w:tcW w:w="809" w:type="dxa"/>
            <w:vAlign w:val="center"/>
            <w:hideMark/>
          </w:tcPr>
          <w:p w14:paraId="5F18663D"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26.271</w:t>
            </w:r>
          </w:p>
        </w:tc>
        <w:tc>
          <w:tcPr>
            <w:tcW w:w="809" w:type="dxa"/>
            <w:vAlign w:val="center"/>
            <w:hideMark/>
          </w:tcPr>
          <w:p w14:paraId="461724E0"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28.268</w:t>
            </w:r>
          </w:p>
        </w:tc>
        <w:tc>
          <w:tcPr>
            <w:tcW w:w="818" w:type="dxa"/>
          </w:tcPr>
          <w:p w14:paraId="00EE82BD" w14:textId="77777777" w:rsidR="002D543F" w:rsidRPr="00C8425D" w:rsidRDefault="002D543F" w:rsidP="00E0639E">
            <w:pPr>
              <w:jc w:val="center"/>
              <w:rPr>
                <w:rFonts w:eastAsia="ArialNarrow" w:cs="Times New Roman"/>
                <w:color w:val="3F3F3F"/>
                <w:szCs w:val="18"/>
              </w:rPr>
            </w:pPr>
            <w:r w:rsidRPr="00C8425D">
              <w:rPr>
                <w:szCs w:val="18"/>
              </w:rPr>
              <w:t>15.339</w:t>
            </w:r>
          </w:p>
        </w:tc>
      </w:tr>
      <w:tr w:rsidR="0051043D" w:rsidRPr="000E19D8" w14:paraId="0C7F3675" w14:textId="77777777" w:rsidTr="0051043D">
        <w:trPr>
          <w:trHeight w:val="274"/>
        </w:trPr>
        <w:tc>
          <w:tcPr>
            <w:tcW w:w="1702" w:type="dxa"/>
            <w:vAlign w:val="center"/>
            <w:hideMark/>
          </w:tcPr>
          <w:p w14:paraId="60F87AEB"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Muzej krapinskih neandertalaca</w:t>
            </w:r>
          </w:p>
        </w:tc>
        <w:tc>
          <w:tcPr>
            <w:tcW w:w="753" w:type="dxa"/>
            <w:vAlign w:val="center"/>
            <w:hideMark/>
          </w:tcPr>
          <w:p w14:paraId="379074AB"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83.563</w:t>
            </w:r>
          </w:p>
        </w:tc>
        <w:tc>
          <w:tcPr>
            <w:tcW w:w="809" w:type="dxa"/>
            <w:vAlign w:val="center"/>
            <w:hideMark/>
          </w:tcPr>
          <w:p w14:paraId="3BD8A228"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77.657</w:t>
            </w:r>
          </w:p>
        </w:tc>
        <w:tc>
          <w:tcPr>
            <w:tcW w:w="809" w:type="dxa"/>
            <w:vAlign w:val="center"/>
            <w:hideMark/>
          </w:tcPr>
          <w:p w14:paraId="00D1B0CD"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77.125</w:t>
            </w:r>
          </w:p>
        </w:tc>
        <w:tc>
          <w:tcPr>
            <w:tcW w:w="809" w:type="dxa"/>
            <w:vAlign w:val="center"/>
            <w:hideMark/>
          </w:tcPr>
          <w:p w14:paraId="07785AE7"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78.720</w:t>
            </w:r>
          </w:p>
        </w:tc>
        <w:tc>
          <w:tcPr>
            <w:tcW w:w="946" w:type="dxa"/>
            <w:vAlign w:val="center"/>
            <w:hideMark/>
          </w:tcPr>
          <w:p w14:paraId="2F440CC3"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84.955</w:t>
            </w:r>
          </w:p>
        </w:tc>
        <w:tc>
          <w:tcPr>
            <w:tcW w:w="809" w:type="dxa"/>
            <w:vAlign w:val="center"/>
            <w:hideMark/>
          </w:tcPr>
          <w:p w14:paraId="60AA66B3"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96.613</w:t>
            </w:r>
          </w:p>
        </w:tc>
        <w:tc>
          <w:tcPr>
            <w:tcW w:w="809" w:type="dxa"/>
            <w:vAlign w:val="center"/>
            <w:hideMark/>
          </w:tcPr>
          <w:p w14:paraId="0432B8A9"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90.373</w:t>
            </w:r>
          </w:p>
        </w:tc>
        <w:tc>
          <w:tcPr>
            <w:tcW w:w="809" w:type="dxa"/>
            <w:vAlign w:val="center"/>
            <w:hideMark/>
          </w:tcPr>
          <w:p w14:paraId="28E2DC1A"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86.462</w:t>
            </w:r>
          </w:p>
        </w:tc>
        <w:tc>
          <w:tcPr>
            <w:tcW w:w="818" w:type="dxa"/>
          </w:tcPr>
          <w:p w14:paraId="22228779" w14:textId="77777777" w:rsidR="002D543F" w:rsidRDefault="002D543F" w:rsidP="00E0639E">
            <w:pPr>
              <w:jc w:val="center"/>
              <w:rPr>
                <w:szCs w:val="18"/>
              </w:rPr>
            </w:pPr>
          </w:p>
          <w:p w14:paraId="21B3DF03" w14:textId="77777777" w:rsidR="002D543F" w:rsidRPr="00C8425D" w:rsidRDefault="002D543F" w:rsidP="00E0639E">
            <w:pPr>
              <w:jc w:val="center"/>
              <w:rPr>
                <w:rFonts w:eastAsia="ArialNarrow" w:cs="Times New Roman"/>
                <w:color w:val="3F3F3F"/>
                <w:szCs w:val="18"/>
              </w:rPr>
            </w:pPr>
            <w:r w:rsidRPr="00C8425D">
              <w:rPr>
                <w:szCs w:val="18"/>
              </w:rPr>
              <w:t>48.276</w:t>
            </w:r>
          </w:p>
        </w:tc>
      </w:tr>
      <w:tr w:rsidR="0051043D" w:rsidRPr="000E19D8" w14:paraId="79EE9D2A" w14:textId="77777777" w:rsidTr="0051043D">
        <w:trPr>
          <w:trHeight w:val="274"/>
        </w:trPr>
        <w:tc>
          <w:tcPr>
            <w:tcW w:w="1702" w:type="dxa"/>
            <w:vAlign w:val="center"/>
            <w:hideMark/>
          </w:tcPr>
          <w:p w14:paraId="0758DB1B"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Galerija Antuna Augustinčića</w:t>
            </w:r>
          </w:p>
        </w:tc>
        <w:tc>
          <w:tcPr>
            <w:tcW w:w="753" w:type="dxa"/>
            <w:vAlign w:val="center"/>
            <w:hideMark/>
          </w:tcPr>
          <w:p w14:paraId="76DA61EA"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3.532</w:t>
            </w:r>
          </w:p>
        </w:tc>
        <w:tc>
          <w:tcPr>
            <w:tcW w:w="809" w:type="dxa"/>
            <w:vAlign w:val="center"/>
            <w:hideMark/>
          </w:tcPr>
          <w:p w14:paraId="32EB364F"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3.679</w:t>
            </w:r>
          </w:p>
        </w:tc>
        <w:tc>
          <w:tcPr>
            <w:tcW w:w="809" w:type="dxa"/>
            <w:vAlign w:val="center"/>
            <w:hideMark/>
          </w:tcPr>
          <w:p w14:paraId="048F488C"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2.324</w:t>
            </w:r>
          </w:p>
        </w:tc>
        <w:tc>
          <w:tcPr>
            <w:tcW w:w="809" w:type="dxa"/>
            <w:vAlign w:val="center"/>
            <w:hideMark/>
          </w:tcPr>
          <w:p w14:paraId="07DEE028"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3.481</w:t>
            </w:r>
          </w:p>
        </w:tc>
        <w:tc>
          <w:tcPr>
            <w:tcW w:w="946" w:type="dxa"/>
            <w:vAlign w:val="center"/>
            <w:hideMark/>
          </w:tcPr>
          <w:p w14:paraId="0C4A01FA"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5.123</w:t>
            </w:r>
          </w:p>
        </w:tc>
        <w:tc>
          <w:tcPr>
            <w:tcW w:w="809" w:type="dxa"/>
            <w:vAlign w:val="center"/>
            <w:hideMark/>
          </w:tcPr>
          <w:p w14:paraId="0E3A8414"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10.689</w:t>
            </w:r>
          </w:p>
        </w:tc>
        <w:tc>
          <w:tcPr>
            <w:tcW w:w="809" w:type="dxa"/>
            <w:vAlign w:val="center"/>
            <w:hideMark/>
          </w:tcPr>
          <w:p w14:paraId="75E9A5D7"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14.780</w:t>
            </w:r>
          </w:p>
        </w:tc>
        <w:tc>
          <w:tcPr>
            <w:tcW w:w="809" w:type="dxa"/>
            <w:vAlign w:val="center"/>
            <w:hideMark/>
          </w:tcPr>
          <w:p w14:paraId="1F8C1A40"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14.129</w:t>
            </w:r>
          </w:p>
        </w:tc>
        <w:tc>
          <w:tcPr>
            <w:tcW w:w="818" w:type="dxa"/>
          </w:tcPr>
          <w:p w14:paraId="5CD7C784" w14:textId="77777777" w:rsidR="002D543F" w:rsidRDefault="002D543F" w:rsidP="00E0639E">
            <w:pPr>
              <w:jc w:val="center"/>
              <w:rPr>
                <w:szCs w:val="18"/>
              </w:rPr>
            </w:pPr>
          </w:p>
          <w:p w14:paraId="5D0DEA9E" w14:textId="77777777" w:rsidR="002D543F" w:rsidRPr="00C8425D" w:rsidRDefault="002D543F" w:rsidP="00E0639E">
            <w:pPr>
              <w:jc w:val="center"/>
              <w:rPr>
                <w:rFonts w:eastAsia="ArialNarrow" w:cs="Times New Roman"/>
                <w:color w:val="3F3F3F"/>
                <w:szCs w:val="18"/>
              </w:rPr>
            </w:pPr>
            <w:r w:rsidRPr="00C8425D">
              <w:rPr>
                <w:szCs w:val="18"/>
              </w:rPr>
              <w:t>2.987</w:t>
            </w:r>
          </w:p>
        </w:tc>
      </w:tr>
      <w:tr w:rsidR="0051043D" w:rsidRPr="000E19D8" w14:paraId="4FCF2D25" w14:textId="77777777" w:rsidTr="0051043D">
        <w:trPr>
          <w:trHeight w:val="274"/>
        </w:trPr>
        <w:tc>
          <w:tcPr>
            <w:tcW w:w="1702" w:type="dxa"/>
            <w:vAlign w:val="center"/>
            <w:hideMark/>
          </w:tcPr>
          <w:p w14:paraId="5210586E"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Muzej Staro selo</w:t>
            </w:r>
          </w:p>
        </w:tc>
        <w:tc>
          <w:tcPr>
            <w:tcW w:w="753" w:type="dxa"/>
            <w:vAlign w:val="center"/>
            <w:hideMark/>
          </w:tcPr>
          <w:p w14:paraId="581D5DAF"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48.139</w:t>
            </w:r>
          </w:p>
        </w:tc>
        <w:tc>
          <w:tcPr>
            <w:tcW w:w="809" w:type="dxa"/>
            <w:vAlign w:val="center"/>
            <w:hideMark/>
          </w:tcPr>
          <w:p w14:paraId="799FE7B9"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47.951</w:t>
            </w:r>
          </w:p>
        </w:tc>
        <w:tc>
          <w:tcPr>
            <w:tcW w:w="809" w:type="dxa"/>
            <w:vAlign w:val="center"/>
            <w:hideMark/>
          </w:tcPr>
          <w:p w14:paraId="0689ACA8"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47.133</w:t>
            </w:r>
          </w:p>
        </w:tc>
        <w:tc>
          <w:tcPr>
            <w:tcW w:w="809" w:type="dxa"/>
            <w:vAlign w:val="center"/>
            <w:hideMark/>
          </w:tcPr>
          <w:p w14:paraId="6AB153AA"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49.974</w:t>
            </w:r>
          </w:p>
        </w:tc>
        <w:tc>
          <w:tcPr>
            <w:tcW w:w="946" w:type="dxa"/>
            <w:vAlign w:val="center"/>
            <w:hideMark/>
          </w:tcPr>
          <w:p w14:paraId="2FE38829"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47.726</w:t>
            </w:r>
          </w:p>
        </w:tc>
        <w:tc>
          <w:tcPr>
            <w:tcW w:w="809" w:type="dxa"/>
            <w:vAlign w:val="center"/>
            <w:hideMark/>
          </w:tcPr>
          <w:p w14:paraId="46EB59D9"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54.288</w:t>
            </w:r>
          </w:p>
        </w:tc>
        <w:tc>
          <w:tcPr>
            <w:tcW w:w="809" w:type="dxa"/>
            <w:vAlign w:val="center"/>
            <w:hideMark/>
          </w:tcPr>
          <w:p w14:paraId="4DE2A236"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51.587</w:t>
            </w:r>
          </w:p>
        </w:tc>
        <w:tc>
          <w:tcPr>
            <w:tcW w:w="809" w:type="dxa"/>
            <w:vAlign w:val="center"/>
            <w:hideMark/>
          </w:tcPr>
          <w:p w14:paraId="0A75DD4B"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57.242</w:t>
            </w:r>
          </w:p>
        </w:tc>
        <w:tc>
          <w:tcPr>
            <w:tcW w:w="818" w:type="dxa"/>
          </w:tcPr>
          <w:p w14:paraId="66B73A65" w14:textId="77777777" w:rsidR="002D543F" w:rsidRDefault="002D543F" w:rsidP="00E0639E">
            <w:pPr>
              <w:rPr>
                <w:szCs w:val="18"/>
              </w:rPr>
            </w:pPr>
          </w:p>
          <w:p w14:paraId="1E481EB8" w14:textId="77777777" w:rsidR="002D543F" w:rsidRPr="00C8425D" w:rsidRDefault="002D543F" w:rsidP="00E0639E">
            <w:pPr>
              <w:rPr>
                <w:rFonts w:eastAsia="ArialNarrow" w:cs="Times New Roman"/>
                <w:color w:val="3F3F3F"/>
                <w:szCs w:val="18"/>
              </w:rPr>
            </w:pPr>
            <w:r>
              <w:rPr>
                <w:szCs w:val="18"/>
              </w:rPr>
              <w:t xml:space="preserve">      </w:t>
            </w:r>
            <w:r w:rsidRPr="00C8425D">
              <w:rPr>
                <w:szCs w:val="18"/>
              </w:rPr>
              <w:t>18.079</w:t>
            </w:r>
          </w:p>
        </w:tc>
      </w:tr>
      <w:tr w:rsidR="0051043D" w:rsidRPr="000E19D8" w14:paraId="73C6BFE4" w14:textId="77777777" w:rsidTr="0051043D">
        <w:trPr>
          <w:trHeight w:val="274"/>
        </w:trPr>
        <w:tc>
          <w:tcPr>
            <w:tcW w:w="1702" w:type="dxa"/>
            <w:vAlign w:val="center"/>
            <w:hideMark/>
          </w:tcPr>
          <w:p w14:paraId="5A03B609"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Spomenik himni Zelenjak</w:t>
            </w:r>
          </w:p>
        </w:tc>
        <w:tc>
          <w:tcPr>
            <w:tcW w:w="753" w:type="dxa"/>
            <w:vAlign w:val="center"/>
            <w:hideMark/>
          </w:tcPr>
          <w:p w14:paraId="5B6B700D"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45.000</w:t>
            </w:r>
          </w:p>
        </w:tc>
        <w:tc>
          <w:tcPr>
            <w:tcW w:w="809" w:type="dxa"/>
            <w:vAlign w:val="center"/>
            <w:hideMark/>
          </w:tcPr>
          <w:p w14:paraId="43B69B6F"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45.000</w:t>
            </w:r>
          </w:p>
        </w:tc>
        <w:tc>
          <w:tcPr>
            <w:tcW w:w="809" w:type="dxa"/>
            <w:vAlign w:val="center"/>
            <w:hideMark/>
          </w:tcPr>
          <w:p w14:paraId="4F75BCB4"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45.000</w:t>
            </w:r>
          </w:p>
        </w:tc>
        <w:tc>
          <w:tcPr>
            <w:tcW w:w="809" w:type="dxa"/>
            <w:vAlign w:val="center"/>
            <w:hideMark/>
          </w:tcPr>
          <w:p w14:paraId="72D514E3"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45.000</w:t>
            </w:r>
          </w:p>
        </w:tc>
        <w:tc>
          <w:tcPr>
            <w:tcW w:w="946" w:type="dxa"/>
            <w:vAlign w:val="center"/>
            <w:hideMark/>
          </w:tcPr>
          <w:p w14:paraId="738F3DF3"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45.000</w:t>
            </w:r>
          </w:p>
        </w:tc>
        <w:tc>
          <w:tcPr>
            <w:tcW w:w="809" w:type="dxa"/>
            <w:vAlign w:val="center"/>
            <w:hideMark/>
          </w:tcPr>
          <w:p w14:paraId="59488C49"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45.000</w:t>
            </w:r>
          </w:p>
        </w:tc>
        <w:tc>
          <w:tcPr>
            <w:tcW w:w="809" w:type="dxa"/>
            <w:vAlign w:val="center"/>
            <w:hideMark/>
          </w:tcPr>
          <w:p w14:paraId="4F3AB3D8"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45.000</w:t>
            </w:r>
          </w:p>
        </w:tc>
        <w:tc>
          <w:tcPr>
            <w:tcW w:w="809" w:type="dxa"/>
            <w:vAlign w:val="center"/>
            <w:hideMark/>
          </w:tcPr>
          <w:p w14:paraId="1A1251D1" w14:textId="602CAABE" w:rsidR="002D543F" w:rsidRPr="000E19D8" w:rsidRDefault="002D543F" w:rsidP="00E0639E">
            <w:pPr>
              <w:jc w:val="right"/>
              <w:rPr>
                <w:rFonts w:eastAsia="ArialNarrow" w:cs="Times New Roman"/>
                <w:i/>
                <w:iCs/>
                <w:color w:val="3F3F3F"/>
              </w:rPr>
            </w:pPr>
            <w:r>
              <w:rPr>
                <w:rFonts w:eastAsia="ArialNarrow" w:cs="Times New Roman"/>
                <w:i/>
                <w:iCs/>
                <w:color w:val="3F3F3F"/>
              </w:rPr>
              <w:t>n/a</w:t>
            </w:r>
          </w:p>
        </w:tc>
        <w:tc>
          <w:tcPr>
            <w:tcW w:w="818" w:type="dxa"/>
            <w:vAlign w:val="center"/>
          </w:tcPr>
          <w:p w14:paraId="4BD98B6D" w14:textId="30A2BEE7" w:rsidR="002D543F" w:rsidRPr="00C8425D" w:rsidRDefault="002D543F" w:rsidP="002D543F">
            <w:pPr>
              <w:jc w:val="center"/>
              <w:rPr>
                <w:rFonts w:eastAsia="ArialNarrow" w:cs="Times New Roman"/>
                <w:i/>
                <w:iCs/>
                <w:color w:val="3F3F3F"/>
                <w:szCs w:val="18"/>
              </w:rPr>
            </w:pPr>
            <w:r>
              <w:rPr>
                <w:rFonts w:eastAsia="ArialNarrow" w:cs="Times New Roman"/>
                <w:i/>
                <w:iCs/>
                <w:color w:val="3F3F3F"/>
                <w:szCs w:val="18"/>
              </w:rPr>
              <w:t>n/a</w:t>
            </w:r>
          </w:p>
        </w:tc>
      </w:tr>
      <w:tr w:rsidR="0051043D" w:rsidRPr="000E19D8" w14:paraId="4BA09548" w14:textId="77777777" w:rsidTr="0051043D">
        <w:trPr>
          <w:trHeight w:val="274"/>
        </w:trPr>
        <w:tc>
          <w:tcPr>
            <w:tcW w:w="1702" w:type="dxa"/>
            <w:vAlign w:val="center"/>
            <w:hideMark/>
          </w:tcPr>
          <w:p w14:paraId="2ABC923A" w14:textId="66047C30"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Franjevački samostan</w:t>
            </w:r>
            <w:r>
              <w:rPr>
                <w:rFonts w:eastAsia="ArialNarrow" w:cs="Times New Roman"/>
                <w:b/>
                <w:bCs/>
                <w:color w:val="3F3F3F"/>
              </w:rPr>
              <w:t xml:space="preserve"> </w:t>
            </w:r>
            <w:r w:rsidRPr="000E19D8">
              <w:rPr>
                <w:rFonts w:eastAsia="ArialNarrow" w:cs="Times New Roman"/>
                <w:b/>
                <w:bCs/>
                <w:color w:val="3F3F3F"/>
              </w:rPr>
              <w:t>i sarkofazi obitelji Erdődy*</w:t>
            </w:r>
          </w:p>
        </w:tc>
        <w:tc>
          <w:tcPr>
            <w:tcW w:w="753" w:type="dxa"/>
            <w:vAlign w:val="center"/>
            <w:hideMark/>
          </w:tcPr>
          <w:p w14:paraId="1F42936A"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3.500</w:t>
            </w:r>
          </w:p>
        </w:tc>
        <w:tc>
          <w:tcPr>
            <w:tcW w:w="809" w:type="dxa"/>
            <w:vAlign w:val="center"/>
            <w:hideMark/>
          </w:tcPr>
          <w:p w14:paraId="581E02E7"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3.500</w:t>
            </w:r>
          </w:p>
        </w:tc>
        <w:tc>
          <w:tcPr>
            <w:tcW w:w="809" w:type="dxa"/>
            <w:vAlign w:val="center"/>
            <w:hideMark/>
          </w:tcPr>
          <w:p w14:paraId="12623701"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3.500</w:t>
            </w:r>
          </w:p>
        </w:tc>
        <w:tc>
          <w:tcPr>
            <w:tcW w:w="809" w:type="dxa"/>
            <w:vAlign w:val="center"/>
            <w:hideMark/>
          </w:tcPr>
          <w:p w14:paraId="5CE4E818"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3.500</w:t>
            </w:r>
          </w:p>
        </w:tc>
        <w:tc>
          <w:tcPr>
            <w:tcW w:w="946" w:type="dxa"/>
            <w:vAlign w:val="center"/>
            <w:hideMark/>
          </w:tcPr>
          <w:p w14:paraId="54A8CC8A"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3.500</w:t>
            </w:r>
          </w:p>
        </w:tc>
        <w:tc>
          <w:tcPr>
            <w:tcW w:w="809" w:type="dxa"/>
            <w:vAlign w:val="center"/>
            <w:hideMark/>
          </w:tcPr>
          <w:p w14:paraId="6ABBB295"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3.500</w:t>
            </w:r>
          </w:p>
        </w:tc>
        <w:tc>
          <w:tcPr>
            <w:tcW w:w="809" w:type="dxa"/>
            <w:vAlign w:val="center"/>
            <w:hideMark/>
          </w:tcPr>
          <w:p w14:paraId="3DBEDFE9"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1.074</w:t>
            </w:r>
          </w:p>
        </w:tc>
        <w:tc>
          <w:tcPr>
            <w:tcW w:w="809" w:type="dxa"/>
            <w:vAlign w:val="center"/>
            <w:hideMark/>
          </w:tcPr>
          <w:p w14:paraId="5EA0C90E" w14:textId="4D7C1DF5" w:rsidR="002D543F" w:rsidRPr="000E19D8" w:rsidRDefault="002D543F" w:rsidP="00E0639E">
            <w:pPr>
              <w:jc w:val="right"/>
              <w:rPr>
                <w:rFonts w:eastAsia="ArialNarrow" w:cs="Times New Roman"/>
                <w:i/>
                <w:iCs/>
                <w:color w:val="3F3F3F"/>
              </w:rPr>
            </w:pPr>
            <w:r>
              <w:rPr>
                <w:rFonts w:eastAsia="ArialNarrow" w:cs="Times New Roman"/>
                <w:i/>
                <w:iCs/>
                <w:color w:val="3F3F3F"/>
              </w:rPr>
              <w:t>n/a</w:t>
            </w:r>
          </w:p>
        </w:tc>
        <w:tc>
          <w:tcPr>
            <w:tcW w:w="818" w:type="dxa"/>
          </w:tcPr>
          <w:p w14:paraId="594E0F00" w14:textId="77777777" w:rsidR="002D543F" w:rsidRDefault="002D543F" w:rsidP="00E0639E">
            <w:pPr>
              <w:jc w:val="center"/>
              <w:rPr>
                <w:szCs w:val="18"/>
              </w:rPr>
            </w:pPr>
          </w:p>
          <w:p w14:paraId="22A268F0" w14:textId="77777777" w:rsidR="002D543F" w:rsidRPr="00C8425D" w:rsidRDefault="002D543F" w:rsidP="00E0639E">
            <w:pPr>
              <w:jc w:val="center"/>
              <w:rPr>
                <w:rFonts w:eastAsia="ArialNarrow" w:cs="Times New Roman"/>
                <w:i/>
                <w:iCs/>
                <w:color w:val="3F3F3F"/>
                <w:szCs w:val="18"/>
              </w:rPr>
            </w:pPr>
            <w:r w:rsidRPr="00C8425D">
              <w:rPr>
                <w:szCs w:val="18"/>
              </w:rPr>
              <w:t>Zatvoreno zbog radova</w:t>
            </w:r>
          </w:p>
        </w:tc>
      </w:tr>
      <w:tr w:rsidR="0051043D" w:rsidRPr="000E19D8" w14:paraId="1E00D535" w14:textId="77777777" w:rsidTr="0051043D">
        <w:trPr>
          <w:trHeight w:val="274"/>
        </w:trPr>
        <w:tc>
          <w:tcPr>
            <w:tcW w:w="1702" w:type="dxa"/>
            <w:vAlign w:val="center"/>
            <w:hideMark/>
          </w:tcPr>
          <w:p w14:paraId="6A8BB9AE"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Hrvatsko nacionalno svetište MBB</w:t>
            </w:r>
          </w:p>
        </w:tc>
        <w:tc>
          <w:tcPr>
            <w:tcW w:w="753" w:type="dxa"/>
            <w:vAlign w:val="center"/>
            <w:hideMark/>
          </w:tcPr>
          <w:p w14:paraId="0D5F2FD7"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919.000</w:t>
            </w:r>
          </w:p>
        </w:tc>
        <w:tc>
          <w:tcPr>
            <w:tcW w:w="809" w:type="dxa"/>
            <w:vAlign w:val="center"/>
            <w:hideMark/>
          </w:tcPr>
          <w:p w14:paraId="17BB069A"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886.500</w:t>
            </w:r>
          </w:p>
        </w:tc>
        <w:tc>
          <w:tcPr>
            <w:tcW w:w="809" w:type="dxa"/>
            <w:vAlign w:val="center"/>
            <w:hideMark/>
          </w:tcPr>
          <w:p w14:paraId="7CF8FDF6"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843.000</w:t>
            </w:r>
          </w:p>
        </w:tc>
        <w:tc>
          <w:tcPr>
            <w:tcW w:w="809" w:type="dxa"/>
            <w:vAlign w:val="center"/>
            <w:hideMark/>
          </w:tcPr>
          <w:p w14:paraId="7733B329"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812.000</w:t>
            </w:r>
          </w:p>
        </w:tc>
        <w:tc>
          <w:tcPr>
            <w:tcW w:w="946" w:type="dxa"/>
            <w:vAlign w:val="center"/>
            <w:hideMark/>
          </w:tcPr>
          <w:p w14:paraId="156D2236"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1.022.300</w:t>
            </w:r>
          </w:p>
        </w:tc>
        <w:tc>
          <w:tcPr>
            <w:tcW w:w="809" w:type="dxa"/>
            <w:vAlign w:val="center"/>
            <w:hideMark/>
          </w:tcPr>
          <w:p w14:paraId="16C61DE7"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970.740</w:t>
            </w:r>
          </w:p>
        </w:tc>
        <w:tc>
          <w:tcPr>
            <w:tcW w:w="809" w:type="dxa"/>
            <w:vAlign w:val="center"/>
            <w:hideMark/>
          </w:tcPr>
          <w:p w14:paraId="4975E7CE"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956.170</w:t>
            </w:r>
          </w:p>
        </w:tc>
        <w:tc>
          <w:tcPr>
            <w:tcW w:w="809" w:type="dxa"/>
            <w:vAlign w:val="center"/>
            <w:hideMark/>
          </w:tcPr>
          <w:p w14:paraId="4B4AAF37"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971.250</w:t>
            </w:r>
          </w:p>
        </w:tc>
        <w:tc>
          <w:tcPr>
            <w:tcW w:w="818" w:type="dxa"/>
          </w:tcPr>
          <w:p w14:paraId="0B30A19B" w14:textId="77777777" w:rsidR="002D543F" w:rsidRDefault="002D543F" w:rsidP="00E0639E">
            <w:pPr>
              <w:jc w:val="center"/>
              <w:rPr>
                <w:szCs w:val="18"/>
              </w:rPr>
            </w:pPr>
          </w:p>
          <w:p w14:paraId="63B47BDE" w14:textId="77777777" w:rsidR="002D543F" w:rsidRPr="00C8425D" w:rsidRDefault="002D543F" w:rsidP="00E0639E">
            <w:pPr>
              <w:jc w:val="center"/>
              <w:rPr>
                <w:rFonts w:eastAsia="ArialNarrow" w:cs="Times New Roman"/>
                <w:color w:val="3F3F3F"/>
                <w:szCs w:val="18"/>
              </w:rPr>
            </w:pPr>
            <w:r w:rsidRPr="00C8425D">
              <w:rPr>
                <w:szCs w:val="18"/>
              </w:rPr>
              <w:t>282.700</w:t>
            </w:r>
          </w:p>
        </w:tc>
      </w:tr>
      <w:tr w:rsidR="0051043D" w:rsidRPr="000E19D8" w14:paraId="66691DF7" w14:textId="77777777" w:rsidTr="0051043D">
        <w:trPr>
          <w:trHeight w:val="274"/>
        </w:trPr>
        <w:tc>
          <w:tcPr>
            <w:tcW w:w="1702" w:type="dxa"/>
            <w:vAlign w:val="center"/>
            <w:hideMark/>
          </w:tcPr>
          <w:p w14:paraId="210018C3"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Muzej Radboa**</w:t>
            </w:r>
          </w:p>
        </w:tc>
        <w:tc>
          <w:tcPr>
            <w:tcW w:w="753" w:type="dxa"/>
            <w:vAlign w:val="center"/>
            <w:hideMark/>
          </w:tcPr>
          <w:p w14:paraId="1BC2C7C2"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1A762BEE"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428003C1"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441CE917"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946" w:type="dxa"/>
            <w:vAlign w:val="center"/>
            <w:hideMark/>
          </w:tcPr>
          <w:p w14:paraId="2426F95D"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06392EBE"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1.334</w:t>
            </w:r>
          </w:p>
        </w:tc>
        <w:tc>
          <w:tcPr>
            <w:tcW w:w="809" w:type="dxa"/>
            <w:vAlign w:val="center"/>
            <w:hideMark/>
          </w:tcPr>
          <w:p w14:paraId="5AC2ED36"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1.490</w:t>
            </w:r>
          </w:p>
        </w:tc>
        <w:tc>
          <w:tcPr>
            <w:tcW w:w="809" w:type="dxa"/>
            <w:vAlign w:val="center"/>
            <w:hideMark/>
          </w:tcPr>
          <w:p w14:paraId="031327AF"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2.094</w:t>
            </w:r>
          </w:p>
        </w:tc>
        <w:tc>
          <w:tcPr>
            <w:tcW w:w="818" w:type="dxa"/>
          </w:tcPr>
          <w:p w14:paraId="10E609BE" w14:textId="77777777" w:rsidR="002D543F" w:rsidRDefault="002D543F" w:rsidP="00E0639E">
            <w:pPr>
              <w:jc w:val="center"/>
              <w:rPr>
                <w:szCs w:val="18"/>
              </w:rPr>
            </w:pPr>
          </w:p>
          <w:p w14:paraId="64107519" w14:textId="77777777" w:rsidR="002D543F" w:rsidRPr="00C8425D" w:rsidRDefault="002D543F" w:rsidP="00E0639E">
            <w:pPr>
              <w:jc w:val="center"/>
              <w:rPr>
                <w:rFonts w:eastAsia="ArialNarrow" w:cs="Times New Roman"/>
                <w:color w:val="3F3F3F"/>
                <w:szCs w:val="18"/>
              </w:rPr>
            </w:pPr>
            <w:r w:rsidRPr="00C8425D">
              <w:rPr>
                <w:szCs w:val="18"/>
              </w:rPr>
              <w:t>930</w:t>
            </w:r>
          </w:p>
        </w:tc>
      </w:tr>
      <w:tr w:rsidR="0051043D" w:rsidRPr="000E19D8" w14:paraId="75867E5E" w14:textId="77777777" w:rsidTr="0051043D">
        <w:trPr>
          <w:trHeight w:val="274"/>
        </w:trPr>
        <w:tc>
          <w:tcPr>
            <w:tcW w:w="1702" w:type="dxa"/>
            <w:vAlign w:val="center"/>
            <w:hideMark/>
          </w:tcPr>
          <w:p w14:paraId="69AF7D6C"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Muzej automobila Presečki***</w:t>
            </w:r>
          </w:p>
        </w:tc>
        <w:tc>
          <w:tcPr>
            <w:tcW w:w="753" w:type="dxa"/>
            <w:vAlign w:val="center"/>
            <w:hideMark/>
          </w:tcPr>
          <w:p w14:paraId="0C6B7945"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12180829"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3EFDDA4C"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2BAC6170"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946" w:type="dxa"/>
            <w:vAlign w:val="center"/>
            <w:hideMark/>
          </w:tcPr>
          <w:p w14:paraId="0F22D8A3"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46DD9B9D"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100</w:t>
            </w:r>
          </w:p>
        </w:tc>
        <w:tc>
          <w:tcPr>
            <w:tcW w:w="809" w:type="dxa"/>
            <w:vAlign w:val="center"/>
            <w:hideMark/>
          </w:tcPr>
          <w:p w14:paraId="3EA7AAEE"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1762</w:t>
            </w:r>
          </w:p>
        </w:tc>
        <w:tc>
          <w:tcPr>
            <w:tcW w:w="809" w:type="dxa"/>
            <w:vAlign w:val="center"/>
            <w:hideMark/>
          </w:tcPr>
          <w:p w14:paraId="41553E95"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1.575</w:t>
            </w:r>
          </w:p>
        </w:tc>
        <w:tc>
          <w:tcPr>
            <w:tcW w:w="818" w:type="dxa"/>
          </w:tcPr>
          <w:p w14:paraId="7E4EB6F6" w14:textId="77777777" w:rsidR="002D543F" w:rsidRDefault="002D543F" w:rsidP="00E0639E">
            <w:pPr>
              <w:jc w:val="center"/>
              <w:rPr>
                <w:szCs w:val="18"/>
              </w:rPr>
            </w:pPr>
          </w:p>
          <w:p w14:paraId="2CCDFD98" w14:textId="77777777" w:rsidR="002D543F" w:rsidRPr="00C8425D" w:rsidRDefault="002D543F" w:rsidP="00E0639E">
            <w:pPr>
              <w:jc w:val="center"/>
              <w:rPr>
                <w:rFonts w:eastAsia="ArialNarrow" w:cs="Times New Roman"/>
                <w:color w:val="3F3F3F"/>
                <w:szCs w:val="18"/>
              </w:rPr>
            </w:pPr>
            <w:r w:rsidRPr="00C8425D">
              <w:rPr>
                <w:szCs w:val="18"/>
              </w:rPr>
              <w:t>400</w:t>
            </w:r>
          </w:p>
        </w:tc>
      </w:tr>
      <w:tr w:rsidR="002D543F" w:rsidRPr="000E19D8" w14:paraId="1C77A641" w14:textId="77777777" w:rsidTr="0051043D">
        <w:trPr>
          <w:trHeight w:val="274"/>
        </w:trPr>
        <w:tc>
          <w:tcPr>
            <w:tcW w:w="1702" w:type="dxa"/>
            <w:vAlign w:val="center"/>
            <w:hideMark/>
          </w:tcPr>
          <w:p w14:paraId="43AAC74C" w14:textId="77777777" w:rsidR="002D543F" w:rsidRPr="000E19D8" w:rsidRDefault="002D543F" w:rsidP="002D543F">
            <w:pPr>
              <w:jc w:val="left"/>
              <w:rPr>
                <w:rFonts w:eastAsia="ArialNarrow" w:cs="Times New Roman"/>
                <w:b/>
                <w:bCs/>
                <w:color w:val="3F3F3F"/>
              </w:rPr>
            </w:pPr>
            <w:r w:rsidRPr="000E19D8">
              <w:rPr>
                <w:rFonts w:eastAsia="ArialNarrow" w:cs="Times New Roman"/>
                <w:b/>
                <w:bCs/>
                <w:color w:val="3F3F3F"/>
              </w:rPr>
              <w:t>Muzej grada Pregrade Zlatko Dragutin Tudjina</w:t>
            </w:r>
          </w:p>
        </w:tc>
        <w:tc>
          <w:tcPr>
            <w:tcW w:w="753" w:type="dxa"/>
            <w:vAlign w:val="center"/>
            <w:hideMark/>
          </w:tcPr>
          <w:p w14:paraId="09AC7EDC"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398B8601"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38A0A42A"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05C6A3E5"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946" w:type="dxa"/>
            <w:vAlign w:val="center"/>
            <w:hideMark/>
          </w:tcPr>
          <w:p w14:paraId="308A4A5B"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44534772"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49E8B7B5" w14:textId="77777777" w:rsidR="002D543F" w:rsidRPr="000E19D8" w:rsidRDefault="002D543F" w:rsidP="00E0639E">
            <w:pPr>
              <w:jc w:val="right"/>
              <w:rPr>
                <w:rFonts w:eastAsia="ArialNarrow" w:cs="Times New Roman"/>
                <w:i/>
                <w:iCs/>
                <w:color w:val="3F3F3F"/>
              </w:rPr>
            </w:pPr>
            <w:r w:rsidRPr="000E19D8">
              <w:rPr>
                <w:rFonts w:eastAsia="ArialNarrow" w:cs="Times New Roman"/>
                <w:i/>
                <w:iCs/>
                <w:color w:val="3F3F3F"/>
              </w:rPr>
              <w:t>n/a</w:t>
            </w:r>
          </w:p>
        </w:tc>
        <w:tc>
          <w:tcPr>
            <w:tcW w:w="809" w:type="dxa"/>
            <w:vAlign w:val="center"/>
            <w:hideMark/>
          </w:tcPr>
          <w:p w14:paraId="7FDC65AE" w14:textId="77777777" w:rsidR="002D543F" w:rsidRPr="000E19D8" w:rsidRDefault="002D543F" w:rsidP="00E0639E">
            <w:pPr>
              <w:jc w:val="right"/>
              <w:rPr>
                <w:rFonts w:eastAsia="ArialNarrow" w:cs="Times New Roman"/>
                <w:color w:val="3F3F3F"/>
              </w:rPr>
            </w:pPr>
            <w:r w:rsidRPr="000E19D8">
              <w:rPr>
                <w:rFonts w:eastAsia="ArialNarrow" w:cs="Times New Roman"/>
                <w:color w:val="3F3F3F"/>
              </w:rPr>
              <w:t>2.114</w:t>
            </w:r>
          </w:p>
        </w:tc>
        <w:tc>
          <w:tcPr>
            <w:tcW w:w="818" w:type="dxa"/>
            <w:vAlign w:val="center"/>
          </w:tcPr>
          <w:p w14:paraId="398ACA17" w14:textId="77777777" w:rsidR="002D543F" w:rsidRPr="00C8425D" w:rsidRDefault="002D543F" w:rsidP="002D543F">
            <w:pPr>
              <w:jc w:val="center"/>
              <w:rPr>
                <w:rFonts w:eastAsia="ArialNarrow" w:cs="Times New Roman"/>
                <w:color w:val="3F3F3F"/>
                <w:szCs w:val="18"/>
              </w:rPr>
            </w:pPr>
            <w:r w:rsidRPr="00C8425D">
              <w:rPr>
                <w:szCs w:val="18"/>
              </w:rPr>
              <w:t>765</w:t>
            </w:r>
          </w:p>
        </w:tc>
      </w:tr>
    </w:tbl>
    <w:p w14:paraId="15526343" w14:textId="77777777" w:rsidR="002D543F" w:rsidRPr="00A7185B" w:rsidRDefault="002D543F" w:rsidP="00A7185B">
      <w:pPr>
        <w:autoSpaceDE w:val="0"/>
        <w:autoSpaceDN w:val="0"/>
        <w:adjustRightInd w:val="0"/>
        <w:spacing w:after="0" w:line="240" w:lineRule="auto"/>
        <w:rPr>
          <w:rFonts w:eastAsia="ArialNarrow" w:cstheme="minorHAnsi"/>
          <w:i/>
          <w:color w:val="ABABAB" w:themeColor="text1" w:themeTint="A6"/>
          <w:sz w:val="16"/>
          <w:szCs w:val="16"/>
        </w:rPr>
      </w:pPr>
    </w:p>
    <w:p w14:paraId="4F704F0D" w14:textId="154A02FA" w:rsidR="002A43BB" w:rsidRPr="0035368C" w:rsidRDefault="00315033"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Izvor: Turistička zajednica Krapinsko-zagorske županije, 2020 godina</w:t>
      </w:r>
    </w:p>
    <w:p w14:paraId="5360E20C" w14:textId="77777777" w:rsidR="003E2012" w:rsidRPr="003E2012" w:rsidRDefault="003E2012" w:rsidP="00835668">
      <w:pPr>
        <w:pStyle w:val="Izvor"/>
      </w:pPr>
    </w:p>
    <w:p w14:paraId="1B7DDEBE" w14:textId="46CCCD29" w:rsidR="008878A0" w:rsidRPr="003E2012" w:rsidRDefault="008878A0" w:rsidP="003E2012">
      <w:pPr>
        <w:rPr>
          <w:rFonts w:eastAsia="ArialNarrow"/>
        </w:rPr>
      </w:pPr>
      <w:r w:rsidRPr="000F53D0">
        <w:rPr>
          <w:rFonts w:eastAsia="ArialNarrow"/>
        </w:rPr>
        <w:t>Pregled najvažnijih kulturnih atrakcija po pitanju materijalnih dobara na području KZŽ nalazi se u nastavku.</w:t>
      </w:r>
    </w:p>
    <w:p w14:paraId="1A77C88E" w14:textId="2E93D50B" w:rsidR="001838EE" w:rsidRDefault="001838EE" w:rsidP="003E3F3C">
      <w:pPr>
        <w:pStyle w:val="Opisslike"/>
      </w:pPr>
      <w:r>
        <w:t>Tablica</w:t>
      </w:r>
      <w:r w:rsidR="0035368C">
        <w:t xml:space="preserve"> </w:t>
      </w:r>
      <w:r w:rsidR="0018019C">
        <w:t>10</w:t>
      </w:r>
      <w:r w:rsidR="00A7185B">
        <w:t>9</w:t>
      </w:r>
      <w:r>
        <w:t xml:space="preserve">. </w:t>
      </w:r>
      <w:r w:rsidRPr="005C55A3">
        <w:t>Pregled kulturnih atrakcija u KZŽ</w:t>
      </w:r>
    </w:p>
    <w:tbl>
      <w:tblPr>
        <w:tblW w:w="0" w:type="auto"/>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3005"/>
        <w:gridCol w:w="3005"/>
        <w:gridCol w:w="3006"/>
      </w:tblGrid>
      <w:tr w:rsidR="008878A0" w:rsidRPr="001838EE" w14:paraId="5133705D" w14:textId="77777777" w:rsidTr="00F97293">
        <w:trPr>
          <w:tblHeader/>
        </w:trPr>
        <w:tc>
          <w:tcPr>
            <w:tcW w:w="3005" w:type="dxa"/>
            <w:shd w:val="clear" w:color="auto" w:fill="D2232A" w:themeFill="accent1"/>
            <w:hideMark/>
          </w:tcPr>
          <w:p w14:paraId="3A7E885D" w14:textId="77777777" w:rsidR="008878A0" w:rsidRPr="001838EE" w:rsidRDefault="008878A0" w:rsidP="001838EE">
            <w:pPr>
              <w:spacing w:after="0"/>
              <w:rPr>
                <w:rFonts w:eastAsia="ArialNarrow"/>
                <w:color w:val="FFFFFF" w:themeColor="background1"/>
                <w:szCs w:val="18"/>
              </w:rPr>
            </w:pPr>
            <w:r w:rsidRPr="001838EE">
              <w:rPr>
                <w:rFonts w:eastAsia="ArialNarrow"/>
                <w:color w:val="FFFFFF" w:themeColor="background1"/>
                <w:szCs w:val="18"/>
              </w:rPr>
              <w:t>Dvorci i  muzeji</w:t>
            </w:r>
          </w:p>
        </w:tc>
        <w:tc>
          <w:tcPr>
            <w:tcW w:w="3005" w:type="dxa"/>
            <w:shd w:val="clear" w:color="auto" w:fill="D2232A" w:themeFill="accent1"/>
            <w:hideMark/>
          </w:tcPr>
          <w:p w14:paraId="23421DD8" w14:textId="0D2B9A8A" w:rsidR="008878A0" w:rsidRPr="001838EE" w:rsidRDefault="008878A0" w:rsidP="001838EE">
            <w:pPr>
              <w:spacing w:after="0"/>
              <w:rPr>
                <w:rFonts w:eastAsia="ArialNarrow"/>
                <w:b/>
                <w:bCs/>
                <w:color w:val="FFFFFF" w:themeColor="background1"/>
                <w:szCs w:val="18"/>
              </w:rPr>
            </w:pPr>
            <w:r w:rsidRPr="001838EE">
              <w:rPr>
                <w:rFonts w:eastAsia="ArialNarrow"/>
                <w:color w:val="FFFFFF" w:themeColor="background1"/>
                <w:szCs w:val="18"/>
              </w:rPr>
              <w:t xml:space="preserve">Crkve </w:t>
            </w:r>
          </w:p>
        </w:tc>
        <w:tc>
          <w:tcPr>
            <w:tcW w:w="3006" w:type="dxa"/>
            <w:shd w:val="clear" w:color="auto" w:fill="D2232A" w:themeFill="accent1"/>
            <w:hideMark/>
          </w:tcPr>
          <w:p w14:paraId="3A7FBAF1" w14:textId="77777777" w:rsidR="008878A0" w:rsidRPr="001838EE" w:rsidRDefault="008878A0" w:rsidP="001838EE">
            <w:pPr>
              <w:spacing w:after="0"/>
              <w:rPr>
                <w:rFonts w:eastAsia="ArialNarrow"/>
                <w:b/>
                <w:bCs/>
                <w:color w:val="FFFFFF" w:themeColor="background1"/>
                <w:szCs w:val="18"/>
              </w:rPr>
            </w:pPr>
            <w:r w:rsidRPr="001838EE">
              <w:rPr>
                <w:rFonts w:eastAsia="ArialNarrow"/>
                <w:color w:val="FFFFFF" w:themeColor="background1"/>
                <w:szCs w:val="18"/>
              </w:rPr>
              <w:t>Ostale znamenitosti</w:t>
            </w:r>
          </w:p>
        </w:tc>
      </w:tr>
      <w:tr w:rsidR="008878A0" w:rsidRPr="001838EE" w14:paraId="4055B818" w14:textId="77777777" w:rsidTr="00F97293">
        <w:tc>
          <w:tcPr>
            <w:tcW w:w="3005" w:type="dxa"/>
            <w:hideMark/>
          </w:tcPr>
          <w:p w14:paraId="3D6A7E32" w14:textId="77777777" w:rsidR="008878A0" w:rsidRPr="001838EE" w:rsidRDefault="008878A0" w:rsidP="001838EE">
            <w:pPr>
              <w:spacing w:after="0"/>
              <w:rPr>
                <w:rFonts w:eastAsia="ArialNarrow"/>
                <w:b/>
                <w:bCs/>
                <w:szCs w:val="18"/>
              </w:rPr>
            </w:pPr>
            <w:r w:rsidRPr="001838EE">
              <w:rPr>
                <w:b/>
                <w:bCs/>
                <w:szCs w:val="18"/>
              </w:rPr>
              <w:t>Muzej krapinskih neandertalaca</w:t>
            </w:r>
          </w:p>
        </w:tc>
        <w:tc>
          <w:tcPr>
            <w:tcW w:w="3005" w:type="dxa"/>
            <w:hideMark/>
          </w:tcPr>
          <w:p w14:paraId="397818E9" w14:textId="77777777" w:rsidR="008878A0" w:rsidRPr="001838EE" w:rsidRDefault="008878A0" w:rsidP="001838EE">
            <w:pPr>
              <w:spacing w:after="0"/>
              <w:rPr>
                <w:rFonts w:eastAsia="ArialNarrow"/>
                <w:b/>
                <w:bCs/>
                <w:szCs w:val="18"/>
              </w:rPr>
            </w:pPr>
            <w:r w:rsidRPr="001838EE">
              <w:rPr>
                <w:szCs w:val="18"/>
              </w:rPr>
              <w:t>Nacionalno Svetište Majke Božje Bistričke</w:t>
            </w:r>
          </w:p>
        </w:tc>
        <w:tc>
          <w:tcPr>
            <w:tcW w:w="3006" w:type="dxa"/>
            <w:hideMark/>
          </w:tcPr>
          <w:p w14:paraId="4F6066D4" w14:textId="77777777" w:rsidR="008878A0" w:rsidRPr="001838EE" w:rsidRDefault="008878A0" w:rsidP="001838EE">
            <w:pPr>
              <w:spacing w:after="0"/>
              <w:rPr>
                <w:rFonts w:eastAsia="ArialNarrow"/>
                <w:b/>
                <w:bCs/>
                <w:szCs w:val="18"/>
              </w:rPr>
            </w:pPr>
            <w:r w:rsidRPr="001838EE">
              <w:rPr>
                <w:szCs w:val="18"/>
              </w:rPr>
              <w:t>Utvrda Kostel-grad</w:t>
            </w:r>
          </w:p>
        </w:tc>
      </w:tr>
      <w:tr w:rsidR="008878A0" w:rsidRPr="001838EE" w14:paraId="11F0BBFE" w14:textId="77777777" w:rsidTr="00F97293">
        <w:tc>
          <w:tcPr>
            <w:tcW w:w="3005" w:type="dxa"/>
            <w:hideMark/>
          </w:tcPr>
          <w:p w14:paraId="33844BD5" w14:textId="77777777" w:rsidR="008878A0" w:rsidRPr="001838EE" w:rsidRDefault="008878A0" w:rsidP="001838EE">
            <w:pPr>
              <w:spacing w:after="0"/>
              <w:rPr>
                <w:rFonts w:eastAsia="ArialNarrow"/>
                <w:b/>
                <w:bCs/>
                <w:szCs w:val="18"/>
              </w:rPr>
            </w:pPr>
            <w:r w:rsidRPr="001838EE">
              <w:rPr>
                <w:b/>
                <w:bCs/>
                <w:szCs w:val="18"/>
              </w:rPr>
              <w:t>Dvor Veliki Tabor</w:t>
            </w:r>
          </w:p>
        </w:tc>
        <w:tc>
          <w:tcPr>
            <w:tcW w:w="3005" w:type="dxa"/>
            <w:hideMark/>
          </w:tcPr>
          <w:p w14:paraId="755DFF6B" w14:textId="77777777" w:rsidR="008878A0" w:rsidRPr="001838EE" w:rsidRDefault="008878A0" w:rsidP="001838EE">
            <w:pPr>
              <w:spacing w:after="0"/>
              <w:rPr>
                <w:rFonts w:eastAsia="ArialNarrow"/>
                <w:b/>
                <w:bCs/>
                <w:szCs w:val="18"/>
              </w:rPr>
            </w:pPr>
            <w:r w:rsidRPr="001838EE">
              <w:rPr>
                <w:szCs w:val="18"/>
              </w:rPr>
              <w:t>Crkva Majke Božje Gorske</w:t>
            </w:r>
          </w:p>
        </w:tc>
        <w:tc>
          <w:tcPr>
            <w:tcW w:w="3006" w:type="dxa"/>
            <w:hideMark/>
          </w:tcPr>
          <w:p w14:paraId="321CB24B" w14:textId="77777777" w:rsidR="008878A0" w:rsidRPr="001838EE" w:rsidRDefault="008878A0" w:rsidP="001838EE">
            <w:pPr>
              <w:spacing w:after="0"/>
              <w:rPr>
                <w:rFonts w:eastAsia="ArialNarrow"/>
                <w:b/>
                <w:bCs/>
                <w:szCs w:val="18"/>
              </w:rPr>
            </w:pPr>
            <w:r w:rsidRPr="001838EE">
              <w:rPr>
                <w:szCs w:val="18"/>
              </w:rPr>
              <w:t>Spomenik hrvatskoj himni</w:t>
            </w:r>
          </w:p>
        </w:tc>
      </w:tr>
      <w:tr w:rsidR="008878A0" w:rsidRPr="001838EE" w14:paraId="1E989692" w14:textId="77777777" w:rsidTr="00F97293">
        <w:tc>
          <w:tcPr>
            <w:tcW w:w="3005" w:type="dxa"/>
            <w:hideMark/>
          </w:tcPr>
          <w:p w14:paraId="5B68C375" w14:textId="77777777" w:rsidR="008878A0" w:rsidRPr="001838EE" w:rsidRDefault="008878A0" w:rsidP="001838EE">
            <w:pPr>
              <w:spacing w:after="0"/>
              <w:rPr>
                <w:rFonts w:eastAsia="ArialNarrow"/>
                <w:b/>
                <w:bCs/>
                <w:szCs w:val="18"/>
              </w:rPr>
            </w:pPr>
            <w:r w:rsidRPr="001838EE">
              <w:rPr>
                <w:b/>
                <w:bCs/>
                <w:szCs w:val="18"/>
              </w:rPr>
              <w:t>Muzej Staro selo Kumrovec</w:t>
            </w:r>
          </w:p>
        </w:tc>
        <w:tc>
          <w:tcPr>
            <w:tcW w:w="3005" w:type="dxa"/>
            <w:hideMark/>
          </w:tcPr>
          <w:p w14:paraId="5D1F4495" w14:textId="77777777" w:rsidR="008878A0" w:rsidRPr="001838EE" w:rsidRDefault="008878A0" w:rsidP="001838EE">
            <w:pPr>
              <w:spacing w:after="0"/>
              <w:rPr>
                <w:rFonts w:eastAsia="ArialNarrow"/>
                <w:b/>
                <w:bCs/>
                <w:szCs w:val="18"/>
              </w:rPr>
            </w:pPr>
            <w:r w:rsidRPr="001838EE">
              <w:rPr>
                <w:szCs w:val="18"/>
              </w:rPr>
              <w:t>Crkva Majke Božje Snježne</w:t>
            </w:r>
          </w:p>
        </w:tc>
        <w:tc>
          <w:tcPr>
            <w:tcW w:w="3006" w:type="dxa"/>
            <w:hideMark/>
          </w:tcPr>
          <w:p w14:paraId="1396E33F" w14:textId="77777777" w:rsidR="008878A0" w:rsidRPr="001838EE" w:rsidRDefault="008878A0" w:rsidP="001838EE">
            <w:pPr>
              <w:spacing w:after="0"/>
              <w:rPr>
                <w:rFonts w:eastAsia="ArialNarrow"/>
                <w:b/>
                <w:bCs/>
                <w:szCs w:val="18"/>
              </w:rPr>
            </w:pPr>
            <w:r w:rsidRPr="001838EE">
              <w:rPr>
                <w:szCs w:val="18"/>
              </w:rPr>
              <w:t>Cesargrad</w:t>
            </w:r>
          </w:p>
        </w:tc>
      </w:tr>
      <w:tr w:rsidR="008878A0" w:rsidRPr="001838EE" w14:paraId="2B57B902" w14:textId="77777777" w:rsidTr="00F97293">
        <w:tc>
          <w:tcPr>
            <w:tcW w:w="3005" w:type="dxa"/>
            <w:hideMark/>
          </w:tcPr>
          <w:p w14:paraId="5ED518BB" w14:textId="77777777" w:rsidR="008878A0" w:rsidRPr="001838EE" w:rsidRDefault="008878A0" w:rsidP="001838EE">
            <w:pPr>
              <w:spacing w:after="0"/>
              <w:rPr>
                <w:rFonts w:eastAsia="ArialNarrow"/>
                <w:b/>
                <w:bCs/>
                <w:szCs w:val="18"/>
              </w:rPr>
            </w:pPr>
            <w:r w:rsidRPr="001838EE">
              <w:rPr>
                <w:b/>
                <w:bCs/>
                <w:szCs w:val="18"/>
              </w:rPr>
              <w:t>Dvorac Oršić – Muzej seljačkih buna</w:t>
            </w:r>
          </w:p>
        </w:tc>
        <w:tc>
          <w:tcPr>
            <w:tcW w:w="3005" w:type="dxa"/>
            <w:hideMark/>
          </w:tcPr>
          <w:p w14:paraId="3022B8E4" w14:textId="77777777" w:rsidR="008878A0" w:rsidRPr="001838EE" w:rsidRDefault="008878A0" w:rsidP="001838EE">
            <w:pPr>
              <w:spacing w:after="0"/>
              <w:rPr>
                <w:rFonts w:eastAsia="ArialNarrow"/>
                <w:b/>
                <w:bCs/>
                <w:szCs w:val="18"/>
              </w:rPr>
            </w:pPr>
            <w:r w:rsidRPr="001838EE">
              <w:rPr>
                <w:szCs w:val="18"/>
              </w:rPr>
              <w:t>Crkva Majke Božje Jeruzalemske</w:t>
            </w:r>
          </w:p>
        </w:tc>
        <w:tc>
          <w:tcPr>
            <w:tcW w:w="3006" w:type="dxa"/>
            <w:hideMark/>
          </w:tcPr>
          <w:p w14:paraId="3F1BDF71" w14:textId="77777777" w:rsidR="008878A0" w:rsidRPr="001838EE" w:rsidRDefault="008878A0" w:rsidP="001838EE">
            <w:pPr>
              <w:spacing w:after="0"/>
              <w:rPr>
                <w:rFonts w:eastAsia="ArialNarrow"/>
                <w:b/>
                <w:bCs/>
                <w:szCs w:val="18"/>
              </w:rPr>
            </w:pPr>
            <w:r w:rsidRPr="001838EE">
              <w:rPr>
                <w:szCs w:val="18"/>
              </w:rPr>
              <w:t>Gupčeva lipa</w:t>
            </w:r>
          </w:p>
        </w:tc>
      </w:tr>
      <w:tr w:rsidR="008878A0" w:rsidRPr="001838EE" w14:paraId="1E367EDB" w14:textId="77777777" w:rsidTr="00F97293">
        <w:tc>
          <w:tcPr>
            <w:tcW w:w="3005" w:type="dxa"/>
            <w:hideMark/>
          </w:tcPr>
          <w:p w14:paraId="5F615C17" w14:textId="77777777" w:rsidR="008878A0" w:rsidRPr="001838EE" w:rsidRDefault="008878A0" w:rsidP="001838EE">
            <w:pPr>
              <w:spacing w:after="0"/>
              <w:rPr>
                <w:rFonts w:eastAsia="ArialNarrow"/>
                <w:b/>
                <w:bCs/>
                <w:szCs w:val="18"/>
              </w:rPr>
            </w:pPr>
            <w:r w:rsidRPr="001838EE">
              <w:rPr>
                <w:b/>
                <w:bCs/>
                <w:szCs w:val="18"/>
              </w:rPr>
              <w:t>Galerija i Studio galerija Antuna Augustinčića</w:t>
            </w:r>
          </w:p>
        </w:tc>
        <w:tc>
          <w:tcPr>
            <w:tcW w:w="3005" w:type="dxa"/>
            <w:hideMark/>
          </w:tcPr>
          <w:p w14:paraId="3516BA71" w14:textId="77777777" w:rsidR="008878A0" w:rsidRPr="001838EE" w:rsidRDefault="008878A0" w:rsidP="001838EE">
            <w:pPr>
              <w:spacing w:after="0"/>
              <w:rPr>
                <w:rFonts w:eastAsia="ArialNarrow"/>
                <w:b/>
                <w:bCs/>
                <w:szCs w:val="18"/>
              </w:rPr>
            </w:pPr>
            <w:r w:rsidRPr="001838EE">
              <w:rPr>
                <w:szCs w:val="18"/>
              </w:rPr>
              <w:t xml:space="preserve">Franjevački samostan Klanjec </w:t>
            </w:r>
            <w:r w:rsidRPr="001838EE">
              <w:rPr>
                <w:rFonts w:eastAsia="ArialNarrow"/>
                <w:szCs w:val="18"/>
              </w:rPr>
              <w:t>i sarkofazi obitelji Erdődy</w:t>
            </w:r>
          </w:p>
        </w:tc>
        <w:tc>
          <w:tcPr>
            <w:tcW w:w="3006" w:type="dxa"/>
            <w:hideMark/>
          </w:tcPr>
          <w:p w14:paraId="43FB63F5" w14:textId="77777777" w:rsidR="008878A0" w:rsidRPr="001838EE" w:rsidRDefault="008878A0" w:rsidP="001838EE">
            <w:pPr>
              <w:spacing w:after="0"/>
              <w:rPr>
                <w:rFonts w:eastAsia="ArialNarrow"/>
                <w:b/>
                <w:bCs/>
                <w:szCs w:val="18"/>
              </w:rPr>
            </w:pPr>
            <w:r w:rsidRPr="001838EE">
              <w:rPr>
                <w:szCs w:val="18"/>
              </w:rPr>
              <w:t>Park skulptura</w:t>
            </w:r>
          </w:p>
        </w:tc>
      </w:tr>
      <w:tr w:rsidR="008878A0" w:rsidRPr="001838EE" w14:paraId="471C29C3" w14:textId="77777777" w:rsidTr="00F97293">
        <w:tc>
          <w:tcPr>
            <w:tcW w:w="3005" w:type="dxa"/>
            <w:hideMark/>
          </w:tcPr>
          <w:p w14:paraId="2BAD4AA9" w14:textId="77777777" w:rsidR="008878A0" w:rsidRPr="001838EE" w:rsidRDefault="008878A0" w:rsidP="001838EE">
            <w:pPr>
              <w:spacing w:after="0"/>
              <w:rPr>
                <w:rFonts w:eastAsia="ArialNarrow"/>
                <w:b/>
                <w:bCs/>
                <w:szCs w:val="18"/>
              </w:rPr>
            </w:pPr>
            <w:r w:rsidRPr="001838EE">
              <w:rPr>
                <w:b/>
                <w:bCs/>
                <w:szCs w:val="18"/>
              </w:rPr>
              <w:t>Muzej Radboa</w:t>
            </w:r>
          </w:p>
        </w:tc>
        <w:tc>
          <w:tcPr>
            <w:tcW w:w="3005" w:type="dxa"/>
            <w:hideMark/>
          </w:tcPr>
          <w:p w14:paraId="32160A97" w14:textId="77777777" w:rsidR="008878A0" w:rsidRPr="001838EE" w:rsidRDefault="008878A0" w:rsidP="001838EE">
            <w:pPr>
              <w:spacing w:after="0"/>
              <w:rPr>
                <w:rFonts w:eastAsia="ArialNarrow"/>
                <w:b/>
                <w:bCs/>
                <w:szCs w:val="18"/>
              </w:rPr>
            </w:pPr>
            <w:r w:rsidRPr="001838EE">
              <w:rPr>
                <w:szCs w:val="18"/>
              </w:rPr>
              <w:t>Crkva Blažene Djevice Marije Klanjec</w:t>
            </w:r>
          </w:p>
        </w:tc>
        <w:tc>
          <w:tcPr>
            <w:tcW w:w="3006" w:type="dxa"/>
            <w:hideMark/>
          </w:tcPr>
          <w:p w14:paraId="12A10A7D" w14:textId="77777777" w:rsidR="008878A0" w:rsidRPr="001838EE" w:rsidRDefault="008878A0" w:rsidP="001838EE">
            <w:pPr>
              <w:spacing w:after="0"/>
              <w:rPr>
                <w:rFonts w:eastAsia="ArialNarrow"/>
                <w:b/>
                <w:bCs/>
                <w:szCs w:val="18"/>
              </w:rPr>
            </w:pPr>
            <w:r w:rsidRPr="001838EE">
              <w:rPr>
                <w:szCs w:val="18"/>
              </w:rPr>
              <w:t>Kuća Matije Gupca</w:t>
            </w:r>
          </w:p>
        </w:tc>
      </w:tr>
      <w:tr w:rsidR="008878A0" w:rsidRPr="001838EE" w14:paraId="6780BB87" w14:textId="77777777" w:rsidTr="00F97293">
        <w:tc>
          <w:tcPr>
            <w:tcW w:w="3005" w:type="dxa"/>
            <w:hideMark/>
          </w:tcPr>
          <w:p w14:paraId="1E7AFB34" w14:textId="77777777" w:rsidR="008878A0" w:rsidRPr="001838EE" w:rsidRDefault="008878A0" w:rsidP="001838EE">
            <w:pPr>
              <w:spacing w:after="0"/>
              <w:rPr>
                <w:rFonts w:eastAsia="ArialNarrow"/>
                <w:b/>
                <w:bCs/>
                <w:szCs w:val="18"/>
              </w:rPr>
            </w:pPr>
            <w:r w:rsidRPr="001838EE">
              <w:rPr>
                <w:b/>
                <w:bCs/>
                <w:szCs w:val="18"/>
              </w:rPr>
              <w:t>Dvorac Mihanović</w:t>
            </w:r>
          </w:p>
        </w:tc>
        <w:tc>
          <w:tcPr>
            <w:tcW w:w="3005" w:type="dxa"/>
            <w:hideMark/>
          </w:tcPr>
          <w:p w14:paraId="6F03B9CD" w14:textId="77777777" w:rsidR="008878A0" w:rsidRPr="001838EE" w:rsidRDefault="008878A0" w:rsidP="001838EE">
            <w:pPr>
              <w:spacing w:after="0"/>
              <w:rPr>
                <w:rFonts w:eastAsia="ArialNarrow"/>
                <w:b/>
                <w:bCs/>
                <w:szCs w:val="18"/>
              </w:rPr>
            </w:pPr>
            <w:r w:rsidRPr="001838EE">
              <w:rPr>
                <w:szCs w:val="18"/>
              </w:rPr>
              <w:t>Crkva Marije od pohoda - Vinagora</w:t>
            </w:r>
          </w:p>
        </w:tc>
        <w:tc>
          <w:tcPr>
            <w:tcW w:w="3006" w:type="dxa"/>
            <w:vMerge w:val="restart"/>
            <w:hideMark/>
          </w:tcPr>
          <w:p w14:paraId="7CFBEB59" w14:textId="77777777" w:rsidR="008878A0" w:rsidRPr="001838EE" w:rsidRDefault="008878A0" w:rsidP="001838EE">
            <w:pPr>
              <w:spacing w:after="0"/>
              <w:rPr>
                <w:rFonts w:eastAsia="ArialNarrow"/>
                <w:b/>
                <w:bCs/>
                <w:szCs w:val="18"/>
              </w:rPr>
            </w:pPr>
            <w:r w:rsidRPr="001838EE">
              <w:rPr>
                <w:szCs w:val="18"/>
              </w:rPr>
              <w:t>Rodna kuća dr. Franje Tuđmana</w:t>
            </w:r>
          </w:p>
        </w:tc>
      </w:tr>
      <w:tr w:rsidR="008878A0" w:rsidRPr="001838EE" w14:paraId="4CA24044" w14:textId="77777777" w:rsidTr="00F97293">
        <w:tc>
          <w:tcPr>
            <w:tcW w:w="3005" w:type="dxa"/>
            <w:hideMark/>
          </w:tcPr>
          <w:p w14:paraId="50A7102B" w14:textId="77777777" w:rsidR="008878A0" w:rsidRPr="001838EE" w:rsidRDefault="008878A0" w:rsidP="001838EE">
            <w:pPr>
              <w:spacing w:after="0"/>
              <w:rPr>
                <w:b/>
                <w:bCs/>
                <w:szCs w:val="18"/>
              </w:rPr>
            </w:pPr>
            <w:r w:rsidRPr="001838EE">
              <w:rPr>
                <w:b/>
                <w:bCs/>
                <w:szCs w:val="18"/>
              </w:rPr>
              <w:lastRenderedPageBreak/>
              <w:t xml:space="preserve">Dvorac Miljana </w:t>
            </w:r>
          </w:p>
        </w:tc>
        <w:tc>
          <w:tcPr>
            <w:tcW w:w="3005" w:type="dxa"/>
            <w:hideMark/>
          </w:tcPr>
          <w:p w14:paraId="34243191" w14:textId="77777777" w:rsidR="008878A0" w:rsidRPr="001838EE" w:rsidRDefault="008878A0" w:rsidP="001838EE">
            <w:pPr>
              <w:spacing w:after="0"/>
              <w:rPr>
                <w:rFonts w:eastAsia="ArialNarrow"/>
                <w:b/>
                <w:bCs/>
                <w:szCs w:val="18"/>
              </w:rPr>
            </w:pPr>
            <w:r w:rsidRPr="001838EE">
              <w:rPr>
                <w:szCs w:val="18"/>
              </w:rPr>
              <w:t>Crkva Uznesenja Blažene Djevice Marije Pregrada</w:t>
            </w:r>
          </w:p>
        </w:tc>
        <w:tc>
          <w:tcPr>
            <w:tcW w:w="0" w:type="auto"/>
            <w:vMerge/>
            <w:vAlign w:val="center"/>
            <w:hideMark/>
          </w:tcPr>
          <w:p w14:paraId="6B8E4963" w14:textId="77777777" w:rsidR="008878A0" w:rsidRPr="001838EE" w:rsidRDefault="008878A0" w:rsidP="001838EE">
            <w:pPr>
              <w:spacing w:after="0"/>
              <w:rPr>
                <w:rFonts w:eastAsia="ArialNarrow"/>
                <w:b/>
                <w:bCs/>
                <w:szCs w:val="18"/>
              </w:rPr>
            </w:pPr>
          </w:p>
        </w:tc>
      </w:tr>
      <w:tr w:rsidR="008878A0" w:rsidRPr="001838EE" w14:paraId="3AE10456" w14:textId="77777777" w:rsidTr="00F97293">
        <w:tc>
          <w:tcPr>
            <w:tcW w:w="3005" w:type="dxa"/>
            <w:hideMark/>
          </w:tcPr>
          <w:p w14:paraId="078860BA" w14:textId="77777777" w:rsidR="008878A0" w:rsidRPr="001838EE" w:rsidRDefault="008878A0" w:rsidP="001838EE">
            <w:pPr>
              <w:spacing w:after="0"/>
              <w:rPr>
                <w:b/>
                <w:bCs/>
                <w:szCs w:val="18"/>
              </w:rPr>
            </w:pPr>
            <w:r w:rsidRPr="001838EE">
              <w:rPr>
                <w:b/>
                <w:bCs/>
                <w:szCs w:val="18"/>
              </w:rPr>
              <w:t>Dvorac Bežanec</w:t>
            </w:r>
          </w:p>
        </w:tc>
        <w:tc>
          <w:tcPr>
            <w:tcW w:w="3005" w:type="dxa"/>
            <w:hideMark/>
          </w:tcPr>
          <w:p w14:paraId="15F361E4" w14:textId="77777777" w:rsidR="008878A0" w:rsidRPr="001838EE" w:rsidRDefault="008878A0" w:rsidP="001838EE">
            <w:pPr>
              <w:spacing w:after="0"/>
              <w:rPr>
                <w:rFonts w:eastAsia="ArialNarrow"/>
                <w:b/>
                <w:bCs/>
                <w:szCs w:val="18"/>
              </w:rPr>
            </w:pPr>
            <w:r w:rsidRPr="001838EE">
              <w:rPr>
                <w:szCs w:val="18"/>
              </w:rPr>
              <w:t>Franjevački samostan i Crkva sv. Katarine</w:t>
            </w:r>
          </w:p>
        </w:tc>
        <w:tc>
          <w:tcPr>
            <w:tcW w:w="0" w:type="auto"/>
            <w:vMerge/>
            <w:vAlign w:val="center"/>
            <w:hideMark/>
          </w:tcPr>
          <w:p w14:paraId="34FF22A6" w14:textId="77777777" w:rsidR="008878A0" w:rsidRPr="001838EE" w:rsidRDefault="008878A0" w:rsidP="001838EE">
            <w:pPr>
              <w:spacing w:after="0"/>
              <w:rPr>
                <w:rFonts w:eastAsia="ArialNarrow"/>
                <w:b/>
                <w:bCs/>
                <w:szCs w:val="18"/>
              </w:rPr>
            </w:pPr>
          </w:p>
        </w:tc>
      </w:tr>
      <w:tr w:rsidR="008878A0" w:rsidRPr="001838EE" w14:paraId="59BF210C" w14:textId="77777777" w:rsidTr="00F97293">
        <w:tc>
          <w:tcPr>
            <w:tcW w:w="3005" w:type="dxa"/>
            <w:hideMark/>
          </w:tcPr>
          <w:p w14:paraId="65701C66" w14:textId="77777777" w:rsidR="008878A0" w:rsidRPr="001838EE" w:rsidRDefault="008878A0" w:rsidP="001838EE">
            <w:pPr>
              <w:spacing w:after="0"/>
              <w:rPr>
                <w:b/>
                <w:bCs/>
                <w:szCs w:val="18"/>
              </w:rPr>
            </w:pPr>
            <w:r w:rsidRPr="001838EE">
              <w:rPr>
                <w:b/>
                <w:bCs/>
                <w:szCs w:val="18"/>
              </w:rPr>
              <w:t>Dvorac Sveti Križ Začretje</w:t>
            </w:r>
          </w:p>
        </w:tc>
        <w:tc>
          <w:tcPr>
            <w:tcW w:w="3005" w:type="dxa"/>
            <w:hideMark/>
          </w:tcPr>
          <w:p w14:paraId="18FE67FF" w14:textId="77777777" w:rsidR="008878A0" w:rsidRPr="001838EE" w:rsidRDefault="008878A0" w:rsidP="001838EE">
            <w:pPr>
              <w:spacing w:after="0"/>
              <w:rPr>
                <w:rFonts w:eastAsia="ArialNarrow"/>
                <w:b/>
                <w:bCs/>
                <w:szCs w:val="18"/>
              </w:rPr>
            </w:pPr>
            <w:r w:rsidRPr="001838EE">
              <w:rPr>
                <w:szCs w:val="18"/>
              </w:rPr>
              <w:t>Crkva sv. Nikole</w:t>
            </w:r>
          </w:p>
        </w:tc>
        <w:tc>
          <w:tcPr>
            <w:tcW w:w="0" w:type="auto"/>
            <w:vMerge/>
            <w:vAlign w:val="center"/>
            <w:hideMark/>
          </w:tcPr>
          <w:p w14:paraId="72E86D89" w14:textId="77777777" w:rsidR="008878A0" w:rsidRPr="001838EE" w:rsidRDefault="008878A0" w:rsidP="001838EE">
            <w:pPr>
              <w:spacing w:after="0"/>
              <w:rPr>
                <w:rFonts w:eastAsia="ArialNarrow"/>
                <w:b/>
                <w:bCs/>
                <w:szCs w:val="18"/>
              </w:rPr>
            </w:pPr>
          </w:p>
        </w:tc>
      </w:tr>
      <w:tr w:rsidR="008878A0" w:rsidRPr="001838EE" w14:paraId="45E3405A" w14:textId="77777777" w:rsidTr="00F97293">
        <w:tc>
          <w:tcPr>
            <w:tcW w:w="3005" w:type="dxa"/>
            <w:hideMark/>
          </w:tcPr>
          <w:p w14:paraId="1463A201" w14:textId="77777777" w:rsidR="008878A0" w:rsidRPr="001838EE" w:rsidRDefault="008878A0" w:rsidP="001838EE">
            <w:pPr>
              <w:spacing w:after="0"/>
              <w:rPr>
                <w:b/>
                <w:bCs/>
                <w:szCs w:val="18"/>
              </w:rPr>
            </w:pPr>
            <w:r w:rsidRPr="001838EE">
              <w:rPr>
                <w:b/>
                <w:bCs/>
                <w:szCs w:val="18"/>
              </w:rPr>
              <w:t>Muzej Ljudevita Gaja</w:t>
            </w:r>
          </w:p>
        </w:tc>
        <w:tc>
          <w:tcPr>
            <w:tcW w:w="3005" w:type="dxa"/>
            <w:vMerge w:val="restart"/>
            <w:hideMark/>
          </w:tcPr>
          <w:p w14:paraId="4D4AAF45" w14:textId="77777777" w:rsidR="008878A0" w:rsidRPr="001838EE" w:rsidRDefault="008878A0" w:rsidP="001838EE">
            <w:pPr>
              <w:spacing w:after="0"/>
              <w:rPr>
                <w:rFonts w:eastAsia="ArialNarrow"/>
                <w:b/>
                <w:bCs/>
                <w:szCs w:val="18"/>
              </w:rPr>
            </w:pPr>
            <w:r w:rsidRPr="001838EE">
              <w:rPr>
                <w:szCs w:val="18"/>
              </w:rPr>
              <w:t>Crkva Uznesenje Blažene Djevice Marije Tuhelj</w:t>
            </w:r>
          </w:p>
        </w:tc>
        <w:tc>
          <w:tcPr>
            <w:tcW w:w="0" w:type="auto"/>
            <w:vMerge/>
            <w:vAlign w:val="center"/>
            <w:hideMark/>
          </w:tcPr>
          <w:p w14:paraId="4532B8AB" w14:textId="77777777" w:rsidR="008878A0" w:rsidRPr="001838EE" w:rsidRDefault="008878A0" w:rsidP="001838EE">
            <w:pPr>
              <w:spacing w:after="0"/>
              <w:rPr>
                <w:rFonts w:eastAsia="ArialNarrow"/>
                <w:b/>
                <w:bCs/>
                <w:szCs w:val="18"/>
              </w:rPr>
            </w:pPr>
          </w:p>
        </w:tc>
      </w:tr>
      <w:tr w:rsidR="008878A0" w:rsidRPr="001838EE" w14:paraId="58FE7ED2" w14:textId="77777777" w:rsidTr="00F97293">
        <w:tc>
          <w:tcPr>
            <w:tcW w:w="3005" w:type="dxa"/>
            <w:hideMark/>
          </w:tcPr>
          <w:p w14:paraId="3A289A6E" w14:textId="77777777" w:rsidR="008878A0" w:rsidRPr="001838EE" w:rsidRDefault="008878A0" w:rsidP="001838EE">
            <w:pPr>
              <w:spacing w:after="0"/>
              <w:rPr>
                <w:b/>
                <w:bCs/>
                <w:szCs w:val="18"/>
              </w:rPr>
            </w:pPr>
            <w:r w:rsidRPr="001838EE">
              <w:rPr>
                <w:b/>
                <w:bCs/>
                <w:szCs w:val="18"/>
              </w:rPr>
              <w:t>Muzej Grada Pregrade Zlatko Dragutin Tudjina</w:t>
            </w:r>
          </w:p>
        </w:tc>
        <w:tc>
          <w:tcPr>
            <w:tcW w:w="0" w:type="auto"/>
            <w:vMerge/>
            <w:vAlign w:val="center"/>
            <w:hideMark/>
          </w:tcPr>
          <w:p w14:paraId="42B950B7" w14:textId="77777777" w:rsidR="008878A0" w:rsidRPr="001838EE" w:rsidRDefault="008878A0" w:rsidP="001838EE">
            <w:pPr>
              <w:spacing w:after="0"/>
              <w:rPr>
                <w:rFonts w:eastAsia="ArialNarrow"/>
                <w:b/>
                <w:bCs/>
                <w:szCs w:val="18"/>
              </w:rPr>
            </w:pPr>
          </w:p>
        </w:tc>
        <w:tc>
          <w:tcPr>
            <w:tcW w:w="0" w:type="auto"/>
            <w:vMerge/>
            <w:vAlign w:val="center"/>
            <w:hideMark/>
          </w:tcPr>
          <w:p w14:paraId="5A5A65C1" w14:textId="77777777" w:rsidR="008878A0" w:rsidRPr="001838EE" w:rsidRDefault="008878A0" w:rsidP="001838EE">
            <w:pPr>
              <w:spacing w:after="0"/>
              <w:rPr>
                <w:rFonts w:eastAsia="ArialNarrow"/>
                <w:b/>
                <w:bCs/>
                <w:szCs w:val="18"/>
              </w:rPr>
            </w:pPr>
          </w:p>
        </w:tc>
      </w:tr>
      <w:tr w:rsidR="008878A0" w:rsidRPr="001838EE" w14:paraId="1A67EDA6" w14:textId="77777777" w:rsidTr="00F97293">
        <w:tc>
          <w:tcPr>
            <w:tcW w:w="3005" w:type="dxa"/>
            <w:hideMark/>
          </w:tcPr>
          <w:p w14:paraId="365412BC" w14:textId="77777777" w:rsidR="008878A0" w:rsidRPr="001838EE" w:rsidRDefault="008878A0" w:rsidP="001838EE">
            <w:pPr>
              <w:spacing w:after="0"/>
              <w:rPr>
                <w:b/>
                <w:bCs/>
                <w:szCs w:val="18"/>
              </w:rPr>
            </w:pPr>
            <w:r w:rsidRPr="001838EE">
              <w:rPr>
                <w:b/>
                <w:bCs/>
                <w:szCs w:val="18"/>
              </w:rPr>
              <w:t>Dvorac Stubički Golubovec</w:t>
            </w:r>
          </w:p>
        </w:tc>
        <w:tc>
          <w:tcPr>
            <w:tcW w:w="0" w:type="auto"/>
            <w:vMerge/>
            <w:vAlign w:val="center"/>
            <w:hideMark/>
          </w:tcPr>
          <w:p w14:paraId="525F84F9" w14:textId="77777777" w:rsidR="008878A0" w:rsidRPr="001838EE" w:rsidRDefault="008878A0" w:rsidP="001838EE">
            <w:pPr>
              <w:spacing w:after="0"/>
              <w:rPr>
                <w:rFonts w:eastAsia="ArialNarrow"/>
                <w:b/>
                <w:bCs/>
                <w:szCs w:val="18"/>
              </w:rPr>
            </w:pPr>
          </w:p>
        </w:tc>
        <w:tc>
          <w:tcPr>
            <w:tcW w:w="0" w:type="auto"/>
            <w:vMerge/>
            <w:vAlign w:val="center"/>
            <w:hideMark/>
          </w:tcPr>
          <w:p w14:paraId="357D13A8" w14:textId="77777777" w:rsidR="008878A0" w:rsidRPr="001838EE" w:rsidRDefault="008878A0" w:rsidP="001838EE">
            <w:pPr>
              <w:spacing w:after="0"/>
              <w:rPr>
                <w:rFonts w:eastAsia="ArialNarrow"/>
                <w:b/>
                <w:bCs/>
                <w:szCs w:val="18"/>
              </w:rPr>
            </w:pPr>
          </w:p>
        </w:tc>
      </w:tr>
      <w:tr w:rsidR="008878A0" w:rsidRPr="001838EE" w14:paraId="7F5FB4A5" w14:textId="77777777" w:rsidTr="00F97293">
        <w:tc>
          <w:tcPr>
            <w:tcW w:w="3005" w:type="dxa"/>
            <w:hideMark/>
          </w:tcPr>
          <w:p w14:paraId="2014B613" w14:textId="77777777" w:rsidR="008878A0" w:rsidRPr="001838EE" w:rsidRDefault="008878A0" w:rsidP="001838EE">
            <w:pPr>
              <w:spacing w:after="0"/>
              <w:rPr>
                <w:b/>
                <w:bCs/>
                <w:szCs w:val="18"/>
              </w:rPr>
            </w:pPr>
            <w:r w:rsidRPr="001838EE">
              <w:rPr>
                <w:b/>
                <w:bCs/>
                <w:szCs w:val="18"/>
              </w:rPr>
              <w:t>Stari grad Krapina</w:t>
            </w:r>
          </w:p>
        </w:tc>
        <w:tc>
          <w:tcPr>
            <w:tcW w:w="0" w:type="auto"/>
            <w:vMerge/>
            <w:vAlign w:val="center"/>
            <w:hideMark/>
          </w:tcPr>
          <w:p w14:paraId="5599B64A" w14:textId="77777777" w:rsidR="008878A0" w:rsidRPr="001838EE" w:rsidRDefault="008878A0" w:rsidP="001838EE">
            <w:pPr>
              <w:spacing w:after="0"/>
              <w:rPr>
                <w:rFonts w:eastAsia="ArialNarrow"/>
                <w:b/>
                <w:bCs/>
                <w:szCs w:val="18"/>
              </w:rPr>
            </w:pPr>
          </w:p>
        </w:tc>
        <w:tc>
          <w:tcPr>
            <w:tcW w:w="0" w:type="auto"/>
            <w:vMerge/>
            <w:vAlign w:val="center"/>
            <w:hideMark/>
          </w:tcPr>
          <w:p w14:paraId="04F3285A" w14:textId="77777777" w:rsidR="008878A0" w:rsidRPr="001838EE" w:rsidRDefault="008878A0" w:rsidP="001838EE">
            <w:pPr>
              <w:spacing w:after="0"/>
              <w:rPr>
                <w:rFonts w:eastAsia="ArialNarrow"/>
                <w:b/>
                <w:bCs/>
                <w:szCs w:val="18"/>
              </w:rPr>
            </w:pPr>
          </w:p>
        </w:tc>
      </w:tr>
      <w:tr w:rsidR="008878A0" w:rsidRPr="001838EE" w14:paraId="12D23E2C" w14:textId="77777777" w:rsidTr="00F97293">
        <w:tc>
          <w:tcPr>
            <w:tcW w:w="3005" w:type="dxa"/>
            <w:hideMark/>
          </w:tcPr>
          <w:p w14:paraId="15A227BD" w14:textId="77777777" w:rsidR="008878A0" w:rsidRPr="001838EE" w:rsidRDefault="008878A0" w:rsidP="001838EE">
            <w:pPr>
              <w:spacing w:after="0"/>
              <w:rPr>
                <w:b/>
                <w:bCs/>
                <w:szCs w:val="18"/>
              </w:rPr>
            </w:pPr>
            <w:r w:rsidRPr="001838EE">
              <w:rPr>
                <w:b/>
                <w:bCs/>
                <w:szCs w:val="18"/>
              </w:rPr>
              <w:t>Muzej Žitnica</w:t>
            </w:r>
          </w:p>
        </w:tc>
        <w:tc>
          <w:tcPr>
            <w:tcW w:w="0" w:type="auto"/>
            <w:vMerge/>
            <w:vAlign w:val="center"/>
            <w:hideMark/>
          </w:tcPr>
          <w:p w14:paraId="08DB32A3" w14:textId="77777777" w:rsidR="008878A0" w:rsidRPr="001838EE" w:rsidRDefault="008878A0" w:rsidP="001838EE">
            <w:pPr>
              <w:spacing w:after="0"/>
              <w:rPr>
                <w:rFonts w:eastAsia="ArialNarrow"/>
                <w:b/>
                <w:bCs/>
                <w:szCs w:val="18"/>
              </w:rPr>
            </w:pPr>
          </w:p>
        </w:tc>
        <w:tc>
          <w:tcPr>
            <w:tcW w:w="0" w:type="auto"/>
            <w:vMerge/>
            <w:vAlign w:val="center"/>
            <w:hideMark/>
          </w:tcPr>
          <w:p w14:paraId="5C325ACC" w14:textId="77777777" w:rsidR="008878A0" w:rsidRPr="001838EE" w:rsidRDefault="008878A0" w:rsidP="001838EE">
            <w:pPr>
              <w:spacing w:after="0"/>
              <w:rPr>
                <w:rFonts w:eastAsia="ArialNarrow"/>
                <w:b/>
                <w:bCs/>
                <w:szCs w:val="18"/>
              </w:rPr>
            </w:pPr>
          </w:p>
        </w:tc>
      </w:tr>
      <w:tr w:rsidR="008878A0" w:rsidRPr="001838EE" w14:paraId="29F547C1" w14:textId="77777777" w:rsidTr="00F97293">
        <w:tc>
          <w:tcPr>
            <w:tcW w:w="3005" w:type="dxa"/>
            <w:hideMark/>
          </w:tcPr>
          <w:p w14:paraId="26A7CD57" w14:textId="77777777" w:rsidR="008878A0" w:rsidRPr="001838EE" w:rsidRDefault="008878A0" w:rsidP="001838EE">
            <w:pPr>
              <w:spacing w:after="0"/>
              <w:rPr>
                <w:b/>
                <w:bCs/>
                <w:szCs w:val="18"/>
              </w:rPr>
            </w:pPr>
            <w:r w:rsidRPr="001838EE">
              <w:rPr>
                <w:b/>
                <w:bCs/>
                <w:szCs w:val="18"/>
              </w:rPr>
              <w:t>Galerija grada Krapine</w:t>
            </w:r>
          </w:p>
        </w:tc>
        <w:tc>
          <w:tcPr>
            <w:tcW w:w="0" w:type="auto"/>
            <w:vMerge/>
            <w:vAlign w:val="center"/>
            <w:hideMark/>
          </w:tcPr>
          <w:p w14:paraId="0E7D54A8" w14:textId="77777777" w:rsidR="008878A0" w:rsidRPr="001838EE" w:rsidRDefault="008878A0" w:rsidP="001838EE">
            <w:pPr>
              <w:spacing w:after="0"/>
              <w:rPr>
                <w:rFonts w:eastAsia="ArialNarrow"/>
                <w:b/>
                <w:bCs/>
                <w:szCs w:val="18"/>
              </w:rPr>
            </w:pPr>
          </w:p>
        </w:tc>
        <w:tc>
          <w:tcPr>
            <w:tcW w:w="0" w:type="auto"/>
            <w:vMerge/>
            <w:vAlign w:val="center"/>
            <w:hideMark/>
          </w:tcPr>
          <w:p w14:paraId="79256088" w14:textId="77777777" w:rsidR="008878A0" w:rsidRPr="001838EE" w:rsidRDefault="008878A0" w:rsidP="001838EE">
            <w:pPr>
              <w:spacing w:after="0"/>
              <w:rPr>
                <w:rFonts w:eastAsia="ArialNarrow"/>
                <w:b/>
                <w:bCs/>
                <w:szCs w:val="18"/>
              </w:rPr>
            </w:pPr>
          </w:p>
        </w:tc>
      </w:tr>
    </w:tbl>
    <w:p w14:paraId="41CE84D0" w14:textId="721251A6" w:rsidR="008878A0" w:rsidRDefault="008878A0" w:rsidP="0035368C">
      <w:pPr>
        <w:autoSpaceDE w:val="0"/>
        <w:autoSpaceDN w:val="0"/>
        <w:adjustRightInd w:val="0"/>
        <w:spacing w:after="0" w:line="240" w:lineRule="auto"/>
      </w:pPr>
      <w:r w:rsidRPr="0035368C">
        <w:rPr>
          <w:rFonts w:eastAsia="ArialNarrow" w:cstheme="minorHAnsi"/>
          <w:i/>
          <w:color w:val="ABABAB" w:themeColor="text1" w:themeTint="A6"/>
          <w:sz w:val="16"/>
          <w:szCs w:val="16"/>
        </w:rPr>
        <w:t>Izvor: Turistička zajednica Krapinsko-zagorske županije, 20</w:t>
      </w:r>
      <w:r w:rsidR="000A232E">
        <w:rPr>
          <w:rFonts w:eastAsia="ArialNarrow" w:cstheme="minorHAnsi"/>
          <w:i/>
          <w:color w:val="ABABAB" w:themeColor="text1" w:themeTint="A6"/>
          <w:sz w:val="16"/>
          <w:szCs w:val="16"/>
        </w:rPr>
        <w:t>20</w:t>
      </w:r>
      <w:r w:rsidRPr="0035368C">
        <w:rPr>
          <w:rFonts w:eastAsia="ArialNarrow" w:cstheme="minorHAnsi"/>
          <w:i/>
          <w:color w:val="ABABAB" w:themeColor="text1" w:themeTint="A6"/>
          <w:sz w:val="16"/>
          <w:szCs w:val="16"/>
        </w:rPr>
        <w:t>. godina</w:t>
      </w:r>
    </w:p>
    <w:p w14:paraId="06520A46" w14:textId="77777777" w:rsidR="001838EE" w:rsidRDefault="001838EE" w:rsidP="000F53D0">
      <w:pPr>
        <w:rPr>
          <w:rFonts w:eastAsia="ArialNarrow"/>
        </w:rPr>
      </w:pPr>
    </w:p>
    <w:p w14:paraId="23857E2B" w14:textId="6EAEB0B0" w:rsidR="008878A0" w:rsidRDefault="008878A0" w:rsidP="000F53D0">
      <w:pPr>
        <w:rPr>
          <w:rFonts w:eastAsia="ArialNarrow"/>
        </w:rPr>
      </w:pPr>
      <w:r>
        <w:rPr>
          <w:rFonts w:eastAsia="ArialNarrow"/>
        </w:rPr>
        <w:t xml:space="preserve">Uz gore navedene, prema procjeni TZKZŽ potencijal za uključivanje u turističku ponudu kulturnog turizma na županijskoj razini imaju i srednjovjekovna utvrda Stari grad – Milengrad, mauzolej Jakoba Badla u Krapinskim Toplicama, Zavičajna zbirka – Muzej himni u Klanjcu, mauzolej Halper-Radić u Krapini, Betlehemska špilja u Stubičkim toplicama te brojna arheološka nalazišta: Hanžekova špilja u Belcu kod Zlatara, Ravno Brezje - Kumrovec (prapovijesni arheološki lokalitet), Špičak (Zagorska Sela), arheološko nalazište „Stari grad“  u Donjoj Stubici (Tahyev grad), brdo Zašat u Krapinskim Toplicama (kasno brončano doba), nalazište fosila školjaka u Zaboku, nalazište fosila vinove loze u Radoboju te arheološko nalazište kod Crkve Majke Božje Gorske u Loboru. Prirodna i kulturna baština rudnika (rudnik sumpora u Radoboju te rudnik ugljena u Pregradi) kao i kamenolom </w:t>
      </w:r>
      <w:r w:rsidR="004217AF">
        <w:rPr>
          <w:rFonts w:eastAsia="ArialNarrow"/>
        </w:rPr>
        <w:t>T</w:t>
      </w:r>
      <w:r>
        <w:rPr>
          <w:rFonts w:eastAsia="ArialNarrow"/>
        </w:rPr>
        <w:t>ufa u Donjem Jesenju također predstavljaju potencijalne turističke atrak</w:t>
      </w:r>
      <w:r w:rsidR="004217AF">
        <w:rPr>
          <w:rFonts w:eastAsia="ArialNarrow"/>
        </w:rPr>
        <w:t>cije</w:t>
      </w:r>
      <w:r>
        <w:rPr>
          <w:rFonts w:eastAsia="ArialNarrow"/>
        </w:rPr>
        <w:t>.</w:t>
      </w:r>
    </w:p>
    <w:p w14:paraId="3D028820" w14:textId="77777777" w:rsidR="008878A0" w:rsidRDefault="008878A0" w:rsidP="000F53D0">
      <w:pPr>
        <w:rPr>
          <w:rFonts w:eastAsia="ArialNarrow"/>
        </w:rPr>
      </w:pPr>
      <w:r>
        <w:rPr>
          <w:rFonts w:eastAsia="ArialNarrow"/>
        </w:rPr>
        <w:t xml:space="preserve">Sukladno </w:t>
      </w:r>
      <w:r>
        <w:rPr>
          <w:rFonts w:eastAsia="ArialNarrow"/>
          <w:i/>
          <w:iCs/>
        </w:rPr>
        <w:t>Registru kulturnih dobara Republike Hrvatske</w:t>
      </w:r>
      <w:r>
        <w:rPr>
          <w:rFonts w:eastAsia="ArialNarrow"/>
        </w:rPr>
        <w:t>, u Krapinsko-zagorskoj županiji zaštićeno je ili preventivno zaštićeno ukupno 214 materijalnih i nematerijalnih kulturnih dobara. Detaljna analiza sukladno kategorizaciji prikazana je u tabeli niže.</w:t>
      </w:r>
    </w:p>
    <w:p w14:paraId="252D000E" w14:textId="77777777" w:rsidR="008878A0" w:rsidRDefault="008878A0" w:rsidP="00941871">
      <w:pPr>
        <w:rPr>
          <w:rFonts w:ascii="Calibri" w:eastAsia="ArialNarrow" w:hAnsi="Calibri" w:cs="Calibri"/>
        </w:rPr>
      </w:pPr>
    </w:p>
    <w:p w14:paraId="70FE4A32" w14:textId="0A6C8BF0" w:rsidR="001838EE" w:rsidRDefault="001838EE" w:rsidP="003E3F3C">
      <w:pPr>
        <w:pStyle w:val="Opisslike"/>
      </w:pPr>
      <w:r>
        <w:t>Tablica</w:t>
      </w:r>
      <w:r w:rsidR="0035368C">
        <w:t xml:space="preserve"> </w:t>
      </w:r>
      <w:r w:rsidR="0018019C">
        <w:t>1</w:t>
      </w:r>
      <w:r w:rsidR="00A7185B">
        <w:t>10</w:t>
      </w:r>
      <w:r>
        <w:t xml:space="preserve">. </w:t>
      </w:r>
      <w:r w:rsidRPr="00100ED0">
        <w:t>Kategorizacija zaštićene kulturne baštine, 20</w:t>
      </w:r>
      <w:r w:rsidR="002A717E">
        <w:t>20</w:t>
      </w:r>
      <w:r w:rsidRPr="00100ED0">
        <w:t>. godina</w:t>
      </w:r>
    </w:p>
    <w:tbl>
      <w:tblPr>
        <w:tblW w:w="0" w:type="auto"/>
        <w:tblLook w:val="04A0" w:firstRow="1" w:lastRow="0" w:firstColumn="1" w:lastColumn="0" w:noHBand="0" w:noVBand="1"/>
      </w:tblPr>
      <w:tblGrid>
        <w:gridCol w:w="7088"/>
        <w:gridCol w:w="2116"/>
      </w:tblGrid>
      <w:tr w:rsidR="008878A0" w14:paraId="0A7096CE" w14:textId="77777777" w:rsidTr="002A717E">
        <w:trPr>
          <w:trHeight w:val="283"/>
        </w:trPr>
        <w:tc>
          <w:tcPr>
            <w:tcW w:w="7088" w:type="dxa"/>
            <w:tcBorders>
              <w:left w:val="single" w:sz="8" w:space="0" w:color="D2232A"/>
            </w:tcBorders>
            <w:shd w:val="clear" w:color="auto" w:fill="D2232A" w:themeFill="accent1"/>
            <w:hideMark/>
          </w:tcPr>
          <w:p w14:paraId="0CB1EFE2" w14:textId="77777777" w:rsidR="008878A0" w:rsidRPr="000F53D0" w:rsidRDefault="008878A0" w:rsidP="001838EE">
            <w:pPr>
              <w:spacing w:after="0"/>
              <w:rPr>
                <w:rFonts w:eastAsia="ArialNarrow"/>
                <w:color w:val="FFFFFF" w:themeColor="background1"/>
              </w:rPr>
            </w:pPr>
            <w:r w:rsidRPr="000F53D0">
              <w:rPr>
                <w:rFonts w:eastAsia="ArialNarrow"/>
                <w:color w:val="FFFFFF" w:themeColor="background1"/>
              </w:rPr>
              <w:t>Vrsta zaštite</w:t>
            </w:r>
          </w:p>
        </w:tc>
        <w:tc>
          <w:tcPr>
            <w:tcW w:w="2116" w:type="dxa"/>
            <w:tcBorders>
              <w:right w:val="single" w:sz="8" w:space="0" w:color="D2232A"/>
            </w:tcBorders>
            <w:shd w:val="clear" w:color="auto" w:fill="D2232A" w:themeFill="accent1"/>
            <w:hideMark/>
          </w:tcPr>
          <w:p w14:paraId="214C62A2" w14:textId="77777777" w:rsidR="008878A0" w:rsidRPr="000F53D0" w:rsidRDefault="008878A0" w:rsidP="001838EE">
            <w:pPr>
              <w:spacing w:after="0"/>
              <w:jc w:val="right"/>
              <w:rPr>
                <w:rFonts w:eastAsia="ArialNarrow"/>
                <w:color w:val="FFFFFF" w:themeColor="background1"/>
              </w:rPr>
            </w:pPr>
            <w:r w:rsidRPr="000F53D0">
              <w:rPr>
                <w:rFonts w:eastAsia="ArialNarrow"/>
                <w:color w:val="FFFFFF" w:themeColor="background1"/>
              </w:rPr>
              <w:t>Broj</w:t>
            </w:r>
          </w:p>
        </w:tc>
      </w:tr>
      <w:tr w:rsidR="008878A0" w14:paraId="1C5417EF" w14:textId="77777777" w:rsidTr="002A717E">
        <w:trPr>
          <w:trHeight w:val="283"/>
        </w:trPr>
        <w:tc>
          <w:tcPr>
            <w:tcW w:w="7088" w:type="dxa"/>
            <w:tcBorders>
              <w:left w:val="single" w:sz="8" w:space="0" w:color="D2232A"/>
              <w:bottom w:val="single" w:sz="8" w:space="0" w:color="F3CFC1"/>
              <w:right w:val="single" w:sz="8" w:space="0" w:color="D2232A"/>
            </w:tcBorders>
            <w:hideMark/>
          </w:tcPr>
          <w:p w14:paraId="1C5607EC" w14:textId="77777777" w:rsidR="008878A0" w:rsidRDefault="008878A0" w:rsidP="001838EE">
            <w:pPr>
              <w:spacing w:after="0"/>
              <w:rPr>
                <w:rFonts w:eastAsia="ArialNarrow"/>
                <w:color w:val="auto"/>
              </w:rPr>
            </w:pPr>
            <w:r>
              <w:rPr>
                <w:rFonts w:eastAsia="ArialNarrow"/>
                <w:b/>
                <w:bCs/>
              </w:rPr>
              <w:t>Nepokretno kulturno dobro – pojedinačno</w:t>
            </w:r>
          </w:p>
        </w:tc>
        <w:tc>
          <w:tcPr>
            <w:tcW w:w="2116" w:type="dxa"/>
            <w:tcBorders>
              <w:left w:val="single" w:sz="8" w:space="0" w:color="D2232A"/>
              <w:bottom w:val="single" w:sz="8" w:space="0" w:color="F3CFC1"/>
              <w:right w:val="single" w:sz="8" w:space="0" w:color="D2232A"/>
            </w:tcBorders>
            <w:hideMark/>
          </w:tcPr>
          <w:p w14:paraId="2B7AAD38" w14:textId="5F62F73F" w:rsidR="008878A0" w:rsidRDefault="008878A0" w:rsidP="001838EE">
            <w:pPr>
              <w:spacing w:after="0"/>
              <w:jc w:val="right"/>
              <w:rPr>
                <w:rFonts w:eastAsia="ArialNarrow"/>
              </w:rPr>
            </w:pPr>
            <w:r>
              <w:rPr>
                <w:rFonts w:eastAsia="ArialNarrow"/>
              </w:rPr>
              <w:t>1</w:t>
            </w:r>
            <w:r w:rsidR="002A717E">
              <w:rPr>
                <w:rFonts w:eastAsia="ArialNarrow"/>
              </w:rPr>
              <w:t>69</w:t>
            </w:r>
          </w:p>
        </w:tc>
      </w:tr>
      <w:tr w:rsidR="008878A0" w14:paraId="06A6898D" w14:textId="77777777" w:rsidTr="002A717E">
        <w:trPr>
          <w:trHeight w:val="283"/>
        </w:trPr>
        <w:tc>
          <w:tcPr>
            <w:tcW w:w="7088" w:type="dxa"/>
            <w:tcBorders>
              <w:top w:val="single" w:sz="8" w:space="0" w:color="F3CFC1"/>
              <w:left w:val="single" w:sz="8" w:space="0" w:color="D2232A"/>
              <w:bottom w:val="single" w:sz="8" w:space="0" w:color="F3CFC1"/>
              <w:right w:val="single" w:sz="8" w:space="0" w:color="D2232A"/>
            </w:tcBorders>
            <w:hideMark/>
          </w:tcPr>
          <w:p w14:paraId="6126F673" w14:textId="77777777" w:rsidR="008878A0" w:rsidRDefault="008878A0" w:rsidP="001838EE">
            <w:pPr>
              <w:spacing w:after="0"/>
              <w:rPr>
                <w:rFonts w:eastAsia="ArialNarrow"/>
              </w:rPr>
            </w:pPr>
            <w:r>
              <w:rPr>
                <w:rFonts w:eastAsia="ArialNarrow"/>
                <w:b/>
                <w:bCs/>
              </w:rPr>
              <w:t>Nepokretno kulturno dobro – kulturno-povijesna cjelina</w:t>
            </w:r>
          </w:p>
        </w:tc>
        <w:tc>
          <w:tcPr>
            <w:tcW w:w="2116" w:type="dxa"/>
            <w:tcBorders>
              <w:top w:val="single" w:sz="8" w:space="0" w:color="F3CFC1"/>
              <w:left w:val="single" w:sz="8" w:space="0" w:color="D2232A"/>
              <w:bottom w:val="single" w:sz="8" w:space="0" w:color="F3CFC1"/>
              <w:right w:val="single" w:sz="8" w:space="0" w:color="D2232A"/>
            </w:tcBorders>
            <w:hideMark/>
          </w:tcPr>
          <w:p w14:paraId="2EC996AF" w14:textId="02E738BC" w:rsidR="008878A0" w:rsidRDefault="008878A0" w:rsidP="001838EE">
            <w:pPr>
              <w:spacing w:after="0"/>
              <w:jc w:val="right"/>
              <w:rPr>
                <w:rFonts w:eastAsia="ArialNarrow"/>
              </w:rPr>
            </w:pPr>
            <w:r>
              <w:rPr>
                <w:rFonts w:eastAsia="ArialNarrow"/>
              </w:rPr>
              <w:t>1</w:t>
            </w:r>
            <w:r w:rsidR="002A717E">
              <w:rPr>
                <w:rFonts w:eastAsia="ArialNarrow"/>
              </w:rPr>
              <w:t>2</w:t>
            </w:r>
          </w:p>
        </w:tc>
      </w:tr>
      <w:tr w:rsidR="008878A0" w14:paraId="1119FD62" w14:textId="77777777" w:rsidTr="002A717E">
        <w:trPr>
          <w:trHeight w:val="283"/>
        </w:trPr>
        <w:tc>
          <w:tcPr>
            <w:tcW w:w="7088" w:type="dxa"/>
            <w:tcBorders>
              <w:top w:val="single" w:sz="8" w:space="0" w:color="F3CFC1"/>
              <w:left w:val="single" w:sz="8" w:space="0" w:color="D2232A"/>
              <w:bottom w:val="single" w:sz="8" w:space="0" w:color="F3CFC1"/>
              <w:right w:val="single" w:sz="8" w:space="0" w:color="D2232A"/>
            </w:tcBorders>
            <w:hideMark/>
          </w:tcPr>
          <w:p w14:paraId="3DF78EC2" w14:textId="77777777" w:rsidR="008878A0" w:rsidRDefault="008878A0" w:rsidP="001838EE">
            <w:pPr>
              <w:spacing w:after="0"/>
              <w:rPr>
                <w:rFonts w:eastAsia="ArialNarrow"/>
              </w:rPr>
            </w:pPr>
            <w:r>
              <w:rPr>
                <w:rFonts w:eastAsia="ArialNarrow"/>
                <w:b/>
                <w:bCs/>
              </w:rPr>
              <w:t>Nematerijalno kulturno dobro</w:t>
            </w:r>
          </w:p>
        </w:tc>
        <w:tc>
          <w:tcPr>
            <w:tcW w:w="2116" w:type="dxa"/>
            <w:tcBorders>
              <w:top w:val="single" w:sz="8" w:space="0" w:color="F3CFC1"/>
              <w:left w:val="single" w:sz="8" w:space="0" w:color="D2232A"/>
              <w:bottom w:val="single" w:sz="8" w:space="0" w:color="F3CFC1"/>
              <w:right w:val="single" w:sz="8" w:space="0" w:color="D2232A"/>
            </w:tcBorders>
            <w:hideMark/>
          </w:tcPr>
          <w:p w14:paraId="5D2C8C94" w14:textId="77777777" w:rsidR="008878A0" w:rsidRDefault="008878A0" w:rsidP="001838EE">
            <w:pPr>
              <w:spacing w:after="0"/>
              <w:jc w:val="right"/>
              <w:rPr>
                <w:rFonts w:eastAsia="ArialNarrow"/>
              </w:rPr>
            </w:pPr>
            <w:r>
              <w:rPr>
                <w:rFonts w:eastAsia="ArialNarrow"/>
              </w:rPr>
              <w:t>3</w:t>
            </w:r>
          </w:p>
        </w:tc>
      </w:tr>
      <w:tr w:rsidR="008878A0" w14:paraId="30CC8B61" w14:textId="77777777" w:rsidTr="002A717E">
        <w:trPr>
          <w:trHeight w:val="283"/>
        </w:trPr>
        <w:tc>
          <w:tcPr>
            <w:tcW w:w="7088" w:type="dxa"/>
            <w:tcBorders>
              <w:top w:val="single" w:sz="8" w:space="0" w:color="F3CFC1"/>
              <w:left w:val="single" w:sz="8" w:space="0" w:color="D2232A"/>
              <w:bottom w:val="single" w:sz="8" w:space="0" w:color="F3CFC1"/>
              <w:right w:val="single" w:sz="8" w:space="0" w:color="D2232A"/>
            </w:tcBorders>
            <w:hideMark/>
          </w:tcPr>
          <w:p w14:paraId="2D1A567E" w14:textId="77777777" w:rsidR="008878A0" w:rsidRDefault="008878A0" w:rsidP="001838EE">
            <w:pPr>
              <w:spacing w:after="0"/>
              <w:rPr>
                <w:rFonts w:eastAsia="ArialNarrow"/>
              </w:rPr>
            </w:pPr>
            <w:r>
              <w:rPr>
                <w:rFonts w:eastAsia="ArialNarrow"/>
                <w:b/>
                <w:bCs/>
              </w:rPr>
              <w:t>Pokretno kulturno dobro – muzejska građa</w:t>
            </w:r>
          </w:p>
        </w:tc>
        <w:tc>
          <w:tcPr>
            <w:tcW w:w="2116" w:type="dxa"/>
            <w:tcBorders>
              <w:top w:val="single" w:sz="8" w:space="0" w:color="F3CFC1"/>
              <w:left w:val="single" w:sz="8" w:space="0" w:color="D2232A"/>
              <w:bottom w:val="single" w:sz="8" w:space="0" w:color="F3CFC1"/>
              <w:right w:val="single" w:sz="8" w:space="0" w:color="D2232A"/>
            </w:tcBorders>
            <w:hideMark/>
          </w:tcPr>
          <w:p w14:paraId="6674FAF6" w14:textId="77777777" w:rsidR="008878A0" w:rsidRDefault="008878A0" w:rsidP="001838EE">
            <w:pPr>
              <w:spacing w:after="0"/>
              <w:jc w:val="right"/>
              <w:rPr>
                <w:rFonts w:eastAsia="ArialNarrow"/>
              </w:rPr>
            </w:pPr>
            <w:r>
              <w:rPr>
                <w:rFonts w:eastAsia="ArialNarrow"/>
              </w:rPr>
              <w:t>6</w:t>
            </w:r>
          </w:p>
        </w:tc>
      </w:tr>
      <w:tr w:rsidR="008878A0" w14:paraId="07B16785" w14:textId="77777777" w:rsidTr="002A717E">
        <w:trPr>
          <w:trHeight w:val="283"/>
        </w:trPr>
        <w:tc>
          <w:tcPr>
            <w:tcW w:w="7088" w:type="dxa"/>
            <w:tcBorders>
              <w:top w:val="single" w:sz="8" w:space="0" w:color="F3CFC1"/>
              <w:left w:val="single" w:sz="8" w:space="0" w:color="D2232A"/>
              <w:right w:val="single" w:sz="8" w:space="0" w:color="D2232A"/>
            </w:tcBorders>
            <w:hideMark/>
          </w:tcPr>
          <w:p w14:paraId="320BE42D" w14:textId="77777777" w:rsidR="008878A0" w:rsidRDefault="008878A0" w:rsidP="001838EE">
            <w:pPr>
              <w:spacing w:after="0"/>
              <w:rPr>
                <w:rFonts w:eastAsia="ArialNarrow"/>
              </w:rPr>
            </w:pPr>
            <w:r>
              <w:rPr>
                <w:rFonts w:eastAsia="ArialNarrow,Bold"/>
                <w:b/>
                <w:bCs/>
              </w:rPr>
              <w:t>Preventivno zaštićeno kulturno dobro: nepokretno kulturno dobro - pojedinačno</w:t>
            </w:r>
          </w:p>
        </w:tc>
        <w:tc>
          <w:tcPr>
            <w:tcW w:w="2116" w:type="dxa"/>
            <w:tcBorders>
              <w:top w:val="single" w:sz="8" w:space="0" w:color="F3CFC1"/>
              <w:left w:val="single" w:sz="8" w:space="0" w:color="D2232A"/>
              <w:right w:val="single" w:sz="8" w:space="0" w:color="D2232A"/>
            </w:tcBorders>
            <w:hideMark/>
          </w:tcPr>
          <w:p w14:paraId="0D3D6752" w14:textId="4B2C1932" w:rsidR="008878A0" w:rsidRDefault="008878A0" w:rsidP="001838EE">
            <w:pPr>
              <w:spacing w:after="0"/>
              <w:jc w:val="right"/>
              <w:rPr>
                <w:rFonts w:eastAsia="ArialNarrow"/>
              </w:rPr>
            </w:pPr>
            <w:r>
              <w:rPr>
                <w:rFonts w:eastAsia="ArialNarrow"/>
              </w:rPr>
              <w:t>1</w:t>
            </w:r>
            <w:r w:rsidR="002A717E">
              <w:rPr>
                <w:rFonts w:eastAsia="ArialNarrow"/>
              </w:rPr>
              <w:t>4</w:t>
            </w:r>
          </w:p>
        </w:tc>
      </w:tr>
    </w:tbl>
    <w:p w14:paraId="3BDD0BAB" w14:textId="01EDEA88" w:rsidR="008878A0" w:rsidRPr="0035368C" w:rsidRDefault="008878A0"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 xml:space="preserve">Izvor: Registar kulturnih dobara Republike Hrvatske (pristupljeno na dan </w:t>
      </w:r>
      <w:r w:rsidR="002A717E">
        <w:rPr>
          <w:rFonts w:eastAsia="ArialNarrow" w:cstheme="minorHAnsi"/>
          <w:i/>
          <w:color w:val="ABABAB" w:themeColor="text1" w:themeTint="A6"/>
          <w:sz w:val="16"/>
          <w:szCs w:val="16"/>
        </w:rPr>
        <w:t>18</w:t>
      </w:r>
      <w:r w:rsidRPr="0035368C">
        <w:rPr>
          <w:rFonts w:eastAsia="ArialNarrow" w:cstheme="minorHAnsi"/>
          <w:i/>
          <w:color w:val="ABABAB" w:themeColor="text1" w:themeTint="A6"/>
          <w:sz w:val="16"/>
          <w:szCs w:val="16"/>
        </w:rPr>
        <w:t>.</w:t>
      </w:r>
      <w:r w:rsidR="002A717E">
        <w:rPr>
          <w:rFonts w:eastAsia="ArialNarrow" w:cstheme="minorHAnsi"/>
          <w:i/>
          <w:color w:val="ABABAB" w:themeColor="text1" w:themeTint="A6"/>
          <w:sz w:val="16"/>
          <w:szCs w:val="16"/>
        </w:rPr>
        <w:t>02</w:t>
      </w:r>
      <w:r w:rsidRPr="0035368C">
        <w:rPr>
          <w:rFonts w:eastAsia="ArialNarrow" w:cstheme="minorHAnsi"/>
          <w:i/>
          <w:color w:val="ABABAB" w:themeColor="text1" w:themeTint="A6"/>
          <w:sz w:val="16"/>
          <w:szCs w:val="16"/>
        </w:rPr>
        <w:t>.20</w:t>
      </w:r>
      <w:r w:rsidR="002A717E">
        <w:rPr>
          <w:rFonts w:eastAsia="ArialNarrow" w:cstheme="minorHAnsi"/>
          <w:i/>
          <w:color w:val="ABABAB" w:themeColor="text1" w:themeTint="A6"/>
          <w:sz w:val="16"/>
          <w:szCs w:val="16"/>
        </w:rPr>
        <w:t>21</w:t>
      </w:r>
      <w:r w:rsidRPr="0035368C">
        <w:rPr>
          <w:rFonts w:eastAsia="ArialNarrow" w:cstheme="minorHAnsi"/>
          <w:i/>
          <w:color w:val="ABABAB" w:themeColor="text1" w:themeTint="A6"/>
          <w:sz w:val="16"/>
          <w:szCs w:val="16"/>
        </w:rPr>
        <w:t>.)</w:t>
      </w:r>
    </w:p>
    <w:p w14:paraId="2A157B5C" w14:textId="77777777" w:rsidR="008878A0" w:rsidRDefault="008878A0" w:rsidP="00941871">
      <w:pPr>
        <w:autoSpaceDE w:val="0"/>
        <w:autoSpaceDN w:val="0"/>
        <w:adjustRightInd w:val="0"/>
        <w:spacing w:after="0" w:line="240" w:lineRule="auto"/>
        <w:rPr>
          <w:rFonts w:ascii="Calibri" w:eastAsia="ArialNarrow" w:hAnsi="Calibri" w:cs="Calibri"/>
          <w:sz w:val="22"/>
          <w:szCs w:val="22"/>
        </w:rPr>
      </w:pPr>
    </w:p>
    <w:p w14:paraId="152A42E7" w14:textId="167E0742" w:rsidR="008878A0" w:rsidRDefault="008878A0" w:rsidP="000F53D0">
      <w:pPr>
        <w:rPr>
          <w:rFonts w:eastAsia="ArialNarrow"/>
        </w:rPr>
      </w:pPr>
      <w:r>
        <w:rPr>
          <w:rFonts w:eastAsia="ArialNarrow"/>
        </w:rPr>
        <w:t>Programima zaštite na nepokretnim kulturnim dobrima u 20</w:t>
      </w:r>
      <w:r w:rsidR="004C0AC7">
        <w:rPr>
          <w:rFonts w:eastAsia="ArialNarrow"/>
        </w:rPr>
        <w:t>20</w:t>
      </w:r>
      <w:r>
        <w:rPr>
          <w:rFonts w:eastAsia="ArialNarrow"/>
        </w:rPr>
        <w:t xml:space="preserve">. godini, za zaštitu kulturnih dobara na području KZŽ, Ministarstvo kulture je odobrilo </w:t>
      </w:r>
      <w:r w:rsidR="004C0AC7" w:rsidRPr="004C0AC7">
        <w:rPr>
          <w:rFonts w:eastAsia="ArialNarrow"/>
        </w:rPr>
        <w:t xml:space="preserve">3.103.000 kuna ili 6,1% </w:t>
      </w:r>
      <w:r>
        <w:rPr>
          <w:rFonts w:eastAsia="ArialNarrow"/>
        </w:rPr>
        <w:t xml:space="preserve">ukupne alokacije za ovu namjenu. </w:t>
      </w:r>
    </w:p>
    <w:p w14:paraId="1364CEE5" w14:textId="0EFFB826" w:rsidR="008878A0" w:rsidRDefault="008878A0" w:rsidP="000F53D0">
      <w:pPr>
        <w:rPr>
          <w:rFonts w:eastAsia="ArialNarrow"/>
        </w:rPr>
      </w:pPr>
      <w:r>
        <w:rPr>
          <w:rFonts w:eastAsia="ArialNarrow"/>
        </w:rPr>
        <w:t>Važno je napomenuti da su među 1</w:t>
      </w:r>
      <w:r w:rsidR="004C0AC7">
        <w:rPr>
          <w:rFonts w:eastAsia="ArialNarrow"/>
        </w:rPr>
        <w:t>5</w:t>
      </w:r>
      <w:r>
        <w:rPr>
          <w:rFonts w:eastAsia="ArialNarrow"/>
        </w:rPr>
        <w:t xml:space="preserve"> dobara iz Republike Hrvatske uvrštenih na UNESCO-vu </w:t>
      </w:r>
      <w:r>
        <w:rPr>
          <w:rFonts w:eastAsia="ArialNarrow"/>
          <w:i/>
          <w:iCs/>
        </w:rPr>
        <w:t xml:space="preserve">Reprezentativnu listu nematerijalne kulturne baštine čovječanstva </w:t>
      </w:r>
      <w:r>
        <w:rPr>
          <w:rFonts w:eastAsia="ArialNarrow"/>
        </w:rPr>
        <w:t>upisani umijeće izrade drvenih tradicijskih dječjih igračaka s područja Hrvatskog zagorja te medičarski obrt na području sjeverne Hrvatske.</w:t>
      </w:r>
    </w:p>
    <w:p w14:paraId="520DF5C1" w14:textId="497EFFBE" w:rsidR="008878A0" w:rsidRDefault="008878A0" w:rsidP="000F53D0">
      <w:pPr>
        <w:rPr>
          <w:rFonts w:eastAsia="ArialNarrow"/>
        </w:rPr>
      </w:pPr>
      <w:r>
        <w:rPr>
          <w:rFonts w:eastAsia="ArialNarrow"/>
        </w:rPr>
        <w:t xml:space="preserve">U periodu od 2011. do 2019. broj kulturnih dobara na listi preventivno zaštićenih dobara porastao je s 9 na 17. </w:t>
      </w:r>
      <w:r w:rsidR="004C0AC7" w:rsidRPr="004C0AC7">
        <w:rPr>
          <w:rFonts w:eastAsia="ArialNarrow"/>
        </w:rPr>
        <w:t xml:space="preserve">U 2020.godini taj se popis smanjio te sada brojmo ukupno 14 preventivno zaštićenih dobara. </w:t>
      </w:r>
      <w:r>
        <w:rPr>
          <w:rFonts w:eastAsia="ArialNarrow"/>
        </w:rPr>
        <w:t>Riječ je o privremenoj vrsti zaštite, a ista se briše ukoliko u zakonom definiranom roku nije utvrđeno svojstvo kulturnog</w:t>
      </w:r>
      <w:r w:rsidR="000E4A5D">
        <w:rPr>
          <w:rFonts w:eastAsia="ArialNarrow"/>
        </w:rPr>
        <w:t xml:space="preserve"> dobra. </w:t>
      </w:r>
      <w:r>
        <w:rPr>
          <w:rFonts w:eastAsia="ArialNarrow"/>
        </w:rPr>
        <w:t>Problem zaštite nepokretnih kulturnih dobara, posebno preventivno zaštićenih i evidentiranih koji se štite prostorno-planskom dokumentacijom, ogleda se u ne</w:t>
      </w:r>
      <w:r w:rsidR="004217AF">
        <w:rPr>
          <w:rFonts w:eastAsia="ArialNarrow"/>
        </w:rPr>
        <w:t xml:space="preserve"> </w:t>
      </w:r>
      <w:r>
        <w:rPr>
          <w:rFonts w:eastAsia="ArialNarrow"/>
        </w:rPr>
        <w:t>donošenju odluka o njihovoj zaštiti sukladno Zakonu o zaštiti i očuvanju kulturnih dobara, a imaoci kulturnih dobara često nisu upoznati o posjedu kulturnog dobra na lokalnoj razini. S obzirom da nema odluke o zaštiti kulturnog dobra, imaoci nisu upoznati s obvezama i pravima sukladno zakonskim propisima.</w:t>
      </w:r>
      <w:r w:rsidR="000E4A5D">
        <w:rPr>
          <w:rFonts w:eastAsia="ArialNarrow"/>
        </w:rPr>
        <w:t xml:space="preserve"> Z</w:t>
      </w:r>
      <w:r w:rsidR="008F637A">
        <w:rPr>
          <w:rFonts w:eastAsia="ArialNarrow"/>
        </w:rPr>
        <w:t>bog toga je upravljanje kulturnom baštinom otežano te se ista re</w:t>
      </w:r>
      <w:r w:rsidR="004217AF">
        <w:rPr>
          <w:rFonts w:eastAsia="ArialNarrow"/>
        </w:rPr>
        <w:t>l</w:t>
      </w:r>
      <w:r w:rsidR="008F637A">
        <w:rPr>
          <w:rFonts w:eastAsia="ArialNarrow"/>
        </w:rPr>
        <w:t>ativno slabo turistički valorizira.</w:t>
      </w:r>
    </w:p>
    <w:p w14:paraId="30FCA120" w14:textId="7DA47ED2" w:rsidR="008878A0" w:rsidRDefault="008878A0" w:rsidP="000F53D0">
      <w:pPr>
        <w:rPr>
          <w:rFonts w:eastAsia="ArialNarrow"/>
        </w:rPr>
      </w:pPr>
      <w:r>
        <w:rPr>
          <w:rFonts w:eastAsia="ArialNarrow"/>
        </w:rPr>
        <w:t xml:space="preserve">Kao podvrsta kulturnog turizma, eno-gastro-turizam u Krapinsko-zagorskoj županiji u Master-planu je prepoznat kao dodatna ponuda koja obogaćuje ostale turističke proizvode.  </w:t>
      </w:r>
      <w:r>
        <w:t>Zagorski vinari proizvode visokokvalitetna bijela vina traminac, sauvignon, rizling rajnski, pinot bijeli, pinot sivi, chardonnay, silvanac zeleni, muškat žuti, muškat bijeli te kvalitetna vina graševinu i moslavac. Od visokokvalitetnih crnih vina u Zagorju se proizvode pinot crni i cabernet sauvignon te kvalitetna crna vina frankovka, portugizac i zweig</w:t>
      </w:r>
      <w:r w:rsidR="009C0BFF">
        <w:t>el</w:t>
      </w:r>
      <w:r>
        <w:t xml:space="preserve">t. Proizvode se i nadaleko poznata predikatna i ledena vina. Tradicijska jela zagorski puran i zagorski mlinci </w:t>
      </w:r>
      <w:r>
        <w:lastRenderedPageBreak/>
        <w:t>nose oznaku zemljopisnog podrijetla na EU nivou, dok zagorski štrukli/zagorski štruklji nose prijelaznu nacionalnu zaštitu naziva, odnosno, zaštićenu oznaku zemljopisnog podrijetla. Bagrem med zagorskih brega dobio je oznaku izvrsnosti na nacionalnoj razini.</w:t>
      </w:r>
    </w:p>
    <w:p w14:paraId="0D7A520A" w14:textId="77777777" w:rsidR="00F97293" w:rsidRDefault="008878A0" w:rsidP="000F53D0">
      <w:pPr>
        <w:rPr>
          <w:rFonts w:eastAsia="ArialNarrow"/>
        </w:rPr>
      </w:pPr>
      <w:r>
        <w:rPr>
          <w:rFonts w:eastAsia="ArialNarrow"/>
        </w:rPr>
        <w:t>Aktiviranjem dvoraca u smještajne objekte podignuta je razina kvalitete smještajne ponude, ali je i napravljen iskorak u ponudi kulturnog turizma. Iako kulturni turizam u Master-planu nije definiran kao primaran turistički proizvod za KZŽ, revitalizacija dvoraca može biti pokretač kontinentalnog turizma. Za daljnji razvoj kulturnog turizma, sukladno preporukama iz Master-plana, potrebno je modernizirati prezentaciju povijesti i nasljeđa, izgraditi moderan posjetiteljski ili interpretacijski centar te na komercijalnoj osnovi uspostaviti sustav kulturno-turističkih tematskih događaja.</w:t>
      </w:r>
    </w:p>
    <w:p w14:paraId="26F80402" w14:textId="12882EDB" w:rsidR="008878A0" w:rsidRDefault="008878A0" w:rsidP="000F53D0">
      <w:pPr>
        <w:rPr>
          <w:rFonts w:eastAsia="ArialNarrow"/>
        </w:rPr>
      </w:pPr>
      <w:r>
        <w:rPr>
          <w:rFonts w:eastAsia="ArialNarrow"/>
        </w:rPr>
        <w:t>Istaknuta je i potreba za jačanjem suradnje kulturnog i turističkog sektora u razvoju proizvoda, promociji i prodaji, s obzirom na to da kulturnim turizmom u praksi upravljaju kulturne institucije.</w:t>
      </w:r>
    </w:p>
    <w:p w14:paraId="13BE89EF" w14:textId="77777777" w:rsidR="008878A0" w:rsidRDefault="008878A0" w:rsidP="00941871">
      <w:pPr>
        <w:autoSpaceDE w:val="0"/>
        <w:autoSpaceDN w:val="0"/>
        <w:adjustRightInd w:val="0"/>
        <w:spacing w:after="0" w:line="240" w:lineRule="auto"/>
        <w:rPr>
          <w:rFonts w:ascii="Calibri" w:eastAsia="ArialNarrow" w:hAnsi="Calibri" w:cs="Calibri"/>
        </w:rPr>
      </w:pPr>
    </w:p>
    <w:p w14:paraId="0FBE5B10" w14:textId="0B611F32" w:rsidR="008878A0" w:rsidRDefault="0035368C" w:rsidP="0052192B">
      <w:pPr>
        <w:pStyle w:val="Naslov2"/>
      </w:pPr>
      <w:bookmarkStart w:id="180" w:name="_Toc85181348"/>
      <w:r>
        <w:t>1</w:t>
      </w:r>
      <w:r w:rsidR="00B601EE">
        <w:t>1</w:t>
      </w:r>
      <w:r w:rsidR="008878A0">
        <w:t>.</w:t>
      </w:r>
      <w:r w:rsidR="00DF050A">
        <w:t>7</w:t>
      </w:r>
      <w:r w:rsidR="008878A0">
        <w:t>. Religijski turizam</w:t>
      </w:r>
      <w:bookmarkEnd w:id="180"/>
    </w:p>
    <w:p w14:paraId="14B821FF" w14:textId="77777777" w:rsidR="008878A0" w:rsidRDefault="008878A0" w:rsidP="00AA2400">
      <w:pPr>
        <w:rPr>
          <w:rFonts w:eastAsia="ArialNarrow"/>
        </w:rPr>
      </w:pPr>
      <w:r>
        <w:rPr>
          <w:rFonts w:eastAsia="ArialNarrow"/>
        </w:rPr>
        <w:br/>
        <w:t xml:space="preserve">Značajan oblik selektivnog turizma u Krapinsko-zagorskoj županiji predstavlja religijski turizam, gdje tradicija hodočašćenja u nacionalno svetište Mariju Bistricu traje više od tri stoljeća. </w:t>
      </w:r>
    </w:p>
    <w:p w14:paraId="76FCFB6A" w14:textId="3C870D99" w:rsidR="008878A0" w:rsidRDefault="008878A0" w:rsidP="00AA2400">
      <w:pPr>
        <w:rPr>
          <w:rFonts w:eastAsia="ArialNarrow"/>
        </w:rPr>
      </w:pPr>
      <w:r>
        <w:rPr>
          <w:rFonts w:eastAsia="ArialNarrow"/>
        </w:rPr>
        <w:t xml:space="preserve">Promatrajući podatke o broju posjetitelja, vidljivo je kako religijski turizam privlači znatno više posjetitelja od kupališnog turizma ili kulturnog turizma. </w:t>
      </w:r>
    </w:p>
    <w:p w14:paraId="24217FAC" w14:textId="77777777" w:rsidR="00431FD9" w:rsidRDefault="00431FD9" w:rsidP="00AA2400">
      <w:pPr>
        <w:rPr>
          <w:rFonts w:eastAsia="ArialNarrow"/>
        </w:rPr>
      </w:pPr>
    </w:p>
    <w:p w14:paraId="145F2DFD" w14:textId="6B3C4D1E" w:rsidR="008878A0" w:rsidRDefault="008878A0" w:rsidP="003E3F3C">
      <w:pPr>
        <w:pStyle w:val="Opisslike"/>
      </w:pPr>
      <w:r>
        <w:t>Grafikon</w:t>
      </w:r>
      <w:r w:rsidR="0035368C">
        <w:rPr>
          <w:noProof/>
        </w:rPr>
        <w:t xml:space="preserve"> </w:t>
      </w:r>
      <w:r w:rsidR="00F73E03">
        <w:rPr>
          <w:noProof/>
        </w:rPr>
        <w:t>5</w:t>
      </w:r>
      <w:r w:rsidR="006E30A9">
        <w:rPr>
          <w:noProof/>
        </w:rPr>
        <w:t>4</w:t>
      </w:r>
      <w:r w:rsidR="001838EE">
        <w:rPr>
          <w:noProof/>
        </w:rPr>
        <w:t>.</w:t>
      </w:r>
      <w:r>
        <w:t xml:space="preserve"> Usporedni prikaz broja posjetitelja svetišta MBB,</w:t>
      </w:r>
      <w:r w:rsidR="00E45261">
        <w:t xml:space="preserve"> kupališta i muzeja, 2013.-20</w:t>
      </w:r>
      <w:r w:rsidR="004C0AC7">
        <w:t>20</w:t>
      </w:r>
      <w:r>
        <w:t xml:space="preserve"> godina</w:t>
      </w:r>
    </w:p>
    <w:p w14:paraId="22740F44" w14:textId="055C2F16" w:rsidR="008878A0" w:rsidRPr="00431FD9" w:rsidRDefault="00431FD9" w:rsidP="00AA2400">
      <w:r>
        <w:rPr>
          <w:noProof/>
        </w:rPr>
        <w:drawing>
          <wp:inline distT="0" distB="0" distL="0" distR="0" wp14:anchorId="29AADA6B" wp14:editId="14BA5408">
            <wp:extent cx="5814695" cy="3195638"/>
            <wp:effectExtent l="0" t="0" r="14605" b="5080"/>
            <wp:docPr id="260" name="Grafikon 260">
              <a:extLst xmlns:a="http://schemas.openxmlformats.org/drawingml/2006/main">
                <a:ext uri="{FF2B5EF4-FFF2-40B4-BE49-F238E27FC236}">
                  <a16:creationId xmlns:a16="http://schemas.microsoft.com/office/drawing/2014/main" id="{47608F1E-E00B-44BB-9236-2127F1E29E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45F66B4E" w14:textId="5A4E0574" w:rsidR="008878A0" w:rsidRPr="0035368C" w:rsidRDefault="008878A0"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Izvor: Turistička zajednica K</w:t>
      </w:r>
      <w:r w:rsidR="00E45261" w:rsidRPr="0035368C">
        <w:rPr>
          <w:rFonts w:eastAsia="ArialNarrow" w:cstheme="minorHAnsi"/>
          <w:i/>
          <w:color w:val="ABABAB" w:themeColor="text1" w:themeTint="A6"/>
          <w:sz w:val="16"/>
          <w:szCs w:val="16"/>
        </w:rPr>
        <w:t>rapinsko-zagorske županije, 2020</w:t>
      </w:r>
      <w:r w:rsidRPr="0035368C">
        <w:rPr>
          <w:rFonts w:eastAsia="ArialNarrow" w:cstheme="minorHAnsi"/>
          <w:i/>
          <w:color w:val="ABABAB" w:themeColor="text1" w:themeTint="A6"/>
          <w:sz w:val="16"/>
          <w:szCs w:val="16"/>
        </w:rPr>
        <w:t>. godina</w:t>
      </w:r>
    </w:p>
    <w:p w14:paraId="197F66DB" w14:textId="77777777" w:rsidR="008878A0" w:rsidRDefault="008878A0" w:rsidP="00941871">
      <w:pPr>
        <w:autoSpaceDE w:val="0"/>
        <w:autoSpaceDN w:val="0"/>
        <w:adjustRightInd w:val="0"/>
        <w:spacing w:after="0" w:line="240" w:lineRule="auto"/>
        <w:rPr>
          <w:rFonts w:ascii="Calibri" w:eastAsia="ArialNarrow" w:hAnsi="Calibri" w:cs="Calibri"/>
          <w:sz w:val="22"/>
          <w:szCs w:val="22"/>
        </w:rPr>
      </w:pPr>
    </w:p>
    <w:p w14:paraId="6A908798" w14:textId="28AA123D" w:rsidR="008878A0" w:rsidRPr="00AA2400" w:rsidRDefault="008878A0" w:rsidP="00AA2400">
      <w:pPr>
        <w:rPr>
          <w:rFonts w:eastAsia="ArialNarrow"/>
        </w:rPr>
      </w:pPr>
      <w:r w:rsidRPr="00AA2400">
        <w:rPr>
          <w:rFonts w:eastAsia="ArialNarrow"/>
        </w:rPr>
        <w:t xml:space="preserve">Važno je napomenuti kako su prihodi koji se ostvaruju od vjerskog turizma znatno manji u Krapinsko-zagorskoj županiji nego u zemljama iz okruženja (Bosna i Hercegovina </w:t>
      </w:r>
      <w:r w:rsidRPr="00AA2400">
        <w:rPr>
          <w:rFonts w:eastAsia="ArialNarrow" w:hint="eastAsia"/>
          <w:lang w:val="en-US"/>
        </w:rPr>
        <w:t>–</w:t>
      </w:r>
      <w:r w:rsidRPr="00AA2400">
        <w:rPr>
          <w:rFonts w:eastAsia="ArialNarrow"/>
        </w:rPr>
        <w:t xml:space="preserve"> Međugorje; Slovenija </w:t>
      </w:r>
      <w:r w:rsidRPr="00AA2400">
        <w:rPr>
          <w:rFonts w:eastAsia="ArialNarrow" w:hint="eastAsia"/>
          <w:lang w:val="en-US"/>
        </w:rPr>
        <w:t>–</w:t>
      </w:r>
      <w:r w:rsidRPr="00AA2400">
        <w:rPr>
          <w:rFonts w:eastAsia="ArialNarrow"/>
        </w:rPr>
        <w:t xml:space="preserve"> Slovensko narodno svetište Marije Pomoćnice na Brezju; Mađarska</w:t>
      </w:r>
      <w:r w:rsidRPr="00AA2400">
        <w:rPr>
          <w:rFonts w:eastAsia="ArialNarrow" w:hint="eastAsia"/>
          <w:lang w:val="en-US"/>
        </w:rPr>
        <w:t>–</w:t>
      </w:r>
      <w:r w:rsidRPr="00AA2400">
        <w:rPr>
          <w:rFonts w:eastAsia="ArialNarrow"/>
        </w:rPr>
        <w:t xml:space="preserve"> Marija Jud).</w:t>
      </w:r>
    </w:p>
    <w:p w14:paraId="45AEBB31" w14:textId="77777777" w:rsidR="008878A0" w:rsidRPr="00AA2400" w:rsidRDefault="008878A0" w:rsidP="00AA2400">
      <w:pPr>
        <w:rPr>
          <w:rFonts w:eastAsia="ArialNarrow"/>
        </w:rPr>
      </w:pPr>
      <w:r w:rsidRPr="00AA2400">
        <w:t>Turistička atrakcija sakralnog sadržaja koja privlači pozornost brojnih posjetitelja je i Betlehemska špilja, čiju vrijednu trajnu postavu čine jaslice i Kristov grob. Nalazi se u perivoju župne crkve svete Katarine - Parku Maksimilijana Vrhovca.</w:t>
      </w:r>
    </w:p>
    <w:p w14:paraId="2EC14591" w14:textId="77777777" w:rsidR="008878A0" w:rsidRPr="00AA2400" w:rsidRDefault="008878A0" w:rsidP="00AA2400">
      <w:pPr>
        <w:rPr>
          <w:rFonts w:eastAsia="ArialNarrow"/>
        </w:rPr>
      </w:pPr>
      <w:r w:rsidRPr="00AA2400">
        <w:rPr>
          <w:rFonts w:eastAsia="ArialNarrow"/>
        </w:rPr>
        <w:t>Za religijski turizam ključno je povezivanje i integriranje Marije Bistrice s religijskim destinacijama, kao i povezivanje s postojećim europskim i hodočasničkim rutama.</w:t>
      </w:r>
    </w:p>
    <w:p w14:paraId="479698DA" w14:textId="77777777" w:rsidR="008878A0" w:rsidRPr="00AA2400" w:rsidRDefault="008878A0" w:rsidP="00AA2400">
      <w:pPr>
        <w:rPr>
          <w:rFonts w:eastAsia="ArialNarrow"/>
        </w:rPr>
      </w:pPr>
    </w:p>
    <w:p w14:paraId="7772C07A" w14:textId="3541851D" w:rsidR="008878A0" w:rsidRDefault="0035368C" w:rsidP="0052192B">
      <w:pPr>
        <w:pStyle w:val="Naslov2"/>
        <w:rPr>
          <w:rFonts w:eastAsia="ArialNarrow"/>
        </w:rPr>
      </w:pPr>
      <w:bookmarkStart w:id="181" w:name="_Toc85181349"/>
      <w:r>
        <w:lastRenderedPageBreak/>
        <w:t>1</w:t>
      </w:r>
      <w:r w:rsidR="00B601EE">
        <w:t>1</w:t>
      </w:r>
      <w:r w:rsidR="008878A0">
        <w:t>.</w:t>
      </w:r>
      <w:r w:rsidR="00DF050A">
        <w:t>8</w:t>
      </w:r>
      <w:r w:rsidR="008878A0">
        <w:t>. Poslovni turizam i događanja (MICE)</w:t>
      </w:r>
      <w:bookmarkEnd w:id="181"/>
      <w:r w:rsidR="008878A0">
        <w:rPr>
          <w:rFonts w:eastAsia="ArialNarrow"/>
        </w:rPr>
        <w:br/>
      </w:r>
    </w:p>
    <w:p w14:paraId="209E9907" w14:textId="77777777" w:rsidR="00F97293" w:rsidRDefault="008878A0" w:rsidP="00AA2400">
      <w:pPr>
        <w:rPr>
          <w:rFonts w:eastAsia="ArialNarrow"/>
        </w:rPr>
      </w:pPr>
      <w:r w:rsidRPr="00AA2400">
        <w:rPr>
          <w:rFonts w:eastAsia="ArialNarrow"/>
        </w:rPr>
        <w:t xml:space="preserve">Prema Master-planu razvoja turizma, prilika za razvoj MICE proizvoda u KZŽ je u razvoju ili privlačenju globalno relevantnih događanja u skladu s turističkim pozicioniranjem Zagorja. Resursna osnova koja podržava razvoj ovog proizvoda odnosi se prvenstveno na postojeće hotelske i kongresne kapacitete te </w:t>
      </w:r>
      <w:r w:rsidRPr="00AA2400">
        <w:rPr>
          <w:rFonts w:eastAsia="ArialNarrow"/>
          <w:i/>
          <w:iCs/>
        </w:rPr>
        <w:t>teambuilding</w:t>
      </w:r>
      <w:r w:rsidRPr="00AA2400">
        <w:rPr>
          <w:rFonts w:eastAsia="ArialNarrow"/>
        </w:rPr>
        <w:t xml:space="preserve"> programe, iako se naglašava potreba za izgradnjom dvorane za kongrese većeg kapaciteta. </w:t>
      </w:r>
    </w:p>
    <w:p w14:paraId="084F0DFF" w14:textId="1F8A8860" w:rsidR="008878A0" w:rsidRPr="00AA2400" w:rsidRDefault="008878A0" w:rsidP="00AA2400">
      <w:pPr>
        <w:rPr>
          <w:rFonts w:eastAsia="ArialNarrow"/>
        </w:rPr>
      </w:pPr>
      <w:r w:rsidRPr="00AA2400">
        <w:rPr>
          <w:rFonts w:eastAsia="ArialNarrow"/>
        </w:rPr>
        <w:t>Uz to, potrebna daljnja ulaganja vezana su uz dodatne sadržaje za slobodno vrijeme, kontinuirano podizanje kvalitete smještajnih kapaciteta, ali i promociju događanja.</w:t>
      </w:r>
    </w:p>
    <w:p w14:paraId="5BD8A4E9" w14:textId="65D3A94A" w:rsidR="008878A0" w:rsidRDefault="00955FB2" w:rsidP="0052192B">
      <w:pPr>
        <w:pStyle w:val="Naslov2"/>
        <w:rPr>
          <w:rFonts w:eastAsia="ArialNarrow"/>
        </w:rPr>
      </w:pPr>
      <w:r>
        <w:br/>
      </w:r>
      <w:bookmarkStart w:id="182" w:name="_Toc85181350"/>
      <w:r w:rsidR="0035368C">
        <w:t>1</w:t>
      </w:r>
      <w:r w:rsidR="00B601EE">
        <w:t>1</w:t>
      </w:r>
      <w:r w:rsidR="008878A0">
        <w:t>.</w:t>
      </w:r>
      <w:r w:rsidR="00DF050A">
        <w:t>9</w:t>
      </w:r>
      <w:r w:rsidR="008878A0">
        <w:t>. Agroturizam</w:t>
      </w:r>
      <w:bookmarkEnd w:id="182"/>
      <w:r w:rsidR="008878A0">
        <w:rPr>
          <w:rFonts w:eastAsia="ArialNarrow"/>
        </w:rPr>
        <w:br/>
      </w:r>
    </w:p>
    <w:p w14:paraId="213B5E1B" w14:textId="77777777" w:rsidR="008878A0" w:rsidRPr="00AA2400" w:rsidRDefault="008878A0" w:rsidP="00AA2400">
      <w:pPr>
        <w:rPr>
          <w:rFonts w:eastAsia="ArialNarrow"/>
        </w:rPr>
      </w:pPr>
      <w:r w:rsidRPr="00AA2400">
        <w:rPr>
          <w:rFonts w:eastAsia="ArialNarrow"/>
        </w:rPr>
        <w:t xml:space="preserve">Uz ruralni prostor kao osnovni resurs za razvoj agroturizma, brojna obiteljska poljoprivredna gospodarstva i seljački turizmi, uz vinarije, restorane i kušaonice s tradicionalnom ponudom, čine osnovu za razvoj agroturizma na području KZŽ. </w:t>
      </w:r>
    </w:p>
    <w:p w14:paraId="7D95F504" w14:textId="5C8461D8" w:rsidR="008878A0" w:rsidRPr="00AA2400" w:rsidRDefault="008878A0" w:rsidP="00AA2400">
      <w:pPr>
        <w:rPr>
          <w:rFonts w:eastAsia="ArialNarrow"/>
        </w:rPr>
      </w:pPr>
      <w:r w:rsidRPr="00AA2400">
        <w:rPr>
          <w:rFonts w:eastAsia="ArialNarrow"/>
        </w:rPr>
        <w:t>U 20</w:t>
      </w:r>
      <w:r w:rsidR="008960FD">
        <w:rPr>
          <w:rFonts w:eastAsia="ArialNarrow"/>
        </w:rPr>
        <w:t>20</w:t>
      </w:r>
      <w:r w:rsidRPr="00AA2400">
        <w:rPr>
          <w:rFonts w:eastAsia="ArialNarrow"/>
        </w:rPr>
        <w:t>. u KZŽ postoji 1</w:t>
      </w:r>
      <w:r w:rsidR="008960FD">
        <w:rPr>
          <w:rFonts w:eastAsia="ArialNarrow"/>
        </w:rPr>
        <w:t>9</w:t>
      </w:r>
      <w:r w:rsidRPr="00AA2400">
        <w:rPr>
          <w:rFonts w:eastAsia="ArialNarrow"/>
        </w:rPr>
        <w:t xml:space="preserve"> registriranih agroturizama. Osnovna prepreka razvoju agroturizma, prema zaključcima Master-plana razvoja turizma u KZŽ, je izostanak sustavnog bavljenja organizacijom i upravljanjem ovog oblika selektivnog turizma. Ključne smjernice razvoja uključuju razvoj smještajnih kapaciteta, razvoj gastronomskih ruta i vinskih cesta povezanih s ponudom agroturizama, specijalizaciju domaćinstava i organizaciju aktivnosti vezanih uz seoske aktivnosti.</w:t>
      </w:r>
    </w:p>
    <w:p w14:paraId="6D86357D" w14:textId="77777777" w:rsidR="00AA2400" w:rsidRDefault="00AA2400" w:rsidP="00941871">
      <w:pPr>
        <w:rPr>
          <w:rFonts w:ascii="Calibri" w:eastAsia="ArialNarrow" w:hAnsi="Calibri" w:cs="Calibri"/>
        </w:rPr>
      </w:pPr>
    </w:p>
    <w:p w14:paraId="7F00B883" w14:textId="526EBDD7" w:rsidR="008878A0" w:rsidRDefault="0035368C" w:rsidP="0052192B">
      <w:pPr>
        <w:pStyle w:val="Naslov2"/>
      </w:pPr>
      <w:bookmarkStart w:id="183" w:name="_Toc85181351"/>
      <w:r>
        <w:t>1</w:t>
      </w:r>
      <w:r w:rsidR="00B601EE">
        <w:t>1</w:t>
      </w:r>
      <w:r w:rsidR="008878A0">
        <w:t>.</w:t>
      </w:r>
      <w:r w:rsidR="00DF050A">
        <w:t>10</w:t>
      </w:r>
      <w:r w:rsidR="008878A0">
        <w:t>. Turistička potražnja</w:t>
      </w:r>
      <w:bookmarkEnd w:id="183"/>
    </w:p>
    <w:p w14:paraId="59B370B9" w14:textId="77777777" w:rsidR="008878A0" w:rsidRDefault="008878A0" w:rsidP="00941871">
      <w:pPr>
        <w:autoSpaceDE w:val="0"/>
        <w:autoSpaceDN w:val="0"/>
        <w:adjustRightInd w:val="0"/>
        <w:spacing w:after="0" w:line="240" w:lineRule="auto"/>
        <w:rPr>
          <w:rFonts w:ascii="Calibri" w:eastAsia="ArialNarrow" w:hAnsi="Calibri" w:cs="Calibri"/>
        </w:rPr>
      </w:pPr>
    </w:p>
    <w:p w14:paraId="6A7673B6" w14:textId="77777777" w:rsidR="002544BF" w:rsidRDefault="008878A0" w:rsidP="00AA2400">
      <w:pPr>
        <w:rPr>
          <w:rFonts w:eastAsia="ArialNarrow"/>
        </w:rPr>
      </w:pPr>
      <w:r w:rsidRPr="00AA2400">
        <w:rPr>
          <w:rFonts w:eastAsia="ArialNarrow"/>
        </w:rPr>
        <w:t xml:space="preserve">U periodu od 2010. do 2018. godine KZŽ bilježi kontinuirani porast broj dolazaka i noćenja turista što govori o </w:t>
      </w:r>
      <w:r w:rsidR="00332FE4">
        <w:rPr>
          <w:rFonts w:eastAsia="ArialNarrow"/>
        </w:rPr>
        <w:t xml:space="preserve">povećanju </w:t>
      </w:r>
      <w:r w:rsidRPr="00AA2400">
        <w:rPr>
          <w:rFonts w:eastAsia="ArialNarrow"/>
        </w:rPr>
        <w:t>prepoznatljivosti KZŽ kao kontinentalne turističke destinacije. U razdoblju od 2010. do 2015. porast broja dolazaka i noćenja gostiju je relativno ujednačen na godišnj</w:t>
      </w:r>
      <w:r w:rsidR="00332FE4">
        <w:rPr>
          <w:rFonts w:eastAsia="ArialNarrow"/>
        </w:rPr>
        <w:t xml:space="preserve">oj razini, dok je u posljednje 4 </w:t>
      </w:r>
      <w:r w:rsidRPr="00AA2400">
        <w:rPr>
          <w:rFonts w:eastAsia="ArialNarrow"/>
        </w:rPr>
        <w:t xml:space="preserve">godine </w:t>
      </w:r>
      <w:r w:rsidR="00332FE4">
        <w:rPr>
          <w:rFonts w:eastAsia="ArialNarrow"/>
        </w:rPr>
        <w:t>(2015.-2019</w:t>
      </w:r>
      <w:r w:rsidR="00510135">
        <w:rPr>
          <w:rFonts w:eastAsia="ArialNarrow"/>
        </w:rPr>
        <w:t xml:space="preserve">.) uočljivo izrazito </w:t>
      </w:r>
      <w:r w:rsidRPr="00AA2400">
        <w:rPr>
          <w:rFonts w:eastAsia="ArialNarrow"/>
        </w:rPr>
        <w:t>povećanje. Tako je u</w:t>
      </w:r>
      <w:r w:rsidR="00332FE4">
        <w:rPr>
          <w:rFonts w:eastAsia="ArialNarrow"/>
        </w:rPr>
        <w:t xml:space="preserve"> 2019</w:t>
      </w:r>
      <w:r w:rsidRPr="00AA2400">
        <w:rPr>
          <w:rFonts w:eastAsia="ArialNarrow"/>
        </w:rPr>
        <w:t>. na područj</w:t>
      </w:r>
      <w:r w:rsidR="00332FE4">
        <w:rPr>
          <w:rFonts w:eastAsia="ArialNarrow"/>
        </w:rPr>
        <w:t>u KZŽ zabilježeno ukupno 373.149</w:t>
      </w:r>
      <w:r w:rsidRPr="00AA2400">
        <w:rPr>
          <w:rFonts w:eastAsia="ArialNarrow"/>
        </w:rPr>
        <w:t xml:space="preserve"> turističkih noćenja, št</w:t>
      </w:r>
      <w:r w:rsidR="00554D42">
        <w:rPr>
          <w:rFonts w:eastAsia="ArialNarrow"/>
        </w:rPr>
        <w:t>o predstavlja povećanje od čak 84</w:t>
      </w:r>
      <w:r w:rsidRPr="00AA2400">
        <w:rPr>
          <w:rFonts w:eastAsia="ArialNarrow"/>
        </w:rPr>
        <w:t xml:space="preserve">% u odnosu na 2015. godinu. </w:t>
      </w:r>
    </w:p>
    <w:p w14:paraId="53F86237" w14:textId="7411D071" w:rsidR="008878A0" w:rsidRPr="00AA2400" w:rsidRDefault="008960FD" w:rsidP="00AA2400">
      <w:pPr>
        <w:rPr>
          <w:rFonts w:eastAsia="ArialNarrow"/>
        </w:rPr>
      </w:pPr>
      <w:r w:rsidRPr="008960FD">
        <w:rPr>
          <w:rFonts w:eastAsia="ArialNarrow"/>
        </w:rPr>
        <w:t xml:space="preserve">U 2020.godini zbog pandemije COVID - 19. broj </w:t>
      </w:r>
      <w:r>
        <w:rPr>
          <w:rFonts w:eastAsia="ArialNarrow"/>
        </w:rPr>
        <w:t xml:space="preserve">zabilježenih </w:t>
      </w:r>
      <w:r w:rsidRPr="008960FD">
        <w:rPr>
          <w:rFonts w:eastAsia="ArialNarrow"/>
        </w:rPr>
        <w:t>noćenja je pao te iznosi 204.95</w:t>
      </w:r>
      <w:r>
        <w:rPr>
          <w:rFonts w:eastAsia="ArialNarrow"/>
        </w:rPr>
        <w:t>7.</w:t>
      </w:r>
      <w:r w:rsidR="002544BF">
        <w:rPr>
          <w:rFonts w:eastAsia="ArialNarrow"/>
        </w:rPr>
        <w:t xml:space="preserve"> Kada gledamo na nacionalnoj razini p</w:t>
      </w:r>
      <w:r w:rsidR="002544BF" w:rsidRPr="002544BF">
        <w:rPr>
          <w:rFonts w:eastAsia="ArialNarrow"/>
        </w:rPr>
        <w:t>rema podacima eVisitora, Hrvatska je u razdoblju siječanj-prosinac 2020. godine ostvarila pad obujma fizičkog prometa turista u odnosu na isto razdoblje 2019. godine zbog pandemije COVID - 19.</w:t>
      </w:r>
      <w:r w:rsidR="002544BF">
        <w:rPr>
          <w:rFonts w:eastAsia="ArialNarrow"/>
        </w:rPr>
        <w:t xml:space="preserve"> </w:t>
      </w:r>
      <w:r w:rsidR="002544BF" w:rsidRPr="002544BF">
        <w:rPr>
          <w:rFonts w:eastAsia="ArialNarrow"/>
        </w:rPr>
        <w:t>Ukoliko promatramo isto razdoblje (01.01.-31.12.2020./01.01.-31.12.2019.) na razini RH, Krapinsko</w:t>
      </w:r>
      <w:r w:rsidR="002544BF">
        <w:rPr>
          <w:rFonts w:eastAsia="ArialNarrow"/>
        </w:rPr>
        <w:t xml:space="preserve">- </w:t>
      </w:r>
      <w:r w:rsidR="002544BF" w:rsidRPr="002544BF">
        <w:rPr>
          <w:rFonts w:eastAsia="ArialNarrow"/>
        </w:rPr>
        <w:t>zagorska županija zauzima 10. mjesto po ostvarenom broju noćenja, odnosno 3. mjesto (nakon Grada Zagreba i Karlovačke županije) ako se promatra kontinentalna Hrvatska.</w:t>
      </w:r>
    </w:p>
    <w:p w14:paraId="2637DF68" w14:textId="1DB61470" w:rsidR="00AA2400" w:rsidRPr="002544BF" w:rsidRDefault="002544BF" w:rsidP="002544BF">
      <w:pPr>
        <w:rPr>
          <w:rFonts w:cstheme="minorHAnsi"/>
          <w:bCs/>
          <w:iCs/>
          <w:szCs w:val="22"/>
        </w:rPr>
      </w:pPr>
      <w:r w:rsidRPr="002544BF">
        <w:rPr>
          <w:rFonts w:cstheme="minorHAnsi"/>
          <w:bCs/>
          <w:iCs/>
          <w:szCs w:val="22"/>
        </w:rPr>
        <w:t>Klaster Središnja Hrvatska koji uključuje Zagrebačku, Međimursku, Varaždinsku, Sisačko-moslavačku, Bjelovarsko-bilogorsku, Koprivničko-križevačku županiju te Krapinsko-zagorsku županiju, u razdoblju 1.1.-31.12.2020. godine ostvario je ukupno 257.277 dolazaka i 655.499 noćenja, što predstavlja udio od 3,32% u ukupnim dolascima RH i 1,21% u ukupnim noćenjima RH. Krapinsko-zagorska županija unutar Klastera Središnja Hrvatska, ostvaruje udio od 31,29% u ukupnim ostvarenim noćenjima Klastera te se sa ostvarenih 205.125 noćenja nalazi na drugome mjestu po ostvarenom broju noćenja (Karlovačka županija je ostvarila 212.632 noćenja u promatranom razdoblju).</w:t>
      </w:r>
    </w:p>
    <w:p w14:paraId="01A11FD1" w14:textId="33641D96" w:rsidR="008878A0" w:rsidRDefault="008878A0" w:rsidP="003E3F3C">
      <w:pPr>
        <w:pStyle w:val="Opisslike"/>
      </w:pPr>
      <w:r>
        <w:lastRenderedPageBreak/>
        <w:t>Grafikon</w:t>
      </w:r>
      <w:r w:rsidR="0035368C">
        <w:rPr>
          <w:noProof/>
        </w:rPr>
        <w:t xml:space="preserve"> 5</w:t>
      </w:r>
      <w:r w:rsidR="000061E9">
        <w:rPr>
          <w:noProof/>
        </w:rPr>
        <w:t>5</w:t>
      </w:r>
      <w:r w:rsidR="001838EE">
        <w:rPr>
          <w:noProof/>
        </w:rPr>
        <w:t>.</w:t>
      </w:r>
      <w:r>
        <w:t xml:space="preserve"> Broj turističkih dolazaka i noćenja u Krapinsko-zagorskoj ž</w:t>
      </w:r>
      <w:r w:rsidR="00332FE4">
        <w:t>upaniji u razdoblju 2010. - 20</w:t>
      </w:r>
      <w:r w:rsidR="002544BF">
        <w:t>20</w:t>
      </w:r>
      <w:r>
        <w:t>. godine</w:t>
      </w:r>
    </w:p>
    <w:p w14:paraId="61E31E05" w14:textId="659AB4F5" w:rsidR="002544BF" w:rsidRPr="002544BF" w:rsidRDefault="002544BF" w:rsidP="002544BF">
      <w:r>
        <w:rPr>
          <w:noProof/>
        </w:rPr>
        <w:drawing>
          <wp:inline distT="0" distB="0" distL="0" distR="0" wp14:anchorId="7B1D17E8" wp14:editId="262B179E">
            <wp:extent cx="5781675" cy="2838450"/>
            <wp:effectExtent l="0" t="0" r="9525" b="0"/>
            <wp:docPr id="261" name="Grafikon 261">
              <a:extLst xmlns:a="http://schemas.openxmlformats.org/drawingml/2006/main">
                <a:ext uri="{FF2B5EF4-FFF2-40B4-BE49-F238E27FC236}">
                  <a16:creationId xmlns:a16="http://schemas.microsoft.com/office/drawing/2014/main" id="{31F7CD78-CC73-4C9D-9D07-D73EF1E931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5DDDB8DE" w14:textId="03B884D2" w:rsidR="008878A0" w:rsidRPr="0035368C" w:rsidRDefault="008878A0" w:rsidP="0035368C">
      <w:pPr>
        <w:autoSpaceDE w:val="0"/>
        <w:autoSpaceDN w:val="0"/>
        <w:adjustRightInd w:val="0"/>
        <w:spacing w:after="0" w:line="240" w:lineRule="auto"/>
        <w:rPr>
          <w:rFonts w:eastAsia="ArialNarrow" w:cstheme="minorHAnsi"/>
          <w:i/>
          <w:color w:val="ABABAB" w:themeColor="text1" w:themeTint="A6"/>
          <w:sz w:val="16"/>
          <w:szCs w:val="16"/>
        </w:rPr>
      </w:pPr>
      <w:r w:rsidRPr="0035368C">
        <w:rPr>
          <w:rFonts w:eastAsia="ArialNarrow" w:cstheme="minorHAnsi"/>
          <w:i/>
          <w:color w:val="ABABAB" w:themeColor="text1" w:themeTint="A6"/>
          <w:sz w:val="16"/>
          <w:szCs w:val="16"/>
        </w:rPr>
        <w:t>Izvor: Turistička zajednica K</w:t>
      </w:r>
      <w:r w:rsidR="00332FE4" w:rsidRPr="0035368C">
        <w:rPr>
          <w:rFonts w:eastAsia="ArialNarrow" w:cstheme="minorHAnsi"/>
          <w:i/>
          <w:color w:val="ABABAB" w:themeColor="text1" w:themeTint="A6"/>
          <w:sz w:val="16"/>
          <w:szCs w:val="16"/>
        </w:rPr>
        <w:t>rapinsko-zagorske županije, 2020</w:t>
      </w:r>
      <w:r w:rsidRPr="0035368C">
        <w:rPr>
          <w:rFonts w:eastAsia="ArialNarrow" w:cstheme="minorHAnsi"/>
          <w:i/>
          <w:color w:val="ABABAB" w:themeColor="text1" w:themeTint="A6"/>
          <w:sz w:val="16"/>
          <w:szCs w:val="16"/>
        </w:rPr>
        <w:t>. godine</w:t>
      </w:r>
    </w:p>
    <w:p w14:paraId="1E0A0597" w14:textId="77777777" w:rsidR="008878A0" w:rsidRDefault="008878A0" w:rsidP="00941871">
      <w:pPr>
        <w:autoSpaceDE w:val="0"/>
        <w:autoSpaceDN w:val="0"/>
        <w:adjustRightInd w:val="0"/>
        <w:spacing w:after="0" w:line="240" w:lineRule="auto"/>
        <w:rPr>
          <w:rFonts w:ascii="Calibri" w:eastAsia="ArialNarrow" w:hAnsi="Calibri" w:cs="Calibri"/>
          <w:sz w:val="22"/>
          <w:szCs w:val="22"/>
        </w:rPr>
      </w:pPr>
    </w:p>
    <w:p w14:paraId="01852110" w14:textId="6EF5B387" w:rsidR="008878A0" w:rsidRPr="00AA2400" w:rsidRDefault="008878A0" w:rsidP="00AA2400">
      <w:pPr>
        <w:rPr>
          <w:rFonts w:eastAsia="ArialNarrow"/>
        </w:rPr>
      </w:pPr>
      <w:r w:rsidRPr="00AA2400">
        <w:rPr>
          <w:rFonts w:eastAsia="ArialNarrow"/>
        </w:rPr>
        <w:t>Analizirajući strukturu gostiju u ukupnom broju dolazaka i noćenja, posebno je značajan udio stranih gostiju u porastu broja dolazaka i noćenja, dok broj domaćih gostiju također kontinuirano raste, no bitno manjom stopom.</w:t>
      </w:r>
      <w:r w:rsidR="002544BF">
        <w:rPr>
          <w:rFonts w:eastAsia="ArialNarrow"/>
        </w:rPr>
        <w:t xml:space="preserve"> Zbog pandemije COVID-19 i uvedenih mjera prelaska granica primjetan je pad broja stranih gostiju u 2020. godini.</w:t>
      </w:r>
    </w:p>
    <w:p w14:paraId="6B5226EC" w14:textId="77777777" w:rsidR="008878A0" w:rsidRDefault="008878A0" w:rsidP="00AA2400">
      <w:pPr>
        <w:rPr>
          <w:rFonts w:eastAsia="ArialNarrow"/>
        </w:rPr>
      </w:pPr>
    </w:p>
    <w:p w14:paraId="08D8064E" w14:textId="7E735E71" w:rsidR="00517264" w:rsidRDefault="00517264" w:rsidP="003E3F3C">
      <w:pPr>
        <w:pStyle w:val="Opisslike"/>
      </w:pPr>
      <w:r>
        <w:t>Tablica</w:t>
      </w:r>
      <w:r w:rsidR="0035368C">
        <w:t xml:space="preserve"> 1</w:t>
      </w:r>
      <w:r w:rsidR="00A7185B">
        <w:t>11</w:t>
      </w:r>
      <w:r>
        <w:t xml:space="preserve">. </w:t>
      </w:r>
      <w:r w:rsidRPr="00C26168">
        <w:t xml:space="preserve">Ukupan broj dolazaka i noćenja prema strukturi gostiju, Krapinsko-zagorska županija, 2010 </w:t>
      </w:r>
      <w:r w:rsidR="003B1507">
        <w:t>-</w:t>
      </w:r>
      <w:r w:rsidRPr="00C26168">
        <w:t xml:space="preserve"> 20</w:t>
      </w:r>
      <w:r w:rsidR="002544BF">
        <w:t>20</w:t>
      </w:r>
      <w:r w:rsidRPr="00C26168">
        <w:t xml:space="preserve"> godina</w:t>
      </w:r>
    </w:p>
    <w:tbl>
      <w:tblPr>
        <w:tblW w:w="8634" w:type="dxa"/>
        <w:jc w:val="center"/>
        <w:tblLook w:val="04A0" w:firstRow="1" w:lastRow="0" w:firstColumn="1" w:lastColumn="0" w:noHBand="0" w:noVBand="1"/>
      </w:tblPr>
      <w:tblGrid>
        <w:gridCol w:w="1558"/>
        <w:gridCol w:w="1881"/>
        <w:gridCol w:w="1657"/>
        <w:gridCol w:w="1881"/>
        <w:gridCol w:w="1657"/>
      </w:tblGrid>
      <w:tr w:rsidR="008878A0" w14:paraId="1E258697" w14:textId="77777777" w:rsidTr="00517264">
        <w:trPr>
          <w:trHeight w:val="283"/>
          <w:jc w:val="center"/>
        </w:trPr>
        <w:tc>
          <w:tcPr>
            <w:tcW w:w="1558" w:type="dxa"/>
            <w:vMerge w:val="restart"/>
            <w:tcBorders>
              <w:bottom w:val="single" w:sz="4" w:space="0" w:color="FFFFFF" w:themeColor="background1"/>
            </w:tcBorders>
            <w:shd w:val="clear" w:color="auto" w:fill="D2232A" w:themeFill="accent1"/>
            <w:noWrap/>
            <w:vAlign w:val="center"/>
            <w:hideMark/>
          </w:tcPr>
          <w:p w14:paraId="4517B425" w14:textId="43A281C1" w:rsidR="00517264" w:rsidRPr="00AA2400" w:rsidRDefault="008878A0" w:rsidP="00517264">
            <w:pPr>
              <w:spacing w:after="0"/>
              <w:rPr>
                <w:color w:val="FFFFFF" w:themeColor="background1"/>
              </w:rPr>
            </w:pPr>
            <w:r w:rsidRPr="00AA2400">
              <w:rPr>
                <w:color w:val="FFFFFF" w:themeColor="background1"/>
              </w:rPr>
              <w:t>Godina</w:t>
            </w:r>
          </w:p>
        </w:tc>
        <w:tc>
          <w:tcPr>
            <w:tcW w:w="3538" w:type="dxa"/>
            <w:gridSpan w:val="2"/>
            <w:tcBorders>
              <w:bottom w:val="single" w:sz="4" w:space="0" w:color="FFFFFF" w:themeColor="background1"/>
              <w:right w:val="single" w:sz="8" w:space="0" w:color="D2232A"/>
            </w:tcBorders>
            <w:shd w:val="clear" w:color="auto" w:fill="D2232A" w:themeFill="accent1"/>
            <w:noWrap/>
            <w:vAlign w:val="center"/>
            <w:hideMark/>
          </w:tcPr>
          <w:p w14:paraId="3966BE31" w14:textId="77777777" w:rsidR="008878A0" w:rsidRPr="00AA2400" w:rsidRDefault="008878A0" w:rsidP="00517264">
            <w:pPr>
              <w:spacing w:after="0"/>
              <w:jc w:val="center"/>
              <w:rPr>
                <w:color w:val="FFFFFF" w:themeColor="background1"/>
              </w:rPr>
            </w:pPr>
            <w:r w:rsidRPr="00AA2400">
              <w:rPr>
                <w:color w:val="FFFFFF" w:themeColor="background1"/>
              </w:rPr>
              <w:t>Dolasci</w:t>
            </w:r>
          </w:p>
        </w:tc>
        <w:tc>
          <w:tcPr>
            <w:tcW w:w="3538" w:type="dxa"/>
            <w:gridSpan w:val="2"/>
            <w:tcBorders>
              <w:left w:val="single" w:sz="8" w:space="0" w:color="D2232A"/>
              <w:bottom w:val="single" w:sz="4" w:space="0" w:color="FFFFFF" w:themeColor="background1"/>
              <w:right w:val="single" w:sz="8" w:space="0" w:color="D2232A"/>
            </w:tcBorders>
            <w:shd w:val="clear" w:color="auto" w:fill="D2232A" w:themeFill="accent1"/>
            <w:noWrap/>
            <w:vAlign w:val="center"/>
            <w:hideMark/>
          </w:tcPr>
          <w:p w14:paraId="359B33F8" w14:textId="77777777" w:rsidR="008878A0" w:rsidRPr="00AA2400" w:rsidRDefault="008878A0" w:rsidP="00517264">
            <w:pPr>
              <w:spacing w:after="0"/>
              <w:jc w:val="center"/>
              <w:rPr>
                <w:color w:val="FFFFFF" w:themeColor="background1"/>
              </w:rPr>
            </w:pPr>
            <w:r w:rsidRPr="00AA2400">
              <w:rPr>
                <w:color w:val="FFFFFF" w:themeColor="background1"/>
              </w:rPr>
              <w:t>Noćenja</w:t>
            </w:r>
          </w:p>
        </w:tc>
      </w:tr>
      <w:tr w:rsidR="008878A0" w14:paraId="5DD740A0" w14:textId="77777777" w:rsidTr="00517264">
        <w:trPr>
          <w:trHeight w:val="283"/>
          <w:jc w:val="center"/>
        </w:trPr>
        <w:tc>
          <w:tcPr>
            <w:tcW w:w="0" w:type="auto"/>
            <w:vMerge/>
            <w:tcBorders>
              <w:top w:val="single" w:sz="4" w:space="0" w:color="FFFFFF" w:themeColor="background1"/>
              <w:bottom w:val="single" w:sz="4" w:space="0" w:color="FFFFFF" w:themeColor="background1"/>
              <w:right w:val="nil"/>
            </w:tcBorders>
            <w:shd w:val="clear" w:color="auto" w:fill="D2232A" w:themeFill="accent1"/>
            <w:vAlign w:val="center"/>
            <w:hideMark/>
          </w:tcPr>
          <w:p w14:paraId="20A90C00" w14:textId="77777777" w:rsidR="008878A0" w:rsidRPr="00AA2400" w:rsidRDefault="008878A0" w:rsidP="00517264">
            <w:pPr>
              <w:spacing w:after="0"/>
              <w:rPr>
                <w:b/>
                <w:bCs/>
                <w:color w:val="FFFFFF" w:themeColor="background1"/>
              </w:rPr>
            </w:pPr>
          </w:p>
        </w:tc>
        <w:tc>
          <w:tcPr>
            <w:tcW w:w="1881" w:type="dxa"/>
            <w:tcBorders>
              <w:top w:val="single" w:sz="4" w:space="0" w:color="FFFFFF" w:themeColor="background1"/>
              <w:left w:val="single" w:sz="4" w:space="0" w:color="FFFFFF" w:themeColor="background1"/>
              <w:bottom w:val="single" w:sz="8" w:space="0" w:color="F3CFC1"/>
              <w:right w:val="single" w:sz="4" w:space="0" w:color="FFFFFF" w:themeColor="background1"/>
            </w:tcBorders>
            <w:noWrap/>
            <w:vAlign w:val="center"/>
            <w:hideMark/>
          </w:tcPr>
          <w:p w14:paraId="103E17DF" w14:textId="77777777" w:rsidR="008878A0" w:rsidRDefault="008878A0" w:rsidP="00517264">
            <w:pPr>
              <w:spacing w:after="0"/>
              <w:jc w:val="right"/>
              <w:rPr>
                <w:b/>
                <w:bCs/>
                <w:color w:val="000000"/>
              </w:rPr>
            </w:pPr>
            <w:r>
              <w:rPr>
                <w:b/>
                <w:bCs/>
                <w:color w:val="000000"/>
              </w:rPr>
              <w:t>Domaći gosti</w:t>
            </w:r>
          </w:p>
        </w:tc>
        <w:tc>
          <w:tcPr>
            <w:tcW w:w="1657" w:type="dxa"/>
            <w:tcBorders>
              <w:top w:val="single" w:sz="4" w:space="0" w:color="FFFFFF" w:themeColor="background1"/>
              <w:left w:val="single" w:sz="4" w:space="0" w:color="FFFFFF" w:themeColor="background1"/>
              <w:bottom w:val="single" w:sz="8" w:space="0" w:color="F3CFC1"/>
              <w:right w:val="single" w:sz="8" w:space="0" w:color="D2232A"/>
            </w:tcBorders>
            <w:noWrap/>
            <w:vAlign w:val="center"/>
            <w:hideMark/>
          </w:tcPr>
          <w:p w14:paraId="39267E82" w14:textId="77777777" w:rsidR="008878A0" w:rsidRDefault="008878A0" w:rsidP="00517264">
            <w:pPr>
              <w:spacing w:after="0"/>
              <w:jc w:val="right"/>
              <w:rPr>
                <w:b/>
                <w:bCs/>
                <w:color w:val="000000"/>
              </w:rPr>
            </w:pPr>
            <w:r>
              <w:rPr>
                <w:b/>
                <w:bCs/>
                <w:color w:val="000000"/>
              </w:rPr>
              <w:t>Strani gosti</w:t>
            </w:r>
          </w:p>
        </w:tc>
        <w:tc>
          <w:tcPr>
            <w:tcW w:w="1881" w:type="dxa"/>
            <w:tcBorders>
              <w:top w:val="single" w:sz="4" w:space="0" w:color="FFFFFF" w:themeColor="background1"/>
              <w:left w:val="single" w:sz="8" w:space="0" w:color="D2232A"/>
              <w:bottom w:val="single" w:sz="8" w:space="0" w:color="F3CFC1"/>
              <w:right w:val="single" w:sz="4" w:space="0" w:color="FFFFFF" w:themeColor="background1"/>
            </w:tcBorders>
            <w:noWrap/>
            <w:vAlign w:val="center"/>
            <w:hideMark/>
          </w:tcPr>
          <w:p w14:paraId="14D0196C" w14:textId="77777777" w:rsidR="008878A0" w:rsidRDefault="008878A0" w:rsidP="00517264">
            <w:pPr>
              <w:spacing w:after="0"/>
              <w:jc w:val="right"/>
              <w:rPr>
                <w:b/>
                <w:bCs/>
                <w:color w:val="000000"/>
              </w:rPr>
            </w:pPr>
            <w:r>
              <w:rPr>
                <w:b/>
                <w:bCs/>
                <w:color w:val="000000"/>
              </w:rPr>
              <w:t>Domaći gosti</w:t>
            </w:r>
          </w:p>
        </w:tc>
        <w:tc>
          <w:tcPr>
            <w:tcW w:w="1657" w:type="dxa"/>
            <w:tcBorders>
              <w:top w:val="single" w:sz="4" w:space="0" w:color="FFFFFF" w:themeColor="background1"/>
              <w:left w:val="single" w:sz="4" w:space="0" w:color="FFFFFF" w:themeColor="background1"/>
              <w:bottom w:val="single" w:sz="8" w:space="0" w:color="F3CFC1"/>
              <w:right w:val="single" w:sz="8" w:space="0" w:color="D2232A"/>
            </w:tcBorders>
            <w:noWrap/>
            <w:vAlign w:val="center"/>
            <w:hideMark/>
          </w:tcPr>
          <w:p w14:paraId="0E6BEFB2" w14:textId="77777777" w:rsidR="008878A0" w:rsidRDefault="008878A0" w:rsidP="00517264">
            <w:pPr>
              <w:spacing w:after="0"/>
              <w:jc w:val="right"/>
              <w:rPr>
                <w:b/>
                <w:bCs/>
                <w:color w:val="000000"/>
              </w:rPr>
            </w:pPr>
            <w:r>
              <w:rPr>
                <w:b/>
                <w:bCs/>
                <w:color w:val="000000"/>
              </w:rPr>
              <w:t>Strani gosti</w:t>
            </w:r>
          </w:p>
        </w:tc>
      </w:tr>
      <w:tr w:rsidR="008878A0" w14:paraId="7BB2426E" w14:textId="77777777" w:rsidTr="00517264">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25D72679" w14:textId="77777777" w:rsidR="008878A0" w:rsidRPr="00AA2400" w:rsidRDefault="008878A0" w:rsidP="00517264">
            <w:pPr>
              <w:spacing w:after="0"/>
              <w:rPr>
                <w:b/>
                <w:bCs/>
                <w:color w:val="FFFFFF" w:themeColor="background1"/>
              </w:rPr>
            </w:pPr>
            <w:r w:rsidRPr="00AA2400">
              <w:rPr>
                <w:color w:val="FFFFFF" w:themeColor="background1"/>
              </w:rPr>
              <w:t>2010.</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center"/>
            <w:hideMark/>
          </w:tcPr>
          <w:p w14:paraId="49EBBC75" w14:textId="77777777" w:rsidR="008878A0" w:rsidRDefault="008878A0" w:rsidP="00517264">
            <w:pPr>
              <w:spacing w:after="0"/>
              <w:jc w:val="right"/>
              <w:rPr>
                <w:color w:val="000000"/>
              </w:rPr>
            </w:pPr>
            <w:r>
              <w:rPr>
                <w:color w:val="000000"/>
              </w:rPr>
              <w:t>40.465</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73A9BFCC" w14:textId="77777777" w:rsidR="008878A0" w:rsidRPr="00E41B79" w:rsidRDefault="008878A0" w:rsidP="00517264">
            <w:pPr>
              <w:spacing w:after="0"/>
              <w:jc w:val="right"/>
              <w:rPr>
                <w:color w:val="000000"/>
              </w:rPr>
            </w:pPr>
            <w:r w:rsidRPr="00E41B79">
              <w:rPr>
                <w:color w:val="000000"/>
              </w:rPr>
              <w:t>11.456</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center"/>
            <w:hideMark/>
          </w:tcPr>
          <w:p w14:paraId="522FF982" w14:textId="77777777" w:rsidR="008878A0" w:rsidRPr="00E41B79" w:rsidRDefault="008878A0" w:rsidP="00517264">
            <w:pPr>
              <w:spacing w:after="0"/>
              <w:jc w:val="right"/>
              <w:rPr>
                <w:color w:val="000000"/>
              </w:rPr>
            </w:pPr>
            <w:r w:rsidRPr="00E41B79">
              <w:rPr>
                <w:color w:val="000000"/>
              </w:rPr>
              <w:t>118 108</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1583C892" w14:textId="77777777" w:rsidR="008878A0" w:rsidRPr="00E41B79" w:rsidRDefault="008878A0" w:rsidP="00517264">
            <w:pPr>
              <w:spacing w:after="0"/>
              <w:jc w:val="right"/>
              <w:rPr>
                <w:color w:val="000000"/>
              </w:rPr>
            </w:pPr>
            <w:r w:rsidRPr="00E41B79">
              <w:rPr>
                <w:color w:val="000000"/>
              </w:rPr>
              <w:t>27 303</w:t>
            </w:r>
          </w:p>
        </w:tc>
      </w:tr>
      <w:tr w:rsidR="008878A0" w14:paraId="1C179E0E" w14:textId="77777777" w:rsidTr="00517264">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00AB7B6A" w14:textId="77777777" w:rsidR="008878A0" w:rsidRPr="00AA2400" w:rsidRDefault="008878A0" w:rsidP="00517264">
            <w:pPr>
              <w:spacing w:after="0"/>
              <w:rPr>
                <w:b/>
                <w:bCs/>
                <w:color w:val="FFFFFF" w:themeColor="background1"/>
              </w:rPr>
            </w:pPr>
            <w:r w:rsidRPr="00AA2400">
              <w:rPr>
                <w:color w:val="FFFFFF" w:themeColor="background1"/>
              </w:rPr>
              <w:t>2011.</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center"/>
            <w:hideMark/>
          </w:tcPr>
          <w:p w14:paraId="4DAA31F4" w14:textId="77777777" w:rsidR="008878A0" w:rsidRDefault="008878A0" w:rsidP="00517264">
            <w:pPr>
              <w:spacing w:after="0"/>
              <w:jc w:val="right"/>
              <w:rPr>
                <w:color w:val="000000"/>
              </w:rPr>
            </w:pPr>
            <w:r>
              <w:rPr>
                <w:color w:val="000000"/>
              </w:rPr>
              <w:t>45.978</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154B2A12" w14:textId="77777777" w:rsidR="008878A0" w:rsidRDefault="008878A0" w:rsidP="00517264">
            <w:pPr>
              <w:spacing w:after="0"/>
              <w:jc w:val="right"/>
              <w:rPr>
                <w:color w:val="000000"/>
              </w:rPr>
            </w:pPr>
            <w:r>
              <w:rPr>
                <w:color w:val="000000"/>
              </w:rPr>
              <w:t>14.668</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center"/>
            <w:hideMark/>
          </w:tcPr>
          <w:p w14:paraId="7F99BDF7" w14:textId="77777777" w:rsidR="008878A0" w:rsidRDefault="008878A0" w:rsidP="00517264">
            <w:pPr>
              <w:spacing w:after="0"/>
              <w:jc w:val="right"/>
              <w:rPr>
                <w:color w:val="000000"/>
              </w:rPr>
            </w:pPr>
            <w:r>
              <w:rPr>
                <w:color w:val="000000"/>
              </w:rPr>
              <w:t>109.434</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4819AD3B" w14:textId="77777777" w:rsidR="008878A0" w:rsidRDefault="008878A0" w:rsidP="00517264">
            <w:pPr>
              <w:spacing w:after="0"/>
              <w:jc w:val="right"/>
              <w:rPr>
                <w:color w:val="000000"/>
              </w:rPr>
            </w:pPr>
            <w:r>
              <w:rPr>
                <w:color w:val="000000"/>
              </w:rPr>
              <w:t>31.904</w:t>
            </w:r>
          </w:p>
        </w:tc>
      </w:tr>
      <w:tr w:rsidR="008878A0" w14:paraId="163F71BB" w14:textId="77777777" w:rsidTr="00517264">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51174EF5" w14:textId="77777777" w:rsidR="008878A0" w:rsidRPr="00AA2400" w:rsidRDefault="008878A0" w:rsidP="00517264">
            <w:pPr>
              <w:spacing w:after="0"/>
              <w:rPr>
                <w:color w:val="FFFFFF" w:themeColor="background1"/>
              </w:rPr>
            </w:pPr>
            <w:r w:rsidRPr="00AA2400">
              <w:rPr>
                <w:color w:val="FFFFFF" w:themeColor="background1"/>
              </w:rPr>
              <w:t>2012.</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center"/>
            <w:hideMark/>
          </w:tcPr>
          <w:p w14:paraId="063CFEF9" w14:textId="77777777" w:rsidR="008878A0" w:rsidRDefault="008878A0" w:rsidP="00517264">
            <w:pPr>
              <w:spacing w:after="0"/>
              <w:jc w:val="right"/>
              <w:rPr>
                <w:color w:val="000000"/>
              </w:rPr>
            </w:pPr>
            <w:r>
              <w:rPr>
                <w:color w:val="000000"/>
              </w:rPr>
              <w:t>41.229</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6D0E547F" w14:textId="77777777" w:rsidR="008878A0" w:rsidRDefault="008878A0" w:rsidP="00517264">
            <w:pPr>
              <w:spacing w:after="0"/>
              <w:jc w:val="right"/>
              <w:rPr>
                <w:color w:val="000000"/>
              </w:rPr>
            </w:pPr>
            <w:r>
              <w:rPr>
                <w:color w:val="000000"/>
              </w:rPr>
              <w:t>20.989</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center"/>
            <w:hideMark/>
          </w:tcPr>
          <w:p w14:paraId="59CC7543" w14:textId="77777777" w:rsidR="008878A0" w:rsidRDefault="008878A0" w:rsidP="00517264">
            <w:pPr>
              <w:spacing w:after="0"/>
              <w:jc w:val="right"/>
              <w:rPr>
                <w:color w:val="000000"/>
              </w:rPr>
            </w:pPr>
            <w:r>
              <w:rPr>
                <w:color w:val="000000"/>
              </w:rPr>
              <w:t>102.067</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13BB5F30" w14:textId="77777777" w:rsidR="008878A0" w:rsidRDefault="008878A0" w:rsidP="00517264">
            <w:pPr>
              <w:spacing w:after="0"/>
              <w:jc w:val="right"/>
              <w:rPr>
                <w:color w:val="000000"/>
              </w:rPr>
            </w:pPr>
            <w:r>
              <w:rPr>
                <w:color w:val="000000"/>
              </w:rPr>
              <w:t>47.062</w:t>
            </w:r>
          </w:p>
        </w:tc>
      </w:tr>
      <w:tr w:rsidR="008878A0" w14:paraId="4CA2A255" w14:textId="77777777" w:rsidTr="00517264">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1AFADCBE" w14:textId="77777777" w:rsidR="008878A0" w:rsidRPr="00AA2400" w:rsidRDefault="008878A0" w:rsidP="00517264">
            <w:pPr>
              <w:spacing w:after="0"/>
              <w:rPr>
                <w:color w:val="FFFFFF" w:themeColor="background1"/>
              </w:rPr>
            </w:pPr>
            <w:r w:rsidRPr="00AA2400">
              <w:rPr>
                <w:color w:val="FFFFFF" w:themeColor="background1"/>
              </w:rPr>
              <w:t>2013.</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center"/>
            <w:hideMark/>
          </w:tcPr>
          <w:p w14:paraId="24F31547" w14:textId="77777777" w:rsidR="008878A0" w:rsidRDefault="008878A0" w:rsidP="00517264">
            <w:pPr>
              <w:spacing w:after="0"/>
              <w:jc w:val="right"/>
              <w:rPr>
                <w:color w:val="000000"/>
              </w:rPr>
            </w:pPr>
            <w:r>
              <w:rPr>
                <w:color w:val="000000"/>
              </w:rPr>
              <w:t>42.463</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1C841DBC" w14:textId="77777777" w:rsidR="008878A0" w:rsidRDefault="008878A0" w:rsidP="00517264">
            <w:pPr>
              <w:spacing w:after="0"/>
              <w:jc w:val="right"/>
              <w:rPr>
                <w:color w:val="000000"/>
              </w:rPr>
            </w:pPr>
            <w:r>
              <w:rPr>
                <w:color w:val="000000"/>
              </w:rPr>
              <w:t>29.342</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center"/>
            <w:hideMark/>
          </w:tcPr>
          <w:p w14:paraId="13758014" w14:textId="77777777" w:rsidR="008878A0" w:rsidRDefault="008878A0" w:rsidP="00517264">
            <w:pPr>
              <w:spacing w:after="0"/>
              <w:jc w:val="right"/>
              <w:rPr>
                <w:color w:val="000000"/>
              </w:rPr>
            </w:pPr>
            <w:r>
              <w:rPr>
                <w:color w:val="000000"/>
              </w:rPr>
              <w:t>98.606</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1DBF3D62" w14:textId="77777777" w:rsidR="008878A0" w:rsidRDefault="008878A0" w:rsidP="00517264">
            <w:pPr>
              <w:spacing w:after="0"/>
              <w:jc w:val="right"/>
              <w:rPr>
                <w:color w:val="000000"/>
              </w:rPr>
            </w:pPr>
            <w:r>
              <w:rPr>
                <w:color w:val="000000"/>
              </w:rPr>
              <w:t>62.840</w:t>
            </w:r>
          </w:p>
        </w:tc>
      </w:tr>
      <w:tr w:rsidR="008878A0" w14:paraId="3AF9E413" w14:textId="77777777" w:rsidTr="00517264">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163A6688" w14:textId="77777777" w:rsidR="008878A0" w:rsidRPr="00AA2400" w:rsidRDefault="008878A0" w:rsidP="00517264">
            <w:pPr>
              <w:spacing w:after="0"/>
              <w:rPr>
                <w:color w:val="FFFFFF" w:themeColor="background1"/>
              </w:rPr>
            </w:pPr>
            <w:r w:rsidRPr="00AA2400">
              <w:rPr>
                <w:color w:val="FFFFFF" w:themeColor="background1"/>
              </w:rPr>
              <w:t>2014.</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center"/>
            <w:hideMark/>
          </w:tcPr>
          <w:p w14:paraId="597C261A" w14:textId="77777777" w:rsidR="008878A0" w:rsidRDefault="008878A0" w:rsidP="00517264">
            <w:pPr>
              <w:spacing w:after="0"/>
              <w:jc w:val="right"/>
              <w:rPr>
                <w:color w:val="000000"/>
              </w:rPr>
            </w:pPr>
            <w:r>
              <w:rPr>
                <w:color w:val="000000"/>
              </w:rPr>
              <w:t>48.714</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0ACEA437" w14:textId="77777777" w:rsidR="008878A0" w:rsidRDefault="008878A0" w:rsidP="00517264">
            <w:pPr>
              <w:spacing w:after="0"/>
              <w:jc w:val="right"/>
              <w:rPr>
                <w:color w:val="000000"/>
              </w:rPr>
            </w:pPr>
            <w:r>
              <w:rPr>
                <w:color w:val="000000"/>
              </w:rPr>
              <w:t>34.000</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center"/>
            <w:hideMark/>
          </w:tcPr>
          <w:p w14:paraId="347E939E" w14:textId="77777777" w:rsidR="008878A0" w:rsidRDefault="008878A0" w:rsidP="00517264">
            <w:pPr>
              <w:spacing w:after="0"/>
              <w:jc w:val="right"/>
              <w:rPr>
                <w:color w:val="000000"/>
              </w:rPr>
            </w:pPr>
            <w:r>
              <w:rPr>
                <w:color w:val="000000"/>
              </w:rPr>
              <w:t>113.867</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76F1F2BB" w14:textId="77777777" w:rsidR="008878A0" w:rsidRDefault="008878A0" w:rsidP="00517264">
            <w:pPr>
              <w:spacing w:after="0"/>
              <w:jc w:val="right"/>
              <w:rPr>
                <w:color w:val="000000"/>
              </w:rPr>
            </w:pPr>
            <w:r>
              <w:rPr>
                <w:color w:val="000000"/>
              </w:rPr>
              <w:t>73.953</w:t>
            </w:r>
          </w:p>
        </w:tc>
      </w:tr>
      <w:tr w:rsidR="008878A0" w14:paraId="5046989C" w14:textId="77777777" w:rsidTr="00517264">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1FAF755C" w14:textId="77777777" w:rsidR="008878A0" w:rsidRPr="00AA2400" w:rsidRDefault="008878A0" w:rsidP="00517264">
            <w:pPr>
              <w:spacing w:after="0"/>
              <w:rPr>
                <w:color w:val="FFFFFF" w:themeColor="background1"/>
              </w:rPr>
            </w:pPr>
            <w:r w:rsidRPr="00AA2400">
              <w:rPr>
                <w:color w:val="FFFFFF" w:themeColor="background1"/>
              </w:rPr>
              <w:t>2015.</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center"/>
            <w:hideMark/>
          </w:tcPr>
          <w:p w14:paraId="293616B3" w14:textId="77777777" w:rsidR="008878A0" w:rsidRDefault="008878A0" w:rsidP="00517264">
            <w:pPr>
              <w:spacing w:after="0"/>
              <w:jc w:val="right"/>
              <w:rPr>
                <w:color w:val="000000"/>
              </w:rPr>
            </w:pPr>
            <w:r>
              <w:rPr>
                <w:color w:val="000000"/>
              </w:rPr>
              <w:t>54.842</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1B11A76C" w14:textId="77777777" w:rsidR="008878A0" w:rsidRDefault="008878A0" w:rsidP="00517264">
            <w:pPr>
              <w:spacing w:after="0"/>
              <w:jc w:val="right"/>
              <w:rPr>
                <w:color w:val="000000"/>
              </w:rPr>
            </w:pPr>
            <w:r>
              <w:rPr>
                <w:color w:val="000000"/>
              </w:rPr>
              <w:t>38.986</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center"/>
            <w:hideMark/>
          </w:tcPr>
          <w:p w14:paraId="0F509E46" w14:textId="77777777" w:rsidR="008878A0" w:rsidRDefault="008878A0" w:rsidP="00517264">
            <w:pPr>
              <w:spacing w:after="0"/>
              <w:jc w:val="right"/>
              <w:rPr>
                <w:color w:val="000000"/>
              </w:rPr>
            </w:pPr>
            <w:r>
              <w:rPr>
                <w:color w:val="000000"/>
              </w:rPr>
              <w:t>121.200</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22D49436" w14:textId="77777777" w:rsidR="008878A0" w:rsidRDefault="008878A0" w:rsidP="00517264">
            <w:pPr>
              <w:spacing w:after="0"/>
              <w:jc w:val="right"/>
              <w:rPr>
                <w:color w:val="000000"/>
              </w:rPr>
            </w:pPr>
            <w:r>
              <w:rPr>
                <w:color w:val="000000"/>
              </w:rPr>
              <w:t>81.394</w:t>
            </w:r>
          </w:p>
        </w:tc>
      </w:tr>
      <w:tr w:rsidR="008878A0" w14:paraId="5DBDD534" w14:textId="77777777" w:rsidTr="00517264">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3F596CF7" w14:textId="77777777" w:rsidR="008878A0" w:rsidRPr="00AA2400" w:rsidRDefault="008878A0" w:rsidP="00517264">
            <w:pPr>
              <w:spacing w:after="0"/>
              <w:rPr>
                <w:color w:val="FFFFFF" w:themeColor="background1"/>
              </w:rPr>
            </w:pPr>
            <w:r w:rsidRPr="00AA2400">
              <w:rPr>
                <w:color w:val="FFFFFF" w:themeColor="background1"/>
              </w:rPr>
              <w:t>2016.</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center"/>
            <w:hideMark/>
          </w:tcPr>
          <w:p w14:paraId="64B626D4" w14:textId="77777777" w:rsidR="008878A0" w:rsidRDefault="008878A0" w:rsidP="00517264">
            <w:pPr>
              <w:spacing w:after="0"/>
              <w:jc w:val="right"/>
              <w:rPr>
                <w:color w:val="000000"/>
              </w:rPr>
            </w:pPr>
            <w:r>
              <w:rPr>
                <w:color w:val="000000"/>
              </w:rPr>
              <w:t>65.182</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3AFC90D2" w14:textId="77777777" w:rsidR="008878A0" w:rsidRDefault="008878A0" w:rsidP="00517264">
            <w:pPr>
              <w:spacing w:after="0"/>
              <w:jc w:val="right"/>
              <w:rPr>
                <w:color w:val="000000"/>
              </w:rPr>
            </w:pPr>
            <w:r>
              <w:rPr>
                <w:color w:val="000000"/>
              </w:rPr>
              <w:t>57.529</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center"/>
            <w:hideMark/>
          </w:tcPr>
          <w:p w14:paraId="064CA128" w14:textId="77777777" w:rsidR="008878A0" w:rsidRDefault="008878A0" w:rsidP="00517264">
            <w:pPr>
              <w:spacing w:after="0"/>
              <w:jc w:val="right"/>
              <w:rPr>
                <w:color w:val="000000"/>
              </w:rPr>
            </w:pPr>
            <w:r>
              <w:rPr>
                <w:color w:val="000000"/>
              </w:rPr>
              <w:t>160.203</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44CF3F57" w14:textId="77777777" w:rsidR="008878A0" w:rsidRDefault="008878A0" w:rsidP="00517264">
            <w:pPr>
              <w:spacing w:after="0"/>
              <w:jc w:val="right"/>
              <w:rPr>
                <w:color w:val="000000"/>
              </w:rPr>
            </w:pPr>
            <w:r>
              <w:rPr>
                <w:color w:val="000000"/>
              </w:rPr>
              <w:t>121.088</w:t>
            </w:r>
          </w:p>
        </w:tc>
      </w:tr>
      <w:tr w:rsidR="008878A0" w14:paraId="2CC9E7CF" w14:textId="77777777" w:rsidTr="00517264">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56A91B9C" w14:textId="77777777" w:rsidR="008878A0" w:rsidRPr="00AA2400" w:rsidRDefault="008878A0" w:rsidP="00517264">
            <w:pPr>
              <w:spacing w:after="0"/>
              <w:rPr>
                <w:color w:val="FFFFFF" w:themeColor="background1"/>
              </w:rPr>
            </w:pPr>
            <w:r w:rsidRPr="00AA2400">
              <w:rPr>
                <w:color w:val="FFFFFF" w:themeColor="background1"/>
              </w:rPr>
              <w:t>2017.</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center"/>
            <w:hideMark/>
          </w:tcPr>
          <w:p w14:paraId="309502D8" w14:textId="77777777" w:rsidR="008878A0" w:rsidRDefault="008878A0" w:rsidP="00517264">
            <w:pPr>
              <w:spacing w:after="0"/>
              <w:jc w:val="right"/>
              <w:rPr>
                <w:color w:val="000000"/>
              </w:rPr>
            </w:pPr>
            <w:r>
              <w:rPr>
                <w:color w:val="000000"/>
              </w:rPr>
              <w:t>72.847</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5F9AE3C5" w14:textId="77777777" w:rsidR="008878A0" w:rsidRDefault="008878A0" w:rsidP="00517264">
            <w:pPr>
              <w:spacing w:after="0"/>
              <w:jc w:val="right"/>
              <w:rPr>
                <w:color w:val="000000"/>
              </w:rPr>
            </w:pPr>
            <w:r>
              <w:rPr>
                <w:color w:val="000000"/>
              </w:rPr>
              <w:t>68.946</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center"/>
            <w:hideMark/>
          </w:tcPr>
          <w:p w14:paraId="5420EB76" w14:textId="77777777" w:rsidR="008878A0" w:rsidRDefault="008878A0" w:rsidP="00517264">
            <w:pPr>
              <w:spacing w:after="0"/>
              <w:jc w:val="right"/>
              <w:rPr>
                <w:color w:val="000000"/>
              </w:rPr>
            </w:pPr>
            <w:r>
              <w:rPr>
                <w:color w:val="000000"/>
              </w:rPr>
              <w:t>177.622</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0DF5E11E" w14:textId="77777777" w:rsidR="008878A0" w:rsidRDefault="008878A0" w:rsidP="00517264">
            <w:pPr>
              <w:spacing w:after="0"/>
              <w:jc w:val="right"/>
              <w:rPr>
                <w:color w:val="000000"/>
              </w:rPr>
            </w:pPr>
            <w:r>
              <w:rPr>
                <w:color w:val="000000"/>
              </w:rPr>
              <w:t>146.929</w:t>
            </w:r>
          </w:p>
        </w:tc>
      </w:tr>
      <w:tr w:rsidR="008878A0" w14:paraId="6BBF58D6" w14:textId="77777777" w:rsidTr="00517264">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hideMark/>
          </w:tcPr>
          <w:p w14:paraId="58CEB49C" w14:textId="77777777" w:rsidR="008878A0" w:rsidRPr="00AA2400" w:rsidRDefault="008878A0" w:rsidP="00517264">
            <w:pPr>
              <w:spacing w:after="0"/>
              <w:rPr>
                <w:color w:val="FFFFFF" w:themeColor="background1"/>
              </w:rPr>
            </w:pPr>
            <w:r w:rsidRPr="00AA2400">
              <w:rPr>
                <w:color w:val="FFFFFF" w:themeColor="background1"/>
              </w:rPr>
              <w:t>2018.</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center"/>
            <w:hideMark/>
          </w:tcPr>
          <w:p w14:paraId="0CF3984C" w14:textId="77777777" w:rsidR="008878A0" w:rsidRDefault="008878A0" w:rsidP="00517264">
            <w:pPr>
              <w:spacing w:after="0"/>
              <w:jc w:val="right"/>
              <w:rPr>
                <w:color w:val="000000"/>
              </w:rPr>
            </w:pPr>
            <w:r>
              <w:rPr>
                <w:color w:val="000000"/>
              </w:rPr>
              <w:t>82.006</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782643FE" w14:textId="77777777" w:rsidR="008878A0" w:rsidRDefault="008878A0" w:rsidP="00517264">
            <w:pPr>
              <w:spacing w:after="0"/>
              <w:jc w:val="right"/>
              <w:rPr>
                <w:b/>
                <w:bCs/>
                <w:color w:val="000000"/>
              </w:rPr>
            </w:pPr>
            <w:r>
              <w:rPr>
                <w:b/>
                <w:bCs/>
                <w:color w:val="000000"/>
              </w:rPr>
              <w:t>77.185</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center"/>
            <w:hideMark/>
          </w:tcPr>
          <w:p w14:paraId="6F0B63CD" w14:textId="77777777" w:rsidR="008878A0" w:rsidRDefault="008878A0" w:rsidP="00517264">
            <w:pPr>
              <w:spacing w:after="0"/>
              <w:jc w:val="right"/>
              <w:rPr>
                <w:color w:val="000000"/>
              </w:rPr>
            </w:pPr>
            <w:r>
              <w:rPr>
                <w:color w:val="000000"/>
              </w:rPr>
              <w:t>187.637</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center"/>
            <w:hideMark/>
          </w:tcPr>
          <w:p w14:paraId="2300AB7B" w14:textId="77777777" w:rsidR="008878A0" w:rsidRDefault="008878A0" w:rsidP="00517264">
            <w:pPr>
              <w:spacing w:after="0"/>
              <w:jc w:val="right"/>
              <w:rPr>
                <w:b/>
                <w:bCs/>
                <w:color w:val="000000"/>
              </w:rPr>
            </w:pPr>
            <w:r>
              <w:rPr>
                <w:b/>
                <w:bCs/>
                <w:color w:val="000000"/>
              </w:rPr>
              <w:t>161.057</w:t>
            </w:r>
          </w:p>
        </w:tc>
      </w:tr>
      <w:tr w:rsidR="00332FE4" w14:paraId="408054D2" w14:textId="77777777" w:rsidTr="002544BF">
        <w:trPr>
          <w:trHeight w:val="283"/>
          <w:jc w:val="center"/>
        </w:trPr>
        <w:tc>
          <w:tcPr>
            <w:tcW w:w="1558" w:type="dxa"/>
            <w:tcBorders>
              <w:top w:val="single" w:sz="4" w:space="0" w:color="FFFFFF" w:themeColor="background1"/>
              <w:bottom w:val="single" w:sz="4" w:space="0" w:color="FFFFFF" w:themeColor="background1"/>
              <w:right w:val="single" w:sz="4" w:space="0" w:color="FFFFFF" w:themeColor="background1"/>
            </w:tcBorders>
            <w:shd w:val="clear" w:color="auto" w:fill="D2232A" w:themeFill="accent1"/>
            <w:noWrap/>
            <w:vAlign w:val="center"/>
          </w:tcPr>
          <w:p w14:paraId="6056B10E" w14:textId="1642CC17" w:rsidR="00332FE4" w:rsidRPr="00AA2400" w:rsidRDefault="00332FE4" w:rsidP="00517264">
            <w:pPr>
              <w:spacing w:after="0"/>
              <w:rPr>
                <w:color w:val="FFFFFF" w:themeColor="background1"/>
              </w:rPr>
            </w:pPr>
            <w:r>
              <w:rPr>
                <w:color w:val="FFFFFF" w:themeColor="background1"/>
              </w:rPr>
              <w:t>2019.</w:t>
            </w:r>
          </w:p>
        </w:tc>
        <w:tc>
          <w:tcPr>
            <w:tcW w:w="1881" w:type="dxa"/>
            <w:tcBorders>
              <w:top w:val="single" w:sz="8" w:space="0" w:color="F3CFC1"/>
              <w:left w:val="single" w:sz="4" w:space="0" w:color="FFFFFF" w:themeColor="background1"/>
              <w:bottom w:val="single" w:sz="8" w:space="0" w:color="F3CFC1"/>
              <w:right w:val="single" w:sz="4" w:space="0" w:color="FFFFFF" w:themeColor="background1"/>
            </w:tcBorders>
            <w:noWrap/>
            <w:vAlign w:val="bottom"/>
          </w:tcPr>
          <w:p w14:paraId="78D34DDC" w14:textId="29852741" w:rsidR="00332FE4" w:rsidRDefault="00332FE4" w:rsidP="00517264">
            <w:pPr>
              <w:spacing w:after="0"/>
              <w:jc w:val="right"/>
              <w:rPr>
                <w:color w:val="000000"/>
              </w:rPr>
            </w:pPr>
            <w:r w:rsidRPr="00332FE4">
              <w:rPr>
                <w:color w:val="000000"/>
              </w:rPr>
              <w:t>89.316</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bottom"/>
          </w:tcPr>
          <w:p w14:paraId="5D5EE0B7" w14:textId="743FA321" w:rsidR="00332FE4" w:rsidRPr="00332FE4" w:rsidRDefault="00332FE4" w:rsidP="00517264">
            <w:pPr>
              <w:spacing w:after="0"/>
              <w:jc w:val="right"/>
              <w:rPr>
                <w:color w:val="000000"/>
              </w:rPr>
            </w:pPr>
            <w:r w:rsidRPr="00332FE4">
              <w:rPr>
                <w:color w:val="000000"/>
              </w:rPr>
              <w:t>87.294</w:t>
            </w:r>
          </w:p>
        </w:tc>
        <w:tc>
          <w:tcPr>
            <w:tcW w:w="1881" w:type="dxa"/>
            <w:tcBorders>
              <w:top w:val="single" w:sz="8" w:space="0" w:color="F3CFC1"/>
              <w:left w:val="single" w:sz="8" w:space="0" w:color="D2232A"/>
              <w:bottom w:val="single" w:sz="8" w:space="0" w:color="F3CFC1"/>
              <w:right w:val="single" w:sz="4" w:space="0" w:color="FFFFFF" w:themeColor="background1"/>
            </w:tcBorders>
            <w:noWrap/>
            <w:vAlign w:val="bottom"/>
          </w:tcPr>
          <w:p w14:paraId="1BDFA69F" w14:textId="486223DF" w:rsidR="00332FE4" w:rsidRDefault="00332FE4" w:rsidP="00517264">
            <w:pPr>
              <w:spacing w:after="0"/>
              <w:jc w:val="right"/>
              <w:rPr>
                <w:color w:val="000000"/>
              </w:rPr>
            </w:pPr>
            <w:r w:rsidRPr="00332FE4">
              <w:rPr>
                <w:color w:val="000000"/>
              </w:rPr>
              <w:t>197.241</w:t>
            </w:r>
          </w:p>
        </w:tc>
        <w:tc>
          <w:tcPr>
            <w:tcW w:w="1657" w:type="dxa"/>
            <w:tcBorders>
              <w:top w:val="single" w:sz="8" w:space="0" w:color="F3CFC1"/>
              <w:left w:val="single" w:sz="4" w:space="0" w:color="FFFFFF" w:themeColor="background1"/>
              <w:bottom w:val="single" w:sz="8" w:space="0" w:color="F3CFC1"/>
              <w:right w:val="single" w:sz="8" w:space="0" w:color="D2232A"/>
            </w:tcBorders>
            <w:noWrap/>
            <w:vAlign w:val="bottom"/>
          </w:tcPr>
          <w:p w14:paraId="6E07E8F1" w14:textId="7806F7A7" w:rsidR="00332FE4" w:rsidRPr="00332FE4" w:rsidRDefault="00332FE4" w:rsidP="00517264">
            <w:pPr>
              <w:spacing w:after="0"/>
              <w:jc w:val="right"/>
              <w:rPr>
                <w:color w:val="000000"/>
              </w:rPr>
            </w:pPr>
            <w:r w:rsidRPr="00332FE4">
              <w:rPr>
                <w:color w:val="000000"/>
              </w:rPr>
              <w:t>175.908</w:t>
            </w:r>
          </w:p>
        </w:tc>
      </w:tr>
      <w:tr w:rsidR="002544BF" w14:paraId="23970CAE" w14:textId="77777777" w:rsidTr="00517264">
        <w:trPr>
          <w:trHeight w:val="283"/>
          <w:jc w:val="center"/>
        </w:trPr>
        <w:tc>
          <w:tcPr>
            <w:tcW w:w="1558" w:type="dxa"/>
            <w:tcBorders>
              <w:top w:val="single" w:sz="4" w:space="0" w:color="FFFFFF" w:themeColor="background1"/>
              <w:right w:val="single" w:sz="4" w:space="0" w:color="FFFFFF" w:themeColor="background1"/>
            </w:tcBorders>
            <w:shd w:val="clear" w:color="auto" w:fill="D2232A" w:themeFill="accent1"/>
            <w:noWrap/>
            <w:vAlign w:val="center"/>
          </w:tcPr>
          <w:p w14:paraId="5DE92E56" w14:textId="4E1EE7C5" w:rsidR="002544BF" w:rsidRDefault="002544BF" w:rsidP="00517264">
            <w:pPr>
              <w:spacing w:after="0"/>
              <w:rPr>
                <w:color w:val="FFFFFF" w:themeColor="background1"/>
              </w:rPr>
            </w:pPr>
            <w:r>
              <w:rPr>
                <w:color w:val="FFFFFF" w:themeColor="background1"/>
              </w:rPr>
              <w:t>2020.</w:t>
            </w:r>
          </w:p>
        </w:tc>
        <w:tc>
          <w:tcPr>
            <w:tcW w:w="1881" w:type="dxa"/>
            <w:tcBorders>
              <w:top w:val="single" w:sz="8" w:space="0" w:color="F3CFC1"/>
              <w:left w:val="single" w:sz="4" w:space="0" w:color="FFFFFF" w:themeColor="background1"/>
              <w:bottom w:val="single" w:sz="4" w:space="0" w:color="FFFFFF" w:themeColor="background1"/>
              <w:right w:val="single" w:sz="4" w:space="0" w:color="FFFFFF" w:themeColor="background1"/>
            </w:tcBorders>
            <w:noWrap/>
            <w:vAlign w:val="bottom"/>
          </w:tcPr>
          <w:p w14:paraId="55A38729" w14:textId="19AD798C" w:rsidR="002544BF" w:rsidRPr="00332FE4" w:rsidRDefault="002544BF" w:rsidP="00517264">
            <w:pPr>
              <w:spacing w:after="0"/>
              <w:jc w:val="right"/>
              <w:rPr>
                <w:color w:val="000000"/>
              </w:rPr>
            </w:pPr>
            <w:r w:rsidRPr="002544BF">
              <w:rPr>
                <w:color w:val="000000"/>
              </w:rPr>
              <w:t>57.139</w:t>
            </w:r>
          </w:p>
        </w:tc>
        <w:tc>
          <w:tcPr>
            <w:tcW w:w="1657" w:type="dxa"/>
            <w:tcBorders>
              <w:top w:val="single" w:sz="8" w:space="0" w:color="F3CFC1"/>
              <w:left w:val="single" w:sz="4" w:space="0" w:color="FFFFFF" w:themeColor="background1"/>
              <w:bottom w:val="single" w:sz="4" w:space="0" w:color="FFFFFF" w:themeColor="background1"/>
              <w:right w:val="single" w:sz="8" w:space="0" w:color="D2232A"/>
            </w:tcBorders>
            <w:noWrap/>
            <w:vAlign w:val="bottom"/>
          </w:tcPr>
          <w:p w14:paraId="7D851BA3" w14:textId="37EAA9AE" w:rsidR="002544BF" w:rsidRPr="00332FE4" w:rsidRDefault="002544BF" w:rsidP="00517264">
            <w:pPr>
              <w:spacing w:after="0"/>
              <w:jc w:val="right"/>
              <w:rPr>
                <w:color w:val="000000"/>
              </w:rPr>
            </w:pPr>
            <w:r w:rsidRPr="002544BF">
              <w:rPr>
                <w:color w:val="000000"/>
              </w:rPr>
              <w:t>32.735</w:t>
            </w:r>
          </w:p>
        </w:tc>
        <w:tc>
          <w:tcPr>
            <w:tcW w:w="1881" w:type="dxa"/>
            <w:tcBorders>
              <w:top w:val="single" w:sz="8" w:space="0" w:color="F3CFC1"/>
              <w:left w:val="single" w:sz="8" w:space="0" w:color="D2232A"/>
              <w:bottom w:val="single" w:sz="4" w:space="0" w:color="FFFFFF" w:themeColor="background1"/>
              <w:right w:val="single" w:sz="4" w:space="0" w:color="FFFFFF" w:themeColor="background1"/>
            </w:tcBorders>
            <w:noWrap/>
            <w:vAlign w:val="bottom"/>
          </w:tcPr>
          <w:p w14:paraId="7682440F" w14:textId="04A0EF6E" w:rsidR="002544BF" w:rsidRPr="00332FE4" w:rsidRDefault="002544BF" w:rsidP="00517264">
            <w:pPr>
              <w:spacing w:after="0"/>
              <w:jc w:val="right"/>
              <w:rPr>
                <w:color w:val="000000"/>
              </w:rPr>
            </w:pPr>
            <w:r w:rsidRPr="002544BF">
              <w:rPr>
                <w:color w:val="000000"/>
              </w:rPr>
              <w:t>133.851</w:t>
            </w:r>
          </w:p>
        </w:tc>
        <w:tc>
          <w:tcPr>
            <w:tcW w:w="1657" w:type="dxa"/>
            <w:tcBorders>
              <w:top w:val="single" w:sz="8" w:space="0" w:color="F3CFC1"/>
              <w:left w:val="single" w:sz="4" w:space="0" w:color="FFFFFF" w:themeColor="background1"/>
              <w:bottom w:val="single" w:sz="4" w:space="0" w:color="FFFFFF" w:themeColor="background1"/>
              <w:right w:val="single" w:sz="8" w:space="0" w:color="D2232A"/>
            </w:tcBorders>
            <w:noWrap/>
            <w:vAlign w:val="bottom"/>
          </w:tcPr>
          <w:p w14:paraId="7E79D96C" w14:textId="6425B1B8" w:rsidR="002544BF" w:rsidRPr="00332FE4" w:rsidRDefault="002544BF" w:rsidP="00517264">
            <w:pPr>
              <w:spacing w:after="0"/>
              <w:jc w:val="right"/>
              <w:rPr>
                <w:color w:val="000000"/>
              </w:rPr>
            </w:pPr>
            <w:r w:rsidRPr="002544BF">
              <w:rPr>
                <w:color w:val="000000"/>
              </w:rPr>
              <w:t>71.106</w:t>
            </w:r>
          </w:p>
        </w:tc>
      </w:tr>
    </w:tbl>
    <w:p w14:paraId="2B9BB0AB" w14:textId="596EE4D9" w:rsidR="008878A0" w:rsidRDefault="008878A0" w:rsidP="003B1507">
      <w:pPr>
        <w:autoSpaceDE w:val="0"/>
        <w:autoSpaceDN w:val="0"/>
        <w:adjustRightInd w:val="0"/>
        <w:spacing w:after="0" w:line="240" w:lineRule="auto"/>
        <w:rPr>
          <w:rFonts w:eastAsia="ArialNarrow" w:cstheme="minorHAnsi"/>
          <w:i/>
          <w:color w:val="ABABAB" w:themeColor="text1" w:themeTint="A6"/>
          <w:sz w:val="16"/>
          <w:szCs w:val="16"/>
        </w:rPr>
      </w:pPr>
      <w:r w:rsidRPr="003B1507">
        <w:rPr>
          <w:rFonts w:eastAsia="ArialNarrow" w:cstheme="minorHAnsi"/>
          <w:i/>
          <w:color w:val="ABABAB" w:themeColor="text1" w:themeTint="A6"/>
          <w:sz w:val="16"/>
          <w:szCs w:val="16"/>
        </w:rPr>
        <w:t>Izvor: Turistička zajednica K</w:t>
      </w:r>
      <w:r w:rsidR="00332FE4" w:rsidRPr="003B1507">
        <w:rPr>
          <w:rFonts w:eastAsia="ArialNarrow" w:cstheme="minorHAnsi"/>
          <w:i/>
          <w:color w:val="ABABAB" w:themeColor="text1" w:themeTint="A6"/>
          <w:sz w:val="16"/>
          <w:szCs w:val="16"/>
        </w:rPr>
        <w:t>rapinsko-zagorske županije, 2020</w:t>
      </w:r>
      <w:r w:rsidRPr="003B1507">
        <w:rPr>
          <w:rFonts w:eastAsia="ArialNarrow" w:cstheme="minorHAnsi"/>
          <w:i/>
          <w:color w:val="ABABAB" w:themeColor="text1" w:themeTint="A6"/>
          <w:sz w:val="16"/>
          <w:szCs w:val="16"/>
        </w:rPr>
        <w:t>. godine</w:t>
      </w:r>
    </w:p>
    <w:p w14:paraId="0E4E46AE" w14:textId="77777777" w:rsidR="003B1507" w:rsidRPr="003B1507" w:rsidRDefault="003B1507" w:rsidP="003B1507">
      <w:pPr>
        <w:autoSpaceDE w:val="0"/>
        <w:autoSpaceDN w:val="0"/>
        <w:adjustRightInd w:val="0"/>
        <w:spacing w:after="0" w:line="240" w:lineRule="auto"/>
        <w:rPr>
          <w:rFonts w:eastAsia="ArialNarrow" w:cstheme="minorHAnsi"/>
          <w:i/>
          <w:color w:val="ABABAB" w:themeColor="text1" w:themeTint="A6"/>
          <w:sz w:val="16"/>
          <w:szCs w:val="16"/>
        </w:rPr>
      </w:pPr>
    </w:p>
    <w:p w14:paraId="1F1FD4A4" w14:textId="1884F7B9" w:rsidR="004F7EA1" w:rsidRPr="004F7EA1" w:rsidRDefault="008878A0" w:rsidP="004F7EA1">
      <w:pPr>
        <w:rPr>
          <w:rFonts w:eastAsia="ArialNarrow"/>
        </w:rPr>
      </w:pPr>
      <w:r w:rsidRPr="00AA2400">
        <w:rPr>
          <w:rFonts w:eastAsia="ArialNarrow"/>
        </w:rPr>
        <w:t>Velik porast broja stranih gostiju govori o naporima turističkih djelatnika da kroz županijski brend „Bajka na dlanu“ osiguraju prepoznatljivost destinacije na europskom tržištu. Ključna emitivna tržišta u Krapinsko-zagorskoj županiji su Slovenija i Njemačka koje zajedno čine udio od oko 20% turističkih noćenja u 2018. godini. Po udjelima slijede Poljska, Bosna i Hercegovina te It</w:t>
      </w:r>
      <w:r w:rsidR="00F12EFF">
        <w:rPr>
          <w:rFonts w:eastAsia="ArialNarrow"/>
        </w:rPr>
        <w:t xml:space="preserve">alija. Od spomenutih tržišta, </w:t>
      </w:r>
      <w:r w:rsidRPr="00AA2400">
        <w:rPr>
          <w:rFonts w:eastAsia="ArialNarrow"/>
        </w:rPr>
        <w:t xml:space="preserve">Slovenija i Poljska su dominantno usmjerene zdravstvenom i medicinskom turizmu. </w:t>
      </w:r>
    </w:p>
    <w:p w14:paraId="29CEA123" w14:textId="5844B65F" w:rsidR="004F7EA1" w:rsidRDefault="004F7EA1" w:rsidP="00AA2400">
      <w:pPr>
        <w:rPr>
          <w:rFonts w:eastAsia="ArialNarrow"/>
        </w:rPr>
      </w:pPr>
    </w:p>
    <w:p w14:paraId="5F152FEE" w14:textId="4ADC99FF" w:rsidR="004F7EA1" w:rsidRDefault="004F7EA1" w:rsidP="00AA2400">
      <w:pPr>
        <w:rPr>
          <w:rFonts w:eastAsia="ArialNarrow"/>
        </w:rPr>
      </w:pPr>
    </w:p>
    <w:p w14:paraId="0C0CB1FE" w14:textId="77777777" w:rsidR="004F7EA1" w:rsidRDefault="004F7EA1" w:rsidP="00AA2400">
      <w:pPr>
        <w:rPr>
          <w:rFonts w:eastAsia="ArialNarrow"/>
        </w:rPr>
      </w:pPr>
    </w:p>
    <w:p w14:paraId="06B0E20E" w14:textId="17B0827D" w:rsidR="00AA2400" w:rsidRDefault="008878A0" w:rsidP="003B1507">
      <w:pPr>
        <w:pStyle w:val="Opisslike"/>
      </w:pPr>
      <w:r>
        <w:lastRenderedPageBreak/>
        <w:t>Grafikon</w:t>
      </w:r>
      <w:r w:rsidR="003B1507">
        <w:rPr>
          <w:noProof/>
        </w:rPr>
        <w:t xml:space="preserve"> 5</w:t>
      </w:r>
      <w:r w:rsidR="000061E9">
        <w:rPr>
          <w:noProof/>
        </w:rPr>
        <w:t>6</w:t>
      </w:r>
      <w:r w:rsidR="00517264">
        <w:rPr>
          <w:noProof/>
        </w:rPr>
        <w:t>.</w:t>
      </w:r>
      <w:r>
        <w:t xml:space="preserve"> Glavna emitivna tržišta prema broju </w:t>
      </w:r>
      <w:r w:rsidR="00554D42">
        <w:t>noćenja u razdoblju 2016. - 2019</w:t>
      </w:r>
      <w:r>
        <w:t>. godina</w:t>
      </w:r>
    </w:p>
    <w:p w14:paraId="179D94CC" w14:textId="326E7A40" w:rsidR="008878A0" w:rsidRDefault="00554D42" w:rsidP="00941871">
      <w:pPr>
        <w:autoSpaceDE w:val="0"/>
        <w:autoSpaceDN w:val="0"/>
        <w:adjustRightInd w:val="0"/>
        <w:spacing w:after="0" w:line="240" w:lineRule="auto"/>
        <w:rPr>
          <w:rFonts w:ascii="Calibri" w:eastAsia="ArialNarrow" w:hAnsi="Calibri" w:cs="Calibri"/>
        </w:rPr>
      </w:pPr>
      <w:r>
        <w:rPr>
          <w:noProof/>
          <w:lang w:eastAsia="hr-HR"/>
        </w:rPr>
        <w:drawing>
          <wp:inline distT="0" distB="0" distL="0" distR="0" wp14:anchorId="5354AD5C" wp14:editId="33EA87A4">
            <wp:extent cx="5915025" cy="2876550"/>
            <wp:effectExtent l="0" t="0" r="9525" b="0"/>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37637FA2" w14:textId="73E954A8" w:rsidR="008878A0" w:rsidRPr="003B1507" w:rsidRDefault="008878A0" w:rsidP="003B1507">
      <w:pPr>
        <w:autoSpaceDE w:val="0"/>
        <w:autoSpaceDN w:val="0"/>
        <w:adjustRightInd w:val="0"/>
        <w:spacing w:after="0" w:line="240" w:lineRule="auto"/>
        <w:rPr>
          <w:rFonts w:eastAsia="ArialNarrow" w:cstheme="minorHAnsi"/>
          <w:i/>
          <w:color w:val="ABABAB" w:themeColor="text1" w:themeTint="A6"/>
          <w:sz w:val="16"/>
          <w:szCs w:val="16"/>
        </w:rPr>
      </w:pPr>
      <w:r w:rsidRPr="003B1507">
        <w:rPr>
          <w:rFonts w:eastAsia="ArialNarrow" w:cstheme="minorHAnsi"/>
          <w:i/>
          <w:color w:val="ABABAB" w:themeColor="text1" w:themeTint="A6"/>
          <w:sz w:val="16"/>
          <w:szCs w:val="16"/>
        </w:rPr>
        <w:t>Izvor: Turistička zajednica K</w:t>
      </w:r>
      <w:r w:rsidR="00965205" w:rsidRPr="003B1507">
        <w:rPr>
          <w:rFonts w:eastAsia="ArialNarrow" w:cstheme="minorHAnsi"/>
          <w:i/>
          <w:color w:val="ABABAB" w:themeColor="text1" w:themeTint="A6"/>
          <w:sz w:val="16"/>
          <w:szCs w:val="16"/>
        </w:rPr>
        <w:t>rapinsko-zagorske županije, 2020</w:t>
      </w:r>
      <w:r w:rsidRPr="003B1507">
        <w:rPr>
          <w:rFonts w:eastAsia="ArialNarrow" w:cstheme="minorHAnsi"/>
          <w:i/>
          <w:color w:val="ABABAB" w:themeColor="text1" w:themeTint="A6"/>
          <w:sz w:val="16"/>
          <w:szCs w:val="16"/>
        </w:rPr>
        <w:t>. godina</w:t>
      </w:r>
    </w:p>
    <w:p w14:paraId="7F243DC5" w14:textId="5E151565" w:rsidR="008878A0" w:rsidRDefault="008878A0" w:rsidP="00941871">
      <w:pPr>
        <w:autoSpaceDE w:val="0"/>
        <w:autoSpaceDN w:val="0"/>
        <w:adjustRightInd w:val="0"/>
        <w:spacing w:after="0" w:line="240" w:lineRule="auto"/>
        <w:rPr>
          <w:rFonts w:ascii="Calibri" w:eastAsia="ArialNarrow" w:hAnsi="Calibri" w:cs="Calibri"/>
        </w:rPr>
      </w:pPr>
    </w:p>
    <w:p w14:paraId="402029C8" w14:textId="77777777" w:rsidR="005018D2" w:rsidRPr="005018D2" w:rsidRDefault="005018D2" w:rsidP="005018D2">
      <w:pPr>
        <w:autoSpaceDE w:val="0"/>
        <w:autoSpaceDN w:val="0"/>
        <w:adjustRightInd w:val="0"/>
        <w:spacing w:after="0" w:line="240" w:lineRule="auto"/>
        <w:rPr>
          <w:rFonts w:ascii="Calibri" w:eastAsia="ArialNarrow" w:hAnsi="Calibri" w:cs="Calibri"/>
        </w:rPr>
      </w:pPr>
      <w:r w:rsidRPr="005018D2">
        <w:rPr>
          <w:rFonts w:ascii="Calibri" w:eastAsia="ArialNarrow" w:hAnsi="Calibri" w:cs="Calibri"/>
        </w:rPr>
        <w:t>U 2020. godini ključno emitivno tržište prema broju noćenja je i dalje Slovenija (31,96%) na prvom mjestu, drugo mjesto zauzima Poljska (14,39%) dok se udio Njemačke smanjio u odnosu na 2018. i 2019. godinu te iznosi 13,93%. U odnosu na prijašnje godine primjetno je i povećanje udjela stranih gostiju iz Češke (6,58%).</w:t>
      </w:r>
    </w:p>
    <w:p w14:paraId="69E29F67" w14:textId="77777777" w:rsidR="004F7EA1" w:rsidRDefault="004F7EA1" w:rsidP="00941871">
      <w:pPr>
        <w:autoSpaceDE w:val="0"/>
        <w:autoSpaceDN w:val="0"/>
        <w:adjustRightInd w:val="0"/>
        <w:spacing w:after="0" w:line="240" w:lineRule="auto"/>
        <w:rPr>
          <w:rFonts w:ascii="Calibri" w:eastAsia="ArialNarrow" w:hAnsi="Calibri" w:cs="Calibri"/>
        </w:rPr>
      </w:pPr>
    </w:p>
    <w:p w14:paraId="45DA6FE4" w14:textId="590F4C18" w:rsidR="004F7EA1" w:rsidRDefault="005018D2" w:rsidP="00941871">
      <w:pPr>
        <w:autoSpaceDE w:val="0"/>
        <w:autoSpaceDN w:val="0"/>
        <w:adjustRightInd w:val="0"/>
        <w:spacing w:after="0" w:line="240" w:lineRule="auto"/>
        <w:rPr>
          <w:rFonts w:ascii="Calibri" w:eastAsia="ArialNarrow" w:hAnsi="Calibri" w:cs="Calibri"/>
        </w:rPr>
      </w:pPr>
      <w:r>
        <w:rPr>
          <w:rFonts w:ascii="Calibri" w:eastAsia="ArialNarrow" w:hAnsi="Calibri" w:cs="Calibri"/>
        </w:rPr>
        <w:t>Tablica</w:t>
      </w:r>
      <w:r w:rsidR="00A7185B">
        <w:rPr>
          <w:rFonts w:ascii="Calibri" w:eastAsia="ArialNarrow" w:hAnsi="Calibri" w:cs="Calibri"/>
        </w:rPr>
        <w:t xml:space="preserve"> 112.</w:t>
      </w:r>
      <w:r>
        <w:rPr>
          <w:rFonts w:ascii="Calibri" w:eastAsia="ArialNarrow" w:hAnsi="Calibri" w:cs="Calibri"/>
        </w:rPr>
        <w:t xml:space="preserve"> </w:t>
      </w:r>
      <w:r w:rsidR="004F7EA1">
        <w:rPr>
          <w:rFonts w:ascii="Calibri" w:eastAsia="ArialNarrow" w:hAnsi="Calibri" w:cs="Calibri"/>
        </w:rPr>
        <w:t>Glavna emitivna tržišta prema broju noćenja u 2020. godini.</w:t>
      </w:r>
    </w:p>
    <w:tbl>
      <w:tblPr>
        <w:tblStyle w:val="Reetkatablice"/>
        <w:tblW w:w="0" w:type="auto"/>
        <w:tblInd w:w="5" w:type="dxa"/>
        <w:tblLook w:val="04A0" w:firstRow="1" w:lastRow="0" w:firstColumn="1" w:lastColumn="0" w:noHBand="0" w:noVBand="1"/>
      </w:tblPr>
      <w:tblGrid>
        <w:gridCol w:w="3321"/>
        <w:gridCol w:w="3601"/>
        <w:gridCol w:w="2272"/>
      </w:tblGrid>
      <w:tr w:rsidR="005018D2" w:rsidRPr="005018D2" w14:paraId="406E3886" w14:textId="77777777" w:rsidTr="005018D2">
        <w:trPr>
          <w:trHeight w:val="245"/>
        </w:trPr>
        <w:tc>
          <w:tcPr>
            <w:tcW w:w="3321" w:type="dxa"/>
            <w:shd w:val="clear" w:color="auto" w:fill="C00000"/>
            <w:noWrap/>
            <w:hideMark/>
          </w:tcPr>
          <w:p w14:paraId="70F1CC61" w14:textId="77777777" w:rsidR="005018D2" w:rsidRPr="005018D2" w:rsidRDefault="005018D2" w:rsidP="005018D2">
            <w:pPr>
              <w:spacing w:line="264" w:lineRule="auto"/>
              <w:rPr>
                <w:rFonts w:eastAsiaTheme="minorEastAsia"/>
                <w:color w:val="FFFFFF" w:themeColor="background1"/>
              </w:rPr>
            </w:pPr>
            <w:r w:rsidRPr="005018D2">
              <w:rPr>
                <w:rFonts w:eastAsiaTheme="minorEastAsia"/>
                <w:color w:val="FFFFFF" w:themeColor="background1"/>
              </w:rPr>
              <w:t>Država</w:t>
            </w:r>
          </w:p>
        </w:tc>
        <w:tc>
          <w:tcPr>
            <w:tcW w:w="3601" w:type="dxa"/>
            <w:shd w:val="clear" w:color="auto" w:fill="C00000"/>
            <w:noWrap/>
            <w:hideMark/>
          </w:tcPr>
          <w:p w14:paraId="073A99C1" w14:textId="77777777" w:rsidR="005018D2" w:rsidRPr="005018D2" w:rsidRDefault="005018D2" w:rsidP="005018D2">
            <w:pPr>
              <w:spacing w:line="264" w:lineRule="auto"/>
              <w:rPr>
                <w:rFonts w:eastAsiaTheme="minorEastAsia"/>
                <w:color w:val="FFFFFF" w:themeColor="background1"/>
              </w:rPr>
            </w:pPr>
            <w:r w:rsidRPr="005018D2">
              <w:rPr>
                <w:rFonts w:eastAsiaTheme="minorEastAsia"/>
                <w:color w:val="FFFFFF" w:themeColor="background1"/>
              </w:rPr>
              <w:t>Broj noćenja</w:t>
            </w:r>
          </w:p>
        </w:tc>
        <w:tc>
          <w:tcPr>
            <w:tcW w:w="2272" w:type="dxa"/>
            <w:shd w:val="clear" w:color="auto" w:fill="C00000"/>
            <w:noWrap/>
            <w:hideMark/>
          </w:tcPr>
          <w:p w14:paraId="6E2945F8" w14:textId="77777777" w:rsidR="005018D2" w:rsidRPr="005018D2" w:rsidRDefault="005018D2" w:rsidP="005018D2">
            <w:pPr>
              <w:spacing w:line="264" w:lineRule="auto"/>
              <w:rPr>
                <w:rFonts w:eastAsiaTheme="minorEastAsia"/>
                <w:color w:val="FFFFFF" w:themeColor="background1"/>
              </w:rPr>
            </w:pPr>
            <w:r w:rsidRPr="005018D2">
              <w:rPr>
                <w:rFonts w:eastAsiaTheme="minorEastAsia"/>
                <w:color w:val="FFFFFF" w:themeColor="background1"/>
              </w:rPr>
              <w:t>%</w:t>
            </w:r>
          </w:p>
        </w:tc>
      </w:tr>
      <w:tr w:rsidR="005018D2" w:rsidRPr="005018D2" w14:paraId="5507CB7F" w14:textId="77777777" w:rsidTr="005018D2">
        <w:trPr>
          <w:trHeight w:val="245"/>
        </w:trPr>
        <w:tc>
          <w:tcPr>
            <w:tcW w:w="3321" w:type="dxa"/>
            <w:noWrap/>
            <w:hideMark/>
          </w:tcPr>
          <w:p w14:paraId="5F7B4937"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Slovenija</w:t>
            </w:r>
          </w:p>
        </w:tc>
        <w:tc>
          <w:tcPr>
            <w:tcW w:w="3601" w:type="dxa"/>
            <w:noWrap/>
            <w:hideMark/>
          </w:tcPr>
          <w:p w14:paraId="17B4A956"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22.726</w:t>
            </w:r>
          </w:p>
        </w:tc>
        <w:tc>
          <w:tcPr>
            <w:tcW w:w="2272" w:type="dxa"/>
            <w:noWrap/>
            <w:hideMark/>
          </w:tcPr>
          <w:p w14:paraId="08D1005E"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31,96%</w:t>
            </w:r>
          </w:p>
        </w:tc>
      </w:tr>
      <w:tr w:rsidR="005018D2" w:rsidRPr="005018D2" w14:paraId="5784528C" w14:textId="77777777" w:rsidTr="005018D2">
        <w:trPr>
          <w:trHeight w:val="245"/>
        </w:trPr>
        <w:tc>
          <w:tcPr>
            <w:tcW w:w="3321" w:type="dxa"/>
            <w:noWrap/>
            <w:hideMark/>
          </w:tcPr>
          <w:p w14:paraId="2716AD91"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Poljska</w:t>
            </w:r>
          </w:p>
        </w:tc>
        <w:tc>
          <w:tcPr>
            <w:tcW w:w="3601" w:type="dxa"/>
            <w:noWrap/>
            <w:hideMark/>
          </w:tcPr>
          <w:p w14:paraId="2C0D52C4"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10.229</w:t>
            </w:r>
          </w:p>
        </w:tc>
        <w:tc>
          <w:tcPr>
            <w:tcW w:w="2272" w:type="dxa"/>
            <w:noWrap/>
            <w:hideMark/>
          </w:tcPr>
          <w:p w14:paraId="162D00CC"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14,39%</w:t>
            </w:r>
          </w:p>
        </w:tc>
      </w:tr>
      <w:tr w:rsidR="005018D2" w:rsidRPr="005018D2" w14:paraId="53C202FE" w14:textId="77777777" w:rsidTr="005018D2">
        <w:trPr>
          <w:trHeight w:val="245"/>
        </w:trPr>
        <w:tc>
          <w:tcPr>
            <w:tcW w:w="3321" w:type="dxa"/>
            <w:noWrap/>
            <w:hideMark/>
          </w:tcPr>
          <w:p w14:paraId="0A5FA6CB"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Njemačka</w:t>
            </w:r>
          </w:p>
        </w:tc>
        <w:tc>
          <w:tcPr>
            <w:tcW w:w="3601" w:type="dxa"/>
            <w:noWrap/>
            <w:hideMark/>
          </w:tcPr>
          <w:p w14:paraId="128E7CBC"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9.908</w:t>
            </w:r>
          </w:p>
        </w:tc>
        <w:tc>
          <w:tcPr>
            <w:tcW w:w="2272" w:type="dxa"/>
            <w:noWrap/>
            <w:hideMark/>
          </w:tcPr>
          <w:p w14:paraId="7F53FA9B"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13,93%</w:t>
            </w:r>
          </w:p>
        </w:tc>
      </w:tr>
      <w:tr w:rsidR="005018D2" w:rsidRPr="005018D2" w14:paraId="64DE62C8" w14:textId="77777777" w:rsidTr="005018D2">
        <w:trPr>
          <w:trHeight w:val="245"/>
        </w:trPr>
        <w:tc>
          <w:tcPr>
            <w:tcW w:w="3321" w:type="dxa"/>
            <w:noWrap/>
            <w:hideMark/>
          </w:tcPr>
          <w:p w14:paraId="54F9BFAF"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Češka</w:t>
            </w:r>
          </w:p>
        </w:tc>
        <w:tc>
          <w:tcPr>
            <w:tcW w:w="3601" w:type="dxa"/>
            <w:noWrap/>
            <w:hideMark/>
          </w:tcPr>
          <w:p w14:paraId="0C3B8E9E"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4.678</w:t>
            </w:r>
          </w:p>
        </w:tc>
        <w:tc>
          <w:tcPr>
            <w:tcW w:w="2272" w:type="dxa"/>
            <w:noWrap/>
            <w:hideMark/>
          </w:tcPr>
          <w:p w14:paraId="63DB0868"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6,58%</w:t>
            </w:r>
          </w:p>
        </w:tc>
      </w:tr>
      <w:tr w:rsidR="005018D2" w:rsidRPr="005018D2" w14:paraId="76182A7C" w14:textId="77777777" w:rsidTr="005018D2">
        <w:trPr>
          <w:trHeight w:val="245"/>
        </w:trPr>
        <w:tc>
          <w:tcPr>
            <w:tcW w:w="3321" w:type="dxa"/>
            <w:noWrap/>
            <w:hideMark/>
          </w:tcPr>
          <w:p w14:paraId="42808D2A"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BiH</w:t>
            </w:r>
          </w:p>
        </w:tc>
        <w:tc>
          <w:tcPr>
            <w:tcW w:w="3601" w:type="dxa"/>
            <w:noWrap/>
            <w:hideMark/>
          </w:tcPr>
          <w:p w14:paraId="58B45D6C"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4.048</w:t>
            </w:r>
          </w:p>
        </w:tc>
        <w:tc>
          <w:tcPr>
            <w:tcW w:w="2272" w:type="dxa"/>
            <w:noWrap/>
            <w:hideMark/>
          </w:tcPr>
          <w:p w14:paraId="1A70D7EC"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5,69%</w:t>
            </w:r>
          </w:p>
        </w:tc>
      </w:tr>
      <w:tr w:rsidR="005018D2" w:rsidRPr="005018D2" w14:paraId="4B6D3130" w14:textId="77777777" w:rsidTr="005018D2">
        <w:trPr>
          <w:trHeight w:val="245"/>
        </w:trPr>
        <w:tc>
          <w:tcPr>
            <w:tcW w:w="3321" w:type="dxa"/>
            <w:noWrap/>
            <w:hideMark/>
          </w:tcPr>
          <w:p w14:paraId="1822C844"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Mađarska</w:t>
            </w:r>
          </w:p>
        </w:tc>
        <w:tc>
          <w:tcPr>
            <w:tcW w:w="3601" w:type="dxa"/>
            <w:noWrap/>
            <w:hideMark/>
          </w:tcPr>
          <w:p w14:paraId="09699DDE"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2.341</w:t>
            </w:r>
          </w:p>
        </w:tc>
        <w:tc>
          <w:tcPr>
            <w:tcW w:w="2272" w:type="dxa"/>
            <w:noWrap/>
            <w:hideMark/>
          </w:tcPr>
          <w:p w14:paraId="33D9F3DD"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3,29%</w:t>
            </w:r>
          </w:p>
        </w:tc>
      </w:tr>
      <w:tr w:rsidR="005018D2" w:rsidRPr="005018D2" w14:paraId="4C0E3D30" w14:textId="77777777" w:rsidTr="005018D2">
        <w:trPr>
          <w:trHeight w:val="245"/>
        </w:trPr>
        <w:tc>
          <w:tcPr>
            <w:tcW w:w="3321" w:type="dxa"/>
            <w:noWrap/>
            <w:hideMark/>
          </w:tcPr>
          <w:p w14:paraId="3704D85A"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Austrija</w:t>
            </w:r>
          </w:p>
        </w:tc>
        <w:tc>
          <w:tcPr>
            <w:tcW w:w="3601" w:type="dxa"/>
            <w:noWrap/>
            <w:hideMark/>
          </w:tcPr>
          <w:p w14:paraId="4FECCD56"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2.271</w:t>
            </w:r>
          </w:p>
        </w:tc>
        <w:tc>
          <w:tcPr>
            <w:tcW w:w="2272" w:type="dxa"/>
            <w:noWrap/>
            <w:hideMark/>
          </w:tcPr>
          <w:p w14:paraId="4A8E3183"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3,19%</w:t>
            </w:r>
          </w:p>
        </w:tc>
      </w:tr>
      <w:tr w:rsidR="005018D2" w:rsidRPr="005018D2" w14:paraId="29A38128" w14:textId="77777777" w:rsidTr="005018D2">
        <w:trPr>
          <w:trHeight w:val="245"/>
        </w:trPr>
        <w:tc>
          <w:tcPr>
            <w:tcW w:w="3321" w:type="dxa"/>
            <w:noWrap/>
            <w:hideMark/>
          </w:tcPr>
          <w:p w14:paraId="594E4908"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Italija</w:t>
            </w:r>
          </w:p>
        </w:tc>
        <w:tc>
          <w:tcPr>
            <w:tcW w:w="3601" w:type="dxa"/>
            <w:noWrap/>
            <w:hideMark/>
          </w:tcPr>
          <w:p w14:paraId="2B5495A5"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1.846</w:t>
            </w:r>
          </w:p>
        </w:tc>
        <w:tc>
          <w:tcPr>
            <w:tcW w:w="2272" w:type="dxa"/>
            <w:noWrap/>
            <w:hideMark/>
          </w:tcPr>
          <w:p w14:paraId="66FD9755" w14:textId="77777777" w:rsidR="005018D2" w:rsidRPr="005018D2" w:rsidRDefault="005018D2" w:rsidP="005018D2">
            <w:pPr>
              <w:autoSpaceDE w:val="0"/>
              <w:autoSpaceDN w:val="0"/>
              <w:adjustRightInd w:val="0"/>
              <w:rPr>
                <w:rFonts w:ascii="Calibri" w:eastAsia="ArialNarrow" w:hAnsi="Calibri" w:cs="Calibri"/>
              </w:rPr>
            </w:pPr>
            <w:r w:rsidRPr="005018D2">
              <w:rPr>
                <w:rFonts w:ascii="Calibri" w:eastAsia="ArialNarrow" w:hAnsi="Calibri" w:cs="Calibri"/>
              </w:rPr>
              <w:t>2,60%</w:t>
            </w:r>
          </w:p>
        </w:tc>
      </w:tr>
    </w:tbl>
    <w:p w14:paraId="3866D0D1" w14:textId="53D40150" w:rsidR="005018D2" w:rsidRPr="005018D2" w:rsidRDefault="005018D2" w:rsidP="00941871">
      <w:pPr>
        <w:autoSpaceDE w:val="0"/>
        <w:autoSpaceDN w:val="0"/>
        <w:adjustRightInd w:val="0"/>
        <w:spacing w:after="0" w:line="240" w:lineRule="auto"/>
        <w:rPr>
          <w:rFonts w:eastAsia="ArialNarrow" w:cstheme="minorHAnsi"/>
          <w:i/>
          <w:color w:val="ABABAB" w:themeColor="text1" w:themeTint="A6"/>
          <w:sz w:val="16"/>
          <w:szCs w:val="16"/>
        </w:rPr>
      </w:pPr>
      <w:r w:rsidRPr="005018D2">
        <w:rPr>
          <w:rFonts w:eastAsia="ArialNarrow" w:cstheme="minorHAnsi"/>
          <w:i/>
          <w:color w:val="ABABAB" w:themeColor="text1" w:themeTint="A6"/>
          <w:sz w:val="16"/>
          <w:szCs w:val="16"/>
        </w:rPr>
        <w:t>Izvor: Turistička zajednica Krapinsko-zagorske županije, 2020. godina</w:t>
      </w:r>
    </w:p>
    <w:p w14:paraId="68852403" w14:textId="77777777" w:rsidR="005018D2" w:rsidRDefault="005018D2" w:rsidP="00941871">
      <w:pPr>
        <w:autoSpaceDE w:val="0"/>
        <w:autoSpaceDN w:val="0"/>
        <w:adjustRightInd w:val="0"/>
        <w:spacing w:after="0" w:line="240" w:lineRule="auto"/>
        <w:rPr>
          <w:rFonts w:ascii="Calibri" w:eastAsia="ArialNarrow" w:hAnsi="Calibri" w:cs="Calibri"/>
        </w:rPr>
      </w:pPr>
    </w:p>
    <w:p w14:paraId="2764327B" w14:textId="77777777" w:rsidR="004F7EA1" w:rsidRDefault="004F7EA1" w:rsidP="00941871">
      <w:pPr>
        <w:autoSpaceDE w:val="0"/>
        <w:autoSpaceDN w:val="0"/>
        <w:adjustRightInd w:val="0"/>
        <w:spacing w:after="0" w:line="240" w:lineRule="auto"/>
        <w:rPr>
          <w:rFonts w:ascii="Calibri" w:eastAsia="ArialNarrow" w:hAnsi="Calibri" w:cs="Calibri"/>
        </w:rPr>
      </w:pPr>
    </w:p>
    <w:p w14:paraId="2C629931" w14:textId="4CEC1E93" w:rsidR="008878A0" w:rsidRDefault="008878A0" w:rsidP="00AA2400">
      <w:pPr>
        <w:rPr>
          <w:rFonts w:eastAsia="ArialNarrow"/>
        </w:rPr>
      </w:pPr>
      <w:r>
        <w:rPr>
          <w:rFonts w:eastAsia="ArialNarrow"/>
        </w:rPr>
        <w:t>Gledano prema načinu dolaska domaćih i stranih turis</w:t>
      </w:r>
      <w:r w:rsidR="00965205">
        <w:rPr>
          <w:rFonts w:eastAsia="ArialNarrow"/>
        </w:rPr>
        <w:t>ta u apsolutnim brojkama, u 2019</w:t>
      </w:r>
      <w:r>
        <w:rPr>
          <w:rFonts w:eastAsia="ArialNarrow"/>
        </w:rPr>
        <w:t xml:space="preserve">. u odnosu na 2016. </w:t>
      </w:r>
      <w:r w:rsidR="00965205">
        <w:rPr>
          <w:rFonts w:eastAsia="ArialNarrow"/>
        </w:rPr>
        <w:t>godinu podaci ukazuju</w:t>
      </w:r>
      <w:r>
        <w:rPr>
          <w:rFonts w:eastAsia="ArialNarrow"/>
        </w:rPr>
        <w:t xml:space="preserve"> na pad udjela agencijskih dolazaka te porast udjela individualnih dolazaka, što vrijedi i za domaće i za strane goste. </w:t>
      </w:r>
      <w:r w:rsidR="00965205">
        <w:rPr>
          <w:rFonts w:eastAsia="ArialNarrow"/>
        </w:rPr>
        <w:t xml:space="preserve">Ovi podaci govore o bržem rastu individualnih dolazaka domaćih i stranih turista, a takav trend </w:t>
      </w:r>
      <w:r w:rsidR="005018D2">
        <w:rPr>
          <w:rFonts w:eastAsia="ArialNarrow"/>
        </w:rPr>
        <w:t xml:space="preserve">bio je </w:t>
      </w:r>
      <w:r w:rsidR="00965205">
        <w:rPr>
          <w:rFonts w:eastAsia="ArialNarrow"/>
        </w:rPr>
        <w:t>karakterističan generalno za turizam u posljednjih nekoliko godina</w:t>
      </w:r>
      <w:r w:rsidR="005018D2">
        <w:rPr>
          <w:rFonts w:eastAsia="ArialNarrow"/>
        </w:rPr>
        <w:t xml:space="preserve"> prije nastupa bolesti pandemijie COVID-19.</w:t>
      </w:r>
      <w:r w:rsidR="00185F93">
        <w:rPr>
          <w:rFonts w:eastAsia="ArialNarrow"/>
        </w:rPr>
        <w:t xml:space="preserve"> </w:t>
      </w:r>
      <w:r>
        <w:rPr>
          <w:rFonts w:eastAsia="ArialNarrow"/>
        </w:rPr>
        <w:t xml:space="preserve">Situacija je bila obrnuta u periodu od 2012. do 2014. godine, odnosno, agencijski dolasci su tada značajno rasli, osobito kada su u pitanju strani turisti, dok su individualni dolasci bili u padu. </w:t>
      </w:r>
    </w:p>
    <w:p w14:paraId="746A781E" w14:textId="77777777" w:rsidR="00517264" w:rsidRDefault="00517264" w:rsidP="00AA2400">
      <w:pPr>
        <w:rPr>
          <w:rFonts w:eastAsia="ArialNarrow"/>
        </w:rPr>
      </w:pPr>
    </w:p>
    <w:p w14:paraId="391DF5E9" w14:textId="0B3DF2F2" w:rsidR="008878A0" w:rsidRDefault="008878A0" w:rsidP="003E3F3C">
      <w:pPr>
        <w:pStyle w:val="Opisslike"/>
      </w:pPr>
      <w:r>
        <w:lastRenderedPageBreak/>
        <w:t>Grafikon</w:t>
      </w:r>
      <w:r w:rsidR="003B1507">
        <w:rPr>
          <w:noProof/>
        </w:rPr>
        <w:t xml:space="preserve"> </w:t>
      </w:r>
      <w:r w:rsidR="007D3318">
        <w:rPr>
          <w:noProof/>
        </w:rPr>
        <w:t>5</w:t>
      </w:r>
      <w:r w:rsidR="000061E9">
        <w:rPr>
          <w:noProof/>
        </w:rPr>
        <w:t>7</w:t>
      </w:r>
      <w:r w:rsidR="00517264">
        <w:rPr>
          <w:noProof/>
        </w:rPr>
        <w:t>.</w:t>
      </w:r>
      <w:r>
        <w:t xml:space="preserve"> Dolasci i noćenja turista u Krapinsko-zagorskoj županiji </w:t>
      </w:r>
      <w:r w:rsidR="001C68D0">
        <w:t>prema načinu dolaska, 2016.-2019</w:t>
      </w:r>
      <w:r>
        <w:t>. godina</w:t>
      </w:r>
    </w:p>
    <w:p w14:paraId="4102C9AA" w14:textId="41709B95" w:rsidR="005018D2" w:rsidRDefault="00C13931" w:rsidP="005018D2">
      <w:r>
        <w:rPr>
          <w:noProof/>
        </w:rPr>
        <w:drawing>
          <wp:inline distT="0" distB="0" distL="0" distR="0" wp14:anchorId="180D8477" wp14:editId="61FAB2E6">
            <wp:extent cx="5616410" cy="2743835"/>
            <wp:effectExtent l="0" t="0" r="3810" b="18415"/>
            <wp:docPr id="266" name="Grafikon 266">
              <a:extLst xmlns:a="http://schemas.openxmlformats.org/drawingml/2006/main">
                <a:ext uri="{FF2B5EF4-FFF2-40B4-BE49-F238E27FC236}">
                  <a16:creationId xmlns:a16="http://schemas.microsoft.com/office/drawing/2014/main" id="{C5BFF93F-FC3A-472C-B870-0480DE28EF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52B04676" w14:textId="535CB966" w:rsidR="008878A0" w:rsidRPr="003B1507" w:rsidRDefault="008878A0" w:rsidP="003B1507">
      <w:pPr>
        <w:autoSpaceDE w:val="0"/>
        <w:autoSpaceDN w:val="0"/>
        <w:adjustRightInd w:val="0"/>
        <w:spacing w:after="0" w:line="240" w:lineRule="auto"/>
        <w:rPr>
          <w:rFonts w:eastAsia="ArialNarrow" w:cstheme="minorHAnsi"/>
          <w:i/>
          <w:color w:val="ABABAB" w:themeColor="text1" w:themeTint="A6"/>
          <w:sz w:val="16"/>
          <w:szCs w:val="16"/>
        </w:rPr>
      </w:pPr>
      <w:r w:rsidRPr="003B1507">
        <w:rPr>
          <w:rFonts w:eastAsia="ArialNarrow" w:cstheme="minorHAnsi"/>
          <w:i/>
          <w:color w:val="ABABAB" w:themeColor="text1" w:themeTint="A6"/>
          <w:sz w:val="16"/>
          <w:szCs w:val="16"/>
        </w:rPr>
        <w:t>Izvor: Turistička zajednica Kr</w:t>
      </w:r>
      <w:r w:rsidR="001C68D0" w:rsidRPr="003B1507">
        <w:rPr>
          <w:rFonts w:eastAsia="ArialNarrow" w:cstheme="minorHAnsi"/>
          <w:i/>
          <w:color w:val="ABABAB" w:themeColor="text1" w:themeTint="A6"/>
          <w:sz w:val="16"/>
          <w:szCs w:val="16"/>
        </w:rPr>
        <w:t>apinsko-zagorske županije, 2020</w:t>
      </w:r>
      <w:r w:rsidRPr="003B1507">
        <w:rPr>
          <w:rFonts w:eastAsia="ArialNarrow" w:cstheme="minorHAnsi"/>
          <w:i/>
          <w:color w:val="ABABAB" w:themeColor="text1" w:themeTint="A6"/>
          <w:sz w:val="16"/>
          <w:szCs w:val="16"/>
        </w:rPr>
        <w:t xml:space="preserve"> godina</w:t>
      </w:r>
    </w:p>
    <w:p w14:paraId="60B69FEE" w14:textId="77777777" w:rsidR="00517264" w:rsidRDefault="00517264" w:rsidP="00941871">
      <w:pPr>
        <w:autoSpaceDE w:val="0"/>
        <w:autoSpaceDN w:val="0"/>
        <w:adjustRightInd w:val="0"/>
        <w:spacing w:after="0" w:line="240" w:lineRule="auto"/>
      </w:pPr>
    </w:p>
    <w:p w14:paraId="4F8BFFB2" w14:textId="78EF9B61" w:rsidR="008878A0" w:rsidRPr="00AA2400" w:rsidRDefault="008878A0" w:rsidP="00941871">
      <w:pPr>
        <w:autoSpaceDE w:val="0"/>
        <w:autoSpaceDN w:val="0"/>
        <w:adjustRightInd w:val="0"/>
        <w:spacing w:after="0" w:line="240" w:lineRule="auto"/>
      </w:pPr>
      <w:r w:rsidRPr="00AA2400">
        <w:t>Prosječna dužina boravka gostiju u Kra</w:t>
      </w:r>
      <w:r w:rsidR="00855DB8">
        <w:t>pinsko-zagorskoj županiji u 20</w:t>
      </w:r>
      <w:r w:rsidR="00185F93">
        <w:t>20</w:t>
      </w:r>
      <w:r w:rsidR="00855DB8">
        <w:t>. godini iznosila je 2,</w:t>
      </w:r>
      <w:r w:rsidR="00185F93">
        <w:t>34</w:t>
      </w:r>
      <w:r w:rsidRPr="00AA2400">
        <w:t xml:space="preserve"> dana za domaće t</w:t>
      </w:r>
      <w:r w:rsidR="00855DB8">
        <w:t>e 2,</w:t>
      </w:r>
      <w:r w:rsidR="00185F93">
        <w:t>17</w:t>
      </w:r>
      <w:r w:rsidRPr="00AA2400">
        <w:t xml:space="preserve"> dana za strane turiste. Od 2010. godine naovamo, podaci o trajanju boravka domaćih i stranih gostiju blago variraju iz godine u godinu. Tako se prosječan boravak </w:t>
      </w:r>
      <w:r w:rsidR="00855DB8">
        <w:t>domaćih turista kreće između 2,11 (u 201</w:t>
      </w:r>
      <w:r w:rsidR="00B75C93">
        <w:t>5. i 2019</w:t>
      </w:r>
      <w:r w:rsidRPr="00AA2400">
        <w:t>.) i 2,55 dana (2010.), no bez jasnog trenda o skraćivanju ili produživanju boravka. Strani gosti</w:t>
      </w:r>
      <w:r w:rsidR="00B75C93">
        <w:t xml:space="preserve"> se u KZŽ zadržavaju između 2,</w:t>
      </w:r>
      <w:r w:rsidR="00185F93">
        <w:t>17</w:t>
      </w:r>
      <w:r w:rsidR="00B75C93">
        <w:t xml:space="preserve"> (20</w:t>
      </w:r>
      <w:r w:rsidR="00185F93">
        <w:t>20</w:t>
      </w:r>
      <w:r w:rsidRPr="00AA2400">
        <w:t>.) te 2,24 dana (2012.) te se ovdje može</w:t>
      </w:r>
      <w:r>
        <w:rPr>
          <w:rFonts w:ascii="Calibri" w:eastAsia="ArialNarrow" w:hAnsi="Calibri" w:cs="Calibri"/>
        </w:rPr>
        <w:t xml:space="preserve"> </w:t>
      </w:r>
      <w:r w:rsidRPr="00AA2400">
        <w:t xml:space="preserve">govoriti o trendu blagog skraćivanja boravka. Boravci stranih gostiju kontinuirano su nešto kraći od boravka domaćih gostiju (od 0,1 do 0,3 dana u posljednjih </w:t>
      </w:r>
      <w:r w:rsidR="00185F93">
        <w:t xml:space="preserve">10 </w:t>
      </w:r>
      <w:r w:rsidRPr="00AA2400">
        <w:t xml:space="preserve">godina). Na nacionalnoj razini, prosječni boravak gostiju je znatno duži te iznosi 4,80 dana. </w:t>
      </w:r>
    </w:p>
    <w:p w14:paraId="48DD3FE8" w14:textId="77777777" w:rsidR="008878A0" w:rsidRDefault="008878A0" w:rsidP="00941871">
      <w:pPr>
        <w:autoSpaceDE w:val="0"/>
        <w:autoSpaceDN w:val="0"/>
        <w:adjustRightInd w:val="0"/>
        <w:spacing w:after="0" w:line="240" w:lineRule="auto"/>
        <w:rPr>
          <w:rFonts w:ascii="Calibri" w:eastAsia="ArialNarrow" w:hAnsi="Calibri" w:cs="Calibri"/>
        </w:rPr>
      </w:pPr>
    </w:p>
    <w:p w14:paraId="17B0B1A0" w14:textId="35B90BEB" w:rsidR="00517264" w:rsidRDefault="008878A0" w:rsidP="00F97293">
      <w:pPr>
        <w:rPr>
          <w:rFonts w:eastAsia="ArialNarrow"/>
        </w:rPr>
      </w:pPr>
      <w:r>
        <w:rPr>
          <w:rFonts w:eastAsia="ArialNarrow"/>
        </w:rPr>
        <w:t xml:space="preserve">Gledano prema vrsti smještaja, </w:t>
      </w:r>
      <w:r w:rsidR="00B75C93">
        <w:rPr>
          <w:rFonts w:eastAsia="ArialNarrow"/>
        </w:rPr>
        <w:t xml:space="preserve">u 2019. godini </w:t>
      </w:r>
      <w:r>
        <w:rPr>
          <w:rFonts w:eastAsia="ArialNarrow"/>
        </w:rPr>
        <w:t xml:space="preserve">gosti </w:t>
      </w:r>
      <w:r w:rsidR="00185F93">
        <w:rPr>
          <w:rFonts w:eastAsia="ArialNarrow"/>
        </w:rPr>
        <w:t xml:space="preserve">su </w:t>
      </w:r>
      <w:r>
        <w:rPr>
          <w:rFonts w:eastAsia="ArialNarrow"/>
        </w:rPr>
        <w:t xml:space="preserve">se </w:t>
      </w:r>
      <w:r w:rsidR="00B75C93">
        <w:rPr>
          <w:rFonts w:eastAsia="ArialNarrow"/>
        </w:rPr>
        <w:t>najduže zadržavali</w:t>
      </w:r>
      <w:r>
        <w:rPr>
          <w:rFonts w:eastAsia="ArialNarrow"/>
        </w:rPr>
        <w:t xml:space="preserve"> u</w:t>
      </w:r>
      <w:r w:rsidR="00B75C93">
        <w:rPr>
          <w:rFonts w:eastAsia="ArialNarrow"/>
        </w:rPr>
        <w:t xml:space="preserve"> objektima u domaćinstvu </w:t>
      </w:r>
      <w:r w:rsidR="00AE6BC4">
        <w:rPr>
          <w:rFonts w:eastAsia="ArialNarrow"/>
        </w:rPr>
        <w:t xml:space="preserve">prosječno 2,71 dana, zatim u kampovima 2,33 dana te u objektima na OPG-u </w:t>
      </w:r>
      <w:r w:rsidR="00B75C93">
        <w:rPr>
          <w:rFonts w:eastAsia="ArialNarrow"/>
        </w:rPr>
        <w:t>2,17</w:t>
      </w:r>
      <w:r w:rsidR="00AE6BC4">
        <w:rPr>
          <w:rFonts w:eastAsia="ArialNarrow"/>
        </w:rPr>
        <w:t xml:space="preserve"> dana</w:t>
      </w:r>
      <w:r>
        <w:rPr>
          <w:rFonts w:eastAsia="ArialNarrow"/>
        </w:rPr>
        <w:t>.</w:t>
      </w:r>
    </w:p>
    <w:p w14:paraId="10C2AAD0" w14:textId="77777777" w:rsidR="00185F93" w:rsidRDefault="00185F93" w:rsidP="00F97293">
      <w:pPr>
        <w:rPr>
          <w:rFonts w:eastAsia="ArialNarrow"/>
        </w:rPr>
      </w:pPr>
    </w:p>
    <w:p w14:paraId="18665407" w14:textId="5E7D83C2" w:rsidR="008878A0" w:rsidRDefault="008878A0" w:rsidP="003E3F3C">
      <w:pPr>
        <w:pStyle w:val="Opisslike"/>
      </w:pPr>
      <w:r>
        <w:t xml:space="preserve">Grafikon </w:t>
      </w:r>
      <w:r w:rsidR="007D3318">
        <w:t>5</w:t>
      </w:r>
      <w:r w:rsidR="000061E9">
        <w:t>8</w:t>
      </w:r>
      <w:r w:rsidR="00517264">
        <w:t>.</w:t>
      </w:r>
      <w:r>
        <w:t xml:space="preserve"> Prosječna dužina boravka gostiju u Krapinsko-</w:t>
      </w:r>
      <w:r w:rsidR="00B75C93">
        <w:t>zagorskoj županiji, 201</w:t>
      </w:r>
      <w:r w:rsidR="00D30799">
        <w:t>0</w:t>
      </w:r>
      <w:r w:rsidR="00B75C93">
        <w:t>. - 20</w:t>
      </w:r>
      <w:r w:rsidR="00185F93">
        <w:t>20</w:t>
      </w:r>
      <w:r>
        <w:t>. godina</w:t>
      </w:r>
    </w:p>
    <w:p w14:paraId="33F7F337" w14:textId="7EBF491A" w:rsidR="00185F93" w:rsidRDefault="00185F93" w:rsidP="00185F93">
      <w:r>
        <w:rPr>
          <w:noProof/>
        </w:rPr>
        <w:drawing>
          <wp:inline distT="0" distB="0" distL="0" distR="0" wp14:anchorId="0B646BED" wp14:editId="49FFDC04">
            <wp:extent cx="5908040" cy="2530688"/>
            <wp:effectExtent l="0" t="0" r="16510" b="3175"/>
            <wp:docPr id="267" name="Grafikon 267">
              <a:extLst xmlns:a="http://schemas.openxmlformats.org/drawingml/2006/main">
                <a:ext uri="{FF2B5EF4-FFF2-40B4-BE49-F238E27FC236}">
                  <a16:creationId xmlns:a16="http://schemas.microsoft.com/office/drawing/2014/main" id="{BAE802B8-1128-4FFC-B788-83B7E9B824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5D801C1A" w14:textId="4CF3539E" w:rsidR="008878A0" w:rsidRPr="007D3318" w:rsidRDefault="008878A0" w:rsidP="007D3318">
      <w:pPr>
        <w:autoSpaceDE w:val="0"/>
        <w:autoSpaceDN w:val="0"/>
        <w:adjustRightInd w:val="0"/>
        <w:spacing w:after="0" w:line="240" w:lineRule="auto"/>
        <w:rPr>
          <w:rFonts w:eastAsia="ArialNarrow" w:cstheme="minorHAnsi"/>
          <w:i/>
          <w:color w:val="ABABAB" w:themeColor="text1" w:themeTint="A6"/>
          <w:sz w:val="16"/>
          <w:szCs w:val="16"/>
        </w:rPr>
      </w:pPr>
      <w:r w:rsidRPr="007D3318">
        <w:rPr>
          <w:rFonts w:eastAsia="ArialNarrow" w:cstheme="minorHAnsi"/>
          <w:i/>
          <w:color w:val="ABABAB" w:themeColor="text1" w:themeTint="A6"/>
          <w:sz w:val="16"/>
          <w:szCs w:val="16"/>
        </w:rPr>
        <w:t>Izvor: Turistička zajednica K</w:t>
      </w:r>
      <w:r w:rsidR="00D960DE" w:rsidRPr="007D3318">
        <w:rPr>
          <w:rFonts w:eastAsia="ArialNarrow" w:cstheme="minorHAnsi"/>
          <w:i/>
          <w:color w:val="ABABAB" w:themeColor="text1" w:themeTint="A6"/>
          <w:sz w:val="16"/>
          <w:szCs w:val="16"/>
        </w:rPr>
        <w:t>rapinsko-zagorske županije, 2020</w:t>
      </w:r>
      <w:r w:rsidRPr="007D3318">
        <w:rPr>
          <w:rFonts w:eastAsia="ArialNarrow" w:cstheme="minorHAnsi"/>
          <w:i/>
          <w:color w:val="ABABAB" w:themeColor="text1" w:themeTint="A6"/>
          <w:sz w:val="16"/>
          <w:szCs w:val="16"/>
        </w:rPr>
        <w:t>. godine</w:t>
      </w:r>
    </w:p>
    <w:p w14:paraId="16C302D1" w14:textId="19E53208" w:rsidR="008878A0" w:rsidRDefault="008878A0" w:rsidP="00AA2400">
      <w:pPr>
        <w:rPr>
          <w:rFonts w:eastAsia="ArialNarrow"/>
        </w:rPr>
      </w:pPr>
    </w:p>
    <w:p w14:paraId="3AE5456A" w14:textId="77777777" w:rsidR="00185F93" w:rsidRPr="000E19D8" w:rsidRDefault="00185F93" w:rsidP="00185F93">
      <w:pPr>
        <w:rPr>
          <w:rFonts w:eastAsia="ArialNarrow" w:cs="Times New Roman"/>
          <w:color w:val="3F3F3F"/>
        </w:rPr>
      </w:pPr>
      <w:r w:rsidRPr="000E19D8">
        <w:rPr>
          <w:rFonts w:eastAsia="ArialNarrow" w:cs="Times New Roman"/>
          <w:color w:val="3F3F3F"/>
        </w:rPr>
        <w:t>S obzirom na vrstu smještaja, gosti daleko najčešće odsjedaju u hotelima. Postotak ostvarenih dolazaka i noćenja u hotelima u 20</w:t>
      </w:r>
      <w:r>
        <w:rPr>
          <w:rFonts w:eastAsia="ArialNarrow" w:cs="Times New Roman"/>
          <w:color w:val="3F3F3F"/>
        </w:rPr>
        <w:t>20</w:t>
      </w:r>
      <w:r w:rsidRPr="000E19D8">
        <w:rPr>
          <w:rFonts w:eastAsia="ArialNarrow" w:cs="Times New Roman"/>
          <w:color w:val="3F3F3F"/>
        </w:rPr>
        <w:t xml:space="preserve">. godini iznosi oko </w:t>
      </w:r>
      <w:r>
        <w:rPr>
          <w:rFonts w:eastAsia="ArialNarrow" w:cs="Times New Roman"/>
          <w:color w:val="3F3F3F"/>
        </w:rPr>
        <w:t>76</w:t>
      </w:r>
      <w:r w:rsidRPr="000E19D8">
        <w:rPr>
          <w:rFonts w:eastAsia="ArialNarrow" w:cs="Times New Roman"/>
          <w:color w:val="3F3F3F"/>
        </w:rPr>
        <w:t xml:space="preserve">% u ukupnom broju dolazaka i </w:t>
      </w:r>
      <w:r>
        <w:rPr>
          <w:rFonts w:eastAsia="ArialNarrow" w:cs="Times New Roman"/>
          <w:color w:val="3F3F3F"/>
        </w:rPr>
        <w:t>75</w:t>
      </w:r>
      <w:r w:rsidRPr="000E19D8">
        <w:rPr>
          <w:rFonts w:eastAsia="ArialNarrow" w:cs="Times New Roman"/>
          <w:color w:val="3F3F3F"/>
        </w:rPr>
        <w:t xml:space="preserve">% noćenja u KZŽ. Slijede objekti u domaćinstvu u kojima je ostvareno </w:t>
      </w:r>
      <w:r>
        <w:rPr>
          <w:rFonts w:eastAsia="ArialNarrow" w:cs="Times New Roman"/>
          <w:color w:val="3F3F3F"/>
        </w:rPr>
        <w:t>15,5</w:t>
      </w:r>
      <w:r w:rsidRPr="000E19D8">
        <w:rPr>
          <w:rFonts w:eastAsia="ArialNarrow" w:cs="Times New Roman"/>
          <w:color w:val="3F3F3F"/>
        </w:rPr>
        <w:t xml:space="preserve">% dolazaka i </w:t>
      </w:r>
      <w:r>
        <w:rPr>
          <w:rFonts w:eastAsia="ArialNarrow" w:cs="Times New Roman"/>
          <w:color w:val="3F3F3F"/>
        </w:rPr>
        <w:t>17</w:t>
      </w:r>
      <w:r w:rsidRPr="000E19D8">
        <w:rPr>
          <w:rFonts w:eastAsia="ArialNarrow" w:cs="Times New Roman"/>
          <w:color w:val="3F3F3F"/>
        </w:rPr>
        <w:t>% noćenja. Iako broj dolazaka i noćenje u hotelima kontinuirano raste, udio dolazaka i noćenja ostvarenih u hotelskom smještaju pada, što govori o brzom porastu dolazaka i noćenja u drugim vrstama smještaja. U periodu od 201</w:t>
      </w:r>
      <w:r>
        <w:rPr>
          <w:rFonts w:eastAsia="ArialNarrow" w:cs="Times New Roman"/>
          <w:color w:val="3F3F3F"/>
        </w:rPr>
        <w:t>7</w:t>
      </w:r>
      <w:r w:rsidRPr="000E19D8">
        <w:rPr>
          <w:rFonts w:eastAsia="ArialNarrow" w:cs="Times New Roman"/>
          <w:color w:val="3F3F3F"/>
        </w:rPr>
        <w:t>.-20</w:t>
      </w:r>
      <w:r>
        <w:rPr>
          <w:rFonts w:eastAsia="ArialNarrow" w:cs="Times New Roman"/>
          <w:color w:val="3F3F3F"/>
        </w:rPr>
        <w:t>20</w:t>
      </w:r>
      <w:r w:rsidRPr="000E19D8">
        <w:rPr>
          <w:rFonts w:eastAsia="ArialNarrow" w:cs="Times New Roman"/>
          <w:color w:val="3F3F3F"/>
        </w:rPr>
        <w:t>. vidljiv je pad broja dolazaka u hotelima s 87,</w:t>
      </w:r>
      <w:r>
        <w:rPr>
          <w:rFonts w:eastAsia="ArialNarrow" w:cs="Times New Roman"/>
          <w:color w:val="3F3F3F"/>
        </w:rPr>
        <w:t>33</w:t>
      </w:r>
      <w:r w:rsidRPr="000E19D8">
        <w:rPr>
          <w:rFonts w:eastAsia="ArialNarrow" w:cs="Times New Roman"/>
          <w:color w:val="3F3F3F"/>
        </w:rPr>
        <w:t>% u 201</w:t>
      </w:r>
      <w:r>
        <w:rPr>
          <w:rFonts w:eastAsia="ArialNarrow" w:cs="Times New Roman"/>
          <w:color w:val="3F3F3F"/>
        </w:rPr>
        <w:t>7</w:t>
      </w:r>
      <w:r w:rsidRPr="000E19D8">
        <w:rPr>
          <w:rFonts w:eastAsia="ArialNarrow" w:cs="Times New Roman"/>
          <w:color w:val="3F3F3F"/>
        </w:rPr>
        <w:t>. na 7</w:t>
      </w:r>
      <w:r>
        <w:rPr>
          <w:rFonts w:eastAsia="ArialNarrow" w:cs="Times New Roman"/>
          <w:color w:val="3F3F3F"/>
        </w:rPr>
        <w:t>6</w:t>
      </w:r>
      <w:r w:rsidRPr="000E19D8">
        <w:rPr>
          <w:rFonts w:eastAsia="ArialNarrow" w:cs="Times New Roman"/>
          <w:color w:val="3F3F3F"/>
        </w:rPr>
        <w:t>,6% u 20</w:t>
      </w:r>
      <w:r>
        <w:rPr>
          <w:rFonts w:eastAsia="ArialNarrow" w:cs="Times New Roman"/>
          <w:color w:val="3F3F3F"/>
        </w:rPr>
        <w:t>20</w:t>
      </w:r>
      <w:r w:rsidRPr="000E19D8">
        <w:rPr>
          <w:rFonts w:eastAsia="ArialNarrow" w:cs="Times New Roman"/>
          <w:color w:val="3F3F3F"/>
        </w:rPr>
        <w:t xml:space="preserve">. Istovremeno, zabilježen je rast broja dolazaka u objektima u domaćinstvu (s </w:t>
      </w:r>
      <w:r>
        <w:rPr>
          <w:rFonts w:eastAsia="ArialNarrow" w:cs="Times New Roman"/>
          <w:color w:val="3F3F3F"/>
        </w:rPr>
        <w:t>6</w:t>
      </w:r>
      <w:r w:rsidRPr="000E19D8">
        <w:rPr>
          <w:rFonts w:eastAsia="ArialNarrow" w:cs="Times New Roman"/>
          <w:color w:val="3F3F3F"/>
        </w:rPr>
        <w:t>,9</w:t>
      </w:r>
      <w:r>
        <w:rPr>
          <w:rFonts w:eastAsia="ArialNarrow" w:cs="Times New Roman"/>
          <w:color w:val="3F3F3F"/>
        </w:rPr>
        <w:t>6</w:t>
      </w:r>
      <w:r w:rsidRPr="000E19D8">
        <w:rPr>
          <w:rFonts w:eastAsia="ArialNarrow" w:cs="Times New Roman"/>
          <w:color w:val="3F3F3F"/>
        </w:rPr>
        <w:t xml:space="preserve">% na </w:t>
      </w:r>
      <w:r>
        <w:rPr>
          <w:rFonts w:eastAsia="ArialNarrow" w:cs="Times New Roman"/>
          <w:color w:val="3F3F3F"/>
        </w:rPr>
        <w:t>15</w:t>
      </w:r>
      <w:r w:rsidRPr="000E19D8">
        <w:rPr>
          <w:rFonts w:eastAsia="ArialNarrow" w:cs="Times New Roman"/>
          <w:color w:val="3F3F3F"/>
        </w:rPr>
        <w:t>,</w:t>
      </w:r>
      <w:r>
        <w:rPr>
          <w:rFonts w:eastAsia="ArialNarrow" w:cs="Times New Roman"/>
          <w:color w:val="3F3F3F"/>
        </w:rPr>
        <w:t>51</w:t>
      </w:r>
      <w:r w:rsidRPr="000E19D8">
        <w:rPr>
          <w:rFonts w:eastAsia="ArialNarrow" w:cs="Times New Roman"/>
          <w:color w:val="3F3F3F"/>
        </w:rPr>
        <w:t xml:space="preserve">%). </w:t>
      </w:r>
    </w:p>
    <w:p w14:paraId="08BD1050" w14:textId="77777777" w:rsidR="00185F93" w:rsidRDefault="00185F93" w:rsidP="00AA2400">
      <w:pPr>
        <w:rPr>
          <w:rFonts w:eastAsia="ArialNarrow"/>
        </w:rPr>
      </w:pPr>
    </w:p>
    <w:p w14:paraId="5B239F6D" w14:textId="49764DE8" w:rsidR="00AA2400" w:rsidRPr="00AA2400" w:rsidRDefault="008878A0" w:rsidP="003E3F3C">
      <w:pPr>
        <w:pStyle w:val="Opisslike"/>
      </w:pPr>
      <w:r>
        <w:lastRenderedPageBreak/>
        <w:t>Grafikon</w:t>
      </w:r>
      <w:r w:rsidR="007D3318">
        <w:rPr>
          <w:noProof/>
        </w:rPr>
        <w:t xml:space="preserve"> 5</w:t>
      </w:r>
      <w:r w:rsidR="000061E9">
        <w:rPr>
          <w:noProof/>
        </w:rPr>
        <w:t>9</w:t>
      </w:r>
      <w:r w:rsidR="00517264">
        <w:rPr>
          <w:noProof/>
        </w:rPr>
        <w:t>.</w:t>
      </w:r>
      <w:r>
        <w:t xml:space="preserve"> Dolasci i noćenja turista u Krapinsko-zagorskoj županiji pr</w:t>
      </w:r>
      <w:r w:rsidR="005E510C">
        <w:t>ema vrsti objekata, 2016. – 2019</w:t>
      </w:r>
      <w:r>
        <w:t>.</w:t>
      </w:r>
    </w:p>
    <w:p w14:paraId="2908EE29" w14:textId="00DCBE80" w:rsidR="008878A0" w:rsidRDefault="00B62EEF" w:rsidP="00941871">
      <w:pPr>
        <w:rPr>
          <w:rFonts w:ascii="Calibri" w:eastAsia="ArialNarrow,Bold" w:hAnsi="Calibri" w:cs="Calibri"/>
          <w:b/>
          <w:bCs/>
        </w:rPr>
      </w:pPr>
      <w:r>
        <w:rPr>
          <w:noProof/>
          <w:lang w:eastAsia="hr-HR"/>
        </w:rPr>
        <w:drawing>
          <wp:inline distT="0" distB="0" distL="0" distR="0" wp14:anchorId="2F84D518" wp14:editId="0BBAE25C">
            <wp:extent cx="5915025" cy="3352800"/>
            <wp:effectExtent l="0" t="0" r="9525" b="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1CE421E0" w14:textId="76F45C99" w:rsidR="00517264" w:rsidRPr="007D3318" w:rsidRDefault="008878A0" w:rsidP="007D3318">
      <w:pPr>
        <w:autoSpaceDE w:val="0"/>
        <w:autoSpaceDN w:val="0"/>
        <w:adjustRightInd w:val="0"/>
        <w:spacing w:after="0" w:line="240" w:lineRule="auto"/>
        <w:rPr>
          <w:rFonts w:eastAsia="ArialNarrow" w:cstheme="minorHAnsi"/>
          <w:i/>
          <w:color w:val="ABABAB" w:themeColor="text1" w:themeTint="A6"/>
          <w:sz w:val="16"/>
          <w:szCs w:val="16"/>
        </w:rPr>
      </w:pPr>
      <w:r w:rsidRPr="007D3318">
        <w:rPr>
          <w:rFonts w:eastAsia="ArialNarrow" w:cstheme="minorHAnsi"/>
          <w:i/>
          <w:color w:val="ABABAB" w:themeColor="text1" w:themeTint="A6"/>
          <w:sz w:val="16"/>
          <w:szCs w:val="16"/>
        </w:rPr>
        <w:t>Izvor: Turistička zajednica Krapinsko-z</w:t>
      </w:r>
      <w:r w:rsidR="00D960DE" w:rsidRPr="007D3318">
        <w:rPr>
          <w:rFonts w:eastAsia="ArialNarrow" w:cstheme="minorHAnsi"/>
          <w:i/>
          <w:color w:val="ABABAB" w:themeColor="text1" w:themeTint="A6"/>
          <w:sz w:val="16"/>
          <w:szCs w:val="16"/>
        </w:rPr>
        <w:t>agorske županije, 2020</w:t>
      </w:r>
      <w:r w:rsidRPr="007D3318">
        <w:rPr>
          <w:rFonts w:eastAsia="ArialNarrow" w:cstheme="minorHAnsi"/>
          <w:i/>
          <w:color w:val="ABABAB" w:themeColor="text1" w:themeTint="A6"/>
          <w:sz w:val="16"/>
          <w:szCs w:val="16"/>
        </w:rPr>
        <w:t>. godine</w:t>
      </w:r>
    </w:p>
    <w:p w14:paraId="3C11DE15" w14:textId="77777777" w:rsidR="00517264" w:rsidRDefault="00517264" w:rsidP="00AA2400">
      <w:pPr>
        <w:rPr>
          <w:rFonts w:eastAsia="ArialNarrow"/>
        </w:rPr>
      </w:pPr>
    </w:p>
    <w:p w14:paraId="527CD5B9" w14:textId="4158A11F" w:rsidR="00DF050A" w:rsidRDefault="00B12C81" w:rsidP="00941871">
      <w:pPr>
        <w:rPr>
          <w:rFonts w:eastAsia="ArialNarrow"/>
          <w:sz w:val="22"/>
          <w:szCs w:val="22"/>
        </w:rPr>
      </w:pPr>
      <w:r>
        <w:rPr>
          <w:rFonts w:eastAsia="ArialNarrow"/>
        </w:rPr>
        <w:t>Z</w:t>
      </w:r>
      <w:r w:rsidR="008878A0">
        <w:rPr>
          <w:rFonts w:eastAsia="ArialNarrow"/>
        </w:rPr>
        <w:t>auzetost hotelskog smještaja kontinuirano</w:t>
      </w:r>
      <w:r>
        <w:rPr>
          <w:rFonts w:eastAsia="ArialNarrow"/>
        </w:rPr>
        <w:t xml:space="preserve"> raste</w:t>
      </w:r>
      <w:r w:rsidR="008878A0">
        <w:rPr>
          <w:rFonts w:eastAsia="ArialNarrow"/>
        </w:rPr>
        <w:t>. U periodu od 2008. naovamo, stopa zauzetosti hotelskog smještaja porasla j</w:t>
      </w:r>
      <w:r w:rsidR="00412882">
        <w:rPr>
          <w:rFonts w:eastAsia="ArialNarrow"/>
        </w:rPr>
        <w:t>e s oko 32% u 2008. godini na</w:t>
      </w:r>
      <w:r w:rsidR="008878A0">
        <w:rPr>
          <w:rFonts w:eastAsia="ArialNarrow"/>
        </w:rPr>
        <w:t xml:space="preserve"> 46</w:t>
      </w:r>
      <w:r w:rsidR="00412882">
        <w:rPr>
          <w:rFonts w:eastAsia="ArialNarrow"/>
        </w:rPr>
        <w:t>,77% u 2019</w:t>
      </w:r>
      <w:r w:rsidR="008878A0">
        <w:rPr>
          <w:rFonts w:eastAsia="ArialNarrow"/>
        </w:rPr>
        <w:t>. godini</w:t>
      </w:r>
      <w:r w:rsidR="00FB3C32">
        <w:rPr>
          <w:rFonts w:eastAsia="ArialNarrow"/>
        </w:rPr>
        <w:t>,</w:t>
      </w:r>
      <w:r w:rsidR="00185F93">
        <w:rPr>
          <w:rFonts w:eastAsia="ArialNarrow" w:cs="Times New Roman"/>
          <w:color w:val="3F3F3F"/>
        </w:rPr>
        <w:t xml:space="preserve"> da bi 2020.godine stopa pala na 23,38%. </w:t>
      </w:r>
      <w:r w:rsidR="008878A0">
        <w:rPr>
          <w:rFonts w:eastAsia="ArialNarrow"/>
        </w:rPr>
        <w:t xml:space="preserve">Važno je istaknuti kako je stopa zauzetosti hotelskog smještaja u KZŽ u 2018. </w:t>
      </w:r>
      <w:r w:rsidR="00412882">
        <w:rPr>
          <w:rFonts w:eastAsia="ArialNarrow"/>
        </w:rPr>
        <w:t xml:space="preserve">bila </w:t>
      </w:r>
      <w:r w:rsidR="008878A0">
        <w:rPr>
          <w:rFonts w:eastAsia="ArialNarrow"/>
        </w:rPr>
        <w:t>viša od nacionalnog prosjeka za gotovo 3%</w:t>
      </w:r>
      <w:r w:rsidR="008878A0">
        <w:rPr>
          <w:rStyle w:val="Referencafusnote"/>
          <w:rFonts w:ascii="Calibri" w:eastAsia="ArialNarrow" w:hAnsi="Calibri" w:cs="Calibri"/>
        </w:rPr>
        <w:footnoteReference w:id="78"/>
      </w:r>
      <w:r w:rsidR="008878A0">
        <w:rPr>
          <w:rFonts w:eastAsia="ArialNarrow"/>
        </w:rPr>
        <w:t xml:space="preserve">.Ovaj podatak ukazuje na velik porast turističkog prometa u hotelima, osobito ako se ima u vidu da su u navedenom periodu rasli i smještajni kapaciteti u hotelima, što upućuje na velik značaj hotelskog smještaja u turističkoj ponudi i potražnji na području KZŽ. Uz hotele, stopa zauzetosti blago je porasla i u objektima u domaćinstvu te objektima na OPG-u, dok je kod drugih oblika smještaja u padu. </w:t>
      </w:r>
      <w:r w:rsidR="00FB3C32">
        <w:rPr>
          <w:rFonts w:eastAsia="ArialNarrow"/>
        </w:rPr>
        <w:t xml:space="preserve">U 2019. godini stopa zauzetosti u kampovima bila je u porastu dok je sada ponovo u padu, </w:t>
      </w:r>
      <w:r w:rsidR="008878A0">
        <w:rPr>
          <w:rFonts w:eastAsia="ArialNarrow"/>
        </w:rPr>
        <w:t>no ovdje je potrebno imati na umu kako je broj smještajnih kapaciteta u kampovima u promatranom periodu porastao gotovo tri puta</w:t>
      </w:r>
      <w:r w:rsidR="00D62C2D">
        <w:rPr>
          <w:rFonts w:eastAsia="ArialNarrow"/>
        </w:rPr>
        <w:t xml:space="preserve"> te je vjerojatno potrebno vrijeme da se isti uhodaju</w:t>
      </w:r>
      <w:r w:rsidR="00FB3C32">
        <w:rPr>
          <w:rFonts w:eastAsia="ArialNarrow"/>
        </w:rPr>
        <w:t xml:space="preserve"> što će biti svakako otežano uslijed okolnosti vezanih uz pandemiju bolesti COVID-19.</w:t>
      </w:r>
    </w:p>
    <w:p w14:paraId="33898524" w14:textId="79F60EDF" w:rsidR="008878A0" w:rsidRPr="00DF050A" w:rsidRDefault="008878A0" w:rsidP="00941871">
      <w:pPr>
        <w:rPr>
          <w:rFonts w:eastAsia="ArialNarrow"/>
          <w:sz w:val="22"/>
          <w:szCs w:val="22"/>
        </w:rPr>
      </w:pPr>
    </w:p>
    <w:p w14:paraId="3DC5820E" w14:textId="49DD53A9" w:rsidR="008878A0" w:rsidRDefault="008878A0" w:rsidP="003E3F3C">
      <w:pPr>
        <w:pStyle w:val="Opisslike"/>
      </w:pPr>
      <w:r>
        <w:lastRenderedPageBreak/>
        <w:t>Grafikon</w:t>
      </w:r>
      <w:r w:rsidR="007D3318">
        <w:rPr>
          <w:noProof/>
        </w:rPr>
        <w:t xml:space="preserve"> </w:t>
      </w:r>
      <w:r w:rsidR="000061E9">
        <w:rPr>
          <w:noProof/>
        </w:rPr>
        <w:t>60</w:t>
      </w:r>
      <w:r w:rsidR="00517264">
        <w:t xml:space="preserve">. </w:t>
      </w:r>
      <w:r>
        <w:t>Stopa zauzetosti smještajnih kapaciteta</w:t>
      </w:r>
      <w:r w:rsidR="00E316DA">
        <w:t xml:space="preserve"> u KZŽ-u u periodu od 201</w:t>
      </w:r>
      <w:r w:rsidR="00FB3C32">
        <w:t>7</w:t>
      </w:r>
      <w:r w:rsidR="00E316DA">
        <w:t>.-20</w:t>
      </w:r>
      <w:r w:rsidR="00FB3C32">
        <w:t>20</w:t>
      </w:r>
      <w:r>
        <w:t>.</w:t>
      </w:r>
    </w:p>
    <w:p w14:paraId="7688443F" w14:textId="64AF0E75" w:rsidR="00FB3C32" w:rsidRPr="00FB3C32" w:rsidRDefault="00FB3C32" w:rsidP="00FB3C32">
      <w:r>
        <w:rPr>
          <w:noProof/>
        </w:rPr>
        <w:drawing>
          <wp:inline distT="0" distB="0" distL="0" distR="0" wp14:anchorId="2ACA9C29" wp14:editId="42F415F1">
            <wp:extent cx="5908040" cy="2823386"/>
            <wp:effectExtent l="0" t="0" r="16510" b="15240"/>
            <wp:docPr id="271" name="Grafikon 271">
              <a:extLst xmlns:a="http://schemas.openxmlformats.org/drawingml/2006/main">
                <a:ext uri="{FF2B5EF4-FFF2-40B4-BE49-F238E27FC236}">
                  <a16:creationId xmlns:a16="http://schemas.microsoft.com/office/drawing/2014/main" id="{C312C25C-26FD-4BBA-B531-A6241C688F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2403ADAE" w14:textId="7C8C1B30" w:rsidR="008878A0" w:rsidRPr="007D3318" w:rsidRDefault="008878A0" w:rsidP="007D3318">
      <w:pPr>
        <w:autoSpaceDE w:val="0"/>
        <w:autoSpaceDN w:val="0"/>
        <w:adjustRightInd w:val="0"/>
        <w:spacing w:after="0" w:line="240" w:lineRule="auto"/>
        <w:rPr>
          <w:rFonts w:eastAsia="ArialNarrow" w:cstheme="minorHAnsi"/>
          <w:i/>
          <w:color w:val="ABABAB" w:themeColor="text1" w:themeTint="A6"/>
          <w:sz w:val="16"/>
          <w:szCs w:val="16"/>
        </w:rPr>
      </w:pPr>
      <w:r w:rsidRPr="007D3318">
        <w:rPr>
          <w:rFonts w:eastAsia="ArialNarrow" w:cstheme="minorHAnsi"/>
          <w:i/>
          <w:color w:val="ABABAB" w:themeColor="text1" w:themeTint="A6"/>
          <w:sz w:val="16"/>
          <w:szCs w:val="16"/>
        </w:rPr>
        <w:t>Izvor: Turistička zajednica K</w:t>
      </w:r>
      <w:r w:rsidR="00E316DA" w:rsidRPr="007D3318">
        <w:rPr>
          <w:rFonts w:eastAsia="ArialNarrow" w:cstheme="minorHAnsi"/>
          <w:i/>
          <w:color w:val="ABABAB" w:themeColor="text1" w:themeTint="A6"/>
          <w:sz w:val="16"/>
          <w:szCs w:val="16"/>
        </w:rPr>
        <w:t>rapinsko-zagorske županije, 2020</w:t>
      </w:r>
      <w:r w:rsidRPr="007D3318">
        <w:rPr>
          <w:rFonts w:eastAsia="ArialNarrow" w:cstheme="minorHAnsi"/>
          <w:i/>
          <w:color w:val="ABABAB" w:themeColor="text1" w:themeTint="A6"/>
          <w:sz w:val="16"/>
          <w:szCs w:val="16"/>
        </w:rPr>
        <w:t>. godina</w:t>
      </w:r>
    </w:p>
    <w:p w14:paraId="5E9A2FF7" w14:textId="77777777" w:rsidR="00517264" w:rsidRDefault="00517264" w:rsidP="00AA2400">
      <w:pPr>
        <w:rPr>
          <w:rFonts w:eastAsia="ArialNarrow"/>
        </w:rPr>
      </w:pPr>
    </w:p>
    <w:p w14:paraId="0DF67F2B" w14:textId="20FF8969" w:rsidR="006666DA" w:rsidRPr="007D3318" w:rsidRDefault="00E316DA" w:rsidP="007D3318">
      <w:pPr>
        <w:rPr>
          <w:rFonts w:eastAsia="ArialNarrow"/>
          <w:sz w:val="22"/>
          <w:szCs w:val="22"/>
        </w:rPr>
      </w:pPr>
      <w:r>
        <w:rPr>
          <w:rFonts w:eastAsia="ArialNarrow"/>
        </w:rPr>
        <w:t xml:space="preserve">Iako je vidljivo kako se najveći broj noćenja ostvaruje u </w:t>
      </w:r>
      <w:r w:rsidR="00F8543F">
        <w:rPr>
          <w:rFonts w:eastAsia="ArialNarrow"/>
        </w:rPr>
        <w:t xml:space="preserve">mjesecu </w:t>
      </w:r>
      <w:r>
        <w:rPr>
          <w:rFonts w:eastAsia="ArialNarrow"/>
        </w:rPr>
        <w:t>kolovozu, k</w:t>
      </w:r>
      <w:r w:rsidR="008878A0">
        <w:rPr>
          <w:rFonts w:eastAsia="ArialNarrow"/>
        </w:rPr>
        <w:t>ao i većina kontinentalnih regija, Krapinsko-zagorska župan</w:t>
      </w:r>
      <w:r>
        <w:rPr>
          <w:rFonts w:eastAsia="ArialNarrow"/>
        </w:rPr>
        <w:t>ija nema značajno velika</w:t>
      </w:r>
      <w:r w:rsidR="008878A0">
        <w:rPr>
          <w:rFonts w:eastAsia="ArialNarrow"/>
        </w:rPr>
        <w:t xml:space="preserve"> odstupanja u</w:t>
      </w:r>
      <w:r w:rsidR="00F8543F">
        <w:rPr>
          <w:rFonts w:eastAsia="ArialNarrow"/>
        </w:rPr>
        <w:t xml:space="preserve"> broju noćenja tijekom godišnjih doba</w:t>
      </w:r>
      <w:r>
        <w:rPr>
          <w:rFonts w:eastAsia="ArialNarrow"/>
        </w:rPr>
        <w:t>. Na razini Krapinsko-zagorske</w:t>
      </w:r>
      <w:r w:rsidR="008878A0">
        <w:rPr>
          <w:rFonts w:eastAsia="ArialNarrow"/>
        </w:rPr>
        <w:t xml:space="preserve"> </w:t>
      </w:r>
      <w:r>
        <w:rPr>
          <w:rFonts w:eastAsia="ArialNarrow"/>
        </w:rPr>
        <w:t xml:space="preserve">županije je u </w:t>
      </w:r>
      <w:r w:rsidR="008878A0">
        <w:rPr>
          <w:rFonts w:eastAsia="ArialNarrow"/>
        </w:rPr>
        <w:t xml:space="preserve">razdoblju od lipnja do rujna 2018. godine ostvareno je 38,45% noćenja, dok je na nacionalnoj razini u ljetnom periodu 2018. (lipanj-rujan) ostvareno 83,66% svih noćenja. </w:t>
      </w:r>
      <w:r w:rsidR="006569A9">
        <w:rPr>
          <w:rFonts w:eastAsia="ArialNarrow"/>
        </w:rPr>
        <w:t>U</w:t>
      </w:r>
      <w:r w:rsidR="006569A9" w:rsidRPr="006569A9">
        <w:rPr>
          <w:rFonts w:eastAsia="ArialNarrow"/>
        </w:rPr>
        <w:t xml:space="preserve"> razdoblju od lipnja do rujna 2020. godine ostvareno je 46,17% noćenja.</w:t>
      </w:r>
      <w:r w:rsidR="006569A9">
        <w:rPr>
          <w:rFonts w:eastAsia="ArialNarrow"/>
        </w:rPr>
        <w:t xml:space="preserve"> </w:t>
      </w:r>
      <w:r w:rsidR="008878A0">
        <w:rPr>
          <w:rFonts w:eastAsia="ArialNarrow"/>
        </w:rPr>
        <w:t>Značajno manja sezonalnost na županijskoj razini uvjetovana je bitno drugačijom turističkom ponudom, prije svega, izostankom dominantnog ljetnog turističkog proizvoda, ali i bitno drugačijom strukturom smještanje ponude, odnosno, izrazito visokim udjelom hotelskog smještaja u ukupnoj ponudi smještaja.</w:t>
      </w:r>
      <w:r w:rsidR="006569A9">
        <w:rPr>
          <w:rFonts w:eastAsia="ArialNarrow"/>
        </w:rPr>
        <w:t xml:space="preserve"> </w:t>
      </w:r>
    </w:p>
    <w:p w14:paraId="57EE014E" w14:textId="77777777" w:rsidR="006666DA" w:rsidRDefault="006666DA" w:rsidP="00941871">
      <w:pPr>
        <w:autoSpaceDE w:val="0"/>
        <w:autoSpaceDN w:val="0"/>
        <w:adjustRightInd w:val="0"/>
        <w:spacing w:after="0" w:line="240" w:lineRule="auto"/>
        <w:rPr>
          <w:rFonts w:ascii="Calibri" w:eastAsia="ArialNarrow" w:hAnsi="Calibri" w:cs="Calibri"/>
        </w:rPr>
      </w:pPr>
    </w:p>
    <w:p w14:paraId="563AEDFD" w14:textId="69697D20" w:rsidR="00AA2400" w:rsidRDefault="008878A0" w:rsidP="007D3318">
      <w:pPr>
        <w:pStyle w:val="Opisslike"/>
      </w:pPr>
      <w:bookmarkStart w:id="184" w:name="_Hlk54883833"/>
      <w:r>
        <w:t>Grafikon</w:t>
      </w:r>
      <w:r w:rsidR="007D3318">
        <w:rPr>
          <w:noProof/>
        </w:rPr>
        <w:t xml:space="preserve"> </w:t>
      </w:r>
      <w:r w:rsidR="000061E9">
        <w:rPr>
          <w:noProof/>
        </w:rPr>
        <w:t>61</w:t>
      </w:r>
      <w:r w:rsidR="00517264">
        <w:rPr>
          <w:noProof/>
        </w:rPr>
        <w:t>.</w:t>
      </w:r>
      <w:r>
        <w:t xml:space="preserve"> Sezonalnost prema ostvarenim noćenjima u Krapinsko-</w:t>
      </w:r>
      <w:r w:rsidR="00E316DA">
        <w:t>zagorskoj županiji, 2016. – 20</w:t>
      </w:r>
      <w:r w:rsidR="009E4534">
        <w:t>20</w:t>
      </w:r>
      <w:r>
        <w:t>. godina</w:t>
      </w:r>
      <w:bookmarkEnd w:id="184"/>
    </w:p>
    <w:p w14:paraId="5D70DD68" w14:textId="24AA8C39" w:rsidR="009E4534" w:rsidRPr="009E4534" w:rsidRDefault="009E4534" w:rsidP="009E4534">
      <w:r>
        <w:rPr>
          <w:rFonts w:ascii="Calibri" w:eastAsia="ArialNarrow,Bold" w:hAnsi="Calibri" w:cs="Calibri"/>
          <w:b/>
          <w:bCs/>
          <w:noProof/>
          <w:color w:val="3F3F3F"/>
        </w:rPr>
        <w:drawing>
          <wp:inline distT="0" distB="0" distL="0" distR="0" wp14:anchorId="3DD23C20" wp14:editId="24C5EEC8">
            <wp:extent cx="5772421" cy="2792095"/>
            <wp:effectExtent l="0" t="0" r="0" b="8255"/>
            <wp:docPr id="273" name="Slika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75432" cy="2793551"/>
                    </a:xfrm>
                    <a:prstGeom prst="rect">
                      <a:avLst/>
                    </a:prstGeom>
                    <a:noFill/>
                  </pic:spPr>
                </pic:pic>
              </a:graphicData>
            </a:graphic>
          </wp:inline>
        </w:drawing>
      </w:r>
    </w:p>
    <w:p w14:paraId="21F40439" w14:textId="337DD26E" w:rsidR="00BB7401" w:rsidRDefault="008878A0" w:rsidP="007D3318">
      <w:pPr>
        <w:autoSpaceDE w:val="0"/>
        <w:autoSpaceDN w:val="0"/>
        <w:adjustRightInd w:val="0"/>
        <w:spacing w:after="0" w:line="240" w:lineRule="auto"/>
        <w:rPr>
          <w:rFonts w:eastAsia="ArialNarrow" w:cstheme="minorHAnsi"/>
          <w:i/>
          <w:color w:val="ABABAB" w:themeColor="text1" w:themeTint="A6"/>
          <w:sz w:val="16"/>
          <w:szCs w:val="16"/>
        </w:rPr>
      </w:pPr>
      <w:r w:rsidRPr="007D3318">
        <w:rPr>
          <w:rFonts w:eastAsia="ArialNarrow" w:cstheme="minorHAnsi"/>
          <w:i/>
          <w:color w:val="ABABAB" w:themeColor="text1" w:themeTint="A6"/>
          <w:sz w:val="16"/>
          <w:szCs w:val="16"/>
        </w:rPr>
        <w:t>Izvor: Turistička zajednica Krapinsko-zagorske županije, 20</w:t>
      </w:r>
      <w:r w:rsidR="009E4534">
        <w:rPr>
          <w:rFonts w:eastAsia="ArialNarrow" w:cstheme="minorHAnsi"/>
          <w:i/>
          <w:color w:val="ABABAB" w:themeColor="text1" w:themeTint="A6"/>
          <w:sz w:val="16"/>
          <w:szCs w:val="16"/>
        </w:rPr>
        <w:t>20</w:t>
      </w:r>
      <w:r w:rsidRPr="007D3318">
        <w:rPr>
          <w:rFonts w:eastAsia="ArialNarrow" w:cstheme="minorHAnsi"/>
          <w:i/>
          <w:color w:val="ABABAB" w:themeColor="text1" w:themeTint="A6"/>
          <w:sz w:val="16"/>
          <w:szCs w:val="16"/>
        </w:rPr>
        <w:t>. godina</w:t>
      </w:r>
    </w:p>
    <w:p w14:paraId="2115C501" w14:textId="77777777" w:rsidR="007D3318" w:rsidRPr="007D3318" w:rsidRDefault="007D3318" w:rsidP="007D3318">
      <w:pPr>
        <w:autoSpaceDE w:val="0"/>
        <w:autoSpaceDN w:val="0"/>
        <w:adjustRightInd w:val="0"/>
        <w:spacing w:after="0" w:line="240" w:lineRule="auto"/>
        <w:rPr>
          <w:rFonts w:eastAsia="ArialNarrow" w:cstheme="minorHAnsi"/>
          <w:i/>
          <w:color w:val="ABABAB" w:themeColor="text1" w:themeTint="A6"/>
          <w:sz w:val="16"/>
          <w:szCs w:val="16"/>
        </w:rPr>
      </w:pPr>
    </w:p>
    <w:p w14:paraId="6667B147" w14:textId="3E59887A" w:rsidR="00BB7401" w:rsidRDefault="00BB7401" w:rsidP="00BB7401">
      <w:pPr>
        <w:rPr>
          <w:rFonts w:eastAsia="ArialNarrow"/>
        </w:rPr>
      </w:pPr>
      <w:r>
        <w:rPr>
          <w:rFonts w:eastAsia="ArialNarrow"/>
        </w:rPr>
        <w:t xml:space="preserve">Zanimljivo je primijetiti kako je na nacionalnoj razini boravak gostiju daleko najduži u vrhuncu ljetne sezone (lipanj-rujan), što je povezano s dominantnim turističkim proizvodom sunca i mora, </w:t>
      </w:r>
      <w:r w:rsidR="009E4534">
        <w:rPr>
          <w:rFonts w:eastAsia="ArialNarrow"/>
        </w:rPr>
        <w:t xml:space="preserve">dok je u KZŽ u ljetnom periodu u kolovozu zamijećen najveći broj gostiju. Razlog tome je razvijen kupališni turizam u toplicama. </w:t>
      </w:r>
      <w:r w:rsidR="002C7BD8">
        <w:rPr>
          <w:rFonts w:eastAsia="ArialNarrow"/>
        </w:rPr>
        <w:t>N</w:t>
      </w:r>
      <w:r>
        <w:rPr>
          <w:rFonts w:eastAsia="ArialNarrow"/>
        </w:rPr>
        <w:t>ajduži boravci u 20</w:t>
      </w:r>
      <w:r w:rsidR="009E4534">
        <w:rPr>
          <w:rFonts w:eastAsia="ArialNarrow"/>
        </w:rPr>
        <w:t>20</w:t>
      </w:r>
      <w:r>
        <w:rPr>
          <w:rFonts w:eastAsia="ArialNarrow"/>
        </w:rPr>
        <w:t xml:space="preserve">. godini zabilježeni su </w:t>
      </w:r>
      <w:r w:rsidR="002C7BD8">
        <w:rPr>
          <w:rFonts w:eastAsia="ArialNarrow"/>
        </w:rPr>
        <w:t>tako u kolovozu, zatim</w:t>
      </w:r>
      <w:r>
        <w:rPr>
          <w:rFonts w:eastAsia="ArialNarrow"/>
        </w:rPr>
        <w:t xml:space="preserve"> slijede </w:t>
      </w:r>
      <w:r w:rsidR="002C7BD8">
        <w:rPr>
          <w:rFonts w:eastAsia="ArialNarrow"/>
        </w:rPr>
        <w:t xml:space="preserve">siječanj, </w:t>
      </w:r>
      <w:r>
        <w:rPr>
          <w:rFonts w:eastAsia="ArialNarrow"/>
        </w:rPr>
        <w:t xml:space="preserve">veljača, </w:t>
      </w:r>
      <w:r w:rsidR="002C7BD8">
        <w:rPr>
          <w:rFonts w:eastAsia="ArialNarrow"/>
        </w:rPr>
        <w:t xml:space="preserve">lipanj i srpanj. </w:t>
      </w:r>
      <w:r>
        <w:rPr>
          <w:rFonts w:eastAsia="ArialNarrow"/>
        </w:rPr>
        <w:t>Ovi podaci, upareni s prikazanom sezonalnosti Županijskog turizma, ukazuju na činjenicu kako turistička ponuda KZŽ nije vezana za godišnja doba.</w:t>
      </w:r>
    </w:p>
    <w:p w14:paraId="3783D8F5" w14:textId="77777777" w:rsidR="0093387B" w:rsidRDefault="0093387B" w:rsidP="00BB7401">
      <w:pPr>
        <w:rPr>
          <w:rFonts w:eastAsia="ArialNarrow"/>
        </w:rPr>
      </w:pPr>
    </w:p>
    <w:p w14:paraId="57EF5B32" w14:textId="271BF866" w:rsidR="000707FE" w:rsidRDefault="007D3318" w:rsidP="006207AF">
      <w:pPr>
        <w:pStyle w:val="podpodnaslov111"/>
      </w:pPr>
      <w:bookmarkStart w:id="185" w:name="_Toc85181352"/>
      <w:r>
        <w:lastRenderedPageBreak/>
        <w:t>1</w:t>
      </w:r>
      <w:r w:rsidR="00B601EE">
        <w:t>1</w:t>
      </w:r>
      <w:r w:rsidR="000707FE">
        <w:t>.1</w:t>
      </w:r>
      <w:r w:rsidR="0093387B">
        <w:t>0</w:t>
      </w:r>
      <w:r w:rsidR="000707FE">
        <w:t>.1. Manifestacije</w:t>
      </w:r>
      <w:bookmarkEnd w:id="185"/>
    </w:p>
    <w:p w14:paraId="148A7731" w14:textId="77777777" w:rsidR="000707FE" w:rsidRDefault="000707FE" w:rsidP="000707FE"/>
    <w:p w14:paraId="1F0B471A" w14:textId="77777777" w:rsidR="000707FE" w:rsidRPr="00AA2400" w:rsidRDefault="000707FE" w:rsidP="000707FE">
      <w:pPr>
        <w:rPr>
          <w:rFonts w:eastAsia="ArialNarrow"/>
        </w:rPr>
      </w:pPr>
      <w:r w:rsidRPr="00AA2400">
        <w:rPr>
          <w:rFonts w:eastAsia="ArialNarrow"/>
        </w:rPr>
        <w:t xml:space="preserve">Događanja u Krapinsko-zagorskoj županiji uglavnom su lokalnog </w:t>
      </w:r>
      <w:r>
        <w:rPr>
          <w:rFonts w:eastAsia="ArialNarrow"/>
        </w:rPr>
        <w:t xml:space="preserve"> i regionalnog </w:t>
      </w:r>
      <w:r w:rsidRPr="00AA2400">
        <w:rPr>
          <w:rFonts w:eastAsia="ArialNarrow"/>
        </w:rPr>
        <w:t>karaktera te kao ta</w:t>
      </w:r>
      <w:r>
        <w:rPr>
          <w:rFonts w:eastAsia="ArialNarrow"/>
        </w:rPr>
        <w:t>kva, usmjerena</w:t>
      </w:r>
      <w:r w:rsidRPr="00AA2400">
        <w:rPr>
          <w:rFonts w:eastAsia="ArialNarrow"/>
        </w:rPr>
        <w:t xml:space="preserve"> uglavnom na domaće stanovništvo. Ukupno je na području županije 100-ak događanja kroz godinu, od kojih najveći potencijal za privlačenje domaćih i stranih turista imaju sportska događanja, osobito VIP trofej Snježna kraljica, ali i događanja Seljačka buna - bitka kod Stubice, Susreti za Rudija, Rally Kumrovec, Međunarodni festival balona na vrući zrak, Zagorje Trekk, Mali ulični festival, Badlfest, Tjedan kajkavske kulture i festival kajkavskih popevki te Advent u Mariji Bistrici.</w:t>
      </w:r>
      <w:r>
        <w:rPr>
          <w:rFonts w:eastAsia="ArialNarrow"/>
        </w:rPr>
        <w:t xml:space="preserve"> </w:t>
      </w:r>
    </w:p>
    <w:p w14:paraId="2E512FAB" w14:textId="77777777" w:rsidR="00BB7401" w:rsidRPr="00BB7401" w:rsidRDefault="00BB7401" w:rsidP="003C2276">
      <w:pPr>
        <w:pStyle w:val="Izvor"/>
      </w:pPr>
    </w:p>
    <w:p w14:paraId="22743A19" w14:textId="043C37F9" w:rsidR="008878A0" w:rsidRDefault="007D3318" w:rsidP="0052192B">
      <w:pPr>
        <w:pStyle w:val="Naslov2"/>
      </w:pPr>
      <w:bookmarkStart w:id="186" w:name="_Hlk48898549"/>
      <w:bookmarkStart w:id="187" w:name="_Toc85181353"/>
      <w:r>
        <w:t>1</w:t>
      </w:r>
      <w:r w:rsidR="00B601EE">
        <w:t>1</w:t>
      </w:r>
      <w:r w:rsidR="008878A0">
        <w:t>.</w:t>
      </w:r>
      <w:r w:rsidR="0093387B">
        <w:t>11</w:t>
      </w:r>
      <w:r w:rsidR="008878A0">
        <w:t>. Turističke zone u KZŽ</w:t>
      </w:r>
      <w:bookmarkEnd w:id="187"/>
    </w:p>
    <w:bookmarkEnd w:id="186"/>
    <w:p w14:paraId="5FE59DBB" w14:textId="77777777" w:rsidR="008878A0" w:rsidRDefault="008878A0" w:rsidP="00941871">
      <w:pPr>
        <w:autoSpaceDE w:val="0"/>
        <w:autoSpaceDN w:val="0"/>
        <w:adjustRightInd w:val="0"/>
        <w:spacing w:after="0" w:line="240" w:lineRule="auto"/>
        <w:rPr>
          <w:rFonts w:ascii="Calibri" w:eastAsia="ArialNarrow" w:hAnsi="Calibri" w:cs="Calibri"/>
          <w:color w:val="000000"/>
        </w:rPr>
      </w:pPr>
    </w:p>
    <w:p w14:paraId="06E1082C" w14:textId="79A3CFDA" w:rsidR="008878A0" w:rsidRDefault="008878A0" w:rsidP="00AA2400">
      <w:pPr>
        <w:rPr>
          <w:rFonts w:eastAsia="ArialNarrow"/>
        </w:rPr>
      </w:pPr>
      <w:r>
        <w:rPr>
          <w:rFonts w:eastAsia="ArialNarrow"/>
        </w:rPr>
        <w:t xml:space="preserve">U Krapinsko-zagorskoj županiji, prema podacima županijskog Zavoda za prostorno uređenje, za turističke svrhe namijenjeno je ukupno 136 lokacija ukupne površine više od 600 ha. Trenutno je izgrađeno nešto više od 80 ha ili cca. 14%, što govori o nedovoljnoj izgrađenosti turističke infrastrukture </w:t>
      </w:r>
      <w:r w:rsidR="00B12C81">
        <w:rPr>
          <w:rFonts w:eastAsia="ArialNarrow"/>
        </w:rPr>
        <w:t xml:space="preserve">s jedne, i </w:t>
      </w:r>
      <w:r>
        <w:rPr>
          <w:rFonts w:eastAsia="ArialNarrow"/>
        </w:rPr>
        <w:t>o dostatnim površinama planiranim za izgradnju turističko-rekreativnih sadržaja</w:t>
      </w:r>
      <w:r w:rsidR="00B12C81">
        <w:rPr>
          <w:rFonts w:eastAsia="ArialNarrow"/>
        </w:rPr>
        <w:t xml:space="preserve"> s druge strane.</w:t>
      </w:r>
    </w:p>
    <w:p w14:paraId="4F3ECE86" w14:textId="69F9061C" w:rsidR="008878A0" w:rsidRDefault="008878A0" w:rsidP="00AA2400">
      <w:pPr>
        <w:rPr>
          <w:rFonts w:eastAsia="ArialNarrow"/>
        </w:rPr>
      </w:pPr>
      <w:r>
        <w:rPr>
          <w:rFonts w:eastAsia="ArialNarrow"/>
        </w:rPr>
        <w:t>Postoji tek 5 zona većih od 40 ha: Jezerčica – Zaluke – Boka (43,6 ha, općina Donja Stubica); Mihovljan</w:t>
      </w:r>
      <w:r w:rsidR="00DB2056">
        <w:rPr>
          <w:rStyle w:val="Referencafusnote"/>
          <w:rFonts w:eastAsia="ArialNarrow"/>
        </w:rPr>
        <w:footnoteReference w:id="79"/>
      </w:r>
      <w:r>
        <w:rPr>
          <w:rFonts w:eastAsia="ArialNarrow"/>
        </w:rPr>
        <w:t xml:space="preserve"> - Ugostiteljsko-turistička namjena zdravstveni turizam uz Sutinske toplice - T4; tradicijsko - seoski turizam - T5; sportsko - rekreacijska namjena nogomet - R6; rekreativno jahanje - R7 (93,15 ha), Donje Jesenje – Turistička zona Karpeta (71,24 ha), Sveti Križ Začretje – Turistička zona Vrankovec – Šemničke Toplice (48,54 ha) planirane za turističko-rekreativne sadržaje te Mače (Mali Komor) – sport i rekreacija (golf 56,17 ha, relativna blizina Sutinskih toplica).</w:t>
      </w:r>
    </w:p>
    <w:p w14:paraId="209A98F6" w14:textId="77777777" w:rsidR="008878A0" w:rsidRDefault="008878A0" w:rsidP="00AA2400">
      <w:pPr>
        <w:rPr>
          <w:rFonts w:eastAsia="ArialNarrow"/>
        </w:rPr>
      </w:pPr>
      <w:r>
        <w:rPr>
          <w:rFonts w:eastAsia="ArialNarrow"/>
        </w:rPr>
        <w:t>Izuzevši navedene turističke zone, ostale planirane površine za turističko-rekreativne sadržaje predstavljaju relativno male površine, prosječne površine oko 3 ha.</w:t>
      </w:r>
      <w:r>
        <w:rPr>
          <w:color w:val="FFC100"/>
        </w:rPr>
        <w:t xml:space="preserve"> </w:t>
      </w:r>
      <w:r>
        <w:rPr>
          <w:rFonts w:eastAsia="ArialNarrow"/>
        </w:rPr>
        <w:t>Većina planiranih zona su turističke zone, dok je manji udio rekreativnih zona.</w:t>
      </w:r>
      <w:r>
        <w:rPr>
          <w:color w:val="FFC100"/>
        </w:rPr>
        <w:t xml:space="preserve"> </w:t>
      </w:r>
    </w:p>
    <w:p w14:paraId="59FC609E" w14:textId="60B50213" w:rsidR="005B4645" w:rsidRDefault="008878A0" w:rsidP="00AA2400">
      <w:pPr>
        <w:rPr>
          <w:rFonts w:eastAsia="ArialNarrow"/>
        </w:rPr>
      </w:pPr>
      <w:r>
        <w:rPr>
          <w:rFonts w:eastAsia="ArialNarrow"/>
        </w:rPr>
        <w:t>Predviđene su i 3 rekreativne zone za sport i rekreaciju odnosno golf terene</w:t>
      </w:r>
      <w:r w:rsidR="00D62C2D">
        <w:rPr>
          <w:rFonts w:eastAsia="ArialNarrow"/>
        </w:rPr>
        <w:t xml:space="preserve"> koje su </w:t>
      </w:r>
      <w:r>
        <w:rPr>
          <w:rFonts w:eastAsia="ArialNarrow"/>
        </w:rPr>
        <w:t>susjedne te zapravo čine jednu zonu ukupne veličine 113,47 ha)</w:t>
      </w:r>
      <w:r w:rsidR="00B12C81">
        <w:rPr>
          <w:rFonts w:eastAsia="ArialNarrow"/>
        </w:rPr>
        <w:t>.T</w:t>
      </w:r>
      <w:r>
        <w:rPr>
          <w:rFonts w:eastAsia="ArialNarrow"/>
        </w:rPr>
        <w:t>o su: rekreativne zone u Zlatar Bistrici (29,34 ha), Bedekovčini (27,96 ha) te Maču (56,17 ha).</w:t>
      </w:r>
      <w:r>
        <w:rPr>
          <w:color w:val="FFC100"/>
        </w:rPr>
        <w:t xml:space="preserve"> </w:t>
      </w:r>
    </w:p>
    <w:p w14:paraId="3FA89CAB" w14:textId="77777777" w:rsidR="008878A0" w:rsidRDefault="008878A0" w:rsidP="00941871">
      <w:pPr>
        <w:autoSpaceDE w:val="0"/>
        <w:autoSpaceDN w:val="0"/>
        <w:adjustRightInd w:val="0"/>
        <w:spacing w:after="0" w:line="240" w:lineRule="auto"/>
        <w:rPr>
          <w:rFonts w:ascii="Calibri" w:eastAsia="ArialNarrow" w:hAnsi="Calibri" w:cs="Calibri"/>
          <w:color w:val="000000"/>
        </w:rPr>
      </w:pPr>
    </w:p>
    <w:p w14:paraId="7539C2B4" w14:textId="41C344F7" w:rsidR="00517264" w:rsidRDefault="00517264" w:rsidP="003E3F3C">
      <w:pPr>
        <w:pStyle w:val="Opisslike"/>
      </w:pPr>
      <w:r>
        <w:t>Tablica</w:t>
      </w:r>
      <w:r w:rsidR="007D3318">
        <w:t xml:space="preserve"> 1</w:t>
      </w:r>
      <w:r w:rsidR="00A7185B">
        <w:t>13</w:t>
      </w:r>
      <w:r>
        <w:t xml:space="preserve">. </w:t>
      </w:r>
      <w:r w:rsidRPr="00565040">
        <w:t>Popis turističkih i rekreativnih zona u Krapinsko-zagorskoj županiji</w:t>
      </w:r>
    </w:p>
    <w:tbl>
      <w:tblPr>
        <w:tblW w:w="4805" w:type="pct"/>
        <w:tblBorders>
          <w:left w:val="single" w:sz="8" w:space="0" w:color="D2232A"/>
          <w:right w:val="single" w:sz="8" w:space="0" w:color="D2232A"/>
          <w:insideH w:val="single" w:sz="8" w:space="0" w:color="F3CFC1"/>
        </w:tblBorders>
        <w:tblLook w:val="04A0" w:firstRow="1" w:lastRow="0" w:firstColumn="1" w:lastColumn="0" w:noHBand="0" w:noVBand="1"/>
      </w:tblPr>
      <w:tblGrid>
        <w:gridCol w:w="2085"/>
        <w:gridCol w:w="152"/>
        <w:gridCol w:w="98"/>
        <w:gridCol w:w="45"/>
        <w:gridCol w:w="2798"/>
        <w:gridCol w:w="141"/>
        <w:gridCol w:w="228"/>
        <w:gridCol w:w="50"/>
        <w:gridCol w:w="1783"/>
        <w:gridCol w:w="316"/>
        <w:gridCol w:w="1208"/>
        <w:gridCol w:w="18"/>
      </w:tblGrid>
      <w:tr w:rsidR="008878A0" w:rsidRPr="00517264" w14:paraId="04DBB882" w14:textId="77777777" w:rsidTr="00517264">
        <w:trPr>
          <w:gridAfter w:val="1"/>
          <w:wAfter w:w="10" w:type="pct"/>
          <w:trHeight w:val="283"/>
          <w:tblHeader/>
        </w:trPr>
        <w:tc>
          <w:tcPr>
            <w:tcW w:w="1169" w:type="pct"/>
            <w:shd w:val="clear" w:color="auto" w:fill="D2232A" w:themeFill="accent1"/>
            <w:hideMark/>
          </w:tcPr>
          <w:p w14:paraId="0AE0A6D3"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Naziv postojeće lokacije:</w:t>
            </w:r>
          </w:p>
        </w:tc>
        <w:tc>
          <w:tcPr>
            <w:tcW w:w="1968" w:type="pct"/>
            <w:gridSpan w:val="7"/>
            <w:shd w:val="clear" w:color="auto" w:fill="D2232A" w:themeFill="accent1"/>
            <w:hideMark/>
          </w:tcPr>
          <w:p w14:paraId="676CA1B3" w14:textId="77777777" w:rsidR="008878A0" w:rsidRPr="00517264" w:rsidRDefault="008878A0" w:rsidP="00517264">
            <w:pPr>
              <w:spacing w:after="0"/>
              <w:jc w:val="right"/>
              <w:rPr>
                <w:rFonts w:eastAsia="ArialNarrow"/>
                <w:color w:val="FFFFFF" w:themeColor="background1"/>
                <w:szCs w:val="18"/>
              </w:rPr>
            </w:pPr>
            <w:r w:rsidRPr="00517264">
              <w:rPr>
                <w:rFonts w:eastAsia="ArialNarrow"/>
                <w:color w:val="FFFFFF" w:themeColor="background1"/>
                <w:szCs w:val="18"/>
              </w:rPr>
              <w:t>Lokacija: JLS, (Naselja)</w:t>
            </w:r>
          </w:p>
        </w:tc>
        <w:tc>
          <w:tcPr>
            <w:tcW w:w="999" w:type="pct"/>
            <w:shd w:val="clear" w:color="auto" w:fill="D2232A" w:themeFill="accent1"/>
            <w:hideMark/>
          </w:tcPr>
          <w:p w14:paraId="4D8440F2" w14:textId="77777777" w:rsidR="008878A0" w:rsidRPr="00517264" w:rsidRDefault="008878A0" w:rsidP="00517264">
            <w:pPr>
              <w:spacing w:after="0"/>
              <w:jc w:val="right"/>
              <w:rPr>
                <w:rFonts w:eastAsia="ArialNarrow"/>
                <w:color w:val="FFFFFF" w:themeColor="background1"/>
                <w:szCs w:val="18"/>
              </w:rPr>
            </w:pPr>
            <w:r w:rsidRPr="00517264">
              <w:rPr>
                <w:rFonts w:eastAsia="ArialNarrow"/>
                <w:color w:val="FFFFFF" w:themeColor="background1"/>
                <w:szCs w:val="18"/>
              </w:rPr>
              <w:t>Površina lokacije u ha:</w:t>
            </w:r>
          </w:p>
        </w:tc>
        <w:tc>
          <w:tcPr>
            <w:tcW w:w="854" w:type="pct"/>
            <w:gridSpan w:val="2"/>
            <w:shd w:val="clear" w:color="auto" w:fill="D2232A" w:themeFill="accent1"/>
            <w:hideMark/>
          </w:tcPr>
          <w:p w14:paraId="65BC537C" w14:textId="77777777" w:rsidR="008878A0" w:rsidRPr="00517264" w:rsidRDefault="008878A0" w:rsidP="00517264">
            <w:pPr>
              <w:spacing w:after="0"/>
              <w:jc w:val="right"/>
              <w:rPr>
                <w:rFonts w:eastAsia="ArialNarrow"/>
                <w:color w:val="FFFFFF" w:themeColor="background1"/>
                <w:szCs w:val="18"/>
              </w:rPr>
            </w:pPr>
            <w:r w:rsidRPr="00517264">
              <w:rPr>
                <w:rFonts w:eastAsia="ArialNarrow"/>
                <w:color w:val="FFFFFF" w:themeColor="background1"/>
                <w:szCs w:val="18"/>
              </w:rPr>
              <w:t>Tip</w:t>
            </w:r>
          </w:p>
        </w:tc>
      </w:tr>
      <w:tr w:rsidR="008878A0" w:rsidRPr="00517264" w14:paraId="38D594D3" w14:textId="77777777" w:rsidTr="00517264">
        <w:trPr>
          <w:gridAfter w:val="1"/>
          <w:wAfter w:w="10" w:type="pct"/>
          <w:trHeight w:val="283"/>
        </w:trPr>
        <w:tc>
          <w:tcPr>
            <w:tcW w:w="1169" w:type="pct"/>
            <w:shd w:val="clear" w:color="auto" w:fill="D2232A" w:themeFill="accent1"/>
            <w:hideMark/>
          </w:tcPr>
          <w:p w14:paraId="7C41FB63"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DONJA STUBICA</w:t>
            </w:r>
          </w:p>
        </w:tc>
        <w:tc>
          <w:tcPr>
            <w:tcW w:w="1968" w:type="pct"/>
            <w:gridSpan w:val="7"/>
            <w:shd w:val="clear" w:color="auto" w:fill="D2232A" w:themeFill="accent1"/>
            <w:hideMark/>
          </w:tcPr>
          <w:p w14:paraId="0A55EC98"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999" w:type="pct"/>
            <w:shd w:val="clear" w:color="auto" w:fill="D2232A" w:themeFill="accent1"/>
            <w:hideMark/>
          </w:tcPr>
          <w:p w14:paraId="1D623ECA"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5D0F8E5E"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D20DFE" w:rsidRPr="00517264" w14:paraId="05C2F599" w14:textId="77777777" w:rsidTr="00517264">
        <w:trPr>
          <w:gridAfter w:val="1"/>
          <w:wAfter w:w="10" w:type="pct"/>
          <w:trHeight w:val="283"/>
        </w:trPr>
        <w:tc>
          <w:tcPr>
            <w:tcW w:w="1169" w:type="pct"/>
            <w:hideMark/>
          </w:tcPr>
          <w:p w14:paraId="74BB32F9" w14:textId="77777777" w:rsidR="00D20DFE" w:rsidRPr="00517264" w:rsidRDefault="00D20DFE" w:rsidP="00517264">
            <w:pPr>
              <w:spacing w:after="0"/>
              <w:jc w:val="left"/>
              <w:rPr>
                <w:rFonts w:eastAsia="ArialNarrow"/>
                <w:color w:val="auto"/>
                <w:szCs w:val="18"/>
              </w:rPr>
            </w:pPr>
            <w:r w:rsidRPr="00517264">
              <w:rPr>
                <w:rFonts w:eastAsia="ArialNarrow"/>
                <w:szCs w:val="18"/>
              </w:rPr>
              <w:t>Jezerčica - Zaluke - Boka</w:t>
            </w:r>
          </w:p>
        </w:tc>
        <w:tc>
          <w:tcPr>
            <w:tcW w:w="1968" w:type="pct"/>
            <w:gridSpan w:val="7"/>
            <w:hideMark/>
          </w:tcPr>
          <w:p w14:paraId="4C9F6FDF" w14:textId="77777777" w:rsidR="00D20DFE" w:rsidRPr="00517264" w:rsidRDefault="00D20DFE" w:rsidP="00517264">
            <w:pPr>
              <w:spacing w:after="0"/>
              <w:jc w:val="right"/>
              <w:rPr>
                <w:rFonts w:eastAsia="ArialNarrow"/>
                <w:szCs w:val="18"/>
              </w:rPr>
            </w:pPr>
            <w:r w:rsidRPr="00517264">
              <w:rPr>
                <w:rFonts w:eastAsia="ArialNarrow"/>
                <w:szCs w:val="18"/>
              </w:rPr>
              <w:t>Donja Stubica, (Donja Stubica)</w:t>
            </w:r>
          </w:p>
        </w:tc>
        <w:tc>
          <w:tcPr>
            <w:tcW w:w="999" w:type="pct"/>
            <w:hideMark/>
          </w:tcPr>
          <w:p w14:paraId="2151B820" w14:textId="77777777" w:rsidR="00D20DFE" w:rsidRPr="00517264" w:rsidRDefault="00D20DFE" w:rsidP="00517264">
            <w:pPr>
              <w:spacing w:after="0"/>
              <w:jc w:val="right"/>
              <w:rPr>
                <w:rFonts w:eastAsia="ArialNarrow"/>
                <w:szCs w:val="18"/>
              </w:rPr>
            </w:pPr>
            <w:r w:rsidRPr="00517264">
              <w:rPr>
                <w:rFonts w:eastAsia="ArialNarrow"/>
                <w:szCs w:val="18"/>
              </w:rPr>
              <w:t>43.64</w:t>
            </w:r>
          </w:p>
          <w:p w14:paraId="1B9389C4" w14:textId="57115959" w:rsidR="00D20DFE" w:rsidRPr="00517264" w:rsidRDefault="00D20DFE" w:rsidP="00517264">
            <w:pPr>
              <w:spacing w:after="0"/>
              <w:jc w:val="right"/>
              <w:rPr>
                <w:rFonts w:eastAsia="ArialNarrow"/>
                <w:szCs w:val="18"/>
              </w:rPr>
            </w:pPr>
            <w:r w:rsidRPr="00517264">
              <w:rPr>
                <w:rFonts w:eastAsia="ArialNarrow"/>
                <w:szCs w:val="18"/>
              </w:rPr>
              <w:t>Izgrađeno: 2,99</w:t>
            </w:r>
          </w:p>
        </w:tc>
        <w:tc>
          <w:tcPr>
            <w:tcW w:w="854" w:type="pct"/>
            <w:gridSpan w:val="2"/>
            <w:hideMark/>
          </w:tcPr>
          <w:p w14:paraId="0618F02F" w14:textId="77777777" w:rsidR="00D20DFE" w:rsidRPr="00517264" w:rsidRDefault="00D20DFE" w:rsidP="00517264">
            <w:pPr>
              <w:spacing w:after="0"/>
              <w:jc w:val="right"/>
              <w:rPr>
                <w:rFonts w:eastAsia="ArialNarrow"/>
                <w:szCs w:val="18"/>
              </w:rPr>
            </w:pPr>
            <w:r w:rsidRPr="00517264">
              <w:rPr>
                <w:rFonts w:eastAsia="ArialNarrow"/>
                <w:szCs w:val="18"/>
              </w:rPr>
              <w:t>T1,R1</w:t>
            </w:r>
          </w:p>
        </w:tc>
      </w:tr>
      <w:tr w:rsidR="008878A0" w:rsidRPr="00517264" w14:paraId="06E9283F" w14:textId="77777777" w:rsidTr="00517264">
        <w:trPr>
          <w:gridAfter w:val="1"/>
          <w:wAfter w:w="10" w:type="pct"/>
          <w:trHeight w:val="283"/>
        </w:trPr>
        <w:tc>
          <w:tcPr>
            <w:tcW w:w="1169" w:type="pct"/>
            <w:hideMark/>
          </w:tcPr>
          <w:p w14:paraId="1C999B00" w14:textId="77777777" w:rsidR="008878A0" w:rsidRPr="00517264" w:rsidRDefault="008878A0" w:rsidP="00517264">
            <w:pPr>
              <w:spacing w:after="0"/>
              <w:jc w:val="left"/>
              <w:rPr>
                <w:rFonts w:eastAsia="ArialNarrow"/>
                <w:szCs w:val="18"/>
              </w:rPr>
            </w:pPr>
            <w:r w:rsidRPr="00517264">
              <w:rPr>
                <w:rFonts w:eastAsia="ArialNarrow"/>
                <w:szCs w:val="18"/>
              </w:rPr>
              <w:t>Donja Stubica - Iznad Zaluke</w:t>
            </w:r>
          </w:p>
        </w:tc>
        <w:tc>
          <w:tcPr>
            <w:tcW w:w="1968" w:type="pct"/>
            <w:gridSpan w:val="7"/>
            <w:hideMark/>
          </w:tcPr>
          <w:p w14:paraId="4BDC144F" w14:textId="77777777" w:rsidR="008878A0" w:rsidRPr="00517264" w:rsidRDefault="008878A0" w:rsidP="00517264">
            <w:pPr>
              <w:spacing w:after="0"/>
              <w:jc w:val="right"/>
              <w:rPr>
                <w:rFonts w:eastAsia="ArialNarrow"/>
                <w:szCs w:val="18"/>
              </w:rPr>
            </w:pPr>
            <w:r w:rsidRPr="00517264">
              <w:rPr>
                <w:rFonts w:eastAsia="ArialNarrow"/>
                <w:szCs w:val="18"/>
              </w:rPr>
              <w:t>Donja Stubica, (Donja Stubica)</w:t>
            </w:r>
          </w:p>
        </w:tc>
        <w:tc>
          <w:tcPr>
            <w:tcW w:w="999" w:type="pct"/>
            <w:hideMark/>
          </w:tcPr>
          <w:p w14:paraId="5503F536" w14:textId="77777777" w:rsidR="008878A0" w:rsidRPr="00517264" w:rsidRDefault="008878A0" w:rsidP="00517264">
            <w:pPr>
              <w:spacing w:after="0"/>
              <w:jc w:val="right"/>
              <w:rPr>
                <w:rFonts w:eastAsia="ArialNarrow"/>
                <w:szCs w:val="18"/>
              </w:rPr>
            </w:pPr>
            <w:r w:rsidRPr="00517264">
              <w:rPr>
                <w:rFonts w:eastAsia="ArialNarrow"/>
                <w:szCs w:val="18"/>
              </w:rPr>
              <w:t>0,65</w:t>
            </w:r>
          </w:p>
        </w:tc>
        <w:tc>
          <w:tcPr>
            <w:tcW w:w="854" w:type="pct"/>
            <w:gridSpan w:val="2"/>
            <w:hideMark/>
          </w:tcPr>
          <w:p w14:paraId="13E302A5" w14:textId="77777777" w:rsidR="008878A0" w:rsidRPr="00517264" w:rsidRDefault="008878A0" w:rsidP="00517264">
            <w:pPr>
              <w:spacing w:after="0"/>
              <w:jc w:val="right"/>
              <w:rPr>
                <w:rFonts w:eastAsia="ArialNarrow"/>
                <w:szCs w:val="18"/>
              </w:rPr>
            </w:pPr>
            <w:r w:rsidRPr="00517264">
              <w:rPr>
                <w:rFonts w:eastAsia="ArialNarrow"/>
                <w:szCs w:val="18"/>
              </w:rPr>
              <w:t>T3</w:t>
            </w:r>
          </w:p>
        </w:tc>
      </w:tr>
      <w:tr w:rsidR="008878A0" w:rsidRPr="00517264" w14:paraId="0E46E70A" w14:textId="77777777" w:rsidTr="00517264">
        <w:trPr>
          <w:gridAfter w:val="1"/>
          <w:wAfter w:w="10" w:type="pct"/>
          <w:trHeight w:val="283"/>
        </w:trPr>
        <w:tc>
          <w:tcPr>
            <w:tcW w:w="1169" w:type="pct"/>
            <w:hideMark/>
          </w:tcPr>
          <w:p w14:paraId="39B9A41F" w14:textId="77777777" w:rsidR="008878A0" w:rsidRPr="00517264" w:rsidRDefault="008878A0" w:rsidP="00517264">
            <w:pPr>
              <w:spacing w:after="0"/>
              <w:jc w:val="left"/>
              <w:rPr>
                <w:rFonts w:eastAsia="ArialNarrow"/>
                <w:szCs w:val="18"/>
              </w:rPr>
            </w:pPr>
            <w:r w:rsidRPr="00517264">
              <w:rPr>
                <w:rFonts w:eastAsia="ArialNarrow"/>
                <w:szCs w:val="18"/>
              </w:rPr>
              <w:t>Donja Stubica - Istok</w:t>
            </w:r>
          </w:p>
        </w:tc>
        <w:tc>
          <w:tcPr>
            <w:tcW w:w="1968" w:type="pct"/>
            <w:gridSpan w:val="7"/>
            <w:hideMark/>
          </w:tcPr>
          <w:p w14:paraId="21DA0BAF" w14:textId="77777777" w:rsidR="008878A0" w:rsidRPr="00517264" w:rsidRDefault="008878A0" w:rsidP="00517264">
            <w:pPr>
              <w:spacing w:after="0"/>
              <w:jc w:val="right"/>
              <w:rPr>
                <w:rFonts w:eastAsia="ArialNarrow"/>
                <w:szCs w:val="18"/>
              </w:rPr>
            </w:pPr>
            <w:r w:rsidRPr="00517264">
              <w:rPr>
                <w:rFonts w:eastAsia="ArialNarrow"/>
                <w:szCs w:val="18"/>
              </w:rPr>
              <w:t>Donja Stubica, (Donja Stubica)</w:t>
            </w:r>
          </w:p>
        </w:tc>
        <w:tc>
          <w:tcPr>
            <w:tcW w:w="999" w:type="pct"/>
            <w:hideMark/>
          </w:tcPr>
          <w:p w14:paraId="44FF0AEC" w14:textId="77777777" w:rsidR="008878A0" w:rsidRPr="00517264" w:rsidRDefault="008878A0" w:rsidP="00517264">
            <w:pPr>
              <w:spacing w:after="0"/>
              <w:jc w:val="right"/>
              <w:rPr>
                <w:rFonts w:eastAsia="ArialNarrow"/>
                <w:szCs w:val="18"/>
              </w:rPr>
            </w:pPr>
            <w:r w:rsidRPr="00517264">
              <w:rPr>
                <w:rFonts w:eastAsia="ArialNarrow"/>
                <w:szCs w:val="18"/>
              </w:rPr>
              <w:t>1,89</w:t>
            </w:r>
          </w:p>
        </w:tc>
        <w:tc>
          <w:tcPr>
            <w:tcW w:w="854" w:type="pct"/>
            <w:gridSpan w:val="2"/>
            <w:hideMark/>
          </w:tcPr>
          <w:p w14:paraId="0752CB1E" w14:textId="77777777" w:rsidR="008878A0" w:rsidRPr="00517264" w:rsidRDefault="008878A0" w:rsidP="00517264">
            <w:pPr>
              <w:spacing w:after="0"/>
              <w:jc w:val="right"/>
              <w:rPr>
                <w:rFonts w:eastAsia="ArialNarrow"/>
                <w:szCs w:val="18"/>
              </w:rPr>
            </w:pPr>
            <w:r w:rsidRPr="00517264">
              <w:rPr>
                <w:rFonts w:eastAsia="ArialNarrow"/>
                <w:szCs w:val="18"/>
              </w:rPr>
              <w:t>D,T</w:t>
            </w:r>
          </w:p>
        </w:tc>
      </w:tr>
      <w:tr w:rsidR="008878A0" w:rsidRPr="00517264" w14:paraId="16719989" w14:textId="77777777" w:rsidTr="00517264">
        <w:trPr>
          <w:gridAfter w:val="1"/>
          <w:wAfter w:w="10" w:type="pct"/>
          <w:trHeight w:val="283"/>
        </w:trPr>
        <w:tc>
          <w:tcPr>
            <w:tcW w:w="1169" w:type="pct"/>
            <w:hideMark/>
          </w:tcPr>
          <w:p w14:paraId="511A1365" w14:textId="77777777" w:rsidR="008878A0" w:rsidRPr="00517264" w:rsidRDefault="008878A0" w:rsidP="00517264">
            <w:pPr>
              <w:spacing w:after="0"/>
              <w:jc w:val="left"/>
              <w:rPr>
                <w:rFonts w:eastAsia="ArialNarrow"/>
                <w:szCs w:val="18"/>
              </w:rPr>
            </w:pPr>
            <w:r w:rsidRPr="00517264">
              <w:rPr>
                <w:rFonts w:eastAsia="ArialNarrow"/>
                <w:szCs w:val="18"/>
              </w:rPr>
              <w:t>Donja Stubica - Jug</w:t>
            </w:r>
          </w:p>
        </w:tc>
        <w:tc>
          <w:tcPr>
            <w:tcW w:w="1968" w:type="pct"/>
            <w:gridSpan w:val="7"/>
            <w:hideMark/>
          </w:tcPr>
          <w:p w14:paraId="7066DC56" w14:textId="77777777" w:rsidR="008878A0" w:rsidRPr="00517264" w:rsidRDefault="008878A0" w:rsidP="00517264">
            <w:pPr>
              <w:spacing w:after="0"/>
              <w:jc w:val="right"/>
              <w:rPr>
                <w:rFonts w:eastAsia="ArialNarrow"/>
                <w:szCs w:val="18"/>
              </w:rPr>
            </w:pPr>
            <w:r w:rsidRPr="00517264">
              <w:rPr>
                <w:rFonts w:eastAsia="ArialNarrow"/>
                <w:szCs w:val="18"/>
              </w:rPr>
              <w:t>Donja Stubica, (Donja Stubica)</w:t>
            </w:r>
          </w:p>
        </w:tc>
        <w:tc>
          <w:tcPr>
            <w:tcW w:w="999" w:type="pct"/>
            <w:hideMark/>
          </w:tcPr>
          <w:p w14:paraId="351FB67F" w14:textId="77777777" w:rsidR="008878A0" w:rsidRPr="00517264" w:rsidRDefault="008878A0" w:rsidP="00517264">
            <w:pPr>
              <w:spacing w:after="0"/>
              <w:jc w:val="right"/>
              <w:rPr>
                <w:rFonts w:eastAsia="ArialNarrow"/>
                <w:szCs w:val="18"/>
              </w:rPr>
            </w:pPr>
            <w:r w:rsidRPr="00517264">
              <w:rPr>
                <w:rFonts w:eastAsia="ArialNarrow"/>
                <w:szCs w:val="18"/>
              </w:rPr>
              <w:t>0,41</w:t>
            </w:r>
          </w:p>
        </w:tc>
        <w:tc>
          <w:tcPr>
            <w:tcW w:w="854" w:type="pct"/>
            <w:gridSpan w:val="2"/>
            <w:hideMark/>
          </w:tcPr>
          <w:p w14:paraId="1CA8E54E" w14:textId="77777777" w:rsidR="008878A0" w:rsidRPr="00517264" w:rsidRDefault="008878A0" w:rsidP="00517264">
            <w:pPr>
              <w:spacing w:after="0"/>
              <w:jc w:val="right"/>
              <w:rPr>
                <w:rFonts w:eastAsia="ArialNarrow"/>
                <w:szCs w:val="18"/>
              </w:rPr>
            </w:pPr>
            <w:r w:rsidRPr="00517264">
              <w:rPr>
                <w:rFonts w:eastAsia="ArialNarrow"/>
                <w:szCs w:val="18"/>
              </w:rPr>
              <w:t>T3</w:t>
            </w:r>
          </w:p>
        </w:tc>
      </w:tr>
      <w:tr w:rsidR="008878A0" w:rsidRPr="00517264" w14:paraId="5455F0AC" w14:textId="77777777" w:rsidTr="00517264">
        <w:trPr>
          <w:gridAfter w:val="1"/>
          <w:wAfter w:w="10" w:type="pct"/>
          <w:trHeight w:val="283"/>
        </w:trPr>
        <w:tc>
          <w:tcPr>
            <w:tcW w:w="1169" w:type="pct"/>
            <w:hideMark/>
          </w:tcPr>
          <w:p w14:paraId="1F1BD917" w14:textId="77777777" w:rsidR="008878A0" w:rsidRPr="00517264" w:rsidRDefault="008878A0" w:rsidP="00517264">
            <w:pPr>
              <w:spacing w:after="0"/>
              <w:jc w:val="left"/>
              <w:rPr>
                <w:rFonts w:eastAsia="ArialNarrow"/>
                <w:szCs w:val="18"/>
              </w:rPr>
            </w:pPr>
            <w:r w:rsidRPr="00517264">
              <w:rPr>
                <w:rFonts w:eastAsia="ArialNarrow"/>
                <w:szCs w:val="18"/>
              </w:rPr>
              <w:t>Pustodol</w:t>
            </w:r>
          </w:p>
        </w:tc>
        <w:tc>
          <w:tcPr>
            <w:tcW w:w="1968" w:type="pct"/>
            <w:gridSpan w:val="7"/>
            <w:hideMark/>
          </w:tcPr>
          <w:p w14:paraId="0A64034D" w14:textId="77777777" w:rsidR="008878A0" w:rsidRPr="00517264" w:rsidRDefault="008878A0" w:rsidP="00517264">
            <w:pPr>
              <w:spacing w:after="0"/>
              <w:jc w:val="right"/>
              <w:rPr>
                <w:rFonts w:eastAsia="ArialNarrow"/>
                <w:szCs w:val="18"/>
              </w:rPr>
            </w:pPr>
            <w:r w:rsidRPr="00517264">
              <w:rPr>
                <w:rFonts w:eastAsia="ArialNarrow"/>
                <w:szCs w:val="18"/>
              </w:rPr>
              <w:t>Donja Stubica, (Pustodol)</w:t>
            </w:r>
          </w:p>
        </w:tc>
        <w:tc>
          <w:tcPr>
            <w:tcW w:w="999" w:type="pct"/>
            <w:hideMark/>
          </w:tcPr>
          <w:p w14:paraId="39DF6070" w14:textId="77777777" w:rsidR="008878A0" w:rsidRPr="00517264" w:rsidRDefault="008878A0" w:rsidP="00517264">
            <w:pPr>
              <w:spacing w:after="0"/>
              <w:jc w:val="right"/>
              <w:rPr>
                <w:rFonts w:eastAsia="ArialNarrow"/>
                <w:szCs w:val="18"/>
              </w:rPr>
            </w:pPr>
            <w:r w:rsidRPr="00517264">
              <w:rPr>
                <w:rFonts w:eastAsia="ArialNarrow"/>
                <w:szCs w:val="18"/>
              </w:rPr>
              <w:t>2,50</w:t>
            </w:r>
          </w:p>
        </w:tc>
        <w:tc>
          <w:tcPr>
            <w:tcW w:w="854" w:type="pct"/>
            <w:gridSpan w:val="2"/>
            <w:hideMark/>
          </w:tcPr>
          <w:p w14:paraId="49837CC2" w14:textId="77777777" w:rsidR="008878A0" w:rsidRPr="00517264" w:rsidRDefault="008878A0" w:rsidP="00517264">
            <w:pPr>
              <w:spacing w:after="0"/>
              <w:jc w:val="right"/>
              <w:rPr>
                <w:rFonts w:eastAsia="ArialNarrow"/>
                <w:szCs w:val="18"/>
              </w:rPr>
            </w:pPr>
            <w:r w:rsidRPr="00517264">
              <w:rPr>
                <w:rFonts w:eastAsia="ArialNarrow"/>
                <w:szCs w:val="18"/>
              </w:rPr>
              <w:t>D,T</w:t>
            </w:r>
          </w:p>
        </w:tc>
      </w:tr>
      <w:tr w:rsidR="008878A0" w:rsidRPr="00517264" w14:paraId="00E6F54D" w14:textId="77777777" w:rsidTr="00517264">
        <w:trPr>
          <w:gridAfter w:val="1"/>
          <w:wAfter w:w="10" w:type="pct"/>
          <w:trHeight w:val="283"/>
        </w:trPr>
        <w:tc>
          <w:tcPr>
            <w:tcW w:w="1169" w:type="pct"/>
            <w:hideMark/>
          </w:tcPr>
          <w:p w14:paraId="7FFEDA49" w14:textId="77777777" w:rsidR="008878A0" w:rsidRPr="00517264" w:rsidRDefault="008878A0" w:rsidP="00517264">
            <w:pPr>
              <w:spacing w:after="0"/>
              <w:jc w:val="left"/>
              <w:rPr>
                <w:rFonts w:eastAsia="ArialNarrow"/>
                <w:szCs w:val="18"/>
              </w:rPr>
            </w:pPr>
            <w:r w:rsidRPr="00517264">
              <w:rPr>
                <w:rFonts w:eastAsia="ArialNarrow"/>
                <w:szCs w:val="18"/>
              </w:rPr>
              <w:t>Matenci</w:t>
            </w:r>
          </w:p>
        </w:tc>
        <w:tc>
          <w:tcPr>
            <w:tcW w:w="1968" w:type="pct"/>
            <w:gridSpan w:val="7"/>
            <w:hideMark/>
          </w:tcPr>
          <w:p w14:paraId="6F09209F" w14:textId="77777777" w:rsidR="008878A0" w:rsidRPr="00517264" w:rsidRDefault="008878A0" w:rsidP="00517264">
            <w:pPr>
              <w:spacing w:after="0"/>
              <w:jc w:val="right"/>
              <w:rPr>
                <w:rFonts w:eastAsia="ArialNarrow"/>
                <w:szCs w:val="18"/>
              </w:rPr>
            </w:pPr>
            <w:r w:rsidRPr="00517264">
              <w:rPr>
                <w:rFonts w:eastAsia="ArialNarrow"/>
                <w:szCs w:val="18"/>
              </w:rPr>
              <w:t>Donja Stubica, (Matenci)</w:t>
            </w:r>
          </w:p>
        </w:tc>
        <w:tc>
          <w:tcPr>
            <w:tcW w:w="999" w:type="pct"/>
            <w:hideMark/>
          </w:tcPr>
          <w:p w14:paraId="4C356893" w14:textId="77777777" w:rsidR="008878A0" w:rsidRPr="00517264" w:rsidRDefault="008878A0" w:rsidP="00517264">
            <w:pPr>
              <w:spacing w:after="0"/>
              <w:jc w:val="right"/>
              <w:rPr>
                <w:rFonts w:eastAsia="ArialNarrow"/>
                <w:szCs w:val="18"/>
              </w:rPr>
            </w:pPr>
            <w:r w:rsidRPr="00517264">
              <w:rPr>
                <w:rFonts w:eastAsia="ArialNarrow"/>
                <w:szCs w:val="18"/>
              </w:rPr>
              <w:t>0,88</w:t>
            </w:r>
          </w:p>
        </w:tc>
        <w:tc>
          <w:tcPr>
            <w:tcW w:w="854" w:type="pct"/>
            <w:gridSpan w:val="2"/>
            <w:hideMark/>
          </w:tcPr>
          <w:p w14:paraId="37F9B023" w14:textId="77777777" w:rsidR="008878A0" w:rsidRPr="00517264" w:rsidRDefault="008878A0" w:rsidP="00517264">
            <w:pPr>
              <w:spacing w:after="0"/>
              <w:jc w:val="right"/>
              <w:rPr>
                <w:rFonts w:eastAsia="ArialNarrow"/>
                <w:szCs w:val="18"/>
              </w:rPr>
            </w:pPr>
            <w:r w:rsidRPr="00517264">
              <w:rPr>
                <w:rFonts w:eastAsia="ArialNarrow"/>
                <w:szCs w:val="18"/>
              </w:rPr>
              <w:t>T3</w:t>
            </w:r>
          </w:p>
        </w:tc>
      </w:tr>
      <w:tr w:rsidR="008878A0" w:rsidRPr="00517264" w14:paraId="757746C7" w14:textId="77777777" w:rsidTr="00517264">
        <w:trPr>
          <w:gridAfter w:val="1"/>
          <w:wAfter w:w="10" w:type="pct"/>
          <w:trHeight w:val="283"/>
        </w:trPr>
        <w:tc>
          <w:tcPr>
            <w:tcW w:w="1169" w:type="pct"/>
            <w:hideMark/>
          </w:tcPr>
          <w:p w14:paraId="375D427F" w14:textId="77777777" w:rsidR="008878A0" w:rsidRPr="00517264" w:rsidRDefault="008878A0" w:rsidP="00517264">
            <w:pPr>
              <w:spacing w:after="0"/>
              <w:jc w:val="left"/>
              <w:rPr>
                <w:rFonts w:eastAsia="ArialNarrow"/>
                <w:szCs w:val="18"/>
              </w:rPr>
            </w:pPr>
            <w:r w:rsidRPr="00517264">
              <w:rPr>
                <w:rFonts w:eastAsia="ArialNarrow"/>
                <w:szCs w:val="18"/>
              </w:rPr>
              <w:t>Hruševec Klanjčićev Jarek</w:t>
            </w:r>
          </w:p>
        </w:tc>
        <w:tc>
          <w:tcPr>
            <w:tcW w:w="1968" w:type="pct"/>
            <w:gridSpan w:val="7"/>
            <w:hideMark/>
          </w:tcPr>
          <w:p w14:paraId="0FCCCC78" w14:textId="77777777" w:rsidR="008878A0" w:rsidRPr="00517264" w:rsidRDefault="008878A0" w:rsidP="00517264">
            <w:pPr>
              <w:spacing w:after="0"/>
              <w:jc w:val="right"/>
              <w:rPr>
                <w:rFonts w:eastAsia="ArialNarrow"/>
                <w:szCs w:val="18"/>
              </w:rPr>
            </w:pPr>
            <w:r w:rsidRPr="00517264">
              <w:rPr>
                <w:rFonts w:eastAsia="ArialNarrow"/>
                <w:szCs w:val="18"/>
              </w:rPr>
              <w:t>Donja Stubica, (Hruševec)</w:t>
            </w:r>
          </w:p>
        </w:tc>
        <w:tc>
          <w:tcPr>
            <w:tcW w:w="999" w:type="pct"/>
            <w:hideMark/>
          </w:tcPr>
          <w:p w14:paraId="3ECCDDBA" w14:textId="77777777" w:rsidR="008878A0" w:rsidRPr="00517264" w:rsidRDefault="008878A0" w:rsidP="00517264">
            <w:pPr>
              <w:spacing w:after="0"/>
              <w:jc w:val="right"/>
              <w:rPr>
                <w:rFonts w:eastAsia="ArialNarrow"/>
                <w:szCs w:val="18"/>
              </w:rPr>
            </w:pPr>
            <w:r w:rsidRPr="00517264">
              <w:rPr>
                <w:rFonts w:eastAsia="ArialNarrow"/>
                <w:szCs w:val="18"/>
              </w:rPr>
              <w:t>0,51</w:t>
            </w:r>
          </w:p>
        </w:tc>
        <w:tc>
          <w:tcPr>
            <w:tcW w:w="854" w:type="pct"/>
            <w:gridSpan w:val="2"/>
            <w:hideMark/>
          </w:tcPr>
          <w:p w14:paraId="54630302" w14:textId="77777777" w:rsidR="008878A0" w:rsidRPr="00517264" w:rsidRDefault="008878A0" w:rsidP="00517264">
            <w:pPr>
              <w:spacing w:after="0"/>
              <w:jc w:val="right"/>
              <w:rPr>
                <w:rFonts w:eastAsia="ArialNarrow"/>
                <w:szCs w:val="18"/>
              </w:rPr>
            </w:pPr>
            <w:r w:rsidRPr="00517264">
              <w:rPr>
                <w:rFonts w:eastAsia="ArialNarrow"/>
                <w:szCs w:val="18"/>
              </w:rPr>
              <w:t>T2</w:t>
            </w:r>
          </w:p>
        </w:tc>
      </w:tr>
      <w:tr w:rsidR="008878A0" w:rsidRPr="00517264" w14:paraId="12394FD5" w14:textId="77777777" w:rsidTr="00517264">
        <w:trPr>
          <w:gridAfter w:val="1"/>
          <w:wAfter w:w="10" w:type="pct"/>
          <w:trHeight w:val="283"/>
        </w:trPr>
        <w:tc>
          <w:tcPr>
            <w:tcW w:w="1169" w:type="pct"/>
            <w:hideMark/>
          </w:tcPr>
          <w:p w14:paraId="7BE34570" w14:textId="77777777" w:rsidR="008878A0" w:rsidRPr="00517264" w:rsidRDefault="008878A0" w:rsidP="00517264">
            <w:pPr>
              <w:spacing w:after="0"/>
              <w:jc w:val="left"/>
              <w:rPr>
                <w:rFonts w:eastAsia="ArialNarrow"/>
                <w:szCs w:val="18"/>
              </w:rPr>
            </w:pPr>
            <w:r w:rsidRPr="00517264">
              <w:rPr>
                <w:rFonts w:eastAsia="ArialNarrow"/>
                <w:szCs w:val="18"/>
              </w:rPr>
              <w:t>Hruševec Zimići</w:t>
            </w:r>
          </w:p>
        </w:tc>
        <w:tc>
          <w:tcPr>
            <w:tcW w:w="1968" w:type="pct"/>
            <w:gridSpan w:val="7"/>
            <w:hideMark/>
          </w:tcPr>
          <w:p w14:paraId="58EBD159" w14:textId="77777777" w:rsidR="008878A0" w:rsidRPr="00517264" w:rsidRDefault="008878A0" w:rsidP="00517264">
            <w:pPr>
              <w:spacing w:after="0"/>
              <w:jc w:val="right"/>
              <w:rPr>
                <w:rFonts w:eastAsia="ArialNarrow"/>
                <w:szCs w:val="18"/>
              </w:rPr>
            </w:pPr>
            <w:r w:rsidRPr="00517264">
              <w:rPr>
                <w:rFonts w:eastAsia="ArialNarrow"/>
                <w:szCs w:val="18"/>
              </w:rPr>
              <w:t>Donja Stubica, (Hruševec)</w:t>
            </w:r>
          </w:p>
        </w:tc>
        <w:tc>
          <w:tcPr>
            <w:tcW w:w="999" w:type="pct"/>
            <w:hideMark/>
          </w:tcPr>
          <w:p w14:paraId="69CB2051" w14:textId="77777777" w:rsidR="008878A0" w:rsidRPr="00517264" w:rsidRDefault="008878A0" w:rsidP="00517264">
            <w:pPr>
              <w:spacing w:after="0"/>
              <w:jc w:val="right"/>
              <w:rPr>
                <w:rFonts w:eastAsia="ArialNarrow"/>
                <w:szCs w:val="18"/>
              </w:rPr>
            </w:pPr>
            <w:r w:rsidRPr="00517264">
              <w:rPr>
                <w:rFonts w:eastAsia="ArialNarrow"/>
                <w:szCs w:val="18"/>
              </w:rPr>
              <w:t>22,03</w:t>
            </w:r>
          </w:p>
        </w:tc>
        <w:tc>
          <w:tcPr>
            <w:tcW w:w="854" w:type="pct"/>
            <w:gridSpan w:val="2"/>
            <w:hideMark/>
          </w:tcPr>
          <w:p w14:paraId="30A3AD3A" w14:textId="77777777" w:rsidR="008878A0" w:rsidRPr="00517264" w:rsidRDefault="008878A0" w:rsidP="00517264">
            <w:pPr>
              <w:spacing w:after="0"/>
              <w:jc w:val="right"/>
              <w:rPr>
                <w:rFonts w:eastAsia="ArialNarrow"/>
                <w:szCs w:val="18"/>
              </w:rPr>
            </w:pPr>
            <w:r w:rsidRPr="00517264">
              <w:rPr>
                <w:rFonts w:eastAsia="ArialNarrow"/>
                <w:szCs w:val="18"/>
              </w:rPr>
              <w:t>T2</w:t>
            </w:r>
          </w:p>
        </w:tc>
      </w:tr>
      <w:tr w:rsidR="008878A0" w:rsidRPr="00517264" w14:paraId="282C84CA" w14:textId="77777777" w:rsidTr="00517264">
        <w:trPr>
          <w:gridAfter w:val="1"/>
          <w:wAfter w:w="10" w:type="pct"/>
          <w:trHeight w:val="283"/>
        </w:trPr>
        <w:tc>
          <w:tcPr>
            <w:tcW w:w="1169" w:type="pct"/>
            <w:hideMark/>
          </w:tcPr>
          <w:p w14:paraId="3BB855FA" w14:textId="77777777" w:rsidR="008878A0" w:rsidRPr="00517264" w:rsidRDefault="008878A0" w:rsidP="00517264">
            <w:pPr>
              <w:spacing w:after="0"/>
              <w:jc w:val="left"/>
              <w:rPr>
                <w:rFonts w:eastAsia="ArialNarrow"/>
                <w:szCs w:val="18"/>
              </w:rPr>
            </w:pPr>
            <w:r w:rsidRPr="00517264">
              <w:rPr>
                <w:rFonts w:eastAsia="ArialNarrow"/>
                <w:szCs w:val="18"/>
              </w:rPr>
              <w:t>Lepa Ves - Pavlići</w:t>
            </w:r>
          </w:p>
        </w:tc>
        <w:tc>
          <w:tcPr>
            <w:tcW w:w="1968" w:type="pct"/>
            <w:gridSpan w:val="7"/>
            <w:hideMark/>
          </w:tcPr>
          <w:p w14:paraId="29C7291F" w14:textId="77777777" w:rsidR="008878A0" w:rsidRPr="00517264" w:rsidRDefault="008878A0" w:rsidP="00517264">
            <w:pPr>
              <w:spacing w:after="0"/>
              <w:jc w:val="right"/>
              <w:rPr>
                <w:rFonts w:eastAsia="ArialNarrow"/>
                <w:szCs w:val="18"/>
              </w:rPr>
            </w:pPr>
            <w:r w:rsidRPr="00517264">
              <w:rPr>
                <w:rFonts w:eastAsia="ArialNarrow"/>
                <w:szCs w:val="18"/>
              </w:rPr>
              <w:t>Donja Stubica, (Lepa Ves)</w:t>
            </w:r>
          </w:p>
        </w:tc>
        <w:tc>
          <w:tcPr>
            <w:tcW w:w="999" w:type="pct"/>
            <w:hideMark/>
          </w:tcPr>
          <w:p w14:paraId="588140CF" w14:textId="77777777" w:rsidR="008878A0" w:rsidRPr="00517264" w:rsidRDefault="008878A0" w:rsidP="00517264">
            <w:pPr>
              <w:spacing w:after="0"/>
              <w:jc w:val="right"/>
              <w:rPr>
                <w:rFonts w:eastAsia="ArialNarrow"/>
                <w:szCs w:val="18"/>
              </w:rPr>
            </w:pPr>
            <w:r w:rsidRPr="00517264">
              <w:rPr>
                <w:rFonts w:eastAsia="ArialNarrow"/>
                <w:szCs w:val="18"/>
              </w:rPr>
              <w:t>0,42</w:t>
            </w:r>
          </w:p>
        </w:tc>
        <w:tc>
          <w:tcPr>
            <w:tcW w:w="854" w:type="pct"/>
            <w:gridSpan w:val="2"/>
            <w:hideMark/>
          </w:tcPr>
          <w:p w14:paraId="71A02807" w14:textId="77777777" w:rsidR="008878A0" w:rsidRPr="00517264" w:rsidRDefault="008878A0" w:rsidP="00517264">
            <w:pPr>
              <w:spacing w:after="0"/>
              <w:jc w:val="right"/>
              <w:rPr>
                <w:rFonts w:eastAsia="ArialNarrow"/>
                <w:szCs w:val="18"/>
              </w:rPr>
            </w:pPr>
            <w:r w:rsidRPr="00517264">
              <w:rPr>
                <w:rFonts w:eastAsia="ArialNarrow"/>
                <w:szCs w:val="18"/>
              </w:rPr>
              <w:t>T2</w:t>
            </w:r>
          </w:p>
        </w:tc>
      </w:tr>
      <w:tr w:rsidR="008878A0" w:rsidRPr="00517264" w14:paraId="34DBF17F" w14:textId="77777777" w:rsidTr="00517264">
        <w:trPr>
          <w:gridAfter w:val="1"/>
          <w:wAfter w:w="10" w:type="pct"/>
          <w:trHeight w:val="283"/>
        </w:trPr>
        <w:tc>
          <w:tcPr>
            <w:tcW w:w="1169" w:type="pct"/>
            <w:shd w:val="clear" w:color="auto" w:fill="D2232A" w:themeFill="accent1"/>
            <w:hideMark/>
          </w:tcPr>
          <w:p w14:paraId="4EEEF0C1"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STUBIČKE TOPLICE</w:t>
            </w:r>
          </w:p>
        </w:tc>
        <w:tc>
          <w:tcPr>
            <w:tcW w:w="1968" w:type="pct"/>
            <w:gridSpan w:val="7"/>
            <w:shd w:val="clear" w:color="auto" w:fill="D2232A" w:themeFill="accent1"/>
            <w:hideMark/>
          </w:tcPr>
          <w:p w14:paraId="3F96FEDE"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999" w:type="pct"/>
            <w:shd w:val="clear" w:color="auto" w:fill="D2232A" w:themeFill="accent1"/>
            <w:hideMark/>
          </w:tcPr>
          <w:p w14:paraId="1EBC73E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3EB80671"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D20DFE" w:rsidRPr="00517264" w14:paraId="1ACA8EB6" w14:textId="77777777" w:rsidTr="00517264">
        <w:trPr>
          <w:gridAfter w:val="1"/>
          <w:wAfter w:w="10" w:type="pct"/>
          <w:trHeight w:val="283"/>
        </w:trPr>
        <w:tc>
          <w:tcPr>
            <w:tcW w:w="1169" w:type="pct"/>
            <w:hideMark/>
          </w:tcPr>
          <w:p w14:paraId="74CC63CF" w14:textId="77777777" w:rsidR="00D20DFE" w:rsidRPr="00517264" w:rsidRDefault="00D20DFE" w:rsidP="00517264">
            <w:pPr>
              <w:spacing w:after="0"/>
              <w:jc w:val="left"/>
              <w:rPr>
                <w:rFonts w:eastAsia="ArialNarrow"/>
                <w:color w:val="auto"/>
                <w:szCs w:val="18"/>
              </w:rPr>
            </w:pPr>
            <w:r w:rsidRPr="00517264">
              <w:rPr>
                <w:rFonts w:eastAsia="ArialNarrow"/>
                <w:szCs w:val="18"/>
              </w:rPr>
              <w:t>Zdravstveni centar  - Stubaki</w:t>
            </w:r>
          </w:p>
        </w:tc>
        <w:tc>
          <w:tcPr>
            <w:tcW w:w="1968" w:type="pct"/>
            <w:gridSpan w:val="7"/>
            <w:hideMark/>
          </w:tcPr>
          <w:p w14:paraId="601DF1C3" w14:textId="77777777" w:rsidR="00D20DFE" w:rsidRPr="00517264" w:rsidRDefault="00D20DFE" w:rsidP="00517264">
            <w:pPr>
              <w:spacing w:after="0"/>
              <w:jc w:val="right"/>
              <w:rPr>
                <w:rFonts w:eastAsia="ArialNarrow"/>
                <w:szCs w:val="18"/>
              </w:rPr>
            </w:pPr>
            <w:r w:rsidRPr="00517264">
              <w:rPr>
                <w:rFonts w:eastAsia="ArialNarrow"/>
                <w:szCs w:val="18"/>
              </w:rPr>
              <w:t>Stubičke Toplice, (Stubičke Toplice)</w:t>
            </w:r>
          </w:p>
        </w:tc>
        <w:tc>
          <w:tcPr>
            <w:tcW w:w="999" w:type="pct"/>
            <w:hideMark/>
          </w:tcPr>
          <w:p w14:paraId="59E61134" w14:textId="77777777" w:rsidR="00D20DFE" w:rsidRPr="00517264" w:rsidRDefault="00D20DFE" w:rsidP="00517264">
            <w:pPr>
              <w:spacing w:after="0"/>
              <w:jc w:val="right"/>
              <w:rPr>
                <w:rFonts w:eastAsia="ArialNarrow"/>
                <w:szCs w:val="18"/>
              </w:rPr>
            </w:pPr>
            <w:r w:rsidRPr="00517264">
              <w:rPr>
                <w:rFonts w:eastAsia="ArialNarrow"/>
                <w:szCs w:val="18"/>
              </w:rPr>
              <w:t>12,35</w:t>
            </w:r>
          </w:p>
          <w:p w14:paraId="77D09F87" w14:textId="6A2EDFD0" w:rsidR="00D20DFE" w:rsidRPr="00517264" w:rsidRDefault="00D20DFE" w:rsidP="00517264">
            <w:pPr>
              <w:spacing w:after="0"/>
              <w:jc w:val="right"/>
              <w:rPr>
                <w:rFonts w:eastAsia="ArialNarrow"/>
                <w:szCs w:val="18"/>
              </w:rPr>
            </w:pPr>
            <w:r w:rsidRPr="00517264">
              <w:rPr>
                <w:rFonts w:eastAsia="ArialNarrow"/>
                <w:szCs w:val="18"/>
              </w:rPr>
              <w:t>Izgrađeno: 1,3</w:t>
            </w:r>
          </w:p>
        </w:tc>
        <w:tc>
          <w:tcPr>
            <w:tcW w:w="854" w:type="pct"/>
            <w:gridSpan w:val="2"/>
            <w:hideMark/>
          </w:tcPr>
          <w:p w14:paraId="1984E825" w14:textId="77777777" w:rsidR="00D20DFE" w:rsidRPr="00517264" w:rsidRDefault="00D20DFE" w:rsidP="00517264">
            <w:pPr>
              <w:spacing w:after="0"/>
              <w:jc w:val="right"/>
              <w:rPr>
                <w:rFonts w:eastAsia="ArialNarrow"/>
                <w:szCs w:val="18"/>
              </w:rPr>
            </w:pPr>
            <w:r w:rsidRPr="00517264">
              <w:rPr>
                <w:rFonts w:eastAsia="ArialNarrow"/>
                <w:szCs w:val="18"/>
              </w:rPr>
              <w:t>T</w:t>
            </w:r>
          </w:p>
        </w:tc>
      </w:tr>
      <w:tr w:rsidR="008878A0" w:rsidRPr="00517264" w14:paraId="1D29DB04" w14:textId="77777777" w:rsidTr="00517264">
        <w:trPr>
          <w:gridAfter w:val="1"/>
          <w:wAfter w:w="10" w:type="pct"/>
          <w:trHeight w:val="283"/>
        </w:trPr>
        <w:tc>
          <w:tcPr>
            <w:tcW w:w="1169" w:type="pct"/>
            <w:hideMark/>
          </w:tcPr>
          <w:p w14:paraId="33BE3542" w14:textId="77777777" w:rsidR="008878A0" w:rsidRPr="00517264" w:rsidRDefault="008878A0" w:rsidP="00517264">
            <w:pPr>
              <w:spacing w:after="0"/>
              <w:jc w:val="left"/>
              <w:rPr>
                <w:rFonts w:eastAsia="ArialNarrow"/>
                <w:szCs w:val="18"/>
              </w:rPr>
            </w:pPr>
            <w:r w:rsidRPr="00517264">
              <w:rPr>
                <w:rFonts w:eastAsia="ArialNarrow"/>
                <w:szCs w:val="18"/>
              </w:rPr>
              <w:t>Stubičke Toplice - Hotel Sljeme</w:t>
            </w:r>
          </w:p>
        </w:tc>
        <w:tc>
          <w:tcPr>
            <w:tcW w:w="1968" w:type="pct"/>
            <w:gridSpan w:val="7"/>
            <w:hideMark/>
          </w:tcPr>
          <w:p w14:paraId="230E03B0" w14:textId="77777777" w:rsidR="008878A0" w:rsidRPr="00517264" w:rsidRDefault="008878A0" w:rsidP="00517264">
            <w:pPr>
              <w:spacing w:after="0"/>
              <w:jc w:val="right"/>
              <w:rPr>
                <w:rFonts w:eastAsia="ArialNarrow"/>
                <w:szCs w:val="18"/>
              </w:rPr>
            </w:pPr>
            <w:r w:rsidRPr="00517264">
              <w:rPr>
                <w:rFonts w:eastAsia="ArialNarrow"/>
                <w:szCs w:val="18"/>
              </w:rPr>
              <w:t>Stubičke Toplice, (Stubičke Toplice)</w:t>
            </w:r>
          </w:p>
        </w:tc>
        <w:tc>
          <w:tcPr>
            <w:tcW w:w="999" w:type="pct"/>
            <w:hideMark/>
          </w:tcPr>
          <w:p w14:paraId="6BB04130" w14:textId="77777777" w:rsidR="008878A0" w:rsidRPr="00517264" w:rsidRDefault="008878A0" w:rsidP="00517264">
            <w:pPr>
              <w:spacing w:after="0"/>
              <w:jc w:val="right"/>
              <w:rPr>
                <w:rFonts w:eastAsia="ArialNarrow"/>
                <w:szCs w:val="18"/>
              </w:rPr>
            </w:pPr>
            <w:r w:rsidRPr="00517264">
              <w:rPr>
                <w:rFonts w:eastAsia="ArialNarrow"/>
                <w:szCs w:val="18"/>
              </w:rPr>
              <w:t>Izgrađeno: 0,41</w:t>
            </w:r>
          </w:p>
        </w:tc>
        <w:tc>
          <w:tcPr>
            <w:tcW w:w="854" w:type="pct"/>
            <w:gridSpan w:val="2"/>
            <w:hideMark/>
          </w:tcPr>
          <w:p w14:paraId="63C1CEDD"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6EE43C89" w14:textId="77777777" w:rsidTr="00517264">
        <w:trPr>
          <w:gridAfter w:val="1"/>
          <w:wAfter w:w="10" w:type="pct"/>
          <w:trHeight w:val="283"/>
        </w:trPr>
        <w:tc>
          <w:tcPr>
            <w:tcW w:w="1169" w:type="pct"/>
            <w:hideMark/>
          </w:tcPr>
          <w:p w14:paraId="69C3DD0D" w14:textId="77777777" w:rsidR="008878A0" w:rsidRPr="00517264" w:rsidRDefault="008878A0" w:rsidP="00517264">
            <w:pPr>
              <w:spacing w:after="0"/>
              <w:jc w:val="left"/>
              <w:rPr>
                <w:rFonts w:eastAsia="ArialNarrow"/>
                <w:szCs w:val="18"/>
              </w:rPr>
            </w:pPr>
            <w:r w:rsidRPr="00517264">
              <w:rPr>
                <w:rFonts w:eastAsia="ArialNarrow"/>
                <w:szCs w:val="18"/>
              </w:rPr>
              <w:t>Stubičke Toplice - Centar 1</w:t>
            </w:r>
          </w:p>
        </w:tc>
        <w:tc>
          <w:tcPr>
            <w:tcW w:w="1968" w:type="pct"/>
            <w:gridSpan w:val="7"/>
            <w:hideMark/>
          </w:tcPr>
          <w:p w14:paraId="1A042932" w14:textId="77777777" w:rsidR="008878A0" w:rsidRPr="00517264" w:rsidRDefault="008878A0" w:rsidP="00517264">
            <w:pPr>
              <w:spacing w:after="0"/>
              <w:jc w:val="right"/>
              <w:rPr>
                <w:rFonts w:eastAsia="ArialNarrow"/>
                <w:szCs w:val="18"/>
              </w:rPr>
            </w:pPr>
            <w:r w:rsidRPr="00517264">
              <w:rPr>
                <w:rFonts w:eastAsia="ArialNarrow"/>
                <w:szCs w:val="18"/>
              </w:rPr>
              <w:t>Stubičke Toplice, (Stubičke Toplice)</w:t>
            </w:r>
          </w:p>
        </w:tc>
        <w:tc>
          <w:tcPr>
            <w:tcW w:w="999" w:type="pct"/>
            <w:hideMark/>
          </w:tcPr>
          <w:p w14:paraId="2CAD251A" w14:textId="77777777" w:rsidR="008878A0" w:rsidRPr="00517264" w:rsidRDefault="008878A0" w:rsidP="00517264">
            <w:pPr>
              <w:spacing w:after="0"/>
              <w:jc w:val="right"/>
              <w:rPr>
                <w:rFonts w:eastAsia="ArialNarrow"/>
                <w:szCs w:val="18"/>
              </w:rPr>
            </w:pPr>
            <w:r w:rsidRPr="00517264">
              <w:rPr>
                <w:rFonts w:eastAsia="ArialNarrow"/>
                <w:szCs w:val="18"/>
              </w:rPr>
              <w:t>0,39</w:t>
            </w:r>
          </w:p>
        </w:tc>
        <w:tc>
          <w:tcPr>
            <w:tcW w:w="854" w:type="pct"/>
            <w:gridSpan w:val="2"/>
            <w:hideMark/>
          </w:tcPr>
          <w:p w14:paraId="09752A4B" w14:textId="77777777" w:rsidR="008878A0" w:rsidRPr="00517264" w:rsidRDefault="008878A0" w:rsidP="00517264">
            <w:pPr>
              <w:spacing w:after="0"/>
              <w:jc w:val="right"/>
              <w:rPr>
                <w:rFonts w:eastAsia="ArialNarrow"/>
                <w:szCs w:val="18"/>
              </w:rPr>
            </w:pPr>
            <w:r w:rsidRPr="00517264">
              <w:rPr>
                <w:rFonts w:eastAsia="ArialNarrow"/>
                <w:szCs w:val="18"/>
              </w:rPr>
              <w:t>/</w:t>
            </w:r>
          </w:p>
        </w:tc>
      </w:tr>
      <w:tr w:rsidR="008878A0" w:rsidRPr="00517264" w14:paraId="1E3D534C" w14:textId="77777777" w:rsidTr="00517264">
        <w:trPr>
          <w:gridAfter w:val="1"/>
          <w:wAfter w:w="10" w:type="pct"/>
          <w:trHeight w:val="283"/>
        </w:trPr>
        <w:tc>
          <w:tcPr>
            <w:tcW w:w="1169" w:type="pct"/>
            <w:hideMark/>
          </w:tcPr>
          <w:p w14:paraId="44F343F0" w14:textId="77777777" w:rsidR="008878A0" w:rsidRPr="00517264" w:rsidRDefault="008878A0" w:rsidP="00517264">
            <w:pPr>
              <w:spacing w:after="0"/>
              <w:jc w:val="left"/>
              <w:rPr>
                <w:rFonts w:eastAsia="ArialNarrow"/>
                <w:szCs w:val="18"/>
              </w:rPr>
            </w:pPr>
            <w:r w:rsidRPr="00517264">
              <w:rPr>
                <w:rFonts w:eastAsia="ArialNarrow"/>
                <w:szCs w:val="18"/>
              </w:rPr>
              <w:t>Stubičke Toplice - Hotel Matija Gubec</w:t>
            </w:r>
          </w:p>
        </w:tc>
        <w:tc>
          <w:tcPr>
            <w:tcW w:w="1968" w:type="pct"/>
            <w:gridSpan w:val="7"/>
            <w:hideMark/>
          </w:tcPr>
          <w:p w14:paraId="438224E1" w14:textId="77777777" w:rsidR="008878A0" w:rsidRPr="00517264" w:rsidRDefault="008878A0" w:rsidP="00517264">
            <w:pPr>
              <w:spacing w:after="0"/>
              <w:jc w:val="right"/>
              <w:rPr>
                <w:rFonts w:eastAsia="ArialNarrow"/>
                <w:szCs w:val="18"/>
              </w:rPr>
            </w:pPr>
            <w:r w:rsidRPr="00517264">
              <w:rPr>
                <w:rFonts w:eastAsia="ArialNarrow"/>
                <w:szCs w:val="18"/>
              </w:rPr>
              <w:t>Stubičke Toplice, (Stubičke Toplice)</w:t>
            </w:r>
          </w:p>
        </w:tc>
        <w:tc>
          <w:tcPr>
            <w:tcW w:w="999" w:type="pct"/>
            <w:hideMark/>
          </w:tcPr>
          <w:p w14:paraId="72CDABA5" w14:textId="77777777" w:rsidR="008878A0" w:rsidRPr="00517264" w:rsidRDefault="008878A0" w:rsidP="00517264">
            <w:pPr>
              <w:spacing w:after="0"/>
              <w:jc w:val="right"/>
              <w:rPr>
                <w:rFonts w:eastAsia="ArialNarrow"/>
                <w:szCs w:val="18"/>
              </w:rPr>
            </w:pPr>
            <w:r w:rsidRPr="00517264">
              <w:rPr>
                <w:rFonts w:eastAsia="ArialNarrow"/>
                <w:szCs w:val="18"/>
              </w:rPr>
              <w:t>Izgrađeno: 6,41</w:t>
            </w:r>
          </w:p>
        </w:tc>
        <w:tc>
          <w:tcPr>
            <w:tcW w:w="854" w:type="pct"/>
            <w:gridSpan w:val="2"/>
            <w:hideMark/>
          </w:tcPr>
          <w:p w14:paraId="573EC5F6"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D20DFE" w:rsidRPr="00517264" w14:paraId="41436839" w14:textId="77777777" w:rsidTr="00517264">
        <w:trPr>
          <w:gridAfter w:val="1"/>
          <w:wAfter w:w="10" w:type="pct"/>
          <w:trHeight w:val="283"/>
        </w:trPr>
        <w:tc>
          <w:tcPr>
            <w:tcW w:w="1169" w:type="pct"/>
            <w:hideMark/>
          </w:tcPr>
          <w:p w14:paraId="31B157C9" w14:textId="77777777" w:rsidR="00D20DFE" w:rsidRPr="00517264" w:rsidRDefault="00D20DFE" w:rsidP="00517264">
            <w:pPr>
              <w:spacing w:after="0"/>
              <w:jc w:val="left"/>
              <w:rPr>
                <w:rFonts w:eastAsia="ArialNarrow"/>
                <w:szCs w:val="18"/>
              </w:rPr>
            </w:pPr>
            <w:r w:rsidRPr="00517264">
              <w:rPr>
                <w:rFonts w:eastAsia="ArialNarrow"/>
                <w:szCs w:val="18"/>
              </w:rPr>
              <w:lastRenderedPageBreak/>
              <w:t>Idila Sport Strmec</w:t>
            </w:r>
          </w:p>
        </w:tc>
        <w:tc>
          <w:tcPr>
            <w:tcW w:w="1968" w:type="pct"/>
            <w:gridSpan w:val="7"/>
            <w:hideMark/>
          </w:tcPr>
          <w:p w14:paraId="7B81974D" w14:textId="77777777" w:rsidR="00D20DFE" w:rsidRPr="00517264" w:rsidRDefault="00D20DFE" w:rsidP="00517264">
            <w:pPr>
              <w:spacing w:after="0"/>
              <w:jc w:val="right"/>
              <w:rPr>
                <w:rFonts w:eastAsia="ArialNarrow"/>
                <w:szCs w:val="18"/>
              </w:rPr>
            </w:pPr>
            <w:r w:rsidRPr="00517264">
              <w:rPr>
                <w:rFonts w:eastAsia="ArialNarrow"/>
                <w:szCs w:val="18"/>
              </w:rPr>
              <w:t>Stubičke Toplice, (Strmec Stubički)</w:t>
            </w:r>
          </w:p>
        </w:tc>
        <w:tc>
          <w:tcPr>
            <w:tcW w:w="999" w:type="pct"/>
            <w:hideMark/>
          </w:tcPr>
          <w:p w14:paraId="29AE3506" w14:textId="77777777" w:rsidR="00D20DFE" w:rsidRPr="00517264" w:rsidRDefault="00D20DFE" w:rsidP="00517264">
            <w:pPr>
              <w:spacing w:after="0"/>
              <w:jc w:val="right"/>
              <w:rPr>
                <w:rFonts w:eastAsia="ArialNarrow"/>
                <w:szCs w:val="18"/>
              </w:rPr>
            </w:pPr>
            <w:r w:rsidRPr="00517264">
              <w:rPr>
                <w:rFonts w:eastAsia="ArialNarrow"/>
                <w:szCs w:val="18"/>
              </w:rPr>
              <w:t>3,48</w:t>
            </w:r>
          </w:p>
          <w:p w14:paraId="35966AA5" w14:textId="1B34EE70" w:rsidR="00D20DFE" w:rsidRPr="00517264" w:rsidRDefault="00D20DFE" w:rsidP="00517264">
            <w:pPr>
              <w:spacing w:after="0"/>
              <w:jc w:val="right"/>
              <w:rPr>
                <w:rFonts w:eastAsia="ArialNarrow"/>
                <w:szCs w:val="18"/>
              </w:rPr>
            </w:pPr>
            <w:r w:rsidRPr="00517264">
              <w:rPr>
                <w:rFonts w:eastAsia="ArialNarrow"/>
                <w:szCs w:val="18"/>
              </w:rPr>
              <w:t>Izgrađeno: 1,02</w:t>
            </w:r>
          </w:p>
        </w:tc>
        <w:tc>
          <w:tcPr>
            <w:tcW w:w="854" w:type="pct"/>
            <w:gridSpan w:val="2"/>
            <w:hideMark/>
          </w:tcPr>
          <w:p w14:paraId="66861794" w14:textId="77777777" w:rsidR="00D20DFE" w:rsidRPr="00517264" w:rsidRDefault="00D20DFE" w:rsidP="00517264">
            <w:pPr>
              <w:spacing w:after="0"/>
              <w:jc w:val="right"/>
              <w:rPr>
                <w:rFonts w:eastAsia="ArialNarrow"/>
                <w:szCs w:val="18"/>
              </w:rPr>
            </w:pPr>
            <w:r w:rsidRPr="00517264">
              <w:rPr>
                <w:rFonts w:eastAsia="ArialNarrow"/>
                <w:szCs w:val="18"/>
              </w:rPr>
              <w:t>T1</w:t>
            </w:r>
          </w:p>
        </w:tc>
      </w:tr>
      <w:tr w:rsidR="008878A0" w:rsidRPr="00517264" w14:paraId="6CF2F0DE" w14:textId="77777777" w:rsidTr="00517264">
        <w:trPr>
          <w:gridAfter w:val="1"/>
          <w:wAfter w:w="10" w:type="pct"/>
          <w:trHeight w:val="283"/>
        </w:trPr>
        <w:tc>
          <w:tcPr>
            <w:tcW w:w="1169" w:type="pct"/>
            <w:hideMark/>
          </w:tcPr>
          <w:p w14:paraId="1920E4F8" w14:textId="77777777" w:rsidR="008878A0" w:rsidRPr="00517264" w:rsidRDefault="008878A0" w:rsidP="00517264">
            <w:pPr>
              <w:spacing w:after="0"/>
              <w:jc w:val="left"/>
              <w:rPr>
                <w:rFonts w:eastAsia="ArialNarrow"/>
                <w:szCs w:val="18"/>
              </w:rPr>
            </w:pPr>
            <w:r w:rsidRPr="00517264">
              <w:rPr>
                <w:rFonts w:eastAsia="ArialNarrow"/>
                <w:szCs w:val="18"/>
              </w:rPr>
              <w:t>Autokamp - Jarki</w:t>
            </w:r>
          </w:p>
        </w:tc>
        <w:tc>
          <w:tcPr>
            <w:tcW w:w="1968" w:type="pct"/>
            <w:gridSpan w:val="7"/>
            <w:hideMark/>
          </w:tcPr>
          <w:p w14:paraId="1DFCC25B" w14:textId="77777777" w:rsidR="008878A0" w:rsidRPr="00517264" w:rsidRDefault="008878A0" w:rsidP="00517264">
            <w:pPr>
              <w:spacing w:after="0"/>
              <w:jc w:val="right"/>
              <w:rPr>
                <w:rFonts w:eastAsia="ArialNarrow"/>
                <w:szCs w:val="18"/>
              </w:rPr>
            </w:pPr>
            <w:r w:rsidRPr="00517264">
              <w:rPr>
                <w:rFonts w:eastAsia="ArialNarrow"/>
                <w:szCs w:val="18"/>
              </w:rPr>
              <w:t>Stubičke Toplice, (Stubičke Toplice)</w:t>
            </w:r>
          </w:p>
        </w:tc>
        <w:tc>
          <w:tcPr>
            <w:tcW w:w="999" w:type="pct"/>
            <w:hideMark/>
          </w:tcPr>
          <w:p w14:paraId="04B8E2BF" w14:textId="77777777" w:rsidR="008878A0" w:rsidRPr="00517264" w:rsidRDefault="008878A0" w:rsidP="00517264">
            <w:pPr>
              <w:spacing w:after="0"/>
              <w:jc w:val="right"/>
              <w:rPr>
                <w:rFonts w:eastAsia="ArialNarrow"/>
                <w:szCs w:val="18"/>
              </w:rPr>
            </w:pPr>
            <w:r w:rsidRPr="00517264">
              <w:rPr>
                <w:rFonts w:eastAsia="ArialNarrow"/>
                <w:szCs w:val="18"/>
              </w:rPr>
              <w:t>0,98</w:t>
            </w:r>
          </w:p>
        </w:tc>
        <w:tc>
          <w:tcPr>
            <w:tcW w:w="854" w:type="pct"/>
            <w:gridSpan w:val="2"/>
            <w:hideMark/>
          </w:tcPr>
          <w:p w14:paraId="43DF6A04" w14:textId="77777777" w:rsidR="008878A0" w:rsidRPr="00517264" w:rsidRDefault="008878A0" w:rsidP="00517264">
            <w:pPr>
              <w:spacing w:after="0"/>
              <w:jc w:val="right"/>
              <w:rPr>
                <w:rFonts w:eastAsia="ArialNarrow"/>
                <w:szCs w:val="18"/>
              </w:rPr>
            </w:pPr>
            <w:r w:rsidRPr="00517264">
              <w:rPr>
                <w:rFonts w:eastAsia="ArialNarrow"/>
                <w:szCs w:val="18"/>
              </w:rPr>
              <w:t>T3</w:t>
            </w:r>
          </w:p>
        </w:tc>
      </w:tr>
      <w:tr w:rsidR="008878A0" w:rsidRPr="00517264" w14:paraId="3E210429" w14:textId="77777777" w:rsidTr="00517264">
        <w:trPr>
          <w:gridAfter w:val="1"/>
          <w:wAfter w:w="10" w:type="pct"/>
          <w:trHeight w:val="283"/>
        </w:trPr>
        <w:tc>
          <w:tcPr>
            <w:tcW w:w="1169" w:type="pct"/>
            <w:hideMark/>
          </w:tcPr>
          <w:p w14:paraId="3F0F778C" w14:textId="77777777" w:rsidR="008878A0" w:rsidRPr="00517264" w:rsidRDefault="008878A0" w:rsidP="00517264">
            <w:pPr>
              <w:spacing w:after="0"/>
              <w:jc w:val="left"/>
              <w:rPr>
                <w:rFonts w:eastAsia="ArialNarrow"/>
                <w:szCs w:val="18"/>
              </w:rPr>
            </w:pPr>
            <w:r w:rsidRPr="00517264">
              <w:rPr>
                <w:rFonts w:eastAsia="ArialNarrow"/>
                <w:szCs w:val="18"/>
              </w:rPr>
              <w:t>Hunjka - Zvonimirov dom</w:t>
            </w:r>
          </w:p>
        </w:tc>
        <w:tc>
          <w:tcPr>
            <w:tcW w:w="1968" w:type="pct"/>
            <w:gridSpan w:val="7"/>
            <w:hideMark/>
          </w:tcPr>
          <w:p w14:paraId="4F6A1C49" w14:textId="77777777" w:rsidR="008878A0" w:rsidRPr="00517264" w:rsidRDefault="008878A0" w:rsidP="00517264">
            <w:pPr>
              <w:spacing w:after="0"/>
              <w:jc w:val="right"/>
              <w:rPr>
                <w:rFonts w:eastAsia="ArialNarrow"/>
                <w:szCs w:val="18"/>
              </w:rPr>
            </w:pPr>
            <w:r w:rsidRPr="00517264">
              <w:rPr>
                <w:rFonts w:eastAsia="ArialNarrow"/>
                <w:szCs w:val="18"/>
              </w:rPr>
              <w:t>Stubičke Toplice, (Sljeme)</w:t>
            </w:r>
          </w:p>
        </w:tc>
        <w:tc>
          <w:tcPr>
            <w:tcW w:w="999" w:type="pct"/>
            <w:hideMark/>
          </w:tcPr>
          <w:p w14:paraId="34CC01F9" w14:textId="77777777" w:rsidR="008878A0" w:rsidRPr="00517264" w:rsidRDefault="008878A0" w:rsidP="00517264">
            <w:pPr>
              <w:spacing w:after="0"/>
              <w:jc w:val="right"/>
              <w:rPr>
                <w:rFonts w:eastAsia="ArialNarrow"/>
                <w:szCs w:val="18"/>
              </w:rPr>
            </w:pPr>
            <w:r w:rsidRPr="00517264">
              <w:rPr>
                <w:rFonts w:eastAsia="ArialNarrow"/>
                <w:szCs w:val="18"/>
              </w:rPr>
              <w:t>Izgrađeno: 0,64</w:t>
            </w:r>
          </w:p>
        </w:tc>
        <w:tc>
          <w:tcPr>
            <w:tcW w:w="854" w:type="pct"/>
            <w:gridSpan w:val="2"/>
            <w:hideMark/>
          </w:tcPr>
          <w:p w14:paraId="1174850D" w14:textId="77777777" w:rsidR="008878A0" w:rsidRPr="00517264" w:rsidRDefault="008878A0" w:rsidP="00517264">
            <w:pPr>
              <w:spacing w:after="0"/>
              <w:jc w:val="right"/>
              <w:rPr>
                <w:rFonts w:eastAsia="ArialNarrow"/>
                <w:szCs w:val="18"/>
              </w:rPr>
            </w:pPr>
            <w:r w:rsidRPr="00517264">
              <w:rPr>
                <w:rFonts w:eastAsia="ArialNarrow"/>
                <w:szCs w:val="18"/>
              </w:rPr>
              <w:t>/</w:t>
            </w:r>
          </w:p>
        </w:tc>
      </w:tr>
      <w:tr w:rsidR="008878A0" w:rsidRPr="00517264" w14:paraId="7C2F7A08" w14:textId="77777777" w:rsidTr="00517264">
        <w:trPr>
          <w:gridAfter w:val="1"/>
          <w:wAfter w:w="10" w:type="pct"/>
          <w:trHeight w:val="283"/>
        </w:trPr>
        <w:tc>
          <w:tcPr>
            <w:tcW w:w="1169" w:type="pct"/>
            <w:hideMark/>
          </w:tcPr>
          <w:p w14:paraId="13A97AD4" w14:textId="77777777" w:rsidR="008878A0" w:rsidRPr="00517264" w:rsidRDefault="008878A0" w:rsidP="00517264">
            <w:pPr>
              <w:spacing w:after="0"/>
              <w:jc w:val="left"/>
              <w:rPr>
                <w:rFonts w:eastAsia="ArialNarrow"/>
                <w:szCs w:val="18"/>
              </w:rPr>
            </w:pPr>
            <w:r w:rsidRPr="00517264">
              <w:rPr>
                <w:rFonts w:eastAsia="ArialNarrow"/>
                <w:szCs w:val="18"/>
              </w:rPr>
              <w:t>Apartmani Snježna Kraljica</w:t>
            </w:r>
          </w:p>
        </w:tc>
        <w:tc>
          <w:tcPr>
            <w:tcW w:w="1968" w:type="pct"/>
            <w:gridSpan w:val="7"/>
            <w:hideMark/>
          </w:tcPr>
          <w:p w14:paraId="67D9DA00" w14:textId="77777777" w:rsidR="008878A0" w:rsidRPr="00517264" w:rsidRDefault="008878A0" w:rsidP="00517264">
            <w:pPr>
              <w:spacing w:after="0"/>
              <w:jc w:val="right"/>
              <w:rPr>
                <w:rFonts w:eastAsia="ArialNarrow"/>
                <w:szCs w:val="18"/>
              </w:rPr>
            </w:pPr>
            <w:r w:rsidRPr="00517264">
              <w:rPr>
                <w:rFonts w:eastAsia="ArialNarrow"/>
                <w:szCs w:val="18"/>
              </w:rPr>
              <w:t>Stubičke Toplice, (Sljeme)</w:t>
            </w:r>
          </w:p>
        </w:tc>
        <w:tc>
          <w:tcPr>
            <w:tcW w:w="999" w:type="pct"/>
            <w:hideMark/>
          </w:tcPr>
          <w:p w14:paraId="2B8D1AAD" w14:textId="77777777" w:rsidR="008878A0" w:rsidRPr="00517264" w:rsidRDefault="008878A0" w:rsidP="00517264">
            <w:pPr>
              <w:spacing w:after="0"/>
              <w:jc w:val="right"/>
              <w:rPr>
                <w:rFonts w:eastAsia="ArialNarrow"/>
                <w:szCs w:val="18"/>
              </w:rPr>
            </w:pPr>
            <w:r w:rsidRPr="00517264">
              <w:rPr>
                <w:rFonts w:eastAsia="ArialNarrow"/>
                <w:szCs w:val="18"/>
              </w:rPr>
              <w:t>Izgrađeno: 0,74</w:t>
            </w:r>
          </w:p>
        </w:tc>
        <w:tc>
          <w:tcPr>
            <w:tcW w:w="854" w:type="pct"/>
            <w:gridSpan w:val="2"/>
            <w:hideMark/>
          </w:tcPr>
          <w:p w14:paraId="5F452F2B" w14:textId="77777777" w:rsidR="008878A0" w:rsidRPr="00517264" w:rsidRDefault="008878A0" w:rsidP="00517264">
            <w:pPr>
              <w:spacing w:after="0"/>
              <w:jc w:val="right"/>
              <w:rPr>
                <w:rFonts w:eastAsia="ArialNarrow"/>
                <w:szCs w:val="18"/>
              </w:rPr>
            </w:pPr>
            <w:r w:rsidRPr="00517264">
              <w:rPr>
                <w:rFonts w:eastAsia="ArialNarrow"/>
                <w:szCs w:val="18"/>
              </w:rPr>
              <w:t>/</w:t>
            </w:r>
          </w:p>
        </w:tc>
      </w:tr>
      <w:tr w:rsidR="008878A0" w:rsidRPr="00517264" w14:paraId="6261DE39" w14:textId="77777777" w:rsidTr="00517264">
        <w:trPr>
          <w:gridAfter w:val="1"/>
          <w:wAfter w:w="10" w:type="pct"/>
          <w:trHeight w:val="283"/>
        </w:trPr>
        <w:tc>
          <w:tcPr>
            <w:tcW w:w="1169" w:type="pct"/>
            <w:shd w:val="clear" w:color="auto" w:fill="D2232A" w:themeFill="accent1"/>
            <w:hideMark/>
          </w:tcPr>
          <w:p w14:paraId="446976F2"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KRAPINSKE TOPLICE</w:t>
            </w:r>
          </w:p>
        </w:tc>
        <w:tc>
          <w:tcPr>
            <w:tcW w:w="1968" w:type="pct"/>
            <w:gridSpan w:val="7"/>
            <w:shd w:val="clear" w:color="auto" w:fill="D2232A" w:themeFill="accent1"/>
            <w:hideMark/>
          </w:tcPr>
          <w:p w14:paraId="1D050D70"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999" w:type="pct"/>
            <w:shd w:val="clear" w:color="auto" w:fill="D2232A" w:themeFill="accent1"/>
            <w:hideMark/>
          </w:tcPr>
          <w:p w14:paraId="65E14E43"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0F84529C"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D20DFE" w:rsidRPr="00517264" w14:paraId="3D54C917" w14:textId="77777777" w:rsidTr="00517264">
        <w:trPr>
          <w:gridAfter w:val="1"/>
          <w:wAfter w:w="10" w:type="pct"/>
          <w:trHeight w:val="283"/>
        </w:trPr>
        <w:tc>
          <w:tcPr>
            <w:tcW w:w="1169" w:type="pct"/>
            <w:hideMark/>
          </w:tcPr>
          <w:p w14:paraId="5F970958" w14:textId="77777777" w:rsidR="00D20DFE" w:rsidRPr="00517264" w:rsidRDefault="00D20DFE" w:rsidP="00517264">
            <w:pPr>
              <w:spacing w:after="0"/>
              <w:jc w:val="left"/>
              <w:rPr>
                <w:rFonts w:eastAsia="ArialNarrow"/>
                <w:color w:val="auto"/>
                <w:szCs w:val="18"/>
              </w:rPr>
            </w:pPr>
            <w:r w:rsidRPr="00517264">
              <w:rPr>
                <w:rFonts w:eastAsia="ArialNarrow"/>
                <w:szCs w:val="18"/>
              </w:rPr>
              <w:t>Krapinske Toplice</w:t>
            </w:r>
          </w:p>
        </w:tc>
        <w:tc>
          <w:tcPr>
            <w:tcW w:w="1968" w:type="pct"/>
            <w:gridSpan w:val="7"/>
            <w:hideMark/>
          </w:tcPr>
          <w:p w14:paraId="404E709A" w14:textId="77777777" w:rsidR="00D20DFE" w:rsidRPr="00517264" w:rsidRDefault="00D20DFE" w:rsidP="00517264">
            <w:pPr>
              <w:spacing w:after="0"/>
              <w:jc w:val="right"/>
              <w:rPr>
                <w:rFonts w:eastAsia="ArialNarrow"/>
                <w:szCs w:val="18"/>
              </w:rPr>
            </w:pPr>
            <w:r w:rsidRPr="00517264">
              <w:rPr>
                <w:rFonts w:eastAsia="ArialNarrow"/>
                <w:szCs w:val="18"/>
              </w:rPr>
              <w:t>Krapinske Toplice, (Krapinske Toplice)</w:t>
            </w:r>
          </w:p>
        </w:tc>
        <w:tc>
          <w:tcPr>
            <w:tcW w:w="999" w:type="pct"/>
            <w:hideMark/>
          </w:tcPr>
          <w:p w14:paraId="1EFB02B6" w14:textId="77777777" w:rsidR="00D20DFE" w:rsidRPr="00517264" w:rsidRDefault="00D20DFE" w:rsidP="00517264">
            <w:pPr>
              <w:spacing w:after="0"/>
              <w:jc w:val="right"/>
              <w:rPr>
                <w:rFonts w:eastAsia="ArialNarrow"/>
                <w:szCs w:val="18"/>
              </w:rPr>
            </w:pPr>
            <w:r w:rsidRPr="00517264">
              <w:rPr>
                <w:rFonts w:eastAsia="ArialNarrow"/>
                <w:szCs w:val="18"/>
              </w:rPr>
              <w:t>23,4</w:t>
            </w:r>
          </w:p>
          <w:p w14:paraId="1C42928C" w14:textId="1EA3B638" w:rsidR="00D20DFE" w:rsidRPr="00517264" w:rsidRDefault="00D20DFE" w:rsidP="00517264">
            <w:pPr>
              <w:spacing w:after="0"/>
              <w:jc w:val="right"/>
              <w:rPr>
                <w:rFonts w:eastAsia="ArialNarrow"/>
                <w:szCs w:val="18"/>
              </w:rPr>
            </w:pPr>
            <w:r w:rsidRPr="00517264">
              <w:rPr>
                <w:rFonts w:eastAsia="ArialNarrow"/>
                <w:szCs w:val="18"/>
              </w:rPr>
              <w:t>Izgrađeno: 6,15</w:t>
            </w:r>
          </w:p>
        </w:tc>
        <w:tc>
          <w:tcPr>
            <w:tcW w:w="854" w:type="pct"/>
            <w:gridSpan w:val="2"/>
            <w:hideMark/>
          </w:tcPr>
          <w:p w14:paraId="40FCCD17" w14:textId="77777777" w:rsidR="00D20DFE" w:rsidRPr="00517264" w:rsidRDefault="00D20DFE" w:rsidP="00517264">
            <w:pPr>
              <w:spacing w:after="0"/>
              <w:jc w:val="right"/>
              <w:rPr>
                <w:rFonts w:eastAsia="ArialNarrow"/>
                <w:szCs w:val="18"/>
              </w:rPr>
            </w:pPr>
            <w:r w:rsidRPr="00517264">
              <w:rPr>
                <w:rFonts w:eastAsia="ArialNarrow"/>
                <w:szCs w:val="18"/>
              </w:rPr>
              <w:t>T1,T2,T3,T4,R3</w:t>
            </w:r>
          </w:p>
        </w:tc>
      </w:tr>
      <w:tr w:rsidR="00D20DFE" w:rsidRPr="00517264" w14:paraId="10C46397" w14:textId="77777777" w:rsidTr="00517264">
        <w:trPr>
          <w:gridAfter w:val="1"/>
          <w:wAfter w:w="10" w:type="pct"/>
          <w:trHeight w:val="283"/>
        </w:trPr>
        <w:tc>
          <w:tcPr>
            <w:tcW w:w="1169" w:type="pct"/>
            <w:hideMark/>
          </w:tcPr>
          <w:p w14:paraId="57D0425D" w14:textId="77777777" w:rsidR="00D20DFE" w:rsidRPr="00517264" w:rsidRDefault="00D20DFE" w:rsidP="00517264">
            <w:pPr>
              <w:spacing w:after="0"/>
              <w:jc w:val="left"/>
              <w:rPr>
                <w:rFonts w:eastAsia="ArialNarrow"/>
                <w:szCs w:val="18"/>
              </w:rPr>
            </w:pPr>
            <w:r w:rsidRPr="00517264">
              <w:rPr>
                <w:rFonts w:eastAsia="ArialNarrow"/>
                <w:szCs w:val="18"/>
              </w:rPr>
              <w:t>Turistička zona - Čavlek</w:t>
            </w:r>
          </w:p>
        </w:tc>
        <w:tc>
          <w:tcPr>
            <w:tcW w:w="1968" w:type="pct"/>
            <w:gridSpan w:val="7"/>
            <w:hideMark/>
          </w:tcPr>
          <w:p w14:paraId="6B8EBFE0" w14:textId="77777777" w:rsidR="00D20DFE" w:rsidRPr="00517264" w:rsidRDefault="00D20DFE" w:rsidP="00517264">
            <w:pPr>
              <w:spacing w:after="0"/>
              <w:jc w:val="right"/>
              <w:rPr>
                <w:rFonts w:eastAsia="ArialNarrow"/>
                <w:szCs w:val="18"/>
              </w:rPr>
            </w:pPr>
            <w:r w:rsidRPr="00517264">
              <w:rPr>
                <w:rFonts w:eastAsia="ArialNarrow"/>
                <w:szCs w:val="18"/>
              </w:rPr>
              <w:t>Krapinske Toplice, (Krapinske Toplice)</w:t>
            </w:r>
          </w:p>
        </w:tc>
        <w:tc>
          <w:tcPr>
            <w:tcW w:w="999" w:type="pct"/>
            <w:hideMark/>
          </w:tcPr>
          <w:p w14:paraId="05AB195B" w14:textId="77777777" w:rsidR="00D20DFE" w:rsidRPr="00517264" w:rsidRDefault="00D20DFE" w:rsidP="00517264">
            <w:pPr>
              <w:spacing w:after="0"/>
              <w:jc w:val="right"/>
              <w:rPr>
                <w:rFonts w:eastAsia="ArialNarrow"/>
                <w:szCs w:val="18"/>
              </w:rPr>
            </w:pPr>
            <w:r w:rsidRPr="00517264">
              <w:rPr>
                <w:rFonts w:eastAsia="ArialNarrow"/>
                <w:szCs w:val="18"/>
              </w:rPr>
              <w:t>4,86</w:t>
            </w:r>
          </w:p>
          <w:p w14:paraId="5E63E943" w14:textId="0FF86192" w:rsidR="00D20DFE" w:rsidRPr="00517264" w:rsidRDefault="00D20DFE" w:rsidP="00517264">
            <w:pPr>
              <w:spacing w:after="0"/>
              <w:jc w:val="right"/>
              <w:rPr>
                <w:rFonts w:eastAsia="ArialNarrow"/>
                <w:szCs w:val="18"/>
              </w:rPr>
            </w:pPr>
            <w:r w:rsidRPr="00517264">
              <w:rPr>
                <w:rFonts w:eastAsia="ArialNarrow"/>
                <w:szCs w:val="18"/>
              </w:rPr>
              <w:t>Izgrađeno: 1,65</w:t>
            </w:r>
          </w:p>
        </w:tc>
        <w:tc>
          <w:tcPr>
            <w:tcW w:w="854" w:type="pct"/>
            <w:gridSpan w:val="2"/>
            <w:hideMark/>
          </w:tcPr>
          <w:p w14:paraId="39F896F7" w14:textId="77777777" w:rsidR="00D20DFE" w:rsidRPr="00517264" w:rsidRDefault="00D20DFE" w:rsidP="00517264">
            <w:pPr>
              <w:spacing w:after="0"/>
              <w:jc w:val="right"/>
              <w:rPr>
                <w:rFonts w:eastAsia="ArialNarrow"/>
                <w:szCs w:val="18"/>
              </w:rPr>
            </w:pPr>
            <w:r w:rsidRPr="00517264">
              <w:rPr>
                <w:rFonts w:eastAsia="ArialNarrow"/>
                <w:szCs w:val="18"/>
              </w:rPr>
              <w:t>T</w:t>
            </w:r>
          </w:p>
        </w:tc>
      </w:tr>
      <w:tr w:rsidR="00D20DFE" w:rsidRPr="00517264" w14:paraId="33C2D1A0" w14:textId="77777777" w:rsidTr="00517264">
        <w:trPr>
          <w:gridAfter w:val="1"/>
          <w:wAfter w:w="10" w:type="pct"/>
          <w:trHeight w:val="283"/>
        </w:trPr>
        <w:tc>
          <w:tcPr>
            <w:tcW w:w="1169" w:type="pct"/>
            <w:hideMark/>
          </w:tcPr>
          <w:p w14:paraId="35ECEA09" w14:textId="77777777" w:rsidR="00D20DFE" w:rsidRPr="00517264" w:rsidRDefault="00D20DFE" w:rsidP="00517264">
            <w:pPr>
              <w:spacing w:after="0"/>
              <w:jc w:val="left"/>
              <w:rPr>
                <w:rFonts w:eastAsia="ArialNarrow"/>
                <w:szCs w:val="18"/>
              </w:rPr>
            </w:pPr>
            <w:r w:rsidRPr="00517264">
              <w:rPr>
                <w:rFonts w:eastAsia="ArialNarrow"/>
                <w:szCs w:val="18"/>
              </w:rPr>
              <w:t>Turistička zona - Hršak Breg (Petrač)</w:t>
            </w:r>
          </w:p>
        </w:tc>
        <w:tc>
          <w:tcPr>
            <w:tcW w:w="1968" w:type="pct"/>
            <w:gridSpan w:val="7"/>
            <w:hideMark/>
          </w:tcPr>
          <w:p w14:paraId="5CDB1C28" w14:textId="77777777" w:rsidR="00D20DFE" w:rsidRPr="00517264" w:rsidRDefault="00D20DFE" w:rsidP="00517264">
            <w:pPr>
              <w:spacing w:after="0"/>
              <w:jc w:val="right"/>
              <w:rPr>
                <w:rFonts w:eastAsia="ArialNarrow"/>
                <w:szCs w:val="18"/>
              </w:rPr>
            </w:pPr>
            <w:r w:rsidRPr="00517264">
              <w:rPr>
                <w:rFonts w:eastAsia="ArialNarrow"/>
                <w:szCs w:val="18"/>
              </w:rPr>
              <w:t>Krapinske Toplice, (Hršak Breg, Slivonja Jarek)</w:t>
            </w:r>
          </w:p>
        </w:tc>
        <w:tc>
          <w:tcPr>
            <w:tcW w:w="999" w:type="pct"/>
            <w:hideMark/>
          </w:tcPr>
          <w:p w14:paraId="655F9A79" w14:textId="77777777" w:rsidR="00D20DFE" w:rsidRPr="00517264" w:rsidRDefault="00D20DFE" w:rsidP="00517264">
            <w:pPr>
              <w:spacing w:after="0"/>
              <w:jc w:val="right"/>
              <w:rPr>
                <w:rFonts w:eastAsia="ArialNarrow"/>
                <w:szCs w:val="18"/>
              </w:rPr>
            </w:pPr>
            <w:r w:rsidRPr="00517264">
              <w:rPr>
                <w:rFonts w:eastAsia="ArialNarrow"/>
                <w:szCs w:val="18"/>
              </w:rPr>
              <w:t>3,01</w:t>
            </w:r>
          </w:p>
          <w:p w14:paraId="5CD40FE8" w14:textId="1FB5F358" w:rsidR="00D20DFE" w:rsidRPr="00517264" w:rsidRDefault="00D20DFE" w:rsidP="00517264">
            <w:pPr>
              <w:spacing w:after="0"/>
              <w:jc w:val="right"/>
              <w:rPr>
                <w:rFonts w:eastAsia="ArialNarrow"/>
                <w:szCs w:val="18"/>
              </w:rPr>
            </w:pPr>
            <w:r w:rsidRPr="00517264">
              <w:rPr>
                <w:rFonts w:eastAsia="ArialNarrow"/>
                <w:szCs w:val="18"/>
              </w:rPr>
              <w:t>Izgrađeno: 1,8</w:t>
            </w:r>
          </w:p>
        </w:tc>
        <w:tc>
          <w:tcPr>
            <w:tcW w:w="854" w:type="pct"/>
            <w:gridSpan w:val="2"/>
            <w:hideMark/>
          </w:tcPr>
          <w:p w14:paraId="4E732E44" w14:textId="77777777" w:rsidR="00D20DFE" w:rsidRPr="00517264" w:rsidRDefault="00D20DFE" w:rsidP="00517264">
            <w:pPr>
              <w:spacing w:after="0"/>
              <w:jc w:val="right"/>
              <w:rPr>
                <w:rFonts w:eastAsia="ArialNarrow"/>
                <w:szCs w:val="18"/>
              </w:rPr>
            </w:pPr>
            <w:r w:rsidRPr="00517264">
              <w:rPr>
                <w:rFonts w:eastAsia="ArialNarrow"/>
                <w:szCs w:val="18"/>
              </w:rPr>
              <w:t>T2,2</w:t>
            </w:r>
          </w:p>
        </w:tc>
      </w:tr>
      <w:tr w:rsidR="008878A0" w:rsidRPr="00517264" w14:paraId="10D7CA74" w14:textId="77777777" w:rsidTr="00517264">
        <w:trPr>
          <w:gridAfter w:val="1"/>
          <w:wAfter w:w="10" w:type="pct"/>
          <w:trHeight w:val="283"/>
        </w:trPr>
        <w:tc>
          <w:tcPr>
            <w:tcW w:w="1169" w:type="pct"/>
            <w:hideMark/>
          </w:tcPr>
          <w:p w14:paraId="60FAE909" w14:textId="77777777" w:rsidR="008878A0" w:rsidRPr="00517264" w:rsidRDefault="008878A0" w:rsidP="00517264">
            <w:pPr>
              <w:spacing w:after="0"/>
              <w:jc w:val="left"/>
              <w:rPr>
                <w:rFonts w:eastAsia="ArialNarrow"/>
                <w:szCs w:val="18"/>
              </w:rPr>
            </w:pPr>
            <w:r w:rsidRPr="00517264">
              <w:rPr>
                <w:rFonts w:eastAsia="ArialNarrow"/>
                <w:szCs w:val="18"/>
              </w:rPr>
              <w:t>Maturovec</w:t>
            </w:r>
          </w:p>
        </w:tc>
        <w:tc>
          <w:tcPr>
            <w:tcW w:w="1968" w:type="pct"/>
            <w:gridSpan w:val="7"/>
            <w:hideMark/>
          </w:tcPr>
          <w:p w14:paraId="14CAE05B" w14:textId="77777777" w:rsidR="008878A0" w:rsidRPr="00517264" w:rsidRDefault="008878A0" w:rsidP="00517264">
            <w:pPr>
              <w:spacing w:after="0"/>
              <w:jc w:val="right"/>
              <w:rPr>
                <w:rFonts w:eastAsia="ArialNarrow"/>
                <w:szCs w:val="18"/>
              </w:rPr>
            </w:pPr>
            <w:r w:rsidRPr="00517264">
              <w:rPr>
                <w:rFonts w:eastAsia="ArialNarrow"/>
                <w:szCs w:val="18"/>
              </w:rPr>
              <w:t>Maturovec</w:t>
            </w:r>
          </w:p>
        </w:tc>
        <w:tc>
          <w:tcPr>
            <w:tcW w:w="999" w:type="pct"/>
            <w:hideMark/>
          </w:tcPr>
          <w:p w14:paraId="460DAD9E" w14:textId="77777777" w:rsidR="008878A0" w:rsidRPr="00517264" w:rsidRDefault="008878A0" w:rsidP="00517264">
            <w:pPr>
              <w:spacing w:after="0"/>
              <w:jc w:val="right"/>
              <w:rPr>
                <w:rFonts w:eastAsia="ArialNarrow"/>
                <w:szCs w:val="18"/>
              </w:rPr>
            </w:pPr>
            <w:r w:rsidRPr="00517264">
              <w:rPr>
                <w:rFonts w:eastAsia="ArialNarrow"/>
                <w:szCs w:val="18"/>
              </w:rPr>
              <w:t>0,73 ha, neizgrađeno</w:t>
            </w:r>
          </w:p>
        </w:tc>
        <w:tc>
          <w:tcPr>
            <w:tcW w:w="854" w:type="pct"/>
            <w:gridSpan w:val="2"/>
            <w:hideMark/>
          </w:tcPr>
          <w:p w14:paraId="15CA66D6" w14:textId="77777777" w:rsidR="008878A0" w:rsidRPr="00517264" w:rsidRDefault="008878A0" w:rsidP="00517264">
            <w:pPr>
              <w:spacing w:after="0"/>
              <w:jc w:val="right"/>
              <w:rPr>
                <w:rFonts w:eastAsia="ArialNarrow"/>
                <w:szCs w:val="18"/>
              </w:rPr>
            </w:pPr>
            <w:r w:rsidRPr="00517264">
              <w:rPr>
                <w:rFonts w:eastAsia="ArialNarrow"/>
                <w:szCs w:val="18"/>
              </w:rPr>
              <w:t>T1,T2,T4</w:t>
            </w:r>
          </w:p>
        </w:tc>
      </w:tr>
      <w:tr w:rsidR="008878A0" w:rsidRPr="00517264" w14:paraId="259B0BF2" w14:textId="77777777" w:rsidTr="00517264">
        <w:trPr>
          <w:gridAfter w:val="1"/>
          <w:wAfter w:w="10" w:type="pct"/>
          <w:trHeight w:val="283"/>
        </w:trPr>
        <w:tc>
          <w:tcPr>
            <w:tcW w:w="1169" w:type="pct"/>
            <w:hideMark/>
          </w:tcPr>
          <w:p w14:paraId="417E8C26" w14:textId="77777777" w:rsidR="008878A0" w:rsidRPr="00517264" w:rsidRDefault="008878A0" w:rsidP="00517264">
            <w:pPr>
              <w:spacing w:after="0"/>
              <w:jc w:val="left"/>
              <w:rPr>
                <w:rFonts w:eastAsia="ArialNarrow"/>
                <w:szCs w:val="18"/>
              </w:rPr>
            </w:pPr>
            <w:r w:rsidRPr="00517264">
              <w:rPr>
                <w:rFonts w:eastAsia="ArialNarrow"/>
                <w:szCs w:val="18"/>
              </w:rPr>
              <w:t>Selo</w:t>
            </w:r>
          </w:p>
        </w:tc>
        <w:tc>
          <w:tcPr>
            <w:tcW w:w="1968" w:type="pct"/>
            <w:gridSpan w:val="7"/>
            <w:hideMark/>
          </w:tcPr>
          <w:p w14:paraId="2ED356A3" w14:textId="77777777" w:rsidR="008878A0" w:rsidRPr="00517264" w:rsidRDefault="008878A0" w:rsidP="00517264">
            <w:pPr>
              <w:spacing w:after="0"/>
              <w:jc w:val="right"/>
              <w:rPr>
                <w:rFonts w:eastAsia="ArialNarrow"/>
                <w:szCs w:val="18"/>
              </w:rPr>
            </w:pPr>
            <w:r w:rsidRPr="00517264">
              <w:rPr>
                <w:rFonts w:eastAsia="ArialNarrow"/>
                <w:szCs w:val="18"/>
              </w:rPr>
              <w:t>Selno</w:t>
            </w:r>
          </w:p>
        </w:tc>
        <w:tc>
          <w:tcPr>
            <w:tcW w:w="999" w:type="pct"/>
            <w:hideMark/>
          </w:tcPr>
          <w:p w14:paraId="7CAF73F8" w14:textId="77777777" w:rsidR="008878A0" w:rsidRPr="00517264" w:rsidRDefault="008878A0" w:rsidP="00517264">
            <w:pPr>
              <w:spacing w:after="0"/>
              <w:jc w:val="right"/>
              <w:rPr>
                <w:rFonts w:eastAsia="ArialNarrow"/>
                <w:szCs w:val="18"/>
              </w:rPr>
            </w:pPr>
            <w:r w:rsidRPr="00517264">
              <w:rPr>
                <w:rFonts w:eastAsia="ArialNarrow"/>
                <w:szCs w:val="18"/>
              </w:rPr>
              <w:t>1,4 ha, neizgrađeno</w:t>
            </w:r>
          </w:p>
        </w:tc>
        <w:tc>
          <w:tcPr>
            <w:tcW w:w="854" w:type="pct"/>
            <w:gridSpan w:val="2"/>
            <w:hideMark/>
          </w:tcPr>
          <w:p w14:paraId="7200D93E" w14:textId="77777777" w:rsidR="008878A0" w:rsidRPr="00517264" w:rsidRDefault="008878A0" w:rsidP="00517264">
            <w:pPr>
              <w:spacing w:after="0"/>
              <w:jc w:val="right"/>
              <w:rPr>
                <w:rFonts w:eastAsia="ArialNarrow"/>
                <w:szCs w:val="18"/>
              </w:rPr>
            </w:pPr>
            <w:r w:rsidRPr="00517264">
              <w:rPr>
                <w:rFonts w:eastAsia="ArialNarrow"/>
                <w:szCs w:val="18"/>
              </w:rPr>
              <w:t>T3, T4</w:t>
            </w:r>
          </w:p>
        </w:tc>
      </w:tr>
      <w:tr w:rsidR="008878A0" w:rsidRPr="00517264" w14:paraId="40DFA424" w14:textId="77777777" w:rsidTr="00517264">
        <w:trPr>
          <w:gridAfter w:val="1"/>
          <w:wAfter w:w="10" w:type="pct"/>
          <w:trHeight w:val="283"/>
        </w:trPr>
        <w:tc>
          <w:tcPr>
            <w:tcW w:w="1169" w:type="pct"/>
            <w:hideMark/>
          </w:tcPr>
          <w:p w14:paraId="48261675" w14:textId="77777777" w:rsidR="008878A0" w:rsidRPr="00517264" w:rsidRDefault="008878A0" w:rsidP="00517264">
            <w:pPr>
              <w:spacing w:after="0"/>
              <w:jc w:val="left"/>
              <w:rPr>
                <w:rFonts w:eastAsia="ArialNarrow"/>
                <w:szCs w:val="18"/>
              </w:rPr>
            </w:pPr>
            <w:r w:rsidRPr="00517264">
              <w:rPr>
                <w:rFonts w:eastAsia="ArialNarrow"/>
                <w:szCs w:val="18"/>
              </w:rPr>
              <w:t>Lovreća Sela</w:t>
            </w:r>
          </w:p>
        </w:tc>
        <w:tc>
          <w:tcPr>
            <w:tcW w:w="1968" w:type="pct"/>
            <w:gridSpan w:val="7"/>
            <w:hideMark/>
          </w:tcPr>
          <w:p w14:paraId="783874A5" w14:textId="77777777" w:rsidR="008878A0" w:rsidRPr="00517264" w:rsidRDefault="008878A0" w:rsidP="00517264">
            <w:pPr>
              <w:spacing w:after="0"/>
              <w:jc w:val="right"/>
              <w:rPr>
                <w:rFonts w:eastAsia="ArialNarrow"/>
                <w:szCs w:val="18"/>
              </w:rPr>
            </w:pPr>
            <w:r w:rsidRPr="00517264">
              <w:rPr>
                <w:rFonts w:eastAsia="ArialNarrow"/>
                <w:szCs w:val="18"/>
              </w:rPr>
              <w:t>Lovreća Sela</w:t>
            </w:r>
          </w:p>
        </w:tc>
        <w:tc>
          <w:tcPr>
            <w:tcW w:w="999" w:type="pct"/>
            <w:hideMark/>
          </w:tcPr>
          <w:p w14:paraId="28DFDE98" w14:textId="77777777" w:rsidR="008878A0" w:rsidRPr="00517264" w:rsidRDefault="008878A0" w:rsidP="00517264">
            <w:pPr>
              <w:spacing w:after="0"/>
              <w:jc w:val="right"/>
              <w:rPr>
                <w:rFonts w:eastAsia="ArialNarrow"/>
                <w:szCs w:val="18"/>
              </w:rPr>
            </w:pPr>
            <w:r w:rsidRPr="00517264">
              <w:rPr>
                <w:rFonts w:eastAsia="ArialNarrow"/>
                <w:szCs w:val="18"/>
              </w:rPr>
              <w:t>0,73 ha, neizgrađeno</w:t>
            </w:r>
          </w:p>
        </w:tc>
        <w:tc>
          <w:tcPr>
            <w:tcW w:w="854" w:type="pct"/>
            <w:gridSpan w:val="2"/>
            <w:hideMark/>
          </w:tcPr>
          <w:p w14:paraId="2F6B426A" w14:textId="77777777" w:rsidR="008878A0" w:rsidRPr="00517264" w:rsidRDefault="008878A0" w:rsidP="00517264">
            <w:pPr>
              <w:spacing w:after="0"/>
              <w:jc w:val="right"/>
              <w:rPr>
                <w:rFonts w:eastAsia="ArialNarrow"/>
                <w:szCs w:val="18"/>
              </w:rPr>
            </w:pPr>
            <w:r w:rsidRPr="00517264">
              <w:rPr>
                <w:rFonts w:eastAsia="ArialNarrow"/>
                <w:szCs w:val="18"/>
              </w:rPr>
              <w:t>T2, T3, T4</w:t>
            </w:r>
          </w:p>
        </w:tc>
      </w:tr>
      <w:tr w:rsidR="008878A0" w:rsidRPr="00517264" w14:paraId="06CD9F23" w14:textId="77777777" w:rsidTr="00517264">
        <w:trPr>
          <w:gridAfter w:val="1"/>
          <w:wAfter w:w="10" w:type="pct"/>
          <w:trHeight w:val="283"/>
        </w:trPr>
        <w:tc>
          <w:tcPr>
            <w:tcW w:w="1169" w:type="pct"/>
            <w:shd w:val="clear" w:color="auto" w:fill="D2232A" w:themeFill="accent1"/>
            <w:hideMark/>
          </w:tcPr>
          <w:p w14:paraId="5EA8C56E"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TUHELJ</w:t>
            </w:r>
          </w:p>
        </w:tc>
        <w:tc>
          <w:tcPr>
            <w:tcW w:w="1968" w:type="pct"/>
            <w:gridSpan w:val="7"/>
            <w:shd w:val="clear" w:color="auto" w:fill="D2232A" w:themeFill="accent1"/>
            <w:hideMark/>
          </w:tcPr>
          <w:p w14:paraId="0BAAEA53"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999" w:type="pct"/>
            <w:shd w:val="clear" w:color="auto" w:fill="D2232A" w:themeFill="accent1"/>
            <w:hideMark/>
          </w:tcPr>
          <w:p w14:paraId="36EC3211"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1E498DB2"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009613DA" w14:textId="77777777" w:rsidTr="00517264">
        <w:trPr>
          <w:gridAfter w:val="1"/>
          <w:wAfter w:w="10" w:type="pct"/>
          <w:trHeight w:val="283"/>
        </w:trPr>
        <w:tc>
          <w:tcPr>
            <w:tcW w:w="1169" w:type="pct"/>
            <w:hideMark/>
          </w:tcPr>
          <w:p w14:paraId="195EC168" w14:textId="77777777" w:rsidR="008878A0" w:rsidRPr="00517264" w:rsidRDefault="008878A0" w:rsidP="00517264">
            <w:pPr>
              <w:spacing w:after="0"/>
              <w:jc w:val="left"/>
              <w:rPr>
                <w:rFonts w:eastAsia="ArialNarrow"/>
                <w:color w:val="auto"/>
                <w:szCs w:val="18"/>
              </w:rPr>
            </w:pPr>
            <w:r w:rsidRPr="00517264">
              <w:rPr>
                <w:rFonts w:eastAsia="ArialNarrow"/>
                <w:szCs w:val="18"/>
              </w:rPr>
              <w:t>Tuheljske Toplice - uz Terme (UPU)</w:t>
            </w:r>
          </w:p>
        </w:tc>
        <w:tc>
          <w:tcPr>
            <w:tcW w:w="1968" w:type="pct"/>
            <w:gridSpan w:val="7"/>
            <w:hideMark/>
          </w:tcPr>
          <w:p w14:paraId="632E7564" w14:textId="77777777" w:rsidR="008878A0" w:rsidRPr="00517264" w:rsidRDefault="008878A0" w:rsidP="00517264">
            <w:pPr>
              <w:spacing w:after="0"/>
              <w:jc w:val="right"/>
              <w:rPr>
                <w:rFonts w:eastAsia="ArialNarrow"/>
                <w:szCs w:val="18"/>
              </w:rPr>
            </w:pPr>
            <w:r w:rsidRPr="00517264">
              <w:rPr>
                <w:rFonts w:eastAsia="ArialNarrow"/>
                <w:szCs w:val="18"/>
              </w:rPr>
              <w:t>Tuhelj, (Tuheljske Toplice)</w:t>
            </w:r>
          </w:p>
        </w:tc>
        <w:tc>
          <w:tcPr>
            <w:tcW w:w="999" w:type="pct"/>
            <w:hideMark/>
          </w:tcPr>
          <w:p w14:paraId="085A6987" w14:textId="77777777" w:rsidR="008878A0" w:rsidRPr="00517264" w:rsidRDefault="008878A0" w:rsidP="00517264">
            <w:pPr>
              <w:spacing w:after="0"/>
              <w:jc w:val="right"/>
              <w:rPr>
                <w:rFonts w:eastAsia="ArialNarrow"/>
                <w:szCs w:val="18"/>
              </w:rPr>
            </w:pPr>
            <w:r w:rsidRPr="00517264">
              <w:rPr>
                <w:rFonts w:eastAsia="ArialNarrow"/>
                <w:szCs w:val="18"/>
              </w:rPr>
              <w:t>5,6</w:t>
            </w:r>
          </w:p>
        </w:tc>
        <w:tc>
          <w:tcPr>
            <w:tcW w:w="854" w:type="pct"/>
            <w:gridSpan w:val="2"/>
            <w:hideMark/>
          </w:tcPr>
          <w:p w14:paraId="0F8F1E9D"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D20DFE" w:rsidRPr="00517264" w14:paraId="57F89546" w14:textId="77777777" w:rsidTr="00517264">
        <w:trPr>
          <w:gridAfter w:val="1"/>
          <w:wAfter w:w="10" w:type="pct"/>
          <w:trHeight w:val="283"/>
        </w:trPr>
        <w:tc>
          <w:tcPr>
            <w:tcW w:w="1169" w:type="pct"/>
            <w:hideMark/>
          </w:tcPr>
          <w:p w14:paraId="1884491F" w14:textId="77777777" w:rsidR="00D20DFE" w:rsidRPr="00517264" w:rsidRDefault="00D20DFE" w:rsidP="00517264">
            <w:pPr>
              <w:spacing w:after="0"/>
              <w:jc w:val="left"/>
              <w:rPr>
                <w:rFonts w:eastAsia="ArialNarrow"/>
                <w:szCs w:val="18"/>
              </w:rPr>
            </w:pPr>
            <w:r w:rsidRPr="00517264">
              <w:rPr>
                <w:rFonts w:eastAsia="ArialNarrow"/>
                <w:szCs w:val="18"/>
              </w:rPr>
              <w:t>Tuheljske Toplice - Terme Olimje</w:t>
            </w:r>
          </w:p>
        </w:tc>
        <w:tc>
          <w:tcPr>
            <w:tcW w:w="1968" w:type="pct"/>
            <w:gridSpan w:val="7"/>
            <w:hideMark/>
          </w:tcPr>
          <w:p w14:paraId="25F5E336" w14:textId="77777777" w:rsidR="00D20DFE" w:rsidRPr="00517264" w:rsidRDefault="00D20DFE" w:rsidP="00517264">
            <w:pPr>
              <w:spacing w:after="0"/>
              <w:jc w:val="right"/>
              <w:rPr>
                <w:rFonts w:eastAsia="ArialNarrow"/>
                <w:szCs w:val="18"/>
              </w:rPr>
            </w:pPr>
            <w:r w:rsidRPr="00517264">
              <w:rPr>
                <w:rFonts w:eastAsia="ArialNarrow"/>
                <w:szCs w:val="18"/>
              </w:rPr>
              <w:t>Tuhelj, (Tuheljske Toplice)</w:t>
            </w:r>
          </w:p>
        </w:tc>
        <w:tc>
          <w:tcPr>
            <w:tcW w:w="999" w:type="pct"/>
            <w:hideMark/>
          </w:tcPr>
          <w:p w14:paraId="4ADFDEC3" w14:textId="77777777" w:rsidR="00D20DFE" w:rsidRPr="00517264" w:rsidRDefault="00D20DFE" w:rsidP="00517264">
            <w:pPr>
              <w:spacing w:after="0"/>
              <w:jc w:val="right"/>
              <w:rPr>
                <w:rFonts w:eastAsia="ArialNarrow"/>
                <w:szCs w:val="18"/>
              </w:rPr>
            </w:pPr>
            <w:r w:rsidRPr="00517264">
              <w:rPr>
                <w:rFonts w:eastAsia="ArialNarrow"/>
                <w:szCs w:val="18"/>
              </w:rPr>
              <w:t>16,39</w:t>
            </w:r>
          </w:p>
          <w:p w14:paraId="651A4F64" w14:textId="0971AC78" w:rsidR="00D20DFE" w:rsidRPr="00517264" w:rsidRDefault="00D20DFE" w:rsidP="00517264">
            <w:pPr>
              <w:spacing w:after="0"/>
              <w:jc w:val="right"/>
              <w:rPr>
                <w:rFonts w:eastAsia="ArialNarrow"/>
                <w:szCs w:val="18"/>
              </w:rPr>
            </w:pPr>
            <w:r w:rsidRPr="00517264">
              <w:rPr>
                <w:rFonts w:eastAsia="ArialNarrow"/>
                <w:szCs w:val="18"/>
              </w:rPr>
              <w:t>Izgrađeno: 16,14</w:t>
            </w:r>
          </w:p>
        </w:tc>
        <w:tc>
          <w:tcPr>
            <w:tcW w:w="854" w:type="pct"/>
            <w:gridSpan w:val="2"/>
            <w:hideMark/>
          </w:tcPr>
          <w:p w14:paraId="3D649D70" w14:textId="77777777" w:rsidR="00D20DFE" w:rsidRPr="00517264" w:rsidRDefault="00D20DFE" w:rsidP="00517264">
            <w:pPr>
              <w:spacing w:after="0"/>
              <w:jc w:val="right"/>
              <w:rPr>
                <w:rFonts w:eastAsia="ArialNarrow"/>
                <w:szCs w:val="18"/>
              </w:rPr>
            </w:pPr>
            <w:r w:rsidRPr="00517264">
              <w:rPr>
                <w:rFonts w:eastAsia="ArialNarrow"/>
                <w:szCs w:val="18"/>
              </w:rPr>
              <w:t>T</w:t>
            </w:r>
          </w:p>
        </w:tc>
      </w:tr>
      <w:tr w:rsidR="008878A0" w:rsidRPr="00517264" w14:paraId="5B088762" w14:textId="77777777" w:rsidTr="00517264">
        <w:trPr>
          <w:gridAfter w:val="1"/>
          <w:wAfter w:w="10" w:type="pct"/>
          <w:trHeight w:val="283"/>
        </w:trPr>
        <w:tc>
          <w:tcPr>
            <w:tcW w:w="1169" w:type="pct"/>
            <w:hideMark/>
          </w:tcPr>
          <w:p w14:paraId="34898A8E" w14:textId="77777777" w:rsidR="008878A0" w:rsidRPr="00517264" w:rsidRDefault="008878A0" w:rsidP="00517264">
            <w:pPr>
              <w:spacing w:after="0"/>
              <w:jc w:val="left"/>
              <w:rPr>
                <w:rFonts w:eastAsia="ArialNarrow"/>
                <w:szCs w:val="18"/>
              </w:rPr>
            </w:pPr>
            <w:r w:rsidRPr="00517264">
              <w:rPr>
                <w:rFonts w:eastAsia="ArialNarrow"/>
                <w:szCs w:val="18"/>
              </w:rPr>
              <w:t>Tuheljske Toplice - Sjever</w:t>
            </w:r>
          </w:p>
        </w:tc>
        <w:tc>
          <w:tcPr>
            <w:tcW w:w="1968" w:type="pct"/>
            <w:gridSpan w:val="7"/>
            <w:hideMark/>
          </w:tcPr>
          <w:p w14:paraId="1B954A52" w14:textId="77777777" w:rsidR="008878A0" w:rsidRPr="00517264" w:rsidRDefault="008878A0" w:rsidP="00517264">
            <w:pPr>
              <w:spacing w:after="0"/>
              <w:jc w:val="right"/>
              <w:rPr>
                <w:rFonts w:eastAsia="ArialNarrow"/>
                <w:szCs w:val="18"/>
              </w:rPr>
            </w:pPr>
            <w:r w:rsidRPr="00517264">
              <w:rPr>
                <w:rFonts w:eastAsia="ArialNarrow"/>
                <w:szCs w:val="18"/>
              </w:rPr>
              <w:t>Tuhelj, (Tuheljske Toplice)</w:t>
            </w:r>
          </w:p>
        </w:tc>
        <w:tc>
          <w:tcPr>
            <w:tcW w:w="999" w:type="pct"/>
            <w:hideMark/>
          </w:tcPr>
          <w:p w14:paraId="4950F25F" w14:textId="77777777" w:rsidR="008878A0" w:rsidRPr="00517264" w:rsidRDefault="008878A0" w:rsidP="00517264">
            <w:pPr>
              <w:spacing w:after="0"/>
              <w:jc w:val="right"/>
              <w:rPr>
                <w:rFonts w:eastAsia="ArialNarrow"/>
                <w:szCs w:val="18"/>
              </w:rPr>
            </w:pPr>
            <w:r w:rsidRPr="00517264">
              <w:rPr>
                <w:rFonts w:eastAsia="ArialNarrow"/>
                <w:szCs w:val="18"/>
              </w:rPr>
              <w:t>0,93</w:t>
            </w:r>
          </w:p>
        </w:tc>
        <w:tc>
          <w:tcPr>
            <w:tcW w:w="854" w:type="pct"/>
            <w:gridSpan w:val="2"/>
            <w:hideMark/>
          </w:tcPr>
          <w:p w14:paraId="416F0466"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79A28D27" w14:textId="77777777" w:rsidTr="00517264">
        <w:trPr>
          <w:gridAfter w:val="1"/>
          <w:wAfter w:w="10" w:type="pct"/>
          <w:trHeight w:val="227"/>
        </w:trPr>
        <w:tc>
          <w:tcPr>
            <w:tcW w:w="1254" w:type="pct"/>
            <w:gridSpan w:val="2"/>
            <w:shd w:val="clear" w:color="auto" w:fill="D2232A" w:themeFill="accent1"/>
            <w:hideMark/>
          </w:tcPr>
          <w:p w14:paraId="713E9BA2" w14:textId="1D780AAF"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KRAPINA</w:t>
            </w:r>
          </w:p>
        </w:tc>
        <w:tc>
          <w:tcPr>
            <w:tcW w:w="1648" w:type="pct"/>
            <w:gridSpan w:val="3"/>
            <w:shd w:val="clear" w:color="auto" w:fill="D2232A" w:themeFill="accent1"/>
            <w:hideMark/>
          </w:tcPr>
          <w:p w14:paraId="09E57850"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34" w:type="pct"/>
            <w:gridSpan w:val="4"/>
            <w:shd w:val="clear" w:color="auto" w:fill="D2232A" w:themeFill="accent1"/>
            <w:hideMark/>
          </w:tcPr>
          <w:p w14:paraId="43453C40" w14:textId="77777777" w:rsidR="008878A0" w:rsidRPr="00517264" w:rsidRDefault="008878A0" w:rsidP="00517264">
            <w:pPr>
              <w:spacing w:after="0"/>
              <w:jc w:val="right"/>
              <w:rPr>
                <w:rFonts w:eastAsia="ArialNarrow"/>
                <w:szCs w:val="18"/>
              </w:rPr>
            </w:pPr>
            <w:r w:rsidRPr="00517264">
              <w:rPr>
                <w:rFonts w:ascii="Calibri" w:eastAsia="ArialNarrow" w:hAnsi="Calibri" w:cs="Calibri"/>
                <w:szCs w:val="18"/>
              </w:rPr>
              <w:t> </w:t>
            </w:r>
          </w:p>
        </w:tc>
        <w:tc>
          <w:tcPr>
            <w:tcW w:w="854" w:type="pct"/>
            <w:gridSpan w:val="2"/>
            <w:shd w:val="clear" w:color="auto" w:fill="D2232A" w:themeFill="accent1"/>
            <w:hideMark/>
          </w:tcPr>
          <w:p w14:paraId="52253D03" w14:textId="77777777" w:rsidR="008878A0" w:rsidRPr="00517264" w:rsidRDefault="008878A0" w:rsidP="00517264">
            <w:pPr>
              <w:spacing w:after="0"/>
              <w:jc w:val="right"/>
              <w:rPr>
                <w:rFonts w:eastAsia="ArialNarrow"/>
                <w:szCs w:val="18"/>
              </w:rPr>
            </w:pPr>
            <w:r w:rsidRPr="00517264">
              <w:rPr>
                <w:rFonts w:ascii="Calibri" w:eastAsia="ArialNarrow" w:hAnsi="Calibri" w:cs="Calibri"/>
                <w:szCs w:val="18"/>
              </w:rPr>
              <w:t> </w:t>
            </w:r>
          </w:p>
        </w:tc>
      </w:tr>
      <w:tr w:rsidR="008878A0" w:rsidRPr="00517264" w14:paraId="7740392C" w14:textId="77777777" w:rsidTr="00517264">
        <w:trPr>
          <w:gridAfter w:val="1"/>
          <w:wAfter w:w="10" w:type="pct"/>
          <w:trHeight w:val="227"/>
        </w:trPr>
        <w:tc>
          <w:tcPr>
            <w:tcW w:w="1254" w:type="pct"/>
            <w:gridSpan w:val="2"/>
            <w:hideMark/>
          </w:tcPr>
          <w:p w14:paraId="6C0E150A" w14:textId="77777777" w:rsidR="008878A0" w:rsidRPr="00517264" w:rsidRDefault="008878A0" w:rsidP="00517264">
            <w:pPr>
              <w:spacing w:after="0"/>
              <w:jc w:val="left"/>
              <w:rPr>
                <w:rFonts w:eastAsia="ArialNarrow"/>
                <w:color w:val="auto"/>
                <w:szCs w:val="18"/>
              </w:rPr>
            </w:pPr>
            <w:r w:rsidRPr="00517264">
              <w:rPr>
                <w:rFonts w:eastAsia="ArialNarrow"/>
                <w:szCs w:val="18"/>
              </w:rPr>
              <w:t>Zona tranzitnog turizma - Velika Ves (Betonara, Autohof)*</w:t>
            </w:r>
          </w:p>
        </w:tc>
        <w:tc>
          <w:tcPr>
            <w:tcW w:w="1648" w:type="pct"/>
            <w:gridSpan w:val="3"/>
            <w:hideMark/>
          </w:tcPr>
          <w:p w14:paraId="734A14D8" w14:textId="77777777" w:rsidR="008878A0" w:rsidRPr="00517264" w:rsidRDefault="008878A0" w:rsidP="00517264">
            <w:pPr>
              <w:spacing w:after="0"/>
              <w:jc w:val="right"/>
              <w:rPr>
                <w:rFonts w:eastAsia="ArialNarrow"/>
                <w:szCs w:val="18"/>
              </w:rPr>
            </w:pPr>
            <w:r w:rsidRPr="00517264">
              <w:rPr>
                <w:rFonts w:eastAsia="ArialNarrow"/>
                <w:szCs w:val="18"/>
              </w:rPr>
              <w:t>Krapina, (Velika Ves)</w:t>
            </w:r>
          </w:p>
        </w:tc>
        <w:tc>
          <w:tcPr>
            <w:tcW w:w="1234" w:type="pct"/>
            <w:gridSpan w:val="4"/>
            <w:hideMark/>
          </w:tcPr>
          <w:p w14:paraId="7C0E982E" w14:textId="77777777" w:rsidR="008878A0" w:rsidRPr="00517264" w:rsidRDefault="008878A0" w:rsidP="00517264">
            <w:pPr>
              <w:spacing w:after="0"/>
              <w:jc w:val="right"/>
              <w:rPr>
                <w:rFonts w:eastAsia="ArialNarrow"/>
                <w:szCs w:val="18"/>
              </w:rPr>
            </w:pPr>
            <w:r w:rsidRPr="00517264">
              <w:rPr>
                <w:rFonts w:eastAsia="ArialNarrow"/>
                <w:szCs w:val="18"/>
              </w:rPr>
              <w:t>Izgrađeno: 3,56</w:t>
            </w:r>
          </w:p>
        </w:tc>
        <w:tc>
          <w:tcPr>
            <w:tcW w:w="854" w:type="pct"/>
            <w:gridSpan w:val="2"/>
            <w:hideMark/>
          </w:tcPr>
          <w:p w14:paraId="56F10456" w14:textId="77777777" w:rsidR="008878A0" w:rsidRPr="00517264" w:rsidRDefault="008878A0" w:rsidP="00517264">
            <w:pPr>
              <w:spacing w:after="0"/>
              <w:jc w:val="right"/>
              <w:rPr>
                <w:rFonts w:eastAsia="ArialNarrow"/>
                <w:szCs w:val="18"/>
              </w:rPr>
            </w:pPr>
            <w:r w:rsidRPr="00517264">
              <w:rPr>
                <w:rFonts w:eastAsia="ArialNarrow"/>
                <w:szCs w:val="18"/>
              </w:rPr>
              <w:t>T3</w:t>
            </w:r>
          </w:p>
        </w:tc>
      </w:tr>
      <w:tr w:rsidR="008878A0" w:rsidRPr="00517264" w14:paraId="191E15A4" w14:textId="77777777" w:rsidTr="00517264">
        <w:trPr>
          <w:gridAfter w:val="1"/>
          <w:wAfter w:w="10" w:type="pct"/>
          <w:trHeight w:val="227"/>
        </w:trPr>
        <w:tc>
          <w:tcPr>
            <w:tcW w:w="1254" w:type="pct"/>
            <w:gridSpan w:val="2"/>
            <w:hideMark/>
          </w:tcPr>
          <w:p w14:paraId="75DE3655" w14:textId="77777777" w:rsidR="008878A0" w:rsidRPr="00517264" w:rsidRDefault="008878A0" w:rsidP="00517264">
            <w:pPr>
              <w:spacing w:after="0"/>
              <w:jc w:val="left"/>
              <w:rPr>
                <w:rFonts w:eastAsia="ArialNarrow"/>
                <w:szCs w:val="18"/>
              </w:rPr>
            </w:pPr>
            <w:r w:rsidRPr="00517264">
              <w:rPr>
                <w:rFonts w:eastAsia="ArialNarrow"/>
                <w:szCs w:val="18"/>
              </w:rPr>
              <w:t>Motel*</w:t>
            </w:r>
          </w:p>
        </w:tc>
        <w:tc>
          <w:tcPr>
            <w:tcW w:w="1648" w:type="pct"/>
            <w:gridSpan w:val="3"/>
            <w:hideMark/>
          </w:tcPr>
          <w:p w14:paraId="68D743B4" w14:textId="77777777" w:rsidR="008878A0" w:rsidRPr="00517264" w:rsidRDefault="008878A0" w:rsidP="00517264">
            <w:pPr>
              <w:spacing w:after="0"/>
              <w:jc w:val="right"/>
              <w:rPr>
                <w:rFonts w:eastAsia="ArialNarrow"/>
                <w:szCs w:val="18"/>
              </w:rPr>
            </w:pPr>
            <w:r w:rsidRPr="00517264">
              <w:rPr>
                <w:rFonts w:eastAsia="ArialNarrow"/>
                <w:szCs w:val="18"/>
              </w:rPr>
              <w:t>Krapina, (Krapina)</w:t>
            </w:r>
          </w:p>
        </w:tc>
        <w:tc>
          <w:tcPr>
            <w:tcW w:w="1234" w:type="pct"/>
            <w:gridSpan w:val="4"/>
            <w:hideMark/>
          </w:tcPr>
          <w:p w14:paraId="254D2EBA" w14:textId="77777777" w:rsidR="008878A0" w:rsidRPr="00517264" w:rsidRDefault="008878A0" w:rsidP="00517264">
            <w:pPr>
              <w:spacing w:after="0"/>
              <w:jc w:val="right"/>
              <w:rPr>
                <w:rFonts w:eastAsia="ArialNarrow"/>
                <w:szCs w:val="18"/>
              </w:rPr>
            </w:pPr>
            <w:r w:rsidRPr="00517264">
              <w:rPr>
                <w:rFonts w:eastAsia="ArialNarrow"/>
                <w:szCs w:val="18"/>
              </w:rPr>
              <w:t>Izgrađeno: 0,29</w:t>
            </w:r>
          </w:p>
        </w:tc>
        <w:tc>
          <w:tcPr>
            <w:tcW w:w="854" w:type="pct"/>
            <w:gridSpan w:val="2"/>
            <w:hideMark/>
          </w:tcPr>
          <w:p w14:paraId="1D066359"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D20DFE" w:rsidRPr="00517264" w14:paraId="617960A1" w14:textId="77777777" w:rsidTr="00517264">
        <w:trPr>
          <w:gridAfter w:val="1"/>
          <w:wAfter w:w="10" w:type="pct"/>
          <w:trHeight w:val="734"/>
        </w:trPr>
        <w:tc>
          <w:tcPr>
            <w:tcW w:w="1254" w:type="pct"/>
            <w:gridSpan w:val="2"/>
            <w:hideMark/>
          </w:tcPr>
          <w:p w14:paraId="3230F2EB" w14:textId="77777777" w:rsidR="00D20DFE" w:rsidRPr="00517264" w:rsidRDefault="00D20DFE" w:rsidP="00517264">
            <w:pPr>
              <w:spacing w:after="0"/>
              <w:jc w:val="left"/>
              <w:rPr>
                <w:rFonts w:eastAsia="ArialNarrow"/>
                <w:szCs w:val="18"/>
              </w:rPr>
            </w:pPr>
            <w:r w:rsidRPr="00517264">
              <w:rPr>
                <w:rFonts w:eastAsia="ArialNarrow"/>
                <w:szCs w:val="18"/>
              </w:rPr>
              <w:t>Hotel - Hušnjakovo*</w:t>
            </w:r>
          </w:p>
        </w:tc>
        <w:tc>
          <w:tcPr>
            <w:tcW w:w="1648" w:type="pct"/>
            <w:gridSpan w:val="3"/>
            <w:hideMark/>
          </w:tcPr>
          <w:p w14:paraId="1AE40002" w14:textId="77777777" w:rsidR="00D20DFE" w:rsidRPr="00517264" w:rsidRDefault="00D20DFE" w:rsidP="00517264">
            <w:pPr>
              <w:spacing w:after="0"/>
              <w:jc w:val="right"/>
              <w:rPr>
                <w:rFonts w:eastAsia="ArialNarrow"/>
                <w:szCs w:val="18"/>
              </w:rPr>
            </w:pPr>
            <w:r w:rsidRPr="00517264">
              <w:rPr>
                <w:rFonts w:eastAsia="ArialNarrow"/>
                <w:szCs w:val="18"/>
              </w:rPr>
              <w:t>Krapina, (Krapina)</w:t>
            </w:r>
          </w:p>
        </w:tc>
        <w:tc>
          <w:tcPr>
            <w:tcW w:w="1234" w:type="pct"/>
            <w:gridSpan w:val="4"/>
            <w:hideMark/>
          </w:tcPr>
          <w:p w14:paraId="15BA68D0" w14:textId="77777777" w:rsidR="00D20DFE" w:rsidRPr="00517264" w:rsidRDefault="00D20DFE" w:rsidP="00517264">
            <w:pPr>
              <w:spacing w:after="0"/>
              <w:jc w:val="right"/>
              <w:rPr>
                <w:rFonts w:eastAsia="ArialNarrow"/>
                <w:szCs w:val="18"/>
              </w:rPr>
            </w:pPr>
            <w:r w:rsidRPr="00517264">
              <w:rPr>
                <w:rFonts w:eastAsia="ArialNarrow"/>
                <w:szCs w:val="18"/>
              </w:rPr>
              <w:t>1,06</w:t>
            </w:r>
          </w:p>
          <w:p w14:paraId="37E11003" w14:textId="2B53A025" w:rsidR="00D20DFE" w:rsidRPr="00517264" w:rsidRDefault="00D20DFE" w:rsidP="00517264">
            <w:pPr>
              <w:spacing w:after="0"/>
              <w:jc w:val="right"/>
              <w:rPr>
                <w:rFonts w:eastAsia="ArialNarrow"/>
                <w:szCs w:val="18"/>
              </w:rPr>
            </w:pPr>
            <w:r w:rsidRPr="00517264">
              <w:rPr>
                <w:rFonts w:eastAsia="ArialNarrow"/>
                <w:szCs w:val="18"/>
              </w:rPr>
              <w:t>Izgrađeno: 0,25</w:t>
            </w:r>
          </w:p>
        </w:tc>
        <w:tc>
          <w:tcPr>
            <w:tcW w:w="854" w:type="pct"/>
            <w:gridSpan w:val="2"/>
            <w:hideMark/>
          </w:tcPr>
          <w:p w14:paraId="50302146" w14:textId="77777777" w:rsidR="00D20DFE" w:rsidRPr="00517264" w:rsidRDefault="00D20DFE" w:rsidP="00517264">
            <w:pPr>
              <w:spacing w:after="0"/>
              <w:jc w:val="right"/>
              <w:rPr>
                <w:rFonts w:eastAsia="ArialNarrow"/>
                <w:szCs w:val="18"/>
              </w:rPr>
            </w:pPr>
            <w:r w:rsidRPr="00517264">
              <w:rPr>
                <w:rFonts w:eastAsia="ArialNarrow"/>
                <w:szCs w:val="18"/>
              </w:rPr>
              <w:t>Th,P</w:t>
            </w:r>
          </w:p>
        </w:tc>
      </w:tr>
      <w:tr w:rsidR="00D20DFE" w:rsidRPr="00517264" w14:paraId="29158F85" w14:textId="77777777" w:rsidTr="00517264">
        <w:trPr>
          <w:gridAfter w:val="1"/>
          <w:wAfter w:w="10" w:type="pct"/>
          <w:trHeight w:val="734"/>
        </w:trPr>
        <w:tc>
          <w:tcPr>
            <w:tcW w:w="1254" w:type="pct"/>
            <w:gridSpan w:val="2"/>
            <w:hideMark/>
          </w:tcPr>
          <w:p w14:paraId="5D5D2C8B" w14:textId="77777777" w:rsidR="00D20DFE" w:rsidRPr="00517264" w:rsidRDefault="00D20DFE" w:rsidP="00517264">
            <w:pPr>
              <w:spacing w:after="0"/>
              <w:jc w:val="left"/>
              <w:rPr>
                <w:rFonts w:eastAsia="ArialNarrow"/>
                <w:szCs w:val="18"/>
              </w:rPr>
            </w:pPr>
            <w:r w:rsidRPr="00517264">
              <w:rPr>
                <w:rFonts w:eastAsia="ArialNarrow"/>
                <w:szCs w:val="18"/>
              </w:rPr>
              <w:t>Golub Breg</w:t>
            </w:r>
          </w:p>
        </w:tc>
        <w:tc>
          <w:tcPr>
            <w:tcW w:w="1648" w:type="pct"/>
            <w:gridSpan w:val="3"/>
            <w:hideMark/>
          </w:tcPr>
          <w:p w14:paraId="5A82B63F" w14:textId="77777777" w:rsidR="00D20DFE" w:rsidRPr="00517264" w:rsidRDefault="00D20DFE" w:rsidP="00517264">
            <w:pPr>
              <w:spacing w:after="0"/>
              <w:jc w:val="right"/>
              <w:rPr>
                <w:rFonts w:eastAsia="ArialNarrow"/>
                <w:szCs w:val="18"/>
              </w:rPr>
            </w:pPr>
            <w:r w:rsidRPr="00517264">
              <w:rPr>
                <w:rFonts w:eastAsia="ArialNarrow"/>
                <w:szCs w:val="18"/>
              </w:rPr>
              <w:t>Krapina, (Škarićevo)</w:t>
            </w:r>
          </w:p>
        </w:tc>
        <w:tc>
          <w:tcPr>
            <w:tcW w:w="1234" w:type="pct"/>
            <w:gridSpan w:val="4"/>
            <w:hideMark/>
          </w:tcPr>
          <w:p w14:paraId="4D00BC42" w14:textId="77777777" w:rsidR="00D20DFE" w:rsidRPr="00517264" w:rsidRDefault="00D20DFE" w:rsidP="00517264">
            <w:pPr>
              <w:spacing w:after="0"/>
              <w:jc w:val="right"/>
              <w:rPr>
                <w:rFonts w:eastAsia="ArialNarrow"/>
                <w:szCs w:val="18"/>
              </w:rPr>
            </w:pPr>
            <w:r w:rsidRPr="00517264">
              <w:rPr>
                <w:rFonts w:eastAsia="ArialNarrow"/>
                <w:szCs w:val="18"/>
              </w:rPr>
              <w:t>1,4</w:t>
            </w:r>
          </w:p>
          <w:p w14:paraId="63968259" w14:textId="304303F9" w:rsidR="00D20DFE" w:rsidRPr="00517264" w:rsidRDefault="00D20DFE" w:rsidP="00517264">
            <w:pPr>
              <w:spacing w:after="0"/>
              <w:jc w:val="right"/>
              <w:rPr>
                <w:rFonts w:eastAsia="ArialNarrow"/>
                <w:szCs w:val="18"/>
              </w:rPr>
            </w:pPr>
            <w:r w:rsidRPr="00517264">
              <w:rPr>
                <w:rFonts w:eastAsia="ArialNarrow"/>
                <w:szCs w:val="18"/>
              </w:rPr>
              <w:t>Izgrađeno: 0,35</w:t>
            </w:r>
          </w:p>
        </w:tc>
        <w:tc>
          <w:tcPr>
            <w:tcW w:w="854" w:type="pct"/>
            <w:gridSpan w:val="2"/>
            <w:hideMark/>
          </w:tcPr>
          <w:p w14:paraId="20138D04" w14:textId="77777777" w:rsidR="00D20DFE" w:rsidRPr="00517264" w:rsidRDefault="00D20DFE" w:rsidP="00517264">
            <w:pPr>
              <w:spacing w:after="0"/>
              <w:jc w:val="right"/>
              <w:rPr>
                <w:rFonts w:eastAsia="ArialNarrow"/>
                <w:szCs w:val="18"/>
              </w:rPr>
            </w:pPr>
            <w:r w:rsidRPr="00517264">
              <w:rPr>
                <w:rFonts w:eastAsia="ArialNarrow"/>
                <w:szCs w:val="18"/>
              </w:rPr>
              <w:t>/</w:t>
            </w:r>
          </w:p>
        </w:tc>
      </w:tr>
      <w:tr w:rsidR="008878A0" w:rsidRPr="00517264" w14:paraId="6597842F" w14:textId="77777777" w:rsidTr="00517264">
        <w:trPr>
          <w:gridAfter w:val="1"/>
          <w:wAfter w:w="10" w:type="pct"/>
          <w:trHeight w:val="511"/>
        </w:trPr>
        <w:tc>
          <w:tcPr>
            <w:tcW w:w="1254" w:type="pct"/>
            <w:gridSpan w:val="2"/>
            <w:hideMark/>
          </w:tcPr>
          <w:p w14:paraId="72C49041" w14:textId="77777777" w:rsidR="008878A0" w:rsidRPr="00517264" w:rsidRDefault="008878A0" w:rsidP="00517264">
            <w:pPr>
              <w:spacing w:after="0"/>
              <w:jc w:val="left"/>
              <w:rPr>
                <w:rFonts w:eastAsia="ArialNarrow"/>
                <w:szCs w:val="18"/>
              </w:rPr>
            </w:pPr>
            <w:r w:rsidRPr="00517264">
              <w:rPr>
                <w:rFonts w:eastAsia="ArialNarrow"/>
                <w:szCs w:val="18"/>
              </w:rPr>
              <w:t>Ribnjak</w:t>
            </w:r>
          </w:p>
        </w:tc>
        <w:tc>
          <w:tcPr>
            <w:tcW w:w="1648" w:type="pct"/>
            <w:gridSpan w:val="3"/>
            <w:hideMark/>
          </w:tcPr>
          <w:p w14:paraId="79DF1215" w14:textId="77777777" w:rsidR="008878A0" w:rsidRPr="00517264" w:rsidRDefault="008878A0" w:rsidP="00517264">
            <w:pPr>
              <w:spacing w:after="0"/>
              <w:jc w:val="right"/>
              <w:rPr>
                <w:rFonts w:eastAsia="ArialNarrow"/>
                <w:szCs w:val="18"/>
              </w:rPr>
            </w:pPr>
            <w:r w:rsidRPr="00517264">
              <w:rPr>
                <w:rFonts w:eastAsia="ArialNarrow"/>
                <w:szCs w:val="18"/>
              </w:rPr>
              <w:t>Krapina, (Škarićevo)</w:t>
            </w:r>
          </w:p>
        </w:tc>
        <w:tc>
          <w:tcPr>
            <w:tcW w:w="1234" w:type="pct"/>
            <w:gridSpan w:val="4"/>
            <w:hideMark/>
          </w:tcPr>
          <w:p w14:paraId="7DC5B539" w14:textId="77777777" w:rsidR="008878A0" w:rsidRPr="00517264" w:rsidRDefault="008878A0" w:rsidP="00517264">
            <w:pPr>
              <w:spacing w:after="0"/>
              <w:jc w:val="right"/>
              <w:rPr>
                <w:rFonts w:eastAsia="ArialNarrow"/>
                <w:szCs w:val="18"/>
              </w:rPr>
            </w:pPr>
            <w:r w:rsidRPr="00517264">
              <w:rPr>
                <w:rFonts w:eastAsia="ArialNarrow"/>
                <w:szCs w:val="18"/>
              </w:rPr>
              <w:t>1,55</w:t>
            </w:r>
          </w:p>
        </w:tc>
        <w:tc>
          <w:tcPr>
            <w:tcW w:w="854" w:type="pct"/>
            <w:gridSpan w:val="2"/>
            <w:hideMark/>
          </w:tcPr>
          <w:p w14:paraId="24C646D1" w14:textId="77777777" w:rsidR="008878A0" w:rsidRPr="00517264" w:rsidRDefault="008878A0" w:rsidP="00517264">
            <w:pPr>
              <w:spacing w:after="0"/>
              <w:jc w:val="right"/>
              <w:rPr>
                <w:rFonts w:eastAsia="ArialNarrow"/>
                <w:szCs w:val="18"/>
              </w:rPr>
            </w:pPr>
            <w:r w:rsidRPr="00517264">
              <w:rPr>
                <w:rFonts w:eastAsia="ArialNarrow"/>
                <w:szCs w:val="18"/>
              </w:rPr>
              <w:t>/</w:t>
            </w:r>
          </w:p>
        </w:tc>
      </w:tr>
      <w:tr w:rsidR="00D20DFE" w:rsidRPr="00517264" w14:paraId="158708A9" w14:textId="77777777" w:rsidTr="00517264">
        <w:trPr>
          <w:gridAfter w:val="1"/>
          <w:wAfter w:w="10" w:type="pct"/>
          <w:trHeight w:val="734"/>
        </w:trPr>
        <w:tc>
          <w:tcPr>
            <w:tcW w:w="1254" w:type="pct"/>
            <w:gridSpan w:val="2"/>
            <w:hideMark/>
          </w:tcPr>
          <w:p w14:paraId="00B6EB20" w14:textId="77777777" w:rsidR="00D20DFE" w:rsidRPr="00517264" w:rsidRDefault="00D20DFE" w:rsidP="00517264">
            <w:pPr>
              <w:spacing w:after="0"/>
              <w:jc w:val="left"/>
              <w:rPr>
                <w:rFonts w:eastAsia="ArialNarrow"/>
                <w:szCs w:val="18"/>
              </w:rPr>
            </w:pPr>
            <w:r w:rsidRPr="00517264">
              <w:rPr>
                <w:rFonts w:eastAsia="ArialNarrow"/>
                <w:szCs w:val="18"/>
              </w:rPr>
              <w:t>Vuglec Breg</w:t>
            </w:r>
          </w:p>
        </w:tc>
        <w:tc>
          <w:tcPr>
            <w:tcW w:w="1648" w:type="pct"/>
            <w:gridSpan w:val="3"/>
            <w:hideMark/>
          </w:tcPr>
          <w:p w14:paraId="0466DB42" w14:textId="77777777" w:rsidR="00D20DFE" w:rsidRPr="00517264" w:rsidRDefault="00D20DFE" w:rsidP="00517264">
            <w:pPr>
              <w:spacing w:after="0"/>
              <w:jc w:val="right"/>
              <w:rPr>
                <w:rFonts w:eastAsia="ArialNarrow"/>
                <w:szCs w:val="18"/>
              </w:rPr>
            </w:pPr>
            <w:r w:rsidRPr="00517264">
              <w:rPr>
                <w:rFonts w:eastAsia="ArialNarrow"/>
                <w:szCs w:val="18"/>
              </w:rPr>
              <w:t>Krapina, (Škarićevo)</w:t>
            </w:r>
          </w:p>
        </w:tc>
        <w:tc>
          <w:tcPr>
            <w:tcW w:w="1234" w:type="pct"/>
            <w:gridSpan w:val="4"/>
            <w:hideMark/>
          </w:tcPr>
          <w:p w14:paraId="24DA2495" w14:textId="77777777" w:rsidR="00D20DFE" w:rsidRPr="00517264" w:rsidRDefault="00D20DFE" w:rsidP="00517264">
            <w:pPr>
              <w:spacing w:after="0"/>
              <w:jc w:val="right"/>
              <w:rPr>
                <w:rFonts w:eastAsia="ArialNarrow"/>
                <w:szCs w:val="18"/>
              </w:rPr>
            </w:pPr>
            <w:r w:rsidRPr="00517264">
              <w:rPr>
                <w:rFonts w:eastAsia="ArialNarrow"/>
                <w:szCs w:val="18"/>
              </w:rPr>
              <w:t>3</w:t>
            </w:r>
          </w:p>
          <w:p w14:paraId="78F62208" w14:textId="5FBA3468" w:rsidR="00D20DFE" w:rsidRPr="00517264" w:rsidRDefault="00D20DFE" w:rsidP="00517264">
            <w:pPr>
              <w:spacing w:after="0"/>
              <w:jc w:val="right"/>
              <w:rPr>
                <w:rFonts w:eastAsia="ArialNarrow"/>
                <w:szCs w:val="18"/>
              </w:rPr>
            </w:pPr>
            <w:r w:rsidRPr="00517264">
              <w:rPr>
                <w:rFonts w:eastAsia="ArialNarrow"/>
                <w:szCs w:val="18"/>
              </w:rPr>
              <w:t>Izgrađeno: 0,65</w:t>
            </w:r>
          </w:p>
        </w:tc>
        <w:tc>
          <w:tcPr>
            <w:tcW w:w="854" w:type="pct"/>
            <w:gridSpan w:val="2"/>
            <w:hideMark/>
          </w:tcPr>
          <w:p w14:paraId="158474F1" w14:textId="77777777" w:rsidR="00D20DFE" w:rsidRPr="00517264" w:rsidRDefault="00D20DFE" w:rsidP="00517264">
            <w:pPr>
              <w:spacing w:after="0"/>
              <w:jc w:val="right"/>
              <w:rPr>
                <w:rFonts w:eastAsia="ArialNarrow"/>
                <w:szCs w:val="18"/>
              </w:rPr>
            </w:pPr>
            <w:r w:rsidRPr="00517264">
              <w:rPr>
                <w:rFonts w:eastAsia="ArialNarrow"/>
                <w:szCs w:val="18"/>
              </w:rPr>
              <w:t>/</w:t>
            </w:r>
          </w:p>
        </w:tc>
      </w:tr>
      <w:tr w:rsidR="008878A0" w:rsidRPr="00517264" w14:paraId="3258343E" w14:textId="77777777" w:rsidTr="00517264">
        <w:trPr>
          <w:gridAfter w:val="1"/>
          <w:wAfter w:w="10" w:type="pct"/>
          <w:trHeight w:val="227"/>
        </w:trPr>
        <w:tc>
          <w:tcPr>
            <w:tcW w:w="1254" w:type="pct"/>
            <w:gridSpan w:val="2"/>
            <w:hideMark/>
          </w:tcPr>
          <w:p w14:paraId="48429E99" w14:textId="77777777" w:rsidR="008878A0" w:rsidRPr="00517264" w:rsidRDefault="008878A0" w:rsidP="00517264">
            <w:pPr>
              <w:spacing w:after="0"/>
              <w:jc w:val="left"/>
              <w:rPr>
                <w:rFonts w:eastAsia="ArialNarrow"/>
                <w:szCs w:val="18"/>
              </w:rPr>
            </w:pPr>
            <w:r w:rsidRPr="00517264">
              <w:rPr>
                <w:rFonts w:eastAsia="ArialNarrow"/>
                <w:szCs w:val="18"/>
              </w:rPr>
              <w:t>Turističko-rekreacijski predio Šemničke Toplice</w:t>
            </w:r>
          </w:p>
        </w:tc>
        <w:tc>
          <w:tcPr>
            <w:tcW w:w="1648" w:type="pct"/>
            <w:gridSpan w:val="3"/>
            <w:hideMark/>
          </w:tcPr>
          <w:p w14:paraId="3ECB4134" w14:textId="77777777" w:rsidR="008878A0" w:rsidRPr="00517264" w:rsidRDefault="008878A0" w:rsidP="00517264">
            <w:pPr>
              <w:spacing w:after="0"/>
              <w:jc w:val="right"/>
              <w:rPr>
                <w:rFonts w:eastAsia="ArialNarrow"/>
                <w:szCs w:val="18"/>
              </w:rPr>
            </w:pPr>
            <w:r w:rsidRPr="00517264">
              <w:rPr>
                <w:rFonts w:eastAsia="ArialNarrow"/>
                <w:szCs w:val="18"/>
              </w:rPr>
              <w:t>Krapina,(Donja Šemnica)</w:t>
            </w:r>
          </w:p>
        </w:tc>
        <w:tc>
          <w:tcPr>
            <w:tcW w:w="1234" w:type="pct"/>
            <w:gridSpan w:val="4"/>
            <w:hideMark/>
          </w:tcPr>
          <w:p w14:paraId="169137C4" w14:textId="77777777" w:rsidR="008878A0" w:rsidRPr="00517264" w:rsidRDefault="008878A0" w:rsidP="00517264">
            <w:pPr>
              <w:spacing w:after="0"/>
              <w:jc w:val="right"/>
              <w:rPr>
                <w:rFonts w:eastAsia="ArialNarrow"/>
                <w:szCs w:val="18"/>
              </w:rPr>
            </w:pPr>
            <w:r w:rsidRPr="00517264">
              <w:rPr>
                <w:rFonts w:eastAsia="ArialNarrow"/>
                <w:szCs w:val="18"/>
              </w:rPr>
              <w:t>4,495</w:t>
            </w:r>
          </w:p>
        </w:tc>
        <w:tc>
          <w:tcPr>
            <w:tcW w:w="854" w:type="pct"/>
            <w:gridSpan w:val="2"/>
            <w:hideMark/>
          </w:tcPr>
          <w:p w14:paraId="5C1525CE" w14:textId="77777777" w:rsidR="008878A0" w:rsidRPr="00517264" w:rsidRDefault="008878A0" w:rsidP="00517264">
            <w:pPr>
              <w:spacing w:after="0"/>
              <w:jc w:val="right"/>
              <w:rPr>
                <w:rFonts w:eastAsia="ArialNarrow"/>
                <w:szCs w:val="18"/>
              </w:rPr>
            </w:pPr>
            <w:r w:rsidRPr="00517264">
              <w:rPr>
                <w:rFonts w:eastAsia="ArialNarrow"/>
                <w:szCs w:val="18"/>
              </w:rPr>
              <w:t>T2,R1</w:t>
            </w:r>
          </w:p>
        </w:tc>
      </w:tr>
      <w:tr w:rsidR="008878A0" w:rsidRPr="00517264" w14:paraId="350B43E8" w14:textId="77777777" w:rsidTr="00517264">
        <w:trPr>
          <w:gridAfter w:val="1"/>
          <w:wAfter w:w="10" w:type="pct"/>
          <w:trHeight w:val="227"/>
        </w:trPr>
        <w:tc>
          <w:tcPr>
            <w:tcW w:w="1254" w:type="pct"/>
            <w:gridSpan w:val="2"/>
            <w:shd w:val="clear" w:color="auto" w:fill="D2232A" w:themeFill="accent1"/>
            <w:hideMark/>
          </w:tcPr>
          <w:p w14:paraId="7CD8F148"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MARIJA BISTRICA</w:t>
            </w:r>
          </w:p>
        </w:tc>
        <w:tc>
          <w:tcPr>
            <w:tcW w:w="1648" w:type="pct"/>
            <w:gridSpan w:val="3"/>
            <w:shd w:val="clear" w:color="auto" w:fill="D2232A" w:themeFill="accent1"/>
            <w:hideMark/>
          </w:tcPr>
          <w:p w14:paraId="29AD514B"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34" w:type="pct"/>
            <w:gridSpan w:val="4"/>
            <w:shd w:val="clear" w:color="auto" w:fill="D2232A" w:themeFill="accent1"/>
            <w:hideMark/>
          </w:tcPr>
          <w:p w14:paraId="791460B7"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1DCF4EB5" w14:textId="77777777" w:rsidR="008878A0" w:rsidRPr="00517264" w:rsidRDefault="008878A0" w:rsidP="00517264">
            <w:pPr>
              <w:spacing w:after="0"/>
              <w:jc w:val="right"/>
              <w:rPr>
                <w:rFonts w:eastAsia="ArialNarrow"/>
                <w:szCs w:val="18"/>
              </w:rPr>
            </w:pPr>
            <w:r w:rsidRPr="00517264">
              <w:rPr>
                <w:rFonts w:ascii="Calibri" w:eastAsia="ArialNarrow" w:hAnsi="Calibri" w:cs="Calibri"/>
                <w:szCs w:val="18"/>
              </w:rPr>
              <w:t> </w:t>
            </w:r>
          </w:p>
        </w:tc>
      </w:tr>
      <w:tr w:rsidR="008878A0" w:rsidRPr="00517264" w14:paraId="5A477F64" w14:textId="77777777" w:rsidTr="00517264">
        <w:trPr>
          <w:gridAfter w:val="1"/>
          <w:wAfter w:w="10" w:type="pct"/>
          <w:trHeight w:val="227"/>
        </w:trPr>
        <w:tc>
          <w:tcPr>
            <w:tcW w:w="1254" w:type="pct"/>
            <w:gridSpan w:val="2"/>
            <w:hideMark/>
          </w:tcPr>
          <w:p w14:paraId="0C38E012" w14:textId="77777777" w:rsidR="008878A0" w:rsidRPr="00517264" w:rsidRDefault="008878A0" w:rsidP="00517264">
            <w:pPr>
              <w:spacing w:after="0"/>
              <w:jc w:val="left"/>
              <w:rPr>
                <w:rFonts w:eastAsia="ArialNarrow"/>
                <w:color w:val="auto"/>
                <w:szCs w:val="18"/>
              </w:rPr>
            </w:pPr>
            <w:r w:rsidRPr="00517264">
              <w:rPr>
                <w:rFonts w:eastAsia="ArialNarrow"/>
                <w:szCs w:val="18"/>
              </w:rPr>
              <w:t>UPU Hotel</w:t>
            </w:r>
          </w:p>
        </w:tc>
        <w:tc>
          <w:tcPr>
            <w:tcW w:w="1648" w:type="pct"/>
            <w:gridSpan w:val="3"/>
            <w:hideMark/>
          </w:tcPr>
          <w:p w14:paraId="7CF8BC45" w14:textId="77777777" w:rsidR="008878A0" w:rsidRPr="00517264" w:rsidRDefault="008878A0" w:rsidP="00517264">
            <w:pPr>
              <w:spacing w:after="0"/>
              <w:jc w:val="right"/>
              <w:rPr>
                <w:rFonts w:eastAsia="ArialNarrow"/>
                <w:szCs w:val="18"/>
              </w:rPr>
            </w:pPr>
            <w:r w:rsidRPr="00517264">
              <w:rPr>
                <w:rFonts w:eastAsia="ArialNarrow"/>
                <w:szCs w:val="18"/>
              </w:rPr>
              <w:t>Marija Bistrica, (Marija Bistrica)</w:t>
            </w:r>
          </w:p>
        </w:tc>
        <w:tc>
          <w:tcPr>
            <w:tcW w:w="1234" w:type="pct"/>
            <w:gridSpan w:val="4"/>
            <w:hideMark/>
          </w:tcPr>
          <w:p w14:paraId="6D5BA9EF" w14:textId="77777777" w:rsidR="008878A0" w:rsidRPr="00517264" w:rsidRDefault="008878A0" w:rsidP="00517264">
            <w:pPr>
              <w:spacing w:after="0"/>
              <w:jc w:val="right"/>
              <w:rPr>
                <w:rFonts w:eastAsia="ArialNarrow"/>
                <w:szCs w:val="18"/>
              </w:rPr>
            </w:pPr>
            <w:r w:rsidRPr="00517264">
              <w:rPr>
                <w:rFonts w:eastAsia="ArialNarrow"/>
                <w:szCs w:val="18"/>
              </w:rPr>
              <w:t>1,71</w:t>
            </w:r>
          </w:p>
        </w:tc>
        <w:tc>
          <w:tcPr>
            <w:tcW w:w="854" w:type="pct"/>
            <w:gridSpan w:val="2"/>
            <w:hideMark/>
          </w:tcPr>
          <w:p w14:paraId="7093343A"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D20DFE" w:rsidRPr="00517264" w14:paraId="30D11580" w14:textId="77777777" w:rsidTr="00517264">
        <w:trPr>
          <w:gridAfter w:val="1"/>
          <w:wAfter w:w="10" w:type="pct"/>
          <w:trHeight w:val="734"/>
        </w:trPr>
        <w:tc>
          <w:tcPr>
            <w:tcW w:w="1254" w:type="pct"/>
            <w:gridSpan w:val="2"/>
            <w:hideMark/>
          </w:tcPr>
          <w:p w14:paraId="03EF15F2" w14:textId="77777777" w:rsidR="00D20DFE" w:rsidRPr="00517264" w:rsidRDefault="00D20DFE" w:rsidP="00517264">
            <w:pPr>
              <w:spacing w:after="0"/>
              <w:jc w:val="left"/>
              <w:rPr>
                <w:rFonts w:eastAsia="ArialNarrow"/>
                <w:szCs w:val="18"/>
              </w:rPr>
            </w:pPr>
            <w:r w:rsidRPr="00517264">
              <w:rPr>
                <w:rFonts w:eastAsia="ArialNarrow"/>
                <w:szCs w:val="18"/>
              </w:rPr>
              <w:t>Prekopi</w:t>
            </w:r>
          </w:p>
        </w:tc>
        <w:tc>
          <w:tcPr>
            <w:tcW w:w="1648" w:type="pct"/>
            <w:gridSpan w:val="3"/>
            <w:hideMark/>
          </w:tcPr>
          <w:p w14:paraId="062986A3" w14:textId="77777777" w:rsidR="00D20DFE" w:rsidRPr="00517264" w:rsidRDefault="00D20DFE" w:rsidP="00517264">
            <w:pPr>
              <w:spacing w:after="0"/>
              <w:jc w:val="right"/>
              <w:rPr>
                <w:rFonts w:eastAsia="ArialNarrow"/>
                <w:szCs w:val="18"/>
              </w:rPr>
            </w:pPr>
            <w:r w:rsidRPr="00517264">
              <w:rPr>
                <w:rFonts w:eastAsia="ArialNarrow"/>
                <w:szCs w:val="18"/>
              </w:rPr>
              <w:t>Marija Bistrica, (Podgorje Bistričko, Laz Bistrički)</w:t>
            </w:r>
          </w:p>
        </w:tc>
        <w:tc>
          <w:tcPr>
            <w:tcW w:w="1234" w:type="pct"/>
            <w:gridSpan w:val="4"/>
            <w:hideMark/>
          </w:tcPr>
          <w:p w14:paraId="755AF64F" w14:textId="77777777" w:rsidR="00D20DFE" w:rsidRPr="00517264" w:rsidRDefault="00D20DFE" w:rsidP="00517264">
            <w:pPr>
              <w:spacing w:after="0"/>
              <w:jc w:val="right"/>
              <w:rPr>
                <w:rFonts w:eastAsia="ArialNarrow"/>
                <w:szCs w:val="18"/>
              </w:rPr>
            </w:pPr>
            <w:r w:rsidRPr="00517264">
              <w:rPr>
                <w:rFonts w:eastAsia="ArialNarrow"/>
                <w:szCs w:val="18"/>
              </w:rPr>
              <w:t>4,36</w:t>
            </w:r>
          </w:p>
          <w:p w14:paraId="021EC4A8" w14:textId="3DA8192E" w:rsidR="00D20DFE" w:rsidRPr="00517264" w:rsidRDefault="00D20DFE" w:rsidP="00517264">
            <w:pPr>
              <w:spacing w:after="0"/>
              <w:jc w:val="right"/>
              <w:rPr>
                <w:rFonts w:eastAsia="ArialNarrow"/>
                <w:szCs w:val="18"/>
              </w:rPr>
            </w:pPr>
            <w:r w:rsidRPr="00517264">
              <w:rPr>
                <w:rFonts w:eastAsia="ArialNarrow"/>
                <w:szCs w:val="18"/>
              </w:rPr>
              <w:t>Izgrađeno: 0,08</w:t>
            </w:r>
          </w:p>
        </w:tc>
        <w:tc>
          <w:tcPr>
            <w:tcW w:w="854" w:type="pct"/>
            <w:gridSpan w:val="2"/>
            <w:hideMark/>
          </w:tcPr>
          <w:p w14:paraId="716AFF4D" w14:textId="77777777" w:rsidR="00D20DFE" w:rsidRPr="00517264" w:rsidRDefault="00D20DFE" w:rsidP="00517264">
            <w:pPr>
              <w:spacing w:after="0"/>
              <w:jc w:val="right"/>
              <w:rPr>
                <w:rFonts w:eastAsia="ArialNarrow"/>
                <w:szCs w:val="18"/>
              </w:rPr>
            </w:pPr>
            <w:r w:rsidRPr="00517264">
              <w:rPr>
                <w:rFonts w:eastAsia="ArialNarrow"/>
                <w:szCs w:val="18"/>
              </w:rPr>
              <w:t>T</w:t>
            </w:r>
          </w:p>
        </w:tc>
      </w:tr>
      <w:tr w:rsidR="008878A0" w:rsidRPr="00517264" w14:paraId="0B3CE14F" w14:textId="77777777" w:rsidTr="00517264">
        <w:trPr>
          <w:gridAfter w:val="1"/>
          <w:wAfter w:w="10" w:type="pct"/>
          <w:trHeight w:val="227"/>
        </w:trPr>
        <w:tc>
          <w:tcPr>
            <w:tcW w:w="1254" w:type="pct"/>
            <w:gridSpan w:val="2"/>
            <w:hideMark/>
          </w:tcPr>
          <w:p w14:paraId="1E5B0D1D" w14:textId="77777777" w:rsidR="008878A0" w:rsidRPr="00517264" w:rsidRDefault="008878A0" w:rsidP="00517264">
            <w:pPr>
              <w:spacing w:after="0"/>
              <w:jc w:val="left"/>
              <w:rPr>
                <w:rFonts w:eastAsia="ArialNarrow"/>
                <w:szCs w:val="18"/>
              </w:rPr>
            </w:pPr>
            <w:r w:rsidRPr="00517264">
              <w:rPr>
                <w:rFonts w:eastAsia="ArialNarrow"/>
                <w:szCs w:val="18"/>
              </w:rPr>
              <w:t>Šćurići</w:t>
            </w:r>
          </w:p>
        </w:tc>
        <w:tc>
          <w:tcPr>
            <w:tcW w:w="1648" w:type="pct"/>
            <w:gridSpan w:val="3"/>
            <w:hideMark/>
          </w:tcPr>
          <w:p w14:paraId="2612C0D1" w14:textId="77777777" w:rsidR="008878A0" w:rsidRPr="00517264" w:rsidRDefault="008878A0" w:rsidP="00517264">
            <w:pPr>
              <w:spacing w:after="0"/>
              <w:jc w:val="right"/>
              <w:rPr>
                <w:rFonts w:eastAsia="ArialNarrow"/>
                <w:szCs w:val="18"/>
              </w:rPr>
            </w:pPr>
            <w:r w:rsidRPr="00517264">
              <w:rPr>
                <w:rFonts w:eastAsia="ArialNarrow"/>
                <w:szCs w:val="18"/>
              </w:rPr>
              <w:t>Marija Bistrica, (Podgorje Bistričko)</w:t>
            </w:r>
          </w:p>
        </w:tc>
        <w:tc>
          <w:tcPr>
            <w:tcW w:w="1234" w:type="pct"/>
            <w:gridSpan w:val="4"/>
            <w:hideMark/>
          </w:tcPr>
          <w:p w14:paraId="387BDD01" w14:textId="77777777" w:rsidR="008878A0" w:rsidRPr="00517264" w:rsidRDefault="008878A0" w:rsidP="00517264">
            <w:pPr>
              <w:spacing w:after="0"/>
              <w:jc w:val="right"/>
              <w:rPr>
                <w:rFonts w:eastAsia="ArialNarrow"/>
                <w:szCs w:val="18"/>
              </w:rPr>
            </w:pPr>
            <w:r w:rsidRPr="00517264">
              <w:rPr>
                <w:rFonts w:eastAsia="ArialNarrow"/>
                <w:szCs w:val="18"/>
              </w:rPr>
              <w:t>4,8</w:t>
            </w:r>
          </w:p>
        </w:tc>
        <w:tc>
          <w:tcPr>
            <w:tcW w:w="854" w:type="pct"/>
            <w:gridSpan w:val="2"/>
            <w:hideMark/>
          </w:tcPr>
          <w:p w14:paraId="02DA495B"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D20DFE" w:rsidRPr="00517264" w14:paraId="378C2B39" w14:textId="77777777" w:rsidTr="00517264">
        <w:trPr>
          <w:gridAfter w:val="1"/>
          <w:wAfter w:w="10" w:type="pct"/>
          <w:trHeight w:val="734"/>
        </w:trPr>
        <w:tc>
          <w:tcPr>
            <w:tcW w:w="1254" w:type="pct"/>
            <w:gridSpan w:val="2"/>
            <w:hideMark/>
          </w:tcPr>
          <w:p w14:paraId="399C3E7D" w14:textId="77777777" w:rsidR="00D20DFE" w:rsidRPr="00517264" w:rsidRDefault="00D20DFE" w:rsidP="00517264">
            <w:pPr>
              <w:spacing w:after="0"/>
              <w:jc w:val="left"/>
              <w:rPr>
                <w:rFonts w:eastAsia="ArialNarrow"/>
                <w:szCs w:val="18"/>
              </w:rPr>
            </w:pPr>
            <w:r w:rsidRPr="00517264">
              <w:rPr>
                <w:rFonts w:eastAsia="ArialNarrow"/>
                <w:szCs w:val="18"/>
              </w:rPr>
              <w:t>Turističko naselje Globočeci</w:t>
            </w:r>
          </w:p>
        </w:tc>
        <w:tc>
          <w:tcPr>
            <w:tcW w:w="1648" w:type="pct"/>
            <w:gridSpan w:val="3"/>
            <w:hideMark/>
          </w:tcPr>
          <w:p w14:paraId="3A160104" w14:textId="2AA2471C" w:rsidR="00D20DFE" w:rsidRPr="00517264" w:rsidRDefault="00D20DFE" w:rsidP="00517264">
            <w:pPr>
              <w:spacing w:after="0"/>
              <w:jc w:val="right"/>
              <w:rPr>
                <w:rFonts w:eastAsia="ArialNarrow"/>
                <w:szCs w:val="18"/>
              </w:rPr>
            </w:pPr>
            <w:r w:rsidRPr="00517264">
              <w:rPr>
                <w:rFonts w:eastAsia="ArialNarrow"/>
                <w:szCs w:val="18"/>
              </w:rPr>
              <w:t>Marija Bistrica, (</w:t>
            </w:r>
            <w:r w:rsidR="006B3661">
              <w:rPr>
                <w:rFonts w:eastAsia="ArialNarrow"/>
                <w:szCs w:val="18"/>
              </w:rPr>
              <w:t>G</w:t>
            </w:r>
            <w:r w:rsidRPr="00517264">
              <w:rPr>
                <w:rFonts w:eastAsia="ArialNarrow"/>
                <w:szCs w:val="18"/>
              </w:rPr>
              <w:t>lobočec, Podgorje Bistričko)</w:t>
            </w:r>
          </w:p>
        </w:tc>
        <w:tc>
          <w:tcPr>
            <w:tcW w:w="1234" w:type="pct"/>
            <w:gridSpan w:val="4"/>
            <w:hideMark/>
          </w:tcPr>
          <w:p w14:paraId="13917D6E" w14:textId="77777777" w:rsidR="00D20DFE" w:rsidRPr="00517264" w:rsidRDefault="00D20DFE" w:rsidP="00517264">
            <w:pPr>
              <w:spacing w:after="0"/>
              <w:jc w:val="right"/>
              <w:rPr>
                <w:rFonts w:eastAsia="ArialNarrow"/>
                <w:szCs w:val="18"/>
              </w:rPr>
            </w:pPr>
            <w:r w:rsidRPr="00517264">
              <w:rPr>
                <w:rFonts w:eastAsia="ArialNarrow"/>
                <w:szCs w:val="18"/>
              </w:rPr>
              <w:t>27,07</w:t>
            </w:r>
          </w:p>
          <w:p w14:paraId="7931C92C" w14:textId="4F85AF5D" w:rsidR="00D20DFE" w:rsidRPr="00517264" w:rsidRDefault="00D20DFE" w:rsidP="00517264">
            <w:pPr>
              <w:spacing w:after="0"/>
              <w:jc w:val="right"/>
              <w:rPr>
                <w:rFonts w:eastAsia="ArialNarrow"/>
                <w:szCs w:val="18"/>
              </w:rPr>
            </w:pPr>
            <w:r w:rsidRPr="00517264">
              <w:rPr>
                <w:rFonts w:eastAsia="ArialNarrow"/>
                <w:szCs w:val="18"/>
              </w:rPr>
              <w:t>Izgrađeno: 0,7</w:t>
            </w:r>
          </w:p>
        </w:tc>
        <w:tc>
          <w:tcPr>
            <w:tcW w:w="854" w:type="pct"/>
            <w:gridSpan w:val="2"/>
            <w:hideMark/>
          </w:tcPr>
          <w:p w14:paraId="05FF8B35" w14:textId="77777777" w:rsidR="00D20DFE" w:rsidRPr="00517264" w:rsidRDefault="00D20DFE" w:rsidP="00517264">
            <w:pPr>
              <w:spacing w:after="0"/>
              <w:jc w:val="right"/>
              <w:rPr>
                <w:rFonts w:eastAsia="ArialNarrow"/>
                <w:szCs w:val="18"/>
              </w:rPr>
            </w:pPr>
            <w:r w:rsidRPr="00517264">
              <w:rPr>
                <w:rFonts w:eastAsia="ArialNarrow"/>
                <w:szCs w:val="18"/>
              </w:rPr>
              <w:t>TZ</w:t>
            </w:r>
          </w:p>
        </w:tc>
      </w:tr>
      <w:tr w:rsidR="008878A0" w:rsidRPr="00517264" w14:paraId="5F1F3826" w14:textId="77777777" w:rsidTr="00517264">
        <w:trPr>
          <w:gridAfter w:val="1"/>
          <w:wAfter w:w="10" w:type="pct"/>
          <w:trHeight w:val="227"/>
        </w:trPr>
        <w:tc>
          <w:tcPr>
            <w:tcW w:w="1254" w:type="pct"/>
            <w:gridSpan w:val="2"/>
            <w:shd w:val="clear" w:color="auto" w:fill="D2232A" w:themeFill="accent1"/>
            <w:hideMark/>
          </w:tcPr>
          <w:p w14:paraId="1DCC84F5"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MIHOVLJAN</w:t>
            </w:r>
          </w:p>
        </w:tc>
        <w:tc>
          <w:tcPr>
            <w:tcW w:w="1648" w:type="pct"/>
            <w:gridSpan w:val="3"/>
            <w:shd w:val="clear" w:color="auto" w:fill="D2232A" w:themeFill="accent1"/>
            <w:hideMark/>
          </w:tcPr>
          <w:p w14:paraId="4A155D0E"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34" w:type="pct"/>
            <w:gridSpan w:val="4"/>
            <w:shd w:val="clear" w:color="auto" w:fill="D2232A" w:themeFill="accent1"/>
            <w:hideMark/>
          </w:tcPr>
          <w:p w14:paraId="309FC8D0"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7CE7AE86" w14:textId="77777777" w:rsidR="008878A0" w:rsidRPr="00517264" w:rsidRDefault="008878A0" w:rsidP="00517264">
            <w:pPr>
              <w:spacing w:after="0"/>
              <w:jc w:val="right"/>
              <w:rPr>
                <w:rFonts w:eastAsia="ArialNarrow"/>
                <w:szCs w:val="18"/>
              </w:rPr>
            </w:pPr>
            <w:r w:rsidRPr="00517264">
              <w:rPr>
                <w:rFonts w:ascii="Calibri" w:eastAsia="ArialNarrow" w:hAnsi="Calibri" w:cs="Calibri"/>
                <w:szCs w:val="18"/>
              </w:rPr>
              <w:t> </w:t>
            </w:r>
          </w:p>
        </w:tc>
      </w:tr>
      <w:tr w:rsidR="008878A0" w:rsidRPr="00517264" w14:paraId="02B1C0FE" w14:textId="77777777" w:rsidTr="00517264">
        <w:trPr>
          <w:gridAfter w:val="1"/>
          <w:wAfter w:w="10" w:type="pct"/>
          <w:trHeight w:val="227"/>
        </w:trPr>
        <w:tc>
          <w:tcPr>
            <w:tcW w:w="1254" w:type="pct"/>
            <w:gridSpan w:val="2"/>
            <w:hideMark/>
          </w:tcPr>
          <w:p w14:paraId="4BB9F22E" w14:textId="77777777" w:rsidR="008878A0" w:rsidRPr="00517264" w:rsidRDefault="008878A0" w:rsidP="00517264">
            <w:pPr>
              <w:spacing w:after="0"/>
              <w:jc w:val="left"/>
              <w:rPr>
                <w:rFonts w:eastAsia="ArialNarrow"/>
                <w:color w:val="auto"/>
                <w:szCs w:val="18"/>
              </w:rPr>
            </w:pPr>
            <w:r w:rsidRPr="00517264">
              <w:rPr>
                <w:rFonts w:eastAsia="ArialNarrow"/>
                <w:szCs w:val="18"/>
              </w:rPr>
              <w:t xml:space="preserve">Ugostiteljsko-turistička namjena zdravstveni turizam uz Sutinske toplice </w:t>
            </w:r>
            <w:r w:rsidRPr="00517264">
              <w:rPr>
                <w:rFonts w:eastAsia="ArialNarrow"/>
                <w:szCs w:val="18"/>
              </w:rPr>
              <w:lastRenderedPageBreak/>
              <w:t xml:space="preserve">- T4; tradicijsko - seoski turizam - T5; sportsko - rekreacijska namjena nogomet - R6; rekreativno jahanje - R7 </w:t>
            </w:r>
          </w:p>
        </w:tc>
        <w:tc>
          <w:tcPr>
            <w:tcW w:w="1648" w:type="pct"/>
            <w:gridSpan w:val="3"/>
            <w:hideMark/>
          </w:tcPr>
          <w:p w14:paraId="378CA986" w14:textId="77777777" w:rsidR="008878A0" w:rsidRPr="00517264" w:rsidRDefault="008878A0" w:rsidP="00517264">
            <w:pPr>
              <w:spacing w:after="0"/>
              <w:jc w:val="right"/>
              <w:rPr>
                <w:rFonts w:eastAsia="ArialNarrow"/>
                <w:szCs w:val="18"/>
              </w:rPr>
            </w:pPr>
            <w:r w:rsidRPr="00517264">
              <w:rPr>
                <w:rFonts w:eastAsia="ArialNarrow"/>
                <w:szCs w:val="18"/>
              </w:rPr>
              <w:lastRenderedPageBreak/>
              <w:t>Mihovljan, (Mihovljan,  Frkuljevec Mihovljanski, Sutinske Toplice)</w:t>
            </w:r>
          </w:p>
        </w:tc>
        <w:tc>
          <w:tcPr>
            <w:tcW w:w="1234" w:type="pct"/>
            <w:gridSpan w:val="4"/>
            <w:hideMark/>
          </w:tcPr>
          <w:p w14:paraId="2A505937" w14:textId="77777777" w:rsidR="008878A0" w:rsidRPr="00517264" w:rsidRDefault="008878A0" w:rsidP="00517264">
            <w:pPr>
              <w:spacing w:after="0"/>
              <w:jc w:val="right"/>
              <w:rPr>
                <w:rFonts w:eastAsia="ArialNarrow"/>
                <w:szCs w:val="18"/>
              </w:rPr>
            </w:pPr>
            <w:r w:rsidRPr="00517264">
              <w:rPr>
                <w:rFonts w:eastAsia="ArialNarrow"/>
                <w:szCs w:val="18"/>
              </w:rPr>
              <w:t>93,15 (T); 172,19 (R)</w:t>
            </w:r>
          </w:p>
        </w:tc>
        <w:tc>
          <w:tcPr>
            <w:tcW w:w="854" w:type="pct"/>
            <w:gridSpan w:val="2"/>
            <w:hideMark/>
          </w:tcPr>
          <w:p w14:paraId="677B5D28" w14:textId="77777777" w:rsidR="008878A0" w:rsidRPr="00517264" w:rsidRDefault="008878A0" w:rsidP="00517264">
            <w:pPr>
              <w:spacing w:after="0"/>
              <w:jc w:val="right"/>
              <w:rPr>
                <w:rFonts w:eastAsia="ArialNarrow"/>
                <w:szCs w:val="18"/>
              </w:rPr>
            </w:pPr>
            <w:r w:rsidRPr="00517264">
              <w:rPr>
                <w:rFonts w:eastAsia="ArialNarrow"/>
                <w:szCs w:val="18"/>
              </w:rPr>
              <w:t>T4, T5, R6, R7</w:t>
            </w:r>
          </w:p>
        </w:tc>
      </w:tr>
      <w:tr w:rsidR="008878A0" w:rsidRPr="00517264" w14:paraId="32E564E8" w14:textId="77777777" w:rsidTr="00517264">
        <w:trPr>
          <w:gridAfter w:val="1"/>
          <w:wAfter w:w="10" w:type="pct"/>
          <w:trHeight w:val="227"/>
        </w:trPr>
        <w:tc>
          <w:tcPr>
            <w:tcW w:w="1254" w:type="pct"/>
            <w:gridSpan w:val="2"/>
            <w:shd w:val="clear" w:color="auto" w:fill="D2232A" w:themeFill="accent1"/>
            <w:hideMark/>
          </w:tcPr>
          <w:p w14:paraId="7845949B"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MAČE</w:t>
            </w:r>
          </w:p>
        </w:tc>
        <w:tc>
          <w:tcPr>
            <w:tcW w:w="1648" w:type="pct"/>
            <w:gridSpan w:val="3"/>
            <w:shd w:val="clear" w:color="auto" w:fill="D2232A" w:themeFill="accent1"/>
            <w:hideMark/>
          </w:tcPr>
          <w:p w14:paraId="2062F154"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34" w:type="pct"/>
            <w:gridSpan w:val="4"/>
            <w:shd w:val="clear" w:color="auto" w:fill="D2232A" w:themeFill="accent1"/>
            <w:hideMark/>
          </w:tcPr>
          <w:p w14:paraId="0ED0E708"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7F3BC444" w14:textId="77777777" w:rsidR="008878A0" w:rsidRPr="00517264" w:rsidRDefault="008878A0" w:rsidP="00517264">
            <w:pPr>
              <w:spacing w:after="0"/>
              <w:jc w:val="right"/>
              <w:rPr>
                <w:rFonts w:eastAsia="ArialNarrow"/>
                <w:szCs w:val="18"/>
              </w:rPr>
            </w:pPr>
            <w:r w:rsidRPr="00517264">
              <w:rPr>
                <w:rFonts w:ascii="Calibri" w:eastAsia="ArialNarrow" w:hAnsi="Calibri" w:cs="Calibri"/>
                <w:szCs w:val="18"/>
              </w:rPr>
              <w:t> </w:t>
            </w:r>
          </w:p>
        </w:tc>
      </w:tr>
      <w:tr w:rsidR="00D20DFE" w:rsidRPr="00517264" w14:paraId="76287706" w14:textId="77777777" w:rsidTr="00517264">
        <w:trPr>
          <w:gridAfter w:val="1"/>
          <w:wAfter w:w="10" w:type="pct"/>
          <w:trHeight w:val="841"/>
        </w:trPr>
        <w:tc>
          <w:tcPr>
            <w:tcW w:w="1254" w:type="pct"/>
            <w:gridSpan w:val="2"/>
            <w:hideMark/>
          </w:tcPr>
          <w:p w14:paraId="255CEA08" w14:textId="77777777" w:rsidR="00D20DFE" w:rsidRPr="00517264" w:rsidRDefault="00D20DFE" w:rsidP="00517264">
            <w:pPr>
              <w:spacing w:after="0"/>
              <w:jc w:val="left"/>
              <w:rPr>
                <w:rFonts w:eastAsia="ArialNarrow"/>
                <w:color w:val="auto"/>
                <w:szCs w:val="18"/>
              </w:rPr>
            </w:pPr>
            <w:r w:rsidRPr="00517264">
              <w:rPr>
                <w:rFonts w:eastAsia="ArialNarrow"/>
                <w:szCs w:val="18"/>
              </w:rPr>
              <w:t>Turističko zdravstveno-rekreativni kompleks - Sutinske Toplice</w:t>
            </w:r>
          </w:p>
        </w:tc>
        <w:tc>
          <w:tcPr>
            <w:tcW w:w="1648" w:type="pct"/>
            <w:gridSpan w:val="3"/>
            <w:hideMark/>
          </w:tcPr>
          <w:p w14:paraId="788AEEE6" w14:textId="77777777" w:rsidR="00D20DFE" w:rsidRPr="00517264" w:rsidRDefault="00D20DFE" w:rsidP="00517264">
            <w:pPr>
              <w:spacing w:after="0"/>
              <w:jc w:val="right"/>
              <w:rPr>
                <w:rFonts w:eastAsia="ArialNarrow"/>
                <w:szCs w:val="18"/>
              </w:rPr>
            </w:pPr>
            <w:r w:rsidRPr="00517264">
              <w:rPr>
                <w:rFonts w:eastAsia="ArialNarrow"/>
                <w:szCs w:val="18"/>
              </w:rPr>
              <w:t>Mače, (Mali Komor, Veliki Komor)</w:t>
            </w:r>
          </w:p>
        </w:tc>
        <w:tc>
          <w:tcPr>
            <w:tcW w:w="1234" w:type="pct"/>
            <w:gridSpan w:val="4"/>
            <w:hideMark/>
          </w:tcPr>
          <w:p w14:paraId="11F676CA" w14:textId="77777777" w:rsidR="00D20DFE" w:rsidRPr="00517264" w:rsidRDefault="00D20DFE" w:rsidP="00517264">
            <w:pPr>
              <w:spacing w:after="0"/>
              <w:jc w:val="right"/>
              <w:rPr>
                <w:rFonts w:eastAsia="ArialNarrow"/>
                <w:szCs w:val="18"/>
              </w:rPr>
            </w:pPr>
            <w:r w:rsidRPr="00517264">
              <w:rPr>
                <w:rFonts w:eastAsia="ArialNarrow"/>
                <w:szCs w:val="18"/>
              </w:rPr>
              <w:t>29,14</w:t>
            </w:r>
          </w:p>
          <w:p w14:paraId="04FBDE07" w14:textId="3737D8A8" w:rsidR="00D20DFE" w:rsidRPr="00517264" w:rsidRDefault="00D20DFE" w:rsidP="00517264">
            <w:pPr>
              <w:spacing w:after="0"/>
              <w:jc w:val="right"/>
              <w:rPr>
                <w:rFonts w:eastAsia="ArialNarrow"/>
                <w:szCs w:val="18"/>
              </w:rPr>
            </w:pPr>
            <w:r w:rsidRPr="00517264">
              <w:rPr>
                <w:rFonts w:eastAsia="ArialNarrow"/>
                <w:szCs w:val="18"/>
              </w:rPr>
              <w:t>Izgrađeno: 1,8</w:t>
            </w:r>
          </w:p>
        </w:tc>
        <w:tc>
          <w:tcPr>
            <w:tcW w:w="854" w:type="pct"/>
            <w:gridSpan w:val="2"/>
            <w:hideMark/>
          </w:tcPr>
          <w:p w14:paraId="4D815862" w14:textId="77777777" w:rsidR="00D20DFE" w:rsidRPr="00517264" w:rsidRDefault="00D20DFE" w:rsidP="00517264">
            <w:pPr>
              <w:spacing w:after="0"/>
              <w:jc w:val="right"/>
              <w:rPr>
                <w:rFonts w:eastAsia="ArialNarrow"/>
                <w:szCs w:val="18"/>
              </w:rPr>
            </w:pPr>
            <w:r w:rsidRPr="00517264">
              <w:rPr>
                <w:rFonts w:eastAsia="ArialNarrow"/>
                <w:szCs w:val="18"/>
              </w:rPr>
              <w:t>T</w:t>
            </w:r>
          </w:p>
        </w:tc>
      </w:tr>
      <w:tr w:rsidR="008878A0" w:rsidRPr="00517264" w14:paraId="6488643C" w14:textId="77777777" w:rsidTr="00517264">
        <w:trPr>
          <w:gridAfter w:val="1"/>
          <w:wAfter w:w="10" w:type="pct"/>
          <w:trHeight w:val="227"/>
        </w:trPr>
        <w:tc>
          <w:tcPr>
            <w:tcW w:w="1254" w:type="pct"/>
            <w:gridSpan w:val="2"/>
            <w:hideMark/>
          </w:tcPr>
          <w:p w14:paraId="7994B1D4" w14:textId="77777777" w:rsidR="008878A0" w:rsidRPr="00517264" w:rsidRDefault="008878A0" w:rsidP="00517264">
            <w:pPr>
              <w:spacing w:after="0"/>
              <w:jc w:val="left"/>
              <w:rPr>
                <w:rFonts w:eastAsia="ArialNarrow"/>
                <w:szCs w:val="18"/>
              </w:rPr>
            </w:pPr>
            <w:r w:rsidRPr="00517264">
              <w:rPr>
                <w:rFonts w:eastAsia="ArialNarrow"/>
                <w:szCs w:val="18"/>
              </w:rPr>
              <w:t xml:space="preserve">Sport i rekreacija – golf (relativna blizina Sutinskih Toplica) </w:t>
            </w:r>
          </w:p>
        </w:tc>
        <w:tc>
          <w:tcPr>
            <w:tcW w:w="1648" w:type="pct"/>
            <w:gridSpan w:val="3"/>
            <w:hideMark/>
          </w:tcPr>
          <w:p w14:paraId="58771391" w14:textId="77777777" w:rsidR="008878A0" w:rsidRPr="00517264" w:rsidRDefault="008878A0" w:rsidP="00517264">
            <w:pPr>
              <w:spacing w:after="0"/>
              <w:jc w:val="right"/>
              <w:rPr>
                <w:rFonts w:eastAsia="ArialNarrow"/>
                <w:szCs w:val="18"/>
              </w:rPr>
            </w:pPr>
            <w:r w:rsidRPr="00517264">
              <w:rPr>
                <w:rFonts w:eastAsia="ArialNarrow"/>
                <w:szCs w:val="18"/>
              </w:rPr>
              <w:t xml:space="preserve">Mače (Mali Komor) </w:t>
            </w:r>
          </w:p>
        </w:tc>
        <w:tc>
          <w:tcPr>
            <w:tcW w:w="1234" w:type="pct"/>
            <w:gridSpan w:val="4"/>
            <w:hideMark/>
          </w:tcPr>
          <w:p w14:paraId="6B367DC3" w14:textId="77777777" w:rsidR="008878A0" w:rsidRPr="00517264" w:rsidRDefault="008878A0" w:rsidP="00517264">
            <w:pPr>
              <w:spacing w:after="0"/>
              <w:jc w:val="right"/>
              <w:rPr>
                <w:rFonts w:eastAsia="ArialNarrow"/>
                <w:szCs w:val="18"/>
              </w:rPr>
            </w:pPr>
            <w:r w:rsidRPr="00517264">
              <w:rPr>
                <w:rFonts w:eastAsia="ArialNarrow"/>
                <w:szCs w:val="18"/>
              </w:rPr>
              <w:t>56,17</w:t>
            </w:r>
          </w:p>
        </w:tc>
        <w:tc>
          <w:tcPr>
            <w:tcW w:w="854" w:type="pct"/>
            <w:gridSpan w:val="2"/>
            <w:hideMark/>
          </w:tcPr>
          <w:p w14:paraId="248384BF" w14:textId="77777777" w:rsidR="008878A0" w:rsidRPr="00517264" w:rsidRDefault="008878A0" w:rsidP="00517264">
            <w:pPr>
              <w:spacing w:after="0"/>
              <w:jc w:val="right"/>
              <w:rPr>
                <w:rFonts w:eastAsia="ArialNarrow"/>
                <w:szCs w:val="18"/>
              </w:rPr>
            </w:pPr>
            <w:r w:rsidRPr="00517264">
              <w:rPr>
                <w:rFonts w:eastAsia="ArialNarrow"/>
                <w:szCs w:val="18"/>
              </w:rPr>
              <w:t>R1</w:t>
            </w:r>
          </w:p>
        </w:tc>
      </w:tr>
      <w:tr w:rsidR="008878A0" w:rsidRPr="00517264" w14:paraId="275C4EEE"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top w:val="nil"/>
              <w:left w:val="single" w:sz="8" w:space="0" w:color="D2232A"/>
            </w:tcBorders>
            <w:shd w:val="clear" w:color="auto" w:fill="D2232A" w:themeFill="accent1"/>
            <w:hideMark/>
          </w:tcPr>
          <w:p w14:paraId="5F7A2B42" w14:textId="38046486"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VELIKO TRGOVIŠĆE</w:t>
            </w:r>
          </w:p>
        </w:tc>
        <w:tc>
          <w:tcPr>
            <w:tcW w:w="1647" w:type="pct"/>
            <w:gridSpan w:val="2"/>
            <w:tcBorders>
              <w:top w:val="nil"/>
            </w:tcBorders>
            <w:shd w:val="clear" w:color="auto" w:fill="D2232A" w:themeFill="accent1"/>
            <w:hideMark/>
          </w:tcPr>
          <w:p w14:paraId="6CDA7E88"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tcBorders>
              <w:top w:val="nil"/>
            </w:tcBorders>
            <w:shd w:val="clear" w:color="auto" w:fill="D2232A" w:themeFill="accent1"/>
            <w:hideMark/>
          </w:tcPr>
          <w:p w14:paraId="15351567"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top w:val="nil"/>
              <w:right w:val="single" w:sz="8" w:space="0" w:color="D2232A"/>
            </w:tcBorders>
            <w:shd w:val="clear" w:color="auto" w:fill="D2232A" w:themeFill="accent1"/>
            <w:hideMark/>
          </w:tcPr>
          <w:p w14:paraId="3082DCC5" w14:textId="77777777" w:rsidR="008878A0" w:rsidRPr="00517264" w:rsidRDefault="008878A0" w:rsidP="00517264">
            <w:pPr>
              <w:spacing w:after="0"/>
              <w:jc w:val="right"/>
              <w:rPr>
                <w:rFonts w:eastAsia="ArialNarrow"/>
                <w:szCs w:val="18"/>
              </w:rPr>
            </w:pPr>
            <w:r w:rsidRPr="00517264">
              <w:rPr>
                <w:rFonts w:ascii="Calibri" w:eastAsia="ArialNarrow" w:hAnsi="Calibri" w:cs="Calibri"/>
                <w:szCs w:val="18"/>
              </w:rPr>
              <w:t> </w:t>
            </w:r>
          </w:p>
        </w:tc>
      </w:tr>
      <w:tr w:rsidR="008878A0" w:rsidRPr="00517264" w14:paraId="08A46CE4"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hideMark/>
          </w:tcPr>
          <w:p w14:paraId="1B4CC061" w14:textId="77777777" w:rsidR="008878A0" w:rsidRPr="00517264" w:rsidRDefault="008878A0" w:rsidP="00517264">
            <w:pPr>
              <w:spacing w:after="0"/>
              <w:jc w:val="left"/>
              <w:rPr>
                <w:rFonts w:eastAsia="ArialNarrow"/>
                <w:color w:val="auto"/>
                <w:szCs w:val="18"/>
              </w:rPr>
            </w:pPr>
            <w:r w:rsidRPr="00517264">
              <w:rPr>
                <w:rFonts w:eastAsia="ArialNarrow"/>
                <w:szCs w:val="18"/>
              </w:rPr>
              <w:t>Turističko naselje - kamp - Turistička zona Velika Erpenja</w:t>
            </w:r>
          </w:p>
        </w:tc>
        <w:tc>
          <w:tcPr>
            <w:tcW w:w="1647" w:type="pct"/>
            <w:gridSpan w:val="2"/>
            <w:hideMark/>
          </w:tcPr>
          <w:p w14:paraId="6A7CFA64" w14:textId="77777777" w:rsidR="008878A0" w:rsidRPr="00517264" w:rsidRDefault="008878A0" w:rsidP="00517264">
            <w:pPr>
              <w:spacing w:after="0"/>
              <w:jc w:val="right"/>
              <w:rPr>
                <w:rFonts w:eastAsia="ArialNarrow"/>
                <w:szCs w:val="18"/>
              </w:rPr>
            </w:pPr>
            <w:r w:rsidRPr="00517264">
              <w:rPr>
                <w:rFonts w:eastAsia="ArialNarrow"/>
                <w:szCs w:val="18"/>
              </w:rPr>
              <w:t>Veliko Trgovišće, (Velika Erpenja)</w:t>
            </w:r>
          </w:p>
        </w:tc>
        <w:tc>
          <w:tcPr>
            <w:tcW w:w="1155" w:type="pct"/>
            <w:gridSpan w:val="3"/>
            <w:hideMark/>
          </w:tcPr>
          <w:p w14:paraId="579EAE29" w14:textId="77777777" w:rsidR="008878A0" w:rsidRPr="00517264" w:rsidRDefault="008878A0" w:rsidP="00517264">
            <w:pPr>
              <w:spacing w:after="0"/>
              <w:jc w:val="right"/>
              <w:rPr>
                <w:rFonts w:eastAsia="ArialNarrow"/>
                <w:szCs w:val="18"/>
              </w:rPr>
            </w:pPr>
            <w:r w:rsidRPr="00517264">
              <w:rPr>
                <w:rFonts w:eastAsia="ArialNarrow"/>
                <w:szCs w:val="18"/>
              </w:rPr>
              <w:t>10,7</w:t>
            </w:r>
          </w:p>
        </w:tc>
        <w:tc>
          <w:tcPr>
            <w:tcW w:w="854" w:type="pct"/>
            <w:gridSpan w:val="2"/>
            <w:tcBorders>
              <w:right w:val="single" w:sz="8" w:space="0" w:color="D2232A"/>
            </w:tcBorders>
            <w:hideMark/>
          </w:tcPr>
          <w:p w14:paraId="7D8C40F2" w14:textId="77777777" w:rsidR="008878A0" w:rsidRPr="00517264" w:rsidRDefault="008878A0" w:rsidP="00517264">
            <w:pPr>
              <w:spacing w:after="0"/>
              <w:jc w:val="right"/>
              <w:rPr>
                <w:rFonts w:eastAsia="ArialNarrow"/>
                <w:szCs w:val="18"/>
              </w:rPr>
            </w:pPr>
            <w:r w:rsidRPr="00517264">
              <w:rPr>
                <w:rFonts w:eastAsia="ArialNarrow"/>
                <w:szCs w:val="18"/>
              </w:rPr>
              <w:t>T3,T2</w:t>
            </w:r>
          </w:p>
        </w:tc>
      </w:tr>
      <w:tr w:rsidR="008878A0" w:rsidRPr="00517264" w14:paraId="73E01F26"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hideMark/>
          </w:tcPr>
          <w:p w14:paraId="26F22CBD" w14:textId="77777777" w:rsidR="008878A0" w:rsidRPr="00517264" w:rsidRDefault="008878A0" w:rsidP="00517264">
            <w:pPr>
              <w:spacing w:after="0"/>
              <w:jc w:val="left"/>
              <w:rPr>
                <w:rFonts w:eastAsia="ArialNarrow"/>
                <w:szCs w:val="18"/>
              </w:rPr>
            </w:pPr>
            <w:r w:rsidRPr="00517264">
              <w:rPr>
                <w:rFonts w:eastAsia="ArialNarrow"/>
                <w:szCs w:val="18"/>
              </w:rPr>
              <w:t>Turistička zona Dubrovčan</w:t>
            </w:r>
          </w:p>
        </w:tc>
        <w:tc>
          <w:tcPr>
            <w:tcW w:w="1647" w:type="pct"/>
            <w:gridSpan w:val="2"/>
            <w:hideMark/>
          </w:tcPr>
          <w:p w14:paraId="33AB1432" w14:textId="77777777" w:rsidR="008878A0" w:rsidRPr="00517264" w:rsidRDefault="008878A0" w:rsidP="00517264">
            <w:pPr>
              <w:spacing w:after="0"/>
              <w:jc w:val="right"/>
              <w:rPr>
                <w:rFonts w:eastAsia="ArialNarrow"/>
                <w:szCs w:val="18"/>
              </w:rPr>
            </w:pPr>
            <w:r w:rsidRPr="00517264">
              <w:rPr>
                <w:rFonts w:eastAsia="ArialNarrow"/>
                <w:szCs w:val="18"/>
              </w:rPr>
              <w:t>Veliko Trgovišće, (Dubrovčan)</w:t>
            </w:r>
          </w:p>
        </w:tc>
        <w:tc>
          <w:tcPr>
            <w:tcW w:w="1155" w:type="pct"/>
            <w:gridSpan w:val="3"/>
            <w:hideMark/>
          </w:tcPr>
          <w:p w14:paraId="45328B38" w14:textId="77777777" w:rsidR="008878A0" w:rsidRPr="00517264" w:rsidRDefault="008878A0" w:rsidP="00517264">
            <w:pPr>
              <w:spacing w:after="0"/>
              <w:jc w:val="right"/>
              <w:rPr>
                <w:rFonts w:eastAsia="ArialNarrow"/>
                <w:szCs w:val="18"/>
              </w:rPr>
            </w:pPr>
            <w:r w:rsidRPr="00517264">
              <w:rPr>
                <w:rFonts w:eastAsia="ArialNarrow"/>
                <w:szCs w:val="18"/>
              </w:rPr>
              <w:t>5,98</w:t>
            </w:r>
          </w:p>
        </w:tc>
        <w:tc>
          <w:tcPr>
            <w:tcW w:w="854" w:type="pct"/>
            <w:gridSpan w:val="2"/>
            <w:tcBorders>
              <w:right w:val="single" w:sz="8" w:space="0" w:color="D2232A"/>
            </w:tcBorders>
            <w:hideMark/>
          </w:tcPr>
          <w:p w14:paraId="3F13C101"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0F4A639B"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hideMark/>
          </w:tcPr>
          <w:p w14:paraId="7817E232" w14:textId="77777777" w:rsidR="008878A0" w:rsidRPr="00517264" w:rsidRDefault="008878A0" w:rsidP="00517264">
            <w:pPr>
              <w:spacing w:after="0"/>
              <w:jc w:val="left"/>
              <w:rPr>
                <w:rFonts w:eastAsia="ArialNarrow"/>
                <w:szCs w:val="18"/>
              </w:rPr>
            </w:pPr>
            <w:r w:rsidRPr="00517264">
              <w:rPr>
                <w:rFonts w:eastAsia="ArialNarrow"/>
                <w:szCs w:val="18"/>
              </w:rPr>
              <w:t>Turistička zona Mrzlo Polje</w:t>
            </w:r>
          </w:p>
        </w:tc>
        <w:tc>
          <w:tcPr>
            <w:tcW w:w="1647" w:type="pct"/>
            <w:gridSpan w:val="2"/>
            <w:hideMark/>
          </w:tcPr>
          <w:p w14:paraId="474D9FDC" w14:textId="77777777" w:rsidR="008878A0" w:rsidRPr="00517264" w:rsidRDefault="008878A0" w:rsidP="00517264">
            <w:pPr>
              <w:spacing w:after="0"/>
              <w:jc w:val="right"/>
              <w:rPr>
                <w:rFonts w:eastAsia="ArialNarrow"/>
                <w:szCs w:val="18"/>
              </w:rPr>
            </w:pPr>
            <w:r w:rsidRPr="00517264">
              <w:rPr>
                <w:rFonts w:eastAsia="ArialNarrow"/>
                <w:szCs w:val="18"/>
              </w:rPr>
              <w:t>Veliko Trgovišće, (Mrzlo Polje)</w:t>
            </w:r>
          </w:p>
        </w:tc>
        <w:tc>
          <w:tcPr>
            <w:tcW w:w="1155" w:type="pct"/>
            <w:gridSpan w:val="3"/>
            <w:hideMark/>
          </w:tcPr>
          <w:p w14:paraId="07FA92F7" w14:textId="77777777" w:rsidR="008878A0" w:rsidRPr="00517264" w:rsidRDefault="008878A0" w:rsidP="00517264">
            <w:pPr>
              <w:spacing w:after="0"/>
              <w:jc w:val="right"/>
              <w:rPr>
                <w:rFonts w:eastAsia="ArialNarrow"/>
                <w:szCs w:val="18"/>
              </w:rPr>
            </w:pPr>
            <w:r w:rsidRPr="00517264">
              <w:rPr>
                <w:rFonts w:eastAsia="ArialNarrow"/>
                <w:szCs w:val="18"/>
              </w:rPr>
              <w:t>4,8</w:t>
            </w:r>
          </w:p>
        </w:tc>
        <w:tc>
          <w:tcPr>
            <w:tcW w:w="854" w:type="pct"/>
            <w:gridSpan w:val="2"/>
            <w:tcBorders>
              <w:right w:val="single" w:sz="8" w:space="0" w:color="D2232A"/>
            </w:tcBorders>
            <w:hideMark/>
          </w:tcPr>
          <w:p w14:paraId="32E4D19E"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686E583F"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shd w:val="clear" w:color="auto" w:fill="D2232A" w:themeFill="accent1"/>
            <w:hideMark/>
          </w:tcPr>
          <w:p w14:paraId="33DBF68B"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SVETI KRIŽ ZAČRETJE</w:t>
            </w:r>
          </w:p>
        </w:tc>
        <w:tc>
          <w:tcPr>
            <w:tcW w:w="1647" w:type="pct"/>
            <w:gridSpan w:val="2"/>
            <w:shd w:val="clear" w:color="auto" w:fill="D2232A" w:themeFill="accent1"/>
            <w:hideMark/>
          </w:tcPr>
          <w:p w14:paraId="188E060B"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1B8A9BC8"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2F86FB95" w14:textId="77777777" w:rsidR="008878A0" w:rsidRPr="00517264" w:rsidRDefault="008878A0" w:rsidP="00517264">
            <w:pPr>
              <w:spacing w:after="0"/>
              <w:jc w:val="right"/>
              <w:rPr>
                <w:rFonts w:eastAsia="ArialNarrow"/>
                <w:szCs w:val="18"/>
              </w:rPr>
            </w:pPr>
            <w:r w:rsidRPr="00517264">
              <w:rPr>
                <w:rFonts w:ascii="Calibri" w:eastAsia="ArialNarrow" w:hAnsi="Calibri" w:cs="Calibri"/>
                <w:szCs w:val="18"/>
              </w:rPr>
              <w:t> </w:t>
            </w:r>
          </w:p>
        </w:tc>
      </w:tr>
      <w:tr w:rsidR="008878A0" w:rsidRPr="00517264" w14:paraId="4BC08346"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val="restart"/>
            <w:tcBorders>
              <w:left w:val="single" w:sz="8" w:space="0" w:color="D2232A"/>
            </w:tcBorders>
            <w:hideMark/>
          </w:tcPr>
          <w:p w14:paraId="6C3C4FE9" w14:textId="77777777" w:rsidR="008878A0" w:rsidRPr="00517264" w:rsidRDefault="008878A0" w:rsidP="00517264">
            <w:pPr>
              <w:spacing w:after="0"/>
              <w:jc w:val="left"/>
              <w:rPr>
                <w:rFonts w:eastAsia="ArialNarrow"/>
                <w:color w:val="auto"/>
                <w:szCs w:val="18"/>
              </w:rPr>
            </w:pPr>
            <w:r w:rsidRPr="00517264">
              <w:rPr>
                <w:rFonts w:eastAsia="ArialNarrow"/>
                <w:szCs w:val="18"/>
              </w:rPr>
              <w:t>Turistička zona Pačetina</w:t>
            </w:r>
          </w:p>
        </w:tc>
        <w:tc>
          <w:tcPr>
            <w:tcW w:w="1647" w:type="pct"/>
            <w:gridSpan w:val="2"/>
            <w:vMerge w:val="restart"/>
            <w:hideMark/>
          </w:tcPr>
          <w:p w14:paraId="60D2947B" w14:textId="77777777" w:rsidR="008878A0" w:rsidRPr="00517264" w:rsidRDefault="008878A0" w:rsidP="00517264">
            <w:pPr>
              <w:spacing w:after="0"/>
              <w:jc w:val="right"/>
              <w:rPr>
                <w:rFonts w:eastAsia="ArialNarrow"/>
                <w:szCs w:val="18"/>
              </w:rPr>
            </w:pPr>
            <w:r w:rsidRPr="00517264">
              <w:rPr>
                <w:rFonts w:eastAsia="ArialNarrow"/>
                <w:szCs w:val="18"/>
              </w:rPr>
              <w:t>Sveti Križ Začretje, (Donja Pačetina, Završje Začretsko)</w:t>
            </w:r>
          </w:p>
        </w:tc>
        <w:tc>
          <w:tcPr>
            <w:tcW w:w="1155" w:type="pct"/>
            <w:gridSpan w:val="3"/>
            <w:tcBorders>
              <w:bottom w:val="nil"/>
            </w:tcBorders>
            <w:hideMark/>
          </w:tcPr>
          <w:p w14:paraId="09970FD3" w14:textId="77777777" w:rsidR="008878A0" w:rsidRPr="00517264" w:rsidRDefault="008878A0" w:rsidP="00517264">
            <w:pPr>
              <w:spacing w:after="0"/>
              <w:jc w:val="right"/>
              <w:rPr>
                <w:rFonts w:eastAsia="ArialNarrow"/>
                <w:szCs w:val="18"/>
              </w:rPr>
            </w:pPr>
            <w:r w:rsidRPr="00517264">
              <w:rPr>
                <w:rFonts w:eastAsia="ArialNarrow"/>
                <w:szCs w:val="18"/>
              </w:rPr>
              <w:t>20,7</w:t>
            </w:r>
          </w:p>
        </w:tc>
        <w:tc>
          <w:tcPr>
            <w:tcW w:w="854" w:type="pct"/>
            <w:gridSpan w:val="2"/>
            <w:vMerge w:val="restart"/>
            <w:tcBorders>
              <w:right w:val="single" w:sz="8" w:space="0" w:color="D2232A"/>
            </w:tcBorders>
            <w:noWrap/>
            <w:hideMark/>
          </w:tcPr>
          <w:p w14:paraId="0346BCAA" w14:textId="77777777" w:rsidR="008878A0" w:rsidRPr="00517264" w:rsidRDefault="008878A0" w:rsidP="00517264">
            <w:pPr>
              <w:spacing w:after="0"/>
              <w:jc w:val="right"/>
              <w:rPr>
                <w:rFonts w:eastAsia="ArialNarrow"/>
                <w:szCs w:val="18"/>
              </w:rPr>
            </w:pPr>
            <w:r w:rsidRPr="00517264">
              <w:rPr>
                <w:rFonts w:eastAsia="ArialNarrow"/>
                <w:szCs w:val="18"/>
              </w:rPr>
              <w:t>T2</w:t>
            </w:r>
          </w:p>
        </w:tc>
      </w:tr>
      <w:tr w:rsidR="008878A0" w:rsidRPr="00517264" w14:paraId="54677543"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tcBorders>
              <w:left w:val="single" w:sz="8" w:space="0" w:color="D2232A"/>
            </w:tcBorders>
            <w:vAlign w:val="center"/>
            <w:hideMark/>
          </w:tcPr>
          <w:p w14:paraId="3378F324" w14:textId="77777777" w:rsidR="008878A0" w:rsidRPr="00517264" w:rsidRDefault="008878A0" w:rsidP="00517264">
            <w:pPr>
              <w:spacing w:after="0"/>
              <w:jc w:val="left"/>
              <w:rPr>
                <w:rFonts w:eastAsia="ArialNarrow"/>
                <w:szCs w:val="18"/>
              </w:rPr>
            </w:pPr>
          </w:p>
        </w:tc>
        <w:tc>
          <w:tcPr>
            <w:tcW w:w="1647" w:type="pct"/>
            <w:gridSpan w:val="2"/>
            <w:vMerge/>
            <w:vAlign w:val="center"/>
            <w:hideMark/>
          </w:tcPr>
          <w:p w14:paraId="42148D56" w14:textId="77777777" w:rsidR="008878A0" w:rsidRPr="00517264" w:rsidRDefault="008878A0" w:rsidP="00517264">
            <w:pPr>
              <w:spacing w:after="0"/>
              <w:jc w:val="right"/>
              <w:rPr>
                <w:rFonts w:eastAsia="ArialNarrow"/>
                <w:szCs w:val="18"/>
              </w:rPr>
            </w:pPr>
          </w:p>
        </w:tc>
        <w:tc>
          <w:tcPr>
            <w:tcW w:w="1155" w:type="pct"/>
            <w:gridSpan w:val="3"/>
            <w:tcBorders>
              <w:top w:val="nil"/>
            </w:tcBorders>
            <w:hideMark/>
          </w:tcPr>
          <w:p w14:paraId="297EED3E" w14:textId="77777777" w:rsidR="008878A0" w:rsidRPr="00517264" w:rsidRDefault="008878A0" w:rsidP="00517264">
            <w:pPr>
              <w:spacing w:after="0"/>
              <w:jc w:val="right"/>
              <w:rPr>
                <w:rFonts w:eastAsia="ArialNarrow"/>
                <w:szCs w:val="18"/>
              </w:rPr>
            </w:pPr>
            <w:r w:rsidRPr="00517264">
              <w:rPr>
                <w:rFonts w:eastAsia="ArialNarrow"/>
                <w:szCs w:val="18"/>
              </w:rPr>
              <w:t>Izgrađeno: 0,4</w:t>
            </w:r>
          </w:p>
        </w:tc>
        <w:tc>
          <w:tcPr>
            <w:tcW w:w="854" w:type="pct"/>
            <w:gridSpan w:val="2"/>
            <w:vMerge/>
            <w:tcBorders>
              <w:right w:val="single" w:sz="8" w:space="0" w:color="D2232A"/>
            </w:tcBorders>
            <w:vAlign w:val="center"/>
            <w:hideMark/>
          </w:tcPr>
          <w:p w14:paraId="05602491" w14:textId="77777777" w:rsidR="008878A0" w:rsidRPr="00517264" w:rsidRDefault="008878A0" w:rsidP="00517264">
            <w:pPr>
              <w:spacing w:after="0"/>
              <w:jc w:val="right"/>
              <w:rPr>
                <w:rFonts w:eastAsia="ArialNarrow"/>
                <w:szCs w:val="18"/>
              </w:rPr>
            </w:pPr>
          </w:p>
        </w:tc>
      </w:tr>
      <w:tr w:rsidR="008878A0" w:rsidRPr="00517264" w14:paraId="3D912334"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val="restart"/>
            <w:tcBorders>
              <w:left w:val="single" w:sz="8" w:space="0" w:color="D2232A"/>
            </w:tcBorders>
            <w:hideMark/>
          </w:tcPr>
          <w:p w14:paraId="200A7A16" w14:textId="77777777" w:rsidR="008878A0" w:rsidRPr="00517264" w:rsidRDefault="008878A0" w:rsidP="00517264">
            <w:pPr>
              <w:spacing w:after="0"/>
              <w:jc w:val="left"/>
              <w:rPr>
                <w:rFonts w:eastAsia="ArialNarrow"/>
                <w:szCs w:val="18"/>
              </w:rPr>
            </w:pPr>
            <w:r w:rsidRPr="00517264">
              <w:rPr>
                <w:rFonts w:eastAsia="ArialNarrow"/>
                <w:szCs w:val="18"/>
              </w:rPr>
              <w:t>Turistička zona Vrankovec - Šemničke T.</w:t>
            </w:r>
          </w:p>
        </w:tc>
        <w:tc>
          <w:tcPr>
            <w:tcW w:w="1647" w:type="pct"/>
            <w:gridSpan w:val="2"/>
            <w:vMerge w:val="restart"/>
            <w:hideMark/>
          </w:tcPr>
          <w:p w14:paraId="4CFA634D" w14:textId="77777777" w:rsidR="008878A0" w:rsidRPr="00517264" w:rsidRDefault="008878A0" w:rsidP="00517264">
            <w:pPr>
              <w:spacing w:after="0"/>
              <w:jc w:val="right"/>
              <w:rPr>
                <w:rFonts w:eastAsia="ArialNarrow"/>
                <w:szCs w:val="18"/>
              </w:rPr>
            </w:pPr>
            <w:r w:rsidRPr="00517264">
              <w:rPr>
                <w:rFonts w:eastAsia="ArialNarrow"/>
                <w:szCs w:val="18"/>
              </w:rPr>
              <w:t>Sveti Križ Začretje, (Vrankovec, Galovec Začretski, Švaljkovec)</w:t>
            </w:r>
          </w:p>
        </w:tc>
        <w:tc>
          <w:tcPr>
            <w:tcW w:w="1155" w:type="pct"/>
            <w:gridSpan w:val="3"/>
            <w:tcBorders>
              <w:bottom w:val="nil"/>
            </w:tcBorders>
            <w:hideMark/>
          </w:tcPr>
          <w:p w14:paraId="3CC05B7D" w14:textId="77777777" w:rsidR="008878A0" w:rsidRPr="00517264" w:rsidRDefault="008878A0" w:rsidP="00517264">
            <w:pPr>
              <w:spacing w:after="0"/>
              <w:jc w:val="right"/>
              <w:rPr>
                <w:rFonts w:eastAsia="ArialNarrow"/>
                <w:szCs w:val="18"/>
              </w:rPr>
            </w:pPr>
            <w:r w:rsidRPr="00517264">
              <w:rPr>
                <w:rFonts w:eastAsia="ArialNarrow"/>
                <w:szCs w:val="18"/>
              </w:rPr>
              <w:t>48,54</w:t>
            </w:r>
          </w:p>
        </w:tc>
        <w:tc>
          <w:tcPr>
            <w:tcW w:w="854" w:type="pct"/>
            <w:gridSpan w:val="2"/>
            <w:vMerge w:val="restart"/>
            <w:tcBorders>
              <w:right w:val="single" w:sz="8" w:space="0" w:color="D2232A"/>
            </w:tcBorders>
            <w:noWrap/>
            <w:hideMark/>
          </w:tcPr>
          <w:p w14:paraId="3A828E12" w14:textId="77777777" w:rsidR="008878A0" w:rsidRPr="00517264" w:rsidRDefault="008878A0" w:rsidP="00517264">
            <w:pPr>
              <w:spacing w:after="0"/>
              <w:jc w:val="right"/>
              <w:rPr>
                <w:rFonts w:eastAsia="ArialNarrow"/>
                <w:szCs w:val="18"/>
              </w:rPr>
            </w:pPr>
            <w:r w:rsidRPr="00517264">
              <w:rPr>
                <w:rFonts w:eastAsia="ArialNarrow"/>
                <w:szCs w:val="18"/>
              </w:rPr>
              <w:t>T1,T2</w:t>
            </w:r>
          </w:p>
        </w:tc>
      </w:tr>
      <w:tr w:rsidR="008878A0" w:rsidRPr="00517264" w14:paraId="0D4AE4EE"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tcBorders>
              <w:left w:val="single" w:sz="8" w:space="0" w:color="D2232A"/>
            </w:tcBorders>
            <w:vAlign w:val="center"/>
            <w:hideMark/>
          </w:tcPr>
          <w:p w14:paraId="0400537E" w14:textId="77777777" w:rsidR="008878A0" w:rsidRPr="00517264" w:rsidRDefault="008878A0" w:rsidP="00517264">
            <w:pPr>
              <w:spacing w:after="0"/>
              <w:jc w:val="left"/>
              <w:rPr>
                <w:rFonts w:eastAsia="ArialNarrow"/>
                <w:szCs w:val="18"/>
              </w:rPr>
            </w:pPr>
          </w:p>
        </w:tc>
        <w:tc>
          <w:tcPr>
            <w:tcW w:w="1647" w:type="pct"/>
            <w:gridSpan w:val="2"/>
            <w:vMerge/>
            <w:vAlign w:val="center"/>
            <w:hideMark/>
          </w:tcPr>
          <w:p w14:paraId="1B8FB4D5" w14:textId="77777777" w:rsidR="008878A0" w:rsidRPr="00517264" w:rsidRDefault="008878A0" w:rsidP="00517264">
            <w:pPr>
              <w:spacing w:after="0"/>
              <w:jc w:val="right"/>
              <w:rPr>
                <w:rFonts w:eastAsia="ArialNarrow"/>
                <w:szCs w:val="18"/>
              </w:rPr>
            </w:pPr>
          </w:p>
        </w:tc>
        <w:tc>
          <w:tcPr>
            <w:tcW w:w="1155" w:type="pct"/>
            <w:gridSpan w:val="3"/>
            <w:tcBorders>
              <w:top w:val="nil"/>
            </w:tcBorders>
            <w:hideMark/>
          </w:tcPr>
          <w:p w14:paraId="731921B9" w14:textId="77777777" w:rsidR="008878A0" w:rsidRPr="00517264" w:rsidRDefault="008878A0" w:rsidP="00517264">
            <w:pPr>
              <w:spacing w:after="0"/>
              <w:jc w:val="right"/>
              <w:rPr>
                <w:rFonts w:eastAsia="ArialNarrow"/>
                <w:szCs w:val="18"/>
              </w:rPr>
            </w:pPr>
            <w:r w:rsidRPr="00517264">
              <w:rPr>
                <w:rFonts w:eastAsia="ArialNarrow"/>
                <w:szCs w:val="18"/>
              </w:rPr>
              <w:t>Izgrađeno: 0,64</w:t>
            </w:r>
          </w:p>
        </w:tc>
        <w:tc>
          <w:tcPr>
            <w:tcW w:w="854" w:type="pct"/>
            <w:gridSpan w:val="2"/>
            <w:vMerge/>
            <w:tcBorders>
              <w:right w:val="single" w:sz="8" w:space="0" w:color="D2232A"/>
            </w:tcBorders>
            <w:vAlign w:val="center"/>
            <w:hideMark/>
          </w:tcPr>
          <w:p w14:paraId="262FA7F3" w14:textId="77777777" w:rsidR="008878A0" w:rsidRPr="00517264" w:rsidRDefault="008878A0" w:rsidP="00517264">
            <w:pPr>
              <w:spacing w:after="0"/>
              <w:jc w:val="right"/>
              <w:rPr>
                <w:rFonts w:eastAsia="ArialNarrow"/>
                <w:szCs w:val="18"/>
              </w:rPr>
            </w:pPr>
          </w:p>
        </w:tc>
      </w:tr>
      <w:tr w:rsidR="008878A0" w:rsidRPr="00517264" w14:paraId="6165DEE3"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shd w:val="clear" w:color="auto" w:fill="D2232A" w:themeFill="accent1"/>
            <w:hideMark/>
          </w:tcPr>
          <w:p w14:paraId="0D3D3529"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KONJŠČINA</w:t>
            </w:r>
          </w:p>
        </w:tc>
        <w:tc>
          <w:tcPr>
            <w:tcW w:w="1647" w:type="pct"/>
            <w:gridSpan w:val="2"/>
            <w:shd w:val="clear" w:color="auto" w:fill="D2232A" w:themeFill="accent1"/>
            <w:hideMark/>
          </w:tcPr>
          <w:p w14:paraId="002D304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60A2BB9C"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5E042E02" w14:textId="77777777" w:rsidR="008878A0" w:rsidRPr="00517264" w:rsidRDefault="008878A0" w:rsidP="00517264">
            <w:pPr>
              <w:spacing w:after="0"/>
              <w:jc w:val="right"/>
              <w:rPr>
                <w:rFonts w:eastAsia="ArialNarrow"/>
                <w:szCs w:val="18"/>
              </w:rPr>
            </w:pPr>
            <w:r w:rsidRPr="00517264">
              <w:rPr>
                <w:rFonts w:ascii="Calibri" w:eastAsia="ArialNarrow" w:hAnsi="Calibri" w:cs="Calibri"/>
                <w:szCs w:val="18"/>
              </w:rPr>
              <w:t> </w:t>
            </w:r>
          </w:p>
        </w:tc>
      </w:tr>
      <w:tr w:rsidR="008878A0" w:rsidRPr="00517264" w14:paraId="5693BD57"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hideMark/>
          </w:tcPr>
          <w:p w14:paraId="1C249457" w14:textId="77777777" w:rsidR="008878A0" w:rsidRPr="00517264" w:rsidRDefault="008878A0" w:rsidP="00517264">
            <w:pPr>
              <w:spacing w:after="0"/>
              <w:jc w:val="left"/>
              <w:rPr>
                <w:rFonts w:eastAsia="ArialNarrow"/>
                <w:color w:val="auto"/>
                <w:szCs w:val="18"/>
              </w:rPr>
            </w:pPr>
            <w:r w:rsidRPr="00517264">
              <w:rPr>
                <w:rFonts w:eastAsia="ArialNarrow"/>
                <w:szCs w:val="18"/>
              </w:rPr>
              <w:t>Kulturno turističko informativni centar Stari Grad</w:t>
            </w:r>
          </w:p>
        </w:tc>
        <w:tc>
          <w:tcPr>
            <w:tcW w:w="1647" w:type="pct"/>
            <w:gridSpan w:val="2"/>
            <w:hideMark/>
          </w:tcPr>
          <w:p w14:paraId="425B9A55" w14:textId="77777777" w:rsidR="008878A0" w:rsidRPr="00517264" w:rsidRDefault="008878A0" w:rsidP="00517264">
            <w:pPr>
              <w:spacing w:after="0"/>
              <w:jc w:val="right"/>
              <w:rPr>
                <w:rFonts w:eastAsia="ArialNarrow"/>
                <w:szCs w:val="18"/>
              </w:rPr>
            </w:pPr>
            <w:r w:rsidRPr="00517264">
              <w:rPr>
                <w:rFonts w:eastAsia="ArialNarrow"/>
                <w:szCs w:val="18"/>
              </w:rPr>
              <w:t>Konjščina, (Konjščina, Donja Konjščina)</w:t>
            </w:r>
          </w:p>
        </w:tc>
        <w:tc>
          <w:tcPr>
            <w:tcW w:w="1155" w:type="pct"/>
            <w:gridSpan w:val="3"/>
            <w:hideMark/>
          </w:tcPr>
          <w:p w14:paraId="4F3C88B8" w14:textId="77777777" w:rsidR="008878A0" w:rsidRPr="00517264" w:rsidRDefault="008878A0" w:rsidP="00517264">
            <w:pPr>
              <w:spacing w:after="0"/>
              <w:jc w:val="right"/>
              <w:rPr>
                <w:rFonts w:eastAsia="ArialNarrow"/>
                <w:szCs w:val="18"/>
              </w:rPr>
            </w:pPr>
            <w:r w:rsidRPr="00517264">
              <w:rPr>
                <w:rFonts w:eastAsia="ArialNarrow"/>
                <w:szCs w:val="18"/>
              </w:rPr>
              <w:t>1,57</w:t>
            </w:r>
          </w:p>
        </w:tc>
        <w:tc>
          <w:tcPr>
            <w:tcW w:w="854" w:type="pct"/>
            <w:gridSpan w:val="2"/>
            <w:tcBorders>
              <w:right w:val="single" w:sz="8" w:space="0" w:color="D2232A"/>
            </w:tcBorders>
            <w:hideMark/>
          </w:tcPr>
          <w:p w14:paraId="6055CC84" w14:textId="77777777" w:rsidR="008878A0" w:rsidRPr="00517264" w:rsidRDefault="008878A0" w:rsidP="00517264">
            <w:pPr>
              <w:spacing w:after="0"/>
              <w:jc w:val="right"/>
              <w:rPr>
                <w:rFonts w:eastAsia="ArialNarrow"/>
                <w:szCs w:val="18"/>
              </w:rPr>
            </w:pPr>
            <w:r w:rsidRPr="00517264">
              <w:rPr>
                <w:rFonts w:eastAsia="ArialNarrow"/>
                <w:szCs w:val="18"/>
              </w:rPr>
              <w:t>T1,T4</w:t>
            </w:r>
          </w:p>
        </w:tc>
      </w:tr>
      <w:tr w:rsidR="008878A0" w:rsidRPr="00517264" w14:paraId="4A5E9664"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shd w:val="clear" w:color="auto" w:fill="D2232A" w:themeFill="accent1"/>
            <w:hideMark/>
          </w:tcPr>
          <w:p w14:paraId="7CD3A731"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GORNJA STUBICA</w:t>
            </w:r>
          </w:p>
        </w:tc>
        <w:tc>
          <w:tcPr>
            <w:tcW w:w="1647" w:type="pct"/>
            <w:gridSpan w:val="2"/>
            <w:shd w:val="clear" w:color="auto" w:fill="D2232A" w:themeFill="accent1"/>
            <w:hideMark/>
          </w:tcPr>
          <w:p w14:paraId="5EC1F4EA"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51DDA76C"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3F6CC216"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49C76AFC"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hideMark/>
          </w:tcPr>
          <w:p w14:paraId="29BC5059" w14:textId="77777777" w:rsidR="008878A0" w:rsidRPr="00517264" w:rsidRDefault="008878A0" w:rsidP="00517264">
            <w:pPr>
              <w:spacing w:after="0"/>
              <w:jc w:val="left"/>
              <w:rPr>
                <w:rFonts w:eastAsia="ArialNarrow"/>
                <w:color w:val="auto"/>
                <w:szCs w:val="18"/>
              </w:rPr>
            </w:pPr>
            <w:r w:rsidRPr="00517264">
              <w:rPr>
                <w:rFonts w:eastAsia="ArialNarrow"/>
                <w:szCs w:val="18"/>
              </w:rPr>
              <w:t>Prostori za logorovanje i izviđački kampovi - Hum Stubički -Sjever</w:t>
            </w:r>
          </w:p>
        </w:tc>
        <w:tc>
          <w:tcPr>
            <w:tcW w:w="1647" w:type="pct"/>
            <w:gridSpan w:val="2"/>
            <w:hideMark/>
          </w:tcPr>
          <w:p w14:paraId="38632DE4" w14:textId="77777777" w:rsidR="008878A0" w:rsidRPr="00517264" w:rsidRDefault="008878A0" w:rsidP="00517264">
            <w:pPr>
              <w:spacing w:after="0"/>
              <w:jc w:val="right"/>
              <w:rPr>
                <w:rFonts w:eastAsia="ArialNarrow"/>
                <w:szCs w:val="18"/>
              </w:rPr>
            </w:pPr>
            <w:r w:rsidRPr="00517264">
              <w:rPr>
                <w:rFonts w:eastAsia="ArialNarrow"/>
                <w:szCs w:val="18"/>
              </w:rPr>
              <w:t>Gornja Stubica, (Hum Stubički)</w:t>
            </w:r>
          </w:p>
        </w:tc>
        <w:tc>
          <w:tcPr>
            <w:tcW w:w="1155" w:type="pct"/>
            <w:gridSpan w:val="3"/>
            <w:hideMark/>
          </w:tcPr>
          <w:p w14:paraId="4FE44936" w14:textId="77777777" w:rsidR="008878A0" w:rsidRPr="00517264" w:rsidRDefault="008878A0" w:rsidP="00517264">
            <w:pPr>
              <w:spacing w:after="0"/>
              <w:jc w:val="right"/>
              <w:rPr>
                <w:rFonts w:eastAsia="ArialNarrow"/>
                <w:szCs w:val="18"/>
              </w:rPr>
            </w:pPr>
            <w:r w:rsidRPr="00517264">
              <w:rPr>
                <w:rFonts w:eastAsia="ArialNarrow"/>
                <w:szCs w:val="18"/>
              </w:rPr>
              <w:t>0,47</w:t>
            </w:r>
          </w:p>
        </w:tc>
        <w:tc>
          <w:tcPr>
            <w:tcW w:w="854" w:type="pct"/>
            <w:gridSpan w:val="2"/>
            <w:tcBorders>
              <w:right w:val="single" w:sz="8" w:space="0" w:color="D2232A"/>
            </w:tcBorders>
            <w:hideMark/>
          </w:tcPr>
          <w:p w14:paraId="03D97E1A"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10CEB1BA"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val="restart"/>
            <w:tcBorders>
              <w:left w:val="single" w:sz="8" w:space="0" w:color="D2232A"/>
            </w:tcBorders>
            <w:hideMark/>
          </w:tcPr>
          <w:p w14:paraId="02602097" w14:textId="77777777" w:rsidR="008878A0" w:rsidRPr="00517264" w:rsidRDefault="008878A0" w:rsidP="00517264">
            <w:pPr>
              <w:spacing w:after="0"/>
              <w:jc w:val="left"/>
              <w:rPr>
                <w:rFonts w:eastAsia="ArialNarrow"/>
                <w:szCs w:val="18"/>
              </w:rPr>
            </w:pPr>
            <w:r w:rsidRPr="00517264">
              <w:rPr>
                <w:rFonts w:eastAsia="ArialNarrow"/>
                <w:szCs w:val="18"/>
              </w:rPr>
              <w:t>Ugostiteljsko turistički predjel Horvatov brijeg</w:t>
            </w:r>
          </w:p>
        </w:tc>
        <w:tc>
          <w:tcPr>
            <w:tcW w:w="1647" w:type="pct"/>
            <w:gridSpan w:val="2"/>
            <w:vMerge w:val="restart"/>
            <w:hideMark/>
          </w:tcPr>
          <w:p w14:paraId="3CCEE891" w14:textId="77777777" w:rsidR="008878A0" w:rsidRPr="00517264" w:rsidRDefault="008878A0" w:rsidP="00517264">
            <w:pPr>
              <w:spacing w:after="0"/>
              <w:jc w:val="right"/>
              <w:rPr>
                <w:rFonts w:eastAsia="ArialNarrow"/>
                <w:szCs w:val="18"/>
              </w:rPr>
            </w:pPr>
            <w:r w:rsidRPr="00517264">
              <w:rPr>
                <w:rFonts w:eastAsia="ArialNarrow"/>
                <w:szCs w:val="18"/>
              </w:rPr>
              <w:t>Gornja Stubica, (Hum Stubički)</w:t>
            </w:r>
          </w:p>
        </w:tc>
        <w:tc>
          <w:tcPr>
            <w:tcW w:w="1155" w:type="pct"/>
            <w:gridSpan w:val="3"/>
            <w:tcBorders>
              <w:bottom w:val="nil"/>
            </w:tcBorders>
            <w:hideMark/>
          </w:tcPr>
          <w:p w14:paraId="68BCE6DB" w14:textId="77777777" w:rsidR="008878A0" w:rsidRPr="00517264" w:rsidRDefault="008878A0" w:rsidP="00517264">
            <w:pPr>
              <w:spacing w:after="0"/>
              <w:jc w:val="right"/>
              <w:rPr>
                <w:rFonts w:eastAsia="ArialNarrow"/>
                <w:szCs w:val="18"/>
              </w:rPr>
            </w:pPr>
            <w:r w:rsidRPr="00517264">
              <w:rPr>
                <w:rFonts w:eastAsia="ArialNarrow"/>
                <w:szCs w:val="18"/>
              </w:rPr>
              <w:t>6,2</w:t>
            </w:r>
          </w:p>
        </w:tc>
        <w:tc>
          <w:tcPr>
            <w:tcW w:w="854" w:type="pct"/>
            <w:gridSpan w:val="2"/>
            <w:vMerge w:val="restart"/>
            <w:tcBorders>
              <w:right w:val="single" w:sz="8" w:space="0" w:color="D2232A"/>
            </w:tcBorders>
            <w:hideMark/>
          </w:tcPr>
          <w:p w14:paraId="31F14AC8"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2FD0A70B"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tcBorders>
              <w:left w:val="single" w:sz="8" w:space="0" w:color="D2232A"/>
            </w:tcBorders>
            <w:vAlign w:val="center"/>
            <w:hideMark/>
          </w:tcPr>
          <w:p w14:paraId="6484E297" w14:textId="77777777" w:rsidR="008878A0" w:rsidRPr="00517264" w:rsidRDefault="008878A0" w:rsidP="00517264">
            <w:pPr>
              <w:spacing w:after="0"/>
              <w:jc w:val="left"/>
              <w:rPr>
                <w:rFonts w:eastAsia="ArialNarrow"/>
                <w:szCs w:val="18"/>
              </w:rPr>
            </w:pPr>
          </w:p>
        </w:tc>
        <w:tc>
          <w:tcPr>
            <w:tcW w:w="1647" w:type="pct"/>
            <w:gridSpan w:val="2"/>
            <w:vMerge/>
            <w:vAlign w:val="center"/>
            <w:hideMark/>
          </w:tcPr>
          <w:p w14:paraId="58F5B9A2" w14:textId="77777777" w:rsidR="008878A0" w:rsidRPr="00517264" w:rsidRDefault="008878A0" w:rsidP="00517264">
            <w:pPr>
              <w:spacing w:after="0"/>
              <w:jc w:val="right"/>
              <w:rPr>
                <w:rFonts w:eastAsia="ArialNarrow"/>
                <w:szCs w:val="18"/>
              </w:rPr>
            </w:pPr>
          </w:p>
        </w:tc>
        <w:tc>
          <w:tcPr>
            <w:tcW w:w="1155" w:type="pct"/>
            <w:gridSpan w:val="3"/>
            <w:tcBorders>
              <w:top w:val="nil"/>
            </w:tcBorders>
            <w:hideMark/>
          </w:tcPr>
          <w:p w14:paraId="65DF6294" w14:textId="77777777" w:rsidR="008878A0" w:rsidRPr="00517264" w:rsidRDefault="008878A0" w:rsidP="00517264">
            <w:pPr>
              <w:spacing w:after="0"/>
              <w:jc w:val="right"/>
              <w:rPr>
                <w:rFonts w:eastAsia="ArialNarrow"/>
                <w:szCs w:val="18"/>
              </w:rPr>
            </w:pPr>
            <w:r w:rsidRPr="00517264">
              <w:rPr>
                <w:rFonts w:eastAsia="ArialNarrow"/>
                <w:szCs w:val="18"/>
              </w:rPr>
              <w:t>Izgrađeno: 0,19</w:t>
            </w:r>
          </w:p>
        </w:tc>
        <w:tc>
          <w:tcPr>
            <w:tcW w:w="854" w:type="pct"/>
            <w:gridSpan w:val="2"/>
            <w:vMerge/>
            <w:tcBorders>
              <w:right w:val="single" w:sz="8" w:space="0" w:color="D2232A"/>
            </w:tcBorders>
            <w:vAlign w:val="center"/>
            <w:hideMark/>
          </w:tcPr>
          <w:p w14:paraId="45D5A2BB" w14:textId="77777777" w:rsidR="008878A0" w:rsidRPr="00517264" w:rsidRDefault="008878A0" w:rsidP="00517264">
            <w:pPr>
              <w:spacing w:after="0"/>
              <w:jc w:val="right"/>
              <w:rPr>
                <w:rFonts w:eastAsia="ArialNarrow"/>
                <w:szCs w:val="18"/>
              </w:rPr>
            </w:pPr>
          </w:p>
        </w:tc>
      </w:tr>
      <w:tr w:rsidR="008878A0" w:rsidRPr="00517264" w14:paraId="2F026C97"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val="restart"/>
            <w:tcBorders>
              <w:left w:val="single" w:sz="8" w:space="0" w:color="D2232A"/>
            </w:tcBorders>
            <w:hideMark/>
          </w:tcPr>
          <w:p w14:paraId="72A512EE" w14:textId="77777777" w:rsidR="008878A0" w:rsidRPr="00517264" w:rsidRDefault="008878A0" w:rsidP="00517264">
            <w:pPr>
              <w:spacing w:after="0"/>
              <w:jc w:val="left"/>
              <w:rPr>
                <w:rFonts w:eastAsia="ArialNarrow"/>
                <w:szCs w:val="18"/>
              </w:rPr>
            </w:pPr>
            <w:r w:rsidRPr="00517264">
              <w:rPr>
                <w:rFonts w:eastAsia="ArialNarrow"/>
                <w:szCs w:val="18"/>
              </w:rPr>
              <w:t>Ugostiteljsko-turistički predio Šagudovec</w:t>
            </w:r>
          </w:p>
        </w:tc>
        <w:tc>
          <w:tcPr>
            <w:tcW w:w="1647" w:type="pct"/>
            <w:gridSpan w:val="2"/>
            <w:vMerge w:val="restart"/>
            <w:hideMark/>
          </w:tcPr>
          <w:p w14:paraId="41D42EAB" w14:textId="77777777" w:rsidR="008878A0" w:rsidRPr="00517264" w:rsidRDefault="008878A0" w:rsidP="00517264">
            <w:pPr>
              <w:spacing w:after="0"/>
              <w:jc w:val="right"/>
              <w:rPr>
                <w:rFonts w:eastAsia="ArialNarrow"/>
                <w:szCs w:val="18"/>
              </w:rPr>
            </w:pPr>
            <w:r w:rsidRPr="00517264">
              <w:rPr>
                <w:rFonts w:eastAsia="ArialNarrow"/>
                <w:szCs w:val="18"/>
              </w:rPr>
              <w:t>Gornja Stubica, (Šagudovec)</w:t>
            </w:r>
          </w:p>
        </w:tc>
        <w:tc>
          <w:tcPr>
            <w:tcW w:w="1155" w:type="pct"/>
            <w:gridSpan w:val="3"/>
            <w:tcBorders>
              <w:bottom w:val="nil"/>
            </w:tcBorders>
            <w:hideMark/>
          </w:tcPr>
          <w:p w14:paraId="040F39DB" w14:textId="77777777" w:rsidR="008878A0" w:rsidRPr="00517264" w:rsidRDefault="008878A0" w:rsidP="00517264">
            <w:pPr>
              <w:spacing w:after="0"/>
              <w:jc w:val="right"/>
              <w:rPr>
                <w:rFonts w:eastAsia="ArialNarrow"/>
                <w:szCs w:val="18"/>
              </w:rPr>
            </w:pPr>
            <w:r w:rsidRPr="00517264">
              <w:rPr>
                <w:rFonts w:eastAsia="ArialNarrow"/>
                <w:szCs w:val="18"/>
              </w:rPr>
              <w:t>3,95</w:t>
            </w:r>
          </w:p>
        </w:tc>
        <w:tc>
          <w:tcPr>
            <w:tcW w:w="854" w:type="pct"/>
            <w:gridSpan w:val="2"/>
            <w:vMerge w:val="restart"/>
            <w:tcBorders>
              <w:right w:val="single" w:sz="8" w:space="0" w:color="D2232A"/>
            </w:tcBorders>
            <w:hideMark/>
          </w:tcPr>
          <w:p w14:paraId="572B30F8"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7411476F"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tcBorders>
              <w:left w:val="single" w:sz="8" w:space="0" w:color="D2232A"/>
            </w:tcBorders>
            <w:vAlign w:val="center"/>
            <w:hideMark/>
          </w:tcPr>
          <w:p w14:paraId="0B0CB62C" w14:textId="77777777" w:rsidR="008878A0" w:rsidRPr="00517264" w:rsidRDefault="008878A0" w:rsidP="00517264">
            <w:pPr>
              <w:spacing w:after="0"/>
              <w:jc w:val="left"/>
              <w:rPr>
                <w:rFonts w:eastAsia="ArialNarrow"/>
                <w:szCs w:val="18"/>
              </w:rPr>
            </w:pPr>
          </w:p>
        </w:tc>
        <w:tc>
          <w:tcPr>
            <w:tcW w:w="1647" w:type="pct"/>
            <w:gridSpan w:val="2"/>
            <w:vMerge/>
            <w:vAlign w:val="center"/>
            <w:hideMark/>
          </w:tcPr>
          <w:p w14:paraId="01B57D3F" w14:textId="77777777" w:rsidR="008878A0" w:rsidRPr="00517264" w:rsidRDefault="008878A0" w:rsidP="00517264">
            <w:pPr>
              <w:spacing w:after="0"/>
              <w:jc w:val="right"/>
              <w:rPr>
                <w:rFonts w:eastAsia="ArialNarrow"/>
                <w:szCs w:val="18"/>
              </w:rPr>
            </w:pPr>
          </w:p>
        </w:tc>
        <w:tc>
          <w:tcPr>
            <w:tcW w:w="1155" w:type="pct"/>
            <w:gridSpan w:val="3"/>
            <w:tcBorders>
              <w:top w:val="nil"/>
            </w:tcBorders>
            <w:hideMark/>
          </w:tcPr>
          <w:p w14:paraId="2A928366" w14:textId="77777777" w:rsidR="008878A0" w:rsidRPr="00517264" w:rsidRDefault="008878A0" w:rsidP="00517264">
            <w:pPr>
              <w:spacing w:after="0"/>
              <w:jc w:val="right"/>
              <w:rPr>
                <w:rFonts w:eastAsia="ArialNarrow"/>
                <w:szCs w:val="18"/>
              </w:rPr>
            </w:pPr>
            <w:r w:rsidRPr="00517264">
              <w:rPr>
                <w:rFonts w:eastAsia="ArialNarrow"/>
                <w:szCs w:val="18"/>
              </w:rPr>
              <w:t>Izgrađeno: 0,9</w:t>
            </w:r>
          </w:p>
        </w:tc>
        <w:tc>
          <w:tcPr>
            <w:tcW w:w="854" w:type="pct"/>
            <w:gridSpan w:val="2"/>
            <w:vMerge/>
            <w:tcBorders>
              <w:right w:val="single" w:sz="8" w:space="0" w:color="D2232A"/>
            </w:tcBorders>
            <w:vAlign w:val="center"/>
            <w:hideMark/>
          </w:tcPr>
          <w:p w14:paraId="51C7ABA9" w14:textId="77777777" w:rsidR="008878A0" w:rsidRPr="00517264" w:rsidRDefault="008878A0" w:rsidP="00517264">
            <w:pPr>
              <w:spacing w:after="0"/>
              <w:jc w:val="right"/>
              <w:rPr>
                <w:rFonts w:eastAsia="ArialNarrow"/>
                <w:szCs w:val="18"/>
              </w:rPr>
            </w:pPr>
          </w:p>
        </w:tc>
      </w:tr>
      <w:tr w:rsidR="008878A0" w:rsidRPr="00517264" w14:paraId="7F2B7F04"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hideMark/>
          </w:tcPr>
          <w:p w14:paraId="55EE73BF" w14:textId="77777777" w:rsidR="008878A0" w:rsidRPr="00517264" w:rsidRDefault="008878A0" w:rsidP="00517264">
            <w:pPr>
              <w:spacing w:after="0"/>
              <w:jc w:val="left"/>
              <w:rPr>
                <w:rFonts w:eastAsia="ArialNarrow"/>
                <w:szCs w:val="18"/>
              </w:rPr>
            </w:pPr>
            <w:r w:rsidRPr="00517264">
              <w:rPr>
                <w:rFonts w:eastAsia="ArialNarrow"/>
                <w:szCs w:val="18"/>
              </w:rPr>
              <w:t>Športsko-rekreacijski centar Gornja Stubica</w:t>
            </w:r>
          </w:p>
        </w:tc>
        <w:tc>
          <w:tcPr>
            <w:tcW w:w="1647" w:type="pct"/>
            <w:gridSpan w:val="2"/>
            <w:hideMark/>
          </w:tcPr>
          <w:p w14:paraId="37DB3B22" w14:textId="77777777" w:rsidR="008878A0" w:rsidRPr="00517264" w:rsidRDefault="008878A0" w:rsidP="00517264">
            <w:pPr>
              <w:spacing w:after="0"/>
              <w:jc w:val="right"/>
              <w:rPr>
                <w:rFonts w:eastAsia="ArialNarrow"/>
                <w:szCs w:val="18"/>
              </w:rPr>
            </w:pPr>
            <w:r w:rsidRPr="00517264">
              <w:rPr>
                <w:rFonts w:eastAsia="ArialNarrow"/>
                <w:szCs w:val="18"/>
              </w:rPr>
              <w:t>Gornja Stubica, naselje Gornja Stubica</w:t>
            </w:r>
          </w:p>
        </w:tc>
        <w:tc>
          <w:tcPr>
            <w:tcW w:w="1155" w:type="pct"/>
            <w:gridSpan w:val="3"/>
            <w:hideMark/>
          </w:tcPr>
          <w:p w14:paraId="70784B89" w14:textId="77777777" w:rsidR="008878A0" w:rsidRPr="00517264" w:rsidRDefault="008878A0" w:rsidP="00517264">
            <w:pPr>
              <w:spacing w:after="0"/>
              <w:jc w:val="right"/>
              <w:rPr>
                <w:rFonts w:eastAsia="ArialNarrow"/>
                <w:szCs w:val="18"/>
              </w:rPr>
            </w:pPr>
            <w:r w:rsidRPr="00517264">
              <w:rPr>
                <w:rFonts w:eastAsia="ArialNarrow"/>
                <w:szCs w:val="18"/>
              </w:rPr>
              <w:t>NP</w:t>
            </w:r>
          </w:p>
        </w:tc>
        <w:tc>
          <w:tcPr>
            <w:tcW w:w="854" w:type="pct"/>
            <w:gridSpan w:val="2"/>
            <w:tcBorders>
              <w:right w:val="single" w:sz="8" w:space="0" w:color="D2232A"/>
            </w:tcBorders>
            <w:hideMark/>
          </w:tcPr>
          <w:p w14:paraId="51F6ABD9" w14:textId="77777777" w:rsidR="008878A0" w:rsidRPr="00517264" w:rsidRDefault="008878A0" w:rsidP="00517264">
            <w:pPr>
              <w:spacing w:after="0"/>
              <w:jc w:val="right"/>
              <w:rPr>
                <w:rFonts w:eastAsia="ArialNarrow"/>
                <w:szCs w:val="18"/>
              </w:rPr>
            </w:pPr>
            <w:r w:rsidRPr="00517264">
              <w:rPr>
                <w:rFonts w:eastAsia="ArialNarrow"/>
                <w:szCs w:val="18"/>
              </w:rPr>
              <w:t>R</w:t>
            </w:r>
          </w:p>
        </w:tc>
      </w:tr>
      <w:tr w:rsidR="008878A0" w:rsidRPr="00517264" w14:paraId="3702518E"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shd w:val="clear" w:color="auto" w:fill="D2232A" w:themeFill="accent1"/>
            <w:hideMark/>
          </w:tcPr>
          <w:p w14:paraId="42B4BED4"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KLANJEC</w:t>
            </w:r>
          </w:p>
        </w:tc>
        <w:tc>
          <w:tcPr>
            <w:tcW w:w="1647" w:type="pct"/>
            <w:gridSpan w:val="2"/>
            <w:shd w:val="clear" w:color="auto" w:fill="D2232A" w:themeFill="accent1"/>
            <w:hideMark/>
          </w:tcPr>
          <w:p w14:paraId="2B09A6F4"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2C56B39C"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153540C4"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7E0D3046"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val="restart"/>
            <w:tcBorders>
              <w:left w:val="single" w:sz="8" w:space="0" w:color="D2232A"/>
            </w:tcBorders>
            <w:hideMark/>
          </w:tcPr>
          <w:p w14:paraId="6EFF90D2" w14:textId="77777777" w:rsidR="008878A0" w:rsidRPr="00517264" w:rsidRDefault="008878A0" w:rsidP="00517264">
            <w:pPr>
              <w:spacing w:after="0"/>
              <w:jc w:val="left"/>
              <w:rPr>
                <w:rFonts w:eastAsia="ArialNarrow"/>
                <w:color w:val="auto"/>
                <w:szCs w:val="18"/>
              </w:rPr>
            </w:pPr>
            <w:r w:rsidRPr="00517264">
              <w:rPr>
                <w:rFonts w:eastAsia="ArialNarrow"/>
                <w:szCs w:val="18"/>
              </w:rPr>
              <w:t>Tomaševec</w:t>
            </w:r>
          </w:p>
        </w:tc>
        <w:tc>
          <w:tcPr>
            <w:tcW w:w="1647" w:type="pct"/>
            <w:gridSpan w:val="2"/>
            <w:vMerge w:val="restart"/>
            <w:hideMark/>
          </w:tcPr>
          <w:p w14:paraId="5D63B921" w14:textId="77777777" w:rsidR="008878A0" w:rsidRPr="00517264" w:rsidRDefault="008878A0" w:rsidP="00517264">
            <w:pPr>
              <w:spacing w:after="0"/>
              <w:jc w:val="right"/>
              <w:rPr>
                <w:rFonts w:eastAsia="ArialNarrow"/>
                <w:szCs w:val="18"/>
              </w:rPr>
            </w:pPr>
            <w:r w:rsidRPr="00517264">
              <w:rPr>
                <w:rFonts w:eastAsia="ArialNarrow"/>
                <w:szCs w:val="18"/>
              </w:rPr>
              <w:t>Klanjec, (Tomaševec)</w:t>
            </w:r>
          </w:p>
        </w:tc>
        <w:tc>
          <w:tcPr>
            <w:tcW w:w="1155" w:type="pct"/>
            <w:gridSpan w:val="3"/>
            <w:tcBorders>
              <w:bottom w:val="nil"/>
            </w:tcBorders>
            <w:hideMark/>
          </w:tcPr>
          <w:p w14:paraId="55C2161B" w14:textId="77777777" w:rsidR="008878A0" w:rsidRPr="00517264" w:rsidRDefault="008878A0" w:rsidP="00517264">
            <w:pPr>
              <w:spacing w:after="0"/>
              <w:jc w:val="right"/>
              <w:rPr>
                <w:rFonts w:eastAsia="ArialNarrow"/>
                <w:szCs w:val="18"/>
              </w:rPr>
            </w:pPr>
            <w:r w:rsidRPr="00517264">
              <w:rPr>
                <w:rFonts w:eastAsia="ArialNarrow"/>
                <w:szCs w:val="18"/>
              </w:rPr>
              <w:t>2,91</w:t>
            </w:r>
          </w:p>
        </w:tc>
        <w:tc>
          <w:tcPr>
            <w:tcW w:w="854" w:type="pct"/>
            <w:gridSpan w:val="2"/>
            <w:vMerge w:val="restart"/>
            <w:tcBorders>
              <w:right w:val="single" w:sz="8" w:space="0" w:color="D2232A"/>
            </w:tcBorders>
            <w:hideMark/>
          </w:tcPr>
          <w:p w14:paraId="11D6F1F6"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648540C6"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tcBorders>
              <w:left w:val="single" w:sz="8" w:space="0" w:color="D2232A"/>
            </w:tcBorders>
            <w:vAlign w:val="center"/>
            <w:hideMark/>
          </w:tcPr>
          <w:p w14:paraId="5B01D953" w14:textId="77777777" w:rsidR="008878A0" w:rsidRPr="00517264" w:rsidRDefault="008878A0" w:rsidP="00517264">
            <w:pPr>
              <w:spacing w:after="0"/>
              <w:jc w:val="left"/>
              <w:rPr>
                <w:rFonts w:eastAsia="ArialNarrow"/>
                <w:szCs w:val="18"/>
              </w:rPr>
            </w:pPr>
          </w:p>
        </w:tc>
        <w:tc>
          <w:tcPr>
            <w:tcW w:w="1647" w:type="pct"/>
            <w:gridSpan w:val="2"/>
            <w:vMerge/>
            <w:vAlign w:val="center"/>
            <w:hideMark/>
          </w:tcPr>
          <w:p w14:paraId="70FB3491" w14:textId="77777777" w:rsidR="008878A0" w:rsidRPr="00517264" w:rsidRDefault="008878A0" w:rsidP="00517264">
            <w:pPr>
              <w:spacing w:after="0"/>
              <w:jc w:val="right"/>
              <w:rPr>
                <w:rFonts w:eastAsia="ArialNarrow"/>
                <w:szCs w:val="18"/>
              </w:rPr>
            </w:pPr>
          </w:p>
        </w:tc>
        <w:tc>
          <w:tcPr>
            <w:tcW w:w="1155" w:type="pct"/>
            <w:gridSpan w:val="3"/>
            <w:tcBorders>
              <w:top w:val="nil"/>
            </w:tcBorders>
            <w:hideMark/>
          </w:tcPr>
          <w:p w14:paraId="701CA2B2" w14:textId="77777777" w:rsidR="008878A0" w:rsidRPr="00517264" w:rsidRDefault="008878A0" w:rsidP="00517264">
            <w:pPr>
              <w:spacing w:after="0"/>
              <w:jc w:val="right"/>
              <w:rPr>
                <w:rFonts w:eastAsia="ArialNarrow"/>
                <w:szCs w:val="18"/>
              </w:rPr>
            </w:pPr>
            <w:r w:rsidRPr="00517264">
              <w:rPr>
                <w:rFonts w:eastAsia="ArialNarrow"/>
                <w:szCs w:val="18"/>
              </w:rPr>
              <w:t>Izgrađeno: 0,23</w:t>
            </w:r>
          </w:p>
        </w:tc>
        <w:tc>
          <w:tcPr>
            <w:tcW w:w="854" w:type="pct"/>
            <w:gridSpan w:val="2"/>
            <w:vMerge/>
            <w:tcBorders>
              <w:right w:val="single" w:sz="8" w:space="0" w:color="D2232A"/>
            </w:tcBorders>
            <w:vAlign w:val="center"/>
            <w:hideMark/>
          </w:tcPr>
          <w:p w14:paraId="159A88F8" w14:textId="77777777" w:rsidR="008878A0" w:rsidRPr="00517264" w:rsidRDefault="008878A0" w:rsidP="00517264">
            <w:pPr>
              <w:spacing w:after="0"/>
              <w:jc w:val="right"/>
              <w:rPr>
                <w:rFonts w:eastAsia="ArialNarrow"/>
                <w:szCs w:val="18"/>
              </w:rPr>
            </w:pPr>
          </w:p>
        </w:tc>
      </w:tr>
      <w:tr w:rsidR="008878A0" w:rsidRPr="00517264" w14:paraId="0D7FDB29"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hideMark/>
          </w:tcPr>
          <w:p w14:paraId="6712CBFC" w14:textId="77777777" w:rsidR="008878A0" w:rsidRPr="00517264" w:rsidRDefault="008878A0" w:rsidP="00517264">
            <w:pPr>
              <w:spacing w:after="0"/>
              <w:jc w:val="left"/>
              <w:rPr>
                <w:rFonts w:eastAsia="ArialNarrow"/>
                <w:szCs w:val="18"/>
              </w:rPr>
            </w:pPr>
            <w:r w:rsidRPr="00517264">
              <w:rPr>
                <w:rFonts w:eastAsia="ArialNarrow"/>
                <w:szCs w:val="18"/>
              </w:rPr>
              <w:t>Letovčan - Sjever</w:t>
            </w:r>
          </w:p>
        </w:tc>
        <w:tc>
          <w:tcPr>
            <w:tcW w:w="1647" w:type="pct"/>
            <w:gridSpan w:val="2"/>
            <w:hideMark/>
          </w:tcPr>
          <w:p w14:paraId="57287D81" w14:textId="77777777" w:rsidR="008878A0" w:rsidRPr="00517264" w:rsidRDefault="008878A0" w:rsidP="00517264">
            <w:pPr>
              <w:spacing w:after="0"/>
              <w:jc w:val="right"/>
              <w:rPr>
                <w:rFonts w:eastAsia="ArialNarrow"/>
                <w:szCs w:val="18"/>
              </w:rPr>
            </w:pPr>
            <w:r w:rsidRPr="00517264">
              <w:rPr>
                <w:rFonts w:eastAsia="ArialNarrow"/>
                <w:szCs w:val="18"/>
              </w:rPr>
              <w:t>Klanjec, (Letovčan Novodvorski)</w:t>
            </w:r>
          </w:p>
        </w:tc>
        <w:tc>
          <w:tcPr>
            <w:tcW w:w="1155" w:type="pct"/>
            <w:gridSpan w:val="3"/>
            <w:hideMark/>
          </w:tcPr>
          <w:p w14:paraId="47639A79" w14:textId="77777777" w:rsidR="008878A0" w:rsidRPr="00517264" w:rsidRDefault="008878A0" w:rsidP="00517264">
            <w:pPr>
              <w:spacing w:after="0"/>
              <w:jc w:val="right"/>
              <w:rPr>
                <w:rFonts w:eastAsia="ArialNarrow"/>
                <w:szCs w:val="18"/>
              </w:rPr>
            </w:pPr>
            <w:r w:rsidRPr="00517264">
              <w:rPr>
                <w:rFonts w:eastAsia="ArialNarrow"/>
                <w:szCs w:val="18"/>
              </w:rPr>
              <w:t>2,23</w:t>
            </w:r>
          </w:p>
        </w:tc>
        <w:tc>
          <w:tcPr>
            <w:tcW w:w="854" w:type="pct"/>
            <w:gridSpan w:val="2"/>
            <w:tcBorders>
              <w:right w:val="single" w:sz="8" w:space="0" w:color="D2232A"/>
            </w:tcBorders>
            <w:hideMark/>
          </w:tcPr>
          <w:p w14:paraId="532A0147"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78302953"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hideMark/>
          </w:tcPr>
          <w:p w14:paraId="7D07699D" w14:textId="77777777" w:rsidR="008878A0" w:rsidRPr="00517264" w:rsidRDefault="008878A0" w:rsidP="00517264">
            <w:pPr>
              <w:spacing w:after="0"/>
              <w:jc w:val="left"/>
              <w:rPr>
                <w:rFonts w:eastAsia="ArialNarrow"/>
                <w:szCs w:val="18"/>
              </w:rPr>
            </w:pPr>
            <w:r w:rsidRPr="00517264">
              <w:rPr>
                <w:rFonts w:eastAsia="ArialNarrow"/>
                <w:szCs w:val="18"/>
              </w:rPr>
              <w:t>Letovčan - Jug</w:t>
            </w:r>
          </w:p>
        </w:tc>
        <w:tc>
          <w:tcPr>
            <w:tcW w:w="1647" w:type="pct"/>
            <w:gridSpan w:val="2"/>
            <w:hideMark/>
          </w:tcPr>
          <w:p w14:paraId="206BB54E" w14:textId="77777777" w:rsidR="008878A0" w:rsidRPr="00517264" w:rsidRDefault="008878A0" w:rsidP="00517264">
            <w:pPr>
              <w:spacing w:after="0"/>
              <w:jc w:val="right"/>
              <w:rPr>
                <w:rFonts w:eastAsia="ArialNarrow"/>
                <w:szCs w:val="18"/>
              </w:rPr>
            </w:pPr>
            <w:r w:rsidRPr="00517264">
              <w:rPr>
                <w:rFonts w:eastAsia="ArialNarrow"/>
                <w:szCs w:val="18"/>
              </w:rPr>
              <w:t>Klanjec, (Letovčan Novodvorski)</w:t>
            </w:r>
          </w:p>
        </w:tc>
        <w:tc>
          <w:tcPr>
            <w:tcW w:w="1155" w:type="pct"/>
            <w:gridSpan w:val="3"/>
            <w:hideMark/>
          </w:tcPr>
          <w:p w14:paraId="5F17422F" w14:textId="77777777" w:rsidR="008878A0" w:rsidRPr="00517264" w:rsidRDefault="008878A0" w:rsidP="00517264">
            <w:pPr>
              <w:spacing w:after="0"/>
              <w:jc w:val="right"/>
              <w:rPr>
                <w:rFonts w:eastAsia="ArialNarrow"/>
                <w:szCs w:val="18"/>
              </w:rPr>
            </w:pPr>
            <w:r w:rsidRPr="00517264">
              <w:rPr>
                <w:rFonts w:eastAsia="ArialNarrow"/>
                <w:szCs w:val="18"/>
              </w:rPr>
              <w:t>1,17</w:t>
            </w:r>
          </w:p>
        </w:tc>
        <w:tc>
          <w:tcPr>
            <w:tcW w:w="854" w:type="pct"/>
            <w:gridSpan w:val="2"/>
            <w:tcBorders>
              <w:right w:val="single" w:sz="8" w:space="0" w:color="D2232A"/>
            </w:tcBorders>
            <w:hideMark/>
          </w:tcPr>
          <w:p w14:paraId="1A52DE8B"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73332C52"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shd w:val="clear" w:color="auto" w:fill="D2232A" w:themeFill="accent1"/>
            <w:hideMark/>
          </w:tcPr>
          <w:p w14:paraId="6AAE4325"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KRALJEVEC NA SUTLI</w:t>
            </w:r>
          </w:p>
        </w:tc>
        <w:tc>
          <w:tcPr>
            <w:tcW w:w="1647" w:type="pct"/>
            <w:gridSpan w:val="2"/>
            <w:shd w:val="clear" w:color="auto" w:fill="D2232A" w:themeFill="accent1"/>
            <w:hideMark/>
          </w:tcPr>
          <w:p w14:paraId="3A52D528"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16C83CE5"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1AD4DD1C"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33BE42CA" w14:textId="77777777" w:rsidTr="00517264">
        <w:tblPrEx>
          <w:tblBorders>
            <w:left w:val="none" w:sz="0" w:space="0" w:color="auto"/>
            <w:right w:val="none" w:sz="0" w:space="0" w:color="auto"/>
          </w:tblBorders>
        </w:tblPrEx>
        <w:trPr>
          <w:gridAfter w:val="1"/>
          <w:wAfter w:w="10" w:type="pct"/>
          <w:trHeight w:val="227"/>
        </w:trPr>
        <w:tc>
          <w:tcPr>
            <w:tcW w:w="1334" w:type="pct"/>
            <w:gridSpan w:val="4"/>
            <w:tcBorders>
              <w:left w:val="single" w:sz="8" w:space="0" w:color="D2232A"/>
            </w:tcBorders>
            <w:hideMark/>
          </w:tcPr>
          <w:p w14:paraId="0D384BFD" w14:textId="77777777" w:rsidR="008878A0" w:rsidRPr="00517264" w:rsidRDefault="008878A0" w:rsidP="00517264">
            <w:pPr>
              <w:spacing w:after="0"/>
              <w:jc w:val="left"/>
              <w:rPr>
                <w:rFonts w:eastAsia="ArialNarrow"/>
                <w:color w:val="auto"/>
                <w:szCs w:val="18"/>
              </w:rPr>
            </w:pPr>
            <w:r w:rsidRPr="00517264">
              <w:rPr>
                <w:rFonts w:eastAsia="ArialNarrow"/>
                <w:szCs w:val="18"/>
              </w:rPr>
              <w:t>Kraljevec na Sutli</w:t>
            </w:r>
          </w:p>
        </w:tc>
        <w:tc>
          <w:tcPr>
            <w:tcW w:w="1647" w:type="pct"/>
            <w:gridSpan w:val="2"/>
            <w:hideMark/>
          </w:tcPr>
          <w:p w14:paraId="43C7E8AD" w14:textId="77777777" w:rsidR="008878A0" w:rsidRPr="00517264" w:rsidRDefault="008878A0" w:rsidP="00517264">
            <w:pPr>
              <w:spacing w:after="0"/>
              <w:jc w:val="right"/>
              <w:rPr>
                <w:rFonts w:eastAsia="ArialNarrow"/>
                <w:szCs w:val="18"/>
              </w:rPr>
            </w:pPr>
            <w:r w:rsidRPr="00517264">
              <w:rPr>
                <w:rFonts w:eastAsia="ArialNarrow"/>
                <w:szCs w:val="18"/>
              </w:rPr>
              <w:t>Kraljevec na Sutli, (Gornji Čemehovec)</w:t>
            </w:r>
          </w:p>
        </w:tc>
        <w:tc>
          <w:tcPr>
            <w:tcW w:w="1155" w:type="pct"/>
            <w:gridSpan w:val="3"/>
            <w:hideMark/>
          </w:tcPr>
          <w:p w14:paraId="6735FE6D" w14:textId="77777777" w:rsidR="008878A0" w:rsidRPr="00517264" w:rsidRDefault="008878A0" w:rsidP="00517264">
            <w:pPr>
              <w:spacing w:after="0"/>
              <w:jc w:val="right"/>
              <w:rPr>
                <w:rFonts w:eastAsia="ArialNarrow"/>
                <w:szCs w:val="18"/>
              </w:rPr>
            </w:pPr>
            <w:r w:rsidRPr="00517264">
              <w:rPr>
                <w:rFonts w:eastAsia="ArialNarrow"/>
                <w:szCs w:val="18"/>
              </w:rPr>
              <w:t>0,96</w:t>
            </w:r>
          </w:p>
        </w:tc>
        <w:tc>
          <w:tcPr>
            <w:tcW w:w="854" w:type="pct"/>
            <w:gridSpan w:val="2"/>
            <w:tcBorders>
              <w:right w:val="single" w:sz="8" w:space="0" w:color="D2232A"/>
            </w:tcBorders>
            <w:hideMark/>
          </w:tcPr>
          <w:p w14:paraId="1D6E83AD"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679E1D87"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val="restart"/>
            <w:tcBorders>
              <w:left w:val="single" w:sz="8" w:space="0" w:color="D2232A"/>
            </w:tcBorders>
            <w:hideMark/>
          </w:tcPr>
          <w:p w14:paraId="2515090A" w14:textId="77777777" w:rsidR="008878A0" w:rsidRPr="00517264" w:rsidRDefault="008878A0" w:rsidP="00517264">
            <w:pPr>
              <w:spacing w:after="0"/>
              <w:jc w:val="left"/>
              <w:rPr>
                <w:rFonts w:eastAsia="ArialNarrow"/>
                <w:szCs w:val="18"/>
              </w:rPr>
            </w:pPr>
            <w:r w:rsidRPr="00517264">
              <w:rPr>
                <w:rFonts w:eastAsia="ArialNarrow"/>
                <w:szCs w:val="18"/>
              </w:rPr>
              <w:t>Pušava</w:t>
            </w:r>
          </w:p>
        </w:tc>
        <w:tc>
          <w:tcPr>
            <w:tcW w:w="1647" w:type="pct"/>
            <w:gridSpan w:val="2"/>
            <w:vMerge w:val="restart"/>
            <w:hideMark/>
          </w:tcPr>
          <w:p w14:paraId="33088D50" w14:textId="77777777" w:rsidR="008878A0" w:rsidRPr="00517264" w:rsidRDefault="008878A0" w:rsidP="00517264">
            <w:pPr>
              <w:spacing w:after="0"/>
              <w:jc w:val="right"/>
              <w:rPr>
                <w:rFonts w:eastAsia="ArialNarrow"/>
                <w:szCs w:val="18"/>
              </w:rPr>
            </w:pPr>
            <w:r w:rsidRPr="00517264">
              <w:rPr>
                <w:rFonts w:eastAsia="ArialNarrow"/>
                <w:szCs w:val="18"/>
              </w:rPr>
              <w:t>Pušava, (Kraljevec na Sutli)</w:t>
            </w:r>
          </w:p>
        </w:tc>
        <w:tc>
          <w:tcPr>
            <w:tcW w:w="1155" w:type="pct"/>
            <w:gridSpan w:val="3"/>
            <w:tcBorders>
              <w:bottom w:val="nil"/>
            </w:tcBorders>
            <w:hideMark/>
          </w:tcPr>
          <w:p w14:paraId="6A22173E" w14:textId="77777777" w:rsidR="008878A0" w:rsidRPr="00517264" w:rsidRDefault="008878A0" w:rsidP="00517264">
            <w:pPr>
              <w:spacing w:after="0"/>
              <w:jc w:val="right"/>
              <w:rPr>
                <w:rFonts w:eastAsia="ArialNarrow"/>
                <w:szCs w:val="18"/>
              </w:rPr>
            </w:pPr>
            <w:r w:rsidRPr="00517264">
              <w:rPr>
                <w:rFonts w:eastAsia="ArialNarrow"/>
                <w:szCs w:val="18"/>
              </w:rPr>
              <w:t>2,36</w:t>
            </w:r>
          </w:p>
        </w:tc>
        <w:tc>
          <w:tcPr>
            <w:tcW w:w="854" w:type="pct"/>
            <w:gridSpan w:val="2"/>
            <w:vMerge w:val="restart"/>
            <w:tcBorders>
              <w:right w:val="single" w:sz="8" w:space="0" w:color="D2232A"/>
            </w:tcBorders>
            <w:hideMark/>
          </w:tcPr>
          <w:p w14:paraId="38E295EB"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4023F6D2" w14:textId="77777777" w:rsidTr="00517264">
        <w:tblPrEx>
          <w:tblBorders>
            <w:left w:val="none" w:sz="0" w:space="0" w:color="auto"/>
            <w:right w:val="none" w:sz="0" w:space="0" w:color="auto"/>
          </w:tblBorders>
        </w:tblPrEx>
        <w:trPr>
          <w:gridAfter w:val="1"/>
          <w:wAfter w:w="10" w:type="pct"/>
          <w:trHeight w:val="227"/>
        </w:trPr>
        <w:tc>
          <w:tcPr>
            <w:tcW w:w="1334" w:type="pct"/>
            <w:gridSpan w:val="4"/>
            <w:vMerge/>
            <w:tcBorders>
              <w:left w:val="single" w:sz="8" w:space="0" w:color="D2232A"/>
              <w:bottom w:val="nil"/>
            </w:tcBorders>
            <w:vAlign w:val="center"/>
            <w:hideMark/>
          </w:tcPr>
          <w:p w14:paraId="37DFB6FC" w14:textId="77777777" w:rsidR="008878A0" w:rsidRPr="00517264" w:rsidRDefault="008878A0" w:rsidP="00517264">
            <w:pPr>
              <w:spacing w:after="0"/>
              <w:jc w:val="left"/>
              <w:rPr>
                <w:rFonts w:eastAsia="ArialNarrow"/>
                <w:szCs w:val="18"/>
              </w:rPr>
            </w:pPr>
          </w:p>
        </w:tc>
        <w:tc>
          <w:tcPr>
            <w:tcW w:w="1647" w:type="pct"/>
            <w:gridSpan w:val="2"/>
            <w:vMerge/>
            <w:tcBorders>
              <w:bottom w:val="nil"/>
            </w:tcBorders>
            <w:vAlign w:val="center"/>
            <w:hideMark/>
          </w:tcPr>
          <w:p w14:paraId="1C7BAD74" w14:textId="77777777" w:rsidR="008878A0" w:rsidRPr="00517264" w:rsidRDefault="008878A0" w:rsidP="00517264">
            <w:pPr>
              <w:spacing w:after="0"/>
              <w:jc w:val="right"/>
              <w:rPr>
                <w:rFonts w:eastAsia="ArialNarrow"/>
                <w:szCs w:val="18"/>
              </w:rPr>
            </w:pPr>
          </w:p>
        </w:tc>
        <w:tc>
          <w:tcPr>
            <w:tcW w:w="1155" w:type="pct"/>
            <w:gridSpan w:val="3"/>
            <w:tcBorders>
              <w:top w:val="nil"/>
              <w:bottom w:val="nil"/>
            </w:tcBorders>
            <w:hideMark/>
          </w:tcPr>
          <w:p w14:paraId="4FB9EEB1" w14:textId="77777777" w:rsidR="008878A0" w:rsidRPr="00517264" w:rsidRDefault="008878A0" w:rsidP="00517264">
            <w:pPr>
              <w:spacing w:after="0"/>
              <w:jc w:val="right"/>
              <w:rPr>
                <w:rFonts w:eastAsia="ArialNarrow"/>
                <w:szCs w:val="18"/>
              </w:rPr>
            </w:pPr>
            <w:r w:rsidRPr="00517264">
              <w:rPr>
                <w:rFonts w:eastAsia="ArialNarrow"/>
                <w:szCs w:val="18"/>
              </w:rPr>
              <w:t>Izgrađeno: 0,23</w:t>
            </w:r>
          </w:p>
        </w:tc>
        <w:tc>
          <w:tcPr>
            <w:tcW w:w="854" w:type="pct"/>
            <w:gridSpan w:val="2"/>
            <w:vMerge/>
            <w:tcBorders>
              <w:bottom w:val="nil"/>
              <w:right w:val="single" w:sz="8" w:space="0" w:color="D2232A"/>
            </w:tcBorders>
            <w:vAlign w:val="center"/>
            <w:hideMark/>
          </w:tcPr>
          <w:p w14:paraId="2B06D4F1" w14:textId="77777777" w:rsidR="008878A0" w:rsidRPr="00517264" w:rsidRDefault="008878A0" w:rsidP="00517264">
            <w:pPr>
              <w:spacing w:after="0"/>
              <w:jc w:val="right"/>
              <w:rPr>
                <w:rFonts w:eastAsia="ArialNarrow"/>
                <w:szCs w:val="18"/>
              </w:rPr>
            </w:pPr>
          </w:p>
        </w:tc>
      </w:tr>
      <w:tr w:rsidR="008878A0" w:rsidRPr="00517264" w14:paraId="2CE60F29"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top w:val="nil"/>
              <w:left w:val="single" w:sz="8" w:space="0" w:color="D2232A"/>
            </w:tcBorders>
            <w:shd w:val="clear" w:color="auto" w:fill="D2232A" w:themeFill="accent1"/>
            <w:hideMark/>
          </w:tcPr>
          <w:p w14:paraId="3EC0A4E4" w14:textId="34F80798"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ZAGORSKA SELA</w:t>
            </w:r>
          </w:p>
        </w:tc>
        <w:tc>
          <w:tcPr>
            <w:tcW w:w="1727" w:type="pct"/>
            <w:gridSpan w:val="4"/>
            <w:tcBorders>
              <w:top w:val="nil"/>
            </w:tcBorders>
            <w:shd w:val="clear" w:color="auto" w:fill="D2232A" w:themeFill="accent1"/>
            <w:hideMark/>
          </w:tcPr>
          <w:p w14:paraId="7F82870E"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tcBorders>
              <w:top w:val="nil"/>
            </w:tcBorders>
            <w:shd w:val="clear" w:color="auto" w:fill="D2232A" w:themeFill="accent1"/>
            <w:hideMark/>
          </w:tcPr>
          <w:p w14:paraId="4D84282F"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top w:val="nil"/>
              <w:right w:val="single" w:sz="8" w:space="0" w:color="D2232A"/>
            </w:tcBorders>
            <w:shd w:val="clear" w:color="auto" w:fill="D2232A" w:themeFill="accent1"/>
            <w:hideMark/>
          </w:tcPr>
          <w:p w14:paraId="620675E7"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363DDDA2" w14:textId="77777777" w:rsidTr="00517264">
        <w:tblPrEx>
          <w:tblBorders>
            <w:left w:val="none" w:sz="0" w:space="0" w:color="auto"/>
            <w:right w:val="none" w:sz="0" w:space="0" w:color="auto"/>
          </w:tblBorders>
        </w:tblPrEx>
        <w:trPr>
          <w:gridAfter w:val="1"/>
          <w:wAfter w:w="10" w:type="pct"/>
          <w:trHeight w:val="227"/>
        </w:trPr>
        <w:tc>
          <w:tcPr>
            <w:tcW w:w="1254" w:type="pct"/>
            <w:gridSpan w:val="2"/>
            <w:vMerge w:val="restart"/>
            <w:tcBorders>
              <w:left w:val="single" w:sz="8" w:space="0" w:color="D2232A"/>
            </w:tcBorders>
            <w:hideMark/>
          </w:tcPr>
          <w:p w14:paraId="10E0757C" w14:textId="77777777" w:rsidR="008878A0" w:rsidRPr="00517264" w:rsidRDefault="008878A0" w:rsidP="00517264">
            <w:pPr>
              <w:spacing w:after="0"/>
              <w:jc w:val="left"/>
              <w:rPr>
                <w:rFonts w:eastAsia="ArialNarrow"/>
                <w:color w:val="auto"/>
                <w:szCs w:val="18"/>
              </w:rPr>
            </w:pPr>
            <w:r w:rsidRPr="00517264">
              <w:rPr>
                <w:rFonts w:eastAsia="ArialNarrow"/>
                <w:szCs w:val="18"/>
              </w:rPr>
              <w:t>Naselje Harina Žlaka</w:t>
            </w:r>
          </w:p>
        </w:tc>
        <w:tc>
          <w:tcPr>
            <w:tcW w:w="1727" w:type="pct"/>
            <w:gridSpan w:val="4"/>
            <w:vMerge w:val="restart"/>
            <w:hideMark/>
          </w:tcPr>
          <w:p w14:paraId="0E07C481" w14:textId="77777777" w:rsidR="008878A0" w:rsidRPr="00517264" w:rsidRDefault="008878A0" w:rsidP="00517264">
            <w:pPr>
              <w:spacing w:after="0"/>
              <w:jc w:val="right"/>
              <w:rPr>
                <w:rFonts w:eastAsia="ArialNarrow"/>
                <w:szCs w:val="18"/>
              </w:rPr>
            </w:pPr>
            <w:r w:rsidRPr="00517264">
              <w:rPr>
                <w:rFonts w:eastAsia="ArialNarrow"/>
                <w:szCs w:val="18"/>
              </w:rPr>
              <w:t>Zagorska Sela, (Harina Žlaka)</w:t>
            </w:r>
          </w:p>
        </w:tc>
        <w:tc>
          <w:tcPr>
            <w:tcW w:w="1155" w:type="pct"/>
            <w:gridSpan w:val="3"/>
            <w:tcBorders>
              <w:bottom w:val="nil"/>
            </w:tcBorders>
            <w:hideMark/>
          </w:tcPr>
          <w:p w14:paraId="5B0A5404" w14:textId="77777777" w:rsidR="008878A0" w:rsidRPr="00517264" w:rsidRDefault="008878A0" w:rsidP="00517264">
            <w:pPr>
              <w:spacing w:after="0"/>
              <w:jc w:val="right"/>
              <w:rPr>
                <w:rFonts w:eastAsia="ArialNarrow"/>
                <w:szCs w:val="18"/>
              </w:rPr>
            </w:pPr>
            <w:r w:rsidRPr="00517264">
              <w:rPr>
                <w:rFonts w:eastAsia="ArialNarrow"/>
                <w:szCs w:val="18"/>
              </w:rPr>
              <w:t>2,8</w:t>
            </w:r>
          </w:p>
        </w:tc>
        <w:tc>
          <w:tcPr>
            <w:tcW w:w="854" w:type="pct"/>
            <w:gridSpan w:val="2"/>
            <w:vMerge w:val="restart"/>
            <w:tcBorders>
              <w:right w:val="single" w:sz="8" w:space="0" w:color="D2232A"/>
            </w:tcBorders>
            <w:hideMark/>
          </w:tcPr>
          <w:p w14:paraId="3645FE69"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2A85D723" w14:textId="77777777" w:rsidTr="00517264">
        <w:tblPrEx>
          <w:tblBorders>
            <w:left w:val="none" w:sz="0" w:space="0" w:color="auto"/>
            <w:right w:val="none" w:sz="0" w:space="0" w:color="auto"/>
          </w:tblBorders>
        </w:tblPrEx>
        <w:trPr>
          <w:gridAfter w:val="1"/>
          <w:wAfter w:w="10" w:type="pct"/>
          <w:trHeight w:val="227"/>
        </w:trPr>
        <w:tc>
          <w:tcPr>
            <w:tcW w:w="1254" w:type="pct"/>
            <w:gridSpan w:val="2"/>
            <w:vMerge/>
            <w:tcBorders>
              <w:left w:val="single" w:sz="8" w:space="0" w:color="D2232A"/>
            </w:tcBorders>
            <w:vAlign w:val="center"/>
            <w:hideMark/>
          </w:tcPr>
          <w:p w14:paraId="7E6C615F" w14:textId="77777777" w:rsidR="008878A0" w:rsidRPr="00517264" w:rsidRDefault="008878A0" w:rsidP="00517264">
            <w:pPr>
              <w:spacing w:after="0"/>
              <w:jc w:val="left"/>
              <w:rPr>
                <w:rFonts w:eastAsia="ArialNarrow"/>
                <w:szCs w:val="18"/>
              </w:rPr>
            </w:pPr>
          </w:p>
        </w:tc>
        <w:tc>
          <w:tcPr>
            <w:tcW w:w="1727" w:type="pct"/>
            <w:gridSpan w:val="4"/>
            <w:vMerge/>
            <w:vAlign w:val="center"/>
            <w:hideMark/>
          </w:tcPr>
          <w:p w14:paraId="1EE06B55" w14:textId="77777777" w:rsidR="008878A0" w:rsidRPr="00517264" w:rsidRDefault="008878A0" w:rsidP="00517264">
            <w:pPr>
              <w:spacing w:after="0"/>
              <w:jc w:val="right"/>
              <w:rPr>
                <w:rFonts w:eastAsia="ArialNarrow"/>
                <w:szCs w:val="18"/>
              </w:rPr>
            </w:pPr>
          </w:p>
        </w:tc>
        <w:tc>
          <w:tcPr>
            <w:tcW w:w="1155" w:type="pct"/>
            <w:gridSpan w:val="3"/>
            <w:tcBorders>
              <w:top w:val="nil"/>
            </w:tcBorders>
            <w:hideMark/>
          </w:tcPr>
          <w:p w14:paraId="22824C0F" w14:textId="77777777" w:rsidR="008878A0" w:rsidRPr="00517264" w:rsidRDefault="008878A0" w:rsidP="00517264">
            <w:pPr>
              <w:spacing w:after="0"/>
              <w:jc w:val="right"/>
              <w:rPr>
                <w:rFonts w:eastAsia="ArialNarrow"/>
                <w:szCs w:val="18"/>
              </w:rPr>
            </w:pPr>
            <w:r w:rsidRPr="00517264">
              <w:rPr>
                <w:rFonts w:eastAsia="ArialNarrow"/>
                <w:szCs w:val="18"/>
              </w:rPr>
              <w:t>Izgrađeno: 0,2</w:t>
            </w:r>
          </w:p>
        </w:tc>
        <w:tc>
          <w:tcPr>
            <w:tcW w:w="854" w:type="pct"/>
            <w:gridSpan w:val="2"/>
            <w:vMerge/>
            <w:tcBorders>
              <w:right w:val="single" w:sz="8" w:space="0" w:color="D2232A"/>
            </w:tcBorders>
            <w:vAlign w:val="center"/>
            <w:hideMark/>
          </w:tcPr>
          <w:p w14:paraId="7BACAD6B" w14:textId="77777777" w:rsidR="008878A0" w:rsidRPr="00517264" w:rsidRDefault="008878A0" w:rsidP="00517264">
            <w:pPr>
              <w:spacing w:after="0"/>
              <w:jc w:val="right"/>
              <w:rPr>
                <w:rFonts w:eastAsia="ArialNarrow"/>
                <w:szCs w:val="18"/>
              </w:rPr>
            </w:pPr>
          </w:p>
        </w:tc>
      </w:tr>
      <w:tr w:rsidR="008878A0" w:rsidRPr="00517264" w14:paraId="458CE3A0"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6B9B1787" w14:textId="77777777" w:rsidR="008878A0" w:rsidRPr="00517264" w:rsidRDefault="008878A0" w:rsidP="00517264">
            <w:pPr>
              <w:spacing w:after="0"/>
              <w:jc w:val="left"/>
              <w:rPr>
                <w:rFonts w:eastAsia="ArialNarrow"/>
                <w:szCs w:val="18"/>
              </w:rPr>
            </w:pPr>
            <w:r w:rsidRPr="00517264">
              <w:rPr>
                <w:rFonts w:eastAsia="ArialNarrow"/>
                <w:szCs w:val="18"/>
              </w:rPr>
              <w:t>Naselje Miljana</w:t>
            </w:r>
          </w:p>
        </w:tc>
        <w:tc>
          <w:tcPr>
            <w:tcW w:w="1727" w:type="pct"/>
            <w:gridSpan w:val="4"/>
            <w:hideMark/>
          </w:tcPr>
          <w:p w14:paraId="37E290A0" w14:textId="77777777" w:rsidR="008878A0" w:rsidRPr="00517264" w:rsidRDefault="008878A0" w:rsidP="00517264">
            <w:pPr>
              <w:spacing w:after="0"/>
              <w:jc w:val="right"/>
              <w:rPr>
                <w:rFonts w:eastAsia="ArialNarrow"/>
                <w:szCs w:val="18"/>
              </w:rPr>
            </w:pPr>
            <w:r w:rsidRPr="00517264">
              <w:rPr>
                <w:rFonts w:eastAsia="ArialNarrow"/>
                <w:szCs w:val="18"/>
              </w:rPr>
              <w:t>Zagorska Sela, (Miljana)</w:t>
            </w:r>
          </w:p>
        </w:tc>
        <w:tc>
          <w:tcPr>
            <w:tcW w:w="1155" w:type="pct"/>
            <w:gridSpan w:val="3"/>
            <w:hideMark/>
          </w:tcPr>
          <w:p w14:paraId="09D32A43" w14:textId="77777777" w:rsidR="008878A0" w:rsidRPr="00517264" w:rsidRDefault="008878A0" w:rsidP="00517264">
            <w:pPr>
              <w:spacing w:after="0"/>
              <w:jc w:val="right"/>
              <w:rPr>
                <w:rFonts w:eastAsia="ArialNarrow"/>
                <w:szCs w:val="18"/>
              </w:rPr>
            </w:pPr>
            <w:r w:rsidRPr="00517264">
              <w:rPr>
                <w:rFonts w:eastAsia="ArialNarrow"/>
                <w:szCs w:val="18"/>
              </w:rPr>
              <w:t>4,68</w:t>
            </w:r>
          </w:p>
        </w:tc>
        <w:tc>
          <w:tcPr>
            <w:tcW w:w="854" w:type="pct"/>
            <w:gridSpan w:val="2"/>
            <w:tcBorders>
              <w:right w:val="single" w:sz="8" w:space="0" w:color="D2232A"/>
            </w:tcBorders>
            <w:hideMark/>
          </w:tcPr>
          <w:p w14:paraId="0509018B" w14:textId="77777777" w:rsidR="008878A0" w:rsidRPr="00517264" w:rsidRDefault="008878A0" w:rsidP="00517264">
            <w:pPr>
              <w:spacing w:after="0"/>
              <w:jc w:val="right"/>
              <w:rPr>
                <w:rFonts w:eastAsia="ArialNarrow"/>
                <w:szCs w:val="18"/>
              </w:rPr>
            </w:pPr>
            <w:r w:rsidRPr="00517264">
              <w:rPr>
                <w:rFonts w:eastAsia="ArialNarrow"/>
                <w:szCs w:val="18"/>
              </w:rPr>
              <w:t>T3</w:t>
            </w:r>
          </w:p>
        </w:tc>
      </w:tr>
      <w:tr w:rsidR="008878A0" w:rsidRPr="00517264" w14:paraId="7C001748"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49053875" w14:textId="77777777" w:rsidR="008878A0" w:rsidRPr="00517264" w:rsidRDefault="008878A0" w:rsidP="00517264">
            <w:pPr>
              <w:spacing w:after="0"/>
              <w:jc w:val="left"/>
              <w:rPr>
                <w:rFonts w:eastAsia="ArialNarrow"/>
                <w:szCs w:val="18"/>
              </w:rPr>
            </w:pPr>
            <w:r w:rsidRPr="00517264">
              <w:rPr>
                <w:rFonts w:eastAsia="ArialNarrow"/>
                <w:szCs w:val="18"/>
              </w:rPr>
              <w:t>Naselje Zagorska Sela</w:t>
            </w:r>
          </w:p>
        </w:tc>
        <w:tc>
          <w:tcPr>
            <w:tcW w:w="1727" w:type="pct"/>
            <w:gridSpan w:val="4"/>
            <w:hideMark/>
          </w:tcPr>
          <w:p w14:paraId="6853B758" w14:textId="77777777" w:rsidR="008878A0" w:rsidRPr="00517264" w:rsidRDefault="008878A0" w:rsidP="00517264">
            <w:pPr>
              <w:spacing w:after="0"/>
              <w:jc w:val="right"/>
              <w:rPr>
                <w:rFonts w:eastAsia="ArialNarrow"/>
                <w:szCs w:val="18"/>
              </w:rPr>
            </w:pPr>
            <w:r w:rsidRPr="00517264">
              <w:rPr>
                <w:rFonts w:eastAsia="ArialNarrow"/>
                <w:szCs w:val="18"/>
              </w:rPr>
              <w:t>Zagorska Sela, (Zagorska Sela)</w:t>
            </w:r>
          </w:p>
        </w:tc>
        <w:tc>
          <w:tcPr>
            <w:tcW w:w="1155" w:type="pct"/>
            <w:gridSpan w:val="3"/>
            <w:hideMark/>
          </w:tcPr>
          <w:p w14:paraId="6EAD98D0" w14:textId="77777777" w:rsidR="008878A0" w:rsidRPr="00517264" w:rsidRDefault="008878A0" w:rsidP="00517264">
            <w:pPr>
              <w:spacing w:after="0"/>
              <w:jc w:val="right"/>
              <w:rPr>
                <w:rFonts w:eastAsia="ArialNarrow"/>
                <w:szCs w:val="18"/>
              </w:rPr>
            </w:pPr>
            <w:r w:rsidRPr="00517264">
              <w:rPr>
                <w:rFonts w:eastAsia="ArialNarrow"/>
                <w:szCs w:val="18"/>
              </w:rPr>
              <w:t>3,07</w:t>
            </w:r>
          </w:p>
        </w:tc>
        <w:tc>
          <w:tcPr>
            <w:tcW w:w="854" w:type="pct"/>
            <w:gridSpan w:val="2"/>
            <w:tcBorders>
              <w:right w:val="single" w:sz="8" w:space="0" w:color="D2232A"/>
            </w:tcBorders>
            <w:hideMark/>
          </w:tcPr>
          <w:p w14:paraId="14CC4858"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1A6790C4"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2A8A11A7" w14:textId="77777777" w:rsidR="008878A0" w:rsidRPr="00517264" w:rsidRDefault="008878A0" w:rsidP="00517264">
            <w:pPr>
              <w:spacing w:after="0"/>
              <w:jc w:val="left"/>
              <w:rPr>
                <w:rFonts w:eastAsia="ArialNarrow"/>
                <w:szCs w:val="18"/>
              </w:rPr>
            </w:pPr>
            <w:r w:rsidRPr="00517264">
              <w:rPr>
                <w:rFonts w:eastAsia="ArialNarrow"/>
                <w:szCs w:val="18"/>
              </w:rPr>
              <w:t>Naselje Miljana - sjever</w:t>
            </w:r>
          </w:p>
        </w:tc>
        <w:tc>
          <w:tcPr>
            <w:tcW w:w="1727" w:type="pct"/>
            <w:gridSpan w:val="4"/>
            <w:hideMark/>
          </w:tcPr>
          <w:p w14:paraId="0DD40E1C" w14:textId="77777777" w:rsidR="008878A0" w:rsidRPr="00517264" w:rsidRDefault="008878A0" w:rsidP="00517264">
            <w:pPr>
              <w:spacing w:after="0"/>
              <w:jc w:val="right"/>
              <w:rPr>
                <w:rFonts w:eastAsia="ArialNarrow"/>
                <w:szCs w:val="18"/>
              </w:rPr>
            </w:pPr>
            <w:r w:rsidRPr="00517264">
              <w:rPr>
                <w:rFonts w:eastAsia="ArialNarrow"/>
                <w:szCs w:val="18"/>
              </w:rPr>
              <w:t>Zagorska Sela, (Miljana)</w:t>
            </w:r>
          </w:p>
        </w:tc>
        <w:tc>
          <w:tcPr>
            <w:tcW w:w="1155" w:type="pct"/>
            <w:gridSpan w:val="3"/>
            <w:hideMark/>
          </w:tcPr>
          <w:p w14:paraId="1B2E04DE" w14:textId="77777777" w:rsidR="008878A0" w:rsidRPr="00517264" w:rsidRDefault="008878A0" w:rsidP="00517264">
            <w:pPr>
              <w:spacing w:after="0"/>
              <w:jc w:val="right"/>
              <w:rPr>
                <w:rFonts w:eastAsia="ArialNarrow"/>
                <w:szCs w:val="18"/>
              </w:rPr>
            </w:pPr>
            <w:r w:rsidRPr="00517264">
              <w:rPr>
                <w:rFonts w:eastAsia="ArialNarrow"/>
                <w:szCs w:val="18"/>
              </w:rPr>
              <w:t>0,27</w:t>
            </w:r>
          </w:p>
        </w:tc>
        <w:tc>
          <w:tcPr>
            <w:tcW w:w="854" w:type="pct"/>
            <w:gridSpan w:val="2"/>
            <w:tcBorders>
              <w:right w:val="single" w:sz="8" w:space="0" w:color="D2232A"/>
            </w:tcBorders>
            <w:hideMark/>
          </w:tcPr>
          <w:p w14:paraId="4F7D7112" w14:textId="77777777" w:rsidR="008878A0" w:rsidRPr="00517264" w:rsidRDefault="008878A0" w:rsidP="00517264">
            <w:pPr>
              <w:spacing w:after="0"/>
              <w:jc w:val="right"/>
              <w:rPr>
                <w:rFonts w:eastAsia="ArialNarrow"/>
                <w:szCs w:val="18"/>
              </w:rPr>
            </w:pPr>
            <w:r w:rsidRPr="00517264">
              <w:rPr>
                <w:rFonts w:eastAsia="ArialNarrow"/>
                <w:szCs w:val="18"/>
              </w:rPr>
              <w:t>T2</w:t>
            </w:r>
          </w:p>
        </w:tc>
      </w:tr>
      <w:tr w:rsidR="008878A0" w:rsidRPr="00517264" w14:paraId="3EE62191"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shd w:val="clear" w:color="auto" w:fill="D2232A" w:themeFill="accent1"/>
            <w:hideMark/>
          </w:tcPr>
          <w:p w14:paraId="12295EC9"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lastRenderedPageBreak/>
              <w:t>KUMROVEC</w:t>
            </w:r>
          </w:p>
        </w:tc>
        <w:tc>
          <w:tcPr>
            <w:tcW w:w="1727" w:type="pct"/>
            <w:gridSpan w:val="4"/>
            <w:shd w:val="clear" w:color="auto" w:fill="D2232A" w:themeFill="accent1"/>
            <w:hideMark/>
          </w:tcPr>
          <w:p w14:paraId="5826059B"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45B1FB2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57FDCE74"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543F4AEA" w14:textId="77777777" w:rsidTr="00517264">
        <w:tblPrEx>
          <w:tblBorders>
            <w:left w:val="none" w:sz="0" w:space="0" w:color="auto"/>
            <w:right w:val="none" w:sz="0" w:space="0" w:color="auto"/>
          </w:tblBorders>
        </w:tblPrEx>
        <w:trPr>
          <w:gridAfter w:val="1"/>
          <w:wAfter w:w="10" w:type="pct"/>
          <w:trHeight w:val="227"/>
        </w:trPr>
        <w:tc>
          <w:tcPr>
            <w:tcW w:w="1254" w:type="pct"/>
            <w:gridSpan w:val="2"/>
            <w:vMerge w:val="restart"/>
            <w:tcBorders>
              <w:left w:val="single" w:sz="8" w:space="0" w:color="D2232A"/>
            </w:tcBorders>
            <w:hideMark/>
          </w:tcPr>
          <w:p w14:paraId="1DA280F5" w14:textId="77777777" w:rsidR="008878A0" w:rsidRPr="00517264" w:rsidRDefault="008878A0" w:rsidP="00517264">
            <w:pPr>
              <w:spacing w:after="0"/>
              <w:jc w:val="left"/>
              <w:rPr>
                <w:rFonts w:eastAsia="ArialNarrow"/>
                <w:color w:val="auto"/>
                <w:szCs w:val="18"/>
              </w:rPr>
            </w:pPr>
            <w:r w:rsidRPr="00517264">
              <w:rPr>
                <w:rFonts w:eastAsia="ArialNarrow"/>
                <w:szCs w:val="18"/>
              </w:rPr>
              <w:t>Znanstveni centar Kumrovec (spomen dom)</w:t>
            </w:r>
          </w:p>
        </w:tc>
        <w:tc>
          <w:tcPr>
            <w:tcW w:w="1727" w:type="pct"/>
            <w:gridSpan w:val="4"/>
            <w:vMerge w:val="restart"/>
            <w:hideMark/>
          </w:tcPr>
          <w:p w14:paraId="7E3A0334" w14:textId="77777777" w:rsidR="008878A0" w:rsidRPr="00517264" w:rsidRDefault="008878A0" w:rsidP="00517264">
            <w:pPr>
              <w:spacing w:after="0"/>
              <w:jc w:val="right"/>
              <w:rPr>
                <w:rFonts w:eastAsia="ArialNarrow"/>
                <w:szCs w:val="18"/>
              </w:rPr>
            </w:pPr>
            <w:r w:rsidRPr="00517264">
              <w:rPr>
                <w:rFonts w:eastAsia="ArialNarrow"/>
                <w:szCs w:val="18"/>
              </w:rPr>
              <w:t>Kumrovec, (Kumrovec)</w:t>
            </w:r>
          </w:p>
        </w:tc>
        <w:tc>
          <w:tcPr>
            <w:tcW w:w="1155" w:type="pct"/>
            <w:gridSpan w:val="3"/>
            <w:tcBorders>
              <w:bottom w:val="nil"/>
            </w:tcBorders>
            <w:hideMark/>
          </w:tcPr>
          <w:p w14:paraId="1299D7AE" w14:textId="77777777" w:rsidR="008878A0" w:rsidRPr="00517264" w:rsidRDefault="008878A0" w:rsidP="00517264">
            <w:pPr>
              <w:spacing w:after="0"/>
              <w:jc w:val="right"/>
              <w:rPr>
                <w:rFonts w:eastAsia="ArialNarrow"/>
                <w:szCs w:val="18"/>
              </w:rPr>
            </w:pPr>
            <w:r w:rsidRPr="00517264">
              <w:rPr>
                <w:rFonts w:eastAsia="ArialNarrow"/>
                <w:szCs w:val="18"/>
              </w:rPr>
              <w:t>6,52</w:t>
            </w:r>
          </w:p>
        </w:tc>
        <w:tc>
          <w:tcPr>
            <w:tcW w:w="854" w:type="pct"/>
            <w:gridSpan w:val="2"/>
            <w:vMerge w:val="restart"/>
            <w:tcBorders>
              <w:right w:val="single" w:sz="8" w:space="0" w:color="D2232A"/>
            </w:tcBorders>
            <w:hideMark/>
          </w:tcPr>
          <w:p w14:paraId="32F3F65E"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7FD23D0F" w14:textId="77777777" w:rsidTr="00517264">
        <w:tblPrEx>
          <w:tblBorders>
            <w:left w:val="none" w:sz="0" w:space="0" w:color="auto"/>
            <w:right w:val="none" w:sz="0" w:space="0" w:color="auto"/>
          </w:tblBorders>
        </w:tblPrEx>
        <w:trPr>
          <w:gridAfter w:val="1"/>
          <w:wAfter w:w="10" w:type="pct"/>
          <w:trHeight w:val="227"/>
        </w:trPr>
        <w:tc>
          <w:tcPr>
            <w:tcW w:w="1254" w:type="pct"/>
            <w:gridSpan w:val="2"/>
            <w:vMerge/>
            <w:tcBorders>
              <w:left w:val="single" w:sz="8" w:space="0" w:color="D2232A"/>
            </w:tcBorders>
            <w:vAlign w:val="center"/>
            <w:hideMark/>
          </w:tcPr>
          <w:p w14:paraId="1B29D9E3" w14:textId="77777777" w:rsidR="008878A0" w:rsidRPr="00517264" w:rsidRDefault="008878A0" w:rsidP="00517264">
            <w:pPr>
              <w:spacing w:after="0"/>
              <w:jc w:val="left"/>
              <w:rPr>
                <w:rFonts w:eastAsia="ArialNarrow"/>
                <w:szCs w:val="18"/>
              </w:rPr>
            </w:pPr>
          </w:p>
        </w:tc>
        <w:tc>
          <w:tcPr>
            <w:tcW w:w="1727" w:type="pct"/>
            <w:gridSpan w:val="4"/>
            <w:vMerge/>
            <w:vAlign w:val="center"/>
            <w:hideMark/>
          </w:tcPr>
          <w:p w14:paraId="2F989C01" w14:textId="77777777" w:rsidR="008878A0" w:rsidRPr="00517264" w:rsidRDefault="008878A0" w:rsidP="00517264">
            <w:pPr>
              <w:spacing w:after="0"/>
              <w:jc w:val="right"/>
              <w:rPr>
                <w:rFonts w:eastAsia="ArialNarrow"/>
                <w:szCs w:val="18"/>
              </w:rPr>
            </w:pPr>
          </w:p>
        </w:tc>
        <w:tc>
          <w:tcPr>
            <w:tcW w:w="1155" w:type="pct"/>
            <w:gridSpan w:val="3"/>
            <w:tcBorders>
              <w:top w:val="nil"/>
            </w:tcBorders>
            <w:hideMark/>
          </w:tcPr>
          <w:p w14:paraId="0CA5913B" w14:textId="77777777" w:rsidR="008878A0" w:rsidRPr="00517264" w:rsidRDefault="008878A0" w:rsidP="00517264">
            <w:pPr>
              <w:spacing w:after="0"/>
              <w:jc w:val="right"/>
              <w:rPr>
                <w:rFonts w:eastAsia="ArialNarrow"/>
                <w:szCs w:val="18"/>
              </w:rPr>
            </w:pPr>
            <w:r w:rsidRPr="00517264">
              <w:rPr>
                <w:rFonts w:eastAsia="ArialNarrow"/>
                <w:szCs w:val="18"/>
              </w:rPr>
              <w:t>Izgrađeno: 0,84</w:t>
            </w:r>
          </w:p>
        </w:tc>
        <w:tc>
          <w:tcPr>
            <w:tcW w:w="854" w:type="pct"/>
            <w:gridSpan w:val="2"/>
            <w:vMerge/>
            <w:tcBorders>
              <w:right w:val="single" w:sz="8" w:space="0" w:color="D2232A"/>
            </w:tcBorders>
            <w:vAlign w:val="center"/>
            <w:hideMark/>
          </w:tcPr>
          <w:p w14:paraId="46C1471F" w14:textId="77777777" w:rsidR="008878A0" w:rsidRPr="00517264" w:rsidRDefault="008878A0" w:rsidP="00517264">
            <w:pPr>
              <w:spacing w:after="0"/>
              <w:jc w:val="right"/>
              <w:rPr>
                <w:rFonts w:eastAsia="ArialNarrow"/>
                <w:szCs w:val="18"/>
              </w:rPr>
            </w:pPr>
          </w:p>
        </w:tc>
      </w:tr>
      <w:tr w:rsidR="008878A0" w:rsidRPr="00517264" w14:paraId="63A02D5A"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3F7D6F9F" w14:textId="77777777" w:rsidR="008878A0" w:rsidRPr="00517264" w:rsidRDefault="008878A0" w:rsidP="00517264">
            <w:pPr>
              <w:spacing w:after="0"/>
              <w:jc w:val="left"/>
              <w:rPr>
                <w:rFonts w:eastAsia="ArialNarrow"/>
                <w:szCs w:val="18"/>
              </w:rPr>
            </w:pPr>
            <w:r w:rsidRPr="00517264">
              <w:rPr>
                <w:rFonts w:eastAsia="ArialNarrow"/>
                <w:szCs w:val="18"/>
              </w:rPr>
              <w:t>Turistička zona Kumrovec - 1</w:t>
            </w:r>
          </w:p>
        </w:tc>
        <w:tc>
          <w:tcPr>
            <w:tcW w:w="1727" w:type="pct"/>
            <w:gridSpan w:val="4"/>
            <w:hideMark/>
          </w:tcPr>
          <w:p w14:paraId="4A2FF450" w14:textId="77777777" w:rsidR="008878A0" w:rsidRPr="00517264" w:rsidRDefault="008878A0" w:rsidP="00517264">
            <w:pPr>
              <w:spacing w:after="0"/>
              <w:jc w:val="right"/>
              <w:rPr>
                <w:rFonts w:eastAsia="ArialNarrow"/>
                <w:szCs w:val="18"/>
              </w:rPr>
            </w:pPr>
            <w:r w:rsidRPr="00517264">
              <w:rPr>
                <w:rFonts w:eastAsia="ArialNarrow"/>
                <w:szCs w:val="18"/>
              </w:rPr>
              <w:t>Kumrovec, (Kumrovec)</w:t>
            </w:r>
          </w:p>
        </w:tc>
        <w:tc>
          <w:tcPr>
            <w:tcW w:w="1155" w:type="pct"/>
            <w:gridSpan w:val="3"/>
            <w:hideMark/>
          </w:tcPr>
          <w:p w14:paraId="2CBC7AD4" w14:textId="77777777" w:rsidR="008878A0" w:rsidRPr="00517264" w:rsidRDefault="008878A0" w:rsidP="00517264">
            <w:pPr>
              <w:spacing w:after="0"/>
              <w:jc w:val="right"/>
              <w:rPr>
                <w:rFonts w:eastAsia="ArialNarrow"/>
                <w:szCs w:val="18"/>
              </w:rPr>
            </w:pPr>
            <w:r w:rsidRPr="00517264">
              <w:rPr>
                <w:rFonts w:eastAsia="ArialNarrow"/>
                <w:szCs w:val="18"/>
              </w:rPr>
              <w:t>4,15 Izgrađeno: 0,59</w:t>
            </w:r>
          </w:p>
        </w:tc>
        <w:tc>
          <w:tcPr>
            <w:tcW w:w="854" w:type="pct"/>
            <w:gridSpan w:val="2"/>
            <w:tcBorders>
              <w:right w:val="single" w:sz="8" w:space="0" w:color="D2232A"/>
            </w:tcBorders>
            <w:hideMark/>
          </w:tcPr>
          <w:p w14:paraId="55C0E1B8" w14:textId="77777777" w:rsidR="008878A0" w:rsidRPr="00517264" w:rsidRDefault="008878A0" w:rsidP="00517264">
            <w:pPr>
              <w:spacing w:after="0"/>
              <w:jc w:val="right"/>
              <w:rPr>
                <w:rFonts w:eastAsia="ArialNarrow"/>
                <w:szCs w:val="18"/>
              </w:rPr>
            </w:pPr>
            <w:r w:rsidRPr="00517264">
              <w:rPr>
                <w:rFonts w:eastAsia="ArialNarrow"/>
                <w:szCs w:val="18"/>
              </w:rPr>
              <w:t>T1,R4, T6</w:t>
            </w:r>
          </w:p>
        </w:tc>
      </w:tr>
      <w:tr w:rsidR="008878A0" w:rsidRPr="00517264" w14:paraId="56C6BE4D"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12F8C9EA" w14:textId="77777777" w:rsidR="008878A0" w:rsidRPr="00517264" w:rsidRDefault="008878A0" w:rsidP="00517264">
            <w:pPr>
              <w:spacing w:after="0"/>
              <w:jc w:val="left"/>
              <w:rPr>
                <w:rFonts w:eastAsia="ArialNarrow"/>
                <w:szCs w:val="18"/>
              </w:rPr>
            </w:pPr>
            <w:r w:rsidRPr="00517264">
              <w:rPr>
                <w:rFonts w:eastAsia="ArialNarrow"/>
                <w:szCs w:val="18"/>
              </w:rPr>
              <w:t>Turistička zona Kumrovec - 2</w:t>
            </w:r>
          </w:p>
        </w:tc>
        <w:tc>
          <w:tcPr>
            <w:tcW w:w="1727" w:type="pct"/>
            <w:gridSpan w:val="4"/>
            <w:hideMark/>
          </w:tcPr>
          <w:p w14:paraId="6D66BEEB" w14:textId="77777777" w:rsidR="008878A0" w:rsidRPr="00517264" w:rsidRDefault="008878A0" w:rsidP="00517264">
            <w:pPr>
              <w:spacing w:after="0"/>
              <w:jc w:val="right"/>
              <w:rPr>
                <w:rFonts w:eastAsia="ArialNarrow"/>
                <w:szCs w:val="18"/>
              </w:rPr>
            </w:pPr>
            <w:r w:rsidRPr="00517264">
              <w:rPr>
                <w:rFonts w:eastAsia="ArialNarrow"/>
                <w:szCs w:val="18"/>
              </w:rPr>
              <w:t>Kumrovec, (Kumrovec)</w:t>
            </w:r>
          </w:p>
        </w:tc>
        <w:tc>
          <w:tcPr>
            <w:tcW w:w="1155" w:type="pct"/>
            <w:gridSpan w:val="3"/>
            <w:hideMark/>
          </w:tcPr>
          <w:p w14:paraId="19B71DF5" w14:textId="77777777" w:rsidR="008878A0" w:rsidRPr="00517264" w:rsidRDefault="008878A0" w:rsidP="00517264">
            <w:pPr>
              <w:spacing w:after="0"/>
              <w:jc w:val="right"/>
              <w:rPr>
                <w:rFonts w:eastAsia="ArialNarrow"/>
                <w:szCs w:val="18"/>
              </w:rPr>
            </w:pPr>
            <w:r w:rsidRPr="00517264">
              <w:rPr>
                <w:rFonts w:eastAsia="ArialNarrow"/>
                <w:szCs w:val="18"/>
              </w:rPr>
              <w:t>0,86</w:t>
            </w:r>
          </w:p>
        </w:tc>
        <w:tc>
          <w:tcPr>
            <w:tcW w:w="854" w:type="pct"/>
            <w:gridSpan w:val="2"/>
            <w:tcBorders>
              <w:right w:val="single" w:sz="8" w:space="0" w:color="D2232A"/>
            </w:tcBorders>
            <w:hideMark/>
          </w:tcPr>
          <w:p w14:paraId="2104F8BA" w14:textId="77777777" w:rsidR="008878A0" w:rsidRPr="00517264" w:rsidRDefault="008878A0" w:rsidP="00517264">
            <w:pPr>
              <w:spacing w:after="0"/>
              <w:jc w:val="right"/>
              <w:rPr>
                <w:rFonts w:eastAsia="ArialNarrow"/>
                <w:szCs w:val="18"/>
              </w:rPr>
            </w:pPr>
            <w:r w:rsidRPr="00517264">
              <w:rPr>
                <w:rFonts w:eastAsia="ArialNarrow"/>
                <w:szCs w:val="18"/>
              </w:rPr>
              <w:t>T3</w:t>
            </w:r>
          </w:p>
        </w:tc>
      </w:tr>
      <w:tr w:rsidR="008878A0" w:rsidRPr="00517264" w14:paraId="15B64A12"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217F7BCC" w14:textId="77777777" w:rsidR="008878A0" w:rsidRPr="00517264" w:rsidRDefault="008878A0" w:rsidP="00517264">
            <w:pPr>
              <w:spacing w:after="0"/>
              <w:jc w:val="left"/>
              <w:rPr>
                <w:rFonts w:eastAsia="ArialNarrow"/>
                <w:szCs w:val="18"/>
              </w:rPr>
            </w:pPr>
            <w:r w:rsidRPr="00517264">
              <w:rPr>
                <w:rFonts w:eastAsia="ArialNarrow"/>
                <w:szCs w:val="18"/>
              </w:rPr>
              <w:t>Turistička zona Kumrovec - 3</w:t>
            </w:r>
          </w:p>
        </w:tc>
        <w:tc>
          <w:tcPr>
            <w:tcW w:w="1727" w:type="pct"/>
            <w:gridSpan w:val="4"/>
            <w:hideMark/>
          </w:tcPr>
          <w:p w14:paraId="32BD0333" w14:textId="77777777" w:rsidR="008878A0" w:rsidRPr="00517264" w:rsidRDefault="008878A0" w:rsidP="00517264">
            <w:pPr>
              <w:spacing w:after="0"/>
              <w:jc w:val="right"/>
              <w:rPr>
                <w:rFonts w:eastAsia="ArialNarrow"/>
                <w:szCs w:val="18"/>
              </w:rPr>
            </w:pPr>
            <w:r w:rsidRPr="00517264">
              <w:rPr>
                <w:rFonts w:eastAsia="ArialNarrow"/>
                <w:szCs w:val="18"/>
              </w:rPr>
              <w:t>Kumrovec, (Kumrovec, Donji Škrnik)</w:t>
            </w:r>
          </w:p>
        </w:tc>
        <w:tc>
          <w:tcPr>
            <w:tcW w:w="1155" w:type="pct"/>
            <w:gridSpan w:val="3"/>
            <w:hideMark/>
          </w:tcPr>
          <w:p w14:paraId="183076F3" w14:textId="77777777" w:rsidR="008878A0" w:rsidRPr="00517264" w:rsidRDefault="008878A0" w:rsidP="00517264">
            <w:pPr>
              <w:spacing w:after="0"/>
              <w:jc w:val="right"/>
              <w:rPr>
                <w:rFonts w:eastAsia="ArialNarrow"/>
                <w:szCs w:val="18"/>
              </w:rPr>
            </w:pPr>
            <w:r w:rsidRPr="00517264">
              <w:rPr>
                <w:rFonts w:eastAsia="ArialNarrow"/>
                <w:szCs w:val="18"/>
              </w:rPr>
              <w:t>1,07</w:t>
            </w:r>
          </w:p>
        </w:tc>
        <w:tc>
          <w:tcPr>
            <w:tcW w:w="854" w:type="pct"/>
            <w:gridSpan w:val="2"/>
            <w:tcBorders>
              <w:right w:val="single" w:sz="8" w:space="0" w:color="D2232A"/>
            </w:tcBorders>
            <w:hideMark/>
          </w:tcPr>
          <w:p w14:paraId="164FFD54" w14:textId="77777777" w:rsidR="008878A0" w:rsidRPr="00517264" w:rsidRDefault="008878A0" w:rsidP="00517264">
            <w:pPr>
              <w:spacing w:after="0"/>
              <w:jc w:val="right"/>
              <w:rPr>
                <w:rFonts w:eastAsia="ArialNarrow"/>
                <w:szCs w:val="18"/>
              </w:rPr>
            </w:pPr>
            <w:r w:rsidRPr="00517264">
              <w:rPr>
                <w:rFonts w:eastAsia="ArialNarrow"/>
                <w:szCs w:val="18"/>
              </w:rPr>
              <w:t>T5</w:t>
            </w:r>
          </w:p>
        </w:tc>
      </w:tr>
      <w:tr w:rsidR="008878A0" w:rsidRPr="00517264" w14:paraId="06283158"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0D44641E" w14:textId="77777777" w:rsidR="008878A0" w:rsidRPr="00517264" w:rsidRDefault="008878A0" w:rsidP="00517264">
            <w:pPr>
              <w:spacing w:after="0"/>
              <w:jc w:val="left"/>
              <w:rPr>
                <w:rFonts w:eastAsia="ArialNarrow"/>
                <w:szCs w:val="18"/>
              </w:rPr>
            </w:pPr>
            <w:r w:rsidRPr="00517264">
              <w:rPr>
                <w:rFonts w:eastAsia="ArialNarrow"/>
                <w:szCs w:val="18"/>
              </w:rPr>
              <w:t>Turistička zona - Donji Škrnik</w:t>
            </w:r>
          </w:p>
        </w:tc>
        <w:tc>
          <w:tcPr>
            <w:tcW w:w="1727" w:type="pct"/>
            <w:gridSpan w:val="4"/>
            <w:hideMark/>
          </w:tcPr>
          <w:p w14:paraId="13C182A1" w14:textId="77777777" w:rsidR="008878A0" w:rsidRPr="00517264" w:rsidRDefault="008878A0" w:rsidP="00517264">
            <w:pPr>
              <w:spacing w:after="0"/>
              <w:jc w:val="right"/>
              <w:rPr>
                <w:rFonts w:eastAsia="ArialNarrow"/>
                <w:szCs w:val="18"/>
              </w:rPr>
            </w:pPr>
            <w:r w:rsidRPr="00517264">
              <w:rPr>
                <w:rFonts w:eastAsia="ArialNarrow"/>
                <w:szCs w:val="18"/>
              </w:rPr>
              <w:t>Kumrovec, (Donji Škrnik)</w:t>
            </w:r>
          </w:p>
        </w:tc>
        <w:tc>
          <w:tcPr>
            <w:tcW w:w="1155" w:type="pct"/>
            <w:gridSpan w:val="3"/>
            <w:hideMark/>
          </w:tcPr>
          <w:p w14:paraId="01BD2904" w14:textId="77777777" w:rsidR="008878A0" w:rsidRPr="00517264" w:rsidRDefault="008878A0" w:rsidP="00517264">
            <w:pPr>
              <w:spacing w:after="0"/>
              <w:jc w:val="right"/>
              <w:rPr>
                <w:rFonts w:eastAsia="ArialNarrow"/>
                <w:szCs w:val="18"/>
              </w:rPr>
            </w:pPr>
            <w:r w:rsidRPr="00517264">
              <w:rPr>
                <w:rFonts w:eastAsia="ArialNarrow"/>
                <w:szCs w:val="18"/>
              </w:rPr>
              <w:t>1,41 Izgrađeno: 0,35</w:t>
            </w:r>
          </w:p>
        </w:tc>
        <w:tc>
          <w:tcPr>
            <w:tcW w:w="854" w:type="pct"/>
            <w:gridSpan w:val="2"/>
            <w:tcBorders>
              <w:right w:val="single" w:sz="8" w:space="0" w:color="D2232A"/>
            </w:tcBorders>
            <w:hideMark/>
          </w:tcPr>
          <w:p w14:paraId="50DB3FB7" w14:textId="77777777" w:rsidR="008878A0" w:rsidRPr="00517264" w:rsidRDefault="008878A0" w:rsidP="00517264">
            <w:pPr>
              <w:spacing w:after="0"/>
              <w:jc w:val="right"/>
              <w:rPr>
                <w:rFonts w:eastAsia="ArialNarrow"/>
                <w:szCs w:val="18"/>
              </w:rPr>
            </w:pPr>
            <w:r w:rsidRPr="00517264">
              <w:rPr>
                <w:rFonts w:eastAsia="ArialNarrow"/>
                <w:szCs w:val="18"/>
              </w:rPr>
              <w:t>T5</w:t>
            </w:r>
          </w:p>
        </w:tc>
      </w:tr>
      <w:tr w:rsidR="008878A0" w:rsidRPr="00517264" w14:paraId="2C3EAB31"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4EF9A9A0" w14:textId="77777777" w:rsidR="008878A0" w:rsidRPr="00517264" w:rsidRDefault="008878A0" w:rsidP="00517264">
            <w:pPr>
              <w:spacing w:after="0"/>
              <w:jc w:val="left"/>
              <w:rPr>
                <w:rFonts w:eastAsia="ArialNarrow"/>
                <w:szCs w:val="18"/>
              </w:rPr>
            </w:pPr>
            <w:r w:rsidRPr="00517264">
              <w:rPr>
                <w:rFonts w:eastAsia="ArialNarrow"/>
                <w:szCs w:val="18"/>
              </w:rPr>
              <w:t>Etno naselje</w:t>
            </w:r>
          </w:p>
        </w:tc>
        <w:tc>
          <w:tcPr>
            <w:tcW w:w="1727" w:type="pct"/>
            <w:gridSpan w:val="4"/>
            <w:hideMark/>
          </w:tcPr>
          <w:p w14:paraId="5AED42DA" w14:textId="77777777" w:rsidR="008878A0" w:rsidRPr="00517264" w:rsidRDefault="008878A0" w:rsidP="00517264">
            <w:pPr>
              <w:spacing w:after="0"/>
              <w:jc w:val="right"/>
              <w:rPr>
                <w:rFonts w:eastAsia="ArialNarrow"/>
                <w:szCs w:val="18"/>
              </w:rPr>
            </w:pPr>
            <w:r w:rsidRPr="00517264">
              <w:rPr>
                <w:rFonts w:eastAsia="ArialNarrow"/>
                <w:szCs w:val="18"/>
              </w:rPr>
              <w:t>Kumrovec, (Risvica)</w:t>
            </w:r>
          </w:p>
        </w:tc>
        <w:tc>
          <w:tcPr>
            <w:tcW w:w="1155" w:type="pct"/>
            <w:gridSpan w:val="3"/>
            <w:hideMark/>
          </w:tcPr>
          <w:p w14:paraId="5B2A9C54" w14:textId="77777777" w:rsidR="008878A0" w:rsidRPr="00517264" w:rsidRDefault="008878A0" w:rsidP="00517264">
            <w:pPr>
              <w:spacing w:after="0"/>
              <w:jc w:val="right"/>
              <w:rPr>
                <w:rFonts w:eastAsia="ArialNarrow"/>
                <w:szCs w:val="18"/>
              </w:rPr>
            </w:pPr>
            <w:r w:rsidRPr="00517264">
              <w:rPr>
                <w:rFonts w:eastAsia="ArialNarrow"/>
                <w:szCs w:val="18"/>
              </w:rPr>
              <w:t>0,41</w:t>
            </w:r>
          </w:p>
        </w:tc>
        <w:tc>
          <w:tcPr>
            <w:tcW w:w="854" w:type="pct"/>
            <w:gridSpan w:val="2"/>
            <w:tcBorders>
              <w:right w:val="single" w:sz="8" w:space="0" w:color="D2232A"/>
            </w:tcBorders>
            <w:hideMark/>
          </w:tcPr>
          <w:p w14:paraId="0CBC3B61" w14:textId="77777777" w:rsidR="008878A0" w:rsidRPr="00517264" w:rsidRDefault="008878A0" w:rsidP="00517264">
            <w:pPr>
              <w:spacing w:after="0"/>
              <w:jc w:val="right"/>
              <w:rPr>
                <w:rFonts w:eastAsia="ArialNarrow"/>
                <w:szCs w:val="18"/>
              </w:rPr>
            </w:pPr>
            <w:r w:rsidRPr="00517264">
              <w:rPr>
                <w:rFonts w:eastAsia="ArialNarrow"/>
                <w:szCs w:val="18"/>
              </w:rPr>
              <w:t>T7</w:t>
            </w:r>
          </w:p>
        </w:tc>
      </w:tr>
      <w:tr w:rsidR="008878A0" w:rsidRPr="00517264" w14:paraId="689E50DB" w14:textId="77777777" w:rsidTr="00517264">
        <w:tblPrEx>
          <w:tblBorders>
            <w:left w:val="none" w:sz="0" w:space="0" w:color="auto"/>
            <w:right w:val="none" w:sz="0" w:space="0" w:color="auto"/>
          </w:tblBorders>
        </w:tblPrEx>
        <w:trPr>
          <w:gridAfter w:val="1"/>
          <w:wAfter w:w="10" w:type="pct"/>
          <w:trHeight w:val="227"/>
        </w:trPr>
        <w:tc>
          <w:tcPr>
            <w:tcW w:w="1254" w:type="pct"/>
            <w:gridSpan w:val="2"/>
            <w:vMerge w:val="restart"/>
            <w:tcBorders>
              <w:left w:val="single" w:sz="8" w:space="0" w:color="D2232A"/>
            </w:tcBorders>
            <w:hideMark/>
          </w:tcPr>
          <w:p w14:paraId="7B3A3E0E" w14:textId="77777777" w:rsidR="008878A0" w:rsidRPr="00517264" w:rsidRDefault="008878A0" w:rsidP="00517264">
            <w:pPr>
              <w:spacing w:after="0"/>
              <w:jc w:val="left"/>
              <w:rPr>
                <w:rFonts w:eastAsia="ArialNarrow"/>
                <w:szCs w:val="18"/>
              </w:rPr>
            </w:pPr>
            <w:r w:rsidRPr="00517264">
              <w:rPr>
                <w:rFonts w:eastAsia="ArialNarrow"/>
                <w:szCs w:val="18"/>
              </w:rPr>
              <w:t>Zelenjak</w:t>
            </w:r>
          </w:p>
        </w:tc>
        <w:tc>
          <w:tcPr>
            <w:tcW w:w="1727" w:type="pct"/>
            <w:gridSpan w:val="4"/>
            <w:vMerge w:val="restart"/>
            <w:hideMark/>
          </w:tcPr>
          <w:p w14:paraId="046B9554" w14:textId="77777777" w:rsidR="008878A0" w:rsidRPr="00517264" w:rsidRDefault="008878A0" w:rsidP="00517264">
            <w:pPr>
              <w:spacing w:after="0"/>
              <w:jc w:val="right"/>
              <w:rPr>
                <w:rFonts w:eastAsia="ArialNarrow"/>
                <w:szCs w:val="18"/>
              </w:rPr>
            </w:pPr>
            <w:r w:rsidRPr="00517264">
              <w:rPr>
                <w:rFonts w:eastAsia="ArialNarrow"/>
                <w:szCs w:val="18"/>
              </w:rPr>
              <w:t>Kumrovec, (Risvica)</w:t>
            </w:r>
          </w:p>
        </w:tc>
        <w:tc>
          <w:tcPr>
            <w:tcW w:w="1155" w:type="pct"/>
            <w:gridSpan w:val="3"/>
            <w:tcBorders>
              <w:bottom w:val="nil"/>
            </w:tcBorders>
            <w:hideMark/>
          </w:tcPr>
          <w:p w14:paraId="2E4C5CE8" w14:textId="77777777" w:rsidR="008878A0" w:rsidRPr="00517264" w:rsidRDefault="008878A0" w:rsidP="00517264">
            <w:pPr>
              <w:spacing w:after="0"/>
              <w:jc w:val="right"/>
              <w:rPr>
                <w:rFonts w:eastAsia="ArialNarrow"/>
                <w:szCs w:val="18"/>
              </w:rPr>
            </w:pPr>
            <w:r w:rsidRPr="00517264">
              <w:rPr>
                <w:rFonts w:eastAsia="ArialNarrow"/>
                <w:szCs w:val="18"/>
              </w:rPr>
              <w:t>0,66</w:t>
            </w:r>
          </w:p>
        </w:tc>
        <w:tc>
          <w:tcPr>
            <w:tcW w:w="854" w:type="pct"/>
            <w:gridSpan w:val="2"/>
            <w:vMerge w:val="restart"/>
            <w:tcBorders>
              <w:right w:val="single" w:sz="8" w:space="0" w:color="D2232A"/>
            </w:tcBorders>
            <w:hideMark/>
          </w:tcPr>
          <w:p w14:paraId="4294FC42" w14:textId="77777777" w:rsidR="008878A0" w:rsidRPr="00517264" w:rsidRDefault="008878A0" w:rsidP="00517264">
            <w:pPr>
              <w:spacing w:after="0"/>
              <w:jc w:val="right"/>
              <w:rPr>
                <w:rFonts w:eastAsia="ArialNarrow"/>
                <w:szCs w:val="18"/>
              </w:rPr>
            </w:pPr>
            <w:r w:rsidRPr="00517264">
              <w:rPr>
                <w:rFonts w:eastAsia="ArialNarrow"/>
                <w:szCs w:val="18"/>
              </w:rPr>
              <w:t>T6</w:t>
            </w:r>
          </w:p>
        </w:tc>
      </w:tr>
      <w:tr w:rsidR="008878A0" w:rsidRPr="00517264" w14:paraId="48BC1871" w14:textId="77777777" w:rsidTr="00517264">
        <w:tblPrEx>
          <w:tblBorders>
            <w:left w:val="none" w:sz="0" w:space="0" w:color="auto"/>
            <w:right w:val="none" w:sz="0" w:space="0" w:color="auto"/>
          </w:tblBorders>
        </w:tblPrEx>
        <w:trPr>
          <w:gridAfter w:val="1"/>
          <w:wAfter w:w="10" w:type="pct"/>
          <w:trHeight w:val="227"/>
        </w:trPr>
        <w:tc>
          <w:tcPr>
            <w:tcW w:w="1254" w:type="pct"/>
            <w:gridSpan w:val="2"/>
            <w:vMerge/>
            <w:tcBorders>
              <w:left w:val="single" w:sz="8" w:space="0" w:color="D2232A"/>
            </w:tcBorders>
            <w:vAlign w:val="center"/>
            <w:hideMark/>
          </w:tcPr>
          <w:p w14:paraId="1C90DC72" w14:textId="77777777" w:rsidR="008878A0" w:rsidRPr="00517264" w:rsidRDefault="008878A0" w:rsidP="00517264">
            <w:pPr>
              <w:spacing w:after="0"/>
              <w:jc w:val="left"/>
              <w:rPr>
                <w:rFonts w:eastAsia="ArialNarrow"/>
                <w:szCs w:val="18"/>
              </w:rPr>
            </w:pPr>
          </w:p>
        </w:tc>
        <w:tc>
          <w:tcPr>
            <w:tcW w:w="1727" w:type="pct"/>
            <w:gridSpan w:val="4"/>
            <w:vMerge/>
            <w:vAlign w:val="center"/>
            <w:hideMark/>
          </w:tcPr>
          <w:p w14:paraId="7C65B0B1" w14:textId="77777777" w:rsidR="008878A0" w:rsidRPr="00517264" w:rsidRDefault="008878A0" w:rsidP="00517264">
            <w:pPr>
              <w:spacing w:after="0"/>
              <w:jc w:val="right"/>
              <w:rPr>
                <w:rFonts w:eastAsia="ArialNarrow"/>
                <w:szCs w:val="18"/>
              </w:rPr>
            </w:pPr>
          </w:p>
        </w:tc>
        <w:tc>
          <w:tcPr>
            <w:tcW w:w="1155" w:type="pct"/>
            <w:gridSpan w:val="3"/>
            <w:tcBorders>
              <w:top w:val="nil"/>
            </w:tcBorders>
            <w:hideMark/>
          </w:tcPr>
          <w:p w14:paraId="643867BE" w14:textId="77777777" w:rsidR="008878A0" w:rsidRPr="00517264" w:rsidRDefault="008878A0" w:rsidP="00517264">
            <w:pPr>
              <w:spacing w:after="0"/>
              <w:jc w:val="right"/>
              <w:rPr>
                <w:rFonts w:eastAsia="ArialNarrow"/>
                <w:szCs w:val="18"/>
              </w:rPr>
            </w:pPr>
            <w:r w:rsidRPr="00517264">
              <w:rPr>
                <w:rFonts w:eastAsia="ArialNarrow"/>
                <w:szCs w:val="18"/>
              </w:rPr>
              <w:t>Izgrađeno: 0,2</w:t>
            </w:r>
          </w:p>
        </w:tc>
        <w:tc>
          <w:tcPr>
            <w:tcW w:w="854" w:type="pct"/>
            <w:gridSpan w:val="2"/>
            <w:vMerge/>
            <w:tcBorders>
              <w:right w:val="single" w:sz="8" w:space="0" w:color="D2232A"/>
            </w:tcBorders>
            <w:vAlign w:val="center"/>
            <w:hideMark/>
          </w:tcPr>
          <w:p w14:paraId="62F0BE29" w14:textId="77777777" w:rsidR="008878A0" w:rsidRPr="00517264" w:rsidRDefault="008878A0" w:rsidP="00517264">
            <w:pPr>
              <w:spacing w:after="0"/>
              <w:jc w:val="right"/>
              <w:rPr>
                <w:rFonts w:eastAsia="ArialNarrow"/>
                <w:szCs w:val="18"/>
              </w:rPr>
            </w:pPr>
          </w:p>
        </w:tc>
      </w:tr>
      <w:tr w:rsidR="008878A0" w:rsidRPr="00517264" w14:paraId="1BBD2373"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shd w:val="clear" w:color="auto" w:fill="D2232A" w:themeFill="accent1"/>
            <w:hideMark/>
          </w:tcPr>
          <w:p w14:paraId="73026FF4"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ĐURMANEC</w:t>
            </w:r>
          </w:p>
        </w:tc>
        <w:tc>
          <w:tcPr>
            <w:tcW w:w="1727" w:type="pct"/>
            <w:gridSpan w:val="4"/>
            <w:shd w:val="clear" w:color="auto" w:fill="D2232A" w:themeFill="accent1"/>
            <w:hideMark/>
          </w:tcPr>
          <w:p w14:paraId="3F8DD9BA"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3FE6989A"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0C79123B"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23A5E04E"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4205A73A" w14:textId="77777777" w:rsidR="008878A0" w:rsidRPr="00517264" w:rsidRDefault="008878A0" w:rsidP="00517264">
            <w:pPr>
              <w:spacing w:after="0"/>
              <w:jc w:val="left"/>
              <w:rPr>
                <w:rFonts w:eastAsia="ArialNarrow"/>
                <w:color w:val="auto"/>
                <w:szCs w:val="18"/>
              </w:rPr>
            </w:pPr>
            <w:r w:rsidRPr="00517264">
              <w:rPr>
                <w:rFonts w:eastAsia="ArialNarrow"/>
                <w:szCs w:val="18"/>
              </w:rPr>
              <w:t>Putkovec</w:t>
            </w:r>
          </w:p>
        </w:tc>
        <w:tc>
          <w:tcPr>
            <w:tcW w:w="1727" w:type="pct"/>
            <w:gridSpan w:val="4"/>
            <w:hideMark/>
          </w:tcPr>
          <w:p w14:paraId="6DED3B9A" w14:textId="77777777" w:rsidR="008878A0" w:rsidRPr="00517264" w:rsidRDefault="008878A0" w:rsidP="00517264">
            <w:pPr>
              <w:spacing w:after="0"/>
              <w:jc w:val="right"/>
              <w:rPr>
                <w:rFonts w:eastAsia="ArialNarrow"/>
                <w:szCs w:val="18"/>
              </w:rPr>
            </w:pPr>
            <w:r w:rsidRPr="00517264">
              <w:rPr>
                <w:rFonts w:eastAsia="ArialNarrow"/>
                <w:szCs w:val="18"/>
              </w:rPr>
              <w:t>Đurmanec (Putkovec)</w:t>
            </w:r>
          </w:p>
        </w:tc>
        <w:tc>
          <w:tcPr>
            <w:tcW w:w="1155" w:type="pct"/>
            <w:gridSpan w:val="3"/>
            <w:hideMark/>
          </w:tcPr>
          <w:p w14:paraId="4114737D" w14:textId="77777777" w:rsidR="008878A0" w:rsidRPr="00517264" w:rsidRDefault="008878A0" w:rsidP="00517264">
            <w:pPr>
              <w:spacing w:after="0"/>
              <w:jc w:val="right"/>
              <w:rPr>
                <w:rFonts w:eastAsia="ArialNarrow"/>
                <w:szCs w:val="18"/>
              </w:rPr>
            </w:pPr>
            <w:r w:rsidRPr="00517264">
              <w:rPr>
                <w:rFonts w:eastAsia="ArialNarrow"/>
                <w:szCs w:val="18"/>
              </w:rPr>
              <w:t xml:space="preserve">Planirano:2 </w:t>
            </w:r>
          </w:p>
        </w:tc>
        <w:tc>
          <w:tcPr>
            <w:tcW w:w="854" w:type="pct"/>
            <w:gridSpan w:val="2"/>
            <w:tcBorders>
              <w:right w:val="single" w:sz="8" w:space="0" w:color="D2232A"/>
            </w:tcBorders>
            <w:hideMark/>
          </w:tcPr>
          <w:p w14:paraId="489F55A8"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5C74FCE7"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shd w:val="clear" w:color="auto" w:fill="D2232A" w:themeFill="accent1"/>
            <w:hideMark/>
          </w:tcPr>
          <w:p w14:paraId="2D9AD4BF"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PETROVSKO</w:t>
            </w:r>
          </w:p>
        </w:tc>
        <w:tc>
          <w:tcPr>
            <w:tcW w:w="1727" w:type="pct"/>
            <w:gridSpan w:val="4"/>
            <w:shd w:val="clear" w:color="auto" w:fill="D2232A" w:themeFill="accent1"/>
            <w:hideMark/>
          </w:tcPr>
          <w:p w14:paraId="27E07702"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69425679"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30FC5C7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14EE0BB0" w14:textId="77777777" w:rsidTr="00517264">
        <w:tblPrEx>
          <w:tblBorders>
            <w:left w:val="none" w:sz="0" w:space="0" w:color="auto"/>
            <w:right w:val="none" w:sz="0" w:space="0" w:color="auto"/>
          </w:tblBorders>
        </w:tblPrEx>
        <w:trPr>
          <w:gridAfter w:val="1"/>
          <w:wAfter w:w="10" w:type="pct"/>
          <w:trHeight w:val="227"/>
        </w:trPr>
        <w:tc>
          <w:tcPr>
            <w:tcW w:w="1254" w:type="pct"/>
            <w:gridSpan w:val="2"/>
            <w:vMerge w:val="restart"/>
            <w:tcBorders>
              <w:left w:val="single" w:sz="8" w:space="0" w:color="D2232A"/>
            </w:tcBorders>
            <w:hideMark/>
          </w:tcPr>
          <w:p w14:paraId="0F170D6D" w14:textId="77777777" w:rsidR="008878A0" w:rsidRPr="00517264" w:rsidRDefault="008878A0" w:rsidP="00517264">
            <w:pPr>
              <w:spacing w:after="0"/>
              <w:jc w:val="left"/>
              <w:rPr>
                <w:rFonts w:eastAsia="ArialNarrow"/>
                <w:color w:val="auto"/>
                <w:szCs w:val="18"/>
              </w:rPr>
            </w:pPr>
            <w:r w:rsidRPr="00517264">
              <w:rPr>
                <w:rFonts w:eastAsia="ArialNarrow"/>
                <w:szCs w:val="18"/>
              </w:rPr>
              <w:t>Turistička zona Benkovec Petrovski</w:t>
            </w:r>
          </w:p>
        </w:tc>
        <w:tc>
          <w:tcPr>
            <w:tcW w:w="1727" w:type="pct"/>
            <w:gridSpan w:val="4"/>
            <w:vMerge w:val="restart"/>
            <w:hideMark/>
          </w:tcPr>
          <w:p w14:paraId="026ACA78" w14:textId="77777777" w:rsidR="008878A0" w:rsidRPr="00517264" w:rsidRDefault="008878A0" w:rsidP="00517264">
            <w:pPr>
              <w:spacing w:after="0"/>
              <w:jc w:val="right"/>
              <w:rPr>
                <w:rFonts w:eastAsia="ArialNarrow"/>
                <w:szCs w:val="18"/>
              </w:rPr>
            </w:pPr>
            <w:r w:rsidRPr="00517264">
              <w:rPr>
                <w:rFonts w:eastAsia="ArialNarrow"/>
                <w:szCs w:val="18"/>
              </w:rPr>
              <w:t>Petrovsko, (Benkovec Petrovski)</w:t>
            </w:r>
          </w:p>
        </w:tc>
        <w:tc>
          <w:tcPr>
            <w:tcW w:w="1155" w:type="pct"/>
            <w:gridSpan w:val="3"/>
            <w:tcBorders>
              <w:bottom w:val="nil"/>
            </w:tcBorders>
            <w:hideMark/>
          </w:tcPr>
          <w:p w14:paraId="55E61617" w14:textId="77777777" w:rsidR="008878A0" w:rsidRPr="00517264" w:rsidRDefault="008878A0" w:rsidP="00517264">
            <w:pPr>
              <w:spacing w:after="0"/>
              <w:jc w:val="right"/>
              <w:rPr>
                <w:rFonts w:eastAsia="ArialNarrow"/>
                <w:szCs w:val="18"/>
              </w:rPr>
            </w:pPr>
            <w:r w:rsidRPr="00517264">
              <w:rPr>
                <w:rFonts w:eastAsia="ArialNarrow"/>
                <w:szCs w:val="18"/>
              </w:rPr>
              <w:t>0,4</w:t>
            </w:r>
          </w:p>
        </w:tc>
        <w:tc>
          <w:tcPr>
            <w:tcW w:w="854" w:type="pct"/>
            <w:gridSpan w:val="2"/>
            <w:vMerge w:val="restart"/>
            <w:tcBorders>
              <w:right w:val="single" w:sz="8" w:space="0" w:color="D2232A"/>
            </w:tcBorders>
            <w:hideMark/>
          </w:tcPr>
          <w:p w14:paraId="76EA488C"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4E717760" w14:textId="77777777" w:rsidTr="00517264">
        <w:tblPrEx>
          <w:tblBorders>
            <w:left w:val="none" w:sz="0" w:space="0" w:color="auto"/>
            <w:right w:val="none" w:sz="0" w:space="0" w:color="auto"/>
          </w:tblBorders>
        </w:tblPrEx>
        <w:trPr>
          <w:gridAfter w:val="1"/>
          <w:wAfter w:w="10" w:type="pct"/>
          <w:trHeight w:val="227"/>
        </w:trPr>
        <w:tc>
          <w:tcPr>
            <w:tcW w:w="1254" w:type="pct"/>
            <w:gridSpan w:val="2"/>
            <w:vMerge/>
            <w:tcBorders>
              <w:left w:val="single" w:sz="8" w:space="0" w:color="D2232A"/>
            </w:tcBorders>
            <w:vAlign w:val="center"/>
            <w:hideMark/>
          </w:tcPr>
          <w:p w14:paraId="0B4316EA" w14:textId="77777777" w:rsidR="008878A0" w:rsidRPr="00517264" w:rsidRDefault="008878A0" w:rsidP="00517264">
            <w:pPr>
              <w:spacing w:after="0"/>
              <w:jc w:val="left"/>
              <w:rPr>
                <w:rFonts w:eastAsia="ArialNarrow"/>
                <w:szCs w:val="18"/>
              </w:rPr>
            </w:pPr>
          </w:p>
        </w:tc>
        <w:tc>
          <w:tcPr>
            <w:tcW w:w="1727" w:type="pct"/>
            <w:gridSpan w:val="4"/>
            <w:vMerge/>
            <w:vAlign w:val="center"/>
            <w:hideMark/>
          </w:tcPr>
          <w:p w14:paraId="27D2B66C" w14:textId="77777777" w:rsidR="008878A0" w:rsidRPr="00517264" w:rsidRDefault="008878A0" w:rsidP="00517264">
            <w:pPr>
              <w:spacing w:after="0"/>
              <w:jc w:val="right"/>
              <w:rPr>
                <w:rFonts w:eastAsia="ArialNarrow"/>
                <w:szCs w:val="18"/>
              </w:rPr>
            </w:pPr>
          </w:p>
        </w:tc>
        <w:tc>
          <w:tcPr>
            <w:tcW w:w="1155" w:type="pct"/>
            <w:gridSpan w:val="3"/>
            <w:tcBorders>
              <w:top w:val="nil"/>
            </w:tcBorders>
            <w:hideMark/>
          </w:tcPr>
          <w:p w14:paraId="59AD158A" w14:textId="77777777" w:rsidR="008878A0" w:rsidRPr="00517264" w:rsidRDefault="008878A0" w:rsidP="00517264">
            <w:pPr>
              <w:spacing w:after="0"/>
              <w:jc w:val="right"/>
              <w:rPr>
                <w:rFonts w:eastAsia="ArialNarrow"/>
                <w:szCs w:val="18"/>
              </w:rPr>
            </w:pPr>
            <w:r w:rsidRPr="00517264">
              <w:rPr>
                <w:rFonts w:eastAsia="ArialNarrow"/>
                <w:szCs w:val="18"/>
              </w:rPr>
              <w:t>Izgrađeno: 0,27</w:t>
            </w:r>
          </w:p>
        </w:tc>
        <w:tc>
          <w:tcPr>
            <w:tcW w:w="854" w:type="pct"/>
            <w:gridSpan w:val="2"/>
            <w:vMerge/>
            <w:tcBorders>
              <w:right w:val="single" w:sz="8" w:space="0" w:color="D2232A"/>
            </w:tcBorders>
            <w:vAlign w:val="center"/>
            <w:hideMark/>
          </w:tcPr>
          <w:p w14:paraId="602033D6" w14:textId="77777777" w:rsidR="008878A0" w:rsidRPr="00517264" w:rsidRDefault="008878A0" w:rsidP="00517264">
            <w:pPr>
              <w:spacing w:after="0"/>
              <w:jc w:val="right"/>
              <w:rPr>
                <w:rFonts w:eastAsia="ArialNarrow"/>
                <w:szCs w:val="18"/>
              </w:rPr>
            </w:pPr>
          </w:p>
        </w:tc>
      </w:tr>
      <w:tr w:rsidR="008878A0" w:rsidRPr="00517264" w14:paraId="0AA598DA"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71FD8785" w14:textId="77777777" w:rsidR="008878A0" w:rsidRPr="00517264" w:rsidRDefault="008878A0" w:rsidP="00517264">
            <w:pPr>
              <w:spacing w:after="0"/>
              <w:jc w:val="left"/>
              <w:rPr>
                <w:rFonts w:eastAsia="ArialNarrow"/>
                <w:szCs w:val="18"/>
              </w:rPr>
            </w:pPr>
            <w:r w:rsidRPr="00517264">
              <w:rPr>
                <w:rFonts w:eastAsia="ArialNarrow"/>
                <w:szCs w:val="18"/>
              </w:rPr>
              <w:t xml:space="preserve">Sport i rekreacija i tenisko igralište - Presečki </w:t>
            </w:r>
          </w:p>
        </w:tc>
        <w:tc>
          <w:tcPr>
            <w:tcW w:w="1727" w:type="pct"/>
            <w:gridSpan w:val="4"/>
            <w:hideMark/>
          </w:tcPr>
          <w:p w14:paraId="2644FDDE" w14:textId="77777777" w:rsidR="008878A0" w:rsidRPr="00517264" w:rsidRDefault="008878A0" w:rsidP="00517264">
            <w:pPr>
              <w:spacing w:after="0"/>
              <w:jc w:val="right"/>
              <w:rPr>
                <w:rFonts w:eastAsia="ArialNarrow"/>
                <w:szCs w:val="18"/>
              </w:rPr>
            </w:pPr>
            <w:r w:rsidRPr="00517264">
              <w:rPr>
                <w:rFonts w:eastAsia="ArialNarrow"/>
                <w:szCs w:val="18"/>
              </w:rPr>
              <w:t>Petrovsko, (Benkovec Petrovski)</w:t>
            </w:r>
          </w:p>
        </w:tc>
        <w:tc>
          <w:tcPr>
            <w:tcW w:w="1155" w:type="pct"/>
            <w:gridSpan w:val="3"/>
            <w:hideMark/>
          </w:tcPr>
          <w:p w14:paraId="3FCBED90" w14:textId="77777777" w:rsidR="008878A0" w:rsidRPr="00517264" w:rsidRDefault="008878A0" w:rsidP="00517264">
            <w:pPr>
              <w:spacing w:after="0"/>
              <w:jc w:val="right"/>
              <w:rPr>
                <w:rFonts w:eastAsia="ArialNarrow"/>
                <w:szCs w:val="18"/>
              </w:rPr>
            </w:pPr>
            <w:r w:rsidRPr="00517264">
              <w:rPr>
                <w:rFonts w:eastAsia="ArialNarrow"/>
                <w:szCs w:val="18"/>
              </w:rPr>
              <w:t>0,006871</w:t>
            </w:r>
          </w:p>
        </w:tc>
        <w:tc>
          <w:tcPr>
            <w:tcW w:w="854" w:type="pct"/>
            <w:gridSpan w:val="2"/>
            <w:tcBorders>
              <w:right w:val="single" w:sz="8" w:space="0" w:color="D2232A"/>
            </w:tcBorders>
            <w:hideMark/>
          </w:tcPr>
          <w:p w14:paraId="0D6584D5" w14:textId="77777777" w:rsidR="008878A0" w:rsidRPr="00517264" w:rsidRDefault="008878A0" w:rsidP="00517264">
            <w:pPr>
              <w:spacing w:after="0"/>
              <w:jc w:val="right"/>
              <w:rPr>
                <w:rFonts w:eastAsia="ArialNarrow"/>
                <w:szCs w:val="18"/>
              </w:rPr>
            </w:pPr>
            <w:r w:rsidRPr="00517264">
              <w:rPr>
                <w:rFonts w:eastAsia="ArialNarrow"/>
                <w:szCs w:val="18"/>
              </w:rPr>
              <w:t>R</w:t>
            </w:r>
          </w:p>
        </w:tc>
      </w:tr>
      <w:tr w:rsidR="008878A0" w:rsidRPr="00517264" w14:paraId="5C4CA644"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0DE5A2E3" w14:textId="77777777" w:rsidR="008878A0" w:rsidRPr="00517264" w:rsidRDefault="008878A0" w:rsidP="00517264">
            <w:pPr>
              <w:spacing w:after="0"/>
              <w:jc w:val="left"/>
              <w:rPr>
                <w:rFonts w:eastAsia="ArialNarrow"/>
                <w:szCs w:val="18"/>
              </w:rPr>
            </w:pPr>
            <w:r w:rsidRPr="00517264">
              <w:rPr>
                <w:rFonts w:eastAsia="ArialNarrow"/>
                <w:szCs w:val="18"/>
              </w:rPr>
              <w:t xml:space="preserve">Seoski turizam - Presečki </w:t>
            </w:r>
          </w:p>
        </w:tc>
        <w:tc>
          <w:tcPr>
            <w:tcW w:w="1727" w:type="pct"/>
            <w:gridSpan w:val="4"/>
            <w:hideMark/>
          </w:tcPr>
          <w:p w14:paraId="3DA6A114" w14:textId="77777777" w:rsidR="008878A0" w:rsidRPr="00517264" w:rsidRDefault="008878A0" w:rsidP="00517264">
            <w:pPr>
              <w:spacing w:after="0"/>
              <w:jc w:val="right"/>
              <w:rPr>
                <w:rFonts w:eastAsia="ArialNarrow"/>
                <w:szCs w:val="18"/>
              </w:rPr>
            </w:pPr>
            <w:r w:rsidRPr="00517264">
              <w:rPr>
                <w:rFonts w:eastAsia="ArialNarrow"/>
                <w:szCs w:val="18"/>
              </w:rPr>
              <w:t>Petrovsko, (Benkovec Petrovski)</w:t>
            </w:r>
          </w:p>
        </w:tc>
        <w:tc>
          <w:tcPr>
            <w:tcW w:w="1155" w:type="pct"/>
            <w:gridSpan w:val="3"/>
            <w:hideMark/>
          </w:tcPr>
          <w:p w14:paraId="3C7E4219" w14:textId="77777777" w:rsidR="008878A0" w:rsidRPr="00517264" w:rsidRDefault="008878A0" w:rsidP="00517264">
            <w:pPr>
              <w:spacing w:after="0"/>
              <w:jc w:val="right"/>
              <w:rPr>
                <w:rFonts w:eastAsia="ArialNarrow"/>
                <w:szCs w:val="18"/>
              </w:rPr>
            </w:pPr>
            <w:r w:rsidRPr="00517264">
              <w:rPr>
                <w:rFonts w:eastAsia="ArialNarrow"/>
                <w:szCs w:val="18"/>
              </w:rPr>
              <w:t>0,108161</w:t>
            </w:r>
          </w:p>
        </w:tc>
        <w:tc>
          <w:tcPr>
            <w:tcW w:w="854" w:type="pct"/>
            <w:gridSpan w:val="2"/>
            <w:tcBorders>
              <w:right w:val="single" w:sz="8" w:space="0" w:color="D2232A"/>
            </w:tcBorders>
            <w:hideMark/>
          </w:tcPr>
          <w:p w14:paraId="52BA9E02"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64063826"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shd w:val="clear" w:color="auto" w:fill="D2232A" w:themeFill="accent1"/>
            <w:hideMark/>
          </w:tcPr>
          <w:p w14:paraId="03935BFE"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JESENJE</w:t>
            </w:r>
          </w:p>
        </w:tc>
        <w:tc>
          <w:tcPr>
            <w:tcW w:w="1727" w:type="pct"/>
            <w:gridSpan w:val="4"/>
            <w:shd w:val="clear" w:color="auto" w:fill="D2232A" w:themeFill="accent1"/>
            <w:hideMark/>
          </w:tcPr>
          <w:p w14:paraId="473CD838"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043FB7FC"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1B81F7A5"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045AD66B"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5DA50762" w14:textId="77777777" w:rsidR="008878A0" w:rsidRPr="00517264" w:rsidRDefault="008878A0" w:rsidP="00517264">
            <w:pPr>
              <w:spacing w:after="0"/>
              <w:jc w:val="left"/>
              <w:rPr>
                <w:rFonts w:eastAsia="ArialNarrow"/>
                <w:color w:val="auto"/>
                <w:szCs w:val="18"/>
              </w:rPr>
            </w:pPr>
            <w:r w:rsidRPr="00517264">
              <w:rPr>
                <w:rFonts w:eastAsia="ArialNarrow"/>
                <w:szCs w:val="18"/>
              </w:rPr>
              <w:t>Turističko područje - Karapeta</w:t>
            </w:r>
          </w:p>
        </w:tc>
        <w:tc>
          <w:tcPr>
            <w:tcW w:w="1727" w:type="pct"/>
            <w:gridSpan w:val="4"/>
            <w:hideMark/>
          </w:tcPr>
          <w:p w14:paraId="1F1924ED" w14:textId="77777777" w:rsidR="008878A0" w:rsidRPr="00517264" w:rsidRDefault="008878A0" w:rsidP="00517264">
            <w:pPr>
              <w:spacing w:after="0"/>
              <w:jc w:val="right"/>
              <w:rPr>
                <w:rFonts w:eastAsia="ArialNarrow"/>
                <w:szCs w:val="18"/>
              </w:rPr>
            </w:pPr>
            <w:r w:rsidRPr="00517264">
              <w:rPr>
                <w:rFonts w:eastAsia="ArialNarrow"/>
                <w:szCs w:val="18"/>
              </w:rPr>
              <w:t>Jesenje, (Donje Jesenje)</w:t>
            </w:r>
          </w:p>
        </w:tc>
        <w:tc>
          <w:tcPr>
            <w:tcW w:w="1155" w:type="pct"/>
            <w:gridSpan w:val="3"/>
            <w:hideMark/>
          </w:tcPr>
          <w:p w14:paraId="22AA6846" w14:textId="77777777" w:rsidR="008878A0" w:rsidRPr="00517264" w:rsidRDefault="008878A0" w:rsidP="00517264">
            <w:pPr>
              <w:spacing w:after="0"/>
              <w:jc w:val="right"/>
              <w:rPr>
                <w:rFonts w:eastAsia="ArialNarrow"/>
                <w:szCs w:val="18"/>
              </w:rPr>
            </w:pPr>
            <w:r w:rsidRPr="00517264">
              <w:rPr>
                <w:rFonts w:eastAsia="ArialNarrow"/>
                <w:szCs w:val="18"/>
              </w:rPr>
              <w:t>71,24</w:t>
            </w:r>
          </w:p>
        </w:tc>
        <w:tc>
          <w:tcPr>
            <w:tcW w:w="854" w:type="pct"/>
            <w:gridSpan w:val="2"/>
            <w:tcBorders>
              <w:right w:val="single" w:sz="8" w:space="0" w:color="D2232A"/>
            </w:tcBorders>
            <w:hideMark/>
          </w:tcPr>
          <w:p w14:paraId="7E6F068A" w14:textId="77777777" w:rsidR="008878A0" w:rsidRPr="00517264" w:rsidRDefault="008878A0" w:rsidP="00517264">
            <w:pPr>
              <w:spacing w:after="0"/>
              <w:jc w:val="right"/>
              <w:rPr>
                <w:rFonts w:eastAsia="ArialNarrow"/>
                <w:szCs w:val="18"/>
              </w:rPr>
            </w:pPr>
            <w:r w:rsidRPr="00517264">
              <w:rPr>
                <w:rFonts w:eastAsia="ArialNarrow"/>
                <w:szCs w:val="18"/>
              </w:rPr>
              <w:t>T6</w:t>
            </w:r>
          </w:p>
        </w:tc>
      </w:tr>
      <w:tr w:rsidR="008878A0" w:rsidRPr="00517264" w14:paraId="602E7303"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2BE08B22" w14:textId="77777777" w:rsidR="008878A0" w:rsidRPr="00517264" w:rsidRDefault="008878A0" w:rsidP="00517264">
            <w:pPr>
              <w:spacing w:after="0"/>
              <w:jc w:val="left"/>
              <w:rPr>
                <w:rFonts w:eastAsia="ArialNarrow"/>
                <w:szCs w:val="18"/>
              </w:rPr>
            </w:pPr>
            <w:r w:rsidRPr="00517264">
              <w:rPr>
                <w:rFonts w:eastAsia="ArialNarrow"/>
                <w:szCs w:val="18"/>
              </w:rPr>
              <w:t xml:space="preserve">Športsko rekreacijsko područje Ribnjak </w:t>
            </w:r>
          </w:p>
        </w:tc>
        <w:tc>
          <w:tcPr>
            <w:tcW w:w="1727" w:type="pct"/>
            <w:gridSpan w:val="4"/>
            <w:hideMark/>
          </w:tcPr>
          <w:p w14:paraId="60465D09" w14:textId="77777777" w:rsidR="008878A0" w:rsidRPr="00517264" w:rsidRDefault="008878A0" w:rsidP="00517264">
            <w:pPr>
              <w:spacing w:after="0"/>
              <w:jc w:val="right"/>
              <w:rPr>
                <w:rFonts w:eastAsia="ArialNarrow"/>
                <w:szCs w:val="18"/>
              </w:rPr>
            </w:pPr>
            <w:r w:rsidRPr="00517264">
              <w:rPr>
                <w:rFonts w:eastAsia="ArialNarrow"/>
                <w:szCs w:val="18"/>
              </w:rPr>
              <w:t>Gornje Jesenje</w:t>
            </w:r>
          </w:p>
        </w:tc>
        <w:tc>
          <w:tcPr>
            <w:tcW w:w="1155" w:type="pct"/>
            <w:gridSpan w:val="3"/>
            <w:hideMark/>
          </w:tcPr>
          <w:p w14:paraId="066BF944" w14:textId="77777777" w:rsidR="008878A0" w:rsidRPr="00517264" w:rsidRDefault="008878A0" w:rsidP="00517264">
            <w:pPr>
              <w:spacing w:after="0"/>
              <w:jc w:val="right"/>
              <w:rPr>
                <w:rFonts w:eastAsia="ArialNarrow"/>
                <w:szCs w:val="18"/>
              </w:rPr>
            </w:pPr>
            <w:r w:rsidRPr="00517264">
              <w:rPr>
                <w:rFonts w:eastAsia="ArialNarrow"/>
                <w:szCs w:val="18"/>
              </w:rPr>
              <w:t>1,1</w:t>
            </w:r>
          </w:p>
        </w:tc>
        <w:tc>
          <w:tcPr>
            <w:tcW w:w="854" w:type="pct"/>
            <w:gridSpan w:val="2"/>
            <w:tcBorders>
              <w:right w:val="single" w:sz="8" w:space="0" w:color="D2232A"/>
            </w:tcBorders>
            <w:hideMark/>
          </w:tcPr>
          <w:p w14:paraId="774654C1" w14:textId="77777777" w:rsidR="008878A0" w:rsidRPr="00517264" w:rsidRDefault="008878A0" w:rsidP="00517264">
            <w:pPr>
              <w:spacing w:after="0"/>
              <w:jc w:val="right"/>
              <w:rPr>
                <w:rFonts w:eastAsia="ArialNarrow"/>
                <w:szCs w:val="18"/>
              </w:rPr>
            </w:pPr>
            <w:r w:rsidRPr="00517264">
              <w:rPr>
                <w:rFonts w:eastAsia="ArialNarrow"/>
                <w:szCs w:val="18"/>
              </w:rPr>
              <w:t>R</w:t>
            </w:r>
          </w:p>
        </w:tc>
      </w:tr>
      <w:tr w:rsidR="008878A0" w:rsidRPr="00517264" w14:paraId="7C727FC6"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hideMark/>
          </w:tcPr>
          <w:p w14:paraId="70FF2084" w14:textId="77777777" w:rsidR="008878A0" w:rsidRPr="00517264" w:rsidRDefault="008878A0" w:rsidP="00517264">
            <w:pPr>
              <w:spacing w:after="0"/>
              <w:jc w:val="left"/>
              <w:rPr>
                <w:rFonts w:eastAsia="ArialNarrow"/>
                <w:szCs w:val="18"/>
              </w:rPr>
            </w:pPr>
            <w:r w:rsidRPr="00517264">
              <w:rPr>
                <w:rFonts w:eastAsia="ArialNarrow"/>
                <w:szCs w:val="18"/>
              </w:rPr>
              <w:t>Športsko rekreacijsko područje LD Kuna</w:t>
            </w:r>
          </w:p>
        </w:tc>
        <w:tc>
          <w:tcPr>
            <w:tcW w:w="1727" w:type="pct"/>
            <w:gridSpan w:val="4"/>
            <w:hideMark/>
          </w:tcPr>
          <w:p w14:paraId="068F4D69" w14:textId="2E8ECAB9" w:rsidR="008878A0" w:rsidRPr="00517264" w:rsidRDefault="008878A0" w:rsidP="00517264">
            <w:pPr>
              <w:spacing w:after="0"/>
              <w:jc w:val="right"/>
              <w:rPr>
                <w:rFonts w:eastAsia="ArialNarrow"/>
                <w:szCs w:val="18"/>
              </w:rPr>
            </w:pPr>
            <w:r w:rsidRPr="00517264">
              <w:rPr>
                <w:rFonts w:eastAsia="ArialNarrow"/>
                <w:szCs w:val="18"/>
              </w:rPr>
              <w:t xml:space="preserve">Cerje </w:t>
            </w:r>
            <w:r w:rsidR="00BE268C">
              <w:rPr>
                <w:rFonts w:eastAsia="ArialNarrow"/>
                <w:szCs w:val="18"/>
              </w:rPr>
              <w:t>J</w:t>
            </w:r>
            <w:r w:rsidRPr="00517264">
              <w:rPr>
                <w:rFonts w:eastAsia="ArialNarrow"/>
                <w:szCs w:val="18"/>
              </w:rPr>
              <w:t xml:space="preserve">esenjsko </w:t>
            </w:r>
          </w:p>
        </w:tc>
        <w:tc>
          <w:tcPr>
            <w:tcW w:w="1155" w:type="pct"/>
            <w:gridSpan w:val="3"/>
            <w:hideMark/>
          </w:tcPr>
          <w:p w14:paraId="42996686" w14:textId="77777777" w:rsidR="008878A0" w:rsidRPr="00517264" w:rsidRDefault="008878A0" w:rsidP="00517264">
            <w:pPr>
              <w:spacing w:after="0"/>
              <w:jc w:val="right"/>
              <w:rPr>
                <w:rFonts w:eastAsia="ArialNarrow"/>
                <w:szCs w:val="18"/>
              </w:rPr>
            </w:pPr>
            <w:r w:rsidRPr="00517264">
              <w:rPr>
                <w:rFonts w:eastAsia="ArialNarrow"/>
                <w:szCs w:val="18"/>
              </w:rPr>
              <w:t>0,9</w:t>
            </w:r>
          </w:p>
        </w:tc>
        <w:tc>
          <w:tcPr>
            <w:tcW w:w="854" w:type="pct"/>
            <w:gridSpan w:val="2"/>
            <w:tcBorders>
              <w:right w:val="single" w:sz="8" w:space="0" w:color="D2232A"/>
            </w:tcBorders>
            <w:hideMark/>
          </w:tcPr>
          <w:p w14:paraId="11FEF10F" w14:textId="77777777" w:rsidR="008878A0" w:rsidRPr="00517264" w:rsidRDefault="008878A0" w:rsidP="00517264">
            <w:pPr>
              <w:spacing w:after="0"/>
              <w:jc w:val="right"/>
              <w:rPr>
                <w:rFonts w:eastAsia="ArialNarrow"/>
                <w:szCs w:val="18"/>
              </w:rPr>
            </w:pPr>
            <w:r w:rsidRPr="00517264">
              <w:rPr>
                <w:rFonts w:eastAsia="ArialNarrow"/>
                <w:szCs w:val="18"/>
              </w:rPr>
              <w:t>R8</w:t>
            </w:r>
          </w:p>
        </w:tc>
      </w:tr>
      <w:tr w:rsidR="008878A0" w:rsidRPr="00517264" w14:paraId="3897E99A"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tcBorders>
            <w:shd w:val="clear" w:color="auto" w:fill="D2232A" w:themeFill="accent1"/>
            <w:hideMark/>
          </w:tcPr>
          <w:p w14:paraId="4F9CB907"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RADOBOJ</w:t>
            </w:r>
          </w:p>
        </w:tc>
        <w:tc>
          <w:tcPr>
            <w:tcW w:w="1727" w:type="pct"/>
            <w:gridSpan w:val="4"/>
            <w:shd w:val="clear" w:color="auto" w:fill="D2232A" w:themeFill="accent1"/>
            <w:hideMark/>
          </w:tcPr>
          <w:p w14:paraId="4A73232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3E1942D3"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tcBorders>
              <w:right w:val="single" w:sz="8" w:space="0" w:color="D2232A"/>
            </w:tcBorders>
            <w:shd w:val="clear" w:color="auto" w:fill="D2232A" w:themeFill="accent1"/>
            <w:hideMark/>
          </w:tcPr>
          <w:p w14:paraId="6A256B72"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28590808" w14:textId="77777777" w:rsidTr="00517264">
        <w:tblPrEx>
          <w:tblBorders>
            <w:left w:val="none" w:sz="0" w:space="0" w:color="auto"/>
            <w:right w:val="none" w:sz="0" w:space="0" w:color="auto"/>
          </w:tblBorders>
        </w:tblPrEx>
        <w:trPr>
          <w:gridAfter w:val="1"/>
          <w:wAfter w:w="10" w:type="pct"/>
          <w:trHeight w:val="227"/>
        </w:trPr>
        <w:tc>
          <w:tcPr>
            <w:tcW w:w="1254" w:type="pct"/>
            <w:gridSpan w:val="2"/>
            <w:tcBorders>
              <w:left w:val="single" w:sz="8" w:space="0" w:color="D2232A"/>
              <w:bottom w:val="nil"/>
            </w:tcBorders>
            <w:hideMark/>
          </w:tcPr>
          <w:p w14:paraId="36E99615" w14:textId="77777777" w:rsidR="008878A0" w:rsidRPr="00517264" w:rsidRDefault="008878A0" w:rsidP="00517264">
            <w:pPr>
              <w:spacing w:after="0"/>
              <w:jc w:val="left"/>
              <w:rPr>
                <w:rFonts w:eastAsia="ArialNarrow"/>
                <w:color w:val="auto"/>
                <w:szCs w:val="18"/>
              </w:rPr>
            </w:pPr>
            <w:r w:rsidRPr="00517264">
              <w:rPr>
                <w:rFonts w:eastAsia="ArialNarrow"/>
                <w:szCs w:val="18"/>
              </w:rPr>
              <w:t>Turistička zona - Radoboj</w:t>
            </w:r>
          </w:p>
        </w:tc>
        <w:tc>
          <w:tcPr>
            <w:tcW w:w="1727" w:type="pct"/>
            <w:gridSpan w:val="4"/>
            <w:tcBorders>
              <w:bottom w:val="nil"/>
            </w:tcBorders>
            <w:hideMark/>
          </w:tcPr>
          <w:p w14:paraId="3A2F7500" w14:textId="77777777" w:rsidR="008878A0" w:rsidRPr="00517264" w:rsidRDefault="008878A0" w:rsidP="00517264">
            <w:pPr>
              <w:spacing w:after="0"/>
              <w:jc w:val="right"/>
              <w:rPr>
                <w:rFonts w:eastAsia="ArialNarrow"/>
                <w:szCs w:val="18"/>
              </w:rPr>
            </w:pPr>
            <w:r w:rsidRPr="00517264">
              <w:rPr>
                <w:rFonts w:eastAsia="ArialNarrow"/>
                <w:szCs w:val="18"/>
              </w:rPr>
              <w:t>Radoboj, (Gorjani Sutinski, Gornja Šemnica)</w:t>
            </w:r>
          </w:p>
        </w:tc>
        <w:tc>
          <w:tcPr>
            <w:tcW w:w="1155" w:type="pct"/>
            <w:gridSpan w:val="3"/>
            <w:tcBorders>
              <w:bottom w:val="nil"/>
            </w:tcBorders>
            <w:hideMark/>
          </w:tcPr>
          <w:p w14:paraId="49A864E1" w14:textId="77777777" w:rsidR="008878A0" w:rsidRPr="00517264" w:rsidRDefault="008878A0" w:rsidP="00517264">
            <w:pPr>
              <w:spacing w:after="0"/>
              <w:jc w:val="right"/>
              <w:rPr>
                <w:rFonts w:eastAsia="ArialNarrow"/>
                <w:szCs w:val="18"/>
              </w:rPr>
            </w:pPr>
            <w:r w:rsidRPr="00517264">
              <w:rPr>
                <w:rFonts w:eastAsia="ArialNarrow"/>
                <w:szCs w:val="18"/>
              </w:rPr>
              <w:t>1,42</w:t>
            </w:r>
          </w:p>
        </w:tc>
        <w:tc>
          <w:tcPr>
            <w:tcW w:w="854" w:type="pct"/>
            <w:gridSpan w:val="2"/>
            <w:tcBorders>
              <w:bottom w:val="nil"/>
              <w:right w:val="single" w:sz="8" w:space="0" w:color="D2232A"/>
            </w:tcBorders>
            <w:hideMark/>
          </w:tcPr>
          <w:p w14:paraId="5C32EA72"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6BC2E7A0" w14:textId="77777777" w:rsidTr="00517264">
        <w:trPr>
          <w:gridAfter w:val="1"/>
          <w:wAfter w:w="10" w:type="pct"/>
          <w:trHeight w:val="227"/>
        </w:trPr>
        <w:tc>
          <w:tcPr>
            <w:tcW w:w="1254" w:type="pct"/>
            <w:gridSpan w:val="2"/>
            <w:shd w:val="clear" w:color="auto" w:fill="D2232A" w:themeFill="accent1"/>
            <w:hideMark/>
          </w:tcPr>
          <w:p w14:paraId="7A95F4F8" w14:textId="1BC04E04"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PREGRADA</w:t>
            </w:r>
          </w:p>
        </w:tc>
        <w:tc>
          <w:tcPr>
            <w:tcW w:w="1727" w:type="pct"/>
            <w:gridSpan w:val="4"/>
            <w:shd w:val="clear" w:color="auto" w:fill="D2232A" w:themeFill="accent1"/>
            <w:hideMark/>
          </w:tcPr>
          <w:p w14:paraId="65E3B4AB"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6B96F795"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19A50BD0"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6A58F0B1" w14:textId="77777777" w:rsidTr="00517264">
        <w:trPr>
          <w:gridAfter w:val="1"/>
          <w:wAfter w:w="10" w:type="pct"/>
          <w:trHeight w:val="227"/>
        </w:trPr>
        <w:tc>
          <w:tcPr>
            <w:tcW w:w="1254" w:type="pct"/>
            <w:gridSpan w:val="2"/>
            <w:hideMark/>
          </w:tcPr>
          <w:p w14:paraId="2F3CE6C1" w14:textId="77777777" w:rsidR="008878A0" w:rsidRPr="00517264" w:rsidRDefault="008878A0" w:rsidP="00517264">
            <w:pPr>
              <w:spacing w:after="0"/>
              <w:jc w:val="left"/>
              <w:rPr>
                <w:rFonts w:eastAsia="ArialNarrow"/>
                <w:color w:val="auto"/>
                <w:szCs w:val="18"/>
              </w:rPr>
            </w:pPr>
            <w:r w:rsidRPr="00517264">
              <w:rPr>
                <w:rFonts w:eastAsia="ArialNarrow"/>
                <w:szCs w:val="18"/>
              </w:rPr>
              <w:t>Stari Kamenelom - Pregrada I</w:t>
            </w:r>
          </w:p>
        </w:tc>
        <w:tc>
          <w:tcPr>
            <w:tcW w:w="1727" w:type="pct"/>
            <w:gridSpan w:val="4"/>
            <w:hideMark/>
          </w:tcPr>
          <w:p w14:paraId="4E6D36E1" w14:textId="77777777" w:rsidR="008878A0" w:rsidRPr="00517264" w:rsidRDefault="008878A0" w:rsidP="00517264">
            <w:pPr>
              <w:spacing w:after="0"/>
              <w:jc w:val="right"/>
              <w:rPr>
                <w:rFonts w:eastAsia="ArialNarrow"/>
                <w:szCs w:val="18"/>
              </w:rPr>
            </w:pPr>
            <w:r w:rsidRPr="00517264">
              <w:rPr>
                <w:rFonts w:eastAsia="ArialNarrow"/>
                <w:szCs w:val="18"/>
              </w:rPr>
              <w:t>Pregrada, (Pregrada)</w:t>
            </w:r>
          </w:p>
        </w:tc>
        <w:tc>
          <w:tcPr>
            <w:tcW w:w="1155" w:type="pct"/>
            <w:gridSpan w:val="3"/>
            <w:hideMark/>
          </w:tcPr>
          <w:p w14:paraId="4EDF3B7E" w14:textId="77777777" w:rsidR="008878A0" w:rsidRPr="00517264" w:rsidRDefault="008878A0" w:rsidP="00517264">
            <w:pPr>
              <w:spacing w:after="0"/>
              <w:jc w:val="right"/>
              <w:rPr>
                <w:rFonts w:eastAsia="ArialNarrow"/>
                <w:szCs w:val="18"/>
              </w:rPr>
            </w:pPr>
            <w:r w:rsidRPr="00517264">
              <w:rPr>
                <w:rFonts w:eastAsia="ArialNarrow"/>
                <w:szCs w:val="18"/>
              </w:rPr>
              <w:t>1,58</w:t>
            </w:r>
          </w:p>
        </w:tc>
        <w:tc>
          <w:tcPr>
            <w:tcW w:w="854" w:type="pct"/>
            <w:gridSpan w:val="2"/>
            <w:hideMark/>
          </w:tcPr>
          <w:p w14:paraId="64FA1DDF"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2B36FB1A" w14:textId="77777777" w:rsidTr="00517264">
        <w:trPr>
          <w:gridAfter w:val="1"/>
          <w:wAfter w:w="10" w:type="pct"/>
          <w:trHeight w:val="227"/>
        </w:trPr>
        <w:tc>
          <w:tcPr>
            <w:tcW w:w="1254" w:type="pct"/>
            <w:gridSpan w:val="2"/>
            <w:hideMark/>
          </w:tcPr>
          <w:p w14:paraId="711699BA" w14:textId="77777777" w:rsidR="008878A0" w:rsidRPr="00517264" w:rsidRDefault="008878A0" w:rsidP="00517264">
            <w:pPr>
              <w:spacing w:after="0"/>
              <w:jc w:val="left"/>
              <w:rPr>
                <w:rFonts w:eastAsia="ArialNarrow"/>
                <w:szCs w:val="18"/>
              </w:rPr>
            </w:pPr>
            <w:r w:rsidRPr="00517264">
              <w:rPr>
                <w:rFonts w:eastAsia="ArialNarrow"/>
                <w:szCs w:val="18"/>
              </w:rPr>
              <w:t>Lovački dom</w:t>
            </w:r>
          </w:p>
        </w:tc>
        <w:tc>
          <w:tcPr>
            <w:tcW w:w="1727" w:type="pct"/>
            <w:gridSpan w:val="4"/>
            <w:hideMark/>
          </w:tcPr>
          <w:p w14:paraId="0B147633" w14:textId="77777777" w:rsidR="008878A0" w:rsidRPr="00517264" w:rsidRDefault="008878A0" w:rsidP="00517264">
            <w:pPr>
              <w:spacing w:after="0"/>
              <w:jc w:val="right"/>
              <w:rPr>
                <w:rFonts w:eastAsia="ArialNarrow"/>
                <w:szCs w:val="18"/>
              </w:rPr>
            </w:pPr>
            <w:r w:rsidRPr="00517264">
              <w:rPr>
                <w:rFonts w:eastAsia="ArialNarrow"/>
                <w:szCs w:val="18"/>
              </w:rPr>
              <w:t>Pregrada, (Pregrada)</w:t>
            </w:r>
          </w:p>
        </w:tc>
        <w:tc>
          <w:tcPr>
            <w:tcW w:w="1155" w:type="pct"/>
            <w:gridSpan w:val="3"/>
            <w:hideMark/>
          </w:tcPr>
          <w:p w14:paraId="2B073F4C" w14:textId="77777777" w:rsidR="008878A0" w:rsidRPr="00517264" w:rsidRDefault="008878A0" w:rsidP="00517264">
            <w:pPr>
              <w:spacing w:after="0"/>
              <w:jc w:val="right"/>
              <w:rPr>
                <w:rFonts w:eastAsia="ArialNarrow"/>
                <w:szCs w:val="18"/>
              </w:rPr>
            </w:pPr>
            <w:r w:rsidRPr="00517264">
              <w:rPr>
                <w:rFonts w:eastAsia="ArialNarrow"/>
                <w:szCs w:val="18"/>
              </w:rPr>
              <w:t>Izgrađeno: 0,34</w:t>
            </w:r>
          </w:p>
        </w:tc>
        <w:tc>
          <w:tcPr>
            <w:tcW w:w="854" w:type="pct"/>
            <w:gridSpan w:val="2"/>
            <w:hideMark/>
          </w:tcPr>
          <w:p w14:paraId="50140600"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0E9016D9" w14:textId="77777777" w:rsidTr="00517264">
        <w:trPr>
          <w:gridAfter w:val="1"/>
          <w:wAfter w:w="10" w:type="pct"/>
          <w:trHeight w:val="227"/>
        </w:trPr>
        <w:tc>
          <w:tcPr>
            <w:tcW w:w="1254" w:type="pct"/>
            <w:gridSpan w:val="2"/>
            <w:hideMark/>
          </w:tcPr>
          <w:p w14:paraId="774BEAC2" w14:textId="77777777" w:rsidR="008878A0" w:rsidRPr="00517264" w:rsidRDefault="008878A0" w:rsidP="00517264">
            <w:pPr>
              <w:spacing w:after="0"/>
              <w:jc w:val="left"/>
              <w:rPr>
                <w:rFonts w:eastAsia="ArialNarrow"/>
                <w:szCs w:val="18"/>
              </w:rPr>
            </w:pPr>
            <w:r w:rsidRPr="00517264">
              <w:rPr>
                <w:rFonts w:eastAsia="ArialNarrow"/>
                <w:szCs w:val="18"/>
              </w:rPr>
              <w:t>Turistička zona - Jurišić</w:t>
            </w:r>
          </w:p>
        </w:tc>
        <w:tc>
          <w:tcPr>
            <w:tcW w:w="1727" w:type="pct"/>
            <w:gridSpan w:val="4"/>
            <w:hideMark/>
          </w:tcPr>
          <w:p w14:paraId="367A1E45" w14:textId="77777777" w:rsidR="008878A0" w:rsidRPr="00517264" w:rsidRDefault="008878A0" w:rsidP="00517264">
            <w:pPr>
              <w:spacing w:after="0"/>
              <w:jc w:val="right"/>
              <w:rPr>
                <w:rFonts w:eastAsia="ArialNarrow"/>
                <w:szCs w:val="18"/>
              </w:rPr>
            </w:pPr>
            <w:r w:rsidRPr="00517264">
              <w:rPr>
                <w:rFonts w:eastAsia="ArialNarrow"/>
                <w:szCs w:val="18"/>
              </w:rPr>
              <w:t>Pregrada, (Gabrovec)</w:t>
            </w:r>
          </w:p>
        </w:tc>
        <w:tc>
          <w:tcPr>
            <w:tcW w:w="1155" w:type="pct"/>
            <w:gridSpan w:val="3"/>
            <w:hideMark/>
          </w:tcPr>
          <w:p w14:paraId="05E81868" w14:textId="77777777" w:rsidR="008878A0" w:rsidRPr="00517264" w:rsidRDefault="008878A0" w:rsidP="00517264">
            <w:pPr>
              <w:spacing w:after="0"/>
              <w:jc w:val="right"/>
              <w:rPr>
                <w:rFonts w:eastAsia="ArialNarrow"/>
                <w:szCs w:val="18"/>
              </w:rPr>
            </w:pPr>
            <w:r w:rsidRPr="00517264">
              <w:rPr>
                <w:rFonts w:eastAsia="ArialNarrow"/>
                <w:szCs w:val="18"/>
              </w:rPr>
              <w:t>0,12</w:t>
            </w:r>
          </w:p>
        </w:tc>
        <w:tc>
          <w:tcPr>
            <w:tcW w:w="854" w:type="pct"/>
            <w:gridSpan w:val="2"/>
            <w:hideMark/>
          </w:tcPr>
          <w:p w14:paraId="33FD115E"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6E4528E6" w14:textId="77777777" w:rsidTr="00517264">
        <w:trPr>
          <w:gridAfter w:val="1"/>
          <w:wAfter w:w="10" w:type="pct"/>
          <w:trHeight w:val="227"/>
        </w:trPr>
        <w:tc>
          <w:tcPr>
            <w:tcW w:w="1254" w:type="pct"/>
            <w:gridSpan w:val="2"/>
            <w:hideMark/>
          </w:tcPr>
          <w:p w14:paraId="48C93230" w14:textId="77777777" w:rsidR="008878A0" w:rsidRPr="00517264" w:rsidRDefault="008878A0" w:rsidP="00517264">
            <w:pPr>
              <w:spacing w:after="0"/>
              <w:jc w:val="left"/>
              <w:rPr>
                <w:rFonts w:eastAsia="ArialNarrow"/>
                <w:szCs w:val="18"/>
              </w:rPr>
            </w:pPr>
            <w:r w:rsidRPr="00517264">
              <w:rPr>
                <w:rFonts w:eastAsia="ArialNarrow"/>
                <w:szCs w:val="18"/>
              </w:rPr>
              <w:t>Turistička zona - Antonić</w:t>
            </w:r>
          </w:p>
        </w:tc>
        <w:tc>
          <w:tcPr>
            <w:tcW w:w="1727" w:type="pct"/>
            <w:gridSpan w:val="4"/>
            <w:hideMark/>
          </w:tcPr>
          <w:p w14:paraId="69972D7B" w14:textId="77777777" w:rsidR="008878A0" w:rsidRPr="00517264" w:rsidRDefault="008878A0" w:rsidP="00517264">
            <w:pPr>
              <w:spacing w:after="0"/>
              <w:jc w:val="right"/>
              <w:rPr>
                <w:rFonts w:eastAsia="ArialNarrow"/>
                <w:szCs w:val="18"/>
              </w:rPr>
            </w:pPr>
            <w:r w:rsidRPr="00517264">
              <w:rPr>
                <w:rFonts w:eastAsia="ArialNarrow"/>
                <w:szCs w:val="18"/>
              </w:rPr>
              <w:t>Pregrada, (Velika Gora)</w:t>
            </w:r>
          </w:p>
        </w:tc>
        <w:tc>
          <w:tcPr>
            <w:tcW w:w="1155" w:type="pct"/>
            <w:gridSpan w:val="3"/>
            <w:hideMark/>
          </w:tcPr>
          <w:p w14:paraId="67B8C3EA" w14:textId="77777777" w:rsidR="008878A0" w:rsidRPr="00517264" w:rsidRDefault="008878A0" w:rsidP="00517264">
            <w:pPr>
              <w:spacing w:after="0"/>
              <w:jc w:val="right"/>
              <w:rPr>
                <w:rFonts w:eastAsia="ArialNarrow"/>
                <w:szCs w:val="18"/>
              </w:rPr>
            </w:pPr>
            <w:r w:rsidRPr="00517264">
              <w:rPr>
                <w:rFonts w:eastAsia="ArialNarrow"/>
                <w:szCs w:val="18"/>
              </w:rPr>
              <w:t>Izgrađeno: 0,37</w:t>
            </w:r>
          </w:p>
        </w:tc>
        <w:tc>
          <w:tcPr>
            <w:tcW w:w="854" w:type="pct"/>
            <w:gridSpan w:val="2"/>
            <w:hideMark/>
          </w:tcPr>
          <w:p w14:paraId="3640C7FE"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159E6D12" w14:textId="77777777" w:rsidTr="00517264">
        <w:trPr>
          <w:gridAfter w:val="1"/>
          <w:wAfter w:w="10" w:type="pct"/>
          <w:trHeight w:val="227"/>
        </w:trPr>
        <w:tc>
          <w:tcPr>
            <w:tcW w:w="1254" w:type="pct"/>
            <w:gridSpan w:val="2"/>
            <w:hideMark/>
          </w:tcPr>
          <w:p w14:paraId="6E3EE049" w14:textId="77777777" w:rsidR="008878A0" w:rsidRPr="00517264" w:rsidRDefault="008878A0" w:rsidP="00517264">
            <w:pPr>
              <w:spacing w:after="0"/>
              <w:jc w:val="left"/>
              <w:rPr>
                <w:rFonts w:eastAsia="ArialNarrow"/>
                <w:szCs w:val="18"/>
              </w:rPr>
            </w:pPr>
            <w:r w:rsidRPr="00517264">
              <w:rPr>
                <w:rFonts w:eastAsia="ArialNarrow"/>
                <w:szCs w:val="18"/>
              </w:rPr>
              <w:t xml:space="preserve">Vinagora (Gabrovec 2) </w:t>
            </w:r>
          </w:p>
        </w:tc>
        <w:tc>
          <w:tcPr>
            <w:tcW w:w="1727" w:type="pct"/>
            <w:gridSpan w:val="4"/>
            <w:hideMark/>
          </w:tcPr>
          <w:p w14:paraId="7D2F3D89" w14:textId="77777777" w:rsidR="008878A0" w:rsidRPr="00517264" w:rsidRDefault="008878A0" w:rsidP="00517264">
            <w:pPr>
              <w:spacing w:after="0"/>
              <w:jc w:val="right"/>
              <w:rPr>
                <w:rFonts w:eastAsia="ArialNarrow"/>
                <w:szCs w:val="18"/>
              </w:rPr>
            </w:pPr>
            <w:r w:rsidRPr="00517264">
              <w:rPr>
                <w:rFonts w:eastAsia="ArialNarrow"/>
                <w:szCs w:val="18"/>
              </w:rPr>
              <w:t>Pregrada (Vinagora)</w:t>
            </w:r>
          </w:p>
        </w:tc>
        <w:tc>
          <w:tcPr>
            <w:tcW w:w="1155" w:type="pct"/>
            <w:gridSpan w:val="3"/>
            <w:hideMark/>
          </w:tcPr>
          <w:p w14:paraId="1858BC10" w14:textId="0DBEC0F1" w:rsidR="008878A0" w:rsidRPr="00517264" w:rsidRDefault="00F844F8" w:rsidP="00517264">
            <w:pPr>
              <w:spacing w:after="0"/>
              <w:jc w:val="right"/>
              <w:rPr>
                <w:rFonts w:eastAsia="ArialNarrow"/>
                <w:szCs w:val="18"/>
              </w:rPr>
            </w:pPr>
            <w:r>
              <w:rPr>
                <w:rFonts w:eastAsia="ArialNarrow"/>
                <w:szCs w:val="18"/>
              </w:rPr>
              <w:t>n/a</w:t>
            </w:r>
          </w:p>
        </w:tc>
        <w:tc>
          <w:tcPr>
            <w:tcW w:w="854" w:type="pct"/>
            <w:gridSpan w:val="2"/>
            <w:hideMark/>
          </w:tcPr>
          <w:p w14:paraId="1F337F11"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757B218C" w14:textId="77777777" w:rsidTr="00517264">
        <w:trPr>
          <w:gridAfter w:val="1"/>
          <w:wAfter w:w="10" w:type="pct"/>
          <w:trHeight w:val="227"/>
        </w:trPr>
        <w:tc>
          <w:tcPr>
            <w:tcW w:w="1254" w:type="pct"/>
            <w:gridSpan w:val="2"/>
            <w:hideMark/>
          </w:tcPr>
          <w:p w14:paraId="79CB005C" w14:textId="77777777" w:rsidR="008878A0" w:rsidRPr="00517264" w:rsidRDefault="008878A0" w:rsidP="00517264">
            <w:pPr>
              <w:spacing w:after="0"/>
              <w:jc w:val="left"/>
              <w:rPr>
                <w:rFonts w:eastAsia="ArialNarrow"/>
                <w:szCs w:val="18"/>
              </w:rPr>
            </w:pPr>
            <w:r w:rsidRPr="00517264">
              <w:rPr>
                <w:rFonts w:eastAsia="ArialNarrow"/>
                <w:szCs w:val="18"/>
              </w:rPr>
              <w:t xml:space="preserve">Kostel - Stančić </w:t>
            </w:r>
          </w:p>
        </w:tc>
        <w:tc>
          <w:tcPr>
            <w:tcW w:w="1727" w:type="pct"/>
            <w:gridSpan w:val="4"/>
            <w:hideMark/>
          </w:tcPr>
          <w:p w14:paraId="7BD9CBCB" w14:textId="77777777" w:rsidR="008878A0" w:rsidRPr="00517264" w:rsidRDefault="008878A0" w:rsidP="00517264">
            <w:pPr>
              <w:spacing w:after="0"/>
              <w:jc w:val="right"/>
              <w:rPr>
                <w:rFonts w:eastAsia="ArialNarrow"/>
                <w:szCs w:val="18"/>
              </w:rPr>
            </w:pPr>
            <w:r w:rsidRPr="00517264">
              <w:rPr>
                <w:rFonts w:eastAsia="ArialNarrow"/>
                <w:szCs w:val="18"/>
              </w:rPr>
              <w:t xml:space="preserve">Pregrada (Kostel) </w:t>
            </w:r>
          </w:p>
        </w:tc>
        <w:tc>
          <w:tcPr>
            <w:tcW w:w="1155" w:type="pct"/>
            <w:gridSpan w:val="3"/>
            <w:hideMark/>
          </w:tcPr>
          <w:p w14:paraId="6D6C2D0B" w14:textId="1B4E7475" w:rsidR="008878A0" w:rsidRPr="00517264" w:rsidRDefault="00F844F8" w:rsidP="00517264">
            <w:pPr>
              <w:spacing w:after="0"/>
              <w:jc w:val="right"/>
              <w:rPr>
                <w:rFonts w:eastAsia="ArialNarrow"/>
                <w:szCs w:val="18"/>
              </w:rPr>
            </w:pPr>
            <w:r>
              <w:rPr>
                <w:rFonts w:eastAsia="ArialNarrow"/>
                <w:szCs w:val="18"/>
              </w:rPr>
              <w:t>n/a</w:t>
            </w:r>
          </w:p>
        </w:tc>
        <w:tc>
          <w:tcPr>
            <w:tcW w:w="854" w:type="pct"/>
            <w:gridSpan w:val="2"/>
            <w:hideMark/>
          </w:tcPr>
          <w:p w14:paraId="6A08FA67"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195B3DBB" w14:textId="77777777" w:rsidTr="00517264">
        <w:trPr>
          <w:gridAfter w:val="1"/>
          <w:wAfter w:w="10" w:type="pct"/>
          <w:trHeight w:val="227"/>
        </w:trPr>
        <w:tc>
          <w:tcPr>
            <w:tcW w:w="1254" w:type="pct"/>
            <w:gridSpan w:val="2"/>
            <w:hideMark/>
          </w:tcPr>
          <w:p w14:paraId="0FC2F9CA" w14:textId="77777777" w:rsidR="008878A0" w:rsidRPr="00517264" w:rsidRDefault="008878A0" w:rsidP="00517264">
            <w:pPr>
              <w:spacing w:after="0"/>
              <w:jc w:val="left"/>
              <w:rPr>
                <w:rFonts w:eastAsia="ArialNarrow"/>
                <w:szCs w:val="18"/>
              </w:rPr>
            </w:pPr>
            <w:r w:rsidRPr="00517264">
              <w:rPr>
                <w:rFonts w:eastAsia="ArialNarrow"/>
                <w:szCs w:val="18"/>
              </w:rPr>
              <w:t>Kamenolom 1</w:t>
            </w:r>
          </w:p>
        </w:tc>
        <w:tc>
          <w:tcPr>
            <w:tcW w:w="1727" w:type="pct"/>
            <w:gridSpan w:val="4"/>
            <w:hideMark/>
          </w:tcPr>
          <w:p w14:paraId="45F56CA9" w14:textId="77777777" w:rsidR="008878A0" w:rsidRPr="00517264" w:rsidRDefault="008878A0" w:rsidP="00517264">
            <w:pPr>
              <w:spacing w:after="0"/>
              <w:jc w:val="right"/>
              <w:rPr>
                <w:rFonts w:eastAsia="ArialNarrow"/>
                <w:szCs w:val="18"/>
              </w:rPr>
            </w:pPr>
            <w:r w:rsidRPr="00517264">
              <w:rPr>
                <w:rFonts w:eastAsia="ArialNarrow"/>
                <w:szCs w:val="18"/>
              </w:rPr>
              <w:t>Pregrada (Pregrada)</w:t>
            </w:r>
          </w:p>
        </w:tc>
        <w:tc>
          <w:tcPr>
            <w:tcW w:w="1155" w:type="pct"/>
            <w:gridSpan w:val="3"/>
            <w:hideMark/>
          </w:tcPr>
          <w:p w14:paraId="735664A9" w14:textId="5AA5AC6C" w:rsidR="008878A0" w:rsidRPr="00517264" w:rsidRDefault="00F844F8" w:rsidP="00517264">
            <w:pPr>
              <w:spacing w:after="0"/>
              <w:jc w:val="right"/>
              <w:rPr>
                <w:rFonts w:eastAsia="ArialNarrow"/>
                <w:szCs w:val="18"/>
              </w:rPr>
            </w:pPr>
            <w:r>
              <w:rPr>
                <w:rFonts w:eastAsia="ArialNarrow"/>
                <w:szCs w:val="18"/>
              </w:rPr>
              <w:t>n/a</w:t>
            </w:r>
          </w:p>
        </w:tc>
        <w:tc>
          <w:tcPr>
            <w:tcW w:w="854" w:type="pct"/>
            <w:gridSpan w:val="2"/>
            <w:hideMark/>
          </w:tcPr>
          <w:p w14:paraId="54609C5B"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1A2A61ED" w14:textId="77777777" w:rsidTr="00517264">
        <w:trPr>
          <w:gridAfter w:val="1"/>
          <w:wAfter w:w="10" w:type="pct"/>
          <w:trHeight w:val="227"/>
        </w:trPr>
        <w:tc>
          <w:tcPr>
            <w:tcW w:w="1254" w:type="pct"/>
            <w:gridSpan w:val="2"/>
            <w:hideMark/>
          </w:tcPr>
          <w:p w14:paraId="5C5BED46" w14:textId="77777777" w:rsidR="008878A0" w:rsidRPr="00517264" w:rsidRDefault="008878A0" w:rsidP="00517264">
            <w:pPr>
              <w:spacing w:after="0"/>
              <w:jc w:val="left"/>
              <w:rPr>
                <w:rFonts w:eastAsia="ArialNarrow"/>
                <w:szCs w:val="18"/>
              </w:rPr>
            </w:pPr>
            <w:r w:rsidRPr="00517264">
              <w:rPr>
                <w:rFonts w:eastAsia="ArialNarrow"/>
                <w:szCs w:val="18"/>
              </w:rPr>
              <w:t>Pregrada - Plemenšćina - Tatarović</w:t>
            </w:r>
          </w:p>
        </w:tc>
        <w:tc>
          <w:tcPr>
            <w:tcW w:w="1727" w:type="pct"/>
            <w:gridSpan w:val="4"/>
            <w:hideMark/>
          </w:tcPr>
          <w:p w14:paraId="4DAA7510" w14:textId="3703F4F9" w:rsidR="008878A0" w:rsidRPr="00517264" w:rsidRDefault="008878A0" w:rsidP="00517264">
            <w:pPr>
              <w:spacing w:after="0"/>
              <w:jc w:val="right"/>
              <w:rPr>
                <w:rFonts w:eastAsia="ArialNarrow"/>
                <w:szCs w:val="18"/>
              </w:rPr>
            </w:pPr>
            <w:r w:rsidRPr="00517264">
              <w:rPr>
                <w:rFonts w:eastAsia="ArialNarrow"/>
                <w:szCs w:val="18"/>
              </w:rPr>
              <w:t>Pregrada (Pregrada, Pl</w:t>
            </w:r>
            <w:r w:rsidR="00BE268C">
              <w:rPr>
                <w:rFonts w:eastAsia="ArialNarrow"/>
                <w:szCs w:val="18"/>
              </w:rPr>
              <w:t>e</w:t>
            </w:r>
            <w:r w:rsidRPr="00517264">
              <w:rPr>
                <w:rFonts w:eastAsia="ArialNarrow"/>
                <w:szCs w:val="18"/>
              </w:rPr>
              <w:t>menšćina)</w:t>
            </w:r>
          </w:p>
        </w:tc>
        <w:tc>
          <w:tcPr>
            <w:tcW w:w="1155" w:type="pct"/>
            <w:gridSpan w:val="3"/>
            <w:hideMark/>
          </w:tcPr>
          <w:p w14:paraId="1F59D077" w14:textId="16BF5C06" w:rsidR="008878A0" w:rsidRPr="00517264" w:rsidRDefault="00F844F8" w:rsidP="00517264">
            <w:pPr>
              <w:spacing w:after="0"/>
              <w:jc w:val="right"/>
              <w:rPr>
                <w:rFonts w:eastAsia="ArialNarrow"/>
                <w:szCs w:val="18"/>
              </w:rPr>
            </w:pPr>
            <w:r>
              <w:rPr>
                <w:rFonts w:eastAsia="ArialNarrow"/>
                <w:szCs w:val="18"/>
              </w:rPr>
              <w:t>n/a</w:t>
            </w:r>
          </w:p>
        </w:tc>
        <w:tc>
          <w:tcPr>
            <w:tcW w:w="854" w:type="pct"/>
            <w:gridSpan w:val="2"/>
            <w:hideMark/>
          </w:tcPr>
          <w:p w14:paraId="539F1D0D"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0F2C0AE2" w14:textId="77777777" w:rsidTr="00517264">
        <w:trPr>
          <w:gridAfter w:val="1"/>
          <w:wAfter w:w="10" w:type="pct"/>
          <w:trHeight w:val="227"/>
        </w:trPr>
        <w:tc>
          <w:tcPr>
            <w:tcW w:w="1254" w:type="pct"/>
            <w:gridSpan w:val="2"/>
            <w:hideMark/>
          </w:tcPr>
          <w:p w14:paraId="66FB91A5" w14:textId="77777777" w:rsidR="008878A0" w:rsidRPr="00517264" w:rsidRDefault="008878A0" w:rsidP="00517264">
            <w:pPr>
              <w:spacing w:after="0"/>
              <w:jc w:val="left"/>
              <w:rPr>
                <w:rFonts w:eastAsia="ArialNarrow"/>
                <w:szCs w:val="18"/>
              </w:rPr>
            </w:pPr>
            <w:r w:rsidRPr="00517264">
              <w:rPr>
                <w:rFonts w:eastAsia="ArialNarrow"/>
                <w:szCs w:val="18"/>
              </w:rPr>
              <w:t>Rekreacijska zona - Antonić</w:t>
            </w:r>
          </w:p>
        </w:tc>
        <w:tc>
          <w:tcPr>
            <w:tcW w:w="1727" w:type="pct"/>
            <w:gridSpan w:val="4"/>
            <w:hideMark/>
          </w:tcPr>
          <w:p w14:paraId="5C0F4AE5" w14:textId="77777777" w:rsidR="008878A0" w:rsidRPr="00517264" w:rsidRDefault="008878A0" w:rsidP="00517264">
            <w:pPr>
              <w:spacing w:after="0"/>
              <w:jc w:val="right"/>
              <w:rPr>
                <w:rFonts w:eastAsia="ArialNarrow"/>
                <w:szCs w:val="18"/>
              </w:rPr>
            </w:pPr>
            <w:r w:rsidRPr="00517264">
              <w:rPr>
                <w:rFonts w:eastAsia="ArialNarrow"/>
                <w:szCs w:val="18"/>
              </w:rPr>
              <w:t xml:space="preserve">Pregrada (Velika Gora) </w:t>
            </w:r>
          </w:p>
        </w:tc>
        <w:tc>
          <w:tcPr>
            <w:tcW w:w="1155" w:type="pct"/>
            <w:gridSpan w:val="3"/>
            <w:hideMark/>
          </w:tcPr>
          <w:p w14:paraId="51B918DE" w14:textId="39B01E72" w:rsidR="008878A0" w:rsidRPr="00517264" w:rsidRDefault="00F844F8" w:rsidP="00517264">
            <w:pPr>
              <w:spacing w:after="0"/>
              <w:jc w:val="right"/>
              <w:rPr>
                <w:rFonts w:eastAsia="ArialNarrow"/>
                <w:szCs w:val="18"/>
              </w:rPr>
            </w:pPr>
            <w:r>
              <w:rPr>
                <w:rFonts w:eastAsia="ArialNarrow"/>
                <w:szCs w:val="18"/>
              </w:rPr>
              <w:t>n/a</w:t>
            </w:r>
          </w:p>
        </w:tc>
        <w:tc>
          <w:tcPr>
            <w:tcW w:w="854" w:type="pct"/>
            <w:gridSpan w:val="2"/>
            <w:hideMark/>
          </w:tcPr>
          <w:p w14:paraId="44FBE925" w14:textId="77777777" w:rsidR="008878A0" w:rsidRPr="00517264" w:rsidRDefault="008878A0" w:rsidP="00517264">
            <w:pPr>
              <w:spacing w:after="0"/>
              <w:jc w:val="right"/>
              <w:rPr>
                <w:rFonts w:eastAsia="ArialNarrow"/>
                <w:szCs w:val="18"/>
              </w:rPr>
            </w:pPr>
            <w:r w:rsidRPr="00517264">
              <w:rPr>
                <w:rFonts w:eastAsia="ArialNarrow"/>
                <w:szCs w:val="18"/>
              </w:rPr>
              <w:t>R</w:t>
            </w:r>
          </w:p>
        </w:tc>
      </w:tr>
      <w:tr w:rsidR="008878A0" w:rsidRPr="00517264" w14:paraId="48D070FD" w14:textId="77777777" w:rsidTr="00517264">
        <w:trPr>
          <w:gridAfter w:val="1"/>
          <w:wAfter w:w="10" w:type="pct"/>
          <w:trHeight w:val="227"/>
        </w:trPr>
        <w:tc>
          <w:tcPr>
            <w:tcW w:w="1254" w:type="pct"/>
            <w:gridSpan w:val="2"/>
            <w:hideMark/>
          </w:tcPr>
          <w:p w14:paraId="27AA3CCC" w14:textId="77777777" w:rsidR="008878A0" w:rsidRPr="00517264" w:rsidRDefault="008878A0" w:rsidP="00517264">
            <w:pPr>
              <w:spacing w:after="0"/>
              <w:jc w:val="left"/>
              <w:rPr>
                <w:rFonts w:eastAsia="ArialNarrow"/>
                <w:szCs w:val="18"/>
              </w:rPr>
            </w:pPr>
            <w:r w:rsidRPr="00517264">
              <w:rPr>
                <w:rFonts w:eastAsia="ArialNarrow"/>
                <w:szCs w:val="18"/>
              </w:rPr>
              <w:t xml:space="preserve">Rekreacijska zona - Pregrada - Bio bazen </w:t>
            </w:r>
          </w:p>
        </w:tc>
        <w:tc>
          <w:tcPr>
            <w:tcW w:w="1727" w:type="pct"/>
            <w:gridSpan w:val="4"/>
            <w:hideMark/>
          </w:tcPr>
          <w:p w14:paraId="48EB1688" w14:textId="77777777" w:rsidR="008878A0" w:rsidRPr="00517264" w:rsidRDefault="008878A0" w:rsidP="00517264">
            <w:pPr>
              <w:spacing w:after="0"/>
              <w:jc w:val="right"/>
              <w:rPr>
                <w:rFonts w:eastAsia="ArialNarrow"/>
                <w:szCs w:val="18"/>
              </w:rPr>
            </w:pPr>
            <w:r w:rsidRPr="00517264">
              <w:rPr>
                <w:rFonts w:eastAsia="ArialNarrow"/>
                <w:szCs w:val="18"/>
              </w:rPr>
              <w:t>Pregrada (Pregrada)</w:t>
            </w:r>
          </w:p>
        </w:tc>
        <w:tc>
          <w:tcPr>
            <w:tcW w:w="1155" w:type="pct"/>
            <w:gridSpan w:val="3"/>
            <w:hideMark/>
          </w:tcPr>
          <w:p w14:paraId="7DCC30A0" w14:textId="1B36E0C5" w:rsidR="008878A0" w:rsidRPr="00517264" w:rsidRDefault="00F844F8" w:rsidP="00517264">
            <w:pPr>
              <w:spacing w:after="0"/>
              <w:jc w:val="right"/>
              <w:rPr>
                <w:rFonts w:eastAsia="ArialNarrow"/>
                <w:szCs w:val="18"/>
              </w:rPr>
            </w:pPr>
            <w:r>
              <w:rPr>
                <w:rFonts w:eastAsia="ArialNarrow"/>
                <w:szCs w:val="18"/>
              </w:rPr>
              <w:t>n/a</w:t>
            </w:r>
          </w:p>
        </w:tc>
        <w:tc>
          <w:tcPr>
            <w:tcW w:w="854" w:type="pct"/>
            <w:gridSpan w:val="2"/>
            <w:hideMark/>
          </w:tcPr>
          <w:p w14:paraId="1D72666F" w14:textId="77777777" w:rsidR="008878A0" w:rsidRPr="00517264" w:rsidRDefault="008878A0" w:rsidP="00517264">
            <w:pPr>
              <w:spacing w:after="0"/>
              <w:jc w:val="right"/>
              <w:rPr>
                <w:rFonts w:eastAsia="ArialNarrow"/>
                <w:szCs w:val="18"/>
              </w:rPr>
            </w:pPr>
            <w:r w:rsidRPr="00517264">
              <w:rPr>
                <w:rFonts w:eastAsia="ArialNarrow"/>
                <w:szCs w:val="18"/>
              </w:rPr>
              <w:t>R</w:t>
            </w:r>
          </w:p>
        </w:tc>
      </w:tr>
      <w:tr w:rsidR="008878A0" w:rsidRPr="00517264" w14:paraId="667D4F36" w14:textId="77777777" w:rsidTr="00517264">
        <w:trPr>
          <w:gridAfter w:val="1"/>
          <w:wAfter w:w="10" w:type="pct"/>
          <w:trHeight w:val="227"/>
        </w:trPr>
        <w:tc>
          <w:tcPr>
            <w:tcW w:w="1254" w:type="pct"/>
            <w:gridSpan w:val="2"/>
            <w:hideMark/>
          </w:tcPr>
          <w:p w14:paraId="7F8B6A61" w14:textId="77777777" w:rsidR="008878A0" w:rsidRPr="00517264" w:rsidRDefault="008878A0" w:rsidP="00517264">
            <w:pPr>
              <w:spacing w:after="0"/>
              <w:jc w:val="left"/>
              <w:rPr>
                <w:rFonts w:eastAsia="ArialNarrow"/>
                <w:szCs w:val="18"/>
              </w:rPr>
            </w:pPr>
            <w:r w:rsidRPr="00517264">
              <w:rPr>
                <w:rFonts w:eastAsia="ArialNarrow"/>
                <w:szCs w:val="18"/>
              </w:rPr>
              <w:t xml:space="preserve">Rekreacijska zona - igrališta NK pregrada, teniski tereni - proširenje </w:t>
            </w:r>
          </w:p>
        </w:tc>
        <w:tc>
          <w:tcPr>
            <w:tcW w:w="1727" w:type="pct"/>
            <w:gridSpan w:val="4"/>
            <w:hideMark/>
          </w:tcPr>
          <w:p w14:paraId="227D0E97" w14:textId="77777777" w:rsidR="008878A0" w:rsidRPr="00517264" w:rsidRDefault="008878A0" w:rsidP="00517264">
            <w:pPr>
              <w:spacing w:after="0"/>
              <w:jc w:val="right"/>
              <w:rPr>
                <w:rFonts w:eastAsia="ArialNarrow"/>
                <w:szCs w:val="18"/>
              </w:rPr>
            </w:pPr>
            <w:r w:rsidRPr="00517264">
              <w:rPr>
                <w:rFonts w:eastAsia="ArialNarrow"/>
                <w:szCs w:val="18"/>
              </w:rPr>
              <w:t xml:space="preserve">Pregrada (Pregrada) </w:t>
            </w:r>
          </w:p>
        </w:tc>
        <w:tc>
          <w:tcPr>
            <w:tcW w:w="1155" w:type="pct"/>
            <w:gridSpan w:val="3"/>
            <w:hideMark/>
          </w:tcPr>
          <w:p w14:paraId="32A57A5E" w14:textId="3FE0C634" w:rsidR="008878A0" w:rsidRPr="00517264" w:rsidRDefault="00F844F8" w:rsidP="00517264">
            <w:pPr>
              <w:spacing w:after="0"/>
              <w:jc w:val="right"/>
              <w:rPr>
                <w:rFonts w:eastAsia="ArialNarrow"/>
                <w:szCs w:val="18"/>
              </w:rPr>
            </w:pPr>
            <w:r>
              <w:rPr>
                <w:rFonts w:eastAsia="ArialNarrow"/>
                <w:szCs w:val="18"/>
              </w:rPr>
              <w:t>n/a</w:t>
            </w:r>
          </w:p>
        </w:tc>
        <w:tc>
          <w:tcPr>
            <w:tcW w:w="854" w:type="pct"/>
            <w:gridSpan w:val="2"/>
            <w:hideMark/>
          </w:tcPr>
          <w:p w14:paraId="115434E1" w14:textId="77777777" w:rsidR="008878A0" w:rsidRPr="00517264" w:rsidRDefault="008878A0" w:rsidP="00517264">
            <w:pPr>
              <w:spacing w:after="0"/>
              <w:jc w:val="right"/>
              <w:rPr>
                <w:rFonts w:eastAsia="ArialNarrow"/>
                <w:szCs w:val="18"/>
              </w:rPr>
            </w:pPr>
            <w:r w:rsidRPr="00517264">
              <w:rPr>
                <w:rFonts w:eastAsia="ArialNarrow"/>
                <w:szCs w:val="18"/>
              </w:rPr>
              <w:t>R</w:t>
            </w:r>
          </w:p>
        </w:tc>
      </w:tr>
      <w:tr w:rsidR="008878A0" w:rsidRPr="00517264" w14:paraId="0235F8B0" w14:textId="77777777" w:rsidTr="00517264">
        <w:trPr>
          <w:gridAfter w:val="1"/>
          <w:wAfter w:w="10" w:type="pct"/>
          <w:trHeight w:val="227"/>
        </w:trPr>
        <w:tc>
          <w:tcPr>
            <w:tcW w:w="1254" w:type="pct"/>
            <w:gridSpan w:val="2"/>
            <w:hideMark/>
          </w:tcPr>
          <w:p w14:paraId="7054C2A6" w14:textId="77777777" w:rsidR="008878A0" w:rsidRPr="00517264" w:rsidRDefault="008878A0" w:rsidP="00517264">
            <w:pPr>
              <w:spacing w:after="0"/>
              <w:jc w:val="left"/>
              <w:rPr>
                <w:rFonts w:eastAsia="ArialNarrow"/>
                <w:szCs w:val="18"/>
              </w:rPr>
            </w:pPr>
            <w:r w:rsidRPr="00517264">
              <w:rPr>
                <w:rFonts w:eastAsia="ArialNarrow"/>
                <w:szCs w:val="18"/>
              </w:rPr>
              <w:t xml:space="preserve">Rekreacijsko - sportska zona - ispod dvorca Bežanec </w:t>
            </w:r>
          </w:p>
        </w:tc>
        <w:tc>
          <w:tcPr>
            <w:tcW w:w="1727" w:type="pct"/>
            <w:gridSpan w:val="4"/>
            <w:hideMark/>
          </w:tcPr>
          <w:p w14:paraId="7EBC5A0E" w14:textId="77777777" w:rsidR="008878A0" w:rsidRPr="00517264" w:rsidRDefault="008878A0" w:rsidP="00517264">
            <w:pPr>
              <w:spacing w:after="0"/>
              <w:jc w:val="right"/>
              <w:rPr>
                <w:rFonts w:eastAsia="ArialNarrow"/>
                <w:szCs w:val="18"/>
              </w:rPr>
            </w:pPr>
            <w:r w:rsidRPr="00517264">
              <w:rPr>
                <w:rFonts w:eastAsia="ArialNarrow"/>
                <w:szCs w:val="18"/>
              </w:rPr>
              <w:t xml:space="preserve">Pregrada (Pregrada) </w:t>
            </w:r>
          </w:p>
        </w:tc>
        <w:tc>
          <w:tcPr>
            <w:tcW w:w="1155" w:type="pct"/>
            <w:gridSpan w:val="3"/>
            <w:hideMark/>
          </w:tcPr>
          <w:p w14:paraId="1AD7BFC0" w14:textId="53767AF4" w:rsidR="008878A0" w:rsidRPr="00517264" w:rsidRDefault="00F844F8" w:rsidP="00517264">
            <w:pPr>
              <w:spacing w:after="0"/>
              <w:jc w:val="right"/>
              <w:rPr>
                <w:rFonts w:eastAsia="ArialNarrow"/>
                <w:szCs w:val="18"/>
              </w:rPr>
            </w:pPr>
            <w:r>
              <w:rPr>
                <w:rFonts w:eastAsia="ArialNarrow"/>
                <w:szCs w:val="18"/>
              </w:rPr>
              <w:t>n/a</w:t>
            </w:r>
          </w:p>
        </w:tc>
        <w:tc>
          <w:tcPr>
            <w:tcW w:w="854" w:type="pct"/>
            <w:gridSpan w:val="2"/>
            <w:hideMark/>
          </w:tcPr>
          <w:p w14:paraId="61E3FB8B" w14:textId="77777777" w:rsidR="008878A0" w:rsidRPr="00517264" w:rsidRDefault="008878A0" w:rsidP="00517264">
            <w:pPr>
              <w:spacing w:after="0"/>
              <w:jc w:val="right"/>
              <w:rPr>
                <w:rFonts w:eastAsia="ArialNarrow"/>
                <w:szCs w:val="18"/>
              </w:rPr>
            </w:pPr>
            <w:r w:rsidRPr="00517264">
              <w:rPr>
                <w:rFonts w:eastAsia="ArialNarrow"/>
                <w:szCs w:val="18"/>
              </w:rPr>
              <w:t xml:space="preserve">R </w:t>
            </w:r>
          </w:p>
        </w:tc>
      </w:tr>
      <w:tr w:rsidR="008878A0" w:rsidRPr="00517264" w14:paraId="24BDD0CD" w14:textId="77777777" w:rsidTr="00517264">
        <w:trPr>
          <w:gridAfter w:val="1"/>
          <w:wAfter w:w="10" w:type="pct"/>
          <w:trHeight w:val="227"/>
        </w:trPr>
        <w:tc>
          <w:tcPr>
            <w:tcW w:w="1254" w:type="pct"/>
            <w:gridSpan w:val="2"/>
            <w:shd w:val="clear" w:color="auto" w:fill="D2232A" w:themeFill="accent1"/>
            <w:hideMark/>
          </w:tcPr>
          <w:p w14:paraId="6B922EB5"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HUM NA SUTLI</w:t>
            </w:r>
          </w:p>
        </w:tc>
        <w:tc>
          <w:tcPr>
            <w:tcW w:w="1727" w:type="pct"/>
            <w:gridSpan w:val="4"/>
            <w:shd w:val="clear" w:color="auto" w:fill="D2232A" w:themeFill="accent1"/>
            <w:hideMark/>
          </w:tcPr>
          <w:p w14:paraId="6216CD7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1FD62F5F"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76E405C2"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0496800A" w14:textId="77777777" w:rsidTr="00517264">
        <w:trPr>
          <w:gridAfter w:val="1"/>
          <w:wAfter w:w="10" w:type="pct"/>
          <w:trHeight w:val="227"/>
        </w:trPr>
        <w:tc>
          <w:tcPr>
            <w:tcW w:w="1254" w:type="pct"/>
            <w:gridSpan w:val="2"/>
            <w:hideMark/>
          </w:tcPr>
          <w:p w14:paraId="20FFFC8D" w14:textId="77777777" w:rsidR="008878A0" w:rsidRPr="00517264" w:rsidRDefault="008878A0" w:rsidP="00517264">
            <w:pPr>
              <w:spacing w:after="0"/>
              <w:jc w:val="left"/>
              <w:rPr>
                <w:rFonts w:eastAsia="ArialNarrow"/>
                <w:color w:val="auto"/>
                <w:szCs w:val="18"/>
              </w:rPr>
            </w:pPr>
            <w:r w:rsidRPr="00517264">
              <w:rPr>
                <w:rFonts w:eastAsia="ArialNarrow"/>
                <w:szCs w:val="18"/>
              </w:rPr>
              <w:lastRenderedPageBreak/>
              <w:t>Turistička zona - Hum na Sutli</w:t>
            </w:r>
          </w:p>
        </w:tc>
        <w:tc>
          <w:tcPr>
            <w:tcW w:w="1727" w:type="pct"/>
            <w:gridSpan w:val="4"/>
            <w:hideMark/>
          </w:tcPr>
          <w:p w14:paraId="178869EB" w14:textId="77777777" w:rsidR="008878A0" w:rsidRPr="00517264" w:rsidRDefault="008878A0" w:rsidP="00517264">
            <w:pPr>
              <w:spacing w:after="0"/>
              <w:jc w:val="right"/>
              <w:rPr>
                <w:rFonts w:eastAsia="ArialNarrow"/>
                <w:szCs w:val="18"/>
              </w:rPr>
            </w:pPr>
            <w:r w:rsidRPr="00517264">
              <w:rPr>
                <w:rFonts w:eastAsia="ArialNarrow"/>
                <w:szCs w:val="18"/>
              </w:rPr>
              <w:t>Hum na Sutli, (Rusnica)</w:t>
            </w:r>
          </w:p>
        </w:tc>
        <w:tc>
          <w:tcPr>
            <w:tcW w:w="1155" w:type="pct"/>
            <w:gridSpan w:val="3"/>
            <w:hideMark/>
          </w:tcPr>
          <w:p w14:paraId="675414CA" w14:textId="77777777" w:rsidR="008878A0" w:rsidRPr="00517264" w:rsidRDefault="008878A0" w:rsidP="00517264">
            <w:pPr>
              <w:spacing w:after="0"/>
              <w:jc w:val="right"/>
              <w:rPr>
                <w:rFonts w:eastAsia="ArialNarrow"/>
                <w:szCs w:val="18"/>
              </w:rPr>
            </w:pPr>
            <w:r w:rsidRPr="00517264">
              <w:rPr>
                <w:rFonts w:eastAsia="ArialNarrow"/>
                <w:szCs w:val="18"/>
              </w:rPr>
              <w:t>5, 44</w:t>
            </w:r>
          </w:p>
        </w:tc>
        <w:tc>
          <w:tcPr>
            <w:tcW w:w="854" w:type="pct"/>
            <w:gridSpan w:val="2"/>
            <w:hideMark/>
          </w:tcPr>
          <w:p w14:paraId="1FAE80F8"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4C440622" w14:textId="77777777" w:rsidTr="00517264">
        <w:trPr>
          <w:gridAfter w:val="1"/>
          <w:wAfter w:w="10" w:type="pct"/>
          <w:trHeight w:val="227"/>
        </w:trPr>
        <w:tc>
          <w:tcPr>
            <w:tcW w:w="1254" w:type="pct"/>
            <w:gridSpan w:val="2"/>
            <w:shd w:val="clear" w:color="auto" w:fill="D2232A" w:themeFill="accent1"/>
            <w:hideMark/>
          </w:tcPr>
          <w:p w14:paraId="1CBAC039"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BEDEKOVČINA</w:t>
            </w:r>
          </w:p>
        </w:tc>
        <w:tc>
          <w:tcPr>
            <w:tcW w:w="1727" w:type="pct"/>
            <w:gridSpan w:val="4"/>
            <w:shd w:val="clear" w:color="auto" w:fill="D2232A" w:themeFill="accent1"/>
            <w:hideMark/>
          </w:tcPr>
          <w:p w14:paraId="436D1436"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155" w:type="pct"/>
            <w:gridSpan w:val="3"/>
            <w:shd w:val="clear" w:color="auto" w:fill="D2232A" w:themeFill="accent1"/>
            <w:hideMark/>
          </w:tcPr>
          <w:p w14:paraId="4AAD3CB9"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854" w:type="pct"/>
            <w:gridSpan w:val="2"/>
            <w:shd w:val="clear" w:color="auto" w:fill="D2232A" w:themeFill="accent1"/>
            <w:hideMark/>
          </w:tcPr>
          <w:p w14:paraId="72FF6EA1"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6356DF48" w14:textId="77777777" w:rsidTr="00517264">
        <w:trPr>
          <w:gridAfter w:val="1"/>
          <w:wAfter w:w="10" w:type="pct"/>
          <w:trHeight w:val="227"/>
        </w:trPr>
        <w:tc>
          <w:tcPr>
            <w:tcW w:w="1254" w:type="pct"/>
            <w:gridSpan w:val="2"/>
            <w:hideMark/>
          </w:tcPr>
          <w:p w14:paraId="68AC12B4" w14:textId="77777777" w:rsidR="008878A0" w:rsidRPr="00517264" w:rsidRDefault="008878A0" w:rsidP="00517264">
            <w:pPr>
              <w:spacing w:after="0"/>
              <w:jc w:val="left"/>
              <w:rPr>
                <w:rFonts w:eastAsia="ArialNarrow"/>
                <w:color w:val="auto"/>
                <w:szCs w:val="18"/>
              </w:rPr>
            </w:pPr>
            <w:r w:rsidRPr="00517264">
              <w:rPr>
                <w:rFonts w:eastAsia="ArialNarrow"/>
                <w:szCs w:val="18"/>
              </w:rPr>
              <w:t>Ugostiteljski sadržaji i pojedinačni smještajni objekti</w:t>
            </w:r>
          </w:p>
        </w:tc>
        <w:tc>
          <w:tcPr>
            <w:tcW w:w="1727" w:type="pct"/>
            <w:gridSpan w:val="4"/>
            <w:hideMark/>
          </w:tcPr>
          <w:p w14:paraId="2C5660C1" w14:textId="77777777" w:rsidR="008878A0" w:rsidRPr="00517264" w:rsidRDefault="008878A0" w:rsidP="00517264">
            <w:pPr>
              <w:spacing w:after="0"/>
              <w:jc w:val="right"/>
              <w:rPr>
                <w:rFonts w:eastAsia="ArialNarrow"/>
                <w:szCs w:val="18"/>
              </w:rPr>
            </w:pPr>
            <w:r w:rsidRPr="00517264">
              <w:rPr>
                <w:rFonts w:eastAsia="ArialNarrow"/>
                <w:szCs w:val="18"/>
              </w:rPr>
              <w:t>Bedekovčina, (Poznanovec)</w:t>
            </w:r>
          </w:p>
        </w:tc>
        <w:tc>
          <w:tcPr>
            <w:tcW w:w="1155" w:type="pct"/>
            <w:gridSpan w:val="3"/>
            <w:hideMark/>
          </w:tcPr>
          <w:p w14:paraId="08CA8C08" w14:textId="77777777" w:rsidR="008878A0" w:rsidRPr="00517264" w:rsidRDefault="008878A0" w:rsidP="00517264">
            <w:pPr>
              <w:spacing w:after="0"/>
              <w:jc w:val="right"/>
              <w:rPr>
                <w:rFonts w:eastAsia="ArialNarrow"/>
                <w:szCs w:val="18"/>
              </w:rPr>
            </w:pPr>
            <w:r w:rsidRPr="00517264">
              <w:rPr>
                <w:rFonts w:eastAsia="ArialNarrow"/>
                <w:szCs w:val="18"/>
              </w:rPr>
              <w:t>9,2</w:t>
            </w:r>
          </w:p>
        </w:tc>
        <w:tc>
          <w:tcPr>
            <w:tcW w:w="854" w:type="pct"/>
            <w:gridSpan w:val="2"/>
            <w:hideMark/>
          </w:tcPr>
          <w:p w14:paraId="5D6AC00F"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36965F07" w14:textId="77777777" w:rsidTr="00517264">
        <w:trPr>
          <w:gridAfter w:val="1"/>
          <w:wAfter w:w="10" w:type="pct"/>
          <w:trHeight w:val="227"/>
        </w:trPr>
        <w:tc>
          <w:tcPr>
            <w:tcW w:w="1254" w:type="pct"/>
            <w:gridSpan w:val="2"/>
            <w:hideMark/>
          </w:tcPr>
          <w:p w14:paraId="16C0B336" w14:textId="77777777" w:rsidR="008878A0" w:rsidRPr="00517264" w:rsidRDefault="008878A0" w:rsidP="00517264">
            <w:pPr>
              <w:spacing w:after="0"/>
              <w:jc w:val="left"/>
              <w:rPr>
                <w:rFonts w:eastAsia="ArialNarrow"/>
                <w:szCs w:val="18"/>
              </w:rPr>
            </w:pPr>
            <w:r w:rsidRPr="00517264">
              <w:rPr>
                <w:rFonts w:eastAsia="ArialNarrow"/>
                <w:szCs w:val="18"/>
              </w:rPr>
              <w:t>Turistička zona Poznanovec - istok</w:t>
            </w:r>
          </w:p>
        </w:tc>
        <w:tc>
          <w:tcPr>
            <w:tcW w:w="1727" w:type="pct"/>
            <w:gridSpan w:val="4"/>
            <w:hideMark/>
          </w:tcPr>
          <w:p w14:paraId="79A7E13A" w14:textId="77777777" w:rsidR="008878A0" w:rsidRPr="00517264" w:rsidRDefault="008878A0" w:rsidP="00517264">
            <w:pPr>
              <w:spacing w:after="0"/>
              <w:jc w:val="right"/>
              <w:rPr>
                <w:rFonts w:eastAsia="ArialNarrow"/>
                <w:szCs w:val="18"/>
              </w:rPr>
            </w:pPr>
            <w:r w:rsidRPr="00517264">
              <w:rPr>
                <w:rFonts w:eastAsia="ArialNarrow"/>
                <w:szCs w:val="18"/>
              </w:rPr>
              <w:t>Bedekovčina, (Poznanovec)</w:t>
            </w:r>
          </w:p>
        </w:tc>
        <w:tc>
          <w:tcPr>
            <w:tcW w:w="1155" w:type="pct"/>
            <w:gridSpan w:val="3"/>
            <w:hideMark/>
          </w:tcPr>
          <w:p w14:paraId="38785A44" w14:textId="77777777" w:rsidR="008878A0" w:rsidRPr="00517264" w:rsidRDefault="008878A0" w:rsidP="00517264">
            <w:pPr>
              <w:spacing w:after="0"/>
              <w:jc w:val="right"/>
              <w:rPr>
                <w:rFonts w:eastAsia="ArialNarrow"/>
                <w:szCs w:val="18"/>
              </w:rPr>
            </w:pPr>
            <w:r w:rsidRPr="00517264">
              <w:rPr>
                <w:rFonts w:eastAsia="ArialNarrow"/>
                <w:szCs w:val="18"/>
              </w:rPr>
              <w:t>4,94</w:t>
            </w:r>
          </w:p>
        </w:tc>
        <w:tc>
          <w:tcPr>
            <w:tcW w:w="854" w:type="pct"/>
            <w:gridSpan w:val="2"/>
            <w:hideMark/>
          </w:tcPr>
          <w:p w14:paraId="7C2BC7A1"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42C1276B" w14:textId="77777777" w:rsidTr="00517264">
        <w:trPr>
          <w:gridAfter w:val="1"/>
          <w:wAfter w:w="10" w:type="pct"/>
          <w:trHeight w:val="227"/>
        </w:trPr>
        <w:tc>
          <w:tcPr>
            <w:tcW w:w="1254" w:type="pct"/>
            <w:gridSpan w:val="2"/>
            <w:hideMark/>
          </w:tcPr>
          <w:p w14:paraId="41C86CFB" w14:textId="77777777" w:rsidR="008878A0" w:rsidRPr="00517264" w:rsidRDefault="008878A0" w:rsidP="00517264">
            <w:pPr>
              <w:spacing w:after="0"/>
              <w:jc w:val="left"/>
              <w:rPr>
                <w:rFonts w:eastAsia="ArialNarrow"/>
                <w:szCs w:val="18"/>
              </w:rPr>
            </w:pPr>
            <w:r w:rsidRPr="00517264">
              <w:rPr>
                <w:rFonts w:eastAsia="ArialNarrow"/>
                <w:szCs w:val="18"/>
              </w:rPr>
              <w:t>Sport i rekreacija – golf kod dvorca</w:t>
            </w:r>
          </w:p>
        </w:tc>
        <w:tc>
          <w:tcPr>
            <w:tcW w:w="1727" w:type="pct"/>
            <w:gridSpan w:val="4"/>
            <w:hideMark/>
          </w:tcPr>
          <w:p w14:paraId="4109A011" w14:textId="77777777" w:rsidR="008878A0" w:rsidRPr="00517264" w:rsidRDefault="008878A0" w:rsidP="00517264">
            <w:pPr>
              <w:spacing w:after="0"/>
              <w:jc w:val="right"/>
              <w:rPr>
                <w:rFonts w:eastAsia="ArialNarrow"/>
                <w:szCs w:val="18"/>
              </w:rPr>
            </w:pPr>
            <w:r w:rsidRPr="00517264">
              <w:rPr>
                <w:rFonts w:eastAsia="ArialNarrow"/>
                <w:szCs w:val="18"/>
              </w:rPr>
              <w:t xml:space="preserve">Bedekovčina (Poznanovec) </w:t>
            </w:r>
          </w:p>
        </w:tc>
        <w:tc>
          <w:tcPr>
            <w:tcW w:w="1155" w:type="pct"/>
            <w:gridSpan w:val="3"/>
            <w:hideMark/>
          </w:tcPr>
          <w:p w14:paraId="294E7F93" w14:textId="77777777" w:rsidR="008878A0" w:rsidRPr="00517264" w:rsidRDefault="008878A0" w:rsidP="00517264">
            <w:pPr>
              <w:spacing w:after="0"/>
              <w:jc w:val="right"/>
              <w:rPr>
                <w:rFonts w:eastAsia="ArialNarrow"/>
                <w:szCs w:val="18"/>
              </w:rPr>
            </w:pPr>
            <w:r w:rsidRPr="00517264">
              <w:rPr>
                <w:rFonts w:eastAsia="ArialNarrow"/>
                <w:szCs w:val="18"/>
              </w:rPr>
              <w:t>27,96</w:t>
            </w:r>
          </w:p>
        </w:tc>
        <w:tc>
          <w:tcPr>
            <w:tcW w:w="854" w:type="pct"/>
            <w:gridSpan w:val="2"/>
            <w:hideMark/>
          </w:tcPr>
          <w:p w14:paraId="4380E43F" w14:textId="77777777" w:rsidR="008878A0" w:rsidRPr="00517264" w:rsidRDefault="008878A0" w:rsidP="00517264">
            <w:pPr>
              <w:spacing w:after="0"/>
              <w:jc w:val="right"/>
              <w:rPr>
                <w:rFonts w:eastAsia="ArialNarrow"/>
                <w:szCs w:val="18"/>
              </w:rPr>
            </w:pPr>
            <w:r w:rsidRPr="00517264">
              <w:rPr>
                <w:rFonts w:eastAsia="ArialNarrow"/>
                <w:szCs w:val="18"/>
              </w:rPr>
              <w:t>R1</w:t>
            </w:r>
          </w:p>
        </w:tc>
      </w:tr>
      <w:tr w:rsidR="008878A0" w:rsidRPr="00517264" w14:paraId="67785058" w14:textId="77777777" w:rsidTr="00517264">
        <w:trPr>
          <w:gridAfter w:val="1"/>
          <w:wAfter w:w="10" w:type="pct"/>
          <w:trHeight w:val="227"/>
        </w:trPr>
        <w:tc>
          <w:tcPr>
            <w:tcW w:w="1254" w:type="pct"/>
            <w:gridSpan w:val="2"/>
            <w:hideMark/>
          </w:tcPr>
          <w:p w14:paraId="0712083F" w14:textId="77777777" w:rsidR="008878A0" w:rsidRPr="00517264" w:rsidRDefault="008878A0" w:rsidP="00517264">
            <w:pPr>
              <w:spacing w:after="0"/>
              <w:jc w:val="left"/>
              <w:rPr>
                <w:rFonts w:eastAsia="ArialNarrow"/>
                <w:szCs w:val="18"/>
              </w:rPr>
            </w:pPr>
            <w:r w:rsidRPr="00517264">
              <w:rPr>
                <w:rFonts w:eastAsia="ArialNarrow"/>
                <w:szCs w:val="18"/>
              </w:rPr>
              <w:t>Sportsko - rekreacijska zona - sportski centar u Poznanovcu</w:t>
            </w:r>
          </w:p>
        </w:tc>
        <w:tc>
          <w:tcPr>
            <w:tcW w:w="1727" w:type="pct"/>
            <w:gridSpan w:val="4"/>
            <w:hideMark/>
          </w:tcPr>
          <w:p w14:paraId="59D2FA3B" w14:textId="77777777" w:rsidR="008878A0" w:rsidRPr="00517264" w:rsidRDefault="008878A0" w:rsidP="00517264">
            <w:pPr>
              <w:spacing w:after="0"/>
              <w:jc w:val="right"/>
              <w:rPr>
                <w:rFonts w:eastAsia="ArialNarrow"/>
                <w:szCs w:val="18"/>
              </w:rPr>
            </w:pPr>
            <w:r w:rsidRPr="00517264">
              <w:rPr>
                <w:rFonts w:eastAsia="ArialNarrow"/>
                <w:szCs w:val="18"/>
              </w:rPr>
              <w:t>Bedekovčina, (Poznanovec)</w:t>
            </w:r>
          </w:p>
        </w:tc>
        <w:tc>
          <w:tcPr>
            <w:tcW w:w="1155" w:type="pct"/>
            <w:gridSpan w:val="3"/>
            <w:hideMark/>
          </w:tcPr>
          <w:p w14:paraId="0DD67CC2" w14:textId="77777777" w:rsidR="008878A0" w:rsidRPr="00517264" w:rsidRDefault="008878A0" w:rsidP="00517264">
            <w:pPr>
              <w:spacing w:after="0"/>
              <w:jc w:val="right"/>
              <w:rPr>
                <w:rFonts w:eastAsia="ArialNarrow"/>
                <w:szCs w:val="18"/>
              </w:rPr>
            </w:pPr>
            <w:r w:rsidRPr="00517264">
              <w:rPr>
                <w:rFonts w:eastAsia="ArialNarrow"/>
                <w:szCs w:val="18"/>
              </w:rPr>
              <w:t>2,13 Izgrađeno:1,11</w:t>
            </w:r>
          </w:p>
        </w:tc>
        <w:tc>
          <w:tcPr>
            <w:tcW w:w="854" w:type="pct"/>
            <w:gridSpan w:val="2"/>
            <w:hideMark/>
          </w:tcPr>
          <w:p w14:paraId="787CD15A" w14:textId="77777777" w:rsidR="008878A0" w:rsidRPr="00517264" w:rsidRDefault="008878A0" w:rsidP="00517264">
            <w:pPr>
              <w:spacing w:after="0"/>
              <w:jc w:val="right"/>
              <w:rPr>
                <w:rFonts w:eastAsia="ArialNarrow"/>
                <w:szCs w:val="18"/>
              </w:rPr>
            </w:pPr>
            <w:r w:rsidRPr="00517264">
              <w:rPr>
                <w:rFonts w:eastAsia="ArialNarrow"/>
                <w:szCs w:val="18"/>
              </w:rPr>
              <w:t>R5</w:t>
            </w:r>
          </w:p>
        </w:tc>
      </w:tr>
      <w:tr w:rsidR="008878A0" w:rsidRPr="00517264" w14:paraId="12F97694" w14:textId="77777777" w:rsidTr="00517264">
        <w:trPr>
          <w:gridAfter w:val="1"/>
          <w:wAfter w:w="10" w:type="pct"/>
          <w:trHeight w:val="227"/>
        </w:trPr>
        <w:tc>
          <w:tcPr>
            <w:tcW w:w="1254" w:type="pct"/>
            <w:gridSpan w:val="2"/>
            <w:hideMark/>
          </w:tcPr>
          <w:p w14:paraId="0DAF3A7B" w14:textId="77777777" w:rsidR="008878A0" w:rsidRPr="00517264" w:rsidRDefault="008878A0" w:rsidP="00517264">
            <w:pPr>
              <w:spacing w:after="0"/>
              <w:jc w:val="left"/>
              <w:rPr>
                <w:rFonts w:eastAsia="ArialNarrow"/>
                <w:szCs w:val="18"/>
              </w:rPr>
            </w:pPr>
            <w:r w:rsidRPr="00517264">
              <w:rPr>
                <w:rFonts w:eastAsia="ArialNarrow"/>
                <w:szCs w:val="18"/>
              </w:rPr>
              <w:t>Sportsko - rekreacijska zona - Bedekovčanska jezera</w:t>
            </w:r>
          </w:p>
        </w:tc>
        <w:tc>
          <w:tcPr>
            <w:tcW w:w="1727" w:type="pct"/>
            <w:gridSpan w:val="4"/>
            <w:hideMark/>
          </w:tcPr>
          <w:p w14:paraId="1663337D" w14:textId="77777777" w:rsidR="008878A0" w:rsidRPr="00517264" w:rsidRDefault="008878A0" w:rsidP="00517264">
            <w:pPr>
              <w:spacing w:after="0"/>
              <w:jc w:val="right"/>
              <w:rPr>
                <w:rFonts w:eastAsia="ArialNarrow"/>
                <w:szCs w:val="18"/>
              </w:rPr>
            </w:pPr>
            <w:r w:rsidRPr="00517264">
              <w:rPr>
                <w:rFonts w:eastAsia="ArialNarrow"/>
                <w:szCs w:val="18"/>
              </w:rPr>
              <w:t>Bedekovčina, (Poznanovec)</w:t>
            </w:r>
          </w:p>
        </w:tc>
        <w:tc>
          <w:tcPr>
            <w:tcW w:w="1155" w:type="pct"/>
            <w:gridSpan w:val="3"/>
            <w:hideMark/>
          </w:tcPr>
          <w:p w14:paraId="76BAFBBA" w14:textId="77777777" w:rsidR="008878A0" w:rsidRPr="00517264" w:rsidRDefault="008878A0" w:rsidP="00517264">
            <w:pPr>
              <w:spacing w:after="0"/>
              <w:jc w:val="right"/>
              <w:rPr>
                <w:rFonts w:eastAsia="ArialNarrow"/>
                <w:szCs w:val="18"/>
              </w:rPr>
            </w:pPr>
            <w:r w:rsidRPr="00517264">
              <w:rPr>
                <w:rFonts w:eastAsia="ArialNarrow"/>
                <w:szCs w:val="18"/>
              </w:rPr>
              <w:t>31,01 Izgrađeno: 20,00</w:t>
            </w:r>
          </w:p>
        </w:tc>
        <w:tc>
          <w:tcPr>
            <w:tcW w:w="854" w:type="pct"/>
            <w:gridSpan w:val="2"/>
            <w:hideMark/>
          </w:tcPr>
          <w:p w14:paraId="7E580D0C" w14:textId="77777777" w:rsidR="008878A0" w:rsidRPr="00517264" w:rsidRDefault="008878A0" w:rsidP="00517264">
            <w:pPr>
              <w:spacing w:after="0"/>
              <w:jc w:val="right"/>
              <w:rPr>
                <w:rFonts w:eastAsia="ArialNarrow"/>
                <w:szCs w:val="18"/>
              </w:rPr>
            </w:pPr>
            <w:r w:rsidRPr="00517264">
              <w:rPr>
                <w:rFonts w:eastAsia="ArialNarrow"/>
                <w:szCs w:val="18"/>
              </w:rPr>
              <w:t>R5</w:t>
            </w:r>
          </w:p>
        </w:tc>
      </w:tr>
      <w:tr w:rsidR="008878A0" w:rsidRPr="00517264" w14:paraId="7B0EED65" w14:textId="77777777" w:rsidTr="00517264">
        <w:trPr>
          <w:gridAfter w:val="1"/>
          <w:wAfter w:w="10" w:type="pct"/>
          <w:trHeight w:val="227"/>
        </w:trPr>
        <w:tc>
          <w:tcPr>
            <w:tcW w:w="1254" w:type="pct"/>
            <w:gridSpan w:val="2"/>
            <w:hideMark/>
          </w:tcPr>
          <w:p w14:paraId="0746D0EE" w14:textId="77777777" w:rsidR="008878A0" w:rsidRPr="00517264" w:rsidRDefault="008878A0" w:rsidP="00517264">
            <w:pPr>
              <w:spacing w:after="0"/>
              <w:jc w:val="left"/>
              <w:rPr>
                <w:rFonts w:eastAsia="ArialNarrow"/>
                <w:szCs w:val="18"/>
              </w:rPr>
            </w:pPr>
            <w:r w:rsidRPr="00517264">
              <w:rPr>
                <w:rFonts w:eastAsia="ArialNarrow"/>
                <w:szCs w:val="18"/>
              </w:rPr>
              <w:t>Turistička zona Bedekovčanska jezera</w:t>
            </w:r>
          </w:p>
        </w:tc>
        <w:tc>
          <w:tcPr>
            <w:tcW w:w="1727" w:type="pct"/>
            <w:gridSpan w:val="4"/>
            <w:hideMark/>
          </w:tcPr>
          <w:p w14:paraId="42C9E0AD" w14:textId="77777777" w:rsidR="008878A0" w:rsidRPr="00517264" w:rsidRDefault="008878A0" w:rsidP="00517264">
            <w:pPr>
              <w:spacing w:after="0"/>
              <w:jc w:val="right"/>
              <w:rPr>
                <w:rFonts w:eastAsia="ArialNarrow"/>
                <w:szCs w:val="18"/>
              </w:rPr>
            </w:pPr>
            <w:r w:rsidRPr="00517264">
              <w:rPr>
                <w:rFonts w:eastAsia="ArialNarrow"/>
                <w:szCs w:val="18"/>
              </w:rPr>
              <w:t>Bedekovčina, (Poznanovec)</w:t>
            </w:r>
          </w:p>
        </w:tc>
        <w:tc>
          <w:tcPr>
            <w:tcW w:w="1155" w:type="pct"/>
            <w:gridSpan w:val="3"/>
            <w:hideMark/>
          </w:tcPr>
          <w:p w14:paraId="55BD18C0" w14:textId="77777777" w:rsidR="008878A0" w:rsidRPr="00517264" w:rsidRDefault="008878A0" w:rsidP="00517264">
            <w:pPr>
              <w:spacing w:after="0"/>
              <w:jc w:val="right"/>
              <w:rPr>
                <w:rFonts w:eastAsia="ArialNarrow"/>
                <w:szCs w:val="18"/>
              </w:rPr>
            </w:pPr>
            <w:r w:rsidRPr="00517264">
              <w:rPr>
                <w:rFonts w:eastAsia="ArialNarrow"/>
                <w:szCs w:val="18"/>
              </w:rPr>
              <w:t>20,75</w:t>
            </w:r>
          </w:p>
        </w:tc>
        <w:tc>
          <w:tcPr>
            <w:tcW w:w="854" w:type="pct"/>
            <w:gridSpan w:val="2"/>
            <w:hideMark/>
          </w:tcPr>
          <w:p w14:paraId="526B57AA"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4699A68D" w14:textId="77777777" w:rsidTr="00517264">
        <w:tblPrEx>
          <w:tblBorders>
            <w:left w:val="none" w:sz="0" w:space="0" w:color="auto"/>
            <w:right w:val="none" w:sz="0" w:space="0" w:color="auto"/>
          </w:tblBorders>
        </w:tblPrEx>
        <w:trPr>
          <w:trHeight w:val="227"/>
        </w:trPr>
        <w:tc>
          <w:tcPr>
            <w:tcW w:w="1309" w:type="pct"/>
            <w:gridSpan w:val="3"/>
            <w:tcBorders>
              <w:top w:val="nil"/>
              <w:left w:val="single" w:sz="8" w:space="0" w:color="D2232A"/>
            </w:tcBorders>
            <w:shd w:val="clear" w:color="auto" w:fill="D2232A" w:themeFill="accent1"/>
            <w:hideMark/>
          </w:tcPr>
          <w:p w14:paraId="06B63754" w14:textId="61332FDA"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DESINIĆ</w:t>
            </w:r>
          </w:p>
        </w:tc>
        <w:tc>
          <w:tcPr>
            <w:tcW w:w="1800" w:type="pct"/>
            <w:gridSpan w:val="4"/>
            <w:tcBorders>
              <w:top w:val="nil"/>
            </w:tcBorders>
            <w:shd w:val="clear" w:color="auto" w:fill="D2232A" w:themeFill="accent1"/>
            <w:hideMark/>
          </w:tcPr>
          <w:p w14:paraId="177539E8"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04" w:type="pct"/>
            <w:gridSpan w:val="3"/>
            <w:tcBorders>
              <w:top w:val="nil"/>
            </w:tcBorders>
            <w:shd w:val="clear" w:color="auto" w:fill="D2232A" w:themeFill="accent1"/>
            <w:hideMark/>
          </w:tcPr>
          <w:p w14:paraId="073B2917"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687" w:type="pct"/>
            <w:gridSpan w:val="2"/>
            <w:tcBorders>
              <w:top w:val="nil"/>
              <w:right w:val="single" w:sz="8" w:space="0" w:color="D2232A"/>
            </w:tcBorders>
            <w:shd w:val="clear" w:color="auto" w:fill="D2232A" w:themeFill="accent1"/>
            <w:hideMark/>
          </w:tcPr>
          <w:p w14:paraId="03A4067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499A9E16" w14:textId="77777777" w:rsidTr="00517264">
        <w:tblPrEx>
          <w:tblBorders>
            <w:left w:val="none" w:sz="0" w:space="0" w:color="auto"/>
            <w:right w:val="none" w:sz="0" w:space="0" w:color="auto"/>
          </w:tblBorders>
        </w:tblPrEx>
        <w:trPr>
          <w:trHeight w:val="227"/>
        </w:trPr>
        <w:tc>
          <w:tcPr>
            <w:tcW w:w="1309" w:type="pct"/>
            <w:gridSpan w:val="3"/>
            <w:vMerge w:val="restart"/>
            <w:tcBorders>
              <w:left w:val="single" w:sz="8" w:space="0" w:color="D2232A"/>
            </w:tcBorders>
            <w:hideMark/>
          </w:tcPr>
          <w:p w14:paraId="0F975175" w14:textId="77777777" w:rsidR="008878A0" w:rsidRPr="00517264" w:rsidRDefault="008878A0" w:rsidP="00517264">
            <w:pPr>
              <w:spacing w:after="0"/>
              <w:jc w:val="left"/>
              <w:rPr>
                <w:rFonts w:eastAsia="ArialNarrow"/>
                <w:color w:val="auto"/>
                <w:szCs w:val="18"/>
              </w:rPr>
            </w:pPr>
            <w:r w:rsidRPr="00517264">
              <w:rPr>
                <w:rFonts w:eastAsia="ArialNarrow"/>
                <w:szCs w:val="18"/>
              </w:rPr>
              <w:t>Hum Košnički - TZ 1</w:t>
            </w:r>
          </w:p>
        </w:tc>
        <w:tc>
          <w:tcPr>
            <w:tcW w:w="1800" w:type="pct"/>
            <w:gridSpan w:val="4"/>
            <w:vMerge w:val="restart"/>
            <w:hideMark/>
          </w:tcPr>
          <w:p w14:paraId="3B1CAE00" w14:textId="77777777" w:rsidR="008878A0" w:rsidRPr="00517264" w:rsidRDefault="008878A0" w:rsidP="00517264">
            <w:pPr>
              <w:spacing w:after="0"/>
              <w:jc w:val="right"/>
              <w:rPr>
                <w:rFonts w:eastAsia="ArialNarrow"/>
                <w:szCs w:val="18"/>
              </w:rPr>
            </w:pPr>
            <w:r w:rsidRPr="00517264">
              <w:rPr>
                <w:rFonts w:eastAsia="ArialNarrow"/>
                <w:szCs w:val="18"/>
              </w:rPr>
              <w:t>Desinić, (Hum Kosnički)</w:t>
            </w:r>
          </w:p>
        </w:tc>
        <w:tc>
          <w:tcPr>
            <w:tcW w:w="1204" w:type="pct"/>
            <w:gridSpan w:val="3"/>
            <w:tcBorders>
              <w:bottom w:val="nil"/>
            </w:tcBorders>
            <w:hideMark/>
          </w:tcPr>
          <w:p w14:paraId="564C0E31" w14:textId="77777777" w:rsidR="008878A0" w:rsidRPr="00517264" w:rsidRDefault="008878A0" w:rsidP="00517264">
            <w:pPr>
              <w:spacing w:after="0"/>
              <w:jc w:val="right"/>
              <w:rPr>
                <w:rFonts w:eastAsia="ArialNarrow"/>
                <w:szCs w:val="18"/>
              </w:rPr>
            </w:pPr>
            <w:r w:rsidRPr="00517264">
              <w:rPr>
                <w:rFonts w:eastAsia="ArialNarrow"/>
                <w:szCs w:val="18"/>
              </w:rPr>
              <w:t>0,3</w:t>
            </w:r>
          </w:p>
        </w:tc>
        <w:tc>
          <w:tcPr>
            <w:tcW w:w="687" w:type="pct"/>
            <w:gridSpan w:val="2"/>
            <w:vMerge w:val="restart"/>
            <w:tcBorders>
              <w:right w:val="single" w:sz="8" w:space="0" w:color="D2232A"/>
            </w:tcBorders>
            <w:hideMark/>
          </w:tcPr>
          <w:p w14:paraId="3EC93F9F"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4E37F6BC" w14:textId="77777777" w:rsidTr="00517264">
        <w:tblPrEx>
          <w:tblBorders>
            <w:left w:val="none" w:sz="0" w:space="0" w:color="auto"/>
            <w:right w:val="none" w:sz="0" w:space="0" w:color="auto"/>
          </w:tblBorders>
        </w:tblPrEx>
        <w:trPr>
          <w:trHeight w:val="227"/>
        </w:trPr>
        <w:tc>
          <w:tcPr>
            <w:tcW w:w="1309" w:type="pct"/>
            <w:gridSpan w:val="3"/>
            <w:vMerge/>
            <w:tcBorders>
              <w:left w:val="single" w:sz="8" w:space="0" w:color="D2232A"/>
            </w:tcBorders>
            <w:vAlign w:val="center"/>
            <w:hideMark/>
          </w:tcPr>
          <w:p w14:paraId="4BAF9E57" w14:textId="77777777" w:rsidR="008878A0" w:rsidRPr="00517264" w:rsidRDefault="008878A0" w:rsidP="00517264">
            <w:pPr>
              <w:spacing w:after="0"/>
              <w:jc w:val="left"/>
              <w:rPr>
                <w:rFonts w:eastAsia="ArialNarrow"/>
                <w:szCs w:val="18"/>
              </w:rPr>
            </w:pPr>
          </w:p>
        </w:tc>
        <w:tc>
          <w:tcPr>
            <w:tcW w:w="1800" w:type="pct"/>
            <w:gridSpan w:val="4"/>
            <w:vMerge/>
            <w:vAlign w:val="center"/>
            <w:hideMark/>
          </w:tcPr>
          <w:p w14:paraId="2B5A3C1C" w14:textId="77777777" w:rsidR="008878A0" w:rsidRPr="00517264" w:rsidRDefault="008878A0" w:rsidP="00517264">
            <w:pPr>
              <w:spacing w:after="0"/>
              <w:jc w:val="right"/>
              <w:rPr>
                <w:rFonts w:eastAsia="ArialNarrow"/>
                <w:szCs w:val="18"/>
              </w:rPr>
            </w:pPr>
          </w:p>
        </w:tc>
        <w:tc>
          <w:tcPr>
            <w:tcW w:w="1204" w:type="pct"/>
            <w:gridSpan w:val="3"/>
            <w:tcBorders>
              <w:top w:val="nil"/>
            </w:tcBorders>
            <w:hideMark/>
          </w:tcPr>
          <w:p w14:paraId="3FC0C31B" w14:textId="77777777" w:rsidR="008878A0" w:rsidRPr="00517264" w:rsidRDefault="008878A0" w:rsidP="00517264">
            <w:pPr>
              <w:spacing w:after="0"/>
              <w:jc w:val="right"/>
              <w:rPr>
                <w:rFonts w:eastAsia="ArialNarrow"/>
                <w:szCs w:val="18"/>
              </w:rPr>
            </w:pPr>
            <w:r w:rsidRPr="00517264">
              <w:rPr>
                <w:rFonts w:eastAsia="ArialNarrow"/>
                <w:szCs w:val="18"/>
              </w:rPr>
              <w:t>Izgrađeno: 0,07</w:t>
            </w:r>
          </w:p>
        </w:tc>
        <w:tc>
          <w:tcPr>
            <w:tcW w:w="687" w:type="pct"/>
            <w:gridSpan w:val="2"/>
            <w:vMerge/>
            <w:tcBorders>
              <w:right w:val="single" w:sz="8" w:space="0" w:color="D2232A"/>
            </w:tcBorders>
            <w:vAlign w:val="center"/>
            <w:hideMark/>
          </w:tcPr>
          <w:p w14:paraId="6109C0D8" w14:textId="77777777" w:rsidR="008878A0" w:rsidRPr="00517264" w:rsidRDefault="008878A0" w:rsidP="00517264">
            <w:pPr>
              <w:spacing w:after="0"/>
              <w:jc w:val="right"/>
              <w:rPr>
                <w:rFonts w:eastAsia="ArialNarrow"/>
                <w:szCs w:val="18"/>
              </w:rPr>
            </w:pPr>
          </w:p>
        </w:tc>
      </w:tr>
      <w:tr w:rsidR="008878A0" w:rsidRPr="00517264" w14:paraId="45D55D1B" w14:textId="77777777" w:rsidTr="00517264">
        <w:tblPrEx>
          <w:tblBorders>
            <w:left w:val="none" w:sz="0" w:space="0" w:color="auto"/>
            <w:right w:val="none" w:sz="0" w:space="0" w:color="auto"/>
          </w:tblBorders>
        </w:tblPrEx>
        <w:trPr>
          <w:trHeight w:val="227"/>
        </w:trPr>
        <w:tc>
          <w:tcPr>
            <w:tcW w:w="1309" w:type="pct"/>
            <w:gridSpan w:val="3"/>
            <w:vMerge w:val="restart"/>
            <w:tcBorders>
              <w:left w:val="single" w:sz="8" w:space="0" w:color="D2232A"/>
            </w:tcBorders>
            <w:hideMark/>
          </w:tcPr>
          <w:p w14:paraId="54016316" w14:textId="77777777" w:rsidR="008878A0" w:rsidRPr="00517264" w:rsidRDefault="008878A0" w:rsidP="00517264">
            <w:pPr>
              <w:spacing w:after="0"/>
              <w:jc w:val="left"/>
              <w:rPr>
                <w:rFonts w:eastAsia="ArialNarrow"/>
                <w:szCs w:val="18"/>
              </w:rPr>
            </w:pPr>
            <w:r w:rsidRPr="00517264">
              <w:rPr>
                <w:rFonts w:eastAsia="ArialNarrow"/>
                <w:szCs w:val="18"/>
              </w:rPr>
              <w:t>Hum Košnički - TZ 2</w:t>
            </w:r>
          </w:p>
        </w:tc>
        <w:tc>
          <w:tcPr>
            <w:tcW w:w="1800" w:type="pct"/>
            <w:gridSpan w:val="4"/>
            <w:vMerge w:val="restart"/>
            <w:hideMark/>
          </w:tcPr>
          <w:p w14:paraId="54432632" w14:textId="77777777" w:rsidR="008878A0" w:rsidRPr="00517264" w:rsidRDefault="008878A0" w:rsidP="00517264">
            <w:pPr>
              <w:spacing w:after="0"/>
              <w:jc w:val="right"/>
              <w:rPr>
                <w:rFonts w:eastAsia="ArialNarrow"/>
                <w:szCs w:val="18"/>
              </w:rPr>
            </w:pPr>
            <w:r w:rsidRPr="00517264">
              <w:rPr>
                <w:rFonts w:eastAsia="ArialNarrow"/>
                <w:szCs w:val="18"/>
              </w:rPr>
              <w:t>Desinić, (Hum Kosnički)</w:t>
            </w:r>
          </w:p>
        </w:tc>
        <w:tc>
          <w:tcPr>
            <w:tcW w:w="1204" w:type="pct"/>
            <w:gridSpan w:val="3"/>
            <w:tcBorders>
              <w:bottom w:val="nil"/>
            </w:tcBorders>
            <w:hideMark/>
          </w:tcPr>
          <w:p w14:paraId="2F1D38E3" w14:textId="77777777" w:rsidR="008878A0" w:rsidRPr="00517264" w:rsidRDefault="008878A0" w:rsidP="00517264">
            <w:pPr>
              <w:spacing w:after="0"/>
              <w:jc w:val="right"/>
              <w:rPr>
                <w:rFonts w:eastAsia="ArialNarrow"/>
                <w:szCs w:val="18"/>
              </w:rPr>
            </w:pPr>
            <w:r w:rsidRPr="00517264">
              <w:rPr>
                <w:rFonts w:eastAsia="ArialNarrow"/>
                <w:szCs w:val="18"/>
              </w:rPr>
              <w:t>0,65</w:t>
            </w:r>
          </w:p>
        </w:tc>
        <w:tc>
          <w:tcPr>
            <w:tcW w:w="687" w:type="pct"/>
            <w:gridSpan w:val="2"/>
            <w:vMerge w:val="restart"/>
            <w:tcBorders>
              <w:right w:val="single" w:sz="8" w:space="0" w:color="D2232A"/>
            </w:tcBorders>
            <w:hideMark/>
          </w:tcPr>
          <w:p w14:paraId="0F1C2573"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42FCD31C" w14:textId="77777777" w:rsidTr="00517264">
        <w:tblPrEx>
          <w:tblBorders>
            <w:left w:val="none" w:sz="0" w:space="0" w:color="auto"/>
            <w:right w:val="none" w:sz="0" w:space="0" w:color="auto"/>
          </w:tblBorders>
        </w:tblPrEx>
        <w:trPr>
          <w:trHeight w:val="227"/>
        </w:trPr>
        <w:tc>
          <w:tcPr>
            <w:tcW w:w="1309" w:type="pct"/>
            <w:gridSpan w:val="3"/>
            <w:vMerge/>
            <w:tcBorders>
              <w:left w:val="single" w:sz="8" w:space="0" w:color="D2232A"/>
            </w:tcBorders>
            <w:vAlign w:val="center"/>
            <w:hideMark/>
          </w:tcPr>
          <w:p w14:paraId="2561B4B8" w14:textId="77777777" w:rsidR="008878A0" w:rsidRPr="00517264" w:rsidRDefault="008878A0" w:rsidP="00517264">
            <w:pPr>
              <w:spacing w:after="0"/>
              <w:jc w:val="left"/>
              <w:rPr>
                <w:rFonts w:eastAsia="ArialNarrow"/>
                <w:szCs w:val="18"/>
              </w:rPr>
            </w:pPr>
          </w:p>
        </w:tc>
        <w:tc>
          <w:tcPr>
            <w:tcW w:w="1800" w:type="pct"/>
            <w:gridSpan w:val="4"/>
            <w:vMerge/>
            <w:vAlign w:val="center"/>
            <w:hideMark/>
          </w:tcPr>
          <w:p w14:paraId="305EBD81" w14:textId="77777777" w:rsidR="008878A0" w:rsidRPr="00517264" w:rsidRDefault="008878A0" w:rsidP="00517264">
            <w:pPr>
              <w:spacing w:after="0"/>
              <w:jc w:val="right"/>
              <w:rPr>
                <w:rFonts w:eastAsia="ArialNarrow"/>
                <w:szCs w:val="18"/>
              </w:rPr>
            </w:pPr>
          </w:p>
        </w:tc>
        <w:tc>
          <w:tcPr>
            <w:tcW w:w="1204" w:type="pct"/>
            <w:gridSpan w:val="3"/>
            <w:tcBorders>
              <w:top w:val="nil"/>
            </w:tcBorders>
            <w:hideMark/>
          </w:tcPr>
          <w:p w14:paraId="3D98BC5B" w14:textId="77777777" w:rsidR="008878A0" w:rsidRPr="00517264" w:rsidRDefault="008878A0" w:rsidP="00517264">
            <w:pPr>
              <w:spacing w:after="0"/>
              <w:jc w:val="right"/>
              <w:rPr>
                <w:rFonts w:eastAsia="ArialNarrow"/>
                <w:szCs w:val="18"/>
              </w:rPr>
            </w:pPr>
            <w:r w:rsidRPr="00517264">
              <w:rPr>
                <w:rFonts w:eastAsia="ArialNarrow"/>
                <w:szCs w:val="18"/>
              </w:rPr>
              <w:t>Izgrađeno: 0,25</w:t>
            </w:r>
          </w:p>
        </w:tc>
        <w:tc>
          <w:tcPr>
            <w:tcW w:w="687" w:type="pct"/>
            <w:gridSpan w:val="2"/>
            <w:vMerge/>
            <w:tcBorders>
              <w:right w:val="single" w:sz="8" w:space="0" w:color="D2232A"/>
            </w:tcBorders>
            <w:vAlign w:val="center"/>
            <w:hideMark/>
          </w:tcPr>
          <w:p w14:paraId="277EB545" w14:textId="77777777" w:rsidR="008878A0" w:rsidRPr="00517264" w:rsidRDefault="008878A0" w:rsidP="00517264">
            <w:pPr>
              <w:spacing w:after="0"/>
              <w:jc w:val="right"/>
              <w:rPr>
                <w:rFonts w:eastAsia="ArialNarrow"/>
                <w:szCs w:val="18"/>
              </w:rPr>
            </w:pPr>
          </w:p>
        </w:tc>
      </w:tr>
      <w:tr w:rsidR="008878A0" w:rsidRPr="00517264" w14:paraId="173DB206"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783BB81A" w14:textId="77777777" w:rsidR="008878A0" w:rsidRPr="00517264" w:rsidRDefault="008878A0" w:rsidP="00517264">
            <w:pPr>
              <w:spacing w:after="0"/>
              <w:jc w:val="left"/>
              <w:rPr>
                <w:rFonts w:eastAsia="ArialNarrow"/>
                <w:szCs w:val="18"/>
              </w:rPr>
            </w:pPr>
            <w:r w:rsidRPr="00517264">
              <w:rPr>
                <w:rFonts w:eastAsia="ArialNarrow"/>
                <w:szCs w:val="18"/>
              </w:rPr>
              <w:t>Hum Košnički - TZ 3</w:t>
            </w:r>
          </w:p>
        </w:tc>
        <w:tc>
          <w:tcPr>
            <w:tcW w:w="1800" w:type="pct"/>
            <w:gridSpan w:val="4"/>
            <w:hideMark/>
          </w:tcPr>
          <w:p w14:paraId="2612C2F8" w14:textId="77777777" w:rsidR="008878A0" w:rsidRPr="00517264" w:rsidRDefault="008878A0" w:rsidP="00517264">
            <w:pPr>
              <w:spacing w:after="0"/>
              <w:jc w:val="right"/>
              <w:rPr>
                <w:rFonts w:eastAsia="ArialNarrow"/>
                <w:szCs w:val="18"/>
              </w:rPr>
            </w:pPr>
            <w:r w:rsidRPr="00517264">
              <w:rPr>
                <w:rFonts w:eastAsia="ArialNarrow"/>
                <w:szCs w:val="18"/>
              </w:rPr>
              <w:t>Desinić, (Hum Kosnički)</w:t>
            </w:r>
          </w:p>
        </w:tc>
        <w:tc>
          <w:tcPr>
            <w:tcW w:w="1204" w:type="pct"/>
            <w:gridSpan w:val="3"/>
            <w:hideMark/>
          </w:tcPr>
          <w:p w14:paraId="38CE71F2" w14:textId="77777777" w:rsidR="008878A0" w:rsidRPr="00517264" w:rsidRDefault="008878A0" w:rsidP="00517264">
            <w:pPr>
              <w:spacing w:after="0"/>
              <w:jc w:val="right"/>
              <w:rPr>
                <w:rFonts w:eastAsia="ArialNarrow"/>
                <w:szCs w:val="18"/>
              </w:rPr>
            </w:pPr>
            <w:r w:rsidRPr="00517264">
              <w:rPr>
                <w:rFonts w:eastAsia="ArialNarrow"/>
                <w:szCs w:val="18"/>
              </w:rPr>
              <w:t>Izgrađeno: 0,52</w:t>
            </w:r>
          </w:p>
        </w:tc>
        <w:tc>
          <w:tcPr>
            <w:tcW w:w="687" w:type="pct"/>
            <w:gridSpan w:val="2"/>
            <w:tcBorders>
              <w:right w:val="single" w:sz="8" w:space="0" w:color="D2232A"/>
            </w:tcBorders>
            <w:hideMark/>
          </w:tcPr>
          <w:p w14:paraId="62F62030"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10712F51" w14:textId="77777777" w:rsidTr="00517264">
        <w:tblPrEx>
          <w:tblBorders>
            <w:left w:val="none" w:sz="0" w:space="0" w:color="auto"/>
            <w:right w:val="none" w:sz="0" w:space="0" w:color="auto"/>
          </w:tblBorders>
        </w:tblPrEx>
        <w:trPr>
          <w:trHeight w:val="227"/>
        </w:trPr>
        <w:tc>
          <w:tcPr>
            <w:tcW w:w="1309" w:type="pct"/>
            <w:gridSpan w:val="3"/>
            <w:vMerge w:val="restart"/>
            <w:tcBorders>
              <w:left w:val="single" w:sz="8" w:space="0" w:color="D2232A"/>
            </w:tcBorders>
            <w:hideMark/>
          </w:tcPr>
          <w:p w14:paraId="34E348D4" w14:textId="77777777" w:rsidR="008878A0" w:rsidRPr="00517264" w:rsidRDefault="008878A0" w:rsidP="00517264">
            <w:pPr>
              <w:spacing w:after="0"/>
              <w:jc w:val="left"/>
              <w:rPr>
                <w:rFonts w:eastAsia="ArialNarrow"/>
                <w:szCs w:val="18"/>
              </w:rPr>
            </w:pPr>
            <w:r w:rsidRPr="00517264">
              <w:rPr>
                <w:rFonts w:eastAsia="ArialNarrow"/>
                <w:szCs w:val="18"/>
              </w:rPr>
              <w:t>Hum Košnički - TZ 4</w:t>
            </w:r>
          </w:p>
        </w:tc>
        <w:tc>
          <w:tcPr>
            <w:tcW w:w="1800" w:type="pct"/>
            <w:gridSpan w:val="4"/>
            <w:vMerge w:val="restart"/>
            <w:hideMark/>
          </w:tcPr>
          <w:p w14:paraId="0E6DACC8" w14:textId="77777777" w:rsidR="008878A0" w:rsidRPr="00517264" w:rsidRDefault="008878A0" w:rsidP="00517264">
            <w:pPr>
              <w:spacing w:after="0"/>
              <w:jc w:val="right"/>
              <w:rPr>
                <w:rFonts w:eastAsia="ArialNarrow"/>
                <w:szCs w:val="18"/>
              </w:rPr>
            </w:pPr>
            <w:r w:rsidRPr="00517264">
              <w:rPr>
                <w:rFonts w:eastAsia="ArialNarrow"/>
                <w:szCs w:val="18"/>
              </w:rPr>
              <w:t>Desinić, (Hum Kosnički)</w:t>
            </w:r>
          </w:p>
        </w:tc>
        <w:tc>
          <w:tcPr>
            <w:tcW w:w="1204" w:type="pct"/>
            <w:gridSpan w:val="3"/>
            <w:tcBorders>
              <w:bottom w:val="nil"/>
            </w:tcBorders>
            <w:hideMark/>
          </w:tcPr>
          <w:p w14:paraId="208A3E3D" w14:textId="77777777" w:rsidR="008878A0" w:rsidRPr="00517264" w:rsidRDefault="008878A0" w:rsidP="00517264">
            <w:pPr>
              <w:spacing w:after="0"/>
              <w:jc w:val="right"/>
              <w:rPr>
                <w:rFonts w:eastAsia="ArialNarrow"/>
                <w:szCs w:val="18"/>
              </w:rPr>
            </w:pPr>
            <w:r w:rsidRPr="00517264">
              <w:rPr>
                <w:rFonts w:eastAsia="ArialNarrow"/>
                <w:szCs w:val="18"/>
              </w:rPr>
              <w:t>1,12</w:t>
            </w:r>
          </w:p>
        </w:tc>
        <w:tc>
          <w:tcPr>
            <w:tcW w:w="687" w:type="pct"/>
            <w:gridSpan w:val="2"/>
            <w:vMerge w:val="restart"/>
            <w:tcBorders>
              <w:right w:val="single" w:sz="8" w:space="0" w:color="D2232A"/>
            </w:tcBorders>
            <w:hideMark/>
          </w:tcPr>
          <w:p w14:paraId="72826BDF"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29B83A83" w14:textId="77777777" w:rsidTr="00517264">
        <w:tblPrEx>
          <w:tblBorders>
            <w:left w:val="none" w:sz="0" w:space="0" w:color="auto"/>
            <w:right w:val="none" w:sz="0" w:space="0" w:color="auto"/>
          </w:tblBorders>
        </w:tblPrEx>
        <w:trPr>
          <w:trHeight w:val="227"/>
        </w:trPr>
        <w:tc>
          <w:tcPr>
            <w:tcW w:w="1309" w:type="pct"/>
            <w:gridSpan w:val="3"/>
            <w:vMerge/>
            <w:tcBorders>
              <w:left w:val="single" w:sz="8" w:space="0" w:color="D2232A"/>
            </w:tcBorders>
            <w:vAlign w:val="center"/>
            <w:hideMark/>
          </w:tcPr>
          <w:p w14:paraId="61310014" w14:textId="77777777" w:rsidR="008878A0" w:rsidRPr="00517264" w:rsidRDefault="008878A0" w:rsidP="00517264">
            <w:pPr>
              <w:spacing w:after="0"/>
              <w:jc w:val="left"/>
              <w:rPr>
                <w:rFonts w:eastAsia="ArialNarrow"/>
                <w:szCs w:val="18"/>
              </w:rPr>
            </w:pPr>
          </w:p>
        </w:tc>
        <w:tc>
          <w:tcPr>
            <w:tcW w:w="1800" w:type="pct"/>
            <w:gridSpan w:val="4"/>
            <w:vMerge/>
            <w:vAlign w:val="center"/>
            <w:hideMark/>
          </w:tcPr>
          <w:p w14:paraId="2FDCEE50" w14:textId="77777777" w:rsidR="008878A0" w:rsidRPr="00517264" w:rsidRDefault="008878A0" w:rsidP="00517264">
            <w:pPr>
              <w:spacing w:after="0"/>
              <w:jc w:val="right"/>
              <w:rPr>
                <w:rFonts w:eastAsia="ArialNarrow"/>
                <w:szCs w:val="18"/>
              </w:rPr>
            </w:pPr>
          </w:p>
        </w:tc>
        <w:tc>
          <w:tcPr>
            <w:tcW w:w="1204" w:type="pct"/>
            <w:gridSpan w:val="3"/>
            <w:tcBorders>
              <w:top w:val="nil"/>
            </w:tcBorders>
            <w:hideMark/>
          </w:tcPr>
          <w:p w14:paraId="49AF2DE2" w14:textId="77777777" w:rsidR="008878A0" w:rsidRPr="00517264" w:rsidRDefault="008878A0" w:rsidP="00517264">
            <w:pPr>
              <w:spacing w:after="0"/>
              <w:jc w:val="right"/>
              <w:rPr>
                <w:rFonts w:eastAsia="ArialNarrow"/>
                <w:szCs w:val="18"/>
              </w:rPr>
            </w:pPr>
            <w:r w:rsidRPr="00517264">
              <w:rPr>
                <w:rFonts w:eastAsia="ArialNarrow"/>
                <w:szCs w:val="18"/>
              </w:rPr>
              <w:t>Izgrađeno: 0,12</w:t>
            </w:r>
          </w:p>
        </w:tc>
        <w:tc>
          <w:tcPr>
            <w:tcW w:w="687" w:type="pct"/>
            <w:gridSpan w:val="2"/>
            <w:vMerge/>
            <w:tcBorders>
              <w:right w:val="single" w:sz="8" w:space="0" w:color="D2232A"/>
            </w:tcBorders>
            <w:vAlign w:val="center"/>
            <w:hideMark/>
          </w:tcPr>
          <w:p w14:paraId="60800121" w14:textId="77777777" w:rsidR="008878A0" w:rsidRPr="00517264" w:rsidRDefault="008878A0" w:rsidP="00517264">
            <w:pPr>
              <w:spacing w:after="0"/>
              <w:jc w:val="right"/>
              <w:rPr>
                <w:rFonts w:eastAsia="ArialNarrow"/>
                <w:szCs w:val="18"/>
              </w:rPr>
            </w:pPr>
          </w:p>
        </w:tc>
      </w:tr>
      <w:tr w:rsidR="008878A0" w:rsidRPr="00517264" w14:paraId="0D331F32"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1BA9802B" w14:textId="77777777" w:rsidR="008878A0" w:rsidRPr="00517264" w:rsidRDefault="008878A0" w:rsidP="00517264">
            <w:pPr>
              <w:spacing w:after="0"/>
              <w:jc w:val="left"/>
              <w:rPr>
                <w:rFonts w:eastAsia="ArialNarrow"/>
                <w:szCs w:val="18"/>
              </w:rPr>
            </w:pPr>
            <w:r w:rsidRPr="00517264">
              <w:rPr>
                <w:rFonts w:eastAsia="ArialNarrow"/>
                <w:szCs w:val="18"/>
              </w:rPr>
              <w:t>Osredek Desinički</w:t>
            </w:r>
          </w:p>
        </w:tc>
        <w:tc>
          <w:tcPr>
            <w:tcW w:w="1800" w:type="pct"/>
            <w:gridSpan w:val="4"/>
            <w:hideMark/>
          </w:tcPr>
          <w:p w14:paraId="50A6BD86" w14:textId="77777777" w:rsidR="008878A0" w:rsidRPr="00517264" w:rsidRDefault="008878A0" w:rsidP="00517264">
            <w:pPr>
              <w:spacing w:after="0"/>
              <w:jc w:val="right"/>
              <w:rPr>
                <w:rFonts w:eastAsia="ArialNarrow"/>
                <w:szCs w:val="18"/>
              </w:rPr>
            </w:pPr>
            <w:r w:rsidRPr="00517264">
              <w:rPr>
                <w:rFonts w:eastAsia="ArialNarrow"/>
                <w:szCs w:val="18"/>
              </w:rPr>
              <w:t>Desinić, (Osredek Desinički, Desinić)</w:t>
            </w:r>
          </w:p>
        </w:tc>
        <w:tc>
          <w:tcPr>
            <w:tcW w:w="1204" w:type="pct"/>
            <w:gridSpan w:val="3"/>
            <w:hideMark/>
          </w:tcPr>
          <w:p w14:paraId="27C19798" w14:textId="77777777" w:rsidR="008878A0" w:rsidRPr="00517264" w:rsidRDefault="008878A0" w:rsidP="00517264">
            <w:pPr>
              <w:spacing w:after="0"/>
              <w:jc w:val="right"/>
              <w:rPr>
                <w:rFonts w:eastAsia="ArialNarrow"/>
                <w:szCs w:val="18"/>
              </w:rPr>
            </w:pPr>
            <w:r w:rsidRPr="00517264">
              <w:rPr>
                <w:rFonts w:eastAsia="ArialNarrow"/>
                <w:szCs w:val="18"/>
              </w:rPr>
              <w:t>1,72</w:t>
            </w:r>
          </w:p>
        </w:tc>
        <w:tc>
          <w:tcPr>
            <w:tcW w:w="687" w:type="pct"/>
            <w:gridSpan w:val="2"/>
            <w:tcBorders>
              <w:right w:val="single" w:sz="8" w:space="0" w:color="D2232A"/>
            </w:tcBorders>
            <w:hideMark/>
          </w:tcPr>
          <w:p w14:paraId="48E17ADC"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3523533D" w14:textId="77777777" w:rsidTr="00517264">
        <w:tblPrEx>
          <w:tblBorders>
            <w:left w:val="none" w:sz="0" w:space="0" w:color="auto"/>
            <w:right w:val="none" w:sz="0" w:space="0" w:color="auto"/>
          </w:tblBorders>
        </w:tblPrEx>
        <w:trPr>
          <w:trHeight w:val="227"/>
        </w:trPr>
        <w:tc>
          <w:tcPr>
            <w:tcW w:w="1309" w:type="pct"/>
            <w:gridSpan w:val="3"/>
            <w:vMerge w:val="restart"/>
            <w:tcBorders>
              <w:left w:val="single" w:sz="8" w:space="0" w:color="D2232A"/>
            </w:tcBorders>
            <w:hideMark/>
          </w:tcPr>
          <w:p w14:paraId="7D406966" w14:textId="77777777" w:rsidR="008878A0" w:rsidRPr="00517264" w:rsidRDefault="008878A0" w:rsidP="00517264">
            <w:pPr>
              <w:spacing w:after="0"/>
              <w:jc w:val="left"/>
              <w:rPr>
                <w:rFonts w:eastAsia="ArialNarrow"/>
                <w:szCs w:val="18"/>
              </w:rPr>
            </w:pPr>
            <w:r w:rsidRPr="00517264">
              <w:rPr>
                <w:rFonts w:eastAsia="ArialNarrow"/>
                <w:szCs w:val="18"/>
              </w:rPr>
              <w:t>Desinić</w:t>
            </w:r>
          </w:p>
        </w:tc>
        <w:tc>
          <w:tcPr>
            <w:tcW w:w="1800" w:type="pct"/>
            <w:gridSpan w:val="4"/>
            <w:vMerge w:val="restart"/>
            <w:hideMark/>
          </w:tcPr>
          <w:p w14:paraId="2B185CA7" w14:textId="77777777" w:rsidR="008878A0" w:rsidRPr="00517264" w:rsidRDefault="008878A0" w:rsidP="00517264">
            <w:pPr>
              <w:spacing w:after="0"/>
              <w:jc w:val="right"/>
              <w:rPr>
                <w:rFonts w:eastAsia="ArialNarrow"/>
                <w:szCs w:val="18"/>
              </w:rPr>
            </w:pPr>
            <w:r w:rsidRPr="00517264">
              <w:rPr>
                <w:rFonts w:eastAsia="ArialNarrow"/>
                <w:szCs w:val="18"/>
              </w:rPr>
              <w:t>Desinić, (Desinić)</w:t>
            </w:r>
          </w:p>
        </w:tc>
        <w:tc>
          <w:tcPr>
            <w:tcW w:w="1204" w:type="pct"/>
            <w:gridSpan w:val="3"/>
            <w:tcBorders>
              <w:bottom w:val="nil"/>
            </w:tcBorders>
            <w:hideMark/>
          </w:tcPr>
          <w:p w14:paraId="60A72A0A" w14:textId="77777777" w:rsidR="008878A0" w:rsidRPr="00517264" w:rsidRDefault="008878A0" w:rsidP="00517264">
            <w:pPr>
              <w:spacing w:after="0"/>
              <w:jc w:val="right"/>
              <w:rPr>
                <w:rFonts w:eastAsia="ArialNarrow"/>
                <w:szCs w:val="18"/>
              </w:rPr>
            </w:pPr>
            <w:r w:rsidRPr="00517264">
              <w:rPr>
                <w:rFonts w:eastAsia="ArialNarrow"/>
                <w:szCs w:val="18"/>
              </w:rPr>
              <w:t>1,95</w:t>
            </w:r>
          </w:p>
        </w:tc>
        <w:tc>
          <w:tcPr>
            <w:tcW w:w="687" w:type="pct"/>
            <w:gridSpan w:val="2"/>
            <w:vMerge w:val="restart"/>
            <w:tcBorders>
              <w:right w:val="single" w:sz="8" w:space="0" w:color="D2232A"/>
            </w:tcBorders>
            <w:hideMark/>
          </w:tcPr>
          <w:p w14:paraId="0804A464"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1B209930" w14:textId="77777777" w:rsidTr="00517264">
        <w:tblPrEx>
          <w:tblBorders>
            <w:left w:val="none" w:sz="0" w:space="0" w:color="auto"/>
            <w:right w:val="none" w:sz="0" w:space="0" w:color="auto"/>
          </w:tblBorders>
        </w:tblPrEx>
        <w:trPr>
          <w:trHeight w:val="227"/>
        </w:trPr>
        <w:tc>
          <w:tcPr>
            <w:tcW w:w="1309" w:type="pct"/>
            <w:gridSpan w:val="3"/>
            <w:vMerge/>
            <w:tcBorders>
              <w:left w:val="single" w:sz="8" w:space="0" w:color="D2232A"/>
            </w:tcBorders>
            <w:vAlign w:val="center"/>
            <w:hideMark/>
          </w:tcPr>
          <w:p w14:paraId="273D2CDE" w14:textId="77777777" w:rsidR="008878A0" w:rsidRPr="00517264" w:rsidRDefault="008878A0" w:rsidP="00517264">
            <w:pPr>
              <w:spacing w:after="0"/>
              <w:jc w:val="left"/>
              <w:rPr>
                <w:rFonts w:eastAsia="ArialNarrow"/>
                <w:szCs w:val="18"/>
              </w:rPr>
            </w:pPr>
          </w:p>
        </w:tc>
        <w:tc>
          <w:tcPr>
            <w:tcW w:w="1800" w:type="pct"/>
            <w:gridSpan w:val="4"/>
            <w:vMerge/>
            <w:vAlign w:val="center"/>
            <w:hideMark/>
          </w:tcPr>
          <w:p w14:paraId="70EF1517" w14:textId="77777777" w:rsidR="008878A0" w:rsidRPr="00517264" w:rsidRDefault="008878A0" w:rsidP="00517264">
            <w:pPr>
              <w:spacing w:after="0"/>
              <w:jc w:val="right"/>
              <w:rPr>
                <w:rFonts w:eastAsia="ArialNarrow"/>
                <w:szCs w:val="18"/>
              </w:rPr>
            </w:pPr>
          </w:p>
        </w:tc>
        <w:tc>
          <w:tcPr>
            <w:tcW w:w="1204" w:type="pct"/>
            <w:gridSpan w:val="3"/>
            <w:tcBorders>
              <w:top w:val="nil"/>
            </w:tcBorders>
            <w:hideMark/>
          </w:tcPr>
          <w:p w14:paraId="1F090865" w14:textId="77777777" w:rsidR="008878A0" w:rsidRPr="00517264" w:rsidRDefault="008878A0" w:rsidP="00517264">
            <w:pPr>
              <w:spacing w:after="0"/>
              <w:jc w:val="right"/>
              <w:rPr>
                <w:rFonts w:eastAsia="ArialNarrow"/>
                <w:szCs w:val="18"/>
              </w:rPr>
            </w:pPr>
            <w:r w:rsidRPr="00517264">
              <w:rPr>
                <w:rFonts w:eastAsia="ArialNarrow"/>
                <w:szCs w:val="18"/>
              </w:rPr>
              <w:t>Izgrađeno: 0,39</w:t>
            </w:r>
          </w:p>
        </w:tc>
        <w:tc>
          <w:tcPr>
            <w:tcW w:w="687" w:type="pct"/>
            <w:gridSpan w:val="2"/>
            <w:vMerge/>
            <w:tcBorders>
              <w:right w:val="single" w:sz="8" w:space="0" w:color="D2232A"/>
            </w:tcBorders>
            <w:vAlign w:val="center"/>
            <w:hideMark/>
          </w:tcPr>
          <w:p w14:paraId="3893DA0B" w14:textId="77777777" w:rsidR="008878A0" w:rsidRPr="00517264" w:rsidRDefault="008878A0" w:rsidP="00517264">
            <w:pPr>
              <w:spacing w:after="0"/>
              <w:jc w:val="right"/>
              <w:rPr>
                <w:rFonts w:eastAsia="ArialNarrow"/>
                <w:szCs w:val="18"/>
              </w:rPr>
            </w:pPr>
          </w:p>
        </w:tc>
      </w:tr>
      <w:tr w:rsidR="008878A0" w:rsidRPr="00517264" w14:paraId="2741C3E8"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4CA17AF6" w14:textId="77777777" w:rsidR="008878A0" w:rsidRPr="00517264" w:rsidRDefault="008878A0" w:rsidP="00517264">
            <w:pPr>
              <w:spacing w:after="0"/>
              <w:jc w:val="left"/>
              <w:rPr>
                <w:rFonts w:eastAsia="ArialNarrow"/>
                <w:szCs w:val="18"/>
              </w:rPr>
            </w:pPr>
            <w:r w:rsidRPr="00517264">
              <w:rPr>
                <w:rFonts w:eastAsia="ArialNarrow"/>
                <w:szCs w:val="18"/>
              </w:rPr>
              <w:t>Trnovec Desinički</w:t>
            </w:r>
          </w:p>
        </w:tc>
        <w:tc>
          <w:tcPr>
            <w:tcW w:w="1800" w:type="pct"/>
            <w:gridSpan w:val="4"/>
            <w:hideMark/>
          </w:tcPr>
          <w:p w14:paraId="69F715DE" w14:textId="77777777" w:rsidR="008878A0" w:rsidRPr="00517264" w:rsidRDefault="008878A0" w:rsidP="00517264">
            <w:pPr>
              <w:spacing w:after="0"/>
              <w:jc w:val="right"/>
              <w:rPr>
                <w:rFonts w:eastAsia="ArialNarrow"/>
                <w:szCs w:val="18"/>
              </w:rPr>
            </w:pPr>
            <w:r w:rsidRPr="00517264">
              <w:rPr>
                <w:rFonts w:eastAsia="ArialNarrow"/>
                <w:szCs w:val="18"/>
              </w:rPr>
              <w:t>Desinić,(Trnovec Desinički)</w:t>
            </w:r>
          </w:p>
        </w:tc>
        <w:tc>
          <w:tcPr>
            <w:tcW w:w="1204" w:type="pct"/>
            <w:gridSpan w:val="3"/>
            <w:hideMark/>
          </w:tcPr>
          <w:p w14:paraId="470ED212" w14:textId="77777777" w:rsidR="008878A0" w:rsidRPr="00517264" w:rsidRDefault="008878A0" w:rsidP="00517264">
            <w:pPr>
              <w:spacing w:after="0"/>
              <w:jc w:val="right"/>
              <w:rPr>
                <w:rFonts w:eastAsia="ArialNarrow"/>
                <w:szCs w:val="18"/>
              </w:rPr>
            </w:pPr>
            <w:r w:rsidRPr="00517264">
              <w:rPr>
                <w:rFonts w:eastAsia="ArialNarrow"/>
                <w:szCs w:val="18"/>
              </w:rPr>
              <w:t>Izgrađeno: 0,8</w:t>
            </w:r>
          </w:p>
        </w:tc>
        <w:tc>
          <w:tcPr>
            <w:tcW w:w="687" w:type="pct"/>
            <w:gridSpan w:val="2"/>
            <w:tcBorders>
              <w:right w:val="single" w:sz="8" w:space="0" w:color="D2232A"/>
            </w:tcBorders>
            <w:hideMark/>
          </w:tcPr>
          <w:p w14:paraId="1E9DD003"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35ECFA97"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21055354" w14:textId="77777777" w:rsidR="008878A0" w:rsidRPr="00517264" w:rsidRDefault="008878A0" w:rsidP="00517264">
            <w:pPr>
              <w:spacing w:after="0"/>
              <w:jc w:val="left"/>
              <w:rPr>
                <w:rFonts w:eastAsia="ArialNarrow"/>
                <w:szCs w:val="18"/>
              </w:rPr>
            </w:pPr>
            <w:r w:rsidRPr="00517264">
              <w:rPr>
                <w:rFonts w:eastAsia="ArialNarrow"/>
                <w:szCs w:val="18"/>
              </w:rPr>
              <w:t>Šimunci - TZ 1</w:t>
            </w:r>
          </w:p>
        </w:tc>
        <w:tc>
          <w:tcPr>
            <w:tcW w:w="1800" w:type="pct"/>
            <w:gridSpan w:val="4"/>
            <w:hideMark/>
          </w:tcPr>
          <w:p w14:paraId="645A9242" w14:textId="77777777" w:rsidR="008878A0" w:rsidRPr="00517264" w:rsidRDefault="008878A0" w:rsidP="00517264">
            <w:pPr>
              <w:spacing w:after="0"/>
              <w:jc w:val="right"/>
              <w:rPr>
                <w:rFonts w:eastAsia="ArialNarrow"/>
                <w:szCs w:val="18"/>
              </w:rPr>
            </w:pPr>
            <w:r w:rsidRPr="00517264">
              <w:rPr>
                <w:rFonts w:eastAsia="ArialNarrow"/>
                <w:szCs w:val="18"/>
              </w:rPr>
              <w:t>Desinić, (Šimunci)</w:t>
            </w:r>
          </w:p>
        </w:tc>
        <w:tc>
          <w:tcPr>
            <w:tcW w:w="1204" w:type="pct"/>
            <w:gridSpan w:val="3"/>
            <w:hideMark/>
          </w:tcPr>
          <w:p w14:paraId="01A9D887" w14:textId="77777777" w:rsidR="008878A0" w:rsidRPr="00517264" w:rsidRDefault="008878A0" w:rsidP="00517264">
            <w:pPr>
              <w:spacing w:after="0"/>
              <w:jc w:val="right"/>
              <w:rPr>
                <w:rFonts w:eastAsia="ArialNarrow"/>
                <w:szCs w:val="18"/>
              </w:rPr>
            </w:pPr>
            <w:r w:rsidRPr="00517264">
              <w:rPr>
                <w:rFonts w:eastAsia="ArialNarrow"/>
                <w:szCs w:val="18"/>
              </w:rPr>
              <w:t>Izgrađeno: 0,09</w:t>
            </w:r>
          </w:p>
        </w:tc>
        <w:tc>
          <w:tcPr>
            <w:tcW w:w="687" w:type="pct"/>
            <w:gridSpan w:val="2"/>
            <w:tcBorders>
              <w:right w:val="single" w:sz="8" w:space="0" w:color="D2232A"/>
            </w:tcBorders>
            <w:hideMark/>
          </w:tcPr>
          <w:p w14:paraId="6BE471C1" w14:textId="77777777" w:rsidR="008878A0" w:rsidRPr="00517264" w:rsidRDefault="008878A0" w:rsidP="00517264">
            <w:pPr>
              <w:spacing w:after="0"/>
              <w:jc w:val="right"/>
              <w:rPr>
                <w:rFonts w:eastAsia="ArialNarrow"/>
                <w:szCs w:val="18"/>
              </w:rPr>
            </w:pPr>
            <w:r w:rsidRPr="00517264">
              <w:rPr>
                <w:rFonts w:eastAsia="ArialNarrow"/>
                <w:szCs w:val="18"/>
              </w:rPr>
              <w:t>/</w:t>
            </w:r>
          </w:p>
        </w:tc>
      </w:tr>
      <w:tr w:rsidR="008878A0" w:rsidRPr="00517264" w14:paraId="2270413B"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5F565370" w14:textId="77777777" w:rsidR="008878A0" w:rsidRPr="00517264" w:rsidRDefault="008878A0" w:rsidP="00517264">
            <w:pPr>
              <w:spacing w:after="0"/>
              <w:jc w:val="left"/>
              <w:rPr>
                <w:rFonts w:eastAsia="ArialNarrow"/>
                <w:szCs w:val="18"/>
              </w:rPr>
            </w:pPr>
            <w:r w:rsidRPr="00517264">
              <w:rPr>
                <w:rFonts w:eastAsia="ArialNarrow"/>
                <w:szCs w:val="18"/>
              </w:rPr>
              <w:t>Šimunci - TZ 2</w:t>
            </w:r>
          </w:p>
        </w:tc>
        <w:tc>
          <w:tcPr>
            <w:tcW w:w="1800" w:type="pct"/>
            <w:gridSpan w:val="4"/>
            <w:hideMark/>
          </w:tcPr>
          <w:p w14:paraId="0DCBCEB3" w14:textId="77777777" w:rsidR="008878A0" w:rsidRPr="00517264" w:rsidRDefault="008878A0" w:rsidP="00517264">
            <w:pPr>
              <w:spacing w:after="0"/>
              <w:jc w:val="right"/>
              <w:rPr>
                <w:rFonts w:eastAsia="ArialNarrow"/>
                <w:szCs w:val="18"/>
              </w:rPr>
            </w:pPr>
            <w:r w:rsidRPr="00517264">
              <w:rPr>
                <w:rFonts w:eastAsia="ArialNarrow"/>
                <w:szCs w:val="18"/>
              </w:rPr>
              <w:t>Desinić, (Šimunci)</w:t>
            </w:r>
          </w:p>
        </w:tc>
        <w:tc>
          <w:tcPr>
            <w:tcW w:w="1204" w:type="pct"/>
            <w:gridSpan w:val="3"/>
            <w:hideMark/>
          </w:tcPr>
          <w:p w14:paraId="5EC568CA" w14:textId="77777777" w:rsidR="008878A0" w:rsidRPr="00517264" w:rsidRDefault="008878A0" w:rsidP="00517264">
            <w:pPr>
              <w:spacing w:after="0"/>
              <w:jc w:val="right"/>
              <w:rPr>
                <w:rFonts w:eastAsia="ArialNarrow"/>
                <w:szCs w:val="18"/>
              </w:rPr>
            </w:pPr>
            <w:r w:rsidRPr="00517264">
              <w:rPr>
                <w:rFonts w:eastAsia="ArialNarrow"/>
                <w:szCs w:val="18"/>
              </w:rPr>
              <w:t>Izgrađeno: 0,07</w:t>
            </w:r>
          </w:p>
        </w:tc>
        <w:tc>
          <w:tcPr>
            <w:tcW w:w="687" w:type="pct"/>
            <w:gridSpan w:val="2"/>
            <w:tcBorders>
              <w:right w:val="single" w:sz="8" w:space="0" w:color="D2232A"/>
            </w:tcBorders>
            <w:hideMark/>
          </w:tcPr>
          <w:p w14:paraId="5651FD53"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07375A61"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47833360" w14:textId="77777777" w:rsidR="008878A0" w:rsidRPr="00517264" w:rsidRDefault="008878A0" w:rsidP="00517264">
            <w:pPr>
              <w:spacing w:after="0"/>
              <w:jc w:val="left"/>
              <w:rPr>
                <w:rFonts w:eastAsia="ArialNarrow"/>
                <w:szCs w:val="18"/>
              </w:rPr>
            </w:pPr>
            <w:r w:rsidRPr="00517264">
              <w:rPr>
                <w:rFonts w:eastAsia="ArialNarrow"/>
                <w:szCs w:val="18"/>
              </w:rPr>
              <w:t>Šimunci - TZ 3</w:t>
            </w:r>
          </w:p>
        </w:tc>
        <w:tc>
          <w:tcPr>
            <w:tcW w:w="1800" w:type="pct"/>
            <w:gridSpan w:val="4"/>
            <w:hideMark/>
          </w:tcPr>
          <w:p w14:paraId="0F56B388" w14:textId="77777777" w:rsidR="008878A0" w:rsidRPr="00517264" w:rsidRDefault="008878A0" w:rsidP="00517264">
            <w:pPr>
              <w:spacing w:after="0"/>
              <w:jc w:val="right"/>
              <w:rPr>
                <w:rFonts w:eastAsia="ArialNarrow"/>
                <w:szCs w:val="18"/>
              </w:rPr>
            </w:pPr>
            <w:r w:rsidRPr="00517264">
              <w:rPr>
                <w:rFonts w:eastAsia="ArialNarrow"/>
                <w:szCs w:val="18"/>
              </w:rPr>
              <w:t>Desinić, (Šimunci)</w:t>
            </w:r>
          </w:p>
        </w:tc>
        <w:tc>
          <w:tcPr>
            <w:tcW w:w="1204" w:type="pct"/>
            <w:gridSpan w:val="3"/>
            <w:hideMark/>
          </w:tcPr>
          <w:p w14:paraId="0C323117" w14:textId="77777777" w:rsidR="008878A0" w:rsidRPr="00517264" w:rsidRDefault="008878A0" w:rsidP="00517264">
            <w:pPr>
              <w:spacing w:after="0"/>
              <w:jc w:val="right"/>
              <w:rPr>
                <w:rFonts w:eastAsia="ArialNarrow"/>
                <w:szCs w:val="18"/>
              </w:rPr>
            </w:pPr>
            <w:r w:rsidRPr="00517264">
              <w:rPr>
                <w:rFonts w:eastAsia="ArialNarrow"/>
                <w:szCs w:val="18"/>
              </w:rPr>
              <w:t>Izgrađeno: 0,11</w:t>
            </w:r>
          </w:p>
        </w:tc>
        <w:tc>
          <w:tcPr>
            <w:tcW w:w="687" w:type="pct"/>
            <w:gridSpan w:val="2"/>
            <w:tcBorders>
              <w:right w:val="single" w:sz="8" w:space="0" w:color="D2232A"/>
            </w:tcBorders>
            <w:hideMark/>
          </w:tcPr>
          <w:p w14:paraId="7C91FA2C"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4A8831F7"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71930065" w14:textId="77777777" w:rsidR="008878A0" w:rsidRPr="00517264" w:rsidRDefault="008878A0" w:rsidP="00517264">
            <w:pPr>
              <w:spacing w:after="0"/>
              <w:jc w:val="left"/>
              <w:rPr>
                <w:rFonts w:eastAsia="ArialNarrow"/>
                <w:szCs w:val="18"/>
              </w:rPr>
            </w:pPr>
            <w:r w:rsidRPr="00517264">
              <w:rPr>
                <w:rFonts w:eastAsia="ArialNarrow"/>
                <w:szCs w:val="18"/>
              </w:rPr>
              <w:t>Škalić Zagorski</w:t>
            </w:r>
          </w:p>
        </w:tc>
        <w:tc>
          <w:tcPr>
            <w:tcW w:w="1800" w:type="pct"/>
            <w:gridSpan w:val="4"/>
            <w:hideMark/>
          </w:tcPr>
          <w:p w14:paraId="2F8315A2" w14:textId="77777777" w:rsidR="008878A0" w:rsidRPr="00517264" w:rsidRDefault="008878A0" w:rsidP="00517264">
            <w:pPr>
              <w:spacing w:after="0"/>
              <w:jc w:val="right"/>
              <w:rPr>
                <w:rFonts w:eastAsia="ArialNarrow"/>
                <w:szCs w:val="18"/>
              </w:rPr>
            </w:pPr>
            <w:r w:rsidRPr="00517264">
              <w:rPr>
                <w:rFonts w:eastAsia="ArialNarrow"/>
                <w:szCs w:val="18"/>
              </w:rPr>
              <w:t>Desinić, (Škalić Zagorski)</w:t>
            </w:r>
          </w:p>
        </w:tc>
        <w:tc>
          <w:tcPr>
            <w:tcW w:w="1204" w:type="pct"/>
            <w:gridSpan w:val="3"/>
            <w:hideMark/>
          </w:tcPr>
          <w:p w14:paraId="52E1B3E7" w14:textId="77777777" w:rsidR="008878A0" w:rsidRPr="00517264" w:rsidRDefault="008878A0" w:rsidP="00517264">
            <w:pPr>
              <w:spacing w:after="0"/>
              <w:jc w:val="right"/>
              <w:rPr>
                <w:rFonts w:eastAsia="ArialNarrow"/>
                <w:szCs w:val="18"/>
              </w:rPr>
            </w:pPr>
            <w:r w:rsidRPr="00517264">
              <w:rPr>
                <w:rFonts w:eastAsia="ArialNarrow"/>
                <w:szCs w:val="18"/>
              </w:rPr>
              <w:t>0,95</w:t>
            </w:r>
          </w:p>
        </w:tc>
        <w:tc>
          <w:tcPr>
            <w:tcW w:w="687" w:type="pct"/>
            <w:gridSpan w:val="2"/>
            <w:tcBorders>
              <w:right w:val="single" w:sz="8" w:space="0" w:color="D2232A"/>
            </w:tcBorders>
            <w:hideMark/>
          </w:tcPr>
          <w:p w14:paraId="37BF8CC5"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0F767D15"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65F1A6BF" w14:textId="77777777" w:rsidR="008878A0" w:rsidRPr="00517264" w:rsidRDefault="008878A0" w:rsidP="00517264">
            <w:pPr>
              <w:spacing w:after="0"/>
              <w:jc w:val="left"/>
              <w:rPr>
                <w:rFonts w:eastAsia="ArialNarrow"/>
                <w:szCs w:val="18"/>
              </w:rPr>
            </w:pPr>
            <w:r w:rsidRPr="00517264">
              <w:rPr>
                <w:rFonts w:eastAsia="ArialNarrow"/>
                <w:szCs w:val="18"/>
              </w:rPr>
              <w:t>Gostenje</w:t>
            </w:r>
          </w:p>
        </w:tc>
        <w:tc>
          <w:tcPr>
            <w:tcW w:w="1800" w:type="pct"/>
            <w:gridSpan w:val="4"/>
            <w:hideMark/>
          </w:tcPr>
          <w:p w14:paraId="0296DB50" w14:textId="77777777" w:rsidR="008878A0" w:rsidRPr="00517264" w:rsidRDefault="008878A0" w:rsidP="00517264">
            <w:pPr>
              <w:spacing w:after="0"/>
              <w:jc w:val="right"/>
              <w:rPr>
                <w:rFonts w:eastAsia="ArialNarrow"/>
                <w:szCs w:val="18"/>
              </w:rPr>
            </w:pPr>
            <w:r w:rsidRPr="00517264">
              <w:rPr>
                <w:rFonts w:eastAsia="ArialNarrow"/>
                <w:szCs w:val="18"/>
              </w:rPr>
              <w:t>Desinić, (Gostenje)</w:t>
            </w:r>
          </w:p>
        </w:tc>
        <w:tc>
          <w:tcPr>
            <w:tcW w:w="1204" w:type="pct"/>
            <w:gridSpan w:val="3"/>
            <w:hideMark/>
          </w:tcPr>
          <w:p w14:paraId="70682B15" w14:textId="77777777" w:rsidR="008878A0" w:rsidRPr="00517264" w:rsidRDefault="008878A0" w:rsidP="00517264">
            <w:pPr>
              <w:spacing w:after="0"/>
              <w:jc w:val="right"/>
              <w:rPr>
                <w:rFonts w:eastAsia="ArialNarrow"/>
                <w:szCs w:val="18"/>
              </w:rPr>
            </w:pPr>
            <w:r w:rsidRPr="00517264">
              <w:rPr>
                <w:rFonts w:eastAsia="ArialNarrow"/>
                <w:szCs w:val="18"/>
              </w:rPr>
              <w:t>1,74</w:t>
            </w:r>
          </w:p>
        </w:tc>
        <w:tc>
          <w:tcPr>
            <w:tcW w:w="687" w:type="pct"/>
            <w:gridSpan w:val="2"/>
            <w:tcBorders>
              <w:right w:val="single" w:sz="8" w:space="0" w:color="D2232A"/>
            </w:tcBorders>
            <w:hideMark/>
          </w:tcPr>
          <w:p w14:paraId="6749A61C"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6403CE12"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4FA93A3D" w14:textId="77777777" w:rsidR="008878A0" w:rsidRPr="00517264" w:rsidRDefault="008878A0" w:rsidP="00517264">
            <w:pPr>
              <w:spacing w:after="0"/>
              <w:jc w:val="left"/>
              <w:rPr>
                <w:rFonts w:eastAsia="ArialNarrow"/>
                <w:szCs w:val="18"/>
              </w:rPr>
            </w:pPr>
            <w:r w:rsidRPr="00517264">
              <w:rPr>
                <w:rFonts w:eastAsia="ArialNarrow"/>
                <w:szCs w:val="18"/>
              </w:rPr>
              <w:t>Jelenjak - TZ 1</w:t>
            </w:r>
          </w:p>
        </w:tc>
        <w:tc>
          <w:tcPr>
            <w:tcW w:w="1800" w:type="pct"/>
            <w:gridSpan w:val="4"/>
            <w:hideMark/>
          </w:tcPr>
          <w:p w14:paraId="2A2C0510" w14:textId="77777777" w:rsidR="008878A0" w:rsidRPr="00517264" w:rsidRDefault="008878A0" w:rsidP="00517264">
            <w:pPr>
              <w:spacing w:after="0"/>
              <w:jc w:val="right"/>
              <w:rPr>
                <w:rFonts w:eastAsia="ArialNarrow"/>
                <w:szCs w:val="18"/>
              </w:rPr>
            </w:pPr>
            <w:r w:rsidRPr="00517264">
              <w:rPr>
                <w:rFonts w:eastAsia="ArialNarrow"/>
                <w:szCs w:val="18"/>
              </w:rPr>
              <w:t>Desinić, (Jelenjak)</w:t>
            </w:r>
          </w:p>
        </w:tc>
        <w:tc>
          <w:tcPr>
            <w:tcW w:w="1204" w:type="pct"/>
            <w:gridSpan w:val="3"/>
            <w:hideMark/>
          </w:tcPr>
          <w:p w14:paraId="75CAF48D" w14:textId="77777777" w:rsidR="008878A0" w:rsidRPr="00517264" w:rsidRDefault="008878A0" w:rsidP="00517264">
            <w:pPr>
              <w:spacing w:after="0"/>
              <w:jc w:val="right"/>
              <w:rPr>
                <w:rFonts w:eastAsia="ArialNarrow"/>
                <w:szCs w:val="18"/>
              </w:rPr>
            </w:pPr>
            <w:r w:rsidRPr="00517264">
              <w:rPr>
                <w:rFonts w:eastAsia="ArialNarrow"/>
                <w:szCs w:val="18"/>
              </w:rPr>
              <w:t>Izgrađeno: 0,78</w:t>
            </w:r>
          </w:p>
        </w:tc>
        <w:tc>
          <w:tcPr>
            <w:tcW w:w="687" w:type="pct"/>
            <w:gridSpan w:val="2"/>
            <w:tcBorders>
              <w:right w:val="single" w:sz="8" w:space="0" w:color="D2232A"/>
            </w:tcBorders>
            <w:hideMark/>
          </w:tcPr>
          <w:p w14:paraId="0614B8D7"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1663D510" w14:textId="77777777" w:rsidTr="00517264">
        <w:tblPrEx>
          <w:tblBorders>
            <w:left w:val="none" w:sz="0" w:space="0" w:color="auto"/>
            <w:right w:val="none" w:sz="0" w:space="0" w:color="auto"/>
          </w:tblBorders>
        </w:tblPrEx>
        <w:trPr>
          <w:trHeight w:val="227"/>
        </w:trPr>
        <w:tc>
          <w:tcPr>
            <w:tcW w:w="1309" w:type="pct"/>
            <w:gridSpan w:val="3"/>
            <w:vMerge w:val="restart"/>
            <w:tcBorders>
              <w:left w:val="single" w:sz="8" w:space="0" w:color="D2232A"/>
            </w:tcBorders>
            <w:hideMark/>
          </w:tcPr>
          <w:p w14:paraId="01056AB3" w14:textId="77777777" w:rsidR="008878A0" w:rsidRPr="00517264" w:rsidRDefault="008878A0" w:rsidP="00517264">
            <w:pPr>
              <w:spacing w:after="0"/>
              <w:jc w:val="left"/>
              <w:rPr>
                <w:rFonts w:eastAsia="ArialNarrow"/>
                <w:szCs w:val="18"/>
              </w:rPr>
            </w:pPr>
            <w:r w:rsidRPr="00517264">
              <w:rPr>
                <w:rFonts w:eastAsia="ArialNarrow"/>
                <w:szCs w:val="18"/>
              </w:rPr>
              <w:t>Jelenjak - TZ 2</w:t>
            </w:r>
          </w:p>
        </w:tc>
        <w:tc>
          <w:tcPr>
            <w:tcW w:w="1800" w:type="pct"/>
            <w:gridSpan w:val="4"/>
            <w:vMerge w:val="restart"/>
            <w:hideMark/>
          </w:tcPr>
          <w:p w14:paraId="47DB068E" w14:textId="77777777" w:rsidR="008878A0" w:rsidRPr="00517264" w:rsidRDefault="008878A0" w:rsidP="00517264">
            <w:pPr>
              <w:spacing w:after="0"/>
              <w:jc w:val="right"/>
              <w:rPr>
                <w:rFonts w:eastAsia="ArialNarrow"/>
                <w:szCs w:val="18"/>
              </w:rPr>
            </w:pPr>
            <w:r w:rsidRPr="00517264">
              <w:rPr>
                <w:rFonts w:eastAsia="ArialNarrow"/>
                <w:szCs w:val="18"/>
              </w:rPr>
              <w:t>Desinić, (Jelenjak)</w:t>
            </w:r>
          </w:p>
        </w:tc>
        <w:tc>
          <w:tcPr>
            <w:tcW w:w="1204" w:type="pct"/>
            <w:gridSpan w:val="3"/>
            <w:tcBorders>
              <w:bottom w:val="nil"/>
            </w:tcBorders>
            <w:hideMark/>
          </w:tcPr>
          <w:p w14:paraId="389751E6" w14:textId="77777777" w:rsidR="008878A0" w:rsidRPr="00517264" w:rsidRDefault="008878A0" w:rsidP="00517264">
            <w:pPr>
              <w:spacing w:after="0"/>
              <w:jc w:val="right"/>
              <w:rPr>
                <w:rFonts w:eastAsia="ArialNarrow"/>
                <w:szCs w:val="18"/>
              </w:rPr>
            </w:pPr>
            <w:r w:rsidRPr="00517264">
              <w:rPr>
                <w:rFonts w:eastAsia="ArialNarrow"/>
                <w:szCs w:val="18"/>
              </w:rPr>
              <w:t>0,43</w:t>
            </w:r>
          </w:p>
        </w:tc>
        <w:tc>
          <w:tcPr>
            <w:tcW w:w="687" w:type="pct"/>
            <w:gridSpan w:val="2"/>
            <w:vMerge w:val="restart"/>
            <w:tcBorders>
              <w:right w:val="single" w:sz="8" w:space="0" w:color="D2232A"/>
            </w:tcBorders>
            <w:hideMark/>
          </w:tcPr>
          <w:p w14:paraId="202DC178"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17C87672" w14:textId="77777777" w:rsidTr="00517264">
        <w:tblPrEx>
          <w:tblBorders>
            <w:left w:val="none" w:sz="0" w:space="0" w:color="auto"/>
            <w:right w:val="none" w:sz="0" w:space="0" w:color="auto"/>
          </w:tblBorders>
        </w:tblPrEx>
        <w:trPr>
          <w:trHeight w:val="227"/>
        </w:trPr>
        <w:tc>
          <w:tcPr>
            <w:tcW w:w="1309" w:type="pct"/>
            <w:gridSpan w:val="3"/>
            <w:vMerge/>
            <w:tcBorders>
              <w:left w:val="single" w:sz="8" w:space="0" w:color="D2232A"/>
            </w:tcBorders>
            <w:vAlign w:val="center"/>
            <w:hideMark/>
          </w:tcPr>
          <w:p w14:paraId="0EF190B2" w14:textId="77777777" w:rsidR="008878A0" w:rsidRPr="00517264" w:rsidRDefault="008878A0" w:rsidP="00517264">
            <w:pPr>
              <w:spacing w:after="0"/>
              <w:jc w:val="left"/>
              <w:rPr>
                <w:rFonts w:eastAsia="ArialNarrow"/>
                <w:szCs w:val="18"/>
              </w:rPr>
            </w:pPr>
          </w:p>
        </w:tc>
        <w:tc>
          <w:tcPr>
            <w:tcW w:w="1800" w:type="pct"/>
            <w:gridSpan w:val="4"/>
            <w:vMerge/>
            <w:vAlign w:val="center"/>
            <w:hideMark/>
          </w:tcPr>
          <w:p w14:paraId="6448B3E2" w14:textId="77777777" w:rsidR="008878A0" w:rsidRPr="00517264" w:rsidRDefault="008878A0" w:rsidP="00517264">
            <w:pPr>
              <w:spacing w:after="0"/>
              <w:jc w:val="right"/>
              <w:rPr>
                <w:rFonts w:eastAsia="ArialNarrow"/>
                <w:szCs w:val="18"/>
              </w:rPr>
            </w:pPr>
          </w:p>
        </w:tc>
        <w:tc>
          <w:tcPr>
            <w:tcW w:w="1204" w:type="pct"/>
            <w:gridSpan w:val="3"/>
            <w:tcBorders>
              <w:top w:val="nil"/>
            </w:tcBorders>
            <w:hideMark/>
          </w:tcPr>
          <w:p w14:paraId="5429E048" w14:textId="77777777" w:rsidR="008878A0" w:rsidRPr="00517264" w:rsidRDefault="008878A0" w:rsidP="00517264">
            <w:pPr>
              <w:spacing w:after="0"/>
              <w:jc w:val="right"/>
              <w:rPr>
                <w:rFonts w:eastAsia="ArialNarrow"/>
                <w:szCs w:val="18"/>
              </w:rPr>
            </w:pPr>
            <w:r w:rsidRPr="00517264">
              <w:rPr>
                <w:rFonts w:eastAsia="ArialNarrow"/>
                <w:szCs w:val="18"/>
              </w:rPr>
              <w:t>Izgrađeno: 0,02</w:t>
            </w:r>
          </w:p>
        </w:tc>
        <w:tc>
          <w:tcPr>
            <w:tcW w:w="687" w:type="pct"/>
            <w:gridSpan w:val="2"/>
            <w:vMerge/>
            <w:tcBorders>
              <w:right w:val="single" w:sz="8" w:space="0" w:color="D2232A"/>
            </w:tcBorders>
            <w:vAlign w:val="center"/>
            <w:hideMark/>
          </w:tcPr>
          <w:p w14:paraId="658E1BAC" w14:textId="77777777" w:rsidR="008878A0" w:rsidRPr="00517264" w:rsidRDefault="008878A0" w:rsidP="00517264">
            <w:pPr>
              <w:spacing w:after="0"/>
              <w:jc w:val="right"/>
              <w:rPr>
                <w:rFonts w:eastAsia="ArialNarrow"/>
                <w:szCs w:val="18"/>
              </w:rPr>
            </w:pPr>
          </w:p>
        </w:tc>
      </w:tr>
      <w:tr w:rsidR="008878A0" w:rsidRPr="00517264" w14:paraId="30C20912"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0074A88B" w14:textId="77777777" w:rsidR="008878A0" w:rsidRPr="00517264" w:rsidRDefault="008878A0" w:rsidP="00517264">
            <w:pPr>
              <w:spacing w:after="0"/>
              <w:jc w:val="left"/>
              <w:rPr>
                <w:rFonts w:eastAsia="ArialNarrow"/>
                <w:szCs w:val="18"/>
              </w:rPr>
            </w:pPr>
            <w:r w:rsidRPr="00517264">
              <w:rPr>
                <w:rFonts w:eastAsia="ArialNarrow"/>
                <w:szCs w:val="18"/>
              </w:rPr>
              <w:t>Jelenjak - TZ 3</w:t>
            </w:r>
          </w:p>
        </w:tc>
        <w:tc>
          <w:tcPr>
            <w:tcW w:w="1800" w:type="pct"/>
            <w:gridSpan w:val="4"/>
            <w:hideMark/>
          </w:tcPr>
          <w:p w14:paraId="167287A8" w14:textId="77777777" w:rsidR="008878A0" w:rsidRPr="00517264" w:rsidRDefault="008878A0" w:rsidP="00517264">
            <w:pPr>
              <w:spacing w:after="0"/>
              <w:jc w:val="right"/>
              <w:rPr>
                <w:rFonts w:eastAsia="ArialNarrow"/>
                <w:szCs w:val="18"/>
              </w:rPr>
            </w:pPr>
            <w:r w:rsidRPr="00517264">
              <w:rPr>
                <w:rFonts w:eastAsia="ArialNarrow"/>
                <w:szCs w:val="18"/>
              </w:rPr>
              <w:t>Desinić, (Jelenjak)</w:t>
            </w:r>
          </w:p>
        </w:tc>
        <w:tc>
          <w:tcPr>
            <w:tcW w:w="1204" w:type="pct"/>
            <w:gridSpan w:val="3"/>
            <w:hideMark/>
          </w:tcPr>
          <w:p w14:paraId="42CB037C" w14:textId="77777777" w:rsidR="008878A0" w:rsidRPr="00517264" w:rsidRDefault="008878A0" w:rsidP="00517264">
            <w:pPr>
              <w:spacing w:after="0"/>
              <w:jc w:val="right"/>
              <w:rPr>
                <w:rFonts w:eastAsia="ArialNarrow"/>
                <w:szCs w:val="18"/>
              </w:rPr>
            </w:pPr>
            <w:r w:rsidRPr="00517264">
              <w:rPr>
                <w:rFonts w:eastAsia="ArialNarrow"/>
                <w:szCs w:val="18"/>
              </w:rPr>
              <w:t>Izgrađeno: 0,09</w:t>
            </w:r>
          </w:p>
        </w:tc>
        <w:tc>
          <w:tcPr>
            <w:tcW w:w="687" w:type="pct"/>
            <w:gridSpan w:val="2"/>
            <w:tcBorders>
              <w:right w:val="single" w:sz="8" w:space="0" w:color="D2232A"/>
            </w:tcBorders>
            <w:hideMark/>
          </w:tcPr>
          <w:p w14:paraId="01518E05"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3CDF41A6"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shd w:val="clear" w:color="auto" w:fill="D2232A" w:themeFill="accent1"/>
            <w:hideMark/>
          </w:tcPr>
          <w:p w14:paraId="1EE2B44F"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ZABOK</w:t>
            </w:r>
          </w:p>
        </w:tc>
        <w:tc>
          <w:tcPr>
            <w:tcW w:w="1800" w:type="pct"/>
            <w:gridSpan w:val="4"/>
            <w:shd w:val="clear" w:color="auto" w:fill="D2232A" w:themeFill="accent1"/>
            <w:hideMark/>
          </w:tcPr>
          <w:p w14:paraId="7A2C0596"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04" w:type="pct"/>
            <w:gridSpan w:val="3"/>
            <w:shd w:val="clear" w:color="auto" w:fill="D2232A" w:themeFill="accent1"/>
            <w:hideMark/>
          </w:tcPr>
          <w:p w14:paraId="05DF4D9C"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687" w:type="pct"/>
            <w:gridSpan w:val="2"/>
            <w:tcBorders>
              <w:right w:val="single" w:sz="8" w:space="0" w:color="D2232A"/>
            </w:tcBorders>
            <w:shd w:val="clear" w:color="auto" w:fill="D2232A" w:themeFill="accent1"/>
            <w:hideMark/>
          </w:tcPr>
          <w:p w14:paraId="62B10A26"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0B4C2AC8"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5BE66215" w14:textId="77777777" w:rsidR="008878A0" w:rsidRPr="00517264" w:rsidRDefault="008878A0" w:rsidP="00517264">
            <w:pPr>
              <w:spacing w:after="0"/>
              <w:jc w:val="left"/>
              <w:rPr>
                <w:rFonts w:eastAsia="ArialNarrow"/>
                <w:color w:val="auto"/>
                <w:szCs w:val="18"/>
              </w:rPr>
            </w:pPr>
            <w:r w:rsidRPr="00517264">
              <w:rPr>
                <w:rFonts w:eastAsia="ArialNarrow"/>
                <w:szCs w:val="18"/>
              </w:rPr>
              <w:t xml:space="preserve">Gubaševo </w:t>
            </w:r>
          </w:p>
        </w:tc>
        <w:tc>
          <w:tcPr>
            <w:tcW w:w="1800" w:type="pct"/>
            <w:gridSpan w:val="4"/>
            <w:hideMark/>
          </w:tcPr>
          <w:p w14:paraId="304DA53C" w14:textId="77777777" w:rsidR="008878A0" w:rsidRPr="00517264" w:rsidRDefault="008878A0" w:rsidP="00517264">
            <w:pPr>
              <w:spacing w:after="0"/>
              <w:jc w:val="right"/>
              <w:rPr>
                <w:rFonts w:eastAsia="ArialNarrow"/>
                <w:szCs w:val="18"/>
              </w:rPr>
            </w:pPr>
            <w:r w:rsidRPr="00517264">
              <w:rPr>
                <w:rFonts w:eastAsia="ArialNarrow"/>
                <w:szCs w:val="18"/>
              </w:rPr>
              <w:t>Zabok, (Gubaševo) - u planu je autokamp, karting staza i motocross staza</w:t>
            </w:r>
          </w:p>
        </w:tc>
        <w:tc>
          <w:tcPr>
            <w:tcW w:w="1204" w:type="pct"/>
            <w:gridSpan w:val="3"/>
            <w:hideMark/>
          </w:tcPr>
          <w:p w14:paraId="2DC8ADF6" w14:textId="77777777" w:rsidR="008878A0" w:rsidRPr="00517264" w:rsidRDefault="008878A0" w:rsidP="00517264">
            <w:pPr>
              <w:spacing w:after="0"/>
              <w:jc w:val="right"/>
              <w:rPr>
                <w:rFonts w:eastAsia="ArialNarrow"/>
                <w:szCs w:val="18"/>
              </w:rPr>
            </w:pPr>
            <w:r w:rsidRPr="00517264">
              <w:rPr>
                <w:rFonts w:eastAsia="ArialNarrow"/>
                <w:szCs w:val="18"/>
              </w:rPr>
              <w:t>4,74</w:t>
            </w:r>
          </w:p>
        </w:tc>
        <w:tc>
          <w:tcPr>
            <w:tcW w:w="687" w:type="pct"/>
            <w:gridSpan w:val="2"/>
            <w:tcBorders>
              <w:right w:val="single" w:sz="8" w:space="0" w:color="D2232A"/>
            </w:tcBorders>
            <w:hideMark/>
          </w:tcPr>
          <w:p w14:paraId="06C694EE" w14:textId="77777777" w:rsidR="008878A0" w:rsidRPr="00517264" w:rsidRDefault="008878A0" w:rsidP="00517264">
            <w:pPr>
              <w:spacing w:after="0"/>
              <w:jc w:val="right"/>
              <w:rPr>
                <w:rFonts w:eastAsia="ArialNarrow"/>
                <w:szCs w:val="18"/>
              </w:rPr>
            </w:pPr>
            <w:r w:rsidRPr="00517264">
              <w:rPr>
                <w:rFonts w:eastAsia="ArialNarrow"/>
                <w:szCs w:val="18"/>
              </w:rPr>
              <w:t>T3</w:t>
            </w:r>
          </w:p>
        </w:tc>
      </w:tr>
      <w:tr w:rsidR="008878A0" w:rsidRPr="00517264" w14:paraId="1C067728"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0411F69A" w14:textId="77777777" w:rsidR="008878A0" w:rsidRPr="00517264" w:rsidRDefault="008878A0" w:rsidP="00517264">
            <w:pPr>
              <w:spacing w:after="0"/>
              <w:jc w:val="left"/>
              <w:rPr>
                <w:rFonts w:eastAsia="ArialNarrow"/>
                <w:szCs w:val="18"/>
              </w:rPr>
            </w:pPr>
            <w:r w:rsidRPr="00517264">
              <w:rPr>
                <w:rFonts w:eastAsia="ArialNarrow"/>
                <w:szCs w:val="18"/>
              </w:rPr>
              <w:t>Pojedinačni objekti - Pavlovec Zabočki</w:t>
            </w:r>
          </w:p>
        </w:tc>
        <w:tc>
          <w:tcPr>
            <w:tcW w:w="1800" w:type="pct"/>
            <w:gridSpan w:val="4"/>
            <w:hideMark/>
          </w:tcPr>
          <w:p w14:paraId="402E3169" w14:textId="77777777" w:rsidR="008878A0" w:rsidRPr="00517264" w:rsidRDefault="008878A0" w:rsidP="00517264">
            <w:pPr>
              <w:spacing w:after="0"/>
              <w:jc w:val="right"/>
              <w:rPr>
                <w:rFonts w:eastAsia="ArialNarrow"/>
                <w:szCs w:val="18"/>
              </w:rPr>
            </w:pPr>
            <w:r w:rsidRPr="00517264">
              <w:rPr>
                <w:rFonts w:eastAsia="ArialNarrow"/>
                <w:szCs w:val="18"/>
              </w:rPr>
              <w:t>Zabok, (Pavlovec Zabočki, Gubaševo)</w:t>
            </w:r>
          </w:p>
        </w:tc>
        <w:tc>
          <w:tcPr>
            <w:tcW w:w="1204" w:type="pct"/>
            <w:gridSpan w:val="3"/>
            <w:hideMark/>
          </w:tcPr>
          <w:p w14:paraId="472A5D37" w14:textId="77777777" w:rsidR="008878A0" w:rsidRPr="00517264" w:rsidRDefault="008878A0" w:rsidP="00517264">
            <w:pPr>
              <w:spacing w:after="0"/>
              <w:jc w:val="right"/>
              <w:rPr>
                <w:rFonts w:eastAsia="ArialNarrow"/>
                <w:szCs w:val="18"/>
              </w:rPr>
            </w:pPr>
            <w:r w:rsidRPr="00517264">
              <w:rPr>
                <w:rFonts w:eastAsia="ArialNarrow"/>
                <w:szCs w:val="18"/>
              </w:rPr>
              <w:t>3,03</w:t>
            </w:r>
          </w:p>
        </w:tc>
        <w:tc>
          <w:tcPr>
            <w:tcW w:w="687" w:type="pct"/>
            <w:gridSpan w:val="2"/>
            <w:tcBorders>
              <w:right w:val="single" w:sz="8" w:space="0" w:color="D2232A"/>
            </w:tcBorders>
            <w:hideMark/>
          </w:tcPr>
          <w:p w14:paraId="3F46D92D"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0B3F0D01"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3F15EAE9" w14:textId="77777777" w:rsidR="008878A0" w:rsidRPr="00517264" w:rsidRDefault="008878A0" w:rsidP="00517264">
            <w:pPr>
              <w:spacing w:after="0"/>
              <w:jc w:val="left"/>
              <w:rPr>
                <w:rFonts w:eastAsia="ArialNarrow"/>
                <w:szCs w:val="18"/>
              </w:rPr>
            </w:pPr>
            <w:r w:rsidRPr="00517264">
              <w:rPr>
                <w:rFonts w:eastAsia="ArialNarrow"/>
                <w:szCs w:val="18"/>
              </w:rPr>
              <w:t>Pojedinačni objekti -Gubaševo</w:t>
            </w:r>
          </w:p>
        </w:tc>
        <w:tc>
          <w:tcPr>
            <w:tcW w:w="1800" w:type="pct"/>
            <w:gridSpan w:val="4"/>
            <w:hideMark/>
          </w:tcPr>
          <w:p w14:paraId="46E1BB05" w14:textId="77777777" w:rsidR="008878A0" w:rsidRPr="00517264" w:rsidRDefault="008878A0" w:rsidP="00517264">
            <w:pPr>
              <w:spacing w:after="0"/>
              <w:jc w:val="right"/>
              <w:rPr>
                <w:rFonts w:eastAsia="ArialNarrow"/>
                <w:szCs w:val="18"/>
              </w:rPr>
            </w:pPr>
            <w:r w:rsidRPr="00517264">
              <w:rPr>
                <w:rFonts w:eastAsia="ArialNarrow"/>
                <w:szCs w:val="18"/>
              </w:rPr>
              <w:t>Zabok, (Gubaševo)</w:t>
            </w:r>
          </w:p>
        </w:tc>
        <w:tc>
          <w:tcPr>
            <w:tcW w:w="1204" w:type="pct"/>
            <w:gridSpan w:val="3"/>
            <w:hideMark/>
          </w:tcPr>
          <w:p w14:paraId="5CD08881" w14:textId="77777777" w:rsidR="008878A0" w:rsidRPr="00517264" w:rsidRDefault="008878A0" w:rsidP="00517264">
            <w:pPr>
              <w:spacing w:after="0"/>
              <w:jc w:val="right"/>
              <w:rPr>
                <w:rFonts w:eastAsia="ArialNarrow"/>
                <w:szCs w:val="18"/>
              </w:rPr>
            </w:pPr>
            <w:r w:rsidRPr="00517264">
              <w:rPr>
                <w:rFonts w:eastAsia="ArialNarrow"/>
                <w:szCs w:val="18"/>
              </w:rPr>
              <w:t>0,53</w:t>
            </w:r>
          </w:p>
        </w:tc>
        <w:tc>
          <w:tcPr>
            <w:tcW w:w="687" w:type="pct"/>
            <w:gridSpan w:val="2"/>
            <w:tcBorders>
              <w:right w:val="single" w:sz="8" w:space="0" w:color="D2232A"/>
            </w:tcBorders>
            <w:hideMark/>
          </w:tcPr>
          <w:p w14:paraId="4711A6F6"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7717E156" w14:textId="77777777" w:rsidTr="00517264">
        <w:tblPrEx>
          <w:tblBorders>
            <w:left w:val="none" w:sz="0" w:space="0" w:color="auto"/>
            <w:right w:val="none" w:sz="0" w:space="0" w:color="auto"/>
          </w:tblBorders>
        </w:tblPrEx>
        <w:trPr>
          <w:trHeight w:val="227"/>
        </w:trPr>
        <w:tc>
          <w:tcPr>
            <w:tcW w:w="1309" w:type="pct"/>
            <w:gridSpan w:val="3"/>
            <w:vMerge w:val="restart"/>
            <w:tcBorders>
              <w:left w:val="single" w:sz="8" w:space="0" w:color="D2232A"/>
            </w:tcBorders>
            <w:hideMark/>
          </w:tcPr>
          <w:p w14:paraId="0CE2867B" w14:textId="77777777" w:rsidR="008878A0" w:rsidRPr="00517264" w:rsidRDefault="008878A0" w:rsidP="00517264">
            <w:pPr>
              <w:spacing w:after="0"/>
              <w:jc w:val="left"/>
              <w:rPr>
                <w:rFonts w:eastAsia="ArialNarrow"/>
                <w:szCs w:val="18"/>
              </w:rPr>
            </w:pPr>
            <w:r w:rsidRPr="00517264">
              <w:rPr>
                <w:rFonts w:eastAsia="ArialNarrow"/>
                <w:szCs w:val="18"/>
              </w:rPr>
              <w:t>Hotel Gjalski Sportsko rekreativnicentar Zaseka</w:t>
            </w:r>
          </w:p>
        </w:tc>
        <w:tc>
          <w:tcPr>
            <w:tcW w:w="1800" w:type="pct"/>
            <w:gridSpan w:val="4"/>
            <w:vMerge w:val="restart"/>
            <w:hideMark/>
          </w:tcPr>
          <w:p w14:paraId="694DC91D" w14:textId="77777777" w:rsidR="008878A0" w:rsidRPr="00517264" w:rsidRDefault="008878A0" w:rsidP="00517264">
            <w:pPr>
              <w:spacing w:after="0"/>
              <w:jc w:val="right"/>
              <w:rPr>
                <w:rFonts w:eastAsia="ArialNarrow"/>
                <w:szCs w:val="18"/>
              </w:rPr>
            </w:pPr>
            <w:r w:rsidRPr="00517264">
              <w:rPr>
                <w:rFonts w:eastAsia="ArialNarrow"/>
                <w:szCs w:val="18"/>
              </w:rPr>
              <w:t>Zabok, (Pavlovec Zabočki)</w:t>
            </w:r>
          </w:p>
        </w:tc>
        <w:tc>
          <w:tcPr>
            <w:tcW w:w="1204" w:type="pct"/>
            <w:gridSpan w:val="3"/>
            <w:tcBorders>
              <w:bottom w:val="nil"/>
            </w:tcBorders>
            <w:hideMark/>
          </w:tcPr>
          <w:p w14:paraId="682952B9" w14:textId="77777777" w:rsidR="008878A0" w:rsidRPr="00517264" w:rsidRDefault="008878A0" w:rsidP="00517264">
            <w:pPr>
              <w:spacing w:after="0"/>
              <w:jc w:val="right"/>
              <w:rPr>
                <w:rFonts w:eastAsia="ArialNarrow"/>
                <w:szCs w:val="18"/>
              </w:rPr>
            </w:pPr>
            <w:r w:rsidRPr="00517264">
              <w:rPr>
                <w:rFonts w:eastAsia="ArialNarrow"/>
                <w:szCs w:val="18"/>
              </w:rPr>
              <w:t>1,05</w:t>
            </w:r>
          </w:p>
        </w:tc>
        <w:tc>
          <w:tcPr>
            <w:tcW w:w="687" w:type="pct"/>
            <w:gridSpan w:val="2"/>
            <w:vMerge w:val="restart"/>
            <w:tcBorders>
              <w:right w:val="single" w:sz="8" w:space="0" w:color="D2232A"/>
            </w:tcBorders>
            <w:hideMark/>
          </w:tcPr>
          <w:p w14:paraId="14576059" w14:textId="77777777" w:rsidR="008878A0" w:rsidRPr="00517264" w:rsidRDefault="008878A0" w:rsidP="00517264">
            <w:pPr>
              <w:spacing w:after="0"/>
              <w:jc w:val="right"/>
              <w:rPr>
                <w:rFonts w:eastAsia="ArialNarrow"/>
                <w:szCs w:val="18"/>
              </w:rPr>
            </w:pPr>
            <w:r w:rsidRPr="00517264">
              <w:rPr>
                <w:rFonts w:eastAsia="ArialNarrow"/>
                <w:szCs w:val="18"/>
              </w:rPr>
              <w:t>T1</w:t>
            </w:r>
          </w:p>
        </w:tc>
      </w:tr>
      <w:tr w:rsidR="008878A0" w:rsidRPr="00517264" w14:paraId="360E356B" w14:textId="77777777" w:rsidTr="00517264">
        <w:tblPrEx>
          <w:tblBorders>
            <w:left w:val="none" w:sz="0" w:space="0" w:color="auto"/>
            <w:right w:val="none" w:sz="0" w:space="0" w:color="auto"/>
          </w:tblBorders>
        </w:tblPrEx>
        <w:trPr>
          <w:trHeight w:val="227"/>
        </w:trPr>
        <w:tc>
          <w:tcPr>
            <w:tcW w:w="1309" w:type="pct"/>
            <w:gridSpan w:val="3"/>
            <w:vMerge/>
            <w:tcBorders>
              <w:left w:val="single" w:sz="8" w:space="0" w:color="D2232A"/>
            </w:tcBorders>
            <w:vAlign w:val="center"/>
            <w:hideMark/>
          </w:tcPr>
          <w:p w14:paraId="6A2CAA7C" w14:textId="77777777" w:rsidR="008878A0" w:rsidRPr="00517264" w:rsidRDefault="008878A0" w:rsidP="00517264">
            <w:pPr>
              <w:spacing w:after="0"/>
              <w:jc w:val="left"/>
              <w:rPr>
                <w:rFonts w:eastAsia="ArialNarrow"/>
                <w:szCs w:val="18"/>
              </w:rPr>
            </w:pPr>
          </w:p>
        </w:tc>
        <w:tc>
          <w:tcPr>
            <w:tcW w:w="1800" w:type="pct"/>
            <w:gridSpan w:val="4"/>
            <w:vMerge/>
            <w:vAlign w:val="center"/>
            <w:hideMark/>
          </w:tcPr>
          <w:p w14:paraId="4E9535D5" w14:textId="77777777" w:rsidR="008878A0" w:rsidRPr="00517264" w:rsidRDefault="008878A0" w:rsidP="00517264">
            <w:pPr>
              <w:spacing w:after="0"/>
              <w:jc w:val="right"/>
              <w:rPr>
                <w:rFonts w:eastAsia="ArialNarrow"/>
                <w:szCs w:val="18"/>
              </w:rPr>
            </w:pPr>
          </w:p>
        </w:tc>
        <w:tc>
          <w:tcPr>
            <w:tcW w:w="1204" w:type="pct"/>
            <w:gridSpan w:val="3"/>
            <w:tcBorders>
              <w:top w:val="nil"/>
            </w:tcBorders>
            <w:hideMark/>
          </w:tcPr>
          <w:p w14:paraId="4D3EFD9A" w14:textId="77777777" w:rsidR="008878A0" w:rsidRPr="00517264" w:rsidRDefault="008878A0" w:rsidP="00517264">
            <w:pPr>
              <w:spacing w:after="0"/>
              <w:jc w:val="right"/>
              <w:rPr>
                <w:rFonts w:eastAsia="ArialNarrow"/>
                <w:szCs w:val="18"/>
              </w:rPr>
            </w:pPr>
            <w:r w:rsidRPr="00517264">
              <w:rPr>
                <w:rFonts w:eastAsia="ArialNarrow"/>
                <w:szCs w:val="18"/>
              </w:rPr>
              <w:t>Izgrađeno: 0,37</w:t>
            </w:r>
          </w:p>
        </w:tc>
        <w:tc>
          <w:tcPr>
            <w:tcW w:w="687" w:type="pct"/>
            <w:gridSpan w:val="2"/>
            <w:vMerge/>
            <w:tcBorders>
              <w:right w:val="single" w:sz="8" w:space="0" w:color="D2232A"/>
            </w:tcBorders>
            <w:vAlign w:val="center"/>
            <w:hideMark/>
          </w:tcPr>
          <w:p w14:paraId="0493D2E4" w14:textId="77777777" w:rsidR="008878A0" w:rsidRPr="00517264" w:rsidRDefault="008878A0" w:rsidP="00517264">
            <w:pPr>
              <w:spacing w:after="0"/>
              <w:jc w:val="right"/>
              <w:rPr>
                <w:rFonts w:eastAsia="ArialNarrow"/>
                <w:szCs w:val="18"/>
              </w:rPr>
            </w:pPr>
          </w:p>
        </w:tc>
      </w:tr>
      <w:tr w:rsidR="008878A0" w:rsidRPr="00517264" w14:paraId="7EFC49D7"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5A241360" w14:textId="77777777" w:rsidR="008878A0" w:rsidRPr="00517264" w:rsidRDefault="008878A0" w:rsidP="00517264">
            <w:pPr>
              <w:spacing w:after="0"/>
              <w:jc w:val="left"/>
              <w:rPr>
                <w:rFonts w:eastAsia="ArialNarrow"/>
                <w:szCs w:val="18"/>
              </w:rPr>
            </w:pPr>
            <w:r w:rsidRPr="00517264">
              <w:rPr>
                <w:rFonts w:eastAsia="ArialNarrow"/>
                <w:szCs w:val="18"/>
              </w:rPr>
              <w:t>reKREATOR</w:t>
            </w:r>
          </w:p>
        </w:tc>
        <w:tc>
          <w:tcPr>
            <w:tcW w:w="1800" w:type="pct"/>
            <w:gridSpan w:val="4"/>
            <w:hideMark/>
          </w:tcPr>
          <w:p w14:paraId="35082AFC" w14:textId="77777777" w:rsidR="008878A0" w:rsidRPr="00517264" w:rsidRDefault="008878A0" w:rsidP="00517264">
            <w:pPr>
              <w:spacing w:after="0"/>
              <w:jc w:val="right"/>
              <w:rPr>
                <w:rFonts w:eastAsia="ArialNarrow"/>
                <w:szCs w:val="18"/>
              </w:rPr>
            </w:pPr>
            <w:r w:rsidRPr="00517264">
              <w:rPr>
                <w:rFonts w:eastAsia="ArialNarrow"/>
                <w:szCs w:val="18"/>
              </w:rPr>
              <w:t>Zabok, (Zabok)</w:t>
            </w:r>
          </w:p>
        </w:tc>
        <w:tc>
          <w:tcPr>
            <w:tcW w:w="1204" w:type="pct"/>
            <w:gridSpan w:val="3"/>
            <w:hideMark/>
          </w:tcPr>
          <w:p w14:paraId="1565C89C" w14:textId="77777777" w:rsidR="008878A0" w:rsidRPr="00517264" w:rsidRDefault="008878A0" w:rsidP="00517264">
            <w:pPr>
              <w:spacing w:after="0"/>
              <w:jc w:val="right"/>
              <w:rPr>
                <w:rFonts w:eastAsia="ArialNarrow"/>
                <w:szCs w:val="18"/>
              </w:rPr>
            </w:pPr>
            <w:r w:rsidRPr="00517264">
              <w:rPr>
                <w:rFonts w:eastAsia="ArialNarrow"/>
                <w:szCs w:val="18"/>
              </w:rPr>
              <w:t>planirano</w:t>
            </w:r>
          </w:p>
        </w:tc>
        <w:tc>
          <w:tcPr>
            <w:tcW w:w="687" w:type="pct"/>
            <w:gridSpan w:val="2"/>
            <w:tcBorders>
              <w:right w:val="single" w:sz="8" w:space="0" w:color="D2232A"/>
            </w:tcBorders>
            <w:hideMark/>
          </w:tcPr>
          <w:p w14:paraId="7CCDD1F3" w14:textId="77777777" w:rsidR="008878A0" w:rsidRPr="00517264" w:rsidRDefault="008878A0" w:rsidP="00517264">
            <w:pPr>
              <w:spacing w:after="0"/>
              <w:jc w:val="right"/>
              <w:rPr>
                <w:rFonts w:eastAsia="ArialNarrow"/>
                <w:szCs w:val="18"/>
              </w:rPr>
            </w:pPr>
            <w:r w:rsidRPr="00517264">
              <w:rPr>
                <w:rFonts w:eastAsia="ArialNarrow"/>
                <w:szCs w:val="18"/>
              </w:rPr>
              <w:t>R5</w:t>
            </w:r>
          </w:p>
        </w:tc>
      </w:tr>
      <w:tr w:rsidR="008878A0" w:rsidRPr="00517264" w14:paraId="7F0ADC79"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2FA9B2F8" w14:textId="77777777" w:rsidR="008878A0" w:rsidRPr="00517264" w:rsidRDefault="008878A0" w:rsidP="00517264">
            <w:pPr>
              <w:spacing w:after="0"/>
              <w:jc w:val="left"/>
              <w:rPr>
                <w:rFonts w:eastAsia="ArialNarrow"/>
                <w:szCs w:val="18"/>
              </w:rPr>
            </w:pPr>
            <w:r w:rsidRPr="00517264">
              <w:rPr>
                <w:rFonts w:eastAsia="ArialNarrow"/>
                <w:szCs w:val="18"/>
              </w:rPr>
              <w:t>Skate park</w:t>
            </w:r>
          </w:p>
        </w:tc>
        <w:tc>
          <w:tcPr>
            <w:tcW w:w="1800" w:type="pct"/>
            <w:gridSpan w:val="4"/>
            <w:hideMark/>
          </w:tcPr>
          <w:p w14:paraId="1C43A34C" w14:textId="77777777" w:rsidR="008878A0" w:rsidRPr="00517264" w:rsidRDefault="008878A0" w:rsidP="00517264">
            <w:pPr>
              <w:spacing w:after="0"/>
              <w:jc w:val="right"/>
              <w:rPr>
                <w:rFonts w:eastAsia="ArialNarrow"/>
                <w:szCs w:val="18"/>
              </w:rPr>
            </w:pPr>
            <w:r w:rsidRPr="00517264">
              <w:rPr>
                <w:rFonts w:eastAsia="ArialNarrow"/>
                <w:szCs w:val="18"/>
              </w:rPr>
              <w:t>Zabok, (Zabok)</w:t>
            </w:r>
          </w:p>
        </w:tc>
        <w:tc>
          <w:tcPr>
            <w:tcW w:w="1204" w:type="pct"/>
            <w:gridSpan w:val="3"/>
            <w:hideMark/>
          </w:tcPr>
          <w:p w14:paraId="69DC4DDC" w14:textId="77777777" w:rsidR="008878A0" w:rsidRPr="00517264" w:rsidRDefault="008878A0" w:rsidP="00517264">
            <w:pPr>
              <w:spacing w:after="0"/>
              <w:jc w:val="right"/>
              <w:rPr>
                <w:rFonts w:eastAsia="ArialNarrow"/>
                <w:szCs w:val="18"/>
              </w:rPr>
            </w:pPr>
            <w:r w:rsidRPr="00517264">
              <w:rPr>
                <w:rFonts w:eastAsia="ArialNarrow"/>
                <w:szCs w:val="18"/>
              </w:rPr>
              <w:t>0,01</w:t>
            </w:r>
          </w:p>
        </w:tc>
        <w:tc>
          <w:tcPr>
            <w:tcW w:w="687" w:type="pct"/>
            <w:gridSpan w:val="2"/>
            <w:tcBorders>
              <w:right w:val="single" w:sz="8" w:space="0" w:color="D2232A"/>
            </w:tcBorders>
            <w:hideMark/>
          </w:tcPr>
          <w:p w14:paraId="43A3D40D" w14:textId="77777777" w:rsidR="008878A0" w:rsidRPr="00517264" w:rsidRDefault="008878A0" w:rsidP="00517264">
            <w:pPr>
              <w:spacing w:after="0"/>
              <w:jc w:val="right"/>
              <w:rPr>
                <w:rFonts w:eastAsia="ArialNarrow"/>
                <w:szCs w:val="18"/>
              </w:rPr>
            </w:pPr>
            <w:r w:rsidRPr="00517264">
              <w:rPr>
                <w:rFonts w:eastAsia="ArialNarrow"/>
                <w:szCs w:val="18"/>
              </w:rPr>
              <w:t>M</w:t>
            </w:r>
          </w:p>
        </w:tc>
      </w:tr>
      <w:tr w:rsidR="008878A0" w:rsidRPr="00517264" w14:paraId="3838A8B8"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5EB9016C" w14:textId="77777777" w:rsidR="008878A0" w:rsidRPr="00517264" w:rsidRDefault="008878A0" w:rsidP="00517264">
            <w:pPr>
              <w:spacing w:after="0"/>
              <w:jc w:val="left"/>
              <w:rPr>
                <w:rFonts w:eastAsia="ArialNarrow"/>
                <w:szCs w:val="18"/>
              </w:rPr>
            </w:pPr>
            <w:r w:rsidRPr="00517264">
              <w:rPr>
                <w:rFonts w:eastAsia="ArialNarrow"/>
                <w:szCs w:val="18"/>
              </w:rPr>
              <w:t>ZaZaKr biciklistička staza Zabok - Začretje - Krapina</w:t>
            </w:r>
          </w:p>
        </w:tc>
        <w:tc>
          <w:tcPr>
            <w:tcW w:w="1800" w:type="pct"/>
            <w:gridSpan w:val="4"/>
            <w:hideMark/>
          </w:tcPr>
          <w:p w14:paraId="7A7862A0" w14:textId="77777777" w:rsidR="008878A0" w:rsidRPr="00517264" w:rsidRDefault="008878A0" w:rsidP="00517264">
            <w:pPr>
              <w:spacing w:after="0"/>
              <w:jc w:val="right"/>
              <w:rPr>
                <w:rFonts w:eastAsia="ArialNarrow"/>
                <w:szCs w:val="18"/>
              </w:rPr>
            </w:pPr>
            <w:r w:rsidRPr="00517264">
              <w:rPr>
                <w:rFonts w:eastAsia="ArialNarrow"/>
                <w:szCs w:val="18"/>
              </w:rPr>
              <w:t>Zabok, (Zabok)</w:t>
            </w:r>
          </w:p>
        </w:tc>
        <w:tc>
          <w:tcPr>
            <w:tcW w:w="1204" w:type="pct"/>
            <w:gridSpan w:val="3"/>
            <w:hideMark/>
          </w:tcPr>
          <w:p w14:paraId="776C7E85" w14:textId="77777777" w:rsidR="008878A0" w:rsidRPr="00517264" w:rsidRDefault="008878A0" w:rsidP="00517264">
            <w:pPr>
              <w:spacing w:after="0"/>
              <w:jc w:val="right"/>
              <w:rPr>
                <w:rFonts w:eastAsia="ArialNarrow"/>
                <w:szCs w:val="18"/>
              </w:rPr>
            </w:pPr>
            <w:r w:rsidRPr="00517264">
              <w:rPr>
                <w:rFonts w:eastAsia="ArialNarrow"/>
                <w:szCs w:val="18"/>
              </w:rPr>
              <w:t>0,05</w:t>
            </w:r>
          </w:p>
        </w:tc>
        <w:tc>
          <w:tcPr>
            <w:tcW w:w="687" w:type="pct"/>
            <w:gridSpan w:val="2"/>
            <w:tcBorders>
              <w:right w:val="single" w:sz="8" w:space="0" w:color="D2232A"/>
            </w:tcBorders>
            <w:hideMark/>
          </w:tcPr>
          <w:p w14:paraId="183EB1D3" w14:textId="77777777" w:rsidR="008878A0" w:rsidRPr="00517264" w:rsidRDefault="008878A0" w:rsidP="00517264">
            <w:pPr>
              <w:spacing w:after="0"/>
              <w:jc w:val="right"/>
              <w:rPr>
                <w:rFonts w:eastAsia="ArialNarrow"/>
                <w:szCs w:val="18"/>
              </w:rPr>
            </w:pPr>
            <w:r w:rsidRPr="00517264">
              <w:rPr>
                <w:rFonts w:eastAsia="ArialNarrow"/>
                <w:szCs w:val="18"/>
              </w:rPr>
              <w:t>PŠ</w:t>
            </w:r>
          </w:p>
        </w:tc>
      </w:tr>
      <w:tr w:rsidR="008878A0" w:rsidRPr="00517264" w14:paraId="29796079"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70AD761B" w14:textId="77777777" w:rsidR="008878A0" w:rsidRPr="00517264" w:rsidRDefault="008878A0" w:rsidP="00517264">
            <w:pPr>
              <w:spacing w:after="0"/>
              <w:jc w:val="left"/>
              <w:rPr>
                <w:rFonts w:eastAsia="ArialNarrow"/>
                <w:szCs w:val="18"/>
              </w:rPr>
            </w:pPr>
            <w:r w:rsidRPr="00517264">
              <w:rPr>
                <w:rFonts w:eastAsia="ArialNarrow"/>
                <w:szCs w:val="18"/>
              </w:rPr>
              <w:lastRenderedPageBreak/>
              <w:t>BRZO - Biciklistička ruta Zabok - Oroslavje</w:t>
            </w:r>
          </w:p>
        </w:tc>
        <w:tc>
          <w:tcPr>
            <w:tcW w:w="1800" w:type="pct"/>
            <w:gridSpan w:val="4"/>
            <w:hideMark/>
          </w:tcPr>
          <w:p w14:paraId="4998CCCA" w14:textId="77777777" w:rsidR="008878A0" w:rsidRPr="00517264" w:rsidRDefault="008878A0" w:rsidP="00517264">
            <w:pPr>
              <w:spacing w:after="0"/>
              <w:jc w:val="right"/>
              <w:rPr>
                <w:rFonts w:eastAsia="ArialNarrow"/>
                <w:szCs w:val="18"/>
              </w:rPr>
            </w:pPr>
            <w:r w:rsidRPr="00517264">
              <w:rPr>
                <w:rFonts w:eastAsia="ArialNarrow"/>
                <w:szCs w:val="18"/>
              </w:rPr>
              <w:t>Zabok - Oroslavje</w:t>
            </w:r>
          </w:p>
        </w:tc>
        <w:tc>
          <w:tcPr>
            <w:tcW w:w="1204" w:type="pct"/>
            <w:gridSpan w:val="3"/>
            <w:hideMark/>
          </w:tcPr>
          <w:p w14:paraId="05F53947" w14:textId="77777777" w:rsidR="008878A0" w:rsidRPr="00517264" w:rsidRDefault="008878A0" w:rsidP="00517264">
            <w:pPr>
              <w:spacing w:after="0"/>
              <w:jc w:val="right"/>
              <w:rPr>
                <w:rFonts w:eastAsia="ArialNarrow"/>
                <w:szCs w:val="18"/>
              </w:rPr>
            </w:pPr>
            <w:r w:rsidRPr="00517264">
              <w:rPr>
                <w:rFonts w:eastAsia="ArialNarrow"/>
                <w:szCs w:val="18"/>
              </w:rPr>
              <w:t>planirano</w:t>
            </w:r>
          </w:p>
        </w:tc>
        <w:tc>
          <w:tcPr>
            <w:tcW w:w="687" w:type="pct"/>
            <w:gridSpan w:val="2"/>
            <w:tcBorders>
              <w:right w:val="single" w:sz="8" w:space="0" w:color="D2232A"/>
            </w:tcBorders>
            <w:hideMark/>
          </w:tcPr>
          <w:p w14:paraId="2BA30EBE" w14:textId="77777777" w:rsidR="008878A0" w:rsidRPr="00517264" w:rsidRDefault="008878A0" w:rsidP="00517264">
            <w:pPr>
              <w:spacing w:after="0"/>
              <w:jc w:val="right"/>
              <w:rPr>
                <w:rFonts w:eastAsia="ArialNarrow"/>
                <w:szCs w:val="18"/>
              </w:rPr>
            </w:pPr>
            <w:r w:rsidRPr="00517264">
              <w:rPr>
                <w:rFonts w:eastAsia="ArialNarrow"/>
                <w:szCs w:val="18"/>
              </w:rPr>
              <w:t>Kroz razne zone</w:t>
            </w:r>
          </w:p>
        </w:tc>
      </w:tr>
      <w:tr w:rsidR="008878A0" w:rsidRPr="00517264" w14:paraId="223D1015"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bottom w:val="single" w:sz="8" w:space="0" w:color="F3CFC1"/>
            </w:tcBorders>
            <w:hideMark/>
          </w:tcPr>
          <w:p w14:paraId="3076C671" w14:textId="77777777" w:rsidR="008878A0" w:rsidRPr="00517264" w:rsidRDefault="008878A0" w:rsidP="00517264">
            <w:pPr>
              <w:spacing w:after="0"/>
              <w:jc w:val="left"/>
              <w:rPr>
                <w:rFonts w:eastAsia="ArialNarrow"/>
                <w:szCs w:val="18"/>
              </w:rPr>
            </w:pPr>
            <w:r w:rsidRPr="00517264">
              <w:rPr>
                <w:rFonts w:eastAsia="ArialNarrow"/>
                <w:szCs w:val="18"/>
              </w:rPr>
              <w:t>Sportsko rekreativni centar Zaseka</w:t>
            </w:r>
          </w:p>
        </w:tc>
        <w:tc>
          <w:tcPr>
            <w:tcW w:w="1800" w:type="pct"/>
            <w:gridSpan w:val="4"/>
            <w:tcBorders>
              <w:bottom w:val="single" w:sz="8" w:space="0" w:color="F3CFC1"/>
            </w:tcBorders>
            <w:hideMark/>
          </w:tcPr>
          <w:p w14:paraId="57A7B7A3" w14:textId="77777777" w:rsidR="008878A0" w:rsidRPr="00517264" w:rsidRDefault="008878A0" w:rsidP="00517264">
            <w:pPr>
              <w:spacing w:after="0"/>
              <w:jc w:val="right"/>
              <w:rPr>
                <w:rFonts w:eastAsia="ArialNarrow"/>
                <w:szCs w:val="18"/>
              </w:rPr>
            </w:pPr>
            <w:r w:rsidRPr="00517264">
              <w:rPr>
                <w:rFonts w:eastAsia="ArialNarrow"/>
                <w:szCs w:val="18"/>
              </w:rPr>
              <w:t xml:space="preserve">Zabok, Lug Zabočki </w:t>
            </w:r>
          </w:p>
        </w:tc>
        <w:tc>
          <w:tcPr>
            <w:tcW w:w="1204" w:type="pct"/>
            <w:gridSpan w:val="3"/>
            <w:tcBorders>
              <w:bottom w:val="single" w:sz="8" w:space="0" w:color="F3CFC1"/>
            </w:tcBorders>
            <w:hideMark/>
          </w:tcPr>
          <w:p w14:paraId="583CD935" w14:textId="77777777" w:rsidR="008878A0" w:rsidRPr="00517264" w:rsidRDefault="008878A0" w:rsidP="00517264">
            <w:pPr>
              <w:spacing w:after="0"/>
              <w:jc w:val="right"/>
              <w:rPr>
                <w:rFonts w:eastAsia="ArialNarrow"/>
                <w:szCs w:val="18"/>
              </w:rPr>
            </w:pPr>
            <w:r w:rsidRPr="00517264">
              <w:rPr>
                <w:rFonts w:eastAsia="ArialNarrow"/>
                <w:szCs w:val="18"/>
              </w:rPr>
              <w:t>8 ha</w:t>
            </w:r>
          </w:p>
        </w:tc>
        <w:tc>
          <w:tcPr>
            <w:tcW w:w="687" w:type="pct"/>
            <w:gridSpan w:val="2"/>
            <w:tcBorders>
              <w:bottom w:val="single" w:sz="8" w:space="0" w:color="F3CFC1"/>
              <w:right w:val="single" w:sz="8" w:space="0" w:color="D2232A"/>
            </w:tcBorders>
            <w:hideMark/>
          </w:tcPr>
          <w:p w14:paraId="31659CCC" w14:textId="77777777" w:rsidR="008878A0" w:rsidRPr="00517264" w:rsidRDefault="008878A0" w:rsidP="00517264">
            <w:pPr>
              <w:spacing w:after="0"/>
              <w:jc w:val="right"/>
              <w:rPr>
                <w:rFonts w:eastAsia="ArialNarrow"/>
                <w:szCs w:val="18"/>
              </w:rPr>
            </w:pPr>
            <w:r w:rsidRPr="00517264">
              <w:rPr>
                <w:rFonts w:eastAsia="ArialNarrow"/>
                <w:szCs w:val="18"/>
              </w:rPr>
              <w:t>R5</w:t>
            </w:r>
          </w:p>
        </w:tc>
      </w:tr>
      <w:tr w:rsidR="008878A0" w:rsidRPr="00517264" w14:paraId="35BA23CC" w14:textId="77777777" w:rsidTr="00517264">
        <w:tblPrEx>
          <w:tblBorders>
            <w:left w:val="none" w:sz="0" w:space="0" w:color="auto"/>
            <w:right w:val="none" w:sz="0" w:space="0" w:color="auto"/>
          </w:tblBorders>
        </w:tblPrEx>
        <w:trPr>
          <w:trHeight w:val="227"/>
        </w:trPr>
        <w:tc>
          <w:tcPr>
            <w:tcW w:w="1309" w:type="pct"/>
            <w:gridSpan w:val="3"/>
            <w:tcBorders>
              <w:top w:val="single" w:sz="8" w:space="0" w:color="F3CFC1"/>
              <w:left w:val="single" w:sz="8" w:space="0" w:color="D2232A"/>
            </w:tcBorders>
            <w:shd w:val="clear" w:color="auto" w:fill="D2232A" w:themeFill="accent1"/>
            <w:hideMark/>
          </w:tcPr>
          <w:p w14:paraId="1B9EC488"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BUDINŠČINA</w:t>
            </w:r>
          </w:p>
        </w:tc>
        <w:tc>
          <w:tcPr>
            <w:tcW w:w="1800" w:type="pct"/>
            <w:gridSpan w:val="4"/>
            <w:tcBorders>
              <w:top w:val="single" w:sz="8" w:space="0" w:color="F3CFC1"/>
            </w:tcBorders>
            <w:shd w:val="clear" w:color="auto" w:fill="D2232A" w:themeFill="accent1"/>
            <w:hideMark/>
          </w:tcPr>
          <w:p w14:paraId="34E65326"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04" w:type="pct"/>
            <w:gridSpan w:val="3"/>
            <w:tcBorders>
              <w:top w:val="single" w:sz="8" w:space="0" w:color="F3CFC1"/>
            </w:tcBorders>
            <w:shd w:val="clear" w:color="auto" w:fill="D2232A" w:themeFill="accent1"/>
            <w:hideMark/>
          </w:tcPr>
          <w:p w14:paraId="0310A60F"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687" w:type="pct"/>
            <w:gridSpan w:val="2"/>
            <w:tcBorders>
              <w:top w:val="single" w:sz="8" w:space="0" w:color="F3CFC1"/>
              <w:right w:val="single" w:sz="8" w:space="0" w:color="D2232A"/>
            </w:tcBorders>
            <w:shd w:val="clear" w:color="auto" w:fill="D2232A" w:themeFill="accent1"/>
            <w:hideMark/>
          </w:tcPr>
          <w:p w14:paraId="30BF4B57"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31888B24" w14:textId="77777777" w:rsidTr="00517264">
        <w:tblPrEx>
          <w:tblBorders>
            <w:left w:val="none" w:sz="0" w:space="0" w:color="auto"/>
            <w:right w:val="none" w:sz="0" w:space="0" w:color="auto"/>
          </w:tblBorders>
        </w:tblPrEx>
        <w:trPr>
          <w:trHeight w:val="227"/>
        </w:trPr>
        <w:tc>
          <w:tcPr>
            <w:tcW w:w="1309" w:type="pct"/>
            <w:gridSpan w:val="3"/>
            <w:vMerge w:val="restart"/>
            <w:tcBorders>
              <w:left w:val="single" w:sz="8" w:space="0" w:color="D2232A"/>
            </w:tcBorders>
            <w:hideMark/>
          </w:tcPr>
          <w:p w14:paraId="40FC15C3" w14:textId="77777777" w:rsidR="008878A0" w:rsidRPr="00517264" w:rsidRDefault="008878A0" w:rsidP="00517264">
            <w:pPr>
              <w:spacing w:after="0"/>
              <w:jc w:val="left"/>
              <w:rPr>
                <w:rFonts w:eastAsia="ArialNarrow"/>
                <w:color w:val="auto"/>
                <w:szCs w:val="18"/>
              </w:rPr>
            </w:pPr>
            <w:r w:rsidRPr="00517264">
              <w:rPr>
                <w:rFonts w:eastAsia="ArialNarrow"/>
                <w:szCs w:val="18"/>
              </w:rPr>
              <w:t>Zajezda Sjever</w:t>
            </w:r>
          </w:p>
        </w:tc>
        <w:tc>
          <w:tcPr>
            <w:tcW w:w="1800" w:type="pct"/>
            <w:gridSpan w:val="4"/>
            <w:vMerge w:val="restart"/>
            <w:hideMark/>
          </w:tcPr>
          <w:p w14:paraId="21DBACB6" w14:textId="77777777" w:rsidR="008878A0" w:rsidRPr="00517264" w:rsidRDefault="008878A0" w:rsidP="00517264">
            <w:pPr>
              <w:spacing w:after="0"/>
              <w:jc w:val="right"/>
              <w:rPr>
                <w:rFonts w:eastAsia="ArialNarrow"/>
                <w:szCs w:val="18"/>
              </w:rPr>
            </w:pPr>
            <w:r w:rsidRPr="00517264">
              <w:rPr>
                <w:rFonts w:eastAsia="ArialNarrow"/>
                <w:szCs w:val="18"/>
              </w:rPr>
              <w:t>Budinščina, (Zajezda)</w:t>
            </w:r>
          </w:p>
        </w:tc>
        <w:tc>
          <w:tcPr>
            <w:tcW w:w="1204" w:type="pct"/>
            <w:gridSpan w:val="3"/>
            <w:tcBorders>
              <w:bottom w:val="nil"/>
            </w:tcBorders>
            <w:hideMark/>
          </w:tcPr>
          <w:p w14:paraId="037D97EA" w14:textId="77777777" w:rsidR="008878A0" w:rsidRPr="00517264" w:rsidRDefault="008878A0" w:rsidP="00517264">
            <w:pPr>
              <w:spacing w:after="0"/>
              <w:jc w:val="right"/>
              <w:rPr>
                <w:rFonts w:eastAsia="ArialNarrow"/>
                <w:szCs w:val="18"/>
              </w:rPr>
            </w:pPr>
            <w:r w:rsidRPr="00517264">
              <w:rPr>
                <w:rFonts w:eastAsia="ArialNarrow"/>
                <w:szCs w:val="18"/>
              </w:rPr>
              <w:t>3,83</w:t>
            </w:r>
          </w:p>
        </w:tc>
        <w:tc>
          <w:tcPr>
            <w:tcW w:w="687" w:type="pct"/>
            <w:gridSpan w:val="2"/>
            <w:vMerge w:val="restart"/>
            <w:tcBorders>
              <w:right w:val="single" w:sz="8" w:space="0" w:color="D2232A"/>
            </w:tcBorders>
            <w:hideMark/>
          </w:tcPr>
          <w:p w14:paraId="04399EAA" w14:textId="77777777" w:rsidR="008878A0" w:rsidRPr="00517264" w:rsidRDefault="008878A0" w:rsidP="00517264">
            <w:pPr>
              <w:spacing w:after="0"/>
              <w:jc w:val="right"/>
              <w:rPr>
                <w:rFonts w:eastAsia="ArialNarrow"/>
                <w:szCs w:val="18"/>
              </w:rPr>
            </w:pPr>
            <w:r w:rsidRPr="00517264">
              <w:rPr>
                <w:rFonts w:eastAsia="ArialNarrow"/>
                <w:szCs w:val="18"/>
              </w:rPr>
              <w:t>T5</w:t>
            </w:r>
          </w:p>
        </w:tc>
      </w:tr>
      <w:tr w:rsidR="008878A0" w:rsidRPr="00517264" w14:paraId="489019A8" w14:textId="77777777" w:rsidTr="00517264">
        <w:tblPrEx>
          <w:tblBorders>
            <w:left w:val="none" w:sz="0" w:space="0" w:color="auto"/>
            <w:right w:val="none" w:sz="0" w:space="0" w:color="auto"/>
          </w:tblBorders>
        </w:tblPrEx>
        <w:trPr>
          <w:trHeight w:val="227"/>
        </w:trPr>
        <w:tc>
          <w:tcPr>
            <w:tcW w:w="1309" w:type="pct"/>
            <w:gridSpan w:val="3"/>
            <w:vMerge/>
            <w:tcBorders>
              <w:left w:val="single" w:sz="8" w:space="0" w:color="D2232A"/>
            </w:tcBorders>
            <w:vAlign w:val="center"/>
            <w:hideMark/>
          </w:tcPr>
          <w:p w14:paraId="5E4EC46F" w14:textId="77777777" w:rsidR="008878A0" w:rsidRPr="00517264" w:rsidRDefault="008878A0" w:rsidP="00517264">
            <w:pPr>
              <w:spacing w:after="0"/>
              <w:jc w:val="left"/>
              <w:rPr>
                <w:rFonts w:eastAsia="ArialNarrow"/>
                <w:szCs w:val="18"/>
              </w:rPr>
            </w:pPr>
          </w:p>
        </w:tc>
        <w:tc>
          <w:tcPr>
            <w:tcW w:w="1800" w:type="pct"/>
            <w:gridSpan w:val="4"/>
            <w:vMerge/>
            <w:vAlign w:val="center"/>
            <w:hideMark/>
          </w:tcPr>
          <w:p w14:paraId="0ED2C6CB" w14:textId="77777777" w:rsidR="008878A0" w:rsidRPr="00517264" w:rsidRDefault="008878A0" w:rsidP="00517264">
            <w:pPr>
              <w:spacing w:after="0"/>
              <w:jc w:val="right"/>
              <w:rPr>
                <w:rFonts w:eastAsia="ArialNarrow"/>
                <w:szCs w:val="18"/>
              </w:rPr>
            </w:pPr>
          </w:p>
        </w:tc>
        <w:tc>
          <w:tcPr>
            <w:tcW w:w="1204" w:type="pct"/>
            <w:gridSpan w:val="3"/>
            <w:tcBorders>
              <w:top w:val="nil"/>
            </w:tcBorders>
            <w:hideMark/>
          </w:tcPr>
          <w:p w14:paraId="472125E0" w14:textId="77777777" w:rsidR="008878A0" w:rsidRPr="00517264" w:rsidRDefault="008878A0" w:rsidP="00517264">
            <w:pPr>
              <w:spacing w:after="0"/>
              <w:jc w:val="right"/>
              <w:rPr>
                <w:rFonts w:eastAsia="ArialNarrow"/>
                <w:szCs w:val="18"/>
              </w:rPr>
            </w:pPr>
            <w:r w:rsidRPr="00517264">
              <w:rPr>
                <w:rFonts w:eastAsia="ArialNarrow"/>
                <w:szCs w:val="18"/>
              </w:rPr>
              <w:t>Izgrađeno: 0,35</w:t>
            </w:r>
          </w:p>
        </w:tc>
        <w:tc>
          <w:tcPr>
            <w:tcW w:w="687" w:type="pct"/>
            <w:gridSpan w:val="2"/>
            <w:vMerge/>
            <w:tcBorders>
              <w:right w:val="single" w:sz="8" w:space="0" w:color="D2232A"/>
            </w:tcBorders>
            <w:vAlign w:val="center"/>
            <w:hideMark/>
          </w:tcPr>
          <w:p w14:paraId="5DB6CAD4" w14:textId="77777777" w:rsidR="008878A0" w:rsidRPr="00517264" w:rsidRDefault="008878A0" w:rsidP="00517264">
            <w:pPr>
              <w:spacing w:after="0"/>
              <w:jc w:val="right"/>
              <w:rPr>
                <w:rFonts w:eastAsia="ArialNarrow"/>
                <w:szCs w:val="18"/>
              </w:rPr>
            </w:pPr>
          </w:p>
        </w:tc>
      </w:tr>
      <w:tr w:rsidR="008878A0" w:rsidRPr="00517264" w14:paraId="176015EF"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5B35186C" w14:textId="77777777" w:rsidR="008878A0" w:rsidRPr="00517264" w:rsidRDefault="008878A0" w:rsidP="00517264">
            <w:pPr>
              <w:spacing w:after="0"/>
              <w:jc w:val="left"/>
              <w:rPr>
                <w:rFonts w:eastAsia="ArialNarrow"/>
                <w:szCs w:val="18"/>
              </w:rPr>
            </w:pPr>
            <w:r w:rsidRPr="00517264">
              <w:rPr>
                <w:rFonts w:eastAsia="ArialNarrow"/>
                <w:szCs w:val="18"/>
              </w:rPr>
              <w:t>Pokojec Sjever</w:t>
            </w:r>
          </w:p>
        </w:tc>
        <w:tc>
          <w:tcPr>
            <w:tcW w:w="1800" w:type="pct"/>
            <w:gridSpan w:val="4"/>
            <w:hideMark/>
          </w:tcPr>
          <w:p w14:paraId="1EF6D1A3" w14:textId="77777777" w:rsidR="008878A0" w:rsidRPr="00517264" w:rsidRDefault="008878A0" w:rsidP="00517264">
            <w:pPr>
              <w:spacing w:after="0"/>
              <w:jc w:val="right"/>
              <w:rPr>
                <w:rFonts w:eastAsia="ArialNarrow"/>
                <w:szCs w:val="18"/>
              </w:rPr>
            </w:pPr>
            <w:r w:rsidRPr="00517264">
              <w:rPr>
                <w:rFonts w:eastAsia="ArialNarrow"/>
                <w:szCs w:val="18"/>
              </w:rPr>
              <w:t>Budinščina, (Zajezda, Pokojec)</w:t>
            </w:r>
          </w:p>
        </w:tc>
        <w:tc>
          <w:tcPr>
            <w:tcW w:w="1204" w:type="pct"/>
            <w:gridSpan w:val="3"/>
            <w:hideMark/>
          </w:tcPr>
          <w:p w14:paraId="7DD50AFD" w14:textId="77777777" w:rsidR="008878A0" w:rsidRPr="00517264" w:rsidRDefault="008878A0" w:rsidP="00517264">
            <w:pPr>
              <w:spacing w:after="0"/>
              <w:jc w:val="right"/>
              <w:rPr>
                <w:rFonts w:eastAsia="ArialNarrow"/>
                <w:szCs w:val="18"/>
              </w:rPr>
            </w:pPr>
            <w:r w:rsidRPr="00517264">
              <w:rPr>
                <w:rFonts w:eastAsia="ArialNarrow"/>
                <w:szCs w:val="18"/>
              </w:rPr>
              <w:t>18,42</w:t>
            </w:r>
          </w:p>
        </w:tc>
        <w:tc>
          <w:tcPr>
            <w:tcW w:w="687" w:type="pct"/>
            <w:gridSpan w:val="2"/>
            <w:tcBorders>
              <w:right w:val="single" w:sz="8" w:space="0" w:color="D2232A"/>
            </w:tcBorders>
            <w:hideMark/>
          </w:tcPr>
          <w:p w14:paraId="711395A0" w14:textId="77777777" w:rsidR="008878A0" w:rsidRPr="00517264" w:rsidRDefault="008878A0" w:rsidP="00517264">
            <w:pPr>
              <w:spacing w:after="0"/>
              <w:jc w:val="right"/>
              <w:rPr>
                <w:rFonts w:eastAsia="ArialNarrow"/>
                <w:szCs w:val="18"/>
              </w:rPr>
            </w:pPr>
            <w:r w:rsidRPr="00517264">
              <w:rPr>
                <w:rFonts w:eastAsia="ArialNarrow"/>
                <w:szCs w:val="18"/>
              </w:rPr>
              <w:t>T5</w:t>
            </w:r>
          </w:p>
        </w:tc>
      </w:tr>
      <w:tr w:rsidR="008878A0" w:rsidRPr="00517264" w14:paraId="265CF7E1"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5C364093" w14:textId="77777777" w:rsidR="008878A0" w:rsidRPr="00517264" w:rsidRDefault="008878A0" w:rsidP="00517264">
            <w:pPr>
              <w:spacing w:after="0"/>
              <w:jc w:val="left"/>
              <w:rPr>
                <w:rFonts w:eastAsia="ArialNarrow"/>
                <w:szCs w:val="18"/>
              </w:rPr>
            </w:pPr>
            <w:r w:rsidRPr="00517264">
              <w:rPr>
                <w:rFonts w:eastAsia="ArialNarrow"/>
                <w:szCs w:val="18"/>
              </w:rPr>
              <w:t>Pokojec</w:t>
            </w:r>
          </w:p>
        </w:tc>
        <w:tc>
          <w:tcPr>
            <w:tcW w:w="1800" w:type="pct"/>
            <w:gridSpan w:val="4"/>
            <w:hideMark/>
          </w:tcPr>
          <w:p w14:paraId="28581D92" w14:textId="77777777" w:rsidR="008878A0" w:rsidRPr="00517264" w:rsidRDefault="008878A0" w:rsidP="00517264">
            <w:pPr>
              <w:spacing w:after="0"/>
              <w:jc w:val="right"/>
              <w:rPr>
                <w:rFonts w:eastAsia="ArialNarrow"/>
                <w:szCs w:val="18"/>
              </w:rPr>
            </w:pPr>
            <w:r w:rsidRPr="00517264">
              <w:rPr>
                <w:rFonts w:eastAsia="ArialNarrow"/>
                <w:szCs w:val="18"/>
              </w:rPr>
              <w:t>Budinščina, (Pokojec)</w:t>
            </w:r>
          </w:p>
        </w:tc>
        <w:tc>
          <w:tcPr>
            <w:tcW w:w="1204" w:type="pct"/>
            <w:gridSpan w:val="3"/>
            <w:hideMark/>
          </w:tcPr>
          <w:p w14:paraId="57733F88" w14:textId="77777777" w:rsidR="008878A0" w:rsidRPr="00517264" w:rsidRDefault="008878A0" w:rsidP="00517264">
            <w:pPr>
              <w:spacing w:after="0"/>
              <w:jc w:val="right"/>
              <w:rPr>
                <w:rFonts w:eastAsia="ArialNarrow"/>
                <w:szCs w:val="18"/>
              </w:rPr>
            </w:pPr>
            <w:r w:rsidRPr="00517264">
              <w:rPr>
                <w:rFonts w:eastAsia="ArialNarrow"/>
                <w:szCs w:val="18"/>
              </w:rPr>
              <w:t>5,03</w:t>
            </w:r>
          </w:p>
        </w:tc>
        <w:tc>
          <w:tcPr>
            <w:tcW w:w="687" w:type="pct"/>
            <w:gridSpan w:val="2"/>
            <w:tcBorders>
              <w:right w:val="single" w:sz="8" w:space="0" w:color="D2232A"/>
            </w:tcBorders>
            <w:hideMark/>
          </w:tcPr>
          <w:p w14:paraId="7B5927E8"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16EAD7B2"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579E2B4F" w14:textId="77777777" w:rsidR="008878A0" w:rsidRPr="00517264" w:rsidRDefault="008878A0" w:rsidP="00517264">
            <w:pPr>
              <w:spacing w:after="0"/>
              <w:jc w:val="left"/>
              <w:rPr>
                <w:rFonts w:eastAsia="ArialNarrow"/>
                <w:szCs w:val="18"/>
              </w:rPr>
            </w:pPr>
            <w:r w:rsidRPr="00517264">
              <w:rPr>
                <w:rFonts w:eastAsia="ArialNarrow"/>
                <w:szCs w:val="18"/>
              </w:rPr>
              <w:t>Zajezda TZ - 1</w:t>
            </w:r>
          </w:p>
        </w:tc>
        <w:tc>
          <w:tcPr>
            <w:tcW w:w="1800" w:type="pct"/>
            <w:gridSpan w:val="4"/>
            <w:hideMark/>
          </w:tcPr>
          <w:p w14:paraId="69F054DB" w14:textId="77777777" w:rsidR="008878A0" w:rsidRPr="00517264" w:rsidRDefault="008878A0" w:rsidP="00517264">
            <w:pPr>
              <w:spacing w:after="0"/>
              <w:jc w:val="right"/>
              <w:rPr>
                <w:rFonts w:eastAsia="ArialNarrow"/>
                <w:szCs w:val="18"/>
              </w:rPr>
            </w:pPr>
            <w:r w:rsidRPr="00517264">
              <w:rPr>
                <w:rFonts w:eastAsia="ArialNarrow"/>
                <w:szCs w:val="18"/>
              </w:rPr>
              <w:t>Budinščina, (Zajezda)</w:t>
            </w:r>
          </w:p>
        </w:tc>
        <w:tc>
          <w:tcPr>
            <w:tcW w:w="1204" w:type="pct"/>
            <w:gridSpan w:val="3"/>
            <w:hideMark/>
          </w:tcPr>
          <w:p w14:paraId="43F4499F" w14:textId="77777777" w:rsidR="008878A0" w:rsidRPr="00517264" w:rsidRDefault="008878A0" w:rsidP="00517264">
            <w:pPr>
              <w:spacing w:after="0"/>
              <w:jc w:val="right"/>
              <w:rPr>
                <w:rFonts w:eastAsia="ArialNarrow"/>
                <w:szCs w:val="18"/>
              </w:rPr>
            </w:pPr>
            <w:r w:rsidRPr="00517264">
              <w:rPr>
                <w:rFonts w:eastAsia="ArialNarrow"/>
                <w:szCs w:val="18"/>
              </w:rPr>
              <w:t>0,45</w:t>
            </w:r>
          </w:p>
        </w:tc>
        <w:tc>
          <w:tcPr>
            <w:tcW w:w="687" w:type="pct"/>
            <w:gridSpan w:val="2"/>
            <w:tcBorders>
              <w:right w:val="single" w:sz="8" w:space="0" w:color="D2232A"/>
            </w:tcBorders>
            <w:hideMark/>
          </w:tcPr>
          <w:p w14:paraId="0DB94077"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7006F5DB"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4A617F8F" w14:textId="77777777" w:rsidR="008878A0" w:rsidRPr="00517264" w:rsidRDefault="008878A0" w:rsidP="00517264">
            <w:pPr>
              <w:spacing w:after="0"/>
              <w:jc w:val="left"/>
              <w:rPr>
                <w:rFonts w:eastAsia="ArialNarrow"/>
                <w:szCs w:val="18"/>
              </w:rPr>
            </w:pPr>
            <w:r w:rsidRPr="00517264">
              <w:rPr>
                <w:rFonts w:eastAsia="ArialNarrow"/>
                <w:szCs w:val="18"/>
              </w:rPr>
              <w:t>Zajezda TZ - 2</w:t>
            </w:r>
          </w:p>
        </w:tc>
        <w:tc>
          <w:tcPr>
            <w:tcW w:w="1800" w:type="pct"/>
            <w:gridSpan w:val="4"/>
            <w:hideMark/>
          </w:tcPr>
          <w:p w14:paraId="19677E1F" w14:textId="77777777" w:rsidR="008878A0" w:rsidRPr="00517264" w:rsidRDefault="008878A0" w:rsidP="00517264">
            <w:pPr>
              <w:spacing w:after="0"/>
              <w:jc w:val="right"/>
              <w:rPr>
                <w:rFonts w:eastAsia="ArialNarrow"/>
                <w:szCs w:val="18"/>
              </w:rPr>
            </w:pPr>
            <w:r w:rsidRPr="00517264">
              <w:rPr>
                <w:rFonts w:eastAsia="ArialNarrow"/>
                <w:szCs w:val="18"/>
              </w:rPr>
              <w:t>Budinščina, (Zajezda)</w:t>
            </w:r>
          </w:p>
        </w:tc>
        <w:tc>
          <w:tcPr>
            <w:tcW w:w="1204" w:type="pct"/>
            <w:gridSpan w:val="3"/>
            <w:hideMark/>
          </w:tcPr>
          <w:p w14:paraId="325E37B1" w14:textId="77777777" w:rsidR="008878A0" w:rsidRPr="00517264" w:rsidRDefault="008878A0" w:rsidP="00517264">
            <w:pPr>
              <w:spacing w:after="0"/>
              <w:jc w:val="right"/>
              <w:rPr>
                <w:rFonts w:eastAsia="ArialNarrow"/>
                <w:szCs w:val="18"/>
              </w:rPr>
            </w:pPr>
            <w:r w:rsidRPr="00517264">
              <w:rPr>
                <w:rFonts w:eastAsia="ArialNarrow"/>
                <w:szCs w:val="18"/>
              </w:rPr>
              <w:t>1,59</w:t>
            </w:r>
          </w:p>
        </w:tc>
        <w:tc>
          <w:tcPr>
            <w:tcW w:w="687" w:type="pct"/>
            <w:gridSpan w:val="2"/>
            <w:tcBorders>
              <w:right w:val="single" w:sz="8" w:space="0" w:color="D2232A"/>
            </w:tcBorders>
            <w:hideMark/>
          </w:tcPr>
          <w:p w14:paraId="638B3F44"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51554581"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5612D0D0" w14:textId="77777777" w:rsidR="008878A0" w:rsidRPr="00517264" w:rsidRDefault="008878A0" w:rsidP="00517264">
            <w:pPr>
              <w:spacing w:after="0"/>
              <w:jc w:val="left"/>
              <w:rPr>
                <w:rFonts w:eastAsia="ArialNarrow"/>
                <w:szCs w:val="18"/>
              </w:rPr>
            </w:pPr>
            <w:r w:rsidRPr="00517264">
              <w:rPr>
                <w:rFonts w:eastAsia="ArialNarrow"/>
                <w:szCs w:val="18"/>
              </w:rPr>
              <w:t>Zajezda TZ - 3</w:t>
            </w:r>
          </w:p>
        </w:tc>
        <w:tc>
          <w:tcPr>
            <w:tcW w:w="1800" w:type="pct"/>
            <w:gridSpan w:val="4"/>
            <w:hideMark/>
          </w:tcPr>
          <w:p w14:paraId="2AE197F3" w14:textId="77777777" w:rsidR="008878A0" w:rsidRPr="00517264" w:rsidRDefault="008878A0" w:rsidP="00517264">
            <w:pPr>
              <w:spacing w:after="0"/>
              <w:jc w:val="right"/>
              <w:rPr>
                <w:rFonts w:eastAsia="ArialNarrow"/>
                <w:szCs w:val="18"/>
              </w:rPr>
            </w:pPr>
            <w:r w:rsidRPr="00517264">
              <w:rPr>
                <w:rFonts w:eastAsia="ArialNarrow"/>
                <w:szCs w:val="18"/>
              </w:rPr>
              <w:t>Budinščina, (Zajezda)</w:t>
            </w:r>
          </w:p>
        </w:tc>
        <w:tc>
          <w:tcPr>
            <w:tcW w:w="1204" w:type="pct"/>
            <w:gridSpan w:val="3"/>
            <w:hideMark/>
          </w:tcPr>
          <w:p w14:paraId="2B8F1DB2" w14:textId="77777777" w:rsidR="008878A0" w:rsidRPr="00517264" w:rsidRDefault="008878A0" w:rsidP="00517264">
            <w:pPr>
              <w:spacing w:after="0"/>
              <w:jc w:val="right"/>
              <w:rPr>
                <w:rFonts w:eastAsia="ArialNarrow"/>
                <w:szCs w:val="18"/>
              </w:rPr>
            </w:pPr>
            <w:r w:rsidRPr="00517264">
              <w:rPr>
                <w:rFonts w:eastAsia="ArialNarrow"/>
                <w:szCs w:val="18"/>
              </w:rPr>
              <w:t>0,24</w:t>
            </w:r>
          </w:p>
        </w:tc>
        <w:tc>
          <w:tcPr>
            <w:tcW w:w="687" w:type="pct"/>
            <w:gridSpan w:val="2"/>
            <w:tcBorders>
              <w:right w:val="single" w:sz="8" w:space="0" w:color="D2232A"/>
            </w:tcBorders>
            <w:hideMark/>
          </w:tcPr>
          <w:p w14:paraId="2C72F607"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621E2753"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4F585355" w14:textId="77777777" w:rsidR="008878A0" w:rsidRPr="00517264" w:rsidRDefault="008878A0" w:rsidP="00517264">
            <w:pPr>
              <w:spacing w:after="0"/>
              <w:jc w:val="left"/>
              <w:rPr>
                <w:rFonts w:eastAsia="ArialNarrow"/>
                <w:szCs w:val="18"/>
              </w:rPr>
            </w:pPr>
            <w:r w:rsidRPr="00517264">
              <w:rPr>
                <w:rFonts w:eastAsia="ArialNarrow"/>
                <w:szCs w:val="18"/>
              </w:rPr>
              <w:t>Zajezda TZ - 4</w:t>
            </w:r>
          </w:p>
        </w:tc>
        <w:tc>
          <w:tcPr>
            <w:tcW w:w="1800" w:type="pct"/>
            <w:gridSpan w:val="4"/>
            <w:hideMark/>
          </w:tcPr>
          <w:p w14:paraId="0A81CC2F" w14:textId="77777777" w:rsidR="008878A0" w:rsidRPr="00517264" w:rsidRDefault="008878A0" w:rsidP="00517264">
            <w:pPr>
              <w:spacing w:after="0"/>
              <w:jc w:val="right"/>
              <w:rPr>
                <w:rFonts w:eastAsia="ArialNarrow"/>
                <w:szCs w:val="18"/>
              </w:rPr>
            </w:pPr>
            <w:r w:rsidRPr="00517264">
              <w:rPr>
                <w:rFonts w:eastAsia="ArialNarrow"/>
                <w:szCs w:val="18"/>
              </w:rPr>
              <w:t>Budinščina, (Zajezda)</w:t>
            </w:r>
          </w:p>
        </w:tc>
        <w:tc>
          <w:tcPr>
            <w:tcW w:w="1204" w:type="pct"/>
            <w:gridSpan w:val="3"/>
            <w:hideMark/>
          </w:tcPr>
          <w:p w14:paraId="3082D48F" w14:textId="77777777" w:rsidR="008878A0" w:rsidRPr="00517264" w:rsidRDefault="008878A0" w:rsidP="00517264">
            <w:pPr>
              <w:spacing w:after="0"/>
              <w:jc w:val="right"/>
              <w:rPr>
                <w:rFonts w:eastAsia="ArialNarrow"/>
                <w:szCs w:val="18"/>
              </w:rPr>
            </w:pPr>
            <w:r w:rsidRPr="00517264">
              <w:rPr>
                <w:rFonts w:eastAsia="ArialNarrow"/>
                <w:szCs w:val="18"/>
              </w:rPr>
              <w:t>2,04</w:t>
            </w:r>
          </w:p>
        </w:tc>
        <w:tc>
          <w:tcPr>
            <w:tcW w:w="687" w:type="pct"/>
            <w:gridSpan w:val="2"/>
            <w:tcBorders>
              <w:right w:val="single" w:sz="8" w:space="0" w:color="D2232A"/>
            </w:tcBorders>
            <w:hideMark/>
          </w:tcPr>
          <w:p w14:paraId="26212F3E"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1CB79420"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39D79822" w14:textId="77777777" w:rsidR="008878A0" w:rsidRPr="00517264" w:rsidRDefault="008878A0" w:rsidP="00517264">
            <w:pPr>
              <w:spacing w:after="0"/>
              <w:jc w:val="left"/>
              <w:rPr>
                <w:rFonts w:eastAsia="ArialNarrow"/>
                <w:szCs w:val="18"/>
              </w:rPr>
            </w:pPr>
            <w:r w:rsidRPr="00517264">
              <w:rPr>
                <w:rFonts w:eastAsia="ArialNarrow"/>
                <w:szCs w:val="18"/>
              </w:rPr>
              <w:t>Topličica - Gotalovec</w:t>
            </w:r>
          </w:p>
        </w:tc>
        <w:tc>
          <w:tcPr>
            <w:tcW w:w="1800" w:type="pct"/>
            <w:gridSpan w:val="4"/>
            <w:hideMark/>
          </w:tcPr>
          <w:p w14:paraId="1EF4294B" w14:textId="77777777" w:rsidR="008878A0" w:rsidRPr="00517264" w:rsidRDefault="008878A0" w:rsidP="00517264">
            <w:pPr>
              <w:spacing w:after="0"/>
              <w:jc w:val="right"/>
              <w:rPr>
                <w:rFonts w:eastAsia="ArialNarrow"/>
                <w:szCs w:val="18"/>
              </w:rPr>
            </w:pPr>
            <w:r w:rsidRPr="00517264">
              <w:rPr>
                <w:rFonts w:eastAsia="ArialNarrow"/>
                <w:szCs w:val="18"/>
              </w:rPr>
              <w:t>Budinščina, (Topličica, Gotalovec)</w:t>
            </w:r>
          </w:p>
        </w:tc>
        <w:tc>
          <w:tcPr>
            <w:tcW w:w="1204" w:type="pct"/>
            <w:gridSpan w:val="3"/>
            <w:hideMark/>
          </w:tcPr>
          <w:p w14:paraId="17E0ED07" w14:textId="77777777" w:rsidR="008878A0" w:rsidRPr="00517264" w:rsidRDefault="008878A0" w:rsidP="00517264">
            <w:pPr>
              <w:spacing w:after="0"/>
              <w:jc w:val="right"/>
              <w:rPr>
                <w:rFonts w:eastAsia="ArialNarrow"/>
                <w:szCs w:val="18"/>
              </w:rPr>
            </w:pPr>
            <w:r w:rsidRPr="00517264">
              <w:rPr>
                <w:rFonts w:eastAsia="ArialNarrow"/>
                <w:szCs w:val="18"/>
              </w:rPr>
              <w:t>Neizgrađeno: 1,33</w:t>
            </w:r>
          </w:p>
        </w:tc>
        <w:tc>
          <w:tcPr>
            <w:tcW w:w="687" w:type="pct"/>
            <w:gridSpan w:val="2"/>
            <w:tcBorders>
              <w:right w:val="single" w:sz="8" w:space="0" w:color="D2232A"/>
            </w:tcBorders>
            <w:hideMark/>
          </w:tcPr>
          <w:p w14:paraId="2AF1E3A9" w14:textId="77777777" w:rsidR="008878A0" w:rsidRPr="00517264" w:rsidRDefault="008878A0" w:rsidP="00517264">
            <w:pPr>
              <w:spacing w:after="0"/>
              <w:jc w:val="right"/>
              <w:rPr>
                <w:rFonts w:eastAsia="ArialNarrow"/>
                <w:szCs w:val="18"/>
              </w:rPr>
            </w:pPr>
            <w:r w:rsidRPr="00517264">
              <w:rPr>
                <w:rFonts w:eastAsia="ArialNarrow"/>
                <w:szCs w:val="18"/>
              </w:rPr>
              <w:t>T</w:t>
            </w:r>
          </w:p>
        </w:tc>
      </w:tr>
      <w:tr w:rsidR="008878A0" w:rsidRPr="00517264" w14:paraId="5EE0DFAA"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49BA5F46" w14:textId="77777777" w:rsidR="008878A0" w:rsidRPr="00517264" w:rsidRDefault="008878A0" w:rsidP="00517264">
            <w:pPr>
              <w:spacing w:after="0"/>
              <w:jc w:val="left"/>
              <w:rPr>
                <w:rFonts w:eastAsia="ArialNarrow"/>
                <w:szCs w:val="18"/>
              </w:rPr>
            </w:pPr>
            <w:r w:rsidRPr="00517264">
              <w:rPr>
                <w:rFonts w:eastAsia="ArialNarrow"/>
                <w:szCs w:val="18"/>
              </w:rPr>
              <w:t>Gotalovec</w:t>
            </w:r>
          </w:p>
        </w:tc>
        <w:tc>
          <w:tcPr>
            <w:tcW w:w="1800" w:type="pct"/>
            <w:gridSpan w:val="4"/>
            <w:hideMark/>
          </w:tcPr>
          <w:p w14:paraId="0DE5DD7E" w14:textId="77777777" w:rsidR="008878A0" w:rsidRPr="00517264" w:rsidRDefault="008878A0" w:rsidP="00517264">
            <w:pPr>
              <w:spacing w:after="0"/>
              <w:jc w:val="right"/>
              <w:rPr>
                <w:rFonts w:eastAsia="ArialNarrow"/>
                <w:szCs w:val="18"/>
              </w:rPr>
            </w:pPr>
            <w:r w:rsidRPr="00517264">
              <w:rPr>
                <w:rFonts w:eastAsia="ArialNarrow"/>
                <w:szCs w:val="18"/>
              </w:rPr>
              <w:t>Budinščina, (Gotalovec)</w:t>
            </w:r>
          </w:p>
        </w:tc>
        <w:tc>
          <w:tcPr>
            <w:tcW w:w="1204" w:type="pct"/>
            <w:gridSpan w:val="3"/>
            <w:hideMark/>
          </w:tcPr>
          <w:p w14:paraId="466EF52D" w14:textId="77777777" w:rsidR="008878A0" w:rsidRPr="00517264" w:rsidRDefault="008878A0" w:rsidP="00517264">
            <w:pPr>
              <w:spacing w:after="0"/>
              <w:jc w:val="right"/>
              <w:rPr>
                <w:rFonts w:eastAsia="ArialNarrow"/>
                <w:szCs w:val="18"/>
              </w:rPr>
            </w:pPr>
            <w:r w:rsidRPr="00517264">
              <w:rPr>
                <w:rFonts w:eastAsia="ArialNarrow"/>
                <w:szCs w:val="18"/>
              </w:rPr>
              <w:t>2,83</w:t>
            </w:r>
          </w:p>
        </w:tc>
        <w:tc>
          <w:tcPr>
            <w:tcW w:w="687" w:type="pct"/>
            <w:gridSpan w:val="2"/>
            <w:tcBorders>
              <w:right w:val="single" w:sz="8" w:space="0" w:color="D2232A"/>
            </w:tcBorders>
            <w:hideMark/>
          </w:tcPr>
          <w:p w14:paraId="29C0A75A" w14:textId="77777777" w:rsidR="008878A0" w:rsidRPr="00517264" w:rsidRDefault="008878A0" w:rsidP="00517264">
            <w:pPr>
              <w:spacing w:after="0"/>
              <w:jc w:val="right"/>
              <w:rPr>
                <w:rFonts w:eastAsia="ArialNarrow"/>
                <w:szCs w:val="18"/>
              </w:rPr>
            </w:pPr>
            <w:r w:rsidRPr="00517264">
              <w:rPr>
                <w:rFonts w:eastAsia="ArialNarrow"/>
                <w:szCs w:val="18"/>
              </w:rPr>
              <w:t>T4,T5</w:t>
            </w:r>
          </w:p>
        </w:tc>
      </w:tr>
      <w:tr w:rsidR="008878A0" w:rsidRPr="00517264" w14:paraId="5EA14504"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shd w:val="clear" w:color="auto" w:fill="D2232A" w:themeFill="accent1"/>
            <w:hideMark/>
          </w:tcPr>
          <w:p w14:paraId="73F170E5" w14:textId="2DD9BF29"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HRAŠ</w:t>
            </w:r>
            <w:r w:rsidR="00856A54">
              <w:rPr>
                <w:rFonts w:eastAsia="ArialNarrow"/>
                <w:color w:val="FFFFFF" w:themeColor="background1"/>
                <w:szCs w:val="18"/>
              </w:rPr>
              <w:t>Ć</w:t>
            </w:r>
            <w:r w:rsidRPr="00517264">
              <w:rPr>
                <w:rFonts w:eastAsia="ArialNarrow"/>
                <w:color w:val="FFFFFF" w:themeColor="background1"/>
                <w:szCs w:val="18"/>
              </w:rPr>
              <w:t>INA</w:t>
            </w:r>
          </w:p>
        </w:tc>
        <w:tc>
          <w:tcPr>
            <w:tcW w:w="1800" w:type="pct"/>
            <w:gridSpan w:val="4"/>
            <w:shd w:val="clear" w:color="auto" w:fill="D2232A" w:themeFill="accent1"/>
            <w:hideMark/>
          </w:tcPr>
          <w:p w14:paraId="1084EFD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04" w:type="pct"/>
            <w:gridSpan w:val="3"/>
            <w:shd w:val="clear" w:color="auto" w:fill="D2232A" w:themeFill="accent1"/>
            <w:hideMark/>
          </w:tcPr>
          <w:p w14:paraId="56F2AFB3"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687" w:type="pct"/>
            <w:gridSpan w:val="2"/>
            <w:tcBorders>
              <w:right w:val="single" w:sz="8" w:space="0" w:color="D2232A"/>
            </w:tcBorders>
            <w:shd w:val="clear" w:color="auto" w:fill="D2232A" w:themeFill="accent1"/>
            <w:hideMark/>
          </w:tcPr>
          <w:p w14:paraId="374B4BA2"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3666E711"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6BE18903" w14:textId="77777777" w:rsidR="008878A0" w:rsidRPr="00517264" w:rsidRDefault="008878A0" w:rsidP="00517264">
            <w:pPr>
              <w:spacing w:after="0"/>
              <w:jc w:val="left"/>
              <w:rPr>
                <w:rFonts w:eastAsia="ArialNarrow"/>
                <w:color w:val="auto"/>
                <w:szCs w:val="18"/>
              </w:rPr>
            </w:pPr>
            <w:r w:rsidRPr="00517264">
              <w:rPr>
                <w:rFonts w:eastAsia="ArialNarrow"/>
                <w:szCs w:val="18"/>
              </w:rPr>
              <w:t>//</w:t>
            </w:r>
          </w:p>
        </w:tc>
        <w:tc>
          <w:tcPr>
            <w:tcW w:w="1800" w:type="pct"/>
            <w:gridSpan w:val="4"/>
            <w:hideMark/>
          </w:tcPr>
          <w:p w14:paraId="46521AC5" w14:textId="77777777" w:rsidR="008878A0" w:rsidRPr="00517264" w:rsidRDefault="008878A0" w:rsidP="00517264">
            <w:pPr>
              <w:spacing w:after="0"/>
              <w:jc w:val="right"/>
              <w:rPr>
                <w:rFonts w:eastAsia="ArialNarrow"/>
                <w:szCs w:val="18"/>
              </w:rPr>
            </w:pPr>
            <w:r w:rsidRPr="00517264">
              <w:rPr>
                <w:rFonts w:eastAsia="ArialNarrow"/>
                <w:szCs w:val="18"/>
              </w:rPr>
              <w:t>//</w:t>
            </w:r>
          </w:p>
        </w:tc>
        <w:tc>
          <w:tcPr>
            <w:tcW w:w="1204" w:type="pct"/>
            <w:gridSpan w:val="3"/>
            <w:hideMark/>
          </w:tcPr>
          <w:p w14:paraId="56D9D9F2" w14:textId="77777777" w:rsidR="008878A0" w:rsidRPr="00517264" w:rsidRDefault="008878A0" w:rsidP="00517264">
            <w:pPr>
              <w:spacing w:after="0"/>
              <w:jc w:val="right"/>
              <w:rPr>
                <w:rFonts w:eastAsia="ArialNarrow"/>
                <w:szCs w:val="18"/>
              </w:rPr>
            </w:pPr>
            <w:r w:rsidRPr="00517264">
              <w:rPr>
                <w:rFonts w:eastAsia="ArialNarrow"/>
                <w:szCs w:val="18"/>
              </w:rPr>
              <w:t>//</w:t>
            </w:r>
          </w:p>
        </w:tc>
        <w:tc>
          <w:tcPr>
            <w:tcW w:w="687" w:type="pct"/>
            <w:gridSpan w:val="2"/>
            <w:tcBorders>
              <w:right w:val="single" w:sz="8" w:space="0" w:color="D2232A"/>
            </w:tcBorders>
            <w:hideMark/>
          </w:tcPr>
          <w:p w14:paraId="7E8B05B5" w14:textId="77777777" w:rsidR="008878A0" w:rsidRPr="00517264" w:rsidRDefault="008878A0" w:rsidP="00517264">
            <w:pPr>
              <w:spacing w:after="0"/>
              <w:jc w:val="right"/>
              <w:rPr>
                <w:rFonts w:eastAsia="ArialNarrow"/>
                <w:szCs w:val="18"/>
              </w:rPr>
            </w:pPr>
            <w:r w:rsidRPr="00517264">
              <w:rPr>
                <w:rFonts w:eastAsia="ArialNarrow"/>
                <w:szCs w:val="18"/>
              </w:rPr>
              <w:t>//</w:t>
            </w:r>
          </w:p>
        </w:tc>
      </w:tr>
      <w:tr w:rsidR="008878A0" w:rsidRPr="00517264" w14:paraId="01094B8B"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shd w:val="clear" w:color="auto" w:fill="D2232A" w:themeFill="accent1"/>
            <w:hideMark/>
          </w:tcPr>
          <w:p w14:paraId="24BB49D3"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LOBOR</w:t>
            </w:r>
          </w:p>
        </w:tc>
        <w:tc>
          <w:tcPr>
            <w:tcW w:w="1800" w:type="pct"/>
            <w:gridSpan w:val="4"/>
            <w:shd w:val="clear" w:color="auto" w:fill="D2232A" w:themeFill="accent1"/>
            <w:hideMark/>
          </w:tcPr>
          <w:p w14:paraId="400BE48A"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04" w:type="pct"/>
            <w:gridSpan w:val="3"/>
            <w:shd w:val="clear" w:color="auto" w:fill="D2232A" w:themeFill="accent1"/>
            <w:hideMark/>
          </w:tcPr>
          <w:p w14:paraId="234B6783"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687" w:type="pct"/>
            <w:gridSpan w:val="2"/>
            <w:tcBorders>
              <w:right w:val="single" w:sz="8" w:space="0" w:color="D2232A"/>
            </w:tcBorders>
            <w:shd w:val="clear" w:color="auto" w:fill="D2232A" w:themeFill="accent1"/>
            <w:hideMark/>
          </w:tcPr>
          <w:p w14:paraId="1ECEDD37"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6D83DF42"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5CA3CEB0" w14:textId="77777777" w:rsidR="008878A0" w:rsidRPr="00517264" w:rsidRDefault="008878A0" w:rsidP="00517264">
            <w:pPr>
              <w:spacing w:after="0"/>
              <w:jc w:val="left"/>
              <w:rPr>
                <w:rFonts w:eastAsia="ArialNarrow"/>
                <w:color w:val="auto"/>
                <w:szCs w:val="18"/>
              </w:rPr>
            </w:pPr>
            <w:r w:rsidRPr="00517264">
              <w:rPr>
                <w:rFonts w:eastAsia="ArialNarrow"/>
                <w:szCs w:val="18"/>
              </w:rPr>
              <w:t>Petrova Gora</w:t>
            </w:r>
          </w:p>
        </w:tc>
        <w:tc>
          <w:tcPr>
            <w:tcW w:w="1800" w:type="pct"/>
            <w:gridSpan w:val="4"/>
            <w:hideMark/>
          </w:tcPr>
          <w:p w14:paraId="133D22D0" w14:textId="18328B0C" w:rsidR="008878A0" w:rsidRPr="00517264" w:rsidRDefault="008878A0" w:rsidP="00517264">
            <w:pPr>
              <w:spacing w:after="0"/>
              <w:jc w:val="right"/>
              <w:rPr>
                <w:rFonts w:eastAsia="ArialNarrow"/>
                <w:szCs w:val="18"/>
              </w:rPr>
            </w:pPr>
            <w:r w:rsidRPr="00517264">
              <w:rPr>
                <w:rFonts w:eastAsia="ArialNarrow"/>
                <w:szCs w:val="18"/>
              </w:rPr>
              <w:t>Lobor,</w:t>
            </w:r>
            <w:r w:rsidR="00BE268C">
              <w:rPr>
                <w:rFonts w:eastAsia="ArialNarrow"/>
                <w:szCs w:val="18"/>
              </w:rPr>
              <w:t xml:space="preserve"> </w:t>
            </w:r>
            <w:r w:rsidRPr="00517264">
              <w:rPr>
                <w:rFonts w:eastAsia="ArialNarrow"/>
                <w:szCs w:val="18"/>
              </w:rPr>
              <w:t>(Stari Golubovec)</w:t>
            </w:r>
          </w:p>
        </w:tc>
        <w:tc>
          <w:tcPr>
            <w:tcW w:w="1204" w:type="pct"/>
            <w:gridSpan w:val="3"/>
            <w:hideMark/>
          </w:tcPr>
          <w:p w14:paraId="2B6D4195" w14:textId="77777777" w:rsidR="008878A0" w:rsidRPr="00517264" w:rsidRDefault="008878A0" w:rsidP="00517264">
            <w:pPr>
              <w:spacing w:after="0"/>
              <w:jc w:val="right"/>
              <w:rPr>
                <w:rFonts w:eastAsia="ArialNarrow"/>
                <w:szCs w:val="18"/>
              </w:rPr>
            </w:pPr>
            <w:r w:rsidRPr="00517264">
              <w:rPr>
                <w:rFonts w:eastAsia="ArialNarrow"/>
                <w:szCs w:val="18"/>
              </w:rPr>
              <w:t>1,78</w:t>
            </w:r>
          </w:p>
        </w:tc>
        <w:tc>
          <w:tcPr>
            <w:tcW w:w="687" w:type="pct"/>
            <w:gridSpan w:val="2"/>
            <w:tcBorders>
              <w:right w:val="single" w:sz="8" w:space="0" w:color="D2232A"/>
            </w:tcBorders>
            <w:hideMark/>
          </w:tcPr>
          <w:p w14:paraId="1979B790" w14:textId="77777777" w:rsidR="008878A0" w:rsidRPr="00517264" w:rsidRDefault="008878A0" w:rsidP="00517264">
            <w:pPr>
              <w:spacing w:after="0"/>
              <w:jc w:val="right"/>
              <w:rPr>
                <w:rFonts w:eastAsia="ArialNarrow"/>
                <w:szCs w:val="18"/>
              </w:rPr>
            </w:pPr>
            <w:r w:rsidRPr="00517264">
              <w:rPr>
                <w:rFonts w:eastAsia="ArialNarrow"/>
                <w:szCs w:val="18"/>
              </w:rPr>
              <w:t>T5</w:t>
            </w:r>
          </w:p>
        </w:tc>
      </w:tr>
      <w:tr w:rsidR="008878A0" w:rsidRPr="00517264" w14:paraId="1F59FCC2"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7718DFE8" w14:textId="77777777" w:rsidR="008878A0" w:rsidRPr="00517264" w:rsidRDefault="008878A0" w:rsidP="00517264">
            <w:pPr>
              <w:spacing w:after="0"/>
              <w:jc w:val="left"/>
              <w:rPr>
                <w:rFonts w:eastAsia="ArialNarrow"/>
                <w:szCs w:val="18"/>
              </w:rPr>
            </w:pPr>
            <w:r w:rsidRPr="00517264">
              <w:rPr>
                <w:rFonts w:eastAsia="ArialNarrow"/>
                <w:szCs w:val="18"/>
              </w:rPr>
              <w:t>Lobor</w:t>
            </w:r>
          </w:p>
        </w:tc>
        <w:tc>
          <w:tcPr>
            <w:tcW w:w="1800" w:type="pct"/>
            <w:gridSpan w:val="4"/>
            <w:hideMark/>
          </w:tcPr>
          <w:p w14:paraId="1052CE15" w14:textId="660D14A3" w:rsidR="008878A0" w:rsidRPr="00517264" w:rsidRDefault="008878A0" w:rsidP="00517264">
            <w:pPr>
              <w:spacing w:after="0"/>
              <w:jc w:val="right"/>
              <w:rPr>
                <w:rFonts w:eastAsia="ArialNarrow"/>
                <w:szCs w:val="18"/>
              </w:rPr>
            </w:pPr>
            <w:r w:rsidRPr="00517264">
              <w:rPr>
                <w:rFonts w:eastAsia="ArialNarrow"/>
                <w:szCs w:val="18"/>
              </w:rPr>
              <w:t>Lobor,</w:t>
            </w:r>
            <w:r w:rsidR="00BE268C">
              <w:rPr>
                <w:rFonts w:eastAsia="ArialNarrow"/>
                <w:szCs w:val="18"/>
              </w:rPr>
              <w:t xml:space="preserve"> </w:t>
            </w:r>
            <w:r w:rsidRPr="00517264">
              <w:rPr>
                <w:rFonts w:eastAsia="ArialNarrow"/>
                <w:szCs w:val="18"/>
              </w:rPr>
              <w:t>(Lobor)</w:t>
            </w:r>
          </w:p>
        </w:tc>
        <w:tc>
          <w:tcPr>
            <w:tcW w:w="1204" w:type="pct"/>
            <w:gridSpan w:val="3"/>
            <w:hideMark/>
          </w:tcPr>
          <w:p w14:paraId="53B8A669" w14:textId="77777777" w:rsidR="008878A0" w:rsidRPr="00517264" w:rsidRDefault="008878A0" w:rsidP="00517264">
            <w:pPr>
              <w:spacing w:after="0"/>
              <w:jc w:val="right"/>
              <w:rPr>
                <w:rFonts w:eastAsia="ArialNarrow"/>
                <w:szCs w:val="18"/>
              </w:rPr>
            </w:pPr>
            <w:r w:rsidRPr="00517264">
              <w:rPr>
                <w:rFonts w:eastAsia="ArialNarrow"/>
                <w:szCs w:val="18"/>
              </w:rPr>
              <w:t>1,09</w:t>
            </w:r>
          </w:p>
        </w:tc>
        <w:tc>
          <w:tcPr>
            <w:tcW w:w="687" w:type="pct"/>
            <w:gridSpan w:val="2"/>
            <w:tcBorders>
              <w:right w:val="single" w:sz="8" w:space="0" w:color="D2232A"/>
            </w:tcBorders>
            <w:hideMark/>
          </w:tcPr>
          <w:p w14:paraId="6DD4FF7B"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1A265C10" w14:textId="77777777" w:rsidTr="00517264">
        <w:tblPrEx>
          <w:tblBorders>
            <w:left w:val="none" w:sz="0" w:space="0" w:color="auto"/>
            <w:right w:val="none" w:sz="0" w:space="0" w:color="auto"/>
          </w:tblBorders>
        </w:tblPrEx>
        <w:trPr>
          <w:trHeight w:val="227"/>
        </w:trPr>
        <w:tc>
          <w:tcPr>
            <w:tcW w:w="1309" w:type="pct"/>
            <w:gridSpan w:val="3"/>
            <w:vMerge w:val="restart"/>
            <w:tcBorders>
              <w:left w:val="single" w:sz="8" w:space="0" w:color="D2232A"/>
            </w:tcBorders>
            <w:hideMark/>
          </w:tcPr>
          <w:p w14:paraId="5A4267AE" w14:textId="77777777" w:rsidR="008878A0" w:rsidRPr="00517264" w:rsidRDefault="008878A0" w:rsidP="00517264">
            <w:pPr>
              <w:spacing w:after="0"/>
              <w:jc w:val="left"/>
              <w:rPr>
                <w:rFonts w:eastAsia="ArialNarrow"/>
                <w:szCs w:val="18"/>
              </w:rPr>
            </w:pPr>
            <w:r w:rsidRPr="00517264">
              <w:rPr>
                <w:rFonts w:eastAsia="ArialNarrow"/>
                <w:szCs w:val="18"/>
              </w:rPr>
              <w:t>Šipki</w:t>
            </w:r>
          </w:p>
        </w:tc>
        <w:tc>
          <w:tcPr>
            <w:tcW w:w="1800" w:type="pct"/>
            <w:gridSpan w:val="4"/>
            <w:vMerge w:val="restart"/>
            <w:hideMark/>
          </w:tcPr>
          <w:p w14:paraId="409069CF" w14:textId="1EDDA3C8" w:rsidR="008878A0" w:rsidRPr="00517264" w:rsidRDefault="008878A0" w:rsidP="00517264">
            <w:pPr>
              <w:spacing w:after="0"/>
              <w:jc w:val="right"/>
              <w:rPr>
                <w:rFonts w:eastAsia="ArialNarrow"/>
                <w:szCs w:val="18"/>
              </w:rPr>
            </w:pPr>
            <w:r w:rsidRPr="00517264">
              <w:rPr>
                <w:rFonts w:eastAsia="ArialNarrow"/>
                <w:szCs w:val="18"/>
              </w:rPr>
              <w:t>Lobor,</w:t>
            </w:r>
            <w:r w:rsidR="00BE268C">
              <w:rPr>
                <w:rFonts w:eastAsia="ArialNarrow"/>
                <w:szCs w:val="18"/>
              </w:rPr>
              <w:t xml:space="preserve"> </w:t>
            </w:r>
            <w:r w:rsidRPr="00517264">
              <w:rPr>
                <w:rFonts w:eastAsia="ArialNarrow"/>
                <w:szCs w:val="18"/>
              </w:rPr>
              <w:t>(Šipki)</w:t>
            </w:r>
          </w:p>
        </w:tc>
        <w:tc>
          <w:tcPr>
            <w:tcW w:w="1204" w:type="pct"/>
            <w:gridSpan w:val="3"/>
            <w:tcBorders>
              <w:bottom w:val="nil"/>
            </w:tcBorders>
            <w:hideMark/>
          </w:tcPr>
          <w:p w14:paraId="7F37FDBE" w14:textId="77777777" w:rsidR="008878A0" w:rsidRPr="00517264" w:rsidRDefault="008878A0" w:rsidP="00517264">
            <w:pPr>
              <w:spacing w:after="0"/>
              <w:jc w:val="right"/>
              <w:rPr>
                <w:rFonts w:eastAsia="ArialNarrow"/>
                <w:szCs w:val="18"/>
              </w:rPr>
            </w:pPr>
            <w:r w:rsidRPr="00517264">
              <w:rPr>
                <w:rFonts w:eastAsia="ArialNarrow"/>
                <w:szCs w:val="18"/>
              </w:rPr>
              <w:t>0,92</w:t>
            </w:r>
          </w:p>
        </w:tc>
        <w:tc>
          <w:tcPr>
            <w:tcW w:w="687" w:type="pct"/>
            <w:gridSpan w:val="2"/>
            <w:vMerge w:val="restart"/>
            <w:tcBorders>
              <w:right w:val="single" w:sz="8" w:space="0" w:color="D2232A"/>
            </w:tcBorders>
            <w:hideMark/>
          </w:tcPr>
          <w:p w14:paraId="220E502C"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216F6080" w14:textId="77777777" w:rsidTr="00517264">
        <w:tblPrEx>
          <w:tblBorders>
            <w:left w:val="none" w:sz="0" w:space="0" w:color="auto"/>
            <w:right w:val="none" w:sz="0" w:space="0" w:color="auto"/>
          </w:tblBorders>
        </w:tblPrEx>
        <w:trPr>
          <w:trHeight w:val="227"/>
        </w:trPr>
        <w:tc>
          <w:tcPr>
            <w:tcW w:w="1309" w:type="pct"/>
            <w:gridSpan w:val="3"/>
            <w:vMerge/>
            <w:tcBorders>
              <w:left w:val="single" w:sz="8" w:space="0" w:color="D2232A"/>
            </w:tcBorders>
            <w:vAlign w:val="center"/>
            <w:hideMark/>
          </w:tcPr>
          <w:p w14:paraId="4CA68E81" w14:textId="77777777" w:rsidR="008878A0" w:rsidRPr="00517264" w:rsidRDefault="008878A0" w:rsidP="00517264">
            <w:pPr>
              <w:spacing w:after="0"/>
              <w:jc w:val="left"/>
              <w:rPr>
                <w:rFonts w:eastAsia="ArialNarrow"/>
                <w:szCs w:val="18"/>
              </w:rPr>
            </w:pPr>
          </w:p>
        </w:tc>
        <w:tc>
          <w:tcPr>
            <w:tcW w:w="1800" w:type="pct"/>
            <w:gridSpan w:val="4"/>
            <w:vMerge/>
            <w:vAlign w:val="center"/>
            <w:hideMark/>
          </w:tcPr>
          <w:p w14:paraId="2CB5C9A6" w14:textId="77777777" w:rsidR="008878A0" w:rsidRPr="00517264" w:rsidRDefault="008878A0" w:rsidP="00517264">
            <w:pPr>
              <w:spacing w:after="0"/>
              <w:jc w:val="right"/>
              <w:rPr>
                <w:rFonts w:eastAsia="ArialNarrow"/>
                <w:szCs w:val="18"/>
              </w:rPr>
            </w:pPr>
          </w:p>
        </w:tc>
        <w:tc>
          <w:tcPr>
            <w:tcW w:w="1204" w:type="pct"/>
            <w:gridSpan w:val="3"/>
            <w:tcBorders>
              <w:top w:val="nil"/>
            </w:tcBorders>
            <w:hideMark/>
          </w:tcPr>
          <w:p w14:paraId="5505B687" w14:textId="77777777" w:rsidR="008878A0" w:rsidRPr="00517264" w:rsidRDefault="008878A0" w:rsidP="00517264">
            <w:pPr>
              <w:spacing w:after="0"/>
              <w:jc w:val="right"/>
              <w:rPr>
                <w:rFonts w:eastAsia="ArialNarrow"/>
                <w:szCs w:val="18"/>
              </w:rPr>
            </w:pPr>
            <w:r w:rsidRPr="00517264">
              <w:rPr>
                <w:rFonts w:eastAsia="ArialNarrow"/>
                <w:szCs w:val="18"/>
              </w:rPr>
              <w:t>Izgrađeno: 0,76</w:t>
            </w:r>
          </w:p>
        </w:tc>
        <w:tc>
          <w:tcPr>
            <w:tcW w:w="687" w:type="pct"/>
            <w:gridSpan w:val="2"/>
            <w:vMerge/>
            <w:tcBorders>
              <w:right w:val="single" w:sz="8" w:space="0" w:color="D2232A"/>
            </w:tcBorders>
            <w:vAlign w:val="center"/>
            <w:hideMark/>
          </w:tcPr>
          <w:p w14:paraId="57382EFC" w14:textId="77777777" w:rsidR="008878A0" w:rsidRPr="00517264" w:rsidRDefault="008878A0" w:rsidP="00517264">
            <w:pPr>
              <w:spacing w:after="0"/>
              <w:jc w:val="right"/>
              <w:rPr>
                <w:rFonts w:eastAsia="ArialNarrow"/>
                <w:szCs w:val="18"/>
              </w:rPr>
            </w:pPr>
          </w:p>
        </w:tc>
      </w:tr>
      <w:tr w:rsidR="008878A0" w:rsidRPr="00517264" w14:paraId="60DA9848"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shd w:val="clear" w:color="auto" w:fill="D2232A" w:themeFill="accent1"/>
            <w:hideMark/>
          </w:tcPr>
          <w:p w14:paraId="48D5D801"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NOVI GOLUBOVEC</w:t>
            </w:r>
          </w:p>
        </w:tc>
        <w:tc>
          <w:tcPr>
            <w:tcW w:w="1800" w:type="pct"/>
            <w:gridSpan w:val="4"/>
            <w:shd w:val="clear" w:color="auto" w:fill="D2232A" w:themeFill="accent1"/>
            <w:hideMark/>
          </w:tcPr>
          <w:p w14:paraId="4ECC7F78"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04" w:type="pct"/>
            <w:gridSpan w:val="3"/>
            <w:shd w:val="clear" w:color="auto" w:fill="D2232A" w:themeFill="accent1"/>
            <w:hideMark/>
          </w:tcPr>
          <w:p w14:paraId="16430805"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687" w:type="pct"/>
            <w:gridSpan w:val="2"/>
            <w:tcBorders>
              <w:right w:val="single" w:sz="8" w:space="0" w:color="D2232A"/>
            </w:tcBorders>
            <w:shd w:val="clear" w:color="auto" w:fill="D2232A" w:themeFill="accent1"/>
            <w:hideMark/>
          </w:tcPr>
          <w:p w14:paraId="24977119"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53554F84"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3D10F7F2" w14:textId="77777777" w:rsidR="008878A0" w:rsidRPr="00517264" w:rsidRDefault="008878A0" w:rsidP="00517264">
            <w:pPr>
              <w:spacing w:after="0"/>
              <w:jc w:val="left"/>
              <w:rPr>
                <w:rFonts w:eastAsia="ArialNarrow"/>
                <w:color w:val="auto"/>
                <w:szCs w:val="18"/>
              </w:rPr>
            </w:pPr>
            <w:r w:rsidRPr="00517264">
              <w:rPr>
                <w:rFonts w:eastAsia="ArialNarrow"/>
                <w:szCs w:val="18"/>
              </w:rPr>
              <w:t>Novi Golubovec</w:t>
            </w:r>
          </w:p>
        </w:tc>
        <w:tc>
          <w:tcPr>
            <w:tcW w:w="1800" w:type="pct"/>
            <w:gridSpan w:val="4"/>
            <w:hideMark/>
          </w:tcPr>
          <w:p w14:paraId="4F04C712" w14:textId="77777777" w:rsidR="008878A0" w:rsidRPr="00517264" w:rsidRDefault="008878A0" w:rsidP="00517264">
            <w:pPr>
              <w:spacing w:after="0"/>
              <w:jc w:val="right"/>
              <w:rPr>
                <w:rFonts w:eastAsia="ArialNarrow"/>
                <w:szCs w:val="18"/>
              </w:rPr>
            </w:pPr>
            <w:r w:rsidRPr="00517264">
              <w:rPr>
                <w:rFonts w:eastAsia="ArialNarrow"/>
                <w:szCs w:val="18"/>
              </w:rPr>
              <w:t>Novi Golubovec, (Novi Golubovec)</w:t>
            </w:r>
          </w:p>
        </w:tc>
        <w:tc>
          <w:tcPr>
            <w:tcW w:w="1204" w:type="pct"/>
            <w:gridSpan w:val="3"/>
            <w:hideMark/>
          </w:tcPr>
          <w:p w14:paraId="0555D44F" w14:textId="77777777" w:rsidR="008878A0" w:rsidRPr="00517264" w:rsidRDefault="008878A0" w:rsidP="00517264">
            <w:pPr>
              <w:spacing w:after="0"/>
              <w:jc w:val="right"/>
              <w:rPr>
                <w:rFonts w:eastAsia="ArialNarrow"/>
                <w:szCs w:val="18"/>
              </w:rPr>
            </w:pPr>
            <w:r w:rsidRPr="00517264">
              <w:rPr>
                <w:rFonts w:eastAsia="ArialNarrow"/>
                <w:szCs w:val="18"/>
              </w:rPr>
              <w:t>Izgrađeno: 0,14</w:t>
            </w:r>
          </w:p>
        </w:tc>
        <w:tc>
          <w:tcPr>
            <w:tcW w:w="687" w:type="pct"/>
            <w:gridSpan w:val="2"/>
            <w:tcBorders>
              <w:right w:val="single" w:sz="8" w:space="0" w:color="D2232A"/>
            </w:tcBorders>
            <w:hideMark/>
          </w:tcPr>
          <w:p w14:paraId="48BE9B36" w14:textId="77777777" w:rsidR="008878A0" w:rsidRPr="00517264" w:rsidRDefault="008878A0" w:rsidP="00517264">
            <w:pPr>
              <w:spacing w:after="0"/>
              <w:jc w:val="right"/>
              <w:rPr>
                <w:rFonts w:eastAsia="ArialNarrow"/>
                <w:szCs w:val="18"/>
              </w:rPr>
            </w:pPr>
            <w:r w:rsidRPr="00517264">
              <w:rPr>
                <w:rFonts w:eastAsia="ArialNarrow"/>
                <w:szCs w:val="18"/>
              </w:rPr>
              <w:t>T4</w:t>
            </w:r>
          </w:p>
        </w:tc>
      </w:tr>
      <w:tr w:rsidR="008878A0" w:rsidRPr="00517264" w14:paraId="7B6F1583"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shd w:val="clear" w:color="auto" w:fill="D2232A" w:themeFill="accent1"/>
            <w:hideMark/>
          </w:tcPr>
          <w:p w14:paraId="0AD8602F"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ZLATAR</w:t>
            </w:r>
          </w:p>
        </w:tc>
        <w:tc>
          <w:tcPr>
            <w:tcW w:w="1800" w:type="pct"/>
            <w:gridSpan w:val="4"/>
            <w:shd w:val="clear" w:color="auto" w:fill="D2232A" w:themeFill="accent1"/>
            <w:hideMark/>
          </w:tcPr>
          <w:p w14:paraId="29EEADC3"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04" w:type="pct"/>
            <w:gridSpan w:val="3"/>
            <w:shd w:val="clear" w:color="auto" w:fill="D2232A" w:themeFill="accent1"/>
            <w:hideMark/>
          </w:tcPr>
          <w:p w14:paraId="448CDEA4"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687" w:type="pct"/>
            <w:gridSpan w:val="2"/>
            <w:tcBorders>
              <w:right w:val="single" w:sz="8" w:space="0" w:color="D2232A"/>
            </w:tcBorders>
            <w:shd w:val="clear" w:color="auto" w:fill="D2232A" w:themeFill="accent1"/>
            <w:hideMark/>
          </w:tcPr>
          <w:p w14:paraId="6B461A62"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1EC63D86"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6F9942CA" w14:textId="77777777" w:rsidR="008878A0" w:rsidRPr="00517264" w:rsidRDefault="008878A0" w:rsidP="00517264">
            <w:pPr>
              <w:spacing w:after="0"/>
              <w:jc w:val="left"/>
              <w:rPr>
                <w:rFonts w:eastAsia="ArialNarrow"/>
                <w:color w:val="auto"/>
                <w:szCs w:val="18"/>
              </w:rPr>
            </w:pPr>
            <w:r w:rsidRPr="00517264">
              <w:rPr>
                <w:rFonts w:eastAsia="ArialNarrow"/>
                <w:szCs w:val="18"/>
              </w:rPr>
              <w:t>//</w:t>
            </w:r>
          </w:p>
        </w:tc>
        <w:tc>
          <w:tcPr>
            <w:tcW w:w="1800" w:type="pct"/>
            <w:gridSpan w:val="4"/>
            <w:hideMark/>
          </w:tcPr>
          <w:p w14:paraId="65A4377E" w14:textId="77777777" w:rsidR="008878A0" w:rsidRPr="00517264" w:rsidRDefault="008878A0" w:rsidP="00517264">
            <w:pPr>
              <w:spacing w:after="0"/>
              <w:jc w:val="right"/>
              <w:rPr>
                <w:rFonts w:eastAsia="ArialNarrow"/>
                <w:szCs w:val="18"/>
              </w:rPr>
            </w:pPr>
            <w:r w:rsidRPr="00517264">
              <w:rPr>
                <w:rFonts w:eastAsia="ArialNarrow"/>
                <w:szCs w:val="18"/>
              </w:rPr>
              <w:t>//</w:t>
            </w:r>
          </w:p>
        </w:tc>
        <w:tc>
          <w:tcPr>
            <w:tcW w:w="1204" w:type="pct"/>
            <w:gridSpan w:val="3"/>
            <w:hideMark/>
          </w:tcPr>
          <w:p w14:paraId="67F1BD34" w14:textId="77777777" w:rsidR="008878A0" w:rsidRPr="00517264" w:rsidRDefault="008878A0" w:rsidP="00517264">
            <w:pPr>
              <w:spacing w:after="0"/>
              <w:jc w:val="right"/>
              <w:rPr>
                <w:rFonts w:eastAsia="ArialNarrow"/>
                <w:szCs w:val="18"/>
              </w:rPr>
            </w:pPr>
            <w:r w:rsidRPr="00517264">
              <w:rPr>
                <w:rFonts w:eastAsia="ArialNarrow"/>
                <w:szCs w:val="18"/>
              </w:rPr>
              <w:t>//</w:t>
            </w:r>
          </w:p>
        </w:tc>
        <w:tc>
          <w:tcPr>
            <w:tcW w:w="687" w:type="pct"/>
            <w:gridSpan w:val="2"/>
            <w:tcBorders>
              <w:right w:val="single" w:sz="8" w:space="0" w:color="D2232A"/>
            </w:tcBorders>
            <w:hideMark/>
          </w:tcPr>
          <w:p w14:paraId="3FF46B54" w14:textId="77777777" w:rsidR="008878A0" w:rsidRPr="00517264" w:rsidRDefault="008878A0" w:rsidP="00517264">
            <w:pPr>
              <w:spacing w:after="0"/>
              <w:jc w:val="right"/>
              <w:rPr>
                <w:rFonts w:eastAsia="ArialNarrow"/>
                <w:szCs w:val="18"/>
              </w:rPr>
            </w:pPr>
            <w:r w:rsidRPr="00517264">
              <w:rPr>
                <w:rFonts w:eastAsia="ArialNarrow"/>
                <w:szCs w:val="18"/>
              </w:rPr>
              <w:t>//</w:t>
            </w:r>
          </w:p>
        </w:tc>
      </w:tr>
      <w:tr w:rsidR="008878A0" w:rsidRPr="00517264" w14:paraId="39020C98"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shd w:val="clear" w:color="auto" w:fill="D2232A" w:themeFill="accent1"/>
            <w:hideMark/>
          </w:tcPr>
          <w:p w14:paraId="36330683"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ZLATAR BISTRICA</w:t>
            </w:r>
          </w:p>
        </w:tc>
        <w:tc>
          <w:tcPr>
            <w:tcW w:w="1800" w:type="pct"/>
            <w:gridSpan w:val="4"/>
            <w:shd w:val="clear" w:color="auto" w:fill="D2232A" w:themeFill="accent1"/>
            <w:hideMark/>
          </w:tcPr>
          <w:p w14:paraId="5E8D9858"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04" w:type="pct"/>
            <w:gridSpan w:val="3"/>
            <w:shd w:val="clear" w:color="auto" w:fill="D2232A" w:themeFill="accent1"/>
            <w:hideMark/>
          </w:tcPr>
          <w:p w14:paraId="791A501E"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687" w:type="pct"/>
            <w:gridSpan w:val="2"/>
            <w:tcBorders>
              <w:right w:val="single" w:sz="8" w:space="0" w:color="D2232A"/>
            </w:tcBorders>
            <w:shd w:val="clear" w:color="auto" w:fill="D2232A" w:themeFill="accent1"/>
            <w:hideMark/>
          </w:tcPr>
          <w:p w14:paraId="01807B2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339D8A80"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hideMark/>
          </w:tcPr>
          <w:p w14:paraId="1EA9F33F" w14:textId="77777777" w:rsidR="008878A0" w:rsidRPr="00517264" w:rsidRDefault="008878A0" w:rsidP="00517264">
            <w:pPr>
              <w:spacing w:after="0"/>
              <w:jc w:val="left"/>
              <w:rPr>
                <w:rFonts w:eastAsia="ArialNarrow"/>
                <w:color w:val="auto"/>
                <w:szCs w:val="18"/>
              </w:rPr>
            </w:pPr>
            <w:r w:rsidRPr="00517264">
              <w:rPr>
                <w:rFonts w:eastAsia="ArialNarrow"/>
                <w:szCs w:val="18"/>
              </w:rPr>
              <w:t>Sport i rekreacija – golf kod dvorca Poznanovec</w:t>
            </w:r>
          </w:p>
        </w:tc>
        <w:tc>
          <w:tcPr>
            <w:tcW w:w="1800" w:type="pct"/>
            <w:gridSpan w:val="4"/>
            <w:hideMark/>
          </w:tcPr>
          <w:p w14:paraId="78E57686" w14:textId="77777777" w:rsidR="008878A0" w:rsidRPr="00517264" w:rsidRDefault="008878A0" w:rsidP="00517264">
            <w:pPr>
              <w:spacing w:after="0"/>
              <w:jc w:val="right"/>
              <w:rPr>
                <w:rFonts w:eastAsia="ArialNarrow"/>
                <w:szCs w:val="18"/>
              </w:rPr>
            </w:pPr>
            <w:r w:rsidRPr="00517264">
              <w:rPr>
                <w:rFonts w:eastAsia="ArialNarrow"/>
                <w:szCs w:val="18"/>
              </w:rPr>
              <w:t>Zlatar Bistrica (Lovrečan)</w:t>
            </w:r>
          </w:p>
        </w:tc>
        <w:tc>
          <w:tcPr>
            <w:tcW w:w="1204" w:type="pct"/>
            <w:gridSpan w:val="3"/>
            <w:hideMark/>
          </w:tcPr>
          <w:p w14:paraId="1600ED31" w14:textId="77777777" w:rsidR="008878A0" w:rsidRPr="00517264" w:rsidRDefault="008878A0" w:rsidP="00517264">
            <w:pPr>
              <w:spacing w:after="0"/>
              <w:jc w:val="right"/>
              <w:rPr>
                <w:rFonts w:eastAsia="ArialNarrow"/>
                <w:szCs w:val="18"/>
              </w:rPr>
            </w:pPr>
            <w:r w:rsidRPr="00517264">
              <w:rPr>
                <w:rFonts w:eastAsia="ArialNarrow"/>
                <w:szCs w:val="18"/>
              </w:rPr>
              <w:t>29,34</w:t>
            </w:r>
          </w:p>
        </w:tc>
        <w:tc>
          <w:tcPr>
            <w:tcW w:w="687" w:type="pct"/>
            <w:gridSpan w:val="2"/>
            <w:tcBorders>
              <w:right w:val="single" w:sz="8" w:space="0" w:color="D2232A"/>
            </w:tcBorders>
            <w:hideMark/>
          </w:tcPr>
          <w:p w14:paraId="3C9823AD" w14:textId="77777777" w:rsidR="008878A0" w:rsidRPr="00517264" w:rsidRDefault="008878A0" w:rsidP="00517264">
            <w:pPr>
              <w:spacing w:after="0"/>
              <w:jc w:val="right"/>
              <w:rPr>
                <w:rFonts w:eastAsia="ArialNarrow"/>
                <w:szCs w:val="18"/>
              </w:rPr>
            </w:pPr>
            <w:r w:rsidRPr="00517264">
              <w:rPr>
                <w:rFonts w:eastAsia="ArialNarrow"/>
                <w:szCs w:val="18"/>
              </w:rPr>
              <w:t>R1</w:t>
            </w:r>
          </w:p>
        </w:tc>
      </w:tr>
      <w:tr w:rsidR="008878A0" w:rsidRPr="00517264" w14:paraId="48654D7B"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tcBorders>
            <w:shd w:val="clear" w:color="auto" w:fill="D2232A" w:themeFill="accent1"/>
            <w:hideMark/>
          </w:tcPr>
          <w:p w14:paraId="3DD7247F" w14:textId="77777777" w:rsidR="008878A0" w:rsidRPr="00517264" w:rsidRDefault="008878A0" w:rsidP="00517264">
            <w:pPr>
              <w:spacing w:after="0"/>
              <w:jc w:val="left"/>
              <w:rPr>
                <w:rFonts w:eastAsia="ArialNarrow"/>
                <w:color w:val="FFFFFF" w:themeColor="background1"/>
                <w:szCs w:val="18"/>
              </w:rPr>
            </w:pPr>
            <w:r w:rsidRPr="00517264">
              <w:rPr>
                <w:rFonts w:eastAsia="ArialNarrow"/>
                <w:color w:val="FFFFFF" w:themeColor="background1"/>
                <w:szCs w:val="18"/>
              </w:rPr>
              <w:t>OROSLAVJE</w:t>
            </w:r>
          </w:p>
        </w:tc>
        <w:tc>
          <w:tcPr>
            <w:tcW w:w="1800" w:type="pct"/>
            <w:gridSpan w:val="4"/>
            <w:shd w:val="clear" w:color="auto" w:fill="D2232A" w:themeFill="accent1"/>
            <w:hideMark/>
          </w:tcPr>
          <w:p w14:paraId="019FE75E"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1204" w:type="pct"/>
            <w:gridSpan w:val="3"/>
            <w:shd w:val="clear" w:color="auto" w:fill="D2232A" w:themeFill="accent1"/>
            <w:hideMark/>
          </w:tcPr>
          <w:p w14:paraId="6E7BC2B5"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c>
          <w:tcPr>
            <w:tcW w:w="687" w:type="pct"/>
            <w:gridSpan w:val="2"/>
            <w:tcBorders>
              <w:right w:val="single" w:sz="8" w:space="0" w:color="D2232A"/>
            </w:tcBorders>
            <w:shd w:val="clear" w:color="auto" w:fill="D2232A" w:themeFill="accent1"/>
            <w:hideMark/>
          </w:tcPr>
          <w:p w14:paraId="1CE9977D" w14:textId="77777777" w:rsidR="008878A0" w:rsidRPr="00517264" w:rsidRDefault="008878A0" w:rsidP="00517264">
            <w:pPr>
              <w:spacing w:after="0"/>
              <w:jc w:val="right"/>
              <w:rPr>
                <w:rFonts w:eastAsia="ArialNarrow"/>
                <w:color w:val="FFFFFF" w:themeColor="background1"/>
                <w:szCs w:val="18"/>
              </w:rPr>
            </w:pPr>
            <w:r w:rsidRPr="00517264">
              <w:rPr>
                <w:rFonts w:ascii="Calibri" w:eastAsia="ArialNarrow" w:hAnsi="Calibri" w:cs="Calibri"/>
                <w:color w:val="FFFFFF" w:themeColor="background1"/>
                <w:szCs w:val="18"/>
              </w:rPr>
              <w:t> </w:t>
            </w:r>
          </w:p>
        </w:tc>
      </w:tr>
      <w:tr w:rsidR="008878A0" w:rsidRPr="00517264" w14:paraId="2221058F" w14:textId="77777777" w:rsidTr="00517264">
        <w:tblPrEx>
          <w:tblBorders>
            <w:left w:val="none" w:sz="0" w:space="0" w:color="auto"/>
            <w:right w:val="none" w:sz="0" w:space="0" w:color="auto"/>
          </w:tblBorders>
        </w:tblPrEx>
        <w:trPr>
          <w:trHeight w:val="227"/>
        </w:trPr>
        <w:tc>
          <w:tcPr>
            <w:tcW w:w="1309" w:type="pct"/>
            <w:gridSpan w:val="3"/>
            <w:tcBorders>
              <w:left w:val="single" w:sz="8" w:space="0" w:color="D2232A"/>
              <w:bottom w:val="nil"/>
            </w:tcBorders>
            <w:hideMark/>
          </w:tcPr>
          <w:p w14:paraId="715A54ED" w14:textId="77777777" w:rsidR="008878A0" w:rsidRPr="00517264" w:rsidRDefault="008878A0" w:rsidP="00517264">
            <w:pPr>
              <w:spacing w:after="0"/>
              <w:jc w:val="left"/>
              <w:rPr>
                <w:rFonts w:eastAsia="ArialNarrow"/>
                <w:color w:val="auto"/>
                <w:szCs w:val="18"/>
              </w:rPr>
            </w:pPr>
            <w:r w:rsidRPr="00517264">
              <w:rPr>
                <w:rFonts w:eastAsia="ArialNarrow"/>
                <w:szCs w:val="18"/>
              </w:rPr>
              <w:t>//</w:t>
            </w:r>
          </w:p>
        </w:tc>
        <w:tc>
          <w:tcPr>
            <w:tcW w:w="1800" w:type="pct"/>
            <w:gridSpan w:val="4"/>
            <w:tcBorders>
              <w:bottom w:val="nil"/>
            </w:tcBorders>
            <w:hideMark/>
          </w:tcPr>
          <w:p w14:paraId="317901DB" w14:textId="77777777" w:rsidR="008878A0" w:rsidRPr="00517264" w:rsidRDefault="008878A0" w:rsidP="00517264">
            <w:pPr>
              <w:spacing w:after="0"/>
              <w:jc w:val="right"/>
              <w:rPr>
                <w:rFonts w:eastAsia="ArialNarrow"/>
                <w:szCs w:val="18"/>
              </w:rPr>
            </w:pPr>
            <w:r w:rsidRPr="00517264">
              <w:rPr>
                <w:rFonts w:eastAsia="ArialNarrow"/>
                <w:szCs w:val="18"/>
              </w:rPr>
              <w:t>//</w:t>
            </w:r>
          </w:p>
        </w:tc>
        <w:tc>
          <w:tcPr>
            <w:tcW w:w="1204" w:type="pct"/>
            <w:gridSpan w:val="3"/>
            <w:tcBorders>
              <w:bottom w:val="nil"/>
            </w:tcBorders>
            <w:hideMark/>
          </w:tcPr>
          <w:p w14:paraId="0A490ED8" w14:textId="77777777" w:rsidR="008878A0" w:rsidRPr="00517264" w:rsidRDefault="008878A0" w:rsidP="00517264">
            <w:pPr>
              <w:spacing w:after="0"/>
              <w:jc w:val="right"/>
              <w:rPr>
                <w:rFonts w:eastAsia="ArialNarrow"/>
                <w:szCs w:val="18"/>
              </w:rPr>
            </w:pPr>
            <w:r w:rsidRPr="00517264">
              <w:rPr>
                <w:rFonts w:eastAsia="ArialNarrow"/>
                <w:szCs w:val="18"/>
              </w:rPr>
              <w:t>//</w:t>
            </w:r>
          </w:p>
        </w:tc>
        <w:tc>
          <w:tcPr>
            <w:tcW w:w="687" w:type="pct"/>
            <w:gridSpan w:val="2"/>
            <w:tcBorders>
              <w:bottom w:val="nil"/>
              <w:right w:val="single" w:sz="8" w:space="0" w:color="D2232A"/>
            </w:tcBorders>
            <w:hideMark/>
          </w:tcPr>
          <w:p w14:paraId="2FCB379B" w14:textId="77777777" w:rsidR="008878A0" w:rsidRPr="00517264" w:rsidRDefault="008878A0" w:rsidP="00517264">
            <w:pPr>
              <w:spacing w:after="0"/>
              <w:jc w:val="right"/>
              <w:rPr>
                <w:rFonts w:eastAsia="ArialNarrow"/>
                <w:szCs w:val="18"/>
              </w:rPr>
            </w:pPr>
            <w:r w:rsidRPr="00517264">
              <w:rPr>
                <w:rFonts w:eastAsia="ArialNarrow"/>
                <w:szCs w:val="18"/>
              </w:rPr>
              <w:t>//</w:t>
            </w:r>
          </w:p>
        </w:tc>
      </w:tr>
    </w:tbl>
    <w:p w14:paraId="721D8DB4" w14:textId="50F94BA5" w:rsidR="008878A0" w:rsidRPr="007D3318" w:rsidRDefault="008878A0" w:rsidP="007D3318">
      <w:pPr>
        <w:autoSpaceDE w:val="0"/>
        <w:autoSpaceDN w:val="0"/>
        <w:adjustRightInd w:val="0"/>
        <w:spacing w:after="0" w:line="240" w:lineRule="auto"/>
        <w:rPr>
          <w:rFonts w:eastAsia="ArialNarrow" w:cstheme="minorHAnsi"/>
          <w:i/>
          <w:color w:val="ABABAB" w:themeColor="text1" w:themeTint="A6"/>
          <w:sz w:val="16"/>
          <w:szCs w:val="16"/>
        </w:rPr>
      </w:pPr>
      <w:r w:rsidRPr="007D3318">
        <w:rPr>
          <w:rFonts w:eastAsia="ArialNarrow" w:cstheme="minorHAnsi"/>
          <w:i/>
          <w:color w:val="ABABAB" w:themeColor="text1" w:themeTint="A6"/>
          <w:sz w:val="16"/>
          <w:szCs w:val="16"/>
        </w:rPr>
        <w:t>Izvor: Gradovi i općine Krapinsko-zagorske županije, 2019.</w:t>
      </w:r>
    </w:p>
    <w:p w14:paraId="06D7C97E" w14:textId="1F59A45E" w:rsidR="0093387B" w:rsidRDefault="0093387B" w:rsidP="00855D8D">
      <w:pPr>
        <w:pStyle w:val="Izvor"/>
      </w:pPr>
    </w:p>
    <w:p w14:paraId="2C5C8FC4" w14:textId="373784F3" w:rsidR="0093387B" w:rsidRDefault="007D3318" w:rsidP="0052192B">
      <w:pPr>
        <w:pStyle w:val="Naslov2"/>
      </w:pPr>
      <w:bookmarkStart w:id="188" w:name="_Toc85181354"/>
      <w:r>
        <w:t>1</w:t>
      </w:r>
      <w:r w:rsidR="00B601EE">
        <w:t>1</w:t>
      </w:r>
      <w:r w:rsidR="0093387B">
        <w:t>.12. Učinci epidemioloških mjera na turističku djelatnost</w:t>
      </w:r>
      <w:bookmarkEnd w:id="188"/>
    </w:p>
    <w:p w14:paraId="58ADE51B" w14:textId="77777777" w:rsidR="0093387B" w:rsidRDefault="0093387B" w:rsidP="0093387B"/>
    <w:p w14:paraId="02628814" w14:textId="1B1802B5" w:rsidR="003C5680" w:rsidRPr="003C5680" w:rsidRDefault="00FD5BD1" w:rsidP="003C5680">
      <w:pPr>
        <w:rPr>
          <w:color w:val="auto"/>
        </w:rPr>
      </w:pPr>
      <w:r w:rsidRPr="0037225E">
        <w:rPr>
          <w:color w:val="auto"/>
        </w:rPr>
        <w:t>S obzirom na veličinu prostora na koji se</w:t>
      </w:r>
      <w:r w:rsidR="0037225E" w:rsidRPr="0037225E">
        <w:rPr>
          <w:rFonts w:ascii="Arial" w:hAnsi="Arial" w:cs="Arial"/>
          <w:color w:val="auto"/>
          <w:shd w:val="clear" w:color="auto" w:fill="FFFFFF"/>
        </w:rPr>
        <w:t xml:space="preserve"> </w:t>
      </w:r>
      <w:r w:rsidR="0037225E" w:rsidRPr="0037225E">
        <w:rPr>
          <w:color w:val="auto"/>
        </w:rPr>
        <w:t>bolest uzrokovana koronavirusom (COVID-19)</w:t>
      </w:r>
      <w:r w:rsidRPr="0037225E">
        <w:rPr>
          <w:color w:val="auto"/>
        </w:rPr>
        <w:t xml:space="preserve"> </w:t>
      </w:r>
      <w:r w:rsidR="0037225E" w:rsidRPr="0037225E">
        <w:rPr>
          <w:color w:val="auto"/>
        </w:rPr>
        <w:t xml:space="preserve">proširila, </w:t>
      </w:r>
      <w:r w:rsidRPr="0037225E">
        <w:rPr>
          <w:color w:val="auto"/>
        </w:rPr>
        <w:t>a proširi</w:t>
      </w:r>
      <w:r w:rsidR="0037225E" w:rsidRPr="0037225E">
        <w:rPr>
          <w:color w:val="auto"/>
        </w:rPr>
        <w:t>la</w:t>
      </w:r>
      <w:r w:rsidRPr="0037225E">
        <w:rPr>
          <w:color w:val="auto"/>
        </w:rPr>
        <w:t xml:space="preserve"> se gotovo na cijeli svijet, riječ je o </w:t>
      </w:r>
      <w:r w:rsidR="003C5680">
        <w:rPr>
          <w:color w:val="auto"/>
        </w:rPr>
        <w:t>globalnoj pandemiji</w:t>
      </w:r>
      <w:r w:rsidRPr="0037225E">
        <w:rPr>
          <w:color w:val="auto"/>
        </w:rPr>
        <w:t>.</w:t>
      </w:r>
      <w:r w:rsidR="0037225E" w:rsidRPr="0037225E">
        <w:rPr>
          <w:color w:val="auto"/>
        </w:rPr>
        <w:t xml:space="preserve"> Jedan od</w:t>
      </w:r>
      <w:r w:rsidRPr="0037225E">
        <w:rPr>
          <w:color w:val="auto"/>
        </w:rPr>
        <w:t xml:space="preserve"> uzročnik</w:t>
      </w:r>
      <w:r w:rsidR="0037225E" w:rsidRPr="0037225E">
        <w:rPr>
          <w:color w:val="auto"/>
        </w:rPr>
        <w:t>a</w:t>
      </w:r>
      <w:r w:rsidRPr="0037225E">
        <w:rPr>
          <w:color w:val="auto"/>
        </w:rPr>
        <w:t xml:space="preserve"> tako brzog širenja koronavirusa u svijetu</w:t>
      </w:r>
      <w:r w:rsidR="00900863">
        <w:rPr>
          <w:color w:val="auto"/>
        </w:rPr>
        <w:t xml:space="preserve"> i</w:t>
      </w:r>
      <w:r w:rsidRPr="0037225E">
        <w:rPr>
          <w:color w:val="auto"/>
        </w:rPr>
        <w:t xml:space="preserve"> Europi, jest mobilnost stanovništva, što je pak s druge strane imperativ kad je riječ o turističkim kretanjima. Stoga se postavlja pitanje što će biti s hrvatskim, a time i </w:t>
      </w:r>
      <w:r w:rsidR="003C4664" w:rsidRPr="0037225E">
        <w:rPr>
          <w:color w:val="auto"/>
        </w:rPr>
        <w:t>kontinentalnim</w:t>
      </w:r>
      <w:r w:rsidRPr="0037225E">
        <w:rPr>
          <w:color w:val="auto"/>
        </w:rPr>
        <w:t xml:space="preserve"> turizmom u bliskoj budućnosti. Davanje prognoza u trenutku dok su još uvijek na snazi epidemiološke mjere, a gospodarstvo se tek budi iz sveopćeg „lock-downa“, vrlo je nezahvalno, s obzirom na još uvijek brojne nepoznanice vezane uz širenje koronavirusa i pr</w:t>
      </w:r>
      <w:r w:rsidR="003C4664" w:rsidRPr="0037225E">
        <w:rPr>
          <w:color w:val="auto"/>
        </w:rPr>
        <w:t xml:space="preserve">imjene </w:t>
      </w:r>
      <w:r w:rsidRPr="0037225E">
        <w:rPr>
          <w:color w:val="auto"/>
        </w:rPr>
        <w:t>cjepiva</w:t>
      </w:r>
      <w:r w:rsidR="003C4664" w:rsidRPr="0037225E">
        <w:rPr>
          <w:color w:val="auto"/>
        </w:rPr>
        <w:t>.</w:t>
      </w:r>
      <w:r w:rsidR="00AC5B3A" w:rsidRPr="00AC5B3A">
        <w:rPr>
          <w:color w:val="auto"/>
        </w:rPr>
        <w:t xml:space="preserve"> </w:t>
      </w:r>
      <w:r w:rsidR="00AC5B3A">
        <w:rPr>
          <w:color w:val="auto"/>
        </w:rPr>
        <w:t>P</w:t>
      </w:r>
      <w:r w:rsidR="00900863">
        <w:rPr>
          <w:color w:val="auto"/>
        </w:rPr>
        <w:t xml:space="preserve">andemija koronavirusa izazvala je ogromne šokove, krizu zdravstvenog sustava te zaustavljanje gospodarskih aktivnosti. </w:t>
      </w:r>
      <w:r w:rsidR="00AC5B3A" w:rsidRPr="00900863">
        <w:rPr>
          <w:color w:val="auto"/>
        </w:rPr>
        <w:t>To može imati za direktnu posljedicu da, čak i kad mobilnost stanovništva bude neograničena, mnogi neće biti u mogućnosti poduzimati turistička putovanja i to zbog straha od mogućeg ponovnog širenja virusa ili pogoršanja svog imovinskog stanja te će biti primarno orijentirani na putovanje po vlastitoj državi ili eventualno najbližem susjedstvu</w:t>
      </w:r>
      <w:r w:rsidR="00900863">
        <w:rPr>
          <w:color w:val="auto"/>
        </w:rPr>
        <w:t xml:space="preserve">. </w:t>
      </w:r>
      <w:r w:rsidR="00900863" w:rsidRPr="00900863">
        <w:rPr>
          <w:color w:val="auto"/>
        </w:rPr>
        <w:t>Radi olakšanog slobodnog kretanja unutar EU-a uvedena je EU digitalna COVID potvrda. EU digitalnom COVID potvrdom dokazuje se preboljenje i negativan rezultat testiranja, što je jedan od čestih zahtjeva zbog uvedenih javnozdravstvenih ograničenja pri putovanjima odnosno prelascima granice.</w:t>
      </w:r>
      <w:r w:rsidR="00900863">
        <w:rPr>
          <w:color w:val="auto"/>
        </w:rPr>
        <w:t xml:space="preserve"> </w:t>
      </w:r>
      <w:r w:rsidRPr="008253E7">
        <w:rPr>
          <w:color w:val="auto"/>
        </w:rPr>
        <w:t>Popuštanje epidemioloških mjera u Hrvatskoj odvija</w:t>
      </w:r>
      <w:r w:rsidR="008253E7" w:rsidRPr="008253E7">
        <w:rPr>
          <w:color w:val="auto"/>
        </w:rPr>
        <w:t xml:space="preserve"> </w:t>
      </w:r>
      <w:r w:rsidRPr="008253E7">
        <w:rPr>
          <w:color w:val="auto"/>
        </w:rPr>
        <w:t>se postepeno</w:t>
      </w:r>
      <w:r w:rsidR="003C5680">
        <w:rPr>
          <w:color w:val="auto"/>
        </w:rPr>
        <w:t xml:space="preserve"> ovisno o </w:t>
      </w:r>
      <w:r w:rsidR="000C6E77">
        <w:rPr>
          <w:color w:val="auto"/>
        </w:rPr>
        <w:t xml:space="preserve">trenutnoj </w:t>
      </w:r>
      <w:r w:rsidR="003C5680">
        <w:rPr>
          <w:color w:val="auto"/>
        </w:rPr>
        <w:t>epidemiološkoj situaciji</w:t>
      </w:r>
      <w:r w:rsidR="008253E7" w:rsidRPr="008253E7">
        <w:rPr>
          <w:color w:val="auto"/>
        </w:rPr>
        <w:t>.</w:t>
      </w:r>
      <w:r w:rsidR="00AC5B3A">
        <w:rPr>
          <w:color w:val="auto"/>
        </w:rPr>
        <w:t xml:space="preserve"> </w:t>
      </w:r>
    </w:p>
    <w:p w14:paraId="00B4EB0B" w14:textId="082F173A" w:rsidR="00104F77" w:rsidRDefault="00104F77" w:rsidP="00FD5BD1">
      <w:pPr>
        <w:rPr>
          <w:color w:val="auto"/>
        </w:rPr>
      </w:pPr>
      <w:r w:rsidRPr="00104F77">
        <w:rPr>
          <w:color w:val="auto"/>
        </w:rPr>
        <w:t>Nakon izvrsne 2019. godine u kojoj je u Krapinsko-zagorskoj županiji ostvareno 176.610 dolazaka i 373.149 noćenja te ostvaren rast od 10,97% ili 17.460 dolazaka više odnosno 7,09% ili 24.700 noćenja više, u Zagorju 2020. godine dolazi do pada uslijed pandemije COVID - 19.</w:t>
      </w:r>
    </w:p>
    <w:p w14:paraId="776E22BB" w14:textId="4CE14822" w:rsidR="00236D04" w:rsidRPr="000C6E77" w:rsidRDefault="00236D04" w:rsidP="000C6E77">
      <w:pPr>
        <w:pStyle w:val="Opisslike"/>
      </w:pPr>
      <w:r w:rsidRPr="000C6E77">
        <w:lastRenderedPageBreak/>
        <w:t>Tablica 1</w:t>
      </w:r>
      <w:r w:rsidR="00A7185B">
        <w:t>14</w:t>
      </w:r>
      <w:r w:rsidRPr="000C6E77">
        <w:t xml:space="preserve">. Dolasci i noćenja turista u Krapinsko-zagorskoj županiji (komercijalni smještaj) </w:t>
      </w:r>
    </w:p>
    <w:tbl>
      <w:tblPr>
        <w:tblStyle w:val="Svijetlatablicareetke1-isticanje5"/>
        <w:tblpPr w:leftFromText="180" w:rightFromText="180" w:vertAnchor="text" w:tblpY="1"/>
        <w:tblW w:w="9312" w:type="dxa"/>
        <w:tblLook w:val="04A0" w:firstRow="1" w:lastRow="0" w:firstColumn="1" w:lastColumn="0" w:noHBand="0" w:noVBand="1"/>
      </w:tblPr>
      <w:tblGrid>
        <w:gridCol w:w="1563"/>
        <w:gridCol w:w="1291"/>
        <w:gridCol w:w="1292"/>
        <w:gridCol w:w="1291"/>
        <w:gridCol w:w="1292"/>
        <w:gridCol w:w="1291"/>
        <w:gridCol w:w="1292"/>
      </w:tblGrid>
      <w:tr w:rsidR="00236D04" w:rsidRPr="00236D04" w14:paraId="29AE1EFD" w14:textId="77777777" w:rsidTr="000C6E77">
        <w:trPr>
          <w:cnfStyle w:val="100000000000" w:firstRow="1" w:lastRow="0" w:firstColumn="0" w:lastColumn="0" w:oddVBand="0" w:evenVBand="0" w:oddHBand="0"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563" w:type="dxa"/>
            <w:vMerge w:val="restart"/>
            <w:shd w:val="clear" w:color="auto" w:fill="C00000"/>
            <w:vAlign w:val="center"/>
          </w:tcPr>
          <w:p w14:paraId="5737606F" w14:textId="77777777" w:rsidR="00236D04" w:rsidRPr="00236D04" w:rsidRDefault="00236D04" w:rsidP="00236D04">
            <w:pPr>
              <w:spacing w:after="120" w:line="264" w:lineRule="auto"/>
              <w:rPr>
                <w:color w:val="auto"/>
              </w:rPr>
            </w:pPr>
            <w:r w:rsidRPr="00236D04">
              <w:rPr>
                <w:color w:val="auto"/>
              </w:rPr>
              <w:t>Mjesec</w:t>
            </w:r>
          </w:p>
        </w:tc>
        <w:tc>
          <w:tcPr>
            <w:tcW w:w="3874" w:type="dxa"/>
            <w:gridSpan w:val="3"/>
            <w:shd w:val="clear" w:color="auto" w:fill="C00000"/>
          </w:tcPr>
          <w:p w14:paraId="027B6FF3" w14:textId="77777777" w:rsidR="00236D04" w:rsidRPr="00236D04" w:rsidRDefault="00236D04" w:rsidP="00236D04">
            <w:pPr>
              <w:spacing w:after="120" w:line="264" w:lineRule="auto"/>
              <w:cnfStyle w:val="100000000000" w:firstRow="1" w:lastRow="0" w:firstColumn="0" w:lastColumn="0" w:oddVBand="0" w:evenVBand="0" w:oddHBand="0" w:evenHBand="0" w:firstRowFirstColumn="0" w:firstRowLastColumn="0" w:lastRowFirstColumn="0" w:lastRowLastColumn="0"/>
              <w:rPr>
                <w:color w:val="auto"/>
              </w:rPr>
            </w:pPr>
            <w:r w:rsidRPr="00236D04">
              <w:rPr>
                <w:color w:val="auto"/>
              </w:rPr>
              <w:t>Dolasci</w:t>
            </w:r>
          </w:p>
        </w:tc>
        <w:tc>
          <w:tcPr>
            <w:tcW w:w="3875" w:type="dxa"/>
            <w:gridSpan w:val="3"/>
            <w:shd w:val="clear" w:color="auto" w:fill="C00000"/>
          </w:tcPr>
          <w:p w14:paraId="548266C9" w14:textId="77777777" w:rsidR="00236D04" w:rsidRPr="00236D04" w:rsidRDefault="00236D04" w:rsidP="00236D04">
            <w:pPr>
              <w:spacing w:after="120" w:line="264" w:lineRule="auto"/>
              <w:cnfStyle w:val="100000000000" w:firstRow="1" w:lastRow="0" w:firstColumn="0" w:lastColumn="0" w:oddVBand="0" w:evenVBand="0" w:oddHBand="0" w:evenHBand="0" w:firstRowFirstColumn="0" w:firstRowLastColumn="0" w:lastRowFirstColumn="0" w:lastRowLastColumn="0"/>
              <w:rPr>
                <w:color w:val="auto"/>
              </w:rPr>
            </w:pPr>
            <w:r w:rsidRPr="00236D04">
              <w:rPr>
                <w:color w:val="auto"/>
              </w:rPr>
              <w:t>Noćenja</w:t>
            </w:r>
          </w:p>
        </w:tc>
      </w:tr>
      <w:tr w:rsidR="00236D04" w:rsidRPr="00236D04" w14:paraId="29681F14" w14:textId="77777777" w:rsidTr="000C6E77">
        <w:trPr>
          <w:trHeight w:val="289"/>
        </w:trPr>
        <w:tc>
          <w:tcPr>
            <w:cnfStyle w:val="001000000000" w:firstRow="0" w:lastRow="0" w:firstColumn="1" w:lastColumn="0" w:oddVBand="0" w:evenVBand="0" w:oddHBand="0" w:evenHBand="0" w:firstRowFirstColumn="0" w:firstRowLastColumn="0" w:lastRowFirstColumn="0" w:lastRowLastColumn="0"/>
            <w:tcW w:w="1563" w:type="dxa"/>
            <w:vMerge/>
            <w:shd w:val="clear" w:color="auto" w:fill="C00000"/>
          </w:tcPr>
          <w:p w14:paraId="17E7A4F5" w14:textId="77777777" w:rsidR="00236D04" w:rsidRPr="00236D04" w:rsidRDefault="00236D04" w:rsidP="00236D04">
            <w:pPr>
              <w:spacing w:after="120" w:line="264" w:lineRule="auto"/>
              <w:rPr>
                <w:color w:val="auto"/>
              </w:rPr>
            </w:pPr>
          </w:p>
        </w:tc>
        <w:tc>
          <w:tcPr>
            <w:tcW w:w="1291" w:type="dxa"/>
            <w:shd w:val="clear" w:color="auto" w:fill="C00000"/>
          </w:tcPr>
          <w:p w14:paraId="2CB004B3"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b/>
                <w:bCs/>
                <w:color w:val="auto"/>
              </w:rPr>
            </w:pPr>
            <w:r w:rsidRPr="00236D04">
              <w:rPr>
                <w:b/>
                <w:bCs/>
                <w:color w:val="auto"/>
              </w:rPr>
              <w:t>2019</w:t>
            </w:r>
          </w:p>
        </w:tc>
        <w:tc>
          <w:tcPr>
            <w:tcW w:w="1292" w:type="dxa"/>
            <w:shd w:val="clear" w:color="auto" w:fill="C00000"/>
          </w:tcPr>
          <w:p w14:paraId="77B11B9E"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b/>
                <w:bCs/>
                <w:color w:val="auto"/>
              </w:rPr>
            </w:pPr>
            <w:r w:rsidRPr="00236D04">
              <w:rPr>
                <w:b/>
                <w:bCs/>
                <w:color w:val="auto"/>
              </w:rPr>
              <w:t>2020</w:t>
            </w:r>
          </w:p>
        </w:tc>
        <w:tc>
          <w:tcPr>
            <w:tcW w:w="1291" w:type="dxa"/>
            <w:shd w:val="clear" w:color="auto" w:fill="C00000"/>
          </w:tcPr>
          <w:p w14:paraId="607D7F5F"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b/>
                <w:bCs/>
                <w:color w:val="auto"/>
              </w:rPr>
            </w:pPr>
            <w:r w:rsidRPr="00236D04">
              <w:rPr>
                <w:b/>
                <w:bCs/>
                <w:color w:val="auto"/>
              </w:rPr>
              <w:t>indeks</w:t>
            </w:r>
          </w:p>
        </w:tc>
        <w:tc>
          <w:tcPr>
            <w:tcW w:w="1292" w:type="dxa"/>
            <w:shd w:val="clear" w:color="auto" w:fill="C00000"/>
          </w:tcPr>
          <w:p w14:paraId="498C4CD5"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b/>
                <w:bCs/>
                <w:color w:val="auto"/>
              </w:rPr>
            </w:pPr>
            <w:r w:rsidRPr="00236D04">
              <w:rPr>
                <w:b/>
                <w:bCs/>
                <w:color w:val="auto"/>
              </w:rPr>
              <w:t>2019</w:t>
            </w:r>
          </w:p>
        </w:tc>
        <w:tc>
          <w:tcPr>
            <w:tcW w:w="1291" w:type="dxa"/>
            <w:shd w:val="clear" w:color="auto" w:fill="C00000"/>
          </w:tcPr>
          <w:p w14:paraId="266C61BF"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b/>
                <w:bCs/>
                <w:color w:val="auto"/>
              </w:rPr>
            </w:pPr>
            <w:r w:rsidRPr="00236D04">
              <w:rPr>
                <w:b/>
                <w:bCs/>
                <w:color w:val="auto"/>
              </w:rPr>
              <w:t>2020</w:t>
            </w:r>
          </w:p>
        </w:tc>
        <w:tc>
          <w:tcPr>
            <w:tcW w:w="1292" w:type="dxa"/>
            <w:shd w:val="clear" w:color="auto" w:fill="C00000"/>
          </w:tcPr>
          <w:p w14:paraId="26EE921D"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b/>
                <w:bCs/>
                <w:color w:val="auto"/>
              </w:rPr>
            </w:pPr>
            <w:r w:rsidRPr="00236D04">
              <w:rPr>
                <w:b/>
                <w:bCs/>
                <w:color w:val="auto"/>
              </w:rPr>
              <w:t>indeks</w:t>
            </w:r>
          </w:p>
        </w:tc>
      </w:tr>
      <w:tr w:rsidR="00236D04" w:rsidRPr="00236D04" w14:paraId="414D2BBD" w14:textId="77777777" w:rsidTr="000C6E77">
        <w:trPr>
          <w:trHeight w:val="289"/>
        </w:trPr>
        <w:tc>
          <w:tcPr>
            <w:cnfStyle w:val="001000000000" w:firstRow="0" w:lastRow="0" w:firstColumn="1" w:lastColumn="0" w:oddVBand="0" w:evenVBand="0" w:oddHBand="0" w:evenHBand="0" w:firstRowFirstColumn="0" w:firstRowLastColumn="0" w:lastRowFirstColumn="0" w:lastRowLastColumn="0"/>
            <w:tcW w:w="1563" w:type="dxa"/>
            <w:shd w:val="clear" w:color="auto" w:fill="CBCBCB" w:themeFill="text1" w:themeFillTint="66"/>
          </w:tcPr>
          <w:p w14:paraId="1A7D131E" w14:textId="77777777" w:rsidR="00236D04" w:rsidRPr="00236D04" w:rsidRDefault="00236D04" w:rsidP="00236D04">
            <w:pPr>
              <w:spacing w:after="120" w:line="264" w:lineRule="auto"/>
              <w:rPr>
                <w:color w:val="auto"/>
              </w:rPr>
            </w:pPr>
            <w:r w:rsidRPr="00236D04">
              <w:rPr>
                <w:color w:val="auto"/>
              </w:rPr>
              <w:t xml:space="preserve">Siječanj </w:t>
            </w:r>
          </w:p>
        </w:tc>
        <w:tc>
          <w:tcPr>
            <w:tcW w:w="1291" w:type="dxa"/>
            <w:shd w:val="clear" w:color="auto" w:fill="E5E5E5" w:themeFill="text1" w:themeFillTint="33"/>
          </w:tcPr>
          <w:p w14:paraId="4B531900"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12.487</w:t>
            </w:r>
          </w:p>
        </w:tc>
        <w:tc>
          <w:tcPr>
            <w:tcW w:w="1292" w:type="dxa"/>
            <w:shd w:val="clear" w:color="auto" w:fill="E5E5E5" w:themeFill="text1" w:themeFillTint="33"/>
          </w:tcPr>
          <w:p w14:paraId="4DF2EA31"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12.769</w:t>
            </w:r>
          </w:p>
        </w:tc>
        <w:tc>
          <w:tcPr>
            <w:tcW w:w="1291" w:type="dxa"/>
            <w:shd w:val="clear" w:color="auto" w:fill="E5E5E5" w:themeFill="text1" w:themeFillTint="33"/>
          </w:tcPr>
          <w:p w14:paraId="7B0F47CB"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102,26</w:t>
            </w:r>
          </w:p>
        </w:tc>
        <w:tc>
          <w:tcPr>
            <w:tcW w:w="1292" w:type="dxa"/>
            <w:shd w:val="clear" w:color="auto" w:fill="E5E5E5" w:themeFill="text1" w:themeFillTint="33"/>
          </w:tcPr>
          <w:p w14:paraId="14422977"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30.466</w:t>
            </w:r>
          </w:p>
        </w:tc>
        <w:tc>
          <w:tcPr>
            <w:tcW w:w="1291" w:type="dxa"/>
            <w:shd w:val="clear" w:color="auto" w:fill="E5E5E5" w:themeFill="text1" w:themeFillTint="33"/>
          </w:tcPr>
          <w:p w14:paraId="493D714D"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31.313</w:t>
            </w:r>
          </w:p>
        </w:tc>
        <w:tc>
          <w:tcPr>
            <w:tcW w:w="1292" w:type="dxa"/>
            <w:shd w:val="clear" w:color="auto" w:fill="E5E5E5" w:themeFill="text1" w:themeFillTint="33"/>
          </w:tcPr>
          <w:p w14:paraId="55308438"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102,78</w:t>
            </w:r>
          </w:p>
        </w:tc>
      </w:tr>
      <w:tr w:rsidR="00236D04" w:rsidRPr="00236D04" w14:paraId="1610C986" w14:textId="77777777" w:rsidTr="000C6E77">
        <w:trPr>
          <w:trHeight w:val="289"/>
        </w:trPr>
        <w:tc>
          <w:tcPr>
            <w:cnfStyle w:val="001000000000" w:firstRow="0" w:lastRow="0" w:firstColumn="1" w:lastColumn="0" w:oddVBand="0" w:evenVBand="0" w:oddHBand="0" w:evenHBand="0" w:firstRowFirstColumn="0" w:firstRowLastColumn="0" w:lastRowFirstColumn="0" w:lastRowLastColumn="0"/>
            <w:tcW w:w="1563" w:type="dxa"/>
            <w:shd w:val="clear" w:color="auto" w:fill="CBCBCB" w:themeFill="text1" w:themeFillTint="66"/>
          </w:tcPr>
          <w:p w14:paraId="4893D1DE" w14:textId="77777777" w:rsidR="00236D04" w:rsidRPr="00236D04" w:rsidRDefault="00236D04" w:rsidP="00236D04">
            <w:pPr>
              <w:spacing w:after="120" w:line="264" w:lineRule="auto"/>
              <w:rPr>
                <w:color w:val="auto"/>
              </w:rPr>
            </w:pPr>
            <w:r w:rsidRPr="00236D04">
              <w:rPr>
                <w:color w:val="auto"/>
              </w:rPr>
              <w:t>Veljača</w:t>
            </w:r>
          </w:p>
        </w:tc>
        <w:tc>
          <w:tcPr>
            <w:tcW w:w="1291" w:type="dxa"/>
            <w:shd w:val="clear" w:color="auto" w:fill="E5E5E5" w:themeFill="text1" w:themeFillTint="33"/>
          </w:tcPr>
          <w:p w14:paraId="69E7142D"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11.273</w:t>
            </w:r>
          </w:p>
        </w:tc>
        <w:tc>
          <w:tcPr>
            <w:tcW w:w="1292" w:type="dxa"/>
            <w:shd w:val="clear" w:color="auto" w:fill="E5E5E5" w:themeFill="text1" w:themeFillTint="33"/>
          </w:tcPr>
          <w:p w14:paraId="60FDFD14"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12.578</w:t>
            </w:r>
          </w:p>
        </w:tc>
        <w:tc>
          <w:tcPr>
            <w:tcW w:w="1291" w:type="dxa"/>
            <w:shd w:val="clear" w:color="auto" w:fill="E5E5E5" w:themeFill="text1" w:themeFillTint="33"/>
          </w:tcPr>
          <w:p w14:paraId="0AE2D657"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111,58</w:t>
            </w:r>
          </w:p>
        </w:tc>
        <w:tc>
          <w:tcPr>
            <w:tcW w:w="1292" w:type="dxa"/>
            <w:shd w:val="clear" w:color="auto" w:fill="E5E5E5" w:themeFill="text1" w:themeFillTint="33"/>
          </w:tcPr>
          <w:p w14:paraId="3B457490"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25.374</w:t>
            </w:r>
          </w:p>
        </w:tc>
        <w:tc>
          <w:tcPr>
            <w:tcW w:w="1291" w:type="dxa"/>
            <w:shd w:val="clear" w:color="auto" w:fill="E5E5E5" w:themeFill="text1" w:themeFillTint="33"/>
          </w:tcPr>
          <w:p w14:paraId="7295918D"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28.566</w:t>
            </w:r>
          </w:p>
        </w:tc>
        <w:tc>
          <w:tcPr>
            <w:tcW w:w="1292" w:type="dxa"/>
            <w:shd w:val="clear" w:color="auto" w:fill="E5E5E5" w:themeFill="text1" w:themeFillTint="33"/>
          </w:tcPr>
          <w:p w14:paraId="6EFDB4DF"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112,58</w:t>
            </w:r>
          </w:p>
        </w:tc>
      </w:tr>
      <w:tr w:rsidR="00236D04" w:rsidRPr="00236D04" w14:paraId="3495006C" w14:textId="77777777" w:rsidTr="000C6E77">
        <w:trPr>
          <w:trHeight w:val="289"/>
        </w:trPr>
        <w:tc>
          <w:tcPr>
            <w:cnfStyle w:val="001000000000" w:firstRow="0" w:lastRow="0" w:firstColumn="1" w:lastColumn="0" w:oddVBand="0" w:evenVBand="0" w:oddHBand="0" w:evenHBand="0" w:firstRowFirstColumn="0" w:firstRowLastColumn="0" w:lastRowFirstColumn="0" w:lastRowLastColumn="0"/>
            <w:tcW w:w="1563" w:type="dxa"/>
            <w:shd w:val="clear" w:color="auto" w:fill="CBCBCB" w:themeFill="text1" w:themeFillTint="66"/>
          </w:tcPr>
          <w:p w14:paraId="1D0FCC8F" w14:textId="77777777" w:rsidR="00236D04" w:rsidRPr="00236D04" w:rsidRDefault="00236D04" w:rsidP="00236D04">
            <w:pPr>
              <w:spacing w:after="120" w:line="264" w:lineRule="auto"/>
              <w:rPr>
                <w:color w:val="auto"/>
              </w:rPr>
            </w:pPr>
            <w:r w:rsidRPr="00236D04">
              <w:rPr>
                <w:color w:val="auto"/>
              </w:rPr>
              <w:t>Ožujak</w:t>
            </w:r>
          </w:p>
        </w:tc>
        <w:tc>
          <w:tcPr>
            <w:tcW w:w="1291" w:type="dxa"/>
            <w:shd w:val="clear" w:color="auto" w:fill="E5E5E5" w:themeFill="text1" w:themeFillTint="33"/>
          </w:tcPr>
          <w:p w14:paraId="02274A3E"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11.371</w:t>
            </w:r>
          </w:p>
        </w:tc>
        <w:tc>
          <w:tcPr>
            <w:tcW w:w="1292" w:type="dxa"/>
            <w:shd w:val="clear" w:color="auto" w:fill="E5E5E5" w:themeFill="text1" w:themeFillTint="33"/>
          </w:tcPr>
          <w:p w14:paraId="3857DA28"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3.372</w:t>
            </w:r>
          </w:p>
        </w:tc>
        <w:tc>
          <w:tcPr>
            <w:tcW w:w="1291" w:type="dxa"/>
            <w:shd w:val="clear" w:color="auto" w:fill="E5E5E5" w:themeFill="text1" w:themeFillTint="33"/>
          </w:tcPr>
          <w:p w14:paraId="1D58FBC4"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29,65</w:t>
            </w:r>
          </w:p>
        </w:tc>
        <w:tc>
          <w:tcPr>
            <w:tcW w:w="1292" w:type="dxa"/>
            <w:shd w:val="clear" w:color="auto" w:fill="E5E5E5" w:themeFill="text1" w:themeFillTint="33"/>
          </w:tcPr>
          <w:p w14:paraId="79BF4067"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23.704</w:t>
            </w:r>
          </w:p>
        </w:tc>
        <w:tc>
          <w:tcPr>
            <w:tcW w:w="1291" w:type="dxa"/>
            <w:shd w:val="clear" w:color="auto" w:fill="E5E5E5" w:themeFill="text1" w:themeFillTint="33"/>
          </w:tcPr>
          <w:p w14:paraId="3916A415"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9.509</w:t>
            </w:r>
          </w:p>
        </w:tc>
        <w:tc>
          <w:tcPr>
            <w:tcW w:w="1292" w:type="dxa"/>
            <w:shd w:val="clear" w:color="auto" w:fill="E5E5E5" w:themeFill="text1" w:themeFillTint="33"/>
          </w:tcPr>
          <w:p w14:paraId="34A18C6D"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40,12</w:t>
            </w:r>
          </w:p>
        </w:tc>
      </w:tr>
      <w:tr w:rsidR="00236D04" w:rsidRPr="00236D04" w14:paraId="4E0581A8" w14:textId="77777777" w:rsidTr="000C6E77">
        <w:trPr>
          <w:trHeight w:val="289"/>
        </w:trPr>
        <w:tc>
          <w:tcPr>
            <w:cnfStyle w:val="001000000000" w:firstRow="0" w:lastRow="0" w:firstColumn="1" w:lastColumn="0" w:oddVBand="0" w:evenVBand="0" w:oddHBand="0" w:evenHBand="0" w:firstRowFirstColumn="0" w:firstRowLastColumn="0" w:lastRowFirstColumn="0" w:lastRowLastColumn="0"/>
            <w:tcW w:w="1563" w:type="dxa"/>
            <w:shd w:val="clear" w:color="auto" w:fill="CBCBCB" w:themeFill="text1" w:themeFillTint="66"/>
          </w:tcPr>
          <w:p w14:paraId="533E0C5F" w14:textId="77777777" w:rsidR="00236D04" w:rsidRPr="00236D04" w:rsidRDefault="00236D04" w:rsidP="00236D04">
            <w:pPr>
              <w:spacing w:after="120" w:line="264" w:lineRule="auto"/>
              <w:rPr>
                <w:color w:val="auto"/>
              </w:rPr>
            </w:pPr>
            <w:r w:rsidRPr="00236D04">
              <w:rPr>
                <w:color w:val="auto"/>
              </w:rPr>
              <w:t xml:space="preserve">Travanj </w:t>
            </w:r>
          </w:p>
        </w:tc>
        <w:tc>
          <w:tcPr>
            <w:tcW w:w="1291" w:type="dxa"/>
            <w:shd w:val="clear" w:color="auto" w:fill="E5E5E5" w:themeFill="text1" w:themeFillTint="33"/>
          </w:tcPr>
          <w:p w14:paraId="0E6D69E3"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14.273</w:t>
            </w:r>
          </w:p>
        </w:tc>
        <w:tc>
          <w:tcPr>
            <w:tcW w:w="1292" w:type="dxa"/>
            <w:shd w:val="clear" w:color="auto" w:fill="E5E5E5" w:themeFill="text1" w:themeFillTint="33"/>
          </w:tcPr>
          <w:p w14:paraId="1683E6FC"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194</w:t>
            </w:r>
          </w:p>
        </w:tc>
        <w:tc>
          <w:tcPr>
            <w:tcW w:w="1291" w:type="dxa"/>
            <w:shd w:val="clear" w:color="auto" w:fill="E5E5E5" w:themeFill="text1" w:themeFillTint="33"/>
          </w:tcPr>
          <w:p w14:paraId="5D4109E4"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1,36</w:t>
            </w:r>
          </w:p>
        </w:tc>
        <w:tc>
          <w:tcPr>
            <w:tcW w:w="1292" w:type="dxa"/>
            <w:shd w:val="clear" w:color="auto" w:fill="E5E5E5" w:themeFill="text1" w:themeFillTint="33"/>
          </w:tcPr>
          <w:p w14:paraId="23256073"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30.162</w:t>
            </w:r>
          </w:p>
        </w:tc>
        <w:tc>
          <w:tcPr>
            <w:tcW w:w="1291" w:type="dxa"/>
            <w:shd w:val="clear" w:color="auto" w:fill="E5E5E5" w:themeFill="text1" w:themeFillTint="33"/>
          </w:tcPr>
          <w:p w14:paraId="6BF1CF7A"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2.411</w:t>
            </w:r>
          </w:p>
        </w:tc>
        <w:tc>
          <w:tcPr>
            <w:tcW w:w="1292" w:type="dxa"/>
            <w:shd w:val="clear" w:color="auto" w:fill="E5E5E5" w:themeFill="text1" w:themeFillTint="33"/>
          </w:tcPr>
          <w:p w14:paraId="36B161E6"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7,99</w:t>
            </w:r>
          </w:p>
        </w:tc>
      </w:tr>
      <w:tr w:rsidR="00236D04" w:rsidRPr="00236D04" w14:paraId="3E1AF050" w14:textId="77777777" w:rsidTr="000C6E77">
        <w:trPr>
          <w:trHeight w:val="289"/>
        </w:trPr>
        <w:tc>
          <w:tcPr>
            <w:cnfStyle w:val="001000000000" w:firstRow="0" w:lastRow="0" w:firstColumn="1" w:lastColumn="0" w:oddVBand="0" w:evenVBand="0" w:oddHBand="0" w:evenHBand="0" w:firstRowFirstColumn="0" w:firstRowLastColumn="0" w:lastRowFirstColumn="0" w:lastRowLastColumn="0"/>
            <w:tcW w:w="1563" w:type="dxa"/>
            <w:shd w:val="clear" w:color="auto" w:fill="CBCBCB" w:themeFill="text1" w:themeFillTint="66"/>
          </w:tcPr>
          <w:p w14:paraId="444BE059" w14:textId="77777777" w:rsidR="00236D04" w:rsidRPr="00236D04" w:rsidRDefault="00236D04" w:rsidP="00236D04">
            <w:pPr>
              <w:spacing w:after="120" w:line="264" w:lineRule="auto"/>
              <w:rPr>
                <w:color w:val="auto"/>
              </w:rPr>
            </w:pPr>
            <w:r w:rsidRPr="00236D04">
              <w:rPr>
                <w:color w:val="auto"/>
              </w:rPr>
              <w:t xml:space="preserve">Svibanj </w:t>
            </w:r>
          </w:p>
        </w:tc>
        <w:tc>
          <w:tcPr>
            <w:tcW w:w="1291" w:type="dxa"/>
            <w:shd w:val="clear" w:color="auto" w:fill="E5E5E5" w:themeFill="text1" w:themeFillTint="33"/>
          </w:tcPr>
          <w:p w14:paraId="2DEA99C3"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16.637</w:t>
            </w:r>
          </w:p>
        </w:tc>
        <w:tc>
          <w:tcPr>
            <w:tcW w:w="1292" w:type="dxa"/>
            <w:shd w:val="clear" w:color="auto" w:fill="E5E5E5" w:themeFill="text1" w:themeFillTint="33"/>
          </w:tcPr>
          <w:p w14:paraId="1C19A91B"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1.204</w:t>
            </w:r>
          </w:p>
        </w:tc>
        <w:tc>
          <w:tcPr>
            <w:tcW w:w="1291" w:type="dxa"/>
            <w:shd w:val="clear" w:color="auto" w:fill="E5E5E5" w:themeFill="text1" w:themeFillTint="33"/>
          </w:tcPr>
          <w:p w14:paraId="1F792D6E"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7,24</w:t>
            </w:r>
          </w:p>
        </w:tc>
        <w:tc>
          <w:tcPr>
            <w:tcW w:w="1292" w:type="dxa"/>
            <w:shd w:val="clear" w:color="auto" w:fill="E5E5E5" w:themeFill="text1" w:themeFillTint="33"/>
          </w:tcPr>
          <w:p w14:paraId="06D0866B"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30.590</w:t>
            </w:r>
          </w:p>
        </w:tc>
        <w:tc>
          <w:tcPr>
            <w:tcW w:w="1291" w:type="dxa"/>
            <w:shd w:val="clear" w:color="auto" w:fill="E5E5E5" w:themeFill="text1" w:themeFillTint="33"/>
          </w:tcPr>
          <w:p w14:paraId="08C165DB"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4.292</w:t>
            </w:r>
          </w:p>
        </w:tc>
        <w:tc>
          <w:tcPr>
            <w:tcW w:w="1292" w:type="dxa"/>
            <w:shd w:val="clear" w:color="auto" w:fill="E5E5E5" w:themeFill="text1" w:themeFillTint="33"/>
          </w:tcPr>
          <w:p w14:paraId="7E6D31C3" w14:textId="77777777" w:rsidR="00236D04" w:rsidRPr="00236D04" w:rsidRDefault="00236D04" w:rsidP="00236D04">
            <w:pPr>
              <w:spacing w:after="120" w:line="264" w:lineRule="auto"/>
              <w:cnfStyle w:val="000000000000" w:firstRow="0" w:lastRow="0" w:firstColumn="0" w:lastColumn="0" w:oddVBand="0" w:evenVBand="0" w:oddHBand="0" w:evenHBand="0" w:firstRowFirstColumn="0" w:firstRowLastColumn="0" w:lastRowFirstColumn="0" w:lastRowLastColumn="0"/>
              <w:rPr>
                <w:color w:val="auto"/>
              </w:rPr>
            </w:pPr>
            <w:r w:rsidRPr="00236D04">
              <w:rPr>
                <w:color w:val="auto"/>
              </w:rPr>
              <w:t>14,03</w:t>
            </w:r>
          </w:p>
        </w:tc>
      </w:tr>
    </w:tbl>
    <w:p w14:paraId="2A820B40" w14:textId="77777777" w:rsidR="00236D04" w:rsidRPr="00236D04" w:rsidRDefault="00236D04" w:rsidP="00236D04">
      <w:pPr>
        <w:rPr>
          <w:i/>
          <w:color w:val="auto"/>
        </w:rPr>
      </w:pPr>
      <w:r w:rsidRPr="00236D04">
        <w:rPr>
          <w:i/>
          <w:color w:val="auto"/>
        </w:rPr>
        <w:t>Izvor: evisitor , lipanj 2020.</w:t>
      </w:r>
    </w:p>
    <w:p w14:paraId="59F65616" w14:textId="77777777" w:rsidR="00236D04" w:rsidRPr="00236D04" w:rsidRDefault="00236D04" w:rsidP="00236D04">
      <w:pPr>
        <w:rPr>
          <w:i/>
          <w:color w:val="auto"/>
        </w:rPr>
      </w:pPr>
    </w:p>
    <w:p w14:paraId="111A5FC3" w14:textId="3D84DFE1" w:rsidR="00B81C4D" w:rsidRDefault="00236D04" w:rsidP="00236D04">
      <w:pPr>
        <w:rPr>
          <w:color w:val="auto"/>
        </w:rPr>
      </w:pPr>
      <w:r w:rsidRPr="00236D04">
        <w:rPr>
          <w:color w:val="auto"/>
        </w:rPr>
        <w:t xml:space="preserve">Kao što je vidljivo iz tablice, u prva dva mjeseca 2020. godine ostvaren je i porast broja dolazaka i noćenja te se po samom početku 2020. godine mogla, za zagorski turizam, očekivati rekordna godina, s porastom od cca. 11% u dolascima i cca. 7% u noćenjima. No, nakon što je Svjetska zdravstvena organizacija 11. ožujka 2020. godine proglasila globalnu pandemiju, hrvatski je Nacionalni stožer civilne zaštite 19. ožujka 2020. donio odluku o zabrani rada ugostiteljskih objekata, hotela, kulturnih institucija (muzeji, kazališta…) te većine uslužnih djelatnosti. Sve do ukidanja navedene odluke i mogućeg početka rada od 18.5.2020. godine, ovo se direktno odrazilo na turistički sektor. Stoga je u Krapinsko- zagorskoj županiji kao uostalom i cijeloj Republici Hrvatskoj ostvaren pad dolazaka i noćenja. Tako je u 2020. godini ostvareno 90.022 dolazaka i 205.125 noćenja. U usporedbi sa istim razdobljem </w:t>
      </w:r>
      <w:r w:rsidR="00B81C4D">
        <w:rPr>
          <w:color w:val="auto"/>
        </w:rPr>
        <w:t>prošle godine</w:t>
      </w:r>
      <w:r w:rsidRPr="00236D04">
        <w:rPr>
          <w:color w:val="auto"/>
        </w:rPr>
        <w:t xml:space="preserve"> (01.01.-31.12.), ovo predstavlja pad od 86.806 ili 49,09% u dolascima te pad od 168.267 ili 45,06% u noćenjima. </w:t>
      </w:r>
    </w:p>
    <w:p w14:paraId="769D01F3" w14:textId="3BD87B01" w:rsidR="00236D04" w:rsidRDefault="00236D04" w:rsidP="00236D04">
      <w:pPr>
        <w:rPr>
          <w:color w:val="auto"/>
        </w:rPr>
      </w:pPr>
      <w:r>
        <w:rPr>
          <w:color w:val="auto"/>
        </w:rPr>
        <w:t>U 2020. godini</w:t>
      </w:r>
      <w:r w:rsidRPr="00236D04">
        <w:rPr>
          <w:color w:val="auto"/>
        </w:rPr>
        <w:t xml:space="preserve"> vidljiv </w:t>
      </w:r>
      <w:r>
        <w:rPr>
          <w:color w:val="auto"/>
        </w:rPr>
        <w:t xml:space="preserve">je </w:t>
      </w:r>
      <w:r w:rsidRPr="00236D04">
        <w:rPr>
          <w:color w:val="auto"/>
        </w:rPr>
        <w:t>pad stranih gostiju uslijed pandemije COVID - 19, koji sada ostvaruju udio od 36,3% u dolascima, naspram domaćih gostiju (63,7%) te domaći gosti ostvaruju veći udio u noćenjima (65,6% domaćih naspram 34,4% stranih noćenja).</w:t>
      </w:r>
      <w:r w:rsidRPr="00236D04">
        <w:t xml:space="preserve"> </w:t>
      </w:r>
      <w:r w:rsidRPr="00236D04">
        <w:rPr>
          <w:color w:val="auto"/>
        </w:rPr>
        <w:t xml:space="preserve">Kao i prethodnih godina, </w:t>
      </w:r>
      <w:r w:rsidR="00513B6F">
        <w:rPr>
          <w:color w:val="auto"/>
        </w:rPr>
        <w:t>na prvome mjestu su</w:t>
      </w:r>
      <w:r w:rsidRPr="00236D04">
        <w:rPr>
          <w:color w:val="auto"/>
        </w:rPr>
        <w:t xml:space="preserve"> Slovenci sa ostvarenim udjelom od 25,98% u dolascima i udjelom od 32,28% u noćenjima, zatim slijede Poljaci sa 24,98% dolazaka i 14,53% noćenja, pa Nijemci sa 13,21% dolazaka i 14,02% noćenja, pa Česi sa 11,44% dolazaka i 6,65% noćenja, te Bosna i Hercegovina sa 5,07% u dolascima i 5,72% u noćenjima i Austrija sa 3,05% dolazaka i 3,23% noćenja. </w:t>
      </w:r>
    </w:p>
    <w:p w14:paraId="0658BD26" w14:textId="346860D7" w:rsidR="00104F77" w:rsidRDefault="00236D04" w:rsidP="00FD5BD1">
      <w:pPr>
        <w:rPr>
          <w:color w:val="auto"/>
        </w:rPr>
      </w:pPr>
      <w:r w:rsidRPr="00236D04">
        <w:rPr>
          <w:color w:val="auto"/>
        </w:rPr>
        <w:t>U domaćim dolascima i noćenjima, kao i 2019. godine prednjače gosti iz Grada Zagreba (26,84% udio u dolascima i 25,91% udio u noćenjima), Primorsko-goranske (10,18% dolasci i 10,77% noćenja), Splitsko-dalmatinske (7,50% udio u dolascima i 8,97% u noćenjima) i Zagrebačke županije (7,74% dolasci i 7,09% noćenja).</w:t>
      </w:r>
    </w:p>
    <w:p w14:paraId="52780561" w14:textId="006DBB08" w:rsidR="003C4664" w:rsidRPr="00340720" w:rsidRDefault="000E205A" w:rsidP="003C4664">
      <w:pPr>
        <w:rPr>
          <w:color w:val="auto"/>
        </w:rPr>
      </w:pPr>
      <w:r w:rsidRPr="00340720">
        <w:rPr>
          <w:color w:val="auto"/>
        </w:rPr>
        <w:t>Iako je u svibnju 2020. godine bilo teško zamisliti potpuni povratak „na staro“, u stanje prije COVID-19, turistička su putovanja ponovno postala aktualna.</w:t>
      </w:r>
      <w:r w:rsidR="00513B6F" w:rsidRPr="00340720">
        <w:rPr>
          <w:color w:val="auto"/>
        </w:rPr>
        <w:t xml:space="preserve"> </w:t>
      </w:r>
      <w:r w:rsidR="003C4664" w:rsidRPr="00340720">
        <w:rPr>
          <w:color w:val="auto"/>
        </w:rPr>
        <w:t>Prema</w:t>
      </w:r>
      <w:r w:rsidRPr="00340720">
        <w:rPr>
          <w:color w:val="auto"/>
        </w:rPr>
        <w:t xml:space="preserve"> podacima Državnog zavoda za statistiku i provedenom istraživanju</w:t>
      </w:r>
      <w:r w:rsidR="003C4664" w:rsidRPr="00340720">
        <w:rPr>
          <w:color w:val="auto"/>
        </w:rPr>
        <w:t xml:space="preserve"> portal</w:t>
      </w:r>
      <w:r w:rsidRPr="00340720">
        <w:rPr>
          <w:color w:val="auto"/>
        </w:rPr>
        <w:t>a</w:t>
      </w:r>
      <w:r w:rsidR="003C4664" w:rsidRPr="00340720">
        <w:rPr>
          <w:color w:val="auto"/>
        </w:rPr>
        <w:t xml:space="preserve"> zupan.hr, u odnosu na prošlogodišnji ožujak, kada je bio najveći lock down, u ožujku 2021. godine u gotovo svim županijama porastao je broj noćenja i dolazaka.  Po broju dolazaka na godišnjoj razini, najbolje rezultate zabilježile su Krapinsko-zagorska županija i Međimurska županija,  s rastom od preko 100 posto. Slijede Istarska, Karlovačka i Varaždinska županija. Po ostvarenim noćenjima, najveći su rast na godišnjoj razini imale Ličko-senjska i Istarska županija, a slijede Karlovačka, Krapinsko-zagorska i Međimurska županija.</w:t>
      </w:r>
    </w:p>
    <w:p w14:paraId="704B5A65" w14:textId="77777777" w:rsidR="003C4664" w:rsidRPr="00340720" w:rsidRDefault="003C4664" w:rsidP="003C4664">
      <w:pPr>
        <w:rPr>
          <w:color w:val="auto"/>
          <w:highlight w:val="yellow"/>
        </w:rPr>
      </w:pPr>
      <w:r w:rsidRPr="00340720">
        <w:rPr>
          <w:color w:val="auto"/>
        </w:rPr>
        <w:t>Nakon godine dana pandemije bolesti COVID-19, u komercijalnim smještajnim objektima u ožujku 2021. ostvareno je 133 tisuće dolazaka i 360 tisuća noćenja turista. U odnosu na ožujak 2020. ostvareno je 27,0% više dolazaka i 24,2% više noćenja turista. Domaći turisti ostvarili su 88 tisuća dolazaka i 184 tisuće noćenja, što je 103,4% više dolazaka i 73,8% više noćenja turista nego u ožujku 2020. Strani turisti ostvarili su 45 tisuća dolazaka i 175 tisuća noćenja, što je 27,0% manje dolazaka i 4,5% manje noćenja turista u ožujku 2021. u odnosu na ožujak 2020. U strukturi ukupno ostvarenih noćenja, 51,2% ostvarili su domaći turisti, a 48,8% strani turisti.</w:t>
      </w:r>
    </w:p>
    <w:p w14:paraId="13B60AE0" w14:textId="77777777" w:rsidR="003C4664" w:rsidRPr="00340720" w:rsidRDefault="003C4664" w:rsidP="003C4664">
      <w:pPr>
        <w:rPr>
          <w:color w:val="auto"/>
        </w:rPr>
      </w:pPr>
      <w:r w:rsidRPr="00340720">
        <w:rPr>
          <w:color w:val="auto"/>
        </w:rPr>
        <w:t>U ožujku 2021. turisti iz Njemačke ostvarili su najviše dolazaka i noćenja, i to 13 tisuća dolazaka i 49 tisuća noćenja, što je 28,7% od ukupno ostvarenih dolazaka i 27,8% od ukupno ostvarenih noćenja stranih turista. U odnosu na ožujak 2020. turisti iz Njemačke ostvarili su porast dolazaka za 21,7% i porast noćenja za 68,1%. Prosječno su ostvarili 3,8 noćenja po dolasku. Slijede noćenja turista iz Austrije i Italije (svaka po 7,2%), Češke (6,0%), Slovenije (5,8%), SAD-a (5,5%), Francuske (3,9%) te Bosne i Hercegovine (3,4%).</w:t>
      </w:r>
    </w:p>
    <w:p w14:paraId="2AC81EE9" w14:textId="12951D91" w:rsidR="003C4664" w:rsidRPr="00340720" w:rsidRDefault="003C4664" w:rsidP="003C4664">
      <w:pPr>
        <w:rPr>
          <w:color w:val="auto"/>
        </w:rPr>
      </w:pPr>
      <w:r w:rsidRPr="00340720">
        <w:rPr>
          <w:color w:val="auto"/>
        </w:rPr>
        <w:t>U ožujku 2021. najviše noćenja turista ostvareno je u hotelima, i to 169</w:t>
      </w:r>
      <w:r w:rsidR="00F44D36">
        <w:rPr>
          <w:color w:val="auto"/>
        </w:rPr>
        <w:t xml:space="preserve"> </w:t>
      </w:r>
      <w:r w:rsidRPr="00340720">
        <w:rPr>
          <w:color w:val="auto"/>
        </w:rPr>
        <w:t>tisuća noćenja, što je 47,0% od ukupno ostvarenih noćenja. U odnosu na ožujak 2020. u hotelima je ostvareno 12,3% više dolazaka i 13,9% više noćenja.</w:t>
      </w:r>
      <w:r w:rsidR="00D148A5">
        <w:rPr>
          <w:color w:val="auto"/>
        </w:rPr>
        <w:t xml:space="preserve"> </w:t>
      </w:r>
      <w:r w:rsidRPr="00340720">
        <w:rPr>
          <w:color w:val="auto"/>
        </w:rPr>
        <w:t xml:space="preserve">Gleda li se prvo tromjesečje, u komercijalnim smještajnim objektima ostvarene su 324 tisuće dolazaka, što je tek 53,8% prošlogodišnjih dolazaka, i 854 tisuće noćenja, što je 59,1% noćenja u odnosu na prvo tromjesečje 2020. Domaćih turista u prvom tromjesečju 2021. došlo je 243 tisuće i ostvarili su 524 tisuće noćenja, što je 1,7% manje dolazaka te 3,8% manje noćenja nego u istom razdoblju prošle godine. Strani turisti u prvom su tromjesečju 2021. ostvarili tek 81 tisuću dolazaka i 330 tisuća noćenja, što je pad dolazaka turista za 77,1% i </w:t>
      </w:r>
      <w:r w:rsidRPr="00340720">
        <w:rPr>
          <w:color w:val="auto"/>
        </w:rPr>
        <w:lastRenderedPageBreak/>
        <w:t>pad noćenja turista za 63,4% u odnosu na prvo tromjesečje 2020. Najviše noćenja stranih turista ostvarili su turisti iz Njemačke (20,0%), Italije (9,1%), SAD-a (7,4%), Slovenije (6,5%) te Austrije (6,3%).</w:t>
      </w:r>
    </w:p>
    <w:p w14:paraId="62E825D5" w14:textId="0308B754" w:rsidR="00340720" w:rsidRPr="00340720" w:rsidRDefault="00340720" w:rsidP="00340720">
      <w:pPr>
        <w:rPr>
          <w:color w:val="auto"/>
        </w:rPr>
      </w:pPr>
      <w:r w:rsidRPr="00340720">
        <w:rPr>
          <w:color w:val="auto"/>
        </w:rPr>
        <w:t>Kako će izgledati turizam nakon ove globalne pandemije, teško je pretpostaviti, tim više što će mjere socijalnog distanciranja kao što su nošenja zaštitnih maski ili držanja sigurnosnog razmaka vjerojatno i dalje biti na snazi, a na prostoru Europe i Hrvatske, takve se mjere do sad nisu primjenjivale u svakodnevnom životu pa tako ni u turizmu. Izvjesno je očekivati da će naglasak u budućim vremenima biti na domaćim gostima, da se neće putovati daleko te da će prioritet biti na kampovima, smještaju u prirodi, privatnim kućama na osami i slično, upravo zbog mogućnosti distanciranja. Tako su Terme Tuhelj, najveći zagorski hotelski kompleks tijekom lipnja 2020. godine otvorile vrata svog novouređenog kampa, Glamping village Terme Tuhelj*****, prvog hrvatskog kontinentalnog kampa s 5 zvjezdica. U vremenu nakon pandemije, posebice zbog već spomenutih mogućnosti distanciranja, ovaj će kamp svakako doprinijeti prodoru na nova emitivna tržišta i većem broju turista. Prednost zagorskog turizma je svakako cjelogodišnje poslovanje odnosno sezonalnost nije toliko izražena kao u primjerice priobalnim županijama, te se, uz uvjet da se u 2021. godine ne dogodi „drugi val“ koronavirusa koji bi ponovno izazvao sveopći kolaps gospodarskog sustava, ne očekuju pad dolazaka i noćenja do kraja 2021. godine nego nastavak trenda rasta kako je bilo u prvom tromjesečju.</w:t>
      </w:r>
    </w:p>
    <w:p w14:paraId="05F98E9D" w14:textId="2FEC9A75" w:rsidR="00340720" w:rsidRPr="00340720" w:rsidRDefault="00446BA5" w:rsidP="00340720">
      <w:pPr>
        <w:rPr>
          <w:color w:val="auto"/>
        </w:rPr>
      </w:pPr>
      <w:r w:rsidRPr="00340720">
        <w:rPr>
          <w:color w:val="auto"/>
        </w:rPr>
        <w:t xml:space="preserve">Prema </w:t>
      </w:r>
      <w:r w:rsidR="00340720">
        <w:rPr>
          <w:color w:val="auto"/>
        </w:rPr>
        <w:t>iznesenim</w:t>
      </w:r>
      <w:r w:rsidRPr="00340720">
        <w:rPr>
          <w:color w:val="auto"/>
        </w:rPr>
        <w:t>podacima očekuje se naredna stabilizacija te daljnji rast dolazaka i noćenja</w:t>
      </w:r>
      <w:r w:rsidR="00340720">
        <w:rPr>
          <w:color w:val="auto"/>
        </w:rPr>
        <w:t xml:space="preserve"> domaćih i stranih turista</w:t>
      </w:r>
      <w:r w:rsidRPr="00340720">
        <w:rPr>
          <w:color w:val="auto"/>
        </w:rPr>
        <w:t xml:space="preserve">.  Naravno, stabilizacija prvenstveno ovisi o daljnjoj pozitivnoj epidemiološkoj situaciji u RH i svijetu, ali i epidemiološkim mjerama u domicilnim državama potencijalnih turista. Za goste u čijim će državama i dalje biti na snazi obavezna samoizolacija nakon dolaska iz druge države, izvjesno je da neće ni putovati van granica svoje domicilne zemlje. </w:t>
      </w:r>
      <w:r w:rsidR="00340720" w:rsidRPr="00340720">
        <w:rPr>
          <w:color w:val="auto"/>
        </w:rPr>
        <w:t xml:space="preserve">globalno gledano, pandemija će trajno utjecati na naše vrijednosti i promijeniti aspekte naših života, što će zasigurno utjecati i na </w:t>
      </w:r>
      <w:r w:rsidR="00340720">
        <w:rPr>
          <w:color w:val="auto"/>
        </w:rPr>
        <w:t xml:space="preserve">potrebu </w:t>
      </w:r>
      <w:r w:rsidR="00340720" w:rsidRPr="00340720">
        <w:rPr>
          <w:color w:val="auto"/>
        </w:rPr>
        <w:t xml:space="preserve">stvaranje novih turističkih trendova. </w:t>
      </w:r>
    </w:p>
    <w:p w14:paraId="3928249B" w14:textId="51E0D41B" w:rsidR="00446BA5" w:rsidRPr="00D148A5" w:rsidRDefault="00446BA5" w:rsidP="00446BA5">
      <w:pPr>
        <w:rPr>
          <w:color w:val="auto"/>
        </w:rPr>
      </w:pPr>
    </w:p>
    <w:p w14:paraId="72D21D63" w14:textId="77777777" w:rsidR="008878A0" w:rsidRPr="00685970" w:rsidRDefault="008878A0" w:rsidP="00D71E6A">
      <w:pPr>
        <w:shd w:val="clear" w:color="auto" w:fill="E5E5E5" w:themeFill="text1" w:themeFillTint="33"/>
      </w:pPr>
      <w:r w:rsidRPr="00685970">
        <w:t>Zaključak</w:t>
      </w:r>
    </w:p>
    <w:p w14:paraId="61DD482D" w14:textId="1F52E8DF" w:rsidR="00CD7220" w:rsidRDefault="00CD7220" w:rsidP="00685970">
      <w:pPr>
        <w:shd w:val="clear" w:color="auto" w:fill="E5E5E5" w:themeFill="text1" w:themeFillTint="33"/>
      </w:pPr>
      <w:r>
        <w:t>Krapinsko-zagorska županija</w:t>
      </w:r>
      <w:r w:rsidR="005A37C7">
        <w:t xml:space="preserve"> dugi </w:t>
      </w:r>
      <w:r>
        <w:t>niz godina radi na brandiranju destinacije. S</w:t>
      </w:r>
      <w:r w:rsidRPr="004B573B">
        <w:t xml:space="preserve">logan </w:t>
      </w:r>
      <w:r w:rsidRPr="00685970">
        <w:t>„</w:t>
      </w:r>
      <w:r w:rsidRPr="004B573B">
        <w:t>Zagorje - Bajka na dlanu“</w:t>
      </w:r>
      <w:r w:rsidR="005A37C7">
        <w:t>,</w:t>
      </w:r>
      <w:r w:rsidRPr="004B573B">
        <w:t xml:space="preserve"> </w:t>
      </w:r>
      <w:r>
        <w:t xml:space="preserve">kojom se KZŽ pozicionira </w:t>
      </w:r>
      <w:r w:rsidRPr="004B573B">
        <w:t>kao destinacija za opuštajući odmo</w:t>
      </w:r>
      <w:r>
        <w:t>r po mjeri posjetitelja</w:t>
      </w:r>
      <w:r w:rsidR="00685970">
        <w:t>,</w:t>
      </w:r>
      <w:r>
        <w:t xml:space="preserve"> ostvario</w:t>
      </w:r>
      <w:r w:rsidRPr="004B573B">
        <w:t xml:space="preserve"> je </w:t>
      </w:r>
      <w:r w:rsidR="00685970">
        <w:t>značajno povećanje</w:t>
      </w:r>
      <w:r w:rsidRPr="004B573B">
        <w:t xml:space="preserve"> prepoznatljivosti</w:t>
      </w:r>
      <w:r w:rsidR="00685970">
        <w:t xml:space="preserve"> destinacije</w:t>
      </w:r>
      <w:r w:rsidRPr="004B573B">
        <w:t xml:space="preserve"> i </w:t>
      </w:r>
      <w:r w:rsidR="00685970">
        <w:t>pozitivnu percepciju</w:t>
      </w:r>
      <w:r w:rsidRPr="004B573B">
        <w:t xml:space="preserve"> javnosti. </w:t>
      </w:r>
    </w:p>
    <w:p w14:paraId="01BE477E" w14:textId="153C7F0C" w:rsidR="008878A0" w:rsidRDefault="008878A0" w:rsidP="00D71E6A">
      <w:pPr>
        <w:shd w:val="clear" w:color="auto" w:fill="E5E5E5" w:themeFill="text1" w:themeFillTint="33"/>
      </w:pPr>
      <w:r>
        <w:t xml:space="preserve">Rast turizma u KZŽ dominantno se oslanja na zdravstveni i kupališni turizam, s obzirom na brojne termalne izvore na području županije. </w:t>
      </w:r>
      <w:r w:rsidR="00E62CF2">
        <w:t>Vezano uz postojeću</w:t>
      </w:r>
      <w:r w:rsidR="00CD7220">
        <w:t xml:space="preserve"> turističku</w:t>
      </w:r>
      <w:r w:rsidR="00E62CF2">
        <w:t xml:space="preserve"> resursnu osnovu, u</w:t>
      </w:r>
      <w:r>
        <w:t>z</w:t>
      </w:r>
      <w:r w:rsidR="00E62CF2">
        <w:t xml:space="preserve"> najvažnije turističke</w:t>
      </w:r>
      <w:r>
        <w:t xml:space="preserve"> proizvod</w:t>
      </w:r>
      <w:r w:rsidR="00E62CF2">
        <w:t xml:space="preserve">e - </w:t>
      </w:r>
      <w:r>
        <w:t>zdr</w:t>
      </w:r>
      <w:r w:rsidR="00E62CF2">
        <w:t xml:space="preserve">avlje, SPA i wellness, </w:t>
      </w:r>
      <w:r w:rsidR="00446BA5">
        <w:t xml:space="preserve">Masterplanom razvoja turizma </w:t>
      </w:r>
      <w:r w:rsidR="00E62CF2">
        <w:t>prepoznata su</w:t>
      </w:r>
      <w:r>
        <w:t xml:space="preserve"> još tri ključna p</w:t>
      </w:r>
      <w:r w:rsidR="00E62CF2">
        <w:t>roizvoda</w:t>
      </w:r>
      <w:r>
        <w:t>: obiteljski odmor, posl</w:t>
      </w:r>
      <w:r w:rsidR="00E62CF2">
        <w:t>ovni turizam i događanja (MICE)</w:t>
      </w:r>
      <w:r>
        <w:t xml:space="preserve"> te aktivni, sportski i avanturistički turizam </w:t>
      </w:r>
      <w:r w:rsidR="00E13FB4">
        <w:t>i</w:t>
      </w:r>
      <w:r>
        <w:t xml:space="preserve"> tri sekundarna proizvoda: kulturni turizam, vjerski turizam i agroturizam</w:t>
      </w:r>
      <w:r w:rsidR="00E62CF2">
        <w:t xml:space="preserve">. </w:t>
      </w:r>
      <w:r w:rsidR="00685970">
        <w:t>Proizvodi kulturnog, vjerskog i agroturizma, kao i sportskog i avanturističkog turizma imaju veliki potencijal za razvoj, koji nije do kraja iskorišten.</w:t>
      </w:r>
    </w:p>
    <w:p w14:paraId="7F6632A7" w14:textId="349CB184" w:rsidR="00B81C4D" w:rsidRPr="00B81C4D" w:rsidRDefault="00E62CF2" w:rsidP="00B81C4D">
      <w:pPr>
        <w:shd w:val="clear" w:color="auto" w:fill="E5E5E5" w:themeFill="text1" w:themeFillTint="33"/>
        <w:rPr>
          <w:rFonts w:eastAsia="ArialNarrow"/>
        </w:rPr>
      </w:pPr>
      <w:r>
        <w:rPr>
          <w:rFonts w:eastAsia="ArialNarrow"/>
        </w:rPr>
        <w:t xml:space="preserve">KZŽ ima </w:t>
      </w:r>
      <w:r w:rsidR="00685970">
        <w:rPr>
          <w:rFonts w:eastAsia="ArialNarrow"/>
        </w:rPr>
        <w:t xml:space="preserve">raznovrsnu ponudu smještajnih kapaciteta te </w:t>
      </w:r>
      <w:r>
        <w:rPr>
          <w:rFonts w:eastAsia="ArialNarrow"/>
        </w:rPr>
        <w:t>povoljnu smještajnu strukturu s obzirom na to da se najveći udio smještaja odnosi na hotele</w:t>
      </w:r>
      <w:r w:rsidR="00685970">
        <w:rPr>
          <w:rFonts w:eastAsia="ArialNarrow"/>
        </w:rPr>
        <w:t>,</w:t>
      </w:r>
      <w:r>
        <w:rPr>
          <w:rFonts w:eastAsia="ArialNarrow"/>
        </w:rPr>
        <w:t xml:space="preserve"> u kojima je ujedno ostvareno daleko najviše noćenja. </w:t>
      </w:r>
      <w:r w:rsidR="00685970">
        <w:rPr>
          <w:rFonts w:eastAsia="ArialNarrow"/>
        </w:rPr>
        <w:t xml:space="preserve">U desetogodišnjem periodu zabilježen je kontinuirani rast broja stalnih postelja (izuzetak je samo 2014. godina). </w:t>
      </w:r>
      <w:r>
        <w:rPr>
          <w:rFonts w:eastAsia="ArialNarrow"/>
        </w:rPr>
        <w:t xml:space="preserve">Najveći rast bilježi ponuda smještaja u kampovima i privatnom smještaju. Kontinuirani rast broja turističkih dolazaka i noćenja, po stopi koja je značajno veća u odnosu na nacionalnu razinu, govori o kvalitetnom upravljanju i brendiranju destinacije te kvalitetnoj cjelogodišnjoj turističkoj ponudi, čemu svjedoči i niska sezonalnost. Osobito je značajan porast udjela stranih gostiju, ali uz blago skraćivanje trajanja boravka, a primjetan je i brži rast individualnih dolazaka domaćih i stranih turista u odnosu na agencijske. </w:t>
      </w:r>
      <w:r w:rsidR="00B81C4D">
        <w:rPr>
          <w:rFonts w:eastAsia="ArialNarrow"/>
        </w:rPr>
        <w:t xml:space="preserve">U2019. godini imala je rekordnu godinu, no </w:t>
      </w:r>
      <w:r w:rsidR="00B81C4D" w:rsidRPr="00B81C4D">
        <w:rPr>
          <w:rFonts w:eastAsia="ArialNarrow"/>
        </w:rPr>
        <w:t xml:space="preserve">u </w:t>
      </w:r>
      <w:r w:rsidR="00B81C4D">
        <w:rPr>
          <w:rFonts w:eastAsia="ArialNarrow"/>
        </w:rPr>
        <w:t xml:space="preserve">2020.godini u </w:t>
      </w:r>
      <w:r w:rsidR="00B81C4D" w:rsidRPr="00B81C4D">
        <w:rPr>
          <w:rFonts w:eastAsia="ArialNarrow"/>
        </w:rPr>
        <w:t xml:space="preserve">Krapinsko- zagorskoj županiji kao uostalom i cijeloj Republici Hrvatskoj </w:t>
      </w:r>
      <w:r w:rsidR="00B81C4D">
        <w:rPr>
          <w:rFonts w:eastAsia="ArialNarrow"/>
        </w:rPr>
        <w:t xml:space="preserve">usred pandemije COVID 19 </w:t>
      </w:r>
      <w:r w:rsidR="00B81C4D" w:rsidRPr="00B81C4D">
        <w:rPr>
          <w:rFonts w:eastAsia="ArialNarrow"/>
        </w:rPr>
        <w:t xml:space="preserve">ostvaren </w:t>
      </w:r>
      <w:r w:rsidR="00B81C4D">
        <w:rPr>
          <w:rFonts w:eastAsia="ArialNarrow"/>
        </w:rPr>
        <w:t xml:space="preserve">je </w:t>
      </w:r>
      <w:r w:rsidR="00B81C4D" w:rsidRPr="00B81C4D">
        <w:rPr>
          <w:rFonts w:eastAsia="ArialNarrow"/>
        </w:rPr>
        <w:t>pad dolazaka i noćenja</w:t>
      </w:r>
      <w:r w:rsidR="00B81C4D">
        <w:rPr>
          <w:rFonts w:eastAsia="ArialNarrow"/>
        </w:rPr>
        <w:t xml:space="preserve"> turista</w:t>
      </w:r>
      <w:r w:rsidR="00B81C4D" w:rsidRPr="00B81C4D">
        <w:rPr>
          <w:rFonts w:eastAsia="ArialNarrow"/>
        </w:rPr>
        <w:t xml:space="preserve">. Tako je u 2020. godini ostvareno 90.022 dolazaka i 205.125 noćenja. U usporedbi sa istim razdobljem </w:t>
      </w:r>
      <w:r w:rsidR="00B81C4D">
        <w:rPr>
          <w:rFonts w:eastAsia="ArialNarrow"/>
        </w:rPr>
        <w:t>prošle godine</w:t>
      </w:r>
      <w:r w:rsidR="00B81C4D" w:rsidRPr="00B81C4D">
        <w:rPr>
          <w:rFonts w:eastAsia="ArialNarrow"/>
        </w:rPr>
        <w:t xml:space="preserve"> (01.01.-31.12.), ovo predstavlja pad od 86.806 ili 49,09% u dolascima te pad od 168.267 ili 45,06% u noćenjima. U 2020. godini vidljiv je pad stranih gostiju uslijed pandemije COVID - 19, koji sada ostvaruju udio od 36,3% u dolascima, naspram domaćih gostiju (63,7%) te domaći gosti ostvaruju veći udio u noćenjima</w:t>
      </w:r>
      <w:r w:rsidR="00B81C4D">
        <w:rPr>
          <w:rFonts w:eastAsia="ArialNarrow"/>
        </w:rPr>
        <w:t>.</w:t>
      </w:r>
    </w:p>
    <w:p w14:paraId="7BC96F3B" w14:textId="78DD6CD5" w:rsidR="008878A0" w:rsidRDefault="008878A0" w:rsidP="00D71E6A">
      <w:pPr>
        <w:shd w:val="clear" w:color="auto" w:fill="E5E5E5" w:themeFill="text1" w:themeFillTint="33"/>
      </w:pPr>
      <w:r>
        <w:t>Infrastrukturu za upravljanje razvojem turizma čini Turistička zajednica Krapinsko-zagorske županije (TZ KZŽ) te 10 turističkih zajednica gradova i općina, odnosno, područja u KZŽ, kao i Klaster zdravstvenog turizma KZŽ. Postojeće četiri turističke zajednice područja u KZŽ pokazuju da je na ovom području sustav upravljanja turizmom značajno usklađen s preporukama</w:t>
      </w:r>
      <w:r w:rsidR="00CD7220">
        <w:t xml:space="preserve"> i ključnog županijsko</w:t>
      </w:r>
      <w:r w:rsidR="00685970">
        <w:t xml:space="preserve">g dokumenta za razvoj turizma, Master- </w:t>
      </w:r>
      <w:r>
        <w:t>plana</w:t>
      </w:r>
      <w:r w:rsidR="00685970">
        <w:t>,</w:t>
      </w:r>
      <w:r>
        <w:t xml:space="preserve"> kako bi se ojačalo destinacijsko upravljanje. </w:t>
      </w:r>
    </w:p>
    <w:p w14:paraId="00221DA6" w14:textId="02375151" w:rsidR="008878A0" w:rsidRPr="005B4645" w:rsidRDefault="00685970" w:rsidP="00D71E6A">
      <w:pPr>
        <w:shd w:val="clear" w:color="auto" w:fill="E5E5E5" w:themeFill="text1" w:themeFillTint="33"/>
        <w:rPr>
          <w:rFonts w:eastAsia="ArialNarrow"/>
        </w:rPr>
      </w:pPr>
      <w:r>
        <w:rPr>
          <w:rFonts w:eastAsia="ArialNarrow"/>
        </w:rPr>
        <w:t>S obzirom da razvoj turizma zahtjeva</w:t>
      </w:r>
      <w:r w:rsidR="008878A0" w:rsidRPr="005B4645">
        <w:rPr>
          <w:rFonts w:eastAsia="ArialNarrow"/>
        </w:rPr>
        <w:t xml:space="preserve"> povećani broj novih kadrova i veću razinu kvalitete postojećih, sustavno jačanje ljudskih kapaciteta u turizmu preduvjet je daljnjeg razvoja</w:t>
      </w:r>
      <w:r>
        <w:rPr>
          <w:rFonts w:eastAsia="ArialNarrow"/>
        </w:rPr>
        <w:t xml:space="preserve"> ove gospodarske grane. Značajnu ulogu u tome ima</w:t>
      </w:r>
      <w:r w:rsidR="008878A0" w:rsidRPr="005B4645">
        <w:rPr>
          <w:rFonts w:eastAsia="ArialNarrow"/>
        </w:rPr>
        <w:t xml:space="preserve"> projekt Regionalni centar kompetencija u turizmu </w:t>
      </w:r>
      <w:r w:rsidR="008B3060">
        <w:rPr>
          <w:rFonts w:eastAsia="ArialNarrow"/>
        </w:rPr>
        <w:t>i ugostiteljstvu koji će na</w:t>
      </w:r>
      <w:r w:rsidR="008878A0" w:rsidRPr="005B4645">
        <w:rPr>
          <w:rFonts w:eastAsia="ArialNarrow"/>
        </w:rPr>
        <w:t xml:space="preserve"> tržište rada </w:t>
      </w:r>
      <w:r w:rsidR="008B3060">
        <w:rPr>
          <w:rFonts w:eastAsia="ArialNarrow"/>
        </w:rPr>
        <w:t xml:space="preserve">plasirati </w:t>
      </w:r>
      <w:r w:rsidR="008878A0" w:rsidRPr="005B4645">
        <w:rPr>
          <w:rFonts w:eastAsia="ArialNarrow"/>
        </w:rPr>
        <w:t>kvalitetne kvalificirane kadrove ugostiteljsko-turističkog usmjerenja.</w:t>
      </w:r>
    </w:p>
    <w:p w14:paraId="37D82AF1" w14:textId="77777777" w:rsidR="008878A0" w:rsidRPr="005B4645" w:rsidRDefault="008878A0" w:rsidP="00D71E6A">
      <w:pPr>
        <w:shd w:val="clear" w:color="auto" w:fill="E5E5E5" w:themeFill="text1" w:themeFillTint="33"/>
        <w:rPr>
          <w:rFonts w:eastAsia="ArialNarrow"/>
        </w:rPr>
      </w:pPr>
    </w:p>
    <w:p w14:paraId="0C0D59E6" w14:textId="77777777" w:rsidR="00E9455B" w:rsidRDefault="00E9455B">
      <w:pPr>
        <w:jc w:val="left"/>
        <w:rPr>
          <w:rFonts w:eastAsiaTheme="majorEastAsia" w:cstheme="majorBidi"/>
          <w:color w:val="9D1A1F" w:themeColor="accent1" w:themeShade="BF"/>
          <w:sz w:val="34"/>
          <w:szCs w:val="34"/>
        </w:rPr>
      </w:pPr>
      <w:r>
        <w:br w:type="page"/>
      </w:r>
    </w:p>
    <w:p w14:paraId="5F7DE23D" w14:textId="3BB0C85B" w:rsidR="00C4017D" w:rsidRPr="005F13D3" w:rsidRDefault="00D71E6A" w:rsidP="005F13D3">
      <w:pPr>
        <w:pStyle w:val="Naslov1"/>
        <w:rPr>
          <w:rStyle w:val="NASLOV"/>
          <w:b w:val="0"/>
          <w:bCs/>
        </w:rPr>
      </w:pPr>
      <w:bookmarkStart w:id="189" w:name="_Toc85181355"/>
      <w:r w:rsidRPr="005F13D3">
        <w:rPr>
          <w:rStyle w:val="NASLOV"/>
          <w:b w:val="0"/>
          <w:bCs/>
        </w:rPr>
        <w:lastRenderedPageBreak/>
        <w:t>POLJOPRIVREDA</w:t>
      </w:r>
      <w:bookmarkEnd w:id="189"/>
    </w:p>
    <w:p w14:paraId="08031BAF" w14:textId="7A49CD21" w:rsidR="00C4017D" w:rsidRDefault="00C4017D" w:rsidP="00C4017D"/>
    <w:p w14:paraId="7C4F72E8" w14:textId="620A6B48" w:rsidR="00C4017D" w:rsidRPr="00C4017D" w:rsidRDefault="00C4017D" w:rsidP="00C4017D">
      <w:pPr>
        <w:spacing w:line="283" w:lineRule="auto"/>
        <w:ind w:right="72"/>
        <w:rPr>
          <w:rFonts w:eastAsia="Arial Narrow" w:cstheme="minorHAnsi"/>
        </w:rPr>
      </w:pPr>
      <w:r w:rsidRPr="00BE295C">
        <w:rPr>
          <w:rFonts w:eastAsia="Arial Narrow" w:cstheme="minorHAnsi"/>
          <w:color w:val="auto"/>
          <w:spacing w:val="-1"/>
        </w:rPr>
        <w:t xml:space="preserve">Poljoprivredna proizvodnja u Krapinsko-zagorskoj županiji ima niz ograničavajućih faktora za tržišno konkurentniju poljoprivrednu proizvodnju. </w:t>
      </w:r>
      <w:r>
        <w:rPr>
          <w:rFonts w:eastAsia="Arial Narrow" w:cstheme="minorHAnsi"/>
          <w:spacing w:val="-1"/>
        </w:rPr>
        <w:t>Bavljenje poljoprivredom uvjetovano je prije svega prirodnim uvjetima i tradicijom. P</w:t>
      </w:r>
      <w:r>
        <w:rPr>
          <w:rFonts w:eastAsia="Arial Narrow" w:cstheme="minorHAnsi"/>
          <w:spacing w:val="-3"/>
        </w:rPr>
        <w:t>r</w:t>
      </w:r>
      <w:r>
        <w:rPr>
          <w:rFonts w:eastAsia="Arial Narrow" w:cstheme="minorHAnsi"/>
          <w:spacing w:val="1"/>
        </w:rPr>
        <w:t>i</w:t>
      </w:r>
      <w:r>
        <w:rPr>
          <w:rFonts w:eastAsia="Arial Narrow" w:cstheme="minorHAnsi"/>
        </w:rPr>
        <w:t>rodni</w:t>
      </w:r>
      <w:r>
        <w:rPr>
          <w:rFonts w:eastAsia="Arial Narrow" w:cstheme="minorHAnsi"/>
          <w:spacing w:val="48"/>
        </w:rPr>
        <w:t xml:space="preserve"> </w:t>
      </w:r>
      <w:r>
        <w:rPr>
          <w:rFonts w:eastAsia="Arial Narrow" w:cstheme="minorHAnsi"/>
        </w:rPr>
        <w:t>u</w:t>
      </w:r>
      <w:r>
        <w:rPr>
          <w:rFonts w:eastAsia="Arial Narrow" w:cstheme="minorHAnsi"/>
          <w:spacing w:val="1"/>
        </w:rPr>
        <w:t>vj</w:t>
      </w:r>
      <w:r>
        <w:rPr>
          <w:rFonts w:eastAsia="Arial Narrow" w:cstheme="minorHAnsi"/>
          <w:spacing w:val="-2"/>
        </w:rPr>
        <w:t>et</w:t>
      </w:r>
      <w:r>
        <w:rPr>
          <w:rFonts w:eastAsia="Arial Narrow" w:cstheme="minorHAnsi"/>
        </w:rPr>
        <w:t>i - brdo</w:t>
      </w:r>
      <w:r>
        <w:rPr>
          <w:rFonts w:eastAsia="Arial Narrow" w:cstheme="minorHAnsi"/>
          <w:spacing w:val="-2"/>
        </w:rPr>
        <w:t>v</w:t>
      </w:r>
      <w:r>
        <w:rPr>
          <w:rFonts w:eastAsia="Arial Narrow" w:cstheme="minorHAnsi"/>
          <w:spacing w:val="1"/>
        </w:rPr>
        <w:t>i</w:t>
      </w:r>
      <w:r>
        <w:rPr>
          <w:rFonts w:eastAsia="Arial Narrow" w:cstheme="minorHAnsi"/>
        </w:rPr>
        <w:t>t teren,</w:t>
      </w:r>
      <w:r>
        <w:rPr>
          <w:rFonts w:eastAsia="Arial Narrow" w:cstheme="minorHAnsi"/>
          <w:spacing w:val="47"/>
        </w:rPr>
        <w:t xml:space="preserve"> </w:t>
      </w:r>
      <w:r>
        <w:rPr>
          <w:rFonts w:eastAsia="Arial Narrow" w:cstheme="minorHAnsi"/>
        </w:rPr>
        <w:t>man</w:t>
      </w:r>
      <w:r>
        <w:rPr>
          <w:rFonts w:eastAsia="Arial Narrow" w:cstheme="minorHAnsi"/>
          <w:spacing w:val="1"/>
        </w:rPr>
        <w:t>j</w:t>
      </w:r>
      <w:r>
        <w:rPr>
          <w:rFonts w:eastAsia="Arial Narrow" w:cstheme="minorHAnsi"/>
          <w:spacing w:val="-2"/>
        </w:rPr>
        <w:t>i</w:t>
      </w:r>
      <w:r>
        <w:rPr>
          <w:rFonts w:eastAsia="Arial Narrow" w:cstheme="minorHAnsi"/>
        </w:rPr>
        <w:t>m d</w:t>
      </w:r>
      <w:r>
        <w:rPr>
          <w:rFonts w:eastAsia="Arial Narrow" w:cstheme="minorHAnsi"/>
          <w:spacing w:val="-2"/>
        </w:rPr>
        <w:t>i</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spacing w:val="-2"/>
        </w:rPr>
        <w:t>o</w:t>
      </w:r>
      <w:r>
        <w:rPr>
          <w:rFonts w:eastAsia="Arial Narrow" w:cstheme="minorHAnsi"/>
        </w:rPr>
        <w:t>m n</w:t>
      </w:r>
      <w:r>
        <w:rPr>
          <w:rFonts w:eastAsia="Arial Narrow" w:cstheme="minorHAnsi"/>
          <w:spacing w:val="1"/>
        </w:rPr>
        <w:t>i</w:t>
      </w:r>
      <w:r>
        <w:rPr>
          <w:rFonts w:eastAsia="Arial Narrow" w:cstheme="minorHAnsi"/>
          <w:spacing w:val="-2"/>
        </w:rPr>
        <w:t>z</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i s</w:t>
      </w:r>
      <w:r>
        <w:rPr>
          <w:rFonts w:eastAsia="Arial Narrow" w:cstheme="minorHAnsi"/>
          <w:spacing w:val="48"/>
        </w:rPr>
        <w:t xml:space="preserve"> </w:t>
      </w:r>
      <w:r>
        <w:rPr>
          <w:rFonts w:eastAsia="Arial Narrow" w:cstheme="minorHAnsi"/>
        </w:rPr>
        <w:t>n</w:t>
      </w:r>
      <w:r>
        <w:rPr>
          <w:rFonts w:eastAsia="Arial Narrow" w:cstheme="minorHAnsi"/>
          <w:spacing w:val="-2"/>
        </w:rPr>
        <w:t>e</w:t>
      </w:r>
      <w:r>
        <w:rPr>
          <w:rFonts w:eastAsia="Arial Narrow" w:cstheme="minorHAnsi"/>
        </w:rPr>
        <w:t>u</w:t>
      </w:r>
      <w:r>
        <w:rPr>
          <w:rFonts w:eastAsia="Arial Narrow" w:cstheme="minorHAnsi"/>
          <w:spacing w:val="1"/>
        </w:rPr>
        <w:t>j</w:t>
      </w:r>
      <w:r>
        <w:rPr>
          <w:rFonts w:eastAsia="Arial Narrow" w:cstheme="minorHAnsi"/>
        </w:rPr>
        <w:t>edn</w:t>
      </w:r>
      <w:r>
        <w:rPr>
          <w:rFonts w:eastAsia="Arial Narrow" w:cstheme="minorHAnsi"/>
          <w:spacing w:val="-2"/>
        </w:rPr>
        <w:t>a</w:t>
      </w:r>
      <w:r>
        <w:rPr>
          <w:rFonts w:eastAsia="Arial Narrow" w:cstheme="minorHAnsi"/>
          <w:spacing w:val="1"/>
        </w:rPr>
        <w:t>č</w:t>
      </w:r>
      <w:r>
        <w:rPr>
          <w:rFonts w:eastAsia="Arial Narrow" w:cstheme="minorHAnsi"/>
        </w:rPr>
        <w:t>en</w:t>
      </w:r>
      <w:r>
        <w:rPr>
          <w:rFonts w:eastAsia="Arial Narrow" w:cstheme="minorHAnsi"/>
          <w:spacing w:val="-2"/>
        </w:rPr>
        <w:t>i</w:t>
      </w:r>
      <w:r>
        <w:rPr>
          <w:rFonts w:eastAsia="Arial Narrow" w:cstheme="minorHAnsi"/>
        </w:rPr>
        <w:t>m re</w:t>
      </w:r>
      <w:r>
        <w:rPr>
          <w:rFonts w:eastAsia="Arial Narrow" w:cstheme="minorHAnsi"/>
          <w:spacing w:val="-2"/>
        </w:rPr>
        <w:t>ž</w:t>
      </w:r>
      <w:r>
        <w:rPr>
          <w:rFonts w:eastAsia="Arial Narrow" w:cstheme="minorHAnsi"/>
          <w:spacing w:val="1"/>
        </w:rPr>
        <w:t>i</w:t>
      </w:r>
      <w:r>
        <w:rPr>
          <w:rFonts w:eastAsia="Arial Narrow" w:cstheme="minorHAnsi"/>
        </w:rPr>
        <w:t>m</w:t>
      </w:r>
      <w:r>
        <w:rPr>
          <w:rFonts w:eastAsia="Arial Narrow" w:cstheme="minorHAnsi"/>
          <w:spacing w:val="-2"/>
        </w:rPr>
        <w:t>o</w:t>
      </w:r>
      <w:r>
        <w:rPr>
          <w:rFonts w:eastAsia="Arial Narrow" w:cstheme="minorHAnsi"/>
        </w:rPr>
        <w:t>m nad</w:t>
      </w:r>
      <w:r>
        <w:rPr>
          <w:rFonts w:eastAsia="Arial Narrow" w:cstheme="minorHAnsi"/>
          <w:spacing w:val="1"/>
        </w:rPr>
        <w:t>z</w:t>
      </w:r>
      <w:r>
        <w:rPr>
          <w:rFonts w:eastAsia="Arial Narrow" w:cstheme="minorHAnsi"/>
          <w:spacing w:val="-2"/>
        </w:rPr>
        <w:t>e</w:t>
      </w:r>
      <w:r>
        <w:rPr>
          <w:rFonts w:eastAsia="Arial Narrow" w:cstheme="minorHAnsi"/>
        </w:rPr>
        <w:t>mn</w:t>
      </w:r>
      <w:r>
        <w:rPr>
          <w:rFonts w:eastAsia="Arial Narrow" w:cstheme="minorHAnsi"/>
          <w:spacing w:val="1"/>
        </w:rPr>
        <w:t>i</w:t>
      </w:r>
      <w:r>
        <w:rPr>
          <w:rFonts w:eastAsia="Arial Narrow" w:cstheme="minorHAnsi"/>
        </w:rPr>
        <w:t>h</w:t>
      </w:r>
      <w:r>
        <w:rPr>
          <w:rFonts w:eastAsia="Arial Narrow" w:cstheme="minorHAnsi"/>
          <w:spacing w:val="-12"/>
        </w:rPr>
        <w:t xml:space="preserve"> </w:t>
      </w:r>
      <w:r>
        <w:rPr>
          <w:rFonts w:eastAsia="Arial Narrow" w:cstheme="minorHAnsi"/>
        </w:rPr>
        <w:t>i</w:t>
      </w:r>
      <w:r>
        <w:rPr>
          <w:rFonts w:eastAsia="Arial Narrow" w:cstheme="minorHAnsi"/>
          <w:spacing w:val="-9"/>
        </w:rPr>
        <w:t xml:space="preserve"> </w:t>
      </w:r>
      <w:r>
        <w:rPr>
          <w:rFonts w:eastAsia="Arial Narrow" w:cstheme="minorHAnsi"/>
          <w:spacing w:val="-2"/>
        </w:rPr>
        <w:t>p</w:t>
      </w:r>
      <w:r>
        <w:rPr>
          <w:rFonts w:eastAsia="Arial Narrow" w:cstheme="minorHAnsi"/>
        </w:rPr>
        <w:t>od</w:t>
      </w:r>
      <w:r>
        <w:rPr>
          <w:rFonts w:eastAsia="Arial Narrow" w:cstheme="minorHAnsi"/>
          <w:spacing w:val="1"/>
        </w:rPr>
        <w:t>z</w:t>
      </w:r>
      <w:r>
        <w:rPr>
          <w:rFonts w:eastAsia="Arial Narrow" w:cstheme="minorHAnsi"/>
          <w:spacing w:val="-2"/>
        </w:rPr>
        <w:t>e</w:t>
      </w:r>
      <w:r>
        <w:rPr>
          <w:rFonts w:eastAsia="Arial Narrow" w:cstheme="minorHAnsi"/>
        </w:rPr>
        <w:t>mn</w:t>
      </w:r>
      <w:r>
        <w:rPr>
          <w:rFonts w:eastAsia="Arial Narrow" w:cstheme="minorHAnsi"/>
          <w:spacing w:val="-2"/>
        </w:rPr>
        <w:t>i</w:t>
      </w:r>
      <w:r>
        <w:rPr>
          <w:rFonts w:eastAsia="Arial Narrow" w:cstheme="minorHAnsi"/>
        </w:rPr>
        <w:t>h</w:t>
      </w:r>
      <w:r>
        <w:rPr>
          <w:rFonts w:eastAsia="Arial Narrow" w:cstheme="minorHAnsi"/>
          <w:spacing w:val="-9"/>
        </w:rPr>
        <w:t xml:space="preserve"> </w:t>
      </w:r>
      <w:r>
        <w:rPr>
          <w:rFonts w:eastAsia="Arial Narrow" w:cstheme="minorHAnsi"/>
          <w:spacing w:val="1"/>
        </w:rPr>
        <w:t>v</w:t>
      </w:r>
      <w:r>
        <w:rPr>
          <w:rFonts w:eastAsia="Arial Narrow" w:cstheme="minorHAnsi"/>
          <w:spacing w:val="-2"/>
        </w:rPr>
        <w:t>o</w:t>
      </w:r>
      <w:r>
        <w:rPr>
          <w:rFonts w:eastAsia="Arial Narrow" w:cstheme="minorHAnsi"/>
        </w:rPr>
        <w:t>da</w:t>
      </w:r>
      <w:r w:rsidR="00EF4893">
        <w:rPr>
          <w:rFonts w:eastAsia="Arial Narrow" w:cstheme="minorHAnsi"/>
        </w:rPr>
        <w:t>,</w:t>
      </w:r>
      <w:r>
        <w:rPr>
          <w:rFonts w:eastAsia="Arial Narrow" w:cstheme="minorHAnsi"/>
        </w:rPr>
        <w:t xml:space="preserve"> utječu na strukturu poljoprivredne proizvodnje. Stanovništvo se tradicionalno bavi poljoprivredom na manjim posjedima, a jedno od</w:t>
      </w:r>
      <w:r>
        <w:rPr>
          <w:rFonts w:eastAsia="Arial Narrow" w:cstheme="minorHAnsi"/>
          <w:spacing w:val="2"/>
        </w:rPr>
        <w:t xml:space="preserve"> </w:t>
      </w:r>
      <w:r>
        <w:rPr>
          <w:rFonts w:eastAsia="Arial Narrow" w:cstheme="minorHAnsi"/>
        </w:rPr>
        <w:t>o</w:t>
      </w:r>
      <w:r>
        <w:rPr>
          <w:rFonts w:eastAsia="Arial Narrow" w:cstheme="minorHAnsi"/>
          <w:spacing w:val="-2"/>
        </w:rPr>
        <w:t>s</w:t>
      </w:r>
      <w:r>
        <w:rPr>
          <w:rFonts w:eastAsia="Arial Narrow" w:cstheme="minorHAnsi"/>
        </w:rPr>
        <w:t>n</w:t>
      </w:r>
      <w:r>
        <w:rPr>
          <w:rFonts w:eastAsia="Arial Narrow" w:cstheme="minorHAnsi"/>
          <w:spacing w:val="-2"/>
        </w:rPr>
        <w:t>o</w:t>
      </w:r>
      <w:r>
        <w:rPr>
          <w:rFonts w:eastAsia="Arial Narrow" w:cstheme="minorHAnsi"/>
          <w:spacing w:val="1"/>
        </w:rPr>
        <w:t>v</w:t>
      </w:r>
      <w:r>
        <w:rPr>
          <w:rFonts w:eastAsia="Arial Narrow" w:cstheme="minorHAnsi"/>
        </w:rPr>
        <w:t>n</w:t>
      </w:r>
      <w:r>
        <w:rPr>
          <w:rFonts w:eastAsia="Arial Narrow" w:cstheme="minorHAnsi"/>
          <w:spacing w:val="1"/>
        </w:rPr>
        <w:t>i</w:t>
      </w:r>
      <w:r>
        <w:rPr>
          <w:rFonts w:eastAsia="Arial Narrow" w:cstheme="minorHAnsi"/>
        </w:rPr>
        <w:t>h</w:t>
      </w:r>
      <w:r>
        <w:rPr>
          <w:rFonts w:eastAsia="Arial Narrow" w:cstheme="minorHAnsi"/>
          <w:spacing w:val="2"/>
        </w:rPr>
        <w:t xml:space="preserve"> </w:t>
      </w:r>
      <w:r>
        <w:rPr>
          <w:rFonts w:eastAsia="Arial Narrow" w:cstheme="minorHAnsi"/>
        </w:rPr>
        <w:t>o</w:t>
      </w:r>
      <w:r>
        <w:rPr>
          <w:rFonts w:eastAsia="Arial Narrow" w:cstheme="minorHAnsi"/>
          <w:spacing w:val="-2"/>
        </w:rPr>
        <w:t>b</w:t>
      </w:r>
      <w:r>
        <w:rPr>
          <w:rFonts w:eastAsia="Arial Narrow" w:cstheme="minorHAnsi"/>
          <w:spacing w:val="1"/>
        </w:rPr>
        <w:t>ilj</w:t>
      </w:r>
      <w:r>
        <w:rPr>
          <w:rFonts w:eastAsia="Arial Narrow" w:cstheme="minorHAnsi"/>
          <w:spacing w:val="-2"/>
        </w:rPr>
        <w:t>e</w:t>
      </w:r>
      <w:r>
        <w:rPr>
          <w:rFonts w:eastAsia="Arial Narrow" w:cstheme="minorHAnsi"/>
          <w:spacing w:val="1"/>
        </w:rPr>
        <w:t>žj</w:t>
      </w:r>
      <w:r>
        <w:rPr>
          <w:rFonts w:eastAsia="Arial Narrow" w:cstheme="minorHAnsi"/>
        </w:rPr>
        <w:t>a</w:t>
      </w:r>
      <w:r>
        <w:rPr>
          <w:rFonts w:eastAsia="Arial Narrow" w:cstheme="minorHAnsi"/>
          <w:spacing w:val="2"/>
        </w:rPr>
        <w:t xml:space="preserve"> </w:t>
      </w:r>
      <w:r>
        <w:rPr>
          <w:rFonts w:eastAsia="Arial Narrow" w:cstheme="minorHAnsi"/>
          <w:spacing w:val="-2"/>
        </w:rPr>
        <w:t>p</w:t>
      </w:r>
      <w:r>
        <w:rPr>
          <w:rFonts w:eastAsia="Arial Narrow" w:cstheme="minorHAnsi"/>
        </w:rPr>
        <w:t>o</w:t>
      </w:r>
      <w:r>
        <w:rPr>
          <w:rFonts w:eastAsia="Arial Narrow" w:cstheme="minorHAnsi"/>
          <w:spacing w:val="1"/>
        </w:rPr>
        <w:t>lj</w:t>
      </w:r>
      <w:r>
        <w:rPr>
          <w:rFonts w:eastAsia="Arial Narrow" w:cstheme="minorHAnsi"/>
          <w:spacing w:val="-2"/>
        </w:rPr>
        <w:t>o</w:t>
      </w:r>
      <w:r>
        <w:rPr>
          <w:rFonts w:eastAsia="Arial Narrow" w:cstheme="minorHAnsi"/>
        </w:rPr>
        <w:t>pr</w:t>
      </w:r>
      <w:r>
        <w:rPr>
          <w:rFonts w:eastAsia="Arial Narrow" w:cstheme="minorHAnsi"/>
          <w:spacing w:val="1"/>
        </w:rPr>
        <w:t>iv</w:t>
      </w:r>
      <w:r>
        <w:rPr>
          <w:rFonts w:eastAsia="Arial Narrow" w:cstheme="minorHAnsi"/>
        </w:rPr>
        <w:t>r</w:t>
      </w:r>
      <w:r>
        <w:rPr>
          <w:rFonts w:eastAsia="Arial Narrow" w:cstheme="minorHAnsi"/>
          <w:spacing w:val="-2"/>
        </w:rPr>
        <w:t>e</w:t>
      </w:r>
      <w:r>
        <w:rPr>
          <w:rFonts w:eastAsia="Arial Narrow" w:cstheme="minorHAnsi"/>
        </w:rPr>
        <w:t>dn</w:t>
      </w:r>
      <w:r>
        <w:rPr>
          <w:rFonts w:eastAsia="Arial Narrow" w:cstheme="minorHAnsi"/>
          <w:spacing w:val="1"/>
        </w:rPr>
        <w:t>i</w:t>
      </w:r>
      <w:r>
        <w:rPr>
          <w:rFonts w:eastAsia="Arial Narrow" w:cstheme="minorHAnsi"/>
        </w:rPr>
        <w:t>h go</w:t>
      </w:r>
      <w:r>
        <w:rPr>
          <w:rFonts w:eastAsia="Arial Narrow" w:cstheme="minorHAnsi"/>
          <w:spacing w:val="1"/>
        </w:rPr>
        <w:t>s</w:t>
      </w:r>
      <w:r>
        <w:rPr>
          <w:rFonts w:eastAsia="Arial Narrow" w:cstheme="minorHAnsi"/>
        </w:rPr>
        <w:t>poda</w:t>
      </w:r>
      <w:r>
        <w:rPr>
          <w:rFonts w:eastAsia="Arial Narrow" w:cstheme="minorHAnsi"/>
          <w:spacing w:val="-3"/>
        </w:rPr>
        <w:t>r</w:t>
      </w:r>
      <w:r>
        <w:rPr>
          <w:rFonts w:eastAsia="Arial Narrow" w:cstheme="minorHAnsi"/>
          <w:spacing w:val="1"/>
        </w:rPr>
        <w:t>s</w:t>
      </w:r>
      <w:r>
        <w:rPr>
          <w:rFonts w:eastAsia="Arial Narrow" w:cstheme="minorHAnsi"/>
        </w:rPr>
        <w:t>ta</w:t>
      </w:r>
      <w:r>
        <w:rPr>
          <w:rFonts w:eastAsia="Arial Narrow" w:cstheme="minorHAnsi"/>
          <w:spacing w:val="-2"/>
        </w:rPr>
        <w:t>v</w:t>
      </w:r>
      <w:r>
        <w:rPr>
          <w:rFonts w:eastAsia="Arial Narrow" w:cstheme="minorHAnsi"/>
        </w:rPr>
        <w:t>a</w:t>
      </w:r>
      <w:r>
        <w:rPr>
          <w:rFonts w:eastAsia="Arial Narrow" w:cstheme="minorHAnsi"/>
          <w:spacing w:val="2"/>
        </w:rPr>
        <w:t xml:space="preserve"> </w:t>
      </w:r>
      <w:r>
        <w:rPr>
          <w:rFonts w:eastAsia="Arial Narrow" w:cstheme="minorHAnsi"/>
          <w:spacing w:val="1"/>
        </w:rPr>
        <w:t>j</w:t>
      </w:r>
      <w:r>
        <w:rPr>
          <w:rFonts w:eastAsia="Arial Narrow" w:cstheme="minorHAnsi"/>
        </w:rPr>
        <w:t>e</w:t>
      </w:r>
      <w:r>
        <w:rPr>
          <w:rFonts w:eastAsia="Arial Narrow" w:cstheme="minorHAnsi"/>
          <w:spacing w:val="2"/>
        </w:rPr>
        <w:t xml:space="preserve"> </w:t>
      </w:r>
      <w:r>
        <w:rPr>
          <w:rFonts w:eastAsia="Arial Narrow" w:cstheme="minorHAnsi"/>
        </w:rPr>
        <w:t>u</w:t>
      </w:r>
      <w:r>
        <w:rPr>
          <w:rFonts w:eastAsia="Arial Narrow" w:cstheme="minorHAnsi"/>
          <w:spacing w:val="-2"/>
        </w:rPr>
        <w:t>s</w:t>
      </w:r>
      <w:r>
        <w:rPr>
          <w:rFonts w:eastAsia="Arial Narrow" w:cstheme="minorHAnsi"/>
          <w:spacing w:val="1"/>
        </w:rPr>
        <w:t>i</w:t>
      </w:r>
      <w:r>
        <w:rPr>
          <w:rFonts w:eastAsia="Arial Narrow" w:cstheme="minorHAnsi"/>
        </w:rPr>
        <w:t>tn</w:t>
      </w:r>
      <w:r>
        <w:rPr>
          <w:rFonts w:eastAsia="Arial Narrow" w:cstheme="minorHAnsi"/>
          <w:spacing w:val="-2"/>
        </w:rPr>
        <w:t>j</w:t>
      </w:r>
      <w:r>
        <w:rPr>
          <w:rFonts w:eastAsia="Arial Narrow" w:cstheme="minorHAnsi"/>
        </w:rPr>
        <w:t>en</w:t>
      </w:r>
      <w:r>
        <w:rPr>
          <w:rFonts w:eastAsia="Arial Narrow" w:cstheme="minorHAnsi"/>
          <w:spacing w:val="-2"/>
        </w:rPr>
        <w:t>o</w:t>
      </w:r>
      <w:r>
        <w:rPr>
          <w:rFonts w:eastAsia="Arial Narrow" w:cstheme="minorHAnsi"/>
          <w:spacing w:val="1"/>
        </w:rPr>
        <w:t>s</w:t>
      </w:r>
      <w:r>
        <w:rPr>
          <w:rFonts w:eastAsia="Arial Narrow" w:cstheme="minorHAnsi"/>
        </w:rPr>
        <w:t>t</w:t>
      </w:r>
      <w:r>
        <w:rPr>
          <w:rFonts w:eastAsia="Arial Narrow" w:cstheme="minorHAnsi"/>
          <w:spacing w:val="2"/>
        </w:rPr>
        <w:t xml:space="preserve"> </w:t>
      </w:r>
      <w:r>
        <w:rPr>
          <w:rFonts w:eastAsia="Arial Narrow" w:cstheme="minorHAnsi"/>
        </w:rPr>
        <w:t>po</w:t>
      </w:r>
      <w:r>
        <w:rPr>
          <w:rFonts w:eastAsia="Arial Narrow" w:cstheme="minorHAnsi"/>
          <w:spacing w:val="1"/>
        </w:rPr>
        <w:t>s</w:t>
      </w:r>
      <w:r>
        <w:rPr>
          <w:rFonts w:eastAsia="Arial Narrow" w:cstheme="minorHAnsi"/>
          <w:spacing w:val="-2"/>
        </w:rPr>
        <w:t>j</w:t>
      </w:r>
      <w:r>
        <w:rPr>
          <w:rFonts w:eastAsia="Arial Narrow" w:cstheme="minorHAnsi"/>
        </w:rPr>
        <w:t>eda</w:t>
      </w:r>
      <w:r>
        <w:rPr>
          <w:rFonts w:eastAsia="Arial Narrow" w:cstheme="minorHAnsi"/>
          <w:spacing w:val="2"/>
        </w:rPr>
        <w:t xml:space="preserve"> </w:t>
      </w:r>
      <w:r>
        <w:rPr>
          <w:rFonts w:eastAsia="Arial Narrow" w:cstheme="minorHAnsi"/>
        </w:rPr>
        <w:t>i</w:t>
      </w:r>
      <w:r>
        <w:rPr>
          <w:rFonts w:eastAsia="Arial Narrow" w:cstheme="minorHAnsi"/>
          <w:spacing w:val="3"/>
        </w:rPr>
        <w:t xml:space="preserve"> </w:t>
      </w:r>
      <w:r>
        <w:rPr>
          <w:rFonts w:eastAsia="Arial Narrow" w:cstheme="minorHAnsi"/>
          <w:spacing w:val="-2"/>
        </w:rPr>
        <w:t>n</w:t>
      </w:r>
      <w:r>
        <w:rPr>
          <w:rFonts w:eastAsia="Arial Narrow" w:cstheme="minorHAnsi"/>
          <w:spacing w:val="1"/>
        </w:rPr>
        <w:t>ji</w:t>
      </w:r>
      <w:r>
        <w:rPr>
          <w:rFonts w:eastAsia="Arial Narrow" w:cstheme="minorHAnsi"/>
        </w:rPr>
        <w:t>h</w:t>
      </w:r>
      <w:r>
        <w:rPr>
          <w:rFonts w:eastAsia="Arial Narrow" w:cstheme="minorHAnsi"/>
          <w:spacing w:val="-2"/>
        </w:rPr>
        <w:t>o</w:t>
      </w:r>
      <w:r>
        <w:rPr>
          <w:rFonts w:eastAsia="Arial Narrow" w:cstheme="minorHAnsi"/>
          <w:spacing w:val="1"/>
        </w:rPr>
        <w:t>v</w:t>
      </w:r>
      <w:r>
        <w:rPr>
          <w:rFonts w:eastAsia="Arial Narrow" w:cstheme="minorHAnsi"/>
        </w:rPr>
        <w:t>a ra</w:t>
      </w:r>
      <w:r>
        <w:rPr>
          <w:rFonts w:eastAsia="Arial Narrow" w:cstheme="minorHAnsi"/>
          <w:spacing w:val="1"/>
        </w:rPr>
        <w:t>scj</w:t>
      </w:r>
      <w:r>
        <w:rPr>
          <w:rFonts w:eastAsia="Arial Narrow" w:cstheme="minorHAnsi"/>
          <w:spacing w:val="-2"/>
        </w:rPr>
        <w:t>e</w:t>
      </w:r>
      <w:r>
        <w:rPr>
          <w:rFonts w:eastAsia="Arial Narrow" w:cstheme="minorHAnsi"/>
        </w:rPr>
        <w:t>p</w:t>
      </w:r>
      <w:r>
        <w:rPr>
          <w:rFonts w:eastAsia="Arial Narrow" w:cstheme="minorHAnsi"/>
          <w:spacing w:val="1"/>
        </w:rPr>
        <w:t>k</w:t>
      </w:r>
      <w:r>
        <w:rPr>
          <w:rFonts w:eastAsia="Arial Narrow" w:cstheme="minorHAnsi"/>
        </w:rPr>
        <w:t>a</w:t>
      </w:r>
      <w:r>
        <w:rPr>
          <w:rFonts w:eastAsia="Arial Narrow" w:cstheme="minorHAnsi"/>
          <w:spacing w:val="-2"/>
        </w:rPr>
        <w:t>n</w:t>
      </w:r>
      <w:r>
        <w:rPr>
          <w:rFonts w:eastAsia="Arial Narrow" w:cstheme="minorHAnsi"/>
        </w:rPr>
        <w:t>o</w:t>
      </w:r>
      <w:r>
        <w:rPr>
          <w:rFonts w:eastAsia="Arial Narrow" w:cstheme="minorHAnsi"/>
          <w:spacing w:val="1"/>
        </w:rPr>
        <w:t>s</w:t>
      </w:r>
      <w:r>
        <w:rPr>
          <w:rFonts w:eastAsia="Arial Narrow" w:cstheme="minorHAnsi"/>
        </w:rPr>
        <w:t>t.</w:t>
      </w:r>
    </w:p>
    <w:p w14:paraId="51C5D76B" w14:textId="52AEFCD9" w:rsidR="00AF50EF" w:rsidRDefault="008878A0" w:rsidP="0052192B">
      <w:pPr>
        <w:pStyle w:val="Naslov2"/>
      </w:pPr>
      <w:r>
        <w:rPr>
          <w:rFonts w:cstheme="minorHAnsi"/>
          <w:sz w:val="19"/>
          <w:szCs w:val="19"/>
        </w:rPr>
        <w:br/>
      </w:r>
      <w:bookmarkStart w:id="190" w:name="_Toc85181356"/>
      <w:r w:rsidR="00AF50EF">
        <w:t>1</w:t>
      </w:r>
      <w:r w:rsidR="00B601EE">
        <w:t>2</w:t>
      </w:r>
      <w:r w:rsidR="00AF50EF">
        <w:t>.1. Poljoprivredna gospodarstva</w:t>
      </w:r>
      <w:bookmarkEnd w:id="190"/>
    </w:p>
    <w:p w14:paraId="269EAF80" w14:textId="2DE5FCBD" w:rsidR="00AF50EF" w:rsidRDefault="00AF50EF" w:rsidP="00941871">
      <w:pPr>
        <w:spacing w:line="283" w:lineRule="auto"/>
        <w:ind w:right="72"/>
        <w:rPr>
          <w:rFonts w:eastAsia="Arial Narrow" w:cstheme="minorHAnsi"/>
          <w:color w:val="FF0000"/>
          <w:spacing w:val="-1"/>
        </w:rPr>
      </w:pPr>
    </w:p>
    <w:p w14:paraId="05C67F33" w14:textId="25FCDE62" w:rsidR="00D71E6A" w:rsidRPr="00F06B40" w:rsidRDefault="00C4017D" w:rsidP="00D71E6A">
      <w:pPr>
        <w:spacing w:line="283" w:lineRule="auto"/>
        <w:ind w:right="72"/>
        <w:rPr>
          <w:rFonts w:eastAsia="Arial Narrow" w:cstheme="minorHAnsi"/>
        </w:rPr>
      </w:pPr>
      <w:r>
        <w:rPr>
          <w:rFonts w:eastAsia="Arial Narrow" w:cstheme="minorHAnsi"/>
        </w:rPr>
        <w:t>Poljoprivredno gospodarstvo čine sve proizvodne jedinice na kojima se obavlja poljoprivredna djelatnost i kojima upravlja poljoprivrednik.</w:t>
      </w:r>
      <w:r w:rsidR="00554169">
        <w:rPr>
          <w:rFonts w:eastAsia="Arial Narrow" w:cstheme="minorHAnsi"/>
        </w:rPr>
        <w:t xml:space="preserve"> </w:t>
      </w:r>
      <w:r w:rsidR="008878A0">
        <w:rPr>
          <w:rFonts w:eastAsia="Arial Narrow" w:cstheme="minorHAnsi"/>
        </w:rPr>
        <w:t>Subjekti koji se bave poljoprivrednom proizvodnjom evidentirani su u Upisniku poljoprivrednika.</w:t>
      </w:r>
      <w:r w:rsidR="008878A0">
        <w:rPr>
          <w:rFonts w:eastAsia="Arial Narrow" w:cstheme="minorHAnsi"/>
          <w:spacing w:val="-1"/>
        </w:rPr>
        <w:t xml:space="preserve"> </w:t>
      </w:r>
      <w:r>
        <w:rPr>
          <w:rFonts w:eastAsia="Arial Narrow" w:cstheme="minorHAnsi"/>
        </w:rPr>
        <w:t>P</w:t>
      </w:r>
      <w:r w:rsidR="008878A0">
        <w:rPr>
          <w:rFonts w:eastAsia="Arial Narrow" w:cstheme="minorHAnsi"/>
        </w:rPr>
        <w:t>odaci iz Upisnika poljoprivrednika pokazuju kako je na p</w:t>
      </w:r>
      <w:r w:rsidR="008878A0">
        <w:rPr>
          <w:rFonts w:eastAsia="Arial Narrow" w:cstheme="minorHAnsi"/>
          <w:spacing w:val="-2"/>
        </w:rPr>
        <w:t>o</w:t>
      </w:r>
      <w:r w:rsidR="008878A0">
        <w:rPr>
          <w:rFonts w:eastAsia="Arial Narrow" w:cstheme="minorHAnsi"/>
        </w:rPr>
        <w:t>dru</w:t>
      </w:r>
      <w:r w:rsidR="008878A0">
        <w:rPr>
          <w:rFonts w:eastAsia="Arial Narrow" w:cstheme="minorHAnsi"/>
          <w:spacing w:val="-2"/>
        </w:rPr>
        <w:t>č</w:t>
      </w:r>
      <w:r w:rsidR="008878A0">
        <w:rPr>
          <w:rFonts w:eastAsia="Arial Narrow" w:cstheme="minorHAnsi"/>
          <w:spacing w:val="1"/>
        </w:rPr>
        <w:t>j</w:t>
      </w:r>
      <w:r w:rsidR="008878A0">
        <w:rPr>
          <w:rFonts w:eastAsia="Arial Narrow" w:cstheme="minorHAnsi"/>
        </w:rPr>
        <w:t>u</w:t>
      </w:r>
      <w:r w:rsidR="008878A0">
        <w:rPr>
          <w:rFonts w:eastAsia="Arial Narrow" w:cstheme="minorHAnsi"/>
          <w:spacing w:val="-9"/>
        </w:rPr>
        <w:t xml:space="preserve"> </w:t>
      </w:r>
      <w:r w:rsidR="008878A0">
        <w:rPr>
          <w:rFonts w:eastAsia="Arial Narrow" w:cstheme="minorHAnsi"/>
          <w:spacing w:val="-1"/>
        </w:rPr>
        <w:t>K</w:t>
      </w:r>
      <w:r w:rsidR="008878A0">
        <w:rPr>
          <w:rFonts w:eastAsia="Arial Narrow" w:cstheme="minorHAnsi"/>
        </w:rPr>
        <w:t>rap</w:t>
      </w:r>
      <w:r w:rsidR="008878A0">
        <w:rPr>
          <w:rFonts w:eastAsia="Arial Narrow" w:cstheme="minorHAnsi"/>
          <w:spacing w:val="-2"/>
        </w:rPr>
        <w:t>i</w:t>
      </w:r>
      <w:r w:rsidR="008878A0">
        <w:rPr>
          <w:rFonts w:eastAsia="Arial Narrow" w:cstheme="minorHAnsi"/>
        </w:rPr>
        <w:t>n</w:t>
      </w:r>
      <w:r w:rsidR="008878A0">
        <w:rPr>
          <w:rFonts w:eastAsia="Arial Narrow" w:cstheme="minorHAnsi"/>
          <w:spacing w:val="1"/>
        </w:rPr>
        <w:t>s</w:t>
      </w:r>
      <w:r w:rsidR="008878A0">
        <w:rPr>
          <w:rFonts w:eastAsia="Arial Narrow" w:cstheme="minorHAnsi"/>
          <w:spacing w:val="-2"/>
        </w:rPr>
        <w:t>k</w:t>
      </w:r>
      <w:r w:rsidR="008878A0">
        <w:rPr>
          <w:rFonts w:eastAsia="Arial Narrow" w:cstheme="minorHAnsi"/>
        </w:rPr>
        <w:t>o-</w:t>
      </w:r>
      <w:r w:rsidR="008878A0">
        <w:rPr>
          <w:rFonts w:eastAsia="Arial Narrow" w:cstheme="minorHAnsi"/>
          <w:spacing w:val="1"/>
        </w:rPr>
        <w:t>z</w:t>
      </w:r>
      <w:r w:rsidR="008878A0">
        <w:rPr>
          <w:rFonts w:eastAsia="Arial Narrow" w:cstheme="minorHAnsi"/>
        </w:rPr>
        <w:t>a</w:t>
      </w:r>
      <w:r w:rsidR="008878A0">
        <w:rPr>
          <w:rFonts w:eastAsia="Arial Narrow" w:cstheme="minorHAnsi"/>
          <w:spacing w:val="-2"/>
        </w:rPr>
        <w:t>g</w:t>
      </w:r>
      <w:r w:rsidR="008878A0">
        <w:rPr>
          <w:rFonts w:eastAsia="Arial Narrow" w:cstheme="minorHAnsi"/>
        </w:rPr>
        <w:t>or</w:t>
      </w:r>
      <w:r w:rsidR="008878A0">
        <w:rPr>
          <w:rFonts w:eastAsia="Arial Narrow" w:cstheme="minorHAnsi"/>
          <w:spacing w:val="1"/>
        </w:rPr>
        <w:t>s</w:t>
      </w:r>
      <w:r w:rsidR="008878A0">
        <w:rPr>
          <w:rFonts w:eastAsia="Arial Narrow" w:cstheme="minorHAnsi"/>
          <w:spacing w:val="-2"/>
        </w:rPr>
        <w:t>k</w:t>
      </w:r>
      <w:r w:rsidR="008878A0">
        <w:rPr>
          <w:rFonts w:eastAsia="Arial Narrow" w:cstheme="minorHAnsi"/>
        </w:rPr>
        <w:t xml:space="preserve">e </w:t>
      </w:r>
      <w:r w:rsidR="008878A0">
        <w:rPr>
          <w:rFonts w:eastAsia="Arial Narrow" w:cstheme="minorHAnsi"/>
          <w:spacing w:val="1"/>
        </w:rPr>
        <w:t>ž</w:t>
      </w:r>
      <w:r w:rsidR="008878A0">
        <w:rPr>
          <w:rFonts w:eastAsia="Arial Narrow" w:cstheme="minorHAnsi"/>
        </w:rPr>
        <w:t>upan</w:t>
      </w:r>
      <w:r w:rsidR="008878A0">
        <w:rPr>
          <w:rFonts w:eastAsia="Arial Narrow" w:cstheme="minorHAnsi"/>
          <w:spacing w:val="-2"/>
        </w:rPr>
        <w:t>i</w:t>
      </w:r>
      <w:r w:rsidR="008878A0">
        <w:rPr>
          <w:rFonts w:eastAsia="Arial Narrow" w:cstheme="minorHAnsi"/>
          <w:spacing w:val="1"/>
        </w:rPr>
        <w:t>j</w:t>
      </w:r>
      <w:r w:rsidR="008878A0">
        <w:rPr>
          <w:rFonts w:eastAsia="Arial Narrow" w:cstheme="minorHAnsi"/>
        </w:rPr>
        <w:t>e u 201</w:t>
      </w:r>
      <w:r w:rsidR="008878A0">
        <w:rPr>
          <w:rFonts w:eastAsia="Arial Narrow" w:cstheme="minorHAnsi"/>
          <w:spacing w:val="-2"/>
        </w:rPr>
        <w:t>8</w:t>
      </w:r>
      <w:r w:rsidR="008878A0">
        <w:rPr>
          <w:rFonts w:eastAsia="Arial Narrow" w:cstheme="minorHAnsi"/>
        </w:rPr>
        <w:t>. god</w:t>
      </w:r>
      <w:r w:rsidR="008878A0">
        <w:rPr>
          <w:rFonts w:eastAsia="Arial Narrow" w:cstheme="minorHAnsi"/>
          <w:spacing w:val="1"/>
        </w:rPr>
        <w:t>i</w:t>
      </w:r>
      <w:r w:rsidR="008878A0">
        <w:rPr>
          <w:rFonts w:eastAsia="Arial Narrow" w:cstheme="minorHAnsi"/>
          <w:spacing w:val="-2"/>
        </w:rPr>
        <w:t>n</w:t>
      </w:r>
      <w:r w:rsidR="008878A0">
        <w:rPr>
          <w:rFonts w:eastAsia="Arial Narrow" w:cstheme="minorHAnsi"/>
        </w:rPr>
        <w:t>i</w:t>
      </w:r>
      <w:r w:rsidR="008878A0">
        <w:rPr>
          <w:rFonts w:eastAsia="Arial Narrow" w:cstheme="minorHAnsi"/>
          <w:spacing w:val="1"/>
        </w:rPr>
        <w:t xml:space="preserve"> </w:t>
      </w:r>
      <w:r w:rsidR="008878A0">
        <w:rPr>
          <w:rFonts w:eastAsia="Arial Narrow" w:cstheme="minorHAnsi"/>
        </w:rPr>
        <w:t>up</w:t>
      </w:r>
      <w:r w:rsidR="008878A0">
        <w:rPr>
          <w:rFonts w:eastAsia="Arial Narrow" w:cstheme="minorHAnsi"/>
          <w:spacing w:val="-2"/>
        </w:rPr>
        <w:t>is</w:t>
      </w:r>
      <w:r w:rsidR="008878A0">
        <w:rPr>
          <w:rFonts w:eastAsia="Arial Narrow" w:cstheme="minorHAnsi"/>
        </w:rPr>
        <w:t>ano u</w:t>
      </w:r>
      <w:r w:rsidR="008878A0">
        <w:rPr>
          <w:rFonts w:eastAsia="Arial Narrow" w:cstheme="minorHAnsi"/>
          <w:spacing w:val="1"/>
        </w:rPr>
        <w:t>k</w:t>
      </w:r>
      <w:r w:rsidR="008878A0">
        <w:rPr>
          <w:rFonts w:eastAsia="Arial Narrow" w:cstheme="minorHAnsi"/>
          <w:spacing w:val="-2"/>
        </w:rPr>
        <w:t>u</w:t>
      </w:r>
      <w:r w:rsidR="008878A0">
        <w:rPr>
          <w:rFonts w:eastAsia="Arial Narrow" w:cstheme="minorHAnsi"/>
        </w:rPr>
        <w:t xml:space="preserve">pno 8.672 </w:t>
      </w:r>
      <w:r w:rsidR="008878A0">
        <w:rPr>
          <w:rFonts w:eastAsia="Arial Narrow" w:cstheme="minorHAnsi"/>
          <w:spacing w:val="-2"/>
        </w:rPr>
        <w:t>p</w:t>
      </w:r>
      <w:r w:rsidR="008878A0">
        <w:rPr>
          <w:rFonts w:eastAsia="Arial Narrow" w:cstheme="minorHAnsi"/>
        </w:rPr>
        <w:t>o</w:t>
      </w:r>
      <w:r w:rsidR="008878A0">
        <w:rPr>
          <w:rFonts w:eastAsia="Arial Narrow" w:cstheme="minorHAnsi"/>
          <w:spacing w:val="1"/>
        </w:rPr>
        <w:t>lj</w:t>
      </w:r>
      <w:r w:rsidR="008878A0">
        <w:rPr>
          <w:rFonts w:eastAsia="Arial Narrow" w:cstheme="minorHAnsi"/>
          <w:spacing w:val="-2"/>
        </w:rPr>
        <w:t>o</w:t>
      </w:r>
      <w:r w:rsidR="008878A0">
        <w:rPr>
          <w:rFonts w:eastAsia="Arial Narrow" w:cstheme="minorHAnsi"/>
        </w:rPr>
        <w:t>pr</w:t>
      </w:r>
      <w:r w:rsidR="008878A0">
        <w:rPr>
          <w:rFonts w:eastAsia="Arial Narrow" w:cstheme="minorHAnsi"/>
          <w:spacing w:val="-2"/>
        </w:rPr>
        <w:t>i</w:t>
      </w:r>
      <w:r w:rsidR="008878A0">
        <w:rPr>
          <w:rFonts w:eastAsia="Arial Narrow" w:cstheme="minorHAnsi"/>
          <w:spacing w:val="1"/>
        </w:rPr>
        <w:t>v</w:t>
      </w:r>
      <w:r w:rsidR="008878A0">
        <w:rPr>
          <w:rFonts w:eastAsia="Arial Narrow" w:cstheme="minorHAnsi"/>
        </w:rPr>
        <w:t>redn</w:t>
      </w:r>
      <w:r w:rsidR="008878A0">
        <w:rPr>
          <w:rFonts w:eastAsia="Arial Narrow" w:cstheme="minorHAnsi"/>
          <w:spacing w:val="1"/>
        </w:rPr>
        <w:t>i</w:t>
      </w:r>
      <w:r w:rsidR="008878A0">
        <w:rPr>
          <w:rFonts w:eastAsia="Arial Narrow" w:cstheme="minorHAnsi"/>
        </w:rPr>
        <w:t xml:space="preserve">h </w:t>
      </w:r>
      <w:r w:rsidR="008878A0">
        <w:rPr>
          <w:rFonts w:eastAsia="Arial Narrow" w:cstheme="minorHAnsi"/>
          <w:spacing w:val="-2"/>
        </w:rPr>
        <w:t>g</w:t>
      </w:r>
      <w:r w:rsidR="008878A0">
        <w:rPr>
          <w:rFonts w:eastAsia="Arial Narrow" w:cstheme="minorHAnsi"/>
        </w:rPr>
        <w:t>o</w:t>
      </w:r>
      <w:r w:rsidR="008878A0">
        <w:rPr>
          <w:rFonts w:eastAsia="Arial Narrow" w:cstheme="minorHAnsi"/>
          <w:spacing w:val="1"/>
        </w:rPr>
        <w:t>s</w:t>
      </w:r>
      <w:r w:rsidR="008878A0">
        <w:rPr>
          <w:rFonts w:eastAsia="Arial Narrow" w:cstheme="minorHAnsi"/>
        </w:rPr>
        <w:t>p</w:t>
      </w:r>
      <w:r w:rsidR="008878A0">
        <w:rPr>
          <w:rFonts w:eastAsia="Arial Narrow" w:cstheme="minorHAnsi"/>
          <w:spacing w:val="-2"/>
        </w:rPr>
        <w:t>o</w:t>
      </w:r>
      <w:r w:rsidR="008878A0">
        <w:rPr>
          <w:rFonts w:eastAsia="Arial Narrow" w:cstheme="minorHAnsi"/>
        </w:rPr>
        <w:t>dar</w:t>
      </w:r>
      <w:r w:rsidR="008878A0">
        <w:rPr>
          <w:rFonts w:eastAsia="Arial Narrow" w:cstheme="minorHAnsi"/>
          <w:spacing w:val="1"/>
        </w:rPr>
        <w:t>s</w:t>
      </w:r>
      <w:r w:rsidR="008878A0">
        <w:rPr>
          <w:rFonts w:eastAsia="Arial Narrow" w:cstheme="minorHAnsi"/>
        </w:rPr>
        <w:t>t</w:t>
      </w:r>
      <w:r w:rsidR="008878A0">
        <w:rPr>
          <w:rFonts w:eastAsia="Arial Narrow" w:cstheme="minorHAnsi"/>
          <w:spacing w:val="-2"/>
        </w:rPr>
        <w:t>a</w:t>
      </w:r>
      <w:r w:rsidR="008878A0">
        <w:rPr>
          <w:rFonts w:eastAsia="Arial Narrow" w:cstheme="minorHAnsi"/>
          <w:spacing w:val="1"/>
        </w:rPr>
        <w:t>v</w:t>
      </w:r>
      <w:r w:rsidR="008878A0">
        <w:rPr>
          <w:rFonts w:eastAsia="Arial Narrow" w:cstheme="minorHAnsi"/>
        </w:rPr>
        <w:t>a, od čega je najviše</w:t>
      </w:r>
      <w:r w:rsidR="001E4011">
        <w:rPr>
          <w:rFonts w:eastAsia="Arial Narrow" w:cstheme="minorHAnsi"/>
        </w:rPr>
        <w:t>, 8.518</w:t>
      </w:r>
      <w:r w:rsidR="00BE295C">
        <w:rPr>
          <w:rFonts w:eastAsia="Arial Narrow" w:cstheme="minorHAnsi"/>
        </w:rPr>
        <w:t>,</w:t>
      </w:r>
      <w:r w:rsidR="008878A0">
        <w:rPr>
          <w:rFonts w:eastAsia="Arial Narrow" w:cstheme="minorHAnsi"/>
        </w:rPr>
        <w:t xml:space="preserve"> registrirano kao obiteljsko poljoprivred</w:t>
      </w:r>
      <w:r w:rsidR="001E4011">
        <w:rPr>
          <w:rFonts w:eastAsia="Arial Narrow" w:cstheme="minorHAnsi"/>
        </w:rPr>
        <w:t>no gospodarstvo.</w:t>
      </w:r>
      <w:r w:rsidR="008878A0">
        <w:rPr>
          <w:rFonts w:eastAsia="Arial Narrow" w:cstheme="minorHAnsi"/>
        </w:rPr>
        <w:t xml:space="preserve"> Ostali pravni oblici (obrti, trgovačka društva, zadru</w:t>
      </w:r>
      <w:r w:rsidR="00B85E08">
        <w:rPr>
          <w:rFonts w:eastAsia="Arial Narrow" w:cstheme="minorHAnsi"/>
        </w:rPr>
        <w:t>ge i ostalo) čine manje od 2% ukupnog broja</w:t>
      </w:r>
      <w:r w:rsidR="008878A0">
        <w:rPr>
          <w:rFonts w:eastAsia="Arial Narrow" w:cstheme="minorHAnsi"/>
        </w:rPr>
        <w:t xml:space="preserve"> upisanih. Nakon 5 godina kontinuiranog pada ukupnog broja upisanih u Upisnik poljoprivrednika, u 2018. godini ponovo je zabilježen rast. </w:t>
      </w:r>
      <w:r w:rsidR="002162E4">
        <w:rPr>
          <w:rFonts w:eastAsia="Arial Narrow" w:cstheme="minorHAnsi"/>
        </w:rPr>
        <w:t xml:space="preserve">U 2018. godini došlo je do oporavka i broj registriranih PG-a povećao se za 3,15%. </w:t>
      </w:r>
      <w:r w:rsidR="008878A0">
        <w:rPr>
          <w:rFonts w:eastAsia="Arial Narrow" w:cstheme="minorHAnsi"/>
        </w:rPr>
        <w:t>Najveći rast (u odnosu na</w:t>
      </w:r>
      <w:r w:rsidR="002162E4">
        <w:rPr>
          <w:rFonts w:eastAsia="Arial Narrow" w:cstheme="minorHAnsi"/>
        </w:rPr>
        <w:t xml:space="preserve"> 2012.</w:t>
      </w:r>
      <w:r w:rsidR="003B3F39">
        <w:rPr>
          <w:rFonts w:eastAsia="Arial Narrow" w:cstheme="minorHAnsi"/>
        </w:rPr>
        <w:t xml:space="preserve"> </w:t>
      </w:r>
      <w:r w:rsidR="002162E4">
        <w:rPr>
          <w:rFonts w:eastAsia="Arial Narrow" w:cstheme="minorHAnsi"/>
        </w:rPr>
        <w:t>godinu</w:t>
      </w:r>
      <w:r w:rsidR="008878A0">
        <w:rPr>
          <w:rFonts w:eastAsia="Arial Narrow" w:cstheme="minorHAnsi"/>
        </w:rPr>
        <w:t xml:space="preserve">) zabilježen je u povećanju broja trgovačkih društava i to za </w:t>
      </w:r>
      <w:r w:rsidR="00EF4893">
        <w:rPr>
          <w:rFonts w:eastAsia="Arial Narrow" w:cstheme="minorHAnsi"/>
        </w:rPr>
        <w:t>22</w:t>
      </w:r>
      <w:r w:rsidR="008878A0">
        <w:rPr>
          <w:rFonts w:eastAsia="Arial Narrow" w:cstheme="minorHAnsi"/>
        </w:rPr>
        <w:t>%</w:t>
      </w:r>
      <w:r w:rsidR="001E4011">
        <w:rPr>
          <w:rFonts w:eastAsia="Arial Narrow" w:cstheme="minorHAnsi"/>
        </w:rPr>
        <w:t xml:space="preserve"> (</w:t>
      </w:r>
      <w:r w:rsidR="002162E4">
        <w:rPr>
          <w:rFonts w:eastAsia="Arial Narrow" w:cstheme="minorHAnsi"/>
        </w:rPr>
        <w:t xml:space="preserve">14 </w:t>
      </w:r>
      <w:r w:rsidR="000C5954">
        <w:rPr>
          <w:rFonts w:eastAsia="Arial Narrow" w:cstheme="minorHAnsi"/>
        </w:rPr>
        <w:t xml:space="preserve"> trgovačkih društava</w:t>
      </w:r>
      <w:r w:rsidR="001E4011">
        <w:rPr>
          <w:rFonts w:eastAsia="Arial Narrow" w:cstheme="minorHAnsi"/>
        </w:rPr>
        <w:t>)</w:t>
      </w:r>
      <w:r w:rsidR="008878A0">
        <w:rPr>
          <w:rFonts w:eastAsia="Arial Narrow" w:cstheme="minorHAnsi"/>
        </w:rPr>
        <w:t>.</w:t>
      </w:r>
    </w:p>
    <w:p w14:paraId="108AB556" w14:textId="77777777" w:rsidR="00CB1462" w:rsidRPr="00CB1462" w:rsidRDefault="00CB1462" w:rsidP="00CB1462"/>
    <w:p w14:paraId="209C9282" w14:textId="38F64E6A" w:rsidR="00DD670B" w:rsidRDefault="00DD670B" w:rsidP="003E3F3C">
      <w:pPr>
        <w:pStyle w:val="Opisslike"/>
      </w:pPr>
      <w:bookmarkStart w:id="191" w:name="_Hlk54866662"/>
      <w:r>
        <w:t xml:space="preserve">Tablica </w:t>
      </w:r>
      <w:r w:rsidR="00BD0057">
        <w:t>1</w:t>
      </w:r>
      <w:r w:rsidR="00A7185B">
        <w:t>15</w:t>
      </w:r>
      <w:r>
        <w:t xml:space="preserve">. </w:t>
      </w:r>
      <w:r w:rsidRPr="006E600C">
        <w:t>Broj poljoprivrednih gospodarstava u Krapinsko-zagorskoj županiji, 2012.</w:t>
      </w:r>
      <w:r w:rsidR="009E67D7">
        <w:t xml:space="preserve"> </w:t>
      </w:r>
      <w:r w:rsidRPr="006E600C">
        <w:t>-</w:t>
      </w:r>
      <w:r w:rsidR="009E67D7">
        <w:t xml:space="preserve"> </w:t>
      </w:r>
      <w:r w:rsidRPr="006E600C">
        <w:t>2018.</w:t>
      </w:r>
    </w:p>
    <w:tbl>
      <w:tblPr>
        <w:tblW w:w="0" w:type="auto"/>
        <w:tblBorders>
          <w:left w:val="single" w:sz="8" w:space="0" w:color="D2232A"/>
          <w:right w:val="single" w:sz="8" w:space="0" w:color="D2232A"/>
          <w:insideH w:val="single" w:sz="8" w:space="0" w:color="F3CFC1"/>
          <w:insideV w:val="single" w:sz="8" w:space="0" w:color="D2232A"/>
        </w:tblBorders>
        <w:tblLayout w:type="fixed"/>
        <w:tblLook w:val="04A0" w:firstRow="1" w:lastRow="0" w:firstColumn="1" w:lastColumn="0" w:noHBand="0" w:noVBand="1"/>
      </w:tblPr>
      <w:tblGrid>
        <w:gridCol w:w="798"/>
        <w:gridCol w:w="1454"/>
        <w:gridCol w:w="1454"/>
        <w:gridCol w:w="1455"/>
        <w:gridCol w:w="1454"/>
        <w:gridCol w:w="1455"/>
        <w:gridCol w:w="1214"/>
      </w:tblGrid>
      <w:tr w:rsidR="008878A0" w:rsidRPr="00DD670B" w14:paraId="25C5F040" w14:textId="77777777" w:rsidTr="00DD670B">
        <w:trPr>
          <w:trHeight w:val="283"/>
        </w:trPr>
        <w:tc>
          <w:tcPr>
            <w:tcW w:w="798" w:type="dxa"/>
            <w:shd w:val="clear" w:color="auto" w:fill="D2232A" w:themeFill="accent1"/>
            <w:vAlign w:val="center"/>
            <w:hideMark/>
          </w:tcPr>
          <w:p w14:paraId="66C9DA30" w14:textId="77777777" w:rsidR="008878A0" w:rsidRPr="00DD670B" w:rsidRDefault="008878A0" w:rsidP="00D71E6A">
            <w:pPr>
              <w:jc w:val="center"/>
              <w:rPr>
                <w:rFonts w:eastAsia="Arial Narrow"/>
                <w:color w:val="FFFFFF" w:themeColor="background1"/>
                <w:szCs w:val="18"/>
              </w:rPr>
            </w:pPr>
            <w:bookmarkStart w:id="192" w:name="_Hlk54878418"/>
            <w:r w:rsidRPr="00DD670B">
              <w:rPr>
                <w:rFonts w:eastAsia="Arial Narrow"/>
                <w:color w:val="FFFFFF" w:themeColor="background1"/>
                <w:szCs w:val="18"/>
              </w:rPr>
              <w:t>Godina</w:t>
            </w:r>
          </w:p>
        </w:tc>
        <w:tc>
          <w:tcPr>
            <w:tcW w:w="1454" w:type="dxa"/>
            <w:shd w:val="clear" w:color="auto" w:fill="D2232A" w:themeFill="accent1"/>
            <w:vAlign w:val="center"/>
            <w:hideMark/>
          </w:tcPr>
          <w:p w14:paraId="68C45C39" w14:textId="6B8FCE1F" w:rsidR="008878A0" w:rsidRPr="00DD670B" w:rsidRDefault="008878A0" w:rsidP="00D71E6A">
            <w:pPr>
              <w:jc w:val="right"/>
              <w:rPr>
                <w:rFonts w:eastAsia="Arial Narrow"/>
                <w:color w:val="FFFFFF" w:themeColor="background1"/>
                <w:szCs w:val="18"/>
              </w:rPr>
            </w:pPr>
            <w:r w:rsidRPr="00DD670B">
              <w:rPr>
                <w:rFonts w:eastAsia="Arial Narrow"/>
                <w:color w:val="FFFFFF" w:themeColor="background1"/>
                <w:szCs w:val="18"/>
              </w:rPr>
              <w:t>Obiteljska poljoprivredna gospodarstva</w:t>
            </w:r>
            <w:r w:rsidR="00B0404C">
              <w:rPr>
                <w:rFonts w:eastAsia="Arial Narrow"/>
                <w:color w:val="FFFFFF" w:themeColor="background1"/>
                <w:szCs w:val="18"/>
              </w:rPr>
              <w:t xml:space="preserve"> (OPG)</w:t>
            </w:r>
          </w:p>
        </w:tc>
        <w:tc>
          <w:tcPr>
            <w:tcW w:w="1454" w:type="dxa"/>
            <w:shd w:val="clear" w:color="auto" w:fill="D2232A" w:themeFill="accent1"/>
            <w:vAlign w:val="center"/>
            <w:hideMark/>
          </w:tcPr>
          <w:p w14:paraId="5012E00E" w14:textId="77777777" w:rsidR="008878A0" w:rsidRPr="00DD670B" w:rsidRDefault="008878A0" w:rsidP="00D71E6A">
            <w:pPr>
              <w:jc w:val="right"/>
              <w:rPr>
                <w:rFonts w:eastAsia="Arial Narrow"/>
                <w:color w:val="FFFFFF" w:themeColor="background1"/>
                <w:szCs w:val="18"/>
              </w:rPr>
            </w:pPr>
            <w:r w:rsidRPr="00DD670B">
              <w:rPr>
                <w:rFonts w:eastAsia="Arial Narrow"/>
                <w:color w:val="FFFFFF" w:themeColor="background1"/>
                <w:szCs w:val="18"/>
              </w:rPr>
              <w:t>Obrti</w:t>
            </w:r>
          </w:p>
        </w:tc>
        <w:tc>
          <w:tcPr>
            <w:tcW w:w="1455" w:type="dxa"/>
            <w:shd w:val="clear" w:color="auto" w:fill="D2232A" w:themeFill="accent1"/>
            <w:vAlign w:val="center"/>
            <w:hideMark/>
          </w:tcPr>
          <w:p w14:paraId="7F2A61C2" w14:textId="77777777" w:rsidR="008878A0" w:rsidRPr="00DD670B" w:rsidRDefault="008878A0" w:rsidP="00D71E6A">
            <w:pPr>
              <w:jc w:val="right"/>
              <w:rPr>
                <w:rFonts w:eastAsia="Arial Narrow"/>
                <w:color w:val="FFFFFF" w:themeColor="background1"/>
                <w:szCs w:val="18"/>
              </w:rPr>
            </w:pPr>
            <w:r w:rsidRPr="00DD670B">
              <w:rPr>
                <w:rFonts w:eastAsia="Arial Narrow"/>
                <w:color w:val="FFFFFF" w:themeColor="background1"/>
                <w:szCs w:val="18"/>
              </w:rPr>
              <w:t>Trgovačka društva</w:t>
            </w:r>
          </w:p>
        </w:tc>
        <w:tc>
          <w:tcPr>
            <w:tcW w:w="1454" w:type="dxa"/>
            <w:shd w:val="clear" w:color="auto" w:fill="D2232A" w:themeFill="accent1"/>
            <w:vAlign w:val="center"/>
            <w:hideMark/>
          </w:tcPr>
          <w:p w14:paraId="17F5462A" w14:textId="77777777" w:rsidR="008878A0" w:rsidRPr="00DD670B" w:rsidRDefault="008878A0" w:rsidP="00D71E6A">
            <w:pPr>
              <w:jc w:val="right"/>
              <w:rPr>
                <w:rFonts w:eastAsia="Arial Narrow"/>
                <w:color w:val="FFFFFF" w:themeColor="background1"/>
                <w:szCs w:val="18"/>
              </w:rPr>
            </w:pPr>
            <w:r w:rsidRPr="00DD670B">
              <w:rPr>
                <w:rFonts w:eastAsia="Arial Narrow"/>
                <w:color w:val="FFFFFF" w:themeColor="background1"/>
                <w:szCs w:val="18"/>
              </w:rPr>
              <w:t>Zadruga</w:t>
            </w:r>
          </w:p>
        </w:tc>
        <w:tc>
          <w:tcPr>
            <w:tcW w:w="1455" w:type="dxa"/>
            <w:shd w:val="clear" w:color="auto" w:fill="D2232A" w:themeFill="accent1"/>
            <w:vAlign w:val="center"/>
            <w:hideMark/>
          </w:tcPr>
          <w:p w14:paraId="3791884F" w14:textId="206EB350" w:rsidR="008878A0" w:rsidRPr="00DD670B" w:rsidRDefault="008878A0" w:rsidP="00D71E6A">
            <w:pPr>
              <w:jc w:val="right"/>
              <w:rPr>
                <w:rFonts w:eastAsia="Arial Narrow"/>
                <w:color w:val="FFFFFF" w:themeColor="background1"/>
                <w:szCs w:val="18"/>
              </w:rPr>
            </w:pPr>
            <w:r w:rsidRPr="00DD670B">
              <w:rPr>
                <w:rFonts w:eastAsia="Arial Narrow"/>
                <w:color w:val="FFFFFF" w:themeColor="background1"/>
                <w:szCs w:val="18"/>
              </w:rPr>
              <w:t>Ostal</w:t>
            </w:r>
            <w:r w:rsidR="00B0404C">
              <w:rPr>
                <w:rFonts w:eastAsia="Arial Narrow"/>
                <w:color w:val="FFFFFF" w:themeColor="background1"/>
                <w:szCs w:val="18"/>
              </w:rPr>
              <w:t>i</w:t>
            </w:r>
          </w:p>
        </w:tc>
        <w:tc>
          <w:tcPr>
            <w:tcW w:w="1214" w:type="dxa"/>
            <w:shd w:val="clear" w:color="auto" w:fill="D2232A" w:themeFill="accent1"/>
            <w:vAlign w:val="center"/>
            <w:hideMark/>
          </w:tcPr>
          <w:p w14:paraId="65270A60" w14:textId="77777777" w:rsidR="008878A0" w:rsidRPr="00DD670B" w:rsidRDefault="008878A0" w:rsidP="00D71E6A">
            <w:pPr>
              <w:jc w:val="right"/>
              <w:rPr>
                <w:rFonts w:eastAsia="Arial Narrow"/>
                <w:color w:val="FFFFFF" w:themeColor="background1"/>
                <w:szCs w:val="18"/>
              </w:rPr>
            </w:pPr>
            <w:r w:rsidRPr="00DD670B">
              <w:rPr>
                <w:rFonts w:eastAsia="Arial Narrow"/>
                <w:color w:val="FFFFFF" w:themeColor="background1"/>
                <w:szCs w:val="18"/>
              </w:rPr>
              <w:t>UKUPNO</w:t>
            </w:r>
          </w:p>
        </w:tc>
      </w:tr>
      <w:tr w:rsidR="008878A0" w:rsidRPr="00DD670B" w14:paraId="7EEF4A34" w14:textId="77777777" w:rsidTr="00DD670B">
        <w:trPr>
          <w:trHeight w:val="283"/>
        </w:trPr>
        <w:tc>
          <w:tcPr>
            <w:tcW w:w="798" w:type="dxa"/>
            <w:vAlign w:val="center"/>
            <w:hideMark/>
          </w:tcPr>
          <w:p w14:paraId="359E85E4" w14:textId="77777777" w:rsidR="008878A0" w:rsidRPr="00DD670B" w:rsidRDefault="008878A0" w:rsidP="00D71E6A">
            <w:pPr>
              <w:jc w:val="center"/>
              <w:rPr>
                <w:rFonts w:eastAsia="Arial Narrow"/>
                <w:color w:val="auto"/>
                <w:szCs w:val="18"/>
              </w:rPr>
            </w:pPr>
            <w:r w:rsidRPr="00DD670B">
              <w:rPr>
                <w:rFonts w:eastAsia="Arial Narrow"/>
                <w:w w:val="99"/>
                <w:szCs w:val="18"/>
              </w:rPr>
              <w:t>2012.</w:t>
            </w:r>
          </w:p>
        </w:tc>
        <w:tc>
          <w:tcPr>
            <w:tcW w:w="1454" w:type="dxa"/>
            <w:vAlign w:val="center"/>
            <w:hideMark/>
          </w:tcPr>
          <w:p w14:paraId="1D834FFA" w14:textId="77777777" w:rsidR="008878A0" w:rsidRPr="00DD670B" w:rsidRDefault="008878A0" w:rsidP="00D71E6A">
            <w:pPr>
              <w:jc w:val="right"/>
              <w:rPr>
                <w:rFonts w:eastAsiaTheme="minorHAnsi"/>
                <w:szCs w:val="18"/>
              </w:rPr>
            </w:pPr>
            <w:r w:rsidRPr="00DD670B">
              <w:rPr>
                <w:szCs w:val="18"/>
              </w:rPr>
              <w:t>9.010</w:t>
            </w:r>
          </w:p>
        </w:tc>
        <w:tc>
          <w:tcPr>
            <w:tcW w:w="1454" w:type="dxa"/>
            <w:vAlign w:val="center"/>
            <w:hideMark/>
          </w:tcPr>
          <w:p w14:paraId="519FDC9F" w14:textId="77777777" w:rsidR="008878A0" w:rsidRPr="00DD670B" w:rsidRDefault="008878A0" w:rsidP="00D71E6A">
            <w:pPr>
              <w:jc w:val="right"/>
              <w:rPr>
                <w:szCs w:val="18"/>
              </w:rPr>
            </w:pPr>
            <w:r w:rsidRPr="00DD670B">
              <w:rPr>
                <w:szCs w:val="18"/>
              </w:rPr>
              <w:t>86</w:t>
            </w:r>
          </w:p>
        </w:tc>
        <w:tc>
          <w:tcPr>
            <w:tcW w:w="1455" w:type="dxa"/>
            <w:vAlign w:val="center"/>
            <w:hideMark/>
          </w:tcPr>
          <w:p w14:paraId="7CDF9F71" w14:textId="77777777" w:rsidR="008878A0" w:rsidRPr="00DD670B" w:rsidRDefault="008878A0" w:rsidP="00D71E6A">
            <w:pPr>
              <w:jc w:val="right"/>
              <w:rPr>
                <w:szCs w:val="18"/>
              </w:rPr>
            </w:pPr>
            <w:r w:rsidRPr="00DD670B">
              <w:rPr>
                <w:szCs w:val="18"/>
              </w:rPr>
              <w:t>51</w:t>
            </w:r>
          </w:p>
        </w:tc>
        <w:tc>
          <w:tcPr>
            <w:tcW w:w="1454" w:type="dxa"/>
            <w:vAlign w:val="center"/>
            <w:hideMark/>
          </w:tcPr>
          <w:p w14:paraId="29F4B088" w14:textId="77777777" w:rsidR="008878A0" w:rsidRPr="00DD670B" w:rsidRDefault="008878A0" w:rsidP="00D71E6A">
            <w:pPr>
              <w:jc w:val="right"/>
              <w:rPr>
                <w:szCs w:val="18"/>
              </w:rPr>
            </w:pPr>
            <w:r w:rsidRPr="00DD670B">
              <w:rPr>
                <w:szCs w:val="18"/>
              </w:rPr>
              <w:t>14</w:t>
            </w:r>
          </w:p>
        </w:tc>
        <w:tc>
          <w:tcPr>
            <w:tcW w:w="1455" w:type="dxa"/>
            <w:vAlign w:val="center"/>
            <w:hideMark/>
          </w:tcPr>
          <w:p w14:paraId="2B251C43" w14:textId="77777777" w:rsidR="008878A0" w:rsidRPr="00DD670B" w:rsidRDefault="008878A0" w:rsidP="00D71E6A">
            <w:pPr>
              <w:jc w:val="right"/>
              <w:rPr>
                <w:szCs w:val="18"/>
              </w:rPr>
            </w:pPr>
            <w:r w:rsidRPr="00DD670B">
              <w:rPr>
                <w:szCs w:val="18"/>
              </w:rPr>
              <w:t>2</w:t>
            </w:r>
          </w:p>
        </w:tc>
        <w:tc>
          <w:tcPr>
            <w:tcW w:w="1214" w:type="dxa"/>
            <w:vAlign w:val="center"/>
            <w:hideMark/>
          </w:tcPr>
          <w:p w14:paraId="49B9FB6C" w14:textId="77777777" w:rsidR="008878A0" w:rsidRPr="00DD670B" w:rsidRDefault="008878A0" w:rsidP="00D71E6A">
            <w:pPr>
              <w:jc w:val="right"/>
              <w:rPr>
                <w:szCs w:val="18"/>
              </w:rPr>
            </w:pPr>
            <w:r w:rsidRPr="00DD670B">
              <w:rPr>
                <w:szCs w:val="18"/>
              </w:rPr>
              <w:t>9.163</w:t>
            </w:r>
          </w:p>
        </w:tc>
      </w:tr>
      <w:bookmarkEnd w:id="191"/>
      <w:tr w:rsidR="008878A0" w:rsidRPr="00DD670B" w14:paraId="70859BA6" w14:textId="77777777" w:rsidTr="00DD670B">
        <w:trPr>
          <w:trHeight w:val="283"/>
        </w:trPr>
        <w:tc>
          <w:tcPr>
            <w:tcW w:w="798" w:type="dxa"/>
            <w:vAlign w:val="center"/>
            <w:hideMark/>
          </w:tcPr>
          <w:p w14:paraId="3CFEA347" w14:textId="77777777" w:rsidR="008878A0" w:rsidRPr="00DD670B" w:rsidRDefault="008878A0" w:rsidP="00D71E6A">
            <w:pPr>
              <w:jc w:val="center"/>
              <w:rPr>
                <w:rFonts w:eastAsia="Arial Narrow"/>
                <w:szCs w:val="18"/>
              </w:rPr>
            </w:pPr>
            <w:r w:rsidRPr="00DD670B">
              <w:rPr>
                <w:rFonts w:eastAsia="Arial Narrow"/>
                <w:w w:val="99"/>
                <w:szCs w:val="18"/>
              </w:rPr>
              <w:t>2013.</w:t>
            </w:r>
          </w:p>
        </w:tc>
        <w:tc>
          <w:tcPr>
            <w:tcW w:w="1454" w:type="dxa"/>
            <w:vAlign w:val="center"/>
            <w:hideMark/>
          </w:tcPr>
          <w:p w14:paraId="0FCAB456" w14:textId="77777777" w:rsidR="008878A0" w:rsidRPr="00DD670B" w:rsidRDefault="008878A0" w:rsidP="00D71E6A">
            <w:pPr>
              <w:jc w:val="right"/>
              <w:rPr>
                <w:rFonts w:eastAsiaTheme="minorHAnsi"/>
                <w:szCs w:val="18"/>
              </w:rPr>
            </w:pPr>
            <w:r w:rsidRPr="00DD670B">
              <w:rPr>
                <w:szCs w:val="18"/>
              </w:rPr>
              <w:t>8.931</w:t>
            </w:r>
          </w:p>
        </w:tc>
        <w:tc>
          <w:tcPr>
            <w:tcW w:w="1454" w:type="dxa"/>
            <w:vAlign w:val="center"/>
            <w:hideMark/>
          </w:tcPr>
          <w:p w14:paraId="6E74FD0A" w14:textId="77777777" w:rsidR="008878A0" w:rsidRPr="00DD670B" w:rsidRDefault="008878A0" w:rsidP="00D71E6A">
            <w:pPr>
              <w:jc w:val="right"/>
              <w:rPr>
                <w:szCs w:val="18"/>
              </w:rPr>
            </w:pPr>
            <w:r w:rsidRPr="00DD670B">
              <w:rPr>
                <w:szCs w:val="18"/>
              </w:rPr>
              <w:t>121</w:t>
            </w:r>
          </w:p>
        </w:tc>
        <w:tc>
          <w:tcPr>
            <w:tcW w:w="1455" w:type="dxa"/>
            <w:vAlign w:val="center"/>
            <w:hideMark/>
          </w:tcPr>
          <w:p w14:paraId="191C5282" w14:textId="77777777" w:rsidR="008878A0" w:rsidRPr="00DD670B" w:rsidRDefault="008878A0" w:rsidP="00D71E6A">
            <w:pPr>
              <w:jc w:val="right"/>
              <w:rPr>
                <w:szCs w:val="18"/>
              </w:rPr>
            </w:pPr>
            <w:r w:rsidRPr="00DD670B">
              <w:rPr>
                <w:szCs w:val="18"/>
              </w:rPr>
              <w:t>67</w:t>
            </w:r>
          </w:p>
        </w:tc>
        <w:tc>
          <w:tcPr>
            <w:tcW w:w="1454" w:type="dxa"/>
            <w:vAlign w:val="center"/>
            <w:hideMark/>
          </w:tcPr>
          <w:p w14:paraId="6E961207" w14:textId="77777777" w:rsidR="008878A0" w:rsidRPr="00DD670B" w:rsidRDefault="008878A0" w:rsidP="00D71E6A">
            <w:pPr>
              <w:jc w:val="right"/>
              <w:rPr>
                <w:szCs w:val="18"/>
              </w:rPr>
            </w:pPr>
            <w:r w:rsidRPr="00DD670B">
              <w:rPr>
                <w:szCs w:val="18"/>
              </w:rPr>
              <w:t>19</w:t>
            </w:r>
          </w:p>
        </w:tc>
        <w:tc>
          <w:tcPr>
            <w:tcW w:w="1455" w:type="dxa"/>
            <w:vAlign w:val="center"/>
            <w:hideMark/>
          </w:tcPr>
          <w:p w14:paraId="0E3E775B" w14:textId="77777777" w:rsidR="008878A0" w:rsidRPr="00DD670B" w:rsidRDefault="008878A0" w:rsidP="00D71E6A">
            <w:pPr>
              <w:jc w:val="right"/>
              <w:rPr>
                <w:szCs w:val="18"/>
              </w:rPr>
            </w:pPr>
            <w:r w:rsidRPr="00DD670B">
              <w:rPr>
                <w:szCs w:val="18"/>
              </w:rPr>
              <w:t>2</w:t>
            </w:r>
          </w:p>
        </w:tc>
        <w:tc>
          <w:tcPr>
            <w:tcW w:w="1214" w:type="dxa"/>
            <w:vAlign w:val="center"/>
            <w:hideMark/>
          </w:tcPr>
          <w:p w14:paraId="0D758540" w14:textId="77777777" w:rsidR="008878A0" w:rsidRPr="00DD670B" w:rsidRDefault="008878A0" w:rsidP="00D71E6A">
            <w:pPr>
              <w:jc w:val="right"/>
              <w:rPr>
                <w:szCs w:val="18"/>
              </w:rPr>
            </w:pPr>
            <w:r w:rsidRPr="00DD670B">
              <w:rPr>
                <w:szCs w:val="18"/>
              </w:rPr>
              <w:t>9.140</w:t>
            </w:r>
          </w:p>
        </w:tc>
      </w:tr>
      <w:tr w:rsidR="008878A0" w:rsidRPr="00DD670B" w14:paraId="6B6E18B8" w14:textId="77777777" w:rsidTr="00DD670B">
        <w:trPr>
          <w:trHeight w:val="283"/>
        </w:trPr>
        <w:tc>
          <w:tcPr>
            <w:tcW w:w="798" w:type="dxa"/>
            <w:vAlign w:val="center"/>
            <w:hideMark/>
          </w:tcPr>
          <w:p w14:paraId="50B1205F" w14:textId="77777777" w:rsidR="008878A0" w:rsidRPr="00DD670B" w:rsidRDefault="008878A0" w:rsidP="00D71E6A">
            <w:pPr>
              <w:jc w:val="center"/>
              <w:rPr>
                <w:rFonts w:eastAsia="Arial Narrow"/>
                <w:szCs w:val="18"/>
              </w:rPr>
            </w:pPr>
            <w:r w:rsidRPr="00DD670B">
              <w:rPr>
                <w:rFonts w:eastAsia="Arial Narrow"/>
                <w:w w:val="99"/>
                <w:szCs w:val="18"/>
              </w:rPr>
              <w:t>2014.</w:t>
            </w:r>
          </w:p>
        </w:tc>
        <w:tc>
          <w:tcPr>
            <w:tcW w:w="1454" w:type="dxa"/>
            <w:vAlign w:val="center"/>
            <w:hideMark/>
          </w:tcPr>
          <w:p w14:paraId="3633BA19" w14:textId="77777777" w:rsidR="008878A0" w:rsidRPr="00DD670B" w:rsidRDefault="008878A0" w:rsidP="00D71E6A">
            <w:pPr>
              <w:jc w:val="right"/>
              <w:rPr>
                <w:rFonts w:eastAsiaTheme="minorHAnsi"/>
                <w:szCs w:val="18"/>
              </w:rPr>
            </w:pPr>
            <w:r w:rsidRPr="00DD670B">
              <w:rPr>
                <w:szCs w:val="18"/>
              </w:rPr>
              <w:t>8.571</w:t>
            </w:r>
          </w:p>
        </w:tc>
        <w:tc>
          <w:tcPr>
            <w:tcW w:w="1454" w:type="dxa"/>
            <w:vAlign w:val="center"/>
            <w:hideMark/>
          </w:tcPr>
          <w:p w14:paraId="797725E6" w14:textId="77777777" w:rsidR="008878A0" w:rsidRPr="00DD670B" w:rsidRDefault="008878A0" w:rsidP="00D71E6A">
            <w:pPr>
              <w:jc w:val="right"/>
              <w:rPr>
                <w:szCs w:val="18"/>
              </w:rPr>
            </w:pPr>
            <w:r w:rsidRPr="00DD670B">
              <w:rPr>
                <w:szCs w:val="18"/>
              </w:rPr>
              <w:t>85</w:t>
            </w:r>
          </w:p>
        </w:tc>
        <w:tc>
          <w:tcPr>
            <w:tcW w:w="1455" w:type="dxa"/>
            <w:vAlign w:val="center"/>
            <w:hideMark/>
          </w:tcPr>
          <w:p w14:paraId="6AF5DA12" w14:textId="77777777" w:rsidR="008878A0" w:rsidRPr="00DD670B" w:rsidRDefault="008878A0" w:rsidP="00D71E6A">
            <w:pPr>
              <w:jc w:val="right"/>
              <w:rPr>
                <w:szCs w:val="18"/>
              </w:rPr>
            </w:pPr>
            <w:r w:rsidRPr="00DD670B">
              <w:rPr>
                <w:szCs w:val="18"/>
              </w:rPr>
              <w:t>58</w:t>
            </w:r>
          </w:p>
        </w:tc>
        <w:tc>
          <w:tcPr>
            <w:tcW w:w="1454" w:type="dxa"/>
            <w:vAlign w:val="center"/>
            <w:hideMark/>
          </w:tcPr>
          <w:p w14:paraId="74BBC591" w14:textId="77777777" w:rsidR="008878A0" w:rsidRPr="00DD670B" w:rsidRDefault="008878A0" w:rsidP="00D71E6A">
            <w:pPr>
              <w:jc w:val="right"/>
              <w:rPr>
                <w:szCs w:val="18"/>
              </w:rPr>
            </w:pPr>
            <w:r w:rsidRPr="00DD670B">
              <w:rPr>
                <w:szCs w:val="18"/>
              </w:rPr>
              <w:t>8</w:t>
            </w:r>
          </w:p>
        </w:tc>
        <w:tc>
          <w:tcPr>
            <w:tcW w:w="1455" w:type="dxa"/>
            <w:vAlign w:val="center"/>
            <w:hideMark/>
          </w:tcPr>
          <w:p w14:paraId="62975491" w14:textId="77777777" w:rsidR="008878A0" w:rsidRPr="00DD670B" w:rsidRDefault="008878A0" w:rsidP="00D71E6A">
            <w:pPr>
              <w:jc w:val="right"/>
              <w:rPr>
                <w:szCs w:val="18"/>
              </w:rPr>
            </w:pPr>
            <w:r w:rsidRPr="00DD670B">
              <w:rPr>
                <w:szCs w:val="18"/>
              </w:rPr>
              <w:t>1</w:t>
            </w:r>
          </w:p>
        </w:tc>
        <w:tc>
          <w:tcPr>
            <w:tcW w:w="1214" w:type="dxa"/>
            <w:vAlign w:val="center"/>
            <w:hideMark/>
          </w:tcPr>
          <w:p w14:paraId="6294397B" w14:textId="77777777" w:rsidR="008878A0" w:rsidRPr="00DD670B" w:rsidRDefault="008878A0" w:rsidP="00D71E6A">
            <w:pPr>
              <w:jc w:val="right"/>
              <w:rPr>
                <w:szCs w:val="18"/>
              </w:rPr>
            </w:pPr>
            <w:r w:rsidRPr="00DD670B">
              <w:rPr>
                <w:szCs w:val="18"/>
              </w:rPr>
              <w:t>8.723</w:t>
            </w:r>
          </w:p>
        </w:tc>
      </w:tr>
      <w:tr w:rsidR="008878A0" w:rsidRPr="00DD670B" w14:paraId="67318B42" w14:textId="77777777" w:rsidTr="00DD670B">
        <w:trPr>
          <w:trHeight w:val="283"/>
        </w:trPr>
        <w:tc>
          <w:tcPr>
            <w:tcW w:w="798" w:type="dxa"/>
            <w:vAlign w:val="center"/>
            <w:hideMark/>
          </w:tcPr>
          <w:p w14:paraId="79B74067" w14:textId="77777777" w:rsidR="008878A0" w:rsidRPr="00DD670B" w:rsidRDefault="008878A0" w:rsidP="00D71E6A">
            <w:pPr>
              <w:jc w:val="center"/>
              <w:rPr>
                <w:rFonts w:eastAsia="Arial Narrow"/>
                <w:w w:val="99"/>
                <w:szCs w:val="18"/>
              </w:rPr>
            </w:pPr>
            <w:r w:rsidRPr="00DD670B">
              <w:rPr>
                <w:rFonts w:eastAsia="Arial Narrow"/>
                <w:w w:val="99"/>
                <w:szCs w:val="18"/>
              </w:rPr>
              <w:t>2015.</w:t>
            </w:r>
          </w:p>
        </w:tc>
        <w:tc>
          <w:tcPr>
            <w:tcW w:w="1454" w:type="dxa"/>
            <w:vAlign w:val="center"/>
            <w:hideMark/>
          </w:tcPr>
          <w:p w14:paraId="062EAF79" w14:textId="77777777" w:rsidR="008878A0" w:rsidRPr="00DD670B" w:rsidRDefault="008878A0" w:rsidP="00D71E6A">
            <w:pPr>
              <w:jc w:val="right"/>
              <w:rPr>
                <w:rFonts w:eastAsia="Arial Narrow"/>
                <w:szCs w:val="18"/>
              </w:rPr>
            </w:pPr>
            <w:r w:rsidRPr="00DD670B">
              <w:rPr>
                <w:rFonts w:eastAsia="Arial Narrow"/>
                <w:szCs w:val="18"/>
              </w:rPr>
              <w:t>8.426</w:t>
            </w:r>
          </w:p>
        </w:tc>
        <w:tc>
          <w:tcPr>
            <w:tcW w:w="1454" w:type="dxa"/>
            <w:vAlign w:val="center"/>
            <w:hideMark/>
          </w:tcPr>
          <w:p w14:paraId="480E78C4" w14:textId="77777777" w:rsidR="008878A0" w:rsidRPr="00DD670B" w:rsidRDefault="008878A0" w:rsidP="00D71E6A">
            <w:pPr>
              <w:jc w:val="right"/>
              <w:rPr>
                <w:rFonts w:eastAsia="Arial Narrow"/>
                <w:szCs w:val="18"/>
              </w:rPr>
            </w:pPr>
            <w:r w:rsidRPr="00DD670B">
              <w:rPr>
                <w:rFonts w:eastAsia="Arial Narrow"/>
                <w:szCs w:val="18"/>
              </w:rPr>
              <w:t>87</w:t>
            </w:r>
          </w:p>
        </w:tc>
        <w:tc>
          <w:tcPr>
            <w:tcW w:w="1455" w:type="dxa"/>
            <w:vAlign w:val="center"/>
            <w:hideMark/>
          </w:tcPr>
          <w:p w14:paraId="6E3BDFCD" w14:textId="77777777" w:rsidR="008878A0" w:rsidRPr="00DD670B" w:rsidRDefault="008878A0" w:rsidP="00D71E6A">
            <w:pPr>
              <w:jc w:val="right"/>
              <w:rPr>
                <w:rFonts w:eastAsia="Arial Narrow"/>
                <w:szCs w:val="18"/>
              </w:rPr>
            </w:pPr>
            <w:r w:rsidRPr="00DD670B">
              <w:rPr>
                <w:rFonts w:eastAsia="Arial Narrow"/>
                <w:szCs w:val="18"/>
              </w:rPr>
              <w:t>59</w:t>
            </w:r>
          </w:p>
        </w:tc>
        <w:tc>
          <w:tcPr>
            <w:tcW w:w="1454" w:type="dxa"/>
            <w:vAlign w:val="center"/>
            <w:hideMark/>
          </w:tcPr>
          <w:p w14:paraId="0A05AB32" w14:textId="77777777" w:rsidR="008878A0" w:rsidRPr="00DD670B" w:rsidRDefault="008878A0" w:rsidP="00D71E6A">
            <w:pPr>
              <w:jc w:val="right"/>
              <w:rPr>
                <w:rFonts w:eastAsia="Arial Narrow"/>
                <w:szCs w:val="18"/>
              </w:rPr>
            </w:pPr>
            <w:r w:rsidRPr="00DD670B">
              <w:rPr>
                <w:rFonts w:eastAsia="Arial Narrow"/>
                <w:szCs w:val="18"/>
              </w:rPr>
              <w:t>8</w:t>
            </w:r>
          </w:p>
        </w:tc>
        <w:tc>
          <w:tcPr>
            <w:tcW w:w="1455" w:type="dxa"/>
            <w:vAlign w:val="center"/>
            <w:hideMark/>
          </w:tcPr>
          <w:p w14:paraId="16854A0D" w14:textId="77777777" w:rsidR="008878A0" w:rsidRPr="00DD670B" w:rsidRDefault="008878A0" w:rsidP="00D71E6A">
            <w:pPr>
              <w:jc w:val="right"/>
              <w:rPr>
                <w:rFonts w:eastAsia="Arial Narrow"/>
                <w:szCs w:val="18"/>
              </w:rPr>
            </w:pPr>
            <w:r w:rsidRPr="00DD670B">
              <w:rPr>
                <w:rFonts w:eastAsia="Arial Narrow"/>
                <w:szCs w:val="18"/>
              </w:rPr>
              <w:t>1</w:t>
            </w:r>
          </w:p>
        </w:tc>
        <w:tc>
          <w:tcPr>
            <w:tcW w:w="1214" w:type="dxa"/>
            <w:vAlign w:val="center"/>
            <w:hideMark/>
          </w:tcPr>
          <w:p w14:paraId="127680A2" w14:textId="77777777" w:rsidR="008878A0" w:rsidRPr="00DD670B" w:rsidRDefault="008878A0" w:rsidP="00D71E6A">
            <w:pPr>
              <w:jc w:val="right"/>
              <w:rPr>
                <w:rFonts w:eastAsia="Arial Narrow"/>
                <w:szCs w:val="18"/>
              </w:rPr>
            </w:pPr>
            <w:r w:rsidRPr="00DD670B">
              <w:rPr>
                <w:rFonts w:eastAsia="Arial Narrow"/>
                <w:szCs w:val="18"/>
              </w:rPr>
              <w:t>8.581</w:t>
            </w:r>
          </w:p>
        </w:tc>
      </w:tr>
      <w:tr w:rsidR="008878A0" w:rsidRPr="00DD670B" w14:paraId="7F431E5B" w14:textId="77777777" w:rsidTr="00DD670B">
        <w:trPr>
          <w:trHeight w:val="283"/>
        </w:trPr>
        <w:tc>
          <w:tcPr>
            <w:tcW w:w="798" w:type="dxa"/>
            <w:vAlign w:val="center"/>
            <w:hideMark/>
          </w:tcPr>
          <w:p w14:paraId="72B85CF5" w14:textId="77777777" w:rsidR="008878A0" w:rsidRPr="00DD670B" w:rsidRDefault="008878A0" w:rsidP="00D71E6A">
            <w:pPr>
              <w:jc w:val="center"/>
              <w:rPr>
                <w:rFonts w:eastAsia="Arial Narrow"/>
                <w:w w:val="99"/>
                <w:szCs w:val="18"/>
              </w:rPr>
            </w:pPr>
            <w:r w:rsidRPr="00DD670B">
              <w:rPr>
                <w:rFonts w:eastAsia="Arial Narrow"/>
                <w:w w:val="99"/>
                <w:szCs w:val="18"/>
              </w:rPr>
              <w:t>2016.</w:t>
            </w:r>
          </w:p>
        </w:tc>
        <w:tc>
          <w:tcPr>
            <w:tcW w:w="1454" w:type="dxa"/>
            <w:vAlign w:val="center"/>
            <w:hideMark/>
          </w:tcPr>
          <w:p w14:paraId="25D3181E" w14:textId="77777777" w:rsidR="008878A0" w:rsidRPr="00DD670B" w:rsidRDefault="008878A0" w:rsidP="00D71E6A">
            <w:pPr>
              <w:jc w:val="right"/>
              <w:rPr>
                <w:rFonts w:eastAsia="Arial Narrow"/>
                <w:szCs w:val="18"/>
              </w:rPr>
            </w:pPr>
            <w:r w:rsidRPr="00DD670B">
              <w:rPr>
                <w:rFonts w:eastAsia="Arial Narrow"/>
                <w:szCs w:val="18"/>
              </w:rPr>
              <w:t>8.266</w:t>
            </w:r>
          </w:p>
        </w:tc>
        <w:tc>
          <w:tcPr>
            <w:tcW w:w="1454" w:type="dxa"/>
            <w:vAlign w:val="center"/>
            <w:hideMark/>
          </w:tcPr>
          <w:p w14:paraId="2E510D24" w14:textId="77777777" w:rsidR="008878A0" w:rsidRPr="00DD670B" w:rsidRDefault="008878A0" w:rsidP="00D71E6A">
            <w:pPr>
              <w:jc w:val="right"/>
              <w:rPr>
                <w:rFonts w:eastAsia="Arial Narrow"/>
                <w:szCs w:val="18"/>
              </w:rPr>
            </w:pPr>
            <w:r w:rsidRPr="00DD670B">
              <w:rPr>
                <w:rFonts w:eastAsia="Arial Narrow"/>
                <w:szCs w:val="18"/>
              </w:rPr>
              <w:t>84</w:t>
            </w:r>
          </w:p>
        </w:tc>
        <w:tc>
          <w:tcPr>
            <w:tcW w:w="1455" w:type="dxa"/>
            <w:vAlign w:val="center"/>
            <w:hideMark/>
          </w:tcPr>
          <w:p w14:paraId="7671FA89" w14:textId="77777777" w:rsidR="008878A0" w:rsidRPr="00DD670B" w:rsidRDefault="008878A0" w:rsidP="00D71E6A">
            <w:pPr>
              <w:jc w:val="right"/>
              <w:rPr>
                <w:rFonts w:eastAsia="Arial Narrow"/>
                <w:szCs w:val="18"/>
              </w:rPr>
            </w:pPr>
            <w:r w:rsidRPr="00DD670B">
              <w:rPr>
                <w:rFonts w:eastAsia="Arial Narrow"/>
                <w:szCs w:val="18"/>
              </w:rPr>
              <w:t>59</w:t>
            </w:r>
          </w:p>
        </w:tc>
        <w:tc>
          <w:tcPr>
            <w:tcW w:w="1454" w:type="dxa"/>
            <w:vAlign w:val="center"/>
            <w:hideMark/>
          </w:tcPr>
          <w:p w14:paraId="0DA55F85" w14:textId="77777777" w:rsidR="008878A0" w:rsidRPr="00DD670B" w:rsidRDefault="008878A0" w:rsidP="00D71E6A">
            <w:pPr>
              <w:jc w:val="right"/>
              <w:rPr>
                <w:rFonts w:eastAsia="Arial Narrow"/>
                <w:szCs w:val="18"/>
              </w:rPr>
            </w:pPr>
            <w:r w:rsidRPr="00DD670B">
              <w:rPr>
                <w:rFonts w:eastAsia="Arial Narrow"/>
                <w:szCs w:val="18"/>
              </w:rPr>
              <w:t>7</w:t>
            </w:r>
          </w:p>
        </w:tc>
        <w:tc>
          <w:tcPr>
            <w:tcW w:w="1455" w:type="dxa"/>
            <w:vAlign w:val="center"/>
            <w:hideMark/>
          </w:tcPr>
          <w:p w14:paraId="1C4E2DA3" w14:textId="77777777" w:rsidR="008878A0" w:rsidRPr="00DD670B" w:rsidRDefault="008878A0" w:rsidP="00D71E6A">
            <w:pPr>
              <w:jc w:val="right"/>
              <w:rPr>
                <w:rFonts w:eastAsia="Arial Narrow"/>
                <w:szCs w:val="18"/>
              </w:rPr>
            </w:pPr>
            <w:r w:rsidRPr="00DD670B">
              <w:rPr>
                <w:rFonts w:eastAsia="Arial Narrow"/>
                <w:szCs w:val="18"/>
              </w:rPr>
              <w:t>1</w:t>
            </w:r>
          </w:p>
        </w:tc>
        <w:tc>
          <w:tcPr>
            <w:tcW w:w="1214" w:type="dxa"/>
            <w:vAlign w:val="center"/>
            <w:hideMark/>
          </w:tcPr>
          <w:p w14:paraId="7E398227" w14:textId="77777777" w:rsidR="008878A0" w:rsidRPr="00DD670B" w:rsidRDefault="008878A0" w:rsidP="00D71E6A">
            <w:pPr>
              <w:jc w:val="right"/>
              <w:rPr>
                <w:rFonts w:eastAsia="Arial Narrow"/>
                <w:szCs w:val="18"/>
              </w:rPr>
            </w:pPr>
            <w:r w:rsidRPr="00DD670B">
              <w:rPr>
                <w:rFonts w:eastAsia="Arial Narrow"/>
                <w:szCs w:val="18"/>
              </w:rPr>
              <w:t>8.417</w:t>
            </w:r>
          </w:p>
        </w:tc>
      </w:tr>
      <w:tr w:rsidR="008878A0" w:rsidRPr="00DD670B" w14:paraId="72F486E6" w14:textId="77777777" w:rsidTr="00DD670B">
        <w:trPr>
          <w:trHeight w:val="283"/>
        </w:trPr>
        <w:tc>
          <w:tcPr>
            <w:tcW w:w="798" w:type="dxa"/>
            <w:vAlign w:val="center"/>
            <w:hideMark/>
          </w:tcPr>
          <w:p w14:paraId="4CF08391" w14:textId="77777777" w:rsidR="008878A0" w:rsidRPr="00DD670B" w:rsidRDefault="008878A0" w:rsidP="00D71E6A">
            <w:pPr>
              <w:jc w:val="center"/>
              <w:rPr>
                <w:rFonts w:eastAsia="Arial Narrow"/>
                <w:w w:val="99"/>
                <w:szCs w:val="18"/>
              </w:rPr>
            </w:pPr>
            <w:r w:rsidRPr="00DD670B">
              <w:rPr>
                <w:rFonts w:eastAsia="Arial Narrow"/>
                <w:w w:val="99"/>
                <w:szCs w:val="18"/>
              </w:rPr>
              <w:t>2017.</w:t>
            </w:r>
          </w:p>
        </w:tc>
        <w:tc>
          <w:tcPr>
            <w:tcW w:w="1454" w:type="dxa"/>
            <w:vAlign w:val="center"/>
            <w:hideMark/>
          </w:tcPr>
          <w:p w14:paraId="41F42AEA" w14:textId="77777777" w:rsidR="008878A0" w:rsidRPr="00DD670B" w:rsidRDefault="008878A0" w:rsidP="00D71E6A">
            <w:pPr>
              <w:jc w:val="right"/>
              <w:rPr>
                <w:rFonts w:eastAsia="Arial Narrow"/>
                <w:szCs w:val="18"/>
              </w:rPr>
            </w:pPr>
            <w:r w:rsidRPr="00DD670B">
              <w:rPr>
                <w:rFonts w:eastAsia="Arial Narrow"/>
                <w:szCs w:val="18"/>
              </w:rPr>
              <w:t>8.250</w:t>
            </w:r>
          </w:p>
        </w:tc>
        <w:tc>
          <w:tcPr>
            <w:tcW w:w="1454" w:type="dxa"/>
            <w:vAlign w:val="center"/>
            <w:hideMark/>
          </w:tcPr>
          <w:p w14:paraId="4F1F39A9" w14:textId="77777777" w:rsidR="008878A0" w:rsidRPr="00DD670B" w:rsidRDefault="008878A0" w:rsidP="00D71E6A">
            <w:pPr>
              <w:jc w:val="right"/>
              <w:rPr>
                <w:rFonts w:eastAsia="Arial Narrow"/>
                <w:szCs w:val="18"/>
              </w:rPr>
            </w:pPr>
            <w:r w:rsidRPr="00DD670B">
              <w:rPr>
                <w:rFonts w:eastAsia="Arial Narrow"/>
                <w:szCs w:val="18"/>
              </w:rPr>
              <w:t>84</w:t>
            </w:r>
          </w:p>
        </w:tc>
        <w:tc>
          <w:tcPr>
            <w:tcW w:w="1455" w:type="dxa"/>
            <w:vAlign w:val="center"/>
            <w:hideMark/>
          </w:tcPr>
          <w:p w14:paraId="7BF3DC63" w14:textId="77777777" w:rsidR="008878A0" w:rsidRPr="00DD670B" w:rsidRDefault="008878A0" w:rsidP="00D71E6A">
            <w:pPr>
              <w:jc w:val="right"/>
              <w:rPr>
                <w:rFonts w:eastAsia="Arial Narrow"/>
                <w:szCs w:val="18"/>
              </w:rPr>
            </w:pPr>
            <w:r w:rsidRPr="00DD670B">
              <w:rPr>
                <w:rFonts w:eastAsia="Arial Narrow"/>
                <w:szCs w:val="18"/>
              </w:rPr>
              <w:t>58</w:t>
            </w:r>
          </w:p>
        </w:tc>
        <w:tc>
          <w:tcPr>
            <w:tcW w:w="1454" w:type="dxa"/>
            <w:vAlign w:val="center"/>
            <w:hideMark/>
          </w:tcPr>
          <w:p w14:paraId="555AB38E" w14:textId="77777777" w:rsidR="008878A0" w:rsidRPr="00DD670B" w:rsidRDefault="008878A0" w:rsidP="00D71E6A">
            <w:pPr>
              <w:jc w:val="right"/>
              <w:rPr>
                <w:rFonts w:eastAsia="Arial Narrow"/>
                <w:szCs w:val="18"/>
              </w:rPr>
            </w:pPr>
            <w:r w:rsidRPr="00DD670B">
              <w:rPr>
                <w:rFonts w:eastAsia="Arial Narrow"/>
                <w:szCs w:val="18"/>
              </w:rPr>
              <w:t>5</w:t>
            </w:r>
          </w:p>
        </w:tc>
        <w:tc>
          <w:tcPr>
            <w:tcW w:w="1455" w:type="dxa"/>
            <w:vAlign w:val="center"/>
            <w:hideMark/>
          </w:tcPr>
          <w:p w14:paraId="13A73684" w14:textId="77777777" w:rsidR="008878A0" w:rsidRPr="00DD670B" w:rsidRDefault="008878A0" w:rsidP="00D71E6A">
            <w:pPr>
              <w:jc w:val="right"/>
              <w:rPr>
                <w:rFonts w:eastAsia="Arial Narrow"/>
                <w:szCs w:val="18"/>
              </w:rPr>
            </w:pPr>
            <w:r w:rsidRPr="00DD670B">
              <w:rPr>
                <w:rFonts w:eastAsia="Arial Narrow"/>
                <w:szCs w:val="18"/>
              </w:rPr>
              <w:t>1</w:t>
            </w:r>
          </w:p>
        </w:tc>
        <w:tc>
          <w:tcPr>
            <w:tcW w:w="1214" w:type="dxa"/>
            <w:vAlign w:val="center"/>
            <w:hideMark/>
          </w:tcPr>
          <w:p w14:paraId="10E316F6" w14:textId="77777777" w:rsidR="008878A0" w:rsidRPr="00DD670B" w:rsidRDefault="008878A0" w:rsidP="00D71E6A">
            <w:pPr>
              <w:jc w:val="right"/>
              <w:rPr>
                <w:rFonts w:eastAsia="Arial Narrow"/>
                <w:szCs w:val="18"/>
              </w:rPr>
            </w:pPr>
            <w:r w:rsidRPr="00DD670B">
              <w:rPr>
                <w:rFonts w:eastAsia="Arial Narrow"/>
                <w:szCs w:val="18"/>
              </w:rPr>
              <w:t>8.398</w:t>
            </w:r>
          </w:p>
        </w:tc>
      </w:tr>
      <w:tr w:rsidR="008878A0" w:rsidRPr="00DD670B" w14:paraId="4CFFB3D9" w14:textId="77777777" w:rsidTr="00DD670B">
        <w:trPr>
          <w:trHeight w:val="283"/>
        </w:trPr>
        <w:tc>
          <w:tcPr>
            <w:tcW w:w="798" w:type="dxa"/>
            <w:vAlign w:val="center"/>
            <w:hideMark/>
          </w:tcPr>
          <w:p w14:paraId="29E813DA" w14:textId="77777777" w:rsidR="008878A0" w:rsidRPr="00DD670B" w:rsidRDefault="008878A0" w:rsidP="00D71E6A">
            <w:pPr>
              <w:jc w:val="center"/>
              <w:rPr>
                <w:rFonts w:eastAsia="Arial Narrow"/>
                <w:b/>
                <w:w w:val="99"/>
                <w:szCs w:val="18"/>
              </w:rPr>
            </w:pPr>
            <w:r w:rsidRPr="00DD670B">
              <w:rPr>
                <w:rFonts w:eastAsia="Arial Narrow"/>
                <w:b/>
                <w:w w:val="99"/>
                <w:szCs w:val="18"/>
              </w:rPr>
              <w:t>2018.</w:t>
            </w:r>
          </w:p>
        </w:tc>
        <w:tc>
          <w:tcPr>
            <w:tcW w:w="1454" w:type="dxa"/>
            <w:vAlign w:val="center"/>
            <w:hideMark/>
          </w:tcPr>
          <w:p w14:paraId="474E540F" w14:textId="77777777" w:rsidR="008878A0" w:rsidRPr="00DD670B" w:rsidRDefault="008878A0" w:rsidP="00D71E6A">
            <w:pPr>
              <w:jc w:val="right"/>
              <w:rPr>
                <w:rFonts w:eastAsia="Arial Narrow"/>
                <w:szCs w:val="18"/>
              </w:rPr>
            </w:pPr>
            <w:r w:rsidRPr="00DD670B">
              <w:rPr>
                <w:rFonts w:eastAsia="Arial Narrow"/>
                <w:szCs w:val="18"/>
              </w:rPr>
              <w:t>8.518</w:t>
            </w:r>
          </w:p>
        </w:tc>
        <w:tc>
          <w:tcPr>
            <w:tcW w:w="1454" w:type="dxa"/>
            <w:vAlign w:val="center"/>
            <w:hideMark/>
          </w:tcPr>
          <w:p w14:paraId="22FB9054" w14:textId="77777777" w:rsidR="008878A0" w:rsidRPr="00DD670B" w:rsidRDefault="008878A0" w:rsidP="00D71E6A">
            <w:pPr>
              <w:jc w:val="right"/>
              <w:rPr>
                <w:rFonts w:eastAsia="Arial Narrow"/>
                <w:szCs w:val="18"/>
              </w:rPr>
            </w:pPr>
            <w:r w:rsidRPr="00DD670B">
              <w:rPr>
                <w:rFonts w:eastAsia="Arial Narrow"/>
                <w:szCs w:val="18"/>
              </w:rPr>
              <w:t>83</w:t>
            </w:r>
          </w:p>
        </w:tc>
        <w:tc>
          <w:tcPr>
            <w:tcW w:w="1455" w:type="dxa"/>
            <w:vAlign w:val="center"/>
            <w:hideMark/>
          </w:tcPr>
          <w:p w14:paraId="27DCA7EE" w14:textId="77777777" w:rsidR="008878A0" w:rsidRPr="00DD670B" w:rsidRDefault="008878A0" w:rsidP="00D71E6A">
            <w:pPr>
              <w:jc w:val="right"/>
              <w:rPr>
                <w:rFonts w:eastAsia="Arial Narrow"/>
                <w:szCs w:val="18"/>
              </w:rPr>
            </w:pPr>
            <w:r w:rsidRPr="00DD670B">
              <w:rPr>
                <w:rFonts w:eastAsia="Arial Narrow"/>
                <w:szCs w:val="18"/>
              </w:rPr>
              <w:t>65</w:t>
            </w:r>
          </w:p>
        </w:tc>
        <w:tc>
          <w:tcPr>
            <w:tcW w:w="1454" w:type="dxa"/>
            <w:vAlign w:val="center"/>
            <w:hideMark/>
          </w:tcPr>
          <w:p w14:paraId="57231EE4" w14:textId="77777777" w:rsidR="008878A0" w:rsidRPr="00DD670B" w:rsidRDefault="008878A0" w:rsidP="00D71E6A">
            <w:pPr>
              <w:jc w:val="right"/>
              <w:rPr>
                <w:rFonts w:eastAsia="Arial Narrow"/>
                <w:szCs w:val="18"/>
              </w:rPr>
            </w:pPr>
            <w:r w:rsidRPr="00DD670B">
              <w:rPr>
                <w:rFonts w:eastAsia="Arial Narrow"/>
                <w:szCs w:val="18"/>
              </w:rPr>
              <w:t>5</w:t>
            </w:r>
          </w:p>
        </w:tc>
        <w:tc>
          <w:tcPr>
            <w:tcW w:w="1455" w:type="dxa"/>
            <w:vAlign w:val="center"/>
            <w:hideMark/>
          </w:tcPr>
          <w:p w14:paraId="7964EAF7" w14:textId="77777777" w:rsidR="008878A0" w:rsidRPr="00DD670B" w:rsidRDefault="008878A0" w:rsidP="00D71E6A">
            <w:pPr>
              <w:jc w:val="right"/>
              <w:rPr>
                <w:rFonts w:eastAsia="Arial Narrow"/>
                <w:szCs w:val="18"/>
              </w:rPr>
            </w:pPr>
            <w:r w:rsidRPr="00DD670B">
              <w:rPr>
                <w:rFonts w:eastAsia="Arial Narrow"/>
                <w:szCs w:val="18"/>
              </w:rPr>
              <w:t>1</w:t>
            </w:r>
          </w:p>
        </w:tc>
        <w:tc>
          <w:tcPr>
            <w:tcW w:w="1214" w:type="dxa"/>
            <w:vAlign w:val="center"/>
            <w:hideMark/>
          </w:tcPr>
          <w:p w14:paraId="2F96F347" w14:textId="77777777" w:rsidR="008878A0" w:rsidRPr="00DD670B" w:rsidRDefault="008878A0" w:rsidP="00D71E6A">
            <w:pPr>
              <w:jc w:val="right"/>
              <w:rPr>
                <w:rFonts w:eastAsia="Arial Narrow"/>
                <w:szCs w:val="18"/>
              </w:rPr>
            </w:pPr>
            <w:r w:rsidRPr="00DD670B">
              <w:rPr>
                <w:rFonts w:eastAsia="Arial Narrow"/>
                <w:szCs w:val="18"/>
              </w:rPr>
              <w:t>8.672</w:t>
            </w:r>
          </w:p>
        </w:tc>
      </w:tr>
    </w:tbl>
    <w:p w14:paraId="08A3697F" w14:textId="2FDA1C48" w:rsidR="008878A0" w:rsidRPr="00BD0057" w:rsidRDefault="008878A0" w:rsidP="00BD0057">
      <w:pPr>
        <w:autoSpaceDE w:val="0"/>
        <w:autoSpaceDN w:val="0"/>
        <w:adjustRightInd w:val="0"/>
        <w:spacing w:after="0" w:line="240" w:lineRule="auto"/>
        <w:rPr>
          <w:rFonts w:eastAsia="ArialNarrow" w:cstheme="minorHAnsi"/>
          <w:i/>
          <w:color w:val="ABABAB" w:themeColor="text1" w:themeTint="A6"/>
          <w:sz w:val="16"/>
          <w:szCs w:val="16"/>
        </w:rPr>
      </w:pPr>
      <w:bookmarkStart w:id="193" w:name="_Hlk54866698"/>
      <w:bookmarkEnd w:id="192"/>
      <w:r w:rsidRPr="00BD0057">
        <w:rPr>
          <w:rFonts w:eastAsia="ArialNarrow" w:cstheme="minorHAnsi"/>
          <w:i/>
          <w:color w:val="ABABAB" w:themeColor="text1" w:themeTint="A6"/>
          <w:sz w:val="16"/>
          <w:szCs w:val="16"/>
        </w:rPr>
        <w:t>Izvor:</w:t>
      </w:r>
      <w:bookmarkEnd w:id="193"/>
      <w:r w:rsidRPr="00BD0057">
        <w:rPr>
          <w:rFonts w:eastAsia="ArialNarrow" w:cstheme="minorHAnsi"/>
          <w:i/>
          <w:color w:val="ABABAB" w:themeColor="text1" w:themeTint="A6"/>
          <w:sz w:val="16"/>
          <w:szCs w:val="16"/>
        </w:rPr>
        <w:t xml:space="preserve"> Agencija za plaćanja u poljoprivredi, ribarstvu i ruralnom razvoju, Upisnik poljoprivrednika, 2012. </w:t>
      </w:r>
      <w:r w:rsidR="00A43499">
        <w:rPr>
          <w:rFonts w:eastAsia="ArialNarrow" w:cstheme="minorHAnsi"/>
          <w:i/>
          <w:color w:val="ABABAB" w:themeColor="text1" w:themeTint="A6"/>
          <w:sz w:val="16"/>
          <w:szCs w:val="16"/>
        </w:rPr>
        <w:t>-</w:t>
      </w:r>
      <w:r w:rsidRPr="00BD0057">
        <w:rPr>
          <w:rFonts w:eastAsia="ArialNarrow" w:cstheme="minorHAnsi"/>
          <w:i/>
          <w:color w:val="ABABAB" w:themeColor="text1" w:themeTint="A6"/>
          <w:sz w:val="16"/>
          <w:szCs w:val="16"/>
        </w:rPr>
        <w:t xml:space="preserve"> 2018.</w:t>
      </w:r>
    </w:p>
    <w:p w14:paraId="1BF71A90" w14:textId="77777777" w:rsidR="00D32376" w:rsidRDefault="00D32376" w:rsidP="00941871">
      <w:pPr>
        <w:spacing w:line="283" w:lineRule="auto"/>
        <w:ind w:right="72"/>
        <w:rPr>
          <w:rFonts w:eastAsia="Arial Narrow" w:cstheme="minorHAnsi"/>
          <w:szCs w:val="18"/>
        </w:rPr>
      </w:pPr>
    </w:p>
    <w:p w14:paraId="6764103F" w14:textId="22890B77" w:rsidR="00877DAC" w:rsidRDefault="001C2E09" w:rsidP="00941871">
      <w:pPr>
        <w:spacing w:line="283" w:lineRule="auto"/>
        <w:ind w:right="72"/>
        <w:rPr>
          <w:rFonts w:eastAsia="Arial Narrow" w:cstheme="minorHAnsi"/>
          <w:szCs w:val="18"/>
        </w:rPr>
      </w:pPr>
      <w:r w:rsidRPr="00D76EAB">
        <w:rPr>
          <w:rFonts w:eastAsia="Arial Narrow" w:cstheme="minorHAnsi"/>
          <w:color w:val="auto"/>
          <w:szCs w:val="18"/>
        </w:rPr>
        <w:t xml:space="preserve">Od 2018. godine </w:t>
      </w:r>
      <w:r w:rsidR="00D32376" w:rsidRPr="00D76EAB">
        <w:rPr>
          <w:rFonts w:eastAsia="Arial Narrow" w:cstheme="minorHAnsi"/>
          <w:color w:val="auto"/>
          <w:szCs w:val="18"/>
        </w:rPr>
        <w:t>nastavlja se povećanje ukupno upisanih poljoprivrednih gospodarstava te je u 2019. godini primjetno povećanje kod pravnih oblika</w:t>
      </w:r>
      <w:r w:rsidR="00210F8B" w:rsidRPr="00D76EAB">
        <w:rPr>
          <w:rFonts w:eastAsia="Arial Narrow" w:cstheme="minorHAnsi"/>
          <w:color w:val="auto"/>
          <w:szCs w:val="18"/>
        </w:rPr>
        <w:t xml:space="preserve"> (</w:t>
      </w:r>
      <w:r w:rsidR="00D4506B" w:rsidRPr="00D76EAB">
        <w:rPr>
          <w:rFonts w:eastAsia="Arial Narrow" w:cstheme="minorHAnsi"/>
          <w:color w:val="auto"/>
          <w:szCs w:val="18"/>
        </w:rPr>
        <w:t xml:space="preserve">OPG, </w:t>
      </w:r>
      <w:r w:rsidR="00D76EAB">
        <w:rPr>
          <w:rFonts w:eastAsia="Arial Narrow" w:cstheme="minorHAnsi"/>
          <w:color w:val="auto"/>
          <w:szCs w:val="18"/>
        </w:rPr>
        <w:t>o</w:t>
      </w:r>
      <w:r w:rsidR="00D4506B" w:rsidRPr="00D76EAB">
        <w:rPr>
          <w:rFonts w:eastAsia="Arial Narrow" w:cstheme="minorHAnsi"/>
          <w:color w:val="auto"/>
          <w:szCs w:val="18"/>
        </w:rPr>
        <w:t xml:space="preserve">brt, </w:t>
      </w:r>
      <w:r w:rsidR="00D76EAB">
        <w:rPr>
          <w:rFonts w:eastAsia="Arial Narrow" w:cstheme="minorHAnsi"/>
          <w:color w:val="auto"/>
          <w:szCs w:val="18"/>
        </w:rPr>
        <w:t>t</w:t>
      </w:r>
      <w:r w:rsidR="00D4506B" w:rsidRPr="00D76EAB">
        <w:rPr>
          <w:rFonts w:eastAsia="Arial Narrow" w:cstheme="minorHAnsi"/>
          <w:color w:val="auto"/>
          <w:szCs w:val="18"/>
        </w:rPr>
        <w:t xml:space="preserve">rgovačko društvo i </w:t>
      </w:r>
      <w:r w:rsidR="00D76EAB">
        <w:rPr>
          <w:rFonts w:eastAsia="Arial Narrow" w:cstheme="minorHAnsi"/>
          <w:color w:val="auto"/>
          <w:szCs w:val="18"/>
        </w:rPr>
        <w:t>z</w:t>
      </w:r>
      <w:r w:rsidR="00D4506B" w:rsidRPr="00D76EAB">
        <w:rPr>
          <w:rFonts w:eastAsia="Arial Narrow" w:cstheme="minorHAnsi"/>
          <w:color w:val="auto"/>
          <w:szCs w:val="18"/>
        </w:rPr>
        <w:t xml:space="preserve">adruga) </w:t>
      </w:r>
      <w:r w:rsidR="00D32376" w:rsidRPr="00D76EAB">
        <w:rPr>
          <w:rFonts w:eastAsia="Arial Narrow" w:cstheme="minorHAnsi"/>
          <w:color w:val="auto"/>
          <w:szCs w:val="18"/>
        </w:rPr>
        <w:t>u odnosu na 2018.</w:t>
      </w:r>
      <w:r w:rsidR="00D76EAB" w:rsidRPr="00D76EAB">
        <w:rPr>
          <w:rFonts w:eastAsia="Arial Narrow" w:cstheme="minorHAnsi"/>
          <w:color w:val="auto"/>
          <w:szCs w:val="18"/>
        </w:rPr>
        <w:t xml:space="preserve"> </w:t>
      </w:r>
      <w:r w:rsidR="00D32376" w:rsidRPr="00D76EAB">
        <w:rPr>
          <w:rFonts w:eastAsia="Arial Narrow" w:cstheme="minorHAnsi"/>
          <w:color w:val="auto"/>
          <w:szCs w:val="18"/>
        </w:rPr>
        <w:t>godinu. U</w:t>
      </w:r>
      <w:r w:rsidR="0065785B" w:rsidRPr="00D76EAB">
        <w:rPr>
          <w:rFonts w:eastAsia="Arial Narrow" w:cstheme="minorHAnsi"/>
          <w:color w:val="auto"/>
          <w:szCs w:val="18"/>
        </w:rPr>
        <w:t xml:space="preserve"> 2019. godini </w:t>
      </w:r>
      <w:r w:rsidR="00D32376" w:rsidRPr="00D76EAB">
        <w:rPr>
          <w:rFonts w:eastAsia="Arial Narrow" w:cstheme="minorHAnsi"/>
          <w:color w:val="auto"/>
          <w:szCs w:val="18"/>
        </w:rPr>
        <w:t xml:space="preserve">upisano je ukupno </w:t>
      </w:r>
      <w:r w:rsidR="009971C2">
        <w:rPr>
          <w:rFonts w:eastAsia="Arial Narrow" w:cstheme="minorHAnsi"/>
          <w:szCs w:val="18"/>
        </w:rPr>
        <w:t>8.937 PG-a</w:t>
      </w:r>
      <w:r w:rsidR="00D32376">
        <w:rPr>
          <w:rFonts w:eastAsia="Arial Narrow" w:cstheme="minorHAnsi"/>
          <w:szCs w:val="18"/>
        </w:rPr>
        <w:t xml:space="preserve">, fizičkih i pravnih osoba koje se bave poljoprivrednom djelatnošću, a od toga registrirano je </w:t>
      </w:r>
      <w:r w:rsidR="009971C2">
        <w:rPr>
          <w:rFonts w:eastAsia="Arial Narrow" w:cstheme="minorHAnsi"/>
          <w:szCs w:val="18"/>
        </w:rPr>
        <w:t>8.629</w:t>
      </w:r>
      <w:r w:rsidR="00D32376">
        <w:rPr>
          <w:rFonts w:eastAsia="Arial Narrow" w:cstheme="minorHAnsi"/>
          <w:szCs w:val="18"/>
        </w:rPr>
        <w:t xml:space="preserve"> obiteljskih poljoprivrednih gospodarstava. Tako i u 2019. godini u</w:t>
      </w:r>
      <w:r w:rsidR="009971C2">
        <w:rPr>
          <w:rFonts w:eastAsia="Arial Narrow" w:cstheme="minorHAnsi"/>
          <w:szCs w:val="18"/>
        </w:rPr>
        <w:t xml:space="preserve"> županiji </w:t>
      </w:r>
      <w:r w:rsidR="0065785B">
        <w:rPr>
          <w:rFonts w:eastAsia="Arial Narrow" w:cstheme="minorHAnsi"/>
          <w:szCs w:val="18"/>
        </w:rPr>
        <w:t xml:space="preserve">prevladavaju obiteljska poljoprivredna gospodarstva koja radi stvaranja dohotka samostalno i trajno obavljaju djelatnost poljoprivrede i s njima povezanih dopunskih djelatnosti. Velik dio OPG-a poljoprivredne proizvode koristi za svoje potrebe, a višak proizvoda i/ili njihovih prerađevina </w:t>
      </w:r>
      <w:r w:rsidR="00D54A13">
        <w:rPr>
          <w:rFonts w:eastAsia="Arial Narrow" w:cstheme="minorHAnsi"/>
          <w:szCs w:val="18"/>
        </w:rPr>
        <w:t>prodaju na tržnicama, sajmovima i kućnom pragu.</w:t>
      </w:r>
    </w:p>
    <w:p w14:paraId="7E89A393" w14:textId="77777777" w:rsidR="00F06B40" w:rsidRDefault="00F06B40" w:rsidP="00941871">
      <w:pPr>
        <w:spacing w:line="283" w:lineRule="auto"/>
        <w:ind w:right="72"/>
        <w:rPr>
          <w:rFonts w:eastAsia="Arial Narrow" w:cstheme="minorHAnsi"/>
          <w:szCs w:val="18"/>
        </w:rPr>
      </w:pPr>
    </w:p>
    <w:p w14:paraId="13938044" w14:textId="43D82B90" w:rsidR="00D4506B" w:rsidRDefault="00D4506B" w:rsidP="003E3F3C">
      <w:pPr>
        <w:pStyle w:val="Opisslike"/>
      </w:pPr>
      <w:bookmarkStart w:id="194" w:name="_Hlk54878432"/>
      <w:r>
        <w:t>Tablica</w:t>
      </w:r>
      <w:r w:rsidR="00BD0057">
        <w:t xml:space="preserve"> 1</w:t>
      </w:r>
      <w:r w:rsidR="00A7185B">
        <w:t>16</w:t>
      </w:r>
      <w:r>
        <w:t xml:space="preserve">. </w:t>
      </w:r>
      <w:r w:rsidRPr="006E600C">
        <w:t>Broj poljoprivrednih gospodarstava u Krapinsko-zagorskoj županiji</w:t>
      </w:r>
      <w:r>
        <w:t xml:space="preserve"> u 2019. godini</w:t>
      </w:r>
    </w:p>
    <w:tbl>
      <w:tblPr>
        <w:tblW w:w="9204" w:type="dxa"/>
        <w:tblBorders>
          <w:left w:val="single" w:sz="8" w:space="0" w:color="D2232A"/>
          <w:right w:val="single" w:sz="8" w:space="0" w:color="D2232A"/>
          <w:insideH w:val="single" w:sz="8" w:space="0" w:color="F3CFC1"/>
          <w:insideV w:val="single" w:sz="8" w:space="0" w:color="D2232A"/>
        </w:tblBorders>
        <w:tblLayout w:type="fixed"/>
        <w:tblLook w:val="04A0" w:firstRow="1" w:lastRow="0" w:firstColumn="1" w:lastColumn="0" w:noHBand="0" w:noVBand="1"/>
      </w:tblPr>
      <w:tblGrid>
        <w:gridCol w:w="798"/>
        <w:gridCol w:w="1035"/>
        <w:gridCol w:w="851"/>
        <w:gridCol w:w="1134"/>
        <w:gridCol w:w="1984"/>
        <w:gridCol w:w="1276"/>
        <w:gridCol w:w="992"/>
        <w:gridCol w:w="1134"/>
      </w:tblGrid>
      <w:tr w:rsidR="00D4506B" w:rsidRPr="00DD670B" w14:paraId="5EEE9E24" w14:textId="77777777" w:rsidTr="008559B5">
        <w:trPr>
          <w:trHeight w:val="399"/>
        </w:trPr>
        <w:tc>
          <w:tcPr>
            <w:tcW w:w="798" w:type="dxa"/>
            <w:shd w:val="clear" w:color="auto" w:fill="D2232A" w:themeFill="accent1"/>
            <w:vAlign w:val="bottom"/>
            <w:hideMark/>
          </w:tcPr>
          <w:bookmarkEnd w:id="194"/>
          <w:p w14:paraId="1CAC7929" w14:textId="77777777" w:rsidR="00D4506B" w:rsidRPr="00DD670B" w:rsidRDefault="00D4506B" w:rsidP="00AE65DA">
            <w:pPr>
              <w:jc w:val="center"/>
              <w:rPr>
                <w:rFonts w:eastAsia="Arial Narrow"/>
                <w:color w:val="FFFFFF" w:themeColor="background1"/>
                <w:szCs w:val="18"/>
              </w:rPr>
            </w:pPr>
            <w:r w:rsidRPr="00DD670B">
              <w:rPr>
                <w:rFonts w:eastAsia="Arial Narrow"/>
                <w:color w:val="FFFFFF" w:themeColor="background1"/>
                <w:szCs w:val="18"/>
              </w:rPr>
              <w:t>Godina</w:t>
            </w:r>
          </w:p>
        </w:tc>
        <w:tc>
          <w:tcPr>
            <w:tcW w:w="1035" w:type="dxa"/>
            <w:shd w:val="clear" w:color="auto" w:fill="D2232A" w:themeFill="accent1"/>
            <w:vAlign w:val="bottom"/>
            <w:hideMark/>
          </w:tcPr>
          <w:p w14:paraId="1FB0E62D" w14:textId="77777777" w:rsidR="00D4506B" w:rsidRPr="00DD670B" w:rsidRDefault="00D4506B" w:rsidP="00AE65DA">
            <w:pPr>
              <w:jc w:val="center"/>
              <w:rPr>
                <w:rFonts w:eastAsia="Arial Narrow"/>
                <w:color w:val="FFFFFF" w:themeColor="background1"/>
                <w:szCs w:val="18"/>
              </w:rPr>
            </w:pPr>
            <w:r>
              <w:rPr>
                <w:rFonts w:eastAsia="Arial Narrow"/>
                <w:color w:val="FFFFFF" w:themeColor="background1"/>
                <w:szCs w:val="18"/>
              </w:rPr>
              <w:t>OPG</w:t>
            </w:r>
          </w:p>
        </w:tc>
        <w:tc>
          <w:tcPr>
            <w:tcW w:w="851" w:type="dxa"/>
            <w:shd w:val="clear" w:color="auto" w:fill="D2232A" w:themeFill="accent1"/>
            <w:vAlign w:val="bottom"/>
          </w:tcPr>
          <w:p w14:paraId="6930D945" w14:textId="77777777" w:rsidR="00D4506B" w:rsidRPr="00DD670B" w:rsidRDefault="00D4506B" w:rsidP="00AE65DA">
            <w:pPr>
              <w:jc w:val="center"/>
              <w:rPr>
                <w:rFonts w:eastAsia="Arial Narrow"/>
                <w:color w:val="FFFFFF" w:themeColor="background1"/>
                <w:szCs w:val="18"/>
              </w:rPr>
            </w:pPr>
            <w:r>
              <w:rPr>
                <w:rFonts w:eastAsia="Arial Narrow"/>
                <w:color w:val="FFFFFF" w:themeColor="background1"/>
                <w:szCs w:val="18"/>
              </w:rPr>
              <w:t>SOPG</w:t>
            </w:r>
          </w:p>
        </w:tc>
        <w:tc>
          <w:tcPr>
            <w:tcW w:w="1134" w:type="dxa"/>
            <w:shd w:val="clear" w:color="auto" w:fill="D2232A" w:themeFill="accent1"/>
            <w:vAlign w:val="bottom"/>
            <w:hideMark/>
          </w:tcPr>
          <w:p w14:paraId="120C2993" w14:textId="77777777" w:rsidR="00D4506B" w:rsidRPr="00DD670B" w:rsidRDefault="00D4506B" w:rsidP="00AE65DA">
            <w:pPr>
              <w:jc w:val="center"/>
              <w:rPr>
                <w:rFonts w:eastAsia="Arial Narrow"/>
                <w:color w:val="FFFFFF" w:themeColor="background1"/>
                <w:szCs w:val="18"/>
              </w:rPr>
            </w:pPr>
            <w:r w:rsidRPr="00DD670B">
              <w:rPr>
                <w:rFonts w:eastAsia="Arial Narrow"/>
                <w:color w:val="FFFFFF" w:themeColor="background1"/>
                <w:szCs w:val="18"/>
              </w:rPr>
              <w:t>Obrti</w:t>
            </w:r>
          </w:p>
        </w:tc>
        <w:tc>
          <w:tcPr>
            <w:tcW w:w="1984" w:type="dxa"/>
            <w:shd w:val="clear" w:color="auto" w:fill="D2232A" w:themeFill="accent1"/>
            <w:vAlign w:val="bottom"/>
            <w:hideMark/>
          </w:tcPr>
          <w:p w14:paraId="77A3A964" w14:textId="77777777" w:rsidR="00D4506B" w:rsidRPr="00DD670B" w:rsidRDefault="00D4506B" w:rsidP="00AE65DA">
            <w:pPr>
              <w:jc w:val="center"/>
              <w:rPr>
                <w:rFonts w:eastAsia="Arial Narrow"/>
                <w:color w:val="FFFFFF" w:themeColor="background1"/>
                <w:szCs w:val="18"/>
              </w:rPr>
            </w:pPr>
            <w:r w:rsidRPr="00DD670B">
              <w:rPr>
                <w:rFonts w:eastAsia="Arial Narrow"/>
                <w:color w:val="FFFFFF" w:themeColor="background1"/>
                <w:szCs w:val="18"/>
              </w:rPr>
              <w:t>Trgovačka društva</w:t>
            </w:r>
          </w:p>
        </w:tc>
        <w:tc>
          <w:tcPr>
            <w:tcW w:w="1276" w:type="dxa"/>
            <w:shd w:val="clear" w:color="auto" w:fill="D2232A" w:themeFill="accent1"/>
            <w:vAlign w:val="bottom"/>
            <w:hideMark/>
          </w:tcPr>
          <w:p w14:paraId="5CA65BFC" w14:textId="77777777" w:rsidR="00D4506B" w:rsidRPr="00DD670B" w:rsidRDefault="00D4506B" w:rsidP="00AE65DA">
            <w:pPr>
              <w:jc w:val="center"/>
              <w:rPr>
                <w:rFonts w:eastAsia="Arial Narrow"/>
                <w:color w:val="FFFFFF" w:themeColor="background1"/>
                <w:szCs w:val="18"/>
              </w:rPr>
            </w:pPr>
            <w:r w:rsidRPr="00DD670B">
              <w:rPr>
                <w:rFonts w:eastAsia="Arial Narrow"/>
                <w:color w:val="FFFFFF" w:themeColor="background1"/>
                <w:szCs w:val="18"/>
              </w:rPr>
              <w:t>Zadruga</w:t>
            </w:r>
          </w:p>
        </w:tc>
        <w:tc>
          <w:tcPr>
            <w:tcW w:w="992" w:type="dxa"/>
            <w:shd w:val="clear" w:color="auto" w:fill="D2232A" w:themeFill="accent1"/>
            <w:vAlign w:val="bottom"/>
            <w:hideMark/>
          </w:tcPr>
          <w:p w14:paraId="7523B9B8" w14:textId="77777777" w:rsidR="00D4506B" w:rsidRPr="00DD670B" w:rsidRDefault="00D4506B" w:rsidP="00AE65DA">
            <w:pPr>
              <w:jc w:val="center"/>
              <w:rPr>
                <w:rFonts w:eastAsia="Arial Narrow"/>
                <w:color w:val="FFFFFF" w:themeColor="background1"/>
                <w:szCs w:val="18"/>
              </w:rPr>
            </w:pPr>
            <w:r w:rsidRPr="00DD670B">
              <w:rPr>
                <w:rFonts w:eastAsia="Arial Narrow"/>
                <w:color w:val="FFFFFF" w:themeColor="background1"/>
                <w:szCs w:val="18"/>
              </w:rPr>
              <w:t>Ostal</w:t>
            </w:r>
            <w:r>
              <w:rPr>
                <w:rFonts w:eastAsia="Arial Narrow"/>
                <w:color w:val="FFFFFF" w:themeColor="background1"/>
                <w:szCs w:val="18"/>
              </w:rPr>
              <w:t>i</w:t>
            </w:r>
          </w:p>
        </w:tc>
        <w:tc>
          <w:tcPr>
            <w:tcW w:w="1134" w:type="dxa"/>
            <w:shd w:val="clear" w:color="auto" w:fill="D2232A" w:themeFill="accent1"/>
            <w:vAlign w:val="bottom"/>
            <w:hideMark/>
          </w:tcPr>
          <w:p w14:paraId="7698CC9D" w14:textId="77777777" w:rsidR="00D4506B" w:rsidRPr="00DD670B" w:rsidRDefault="00D4506B" w:rsidP="00AE65DA">
            <w:pPr>
              <w:jc w:val="center"/>
              <w:rPr>
                <w:rFonts w:eastAsia="Arial Narrow"/>
                <w:color w:val="FFFFFF" w:themeColor="background1"/>
                <w:szCs w:val="18"/>
              </w:rPr>
            </w:pPr>
            <w:r w:rsidRPr="00DD670B">
              <w:rPr>
                <w:rFonts w:eastAsia="Arial Narrow"/>
                <w:color w:val="FFFFFF" w:themeColor="background1"/>
                <w:szCs w:val="18"/>
              </w:rPr>
              <w:t>UKUPNO</w:t>
            </w:r>
          </w:p>
        </w:tc>
      </w:tr>
      <w:tr w:rsidR="00D4506B" w:rsidRPr="00DD670B" w14:paraId="248C1336" w14:textId="77777777" w:rsidTr="008559B5">
        <w:trPr>
          <w:trHeight w:val="331"/>
        </w:trPr>
        <w:tc>
          <w:tcPr>
            <w:tcW w:w="798" w:type="dxa"/>
            <w:vAlign w:val="center"/>
            <w:hideMark/>
          </w:tcPr>
          <w:p w14:paraId="0335B5B5" w14:textId="77777777" w:rsidR="00D4506B" w:rsidRPr="00DD670B" w:rsidRDefault="00D4506B" w:rsidP="00AC7724">
            <w:pPr>
              <w:jc w:val="center"/>
              <w:rPr>
                <w:rFonts w:eastAsia="Arial Narrow"/>
                <w:color w:val="auto"/>
                <w:szCs w:val="18"/>
              </w:rPr>
            </w:pPr>
            <w:r w:rsidRPr="00DD670B">
              <w:rPr>
                <w:rFonts w:eastAsia="Arial Narrow"/>
                <w:w w:val="99"/>
                <w:szCs w:val="18"/>
              </w:rPr>
              <w:t>201</w:t>
            </w:r>
            <w:r>
              <w:rPr>
                <w:rFonts w:eastAsia="Arial Narrow"/>
                <w:w w:val="99"/>
                <w:szCs w:val="18"/>
              </w:rPr>
              <w:t>9</w:t>
            </w:r>
            <w:r w:rsidRPr="00DD670B">
              <w:rPr>
                <w:rFonts w:eastAsia="Arial Narrow"/>
                <w:w w:val="99"/>
                <w:szCs w:val="18"/>
              </w:rPr>
              <w:t>.</w:t>
            </w:r>
          </w:p>
        </w:tc>
        <w:tc>
          <w:tcPr>
            <w:tcW w:w="1035" w:type="dxa"/>
            <w:vAlign w:val="center"/>
            <w:hideMark/>
          </w:tcPr>
          <w:p w14:paraId="3E888013" w14:textId="77777777" w:rsidR="00D4506B" w:rsidRPr="00DD670B" w:rsidRDefault="00D4506B" w:rsidP="00AC7724">
            <w:pPr>
              <w:jc w:val="right"/>
              <w:rPr>
                <w:rFonts w:eastAsiaTheme="minorHAnsi"/>
                <w:szCs w:val="18"/>
              </w:rPr>
            </w:pPr>
            <w:r>
              <w:rPr>
                <w:szCs w:val="18"/>
              </w:rPr>
              <w:t>8.629</w:t>
            </w:r>
          </w:p>
        </w:tc>
        <w:tc>
          <w:tcPr>
            <w:tcW w:w="851" w:type="dxa"/>
          </w:tcPr>
          <w:p w14:paraId="15A62FE6" w14:textId="77777777" w:rsidR="00D4506B" w:rsidRPr="009971C2" w:rsidRDefault="00D4506B" w:rsidP="00AC7724">
            <w:pPr>
              <w:jc w:val="right"/>
              <w:rPr>
                <w:szCs w:val="18"/>
              </w:rPr>
            </w:pPr>
            <w:r w:rsidRPr="009971C2">
              <w:rPr>
                <w:szCs w:val="18"/>
              </w:rPr>
              <w:t>146</w:t>
            </w:r>
          </w:p>
        </w:tc>
        <w:tc>
          <w:tcPr>
            <w:tcW w:w="1134" w:type="dxa"/>
            <w:vAlign w:val="center"/>
            <w:hideMark/>
          </w:tcPr>
          <w:p w14:paraId="2388509D" w14:textId="77777777" w:rsidR="00D4506B" w:rsidRPr="00DD670B" w:rsidRDefault="00D4506B" w:rsidP="00AC7724">
            <w:pPr>
              <w:jc w:val="right"/>
              <w:rPr>
                <w:szCs w:val="18"/>
              </w:rPr>
            </w:pPr>
            <w:r w:rsidRPr="00DD670B">
              <w:rPr>
                <w:szCs w:val="18"/>
              </w:rPr>
              <w:t>86</w:t>
            </w:r>
          </w:p>
        </w:tc>
        <w:tc>
          <w:tcPr>
            <w:tcW w:w="1984" w:type="dxa"/>
            <w:vAlign w:val="center"/>
            <w:hideMark/>
          </w:tcPr>
          <w:p w14:paraId="3F896A81" w14:textId="77777777" w:rsidR="00D4506B" w:rsidRPr="00DD670B" w:rsidRDefault="00D4506B" w:rsidP="00AC7724">
            <w:pPr>
              <w:jc w:val="right"/>
              <w:rPr>
                <w:szCs w:val="18"/>
              </w:rPr>
            </w:pPr>
            <w:r>
              <w:rPr>
                <w:szCs w:val="18"/>
              </w:rPr>
              <w:t>68</w:t>
            </w:r>
          </w:p>
        </w:tc>
        <w:tc>
          <w:tcPr>
            <w:tcW w:w="1276" w:type="dxa"/>
            <w:vAlign w:val="center"/>
            <w:hideMark/>
          </w:tcPr>
          <w:p w14:paraId="15C7BE0B" w14:textId="77777777" w:rsidR="00D4506B" w:rsidRPr="00DD670B" w:rsidRDefault="00D4506B" w:rsidP="00AC7724">
            <w:pPr>
              <w:jc w:val="right"/>
              <w:rPr>
                <w:szCs w:val="18"/>
              </w:rPr>
            </w:pPr>
            <w:r>
              <w:rPr>
                <w:szCs w:val="18"/>
              </w:rPr>
              <w:t>7</w:t>
            </w:r>
          </w:p>
        </w:tc>
        <w:tc>
          <w:tcPr>
            <w:tcW w:w="992" w:type="dxa"/>
            <w:vAlign w:val="center"/>
            <w:hideMark/>
          </w:tcPr>
          <w:p w14:paraId="2AD2640B" w14:textId="77777777" w:rsidR="00D4506B" w:rsidRPr="00DD670B" w:rsidRDefault="00D4506B" w:rsidP="00AC7724">
            <w:pPr>
              <w:jc w:val="right"/>
              <w:rPr>
                <w:szCs w:val="18"/>
              </w:rPr>
            </w:pPr>
            <w:r>
              <w:rPr>
                <w:szCs w:val="18"/>
              </w:rPr>
              <w:t>1</w:t>
            </w:r>
          </w:p>
        </w:tc>
        <w:tc>
          <w:tcPr>
            <w:tcW w:w="1134" w:type="dxa"/>
            <w:vAlign w:val="center"/>
            <w:hideMark/>
          </w:tcPr>
          <w:p w14:paraId="6454CEBD" w14:textId="77777777" w:rsidR="00D4506B" w:rsidRPr="00DD670B" w:rsidRDefault="00D4506B" w:rsidP="00AC7724">
            <w:pPr>
              <w:jc w:val="right"/>
              <w:rPr>
                <w:szCs w:val="18"/>
              </w:rPr>
            </w:pPr>
            <w:r>
              <w:rPr>
                <w:szCs w:val="18"/>
              </w:rPr>
              <w:t>8.937</w:t>
            </w:r>
          </w:p>
        </w:tc>
      </w:tr>
    </w:tbl>
    <w:p w14:paraId="3C129BC0" w14:textId="60DAF75C" w:rsidR="00D4506B" w:rsidRPr="00BD0057" w:rsidRDefault="00D4506B" w:rsidP="00BD0057">
      <w:pPr>
        <w:autoSpaceDE w:val="0"/>
        <w:autoSpaceDN w:val="0"/>
        <w:adjustRightInd w:val="0"/>
        <w:spacing w:after="0" w:line="240" w:lineRule="auto"/>
        <w:rPr>
          <w:rFonts w:eastAsia="ArialNarrow" w:cstheme="minorHAnsi"/>
          <w:i/>
          <w:color w:val="ABABAB" w:themeColor="text1" w:themeTint="A6"/>
          <w:sz w:val="16"/>
          <w:szCs w:val="16"/>
        </w:rPr>
      </w:pPr>
      <w:bookmarkStart w:id="195" w:name="_Hlk54879490"/>
      <w:r w:rsidRPr="00BD0057">
        <w:rPr>
          <w:rFonts w:eastAsia="ArialNarrow" w:cstheme="minorHAnsi"/>
          <w:i/>
          <w:color w:val="ABABAB" w:themeColor="text1" w:themeTint="A6"/>
          <w:sz w:val="16"/>
          <w:szCs w:val="16"/>
        </w:rPr>
        <w:t>Izvor: Analiza stanja u poljoprivredi Krapinsko- zagorske županije za razdoblje 2017.-2020. godine, listopad 2020, Upravni odjel za gospodarstvo, poljoprivredu, turizam i komunalnu infrastrukturu</w:t>
      </w:r>
      <w:bookmarkEnd w:id="195"/>
    </w:p>
    <w:p w14:paraId="3F7D8F1A" w14:textId="5339F37A" w:rsidR="00AF50EF" w:rsidRPr="00644965" w:rsidRDefault="009E1557" w:rsidP="00941871">
      <w:pPr>
        <w:spacing w:line="283" w:lineRule="auto"/>
        <w:ind w:right="72"/>
        <w:rPr>
          <w:rFonts w:eastAsia="Arial Narrow" w:cstheme="minorHAnsi"/>
          <w:szCs w:val="18"/>
        </w:rPr>
      </w:pPr>
      <w:r w:rsidRPr="4E193667">
        <w:rPr>
          <w:rFonts w:eastAsia="Arial Narrow"/>
        </w:rPr>
        <w:lastRenderedPageBreak/>
        <w:t>U 2019. godini APPRRR radila je usklađivanje podataka u svojim evidencijama Upisnika pri čemu se pokazalo da na području Županije imamo 146 samoopskrbnih gospodarst</w:t>
      </w:r>
      <w:r w:rsidR="00114EF1">
        <w:rPr>
          <w:rFonts w:eastAsia="Arial Narrow"/>
        </w:rPr>
        <w:t>a</w:t>
      </w:r>
      <w:r w:rsidRPr="4E193667">
        <w:rPr>
          <w:rFonts w:eastAsia="Arial Narrow"/>
        </w:rPr>
        <w:t>va</w:t>
      </w:r>
      <w:r w:rsidR="009D4141">
        <w:rPr>
          <w:rFonts w:eastAsia="Arial Narrow"/>
        </w:rPr>
        <w:t>.</w:t>
      </w:r>
      <w:r>
        <w:rPr>
          <w:rStyle w:val="Referencafusnote"/>
          <w:rFonts w:eastAsia="Arial Narrow" w:cstheme="minorHAnsi"/>
          <w:szCs w:val="18"/>
        </w:rPr>
        <w:footnoteReference w:id="80"/>
      </w:r>
      <w:r w:rsidRPr="4E193667">
        <w:rPr>
          <w:rFonts w:eastAsia="Arial Narrow"/>
        </w:rPr>
        <w:t xml:space="preserve"> Brojka je vjerojatno veća, jer je usklađivanje nastavljeno i u 2020. godini. Ostali pravni oblici u 2019. godini (obrti, trgovačka društva, zadruge) čine svega 1,</w:t>
      </w:r>
      <w:r w:rsidR="00AE65DA">
        <w:rPr>
          <w:rFonts w:eastAsia="Arial Narrow"/>
        </w:rPr>
        <w:t>80%</w:t>
      </w:r>
      <w:r w:rsidRPr="4E193667">
        <w:rPr>
          <w:rFonts w:eastAsia="Arial Narrow"/>
        </w:rPr>
        <w:t xml:space="preserve"> od ukupnog broja upisanih subjekata. Jedan subjekt je upisan pod „Druge pravne osobe (crkva, vojska, obrazovne ustanove)“, a to je Poljoprivredno učilište, Srednje škole Bedekovčina.</w:t>
      </w:r>
    </w:p>
    <w:p w14:paraId="76ABE7E8" w14:textId="5E85B140" w:rsidR="0047306D" w:rsidRDefault="008878A0" w:rsidP="00941871">
      <w:pPr>
        <w:spacing w:line="283" w:lineRule="auto"/>
        <w:ind w:right="72"/>
        <w:rPr>
          <w:rFonts w:eastAsia="Arial Narrow" w:cstheme="minorHAnsi"/>
        </w:rPr>
      </w:pPr>
      <w:r>
        <w:rPr>
          <w:rFonts w:eastAsia="Arial Narrow" w:cstheme="minorHAnsi"/>
        </w:rPr>
        <w:t xml:space="preserve">Dobna struktura nositelja/odgovorne osobe </w:t>
      </w:r>
      <w:r w:rsidR="001E4011">
        <w:rPr>
          <w:rFonts w:eastAsia="Arial Narrow" w:cstheme="minorHAnsi"/>
        </w:rPr>
        <w:t xml:space="preserve">proteklih godina </w:t>
      </w:r>
      <w:r>
        <w:rPr>
          <w:rFonts w:eastAsia="Arial Narrow" w:cstheme="minorHAnsi"/>
        </w:rPr>
        <w:t>nije se mijenjala te i dalje najveći broj nositelja (</w:t>
      </w:r>
      <w:r w:rsidR="0033443F" w:rsidRPr="001A425B">
        <w:rPr>
          <w:rFonts w:eastAsia="Arial Narrow" w:cstheme="minorHAnsi"/>
        </w:rPr>
        <w:t>38</w:t>
      </w:r>
      <w:r w:rsidRPr="001A425B">
        <w:rPr>
          <w:rFonts w:eastAsia="Arial Narrow" w:cstheme="minorHAnsi"/>
        </w:rPr>
        <w:t>%)</w:t>
      </w:r>
      <w:r>
        <w:rPr>
          <w:rFonts w:eastAsia="Arial Narrow" w:cstheme="minorHAnsi"/>
        </w:rPr>
        <w:t xml:space="preserve"> spada u dobnu skupinu starijih od 65 godina</w:t>
      </w:r>
      <w:r w:rsidR="001E4011">
        <w:rPr>
          <w:rFonts w:eastAsia="Arial Narrow" w:cstheme="minorHAnsi"/>
        </w:rPr>
        <w:t>, što je jednako prosjeku na državnoj razini</w:t>
      </w:r>
      <w:r w:rsidR="00644965">
        <w:rPr>
          <w:rFonts w:eastAsia="Arial Narrow" w:cstheme="minorHAnsi"/>
        </w:rPr>
        <w:t xml:space="preserve"> i ukazuje na povećanje staračkih domaćinstava.</w:t>
      </w:r>
      <w:r>
        <w:rPr>
          <w:rFonts w:eastAsia="Arial Narrow" w:cstheme="minorHAnsi"/>
        </w:rPr>
        <w:t xml:space="preserve"> </w:t>
      </w:r>
      <w:r w:rsidR="00644965">
        <w:rPr>
          <w:rFonts w:eastAsia="Arial Narrow" w:cstheme="minorHAnsi"/>
        </w:rPr>
        <w:t>S druge strane</w:t>
      </w:r>
      <w:r w:rsidR="0024453C">
        <w:rPr>
          <w:rFonts w:eastAsia="Arial Narrow" w:cstheme="minorHAnsi"/>
        </w:rPr>
        <w:t>,</w:t>
      </w:r>
      <w:r w:rsidR="00644965">
        <w:rPr>
          <w:rFonts w:eastAsia="Arial Narrow" w:cstheme="minorHAnsi"/>
        </w:rPr>
        <w:t xml:space="preserve"> i</w:t>
      </w:r>
      <w:r w:rsidR="00644965" w:rsidRPr="00644965">
        <w:rPr>
          <w:rFonts w:eastAsia="Arial Narrow" w:cstheme="minorHAnsi"/>
        </w:rPr>
        <w:t xml:space="preserve">z </w:t>
      </w:r>
      <w:r w:rsidR="00644965">
        <w:rPr>
          <w:rFonts w:eastAsia="Arial Narrow" w:cstheme="minorHAnsi"/>
        </w:rPr>
        <w:t>t</w:t>
      </w:r>
      <w:r w:rsidR="00644965" w:rsidRPr="00644965">
        <w:rPr>
          <w:rFonts w:eastAsia="Arial Narrow" w:cstheme="minorHAnsi"/>
        </w:rPr>
        <w:t xml:space="preserve">ablice je vidljivo </w:t>
      </w:r>
      <w:r w:rsidR="00426E1F">
        <w:rPr>
          <w:rFonts w:eastAsia="Arial Narrow" w:cstheme="minorHAnsi"/>
        </w:rPr>
        <w:t xml:space="preserve">i </w:t>
      </w:r>
      <w:r w:rsidR="00644965" w:rsidRPr="00644965">
        <w:rPr>
          <w:rFonts w:eastAsia="Arial Narrow" w:cstheme="minorHAnsi"/>
        </w:rPr>
        <w:t>da je broj PG-a čiji su nositelji gospodarstava u dobnoj skupini do 41 godinu u kontinuiranom porastu od 2016. do 2019. godine za 23,64%, a to je jasan pokazatelj da se svake godine dio mladih obitelji odlučuje ostvariti svoj dohodak s osnova</w:t>
      </w:r>
      <w:r w:rsidR="00644965">
        <w:rPr>
          <w:rFonts w:eastAsia="Arial Narrow" w:cstheme="minorHAnsi"/>
        </w:rPr>
        <w:t xml:space="preserve"> poljoprivredne proizvodnje.</w:t>
      </w:r>
    </w:p>
    <w:p w14:paraId="04F89D2E" w14:textId="77777777" w:rsidR="00AE65DA" w:rsidRDefault="00AE65DA" w:rsidP="00941871">
      <w:pPr>
        <w:spacing w:line="283" w:lineRule="auto"/>
        <w:ind w:right="72"/>
        <w:rPr>
          <w:rFonts w:eastAsia="Arial Narrow" w:cstheme="minorHAnsi"/>
        </w:rPr>
      </w:pPr>
    </w:p>
    <w:p w14:paraId="400EAD3A" w14:textId="75608B34" w:rsidR="00877DAC" w:rsidRPr="00877DAC" w:rsidRDefault="00877DAC" w:rsidP="003E3F3C">
      <w:pPr>
        <w:pStyle w:val="Opisslike"/>
      </w:pPr>
      <w:r>
        <w:t>Tablica</w:t>
      </w:r>
      <w:r w:rsidR="00BD0057">
        <w:t xml:space="preserve"> 1</w:t>
      </w:r>
      <w:r w:rsidR="00A7185B">
        <w:t>17</w:t>
      </w:r>
      <w:r>
        <w:t xml:space="preserve">. </w:t>
      </w:r>
      <w:r w:rsidRPr="006E600C">
        <w:t>Broj poljoprivrednih gospodarstava u Krapinsko-zagorskoj županiji</w:t>
      </w:r>
      <w:r>
        <w:t xml:space="preserve"> prema </w:t>
      </w:r>
      <w:r w:rsidR="00210F8B">
        <w:t>dobi</w:t>
      </w:r>
      <w:r>
        <w:t xml:space="preserve"> nositelja</w:t>
      </w:r>
    </w:p>
    <w:tbl>
      <w:tblPr>
        <w:tblW w:w="0" w:type="auto"/>
        <w:tblBorders>
          <w:left w:val="single" w:sz="8" w:space="0" w:color="D2232A"/>
          <w:right w:val="single" w:sz="8" w:space="0" w:color="D2232A"/>
          <w:insideH w:val="single" w:sz="8" w:space="0" w:color="F3CFC1"/>
          <w:insideV w:val="single" w:sz="8" w:space="0" w:color="D2232A"/>
        </w:tblBorders>
        <w:tblLayout w:type="fixed"/>
        <w:tblLook w:val="04A0" w:firstRow="1" w:lastRow="0" w:firstColumn="1" w:lastColumn="0" w:noHBand="0" w:noVBand="1"/>
      </w:tblPr>
      <w:tblGrid>
        <w:gridCol w:w="1137"/>
        <w:gridCol w:w="1400"/>
        <w:gridCol w:w="1639"/>
        <w:gridCol w:w="1641"/>
        <w:gridCol w:w="1639"/>
        <w:gridCol w:w="1641"/>
      </w:tblGrid>
      <w:tr w:rsidR="0047306D" w:rsidRPr="00DD670B" w14:paraId="5A93C198" w14:textId="77777777" w:rsidTr="008559B5">
        <w:trPr>
          <w:trHeight w:val="292"/>
        </w:trPr>
        <w:tc>
          <w:tcPr>
            <w:tcW w:w="1137" w:type="dxa"/>
            <w:shd w:val="clear" w:color="auto" w:fill="D2232A" w:themeFill="accent1"/>
            <w:vAlign w:val="center"/>
            <w:hideMark/>
          </w:tcPr>
          <w:p w14:paraId="2979BB2E" w14:textId="2EE520D3" w:rsidR="0047306D" w:rsidRPr="00DD670B" w:rsidRDefault="0047306D" w:rsidP="00AC7724">
            <w:pPr>
              <w:jc w:val="center"/>
              <w:rPr>
                <w:rFonts w:eastAsia="Arial Narrow"/>
                <w:color w:val="FFFFFF" w:themeColor="background1"/>
                <w:szCs w:val="18"/>
              </w:rPr>
            </w:pPr>
            <w:r>
              <w:rPr>
                <w:rFonts w:eastAsia="Arial Narrow"/>
                <w:color w:val="FFFFFF" w:themeColor="background1"/>
                <w:szCs w:val="18"/>
              </w:rPr>
              <w:t>Dob</w:t>
            </w:r>
          </w:p>
        </w:tc>
        <w:tc>
          <w:tcPr>
            <w:tcW w:w="1400" w:type="dxa"/>
            <w:shd w:val="clear" w:color="auto" w:fill="D2232A" w:themeFill="accent1"/>
            <w:vAlign w:val="center"/>
            <w:hideMark/>
          </w:tcPr>
          <w:p w14:paraId="3E0EA8FB" w14:textId="77A11D78" w:rsidR="0047306D" w:rsidRPr="00DD670B" w:rsidRDefault="0047306D" w:rsidP="00AC7724">
            <w:pPr>
              <w:jc w:val="right"/>
              <w:rPr>
                <w:rFonts w:eastAsia="Arial Narrow"/>
                <w:color w:val="FFFFFF" w:themeColor="background1"/>
                <w:szCs w:val="18"/>
              </w:rPr>
            </w:pPr>
            <w:r>
              <w:rPr>
                <w:rFonts w:eastAsia="Arial Narrow"/>
                <w:color w:val="FFFFFF" w:themeColor="background1"/>
                <w:szCs w:val="18"/>
              </w:rPr>
              <w:t>Broj PG-a u 2016.</w:t>
            </w:r>
          </w:p>
        </w:tc>
        <w:tc>
          <w:tcPr>
            <w:tcW w:w="1639" w:type="dxa"/>
            <w:shd w:val="clear" w:color="auto" w:fill="D2232A" w:themeFill="accent1"/>
            <w:vAlign w:val="center"/>
          </w:tcPr>
          <w:p w14:paraId="537573C8" w14:textId="363F888C" w:rsidR="0047306D" w:rsidRPr="00DD670B" w:rsidRDefault="0047306D" w:rsidP="00AC7724">
            <w:pPr>
              <w:jc w:val="right"/>
              <w:rPr>
                <w:rFonts w:eastAsia="Arial Narrow"/>
                <w:color w:val="FFFFFF" w:themeColor="background1"/>
                <w:szCs w:val="18"/>
              </w:rPr>
            </w:pPr>
            <w:r>
              <w:rPr>
                <w:rFonts w:eastAsia="Arial Narrow"/>
                <w:color w:val="FFFFFF" w:themeColor="background1"/>
                <w:szCs w:val="18"/>
              </w:rPr>
              <w:t>Broj PG-a u 2017.</w:t>
            </w:r>
          </w:p>
        </w:tc>
        <w:tc>
          <w:tcPr>
            <w:tcW w:w="1641" w:type="dxa"/>
            <w:shd w:val="clear" w:color="auto" w:fill="D2232A" w:themeFill="accent1"/>
            <w:vAlign w:val="center"/>
          </w:tcPr>
          <w:p w14:paraId="5BE7AE40" w14:textId="718CE3B5" w:rsidR="0047306D" w:rsidRPr="00DD670B" w:rsidRDefault="0047306D" w:rsidP="00AC7724">
            <w:pPr>
              <w:jc w:val="right"/>
              <w:rPr>
                <w:rFonts w:eastAsia="Arial Narrow"/>
                <w:color w:val="FFFFFF" w:themeColor="background1"/>
                <w:szCs w:val="18"/>
              </w:rPr>
            </w:pPr>
            <w:r>
              <w:rPr>
                <w:rFonts w:eastAsia="Arial Narrow"/>
                <w:color w:val="FFFFFF" w:themeColor="background1"/>
                <w:szCs w:val="18"/>
              </w:rPr>
              <w:t>Broj PG-a u 2018.</w:t>
            </w:r>
          </w:p>
        </w:tc>
        <w:tc>
          <w:tcPr>
            <w:tcW w:w="1639" w:type="dxa"/>
            <w:shd w:val="clear" w:color="auto" w:fill="D2232A" w:themeFill="accent1"/>
            <w:vAlign w:val="center"/>
          </w:tcPr>
          <w:p w14:paraId="6214AAFC" w14:textId="744F3570" w:rsidR="0047306D" w:rsidRPr="00DD670B" w:rsidRDefault="0047306D" w:rsidP="00AC7724">
            <w:pPr>
              <w:jc w:val="right"/>
              <w:rPr>
                <w:rFonts w:eastAsia="Arial Narrow"/>
                <w:color w:val="FFFFFF" w:themeColor="background1"/>
                <w:szCs w:val="18"/>
              </w:rPr>
            </w:pPr>
            <w:r>
              <w:rPr>
                <w:rFonts w:eastAsia="Arial Narrow"/>
                <w:color w:val="FFFFFF" w:themeColor="background1"/>
                <w:szCs w:val="18"/>
              </w:rPr>
              <w:t>Broj PG-a u 2019.</w:t>
            </w:r>
          </w:p>
        </w:tc>
        <w:tc>
          <w:tcPr>
            <w:tcW w:w="1641" w:type="dxa"/>
            <w:shd w:val="clear" w:color="auto" w:fill="D2232A" w:themeFill="accent1"/>
            <w:vAlign w:val="center"/>
          </w:tcPr>
          <w:p w14:paraId="4DF0684D" w14:textId="1BCFE1AB" w:rsidR="0047306D" w:rsidRPr="00DD670B" w:rsidRDefault="0047306D" w:rsidP="00AC7724">
            <w:pPr>
              <w:jc w:val="right"/>
              <w:rPr>
                <w:rFonts w:eastAsia="Arial Narrow"/>
                <w:color w:val="FFFFFF" w:themeColor="background1"/>
                <w:szCs w:val="18"/>
              </w:rPr>
            </w:pPr>
            <w:r>
              <w:rPr>
                <w:rFonts w:eastAsia="Arial Narrow"/>
                <w:color w:val="FFFFFF" w:themeColor="background1"/>
                <w:szCs w:val="18"/>
              </w:rPr>
              <w:t>Razlika 2016/2019.</w:t>
            </w:r>
          </w:p>
        </w:tc>
      </w:tr>
      <w:tr w:rsidR="0047306D" w:rsidRPr="00DD670B" w14:paraId="36D9205B" w14:textId="77777777" w:rsidTr="008559B5">
        <w:trPr>
          <w:trHeight w:val="292"/>
        </w:trPr>
        <w:tc>
          <w:tcPr>
            <w:tcW w:w="1137" w:type="dxa"/>
            <w:vAlign w:val="center"/>
          </w:tcPr>
          <w:p w14:paraId="7176B8A9" w14:textId="41616273" w:rsidR="0047306D" w:rsidRPr="00DD670B" w:rsidRDefault="0047306D" w:rsidP="00AC7724">
            <w:pPr>
              <w:jc w:val="center"/>
              <w:rPr>
                <w:rFonts w:eastAsia="Arial Narrow"/>
                <w:color w:val="auto"/>
                <w:szCs w:val="18"/>
              </w:rPr>
            </w:pPr>
            <w:r w:rsidRPr="0047306D">
              <w:rPr>
                <w:rFonts w:eastAsia="Arial Narrow"/>
                <w:w w:val="99"/>
                <w:szCs w:val="18"/>
              </w:rPr>
              <w:t>&lt; 41</w:t>
            </w:r>
          </w:p>
        </w:tc>
        <w:tc>
          <w:tcPr>
            <w:tcW w:w="1400" w:type="dxa"/>
            <w:vAlign w:val="center"/>
          </w:tcPr>
          <w:p w14:paraId="7297206E" w14:textId="3606C989" w:rsidR="0047306D" w:rsidRPr="00DD670B" w:rsidRDefault="00AC7724" w:rsidP="00AC7724">
            <w:pPr>
              <w:jc w:val="right"/>
              <w:rPr>
                <w:rFonts w:eastAsiaTheme="minorHAnsi"/>
                <w:szCs w:val="18"/>
              </w:rPr>
            </w:pPr>
            <w:r>
              <w:rPr>
                <w:rFonts w:eastAsiaTheme="minorHAnsi"/>
                <w:szCs w:val="18"/>
              </w:rPr>
              <w:t>704</w:t>
            </w:r>
          </w:p>
        </w:tc>
        <w:tc>
          <w:tcPr>
            <w:tcW w:w="1639" w:type="dxa"/>
            <w:vAlign w:val="center"/>
          </w:tcPr>
          <w:p w14:paraId="2AC411AD" w14:textId="6C8F9AE5" w:rsidR="0047306D" w:rsidRPr="00DD670B" w:rsidRDefault="008101B4" w:rsidP="00AC7724">
            <w:pPr>
              <w:jc w:val="right"/>
              <w:rPr>
                <w:szCs w:val="18"/>
              </w:rPr>
            </w:pPr>
            <w:r>
              <w:rPr>
                <w:szCs w:val="18"/>
              </w:rPr>
              <w:t>824</w:t>
            </w:r>
          </w:p>
        </w:tc>
        <w:tc>
          <w:tcPr>
            <w:tcW w:w="1641" w:type="dxa"/>
            <w:vAlign w:val="center"/>
          </w:tcPr>
          <w:p w14:paraId="3EE6DB1C" w14:textId="10D78FBD" w:rsidR="0047306D" w:rsidRPr="00DD670B" w:rsidRDefault="008101B4" w:rsidP="00AC7724">
            <w:pPr>
              <w:jc w:val="right"/>
              <w:rPr>
                <w:szCs w:val="18"/>
              </w:rPr>
            </w:pPr>
            <w:r>
              <w:rPr>
                <w:szCs w:val="18"/>
              </w:rPr>
              <w:t>878</w:t>
            </w:r>
          </w:p>
        </w:tc>
        <w:tc>
          <w:tcPr>
            <w:tcW w:w="1639" w:type="dxa"/>
            <w:vAlign w:val="center"/>
          </w:tcPr>
          <w:p w14:paraId="3970A307" w14:textId="29637D5C" w:rsidR="0047306D" w:rsidRPr="00DD670B" w:rsidRDefault="008101B4" w:rsidP="00AC7724">
            <w:pPr>
              <w:jc w:val="right"/>
              <w:rPr>
                <w:szCs w:val="18"/>
              </w:rPr>
            </w:pPr>
            <w:r>
              <w:rPr>
                <w:szCs w:val="18"/>
              </w:rPr>
              <w:t>922</w:t>
            </w:r>
          </w:p>
        </w:tc>
        <w:tc>
          <w:tcPr>
            <w:tcW w:w="1641" w:type="dxa"/>
            <w:vAlign w:val="center"/>
          </w:tcPr>
          <w:p w14:paraId="312B25ED" w14:textId="013F396A" w:rsidR="0047306D" w:rsidRPr="00DD670B" w:rsidRDefault="008101B4" w:rsidP="00AC7724">
            <w:pPr>
              <w:jc w:val="right"/>
              <w:rPr>
                <w:szCs w:val="18"/>
              </w:rPr>
            </w:pPr>
            <w:r>
              <w:rPr>
                <w:szCs w:val="18"/>
              </w:rPr>
              <w:t>218</w:t>
            </w:r>
          </w:p>
        </w:tc>
      </w:tr>
      <w:tr w:rsidR="0047306D" w:rsidRPr="00DD670B" w14:paraId="69440C3B" w14:textId="77777777" w:rsidTr="008559B5">
        <w:trPr>
          <w:trHeight w:val="292"/>
        </w:trPr>
        <w:tc>
          <w:tcPr>
            <w:tcW w:w="1137" w:type="dxa"/>
            <w:vAlign w:val="center"/>
          </w:tcPr>
          <w:p w14:paraId="42BB15A1" w14:textId="3663B840" w:rsidR="0047306D" w:rsidRPr="00DD670B" w:rsidRDefault="0047306D" w:rsidP="00AC7724">
            <w:pPr>
              <w:jc w:val="center"/>
              <w:rPr>
                <w:rFonts w:eastAsia="Arial Narrow"/>
                <w:szCs w:val="18"/>
              </w:rPr>
            </w:pPr>
            <w:r>
              <w:rPr>
                <w:rFonts w:eastAsia="Arial Narrow"/>
                <w:szCs w:val="18"/>
              </w:rPr>
              <w:t>41-45</w:t>
            </w:r>
          </w:p>
        </w:tc>
        <w:tc>
          <w:tcPr>
            <w:tcW w:w="1400" w:type="dxa"/>
            <w:vAlign w:val="center"/>
          </w:tcPr>
          <w:p w14:paraId="1E39A1C6" w14:textId="72E5F7F1" w:rsidR="0047306D" w:rsidRPr="00DD670B" w:rsidRDefault="00AC7724" w:rsidP="00AC7724">
            <w:pPr>
              <w:jc w:val="right"/>
              <w:rPr>
                <w:rFonts w:eastAsiaTheme="minorHAnsi"/>
                <w:szCs w:val="18"/>
              </w:rPr>
            </w:pPr>
            <w:r>
              <w:rPr>
                <w:rFonts w:eastAsiaTheme="minorHAnsi"/>
                <w:szCs w:val="18"/>
              </w:rPr>
              <w:t>541</w:t>
            </w:r>
          </w:p>
        </w:tc>
        <w:tc>
          <w:tcPr>
            <w:tcW w:w="1639" w:type="dxa"/>
            <w:vAlign w:val="center"/>
          </w:tcPr>
          <w:p w14:paraId="23FFEC11" w14:textId="6E27BE2A" w:rsidR="0047306D" w:rsidRPr="00DD670B" w:rsidRDefault="008101B4" w:rsidP="00AC7724">
            <w:pPr>
              <w:jc w:val="right"/>
              <w:rPr>
                <w:szCs w:val="18"/>
              </w:rPr>
            </w:pPr>
            <w:r>
              <w:rPr>
                <w:szCs w:val="18"/>
              </w:rPr>
              <w:t>494</w:t>
            </w:r>
          </w:p>
        </w:tc>
        <w:tc>
          <w:tcPr>
            <w:tcW w:w="1641" w:type="dxa"/>
            <w:vAlign w:val="center"/>
          </w:tcPr>
          <w:p w14:paraId="2C10186D" w14:textId="43148ADD" w:rsidR="0047306D" w:rsidRPr="00DD670B" w:rsidRDefault="008101B4" w:rsidP="00AC7724">
            <w:pPr>
              <w:jc w:val="right"/>
              <w:rPr>
                <w:szCs w:val="18"/>
              </w:rPr>
            </w:pPr>
            <w:r>
              <w:rPr>
                <w:szCs w:val="18"/>
              </w:rPr>
              <w:t>516</w:t>
            </w:r>
          </w:p>
        </w:tc>
        <w:tc>
          <w:tcPr>
            <w:tcW w:w="1639" w:type="dxa"/>
            <w:vAlign w:val="center"/>
          </w:tcPr>
          <w:p w14:paraId="0085D5AF" w14:textId="548F968A" w:rsidR="0047306D" w:rsidRPr="00DD670B" w:rsidRDefault="008101B4" w:rsidP="00AC7724">
            <w:pPr>
              <w:jc w:val="right"/>
              <w:rPr>
                <w:szCs w:val="18"/>
              </w:rPr>
            </w:pPr>
            <w:r>
              <w:rPr>
                <w:szCs w:val="18"/>
              </w:rPr>
              <w:t>515</w:t>
            </w:r>
          </w:p>
        </w:tc>
        <w:tc>
          <w:tcPr>
            <w:tcW w:w="1641" w:type="dxa"/>
            <w:vAlign w:val="center"/>
          </w:tcPr>
          <w:p w14:paraId="29634403" w14:textId="35C2F78D" w:rsidR="0047306D" w:rsidRPr="00DD670B" w:rsidRDefault="008101B4" w:rsidP="00AC7724">
            <w:pPr>
              <w:jc w:val="right"/>
              <w:rPr>
                <w:szCs w:val="18"/>
              </w:rPr>
            </w:pPr>
            <w:r>
              <w:rPr>
                <w:szCs w:val="18"/>
              </w:rPr>
              <w:t>-26</w:t>
            </w:r>
          </w:p>
        </w:tc>
      </w:tr>
      <w:tr w:rsidR="0047306D" w:rsidRPr="00DD670B" w14:paraId="20266FE6" w14:textId="77777777" w:rsidTr="008559B5">
        <w:trPr>
          <w:trHeight w:val="292"/>
        </w:trPr>
        <w:tc>
          <w:tcPr>
            <w:tcW w:w="1137" w:type="dxa"/>
            <w:vAlign w:val="center"/>
          </w:tcPr>
          <w:p w14:paraId="72962ADE" w14:textId="2A241A94" w:rsidR="0047306D" w:rsidRPr="00DD670B" w:rsidRDefault="0047306D" w:rsidP="00AC7724">
            <w:pPr>
              <w:jc w:val="center"/>
              <w:rPr>
                <w:rFonts w:eastAsia="Arial Narrow"/>
                <w:szCs w:val="18"/>
              </w:rPr>
            </w:pPr>
            <w:r>
              <w:rPr>
                <w:rFonts w:eastAsia="Arial Narrow"/>
                <w:szCs w:val="18"/>
              </w:rPr>
              <w:t>46-50</w:t>
            </w:r>
          </w:p>
        </w:tc>
        <w:tc>
          <w:tcPr>
            <w:tcW w:w="1400" w:type="dxa"/>
            <w:vAlign w:val="center"/>
          </w:tcPr>
          <w:p w14:paraId="05F77506" w14:textId="1610D527" w:rsidR="0047306D" w:rsidRPr="00DD670B" w:rsidRDefault="00AC7724" w:rsidP="00AC7724">
            <w:pPr>
              <w:jc w:val="right"/>
              <w:rPr>
                <w:rFonts w:eastAsiaTheme="minorHAnsi"/>
                <w:szCs w:val="18"/>
              </w:rPr>
            </w:pPr>
            <w:r>
              <w:rPr>
                <w:rFonts w:eastAsiaTheme="minorHAnsi"/>
                <w:szCs w:val="18"/>
              </w:rPr>
              <w:t>847</w:t>
            </w:r>
          </w:p>
        </w:tc>
        <w:tc>
          <w:tcPr>
            <w:tcW w:w="1639" w:type="dxa"/>
            <w:vAlign w:val="center"/>
          </w:tcPr>
          <w:p w14:paraId="015109BA" w14:textId="390199FD" w:rsidR="0047306D" w:rsidRPr="00DD670B" w:rsidRDefault="008101B4" w:rsidP="00AC7724">
            <w:pPr>
              <w:jc w:val="right"/>
              <w:rPr>
                <w:szCs w:val="18"/>
              </w:rPr>
            </w:pPr>
            <w:r>
              <w:rPr>
                <w:szCs w:val="18"/>
              </w:rPr>
              <w:t>854</w:t>
            </w:r>
          </w:p>
        </w:tc>
        <w:tc>
          <w:tcPr>
            <w:tcW w:w="1641" w:type="dxa"/>
            <w:vAlign w:val="center"/>
          </w:tcPr>
          <w:p w14:paraId="1CEECDEF" w14:textId="118DD78A" w:rsidR="0047306D" w:rsidRPr="00DD670B" w:rsidRDefault="008101B4" w:rsidP="00AC7724">
            <w:pPr>
              <w:jc w:val="right"/>
              <w:rPr>
                <w:szCs w:val="18"/>
              </w:rPr>
            </w:pPr>
            <w:r>
              <w:rPr>
                <w:szCs w:val="18"/>
              </w:rPr>
              <w:t>778</w:t>
            </w:r>
          </w:p>
        </w:tc>
        <w:tc>
          <w:tcPr>
            <w:tcW w:w="1639" w:type="dxa"/>
            <w:vAlign w:val="center"/>
          </w:tcPr>
          <w:p w14:paraId="105F077F" w14:textId="4BFB77A4" w:rsidR="0047306D" w:rsidRPr="00DD670B" w:rsidRDefault="008101B4" w:rsidP="00AC7724">
            <w:pPr>
              <w:jc w:val="right"/>
              <w:rPr>
                <w:szCs w:val="18"/>
              </w:rPr>
            </w:pPr>
            <w:r>
              <w:rPr>
                <w:szCs w:val="18"/>
              </w:rPr>
              <w:t>771</w:t>
            </w:r>
          </w:p>
        </w:tc>
        <w:tc>
          <w:tcPr>
            <w:tcW w:w="1641" w:type="dxa"/>
            <w:vAlign w:val="center"/>
          </w:tcPr>
          <w:p w14:paraId="28AF3E8F" w14:textId="4DAFEC2A" w:rsidR="0047306D" w:rsidRPr="00DD670B" w:rsidRDefault="008101B4" w:rsidP="00AC7724">
            <w:pPr>
              <w:jc w:val="right"/>
              <w:rPr>
                <w:szCs w:val="18"/>
              </w:rPr>
            </w:pPr>
            <w:r>
              <w:rPr>
                <w:szCs w:val="18"/>
              </w:rPr>
              <w:t>-76</w:t>
            </w:r>
          </w:p>
        </w:tc>
      </w:tr>
      <w:tr w:rsidR="0047306D" w:rsidRPr="00DD670B" w14:paraId="0B81FC17" w14:textId="77777777" w:rsidTr="008559B5">
        <w:trPr>
          <w:trHeight w:val="292"/>
        </w:trPr>
        <w:tc>
          <w:tcPr>
            <w:tcW w:w="1137" w:type="dxa"/>
            <w:vAlign w:val="center"/>
          </w:tcPr>
          <w:p w14:paraId="7D9F96D4" w14:textId="42C9A4BC" w:rsidR="0047306D" w:rsidRPr="00DD670B" w:rsidRDefault="0047306D" w:rsidP="00AC7724">
            <w:pPr>
              <w:jc w:val="center"/>
              <w:rPr>
                <w:rFonts w:eastAsia="Arial Narrow"/>
                <w:w w:val="99"/>
                <w:szCs w:val="18"/>
              </w:rPr>
            </w:pPr>
            <w:r>
              <w:rPr>
                <w:rFonts w:eastAsia="Arial Narrow"/>
                <w:w w:val="99"/>
                <w:szCs w:val="18"/>
              </w:rPr>
              <w:t>51-55</w:t>
            </w:r>
          </w:p>
        </w:tc>
        <w:tc>
          <w:tcPr>
            <w:tcW w:w="1400" w:type="dxa"/>
            <w:vAlign w:val="center"/>
          </w:tcPr>
          <w:p w14:paraId="6E6A3FC5" w14:textId="01681CFF" w:rsidR="0047306D" w:rsidRPr="00DD670B" w:rsidRDefault="00AC7724" w:rsidP="00AC7724">
            <w:pPr>
              <w:jc w:val="right"/>
              <w:rPr>
                <w:rFonts w:eastAsia="Arial Narrow"/>
                <w:szCs w:val="18"/>
              </w:rPr>
            </w:pPr>
            <w:r>
              <w:rPr>
                <w:rFonts w:eastAsia="Arial Narrow"/>
                <w:szCs w:val="18"/>
              </w:rPr>
              <w:t>1.071</w:t>
            </w:r>
          </w:p>
        </w:tc>
        <w:tc>
          <w:tcPr>
            <w:tcW w:w="1639" w:type="dxa"/>
            <w:vAlign w:val="center"/>
          </w:tcPr>
          <w:p w14:paraId="7D1D5309" w14:textId="738AE28C" w:rsidR="0047306D" w:rsidRPr="00DD670B" w:rsidRDefault="008101B4" w:rsidP="00AC7724">
            <w:pPr>
              <w:jc w:val="right"/>
              <w:rPr>
                <w:rFonts w:eastAsia="Arial Narrow"/>
                <w:szCs w:val="18"/>
              </w:rPr>
            </w:pPr>
            <w:r>
              <w:rPr>
                <w:rFonts w:eastAsia="Arial Narrow"/>
                <w:szCs w:val="18"/>
              </w:rPr>
              <w:t>1.067</w:t>
            </w:r>
          </w:p>
        </w:tc>
        <w:tc>
          <w:tcPr>
            <w:tcW w:w="1641" w:type="dxa"/>
            <w:vAlign w:val="center"/>
          </w:tcPr>
          <w:p w14:paraId="690784D1" w14:textId="5F9D3343" w:rsidR="0047306D" w:rsidRPr="00DD670B" w:rsidRDefault="008101B4" w:rsidP="00AC7724">
            <w:pPr>
              <w:jc w:val="right"/>
              <w:rPr>
                <w:rFonts w:eastAsia="Arial Narrow"/>
                <w:szCs w:val="18"/>
              </w:rPr>
            </w:pPr>
            <w:r>
              <w:rPr>
                <w:rFonts w:eastAsia="Arial Narrow"/>
                <w:szCs w:val="18"/>
              </w:rPr>
              <w:t>1.089</w:t>
            </w:r>
          </w:p>
        </w:tc>
        <w:tc>
          <w:tcPr>
            <w:tcW w:w="1639" w:type="dxa"/>
            <w:vAlign w:val="center"/>
          </w:tcPr>
          <w:p w14:paraId="607F2C34" w14:textId="11B4EEE8" w:rsidR="0047306D" w:rsidRPr="00DD670B" w:rsidRDefault="008101B4" w:rsidP="00AC7724">
            <w:pPr>
              <w:jc w:val="right"/>
              <w:rPr>
                <w:rFonts w:eastAsia="Arial Narrow"/>
                <w:szCs w:val="18"/>
              </w:rPr>
            </w:pPr>
            <w:r>
              <w:rPr>
                <w:rFonts w:eastAsia="Arial Narrow"/>
                <w:szCs w:val="18"/>
              </w:rPr>
              <w:t>1.061</w:t>
            </w:r>
          </w:p>
        </w:tc>
        <w:tc>
          <w:tcPr>
            <w:tcW w:w="1641" w:type="dxa"/>
            <w:vAlign w:val="center"/>
          </w:tcPr>
          <w:p w14:paraId="09CF9E69" w14:textId="7B753E87" w:rsidR="0047306D" w:rsidRPr="00DD670B" w:rsidRDefault="008101B4" w:rsidP="00AC7724">
            <w:pPr>
              <w:jc w:val="right"/>
              <w:rPr>
                <w:rFonts w:eastAsia="Arial Narrow"/>
                <w:szCs w:val="18"/>
              </w:rPr>
            </w:pPr>
            <w:r>
              <w:rPr>
                <w:rFonts w:eastAsia="Arial Narrow"/>
                <w:szCs w:val="18"/>
              </w:rPr>
              <w:t>-10</w:t>
            </w:r>
          </w:p>
        </w:tc>
      </w:tr>
      <w:tr w:rsidR="0047306D" w:rsidRPr="00DD670B" w14:paraId="5993C09F" w14:textId="77777777" w:rsidTr="008559B5">
        <w:trPr>
          <w:trHeight w:val="292"/>
        </w:trPr>
        <w:tc>
          <w:tcPr>
            <w:tcW w:w="1137" w:type="dxa"/>
            <w:vAlign w:val="center"/>
          </w:tcPr>
          <w:p w14:paraId="14B0C11F" w14:textId="42158F86" w:rsidR="0047306D" w:rsidRPr="00DD670B" w:rsidRDefault="0047306D" w:rsidP="00AC7724">
            <w:pPr>
              <w:jc w:val="center"/>
              <w:rPr>
                <w:rFonts w:eastAsia="Arial Narrow"/>
                <w:w w:val="99"/>
                <w:szCs w:val="18"/>
              </w:rPr>
            </w:pPr>
            <w:r>
              <w:rPr>
                <w:rFonts w:eastAsia="Arial Narrow"/>
                <w:w w:val="99"/>
                <w:szCs w:val="18"/>
              </w:rPr>
              <w:t>56-60</w:t>
            </w:r>
          </w:p>
        </w:tc>
        <w:tc>
          <w:tcPr>
            <w:tcW w:w="1400" w:type="dxa"/>
            <w:vAlign w:val="center"/>
          </w:tcPr>
          <w:p w14:paraId="5BED6FAB" w14:textId="372146CA" w:rsidR="0047306D" w:rsidRPr="00DD670B" w:rsidRDefault="00AC7724" w:rsidP="00AC7724">
            <w:pPr>
              <w:jc w:val="right"/>
              <w:rPr>
                <w:rFonts w:eastAsia="Arial Narrow"/>
                <w:szCs w:val="18"/>
              </w:rPr>
            </w:pPr>
            <w:r>
              <w:rPr>
                <w:rFonts w:eastAsia="Arial Narrow"/>
                <w:szCs w:val="18"/>
              </w:rPr>
              <w:t>1.138</w:t>
            </w:r>
          </w:p>
        </w:tc>
        <w:tc>
          <w:tcPr>
            <w:tcW w:w="1639" w:type="dxa"/>
            <w:vAlign w:val="center"/>
          </w:tcPr>
          <w:p w14:paraId="3EE1CFCF" w14:textId="56016B5D" w:rsidR="0047306D" w:rsidRPr="00DD670B" w:rsidRDefault="008101B4" w:rsidP="00AC7724">
            <w:pPr>
              <w:jc w:val="right"/>
              <w:rPr>
                <w:rFonts w:eastAsia="Arial Narrow"/>
                <w:szCs w:val="18"/>
              </w:rPr>
            </w:pPr>
            <w:r>
              <w:rPr>
                <w:rFonts w:eastAsia="Arial Narrow"/>
                <w:szCs w:val="18"/>
              </w:rPr>
              <w:t>1.149</w:t>
            </w:r>
          </w:p>
        </w:tc>
        <w:tc>
          <w:tcPr>
            <w:tcW w:w="1641" w:type="dxa"/>
            <w:vAlign w:val="center"/>
          </w:tcPr>
          <w:p w14:paraId="77EE061F" w14:textId="4A0D52BC" w:rsidR="0047306D" w:rsidRPr="00DD670B" w:rsidRDefault="008101B4" w:rsidP="00AC7724">
            <w:pPr>
              <w:jc w:val="right"/>
              <w:rPr>
                <w:rFonts w:eastAsia="Arial Narrow"/>
                <w:szCs w:val="18"/>
              </w:rPr>
            </w:pPr>
            <w:r>
              <w:rPr>
                <w:rFonts w:eastAsia="Arial Narrow"/>
                <w:szCs w:val="18"/>
              </w:rPr>
              <w:t>1.230</w:t>
            </w:r>
          </w:p>
        </w:tc>
        <w:tc>
          <w:tcPr>
            <w:tcW w:w="1639" w:type="dxa"/>
            <w:vAlign w:val="center"/>
          </w:tcPr>
          <w:p w14:paraId="016DCFDF" w14:textId="32726B9F" w:rsidR="0047306D" w:rsidRPr="00DD670B" w:rsidRDefault="008101B4" w:rsidP="00AC7724">
            <w:pPr>
              <w:jc w:val="right"/>
              <w:rPr>
                <w:rFonts w:eastAsia="Arial Narrow"/>
                <w:szCs w:val="18"/>
              </w:rPr>
            </w:pPr>
            <w:r>
              <w:rPr>
                <w:rFonts w:eastAsia="Arial Narrow"/>
                <w:szCs w:val="18"/>
              </w:rPr>
              <w:t>1.244</w:t>
            </w:r>
          </w:p>
        </w:tc>
        <w:tc>
          <w:tcPr>
            <w:tcW w:w="1641" w:type="dxa"/>
            <w:vAlign w:val="center"/>
          </w:tcPr>
          <w:p w14:paraId="6CCC542F" w14:textId="1354B52F" w:rsidR="0047306D" w:rsidRPr="00DD670B" w:rsidRDefault="008101B4" w:rsidP="00AC7724">
            <w:pPr>
              <w:jc w:val="right"/>
              <w:rPr>
                <w:rFonts w:eastAsia="Arial Narrow"/>
                <w:szCs w:val="18"/>
              </w:rPr>
            </w:pPr>
            <w:r>
              <w:rPr>
                <w:rFonts w:eastAsia="Arial Narrow"/>
                <w:szCs w:val="18"/>
              </w:rPr>
              <w:t>138</w:t>
            </w:r>
          </w:p>
        </w:tc>
      </w:tr>
      <w:tr w:rsidR="0047306D" w:rsidRPr="00DD670B" w14:paraId="212CCC31" w14:textId="77777777" w:rsidTr="008559B5">
        <w:trPr>
          <w:trHeight w:val="292"/>
        </w:trPr>
        <w:tc>
          <w:tcPr>
            <w:tcW w:w="1137" w:type="dxa"/>
            <w:vAlign w:val="center"/>
          </w:tcPr>
          <w:p w14:paraId="14516E81" w14:textId="3D264885" w:rsidR="0047306D" w:rsidRPr="00DD670B" w:rsidRDefault="0047306D" w:rsidP="00AC7724">
            <w:pPr>
              <w:jc w:val="center"/>
              <w:rPr>
                <w:rFonts w:eastAsia="Arial Narrow"/>
                <w:w w:val="99"/>
                <w:szCs w:val="18"/>
              </w:rPr>
            </w:pPr>
            <w:r>
              <w:rPr>
                <w:rFonts w:eastAsia="Arial Narrow"/>
                <w:w w:val="99"/>
                <w:szCs w:val="18"/>
              </w:rPr>
              <w:t>61-64</w:t>
            </w:r>
          </w:p>
        </w:tc>
        <w:tc>
          <w:tcPr>
            <w:tcW w:w="1400" w:type="dxa"/>
            <w:vAlign w:val="center"/>
          </w:tcPr>
          <w:p w14:paraId="1308FD11" w14:textId="0F9F06E7" w:rsidR="0047306D" w:rsidRPr="00DD670B" w:rsidRDefault="00AC7724" w:rsidP="00AC7724">
            <w:pPr>
              <w:jc w:val="right"/>
              <w:rPr>
                <w:rFonts w:eastAsia="Arial Narrow"/>
                <w:szCs w:val="18"/>
              </w:rPr>
            </w:pPr>
            <w:r>
              <w:rPr>
                <w:rFonts w:eastAsia="Arial Narrow"/>
                <w:szCs w:val="18"/>
              </w:rPr>
              <w:t>1.224</w:t>
            </w:r>
          </w:p>
        </w:tc>
        <w:tc>
          <w:tcPr>
            <w:tcW w:w="1639" w:type="dxa"/>
            <w:vAlign w:val="center"/>
          </w:tcPr>
          <w:p w14:paraId="5AE14379" w14:textId="694DB8D6" w:rsidR="0047306D" w:rsidRPr="00DD670B" w:rsidRDefault="008101B4" w:rsidP="00AC7724">
            <w:pPr>
              <w:jc w:val="right"/>
              <w:rPr>
                <w:rFonts w:eastAsia="Arial Narrow"/>
                <w:szCs w:val="18"/>
              </w:rPr>
            </w:pPr>
            <w:r>
              <w:rPr>
                <w:rFonts w:eastAsia="Arial Narrow"/>
                <w:szCs w:val="18"/>
              </w:rPr>
              <w:t>977</w:t>
            </w:r>
          </w:p>
        </w:tc>
        <w:tc>
          <w:tcPr>
            <w:tcW w:w="1641" w:type="dxa"/>
            <w:vAlign w:val="center"/>
          </w:tcPr>
          <w:p w14:paraId="0EE6720B" w14:textId="6D457F2F" w:rsidR="0047306D" w:rsidRPr="00DD670B" w:rsidRDefault="008101B4" w:rsidP="00AC7724">
            <w:pPr>
              <w:jc w:val="right"/>
              <w:rPr>
                <w:rFonts w:eastAsia="Arial Narrow"/>
                <w:szCs w:val="18"/>
              </w:rPr>
            </w:pPr>
            <w:r>
              <w:rPr>
                <w:rFonts w:eastAsia="Arial Narrow"/>
                <w:szCs w:val="18"/>
              </w:rPr>
              <w:t>944</w:t>
            </w:r>
          </w:p>
        </w:tc>
        <w:tc>
          <w:tcPr>
            <w:tcW w:w="1639" w:type="dxa"/>
            <w:vAlign w:val="center"/>
          </w:tcPr>
          <w:p w14:paraId="39B1D7DA" w14:textId="643F39E5" w:rsidR="0047306D" w:rsidRPr="00DD670B" w:rsidRDefault="008101B4" w:rsidP="00AC7724">
            <w:pPr>
              <w:jc w:val="right"/>
              <w:rPr>
                <w:rFonts w:eastAsia="Arial Narrow"/>
                <w:szCs w:val="18"/>
              </w:rPr>
            </w:pPr>
            <w:r>
              <w:rPr>
                <w:rFonts w:eastAsia="Arial Narrow"/>
                <w:szCs w:val="18"/>
              </w:rPr>
              <w:t>986</w:t>
            </w:r>
          </w:p>
        </w:tc>
        <w:tc>
          <w:tcPr>
            <w:tcW w:w="1641" w:type="dxa"/>
            <w:vAlign w:val="center"/>
          </w:tcPr>
          <w:p w14:paraId="76B2A773" w14:textId="62D7BF66" w:rsidR="0047306D" w:rsidRPr="00DD670B" w:rsidRDefault="008101B4" w:rsidP="00AC7724">
            <w:pPr>
              <w:jc w:val="right"/>
              <w:rPr>
                <w:rFonts w:eastAsia="Arial Narrow"/>
                <w:szCs w:val="18"/>
              </w:rPr>
            </w:pPr>
            <w:r>
              <w:rPr>
                <w:rFonts w:eastAsia="Arial Narrow"/>
                <w:szCs w:val="18"/>
              </w:rPr>
              <w:t>-238</w:t>
            </w:r>
          </w:p>
        </w:tc>
      </w:tr>
      <w:tr w:rsidR="0047306D" w:rsidRPr="00DD670B" w14:paraId="043215E4" w14:textId="77777777" w:rsidTr="008559B5">
        <w:trPr>
          <w:trHeight w:val="292"/>
        </w:trPr>
        <w:tc>
          <w:tcPr>
            <w:tcW w:w="1137" w:type="dxa"/>
            <w:vAlign w:val="center"/>
          </w:tcPr>
          <w:p w14:paraId="4EA247B8" w14:textId="0982B366" w:rsidR="0047306D" w:rsidRPr="00DD670B" w:rsidRDefault="0047306D" w:rsidP="00AC7724">
            <w:pPr>
              <w:jc w:val="center"/>
              <w:rPr>
                <w:rFonts w:eastAsia="Arial Narrow"/>
                <w:b/>
                <w:w w:val="99"/>
                <w:szCs w:val="18"/>
              </w:rPr>
            </w:pPr>
            <w:r>
              <w:rPr>
                <w:rFonts w:eastAsia="Arial Narrow"/>
                <w:b/>
                <w:w w:val="99"/>
                <w:szCs w:val="18"/>
              </w:rPr>
              <w:t>≥65</w:t>
            </w:r>
          </w:p>
        </w:tc>
        <w:tc>
          <w:tcPr>
            <w:tcW w:w="1400" w:type="dxa"/>
            <w:vAlign w:val="center"/>
          </w:tcPr>
          <w:p w14:paraId="42A64878" w14:textId="5DB0E6F0" w:rsidR="0047306D" w:rsidRPr="00DD670B" w:rsidRDefault="00AC7724" w:rsidP="00AC7724">
            <w:pPr>
              <w:jc w:val="right"/>
              <w:rPr>
                <w:rFonts w:eastAsia="Arial Narrow"/>
                <w:szCs w:val="18"/>
              </w:rPr>
            </w:pPr>
            <w:r>
              <w:rPr>
                <w:rFonts w:eastAsia="Arial Narrow"/>
                <w:szCs w:val="18"/>
              </w:rPr>
              <w:t>2.892</w:t>
            </w:r>
          </w:p>
        </w:tc>
        <w:tc>
          <w:tcPr>
            <w:tcW w:w="1639" w:type="dxa"/>
            <w:vAlign w:val="center"/>
          </w:tcPr>
          <w:p w14:paraId="0036E948" w14:textId="72082805" w:rsidR="0047306D" w:rsidRPr="00DD670B" w:rsidRDefault="008101B4" w:rsidP="00AC7724">
            <w:pPr>
              <w:jc w:val="right"/>
              <w:rPr>
                <w:rFonts w:eastAsia="Arial Narrow"/>
                <w:szCs w:val="18"/>
              </w:rPr>
            </w:pPr>
            <w:r>
              <w:rPr>
                <w:rFonts w:eastAsia="Arial Narrow"/>
                <w:szCs w:val="18"/>
              </w:rPr>
              <w:t>3.033</w:t>
            </w:r>
          </w:p>
        </w:tc>
        <w:tc>
          <w:tcPr>
            <w:tcW w:w="1641" w:type="dxa"/>
            <w:vAlign w:val="center"/>
          </w:tcPr>
          <w:p w14:paraId="55A01FC9" w14:textId="311284E4" w:rsidR="0047306D" w:rsidRPr="00DD670B" w:rsidRDefault="008101B4" w:rsidP="00AC7724">
            <w:pPr>
              <w:jc w:val="right"/>
              <w:rPr>
                <w:rFonts w:eastAsia="Arial Narrow"/>
                <w:szCs w:val="18"/>
              </w:rPr>
            </w:pPr>
            <w:r>
              <w:rPr>
                <w:rFonts w:eastAsia="Arial Narrow"/>
                <w:szCs w:val="18"/>
              </w:rPr>
              <w:t>3.237</w:t>
            </w:r>
          </w:p>
        </w:tc>
        <w:tc>
          <w:tcPr>
            <w:tcW w:w="1639" w:type="dxa"/>
            <w:vAlign w:val="center"/>
          </w:tcPr>
          <w:p w14:paraId="7AF03770" w14:textId="08B28F1F" w:rsidR="0047306D" w:rsidRPr="00DD670B" w:rsidRDefault="008101B4" w:rsidP="00AC7724">
            <w:pPr>
              <w:jc w:val="right"/>
              <w:rPr>
                <w:rFonts w:eastAsia="Arial Narrow"/>
                <w:szCs w:val="18"/>
              </w:rPr>
            </w:pPr>
            <w:r>
              <w:rPr>
                <w:rFonts w:eastAsia="Arial Narrow"/>
                <w:szCs w:val="18"/>
              </w:rPr>
              <w:t>3.438</w:t>
            </w:r>
          </w:p>
        </w:tc>
        <w:tc>
          <w:tcPr>
            <w:tcW w:w="1641" w:type="dxa"/>
            <w:vAlign w:val="center"/>
          </w:tcPr>
          <w:p w14:paraId="6C8BAE9C" w14:textId="0F6FBC48" w:rsidR="0047306D" w:rsidRPr="00DD670B" w:rsidRDefault="008101B4" w:rsidP="00AC7724">
            <w:pPr>
              <w:jc w:val="right"/>
              <w:rPr>
                <w:rFonts w:eastAsia="Arial Narrow"/>
                <w:szCs w:val="18"/>
              </w:rPr>
            </w:pPr>
            <w:r>
              <w:rPr>
                <w:rFonts w:eastAsia="Arial Narrow"/>
                <w:szCs w:val="18"/>
              </w:rPr>
              <w:t>564</w:t>
            </w:r>
          </w:p>
        </w:tc>
      </w:tr>
      <w:tr w:rsidR="0047306D" w:rsidRPr="00DD670B" w14:paraId="7E0D1ED4" w14:textId="77777777" w:rsidTr="008559B5">
        <w:trPr>
          <w:trHeight w:val="292"/>
        </w:trPr>
        <w:tc>
          <w:tcPr>
            <w:tcW w:w="1137" w:type="dxa"/>
            <w:shd w:val="clear" w:color="auto" w:fill="D9D9D9" w:themeFill="background1" w:themeFillShade="D9"/>
            <w:vAlign w:val="center"/>
          </w:tcPr>
          <w:p w14:paraId="74672CF0" w14:textId="4B9034B3" w:rsidR="0047306D" w:rsidRPr="008101B4" w:rsidRDefault="0047306D" w:rsidP="00AC7724">
            <w:pPr>
              <w:jc w:val="center"/>
              <w:rPr>
                <w:rFonts w:eastAsia="Arial Narrow"/>
                <w:b/>
                <w:bCs/>
                <w:w w:val="99"/>
                <w:szCs w:val="18"/>
              </w:rPr>
            </w:pPr>
            <w:r w:rsidRPr="008101B4">
              <w:rPr>
                <w:rFonts w:eastAsia="Arial Narrow"/>
                <w:b/>
                <w:bCs/>
                <w:w w:val="99"/>
                <w:szCs w:val="18"/>
              </w:rPr>
              <w:t>UKUPNO</w:t>
            </w:r>
          </w:p>
        </w:tc>
        <w:tc>
          <w:tcPr>
            <w:tcW w:w="1400" w:type="dxa"/>
            <w:shd w:val="clear" w:color="auto" w:fill="D9D9D9" w:themeFill="background1" w:themeFillShade="D9"/>
            <w:vAlign w:val="center"/>
          </w:tcPr>
          <w:p w14:paraId="3533E72D" w14:textId="2868B624" w:rsidR="0047306D" w:rsidRPr="008101B4" w:rsidRDefault="00AC7724" w:rsidP="00AC7724">
            <w:pPr>
              <w:jc w:val="right"/>
              <w:rPr>
                <w:rFonts w:eastAsia="Arial Narrow"/>
                <w:b/>
                <w:bCs/>
                <w:szCs w:val="18"/>
              </w:rPr>
            </w:pPr>
            <w:r w:rsidRPr="008101B4">
              <w:rPr>
                <w:rFonts w:eastAsia="Arial Narrow"/>
                <w:b/>
                <w:bCs/>
                <w:szCs w:val="18"/>
              </w:rPr>
              <w:t>8.417</w:t>
            </w:r>
          </w:p>
        </w:tc>
        <w:tc>
          <w:tcPr>
            <w:tcW w:w="1639" w:type="dxa"/>
            <w:shd w:val="clear" w:color="auto" w:fill="D9D9D9" w:themeFill="background1" w:themeFillShade="D9"/>
            <w:vAlign w:val="center"/>
          </w:tcPr>
          <w:p w14:paraId="23388A15" w14:textId="2ADC27F3" w:rsidR="0047306D" w:rsidRPr="008101B4" w:rsidRDefault="008101B4" w:rsidP="00AC7724">
            <w:pPr>
              <w:jc w:val="right"/>
              <w:rPr>
                <w:rFonts w:eastAsia="Arial Narrow"/>
                <w:b/>
                <w:bCs/>
                <w:szCs w:val="18"/>
              </w:rPr>
            </w:pPr>
            <w:r w:rsidRPr="008101B4">
              <w:rPr>
                <w:rFonts w:eastAsia="Arial Narrow"/>
                <w:b/>
                <w:bCs/>
                <w:szCs w:val="18"/>
              </w:rPr>
              <w:t>8.398</w:t>
            </w:r>
          </w:p>
        </w:tc>
        <w:tc>
          <w:tcPr>
            <w:tcW w:w="1641" w:type="dxa"/>
            <w:shd w:val="clear" w:color="auto" w:fill="D9D9D9" w:themeFill="background1" w:themeFillShade="D9"/>
            <w:vAlign w:val="center"/>
          </w:tcPr>
          <w:p w14:paraId="4B160E36" w14:textId="50598540" w:rsidR="0047306D" w:rsidRPr="008101B4" w:rsidRDefault="008101B4" w:rsidP="00AC7724">
            <w:pPr>
              <w:jc w:val="right"/>
              <w:rPr>
                <w:rFonts w:eastAsia="Arial Narrow"/>
                <w:b/>
                <w:bCs/>
                <w:szCs w:val="18"/>
              </w:rPr>
            </w:pPr>
            <w:r w:rsidRPr="008101B4">
              <w:rPr>
                <w:rFonts w:eastAsia="Arial Narrow"/>
                <w:b/>
                <w:bCs/>
                <w:szCs w:val="18"/>
              </w:rPr>
              <w:t>8.672</w:t>
            </w:r>
          </w:p>
        </w:tc>
        <w:tc>
          <w:tcPr>
            <w:tcW w:w="1639" w:type="dxa"/>
            <w:shd w:val="clear" w:color="auto" w:fill="D9D9D9" w:themeFill="background1" w:themeFillShade="D9"/>
            <w:vAlign w:val="center"/>
          </w:tcPr>
          <w:p w14:paraId="282C0B81" w14:textId="2AEE774C" w:rsidR="0047306D" w:rsidRPr="008101B4" w:rsidRDefault="008101B4" w:rsidP="00AC7724">
            <w:pPr>
              <w:jc w:val="right"/>
              <w:rPr>
                <w:rFonts w:eastAsia="Arial Narrow"/>
                <w:b/>
                <w:bCs/>
                <w:szCs w:val="18"/>
              </w:rPr>
            </w:pPr>
            <w:r w:rsidRPr="008101B4">
              <w:rPr>
                <w:rFonts w:eastAsia="Arial Narrow"/>
                <w:b/>
                <w:bCs/>
                <w:szCs w:val="18"/>
              </w:rPr>
              <w:t>8.937</w:t>
            </w:r>
          </w:p>
        </w:tc>
        <w:tc>
          <w:tcPr>
            <w:tcW w:w="1641" w:type="dxa"/>
            <w:shd w:val="clear" w:color="auto" w:fill="D9D9D9" w:themeFill="background1" w:themeFillShade="D9"/>
            <w:vAlign w:val="center"/>
          </w:tcPr>
          <w:p w14:paraId="3CC21E31" w14:textId="48FCBE00" w:rsidR="0047306D" w:rsidRPr="008101B4" w:rsidRDefault="008101B4" w:rsidP="00AC7724">
            <w:pPr>
              <w:jc w:val="right"/>
              <w:rPr>
                <w:rFonts w:eastAsia="Arial Narrow"/>
                <w:b/>
                <w:bCs/>
                <w:szCs w:val="18"/>
              </w:rPr>
            </w:pPr>
            <w:r w:rsidRPr="008101B4">
              <w:rPr>
                <w:rFonts w:eastAsia="Arial Narrow"/>
                <w:b/>
                <w:bCs/>
                <w:szCs w:val="18"/>
              </w:rPr>
              <w:t>520</w:t>
            </w:r>
          </w:p>
        </w:tc>
      </w:tr>
    </w:tbl>
    <w:p w14:paraId="06398384" w14:textId="3356A236" w:rsidR="002C3A77" w:rsidRDefault="00AC7724" w:rsidP="00BD0057">
      <w:pPr>
        <w:autoSpaceDE w:val="0"/>
        <w:autoSpaceDN w:val="0"/>
        <w:adjustRightInd w:val="0"/>
        <w:spacing w:after="0" w:line="240" w:lineRule="auto"/>
        <w:rPr>
          <w:rFonts w:eastAsia="ArialNarrow" w:cstheme="minorHAnsi"/>
          <w:i/>
          <w:color w:val="ABABAB" w:themeColor="text1" w:themeTint="A6"/>
          <w:sz w:val="16"/>
          <w:szCs w:val="16"/>
        </w:rPr>
      </w:pPr>
      <w:bookmarkStart w:id="196" w:name="_Hlk54885440"/>
      <w:r w:rsidRPr="00BD0057">
        <w:rPr>
          <w:rFonts w:eastAsia="ArialNarrow" w:cstheme="minorHAnsi"/>
          <w:i/>
          <w:color w:val="ABABAB" w:themeColor="text1" w:themeTint="A6"/>
          <w:sz w:val="16"/>
          <w:szCs w:val="16"/>
        </w:rPr>
        <w:t>Izvor: Analiza stanja u poljoprivredi Krapinsko- zagorske županije za razdoblje 2017.</w:t>
      </w:r>
      <w:r w:rsidR="00A43499">
        <w:rPr>
          <w:rFonts w:eastAsia="ArialNarrow" w:cstheme="minorHAnsi"/>
          <w:i/>
          <w:color w:val="ABABAB" w:themeColor="text1" w:themeTint="A6"/>
          <w:sz w:val="16"/>
          <w:szCs w:val="16"/>
        </w:rPr>
        <w:t xml:space="preserve"> </w:t>
      </w:r>
      <w:r w:rsidRPr="00BD0057">
        <w:rPr>
          <w:rFonts w:eastAsia="ArialNarrow" w:cstheme="minorHAnsi"/>
          <w:i/>
          <w:color w:val="ABABAB" w:themeColor="text1" w:themeTint="A6"/>
          <w:sz w:val="16"/>
          <w:szCs w:val="16"/>
        </w:rPr>
        <w:t>-</w:t>
      </w:r>
      <w:r w:rsidR="00A43499">
        <w:rPr>
          <w:rFonts w:eastAsia="ArialNarrow" w:cstheme="minorHAnsi"/>
          <w:i/>
          <w:color w:val="ABABAB" w:themeColor="text1" w:themeTint="A6"/>
          <w:sz w:val="16"/>
          <w:szCs w:val="16"/>
        </w:rPr>
        <w:t xml:space="preserve"> </w:t>
      </w:r>
      <w:r w:rsidRPr="00BD0057">
        <w:rPr>
          <w:rFonts w:eastAsia="ArialNarrow" w:cstheme="minorHAnsi"/>
          <w:i/>
          <w:color w:val="ABABAB" w:themeColor="text1" w:themeTint="A6"/>
          <w:sz w:val="16"/>
          <w:szCs w:val="16"/>
        </w:rPr>
        <w:t>2020. godine, listopad 2020, Upravni odjel za gospodarstvo, poljoprivredu, turizam i komunalnu infrastrukturu</w:t>
      </w:r>
      <w:bookmarkEnd w:id="196"/>
    </w:p>
    <w:p w14:paraId="459AF7CB" w14:textId="77777777" w:rsidR="00BD0057" w:rsidRPr="00BD0057" w:rsidRDefault="00BD0057" w:rsidP="00BD0057">
      <w:pPr>
        <w:autoSpaceDE w:val="0"/>
        <w:autoSpaceDN w:val="0"/>
        <w:adjustRightInd w:val="0"/>
        <w:spacing w:after="0" w:line="240" w:lineRule="auto"/>
        <w:rPr>
          <w:rFonts w:eastAsia="ArialNarrow" w:cstheme="minorHAnsi"/>
          <w:i/>
          <w:color w:val="ABABAB" w:themeColor="text1" w:themeTint="A6"/>
          <w:sz w:val="16"/>
          <w:szCs w:val="16"/>
        </w:rPr>
      </w:pPr>
    </w:p>
    <w:p w14:paraId="73C72E94" w14:textId="3DBBB0B1" w:rsidR="00426E1F" w:rsidRDefault="002C3A77" w:rsidP="00426E1F">
      <w:pPr>
        <w:spacing w:line="283" w:lineRule="auto"/>
        <w:ind w:right="72"/>
        <w:rPr>
          <w:rFonts w:eastAsia="Arial Narrow" w:cstheme="minorHAnsi"/>
        </w:rPr>
      </w:pPr>
      <w:r>
        <w:rPr>
          <w:rFonts w:eastAsia="Arial Narrow" w:cstheme="minorHAnsi"/>
        </w:rPr>
        <w:t>Spolna struktura nositelja/odgovorne osobe također se nije mijenjala te i dalje ima značajno više muških nositelja (</w:t>
      </w:r>
      <w:r w:rsidR="00A840E9" w:rsidRPr="00426E1F">
        <w:rPr>
          <w:rFonts w:eastAsia="Arial Narrow" w:cstheme="minorHAnsi"/>
        </w:rPr>
        <w:t>65,89%</w:t>
      </w:r>
      <w:r w:rsidR="00426E1F" w:rsidRPr="00426E1F">
        <w:rPr>
          <w:rFonts w:eastAsia="Arial Narrow" w:cstheme="minorHAnsi"/>
        </w:rPr>
        <w:t>)</w:t>
      </w:r>
      <w:r w:rsidR="00426E1F">
        <w:rPr>
          <w:rFonts w:eastAsia="Arial Narrow" w:cstheme="minorHAnsi"/>
        </w:rPr>
        <w:t xml:space="preserve"> </w:t>
      </w:r>
      <w:r>
        <w:rPr>
          <w:rFonts w:eastAsia="Arial Narrow" w:cstheme="minorHAnsi"/>
        </w:rPr>
        <w:t>u odnosu na nositelje ženskog spola (</w:t>
      </w:r>
      <w:r w:rsidR="00A840E9">
        <w:rPr>
          <w:rFonts w:eastAsia="Arial Narrow" w:cstheme="minorHAnsi"/>
        </w:rPr>
        <w:t>3</w:t>
      </w:r>
      <w:r w:rsidR="00426E1F">
        <w:rPr>
          <w:rFonts w:eastAsia="Arial Narrow" w:cstheme="minorHAnsi"/>
        </w:rPr>
        <w:t>1</w:t>
      </w:r>
      <w:r w:rsidR="00A840E9">
        <w:rPr>
          <w:rFonts w:eastAsia="Arial Narrow" w:cstheme="minorHAnsi"/>
        </w:rPr>
        <w:t>,</w:t>
      </w:r>
      <w:r w:rsidR="00426E1F">
        <w:rPr>
          <w:rFonts w:eastAsia="Arial Narrow" w:cstheme="minorHAnsi"/>
        </w:rPr>
        <w:t>6</w:t>
      </w:r>
      <w:r w:rsidR="00A840E9">
        <w:rPr>
          <w:rFonts w:eastAsia="Arial Narrow" w:cstheme="minorHAnsi"/>
        </w:rPr>
        <w:t>1%</w:t>
      </w:r>
      <w:r>
        <w:rPr>
          <w:rFonts w:eastAsia="Arial Narrow" w:cstheme="minorHAnsi"/>
        </w:rPr>
        <w:t xml:space="preserve">). Slična spolna struktura nositelja zabilježena je i na nacionalnoj razini, 70% muških nositelja u odnosu na 30% ženskih nositelja. </w:t>
      </w:r>
      <w:r w:rsidR="00A840E9">
        <w:rPr>
          <w:rFonts w:eastAsia="Arial Narrow" w:cstheme="minorHAnsi"/>
        </w:rPr>
        <w:t>Od 2016. godine uočavamo spori trend povećanja broja poljoprivrednih gospodarstava čiji su nositelji žene.</w:t>
      </w:r>
    </w:p>
    <w:p w14:paraId="64764679" w14:textId="77777777" w:rsidR="00BD0057" w:rsidRDefault="00BD0057" w:rsidP="00426E1F">
      <w:pPr>
        <w:spacing w:line="283" w:lineRule="auto"/>
        <w:ind w:right="72"/>
        <w:rPr>
          <w:rFonts w:eastAsia="Arial Narrow" w:cstheme="minorHAnsi"/>
        </w:rPr>
      </w:pPr>
    </w:p>
    <w:p w14:paraId="5CE026DA" w14:textId="71A8FFC0" w:rsidR="00822933" w:rsidRPr="00426E1F" w:rsidRDefault="00822933" w:rsidP="00426E1F">
      <w:pPr>
        <w:spacing w:line="283" w:lineRule="auto"/>
        <w:ind w:right="72"/>
        <w:rPr>
          <w:rFonts w:eastAsia="Arial Narrow" w:cstheme="minorHAnsi"/>
        </w:rPr>
      </w:pPr>
      <w:r>
        <w:t xml:space="preserve">Grafikon </w:t>
      </w:r>
      <w:r w:rsidR="000061E9">
        <w:rPr>
          <w:noProof/>
        </w:rPr>
        <w:t>62</w:t>
      </w:r>
      <w:r>
        <w:rPr>
          <w:noProof/>
        </w:rPr>
        <w:t>.</w:t>
      </w:r>
      <w:r>
        <w:t xml:space="preserve"> Broj poljoprivrednih gospodarstava prema spolu nositelja</w:t>
      </w:r>
    </w:p>
    <w:p w14:paraId="0F492773" w14:textId="7E1E3683" w:rsidR="00822933" w:rsidRDefault="00CA26EC" w:rsidP="00941871">
      <w:pPr>
        <w:spacing w:line="283" w:lineRule="auto"/>
        <w:ind w:right="72"/>
        <w:rPr>
          <w:rFonts w:eastAsia="Arial Narrow" w:cstheme="minorHAnsi"/>
          <w:spacing w:val="-1"/>
        </w:rPr>
      </w:pPr>
      <w:r>
        <w:rPr>
          <w:rFonts w:eastAsia="Arial Narrow" w:cstheme="minorHAnsi"/>
          <w:spacing w:val="-1"/>
        </w:rPr>
        <w:t xml:space="preserve">                      </w:t>
      </w:r>
      <w:r>
        <w:rPr>
          <w:noProof/>
        </w:rPr>
        <w:drawing>
          <wp:inline distT="0" distB="0" distL="0" distR="0" wp14:anchorId="4725E3E8" wp14:editId="3BDEC77F">
            <wp:extent cx="4543425" cy="2000250"/>
            <wp:effectExtent l="0" t="0" r="9525" b="0"/>
            <wp:docPr id="249" name="Grafikon 249">
              <a:extLst xmlns:a="http://schemas.openxmlformats.org/drawingml/2006/main">
                <a:ext uri="{FF2B5EF4-FFF2-40B4-BE49-F238E27FC236}">
                  <a16:creationId xmlns:a16="http://schemas.microsoft.com/office/drawing/2014/main" id="{0FD41ABD-B23E-49A7-B860-B4FA2F89F5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6BC71D63" w14:textId="6C981A51" w:rsidR="00CA26EC" w:rsidRPr="00BD0057" w:rsidRDefault="00F83B6B" w:rsidP="00BD0057">
      <w:pPr>
        <w:autoSpaceDE w:val="0"/>
        <w:autoSpaceDN w:val="0"/>
        <w:adjustRightInd w:val="0"/>
        <w:spacing w:after="0" w:line="240" w:lineRule="auto"/>
        <w:rPr>
          <w:rFonts w:eastAsia="ArialNarrow" w:cstheme="minorHAnsi"/>
          <w:i/>
          <w:color w:val="ABABAB" w:themeColor="text1" w:themeTint="A6"/>
          <w:sz w:val="16"/>
          <w:szCs w:val="16"/>
        </w:rPr>
      </w:pPr>
      <w:r w:rsidRPr="00BD0057">
        <w:rPr>
          <w:rFonts w:eastAsia="ArialNarrow" w:cstheme="minorHAnsi"/>
          <w:i/>
          <w:color w:val="ABABAB" w:themeColor="text1" w:themeTint="A6"/>
          <w:sz w:val="16"/>
          <w:szCs w:val="16"/>
        </w:rPr>
        <w:lastRenderedPageBreak/>
        <w:t xml:space="preserve">Izvor: </w:t>
      </w:r>
      <w:bookmarkStart w:id="197" w:name="_Hlk54885458"/>
      <w:r w:rsidRPr="00BD0057">
        <w:rPr>
          <w:rFonts w:eastAsia="ArialNarrow" w:cstheme="minorHAnsi"/>
          <w:i/>
          <w:color w:val="ABABAB" w:themeColor="text1" w:themeTint="A6"/>
          <w:sz w:val="16"/>
          <w:szCs w:val="16"/>
        </w:rPr>
        <w:t>Analiza stanja u poljoprivredi Krapinsko- zagorske županije za razdoblje 2017.-2020. godine, listopad 2020, Upravni odjel za gospodarstvo, poljoprivredu, turizam i komunalnu infrastrukturu</w:t>
      </w:r>
      <w:bookmarkEnd w:id="197"/>
    </w:p>
    <w:p w14:paraId="437AFFEB" w14:textId="77777777" w:rsidR="00F72223" w:rsidRDefault="00F72223" w:rsidP="00941871">
      <w:pPr>
        <w:spacing w:line="283" w:lineRule="auto"/>
        <w:ind w:right="72"/>
        <w:rPr>
          <w:rFonts w:eastAsia="Arial Narrow"/>
          <w:spacing w:val="-1"/>
        </w:rPr>
      </w:pPr>
    </w:p>
    <w:p w14:paraId="2DC4924E" w14:textId="3753563D" w:rsidR="00E9455B" w:rsidRDefault="00383192" w:rsidP="00941871">
      <w:pPr>
        <w:spacing w:line="283" w:lineRule="auto"/>
        <w:ind w:right="72"/>
        <w:rPr>
          <w:rFonts w:eastAsia="Arial Narrow"/>
          <w:spacing w:val="2"/>
        </w:rPr>
      </w:pPr>
      <w:r w:rsidRPr="4E193667">
        <w:rPr>
          <w:rFonts w:eastAsia="Arial Narrow"/>
          <w:spacing w:val="-1"/>
        </w:rPr>
        <w:t>Poljoprivredne površine obuhvaćaju 57,7%, a obradive površine 50,4% ukupne površine Županije. Od ukupnog poljoprivrednog zemljišta</w:t>
      </w:r>
      <w:r w:rsidR="00700190">
        <w:rPr>
          <w:rFonts w:eastAsia="Arial Narrow"/>
          <w:spacing w:val="-1"/>
        </w:rPr>
        <w:t>,</w:t>
      </w:r>
      <w:r w:rsidRPr="4E193667">
        <w:rPr>
          <w:rFonts w:eastAsia="Arial Narrow"/>
          <w:spacing w:val="-1"/>
        </w:rPr>
        <w:t xml:space="preserve"> 98,7% se nalazi</w:t>
      </w:r>
      <w:r w:rsidR="00700190">
        <w:rPr>
          <w:rFonts w:eastAsia="Arial Narrow"/>
          <w:spacing w:val="-1"/>
        </w:rPr>
        <w:t>l</w:t>
      </w:r>
      <w:r w:rsidRPr="4E193667">
        <w:rPr>
          <w:rFonts w:eastAsia="Arial Narrow"/>
          <w:spacing w:val="-1"/>
        </w:rPr>
        <w:t xml:space="preserve">o u privatnom vlasništvu. </w:t>
      </w:r>
      <w:r w:rsidRPr="4E193667">
        <w:rPr>
          <w:rFonts w:eastAsia="Arial Narrow"/>
        </w:rPr>
        <w:t>Na području Krapinsko- zagorske županije, prema Corine Land Cover (CLC) bazi podataka</w:t>
      </w:r>
      <w:r w:rsidR="001433BA">
        <w:rPr>
          <w:rFonts w:eastAsia="Arial Narrow"/>
        </w:rPr>
        <w:t>,</w:t>
      </w:r>
      <w:r w:rsidRPr="4E193667">
        <w:rPr>
          <w:rFonts w:eastAsia="Arial Narrow"/>
        </w:rPr>
        <w:t xml:space="preserve"> ima 81.866,32 ha poljoprivrednih površina</w:t>
      </w:r>
      <w:r w:rsidRPr="00F72223">
        <w:rPr>
          <w:rFonts w:eastAsia="Arial Narrow"/>
        </w:rPr>
        <w:t xml:space="preserve">. </w:t>
      </w:r>
      <w:r w:rsidR="008878A0" w:rsidRPr="00F72223">
        <w:rPr>
          <w:rFonts w:eastAsia="Arial Narrow"/>
          <w:spacing w:val="-1"/>
        </w:rPr>
        <w:t xml:space="preserve">U </w:t>
      </w:r>
      <w:r w:rsidR="009D4141" w:rsidRPr="00F72223">
        <w:rPr>
          <w:rFonts w:eastAsia="Arial Narrow"/>
          <w:spacing w:val="-1"/>
        </w:rPr>
        <w:t xml:space="preserve">razdoblju od 2016. do </w:t>
      </w:r>
      <w:r w:rsidR="008878A0" w:rsidRPr="00F72223">
        <w:rPr>
          <w:rFonts w:eastAsia="Arial Narrow"/>
          <w:spacing w:val="-1"/>
        </w:rPr>
        <w:t>201</w:t>
      </w:r>
      <w:r w:rsidR="00172E7A" w:rsidRPr="00F72223">
        <w:rPr>
          <w:rFonts w:eastAsia="Arial Narrow"/>
        </w:rPr>
        <w:t>9</w:t>
      </w:r>
      <w:r w:rsidR="008878A0" w:rsidRPr="00F72223">
        <w:rPr>
          <w:rFonts w:eastAsia="Arial Narrow"/>
          <w:spacing w:val="-1"/>
        </w:rPr>
        <w:t>.</w:t>
      </w:r>
      <w:r w:rsidR="009D4141" w:rsidRPr="00F72223">
        <w:rPr>
          <w:rFonts w:eastAsia="Arial Narrow"/>
          <w:spacing w:val="-1"/>
        </w:rPr>
        <w:t xml:space="preserve"> </w:t>
      </w:r>
      <w:r w:rsidR="008878A0" w:rsidRPr="00F72223">
        <w:rPr>
          <w:rFonts w:eastAsia="Arial Narrow"/>
          <w:spacing w:val="-1"/>
        </w:rPr>
        <w:t>godin</w:t>
      </w:r>
      <w:r w:rsidR="009D4141" w:rsidRPr="00F72223">
        <w:rPr>
          <w:rFonts w:eastAsia="Arial Narrow"/>
          <w:spacing w:val="-1"/>
        </w:rPr>
        <w:t>e</w:t>
      </w:r>
      <w:r w:rsidR="008878A0" w:rsidRPr="4E193667">
        <w:rPr>
          <w:rFonts w:eastAsia="Arial Narrow"/>
          <w:spacing w:val="-1"/>
        </w:rPr>
        <w:t xml:space="preserve"> vidljivo je lagano povećanje površina pod poljoprivrednim zemljištem upisanih u ARKOD</w:t>
      </w:r>
      <w:r w:rsidR="00700190">
        <w:rPr>
          <w:rFonts w:eastAsia="Arial Narrow"/>
        </w:rPr>
        <w:t>-</w:t>
      </w:r>
      <w:r w:rsidRPr="4E193667">
        <w:rPr>
          <w:rFonts w:eastAsia="Arial Narrow"/>
        </w:rPr>
        <w:t>bazu podataka</w:t>
      </w:r>
      <w:r w:rsidR="009D4141">
        <w:rPr>
          <w:rFonts w:eastAsia="Arial Narrow"/>
        </w:rPr>
        <w:t>.</w:t>
      </w:r>
      <w:r>
        <w:rPr>
          <w:rStyle w:val="Referencafusnote"/>
          <w:rFonts w:eastAsia="Arial Narrow" w:cstheme="minorHAnsi"/>
          <w:spacing w:val="-1"/>
        </w:rPr>
        <w:footnoteReference w:id="81"/>
      </w:r>
      <w:r w:rsidR="009D4141">
        <w:rPr>
          <w:rFonts w:eastAsia="Arial Narrow"/>
        </w:rPr>
        <w:t xml:space="preserve"> </w:t>
      </w:r>
      <w:r w:rsidR="004475BA" w:rsidRPr="4E193667">
        <w:rPr>
          <w:rFonts w:eastAsia="Arial Narrow"/>
          <w:spacing w:val="-1"/>
        </w:rPr>
        <w:t>P</w:t>
      </w:r>
      <w:r w:rsidR="008878A0" w:rsidRPr="4E193667">
        <w:rPr>
          <w:rFonts w:eastAsia="Arial Narrow"/>
        </w:rPr>
        <w:t>o</w:t>
      </w:r>
      <w:r w:rsidR="008878A0" w:rsidRPr="4E193667">
        <w:rPr>
          <w:rFonts w:eastAsia="Arial Narrow"/>
          <w:spacing w:val="1"/>
        </w:rPr>
        <w:t>lj</w:t>
      </w:r>
      <w:r w:rsidR="008878A0" w:rsidRPr="4E193667">
        <w:rPr>
          <w:rFonts w:eastAsia="Arial Narrow"/>
        </w:rPr>
        <w:t>o</w:t>
      </w:r>
      <w:r w:rsidR="008878A0" w:rsidRPr="4E193667">
        <w:rPr>
          <w:rFonts w:eastAsia="Arial Narrow"/>
          <w:spacing w:val="-2"/>
        </w:rPr>
        <w:t>p</w:t>
      </w:r>
      <w:r w:rsidR="008878A0" w:rsidRPr="4E193667">
        <w:rPr>
          <w:rFonts w:eastAsia="Arial Narrow"/>
        </w:rPr>
        <w:t>r</w:t>
      </w:r>
      <w:r w:rsidR="008878A0" w:rsidRPr="4E193667">
        <w:rPr>
          <w:rFonts w:eastAsia="Arial Narrow"/>
          <w:spacing w:val="1"/>
        </w:rPr>
        <w:t>iv</w:t>
      </w:r>
      <w:r w:rsidR="008878A0" w:rsidRPr="4E193667">
        <w:rPr>
          <w:rFonts w:eastAsia="Arial Narrow"/>
        </w:rPr>
        <w:t>redne</w:t>
      </w:r>
      <w:r w:rsidR="008878A0" w:rsidRPr="4E193667">
        <w:rPr>
          <w:rFonts w:eastAsia="Arial Narrow"/>
          <w:spacing w:val="2"/>
        </w:rPr>
        <w:t xml:space="preserve"> </w:t>
      </w:r>
      <w:r w:rsidR="008878A0" w:rsidRPr="4E193667">
        <w:rPr>
          <w:rFonts w:eastAsia="Arial Narrow"/>
        </w:rPr>
        <w:t>p</w:t>
      </w:r>
      <w:r w:rsidR="008878A0" w:rsidRPr="4E193667">
        <w:rPr>
          <w:rFonts w:eastAsia="Arial Narrow"/>
          <w:spacing w:val="-2"/>
        </w:rPr>
        <w:t>o</w:t>
      </w:r>
      <w:r w:rsidR="008878A0" w:rsidRPr="4E193667">
        <w:rPr>
          <w:rFonts w:eastAsia="Arial Narrow"/>
          <w:spacing w:val="1"/>
        </w:rPr>
        <w:t>v</w:t>
      </w:r>
      <w:r w:rsidR="008878A0" w:rsidRPr="4E193667">
        <w:rPr>
          <w:rFonts w:eastAsia="Arial Narrow"/>
        </w:rPr>
        <w:t>r</w:t>
      </w:r>
      <w:r w:rsidR="008878A0" w:rsidRPr="4E193667">
        <w:rPr>
          <w:rFonts w:eastAsia="Arial Narrow"/>
          <w:spacing w:val="-2"/>
        </w:rPr>
        <w:t>š</w:t>
      </w:r>
      <w:r w:rsidR="008878A0" w:rsidRPr="4E193667">
        <w:rPr>
          <w:rFonts w:eastAsia="Arial Narrow"/>
          <w:spacing w:val="1"/>
        </w:rPr>
        <w:t>i</w:t>
      </w:r>
      <w:r w:rsidR="008878A0" w:rsidRPr="4E193667">
        <w:rPr>
          <w:rFonts w:eastAsia="Arial Narrow"/>
        </w:rPr>
        <w:t>ne</w:t>
      </w:r>
      <w:r w:rsidR="008878A0" w:rsidRPr="4E193667">
        <w:rPr>
          <w:rFonts w:eastAsia="Arial Narrow"/>
          <w:spacing w:val="2"/>
        </w:rPr>
        <w:t xml:space="preserve"> </w:t>
      </w:r>
      <w:r w:rsidR="008878A0" w:rsidRPr="4E193667">
        <w:rPr>
          <w:rFonts w:eastAsia="Arial Narrow"/>
        </w:rPr>
        <w:t>obu</w:t>
      </w:r>
      <w:r w:rsidR="008878A0" w:rsidRPr="4E193667">
        <w:rPr>
          <w:rFonts w:eastAsia="Arial Narrow"/>
          <w:spacing w:val="-2"/>
        </w:rPr>
        <w:t>h</w:t>
      </w:r>
      <w:r w:rsidR="008878A0" w:rsidRPr="4E193667">
        <w:rPr>
          <w:rFonts w:eastAsia="Arial Narrow"/>
          <w:spacing w:val="1"/>
        </w:rPr>
        <w:t>v</w:t>
      </w:r>
      <w:r w:rsidR="008878A0" w:rsidRPr="4E193667">
        <w:rPr>
          <w:rFonts w:eastAsia="Arial Narrow"/>
        </w:rPr>
        <w:t>a</w:t>
      </w:r>
      <w:r w:rsidR="008878A0" w:rsidRPr="4E193667">
        <w:rPr>
          <w:rFonts w:eastAsia="Arial Narrow"/>
          <w:spacing w:val="-2"/>
        </w:rPr>
        <w:t>ć</w:t>
      </w:r>
      <w:r w:rsidR="008878A0" w:rsidRPr="4E193667">
        <w:rPr>
          <w:rFonts w:eastAsia="Arial Narrow"/>
        </w:rPr>
        <w:t>a</w:t>
      </w:r>
      <w:r w:rsidR="008878A0" w:rsidRPr="4E193667">
        <w:rPr>
          <w:rFonts w:eastAsia="Arial Narrow"/>
          <w:spacing w:val="1"/>
        </w:rPr>
        <w:t>j</w:t>
      </w:r>
      <w:r w:rsidR="008878A0" w:rsidRPr="4E193667">
        <w:rPr>
          <w:rFonts w:eastAsia="Arial Narrow"/>
        </w:rPr>
        <w:t>u nešto više od 1</w:t>
      </w:r>
      <w:r w:rsidR="008878A0" w:rsidRPr="4E193667">
        <w:rPr>
          <w:rFonts w:eastAsia="Arial Narrow"/>
          <w:spacing w:val="-2"/>
        </w:rPr>
        <w:t>7</w:t>
      </w:r>
      <w:r w:rsidR="008878A0" w:rsidRPr="4E193667">
        <w:rPr>
          <w:rFonts w:eastAsia="Arial Narrow"/>
        </w:rPr>
        <w:t>%</w:t>
      </w:r>
      <w:r w:rsidR="008878A0" w:rsidRPr="4E193667">
        <w:rPr>
          <w:rFonts w:eastAsia="Arial Narrow"/>
          <w:spacing w:val="4"/>
        </w:rPr>
        <w:t xml:space="preserve"> </w:t>
      </w:r>
      <w:r w:rsidR="008878A0" w:rsidRPr="4E193667">
        <w:rPr>
          <w:rFonts w:eastAsia="Arial Narrow"/>
        </w:rPr>
        <w:t>u</w:t>
      </w:r>
      <w:r w:rsidR="008878A0" w:rsidRPr="4E193667">
        <w:rPr>
          <w:rFonts w:eastAsia="Arial Narrow"/>
          <w:spacing w:val="-2"/>
        </w:rPr>
        <w:t>k</w:t>
      </w:r>
      <w:r w:rsidR="008878A0" w:rsidRPr="4E193667">
        <w:rPr>
          <w:rFonts w:eastAsia="Arial Narrow"/>
        </w:rPr>
        <w:t>up</w:t>
      </w:r>
      <w:r w:rsidR="008878A0" w:rsidRPr="4E193667">
        <w:rPr>
          <w:rFonts w:eastAsia="Arial Narrow"/>
          <w:spacing w:val="-2"/>
        </w:rPr>
        <w:t>n</w:t>
      </w:r>
      <w:r w:rsidR="008878A0" w:rsidRPr="4E193667">
        <w:rPr>
          <w:rFonts w:eastAsia="Arial Narrow"/>
        </w:rPr>
        <w:t>e po</w:t>
      </w:r>
      <w:r w:rsidR="008878A0" w:rsidRPr="4E193667">
        <w:rPr>
          <w:rFonts w:eastAsia="Arial Narrow"/>
          <w:spacing w:val="1"/>
        </w:rPr>
        <w:t>v</w:t>
      </w:r>
      <w:r w:rsidR="008878A0" w:rsidRPr="4E193667">
        <w:rPr>
          <w:rFonts w:eastAsia="Arial Narrow"/>
        </w:rPr>
        <w:t>r</w:t>
      </w:r>
      <w:r w:rsidR="008878A0" w:rsidRPr="4E193667">
        <w:rPr>
          <w:rFonts w:eastAsia="Arial Narrow"/>
          <w:spacing w:val="1"/>
        </w:rPr>
        <w:t>š</w:t>
      </w:r>
      <w:r w:rsidR="008878A0" w:rsidRPr="4E193667">
        <w:rPr>
          <w:rFonts w:eastAsia="Arial Narrow"/>
          <w:spacing w:val="-2"/>
        </w:rPr>
        <w:t>i</w:t>
      </w:r>
      <w:r w:rsidR="008878A0" w:rsidRPr="4E193667">
        <w:rPr>
          <w:rFonts w:eastAsia="Arial Narrow"/>
        </w:rPr>
        <w:t>ne</w:t>
      </w:r>
      <w:r w:rsidR="008878A0" w:rsidRPr="4E193667">
        <w:rPr>
          <w:rFonts w:eastAsia="Arial Narrow"/>
          <w:spacing w:val="3"/>
        </w:rPr>
        <w:t xml:space="preserve"> </w:t>
      </w:r>
      <w:r w:rsidR="008878A0" w:rsidRPr="4E193667">
        <w:rPr>
          <w:rFonts w:eastAsia="Arial Narrow"/>
          <w:spacing w:val="-1"/>
        </w:rPr>
        <w:t>K</w:t>
      </w:r>
      <w:r w:rsidR="008878A0" w:rsidRPr="4E193667">
        <w:rPr>
          <w:rFonts w:eastAsia="Arial Narrow"/>
        </w:rPr>
        <w:t>r</w:t>
      </w:r>
      <w:r w:rsidR="008878A0" w:rsidRPr="4E193667">
        <w:rPr>
          <w:rFonts w:eastAsia="Arial Narrow"/>
          <w:spacing w:val="-2"/>
        </w:rPr>
        <w:t>a</w:t>
      </w:r>
      <w:r w:rsidR="008878A0" w:rsidRPr="4E193667">
        <w:rPr>
          <w:rFonts w:eastAsia="Arial Narrow"/>
        </w:rPr>
        <w:t>p</w:t>
      </w:r>
      <w:r w:rsidR="008878A0" w:rsidRPr="4E193667">
        <w:rPr>
          <w:rFonts w:eastAsia="Arial Narrow"/>
          <w:spacing w:val="1"/>
        </w:rPr>
        <w:t>i</w:t>
      </w:r>
      <w:r w:rsidR="008878A0" w:rsidRPr="4E193667">
        <w:rPr>
          <w:rFonts w:eastAsia="Arial Narrow"/>
        </w:rPr>
        <w:t>n</w:t>
      </w:r>
      <w:r w:rsidR="008878A0" w:rsidRPr="4E193667">
        <w:rPr>
          <w:rFonts w:eastAsia="Arial Narrow"/>
          <w:spacing w:val="-2"/>
        </w:rPr>
        <w:t>s</w:t>
      </w:r>
      <w:r w:rsidR="008878A0" w:rsidRPr="4E193667">
        <w:rPr>
          <w:rFonts w:eastAsia="Arial Narrow"/>
          <w:spacing w:val="1"/>
        </w:rPr>
        <w:t>k</w:t>
      </w:r>
      <w:r w:rsidR="008878A0" w:rsidRPr="4E193667">
        <w:rPr>
          <w:rFonts w:eastAsia="Arial Narrow"/>
        </w:rPr>
        <w:t>o-</w:t>
      </w:r>
      <w:r w:rsidR="008878A0" w:rsidRPr="4E193667">
        <w:rPr>
          <w:rFonts w:eastAsia="Arial Narrow"/>
          <w:spacing w:val="-2"/>
        </w:rPr>
        <w:t>z</w:t>
      </w:r>
      <w:r w:rsidR="008878A0" w:rsidRPr="4E193667">
        <w:rPr>
          <w:rFonts w:eastAsia="Arial Narrow"/>
        </w:rPr>
        <w:t>agor</w:t>
      </w:r>
      <w:r w:rsidR="008878A0" w:rsidRPr="4E193667">
        <w:rPr>
          <w:rFonts w:eastAsia="Arial Narrow"/>
          <w:spacing w:val="-2"/>
        </w:rPr>
        <w:t>s</w:t>
      </w:r>
      <w:r w:rsidR="008878A0" w:rsidRPr="4E193667">
        <w:rPr>
          <w:rFonts w:eastAsia="Arial Narrow"/>
          <w:spacing w:val="1"/>
        </w:rPr>
        <w:t>k</w:t>
      </w:r>
      <w:r w:rsidR="008878A0" w:rsidRPr="4E193667">
        <w:rPr>
          <w:rFonts w:eastAsia="Arial Narrow"/>
        </w:rPr>
        <w:t xml:space="preserve">e </w:t>
      </w:r>
      <w:r w:rsidR="008878A0" w:rsidRPr="4E193667">
        <w:rPr>
          <w:rFonts w:eastAsia="Arial Narrow"/>
          <w:spacing w:val="1"/>
        </w:rPr>
        <w:t>ž</w:t>
      </w:r>
      <w:r w:rsidR="008878A0" w:rsidRPr="4E193667">
        <w:rPr>
          <w:rFonts w:eastAsia="Arial Narrow"/>
        </w:rPr>
        <w:t>upan</w:t>
      </w:r>
      <w:r w:rsidR="008878A0" w:rsidRPr="4E193667">
        <w:rPr>
          <w:rFonts w:eastAsia="Arial Narrow"/>
          <w:spacing w:val="-2"/>
        </w:rPr>
        <w:t>i</w:t>
      </w:r>
      <w:r w:rsidR="008878A0" w:rsidRPr="4E193667">
        <w:rPr>
          <w:rFonts w:eastAsia="Arial Narrow"/>
          <w:spacing w:val="1"/>
        </w:rPr>
        <w:t>j</w:t>
      </w:r>
      <w:r w:rsidR="008878A0" w:rsidRPr="4E193667">
        <w:rPr>
          <w:rFonts w:eastAsia="Arial Narrow"/>
        </w:rPr>
        <w:t>e. Struktura zemljišta nije se značajnije mijenjala te i dalje na</w:t>
      </w:r>
      <w:r w:rsidR="008878A0" w:rsidRPr="4E193667">
        <w:rPr>
          <w:rFonts w:eastAsia="Arial Narrow"/>
          <w:spacing w:val="1"/>
        </w:rPr>
        <w:t>jv</w:t>
      </w:r>
      <w:r w:rsidR="008878A0" w:rsidRPr="4E193667">
        <w:rPr>
          <w:rFonts w:eastAsia="Arial Narrow"/>
          <w:spacing w:val="-2"/>
        </w:rPr>
        <w:t>e</w:t>
      </w:r>
      <w:r w:rsidR="008878A0" w:rsidRPr="4E193667">
        <w:rPr>
          <w:rFonts w:eastAsia="Arial Narrow"/>
          <w:spacing w:val="1"/>
        </w:rPr>
        <w:t>ć</w:t>
      </w:r>
      <w:r w:rsidR="008878A0" w:rsidRPr="4E193667">
        <w:rPr>
          <w:rFonts w:eastAsia="Arial Narrow"/>
        </w:rPr>
        <w:t>i</w:t>
      </w:r>
      <w:r w:rsidR="008878A0" w:rsidRPr="4E193667">
        <w:rPr>
          <w:rFonts w:eastAsia="Arial Narrow"/>
          <w:spacing w:val="1"/>
        </w:rPr>
        <w:t xml:space="preserve"> </w:t>
      </w:r>
      <w:r w:rsidR="008878A0" w:rsidRPr="4E193667">
        <w:rPr>
          <w:rFonts w:eastAsia="Arial Narrow"/>
        </w:rPr>
        <w:t>ud</w:t>
      </w:r>
      <w:r w:rsidR="008878A0" w:rsidRPr="4E193667">
        <w:rPr>
          <w:rFonts w:eastAsia="Arial Narrow"/>
          <w:spacing w:val="1"/>
        </w:rPr>
        <w:t>i</w:t>
      </w:r>
      <w:r w:rsidR="008878A0" w:rsidRPr="4E193667">
        <w:rPr>
          <w:rFonts w:eastAsia="Arial Narrow"/>
        </w:rPr>
        <w:t>o p</w:t>
      </w:r>
      <w:r w:rsidR="008878A0" w:rsidRPr="4E193667">
        <w:rPr>
          <w:rFonts w:eastAsia="Arial Narrow"/>
          <w:spacing w:val="-2"/>
        </w:rPr>
        <w:t>o</w:t>
      </w:r>
      <w:r w:rsidR="008878A0" w:rsidRPr="4E193667">
        <w:rPr>
          <w:rFonts w:eastAsia="Arial Narrow"/>
          <w:spacing w:val="1"/>
        </w:rPr>
        <w:t>lj</w:t>
      </w:r>
      <w:r w:rsidR="008878A0" w:rsidRPr="4E193667">
        <w:rPr>
          <w:rFonts w:eastAsia="Arial Narrow"/>
          <w:spacing w:val="-2"/>
        </w:rPr>
        <w:t>o</w:t>
      </w:r>
      <w:r w:rsidR="008878A0" w:rsidRPr="4E193667">
        <w:rPr>
          <w:rFonts w:eastAsia="Arial Narrow"/>
        </w:rPr>
        <w:t>pr</w:t>
      </w:r>
      <w:r w:rsidR="008878A0" w:rsidRPr="4E193667">
        <w:rPr>
          <w:rFonts w:eastAsia="Arial Narrow"/>
          <w:spacing w:val="1"/>
        </w:rPr>
        <w:t>iv</w:t>
      </w:r>
      <w:r w:rsidR="008878A0" w:rsidRPr="4E193667">
        <w:rPr>
          <w:rFonts w:eastAsia="Arial Narrow"/>
        </w:rPr>
        <w:t>red</w:t>
      </w:r>
      <w:r w:rsidR="008878A0" w:rsidRPr="4E193667">
        <w:rPr>
          <w:rFonts w:eastAsia="Arial Narrow"/>
          <w:spacing w:val="-2"/>
        </w:rPr>
        <w:t>n</w:t>
      </w:r>
      <w:r w:rsidR="008878A0" w:rsidRPr="4E193667">
        <w:rPr>
          <w:rFonts w:eastAsia="Arial Narrow"/>
        </w:rPr>
        <w:t xml:space="preserve">og </w:t>
      </w:r>
      <w:r w:rsidR="008878A0" w:rsidRPr="4E193667">
        <w:rPr>
          <w:rFonts w:eastAsia="Arial Narrow"/>
          <w:spacing w:val="1"/>
        </w:rPr>
        <w:t>z</w:t>
      </w:r>
      <w:r w:rsidR="008878A0" w:rsidRPr="4E193667">
        <w:rPr>
          <w:rFonts w:eastAsia="Arial Narrow"/>
        </w:rPr>
        <w:t>e</w:t>
      </w:r>
      <w:r w:rsidR="008878A0" w:rsidRPr="4E193667">
        <w:rPr>
          <w:rFonts w:eastAsia="Arial Narrow"/>
          <w:spacing w:val="-2"/>
        </w:rPr>
        <w:t>m</w:t>
      </w:r>
      <w:r w:rsidR="008878A0" w:rsidRPr="4E193667">
        <w:rPr>
          <w:rFonts w:eastAsia="Arial Narrow"/>
          <w:spacing w:val="1"/>
        </w:rPr>
        <w:t>lj</w:t>
      </w:r>
      <w:r w:rsidR="008878A0" w:rsidRPr="4E193667">
        <w:rPr>
          <w:rFonts w:eastAsia="Arial Narrow"/>
          <w:spacing w:val="-2"/>
        </w:rPr>
        <w:t>i</w:t>
      </w:r>
      <w:r w:rsidR="008878A0" w:rsidRPr="4E193667">
        <w:rPr>
          <w:rFonts w:eastAsia="Arial Narrow"/>
          <w:spacing w:val="1"/>
        </w:rPr>
        <w:t>š</w:t>
      </w:r>
      <w:r w:rsidR="008878A0" w:rsidRPr="4E193667">
        <w:rPr>
          <w:rFonts w:eastAsia="Arial Narrow"/>
        </w:rPr>
        <w:t>ta</w:t>
      </w:r>
      <w:r w:rsidR="008878A0" w:rsidRPr="4E193667">
        <w:rPr>
          <w:rFonts w:eastAsia="Arial Narrow"/>
          <w:spacing w:val="3"/>
        </w:rPr>
        <w:t xml:space="preserve"> </w:t>
      </w:r>
      <w:r w:rsidR="008878A0" w:rsidRPr="4E193667">
        <w:rPr>
          <w:rFonts w:eastAsia="Arial Narrow"/>
          <w:spacing w:val="-2"/>
        </w:rPr>
        <w:t>o</w:t>
      </w:r>
      <w:r w:rsidR="008878A0" w:rsidRPr="4E193667">
        <w:rPr>
          <w:rFonts w:eastAsia="Arial Narrow"/>
        </w:rPr>
        <w:t xml:space="preserve">tpada </w:t>
      </w:r>
      <w:r w:rsidR="008878A0" w:rsidRPr="4E193667">
        <w:rPr>
          <w:rFonts w:eastAsia="Arial Narrow"/>
          <w:spacing w:val="-2"/>
        </w:rPr>
        <w:t>n</w:t>
      </w:r>
      <w:r w:rsidR="008878A0" w:rsidRPr="4E193667">
        <w:rPr>
          <w:rFonts w:eastAsia="Arial Narrow"/>
        </w:rPr>
        <w:t>a</w:t>
      </w:r>
      <w:r w:rsidR="008878A0" w:rsidRPr="4E193667">
        <w:rPr>
          <w:rFonts w:eastAsia="Arial Narrow"/>
          <w:spacing w:val="3"/>
        </w:rPr>
        <w:t xml:space="preserve"> </w:t>
      </w:r>
      <w:r w:rsidR="008878A0" w:rsidRPr="4E193667">
        <w:rPr>
          <w:rFonts w:eastAsia="Arial Narrow"/>
        </w:rPr>
        <w:t>oran</w:t>
      </w:r>
      <w:r w:rsidR="008878A0" w:rsidRPr="4E193667">
        <w:rPr>
          <w:rFonts w:eastAsia="Arial Narrow"/>
          <w:spacing w:val="-2"/>
        </w:rPr>
        <w:t>i</w:t>
      </w:r>
      <w:r w:rsidR="008878A0" w:rsidRPr="4E193667">
        <w:rPr>
          <w:rFonts w:eastAsia="Arial Narrow"/>
          <w:spacing w:val="1"/>
        </w:rPr>
        <w:t>c</w:t>
      </w:r>
      <w:r w:rsidR="008878A0" w:rsidRPr="4E193667">
        <w:rPr>
          <w:rFonts w:eastAsia="Arial Narrow"/>
        </w:rPr>
        <w:t>e (55,1</w:t>
      </w:r>
      <w:r w:rsidR="00172E7A" w:rsidRPr="4E193667">
        <w:rPr>
          <w:rFonts w:eastAsia="Arial Narrow"/>
        </w:rPr>
        <w:t>7</w:t>
      </w:r>
      <w:r w:rsidR="008878A0" w:rsidRPr="4E193667">
        <w:rPr>
          <w:rFonts w:eastAsia="Arial Narrow"/>
          <w:spacing w:val="2"/>
        </w:rPr>
        <w:t>%</w:t>
      </w:r>
      <w:r w:rsidR="008878A0" w:rsidRPr="4E193667">
        <w:rPr>
          <w:rFonts w:eastAsia="Arial Narrow"/>
        </w:rPr>
        <w:t>)</w:t>
      </w:r>
      <w:r w:rsidR="008878A0" w:rsidRPr="4E193667">
        <w:rPr>
          <w:rFonts w:eastAsia="Arial Narrow"/>
          <w:spacing w:val="2"/>
        </w:rPr>
        <w:t xml:space="preserve"> </w:t>
      </w:r>
      <w:r w:rsidR="008878A0" w:rsidRPr="4E193667">
        <w:rPr>
          <w:rFonts w:eastAsia="Arial Narrow"/>
          <w:spacing w:val="-2"/>
        </w:rPr>
        <w:t>i</w:t>
      </w:r>
      <w:r w:rsidR="008878A0" w:rsidRPr="4E193667">
        <w:rPr>
          <w:rFonts w:eastAsia="Arial Narrow"/>
        </w:rPr>
        <w:t xml:space="preserve"> </w:t>
      </w:r>
      <w:r w:rsidR="008878A0" w:rsidRPr="4E193667">
        <w:rPr>
          <w:rFonts w:eastAsia="Arial Narrow"/>
          <w:spacing w:val="1"/>
        </w:rPr>
        <w:t>liv</w:t>
      </w:r>
      <w:r w:rsidR="008878A0" w:rsidRPr="4E193667">
        <w:rPr>
          <w:rFonts w:eastAsia="Arial Narrow"/>
        </w:rPr>
        <w:t>a</w:t>
      </w:r>
      <w:r w:rsidR="008878A0" w:rsidRPr="4E193667">
        <w:rPr>
          <w:rFonts w:eastAsia="Arial Narrow"/>
          <w:spacing w:val="-2"/>
        </w:rPr>
        <w:t>d</w:t>
      </w:r>
      <w:r w:rsidR="008878A0" w:rsidRPr="4E193667">
        <w:rPr>
          <w:rFonts w:eastAsia="Arial Narrow"/>
        </w:rPr>
        <w:t>e</w:t>
      </w:r>
      <w:r w:rsidR="008878A0" w:rsidRPr="4E193667">
        <w:rPr>
          <w:rFonts w:eastAsia="Arial Narrow"/>
          <w:spacing w:val="2"/>
        </w:rPr>
        <w:t xml:space="preserve"> </w:t>
      </w:r>
      <w:r w:rsidR="008878A0" w:rsidRPr="4E193667">
        <w:rPr>
          <w:rFonts w:eastAsia="Arial Narrow"/>
        </w:rPr>
        <w:t>(</w:t>
      </w:r>
      <w:r w:rsidR="00735BCF" w:rsidRPr="4E193667">
        <w:rPr>
          <w:rFonts w:eastAsia="Arial Narrow"/>
        </w:rPr>
        <w:t>32,8</w:t>
      </w:r>
      <w:r w:rsidR="009D4141">
        <w:rPr>
          <w:rFonts w:eastAsia="Arial Narrow"/>
        </w:rPr>
        <w:t>0</w:t>
      </w:r>
      <w:r w:rsidR="008878A0" w:rsidRPr="4E193667">
        <w:rPr>
          <w:rFonts w:eastAsia="Arial Narrow"/>
          <w:spacing w:val="2"/>
        </w:rPr>
        <w:t>%</w:t>
      </w:r>
      <w:r w:rsidR="008878A0" w:rsidRPr="4E193667">
        <w:rPr>
          <w:rFonts w:eastAsia="Arial Narrow"/>
          <w:spacing w:val="-3"/>
        </w:rPr>
        <w:t>)</w:t>
      </w:r>
      <w:r w:rsidR="008878A0" w:rsidRPr="4E193667">
        <w:rPr>
          <w:rFonts w:eastAsia="Arial Narrow"/>
        </w:rPr>
        <w:t>.</w:t>
      </w:r>
      <w:r w:rsidR="008878A0" w:rsidRPr="4E193667">
        <w:rPr>
          <w:rFonts w:eastAsia="Arial Narrow"/>
          <w:spacing w:val="2"/>
        </w:rPr>
        <w:t xml:space="preserve"> </w:t>
      </w:r>
    </w:p>
    <w:p w14:paraId="729B407B" w14:textId="77777777" w:rsidR="00F72223" w:rsidRDefault="00F72223" w:rsidP="00941871">
      <w:pPr>
        <w:spacing w:line="283" w:lineRule="auto"/>
        <w:ind w:right="72"/>
        <w:rPr>
          <w:rFonts w:eastAsia="Arial Narrow" w:cstheme="minorHAnsi"/>
          <w:spacing w:val="2"/>
        </w:rPr>
      </w:pPr>
    </w:p>
    <w:p w14:paraId="0B6588E1" w14:textId="1860BFAB" w:rsidR="00DD670B" w:rsidRDefault="00DD670B" w:rsidP="003E3F3C">
      <w:pPr>
        <w:pStyle w:val="Opisslike"/>
      </w:pPr>
      <w:r>
        <w:t>Tablica</w:t>
      </w:r>
      <w:r w:rsidR="00BD0057">
        <w:t xml:space="preserve"> 1</w:t>
      </w:r>
      <w:r w:rsidR="00A7185B">
        <w:t>18</w:t>
      </w:r>
      <w:r>
        <w:t xml:space="preserve">. </w:t>
      </w:r>
      <w:r w:rsidRPr="00F271E1">
        <w:t xml:space="preserve">Površina zemljišta prema vrsti uporabe </w:t>
      </w:r>
      <w:r w:rsidR="00787CF1">
        <w:t xml:space="preserve">poljoprivrednog zemljišta </w:t>
      </w:r>
      <w:r w:rsidRPr="00F271E1">
        <w:t>(ha), 2015.</w:t>
      </w:r>
      <w:r w:rsidR="009E67D7">
        <w:t xml:space="preserve"> </w:t>
      </w:r>
      <w:r w:rsidRPr="00F271E1">
        <w:t>- 201</w:t>
      </w:r>
      <w:r w:rsidR="00F72223">
        <w:t>9</w:t>
      </w:r>
      <w:r w:rsidRPr="00F271E1">
        <w:t>. godina</w:t>
      </w:r>
    </w:p>
    <w:tbl>
      <w:tblPr>
        <w:tblW w:w="9067" w:type="dxa"/>
        <w:tblInd w:w="-5" w:type="dxa"/>
        <w:tblBorders>
          <w:insideH w:val="single" w:sz="8" w:space="0" w:color="F3CFC1"/>
        </w:tblBorders>
        <w:tblLayout w:type="fixed"/>
        <w:tblLook w:val="04A0" w:firstRow="1" w:lastRow="0" w:firstColumn="1" w:lastColumn="0" w:noHBand="0" w:noVBand="1"/>
      </w:tblPr>
      <w:tblGrid>
        <w:gridCol w:w="2122"/>
        <w:gridCol w:w="1701"/>
        <w:gridCol w:w="1417"/>
        <w:gridCol w:w="1276"/>
        <w:gridCol w:w="1417"/>
        <w:gridCol w:w="1134"/>
      </w:tblGrid>
      <w:tr w:rsidR="00F83B6B" w14:paraId="49ADF59F" w14:textId="4A82D3A1" w:rsidTr="00346E38">
        <w:trPr>
          <w:trHeight w:val="285"/>
        </w:trPr>
        <w:tc>
          <w:tcPr>
            <w:tcW w:w="2122" w:type="dxa"/>
            <w:vMerge w:val="restart"/>
            <w:tcBorders>
              <w:top w:val="nil"/>
              <w:left w:val="single" w:sz="8" w:space="0" w:color="D2232A"/>
            </w:tcBorders>
            <w:shd w:val="clear" w:color="auto" w:fill="D2232A" w:themeFill="accent1"/>
          </w:tcPr>
          <w:p w14:paraId="10A0C1CE" w14:textId="77777777" w:rsidR="00F83B6B" w:rsidRDefault="00F83B6B" w:rsidP="00941871">
            <w:pPr>
              <w:spacing w:after="0"/>
              <w:rPr>
                <w:rFonts w:eastAsia="Arial Narrow" w:cstheme="minorHAnsi"/>
                <w:color w:val="FFFFFF" w:themeColor="background1"/>
              </w:rPr>
            </w:pPr>
          </w:p>
          <w:p w14:paraId="0237AFEA" w14:textId="77777777" w:rsidR="00F83B6B" w:rsidRDefault="00F83B6B" w:rsidP="00941871">
            <w:pPr>
              <w:spacing w:after="0"/>
              <w:rPr>
                <w:rFonts w:eastAsia="Arial Narrow" w:cstheme="minorHAnsi"/>
                <w:color w:val="FFFFFF" w:themeColor="background1"/>
              </w:rPr>
            </w:pPr>
            <w:r>
              <w:rPr>
                <w:rFonts w:eastAsia="Arial Narrow" w:cstheme="minorHAnsi"/>
                <w:color w:val="FFFFFF" w:themeColor="background1"/>
              </w:rPr>
              <w:t xml:space="preserve">Vrsta poljoprivrednog zemljišta </w:t>
            </w:r>
          </w:p>
        </w:tc>
        <w:tc>
          <w:tcPr>
            <w:tcW w:w="1701" w:type="dxa"/>
            <w:tcBorders>
              <w:top w:val="nil"/>
              <w:bottom w:val="nil"/>
            </w:tcBorders>
            <w:shd w:val="clear" w:color="auto" w:fill="D2232A" w:themeFill="accent1"/>
            <w:hideMark/>
          </w:tcPr>
          <w:p w14:paraId="2D6460B4" w14:textId="77777777"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 xml:space="preserve">2015. </w:t>
            </w:r>
          </w:p>
        </w:tc>
        <w:tc>
          <w:tcPr>
            <w:tcW w:w="1417" w:type="dxa"/>
            <w:tcBorders>
              <w:top w:val="nil"/>
              <w:bottom w:val="nil"/>
            </w:tcBorders>
            <w:shd w:val="clear" w:color="auto" w:fill="D2232A" w:themeFill="accent1"/>
            <w:hideMark/>
          </w:tcPr>
          <w:p w14:paraId="7EDE91CF" w14:textId="77777777"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2016.</w:t>
            </w:r>
          </w:p>
        </w:tc>
        <w:tc>
          <w:tcPr>
            <w:tcW w:w="1276" w:type="dxa"/>
            <w:tcBorders>
              <w:top w:val="nil"/>
              <w:bottom w:val="nil"/>
            </w:tcBorders>
            <w:shd w:val="clear" w:color="auto" w:fill="D2232A" w:themeFill="accent1"/>
            <w:hideMark/>
          </w:tcPr>
          <w:p w14:paraId="3B8CC0CA" w14:textId="77777777"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2017.</w:t>
            </w:r>
          </w:p>
        </w:tc>
        <w:tc>
          <w:tcPr>
            <w:tcW w:w="1417" w:type="dxa"/>
            <w:tcBorders>
              <w:top w:val="nil"/>
              <w:bottom w:val="nil"/>
              <w:right w:val="single" w:sz="8" w:space="0" w:color="D2232A"/>
            </w:tcBorders>
            <w:shd w:val="clear" w:color="auto" w:fill="D2232A" w:themeFill="accent1"/>
            <w:hideMark/>
          </w:tcPr>
          <w:p w14:paraId="21CCD256" w14:textId="77777777"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2018.</w:t>
            </w:r>
          </w:p>
        </w:tc>
        <w:tc>
          <w:tcPr>
            <w:tcW w:w="1134" w:type="dxa"/>
            <w:tcBorders>
              <w:top w:val="nil"/>
              <w:bottom w:val="nil"/>
              <w:right w:val="single" w:sz="8" w:space="0" w:color="D2232A"/>
            </w:tcBorders>
            <w:shd w:val="clear" w:color="auto" w:fill="D2232A" w:themeFill="accent1"/>
          </w:tcPr>
          <w:p w14:paraId="17FDAF1E" w14:textId="1EA914EF"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2019.</w:t>
            </w:r>
          </w:p>
        </w:tc>
      </w:tr>
      <w:tr w:rsidR="00F83B6B" w14:paraId="15DF4F34" w14:textId="7A33CD63" w:rsidTr="00346E38">
        <w:trPr>
          <w:trHeight w:val="165"/>
        </w:trPr>
        <w:tc>
          <w:tcPr>
            <w:tcW w:w="2122" w:type="dxa"/>
            <w:vMerge/>
            <w:tcBorders>
              <w:left w:val="single" w:sz="8" w:space="0" w:color="D2232A"/>
            </w:tcBorders>
            <w:shd w:val="clear" w:color="auto" w:fill="D2232A" w:themeFill="accent1"/>
            <w:vAlign w:val="center"/>
            <w:hideMark/>
          </w:tcPr>
          <w:p w14:paraId="31B4C06F" w14:textId="77777777" w:rsidR="00F83B6B" w:rsidRDefault="00F83B6B" w:rsidP="00941871">
            <w:pPr>
              <w:spacing w:after="0"/>
              <w:rPr>
                <w:rFonts w:eastAsia="Arial Narrow" w:cstheme="minorHAnsi"/>
                <w:color w:val="FFFFFF" w:themeColor="background1"/>
                <w:sz w:val="22"/>
                <w:szCs w:val="22"/>
              </w:rPr>
            </w:pPr>
          </w:p>
        </w:tc>
        <w:tc>
          <w:tcPr>
            <w:tcW w:w="1701" w:type="dxa"/>
            <w:tcBorders>
              <w:top w:val="nil"/>
            </w:tcBorders>
            <w:shd w:val="clear" w:color="auto" w:fill="D2232A" w:themeFill="accent1"/>
            <w:hideMark/>
          </w:tcPr>
          <w:p w14:paraId="7E473CD6" w14:textId="77777777"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Površina (ha)</w:t>
            </w:r>
          </w:p>
        </w:tc>
        <w:tc>
          <w:tcPr>
            <w:tcW w:w="1417" w:type="dxa"/>
            <w:tcBorders>
              <w:top w:val="nil"/>
            </w:tcBorders>
            <w:shd w:val="clear" w:color="auto" w:fill="D2232A" w:themeFill="accent1"/>
            <w:hideMark/>
          </w:tcPr>
          <w:p w14:paraId="0DF5C7C5" w14:textId="77777777"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Površina (ha)</w:t>
            </w:r>
          </w:p>
        </w:tc>
        <w:tc>
          <w:tcPr>
            <w:tcW w:w="1276" w:type="dxa"/>
            <w:tcBorders>
              <w:top w:val="nil"/>
            </w:tcBorders>
            <w:shd w:val="clear" w:color="auto" w:fill="D2232A" w:themeFill="accent1"/>
            <w:hideMark/>
          </w:tcPr>
          <w:p w14:paraId="28FD84F1" w14:textId="77777777"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Površina (ha)</w:t>
            </w:r>
          </w:p>
        </w:tc>
        <w:tc>
          <w:tcPr>
            <w:tcW w:w="1417" w:type="dxa"/>
            <w:tcBorders>
              <w:top w:val="nil"/>
              <w:right w:val="single" w:sz="8" w:space="0" w:color="D2232A"/>
            </w:tcBorders>
            <w:shd w:val="clear" w:color="auto" w:fill="D2232A" w:themeFill="accent1"/>
            <w:hideMark/>
          </w:tcPr>
          <w:p w14:paraId="20E1EA1E" w14:textId="77777777"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Površina (ha)</w:t>
            </w:r>
          </w:p>
        </w:tc>
        <w:tc>
          <w:tcPr>
            <w:tcW w:w="1134" w:type="dxa"/>
            <w:tcBorders>
              <w:top w:val="nil"/>
              <w:right w:val="single" w:sz="8" w:space="0" w:color="D2232A"/>
            </w:tcBorders>
            <w:shd w:val="clear" w:color="auto" w:fill="D2232A" w:themeFill="accent1"/>
          </w:tcPr>
          <w:p w14:paraId="305B57B6" w14:textId="05789839" w:rsidR="00F83B6B" w:rsidRDefault="00F83B6B" w:rsidP="00E9455B">
            <w:pPr>
              <w:spacing w:after="0"/>
              <w:jc w:val="right"/>
              <w:rPr>
                <w:rFonts w:eastAsia="Arial Narrow" w:cstheme="minorHAnsi"/>
                <w:color w:val="FFFFFF" w:themeColor="background1"/>
              </w:rPr>
            </w:pPr>
            <w:r>
              <w:rPr>
                <w:rFonts w:eastAsia="Arial Narrow" w:cstheme="minorHAnsi"/>
                <w:color w:val="FFFFFF" w:themeColor="background1"/>
              </w:rPr>
              <w:t>Površina (ha)</w:t>
            </w:r>
          </w:p>
        </w:tc>
      </w:tr>
      <w:tr w:rsidR="00F83B6B" w14:paraId="5AA19091" w14:textId="3B40A7A0" w:rsidTr="00346E38">
        <w:tc>
          <w:tcPr>
            <w:tcW w:w="2122" w:type="dxa"/>
            <w:tcBorders>
              <w:left w:val="single" w:sz="8" w:space="0" w:color="D2232A"/>
            </w:tcBorders>
            <w:hideMark/>
          </w:tcPr>
          <w:p w14:paraId="32EE2A40" w14:textId="76D73ED9" w:rsidR="00F83B6B" w:rsidRDefault="00F83B6B" w:rsidP="00941871">
            <w:pPr>
              <w:spacing w:after="0"/>
              <w:rPr>
                <w:rFonts w:eastAsia="Arial Narrow" w:cstheme="minorHAnsi"/>
                <w:color w:val="auto"/>
              </w:rPr>
            </w:pPr>
            <w:r>
              <w:rPr>
                <w:rFonts w:eastAsia="Arial Narrow" w:cstheme="minorHAnsi"/>
              </w:rPr>
              <w:t>Oranice</w:t>
            </w:r>
          </w:p>
        </w:tc>
        <w:tc>
          <w:tcPr>
            <w:tcW w:w="1701" w:type="dxa"/>
            <w:hideMark/>
          </w:tcPr>
          <w:p w14:paraId="75D7A11A" w14:textId="77777777" w:rsidR="00F83B6B" w:rsidRDefault="00F83B6B" w:rsidP="00E9455B">
            <w:pPr>
              <w:spacing w:after="0"/>
              <w:jc w:val="right"/>
              <w:rPr>
                <w:rFonts w:eastAsia="Arial Narrow" w:cstheme="minorHAnsi"/>
              </w:rPr>
            </w:pPr>
            <w:r>
              <w:rPr>
                <w:rFonts w:eastAsia="Arial Narrow" w:cstheme="minorHAnsi"/>
              </w:rPr>
              <w:t>11.071</w:t>
            </w:r>
          </w:p>
        </w:tc>
        <w:tc>
          <w:tcPr>
            <w:tcW w:w="1417" w:type="dxa"/>
            <w:hideMark/>
          </w:tcPr>
          <w:p w14:paraId="6C4C6A10" w14:textId="77777777" w:rsidR="00F83B6B" w:rsidRDefault="00F83B6B" w:rsidP="00E9455B">
            <w:pPr>
              <w:spacing w:after="0"/>
              <w:jc w:val="right"/>
              <w:rPr>
                <w:rFonts w:eastAsia="Arial Narrow" w:cstheme="minorHAnsi"/>
              </w:rPr>
            </w:pPr>
            <w:r>
              <w:rPr>
                <w:rFonts w:eastAsia="Arial Narrow" w:cstheme="minorHAnsi"/>
              </w:rPr>
              <w:t>10.864, 58</w:t>
            </w:r>
          </w:p>
        </w:tc>
        <w:tc>
          <w:tcPr>
            <w:tcW w:w="1276" w:type="dxa"/>
            <w:hideMark/>
          </w:tcPr>
          <w:p w14:paraId="4A8DDF53" w14:textId="77777777" w:rsidR="00F83B6B" w:rsidRDefault="00F83B6B" w:rsidP="00E9455B">
            <w:pPr>
              <w:spacing w:after="0"/>
              <w:jc w:val="right"/>
              <w:rPr>
                <w:rFonts w:eastAsia="Arial Narrow" w:cstheme="minorHAnsi"/>
              </w:rPr>
            </w:pPr>
            <w:r>
              <w:rPr>
                <w:rFonts w:eastAsia="Arial Narrow" w:cstheme="minorHAnsi"/>
              </w:rPr>
              <w:t>11.359,38</w:t>
            </w:r>
          </w:p>
        </w:tc>
        <w:tc>
          <w:tcPr>
            <w:tcW w:w="1417" w:type="dxa"/>
            <w:tcBorders>
              <w:right w:val="single" w:sz="8" w:space="0" w:color="D2232A"/>
            </w:tcBorders>
            <w:hideMark/>
          </w:tcPr>
          <w:p w14:paraId="3FBD4234" w14:textId="77777777" w:rsidR="00F83B6B" w:rsidRDefault="00F83B6B" w:rsidP="00E9455B">
            <w:pPr>
              <w:spacing w:after="0"/>
              <w:jc w:val="right"/>
              <w:rPr>
                <w:rFonts w:eastAsia="Arial Narrow" w:cstheme="minorHAnsi"/>
              </w:rPr>
            </w:pPr>
            <w:r>
              <w:rPr>
                <w:rFonts w:eastAsia="Arial Narrow" w:cstheme="minorHAnsi"/>
              </w:rPr>
              <w:t>11.730,00</w:t>
            </w:r>
          </w:p>
        </w:tc>
        <w:tc>
          <w:tcPr>
            <w:tcW w:w="1134" w:type="dxa"/>
            <w:tcBorders>
              <w:right w:val="single" w:sz="8" w:space="0" w:color="D2232A"/>
            </w:tcBorders>
          </w:tcPr>
          <w:p w14:paraId="3A6B7C0B" w14:textId="31580CBF" w:rsidR="00F83B6B" w:rsidRPr="00172E7A" w:rsidRDefault="00172E7A" w:rsidP="00E9455B">
            <w:pPr>
              <w:spacing w:after="0"/>
              <w:jc w:val="right"/>
              <w:rPr>
                <w:rFonts w:eastAsia="Arial Narrow" w:cstheme="minorHAnsi"/>
                <w:color w:val="auto"/>
              </w:rPr>
            </w:pPr>
            <w:r>
              <w:rPr>
                <w:rFonts w:eastAsia="Arial Narrow" w:cstheme="minorHAnsi"/>
                <w:color w:val="auto"/>
              </w:rPr>
              <w:t>11.971,34</w:t>
            </w:r>
          </w:p>
        </w:tc>
      </w:tr>
      <w:tr w:rsidR="00F83B6B" w14:paraId="31D997C0" w14:textId="48828072" w:rsidTr="00346E38">
        <w:tc>
          <w:tcPr>
            <w:tcW w:w="2122" w:type="dxa"/>
            <w:tcBorders>
              <w:left w:val="single" w:sz="8" w:space="0" w:color="D2232A"/>
            </w:tcBorders>
            <w:hideMark/>
          </w:tcPr>
          <w:p w14:paraId="0333F60D" w14:textId="77777777" w:rsidR="00F83B6B" w:rsidRDefault="00F83B6B" w:rsidP="00941871">
            <w:pPr>
              <w:spacing w:after="0"/>
              <w:rPr>
                <w:rFonts w:eastAsia="Arial Narrow" w:cstheme="minorHAnsi"/>
              </w:rPr>
            </w:pPr>
            <w:r>
              <w:rPr>
                <w:rFonts w:eastAsia="Arial Narrow" w:cstheme="minorHAnsi"/>
              </w:rPr>
              <w:t>Staklenik/plastenik na oranici</w:t>
            </w:r>
          </w:p>
        </w:tc>
        <w:tc>
          <w:tcPr>
            <w:tcW w:w="1701" w:type="dxa"/>
            <w:hideMark/>
          </w:tcPr>
          <w:p w14:paraId="7B730F5C" w14:textId="77777777" w:rsidR="00F83B6B" w:rsidRDefault="00F83B6B" w:rsidP="00E9455B">
            <w:pPr>
              <w:spacing w:after="0"/>
              <w:jc w:val="right"/>
              <w:rPr>
                <w:rFonts w:eastAsia="Arial Narrow" w:cstheme="minorHAnsi"/>
              </w:rPr>
            </w:pPr>
            <w:r>
              <w:rPr>
                <w:rFonts w:eastAsia="Arial Narrow" w:cstheme="minorHAnsi"/>
              </w:rPr>
              <w:t>11</w:t>
            </w:r>
          </w:p>
        </w:tc>
        <w:tc>
          <w:tcPr>
            <w:tcW w:w="1417" w:type="dxa"/>
            <w:hideMark/>
          </w:tcPr>
          <w:p w14:paraId="082136F0" w14:textId="31CB48FF" w:rsidR="00F83B6B" w:rsidRDefault="00F83B6B" w:rsidP="00E9455B">
            <w:pPr>
              <w:spacing w:after="0"/>
              <w:jc w:val="right"/>
              <w:rPr>
                <w:rFonts w:eastAsia="Arial Narrow" w:cstheme="minorHAnsi"/>
              </w:rPr>
            </w:pPr>
            <w:r>
              <w:rPr>
                <w:rFonts w:eastAsia="Arial Narrow" w:cstheme="minorHAnsi"/>
              </w:rPr>
              <w:t>11,</w:t>
            </w:r>
            <w:r w:rsidR="003A12CA">
              <w:rPr>
                <w:rFonts w:eastAsia="Arial Narrow" w:cstheme="minorHAnsi"/>
              </w:rPr>
              <w:t>09</w:t>
            </w:r>
          </w:p>
        </w:tc>
        <w:tc>
          <w:tcPr>
            <w:tcW w:w="1276" w:type="dxa"/>
            <w:hideMark/>
          </w:tcPr>
          <w:p w14:paraId="7D4538A0" w14:textId="77777777" w:rsidR="00F83B6B" w:rsidRDefault="00F83B6B" w:rsidP="00E9455B">
            <w:pPr>
              <w:spacing w:after="0"/>
              <w:jc w:val="right"/>
              <w:rPr>
                <w:rFonts w:eastAsia="Arial Narrow" w:cstheme="minorHAnsi"/>
              </w:rPr>
            </w:pPr>
            <w:r>
              <w:rPr>
                <w:rFonts w:eastAsia="Arial Narrow" w:cstheme="minorHAnsi"/>
              </w:rPr>
              <w:t>12,52</w:t>
            </w:r>
          </w:p>
        </w:tc>
        <w:tc>
          <w:tcPr>
            <w:tcW w:w="1417" w:type="dxa"/>
            <w:tcBorders>
              <w:right w:val="single" w:sz="8" w:space="0" w:color="D2232A"/>
            </w:tcBorders>
            <w:hideMark/>
          </w:tcPr>
          <w:p w14:paraId="639A4F1B" w14:textId="77777777" w:rsidR="00F83B6B" w:rsidRDefault="00F83B6B" w:rsidP="00E9455B">
            <w:pPr>
              <w:spacing w:after="0"/>
              <w:jc w:val="right"/>
              <w:rPr>
                <w:rFonts w:eastAsia="Arial Narrow" w:cstheme="minorHAnsi"/>
              </w:rPr>
            </w:pPr>
            <w:r>
              <w:rPr>
                <w:rFonts w:eastAsia="Arial Narrow" w:cstheme="minorHAnsi"/>
              </w:rPr>
              <w:t>12,68</w:t>
            </w:r>
          </w:p>
        </w:tc>
        <w:tc>
          <w:tcPr>
            <w:tcW w:w="1134" w:type="dxa"/>
            <w:tcBorders>
              <w:right w:val="single" w:sz="8" w:space="0" w:color="D2232A"/>
            </w:tcBorders>
          </w:tcPr>
          <w:p w14:paraId="51867612" w14:textId="53293176" w:rsidR="00F83B6B" w:rsidRPr="00172E7A" w:rsidRDefault="00172E7A" w:rsidP="00E9455B">
            <w:pPr>
              <w:spacing w:after="0"/>
              <w:jc w:val="right"/>
              <w:rPr>
                <w:rFonts w:eastAsia="Arial Narrow" w:cstheme="minorHAnsi"/>
                <w:color w:val="auto"/>
              </w:rPr>
            </w:pPr>
            <w:r>
              <w:rPr>
                <w:rFonts w:eastAsia="Arial Narrow" w:cstheme="minorHAnsi"/>
                <w:color w:val="auto"/>
              </w:rPr>
              <w:t>12,46</w:t>
            </w:r>
          </w:p>
        </w:tc>
      </w:tr>
      <w:tr w:rsidR="00F83B6B" w14:paraId="275ECE9B" w14:textId="2E6C7685" w:rsidTr="00346E38">
        <w:tc>
          <w:tcPr>
            <w:tcW w:w="2122" w:type="dxa"/>
            <w:tcBorders>
              <w:left w:val="single" w:sz="8" w:space="0" w:color="D2232A"/>
            </w:tcBorders>
            <w:hideMark/>
          </w:tcPr>
          <w:p w14:paraId="039F6B88" w14:textId="77777777" w:rsidR="00F83B6B" w:rsidRDefault="00F83B6B" w:rsidP="00941871">
            <w:pPr>
              <w:spacing w:after="0"/>
              <w:rPr>
                <w:rFonts w:eastAsia="Arial Narrow" w:cstheme="minorHAnsi"/>
              </w:rPr>
            </w:pPr>
            <w:r>
              <w:rPr>
                <w:rFonts w:eastAsia="Arial Narrow" w:cstheme="minorHAnsi"/>
              </w:rPr>
              <w:t>Livada</w:t>
            </w:r>
          </w:p>
        </w:tc>
        <w:tc>
          <w:tcPr>
            <w:tcW w:w="1701" w:type="dxa"/>
            <w:hideMark/>
          </w:tcPr>
          <w:p w14:paraId="15ECFE86" w14:textId="77777777" w:rsidR="00F83B6B" w:rsidRDefault="00F83B6B" w:rsidP="00E9455B">
            <w:pPr>
              <w:spacing w:after="0"/>
              <w:jc w:val="right"/>
              <w:rPr>
                <w:rFonts w:eastAsia="Arial Narrow" w:cstheme="minorHAnsi"/>
              </w:rPr>
            </w:pPr>
            <w:r>
              <w:rPr>
                <w:rFonts w:eastAsia="Arial Narrow" w:cstheme="minorHAnsi"/>
              </w:rPr>
              <w:t>6.743</w:t>
            </w:r>
          </w:p>
        </w:tc>
        <w:tc>
          <w:tcPr>
            <w:tcW w:w="1417" w:type="dxa"/>
            <w:hideMark/>
          </w:tcPr>
          <w:p w14:paraId="3FED2469" w14:textId="77777777" w:rsidR="00F83B6B" w:rsidRDefault="00F83B6B" w:rsidP="00E9455B">
            <w:pPr>
              <w:spacing w:after="0"/>
              <w:jc w:val="right"/>
              <w:rPr>
                <w:rFonts w:eastAsia="Arial Narrow" w:cstheme="minorHAnsi"/>
              </w:rPr>
            </w:pPr>
            <w:r>
              <w:rPr>
                <w:rFonts w:eastAsia="Arial Narrow" w:cstheme="minorHAnsi"/>
              </w:rPr>
              <w:t>6.542,70</w:t>
            </w:r>
          </w:p>
        </w:tc>
        <w:tc>
          <w:tcPr>
            <w:tcW w:w="1276" w:type="dxa"/>
            <w:hideMark/>
          </w:tcPr>
          <w:p w14:paraId="079A9FCC" w14:textId="77777777" w:rsidR="00F83B6B" w:rsidRDefault="00F83B6B" w:rsidP="00E9455B">
            <w:pPr>
              <w:spacing w:after="0"/>
              <w:jc w:val="right"/>
              <w:rPr>
                <w:rFonts w:eastAsia="Arial Narrow" w:cstheme="minorHAnsi"/>
              </w:rPr>
            </w:pPr>
            <w:r>
              <w:rPr>
                <w:rFonts w:eastAsia="Arial Narrow" w:cstheme="minorHAnsi"/>
              </w:rPr>
              <w:t>6.847,21</w:t>
            </w:r>
          </w:p>
        </w:tc>
        <w:tc>
          <w:tcPr>
            <w:tcW w:w="1417" w:type="dxa"/>
            <w:tcBorders>
              <w:right w:val="single" w:sz="8" w:space="0" w:color="D2232A"/>
            </w:tcBorders>
            <w:hideMark/>
          </w:tcPr>
          <w:p w14:paraId="51F10BCE" w14:textId="77777777" w:rsidR="00F83B6B" w:rsidRDefault="00F83B6B" w:rsidP="00E9455B">
            <w:pPr>
              <w:spacing w:after="0"/>
              <w:jc w:val="right"/>
              <w:rPr>
                <w:rFonts w:eastAsia="Arial Narrow" w:cstheme="minorHAnsi"/>
              </w:rPr>
            </w:pPr>
            <w:r>
              <w:rPr>
                <w:rFonts w:eastAsia="Arial Narrow" w:cstheme="minorHAnsi"/>
              </w:rPr>
              <w:t>7.117,91</w:t>
            </w:r>
          </w:p>
        </w:tc>
        <w:tc>
          <w:tcPr>
            <w:tcW w:w="1134" w:type="dxa"/>
            <w:tcBorders>
              <w:right w:val="single" w:sz="8" w:space="0" w:color="D2232A"/>
            </w:tcBorders>
          </w:tcPr>
          <w:p w14:paraId="120B87F6" w14:textId="1112FB6A" w:rsidR="00F83B6B" w:rsidRPr="00172E7A" w:rsidRDefault="00172E7A" w:rsidP="00E9455B">
            <w:pPr>
              <w:spacing w:after="0"/>
              <w:jc w:val="right"/>
              <w:rPr>
                <w:rFonts w:eastAsia="Arial Narrow" w:cstheme="minorHAnsi"/>
                <w:color w:val="auto"/>
              </w:rPr>
            </w:pPr>
            <w:r>
              <w:rPr>
                <w:rFonts w:eastAsia="Arial Narrow" w:cstheme="minorHAnsi"/>
                <w:color w:val="auto"/>
              </w:rPr>
              <w:t>7.118,42</w:t>
            </w:r>
          </w:p>
        </w:tc>
      </w:tr>
      <w:tr w:rsidR="00F83B6B" w14:paraId="644A879B" w14:textId="5F6BB252" w:rsidTr="00346E38">
        <w:tc>
          <w:tcPr>
            <w:tcW w:w="2122" w:type="dxa"/>
            <w:tcBorders>
              <w:left w:val="single" w:sz="8" w:space="0" w:color="D2232A"/>
            </w:tcBorders>
            <w:hideMark/>
          </w:tcPr>
          <w:p w14:paraId="7B28D1F1" w14:textId="77777777" w:rsidR="00F83B6B" w:rsidRDefault="00F83B6B" w:rsidP="00941871">
            <w:pPr>
              <w:spacing w:after="0"/>
              <w:rPr>
                <w:rFonts w:eastAsia="Arial Narrow" w:cstheme="minorHAnsi"/>
              </w:rPr>
            </w:pPr>
            <w:r>
              <w:rPr>
                <w:rFonts w:eastAsia="Arial Narrow" w:cstheme="minorHAnsi"/>
              </w:rPr>
              <w:t>Pašnjak</w:t>
            </w:r>
          </w:p>
        </w:tc>
        <w:tc>
          <w:tcPr>
            <w:tcW w:w="1701" w:type="dxa"/>
            <w:hideMark/>
          </w:tcPr>
          <w:p w14:paraId="680B0F3F" w14:textId="77777777" w:rsidR="00F83B6B" w:rsidRDefault="00F83B6B" w:rsidP="00E9455B">
            <w:pPr>
              <w:spacing w:after="0"/>
              <w:jc w:val="right"/>
              <w:rPr>
                <w:rFonts w:eastAsia="Arial Narrow" w:cstheme="minorHAnsi"/>
              </w:rPr>
            </w:pPr>
            <w:r>
              <w:rPr>
                <w:rFonts w:eastAsia="Arial Narrow" w:cstheme="minorHAnsi"/>
              </w:rPr>
              <w:t>320</w:t>
            </w:r>
          </w:p>
        </w:tc>
        <w:tc>
          <w:tcPr>
            <w:tcW w:w="1417" w:type="dxa"/>
            <w:hideMark/>
          </w:tcPr>
          <w:p w14:paraId="0B54D81B" w14:textId="73069210" w:rsidR="00F83B6B" w:rsidRDefault="00F83B6B" w:rsidP="00E9455B">
            <w:pPr>
              <w:spacing w:after="0"/>
              <w:jc w:val="right"/>
              <w:rPr>
                <w:rFonts w:eastAsia="Arial Narrow" w:cstheme="minorHAnsi"/>
              </w:rPr>
            </w:pPr>
            <w:r>
              <w:rPr>
                <w:rFonts w:eastAsia="Arial Narrow" w:cstheme="minorHAnsi"/>
              </w:rPr>
              <w:t>314,1</w:t>
            </w:r>
            <w:r w:rsidR="003A12CA">
              <w:rPr>
                <w:rFonts w:eastAsia="Arial Narrow" w:cstheme="minorHAnsi"/>
              </w:rPr>
              <w:t>8</w:t>
            </w:r>
          </w:p>
        </w:tc>
        <w:tc>
          <w:tcPr>
            <w:tcW w:w="1276" w:type="dxa"/>
            <w:hideMark/>
          </w:tcPr>
          <w:p w14:paraId="50F32CB8" w14:textId="77777777" w:rsidR="00F83B6B" w:rsidRDefault="00F83B6B" w:rsidP="00E9455B">
            <w:pPr>
              <w:spacing w:after="0"/>
              <w:jc w:val="right"/>
              <w:rPr>
                <w:rFonts w:eastAsia="Arial Narrow" w:cstheme="minorHAnsi"/>
              </w:rPr>
            </w:pPr>
            <w:r>
              <w:rPr>
                <w:rFonts w:eastAsia="Arial Narrow" w:cstheme="minorHAnsi"/>
              </w:rPr>
              <w:t>341,11</w:t>
            </w:r>
          </w:p>
        </w:tc>
        <w:tc>
          <w:tcPr>
            <w:tcW w:w="1417" w:type="dxa"/>
            <w:tcBorders>
              <w:right w:val="single" w:sz="8" w:space="0" w:color="D2232A"/>
            </w:tcBorders>
            <w:hideMark/>
          </w:tcPr>
          <w:p w14:paraId="1C076F6E" w14:textId="77777777" w:rsidR="00F83B6B" w:rsidRDefault="00F83B6B" w:rsidP="00E9455B">
            <w:pPr>
              <w:spacing w:after="0"/>
              <w:jc w:val="right"/>
              <w:rPr>
                <w:rFonts w:eastAsia="Arial Narrow" w:cstheme="minorHAnsi"/>
              </w:rPr>
            </w:pPr>
            <w:r>
              <w:rPr>
                <w:rFonts w:eastAsia="Arial Narrow" w:cstheme="minorHAnsi"/>
              </w:rPr>
              <w:t>401,69</w:t>
            </w:r>
          </w:p>
        </w:tc>
        <w:tc>
          <w:tcPr>
            <w:tcW w:w="1134" w:type="dxa"/>
            <w:tcBorders>
              <w:right w:val="single" w:sz="8" w:space="0" w:color="D2232A"/>
            </w:tcBorders>
          </w:tcPr>
          <w:p w14:paraId="41A4D858" w14:textId="7FB7887D" w:rsidR="00F83B6B" w:rsidRPr="00172E7A" w:rsidRDefault="00172E7A" w:rsidP="00E9455B">
            <w:pPr>
              <w:spacing w:after="0"/>
              <w:jc w:val="right"/>
              <w:rPr>
                <w:rFonts w:eastAsia="Arial Narrow" w:cstheme="minorHAnsi"/>
                <w:color w:val="auto"/>
              </w:rPr>
            </w:pPr>
            <w:r>
              <w:rPr>
                <w:rFonts w:eastAsia="Arial Narrow" w:cstheme="minorHAnsi"/>
                <w:color w:val="auto"/>
              </w:rPr>
              <w:t>464,04</w:t>
            </w:r>
          </w:p>
        </w:tc>
      </w:tr>
      <w:tr w:rsidR="00F83B6B" w14:paraId="31DC8FD7" w14:textId="6C0C78AA" w:rsidTr="00346E38">
        <w:tc>
          <w:tcPr>
            <w:tcW w:w="2122" w:type="dxa"/>
            <w:tcBorders>
              <w:left w:val="single" w:sz="8" w:space="0" w:color="D2232A"/>
            </w:tcBorders>
            <w:hideMark/>
          </w:tcPr>
          <w:p w14:paraId="1A412B70" w14:textId="77777777" w:rsidR="00F83B6B" w:rsidRDefault="00F83B6B" w:rsidP="00941871">
            <w:pPr>
              <w:spacing w:after="0"/>
              <w:rPr>
                <w:rFonts w:eastAsia="Arial Narrow" w:cstheme="minorHAnsi"/>
              </w:rPr>
            </w:pPr>
            <w:r>
              <w:rPr>
                <w:rFonts w:eastAsia="Arial Narrow" w:cstheme="minorHAnsi"/>
              </w:rPr>
              <w:t>Vinogradi</w:t>
            </w:r>
          </w:p>
        </w:tc>
        <w:tc>
          <w:tcPr>
            <w:tcW w:w="1701" w:type="dxa"/>
            <w:hideMark/>
          </w:tcPr>
          <w:p w14:paraId="512C3144" w14:textId="77777777" w:rsidR="00F83B6B" w:rsidRDefault="00F83B6B" w:rsidP="00E9455B">
            <w:pPr>
              <w:spacing w:after="0"/>
              <w:jc w:val="right"/>
              <w:rPr>
                <w:rFonts w:eastAsia="Arial Narrow" w:cstheme="minorHAnsi"/>
              </w:rPr>
            </w:pPr>
            <w:r>
              <w:rPr>
                <w:rFonts w:eastAsia="Arial Narrow" w:cstheme="minorHAnsi"/>
              </w:rPr>
              <w:t>774</w:t>
            </w:r>
          </w:p>
        </w:tc>
        <w:tc>
          <w:tcPr>
            <w:tcW w:w="1417" w:type="dxa"/>
            <w:hideMark/>
          </w:tcPr>
          <w:p w14:paraId="276AE5C8" w14:textId="4B3FDEEE" w:rsidR="00F83B6B" w:rsidRDefault="00F83B6B" w:rsidP="00E9455B">
            <w:pPr>
              <w:spacing w:after="0"/>
              <w:jc w:val="right"/>
              <w:rPr>
                <w:rFonts w:eastAsia="Arial Narrow" w:cstheme="minorHAnsi"/>
              </w:rPr>
            </w:pPr>
            <w:r>
              <w:rPr>
                <w:rFonts w:eastAsia="Arial Narrow" w:cstheme="minorHAnsi"/>
              </w:rPr>
              <w:t>7</w:t>
            </w:r>
            <w:r w:rsidR="003A12CA">
              <w:rPr>
                <w:rFonts w:eastAsia="Arial Narrow" w:cstheme="minorHAnsi"/>
              </w:rPr>
              <w:t>39</w:t>
            </w:r>
            <w:r>
              <w:rPr>
                <w:rFonts w:eastAsia="Arial Narrow" w:cstheme="minorHAnsi"/>
              </w:rPr>
              <w:t>,</w:t>
            </w:r>
            <w:r w:rsidR="003A12CA">
              <w:rPr>
                <w:rFonts w:eastAsia="Arial Narrow" w:cstheme="minorHAnsi"/>
              </w:rPr>
              <w:t>99</w:t>
            </w:r>
          </w:p>
        </w:tc>
        <w:tc>
          <w:tcPr>
            <w:tcW w:w="1276" w:type="dxa"/>
            <w:hideMark/>
          </w:tcPr>
          <w:p w14:paraId="4AFDE898" w14:textId="77777777" w:rsidR="00F83B6B" w:rsidRDefault="00F83B6B" w:rsidP="00E9455B">
            <w:pPr>
              <w:spacing w:after="0"/>
              <w:jc w:val="right"/>
              <w:rPr>
                <w:rFonts w:eastAsia="Arial Narrow" w:cstheme="minorHAnsi"/>
              </w:rPr>
            </w:pPr>
            <w:r>
              <w:rPr>
                <w:rFonts w:eastAsia="Arial Narrow" w:cstheme="minorHAnsi"/>
              </w:rPr>
              <w:t>754,39</w:t>
            </w:r>
          </w:p>
        </w:tc>
        <w:tc>
          <w:tcPr>
            <w:tcW w:w="1417" w:type="dxa"/>
            <w:tcBorders>
              <w:right w:val="single" w:sz="8" w:space="0" w:color="D2232A"/>
            </w:tcBorders>
            <w:hideMark/>
          </w:tcPr>
          <w:p w14:paraId="09D0FF3D" w14:textId="77777777" w:rsidR="00F83B6B" w:rsidRDefault="00F83B6B" w:rsidP="00E9455B">
            <w:pPr>
              <w:spacing w:after="0"/>
              <w:jc w:val="right"/>
              <w:rPr>
                <w:rFonts w:eastAsia="Arial Narrow" w:cstheme="minorHAnsi"/>
              </w:rPr>
            </w:pPr>
            <w:r>
              <w:rPr>
                <w:rFonts w:eastAsia="Arial Narrow" w:cstheme="minorHAnsi"/>
              </w:rPr>
              <w:t>757,39</w:t>
            </w:r>
          </w:p>
        </w:tc>
        <w:tc>
          <w:tcPr>
            <w:tcW w:w="1134" w:type="dxa"/>
            <w:tcBorders>
              <w:right w:val="single" w:sz="8" w:space="0" w:color="D2232A"/>
            </w:tcBorders>
          </w:tcPr>
          <w:p w14:paraId="357E03A6" w14:textId="0A53E9B1" w:rsidR="00F83B6B" w:rsidRPr="00172E7A" w:rsidRDefault="00172E7A" w:rsidP="00E9455B">
            <w:pPr>
              <w:spacing w:after="0"/>
              <w:jc w:val="right"/>
              <w:rPr>
                <w:rFonts w:eastAsia="Arial Narrow" w:cstheme="minorHAnsi"/>
                <w:color w:val="auto"/>
              </w:rPr>
            </w:pPr>
            <w:r>
              <w:rPr>
                <w:rFonts w:eastAsia="Arial Narrow" w:cstheme="minorHAnsi"/>
                <w:color w:val="auto"/>
              </w:rPr>
              <w:t>726,88</w:t>
            </w:r>
          </w:p>
        </w:tc>
      </w:tr>
      <w:tr w:rsidR="00F83B6B" w14:paraId="58A49D9D" w14:textId="3E5ED4BE" w:rsidTr="00346E38">
        <w:tc>
          <w:tcPr>
            <w:tcW w:w="2122" w:type="dxa"/>
            <w:tcBorders>
              <w:left w:val="single" w:sz="8" w:space="0" w:color="D2232A"/>
            </w:tcBorders>
            <w:hideMark/>
          </w:tcPr>
          <w:p w14:paraId="75870C49" w14:textId="77777777" w:rsidR="00F83B6B" w:rsidRDefault="00F83B6B" w:rsidP="00941871">
            <w:pPr>
              <w:spacing w:after="0"/>
              <w:rPr>
                <w:rFonts w:eastAsia="Arial Narrow" w:cstheme="minorHAnsi"/>
              </w:rPr>
            </w:pPr>
            <w:r>
              <w:rPr>
                <w:rFonts w:eastAsia="Arial Narrow" w:cstheme="minorHAnsi"/>
              </w:rPr>
              <w:t>Iskrčeni vinogradi</w:t>
            </w:r>
          </w:p>
        </w:tc>
        <w:tc>
          <w:tcPr>
            <w:tcW w:w="1701" w:type="dxa"/>
            <w:hideMark/>
          </w:tcPr>
          <w:p w14:paraId="58EF3CE9" w14:textId="77777777" w:rsidR="00F83B6B" w:rsidRDefault="00F83B6B" w:rsidP="00E9455B">
            <w:pPr>
              <w:spacing w:after="0"/>
              <w:jc w:val="right"/>
              <w:rPr>
                <w:rFonts w:eastAsia="Arial Narrow" w:cstheme="minorHAnsi"/>
              </w:rPr>
            </w:pPr>
            <w:r>
              <w:rPr>
                <w:rFonts w:eastAsia="Arial Narrow" w:cstheme="minorHAnsi"/>
              </w:rPr>
              <w:t>-</w:t>
            </w:r>
          </w:p>
        </w:tc>
        <w:tc>
          <w:tcPr>
            <w:tcW w:w="1417" w:type="dxa"/>
            <w:hideMark/>
          </w:tcPr>
          <w:p w14:paraId="6D00A22A" w14:textId="77777777" w:rsidR="00F83B6B" w:rsidRDefault="00F83B6B" w:rsidP="00E9455B">
            <w:pPr>
              <w:spacing w:after="0"/>
              <w:jc w:val="right"/>
              <w:rPr>
                <w:rFonts w:eastAsia="Arial Narrow" w:cstheme="minorHAnsi"/>
              </w:rPr>
            </w:pPr>
            <w:r>
              <w:rPr>
                <w:rFonts w:eastAsia="Arial Narrow" w:cstheme="minorHAnsi"/>
              </w:rPr>
              <w:t>4,27</w:t>
            </w:r>
          </w:p>
        </w:tc>
        <w:tc>
          <w:tcPr>
            <w:tcW w:w="1276" w:type="dxa"/>
            <w:hideMark/>
          </w:tcPr>
          <w:p w14:paraId="4C5A1833" w14:textId="77777777" w:rsidR="00F83B6B" w:rsidRDefault="00F83B6B" w:rsidP="00E9455B">
            <w:pPr>
              <w:spacing w:after="0"/>
              <w:jc w:val="right"/>
              <w:rPr>
                <w:rFonts w:eastAsia="Arial Narrow" w:cstheme="minorHAnsi"/>
              </w:rPr>
            </w:pPr>
            <w:r>
              <w:rPr>
                <w:rFonts w:eastAsia="Arial Narrow" w:cstheme="minorHAnsi"/>
              </w:rPr>
              <w:t>4,66</w:t>
            </w:r>
          </w:p>
        </w:tc>
        <w:tc>
          <w:tcPr>
            <w:tcW w:w="1417" w:type="dxa"/>
            <w:tcBorders>
              <w:right w:val="single" w:sz="8" w:space="0" w:color="D2232A"/>
            </w:tcBorders>
            <w:hideMark/>
          </w:tcPr>
          <w:p w14:paraId="375F2895" w14:textId="77777777" w:rsidR="00F83B6B" w:rsidRDefault="00F83B6B" w:rsidP="00E9455B">
            <w:pPr>
              <w:spacing w:after="0"/>
              <w:jc w:val="right"/>
              <w:rPr>
                <w:rFonts w:eastAsia="Arial Narrow" w:cstheme="minorHAnsi"/>
              </w:rPr>
            </w:pPr>
            <w:r>
              <w:rPr>
                <w:rFonts w:eastAsia="Arial Narrow" w:cstheme="minorHAnsi"/>
              </w:rPr>
              <w:t>14,72</w:t>
            </w:r>
          </w:p>
        </w:tc>
        <w:tc>
          <w:tcPr>
            <w:tcW w:w="1134" w:type="dxa"/>
            <w:tcBorders>
              <w:right w:val="single" w:sz="8" w:space="0" w:color="D2232A"/>
            </w:tcBorders>
          </w:tcPr>
          <w:p w14:paraId="571443E8" w14:textId="7A20C936" w:rsidR="00F83B6B" w:rsidRPr="00172E7A" w:rsidRDefault="00172E7A" w:rsidP="00E9455B">
            <w:pPr>
              <w:spacing w:after="0"/>
              <w:jc w:val="right"/>
              <w:rPr>
                <w:rFonts w:eastAsia="Arial Narrow" w:cstheme="minorHAnsi"/>
                <w:color w:val="auto"/>
              </w:rPr>
            </w:pPr>
            <w:r>
              <w:rPr>
                <w:rFonts w:eastAsia="Arial Narrow" w:cstheme="minorHAnsi"/>
                <w:color w:val="auto"/>
              </w:rPr>
              <w:t>15,17</w:t>
            </w:r>
          </w:p>
        </w:tc>
      </w:tr>
      <w:tr w:rsidR="00F83B6B" w:rsidRPr="00172E7A" w14:paraId="10425B45" w14:textId="3F7DEEAD" w:rsidTr="00346E38">
        <w:tc>
          <w:tcPr>
            <w:tcW w:w="2122" w:type="dxa"/>
            <w:tcBorders>
              <w:left w:val="single" w:sz="8" w:space="0" w:color="D2232A"/>
            </w:tcBorders>
            <w:shd w:val="clear" w:color="auto" w:fill="auto"/>
            <w:hideMark/>
          </w:tcPr>
          <w:p w14:paraId="3E3F86CC" w14:textId="77777777" w:rsidR="00F83B6B" w:rsidRPr="008B4817" w:rsidRDefault="00F83B6B" w:rsidP="00941871">
            <w:pPr>
              <w:spacing w:after="0"/>
              <w:rPr>
                <w:rFonts w:eastAsia="Arial Narrow" w:cstheme="minorHAnsi"/>
              </w:rPr>
            </w:pPr>
            <w:r w:rsidRPr="008B4817">
              <w:rPr>
                <w:rFonts w:eastAsia="Arial Narrow" w:cstheme="minorHAnsi"/>
              </w:rPr>
              <w:t>Maslinik</w:t>
            </w:r>
          </w:p>
        </w:tc>
        <w:tc>
          <w:tcPr>
            <w:tcW w:w="1701" w:type="dxa"/>
            <w:shd w:val="clear" w:color="auto" w:fill="auto"/>
            <w:hideMark/>
          </w:tcPr>
          <w:p w14:paraId="26231621" w14:textId="77777777" w:rsidR="00F83B6B" w:rsidRPr="008B4817" w:rsidRDefault="00F83B6B" w:rsidP="00E9455B">
            <w:pPr>
              <w:spacing w:after="0"/>
              <w:jc w:val="right"/>
              <w:rPr>
                <w:rFonts w:eastAsia="Arial Narrow" w:cstheme="minorHAnsi"/>
              </w:rPr>
            </w:pPr>
            <w:r w:rsidRPr="008B4817">
              <w:rPr>
                <w:rFonts w:eastAsia="Arial Narrow" w:cstheme="minorHAnsi"/>
              </w:rPr>
              <w:t>-</w:t>
            </w:r>
          </w:p>
        </w:tc>
        <w:tc>
          <w:tcPr>
            <w:tcW w:w="1417" w:type="dxa"/>
            <w:shd w:val="clear" w:color="auto" w:fill="auto"/>
            <w:hideMark/>
          </w:tcPr>
          <w:p w14:paraId="2B14B78C" w14:textId="77777777" w:rsidR="00F83B6B" w:rsidRPr="008B4817" w:rsidRDefault="00F83B6B" w:rsidP="00E9455B">
            <w:pPr>
              <w:spacing w:after="0"/>
              <w:jc w:val="right"/>
              <w:rPr>
                <w:rFonts w:eastAsia="Arial Narrow" w:cstheme="minorHAnsi"/>
              </w:rPr>
            </w:pPr>
            <w:r w:rsidRPr="008B4817">
              <w:rPr>
                <w:rFonts w:eastAsia="Arial Narrow" w:cstheme="minorHAnsi"/>
              </w:rPr>
              <w:t>0,2</w:t>
            </w:r>
          </w:p>
        </w:tc>
        <w:tc>
          <w:tcPr>
            <w:tcW w:w="1276" w:type="dxa"/>
            <w:shd w:val="clear" w:color="auto" w:fill="auto"/>
            <w:hideMark/>
          </w:tcPr>
          <w:p w14:paraId="54D23B3E" w14:textId="77777777" w:rsidR="00F83B6B" w:rsidRPr="008B4817" w:rsidRDefault="00F83B6B" w:rsidP="00E9455B">
            <w:pPr>
              <w:spacing w:after="0"/>
              <w:jc w:val="right"/>
              <w:rPr>
                <w:rFonts w:eastAsia="Arial Narrow" w:cstheme="minorHAnsi"/>
              </w:rPr>
            </w:pPr>
            <w:r w:rsidRPr="008B4817">
              <w:rPr>
                <w:rFonts w:eastAsia="Arial Narrow" w:cstheme="minorHAnsi"/>
              </w:rPr>
              <w:t>0,07</w:t>
            </w:r>
          </w:p>
        </w:tc>
        <w:tc>
          <w:tcPr>
            <w:tcW w:w="1417" w:type="dxa"/>
            <w:tcBorders>
              <w:right w:val="single" w:sz="8" w:space="0" w:color="D2232A"/>
            </w:tcBorders>
            <w:shd w:val="clear" w:color="auto" w:fill="auto"/>
            <w:hideMark/>
          </w:tcPr>
          <w:p w14:paraId="20379B02" w14:textId="77777777" w:rsidR="00F83B6B" w:rsidRPr="008B4817" w:rsidRDefault="00F83B6B" w:rsidP="00E9455B">
            <w:pPr>
              <w:spacing w:after="0"/>
              <w:jc w:val="right"/>
              <w:rPr>
                <w:rFonts w:eastAsia="Arial Narrow" w:cstheme="minorHAnsi"/>
              </w:rPr>
            </w:pPr>
            <w:r w:rsidRPr="008B4817">
              <w:rPr>
                <w:rFonts w:eastAsia="Arial Narrow" w:cstheme="minorHAnsi"/>
              </w:rPr>
              <w:t>0,07</w:t>
            </w:r>
          </w:p>
        </w:tc>
        <w:tc>
          <w:tcPr>
            <w:tcW w:w="1134" w:type="dxa"/>
            <w:tcBorders>
              <w:right w:val="single" w:sz="8" w:space="0" w:color="D2232A"/>
            </w:tcBorders>
            <w:shd w:val="clear" w:color="auto" w:fill="auto"/>
          </w:tcPr>
          <w:p w14:paraId="5D3A430E" w14:textId="1C151437" w:rsidR="00F83B6B" w:rsidRPr="008B4817" w:rsidRDefault="00F72223" w:rsidP="00E9455B">
            <w:pPr>
              <w:spacing w:after="0"/>
              <w:jc w:val="right"/>
              <w:rPr>
                <w:rFonts w:eastAsia="Arial Narrow" w:cstheme="minorHAnsi"/>
                <w:color w:val="auto"/>
              </w:rPr>
            </w:pPr>
            <w:r w:rsidRPr="008B4817">
              <w:rPr>
                <w:rFonts w:eastAsia="Arial Narrow" w:cstheme="minorHAnsi"/>
                <w:color w:val="auto"/>
              </w:rPr>
              <w:t>-</w:t>
            </w:r>
          </w:p>
        </w:tc>
      </w:tr>
      <w:tr w:rsidR="00F83B6B" w14:paraId="20B7DD32" w14:textId="1F2B529E" w:rsidTr="00346E38">
        <w:tc>
          <w:tcPr>
            <w:tcW w:w="2122" w:type="dxa"/>
            <w:tcBorders>
              <w:left w:val="single" w:sz="8" w:space="0" w:color="D2232A"/>
            </w:tcBorders>
            <w:hideMark/>
          </w:tcPr>
          <w:p w14:paraId="5CB41ABD" w14:textId="42FE0E6E" w:rsidR="00F83B6B" w:rsidRDefault="00F83B6B" w:rsidP="00941871">
            <w:pPr>
              <w:spacing w:after="0"/>
              <w:rPr>
                <w:rFonts w:eastAsia="Arial Narrow" w:cstheme="minorHAnsi"/>
              </w:rPr>
            </w:pPr>
            <w:r>
              <w:rPr>
                <w:rFonts w:eastAsia="Arial Narrow" w:cstheme="minorHAnsi"/>
              </w:rPr>
              <w:t>Vo</w:t>
            </w:r>
            <w:r w:rsidR="003A12CA">
              <w:rPr>
                <w:rFonts w:eastAsia="Arial Narrow" w:cstheme="minorHAnsi"/>
              </w:rPr>
              <w:t>ćnjak</w:t>
            </w:r>
          </w:p>
        </w:tc>
        <w:tc>
          <w:tcPr>
            <w:tcW w:w="1701" w:type="dxa"/>
            <w:hideMark/>
          </w:tcPr>
          <w:p w14:paraId="0472B91A" w14:textId="77777777" w:rsidR="00F83B6B" w:rsidRDefault="00F83B6B" w:rsidP="00E9455B">
            <w:pPr>
              <w:spacing w:after="0"/>
              <w:jc w:val="right"/>
              <w:rPr>
                <w:rFonts w:eastAsia="Arial Narrow" w:cstheme="minorHAnsi"/>
              </w:rPr>
            </w:pPr>
            <w:r>
              <w:rPr>
                <w:rFonts w:eastAsia="Arial Narrow" w:cstheme="minorHAnsi"/>
              </w:rPr>
              <w:t>1.011,52</w:t>
            </w:r>
          </w:p>
        </w:tc>
        <w:tc>
          <w:tcPr>
            <w:tcW w:w="1417" w:type="dxa"/>
            <w:hideMark/>
          </w:tcPr>
          <w:p w14:paraId="4033D843" w14:textId="77777777" w:rsidR="00F83B6B" w:rsidRDefault="00F83B6B" w:rsidP="00E9455B">
            <w:pPr>
              <w:spacing w:after="0"/>
              <w:jc w:val="right"/>
              <w:rPr>
                <w:rFonts w:eastAsia="Arial Narrow" w:cstheme="minorHAnsi"/>
              </w:rPr>
            </w:pPr>
            <w:r>
              <w:rPr>
                <w:rFonts w:eastAsia="Arial Narrow" w:cstheme="minorHAnsi"/>
              </w:rPr>
              <w:t>1.010,74</w:t>
            </w:r>
          </w:p>
        </w:tc>
        <w:tc>
          <w:tcPr>
            <w:tcW w:w="1276" w:type="dxa"/>
            <w:hideMark/>
          </w:tcPr>
          <w:p w14:paraId="1FFC5690" w14:textId="77777777" w:rsidR="00F83B6B" w:rsidRDefault="00F83B6B" w:rsidP="00E9455B">
            <w:pPr>
              <w:spacing w:after="0"/>
              <w:jc w:val="right"/>
              <w:rPr>
                <w:rFonts w:eastAsia="Arial Narrow" w:cstheme="minorHAnsi"/>
              </w:rPr>
            </w:pPr>
            <w:r>
              <w:rPr>
                <w:rFonts w:eastAsia="Arial Narrow" w:cstheme="minorHAnsi"/>
              </w:rPr>
              <w:t>1.099,68</w:t>
            </w:r>
          </w:p>
        </w:tc>
        <w:tc>
          <w:tcPr>
            <w:tcW w:w="1417" w:type="dxa"/>
            <w:tcBorders>
              <w:right w:val="single" w:sz="8" w:space="0" w:color="D2232A"/>
            </w:tcBorders>
            <w:hideMark/>
          </w:tcPr>
          <w:p w14:paraId="2E918C15" w14:textId="77777777" w:rsidR="00F83B6B" w:rsidRDefault="00F83B6B" w:rsidP="00E9455B">
            <w:pPr>
              <w:spacing w:after="0"/>
              <w:jc w:val="right"/>
              <w:rPr>
                <w:rFonts w:eastAsia="Arial Narrow" w:cstheme="minorHAnsi"/>
              </w:rPr>
            </w:pPr>
            <w:r>
              <w:rPr>
                <w:rFonts w:eastAsia="Arial Narrow" w:cstheme="minorHAnsi"/>
              </w:rPr>
              <w:t>1.169,04</w:t>
            </w:r>
          </w:p>
        </w:tc>
        <w:tc>
          <w:tcPr>
            <w:tcW w:w="1134" w:type="dxa"/>
            <w:tcBorders>
              <w:right w:val="single" w:sz="8" w:space="0" w:color="D2232A"/>
            </w:tcBorders>
          </w:tcPr>
          <w:p w14:paraId="5C0D4BC4" w14:textId="5C20F135" w:rsidR="00F83B6B" w:rsidRPr="00172E7A" w:rsidRDefault="00172E7A" w:rsidP="00E9455B">
            <w:pPr>
              <w:spacing w:after="0"/>
              <w:jc w:val="right"/>
              <w:rPr>
                <w:rFonts w:eastAsia="Arial Narrow" w:cstheme="minorHAnsi"/>
                <w:color w:val="auto"/>
              </w:rPr>
            </w:pPr>
            <w:r>
              <w:rPr>
                <w:rFonts w:eastAsia="Arial Narrow" w:cstheme="minorHAnsi"/>
                <w:color w:val="auto"/>
              </w:rPr>
              <w:t>1195,19</w:t>
            </w:r>
          </w:p>
        </w:tc>
      </w:tr>
      <w:tr w:rsidR="00F83B6B" w14:paraId="7453FA41" w14:textId="05208C47" w:rsidTr="00346E38">
        <w:tc>
          <w:tcPr>
            <w:tcW w:w="2122" w:type="dxa"/>
            <w:tcBorders>
              <w:left w:val="single" w:sz="8" w:space="0" w:color="D2232A"/>
            </w:tcBorders>
            <w:hideMark/>
          </w:tcPr>
          <w:p w14:paraId="48AD794A" w14:textId="77777777" w:rsidR="00F83B6B" w:rsidRDefault="00F83B6B" w:rsidP="00941871">
            <w:pPr>
              <w:spacing w:after="0"/>
              <w:rPr>
                <w:rFonts w:eastAsia="Arial Narrow" w:cstheme="minorHAnsi"/>
              </w:rPr>
            </w:pPr>
            <w:r>
              <w:rPr>
                <w:rFonts w:eastAsia="Arial Narrow" w:cstheme="minorHAnsi"/>
              </w:rPr>
              <w:t>Kulture kratkih ophodnji</w:t>
            </w:r>
          </w:p>
        </w:tc>
        <w:tc>
          <w:tcPr>
            <w:tcW w:w="1701" w:type="dxa"/>
            <w:hideMark/>
          </w:tcPr>
          <w:p w14:paraId="4212F994" w14:textId="77777777" w:rsidR="00F83B6B" w:rsidRDefault="00F83B6B" w:rsidP="00E9455B">
            <w:pPr>
              <w:spacing w:after="0"/>
              <w:jc w:val="right"/>
              <w:rPr>
                <w:rFonts w:eastAsia="Arial Narrow" w:cstheme="minorHAnsi"/>
              </w:rPr>
            </w:pPr>
            <w:r>
              <w:rPr>
                <w:rFonts w:eastAsia="Arial Narrow" w:cstheme="minorHAnsi"/>
              </w:rPr>
              <w:t>-</w:t>
            </w:r>
          </w:p>
        </w:tc>
        <w:tc>
          <w:tcPr>
            <w:tcW w:w="1417" w:type="dxa"/>
            <w:hideMark/>
          </w:tcPr>
          <w:p w14:paraId="6CFD799B" w14:textId="77777777" w:rsidR="00F83B6B" w:rsidRDefault="00F83B6B" w:rsidP="00E9455B">
            <w:pPr>
              <w:spacing w:after="0"/>
              <w:jc w:val="right"/>
              <w:rPr>
                <w:rFonts w:eastAsia="Arial Narrow" w:cstheme="minorHAnsi"/>
              </w:rPr>
            </w:pPr>
            <w:r>
              <w:rPr>
                <w:rFonts w:eastAsia="Arial Narrow" w:cstheme="minorHAnsi"/>
              </w:rPr>
              <w:t>0,21</w:t>
            </w:r>
          </w:p>
        </w:tc>
        <w:tc>
          <w:tcPr>
            <w:tcW w:w="1276" w:type="dxa"/>
            <w:hideMark/>
          </w:tcPr>
          <w:p w14:paraId="532F1D27" w14:textId="77777777" w:rsidR="00F83B6B" w:rsidRDefault="00F83B6B" w:rsidP="00E9455B">
            <w:pPr>
              <w:spacing w:after="0"/>
              <w:jc w:val="right"/>
              <w:rPr>
                <w:rFonts w:eastAsia="Arial Narrow" w:cstheme="minorHAnsi"/>
              </w:rPr>
            </w:pPr>
            <w:r>
              <w:rPr>
                <w:rFonts w:eastAsia="Arial Narrow" w:cstheme="minorHAnsi"/>
              </w:rPr>
              <w:t>0,21</w:t>
            </w:r>
          </w:p>
        </w:tc>
        <w:tc>
          <w:tcPr>
            <w:tcW w:w="1417" w:type="dxa"/>
            <w:tcBorders>
              <w:right w:val="single" w:sz="8" w:space="0" w:color="D2232A"/>
            </w:tcBorders>
            <w:hideMark/>
          </w:tcPr>
          <w:p w14:paraId="517E4618" w14:textId="77777777" w:rsidR="00F83B6B" w:rsidRDefault="00F83B6B" w:rsidP="00E9455B">
            <w:pPr>
              <w:spacing w:after="0"/>
              <w:jc w:val="right"/>
              <w:rPr>
                <w:rFonts w:eastAsia="Arial Narrow" w:cstheme="minorHAnsi"/>
              </w:rPr>
            </w:pPr>
            <w:r>
              <w:rPr>
                <w:rFonts w:eastAsia="Arial Narrow" w:cstheme="minorHAnsi"/>
              </w:rPr>
              <w:t>0,21</w:t>
            </w:r>
          </w:p>
        </w:tc>
        <w:tc>
          <w:tcPr>
            <w:tcW w:w="1134" w:type="dxa"/>
            <w:tcBorders>
              <w:right w:val="single" w:sz="8" w:space="0" w:color="D2232A"/>
            </w:tcBorders>
          </w:tcPr>
          <w:p w14:paraId="4CB22CC0" w14:textId="2519D2EE" w:rsidR="00F83B6B" w:rsidRPr="00172E7A" w:rsidRDefault="00172E7A" w:rsidP="00E9455B">
            <w:pPr>
              <w:spacing w:after="0"/>
              <w:jc w:val="right"/>
              <w:rPr>
                <w:rFonts w:eastAsia="Arial Narrow" w:cstheme="minorHAnsi"/>
                <w:color w:val="auto"/>
              </w:rPr>
            </w:pPr>
            <w:r>
              <w:rPr>
                <w:rFonts w:eastAsia="Arial Narrow" w:cstheme="minorHAnsi"/>
                <w:color w:val="auto"/>
              </w:rPr>
              <w:t>0,66</w:t>
            </w:r>
          </w:p>
        </w:tc>
      </w:tr>
      <w:tr w:rsidR="00F83B6B" w14:paraId="3C31728F" w14:textId="6A6B9AFD" w:rsidTr="00346E38">
        <w:tc>
          <w:tcPr>
            <w:tcW w:w="2122" w:type="dxa"/>
            <w:tcBorders>
              <w:left w:val="single" w:sz="8" w:space="0" w:color="D2232A"/>
            </w:tcBorders>
            <w:hideMark/>
          </w:tcPr>
          <w:p w14:paraId="54B49343" w14:textId="77777777" w:rsidR="00F83B6B" w:rsidRDefault="00F83B6B" w:rsidP="00941871">
            <w:pPr>
              <w:spacing w:after="0"/>
              <w:rPr>
                <w:rFonts w:eastAsia="Arial Narrow" w:cstheme="minorHAnsi"/>
              </w:rPr>
            </w:pPr>
            <w:r>
              <w:rPr>
                <w:rFonts w:eastAsia="Arial Narrow" w:cstheme="minorHAnsi"/>
              </w:rPr>
              <w:t xml:space="preserve">Rasadnik </w:t>
            </w:r>
          </w:p>
        </w:tc>
        <w:tc>
          <w:tcPr>
            <w:tcW w:w="1701" w:type="dxa"/>
            <w:hideMark/>
          </w:tcPr>
          <w:p w14:paraId="2E8250BA" w14:textId="77777777" w:rsidR="00F83B6B" w:rsidRDefault="00F83B6B" w:rsidP="00E9455B">
            <w:pPr>
              <w:spacing w:after="0"/>
              <w:jc w:val="right"/>
              <w:rPr>
                <w:rFonts w:eastAsia="Arial Narrow" w:cstheme="minorHAnsi"/>
              </w:rPr>
            </w:pPr>
            <w:r>
              <w:rPr>
                <w:rFonts w:eastAsia="Arial Narrow" w:cstheme="minorHAnsi"/>
              </w:rPr>
              <w:t>-</w:t>
            </w:r>
          </w:p>
        </w:tc>
        <w:tc>
          <w:tcPr>
            <w:tcW w:w="1417" w:type="dxa"/>
            <w:hideMark/>
          </w:tcPr>
          <w:p w14:paraId="585FABD0" w14:textId="77777777" w:rsidR="00F83B6B" w:rsidRDefault="00F83B6B" w:rsidP="00E9455B">
            <w:pPr>
              <w:spacing w:after="0"/>
              <w:jc w:val="right"/>
              <w:rPr>
                <w:rFonts w:eastAsia="Arial Narrow" w:cstheme="minorHAnsi"/>
              </w:rPr>
            </w:pPr>
            <w:r>
              <w:rPr>
                <w:rFonts w:eastAsia="Arial Narrow" w:cstheme="minorHAnsi"/>
              </w:rPr>
              <w:t>0,58</w:t>
            </w:r>
          </w:p>
        </w:tc>
        <w:tc>
          <w:tcPr>
            <w:tcW w:w="1276" w:type="dxa"/>
            <w:hideMark/>
          </w:tcPr>
          <w:p w14:paraId="694F25E6" w14:textId="77777777" w:rsidR="00F83B6B" w:rsidRDefault="00F83B6B" w:rsidP="00E9455B">
            <w:pPr>
              <w:spacing w:after="0"/>
              <w:jc w:val="right"/>
              <w:rPr>
                <w:rFonts w:eastAsia="Arial Narrow" w:cstheme="minorHAnsi"/>
              </w:rPr>
            </w:pPr>
            <w:r>
              <w:rPr>
                <w:rFonts w:eastAsia="Arial Narrow" w:cstheme="minorHAnsi"/>
              </w:rPr>
              <w:t>0,58</w:t>
            </w:r>
          </w:p>
        </w:tc>
        <w:tc>
          <w:tcPr>
            <w:tcW w:w="1417" w:type="dxa"/>
            <w:tcBorders>
              <w:right w:val="single" w:sz="8" w:space="0" w:color="D2232A"/>
            </w:tcBorders>
            <w:hideMark/>
          </w:tcPr>
          <w:p w14:paraId="1C6DD281" w14:textId="77777777" w:rsidR="00F83B6B" w:rsidRDefault="00F83B6B" w:rsidP="00E9455B">
            <w:pPr>
              <w:spacing w:after="0"/>
              <w:jc w:val="right"/>
              <w:rPr>
                <w:rFonts w:eastAsia="Arial Narrow" w:cstheme="minorHAnsi"/>
              </w:rPr>
            </w:pPr>
            <w:r>
              <w:rPr>
                <w:rFonts w:eastAsia="Arial Narrow" w:cstheme="minorHAnsi"/>
              </w:rPr>
              <w:t>0,64</w:t>
            </w:r>
          </w:p>
        </w:tc>
        <w:tc>
          <w:tcPr>
            <w:tcW w:w="1134" w:type="dxa"/>
            <w:tcBorders>
              <w:right w:val="single" w:sz="8" w:space="0" w:color="D2232A"/>
            </w:tcBorders>
          </w:tcPr>
          <w:p w14:paraId="3D25C290" w14:textId="2AA39935" w:rsidR="00F83B6B" w:rsidRPr="00172E7A" w:rsidRDefault="00172E7A" w:rsidP="00E9455B">
            <w:pPr>
              <w:spacing w:after="0"/>
              <w:jc w:val="right"/>
              <w:rPr>
                <w:rFonts w:eastAsia="Arial Narrow" w:cstheme="minorHAnsi"/>
                <w:color w:val="auto"/>
              </w:rPr>
            </w:pPr>
            <w:r>
              <w:rPr>
                <w:rFonts w:eastAsia="Arial Narrow" w:cstheme="minorHAnsi"/>
                <w:color w:val="auto"/>
              </w:rPr>
              <w:t>0,86</w:t>
            </w:r>
          </w:p>
        </w:tc>
      </w:tr>
      <w:tr w:rsidR="00F83B6B" w14:paraId="77988528" w14:textId="6CA5E24E" w:rsidTr="00346E38">
        <w:tc>
          <w:tcPr>
            <w:tcW w:w="2122" w:type="dxa"/>
            <w:tcBorders>
              <w:left w:val="single" w:sz="8" w:space="0" w:color="D2232A"/>
            </w:tcBorders>
            <w:hideMark/>
          </w:tcPr>
          <w:p w14:paraId="5004ADAB" w14:textId="77777777" w:rsidR="00F83B6B" w:rsidRDefault="00F83B6B" w:rsidP="00941871">
            <w:pPr>
              <w:spacing w:after="0"/>
              <w:rPr>
                <w:rFonts w:eastAsia="Arial Narrow" w:cstheme="minorHAnsi"/>
              </w:rPr>
            </w:pPr>
            <w:r>
              <w:rPr>
                <w:rFonts w:eastAsia="Arial Narrow" w:cstheme="minorHAnsi"/>
              </w:rPr>
              <w:t>Miješani trajni nasadi</w:t>
            </w:r>
          </w:p>
        </w:tc>
        <w:tc>
          <w:tcPr>
            <w:tcW w:w="1701" w:type="dxa"/>
            <w:hideMark/>
          </w:tcPr>
          <w:p w14:paraId="5E874B2B" w14:textId="77777777" w:rsidR="00F83B6B" w:rsidRDefault="00F83B6B" w:rsidP="00E9455B">
            <w:pPr>
              <w:spacing w:after="0"/>
              <w:jc w:val="right"/>
              <w:rPr>
                <w:rFonts w:eastAsia="Arial Narrow" w:cstheme="minorHAnsi"/>
              </w:rPr>
            </w:pPr>
            <w:r>
              <w:rPr>
                <w:rFonts w:eastAsia="Arial Narrow" w:cstheme="minorHAnsi"/>
              </w:rPr>
              <w:t>61</w:t>
            </w:r>
          </w:p>
        </w:tc>
        <w:tc>
          <w:tcPr>
            <w:tcW w:w="1417" w:type="dxa"/>
            <w:hideMark/>
          </w:tcPr>
          <w:p w14:paraId="075B867E" w14:textId="77777777" w:rsidR="00F83B6B" w:rsidRDefault="00F83B6B" w:rsidP="00E9455B">
            <w:pPr>
              <w:spacing w:after="0"/>
              <w:jc w:val="right"/>
              <w:rPr>
                <w:rFonts w:eastAsia="Arial Narrow" w:cstheme="minorHAnsi"/>
              </w:rPr>
            </w:pPr>
            <w:r>
              <w:rPr>
                <w:rFonts w:eastAsia="Arial Narrow" w:cstheme="minorHAnsi"/>
              </w:rPr>
              <w:t>60,57</w:t>
            </w:r>
          </w:p>
        </w:tc>
        <w:tc>
          <w:tcPr>
            <w:tcW w:w="1276" w:type="dxa"/>
            <w:hideMark/>
          </w:tcPr>
          <w:p w14:paraId="5D434964" w14:textId="77777777" w:rsidR="00F83B6B" w:rsidRDefault="00F83B6B" w:rsidP="00E9455B">
            <w:pPr>
              <w:spacing w:after="0"/>
              <w:jc w:val="right"/>
              <w:rPr>
                <w:rFonts w:eastAsia="Arial Narrow" w:cstheme="minorHAnsi"/>
              </w:rPr>
            </w:pPr>
            <w:r>
              <w:rPr>
                <w:rFonts w:eastAsia="Arial Narrow" w:cstheme="minorHAnsi"/>
              </w:rPr>
              <w:t>64,22</w:t>
            </w:r>
          </w:p>
        </w:tc>
        <w:tc>
          <w:tcPr>
            <w:tcW w:w="1417" w:type="dxa"/>
            <w:tcBorders>
              <w:right w:val="single" w:sz="8" w:space="0" w:color="D2232A"/>
            </w:tcBorders>
            <w:hideMark/>
          </w:tcPr>
          <w:p w14:paraId="79637550" w14:textId="77777777" w:rsidR="00F83B6B" w:rsidRDefault="00F83B6B" w:rsidP="00E9455B">
            <w:pPr>
              <w:spacing w:after="0"/>
              <w:jc w:val="right"/>
              <w:rPr>
                <w:rFonts w:eastAsia="Arial Narrow" w:cstheme="minorHAnsi"/>
              </w:rPr>
            </w:pPr>
            <w:r>
              <w:rPr>
                <w:rFonts w:eastAsia="Arial Narrow" w:cstheme="minorHAnsi"/>
              </w:rPr>
              <w:t>66,44</w:t>
            </w:r>
          </w:p>
        </w:tc>
        <w:tc>
          <w:tcPr>
            <w:tcW w:w="1134" w:type="dxa"/>
            <w:tcBorders>
              <w:right w:val="single" w:sz="8" w:space="0" w:color="D2232A"/>
            </w:tcBorders>
          </w:tcPr>
          <w:p w14:paraId="32E7BBEE" w14:textId="534FBE8E" w:rsidR="00F83B6B" w:rsidRPr="00172E7A" w:rsidRDefault="00172E7A" w:rsidP="00E9455B">
            <w:pPr>
              <w:spacing w:after="0"/>
              <w:jc w:val="right"/>
              <w:rPr>
                <w:rFonts w:eastAsia="Arial Narrow" w:cstheme="minorHAnsi"/>
                <w:color w:val="auto"/>
              </w:rPr>
            </w:pPr>
            <w:r>
              <w:rPr>
                <w:rFonts w:eastAsia="Arial Narrow" w:cstheme="minorHAnsi"/>
                <w:color w:val="auto"/>
              </w:rPr>
              <w:t>67,63</w:t>
            </w:r>
          </w:p>
        </w:tc>
      </w:tr>
      <w:tr w:rsidR="00F83B6B" w14:paraId="70AB9926" w14:textId="7F215B05" w:rsidTr="00346E38">
        <w:tc>
          <w:tcPr>
            <w:tcW w:w="2122" w:type="dxa"/>
            <w:tcBorders>
              <w:left w:val="single" w:sz="8" w:space="0" w:color="D2232A"/>
            </w:tcBorders>
            <w:hideMark/>
          </w:tcPr>
          <w:p w14:paraId="31393C8E" w14:textId="77777777" w:rsidR="00F83B6B" w:rsidRDefault="00F83B6B" w:rsidP="00941871">
            <w:pPr>
              <w:spacing w:after="0"/>
              <w:rPr>
                <w:rFonts w:eastAsia="Arial Narrow" w:cstheme="minorHAnsi"/>
              </w:rPr>
            </w:pPr>
            <w:r>
              <w:rPr>
                <w:rFonts w:eastAsia="Arial Narrow" w:cstheme="minorHAnsi"/>
              </w:rPr>
              <w:t>Ostalo zemljište</w:t>
            </w:r>
          </w:p>
        </w:tc>
        <w:tc>
          <w:tcPr>
            <w:tcW w:w="1701" w:type="dxa"/>
            <w:hideMark/>
          </w:tcPr>
          <w:p w14:paraId="7BD4D226" w14:textId="77777777" w:rsidR="00F83B6B" w:rsidRDefault="00F83B6B" w:rsidP="00E9455B">
            <w:pPr>
              <w:spacing w:after="0"/>
              <w:jc w:val="right"/>
              <w:rPr>
                <w:rFonts w:eastAsia="Arial Narrow" w:cstheme="minorHAnsi"/>
              </w:rPr>
            </w:pPr>
            <w:r>
              <w:rPr>
                <w:rFonts w:eastAsia="Arial Narrow" w:cstheme="minorHAnsi"/>
              </w:rPr>
              <w:t>51</w:t>
            </w:r>
          </w:p>
        </w:tc>
        <w:tc>
          <w:tcPr>
            <w:tcW w:w="1417" w:type="dxa"/>
            <w:hideMark/>
          </w:tcPr>
          <w:p w14:paraId="2E8EEF58" w14:textId="77777777" w:rsidR="00F83B6B" w:rsidRDefault="00F83B6B" w:rsidP="00E9455B">
            <w:pPr>
              <w:spacing w:after="0"/>
              <w:jc w:val="right"/>
              <w:rPr>
                <w:rFonts w:eastAsia="Arial Narrow" w:cstheme="minorHAnsi"/>
              </w:rPr>
            </w:pPr>
            <w:r>
              <w:rPr>
                <w:rFonts w:eastAsia="Arial Narrow" w:cstheme="minorHAnsi"/>
              </w:rPr>
              <w:t>31,28</w:t>
            </w:r>
          </w:p>
        </w:tc>
        <w:tc>
          <w:tcPr>
            <w:tcW w:w="1276" w:type="dxa"/>
            <w:hideMark/>
          </w:tcPr>
          <w:p w14:paraId="3C80E068" w14:textId="77777777" w:rsidR="00F83B6B" w:rsidRDefault="00F83B6B" w:rsidP="00E9455B">
            <w:pPr>
              <w:spacing w:after="0"/>
              <w:jc w:val="right"/>
              <w:rPr>
                <w:rFonts w:eastAsia="Arial Narrow" w:cstheme="minorHAnsi"/>
              </w:rPr>
            </w:pPr>
            <w:r>
              <w:rPr>
                <w:rFonts w:eastAsia="Arial Narrow" w:cstheme="minorHAnsi"/>
              </w:rPr>
              <w:t>29,05</w:t>
            </w:r>
          </w:p>
        </w:tc>
        <w:tc>
          <w:tcPr>
            <w:tcW w:w="1417" w:type="dxa"/>
            <w:tcBorders>
              <w:right w:val="single" w:sz="8" w:space="0" w:color="D2232A"/>
            </w:tcBorders>
            <w:hideMark/>
          </w:tcPr>
          <w:p w14:paraId="372DBCAA" w14:textId="77777777" w:rsidR="00F83B6B" w:rsidRDefault="00F83B6B" w:rsidP="00E9455B">
            <w:pPr>
              <w:spacing w:after="0"/>
              <w:jc w:val="right"/>
              <w:rPr>
                <w:rFonts w:eastAsia="Arial Narrow" w:cstheme="minorHAnsi"/>
              </w:rPr>
            </w:pPr>
            <w:r>
              <w:rPr>
                <w:rFonts w:eastAsia="Arial Narrow" w:cstheme="minorHAnsi"/>
              </w:rPr>
              <w:t>28,02</w:t>
            </w:r>
          </w:p>
        </w:tc>
        <w:tc>
          <w:tcPr>
            <w:tcW w:w="1134" w:type="dxa"/>
            <w:tcBorders>
              <w:right w:val="single" w:sz="8" w:space="0" w:color="D2232A"/>
            </w:tcBorders>
          </w:tcPr>
          <w:p w14:paraId="3DADCC8C" w14:textId="05D3729D" w:rsidR="00F83B6B" w:rsidRPr="00172E7A" w:rsidRDefault="00172E7A" w:rsidP="00E9455B">
            <w:pPr>
              <w:spacing w:after="0"/>
              <w:jc w:val="right"/>
              <w:rPr>
                <w:rFonts w:eastAsia="Arial Narrow" w:cstheme="minorHAnsi"/>
                <w:color w:val="auto"/>
              </w:rPr>
            </w:pPr>
            <w:r>
              <w:rPr>
                <w:rFonts w:eastAsia="Arial Narrow" w:cstheme="minorHAnsi"/>
                <w:color w:val="auto"/>
              </w:rPr>
              <w:t>24,71</w:t>
            </w:r>
          </w:p>
        </w:tc>
      </w:tr>
      <w:tr w:rsidR="00F83B6B" w14:paraId="0F21CC24" w14:textId="77777777" w:rsidTr="00346E38">
        <w:tc>
          <w:tcPr>
            <w:tcW w:w="2122" w:type="dxa"/>
            <w:tcBorders>
              <w:left w:val="single" w:sz="8" w:space="0" w:color="D2232A"/>
            </w:tcBorders>
          </w:tcPr>
          <w:p w14:paraId="29AAFD45" w14:textId="60A49FB9" w:rsidR="00F83B6B" w:rsidRDefault="00F83B6B" w:rsidP="00941871">
            <w:pPr>
              <w:spacing w:after="0"/>
              <w:rPr>
                <w:rFonts w:eastAsia="Arial Narrow" w:cstheme="minorHAnsi"/>
              </w:rPr>
            </w:pPr>
            <w:r>
              <w:rPr>
                <w:rFonts w:eastAsia="Arial Narrow" w:cstheme="minorHAnsi"/>
              </w:rPr>
              <w:t>Neodržavano zemljište</w:t>
            </w:r>
          </w:p>
        </w:tc>
        <w:tc>
          <w:tcPr>
            <w:tcW w:w="1701" w:type="dxa"/>
          </w:tcPr>
          <w:p w14:paraId="1FC2F8CA" w14:textId="77777777" w:rsidR="00F83B6B" w:rsidRDefault="00F83B6B" w:rsidP="00E9455B">
            <w:pPr>
              <w:spacing w:after="0"/>
              <w:jc w:val="right"/>
              <w:rPr>
                <w:rFonts w:eastAsia="Arial Narrow" w:cstheme="minorHAnsi"/>
              </w:rPr>
            </w:pPr>
          </w:p>
        </w:tc>
        <w:tc>
          <w:tcPr>
            <w:tcW w:w="1417" w:type="dxa"/>
          </w:tcPr>
          <w:p w14:paraId="15CF241E" w14:textId="77777777" w:rsidR="00F83B6B" w:rsidRDefault="00F83B6B" w:rsidP="00E9455B">
            <w:pPr>
              <w:spacing w:after="0"/>
              <w:jc w:val="right"/>
              <w:rPr>
                <w:rFonts w:eastAsia="Arial Narrow" w:cstheme="minorHAnsi"/>
              </w:rPr>
            </w:pPr>
          </w:p>
        </w:tc>
        <w:tc>
          <w:tcPr>
            <w:tcW w:w="1276" w:type="dxa"/>
          </w:tcPr>
          <w:p w14:paraId="46A9585B" w14:textId="77777777" w:rsidR="00F83B6B" w:rsidRDefault="00F83B6B" w:rsidP="00E9455B">
            <w:pPr>
              <w:spacing w:after="0"/>
              <w:jc w:val="right"/>
              <w:rPr>
                <w:rFonts w:eastAsia="Arial Narrow" w:cstheme="minorHAnsi"/>
              </w:rPr>
            </w:pPr>
          </w:p>
        </w:tc>
        <w:tc>
          <w:tcPr>
            <w:tcW w:w="1417" w:type="dxa"/>
            <w:tcBorders>
              <w:right w:val="single" w:sz="8" w:space="0" w:color="D2232A"/>
            </w:tcBorders>
          </w:tcPr>
          <w:p w14:paraId="69AF8382" w14:textId="65567B13" w:rsidR="00F83B6B" w:rsidRDefault="003A12CA" w:rsidP="00E9455B">
            <w:pPr>
              <w:spacing w:after="0"/>
              <w:jc w:val="right"/>
              <w:rPr>
                <w:rFonts w:eastAsia="Arial Narrow" w:cstheme="minorHAnsi"/>
              </w:rPr>
            </w:pPr>
            <w:r>
              <w:rPr>
                <w:rFonts w:eastAsia="Arial Narrow" w:cstheme="minorHAnsi"/>
              </w:rPr>
              <w:t>18,20</w:t>
            </w:r>
          </w:p>
        </w:tc>
        <w:tc>
          <w:tcPr>
            <w:tcW w:w="1134" w:type="dxa"/>
            <w:tcBorders>
              <w:right w:val="single" w:sz="8" w:space="0" w:color="D2232A"/>
            </w:tcBorders>
          </w:tcPr>
          <w:p w14:paraId="0D54F403" w14:textId="423CD796" w:rsidR="00F83B6B" w:rsidRDefault="003A12CA" w:rsidP="00E9455B">
            <w:pPr>
              <w:spacing w:after="0"/>
              <w:jc w:val="right"/>
              <w:rPr>
                <w:rFonts w:eastAsia="Arial Narrow" w:cstheme="minorHAnsi"/>
              </w:rPr>
            </w:pPr>
            <w:r>
              <w:rPr>
                <w:rFonts w:eastAsia="Arial Narrow" w:cstheme="minorHAnsi"/>
              </w:rPr>
              <w:t>102,48</w:t>
            </w:r>
          </w:p>
        </w:tc>
      </w:tr>
      <w:tr w:rsidR="00F83B6B" w14:paraId="4C6D7C26" w14:textId="4F8CE8E8" w:rsidTr="00346E38">
        <w:tc>
          <w:tcPr>
            <w:tcW w:w="2122" w:type="dxa"/>
            <w:tcBorders>
              <w:left w:val="single" w:sz="8" w:space="0" w:color="D2232A"/>
              <w:bottom w:val="nil"/>
            </w:tcBorders>
            <w:shd w:val="clear" w:color="auto" w:fill="E5E5E5" w:themeFill="text1" w:themeFillTint="33"/>
            <w:hideMark/>
          </w:tcPr>
          <w:p w14:paraId="021F4D61" w14:textId="77777777" w:rsidR="00F83B6B" w:rsidRDefault="00F83B6B" w:rsidP="00941871">
            <w:pPr>
              <w:spacing w:after="0"/>
              <w:rPr>
                <w:rFonts w:eastAsia="Arial Narrow" w:cstheme="minorHAnsi"/>
              </w:rPr>
            </w:pPr>
            <w:r>
              <w:rPr>
                <w:rFonts w:eastAsia="Arial Narrow" w:cstheme="minorHAnsi"/>
              </w:rPr>
              <w:t>UKUPNO</w:t>
            </w:r>
          </w:p>
        </w:tc>
        <w:tc>
          <w:tcPr>
            <w:tcW w:w="1701" w:type="dxa"/>
            <w:tcBorders>
              <w:bottom w:val="nil"/>
            </w:tcBorders>
            <w:shd w:val="clear" w:color="auto" w:fill="E5E5E5" w:themeFill="text1" w:themeFillTint="33"/>
            <w:hideMark/>
          </w:tcPr>
          <w:p w14:paraId="05E83E69" w14:textId="77777777" w:rsidR="00F83B6B" w:rsidRDefault="00F83B6B" w:rsidP="00E9455B">
            <w:pPr>
              <w:spacing w:after="0"/>
              <w:jc w:val="right"/>
              <w:rPr>
                <w:rFonts w:eastAsia="Arial Narrow" w:cstheme="minorHAnsi"/>
              </w:rPr>
            </w:pPr>
            <w:r>
              <w:rPr>
                <w:rFonts w:eastAsia="Arial Narrow" w:cstheme="minorHAnsi"/>
              </w:rPr>
              <w:t>20.042,52</w:t>
            </w:r>
          </w:p>
        </w:tc>
        <w:tc>
          <w:tcPr>
            <w:tcW w:w="1417" w:type="dxa"/>
            <w:tcBorders>
              <w:bottom w:val="nil"/>
            </w:tcBorders>
            <w:shd w:val="clear" w:color="auto" w:fill="E5E5E5" w:themeFill="text1" w:themeFillTint="33"/>
            <w:hideMark/>
          </w:tcPr>
          <w:p w14:paraId="39AEF027" w14:textId="0BD2B428" w:rsidR="00F83B6B" w:rsidRDefault="00F83B6B" w:rsidP="00E9455B">
            <w:pPr>
              <w:spacing w:after="0"/>
              <w:jc w:val="right"/>
              <w:rPr>
                <w:rFonts w:eastAsia="Arial Narrow" w:cstheme="minorHAnsi"/>
              </w:rPr>
            </w:pPr>
            <w:r>
              <w:rPr>
                <w:rFonts w:eastAsia="Arial Narrow" w:cstheme="minorHAnsi"/>
              </w:rPr>
              <w:t>19.580,</w:t>
            </w:r>
            <w:r w:rsidR="003A12CA">
              <w:rPr>
                <w:rFonts w:eastAsia="Arial Narrow" w:cstheme="minorHAnsi"/>
              </w:rPr>
              <w:t>79</w:t>
            </w:r>
          </w:p>
        </w:tc>
        <w:tc>
          <w:tcPr>
            <w:tcW w:w="1276" w:type="dxa"/>
            <w:tcBorders>
              <w:bottom w:val="nil"/>
            </w:tcBorders>
            <w:shd w:val="clear" w:color="auto" w:fill="E5E5E5" w:themeFill="text1" w:themeFillTint="33"/>
            <w:hideMark/>
          </w:tcPr>
          <w:p w14:paraId="073FE6DF" w14:textId="77777777" w:rsidR="00F83B6B" w:rsidRDefault="00F83B6B" w:rsidP="00E9455B">
            <w:pPr>
              <w:spacing w:after="0"/>
              <w:jc w:val="right"/>
              <w:rPr>
                <w:rFonts w:eastAsia="Arial Narrow" w:cstheme="minorHAnsi"/>
              </w:rPr>
            </w:pPr>
            <w:r>
              <w:rPr>
                <w:rFonts w:eastAsia="Arial Narrow" w:cstheme="minorHAnsi"/>
              </w:rPr>
              <w:t>20.513,08</w:t>
            </w:r>
          </w:p>
        </w:tc>
        <w:tc>
          <w:tcPr>
            <w:tcW w:w="1417" w:type="dxa"/>
            <w:tcBorders>
              <w:bottom w:val="nil"/>
              <w:right w:val="single" w:sz="8" w:space="0" w:color="D2232A"/>
            </w:tcBorders>
            <w:shd w:val="clear" w:color="auto" w:fill="E5E5E5" w:themeFill="text1" w:themeFillTint="33"/>
            <w:hideMark/>
          </w:tcPr>
          <w:p w14:paraId="3988B3FB" w14:textId="77777777" w:rsidR="00F83B6B" w:rsidRDefault="00F83B6B" w:rsidP="00E9455B">
            <w:pPr>
              <w:spacing w:after="0"/>
              <w:jc w:val="right"/>
              <w:rPr>
                <w:rFonts w:eastAsia="Arial Narrow" w:cstheme="minorHAnsi"/>
              </w:rPr>
            </w:pPr>
            <w:r>
              <w:rPr>
                <w:rFonts w:eastAsia="Arial Narrow" w:cstheme="minorHAnsi"/>
              </w:rPr>
              <w:t>21.283,94</w:t>
            </w:r>
          </w:p>
        </w:tc>
        <w:tc>
          <w:tcPr>
            <w:tcW w:w="1134" w:type="dxa"/>
            <w:tcBorders>
              <w:bottom w:val="nil"/>
              <w:right w:val="single" w:sz="8" w:space="0" w:color="D2232A"/>
            </w:tcBorders>
            <w:shd w:val="clear" w:color="auto" w:fill="E5E5E5" w:themeFill="text1" w:themeFillTint="33"/>
          </w:tcPr>
          <w:p w14:paraId="6BCFE226" w14:textId="063D9C37" w:rsidR="00F83B6B" w:rsidRDefault="00172E7A" w:rsidP="00E9455B">
            <w:pPr>
              <w:spacing w:after="0"/>
              <w:jc w:val="right"/>
              <w:rPr>
                <w:rFonts w:eastAsia="Arial Narrow" w:cstheme="minorHAnsi"/>
              </w:rPr>
            </w:pPr>
            <w:r>
              <w:rPr>
                <w:rFonts w:eastAsia="Arial Narrow" w:cstheme="minorHAnsi"/>
              </w:rPr>
              <w:t>21.699,84</w:t>
            </w:r>
          </w:p>
        </w:tc>
      </w:tr>
    </w:tbl>
    <w:p w14:paraId="1F40A116" w14:textId="1A38FA1B" w:rsidR="008878A0" w:rsidRPr="00BD0057" w:rsidRDefault="008878A0" w:rsidP="00BD0057">
      <w:pPr>
        <w:autoSpaceDE w:val="0"/>
        <w:autoSpaceDN w:val="0"/>
        <w:adjustRightInd w:val="0"/>
        <w:spacing w:after="0" w:line="240" w:lineRule="auto"/>
        <w:rPr>
          <w:rFonts w:eastAsia="ArialNarrow" w:cstheme="minorHAnsi"/>
          <w:i/>
          <w:color w:val="ABABAB" w:themeColor="text1" w:themeTint="A6"/>
          <w:sz w:val="16"/>
          <w:szCs w:val="16"/>
        </w:rPr>
      </w:pPr>
      <w:r w:rsidRPr="00BD0057">
        <w:rPr>
          <w:rFonts w:eastAsia="ArialNarrow" w:cstheme="minorHAnsi"/>
          <w:i/>
          <w:color w:val="ABABAB" w:themeColor="text1" w:themeTint="A6"/>
          <w:sz w:val="16"/>
          <w:szCs w:val="16"/>
        </w:rPr>
        <w:t>Izvor: ARKOD, 2015. -2018. godina, obrada autora</w:t>
      </w:r>
      <w:r w:rsidR="00F83B6B" w:rsidRPr="00BD0057">
        <w:rPr>
          <w:rFonts w:eastAsia="ArialNarrow" w:cstheme="minorHAnsi"/>
          <w:i/>
          <w:color w:val="ABABAB" w:themeColor="text1" w:themeTint="A6"/>
          <w:sz w:val="16"/>
          <w:szCs w:val="16"/>
        </w:rPr>
        <w:t>; Analiza stanja u poljoprivredi Krapinsko- zagorske županije za razdoblje 2017.</w:t>
      </w:r>
      <w:r w:rsidR="00A43499">
        <w:rPr>
          <w:rFonts w:eastAsia="ArialNarrow" w:cstheme="minorHAnsi"/>
          <w:i/>
          <w:color w:val="ABABAB" w:themeColor="text1" w:themeTint="A6"/>
          <w:sz w:val="16"/>
          <w:szCs w:val="16"/>
        </w:rPr>
        <w:t xml:space="preserve"> </w:t>
      </w:r>
      <w:r w:rsidR="00F83B6B" w:rsidRPr="00BD0057">
        <w:rPr>
          <w:rFonts w:eastAsia="ArialNarrow" w:cstheme="minorHAnsi"/>
          <w:i/>
          <w:color w:val="ABABAB" w:themeColor="text1" w:themeTint="A6"/>
          <w:sz w:val="16"/>
          <w:szCs w:val="16"/>
        </w:rPr>
        <w:t>-</w:t>
      </w:r>
      <w:r w:rsidR="00A43499">
        <w:rPr>
          <w:rFonts w:eastAsia="ArialNarrow" w:cstheme="minorHAnsi"/>
          <w:i/>
          <w:color w:val="ABABAB" w:themeColor="text1" w:themeTint="A6"/>
          <w:sz w:val="16"/>
          <w:szCs w:val="16"/>
        </w:rPr>
        <w:t xml:space="preserve"> </w:t>
      </w:r>
      <w:r w:rsidR="00F83B6B" w:rsidRPr="00BD0057">
        <w:rPr>
          <w:rFonts w:eastAsia="ArialNarrow" w:cstheme="minorHAnsi"/>
          <w:i/>
          <w:color w:val="ABABAB" w:themeColor="text1" w:themeTint="A6"/>
          <w:sz w:val="16"/>
          <w:szCs w:val="16"/>
        </w:rPr>
        <w:t>2020. godine, listopad 2020, Upravni odjel za gospodarstvo, poljoprivredu, turizam i komunalnu infrastrukturu</w:t>
      </w:r>
    </w:p>
    <w:p w14:paraId="7AE06D79" w14:textId="77777777" w:rsidR="00DD670B" w:rsidRDefault="00DD670B" w:rsidP="00941871">
      <w:pPr>
        <w:spacing w:line="283" w:lineRule="auto"/>
        <w:ind w:right="232"/>
        <w:rPr>
          <w:rFonts w:eastAsia="Arial Narrow" w:cstheme="minorHAnsi"/>
          <w:spacing w:val="-1"/>
        </w:rPr>
      </w:pPr>
    </w:p>
    <w:p w14:paraId="2CE4E0ED" w14:textId="72689072" w:rsidR="006C429C" w:rsidRDefault="008878A0" w:rsidP="00941871">
      <w:pPr>
        <w:spacing w:line="283" w:lineRule="auto"/>
        <w:ind w:right="232"/>
        <w:rPr>
          <w:rFonts w:eastAsia="Arial Narrow" w:cstheme="minorHAnsi"/>
        </w:rPr>
      </w:pPr>
      <w:r>
        <w:rPr>
          <w:rFonts w:eastAsia="Arial Narrow" w:cstheme="minorHAnsi"/>
          <w:spacing w:val="-1"/>
        </w:rPr>
        <w:t>P</w:t>
      </w:r>
      <w:r>
        <w:rPr>
          <w:rFonts w:eastAsia="Arial Narrow" w:cstheme="minorHAnsi"/>
        </w:rPr>
        <w:t>rema</w:t>
      </w:r>
      <w:r>
        <w:rPr>
          <w:rFonts w:eastAsia="Arial Narrow" w:cstheme="minorHAnsi"/>
          <w:spacing w:val="4"/>
        </w:rPr>
        <w:t xml:space="preserve"> </w:t>
      </w:r>
      <w:r>
        <w:rPr>
          <w:rFonts w:eastAsia="Arial Narrow" w:cstheme="minorHAnsi"/>
        </w:rPr>
        <w:t>po</w:t>
      </w:r>
      <w:r>
        <w:rPr>
          <w:rFonts w:eastAsia="Arial Narrow" w:cstheme="minorHAnsi"/>
          <w:spacing w:val="-2"/>
        </w:rPr>
        <w:t>d</w:t>
      </w:r>
      <w:r>
        <w:rPr>
          <w:rFonts w:eastAsia="Arial Narrow" w:cstheme="minorHAnsi"/>
        </w:rPr>
        <w:t>a</w:t>
      </w:r>
      <w:r>
        <w:rPr>
          <w:rFonts w:eastAsia="Arial Narrow" w:cstheme="minorHAnsi"/>
          <w:spacing w:val="1"/>
        </w:rPr>
        <w:t>c</w:t>
      </w:r>
      <w:r>
        <w:rPr>
          <w:rFonts w:eastAsia="Arial Narrow" w:cstheme="minorHAnsi"/>
          <w:spacing w:val="-2"/>
        </w:rPr>
        <w:t>i</w:t>
      </w:r>
      <w:r>
        <w:rPr>
          <w:rFonts w:eastAsia="Arial Narrow" w:cstheme="minorHAnsi"/>
        </w:rPr>
        <w:t>ma</w:t>
      </w:r>
      <w:r>
        <w:rPr>
          <w:rFonts w:eastAsia="Arial Narrow" w:cstheme="minorHAnsi"/>
          <w:spacing w:val="2"/>
        </w:rPr>
        <w:t xml:space="preserve"> </w:t>
      </w:r>
      <w:r>
        <w:rPr>
          <w:rFonts w:eastAsia="Arial Narrow" w:cstheme="minorHAnsi"/>
          <w:spacing w:val="1"/>
        </w:rPr>
        <w:t>i</w:t>
      </w:r>
      <w:r>
        <w:rPr>
          <w:rFonts w:eastAsia="Arial Narrow" w:cstheme="minorHAnsi"/>
        </w:rPr>
        <w:t>z</w:t>
      </w:r>
      <w:r>
        <w:rPr>
          <w:rFonts w:eastAsia="Arial Narrow" w:cstheme="minorHAnsi"/>
          <w:spacing w:val="5"/>
        </w:rPr>
        <w:t xml:space="preserve"> </w:t>
      </w:r>
      <w:r w:rsidRPr="00DC62F6">
        <w:rPr>
          <w:rFonts w:eastAsia="Arial Narrow" w:cstheme="minorHAnsi"/>
          <w:spacing w:val="-2"/>
        </w:rPr>
        <w:t>2</w:t>
      </w:r>
      <w:r w:rsidRPr="00DC62F6">
        <w:rPr>
          <w:rFonts w:eastAsia="Arial Narrow" w:cstheme="minorHAnsi"/>
        </w:rPr>
        <w:t>01</w:t>
      </w:r>
      <w:r w:rsidR="00DC62F6" w:rsidRPr="00DC62F6">
        <w:rPr>
          <w:rFonts w:eastAsia="Arial Narrow" w:cstheme="minorHAnsi"/>
        </w:rPr>
        <w:t>9</w:t>
      </w:r>
      <w:r w:rsidRPr="00DC62F6">
        <w:rPr>
          <w:rFonts w:eastAsia="Arial Narrow" w:cstheme="minorHAnsi"/>
        </w:rPr>
        <w:t>.</w:t>
      </w:r>
      <w:r>
        <w:rPr>
          <w:rFonts w:eastAsia="Arial Narrow" w:cstheme="minorHAnsi"/>
          <w:spacing w:val="2"/>
        </w:rPr>
        <w:t xml:space="preserve"> </w:t>
      </w:r>
      <w:r>
        <w:rPr>
          <w:rFonts w:eastAsia="Arial Narrow" w:cstheme="minorHAnsi"/>
        </w:rPr>
        <w:t>go</w:t>
      </w:r>
      <w:r>
        <w:rPr>
          <w:rFonts w:eastAsia="Arial Narrow" w:cstheme="minorHAnsi"/>
          <w:spacing w:val="-2"/>
        </w:rPr>
        <w:t>d</w:t>
      </w:r>
      <w:r>
        <w:rPr>
          <w:rFonts w:eastAsia="Arial Narrow" w:cstheme="minorHAnsi"/>
          <w:spacing w:val="1"/>
        </w:rPr>
        <w:t>i</w:t>
      </w:r>
      <w:r>
        <w:rPr>
          <w:rFonts w:eastAsia="Arial Narrow" w:cstheme="minorHAnsi"/>
        </w:rPr>
        <w:t>ne,</w:t>
      </w:r>
      <w:r>
        <w:rPr>
          <w:rFonts w:eastAsia="Arial Narrow" w:cstheme="minorHAnsi"/>
          <w:spacing w:val="4"/>
        </w:rPr>
        <w:t xml:space="preserve"> </w:t>
      </w:r>
      <w:r>
        <w:rPr>
          <w:rFonts w:eastAsia="Arial Narrow" w:cstheme="minorHAnsi"/>
        </w:rPr>
        <w:t>n</w:t>
      </w:r>
      <w:r>
        <w:rPr>
          <w:rFonts w:eastAsia="Arial Narrow" w:cstheme="minorHAnsi"/>
          <w:spacing w:val="-2"/>
        </w:rPr>
        <w:t>a</w:t>
      </w:r>
      <w:r>
        <w:rPr>
          <w:rFonts w:eastAsia="Arial Narrow" w:cstheme="minorHAnsi"/>
          <w:spacing w:val="1"/>
        </w:rPr>
        <w:t>jv</w:t>
      </w:r>
      <w:r>
        <w:rPr>
          <w:rFonts w:eastAsia="Arial Narrow" w:cstheme="minorHAnsi"/>
          <w:spacing w:val="-2"/>
        </w:rPr>
        <w:t>e</w:t>
      </w:r>
      <w:r>
        <w:rPr>
          <w:rFonts w:eastAsia="Arial Narrow" w:cstheme="minorHAnsi"/>
          <w:spacing w:val="1"/>
        </w:rPr>
        <w:t>ć</w:t>
      </w:r>
      <w:r>
        <w:rPr>
          <w:rFonts w:eastAsia="Arial Narrow" w:cstheme="minorHAnsi"/>
        </w:rPr>
        <w:t>i</w:t>
      </w:r>
      <w:r>
        <w:rPr>
          <w:rFonts w:eastAsia="Arial Narrow" w:cstheme="minorHAnsi"/>
          <w:spacing w:val="2"/>
        </w:rPr>
        <w:t xml:space="preserve"> </w:t>
      </w:r>
      <w:r>
        <w:rPr>
          <w:rFonts w:eastAsia="Arial Narrow" w:cstheme="minorHAnsi"/>
        </w:rPr>
        <w:t>broj</w:t>
      </w:r>
      <w:r>
        <w:rPr>
          <w:rFonts w:eastAsia="Arial Narrow" w:cstheme="minorHAnsi"/>
          <w:spacing w:val="3"/>
        </w:rPr>
        <w:t xml:space="preserve"> </w:t>
      </w:r>
      <w:r>
        <w:rPr>
          <w:rFonts w:eastAsia="Arial Narrow" w:cstheme="minorHAnsi"/>
          <w:spacing w:val="1"/>
        </w:rPr>
        <w:t xml:space="preserve">poljoprivrednih gospodarstava </w:t>
      </w:r>
      <w:r>
        <w:rPr>
          <w:rFonts w:eastAsia="Arial Narrow" w:cstheme="minorHAnsi"/>
          <w:spacing w:val="-2"/>
        </w:rPr>
        <w:t>i</w:t>
      </w:r>
      <w:r>
        <w:rPr>
          <w:rFonts w:eastAsia="Arial Narrow" w:cstheme="minorHAnsi"/>
        </w:rPr>
        <w:t>mao</w:t>
      </w:r>
      <w:r>
        <w:rPr>
          <w:rFonts w:eastAsia="Arial Narrow" w:cstheme="minorHAnsi"/>
          <w:spacing w:val="4"/>
        </w:rPr>
        <w:t xml:space="preserve"> </w:t>
      </w:r>
      <w:r>
        <w:rPr>
          <w:rFonts w:eastAsia="Arial Narrow" w:cstheme="minorHAnsi"/>
          <w:spacing w:val="-2"/>
        </w:rPr>
        <w:t>j</w:t>
      </w:r>
      <w:r>
        <w:rPr>
          <w:rFonts w:eastAsia="Arial Narrow" w:cstheme="minorHAnsi"/>
        </w:rPr>
        <w:t>e</w:t>
      </w:r>
      <w:r>
        <w:rPr>
          <w:rFonts w:eastAsia="Arial Narrow" w:cstheme="minorHAnsi"/>
          <w:spacing w:val="2"/>
        </w:rPr>
        <w:t xml:space="preserve"> </w:t>
      </w:r>
      <w:r>
        <w:rPr>
          <w:rFonts w:eastAsia="Arial Narrow" w:cstheme="minorHAnsi"/>
        </w:rPr>
        <w:t>po</w:t>
      </w:r>
      <w:r>
        <w:rPr>
          <w:rFonts w:eastAsia="Arial Narrow" w:cstheme="minorHAnsi"/>
          <w:spacing w:val="-2"/>
        </w:rPr>
        <w:t>s</w:t>
      </w:r>
      <w:r>
        <w:rPr>
          <w:rFonts w:eastAsia="Arial Narrow" w:cstheme="minorHAnsi"/>
          <w:spacing w:val="1"/>
        </w:rPr>
        <w:t>j</w:t>
      </w:r>
      <w:r>
        <w:rPr>
          <w:rFonts w:eastAsia="Arial Narrow" w:cstheme="minorHAnsi"/>
        </w:rPr>
        <w:t>ed</w:t>
      </w:r>
      <w:r w:rsidR="00E13FB4">
        <w:rPr>
          <w:rFonts w:eastAsia="Arial Narrow" w:cstheme="minorHAnsi"/>
        </w:rPr>
        <w:t>e</w:t>
      </w:r>
      <w:r>
        <w:rPr>
          <w:rFonts w:eastAsia="Arial Narrow" w:cstheme="minorHAnsi"/>
        </w:rPr>
        <w:t xml:space="preserve"> do</w:t>
      </w:r>
      <w:r>
        <w:rPr>
          <w:rFonts w:eastAsia="Arial Narrow" w:cstheme="minorHAnsi"/>
          <w:spacing w:val="4"/>
        </w:rPr>
        <w:t xml:space="preserve"> </w:t>
      </w:r>
      <w:r>
        <w:rPr>
          <w:rFonts w:eastAsia="Arial Narrow" w:cstheme="minorHAnsi"/>
        </w:rPr>
        <w:t>3 ha</w:t>
      </w:r>
      <w:r>
        <w:rPr>
          <w:rFonts w:eastAsia="Arial Narrow" w:cstheme="minorHAnsi"/>
          <w:spacing w:val="4"/>
        </w:rPr>
        <w:t xml:space="preserve"> </w:t>
      </w:r>
      <w:r w:rsidRPr="00DC62F6">
        <w:rPr>
          <w:rFonts w:eastAsia="Arial Narrow" w:cstheme="minorHAnsi"/>
        </w:rPr>
        <w:t>(</w:t>
      </w:r>
      <w:r w:rsidR="00DC62F6" w:rsidRPr="00DC62F6">
        <w:rPr>
          <w:rFonts w:eastAsia="Arial Narrow" w:cstheme="minorHAnsi"/>
        </w:rPr>
        <w:t>80</w:t>
      </w:r>
      <w:r w:rsidRPr="00DC62F6">
        <w:rPr>
          <w:rFonts w:eastAsia="Arial Narrow" w:cstheme="minorHAnsi"/>
          <w:spacing w:val="2"/>
        </w:rPr>
        <w:t>%</w:t>
      </w:r>
      <w:r w:rsidRPr="00DC62F6">
        <w:rPr>
          <w:rFonts w:eastAsia="Arial Narrow" w:cstheme="minorHAnsi"/>
        </w:rPr>
        <w:t>)</w:t>
      </w:r>
      <w:r w:rsidR="00E13FB4" w:rsidRPr="00DC62F6">
        <w:rPr>
          <w:rFonts w:eastAsia="Arial Narrow" w:cstheme="minorHAnsi"/>
        </w:rPr>
        <w:t>.</w:t>
      </w:r>
      <w:r w:rsidR="00E13FB4">
        <w:rPr>
          <w:rFonts w:eastAsia="Arial Narrow" w:cstheme="minorHAnsi"/>
        </w:rPr>
        <w:t xml:space="preserve"> </w:t>
      </w:r>
      <w:r w:rsidR="00E13FB4">
        <w:rPr>
          <w:rFonts w:eastAsia="Arial Narrow" w:cstheme="minorHAnsi"/>
          <w:spacing w:val="1"/>
        </w:rPr>
        <w:t>S</w:t>
      </w:r>
      <w:r>
        <w:rPr>
          <w:rFonts w:eastAsia="Arial Narrow" w:cstheme="minorHAnsi"/>
          <w:spacing w:val="1"/>
        </w:rPr>
        <w:t>l</w:t>
      </w:r>
      <w:r>
        <w:rPr>
          <w:rFonts w:eastAsia="Arial Narrow" w:cstheme="minorHAnsi"/>
          <w:spacing w:val="-2"/>
        </w:rPr>
        <w:t>i</w:t>
      </w:r>
      <w:r>
        <w:rPr>
          <w:rFonts w:eastAsia="Arial Narrow" w:cstheme="minorHAnsi"/>
          <w:spacing w:val="1"/>
        </w:rPr>
        <w:t>j</w:t>
      </w:r>
      <w:r>
        <w:rPr>
          <w:rFonts w:eastAsia="Arial Narrow" w:cstheme="minorHAnsi"/>
        </w:rPr>
        <w:t xml:space="preserve">ede </w:t>
      </w:r>
      <w:r>
        <w:rPr>
          <w:rFonts w:eastAsia="Arial Narrow" w:cstheme="minorHAnsi"/>
          <w:spacing w:val="1"/>
        </w:rPr>
        <w:t xml:space="preserve">gospodarstva </w:t>
      </w:r>
      <w:r>
        <w:rPr>
          <w:rFonts w:eastAsia="Arial Narrow" w:cstheme="minorHAnsi"/>
        </w:rPr>
        <w:t>s</w:t>
      </w:r>
      <w:r>
        <w:rPr>
          <w:rFonts w:eastAsia="Arial Narrow" w:cstheme="minorHAnsi"/>
          <w:spacing w:val="1"/>
        </w:rPr>
        <w:t xml:space="preserve"> </w:t>
      </w:r>
      <w:r>
        <w:rPr>
          <w:rFonts w:eastAsia="Arial Narrow" w:cstheme="minorHAnsi"/>
        </w:rPr>
        <w:t>p</w:t>
      </w:r>
      <w:r>
        <w:rPr>
          <w:rFonts w:eastAsia="Arial Narrow" w:cstheme="minorHAnsi"/>
          <w:spacing w:val="-2"/>
        </w:rPr>
        <w:t>o</w:t>
      </w:r>
      <w:r>
        <w:rPr>
          <w:rFonts w:eastAsia="Arial Narrow" w:cstheme="minorHAnsi"/>
          <w:spacing w:val="1"/>
        </w:rPr>
        <w:t>sj</w:t>
      </w:r>
      <w:r>
        <w:rPr>
          <w:rFonts w:eastAsia="Arial Narrow" w:cstheme="minorHAnsi"/>
        </w:rPr>
        <w:t>e</w:t>
      </w:r>
      <w:r>
        <w:rPr>
          <w:rFonts w:eastAsia="Arial Narrow" w:cstheme="minorHAnsi"/>
          <w:spacing w:val="-2"/>
        </w:rPr>
        <w:t>d</w:t>
      </w:r>
      <w:r>
        <w:rPr>
          <w:rFonts w:eastAsia="Arial Narrow" w:cstheme="minorHAnsi"/>
          <w:spacing w:val="1"/>
        </w:rPr>
        <w:t>i</w:t>
      </w:r>
      <w:r>
        <w:rPr>
          <w:rFonts w:eastAsia="Arial Narrow" w:cstheme="minorHAnsi"/>
        </w:rPr>
        <w:t>ma</w:t>
      </w:r>
      <w:r>
        <w:rPr>
          <w:rFonts w:eastAsia="Arial Narrow" w:cstheme="minorHAnsi"/>
          <w:spacing w:val="1"/>
        </w:rPr>
        <w:t xml:space="preserve"> </w:t>
      </w:r>
      <w:r>
        <w:rPr>
          <w:rFonts w:eastAsia="Arial Narrow" w:cstheme="minorHAnsi"/>
          <w:spacing w:val="-2"/>
        </w:rPr>
        <w:t>v</w:t>
      </w:r>
      <w:r>
        <w:rPr>
          <w:rFonts w:eastAsia="Arial Narrow" w:cstheme="minorHAnsi"/>
        </w:rPr>
        <w:t>e</w:t>
      </w:r>
      <w:r>
        <w:rPr>
          <w:rFonts w:eastAsia="Arial Narrow" w:cstheme="minorHAnsi"/>
          <w:spacing w:val="1"/>
        </w:rPr>
        <w:t>l</w:t>
      </w:r>
      <w:r>
        <w:rPr>
          <w:rFonts w:eastAsia="Arial Narrow" w:cstheme="minorHAnsi"/>
          <w:spacing w:val="-2"/>
        </w:rPr>
        <w:t>i</w:t>
      </w:r>
      <w:r>
        <w:rPr>
          <w:rFonts w:eastAsia="Arial Narrow" w:cstheme="minorHAnsi"/>
          <w:spacing w:val="1"/>
        </w:rPr>
        <w:t>či</w:t>
      </w:r>
      <w:r>
        <w:rPr>
          <w:rFonts w:eastAsia="Arial Narrow" w:cstheme="minorHAnsi"/>
          <w:spacing w:val="-2"/>
        </w:rPr>
        <w:t>n</w:t>
      </w:r>
      <w:r>
        <w:rPr>
          <w:rFonts w:eastAsia="Arial Narrow" w:cstheme="minorHAnsi"/>
        </w:rPr>
        <w:t>e</w:t>
      </w:r>
      <w:r>
        <w:rPr>
          <w:rFonts w:eastAsia="Arial Narrow" w:cstheme="minorHAnsi"/>
          <w:spacing w:val="3"/>
        </w:rPr>
        <w:t xml:space="preserve"> </w:t>
      </w:r>
      <w:r w:rsidR="00DC62F6">
        <w:rPr>
          <w:rFonts w:eastAsia="Arial Narrow" w:cstheme="minorHAnsi"/>
        </w:rPr>
        <w:t>od</w:t>
      </w:r>
      <w:r>
        <w:rPr>
          <w:rFonts w:eastAsia="Arial Narrow" w:cstheme="minorHAnsi"/>
        </w:rPr>
        <w:t xml:space="preserve"> 3 do 20 ha - njih </w:t>
      </w:r>
      <w:r w:rsidR="00DC62F6">
        <w:rPr>
          <w:rFonts w:eastAsia="Arial Narrow" w:cstheme="minorHAnsi"/>
        </w:rPr>
        <w:t>19</w:t>
      </w:r>
      <w:r>
        <w:rPr>
          <w:rFonts w:eastAsia="Arial Narrow" w:cstheme="minorHAnsi"/>
        </w:rPr>
        <w:t>%. Broj gospodarstava koje obrađuju površinu veću od 20 hektara  tj. od 20</w:t>
      </w:r>
      <w:r w:rsidR="00743E93">
        <w:rPr>
          <w:rFonts w:eastAsia="Arial Narrow" w:cstheme="minorHAnsi"/>
        </w:rPr>
        <w:t xml:space="preserve"> do 100 ha je gotovo zanemariv, </w:t>
      </w:r>
      <w:r w:rsidR="00DC62F6">
        <w:rPr>
          <w:rFonts w:eastAsia="Arial Narrow" w:cstheme="minorHAnsi"/>
        </w:rPr>
        <w:t>60</w:t>
      </w:r>
      <w:r w:rsidR="00743E93">
        <w:rPr>
          <w:rFonts w:eastAsia="Arial Narrow" w:cstheme="minorHAnsi"/>
        </w:rPr>
        <w:t xml:space="preserve"> gospodarstava odnosno 0,</w:t>
      </w:r>
      <w:r w:rsidR="00DC62F6">
        <w:rPr>
          <w:rFonts w:eastAsia="Arial Narrow" w:cstheme="minorHAnsi"/>
        </w:rPr>
        <w:t>7</w:t>
      </w:r>
      <w:r w:rsidR="00743E93">
        <w:rPr>
          <w:rFonts w:eastAsia="Arial Narrow" w:cstheme="minorHAnsi"/>
        </w:rPr>
        <w:t>%</w:t>
      </w:r>
      <w:r w:rsidR="00C66B2A">
        <w:rPr>
          <w:rFonts w:eastAsia="Arial Narrow" w:cstheme="minorHAnsi"/>
        </w:rPr>
        <w:t>, dok</w:t>
      </w:r>
      <w:r>
        <w:rPr>
          <w:rFonts w:eastAsia="Arial Narrow" w:cstheme="minorHAnsi"/>
        </w:rPr>
        <w:t xml:space="preserve"> </w:t>
      </w:r>
      <w:r w:rsidR="00C66B2A">
        <w:rPr>
          <w:rFonts w:eastAsia="Arial Narrow" w:cstheme="minorHAnsi"/>
        </w:rPr>
        <w:t>p</w:t>
      </w:r>
      <w:r>
        <w:rPr>
          <w:rFonts w:eastAsia="Arial Narrow" w:cstheme="minorHAnsi"/>
        </w:rPr>
        <w:t xml:space="preserve">ovršinu veću </w:t>
      </w:r>
      <w:r w:rsidR="001433BA">
        <w:rPr>
          <w:rFonts w:eastAsia="Arial Narrow" w:cstheme="minorHAnsi"/>
        </w:rPr>
        <w:t xml:space="preserve">od </w:t>
      </w:r>
      <w:r>
        <w:rPr>
          <w:rFonts w:eastAsia="Arial Narrow" w:cstheme="minorHAnsi"/>
        </w:rPr>
        <w:t>100 hektara obrađuj</w:t>
      </w:r>
      <w:r w:rsidR="00DC62F6">
        <w:rPr>
          <w:rFonts w:eastAsia="Arial Narrow" w:cstheme="minorHAnsi"/>
        </w:rPr>
        <w:t>e</w:t>
      </w:r>
      <w:r>
        <w:rPr>
          <w:rFonts w:eastAsia="Arial Narrow" w:cstheme="minorHAnsi"/>
        </w:rPr>
        <w:t xml:space="preserve"> </w:t>
      </w:r>
      <w:r w:rsidR="00C66B2A">
        <w:rPr>
          <w:rFonts w:eastAsia="Arial Narrow" w:cstheme="minorHAnsi"/>
        </w:rPr>
        <w:t>tek</w:t>
      </w:r>
      <w:r>
        <w:rPr>
          <w:rFonts w:eastAsia="Arial Narrow" w:cstheme="minorHAnsi"/>
        </w:rPr>
        <w:t xml:space="preserve"> </w:t>
      </w:r>
      <w:r w:rsidR="00DC62F6">
        <w:rPr>
          <w:rFonts w:eastAsia="Arial Narrow" w:cstheme="minorHAnsi"/>
        </w:rPr>
        <w:t>5</w:t>
      </w:r>
      <w:r>
        <w:rPr>
          <w:rFonts w:eastAsia="Arial Narrow" w:cstheme="minorHAnsi"/>
        </w:rPr>
        <w:t xml:space="preserve"> gospodarst</w:t>
      </w:r>
      <w:r w:rsidR="00DC62F6">
        <w:rPr>
          <w:rFonts w:eastAsia="Arial Narrow" w:cstheme="minorHAnsi"/>
        </w:rPr>
        <w:t>a</w:t>
      </w:r>
      <w:r>
        <w:rPr>
          <w:rFonts w:eastAsia="Arial Narrow" w:cstheme="minorHAnsi"/>
        </w:rPr>
        <w:t>va</w:t>
      </w:r>
      <w:r w:rsidR="00C66B2A">
        <w:rPr>
          <w:rFonts w:eastAsia="Arial Narrow" w:cstheme="minorHAnsi"/>
        </w:rPr>
        <w:t>,</w:t>
      </w:r>
      <w:r>
        <w:rPr>
          <w:rFonts w:eastAsia="Arial Narrow" w:cstheme="minorHAnsi"/>
        </w:rPr>
        <w:t xml:space="preserve"> tj. 0,0</w:t>
      </w:r>
      <w:r w:rsidR="00DC62F6">
        <w:rPr>
          <w:rFonts w:eastAsia="Arial Narrow" w:cstheme="minorHAnsi"/>
        </w:rPr>
        <w:t>6</w:t>
      </w:r>
      <w:r>
        <w:rPr>
          <w:rFonts w:eastAsia="Arial Narrow" w:cstheme="minorHAnsi"/>
        </w:rPr>
        <w:t xml:space="preserve">%. </w:t>
      </w:r>
      <w:r w:rsidR="006C429C">
        <w:rPr>
          <w:rFonts w:eastAsia="Arial Narrow" w:cstheme="minorHAnsi"/>
        </w:rPr>
        <w:t>Usporedbom podataka iz prethodnih godina utvrđeno je kako se veličina posjeda i broj gos</w:t>
      </w:r>
      <w:r w:rsidR="00D33E58">
        <w:rPr>
          <w:rFonts w:eastAsia="Arial Narrow" w:cstheme="minorHAnsi"/>
        </w:rPr>
        <w:t>podarstva koja obrađuju</w:t>
      </w:r>
      <w:r w:rsidR="006C429C">
        <w:rPr>
          <w:rFonts w:eastAsia="Arial Narrow" w:cstheme="minorHAnsi"/>
        </w:rPr>
        <w:t xml:space="preserve"> posjede određenih veličina gotovo uopće nisu promijenili.</w:t>
      </w:r>
    </w:p>
    <w:p w14:paraId="0D709652" w14:textId="7569831C" w:rsidR="008878A0" w:rsidRDefault="008878A0" w:rsidP="00941871">
      <w:pPr>
        <w:spacing w:line="283" w:lineRule="auto"/>
        <w:ind w:right="232"/>
        <w:rPr>
          <w:rFonts w:eastAsia="Arial Narrow" w:cstheme="minorHAnsi"/>
        </w:rPr>
      </w:pPr>
      <w:r>
        <w:rPr>
          <w:rFonts w:eastAsia="Arial Narrow" w:cstheme="minorHAnsi"/>
        </w:rPr>
        <w:t xml:space="preserve">Usporedbom s prosjekom </w:t>
      </w:r>
      <w:r w:rsidR="006C429C">
        <w:rPr>
          <w:rFonts w:eastAsia="Arial Narrow" w:cstheme="minorHAnsi"/>
        </w:rPr>
        <w:t xml:space="preserve">veličine posjeda </w:t>
      </w:r>
      <w:r>
        <w:rPr>
          <w:rFonts w:eastAsia="Arial Narrow" w:cstheme="minorHAnsi"/>
        </w:rPr>
        <w:t>na razini čitave RH vidljivo je da je u Krapinsko-zagorskoj županiji značajno veći broj malih posjeda.</w:t>
      </w:r>
    </w:p>
    <w:p w14:paraId="52A18D5D" w14:textId="34E7E36F" w:rsidR="00A7185B" w:rsidRDefault="00A7185B" w:rsidP="00A7185B">
      <w:pPr>
        <w:pStyle w:val="Opisslike"/>
      </w:pPr>
      <w:r w:rsidRPr="00A7185B">
        <w:lastRenderedPageBreak/>
        <w:t xml:space="preserve">Grafikon </w:t>
      </w:r>
      <w:r w:rsidR="000061E9">
        <w:t>63</w:t>
      </w:r>
      <w:r w:rsidRPr="00A7185B">
        <w:t>. Usporedba postotnog udjela poljoprivrednih gospodarstava prema veličini posjeda</w:t>
      </w:r>
    </w:p>
    <w:p w14:paraId="02A0DA08" w14:textId="2C73E891" w:rsidR="00743E93" w:rsidRDefault="002B56C6" w:rsidP="00941871">
      <w:pPr>
        <w:spacing w:line="283" w:lineRule="auto"/>
        <w:ind w:right="232"/>
        <w:rPr>
          <w:rFonts w:eastAsia="Arial Narrow" w:cstheme="minorHAnsi"/>
          <w:sz w:val="22"/>
          <w:szCs w:val="22"/>
        </w:rPr>
      </w:pPr>
      <w:r>
        <w:rPr>
          <w:rFonts w:eastAsiaTheme="minorHAnsi"/>
          <w:noProof/>
          <w:lang w:eastAsia="hr-HR"/>
        </w:rPr>
        <w:drawing>
          <wp:inline distT="0" distB="0" distL="0" distR="0" wp14:anchorId="79985D21" wp14:editId="5CEC2618">
            <wp:extent cx="5638800" cy="2762250"/>
            <wp:effectExtent l="0" t="0" r="0" b="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443DEF06" w14:textId="5B4D6D9F" w:rsidR="008878A0" w:rsidRPr="00BD0057" w:rsidRDefault="008878A0" w:rsidP="00BD0057">
      <w:pPr>
        <w:autoSpaceDE w:val="0"/>
        <w:autoSpaceDN w:val="0"/>
        <w:adjustRightInd w:val="0"/>
        <w:spacing w:after="0" w:line="240" w:lineRule="auto"/>
        <w:rPr>
          <w:rFonts w:eastAsia="ArialNarrow" w:cstheme="minorHAnsi"/>
          <w:i/>
          <w:color w:val="ABABAB" w:themeColor="text1" w:themeTint="A6"/>
          <w:sz w:val="16"/>
          <w:szCs w:val="16"/>
        </w:rPr>
      </w:pPr>
      <w:r w:rsidRPr="00BD0057">
        <w:rPr>
          <w:rFonts w:eastAsia="ArialNarrow" w:cstheme="minorHAnsi"/>
          <w:i/>
          <w:color w:val="ABABAB" w:themeColor="text1" w:themeTint="A6"/>
          <w:sz w:val="16"/>
          <w:szCs w:val="16"/>
        </w:rPr>
        <w:t>Izvod: ARKOD 2018. godina, obrada autora</w:t>
      </w:r>
    </w:p>
    <w:p w14:paraId="4473512A" w14:textId="1B250060" w:rsidR="00DD670B" w:rsidRDefault="00DD670B" w:rsidP="00855D8D">
      <w:pPr>
        <w:pStyle w:val="Izvor"/>
      </w:pPr>
    </w:p>
    <w:p w14:paraId="17078BAE" w14:textId="588F3CED" w:rsidR="008878A0" w:rsidRDefault="003952B9" w:rsidP="0052192B">
      <w:pPr>
        <w:pStyle w:val="Naslov2"/>
      </w:pPr>
      <w:bookmarkStart w:id="198" w:name="_Hlk54868852"/>
      <w:bookmarkStart w:id="199" w:name="_Toc85181357"/>
      <w:r>
        <w:t>1</w:t>
      </w:r>
      <w:r w:rsidR="00B601EE">
        <w:t>2</w:t>
      </w:r>
      <w:r w:rsidR="008878A0">
        <w:t>.</w:t>
      </w:r>
      <w:r w:rsidR="00AF50EF">
        <w:t>2</w:t>
      </w:r>
      <w:r w:rsidR="008878A0">
        <w:t>. Voćarstvo i vinogradarstvo</w:t>
      </w:r>
      <w:bookmarkEnd w:id="199"/>
    </w:p>
    <w:bookmarkEnd w:id="198"/>
    <w:p w14:paraId="5A688739" w14:textId="77777777" w:rsidR="00CE4C36" w:rsidRDefault="00CE4C36" w:rsidP="00CE4C36">
      <w:pPr>
        <w:spacing w:line="283" w:lineRule="auto"/>
        <w:ind w:right="232"/>
        <w:rPr>
          <w:rFonts w:eastAsia="Arial Narrow" w:cstheme="minorHAnsi"/>
          <w:spacing w:val="-1"/>
        </w:rPr>
      </w:pPr>
    </w:p>
    <w:p w14:paraId="13765803" w14:textId="5899E483" w:rsidR="0067236F" w:rsidRPr="00F06B40" w:rsidRDefault="00CE4C36" w:rsidP="0067236F">
      <w:pPr>
        <w:rPr>
          <w:rFonts w:ascii="Calibri" w:hAnsi="Calibri"/>
          <w:color w:val="FF0000"/>
          <w:sz w:val="22"/>
        </w:rPr>
      </w:pPr>
      <w:r>
        <w:rPr>
          <w:rFonts w:eastAsia="Arial Narrow" w:cstheme="minorHAnsi"/>
          <w:spacing w:val="-1"/>
        </w:rPr>
        <w:t>Područje K</w:t>
      </w:r>
      <w:r>
        <w:rPr>
          <w:rFonts w:eastAsia="Arial Narrow" w:cstheme="minorHAnsi"/>
        </w:rPr>
        <w:t>rap</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o-</w:t>
      </w:r>
      <w:r>
        <w:rPr>
          <w:rFonts w:eastAsia="Arial Narrow" w:cstheme="minorHAnsi"/>
          <w:spacing w:val="1"/>
        </w:rPr>
        <w:t>z</w:t>
      </w:r>
      <w:r>
        <w:rPr>
          <w:rFonts w:eastAsia="Arial Narrow" w:cstheme="minorHAnsi"/>
        </w:rPr>
        <w:t>a</w:t>
      </w:r>
      <w:r>
        <w:rPr>
          <w:rFonts w:eastAsia="Arial Narrow" w:cstheme="minorHAnsi"/>
          <w:spacing w:val="-2"/>
        </w:rPr>
        <w:t>g</w:t>
      </w:r>
      <w:r>
        <w:rPr>
          <w:rFonts w:eastAsia="Arial Narrow" w:cstheme="minorHAnsi"/>
        </w:rPr>
        <w:t>or</w:t>
      </w:r>
      <w:r>
        <w:rPr>
          <w:rFonts w:eastAsia="Arial Narrow" w:cstheme="minorHAnsi"/>
          <w:spacing w:val="1"/>
        </w:rPr>
        <w:t>s</w:t>
      </w:r>
      <w:r>
        <w:rPr>
          <w:rFonts w:eastAsia="Arial Narrow" w:cstheme="minorHAnsi"/>
          <w:spacing w:val="-2"/>
        </w:rPr>
        <w:t>k</w:t>
      </w:r>
      <w:r>
        <w:rPr>
          <w:rFonts w:eastAsia="Arial Narrow" w:cstheme="minorHAnsi"/>
        </w:rPr>
        <w:t>e</w:t>
      </w:r>
      <w:r>
        <w:rPr>
          <w:rFonts w:eastAsia="Arial Narrow" w:cstheme="minorHAnsi"/>
          <w:spacing w:val="3"/>
        </w:rPr>
        <w:t xml:space="preserve"> </w:t>
      </w:r>
      <w:r>
        <w:rPr>
          <w:rFonts w:eastAsia="Arial Narrow" w:cstheme="minorHAnsi"/>
          <w:spacing w:val="1"/>
        </w:rPr>
        <w:t>ž</w:t>
      </w:r>
      <w:r>
        <w:rPr>
          <w:rFonts w:eastAsia="Arial Narrow" w:cstheme="minorHAnsi"/>
          <w:spacing w:val="-2"/>
        </w:rPr>
        <w:t>u</w:t>
      </w:r>
      <w:r>
        <w:rPr>
          <w:rFonts w:eastAsia="Arial Narrow" w:cstheme="minorHAnsi"/>
        </w:rPr>
        <w:t>pan</w:t>
      </w:r>
      <w:r>
        <w:rPr>
          <w:rFonts w:eastAsia="Arial Narrow" w:cstheme="minorHAnsi"/>
          <w:spacing w:val="-2"/>
        </w:rPr>
        <w:t>i</w:t>
      </w:r>
      <w:r>
        <w:rPr>
          <w:rFonts w:eastAsia="Arial Narrow" w:cstheme="minorHAnsi"/>
          <w:spacing w:val="1"/>
        </w:rPr>
        <w:t>j</w:t>
      </w:r>
      <w:r>
        <w:rPr>
          <w:rFonts w:eastAsia="Arial Narrow" w:cstheme="minorHAnsi"/>
        </w:rPr>
        <w:t>e</w:t>
      </w:r>
      <w:r>
        <w:rPr>
          <w:rFonts w:eastAsia="Arial Narrow" w:cstheme="minorHAnsi"/>
          <w:spacing w:val="3"/>
        </w:rPr>
        <w:t xml:space="preserve"> </w:t>
      </w:r>
      <w:r>
        <w:rPr>
          <w:rFonts w:eastAsia="Arial Narrow" w:cstheme="minorHAnsi"/>
          <w:spacing w:val="-2"/>
        </w:rPr>
        <w:t>j</w:t>
      </w:r>
      <w:r>
        <w:rPr>
          <w:rFonts w:eastAsia="Arial Narrow" w:cstheme="minorHAnsi"/>
        </w:rPr>
        <w:t>e</w:t>
      </w:r>
      <w:r>
        <w:rPr>
          <w:rFonts w:eastAsia="Arial Narrow" w:cstheme="minorHAnsi"/>
          <w:spacing w:val="3"/>
        </w:rPr>
        <w:t xml:space="preserve"> </w:t>
      </w:r>
      <w:r>
        <w:rPr>
          <w:rFonts w:eastAsia="Arial Narrow" w:cstheme="minorHAnsi"/>
        </w:rPr>
        <w:t>trad</w:t>
      </w:r>
      <w:r>
        <w:rPr>
          <w:rFonts w:eastAsia="Arial Narrow" w:cstheme="minorHAnsi"/>
          <w:spacing w:val="-2"/>
        </w:rPr>
        <w:t>i</w:t>
      </w:r>
      <w:r>
        <w:rPr>
          <w:rFonts w:eastAsia="Arial Narrow" w:cstheme="minorHAnsi"/>
          <w:spacing w:val="1"/>
        </w:rPr>
        <w:t>ci</w:t>
      </w:r>
      <w:r>
        <w:rPr>
          <w:rFonts w:eastAsia="Arial Narrow" w:cstheme="minorHAnsi"/>
        </w:rPr>
        <w:t>on</w:t>
      </w:r>
      <w:r>
        <w:rPr>
          <w:rFonts w:eastAsia="Arial Narrow" w:cstheme="minorHAnsi"/>
          <w:spacing w:val="-2"/>
        </w:rPr>
        <w:t>a</w:t>
      </w:r>
      <w:r>
        <w:rPr>
          <w:rFonts w:eastAsia="Arial Narrow" w:cstheme="minorHAnsi"/>
          <w:spacing w:val="1"/>
        </w:rPr>
        <w:t>l</w:t>
      </w:r>
      <w:r>
        <w:rPr>
          <w:rFonts w:eastAsia="Arial Narrow" w:cstheme="minorHAnsi"/>
        </w:rPr>
        <w:t xml:space="preserve">no </w:t>
      </w:r>
      <w:r>
        <w:rPr>
          <w:rFonts w:eastAsia="Arial Narrow" w:cstheme="minorHAnsi"/>
          <w:spacing w:val="1"/>
        </w:rPr>
        <w:t>v</w:t>
      </w:r>
      <w:r>
        <w:rPr>
          <w:rFonts w:eastAsia="Arial Narrow" w:cstheme="minorHAnsi"/>
        </w:rPr>
        <w:t>o</w:t>
      </w:r>
      <w:r>
        <w:rPr>
          <w:rFonts w:eastAsia="Arial Narrow" w:cstheme="minorHAnsi"/>
          <w:spacing w:val="-2"/>
        </w:rPr>
        <w:t>ć</w:t>
      </w:r>
      <w:r>
        <w:rPr>
          <w:rFonts w:eastAsia="Arial Narrow" w:cstheme="minorHAnsi"/>
        </w:rPr>
        <w:t>ar</w:t>
      </w:r>
      <w:r>
        <w:rPr>
          <w:rFonts w:eastAsia="Arial Narrow" w:cstheme="minorHAnsi"/>
          <w:spacing w:val="1"/>
        </w:rPr>
        <w:t>sk</w:t>
      </w:r>
      <w:r>
        <w:rPr>
          <w:rFonts w:eastAsia="Arial Narrow" w:cstheme="minorHAnsi"/>
        </w:rPr>
        <w:t>o pro</w:t>
      </w:r>
      <w:r>
        <w:rPr>
          <w:rFonts w:eastAsia="Arial Narrow" w:cstheme="minorHAnsi"/>
          <w:spacing w:val="-2"/>
        </w:rPr>
        <w:t>iz</w:t>
      </w:r>
      <w:r>
        <w:rPr>
          <w:rFonts w:eastAsia="Arial Narrow" w:cstheme="minorHAnsi"/>
          <w:spacing w:val="1"/>
        </w:rPr>
        <w:t>v</w:t>
      </w:r>
      <w:r>
        <w:rPr>
          <w:rFonts w:eastAsia="Arial Narrow" w:cstheme="minorHAnsi"/>
        </w:rPr>
        <w:t>odno podr</w:t>
      </w:r>
      <w:r>
        <w:rPr>
          <w:rFonts w:eastAsia="Arial Narrow" w:cstheme="minorHAnsi"/>
          <w:spacing w:val="-2"/>
        </w:rPr>
        <w:t>u</w:t>
      </w:r>
      <w:r>
        <w:rPr>
          <w:rFonts w:eastAsia="Arial Narrow" w:cstheme="minorHAnsi"/>
          <w:spacing w:val="1"/>
        </w:rPr>
        <w:t>čj</w:t>
      </w:r>
      <w:r>
        <w:rPr>
          <w:rFonts w:eastAsia="Arial Narrow" w:cstheme="minorHAnsi"/>
        </w:rPr>
        <w:t>e</w:t>
      </w:r>
      <w:r>
        <w:rPr>
          <w:rFonts w:eastAsia="Arial Narrow" w:cstheme="minorHAnsi"/>
          <w:spacing w:val="3"/>
        </w:rPr>
        <w:t xml:space="preserve"> </w:t>
      </w:r>
      <w:r>
        <w:rPr>
          <w:rFonts w:eastAsia="Arial Narrow" w:cstheme="minorHAnsi"/>
        </w:rPr>
        <w:t xml:space="preserve">s povoljnim </w:t>
      </w:r>
      <w:r>
        <w:rPr>
          <w:rFonts w:eastAsia="Arial Narrow" w:cstheme="minorHAnsi"/>
          <w:spacing w:val="-2"/>
        </w:rPr>
        <w:t>k</w:t>
      </w:r>
      <w:r>
        <w:rPr>
          <w:rFonts w:eastAsia="Arial Narrow" w:cstheme="minorHAnsi"/>
          <w:spacing w:val="1"/>
        </w:rPr>
        <w:t>li</w:t>
      </w:r>
      <w:r>
        <w:rPr>
          <w:rFonts w:eastAsia="Arial Narrow" w:cstheme="minorHAnsi"/>
        </w:rPr>
        <w:t>m</w:t>
      </w:r>
      <w:r>
        <w:rPr>
          <w:rFonts w:eastAsia="Arial Narrow" w:cstheme="minorHAnsi"/>
          <w:spacing w:val="-2"/>
        </w:rPr>
        <w:t>a</w:t>
      </w:r>
      <w:r>
        <w:rPr>
          <w:rFonts w:eastAsia="Arial Narrow" w:cstheme="minorHAnsi"/>
        </w:rPr>
        <w:t>t</w:t>
      </w:r>
      <w:r>
        <w:rPr>
          <w:rFonts w:eastAsia="Arial Narrow" w:cstheme="minorHAnsi"/>
          <w:spacing w:val="1"/>
        </w:rPr>
        <w:t>s</w:t>
      </w:r>
      <w:r>
        <w:rPr>
          <w:rFonts w:eastAsia="Arial Narrow" w:cstheme="minorHAnsi"/>
          <w:spacing w:val="-2"/>
        </w:rPr>
        <w:t>k</w:t>
      </w:r>
      <w:r>
        <w:rPr>
          <w:rFonts w:eastAsia="Arial Narrow" w:cstheme="minorHAnsi"/>
        </w:rPr>
        <w:t>im</w:t>
      </w:r>
      <w:r>
        <w:rPr>
          <w:rFonts w:eastAsia="Arial Narrow" w:cstheme="minorHAnsi"/>
          <w:spacing w:val="3"/>
        </w:rPr>
        <w:t xml:space="preserve"> </w:t>
      </w:r>
      <w:r>
        <w:rPr>
          <w:rFonts w:eastAsia="Arial Narrow" w:cstheme="minorHAnsi"/>
        </w:rPr>
        <w:t>u</w:t>
      </w:r>
      <w:r>
        <w:rPr>
          <w:rFonts w:eastAsia="Arial Narrow" w:cstheme="minorHAnsi"/>
          <w:spacing w:val="-2"/>
        </w:rPr>
        <w:t>v</w:t>
      </w:r>
      <w:r>
        <w:rPr>
          <w:rFonts w:eastAsia="Arial Narrow" w:cstheme="minorHAnsi"/>
          <w:spacing w:val="1"/>
        </w:rPr>
        <w:t>j</w:t>
      </w:r>
      <w:r>
        <w:rPr>
          <w:rFonts w:eastAsia="Arial Narrow" w:cstheme="minorHAnsi"/>
        </w:rPr>
        <w:t>e</w:t>
      </w:r>
      <w:r>
        <w:rPr>
          <w:rFonts w:eastAsia="Arial Narrow" w:cstheme="minorHAnsi"/>
          <w:spacing w:val="-2"/>
        </w:rPr>
        <w:t>t</w:t>
      </w:r>
      <w:r>
        <w:rPr>
          <w:rFonts w:eastAsia="Arial Narrow" w:cstheme="minorHAnsi"/>
        </w:rPr>
        <w:t xml:space="preserve">ima </w:t>
      </w:r>
      <w:r>
        <w:rPr>
          <w:rFonts w:eastAsia="Arial Narrow" w:cstheme="minorHAnsi"/>
          <w:spacing w:val="1"/>
        </w:rPr>
        <w:t>z</w:t>
      </w:r>
      <w:r>
        <w:rPr>
          <w:rFonts w:eastAsia="Arial Narrow" w:cstheme="minorHAnsi"/>
        </w:rPr>
        <w:t>a intenzivnu p</w:t>
      </w:r>
      <w:r>
        <w:rPr>
          <w:rFonts w:eastAsia="Arial Narrow" w:cstheme="minorHAnsi"/>
          <w:spacing w:val="-3"/>
        </w:rPr>
        <w:t>r</w:t>
      </w:r>
      <w:r>
        <w:rPr>
          <w:rFonts w:eastAsia="Arial Narrow" w:cstheme="minorHAnsi"/>
        </w:rPr>
        <w:t>o</w:t>
      </w:r>
      <w:r>
        <w:rPr>
          <w:rFonts w:eastAsia="Arial Narrow" w:cstheme="minorHAnsi"/>
          <w:spacing w:val="1"/>
        </w:rPr>
        <w:t>i</w:t>
      </w:r>
      <w:r>
        <w:rPr>
          <w:rFonts w:eastAsia="Arial Narrow" w:cstheme="minorHAnsi"/>
          <w:spacing w:val="-2"/>
        </w:rPr>
        <w:t>z</w:t>
      </w:r>
      <w:r>
        <w:rPr>
          <w:rFonts w:eastAsia="Arial Narrow" w:cstheme="minorHAnsi"/>
          <w:spacing w:val="1"/>
        </w:rPr>
        <w:t>v</w:t>
      </w:r>
      <w:r>
        <w:rPr>
          <w:rFonts w:eastAsia="Arial Narrow" w:cstheme="minorHAnsi"/>
        </w:rPr>
        <w:t>od</w:t>
      </w:r>
      <w:r>
        <w:rPr>
          <w:rFonts w:eastAsia="Arial Narrow" w:cstheme="minorHAnsi"/>
          <w:spacing w:val="-2"/>
        </w:rPr>
        <w:t>n</w:t>
      </w:r>
      <w:r>
        <w:rPr>
          <w:rFonts w:eastAsia="Arial Narrow" w:cstheme="minorHAnsi"/>
          <w:spacing w:val="1"/>
        </w:rPr>
        <w:t>j</w:t>
      </w:r>
      <w:r>
        <w:rPr>
          <w:rFonts w:eastAsia="Arial Narrow" w:cstheme="minorHAnsi"/>
        </w:rPr>
        <w:t>u</w:t>
      </w:r>
      <w:r>
        <w:rPr>
          <w:rFonts w:eastAsia="Arial Narrow" w:cstheme="minorHAnsi"/>
          <w:spacing w:val="-2"/>
        </w:rPr>
        <w:t xml:space="preserve"> </w:t>
      </w:r>
      <w:r>
        <w:rPr>
          <w:rFonts w:eastAsia="Arial Narrow" w:cstheme="minorHAnsi"/>
          <w:spacing w:val="1"/>
        </w:rPr>
        <w:t>j</w:t>
      </w:r>
      <w:r>
        <w:rPr>
          <w:rFonts w:eastAsia="Arial Narrow" w:cstheme="minorHAnsi"/>
        </w:rPr>
        <w:t>ab</w:t>
      </w:r>
      <w:r>
        <w:rPr>
          <w:rFonts w:eastAsia="Arial Narrow" w:cstheme="minorHAnsi"/>
          <w:spacing w:val="-2"/>
        </w:rPr>
        <w:t>u</w:t>
      </w:r>
      <w:r>
        <w:rPr>
          <w:rFonts w:eastAsia="Arial Narrow" w:cstheme="minorHAnsi"/>
          <w:spacing w:val="1"/>
        </w:rPr>
        <w:t>k</w:t>
      </w:r>
      <w:r>
        <w:rPr>
          <w:rFonts w:eastAsia="Arial Narrow" w:cstheme="minorHAnsi"/>
        </w:rPr>
        <w:t>a,</w:t>
      </w:r>
      <w:r>
        <w:rPr>
          <w:rFonts w:eastAsia="Arial Narrow" w:cstheme="minorHAnsi"/>
          <w:spacing w:val="-2"/>
        </w:rPr>
        <w:t xml:space="preserve"> </w:t>
      </w:r>
      <w:r>
        <w:rPr>
          <w:rFonts w:eastAsia="Arial Narrow" w:cstheme="minorHAnsi"/>
          <w:spacing w:val="1"/>
        </w:rPr>
        <w:t>k</w:t>
      </w:r>
      <w:r>
        <w:rPr>
          <w:rFonts w:eastAsia="Arial Narrow" w:cstheme="minorHAnsi"/>
        </w:rPr>
        <w:t>ru</w:t>
      </w:r>
      <w:r>
        <w:rPr>
          <w:rFonts w:eastAsia="Arial Narrow" w:cstheme="minorHAnsi"/>
          <w:spacing w:val="1"/>
        </w:rPr>
        <w:t>š</w:t>
      </w:r>
      <w:r>
        <w:rPr>
          <w:rFonts w:eastAsia="Arial Narrow" w:cstheme="minorHAnsi"/>
          <w:spacing w:val="-2"/>
        </w:rPr>
        <w:t>a</w:t>
      </w:r>
      <w:r>
        <w:rPr>
          <w:rFonts w:eastAsia="Arial Narrow" w:cstheme="minorHAnsi"/>
          <w:spacing w:val="1"/>
        </w:rPr>
        <w:t>k</w:t>
      </w:r>
      <w:r>
        <w:rPr>
          <w:rFonts w:eastAsia="Arial Narrow" w:cstheme="minorHAnsi"/>
        </w:rPr>
        <w:t>a,</w:t>
      </w:r>
      <w:r>
        <w:rPr>
          <w:rFonts w:eastAsia="Arial Narrow" w:cstheme="minorHAnsi"/>
          <w:spacing w:val="-2"/>
        </w:rPr>
        <w:t xml:space="preserve"> </w:t>
      </w:r>
      <w:r>
        <w:rPr>
          <w:rFonts w:eastAsia="Arial Narrow" w:cstheme="minorHAnsi"/>
          <w:spacing w:val="1"/>
        </w:rPr>
        <w:t>š</w:t>
      </w:r>
      <w:r>
        <w:rPr>
          <w:rFonts w:eastAsia="Arial Narrow" w:cstheme="minorHAnsi"/>
          <w:spacing w:val="-2"/>
        </w:rPr>
        <w:t>l</w:t>
      </w:r>
      <w:r>
        <w:rPr>
          <w:rFonts w:eastAsia="Arial Narrow" w:cstheme="minorHAnsi"/>
          <w:spacing w:val="1"/>
        </w:rPr>
        <w:t>ji</w:t>
      </w:r>
      <w:r>
        <w:rPr>
          <w:rFonts w:eastAsia="Arial Narrow" w:cstheme="minorHAnsi"/>
          <w:spacing w:val="-2"/>
        </w:rPr>
        <w:t>v</w:t>
      </w:r>
      <w:r>
        <w:rPr>
          <w:rFonts w:eastAsia="Arial Narrow" w:cstheme="minorHAnsi"/>
        </w:rPr>
        <w:t>a,</w:t>
      </w:r>
      <w:r>
        <w:rPr>
          <w:rFonts w:eastAsia="Arial Narrow" w:cstheme="minorHAnsi"/>
          <w:spacing w:val="-2"/>
        </w:rPr>
        <w:t xml:space="preserve"> </w:t>
      </w:r>
      <w:r>
        <w:rPr>
          <w:rFonts w:eastAsia="Arial Narrow" w:cstheme="minorHAnsi"/>
        </w:rPr>
        <w:t>mare</w:t>
      </w:r>
      <w:r>
        <w:rPr>
          <w:rFonts w:eastAsia="Arial Narrow" w:cstheme="minorHAnsi"/>
          <w:spacing w:val="-2"/>
        </w:rPr>
        <w:t>l</w:t>
      </w:r>
      <w:r>
        <w:rPr>
          <w:rFonts w:eastAsia="Arial Narrow" w:cstheme="minorHAnsi"/>
          <w:spacing w:val="1"/>
        </w:rPr>
        <w:t>ic</w:t>
      </w:r>
      <w:r>
        <w:rPr>
          <w:rFonts w:eastAsia="Arial Narrow" w:cstheme="minorHAnsi"/>
        </w:rPr>
        <w:t>a,</w:t>
      </w:r>
      <w:r>
        <w:rPr>
          <w:rFonts w:eastAsia="Arial Narrow" w:cstheme="minorHAnsi"/>
          <w:spacing w:val="-2"/>
        </w:rPr>
        <w:t xml:space="preserve"> b</w:t>
      </w:r>
      <w:r>
        <w:rPr>
          <w:rFonts w:eastAsia="Arial Narrow" w:cstheme="minorHAnsi"/>
        </w:rPr>
        <w:t>re</w:t>
      </w:r>
      <w:r>
        <w:rPr>
          <w:rFonts w:eastAsia="Arial Narrow" w:cstheme="minorHAnsi"/>
          <w:spacing w:val="1"/>
        </w:rPr>
        <w:t>s</w:t>
      </w:r>
      <w:r>
        <w:rPr>
          <w:rFonts w:eastAsia="Arial Narrow" w:cstheme="minorHAnsi"/>
        </w:rPr>
        <w:t>a</w:t>
      </w:r>
      <w:r>
        <w:rPr>
          <w:rFonts w:eastAsia="Arial Narrow" w:cstheme="minorHAnsi"/>
          <w:spacing w:val="1"/>
        </w:rPr>
        <w:t>k</w:t>
      </w:r>
      <w:r>
        <w:rPr>
          <w:rFonts w:eastAsia="Arial Narrow" w:cstheme="minorHAnsi"/>
        </w:rPr>
        <w:t>a,</w:t>
      </w:r>
      <w:r>
        <w:rPr>
          <w:rFonts w:eastAsia="Arial Narrow" w:cstheme="minorHAnsi"/>
          <w:spacing w:val="-2"/>
        </w:rPr>
        <w:t xml:space="preserve"> </w:t>
      </w:r>
      <w:r>
        <w:rPr>
          <w:rFonts w:eastAsia="Arial Narrow" w:cstheme="minorHAnsi"/>
        </w:rPr>
        <w:t>tr</w:t>
      </w:r>
      <w:r>
        <w:rPr>
          <w:rFonts w:eastAsia="Arial Narrow" w:cstheme="minorHAnsi"/>
          <w:spacing w:val="-2"/>
        </w:rPr>
        <w:t>e</w:t>
      </w:r>
      <w:r>
        <w:rPr>
          <w:rFonts w:eastAsia="Arial Narrow" w:cstheme="minorHAnsi"/>
          <w:spacing w:val="1"/>
        </w:rPr>
        <w:t>š</w:t>
      </w:r>
      <w:r>
        <w:rPr>
          <w:rFonts w:eastAsia="Arial Narrow" w:cstheme="minorHAnsi"/>
        </w:rPr>
        <w:t>an</w:t>
      </w:r>
      <w:r>
        <w:rPr>
          <w:rFonts w:eastAsia="Arial Narrow" w:cstheme="minorHAnsi"/>
          <w:spacing w:val="-2"/>
        </w:rPr>
        <w:t>j</w:t>
      </w:r>
      <w:r>
        <w:rPr>
          <w:rFonts w:eastAsia="Arial Narrow" w:cstheme="minorHAnsi"/>
        </w:rPr>
        <w:t>a,</w:t>
      </w:r>
      <w:r>
        <w:rPr>
          <w:rFonts w:eastAsia="Arial Narrow" w:cstheme="minorHAnsi"/>
          <w:spacing w:val="-2"/>
        </w:rPr>
        <w:t xml:space="preserve"> </w:t>
      </w:r>
      <w:r>
        <w:rPr>
          <w:rFonts w:eastAsia="Arial Narrow" w:cstheme="minorHAnsi"/>
          <w:spacing w:val="1"/>
        </w:rPr>
        <w:t>viš</w:t>
      </w:r>
      <w:r>
        <w:rPr>
          <w:rFonts w:eastAsia="Arial Narrow" w:cstheme="minorHAnsi"/>
          <w:spacing w:val="-2"/>
        </w:rPr>
        <w:t>a</w:t>
      </w:r>
      <w:r>
        <w:rPr>
          <w:rFonts w:eastAsia="Arial Narrow" w:cstheme="minorHAnsi"/>
        </w:rPr>
        <w:t>n</w:t>
      </w:r>
      <w:r>
        <w:rPr>
          <w:rFonts w:eastAsia="Arial Narrow" w:cstheme="minorHAnsi"/>
          <w:spacing w:val="1"/>
        </w:rPr>
        <w:t>j</w:t>
      </w:r>
      <w:r>
        <w:rPr>
          <w:rFonts w:eastAsia="Arial Narrow" w:cstheme="minorHAnsi"/>
        </w:rPr>
        <w:t>a,</w:t>
      </w:r>
      <w:r>
        <w:rPr>
          <w:rFonts w:eastAsia="Arial Narrow" w:cstheme="minorHAnsi"/>
          <w:spacing w:val="-2"/>
        </w:rPr>
        <w:t xml:space="preserve"> </w:t>
      </w:r>
      <w:r>
        <w:rPr>
          <w:rFonts w:eastAsia="Arial Narrow" w:cstheme="minorHAnsi"/>
        </w:rPr>
        <w:t>ora</w:t>
      </w:r>
      <w:r>
        <w:rPr>
          <w:rFonts w:eastAsia="Arial Narrow" w:cstheme="minorHAnsi"/>
          <w:spacing w:val="-2"/>
        </w:rPr>
        <w:t>h</w:t>
      </w:r>
      <w:r>
        <w:rPr>
          <w:rFonts w:eastAsia="Arial Narrow" w:cstheme="minorHAnsi"/>
        </w:rPr>
        <w:t xml:space="preserve">a, </w:t>
      </w:r>
      <w:r>
        <w:rPr>
          <w:rFonts w:eastAsia="Arial Narrow" w:cstheme="minorHAnsi"/>
          <w:spacing w:val="1"/>
        </w:rPr>
        <w:t>l</w:t>
      </w:r>
      <w:r>
        <w:rPr>
          <w:rFonts w:eastAsia="Arial Narrow" w:cstheme="minorHAnsi"/>
          <w:spacing w:val="-2"/>
        </w:rPr>
        <w:t>i</w:t>
      </w:r>
      <w:r>
        <w:rPr>
          <w:rFonts w:eastAsia="Arial Narrow" w:cstheme="minorHAnsi"/>
          <w:spacing w:val="1"/>
        </w:rPr>
        <w:t>j</w:t>
      </w:r>
      <w:r>
        <w:rPr>
          <w:rFonts w:eastAsia="Arial Narrow" w:cstheme="minorHAnsi"/>
        </w:rPr>
        <w:t>e</w:t>
      </w:r>
      <w:r>
        <w:rPr>
          <w:rFonts w:eastAsia="Arial Narrow" w:cstheme="minorHAnsi"/>
          <w:spacing w:val="-2"/>
        </w:rPr>
        <w:t>s</w:t>
      </w:r>
      <w:r>
        <w:rPr>
          <w:rFonts w:eastAsia="Arial Narrow" w:cstheme="minorHAnsi"/>
          <w:spacing w:val="1"/>
        </w:rPr>
        <w:t>k</w:t>
      </w:r>
      <w:r>
        <w:rPr>
          <w:rFonts w:eastAsia="Arial Narrow" w:cstheme="minorHAnsi"/>
        </w:rPr>
        <w:t>e</w:t>
      </w:r>
      <w:r>
        <w:rPr>
          <w:rFonts w:eastAsia="Arial Narrow" w:cstheme="minorHAnsi"/>
          <w:spacing w:val="-2"/>
        </w:rPr>
        <w:t xml:space="preserve"> </w:t>
      </w:r>
      <w:r>
        <w:rPr>
          <w:rFonts w:eastAsia="Arial Narrow" w:cstheme="minorHAnsi"/>
        </w:rPr>
        <w:t>i</w:t>
      </w:r>
      <w:r>
        <w:rPr>
          <w:rFonts w:eastAsia="Arial Narrow" w:cstheme="minorHAnsi"/>
          <w:spacing w:val="-2"/>
        </w:rPr>
        <w:t xml:space="preserve"> </w:t>
      </w:r>
      <w:r>
        <w:rPr>
          <w:rFonts w:eastAsia="Arial Narrow" w:cstheme="minorHAnsi"/>
          <w:spacing w:val="1"/>
        </w:rPr>
        <w:t>j</w:t>
      </w:r>
      <w:r>
        <w:rPr>
          <w:rFonts w:eastAsia="Arial Narrow" w:cstheme="minorHAnsi"/>
        </w:rPr>
        <w:t>ago</w:t>
      </w:r>
      <w:r>
        <w:rPr>
          <w:rFonts w:eastAsia="Arial Narrow" w:cstheme="minorHAnsi"/>
          <w:spacing w:val="-2"/>
        </w:rPr>
        <w:t>d</w:t>
      </w:r>
      <w:r>
        <w:rPr>
          <w:rFonts w:eastAsia="Arial Narrow" w:cstheme="minorHAnsi"/>
          <w:spacing w:val="1"/>
        </w:rPr>
        <w:t>ič</w:t>
      </w:r>
      <w:r>
        <w:rPr>
          <w:rFonts w:eastAsia="Arial Narrow" w:cstheme="minorHAnsi"/>
          <w:spacing w:val="-2"/>
        </w:rPr>
        <w:t>a</w:t>
      </w:r>
      <w:r>
        <w:rPr>
          <w:rFonts w:eastAsia="Arial Narrow" w:cstheme="minorHAnsi"/>
          <w:spacing w:val="1"/>
        </w:rPr>
        <w:t>s</w:t>
      </w:r>
      <w:r>
        <w:rPr>
          <w:rFonts w:eastAsia="Arial Narrow" w:cstheme="minorHAnsi"/>
        </w:rPr>
        <w:t>t</w:t>
      </w:r>
      <w:r>
        <w:rPr>
          <w:rFonts w:eastAsia="Arial Narrow" w:cstheme="minorHAnsi"/>
          <w:spacing w:val="-2"/>
        </w:rPr>
        <w:t>o</w:t>
      </w:r>
      <w:r>
        <w:rPr>
          <w:rFonts w:eastAsia="Arial Narrow" w:cstheme="minorHAnsi"/>
        </w:rPr>
        <w:t xml:space="preserve">g </w:t>
      </w:r>
      <w:r>
        <w:rPr>
          <w:rFonts w:eastAsia="Arial Narrow" w:cstheme="minorHAnsi"/>
          <w:spacing w:val="1"/>
        </w:rPr>
        <w:t>v</w:t>
      </w:r>
      <w:r>
        <w:rPr>
          <w:rFonts w:eastAsia="Arial Narrow" w:cstheme="minorHAnsi"/>
        </w:rPr>
        <w:t>o</w:t>
      </w:r>
      <w:r>
        <w:rPr>
          <w:rFonts w:eastAsia="Arial Narrow" w:cstheme="minorHAnsi"/>
          <w:spacing w:val="1"/>
        </w:rPr>
        <w:t>ć</w:t>
      </w:r>
      <w:r>
        <w:rPr>
          <w:rFonts w:eastAsia="Arial Narrow" w:cstheme="minorHAnsi"/>
        </w:rPr>
        <w:t xml:space="preserve">a. </w:t>
      </w:r>
      <w:r w:rsidR="0067236F" w:rsidRPr="0067236F">
        <w:rPr>
          <w:color w:val="auto"/>
        </w:rPr>
        <w:t>Prema posljednje dostupnim podacima Agencije za plaćanja u poljoprivredi, ribarstvu i ruralnom razvoju</w:t>
      </w:r>
      <w:r w:rsidR="00F074A4">
        <w:rPr>
          <w:color w:val="auto"/>
        </w:rPr>
        <w:t>,</w:t>
      </w:r>
      <w:r w:rsidR="0067236F" w:rsidRPr="0067236F">
        <w:rPr>
          <w:color w:val="auto"/>
        </w:rPr>
        <w:t xml:space="preserve"> na području Krapinsko-zagorske županije registrirano je 8.973 poljoprivredna gospodarstva od čega trajne nasade voćnjaka posjeduje 4.777 poljoprivrednih gospodarstva ukupne površine od 1.246,39 ha.</w:t>
      </w:r>
      <w:r w:rsidR="00F074A4" w:rsidRPr="00F074A4">
        <w:rPr>
          <w:rFonts w:eastAsia="Arial Narrow" w:cstheme="minorHAnsi"/>
        </w:rPr>
        <w:t xml:space="preserve"> </w:t>
      </w:r>
      <w:r w:rsidR="00F074A4">
        <w:rPr>
          <w:rFonts w:eastAsia="Arial Narrow" w:cstheme="minorHAnsi"/>
        </w:rPr>
        <w:t>Podaci ukazuju na</w:t>
      </w:r>
      <w:r w:rsidR="00F074A4">
        <w:rPr>
          <w:rFonts w:eastAsia="Arial Narrow" w:cstheme="minorHAnsi"/>
          <w:spacing w:val="-4"/>
        </w:rPr>
        <w:t xml:space="preserve"> </w:t>
      </w:r>
      <w:r w:rsidR="00F074A4">
        <w:rPr>
          <w:rFonts w:eastAsia="Arial Narrow" w:cstheme="minorHAnsi"/>
          <w:spacing w:val="-2"/>
        </w:rPr>
        <w:t>p</w:t>
      </w:r>
      <w:r w:rsidR="00F074A4">
        <w:rPr>
          <w:rFonts w:eastAsia="Arial Narrow" w:cstheme="minorHAnsi"/>
        </w:rPr>
        <w:t>o</w:t>
      </w:r>
      <w:r w:rsidR="00F074A4">
        <w:rPr>
          <w:rFonts w:eastAsia="Arial Narrow" w:cstheme="minorHAnsi"/>
          <w:spacing w:val="1"/>
        </w:rPr>
        <w:t>v</w:t>
      </w:r>
      <w:r w:rsidR="00F074A4">
        <w:rPr>
          <w:rFonts w:eastAsia="Arial Narrow" w:cstheme="minorHAnsi"/>
        </w:rPr>
        <w:t>e</w:t>
      </w:r>
      <w:r w:rsidR="00F074A4">
        <w:rPr>
          <w:rFonts w:eastAsia="Arial Narrow" w:cstheme="minorHAnsi"/>
          <w:spacing w:val="1"/>
        </w:rPr>
        <w:t>ć</w:t>
      </w:r>
      <w:r w:rsidR="00F074A4">
        <w:rPr>
          <w:rFonts w:eastAsia="Arial Narrow" w:cstheme="minorHAnsi"/>
          <w:spacing w:val="-2"/>
        </w:rPr>
        <w:t>a</w:t>
      </w:r>
      <w:r w:rsidR="00F074A4">
        <w:rPr>
          <w:rFonts w:eastAsia="Arial Narrow" w:cstheme="minorHAnsi"/>
        </w:rPr>
        <w:t>n</w:t>
      </w:r>
      <w:r w:rsidR="00F074A4">
        <w:rPr>
          <w:rFonts w:eastAsia="Arial Narrow" w:cstheme="minorHAnsi"/>
          <w:spacing w:val="1"/>
        </w:rPr>
        <w:t>j</w:t>
      </w:r>
      <w:r w:rsidR="00F074A4">
        <w:rPr>
          <w:rFonts w:eastAsia="Arial Narrow" w:cstheme="minorHAnsi"/>
        </w:rPr>
        <w:t>e</w:t>
      </w:r>
      <w:r w:rsidR="00F074A4">
        <w:rPr>
          <w:rFonts w:eastAsia="Arial Narrow" w:cstheme="minorHAnsi"/>
          <w:spacing w:val="-4"/>
        </w:rPr>
        <w:t xml:space="preserve"> </w:t>
      </w:r>
      <w:r w:rsidR="00F074A4">
        <w:rPr>
          <w:rFonts w:eastAsia="Arial Narrow" w:cstheme="minorHAnsi"/>
        </w:rPr>
        <w:t>p</w:t>
      </w:r>
      <w:r w:rsidR="00F074A4">
        <w:rPr>
          <w:rFonts w:eastAsia="Arial Narrow" w:cstheme="minorHAnsi"/>
          <w:spacing w:val="-2"/>
        </w:rPr>
        <w:t>o</w:t>
      </w:r>
      <w:r w:rsidR="00F074A4">
        <w:rPr>
          <w:rFonts w:eastAsia="Arial Narrow" w:cstheme="minorHAnsi"/>
          <w:spacing w:val="1"/>
        </w:rPr>
        <w:t>v</w:t>
      </w:r>
      <w:r w:rsidR="00F074A4">
        <w:rPr>
          <w:rFonts w:eastAsia="Arial Narrow" w:cstheme="minorHAnsi"/>
        </w:rPr>
        <w:t>r</w:t>
      </w:r>
      <w:r w:rsidR="00F074A4">
        <w:rPr>
          <w:rFonts w:eastAsia="Arial Narrow" w:cstheme="minorHAnsi"/>
          <w:spacing w:val="1"/>
        </w:rPr>
        <w:t>ši</w:t>
      </w:r>
      <w:r w:rsidR="00F074A4">
        <w:rPr>
          <w:rFonts w:eastAsia="Arial Narrow" w:cstheme="minorHAnsi"/>
          <w:spacing w:val="-2"/>
        </w:rPr>
        <w:t>n</w:t>
      </w:r>
      <w:r w:rsidR="00F074A4">
        <w:rPr>
          <w:rFonts w:eastAsia="Arial Narrow" w:cstheme="minorHAnsi"/>
        </w:rPr>
        <w:t>a pod</w:t>
      </w:r>
      <w:r w:rsidR="00F074A4">
        <w:rPr>
          <w:rFonts w:eastAsia="Arial Narrow" w:cstheme="minorHAnsi"/>
          <w:spacing w:val="-2"/>
        </w:rPr>
        <w:t xml:space="preserve"> na</w:t>
      </w:r>
      <w:r w:rsidR="00F074A4">
        <w:rPr>
          <w:rFonts w:eastAsia="Arial Narrow" w:cstheme="minorHAnsi"/>
          <w:spacing w:val="1"/>
        </w:rPr>
        <w:t>s</w:t>
      </w:r>
      <w:r w:rsidR="00F074A4">
        <w:rPr>
          <w:rFonts w:eastAsia="Arial Narrow" w:cstheme="minorHAnsi"/>
        </w:rPr>
        <w:t>ad</w:t>
      </w:r>
      <w:r w:rsidR="00F074A4">
        <w:rPr>
          <w:rFonts w:eastAsia="Arial Narrow" w:cstheme="minorHAnsi"/>
          <w:spacing w:val="1"/>
        </w:rPr>
        <w:t>i</w:t>
      </w:r>
      <w:r w:rsidR="00F074A4">
        <w:rPr>
          <w:rFonts w:eastAsia="Arial Narrow" w:cstheme="minorHAnsi"/>
          <w:spacing w:val="-2"/>
        </w:rPr>
        <w:t>m</w:t>
      </w:r>
      <w:r w:rsidR="00F074A4">
        <w:rPr>
          <w:rFonts w:eastAsia="Arial Narrow" w:cstheme="minorHAnsi"/>
        </w:rPr>
        <w:t>a</w:t>
      </w:r>
      <w:r w:rsidR="00F074A4">
        <w:rPr>
          <w:rFonts w:eastAsia="Arial Narrow" w:cstheme="minorHAnsi"/>
          <w:spacing w:val="-2"/>
        </w:rPr>
        <w:t xml:space="preserve"> </w:t>
      </w:r>
      <w:r w:rsidR="00F074A4">
        <w:rPr>
          <w:rFonts w:eastAsia="Arial Narrow" w:cstheme="minorHAnsi"/>
        </w:rPr>
        <w:t>i</w:t>
      </w:r>
      <w:r w:rsidR="00F074A4">
        <w:rPr>
          <w:rFonts w:eastAsia="Arial Narrow" w:cstheme="minorHAnsi"/>
          <w:spacing w:val="-4"/>
        </w:rPr>
        <w:t xml:space="preserve"> </w:t>
      </w:r>
      <w:r w:rsidR="00F074A4">
        <w:rPr>
          <w:rFonts w:eastAsia="Arial Narrow" w:cstheme="minorHAnsi"/>
        </w:rPr>
        <w:t>bro</w:t>
      </w:r>
      <w:r w:rsidR="00F074A4">
        <w:rPr>
          <w:rFonts w:eastAsia="Arial Narrow" w:cstheme="minorHAnsi"/>
          <w:spacing w:val="1"/>
        </w:rPr>
        <w:t>j</w:t>
      </w:r>
      <w:r w:rsidR="00F074A4">
        <w:rPr>
          <w:rFonts w:eastAsia="Arial Narrow" w:cstheme="minorHAnsi"/>
        </w:rPr>
        <w:t>a</w:t>
      </w:r>
      <w:r w:rsidR="00F074A4">
        <w:rPr>
          <w:rFonts w:eastAsia="Arial Narrow" w:cstheme="minorHAnsi"/>
          <w:spacing w:val="-4"/>
        </w:rPr>
        <w:t xml:space="preserve"> </w:t>
      </w:r>
      <w:r w:rsidR="00F074A4">
        <w:rPr>
          <w:rFonts w:eastAsia="Arial Narrow" w:cstheme="minorHAnsi"/>
        </w:rPr>
        <w:t>poljoprivredn</w:t>
      </w:r>
      <w:r w:rsidR="00F074A4" w:rsidRPr="0067236F">
        <w:rPr>
          <w:rFonts w:eastAsia="Arial Narrow" w:cstheme="minorHAnsi"/>
          <w:color w:val="auto"/>
        </w:rPr>
        <w:t>ih gospodarstva koji se bave voćarstvom. U razdoblju od 2015. do 2020. povećale su se površine pod voćnjacima za 233,67 ha odnosno 23,10%.</w:t>
      </w:r>
    </w:p>
    <w:p w14:paraId="242F5057" w14:textId="3E1B210A" w:rsidR="00D54F7D" w:rsidRPr="00A7185B" w:rsidRDefault="00D54F7D" w:rsidP="00D54F7D">
      <w:pPr>
        <w:spacing w:line="283" w:lineRule="auto"/>
        <w:ind w:right="232"/>
        <w:rPr>
          <w:rFonts w:eastAsia="Arial Narrow" w:cstheme="minorHAnsi"/>
          <w:spacing w:val="-1"/>
        </w:rPr>
      </w:pPr>
    </w:p>
    <w:p w14:paraId="00B19565" w14:textId="095FB58A" w:rsidR="00CE4C36" w:rsidRDefault="00CE4C36" w:rsidP="003E3F3C">
      <w:pPr>
        <w:pStyle w:val="Opisslike"/>
      </w:pPr>
      <w:r>
        <w:t>Tablica</w:t>
      </w:r>
      <w:r w:rsidR="00BD0057">
        <w:t xml:space="preserve"> 1</w:t>
      </w:r>
      <w:r w:rsidR="0018019C">
        <w:t>1</w:t>
      </w:r>
      <w:r w:rsidR="00A7185B">
        <w:t>9</w:t>
      </w:r>
      <w:r>
        <w:t xml:space="preserve">. </w:t>
      </w:r>
      <w:r w:rsidRPr="00FC3D27">
        <w:t>Voćarstvo u Krapinsko-zagorskoj županiji, 2015.</w:t>
      </w:r>
      <w:r w:rsidR="009E67D7">
        <w:t xml:space="preserve"> </w:t>
      </w:r>
      <w:r w:rsidRPr="00FC3D27">
        <w:t>- 20</w:t>
      </w:r>
      <w:r w:rsidR="008B4817">
        <w:t>20</w:t>
      </w:r>
      <w:r w:rsidRPr="00FC3D27">
        <w:t>. godina</w:t>
      </w:r>
    </w:p>
    <w:tbl>
      <w:tblPr>
        <w:tblW w:w="0" w:type="auto"/>
        <w:jc w:val="center"/>
        <w:tblLook w:val="04A0" w:firstRow="1" w:lastRow="0" w:firstColumn="1" w:lastColumn="0" w:noHBand="0" w:noVBand="1"/>
      </w:tblPr>
      <w:tblGrid>
        <w:gridCol w:w="2013"/>
        <w:gridCol w:w="3471"/>
        <w:gridCol w:w="3473"/>
      </w:tblGrid>
      <w:tr w:rsidR="00CE4C36" w:rsidRPr="00E9455B" w14:paraId="55652C5A" w14:textId="77777777" w:rsidTr="001E3867">
        <w:trPr>
          <w:trHeight w:val="258"/>
          <w:jc w:val="center"/>
        </w:trPr>
        <w:tc>
          <w:tcPr>
            <w:tcW w:w="2013" w:type="dxa"/>
            <w:tcBorders>
              <w:left w:val="single" w:sz="8" w:space="0" w:color="D2232A"/>
            </w:tcBorders>
            <w:shd w:val="clear" w:color="auto" w:fill="D2232A" w:themeFill="accent1"/>
            <w:hideMark/>
          </w:tcPr>
          <w:p w14:paraId="37BCF478" w14:textId="77777777" w:rsidR="00CE4C36" w:rsidRPr="00E9455B" w:rsidRDefault="00CE4C36" w:rsidP="00EA3570">
            <w:pPr>
              <w:spacing w:after="0"/>
              <w:jc w:val="center"/>
              <w:rPr>
                <w:rFonts w:cstheme="minorHAnsi"/>
              </w:rPr>
            </w:pPr>
            <w:r w:rsidRPr="00E9455B">
              <w:rPr>
                <w:rFonts w:eastAsia="Arial Narrow" w:cstheme="minorHAnsi"/>
                <w:color w:val="FFFFFF"/>
              </w:rPr>
              <w:t>Godina</w:t>
            </w:r>
          </w:p>
        </w:tc>
        <w:tc>
          <w:tcPr>
            <w:tcW w:w="3471" w:type="dxa"/>
            <w:shd w:val="clear" w:color="auto" w:fill="D2232A" w:themeFill="accent1"/>
            <w:hideMark/>
          </w:tcPr>
          <w:p w14:paraId="66FB82F3" w14:textId="77777777" w:rsidR="00CE4C36" w:rsidRPr="00E9455B" w:rsidRDefault="00CE4C36" w:rsidP="00EA3570">
            <w:pPr>
              <w:spacing w:after="0"/>
              <w:jc w:val="right"/>
              <w:rPr>
                <w:rFonts w:cstheme="minorHAnsi"/>
                <w:color w:val="FFFFFF" w:themeColor="background1"/>
              </w:rPr>
            </w:pPr>
            <w:r w:rsidRPr="00E9455B">
              <w:rPr>
                <w:rFonts w:cstheme="minorHAnsi"/>
                <w:color w:val="FFFFFF" w:themeColor="background1"/>
              </w:rPr>
              <w:t>Površina u ha</w:t>
            </w:r>
          </w:p>
        </w:tc>
        <w:tc>
          <w:tcPr>
            <w:tcW w:w="3473" w:type="dxa"/>
            <w:tcBorders>
              <w:right w:val="single" w:sz="8" w:space="0" w:color="D2232A"/>
            </w:tcBorders>
            <w:shd w:val="clear" w:color="auto" w:fill="D2232A" w:themeFill="accent1"/>
            <w:hideMark/>
          </w:tcPr>
          <w:p w14:paraId="59DB8409" w14:textId="77777777" w:rsidR="00CE4C36" w:rsidRPr="00E9455B" w:rsidRDefault="00CE4C36" w:rsidP="00EA3570">
            <w:pPr>
              <w:spacing w:after="0"/>
              <w:jc w:val="right"/>
              <w:rPr>
                <w:rFonts w:cstheme="minorHAnsi"/>
                <w:color w:val="FFFFFF" w:themeColor="background1"/>
              </w:rPr>
            </w:pPr>
            <w:r w:rsidRPr="00E9455B">
              <w:rPr>
                <w:rFonts w:cstheme="minorHAnsi"/>
                <w:color w:val="FFFFFF" w:themeColor="background1"/>
              </w:rPr>
              <w:t>Broj PG-a</w:t>
            </w:r>
          </w:p>
        </w:tc>
      </w:tr>
      <w:tr w:rsidR="00CE4C36" w:rsidRPr="00E9455B" w14:paraId="6C206489" w14:textId="77777777" w:rsidTr="001E3867">
        <w:trPr>
          <w:trHeight w:val="292"/>
          <w:jc w:val="center"/>
        </w:trPr>
        <w:tc>
          <w:tcPr>
            <w:tcW w:w="2013" w:type="dxa"/>
            <w:tcBorders>
              <w:left w:val="single" w:sz="8" w:space="0" w:color="D2232A"/>
              <w:bottom w:val="single" w:sz="8" w:space="0" w:color="F3CFC1"/>
              <w:right w:val="single" w:sz="8" w:space="0" w:color="D2232A"/>
            </w:tcBorders>
            <w:vAlign w:val="bottom"/>
            <w:hideMark/>
          </w:tcPr>
          <w:p w14:paraId="256365CB" w14:textId="77777777" w:rsidR="00CE4C36" w:rsidRPr="00E9455B" w:rsidRDefault="00CE4C36" w:rsidP="00EA3570">
            <w:pPr>
              <w:spacing w:after="0"/>
              <w:jc w:val="center"/>
              <w:rPr>
                <w:rFonts w:eastAsia="Arial Narrow" w:cstheme="minorHAnsi"/>
                <w:w w:val="99"/>
              </w:rPr>
            </w:pPr>
            <w:r w:rsidRPr="00E9455B">
              <w:rPr>
                <w:rFonts w:eastAsia="Arial Narrow" w:cstheme="minorHAnsi"/>
                <w:w w:val="99"/>
              </w:rPr>
              <w:t>2015.</w:t>
            </w:r>
          </w:p>
        </w:tc>
        <w:tc>
          <w:tcPr>
            <w:tcW w:w="3471" w:type="dxa"/>
            <w:tcBorders>
              <w:left w:val="single" w:sz="8" w:space="0" w:color="D2232A"/>
              <w:bottom w:val="single" w:sz="8" w:space="0" w:color="F3CFC1"/>
              <w:right w:val="single" w:sz="8" w:space="0" w:color="D2232A"/>
            </w:tcBorders>
            <w:vAlign w:val="bottom"/>
            <w:hideMark/>
          </w:tcPr>
          <w:p w14:paraId="7144E234" w14:textId="77777777" w:rsidR="00CE4C36" w:rsidRPr="00E9455B" w:rsidRDefault="00CE4C36" w:rsidP="000B6217">
            <w:pPr>
              <w:spacing w:after="0"/>
              <w:jc w:val="right"/>
              <w:rPr>
                <w:rFonts w:eastAsia="Arial Narrow" w:cstheme="minorHAnsi"/>
              </w:rPr>
            </w:pPr>
            <w:r w:rsidRPr="00E9455B">
              <w:rPr>
                <w:rFonts w:eastAsia="Arial Narrow" w:cstheme="minorHAnsi"/>
              </w:rPr>
              <w:t>1.011,52</w:t>
            </w:r>
          </w:p>
        </w:tc>
        <w:tc>
          <w:tcPr>
            <w:tcW w:w="3473" w:type="dxa"/>
            <w:tcBorders>
              <w:left w:val="single" w:sz="8" w:space="0" w:color="D2232A"/>
              <w:bottom w:val="single" w:sz="8" w:space="0" w:color="F3CFC1"/>
              <w:right w:val="single" w:sz="8" w:space="0" w:color="D2232A"/>
            </w:tcBorders>
            <w:vAlign w:val="bottom"/>
            <w:hideMark/>
          </w:tcPr>
          <w:p w14:paraId="7AA6CD56" w14:textId="77777777" w:rsidR="00CE4C36" w:rsidRPr="00E9455B" w:rsidRDefault="00CE4C36" w:rsidP="000B6217">
            <w:pPr>
              <w:spacing w:after="0"/>
              <w:jc w:val="right"/>
              <w:rPr>
                <w:rFonts w:eastAsia="Arial Narrow" w:cstheme="minorHAnsi"/>
              </w:rPr>
            </w:pPr>
            <w:r w:rsidRPr="00E9455B">
              <w:rPr>
                <w:rFonts w:eastAsia="Arial Narrow" w:cstheme="minorHAnsi"/>
              </w:rPr>
              <w:t>4.017</w:t>
            </w:r>
          </w:p>
        </w:tc>
      </w:tr>
      <w:tr w:rsidR="00CE4C36" w:rsidRPr="00E9455B" w14:paraId="209F3BB7" w14:textId="77777777" w:rsidTr="001E3867">
        <w:trPr>
          <w:trHeight w:val="292"/>
          <w:jc w:val="center"/>
        </w:trPr>
        <w:tc>
          <w:tcPr>
            <w:tcW w:w="2013" w:type="dxa"/>
            <w:tcBorders>
              <w:top w:val="single" w:sz="8" w:space="0" w:color="F3CFC1"/>
              <w:left w:val="single" w:sz="8" w:space="0" w:color="D2232A"/>
              <w:bottom w:val="single" w:sz="8" w:space="0" w:color="F3CFC1"/>
              <w:right w:val="single" w:sz="8" w:space="0" w:color="D2232A"/>
            </w:tcBorders>
            <w:vAlign w:val="bottom"/>
            <w:hideMark/>
          </w:tcPr>
          <w:p w14:paraId="31BDC532" w14:textId="77777777" w:rsidR="00CE4C36" w:rsidRPr="00E9455B" w:rsidRDefault="00CE4C36" w:rsidP="00EA3570">
            <w:pPr>
              <w:spacing w:after="0"/>
              <w:jc w:val="center"/>
              <w:rPr>
                <w:rFonts w:eastAsia="Arial Narrow" w:cstheme="minorHAnsi"/>
                <w:w w:val="99"/>
              </w:rPr>
            </w:pPr>
            <w:r w:rsidRPr="00E9455B">
              <w:rPr>
                <w:rFonts w:eastAsia="Arial Narrow" w:cstheme="minorHAnsi"/>
                <w:w w:val="99"/>
              </w:rPr>
              <w:t>2016.</w:t>
            </w:r>
          </w:p>
        </w:tc>
        <w:tc>
          <w:tcPr>
            <w:tcW w:w="3471" w:type="dxa"/>
            <w:tcBorders>
              <w:top w:val="single" w:sz="8" w:space="0" w:color="F3CFC1"/>
              <w:left w:val="single" w:sz="8" w:space="0" w:color="D2232A"/>
              <w:bottom w:val="single" w:sz="8" w:space="0" w:color="F3CFC1"/>
              <w:right w:val="single" w:sz="8" w:space="0" w:color="D2232A"/>
            </w:tcBorders>
            <w:vAlign w:val="bottom"/>
            <w:hideMark/>
          </w:tcPr>
          <w:p w14:paraId="5842D885" w14:textId="77777777" w:rsidR="00CE4C36" w:rsidRPr="00E9455B" w:rsidRDefault="00CE4C36" w:rsidP="00EA3570">
            <w:pPr>
              <w:spacing w:after="0"/>
              <w:jc w:val="right"/>
              <w:rPr>
                <w:rFonts w:eastAsiaTheme="minorHAnsi" w:cstheme="minorHAnsi"/>
              </w:rPr>
            </w:pPr>
            <w:r w:rsidRPr="00E9455B">
              <w:rPr>
                <w:rFonts w:cstheme="minorHAnsi"/>
              </w:rPr>
              <w:t>1.010,74</w:t>
            </w:r>
          </w:p>
        </w:tc>
        <w:tc>
          <w:tcPr>
            <w:tcW w:w="3473" w:type="dxa"/>
            <w:tcBorders>
              <w:top w:val="single" w:sz="8" w:space="0" w:color="F3CFC1"/>
              <w:left w:val="single" w:sz="8" w:space="0" w:color="D2232A"/>
              <w:bottom w:val="single" w:sz="8" w:space="0" w:color="F3CFC1"/>
              <w:right w:val="single" w:sz="8" w:space="0" w:color="D2232A"/>
            </w:tcBorders>
            <w:vAlign w:val="bottom"/>
            <w:hideMark/>
          </w:tcPr>
          <w:p w14:paraId="1779397D" w14:textId="77777777" w:rsidR="00CE4C36" w:rsidRPr="00E9455B" w:rsidRDefault="00CE4C36" w:rsidP="00EA3570">
            <w:pPr>
              <w:spacing w:after="0"/>
              <w:jc w:val="right"/>
              <w:rPr>
                <w:rFonts w:cstheme="minorHAnsi"/>
              </w:rPr>
            </w:pPr>
            <w:r w:rsidRPr="00E9455B">
              <w:rPr>
                <w:rFonts w:cstheme="minorHAnsi"/>
              </w:rPr>
              <w:t>3.890</w:t>
            </w:r>
          </w:p>
        </w:tc>
      </w:tr>
      <w:tr w:rsidR="00CE4C36" w:rsidRPr="00E9455B" w14:paraId="3B5C775D" w14:textId="77777777" w:rsidTr="001E3867">
        <w:trPr>
          <w:trHeight w:val="275"/>
          <w:jc w:val="center"/>
        </w:trPr>
        <w:tc>
          <w:tcPr>
            <w:tcW w:w="2013" w:type="dxa"/>
            <w:tcBorders>
              <w:top w:val="single" w:sz="8" w:space="0" w:color="F3CFC1"/>
              <w:left w:val="single" w:sz="8" w:space="0" w:color="D2232A"/>
              <w:bottom w:val="single" w:sz="8" w:space="0" w:color="F3CFC1"/>
              <w:right w:val="single" w:sz="8" w:space="0" w:color="D2232A"/>
            </w:tcBorders>
            <w:vAlign w:val="bottom"/>
            <w:hideMark/>
          </w:tcPr>
          <w:p w14:paraId="17C2A404" w14:textId="77777777" w:rsidR="00CE4C36" w:rsidRPr="00E9455B" w:rsidRDefault="00CE4C36" w:rsidP="00EA3570">
            <w:pPr>
              <w:spacing w:after="0"/>
              <w:jc w:val="center"/>
              <w:rPr>
                <w:rFonts w:eastAsia="Arial Narrow" w:cstheme="minorHAnsi"/>
                <w:w w:val="99"/>
              </w:rPr>
            </w:pPr>
            <w:r w:rsidRPr="00E9455B">
              <w:rPr>
                <w:rFonts w:eastAsia="Arial Narrow" w:cstheme="minorHAnsi"/>
                <w:w w:val="99"/>
              </w:rPr>
              <w:t>2017.</w:t>
            </w:r>
          </w:p>
        </w:tc>
        <w:tc>
          <w:tcPr>
            <w:tcW w:w="3471" w:type="dxa"/>
            <w:tcBorders>
              <w:top w:val="single" w:sz="8" w:space="0" w:color="F3CFC1"/>
              <w:left w:val="single" w:sz="8" w:space="0" w:color="D2232A"/>
              <w:bottom w:val="single" w:sz="8" w:space="0" w:color="F3CFC1"/>
              <w:right w:val="single" w:sz="8" w:space="0" w:color="D2232A"/>
            </w:tcBorders>
            <w:vAlign w:val="bottom"/>
            <w:hideMark/>
          </w:tcPr>
          <w:p w14:paraId="211ADA56" w14:textId="77777777" w:rsidR="00CE4C36" w:rsidRPr="00E9455B" w:rsidRDefault="00CE4C36" w:rsidP="00EA3570">
            <w:pPr>
              <w:spacing w:after="0"/>
              <w:jc w:val="right"/>
              <w:rPr>
                <w:rFonts w:eastAsiaTheme="minorHAnsi" w:cstheme="minorHAnsi"/>
              </w:rPr>
            </w:pPr>
            <w:r w:rsidRPr="00E9455B">
              <w:rPr>
                <w:rFonts w:cstheme="minorHAnsi"/>
              </w:rPr>
              <w:t>1.099,68</w:t>
            </w:r>
          </w:p>
        </w:tc>
        <w:tc>
          <w:tcPr>
            <w:tcW w:w="3473" w:type="dxa"/>
            <w:tcBorders>
              <w:top w:val="single" w:sz="8" w:space="0" w:color="F3CFC1"/>
              <w:left w:val="single" w:sz="8" w:space="0" w:color="D2232A"/>
              <w:bottom w:val="single" w:sz="8" w:space="0" w:color="F3CFC1"/>
              <w:right w:val="single" w:sz="8" w:space="0" w:color="D2232A"/>
            </w:tcBorders>
            <w:vAlign w:val="bottom"/>
            <w:hideMark/>
          </w:tcPr>
          <w:p w14:paraId="1E36E784" w14:textId="77777777" w:rsidR="00CE4C36" w:rsidRPr="00E9455B" w:rsidRDefault="00CE4C36" w:rsidP="00EA3570">
            <w:pPr>
              <w:spacing w:after="0"/>
              <w:jc w:val="right"/>
              <w:rPr>
                <w:rFonts w:cstheme="minorHAnsi"/>
              </w:rPr>
            </w:pPr>
            <w:r w:rsidRPr="00E9455B">
              <w:rPr>
                <w:rFonts w:cstheme="minorHAnsi"/>
              </w:rPr>
              <w:t>4.145</w:t>
            </w:r>
          </w:p>
        </w:tc>
      </w:tr>
      <w:tr w:rsidR="00CE4C36" w:rsidRPr="00E9455B" w14:paraId="72B851E5" w14:textId="77777777" w:rsidTr="001E3867">
        <w:trPr>
          <w:trHeight w:val="292"/>
          <w:jc w:val="center"/>
        </w:trPr>
        <w:tc>
          <w:tcPr>
            <w:tcW w:w="2013" w:type="dxa"/>
            <w:tcBorders>
              <w:top w:val="single" w:sz="8" w:space="0" w:color="F3CFC1"/>
              <w:left w:val="single" w:sz="8" w:space="0" w:color="D2232A"/>
              <w:bottom w:val="single" w:sz="8" w:space="0" w:color="F3CFC1"/>
              <w:right w:val="single" w:sz="8" w:space="0" w:color="D2232A"/>
            </w:tcBorders>
            <w:vAlign w:val="bottom"/>
            <w:hideMark/>
          </w:tcPr>
          <w:p w14:paraId="655BFE67" w14:textId="77777777" w:rsidR="00CE4C36" w:rsidRPr="00E9455B" w:rsidRDefault="00CE4C36" w:rsidP="00EA3570">
            <w:pPr>
              <w:spacing w:after="0"/>
              <w:jc w:val="center"/>
              <w:rPr>
                <w:rFonts w:eastAsia="Arial Narrow" w:cstheme="minorHAnsi"/>
                <w:w w:val="99"/>
              </w:rPr>
            </w:pPr>
            <w:r w:rsidRPr="00E9455B">
              <w:rPr>
                <w:rFonts w:eastAsia="Arial Narrow" w:cstheme="minorHAnsi"/>
                <w:w w:val="99"/>
              </w:rPr>
              <w:t>2018.</w:t>
            </w:r>
          </w:p>
        </w:tc>
        <w:tc>
          <w:tcPr>
            <w:tcW w:w="3471" w:type="dxa"/>
            <w:tcBorders>
              <w:top w:val="single" w:sz="8" w:space="0" w:color="F3CFC1"/>
              <w:left w:val="single" w:sz="8" w:space="0" w:color="D2232A"/>
              <w:bottom w:val="single" w:sz="8" w:space="0" w:color="F3CFC1"/>
              <w:right w:val="single" w:sz="8" w:space="0" w:color="D2232A"/>
            </w:tcBorders>
            <w:vAlign w:val="bottom"/>
            <w:hideMark/>
          </w:tcPr>
          <w:p w14:paraId="153BAA89" w14:textId="77777777" w:rsidR="00CE4C36" w:rsidRPr="00E9455B" w:rsidRDefault="00CE4C36" w:rsidP="00EA3570">
            <w:pPr>
              <w:spacing w:after="0"/>
              <w:jc w:val="right"/>
              <w:rPr>
                <w:rFonts w:eastAsiaTheme="minorHAnsi" w:cstheme="minorHAnsi"/>
              </w:rPr>
            </w:pPr>
            <w:r w:rsidRPr="00E9455B">
              <w:rPr>
                <w:rFonts w:cstheme="minorHAnsi"/>
              </w:rPr>
              <w:t>1.169,04</w:t>
            </w:r>
          </w:p>
        </w:tc>
        <w:tc>
          <w:tcPr>
            <w:tcW w:w="3473" w:type="dxa"/>
            <w:tcBorders>
              <w:top w:val="single" w:sz="8" w:space="0" w:color="F3CFC1"/>
              <w:left w:val="single" w:sz="8" w:space="0" w:color="D2232A"/>
              <w:bottom w:val="single" w:sz="8" w:space="0" w:color="F3CFC1"/>
              <w:right w:val="single" w:sz="8" w:space="0" w:color="D2232A"/>
            </w:tcBorders>
            <w:vAlign w:val="bottom"/>
            <w:hideMark/>
          </w:tcPr>
          <w:p w14:paraId="2D09F993" w14:textId="77777777" w:rsidR="00CE4C36" w:rsidRPr="00E9455B" w:rsidRDefault="00CE4C36" w:rsidP="00EA3570">
            <w:pPr>
              <w:spacing w:after="0"/>
              <w:jc w:val="right"/>
              <w:rPr>
                <w:rFonts w:cstheme="minorHAnsi"/>
              </w:rPr>
            </w:pPr>
            <w:r w:rsidRPr="00E9455B">
              <w:rPr>
                <w:rFonts w:cstheme="minorHAnsi"/>
              </w:rPr>
              <w:t>4.335</w:t>
            </w:r>
          </w:p>
        </w:tc>
      </w:tr>
      <w:tr w:rsidR="00CE4C36" w:rsidRPr="00E9455B" w14:paraId="29D4DDEA" w14:textId="77777777" w:rsidTr="001E3867">
        <w:trPr>
          <w:trHeight w:val="292"/>
          <w:jc w:val="center"/>
        </w:trPr>
        <w:tc>
          <w:tcPr>
            <w:tcW w:w="2013" w:type="dxa"/>
            <w:tcBorders>
              <w:top w:val="single" w:sz="8" w:space="0" w:color="F3CFC1"/>
              <w:left w:val="single" w:sz="8" w:space="0" w:color="D2232A"/>
              <w:bottom w:val="single" w:sz="8" w:space="0" w:color="F3CFC1"/>
              <w:right w:val="single" w:sz="8" w:space="0" w:color="D2232A"/>
            </w:tcBorders>
            <w:vAlign w:val="bottom"/>
          </w:tcPr>
          <w:p w14:paraId="242AA1B3" w14:textId="77777777" w:rsidR="00CE4C36" w:rsidRPr="00E9455B" w:rsidRDefault="00CE4C36" w:rsidP="00EA3570">
            <w:pPr>
              <w:spacing w:after="0"/>
              <w:jc w:val="center"/>
              <w:rPr>
                <w:rFonts w:eastAsia="Arial Narrow" w:cstheme="minorHAnsi"/>
                <w:w w:val="99"/>
              </w:rPr>
            </w:pPr>
            <w:r>
              <w:rPr>
                <w:rFonts w:eastAsia="Arial Narrow" w:cstheme="minorHAnsi"/>
                <w:w w:val="99"/>
              </w:rPr>
              <w:t>2019.</w:t>
            </w:r>
          </w:p>
        </w:tc>
        <w:tc>
          <w:tcPr>
            <w:tcW w:w="3471" w:type="dxa"/>
            <w:tcBorders>
              <w:top w:val="single" w:sz="8" w:space="0" w:color="F3CFC1"/>
              <w:left w:val="single" w:sz="8" w:space="0" w:color="D2232A"/>
              <w:bottom w:val="single" w:sz="8" w:space="0" w:color="F3CFC1"/>
              <w:right w:val="single" w:sz="8" w:space="0" w:color="D2232A"/>
            </w:tcBorders>
            <w:vAlign w:val="bottom"/>
          </w:tcPr>
          <w:p w14:paraId="128A0BE6" w14:textId="77777777" w:rsidR="00CE4C36" w:rsidRPr="00E9455B" w:rsidRDefault="00CE4C36" w:rsidP="00EA3570">
            <w:pPr>
              <w:spacing w:after="0"/>
              <w:jc w:val="right"/>
              <w:rPr>
                <w:rFonts w:cstheme="minorHAnsi"/>
              </w:rPr>
            </w:pPr>
            <w:r w:rsidRPr="0023384D">
              <w:rPr>
                <w:rFonts w:cstheme="minorHAnsi"/>
              </w:rPr>
              <w:t>1.195,10</w:t>
            </w:r>
          </w:p>
        </w:tc>
        <w:tc>
          <w:tcPr>
            <w:tcW w:w="3473" w:type="dxa"/>
            <w:tcBorders>
              <w:top w:val="single" w:sz="8" w:space="0" w:color="F3CFC1"/>
              <w:left w:val="single" w:sz="8" w:space="0" w:color="D2232A"/>
              <w:bottom w:val="single" w:sz="8" w:space="0" w:color="F3CFC1"/>
              <w:right w:val="single" w:sz="8" w:space="0" w:color="D2232A"/>
            </w:tcBorders>
            <w:vAlign w:val="bottom"/>
          </w:tcPr>
          <w:p w14:paraId="54F72F0D" w14:textId="62AD32E8" w:rsidR="00CE4C36" w:rsidRPr="00E9455B" w:rsidRDefault="000B6217" w:rsidP="009B3372">
            <w:pPr>
              <w:spacing w:after="0"/>
              <w:jc w:val="right"/>
              <w:rPr>
                <w:rFonts w:cstheme="minorHAnsi"/>
              </w:rPr>
            </w:pPr>
            <w:r>
              <w:rPr>
                <w:rFonts w:cstheme="minorHAnsi"/>
              </w:rPr>
              <w:t>4.501</w:t>
            </w:r>
            <w:r w:rsidR="009B3372">
              <w:rPr>
                <w:rFonts w:cstheme="minorHAnsi"/>
              </w:rPr>
              <w:t xml:space="preserve"> </w:t>
            </w:r>
          </w:p>
        </w:tc>
      </w:tr>
      <w:tr w:rsidR="00CE4C36" w:rsidRPr="00E9455B" w14:paraId="153F414C" w14:textId="77777777" w:rsidTr="001E3867">
        <w:trPr>
          <w:trHeight w:val="292"/>
          <w:jc w:val="center"/>
        </w:trPr>
        <w:tc>
          <w:tcPr>
            <w:tcW w:w="2013" w:type="dxa"/>
            <w:tcBorders>
              <w:top w:val="single" w:sz="8" w:space="0" w:color="F3CFC1"/>
              <w:left w:val="single" w:sz="8" w:space="0" w:color="D2232A"/>
              <w:right w:val="single" w:sz="8" w:space="0" w:color="D2232A"/>
            </w:tcBorders>
            <w:vAlign w:val="bottom"/>
          </w:tcPr>
          <w:p w14:paraId="66522BD4" w14:textId="77777777" w:rsidR="00CE4C36" w:rsidRPr="00E9455B" w:rsidRDefault="00CE4C36" w:rsidP="00EA3570">
            <w:pPr>
              <w:spacing w:after="0"/>
              <w:jc w:val="center"/>
              <w:rPr>
                <w:rFonts w:eastAsia="Arial Narrow" w:cstheme="minorHAnsi"/>
                <w:w w:val="99"/>
              </w:rPr>
            </w:pPr>
            <w:r>
              <w:rPr>
                <w:rFonts w:eastAsia="Arial Narrow" w:cstheme="minorHAnsi"/>
                <w:w w:val="99"/>
              </w:rPr>
              <w:t>2020.</w:t>
            </w:r>
          </w:p>
        </w:tc>
        <w:tc>
          <w:tcPr>
            <w:tcW w:w="3471" w:type="dxa"/>
            <w:tcBorders>
              <w:top w:val="single" w:sz="8" w:space="0" w:color="F3CFC1"/>
              <w:left w:val="single" w:sz="8" w:space="0" w:color="D2232A"/>
              <w:right w:val="single" w:sz="8" w:space="0" w:color="D2232A"/>
            </w:tcBorders>
            <w:vAlign w:val="bottom"/>
          </w:tcPr>
          <w:p w14:paraId="79684B57" w14:textId="5DD7D671" w:rsidR="00CE4C36" w:rsidRPr="00E9455B" w:rsidRDefault="00CE4C36" w:rsidP="00EA3570">
            <w:pPr>
              <w:spacing w:after="0"/>
              <w:jc w:val="right"/>
              <w:rPr>
                <w:rFonts w:cstheme="minorHAnsi"/>
              </w:rPr>
            </w:pPr>
            <w:r w:rsidRPr="00C049C6">
              <w:rPr>
                <w:rFonts w:cstheme="minorHAnsi"/>
              </w:rPr>
              <w:t>1</w:t>
            </w:r>
            <w:r>
              <w:rPr>
                <w:rFonts w:cstheme="minorHAnsi"/>
              </w:rPr>
              <w:t>.</w:t>
            </w:r>
            <w:r w:rsidRPr="00C049C6">
              <w:rPr>
                <w:rFonts w:cstheme="minorHAnsi"/>
              </w:rPr>
              <w:t>24</w:t>
            </w:r>
            <w:r w:rsidR="0091480B">
              <w:rPr>
                <w:rFonts w:cstheme="minorHAnsi"/>
              </w:rPr>
              <w:t>6,39</w:t>
            </w:r>
          </w:p>
        </w:tc>
        <w:tc>
          <w:tcPr>
            <w:tcW w:w="3473" w:type="dxa"/>
            <w:tcBorders>
              <w:top w:val="single" w:sz="8" w:space="0" w:color="F3CFC1"/>
              <w:left w:val="single" w:sz="8" w:space="0" w:color="D2232A"/>
              <w:right w:val="single" w:sz="8" w:space="0" w:color="D2232A"/>
            </w:tcBorders>
            <w:vAlign w:val="bottom"/>
          </w:tcPr>
          <w:p w14:paraId="311F34F4" w14:textId="0252F255" w:rsidR="00CE4C36" w:rsidRPr="00E9455B" w:rsidRDefault="0091480B" w:rsidP="00EA3570">
            <w:pPr>
              <w:spacing w:after="0"/>
              <w:jc w:val="right"/>
              <w:rPr>
                <w:rFonts w:cstheme="minorHAnsi"/>
              </w:rPr>
            </w:pPr>
            <w:r>
              <w:rPr>
                <w:rFonts w:cstheme="minorHAnsi"/>
              </w:rPr>
              <w:t>4.777</w:t>
            </w:r>
          </w:p>
        </w:tc>
      </w:tr>
    </w:tbl>
    <w:p w14:paraId="36B8AD1E" w14:textId="007DD0D7" w:rsidR="00CE4C36" w:rsidRDefault="00CE4C36" w:rsidP="00CE4C36">
      <w:pPr>
        <w:pStyle w:val="Izvor"/>
        <w:rPr>
          <w:rFonts w:asciiTheme="minorHAnsi" w:hAnsiTheme="minorHAnsi"/>
        </w:rPr>
      </w:pPr>
      <w:r w:rsidRPr="00BD0057">
        <w:rPr>
          <w:i/>
          <w:color w:val="ABABAB" w:themeColor="text1" w:themeTint="A6"/>
          <w:sz w:val="16"/>
          <w:szCs w:val="16"/>
        </w:rPr>
        <w:t>Izvor: Agencija za plaćanja u poljoprivredi, ribarstvu i ruralnom razvoju</w:t>
      </w:r>
      <w:r w:rsidR="00D54F7D" w:rsidRPr="00BD0057">
        <w:rPr>
          <w:i/>
          <w:color w:val="ABABAB" w:themeColor="text1" w:themeTint="A6"/>
          <w:sz w:val="16"/>
          <w:szCs w:val="16"/>
        </w:rPr>
        <w:t>; ARKOD,</w:t>
      </w:r>
      <w:r w:rsidRPr="00BD0057">
        <w:rPr>
          <w:i/>
          <w:color w:val="ABABAB" w:themeColor="text1" w:themeTint="A6"/>
          <w:sz w:val="16"/>
          <w:szCs w:val="16"/>
        </w:rPr>
        <w:t xml:space="preserve"> 2015.</w:t>
      </w:r>
      <w:r w:rsidR="00A43499">
        <w:rPr>
          <w:i/>
          <w:color w:val="ABABAB" w:themeColor="text1" w:themeTint="A6"/>
          <w:sz w:val="16"/>
          <w:szCs w:val="16"/>
        </w:rPr>
        <w:t xml:space="preserve"> </w:t>
      </w:r>
      <w:r w:rsidRPr="00BD0057">
        <w:rPr>
          <w:i/>
          <w:color w:val="ABABAB" w:themeColor="text1" w:themeTint="A6"/>
          <w:sz w:val="16"/>
          <w:szCs w:val="16"/>
        </w:rPr>
        <w:t>- 20</w:t>
      </w:r>
      <w:r w:rsidR="00D54F7D" w:rsidRPr="00BD0057">
        <w:rPr>
          <w:i/>
          <w:color w:val="ABABAB" w:themeColor="text1" w:themeTint="A6"/>
          <w:sz w:val="16"/>
          <w:szCs w:val="16"/>
        </w:rPr>
        <w:t>20</w:t>
      </w:r>
      <w:r w:rsidR="00D54F7D">
        <w:t>.</w:t>
      </w:r>
    </w:p>
    <w:p w14:paraId="0A681530" w14:textId="77777777" w:rsidR="00CE4C36" w:rsidRPr="00806E82" w:rsidRDefault="00CE4C36" w:rsidP="00806E82"/>
    <w:p w14:paraId="76B9AF99" w14:textId="0A12CE38" w:rsidR="00DD670B" w:rsidRDefault="008878A0" w:rsidP="0097006C">
      <w:pPr>
        <w:spacing w:line="283" w:lineRule="auto"/>
        <w:ind w:right="232"/>
        <w:rPr>
          <w:rFonts w:eastAsia="Arial Narrow" w:cstheme="minorHAnsi"/>
          <w:spacing w:val="-7"/>
        </w:rPr>
      </w:pPr>
      <w:r>
        <w:rPr>
          <w:rFonts w:eastAsia="Arial Narrow" w:cstheme="minorHAnsi"/>
          <w:spacing w:val="-1"/>
        </w:rPr>
        <w:t>K</w:t>
      </w:r>
      <w:r>
        <w:rPr>
          <w:rFonts w:eastAsia="Arial Narrow" w:cstheme="minorHAnsi"/>
        </w:rPr>
        <w:t>rap</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o-</w:t>
      </w:r>
      <w:r>
        <w:rPr>
          <w:rFonts w:eastAsia="Arial Narrow" w:cstheme="minorHAnsi"/>
          <w:spacing w:val="1"/>
        </w:rPr>
        <w:t>z</w:t>
      </w:r>
      <w:r>
        <w:rPr>
          <w:rFonts w:eastAsia="Arial Narrow" w:cstheme="minorHAnsi"/>
        </w:rPr>
        <w:t>a</w:t>
      </w:r>
      <w:r>
        <w:rPr>
          <w:rFonts w:eastAsia="Arial Narrow" w:cstheme="minorHAnsi"/>
          <w:spacing w:val="-2"/>
        </w:rPr>
        <w:t>g</w:t>
      </w:r>
      <w:r>
        <w:rPr>
          <w:rFonts w:eastAsia="Arial Narrow" w:cstheme="minorHAnsi"/>
        </w:rPr>
        <w:t>or</w:t>
      </w:r>
      <w:r>
        <w:rPr>
          <w:rFonts w:eastAsia="Arial Narrow" w:cstheme="minorHAnsi"/>
          <w:spacing w:val="1"/>
        </w:rPr>
        <w:t>s</w:t>
      </w:r>
      <w:r>
        <w:rPr>
          <w:rFonts w:eastAsia="Arial Narrow" w:cstheme="minorHAnsi"/>
          <w:spacing w:val="-2"/>
        </w:rPr>
        <w:t>k</w:t>
      </w:r>
      <w:r>
        <w:rPr>
          <w:rFonts w:eastAsia="Arial Narrow" w:cstheme="minorHAnsi"/>
        </w:rPr>
        <w:t>a</w:t>
      </w:r>
      <w:r>
        <w:rPr>
          <w:rFonts w:eastAsia="Arial Narrow" w:cstheme="minorHAnsi"/>
          <w:spacing w:val="3"/>
        </w:rPr>
        <w:t xml:space="preserve"> </w:t>
      </w:r>
      <w:r>
        <w:rPr>
          <w:rFonts w:eastAsia="Arial Narrow" w:cstheme="minorHAnsi"/>
          <w:spacing w:val="-2"/>
        </w:rPr>
        <w:t>ž</w:t>
      </w:r>
      <w:r>
        <w:rPr>
          <w:rFonts w:eastAsia="Arial Narrow" w:cstheme="minorHAnsi"/>
        </w:rPr>
        <w:t>upa</w:t>
      </w:r>
      <w:r>
        <w:rPr>
          <w:rFonts w:eastAsia="Arial Narrow" w:cstheme="minorHAnsi"/>
          <w:spacing w:val="-2"/>
        </w:rPr>
        <w:t>n</w:t>
      </w:r>
      <w:r>
        <w:rPr>
          <w:rFonts w:eastAsia="Arial Narrow" w:cstheme="minorHAnsi"/>
          <w:spacing w:val="1"/>
        </w:rPr>
        <w:t>ij</w:t>
      </w:r>
      <w:r>
        <w:rPr>
          <w:rFonts w:eastAsia="Arial Narrow" w:cstheme="minorHAnsi"/>
        </w:rPr>
        <w:t>a se smatra izuzetno vinorodnim područjem s višestoljetnom tradicijom u proizvodnji vina. Prema</w:t>
      </w:r>
      <w:r>
        <w:rPr>
          <w:rFonts w:eastAsia="Arial Narrow" w:cstheme="minorHAnsi"/>
          <w:spacing w:val="1"/>
        </w:rPr>
        <w:t xml:space="preserve"> </w:t>
      </w:r>
      <w:r>
        <w:rPr>
          <w:rFonts w:eastAsia="Arial Narrow" w:cstheme="minorHAnsi"/>
        </w:rPr>
        <w:t>po</w:t>
      </w:r>
      <w:r>
        <w:rPr>
          <w:rFonts w:eastAsia="Arial Narrow" w:cstheme="minorHAnsi"/>
          <w:spacing w:val="-2"/>
        </w:rPr>
        <w:t>d</w:t>
      </w:r>
      <w:r>
        <w:rPr>
          <w:rFonts w:eastAsia="Arial Narrow" w:cstheme="minorHAnsi"/>
          <w:spacing w:val="1"/>
        </w:rPr>
        <w:t>j</w:t>
      </w:r>
      <w:r>
        <w:rPr>
          <w:rFonts w:eastAsia="Arial Narrow" w:cstheme="minorHAnsi"/>
        </w:rPr>
        <w:t>e</w:t>
      </w:r>
      <w:r>
        <w:rPr>
          <w:rFonts w:eastAsia="Arial Narrow" w:cstheme="minorHAnsi"/>
          <w:spacing w:val="1"/>
        </w:rPr>
        <w:t>l</w:t>
      </w:r>
      <w:r>
        <w:rPr>
          <w:rFonts w:eastAsia="Arial Narrow" w:cstheme="minorHAnsi"/>
        </w:rPr>
        <w:t>i</w:t>
      </w:r>
      <w:r>
        <w:rPr>
          <w:rFonts w:eastAsia="Arial Narrow" w:cstheme="minorHAnsi"/>
          <w:spacing w:val="1"/>
        </w:rPr>
        <w:t xml:space="preserve"> </w:t>
      </w:r>
      <w:r>
        <w:rPr>
          <w:rFonts w:eastAsia="Arial Narrow" w:cstheme="minorHAnsi"/>
          <w:spacing w:val="-2"/>
        </w:rPr>
        <w:t>v</w:t>
      </w:r>
      <w:r>
        <w:rPr>
          <w:rFonts w:eastAsia="Arial Narrow" w:cstheme="minorHAnsi"/>
          <w:spacing w:val="1"/>
        </w:rPr>
        <w:t>i</w:t>
      </w:r>
      <w:r>
        <w:rPr>
          <w:rFonts w:eastAsia="Arial Narrow" w:cstheme="minorHAnsi"/>
        </w:rPr>
        <w:t>nogr</w:t>
      </w:r>
      <w:r>
        <w:rPr>
          <w:rFonts w:eastAsia="Arial Narrow" w:cstheme="minorHAnsi"/>
          <w:spacing w:val="-2"/>
        </w:rPr>
        <w:t>a</w:t>
      </w:r>
      <w:r>
        <w:rPr>
          <w:rFonts w:eastAsia="Arial Narrow" w:cstheme="minorHAnsi"/>
        </w:rPr>
        <w:t>dar</w:t>
      </w:r>
      <w:r>
        <w:rPr>
          <w:rFonts w:eastAsia="Arial Narrow" w:cstheme="minorHAnsi"/>
          <w:spacing w:val="-2"/>
        </w:rPr>
        <w:t>s</w:t>
      </w:r>
      <w:r>
        <w:rPr>
          <w:rFonts w:eastAsia="Arial Narrow" w:cstheme="minorHAnsi"/>
          <w:spacing w:val="1"/>
        </w:rPr>
        <w:t>ki</w:t>
      </w:r>
      <w:r>
        <w:rPr>
          <w:rFonts w:eastAsia="Arial Narrow" w:cstheme="minorHAnsi"/>
        </w:rPr>
        <w:t>h</w:t>
      </w:r>
      <w:r>
        <w:rPr>
          <w:rFonts w:eastAsia="Arial Narrow" w:cstheme="minorHAnsi"/>
          <w:spacing w:val="1"/>
        </w:rPr>
        <w:t xml:space="preserve"> </w:t>
      </w:r>
      <w:r>
        <w:rPr>
          <w:rFonts w:eastAsia="Arial Narrow" w:cstheme="minorHAnsi"/>
        </w:rPr>
        <w:t>podr</w:t>
      </w:r>
      <w:r>
        <w:rPr>
          <w:rFonts w:eastAsia="Arial Narrow" w:cstheme="minorHAnsi"/>
          <w:spacing w:val="-2"/>
        </w:rPr>
        <w:t>u</w:t>
      </w:r>
      <w:r>
        <w:rPr>
          <w:rFonts w:eastAsia="Arial Narrow" w:cstheme="minorHAnsi"/>
          <w:spacing w:val="1"/>
        </w:rPr>
        <w:t>čj</w:t>
      </w:r>
      <w:r>
        <w:rPr>
          <w:rFonts w:eastAsia="Arial Narrow" w:cstheme="minorHAnsi"/>
        </w:rPr>
        <w:t>a,</w:t>
      </w:r>
      <w:r>
        <w:rPr>
          <w:rFonts w:eastAsia="Arial Narrow" w:cstheme="minorHAnsi"/>
          <w:spacing w:val="1"/>
        </w:rPr>
        <w:t xml:space="preserve"> </w:t>
      </w:r>
      <w:r>
        <w:rPr>
          <w:rFonts w:eastAsia="Arial Narrow" w:cstheme="minorHAnsi"/>
        </w:rPr>
        <w:t>pr</w:t>
      </w:r>
      <w:r>
        <w:rPr>
          <w:rFonts w:eastAsia="Arial Narrow" w:cstheme="minorHAnsi"/>
          <w:spacing w:val="1"/>
        </w:rPr>
        <w:t>i</w:t>
      </w:r>
      <w:r>
        <w:rPr>
          <w:rFonts w:eastAsia="Arial Narrow" w:cstheme="minorHAnsi"/>
        </w:rPr>
        <w:t>p</w:t>
      </w:r>
      <w:r>
        <w:rPr>
          <w:rFonts w:eastAsia="Arial Narrow" w:cstheme="minorHAnsi"/>
          <w:spacing w:val="-2"/>
        </w:rPr>
        <w:t>a</w:t>
      </w:r>
      <w:r>
        <w:rPr>
          <w:rFonts w:eastAsia="Arial Narrow" w:cstheme="minorHAnsi"/>
        </w:rPr>
        <w:t>da</w:t>
      </w:r>
      <w:r>
        <w:rPr>
          <w:rFonts w:eastAsia="Arial Narrow" w:cstheme="minorHAnsi"/>
          <w:spacing w:val="3"/>
        </w:rPr>
        <w:t xml:space="preserve"> </w:t>
      </w:r>
      <w:r>
        <w:rPr>
          <w:rFonts w:eastAsia="Arial Narrow" w:cstheme="minorHAnsi"/>
          <w:spacing w:val="-2"/>
        </w:rPr>
        <w:t>p</w:t>
      </w:r>
      <w:r>
        <w:rPr>
          <w:rFonts w:eastAsia="Arial Narrow" w:cstheme="minorHAnsi"/>
        </w:rPr>
        <w:t>odre</w:t>
      </w:r>
      <w:r>
        <w:rPr>
          <w:rFonts w:eastAsia="Arial Narrow" w:cstheme="minorHAnsi"/>
          <w:spacing w:val="-2"/>
        </w:rPr>
        <w:t>g</w:t>
      </w:r>
      <w:r>
        <w:rPr>
          <w:rFonts w:eastAsia="Arial Narrow" w:cstheme="minorHAnsi"/>
          <w:spacing w:val="1"/>
        </w:rPr>
        <w:t>ij</w:t>
      </w:r>
      <w:r>
        <w:rPr>
          <w:rFonts w:eastAsia="Arial Narrow" w:cstheme="minorHAnsi"/>
        </w:rPr>
        <w:t>i</w:t>
      </w:r>
      <w:r>
        <w:rPr>
          <w:rFonts w:eastAsia="Arial Narrow" w:cstheme="minorHAnsi"/>
          <w:spacing w:val="1"/>
        </w:rPr>
        <w:t xml:space="preserve"> </w:t>
      </w:r>
      <w:r>
        <w:rPr>
          <w:rFonts w:eastAsia="Arial Narrow" w:cstheme="minorHAnsi"/>
          <w:spacing w:val="-3"/>
        </w:rPr>
        <w:t>Z</w:t>
      </w:r>
      <w:r>
        <w:rPr>
          <w:rFonts w:eastAsia="Arial Narrow" w:cstheme="minorHAnsi"/>
        </w:rPr>
        <w:t>agor</w:t>
      </w:r>
      <w:r>
        <w:rPr>
          <w:rFonts w:eastAsia="Arial Narrow" w:cstheme="minorHAnsi"/>
          <w:spacing w:val="1"/>
        </w:rPr>
        <w:t>j</w:t>
      </w:r>
      <w:r>
        <w:rPr>
          <w:rFonts w:eastAsia="Arial Narrow" w:cstheme="minorHAnsi"/>
        </w:rPr>
        <w:t>e</w:t>
      </w:r>
      <w:r>
        <w:rPr>
          <w:rFonts w:eastAsia="Arial Narrow" w:cstheme="minorHAnsi"/>
          <w:spacing w:val="3"/>
        </w:rPr>
        <w:t xml:space="preserve"> </w:t>
      </w:r>
      <w:r w:rsidR="009E67D7">
        <w:rPr>
          <w:rFonts w:eastAsia="Arial Narrow" w:cstheme="minorHAnsi"/>
        </w:rPr>
        <w:t>-</w:t>
      </w:r>
      <w:r>
        <w:rPr>
          <w:rFonts w:eastAsia="Arial Narrow" w:cstheme="minorHAnsi"/>
        </w:rPr>
        <w:t xml:space="preserve"> M</w:t>
      </w:r>
      <w:r>
        <w:rPr>
          <w:rFonts w:eastAsia="Arial Narrow" w:cstheme="minorHAnsi"/>
          <w:spacing w:val="-2"/>
        </w:rPr>
        <w:t>e</w:t>
      </w:r>
      <w:r>
        <w:rPr>
          <w:rFonts w:eastAsia="Arial Narrow" w:cstheme="minorHAnsi"/>
          <w:spacing w:val="1"/>
        </w:rPr>
        <w:t>đ</w:t>
      </w:r>
      <w:r>
        <w:rPr>
          <w:rFonts w:eastAsia="Arial Narrow" w:cstheme="minorHAnsi"/>
          <w:spacing w:val="-2"/>
        </w:rPr>
        <w:t>i</w:t>
      </w:r>
      <w:r>
        <w:rPr>
          <w:rFonts w:eastAsia="Arial Narrow" w:cstheme="minorHAnsi"/>
        </w:rPr>
        <w:t>mur</w:t>
      </w:r>
      <w:r>
        <w:rPr>
          <w:rFonts w:eastAsia="Arial Narrow" w:cstheme="minorHAnsi"/>
          <w:spacing w:val="1"/>
        </w:rPr>
        <w:t>j</w:t>
      </w:r>
      <w:r>
        <w:rPr>
          <w:rFonts w:eastAsia="Arial Narrow" w:cstheme="minorHAnsi"/>
        </w:rPr>
        <w:t>e. U</w:t>
      </w:r>
      <w:r>
        <w:rPr>
          <w:rFonts w:eastAsia="Arial Narrow" w:cstheme="minorHAnsi"/>
          <w:spacing w:val="1"/>
        </w:rPr>
        <w:t xml:space="preserve"> </w:t>
      </w:r>
      <w:r>
        <w:rPr>
          <w:rFonts w:eastAsia="Arial Narrow" w:cstheme="minorHAnsi"/>
        </w:rPr>
        <w:t>pr</w:t>
      </w:r>
      <w:r>
        <w:rPr>
          <w:rFonts w:eastAsia="Arial Narrow" w:cstheme="minorHAnsi"/>
          <w:spacing w:val="-2"/>
        </w:rPr>
        <w:t>o</w:t>
      </w:r>
      <w:r>
        <w:rPr>
          <w:rFonts w:eastAsia="Arial Narrow" w:cstheme="minorHAnsi"/>
          <w:spacing w:val="1"/>
        </w:rPr>
        <w:t>i</w:t>
      </w:r>
      <w:r>
        <w:rPr>
          <w:rFonts w:eastAsia="Arial Narrow" w:cstheme="minorHAnsi"/>
          <w:spacing w:val="-2"/>
        </w:rPr>
        <w:t>z</w:t>
      </w:r>
      <w:r>
        <w:rPr>
          <w:rFonts w:eastAsia="Arial Narrow" w:cstheme="minorHAnsi"/>
          <w:spacing w:val="1"/>
        </w:rPr>
        <w:t>v</w:t>
      </w:r>
      <w:r>
        <w:rPr>
          <w:rFonts w:eastAsia="Arial Narrow" w:cstheme="minorHAnsi"/>
          <w:spacing w:val="-2"/>
        </w:rPr>
        <w:t>o</w:t>
      </w:r>
      <w:r>
        <w:rPr>
          <w:rFonts w:eastAsia="Arial Narrow" w:cstheme="minorHAnsi"/>
        </w:rPr>
        <w:t>dn</w:t>
      </w:r>
      <w:r>
        <w:rPr>
          <w:rFonts w:eastAsia="Arial Narrow" w:cstheme="minorHAnsi"/>
          <w:spacing w:val="1"/>
        </w:rPr>
        <w:t>j</w:t>
      </w:r>
      <w:r>
        <w:rPr>
          <w:rFonts w:eastAsia="Arial Narrow" w:cstheme="minorHAnsi"/>
        </w:rPr>
        <w:t>i</w:t>
      </w:r>
      <w:r>
        <w:rPr>
          <w:rFonts w:eastAsia="Arial Narrow" w:cstheme="minorHAnsi"/>
          <w:spacing w:val="1"/>
        </w:rPr>
        <w:t xml:space="preserve"> vi</w:t>
      </w:r>
      <w:r>
        <w:rPr>
          <w:rFonts w:eastAsia="Arial Narrow" w:cstheme="minorHAnsi"/>
        </w:rPr>
        <w:t>na pred</w:t>
      </w:r>
      <w:r>
        <w:rPr>
          <w:rFonts w:eastAsia="Arial Narrow" w:cstheme="minorHAnsi"/>
          <w:spacing w:val="-2"/>
        </w:rPr>
        <w:t>n</w:t>
      </w:r>
      <w:r>
        <w:rPr>
          <w:rFonts w:eastAsia="Arial Narrow" w:cstheme="minorHAnsi"/>
          <w:spacing w:val="1"/>
        </w:rPr>
        <w:t>j</w:t>
      </w:r>
      <w:r>
        <w:rPr>
          <w:rFonts w:eastAsia="Arial Narrow" w:cstheme="minorHAnsi"/>
        </w:rPr>
        <w:t>a</w:t>
      </w:r>
      <w:r>
        <w:rPr>
          <w:rFonts w:eastAsia="Arial Narrow" w:cstheme="minorHAnsi"/>
          <w:spacing w:val="1"/>
        </w:rPr>
        <w:t>č</w:t>
      </w:r>
      <w:r>
        <w:rPr>
          <w:rFonts w:eastAsia="Arial Narrow" w:cstheme="minorHAnsi"/>
        </w:rPr>
        <w:t xml:space="preserve">e sorte </w:t>
      </w:r>
      <w:r>
        <w:rPr>
          <w:rFonts w:eastAsia="Arial Narrow" w:cstheme="minorHAnsi"/>
          <w:spacing w:val="1"/>
        </w:rPr>
        <w:t>c</w:t>
      </w:r>
      <w:r>
        <w:rPr>
          <w:rFonts w:eastAsia="Arial Narrow" w:cstheme="minorHAnsi"/>
          <w:spacing w:val="-2"/>
        </w:rPr>
        <w:t>h</w:t>
      </w:r>
      <w:r>
        <w:rPr>
          <w:rFonts w:eastAsia="Arial Narrow" w:cstheme="minorHAnsi"/>
        </w:rPr>
        <w:t>ardon</w:t>
      </w:r>
      <w:r>
        <w:rPr>
          <w:rFonts w:eastAsia="Arial Narrow" w:cstheme="minorHAnsi"/>
          <w:spacing w:val="-2"/>
        </w:rPr>
        <w:t>n</w:t>
      </w:r>
      <w:r>
        <w:rPr>
          <w:rFonts w:eastAsia="Arial Narrow" w:cstheme="minorHAnsi"/>
        </w:rPr>
        <w:t>a</w:t>
      </w:r>
      <w:r>
        <w:rPr>
          <w:rFonts w:eastAsia="Arial Narrow" w:cstheme="minorHAnsi"/>
          <w:spacing w:val="1"/>
        </w:rPr>
        <w:t>y</w:t>
      </w:r>
      <w:r>
        <w:rPr>
          <w:rFonts w:eastAsia="Arial Narrow" w:cstheme="minorHAnsi"/>
        </w:rPr>
        <w:t>,</w:t>
      </w:r>
      <w:r>
        <w:rPr>
          <w:rFonts w:eastAsia="Arial Narrow" w:cstheme="minorHAnsi"/>
          <w:spacing w:val="2"/>
        </w:rPr>
        <w:t xml:space="preserve"> </w:t>
      </w:r>
      <w:r>
        <w:rPr>
          <w:rFonts w:eastAsia="Arial Narrow" w:cstheme="minorHAnsi"/>
        </w:rPr>
        <w:t>p</w:t>
      </w:r>
      <w:r>
        <w:rPr>
          <w:rFonts w:eastAsia="Arial Narrow" w:cstheme="minorHAnsi"/>
          <w:spacing w:val="-2"/>
        </w:rPr>
        <w:t>i</w:t>
      </w:r>
      <w:r>
        <w:rPr>
          <w:rFonts w:eastAsia="Arial Narrow" w:cstheme="minorHAnsi"/>
        </w:rPr>
        <w:t>not</w:t>
      </w:r>
      <w:r>
        <w:rPr>
          <w:rFonts w:eastAsia="Arial Narrow" w:cstheme="minorHAnsi"/>
          <w:spacing w:val="2"/>
        </w:rPr>
        <w:t xml:space="preserve"> </w:t>
      </w:r>
      <w:r>
        <w:rPr>
          <w:rFonts w:eastAsia="Arial Narrow" w:cstheme="minorHAnsi"/>
          <w:spacing w:val="-2"/>
        </w:rPr>
        <w:t>b</w:t>
      </w:r>
      <w:r>
        <w:rPr>
          <w:rFonts w:eastAsia="Arial Narrow" w:cstheme="minorHAnsi"/>
          <w:spacing w:val="1"/>
        </w:rPr>
        <w:t>ij</w:t>
      </w:r>
      <w:r>
        <w:rPr>
          <w:rFonts w:eastAsia="Arial Narrow" w:cstheme="minorHAnsi"/>
          <w:spacing w:val="-2"/>
        </w:rPr>
        <w:t>e</w:t>
      </w:r>
      <w:r>
        <w:rPr>
          <w:rFonts w:eastAsia="Arial Narrow" w:cstheme="minorHAnsi"/>
          <w:spacing w:val="1"/>
        </w:rPr>
        <w:t>li</w:t>
      </w:r>
      <w:r>
        <w:rPr>
          <w:rFonts w:eastAsia="Arial Narrow" w:cstheme="minorHAnsi"/>
        </w:rPr>
        <w:t>,</w:t>
      </w:r>
      <w:r>
        <w:rPr>
          <w:rFonts w:eastAsia="Arial Narrow" w:cstheme="minorHAnsi"/>
          <w:spacing w:val="2"/>
        </w:rPr>
        <w:t xml:space="preserve"> </w:t>
      </w:r>
      <w:r>
        <w:rPr>
          <w:rFonts w:eastAsia="Arial Narrow" w:cstheme="minorHAnsi"/>
          <w:spacing w:val="-2"/>
        </w:rPr>
        <w:t>p</w:t>
      </w:r>
      <w:r>
        <w:rPr>
          <w:rFonts w:eastAsia="Arial Narrow" w:cstheme="minorHAnsi"/>
          <w:spacing w:val="1"/>
        </w:rPr>
        <w:t>i</w:t>
      </w:r>
      <w:r>
        <w:rPr>
          <w:rFonts w:eastAsia="Arial Narrow" w:cstheme="minorHAnsi"/>
        </w:rPr>
        <w:t xml:space="preserve">not </w:t>
      </w:r>
      <w:r>
        <w:rPr>
          <w:rFonts w:eastAsia="Arial Narrow" w:cstheme="minorHAnsi"/>
          <w:spacing w:val="1"/>
        </w:rPr>
        <w:t>s</w:t>
      </w:r>
      <w:r>
        <w:rPr>
          <w:rFonts w:eastAsia="Arial Narrow" w:cstheme="minorHAnsi"/>
          <w:spacing w:val="-2"/>
        </w:rPr>
        <w:t>i</w:t>
      </w:r>
      <w:r>
        <w:rPr>
          <w:rFonts w:eastAsia="Arial Narrow" w:cstheme="minorHAnsi"/>
          <w:spacing w:val="1"/>
        </w:rPr>
        <w:t>vi</w:t>
      </w:r>
      <w:r>
        <w:rPr>
          <w:rFonts w:eastAsia="Arial Narrow" w:cstheme="minorHAnsi"/>
        </w:rPr>
        <w:t>,</w:t>
      </w:r>
      <w:r>
        <w:rPr>
          <w:rFonts w:eastAsia="Arial Narrow" w:cstheme="minorHAnsi"/>
          <w:spacing w:val="2"/>
        </w:rPr>
        <w:t xml:space="preserve"> </w:t>
      </w:r>
      <w:r>
        <w:rPr>
          <w:rFonts w:eastAsia="Arial Narrow" w:cstheme="minorHAnsi"/>
        </w:rPr>
        <w:t>t</w:t>
      </w:r>
      <w:r>
        <w:rPr>
          <w:rFonts w:eastAsia="Arial Narrow" w:cstheme="minorHAnsi"/>
          <w:spacing w:val="-3"/>
        </w:rPr>
        <w:t>r</w:t>
      </w:r>
      <w:r>
        <w:rPr>
          <w:rFonts w:eastAsia="Arial Narrow" w:cstheme="minorHAnsi"/>
          <w:spacing w:val="-2"/>
        </w:rPr>
        <w:t>a</w:t>
      </w:r>
      <w:r>
        <w:rPr>
          <w:rFonts w:eastAsia="Arial Narrow" w:cstheme="minorHAnsi"/>
        </w:rPr>
        <w:t>m</w:t>
      </w:r>
      <w:r>
        <w:rPr>
          <w:rFonts w:eastAsia="Arial Narrow" w:cstheme="minorHAnsi"/>
          <w:spacing w:val="1"/>
        </w:rPr>
        <w:t>i</w:t>
      </w:r>
      <w:r>
        <w:rPr>
          <w:rFonts w:eastAsia="Arial Narrow" w:cstheme="minorHAnsi"/>
        </w:rPr>
        <w:t>na</w:t>
      </w:r>
      <w:r>
        <w:rPr>
          <w:rFonts w:eastAsia="Arial Narrow" w:cstheme="minorHAnsi"/>
          <w:spacing w:val="-2"/>
        </w:rPr>
        <w:t>c</w:t>
      </w:r>
      <w:r>
        <w:rPr>
          <w:rFonts w:eastAsia="Arial Narrow" w:cstheme="minorHAnsi"/>
        </w:rPr>
        <w:t>,</w:t>
      </w:r>
      <w:r>
        <w:rPr>
          <w:rFonts w:eastAsia="Arial Narrow" w:cstheme="minorHAnsi"/>
          <w:spacing w:val="2"/>
        </w:rPr>
        <w:t xml:space="preserve"> </w:t>
      </w:r>
      <w:r>
        <w:rPr>
          <w:rFonts w:eastAsia="Arial Narrow" w:cstheme="minorHAnsi"/>
        </w:rPr>
        <w:t>r</w:t>
      </w:r>
      <w:r>
        <w:rPr>
          <w:rFonts w:eastAsia="Arial Narrow" w:cstheme="minorHAnsi"/>
          <w:spacing w:val="-2"/>
        </w:rPr>
        <w:t>i</w:t>
      </w:r>
      <w:r>
        <w:rPr>
          <w:rFonts w:eastAsia="Arial Narrow" w:cstheme="minorHAnsi"/>
          <w:spacing w:val="1"/>
        </w:rPr>
        <w:t>zli</w:t>
      </w:r>
      <w:r>
        <w:rPr>
          <w:rFonts w:eastAsia="Arial Narrow" w:cstheme="minorHAnsi"/>
          <w:spacing w:val="-2"/>
        </w:rPr>
        <w:t>n</w:t>
      </w:r>
      <w:r>
        <w:rPr>
          <w:rFonts w:eastAsia="Arial Narrow" w:cstheme="minorHAnsi"/>
        </w:rPr>
        <w:t>g</w:t>
      </w:r>
      <w:r>
        <w:rPr>
          <w:rFonts w:eastAsia="Arial Narrow" w:cstheme="minorHAnsi"/>
          <w:spacing w:val="2"/>
        </w:rPr>
        <w:t xml:space="preserve"> </w:t>
      </w:r>
      <w:r>
        <w:rPr>
          <w:rFonts w:eastAsia="Arial Narrow" w:cstheme="minorHAnsi"/>
        </w:rPr>
        <w:t>ra</w:t>
      </w:r>
      <w:r>
        <w:rPr>
          <w:rFonts w:eastAsia="Arial Narrow" w:cstheme="minorHAnsi"/>
          <w:spacing w:val="1"/>
        </w:rPr>
        <w:t>j</w:t>
      </w:r>
      <w:r>
        <w:rPr>
          <w:rFonts w:eastAsia="Arial Narrow" w:cstheme="minorHAnsi"/>
          <w:spacing w:val="-2"/>
        </w:rPr>
        <w:t>n</w:t>
      </w:r>
      <w:r>
        <w:rPr>
          <w:rFonts w:eastAsia="Arial Narrow" w:cstheme="minorHAnsi"/>
          <w:spacing w:val="1"/>
        </w:rPr>
        <w:t>s</w:t>
      </w:r>
      <w:r>
        <w:rPr>
          <w:rFonts w:eastAsia="Arial Narrow" w:cstheme="minorHAnsi"/>
          <w:spacing w:val="-2"/>
        </w:rPr>
        <w:t>k</w:t>
      </w:r>
      <w:r>
        <w:rPr>
          <w:rFonts w:eastAsia="Arial Narrow" w:cstheme="minorHAnsi"/>
        </w:rPr>
        <w:t>i</w:t>
      </w:r>
      <w:r>
        <w:rPr>
          <w:rFonts w:eastAsia="Arial Narrow" w:cstheme="minorHAnsi"/>
          <w:spacing w:val="3"/>
        </w:rPr>
        <w:t xml:space="preserve"> </w:t>
      </w:r>
      <w:r>
        <w:rPr>
          <w:rFonts w:eastAsia="Arial Narrow" w:cstheme="minorHAnsi"/>
        </w:rPr>
        <w:t>i gra</w:t>
      </w:r>
      <w:r>
        <w:rPr>
          <w:rFonts w:eastAsia="Arial Narrow" w:cstheme="minorHAnsi"/>
          <w:spacing w:val="1"/>
        </w:rPr>
        <w:t>š</w:t>
      </w:r>
      <w:r>
        <w:rPr>
          <w:rFonts w:eastAsia="Arial Narrow" w:cstheme="minorHAnsi"/>
        </w:rPr>
        <w:t>e</w:t>
      </w:r>
      <w:r>
        <w:rPr>
          <w:rFonts w:eastAsia="Arial Narrow" w:cstheme="minorHAnsi"/>
          <w:spacing w:val="-2"/>
        </w:rPr>
        <w:t>v</w:t>
      </w:r>
      <w:r>
        <w:rPr>
          <w:rFonts w:eastAsia="Arial Narrow" w:cstheme="minorHAnsi"/>
          <w:spacing w:val="1"/>
        </w:rPr>
        <w:t>i</w:t>
      </w:r>
      <w:r>
        <w:rPr>
          <w:rFonts w:eastAsia="Arial Narrow" w:cstheme="minorHAnsi"/>
        </w:rPr>
        <w:t>na.</w:t>
      </w:r>
      <w:r>
        <w:rPr>
          <w:rFonts w:eastAsia="Arial Narrow" w:cstheme="minorHAnsi"/>
          <w:spacing w:val="2"/>
        </w:rPr>
        <w:t xml:space="preserve"> </w:t>
      </w:r>
      <w:r>
        <w:rPr>
          <w:rFonts w:cstheme="minorHAnsi"/>
        </w:rPr>
        <w:t>Od visokokvalitetnih crnih vina u Zagorju se proizvode pinot crni i cabernet sauvignon te kvalitetna crna vina frankovka, portugizac i zweig</w:t>
      </w:r>
      <w:r w:rsidR="006B3661">
        <w:rPr>
          <w:rFonts w:cstheme="minorHAnsi"/>
        </w:rPr>
        <w:t>el</w:t>
      </w:r>
      <w:r>
        <w:rPr>
          <w:rFonts w:cstheme="minorHAnsi"/>
        </w:rPr>
        <w:t>t.</w:t>
      </w:r>
      <w:r>
        <w:t xml:space="preserve"> </w:t>
      </w:r>
      <w:bookmarkStart w:id="200" w:name="_Hlk67035397"/>
      <w:r w:rsidRPr="00A7185B">
        <w:rPr>
          <w:rFonts w:cstheme="minorHAnsi"/>
        </w:rPr>
        <w:t>Kvaliteta</w:t>
      </w:r>
      <w:r w:rsidR="00A7185B">
        <w:rPr>
          <w:rFonts w:cstheme="minorHAnsi"/>
        </w:rPr>
        <w:t xml:space="preserve"> </w:t>
      </w:r>
      <w:r w:rsidRPr="00A7185B">
        <w:rPr>
          <w:rFonts w:cstheme="minorHAnsi"/>
        </w:rPr>
        <w:t>vina posljednjih je desetak godina značajno porasla što je rezultat višegodišnjeg predanog rada zagorskih vinara koji na tržište plasiraju od sortnih vina do kvalitetnih i vrhunskih vina, a predikatna vina i ledene berbe su svjetski poznata.</w:t>
      </w:r>
      <w:bookmarkEnd w:id="200"/>
    </w:p>
    <w:p w14:paraId="0210E8B2" w14:textId="77777777" w:rsidR="00BD0057" w:rsidRDefault="00BD0057" w:rsidP="0097006C">
      <w:pPr>
        <w:spacing w:line="283" w:lineRule="auto"/>
        <w:ind w:right="232"/>
        <w:rPr>
          <w:rFonts w:eastAsia="Arial Narrow" w:cstheme="minorHAnsi"/>
          <w:spacing w:val="-7"/>
        </w:rPr>
      </w:pPr>
    </w:p>
    <w:p w14:paraId="433478E8" w14:textId="07C4B408" w:rsidR="00DD670B" w:rsidRDefault="00DD670B" w:rsidP="003E3F3C">
      <w:pPr>
        <w:pStyle w:val="Opisslike"/>
      </w:pPr>
      <w:r>
        <w:t>Tablica</w:t>
      </w:r>
      <w:r w:rsidR="00BD0057">
        <w:t xml:space="preserve"> 1</w:t>
      </w:r>
      <w:r w:rsidR="00A7185B">
        <w:t>20</w:t>
      </w:r>
      <w:r>
        <w:t xml:space="preserve">. </w:t>
      </w:r>
      <w:r w:rsidRPr="00CF1280">
        <w:t>Vinogradarstvo u Krapinsko-zagorskoj županiji, 2015.</w:t>
      </w:r>
      <w:r w:rsidR="009E67D7">
        <w:t xml:space="preserve"> </w:t>
      </w:r>
      <w:r w:rsidRPr="00CF1280">
        <w:t>- 20</w:t>
      </w:r>
      <w:r w:rsidR="00A31ABA">
        <w:t>20</w:t>
      </w:r>
      <w:r w:rsidRPr="00CF1280">
        <w:t>.</w:t>
      </w:r>
    </w:p>
    <w:tbl>
      <w:tblPr>
        <w:tblW w:w="0" w:type="auto"/>
        <w:tblInd w:w="137" w:type="dxa"/>
        <w:tblLook w:val="04A0" w:firstRow="1" w:lastRow="0" w:firstColumn="1" w:lastColumn="0" w:noHBand="0" w:noVBand="1"/>
      </w:tblPr>
      <w:tblGrid>
        <w:gridCol w:w="2353"/>
        <w:gridCol w:w="1646"/>
        <w:gridCol w:w="1751"/>
        <w:gridCol w:w="1561"/>
        <w:gridCol w:w="1402"/>
      </w:tblGrid>
      <w:tr w:rsidR="00950D9E" w14:paraId="276D955B" w14:textId="1CD7ED43" w:rsidTr="00346E38">
        <w:trPr>
          <w:trHeight w:val="278"/>
        </w:trPr>
        <w:tc>
          <w:tcPr>
            <w:tcW w:w="2283" w:type="dxa"/>
            <w:tcBorders>
              <w:left w:val="single" w:sz="8" w:space="0" w:color="D2232A"/>
            </w:tcBorders>
            <w:shd w:val="clear" w:color="auto" w:fill="D2232A" w:themeFill="accent1"/>
            <w:vAlign w:val="center"/>
            <w:hideMark/>
          </w:tcPr>
          <w:p w14:paraId="5A174ED3" w14:textId="77777777" w:rsidR="00950D9E" w:rsidRDefault="00950D9E" w:rsidP="00E9455B">
            <w:pPr>
              <w:spacing w:after="0"/>
              <w:jc w:val="center"/>
              <w:rPr>
                <w:rFonts w:cstheme="minorHAnsi"/>
              </w:rPr>
            </w:pPr>
            <w:r>
              <w:rPr>
                <w:rFonts w:eastAsia="Arial Narrow" w:cstheme="minorHAnsi"/>
                <w:color w:val="FFFFFF"/>
              </w:rPr>
              <w:t>Godina</w:t>
            </w:r>
          </w:p>
        </w:tc>
        <w:tc>
          <w:tcPr>
            <w:tcW w:w="1646" w:type="dxa"/>
            <w:shd w:val="clear" w:color="auto" w:fill="D2232A" w:themeFill="accent1"/>
            <w:vAlign w:val="center"/>
            <w:hideMark/>
          </w:tcPr>
          <w:p w14:paraId="4B37E69E" w14:textId="77777777" w:rsidR="00950D9E" w:rsidRDefault="00950D9E" w:rsidP="00E9455B">
            <w:pPr>
              <w:spacing w:after="0"/>
              <w:jc w:val="right"/>
              <w:rPr>
                <w:rFonts w:cstheme="minorHAnsi"/>
              </w:rPr>
            </w:pPr>
            <w:r>
              <w:rPr>
                <w:rFonts w:eastAsia="Arial Narrow" w:cstheme="minorHAnsi"/>
                <w:color w:val="FFFFFF"/>
              </w:rPr>
              <w:t>Ukupna</w:t>
            </w:r>
            <w:r>
              <w:rPr>
                <w:rFonts w:eastAsia="Arial Narrow" w:cstheme="minorHAnsi"/>
                <w:color w:val="FFFFFF"/>
                <w:spacing w:val="-6"/>
              </w:rPr>
              <w:t xml:space="preserve"> </w:t>
            </w:r>
            <w:r>
              <w:rPr>
                <w:rFonts w:eastAsia="Arial Narrow" w:cstheme="minorHAnsi"/>
                <w:color w:val="FFFFFF"/>
              </w:rPr>
              <w:t>pov</w:t>
            </w:r>
            <w:r>
              <w:rPr>
                <w:rFonts w:eastAsia="Arial Narrow" w:cstheme="minorHAnsi"/>
                <w:color w:val="FFFFFF"/>
                <w:spacing w:val="1"/>
              </w:rPr>
              <w:t>r</w:t>
            </w:r>
            <w:r>
              <w:rPr>
                <w:rFonts w:eastAsia="Arial Narrow" w:cstheme="minorHAnsi"/>
                <w:color w:val="FFFFFF"/>
              </w:rPr>
              <w:t>šina,</w:t>
            </w:r>
            <w:r>
              <w:rPr>
                <w:rFonts w:eastAsia="Arial Narrow" w:cstheme="minorHAnsi"/>
                <w:color w:val="FFFFFF"/>
                <w:spacing w:val="-7"/>
              </w:rPr>
              <w:t xml:space="preserve"> </w:t>
            </w:r>
            <w:r>
              <w:rPr>
                <w:rFonts w:eastAsia="Arial Narrow" w:cstheme="minorHAnsi"/>
                <w:color w:val="FFFFFF"/>
              </w:rPr>
              <w:t>ha</w:t>
            </w:r>
          </w:p>
        </w:tc>
        <w:tc>
          <w:tcPr>
            <w:tcW w:w="1751" w:type="dxa"/>
            <w:shd w:val="clear" w:color="auto" w:fill="D2232A" w:themeFill="accent1"/>
            <w:vAlign w:val="center"/>
            <w:hideMark/>
          </w:tcPr>
          <w:p w14:paraId="3A971FCE" w14:textId="77777777" w:rsidR="00950D9E" w:rsidRDefault="00950D9E" w:rsidP="00E9455B">
            <w:pPr>
              <w:spacing w:after="0"/>
              <w:jc w:val="right"/>
              <w:rPr>
                <w:rFonts w:cstheme="minorHAnsi"/>
              </w:rPr>
            </w:pPr>
            <w:r>
              <w:rPr>
                <w:rFonts w:eastAsia="Arial Narrow" w:cstheme="minorHAnsi"/>
                <w:color w:val="FFFFFF"/>
              </w:rPr>
              <w:t>Ukupan</w:t>
            </w:r>
            <w:r>
              <w:rPr>
                <w:rFonts w:eastAsia="Arial Narrow" w:cstheme="minorHAnsi"/>
                <w:color w:val="FFFFFF"/>
                <w:spacing w:val="-6"/>
              </w:rPr>
              <w:t xml:space="preserve"> </w:t>
            </w:r>
            <w:r>
              <w:rPr>
                <w:rFonts w:eastAsia="Arial Narrow" w:cstheme="minorHAnsi"/>
                <w:color w:val="FFFFFF"/>
              </w:rPr>
              <w:t>b</w:t>
            </w:r>
            <w:r>
              <w:rPr>
                <w:rFonts w:eastAsia="Arial Narrow" w:cstheme="minorHAnsi"/>
                <w:color w:val="FFFFFF"/>
                <w:spacing w:val="1"/>
              </w:rPr>
              <w:t>r</w:t>
            </w:r>
            <w:r>
              <w:rPr>
                <w:rFonts w:eastAsia="Arial Narrow" w:cstheme="minorHAnsi"/>
                <w:color w:val="FFFFFF"/>
              </w:rPr>
              <w:t>oj</w:t>
            </w:r>
            <w:r>
              <w:rPr>
                <w:rFonts w:eastAsia="Arial Narrow" w:cstheme="minorHAnsi"/>
                <w:color w:val="FFFFFF"/>
                <w:spacing w:val="-3"/>
              </w:rPr>
              <w:t xml:space="preserve"> </w:t>
            </w:r>
            <w:r>
              <w:rPr>
                <w:rFonts w:eastAsia="Arial Narrow" w:cstheme="minorHAnsi"/>
                <w:color w:val="FFFFFF"/>
              </w:rPr>
              <w:t>t</w:t>
            </w:r>
            <w:r>
              <w:rPr>
                <w:rFonts w:eastAsia="Arial Narrow" w:cstheme="minorHAnsi"/>
                <w:color w:val="FFFFFF"/>
                <w:spacing w:val="1"/>
              </w:rPr>
              <w:t>r</w:t>
            </w:r>
            <w:r>
              <w:rPr>
                <w:rFonts w:eastAsia="Arial Narrow" w:cstheme="minorHAnsi"/>
                <w:color w:val="FFFFFF"/>
              </w:rPr>
              <w:t>sova</w:t>
            </w:r>
          </w:p>
        </w:tc>
        <w:tc>
          <w:tcPr>
            <w:tcW w:w="1561" w:type="dxa"/>
            <w:tcBorders>
              <w:right w:val="single" w:sz="8" w:space="0" w:color="D2232A"/>
            </w:tcBorders>
            <w:shd w:val="clear" w:color="auto" w:fill="D2232A" w:themeFill="accent1"/>
            <w:vAlign w:val="center"/>
            <w:hideMark/>
          </w:tcPr>
          <w:p w14:paraId="52ABE499" w14:textId="77777777" w:rsidR="00950D9E" w:rsidRDefault="00950D9E" w:rsidP="00E9455B">
            <w:pPr>
              <w:spacing w:after="0" w:line="220" w:lineRule="exact"/>
              <w:jc w:val="right"/>
              <w:rPr>
                <w:rFonts w:eastAsia="Arial Narrow" w:cstheme="minorHAnsi"/>
                <w:color w:val="FFFFFF" w:themeColor="background1"/>
              </w:rPr>
            </w:pPr>
            <w:r>
              <w:rPr>
                <w:rFonts w:eastAsia="Arial Narrow" w:cstheme="minorHAnsi"/>
                <w:color w:val="FFFFFF" w:themeColor="background1"/>
              </w:rPr>
              <w:t>Broj parcela</w:t>
            </w:r>
          </w:p>
        </w:tc>
        <w:tc>
          <w:tcPr>
            <w:tcW w:w="1402" w:type="dxa"/>
            <w:tcBorders>
              <w:right w:val="single" w:sz="8" w:space="0" w:color="D2232A"/>
            </w:tcBorders>
            <w:shd w:val="clear" w:color="auto" w:fill="D2232A" w:themeFill="accent1"/>
          </w:tcPr>
          <w:p w14:paraId="22B5D3E5" w14:textId="1398BD30" w:rsidR="00950D9E" w:rsidRDefault="00950D9E" w:rsidP="00E9455B">
            <w:pPr>
              <w:spacing w:after="0" w:line="220" w:lineRule="exact"/>
              <w:jc w:val="right"/>
              <w:rPr>
                <w:rFonts w:eastAsia="Arial Narrow" w:cstheme="minorHAnsi"/>
                <w:color w:val="FFFFFF" w:themeColor="background1"/>
              </w:rPr>
            </w:pPr>
            <w:r>
              <w:rPr>
                <w:rFonts w:eastAsia="Arial Narrow" w:cstheme="minorHAnsi"/>
                <w:color w:val="FFFFFF" w:themeColor="background1"/>
              </w:rPr>
              <w:t>Broj PG</w:t>
            </w:r>
          </w:p>
        </w:tc>
      </w:tr>
      <w:tr w:rsidR="00950D9E" w14:paraId="0304FC92" w14:textId="348EC6A4" w:rsidTr="00346E38">
        <w:trPr>
          <w:trHeight w:val="278"/>
        </w:trPr>
        <w:tc>
          <w:tcPr>
            <w:tcW w:w="2283" w:type="dxa"/>
            <w:tcBorders>
              <w:left w:val="single" w:sz="8" w:space="0" w:color="D2232A"/>
              <w:bottom w:val="single" w:sz="8" w:space="0" w:color="F3CFC1"/>
              <w:right w:val="single" w:sz="8" w:space="0" w:color="D2232A"/>
            </w:tcBorders>
            <w:vAlign w:val="center"/>
            <w:hideMark/>
          </w:tcPr>
          <w:p w14:paraId="32077A62" w14:textId="77777777" w:rsidR="00950D9E" w:rsidRPr="00E9455B" w:rsidRDefault="00950D9E" w:rsidP="00E9455B">
            <w:pPr>
              <w:spacing w:before="36" w:after="0"/>
              <w:ind w:left="854" w:right="876"/>
              <w:jc w:val="center"/>
              <w:rPr>
                <w:rFonts w:eastAsia="Arial Narrow" w:cstheme="minorHAnsi"/>
                <w:w w:val="99"/>
              </w:rPr>
            </w:pPr>
            <w:r w:rsidRPr="00E9455B">
              <w:rPr>
                <w:rFonts w:eastAsia="Arial Narrow" w:cstheme="minorHAnsi"/>
                <w:w w:val="99"/>
              </w:rPr>
              <w:t>2015.</w:t>
            </w:r>
          </w:p>
        </w:tc>
        <w:tc>
          <w:tcPr>
            <w:tcW w:w="1646" w:type="dxa"/>
            <w:tcBorders>
              <w:left w:val="single" w:sz="8" w:space="0" w:color="D2232A"/>
              <w:bottom w:val="single" w:sz="8" w:space="0" w:color="F3CFC1"/>
              <w:right w:val="single" w:sz="8" w:space="0" w:color="D2232A"/>
            </w:tcBorders>
            <w:vAlign w:val="bottom"/>
            <w:hideMark/>
          </w:tcPr>
          <w:p w14:paraId="63EECF86" w14:textId="77777777" w:rsidR="00950D9E" w:rsidRPr="00E9455B" w:rsidRDefault="00950D9E" w:rsidP="002976A0">
            <w:pPr>
              <w:spacing w:after="0"/>
              <w:jc w:val="right"/>
              <w:rPr>
                <w:rFonts w:eastAsiaTheme="minorHAnsi" w:cstheme="minorHAnsi"/>
              </w:rPr>
            </w:pPr>
            <w:r w:rsidRPr="00E9455B">
              <w:rPr>
                <w:rFonts w:cstheme="minorHAnsi"/>
              </w:rPr>
              <w:t>760,61</w:t>
            </w:r>
          </w:p>
        </w:tc>
        <w:tc>
          <w:tcPr>
            <w:tcW w:w="1751" w:type="dxa"/>
            <w:tcBorders>
              <w:left w:val="single" w:sz="8" w:space="0" w:color="D2232A"/>
              <w:bottom w:val="single" w:sz="8" w:space="0" w:color="F3CFC1"/>
              <w:right w:val="single" w:sz="8" w:space="0" w:color="D2232A"/>
            </w:tcBorders>
            <w:vAlign w:val="bottom"/>
            <w:hideMark/>
          </w:tcPr>
          <w:p w14:paraId="5B9C4449" w14:textId="77777777" w:rsidR="00950D9E" w:rsidRPr="00E9455B" w:rsidRDefault="00950D9E" w:rsidP="002976A0">
            <w:pPr>
              <w:spacing w:after="0"/>
              <w:jc w:val="right"/>
              <w:rPr>
                <w:rFonts w:cstheme="minorHAnsi"/>
              </w:rPr>
            </w:pPr>
            <w:r w:rsidRPr="00E9455B">
              <w:rPr>
                <w:rFonts w:cstheme="minorHAnsi"/>
              </w:rPr>
              <w:t>4.516.372</w:t>
            </w:r>
          </w:p>
        </w:tc>
        <w:tc>
          <w:tcPr>
            <w:tcW w:w="1561" w:type="dxa"/>
            <w:tcBorders>
              <w:left w:val="single" w:sz="8" w:space="0" w:color="D2232A"/>
              <w:bottom w:val="single" w:sz="8" w:space="0" w:color="F3CFC1"/>
              <w:right w:val="single" w:sz="8" w:space="0" w:color="D2232A"/>
            </w:tcBorders>
            <w:vAlign w:val="bottom"/>
            <w:hideMark/>
          </w:tcPr>
          <w:p w14:paraId="14F480FC" w14:textId="77777777" w:rsidR="00950D9E" w:rsidRPr="00E9455B" w:rsidRDefault="00950D9E" w:rsidP="002976A0">
            <w:pPr>
              <w:spacing w:after="0"/>
              <w:jc w:val="right"/>
              <w:rPr>
                <w:rFonts w:cstheme="minorHAnsi"/>
              </w:rPr>
            </w:pPr>
            <w:r w:rsidRPr="00E9455B">
              <w:rPr>
                <w:rFonts w:cstheme="minorHAnsi"/>
              </w:rPr>
              <w:t>8.288</w:t>
            </w:r>
          </w:p>
        </w:tc>
        <w:tc>
          <w:tcPr>
            <w:tcW w:w="1402" w:type="dxa"/>
            <w:tcBorders>
              <w:left w:val="single" w:sz="8" w:space="0" w:color="D2232A"/>
              <w:bottom w:val="single" w:sz="8" w:space="0" w:color="F3CFC1"/>
              <w:right w:val="single" w:sz="8" w:space="0" w:color="D2232A"/>
            </w:tcBorders>
            <w:vAlign w:val="bottom"/>
          </w:tcPr>
          <w:p w14:paraId="6467623C" w14:textId="6175EEFB" w:rsidR="00950D9E" w:rsidRPr="00E9455B" w:rsidRDefault="003131E0" w:rsidP="002976A0">
            <w:pPr>
              <w:spacing w:after="0"/>
              <w:jc w:val="right"/>
              <w:rPr>
                <w:rFonts w:cstheme="minorHAnsi"/>
              </w:rPr>
            </w:pPr>
            <w:r>
              <w:rPr>
                <w:rFonts w:cstheme="minorHAnsi"/>
              </w:rPr>
              <w:t>5.725</w:t>
            </w:r>
          </w:p>
        </w:tc>
      </w:tr>
      <w:tr w:rsidR="00950D9E" w14:paraId="66716111" w14:textId="6D307DC6" w:rsidTr="00346E38">
        <w:trPr>
          <w:trHeight w:val="278"/>
        </w:trPr>
        <w:tc>
          <w:tcPr>
            <w:tcW w:w="2283" w:type="dxa"/>
            <w:tcBorders>
              <w:top w:val="single" w:sz="8" w:space="0" w:color="F3CFC1"/>
              <w:left w:val="single" w:sz="8" w:space="0" w:color="D2232A"/>
              <w:bottom w:val="single" w:sz="8" w:space="0" w:color="F3CFC1"/>
              <w:right w:val="single" w:sz="8" w:space="0" w:color="D2232A"/>
            </w:tcBorders>
            <w:vAlign w:val="center"/>
            <w:hideMark/>
          </w:tcPr>
          <w:p w14:paraId="715A2947" w14:textId="77777777" w:rsidR="00950D9E" w:rsidRPr="00E9455B" w:rsidRDefault="00950D9E" w:rsidP="00E9455B">
            <w:pPr>
              <w:spacing w:before="36" w:after="0"/>
              <w:ind w:left="854" w:right="876"/>
              <w:jc w:val="center"/>
              <w:rPr>
                <w:rFonts w:eastAsia="Arial Narrow" w:cstheme="minorHAnsi"/>
                <w:w w:val="99"/>
              </w:rPr>
            </w:pPr>
            <w:r w:rsidRPr="00E9455B">
              <w:rPr>
                <w:rFonts w:eastAsia="Arial Narrow" w:cstheme="minorHAnsi"/>
                <w:w w:val="99"/>
              </w:rPr>
              <w:lastRenderedPageBreak/>
              <w:t>2016.</w:t>
            </w:r>
          </w:p>
        </w:tc>
        <w:tc>
          <w:tcPr>
            <w:tcW w:w="1646" w:type="dxa"/>
            <w:tcBorders>
              <w:top w:val="single" w:sz="8" w:space="0" w:color="F3CFC1"/>
              <w:left w:val="single" w:sz="8" w:space="0" w:color="D2232A"/>
              <w:bottom w:val="single" w:sz="8" w:space="0" w:color="F3CFC1"/>
              <w:right w:val="single" w:sz="8" w:space="0" w:color="D2232A"/>
            </w:tcBorders>
            <w:vAlign w:val="center"/>
            <w:hideMark/>
          </w:tcPr>
          <w:p w14:paraId="2AEE8A7F" w14:textId="77777777" w:rsidR="00950D9E" w:rsidRPr="00E9455B" w:rsidRDefault="00950D9E" w:rsidP="00E9455B">
            <w:pPr>
              <w:spacing w:after="0"/>
              <w:jc w:val="right"/>
              <w:rPr>
                <w:rFonts w:eastAsiaTheme="minorHAnsi" w:cstheme="minorHAnsi"/>
              </w:rPr>
            </w:pPr>
            <w:r w:rsidRPr="00E9455B">
              <w:rPr>
                <w:rFonts w:cstheme="minorHAnsi"/>
              </w:rPr>
              <w:t>740,21</w:t>
            </w:r>
          </w:p>
        </w:tc>
        <w:tc>
          <w:tcPr>
            <w:tcW w:w="1751" w:type="dxa"/>
            <w:tcBorders>
              <w:top w:val="single" w:sz="8" w:space="0" w:color="F3CFC1"/>
              <w:left w:val="single" w:sz="8" w:space="0" w:color="D2232A"/>
              <w:bottom w:val="single" w:sz="8" w:space="0" w:color="F3CFC1"/>
              <w:right w:val="single" w:sz="8" w:space="0" w:color="D2232A"/>
            </w:tcBorders>
            <w:vAlign w:val="center"/>
            <w:hideMark/>
          </w:tcPr>
          <w:p w14:paraId="1C4404BA" w14:textId="77777777" w:rsidR="00950D9E" w:rsidRPr="00E9455B" w:rsidRDefault="00950D9E" w:rsidP="00E9455B">
            <w:pPr>
              <w:spacing w:after="0"/>
              <w:jc w:val="right"/>
              <w:rPr>
                <w:rFonts w:cstheme="minorHAnsi"/>
              </w:rPr>
            </w:pPr>
            <w:r w:rsidRPr="00E9455B">
              <w:rPr>
                <w:rFonts w:cstheme="minorHAnsi"/>
              </w:rPr>
              <w:t>4.495.059</w:t>
            </w:r>
          </w:p>
        </w:tc>
        <w:tc>
          <w:tcPr>
            <w:tcW w:w="1561" w:type="dxa"/>
            <w:tcBorders>
              <w:top w:val="single" w:sz="8" w:space="0" w:color="F3CFC1"/>
              <w:left w:val="single" w:sz="8" w:space="0" w:color="D2232A"/>
              <w:bottom w:val="single" w:sz="8" w:space="0" w:color="F3CFC1"/>
              <w:right w:val="single" w:sz="8" w:space="0" w:color="D2232A"/>
            </w:tcBorders>
            <w:vAlign w:val="center"/>
            <w:hideMark/>
          </w:tcPr>
          <w:p w14:paraId="78761E32" w14:textId="77777777" w:rsidR="00950D9E" w:rsidRPr="00E9455B" w:rsidRDefault="00950D9E" w:rsidP="00E9455B">
            <w:pPr>
              <w:spacing w:after="0"/>
              <w:jc w:val="right"/>
              <w:rPr>
                <w:rFonts w:cstheme="minorHAnsi"/>
              </w:rPr>
            </w:pPr>
            <w:r w:rsidRPr="00E9455B">
              <w:rPr>
                <w:rFonts w:cstheme="minorHAnsi"/>
              </w:rPr>
              <w:t>7.989</w:t>
            </w:r>
          </w:p>
        </w:tc>
        <w:tc>
          <w:tcPr>
            <w:tcW w:w="1402" w:type="dxa"/>
            <w:tcBorders>
              <w:top w:val="single" w:sz="8" w:space="0" w:color="F3CFC1"/>
              <w:left w:val="single" w:sz="8" w:space="0" w:color="D2232A"/>
              <w:bottom w:val="single" w:sz="8" w:space="0" w:color="F3CFC1"/>
              <w:right w:val="single" w:sz="8" w:space="0" w:color="D2232A"/>
            </w:tcBorders>
          </w:tcPr>
          <w:p w14:paraId="7855F6EF" w14:textId="7DA47D1C" w:rsidR="00950D9E" w:rsidRPr="00E9455B" w:rsidRDefault="00950D9E" w:rsidP="00E9455B">
            <w:pPr>
              <w:spacing w:after="0"/>
              <w:jc w:val="right"/>
              <w:rPr>
                <w:rFonts w:cstheme="minorHAnsi"/>
              </w:rPr>
            </w:pPr>
            <w:r>
              <w:rPr>
                <w:rFonts w:cstheme="minorHAnsi"/>
              </w:rPr>
              <w:t>5.338</w:t>
            </w:r>
          </w:p>
        </w:tc>
      </w:tr>
      <w:tr w:rsidR="00950D9E" w14:paraId="24FC3F84" w14:textId="14EF1F25" w:rsidTr="00346E38">
        <w:trPr>
          <w:trHeight w:val="278"/>
        </w:trPr>
        <w:tc>
          <w:tcPr>
            <w:tcW w:w="2283" w:type="dxa"/>
            <w:tcBorders>
              <w:top w:val="single" w:sz="8" w:space="0" w:color="F3CFC1"/>
              <w:left w:val="single" w:sz="8" w:space="0" w:color="D2232A"/>
              <w:bottom w:val="single" w:sz="8" w:space="0" w:color="F3CFC1"/>
              <w:right w:val="single" w:sz="8" w:space="0" w:color="D2232A"/>
            </w:tcBorders>
            <w:vAlign w:val="center"/>
            <w:hideMark/>
          </w:tcPr>
          <w:p w14:paraId="26A5C196" w14:textId="77777777" w:rsidR="00950D9E" w:rsidRPr="00E9455B" w:rsidRDefault="00950D9E" w:rsidP="00E9455B">
            <w:pPr>
              <w:spacing w:before="36" w:after="0"/>
              <w:ind w:left="854" w:right="876"/>
              <w:jc w:val="center"/>
              <w:rPr>
                <w:rFonts w:eastAsia="Arial Narrow" w:cstheme="minorHAnsi"/>
                <w:w w:val="99"/>
              </w:rPr>
            </w:pPr>
            <w:r w:rsidRPr="00E9455B">
              <w:rPr>
                <w:rFonts w:eastAsia="Arial Narrow" w:cstheme="minorHAnsi"/>
                <w:w w:val="99"/>
              </w:rPr>
              <w:t>2017.</w:t>
            </w:r>
          </w:p>
        </w:tc>
        <w:tc>
          <w:tcPr>
            <w:tcW w:w="1646" w:type="dxa"/>
            <w:tcBorders>
              <w:top w:val="single" w:sz="8" w:space="0" w:color="F3CFC1"/>
              <w:left w:val="single" w:sz="8" w:space="0" w:color="D2232A"/>
              <w:bottom w:val="single" w:sz="8" w:space="0" w:color="F3CFC1"/>
              <w:right w:val="single" w:sz="8" w:space="0" w:color="D2232A"/>
            </w:tcBorders>
            <w:vAlign w:val="center"/>
            <w:hideMark/>
          </w:tcPr>
          <w:p w14:paraId="40006D5C" w14:textId="77777777" w:rsidR="00950D9E" w:rsidRPr="00E9455B" w:rsidRDefault="00950D9E" w:rsidP="00E9455B">
            <w:pPr>
              <w:spacing w:after="0"/>
              <w:jc w:val="right"/>
              <w:rPr>
                <w:rFonts w:eastAsiaTheme="minorHAnsi" w:cstheme="minorHAnsi"/>
              </w:rPr>
            </w:pPr>
            <w:r w:rsidRPr="00E9455B">
              <w:rPr>
                <w:rFonts w:cstheme="minorHAnsi"/>
              </w:rPr>
              <w:t>754,51</w:t>
            </w:r>
          </w:p>
        </w:tc>
        <w:tc>
          <w:tcPr>
            <w:tcW w:w="1751" w:type="dxa"/>
            <w:tcBorders>
              <w:top w:val="single" w:sz="8" w:space="0" w:color="F3CFC1"/>
              <w:left w:val="single" w:sz="8" w:space="0" w:color="D2232A"/>
              <w:bottom w:val="single" w:sz="8" w:space="0" w:color="F3CFC1"/>
              <w:right w:val="single" w:sz="8" w:space="0" w:color="D2232A"/>
            </w:tcBorders>
            <w:vAlign w:val="center"/>
            <w:hideMark/>
          </w:tcPr>
          <w:p w14:paraId="6B704267" w14:textId="77777777" w:rsidR="00950D9E" w:rsidRPr="00E9455B" w:rsidRDefault="00950D9E" w:rsidP="00E9455B">
            <w:pPr>
              <w:spacing w:after="0"/>
              <w:jc w:val="right"/>
              <w:rPr>
                <w:rFonts w:cstheme="minorHAnsi"/>
              </w:rPr>
            </w:pPr>
            <w:r w:rsidRPr="00E9455B">
              <w:rPr>
                <w:rFonts w:cstheme="minorHAnsi"/>
              </w:rPr>
              <w:t>4.502.738</w:t>
            </w:r>
          </w:p>
        </w:tc>
        <w:tc>
          <w:tcPr>
            <w:tcW w:w="1561" w:type="dxa"/>
            <w:tcBorders>
              <w:top w:val="single" w:sz="8" w:space="0" w:color="F3CFC1"/>
              <w:left w:val="single" w:sz="8" w:space="0" w:color="D2232A"/>
              <w:bottom w:val="single" w:sz="8" w:space="0" w:color="F3CFC1"/>
              <w:right w:val="single" w:sz="8" w:space="0" w:color="D2232A"/>
            </w:tcBorders>
            <w:vAlign w:val="center"/>
            <w:hideMark/>
          </w:tcPr>
          <w:p w14:paraId="4CB05D68" w14:textId="77777777" w:rsidR="00950D9E" w:rsidRPr="00E9455B" w:rsidRDefault="00950D9E" w:rsidP="00E9455B">
            <w:pPr>
              <w:spacing w:after="0"/>
              <w:jc w:val="right"/>
              <w:rPr>
                <w:rFonts w:cstheme="minorHAnsi"/>
              </w:rPr>
            </w:pPr>
            <w:r w:rsidRPr="00E9455B">
              <w:rPr>
                <w:rFonts w:cstheme="minorHAnsi"/>
              </w:rPr>
              <w:t>8.086</w:t>
            </w:r>
          </w:p>
        </w:tc>
        <w:tc>
          <w:tcPr>
            <w:tcW w:w="1402" w:type="dxa"/>
            <w:tcBorders>
              <w:top w:val="single" w:sz="8" w:space="0" w:color="F3CFC1"/>
              <w:left w:val="single" w:sz="8" w:space="0" w:color="D2232A"/>
              <w:bottom w:val="single" w:sz="8" w:space="0" w:color="F3CFC1"/>
              <w:right w:val="single" w:sz="8" w:space="0" w:color="D2232A"/>
            </w:tcBorders>
          </w:tcPr>
          <w:p w14:paraId="348A8CB5" w14:textId="73EC0747" w:rsidR="00950D9E" w:rsidRPr="00E9455B" w:rsidRDefault="00950D9E" w:rsidP="00E9455B">
            <w:pPr>
              <w:spacing w:after="0"/>
              <w:jc w:val="right"/>
              <w:rPr>
                <w:rFonts w:cstheme="minorHAnsi"/>
              </w:rPr>
            </w:pPr>
            <w:r>
              <w:rPr>
                <w:rFonts w:cstheme="minorHAnsi"/>
              </w:rPr>
              <w:t>5.441</w:t>
            </w:r>
          </w:p>
        </w:tc>
      </w:tr>
      <w:tr w:rsidR="00950D9E" w14:paraId="2289997D" w14:textId="4244D36C" w:rsidTr="00346E38">
        <w:trPr>
          <w:trHeight w:val="278"/>
        </w:trPr>
        <w:tc>
          <w:tcPr>
            <w:tcW w:w="2283" w:type="dxa"/>
            <w:tcBorders>
              <w:top w:val="single" w:sz="8" w:space="0" w:color="F3CFC1"/>
              <w:left w:val="single" w:sz="8" w:space="0" w:color="D2232A"/>
              <w:bottom w:val="single" w:sz="8" w:space="0" w:color="F3CFC1"/>
              <w:right w:val="single" w:sz="8" w:space="0" w:color="D2232A"/>
            </w:tcBorders>
            <w:vAlign w:val="center"/>
            <w:hideMark/>
          </w:tcPr>
          <w:p w14:paraId="7C1D7188" w14:textId="77777777" w:rsidR="00950D9E" w:rsidRPr="00E9455B" w:rsidRDefault="00950D9E" w:rsidP="00E9455B">
            <w:pPr>
              <w:spacing w:before="36" w:after="0"/>
              <w:ind w:left="854" w:right="876"/>
              <w:jc w:val="center"/>
              <w:rPr>
                <w:rFonts w:eastAsia="Arial Narrow" w:cstheme="minorHAnsi"/>
                <w:w w:val="99"/>
              </w:rPr>
            </w:pPr>
            <w:r w:rsidRPr="00E9455B">
              <w:rPr>
                <w:rFonts w:eastAsia="Arial Narrow" w:cstheme="minorHAnsi"/>
                <w:w w:val="99"/>
              </w:rPr>
              <w:t>2018.</w:t>
            </w:r>
          </w:p>
        </w:tc>
        <w:tc>
          <w:tcPr>
            <w:tcW w:w="1646" w:type="dxa"/>
            <w:tcBorders>
              <w:top w:val="single" w:sz="8" w:space="0" w:color="F3CFC1"/>
              <w:left w:val="single" w:sz="8" w:space="0" w:color="D2232A"/>
              <w:bottom w:val="single" w:sz="8" w:space="0" w:color="F3CFC1"/>
              <w:right w:val="single" w:sz="8" w:space="0" w:color="D2232A"/>
            </w:tcBorders>
            <w:vAlign w:val="center"/>
            <w:hideMark/>
          </w:tcPr>
          <w:p w14:paraId="109972A8" w14:textId="77777777" w:rsidR="00950D9E" w:rsidRPr="00E9455B" w:rsidRDefault="00950D9E" w:rsidP="00E9455B">
            <w:pPr>
              <w:spacing w:after="0"/>
              <w:jc w:val="right"/>
              <w:rPr>
                <w:rFonts w:eastAsiaTheme="minorHAnsi" w:cstheme="minorHAnsi"/>
              </w:rPr>
            </w:pPr>
            <w:r w:rsidRPr="00E9455B">
              <w:rPr>
                <w:rFonts w:cstheme="minorHAnsi"/>
              </w:rPr>
              <w:t>757,64</w:t>
            </w:r>
          </w:p>
        </w:tc>
        <w:tc>
          <w:tcPr>
            <w:tcW w:w="1751" w:type="dxa"/>
            <w:tcBorders>
              <w:top w:val="single" w:sz="8" w:space="0" w:color="F3CFC1"/>
              <w:left w:val="single" w:sz="8" w:space="0" w:color="D2232A"/>
              <w:bottom w:val="single" w:sz="8" w:space="0" w:color="F3CFC1"/>
              <w:right w:val="single" w:sz="8" w:space="0" w:color="D2232A"/>
            </w:tcBorders>
            <w:vAlign w:val="center"/>
            <w:hideMark/>
          </w:tcPr>
          <w:p w14:paraId="69D0616F" w14:textId="77777777" w:rsidR="00950D9E" w:rsidRPr="00E9455B" w:rsidRDefault="00950D9E" w:rsidP="00E9455B">
            <w:pPr>
              <w:spacing w:after="0"/>
              <w:jc w:val="right"/>
              <w:rPr>
                <w:rFonts w:cstheme="minorHAnsi"/>
              </w:rPr>
            </w:pPr>
            <w:r w:rsidRPr="00E9455B">
              <w:rPr>
                <w:rFonts w:cstheme="minorHAnsi"/>
              </w:rPr>
              <w:t>4.447.255</w:t>
            </w:r>
          </w:p>
        </w:tc>
        <w:tc>
          <w:tcPr>
            <w:tcW w:w="1561" w:type="dxa"/>
            <w:tcBorders>
              <w:top w:val="single" w:sz="8" w:space="0" w:color="F3CFC1"/>
              <w:left w:val="single" w:sz="8" w:space="0" w:color="D2232A"/>
              <w:bottom w:val="single" w:sz="8" w:space="0" w:color="F3CFC1"/>
              <w:right w:val="single" w:sz="8" w:space="0" w:color="D2232A"/>
            </w:tcBorders>
            <w:vAlign w:val="center"/>
            <w:hideMark/>
          </w:tcPr>
          <w:p w14:paraId="7A36C752" w14:textId="77777777" w:rsidR="00950D9E" w:rsidRPr="00E9455B" w:rsidRDefault="00950D9E" w:rsidP="00E9455B">
            <w:pPr>
              <w:spacing w:after="0"/>
              <w:jc w:val="right"/>
              <w:rPr>
                <w:rFonts w:cstheme="minorHAnsi"/>
              </w:rPr>
            </w:pPr>
            <w:r w:rsidRPr="00E9455B">
              <w:rPr>
                <w:rFonts w:cstheme="minorHAnsi"/>
              </w:rPr>
              <w:t>8.201</w:t>
            </w:r>
          </w:p>
        </w:tc>
        <w:tc>
          <w:tcPr>
            <w:tcW w:w="1402" w:type="dxa"/>
            <w:tcBorders>
              <w:top w:val="single" w:sz="8" w:space="0" w:color="F3CFC1"/>
              <w:left w:val="single" w:sz="8" w:space="0" w:color="D2232A"/>
              <w:bottom w:val="single" w:sz="8" w:space="0" w:color="F3CFC1"/>
              <w:right w:val="single" w:sz="8" w:space="0" w:color="D2232A"/>
            </w:tcBorders>
          </w:tcPr>
          <w:p w14:paraId="656F9DA4" w14:textId="0C37DFD5" w:rsidR="00950D9E" w:rsidRPr="00E9455B" w:rsidRDefault="00950D9E" w:rsidP="00E9455B">
            <w:pPr>
              <w:spacing w:after="0"/>
              <w:jc w:val="right"/>
              <w:rPr>
                <w:rFonts w:cstheme="minorHAnsi"/>
              </w:rPr>
            </w:pPr>
            <w:r>
              <w:rPr>
                <w:rFonts w:cstheme="minorHAnsi"/>
              </w:rPr>
              <w:t>5.559</w:t>
            </w:r>
          </w:p>
        </w:tc>
      </w:tr>
      <w:tr w:rsidR="00950D9E" w14:paraId="78049CC9" w14:textId="05FF7A64" w:rsidTr="00346E38">
        <w:trPr>
          <w:trHeight w:val="278"/>
        </w:trPr>
        <w:tc>
          <w:tcPr>
            <w:tcW w:w="2283" w:type="dxa"/>
            <w:tcBorders>
              <w:top w:val="single" w:sz="8" w:space="0" w:color="F3CFC1"/>
              <w:left w:val="single" w:sz="8" w:space="0" w:color="D2232A"/>
              <w:bottom w:val="single" w:sz="8" w:space="0" w:color="F3CFC1"/>
              <w:right w:val="single" w:sz="8" w:space="0" w:color="D2232A"/>
            </w:tcBorders>
            <w:vAlign w:val="center"/>
          </w:tcPr>
          <w:p w14:paraId="0B2578B8" w14:textId="411D04DB" w:rsidR="00950D9E" w:rsidRPr="00E9455B" w:rsidRDefault="00950D9E" w:rsidP="00E9455B">
            <w:pPr>
              <w:spacing w:before="36" w:after="0"/>
              <w:ind w:left="854" w:right="876"/>
              <w:jc w:val="center"/>
              <w:rPr>
                <w:rFonts w:eastAsia="Arial Narrow" w:cstheme="minorHAnsi"/>
                <w:w w:val="99"/>
              </w:rPr>
            </w:pPr>
            <w:r>
              <w:rPr>
                <w:rFonts w:eastAsia="Arial Narrow" w:cstheme="minorHAnsi"/>
                <w:w w:val="99"/>
              </w:rPr>
              <w:t>2019.</w:t>
            </w:r>
          </w:p>
        </w:tc>
        <w:tc>
          <w:tcPr>
            <w:tcW w:w="1646" w:type="dxa"/>
            <w:tcBorders>
              <w:top w:val="single" w:sz="8" w:space="0" w:color="F3CFC1"/>
              <w:left w:val="single" w:sz="8" w:space="0" w:color="D2232A"/>
              <w:bottom w:val="single" w:sz="8" w:space="0" w:color="F3CFC1"/>
              <w:right w:val="single" w:sz="8" w:space="0" w:color="D2232A"/>
            </w:tcBorders>
            <w:vAlign w:val="center"/>
          </w:tcPr>
          <w:p w14:paraId="3794F39A" w14:textId="694F6B78" w:rsidR="00950D9E" w:rsidRPr="00E9455B" w:rsidRDefault="00950D9E" w:rsidP="00E9455B">
            <w:pPr>
              <w:spacing w:after="0"/>
              <w:jc w:val="right"/>
              <w:rPr>
                <w:rFonts w:cstheme="minorHAnsi"/>
              </w:rPr>
            </w:pPr>
            <w:r>
              <w:rPr>
                <w:rFonts w:cstheme="minorHAnsi"/>
              </w:rPr>
              <w:t>726,88</w:t>
            </w:r>
          </w:p>
        </w:tc>
        <w:tc>
          <w:tcPr>
            <w:tcW w:w="1751" w:type="dxa"/>
            <w:tcBorders>
              <w:top w:val="single" w:sz="8" w:space="0" w:color="F3CFC1"/>
              <w:left w:val="single" w:sz="8" w:space="0" w:color="D2232A"/>
              <w:bottom w:val="single" w:sz="8" w:space="0" w:color="F3CFC1"/>
              <w:right w:val="single" w:sz="8" w:space="0" w:color="D2232A"/>
            </w:tcBorders>
            <w:vAlign w:val="center"/>
          </w:tcPr>
          <w:p w14:paraId="68521CBB" w14:textId="403EF29A" w:rsidR="00950D9E" w:rsidRPr="00E9455B" w:rsidRDefault="00950D9E" w:rsidP="00E9455B">
            <w:pPr>
              <w:spacing w:after="0"/>
              <w:jc w:val="right"/>
              <w:rPr>
                <w:rFonts w:cstheme="minorHAnsi"/>
              </w:rPr>
            </w:pPr>
            <w:r>
              <w:rPr>
                <w:rFonts w:cstheme="minorHAnsi"/>
              </w:rPr>
              <w:t>4.228.625</w:t>
            </w:r>
          </w:p>
        </w:tc>
        <w:tc>
          <w:tcPr>
            <w:tcW w:w="1561" w:type="dxa"/>
            <w:tcBorders>
              <w:top w:val="single" w:sz="8" w:space="0" w:color="F3CFC1"/>
              <w:left w:val="single" w:sz="8" w:space="0" w:color="D2232A"/>
              <w:bottom w:val="single" w:sz="8" w:space="0" w:color="F3CFC1"/>
              <w:right w:val="single" w:sz="8" w:space="0" w:color="D2232A"/>
            </w:tcBorders>
            <w:vAlign w:val="center"/>
          </w:tcPr>
          <w:p w14:paraId="31251E35" w14:textId="6AC29D59" w:rsidR="00950D9E" w:rsidRPr="00E9455B" w:rsidRDefault="00950D9E" w:rsidP="00E9455B">
            <w:pPr>
              <w:spacing w:after="0"/>
              <w:jc w:val="right"/>
              <w:rPr>
                <w:rFonts w:cstheme="minorHAnsi"/>
              </w:rPr>
            </w:pPr>
            <w:r>
              <w:rPr>
                <w:rFonts w:cstheme="minorHAnsi"/>
              </w:rPr>
              <w:t>7.920</w:t>
            </w:r>
          </w:p>
        </w:tc>
        <w:tc>
          <w:tcPr>
            <w:tcW w:w="1402" w:type="dxa"/>
            <w:tcBorders>
              <w:top w:val="single" w:sz="8" w:space="0" w:color="F3CFC1"/>
              <w:left w:val="single" w:sz="8" w:space="0" w:color="D2232A"/>
              <w:bottom w:val="single" w:sz="8" w:space="0" w:color="F3CFC1"/>
              <w:right w:val="single" w:sz="8" w:space="0" w:color="D2232A"/>
            </w:tcBorders>
          </w:tcPr>
          <w:p w14:paraId="350711B1" w14:textId="359119D6" w:rsidR="00950D9E" w:rsidRDefault="00950D9E" w:rsidP="00E9455B">
            <w:pPr>
              <w:spacing w:after="0"/>
              <w:jc w:val="right"/>
              <w:rPr>
                <w:rFonts w:cstheme="minorHAnsi"/>
              </w:rPr>
            </w:pPr>
            <w:r>
              <w:rPr>
                <w:rFonts w:cstheme="minorHAnsi"/>
              </w:rPr>
              <w:t>5.508</w:t>
            </w:r>
          </w:p>
        </w:tc>
      </w:tr>
      <w:tr w:rsidR="00950D9E" w14:paraId="69AF52FF" w14:textId="6B3E7217" w:rsidTr="00346E38">
        <w:trPr>
          <w:trHeight w:val="278"/>
        </w:trPr>
        <w:tc>
          <w:tcPr>
            <w:tcW w:w="2283" w:type="dxa"/>
            <w:tcBorders>
              <w:top w:val="single" w:sz="8" w:space="0" w:color="F3CFC1"/>
              <w:left w:val="single" w:sz="8" w:space="0" w:color="D2232A"/>
              <w:right w:val="single" w:sz="8" w:space="0" w:color="D2232A"/>
            </w:tcBorders>
            <w:vAlign w:val="center"/>
          </w:tcPr>
          <w:p w14:paraId="5B1D75B0" w14:textId="7FE26A0B" w:rsidR="00950D9E" w:rsidRDefault="00950D9E" w:rsidP="00E9455B">
            <w:pPr>
              <w:spacing w:before="36" w:after="0"/>
              <w:ind w:left="854" w:right="876"/>
              <w:jc w:val="center"/>
              <w:rPr>
                <w:rFonts w:eastAsia="Arial Narrow" w:cstheme="minorHAnsi"/>
                <w:w w:val="99"/>
              </w:rPr>
            </w:pPr>
            <w:r>
              <w:rPr>
                <w:rFonts w:eastAsia="Arial Narrow" w:cstheme="minorHAnsi"/>
                <w:w w:val="99"/>
              </w:rPr>
              <w:t>2020.</w:t>
            </w:r>
          </w:p>
        </w:tc>
        <w:tc>
          <w:tcPr>
            <w:tcW w:w="1646" w:type="dxa"/>
            <w:tcBorders>
              <w:top w:val="single" w:sz="8" w:space="0" w:color="F3CFC1"/>
              <w:left w:val="single" w:sz="8" w:space="0" w:color="D2232A"/>
              <w:right w:val="single" w:sz="8" w:space="0" w:color="D2232A"/>
            </w:tcBorders>
            <w:vAlign w:val="center"/>
          </w:tcPr>
          <w:p w14:paraId="1438B862" w14:textId="49BC6773" w:rsidR="00950D9E" w:rsidRDefault="00950D9E" w:rsidP="00E9455B">
            <w:pPr>
              <w:spacing w:after="0"/>
              <w:jc w:val="right"/>
              <w:rPr>
                <w:rFonts w:cstheme="minorHAnsi"/>
              </w:rPr>
            </w:pPr>
            <w:r>
              <w:rPr>
                <w:rFonts w:cstheme="minorHAnsi"/>
              </w:rPr>
              <w:t>708,04</w:t>
            </w:r>
          </w:p>
        </w:tc>
        <w:tc>
          <w:tcPr>
            <w:tcW w:w="1751" w:type="dxa"/>
            <w:tcBorders>
              <w:top w:val="single" w:sz="8" w:space="0" w:color="F3CFC1"/>
              <w:left w:val="single" w:sz="8" w:space="0" w:color="D2232A"/>
              <w:right w:val="single" w:sz="8" w:space="0" w:color="D2232A"/>
            </w:tcBorders>
            <w:vAlign w:val="center"/>
          </w:tcPr>
          <w:p w14:paraId="5F063A1A" w14:textId="3544756E" w:rsidR="00950D9E" w:rsidRDefault="00950D9E" w:rsidP="00E9455B">
            <w:pPr>
              <w:spacing w:after="0"/>
              <w:jc w:val="right"/>
              <w:rPr>
                <w:rFonts w:cstheme="minorHAnsi"/>
              </w:rPr>
            </w:pPr>
            <w:r>
              <w:rPr>
                <w:rFonts w:cstheme="minorHAnsi"/>
              </w:rPr>
              <w:t>3.509.056</w:t>
            </w:r>
          </w:p>
        </w:tc>
        <w:tc>
          <w:tcPr>
            <w:tcW w:w="1561" w:type="dxa"/>
            <w:tcBorders>
              <w:top w:val="single" w:sz="8" w:space="0" w:color="F3CFC1"/>
              <w:left w:val="single" w:sz="8" w:space="0" w:color="D2232A"/>
              <w:right w:val="single" w:sz="8" w:space="0" w:color="D2232A"/>
            </w:tcBorders>
            <w:vAlign w:val="center"/>
          </w:tcPr>
          <w:p w14:paraId="0CEFE19F" w14:textId="003A6828" w:rsidR="00950D9E" w:rsidRDefault="00950D9E" w:rsidP="00E9455B">
            <w:pPr>
              <w:spacing w:after="0"/>
              <w:jc w:val="right"/>
              <w:rPr>
                <w:rFonts w:cstheme="minorHAnsi"/>
              </w:rPr>
            </w:pPr>
            <w:r>
              <w:rPr>
                <w:rFonts w:cstheme="minorHAnsi"/>
              </w:rPr>
              <w:t>7.686</w:t>
            </w:r>
          </w:p>
        </w:tc>
        <w:tc>
          <w:tcPr>
            <w:tcW w:w="1402" w:type="dxa"/>
            <w:tcBorders>
              <w:top w:val="single" w:sz="8" w:space="0" w:color="F3CFC1"/>
              <w:left w:val="single" w:sz="8" w:space="0" w:color="D2232A"/>
              <w:right w:val="single" w:sz="8" w:space="0" w:color="D2232A"/>
            </w:tcBorders>
          </w:tcPr>
          <w:p w14:paraId="55ABBE70" w14:textId="34D7CEE6" w:rsidR="00950D9E" w:rsidRDefault="00950D9E" w:rsidP="00E9455B">
            <w:pPr>
              <w:spacing w:after="0"/>
              <w:jc w:val="right"/>
              <w:rPr>
                <w:rFonts w:cstheme="minorHAnsi"/>
              </w:rPr>
            </w:pPr>
            <w:r>
              <w:rPr>
                <w:rFonts w:cstheme="minorHAnsi"/>
              </w:rPr>
              <w:t>5.398</w:t>
            </w:r>
          </w:p>
        </w:tc>
      </w:tr>
    </w:tbl>
    <w:p w14:paraId="17547830" w14:textId="5DE16629" w:rsidR="005E37D6" w:rsidRPr="00BD0057" w:rsidRDefault="005E37D6" w:rsidP="005E37D6">
      <w:pPr>
        <w:pStyle w:val="Izvor"/>
        <w:rPr>
          <w:i/>
          <w:color w:val="ABABAB" w:themeColor="text1" w:themeTint="A6"/>
          <w:sz w:val="16"/>
          <w:szCs w:val="16"/>
        </w:rPr>
      </w:pPr>
      <w:bookmarkStart w:id="201" w:name="_Hlk67034386"/>
      <w:r w:rsidRPr="00BD0057">
        <w:rPr>
          <w:i/>
          <w:color w:val="ABABAB" w:themeColor="text1" w:themeTint="A6"/>
          <w:sz w:val="16"/>
          <w:szCs w:val="16"/>
        </w:rPr>
        <w:t>Izvor: Agencija za plaćanja u poljoprivredi, ribarstvu i ruralnom razvoju - Vinogradarski registar; ARKOD sustav, 2017.</w:t>
      </w:r>
      <w:r w:rsidR="009E67D7">
        <w:rPr>
          <w:i/>
          <w:color w:val="ABABAB" w:themeColor="text1" w:themeTint="A6"/>
          <w:sz w:val="16"/>
          <w:szCs w:val="16"/>
        </w:rPr>
        <w:t xml:space="preserve"> </w:t>
      </w:r>
      <w:r w:rsidRPr="00BD0057">
        <w:rPr>
          <w:i/>
          <w:color w:val="ABABAB" w:themeColor="text1" w:themeTint="A6"/>
          <w:sz w:val="16"/>
          <w:szCs w:val="16"/>
        </w:rPr>
        <w:t>-</w:t>
      </w:r>
      <w:r w:rsidR="009E67D7">
        <w:rPr>
          <w:i/>
          <w:color w:val="ABABAB" w:themeColor="text1" w:themeTint="A6"/>
          <w:sz w:val="16"/>
          <w:szCs w:val="16"/>
        </w:rPr>
        <w:t xml:space="preserve"> </w:t>
      </w:r>
      <w:r w:rsidRPr="00BD0057">
        <w:rPr>
          <w:i/>
          <w:color w:val="ABABAB" w:themeColor="text1" w:themeTint="A6"/>
          <w:sz w:val="16"/>
          <w:szCs w:val="16"/>
        </w:rPr>
        <w:t>2020.</w:t>
      </w:r>
    </w:p>
    <w:bookmarkEnd w:id="201"/>
    <w:p w14:paraId="059CCE84" w14:textId="77777777" w:rsidR="009E5104" w:rsidRPr="00BD0057" w:rsidRDefault="009E5104" w:rsidP="005E37D6">
      <w:pPr>
        <w:pStyle w:val="Izvor"/>
        <w:rPr>
          <w:i/>
          <w:color w:val="ABABAB" w:themeColor="text1" w:themeTint="A6"/>
          <w:sz w:val="16"/>
          <w:szCs w:val="16"/>
        </w:rPr>
      </w:pPr>
    </w:p>
    <w:p w14:paraId="7EDFBF9C" w14:textId="2A823EE6" w:rsidR="008878A0" w:rsidRDefault="008878A0" w:rsidP="00941871">
      <w:pPr>
        <w:spacing w:line="283" w:lineRule="auto"/>
        <w:ind w:right="232"/>
        <w:rPr>
          <w:rFonts w:eastAsia="Arial Narrow" w:cstheme="minorHAnsi"/>
          <w:sz w:val="22"/>
          <w:szCs w:val="22"/>
        </w:rPr>
      </w:pPr>
      <w:r>
        <w:rPr>
          <w:rFonts w:eastAsia="Arial Narrow" w:cstheme="minorHAnsi"/>
        </w:rPr>
        <w:t>Napomena: Razlike u površini (ha) pod nasadima vinove loze u odnosu na po</w:t>
      </w:r>
      <w:r w:rsidR="004649F2">
        <w:rPr>
          <w:rFonts w:eastAsia="Arial Narrow" w:cstheme="minorHAnsi"/>
        </w:rPr>
        <w:t>vršinu vinograda (ha)</w:t>
      </w:r>
      <w:r w:rsidR="004475BA">
        <w:rPr>
          <w:rFonts w:eastAsia="Arial Narrow" w:cstheme="minorHAnsi"/>
        </w:rPr>
        <w:t xml:space="preserve"> (tablica 81</w:t>
      </w:r>
      <w:r w:rsidR="00EF681B">
        <w:rPr>
          <w:rFonts w:eastAsia="Arial Narrow" w:cstheme="minorHAnsi"/>
        </w:rPr>
        <w:t>.</w:t>
      </w:r>
      <w:r>
        <w:rPr>
          <w:rFonts w:eastAsia="Arial Narrow" w:cstheme="minorHAnsi"/>
        </w:rPr>
        <w:t xml:space="preserve"> Površina zemljišta prema vrsti uporabe) proizlaze iz različitih evidencija ARKOD vs. Vinogradarski registar. Sukladno zakonskim odredbama, obveznici upisa u Vinogradarski registar su svi proizvođači koji posjeduju površinu zasađenu vinovom lozom od najmanje 0,1 ha ili imaju obvezu podnositi izjave o berbi, izjave o </w:t>
      </w:r>
      <w:r>
        <w:rPr>
          <w:rFonts w:cstheme="minorHAnsi"/>
        </w:rPr>
        <w:t>proizvodnji</w:t>
      </w:r>
      <w:r>
        <w:rPr>
          <w:rFonts w:eastAsia="Arial Narrow" w:cstheme="minorHAnsi"/>
        </w:rPr>
        <w:t xml:space="preserve"> i izjave o zalihama, dok je upis u ARKOD obvezan za sva poljoprivredna zemljišta na poljoprivrednom gospodarstvu i/ili za sve poljoprivredne površine koje poljoprivredno gospodarstvo koristi.</w:t>
      </w:r>
    </w:p>
    <w:p w14:paraId="68C6CA9E" w14:textId="5466DECE" w:rsidR="008878A0" w:rsidRDefault="008878A0" w:rsidP="00941871">
      <w:pPr>
        <w:spacing w:line="283" w:lineRule="auto"/>
        <w:ind w:right="232"/>
        <w:rPr>
          <w:rFonts w:eastAsia="Arial Narrow" w:cstheme="minorHAnsi"/>
        </w:rPr>
      </w:pPr>
      <w:r>
        <w:rPr>
          <w:rFonts w:eastAsia="Arial Narrow" w:cstheme="minorHAnsi"/>
        </w:rPr>
        <w:t xml:space="preserve">Statistički podaci ukazuju </w:t>
      </w:r>
      <w:r w:rsidR="00695E4B">
        <w:rPr>
          <w:rFonts w:eastAsia="Arial Narrow" w:cstheme="minorHAnsi"/>
        </w:rPr>
        <w:t xml:space="preserve">na lagani porast </w:t>
      </w:r>
      <w:r>
        <w:rPr>
          <w:rFonts w:eastAsia="Arial Narrow" w:cstheme="minorHAnsi"/>
        </w:rPr>
        <w:t>ukupn</w:t>
      </w:r>
      <w:r w:rsidR="00695E4B">
        <w:rPr>
          <w:rFonts w:eastAsia="Arial Narrow" w:cstheme="minorHAnsi"/>
        </w:rPr>
        <w:t>e</w:t>
      </w:r>
      <w:r>
        <w:rPr>
          <w:rFonts w:eastAsia="Arial Narrow" w:cstheme="minorHAnsi"/>
        </w:rPr>
        <w:t xml:space="preserve"> površin</w:t>
      </w:r>
      <w:r w:rsidR="00695E4B">
        <w:rPr>
          <w:rFonts w:eastAsia="Arial Narrow" w:cstheme="minorHAnsi"/>
        </w:rPr>
        <w:t>e</w:t>
      </w:r>
      <w:r>
        <w:rPr>
          <w:rFonts w:eastAsia="Arial Narrow" w:cstheme="minorHAnsi"/>
        </w:rPr>
        <w:t xml:space="preserve"> pod vinogradima</w:t>
      </w:r>
      <w:r w:rsidR="00090AB0">
        <w:rPr>
          <w:rFonts w:eastAsia="Arial Narrow" w:cstheme="minorHAnsi"/>
        </w:rPr>
        <w:t xml:space="preserve"> do 2018. godine</w:t>
      </w:r>
      <w:r w:rsidR="00695E4B">
        <w:rPr>
          <w:rFonts w:eastAsia="Arial Narrow" w:cstheme="minorHAnsi"/>
        </w:rPr>
        <w:t>, nakon koje je zabilježen</w:t>
      </w:r>
      <w:r w:rsidR="00090AB0">
        <w:rPr>
          <w:rFonts w:eastAsia="Arial Narrow" w:cstheme="minorHAnsi"/>
        </w:rPr>
        <w:t xml:space="preserve"> p</w:t>
      </w:r>
      <w:r w:rsidR="00695E4B">
        <w:rPr>
          <w:rFonts w:eastAsia="Arial Narrow" w:cstheme="minorHAnsi"/>
        </w:rPr>
        <w:t>ad površine</w:t>
      </w:r>
      <w:r>
        <w:rPr>
          <w:rFonts w:eastAsia="Arial Narrow" w:cstheme="minorHAnsi"/>
        </w:rPr>
        <w:t xml:space="preserve">, dok istovremeno broj trsova fluktuira s tendencijom pada čemu je razlog vjerojatno promjena u načinu uzgoja (uzgojni oblik, razmak između redova i dr.). </w:t>
      </w:r>
      <w:r w:rsidR="00695E4B">
        <w:rPr>
          <w:rFonts w:eastAsia="Arial Narrow" w:cstheme="minorHAnsi"/>
        </w:rPr>
        <w:t xml:space="preserve">Krapinsko-zagorska županija prva je </w:t>
      </w:r>
      <w:r w:rsidR="008B652F">
        <w:rPr>
          <w:rFonts w:eastAsia="Arial Narrow" w:cstheme="minorHAnsi"/>
        </w:rPr>
        <w:t xml:space="preserve">u Republici Hrvatskoj </w:t>
      </w:r>
      <w:r w:rsidR="00695E4B">
        <w:rPr>
          <w:rFonts w:eastAsia="Arial Narrow" w:cstheme="minorHAnsi"/>
        </w:rPr>
        <w:t>po broju poljoprivrednih gospodarstava</w:t>
      </w:r>
      <w:r w:rsidR="008B652F">
        <w:rPr>
          <w:rFonts w:eastAsia="Arial Narrow" w:cstheme="minorHAnsi"/>
        </w:rPr>
        <w:t xml:space="preserve"> koji posjeduju nasade vinograda dok se prema zasađenim površinama nalazi na 10 mjestu. </w:t>
      </w:r>
      <w:r>
        <w:rPr>
          <w:rFonts w:eastAsia="Arial Narrow" w:cstheme="minorHAnsi"/>
        </w:rPr>
        <w:t>Prosječna veličina parcele je i dalje vrlo mala</w:t>
      </w:r>
      <w:r w:rsidR="00CC3E38">
        <w:rPr>
          <w:rFonts w:eastAsia="Arial Narrow" w:cstheme="minorHAnsi"/>
        </w:rPr>
        <w:t>, u prosjeku svaki PG posjeduje 0,13 ha nasada vinograda.</w:t>
      </w:r>
      <w:r>
        <w:rPr>
          <w:rFonts w:eastAsia="Arial Narrow" w:cstheme="minorHAnsi"/>
        </w:rPr>
        <w:t xml:space="preserve"> Najveći broj gospodarstava koji posjeduju vinograde, njih </w:t>
      </w:r>
      <w:r w:rsidR="00B708BB">
        <w:rPr>
          <w:rFonts w:eastAsia="Arial Narrow" w:cstheme="minorHAnsi"/>
        </w:rPr>
        <w:t>50,47</w:t>
      </w:r>
      <w:r>
        <w:rPr>
          <w:rFonts w:eastAsia="Arial Narrow" w:cstheme="minorHAnsi"/>
        </w:rPr>
        <w:t xml:space="preserve">%, posjeduje </w:t>
      </w:r>
      <w:r w:rsidR="00B708BB">
        <w:rPr>
          <w:rFonts w:eastAsia="Arial Narrow" w:cstheme="minorHAnsi"/>
        </w:rPr>
        <w:t>manje od 0,1 ha vinograda</w:t>
      </w:r>
      <w:r>
        <w:rPr>
          <w:rFonts w:eastAsia="Arial Narrow" w:cstheme="minorHAnsi"/>
        </w:rPr>
        <w:t xml:space="preserve">, </w:t>
      </w:r>
      <w:r w:rsidR="00B708BB">
        <w:rPr>
          <w:rFonts w:eastAsia="Arial Narrow" w:cstheme="minorHAnsi"/>
        </w:rPr>
        <w:t>48,88</w:t>
      </w:r>
      <w:r>
        <w:rPr>
          <w:rFonts w:eastAsia="Arial Narrow" w:cstheme="minorHAnsi"/>
        </w:rPr>
        <w:t xml:space="preserve">% gospodarstva posjeduju od 0,1 </w:t>
      </w:r>
      <w:r w:rsidR="00B708BB">
        <w:rPr>
          <w:rFonts w:eastAsia="Arial Narrow" w:cstheme="minorHAnsi"/>
        </w:rPr>
        <w:t xml:space="preserve"> </w:t>
      </w:r>
      <w:r w:rsidR="0068212E">
        <w:rPr>
          <w:rFonts w:eastAsia="Arial Narrow" w:cstheme="minorHAnsi"/>
        </w:rPr>
        <w:t>do</w:t>
      </w:r>
      <w:r w:rsidR="00B708BB">
        <w:rPr>
          <w:rFonts w:eastAsia="Arial Narrow" w:cstheme="minorHAnsi"/>
        </w:rPr>
        <w:t xml:space="preserve"> 1 </w:t>
      </w:r>
      <w:r>
        <w:rPr>
          <w:rFonts w:eastAsia="Arial Narrow" w:cstheme="minorHAnsi"/>
        </w:rPr>
        <w:t>ha vinograda, 0,6% posjeduje 1-5 hektara, a samo 0,0</w:t>
      </w:r>
      <w:r w:rsidR="0068212E">
        <w:rPr>
          <w:rFonts w:eastAsia="Arial Narrow" w:cstheme="minorHAnsi"/>
        </w:rPr>
        <w:t>32</w:t>
      </w:r>
      <w:r>
        <w:rPr>
          <w:rFonts w:eastAsia="Arial Narrow" w:cstheme="minorHAnsi"/>
        </w:rPr>
        <w:t xml:space="preserve">% gospodarstva posjeduje između 5 i 10 hektara vinograda. </w:t>
      </w:r>
      <w:r w:rsidR="006702E4">
        <w:rPr>
          <w:rFonts w:eastAsia="Arial Narrow" w:cstheme="minorHAnsi"/>
        </w:rPr>
        <w:t>Najmanje gospodarstava posjeduje od 10 do 15 ha vinograda, svega 0,014%.</w:t>
      </w:r>
    </w:p>
    <w:p w14:paraId="2548E72E" w14:textId="77777777" w:rsidR="009E5104" w:rsidRDefault="009E5104" w:rsidP="00941871">
      <w:pPr>
        <w:spacing w:line="283" w:lineRule="auto"/>
        <w:ind w:right="232"/>
        <w:rPr>
          <w:rFonts w:eastAsia="Arial Narrow" w:cstheme="minorHAnsi"/>
        </w:rPr>
      </w:pPr>
    </w:p>
    <w:p w14:paraId="35ECFEC5" w14:textId="28F2DA86" w:rsidR="00400923" w:rsidRPr="001E3867" w:rsidRDefault="00400923" w:rsidP="001E3867">
      <w:pPr>
        <w:pStyle w:val="Opisslike"/>
      </w:pPr>
      <w:r w:rsidRPr="001E3867">
        <w:t xml:space="preserve">Tablica </w:t>
      </w:r>
      <w:r w:rsidR="00BD0057" w:rsidRPr="001E3867">
        <w:t>1</w:t>
      </w:r>
      <w:r w:rsidR="001E3867" w:rsidRPr="001E3867">
        <w:t>30</w:t>
      </w:r>
      <w:r w:rsidR="00BD0057" w:rsidRPr="001E3867">
        <w:t>.</w:t>
      </w:r>
      <w:r w:rsidRPr="001E3867">
        <w:t xml:space="preserve"> Površina i broj PG-a pod vinogradima prema veličini gospodarstva, 2017.</w:t>
      </w:r>
      <w:r w:rsidR="009E67D7" w:rsidRPr="001E3867">
        <w:t xml:space="preserve"> </w:t>
      </w:r>
      <w:r w:rsidRPr="001E3867">
        <w:t>-</w:t>
      </w:r>
      <w:r w:rsidR="009E67D7" w:rsidRPr="001E3867">
        <w:t xml:space="preserve"> </w:t>
      </w:r>
      <w:r w:rsidRPr="001E3867">
        <w:t>2020.</w:t>
      </w:r>
    </w:p>
    <w:tbl>
      <w:tblPr>
        <w:tblW w:w="9537" w:type="dxa"/>
        <w:tblLook w:val="04A0" w:firstRow="1" w:lastRow="0" w:firstColumn="1" w:lastColumn="0" w:noHBand="0" w:noVBand="1"/>
      </w:tblPr>
      <w:tblGrid>
        <w:gridCol w:w="792"/>
        <w:gridCol w:w="841"/>
        <w:gridCol w:w="718"/>
        <w:gridCol w:w="841"/>
        <w:gridCol w:w="718"/>
        <w:gridCol w:w="841"/>
        <w:gridCol w:w="515"/>
        <w:gridCol w:w="841"/>
        <w:gridCol w:w="515"/>
        <w:gridCol w:w="841"/>
        <w:gridCol w:w="515"/>
        <w:gridCol w:w="841"/>
        <w:gridCol w:w="718"/>
      </w:tblGrid>
      <w:tr w:rsidR="0091269F" w:rsidRPr="00945DB7" w14:paraId="26E643CD" w14:textId="714448EC" w:rsidTr="005E37D6">
        <w:trPr>
          <w:trHeight w:val="480"/>
        </w:trPr>
        <w:tc>
          <w:tcPr>
            <w:tcW w:w="792" w:type="dxa"/>
            <w:vMerge w:val="restart"/>
            <w:tcBorders>
              <w:top w:val="nil"/>
              <w:left w:val="single" w:sz="8" w:space="0" w:color="D2232A"/>
              <w:bottom w:val="single" w:sz="4" w:space="0" w:color="000000"/>
              <w:right w:val="single" w:sz="4" w:space="0" w:color="auto"/>
            </w:tcBorders>
            <w:shd w:val="clear" w:color="000000" w:fill="D2232A"/>
            <w:vAlign w:val="center"/>
            <w:hideMark/>
          </w:tcPr>
          <w:p w14:paraId="46F17A3A" w14:textId="77777777" w:rsidR="0091269F" w:rsidRPr="00945DB7" w:rsidRDefault="0091269F" w:rsidP="00945DB7">
            <w:pPr>
              <w:spacing w:after="0" w:line="240" w:lineRule="auto"/>
              <w:jc w:val="center"/>
              <w:rPr>
                <w:rFonts w:eastAsia="Times New Roman" w:cs="Calibri"/>
                <w:color w:val="FFFFFF"/>
                <w:szCs w:val="18"/>
                <w:lang w:eastAsia="hr-HR"/>
              </w:rPr>
            </w:pPr>
            <w:r w:rsidRPr="00945DB7">
              <w:rPr>
                <w:rFonts w:eastAsia="Times New Roman" w:cs="Calibri"/>
                <w:color w:val="FFFFFF"/>
                <w:szCs w:val="18"/>
                <w:lang w:eastAsia="hr-HR"/>
              </w:rPr>
              <w:t>Godina</w:t>
            </w:r>
          </w:p>
        </w:tc>
        <w:tc>
          <w:tcPr>
            <w:tcW w:w="1559" w:type="dxa"/>
            <w:gridSpan w:val="2"/>
            <w:tcBorders>
              <w:top w:val="nil"/>
              <w:left w:val="nil"/>
              <w:bottom w:val="single" w:sz="4" w:space="0" w:color="auto"/>
              <w:right w:val="single" w:sz="4" w:space="0" w:color="000000"/>
            </w:tcBorders>
            <w:shd w:val="clear" w:color="000000" w:fill="D2232A"/>
            <w:vAlign w:val="center"/>
            <w:hideMark/>
          </w:tcPr>
          <w:p w14:paraId="38EACDA0"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&lt; 0,1 ha</w:t>
            </w:r>
          </w:p>
        </w:tc>
        <w:tc>
          <w:tcPr>
            <w:tcW w:w="1559" w:type="dxa"/>
            <w:gridSpan w:val="2"/>
            <w:tcBorders>
              <w:top w:val="nil"/>
              <w:left w:val="nil"/>
              <w:bottom w:val="single" w:sz="4" w:space="0" w:color="auto"/>
              <w:right w:val="single" w:sz="4" w:space="0" w:color="000000"/>
            </w:tcBorders>
            <w:shd w:val="clear" w:color="000000" w:fill="D2232A"/>
            <w:vAlign w:val="center"/>
            <w:hideMark/>
          </w:tcPr>
          <w:p w14:paraId="22DF42B3"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0,1 do 1 ha</w:t>
            </w:r>
          </w:p>
        </w:tc>
        <w:tc>
          <w:tcPr>
            <w:tcW w:w="1356" w:type="dxa"/>
            <w:gridSpan w:val="2"/>
            <w:tcBorders>
              <w:top w:val="nil"/>
              <w:left w:val="nil"/>
              <w:bottom w:val="single" w:sz="4" w:space="0" w:color="auto"/>
              <w:right w:val="single" w:sz="4" w:space="0" w:color="000000"/>
            </w:tcBorders>
            <w:shd w:val="clear" w:color="000000" w:fill="D2232A"/>
            <w:vAlign w:val="center"/>
            <w:hideMark/>
          </w:tcPr>
          <w:p w14:paraId="6A0EA31E"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1 do 5 ha</w:t>
            </w:r>
          </w:p>
        </w:tc>
        <w:tc>
          <w:tcPr>
            <w:tcW w:w="1356" w:type="dxa"/>
            <w:gridSpan w:val="2"/>
            <w:tcBorders>
              <w:top w:val="nil"/>
              <w:left w:val="nil"/>
              <w:bottom w:val="single" w:sz="4" w:space="0" w:color="auto"/>
              <w:right w:val="single" w:sz="4" w:space="0" w:color="000000"/>
            </w:tcBorders>
            <w:shd w:val="clear" w:color="000000" w:fill="D2232A"/>
            <w:vAlign w:val="center"/>
            <w:hideMark/>
          </w:tcPr>
          <w:p w14:paraId="4E94AAC9"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5 do 10 ha</w:t>
            </w:r>
          </w:p>
        </w:tc>
        <w:tc>
          <w:tcPr>
            <w:tcW w:w="1356" w:type="dxa"/>
            <w:gridSpan w:val="2"/>
            <w:tcBorders>
              <w:top w:val="nil"/>
              <w:left w:val="nil"/>
              <w:bottom w:val="single" w:sz="4" w:space="0" w:color="auto"/>
              <w:right w:val="single" w:sz="4" w:space="0" w:color="000000"/>
            </w:tcBorders>
            <w:shd w:val="clear" w:color="000000" w:fill="D2232A"/>
            <w:vAlign w:val="center"/>
            <w:hideMark/>
          </w:tcPr>
          <w:p w14:paraId="3868C8A5"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10 do 50 ha</w:t>
            </w:r>
          </w:p>
        </w:tc>
        <w:tc>
          <w:tcPr>
            <w:tcW w:w="1559" w:type="dxa"/>
            <w:gridSpan w:val="2"/>
            <w:tcBorders>
              <w:top w:val="nil"/>
              <w:left w:val="nil"/>
              <w:bottom w:val="single" w:sz="4" w:space="0" w:color="auto"/>
              <w:right w:val="single" w:sz="4" w:space="0" w:color="000000"/>
            </w:tcBorders>
            <w:shd w:val="clear" w:color="000000" w:fill="D2232A"/>
            <w:vAlign w:val="center"/>
          </w:tcPr>
          <w:p w14:paraId="63AE7DC5" w14:textId="5E1ABE52" w:rsidR="0091269F" w:rsidRPr="00945DB7" w:rsidRDefault="0091269F" w:rsidP="00346E38">
            <w:pPr>
              <w:spacing w:after="0" w:line="240" w:lineRule="auto"/>
              <w:jc w:val="left"/>
              <w:rPr>
                <w:rFonts w:eastAsia="Times New Roman" w:cs="Calibri"/>
                <w:color w:val="FFFFFF"/>
                <w:szCs w:val="18"/>
                <w:lang w:eastAsia="hr-HR"/>
              </w:rPr>
            </w:pPr>
            <w:r>
              <w:rPr>
                <w:rFonts w:eastAsia="Times New Roman" w:cs="Calibri"/>
                <w:color w:val="FFFFFF"/>
                <w:szCs w:val="18"/>
                <w:lang w:eastAsia="hr-HR"/>
              </w:rPr>
              <w:t>Ukupno</w:t>
            </w:r>
          </w:p>
        </w:tc>
      </w:tr>
      <w:tr w:rsidR="0091269F" w:rsidRPr="00945DB7" w14:paraId="561C226F" w14:textId="381BC81B" w:rsidTr="005E37D6">
        <w:trPr>
          <w:trHeight w:val="456"/>
        </w:trPr>
        <w:tc>
          <w:tcPr>
            <w:tcW w:w="792" w:type="dxa"/>
            <w:vMerge/>
            <w:tcBorders>
              <w:top w:val="nil"/>
              <w:left w:val="single" w:sz="8" w:space="0" w:color="D2232A"/>
              <w:bottom w:val="single" w:sz="4" w:space="0" w:color="000000"/>
              <w:right w:val="single" w:sz="4" w:space="0" w:color="auto"/>
            </w:tcBorders>
            <w:vAlign w:val="center"/>
            <w:hideMark/>
          </w:tcPr>
          <w:p w14:paraId="6AC3CB7D" w14:textId="77777777" w:rsidR="0091269F" w:rsidRPr="00945DB7" w:rsidRDefault="0091269F" w:rsidP="00945DB7">
            <w:pPr>
              <w:spacing w:after="0" w:line="240" w:lineRule="auto"/>
              <w:jc w:val="left"/>
              <w:rPr>
                <w:rFonts w:eastAsia="Times New Roman" w:cs="Calibri"/>
                <w:color w:val="FFFFFF"/>
                <w:szCs w:val="18"/>
                <w:lang w:eastAsia="hr-HR"/>
              </w:rPr>
            </w:pPr>
          </w:p>
        </w:tc>
        <w:tc>
          <w:tcPr>
            <w:tcW w:w="841" w:type="dxa"/>
            <w:tcBorders>
              <w:top w:val="nil"/>
              <w:left w:val="nil"/>
              <w:bottom w:val="nil"/>
              <w:right w:val="single" w:sz="4" w:space="0" w:color="auto"/>
            </w:tcBorders>
            <w:shd w:val="clear" w:color="000000" w:fill="D2232A"/>
            <w:vAlign w:val="center"/>
            <w:hideMark/>
          </w:tcPr>
          <w:p w14:paraId="74626734"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Površina (ha)</w:t>
            </w:r>
          </w:p>
        </w:tc>
        <w:tc>
          <w:tcPr>
            <w:tcW w:w="718" w:type="dxa"/>
            <w:tcBorders>
              <w:top w:val="nil"/>
              <w:left w:val="nil"/>
              <w:bottom w:val="nil"/>
              <w:right w:val="single" w:sz="4" w:space="0" w:color="auto"/>
            </w:tcBorders>
            <w:shd w:val="clear" w:color="000000" w:fill="D2232A"/>
            <w:vAlign w:val="center"/>
            <w:hideMark/>
          </w:tcPr>
          <w:p w14:paraId="7E1E2C33"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Broj PG-a</w:t>
            </w:r>
          </w:p>
        </w:tc>
        <w:tc>
          <w:tcPr>
            <w:tcW w:w="841" w:type="dxa"/>
            <w:tcBorders>
              <w:top w:val="nil"/>
              <w:left w:val="nil"/>
              <w:bottom w:val="nil"/>
              <w:right w:val="single" w:sz="4" w:space="0" w:color="auto"/>
            </w:tcBorders>
            <w:shd w:val="clear" w:color="000000" w:fill="D2232A"/>
            <w:vAlign w:val="center"/>
            <w:hideMark/>
          </w:tcPr>
          <w:p w14:paraId="66929989"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Površina (ha)</w:t>
            </w:r>
          </w:p>
        </w:tc>
        <w:tc>
          <w:tcPr>
            <w:tcW w:w="718" w:type="dxa"/>
            <w:tcBorders>
              <w:top w:val="nil"/>
              <w:left w:val="nil"/>
              <w:bottom w:val="nil"/>
              <w:right w:val="single" w:sz="4" w:space="0" w:color="auto"/>
            </w:tcBorders>
            <w:shd w:val="clear" w:color="000000" w:fill="D2232A"/>
            <w:vAlign w:val="center"/>
            <w:hideMark/>
          </w:tcPr>
          <w:p w14:paraId="21190419"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Broj PG-a</w:t>
            </w:r>
          </w:p>
        </w:tc>
        <w:tc>
          <w:tcPr>
            <w:tcW w:w="841" w:type="dxa"/>
            <w:tcBorders>
              <w:top w:val="nil"/>
              <w:left w:val="nil"/>
              <w:bottom w:val="nil"/>
              <w:right w:val="single" w:sz="4" w:space="0" w:color="auto"/>
            </w:tcBorders>
            <w:shd w:val="clear" w:color="000000" w:fill="D2232A"/>
            <w:vAlign w:val="center"/>
            <w:hideMark/>
          </w:tcPr>
          <w:p w14:paraId="57BEF910"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Površina (ha)</w:t>
            </w:r>
          </w:p>
        </w:tc>
        <w:tc>
          <w:tcPr>
            <w:tcW w:w="515" w:type="dxa"/>
            <w:tcBorders>
              <w:top w:val="nil"/>
              <w:left w:val="nil"/>
              <w:bottom w:val="nil"/>
              <w:right w:val="single" w:sz="4" w:space="0" w:color="auto"/>
            </w:tcBorders>
            <w:shd w:val="clear" w:color="000000" w:fill="D2232A"/>
            <w:vAlign w:val="center"/>
            <w:hideMark/>
          </w:tcPr>
          <w:p w14:paraId="5465CDAD"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Broj PG-a</w:t>
            </w:r>
          </w:p>
        </w:tc>
        <w:tc>
          <w:tcPr>
            <w:tcW w:w="841" w:type="dxa"/>
            <w:tcBorders>
              <w:top w:val="nil"/>
              <w:left w:val="nil"/>
              <w:bottom w:val="nil"/>
              <w:right w:val="single" w:sz="4" w:space="0" w:color="auto"/>
            </w:tcBorders>
            <w:shd w:val="clear" w:color="000000" w:fill="D2232A"/>
            <w:vAlign w:val="center"/>
            <w:hideMark/>
          </w:tcPr>
          <w:p w14:paraId="60905125"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Površina (ha)</w:t>
            </w:r>
          </w:p>
        </w:tc>
        <w:tc>
          <w:tcPr>
            <w:tcW w:w="515" w:type="dxa"/>
            <w:tcBorders>
              <w:top w:val="nil"/>
              <w:left w:val="nil"/>
              <w:bottom w:val="nil"/>
              <w:right w:val="single" w:sz="4" w:space="0" w:color="auto"/>
            </w:tcBorders>
            <w:shd w:val="clear" w:color="000000" w:fill="D2232A"/>
            <w:vAlign w:val="center"/>
            <w:hideMark/>
          </w:tcPr>
          <w:p w14:paraId="1B85D67B"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Broj PG-a</w:t>
            </w:r>
          </w:p>
        </w:tc>
        <w:tc>
          <w:tcPr>
            <w:tcW w:w="841" w:type="dxa"/>
            <w:tcBorders>
              <w:top w:val="nil"/>
              <w:left w:val="nil"/>
              <w:bottom w:val="nil"/>
              <w:right w:val="single" w:sz="4" w:space="0" w:color="auto"/>
            </w:tcBorders>
            <w:shd w:val="clear" w:color="000000" w:fill="D2232A"/>
            <w:vAlign w:val="center"/>
            <w:hideMark/>
          </w:tcPr>
          <w:p w14:paraId="7881DE95"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Površina (ha)</w:t>
            </w:r>
          </w:p>
        </w:tc>
        <w:tc>
          <w:tcPr>
            <w:tcW w:w="515" w:type="dxa"/>
            <w:tcBorders>
              <w:top w:val="nil"/>
              <w:left w:val="nil"/>
              <w:bottom w:val="nil"/>
              <w:right w:val="single" w:sz="4" w:space="0" w:color="auto"/>
            </w:tcBorders>
            <w:shd w:val="clear" w:color="000000" w:fill="D2232A"/>
            <w:vAlign w:val="center"/>
            <w:hideMark/>
          </w:tcPr>
          <w:p w14:paraId="2944F949" w14:textId="77777777" w:rsidR="0091269F" w:rsidRPr="00945DB7" w:rsidRDefault="0091269F" w:rsidP="00346E38">
            <w:pPr>
              <w:spacing w:after="0" w:line="240" w:lineRule="auto"/>
              <w:jc w:val="left"/>
              <w:rPr>
                <w:rFonts w:eastAsia="Times New Roman" w:cs="Calibri"/>
                <w:color w:val="FFFFFF"/>
                <w:szCs w:val="18"/>
                <w:lang w:eastAsia="hr-HR"/>
              </w:rPr>
            </w:pPr>
            <w:r w:rsidRPr="00945DB7">
              <w:rPr>
                <w:rFonts w:eastAsia="Times New Roman" w:cs="Calibri"/>
                <w:color w:val="FFFFFF"/>
                <w:szCs w:val="18"/>
                <w:lang w:eastAsia="hr-HR"/>
              </w:rPr>
              <w:t>Broj PG-a</w:t>
            </w:r>
          </w:p>
        </w:tc>
        <w:tc>
          <w:tcPr>
            <w:tcW w:w="841" w:type="dxa"/>
            <w:tcBorders>
              <w:top w:val="nil"/>
              <w:left w:val="nil"/>
              <w:bottom w:val="nil"/>
              <w:right w:val="single" w:sz="4" w:space="0" w:color="auto"/>
            </w:tcBorders>
            <w:shd w:val="clear" w:color="000000" w:fill="D2232A"/>
          </w:tcPr>
          <w:p w14:paraId="5AA41A35" w14:textId="73559F07" w:rsidR="0091269F" w:rsidRPr="00945DB7" w:rsidRDefault="0091269F" w:rsidP="00346E38">
            <w:pPr>
              <w:spacing w:after="0" w:line="240" w:lineRule="auto"/>
              <w:jc w:val="left"/>
              <w:rPr>
                <w:rFonts w:eastAsia="Times New Roman" w:cs="Calibri"/>
                <w:color w:val="FFFFFF"/>
                <w:szCs w:val="18"/>
                <w:lang w:eastAsia="hr-HR"/>
              </w:rPr>
            </w:pPr>
            <w:r>
              <w:rPr>
                <w:rFonts w:eastAsia="Times New Roman" w:cs="Calibri"/>
                <w:color w:val="FFFFFF"/>
                <w:szCs w:val="18"/>
                <w:lang w:eastAsia="hr-HR"/>
              </w:rPr>
              <w:t>Površina (ha)</w:t>
            </w:r>
          </w:p>
        </w:tc>
        <w:tc>
          <w:tcPr>
            <w:tcW w:w="718" w:type="dxa"/>
            <w:tcBorders>
              <w:top w:val="nil"/>
              <w:left w:val="nil"/>
              <w:bottom w:val="nil"/>
              <w:right w:val="single" w:sz="4" w:space="0" w:color="auto"/>
            </w:tcBorders>
            <w:shd w:val="clear" w:color="000000" w:fill="D2232A"/>
          </w:tcPr>
          <w:p w14:paraId="1CD88FF9" w14:textId="34943025" w:rsidR="0091269F" w:rsidRPr="00945DB7" w:rsidRDefault="0091269F" w:rsidP="00346E38">
            <w:pPr>
              <w:spacing w:after="0" w:line="240" w:lineRule="auto"/>
              <w:jc w:val="left"/>
              <w:rPr>
                <w:rFonts w:eastAsia="Times New Roman" w:cs="Calibri"/>
                <w:color w:val="FFFFFF"/>
                <w:szCs w:val="18"/>
                <w:lang w:eastAsia="hr-HR"/>
              </w:rPr>
            </w:pPr>
            <w:r>
              <w:rPr>
                <w:rFonts w:eastAsia="Times New Roman" w:cs="Calibri"/>
                <w:color w:val="FFFFFF"/>
                <w:szCs w:val="18"/>
                <w:lang w:eastAsia="hr-HR"/>
              </w:rPr>
              <w:t>Broj PG-a</w:t>
            </w:r>
          </w:p>
        </w:tc>
      </w:tr>
      <w:tr w:rsidR="0091269F" w:rsidRPr="00945DB7" w14:paraId="4EEE1BE1" w14:textId="3B1806F8" w:rsidTr="005E37D6">
        <w:trPr>
          <w:trHeight w:val="300"/>
        </w:trPr>
        <w:tc>
          <w:tcPr>
            <w:tcW w:w="792" w:type="dxa"/>
            <w:tcBorders>
              <w:top w:val="nil"/>
              <w:left w:val="single" w:sz="8" w:space="0" w:color="D2232A"/>
              <w:bottom w:val="single" w:sz="8" w:space="0" w:color="F3CFC1"/>
              <w:right w:val="single" w:sz="8" w:space="0" w:color="D2232A"/>
            </w:tcBorders>
            <w:shd w:val="clear" w:color="auto" w:fill="auto"/>
            <w:vAlign w:val="center"/>
            <w:hideMark/>
          </w:tcPr>
          <w:p w14:paraId="1061F004" w14:textId="77777777" w:rsidR="0091269F" w:rsidRPr="00945DB7" w:rsidRDefault="0091269F" w:rsidP="00945DB7">
            <w:pPr>
              <w:spacing w:after="0" w:line="240" w:lineRule="auto"/>
              <w:jc w:val="center"/>
              <w:rPr>
                <w:rFonts w:eastAsia="Times New Roman" w:cs="Calibri"/>
                <w:color w:val="3F3F3F"/>
                <w:szCs w:val="18"/>
                <w:lang w:eastAsia="hr-HR"/>
              </w:rPr>
            </w:pPr>
            <w:r w:rsidRPr="00945DB7">
              <w:rPr>
                <w:rFonts w:eastAsia="Times New Roman" w:cs="Calibri"/>
                <w:color w:val="3F3F3F"/>
                <w:szCs w:val="18"/>
                <w:lang w:eastAsia="hr-HR"/>
              </w:rPr>
              <w:t>2017.</w:t>
            </w:r>
          </w:p>
        </w:tc>
        <w:tc>
          <w:tcPr>
            <w:tcW w:w="841" w:type="dxa"/>
            <w:tcBorders>
              <w:top w:val="nil"/>
              <w:left w:val="nil"/>
              <w:bottom w:val="single" w:sz="8" w:space="0" w:color="F3CFC1"/>
              <w:right w:val="single" w:sz="8" w:space="0" w:color="D2232A"/>
            </w:tcBorders>
            <w:shd w:val="clear" w:color="auto" w:fill="auto"/>
            <w:vAlign w:val="center"/>
            <w:hideMark/>
          </w:tcPr>
          <w:p w14:paraId="18418E51"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165,94</w:t>
            </w:r>
          </w:p>
        </w:tc>
        <w:tc>
          <w:tcPr>
            <w:tcW w:w="718" w:type="dxa"/>
            <w:tcBorders>
              <w:top w:val="nil"/>
              <w:left w:val="nil"/>
              <w:bottom w:val="single" w:sz="8" w:space="0" w:color="F3CFC1"/>
              <w:right w:val="single" w:sz="8" w:space="0" w:color="D2232A"/>
            </w:tcBorders>
            <w:shd w:val="clear" w:color="auto" w:fill="auto"/>
            <w:vAlign w:val="center"/>
            <w:hideMark/>
          </w:tcPr>
          <w:p w14:paraId="25FD6A22"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2.575</w:t>
            </w:r>
          </w:p>
        </w:tc>
        <w:tc>
          <w:tcPr>
            <w:tcW w:w="841" w:type="dxa"/>
            <w:tcBorders>
              <w:top w:val="nil"/>
              <w:left w:val="nil"/>
              <w:bottom w:val="single" w:sz="8" w:space="0" w:color="F3CFC1"/>
              <w:right w:val="single" w:sz="8" w:space="0" w:color="D2232A"/>
            </w:tcBorders>
            <w:shd w:val="clear" w:color="auto" w:fill="auto"/>
            <w:vAlign w:val="center"/>
            <w:hideMark/>
          </w:tcPr>
          <w:p w14:paraId="05DD5061"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493,41</w:t>
            </w:r>
          </w:p>
        </w:tc>
        <w:tc>
          <w:tcPr>
            <w:tcW w:w="718" w:type="dxa"/>
            <w:tcBorders>
              <w:top w:val="nil"/>
              <w:left w:val="nil"/>
              <w:bottom w:val="single" w:sz="8" w:space="0" w:color="F3CFC1"/>
              <w:right w:val="single" w:sz="8" w:space="0" w:color="D2232A"/>
            </w:tcBorders>
            <w:shd w:val="clear" w:color="auto" w:fill="auto"/>
            <w:vAlign w:val="center"/>
            <w:hideMark/>
          </w:tcPr>
          <w:p w14:paraId="16614B4B"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2.828</w:t>
            </w:r>
          </w:p>
        </w:tc>
        <w:tc>
          <w:tcPr>
            <w:tcW w:w="841" w:type="dxa"/>
            <w:tcBorders>
              <w:top w:val="nil"/>
              <w:left w:val="nil"/>
              <w:bottom w:val="single" w:sz="8" w:space="0" w:color="F3CFC1"/>
              <w:right w:val="single" w:sz="8" w:space="0" w:color="D2232A"/>
            </w:tcBorders>
            <w:shd w:val="clear" w:color="auto" w:fill="auto"/>
            <w:vAlign w:val="center"/>
            <w:hideMark/>
          </w:tcPr>
          <w:p w14:paraId="2D923C9C"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64,16</w:t>
            </w:r>
          </w:p>
        </w:tc>
        <w:tc>
          <w:tcPr>
            <w:tcW w:w="515" w:type="dxa"/>
            <w:tcBorders>
              <w:top w:val="nil"/>
              <w:left w:val="nil"/>
              <w:bottom w:val="single" w:sz="8" w:space="0" w:color="F3CFC1"/>
              <w:right w:val="single" w:sz="8" w:space="0" w:color="D2232A"/>
            </w:tcBorders>
            <w:shd w:val="clear" w:color="auto" w:fill="auto"/>
            <w:vAlign w:val="center"/>
            <w:hideMark/>
          </w:tcPr>
          <w:p w14:paraId="5E2C07A2"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35</w:t>
            </w:r>
          </w:p>
        </w:tc>
        <w:tc>
          <w:tcPr>
            <w:tcW w:w="841" w:type="dxa"/>
            <w:tcBorders>
              <w:top w:val="nil"/>
              <w:left w:val="nil"/>
              <w:bottom w:val="single" w:sz="8" w:space="0" w:color="F3CFC1"/>
              <w:right w:val="single" w:sz="8" w:space="0" w:color="D2232A"/>
            </w:tcBorders>
            <w:shd w:val="clear" w:color="auto" w:fill="auto"/>
            <w:vAlign w:val="center"/>
            <w:hideMark/>
          </w:tcPr>
          <w:p w14:paraId="5A2DBF52"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12,25</w:t>
            </w:r>
          </w:p>
        </w:tc>
        <w:tc>
          <w:tcPr>
            <w:tcW w:w="515" w:type="dxa"/>
            <w:tcBorders>
              <w:top w:val="nil"/>
              <w:left w:val="nil"/>
              <w:bottom w:val="single" w:sz="8" w:space="0" w:color="F3CFC1"/>
              <w:right w:val="single" w:sz="8" w:space="0" w:color="D2232A"/>
            </w:tcBorders>
            <w:shd w:val="clear" w:color="auto" w:fill="auto"/>
            <w:vAlign w:val="center"/>
            <w:hideMark/>
          </w:tcPr>
          <w:p w14:paraId="28119517"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w:t>
            </w:r>
          </w:p>
        </w:tc>
        <w:tc>
          <w:tcPr>
            <w:tcW w:w="841" w:type="dxa"/>
            <w:tcBorders>
              <w:top w:val="nil"/>
              <w:left w:val="nil"/>
              <w:bottom w:val="single" w:sz="8" w:space="0" w:color="F3CFC1"/>
              <w:right w:val="single" w:sz="8" w:space="0" w:color="D2232A"/>
            </w:tcBorders>
            <w:shd w:val="clear" w:color="auto" w:fill="auto"/>
            <w:vAlign w:val="center"/>
            <w:hideMark/>
          </w:tcPr>
          <w:p w14:paraId="45916733"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18,75</w:t>
            </w:r>
          </w:p>
        </w:tc>
        <w:tc>
          <w:tcPr>
            <w:tcW w:w="515" w:type="dxa"/>
            <w:tcBorders>
              <w:top w:val="nil"/>
              <w:left w:val="nil"/>
              <w:bottom w:val="single" w:sz="8" w:space="0" w:color="F3CFC1"/>
              <w:right w:val="single" w:sz="8" w:space="0" w:color="D2232A"/>
            </w:tcBorders>
            <w:shd w:val="clear" w:color="auto" w:fill="auto"/>
            <w:vAlign w:val="center"/>
            <w:hideMark/>
          </w:tcPr>
          <w:p w14:paraId="7630F32E"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w:t>
            </w:r>
          </w:p>
        </w:tc>
        <w:tc>
          <w:tcPr>
            <w:tcW w:w="841" w:type="dxa"/>
            <w:tcBorders>
              <w:top w:val="nil"/>
              <w:left w:val="nil"/>
              <w:bottom w:val="single" w:sz="8" w:space="0" w:color="F3CFC1"/>
              <w:right w:val="single" w:sz="8" w:space="0" w:color="D2232A"/>
            </w:tcBorders>
            <w:vAlign w:val="center"/>
          </w:tcPr>
          <w:p w14:paraId="007D99F4" w14:textId="4AD5DC41"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754,51</w:t>
            </w:r>
          </w:p>
        </w:tc>
        <w:tc>
          <w:tcPr>
            <w:tcW w:w="718" w:type="dxa"/>
            <w:tcBorders>
              <w:top w:val="nil"/>
              <w:left w:val="nil"/>
              <w:bottom w:val="single" w:sz="8" w:space="0" w:color="F3CFC1"/>
              <w:right w:val="single" w:sz="8" w:space="0" w:color="D2232A"/>
            </w:tcBorders>
            <w:vAlign w:val="center"/>
          </w:tcPr>
          <w:p w14:paraId="23D024D3" w14:textId="13EDCEF9"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5.441</w:t>
            </w:r>
          </w:p>
        </w:tc>
      </w:tr>
      <w:tr w:rsidR="0091269F" w:rsidRPr="00945DB7" w14:paraId="0E414DD3" w14:textId="03216622" w:rsidTr="005E37D6">
        <w:trPr>
          <w:trHeight w:val="300"/>
        </w:trPr>
        <w:tc>
          <w:tcPr>
            <w:tcW w:w="792" w:type="dxa"/>
            <w:tcBorders>
              <w:top w:val="nil"/>
              <w:left w:val="single" w:sz="8" w:space="0" w:color="D2232A"/>
              <w:bottom w:val="single" w:sz="8" w:space="0" w:color="F3CFC1"/>
              <w:right w:val="single" w:sz="8" w:space="0" w:color="D2232A"/>
            </w:tcBorders>
            <w:shd w:val="clear" w:color="auto" w:fill="auto"/>
            <w:vAlign w:val="center"/>
            <w:hideMark/>
          </w:tcPr>
          <w:p w14:paraId="1FB05D6F" w14:textId="77777777" w:rsidR="0091269F" w:rsidRPr="00945DB7" w:rsidRDefault="0091269F" w:rsidP="00945DB7">
            <w:pPr>
              <w:spacing w:after="0" w:line="240" w:lineRule="auto"/>
              <w:jc w:val="center"/>
              <w:rPr>
                <w:rFonts w:eastAsia="Times New Roman" w:cs="Calibri"/>
                <w:color w:val="3F3F3F"/>
                <w:szCs w:val="18"/>
                <w:lang w:eastAsia="hr-HR"/>
              </w:rPr>
            </w:pPr>
            <w:r w:rsidRPr="00945DB7">
              <w:rPr>
                <w:rFonts w:eastAsia="Times New Roman" w:cs="Calibri"/>
                <w:color w:val="3F3F3F"/>
                <w:szCs w:val="18"/>
                <w:lang w:eastAsia="hr-HR"/>
              </w:rPr>
              <w:t>2018.</w:t>
            </w:r>
          </w:p>
        </w:tc>
        <w:tc>
          <w:tcPr>
            <w:tcW w:w="841" w:type="dxa"/>
            <w:tcBorders>
              <w:top w:val="nil"/>
              <w:left w:val="nil"/>
              <w:bottom w:val="single" w:sz="8" w:space="0" w:color="F3CFC1"/>
              <w:right w:val="single" w:sz="8" w:space="0" w:color="D2232A"/>
            </w:tcBorders>
            <w:shd w:val="clear" w:color="auto" w:fill="auto"/>
            <w:vAlign w:val="center"/>
            <w:hideMark/>
          </w:tcPr>
          <w:p w14:paraId="4BFD24DE"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170,58</w:t>
            </w:r>
          </w:p>
        </w:tc>
        <w:tc>
          <w:tcPr>
            <w:tcW w:w="718" w:type="dxa"/>
            <w:tcBorders>
              <w:top w:val="nil"/>
              <w:left w:val="nil"/>
              <w:bottom w:val="single" w:sz="8" w:space="0" w:color="F3CFC1"/>
              <w:right w:val="single" w:sz="8" w:space="0" w:color="D2232A"/>
            </w:tcBorders>
            <w:shd w:val="clear" w:color="auto" w:fill="auto"/>
            <w:vAlign w:val="center"/>
            <w:hideMark/>
          </w:tcPr>
          <w:p w14:paraId="497C45AB"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2.644</w:t>
            </w:r>
          </w:p>
        </w:tc>
        <w:tc>
          <w:tcPr>
            <w:tcW w:w="841" w:type="dxa"/>
            <w:tcBorders>
              <w:top w:val="nil"/>
              <w:left w:val="nil"/>
              <w:bottom w:val="single" w:sz="8" w:space="0" w:color="F3CFC1"/>
              <w:right w:val="single" w:sz="8" w:space="0" w:color="D2232A"/>
            </w:tcBorders>
            <w:shd w:val="clear" w:color="auto" w:fill="auto"/>
            <w:vAlign w:val="center"/>
            <w:hideMark/>
          </w:tcPr>
          <w:p w14:paraId="3F8995FA"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501,56</w:t>
            </w:r>
          </w:p>
        </w:tc>
        <w:tc>
          <w:tcPr>
            <w:tcW w:w="718" w:type="dxa"/>
            <w:tcBorders>
              <w:top w:val="nil"/>
              <w:left w:val="nil"/>
              <w:bottom w:val="single" w:sz="8" w:space="0" w:color="F3CFC1"/>
              <w:right w:val="single" w:sz="8" w:space="0" w:color="D2232A"/>
            </w:tcBorders>
            <w:shd w:val="clear" w:color="auto" w:fill="auto"/>
            <w:vAlign w:val="center"/>
            <w:hideMark/>
          </w:tcPr>
          <w:p w14:paraId="1C4B5E08"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2.877</w:t>
            </w:r>
          </w:p>
        </w:tc>
        <w:tc>
          <w:tcPr>
            <w:tcW w:w="841" w:type="dxa"/>
            <w:tcBorders>
              <w:top w:val="nil"/>
              <w:left w:val="nil"/>
              <w:bottom w:val="single" w:sz="8" w:space="0" w:color="F3CFC1"/>
              <w:right w:val="single" w:sz="8" w:space="0" w:color="D2232A"/>
            </w:tcBorders>
            <w:shd w:val="clear" w:color="auto" w:fill="auto"/>
            <w:vAlign w:val="center"/>
            <w:hideMark/>
          </w:tcPr>
          <w:p w14:paraId="126313F4"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64,64</w:t>
            </w:r>
          </w:p>
        </w:tc>
        <w:tc>
          <w:tcPr>
            <w:tcW w:w="515" w:type="dxa"/>
            <w:tcBorders>
              <w:top w:val="nil"/>
              <w:left w:val="nil"/>
              <w:bottom w:val="single" w:sz="8" w:space="0" w:color="F3CFC1"/>
              <w:right w:val="single" w:sz="8" w:space="0" w:color="D2232A"/>
            </w:tcBorders>
            <w:shd w:val="clear" w:color="auto" w:fill="auto"/>
            <w:vAlign w:val="center"/>
            <w:hideMark/>
          </w:tcPr>
          <w:p w14:paraId="7E013035"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35</w:t>
            </w:r>
          </w:p>
        </w:tc>
        <w:tc>
          <w:tcPr>
            <w:tcW w:w="841" w:type="dxa"/>
            <w:tcBorders>
              <w:top w:val="nil"/>
              <w:left w:val="nil"/>
              <w:bottom w:val="single" w:sz="8" w:space="0" w:color="F3CFC1"/>
              <w:right w:val="single" w:sz="8" w:space="0" w:color="D2232A"/>
            </w:tcBorders>
            <w:shd w:val="clear" w:color="auto" w:fill="auto"/>
            <w:vAlign w:val="center"/>
            <w:hideMark/>
          </w:tcPr>
          <w:p w14:paraId="0EA366C8"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20,86</w:t>
            </w:r>
          </w:p>
        </w:tc>
        <w:tc>
          <w:tcPr>
            <w:tcW w:w="515" w:type="dxa"/>
            <w:tcBorders>
              <w:top w:val="nil"/>
              <w:left w:val="nil"/>
              <w:bottom w:val="single" w:sz="8" w:space="0" w:color="F3CFC1"/>
              <w:right w:val="single" w:sz="8" w:space="0" w:color="D2232A"/>
            </w:tcBorders>
            <w:shd w:val="clear" w:color="auto" w:fill="auto"/>
            <w:vAlign w:val="center"/>
            <w:hideMark/>
          </w:tcPr>
          <w:p w14:paraId="2DAAAE25"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3</w:t>
            </w:r>
          </w:p>
        </w:tc>
        <w:tc>
          <w:tcPr>
            <w:tcW w:w="841" w:type="dxa"/>
            <w:tcBorders>
              <w:top w:val="nil"/>
              <w:left w:val="nil"/>
              <w:bottom w:val="single" w:sz="8" w:space="0" w:color="F3CFC1"/>
              <w:right w:val="single" w:sz="8" w:space="0" w:color="D2232A"/>
            </w:tcBorders>
            <w:shd w:val="clear" w:color="auto" w:fill="auto"/>
            <w:vAlign w:val="center"/>
            <w:hideMark/>
          </w:tcPr>
          <w:p w14:paraId="07E790B8"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0,00</w:t>
            </w:r>
          </w:p>
        </w:tc>
        <w:tc>
          <w:tcPr>
            <w:tcW w:w="515" w:type="dxa"/>
            <w:tcBorders>
              <w:top w:val="nil"/>
              <w:left w:val="nil"/>
              <w:bottom w:val="single" w:sz="8" w:space="0" w:color="F3CFC1"/>
              <w:right w:val="single" w:sz="8" w:space="0" w:color="D2232A"/>
            </w:tcBorders>
            <w:shd w:val="clear" w:color="auto" w:fill="auto"/>
            <w:vAlign w:val="center"/>
            <w:hideMark/>
          </w:tcPr>
          <w:p w14:paraId="59A79D10"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0</w:t>
            </w:r>
          </w:p>
        </w:tc>
        <w:tc>
          <w:tcPr>
            <w:tcW w:w="841" w:type="dxa"/>
            <w:tcBorders>
              <w:top w:val="nil"/>
              <w:left w:val="nil"/>
              <w:bottom w:val="single" w:sz="8" w:space="0" w:color="F3CFC1"/>
              <w:right w:val="single" w:sz="8" w:space="0" w:color="D2232A"/>
            </w:tcBorders>
            <w:vAlign w:val="center"/>
          </w:tcPr>
          <w:p w14:paraId="0AE167F4" w14:textId="59712AA7"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757,64</w:t>
            </w:r>
          </w:p>
        </w:tc>
        <w:tc>
          <w:tcPr>
            <w:tcW w:w="718" w:type="dxa"/>
            <w:tcBorders>
              <w:top w:val="nil"/>
              <w:left w:val="nil"/>
              <w:bottom w:val="single" w:sz="8" w:space="0" w:color="F3CFC1"/>
              <w:right w:val="single" w:sz="8" w:space="0" w:color="D2232A"/>
            </w:tcBorders>
            <w:vAlign w:val="center"/>
          </w:tcPr>
          <w:p w14:paraId="3357D1A9" w14:textId="24AEB3C4"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5.559</w:t>
            </w:r>
          </w:p>
        </w:tc>
      </w:tr>
      <w:tr w:rsidR="0091269F" w:rsidRPr="00945DB7" w14:paraId="5000C31A" w14:textId="4B1319C9" w:rsidTr="005E37D6">
        <w:trPr>
          <w:trHeight w:val="300"/>
        </w:trPr>
        <w:tc>
          <w:tcPr>
            <w:tcW w:w="792" w:type="dxa"/>
            <w:tcBorders>
              <w:top w:val="nil"/>
              <w:left w:val="single" w:sz="8" w:space="0" w:color="D2232A"/>
              <w:bottom w:val="single" w:sz="8" w:space="0" w:color="F3CFC1"/>
              <w:right w:val="single" w:sz="8" w:space="0" w:color="D2232A"/>
            </w:tcBorders>
            <w:shd w:val="clear" w:color="auto" w:fill="auto"/>
            <w:vAlign w:val="center"/>
            <w:hideMark/>
          </w:tcPr>
          <w:p w14:paraId="7A53576A" w14:textId="77777777" w:rsidR="0091269F" w:rsidRPr="00945DB7" w:rsidRDefault="0091269F" w:rsidP="00945DB7">
            <w:pPr>
              <w:spacing w:after="0" w:line="240" w:lineRule="auto"/>
              <w:jc w:val="center"/>
              <w:rPr>
                <w:rFonts w:eastAsia="Times New Roman" w:cs="Calibri"/>
                <w:color w:val="3F3F3F"/>
                <w:szCs w:val="18"/>
                <w:lang w:eastAsia="hr-HR"/>
              </w:rPr>
            </w:pPr>
            <w:r w:rsidRPr="00945DB7">
              <w:rPr>
                <w:rFonts w:eastAsia="Times New Roman" w:cs="Calibri"/>
                <w:color w:val="3F3F3F"/>
                <w:szCs w:val="18"/>
                <w:lang w:eastAsia="hr-HR"/>
              </w:rPr>
              <w:t>2019.</w:t>
            </w:r>
          </w:p>
        </w:tc>
        <w:tc>
          <w:tcPr>
            <w:tcW w:w="841" w:type="dxa"/>
            <w:tcBorders>
              <w:top w:val="nil"/>
              <w:left w:val="nil"/>
              <w:bottom w:val="single" w:sz="8" w:space="0" w:color="F3CFC1"/>
              <w:right w:val="single" w:sz="8" w:space="0" w:color="D2232A"/>
            </w:tcBorders>
            <w:shd w:val="clear" w:color="auto" w:fill="auto"/>
            <w:vAlign w:val="center"/>
            <w:hideMark/>
          </w:tcPr>
          <w:p w14:paraId="6A4D6D73"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194,73</w:t>
            </w:r>
          </w:p>
        </w:tc>
        <w:tc>
          <w:tcPr>
            <w:tcW w:w="718" w:type="dxa"/>
            <w:tcBorders>
              <w:top w:val="nil"/>
              <w:left w:val="nil"/>
              <w:bottom w:val="single" w:sz="8" w:space="0" w:color="F3CFC1"/>
              <w:right w:val="single" w:sz="8" w:space="0" w:color="D2232A"/>
            </w:tcBorders>
            <w:shd w:val="clear" w:color="auto" w:fill="auto"/>
            <w:vAlign w:val="center"/>
            <w:hideMark/>
          </w:tcPr>
          <w:p w14:paraId="376CBD01"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2.927</w:t>
            </w:r>
          </w:p>
        </w:tc>
        <w:tc>
          <w:tcPr>
            <w:tcW w:w="841" w:type="dxa"/>
            <w:tcBorders>
              <w:top w:val="nil"/>
              <w:left w:val="nil"/>
              <w:bottom w:val="single" w:sz="8" w:space="0" w:color="F3CFC1"/>
              <w:right w:val="single" w:sz="8" w:space="0" w:color="D2232A"/>
            </w:tcBorders>
            <w:shd w:val="clear" w:color="auto" w:fill="auto"/>
            <w:vAlign w:val="center"/>
            <w:hideMark/>
          </w:tcPr>
          <w:p w14:paraId="619B9C3D"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449,84</w:t>
            </w:r>
          </w:p>
        </w:tc>
        <w:tc>
          <w:tcPr>
            <w:tcW w:w="718" w:type="dxa"/>
            <w:tcBorders>
              <w:top w:val="nil"/>
              <w:left w:val="nil"/>
              <w:bottom w:val="single" w:sz="8" w:space="0" w:color="F3CFC1"/>
              <w:right w:val="single" w:sz="8" w:space="0" w:color="D2232A"/>
            </w:tcBorders>
            <w:shd w:val="clear" w:color="auto" w:fill="auto"/>
            <w:vAlign w:val="center"/>
            <w:hideMark/>
          </w:tcPr>
          <w:p w14:paraId="29C5B7F0"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2.533</w:t>
            </w:r>
          </w:p>
        </w:tc>
        <w:tc>
          <w:tcPr>
            <w:tcW w:w="841" w:type="dxa"/>
            <w:tcBorders>
              <w:top w:val="nil"/>
              <w:left w:val="nil"/>
              <w:bottom w:val="single" w:sz="8" w:space="0" w:color="F3CFC1"/>
              <w:right w:val="single" w:sz="8" w:space="0" w:color="D2232A"/>
            </w:tcBorders>
            <w:shd w:val="clear" w:color="auto" w:fill="auto"/>
            <w:vAlign w:val="center"/>
            <w:hideMark/>
          </w:tcPr>
          <w:p w14:paraId="212E3B9F"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61,10</w:t>
            </w:r>
          </w:p>
        </w:tc>
        <w:tc>
          <w:tcPr>
            <w:tcW w:w="515" w:type="dxa"/>
            <w:tcBorders>
              <w:top w:val="nil"/>
              <w:left w:val="nil"/>
              <w:bottom w:val="single" w:sz="8" w:space="0" w:color="F3CFC1"/>
              <w:right w:val="single" w:sz="8" w:space="0" w:color="D2232A"/>
            </w:tcBorders>
            <w:shd w:val="clear" w:color="auto" w:fill="auto"/>
            <w:vAlign w:val="center"/>
            <w:hideMark/>
          </w:tcPr>
          <w:p w14:paraId="05B1F68B"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33</w:t>
            </w:r>
          </w:p>
        </w:tc>
        <w:tc>
          <w:tcPr>
            <w:tcW w:w="841" w:type="dxa"/>
            <w:tcBorders>
              <w:top w:val="nil"/>
              <w:left w:val="nil"/>
              <w:bottom w:val="single" w:sz="8" w:space="0" w:color="F3CFC1"/>
              <w:right w:val="single" w:sz="8" w:space="0" w:color="D2232A"/>
            </w:tcBorders>
            <w:shd w:val="clear" w:color="auto" w:fill="auto"/>
            <w:vAlign w:val="center"/>
            <w:hideMark/>
          </w:tcPr>
          <w:p w14:paraId="174BD351"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11,30</w:t>
            </w:r>
          </w:p>
        </w:tc>
        <w:tc>
          <w:tcPr>
            <w:tcW w:w="515" w:type="dxa"/>
            <w:tcBorders>
              <w:top w:val="nil"/>
              <w:left w:val="nil"/>
              <w:bottom w:val="single" w:sz="8" w:space="0" w:color="F3CFC1"/>
              <w:right w:val="single" w:sz="8" w:space="0" w:color="D2232A"/>
            </w:tcBorders>
            <w:shd w:val="clear" w:color="auto" w:fill="auto"/>
            <w:vAlign w:val="center"/>
            <w:hideMark/>
          </w:tcPr>
          <w:p w14:paraId="52F69355"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w:t>
            </w:r>
          </w:p>
        </w:tc>
        <w:tc>
          <w:tcPr>
            <w:tcW w:w="841" w:type="dxa"/>
            <w:tcBorders>
              <w:top w:val="nil"/>
              <w:left w:val="nil"/>
              <w:bottom w:val="single" w:sz="8" w:space="0" w:color="F3CFC1"/>
              <w:right w:val="single" w:sz="8" w:space="0" w:color="D2232A"/>
            </w:tcBorders>
            <w:shd w:val="clear" w:color="auto" w:fill="auto"/>
            <w:vAlign w:val="center"/>
            <w:hideMark/>
          </w:tcPr>
          <w:p w14:paraId="587EF39A"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10,34</w:t>
            </w:r>
          </w:p>
        </w:tc>
        <w:tc>
          <w:tcPr>
            <w:tcW w:w="515" w:type="dxa"/>
            <w:tcBorders>
              <w:top w:val="nil"/>
              <w:left w:val="nil"/>
              <w:bottom w:val="single" w:sz="8" w:space="0" w:color="F3CFC1"/>
              <w:right w:val="single" w:sz="8" w:space="0" w:color="D2232A"/>
            </w:tcBorders>
            <w:shd w:val="clear" w:color="auto" w:fill="auto"/>
            <w:vAlign w:val="center"/>
            <w:hideMark/>
          </w:tcPr>
          <w:p w14:paraId="19543EFA"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w:t>
            </w:r>
          </w:p>
        </w:tc>
        <w:tc>
          <w:tcPr>
            <w:tcW w:w="841" w:type="dxa"/>
            <w:tcBorders>
              <w:top w:val="nil"/>
              <w:left w:val="nil"/>
              <w:bottom w:val="single" w:sz="8" w:space="0" w:color="F3CFC1"/>
              <w:right w:val="single" w:sz="8" w:space="0" w:color="D2232A"/>
            </w:tcBorders>
            <w:vAlign w:val="center"/>
          </w:tcPr>
          <w:p w14:paraId="0200562D" w14:textId="568A3123"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727,31</w:t>
            </w:r>
          </w:p>
        </w:tc>
        <w:tc>
          <w:tcPr>
            <w:tcW w:w="718" w:type="dxa"/>
            <w:tcBorders>
              <w:top w:val="nil"/>
              <w:left w:val="nil"/>
              <w:bottom w:val="single" w:sz="8" w:space="0" w:color="F3CFC1"/>
              <w:right w:val="single" w:sz="8" w:space="0" w:color="D2232A"/>
            </w:tcBorders>
            <w:vAlign w:val="center"/>
          </w:tcPr>
          <w:p w14:paraId="36D11940" w14:textId="3735345B"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5.496</w:t>
            </w:r>
          </w:p>
        </w:tc>
      </w:tr>
      <w:tr w:rsidR="0091269F" w:rsidRPr="00945DB7" w14:paraId="438A8674" w14:textId="0EC26EF1" w:rsidTr="005E37D6">
        <w:trPr>
          <w:trHeight w:val="300"/>
        </w:trPr>
        <w:tc>
          <w:tcPr>
            <w:tcW w:w="792" w:type="dxa"/>
            <w:tcBorders>
              <w:top w:val="nil"/>
              <w:left w:val="single" w:sz="8" w:space="0" w:color="D2232A"/>
              <w:bottom w:val="single" w:sz="8" w:space="0" w:color="F3CFC1"/>
              <w:right w:val="single" w:sz="8" w:space="0" w:color="D2232A"/>
            </w:tcBorders>
            <w:shd w:val="clear" w:color="auto" w:fill="auto"/>
            <w:vAlign w:val="center"/>
            <w:hideMark/>
          </w:tcPr>
          <w:p w14:paraId="4849A4D2" w14:textId="77777777" w:rsidR="0091269F" w:rsidRPr="00945DB7" w:rsidRDefault="0091269F" w:rsidP="00945DB7">
            <w:pPr>
              <w:spacing w:after="0" w:line="240" w:lineRule="auto"/>
              <w:jc w:val="center"/>
              <w:rPr>
                <w:rFonts w:eastAsia="Times New Roman" w:cs="Calibri"/>
                <w:color w:val="3F3F3F"/>
                <w:szCs w:val="18"/>
                <w:lang w:eastAsia="hr-HR"/>
              </w:rPr>
            </w:pPr>
            <w:r w:rsidRPr="00945DB7">
              <w:rPr>
                <w:rFonts w:eastAsia="Times New Roman" w:cs="Calibri"/>
                <w:color w:val="3F3F3F"/>
                <w:szCs w:val="18"/>
                <w:lang w:eastAsia="hr-HR"/>
              </w:rPr>
              <w:t>2020.</w:t>
            </w:r>
          </w:p>
        </w:tc>
        <w:tc>
          <w:tcPr>
            <w:tcW w:w="841" w:type="dxa"/>
            <w:tcBorders>
              <w:top w:val="nil"/>
              <w:left w:val="nil"/>
              <w:bottom w:val="single" w:sz="8" w:space="0" w:color="F3CFC1"/>
              <w:right w:val="single" w:sz="8" w:space="0" w:color="D2232A"/>
            </w:tcBorders>
            <w:shd w:val="clear" w:color="auto" w:fill="auto"/>
            <w:vAlign w:val="center"/>
            <w:hideMark/>
          </w:tcPr>
          <w:p w14:paraId="4C44E71A"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190,77</w:t>
            </w:r>
          </w:p>
        </w:tc>
        <w:tc>
          <w:tcPr>
            <w:tcW w:w="718" w:type="dxa"/>
            <w:tcBorders>
              <w:top w:val="nil"/>
              <w:left w:val="nil"/>
              <w:bottom w:val="single" w:sz="8" w:space="0" w:color="F3CFC1"/>
              <w:right w:val="single" w:sz="8" w:space="0" w:color="D2232A"/>
            </w:tcBorders>
            <w:shd w:val="clear" w:color="auto" w:fill="auto"/>
            <w:vAlign w:val="center"/>
            <w:hideMark/>
          </w:tcPr>
          <w:p w14:paraId="0A62AFFC"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2.866</w:t>
            </w:r>
          </w:p>
        </w:tc>
        <w:tc>
          <w:tcPr>
            <w:tcW w:w="841" w:type="dxa"/>
            <w:tcBorders>
              <w:top w:val="nil"/>
              <w:left w:val="nil"/>
              <w:bottom w:val="single" w:sz="8" w:space="0" w:color="F3CFC1"/>
              <w:right w:val="single" w:sz="8" w:space="0" w:color="D2232A"/>
            </w:tcBorders>
            <w:shd w:val="clear" w:color="auto" w:fill="auto"/>
            <w:vAlign w:val="center"/>
            <w:hideMark/>
          </w:tcPr>
          <w:p w14:paraId="0705FA5E"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430,40</w:t>
            </w:r>
          </w:p>
        </w:tc>
        <w:tc>
          <w:tcPr>
            <w:tcW w:w="718" w:type="dxa"/>
            <w:tcBorders>
              <w:top w:val="nil"/>
              <w:left w:val="nil"/>
              <w:bottom w:val="single" w:sz="8" w:space="0" w:color="F3CFC1"/>
              <w:right w:val="single" w:sz="8" w:space="0" w:color="D2232A"/>
            </w:tcBorders>
            <w:shd w:val="clear" w:color="auto" w:fill="auto"/>
            <w:vAlign w:val="center"/>
            <w:hideMark/>
          </w:tcPr>
          <w:p w14:paraId="0B6294E2"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2.426</w:t>
            </w:r>
          </w:p>
        </w:tc>
        <w:tc>
          <w:tcPr>
            <w:tcW w:w="841" w:type="dxa"/>
            <w:tcBorders>
              <w:top w:val="nil"/>
              <w:left w:val="nil"/>
              <w:bottom w:val="single" w:sz="8" w:space="0" w:color="F3CFC1"/>
              <w:right w:val="single" w:sz="8" w:space="0" w:color="D2232A"/>
            </w:tcBorders>
            <w:shd w:val="clear" w:color="auto" w:fill="auto"/>
            <w:vAlign w:val="center"/>
            <w:hideMark/>
          </w:tcPr>
          <w:p w14:paraId="5FF6666F"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54,79</w:t>
            </w:r>
          </w:p>
        </w:tc>
        <w:tc>
          <w:tcPr>
            <w:tcW w:w="515" w:type="dxa"/>
            <w:tcBorders>
              <w:top w:val="nil"/>
              <w:left w:val="nil"/>
              <w:bottom w:val="single" w:sz="8" w:space="0" w:color="F3CFC1"/>
              <w:right w:val="single" w:sz="8" w:space="0" w:color="D2232A"/>
            </w:tcBorders>
            <w:shd w:val="clear" w:color="auto" w:fill="auto"/>
            <w:vAlign w:val="center"/>
            <w:hideMark/>
          </w:tcPr>
          <w:p w14:paraId="0AC4A358"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28</w:t>
            </w:r>
          </w:p>
        </w:tc>
        <w:tc>
          <w:tcPr>
            <w:tcW w:w="841" w:type="dxa"/>
            <w:tcBorders>
              <w:top w:val="nil"/>
              <w:left w:val="nil"/>
              <w:bottom w:val="single" w:sz="8" w:space="0" w:color="F3CFC1"/>
              <w:right w:val="single" w:sz="8" w:space="0" w:color="D2232A"/>
            </w:tcBorders>
            <w:shd w:val="clear" w:color="auto" w:fill="auto"/>
            <w:vAlign w:val="center"/>
            <w:hideMark/>
          </w:tcPr>
          <w:p w14:paraId="34BB137A"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0,00</w:t>
            </w:r>
          </w:p>
        </w:tc>
        <w:tc>
          <w:tcPr>
            <w:tcW w:w="515" w:type="dxa"/>
            <w:tcBorders>
              <w:top w:val="nil"/>
              <w:left w:val="nil"/>
              <w:bottom w:val="single" w:sz="8" w:space="0" w:color="F3CFC1"/>
              <w:right w:val="single" w:sz="8" w:space="0" w:color="D2232A"/>
            </w:tcBorders>
            <w:shd w:val="clear" w:color="auto" w:fill="auto"/>
            <w:vAlign w:val="center"/>
            <w:hideMark/>
          </w:tcPr>
          <w:p w14:paraId="07E7051E"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0</w:t>
            </w:r>
          </w:p>
        </w:tc>
        <w:tc>
          <w:tcPr>
            <w:tcW w:w="841" w:type="dxa"/>
            <w:tcBorders>
              <w:top w:val="nil"/>
              <w:left w:val="nil"/>
              <w:bottom w:val="single" w:sz="8" w:space="0" w:color="F3CFC1"/>
              <w:right w:val="single" w:sz="8" w:space="0" w:color="D2232A"/>
            </w:tcBorders>
            <w:shd w:val="clear" w:color="auto" w:fill="auto"/>
            <w:vAlign w:val="center"/>
            <w:hideMark/>
          </w:tcPr>
          <w:p w14:paraId="44BC028D"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16,46</w:t>
            </w:r>
          </w:p>
        </w:tc>
        <w:tc>
          <w:tcPr>
            <w:tcW w:w="515" w:type="dxa"/>
            <w:tcBorders>
              <w:top w:val="nil"/>
              <w:left w:val="nil"/>
              <w:bottom w:val="single" w:sz="8" w:space="0" w:color="F3CFC1"/>
              <w:right w:val="single" w:sz="8" w:space="0" w:color="D2232A"/>
            </w:tcBorders>
            <w:shd w:val="clear" w:color="auto" w:fill="auto"/>
            <w:vAlign w:val="center"/>
            <w:hideMark/>
          </w:tcPr>
          <w:p w14:paraId="7BBAACF7"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w:t>
            </w:r>
          </w:p>
        </w:tc>
        <w:tc>
          <w:tcPr>
            <w:tcW w:w="841" w:type="dxa"/>
            <w:tcBorders>
              <w:top w:val="nil"/>
              <w:left w:val="nil"/>
              <w:bottom w:val="single" w:sz="8" w:space="0" w:color="F3CFC1"/>
              <w:right w:val="single" w:sz="8" w:space="0" w:color="D2232A"/>
            </w:tcBorders>
            <w:vAlign w:val="center"/>
          </w:tcPr>
          <w:p w14:paraId="6982FA4E" w14:textId="11D7DF19"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692,42</w:t>
            </w:r>
          </w:p>
        </w:tc>
        <w:tc>
          <w:tcPr>
            <w:tcW w:w="718" w:type="dxa"/>
            <w:tcBorders>
              <w:top w:val="nil"/>
              <w:left w:val="nil"/>
              <w:bottom w:val="single" w:sz="8" w:space="0" w:color="F3CFC1"/>
              <w:right w:val="single" w:sz="8" w:space="0" w:color="D2232A"/>
            </w:tcBorders>
            <w:vAlign w:val="center"/>
          </w:tcPr>
          <w:p w14:paraId="5426B9FD" w14:textId="7F071144"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5.321</w:t>
            </w:r>
          </w:p>
        </w:tc>
      </w:tr>
      <w:tr w:rsidR="0091269F" w:rsidRPr="00945DB7" w14:paraId="4D044374" w14:textId="6CB9FFB7" w:rsidTr="005E37D6">
        <w:trPr>
          <w:trHeight w:val="300"/>
        </w:trPr>
        <w:tc>
          <w:tcPr>
            <w:tcW w:w="792" w:type="dxa"/>
            <w:tcBorders>
              <w:top w:val="nil"/>
              <w:left w:val="single" w:sz="8" w:space="0" w:color="D2232A"/>
              <w:bottom w:val="nil"/>
              <w:right w:val="single" w:sz="4" w:space="0" w:color="auto"/>
            </w:tcBorders>
            <w:shd w:val="clear" w:color="000000" w:fill="D2232A"/>
            <w:vAlign w:val="center"/>
            <w:hideMark/>
          </w:tcPr>
          <w:p w14:paraId="3454DA65" w14:textId="77777777" w:rsidR="0091269F" w:rsidRPr="00945DB7" w:rsidRDefault="0091269F" w:rsidP="00945DB7">
            <w:pPr>
              <w:spacing w:after="0" w:line="240" w:lineRule="auto"/>
              <w:jc w:val="center"/>
              <w:rPr>
                <w:rFonts w:eastAsia="Times New Roman" w:cs="Calibri"/>
                <w:color w:val="FFFFFF"/>
                <w:szCs w:val="18"/>
                <w:lang w:eastAsia="hr-HR"/>
              </w:rPr>
            </w:pPr>
            <w:r w:rsidRPr="00945DB7">
              <w:rPr>
                <w:rFonts w:eastAsia="Times New Roman" w:cs="Calibri"/>
                <w:color w:val="FFFFFF"/>
                <w:szCs w:val="18"/>
                <w:lang w:eastAsia="hr-HR"/>
              </w:rPr>
              <w:t>Ukupno</w:t>
            </w:r>
          </w:p>
        </w:tc>
        <w:tc>
          <w:tcPr>
            <w:tcW w:w="841" w:type="dxa"/>
            <w:tcBorders>
              <w:top w:val="nil"/>
              <w:left w:val="single" w:sz="8" w:space="0" w:color="D2232A"/>
              <w:bottom w:val="single" w:sz="8" w:space="0" w:color="F3CFC1"/>
              <w:right w:val="single" w:sz="8" w:space="0" w:color="D2232A"/>
            </w:tcBorders>
            <w:shd w:val="clear" w:color="auto" w:fill="auto"/>
            <w:vAlign w:val="center"/>
            <w:hideMark/>
          </w:tcPr>
          <w:p w14:paraId="364B2EC2"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722,02</w:t>
            </w:r>
          </w:p>
        </w:tc>
        <w:tc>
          <w:tcPr>
            <w:tcW w:w="718" w:type="dxa"/>
            <w:tcBorders>
              <w:top w:val="nil"/>
              <w:left w:val="nil"/>
              <w:bottom w:val="single" w:sz="8" w:space="0" w:color="F3CFC1"/>
              <w:right w:val="single" w:sz="8" w:space="0" w:color="D2232A"/>
            </w:tcBorders>
            <w:shd w:val="clear" w:color="auto" w:fill="auto"/>
            <w:vAlign w:val="center"/>
            <w:hideMark/>
          </w:tcPr>
          <w:p w14:paraId="7D4D88B0"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11.012</w:t>
            </w:r>
          </w:p>
        </w:tc>
        <w:tc>
          <w:tcPr>
            <w:tcW w:w="841" w:type="dxa"/>
            <w:tcBorders>
              <w:top w:val="nil"/>
              <w:left w:val="nil"/>
              <w:bottom w:val="single" w:sz="8" w:space="0" w:color="F3CFC1"/>
              <w:right w:val="single" w:sz="8" w:space="0" w:color="D2232A"/>
            </w:tcBorders>
            <w:shd w:val="clear" w:color="auto" w:fill="auto"/>
            <w:vAlign w:val="center"/>
            <w:hideMark/>
          </w:tcPr>
          <w:p w14:paraId="2281BB54"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1875,21</w:t>
            </w:r>
          </w:p>
        </w:tc>
        <w:tc>
          <w:tcPr>
            <w:tcW w:w="718" w:type="dxa"/>
            <w:tcBorders>
              <w:top w:val="nil"/>
              <w:left w:val="nil"/>
              <w:bottom w:val="single" w:sz="8" w:space="0" w:color="F3CFC1"/>
              <w:right w:val="single" w:sz="8" w:space="0" w:color="D2232A"/>
            </w:tcBorders>
            <w:shd w:val="clear" w:color="auto" w:fill="auto"/>
            <w:vAlign w:val="center"/>
            <w:hideMark/>
          </w:tcPr>
          <w:p w14:paraId="65FC54DD"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10.664</w:t>
            </w:r>
          </w:p>
        </w:tc>
        <w:tc>
          <w:tcPr>
            <w:tcW w:w="841" w:type="dxa"/>
            <w:tcBorders>
              <w:top w:val="nil"/>
              <w:left w:val="nil"/>
              <w:bottom w:val="single" w:sz="8" w:space="0" w:color="F3CFC1"/>
              <w:right w:val="single" w:sz="8" w:space="0" w:color="D2232A"/>
            </w:tcBorders>
            <w:shd w:val="clear" w:color="auto" w:fill="auto"/>
            <w:vAlign w:val="center"/>
            <w:hideMark/>
          </w:tcPr>
          <w:p w14:paraId="1C5089D7"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244,69</w:t>
            </w:r>
          </w:p>
        </w:tc>
        <w:tc>
          <w:tcPr>
            <w:tcW w:w="515" w:type="dxa"/>
            <w:tcBorders>
              <w:top w:val="nil"/>
              <w:left w:val="nil"/>
              <w:bottom w:val="single" w:sz="8" w:space="0" w:color="F3CFC1"/>
              <w:right w:val="single" w:sz="8" w:space="0" w:color="D2232A"/>
            </w:tcBorders>
            <w:shd w:val="clear" w:color="auto" w:fill="auto"/>
            <w:vAlign w:val="center"/>
            <w:hideMark/>
          </w:tcPr>
          <w:p w14:paraId="58C4B1A1"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131</w:t>
            </w:r>
          </w:p>
        </w:tc>
        <w:tc>
          <w:tcPr>
            <w:tcW w:w="841" w:type="dxa"/>
            <w:tcBorders>
              <w:top w:val="nil"/>
              <w:left w:val="nil"/>
              <w:bottom w:val="single" w:sz="8" w:space="0" w:color="F3CFC1"/>
              <w:right w:val="single" w:sz="8" w:space="0" w:color="D2232A"/>
            </w:tcBorders>
            <w:shd w:val="clear" w:color="auto" w:fill="auto"/>
            <w:vAlign w:val="center"/>
            <w:hideMark/>
          </w:tcPr>
          <w:p w14:paraId="0CDF53FE"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44,41</w:t>
            </w:r>
          </w:p>
        </w:tc>
        <w:tc>
          <w:tcPr>
            <w:tcW w:w="515" w:type="dxa"/>
            <w:tcBorders>
              <w:top w:val="nil"/>
              <w:left w:val="nil"/>
              <w:bottom w:val="single" w:sz="8" w:space="0" w:color="F3CFC1"/>
              <w:right w:val="single" w:sz="8" w:space="0" w:color="D2232A"/>
            </w:tcBorders>
            <w:shd w:val="clear" w:color="auto" w:fill="auto"/>
            <w:vAlign w:val="center"/>
            <w:hideMark/>
          </w:tcPr>
          <w:p w14:paraId="6EA5FD54"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7</w:t>
            </w:r>
          </w:p>
        </w:tc>
        <w:tc>
          <w:tcPr>
            <w:tcW w:w="841" w:type="dxa"/>
            <w:tcBorders>
              <w:top w:val="nil"/>
              <w:left w:val="nil"/>
              <w:bottom w:val="single" w:sz="8" w:space="0" w:color="F3CFC1"/>
              <w:right w:val="single" w:sz="8" w:space="0" w:color="D2232A"/>
            </w:tcBorders>
            <w:shd w:val="clear" w:color="auto" w:fill="auto"/>
            <w:vAlign w:val="center"/>
            <w:hideMark/>
          </w:tcPr>
          <w:p w14:paraId="70F47959"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45,54</w:t>
            </w:r>
          </w:p>
        </w:tc>
        <w:tc>
          <w:tcPr>
            <w:tcW w:w="515" w:type="dxa"/>
            <w:tcBorders>
              <w:top w:val="nil"/>
              <w:left w:val="nil"/>
              <w:bottom w:val="single" w:sz="8" w:space="0" w:color="F3CFC1"/>
              <w:right w:val="single" w:sz="8" w:space="0" w:color="D2232A"/>
            </w:tcBorders>
            <w:shd w:val="clear" w:color="auto" w:fill="auto"/>
            <w:vAlign w:val="center"/>
            <w:hideMark/>
          </w:tcPr>
          <w:p w14:paraId="6DE032A8" w14:textId="77777777" w:rsidR="0091269F" w:rsidRPr="00945DB7" w:rsidRDefault="0091269F" w:rsidP="00346E38">
            <w:pPr>
              <w:spacing w:after="0" w:line="240" w:lineRule="auto"/>
              <w:jc w:val="left"/>
              <w:rPr>
                <w:rFonts w:eastAsia="Times New Roman" w:cs="Calibri"/>
                <w:color w:val="3F3F3F"/>
                <w:szCs w:val="18"/>
                <w:lang w:eastAsia="hr-HR"/>
              </w:rPr>
            </w:pPr>
            <w:r w:rsidRPr="00945DB7">
              <w:rPr>
                <w:rFonts w:eastAsia="Times New Roman" w:cs="Calibri"/>
                <w:color w:val="3F3F3F"/>
                <w:szCs w:val="18"/>
                <w:lang w:eastAsia="hr-HR"/>
              </w:rPr>
              <w:t>3</w:t>
            </w:r>
          </w:p>
        </w:tc>
        <w:tc>
          <w:tcPr>
            <w:tcW w:w="841" w:type="dxa"/>
            <w:tcBorders>
              <w:top w:val="nil"/>
              <w:left w:val="nil"/>
              <w:bottom w:val="single" w:sz="8" w:space="0" w:color="F3CFC1"/>
              <w:right w:val="single" w:sz="8" w:space="0" w:color="D2232A"/>
            </w:tcBorders>
            <w:vAlign w:val="center"/>
          </w:tcPr>
          <w:p w14:paraId="2ACAC9C2" w14:textId="5CC10F9D"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2931,88</w:t>
            </w:r>
          </w:p>
        </w:tc>
        <w:tc>
          <w:tcPr>
            <w:tcW w:w="718" w:type="dxa"/>
            <w:tcBorders>
              <w:top w:val="nil"/>
              <w:left w:val="nil"/>
              <w:bottom w:val="single" w:sz="8" w:space="0" w:color="F3CFC1"/>
              <w:right w:val="single" w:sz="8" w:space="0" w:color="D2232A"/>
            </w:tcBorders>
            <w:vAlign w:val="center"/>
          </w:tcPr>
          <w:p w14:paraId="36940365" w14:textId="6B16F927" w:rsidR="0091269F" w:rsidRPr="00945DB7" w:rsidRDefault="0091269F" w:rsidP="00346E38">
            <w:pPr>
              <w:spacing w:after="0" w:line="240" w:lineRule="auto"/>
              <w:jc w:val="left"/>
              <w:rPr>
                <w:rFonts w:eastAsia="Times New Roman" w:cs="Calibri"/>
                <w:color w:val="3F3F3F"/>
                <w:szCs w:val="18"/>
                <w:lang w:eastAsia="hr-HR"/>
              </w:rPr>
            </w:pPr>
            <w:r w:rsidRPr="0091269F">
              <w:rPr>
                <w:rFonts w:eastAsia="Times New Roman" w:cs="Calibri"/>
                <w:color w:val="3F3F3F"/>
                <w:szCs w:val="18"/>
                <w:lang w:eastAsia="hr-HR"/>
              </w:rPr>
              <w:t>21.817</w:t>
            </w:r>
          </w:p>
        </w:tc>
      </w:tr>
    </w:tbl>
    <w:p w14:paraId="59CBB349" w14:textId="2E765C9D" w:rsidR="005E37D6" w:rsidRDefault="005E37D6" w:rsidP="005E37D6">
      <w:pPr>
        <w:pStyle w:val="Izvor"/>
        <w:rPr>
          <w:i/>
          <w:color w:val="ABABAB" w:themeColor="text1" w:themeTint="A6"/>
          <w:sz w:val="16"/>
          <w:szCs w:val="16"/>
        </w:rPr>
      </w:pPr>
      <w:r w:rsidRPr="00BD0057">
        <w:rPr>
          <w:i/>
          <w:color w:val="ABABAB" w:themeColor="text1" w:themeTint="A6"/>
          <w:sz w:val="16"/>
          <w:szCs w:val="16"/>
        </w:rPr>
        <w:t>Izvor: Agencija za plaćanja u poljoprivredi, ribarstvu i ruralnom razvoju - Vinogradarski registar; ARKOD sustav, 2017.</w:t>
      </w:r>
      <w:r w:rsidR="009E67D7">
        <w:rPr>
          <w:i/>
          <w:color w:val="ABABAB" w:themeColor="text1" w:themeTint="A6"/>
          <w:sz w:val="16"/>
          <w:szCs w:val="16"/>
        </w:rPr>
        <w:t xml:space="preserve"> </w:t>
      </w:r>
      <w:r w:rsidRPr="00BD0057">
        <w:rPr>
          <w:i/>
          <w:color w:val="ABABAB" w:themeColor="text1" w:themeTint="A6"/>
          <w:sz w:val="16"/>
          <w:szCs w:val="16"/>
        </w:rPr>
        <w:t>-</w:t>
      </w:r>
      <w:r w:rsidR="009E67D7">
        <w:rPr>
          <w:i/>
          <w:color w:val="ABABAB" w:themeColor="text1" w:themeTint="A6"/>
          <w:sz w:val="16"/>
          <w:szCs w:val="16"/>
        </w:rPr>
        <w:t xml:space="preserve"> </w:t>
      </w:r>
      <w:r w:rsidRPr="00BD0057">
        <w:rPr>
          <w:i/>
          <w:color w:val="ABABAB" w:themeColor="text1" w:themeTint="A6"/>
          <w:sz w:val="16"/>
          <w:szCs w:val="16"/>
        </w:rPr>
        <w:t>2020.</w:t>
      </w:r>
    </w:p>
    <w:p w14:paraId="4A2508C0" w14:textId="77777777" w:rsidR="00BD0057" w:rsidRPr="00BD0057" w:rsidRDefault="00BD0057" w:rsidP="005E37D6">
      <w:pPr>
        <w:pStyle w:val="Izvor"/>
        <w:rPr>
          <w:i/>
          <w:color w:val="ABABAB" w:themeColor="text1" w:themeTint="A6"/>
          <w:sz w:val="16"/>
          <w:szCs w:val="16"/>
        </w:rPr>
      </w:pPr>
    </w:p>
    <w:p w14:paraId="6F36D678" w14:textId="21BFCFAE" w:rsidR="005D6BC7" w:rsidRDefault="005D6BC7" w:rsidP="00835965">
      <w:pPr>
        <w:spacing w:after="0" w:line="283" w:lineRule="auto"/>
        <w:ind w:right="232"/>
        <w:rPr>
          <w:rFonts w:cstheme="minorHAnsi"/>
          <w:shd w:val="clear" w:color="auto" w:fill="FFFFFF"/>
        </w:rPr>
      </w:pPr>
      <w:r>
        <w:rPr>
          <w:rFonts w:cstheme="minorHAnsi"/>
          <w:shd w:val="clear" w:color="auto" w:fill="FFFFFF"/>
        </w:rPr>
        <w:t xml:space="preserve">Vinogradarski registar obuhvaća podatke o obvezniku upisa, podatke o vinogradu, podatke o proizvodnji, izjave o berbi, izjave o proizvodnji te izjave o zalihama. </w:t>
      </w:r>
      <w:bookmarkStart w:id="202" w:name="_Hlk67035742"/>
      <w:r>
        <w:rPr>
          <w:rFonts w:cstheme="minorHAnsi"/>
          <w:shd w:val="clear" w:color="auto" w:fill="FFFFFF"/>
        </w:rPr>
        <w:t>U ovaj regist</w:t>
      </w:r>
      <w:r w:rsidR="0023100F">
        <w:rPr>
          <w:rFonts w:cstheme="minorHAnsi"/>
          <w:shd w:val="clear" w:color="auto" w:fill="FFFFFF"/>
        </w:rPr>
        <w:t>ar</w:t>
      </w:r>
      <w:r>
        <w:rPr>
          <w:rFonts w:cstheme="minorHAnsi"/>
          <w:shd w:val="clear" w:color="auto" w:fill="FFFFFF"/>
        </w:rPr>
        <w:t xml:space="preserve"> upisuje se svaka fizička ili pravna osoba koja koristi vinograd, proizvodi grožđe, proizvodi mošt i/ili vino, obavlja djelatnost punjenja ili obavlja djelatnost trgovine kao promet vinom i drugim proizvodima od grožđa i vina, a koja obuhvaća izvo</w:t>
      </w:r>
      <w:r w:rsidR="009E5104">
        <w:rPr>
          <w:rFonts w:cstheme="minorHAnsi"/>
          <w:shd w:val="clear" w:color="auto" w:fill="FFFFFF"/>
        </w:rPr>
        <w:t>z</w:t>
      </w:r>
      <w:r>
        <w:rPr>
          <w:rFonts w:cstheme="minorHAnsi"/>
          <w:shd w:val="clear" w:color="auto" w:fill="FFFFFF"/>
        </w:rPr>
        <w:t xml:space="preserve"> i/ili uvoz</w:t>
      </w:r>
      <w:bookmarkEnd w:id="202"/>
      <w:r>
        <w:rPr>
          <w:rFonts w:cstheme="minorHAnsi"/>
          <w:shd w:val="clear" w:color="auto" w:fill="FFFFFF"/>
        </w:rPr>
        <w:t xml:space="preserve">. Obveznici upisa su svi proizvođači koji posjeduju površinu zasađenu vinovom lozom od najmanje 0,1 hektar ili imaju obvezu podnositi izjave o berbi, proizvodnji i zalihama. Prema podacima za 2020. godinu, u Vinogradski registar bilo </w:t>
      </w:r>
      <w:r w:rsidR="0023100F">
        <w:rPr>
          <w:rFonts w:cstheme="minorHAnsi"/>
          <w:shd w:val="clear" w:color="auto" w:fill="FFFFFF"/>
        </w:rPr>
        <w:t xml:space="preserve">je </w:t>
      </w:r>
      <w:r>
        <w:rPr>
          <w:rFonts w:cstheme="minorHAnsi"/>
          <w:shd w:val="clear" w:color="auto" w:fill="FFFFFF"/>
        </w:rPr>
        <w:t xml:space="preserve">upisano 3.154 subjekata, što je za 10,82% više od prethodne godine kada ih je bilo 2.846. </w:t>
      </w:r>
      <w:r w:rsidR="00831138">
        <w:rPr>
          <w:rFonts w:cstheme="minorHAnsi"/>
          <w:shd w:val="clear" w:color="auto" w:fill="FFFFFF"/>
        </w:rPr>
        <w:t>Prema veličini gospodarstva, vidljivo je da je tijekom 2020. godine upisano 2.866 gospodarstava koji posjeduju manje od 0,1 hektara vinograda. Vinogradari s malim parcelama proizvode grožđe i vino za osobne potrebe. Ostalo su vinogradari s površinama većim od 0,1 hektara i svoju proizvodnju grožđa i vina prijavljuju u Vinogradarski registar. Svi tržišno orijentirani proizvođa</w:t>
      </w:r>
      <w:r w:rsidR="00842342">
        <w:rPr>
          <w:rFonts w:cstheme="minorHAnsi"/>
          <w:shd w:val="clear" w:color="auto" w:fill="FFFFFF"/>
        </w:rPr>
        <w:t>či koji svoje vino stavljaju u promet prijavljeni su u Vinogradarski registar.</w:t>
      </w:r>
    </w:p>
    <w:p w14:paraId="568F1915" w14:textId="282A834A" w:rsidR="0023100F" w:rsidRDefault="0023100F" w:rsidP="00835965">
      <w:pPr>
        <w:spacing w:after="0" w:line="283" w:lineRule="auto"/>
        <w:ind w:right="232"/>
        <w:rPr>
          <w:rFonts w:cstheme="minorHAnsi"/>
          <w:shd w:val="clear" w:color="auto" w:fill="FFFFFF"/>
        </w:rPr>
      </w:pPr>
    </w:p>
    <w:p w14:paraId="4C12FCCA" w14:textId="4FC2C646" w:rsidR="005D6BC7" w:rsidRPr="001E3867" w:rsidRDefault="005D6BC7" w:rsidP="001E3867">
      <w:pPr>
        <w:pStyle w:val="Opisslike"/>
      </w:pPr>
      <w:r w:rsidRPr="001E3867">
        <w:t xml:space="preserve">Tablica </w:t>
      </w:r>
      <w:r w:rsidR="00BD0057" w:rsidRPr="001E3867">
        <w:t>1</w:t>
      </w:r>
      <w:r w:rsidR="001E3867" w:rsidRPr="001E3867">
        <w:t>40</w:t>
      </w:r>
      <w:r w:rsidR="00BD0057" w:rsidRPr="001E3867">
        <w:t>.</w:t>
      </w:r>
      <w:r w:rsidRPr="001E3867">
        <w:t xml:space="preserve"> Broj subjekata prijavljenih u Vinogradarski registar, 2017.</w:t>
      </w:r>
      <w:r w:rsidR="00BD0057" w:rsidRPr="001E3867">
        <w:t xml:space="preserve"> </w:t>
      </w:r>
      <w:r w:rsidRPr="001E3867">
        <w:t>-</w:t>
      </w:r>
      <w:r w:rsidR="00BD0057" w:rsidRPr="001E3867">
        <w:t xml:space="preserve"> </w:t>
      </w:r>
      <w:r w:rsidRPr="001E3867">
        <w:t>2020.</w:t>
      </w:r>
    </w:p>
    <w:tbl>
      <w:tblPr>
        <w:tblW w:w="8779" w:type="dxa"/>
        <w:jc w:val="center"/>
        <w:tblLook w:val="04A0" w:firstRow="1" w:lastRow="0" w:firstColumn="1" w:lastColumn="0" w:noHBand="0" w:noVBand="1"/>
      </w:tblPr>
      <w:tblGrid>
        <w:gridCol w:w="2384"/>
        <w:gridCol w:w="1665"/>
        <w:gridCol w:w="1665"/>
        <w:gridCol w:w="1665"/>
        <w:gridCol w:w="1400"/>
      </w:tblGrid>
      <w:tr w:rsidR="005D6BC7" w:rsidRPr="005D6BC7" w14:paraId="7C8F45BF" w14:textId="77777777" w:rsidTr="001E3867">
        <w:trPr>
          <w:trHeight w:val="294"/>
          <w:jc w:val="center"/>
        </w:trPr>
        <w:tc>
          <w:tcPr>
            <w:tcW w:w="2384" w:type="dxa"/>
            <w:tcBorders>
              <w:top w:val="nil"/>
              <w:left w:val="single" w:sz="8" w:space="0" w:color="D2232A"/>
              <w:bottom w:val="nil"/>
              <w:right w:val="nil"/>
            </w:tcBorders>
            <w:shd w:val="clear" w:color="000000" w:fill="D2232A"/>
            <w:vAlign w:val="center"/>
            <w:hideMark/>
          </w:tcPr>
          <w:p w14:paraId="507DBE50" w14:textId="77777777" w:rsidR="005D6BC7" w:rsidRPr="005D6BC7" w:rsidRDefault="005D6BC7" w:rsidP="005D6BC7">
            <w:pPr>
              <w:spacing w:after="0" w:line="240" w:lineRule="auto"/>
              <w:jc w:val="center"/>
              <w:rPr>
                <w:rFonts w:eastAsia="Times New Roman" w:cs="Calibri"/>
                <w:color w:val="FFFFFF"/>
                <w:szCs w:val="18"/>
                <w:lang w:eastAsia="hr-HR"/>
              </w:rPr>
            </w:pPr>
            <w:r w:rsidRPr="005D6BC7">
              <w:rPr>
                <w:rFonts w:eastAsia="Times New Roman" w:cs="Calibri"/>
                <w:color w:val="FFFFFF"/>
                <w:szCs w:val="18"/>
                <w:lang w:eastAsia="hr-HR"/>
              </w:rPr>
              <w:t>Godina</w:t>
            </w:r>
          </w:p>
        </w:tc>
        <w:tc>
          <w:tcPr>
            <w:tcW w:w="1665" w:type="dxa"/>
            <w:tcBorders>
              <w:top w:val="nil"/>
              <w:left w:val="single" w:sz="8" w:space="0" w:color="D2232A"/>
              <w:bottom w:val="nil"/>
              <w:right w:val="nil"/>
            </w:tcBorders>
            <w:shd w:val="clear" w:color="000000" w:fill="D2232A"/>
            <w:vAlign w:val="center"/>
            <w:hideMark/>
          </w:tcPr>
          <w:p w14:paraId="02FAE200" w14:textId="77777777" w:rsidR="005D6BC7" w:rsidRPr="005D6BC7" w:rsidRDefault="005D6BC7" w:rsidP="005D6BC7">
            <w:pPr>
              <w:spacing w:after="0" w:line="240" w:lineRule="auto"/>
              <w:jc w:val="center"/>
              <w:rPr>
                <w:rFonts w:eastAsia="Times New Roman" w:cs="Calibri"/>
                <w:color w:val="FFFFFF"/>
                <w:szCs w:val="18"/>
                <w:lang w:eastAsia="hr-HR"/>
              </w:rPr>
            </w:pPr>
            <w:r w:rsidRPr="005D6BC7">
              <w:rPr>
                <w:rFonts w:eastAsia="Times New Roman" w:cs="Calibri"/>
                <w:color w:val="FFFFFF"/>
                <w:szCs w:val="18"/>
                <w:lang w:eastAsia="hr-HR"/>
              </w:rPr>
              <w:t>Fizička osoba</w:t>
            </w:r>
          </w:p>
        </w:tc>
        <w:tc>
          <w:tcPr>
            <w:tcW w:w="1665" w:type="dxa"/>
            <w:tcBorders>
              <w:top w:val="nil"/>
              <w:left w:val="single" w:sz="8" w:space="0" w:color="D2232A"/>
              <w:bottom w:val="nil"/>
              <w:right w:val="nil"/>
            </w:tcBorders>
            <w:shd w:val="clear" w:color="000000" w:fill="D2232A"/>
            <w:vAlign w:val="center"/>
            <w:hideMark/>
          </w:tcPr>
          <w:p w14:paraId="6DBCD2CB" w14:textId="77777777" w:rsidR="005D6BC7" w:rsidRPr="005D6BC7" w:rsidRDefault="005D6BC7" w:rsidP="005D6BC7">
            <w:pPr>
              <w:spacing w:after="0" w:line="240" w:lineRule="auto"/>
              <w:jc w:val="center"/>
              <w:rPr>
                <w:rFonts w:eastAsia="Times New Roman" w:cs="Calibri"/>
                <w:color w:val="FFFFFF"/>
                <w:szCs w:val="18"/>
                <w:lang w:eastAsia="hr-HR"/>
              </w:rPr>
            </w:pPr>
            <w:r w:rsidRPr="005D6BC7">
              <w:rPr>
                <w:rFonts w:eastAsia="Times New Roman" w:cs="Calibri"/>
                <w:color w:val="FFFFFF"/>
                <w:szCs w:val="18"/>
                <w:lang w:eastAsia="hr-HR"/>
              </w:rPr>
              <w:t>Obrt</w:t>
            </w:r>
          </w:p>
        </w:tc>
        <w:tc>
          <w:tcPr>
            <w:tcW w:w="1665" w:type="dxa"/>
            <w:tcBorders>
              <w:top w:val="nil"/>
              <w:left w:val="single" w:sz="8" w:space="0" w:color="D2232A"/>
              <w:bottom w:val="nil"/>
              <w:right w:val="nil"/>
            </w:tcBorders>
            <w:shd w:val="clear" w:color="000000" w:fill="D2232A"/>
            <w:vAlign w:val="center"/>
            <w:hideMark/>
          </w:tcPr>
          <w:p w14:paraId="7FEFA9CF" w14:textId="77777777" w:rsidR="005D6BC7" w:rsidRPr="005D6BC7" w:rsidRDefault="005D6BC7" w:rsidP="005D6BC7">
            <w:pPr>
              <w:spacing w:after="0" w:line="240" w:lineRule="auto"/>
              <w:jc w:val="center"/>
              <w:rPr>
                <w:rFonts w:eastAsia="Times New Roman" w:cs="Calibri"/>
                <w:color w:val="FFFFFF"/>
                <w:szCs w:val="18"/>
                <w:lang w:eastAsia="hr-HR"/>
              </w:rPr>
            </w:pPr>
            <w:r w:rsidRPr="005D6BC7">
              <w:rPr>
                <w:rFonts w:eastAsia="Times New Roman" w:cs="Calibri"/>
                <w:color w:val="FFFFFF"/>
                <w:szCs w:val="18"/>
                <w:lang w:eastAsia="hr-HR"/>
              </w:rPr>
              <w:t>Pravni subjekt</w:t>
            </w:r>
          </w:p>
        </w:tc>
        <w:tc>
          <w:tcPr>
            <w:tcW w:w="1400" w:type="dxa"/>
            <w:tcBorders>
              <w:top w:val="nil"/>
              <w:left w:val="single" w:sz="8" w:space="0" w:color="D2232A"/>
              <w:bottom w:val="nil"/>
              <w:right w:val="nil"/>
            </w:tcBorders>
            <w:shd w:val="clear" w:color="000000" w:fill="D2232A"/>
            <w:vAlign w:val="center"/>
            <w:hideMark/>
          </w:tcPr>
          <w:p w14:paraId="285268E8" w14:textId="77777777" w:rsidR="005D6BC7" w:rsidRPr="005D6BC7" w:rsidRDefault="005D6BC7" w:rsidP="005D6BC7">
            <w:pPr>
              <w:spacing w:after="0" w:line="240" w:lineRule="auto"/>
              <w:jc w:val="center"/>
              <w:rPr>
                <w:rFonts w:eastAsia="Times New Roman" w:cs="Calibri"/>
                <w:color w:val="FFFFFF"/>
                <w:szCs w:val="18"/>
                <w:lang w:eastAsia="hr-HR"/>
              </w:rPr>
            </w:pPr>
            <w:r w:rsidRPr="005D6BC7">
              <w:rPr>
                <w:rFonts w:eastAsia="Times New Roman" w:cs="Calibri"/>
                <w:color w:val="FFFFFF"/>
                <w:szCs w:val="18"/>
                <w:lang w:eastAsia="hr-HR"/>
              </w:rPr>
              <w:t>Ukupno</w:t>
            </w:r>
          </w:p>
        </w:tc>
      </w:tr>
      <w:tr w:rsidR="005D6BC7" w:rsidRPr="005D6BC7" w14:paraId="75259D48" w14:textId="77777777" w:rsidTr="001E3867">
        <w:trPr>
          <w:trHeight w:val="306"/>
          <w:jc w:val="center"/>
        </w:trPr>
        <w:tc>
          <w:tcPr>
            <w:tcW w:w="2384" w:type="dxa"/>
            <w:tcBorders>
              <w:top w:val="nil"/>
              <w:left w:val="single" w:sz="8" w:space="0" w:color="D2232A"/>
              <w:bottom w:val="single" w:sz="8" w:space="0" w:color="F3CFC1"/>
              <w:right w:val="single" w:sz="8" w:space="0" w:color="D2232A"/>
            </w:tcBorders>
            <w:shd w:val="clear" w:color="auto" w:fill="auto"/>
            <w:vAlign w:val="center"/>
            <w:hideMark/>
          </w:tcPr>
          <w:p w14:paraId="1F73BCCE"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2017.</w:t>
            </w:r>
          </w:p>
        </w:tc>
        <w:tc>
          <w:tcPr>
            <w:tcW w:w="1665" w:type="dxa"/>
            <w:tcBorders>
              <w:top w:val="nil"/>
              <w:left w:val="nil"/>
              <w:bottom w:val="single" w:sz="8" w:space="0" w:color="F3CFC1"/>
              <w:right w:val="single" w:sz="8" w:space="0" w:color="D2232A"/>
            </w:tcBorders>
            <w:shd w:val="clear" w:color="auto" w:fill="auto"/>
            <w:vAlign w:val="center"/>
            <w:hideMark/>
          </w:tcPr>
          <w:p w14:paraId="361EED99"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2.690</w:t>
            </w:r>
          </w:p>
        </w:tc>
        <w:tc>
          <w:tcPr>
            <w:tcW w:w="1665" w:type="dxa"/>
            <w:tcBorders>
              <w:top w:val="nil"/>
              <w:left w:val="nil"/>
              <w:bottom w:val="single" w:sz="8" w:space="0" w:color="F3CFC1"/>
              <w:right w:val="single" w:sz="8" w:space="0" w:color="D2232A"/>
            </w:tcBorders>
            <w:shd w:val="clear" w:color="auto" w:fill="auto"/>
            <w:vAlign w:val="center"/>
            <w:hideMark/>
          </w:tcPr>
          <w:p w14:paraId="5B8DDA5A"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39</w:t>
            </w:r>
          </w:p>
        </w:tc>
        <w:tc>
          <w:tcPr>
            <w:tcW w:w="1665" w:type="dxa"/>
            <w:tcBorders>
              <w:top w:val="nil"/>
              <w:left w:val="nil"/>
              <w:bottom w:val="single" w:sz="8" w:space="0" w:color="F3CFC1"/>
              <w:right w:val="single" w:sz="8" w:space="0" w:color="D2232A"/>
            </w:tcBorders>
            <w:shd w:val="clear" w:color="auto" w:fill="auto"/>
            <w:vAlign w:val="center"/>
            <w:hideMark/>
          </w:tcPr>
          <w:p w14:paraId="6BFE8B61"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16</w:t>
            </w:r>
          </w:p>
        </w:tc>
        <w:tc>
          <w:tcPr>
            <w:tcW w:w="1400" w:type="dxa"/>
            <w:tcBorders>
              <w:top w:val="nil"/>
              <w:left w:val="nil"/>
              <w:bottom w:val="single" w:sz="8" w:space="0" w:color="F3CFC1"/>
              <w:right w:val="single" w:sz="8" w:space="0" w:color="D2232A"/>
            </w:tcBorders>
            <w:shd w:val="clear" w:color="auto" w:fill="auto"/>
            <w:vAlign w:val="center"/>
            <w:hideMark/>
          </w:tcPr>
          <w:p w14:paraId="1F35FC88"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2745</w:t>
            </w:r>
          </w:p>
        </w:tc>
      </w:tr>
      <w:tr w:rsidR="005D6BC7" w:rsidRPr="005D6BC7" w14:paraId="55FF05A4" w14:textId="77777777" w:rsidTr="001E3867">
        <w:trPr>
          <w:trHeight w:val="306"/>
          <w:jc w:val="center"/>
        </w:trPr>
        <w:tc>
          <w:tcPr>
            <w:tcW w:w="2384" w:type="dxa"/>
            <w:tcBorders>
              <w:top w:val="nil"/>
              <w:left w:val="single" w:sz="8" w:space="0" w:color="D2232A"/>
              <w:bottom w:val="single" w:sz="8" w:space="0" w:color="F3CFC1"/>
              <w:right w:val="single" w:sz="8" w:space="0" w:color="D2232A"/>
            </w:tcBorders>
            <w:shd w:val="clear" w:color="auto" w:fill="auto"/>
            <w:vAlign w:val="center"/>
            <w:hideMark/>
          </w:tcPr>
          <w:p w14:paraId="3F0FD5FB"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2018.</w:t>
            </w:r>
          </w:p>
        </w:tc>
        <w:tc>
          <w:tcPr>
            <w:tcW w:w="1665" w:type="dxa"/>
            <w:tcBorders>
              <w:top w:val="nil"/>
              <w:left w:val="nil"/>
              <w:bottom w:val="single" w:sz="8" w:space="0" w:color="F3CFC1"/>
              <w:right w:val="single" w:sz="8" w:space="0" w:color="D2232A"/>
            </w:tcBorders>
            <w:shd w:val="clear" w:color="auto" w:fill="auto"/>
            <w:vAlign w:val="center"/>
            <w:hideMark/>
          </w:tcPr>
          <w:p w14:paraId="5D90DDB7"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2758</w:t>
            </w:r>
          </w:p>
        </w:tc>
        <w:tc>
          <w:tcPr>
            <w:tcW w:w="1665" w:type="dxa"/>
            <w:tcBorders>
              <w:top w:val="nil"/>
              <w:left w:val="nil"/>
              <w:bottom w:val="single" w:sz="8" w:space="0" w:color="F3CFC1"/>
              <w:right w:val="single" w:sz="8" w:space="0" w:color="D2232A"/>
            </w:tcBorders>
            <w:shd w:val="clear" w:color="auto" w:fill="auto"/>
            <w:vAlign w:val="center"/>
            <w:hideMark/>
          </w:tcPr>
          <w:p w14:paraId="1996A607"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40</w:t>
            </w:r>
          </w:p>
        </w:tc>
        <w:tc>
          <w:tcPr>
            <w:tcW w:w="1665" w:type="dxa"/>
            <w:tcBorders>
              <w:top w:val="nil"/>
              <w:left w:val="nil"/>
              <w:bottom w:val="single" w:sz="8" w:space="0" w:color="F3CFC1"/>
              <w:right w:val="single" w:sz="8" w:space="0" w:color="D2232A"/>
            </w:tcBorders>
            <w:shd w:val="clear" w:color="auto" w:fill="auto"/>
            <w:vAlign w:val="center"/>
            <w:hideMark/>
          </w:tcPr>
          <w:p w14:paraId="436C0746"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17</w:t>
            </w:r>
          </w:p>
        </w:tc>
        <w:tc>
          <w:tcPr>
            <w:tcW w:w="1400" w:type="dxa"/>
            <w:tcBorders>
              <w:top w:val="nil"/>
              <w:left w:val="nil"/>
              <w:bottom w:val="single" w:sz="8" w:space="0" w:color="F3CFC1"/>
              <w:right w:val="single" w:sz="8" w:space="0" w:color="D2232A"/>
            </w:tcBorders>
            <w:shd w:val="clear" w:color="auto" w:fill="auto"/>
            <w:vAlign w:val="center"/>
            <w:hideMark/>
          </w:tcPr>
          <w:p w14:paraId="225FF321"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2815</w:t>
            </w:r>
          </w:p>
        </w:tc>
      </w:tr>
      <w:tr w:rsidR="005D6BC7" w:rsidRPr="005D6BC7" w14:paraId="6AEAE3A2" w14:textId="77777777" w:rsidTr="001E3867">
        <w:trPr>
          <w:trHeight w:val="306"/>
          <w:jc w:val="center"/>
        </w:trPr>
        <w:tc>
          <w:tcPr>
            <w:tcW w:w="2384" w:type="dxa"/>
            <w:tcBorders>
              <w:top w:val="nil"/>
              <w:left w:val="single" w:sz="8" w:space="0" w:color="D2232A"/>
              <w:bottom w:val="single" w:sz="8" w:space="0" w:color="F3CFC1"/>
              <w:right w:val="single" w:sz="8" w:space="0" w:color="D2232A"/>
            </w:tcBorders>
            <w:shd w:val="clear" w:color="auto" w:fill="auto"/>
            <w:vAlign w:val="center"/>
            <w:hideMark/>
          </w:tcPr>
          <w:p w14:paraId="33883773"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lastRenderedPageBreak/>
              <w:t>2019.</w:t>
            </w:r>
          </w:p>
        </w:tc>
        <w:tc>
          <w:tcPr>
            <w:tcW w:w="1665" w:type="dxa"/>
            <w:tcBorders>
              <w:top w:val="nil"/>
              <w:left w:val="nil"/>
              <w:bottom w:val="single" w:sz="8" w:space="0" w:color="F3CFC1"/>
              <w:right w:val="single" w:sz="8" w:space="0" w:color="D2232A"/>
            </w:tcBorders>
            <w:shd w:val="clear" w:color="auto" w:fill="auto"/>
            <w:vAlign w:val="center"/>
            <w:hideMark/>
          </w:tcPr>
          <w:p w14:paraId="0BC40C93"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2787</w:t>
            </w:r>
          </w:p>
        </w:tc>
        <w:tc>
          <w:tcPr>
            <w:tcW w:w="1665" w:type="dxa"/>
            <w:tcBorders>
              <w:top w:val="nil"/>
              <w:left w:val="nil"/>
              <w:bottom w:val="single" w:sz="8" w:space="0" w:color="F3CFC1"/>
              <w:right w:val="single" w:sz="8" w:space="0" w:color="D2232A"/>
            </w:tcBorders>
            <w:shd w:val="clear" w:color="auto" w:fill="auto"/>
            <w:vAlign w:val="center"/>
            <w:hideMark/>
          </w:tcPr>
          <w:p w14:paraId="7B23160D"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41</w:t>
            </w:r>
          </w:p>
        </w:tc>
        <w:tc>
          <w:tcPr>
            <w:tcW w:w="1665" w:type="dxa"/>
            <w:tcBorders>
              <w:top w:val="nil"/>
              <w:left w:val="nil"/>
              <w:bottom w:val="single" w:sz="8" w:space="0" w:color="F3CFC1"/>
              <w:right w:val="single" w:sz="8" w:space="0" w:color="D2232A"/>
            </w:tcBorders>
            <w:shd w:val="clear" w:color="auto" w:fill="auto"/>
            <w:vAlign w:val="center"/>
            <w:hideMark/>
          </w:tcPr>
          <w:p w14:paraId="0C11E8D6"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18</w:t>
            </w:r>
          </w:p>
        </w:tc>
        <w:tc>
          <w:tcPr>
            <w:tcW w:w="1400" w:type="dxa"/>
            <w:tcBorders>
              <w:top w:val="nil"/>
              <w:left w:val="nil"/>
              <w:bottom w:val="single" w:sz="8" w:space="0" w:color="F3CFC1"/>
              <w:right w:val="single" w:sz="8" w:space="0" w:color="D2232A"/>
            </w:tcBorders>
            <w:shd w:val="clear" w:color="auto" w:fill="auto"/>
            <w:vAlign w:val="center"/>
            <w:hideMark/>
          </w:tcPr>
          <w:p w14:paraId="261E13D0"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2846</w:t>
            </w:r>
          </w:p>
        </w:tc>
      </w:tr>
      <w:tr w:rsidR="005D6BC7" w:rsidRPr="005D6BC7" w14:paraId="287FD39A" w14:textId="77777777" w:rsidTr="001E3867">
        <w:trPr>
          <w:trHeight w:val="306"/>
          <w:jc w:val="center"/>
        </w:trPr>
        <w:tc>
          <w:tcPr>
            <w:tcW w:w="2384" w:type="dxa"/>
            <w:tcBorders>
              <w:top w:val="nil"/>
              <w:left w:val="single" w:sz="8" w:space="0" w:color="D2232A"/>
              <w:bottom w:val="single" w:sz="8" w:space="0" w:color="F3CFC1"/>
              <w:right w:val="single" w:sz="8" w:space="0" w:color="D2232A"/>
            </w:tcBorders>
            <w:shd w:val="clear" w:color="auto" w:fill="auto"/>
            <w:vAlign w:val="center"/>
            <w:hideMark/>
          </w:tcPr>
          <w:p w14:paraId="502BAC38"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2020.</w:t>
            </w:r>
          </w:p>
        </w:tc>
        <w:tc>
          <w:tcPr>
            <w:tcW w:w="1665" w:type="dxa"/>
            <w:tcBorders>
              <w:top w:val="nil"/>
              <w:left w:val="nil"/>
              <w:bottom w:val="single" w:sz="8" w:space="0" w:color="F3CFC1"/>
              <w:right w:val="single" w:sz="8" w:space="0" w:color="D2232A"/>
            </w:tcBorders>
            <w:shd w:val="clear" w:color="auto" w:fill="auto"/>
            <w:vAlign w:val="center"/>
            <w:hideMark/>
          </w:tcPr>
          <w:p w14:paraId="367ACF9D"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3095</w:t>
            </w:r>
          </w:p>
        </w:tc>
        <w:tc>
          <w:tcPr>
            <w:tcW w:w="1665" w:type="dxa"/>
            <w:tcBorders>
              <w:top w:val="nil"/>
              <w:left w:val="nil"/>
              <w:bottom w:val="single" w:sz="8" w:space="0" w:color="F3CFC1"/>
              <w:right w:val="single" w:sz="8" w:space="0" w:color="D2232A"/>
            </w:tcBorders>
            <w:shd w:val="clear" w:color="auto" w:fill="auto"/>
            <w:vAlign w:val="center"/>
            <w:hideMark/>
          </w:tcPr>
          <w:p w14:paraId="207B89C3"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41</w:t>
            </w:r>
          </w:p>
        </w:tc>
        <w:tc>
          <w:tcPr>
            <w:tcW w:w="1665" w:type="dxa"/>
            <w:tcBorders>
              <w:top w:val="nil"/>
              <w:left w:val="nil"/>
              <w:bottom w:val="single" w:sz="8" w:space="0" w:color="F3CFC1"/>
              <w:right w:val="single" w:sz="8" w:space="0" w:color="D2232A"/>
            </w:tcBorders>
            <w:shd w:val="clear" w:color="auto" w:fill="auto"/>
            <w:vAlign w:val="center"/>
            <w:hideMark/>
          </w:tcPr>
          <w:p w14:paraId="3E60BB82"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18</w:t>
            </w:r>
          </w:p>
        </w:tc>
        <w:tc>
          <w:tcPr>
            <w:tcW w:w="1400" w:type="dxa"/>
            <w:tcBorders>
              <w:top w:val="nil"/>
              <w:left w:val="nil"/>
              <w:bottom w:val="single" w:sz="8" w:space="0" w:color="F3CFC1"/>
              <w:right w:val="single" w:sz="8" w:space="0" w:color="D2232A"/>
            </w:tcBorders>
            <w:shd w:val="clear" w:color="auto" w:fill="auto"/>
            <w:vAlign w:val="center"/>
            <w:hideMark/>
          </w:tcPr>
          <w:p w14:paraId="20063083"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3154</w:t>
            </w:r>
          </w:p>
        </w:tc>
      </w:tr>
      <w:tr w:rsidR="005D6BC7" w:rsidRPr="005D6BC7" w14:paraId="23F9B4DF" w14:textId="77777777" w:rsidTr="001E3867">
        <w:trPr>
          <w:trHeight w:val="306"/>
          <w:jc w:val="center"/>
        </w:trPr>
        <w:tc>
          <w:tcPr>
            <w:tcW w:w="2384" w:type="dxa"/>
            <w:tcBorders>
              <w:top w:val="nil"/>
              <w:left w:val="single" w:sz="8" w:space="0" w:color="D2232A"/>
              <w:bottom w:val="nil"/>
              <w:right w:val="nil"/>
            </w:tcBorders>
            <w:shd w:val="clear" w:color="000000" w:fill="D2232A"/>
            <w:vAlign w:val="center"/>
            <w:hideMark/>
          </w:tcPr>
          <w:p w14:paraId="4AE595C2" w14:textId="77777777" w:rsidR="005D6BC7" w:rsidRPr="005D6BC7" w:rsidRDefault="005D6BC7" w:rsidP="005D6BC7">
            <w:pPr>
              <w:spacing w:after="0" w:line="240" w:lineRule="auto"/>
              <w:jc w:val="center"/>
              <w:rPr>
                <w:rFonts w:eastAsia="Times New Roman" w:cs="Calibri"/>
                <w:color w:val="FFFFFF"/>
                <w:szCs w:val="18"/>
                <w:lang w:eastAsia="hr-HR"/>
              </w:rPr>
            </w:pPr>
            <w:r w:rsidRPr="005D6BC7">
              <w:rPr>
                <w:rFonts w:eastAsia="Times New Roman" w:cs="Calibri"/>
                <w:color w:val="FFFFFF"/>
                <w:szCs w:val="18"/>
                <w:lang w:eastAsia="hr-HR"/>
              </w:rPr>
              <w:t>Ukupno</w:t>
            </w:r>
          </w:p>
        </w:tc>
        <w:tc>
          <w:tcPr>
            <w:tcW w:w="1665" w:type="dxa"/>
            <w:tcBorders>
              <w:top w:val="nil"/>
              <w:left w:val="single" w:sz="8" w:space="0" w:color="D2232A"/>
              <w:bottom w:val="single" w:sz="8" w:space="0" w:color="F3CFC1"/>
              <w:right w:val="single" w:sz="8" w:space="0" w:color="D2232A"/>
            </w:tcBorders>
            <w:shd w:val="clear" w:color="auto" w:fill="auto"/>
            <w:vAlign w:val="center"/>
            <w:hideMark/>
          </w:tcPr>
          <w:p w14:paraId="64AF1302"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11330</w:t>
            </w:r>
          </w:p>
        </w:tc>
        <w:tc>
          <w:tcPr>
            <w:tcW w:w="1665" w:type="dxa"/>
            <w:tcBorders>
              <w:top w:val="nil"/>
              <w:left w:val="nil"/>
              <w:bottom w:val="single" w:sz="8" w:space="0" w:color="F3CFC1"/>
              <w:right w:val="single" w:sz="8" w:space="0" w:color="D2232A"/>
            </w:tcBorders>
            <w:shd w:val="clear" w:color="auto" w:fill="auto"/>
            <w:vAlign w:val="center"/>
            <w:hideMark/>
          </w:tcPr>
          <w:p w14:paraId="2B792445"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161</w:t>
            </w:r>
          </w:p>
        </w:tc>
        <w:tc>
          <w:tcPr>
            <w:tcW w:w="1665" w:type="dxa"/>
            <w:tcBorders>
              <w:top w:val="nil"/>
              <w:left w:val="nil"/>
              <w:bottom w:val="single" w:sz="8" w:space="0" w:color="F3CFC1"/>
              <w:right w:val="single" w:sz="8" w:space="0" w:color="D2232A"/>
            </w:tcBorders>
            <w:shd w:val="clear" w:color="auto" w:fill="auto"/>
            <w:vAlign w:val="center"/>
            <w:hideMark/>
          </w:tcPr>
          <w:p w14:paraId="61713E29"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69</w:t>
            </w:r>
          </w:p>
        </w:tc>
        <w:tc>
          <w:tcPr>
            <w:tcW w:w="1400" w:type="dxa"/>
            <w:tcBorders>
              <w:top w:val="nil"/>
              <w:left w:val="nil"/>
              <w:bottom w:val="single" w:sz="8" w:space="0" w:color="F3CFC1"/>
              <w:right w:val="single" w:sz="8" w:space="0" w:color="D2232A"/>
            </w:tcBorders>
            <w:shd w:val="clear" w:color="auto" w:fill="auto"/>
            <w:vAlign w:val="center"/>
            <w:hideMark/>
          </w:tcPr>
          <w:p w14:paraId="506A9597" w14:textId="77777777" w:rsidR="005D6BC7" w:rsidRPr="005D6BC7" w:rsidRDefault="005D6BC7" w:rsidP="005D6BC7">
            <w:pPr>
              <w:spacing w:after="0" w:line="240" w:lineRule="auto"/>
              <w:jc w:val="center"/>
              <w:rPr>
                <w:rFonts w:eastAsia="Times New Roman" w:cs="Calibri"/>
                <w:color w:val="3F3F3F"/>
                <w:szCs w:val="18"/>
                <w:lang w:eastAsia="hr-HR"/>
              </w:rPr>
            </w:pPr>
            <w:r w:rsidRPr="005D6BC7">
              <w:rPr>
                <w:rFonts w:eastAsia="Times New Roman" w:cs="Calibri"/>
                <w:color w:val="3F3F3F"/>
                <w:szCs w:val="18"/>
                <w:lang w:eastAsia="hr-HR"/>
              </w:rPr>
              <w:t>11560</w:t>
            </w:r>
          </w:p>
        </w:tc>
      </w:tr>
    </w:tbl>
    <w:p w14:paraId="745D6852" w14:textId="27EB8B68" w:rsidR="005D6BC7" w:rsidRPr="00BD0057" w:rsidRDefault="005D6BC7" w:rsidP="005D6BC7">
      <w:pPr>
        <w:pStyle w:val="Izvor"/>
        <w:rPr>
          <w:i/>
          <w:color w:val="ABABAB" w:themeColor="text1" w:themeTint="A6"/>
          <w:sz w:val="16"/>
          <w:szCs w:val="16"/>
        </w:rPr>
      </w:pPr>
      <w:bookmarkStart w:id="203" w:name="_Hlk66359229"/>
      <w:r w:rsidRPr="00BD0057">
        <w:rPr>
          <w:i/>
          <w:color w:val="ABABAB" w:themeColor="text1" w:themeTint="A6"/>
          <w:sz w:val="16"/>
          <w:szCs w:val="16"/>
        </w:rPr>
        <w:t>Izvor: Agencija za plaćanja u poljoprivredi, ribarstvu i ruralnom razvoju - Vinogradarski registar</w:t>
      </w:r>
      <w:r w:rsidR="005E37D6" w:rsidRPr="00BD0057">
        <w:rPr>
          <w:i/>
          <w:color w:val="ABABAB" w:themeColor="text1" w:themeTint="A6"/>
          <w:sz w:val="16"/>
          <w:szCs w:val="16"/>
        </w:rPr>
        <w:t>, 2017.</w:t>
      </w:r>
      <w:r w:rsidR="009E67D7">
        <w:rPr>
          <w:i/>
          <w:color w:val="ABABAB" w:themeColor="text1" w:themeTint="A6"/>
          <w:sz w:val="16"/>
          <w:szCs w:val="16"/>
        </w:rPr>
        <w:t xml:space="preserve"> </w:t>
      </w:r>
      <w:r w:rsidR="005E37D6" w:rsidRPr="00BD0057">
        <w:rPr>
          <w:i/>
          <w:color w:val="ABABAB" w:themeColor="text1" w:themeTint="A6"/>
          <w:sz w:val="16"/>
          <w:szCs w:val="16"/>
        </w:rPr>
        <w:t>-</w:t>
      </w:r>
      <w:r w:rsidR="009E67D7">
        <w:rPr>
          <w:i/>
          <w:color w:val="ABABAB" w:themeColor="text1" w:themeTint="A6"/>
          <w:sz w:val="16"/>
          <w:szCs w:val="16"/>
        </w:rPr>
        <w:t xml:space="preserve"> </w:t>
      </w:r>
      <w:r w:rsidR="005E37D6" w:rsidRPr="00BD0057">
        <w:rPr>
          <w:i/>
          <w:color w:val="ABABAB" w:themeColor="text1" w:themeTint="A6"/>
          <w:sz w:val="16"/>
          <w:szCs w:val="16"/>
        </w:rPr>
        <w:t>2020.</w:t>
      </w:r>
    </w:p>
    <w:bookmarkEnd w:id="203"/>
    <w:p w14:paraId="031FE273" w14:textId="63678B32" w:rsidR="005D6BC7" w:rsidRDefault="005D6BC7" w:rsidP="00941871">
      <w:pPr>
        <w:spacing w:line="283" w:lineRule="auto"/>
        <w:ind w:right="232"/>
        <w:rPr>
          <w:rFonts w:cstheme="minorHAnsi"/>
          <w:shd w:val="clear" w:color="auto" w:fill="FFFFFF"/>
        </w:rPr>
      </w:pPr>
    </w:p>
    <w:p w14:paraId="1898392F" w14:textId="4EC53A9E" w:rsidR="00E00542" w:rsidRDefault="00315A6D" w:rsidP="001E3867">
      <w:pPr>
        <w:spacing w:line="283" w:lineRule="auto"/>
        <w:ind w:right="232"/>
        <w:rPr>
          <w:rFonts w:eastAsia="Arial Narrow" w:cstheme="minorHAnsi"/>
        </w:rPr>
      </w:pPr>
      <w:r>
        <w:rPr>
          <w:rFonts w:cstheme="minorHAnsi"/>
          <w:shd w:val="clear" w:color="auto" w:fill="FFFFFF"/>
        </w:rPr>
        <w:t xml:space="preserve">U razdoblju od 2017. do 2020. godine zabilježen je trend povećanja broja ARKOD parcela i njihovih površina za iskrčene vinograde. </w:t>
      </w:r>
      <w:r w:rsidR="00E00542">
        <w:rPr>
          <w:rFonts w:cstheme="minorHAnsi"/>
          <w:shd w:val="clear" w:color="auto" w:fill="FFFFFF"/>
        </w:rPr>
        <w:t>Najveći</w:t>
      </w:r>
      <w:r w:rsidR="00E00542">
        <w:rPr>
          <w:rFonts w:eastAsia="Arial Narrow" w:cstheme="minorHAnsi"/>
        </w:rPr>
        <w:t xml:space="preserve"> izazov s kojim se trenutno susreću vinogradari je pojava bolesti zlatne žutice ili fitoplazme koja se vrlo brzo širi i koja uzrokuje potpuni gubitak prinosa, a zbog koje se zaraženi vinogradi </w:t>
      </w:r>
      <w:r w:rsidR="00570B22">
        <w:rPr>
          <w:rFonts w:eastAsia="Arial Narrow" w:cstheme="minorHAnsi"/>
        </w:rPr>
        <w:t xml:space="preserve">s 20 i više posto zaraženih trsova </w:t>
      </w:r>
      <w:r w:rsidR="00E00542">
        <w:rPr>
          <w:rFonts w:eastAsia="Arial Narrow" w:cstheme="minorHAnsi"/>
        </w:rPr>
        <w:t>moraju iskrčiti.</w:t>
      </w:r>
      <w:r w:rsidR="00570B22">
        <w:rPr>
          <w:rFonts w:eastAsia="Arial Narrow" w:cstheme="minorHAnsi"/>
        </w:rPr>
        <w:t xml:space="preserve"> </w:t>
      </w:r>
      <w:r w:rsidR="00816D99">
        <w:rPr>
          <w:rFonts w:eastAsia="Arial Narrow" w:cstheme="minorHAnsi"/>
        </w:rPr>
        <w:t xml:space="preserve">U ovom slučaju upitan je broj površina iskrčenih vinograda koji se vade radi rekonstrukcije nasada i/ili privođenja zemljišta drugoj vrsti uporabe. </w:t>
      </w:r>
      <w:r w:rsidR="00570B22">
        <w:rPr>
          <w:rFonts w:eastAsia="Arial Narrow" w:cstheme="minorHAnsi"/>
        </w:rPr>
        <w:t xml:space="preserve">Rezultati analize uzoraka vinove loze na zlatnu žuticu pokazuju kako je bolest prisutna na području cijele županije. Za zlatnu žuticu vinove loze nema metode i načina liječenja, a sekundarno se djeluje insekticidima na vektora, američkog cvrčka. U 2018. godini, Krapinsko-zagorska županija platila je dodatnih 50 analiza uzoraka vinove loze na temelju čega je slika o stanju zaraze na području županije realnija od ostalih zaraženih županija. </w:t>
      </w:r>
    </w:p>
    <w:p w14:paraId="7F66B016" w14:textId="77777777" w:rsidR="001E3867" w:rsidRPr="001E3867" w:rsidRDefault="001E3867" w:rsidP="001E3867">
      <w:pPr>
        <w:spacing w:line="283" w:lineRule="auto"/>
        <w:ind w:right="232"/>
        <w:rPr>
          <w:rFonts w:cstheme="minorHAnsi"/>
          <w:shd w:val="clear" w:color="auto" w:fill="FFFFFF"/>
        </w:rPr>
      </w:pPr>
    </w:p>
    <w:p w14:paraId="58CD333C" w14:textId="5ABD9C99" w:rsidR="00E00542" w:rsidRPr="001E3867" w:rsidRDefault="00E00542" w:rsidP="001E3867">
      <w:pPr>
        <w:pStyle w:val="Opisslike"/>
      </w:pPr>
      <w:r w:rsidRPr="001E3867">
        <w:t xml:space="preserve">Tablica </w:t>
      </w:r>
      <w:r w:rsidR="00BD0057" w:rsidRPr="001E3867">
        <w:t>1</w:t>
      </w:r>
      <w:r w:rsidR="001E3867" w:rsidRPr="001E3867">
        <w:t>50</w:t>
      </w:r>
      <w:r w:rsidRPr="001E3867">
        <w:t>. Iskrčeni vinogradi u Krapinsko-zagorskoj županiji, 2017.</w:t>
      </w:r>
      <w:r w:rsidR="00BD0057" w:rsidRPr="001E3867">
        <w:t xml:space="preserve"> </w:t>
      </w:r>
      <w:r w:rsidRPr="001E3867">
        <w:t>-</w:t>
      </w:r>
      <w:r w:rsidR="00BD0057" w:rsidRPr="001E3867">
        <w:t xml:space="preserve"> </w:t>
      </w:r>
      <w:r w:rsidRPr="001E3867">
        <w:t>2020.</w:t>
      </w:r>
    </w:p>
    <w:tbl>
      <w:tblPr>
        <w:tblW w:w="8612" w:type="dxa"/>
        <w:jc w:val="center"/>
        <w:tblLook w:val="04A0" w:firstRow="1" w:lastRow="0" w:firstColumn="1" w:lastColumn="0" w:noHBand="0" w:noVBand="1"/>
      </w:tblPr>
      <w:tblGrid>
        <w:gridCol w:w="1553"/>
        <w:gridCol w:w="2753"/>
        <w:gridCol w:w="2753"/>
        <w:gridCol w:w="1553"/>
      </w:tblGrid>
      <w:tr w:rsidR="00E00542" w:rsidRPr="00E00542" w14:paraId="7D7DD0F5" w14:textId="77777777" w:rsidTr="00346E38">
        <w:trPr>
          <w:trHeight w:val="464"/>
          <w:jc w:val="center"/>
        </w:trPr>
        <w:tc>
          <w:tcPr>
            <w:tcW w:w="1553" w:type="dxa"/>
            <w:tcBorders>
              <w:top w:val="nil"/>
              <w:left w:val="single" w:sz="8" w:space="0" w:color="D2232A"/>
              <w:bottom w:val="nil"/>
              <w:right w:val="nil"/>
            </w:tcBorders>
            <w:shd w:val="clear" w:color="000000" w:fill="D2232A"/>
            <w:vAlign w:val="center"/>
            <w:hideMark/>
          </w:tcPr>
          <w:p w14:paraId="2E27D1A2" w14:textId="77777777" w:rsidR="00E00542" w:rsidRPr="00E00542" w:rsidRDefault="00E00542" w:rsidP="00835965">
            <w:pPr>
              <w:spacing w:after="0" w:line="240" w:lineRule="auto"/>
              <w:jc w:val="center"/>
              <w:rPr>
                <w:rFonts w:eastAsia="Times New Roman" w:cs="Calibri"/>
                <w:color w:val="FFFFFF"/>
                <w:szCs w:val="18"/>
                <w:lang w:eastAsia="hr-HR"/>
              </w:rPr>
            </w:pPr>
            <w:r w:rsidRPr="00E00542">
              <w:rPr>
                <w:rFonts w:eastAsia="Times New Roman" w:cs="Calibri"/>
                <w:color w:val="FFFFFF"/>
                <w:szCs w:val="18"/>
                <w:lang w:eastAsia="hr-HR"/>
              </w:rPr>
              <w:t>Godina</w:t>
            </w:r>
          </w:p>
        </w:tc>
        <w:tc>
          <w:tcPr>
            <w:tcW w:w="2753" w:type="dxa"/>
            <w:tcBorders>
              <w:top w:val="nil"/>
              <w:left w:val="single" w:sz="8" w:space="0" w:color="D2232A"/>
              <w:bottom w:val="nil"/>
              <w:right w:val="nil"/>
            </w:tcBorders>
            <w:shd w:val="clear" w:color="000000" w:fill="D2232A"/>
            <w:vAlign w:val="center"/>
            <w:hideMark/>
          </w:tcPr>
          <w:p w14:paraId="48A20B11" w14:textId="77777777" w:rsidR="00E00542" w:rsidRPr="00E00542" w:rsidRDefault="00E00542" w:rsidP="00835965">
            <w:pPr>
              <w:spacing w:after="0" w:line="240" w:lineRule="auto"/>
              <w:jc w:val="center"/>
              <w:rPr>
                <w:rFonts w:eastAsia="Times New Roman" w:cs="Calibri"/>
                <w:color w:val="FFFFFF"/>
                <w:szCs w:val="18"/>
                <w:lang w:eastAsia="hr-HR"/>
              </w:rPr>
            </w:pPr>
            <w:r w:rsidRPr="00E00542">
              <w:rPr>
                <w:rFonts w:eastAsia="Times New Roman" w:cs="Calibri"/>
                <w:color w:val="FFFFFF"/>
                <w:szCs w:val="18"/>
                <w:lang w:eastAsia="hr-HR"/>
              </w:rPr>
              <w:t>Površina (ha)</w:t>
            </w:r>
          </w:p>
        </w:tc>
        <w:tc>
          <w:tcPr>
            <w:tcW w:w="2753" w:type="dxa"/>
            <w:tcBorders>
              <w:top w:val="nil"/>
              <w:left w:val="single" w:sz="8" w:space="0" w:color="D2232A"/>
              <w:bottom w:val="nil"/>
              <w:right w:val="nil"/>
            </w:tcBorders>
            <w:shd w:val="clear" w:color="000000" w:fill="D2232A"/>
            <w:vAlign w:val="center"/>
            <w:hideMark/>
          </w:tcPr>
          <w:p w14:paraId="0B8F7581" w14:textId="77777777" w:rsidR="00E00542" w:rsidRPr="00E00542" w:rsidRDefault="00E00542" w:rsidP="00835965">
            <w:pPr>
              <w:spacing w:after="0" w:line="240" w:lineRule="auto"/>
              <w:jc w:val="center"/>
              <w:rPr>
                <w:rFonts w:eastAsia="Times New Roman" w:cs="Calibri"/>
                <w:color w:val="FFFFFF"/>
                <w:szCs w:val="18"/>
                <w:lang w:eastAsia="hr-HR"/>
              </w:rPr>
            </w:pPr>
            <w:r w:rsidRPr="00E00542">
              <w:rPr>
                <w:rFonts w:eastAsia="Times New Roman" w:cs="Calibri"/>
                <w:color w:val="FFFFFF"/>
                <w:szCs w:val="18"/>
                <w:lang w:eastAsia="hr-HR"/>
              </w:rPr>
              <w:t>Broj parcela</w:t>
            </w:r>
          </w:p>
        </w:tc>
        <w:tc>
          <w:tcPr>
            <w:tcW w:w="1553" w:type="dxa"/>
            <w:tcBorders>
              <w:top w:val="nil"/>
              <w:left w:val="single" w:sz="8" w:space="0" w:color="D2232A"/>
              <w:bottom w:val="nil"/>
              <w:right w:val="nil"/>
            </w:tcBorders>
            <w:shd w:val="clear" w:color="000000" w:fill="D2232A"/>
            <w:vAlign w:val="center"/>
            <w:hideMark/>
          </w:tcPr>
          <w:p w14:paraId="199B7FAD" w14:textId="77777777" w:rsidR="00E00542" w:rsidRPr="00E00542" w:rsidRDefault="00E00542" w:rsidP="00835965">
            <w:pPr>
              <w:spacing w:after="0" w:line="240" w:lineRule="auto"/>
              <w:jc w:val="center"/>
              <w:rPr>
                <w:rFonts w:eastAsia="Times New Roman" w:cs="Calibri"/>
                <w:color w:val="FFFFFF"/>
                <w:szCs w:val="18"/>
                <w:lang w:eastAsia="hr-HR"/>
              </w:rPr>
            </w:pPr>
            <w:r w:rsidRPr="00E00542">
              <w:rPr>
                <w:rFonts w:eastAsia="Times New Roman" w:cs="Calibri"/>
                <w:color w:val="FFFFFF"/>
                <w:szCs w:val="18"/>
                <w:lang w:eastAsia="hr-HR"/>
              </w:rPr>
              <w:t>Broj PG-a</w:t>
            </w:r>
          </w:p>
        </w:tc>
      </w:tr>
      <w:tr w:rsidR="00E00542" w:rsidRPr="00E00542" w14:paraId="345E0D8F" w14:textId="77777777" w:rsidTr="00346E38">
        <w:trPr>
          <w:trHeight w:val="305"/>
          <w:jc w:val="center"/>
        </w:trPr>
        <w:tc>
          <w:tcPr>
            <w:tcW w:w="1553" w:type="dxa"/>
            <w:tcBorders>
              <w:top w:val="nil"/>
              <w:left w:val="single" w:sz="8" w:space="0" w:color="D2232A"/>
              <w:bottom w:val="single" w:sz="8" w:space="0" w:color="F3CFC1"/>
              <w:right w:val="single" w:sz="8" w:space="0" w:color="D2232A"/>
            </w:tcBorders>
            <w:shd w:val="clear" w:color="auto" w:fill="auto"/>
            <w:vAlign w:val="center"/>
            <w:hideMark/>
          </w:tcPr>
          <w:p w14:paraId="5EC64149"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2017.</w:t>
            </w:r>
          </w:p>
        </w:tc>
        <w:tc>
          <w:tcPr>
            <w:tcW w:w="2753" w:type="dxa"/>
            <w:tcBorders>
              <w:top w:val="nil"/>
              <w:left w:val="nil"/>
              <w:bottom w:val="single" w:sz="8" w:space="0" w:color="F3CFC1"/>
              <w:right w:val="single" w:sz="8" w:space="0" w:color="D2232A"/>
            </w:tcBorders>
            <w:shd w:val="clear" w:color="auto" w:fill="auto"/>
            <w:vAlign w:val="center"/>
            <w:hideMark/>
          </w:tcPr>
          <w:p w14:paraId="76C37824"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4,68</w:t>
            </w:r>
          </w:p>
        </w:tc>
        <w:tc>
          <w:tcPr>
            <w:tcW w:w="2753" w:type="dxa"/>
            <w:tcBorders>
              <w:top w:val="nil"/>
              <w:left w:val="nil"/>
              <w:bottom w:val="single" w:sz="8" w:space="0" w:color="F3CFC1"/>
              <w:right w:val="single" w:sz="8" w:space="0" w:color="D2232A"/>
            </w:tcBorders>
            <w:shd w:val="clear" w:color="auto" w:fill="auto"/>
            <w:vAlign w:val="center"/>
            <w:hideMark/>
          </w:tcPr>
          <w:p w14:paraId="43E4E920"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15</w:t>
            </w:r>
          </w:p>
        </w:tc>
        <w:tc>
          <w:tcPr>
            <w:tcW w:w="1553" w:type="dxa"/>
            <w:tcBorders>
              <w:top w:val="nil"/>
              <w:left w:val="nil"/>
              <w:bottom w:val="single" w:sz="8" w:space="0" w:color="F3CFC1"/>
              <w:right w:val="single" w:sz="8" w:space="0" w:color="D2232A"/>
            </w:tcBorders>
            <w:shd w:val="clear" w:color="auto" w:fill="auto"/>
            <w:vAlign w:val="center"/>
            <w:hideMark/>
          </w:tcPr>
          <w:p w14:paraId="3FD047C4"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13</w:t>
            </w:r>
          </w:p>
        </w:tc>
      </w:tr>
      <w:tr w:rsidR="00E00542" w:rsidRPr="00E00542" w14:paraId="5892F84E" w14:textId="77777777" w:rsidTr="00346E38">
        <w:trPr>
          <w:trHeight w:val="305"/>
          <w:jc w:val="center"/>
        </w:trPr>
        <w:tc>
          <w:tcPr>
            <w:tcW w:w="1553" w:type="dxa"/>
            <w:tcBorders>
              <w:top w:val="nil"/>
              <w:left w:val="single" w:sz="8" w:space="0" w:color="D2232A"/>
              <w:bottom w:val="single" w:sz="8" w:space="0" w:color="F3CFC1"/>
              <w:right w:val="single" w:sz="8" w:space="0" w:color="D2232A"/>
            </w:tcBorders>
            <w:shd w:val="clear" w:color="auto" w:fill="auto"/>
            <w:vAlign w:val="center"/>
            <w:hideMark/>
          </w:tcPr>
          <w:p w14:paraId="173AFB3F"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2018.</w:t>
            </w:r>
          </w:p>
        </w:tc>
        <w:tc>
          <w:tcPr>
            <w:tcW w:w="2753" w:type="dxa"/>
            <w:tcBorders>
              <w:top w:val="nil"/>
              <w:left w:val="nil"/>
              <w:bottom w:val="single" w:sz="8" w:space="0" w:color="F3CFC1"/>
              <w:right w:val="single" w:sz="8" w:space="0" w:color="D2232A"/>
            </w:tcBorders>
            <w:shd w:val="clear" w:color="auto" w:fill="auto"/>
            <w:vAlign w:val="center"/>
            <w:hideMark/>
          </w:tcPr>
          <w:p w14:paraId="4CC560A0"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14,72</w:t>
            </w:r>
          </w:p>
        </w:tc>
        <w:tc>
          <w:tcPr>
            <w:tcW w:w="2753" w:type="dxa"/>
            <w:tcBorders>
              <w:top w:val="nil"/>
              <w:left w:val="nil"/>
              <w:bottom w:val="single" w:sz="8" w:space="0" w:color="F3CFC1"/>
              <w:right w:val="single" w:sz="8" w:space="0" w:color="D2232A"/>
            </w:tcBorders>
            <w:shd w:val="clear" w:color="auto" w:fill="auto"/>
            <w:vAlign w:val="center"/>
            <w:hideMark/>
          </w:tcPr>
          <w:p w14:paraId="4B18B191"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31</w:t>
            </w:r>
          </w:p>
        </w:tc>
        <w:tc>
          <w:tcPr>
            <w:tcW w:w="1553" w:type="dxa"/>
            <w:tcBorders>
              <w:top w:val="nil"/>
              <w:left w:val="nil"/>
              <w:bottom w:val="single" w:sz="8" w:space="0" w:color="F3CFC1"/>
              <w:right w:val="single" w:sz="8" w:space="0" w:color="D2232A"/>
            </w:tcBorders>
            <w:shd w:val="clear" w:color="auto" w:fill="auto"/>
            <w:vAlign w:val="center"/>
            <w:hideMark/>
          </w:tcPr>
          <w:p w14:paraId="0D60E08B"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18</w:t>
            </w:r>
          </w:p>
        </w:tc>
      </w:tr>
      <w:tr w:rsidR="00E00542" w:rsidRPr="00E00542" w14:paraId="4B0A8C21" w14:textId="77777777" w:rsidTr="00346E38">
        <w:trPr>
          <w:trHeight w:val="305"/>
          <w:jc w:val="center"/>
        </w:trPr>
        <w:tc>
          <w:tcPr>
            <w:tcW w:w="1553" w:type="dxa"/>
            <w:tcBorders>
              <w:top w:val="nil"/>
              <w:left w:val="single" w:sz="8" w:space="0" w:color="D2232A"/>
              <w:bottom w:val="single" w:sz="8" w:space="0" w:color="F3CFC1"/>
              <w:right w:val="single" w:sz="8" w:space="0" w:color="D2232A"/>
            </w:tcBorders>
            <w:shd w:val="clear" w:color="auto" w:fill="auto"/>
            <w:vAlign w:val="center"/>
            <w:hideMark/>
          </w:tcPr>
          <w:p w14:paraId="194CB0F0"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2019.</w:t>
            </w:r>
          </w:p>
        </w:tc>
        <w:tc>
          <w:tcPr>
            <w:tcW w:w="2753" w:type="dxa"/>
            <w:tcBorders>
              <w:top w:val="nil"/>
              <w:left w:val="nil"/>
              <w:bottom w:val="single" w:sz="8" w:space="0" w:color="F3CFC1"/>
              <w:right w:val="single" w:sz="8" w:space="0" w:color="D2232A"/>
            </w:tcBorders>
            <w:shd w:val="clear" w:color="auto" w:fill="auto"/>
            <w:vAlign w:val="center"/>
            <w:hideMark/>
          </w:tcPr>
          <w:p w14:paraId="2E2CB08B"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15,17</w:t>
            </w:r>
          </w:p>
        </w:tc>
        <w:tc>
          <w:tcPr>
            <w:tcW w:w="2753" w:type="dxa"/>
            <w:tcBorders>
              <w:top w:val="nil"/>
              <w:left w:val="nil"/>
              <w:bottom w:val="single" w:sz="8" w:space="0" w:color="F3CFC1"/>
              <w:right w:val="single" w:sz="8" w:space="0" w:color="D2232A"/>
            </w:tcBorders>
            <w:shd w:val="clear" w:color="auto" w:fill="auto"/>
            <w:vAlign w:val="center"/>
            <w:hideMark/>
          </w:tcPr>
          <w:p w14:paraId="037D97AC"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53</w:t>
            </w:r>
          </w:p>
        </w:tc>
        <w:tc>
          <w:tcPr>
            <w:tcW w:w="1553" w:type="dxa"/>
            <w:tcBorders>
              <w:top w:val="nil"/>
              <w:left w:val="nil"/>
              <w:bottom w:val="single" w:sz="8" w:space="0" w:color="F3CFC1"/>
              <w:right w:val="single" w:sz="8" w:space="0" w:color="D2232A"/>
            </w:tcBorders>
            <w:shd w:val="clear" w:color="auto" w:fill="auto"/>
            <w:vAlign w:val="center"/>
            <w:hideMark/>
          </w:tcPr>
          <w:p w14:paraId="0430466E"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43</w:t>
            </w:r>
          </w:p>
        </w:tc>
      </w:tr>
      <w:tr w:rsidR="00E00542" w:rsidRPr="00E00542" w14:paraId="1C346A17" w14:textId="77777777" w:rsidTr="00346E38">
        <w:trPr>
          <w:trHeight w:val="305"/>
          <w:jc w:val="center"/>
        </w:trPr>
        <w:tc>
          <w:tcPr>
            <w:tcW w:w="1553" w:type="dxa"/>
            <w:tcBorders>
              <w:top w:val="nil"/>
              <w:left w:val="single" w:sz="8" w:space="0" w:color="D2232A"/>
              <w:bottom w:val="single" w:sz="8" w:space="0" w:color="F3CFC1"/>
              <w:right w:val="single" w:sz="8" w:space="0" w:color="D2232A"/>
            </w:tcBorders>
            <w:shd w:val="clear" w:color="auto" w:fill="auto"/>
            <w:vAlign w:val="center"/>
            <w:hideMark/>
          </w:tcPr>
          <w:p w14:paraId="6EAEA13B"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2020.</w:t>
            </w:r>
          </w:p>
        </w:tc>
        <w:tc>
          <w:tcPr>
            <w:tcW w:w="2753" w:type="dxa"/>
            <w:tcBorders>
              <w:top w:val="nil"/>
              <w:left w:val="nil"/>
              <w:bottom w:val="single" w:sz="8" w:space="0" w:color="F3CFC1"/>
              <w:right w:val="single" w:sz="8" w:space="0" w:color="D2232A"/>
            </w:tcBorders>
            <w:shd w:val="clear" w:color="auto" w:fill="auto"/>
            <w:vAlign w:val="center"/>
            <w:hideMark/>
          </w:tcPr>
          <w:p w14:paraId="3C6C4D12"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16,20</w:t>
            </w:r>
          </w:p>
        </w:tc>
        <w:tc>
          <w:tcPr>
            <w:tcW w:w="2753" w:type="dxa"/>
            <w:tcBorders>
              <w:top w:val="nil"/>
              <w:left w:val="nil"/>
              <w:bottom w:val="single" w:sz="8" w:space="0" w:color="F3CFC1"/>
              <w:right w:val="single" w:sz="8" w:space="0" w:color="D2232A"/>
            </w:tcBorders>
            <w:shd w:val="clear" w:color="auto" w:fill="auto"/>
            <w:vAlign w:val="center"/>
            <w:hideMark/>
          </w:tcPr>
          <w:p w14:paraId="21D5701A"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126</w:t>
            </w:r>
          </w:p>
        </w:tc>
        <w:tc>
          <w:tcPr>
            <w:tcW w:w="1553" w:type="dxa"/>
            <w:tcBorders>
              <w:top w:val="nil"/>
              <w:left w:val="nil"/>
              <w:bottom w:val="single" w:sz="8" w:space="0" w:color="F3CFC1"/>
              <w:right w:val="single" w:sz="8" w:space="0" w:color="D2232A"/>
            </w:tcBorders>
            <w:shd w:val="clear" w:color="auto" w:fill="auto"/>
            <w:vAlign w:val="center"/>
            <w:hideMark/>
          </w:tcPr>
          <w:p w14:paraId="143A50A4"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112</w:t>
            </w:r>
          </w:p>
        </w:tc>
      </w:tr>
      <w:tr w:rsidR="00E00542" w:rsidRPr="00E00542" w14:paraId="78B93746" w14:textId="77777777" w:rsidTr="00346E38">
        <w:trPr>
          <w:trHeight w:val="305"/>
          <w:jc w:val="center"/>
        </w:trPr>
        <w:tc>
          <w:tcPr>
            <w:tcW w:w="1553" w:type="dxa"/>
            <w:tcBorders>
              <w:top w:val="nil"/>
              <w:left w:val="single" w:sz="8" w:space="0" w:color="D2232A"/>
              <w:bottom w:val="nil"/>
              <w:right w:val="nil"/>
            </w:tcBorders>
            <w:shd w:val="clear" w:color="000000" w:fill="D2232A"/>
            <w:vAlign w:val="center"/>
            <w:hideMark/>
          </w:tcPr>
          <w:p w14:paraId="21D6A4E9" w14:textId="77777777" w:rsidR="00E00542" w:rsidRPr="00E00542" w:rsidRDefault="00E00542" w:rsidP="00E00542">
            <w:pPr>
              <w:spacing w:after="0" w:line="240" w:lineRule="auto"/>
              <w:jc w:val="center"/>
              <w:rPr>
                <w:rFonts w:eastAsia="Times New Roman" w:cs="Calibri"/>
                <w:color w:val="FFFFFF"/>
                <w:szCs w:val="18"/>
                <w:lang w:eastAsia="hr-HR"/>
              </w:rPr>
            </w:pPr>
            <w:r w:rsidRPr="00E00542">
              <w:rPr>
                <w:rFonts w:eastAsia="Times New Roman" w:cs="Calibri"/>
                <w:color w:val="FFFFFF"/>
                <w:szCs w:val="18"/>
                <w:lang w:eastAsia="hr-HR"/>
              </w:rPr>
              <w:t>Ukupno</w:t>
            </w:r>
          </w:p>
        </w:tc>
        <w:tc>
          <w:tcPr>
            <w:tcW w:w="2753" w:type="dxa"/>
            <w:tcBorders>
              <w:top w:val="nil"/>
              <w:left w:val="single" w:sz="8" w:space="0" w:color="D2232A"/>
              <w:bottom w:val="single" w:sz="8" w:space="0" w:color="F3CFC1"/>
              <w:right w:val="single" w:sz="8" w:space="0" w:color="D2232A"/>
            </w:tcBorders>
            <w:shd w:val="clear" w:color="auto" w:fill="auto"/>
            <w:vAlign w:val="center"/>
            <w:hideMark/>
          </w:tcPr>
          <w:p w14:paraId="42814D18"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50,76</w:t>
            </w:r>
          </w:p>
        </w:tc>
        <w:tc>
          <w:tcPr>
            <w:tcW w:w="2753" w:type="dxa"/>
            <w:tcBorders>
              <w:top w:val="nil"/>
              <w:left w:val="nil"/>
              <w:bottom w:val="single" w:sz="8" w:space="0" w:color="F3CFC1"/>
              <w:right w:val="single" w:sz="8" w:space="0" w:color="D2232A"/>
            </w:tcBorders>
            <w:shd w:val="clear" w:color="auto" w:fill="auto"/>
            <w:vAlign w:val="center"/>
            <w:hideMark/>
          </w:tcPr>
          <w:p w14:paraId="75777260"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225</w:t>
            </w:r>
          </w:p>
        </w:tc>
        <w:tc>
          <w:tcPr>
            <w:tcW w:w="1553" w:type="dxa"/>
            <w:tcBorders>
              <w:top w:val="nil"/>
              <w:left w:val="nil"/>
              <w:bottom w:val="single" w:sz="8" w:space="0" w:color="F3CFC1"/>
              <w:right w:val="single" w:sz="8" w:space="0" w:color="D2232A"/>
            </w:tcBorders>
            <w:shd w:val="clear" w:color="auto" w:fill="auto"/>
            <w:vAlign w:val="center"/>
            <w:hideMark/>
          </w:tcPr>
          <w:p w14:paraId="026BB2DB" w14:textId="77777777" w:rsidR="00E00542" w:rsidRPr="00E00542" w:rsidRDefault="00E00542" w:rsidP="00E00542">
            <w:pPr>
              <w:spacing w:after="0" w:line="240" w:lineRule="auto"/>
              <w:jc w:val="center"/>
              <w:rPr>
                <w:rFonts w:eastAsia="Times New Roman" w:cs="Calibri"/>
                <w:color w:val="3F3F3F"/>
                <w:szCs w:val="18"/>
                <w:lang w:eastAsia="hr-HR"/>
              </w:rPr>
            </w:pPr>
            <w:r w:rsidRPr="00E00542">
              <w:rPr>
                <w:rFonts w:eastAsia="Times New Roman" w:cs="Calibri"/>
                <w:color w:val="3F3F3F"/>
                <w:szCs w:val="18"/>
                <w:lang w:eastAsia="hr-HR"/>
              </w:rPr>
              <w:t>186</w:t>
            </w:r>
          </w:p>
        </w:tc>
      </w:tr>
    </w:tbl>
    <w:p w14:paraId="1C2C4B15" w14:textId="33FF0F6F" w:rsidR="00E00542" w:rsidRPr="00BD0057" w:rsidRDefault="00E00542" w:rsidP="00BD0057">
      <w:pPr>
        <w:pStyle w:val="Izvor"/>
        <w:rPr>
          <w:i/>
          <w:color w:val="ABABAB" w:themeColor="text1" w:themeTint="A6"/>
          <w:sz w:val="16"/>
          <w:szCs w:val="16"/>
        </w:rPr>
      </w:pPr>
      <w:r w:rsidRPr="00BD0057">
        <w:rPr>
          <w:i/>
          <w:color w:val="ABABAB" w:themeColor="text1" w:themeTint="A6"/>
          <w:sz w:val="16"/>
          <w:szCs w:val="16"/>
        </w:rPr>
        <w:t>Izvor: Agencija za plaćanja u poljoprivredi, ribarstvu i ruralnom razvoju - Vinogradarski registar; ARKOD sustav, 2017.</w:t>
      </w:r>
      <w:r w:rsidR="009E67D7">
        <w:rPr>
          <w:i/>
          <w:color w:val="ABABAB" w:themeColor="text1" w:themeTint="A6"/>
          <w:sz w:val="16"/>
          <w:szCs w:val="16"/>
        </w:rPr>
        <w:t xml:space="preserve"> </w:t>
      </w:r>
      <w:r w:rsidRPr="00BD0057">
        <w:rPr>
          <w:i/>
          <w:color w:val="ABABAB" w:themeColor="text1" w:themeTint="A6"/>
          <w:sz w:val="16"/>
          <w:szCs w:val="16"/>
        </w:rPr>
        <w:t>-</w:t>
      </w:r>
      <w:r w:rsidR="009E67D7">
        <w:rPr>
          <w:i/>
          <w:color w:val="ABABAB" w:themeColor="text1" w:themeTint="A6"/>
          <w:sz w:val="16"/>
          <w:szCs w:val="16"/>
        </w:rPr>
        <w:t xml:space="preserve"> </w:t>
      </w:r>
      <w:r w:rsidRPr="00BD0057">
        <w:rPr>
          <w:i/>
          <w:color w:val="ABABAB" w:themeColor="text1" w:themeTint="A6"/>
          <w:sz w:val="16"/>
          <w:szCs w:val="16"/>
        </w:rPr>
        <w:t>2020.</w:t>
      </w:r>
    </w:p>
    <w:p w14:paraId="544D08A6" w14:textId="77777777" w:rsidR="00E00542" w:rsidRDefault="00E00542" w:rsidP="00941871">
      <w:pPr>
        <w:spacing w:line="283" w:lineRule="auto"/>
        <w:ind w:right="232"/>
        <w:rPr>
          <w:rFonts w:cstheme="minorHAnsi"/>
          <w:shd w:val="clear" w:color="auto" w:fill="FFFFFF"/>
        </w:rPr>
      </w:pPr>
    </w:p>
    <w:p w14:paraId="2D57EE7C" w14:textId="360EEB27" w:rsidR="008878A0" w:rsidRDefault="008878A0" w:rsidP="00941871">
      <w:pPr>
        <w:spacing w:line="283" w:lineRule="auto"/>
        <w:ind w:right="232"/>
        <w:rPr>
          <w:rFonts w:cstheme="minorHAnsi"/>
          <w:shd w:val="clear" w:color="auto" w:fill="FFFFFF"/>
        </w:rPr>
      </w:pPr>
      <w:r>
        <w:rPr>
          <w:rFonts w:cstheme="minorHAnsi"/>
          <w:shd w:val="clear" w:color="auto" w:fill="FFFFFF"/>
        </w:rPr>
        <w:t xml:space="preserve">Proizvodnja vina evidentirana u Vinogradarskom registru iznosi </w:t>
      </w:r>
      <w:r w:rsidR="00ED2A53">
        <w:rPr>
          <w:rFonts w:cstheme="minorHAnsi"/>
          <w:shd w:val="clear" w:color="auto" w:fill="FFFFFF"/>
        </w:rPr>
        <w:t>7.626,63</w:t>
      </w:r>
      <w:r>
        <w:rPr>
          <w:rFonts w:cstheme="minorHAnsi"/>
          <w:shd w:val="clear" w:color="auto" w:fill="FFFFFF"/>
        </w:rPr>
        <w:t xml:space="preserve"> hektolitara vina u</w:t>
      </w:r>
      <w:r w:rsidR="00291E4E">
        <w:rPr>
          <w:rFonts w:cstheme="minorHAnsi"/>
          <w:shd w:val="clear" w:color="auto" w:fill="FFFFFF"/>
        </w:rPr>
        <w:t xml:space="preserve"> vinskoj</w:t>
      </w:r>
      <w:r>
        <w:rPr>
          <w:rFonts w:cstheme="minorHAnsi"/>
          <w:shd w:val="clear" w:color="auto" w:fill="FFFFFF"/>
        </w:rPr>
        <w:t xml:space="preserve"> </w:t>
      </w:r>
      <w:r w:rsidR="00ED2A53">
        <w:rPr>
          <w:rFonts w:cstheme="minorHAnsi"/>
          <w:shd w:val="clear" w:color="auto" w:fill="FFFFFF"/>
        </w:rPr>
        <w:t>2019</w:t>
      </w:r>
      <w:r>
        <w:rPr>
          <w:rFonts w:cstheme="minorHAnsi"/>
          <w:shd w:val="clear" w:color="auto" w:fill="FFFFFF"/>
        </w:rPr>
        <w:t xml:space="preserve">. godini, od čega </w:t>
      </w:r>
      <w:r w:rsidR="00ED2A53">
        <w:rPr>
          <w:rFonts w:cstheme="minorHAnsi"/>
          <w:shd w:val="clear" w:color="auto" w:fill="FFFFFF"/>
        </w:rPr>
        <w:t>5</w:t>
      </w:r>
      <w:r w:rsidR="00291E4E">
        <w:rPr>
          <w:rFonts w:cstheme="minorHAnsi"/>
          <w:shd w:val="clear" w:color="auto" w:fill="FFFFFF"/>
        </w:rPr>
        <w:t>8,65</w:t>
      </w:r>
      <w:r>
        <w:rPr>
          <w:rFonts w:cstheme="minorHAnsi"/>
          <w:shd w:val="clear" w:color="auto" w:fill="FFFFFF"/>
        </w:rPr>
        <w:t xml:space="preserve">% otpada na vina bez ZOI, </w:t>
      </w:r>
      <w:r w:rsidR="00291E4E">
        <w:rPr>
          <w:rFonts w:cstheme="minorHAnsi"/>
          <w:shd w:val="clear" w:color="auto" w:fill="FFFFFF"/>
        </w:rPr>
        <w:t>27,41</w:t>
      </w:r>
      <w:r>
        <w:rPr>
          <w:rFonts w:cstheme="minorHAnsi"/>
          <w:shd w:val="clear" w:color="auto" w:fill="FFFFFF"/>
        </w:rPr>
        <w:t xml:space="preserve">% na kvalitetno vino KZP (vino ZOI), </w:t>
      </w:r>
      <w:r w:rsidR="00291E4E">
        <w:rPr>
          <w:rFonts w:cstheme="minorHAnsi"/>
          <w:shd w:val="clear" w:color="auto" w:fill="FFFFFF"/>
        </w:rPr>
        <w:t>11,21</w:t>
      </w:r>
      <w:r>
        <w:rPr>
          <w:rFonts w:cstheme="minorHAnsi"/>
          <w:shd w:val="clear" w:color="auto" w:fill="FFFFFF"/>
        </w:rPr>
        <w:t xml:space="preserve">% na vrhunsko vino KZP (vino ZOI) i </w:t>
      </w:r>
      <w:r w:rsidR="00291E4E">
        <w:rPr>
          <w:rFonts w:cstheme="minorHAnsi"/>
          <w:shd w:val="clear" w:color="auto" w:fill="FFFFFF"/>
        </w:rPr>
        <w:t>2,72</w:t>
      </w:r>
      <w:r>
        <w:rPr>
          <w:rFonts w:cstheme="minorHAnsi"/>
          <w:shd w:val="clear" w:color="auto" w:fill="FFFFFF"/>
        </w:rPr>
        <w:t>% na sortno vino bez ZOI (sa oznakom sorte i berbe).</w:t>
      </w:r>
      <w:r w:rsidR="00816D99">
        <w:rPr>
          <w:rFonts w:cstheme="minorHAnsi"/>
          <w:shd w:val="clear" w:color="auto" w:fill="FFFFFF"/>
        </w:rPr>
        <w:t xml:space="preserve"> Prema podacima prikazanima u tablici može se uočiti kako proizvodnja grožđa i vina fluktuira ovisno o vremenski uvjetima kalendarske godine dok je broj podnositelja približno jednak. </w:t>
      </w:r>
      <w:bookmarkStart w:id="204" w:name="_Hlk67034875"/>
      <w:r w:rsidR="002E46A2">
        <w:rPr>
          <w:rFonts w:cstheme="minorHAnsi"/>
          <w:shd w:val="clear" w:color="auto" w:fill="FFFFFF"/>
        </w:rPr>
        <w:t>Na području županije postoje vinari koji proizvode vrhunska vina s kojima osvajaju prestižne nagrade, a neki od njih su Vinarija Borden, Vinarija Sever, Vinarija Vinski Vrh, Vinarija Vuglec Breg, Vinarija Zdolc i druge.</w:t>
      </w:r>
    </w:p>
    <w:bookmarkEnd w:id="204"/>
    <w:p w14:paraId="3BF4ED68" w14:textId="3E447E48" w:rsidR="00ED2A53" w:rsidRDefault="00ED2A53" w:rsidP="00941871">
      <w:pPr>
        <w:spacing w:line="283" w:lineRule="auto"/>
        <w:ind w:right="232"/>
        <w:rPr>
          <w:rFonts w:cstheme="minorHAnsi"/>
          <w:shd w:val="clear" w:color="auto" w:fill="FFFFFF"/>
        </w:rPr>
      </w:pPr>
    </w:p>
    <w:p w14:paraId="51B856CD" w14:textId="66CFC12B" w:rsidR="00ED2A53" w:rsidRDefault="00ED2A53" w:rsidP="00835965">
      <w:pPr>
        <w:spacing w:after="0" w:line="283" w:lineRule="auto"/>
        <w:ind w:right="232"/>
        <w:rPr>
          <w:rFonts w:asciiTheme="minorHAnsi" w:hAnsiTheme="minorHAnsi"/>
          <w:color w:val="auto"/>
          <w:sz w:val="21"/>
        </w:rPr>
      </w:pPr>
      <w:r>
        <w:rPr>
          <w:rFonts w:eastAsiaTheme="minorHAnsi"/>
          <w:shd w:val="clear" w:color="auto" w:fill="FFFFFF"/>
        </w:rPr>
        <w:t xml:space="preserve">Tablica </w:t>
      </w:r>
      <w:r w:rsidR="00BD0057" w:rsidRPr="00BD0057">
        <w:rPr>
          <w:rFonts w:eastAsiaTheme="minorHAnsi"/>
          <w:color w:val="auto"/>
          <w:shd w:val="clear" w:color="auto" w:fill="FFFFFF"/>
        </w:rPr>
        <w:t>1</w:t>
      </w:r>
      <w:r w:rsidR="001E3867">
        <w:rPr>
          <w:rFonts w:eastAsiaTheme="minorHAnsi"/>
          <w:color w:val="auto"/>
          <w:shd w:val="clear" w:color="auto" w:fill="FFFFFF"/>
        </w:rPr>
        <w:t>60</w:t>
      </w:r>
      <w:r w:rsidRPr="00BD0057">
        <w:rPr>
          <w:rFonts w:eastAsiaTheme="minorHAnsi"/>
          <w:color w:val="auto"/>
          <w:shd w:val="clear" w:color="auto" w:fill="FFFFFF"/>
        </w:rPr>
        <w:t xml:space="preserve">. </w:t>
      </w:r>
      <w:r>
        <w:rPr>
          <w:rFonts w:eastAsiaTheme="minorHAnsi"/>
          <w:shd w:val="clear" w:color="auto" w:fill="FFFFFF"/>
        </w:rPr>
        <w:t>Prijavljena proizvodnja grožđa i vina</w:t>
      </w:r>
      <w:r w:rsidR="00816D99">
        <w:rPr>
          <w:rFonts w:eastAsiaTheme="minorHAnsi"/>
          <w:shd w:val="clear" w:color="auto" w:fill="FFFFFF"/>
        </w:rPr>
        <w:t xml:space="preserve"> za vinske godine </w:t>
      </w:r>
      <w:r>
        <w:rPr>
          <w:rFonts w:eastAsiaTheme="minorHAnsi"/>
          <w:shd w:val="clear" w:color="auto" w:fill="FFFFFF"/>
        </w:rPr>
        <w:t>2016.</w:t>
      </w:r>
      <w:r w:rsidR="009E67D7">
        <w:rPr>
          <w:rFonts w:eastAsiaTheme="minorHAnsi"/>
          <w:shd w:val="clear" w:color="auto" w:fill="FFFFFF"/>
        </w:rPr>
        <w:t xml:space="preserve"> </w:t>
      </w:r>
      <w:r>
        <w:rPr>
          <w:rFonts w:eastAsiaTheme="minorHAnsi"/>
          <w:shd w:val="clear" w:color="auto" w:fill="FFFFFF"/>
        </w:rPr>
        <w:t>-</w:t>
      </w:r>
      <w:r w:rsidR="009E67D7">
        <w:rPr>
          <w:rFonts w:eastAsiaTheme="minorHAnsi"/>
          <w:shd w:val="clear" w:color="auto" w:fill="FFFFFF"/>
        </w:rPr>
        <w:t xml:space="preserve"> </w:t>
      </w:r>
      <w:r>
        <w:rPr>
          <w:rFonts w:eastAsiaTheme="minorHAnsi"/>
          <w:shd w:val="clear" w:color="auto" w:fill="FFFFFF"/>
        </w:rPr>
        <w:t>2019.</w:t>
      </w:r>
      <w:r>
        <w:rPr>
          <w:rFonts w:eastAsiaTheme="minorHAnsi"/>
          <w:shd w:val="clear" w:color="auto" w:fill="FFFFFF"/>
        </w:rPr>
        <w:fldChar w:fldCharType="begin"/>
      </w:r>
      <w:r>
        <w:rPr>
          <w:rFonts w:eastAsiaTheme="minorHAnsi"/>
          <w:shd w:val="clear" w:color="auto" w:fill="FFFFFF"/>
        </w:rPr>
        <w:instrText xml:space="preserve"> LINK Excel.Sheet.12 "\\\\194.152.214.169\\Dokumenti\\STRATEGIJE\\04_PLAN RAZVOJA KZŽ\\BAZA PODATAKA ZA PRKZŽ\\POLJOPRIVREDA\\Vinogradarki registar\\Površina i broj PG-a pod vinogradima prema veličini gospodarstva.xlsx" "Proizvodnja vina!R4C2:R9C5" \a \f 4 \h </w:instrText>
      </w:r>
      <w:r w:rsidR="00346E38">
        <w:rPr>
          <w:rFonts w:eastAsiaTheme="minorHAnsi"/>
          <w:shd w:val="clear" w:color="auto" w:fill="FFFFFF"/>
        </w:rPr>
        <w:instrText xml:space="preserve"> \* MERGEFORMAT </w:instrText>
      </w:r>
      <w:r>
        <w:rPr>
          <w:rFonts w:eastAsiaTheme="minorHAnsi"/>
          <w:shd w:val="clear" w:color="auto" w:fill="FFFFFF"/>
        </w:rPr>
        <w:fldChar w:fldCharType="separate"/>
      </w:r>
    </w:p>
    <w:tbl>
      <w:tblPr>
        <w:tblW w:w="9030" w:type="dxa"/>
        <w:jc w:val="center"/>
        <w:tblLook w:val="04A0" w:firstRow="1" w:lastRow="0" w:firstColumn="1" w:lastColumn="0" w:noHBand="0" w:noVBand="1"/>
      </w:tblPr>
      <w:tblGrid>
        <w:gridCol w:w="2125"/>
        <w:gridCol w:w="1831"/>
        <w:gridCol w:w="2480"/>
        <w:gridCol w:w="2594"/>
      </w:tblGrid>
      <w:tr w:rsidR="00ED2A53" w:rsidRPr="00ED2A53" w14:paraId="31ED1627" w14:textId="77777777" w:rsidTr="001E3867">
        <w:trPr>
          <w:trHeight w:val="489"/>
          <w:jc w:val="center"/>
        </w:trPr>
        <w:tc>
          <w:tcPr>
            <w:tcW w:w="2125" w:type="dxa"/>
            <w:tcBorders>
              <w:top w:val="nil"/>
              <w:left w:val="single" w:sz="8" w:space="0" w:color="D2232A"/>
              <w:bottom w:val="nil"/>
              <w:right w:val="nil"/>
            </w:tcBorders>
            <w:shd w:val="clear" w:color="000000" w:fill="D2232A"/>
            <w:vAlign w:val="center"/>
            <w:hideMark/>
          </w:tcPr>
          <w:p w14:paraId="031AA646" w14:textId="6AB58B92" w:rsidR="00ED2A53" w:rsidRPr="00ED2A53" w:rsidRDefault="00ED2A53" w:rsidP="00ED2A53">
            <w:pPr>
              <w:spacing w:after="0" w:line="240" w:lineRule="auto"/>
              <w:jc w:val="center"/>
              <w:rPr>
                <w:rFonts w:eastAsia="Times New Roman" w:cs="Calibri"/>
                <w:color w:val="FFFFFF"/>
                <w:szCs w:val="18"/>
                <w:lang w:eastAsia="hr-HR"/>
              </w:rPr>
            </w:pPr>
            <w:r w:rsidRPr="00ED2A53">
              <w:rPr>
                <w:rFonts w:eastAsia="Times New Roman" w:cs="Calibri"/>
                <w:color w:val="FFFFFF"/>
                <w:szCs w:val="18"/>
                <w:lang w:eastAsia="hr-HR"/>
              </w:rPr>
              <w:t>Godina</w:t>
            </w:r>
          </w:p>
        </w:tc>
        <w:tc>
          <w:tcPr>
            <w:tcW w:w="1831" w:type="dxa"/>
            <w:tcBorders>
              <w:top w:val="nil"/>
              <w:left w:val="single" w:sz="8" w:space="0" w:color="D2232A"/>
              <w:bottom w:val="nil"/>
              <w:right w:val="nil"/>
            </w:tcBorders>
            <w:shd w:val="clear" w:color="000000" w:fill="D2232A"/>
            <w:vAlign w:val="center"/>
            <w:hideMark/>
          </w:tcPr>
          <w:p w14:paraId="306987AC" w14:textId="77777777" w:rsidR="00ED2A53" w:rsidRPr="00ED2A53" w:rsidRDefault="00ED2A53" w:rsidP="00ED2A53">
            <w:pPr>
              <w:spacing w:after="0" w:line="240" w:lineRule="auto"/>
              <w:jc w:val="center"/>
              <w:rPr>
                <w:rFonts w:eastAsia="Times New Roman" w:cs="Calibri"/>
                <w:color w:val="FFFFFF"/>
                <w:szCs w:val="18"/>
                <w:lang w:eastAsia="hr-HR"/>
              </w:rPr>
            </w:pPr>
            <w:r w:rsidRPr="00ED2A53">
              <w:rPr>
                <w:rFonts w:eastAsia="Times New Roman" w:cs="Calibri"/>
                <w:color w:val="FFFFFF"/>
                <w:szCs w:val="18"/>
                <w:lang w:eastAsia="hr-HR"/>
              </w:rPr>
              <w:t xml:space="preserve"> Grožđe(t)</w:t>
            </w:r>
          </w:p>
        </w:tc>
        <w:tc>
          <w:tcPr>
            <w:tcW w:w="2480" w:type="dxa"/>
            <w:tcBorders>
              <w:top w:val="nil"/>
              <w:left w:val="single" w:sz="8" w:space="0" w:color="D2232A"/>
              <w:bottom w:val="nil"/>
              <w:right w:val="nil"/>
            </w:tcBorders>
            <w:shd w:val="clear" w:color="000000" w:fill="D2232A"/>
            <w:vAlign w:val="center"/>
            <w:hideMark/>
          </w:tcPr>
          <w:p w14:paraId="5B86ACD3" w14:textId="77777777" w:rsidR="00ED2A53" w:rsidRPr="00ED2A53" w:rsidRDefault="00ED2A53" w:rsidP="00ED2A53">
            <w:pPr>
              <w:spacing w:after="0" w:line="240" w:lineRule="auto"/>
              <w:jc w:val="center"/>
              <w:rPr>
                <w:rFonts w:eastAsia="Times New Roman" w:cs="Calibri"/>
                <w:color w:val="FFFFFF"/>
                <w:szCs w:val="18"/>
                <w:lang w:eastAsia="hr-HR"/>
              </w:rPr>
            </w:pPr>
            <w:r w:rsidRPr="00ED2A53">
              <w:rPr>
                <w:rFonts w:eastAsia="Times New Roman" w:cs="Calibri"/>
                <w:color w:val="FFFFFF"/>
                <w:szCs w:val="18"/>
                <w:lang w:eastAsia="hr-HR"/>
              </w:rPr>
              <w:t>Vino (hl)</w:t>
            </w:r>
          </w:p>
        </w:tc>
        <w:tc>
          <w:tcPr>
            <w:tcW w:w="2594" w:type="dxa"/>
            <w:tcBorders>
              <w:top w:val="nil"/>
              <w:left w:val="single" w:sz="8" w:space="0" w:color="D2232A"/>
              <w:bottom w:val="nil"/>
              <w:right w:val="nil"/>
            </w:tcBorders>
            <w:shd w:val="clear" w:color="000000" w:fill="D2232A"/>
            <w:vAlign w:val="center"/>
            <w:hideMark/>
          </w:tcPr>
          <w:p w14:paraId="58A0F53D" w14:textId="77777777" w:rsidR="00ED2A53" w:rsidRPr="00ED2A53" w:rsidRDefault="00ED2A53" w:rsidP="00ED2A53">
            <w:pPr>
              <w:spacing w:after="0" w:line="240" w:lineRule="auto"/>
              <w:jc w:val="center"/>
              <w:rPr>
                <w:rFonts w:eastAsia="Times New Roman" w:cs="Calibri"/>
                <w:color w:val="FFFFFF"/>
                <w:szCs w:val="18"/>
                <w:lang w:eastAsia="hr-HR"/>
              </w:rPr>
            </w:pPr>
            <w:r w:rsidRPr="00ED2A53">
              <w:rPr>
                <w:rFonts w:eastAsia="Times New Roman" w:cs="Calibri"/>
                <w:color w:val="FFFFFF"/>
                <w:szCs w:val="18"/>
                <w:lang w:eastAsia="hr-HR"/>
              </w:rPr>
              <w:t>Broj podnositelja</w:t>
            </w:r>
          </w:p>
        </w:tc>
      </w:tr>
      <w:tr w:rsidR="00ED2A53" w:rsidRPr="00ED2A53" w14:paraId="33039DE1" w14:textId="77777777" w:rsidTr="001E3867">
        <w:trPr>
          <w:trHeight w:val="321"/>
          <w:jc w:val="center"/>
        </w:trPr>
        <w:tc>
          <w:tcPr>
            <w:tcW w:w="2125" w:type="dxa"/>
            <w:tcBorders>
              <w:top w:val="nil"/>
              <w:left w:val="single" w:sz="8" w:space="0" w:color="D2232A"/>
              <w:bottom w:val="single" w:sz="8" w:space="0" w:color="F3CFC1"/>
              <w:right w:val="single" w:sz="8" w:space="0" w:color="D2232A"/>
            </w:tcBorders>
            <w:shd w:val="clear" w:color="auto" w:fill="auto"/>
            <w:vAlign w:val="center"/>
            <w:hideMark/>
          </w:tcPr>
          <w:p w14:paraId="6F77ACB5" w14:textId="77777777" w:rsidR="00ED2A53" w:rsidRPr="00ED2A53" w:rsidRDefault="00ED2A53" w:rsidP="00ED2A53">
            <w:pPr>
              <w:spacing w:after="0" w:line="240" w:lineRule="auto"/>
              <w:jc w:val="center"/>
              <w:rPr>
                <w:rFonts w:eastAsia="Times New Roman" w:cs="Calibri"/>
                <w:color w:val="3F3F3F"/>
                <w:szCs w:val="18"/>
                <w:lang w:eastAsia="hr-HR"/>
              </w:rPr>
            </w:pPr>
            <w:r w:rsidRPr="00ED2A53">
              <w:rPr>
                <w:rFonts w:eastAsia="Times New Roman" w:cs="Calibri"/>
                <w:color w:val="3F3F3F"/>
                <w:szCs w:val="18"/>
                <w:lang w:eastAsia="hr-HR"/>
              </w:rPr>
              <w:t>2016.</w:t>
            </w:r>
          </w:p>
        </w:tc>
        <w:tc>
          <w:tcPr>
            <w:tcW w:w="1831" w:type="dxa"/>
            <w:tcBorders>
              <w:top w:val="nil"/>
              <w:left w:val="nil"/>
              <w:bottom w:val="single" w:sz="8" w:space="0" w:color="F3CFC1"/>
              <w:right w:val="single" w:sz="8" w:space="0" w:color="D2232A"/>
            </w:tcBorders>
            <w:shd w:val="clear" w:color="auto" w:fill="auto"/>
            <w:vAlign w:val="center"/>
            <w:hideMark/>
          </w:tcPr>
          <w:p w14:paraId="5D299416"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1319,44</w:t>
            </w:r>
          </w:p>
        </w:tc>
        <w:tc>
          <w:tcPr>
            <w:tcW w:w="2480" w:type="dxa"/>
            <w:tcBorders>
              <w:top w:val="nil"/>
              <w:left w:val="nil"/>
              <w:bottom w:val="single" w:sz="8" w:space="0" w:color="F3CFC1"/>
              <w:right w:val="single" w:sz="8" w:space="0" w:color="D2232A"/>
            </w:tcBorders>
            <w:shd w:val="clear" w:color="auto" w:fill="auto"/>
            <w:vAlign w:val="center"/>
            <w:hideMark/>
          </w:tcPr>
          <w:p w14:paraId="1F230568"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8696,00</w:t>
            </w:r>
          </w:p>
        </w:tc>
        <w:tc>
          <w:tcPr>
            <w:tcW w:w="2594" w:type="dxa"/>
            <w:tcBorders>
              <w:top w:val="nil"/>
              <w:left w:val="nil"/>
              <w:bottom w:val="single" w:sz="8" w:space="0" w:color="F3CFC1"/>
              <w:right w:val="single" w:sz="8" w:space="0" w:color="D2232A"/>
            </w:tcBorders>
            <w:shd w:val="clear" w:color="auto" w:fill="auto"/>
            <w:vAlign w:val="center"/>
            <w:hideMark/>
          </w:tcPr>
          <w:p w14:paraId="1D933276" w14:textId="77777777" w:rsidR="00ED2A53" w:rsidRPr="00ED2A53" w:rsidRDefault="00ED2A53" w:rsidP="00ED2A53">
            <w:pPr>
              <w:spacing w:after="0" w:line="240" w:lineRule="auto"/>
              <w:jc w:val="center"/>
              <w:rPr>
                <w:rFonts w:eastAsia="Times New Roman" w:cs="Calibri"/>
                <w:color w:val="3F3F3F"/>
                <w:szCs w:val="18"/>
                <w:lang w:eastAsia="hr-HR"/>
              </w:rPr>
            </w:pPr>
            <w:r w:rsidRPr="00ED2A53">
              <w:rPr>
                <w:rFonts w:eastAsia="Times New Roman" w:cs="Calibri"/>
                <w:color w:val="3F3F3F"/>
                <w:szCs w:val="18"/>
                <w:lang w:eastAsia="hr-HR"/>
              </w:rPr>
              <w:t>283</w:t>
            </w:r>
          </w:p>
        </w:tc>
      </w:tr>
      <w:tr w:rsidR="00ED2A53" w:rsidRPr="00ED2A53" w14:paraId="1BFEAAA8" w14:textId="77777777" w:rsidTr="001E3867">
        <w:trPr>
          <w:trHeight w:val="321"/>
          <w:jc w:val="center"/>
        </w:trPr>
        <w:tc>
          <w:tcPr>
            <w:tcW w:w="2125" w:type="dxa"/>
            <w:tcBorders>
              <w:top w:val="nil"/>
              <w:left w:val="single" w:sz="8" w:space="0" w:color="D2232A"/>
              <w:bottom w:val="single" w:sz="8" w:space="0" w:color="F3CFC1"/>
              <w:right w:val="single" w:sz="8" w:space="0" w:color="D2232A"/>
            </w:tcBorders>
            <w:shd w:val="clear" w:color="auto" w:fill="auto"/>
            <w:vAlign w:val="center"/>
            <w:hideMark/>
          </w:tcPr>
          <w:p w14:paraId="2CCC7F61" w14:textId="77777777" w:rsidR="00ED2A53" w:rsidRPr="00ED2A53" w:rsidRDefault="00ED2A53" w:rsidP="00ED2A53">
            <w:pPr>
              <w:spacing w:after="0" w:line="240" w:lineRule="auto"/>
              <w:jc w:val="center"/>
              <w:rPr>
                <w:rFonts w:eastAsia="Times New Roman" w:cs="Calibri"/>
                <w:color w:val="3F3F3F"/>
                <w:szCs w:val="18"/>
                <w:lang w:eastAsia="hr-HR"/>
              </w:rPr>
            </w:pPr>
            <w:r w:rsidRPr="00ED2A53">
              <w:rPr>
                <w:rFonts w:eastAsia="Times New Roman" w:cs="Calibri"/>
                <w:color w:val="3F3F3F"/>
                <w:szCs w:val="18"/>
                <w:lang w:eastAsia="hr-HR"/>
              </w:rPr>
              <w:t>2017.</w:t>
            </w:r>
          </w:p>
        </w:tc>
        <w:tc>
          <w:tcPr>
            <w:tcW w:w="1831" w:type="dxa"/>
            <w:tcBorders>
              <w:top w:val="nil"/>
              <w:left w:val="nil"/>
              <w:bottom w:val="single" w:sz="8" w:space="0" w:color="F3CFC1"/>
              <w:right w:val="single" w:sz="8" w:space="0" w:color="D2232A"/>
            </w:tcBorders>
            <w:shd w:val="clear" w:color="auto" w:fill="auto"/>
            <w:vAlign w:val="center"/>
            <w:hideMark/>
          </w:tcPr>
          <w:p w14:paraId="3C3F8062"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1366,05</w:t>
            </w:r>
          </w:p>
        </w:tc>
        <w:tc>
          <w:tcPr>
            <w:tcW w:w="2480" w:type="dxa"/>
            <w:tcBorders>
              <w:top w:val="nil"/>
              <w:left w:val="nil"/>
              <w:bottom w:val="single" w:sz="8" w:space="0" w:color="F3CFC1"/>
              <w:right w:val="single" w:sz="8" w:space="0" w:color="D2232A"/>
            </w:tcBorders>
            <w:shd w:val="clear" w:color="auto" w:fill="auto"/>
            <w:vAlign w:val="center"/>
            <w:hideMark/>
          </w:tcPr>
          <w:p w14:paraId="6B2D08C4"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9193,88</w:t>
            </w:r>
          </w:p>
        </w:tc>
        <w:tc>
          <w:tcPr>
            <w:tcW w:w="2594" w:type="dxa"/>
            <w:tcBorders>
              <w:top w:val="nil"/>
              <w:left w:val="nil"/>
              <w:bottom w:val="single" w:sz="8" w:space="0" w:color="F3CFC1"/>
              <w:right w:val="single" w:sz="8" w:space="0" w:color="D2232A"/>
            </w:tcBorders>
            <w:shd w:val="clear" w:color="auto" w:fill="auto"/>
            <w:vAlign w:val="center"/>
            <w:hideMark/>
          </w:tcPr>
          <w:p w14:paraId="39B626E3" w14:textId="77777777" w:rsidR="00ED2A53" w:rsidRPr="00ED2A53" w:rsidRDefault="00ED2A53" w:rsidP="00ED2A53">
            <w:pPr>
              <w:spacing w:after="0" w:line="240" w:lineRule="auto"/>
              <w:jc w:val="center"/>
              <w:rPr>
                <w:rFonts w:eastAsia="Times New Roman" w:cs="Calibri"/>
                <w:color w:val="3F3F3F"/>
                <w:szCs w:val="18"/>
                <w:lang w:eastAsia="hr-HR"/>
              </w:rPr>
            </w:pPr>
            <w:r w:rsidRPr="00ED2A53">
              <w:rPr>
                <w:rFonts w:eastAsia="Times New Roman" w:cs="Calibri"/>
                <w:color w:val="3F3F3F"/>
                <w:szCs w:val="18"/>
                <w:lang w:eastAsia="hr-HR"/>
              </w:rPr>
              <w:t>276</w:t>
            </w:r>
          </w:p>
        </w:tc>
      </w:tr>
      <w:tr w:rsidR="00ED2A53" w:rsidRPr="00ED2A53" w14:paraId="00EAC105" w14:textId="77777777" w:rsidTr="001E3867">
        <w:trPr>
          <w:trHeight w:val="321"/>
          <w:jc w:val="center"/>
        </w:trPr>
        <w:tc>
          <w:tcPr>
            <w:tcW w:w="2125" w:type="dxa"/>
            <w:tcBorders>
              <w:top w:val="nil"/>
              <w:left w:val="single" w:sz="8" w:space="0" w:color="D2232A"/>
              <w:bottom w:val="single" w:sz="8" w:space="0" w:color="F3CFC1"/>
              <w:right w:val="single" w:sz="8" w:space="0" w:color="D2232A"/>
            </w:tcBorders>
            <w:shd w:val="clear" w:color="auto" w:fill="auto"/>
            <w:vAlign w:val="center"/>
            <w:hideMark/>
          </w:tcPr>
          <w:p w14:paraId="13E5C0DB" w14:textId="77777777" w:rsidR="00ED2A53" w:rsidRPr="00ED2A53" w:rsidRDefault="00ED2A53" w:rsidP="00ED2A53">
            <w:pPr>
              <w:spacing w:after="0" w:line="240" w:lineRule="auto"/>
              <w:jc w:val="center"/>
              <w:rPr>
                <w:rFonts w:eastAsia="Times New Roman" w:cs="Calibri"/>
                <w:color w:val="3F3F3F"/>
                <w:szCs w:val="18"/>
                <w:lang w:eastAsia="hr-HR"/>
              </w:rPr>
            </w:pPr>
            <w:r w:rsidRPr="00ED2A53">
              <w:rPr>
                <w:rFonts w:eastAsia="Times New Roman" w:cs="Calibri"/>
                <w:color w:val="3F3F3F"/>
                <w:szCs w:val="18"/>
                <w:lang w:eastAsia="hr-HR"/>
              </w:rPr>
              <w:t>2018.</w:t>
            </w:r>
          </w:p>
        </w:tc>
        <w:tc>
          <w:tcPr>
            <w:tcW w:w="1831" w:type="dxa"/>
            <w:tcBorders>
              <w:top w:val="nil"/>
              <w:left w:val="nil"/>
              <w:bottom w:val="single" w:sz="8" w:space="0" w:color="F3CFC1"/>
              <w:right w:val="single" w:sz="8" w:space="0" w:color="D2232A"/>
            </w:tcBorders>
            <w:shd w:val="clear" w:color="auto" w:fill="auto"/>
            <w:vAlign w:val="center"/>
            <w:hideMark/>
          </w:tcPr>
          <w:p w14:paraId="70245285"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1548,29</w:t>
            </w:r>
          </w:p>
        </w:tc>
        <w:tc>
          <w:tcPr>
            <w:tcW w:w="2480" w:type="dxa"/>
            <w:tcBorders>
              <w:top w:val="nil"/>
              <w:left w:val="nil"/>
              <w:bottom w:val="single" w:sz="8" w:space="0" w:color="F3CFC1"/>
              <w:right w:val="single" w:sz="8" w:space="0" w:color="D2232A"/>
            </w:tcBorders>
            <w:shd w:val="clear" w:color="auto" w:fill="auto"/>
            <w:vAlign w:val="center"/>
            <w:hideMark/>
          </w:tcPr>
          <w:p w14:paraId="3C7EA4AA"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10208,45</w:t>
            </w:r>
          </w:p>
        </w:tc>
        <w:tc>
          <w:tcPr>
            <w:tcW w:w="2594" w:type="dxa"/>
            <w:tcBorders>
              <w:top w:val="nil"/>
              <w:left w:val="nil"/>
              <w:bottom w:val="single" w:sz="8" w:space="0" w:color="F3CFC1"/>
              <w:right w:val="single" w:sz="8" w:space="0" w:color="D2232A"/>
            </w:tcBorders>
            <w:shd w:val="clear" w:color="auto" w:fill="auto"/>
            <w:vAlign w:val="center"/>
            <w:hideMark/>
          </w:tcPr>
          <w:p w14:paraId="617FDA68" w14:textId="77777777" w:rsidR="00ED2A53" w:rsidRPr="00ED2A53" w:rsidRDefault="00ED2A53" w:rsidP="00ED2A53">
            <w:pPr>
              <w:spacing w:after="0" w:line="240" w:lineRule="auto"/>
              <w:jc w:val="center"/>
              <w:rPr>
                <w:rFonts w:eastAsia="Times New Roman" w:cs="Calibri"/>
                <w:color w:val="3F3F3F"/>
                <w:szCs w:val="18"/>
                <w:lang w:eastAsia="hr-HR"/>
              </w:rPr>
            </w:pPr>
            <w:r w:rsidRPr="00ED2A53">
              <w:rPr>
                <w:rFonts w:eastAsia="Times New Roman" w:cs="Calibri"/>
                <w:color w:val="3F3F3F"/>
                <w:szCs w:val="18"/>
                <w:lang w:eastAsia="hr-HR"/>
              </w:rPr>
              <w:t>276</w:t>
            </w:r>
          </w:p>
        </w:tc>
      </w:tr>
      <w:tr w:rsidR="00ED2A53" w:rsidRPr="00ED2A53" w14:paraId="25CB2447" w14:textId="77777777" w:rsidTr="001E3867">
        <w:trPr>
          <w:trHeight w:val="321"/>
          <w:jc w:val="center"/>
        </w:trPr>
        <w:tc>
          <w:tcPr>
            <w:tcW w:w="2125" w:type="dxa"/>
            <w:tcBorders>
              <w:top w:val="nil"/>
              <w:left w:val="single" w:sz="8" w:space="0" w:color="D2232A"/>
              <w:bottom w:val="single" w:sz="8" w:space="0" w:color="F3CFC1"/>
              <w:right w:val="single" w:sz="8" w:space="0" w:color="D2232A"/>
            </w:tcBorders>
            <w:shd w:val="clear" w:color="auto" w:fill="auto"/>
            <w:vAlign w:val="center"/>
            <w:hideMark/>
          </w:tcPr>
          <w:p w14:paraId="48FB8C3F" w14:textId="77777777" w:rsidR="00ED2A53" w:rsidRPr="00ED2A53" w:rsidRDefault="00ED2A53" w:rsidP="00ED2A53">
            <w:pPr>
              <w:spacing w:after="0" w:line="240" w:lineRule="auto"/>
              <w:jc w:val="center"/>
              <w:rPr>
                <w:rFonts w:eastAsia="Times New Roman" w:cs="Calibri"/>
                <w:color w:val="3F3F3F"/>
                <w:szCs w:val="18"/>
                <w:lang w:eastAsia="hr-HR"/>
              </w:rPr>
            </w:pPr>
            <w:r w:rsidRPr="00ED2A53">
              <w:rPr>
                <w:rFonts w:eastAsia="Times New Roman" w:cs="Calibri"/>
                <w:color w:val="3F3F3F"/>
                <w:szCs w:val="18"/>
                <w:lang w:eastAsia="hr-HR"/>
              </w:rPr>
              <w:t>2019.</w:t>
            </w:r>
          </w:p>
        </w:tc>
        <w:tc>
          <w:tcPr>
            <w:tcW w:w="1831" w:type="dxa"/>
            <w:tcBorders>
              <w:top w:val="nil"/>
              <w:left w:val="nil"/>
              <w:bottom w:val="single" w:sz="8" w:space="0" w:color="F3CFC1"/>
              <w:right w:val="single" w:sz="8" w:space="0" w:color="D2232A"/>
            </w:tcBorders>
            <w:shd w:val="clear" w:color="auto" w:fill="auto"/>
            <w:vAlign w:val="center"/>
            <w:hideMark/>
          </w:tcPr>
          <w:p w14:paraId="754025E6"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1161,18</w:t>
            </w:r>
          </w:p>
        </w:tc>
        <w:tc>
          <w:tcPr>
            <w:tcW w:w="2480" w:type="dxa"/>
            <w:tcBorders>
              <w:top w:val="nil"/>
              <w:left w:val="nil"/>
              <w:bottom w:val="single" w:sz="8" w:space="0" w:color="F3CFC1"/>
              <w:right w:val="single" w:sz="8" w:space="0" w:color="D2232A"/>
            </w:tcBorders>
            <w:shd w:val="clear" w:color="auto" w:fill="auto"/>
            <w:vAlign w:val="center"/>
            <w:hideMark/>
          </w:tcPr>
          <w:p w14:paraId="38FAEC21"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7626,63</w:t>
            </w:r>
          </w:p>
        </w:tc>
        <w:tc>
          <w:tcPr>
            <w:tcW w:w="2594" w:type="dxa"/>
            <w:tcBorders>
              <w:top w:val="nil"/>
              <w:left w:val="nil"/>
              <w:bottom w:val="single" w:sz="8" w:space="0" w:color="F3CFC1"/>
              <w:right w:val="single" w:sz="8" w:space="0" w:color="D2232A"/>
            </w:tcBorders>
            <w:shd w:val="clear" w:color="auto" w:fill="auto"/>
            <w:vAlign w:val="center"/>
            <w:hideMark/>
          </w:tcPr>
          <w:p w14:paraId="0D418655" w14:textId="77777777" w:rsidR="00ED2A53" w:rsidRPr="00ED2A53" w:rsidRDefault="00ED2A53" w:rsidP="00ED2A53">
            <w:pPr>
              <w:spacing w:after="0" w:line="240" w:lineRule="auto"/>
              <w:jc w:val="center"/>
              <w:rPr>
                <w:rFonts w:eastAsia="Times New Roman" w:cs="Calibri"/>
                <w:color w:val="3F3F3F"/>
                <w:szCs w:val="18"/>
                <w:lang w:eastAsia="hr-HR"/>
              </w:rPr>
            </w:pPr>
            <w:r w:rsidRPr="00ED2A53">
              <w:rPr>
                <w:rFonts w:eastAsia="Times New Roman" w:cs="Calibri"/>
                <w:color w:val="3F3F3F"/>
                <w:szCs w:val="18"/>
                <w:lang w:eastAsia="hr-HR"/>
              </w:rPr>
              <w:t>244</w:t>
            </w:r>
          </w:p>
        </w:tc>
      </w:tr>
      <w:tr w:rsidR="00ED2A53" w:rsidRPr="00ED2A53" w14:paraId="191D68BC" w14:textId="77777777" w:rsidTr="001E3867">
        <w:trPr>
          <w:trHeight w:val="321"/>
          <w:jc w:val="center"/>
        </w:trPr>
        <w:tc>
          <w:tcPr>
            <w:tcW w:w="2125" w:type="dxa"/>
            <w:tcBorders>
              <w:top w:val="nil"/>
              <w:left w:val="single" w:sz="8" w:space="0" w:color="D2232A"/>
              <w:bottom w:val="nil"/>
              <w:right w:val="nil"/>
            </w:tcBorders>
            <w:shd w:val="clear" w:color="000000" w:fill="D2232A"/>
            <w:vAlign w:val="center"/>
            <w:hideMark/>
          </w:tcPr>
          <w:p w14:paraId="7D3B7083" w14:textId="77777777" w:rsidR="00ED2A53" w:rsidRPr="00ED2A53" w:rsidRDefault="00ED2A53" w:rsidP="00ED2A53">
            <w:pPr>
              <w:spacing w:after="0" w:line="240" w:lineRule="auto"/>
              <w:jc w:val="center"/>
              <w:rPr>
                <w:rFonts w:eastAsia="Times New Roman" w:cs="Calibri"/>
                <w:color w:val="FFFFFF"/>
                <w:szCs w:val="18"/>
                <w:lang w:eastAsia="hr-HR"/>
              </w:rPr>
            </w:pPr>
            <w:r w:rsidRPr="00ED2A53">
              <w:rPr>
                <w:rFonts w:eastAsia="Times New Roman" w:cs="Calibri"/>
                <w:color w:val="FFFFFF"/>
                <w:szCs w:val="18"/>
                <w:lang w:eastAsia="hr-HR"/>
              </w:rPr>
              <w:t>Ukupno</w:t>
            </w:r>
          </w:p>
        </w:tc>
        <w:tc>
          <w:tcPr>
            <w:tcW w:w="1831" w:type="dxa"/>
            <w:tcBorders>
              <w:top w:val="nil"/>
              <w:left w:val="single" w:sz="8" w:space="0" w:color="D2232A"/>
              <w:bottom w:val="single" w:sz="8" w:space="0" w:color="F3CFC1"/>
              <w:right w:val="single" w:sz="8" w:space="0" w:color="D2232A"/>
            </w:tcBorders>
            <w:shd w:val="clear" w:color="auto" w:fill="auto"/>
            <w:vAlign w:val="center"/>
            <w:hideMark/>
          </w:tcPr>
          <w:p w14:paraId="6C583EAF"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5394,96</w:t>
            </w:r>
          </w:p>
        </w:tc>
        <w:tc>
          <w:tcPr>
            <w:tcW w:w="2480" w:type="dxa"/>
            <w:tcBorders>
              <w:top w:val="nil"/>
              <w:left w:val="nil"/>
              <w:bottom w:val="single" w:sz="8" w:space="0" w:color="F3CFC1"/>
              <w:right w:val="single" w:sz="8" w:space="0" w:color="D2232A"/>
            </w:tcBorders>
            <w:shd w:val="clear" w:color="auto" w:fill="auto"/>
            <w:vAlign w:val="center"/>
            <w:hideMark/>
          </w:tcPr>
          <w:p w14:paraId="1069AB66" w14:textId="77777777" w:rsidR="00ED2A53" w:rsidRPr="00ED2A53" w:rsidRDefault="00ED2A53" w:rsidP="00ED2A53">
            <w:pPr>
              <w:spacing w:after="0" w:line="240" w:lineRule="auto"/>
              <w:jc w:val="right"/>
              <w:rPr>
                <w:rFonts w:eastAsia="Times New Roman" w:cs="Calibri"/>
                <w:color w:val="3F3F3F"/>
                <w:szCs w:val="18"/>
                <w:lang w:eastAsia="hr-HR"/>
              </w:rPr>
            </w:pPr>
            <w:r w:rsidRPr="00ED2A53">
              <w:rPr>
                <w:rFonts w:eastAsia="Times New Roman" w:cs="Calibri"/>
                <w:color w:val="3F3F3F"/>
                <w:szCs w:val="18"/>
                <w:lang w:eastAsia="hr-HR"/>
              </w:rPr>
              <w:t>35724,96</w:t>
            </w:r>
          </w:p>
        </w:tc>
        <w:tc>
          <w:tcPr>
            <w:tcW w:w="2594" w:type="dxa"/>
            <w:tcBorders>
              <w:top w:val="nil"/>
              <w:left w:val="nil"/>
              <w:bottom w:val="single" w:sz="8" w:space="0" w:color="F3CFC1"/>
              <w:right w:val="single" w:sz="8" w:space="0" w:color="D2232A"/>
            </w:tcBorders>
            <w:shd w:val="clear" w:color="auto" w:fill="auto"/>
            <w:vAlign w:val="center"/>
            <w:hideMark/>
          </w:tcPr>
          <w:p w14:paraId="40E12A37" w14:textId="77777777" w:rsidR="00ED2A53" w:rsidRPr="00ED2A53" w:rsidRDefault="00ED2A53" w:rsidP="00ED2A53">
            <w:pPr>
              <w:spacing w:after="0" w:line="240" w:lineRule="auto"/>
              <w:jc w:val="center"/>
              <w:rPr>
                <w:rFonts w:eastAsia="Times New Roman" w:cs="Calibri"/>
                <w:color w:val="3F3F3F"/>
                <w:szCs w:val="18"/>
                <w:lang w:eastAsia="hr-HR"/>
              </w:rPr>
            </w:pPr>
            <w:r w:rsidRPr="00ED2A53">
              <w:rPr>
                <w:rFonts w:eastAsia="Times New Roman" w:cs="Calibri"/>
                <w:color w:val="3F3F3F"/>
                <w:szCs w:val="18"/>
                <w:lang w:eastAsia="hr-HR"/>
              </w:rPr>
              <w:t>1079</w:t>
            </w:r>
          </w:p>
        </w:tc>
      </w:tr>
    </w:tbl>
    <w:p w14:paraId="43895C56" w14:textId="37DC8758" w:rsidR="00BD0057" w:rsidRPr="0023100F" w:rsidRDefault="00ED2A53" w:rsidP="0023100F">
      <w:pPr>
        <w:pStyle w:val="Izvor"/>
      </w:pPr>
      <w:r>
        <w:rPr>
          <w:rFonts w:eastAsiaTheme="minorHAnsi"/>
          <w:shd w:val="clear" w:color="auto" w:fill="FFFFFF"/>
        </w:rPr>
        <w:fldChar w:fldCharType="end"/>
      </w:r>
      <w:r w:rsidRPr="00BD0057">
        <w:rPr>
          <w:i/>
          <w:color w:val="ABABAB" w:themeColor="text1" w:themeTint="A6"/>
          <w:sz w:val="16"/>
          <w:szCs w:val="16"/>
        </w:rPr>
        <w:t xml:space="preserve"> Izvor: Agencija za plaćanja u poljoprivredi, ribarstvu i ruralnom razvoju - Vinogradarski registar, 2017.</w:t>
      </w:r>
      <w:r w:rsidR="009E67D7">
        <w:rPr>
          <w:i/>
          <w:color w:val="ABABAB" w:themeColor="text1" w:themeTint="A6"/>
          <w:sz w:val="16"/>
          <w:szCs w:val="16"/>
        </w:rPr>
        <w:t xml:space="preserve"> </w:t>
      </w:r>
      <w:r w:rsidRPr="00BD0057">
        <w:rPr>
          <w:i/>
          <w:color w:val="ABABAB" w:themeColor="text1" w:themeTint="A6"/>
          <w:sz w:val="16"/>
          <w:szCs w:val="16"/>
        </w:rPr>
        <w:t>-</w:t>
      </w:r>
      <w:r w:rsidR="009E67D7">
        <w:rPr>
          <w:i/>
          <w:color w:val="ABABAB" w:themeColor="text1" w:themeTint="A6"/>
          <w:sz w:val="16"/>
          <w:szCs w:val="16"/>
        </w:rPr>
        <w:t xml:space="preserve"> </w:t>
      </w:r>
      <w:r w:rsidRPr="00BD0057">
        <w:rPr>
          <w:i/>
          <w:color w:val="ABABAB" w:themeColor="text1" w:themeTint="A6"/>
          <w:sz w:val="16"/>
          <w:szCs w:val="16"/>
        </w:rPr>
        <w:t>2020</w:t>
      </w:r>
      <w:r>
        <w:t>.</w:t>
      </w:r>
    </w:p>
    <w:p w14:paraId="5884AB55" w14:textId="7EDE6966" w:rsidR="00BD0057" w:rsidRDefault="00BD0057" w:rsidP="002E46A2">
      <w:pPr>
        <w:spacing w:after="0" w:line="283" w:lineRule="auto"/>
        <w:ind w:right="232"/>
        <w:rPr>
          <w:rFonts w:eastAsiaTheme="minorHAnsi" w:cstheme="minorHAnsi"/>
          <w:color w:val="auto"/>
          <w:shd w:val="clear" w:color="auto" w:fill="FFFFFF"/>
        </w:rPr>
      </w:pPr>
    </w:p>
    <w:p w14:paraId="64AD5F47" w14:textId="6C66C01F" w:rsidR="00ED2A53" w:rsidRDefault="00835965" w:rsidP="002E46A2">
      <w:pPr>
        <w:spacing w:after="0" w:line="283" w:lineRule="auto"/>
        <w:ind w:right="232"/>
        <w:rPr>
          <w:rFonts w:eastAsiaTheme="minorHAnsi" w:cstheme="minorHAnsi"/>
          <w:shd w:val="clear" w:color="auto" w:fill="FFFFFF"/>
        </w:rPr>
      </w:pPr>
      <w:r w:rsidRPr="00BD0057">
        <w:rPr>
          <w:rFonts w:eastAsiaTheme="minorHAnsi" w:cstheme="minorHAnsi"/>
          <w:color w:val="auto"/>
          <w:shd w:val="clear" w:color="auto" w:fill="FFFFFF"/>
        </w:rPr>
        <w:t xml:space="preserve">Grafikon </w:t>
      </w:r>
      <w:r w:rsidR="00F73E03">
        <w:rPr>
          <w:rFonts w:eastAsiaTheme="minorHAnsi" w:cstheme="minorHAnsi"/>
          <w:color w:val="auto"/>
          <w:shd w:val="clear" w:color="auto" w:fill="FFFFFF"/>
        </w:rPr>
        <w:t>6</w:t>
      </w:r>
      <w:r w:rsidR="000061E9">
        <w:rPr>
          <w:rFonts w:eastAsiaTheme="minorHAnsi" w:cstheme="minorHAnsi"/>
          <w:color w:val="auto"/>
          <w:shd w:val="clear" w:color="auto" w:fill="FFFFFF"/>
        </w:rPr>
        <w:t>4</w:t>
      </w:r>
      <w:r w:rsidRPr="00BD0057">
        <w:rPr>
          <w:rFonts w:eastAsiaTheme="minorHAnsi" w:cstheme="minorHAnsi"/>
          <w:color w:val="auto"/>
          <w:shd w:val="clear" w:color="auto" w:fill="FFFFFF"/>
        </w:rPr>
        <w:t xml:space="preserve">. </w:t>
      </w:r>
      <w:r w:rsidR="002E46A2" w:rsidRPr="002E46A2">
        <w:rPr>
          <w:rFonts w:eastAsiaTheme="minorHAnsi" w:cstheme="minorHAnsi"/>
          <w:shd w:val="clear" w:color="auto" w:fill="FFFFFF"/>
        </w:rPr>
        <w:t>Prijavljena proizvodnja vina po kategorijama kvalitete vina, 2016.</w:t>
      </w:r>
      <w:r w:rsidR="009E67D7">
        <w:rPr>
          <w:rFonts w:eastAsiaTheme="minorHAnsi" w:cstheme="minorHAnsi"/>
          <w:shd w:val="clear" w:color="auto" w:fill="FFFFFF"/>
        </w:rPr>
        <w:t xml:space="preserve"> </w:t>
      </w:r>
      <w:r w:rsidR="002E46A2" w:rsidRPr="002E46A2">
        <w:rPr>
          <w:rFonts w:eastAsiaTheme="minorHAnsi" w:cstheme="minorHAnsi"/>
          <w:shd w:val="clear" w:color="auto" w:fill="FFFFFF"/>
        </w:rPr>
        <w:t>-</w:t>
      </w:r>
      <w:r w:rsidR="009E67D7">
        <w:rPr>
          <w:rFonts w:eastAsiaTheme="minorHAnsi" w:cstheme="minorHAnsi"/>
          <w:shd w:val="clear" w:color="auto" w:fill="FFFFFF"/>
        </w:rPr>
        <w:t xml:space="preserve"> </w:t>
      </w:r>
      <w:r w:rsidR="002E46A2" w:rsidRPr="002E46A2">
        <w:rPr>
          <w:rFonts w:eastAsiaTheme="minorHAnsi" w:cstheme="minorHAnsi"/>
          <w:shd w:val="clear" w:color="auto" w:fill="FFFFFF"/>
        </w:rPr>
        <w:t>2019.</w:t>
      </w:r>
    </w:p>
    <w:p w14:paraId="55BDFD61" w14:textId="10269C53" w:rsidR="00835965" w:rsidRDefault="00835965" w:rsidP="002E46A2">
      <w:pPr>
        <w:spacing w:after="0" w:line="283" w:lineRule="auto"/>
        <w:ind w:right="232"/>
        <w:jc w:val="center"/>
        <w:rPr>
          <w:rFonts w:eastAsiaTheme="minorHAnsi" w:cstheme="minorHAnsi"/>
          <w:shd w:val="clear" w:color="auto" w:fill="FFFFFF"/>
        </w:rPr>
      </w:pPr>
      <w:r>
        <w:rPr>
          <w:noProof/>
        </w:rPr>
        <w:lastRenderedPageBreak/>
        <w:drawing>
          <wp:inline distT="0" distB="0" distL="0" distR="0" wp14:anchorId="772E8C48" wp14:editId="1614A327">
            <wp:extent cx="5494351" cy="3077154"/>
            <wp:effectExtent l="0" t="0" r="11430" b="9525"/>
            <wp:docPr id="25" name="Grafikon 25">
              <a:extLst xmlns:a="http://schemas.openxmlformats.org/drawingml/2006/main">
                <a:ext uri="{FF2B5EF4-FFF2-40B4-BE49-F238E27FC236}">
                  <a16:creationId xmlns:a16="http://schemas.microsoft.com/office/drawing/2014/main" id="{0EFFF091-9084-41D2-BA14-A88FB7ABB7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66A7CEFB" w14:textId="77777777" w:rsidR="001E3867" w:rsidRDefault="002E46A2" w:rsidP="001E3867">
      <w:pPr>
        <w:pStyle w:val="Izvor"/>
        <w:rPr>
          <w:i/>
          <w:color w:val="ABABAB" w:themeColor="text1" w:themeTint="A6"/>
          <w:sz w:val="16"/>
          <w:szCs w:val="16"/>
        </w:rPr>
      </w:pPr>
      <w:r w:rsidRPr="00BD0057">
        <w:rPr>
          <w:i/>
          <w:color w:val="ABABAB" w:themeColor="text1" w:themeTint="A6"/>
          <w:sz w:val="16"/>
          <w:szCs w:val="16"/>
        </w:rPr>
        <w:t>Izvor: Agencija za plaćanja u poljoprivredi, ribarstvu i ruralnom razvoju - Vinogradarski registar, 2017.</w:t>
      </w:r>
      <w:r w:rsidR="009E67D7">
        <w:rPr>
          <w:i/>
          <w:color w:val="ABABAB" w:themeColor="text1" w:themeTint="A6"/>
          <w:sz w:val="16"/>
          <w:szCs w:val="16"/>
        </w:rPr>
        <w:t xml:space="preserve"> </w:t>
      </w:r>
      <w:r w:rsidRPr="00BD0057">
        <w:rPr>
          <w:i/>
          <w:color w:val="ABABAB" w:themeColor="text1" w:themeTint="A6"/>
          <w:sz w:val="16"/>
          <w:szCs w:val="16"/>
        </w:rPr>
        <w:t>-</w:t>
      </w:r>
      <w:r w:rsidR="009E67D7">
        <w:rPr>
          <w:i/>
          <w:color w:val="ABABAB" w:themeColor="text1" w:themeTint="A6"/>
          <w:sz w:val="16"/>
          <w:szCs w:val="16"/>
        </w:rPr>
        <w:t xml:space="preserve"> </w:t>
      </w:r>
      <w:r w:rsidRPr="00BD0057">
        <w:rPr>
          <w:i/>
          <w:color w:val="ABABAB" w:themeColor="text1" w:themeTint="A6"/>
          <w:sz w:val="16"/>
          <w:szCs w:val="16"/>
        </w:rPr>
        <w:t>2020.</w:t>
      </w:r>
    </w:p>
    <w:p w14:paraId="2A8D1DB7" w14:textId="77777777" w:rsidR="001E3867" w:rsidRDefault="001E3867" w:rsidP="001E3867">
      <w:pPr>
        <w:pStyle w:val="Izvor"/>
        <w:rPr>
          <w:i/>
          <w:color w:val="ABABAB" w:themeColor="text1" w:themeTint="A6"/>
          <w:sz w:val="16"/>
          <w:szCs w:val="16"/>
        </w:rPr>
      </w:pPr>
    </w:p>
    <w:p w14:paraId="60387ABC" w14:textId="4EBC581D" w:rsidR="00DD670B" w:rsidRPr="001E3867" w:rsidRDefault="002E46A2" w:rsidP="001E3867">
      <w:pPr>
        <w:pStyle w:val="Izvor"/>
        <w:rPr>
          <w:i/>
          <w:color w:val="ABABAB" w:themeColor="text1" w:themeTint="A6"/>
          <w:sz w:val="16"/>
          <w:szCs w:val="16"/>
        </w:rPr>
      </w:pPr>
      <w:r>
        <w:t>Prepoznavši važnost očuvanja autohtonih sorata vinove loze na svom području, Krapinsko-zagorska županija u suradnji s Agronomskim fakultetom u Zagrebu pristupila je 2006. godine provedbi i financiranju znanstveno-stručnog projekta ''Zaštita i revitalizacija autohtonih sorata vinove loze (Vitis vinifera L.) Hrvatskog zagorja''. Projekt se provodi u tri faze, a nakon prve faze i identificiranih prvih autohtonih sorti, pripremljen je sadni materijal i posađen pokusni vinograd koji je dao prva vina zasađenih sorti. Nakon druge faze projekta u koji su uložena značajna financijska sredst</w:t>
      </w:r>
      <w:r w:rsidR="000976DA">
        <w:t>va i desetogodišnji trud, pristupilo se promociji rezultata projekta i prezentaciji identificiranih autohtonih sorata. Kao jedan od najvažnijih rezultata je njihovo uvrštenje na listu preporučenih sorti vinove loze, a završno je pripremljena monografija ''Autohtone sorte vinove loze Hrvatskog zagorja''. Trenutno je u provedbi treća faza projekta koja će trajati do proljeća 2022. godine, a cilj je dobiti cjeloviti uvid u gospodarsko-tehnološke karakteristike pronađenih i spašenih sorti s posebnom pažnjom na najinteresantnije gospodarstvu. Najbolje ocjenjene sorte preporučit će se proizvođačima za daljnje širenje uz preporuku o njihovoj tehnologiji uzgoja. S ciljem podizanja većih površina nasada autohtonih sorti vinove loze na svom području, Krapinsko-zagorska županija je sufinancirala kupnju i sadnju loznih cijepova autohtonih sorti vinove loze poljoprivrednim gospodarstvima kroz Mjeru: Potpora za povećanje poljoprivredne proizvodnje na području Krapinsko-zagorske županije u 2019. godini te je tako podignuto pet nasada sa 2.120 posađenih loznih crijepova.</w:t>
      </w:r>
    </w:p>
    <w:p w14:paraId="625968AC" w14:textId="77777777" w:rsidR="000976DA" w:rsidRPr="000976DA" w:rsidRDefault="000976DA" w:rsidP="000976DA"/>
    <w:p w14:paraId="06CF16D6" w14:textId="3968FEC9" w:rsidR="00CF50C7" w:rsidRDefault="00CF50C7" w:rsidP="0052192B">
      <w:pPr>
        <w:pStyle w:val="Naslov2"/>
      </w:pPr>
      <w:bookmarkStart w:id="205" w:name="_Toc85181358"/>
      <w:r>
        <w:t>1</w:t>
      </w:r>
      <w:r w:rsidR="00B601EE">
        <w:t>2</w:t>
      </w:r>
      <w:r>
        <w:t>.3. Povrćarstvo i cvjećarstvo</w:t>
      </w:r>
      <w:bookmarkEnd w:id="205"/>
    </w:p>
    <w:p w14:paraId="34279FAD" w14:textId="77777777" w:rsidR="00F413A3" w:rsidRDefault="00F413A3" w:rsidP="00F413A3"/>
    <w:p w14:paraId="6F25753B" w14:textId="25189C1E" w:rsidR="00F413A3" w:rsidRDefault="00F413A3" w:rsidP="00F413A3">
      <w:r>
        <w:t>U Hrvatskom zagorju tradicionalno se na okućnicama i oranicama uzgaja povrće za vlastite potrebe u domaćinstvu. Proizvodnja povrća ne zahtjeva velike proizvodne površine, posebno u plastenicima, stoga je prikladna za poljoprivredna gospodarstva s malim posjedima. Mali broj PG-a svoj višak povrća prodaje na tržnicama ili sajmovima. Dio PG-a opredijelio</w:t>
      </w:r>
      <w:r w:rsidR="00F323B8">
        <w:t xml:space="preserve"> se</w:t>
      </w:r>
      <w:r>
        <w:t xml:space="preserve"> za uzgoj povrća kao primarne poljoprivredne djelatnosti, a isto plasiraju na tržište kao svježe i/ili u obliku prerađevina. Uzgoj povrtnih presadnica odvija se u zaštićenim prostorima (plastenicima/staklenicima), a zatim svoj ciklus nastavljaju na oranicama (većim površinama). Pojedina gospodarstva bave se cjelogodišnj</w:t>
      </w:r>
      <w:r w:rsidR="00F323B8">
        <w:t>i</w:t>
      </w:r>
      <w:r>
        <w:t xml:space="preserve">m intenzivnim uzgojem povrća u zaštićenim prostorima, a svoje povrće plasiraju u lokalne trgovačke lance (Trgocentar, Trgostil i sl.). </w:t>
      </w:r>
    </w:p>
    <w:p w14:paraId="0B0F39EB" w14:textId="525AFCFD" w:rsidR="00F413A3" w:rsidRDefault="00F413A3" w:rsidP="00F413A3">
      <w:pPr>
        <w:rPr>
          <w:color w:val="auto"/>
        </w:rPr>
      </w:pPr>
      <w:r>
        <w:t xml:space="preserve">Uzgoj povrća za preradu je prije 10-ak godina nestao jer uvjeti na tržištu i otkupne cijene nisu isplative za manje uzgajivače povrća. Na prostoru županije djeluju Udruga uzgajivača i prerađivača povrća i cvijeća Krapinsko-zagorske županije sa sjedištem u Bedekovčini. Evidencija o površinama pod povrtnim kulturama vodi APPRRR u svom pregledniku koji je javno </w:t>
      </w:r>
      <w:r w:rsidRPr="00F323B8">
        <w:rPr>
          <w:color w:val="auto"/>
        </w:rPr>
        <w:t xml:space="preserve">dostupan, a svake godine podaci se ažuriraju temeljem zaprimljenih Jedinstvenih zahtjeva PG-a. </w:t>
      </w:r>
      <w:r w:rsidR="00F323B8" w:rsidRPr="00F323B8">
        <w:rPr>
          <w:color w:val="auto"/>
        </w:rPr>
        <w:t xml:space="preserve">Prema posljednje dostupnim podacima, </w:t>
      </w:r>
      <w:r w:rsidR="00F323B8">
        <w:rPr>
          <w:color w:val="auto"/>
        </w:rPr>
        <w:t xml:space="preserve">na </w:t>
      </w:r>
      <w:r w:rsidR="00F323B8" w:rsidRPr="00F323B8">
        <w:rPr>
          <w:color w:val="auto"/>
        </w:rPr>
        <w:t>području Krapinsko-zagorske županije registrirano je 8.973 poljoprivredna gospodarstva</w:t>
      </w:r>
      <w:r w:rsidR="00F323B8">
        <w:rPr>
          <w:color w:val="auto"/>
        </w:rPr>
        <w:t>,</w:t>
      </w:r>
      <w:r w:rsidR="00F323B8" w:rsidRPr="00F323B8">
        <w:rPr>
          <w:color w:val="auto"/>
        </w:rPr>
        <w:t xml:space="preserve"> od čega se</w:t>
      </w:r>
      <w:r w:rsidR="00F323B8">
        <w:rPr>
          <w:color w:val="auto"/>
        </w:rPr>
        <w:t xml:space="preserve"> njih</w:t>
      </w:r>
      <w:r w:rsidR="00F323B8" w:rsidRPr="00F323B8">
        <w:rPr>
          <w:color w:val="auto"/>
        </w:rPr>
        <w:t xml:space="preserve"> 4.150 bavi uzgojem povrća na površinama od 462,31 ha.</w:t>
      </w:r>
    </w:p>
    <w:p w14:paraId="07A84DF4" w14:textId="77777777" w:rsidR="001E3867" w:rsidRDefault="001E3867" w:rsidP="00F413A3">
      <w:pPr>
        <w:rPr>
          <w:rFonts w:ascii="Calibri" w:hAnsi="Calibri"/>
          <w:color w:val="auto"/>
          <w:sz w:val="22"/>
        </w:rPr>
      </w:pPr>
    </w:p>
    <w:p w14:paraId="2EBB9876" w14:textId="77777777" w:rsidR="00F323B8" w:rsidRPr="00F323B8" w:rsidRDefault="00F323B8" w:rsidP="00F413A3">
      <w:pPr>
        <w:rPr>
          <w:rFonts w:ascii="Calibri" w:hAnsi="Calibri"/>
          <w:color w:val="auto"/>
          <w:sz w:val="22"/>
        </w:rPr>
      </w:pPr>
    </w:p>
    <w:p w14:paraId="622DABFC" w14:textId="457270B7" w:rsidR="00F413A3" w:rsidRDefault="00F413A3" w:rsidP="001E3867">
      <w:pPr>
        <w:pStyle w:val="Opisslike"/>
      </w:pPr>
      <w:r w:rsidRPr="001E3867">
        <w:lastRenderedPageBreak/>
        <w:t xml:space="preserve">Tablica </w:t>
      </w:r>
      <w:r w:rsidR="00F40204" w:rsidRPr="001E3867">
        <w:t>1</w:t>
      </w:r>
      <w:r w:rsidR="001E3867" w:rsidRPr="001E3867">
        <w:t>61</w:t>
      </w:r>
      <w:r w:rsidRPr="001E3867">
        <w:t xml:space="preserve">. Proizvodne </w:t>
      </w:r>
      <w:r w:rsidRPr="003E3FBE">
        <w:t>površine s uzgojem povrća na oranicama i staklenicima na oranici i broj PG-a, 2017.</w:t>
      </w:r>
      <w:r w:rsidR="009E67D7">
        <w:t xml:space="preserve"> </w:t>
      </w:r>
      <w:r w:rsidRPr="003E3FBE">
        <w:t>-</w:t>
      </w:r>
      <w:r w:rsidR="009E67D7">
        <w:t xml:space="preserve"> </w:t>
      </w:r>
      <w:r w:rsidRPr="003E3FBE">
        <w:t>2019.</w:t>
      </w:r>
    </w:p>
    <w:tbl>
      <w:tblPr>
        <w:tblW w:w="9214" w:type="dxa"/>
        <w:tblInd w:w="-5" w:type="dxa"/>
        <w:tblLook w:val="04A0" w:firstRow="1" w:lastRow="0" w:firstColumn="1" w:lastColumn="0" w:noHBand="0" w:noVBand="1"/>
      </w:tblPr>
      <w:tblGrid>
        <w:gridCol w:w="3402"/>
        <w:gridCol w:w="2694"/>
        <w:gridCol w:w="3118"/>
      </w:tblGrid>
      <w:tr w:rsidR="00F413A3" w:rsidRPr="003E3FBE" w14:paraId="144C67A3" w14:textId="77777777" w:rsidTr="001E3867">
        <w:trPr>
          <w:trHeight w:val="288"/>
        </w:trPr>
        <w:tc>
          <w:tcPr>
            <w:tcW w:w="3402"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0D2BC48E" w14:textId="77777777" w:rsidR="00F413A3" w:rsidRPr="003E3FBE" w:rsidRDefault="00F413A3" w:rsidP="00480559">
            <w:pPr>
              <w:spacing w:after="0" w:line="240" w:lineRule="auto"/>
              <w:jc w:val="center"/>
              <w:rPr>
                <w:rFonts w:eastAsia="Times New Roman" w:cs="Calibri"/>
                <w:color w:val="FFFFFF"/>
                <w:szCs w:val="18"/>
                <w:lang w:eastAsia="hr-HR"/>
              </w:rPr>
            </w:pPr>
            <w:r w:rsidRPr="003E3FBE">
              <w:rPr>
                <w:rFonts w:eastAsia="Times New Roman" w:cs="Calibri"/>
                <w:color w:val="FFFFFF"/>
                <w:szCs w:val="18"/>
                <w:lang w:eastAsia="hr-HR"/>
              </w:rPr>
              <w:t>Godina</w:t>
            </w:r>
          </w:p>
        </w:tc>
        <w:tc>
          <w:tcPr>
            <w:tcW w:w="2694" w:type="dxa"/>
            <w:tcBorders>
              <w:top w:val="single" w:sz="4" w:space="0" w:color="auto"/>
              <w:left w:val="nil"/>
              <w:bottom w:val="single" w:sz="4" w:space="0" w:color="auto"/>
              <w:right w:val="single" w:sz="4" w:space="0" w:color="auto"/>
            </w:tcBorders>
            <w:shd w:val="clear" w:color="000000" w:fill="D2232A"/>
            <w:vAlign w:val="center"/>
            <w:hideMark/>
          </w:tcPr>
          <w:p w14:paraId="6320458A" w14:textId="77777777" w:rsidR="00F413A3" w:rsidRPr="003E3FBE" w:rsidRDefault="00F413A3" w:rsidP="00480559">
            <w:pPr>
              <w:spacing w:after="0" w:line="240" w:lineRule="auto"/>
              <w:jc w:val="center"/>
              <w:rPr>
                <w:rFonts w:eastAsia="Times New Roman" w:cs="Calibri"/>
                <w:color w:val="FFFFFF"/>
                <w:szCs w:val="18"/>
                <w:lang w:eastAsia="hr-HR"/>
              </w:rPr>
            </w:pPr>
            <w:r w:rsidRPr="003E3FBE">
              <w:rPr>
                <w:rFonts w:eastAsia="Times New Roman" w:cs="Calibri"/>
                <w:color w:val="FFFFFF"/>
                <w:szCs w:val="18"/>
                <w:lang w:eastAsia="hr-HR"/>
              </w:rPr>
              <w:t>Površine (ha)</w:t>
            </w:r>
          </w:p>
        </w:tc>
        <w:tc>
          <w:tcPr>
            <w:tcW w:w="3118" w:type="dxa"/>
            <w:tcBorders>
              <w:top w:val="single" w:sz="4" w:space="0" w:color="auto"/>
              <w:left w:val="nil"/>
              <w:bottom w:val="single" w:sz="4" w:space="0" w:color="auto"/>
              <w:right w:val="single" w:sz="4" w:space="0" w:color="auto"/>
            </w:tcBorders>
            <w:shd w:val="clear" w:color="000000" w:fill="D2232A"/>
            <w:vAlign w:val="center"/>
            <w:hideMark/>
          </w:tcPr>
          <w:p w14:paraId="6818A3AF" w14:textId="77777777" w:rsidR="00F413A3" w:rsidRPr="003E3FBE" w:rsidRDefault="00F413A3" w:rsidP="00480559">
            <w:pPr>
              <w:spacing w:after="0" w:line="240" w:lineRule="auto"/>
              <w:jc w:val="center"/>
              <w:rPr>
                <w:rFonts w:eastAsia="Times New Roman" w:cs="Calibri"/>
                <w:color w:val="FFFFFF"/>
                <w:szCs w:val="18"/>
                <w:lang w:eastAsia="hr-HR"/>
              </w:rPr>
            </w:pPr>
            <w:r w:rsidRPr="003E3FBE">
              <w:rPr>
                <w:rFonts w:eastAsia="Times New Roman" w:cs="Calibri"/>
                <w:color w:val="FFFFFF"/>
                <w:szCs w:val="18"/>
                <w:lang w:eastAsia="hr-HR"/>
              </w:rPr>
              <w:t>Broj PG-a</w:t>
            </w:r>
          </w:p>
        </w:tc>
      </w:tr>
      <w:tr w:rsidR="00F413A3" w:rsidRPr="003E3FBE" w14:paraId="6FD5CF25" w14:textId="77777777" w:rsidTr="001E3867">
        <w:trPr>
          <w:trHeight w:val="300"/>
        </w:trPr>
        <w:tc>
          <w:tcPr>
            <w:tcW w:w="3402" w:type="dxa"/>
            <w:tcBorders>
              <w:top w:val="nil"/>
              <w:left w:val="single" w:sz="8" w:space="0" w:color="D2232A"/>
              <w:bottom w:val="single" w:sz="8" w:space="0" w:color="F3CFC1"/>
              <w:right w:val="single" w:sz="8" w:space="0" w:color="D2232A"/>
            </w:tcBorders>
            <w:shd w:val="clear" w:color="auto" w:fill="auto"/>
            <w:vAlign w:val="center"/>
            <w:hideMark/>
          </w:tcPr>
          <w:p w14:paraId="5230A3BE" w14:textId="77777777" w:rsidR="00F413A3" w:rsidRPr="003E3FBE" w:rsidRDefault="00F413A3" w:rsidP="00480559">
            <w:pPr>
              <w:spacing w:after="0" w:line="240" w:lineRule="auto"/>
              <w:jc w:val="center"/>
              <w:rPr>
                <w:rFonts w:eastAsia="Times New Roman" w:cs="Calibri"/>
                <w:color w:val="3F3F3F"/>
                <w:szCs w:val="18"/>
                <w:lang w:eastAsia="hr-HR"/>
              </w:rPr>
            </w:pPr>
            <w:r w:rsidRPr="003E3FBE">
              <w:rPr>
                <w:rFonts w:eastAsia="Times New Roman" w:cs="Calibri"/>
                <w:color w:val="3F3F3F"/>
                <w:szCs w:val="18"/>
                <w:lang w:eastAsia="hr-HR"/>
              </w:rPr>
              <w:t>2017.</w:t>
            </w:r>
          </w:p>
        </w:tc>
        <w:tc>
          <w:tcPr>
            <w:tcW w:w="2694" w:type="dxa"/>
            <w:tcBorders>
              <w:top w:val="nil"/>
              <w:left w:val="nil"/>
              <w:bottom w:val="single" w:sz="8" w:space="0" w:color="F3CFC1"/>
              <w:right w:val="single" w:sz="8" w:space="0" w:color="D2232A"/>
            </w:tcBorders>
            <w:shd w:val="clear" w:color="auto" w:fill="auto"/>
            <w:vAlign w:val="center"/>
            <w:hideMark/>
          </w:tcPr>
          <w:p w14:paraId="2F068D76" w14:textId="77777777" w:rsidR="00F413A3" w:rsidRPr="003E3FBE" w:rsidRDefault="00F413A3" w:rsidP="00480559">
            <w:pPr>
              <w:spacing w:after="0" w:line="240" w:lineRule="auto"/>
              <w:jc w:val="right"/>
              <w:rPr>
                <w:rFonts w:eastAsia="Times New Roman" w:cs="Calibri"/>
                <w:color w:val="3F3F3F"/>
                <w:szCs w:val="18"/>
                <w:lang w:eastAsia="hr-HR"/>
              </w:rPr>
            </w:pPr>
            <w:r w:rsidRPr="003E3FBE">
              <w:rPr>
                <w:rFonts w:eastAsia="Times New Roman" w:cs="Calibri"/>
                <w:color w:val="3F3F3F"/>
                <w:szCs w:val="18"/>
                <w:lang w:eastAsia="hr-HR"/>
              </w:rPr>
              <w:t>435,33</w:t>
            </w:r>
          </w:p>
        </w:tc>
        <w:tc>
          <w:tcPr>
            <w:tcW w:w="3118" w:type="dxa"/>
            <w:tcBorders>
              <w:top w:val="nil"/>
              <w:left w:val="nil"/>
              <w:bottom w:val="single" w:sz="8" w:space="0" w:color="F3CFC1"/>
              <w:right w:val="single" w:sz="8" w:space="0" w:color="D2232A"/>
            </w:tcBorders>
            <w:shd w:val="clear" w:color="auto" w:fill="auto"/>
            <w:vAlign w:val="center"/>
            <w:hideMark/>
          </w:tcPr>
          <w:p w14:paraId="296DAEC0" w14:textId="77777777" w:rsidR="00F413A3" w:rsidRPr="003E3FBE" w:rsidRDefault="00F413A3" w:rsidP="00480559">
            <w:pPr>
              <w:spacing w:after="0" w:line="240" w:lineRule="auto"/>
              <w:jc w:val="right"/>
              <w:rPr>
                <w:rFonts w:eastAsia="Times New Roman" w:cs="Calibri"/>
                <w:color w:val="3F3F3F"/>
                <w:szCs w:val="18"/>
                <w:lang w:eastAsia="hr-HR"/>
              </w:rPr>
            </w:pPr>
            <w:r w:rsidRPr="003E3FBE">
              <w:rPr>
                <w:rFonts w:eastAsia="Times New Roman" w:cs="Calibri"/>
                <w:color w:val="3F3F3F"/>
                <w:szCs w:val="18"/>
                <w:lang w:eastAsia="hr-HR"/>
              </w:rPr>
              <w:t>4345</w:t>
            </w:r>
          </w:p>
        </w:tc>
      </w:tr>
      <w:tr w:rsidR="00F413A3" w:rsidRPr="003E3FBE" w14:paraId="6331F61C" w14:textId="77777777" w:rsidTr="001E3867">
        <w:trPr>
          <w:trHeight w:val="300"/>
        </w:trPr>
        <w:tc>
          <w:tcPr>
            <w:tcW w:w="3402" w:type="dxa"/>
            <w:tcBorders>
              <w:top w:val="nil"/>
              <w:left w:val="single" w:sz="8" w:space="0" w:color="D2232A"/>
              <w:bottom w:val="single" w:sz="8" w:space="0" w:color="F3CFC1"/>
              <w:right w:val="single" w:sz="8" w:space="0" w:color="D2232A"/>
            </w:tcBorders>
            <w:shd w:val="clear" w:color="auto" w:fill="auto"/>
            <w:vAlign w:val="center"/>
            <w:hideMark/>
          </w:tcPr>
          <w:p w14:paraId="78789EA5" w14:textId="77777777" w:rsidR="00F413A3" w:rsidRPr="003E3FBE" w:rsidRDefault="00F413A3" w:rsidP="00480559">
            <w:pPr>
              <w:spacing w:after="0" w:line="240" w:lineRule="auto"/>
              <w:jc w:val="center"/>
              <w:rPr>
                <w:rFonts w:eastAsia="Times New Roman" w:cs="Calibri"/>
                <w:color w:val="3F3F3F"/>
                <w:szCs w:val="18"/>
                <w:lang w:eastAsia="hr-HR"/>
              </w:rPr>
            </w:pPr>
            <w:r w:rsidRPr="003E3FBE">
              <w:rPr>
                <w:rFonts w:eastAsia="Times New Roman" w:cs="Calibri"/>
                <w:color w:val="3F3F3F"/>
                <w:szCs w:val="18"/>
                <w:lang w:eastAsia="hr-HR"/>
              </w:rPr>
              <w:t>2018.</w:t>
            </w:r>
          </w:p>
        </w:tc>
        <w:tc>
          <w:tcPr>
            <w:tcW w:w="2694" w:type="dxa"/>
            <w:tcBorders>
              <w:top w:val="nil"/>
              <w:left w:val="nil"/>
              <w:bottom w:val="single" w:sz="8" w:space="0" w:color="F3CFC1"/>
              <w:right w:val="single" w:sz="8" w:space="0" w:color="D2232A"/>
            </w:tcBorders>
            <w:shd w:val="clear" w:color="auto" w:fill="auto"/>
            <w:vAlign w:val="center"/>
            <w:hideMark/>
          </w:tcPr>
          <w:p w14:paraId="466B28D6" w14:textId="77777777" w:rsidR="00F413A3" w:rsidRPr="003E3FBE" w:rsidRDefault="00F413A3" w:rsidP="00480559">
            <w:pPr>
              <w:spacing w:after="0" w:line="240" w:lineRule="auto"/>
              <w:jc w:val="right"/>
              <w:rPr>
                <w:rFonts w:eastAsia="Times New Roman" w:cs="Calibri"/>
                <w:color w:val="3F3F3F"/>
                <w:szCs w:val="18"/>
                <w:lang w:eastAsia="hr-HR"/>
              </w:rPr>
            </w:pPr>
            <w:r w:rsidRPr="003E3FBE">
              <w:rPr>
                <w:rFonts w:eastAsia="Times New Roman" w:cs="Calibri"/>
                <w:color w:val="3F3F3F"/>
                <w:szCs w:val="18"/>
                <w:lang w:eastAsia="hr-HR"/>
              </w:rPr>
              <w:t>470,00</w:t>
            </w:r>
          </w:p>
        </w:tc>
        <w:tc>
          <w:tcPr>
            <w:tcW w:w="3118" w:type="dxa"/>
            <w:tcBorders>
              <w:top w:val="nil"/>
              <w:left w:val="nil"/>
              <w:bottom w:val="single" w:sz="8" w:space="0" w:color="F3CFC1"/>
              <w:right w:val="single" w:sz="8" w:space="0" w:color="D2232A"/>
            </w:tcBorders>
            <w:shd w:val="clear" w:color="auto" w:fill="auto"/>
            <w:vAlign w:val="center"/>
            <w:hideMark/>
          </w:tcPr>
          <w:p w14:paraId="180A6E30" w14:textId="77777777" w:rsidR="00F413A3" w:rsidRPr="003E3FBE" w:rsidRDefault="00F413A3" w:rsidP="00480559">
            <w:pPr>
              <w:spacing w:after="0" w:line="240" w:lineRule="auto"/>
              <w:jc w:val="right"/>
              <w:rPr>
                <w:rFonts w:eastAsia="Times New Roman" w:cs="Calibri"/>
                <w:color w:val="3F3F3F"/>
                <w:szCs w:val="18"/>
                <w:lang w:eastAsia="hr-HR"/>
              </w:rPr>
            </w:pPr>
            <w:r w:rsidRPr="003E3FBE">
              <w:rPr>
                <w:rFonts w:eastAsia="Times New Roman" w:cs="Calibri"/>
                <w:color w:val="3F3F3F"/>
                <w:szCs w:val="18"/>
                <w:lang w:eastAsia="hr-HR"/>
              </w:rPr>
              <w:t>4051</w:t>
            </w:r>
          </w:p>
        </w:tc>
      </w:tr>
      <w:tr w:rsidR="00F413A3" w:rsidRPr="003E3FBE" w14:paraId="536D90AE" w14:textId="77777777" w:rsidTr="001E3867">
        <w:trPr>
          <w:trHeight w:val="300"/>
        </w:trPr>
        <w:tc>
          <w:tcPr>
            <w:tcW w:w="3402" w:type="dxa"/>
            <w:tcBorders>
              <w:top w:val="nil"/>
              <w:left w:val="single" w:sz="8" w:space="0" w:color="D2232A"/>
              <w:bottom w:val="single" w:sz="8" w:space="0" w:color="F3CFC1"/>
              <w:right w:val="single" w:sz="8" w:space="0" w:color="D2232A"/>
            </w:tcBorders>
            <w:shd w:val="clear" w:color="auto" w:fill="auto"/>
            <w:vAlign w:val="center"/>
            <w:hideMark/>
          </w:tcPr>
          <w:p w14:paraId="0EBB85BD" w14:textId="77777777" w:rsidR="00F413A3" w:rsidRPr="003E3FBE" w:rsidRDefault="00F413A3" w:rsidP="00480559">
            <w:pPr>
              <w:spacing w:after="0" w:line="240" w:lineRule="auto"/>
              <w:jc w:val="center"/>
              <w:rPr>
                <w:rFonts w:eastAsia="Times New Roman" w:cs="Calibri"/>
                <w:color w:val="3F3F3F"/>
                <w:szCs w:val="18"/>
                <w:lang w:eastAsia="hr-HR"/>
              </w:rPr>
            </w:pPr>
            <w:r w:rsidRPr="003E3FBE">
              <w:rPr>
                <w:rFonts w:eastAsia="Times New Roman" w:cs="Calibri"/>
                <w:color w:val="3F3F3F"/>
                <w:szCs w:val="18"/>
                <w:lang w:eastAsia="hr-HR"/>
              </w:rPr>
              <w:t>2019.</w:t>
            </w:r>
          </w:p>
        </w:tc>
        <w:tc>
          <w:tcPr>
            <w:tcW w:w="2694" w:type="dxa"/>
            <w:tcBorders>
              <w:top w:val="nil"/>
              <w:left w:val="nil"/>
              <w:bottom w:val="single" w:sz="8" w:space="0" w:color="F3CFC1"/>
              <w:right w:val="single" w:sz="8" w:space="0" w:color="D2232A"/>
            </w:tcBorders>
            <w:shd w:val="clear" w:color="auto" w:fill="auto"/>
            <w:vAlign w:val="center"/>
            <w:hideMark/>
          </w:tcPr>
          <w:p w14:paraId="4B0656E9" w14:textId="77777777" w:rsidR="00F413A3" w:rsidRPr="003E3FBE" w:rsidRDefault="00F413A3" w:rsidP="00480559">
            <w:pPr>
              <w:spacing w:after="0" w:line="240" w:lineRule="auto"/>
              <w:jc w:val="right"/>
              <w:rPr>
                <w:rFonts w:eastAsia="Times New Roman" w:cs="Calibri"/>
                <w:color w:val="3F3F3F"/>
                <w:szCs w:val="18"/>
                <w:lang w:eastAsia="hr-HR"/>
              </w:rPr>
            </w:pPr>
            <w:r w:rsidRPr="003E3FBE">
              <w:rPr>
                <w:rFonts w:eastAsia="Times New Roman" w:cs="Calibri"/>
                <w:color w:val="3F3F3F"/>
                <w:szCs w:val="18"/>
                <w:lang w:eastAsia="hr-HR"/>
              </w:rPr>
              <w:t>462,31</w:t>
            </w:r>
          </w:p>
        </w:tc>
        <w:tc>
          <w:tcPr>
            <w:tcW w:w="3118" w:type="dxa"/>
            <w:tcBorders>
              <w:top w:val="nil"/>
              <w:left w:val="nil"/>
              <w:bottom w:val="single" w:sz="8" w:space="0" w:color="F3CFC1"/>
              <w:right w:val="single" w:sz="8" w:space="0" w:color="D2232A"/>
            </w:tcBorders>
            <w:shd w:val="clear" w:color="auto" w:fill="auto"/>
            <w:vAlign w:val="center"/>
            <w:hideMark/>
          </w:tcPr>
          <w:p w14:paraId="4D410BC6" w14:textId="77777777" w:rsidR="00F413A3" w:rsidRPr="003E3FBE" w:rsidRDefault="00F413A3" w:rsidP="00480559">
            <w:pPr>
              <w:spacing w:after="0" w:line="240" w:lineRule="auto"/>
              <w:jc w:val="right"/>
              <w:rPr>
                <w:rFonts w:eastAsia="Times New Roman" w:cs="Calibri"/>
                <w:color w:val="3F3F3F"/>
                <w:szCs w:val="18"/>
                <w:lang w:eastAsia="hr-HR"/>
              </w:rPr>
            </w:pPr>
            <w:r w:rsidRPr="003E3FBE">
              <w:rPr>
                <w:rFonts w:eastAsia="Times New Roman" w:cs="Calibri"/>
                <w:color w:val="3F3F3F"/>
                <w:szCs w:val="18"/>
                <w:lang w:eastAsia="hr-HR"/>
              </w:rPr>
              <w:t>4150</w:t>
            </w:r>
          </w:p>
        </w:tc>
      </w:tr>
    </w:tbl>
    <w:p w14:paraId="2D5456AD" w14:textId="77777777" w:rsidR="00F413A3" w:rsidRPr="000D5420" w:rsidRDefault="00F413A3" w:rsidP="000D5420">
      <w:pPr>
        <w:pStyle w:val="Izvor"/>
        <w:rPr>
          <w:i/>
          <w:color w:val="ABABAB" w:themeColor="text1" w:themeTint="A6"/>
          <w:sz w:val="16"/>
          <w:szCs w:val="16"/>
        </w:rPr>
      </w:pPr>
      <w:r w:rsidRPr="000D5420">
        <w:rPr>
          <w:i/>
          <w:color w:val="ABABAB" w:themeColor="text1" w:themeTint="A6"/>
          <w:sz w:val="16"/>
          <w:szCs w:val="16"/>
        </w:rPr>
        <w:t>Izvor: APPRRR, obrada: Krapinsko-zagorska županija</w:t>
      </w:r>
    </w:p>
    <w:p w14:paraId="178E012B" w14:textId="77777777" w:rsidR="00F413A3" w:rsidRDefault="00F413A3" w:rsidP="00F413A3"/>
    <w:p w14:paraId="3DCF8BB0" w14:textId="14D6D765" w:rsidR="00F413A3" w:rsidRDefault="00F413A3" w:rsidP="000D5420">
      <w:pPr>
        <w:pStyle w:val="Opisslike"/>
      </w:pPr>
      <w:r w:rsidRPr="000D5420">
        <w:t xml:space="preserve">Tablica </w:t>
      </w:r>
      <w:r w:rsidR="00F40204" w:rsidRPr="000D5420">
        <w:t>1</w:t>
      </w:r>
      <w:r w:rsidR="000D5420">
        <w:t>62</w:t>
      </w:r>
      <w:r w:rsidRPr="000D5420">
        <w:t xml:space="preserve">. Proizvodne </w:t>
      </w:r>
      <w:r w:rsidRPr="0025588B">
        <w:t>površine s cvijećem u staklenicima na oranici i broj PG-a, 2017.</w:t>
      </w:r>
      <w:r w:rsidR="00A43499">
        <w:t xml:space="preserve"> </w:t>
      </w:r>
      <w:r w:rsidRPr="0025588B">
        <w:t>-</w:t>
      </w:r>
      <w:r w:rsidR="00A43499">
        <w:t xml:space="preserve"> </w:t>
      </w:r>
      <w:r w:rsidRPr="0025588B">
        <w:t>2019.</w:t>
      </w:r>
    </w:p>
    <w:tbl>
      <w:tblPr>
        <w:tblW w:w="9214" w:type="dxa"/>
        <w:tblInd w:w="-5" w:type="dxa"/>
        <w:tblLook w:val="04A0" w:firstRow="1" w:lastRow="0" w:firstColumn="1" w:lastColumn="0" w:noHBand="0" w:noVBand="1"/>
      </w:tblPr>
      <w:tblGrid>
        <w:gridCol w:w="3402"/>
        <w:gridCol w:w="2694"/>
        <w:gridCol w:w="3118"/>
      </w:tblGrid>
      <w:tr w:rsidR="00F413A3" w:rsidRPr="0025588B" w14:paraId="0C214358" w14:textId="77777777" w:rsidTr="000D5420">
        <w:trPr>
          <w:trHeight w:val="456"/>
        </w:trPr>
        <w:tc>
          <w:tcPr>
            <w:tcW w:w="3402"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5E2EBA33" w14:textId="77777777" w:rsidR="00F413A3" w:rsidRPr="0025588B" w:rsidRDefault="00F413A3" w:rsidP="00480559">
            <w:pPr>
              <w:spacing w:after="0" w:line="240" w:lineRule="auto"/>
              <w:jc w:val="center"/>
              <w:rPr>
                <w:rFonts w:eastAsia="Times New Roman" w:cs="Calibri"/>
                <w:color w:val="FFFFFF"/>
                <w:szCs w:val="18"/>
                <w:lang w:eastAsia="hr-HR"/>
              </w:rPr>
            </w:pPr>
            <w:r w:rsidRPr="0025588B">
              <w:rPr>
                <w:rFonts w:eastAsia="Times New Roman" w:cs="Calibri"/>
                <w:color w:val="FFFFFF"/>
                <w:szCs w:val="18"/>
                <w:lang w:eastAsia="hr-HR"/>
              </w:rPr>
              <w:t>Godina</w:t>
            </w:r>
          </w:p>
        </w:tc>
        <w:tc>
          <w:tcPr>
            <w:tcW w:w="2694" w:type="dxa"/>
            <w:tcBorders>
              <w:top w:val="single" w:sz="4" w:space="0" w:color="auto"/>
              <w:left w:val="nil"/>
              <w:bottom w:val="single" w:sz="4" w:space="0" w:color="auto"/>
              <w:right w:val="single" w:sz="4" w:space="0" w:color="auto"/>
            </w:tcBorders>
            <w:shd w:val="clear" w:color="000000" w:fill="D2232A"/>
            <w:vAlign w:val="center"/>
            <w:hideMark/>
          </w:tcPr>
          <w:p w14:paraId="41AA1982" w14:textId="77777777" w:rsidR="00F413A3" w:rsidRPr="0025588B" w:rsidRDefault="00F413A3" w:rsidP="00480559">
            <w:pPr>
              <w:spacing w:after="0" w:line="240" w:lineRule="auto"/>
              <w:jc w:val="center"/>
              <w:rPr>
                <w:rFonts w:eastAsia="Times New Roman" w:cs="Calibri"/>
                <w:color w:val="FFFFFF"/>
                <w:szCs w:val="18"/>
                <w:lang w:eastAsia="hr-HR"/>
              </w:rPr>
            </w:pPr>
            <w:r w:rsidRPr="0025588B">
              <w:rPr>
                <w:rFonts w:eastAsia="Times New Roman" w:cs="Calibri"/>
                <w:color w:val="FFFFFF"/>
                <w:szCs w:val="18"/>
                <w:lang w:eastAsia="hr-HR"/>
              </w:rPr>
              <w:t>Površine (ha)</w:t>
            </w:r>
          </w:p>
        </w:tc>
        <w:tc>
          <w:tcPr>
            <w:tcW w:w="3118" w:type="dxa"/>
            <w:tcBorders>
              <w:top w:val="single" w:sz="4" w:space="0" w:color="auto"/>
              <w:left w:val="nil"/>
              <w:bottom w:val="single" w:sz="4" w:space="0" w:color="auto"/>
              <w:right w:val="single" w:sz="4" w:space="0" w:color="auto"/>
            </w:tcBorders>
            <w:shd w:val="clear" w:color="000000" w:fill="D2232A"/>
            <w:vAlign w:val="center"/>
            <w:hideMark/>
          </w:tcPr>
          <w:p w14:paraId="35A1680B" w14:textId="77777777" w:rsidR="00F413A3" w:rsidRPr="0025588B" w:rsidRDefault="00F413A3" w:rsidP="00480559">
            <w:pPr>
              <w:spacing w:after="0" w:line="240" w:lineRule="auto"/>
              <w:jc w:val="center"/>
              <w:rPr>
                <w:rFonts w:eastAsia="Times New Roman" w:cs="Calibri"/>
                <w:color w:val="FFFFFF"/>
                <w:szCs w:val="18"/>
                <w:lang w:eastAsia="hr-HR"/>
              </w:rPr>
            </w:pPr>
            <w:r w:rsidRPr="0025588B">
              <w:rPr>
                <w:rFonts w:eastAsia="Times New Roman" w:cs="Calibri"/>
                <w:color w:val="FFFFFF"/>
                <w:szCs w:val="18"/>
                <w:lang w:eastAsia="hr-HR"/>
              </w:rPr>
              <w:t>Broj PG-a</w:t>
            </w:r>
          </w:p>
        </w:tc>
      </w:tr>
      <w:tr w:rsidR="00F413A3" w:rsidRPr="0025588B" w14:paraId="53777424" w14:textId="77777777" w:rsidTr="000D5420">
        <w:trPr>
          <w:trHeight w:val="300"/>
        </w:trPr>
        <w:tc>
          <w:tcPr>
            <w:tcW w:w="3402" w:type="dxa"/>
            <w:tcBorders>
              <w:top w:val="nil"/>
              <w:left w:val="single" w:sz="8" w:space="0" w:color="D2232A"/>
              <w:bottom w:val="single" w:sz="8" w:space="0" w:color="F3CFC1"/>
              <w:right w:val="single" w:sz="8" w:space="0" w:color="D2232A"/>
            </w:tcBorders>
            <w:shd w:val="clear" w:color="auto" w:fill="auto"/>
            <w:vAlign w:val="center"/>
            <w:hideMark/>
          </w:tcPr>
          <w:p w14:paraId="7321362C" w14:textId="77777777" w:rsidR="00F413A3" w:rsidRPr="0025588B" w:rsidRDefault="00F413A3" w:rsidP="00480559">
            <w:pPr>
              <w:spacing w:after="0" w:line="240" w:lineRule="auto"/>
              <w:jc w:val="center"/>
              <w:rPr>
                <w:rFonts w:eastAsia="Times New Roman" w:cs="Calibri"/>
                <w:color w:val="3F3F3F"/>
                <w:szCs w:val="18"/>
                <w:lang w:eastAsia="hr-HR"/>
              </w:rPr>
            </w:pPr>
            <w:r w:rsidRPr="0025588B">
              <w:rPr>
                <w:rFonts w:eastAsia="Times New Roman" w:cs="Calibri"/>
                <w:color w:val="3F3F3F"/>
                <w:szCs w:val="18"/>
                <w:lang w:eastAsia="hr-HR"/>
              </w:rPr>
              <w:t>2017.</w:t>
            </w:r>
          </w:p>
        </w:tc>
        <w:tc>
          <w:tcPr>
            <w:tcW w:w="2694" w:type="dxa"/>
            <w:tcBorders>
              <w:top w:val="nil"/>
              <w:left w:val="nil"/>
              <w:bottom w:val="single" w:sz="8" w:space="0" w:color="F3CFC1"/>
              <w:right w:val="single" w:sz="8" w:space="0" w:color="D2232A"/>
            </w:tcBorders>
            <w:shd w:val="clear" w:color="auto" w:fill="auto"/>
            <w:vAlign w:val="center"/>
            <w:hideMark/>
          </w:tcPr>
          <w:p w14:paraId="5C282075" w14:textId="77777777" w:rsidR="00F413A3" w:rsidRPr="0025588B" w:rsidRDefault="00F413A3" w:rsidP="00480559">
            <w:pPr>
              <w:spacing w:after="0" w:line="240" w:lineRule="auto"/>
              <w:jc w:val="right"/>
              <w:rPr>
                <w:rFonts w:eastAsia="Times New Roman" w:cs="Calibri"/>
                <w:color w:val="3F3F3F"/>
                <w:szCs w:val="18"/>
                <w:lang w:eastAsia="hr-HR"/>
              </w:rPr>
            </w:pPr>
            <w:r w:rsidRPr="0025588B">
              <w:rPr>
                <w:rFonts w:eastAsia="Times New Roman" w:cs="Calibri"/>
                <w:color w:val="3F3F3F"/>
                <w:szCs w:val="18"/>
                <w:lang w:eastAsia="hr-HR"/>
              </w:rPr>
              <w:t>2,28</w:t>
            </w:r>
          </w:p>
        </w:tc>
        <w:tc>
          <w:tcPr>
            <w:tcW w:w="3118" w:type="dxa"/>
            <w:tcBorders>
              <w:top w:val="nil"/>
              <w:left w:val="nil"/>
              <w:bottom w:val="single" w:sz="8" w:space="0" w:color="F3CFC1"/>
              <w:right w:val="single" w:sz="8" w:space="0" w:color="D2232A"/>
            </w:tcBorders>
            <w:shd w:val="clear" w:color="auto" w:fill="auto"/>
            <w:vAlign w:val="center"/>
            <w:hideMark/>
          </w:tcPr>
          <w:p w14:paraId="0A7206B1" w14:textId="77777777" w:rsidR="00F413A3" w:rsidRPr="0025588B" w:rsidRDefault="00F413A3" w:rsidP="00480559">
            <w:pPr>
              <w:spacing w:after="0" w:line="240" w:lineRule="auto"/>
              <w:jc w:val="right"/>
              <w:rPr>
                <w:rFonts w:eastAsia="Times New Roman" w:cs="Calibri"/>
                <w:color w:val="3F3F3F"/>
                <w:szCs w:val="18"/>
                <w:lang w:eastAsia="hr-HR"/>
              </w:rPr>
            </w:pPr>
            <w:r w:rsidRPr="0025588B">
              <w:rPr>
                <w:rFonts w:eastAsia="Times New Roman" w:cs="Calibri"/>
                <w:color w:val="3F3F3F"/>
                <w:szCs w:val="18"/>
                <w:lang w:eastAsia="hr-HR"/>
              </w:rPr>
              <w:t>12</w:t>
            </w:r>
          </w:p>
        </w:tc>
      </w:tr>
      <w:tr w:rsidR="00F413A3" w:rsidRPr="0025588B" w14:paraId="199BE90D" w14:textId="77777777" w:rsidTr="000D5420">
        <w:trPr>
          <w:trHeight w:val="300"/>
        </w:trPr>
        <w:tc>
          <w:tcPr>
            <w:tcW w:w="3402" w:type="dxa"/>
            <w:tcBorders>
              <w:top w:val="nil"/>
              <w:left w:val="single" w:sz="8" w:space="0" w:color="D2232A"/>
              <w:bottom w:val="single" w:sz="8" w:space="0" w:color="F3CFC1"/>
              <w:right w:val="single" w:sz="8" w:space="0" w:color="D2232A"/>
            </w:tcBorders>
            <w:shd w:val="clear" w:color="auto" w:fill="auto"/>
            <w:vAlign w:val="center"/>
            <w:hideMark/>
          </w:tcPr>
          <w:p w14:paraId="28AF59A1" w14:textId="77777777" w:rsidR="00F413A3" w:rsidRPr="0025588B" w:rsidRDefault="00F413A3" w:rsidP="00480559">
            <w:pPr>
              <w:spacing w:after="0" w:line="240" w:lineRule="auto"/>
              <w:jc w:val="center"/>
              <w:rPr>
                <w:rFonts w:eastAsia="Times New Roman" w:cs="Calibri"/>
                <w:color w:val="3F3F3F"/>
                <w:szCs w:val="18"/>
                <w:lang w:eastAsia="hr-HR"/>
              </w:rPr>
            </w:pPr>
            <w:r w:rsidRPr="0025588B">
              <w:rPr>
                <w:rFonts w:eastAsia="Times New Roman" w:cs="Calibri"/>
                <w:color w:val="3F3F3F"/>
                <w:szCs w:val="18"/>
                <w:lang w:eastAsia="hr-HR"/>
              </w:rPr>
              <w:t>2018.</w:t>
            </w:r>
          </w:p>
        </w:tc>
        <w:tc>
          <w:tcPr>
            <w:tcW w:w="2694" w:type="dxa"/>
            <w:tcBorders>
              <w:top w:val="nil"/>
              <w:left w:val="nil"/>
              <w:bottom w:val="single" w:sz="8" w:space="0" w:color="F3CFC1"/>
              <w:right w:val="single" w:sz="8" w:space="0" w:color="D2232A"/>
            </w:tcBorders>
            <w:shd w:val="clear" w:color="auto" w:fill="auto"/>
            <w:vAlign w:val="center"/>
            <w:hideMark/>
          </w:tcPr>
          <w:p w14:paraId="6A0E3314" w14:textId="77777777" w:rsidR="00F413A3" w:rsidRPr="0025588B" w:rsidRDefault="00F413A3" w:rsidP="00480559">
            <w:pPr>
              <w:spacing w:after="0" w:line="240" w:lineRule="auto"/>
              <w:jc w:val="right"/>
              <w:rPr>
                <w:rFonts w:eastAsia="Times New Roman" w:cs="Calibri"/>
                <w:color w:val="3F3F3F"/>
                <w:szCs w:val="18"/>
                <w:lang w:eastAsia="hr-HR"/>
              </w:rPr>
            </w:pPr>
            <w:r w:rsidRPr="0025588B">
              <w:rPr>
                <w:rFonts w:eastAsia="Times New Roman" w:cs="Calibri"/>
                <w:color w:val="3F3F3F"/>
                <w:szCs w:val="18"/>
                <w:lang w:eastAsia="hr-HR"/>
              </w:rPr>
              <w:t>5,82</w:t>
            </w:r>
          </w:p>
        </w:tc>
        <w:tc>
          <w:tcPr>
            <w:tcW w:w="3118" w:type="dxa"/>
            <w:tcBorders>
              <w:top w:val="nil"/>
              <w:left w:val="nil"/>
              <w:bottom w:val="single" w:sz="8" w:space="0" w:color="F3CFC1"/>
              <w:right w:val="single" w:sz="8" w:space="0" w:color="D2232A"/>
            </w:tcBorders>
            <w:shd w:val="clear" w:color="auto" w:fill="auto"/>
            <w:vAlign w:val="center"/>
            <w:hideMark/>
          </w:tcPr>
          <w:p w14:paraId="3DCA6BF2" w14:textId="77777777" w:rsidR="00F413A3" w:rsidRPr="0025588B" w:rsidRDefault="00F413A3" w:rsidP="00480559">
            <w:pPr>
              <w:spacing w:after="0" w:line="240" w:lineRule="auto"/>
              <w:jc w:val="right"/>
              <w:rPr>
                <w:rFonts w:eastAsia="Times New Roman" w:cs="Calibri"/>
                <w:color w:val="3F3F3F"/>
                <w:szCs w:val="18"/>
                <w:lang w:eastAsia="hr-HR"/>
              </w:rPr>
            </w:pPr>
            <w:r w:rsidRPr="0025588B">
              <w:rPr>
                <w:rFonts w:eastAsia="Times New Roman" w:cs="Calibri"/>
                <w:color w:val="3F3F3F"/>
                <w:szCs w:val="18"/>
                <w:lang w:eastAsia="hr-HR"/>
              </w:rPr>
              <w:t>19</w:t>
            </w:r>
          </w:p>
        </w:tc>
      </w:tr>
      <w:tr w:rsidR="00F413A3" w:rsidRPr="0025588B" w14:paraId="0CC20D39" w14:textId="77777777" w:rsidTr="000D5420">
        <w:trPr>
          <w:trHeight w:val="300"/>
        </w:trPr>
        <w:tc>
          <w:tcPr>
            <w:tcW w:w="3402" w:type="dxa"/>
            <w:tcBorders>
              <w:top w:val="nil"/>
              <w:left w:val="single" w:sz="8" w:space="0" w:color="D2232A"/>
              <w:bottom w:val="single" w:sz="8" w:space="0" w:color="F3CFC1"/>
              <w:right w:val="single" w:sz="8" w:space="0" w:color="D2232A"/>
            </w:tcBorders>
            <w:shd w:val="clear" w:color="auto" w:fill="auto"/>
            <w:vAlign w:val="center"/>
            <w:hideMark/>
          </w:tcPr>
          <w:p w14:paraId="0D484BCD" w14:textId="77777777" w:rsidR="00F413A3" w:rsidRPr="0025588B" w:rsidRDefault="00F413A3" w:rsidP="00480559">
            <w:pPr>
              <w:spacing w:after="0" w:line="240" w:lineRule="auto"/>
              <w:jc w:val="center"/>
              <w:rPr>
                <w:rFonts w:eastAsia="Times New Roman" w:cs="Calibri"/>
                <w:color w:val="3F3F3F"/>
                <w:szCs w:val="18"/>
                <w:lang w:eastAsia="hr-HR"/>
              </w:rPr>
            </w:pPr>
            <w:r w:rsidRPr="0025588B">
              <w:rPr>
                <w:rFonts w:eastAsia="Times New Roman" w:cs="Calibri"/>
                <w:color w:val="3F3F3F"/>
                <w:szCs w:val="18"/>
                <w:lang w:eastAsia="hr-HR"/>
              </w:rPr>
              <w:t>2019.</w:t>
            </w:r>
          </w:p>
        </w:tc>
        <w:tc>
          <w:tcPr>
            <w:tcW w:w="2694" w:type="dxa"/>
            <w:tcBorders>
              <w:top w:val="nil"/>
              <w:left w:val="nil"/>
              <w:bottom w:val="single" w:sz="8" w:space="0" w:color="F3CFC1"/>
              <w:right w:val="single" w:sz="8" w:space="0" w:color="D2232A"/>
            </w:tcBorders>
            <w:shd w:val="clear" w:color="auto" w:fill="auto"/>
            <w:vAlign w:val="center"/>
            <w:hideMark/>
          </w:tcPr>
          <w:p w14:paraId="2990B42B" w14:textId="77777777" w:rsidR="00F413A3" w:rsidRPr="0025588B" w:rsidRDefault="00F413A3" w:rsidP="00480559">
            <w:pPr>
              <w:spacing w:after="0" w:line="240" w:lineRule="auto"/>
              <w:jc w:val="right"/>
              <w:rPr>
                <w:rFonts w:eastAsia="Times New Roman" w:cs="Calibri"/>
                <w:color w:val="3F3F3F"/>
                <w:szCs w:val="18"/>
                <w:lang w:eastAsia="hr-HR"/>
              </w:rPr>
            </w:pPr>
            <w:r w:rsidRPr="0025588B">
              <w:rPr>
                <w:rFonts w:eastAsia="Times New Roman" w:cs="Calibri"/>
                <w:color w:val="3F3F3F"/>
                <w:szCs w:val="18"/>
                <w:lang w:eastAsia="hr-HR"/>
              </w:rPr>
              <w:t>7,72</w:t>
            </w:r>
          </w:p>
        </w:tc>
        <w:tc>
          <w:tcPr>
            <w:tcW w:w="3118" w:type="dxa"/>
            <w:tcBorders>
              <w:top w:val="nil"/>
              <w:left w:val="nil"/>
              <w:bottom w:val="single" w:sz="8" w:space="0" w:color="F3CFC1"/>
              <w:right w:val="single" w:sz="8" w:space="0" w:color="D2232A"/>
            </w:tcBorders>
            <w:shd w:val="clear" w:color="auto" w:fill="auto"/>
            <w:vAlign w:val="center"/>
            <w:hideMark/>
          </w:tcPr>
          <w:p w14:paraId="2F5C8E0B" w14:textId="77777777" w:rsidR="00F413A3" w:rsidRPr="0025588B" w:rsidRDefault="00F413A3" w:rsidP="00480559">
            <w:pPr>
              <w:spacing w:after="0" w:line="240" w:lineRule="auto"/>
              <w:jc w:val="right"/>
              <w:rPr>
                <w:rFonts w:eastAsia="Times New Roman" w:cs="Calibri"/>
                <w:color w:val="3F3F3F"/>
                <w:szCs w:val="18"/>
                <w:lang w:eastAsia="hr-HR"/>
              </w:rPr>
            </w:pPr>
            <w:r w:rsidRPr="0025588B">
              <w:rPr>
                <w:rFonts w:eastAsia="Times New Roman" w:cs="Calibri"/>
                <w:color w:val="3F3F3F"/>
                <w:szCs w:val="18"/>
                <w:lang w:eastAsia="hr-HR"/>
              </w:rPr>
              <w:t>19</w:t>
            </w:r>
          </w:p>
        </w:tc>
      </w:tr>
    </w:tbl>
    <w:p w14:paraId="0B81F34A" w14:textId="07CB8290" w:rsidR="00F413A3" w:rsidRDefault="00F413A3" w:rsidP="000D5420">
      <w:pPr>
        <w:pStyle w:val="Izvor"/>
        <w:rPr>
          <w:i/>
          <w:color w:val="ABABAB" w:themeColor="text1" w:themeTint="A6"/>
          <w:sz w:val="16"/>
          <w:szCs w:val="16"/>
        </w:rPr>
      </w:pPr>
      <w:r w:rsidRPr="000D5420">
        <w:rPr>
          <w:i/>
          <w:color w:val="ABABAB" w:themeColor="text1" w:themeTint="A6"/>
          <w:sz w:val="16"/>
          <w:szCs w:val="16"/>
        </w:rPr>
        <w:t>Izvor: APPRRR, obrada: Krapinsko-zagorska županija</w:t>
      </w:r>
    </w:p>
    <w:p w14:paraId="255C799F" w14:textId="77777777" w:rsidR="000D5420" w:rsidRPr="000D5420" w:rsidRDefault="000D5420" w:rsidP="000D5420">
      <w:pPr>
        <w:pStyle w:val="Izvor"/>
        <w:rPr>
          <w:i/>
          <w:color w:val="ABABAB" w:themeColor="text1" w:themeTint="A6"/>
          <w:sz w:val="16"/>
          <w:szCs w:val="16"/>
        </w:rPr>
      </w:pPr>
    </w:p>
    <w:p w14:paraId="2FD12D99" w14:textId="28BC16B8" w:rsidR="00CF50C7" w:rsidRDefault="00F413A3" w:rsidP="00D11A7A">
      <w:r>
        <w:t>Podaci u tablici pokazuju kako se u promatranom razdoblju kontinuirano povećava broj površina s cvijećem u staklenicima na oranici, dok se broj poljoprivrednih gospodarstva nakon povećanja u 2018. nije mijenjao.</w:t>
      </w:r>
    </w:p>
    <w:p w14:paraId="52C05507" w14:textId="77777777" w:rsidR="00D11A7A" w:rsidRDefault="00D11A7A" w:rsidP="00D11A7A"/>
    <w:p w14:paraId="76930D1A" w14:textId="72E89718" w:rsidR="008878A0" w:rsidRDefault="003952B9" w:rsidP="0052192B">
      <w:pPr>
        <w:pStyle w:val="Naslov2"/>
      </w:pPr>
      <w:bookmarkStart w:id="206" w:name="_Toc85181359"/>
      <w:r>
        <w:t>1</w:t>
      </w:r>
      <w:r w:rsidR="00B601EE">
        <w:t>2</w:t>
      </w:r>
      <w:r w:rsidR="008878A0">
        <w:t>.</w:t>
      </w:r>
      <w:r w:rsidR="00CF50C7">
        <w:t>4</w:t>
      </w:r>
      <w:r w:rsidR="008878A0">
        <w:t>. Stočarska proizvodnja</w:t>
      </w:r>
      <w:bookmarkEnd w:id="206"/>
      <w:r w:rsidR="008878A0">
        <w:t xml:space="preserve"> </w:t>
      </w:r>
      <w:r w:rsidR="008878A0">
        <w:br/>
      </w:r>
    </w:p>
    <w:p w14:paraId="256D6835" w14:textId="3EE32A13" w:rsidR="00DD670B" w:rsidRDefault="008878A0" w:rsidP="00CA3263">
      <w:pPr>
        <w:spacing w:line="283" w:lineRule="auto"/>
        <w:ind w:right="232"/>
        <w:rPr>
          <w:rFonts w:eastAsia="Arial Narrow" w:cstheme="minorHAnsi"/>
        </w:rPr>
      </w:pPr>
      <w:r>
        <w:rPr>
          <w:rFonts w:eastAsia="Arial Narrow" w:cstheme="minorHAnsi"/>
          <w:spacing w:val="-1"/>
        </w:rPr>
        <w:t>S</w:t>
      </w:r>
      <w:r>
        <w:rPr>
          <w:rFonts w:eastAsia="Arial Narrow" w:cstheme="minorHAnsi"/>
        </w:rPr>
        <w:t>to</w:t>
      </w:r>
      <w:r>
        <w:rPr>
          <w:rFonts w:eastAsia="Arial Narrow" w:cstheme="minorHAnsi"/>
          <w:spacing w:val="1"/>
        </w:rPr>
        <w:t>č</w:t>
      </w:r>
      <w:r>
        <w:rPr>
          <w:rFonts w:eastAsia="Arial Narrow" w:cstheme="minorHAnsi"/>
        </w:rPr>
        <w:t>ar</w:t>
      </w:r>
      <w:r>
        <w:rPr>
          <w:rFonts w:eastAsia="Arial Narrow" w:cstheme="minorHAnsi"/>
          <w:spacing w:val="1"/>
        </w:rPr>
        <w:t>s</w:t>
      </w:r>
      <w:r>
        <w:rPr>
          <w:rFonts w:eastAsia="Arial Narrow" w:cstheme="minorHAnsi"/>
          <w:spacing w:val="-2"/>
        </w:rPr>
        <w:t>t</w:t>
      </w:r>
      <w:r>
        <w:rPr>
          <w:rFonts w:eastAsia="Arial Narrow" w:cstheme="minorHAnsi"/>
          <w:spacing w:val="1"/>
        </w:rPr>
        <w:t>v</w:t>
      </w:r>
      <w:r>
        <w:rPr>
          <w:rFonts w:eastAsia="Arial Narrow" w:cstheme="minorHAnsi"/>
        </w:rPr>
        <w:t>o</w:t>
      </w:r>
      <w:r>
        <w:rPr>
          <w:rFonts w:eastAsia="Arial Narrow" w:cstheme="minorHAnsi"/>
          <w:spacing w:val="2"/>
        </w:rPr>
        <w:t xml:space="preserve"> </w:t>
      </w:r>
      <w:r>
        <w:rPr>
          <w:rFonts w:eastAsia="Arial Narrow" w:cstheme="minorHAnsi"/>
        </w:rPr>
        <w:t>pre</w:t>
      </w:r>
      <w:r>
        <w:rPr>
          <w:rFonts w:eastAsia="Arial Narrow" w:cstheme="minorHAnsi"/>
          <w:spacing w:val="-2"/>
        </w:rPr>
        <w:t>d</w:t>
      </w:r>
      <w:r>
        <w:rPr>
          <w:rFonts w:eastAsia="Arial Narrow" w:cstheme="minorHAnsi"/>
          <w:spacing w:val="1"/>
        </w:rPr>
        <w:t>s</w:t>
      </w:r>
      <w:r>
        <w:rPr>
          <w:rFonts w:eastAsia="Arial Narrow" w:cstheme="minorHAnsi"/>
        </w:rPr>
        <w:t>ta</w:t>
      </w:r>
      <w:r>
        <w:rPr>
          <w:rFonts w:eastAsia="Arial Narrow" w:cstheme="minorHAnsi"/>
          <w:spacing w:val="-2"/>
        </w:rPr>
        <w:t>v</w:t>
      </w:r>
      <w:r>
        <w:rPr>
          <w:rFonts w:eastAsia="Arial Narrow" w:cstheme="minorHAnsi"/>
          <w:spacing w:val="1"/>
        </w:rPr>
        <w:t>lj</w:t>
      </w:r>
      <w:r>
        <w:rPr>
          <w:rFonts w:eastAsia="Arial Narrow" w:cstheme="minorHAnsi"/>
        </w:rPr>
        <w:t>a</w:t>
      </w:r>
      <w:r>
        <w:rPr>
          <w:rFonts w:eastAsia="Arial Narrow" w:cstheme="minorHAnsi"/>
          <w:spacing w:val="2"/>
        </w:rPr>
        <w:t xml:space="preserve"> </w:t>
      </w:r>
      <w:r>
        <w:rPr>
          <w:rFonts w:eastAsia="Arial Narrow" w:cstheme="minorHAnsi"/>
          <w:spacing w:val="-2"/>
        </w:rPr>
        <w:t>z</w:t>
      </w:r>
      <w:r>
        <w:rPr>
          <w:rFonts w:eastAsia="Arial Narrow" w:cstheme="minorHAnsi"/>
        </w:rPr>
        <w:t>na</w:t>
      </w:r>
      <w:r>
        <w:rPr>
          <w:rFonts w:eastAsia="Arial Narrow" w:cstheme="minorHAnsi"/>
          <w:spacing w:val="1"/>
        </w:rPr>
        <w:t>č</w:t>
      </w:r>
      <w:r>
        <w:rPr>
          <w:rFonts w:eastAsia="Arial Narrow" w:cstheme="minorHAnsi"/>
          <w:spacing w:val="-2"/>
        </w:rPr>
        <w:t>aj</w:t>
      </w:r>
      <w:r>
        <w:rPr>
          <w:rFonts w:eastAsia="Arial Narrow" w:cstheme="minorHAnsi"/>
        </w:rPr>
        <w:t>an</w:t>
      </w:r>
      <w:r>
        <w:rPr>
          <w:rFonts w:eastAsia="Arial Narrow" w:cstheme="minorHAnsi"/>
          <w:spacing w:val="2"/>
        </w:rPr>
        <w:t xml:space="preserve"> </w:t>
      </w:r>
      <w:r>
        <w:rPr>
          <w:rFonts w:eastAsia="Arial Narrow" w:cstheme="minorHAnsi"/>
          <w:spacing w:val="1"/>
        </w:rPr>
        <w:t>s</w:t>
      </w:r>
      <w:r>
        <w:rPr>
          <w:rFonts w:eastAsia="Arial Narrow" w:cstheme="minorHAnsi"/>
        </w:rPr>
        <w:t>eg</w:t>
      </w:r>
      <w:r>
        <w:rPr>
          <w:rFonts w:eastAsia="Arial Narrow" w:cstheme="minorHAnsi"/>
          <w:spacing w:val="-2"/>
        </w:rPr>
        <w:t>m</w:t>
      </w:r>
      <w:r>
        <w:rPr>
          <w:rFonts w:eastAsia="Arial Narrow" w:cstheme="minorHAnsi"/>
        </w:rPr>
        <w:t>ent</w:t>
      </w:r>
      <w:r>
        <w:rPr>
          <w:rFonts w:eastAsia="Arial Narrow" w:cstheme="minorHAnsi"/>
          <w:spacing w:val="2"/>
        </w:rPr>
        <w:t xml:space="preserve"> </w:t>
      </w:r>
      <w:r>
        <w:rPr>
          <w:rFonts w:eastAsia="Arial Narrow" w:cstheme="minorHAnsi"/>
        </w:rPr>
        <w:t>p</w:t>
      </w:r>
      <w:r>
        <w:rPr>
          <w:rFonts w:eastAsia="Arial Narrow" w:cstheme="minorHAnsi"/>
          <w:spacing w:val="-2"/>
        </w:rPr>
        <w:t>o</w:t>
      </w:r>
      <w:r>
        <w:rPr>
          <w:rFonts w:eastAsia="Arial Narrow" w:cstheme="minorHAnsi"/>
          <w:spacing w:val="1"/>
        </w:rPr>
        <w:t>lj</w:t>
      </w:r>
      <w:r>
        <w:rPr>
          <w:rFonts w:eastAsia="Arial Narrow" w:cstheme="minorHAnsi"/>
        </w:rPr>
        <w:t>op</w:t>
      </w:r>
      <w:r>
        <w:rPr>
          <w:rFonts w:eastAsia="Arial Narrow" w:cstheme="minorHAnsi"/>
          <w:spacing w:val="-3"/>
        </w:rPr>
        <w:t>r</w:t>
      </w:r>
      <w:r>
        <w:rPr>
          <w:rFonts w:eastAsia="Arial Narrow" w:cstheme="minorHAnsi"/>
          <w:spacing w:val="1"/>
        </w:rPr>
        <w:t>iv</w:t>
      </w:r>
      <w:r>
        <w:rPr>
          <w:rFonts w:eastAsia="Arial Narrow" w:cstheme="minorHAnsi"/>
        </w:rPr>
        <w:t>rede u</w:t>
      </w:r>
      <w:r>
        <w:rPr>
          <w:rFonts w:eastAsia="Arial Narrow" w:cstheme="minorHAnsi"/>
          <w:spacing w:val="2"/>
        </w:rPr>
        <w:t xml:space="preserve"> </w:t>
      </w:r>
      <w:r>
        <w:rPr>
          <w:rFonts w:eastAsia="Arial Narrow" w:cstheme="minorHAnsi"/>
          <w:spacing w:val="-1"/>
        </w:rPr>
        <w:t>K</w:t>
      </w:r>
      <w:r>
        <w:rPr>
          <w:rFonts w:eastAsia="Arial Narrow" w:cstheme="minorHAnsi"/>
        </w:rPr>
        <w:t>rap</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o-</w:t>
      </w:r>
      <w:r>
        <w:rPr>
          <w:rFonts w:eastAsia="Arial Narrow" w:cstheme="minorHAnsi"/>
          <w:spacing w:val="1"/>
        </w:rPr>
        <w:t>z</w:t>
      </w:r>
      <w:r>
        <w:rPr>
          <w:rFonts w:eastAsia="Arial Narrow" w:cstheme="minorHAnsi"/>
          <w:spacing w:val="-2"/>
        </w:rPr>
        <w:t>a</w:t>
      </w:r>
      <w:r>
        <w:rPr>
          <w:rFonts w:eastAsia="Arial Narrow" w:cstheme="minorHAnsi"/>
        </w:rPr>
        <w:t>gor</w:t>
      </w:r>
      <w:r>
        <w:rPr>
          <w:rFonts w:eastAsia="Arial Narrow" w:cstheme="minorHAnsi"/>
          <w:spacing w:val="-2"/>
        </w:rPr>
        <w:t>s</w:t>
      </w:r>
      <w:r>
        <w:rPr>
          <w:rFonts w:eastAsia="Arial Narrow" w:cstheme="minorHAnsi"/>
          <w:spacing w:val="1"/>
        </w:rPr>
        <w:t>k</w:t>
      </w:r>
      <w:r>
        <w:rPr>
          <w:rFonts w:eastAsia="Arial Narrow" w:cstheme="minorHAnsi"/>
        </w:rPr>
        <w:t>oj</w:t>
      </w:r>
      <w:r>
        <w:rPr>
          <w:rFonts w:eastAsia="Arial Narrow" w:cstheme="minorHAnsi"/>
          <w:spacing w:val="3"/>
        </w:rPr>
        <w:t xml:space="preserve"> </w:t>
      </w:r>
      <w:r>
        <w:rPr>
          <w:rFonts w:eastAsia="Arial Narrow" w:cstheme="minorHAnsi"/>
          <w:spacing w:val="-2"/>
        </w:rPr>
        <w:t>ž</w:t>
      </w:r>
      <w:r>
        <w:rPr>
          <w:rFonts w:eastAsia="Arial Narrow" w:cstheme="minorHAnsi"/>
        </w:rPr>
        <w:t>upan</w:t>
      </w:r>
      <w:r>
        <w:rPr>
          <w:rFonts w:eastAsia="Arial Narrow" w:cstheme="minorHAnsi"/>
          <w:spacing w:val="-2"/>
        </w:rPr>
        <w:t>i</w:t>
      </w:r>
      <w:r>
        <w:rPr>
          <w:rFonts w:eastAsia="Arial Narrow" w:cstheme="minorHAnsi"/>
          <w:spacing w:val="1"/>
        </w:rPr>
        <w:t>ji</w:t>
      </w:r>
      <w:r>
        <w:rPr>
          <w:rFonts w:eastAsia="Arial Narrow" w:cstheme="minorHAnsi"/>
        </w:rPr>
        <w:t xml:space="preserve"> čemu prije svega pogoduju pr</w:t>
      </w:r>
      <w:r>
        <w:rPr>
          <w:rFonts w:eastAsia="Arial Narrow" w:cstheme="minorHAnsi"/>
          <w:spacing w:val="1"/>
        </w:rPr>
        <w:t>i</w:t>
      </w:r>
      <w:r>
        <w:rPr>
          <w:rFonts w:eastAsia="Arial Narrow" w:cstheme="minorHAnsi"/>
        </w:rPr>
        <w:t>rodni</w:t>
      </w:r>
      <w:r>
        <w:rPr>
          <w:rFonts w:eastAsia="Arial Narrow" w:cstheme="minorHAnsi"/>
          <w:spacing w:val="3"/>
        </w:rPr>
        <w:t xml:space="preserve"> </w:t>
      </w:r>
      <w:r>
        <w:rPr>
          <w:rFonts w:eastAsia="Arial Narrow" w:cstheme="minorHAnsi"/>
          <w:spacing w:val="-2"/>
        </w:rPr>
        <w:t>u</w:t>
      </w:r>
      <w:r>
        <w:rPr>
          <w:rFonts w:eastAsia="Arial Narrow" w:cstheme="minorHAnsi"/>
          <w:spacing w:val="1"/>
        </w:rPr>
        <w:t>vj</w:t>
      </w:r>
      <w:r>
        <w:rPr>
          <w:rFonts w:eastAsia="Arial Narrow" w:cstheme="minorHAnsi"/>
        </w:rPr>
        <w:t>e</w:t>
      </w:r>
      <w:r>
        <w:rPr>
          <w:rFonts w:eastAsia="Arial Narrow" w:cstheme="minorHAnsi"/>
          <w:spacing w:val="-2"/>
        </w:rPr>
        <w:t>t</w:t>
      </w:r>
      <w:r>
        <w:rPr>
          <w:rFonts w:eastAsia="Arial Narrow" w:cstheme="minorHAnsi"/>
        </w:rPr>
        <w:t>i</w:t>
      </w:r>
      <w:r>
        <w:rPr>
          <w:rFonts w:eastAsia="Arial Narrow" w:cstheme="minorHAnsi"/>
          <w:spacing w:val="3"/>
        </w:rPr>
        <w:t xml:space="preserve"> </w:t>
      </w:r>
      <w:r>
        <w:rPr>
          <w:rFonts w:eastAsia="Arial Narrow" w:cstheme="minorHAnsi"/>
        </w:rPr>
        <w:t>s</w:t>
      </w:r>
      <w:r>
        <w:rPr>
          <w:rFonts w:eastAsia="Arial Narrow" w:cstheme="minorHAnsi"/>
          <w:spacing w:val="3"/>
        </w:rPr>
        <w:t xml:space="preserve"> </w:t>
      </w:r>
      <w:r>
        <w:rPr>
          <w:rFonts w:eastAsia="Arial Narrow" w:cstheme="minorHAnsi"/>
        </w:rPr>
        <w:t>re</w:t>
      </w:r>
      <w:r>
        <w:rPr>
          <w:rFonts w:eastAsia="Arial Narrow" w:cstheme="minorHAnsi"/>
          <w:spacing w:val="1"/>
        </w:rPr>
        <w:t>l</w:t>
      </w:r>
      <w:r>
        <w:rPr>
          <w:rFonts w:eastAsia="Arial Narrow" w:cstheme="minorHAnsi"/>
          <w:spacing w:val="-2"/>
        </w:rPr>
        <w:t>a</w:t>
      </w:r>
      <w:r>
        <w:rPr>
          <w:rFonts w:eastAsia="Arial Narrow" w:cstheme="minorHAnsi"/>
        </w:rPr>
        <w:t>t</w:t>
      </w:r>
      <w:r>
        <w:rPr>
          <w:rFonts w:eastAsia="Arial Narrow" w:cstheme="minorHAnsi"/>
          <w:spacing w:val="1"/>
        </w:rPr>
        <w:t>iv</w:t>
      </w:r>
      <w:r>
        <w:rPr>
          <w:rFonts w:eastAsia="Arial Narrow" w:cstheme="minorHAnsi"/>
          <w:spacing w:val="-2"/>
        </w:rPr>
        <w:t>n</w:t>
      </w:r>
      <w:r>
        <w:rPr>
          <w:rFonts w:eastAsia="Arial Narrow" w:cstheme="minorHAnsi"/>
        </w:rPr>
        <w:t>o b</w:t>
      </w:r>
      <w:r>
        <w:rPr>
          <w:rFonts w:eastAsia="Arial Narrow" w:cstheme="minorHAnsi"/>
          <w:spacing w:val="1"/>
        </w:rPr>
        <w:t>l</w:t>
      </w:r>
      <w:r>
        <w:rPr>
          <w:rFonts w:eastAsia="Arial Narrow" w:cstheme="minorHAnsi"/>
        </w:rPr>
        <w:t xml:space="preserve">agom </w:t>
      </w:r>
      <w:r>
        <w:rPr>
          <w:rFonts w:eastAsia="Arial Narrow" w:cstheme="minorHAnsi"/>
          <w:spacing w:val="1"/>
        </w:rPr>
        <w:t>k</w:t>
      </w:r>
      <w:r>
        <w:rPr>
          <w:rFonts w:eastAsia="Arial Narrow" w:cstheme="minorHAnsi"/>
          <w:spacing w:val="-2"/>
        </w:rPr>
        <w:t>l</w:t>
      </w:r>
      <w:r>
        <w:rPr>
          <w:rFonts w:eastAsia="Arial Narrow" w:cstheme="minorHAnsi"/>
          <w:spacing w:val="1"/>
        </w:rPr>
        <w:t>i</w:t>
      </w:r>
      <w:r>
        <w:rPr>
          <w:rFonts w:eastAsia="Arial Narrow" w:cstheme="minorHAnsi"/>
        </w:rPr>
        <w:t>mo</w:t>
      </w:r>
      <w:r>
        <w:rPr>
          <w:rFonts w:eastAsia="Arial Narrow" w:cstheme="minorHAnsi"/>
          <w:spacing w:val="-2"/>
        </w:rPr>
        <w:t>m povoljnom za držanje stoke te proizvodnju voluminozne krme.</w:t>
      </w:r>
      <w:r>
        <w:rPr>
          <w:rFonts w:eastAsia="Arial Narrow" w:cstheme="minorHAnsi"/>
        </w:rPr>
        <w:t xml:space="preserve"> Prema b</w:t>
      </w:r>
      <w:r w:rsidR="00492735">
        <w:rPr>
          <w:rFonts w:eastAsia="Arial Narrow" w:cstheme="minorHAnsi"/>
        </w:rPr>
        <w:t>roju grla, a temeljem podataka</w:t>
      </w:r>
      <w:r>
        <w:rPr>
          <w:rFonts w:eastAsia="Arial Narrow" w:cstheme="minorHAnsi"/>
        </w:rPr>
        <w:t xml:space="preserve"> </w:t>
      </w:r>
      <w:r w:rsidR="00492735">
        <w:rPr>
          <w:rFonts w:cstheme="minorHAnsi"/>
          <w:shd w:val="clear" w:color="auto" w:fill="FFFFFF"/>
        </w:rPr>
        <w:t>Jedinstvenog registra</w:t>
      </w:r>
      <w:r>
        <w:rPr>
          <w:rFonts w:cstheme="minorHAnsi"/>
          <w:shd w:val="clear" w:color="auto" w:fill="FFFFFF"/>
        </w:rPr>
        <w:t xml:space="preserve"> domaćih životinja</w:t>
      </w:r>
      <w:r w:rsidRPr="00A43499">
        <w:rPr>
          <w:rFonts w:cstheme="minorHAnsi"/>
          <w:shd w:val="clear" w:color="auto" w:fill="FFFFFF"/>
        </w:rPr>
        <w:t xml:space="preserve"> (JRDŽ)</w:t>
      </w:r>
      <w:r>
        <w:rPr>
          <w:rFonts w:ascii="inherit" w:hAnsi="inherit"/>
          <w:shd w:val="clear" w:color="auto" w:fill="FFFFFF"/>
        </w:rPr>
        <w:t xml:space="preserve"> </w:t>
      </w:r>
      <w:r>
        <w:rPr>
          <w:rFonts w:eastAsia="Arial Narrow" w:cstheme="minorHAnsi"/>
        </w:rPr>
        <w:t>Hrvatske poljoprivredne agencije, najznačajniji dio stočarske proizvodnje je govedarstvo i svinjogojstvo.</w:t>
      </w:r>
      <w:r w:rsidR="0059395A">
        <w:rPr>
          <w:rFonts w:eastAsia="Arial Narrow" w:cstheme="minorHAnsi"/>
        </w:rPr>
        <w:t xml:space="preserve"> </w:t>
      </w:r>
    </w:p>
    <w:p w14:paraId="2BD1F80A" w14:textId="77777777" w:rsidR="00CA3263" w:rsidRPr="00CA3263" w:rsidRDefault="00CA3263" w:rsidP="00CA3263">
      <w:pPr>
        <w:spacing w:line="283" w:lineRule="auto"/>
        <w:ind w:right="232"/>
        <w:rPr>
          <w:rFonts w:eastAsia="Arial Narrow" w:cstheme="minorHAnsi"/>
        </w:rPr>
      </w:pPr>
    </w:p>
    <w:p w14:paraId="02A7BB88" w14:textId="6A333C3B" w:rsidR="00DD670B" w:rsidRDefault="00DD670B" w:rsidP="003E3F3C">
      <w:pPr>
        <w:pStyle w:val="Opisslike"/>
      </w:pPr>
      <w:r>
        <w:t>Tablica</w:t>
      </w:r>
      <w:r w:rsidR="00BD0057">
        <w:t xml:space="preserve"> 1</w:t>
      </w:r>
      <w:r w:rsidR="00CA3263">
        <w:t>63</w:t>
      </w:r>
      <w:r>
        <w:t xml:space="preserve">. </w:t>
      </w:r>
      <w:r w:rsidRPr="00463BAB">
        <w:t>Stočarska proizvodnja prema Jedinstvenom registru domaćih životinja, 2013</w:t>
      </w:r>
      <w:r w:rsidR="00EA3570">
        <w:t>.</w:t>
      </w:r>
      <w:r w:rsidR="00BD0057">
        <w:t xml:space="preserve"> </w:t>
      </w:r>
      <w:r w:rsidRPr="00463BAB">
        <w:t>-</w:t>
      </w:r>
      <w:r w:rsidR="00BD0057">
        <w:t xml:space="preserve"> </w:t>
      </w:r>
      <w:r w:rsidR="00EA3570">
        <w:t>2020</w:t>
      </w:r>
      <w:r w:rsidRPr="00463BAB">
        <w:t>. godina</w:t>
      </w:r>
    </w:p>
    <w:tbl>
      <w:tblPr>
        <w:tblW w:w="9170" w:type="dxa"/>
        <w:tblInd w:w="-147" w:type="dxa"/>
        <w:tblBorders>
          <w:insideH w:val="single" w:sz="8" w:space="0" w:color="F3CFC1"/>
          <w:insideV w:val="single" w:sz="8" w:space="0" w:color="D2232A"/>
        </w:tblBorders>
        <w:tblLook w:val="04A0" w:firstRow="1" w:lastRow="0" w:firstColumn="1" w:lastColumn="0" w:noHBand="0" w:noVBand="1"/>
      </w:tblPr>
      <w:tblGrid>
        <w:gridCol w:w="966"/>
        <w:gridCol w:w="819"/>
        <w:gridCol w:w="821"/>
        <w:gridCol w:w="820"/>
        <w:gridCol w:w="821"/>
        <w:gridCol w:w="820"/>
        <w:gridCol w:w="821"/>
        <w:gridCol w:w="820"/>
        <w:gridCol w:w="821"/>
        <w:gridCol w:w="820"/>
        <w:gridCol w:w="821"/>
      </w:tblGrid>
      <w:tr w:rsidR="008878A0" w:rsidRPr="00DD670B" w14:paraId="4725D4FC" w14:textId="77777777" w:rsidTr="00DD670B">
        <w:trPr>
          <w:trHeight w:val="283"/>
        </w:trPr>
        <w:tc>
          <w:tcPr>
            <w:tcW w:w="966" w:type="dxa"/>
            <w:vMerge w:val="restart"/>
            <w:tcBorders>
              <w:top w:val="nil"/>
              <w:left w:val="single" w:sz="8" w:space="0" w:color="D2232A"/>
              <w:bottom w:val="single" w:sz="8" w:space="0" w:color="F3CFC1"/>
              <w:right w:val="single" w:sz="4" w:space="0" w:color="FFFFFF" w:themeColor="background1"/>
            </w:tcBorders>
            <w:shd w:val="clear" w:color="auto" w:fill="D2232A" w:themeFill="accent1"/>
            <w:hideMark/>
          </w:tcPr>
          <w:p w14:paraId="41CB897A" w14:textId="77777777" w:rsidR="008878A0" w:rsidRPr="00DD670B" w:rsidRDefault="008878A0" w:rsidP="00941871">
            <w:pPr>
              <w:spacing w:after="0"/>
              <w:rPr>
                <w:rFonts w:cstheme="minorHAnsi"/>
                <w:b/>
                <w:color w:val="FFFFFF" w:themeColor="background1"/>
                <w:szCs w:val="18"/>
              </w:rPr>
            </w:pPr>
            <w:r w:rsidRPr="00DD670B">
              <w:rPr>
                <w:rFonts w:cstheme="minorHAnsi"/>
                <w:b/>
                <w:color w:val="FFFFFF" w:themeColor="background1"/>
                <w:szCs w:val="18"/>
              </w:rPr>
              <w:t>God.</w:t>
            </w:r>
          </w:p>
        </w:tc>
        <w:tc>
          <w:tcPr>
            <w:tcW w:w="1640" w:type="dxa"/>
            <w:gridSpan w:val="2"/>
            <w:tcBorders>
              <w:top w:val="nil"/>
              <w:left w:val="single" w:sz="4" w:space="0" w:color="FFFFFF" w:themeColor="background1"/>
              <w:bottom w:val="single" w:sz="8" w:space="0" w:color="F3CFC1"/>
              <w:right w:val="single" w:sz="4" w:space="0" w:color="FFFFFF" w:themeColor="background1"/>
            </w:tcBorders>
            <w:shd w:val="clear" w:color="auto" w:fill="D2232A" w:themeFill="accent1"/>
            <w:hideMark/>
          </w:tcPr>
          <w:p w14:paraId="3865E3F0" w14:textId="77777777" w:rsidR="008878A0" w:rsidRPr="00DD670B" w:rsidRDefault="008878A0" w:rsidP="00373E79">
            <w:pPr>
              <w:spacing w:after="0"/>
              <w:jc w:val="center"/>
              <w:rPr>
                <w:rFonts w:cstheme="minorHAnsi"/>
                <w:b/>
                <w:color w:val="FFFFFF" w:themeColor="background1"/>
                <w:szCs w:val="18"/>
              </w:rPr>
            </w:pPr>
            <w:r w:rsidRPr="00DD670B">
              <w:rPr>
                <w:rFonts w:cstheme="minorHAnsi"/>
                <w:b/>
                <w:color w:val="FFFFFF" w:themeColor="background1"/>
                <w:szCs w:val="18"/>
              </w:rPr>
              <w:t>Goveda</w:t>
            </w:r>
          </w:p>
        </w:tc>
        <w:tc>
          <w:tcPr>
            <w:tcW w:w="1641" w:type="dxa"/>
            <w:gridSpan w:val="2"/>
            <w:tcBorders>
              <w:top w:val="nil"/>
              <w:left w:val="single" w:sz="4" w:space="0" w:color="FFFFFF" w:themeColor="background1"/>
              <w:bottom w:val="single" w:sz="8" w:space="0" w:color="F3CFC1"/>
              <w:right w:val="single" w:sz="4" w:space="0" w:color="FFFFFF" w:themeColor="background1"/>
            </w:tcBorders>
            <w:shd w:val="clear" w:color="auto" w:fill="D2232A" w:themeFill="accent1"/>
            <w:hideMark/>
          </w:tcPr>
          <w:p w14:paraId="37E64721" w14:textId="77777777" w:rsidR="008878A0" w:rsidRPr="00DD670B" w:rsidRDefault="008878A0" w:rsidP="00373E79">
            <w:pPr>
              <w:spacing w:after="0"/>
              <w:jc w:val="center"/>
              <w:rPr>
                <w:rFonts w:cstheme="minorHAnsi"/>
                <w:b/>
                <w:color w:val="FFFFFF" w:themeColor="background1"/>
                <w:szCs w:val="18"/>
              </w:rPr>
            </w:pPr>
            <w:r w:rsidRPr="00DD670B">
              <w:rPr>
                <w:rFonts w:cstheme="minorHAnsi"/>
                <w:b/>
                <w:color w:val="FFFFFF" w:themeColor="background1"/>
                <w:szCs w:val="18"/>
              </w:rPr>
              <w:t>Konji</w:t>
            </w:r>
          </w:p>
        </w:tc>
        <w:tc>
          <w:tcPr>
            <w:tcW w:w="1641" w:type="dxa"/>
            <w:gridSpan w:val="2"/>
            <w:tcBorders>
              <w:top w:val="nil"/>
              <w:left w:val="single" w:sz="4" w:space="0" w:color="FFFFFF" w:themeColor="background1"/>
              <w:bottom w:val="single" w:sz="8" w:space="0" w:color="F3CFC1"/>
              <w:right w:val="single" w:sz="4" w:space="0" w:color="FFFFFF" w:themeColor="background1"/>
            </w:tcBorders>
            <w:shd w:val="clear" w:color="auto" w:fill="D2232A" w:themeFill="accent1"/>
            <w:hideMark/>
          </w:tcPr>
          <w:p w14:paraId="184387C5" w14:textId="77777777" w:rsidR="008878A0" w:rsidRPr="00DD670B" w:rsidRDefault="008878A0" w:rsidP="00373E79">
            <w:pPr>
              <w:spacing w:after="0"/>
              <w:jc w:val="center"/>
              <w:rPr>
                <w:rFonts w:cstheme="minorHAnsi"/>
                <w:b/>
                <w:color w:val="FFFFFF" w:themeColor="background1"/>
                <w:szCs w:val="18"/>
              </w:rPr>
            </w:pPr>
            <w:r w:rsidRPr="00DD670B">
              <w:rPr>
                <w:rFonts w:cstheme="minorHAnsi"/>
                <w:b/>
                <w:color w:val="FFFFFF" w:themeColor="background1"/>
                <w:szCs w:val="18"/>
              </w:rPr>
              <w:t>Svinje</w:t>
            </w:r>
          </w:p>
        </w:tc>
        <w:tc>
          <w:tcPr>
            <w:tcW w:w="1641" w:type="dxa"/>
            <w:gridSpan w:val="2"/>
            <w:tcBorders>
              <w:top w:val="nil"/>
              <w:left w:val="single" w:sz="4" w:space="0" w:color="FFFFFF" w:themeColor="background1"/>
              <w:bottom w:val="single" w:sz="8" w:space="0" w:color="F3CFC1"/>
              <w:right w:val="single" w:sz="4" w:space="0" w:color="FFFFFF" w:themeColor="background1"/>
            </w:tcBorders>
            <w:shd w:val="clear" w:color="auto" w:fill="D2232A" w:themeFill="accent1"/>
            <w:hideMark/>
          </w:tcPr>
          <w:p w14:paraId="71BC4EAE" w14:textId="77777777" w:rsidR="008878A0" w:rsidRPr="00DD670B" w:rsidRDefault="008878A0" w:rsidP="00373E79">
            <w:pPr>
              <w:spacing w:after="0"/>
              <w:jc w:val="center"/>
              <w:rPr>
                <w:rFonts w:cstheme="minorHAnsi"/>
                <w:b/>
                <w:color w:val="FFFFFF" w:themeColor="background1"/>
                <w:szCs w:val="18"/>
              </w:rPr>
            </w:pPr>
            <w:r w:rsidRPr="00DD670B">
              <w:rPr>
                <w:rFonts w:cstheme="minorHAnsi"/>
                <w:b/>
                <w:color w:val="FFFFFF" w:themeColor="background1"/>
                <w:szCs w:val="18"/>
              </w:rPr>
              <w:t>Ovce</w:t>
            </w:r>
          </w:p>
        </w:tc>
        <w:tc>
          <w:tcPr>
            <w:tcW w:w="1641" w:type="dxa"/>
            <w:gridSpan w:val="2"/>
            <w:tcBorders>
              <w:top w:val="nil"/>
              <w:left w:val="single" w:sz="4" w:space="0" w:color="FFFFFF" w:themeColor="background1"/>
              <w:bottom w:val="single" w:sz="8" w:space="0" w:color="F3CFC1"/>
              <w:right w:val="single" w:sz="8" w:space="0" w:color="D2232A"/>
            </w:tcBorders>
            <w:shd w:val="clear" w:color="auto" w:fill="D2232A" w:themeFill="accent1"/>
            <w:hideMark/>
          </w:tcPr>
          <w:p w14:paraId="6023594D" w14:textId="77777777" w:rsidR="008878A0" w:rsidRPr="00DD670B" w:rsidRDefault="008878A0" w:rsidP="00373E79">
            <w:pPr>
              <w:spacing w:after="0"/>
              <w:jc w:val="center"/>
              <w:rPr>
                <w:rFonts w:cstheme="minorHAnsi"/>
                <w:b/>
                <w:color w:val="FFFFFF" w:themeColor="background1"/>
                <w:szCs w:val="18"/>
              </w:rPr>
            </w:pPr>
            <w:r w:rsidRPr="00DD670B">
              <w:rPr>
                <w:rFonts w:cstheme="minorHAnsi"/>
                <w:b/>
                <w:color w:val="FFFFFF" w:themeColor="background1"/>
                <w:szCs w:val="18"/>
              </w:rPr>
              <w:t>Koze</w:t>
            </w:r>
          </w:p>
        </w:tc>
      </w:tr>
      <w:tr w:rsidR="00373E79" w:rsidRPr="00DD670B" w14:paraId="7F8BB84C" w14:textId="77777777" w:rsidTr="00DD670B">
        <w:trPr>
          <w:trHeight w:val="283"/>
        </w:trPr>
        <w:tc>
          <w:tcPr>
            <w:tcW w:w="0" w:type="auto"/>
            <w:vMerge/>
            <w:tcBorders>
              <w:top w:val="single" w:sz="8" w:space="0" w:color="F3CFC1"/>
              <w:left w:val="single" w:sz="8" w:space="0" w:color="D2232A"/>
              <w:bottom w:val="single" w:sz="8" w:space="0" w:color="F3CFC1"/>
              <w:right w:val="single" w:sz="4" w:space="0" w:color="FFFFFF" w:themeColor="background1"/>
            </w:tcBorders>
            <w:shd w:val="clear" w:color="auto" w:fill="D2232A" w:themeFill="accent1"/>
            <w:vAlign w:val="center"/>
            <w:hideMark/>
          </w:tcPr>
          <w:p w14:paraId="1168A49C" w14:textId="77777777" w:rsidR="008878A0" w:rsidRPr="00DD670B" w:rsidRDefault="008878A0" w:rsidP="00941871">
            <w:pPr>
              <w:spacing w:after="0"/>
              <w:rPr>
                <w:rFonts w:cstheme="minorHAnsi"/>
                <w:b/>
                <w:color w:val="FFFFFF" w:themeColor="background1"/>
                <w:szCs w:val="18"/>
              </w:rPr>
            </w:pPr>
          </w:p>
        </w:tc>
        <w:tc>
          <w:tcPr>
            <w:tcW w:w="819" w:type="dxa"/>
            <w:tcBorders>
              <w:top w:val="single" w:sz="8" w:space="0" w:color="F3CFC1"/>
              <w:left w:val="single" w:sz="4" w:space="0" w:color="FFFFFF" w:themeColor="background1"/>
              <w:bottom w:val="single" w:sz="8" w:space="0" w:color="F3CFC1"/>
            </w:tcBorders>
            <w:shd w:val="clear" w:color="auto" w:fill="D2232A" w:themeFill="accent1"/>
            <w:hideMark/>
          </w:tcPr>
          <w:p w14:paraId="767FBF13" w14:textId="77777777" w:rsidR="008878A0" w:rsidRPr="00DD670B" w:rsidRDefault="008878A0" w:rsidP="00373E79">
            <w:pPr>
              <w:spacing w:after="0"/>
              <w:rPr>
                <w:rFonts w:cstheme="minorHAnsi"/>
                <w:b/>
                <w:color w:val="FFFFFF" w:themeColor="background1"/>
                <w:szCs w:val="18"/>
              </w:rPr>
            </w:pPr>
            <w:r w:rsidRPr="00DD670B">
              <w:rPr>
                <w:rFonts w:cstheme="minorHAnsi"/>
                <w:b/>
                <w:color w:val="FFFFFF" w:themeColor="background1"/>
                <w:szCs w:val="18"/>
              </w:rPr>
              <w:t>Br. gosp</w:t>
            </w:r>
          </w:p>
        </w:tc>
        <w:tc>
          <w:tcPr>
            <w:tcW w:w="821" w:type="dxa"/>
            <w:tcBorders>
              <w:top w:val="single" w:sz="8" w:space="0" w:color="F3CFC1"/>
              <w:bottom w:val="single" w:sz="8" w:space="0" w:color="F3CFC1"/>
              <w:right w:val="single" w:sz="4" w:space="0" w:color="FFFFFF" w:themeColor="background1"/>
            </w:tcBorders>
            <w:shd w:val="clear" w:color="auto" w:fill="D2232A" w:themeFill="accent1"/>
            <w:hideMark/>
          </w:tcPr>
          <w:p w14:paraId="1DD223E8" w14:textId="77777777" w:rsidR="008878A0" w:rsidRPr="00DD670B" w:rsidRDefault="008878A0" w:rsidP="00373E79">
            <w:pPr>
              <w:spacing w:after="0"/>
              <w:jc w:val="right"/>
              <w:rPr>
                <w:rFonts w:cstheme="minorHAnsi"/>
                <w:b/>
                <w:color w:val="FFFFFF" w:themeColor="background1"/>
                <w:szCs w:val="18"/>
              </w:rPr>
            </w:pPr>
            <w:r w:rsidRPr="00DD670B">
              <w:rPr>
                <w:rFonts w:cstheme="minorHAnsi"/>
                <w:b/>
                <w:color w:val="FFFFFF" w:themeColor="background1"/>
                <w:szCs w:val="18"/>
              </w:rPr>
              <w:t>Br.živ.</w:t>
            </w:r>
          </w:p>
        </w:tc>
        <w:tc>
          <w:tcPr>
            <w:tcW w:w="820" w:type="dxa"/>
            <w:tcBorders>
              <w:top w:val="single" w:sz="8" w:space="0" w:color="F3CFC1"/>
              <w:left w:val="single" w:sz="4" w:space="0" w:color="FFFFFF" w:themeColor="background1"/>
              <w:bottom w:val="single" w:sz="8" w:space="0" w:color="F3CFC1"/>
            </w:tcBorders>
            <w:shd w:val="clear" w:color="auto" w:fill="D2232A" w:themeFill="accent1"/>
            <w:hideMark/>
          </w:tcPr>
          <w:p w14:paraId="21B83341" w14:textId="77777777" w:rsidR="008878A0" w:rsidRPr="00DD670B" w:rsidRDefault="008878A0" w:rsidP="00373E79">
            <w:pPr>
              <w:spacing w:after="0"/>
              <w:jc w:val="right"/>
              <w:rPr>
                <w:rFonts w:cstheme="minorHAnsi"/>
                <w:b/>
                <w:color w:val="FFFFFF" w:themeColor="background1"/>
                <w:szCs w:val="18"/>
              </w:rPr>
            </w:pPr>
            <w:r w:rsidRPr="00DD670B">
              <w:rPr>
                <w:rFonts w:cstheme="minorHAnsi"/>
                <w:b/>
                <w:color w:val="FFFFFF" w:themeColor="background1"/>
                <w:szCs w:val="18"/>
              </w:rPr>
              <w:t>Br. gosp</w:t>
            </w:r>
          </w:p>
        </w:tc>
        <w:tc>
          <w:tcPr>
            <w:tcW w:w="821" w:type="dxa"/>
            <w:tcBorders>
              <w:top w:val="single" w:sz="8" w:space="0" w:color="F3CFC1"/>
              <w:bottom w:val="single" w:sz="8" w:space="0" w:color="F3CFC1"/>
              <w:right w:val="single" w:sz="4" w:space="0" w:color="FFFFFF" w:themeColor="background1"/>
            </w:tcBorders>
            <w:shd w:val="clear" w:color="auto" w:fill="D2232A" w:themeFill="accent1"/>
            <w:hideMark/>
          </w:tcPr>
          <w:p w14:paraId="32931264" w14:textId="77777777" w:rsidR="008878A0" w:rsidRPr="00DD670B" w:rsidRDefault="008878A0" w:rsidP="00373E79">
            <w:pPr>
              <w:spacing w:after="0"/>
              <w:jc w:val="right"/>
              <w:rPr>
                <w:rFonts w:cstheme="minorHAnsi"/>
                <w:b/>
                <w:color w:val="FFFFFF" w:themeColor="background1"/>
                <w:szCs w:val="18"/>
              </w:rPr>
            </w:pPr>
            <w:r w:rsidRPr="00DD670B">
              <w:rPr>
                <w:rFonts w:cstheme="minorHAnsi"/>
                <w:b/>
                <w:color w:val="FFFFFF" w:themeColor="background1"/>
                <w:szCs w:val="18"/>
              </w:rPr>
              <w:t>Br.živ.</w:t>
            </w:r>
          </w:p>
        </w:tc>
        <w:tc>
          <w:tcPr>
            <w:tcW w:w="820" w:type="dxa"/>
            <w:tcBorders>
              <w:top w:val="single" w:sz="8" w:space="0" w:color="F3CFC1"/>
              <w:left w:val="single" w:sz="4" w:space="0" w:color="FFFFFF" w:themeColor="background1"/>
              <w:bottom w:val="single" w:sz="8" w:space="0" w:color="F3CFC1"/>
            </w:tcBorders>
            <w:shd w:val="clear" w:color="auto" w:fill="D2232A" w:themeFill="accent1"/>
            <w:hideMark/>
          </w:tcPr>
          <w:p w14:paraId="4F354EA2" w14:textId="77777777" w:rsidR="008878A0" w:rsidRPr="00DD670B" w:rsidRDefault="008878A0" w:rsidP="00373E79">
            <w:pPr>
              <w:spacing w:after="0"/>
              <w:jc w:val="right"/>
              <w:rPr>
                <w:rFonts w:cstheme="minorHAnsi"/>
                <w:b/>
                <w:color w:val="FFFFFF" w:themeColor="background1"/>
                <w:szCs w:val="18"/>
              </w:rPr>
            </w:pPr>
            <w:r w:rsidRPr="00DD670B">
              <w:rPr>
                <w:rFonts w:cstheme="minorHAnsi"/>
                <w:b/>
                <w:color w:val="FFFFFF" w:themeColor="background1"/>
                <w:szCs w:val="18"/>
              </w:rPr>
              <w:t>Br. gosp</w:t>
            </w:r>
          </w:p>
        </w:tc>
        <w:tc>
          <w:tcPr>
            <w:tcW w:w="821" w:type="dxa"/>
            <w:tcBorders>
              <w:top w:val="single" w:sz="8" w:space="0" w:color="F3CFC1"/>
              <w:bottom w:val="single" w:sz="8" w:space="0" w:color="F3CFC1"/>
              <w:right w:val="single" w:sz="4" w:space="0" w:color="FFFFFF" w:themeColor="background1"/>
            </w:tcBorders>
            <w:shd w:val="clear" w:color="auto" w:fill="D2232A" w:themeFill="accent1"/>
            <w:hideMark/>
          </w:tcPr>
          <w:p w14:paraId="4B16818E" w14:textId="77777777" w:rsidR="008878A0" w:rsidRPr="00DD670B" w:rsidRDefault="008878A0" w:rsidP="00373E79">
            <w:pPr>
              <w:spacing w:after="0"/>
              <w:jc w:val="right"/>
              <w:rPr>
                <w:rFonts w:cstheme="minorHAnsi"/>
                <w:b/>
                <w:color w:val="FFFFFF" w:themeColor="background1"/>
                <w:szCs w:val="18"/>
              </w:rPr>
            </w:pPr>
            <w:r w:rsidRPr="00DD670B">
              <w:rPr>
                <w:rFonts w:cstheme="minorHAnsi"/>
                <w:b/>
                <w:color w:val="FFFFFF" w:themeColor="background1"/>
                <w:szCs w:val="18"/>
              </w:rPr>
              <w:t>Br.živ.</w:t>
            </w:r>
          </w:p>
        </w:tc>
        <w:tc>
          <w:tcPr>
            <w:tcW w:w="820" w:type="dxa"/>
            <w:tcBorders>
              <w:top w:val="single" w:sz="8" w:space="0" w:color="F3CFC1"/>
              <w:left w:val="single" w:sz="4" w:space="0" w:color="FFFFFF" w:themeColor="background1"/>
              <w:bottom w:val="single" w:sz="8" w:space="0" w:color="F3CFC1"/>
            </w:tcBorders>
            <w:shd w:val="clear" w:color="auto" w:fill="D2232A" w:themeFill="accent1"/>
            <w:hideMark/>
          </w:tcPr>
          <w:p w14:paraId="39750339" w14:textId="77777777" w:rsidR="008878A0" w:rsidRPr="00DD670B" w:rsidRDefault="008878A0" w:rsidP="00373E79">
            <w:pPr>
              <w:spacing w:after="0"/>
              <w:jc w:val="right"/>
              <w:rPr>
                <w:rFonts w:cstheme="minorHAnsi"/>
                <w:b/>
                <w:color w:val="FFFFFF" w:themeColor="background1"/>
                <w:szCs w:val="18"/>
              </w:rPr>
            </w:pPr>
            <w:r w:rsidRPr="00DD670B">
              <w:rPr>
                <w:rFonts w:cstheme="minorHAnsi"/>
                <w:b/>
                <w:color w:val="FFFFFF" w:themeColor="background1"/>
                <w:szCs w:val="18"/>
              </w:rPr>
              <w:t>Br. gosp</w:t>
            </w:r>
          </w:p>
        </w:tc>
        <w:tc>
          <w:tcPr>
            <w:tcW w:w="821" w:type="dxa"/>
            <w:tcBorders>
              <w:top w:val="single" w:sz="8" w:space="0" w:color="F3CFC1"/>
              <w:bottom w:val="single" w:sz="8" w:space="0" w:color="F3CFC1"/>
              <w:right w:val="single" w:sz="4" w:space="0" w:color="FFFFFF" w:themeColor="background1"/>
            </w:tcBorders>
            <w:shd w:val="clear" w:color="auto" w:fill="D2232A" w:themeFill="accent1"/>
            <w:hideMark/>
          </w:tcPr>
          <w:p w14:paraId="590964FE" w14:textId="77777777" w:rsidR="008878A0" w:rsidRPr="00DD670B" w:rsidRDefault="008878A0" w:rsidP="00373E79">
            <w:pPr>
              <w:spacing w:after="0"/>
              <w:jc w:val="right"/>
              <w:rPr>
                <w:rFonts w:cstheme="minorHAnsi"/>
                <w:b/>
                <w:color w:val="FFFFFF" w:themeColor="background1"/>
                <w:szCs w:val="18"/>
              </w:rPr>
            </w:pPr>
            <w:r w:rsidRPr="00DD670B">
              <w:rPr>
                <w:rFonts w:cstheme="minorHAnsi"/>
                <w:b/>
                <w:color w:val="FFFFFF" w:themeColor="background1"/>
                <w:szCs w:val="18"/>
              </w:rPr>
              <w:t>Br.živ.</w:t>
            </w:r>
          </w:p>
        </w:tc>
        <w:tc>
          <w:tcPr>
            <w:tcW w:w="820" w:type="dxa"/>
            <w:tcBorders>
              <w:top w:val="single" w:sz="8" w:space="0" w:color="F3CFC1"/>
              <w:left w:val="single" w:sz="4" w:space="0" w:color="FFFFFF" w:themeColor="background1"/>
              <w:bottom w:val="single" w:sz="8" w:space="0" w:color="F3CFC1"/>
            </w:tcBorders>
            <w:shd w:val="clear" w:color="auto" w:fill="D2232A" w:themeFill="accent1"/>
            <w:hideMark/>
          </w:tcPr>
          <w:p w14:paraId="58744275" w14:textId="77777777" w:rsidR="008878A0" w:rsidRPr="00DD670B" w:rsidRDefault="008878A0" w:rsidP="00373E79">
            <w:pPr>
              <w:spacing w:after="0"/>
              <w:jc w:val="right"/>
              <w:rPr>
                <w:rFonts w:cstheme="minorHAnsi"/>
                <w:b/>
                <w:color w:val="FFFFFF" w:themeColor="background1"/>
                <w:szCs w:val="18"/>
              </w:rPr>
            </w:pPr>
            <w:r w:rsidRPr="00DD670B">
              <w:rPr>
                <w:rFonts w:cstheme="minorHAnsi"/>
                <w:b/>
                <w:color w:val="FFFFFF" w:themeColor="background1"/>
                <w:szCs w:val="18"/>
              </w:rPr>
              <w:t>Br. gosp</w:t>
            </w:r>
          </w:p>
        </w:tc>
        <w:tc>
          <w:tcPr>
            <w:tcW w:w="821" w:type="dxa"/>
            <w:tcBorders>
              <w:top w:val="single" w:sz="8" w:space="0" w:color="F3CFC1"/>
              <w:bottom w:val="single" w:sz="8" w:space="0" w:color="F3CFC1"/>
              <w:right w:val="single" w:sz="8" w:space="0" w:color="D2232A"/>
            </w:tcBorders>
            <w:shd w:val="clear" w:color="auto" w:fill="D2232A" w:themeFill="accent1"/>
            <w:hideMark/>
          </w:tcPr>
          <w:p w14:paraId="7F2668B4" w14:textId="77777777" w:rsidR="008878A0" w:rsidRPr="00DD670B" w:rsidRDefault="008878A0" w:rsidP="00373E79">
            <w:pPr>
              <w:spacing w:after="0"/>
              <w:jc w:val="right"/>
              <w:rPr>
                <w:rFonts w:cstheme="minorHAnsi"/>
                <w:b/>
                <w:color w:val="FFFFFF" w:themeColor="background1"/>
                <w:szCs w:val="18"/>
              </w:rPr>
            </w:pPr>
            <w:r w:rsidRPr="00DD670B">
              <w:rPr>
                <w:rFonts w:cstheme="minorHAnsi"/>
                <w:b/>
                <w:color w:val="FFFFFF" w:themeColor="background1"/>
                <w:szCs w:val="18"/>
              </w:rPr>
              <w:t>Br.živ.</w:t>
            </w:r>
          </w:p>
        </w:tc>
      </w:tr>
      <w:tr w:rsidR="008878A0" w:rsidRPr="00DD670B" w14:paraId="211DC4C6" w14:textId="77777777" w:rsidTr="00DD670B">
        <w:trPr>
          <w:trHeight w:val="283"/>
        </w:trPr>
        <w:tc>
          <w:tcPr>
            <w:tcW w:w="966" w:type="dxa"/>
            <w:tcBorders>
              <w:top w:val="single" w:sz="8" w:space="0" w:color="F3CFC1"/>
              <w:left w:val="single" w:sz="8" w:space="0" w:color="D2232A"/>
              <w:bottom w:val="single" w:sz="8" w:space="0" w:color="F3CFC1"/>
            </w:tcBorders>
            <w:hideMark/>
          </w:tcPr>
          <w:p w14:paraId="2E2A4601" w14:textId="77777777" w:rsidR="008878A0" w:rsidRPr="00DD670B" w:rsidRDefault="008878A0" w:rsidP="00941871">
            <w:pPr>
              <w:spacing w:after="0"/>
              <w:rPr>
                <w:rFonts w:cstheme="minorHAnsi"/>
                <w:szCs w:val="18"/>
              </w:rPr>
            </w:pPr>
            <w:r w:rsidRPr="00DD670B">
              <w:rPr>
                <w:rFonts w:cstheme="minorHAnsi"/>
                <w:szCs w:val="18"/>
              </w:rPr>
              <w:t>2013.</w:t>
            </w:r>
          </w:p>
        </w:tc>
        <w:tc>
          <w:tcPr>
            <w:tcW w:w="819" w:type="dxa"/>
            <w:tcBorders>
              <w:top w:val="single" w:sz="8" w:space="0" w:color="F3CFC1"/>
              <w:bottom w:val="single" w:sz="8" w:space="0" w:color="F3CFC1"/>
            </w:tcBorders>
            <w:hideMark/>
          </w:tcPr>
          <w:p w14:paraId="26CC5AB9" w14:textId="77777777" w:rsidR="008878A0" w:rsidRPr="00DD670B" w:rsidRDefault="008878A0" w:rsidP="00373E79">
            <w:pPr>
              <w:spacing w:after="0"/>
              <w:jc w:val="right"/>
              <w:rPr>
                <w:rFonts w:cstheme="minorHAnsi"/>
                <w:szCs w:val="18"/>
              </w:rPr>
            </w:pPr>
            <w:r w:rsidRPr="00DD670B">
              <w:rPr>
                <w:rFonts w:cstheme="minorHAnsi"/>
                <w:szCs w:val="18"/>
              </w:rPr>
              <w:t>3.082</w:t>
            </w:r>
          </w:p>
        </w:tc>
        <w:tc>
          <w:tcPr>
            <w:tcW w:w="821" w:type="dxa"/>
            <w:tcBorders>
              <w:top w:val="single" w:sz="8" w:space="0" w:color="F3CFC1"/>
              <w:bottom w:val="single" w:sz="8" w:space="0" w:color="F3CFC1"/>
            </w:tcBorders>
            <w:hideMark/>
          </w:tcPr>
          <w:p w14:paraId="08C13431" w14:textId="77777777" w:rsidR="008878A0" w:rsidRPr="00DD670B" w:rsidRDefault="008878A0" w:rsidP="00373E79">
            <w:pPr>
              <w:spacing w:after="0"/>
              <w:jc w:val="right"/>
              <w:rPr>
                <w:rFonts w:cstheme="minorHAnsi"/>
                <w:szCs w:val="18"/>
              </w:rPr>
            </w:pPr>
            <w:r w:rsidRPr="00DD670B">
              <w:rPr>
                <w:rFonts w:cstheme="minorHAnsi"/>
                <w:szCs w:val="18"/>
              </w:rPr>
              <w:t>12.279</w:t>
            </w:r>
          </w:p>
        </w:tc>
        <w:tc>
          <w:tcPr>
            <w:tcW w:w="820" w:type="dxa"/>
            <w:tcBorders>
              <w:top w:val="single" w:sz="8" w:space="0" w:color="F3CFC1"/>
              <w:bottom w:val="single" w:sz="8" w:space="0" w:color="F3CFC1"/>
            </w:tcBorders>
            <w:hideMark/>
          </w:tcPr>
          <w:p w14:paraId="76FBEC20" w14:textId="77777777" w:rsidR="008878A0" w:rsidRPr="00DD670B" w:rsidRDefault="008878A0" w:rsidP="00373E79">
            <w:pPr>
              <w:spacing w:after="0"/>
              <w:jc w:val="right"/>
              <w:rPr>
                <w:rFonts w:cstheme="minorHAnsi"/>
                <w:szCs w:val="18"/>
              </w:rPr>
            </w:pPr>
            <w:r w:rsidRPr="00DD670B">
              <w:rPr>
                <w:rFonts w:cstheme="minorHAnsi"/>
                <w:szCs w:val="18"/>
              </w:rPr>
              <w:t>170</w:t>
            </w:r>
          </w:p>
        </w:tc>
        <w:tc>
          <w:tcPr>
            <w:tcW w:w="821" w:type="dxa"/>
            <w:tcBorders>
              <w:top w:val="single" w:sz="8" w:space="0" w:color="F3CFC1"/>
              <w:bottom w:val="single" w:sz="8" w:space="0" w:color="F3CFC1"/>
            </w:tcBorders>
            <w:hideMark/>
          </w:tcPr>
          <w:p w14:paraId="399E8DE6" w14:textId="77777777" w:rsidR="008878A0" w:rsidRPr="00DD670B" w:rsidRDefault="008878A0" w:rsidP="00373E79">
            <w:pPr>
              <w:spacing w:after="0"/>
              <w:jc w:val="right"/>
              <w:rPr>
                <w:rFonts w:cstheme="minorHAnsi"/>
                <w:szCs w:val="18"/>
              </w:rPr>
            </w:pPr>
            <w:r w:rsidRPr="00DD670B">
              <w:rPr>
                <w:rFonts w:cstheme="minorHAnsi"/>
                <w:szCs w:val="18"/>
              </w:rPr>
              <w:t>574</w:t>
            </w:r>
          </w:p>
        </w:tc>
        <w:tc>
          <w:tcPr>
            <w:tcW w:w="820" w:type="dxa"/>
            <w:tcBorders>
              <w:top w:val="single" w:sz="8" w:space="0" w:color="F3CFC1"/>
              <w:bottom w:val="single" w:sz="8" w:space="0" w:color="F3CFC1"/>
            </w:tcBorders>
            <w:hideMark/>
          </w:tcPr>
          <w:p w14:paraId="12B67737" w14:textId="77777777" w:rsidR="008878A0" w:rsidRPr="00DD670B" w:rsidRDefault="008878A0" w:rsidP="00373E79">
            <w:pPr>
              <w:spacing w:after="0"/>
              <w:jc w:val="right"/>
              <w:rPr>
                <w:rFonts w:cstheme="minorHAnsi"/>
                <w:szCs w:val="18"/>
              </w:rPr>
            </w:pPr>
            <w:r w:rsidRPr="00DD670B">
              <w:rPr>
                <w:rFonts w:cstheme="minorHAnsi"/>
                <w:szCs w:val="18"/>
              </w:rPr>
              <w:t>453</w:t>
            </w:r>
          </w:p>
        </w:tc>
        <w:tc>
          <w:tcPr>
            <w:tcW w:w="821" w:type="dxa"/>
            <w:tcBorders>
              <w:top w:val="single" w:sz="8" w:space="0" w:color="F3CFC1"/>
              <w:bottom w:val="single" w:sz="8" w:space="0" w:color="F3CFC1"/>
            </w:tcBorders>
            <w:hideMark/>
          </w:tcPr>
          <w:p w14:paraId="7D083778" w14:textId="77777777" w:rsidR="008878A0" w:rsidRPr="00DD670B" w:rsidRDefault="008878A0" w:rsidP="00373E79">
            <w:pPr>
              <w:spacing w:after="0"/>
              <w:jc w:val="right"/>
              <w:rPr>
                <w:rFonts w:cstheme="minorHAnsi"/>
                <w:szCs w:val="18"/>
              </w:rPr>
            </w:pPr>
            <w:r w:rsidRPr="00DD670B">
              <w:rPr>
                <w:rFonts w:cstheme="minorHAnsi"/>
                <w:szCs w:val="18"/>
              </w:rPr>
              <w:t>5.125</w:t>
            </w:r>
          </w:p>
        </w:tc>
        <w:tc>
          <w:tcPr>
            <w:tcW w:w="820" w:type="dxa"/>
            <w:tcBorders>
              <w:top w:val="single" w:sz="8" w:space="0" w:color="F3CFC1"/>
              <w:bottom w:val="single" w:sz="8" w:space="0" w:color="F3CFC1"/>
            </w:tcBorders>
            <w:hideMark/>
          </w:tcPr>
          <w:p w14:paraId="3F44E32A" w14:textId="77777777" w:rsidR="008878A0" w:rsidRPr="00DD670B" w:rsidRDefault="008878A0" w:rsidP="00373E79">
            <w:pPr>
              <w:spacing w:after="0"/>
              <w:jc w:val="right"/>
              <w:rPr>
                <w:rFonts w:cstheme="minorHAnsi"/>
                <w:szCs w:val="18"/>
              </w:rPr>
            </w:pPr>
            <w:r w:rsidRPr="00DD670B">
              <w:rPr>
                <w:rFonts w:cstheme="minorHAnsi"/>
                <w:szCs w:val="18"/>
              </w:rPr>
              <w:t>130</w:t>
            </w:r>
          </w:p>
        </w:tc>
        <w:tc>
          <w:tcPr>
            <w:tcW w:w="821" w:type="dxa"/>
            <w:tcBorders>
              <w:top w:val="single" w:sz="8" w:space="0" w:color="F3CFC1"/>
              <w:bottom w:val="single" w:sz="8" w:space="0" w:color="F3CFC1"/>
            </w:tcBorders>
            <w:hideMark/>
          </w:tcPr>
          <w:p w14:paraId="50CBA3BD" w14:textId="77777777" w:rsidR="008878A0" w:rsidRPr="00DD670B" w:rsidRDefault="008878A0" w:rsidP="00373E79">
            <w:pPr>
              <w:spacing w:after="0"/>
              <w:jc w:val="right"/>
              <w:rPr>
                <w:rFonts w:cstheme="minorHAnsi"/>
                <w:szCs w:val="18"/>
              </w:rPr>
            </w:pPr>
            <w:r w:rsidRPr="00DD670B">
              <w:rPr>
                <w:rFonts w:cstheme="minorHAnsi"/>
                <w:szCs w:val="18"/>
              </w:rPr>
              <w:t>2.190</w:t>
            </w:r>
          </w:p>
        </w:tc>
        <w:tc>
          <w:tcPr>
            <w:tcW w:w="820" w:type="dxa"/>
            <w:tcBorders>
              <w:top w:val="single" w:sz="8" w:space="0" w:color="F3CFC1"/>
              <w:bottom w:val="single" w:sz="8" w:space="0" w:color="F3CFC1"/>
            </w:tcBorders>
            <w:hideMark/>
          </w:tcPr>
          <w:p w14:paraId="2F556F90" w14:textId="77777777" w:rsidR="008878A0" w:rsidRPr="00DD670B" w:rsidRDefault="008878A0" w:rsidP="00373E79">
            <w:pPr>
              <w:spacing w:after="0"/>
              <w:jc w:val="right"/>
              <w:rPr>
                <w:rFonts w:cstheme="minorHAnsi"/>
                <w:szCs w:val="18"/>
              </w:rPr>
            </w:pPr>
            <w:r w:rsidRPr="00DD670B">
              <w:rPr>
                <w:rFonts w:cstheme="minorHAnsi"/>
                <w:szCs w:val="18"/>
              </w:rPr>
              <w:t>49</w:t>
            </w:r>
          </w:p>
        </w:tc>
        <w:tc>
          <w:tcPr>
            <w:tcW w:w="821" w:type="dxa"/>
            <w:tcBorders>
              <w:top w:val="single" w:sz="8" w:space="0" w:color="F3CFC1"/>
              <w:bottom w:val="single" w:sz="8" w:space="0" w:color="F3CFC1"/>
              <w:right w:val="single" w:sz="8" w:space="0" w:color="D2232A"/>
            </w:tcBorders>
            <w:hideMark/>
          </w:tcPr>
          <w:p w14:paraId="7BA5C259" w14:textId="77777777" w:rsidR="008878A0" w:rsidRPr="00DD670B" w:rsidRDefault="008878A0" w:rsidP="00373E79">
            <w:pPr>
              <w:spacing w:after="0"/>
              <w:jc w:val="right"/>
              <w:rPr>
                <w:rFonts w:cstheme="minorHAnsi"/>
                <w:szCs w:val="18"/>
              </w:rPr>
            </w:pPr>
            <w:r w:rsidRPr="00DD670B">
              <w:rPr>
                <w:rFonts w:cstheme="minorHAnsi"/>
                <w:szCs w:val="18"/>
              </w:rPr>
              <w:t>573</w:t>
            </w:r>
          </w:p>
        </w:tc>
      </w:tr>
      <w:tr w:rsidR="008878A0" w:rsidRPr="00DD670B" w14:paraId="130907CE" w14:textId="77777777" w:rsidTr="00DD670B">
        <w:trPr>
          <w:trHeight w:val="283"/>
        </w:trPr>
        <w:tc>
          <w:tcPr>
            <w:tcW w:w="966" w:type="dxa"/>
            <w:tcBorders>
              <w:top w:val="single" w:sz="8" w:space="0" w:color="F3CFC1"/>
              <w:left w:val="single" w:sz="8" w:space="0" w:color="D2232A"/>
              <w:bottom w:val="single" w:sz="8" w:space="0" w:color="F3CFC1"/>
            </w:tcBorders>
            <w:hideMark/>
          </w:tcPr>
          <w:p w14:paraId="0E129DE6" w14:textId="77777777" w:rsidR="008878A0" w:rsidRPr="00DD670B" w:rsidRDefault="008878A0" w:rsidP="00941871">
            <w:pPr>
              <w:spacing w:after="0"/>
              <w:rPr>
                <w:rFonts w:cstheme="minorHAnsi"/>
                <w:szCs w:val="18"/>
              </w:rPr>
            </w:pPr>
            <w:r w:rsidRPr="00DD670B">
              <w:rPr>
                <w:rFonts w:cstheme="minorHAnsi"/>
                <w:szCs w:val="18"/>
              </w:rPr>
              <w:t>2014.</w:t>
            </w:r>
          </w:p>
        </w:tc>
        <w:tc>
          <w:tcPr>
            <w:tcW w:w="819" w:type="dxa"/>
            <w:tcBorders>
              <w:top w:val="single" w:sz="8" w:space="0" w:color="F3CFC1"/>
              <w:bottom w:val="single" w:sz="8" w:space="0" w:color="F3CFC1"/>
            </w:tcBorders>
            <w:hideMark/>
          </w:tcPr>
          <w:p w14:paraId="7B403C58" w14:textId="77777777" w:rsidR="008878A0" w:rsidRPr="00DD670B" w:rsidRDefault="008878A0" w:rsidP="00373E79">
            <w:pPr>
              <w:spacing w:after="0"/>
              <w:jc w:val="right"/>
              <w:rPr>
                <w:rFonts w:cstheme="minorHAnsi"/>
                <w:szCs w:val="18"/>
              </w:rPr>
            </w:pPr>
            <w:r w:rsidRPr="00DD670B">
              <w:rPr>
                <w:rFonts w:cstheme="minorHAnsi"/>
                <w:szCs w:val="18"/>
              </w:rPr>
              <w:t>2.822</w:t>
            </w:r>
          </w:p>
        </w:tc>
        <w:tc>
          <w:tcPr>
            <w:tcW w:w="821" w:type="dxa"/>
            <w:tcBorders>
              <w:top w:val="single" w:sz="8" w:space="0" w:color="F3CFC1"/>
              <w:bottom w:val="single" w:sz="8" w:space="0" w:color="F3CFC1"/>
            </w:tcBorders>
            <w:hideMark/>
          </w:tcPr>
          <w:p w14:paraId="6A57FA38" w14:textId="77777777" w:rsidR="008878A0" w:rsidRPr="00DD670B" w:rsidRDefault="008878A0" w:rsidP="00373E79">
            <w:pPr>
              <w:spacing w:after="0"/>
              <w:jc w:val="right"/>
              <w:rPr>
                <w:rFonts w:cstheme="minorHAnsi"/>
                <w:szCs w:val="18"/>
              </w:rPr>
            </w:pPr>
            <w:r w:rsidRPr="00DD670B">
              <w:rPr>
                <w:rFonts w:cstheme="minorHAnsi"/>
                <w:szCs w:val="18"/>
              </w:rPr>
              <w:t>10.330</w:t>
            </w:r>
          </w:p>
        </w:tc>
        <w:tc>
          <w:tcPr>
            <w:tcW w:w="820" w:type="dxa"/>
            <w:tcBorders>
              <w:top w:val="single" w:sz="8" w:space="0" w:color="F3CFC1"/>
              <w:bottom w:val="single" w:sz="8" w:space="0" w:color="F3CFC1"/>
            </w:tcBorders>
            <w:hideMark/>
          </w:tcPr>
          <w:p w14:paraId="4C273918" w14:textId="77777777" w:rsidR="008878A0" w:rsidRPr="00DD670B" w:rsidRDefault="008878A0" w:rsidP="00373E79">
            <w:pPr>
              <w:spacing w:after="0"/>
              <w:jc w:val="right"/>
              <w:rPr>
                <w:rFonts w:cstheme="minorHAnsi"/>
                <w:szCs w:val="18"/>
              </w:rPr>
            </w:pPr>
            <w:r w:rsidRPr="00DD670B">
              <w:rPr>
                <w:rFonts w:cstheme="minorHAnsi"/>
                <w:szCs w:val="18"/>
              </w:rPr>
              <w:t>195</w:t>
            </w:r>
          </w:p>
        </w:tc>
        <w:tc>
          <w:tcPr>
            <w:tcW w:w="821" w:type="dxa"/>
            <w:tcBorders>
              <w:top w:val="single" w:sz="8" w:space="0" w:color="F3CFC1"/>
              <w:bottom w:val="single" w:sz="8" w:space="0" w:color="F3CFC1"/>
            </w:tcBorders>
            <w:hideMark/>
          </w:tcPr>
          <w:p w14:paraId="17C62623" w14:textId="77777777" w:rsidR="008878A0" w:rsidRPr="00DD670B" w:rsidRDefault="008878A0" w:rsidP="00373E79">
            <w:pPr>
              <w:spacing w:after="0"/>
              <w:jc w:val="right"/>
              <w:rPr>
                <w:rFonts w:cstheme="minorHAnsi"/>
                <w:szCs w:val="18"/>
              </w:rPr>
            </w:pPr>
            <w:r w:rsidRPr="00DD670B">
              <w:rPr>
                <w:rFonts w:cstheme="minorHAnsi"/>
                <w:szCs w:val="18"/>
              </w:rPr>
              <w:t>634</w:t>
            </w:r>
          </w:p>
        </w:tc>
        <w:tc>
          <w:tcPr>
            <w:tcW w:w="820" w:type="dxa"/>
            <w:tcBorders>
              <w:top w:val="single" w:sz="8" w:space="0" w:color="F3CFC1"/>
              <w:bottom w:val="single" w:sz="8" w:space="0" w:color="F3CFC1"/>
            </w:tcBorders>
            <w:hideMark/>
          </w:tcPr>
          <w:p w14:paraId="27B1CD14" w14:textId="77777777" w:rsidR="008878A0" w:rsidRPr="00DD670B" w:rsidRDefault="008878A0" w:rsidP="00373E79">
            <w:pPr>
              <w:spacing w:after="0"/>
              <w:jc w:val="right"/>
              <w:rPr>
                <w:rFonts w:cstheme="minorHAnsi"/>
                <w:szCs w:val="18"/>
              </w:rPr>
            </w:pPr>
            <w:r w:rsidRPr="00DD670B">
              <w:rPr>
                <w:rFonts w:cstheme="minorHAnsi"/>
                <w:szCs w:val="18"/>
              </w:rPr>
              <w:t>782</w:t>
            </w:r>
          </w:p>
        </w:tc>
        <w:tc>
          <w:tcPr>
            <w:tcW w:w="821" w:type="dxa"/>
            <w:tcBorders>
              <w:top w:val="single" w:sz="8" w:space="0" w:color="F3CFC1"/>
              <w:bottom w:val="single" w:sz="8" w:space="0" w:color="F3CFC1"/>
            </w:tcBorders>
            <w:hideMark/>
          </w:tcPr>
          <w:p w14:paraId="6B15533A" w14:textId="77777777" w:rsidR="008878A0" w:rsidRPr="00DD670B" w:rsidRDefault="008878A0" w:rsidP="00373E79">
            <w:pPr>
              <w:spacing w:after="0"/>
              <w:jc w:val="right"/>
              <w:rPr>
                <w:rFonts w:cstheme="minorHAnsi"/>
                <w:szCs w:val="18"/>
              </w:rPr>
            </w:pPr>
            <w:r w:rsidRPr="00DD670B">
              <w:rPr>
                <w:rFonts w:cstheme="minorHAnsi"/>
                <w:szCs w:val="18"/>
              </w:rPr>
              <w:t>8.430</w:t>
            </w:r>
          </w:p>
        </w:tc>
        <w:tc>
          <w:tcPr>
            <w:tcW w:w="820" w:type="dxa"/>
            <w:tcBorders>
              <w:top w:val="single" w:sz="8" w:space="0" w:color="F3CFC1"/>
              <w:bottom w:val="single" w:sz="8" w:space="0" w:color="F3CFC1"/>
            </w:tcBorders>
            <w:hideMark/>
          </w:tcPr>
          <w:p w14:paraId="2C26C58B" w14:textId="77777777" w:rsidR="008878A0" w:rsidRPr="00DD670B" w:rsidRDefault="008878A0" w:rsidP="00373E79">
            <w:pPr>
              <w:spacing w:after="0"/>
              <w:jc w:val="right"/>
              <w:rPr>
                <w:rFonts w:cstheme="minorHAnsi"/>
                <w:szCs w:val="18"/>
              </w:rPr>
            </w:pPr>
            <w:r w:rsidRPr="00DD670B">
              <w:rPr>
                <w:rFonts w:cstheme="minorHAnsi"/>
                <w:szCs w:val="18"/>
              </w:rPr>
              <w:t>250</w:t>
            </w:r>
          </w:p>
        </w:tc>
        <w:tc>
          <w:tcPr>
            <w:tcW w:w="821" w:type="dxa"/>
            <w:tcBorders>
              <w:top w:val="single" w:sz="8" w:space="0" w:color="F3CFC1"/>
              <w:bottom w:val="single" w:sz="8" w:space="0" w:color="F3CFC1"/>
            </w:tcBorders>
            <w:hideMark/>
          </w:tcPr>
          <w:p w14:paraId="66752782" w14:textId="77777777" w:rsidR="008878A0" w:rsidRPr="00DD670B" w:rsidRDefault="008878A0" w:rsidP="00373E79">
            <w:pPr>
              <w:spacing w:after="0"/>
              <w:jc w:val="right"/>
              <w:rPr>
                <w:rFonts w:cstheme="minorHAnsi"/>
                <w:szCs w:val="18"/>
              </w:rPr>
            </w:pPr>
            <w:r w:rsidRPr="00DD670B">
              <w:rPr>
                <w:rFonts w:cstheme="minorHAnsi"/>
                <w:szCs w:val="18"/>
              </w:rPr>
              <w:t>2.587</w:t>
            </w:r>
          </w:p>
        </w:tc>
        <w:tc>
          <w:tcPr>
            <w:tcW w:w="820" w:type="dxa"/>
            <w:tcBorders>
              <w:top w:val="single" w:sz="8" w:space="0" w:color="F3CFC1"/>
              <w:bottom w:val="single" w:sz="8" w:space="0" w:color="F3CFC1"/>
            </w:tcBorders>
            <w:hideMark/>
          </w:tcPr>
          <w:p w14:paraId="3779810A" w14:textId="77777777" w:rsidR="008878A0" w:rsidRPr="00DD670B" w:rsidRDefault="008878A0" w:rsidP="00373E79">
            <w:pPr>
              <w:spacing w:after="0"/>
              <w:jc w:val="right"/>
              <w:rPr>
                <w:rFonts w:cstheme="minorHAnsi"/>
                <w:szCs w:val="18"/>
              </w:rPr>
            </w:pPr>
            <w:r w:rsidRPr="00DD670B">
              <w:rPr>
                <w:rFonts w:cstheme="minorHAnsi"/>
                <w:szCs w:val="18"/>
              </w:rPr>
              <w:t>107</w:t>
            </w:r>
          </w:p>
        </w:tc>
        <w:tc>
          <w:tcPr>
            <w:tcW w:w="821" w:type="dxa"/>
            <w:tcBorders>
              <w:top w:val="single" w:sz="8" w:space="0" w:color="F3CFC1"/>
              <w:bottom w:val="single" w:sz="8" w:space="0" w:color="F3CFC1"/>
              <w:right w:val="single" w:sz="8" w:space="0" w:color="D2232A"/>
            </w:tcBorders>
            <w:hideMark/>
          </w:tcPr>
          <w:p w14:paraId="4B583C2B" w14:textId="77777777" w:rsidR="008878A0" w:rsidRPr="00DD670B" w:rsidRDefault="008878A0" w:rsidP="00373E79">
            <w:pPr>
              <w:spacing w:after="0"/>
              <w:jc w:val="right"/>
              <w:rPr>
                <w:rFonts w:cstheme="minorHAnsi"/>
                <w:szCs w:val="18"/>
              </w:rPr>
            </w:pPr>
            <w:r w:rsidRPr="00DD670B">
              <w:rPr>
                <w:rFonts w:cstheme="minorHAnsi"/>
                <w:szCs w:val="18"/>
              </w:rPr>
              <w:t>593</w:t>
            </w:r>
          </w:p>
        </w:tc>
      </w:tr>
      <w:tr w:rsidR="008878A0" w:rsidRPr="00DD670B" w14:paraId="1E27696D" w14:textId="77777777" w:rsidTr="00DD670B">
        <w:trPr>
          <w:trHeight w:val="283"/>
        </w:trPr>
        <w:tc>
          <w:tcPr>
            <w:tcW w:w="966" w:type="dxa"/>
            <w:tcBorders>
              <w:top w:val="single" w:sz="8" w:space="0" w:color="F3CFC1"/>
              <w:left w:val="single" w:sz="8" w:space="0" w:color="D2232A"/>
              <w:bottom w:val="single" w:sz="8" w:space="0" w:color="F3CFC1"/>
            </w:tcBorders>
            <w:hideMark/>
          </w:tcPr>
          <w:p w14:paraId="5C7D1691" w14:textId="77777777" w:rsidR="008878A0" w:rsidRPr="00DD670B" w:rsidRDefault="008878A0" w:rsidP="00941871">
            <w:pPr>
              <w:spacing w:after="0"/>
              <w:rPr>
                <w:rFonts w:cstheme="minorHAnsi"/>
                <w:szCs w:val="18"/>
              </w:rPr>
            </w:pPr>
            <w:r w:rsidRPr="00DD670B">
              <w:rPr>
                <w:rFonts w:cstheme="minorHAnsi"/>
                <w:szCs w:val="18"/>
              </w:rPr>
              <w:t>2015.</w:t>
            </w:r>
          </w:p>
        </w:tc>
        <w:tc>
          <w:tcPr>
            <w:tcW w:w="819" w:type="dxa"/>
            <w:tcBorders>
              <w:top w:val="single" w:sz="8" w:space="0" w:color="F3CFC1"/>
              <w:bottom w:val="single" w:sz="8" w:space="0" w:color="F3CFC1"/>
            </w:tcBorders>
            <w:hideMark/>
          </w:tcPr>
          <w:p w14:paraId="45D7A360" w14:textId="77777777" w:rsidR="008878A0" w:rsidRPr="00DD670B" w:rsidRDefault="008878A0" w:rsidP="00373E79">
            <w:pPr>
              <w:spacing w:after="0"/>
              <w:jc w:val="right"/>
              <w:rPr>
                <w:rFonts w:cstheme="minorHAnsi"/>
                <w:szCs w:val="18"/>
              </w:rPr>
            </w:pPr>
            <w:r w:rsidRPr="00DD670B">
              <w:rPr>
                <w:rFonts w:cstheme="minorHAnsi"/>
                <w:szCs w:val="18"/>
              </w:rPr>
              <w:t>2.575</w:t>
            </w:r>
          </w:p>
        </w:tc>
        <w:tc>
          <w:tcPr>
            <w:tcW w:w="821" w:type="dxa"/>
            <w:tcBorders>
              <w:top w:val="single" w:sz="8" w:space="0" w:color="F3CFC1"/>
              <w:bottom w:val="single" w:sz="8" w:space="0" w:color="F3CFC1"/>
            </w:tcBorders>
            <w:hideMark/>
          </w:tcPr>
          <w:p w14:paraId="7CA36686" w14:textId="77777777" w:rsidR="008878A0" w:rsidRPr="00DD670B" w:rsidRDefault="008878A0" w:rsidP="00373E79">
            <w:pPr>
              <w:spacing w:after="0"/>
              <w:jc w:val="right"/>
              <w:rPr>
                <w:rFonts w:cstheme="minorHAnsi"/>
                <w:szCs w:val="18"/>
              </w:rPr>
            </w:pPr>
            <w:r w:rsidRPr="00DD670B">
              <w:rPr>
                <w:rFonts w:cstheme="minorHAnsi"/>
                <w:szCs w:val="18"/>
              </w:rPr>
              <w:t>10.208</w:t>
            </w:r>
          </w:p>
        </w:tc>
        <w:tc>
          <w:tcPr>
            <w:tcW w:w="820" w:type="dxa"/>
            <w:tcBorders>
              <w:top w:val="single" w:sz="8" w:space="0" w:color="F3CFC1"/>
              <w:bottom w:val="single" w:sz="8" w:space="0" w:color="F3CFC1"/>
            </w:tcBorders>
            <w:hideMark/>
          </w:tcPr>
          <w:p w14:paraId="23A11BEA" w14:textId="77777777" w:rsidR="008878A0" w:rsidRPr="00DD670B" w:rsidRDefault="008878A0" w:rsidP="00373E79">
            <w:pPr>
              <w:spacing w:after="0"/>
              <w:jc w:val="right"/>
              <w:rPr>
                <w:rFonts w:cstheme="minorHAnsi"/>
                <w:szCs w:val="18"/>
              </w:rPr>
            </w:pPr>
            <w:r w:rsidRPr="00DD670B">
              <w:rPr>
                <w:rFonts w:cstheme="minorHAnsi"/>
                <w:szCs w:val="18"/>
              </w:rPr>
              <w:t>233</w:t>
            </w:r>
          </w:p>
        </w:tc>
        <w:tc>
          <w:tcPr>
            <w:tcW w:w="821" w:type="dxa"/>
            <w:tcBorders>
              <w:top w:val="single" w:sz="8" w:space="0" w:color="F3CFC1"/>
              <w:bottom w:val="single" w:sz="8" w:space="0" w:color="F3CFC1"/>
            </w:tcBorders>
            <w:hideMark/>
          </w:tcPr>
          <w:p w14:paraId="76B8B5F3" w14:textId="77777777" w:rsidR="008878A0" w:rsidRPr="00DD670B" w:rsidRDefault="008878A0" w:rsidP="00373E79">
            <w:pPr>
              <w:spacing w:after="0"/>
              <w:jc w:val="right"/>
              <w:rPr>
                <w:rFonts w:cstheme="minorHAnsi"/>
                <w:szCs w:val="18"/>
              </w:rPr>
            </w:pPr>
            <w:r w:rsidRPr="00DD670B">
              <w:rPr>
                <w:rFonts w:cstheme="minorHAnsi"/>
                <w:szCs w:val="18"/>
              </w:rPr>
              <w:t>738</w:t>
            </w:r>
          </w:p>
        </w:tc>
        <w:tc>
          <w:tcPr>
            <w:tcW w:w="820" w:type="dxa"/>
            <w:tcBorders>
              <w:top w:val="single" w:sz="8" w:space="0" w:color="F3CFC1"/>
              <w:bottom w:val="single" w:sz="8" w:space="0" w:color="F3CFC1"/>
            </w:tcBorders>
            <w:hideMark/>
          </w:tcPr>
          <w:p w14:paraId="2729123B" w14:textId="77777777" w:rsidR="008878A0" w:rsidRPr="00DD670B" w:rsidRDefault="008878A0" w:rsidP="00373E79">
            <w:pPr>
              <w:spacing w:after="0"/>
              <w:jc w:val="right"/>
              <w:rPr>
                <w:rFonts w:cstheme="minorHAnsi"/>
                <w:szCs w:val="18"/>
              </w:rPr>
            </w:pPr>
            <w:r w:rsidRPr="00DD670B">
              <w:rPr>
                <w:rFonts w:cstheme="minorHAnsi"/>
                <w:szCs w:val="18"/>
              </w:rPr>
              <w:t>10.042</w:t>
            </w:r>
          </w:p>
        </w:tc>
        <w:tc>
          <w:tcPr>
            <w:tcW w:w="821" w:type="dxa"/>
            <w:tcBorders>
              <w:top w:val="single" w:sz="8" w:space="0" w:color="F3CFC1"/>
              <w:bottom w:val="single" w:sz="8" w:space="0" w:color="F3CFC1"/>
            </w:tcBorders>
            <w:hideMark/>
          </w:tcPr>
          <w:p w14:paraId="6DAD2B16" w14:textId="77777777" w:rsidR="008878A0" w:rsidRPr="00DD670B" w:rsidRDefault="008878A0" w:rsidP="00373E79">
            <w:pPr>
              <w:spacing w:after="0"/>
              <w:jc w:val="right"/>
              <w:rPr>
                <w:rFonts w:cstheme="minorHAnsi"/>
                <w:szCs w:val="18"/>
              </w:rPr>
            </w:pPr>
            <w:r w:rsidRPr="00DD670B">
              <w:rPr>
                <w:rFonts w:cstheme="minorHAnsi"/>
                <w:szCs w:val="18"/>
              </w:rPr>
              <w:t>47.156</w:t>
            </w:r>
          </w:p>
        </w:tc>
        <w:tc>
          <w:tcPr>
            <w:tcW w:w="820" w:type="dxa"/>
            <w:tcBorders>
              <w:top w:val="single" w:sz="8" w:space="0" w:color="F3CFC1"/>
              <w:bottom w:val="single" w:sz="8" w:space="0" w:color="F3CFC1"/>
            </w:tcBorders>
            <w:hideMark/>
          </w:tcPr>
          <w:p w14:paraId="275ADA0A" w14:textId="77777777" w:rsidR="008878A0" w:rsidRPr="00DD670B" w:rsidRDefault="008878A0" w:rsidP="00373E79">
            <w:pPr>
              <w:spacing w:after="0"/>
              <w:jc w:val="right"/>
              <w:rPr>
                <w:rFonts w:cstheme="minorHAnsi"/>
                <w:szCs w:val="18"/>
              </w:rPr>
            </w:pPr>
            <w:r w:rsidRPr="00DD670B">
              <w:rPr>
                <w:rFonts w:cstheme="minorHAnsi"/>
                <w:szCs w:val="18"/>
              </w:rPr>
              <w:t>352</w:t>
            </w:r>
          </w:p>
        </w:tc>
        <w:tc>
          <w:tcPr>
            <w:tcW w:w="821" w:type="dxa"/>
            <w:tcBorders>
              <w:top w:val="single" w:sz="8" w:space="0" w:color="F3CFC1"/>
              <w:bottom w:val="single" w:sz="8" w:space="0" w:color="F3CFC1"/>
            </w:tcBorders>
            <w:hideMark/>
          </w:tcPr>
          <w:p w14:paraId="636B6C99" w14:textId="77777777" w:rsidR="008878A0" w:rsidRPr="00DD670B" w:rsidRDefault="008878A0" w:rsidP="00373E79">
            <w:pPr>
              <w:spacing w:after="0"/>
              <w:jc w:val="right"/>
              <w:rPr>
                <w:rFonts w:cstheme="minorHAnsi"/>
                <w:szCs w:val="18"/>
              </w:rPr>
            </w:pPr>
            <w:r w:rsidRPr="00DD670B">
              <w:rPr>
                <w:rFonts w:cstheme="minorHAnsi"/>
                <w:szCs w:val="18"/>
              </w:rPr>
              <w:t>3.571</w:t>
            </w:r>
          </w:p>
        </w:tc>
        <w:tc>
          <w:tcPr>
            <w:tcW w:w="820" w:type="dxa"/>
            <w:tcBorders>
              <w:top w:val="single" w:sz="8" w:space="0" w:color="F3CFC1"/>
              <w:bottom w:val="single" w:sz="8" w:space="0" w:color="F3CFC1"/>
            </w:tcBorders>
            <w:hideMark/>
          </w:tcPr>
          <w:p w14:paraId="2B3227EA" w14:textId="77777777" w:rsidR="008878A0" w:rsidRPr="00DD670B" w:rsidRDefault="008878A0" w:rsidP="00373E79">
            <w:pPr>
              <w:spacing w:after="0"/>
              <w:jc w:val="right"/>
              <w:rPr>
                <w:rFonts w:cstheme="minorHAnsi"/>
                <w:szCs w:val="18"/>
              </w:rPr>
            </w:pPr>
            <w:r w:rsidRPr="00DD670B">
              <w:rPr>
                <w:rFonts w:cstheme="minorHAnsi"/>
                <w:szCs w:val="18"/>
              </w:rPr>
              <w:t>136</w:t>
            </w:r>
          </w:p>
        </w:tc>
        <w:tc>
          <w:tcPr>
            <w:tcW w:w="821" w:type="dxa"/>
            <w:tcBorders>
              <w:top w:val="single" w:sz="8" w:space="0" w:color="F3CFC1"/>
              <w:bottom w:val="single" w:sz="8" w:space="0" w:color="F3CFC1"/>
              <w:right w:val="single" w:sz="8" w:space="0" w:color="D2232A"/>
            </w:tcBorders>
            <w:hideMark/>
          </w:tcPr>
          <w:p w14:paraId="3E31F8ED" w14:textId="77777777" w:rsidR="008878A0" w:rsidRPr="00DD670B" w:rsidRDefault="008878A0" w:rsidP="00373E79">
            <w:pPr>
              <w:spacing w:after="0"/>
              <w:jc w:val="right"/>
              <w:rPr>
                <w:rFonts w:cstheme="minorHAnsi"/>
                <w:szCs w:val="18"/>
              </w:rPr>
            </w:pPr>
            <w:r w:rsidRPr="00DD670B">
              <w:rPr>
                <w:rFonts w:cstheme="minorHAnsi"/>
                <w:szCs w:val="18"/>
              </w:rPr>
              <w:t>681</w:t>
            </w:r>
          </w:p>
        </w:tc>
      </w:tr>
      <w:tr w:rsidR="008878A0" w:rsidRPr="00DD670B" w14:paraId="538FF32F" w14:textId="77777777" w:rsidTr="00DD670B">
        <w:trPr>
          <w:trHeight w:val="283"/>
        </w:trPr>
        <w:tc>
          <w:tcPr>
            <w:tcW w:w="966" w:type="dxa"/>
            <w:tcBorders>
              <w:top w:val="single" w:sz="8" w:space="0" w:color="F3CFC1"/>
              <w:left w:val="single" w:sz="8" w:space="0" w:color="D2232A"/>
              <w:bottom w:val="single" w:sz="8" w:space="0" w:color="F3CFC1"/>
            </w:tcBorders>
            <w:hideMark/>
          </w:tcPr>
          <w:p w14:paraId="69043F74" w14:textId="77777777" w:rsidR="008878A0" w:rsidRPr="00DD670B" w:rsidRDefault="008878A0" w:rsidP="00941871">
            <w:pPr>
              <w:spacing w:after="0"/>
              <w:rPr>
                <w:rFonts w:cstheme="minorHAnsi"/>
                <w:szCs w:val="18"/>
              </w:rPr>
            </w:pPr>
            <w:r w:rsidRPr="00DD670B">
              <w:rPr>
                <w:rFonts w:cstheme="minorHAnsi"/>
                <w:szCs w:val="18"/>
              </w:rPr>
              <w:t>2016.</w:t>
            </w:r>
          </w:p>
        </w:tc>
        <w:tc>
          <w:tcPr>
            <w:tcW w:w="819" w:type="dxa"/>
            <w:tcBorders>
              <w:top w:val="single" w:sz="8" w:space="0" w:color="F3CFC1"/>
              <w:bottom w:val="single" w:sz="8" w:space="0" w:color="F3CFC1"/>
            </w:tcBorders>
            <w:hideMark/>
          </w:tcPr>
          <w:p w14:paraId="63034292" w14:textId="77777777" w:rsidR="008878A0" w:rsidRPr="00DD670B" w:rsidRDefault="008878A0" w:rsidP="00373E79">
            <w:pPr>
              <w:spacing w:after="0"/>
              <w:jc w:val="right"/>
              <w:rPr>
                <w:rFonts w:cstheme="minorHAnsi"/>
                <w:szCs w:val="18"/>
              </w:rPr>
            </w:pPr>
            <w:r w:rsidRPr="00DD670B">
              <w:rPr>
                <w:rFonts w:cstheme="minorHAnsi"/>
                <w:szCs w:val="18"/>
              </w:rPr>
              <w:t>2.312</w:t>
            </w:r>
          </w:p>
        </w:tc>
        <w:tc>
          <w:tcPr>
            <w:tcW w:w="821" w:type="dxa"/>
            <w:tcBorders>
              <w:top w:val="single" w:sz="8" w:space="0" w:color="F3CFC1"/>
              <w:bottom w:val="single" w:sz="8" w:space="0" w:color="F3CFC1"/>
            </w:tcBorders>
            <w:hideMark/>
          </w:tcPr>
          <w:p w14:paraId="0F1DB76E" w14:textId="77777777" w:rsidR="008878A0" w:rsidRPr="00DD670B" w:rsidRDefault="008878A0" w:rsidP="00373E79">
            <w:pPr>
              <w:spacing w:after="0"/>
              <w:jc w:val="right"/>
              <w:rPr>
                <w:rFonts w:cstheme="minorHAnsi"/>
                <w:szCs w:val="18"/>
              </w:rPr>
            </w:pPr>
            <w:r w:rsidRPr="00DD670B">
              <w:rPr>
                <w:rFonts w:cstheme="minorHAnsi"/>
                <w:szCs w:val="18"/>
              </w:rPr>
              <w:t>9.508</w:t>
            </w:r>
          </w:p>
        </w:tc>
        <w:tc>
          <w:tcPr>
            <w:tcW w:w="820" w:type="dxa"/>
            <w:tcBorders>
              <w:top w:val="single" w:sz="8" w:space="0" w:color="F3CFC1"/>
              <w:bottom w:val="single" w:sz="8" w:space="0" w:color="F3CFC1"/>
            </w:tcBorders>
            <w:hideMark/>
          </w:tcPr>
          <w:p w14:paraId="0212A904" w14:textId="77777777" w:rsidR="008878A0" w:rsidRPr="00DD670B" w:rsidRDefault="008878A0" w:rsidP="00373E79">
            <w:pPr>
              <w:spacing w:after="0"/>
              <w:jc w:val="right"/>
              <w:rPr>
                <w:rFonts w:cstheme="minorHAnsi"/>
                <w:szCs w:val="18"/>
              </w:rPr>
            </w:pPr>
            <w:r w:rsidRPr="00DD670B">
              <w:rPr>
                <w:rFonts w:cstheme="minorHAnsi"/>
                <w:szCs w:val="18"/>
              </w:rPr>
              <w:t>252</w:t>
            </w:r>
          </w:p>
        </w:tc>
        <w:tc>
          <w:tcPr>
            <w:tcW w:w="821" w:type="dxa"/>
            <w:tcBorders>
              <w:top w:val="single" w:sz="8" w:space="0" w:color="F3CFC1"/>
              <w:bottom w:val="single" w:sz="8" w:space="0" w:color="F3CFC1"/>
            </w:tcBorders>
            <w:hideMark/>
          </w:tcPr>
          <w:p w14:paraId="20EABED2" w14:textId="77777777" w:rsidR="008878A0" w:rsidRPr="00DD670B" w:rsidRDefault="008878A0" w:rsidP="00373E79">
            <w:pPr>
              <w:spacing w:after="0"/>
              <w:jc w:val="right"/>
              <w:rPr>
                <w:rFonts w:cstheme="minorHAnsi"/>
                <w:szCs w:val="18"/>
              </w:rPr>
            </w:pPr>
            <w:r w:rsidRPr="00DD670B">
              <w:rPr>
                <w:rFonts w:cstheme="minorHAnsi"/>
                <w:szCs w:val="18"/>
              </w:rPr>
              <w:t>690</w:t>
            </w:r>
          </w:p>
        </w:tc>
        <w:tc>
          <w:tcPr>
            <w:tcW w:w="820" w:type="dxa"/>
            <w:tcBorders>
              <w:top w:val="single" w:sz="8" w:space="0" w:color="F3CFC1"/>
              <w:bottom w:val="single" w:sz="8" w:space="0" w:color="F3CFC1"/>
            </w:tcBorders>
            <w:hideMark/>
          </w:tcPr>
          <w:p w14:paraId="68A732E4" w14:textId="77777777" w:rsidR="008878A0" w:rsidRPr="00DD670B" w:rsidRDefault="008878A0" w:rsidP="00373E79">
            <w:pPr>
              <w:spacing w:after="0"/>
              <w:jc w:val="right"/>
              <w:rPr>
                <w:rFonts w:cstheme="minorHAnsi"/>
                <w:szCs w:val="18"/>
              </w:rPr>
            </w:pPr>
            <w:r w:rsidRPr="00DD670B">
              <w:rPr>
                <w:rFonts w:cstheme="minorHAnsi"/>
                <w:szCs w:val="18"/>
              </w:rPr>
              <w:t>10.124</w:t>
            </w:r>
          </w:p>
        </w:tc>
        <w:tc>
          <w:tcPr>
            <w:tcW w:w="821" w:type="dxa"/>
            <w:tcBorders>
              <w:top w:val="single" w:sz="8" w:space="0" w:color="F3CFC1"/>
              <w:bottom w:val="single" w:sz="8" w:space="0" w:color="F3CFC1"/>
            </w:tcBorders>
            <w:hideMark/>
          </w:tcPr>
          <w:p w14:paraId="715832EF" w14:textId="77777777" w:rsidR="008878A0" w:rsidRPr="00DD670B" w:rsidRDefault="008878A0" w:rsidP="00373E79">
            <w:pPr>
              <w:spacing w:after="0"/>
              <w:jc w:val="right"/>
              <w:rPr>
                <w:rFonts w:cstheme="minorHAnsi"/>
                <w:szCs w:val="18"/>
              </w:rPr>
            </w:pPr>
            <w:r w:rsidRPr="00DD670B">
              <w:rPr>
                <w:rFonts w:cstheme="minorHAnsi"/>
                <w:szCs w:val="18"/>
              </w:rPr>
              <w:t>48.017</w:t>
            </w:r>
          </w:p>
        </w:tc>
        <w:tc>
          <w:tcPr>
            <w:tcW w:w="820" w:type="dxa"/>
            <w:tcBorders>
              <w:top w:val="single" w:sz="8" w:space="0" w:color="F3CFC1"/>
              <w:bottom w:val="single" w:sz="8" w:space="0" w:color="F3CFC1"/>
            </w:tcBorders>
            <w:hideMark/>
          </w:tcPr>
          <w:p w14:paraId="5FA7006B" w14:textId="77777777" w:rsidR="008878A0" w:rsidRPr="00DD670B" w:rsidRDefault="008878A0" w:rsidP="00373E79">
            <w:pPr>
              <w:spacing w:after="0"/>
              <w:jc w:val="right"/>
              <w:rPr>
                <w:rFonts w:cstheme="minorHAnsi"/>
                <w:szCs w:val="18"/>
              </w:rPr>
            </w:pPr>
            <w:r w:rsidRPr="00DD670B">
              <w:rPr>
                <w:rFonts w:cstheme="minorHAnsi"/>
                <w:szCs w:val="18"/>
              </w:rPr>
              <w:t>419</w:t>
            </w:r>
          </w:p>
        </w:tc>
        <w:tc>
          <w:tcPr>
            <w:tcW w:w="821" w:type="dxa"/>
            <w:tcBorders>
              <w:top w:val="single" w:sz="8" w:space="0" w:color="F3CFC1"/>
              <w:bottom w:val="single" w:sz="8" w:space="0" w:color="F3CFC1"/>
            </w:tcBorders>
            <w:hideMark/>
          </w:tcPr>
          <w:p w14:paraId="24C803FB" w14:textId="77777777" w:rsidR="008878A0" w:rsidRPr="00DD670B" w:rsidRDefault="008878A0" w:rsidP="00373E79">
            <w:pPr>
              <w:spacing w:after="0"/>
              <w:jc w:val="right"/>
              <w:rPr>
                <w:rFonts w:cstheme="minorHAnsi"/>
                <w:szCs w:val="18"/>
              </w:rPr>
            </w:pPr>
            <w:r w:rsidRPr="00DD670B">
              <w:rPr>
                <w:rFonts w:cstheme="minorHAnsi"/>
                <w:szCs w:val="18"/>
              </w:rPr>
              <w:t>3.996</w:t>
            </w:r>
          </w:p>
        </w:tc>
        <w:tc>
          <w:tcPr>
            <w:tcW w:w="820" w:type="dxa"/>
            <w:tcBorders>
              <w:top w:val="single" w:sz="8" w:space="0" w:color="F3CFC1"/>
              <w:bottom w:val="single" w:sz="8" w:space="0" w:color="F3CFC1"/>
            </w:tcBorders>
            <w:hideMark/>
          </w:tcPr>
          <w:p w14:paraId="284D785F" w14:textId="77777777" w:rsidR="008878A0" w:rsidRPr="00DD670B" w:rsidRDefault="008878A0" w:rsidP="00373E79">
            <w:pPr>
              <w:spacing w:after="0"/>
              <w:jc w:val="right"/>
              <w:rPr>
                <w:rFonts w:cstheme="minorHAnsi"/>
                <w:szCs w:val="18"/>
              </w:rPr>
            </w:pPr>
            <w:r w:rsidRPr="00DD670B">
              <w:rPr>
                <w:rFonts w:cstheme="minorHAnsi"/>
                <w:szCs w:val="18"/>
              </w:rPr>
              <w:t>148</w:t>
            </w:r>
          </w:p>
        </w:tc>
        <w:tc>
          <w:tcPr>
            <w:tcW w:w="821" w:type="dxa"/>
            <w:tcBorders>
              <w:top w:val="single" w:sz="8" w:space="0" w:color="F3CFC1"/>
              <w:bottom w:val="single" w:sz="8" w:space="0" w:color="F3CFC1"/>
              <w:right w:val="single" w:sz="8" w:space="0" w:color="D2232A"/>
            </w:tcBorders>
            <w:hideMark/>
          </w:tcPr>
          <w:p w14:paraId="3F0F933A" w14:textId="77777777" w:rsidR="008878A0" w:rsidRPr="00DD670B" w:rsidRDefault="008878A0" w:rsidP="00373E79">
            <w:pPr>
              <w:spacing w:after="0"/>
              <w:jc w:val="right"/>
              <w:rPr>
                <w:rFonts w:cstheme="minorHAnsi"/>
                <w:szCs w:val="18"/>
              </w:rPr>
            </w:pPr>
            <w:r w:rsidRPr="00DD670B">
              <w:rPr>
                <w:rFonts w:cstheme="minorHAnsi"/>
                <w:szCs w:val="18"/>
              </w:rPr>
              <w:t>662</w:t>
            </w:r>
          </w:p>
        </w:tc>
      </w:tr>
      <w:tr w:rsidR="008878A0" w:rsidRPr="00DD670B" w14:paraId="14A995DE" w14:textId="77777777" w:rsidTr="00DD670B">
        <w:trPr>
          <w:trHeight w:val="283"/>
        </w:trPr>
        <w:tc>
          <w:tcPr>
            <w:tcW w:w="966" w:type="dxa"/>
            <w:tcBorders>
              <w:top w:val="single" w:sz="8" w:space="0" w:color="F3CFC1"/>
              <w:left w:val="single" w:sz="8" w:space="0" w:color="D2232A"/>
              <w:bottom w:val="single" w:sz="8" w:space="0" w:color="F3CFC1"/>
            </w:tcBorders>
            <w:hideMark/>
          </w:tcPr>
          <w:p w14:paraId="5471271E" w14:textId="77777777" w:rsidR="008878A0" w:rsidRPr="00DD670B" w:rsidRDefault="008878A0" w:rsidP="00941871">
            <w:pPr>
              <w:spacing w:after="0"/>
              <w:rPr>
                <w:rFonts w:cstheme="minorHAnsi"/>
                <w:szCs w:val="18"/>
              </w:rPr>
            </w:pPr>
            <w:r w:rsidRPr="00DD670B">
              <w:rPr>
                <w:rFonts w:cstheme="minorHAnsi"/>
                <w:szCs w:val="18"/>
              </w:rPr>
              <w:t>2017.</w:t>
            </w:r>
          </w:p>
        </w:tc>
        <w:tc>
          <w:tcPr>
            <w:tcW w:w="819" w:type="dxa"/>
            <w:tcBorders>
              <w:top w:val="single" w:sz="8" w:space="0" w:color="F3CFC1"/>
              <w:bottom w:val="single" w:sz="8" w:space="0" w:color="F3CFC1"/>
            </w:tcBorders>
            <w:hideMark/>
          </w:tcPr>
          <w:p w14:paraId="13F689F6" w14:textId="77777777" w:rsidR="008878A0" w:rsidRPr="00DD670B" w:rsidRDefault="008878A0" w:rsidP="00373E79">
            <w:pPr>
              <w:spacing w:after="0"/>
              <w:jc w:val="right"/>
              <w:rPr>
                <w:rFonts w:cstheme="minorHAnsi"/>
                <w:szCs w:val="18"/>
              </w:rPr>
            </w:pPr>
            <w:r w:rsidRPr="00DD670B">
              <w:rPr>
                <w:rFonts w:cstheme="minorHAnsi"/>
                <w:szCs w:val="18"/>
              </w:rPr>
              <w:t>2.011</w:t>
            </w:r>
          </w:p>
        </w:tc>
        <w:tc>
          <w:tcPr>
            <w:tcW w:w="821" w:type="dxa"/>
            <w:tcBorders>
              <w:top w:val="single" w:sz="8" w:space="0" w:color="F3CFC1"/>
              <w:bottom w:val="single" w:sz="8" w:space="0" w:color="F3CFC1"/>
            </w:tcBorders>
            <w:hideMark/>
          </w:tcPr>
          <w:p w14:paraId="74175098" w14:textId="77777777" w:rsidR="008878A0" w:rsidRPr="00DD670B" w:rsidRDefault="008878A0" w:rsidP="00373E79">
            <w:pPr>
              <w:spacing w:after="0"/>
              <w:jc w:val="right"/>
              <w:rPr>
                <w:rFonts w:cstheme="minorHAnsi"/>
                <w:szCs w:val="18"/>
              </w:rPr>
            </w:pPr>
            <w:r w:rsidRPr="00DD670B">
              <w:rPr>
                <w:rFonts w:cstheme="minorHAnsi"/>
                <w:szCs w:val="18"/>
              </w:rPr>
              <w:t>9.021</w:t>
            </w:r>
          </w:p>
        </w:tc>
        <w:tc>
          <w:tcPr>
            <w:tcW w:w="820" w:type="dxa"/>
            <w:tcBorders>
              <w:top w:val="single" w:sz="8" w:space="0" w:color="F3CFC1"/>
              <w:bottom w:val="single" w:sz="8" w:space="0" w:color="F3CFC1"/>
            </w:tcBorders>
            <w:hideMark/>
          </w:tcPr>
          <w:p w14:paraId="3D7BDA32" w14:textId="77777777" w:rsidR="008878A0" w:rsidRPr="00DD670B" w:rsidRDefault="008878A0" w:rsidP="00373E79">
            <w:pPr>
              <w:spacing w:after="0"/>
              <w:jc w:val="right"/>
              <w:rPr>
                <w:rFonts w:cstheme="minorHAnsi"/>
                <w:szCs w:val="18"/>
              </w:rPr>
            </w:pPr>
            <w:r w:rsidRPr="00DD670B">
              <w:rPr>
                <w:rFonts w:cstheme="minorHAnsi"/>
                <w:szCs w:val="18"/>
              </w:rPr>
              <w:t>259</w:t>
            </w:r>
          </w:p>
        </w:tc>
        <w:tc>
          <w:tcPr>
            <w:tcW w:w="821" w:type="dxa"/>
            <w:tcBorders>
              <w:top w:val="single" w:sz="8" w:space="0" w:color="F3CFC1"/>
              <w:bottom w:val="single" w:sz="8" w:space="0" w:color="F3CFC1"/>
            </w:tcBorders>
            <w:hideMark/>
          </w:tcPr>
          <w:p w14:paraId="536E771F" w14:textId="77777777" w:rsidR="008878A0" w:rsidRPr="00DD670B" w:rsidRDefault="008878A0" w:rsidP="00373E79">
            <w:pPr>
              <w:spacing w:after="0"/>
              <w:jc w:val="right"/>
              <w:rPr>
                <w:rFonts w:cstheme="minorHAnsi"/>
                <w:szCs w:val="18"/>
              </w:rPr>
            </w:pPr>
            <w:r w:rsidRPr="00DD670B">
              <w:rPr>
                <w:rFonts w:cstheme="minorHAnsi"/>
                <w:szCs w:val="18"/>
              </w:rPr>
              <w:t>703</w:t>
            </w:r>
          </w:p>
        </w:tc>
        <w:tc>
          <w:tcPr>
            <w:tcW w:w="820" w:type="dxa"/>
            <w:tcBorders>
              <w:top w:val="single" w:sz="8" w:space="0" w:color="F3CFC1"/>
              <w:bottom w:val="single" w:sz="8" w:space="0" w:color="F3CFC1"/>
            </w:tcBorders>
            <w:hideMark/>
          </w:tcPr>
          <w:p w14:paraId="4FDCBAA0" w14:textId="77777777" w:rsidR="008878A0" w:rsidRPr="00DD670B" w:rsidRDefault="008878A0" w:rsidP="00373E79">
            <w:pPr>
              <w:spacing w:after="0"/>
              <w:jc w:val="right"/>
              <w:rPr>
                <w:rFonts w:cstheme="minorHAnsi"/>
                <w:szCs w:val="18"/>
              </w:rPr>
            </w:pPr>
            <w:r w:rsidRPr="00DD670B">
              <w:rPr>
                <w:rFonts w:cstheme="minorHAnsi"/>
                <w:szCs w:val="18"/>
              </w:rPr>
              <w:t>10.059</w:t>
            </w:r>
          </w:p>
        </w:tc>
        <w:tc>
          <w:tcPr>
            <w:tcW w:w="821" w:type="dxa"/>
            <w:tcBorders>
              <w:top w:val="single" w:sz="8" w:space="0" w:color="F3CFC1"/>
              <w:bottom w:val="single" w:sz="8" w:space="0" w:color="F3CFC1"/>
            </w:tcBorders>
            <w:hideMark/>
          </w:tcPr>
          <w:p w14:paraId="61F06836" w14:textId="77777777" w:rsidR="008878A0" w:rsidRPr="00DD670B" w:rsidRDefault="008878A0" w:rsidP="00373E79">
            <w:pPr>
              <w:spacing w:after="0"/>
              <w:jc w:val="right"/>
              <w:rPr>
                <w:rFonts w:cstheme="minorHAnsi"/>
                <w:szCs w:val="18"/>
              </w:rPr>
            </w:pPr>
            <w:r w:rsidRPr="00DD670B">
              <w:rPr>
                <w:rFonts w:cstheme="minorHAnsi"/>
                <w:szCs w:val="18"/>
              </w:rPr>
              <w:t>44.358</w:t>
            </w:r>
          </w:p>
        </w:tc>
        <w:tc>
          <w:tcPr>
            <w:tcW w:w="820" w:type="dxa"/>
            <w:tcBorders>
              <w:top w:val="single" w:sz="8" w:space="0" w:color="F3CFC1"/>
              <w:bottom w:val="single" w:sz="8" w:space="0" w:color="F3CFC1"/>
            </w:tcBorders>
            <w:hideMark/>
          </w:tcPr>
          <w:p w14:paraId="5EDAC285" w14:textId="77777777" w:rsidR="008878A0" w:rsidRPr="00DD670B" w:rsidRDefault="008878A0" w:rsidP="00373E79">
            <w:pPr>
              <w:spacing w:after="0"/>
              <w:jc w:val="right"/>
              <w:rPr>
                <w:rFonts w:cstheme="minorHAnsi"/>
                <w:szCs w:val="18"/>
              </w:rPr>
            </w:pPr>
            <w:r w:rsidRPr="00DD670B">
              <w:rPr>
                <w:rFonts w:cstheme="minorHAnsi"/>
                <w:szCs w:val="18"/>
              </w:rPr>
              <w:t>459</w:t>
            </w:r>
          </w:p>
        </w:tc>
        <w:tc>
          <w:tcPr>
            <w:tcW w:w="821" w:type="dxa"/>
            <w:tcBorders>
              <w:top w:val="single" w:sz="8" w:space="0" w:color="F3CFC1"/>
              <w:bottom w:val="single" w:sz="8" w:space="0" w:color="F3CFC1"/>
            </w:tcBorders>
            <w:hideMark/>
          </w:tcPr>
          <w:p w14:paraId="09655F88" w14:textId="77777777" w:rsidR="008878A0" w:rsidRPr="00DD670B" w:rsidRDefault="008878A0" w:rsidP="00373E79">
            <w:pPr>
              <w:spacing w:after="0"/>
              <w:jc w:val="right"/>
              <w:rPr>
                <w:rFonts w:cstheme="minorHAnsi"/>
                <w:szCs w:val="18"/>
              </w:rPr>
            </w:pPr>
            <w:r w:rsidRPr="00DD670B">
              <w:rPr>
                <w:rFonts w:cstheme="minorHAnsi"/>
                <w:szCs w:val="18"/>
              </w:rPr>
              <w:t>4.487</w:t>
            </w:r>
          </w:p>
        </w:tc>
        <w:tc>
          <w:tcPr>
            <w:tcW w:w="820" w:type="dxa"/>
            <w:tcBorders>
              <w:top w:val="single" w:sz="8" w:space="0" w:color="F3CFC1"/>
              <w:bottom w:val="single" w:sz="8" w:space="0" w:color="F3CFC1"/>
            </w:tcBorders>
            <w:hideMark/>
          </w:tcPr>
          <w:p w14:paraId="110E9783" w14:textId="77777777" w:rsidR="008878A0" w:rsidRPr="00DD670B" w:rsidRDefault="008878A0" w:rsidP="00373E79">
            <w:pPr>
              <w:spacing w:after="0"/>
              <w:jc w:val="right"/>
              <w:rPr>
                <w:rFonts w:cstheme="minorHAnsi"/>
                <w:szCs w:val="18"/>
              </w:rPr>
            </w:pPr>
            <w:r w:rsidRPr="00DD670B">
              <w:rPr>
                <w:rFonts w:cstheme="minorHAnsi"/>
                <w:szCs w:val="18"/>
              </w:rPr>
              <w:t>167</w:t>
            </w:r>
          </w:p>
        </w:tc>
        <w:tc>
          <w:tcPr>
            <w:tcW w:w="821" w:type="dxa"/>
            <w:tcBorders>
              <w:top w:val="single" w:sz="8" w:space="0" w:color="F3CFC1"/>
              <w:bottom w:val="single" w:sz="8" w:space="0" w:color="F3CFC1"/>
              <w:right w:val="single" w:sz="8" w:space="0" w:color="D2232A"/>
            </w:tcBorders>
            <w:hideMark/>
          </w:tcPr>
          <w:p w14:paraId="77D72B6B" w14:textId="77777777" w:rsidR="008878A0" w:rsidRPr="00DD670B" w:rsidRDefault="008878A0" w:rsidP="00373E79">
            <w:pPr>
              <w:spacing w:after="0"/>
              <w:jc w:val="right"/>
              <w:rPr>
                <w:rFonts w:cstheme="minorHAnsi"/>
                <w:szCs w:val="18"/>
              </w:rPr>
            </w:pPr>
            <w:r w:rsidRPr="00DD670B">
              <w:rPr>
                <w:rFonts w:cstheme="minorHAnsi"/>
                <w:szCs w:val="18"/>
              </w:rPr>
              <w:t>809</w:t>
            </w:r>
          </w:p>
        </w:tc>
      </w:tr>
      <w:tr w:rsidR="008878A0" w:rsidRPr="00DD670B" w14:paraId="7691D01E" w14:textId="77777777" w:rsidTr="00EA3570">
        <w:trPr>
          <w:trHeight w:val="283"/>
        </w:trPr>
        <w:tc>
          <w:tcPr>
            <w:tcW w:w="966" w:type="dxa"/>
            <w:tcBorders>
              <w:top w:val="single" w:sz="8" w:space="0" w:color="F3CFC1"/>
              <w:left w:val="single" w:sz="8" w:space="0" w:color="D2232A"/>
              <w:bottom w:val="single" w:sz="8" w:space="0" w:color="F3CFC1"/>
            </w:tcBorders>
            <w:hideMark/>
          </w:tcPr>
          <w:p w14:paraId="48E73200" w14:textId="77777777" w:rsidR="008878A0" w:rsidRPr="00DD670B" w:rsidRDefault="008878A0" w:rsidP="00941871">
            <w:pPr>
              <w:spacing w:after="0"/>
              <w:rPr>
                <w:rFonts w:cstheme="minorHAnsi"/>
                <w:szCs w:val="18"/>
              </w:rPr>
            </w:pPr>
            <w:r w:rsidRPr="00DD670B">
              <w:rPr>
                <w:rFonts w:cstheme="minorHAnsi"/>
                <w:szCs w:val="18"/>
              </w:rPr>
              <w:t>2018.</w:t>
            </w:r>
          </w:p>
        </w:tc>
        <w:tc>
          <w:tcPr>
            <w:tcW w:w="819" w:type="dxa"/>
            <w:tcBorders>
              <w:top w:val="single" w:sz="8" w:space="0" w:color="F3CFC1"/>
              <w:bottom w:val="single" w:sz="8" w:space="0" w:color="F3CFC1"/>
            </w:tcBorders>
            <w:hideMark/>
          </w:tcPr>
          <w:p w14:paraId="6876075C" w14:textId="77777777" w:rsidR="008878A0" w:rsidRPr="00DD670B" w:rsidRDefault="008878A0" w:rsidP="00373E79">
            <w:pPr>
              <w:spacing w:after="0"/>
              <w:jc w:val="right"/>
              <w:rPr>
                <w:rFonts w:cstheme="minorHAnsi"/>
                <w:szCs w:val="18"/>
              </w:rPr>
            </w:pPr>
            <w:r w:rsidRPr="00DD670B">
              <w:rPr>
                <w:rFonts w:cstheme="minorHAnsi"/>
                <w:bCs/>
                <w:szCs w:val="18"/>
              </w:rPr>
              <w:t>1.705</w:t>
            </w:r>
          </w:p>
        </w:tc>
        <w:tc>
          <w:tcPr>
            <w:tcW w:w="821" w:type="dxa"/>
            <w:tcBorders>
              <w:top w:val="single" w:sz="8" w:space="0" w:color="F3CFC1"/>
              <w:bottom w:val="single" w:sz="8" w:space="0" w:color="F3CFC1"/>
            </w:tcBorders>
            <w:hideMark/>
          </w:tcPr>
          <w:p w14:paraId="13053AB4" w14:textId="77777777" w:rsidR="008878A0" w:rsidRPr="00DD670B" w:rsidRDefault="008878A0" w:rsidP="00373E79">
            <w:pPr>
              <w:spacing w:after="0"/>
              <w:jc w:val="right"/>
              <w:rPr>
                <w:rFonts w:cstheme="minorHAnsi"/>
                <w:szCs w:val="18"/>
              </w:rPr>
            </w:pPr>
            <w:r w:rsidRPr="00DD670B">
              <w:rPr>
                <w:rFonts w:cstheme="minorHAnsi"/>
                <w:szCs w:val="18"/>
              </w:rPr>
              <w:t>8.050</w:t>
            </w:r>
          </w:p>
        </w:tc>
        <w:tc>
          <w:tcPr>
            <w:tcW w:w="820" w:type="dxa"/>
            <w:tcBorders>
              <w:top w:val="single" w:sz="8" w:space="0" w:color="F3CFC1"/>
              <w:bottom w:val="single" w:sz="8" w:space="0" w:color="F3CFC1"/>
            </w:tcBorders>
            <w:hideMark/>
          </w:tcPr>
          <w:p w14:paraId="4AA9BC8B" w14:textId="77777777" w:rsidR="008878A0" w:rsidRPr="00DD670B" w:rsidRDefault="008878A0" w:rsidP="00373E79">
            <w:pPr>
              <w:spacing w:after="0"/>
              <w:jc w:val="right"/>
              <w:rPr>
                <w:rFonts w:cstheme="minorHAnsi"/>
                <w:szCs w:val="18"/>
              </w:rPr>
            </w:pPr>
            <w:r w:rsidRPr="00DD670B">
              <w:rPr>
                <w:rFonts w:cstheme="minorHAnsi"/>
                <w:szCs w:val="18"/>
              </w:rPr>
              <w:t>247</w:t>
            </w:r>
          </w:p>
        </w:tc>
        <w:tc>
          <w:tcPr>
            <w:tcW w:w="821" w:type="dxa"/>
            <w:tcBorders>
              <w:top w:val="single" w:sz="8" w:space="0" w:color="F3CFC1"/>
              <w:bottom w:val="single" w:sz="8" w:space="0" w:color="F3CFC1"/>
            </w:tcBorders>
            <w:hideMark/>
          </w:tcPr>
          <w:p w14:paraId="6CB30054" w14:textId="77777777" w:rsidR="008878A0" w:rsidRPr="00DD670B" w:rsidRDefault="008878A0" w:rsidP="00373E79">
            <w:pPr>
              <w:spacing w:after="0"/>
              <w:jc w:val="right"/>
              <w:rPr>
                <w:rFonts w:cstheme="minorHAnsi"/>
                <w:szCs w:val="18"/>
              </w:rPr>
            </w:pPr>
            <w:r w:rsidRPr="00DD670B">
              <w:rPr>
                <w:rFonts w:cstheme="minorHAnsi"/>
                <w:szCs w:val="18"/>
              </w:rPr>
              <w:t>660</w:t>
            </w:r>
          </w:p>
        </w:tc>
        <w:tc>
          <w:tcPr>
            <w:tcW w:w="820" w:type="dxa"/>
            <w:tcBorders>
              <w:top w:val="single" w:sz="8" w:space="0" w:color="F3CFC1"/>
              <w:bottom w:val="single" w:sz="8" w:space="0" w:color="F3CFC1"/>
            </w:tcBorders>
            <w:hideMark/>
          </w:tcPr>
          <w:p w14:paraId="2A207C92" w14:textId="77777777" w:rsidR="008878A0" w:rsidRPr="00DD670B" w:rsidRDefault="008878A0" w:rsidP="00373E79">
            <w:pPr>
              <w:spacing w:after="0"/>
              <w:jc w:val="right"/>
              <w:rPr>
                <w:rFonts w:cstheme="minorHAnsi"/>
                <w:szCs w:val="18"/>
              </w:rPr>
            </w:pPr>
            <w:r w:rsidRPr="00DD670B">
              <w:rPr>
                <w:rFonts w:cstheme="minorHAnsi"/>
                <w:szCs w:val="18"/>
              </w:rPr>
              <w:t>3.673</w:t>
            </w:r>
          </w:p>
        </w:tc>
        <w:tc>
          <w:tcPr>
            <w:tcW w:w="821" w:type="dxa"/>
            <w:tcBorders>
              <w:top w:val="single" w:sz="8" w:space="0" w:color="F3CFC1"/>
              <w:bottom w:val="single" w:sz="8" w:space="0" w:color="F3CFC1"/>
            </w:tcBorders>
            <w:hideMark/>
          </w:tcPr>
          <w:p w14:paraId="3B57AFCD" w14:textId="77777777" w:rsidR="008878A0" w:rsidRPr="00DD670B" w:rsidRDefault="008878A0" w:rsidP="00373E79">
            <w:pPr>
              <w:spacing w:after="0"/>
              <w:jc w:val="right"/>
              <w:rPr>
                <w:rFonts w:cstheme="minorHAnsi"/>
                <w:szCs w:val="18"/>
              </w:rPr>
            </w:pPr>
            <w:r w:rsidRPr="00DD670B">
              <w:rPr>
                <w:rFonts w:cstheme="minorHAnsi"/>
                <w:szCs w:val="18"/>
              </w:rPr>
              <w:t>26.975</w:t>
            </w:r>
          </w:p>
        </w:tc>
        <w:tc>
          <w:tcPr>
            <w:tcW w:w="820" w:type="dxa"/>
            <w:tcBorders>
              <w:top w:val="single" w:sz="8" w:space="0" w:color="F3CFC1"/>
              <w:bottom w:val="single" w:sz="8" w:space="0" w:color="F3CFC1"/>
            </w:tcBorders>
            <w:hideMark/>
          </w:tcPr>
          <w:p w14:paraId="2E001F3E" w14:textId="77777777" w:rsidR="008878A0" w:rsidRPr="00DD670B" w:rsidRDefault="008878A0" w:rsidP="00373E79">
            <w:pPr>
              <w:spacing w:after="0"/>
              <w:jc w:val="right"/>
              <w:rPr>
                <w:rFonts w:cstheme="minorHAnsi"/>
                <w:szCs w:val="18"/>
              </w:rPr>
            </w:pPr>
            <w:r w:rsidRPr="00DD670B">
              <w:rPr>
                <w:rFonts w:cstheme="minorHAnsi"/>
                <w:szCs w:val="18"/>
              </w:rPr>
              <w:t>494</w:t>
            </w:r>
          </w:p>
        </w:tc>
        <w:tc>
          <w:tcPr>
            <w:tcW w:w="821" w:type="dxa"/>
            <w:tcBorders>
              <w:top w:val="single" w:sz="8" w:space="0" w:color="F3CFC1"/>
              <w:bottom w:val="single" w:sz="8" w:space="0" w:color="F3CFC1"/>
            </w:tcBorders>
            <w:hideMark/>
          </w:tcPr>
          <w:p w14:paraId="55BB6A35" w14:textId="77777777" w:rsidR="008878A0" w:rsidRPr="00DD670B" w:rsidRDefault="008878A0" w:rsidP="00373E79">
            <w:pPr>
              <w:spacing w:after="0"/>
              <w:jc w:val="right"/>
              <w:rPr>
                <w:rFonts w:cstheme="minorHAnsi"/>
                <w:szCs w:val="18"/>
              </w:rPr>
            </w:pPr>
            <w:r w:rsidRPr="00DD670B">
              <w:rPr>
                <w:rFonts w:cstheme="minorHAnsi"/>
                <w:szCs w:val="18"/>
              </w:rPr>
              <w:t>5.092</w:t>
            </w:r>
          </w:p>
        </w:tc>
        <w:tc>
          <w:tcPr>
            <w:tcW w:w="820" w:type="dxa"/>
            <w:tcBorders>
              <w:top w:val="single" w:sz="8" w:space="0" w:color="F3CFC1"/>
              <w:bottom w:val="single" w:sz="8" w:space="0" w:color="F3CFC1"/>
            </w:tcBorders>
            <w:hideMark/>
          </w:tcPr>
          <w:p w14:paraId="11E6678C" w14:textId="77777777" w:rsidR="008878A0" w:rsidRPr="00DD670B" w:rsidRDefault="008878A0" w:rsidP="00373E79">
            <w:pPr>
              <w:spacing w:after="0"/>
              <w:jc w:val="right"/>
              <w:rPr>
                <w:rFonts w:cstheme="minorHAnsi"/>
                <w:szCs w:val="18"/>
              </w:rPr>
            </w:pPr>
            <w:r w:rsidRPr="00DD670B">
              <w:rPr>
                <w:rFonts w:cstheme="minorHAnsi"/>
                <w:szCs w:val="18"/>
              </w:rPr>
              <w:t>154</w:t>
            </w:r>
          </w:p>
        </w:tc>
        <w:tc>
          <w:tcPr>
            <w:tcW w:w="821" w:type="dxa"/>
            <w:tcBorders>
              <w:top w:val="single" w:sz="8" w:space="0" w:color="F3CFC1"/>
              <w:bottom w:val="single" w:sz="8" w:space="0" w:color="F3CFC1"/>
              <w:right w:val="single" w:sz="8" w:space="0" w:color="D2232A"/>
            </w:tcBorders>
            <w:hideMark/>
          </w:tcPr>
          <w:p w14:paraId="4F1F15BD" w14:textId="77777777" w:rsidR="008878A0" w:rsidRPr="00DD670B" w:rsidRDefault="008878A0" w:rsidP="00373E79">
            <w:pPr>
              <w:spacing w:after="0"/>
              <w:jc w:val="right"/>
              <w:rPr>
                <w:rFonts w:cstheme="minorHAnsi"/>
                <w:szCs w:val="18"/>
              </w:rPr>
            </w:pPr>
            <w:r w:rsidRPr="00DD670B">
              <w:rPr>
                <w:rFonts w:cstheme="minorHAnsi"/>
                <w:szCs w:val="18"/>
              </w:rPr>
              <w:t>832</w:t>
            </w:r>
          </w:p>
        </w:tc>
      </w:tr>
      <w:tr w:rsidR="00EA3570" w:rsidRPr="00DD670B" w14:paraId="3DB254F6" w14:textId="77777777" w:rsidTr="00EA3570">
        <w:trPr>
          <w:trHeight w:val="283"/>
        </w:trPr>
        <w:tc>
          <w:tcPr>
            <w:tcW w:w="966" w:type="dxa"/>
            <w:tcBorders>
              <w:top w:val="single" w:sz="8" w:space="0" w:color="F3CFC1"/>
              <w:left w:val="single" w:sz="8" w:space="0" w:color="D2232A"/>
              <w:bottom w:val="single" w:sz="8" w:space="0" w:color="F3CFC1"/>
            </w:tcBorders>
          </w:tcPr>
          <w:p w14:paraId="663168A7" w14:textId="552F6D22" w:rsidR="00EA3570" w:rsidRPr="00DD670B" w:rsidRDefault="00EA3570" w:rsidP="00941871">
            <w:pPr>
              <w:spacing w:after="0"/>
              <w:rPr>
                <w:rFonts w:cstheme="minorHAnsi"/>
                <w:szCs w:val="18"/>
              </w:rPr>
            </w:pPr>
            <w:r>
              <w:rPr>
                <w:rFonts w:cstheme="minorHAnsi"/>
                <w:szCs w:val="18"/>
              </w:rPr>
              <w:t>2019.</w:t>
            </w:r>
          </w:p>
        </w:tc>
        <w:tc>
          <w:tcPr>
            <w:tcW w:w="819" w:type="dxa"/>
            <w:tcBorders>
              <w:top w:val="single" w:sz="8" w:space="0" w:color="F3CFC1"/>
              <w:bottom w:val="single" w:sz="8" w:space="0" w:color="F3CFC1"/>
            </w:tcBorders>
          </w:tcPr>
          <w:p w14:paraId="1088ADD5" w14:textId="335772CF" w:rsidR="00EA3570" w:rsidRPr="00DD670B" w:rsidRDefault="00EA3570" w:rsidP="00373E79">
            <w:pPr>
              <w:spacing w:after="0"/>
              <w:jc w:val="right"/>
              <w:rPr>
                <w:rFonts w:cstheme="minorHAnsi"/>
                <w:bCs/>
                <w:szCs w:val="18"/>
              </w:rPr>
            </w:pPr>
            <w:r w:rsidRPr="00EA3570">
              <w:rPr>
                <w:rFonts w:cstheme="minorHAnsi"/>
                <w:bCs/>
                <w:szCs w:val="18"/>
              </w:rPr>
              <w:t>1.475</w:t>
            </w:r>
          </w:p>
        </w:tc>
        <w:tc>
          <w:tcPr>
            <w:tcW w:w="821" w:type="dxa"/>
            <w:tcBorders>
              <w:top w:val="single" w:sz="8" w:space="0" w:color="F3CFC1"/>
              <w:bottom w:val="single" w:sz="8" w:space="0" w:color="F3CFC1"/>
            </w:tcBorders>
          </w:tcPr>
          <w:p w14:paraId="66816BB7" w14:textId="35CFA481" w:rsidR="00EA3570" w:rsidRPr="00DD670B" w:rsidRDefault="00EA3570" w:rsidP="00373E79">
            <w:pPr>
              <w:spacing w:after="0"/>
              <w:jc w:val="right"/>
              <w:rPr>
                <w:rFonts w:cstheme="minorHAnsi"/>
                <w:szCs w:val="18"/>
              </w:rPr>
            </w:pPr>
            <w:r w:rsidRPr="00EA3570">
              <w:rPr>
                <w:rFonts w:cstheme="minorHAnsi"/>
                <w:szCs w:val="18"/>
              </w:rPr>
              <w:t>7.911</w:t>
            </w:r>
          </w:p>
        </w:tc>
        <w:tc>
          <w:tcPr>
            <w:tcW w:w="820" w:type="dxa"/>
            <w:tcBorders>
              <w:top w:val="single" w:sz="8" w:space="0" w:color="F3CFC1"/>
              <w:bottom w:val="single" w:sz="8" w:space="0" w:color="F3CFC1"/>
            </w:tcBorders>
          </w:tcPr>
          <w:p w14:paraId="0E0E332F" w14:textId="55A15AFA" w:rsidR="00EA3570" w:rsidRPr="00DD670B" w:rsidRDefault="00EA3570" w:rsidP="00373E79">
            <w:pPr>
              <w:spacing w:after="0"/>
              <w:jc w:val="right"/>
              <w:rPr>
                <w:rFonts w:cstheme="minorHAnsi"/>
                <w:szCs w:val="18"/>
              </w:rPr>
            </w:pPr>
            <w:r w:rsidRPr="00EA3570">
              <w:rPr>
                <w:rFonts w:cstheme="minorHAnsi"/>
                <w:szCs w:val="18"/>
              </w:rPr>
              <w:t>243</w:t>
            </w:r>
          </w:p>
        </w:tc>
        <w:tc>
          <w:tcPr>
            <w:tcW w:w="821" w:type="dxa"/>
            <w:tcBorders>
              <w:top w:val="single" w:sz="8" w:space="0" w:color="F3CFC1"/>
              <w:bottom w:val="single" w:sz="8" w:space="0" w:color="F3CFC1"/>
            </w:tcBorders>
          </w:tcPr>
          <w:p w14:paraId="51CE5489" w14:textId="3E5F64A1" w:rsidR="00EA3570" w:rsidRPr="00DD670B" w:rsidRDefault="00EA3570" w:rsidP="00373E79">
            <w:pPr>
              <w:spacing w:after="0"/>
              <w:jc w:val="right"/>
              <w:rPr>
                <w:rFonts w:cstheme="minorHAnsi"/>
                <w:szCs w:val="18"/>
              </w:rPr>
            </w:pPr>
            <w:r w:rsidRPr="00EA3570">
              <w:rPr>
                <w:rFonts w:cstheme="minorHAnsi"/>
                <w:szCs w:val="18"/>
              </w:rPr>
              <w:t>669</w:t>
            </w:r>
          </w:p>
        </w:tc>
        <w:tc>
          <w:tcPr>
            <w:tcW w:w="820" w:type="dxa"/>
            <w:tcBorders>
              <w:top w:val="single" w:sz="8" w:space="0" w:color="F3CFC1"/>
              <w:bottom w:val="single" w:sz="8" w:space="0" w:color="F3CFC1"/>
            </w:tcBorders>
          </w:tcPr>
          <w:p w14:paraId="738DEA07" w14:textId="2CB191DC" w:rsidR="00EA3570" w:rsidRPr="00DD670B" w:rsidRDefault="00EA3570" w:rsidP="00373E79">
            <w:pPr>
              <w:spacing w:after="0"/>
              <w:jc w:val="right"/>
              <w:rPr>
                <w:rFonts w:cstheme="minorHAnsi"/>
                <w:szCs w:val="18"/>
              </w:rPr>
            </w:pPr>
            <w:r w:rsidRPr="00EA3570">
              <w:rPr>
                <w:rFonts w:cstheme="minorHAnsi"/>
                <w:szCs w:val="18"/>
              </w:rPr>
              <w:t>7.509</w:t>
            </w:r>
          </w:p>
        </w:tc>
        <w:tc>
          <w:tcPr>
            <w:tcW w:w="821" w:type="dxa"/>
            <w:tcBorders>
              <w:top w:val="single" w:sz="8" w:space="0" w:color="F3CFC1"/>
              <w:bottom w:val="single" w:sz="8" w:space="0" w:color="F3CFC1"/>
            </w:tcBorders>
          </w:tcPr>
          <w:p w14:paraId="2657FBB7" w14:textId="5C256A57" w:rsidR="00EA3570" w:rsidRPr="00DD670B" w:rsidRDefault="00EA3570" w:rsidP="00373E79">
            <w:pPr>
              <w:spacing w:after="0"/>
              <w:jc w:val="right"/>
              <w:rPr>
                <w:rFonts w:cstheme="minorHAnsi"/>
                <w:szCs w:val="18"/>
              </w:rPr>
            </w:pPr>
            <w:r w:rsidRPr="00EA3570">
              <w:rPr>
                <w:rFonts w:cstheme="minorHAnsi"/>
                <w:szCs w:val="18"/>
              </w:rPr>
              <w:t>35.453</w:t>
            </w:r>
          </w:p>
        </w:tc>
        <w:tc>
          <w:tcPr>
            <w:tcW w:w="820" w:type="dxa"/>
            <w:tcBorders>
              <w:top w:val="single" w:sz="8" w:space="0" w:color="F3CFC1"/>
              <w:bottom w:val="single" w:sz="8" w:space="0" w:color="F3CFC1"/>
            </w:tcBorders>
          </w:tcPr>
          <w:p w14:paraId="186067FC" w14:textId="64861665" w:rsidR="00EA3570" w:rsidRPr="00DD670B" w:rsidRDefault="00EA3570" w:rsidP="00373E79">
            <w:pPr>
              <w:spacing w:after="0"/>
              <w:jc w:val="right"/>
              <w:rPr>
                <w:rFonts w:cstheme="minorHAnsi"/>
                <w:szCs w:val="18"/>
              </w:rPr>
            </w:pPr>
            <w:r w:rsidRPr="00EA3570">
              <w:rPr>
                <w:rFonts w:cstheme="minorHAnsi"/>
                <w:szCs w:val="18"/>
              </w:rPr>
              <w:t>534</w:t>
            </w:r>
          </w:p>
        </w:tc>
        <w:tc>
          <w:tcPr>
            <w:tcW w:w="821" w:type="dxa"/>
            <w:tcBorders>
              <w:top w:val="single" w:sz="8" w:space="0" w:color="F3CFC1"/>
              <w:bottom w:val="single" w:sz="8" w:space="0" w:color="F3CFC1"/>
            </w:tcBorders>
          </w:tcPr>
          <w:p w14:paraId="4581F37B" w14:textId="7B58861B" w:rsidR="00EA3570" w:rsidRPr="00DD670B" w:rsidRDefault="00EA3570" w:rsidP="00373E79">
            <w:pPr>
              <w:spacing w:after="0"/>
              <w:jc w:val="right"/>
              <w:rPr>
                <w:rFonts w:cstheme="minorHAnsi"/>
                <w:szCs w:val="18"/>
              </w:rPr>
            </w:pPr>
            <w:r w:rsidRPr="00EA3570">
              <w:rPr>
                <w:rFonts w:cstheme="minorHAnsi"/>
                <w:szCs w:val="18"/>
              </w:rPr>
              <w:t>5.772</w:t>
            </w:r>
          </w:p>
        </w:tc>
        <w:tc>
          <w:tcPr>
            <w:tcW w:w="820" w:type="dxa"/>
            <w:tcBorders>
              <w:top w:val="single" w:sz="8" w:space="0" w:color="F3CFC1"/>
              <w:bottom w:val="single" w:sz="8" w:space="0" w:color="F3CFC1"/>
            </w:tcBorders>
          </w:tcPr>
          <w:p w14:paraId="256693B8" w14:textId="5383453F" w:rsidR="00EA3570" w:rsidRPr="00DD670B" w:rsidRDefault="00EA3570" w:rsidP="00373E79">
            <w:pPr>
              <w:spacing w:after="0"/>
              <w:jc w:val="right"/>
              <w:rPr>
                <w:rFonts w:cstheme="minorHAnsi"/>
                <w:szCs w:val="18"/>
              </w:rPr>
            </w:pPr>
            <w:r w:rsidRPr="00EA3570">
              <w:rPr>
                <w:rFonts w:cstheme="minorHAnsi"/>
                <w:szCs w:val="18"/>
              </w:rPr>
              <w:t>159</w:t>
            </w:r>
          </w:p>
        </w:tc>
        <w:tc>
          <w:tcPr>
            <w:tcW w:w="821" w:type="dxa"/>
            <w:tcBorders>
              <w:top w:val="single" w:sz="8" w:space="0" w:color="F3CFC1"/>
              <w:bottom w:val="single" w:sz="8" w:space="0" w:color="F3CFC1"/>
              <w:right w:val="single" w:sz="8" w:space="0" w:color="D2232A"/>
            </w:tcBorders>
          </w:tcPr>
          <w:p w14:paraId="6B3DD21B" w14:textId="6F6B8738" w:rsidR="00EA3570" w:rsidRPr="00DD670B" w:rsidRDefault="00EA3570" w:rsidP="00373E79">
            <w:pPr>
              <w:spacing w:after="0"/>
              <w:jc w:val="right"/>
              <w:rPr>
                <w:rFonts w:cstheme="minorHAnsi"/>
                <w:szCs w:val="18"/>
              </w:rPr>
            </w:pPr>
            <w:r w:rsidRPr="00EA3570">
              <w:rPr>
                <w:rFonts w:cstheme="minorHAnsi"/>
                <w:szCs w:val="18"/>
              </w:rPr>
              <w:t>828</w:t>
            </w:r>
          </w:p>
        </w:tc>
      </w:tr>
      <w:tr w:rsidR="00EA3570" w:rsidRPr="00DD670B" w14:paraId="336F1462" w14:textId="77777777" w:rsidTr="00DD670B">
        <w:trPr>
          <w:trHeight w:val="283"/>
        </w:trPr>
        <w:tc>
          <w:tcPr>
            <w:tcW w:w="966" w:type="dxa"/>
            <w:tcBorders>
              <w:top w:val="single" w:sz="8" w:space="0" w:color="F3CFC1"/>
              <w:left w:val="single" w:sz="8" w:space="0" w:color="D2232A"/>
              <w:bottom w:val="nil"/>
            </w:tcBorders>
          </w:tcPr>
          <w:p w14:paraId="269963F6" w14:textId="4004EC62" w:rsidR="00EA3570" w:rsidRDefault="00EA3570" w:rsidP="00941871">
            <w:pPr>
              <w:spacing w:after="0"/>
              <w:rPr>
                <w:rFonts w:cstheme="minorHAnsi"/>
                <w:szCs w:val="18"/>
              </w:rPr>
            </w:pPr>
            <w:r>
              <w:rPr>
                <w:rFonts w:cstheme="minorHAnsi"/>
                <w:szCs w:val="18"/>
              </w:rPr>
              <w:t>2020.</w:t>
            </w:r>
          </w:p>
        </w:tc>
        <w:tc>
          <w:tcPr>
            <w:tcW w:w="819" w:type="dxa"/>
            <w:tcBorders>
              <w:top w:val="single" w:sz="8" w:space="0" w:color="F3CFC1"/>
              <w:bottom w:val="nil"/>
            </w:tcBorders>
          </w:tcPr>
          <w:p w14:paraId="659CAAD5" w14:textId="21D68259" w:rsidR="00EA3570" w:rsidRPr="00EA3570" w:rsidRDefault="00EA3570" w:rsidP="00373E79">
            <w:pPr>
              <w:spacing w:after="0"/>
              <w:jc w:val="right"/>
              <w:rPr>
                <w:rFonts w:cstheme="minorHAnsi"/>
                <w:bCs/>
                <w:szCs w:val="18"/>
              </w:rPr>
            </w:pPr>
            <w:r w:rsidRPr="00EA3570">
              <w:rPr>
                <w:rFonts w:cstheme="minorHAnsi"/>
                <w:bCs/>
                <w:szCs w:val="18"/>
              </w:rPr>
              <w:t>1.308</w:t>
            </w:r>
          </w:p>
        </w:tc>
        <w:tc>
          <w:tcPr>
            <w:tcW w:w="821" w:type="dxa"/>
            <w:tcBorders>
              <w:top w:val="single" w:sz="8" w:space="0" w:color="F3CFC1"/>
              <w:bottom w:val="nil"/>
            </w:tcBorders>
          </w:tcPr>
          <w:p w14:paraId="46529EBF" w14:textId="03EC3585" w:rsidR="00EA3570" w:rsidRPr="00EA3570" w:rsidRDefault="00EA3570" w:rsidP="00373E79">
            <w:pPr>
              <w:spacing w:after="0"/>
              <w:jc w:val="right"/>
              <w:rPr>
                <w:rFonts w:cstheme="minorHAnsi"/>
                <w:szCs w:val="18"/>
              </w:rPr>
            </w:pPr>
            <w:r w:rsidRPr="00EA3570">
              <w:rPr>
                <w:rFonts w:cstheme="minorHAnsi"/>
                <w:szCs w:val="18"/>
              </w:rPr>
              <w:t>7.594</w:t>
            </w:r>
          </w:p>
        </w:tc>
        <w:tc>
          <w:tcPr>
            <w:tcW w:w="820" w:type="dxa"/>
            <w:tcBorders>
              <w:top w:val="single" w:sz="8" w:space="0" w:color="F3CFC1"/>
              <w:bottom w:val="nil"/>
            </w:tcBorders>
          </w:tcPr>
          <w:p w14:paraId="6AA0D868" w14:textId="6410B68D" w:rsidR="00EA3570" w:rsidRPr="00EA3570" w:rsidRDefault="00EA3570" w:rsidP="00373E79">
            <w:pPr>
              <w:spacing w:after="0"/>
              <w:jc w:val="right"/>
              <w:rPr>
                <w:rFonts w:cstheme="minorHAnsi"/>
                <w:szCs w:val="18"/>
              </w:rPr>
            </w:pPr>
            <w:r w:rsidRPr="00EA3570">
              <w:rPr>
                <w:rFonts w:cstheme="minorHAnsi"/>
                <w:szCs w:val="18"/>
              </w:rPr>
              <w:t>242</w:t>
            </w:r>
          </w:p>
        </w:tc>
        <w:tc>
          <w:tcPr>
            <w:tcW w:w="821" w:type="dxa"/>
            <w:tcBorders>
              <w:top w:val="single" w:sz="8" w:space="0" w:color="F3CFC1"/>
              <w:bottom w:val="nil"/>
            </w:tcBorders>
          </w:tcPr>
          <w:p w14:paraId="379AF183" w14:textId="43165DC1" w:rsidR="00EA3570" w:rsidRPr="00EA3570" w:rsidRDefault="00EA3570" w:rsidP="00373E79">
            <w:pPr>
              <w:spacing w:after="0"/>
              <w:jc w:val="right"/>
              <w:rPr>
                <w:rFonts w:cstheme="minorHAnsi"/>
                <w:szCs w:val="18"/>
              </w:rPr>
            </w:pPr>
            <w:r w:rsidRPr="00EA3570">
              <w:rPr>
                <w:rFonts w:cstheme="minorHAnsi"/>
                <w:szCs w:val="18"/>
              </w:rPr>
              <w:t>671</w:t>
            </w:r>
          </w:p>
        </w:tc>
        <w:tc>
          <w:tcPr>
            <w:tcW w:w="820" w:type="dxa"/>
            <w:tcBorders>
              <w:top w:val="single" w:sz="8" w:space="0" w:color="F3CFC1"/>
              <w:bottom w:val="nil"/>
            </w:tcBorders>
          </w:tcPr>
          <w:p w14:paraId="4E2FFF5D" w14:textId="3819EF63" w:rsidR="00EA3570" w:rsidRPr="00EA3570" w:rsidRDefault="00EA3570" w:rsidP="00373E79">
            <w:pPr>
              <w:spacing w:after="0"/>
              <w:jc w:val="right"/>
              <w:rPr>
                <w:rFonts w:cstheme="minorHAnsi"/>
                <w:szCs w:val="18"/>
              </w:rPr>
            </w:pPr>
            <w:r w:rsidRPr="00EA3570">
              <w:rPr>
                <w:rFonts w:cstheme="minorHAnsi"/>
                <w:szCs w:val="18"/>
              </w:rPr>
              <w:t>7.541</w:t>
            </w:r>
          </w:p>
        </w:tc>
        <w:tc>
          <w:tcPr>
            <w:tcW w:w="821" w:type="dxa"/>
            <w:tcBorders>
              <w:top w:val="single" w:sz="8" w:space="0" w:color="F3CFC1"/>
              <w:bottom w:val="nil"/>
            </w:tcBorders>
          </w:tcPr>
          <w:p w14:paraId="22646549" w14:textId="6F49B7A2" w:rsidR="00EA3570" w:rsidRPr="00EA3570" w:rsidRDefault="00EA3570" w:rsidP="00373E79">
            <w:pPr>
              <w:spacing w:after="0"/>
              <w:jc w:val="right"/>
              <w:rPr>
                <w:rFonts w:cstheme="minorHAnsi"/>
                <w:szCs w:val="18"/>
              </w:rPr>
            </w:pPr>
            <w:r w:rsidRPr="00EA3570">
              <w:rPr>
                <w:rFonts w:cstheme="minorHAnsi"/>
                <w:szCs w:val="18"/>
              </w:rPr>
              <w:t>36.211</w:t>
            </w:r>
          </w:p>
        </w:tc>
        <w:tc>
          <w:tcPr>
            <w:tcW w:w="820" w:type="dxa"/>
            <w:tcBorders>
              <w:top w:val="single" w:sz="8" w:space="0" w:color="F3CFC1"/>
              <w:bottom w:val="nil"/>
            </w:tcBorders>
          </w:tcPr>
          <w:p w14:paraId="008E547A" w14:textId="5942C508" w:rsidR="00EA3570" w:rsidRPr="00EA3570" w:rsidRDefault="00245F67" w:rsidP="00373E79">
            <w:pPr>
              <w:spacing w:after="0"/>
              <w:jc w:val="right"/>
              <w:rPr>
                <w:rFonts w:cstheme="minorHAnsi"/>
                <w:szCs w:val="18"/>
              </w:rPr>
            </w:pPr>
            <w:r w:rsidRPr="00245F67">
              <w:rPr>
                <w:rFonts w:cstheme="minorHAnsi"/>
                <w:szCs w:val="18"/>
              </w:rPr>
              <w:t>560</w:t>
            </w:r>
          </w:p>
        </w:tc>
        <w:tc>
          <w:tcPr>
            <w:tcW w:w="821" w:type="dxa"/>
            <w:tcBorders>
              <w:top w:val="single" w:sz="8" w:space="0" w:color="F3CFC1"/>
              <w:bottom w:val="nil"/>
            </w:tcBorders>
          </w:tcPr>
          <w:p w14:paraId="6F4B6D36" w14:textId="450533AC" w:rsidR="00EA3570" w:rsidRPr="00EA3570" w:rsidRDefault="00245F67" w:rsidP="00373E79">
            <w:pPr>
              <w:spacing w:after="0"/>
              <w:jc w:val="right"/>
              <w:rPr>
                <w:rFonts w:cstheme="minorHAnsi"/>
                <w:szCs w:val="18"/>
              </w:rPr>
            </w:pPr>
            <w:r w:rsidRPr="00245F67">
              <w:rPr>
                <w:rFonts w:cstheme="minorHAnsi"/>
                <w:szCs w:val="18"/>
              </w:rPr>
              <w:t>6.142</w:t>
            </w:r>
          </w:p>
        </w:tc>
        <w:tc>
          <w:tcPr>
            <w:tcW w:w="820" w:type="dxa"/>
            <w:tcBorders>
              <w:top w:val="single" w:sz="8" w:space="0" w:color="F3CFC1"/>
              <w:bottom w:val="nil"/>
            </w:tcBorders>
          </w:tcPr>
          <w:p w14:paraId="3BA9A6DB" w14:textId="653BC647" w:rsidR="00EA3570" w:rsidRPr="00EA3570" w:rsidRDefault="00245F67" w:rsidP="00373E79">
            <w:pPr>
              <w:spacing w:after="0"/>
              <w:jc w:val="right"/>
              <w:rPr>
                <w:rFonts w:cstheme="minorHAnsi"/>
                <w:szCs w:val="18"/>
              </w:rPr>
            </w:pPr>
            <w:r w:rsidRPr="00245F67">
              <w:rPr>
                <w:rFonts w:cstheme="minorHAnsi"/>
                <w:szCs w:val="18"/>
              </w:rPr>
              <w:t>159</w:t>
            </w:r>
          </w:p>
        </w:tc>
        <w:tc>
          <w:tcPr>
            <w:tcW w:w="821" w:type="dxa"/>
            <w:tcBorders>
              <w:top w:val="single" w:sz="8" w:space="0" w:color="F3CFC1"/>
              <w:bottom w:val="nil"/>
              <w:right w:val="single" w:sz="8" w:space="0" w:color="D2232A"/>
            </w:tcBorders>
          </w:tcPr>
          <w:p w14:paraId="7672F6B2" w14:textId="023DF7E7" w:rsidR="00EA3570" w:rsidRPr="00EA3570" w:rsidRDefault="00245F67" w:rsidP="00373E79">
            <w:pPr>
              <w:spacing w:after="0"/>
              <w:jc w:val="right"/>
              <w:rPr>
                <w:rFonts w:cstheme="minorHAnsi"/>
                <w:szCs w:val="18"/>
              </w:rPr>
            </w:pPr>
            <w:r w:rsidRPr="00245F67">
              <w:rPr>
                <w:rFonts w:cstheme="minorHAnsi"/>
                <w:szCs w:val="18"/>
              </w:rPr>
              <w:t>814</w:t>
            </w:r>
          </w:p>
        </w:tc>
      </w:tr>
    </w:tbl>
    <w:p w14:paraId="52EA14A5" w14:textId="077A3262" w:rsidR="008878A0" w:rsidRPr="00BD0057" w:rsidRDefault="008878A0" w:rsidP="003C2276">
      <w:pPr>
        <w:pStyle w:val="Izvor"/>
        <w:rPr>
          <w:i/>
          <w:color w:val="ABABAB" w:themeColor="text1" w:themeTint="A6"/>
          <w:sz w:val="16"/>
          <w:szCs w:val="16"/>
        </w:rPr>
      </w:pPr>
      <w:r w:rsidRPr="00BD0057">
        <w:rPr>
          <w:i/>
          <w:color w:val="ABABAB" w:themeColor="text1" w:themeTint="A6"/>
          <w:sz w:val="16"/>
          <w:szCs w:val="16"/>
        </w:rPr>
        <w:t xml:space="preserve">Izvor: </w:t>
      </w:r>
      <w:hyperlink r:id="rId109" w:history="1">
        <w:r w:rsidRPr="00BD0057">
          <w:rPr>
            <w:i/>
            <w:color w:val="ABABAB" w:themeColor="text1" w:themeTint="A6"/>
            <w:sz w:val="16"/>
            <w:szCs w:val="16"/>
          </w:rPr>
          <w:t>http://hpa.mps.hr/jrdz-izvjestaji/broj-domacih-zivotinja/</w:t>
        </w:r>
      </w:hyperlink>
      <w:r w:rsidR="00492735" w:rsidRPr="00BD0057">
        <w:rPr>
          <w:i/>
          <w:color w:val="ABABAB" w:themeColor="text1" w:themeTint="A6"/>
          <w:sz w:val="16"/>
          <w:szCs w:val="16"/>
        </w:rPr>
        <w:t>, pristup</w:t>
      </w:r>
      <w:r w:rsidR="00A43499">
        <w:rPr>
          <w:i/>
          <w:color w:val="ABABAB" w:themeColor="text1" w:themeTint="A6"/>
          <w:sz w:val="16"/>
          <w:szCs w:val="16"/>
        </w:rPr>
        <w:t>ljeno</w:t>
      </w:r>
      <w:r w:rsidR="00492735" w:rsidRPr="00BD0057">
        <w:rPr>
          <w:i/>
          <w:color w:val="ABABAB" w:themeColor="text1" w:themeTint="A6"/>
          <w:sz w:val="16"/>
          <w:szCs w:val="16"/>
        </w:rPr>
        <w:t xml:space="preserve"> </w:t>
      </w:r>
      <w:r w:rsidR="00EA3570" w:rsidRPr="00BD0057">
        <w:rPr>
          <w:i/>
          <w:color w:val="ABABAB" w:themeColor="text1" w:themeTint="A6"/>
          <w:sz w:val="16"/>
          <w:szCs w:val="16"/>
        </w:rPr>
        <w:t>ožujak</w:t>
      </w:r>
      <w:r w:rsidR="00BD0057">
        <w:rPr>
          <w:i/>
          <w:color w:val="ABABAB" w:themeColor="text1" w:themeTint="A6"/>
          <w:sz w:val="16"/>
          <w:szCs w:val="16"/>
        </w:rPr>
        <w:t xml:space="preserve"> </w:t>
      </w:r>
      <w:r w:rsidR="00EA3570" w:rsidRPr="00BD0057">
        <w:rPr>
          <w:i/>
          <w:color w:val="ABABAB" w:themeColor="text1" w:themeTint="A6"/>
          <w:sz w:val="16"/>
          <w:szCs w:val="16"/>
        </w:rPr>
        <w:t>2020</w:t>
      </w:r>
      <w:r w:rsidR="00492735" w:rsidRPr="00BD0057">
        <w:rPr>
          <w:i/>
          <w:color w:val="ABABAB" w:themeColor="text1" w:themeTint="A6"/>
          <w:sz w:val="16"/>
          <w:szCs w:val="16"/>
        </w:rPr>
        <w:t>. godine</w:t>
      </w:r>
    </w:p>
    <w:p w14:paraId="477D5C41" w14:textId="77777777" w:rsidR="00DD670B" w:rsidRDefault="00DD670B" w:rsidP="00941871">
      <w:pPr>
        <w:spacing w:line="283" w:lineRule="auto"/>
        <w:ind w:right="232"/>
        <w:rPr>
          <w:rFonts w:cstheme="minorHAnsi"/>
        </w:rPr>
      </w:pPr>
    </w:p>
    <w:p w14:paraId="7926E09E" w14:textId="3708E0B8" w:rsidR="008878A0" w:rsidRDefault="00274EB9" w:rsidP="00941871">
      <w:pPr>
        <w:spacing w:line="283" w:lineRule="auto"/>
        <w:ind w:right="232"/>
        <w:rPr>
          <w:rFonts w:cstheme="minorHAnsi"/>
          <w:sz w:val="22"/>
          <w:szCs w:val="22"/>
        </w:rPr>
      </w:pPr>
      <w:r>
        <w:rPr>
          <w:rFonts w:cstheme="minorHAnsi"/>
        </w:rPr>
        <w:t>Napomena: b</w:t>
      </w:r>
      <w:r w:rsidR="008878A0">
        <w:rPr>
          <w:rFonts w:cstheme="minorHAnsi"/>
        </w:rPr>
        <w:t xml:space="preserve">rojno stanje životinja odnosi se na ukupan broj životinja svih kategorija po vrstama. Podaci za goveda, kopitare, ovce i koze </w:t>
      </w:r>
      <w:r w:rsidR="008878A0">
        <w:rPr>
          <w:rFonts w:cstheme="minorHAnsi"/>
          <w:shd w:val="clear" w:color="auto" w:fill="FFFFFF"/>
        </w:rPr>
        <w:t>ažuriraju</w:t>
      </w:r>
      <w:r w:rsidR="008878A0">
        <w:rPr>
          <w:rFonts w:cstheme="minorHAnsi"/>
        </w:rPr>
        <w:t xml:space="preserve"> se na dnevnoj bazi temeljem označavanja životinja i prijavljenih prometa. Brojno stanje svinja </w:t>
      </w:r>
      <w:r w:rsidR="00E13FB4">
        <w:rPr>
          <w:rFonts w:cstheme="minorHAnsi"/>
        </w:rPr>
        <w:t xml:space="preserve">preuzeto je </w:t>
      </w:r>
      <w:r w:rsidR="008878A0">
        <w:rPr>
          <w:rFonts w:cstheme="minorHAnsi"/>
        </w:rPr>
        <w:t>iz Godišnje dojave brojnog stanja svinja koju posjednici svinja dostavljaju u JRDŽ tijekom prosinca, za gospodarstva koja nisu dostavila Godišnju dojavu brojnog stanja svinja korišteni su podaci iz posljednjeg Veterinarskog pregleda gospodarstva (VPG).</w:t>
      </w:r>
    </w:p>
    <w:p w14:paraId="54FF3685" w14:textId="03B2E30E" w:rsidR="008878A0" w:rsidRDefault="008878A0" w:rsidP="00372A4B">
      <w:pPr>
        <w:spacing w:line="283" w:lineRule="auto"/>
        <w:ind w:right="232"/>
        <w:rPr>
          <w:rFonts w:cstheme="minorHAnsi"/>
        </w:rPr>
      </w:pPr>
      <w:r>
        <w:rPr>
          <w:rFonts w:cstheme="minorHAnsi"/>
        </w:rPr>
        <w:t xml:space="preserve">Podaci iz JRDŽ upućuju da se broj goveda u promatranom </w:t>
      </w:r>
      <w:r w:rsidR="0059395A">
        <w:rPr>
          <w:rFonts w:cstheme="minorHAnsi"/>
        </w:rPr>
        <w:t>osmogodišnjem</w:t>
      </w:r>
      <w:r>
        <w:rPr>
          <w:rFonts w:cstheme="minorHAnsi"/>
        </w:rPr>
        <w:t xml:space="preserve"> razdoblju kontinuirano smanjuje, jednako kao i broj gospodarstva koja uzgajaju goveda. U govedarstvu prevladava uzgoj krava i to pretežito mliječnih i kombiniranih pasmina (simentalska, holstein i smeđa). </w:t>
      </w:r>
    </w:p>
    <w:p w14:paraId="73F06FBE" w14:textId="43E7CDE5" w:rsidR="00083AE7" w:rsidRDefault="00083AE7" w:rsidP="000061E9">
      <w:pPr>
        <w:pStyle w:val="Opisslike"/>
      </w:pPr>
      <w:r>
        <w:lastRenderedPageBreak/>
        <w:t xml:space="preserve">Tablica </w:t>
      </w:r>
      <w:r w:rsidR="00BD0057" w:rsidRPr="000061E9">
        <w:t>1</w:t>
      </w:r>
      <w:r w:rsidR="00CA3263" w:rsidRPr="000061E9">
        <w:t>64</w:t>
      </w:r>
      <w:r w:rsidRPr="000061E9">
        <w:t xml:space="preserve">. </w:t>
      </w:r>
      <w:r>
        <w:t>Broj goveda i krava i broj stada goveda i krava u Krapinsko-zagorskoj županiji, 2017.</w:t>
      </w:r>
      <w:r w:rsidR="00BD0057">
        <w:t xml:space="preserve"> </w:t>
      </w:r>
      <w:r>
        <w:t>-</w:t>
      </w:r>
      <w:r w:rsidR="00BD0057">
        <w:t xml:space="preserve"> </w:t>
      </w:r>
      <w:r>
        <w:t>2019.</w:t>
      </w:r>
    </w:p>
    <w:tbl>
      <w:tblPr>
        <w:tblW w:w="9325" w:type="dxa"/>
        <w:jc w:val="center"/>
        <w:tblLook w:val="04A0" w:firstRow="1" w:lastRow="0" w:firstColumn="1" w:lastColumn="0" w:noHBand="0" w:noVBand="1"/>
      </w:tblPr>
      <w:tblGrid>
        <w:gridCol w:w="1354"/>
        <w:gridCol w:w="1336"/>
        <w:gridCol w:w="1326"/>
        <w:gridCol w:w="1335"/>
        <w:gridCol w:w="1326"/>
        <w:gridCol w:w="1321"/>
        <w:gridCol w:w="1327"/>
      </w:tblGrid>
      <w:tr w:rsidR="00083AE7" w:rsidRPr="00083AE7" w14:paraId="4EDC64A2" w14:textId="77777777" w:rsidTr="000061E9">
        <w:trPr>
          <w:trHeight w:val="378"/>
          <w:jc w:val="center"/>
        </w:trPr>
        <w:tc>
          <w:tcPr>
            <w:tcW w:w="1354" w:type="dxa"/>
            <w:vMerge w:val="restart"/>
            <w:tcBorders>
              <w:top w:val="single" w:sz="4" w:space="0" w:color="auto"/>
              <w:left w:val="single" w:sz="4" w:space="0" w:color="auto"/>
              <w:bottom w:val="single" w:sz="4" w:space="0" w:color="auto"/>
              <w:right w:val="single" w:sz="4" w:space="0" w:color="auto"/>
            </w:tcBorders>
            <w:shd w:val="clear" w:color="000000" w:fill="D2232A"/>
            <w:vAlign w:val="center"/>
            <w:hideMark/>
          </w:tcPr>
          <w:p w14:paraId="02D22FFC"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Godina</w:t>
            </w:r>
          </w:p>
        </w:tc>
        <w:tc>
          <w:tcPr>
            <w:tcW w:w="2662" w:type="dxa"/>
            <w:gridSpan w:val="2"/>
            <w:vMerge w:val="restart"/>
            <w:tcBorders>
              <w:top w:val="single" w:sz="4" w:space="0" w:color="auto"/>
              <w:left w:val="single" w:sz="4" w:space="0" w:color="auto"/>
              <w:bottom w:val="single" w:sz="4" w:space="0" w:color="auto"/>
              <w:right w:val="single" w:sz="4" w:space="0" w:color="auto"/>
            </w:tcBorders>
            <w:shd w:val="clear" w:color="000000" w:fill="D2232A"/>
            <w:vAlign w:val="center"/>
            <w:hideMark/>
          </w:tcPr>
          <w:p w14:paraId="54877DA9"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Goveda</w:t>
            </w:r>
          </w:p>
        </w:tc>
        <w:tc>
          <w:tcPr>
            <w:tcW w:w="2661" w:type="dxa"/>
            <w:gridSpan w:val="2"/>
            <w:vMerge w:val="restart"/>
            <w:tcBorders>
              <w:top w:val="single" w:sz="4" w:space="0" w:color="auto"/>
              <w:left w:val="single" w:sz="4" w:space="0" w:color="auto"/>
              <w:bottom w:val="single" w:sz="4" w:space="0" w:color="auto"/>
              <w:right w:val="single" w:sz="4" w:space="0" w:color="auto"/>
            </w:tcBorders>
            <w:shd w:val="clear" w:color="000000" w:fill="D2232A"/>
            <w:vAlign w:val="center"/>
            <w:hideMark/>
          </w:tcPr>
          <w:p w14:paraId="6CEC8F31"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Krave</w:t>
            </w:r>
          </w:p>
        </w:tc>
        <w:tc>
          <w:tcPr>
            <w:tcW w:w="2648" w:type="dxa"/>
            <w:gridSpan w:val="2"/>
            <w:vMerge w:val="restart"/>
            <w:tcBorders>
              <w:top w:val="single" w:sz="4" w:space="0" w:color="auto"/>
              <w:left w:val="single" w:sz="4" w:space="0" w:color="auto"/>
              <w:bottom w:val="single" w:sz="4" w:space="0" w:color="auto"/>
              <w:right w:val="single" w:sz="4" w:space="0" w:color="auto"/>
            </w:tcBorders>
            <w:shd w:val="clear" w:color="000000" w:fill="D2232A"/>
            <w:vAlign w:val="center"/>
            <w:hideMark/>
          </w:tcPr>
          <w:p w14:paraId="4A3E30A1"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Krave pod kontrolom mliječnosti</w:t>
            </w:r>
          </w:p>
        </w:tc>
      </w:tr>
      <w:tr w:rsidR="00083AE7" w:rsidRPr="00083AE7" w14:paraId="1C84EEEA" w14:textId="77777777" w:rsidTr="000061E9">
        <w:trPr>
          <w:trHeight w:val="378"/>
          <w:jc w:val="center"/>
        </w:trPr>
        <w:tc>
          <w:tcPr>
            <w:tcW w:w="1354" w:type="dxa"/>
            <w:vMerge/>
            <w:tcBorders>
              <w:top w:val="single" w:sz="4" w:space="0" w:color="auto"/>
              <w:left w:val="single" w:sz="4" w:space="0" w:color="auto"/>
              <w:bottom w:val="single" w:sz="4" w:space="0" w:color="auto"/>
              <w:right w:val="single" w:sz="4" w:space="0" w:color="auto"/>
            </w:tcBorders>
            <w:vAlign w:val="center"/>
            <w:hideMark/>
          </w:tcPr>
          <w:p w14:paraId="780D7403" w14:textId="77777777" w:rsidR="00083AE7" w:rsidRPr="00083AE7" w:rsidRDefault="00083AE7" w:rsidP="00083AE7">
            <w:pPr>
              <w:spacing w:after="0" w:line="240" w:lineRule="auto"/>
              <w:jc w:val="left"/>
              <w:rPr>
                <w:rFonts w:eastAsia="Times New Roman" w:cs="Calibri"/>
                <w:color w:val="FFFFFF"/>
                <w:szCs w:val="18"/>
                <w:lang w:eastAsia="hr-HR"/>
              </w:rPr>
            </w:pPr>
          </w:p>
        </w:tc>
        <w:tc>
          <w:tcPr>
            <w:tcW w:w="2662" w:type="dxa"/>
            <w:gridSpan w:val="2"/>
            <w:vMerge/>
            <w:tcBorders>
              <w:top w:val="single" w:sz="4" w:space="0" w:color="auto"/>
              <w:left w:val="single" w:sz="4" w:space="0" w:color="auto"/>
              <w:bottom w:val="single" w:sz="4" w:space="0" w:color="auto"/>
              <w:right w:val="single" w:sz="4" w:space="0" w:color="auto"/>
            </w:tcBorders>
            <w:vAlign w:val="center"/>
            <w:hideMark/>
          </w:tcPr>
          <w:p w14:paraId="37289D23" w14:textId="77777777" w:rsidR="00083AE7" w:rsidRPr="00083AE7" w:rsidRDefault="00083AE7" w:rsidP="00083AE7">
            <w:pPr>
              <w:spacing w:after="0" w:line="240" w:lineRule="auto"/>
              <w:jc w:val="left"/>
              <w:rPr>
                <w:rFonts w:eastAsia="Times New Roman" w:cs="Calibri"/>
                <w:color w:val="FFFFFF"/>
                <w:szCs w:val="18"/>
                <w:lang w:eastAsia="hr-HR"/>
              </w:rPr>
            </w:pPr>
          </w:p>
        </w:tc>
        <w:tc>
          <w:tcPr>
            <w:tcW w:w="2661" w:type="dxa"/>
            <w:gridSpan w:val="2"/>
            <w:vMerge/>
            <w:tcBorders>
              <w:top w:val="single" w:sz="4" w:space="0" w:color="auto"/>
              <w:left w:val="single" w:sz="4" w:space="0" w:color="auto"/>
              <w:bottom w:val="single" w:sz="4" w:space="0" w:color="auto"/>
              <w:right w:val="single" w:sz="4" w:space="0" w:color="auto"/>
            </w:tcBorders>
            <w:vAlign w:val="center"/>
            <w:hideMark/>
          </w:tcPr>
          <w:p w14:paraId="2C211FE8" w14:textId="77777777" w:rsidR="00083AE7" w:rsidRPr="00083AE7" w:rsidRDefault="00083AE7" w:rsidP="00083AE7">
            <w:pPr>
              <w:spacing w:after="0" w:line="240" w:lineRule="auto"/>
              <w:jc w:val="left"/>
              <w:rPr>
                <w:rFonts w:eastAsia="Times New Roman" w:cs="Calibri"/>
                <w:color w:val="FFFFFF"/>
                <w:szCs w:val="18"/>
                <w:lang w:eastAsia="hr-HR"/>
              </w:rPr>
            </w:pPr>
          </w:p>
        </w:tc>
        <w:tc>
          <w:tcPr>
            <w:tcW w:w="2648" w:type="dxa"/>
            <w:gridSpan w:val="2"/>
            <w:vMerge/>
            <w:tcBorders>
              <w:top w:val="single" w:sz="4" w:space="0" w:color="auto"/>
              <w:left w:val="single" w:sz="4" w:space="0" w:color="auto"/>
              <w:bottom w:val="single" w:sz="4" w:space="0" w:color="auto"/>
              <w:right w:val="single" w:sz="4" w:space="0" w:color="auto"/>
            </w:tcBorders>
            <w:vAlign w:val="center"/>
            <w:hideMark/>
          </w:tcPr>
          <w:p w14:paraId="0DD1D91B" w14:textId="77777777" w:rsidR="00083AE7" w:rsidRPr="00083AE7" w:rsidRDefault="00083AE7" w:rsidP="00083AE7">
            <w:pPr>
              <w:spacing w:after="0" w:line="240" w:lineRule="auto"/>
              <w:jc w:val="left"/>
              <w:rPr>
                <w:rFonts w:eastAsia="Times New Roman" w:cs="Calibri"/>
                <w:color w:val="FFFFFF"/>
                <w:szCs w:val="18"/>
                <w:lang w:eastAsia="hr-HR"/>
              </w:rPr>
            </w:pPr>
          </w:p>
        </w:tc>
      </w:tr>
      <w:tr w:rsidR="00083AE7" w:rsidRPr="00083AE7" w14:paraId="0AEE748E" w14:textId="77777777" w:rsidTr="000061E9">
        <w:trPr>
          <w:trHeight w:val="372"/>
          <w:jc w:val="center"/>
        </w:trPr>
        <w:tc>
          <w:tcPr>
            <w:tcW w:w="1354" w:type="dxa"/>
            <w:vMerge/>
            <w:tcBorders>
              <w:top w:val="single" w:sz="4" w:space="0" w:color="auto"/>
              <w:left w:val="single" w:sz="4" w:space="0" w:color="auto"/>
              <w:bottom w:val="single" w:sz="4" w:space="0" w:color="auto"/>
              <w:right w:val="single" w:sz="4" w:space="0" w:color="auto"/>
            </w:tcBorders>
            <w:vAlign w:val="center"/>
            <w:hideMark/>
          </w:tcPr>
          <w:p w14:paraId="32CE5383" w14:textId="77777777" w:rsidR="00083AE7" w:rsidRPr="00083AE7" w:rsidRDefault="00083AE7" w:rsidP="00083AE7">
            <w:pPr>
              <w:spacing w:after="0" w:line="240" w:lineRule="auto"/>
              <w:jc w:val="left"/>
              <w:rPr>
                <w:rFonts w:eastAsia="Times New Roman" w:cs="Calibri"/>
                <w:color w:val="FFFFFF"/>
                <w:szCs w:val="18"/>
                <w:lang w:eastAsia="hr-HR"/>
              </w:rPr>
            </w:pPr>
          </w:p>
        </w:tc>
        <w:tc>
          <w:tcPr>
            <w:tcW w:w="2662" w:type="dxa"/>
            <w:gridSpan w:val="2"/>
            <w:vMerge/>
            <w:tcBorders>
              <w:top w:val="single" w:sz="4" w:space="0" w:color="auto"/>
              <w:left w:val="single" w:sz="4" w:space="0" w:color="auto"/>
              <w:bottom w:val="single" w:sz="4" w:space="0" w:color="auto"/>
              <w:right w:val="single" w:sz="4" w:space="0" w:color="auto"/>
            </w:tcBorders>
            <w:vAlign w:val="center"/>
            <w:hideMark/>
          </w:tcPr>
          <w:p w14:paraId="30668D86" w14:textId="77777777" w:rsidR="00083AE7" w:rsidRPr="00083AE7" w:rsidRDefault="00083AE7" w:rsidP="00083AE7">
            <w:pPr>
              <w:spacing w:after="0" w:line="240" w:lineRule="auto"/>
              <w:jc w:val="left"/>
              <w:rPr>
                <w:rFonts w:eastAsia="Times New Roman" w:cs="Calibri"/>
                <w:color w:val="FFFFFF"/>
                <w:szCs w:val="18"/>
                <w:lang w:eastAsia="hr-HR"/>
              </w:rPr>
            </w:pPr>
          </w:p>
        </w:tc>
        <w:tc>
          <w:tcPr>
            <w:tcW w:w="2661" w:type="dxa"/>
            <w:gridSpan w:val="2"/>
            <w:vMerge/>
            <w:tcBorders>
              <w:top w:val="single" w:sz="4" w:space="0" w:color="auto"/>
              <w:left w:val="single" w:sz="4" w:space="0" w:color="auto"/>
              <w:bottom w:val="single" w:sz="4" w:space="0" w:color="auto"/>
              <w:right w:val="single" w:sz="4" w:space="0" w:color="auto"/>
            </w:tcBorders>
            <w:vAlign w:val="center"/>
            <w:hideMark/>
          </w:tcPr>
          <w:p w14:paraId="69502BB6" w14:textId="77777777" w:rsidR="00083AE7" w:rsidRPr="00083AE7" w:rsidRDefault="00083AE7" w:rsidP="00083AE7">
            <w:pPr>
              <w:spacing w:after="0" w:line="240" w:lineRule="auto"/>
              <w:jc w:val="left"/>
              <w:rPr>
                <w:rFonts w:eastAsia="Times New Roman" w:cs="Calibri"/>
                <w:color w:val="FFFFFF"/>
                <w:szCs w:val="18"/>
                <w:lang w:eastAsia="hr-HR"/>
              </w:rPr>
            </w:pPr>
          </w:p>
        </w:tc>
        <w:tc>
          <w:tcPr>
            <w:tcW w:w="2648" w:type="dxa"/>
            <w:gridSpan w:val="2"/>
            <w:vMerge/>
            <w:tcBorders>
              <w:top w:val="single" w:sz="4" w:space="0" w:color="auto"/>
              <w:left w:val="single" w:sz="4" w:space="0" w:color="auto"/>
              <w:bottom w:val="single" w:sz="4" w:space="0" w:color="auto"/>
              <w:right w:val="single" w:sz="4" w:space="0" w:color="auto"/>
            </w:tcBorders>
            <w:vAlign w:val="center"/>
            <w:hideMark/>
          </w:tcPr>
          <w:p w14:paraId="43A9E3BF" w14:textId="77777777" w:rsidR="00083AE7" w:rsidRPr="00083AE7" w:rsidRDefault="00083AE7" w:rsidP="00083AE7">
            <w:pPr>
              <w:spacing w:after="0" w:line="240" w:lineRule="auto"/>
              <w:jc w:val="left"/>
              <w:rPr>
                <w:rFonts w:eastAsia="Times New Roman" w:cs="Calibri"/>
                <w:color w:val="FFFFFF"/>
                <w:szCs w:val="18"/>
                <w:lang w:eastAsia="hr-HR"/>
              </w:rPr>
            </w:pPr>
          </w:p>
        </w:tc>
      </w:tr>
      <w:tr w:rsidR="00083AE7" w:rsidRPr="00083AE7" w14:paraId="3BB982D9" w14:textId="77777777" w:rsidTr="000061E9">
        <w:trPr>
          <w:trHeight w:val="291"/>
          <w:jc w:val="center"/>
        </w:trPr>
        <w:tc>
          <w:tcPr>
            <w:tcW w:w="1354" w:type="dxa"/>
            <w:vMerge/>
            <w:tcBorders>
              <w:top w:val="single" w:sz="4" w:space="0" w:color="auto"/>
              <w:left w:val="single" w:sz="4" w:space="0" w:color="auto"/>
              <w:bottom w:val="single" w:sz="4" w:space="0" w:color="auto"/>
              <w:right w:val="single" w:sz="4" w:space="0" w:color="auto"/>
            </w:tcBorders>
            <w:vAlign w:val="center"/>
            <w:hideMark/>
          </w:tcPr>
          <w:p w14:paraId="78FA31F1" w14:textId="77777777" w:rsidR="00083AE7" w:rsidRPr="00083AE7" w:rsidRDefault="00083AE7" w:rsidP="00083AE7">
            <w:pPr>
              <w:spacing w:after="0" w:line="240" w:lineRule="auto"/>
              <w:jc w:val="left"/>
              <w:rPr>
                <w:rFonts w:eastAsia="Times New Roman" w:cs="Calibri"/>
                <w:color w:val="FFFFFF"/>
                <w:szCs w:val="18"/>
                <w:lang w:eastAsia="hr-HR"/>
              </w:rPr>
            </w:pPr>
          </w:p>
        </w:tc>
        <w:tc>
          <w:tcPr>
            <w:tcW w:w="1336" w:type="dxa"/>
            <w:tcBorders>
              <w:top w:val="nil"/>
              <w:left w:val="nil"/>
              <w:bottom w:val="nil"/>
              <w:right w:val="single" w:sz="4" w:space="0" w:color="auto"/>
            </w:tcBorders>
            <w:shd w:val="clear" w:color="000000" w:fill="D2232A"/>
            <w:vAlign w:val="center"/>
            <w:hideMark/>
          </w:tcPr>
          <w:p w14:paraId="315AD9E5"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br. grla</w:t>
            </w:r>
          </w:p>
        </w:tc>
        <w:tc>
          <w:tcPr>
            <w:tcW w:w="1326" w:type="dxa"/>
            <w:tcBorders>
              <w:top w:val="nil"/>
              <w:left w:val="nil"/>
              <w:bottom w:val="nil"/>
              <w:right w:val="single" w:sz="4" w:space="0" w:color="auto"/>
            </w:tcBorders>
            <w:shd w:val="clear" w:color="000000" w:fill="D2232A"/>
            <w:vAlign w:val="center"/>
            <w:hideMark/>
          </w:tcPr>
          <w:p w14:paraId="0565FD0A"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br. stada</w:t>
            </w:r>
          </w:p>
        </w:tc>
        <w:tc>
          <w:tcPr>
            <w:tcW w:w="1335" w:type="dxa"/>
            <w:tcBorders>
              <w:top w:val="nil"/>
              <w:left w:val="nil"/>
              <w:bottom w:val="nil"/>
              <w:right w:val="single" w:sz="4" w:space="0" w:color="auto"/>
            </w:tcBorders>
            <w:shd w:val="clear" w:color="000000" w:fill="D2232A"/>
            <w:vAlign w:val="center"/>
            <w:hideMark/>
          </w:tcPr>
          <w:p w14:paraId="34A909C1"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br. grla</w:t>
            </w:r>
          </w:p>
        </w:tc>
        <w:tc>
          <w:tcPr>
            <w:tcW w:w="1326" w:type="dxa"/>
            <w:tcBorders>
              <w:top w:val="nil"/>
              <w:left w:val="nil"/>
              <w:bottom w:val="nil"/>
              <w:right w:val="single" w:sz="4" w:space="0" w:color="auto"/>
            </w:tcBorders>
            <w:shd w:val="clear" w:color="000000" w:fill="D2232A"/>
            <w:vAlign w:val="center"/>
            <w:hideMark/>
          </w:tcPr>
          <w:p w14:paraId="53E7EF87"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br. stada</w:t>
            </w:r>
          </w:p>
        </w:tc>
        <w:tc>
          <w:tcPr>
            <w:tcW w:w="1321" w:type="dxa"/>
            <w:tcBorders>
              <w:top w:val="nil"/>
              <w:left w:val="nil"/>
              <w:bottom w:val="nil"/>
              <w:right w:val="single" w:sz="4" w:space="0" w:color="auto"/>
            </w:tcBorders>
            <w:shd w:val="clear" w:color="000000" w:fill="D2232A"/>
            <w:vAlign w:val="center"/>
            <w:hideMark/>
          </w:tcPr>
          <w:p w14:paraId="03DCF3A6"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br. grla</w:t>
            </w:r>
          </w:p>
        </w:tc>
        <w:tc>
          <w:tcPr>
            <w:tcW w:w="1326" w:type="dxa"/>
            <w:tcBorders>
              <w:top w:val="nil"/>
              <w:left w:val="nil"/>
              <w:bottom w:val="nil"/>
              <w:right w:val="single" w:sz="4" w:space="0" w:color="auto"/>
            </w:tcBorders>
            <w:shd w:val="clear" w:color="000000" w:fill="D2232A"/>
            <w:vAlign w:val="center"/>
            <w:hideMark/>
          </w:tcPr>
          <w:p w14:paraId="4E7BE678"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br. stada</w:t>
            </w:r>
          </w:p>
        </w:tc>
      </w:tr>
      <w:tr w:rsidR="00083AE7" w:rsidRPr="00083AE7" w14:paraId="34D2B725" w14:textId="77777777" w:rsidTr="000061E9">
        <w:trPr>
          <w:trHeight w:val="304"/>
          <w:jc w:val="center"/>
        </w:trPr>
        <w:tc>
          <w:tcPr>
            <w:tcW w:w="1354" w:type="dxa"/>
            <w:tcBorders>
              <w:top w:val="nil"/>
              <w:left w:val="single" w:sz="8" w:space="0" w:color="D2232A"/>
              <w:bottom w:val="single" w:sz="8" w:space="0" w:color="F3CFC1"/>
              <w:right w:val="single" w:sz="8" w:space="0" w:color="D2232A"/>
            </w:tcBorders>
            <w:shd w:val="clear" w:color="auto" w:fill="auto"/>
            <w:vAlign w:val="center"/>
            <w:hideMark/>
          </w:tcPr>
          <w:p w14:paraId="56DDA124"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2017.</w:t>
            </w:r>
          </w:p>
        </w:tc>
        <w:tc>
          <w:tcPr>
            <w:tcW w:w="1336" w:type="dxa"/>
            <w:tcBorders>
              <w:top w:val="nil"/>
              <w:left w:val="nil"/>
              <w:bottom w:val="single" w:sz="8" w:space="0" w:color="F3CFC1"/>
              <w:right w:val="single" w:sz="8" w:space="0" w:color="D2232A"/>
            </w:tcBorders>
            <w:shd w:val="clear" w:color="auto" w:fill="auto"/>
            <w:vAlign w:val="center"/>
            <w:hideMark/>
          </w:tcPr>
          <w:p w14:paraId="0F7BB88C"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9039</w:t>
            </w:r>
          </w:p>
        </w:tc>
        <w:tc>
          <w:tcPr>
            <w:tcW w:w="1326" w:type="dxa"/>
            <w:tcBorders>
              <w:top w:val="nil"/>
              <w:left w:val="nil"/>
              <w:bottom w:val="single" w:sz="8" w:space="0" w:color="F3CFC1"/>
              <w:right w:val="single" w:sz="8" w:space="0" w:color="D2232A"/>
            </w:tcBorders>
            <w:shd w:val="clear" w:color="auto" w:fill="auto"/>
            <w:vAlign w:val="center"/>
            <w:hideMark/>
          </w:tcPr>
          <w:p w14:paraId="18639DDE"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2040</w:t>
            </w:r>
          </w:p>
        </w:tc>
        <w:tc>
          <w:tcPr>
            <w:tcW w:w="1335" w:type="dxa"/>
            <w:tcBorders>
              <w:top w:val="nil"/>
              <w:left w:val="nil"/>
              <w:bottom w:val="single" w:sz="8" w:space="0" w:color="F3CFC1"/>
              <w:right w:val="single" w:sz="8" w:space="0" w:color="D2232A"/>
            </w:tcBorders>
            <w:shd w:val="clear" w:color="auto" w:fill="auto"/>
            <w:vAlign w:val="center"/>
            <w:hideMark/>
          </w:tcPr>
          <w:p w14:paraId="40ABFA4E"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4556</w:t>
            </w:r>
          </w:p>
        </w:tc>
        <w:tc>
          <w:tcPr>
            <w:tcW w:w="1326" w:type="dxa"/>
            <w:tcBorders>
              <w:top w:val="nil"/>
              <w:left w:val="nil"/>
              <w:bottom w:val="single" w:sz="8" w:space="0" w:color="F3CFC1"/>
              <w:right w:val="single" w:sz="8" w:space="0" w:color="D2232A"/>
            </w:tcBorders>
            <w:shd w:val="clear" w:color="auto" w:fill="auto"/>
            <w:vAlign w:val="center"/>
            <w:hideMark/>
          </w:tcPr>
          <w:p w14:paraId="20AE6611"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1820</w:t>
            </w:r>
          </w:p>
        </w:tc>
        <w:tc>
          <w:tcPr>
            <w:tcW w:w="1321" w:type="dxa"/>
            <w:tcBorders>
              <w:top w:val="nil"/>
              <w:left w:val="nil"/>
              <w:bottom w:val="single" w:sz="8" w:space="0" w:color="F3CFC1"/>
              <w:right w:val="single" w:sz="8" w:space="0" w:color="D2232A"/>
            </w:tcBorders>
            <w:shd w:val="clear" w:color="auto" w:fill="auto"/>
            <w:vAlign w:val="center"/>
            <w:hideMark/>
          </w:tcPr>
          <w:p w14:paraId="5D8E6AF2"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1518</w:t>
            </w:r>
          </w:p>
        </w:tc>
        <w:tc>
          <w:tcPr>
            <w:tcW w:w="1326" w:type="dxa"/>
            <w:tcBorders>
              <w:top w:val="nil"/>
              <w:left w:val="nil"/>
              <w:bottom w:val="single" w:sz="8" w:space="0" w:color="F3CFC1"/>
              <w:right w:val="single" w:sz="8" w:space="0" w:color="D2232A"/>
            </w:tcBorders>
            <w:shd w:val="clear" w:color="auto" w:fill="auto"/>
            <w:vAlign w:val="center"/>
            <w:hideMark/>
          </w:tcPr>
          <w:p w14:paraId="3BA9BEC6"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134</w:t>
            </w:r>
          </w:p>
        </w:tc>
      </w:tr>
      <w:tr w:rsidR="00083AE7" w:rsidRPr="00083AE7" w14:paraId="5CBE1464" w14:textId="77777777" w:rsidTr="000061E9">
        <w:trPr>
          <w:trHeight w:val="304"/>
          <w:jc w:val="center"/>
        </w:trPr>
        <w:tc>
          <w:tcPr>
            <w:tcW w:w="1354" w:type="dxa"/>
            <w:tcBorders>
              <w:top w:val="nil"/>
              <w:left w:val="single" w:sz="8" w:space="0" w:color="D2232A"/>
              <w:bottom w:val="single" w:sz="8" w:space="0" w:color="F3CFC1"/>
              <w:right w:val="single" w:sz="8" w:space="0" w:color="D2232A"/>
            </w:tcBorders>
            <w:shd w:val="clear" w:color="auto" w:fill="auto"/>
            <w:vAlign w:val="center"/>
            <w:hideMark/>
          </w:tcPr>
          <w:p w14:paraId="12C8D665"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2018.</w:t>
            </w:r>
          </w:p>
        </w:tc>
        <w:tc>
          <w:tcPr>
            <w:tcW w:w="1336" w:type="dxa"/>
            <w:tcBorders>
              <w:top w:val="nil"/>
              <w:left w:val="nil"/>
              <w:bottom w:val="single" w:sz="8" w:space="0" w:color="F3CFC1"/>
              <w:right w:val="single" w:sz="8" w:space="0" w:color="D2232A"/>
            </w:tcBorders>
            <w:shd w:val="clear" w:color="auto" w:fill="auto"/>
            <w:vAlign w:val="center"/>
            <w:hideMark/>
          </w:tcPr>
          <w:p w14:paraId="3DD58CE6"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8347</w:t>
            </w:r>
          </w:p>
        </w:tc>
        <w:tc>
          <w:tcPr>
            <w:tcW w:w="1326" w:type="dxa"/>
            <w:tcBorders>
              <w:top w:val="nil"/>
              <w:left w:val="nil"/>
              <w:bottom w:val="single" w:sz="8" w:space="0" w:color="F3CFC1"/>
              <w:right w:val="single" w:sz="8" w:space="0" w:color="D2232A"/>
            </w:tcBorders>
            <w:shd w:val="clear" w:color="auto" w:fill="auto"/>
            <w:vAlign w:val="center"/>
            <w:hideMark/>
          </w:tcPr>
          <w:p w14:paraId="448B33D6"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1813</w:t>
            </w:r>
          </w:p>
        </w:tc>
        <w:tc>
          <w:tcPr>
            <w:tcW w:w="1335" w:type="dxa"/>
            <w:tcBorders>
              <w:top w:val="nil"/>
              <w:left w:val="nil"/>
              <w:bottom w:val="single" w:sz="8" w:space="0" w:color="F3CFC1"/>
              <w:right w:val="single" w:sz="8" w:space="0" w:color="D2232A"/>
            </w:tcBorders>
            <w:shd w:val="clear" w:color="auto" w:fill="auto"/>
            <w:vAlign w:val="center"/>
            <w:hideMark/>
          </w:tcPr>
          <w:p w14:paraId="2B50823E"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4131</w:t>
            </w:r>
          </w:p>
        </w:tc>
        <w:tc>
          <w:tcPr>
            <w:tcW w:w="1326" w:type="dxa"/>
            <w:tcBorders>
              <w:top w:val="nil"/>
              <w:left w:val="nil"/>
              <w:bottom w:val="single" w:sz="8" w:space="0" w:color="F3CFC1"/>
              <w:right w:val="single" w:sz="8" w:space="0" w:color="D2232A"/>
            </w:tcBorders>
            <w:shd w:val="clear" w:color="auto" w:fill="auto"/>
            <w:vAlign w:val="center"/>
            <w:hideMark/>
          </w:tcPr>
          <w:p w14:paraId="4AA154C5"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1595</w:t>
            </w:r>
          </w:p>
        </w:tc>
        <w:tc>
          <w:tcPr>
            <w:tcW w:w="1321" w:type="dxa"/>
            <w:tcBorders>
              <w:top w:val="nil"/>
              <w:left w:val="nil"/>
              <w:bottom w:val="single" w:sz="8" w:space="0" w:color="F3CFC1"/>
              <w:right w:val="single" w:sz="8" w:space="0" w:color="D2232A"/>
            </w:tcBorders>
            <w:shd w:val="clear" w:color="auto" w:fill="auto"/>
            <w:vAlign w:val="center"/>
            <w:hideMark/>
          </w:tcPr>
          <w:p w14:paraId="2A3DF803"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1507</w:t>
            </w:r>
          </w:p>
        </w:tc>
        <w:tc>
          <w:tcPr>
            <w:tcW w:w="1326" w:type="dxa"/>
            <w:tcBorders>
              <w:top w:val="nil"/>
              <w:left w:val="nil"/>
              <w:bottom w:val="single" w:sz="8" w:space="0" w:color="F3CFC1"/>
              <w:right w:val="single" w:sz="8" w:space="0" w:color="D2232A"/>
            </w:tcBorders>
            <w:shd w:val="clear" w:color="auto" w:fill="auto"/>
            <w:vAlign w:val="center"/>
            <w:hideMark/>
          </w:tcPr>
          <w:p w14:paraId="26605AE4"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138</w:t>
            </w:r>
          </w:p>
        </w:tc>
      </w:tr>
      <w:tr w:rsidR="00083AE7" w:rsidRPr="00083AE7" w14:paraId="64BC5F83" w14:textId="77777777" w:rsidTr="000061E9">
        <w:trPr>
          <w:trHeight w:val="304"/>
          <w:jc w:val="center"/>
        </w:trPr>
        <w:tc>
          <w:tcPr>
            <w:tcW w:w="1354" w:type="dxa"/>
            <w:tcBorders>
              <w:top w:val="nil"/>
              <w:left w:val="single" w:sz="8" w:space="0" w:color="D2232A"/>
              <w:bottom w:val="single" w:sz="8" w:space="0" w:color="F3CFC1"/>
              <w:right w:val="single" w:sz="8" w:space="0" w:color="D2232A"/>
            </w:tcBorders>
            <w:shd w:val="clear" w:color="auto" w:fill="auto"/>
            <w:vAlign w:val="center"/>
            <w:hideMark/>
          </w:tcPr>
          <w:p w14:paraId="03212915"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2019.</w:t>
            </w:r>
          </w:p>
        </w:tc>
        <w:tc>
          <w:tcPr>
            <w:tcW w:w="1336" w:type="dxa"/>
            <w:tcBorders>
              <w:top w:val="nil"/>
              <w:left w:val="nil"/>
              <w:bottom w:val="single" w:sz="8" w:space="0" w:color="F3CFC1"/>
              <w:right w:val="single" w:sz="8" w:space="0" w:color="D2232A"/>
            </w:tcBorders>
            <w:shd w:val="clear" w:color="auto" w:fill="auto"/>
            <w:vAlign w:val="center"/>
            <w:hideMark/>
          </w:tcPr>
          <w:p w14:paraId="2A31BB8F"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8174</w:t>
            </w:r>
          </w:p>
        </w:tc>
        <w:tc>
          <w:tcPr>
            <w:tcW w:w="1326" w:type="dxa"/>
            <w:tcBorders>
              <w:top w:val="nil"/>
              <w:left w:val="nil"/>
              <w:bottom w:val="single" w:sz="8" w:space="0" w:color="F3CFC1"/>
              <w:right w:val="single" w:sz="8" w:space="0" w:color="D2232A"/>
            </w:tcBorders>
            <w:shd w:val="clear" w:color="auto" w:fill="auto"/>
            <w:vAlign w:val="center"/>
            <w:hideMark/>
          </w:tcPr>
          <w:p w14:paraId="50F527E1"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1600</w:t>
            </w:r>
          </w:p>
        </w:tc>
        <w:tc>
          <w:tcPr>
            <w:tcW w:w="1335" w:type="dxa"/>
            <w:tcBorders>
              <w:top w:val="nil"/>
              <w:left w:val="nil"/>
              <w:bottom w:val="single" w:sz="8" w:space="0" w:color="F3CFC1"/>
              <w:right w:val="single" w:sz="8" w:space="0" w:color="D2232A"/>
            </w:tcBorders>
            <w:shd w:val="clear" w:color="auto" w:fill="auto"/>
            <w:vAlign w:val="center"/>
            <w:hideMark/>
          </w:tcPr>
          <w:p w14:paraId="6807C5CB"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3838</w:t>
            </w:r>
          </w:p>
        </w:tc>
        <w:tc>
          <w:tcPr>
            <w:tcW w:w="1326" w:type="dxa"/>
            <w:tcBorders>
              <w:top w:val="nil"/>
              <w:left w:val="nil"/>
              <w:bottom w:val="single" w:sz="8" w:space="0" w:color="F3CFC1"/>
              <w:right w:val="single" w:sz="8" w:space="0" w:color="D2232A"/>
            </w:tcBorders>
            <w:shd w:val="clear" w:color="auto" w:fill="auto"/>
            <w:vAlign w:val="center"/>
            <w:hideMark/>
          </w:tcPr>
          <w:p w14:paraId="0D3BDB89"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1378</w:t>
            </w:r>
          </w:p>
        </w:tc>
        <w:tc>
          <w:tcPr>
            <w:tcW w:w="1321" w:type="dxa"/>
            <w:tcBorders>
              <w:top w:val="nil"/>
              <w:left w:val="nil"/>
              <w:bottom w:val="single" w:sz="8" w:space="0" w:color="F3CFC1"/>
              <w:right w:val="single" w:sz="8" w:space="0" w:color="D2232A"/>
            </w:tcBorders>
            <w:shd w:val="clear" w:color="auto" w:fill="auto"/>
            <w:vAlign w:val="center"/>
            <w:hideMark/>
          </w:tcPr>
          <w:p w14:paraId="4C61C1A1"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1484</w:t>
            </w:r>
          </w:p>
        </w:tc>
        <w:tc>
          <w:tcPr>
            <w:tcW w:w="1326" w:type="dxa"/>
            <w:tcBorders>
              <w:top w:val="nil"/>
              <w:left w:val="nil"/>
              <w:bottom w:val="single" w:sz="8" w:space="0" w:color="F3CFC1"/>
              <w:right w:val="single" w:sz="8" w:space="0" w:color="D2232A"/>
            </w:tcBorders>
            <w:shd w:val="clear" w:color="auto" w:fill="auto"/>
            <w:vAlign w:val="center"/>
            <w:hideMark/>
          </w:tcPr>
          <w:p w14:paraId="5D4E136E"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130</w:t>
            </w:r>
          </w:p>
        </w:tc>
      </w:tr>
      <w:tr w:rsidR="00083AE7" w:rsidRPr="00083AE7" w14:paraId="27B713E3" w14:textId="77777777" w:rsidTr="000061E9">
        <w:trPr>
          <w:trHeight w:val="304"/>
          <w:jc w:val="center"/>
        </w:trPr>
        <w:tc>
          <w:tcPr>
            <w:tcW w:w="1354"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29A905B3"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Ukupno</w:t>
            </w:r>
          </w:p>
        </w:tc>
        <w:tc>
          <w:tcPr>
            <w:tcW w:w="1336" w:type="dxa"/>
            <w:tcBorders>
              <w:top w:val="nil"/>
              <w:left w:val="single" w:sz="8" w:space="0" w:color="D2232A"/>
              <w:bottom w:val="single" w:sz="8" w:space="0" w:color="F3CFC1"/>
              <w:right w:val="single" w:sz="8" w:space="0" w:color="D2232A"/>
            </w:tcBorders>
            <w:shd w:val="clear" w:color="auto" w:fill="auto"/>
            <w:vAlign w:val="center"/>
            <w:hideMark/>
          </w:tcPr>
          <w:p w14:paraId="544C6716"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25560</w:t>
            </w:r>
          </w:p>
        </w:tc>
        <w:tc>
          <w:tcPr>
            <w:tcW w:w="1326" w:type="dxa"/>
            <w:tcBorders>
              <w:top w:val="nil"/>
              <w:left w:val="nil"/>
              <w:bottom w:val="single" w:sz="8" w:space="0" w:color="F3CFC1"/>
              <w:right w:val="single" w:sz="8" w:space="0" w:color="D2232A"/>
            </w:tcBorders>
            <w:shd w:val="clear" w:color="auto" w:fill="auto"/>
            <w:vAlign w:val="center"/>
            <w:hideMark/>
          </w:tcPr>
          <w:p w14:paraId="121BA6A3"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5453</w:t>
            </w:r>
          </w:p>
        </w:tc>
        <w:tc>
          <w:tcPr>
            <w:tcW w:w="1335" w:type="dxa"/>
            <w:tcBorders>
              <w:top w:val="nil"/>
              <w:left w:val="nil"/>
              <w:bottom w:val="single" w:sz="8" w:space="0" w:color="F3CFC1"/>
              <w:right w:val="single" w:sz="8" w:space="0" w:color="D2232A"/>
            </w:tcBorders>
            <w:shd w:val="clear" w:color="auto" w:fill="auto"/>
            <w:vAlign w:val="center"/>
            <w:hideMark/>
          </w:tcPr>
          <w:p w14:paraId="49D4876B"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12525</w:t>
            </w:r>
          </w:p>
        </w:tc>
        <w:tc>
          <w:tcPr>
            <w:tcW w:w="1326" w:type="dxa"/>
            <w:tcBorders>
              <w:top w:val="nil"/>
              <w:left w:val="nil"/>
              <w:bottom w:val="single" w:sz="8" w:space="0" w:color="F3CFC1"/>
              <w:right w:val="single" w:sz="8" w:space="0" w:color="D2232A"/>
            </w:tcBorders>
            <w:shd w:val="clear" w:color="auto" w:fill="auto"/>
            <w:vAlign w:val="center"/>
            <w:hideMark/>
          </w:tcPr>
          <w:p w14:paraId="795BE34B"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4793</w:t>
            </w:r>
          </w:p>
        </w:tc>
        <w:tc>
          <w:tcPr>
            <w:tcW w:w="1321" w:type="dxa"/>
            <w:tcBorders>
              <w:top w:val="nil"/>
              <w:left w:val="nil"/>
              <w:bottom w:val="single" w:sz="8" w:space="0" w:color="F3CFC1"/>
              <w:right w:val="single" w:sz="8" w:space="0" w:color="D2232A"/>
            </w:tcBorders>
            <w:shd w:val="clear" w:color="auto" w:fill="auto"/>
            <w:vAlign w:val="center"/>
            <w:hideMark/>
          </w:tcPr>
          <w:p w14:paraId="552BA2C4"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4509</w:t>
            </w:r>
          </w:p>
        </w:tc>
        <w:tc>
          <w:tcPr>
            <w:tcW w:w="1326" w:type="dxa"/>
            <w:tcBorders>
              <w:top w:val="nil"/>
              <w:left w:val="nil"/>
              <w:bottom w:val="single" w:sz="8" w:space="0" w:color="F3CFC1"/>
              <w:right w:val="single" w:sz="8" w:space="0" w:color="D2232A"/>
            </w:tcBorders>
            <w:shd w:val="clear" w:color="auto" w:fill="auto"/>
            <w:vAlign w:val="center"/>
            <w:hideMark/>
          </w:tcPr>
          <w:p w14:paraId="0610100D"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402</w:t>
            </w:r>
          </w:p>
        </w:tc>
      </w:tr>
    </w:tbl>
    <w:p w14:paraId="02A14714" w14:textId="2488CBE7" w:rsidR="00373E79" w:rsidRDefault="00083AE7" w:rsidP="00BD0057">
      <w:pPr>
        <w:pStyle w:val="Izvor"/>
        <w:rPr>
          <w:i/>
          <w:color w:val="ABABAB" w:themeColor="text1" w:themeTint="A6"/>
          <w:sz w:val="16"/>
          <w:szCs w:val="16"/>
        </w:rPr>
      </w:pPr>
      <w:r w:rsidRPr="00BD0057">
        <w:rPr>
          <w:i/>
          <w:color w:val="ABABAB" w:themeColor="text1" w:themeTint="A6"/>
          <w:sz w:val="16"/>
          <w:szCs w:val="16"/>
        </w:rPr>
        <w:t>Izvor: HAPIH; GI za 2017., 2018. i 2019., obrada: Krapinsko-zagorska županija</w:t>
      </w:r>
      <w:r w:rsidR="00EA169B" w:rsidRPr="00BD0057">
        <w:rPr>
          <w:i/>
          <w:color w:val="ABABAB" w:themeColor="text1" w:themeTint="A6"/>
          <w:sz w:val="16"/>
          <w:szCs w:val="16"/>
        </w:rPr>
        <w:t>, Zagorska razvojna agencija</w:t>
      </w:r>
    </w:p>
    <w:p w14:paraId="2F032659" w14:textId="77777777" w:rsidR="00F367A0" w:rsidRPr="00BD0057" w:rsidRDefault="00F367A0" w:rsidP="00BD0057">
      <w:pPr>
        <w:pStyle w:val="Izvor"/>
        <w:rPr>
          <w:i/>
          <w:color w:val="ABABAB" w:themeColor="text1" w:themeTint="A6"/>
          <w:sz w:val="16"/>
          <w:szCs w:val="16"/>
        </w:rPr>
      </w:pPr>
    </w:p>
    <w:p w14:paraId="5296A620" w14:textId="2ED2980B" w:rsidR="00DC5FBE" w:rsidRDefault="00DC5FBE" w:rsidP="00083AE7">
      <w:r>
        <w:t>Grla mliječnih i kombiniranih pasmina u razdoblju od 2017. do 2019. godine imaju najveći pad što se održava na proizvodnju mlijeka i broj isporučitelja mlijeka. Kod mesnih pasmina zabilježen je kontinuirani porast broja krava, a na području Krapinsko-zagorske županije najzastupljenije su mesne pasmine Charolais, Angus, Aubrac, Limusin i njihovih križanaca. Od izvornih pasmina zastupljena je buša.</w:t>
      </w:r>
    </w:p>
    <w:p w14:paraId="601FAD45" w14:textId="77777777" w:rsidR="00CA3263" w:rsidRDefault="00CA3263" w:rsidP="00083AE7"/>
    <w:p w14:paraId="56DEA7A7" w14:textId="3AC4D631" w:rsidR="00083AE7" w:rsidRDefault="00083AE7" w:rsidP="000061E9">
      <w:pPr>
        <w:pStyle w:val="Opisslike"/>
      </w:pPr>
      <w:r w:rsidRPr="000061E9">
        <w:t xml:space="preserve">Tablica </w:t>
      </w:r>
      <w:r w:rsidR="00BD0057" w:rsidRPr="000061E9">
        <w:t>1</w:t>
      </w:r>
      <w:r w:rsidR="00CA3263" w:rsidRPr="000061E9">
        <w:t>65</w:t>
      </w:r>
      <w:r>
        <w:t>.</w:t>
      </w:r>
      <w:r w:rsidRPr="00083AE7">
        <w:t xml:space="preserve"> Pasminske skupine krava u Krapinsko-zagorskoj županiji, 2017.</w:t>
      </w:r>
      <w:r w:rsidR="00A43499">
        <w:t xml:space="preserve"> </w:t>
      </w:r>
      <w:r w:rsidRPr="00083AE7">
        <w:t>-</w:t>
      </w:r>
      <w:r w:rsidR="00A43499">
        <w:t xml:space="preserve"> </w:t>
      </w:r>
      <w:r w:rsidRPr="00083AE7">
        <w:t>2019.</w:t>
      </w:r>
    </w:p>
    <w:tbl>
      <w:tblPr>
        <w:tblW w:w="9212" w:type="dxa"/>
        <w:jc w:val="center"/>
        <w:tblLook w:val="04A0" w:firstRow="1" w:lastRow="0" w:firstColumn="1" w:lastColumn="0" w:noHBand="0" w:noVBand="1"/>
      </w:tblPr>
      <w:tblGrid>
        <w:gridCol w:w="1730"/>
        <w:gridCol w:w="1419"/>
        <w:gridCol w:w="1745"/>
        <w:gridCol w:w="1447"/>
        <w:gridCol w:w="1433"/>
        <w:gridCol w:w="1438"/>
      </w:tblGrid>
      <w:tr w:rsidR="00083AE7" w:rsidRPr="00083AE7" w14:paraId="2CA314AD" w14:textId="77777777" w:rsidTr="000061E9">
        <w:trPr>
          <w:trHeight w:val="621"/>
          <w:jc w:val="center"/>
        </w:trPr>
        <w:tc>
          <w:tcPr>
            <w:tcW w:w="1730"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445F03EB" w14:textId="77777777" w:rsidR="00083AE7" w:rsidRPr="00083AE7" w:rsidRDefault="00083AE7" w:rsidP="00083AE7">
            <w:pPr>
              <w:spacing w:after="0" w:line="240" w:lineRule="auto"/>
              <w:jc w:val="left"/>
              <w:rPr>
                <w:rFonts w:eastAsia="Times New Roman" w:cs="Calibri"/>
                <w:color w:val="FFFFFF"/>
                <w:szCs w:val="18"/>
                <w:lang w:eastAsia="hr-HR"/>
              </w:rPr>
            </w:pPr>
            <w:r w:rsidRPr="00083AE7">
              <w:rPr>
                <w:rFonts w:eastAsia="Times New Roman" w:cs="Calibri"/>
                <w:color w:val="FFFFFF"/>
                <w:szCs w:val="18"/>
                <w:lang w:eastAsia="hr-HR"/>
              </w:rPr>
              <w:t>Godina</w:t>
            </w:r>
          </w:p>
        </w:tc>
        <w:tc>
          <w:tcPr>
            <w:tcW w:w="1419" w:type="dxa"/>
            <w:tcBorders>
              <w:top w:val="single" w:sz="4" w:space="0" w:color="auto"/>
              <w:left w:val="nil"/>
              <w:bottom w:val="single" w:sz="4" w:space="0" w:color="auto"/>
              <w:right w:val="single" w:sz="4" w:space="0" w:color="auto"/>
            </w:tcBorders>
            <w:shd w:val="clear" w:color="000000" w:fill="D2232A"/>
            <w:vAlign w:val="center"/>
            <w:hideMark/>
          </w:tcPr>
          <w:p w14:paraId="0C2617A8" w14:textId="77777777" w:rsidR="00083AE7" w:rsidRPr="00083AE7" w:rsidRDefault="00083AE7" w:rsidP="00083AE7">
            <w:pPr>
              <w:spacing w:after="0" w:line="240" w:lineRule="auto"/>
              <w:jc w:val="left"/>
              <w:rPr>
                <w:rFonts w:eastAsia="Times New Roman" w:cs="Calibri"/>
                <w:color w:val="FFFFFF"/>
                <w:szCs w:val="18"/>
                <w:lang w:eastAsia="hr-HR"/>
              </w:rPr>
            </w:pPr>
            <w:r w:rsidRPr="00083AE7">
              <w:rPr>
                <w:rFonts w:eastAsia="Times New Roman" w:cs="Calibri"/>
                <w:color w:val="FFFFFF"/>
                <w:szCs w:val="18"/>
                <w:lang w:eastAsia="hr-HR"/>
              </w:rPr>
              <w:t>SVE</w:t>
            </w:r>
          </w:p>
        </w:tc>
        <w:tc>
          <w:tcPr>
            <w:tcW w:w="1745" w:type="dxa"/>
            <w:tcBorders>
              <w:top w:val="single" w:sz="4" w:space="0" w:color="auto"/>
              <w:left w:val="nil"/>
              <w:bottom w:val="single" w:sz="4" w:space="0" w:color="auto"/>
              <w:right w:val="single" w:sz="4" w:space="0" w:color="auto"/>
            </w:tcBorders>
            <w:shd w:val="clear" w:color="000000" w:fill="D2232A"/>
            <w:vAlign w:val="center"/>
            <w:hideMark/>
          </w:tcPr>
          <w:p w14:paraId="2C662DDF" w14:textId="77777777" w:rsidR="00083AE7" w:rsidRPr="00083AE7" w:rsidRDefault="00083AE7" w:rsidP="00083AE7">
            <w:pPr>
              <w:spacing w:after="0" w:line="240" w:lineRule="auto"/>
              <w:jc w:val="left"/>
              <w:rPr>
                <w:rFonts w:eastAsia="Times New Roman" w:cs="Calibri"/>
                <w:color w:val="FFFFFF"/>
                <w:szCs w:val="18"/>
                <w:lang w:eastAsia="hr-HR"/>
              </w:rPr>
            </w:pPr>
            <w:r w:rsidRPr="00083AE7">
              <w:rPr>
                <w:rFonts w:eastAsia="Times New Roman" w:cs="Calibri"/>
                <w:color w:val="FFFFFF"/>
                <w:szCs w:val="18"/>
                <w:lang w:eastAsia="hr-HR"/>
              </w:rPr>
              <w:t>Mliječne i kombinirane pasmine</w:t>
            </w:r>
          </w:p>
        </w:tc>
        <w:tc>
          <w:tcPr>
            <w:tcW w:w="1447" w:type="dxa"/>
            <w:tcBorders>
              <w:top w:val="single" w:sz="4" w:space="0" w:color="auto"/>
              <w:left w:val="nil"/>
              <w:bottom w:val="single" w:sz="4" w:space="0" w:color="auto"/>
              <w:right w:val="single" w:sz="4" w:space="0" w:color="auto"/>
            </w:tcBorders>
            <w:shd w:val="clear" w:color="000000" w:fill="D2232A"/>
            <w:vAlign w:val="center"/>
            <w:hideMark/>
          </w:tcPr>
          <w:p w14:paraId="66FA936F" w14:textId="77777777" w:rsidR="00083AE7" w:rsidRPr="00083AE7" w:rsidRDefault="00083AE7" w:rsidP="00083AE7">
            <w:pPr>
              <w:spacing w:after="0" w:line="240" w:lineRule="auto"/>
              <w:jc w:val="left"/>
              <w:rPr>
                <w:rFonts w:eastAsia="Times New Roman" w:cs="Calibri"/>
                <w:color w:val="FFFFFF"/>
                <w:szCs w:val="18"/>
                <w:lang w:eastAsia="hr-HR"/>
              </w:rPr>
            </w:pPr>
            <w:r w:rsidRPr="00083AE7">
              <w:rPr>
                <w:rFonts w:eastAsia="Times New Roman" w:cs="Calibri"/>
                <w:color w:val="FFFFFF"/>
                <w:szCs w:val="18"/>
                <w:lang w:eastAsia="hr-HR"/>
              </w:rPr>
              <w:t>Mesne pasmine</w:t>
            </w:r>
          </w:p>
        </w:tc>
        <w:tc>
          <w:tcPr>
            <w:tcW w:w="1433" w:type="dxa"/>
            <w:tcBorders>
              <w:top w:val="single" w:sz="4" w:space="0" w:color="auto"/>
              <w:left w:val="nil"/>
              <w:bottom w:val="single" w:sz="4" w:space="0" w:color="auto"/>
              <w:right w:val="single" w:sz="4" w:space="0" w:color="auto"/>
            </w:tcBorders>
            <w:shd w:val="clear" w:color="000000" w:fill="D2232A"/>
            <w:vAlign w:val="center"/>
            <w:hideMark/>
          </w:tcPr>
          <w:p w14:paraId="35F6F7D8" w14:textId="77777777" w:rsidR="00083AE7" w:rsidRPr="00083AE7" w:rsidRDefault="00083AE7" w:rsidP="00083AE7">
            <w:pPr>
              <w:spacing w:after="0" w:line="240" w:lineRule="auto"/>
              <w:jc w:val="left"/>
              <w:rPr>
                <w:rFonts w:eastAsia="Times New Roman" w:cs="Calibri"/>
                <w:color w:val="FFFFFF"/>
                <w:szCs w:val="18"/>
                <w:lang w:eastAsia="hr-HR"/>
              </w:rPr>
            </w:pPr>
            <w:r w:rsidRPr="00083AE7">
              <w:rPr>
                <w:rFonts w:eastAsia="Times New Roman" w:cs="Calibri"/>
                <w:color w:val="FFFFFF"/>
                <w:szCs w:val="18"/>
                <w:lang w:eastAsia="hr-HR"/>
              </w:rPr>
              <w:t>Izvorne</w:t>
            </w:r>
          </w:p>
        </w:tc>
        <w:tc>
          <w:tcPr>
            <w:tcW w:w="1438" w:type="dxa"/>
            <w:tcBorders>
              <w:top w:val="single" w:sz="4" w:space="0" w:color="auto"/>
              <w:left w:val="nil"/>
              <w:bottom w:val="single" w:sz="4" w:space="0" w:color="auto"/>
              <w:right w:val="single" w:sz="4" w:space="0" w:color="auto"/>
            </w:tcBorders>
            <w:shd w:val="clear" w:color="000000" w:fill="D2232A"/>
            <w:vAlign w:val="center"/>
            <w:hideMark/>
          </w:tcPr>
          <w:p w14:paraId="5E8EF03C" w14:textId="77777777" w:rsidR="00083AE7" w:rsidRPr="00083AE7" w:rsidRDefault="00083AE7" w:rsidP="00083AE7">
            <w:pPr>
              <w:spacing w:after="0" w:line="240" w:lineRule="auto"/>
              <w:jc w:val="left"/>
              <w:rPr>
                <w:rFonts w:eastAsia="Times New Roman" w:cs="Calibri"/>
                <w:color w:val="FFFFFF"/>
                <w:szCs w:val="18"/>
                <w:lang w:eastAsia="hr-HR"/>
              </w:rPr>
            </w:pPr>
            <w:r w:rsidRPr="00083AE7">
              <w:rPr>
                <w:rFonts w:eastAsia="Times New Roman" w:cs="Calibri"/>
                <w:color w:val="FFFFFF"/>
                <w:szCs w:val="18"/>
                <w:lang w:eastAsia="hr-HR"/>
              </w:rPr>
              <w:t>Križanci</w:t>
            </w:r>
          </w:p>
        </w:tc>
      </w:tr>
      <w:tr w:rsidR="00083AE7" w:rsidRPr="00083AE7" w14:paraId="43D2A366" w14:textId="77777777" w:rsidTr="000061E9">
        <w:trPr>
          <w:trHeight w:val="272"/>
          <w:jc w:val="center"/>
        </w:trPr>
        <w:tc>
          <w:tcPr>
            <w:tcW w:w="1730" w:type="dxa"/>
            <w:tcBorders>
              <w:top w:val="nil"/>
              <w:left w:val="single" w:sz="8" w:space="0" w:color="D2232A"/>
              <w:bottom w:val="single" w:sz="8" w:space="0" w:color="F3CFC1"/>
              <w:right w:val="single" w:sz="8" w:space="0" w:color="D2232A"/>
            </w:tcBorders>
            <w:shd w:val="clear" w:color="auto" w:fill="auto"/>
            <w:vAlign w:val="center"/>
            <w:hideMark/>
          </w:tcPr>
          <w:p w14:paraId="075CF363"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2017.</w:t>
            </w:r>
          </w:p>
        </w:tc>
        <w:tc>
          <w:tcPr>
            <w:tcW w:w="1419" w:type="dxa"/>
            <w:tcBorders>
              <w:top w:val="nil"/>
              <w:left w:val="nil"/>
              <w:bottom w:val="single" w:sz="8" w:space="0" w:color="F3CFC1"/>
              <w:right w:val="single" w:sz="8" w:space="0" w:color="D2232A"/>
            </w:tcBorders>
            <w:shd w:val="clear" w:color="auto" w:fill="auto"/>
            <w:vAlign w:val="center"/>
            <w:hideMark/>
          </w:tcPr>
          <w:p w14:paraId="13F1DBD5"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4556</w:t>
            </w:r>
          </w:p>
        </w:tc>
        <w:tc>
          <w:tcPr>
            <w:tcW w:w="1745" w:type="dxa"/>
            <w:tcBorders>
              <w:top w:val="nil"/>
              <w:left w:val="nil"/>
              <w:bottom w:val="single" w:sz="8" w:space="0" w:color="F3CFC1"/>
              <w:right w:val="single" w:sz="8" w:space="0" w:color="D2232A"/>
            </w:tcBorders>
            <w:shd w:val="clear" w:color="auto" w:fill="auto"/>
            <w:vAlign w:val="center"/>
            <w:hideMark/>
          </w:tcPr>
          <w:p w14:paraId="408B3D11"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4392</w:t>
            </w:r>
          </w:p>
        </w:tc>
        <w:tc>
          <w:tcPr>
            <w:tcW w:w="1447" w:type="dxa"/>
            <w:tcBorders>
              <w:top w:val="nil"/>
              <w:left w:val="nil"/>
              <w:bottom w:val="single" w:sz="8" w:space="0" w:color="F3CFC1"/>
              <w:right w:val="single" w:sz="8" w:space="0" w:color="D2232A"/>
            </w:tcBorders>
            <w:shd w:val="clear" w:color="auto" w:fill="auto"/>
            <w:vAlign w:val="center"/>
            <w:hideMark/>
          </w:tcPr>
          <w:p w14:paraId="38B281FA"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98</w:t>
            </w:r>
          </w:p>
        </w:tc>
        <w:tc>
          <w:tcPr>
            <w:tcW w:w="1433" w:type="dxa"/>
            <w:tcBorders>
              <w:top w:val="nil"/>
              <w:left w:val="nil"/>
              <w:bottom w:val="single" w:sz="8" w:space="0" w:color="F3CFC1"/>
              <w:right w:val="single" w:sz="8" w:space="0" w:color="D2232A"/>
            </w:tcBorders>
            <w:shd w:val="clear" w:color="auto" w:fill="auto"/>
            <w:vAlign w:val="center"/>
            <w:hideMark/>
          </w:tcPr>
          <w:p w14:paraId="333134A1"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8</w:t>
            </w:r>
          </w:p>
        </w:tc>
        <w:tc>
          <w:tcPr>
            <w:tcW w:w="1438" w:type="dxa"/>
            <w:tcBorders>
              <w:top w:val="nil"/>
              <w:left w:val="nil"/>
              <w:bottom w:val="single" w:sz="8" w:space="0" w:color="F3CFC1"/>
              <w:right w:val="single" w:sz="8" w:space="0" w:color="D2232A"/>
            </w:tcBorders>
            <w:shd w:val="clear" w:color="auto" w:fill="auto"/>
            <w:vAlign w:val="center"/>
            <w:hideMark/>
          </w:tcPr>
          <w:p w14:paraId="01BCD20B"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57</w:t>
            </w:r>
          </w:p>
        </w:tc>
      </w:tr>
      <w:tr w:rsidR="00083AE7" w:rsidRPr="00083AE7" w14:paraId="078CFB24" w14:textId="77777777" w:rsidTr="000061E9">
        <w:trPr>
          <w:trHeight w:val="272"/>
          <w:jc w:val="center"/>
        </w:trPr>
        <w:tc>
          <w:tcPr>
            <w:tcW w:w="1730" w:type="dxa"/>
            <w:tcBorders>
              <w:top w:val="nil"/>
              <w:left w:val="single" w:sz="8" w:space="0" w:color="D2232A"/>
              <w:bottom w:val="single" w:sz="8" w:space="0" w:color="F3CFC1"/>
              <w:right w:val="single" w:sz="8" w:space="0" w:color="D2232A"/>
            </w:tcBorders>
            <w:shd w:val="clear" w:color="auto" w:fill="auto"/>
            <w:vAlign w:val="center"/>
            <w:hideMark/>
          </w:tcPr>
          <w:p w14:paraId="02D34AC4"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2018.</w:t>
            </w:r>
          </w:p>
        </w:tc>
        <w:tc>
          <w:tcPr>
            <w:tcW w:w="1419" w:type="dxa"/>
            <w:tcBorders>
              <w:top w:val="nil"/>
              <w:left w:val="nil"/>
              <w:bottom w:val="single" w:sz="8" w:space="0" w:color="F3CFC1"/>
              <w:right w:val="single" w:sz="8" w:space="0" w:color="D2232A"/>
            </w:tcBorders>
            <w:shd w:val="clear" w:color="auto" w:fill="auto"/>
            <w:vAlign w:val="center"/>
            <w:hideMark/>
          </w:tcPr>
          <w:p w14:paraId="7EE7E8FD"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4131</w:t>
            </w:r>
          </w:p>
        </w:tc>
        <w:tc>
          <w:tcPr>
            <w:tcW w:w="1745" w:type="dxa"/>
            <w:tcBorders>
              <w:top w:val="nil"/>
              <w:left w:val="nil"/>
              <w:bottom w:val="single" w:sz="8" w:space="0" w:color="F3CFC1"/>
              <w:right w:val="single" w:sz="8" w:space="0" w:color="D2232A"/>
            </w:tcBorders>
            <w:shd w:val="clear" w:color="auto" w:fill="auto"/>
            <w:vAlign w:val="center"/>
            <w:hideMark/>
          </w:tcPr>
          <w:p w14:paraId="21E21D10"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3964</w:t>
            </w:r>
          </w:p>
        </w:tc>
        <w:tc>
          <w:tcPr>
            <w:tcW w:w="1447" w:type="dxa"/>
            <w:tcBorders>
              <w:top w:val="nil"/>
              <w:left w:val="nil"/>
              <w:bottom w:val="single" w:sz="8" w:space="0" w:color="F3CFC1"/>
              <w:right w:val="single" w:sz="8" w:space="0" w:color="D2232A"/>
            </w:tcBorders>
            <w:shd w:val="clear" w:color="auto" w:fill="auto"/>
            <w:vAlign w:val="center"/>
            <w:hideMark/>
          </w:tcPr>
          <w:p w14:paraId="7A81AF9F"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103</w:t>
            </w:r>
          </w:p>
        </w:tc>
        <w:tc>
          <w:tcPr>
            <w:tcW w:w="1433" w:type="dxa"/>
            <w:tcBorders>
              <w:top w:val="nil"/>
              <w:left w:val="nil"/>
              <w:bottom w:val="single" w:sz="8" w:space="0" w:color="F3CFC1"/>
              <w:right w:val="single" w:sz="8" w:space="0" w:color="D2232A"/>
            </w:tcBorders>
            <w:shd w:val="clear" w:color="auto" w:fill="auto"/>
            <w:vAlign w:val="center"/>
            <w:hideMark/>
          </w:tcPr>
          <w:p w14:paraId="5C3B6B89"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7</w:t>
            </w:r>
          </w:p>
        </w:tc>
        <w:tc>
          <w:tcPr>
            <w:tcW w:w="1438" w:type="dxa"/>
            <w:tcBorders>
              <w:top w:val="nil"/>
              <w:left w:val="nil"/>
              <w:bottom w:val="single" w:sz="8" w:space="0" w:color="F3CFC1"/>
              <w:right w:val="single" w:sz="8" w:space="0" w:color="D2232A"/>
            </w:tcBorders>
            <w:shd w:val="clear" w:color="auto" w:fill="auto"/>
            <w:vAlign w:val="center"/>
            <w:hideMark/>
          </w:tcPr>
          <w:p w14:paraId="6E993B83"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58</w:t>
            </w:r>
          </w:p>
        </w:tc>
      </w:tr>
      <w:tr w:rsidR="00083AE7" w:rsidRPr="00083AE7" w14:paraId="22A87C98" w14:textId="77777777" w:rsidTr="000061E9">
        <w:trPr>
          <w:trHeight w:val="272"/>
          <w:jc w:val="center"/>
        </w:trPr>
        <w:tc>
          <w:tcPr>
            <w:tcW w:w="1730" w:type="dxa"/>
            <w:tcBorders>
              <w:top w:val="nil"/>
              <w:left w:val="single" w:sz="8" w:space="0" w:color="D2232A"/>
              <w:bottom w:val="single" w:sz="8" w:space="0" w:color="F3CFC1"/>
              <w:right w:val="single" w:sz="8" w:space="0" w:color="D2232A"/>
            </w:tcBorders>
            <w:shd w:val="clear" w:color="auto" w:fill="auto"/>
            <w:vAlign w:val="center"/>
            <w:hideMark/>
          </w:tcPr>
          <w:p w14:paraId="468B52F1"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2019.</w:t>
            </w:r>
          </w:p>
        </w:tc>
        <w:tc>
          <w:tcPr>
            <w:tcW w:w="1419" w:type="dxa"/>
            <w:tcBorders>
              <w:top w:val="nil"/>
              <w:left w:val="nil"/>
              <w:bottom w:val="single" w:sz="8" w:space="0" w:color="F3CFC1"/>
              <w:right w:val="single" w:sz="8" w:space="0" w:color="D2232A"/>
            </w:tcBorders>
            <w:shd w:val="clear" w:color="auto" w:fill="auto"/>
            <w:vAlign w:val="center"/>
            <w:hideMark/>
          </w:tcPr>
          <w:p w14:paraId="69F9D099"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3838</w:t>
            </w:r>
          </w:p>
        </w:tc>
        <w:tc>
          <w:tcPr>
            <w:tcW w:w="1745" w:type="dxa"/>
            <w:tcBorders>
              <w:top w:val="nil"/>
              <w:left w:val="nil"/>
              <w:bottom w:val="single" w:sz="8" w:space="0" w:color="F3CFC1"/>
              <w:right w:val="single" w:sz="8" w:space="0" w:color="D2232A"/>
            </w:tcBorders>
            <w:shd w:val="clear" w:color="auto" w:fill="auto"/>
            <w:vAlign w:val="center"/>
            <w:hideMark/>
          </w:tcPr>
          <w:p w14:paraId="2FC470C0"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3644</w:t>
            </w:r>
          </w:p>
        </w:tc>
        <w:tc>
          <w:tcPr>
            <w:tcW w:w="1447" w:type="dxa"/>
            <w:tcBorders>
              <w:top w:val="nil"/>
              <w:left w:val="nil"/>
              <w:bottom w:val="single" w:sz="8" w:space="0" w:color="F3CFC1"/>
              <w:right w:val="single" w:sz="8" w:space="0" w:color="D2232A"/>
            </w:tcBorders>
            <w:shd w:val="clear" w:color="auto" w:fill="auto"/>
            <w:vAlign w:val="center"/>
            <w:hideMark/>
          </w:tcPr>
          <w:p w14:paraId="1E263032"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133</w:t>
            </w:r>
          </w:p>
        </w:tc>
        <w:tc>
          <w:tcPr>
            <w:tcW w:w="1433" w:type="dxa"/>
            <w:tcBorders>
              <w:top w:val="nil"/>
              <w:left w:val="nil"/>
              <w:bottom w:val="single" w:sz="8" w:space="0" w:color="F3CFC1"/>
              <w:right w:val="single" w:sz="8" w:space="0" w:color="D2232A"/>
            </w:tcBorders>
            <w:shd w:val="clear" w:color="auto" w:fill="auto"/>
            <w:vAlign w:val="center"/>
            <w:hideMark/>
          </w:tcPr>
          <w:p w14:paraId="3A13BBB7"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w:t>
            </w:r>
          </w:p>
        </w:tc>
        <w:tc>
          <w:tcPr>
            <w:tcW w:w="1438" w:type="dxa"/>
            <w:tcBorders>
              <w:top w:val="nil"/>
              <w:left w:val="nil"/>
              <w:bottom w:val="single" w:sz="8" w:space="0" w:color="F3CFC1"/>
              <w:right w:val="single" w:sz="8" w:space="0" w:color="D2232A"/>
            </w:tcBorders>
            <w:shd w:val="clear" w:color="auto" w:fill="auto"/>
            <w:vAlign w:val="center"/>
            <w:hideMark/>
          </w:tcPr>
          <w:p w14:paraId="2215353F"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89</w:t>
            </w:r>
          </w:p>
        </w:tc>
      </w:tr>
      <w:tr w:rsidR="00083AE7" w:rsidRPr="00083AE7" w14:paraId="0FCA0117" w14:textId="77777777" w:rsidTr="000061E9">
        <w:trPr>
          <w:trHeight w:val="272"/>
          <w:jc w:val="center"/>
        </w:trPr>
        <w:tc>
          <w:tcPr>
            <w:tcW w:w="1730"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34C08A5E" w14:textId="77777777" w:rsidR="00083AE7" w:rsidRPr="00083AE7" w:rsidRDefault="00083AE7" w:rsidP="00083AE7">
            <w:pPr>
              <w:spacing w:after="0" w:line="240" w:lineRule="auto"/>
              <w:jc w:val="center"/>
              <w:rPr>
                <w:rFonts w:eastAsia="Times New Roman" w:cs="Calibri"/>
                <w:color w:val="FFFFFF"/>
                <w:szCs w:val="18"/>
                <w:lang w:eastAsia="hr-HR"/>
              </w:rPr>
            </w:pPr>
            <w:r w:rsidRPr="00083AE7">
              <w:rPr>
                <w:rFonts w:eastAsia="Times New Roman" w:cs="Calibri"/>
                <w:color w:val="FFFFFF"/>
                <w:szCs w:val="18"/>
                <w:lang w:eastAsia="hr-HR"/>
              </w:rPr>
              <w:t>Ukupno</w:t>
            </w:r>
          </w:p>
        </w:tc>
        <w:tc>
          <w:tcPr>
            <w:tcW w:w="1419" w:type="dxa"/>
            <w:tcBorders>
              <w:top w:val="nil"/>
              <w:left w:val="single" w:sz="8" w:space="0" w:color="D2232A"/>
              <w:bottom w:val="single" w:sz="8" w:space="0" w:color="F3CFC1"/>
              <w:right w:val="single" w:sz="8" w:space="0" w:color="D2232A"/>
            </w:tcBorders>
            <w:shd w:val="clear" w:color="auto" w:fill="auto"/>
            <w:vAlign w:val="center"/>
            <w:hideMark/>
          </w:tcPr>
          <w:p w14:paraId="598905FF"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12525</w:t>
            </w:r>
          </w:p>
        </w:tc>
        <w:tc>
          <w:tcPr>
            <w:tcW w:w="1745" w:type="dxa"/>
            <w:tcBorders>
              <w:top w:val="nil"/>
              <w:left w:val="nil"/>
              <w:bottom w:val="single" w:sz="8" w:space="0" w:color="F3CFC1"/>
              <w:right w:val="single" w:sz="8" w:space="0" w:color="D2232A"/>
            </w:tcBorders>
            <w:shd w:val="clear" w:color="auto" w:fill="auto"/>
            <w:vAlign w:val="center"/>
            <w:hideMark/>
          </w:tcPr>
          <w:p w14:paraId="78B7FD45"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12000</w:t>
            </w:r>
          </w:p>
        </w:tc>
        <w:tc>
          <w:tcPr>
            <w:tcW w:w="1447" w:type="dxa"/>
            <w:tcBorders>
              <w:top w:val="nil"/>
              <w:left w:val="nil"/>
              <w:bottom w:val="single" w:sz="8" w:space="0" w:color="F3CFC1"/>
              <w:right w:val="single" w:sz="8" w:space="0" w:color="D2232A"/>
            </w:tcBorders>
            <w:shd w:val="clear" w:color="auto" w:fill="auto"/>
            <w:vAlign w:val="center"/>
            <w:hideMark/>
          </w:tcPr>
          <w:p w14:paraId="457C4703"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334</w:t>
            </w:r>
          </w:p>
        </w:tc>
        <w:tc>
          <w:tcPr>
            <w:tcW w:w="1433" w:type="dxa"/>
            <w:tcBorders>
              <w:top w:val="nil"/>
              <w:left w:val="nil"/>
              <w:bottom w:val="single" w:sz="8" w:space="0" w:color="F3CFC1"/>
              <w:right w:val="single" w:sz="8" w:space="0" w:color="D2232A"/>
            </w:tcBorders>
            <w:shd w:val="clear" w:color="auto" w:fill="auto"/>
            <w:vAlign w:val="center"/>
            <w:hideMark/>
          </w:tcPr>
          <w:p w14:paraId="4BBD1D2C"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17</w:t>
            </w:r>
          </w:p>
        </w:tc>
        <w:tc>
          <w:tcPr>
            <w:tcW w:w="1438" w:type="dxa"/>
            <w:tcBorders>
              <w:top w:val="nil"/>
              <w:left w:val="nil"/>
              <w:bottom w:val="single" w:sz="8" w:space="0" w:color="F3CFC1"/>
              <w:right w:val="single" w:sz="8" w:space="0" w:color="D2232A"/>
            </w:tcBorders>
            <w:shd w:val="clear" w:color="auto" w:fill="auto"/>
            <w:vAlign w:val="center"/>
            <w:hideMark/>
          </w:tcPr>
          <w:p w14:paraId="31150E15" w14:textId="77777777" w:rsidR="00083AE7" w:rsidRPr="00083AE7" w:rsidRDefault="00083AE7" w:rsidP="00083AE7">
            <w:pPr>
              <w:spacing w:after="0" w:line="240" w:lineRule="auto"/>
              <w:jc w:val="center"/>
              <w:rPr>
                <w:rFonts w:eastAsia="Times New Roman" w:cs="Calibri"/>
                <w:color w:val="3F3F3F"/>
                <w:szCs w:val="18"/>
                <w:lang w:eastAsia="hr-HR"/>
              </w:rPr>
            </w:pPr>
            <w:r w:rsidRPr="00083AE7">
              <w:rPr>
                <w:rFonts w:eastAsia="Times New Roman" w:cs="Calibri"/>
                <w:color w:val="3F3F3F"/>
                <w:szCs w:val="18"/>
                <w:lang w:eastAsia="hr-HR"/>
              </w:rPr>
              <w:t>204</w:t>
            </w:r>
          </w:p>
        </w:tc>
      </w:tr>
    </w:tbl>
    <w:p w14:paraId="730E494C" w14:textId="26E2FE79" w:rsidR="00083AE7" w:rsidRDefault="00083AE7" w:rsidP="00BD6B22">
      <w:pPr>
        <w:pStyle w:val="Izvor"/>
        <w:rPr>
          <w:i/>
          <w:color w:val="ABABAB" w:themeColor="text1" w:themeTint="A6"/>
          <w:sz w:val="16"/>
          <w:szCs w:val="16"/>
        </w:rPr>
      </w:pPr>
      <w:r w:rsidRPr="00BD6B22">
        <w:rPr>
          <w:i/>
          <w:color w:val="ABABAB" w:themeColor="text1" w:themeTint="A6"/>
          <w:sz w:val="16"/>
          <w:szCs w:val="16"/>
        </w:rPr>
        <w:t>Izvor: HAPIH; GI za 2017., 2018. i 2019., obrada: Krapinsko-zagorska županija</w:t>
      </w:r>
      <w:r w:rsidR="00EA169B" w:rsidRPr="00BD6B22">
        <w:rPr>
          <w:i/>
          <w:color w:val="ABABAB" w:themeColor="text1" w:themeTint="A6"/>
          <w:sz w:val="16"/>
          <w:szCs w:val="16"/>
        </w:rPr>
        <w:t>, Zagorska razvojna agencija</w:t>
      </w:r>
    </w:p>
    <w:p w14:paraId="6D492F23" w14:textId="77777777" w:rsidR="00F367A0" w:rsidRPr="00BD6B22" w:rsidRDefault="00F367A0" w:rsidP="00BD6B22">
      <w:pPr>
        <w:pStyle w:val="Izvor"/>
        <w:rPr>
          <w:i/>
          <w:color w:val="ABABAB" w:themeColor="text1" w:themeTint="A6"/>
          <w:sz w:val="16"/>
          <w:szCs w:val="16"/>
        </w:rPr>
      </w:pPr>
    </w:p>
    <w:p w14:paraId="70AAF570" w14:textId="2627FA9A" w:rsidR="00083AE7" w:rsidRDefault="005E5722" w:rsidP="00083AE7">
      <w:r>
        <w:t xml:space="preserve">S padom broja krava, posebno mliječnih i kombiniranih pasmina, evidentiran je kontinuirani pad isporučenih količina mlijeka (kg) za 7,51%, a isporučitelja mlijeka za 23,63%. Do pada broja proizvođača dolazi prije svega zbog niskih otkupnih cijena, slabije kvalitete mlijeka i smanjenja (ukidanja) otkupnih mjesta Dukata (Lactalis grupe). Na području Krapinsko-zagorske županije otkup mlijeka vrši mini mljekara ''Veronika'' iz Desinića </w:t>
      </w:r>
      <w:r w:rsidR="00EA169B">
        <w:t xml:space="preserve">te EURO-MILK d.o.o. Bedenica za istočni dio županije. </w:t>
      </w:r>
    </w:p>
    <w:p w14:paraId="66C5B9B7" w14:textId="77777777" w:rsidR="00982252" w:rsidRDefault="00982252" w:rsidP="00083AE7"/>
    <w:p w14:paraId="61DB069A" w14:textId="140A065E" w:rsidR="00982252" w:rsidRDefault="00982252" w:rsidP="000061E9">
      <w:pPr>
        <w:pStyle w:val="Opisslike"/>
      </w:pPr>
      <w:r w:rsidRPr="000061E9">
        <w:t xml:space="preserve">Tablica </w:t>
      </w:r>
      <w:r w:rsidR="00BD6B22" w:rsidRPr="000061E9">
        <w:t>1</w:t>
      </w:r>
      <w:r w:rsidR="00CA3263" w:rsidRPr="000061E9">
        <w:t>66</w:t>
      </w:r>
      <w:r w:rsidRPr="000061E9">
        <w:t xml:space="preserve">. </w:t>
      </w:r>
      <w:r w:rsidRPr="00982252">
        <w:t>Isporučene količine mlijeka i broj isporučitelja u Krapinsko-zagorskoj županiji, 2017.</w:t>
      </w:r>
      <w:r w:rsidR="00BD6B22">
        <w:t xml:space="preserve"> </w:t>
      </w:r>
      <w:r w:rsidRPr="00982252">
        <w:t>-</w:t>
      </w:r>
      <w:r w:rsidR="00BD6B22">
        <w:t xml:space="preserve"> </w:t>
      </w:r>
      <w:r w:rsidRPr="00982252">
        <w:t>2019.</w:t>
      </w:r>
    </w:p>
    <w:tbl>
      <w:tblPr>
        <w:tblW w:w="9268" w:type="dxa"/>
        <w:jc w:val="center"/>
        <w:tblLook w:val="04A0" w:firstRow="1" w:lastRow="0" w:firstColumn="1" w:lastColumn="0" w:noHBand="0" w:noVBand="1"/>
      </w:tblPr>
      <w:tblGrid>
        <w:gridCol w:w="1902"/>
        <w:gridCol w:w="3683"/>
        <w:gridCol w:w="3683"/>
      </w:tblGrid>
      <w:tr w:rsidR="00982252" w:rsidRPr="00982252" w14:paraId="7F4BD999" w14:textId="77777777" w:rsidTr="000061E9">
        <w:trPr>
          <w:trHeight w:val="520"/>
          <w:jc w:val="center"/>
        </w:trPr>
        <w:tc>
          <w:tcPr>
            <w:tcW w:w="1902"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232802DC" w14:textId="77777777" w:rsidR="00982252" w:rsidRPr="00982252" w:rsidRDefault="00982252" w:rsidP="00982252">
            <w:pPr>
              <w:spacing w:after="0" w:line="240" w:lineRule="auto"/>
              <w:jc w:val="left"/>
              <w:rPr>
                <w:rFonts w:eastAsia="Times New Roman" w:cs="Calibri"/>
                <w:color w:val="FFFFFF"/>
                <w:szCs w:val="18"/>
                <w:lang w:eastAsia="hr-HR"/>
              </w:rPr>
            </w:pPr>
            <w:r w:rsidRPr="00982252">
              <w:rPr>
                <w:rFonts w:eastAsia="Times New Roman" w:cs="Calibri"/>
                <w:color w:val="FFFFFF"/>
                <w:szCs w:val="18"/>
                <w:lang w:eastAsia="hr-HR"/>
              </w:rPr>
              <w:t>Godina</w:t>
            </w:r>
          </w:p>
        </w:tc>
        <w:tc>
          <w:tcPr>
            <w:tcW w:w="3683" w:type="dxa"/>
            <w:tcBorders>
              <w:top w:val="single" w:sz="4" w:space="0" w:color="auto"/>
              <w:left w:val="nil"/>
              <w:bottom w:val="single" w:sz="4" w:space="0" w:color="auto"/>
              <w:right w:val="single" w:sz="4" w:space="0" w:color="auto"/>
            </w:tcBorders>
            <w:shd w:val="clear" w:color="000000" w:fill="D2232A"/>
            <w:vAlign w:val="center"/>
            <w:hideMark/>
          </w:tcPr>
          <w:p w14:paraId="5102852B" w14:textId="77777777" w:rsidR="00982252" w:rsidRPr="00982252" w:rsidRDefault="00982252" w:rsidP="00982252">
            <w:pPr>
              <w:spacing w:after="0" w:line="240" w:lineRule="auto"/>
              <w:jc w:val="center"/>
              <w:rPr>
                <w:rFonts w:eastAsia="Times New Roman" w:cs="Calibri"/>
                <w:color w:val="FFFFFF"/>
                <w:szCs w:val="18"/>
                <w:lang w:eastAsia="hr-HR"/>
              </w:rPr>
            </w:pPr>
            <w:r w:rsidRPr="00982252">
              <w:rPr>
                <w:rFonts w:eastAsia="Times New Roman" w:cs="Calibri"/>
                <w:color w:val="FFFFFF"/>
                <w:szCs w:val="18"/>
                <w:lang w:eastAsia="hr-HR"/>
              </w:rPr>
              <w:t>Isporučene količine mlijeka (kg)</w:t>
            </w:r>
          </w:p>
        </w:tc>
        <w:tc>
          <w:tcPr>
            <w:tcW w:w="3683" w:type="dxa"/>
            <w:tcBorders>
              <w:top w:val="single" w:sz="4" w:space="0" w:color="auto"/>
              <w:left w:val="nil"/>
              <w:bottom w:val="single" w:sz="4" w:space="0" w:color="auto"/>
              <w:right w:val="single" w:sz="4" w:space="0" w:color="auto"/>
            </w:tcBorders>
            <w:shd w:val="clear" w:color="000000" w:fill="D2232A"/>
            <w:vAlign w:val="center"/>
            <w:hideMark/>
          </w:tcPr>
          <w:p w14:paraId="68BB94E4" w14:textId="77777777" w:rsidR="00982252" w:rsidRPr="00982252" w:rsidRDefault="00982252" w:rsidP="00982252">
            <w:pPr>
              <w:spacing w:after="0" w:line="240" w:lineRule="auto"/>
              <w:jc w:val="center"/>
              <w:rPr>
                <w:rFonts w:eastAsia="Times New Roman" w:cs="Calibri"/>
                <w:color w:val="FFFFFF"/>
                <w:szCs w:val="18"/>
                <w:lang w:eastAsia="hr-HR"/>
              </w:rPr>
            </w:pPr>
            <w:r w:rsidRPr="00982252">
              <w:rPr>
                <w:rFonts w:eastAsia="Times New Roman" w:cs="Calibri"/>
                <w:color w:val="FFFFFF"/>
                <w:szCs w:val="18"/>
                <w:lang w:eastAsia="hr-HR"/>
              </w:rPr>
              <w:t>Broj isporučitelja mlijeka</w:t>
            </w:r>
          </w:p>
        </w:tc>
      </w:tr>
      <w:tr w:rsidR="00982252" w:rsidRPr="00982252" w14:paraId="57CE10B2" w14:textId="77777777" w:rsidTr="000061E9">
        <w:trPr>
          <w:trHeight w:val="311"/>
          <w:jc w:val="center"/>
        </w:trPr>
        <w:tc>
          <w:tcPr>
            <w:tcW w:w="1902" w:type="dxa"/>
            <w:tcBorders>
              <w:top w:val="nil"/>
              <w:left w:val="single" w:sz="8" w:space="0" w:color="D2232A"/>
              <w:bottom w:val="single" w:sz="8" w:space="0" w:color="F3CFC1"/>
              <w:right w:val="single" w:sz="8" w:space="0" w:color="D2232A"/>
            </w:tcBorders>
            <w:shd w:val="clear" w:color="auto" w:fill="auto"/>
            <w:vAlign w:val="center"/>
            <w:hideMark/>
          </w:tcPr>
          <w:p w14:paraId="1BE7BC91"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2017.</w:t>
            </w:r>
          </w:p>
        </w:tc>
        <w:tc>
          <w:tcPr>
            <w:tcW w:w="3683" w:type="dxa"/>
            <w:tcBorders>
              <w:top w:val="nil"/>
              <w:left w:val="nil"/>
              <w:bottom w:val="single" w:sz="8" w:space="0" w:color="F3CFC1"/>
              <w:right w:val="single" w:sz="8" w:space="0" w:color="D2232A"/>
            </w:tcBorders>
            <w:shd w:val="clear" w:color="auto" w:fill="auto"/>
            <w:vAlign w:val="center"/>
            <w:hideMark/>
          </w:tcPr>
          <w:p w14:paraId="2439D56D"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7125104</w:t>
            </w:r>
          </w:p>
        </w:tc>
        <w:tc>
          <w:tcPr>
            <w:tcW w:w="3683" w:type="dxa"/>
            <w:tcBorders>
              <w:top w:val="nil"/>
              <w:left w:val="nil"/>
              <w:bottom w:val="single" w:sz="8" w:space="0" w:color="F3CFC1"/>
              <w:right w:val="single" w:sz="8" w:space="0" w:color="D2232A"/>
            </w:tcBorders>
            <w:shd w:val="clear" w:color="auto" w:fill="auto"/>
            <w:vAlign w:val="center"/>
            <w:hideMark/>
          </w:tcPr>
          <w:p w14:paraId="59BD8CC4"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228</w:t>
            </w:r>
          </w:p>
        </w:tc>
      </w:tr>
      <w:tr w:rsidR="00982252" w:rsidRPr="00982252" w14:paraId="687A1E46" w14:textId="77777777" w:rsidTr="000061E9">
        <w:trPr>
          <w:trHeight w:val="311"/>
          <w:jc w:val="center"/>
        </w:trPr>
        <w:tc>
          <w:tcPr>
            <w:tcW w:w="1902" w:type="dxa"/>
            <w:tcBorders>
              <w:top w:val="nil"/>
              <w:left w:val="single" w:sz="8" w:space="0" w:color="D2232A"/>
              <w:bottom w:val="single" w:sz="8" w:space="0" w:color="F3CFC1"/>
              <w:right w:val="single" w:sz="8" w:space="0" w:color="D2232A"/>
            </w:tcBorders>
            <w:shd w:val="clear" w:color="auto" w:fill="auto"/>
            <w:vAlign w:val="center"/>
            <w:hideMark/>
          </w:tcPr>
          <w:p w14:paraId="1763602C"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2018.</w:t>
            </w:r>
          </w:p>
        </w:tc>
        <w:tc>
          <w:tcPr>
            <w:tcW w:w="3683" w:type="dxa"/>
            <w:tcBorders>
              <w:top w:val="nil"/>
              <w:left w:val="nil"/>
              <w:bottom w:val="single" w:sz="8" w:space="0" w:color="F3CFC1"/>
              <w:right w:val="single" w:sz="8" w:space="0" w:color="D2232A"/>
            </w:tcBorders>
            <w:shd w:val="clear" w:color="auto" w:fill="auto"/>
            <w:vAlign w:val="center"/>
            <w:hideMark/>
          </w:tcPr>
          <w:p w14:paraId="5A6D33DA"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6898509</w:t>
            </w:r>
          </w:p>
        </w:tc>
        <w:tc>
          <w:tcPr>
            <w:tcW w:w="3683" w:type="dxa"/>
            <w:tcBorders>
              <w:top w:val="nil"/>
              <w:left w:val="nil"/>
              <w:bottom w:val="single" w:sz="8" w:space="0" w:color="F3CFC1"/>
              <w:right w:val="single" w:sz="8" w:space="0" w:color="D2232A"/>
            </w:tcBorders>
            <w:shd w:val="clear" w:color="auto" w:fill="auto"/>
            <w:vAlign w:val="center"/>
            <w:hideMark/>
          </w:tcPr>
          <w:p w14:paraId="2A6B110E"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207</w:t>
            </w:r>
          </w:p>
        </w:tc>
      </w:tr>
      <w:tr w:rsidR="00982252" w:rsidRPr="00982252" w14:paraId="292E3812" w14:textId="77777777" w:rsidTr="000061E9">
        <w:trPr>
          <w:trHeight w:val="311"/>
          <w:jc w:val="center"/>
        </w:trPr>
        <w:tc>
          <w:tcPr>
            <w:tcW w:w="1902" w:type="dxa"/>
            <w:tcBorders>
              <w:top w:val="nil"/>
              <w:left w:val="single" w:sz="8" w:space="0" w:color="D2232A"/>
              <w:bottom w:val="single" w:sz="8" w:space="0" w:color="F3CFC1"/>
              <w:right w:val="single" w:sz="8" w:space="0" w:color="D2232A"/>
            </w:tcBorders>
            <w:shd w:val="clear" w:color="auto" w:fill="auto"/>
            <w:vAlign w:val="center"/>
            <w:hideMark/>
          </w:tcPr>
          <w:p w14:paraId="2FE85B9E"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2019.</w:t>
            </w:r>
          </w:p>
        </w:tc>
        <w:tc>
          <w:tcPr>
            <w:tcW w:w="3683" w:type="dxa"/>
            <w:tcBorders>
              <w:top w:val="nil"/>
              <w:left w:val="nil"/>
              <w:bottom w:val="single" w:sz="8" w:space="0" w:color="F3CFC1"/>
              <w:right w:val="single" w:sz="8" w:space="0" w:color="D2232A"/>
            </w:tcBorders>
            <w:shd w:val="clear" w:color="auto" w:fill="auto"/>
            <w:vAlign w:val="center"/>
            <w:hideMark/>
          </w:tcPr>
          <w:p w14:paraId="000F7D5E"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6589628</w:t>
            </w:r>
          </w:p>
        </w:tc>
        <w:tc>
          <w:tcPr>
            <w:tcW w:w="3683" w:type="dxa"/>
            <w:tcBorders>
              <w:top w:val="nil"/>
              <w:left w:val="nil"/>
              <w:bottom w:val="single" w:sz="8" w:space="0" w:color="F3CFC1"/>
              <w:right w:val="single" w:sz="8" w:space="0" w:color="D2232A"/>
            </w:tcBorders>
            <w:shd w:val="clear" w:color="auto" w:fill="auto"/>
            <w:vAlign w:val="center"/>
            <w:hideMark/>
          </w:tcPr>
          <w:p w14:paraId="6D491EC4"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174</w:t>
            </w:r>
          </w:p>
        </w:tc>
      </w:tr>
      <w:tr w:rsidR="00982252" w:rsidRPr="00982252" w14:paraId="3DC525D9" w14:textId="77777777" w:rsidTr="000061E9">
        <w:trPr>
          <w:trHeight w:val="311"/>
          <w:jc w:val="center"/>
        </w:trPr>
        <w:tc>
          <w:tcPr>
            <w:tcW w:w="1902"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6D29DD2F" w14:textId="77777777" w:rsidR="00982252" w:rsidRPr="00982252" w:rsidRDefault="00982252" w:rsidP="00982252">
            <w:pPr>
              <w:spacing w:after="0" w:line="240" w:lineRule="auto"/>
              <w:jc w:val="center"/>
              <w:rPr>
                <w:rFonts w:eastAsia="Times New Roman" w:cs="Calibri"/>
                <w:color w:val="FFFFFF"/>
                <w:szCs w:val="18"/>
                <w:lang w:eastAsia="hr-HR"/>
              </w:rPr>
            </w:pPr>
            <w:r w:rsidRPr="00982252">
              <w:rPr>
                <w:rFonts w:eastAsia="Times New Roman" w:cs="Calibri"/>
                <w:color w:val="FFFFFF"/>
                <w:szCs w:val="18"/>
                <w:lang w:eastAsia="hr-HR"/>
              </w:rPr>
              <w:t>Ukupno</w:t>
            </w:r>
          </w:p>
        </w:tc>
        <w:tc>
          <w:tcPr>
            <w:tcW w:w="3683" w:type="dxa"/>
            <w:tcBorders>
              <w:top w:val="nil"/>
              <w:left w:val="single" w:sz="8" w:space="0" w:color="D2232A"/>
              <w:bottom w:val="single" w:sz="8" w:space="0" w:color="F3CFC1"/>
              <w:right w:val="single" w:sz="8" w:space="0" w:color="D2232A"/>
            </w:tcBorders>
            <w:shd w:val="clear" w:color="auto" w:fill="auto"/>
            <w:vAlign w:val="center"/>
            <w:hideMark/>
          </w:tcPr>
          <w:p w14:paraId="7A173B52"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20613241</w:t>
            </w:r>
          </w:p>
        </w:tc>
        <w:tc>
          <w:tcPr>
            <w:tcW w:w="3683" w:type="dxa"/>
            <w:tcBorders>
              <w:top w:val="nil"/>
              <w:left w:val="nil"/>
              <w:bottom w:val="single" w:sz="8" w:space="0" w:color="F3CFC1"/>
              <w:right w:val="single" w:sz="8" w:space="0" w:color="D2232A"/>
            </w:tcBorders>
            <w:shd w:val="clear" w:color="auto" w:fill="auto"/>
            <w:vAlign w:val="center"/>
            <w:hideMark/>
          </w:tcPr>
          <w:p w14:paraId="684BC4AE" w14:textId="77777777" w:rsidR="00982252" w:rsidRPr="00982252" w:rsidRDefault="00982252" w:rsidP="00982252">
            <w:pPr>
              <w:spacing w:after="0" w:line="240" w:lineRule="auto"/>
              <w:jc w:val="center"/>
              <w:rPr>
                <w:rFonts w:eastAsia="Times New Roman" w:cs="Calibri"/>
                <w:color w:val="3F3F3F"/>
                <w:szCs w:val="18"/>
                <w:lang w:eastAsia="hr-HR"/>
              </w:rPr>
            </w:pPr>
            <w:r w:rsidRPr="00982252">
              <w:rPr>
                <w:rFonts w:eastAsia="Times New Roman" w:cs="Calibri"/>
                <w:color w:val="3F3F3F"/>
                <w:szCs w:val="18"/>
                <w:lang w:eastAsia="hr-HR"/>
              </w:rPr>
              <w:t>609</w:t>
            </w:r>
          </w:p>
        </w:tc>
      </w:tr>
    </w:tbl>
    <w:p w14:paraId="1ED0B1E4" w14:textId="69380BC2" w:rsidR="00982252" w:rsidRPr="00BD6B22" w:rsidRDefault="00982252" w:rsidP="00BD6B22">
      <w:pPr>
        <w:pStyle w:val="Izvor"/>
        <w:rPr>
          <w:i/>
          <w:color w:val="ABABAB" w:themeColor="text1" w:themeTint="A6"/>
          <w:sz w:val="16"/>
          <w:szCs w:val="16"/>
        </w:rPr>
      </w:pPr>
      <w:r w:rsidRPr="00BD6B22">
        <w:rPr>
          <w:i/>
          <w:color w:val="ABABAB" w:themeColor="text1" w:themeTint="A6"/>
          <w:sz w:val="16"/>
          <w:szCs w:val="16"/>
        </w:rPr>
        <w:t>Izvor: HAPIH; GI za 2017., 2018. i 2019., obrada: Krapinsko-zagorska županija</w:t>
      </w:r>
    </w:p>
    <w:p w14:paraId="773021AD" w14:textId="77777777" w:rsidR="00346E38" w:rsidRDefault="00346E38" w:rsidP="00083AE7"/>
    <w:p w14:paraId="2C4680FE" w14:textId="55995A75" w:rsidR="00982252" w:rsidRDefault="00083AE7" w:rsidP="00083AE7">
      <w:pPr>
        <w:rPr>
          <w:rFonts w:cstheme="minorHAnsi"/>
        </w:rPr>
      </w:pPr>
      <w:r>
        <w:rPr>
          <w:rFonts w:cstheme="minorHAnsi"/>
        </w:rPr>
        <w:t xml:space="preserve">Svinjogojstvo u promatranom razdoblju bilježi najveće fluktuacije </w:t>
      </w:r>
      <w:r w:rsidR="00A43499">
        <w:rPr>
          <w:rFonts w:cstheme="minorHAnsi"/>
        </w:rPr>
        <w:t>-</w:t>
      </w:r>
      <w:r>
        <w:rPr>
          <w:rFonts w:cstheme="minorHAnsi"/>
        </w:rPr>
        <w:t xml:space="preserve"> izrazito povećanje broja gospodarstava i broja životinja u 2015. godini u odnosu na prethodne dvije godine te ponovni veliki pad u 2018. godini za više od 50%. U 2019. godini dolazi do ponovnog rasta, a isti se nastavlja i u 2020. Od pasmina svinja zastupljene su v</w:t>
      </w:r>
      <w:r w:rsidR="00674D95">
        <w:rPr>
          <w:rFonts w:cstheme="minorHAnsi"/>
        </w:rPr>
        <w:t>eliki</w:t>
      </w:r>
      <w:r>
        <w:rPr>
          <w:rFonts w:cstheme="minorHAnsi"/>
        </w:rPr>
        <w:t xml:space="preserve"> jorkšir, landras, pietren</w:t>
      </w:r>
      <w:r w:rsidR="00674D95">
        <w:rPr>
          <w:rFonts w:cstheme="minorHAnsi"/>
        </w:rPr>
        <w:t>, crna slavonska svinja</w:t>
      </w:r>
      <w:r>
        <w:rPr>
          <w:rFonts w:cstheme="minorHAnsi"/>
        </w:rPr>
        <w:t xml:space="preserve"> i križanci. </w:t>
      </w:r>
      <w:r w:rsidR="00B153BF">
        <w:rPr>
          <w:rFonts w:cstheme="minorHAnsi"/>
        </w:rPr>
        <w:t xml:space="preserve">Na poljoprivrednim gospodarstvima u Krapinsko-zagorskoj županiji, svinje se tove u ekstenzivnom uzgoju za vlastite potrebe i to u prosjeku 1 do 3 tovljenika godišnje. Intenzivni uzgoj svinja zahtjeva veću količinu koncentriranih krmiva i žitarica čija je proizvodnja ograničena zbog konfiguracije terena i malih posjeda. Cijena svinja na tržištu izrazito fluktuira te je upitna rentabilnost proizvodnje uz veliki input dok je izlazna cijena neizvjesna. Na području županije postoji jedna svinjogojska farma za 200 uzgojno valjanih krmača. Na gospodarstvima sa svinjogojskom proizvodnjom mesnih pasmina koriste se suvremeni načini držanja i hranidbe svinja. </w:t>
      </w:r>
    </w:p>
    <w:p w14:paraId="7C0BC8ED" w14:textId="1F648923" w:rsidR="00BE4420" w:rsidRDefault="00BE4420" w:rsidP="000061E9">
      <w:pPr>
        <w:pStyle w:val="Opisslike"/>
      </w:pPr>
      <w:r w:rsidRPr="000061E9">
        <w:lastRenderedPageBreak/>
        <w:t xml:space="preserve">Tablica </w:t>
      </w:r>
      <w:r w:rsidR="00BD6B22" w:rsidRPr="000061E9">
        <w:t>1</w:t>
      </w:r>
      <w:r w:rsidR="00CA3263" w:rsidRPr="000061E9">
        <w:t>67</w:t>
      </w:r>
      <w:r w:rsidRPr="000061E9">
        <w:t>. Broj rasplodnih svinja pod kontrolom proizvodnosti, 2017.</w:t>
      </w:r>
      <w:r w:rsidR="00BD6B22" w:rsidRPr="000061E9">
        <w:t xml:space="preserve"> </w:t>
      </w:r>
      <w:r w:rsidRPr="000061E9">
        <w:t>-</w:t>
      </w:r>
      <w:r w:rsidR="00BD6B22" w:rsidRPr="000061E9">
        <w:t xml:space="preserve"> </w:t>
      </w:r>
      <w:r w:rsidRPr="000061E9">
        <w:t>2020.</w:t>
      </w:r>
    </w:p>
    <w:tbl>
      <w:tblPr>
        <w:tblW w:w="9356" w:type="dxa"/>
        <w:tblInd w:w="-5" w:type="dxa"/>
        <w:tblLook w:val="04A0" w:firstRow="1" w:lastRow="0" w:firstColumn="1" w:lastColumn="0" w:noHBand="0" w:noVBand="1"/>
      </w:tblPr>
      <w:tblGrid>
        <w:gridCol w:w="1380"/>
        <w:gridCol w:w="3582"/>
        <w:gridCol w:w="4394"/>
      </w:tblGrid>
      <w:tr w:rsidR="00BE4420" w:rsidRPr="00BE4420" w14:paraId="4DFAC2D8" w14:textId="77777777" w:rsidTr="000061E9">
        <w:trPr>
          <w:trHeight w:val="501"/>
        </w:trPr>
        <w:tc>
          <w:tcPr>
            <w:tcW w:w="1380"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49D69668" w14:textId="77777777" w:rsidR="00BE4420" w:rsidRPr="00BE4420" w:rsidRDefault="00BE4420" w:rsidP="00BE4420">
            <w:pPr>
              <w:spacing w:after="0" w:line="240" w:lineRule="auto"/>
              <w:jc w:val="left"/>
              <w:rPr>
                <w:rFonts w:eastAsia="Times New Roman" w:cs="Calibri"/>
                <w:color w:val="FFFFFF"/>
                <w:szCs w:val="18"/>
                <w:lang w:eastAsia="hr-HR"/>
              </w:rPr>
            </w:pPr>
            <w:r w:rsidRPr="00BE4420">
              <w:rPr>
                <w:rFonts w:eastAsia="Times New Roman" w:cs="Calibri"/>
                <w:color w:val="FFFFFF"/>
                <w:szCs w:val="18"/>
                <w:lang w:eastAsia="hr-HR"/>
              </w:rPr>
              <w:t>Godina</w:t>
            </w:r>
          </w:p>
        </w:tc>
        <w:tc>
          <w:tcPr>
            <w:tcW w:w="3582" w:type="dxa"/>
            <w:tcBorders>
              <w:top w:val="single" w:sz="4" w:space="0" w:color="auto"/>
              <w:left w:val="nil"/>
              <w:bottom w:val="single" w:sz="4" w:space="0" w:color="auto"/>
              <w:right w:val="single" w:sz="4" w:space="0" w:color="auto"/>
            </w:tcBorders>
            <w:shd w:val="clear" w:color="000000" w:fill="D2232A"/>
            <w:vAlign w:val="center"/>
            <w:hideMark/>
          </w:tcPr>
          <w:p w14:paraId="4854F7CF" w14:textId="77777777" w:rsidR="00BE4420" w:rsidRPr="00BE4420" w:rsidRDefault="00BE4420" w:rsidP="00BE4420">
            <w:pPr>
              <w:spacing w:after="0" w:line="240" w:lineRule="auto"/>
              <w:jc w:val="center"/>
              <w:rPr>
                <w:rFonts w:eastAsia="Times New Roman" w:cs="Calibri"/>
                <w:color w:val="FFFFFF"/>
                <w:szCs w:val="18"/>
                <w:lang w:eastAsia="hr-HR"/>
              </w:rPr>
            </w:pPr>
            <w:r w:rsidRPr="00BE4420">
              <w:rPr>
                <w:rFonts w:eastAsia="Times New Roman" w:cs="Calibri"/>
                <w:color w:val="FFFFFF"/>
                <w:szCs w:val="18"/>
                <w:lang w:eastAsia="hr-HR"/>
              </w:rPr>
              <w:t xml:space="preserve">Krmače </w:t>
            </w:r>
          </w:p>
        </w:tc>
        <w:tc>
          <w:tcPr>
            <w:tcW w:w="4394" w:type="dxa"/>
            <w:tcBorders>
              <w:top w:val="single" w:sz="4" w:space="0" w:color="auto"/>
              <w:left w:val="nil"/>
              <w:bottom w:val="single" w:sz="4" w:space="0" w:color="auto"/>
              <w:right w:val="single" w:sz="4" w:space="0" w:color="auto"/>
            </w:tcBorders>
            <w:shd w:val="clear" w:color="000000" w:fill="D2232A"/>
            <w:vAlign w:val="center"/>
            <w:hideMark/>
          </w:tcPr>
          <w:p w14:paraId="7EB3ACD7" w14:textId="77777777" w:rsidR="00BE4420" w:rsidRPr="00BE4420" w:rsidRDefault="00BE4420" w:rsidP="00BE4420">
            <w:pPr>
              <w:spacing w:after="0" w:line="240" w:lineRule="auto"/>
              <w:jc w:val="center"/>
              <w:rPr>
                <w:rFonts w:eastAsia="Times New Roman" w:cs="Calibri"/>
                <w:color w:val="FFFFFF"/>
                <w:szCs w:val="18"/>
                <w:lang w:eastAsia="hr-HR"/>
              </w:rPr>
            </w:pPr>
            <w:r w:rsidRPr="00BE4420">
              <w:rPr>
                <w:rFonts w:eastAsia="Times New Roman" w:cs="Calibri"/>
                <w:color w:val="FFFFFF"/>
                <w:szCs w:val="18"/>
                <w:lang w:eastAsia="hr-HR"/>
              </w:rPr>
              <w:t>Nerastovi</w:t>
            </w:r>
          </w:p>
        </w:tc>
      </w:tr>
      <w:tr w:rsidR="00BE4420" w:rsidRPr="00BE4420" w14:paraId="4B1CD1FB" w14:textId="77777777" w:rsidTr="000061E9">
        <w:trPr>
          <w:trHeight w:val="300"/>
        </w:trPr>
        <w:tc>
          <w:tcPr>
            <w:tcW w:w="1380" w:type="dxa"/>
            <w:tcBorders>
              <w:top w:val="nil"/>
              <w:left w:val="single" w:sz="8" w:space="0" w:color="D2232A"/>
              <w:bottom w:val="single" w:sz="8" w:space="0" w:color="F3CFC1"/>
              <w:right w:val="single" w:sz="8" w:space="0" w:color="D2232A"/>
            </w:tcBorders>
            <w:shd w:val="clear" w:color="auto" w:fill="auto"/>
            <w:vAlign w:val="center"/>
            <w:hideMark/>
          </w:tcPr>
          <w:p w14:paraId="2811B35C"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2017.</w:t>
            </w:r>
          </w:p>
        </w:tc>
        <w:tc>
          <w:tcPr>
            <w:tcW w:w="3582" w:type="dxa"/>
            <w:tcBorders>
              <w:top w:val="nil"/>
              <w:left w:val="nil"/>
              <w:bottom w:val="single" w:sz="8" w:space="0" w:color="F3CFC1"/>
              <w:right w:val="single" w:sz="8" w:space="0" w:color="D2232A"/>
            </w:tcBorders>
            <w:shd w:val="clear" w:color="auto" w:fill="auto"/>
            <w:vAlign w:val="center"/>
            <w:hideMark/>
          </w:tcPr>
          <w:p w14:paraId="4A1A908F"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99</w:t>
            </w:r>
          </w:p>
        </w:tc>
        <w:tc>
          <w:tcPr>
            <w:tcW w:w="4394" w:type="dxa"/>
            <w:tcBorders>
              <w:top w:val="nil"/>
              <w:left w:val="nil"/>
              <w:bottom w:val="single" w:sz="8" w:space="0" w:color="F3CFC1"/>
              <w:right w:val="single" w:sz="8" w:space="0" w:color="D2232A"/>
            </w:tcBorders>
            <w:shd w:val="clear" w:color="auto" w:fill="auto"/>
            <w:vAlign w:val="center"/>
            <w:hideMark/>
          </w:tcPr>
          <w:p w14:paraId="7828AA5E"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15</w:t>
            </w:r>
          </w:p>
        </w:tc>
      </w:tr>
      <w:tr w:rsidR="00BE4420" w:rsidRPr="00BE4420" w14:paraId="095E4438" w14:textId="77777777" w:rsidTr="000061E9">
        <w:trPr>
          <w:trHeight w:val="300"/>
        </w:trPr>
        <w:tc>
          <w:tcPr>
            <w:tcW w:w="1380" w:type="dxa"/>
            <w:tcBorders>
              <w:top w:val="nil"/>
              <w:left w:val="single" w:sz="8" w:space="0" w:color="D2232A"/>
              <w:bottom w:val="single" w:sz="8" w:space="0" w:color="F3CFC1"/>
              <w:right w:val="single" w:sz="8" w:space="0" w:color="D2232A"/>
            </w:tcBorders>
            <w:shd w:val="clear" w:color="auto" w:fill="auto"/>
            <w:vAlign w:val="center"/>
            <w:hideMark/>
          </w:tcPr>
          <w:p w14:paraId="2BB07183"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2018.</w:t>
            </w:r>
          </w:p>
        </w:tc>
        <w:tc>
          <w:tcPr>
            <w:tcW w:w="3582" w:type="dxa"/>
            <w:tcBorders>
              <w:top w:val="nil"/>
              <w:left w:val="nil"/>
              <w:bottom w:val="single" w:sz="8" w:space="0" w:color="F3CFC1"/>
              <w:right w:val="single" w:sz="8" w:space="0" w:color="D2232A"/>
            </w:tcBorders>
            <w:shd w:val="clear" w:color="auto" w:fill="auto"/>
            <w:vAlign w:val="center"/>
            <w:hideMark/>
          </w:tcPr>
          <w:p w14:paraId="2AFF7493"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97</w:t>
            </w:r>
          </w:p>
        </w:tc>
        <w:tc>
          <w:tcPr>
            <w:tcW w:w="4394" w:type="dxa"/>
            <w:tcBorders>
              <w:top w:val="nil"/>
              <w:left w:val="nil"/>
              <w:bottom w:val="single" w:sz="8" w:space="0" w:color="F3CFC1"/>
              <w:right w:val="single" w:sz="8" w:space="0" w:color="D2232A"/>
            </w:tcBorders>
            <w:shd w:val="clear" w:color="auto" w:fill="auto"/>
            <w:vAlign w:val="center"/>
            <w:hideMark/>
          </w:tcPr>
          <w:p w14:paraId="2527F7E8"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14</w:t>
            </w:r>
          </w:p>
        </w:tc>
      </w:tr>
      <w:tr w:rsidR="00BE4420" w:rsidRPr="00BE4420" w14:paraId="1E4BDD86" w14:textId="77777777" w:rsidTr="000061E9">
        <w:trPr>
          <w:trHeight w:val="300"/>
        </w:trPr>
        <w:tc>
          <w:tcPr>
            <w:tcW w:w="1380" w:type="dxa"/>
            <w:tcBorders>
              <w:top w:val="nil"/>
              <w:left w:val="single" w:sz="8" w:space="0" w:color="D2232A"/>
              <w:bottom w:val="single" w:sz="8" w:space="0" w:color="F3CFC1"/>
              <w:right w:val="single" w:sz="8" w:space="0" w:color="D2232A"/>
            </w:tcBorders>
            <w:shd w:val="clear" w:color="auto" w:fill="auto"/>
            <w:vAlign w:val="center"/>
            <w:hideMark/>
          </w:tcPr>
          <w:p w14:paraId="006BD005"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2019.</w:t>
            </w:r>
          </w:p>
        </w:tc>
        <w:tc>
          <w:tcPr>
            <w:tcW w:w="3582" w:type="dxa"/>
            <w:tcBorders>
              <w:top w:val="nil"/>
              <w:left w:val="nil"/>
              <w:bottom w:val="single" w:sz="8" w:space="0" w:color="F3CFC1"/>
              <w:right w:val="single" w:sz="8" w:space="0" w:color="D2232A"/>
            </w:tcBorders>
            <w:shd w:val="clear" w:color="auto" w:fill="auto"/>
            <w:vAlign w:val="center"/>
            <w:hideMark/>
          </w:tcPr>
          <w:p w14:paraId="431801B8"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125</w:t>
            </w:r>
          </w:p>
        </w:tc>
        <w:tc>
          <w:tcPr>
            <w:tcW w:w="4394" w:type="dxa"/>
            <w:tcBorders>
              <w:top w:val="nil"/>
              <w:left w:val="nil"/>
              <w:bottom w:val="single" w:sz="8" w:space="0" w:color="F3CFC1"/>
              <w:right w:val="single" w:sz="8" w:space="0" w:color="D2232A"/>
            </w:tcBorders>
            <w:shd w:val="clear" w:color="auto" w:fill="auto"/>
            <w:vAlign w:val="center"/>
            <w:hideMark/>
          </w:tcPr>
          <w:p w14:paraId="0B06C8A3"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19</w:t>
            </w:r>
          </w:p>
        </w:tc>
      </w:tr>
      <w:tr w:rsidR="00BE4420" w:rsidRPr="00BE4420" w14:paraId="133C3EC9" w14:textId="77777777" w:rsidTr="000061E9">
        <w:trPr>
          <w:trHeight w:val="300"/>
        </w:trPr>
        <w:tc>
          <w:tcPr>
            <w:tcW w:w="1380"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5F7E1C05" w14:textId="77777777" w:rsidR="00BE4420" w:rsidRPr="00BE4420" w:rsidRDefault="00BE4420" w:rsidP="00BE4420">
            <w:pPr>
              <w:spacing w:after="0" w:line="240" w:lineRule="auto"/>
              <w:jc w:val="center"/>
              <w:rPr>
                <w:rFonts w:eastAsia="Times New Roman" w:cs="Calibri"/>
                <w:color w:val="FFFFFF"/>
                <w:szCs w:val="18"/>
                <w:lang w:eastAsia="hr-HR"/>
              </w:rPr>
            </w:pPr>
            <w:r w:rsidRPr="00BE4420">
              <w:rPr>
                <w:rFonts w:eastAsia="Times New Roman" w:cs="Calibri"/>
                <w:color w:val="FFFFFF"/>
                <w:szCs w:val="18"/>
                <w:lang w:eastAsia="hr-HR"/>
              </w:rPr>
              <w:t>Ukupno</w:t>
            </w:r>
          </w:p>
        </w:tc>
        <w:tc>
          <w:tcPr>
            <w:tcW w:w="3582" w:type="dxa"/>
            <w:tcBorders>
              <w:top w:val="nil"/>
              <w:left w:val="single" w:sz="8" w:space="0" w:color="D2232A"/>
              <w:bottom w:val="single" w:sz="8" w:space="0" w:color="F3CFC1"/>
              <w:right w:val="single" w:sz="8" w:space="0" w:color="D2232A"/>
            </w:tcBorders>
            <w:shd w:val="clear" w:color="auto" w:fill="auto"/>
            <w:vAlign w:val="center"/>
            <w:hideMark/>
          </w:tcPr>
          <w:p w14:paraId="0405CA74"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321</w:t>
            </w:r>
          </w:p>
        </w:tc>
        <w:tc>
          <w:tcPr>
            <w:tcW w:w="4394" w:type="dxa"/>
            <w:tcBorders>
              <w:top w:val="nil"/>
              <w:left w:val="nil"/>
              <w:bottom w:val="single" w:sz="8" w:space="0" w:color="F3CFC1"/>
              <w:right w:val="single" w:sz="8" w:space="0" w:color="D2232A"/>
            </w:tcBorders>
            <w:shd w:val="clear" w:color="auto" w:fill="auto"/>
            <w:vAlign w:val="center"/>
            <w:hideMark/>
          </w:tcPr>
          <w:p w14:paraId="6D34876C"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48</w:t>
            </w:r>
          </w:p>
        </w:tc>
      </w:tr>
    </w:tbl>
    <w:p w14:paraId="3FEF2BE2" w14:textId="49EFC1F7" w:rsidR="00BE4420" w:rsidRDefault="00BE4420" w:rsidP="00BD6B22">
      <w:pPr>
        <w:pStyle w:val="Izvor"/>
        <w:rPr>
          <w:i/>
          <w:color w:val="ABABAB" w:themeColor="text1" w:themeTint="A6"/>
          <w:sz w:val="16"/>
          <w:szCs w:val="16"/>
        </w:rPr>
      </w:pPr>
      <w:r w:rsidRPr="00BD6B22">
        <w:rPr>
          <w:i/>
          <w:color w:val="ABABAB" w:themeColor="text1" w:themeTint="A6"/>
          <w:sz w:val="16"/>
          <w:szCs w:val="16"/>
        </w:rPr>
        <w:t>Izvor: HAPIH; GI za 2017., 2018. i 2019., obrada: Krapinsko-zagorska županija</w:t>
      </w:r>
    </w:p>
    <w:p w14:paraId="0DF10942" w14:textId="77777777" w:rsidR="00F367A0" w:rsidRPr="00BD6B22" w:rsidRDefault="00F367A0" w:rsidP="00BD6B22">
      <w:pPr>
        <w:pStyle w:val="Izvor"/>
        <w:rPr>
          <w:i/>
          <w:color w:val="ABABAB" w:themeColor="text1" w:themeTint="A6"/>
          <w:sz w:val="16"/>
          <w:szCs w:val="16"/>
        </w:rPr>
      </w:pPr>
    </w:p>
    <w:p w14:paraId="70EA83E1" w14:textId="7F714F7F" w:rsidR="00BE4420" w:rsidRDefault="00BE4420" w:rsidP="00083AE7">
      <w:pPr>
        <w:rPr>
          <w:rFonts w:cstheme="minorHAnsi"/>
        </w:rPr>
      </w:pPr>
      <w:r>
        <w:rPr>
          <w:rFonts w:cstheme="minorHAnsi"/>
        </w:rPr>
        <w:t xml:space="preserve">Hrvatska agencija za poljoprivredu i hranu, Centar za stočarstvo, vodi kontrolu proizvodnosti krmača. Iz prethodne tablice vidljivo je kako se broj krmača pod kontrolom proizvodnosti u trogodišnjem razdoblju povećao za 20,8%. </w:t>
      </w:r>
    </w:p>
    <w:p w14:paraId="3903B8CB" w14:textId="5ED50EBF" w:rsidR="00BE4420" w:rsidRDefault="00BE4420" w:rsidP="00083AE7">
      <w:pPr>
        <w:rPr>
          <w:rFonts w:cstheme="minorHAnsi"/>
        </w:rPr>
      </w:pPr>
    </w:p>
    <w:p w14:paraId="2EA3AEC6" w14:textId="043D3154" w:rsidR="00BE4420" w:rsidRDefault="00BE4420" w:rsidP="000061E9">
      <w:pPr>
        <w:pStyle w:val="Opisslike"/>
      </w:pPr>
      <w:r>
        <w:t xml:space="preserve">Tablica </w:t>
      </w:r>
      <w:r w:rsidR="00BD6B22" w:rsidRPr="000061E9">
        <w:t>1</w:t>
      </w:r>
      <w:r w:rsidR="00741E4F" w:rsidRPr="000061E9">
        <w:t>68</w:t>
      </w:r>
      <w:r w:rsidRPr="000061E9">
        <w:t xml:space="preserve">. Broj </w:t>
      </w:r>
      <w:r w:rsidR="00674D95" w:rsidRPr="000061E9">
        <w:t>svinja i PG uzgajivača svinja</w:t>
      </w:r>
      <w:r w:rsidRPr="000061E9">
        <w:t>, 2017.</w:t>
      </w:r>
      <w:r w:rsidR="00BD6B22" w:rsidRPr="000061E9">
        <w:t xml:space="preserve"> </w:t>
      </w:r>
      <w:r w:rsidRPr="000061E9">
        <w:t>-</w:t>
      </w:r>
      <w:r w:rsidR="00BD6B22" w:rsidRPr="000061E9">
        <w:t xml:space="preserve"> </w:t>
      </w:r>
      <w:r w:rsidRPr="000061E9">
        <w:t>2020.</w:t>
      </w:r>
    </w:p>
    <w:tbl>
      <w:tblPr>
        <w:tblW w:w="9356" w:type="dxa"/>
        <w:tblInd w:w="-5" w:type="dxa"/>
        <w:tblLook w:val="04A0" w:firstRow="1" w:lastRow="0" w:firstColumn="1" w:lastColumn="0" w:noHBand="0" w:noVBand="1"/>
      </w:tblPr>
      <w:tblGrid>
        <w:gridCol w:w="1276"/>
        <w:gridCol w:w="4367"/>
        <w:gridCol w:w="3713"/>
      </w:tblGrid>
      <w:tr w:rsidR="00BE4420" w:rsidRPr="00BE4420" w14:paraId="571A3EB4" w14:textId="77777777" w:rsidTr="000061E9">
        <w:trPr>
          <w:trHeight w:val="288"/>
        </w:trPr>
        <w:tc>
          <w:tcPr>
            <w:tcW w:w="1276"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6E67582C" w14:textId="77777777" w:rsidR="00BE4420" w:rsidRPr="00BE4420" w:rsidRDefault="00BE4420" w:rsidP="00BE4420">
            <w:pPr>
              <w:spacing w:after="0" w:line="240" w:lineRule="auto"/>
              <w:jc w:val="left"/>
              <w:rPr>
                <w:rFonts w:eastAsia="Times New Roman" w:cs="Calibri"/>
                <w:color w:val="FFFFFF"/>
                <w:szCs w:val="18"/>
                <w:lang w:eastAsia="hr-HR"/>
              </w:rPr>
            </w:pPr>
            <w:r w:rsidRPr="00BE4420">
              <w:rPr>
                <w:rFonts w:eastAsia="Times New Roman" w:cs="Calibri"/>
                <w:color w:val="FFFFFF"/>
                <w:szCs w:val="18"/>
                <w:lang w:eastAsia="hr-HR"/>
              </w:rPr>
              <w:t>Godina</w:t>
            </w:r>
          </w:p>
        </w:tc>
        <w:tc>
          <w:tcPr>
            <w:tcW w:w="4367" w:type="dxa"/>
            <w:tcBorders>
              <w:top w:val="single" w:sz="4" w:space="0" w:color="auto"/>
              <w:left w:val="nil"/>
              <w:bottom w:val="single" w:sz="4" w:space="0" w:color="auto"/>
              <w:right w:val="single" w:sz="4" w:space="0" w:color="auto"/>
            </w:tcBorders>
            <w:shd w:val="clear" w:color="000000" w:fill="D2232A"/>
            <w:vAlign w:val="center"/>
            <w:hideMark/>
          </w:tcPr>
          <w:p w14:paraId="0DAE7F8E" w14:textId="77777777" w:rsidR="00BE4420" w:rsidRPr="00BE4420" w:rsidRDefault="00BE4420" w:rsidP="00BE4420">
            <w:pPr>
              <w:spacing w:after="0" w:line="240" w:lineRule="auto"/>
              <w:jc w:val="center"/>
              <w:rPr>
                <w:rFonts w:eastAsia="Times New Roman" w:cs="Calibri"/>
                <w:color w:val="FFFFFF"/>
                <w:szCs w:val="18"/>
                <w:lang w:eastAsia="hr-HR"/>
              </w:rPr>
            </w:pPr>
            <w:r w:rsidRPr="00BE4420">
              <w:rPr>
                <w:rFonts w:eastAsia="Times New Roman" w:cs="Calibri"/>
                <w:color w:val="FFFFFF"/>
                <w:szCs w:val="18"/>
                <w:lang w:eastAsia="hr-HR"/>
              </w:rPr>
              <w:t>Broj svinja</w:t>
            </w:r>
          </w:p>
        </w:tc>
        <w:tc>
          <w:tcPr>
            <w:tcW w:w="3713" w:type="dxa"/>
            <w:tcBorders>
              <w:top w:val="single" w:sz="4" w:space="0" w:color="auto"/>
              <w:left w:val="nil"/>
              <w:bottom w:val="single" w:sz="4" w:space="0" w:color="auto"/>
              <w:right w:val="single" w:sz="4" w:space="0" w:color="auto"/>
            </w:tcBorders>
            <w:shd w:val="clear" w:color="000000" w:fill="D2232A"/>
            <w:vAlign w:val="center"/>
            <w:hideMark/>
          </w:tcPr>
          <w:p w14:paraId="7A602FE4" w14:textId="77777777" w:rsidR="00BE4420" w:rsidRPr="00BE4420" w:rsidRDefault="00BE4420" w:rsidP="00BE4420">
            <w:pPr>
              <w:spacing w:after="0" w:line="240" w:lineRule="auto"/>
              <w:jc w:val="center"/>
              <w:rPr>
                <w:rFonts w:eastAsia="Times New Roman" w:cs="Calibri"/>
                <w:color w:val="FFFFFF"/>
                <w:szCs w:val="18"/>
                <w:lang w:eastAsia="hr-HR"/>
              </w:rPr>
            </w:pPr>
            <w:r w:rsidRPr="00BE4420">
              <w:rPr>
                <w:rFonts w:eastAsia="Times New Roman" w:cs="Calibri"/>
                <w:color w:val="FFFFFF"/>
                <w:szCs w:val="18"/>
                <w:lang w:eastAsia="hr-HR"/>
              </w:rPr>
              <w:t>Broj PG-a</w:t>
            </w:r>
          </w:p>
        </w:tc>
      </w:tr>
      <w:tr w:rsidR="00BE4420" w:rsidRPr="00BE4420" w14:paraId="0C5DBD8E" w14:textId="77777777" w:rsidTr="000061E9">
        <w:trPr>
          <w:trHeight w:val="300"/>
        </w:trPr>
        <w:tc>
          <w:tcPr>
            <w:tcW w:w="1276" w:type="dxa"/>
            <w:tcBorders>
              <w:top w:val="nil"/>
              <w:left w:val="single" w:sz="8" w:space="0" w:color="D2232A"/>
              <w:bottom w:val="single" w:sz="8" w:space="0" w:color="F3CFC1"/>
              <w:right w:val="single" w:sz="8" w:space="0" w:color="D2232A"/>
            </w:tcBorders>
            <w:shd w:val="clear" w:color="auto" w:fill="auto"/>
            <w:vAlign w:val="center"/>
            <w:hideMark/>
          </w:tcPr>
          <w:p w14:paraId="24E4696B"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2017.</w:t>
            </w:r>
          </w:p>
        </w:tc>
        <w:tc>
          <w:tcPr>
            <w:tcW w:w="4367" w:type="dxa"/>
            <w:tcBorders>
              <w:top w:val="nil"/>
              <w:left w:val="nil"/>
              <w:bottom w:val="single" w:sz="8" w:space="0" w:color="F3CFC1"/>
              <w:right w:val="single" w:sz="8" w:space="0" w:color="D2232A"/>
            </w:tcBorders>
            <w:shd w:val="clear" w:color="auto" w:fill="auto"/>
            <w:vAlign w:val="center"/>
            <w:hideMark/>
          </w:tcPr>
          <w:p w14:paraId="69ACE22B"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10059</w:t>
            </w:r>
          </w:p>
        </w:tc>
        <w:tc>
          <w:tcPr>
            <w:tcW w:w="3713" w:type="dxa"/>
            <w:tcBorders>
              <w:top w:val="nil"/>
              <w:left w:val="nil"/>
              <w:bottom w:val="single" w:sz="8" w:space="0" w:color="F3CFC1"/>
              <w:right w:val="single" w:sz="8" w:space="0" w:color="D2232A"/>
            </w:tcBorders>
            <w:shd w:val="clear" w:color="auto" w:fill="auto"/>
            <w:vAlign w:val="center"/>
            <w:hideMark/>
          </w:tcPr>
          <w:p w14:paraId="286D8395"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44358</w:t>
            </w:r>
          </w:p>
        </w:tc>
      </w:tr>
      <w:tr w:rsidR="00BE4420" w:rsidRPr="00BE4420" w14:paraId="3DEEB2A4" w14:textId="77777777" w:rsidTr="000061E9">
        <w:trPr>
          <w:trHeight w:val="300"/>
        </w:trPr>
        <w:tc>
          <w:tcPr>
            <w:tcW w:w="1276" w:type="dxa"/>
            <w:tcBorders>
              <w:top w:val="nil"/>
              <w:left w:val="single" w:sz="8" w:space="0" w:color="D2232A"/>
              <w:bottom w:val="single" w:sz="8" w:space="0" w:color="F3CFC1"/>
              <w:right w:val="single" w:sz="8" w:space="0" w:color="D2232A"/>
            </w:tcBorders>
            <w:shd w:val="clear" w:color="auto" w:fill="auto"/>
            <w:vAlign w:val="center"/>
            <w:hideMark/>
          </w:tcPr>
          <w:p w14:paraId="033D9C93"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2018.</w:t>
            </w:r>
          </w:p>
        </w:tc>
        <w:tc>
          <w:tcPr>
            <w:tcW w:w="4367" w:type="dxa"/>
            <w:tcBorders>
              <w:top w:val="nil"/>
              <w:left w:val="nil"/>
              <w:bottom w:val="single" w:sz="8" w:space="0" w:color="F3CFC1"/>
              <w:right w:val="single" w:sz="8" w:space="0" w:color="D2232A"/>
            </w:tcBorders>
            <w:shd w:val="clear" w:color="auto" w:fill="auto"/>
            <w:vAlign w:val="center"/>
            <w:hideMark/>
          </w:tcPr>
          <w:p w14:paraId="6DAC586A"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9838</w:t>
            </w:r>
          </w:p>
        </w:tc>
        <w:tc>
          <w:tcPr>
            <w:tcW w:w="3713" w:type="dxa"/>
            <w:tcBorders>
              <w:top w:val="nil"/>
              <w:left w:val="nil"/>
              <w:bottom w:val="single" w:sz="8" w:space="0" w:color="F3CFC1"/>
              <w:right w:val="single" w:sz="8" w:space="0" w:color="D2232A"/>
            </w:tcBorders>
            <w:shd w:val="clear" w:color="auto" w:fill="auto"/>
            <w:vAlign w:val="center"/>
            <w:hideMark/>
          </w:tcPr>
          <w:p w14:paraId="07C8D060"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44956</w:t>
            </w:r>
          </w:p>
        </w:tc>
      </w:tr>
      <w:tr w:rsidR="00BE4420" w:rsidRPr="00BE4420" w14:paraId="5C624CB0" w14:textId="77777777" w:rsidTr="000061E9">
        <w:trPr>
          <w:trHeight w:val="300"/>
        </w:trPr>
        <w:tc>
          <w:tcPr>
            <w:tcW w:w="1276" w:type="dxa"/>
            <w:tcBorders>
              <w:top w:val="nil"/>
              <w:left w:val="single" w:sz="8" w:space="0" w:color="D2232A"/>
              <w:bottom w:val="single" w:sz="8" w:space="0" w:color="F3CFC1"/>
              <w:right w:val="single" w:sz="8" w:space="0" w:color="D2232A"/>
            </w:tcBorders>
            <w:shd w:val="clear" w:color="auto" w:fill="auto"/>
            <w:vAlign w:val="center"/>
            <w:hideMark/>
          </w:tcPr>
          <w:p w14:paraId="09480729"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2019.</w:t>
            </w:r>
          </w:p>
        </w:tc>
        <w:tc>
          <w:tcPr>
            <w:tcW w:w="4367" w:type="dxa"/>
            <w:tcBorders>
              <w:top w:val="nil"/>
              <w:left w:val="nil"/>
              <w:bottom w:val="single" w:sz="8" w:space="0" w:color="F3CFC1"/>
              <w:right w:val="single" w:sz="8" w:space="0" w:color="D2232A"/>
            </w:tcBorders>
            <w:shd w:val="clear" w:color="auto" w:fill="auto"/>
            <w:vAlign w:val="center"/>
            <w:hideMark/>
          </w:tcPr>
          <w:p w14:paraId="2B47719C"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7504</w:t>
            </w:r>
          </w:p>
        </w:tc>
        <w:tc>
          <w:tcPr>
            <w:tcW w:w="3713" w:type="dxa"/>
            <w:tcBorders>
              <w:top w:val="nil"/>
              <w:left w:val="nil"/>
              <w:bottom w:val="single" w:sz="8" w:space="0" w:color="F3CFC1"/>
              <w:right w:val="single" w:sz="8" w:space="0" w:color="D2232A"/>
            </w:tcBorders>
            <w:shd w:val="clear" w:color="auto" w:fill="auto"/>
            <w:vAlign w:val="center"/>
            <w:hideMark/>
          </w:tcPr>
          <w:p w14:paraId="6EDE2C9C"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35903</w:t>
            </w:r>
          </w:p>
        </w:tc>
      </w:tr>
      <w:tr w:rsidR="00BE4420" w:rsidRPr="00BE4420" w14:paraId="1796DA13" w14:textId="77777777" w:rsidTr="000061E9">
        <w:trPr>
          <w:trHeight w:val="300"/>
        </w:trPr>
        <w:tc>
          <w:tcPr>
            <w:tcW w:w="1276"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4224EB0E" w14:textId="77777777" w:rsidR="00BE4420" w:rsidRPr="00BE4420" w:rsidRDefault="00BE4420" w:rsidP="00BE4420">
            <w:pPr>
              <w:spacing w:after="0" w:line="240" w:lineRule="auto"/>
              <w:jc w:val="center"/>
              <w:rPr>
                <w:rFonts w:eastAsia="Times New Roman" w:cs="Calibri"/>
                <w:color w:val="FFFFFF"/>
                <w:szCs w:val="18"/>
                <w:lang w:eastAsia="hr-HR"/>
              </w:rPr>
            </w:pPr>
            <w:r w:rsidRPr="00BE4420">
              <w:rPr>
                <w:rFonts w:eastAsia="Times New Roman" w:cs="Calibri"/>
                <w:color w:val="FFFFFF"/>
                <w:szCs w:val="18"/>
                <w:lang w:eastAsia="hr-HR"/>
              </w:rPr>
              <w:t>Ukupno</w:t>
            </w:r>
          </w:p>
        </w:tc>
        <w:tc>
          <w:tcPr>
            <w:tcW w:w="4367" w:type="dxa"/>
            <w:tcBorders>
              <w:top w:val="nil"/>
              <w:left w:val="single" w:sz="8" w:space="0" w:color="D2232A"/>
              <w:bottom w:val="single" w:sz="8" w:space="0" w:color="F3CFC1"/>
              <w:right w:val="single" w:sz="8" w:space="0" w:color="D2232A"/>
            </w:tcBorders>
            <w:shd w:val="clear" w:color="auto" w:fill="auto"/>
            <w:vAlign w:val="center"/>
            <w:hideMark/>
          </w:tcPr>
          <w:p w14:paraId="1D5A603D"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27401</w:t>
            </w:r>
          </w:p>
        </w:tc>
        <w:tc>
          <w:tcPr>
            <w:tcW w:w="3713" w:type="dxa"/>
            <w:tcBorders>
              <w:top w:val="nil"/>
              <w:left w:val="nil"/>
              <w:bottom w:val="single" w:sz="8" w:space="0" w:color="F3CFC1"/>
              <w:right w:val="single" w:sz="8" w:space="0" w:color="D2232A"/>
            </w:tcBorders>
            <w:shd w:val="clear" w:color="auto" w:fill="auto"/>
            <w:vAlign w:val="center"/>
            <w:hideMark/>
          </w:tcPr>
          <w:p w14:paraId="2F2ACA12" w14:textId="77777777" w:rsidR="00BE4420" w:rsidRPr="00BE4420" w:rsidRDefault="00BE4420" w:rsidP="00BE4420">
            <w:pPr>
              <w:spacing w:after="0" w:line="240" w:lineRule="auto"/>
              <w:jc w:val="center"/>
              <w:rPr>
                <w:rFonts w:eastAsia="Times New Roman" w:cs="Calibri"/>
                <w:color w:val="3F3F3F"/>
                <w:szCs w:val="18"/>
                <w:lang w:eastAsia="hr-HR"/>
              </w:rPr>
            </w:pPr>
            <w:r w:rsidRPr="00BE4420">
              <w:rPr>
                <w:rFonts w:eastAsia="Times New Roman" w:cs="Calibri"/>
                <w:color w:val="3F3F3F"/>
                <w:szCs w:val="18"/>
                <w:lang w:eastAsia="hr-HR"/>
              </w:rPr>
              <w:t>125217</w:t>
            </w:r>
          </w:p>
        </w:tc>
      </w:tr>
    </w:tbl>
    <w:p w14:paraId="306EE71A" w14:textId="72FCEB5C" w:rsidR="00BE4420" w:rsidRDefault="00674D95" w:rsidP="00BD6B22">
      <w:pPr>
        <w:pStyle w:val="Izvor"/>
        <w:rPr>
          <w:i/>
          <w:color w:val="ABABAB" w:themeColor="text1" w:themeTint="A6"/>
          <w:sz w:val="16"/>
          <w:szCs w:val="16"/>
        </w:rPr>
      </w:pPr>
      <w:r w:rsidRPr="00BD6B22">
        <w:rPr>
          <w:i/>
          <w:color w:val="ABABAB" w:themeColor="text1" w:themeTint="A6"/>
          <w:sz w:val="16"/>
          <w:szCs w:val="16"/>
        </w:rPr>
        <w:t>Izvor: HAPIH; GI za 2017., 2018. i 2019., obrada: Krapinsko-zagorska županija</w:t>
      </w:r>
    </w:p>
    <w:p w14:paraId="6BDE2613" w14:textId="77777777" w:rsidR="00F367A0" w:rsidRPr="00BD6B22" w:rsidRDefault="00F367A0" w:rsidP="00BD6B22">
      <w:pPr>
        <w:pStyle w:val="Izvor"/>
        <w:rPr>
          <w:i/>
          <w:color w:val="ABABAB" w:themeColor="text1" w:themeTint="A6"/>
          <w:sz w:val="16"/>
          <w:szCs w:val="16"/>
        </w:rPr>
      </w:pPr>
    </w:p>
    <w:p w14:paraId="134164A9" w14:textId="77777777" w:rsidR="00D1415E" w:rsidRDefault="00674D95" w:rsidP="00083AE7">
      <w:r>
        <w:t>Broj svinja temelji se na godišnjoj dojavi brojnog stanja svinja, a prijava brojnog stanja i kategorija svinja na gospodarstvu nije obavezna ukoliko uzgajivač ne ostvaruje dobrobit u svinjogojstvu. Podaci za 2019. ukazuju na pad broja poljoprivrednih gospodarstava koja drže svinje te na pad broja grla svinja svih kategorija.</w:t>
      </w:r>
    </w:p>
    <w:p w14:paraId="25807552" w14:textId="44679845" w:rsidR="00D1415E" w:rsidRDefault="00D1415E" w:rsidP="00083AE7">
      <w:pPr>
        <w:rPr>
          <w:rFonts w:cstheme="minorHAnsi"/>
        </w:rPr>
      </w:pPr>
      <w:r>
        <w:rPr>
          <w:rFonts w:cstheme="minorHAnsi"/>
        </w:rPr>
        <w:t>Konjogojstvo bilježi manje fluktuacije u broju grla i broju gospodarstava, bez značajnog trenda pada ili rasta. Hrvatsko zagorje nije tra</w:t>
      </w:r>
      <w:r w:rsidR="004A16FB">
        <w:rPr>
          <w:rFonts w:cstheme="minorHAnsi"/>
        </w:rPr>
        <w:t>dicionalno</w:t>
      </w:r>
      <w:r>
        <w:rPr>
          <w:rFonts w:cstheme="minorHAnsi"/>
        </w:rPr>
        <w:t xml:space="preserve"> ''konjogojski kraj'', ali je bogato po raznolikosti pasmina koje se ovdje uzgajaju te vrlo aktivnim konjogojskim udrugama. U 2019. zabilježeno je 771 grlo svih pasmina konja što u odnosu na 24.737 grla na državnom nivou iznosi svega 3,11%. U županiji su brojčan</w:t>
      </w:r>
      <w:r w:rsidR="00A43499">
        <w:rPr>
          <w:rFonts w:cstheme="minorHAnsi"/>
        </w:rPr>
        <w:t>o</w:t>
      </w:r>
      <w:r>
        <w:rPr>
          <w:rFonts w:cstheme="minorHAnsi"/>
        </w:rPr>
        <w:t xml:space="preserve"> najzastupljenija grla hrvatskog hladnokrvnjaka čiji uzgajivači u svom uzgojno-selekcijskom radu surađuju sa Središnjim savezom za uzgoj hrvatskog </w:t>
      </w:r>
      <w:r w:rsidR="004A6E46">
        <w:rPr>
          <w:rFonts w:cstheme="minorHAnsi"/>
        </w:rPr>
        <w:t>hladnokrvnjaka te sa svojim grlima osvajaju prva mjesta na regionalnim i državnim izložbama. Od ostalih pasmina, zatupljeni su: hrvatski posavac, lipicanac, francuski kasač i nizozemski kraljevski konj. Na području županije djeluje nekoliko jahačkih škola te centar za terapijsko jahanje. Uz to djeluju i dvije udruge (Zagorska udruga uzgajivača konja i Županijska udruga uzgajivača konja Krapina) čiji su članovi izuzetno aktivni u organizaciji utrka, izložbi i manifestacija.</w:t>
      </w:r>
    </w:p>
    <w:p w14:paraId="55496229" w14:textId="77777777" w:rsidR="00F367A0" w:rsidRDefault="00F367A0" w:rsidP="00083AE7">
      <w:pPr>
        <w:rPr>
          <w:rFonts w:cstheme="minorHAnsi"/>
        </w:rPr>
      </w:pPr>
    </w:p>
    <w:p w14:paraId="5B491056" w14:textId="7E6AB1C8" w:rsidR="00B12B1B" w:rsidRDefault="00B12B1B" w:rsidP="004A5AC9">
      <w:pPr>
        <w:pStyle w:val="Opisslike"/>
      </w:pPr>
      <w:r w:rsidRPr="004A5AC9">
        <w:t xml:space="preserve">Tablica </w:t>
      </w:r>
      <w:r w:rsidR="00BD6B22" w:rsidRPr="004A5AC9">
        <w:t>1</w:t>
      </w:r>
      <w:r w:rsidR="00741E4F" w:rsidRPr="004A5AC9">
        <w:t>69</w:t>
      </w:r>
      <w:r w:rsidRPr="004A5AC9">
        <w:t>. Broj registriranih grla konja i broj vlasnika, 2017.-2019.</w:t>
      </w:r>
    </w:p>
    <w:tbl>
      <w:tblPr>
        <w:tblW w:w="9214" w:type="dxa"/>
        <w:tblInd w:w="-5" w:type="dxa"/>
        <w:tblLook w:val="04A0" w:firstRow="1" w:lastRow="0" w:firstColumn="1" w:lastColumn="0" w:noHBand="0" w:noVBand="1"/>
      </w:tblPr>
      <w:tblGrid>
        <w:gridCol w:w="1276"/>
        <w:gridCol w:w="3827"/>
        <w:gridCol w:w="4111"/>
      </w:tblGrid>
      <w:tr w:rsidR="00B12B1B" w:rsidRPr="00B12B1B" w14:paraId="6FC5A03F" w14:textId="77777777" w:rsidTr="004A5AC9">
        <w:trPr>
          <w:trHeight w:val="456"/>
        </w:trPr>
        <w:tc>
          <w:tcPr>
            <w:tcW w:w="1276"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75A04368" w14:textId="77777777" w:rsidR="00B12B1B" w:rsidRPr="00B12B1B" w:rsidRDefault="00B12B1B" w:rsidP="00B12B1B">
            <w:pPr>
              <w:spacing w:after="0" w:line="240" w:lineRule="auto"/>
              <w:jc w:val="left"/>
              <w:rPr>
                <w:rFonts w:eastAsia="Times New Roman" w:cs="Calibri"/>
                <w:color w:val="FFFFFF"/>
                <w:szCs w:val="18"/>
                <w:lang w:eastAsia="hr-HR"/>
              </w:rPr>
            </w:pPr>
            <w:r w:rsidRPr="00B12B1B">
              <w:rPr>
                <w:rFonts w:eastAsia="Times New Roman" w:cs="Calibri"/>
                <w:color w:val="FFFFFF"/>
                <w:szCs w:val="18"/>
                <w:lang w:eastAsia="hr-HR"/>
              </w:rPr>
              <w:t>Godina</w:t>
            </w:r>
          </w:p>
        </w:tc>
        <w:tc>
          <w:tcPr>
            <w:tcW w:w="3827" w:type="dxa"/>
            <w:tcBorders>
              <w:top w:val="single" w:sz="4" w:space="0" w:color="auto"/>
              <w:left w:val="nil"/>
              <w:bottom w:val="single" w:sz="4" w:space="0" w:color="auto"/>
              <w:right w:val="single" w:sz="4" w:space="0" w:color="auto"/>
            </w:tcBorders>
            <w:shd w:val="clear" w:color="000000" w:fill="D2232A"/>
            <w:vAlign w:val="center"/>
            <w:hideMark/>
          </w:tcPr>
          <w:p w14:paraId="2046F00F" w14:textId="77777777" w:rsidR="00B12B1B" w:rsidRPr="00B12B1B" w:rsidRDefault="00B12B1B" w:rsidP="00B12B1B">
            <w:pPr>
              <w:spacing w:after="0" w:line="240" w:lineRule="auto"/>
              <w:jc w:val="center"/>
              <w:rPr>
                <w:rFonts w:eastAsia="Times New Roman" w:cs="Calibri"/>
                <w:color w:val="FFFFFF"/>
                <w:szCs w:val="18"/>
                <w:lang w:eastAsia="hr-HR"/>
              </w:rPr>
            </w:pPr>
            <w:r w:rsidRPr="00B12B1B">
              <w:rPr>
                <w:rFonts w:eastAsia="Times New Roman" w:cs="Calibri"/>
                <w:color w:val="FFFFFF"/>
                <w:szCs w:val="18"/>
                <w:lang w:eastAsia="hr-HR"/>
              </w:rPr>
              <w:t>Broj grla konja</w:t>
            </w:r>
          </w:p>
        </w:tc>
        <w:tc>
          <w:tcPr>
            <w:tcW w:w="4111" w:type="dxa"/>
            <w:tcBorders>
              <w:top w:val="single" w:sz="4" w:space="0" w:color="auto"/>
              <w:left w:val="nil"/>
              <w:bottom w:val="single" w:sz="4" w:space="0" w:color="auto"/>
              <w:right w:val="single" w:sz="4" w:space="0" w:color="auto"/>
            </w:tcBorders>
            <w:shd w:val="clear" w:color="000000" w:fill="D2232A"/>
            <w:vAlign w:val="center"/>
            <w:hideMark/>
          </w:tcPr>
          <w:p w14:paraId="5C742BEA" w14:textId="77777777" w:rsidR="00B12B1B" w:rsidRPr="00B12B1B" w:rsidRDefault="00B12B1B" w:rsidP="00B12B1B">
            <w:pPr>
              <w:spacing w:after="0" w:line="240" w:lineRule="auto"/>
              <w:jc w:val="center"/>
              <w:rPr>
                <w:rFonts w:eastAsia="Times New Roman" w:cs="Calibri"/>
                <w:color w:val="FFFFFF"/>
                <w:szCs w:val="18"/>
                <w:lang w:eastAsia="hr-HR"/>
              </w:rPr>
            </w:pPr>
            <w:r w:rsidRPr="00B12B1B">
              <w:rPr>
                <w:rFonts w:eastAsia="Times New Roman" w:cs="Calibri"/>
                <w:color w:val="FFFFFF"/>
                <w:szCs w:val="18"/>
                <w:lang w:eastAsia="hr-HR"/>
              </w:rPr>
              <w:t>Broj vlasnika</w:t>
            </w:r>
          </w:p>
        </w:tc>
      </w:tr>
      <w:tr w:rsidR="00B12B1B" w:rsidRPr="00B12B1B" w14:paraId="06D21D15" w14:textId="77777777" w:rsidTr="004A5AC9">
        <w:trPr>
          <w:trHeight w:val="300"/>
        </w:trPr>
        <w:tc>
          <w:tcPr>
            <w:tcW w:w="1276" w:type="dxa"/>
            <w:tcBorders>
              <w:top w:val="nil"/>
              <w:left w:val="single" w:sz="8" w:space="0" w:color="D2232A"/>
              <w:bottom w:val="single" w:sz="8" w:space="0" w:color="F3CFC1"/>
              <w:right w:val="single" w:sz="8" w:space="0" w:color="D2232A"/>
            </w:tcBorders>
            <w:shd w:val="clear" w:color="auto" w:fill="auto"/>
            <w:vAlign w:val="center"/>
            <w:hideMark/>
          </w:tcPr>
          <w:p w14:paraId="0BA194D7"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2017.</w:t>
            </w:r>
          </w:p>
        </w:tc>
        <w:tc>
          <w:tcPr>
            <w:tcW w:w="3827" w:type="dxa"/>
            <w:tcBorders>
              <w:top w:val="nil"/>
              <w:left w:val="nil"/>
              <w:bottom w:val="single" w:sz="8" w:space="0" w:color="F3CFC1"/>
              <w:right w:val="single" w:sz="8" w:space="0" w:color="D2232A"/>
            </w:tcBorders>
            <w:shd w:val="clear" w:color="auto" w:fill="auto"/>
            <w:vAlign w:val="center"/>
            <w:hideMark/>
          </w:tcPr>
          <w:p w14:paraId="50D7AAA3"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711</w:t>
            </w:r>
          </w:p>
        </w:tc>
        <w:tc>
          <w:tcPr>
            <w:tcW w:w="4111" w:type="dxa"/>
            <w:tcBorders>
              <w:top w:val="nil"/>
              <w:left w:val="nil"/>
              <w:bottom w:val="single" w:sz="8" w:space="0" w:color="F3CFC1"/>
              <w:right w:val="single" w:sz="8" w:space="0" w:color="D2232A"/>
            </w:tcBorders>
            <w:shd w:val="clear" w:color="auto" w:fill="auto"/>
            <w:vAlign w:val="center"/>
            <w:hideMark/>
          </w:tcPr>
          <w:p w14:paraId="7CBA0155"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275</w:t>
            </w:r>
          </w:p>
        </w:tc>
      </w:tr>
      <w:tr w:rsidR="00B12B1B" w:rsidRPr="00B12B1B" w14:paraId="0BE803CF" w14:textId="77777777" w:rsidTr="004A5AC9">
        <w:trPr>
          <w:trHeight w:val="300"/>
        </w:trPr>
        <w:tc>
          <w:tcPr>
            <w:tcW w:w="1276" w:type="dxa"/>
            <w:tcBorders>
              <w:top w:val="nil"/>
              <w:left w:val="single" w:sz="8" w:space="0" w:color="D2232A"/>
              <w:bottom w:val="single" w:sz="8" w:space="0" w:color="F3CFC1"/>
              <w:right w:val="single" w:sz="8" w:space="0" w:color="D2232A"/>
            </w:tcBorders>
            <w:shd w:val="clear" w:color="auto" w:fill="auto"/>
            <w:vAlign w:val="center"/>
            <w:hideMark/>
          </w:tcPr>
          <w:p w14:paraId="45B26434"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2018.</w:t>
            </w:r>
          </w:p>
        </w:tc>
        <w:tc>
          <w:tcPr>
            <w:tcW w:w="3827" w:type="dxa"/>
            <w:tcBorders>
              <w:top w:val="nil"/>
              <w:left w:val="nil"/>
              <w:bottom w:val="single" w:sz="8" w:space="0" w:color="F3CFC1"/>
              <w:right w:val="single" w:sz="8" w:space="0" w:color="D2232A"/>
            </w:tcBorders>
            <w:shd w:val="clear" w:color="auto" w:fill="auto"/>
            <w:vAlign w:val="center"/>
            <w:hideMark/>
          </w:tcPr>
          <w:p w14:paraId="67BAF3DB"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665</w:t>
            </w:r>
          </w:p>
        </w:tc>
        <w:tc>
          <w:tcPr>
            <w:tcW w:w="4111" w:type="dxa"/>
            <w:tcBorders>
              <w:top w:val="nil"/>
              <w:left w:val="nil"/>
              <w:bottom w:val="single" w:sz="8" w:space="0" w:color="F3CFC1"/>
              <w:right w:val="single" w:sz="8" w:space="0" w:color="D2232A"/>
            </w:tcBorders>
            <w:shd w:val="clear" w:color="auto" w:fill="auto"/>
            <w:vAlign w:val="center"/>
            <w:hideMark/>
          </w:tcPr>
          <w:p w14:paraId="0A2A1804"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260</w:t>
            </w:r>
          </w:p>
        </w:tc>
      </w:tr>
      <w:tr w:rsidR="00B12B1B" w:rsidRPr="00B12B1B" w14:paraId="340F7878" w14:textId="77777777" w:rsidTr="004A5AC9">
        <w:trPr>
          <w:trHeight w:val="300"/>
        </w:trPr>
        <w:tc>
          <w:tcPr>
            <w:tcW w:w="1276" w:type="dxa"/>
            <w:tcBorders>
              <w:top w:val="nil"/>
              <w:left w:val="single" w:sz="8" w:space="0" w:color="D2232A"/>
              <w:bottom w:val="single" w:sz="8" w:space="0" w:color="F3CFC1"/>
              <w:right w:val="single" w:sz="8" w:space="0" w:color="D2232A"/>
            </w:tcBorders>
            <w:shd w:val="clear" w:color="auto" w:fill="auto"/>
            <w:vAlign w:val="center"/>
            <w:hideMark/>
          </w:tcPr>
          <w:p w14:paraId="5EE6D212"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2019.</w:t>
            </w:r>
          </w:p>
        </w:tc>
        <w:tc>
          <w:tcPr>
            <w:tcW w:w="3827" w:type="dxa"/>
            <w:tcBorders>
              <w:top w:val="nil"/>
              <w:left w:val="nil"/>
              <w:bottom w:val="single" w:sz="8" w:space="0" w:color="F3CFC1"/>
              <w:right w:val="single" w:sz="8" w:space="0" w:color="D2232A"/>
            </w:tcBorders>
            <w:shd w:val="clear" w:color="auto" w:fill="auto"/>
            <w:vAlign w:val="center"/>
            <w:hideMark/>
          </w:tcPr>
          <w:p w14:paraId="5815ED61"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771</w:t>
            </w:r>
          </w:p>
        </w:tc>
        <w:tc>
          <w:tcPr>
            <w:tcW w:w="4111" w:type="dxa"/>
            <w:tcBorders>
              <w:top w:val="nil"/>
              <w:left w:val="nil"/>
              <w:bottom w:val="single" w:sz="8" w:space="0" w:color="F3CFC1"/>
              <w:right w:val="single" w:sz="8" w:space="0" w:color="D2232A"/>
            </w:tcBorders>
            <w:shd w:val="clear" w:color="auto" w:fill="auto"/>
            <w:vAlign w:val="center"/>
            <w:hideMark/>
          </w:tcPr>
          <w:p w14:paraId="5C409135"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254</w:t>
            </w:r>
          </w:p>
        </w:tc>
      </w:tr>
      <w:tr w:rsidR="00B12B1B" w:rsidRPr="00B12B1B" w14:paraId="4A6B3723" w14:textId="77777777" w:rsidTr="004A5AC9">
        <w:trPr>
          <w:trHeight w:val="300"/>
        </w:trPr>
        <w:tc>
          <w:tcPr>
            <w:tcW w:w="1276"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508D61BE" w14:textId="77777777" w:rsidR="00B12B1B" w:rsidRPr="00B12B1B" w:rsidRDefault="00B12B1B" w:rsidP="00B12B1B">
            <w:pPr>
              <w:spacing w:after="0" w:line="240" w:lineRule="auto"/>
              <w:jc w:val="center"/>
              <w:rPr>
                <w:rFonts w:eastAsia="Times New Roman" w:cs="Calibri"/>
                <w:color w:val="FFFFFF"/>
                <w:szCs w:val="18"/>
                <w:lang w:eastAsia="hr-HR"/>
              </w:rPr>
            </w:pPr>
            <w:r w:rsidRPr="00B12B1B">
              <w:rPr>
                <w:rFonts w:eastAsia="Times New Roman" w:cs="Calibri"/>
                <w:color w:val="FFFFFF"/>
                <w:szCs w:val="18"/>
                <w:lang w:eastAsia="hr-HR"/>
              </w:rPr>
              <w:t>Ukupno</w:t>
            </w:r>
          </w:p>
        </w:tc>
        <w:tc>
          <w:tcPr>
            <w:tcW w:w="3827" w:type="dxa"/>
            <w:tcBorders>
              <w:top w:val="nil"/>
              <w:left w:val="single" w:sz="8" w:space="0" w:color="D2232A"/>
              <w:bottom w:val="single" w:sz="8" w:space="0" w:color="F3CFC1"/>
              <w:right w:val="single" w:sz="8" w:space="0" w:color="D2232A"/>
            </w:tcBorders>
            <w:shd w:val="clear" w:color="auto" w:fill="auto"/>
            <w:vAlign w:val="center"/>
            <w:hideMark/>
          </w:tcPr>
          <w:p w14:paraId="5AEBA12B"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2147</w:t>
            </w:r>
          </w:p>
        </w:tc>
        <w:tc>
          <w:tcPr>
            <w:tcW w:w="4111" w:type="dxa"/>
            <w:tcBorders>
              <w:top w:val="nil"/>
              <w:left w:val="nil"/>
              <w:bottom w:val="single" w:sz="8" w:space="0" w:color="F3CFC1"/>
              <w:right w:val="single" w:sz="8" w:space="0" w:color="D2232A"/>
            </w:tcBorders>
            <w:shd w:val="clear" w:color="auto" w:fill="auto"/>
            <w:vAlign w:val="center"/>
            <w:hideMark/>
          </w:tcPr>
          <w:p w14:paraId="1C92E516" w14:textId="77777777" w:rsidR="00B12B1B" w:rsidRPr="00B12B1B" w:rsidRDefault="00B12B1B" w:rsidP="00B12B1B">
            <w:pPr>
              <w:spacing w:after="0" w:line="240" w:lineRule="auto"/>
              <w:jc w:val="center"/>
              <w:rPr>
                <w:rFonts w:eastAsia="Times New Roman" w:cs="Calibri"/>
                <w:color w:val="3F3F3F"/>
                <w:szCs w:val="18"/>
                <w:lang w:eastAsia="hr-HR"/>
              </w:rPr>
            </w:pPr>
            <w:r w:rsidRPr="00B12B1B">
              <w:rPr>
                <w:rFonts w:eastAsia="Times New Roman" w:cs="Calibri"/>
                <w:color w:val="3F3F3F"/>
                <w:szCs w:val="18"/>
                <w:lang w:eastAsia="hr-HR"/>
              </w:rPr>
              <w:t>789</w:t>
            </w:r>
          </w:p>
        </w:tc>
      </w:tr>
    </w:tbl>
    <w:p w14:paraId="4331DF20" w14:textId="229FEDA9" w:rsidR="004A6E46" w:rsidRPr="00BD6B22" w:rsidRDefault="00B12B1B" w:rsidP="00BD6B22">
      <w:pPr>
        <w:pStyle w:val="Izvor"/>
        <w:rPr>
          <w:i/>
          <w:color w:val="ABABAB" w:themeColor="text1" w:themeTint="A6"/>
          <w:sz w:val="16"/>
          <w:szCs w:val="16"/>
        </w:rPr>
      </w:pPr>
      <w:r w:rsidRPr="00BD6B22">
        <w:rPr>
          <w:i/>
          <w:color w:val="ABABAB" w:themeColor="text1" w:themeTint="A6"/>
          <w:sz w:val="16"/>
          <w:szCs w:val="16"/>
        </w:rPr>
        <w:t>Izvor: HAPIH; GI za 2017., 2018. i 2019., obrada: Krapinsko-zagorska županija</w:t>
      </w:r>
    </w:p>
    <w:p w14:paraId="40D8301E" w14:textId="77777777" w:rsidR="00D1415E" w:rsidRDefault="00D1415E" w:rsidP="00083AE7">
      <w:pPr>
        <w:rPr>
          <w:rFonts w:cstheme="minorHAnsi"/>
        </w:rPr>
      </w:pPr>
    </w:p>
    <w:p w14:paraId="04334911" w14:textId="7B47A997" w:rsidR="00083AE7" w:rsidRDefault="00083AE7" w:rsidP="00083AE7">
      <w:pPr>
        <w:rPr>
          <w:rFonts w:cstheme="minorHAnsi"/>
        </w:rPr>
      </w:pPr>
      <w:r>
        <w:rPr>
          <w:rFonts w:cstheme="minorHAnsi"/>
        </w:rPr>
        <w:t>Prirodna konfiguracija terena</w:t>
      </w:r>
      <w:r w:rsidR="00B12B1B">
        <w:rPr>
          <w:rFonts w:cstheme="minorHAnsi"/>
        </w:rPr>
        <w:t xml:space="preserve"> Krapinsko-zagorske županije</w:t>
      </w:r>
      <w:r>
        <w:rPr>
          <w:rFonts w:cstheme="minorHAnsi"/>
        </w:rPr>
        <w:t xml:space="preserve"> pogodna je </w:t>
      </w:r>
      <w:r w:rsidR="00B12B1B">
        <w:rPr>
          <w:rFonts w:cstheme="minorHAnsi"/>
        </w:rPr>
        <w:t xml:space="preserve">i </w:t>
      </w:r>
      <w:r>
        <w:rPr>
          <w:rFonts w:cstheme="minorHAnsi"/>
        </w:rPr>
        <w:t xml:space="preserve">za uzgoj ovaca i koza. </w:t>
      </w:r>
      <w:r w:rsidR="00B12B1B">
        <w:rPr>
          <w:rFonts w:cstheme="minorHAnsi"/>
        </w:rPr>
        <w:t>Ovčarstvo i kozarstvo na ovom području nema uporište u tradicionalnom načinu uzgoja ovaca i koza, već je to stočarska grana koja se pojavila zadnjih 20-ak godina. Male parcele, brdovit kraj i nedostatak površina za pripremu voluminoznog krmiva za hranidbu mliječnih krava i tov junadi, ponukao je dio malih gospodarstava da se okrenu uzgoju ovaca i koza za mlijeko i meso i tako nađu stabilan prihod. Uzgoj ovaca i koza usmjeren je na proizvodnju ovčjeg i kozjeg sira te proizvodnju mesa</w:t>
      </w:r>
      <w:r w:rsidR="0065377A">
        <w:rPr>
          <w:rFonts w:cstheme="minorHAnsi"/>
        </w:rPr>
        <w:t>.</w:t>
      </w:r>
      <w:r>
        <w:rPr>
          <w:rFonts w:cstheme="minorHAnsi"/>
        </w:rPr>
        <w:t xml:space="preserve"> Od pasmina su zastupljene romanovska, istočnofrizijska ovca</w:t>
      </w:r>
      <w:r w:rsidR="0065377A">
        <w:rPr>
          <w:rFonts w:cstheme="minorHAnsi"/>
        </w:rPr>
        <w:t xml:space="preserve"> i</w:t>
      </w:r>
      <w:r>
        <w:rPr>
          <w:rFonts w:cstheme="minorHAnsi"/>
        </w:rPr>
        <w:t xml:space="preserve"> solčavsko-jezerska ovca. Iako je najznačajniji organizator otkupa kozjeg mlijeka </w:t>
      </w:r>
      <w:r w:rsidR="00A641C0">
        <w:rPr>
          <w:rFonts w:cstheme="minorHAnsi"/>
        </w:rPr>
        <w:t>-</w:t>
      </w:r>
      <w:r>
        <w:rPr>
          <w:rFonts w:cstheme="minorHAnsi"/>
        </w:rPr>
        <w:t xml:space="preserve"> Vindija prestala organizirati otkup kozjeg mlijeka (prema podacima s terena Vindija trenutno vrši otkup samo s jedne farme), podaci o broju koza i dalje pokazuju lagani porast.</w:t>
      </w:r>
      <w:r w:rsidR="0065377A">
        <w:rPr>
          <w:rFonts w:cstheme="minorHAnsi"/>
        </w:rPr>
        <w:t xml:space="preserve"> Ukupan broj ovaca u istom razdoblju također se povećava. Na području Krapinsko-zagorske županije postoji jedna mini sirana za preradu ovčjeg mlijeka i jedna za preradu kozjeg mlijeka. </w:t>
      </w:r>
    </w:p>
    <w:p w14:paraId="68BB117E" w14:textId="339B34D9" w:rsidR="001940DC" w:rsidRDefault="001940DC" w:rsidP="004A5AC9">
      <w:pPr>
        <w:pStyle w:val="Opisslike"/>
      </w:pPr>
      <w:r w:rsidRPr="004A5AC9">
        <w:lastRenderedPageBreak/>
        <w:t xml:space="preserve">Tablica </w:t>
      </w:r>
      <w:r w:rsidR="00BD6B22" w:rsidRPr="004A5AC9">
        <w:t>1</w:t>
      </w:r>
      <w:r w:rsidR="00741E4F" w:rsidRPr="004A5AC9">
        <w:t>70</w:t>
      </w:r>
      <w:r w:rsidRPr="004A5AC9">
        <w:t xml:space="preserve">. </w:t>
      </w:r>
      <w:r w:rsidRPr="001940DC">
        <w:t>Broj PG-a, broj koza i ovaca, 2017.</w:t>
      </w:r>
      <w:r w:rsidR="00A641C0">
        <w:t xml:space="preserve"> </w:t>
      </w:r>
      <w:r w:rsidRPr="001940DC">
        <w:t>-</w:t>
      </w:r>
      <w:r w:rsidR="00A641C0">
        <w:t xml:space="preserve"> </w:t>
      </w:r>
      <w:r w:rsidRPr="001940DC">
        <w:t>2019.</w:t>
      </w:r>
    </w:p>
    <w:tbl>
      <w:tblPr>
        <w:tblW w:w="9214" w:type="dxa"/>
        <w:tblLook w:val="04A0" w:firstRow="1" w:lastRow="0" w:firstColumn="1" w:lastColumn="0" w:noHBand="0" w:noVBand="1"/>
      </w:tblPr>
      <w:tblGrid>
        <w:gridCol w:w="1560"/>
        <w:gridCol w:w="1984"/>
        <w:gridCol w:w="1746"/>
        <w:gridCol w:w="1373"/>
        <w:gridCol w:w="2551"/>
      </w:tblGrid>
      <w:tr w:rsidR="001940DC" w:rsidRPr="001940DC" w14:paraId="28EA43F7" w14:textId="77777777" w:rsidTr="004A5AC9">
        <w:trPr>
          <w:trHeight w:val="288"/>
        </w:trPr>
        <w:tc>
          <w:tcPr>
            <w:tcW w:w="1560" w:type="dxa"/>
            <w:vMerge w:val="restart"/>
            <w:tcBorders>
              <w:top w:val="single" w:sz="4" w:space="0" w:color="auto"/>
              <w:left w:val="nil"/>
              <w:bottom w:val="nil"/>
              <w:right w:val="single" w:sz="4" w:space="0" w:color="auto"/>
            </w:tcBorders>
            <w:shd w:val="clear" w:color="000000" w:fill="D2232A"/>
            <w:vAlign w:val="center"/>
            <w:hideMark/>
          </w:tcPr>
          <w:p w14:paraId="72091CFA" w14:textId="77777777" w:rsidR="001940DC" w:rsidRPr="001940DC" w:rsidRDefault="001940DC" w:rsidP="001940DC">
            <w:pPr>
              <w:spacing w:after="0" w:line="240" w:lineRule="auto"/>
              <w:jc w:val="center"/>
              <w:rPr>
                <w:rFonts w:eastAsia="Times New Roman" w:cs="Calibri"/>
                <w:color w:val="FFFFFF"/>
                <w:szCs w:val="18"/>
                <w:lang w:eastAsia="hr-HR"/>
              </w:rPr>
            </w:pPr>
            <w:r w:rsidRPr="001940DC">
              <w:rPr>
                <w:rFonts w:eastAsia="Times New Roman" w:cs="Calibri"/>
                <w:color w:val="FFFFFF"/>
                <w:szCs w:val="18"/>
                <w:lang w:eastAsia="hr-HR"/>
              </w:rPr>
              <w:t>Godina</w:t>
            </w:r>
          </w:p>
        </w:tc>
        <w:tc>
          <w:tcPr>
            <w:tcW w:w="3730" w:type="dxa"/>
            <w:gridSpan w:val="2"/>
            <w:tcBorders>
              <w:top w:val="single" w:sz="4" w:space="0" w:color="auto"/>
              <w:left w:val="nil"/>
              <w:bottom w:val="single" w:sz="4" w:space="0" w:color="auto"/>
              <w:right w:val="single" w:sz="4" w:space="0" w:color="000000"/>
            </w:tcBorders>
            <w:shd w:val="clear" w:color="000000" w:fill="D2232A"/>
            <w:vAlign w:val="center"/>
            <w:hideMark/>
          </w:tcPr>
          <w:p w14:paraId="62A98D84" w14:textId="77777777" w:rsidR="001940DC" w:rsidRPr="001940DC" w:rsidRDefault="001940DC" w:rsidP="001940DC">
            <w:pPr>
              <w:spacing w:after="0" w:line="240" w:lineRule="auto"/>
              <w:jc w:val="center"/>
              <w:rPr>
                <w:rFonts w:eastAsia="Times New Roman" w:cs="Calibri"/>
                <w:color w:val="FFFFFF"/>
                <w:szCs w:val="18"/>
                <w:lang w:eastAsia="hr-HR"/>
              </w:rPr>
            </w:pPr>
            <w:r w:rsidRPr="001940DC">
              <w:rPr>
                <w:rFonts w:eastAsia="Times New Roman" w:cs="Calibri"/>
                <w:color w:val="FFFFFF"/>
                <w:szCs w:val="18"/>
                <w:lang w:eastAsia="hr-HR"/>
              </w:rPr>
              <w:t>KOZE</w:t>
            </w:r>
          </w:p>
        </w:tc>
        <w:tc>
          <w:tcPr>
            <w:tcW w:w="3924" w:type="dxa"/>
            <w:gridSpan w:val="2"/>
            <w:tcBorders>
              <w:top w:val="single" w:sz="4" w:space="0" w:color="auto"/>
              <w:left w:val="nil"/>
              <w:bottom w:val="single" w:sz="4" w:space="0" w:color="auto"/>
              <w:right w:val="single" w:sz="4" w:space="0" w:color="000000"/>
            </w:tcBorders>
            <w:shd w:val="clear" w:color="000000" w:fill="D2232A"/>
            <w:vAlign w:val="center"/>
            <w:hideMark/>
          </w:tcPr>
          <w:p w14:paraId="1DA6F3F8" w14:textId="77777777" w:rsidR="001940DC" w:rsidRPr="001940DC" w:rsidRDefault="001940DC" w:rsidP="001940DC">
            <w:pPr>
              <w:spacing w:after="0" w:line="240" w:lineRule="auto"/>
              <w:jc w:val="center"/>
              <w:rPr>
                <w:rFonts w:eastAsia="Times New Roman" w:cs="Calibri"/>
                <w:color w:val="FFFFFF"/>
                <w:szCs w:val="18"/>
                <w:lang w:eastAsia="hr-HR"/>
              </w:rPr>
            </w:pPr>
            <w:r w:rsidRPr="001940DC">
              <w:rPr>
                <w:rFonts w:eastAsia="Times New Roman" w:cs="Calibri"/>
                <w:color w:val="FFFFFF"/>
                <w:szCs w:val="18"/>
                <w:lang w:eastAsia="hr-HR"/>
              </w:rPr>
              <w:t>OVCE</w:t>
            </w:r>
          </w:p>
        </w:tc>
      </w:tr>
      <w:tr w:rsidR="001940DC" w:rsidRPr="001940DC" w14:paraId="218104FC" w14:textId="77777777" w:rsidTr="004A5AC9">
        <w:trPr>
          <w:trHeight w:val="456"/>
        </w:trPr>
        <w:tc>
          <w:tcPr>
            <w:tcW w:w="1560" w:type="dxa"/>
            <w:vMerge/>
            <w:tcBorders>
              <w:top w:val="single" w:sz="4" w:space="0" w:color="auto"/>
              <w:left w:val="nil"/>
              <w:bottom w:val="nil"/>
              <w:right w:val="single" w:sz="4" w:space="0" w:color="auto"/>
            </w:tcBorders>
            <w:vAlign w:val="center"/>
            <w:hideMark/>
          </w:tcPr>
          <w:p w14:paraId="3E3E3086" w14:textId="77777777" w:rsidR="001940DC" w:rsidRPr="001940DC" w:rsidRDefault="001940DC" w:rsidP="001940DC">
            <w:pPr>
              <w:spacing w:after="0" w:line="240" w:lineRule="auto"/>
              <w:jc w:val="left"/>
              <w:rPr>
                <w:rFonts w:eastAsia="Times New Roman" w:cs="Calibri"/>
                <w:color w:val="FFFFFF"/>
                <w:szCs w:val="18"/>
                <w:lang w:eastAsia="hr-HR"/>
              </w:rPr>
            </w:pPr>
          </w:p>
        </w:tc>
        <w:tc>
          <w:tcPr>
            <w:tcW w:w="1984" w:type="dxa"/>
            <w:tcBorders>
              <w:top w:val="nil"/>
              <w:left w:val="nil"/>
              <w:bottom w:val="nil"/>
              <w:right w:val="single" w:sz="4" w:space="0" w:color="auto"/>
            </w:tcBorders>
            <w:shd w:val="clear" w:color="000000" w:fill="D2232A"/>
            <w:vAlign w:val="center"/>
            <w:hideMark/>
          </w:tcPr>
          <w:p w14:paraId="72D85DB1" w14:textId="77777777" w:rsidR="001940DC" w:rsidRPr="001940DC" w:rsidRDefault="001940DC" w:rsidP="001940DC">
            <w:pPr>
              <w:spacing w:after="0" w:line="240" w:lineRule="auto"/>
              <w:jc w:val="center"/>
              <w:rPr>
                <w:rFonts w:eastAsia="Times New Roman" w:cs="Calibri"/>
                <w:color w:val="FFFFFF"/>
                <w:szCs w:val="18"/>
                <w:lang w:eastAsia="hr-HR"/>
              </w:rPr>
            </w:pPr>
            <w:r w:rsidRPr="001940DC">
              <w:rPr>
                <w:rFonts w:eastAsia="Times New Roman" w:cs="Calibri"/>
                <w:color w:val="FFFFFF"/>
                <w:szCs w:val="18"/>
                <w:lang w:eastAsia="hr-HR"/>
              </w:rPr>
              <w:t>Broj PG-a</w:t>
            </w:r>
          </w:p>
        </w:tc>
        <w:tc>
          <w:tcPr>
            <w:tcW w:w="1746" w:type="dxa"/>
            <w:tcBorders>
              <w:top w:val="nil"/>
              <w:left w:val="nil"/>
              <w:bottom w:val="nil"/>
              <w:right w:val="single" w:sz="4" w:space="0" w:color="auto"/>
            </w:tcBorders>
            <w:shd w:val="clear" w:color="000000" w:fill="D2232A"/>
            <w:vAlign w:val="center"/>
            <w:hideMark/>
          </w:tcPr>
          <w:p w14:paraId="718F4768" w14:textId="77777777" w:rsidR="001940DC" w:rsidRPr="001940DC" w:rsidRDefault="001940DC" w:rsidP="001940DC">
            <w:pPr>
              <w:spacing w:after="0" w:line="240" w:lineRule="auto"/>
              <w:jc w:val="center"/>
              <w:rPr>
                <w:rFonts w:eastAsia="Times New Roman" w:cs="Calibri"/>
                <w:color w:val="FFFFFF"/>
                <w:szCs w:val="18"/>
                <w:lang w:eastAsia="hr-HR"/>
              </w:rPr>
            </w:pPr>
            <w:r w:rsidRPr="001940DC">
              <w:rPr>
                <w:rFonts w:eastAsia="Times New Roman" w:cs="Calibri"/>
                <w:color w:val="FFFFFF"/>
                <w:szCs w:val="18"/>
                <w:lang w:eastAsia="hr-HR"/>
              </w:rPr>
              <w:t>Broj životinja</w:t>
            </w:r>
          </w:p>
        </w:tc>
        <w:tc>
          <w:tcPr>
            <w:tcW w:w="1373" w:type="dxa"/>
            <w:tcBorders>
              <w:top w:val="nil"/>
              <w:left w:val="nil"/>
              <w:bottom w:val="nil"/>
              <w:right w:val="single" w:sz="4" w:space="0" w:color="auto"/>
            </w:tcBorders>
            <w:shd w:val="clear" w:color="000000" w:fill="D2232A"/>
            <w:vAlign w:val="center"/>
            <w:hideMark/>
          </w:tcPr>
          <w:p w14:paraId="20B36794" w14:textId="77777777" w:rsidR="001940DC" w:rsidRPr="001940DC" w:rsidRDefault="001940DC" w:rsidP="001940DC">
            <w:pPr>
              <w:spacing w:after="0" w:line="240" w:lineRule="auto"/>
              <w:jc w:val="center"/>
              <w:rPr>
                <w:rFonts w:eastAsia="Times New Roman" w:cs="Calibri"/>
                <w:color w:val="FFFFFF"/>
                <w:szCs w:val="18"/>
                <w:lang w:eastAsia="hr-HR"/>
              </w:rPr>
            </w:pPr>
            <w:r w:rsidRPr="001940DC">
              <w:rPr>
                <w:rFonts w:eastAsia="Times New Roman" w:cs="Calibri"/>
                <w:color w:val="FFFFFF"/>
                <w:szCs w:val="18"/>
                <w:lang w:eastAsia="hr-HR"/>
              </w:rPr>
              <w:t>Broj PG-a</w:t>
            </w:r>
          </w:p>
        </w:tc>
        <w:tc>
          <w:tcPr>
            <w:tcW w:w="2551" w:type="dxa"/>
            <w:tcBorders>
              <w:top w:val="nil"/>
              <w:left w:val="nil"/>
              <w:bottom w:val="nil"/>
              <w:right w:val="single" w:sz="4" w:space="0" w:color="auto"/>
            </w:tcBorders>
            <w:shd w:val="clear" w:color="000000" w:fill="D2232A"/>
            <w:vAlign w:val="center"/>
            <w:hideMark/>
          </w:tcPr>
          <w:p w14:paraId="1D9969EA" w14:textId="77777777" w:rsidR="001940DC" w:rsidRPr="001940DC" w:rsidRDefault="001940DC" w:rsidP="001940DC">
            <w:pPr>
              <w:spacing w:after="0" w:line="240" w:lineRule="auto"/>
              <w:jc w:val="center"/>
              <w:rPr>
                <w:rFonts w:eastAsia="Times New Roman" w:cs="Calibri"/>
                <w:color w:val="FFFFFF"/>
                <w:szCs w:val="18"/>
                <w:lang w:eastAsia="hr-HR"/>
              </w:rPr>
            </w:pPr>
            <w:r w:rsidRPr="001940DC">
              <w:rPr>
                <w:rFonts w:eastAsia="Times New Roman" w:cs="Calibri"/>
                <w:color w:val="FFFFFF"/>
                <w:szCs w:val="18"/>
                <w:lang w:eastAsia="hr-HR"/>
              </w:rPr>
              <w:t>Broj životinja</w:t>
            </w:r>
          </w:p>
        </w:tc>
      </w:tr>
      <w:tr w:rsidR="001940DC" w:rsidRPr="001940DC" w14:paraId="3F4A0E0B" w14:textId="77777777" w:rsidTr="004A5AC9">
        <w:trPr>
          <w:trHeight w:val="300"/>
        </w:trPr>
        <w:tc>
          <w:tcPr>
            <w:tcW w:w="1560" w:type="dxa"/>
            <w:tcBorders>
              <w:top w:val="nil"/>
              <w:left w:val="single" w:sz="8" w:space="0" w:color="D2232A"/>
              <w:bottom w:val="single" w:sz="8" w:space="0" w:color="F3CFC1"/>
              <w:right w:val="single" w:sz="8" w:space="0" w:color="D2232A"/>
            </w:tcBorders>
            <w:shd w:val="clear" w:color="auto" w:fill="auto"/>
            <w:vAlign w:val="center"/>
            <w:hideMark/>
          </w:tcPr>
          <w:p w14:paraId="6DA8FC41"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2017.</w:t>
            </w:r>
          </w:p>
        </w:tc>
        <w:tc>
          <w:tcPr>
            <w:tcW w:w="1984" w:type="dxa"/>
            <w:tcBorders>
              <w:top w:val="nil"/>
              <w:left w:val="nil"/>
              <w:bottom w:val="single" w:sz="8" w:space="0" w:color="F3CFC1"/>
              <w:right w:val="single" w:sz="8" w:space="0" w:color="D2232A"/>
            </w:tcBorders>
            <w:shd w:val="clear" w:color="auto" w:fill="auto"/>
            <w:vAlign w:val="center"/>
            <w:hideMark/>
          </w:tcPr>
          <w:p w14:paraId="06E2391C"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167</w:t>
            </w:r>
          </w:p>
        </w:tc>
        <w:tc>
          <w:tcPr>
            <w:tcW w:w="1746" w:type="dxa"/>
            <w:tcBorders>
              <w:top w:val="nil"/>
              <w:left w:val="nil"/>
              <w:bottom w:val="single" w:sz="8" w:space="0" w:color="F3CFC1"/>
              <w:right w:val="single" w:sz="8" w:space="0" w:color="D2232A"/>
            </w:tcBorders>
            <w:shd w:val="clear" w:color="auto" w:fill="auto"/>
            <w:vAlign w:val="center"/>
            <w:hideMark/>
          </w:tcPr>
          <w:p w14:paraId="2FB5A570"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807</w:t>
            </w:r>
          </w:p>
        </w:tc>
        <w:tc>
          <w:tcPr>
            <w:tcW w:w="1373" w:type="dxa"/>
            <w:tcBorders>
              <w:top w:val="nil"/>
              <w:left w:val="nil"/>
              <w:bottom w:val="single" w:sz="8" w:space="0" w:color="F3CFC1"/>
              <w:right w:val="single" w:sz="8" w:space="0" w:color="D2232A"/>
            </w:tcBorders>
            <w:shd w:val="clear" w:color="auto" w:fill="auto"/>
            <w:vAlign w:val="center"/>
            <w:hideMark/>
          </w:tcPr>
          <w:p w14:paraId="6698915A"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459</w:t>
            </w:r>
          </w:p>
        </w:tc>
        <w:tc>
          <w:tcPr>
            <w:tcW w:w="2551" w:type="dxa"/>
            <w:tcBorders>
              <w:top w:val="nil"/>
              <w:left w:val="nil"/>
              <w:bottom w:val="single" w:sz="8" w:space="0" w:color="F3CFC1"/>
              <w:right w:val="single" w:sz="8" w:space="0" w:color="D2232A"/>
            </w:tcBorders>
            <w:shd w:val="clear" w:color="auto" w:fill="auto"/>
            <w:vAlign w:val="center"/>
            <w:hideMark/>
          </w:tcPr>
          <w:p w14:paraId="060D1778"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4487</w:t>
            </w:r>
          </w:p>
        </w:tc>
      </w:tr>
      <w:tr w:rsidR="001940DC" w:rsidRPr="001940DC" w14:paraId="10E26C45" w14:textId="77777777" w:rsidTr="004A5AC9">
        <w:trPr>
          <w:trHeight w:val="300"/>
        </w:trPr>
        <w:tc>
          <w:tcPr>
            <w:tcW w:w="1560" w:type="dxa"/>
            <w:tcBorders>
              <w:top w:val="nil"/>
              <w:left w:val="single" w:sz="8" w:space="0" w:color="D2232A"/>
              <w:bottom w:val="single" w:sz="8" w:space="0" w:color="F3CFC1"/>
              <w:right w:val="single" w:sz="8" w:space="0" w:color="D2232A"/>
            </w:tcBorders>
            <w:shd w:val="clear" w:color="auto" w:fill="auto"/>
            <w:vAlign w:val="center"/>
            <w:hideMark/>
          </w:tcPr>
          <w:p w14:paraId="17097F5C"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2018.</w:t>
            </w:r>
          </w:p>
        </w:tc>
        <w:tc>
          <w:tcPr>
            <w:tcW w:w="1984" w:type="dxa"/>
            <w:tcBorders>
              <w:top w:val="nil"/>
              <w:left w:val="nil"/>
              <w:bottom w:val="single" w:sz="8" w:space="0" w:color="F3CFC1"/>
              <w:right w:val="single" w:sz="8" w:space="0" w:color="D2232A"/>
            </w:tcBorders>
            <w:shd w:val="clear" w:color="auto" w:fill="auto"/>
            <w:vAlign w:val="center"/>
            <w:hideMark/>
          </w:tcPr>
          <w:p w14:paraId="6267AB36"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154</w:t>
            </w:r>
          </w:p>
        </w:tc>
        <w:tc>
          <w:tcPr>
            <w:tcW w:w="1746" w:type="dxa"/>
            <w:tcBorders>
              <w:top w:val="nil"/>
              <w:left w:val="nil"/>
              <w:bottom w:val="single" w:sz="8" w:space="0" w:color="F3CFC1"/>
              <w:right w:val="single" w:sz="8" w:space="0" w:color="D2232A"/>
            </w:tcBorders>
            <w:shd w:val="clear" w:color="auto" w:fill="auto"/>
            <w:vAlign w:val="center"/>
            <w:hideMark/>
          </w:tcPr>
          <w:p w14:paraId="3E2018B3"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832</w:t>
            </w:r>
          </w:p>
        </w:tc>
        <w:tc>
          <w:tcPr>
            <w:tcW w:w="1373" w:type="dxa"/>
            <w:tcBorders>
              <w:top w:val="nil"/>
              <w:left w:val="nil"/>
              <w:bottom w:val="single" w:sz="8" w:space="0" w:color="F3CFC1"/>
              <w:right w:val="single" w:sz="8" w:space="0" w:color="D2232A"/>
            </w:tcBorders>
            <w:shd w:val="clear" w:color="auto" w:fill="auto"/>
            <w:vAlign w:val="center"/>
            <w:hideMark/>
          </w:tcPr>
          <w:p w14:paraId="70605BF3"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494</w:t>
            </w:r>
          </w:p>
        </w:tc>
        <w:tc>
          <w:tcPr>
            <w:tcW w:w="2551" w:type="dxa"/>
            <w:tcBorders>
              <w:top w:val="nil"/>
              <w:left w:val="nil"/>
              <w:bottom w:val="single" w:sz="8" w:space="0" w:color="F3CFC1"/>
              <w:right w:val="single" w:sz="8" w:space="0" w:color="D2232A"/>
            </w:tcBorders>
            <w:shd w:val="clear" w:color="auto" w:fill="auto"/>
            <w:vAlign w:val="center"/>
            <w:hideMark/>
          </w:tcPr>
          <w:p w14:paraId="3BB459B6"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5092</w:t>
            </w:r>
          </w:p>
        </w:tc>
      </w:tr>
      <w:tr w:rsidR="001940DC" w:rsidRPr="001940DC" w14:paraId="0ADC5221" w14:textId="77777777" w:rsidTr="004A5AC9">
        <w:trPr>
          <w:trHeight w:val="300"/>
        </w:trPr>
        <w:tc>
          <w:tcPr>
            <w:tcW w:w="1560" w:type="dxa"/>
            <w:tcBorders>
              <w:top w:val="nil"/>
              <w:left w:val="single" w:sz="8" w:space="0" w:color="D2232A"/>
              <w:bottom w:val="single" w:sz="8" w:space="0" w:color="F3CFC1"/>
              <w:right w:val="single" w:sz="8" w:space="0" w:color="D2232A"/>
            </w:tcBorders>
            <w:shd w:val="clear" w:color="auto" w:fill="auto"/>
            <w:vAlign w:val="center"/>
            <w:hideMark/>
          </w:tcPr>
          <w:p w14:paraId="59603BAD"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2019.</w:t>
            </w:r>
          </w:p>
        </w:tc>
        <w:tc>
          <w:tcPr>
            <w:tcW w:w="1984" w:type="dxa"/>
            <w:tcBorders>
              <w:top w:val="nil"/>
              <w:left w:val="nil"/>
              <w:bottom w:val="single" w:sz="8" w:space="0" w:color="F3CFC1"/>
              <w:right w:val="single" w:sz="8" w:space="0" w:color="D2232A"/>
            </w:tcBorders>
            <w:shd w:val="clear" w:color="auto" w:fill="auto"/>
            <w:vAlign w:val="center"/>
            <w:hideMark/>
          </w:tcPr>
          <w:p w14:paraId="5BDE46EB"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159</w:t>
            </w:r>
          </w:p>
        </w:tc>
        <w:tc>
          <w:tcPr>
            <w:tcW w:w="1746" w:type="dxa"/>
            <w:tcBorders>
              <w:top w:val="nil"/>
              <w:left w:val="nil"/>
              <w:bottom w:val="single" w:sz="8" w:space="0" w:color="F3CFC1"/>
              <w:right w:val="single" w:sz="8" w:space="0" w:color="D2232A"/>
            </w:tcBorders>
            <w:shd w:val="clear" w:color="auto" w:fill="auto"/>
            <w:vAlign w:val="center"/>
            <w:hideMark/>
          </w:tcPr>
          <w:p w14:paraId="795394DC"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828</w:t>
            </w:r>
          </w:p>
        </w:tc>
        <w:tc>
          <w:tcPr>
            <w:tcW w:w="1373" w:type="dxa"/>
            <w:tcBorders>
              <w:top w:val="nil"/>
              <w:left w:val="nil"/>
              <w:bottom w:val="single" w:sz="8" w:space="0" w:color="F3CFC1"/>
              <w:right w:val="single" w:sz="8" w:space="0" w:color="D2232A"/>
            </w:tcBorders>
            <w:shd w:val="clear" w:color="auto" w:fill="auto"/>
            <w:vAlign w:val="center"/>
            <w:hideMark/>
          </w:tcPr>
          <w:p w14:paraId="1682C6EB"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534</w:t>
            </w:r>
          </w:p>
        </w:tc>
        <w:tc>
          <w:tcPr>
            <w:tcW w:w="2551" w:type="dxa"/>
            <w:tcBorders>
              <w:top w:val="nil"/>
              <w:left w:val="nil"/>
              <w:bottom w:val="single" w:sz="8" w:space="0" w:color="F3CFC1"/>
              <w:right w:val="single" w:sz="8" w:space="0" w:color="D2232A"/>
            </w:tcBorders>
            <w:shd w:val="clear" w:color="auto" w:fill="auto"/>
            <w:vAlign w:val="center"/>
            <w:hideMark/>
          </w:tcPr>
          <w:p w14:paraId="3215D6C0"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5772</w:t>
            </w:r>
          </w:p>
        </w:tc>
      </w:tr>
      <w:tr w:rsidR="001940DC" w:rsidRPr="001940DC" w14:paraId="19B84E20" w14:textId="77777777" w:rsidTr="004A5AC9">
        <w:trPr>
          <w:trHeight w:val="300"/>
        </w:trPr>
        <w:tc>
          <w:tcPr>
            <w:tcW w:w="1560" w:type="dxa"/>
            <w:tcBorders>
              <w:top w:val="single" w:sz="4" w:space="0" w:color="auto"/>
              <w:left w:val="single" w:sz="4" w:space="0" w:color="auto"/>
              <w:bottom w:val="single" w:sz="4" w:space="0" w:color="auto"/>
              <w:right w:val="single" w:sz="4" w:space="0" w:color="auto"/>
            </w:tcBorders>
            <w:shd w:val="clear" w:color="000000" w:fill="D2232A"/>
            <w:vAlign w:val="center"/>
            <w:hideMark/>
          </w:tcPr>
          <w:p w14:paraId="41476F50" w14:textId="77777777" w:rsidR="001940DC" w:rsidRPr="001940DC" w:rsidRDefault="001940DC" w:rsidP="001940DC">
            <w:pPr>
              <w:spacing w:after="0" w:line="240" w:lineRule="auto"/>
              <w:jc w:val="center"/>
              <w:rPr>
                <w:rFonts w:eastAsia="Times New Roman" w:cs="Calibri"/>
                <w:color w:val="FFFFFF"/>
                <w:szCs w:val="18"/>
                <w:lang w:eastAsia="hr-HR"/>
              </w:rPr>
            </w:pPr>
            <w:r w:rsidRPr="001940DC">
              <w:rPr>
                <w:rFonts w:eastAsia="Times New Roman" w:cs="Calibri"/>
                <w:color w:val="FFFFFF"/>
                <w:szCs w:val="18"/>
                <w:lang w:eastAsia="hr-HR"/>
              </w:rPr>
              <w:t>Ukupno</w:t>
            </w:r>
          </w:p>
        </w:tc>
        <w:tc>
          <w:tcPr>
            <w:tcW w:w="1984" w:type="dxa"/>
            <w:tcBorders>
              <w:top w:val="nil"/>
              <w:left w:val="single" w:sz="8" w:space="0" w:color="D2232A"/>
              <w:bottom w:val="single" w:sz="8" w:space="0" w:color="F3CFC1"/>
              <w:right w:val="single" w:sz="8" w:space="0" w:color="D2232A"/>
            </w:tcBorders>
            <w:shd w:val="clear" w:color="auto" w:fill="auto"/>
            <w:vAlign w:val="center"/>
            <w:hideMark/>
          </w:tcPr>
          <w:p w14:paraId="6C863A29"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480</w:t>
            </w:r>
          </w:p>
        </w:tc>
        <w:tc>
          <w:tcPr>
            <w:tcW w:w="1746" w:type="dxa"/>
            <w:tcBorders>
              <w:top w:val="nil"/>
              <w:left w:val="nil"/>
              <w:bottom w:val="single" w:sz="8" w:space="0" w:color="F3CFC1"/>
              <w:right w:val="single" w:sz="8" w:space="0" w:color="D2232A"/>
            </w:tcBorders>
            <w:shd w:val="clear" w:color="auto" w:fill="auto"/>
            <w:vAlign w:val="center"/>
            <w:hideMark/>
          </w:tcPr>
          <w:p w14:paraId="74721886"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2467</w:t>
            </w:r>
          </w:p>
        </w:tc>
        <w:tc>
          <w:tcPr>
            <w:tcW w:w="1373" w:type="dxa"/>
            <w:tcBorders>
              <w:top w:val="nil"/>
              <w:left w:val="nil"/>
              <w:bottom w:val="single" w:sz="8" w:space="0" w:color="F3CFC1"/>
              <w:right w:val="single" w:sz="8" w:space="0" w:color="D2232A"/>
            </w:tcBorders>
            <w:shd w:val="clear" w:color="auto" w:fill="auto"/>
            <w:vAlign w:val="center"/>
            <w:hideMark/>
          </w:tcPr>
          <w:p w14:paraId="5823C098"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1487</w:t>
            </w:r>
          </w:p>
        </w:tc>
        <w:tc>
          <w:tcPr>
            <w:tcW w:w="2551" w:type="dxa"/>
            <w:tcBorders>
              <w:top w:val="nil"/>
              <w:left w:val="nil"/>
              <w:bottom w:val="single" w:sz="8" w:space="0" w:color="F3CFC1"/>
              <w:right w:val="single" w:sz="8" w:space="0" w:color="D2232A"/>
            </w:tcBorders>
            <w:shd w:val="clear" w:color="auto" w:fill="auto"/>
            <w:vAlign w:val="center"/>
            <w:hideMark/>
          </w:tcPr>
          <w:p w14:paraId="6EA0610E" w14:textId="77777777" w:rsidR="001940DC" w:rsidRPr="001940DC" w:rsidRDefault="001940DC" w:rsidP="001940DC">
            <w:pPr>
              <w:spacing w:after="0" w:line="240" w:lineRule="auto"/>
              <w:jc w:val="center"/>
              <w:rPr>
                <w:rFonts w:eastAsia="Times New Roman" w:cs="Calibri"/>
                <w:color w:val="3F3F3F"/>
                <w:szCs w:val="18"/>
                <w:lang w:eastAsia="hr-HR"/>
              </w:rPr>
            </w:pPr>
            <w:r w:rsidRPr="001940DC">
              <w:rPr>
                <w:rFonts w:eastAsia="Times New Roman" w:cs="Calibri"/>
                <w:color w:val="3F3F3F"/>
                <w:szCs w:val="18"/>
                <w:lang w:eastAsia="hr-HR"/>
              </w:rPr>
              <w:t>15351</w:t>
            </w:r>
          </w:p>
        </w:tc>
      </w:tr>
    </w:tbl>
    <w:p w14:paraId="08F5B3CE" w14:textId="08F555F6" w:rsidR="0065377A" w:rsidRDefault="001940DC" w:rsidP="00BD6B22">
      <w:pPr>
        <w:pStyle w:val="Izvor"/>
        <w:rPr>
          <w:i/>
          <w:color w:val="ABABAB" w:themeColor="text1" w:themeTint="A6"/>
          <w:sz w:val="16"/>
          <w:szCs w:val="16"/>
        </w:rPr>
      </w:pPr>
      <w:r w:rsidRPr="00BD6B22">
        <w:rPr>
          <w:i/>
          <w:color w:val="ABABAB" w:themeColor="text1" w:themeTint="A6"/>
          <w:sz w:val="16"/>
          <w:szCs w:val="16"/>
        </w:rPr>
        <w:t>Izvor: HAPIH; GI za 2017., 2018. i 2019., obrada: Krapinsko-zagorska županija</w:t>
      </w:r>
    </w:p>
    <w:p w14:paraId="46EF74C4" w14:textId="77777777" w:rsidR="00F367A0" w:rsidRPr="00BD6B22" w:rsidRDefault="00F367A0" w:rsidP="00BD6B22">
      <w:pPr>
        <w:pStyle w:val="Izvor"/>
        <w:rPr>
          <w:i/>
          <w:color w:val="ABABAB" w:themeColor="text1" w:themeTint="A6"/>
          <w:sz w:val="16"/>
          <w:szCs w:val="16"/>
        </w:rPr>
      </w:pPr>
    </w:p>
    <w:p w14:paraId="46692D01" w14:textId="7B632A35" w:rsidR="008878A0" w:rsidRDefault="003952B9" w:rsidP="0052192B">
      <w:pPr>
        <w:pStyle w:val="Naslov2"/>
      </w:pPr>
      <w:bookmarkStart w:id="207" w:name="_Toc85181360"/>
      <w:r>
        <w:t>1</w:t>
      </w:r>
      <w:r w:rsidR="00B601EE">
        <w:t>2</w:t>
      </w:r>
      <w:r w:rsidR="008878A0">
        <w:t>.</w:t>
      </w:r>
      <w:r w:rsidR="00CF50C7">
        <w:t>5</w:t>
      </w:r>
      <w:r w:rsidR="008878A0">
        <w:t>. Peradarska proizvodnja</w:t>
      </w:r>
      <w:bookmarkEnd w:id="207"/>
      <w:r w:rsidR="008878A0">
        <w:t xml:space="preserve"> </w:t>
      </w:r>
    </w:p>
    <w:p w14:paraId="3BE4341A" w14:textId="1C909543" w:rsidR="00DD670B" w:rsidRDefault="008878A0" w:rsidP="00741E4F">
      <w:pPr>
        <w:rPr>
          <w:rFonts w:cstheme="minorHAnsi"/>
        </w:rPr>
      </w:pPr>
      <w:r>
        <w:rPr>
          <w:rFonts w:cstheme="minorHAnsi"/>
        </w:rPr>
        <w:br/>
        <w:t>U peradarskoj proizvodnji sa stajališta prepoznatljivosti na tržištu svakako je najznačajniji uzgoj zagorskog purana. Zagorski puran je zaštićeni autohtoni proizvod te je u kategoriji svježeg mesa prvi koji je u Republici Hrvatskoj dobio Oznaku zemljopisnog podrijetla „Meso zagorskog purana“. Time je kao visoko vrijedan proizvod postao vrlo važna karika u prepoznatljivosti zemlje i regije.</w:t>
      </w:r>
    </w:p>
    <w:p w14:paraId="71BAF48B" w14:textId="77777777" w:rsidR="00741E4F" w:rsidRPr="00741E4F" w:rsidRDefault="00741E4F" w:rsidP="00741E4F">
      <w:pPr>
        <w:rPr>
          <w:rFonts w:cstheme="minorHAnsi"/>
        </w:rPr>
      </w:pPr>
    </w:p>
    <w:p w14:paraId="6B5BAA2F" w14:textId="3B9CB87C" w:rsidR="00DD670B" w:rsidRDefault="00DD670B" w:rsidP="003E3F3C">
      <w:pPr>
        <w:pStyle w:val="Opisslike"/>
      </w:pPr>
      <w:r>
        <w:t>Tablica</w:t>
      </w:r>
      <w:r w:rsidR="00BD6B22">
        <w:t xml:space="preserve"> 1</w:t>
      </w:r>
      <w:r w:rsidR="00741E4F">
        <w:t>71</w:t>
      </w:r>
      <w:r>
        <w:t xml:space="preserve">. </w:t>
      </w:r>
      <w:r w:rsidRPr="002D2773">
        <w:t>Uzgoj purana u Krapinsko-zagorskoj županiji, broj umatičenih purana i broj uzgajivača, 2010.</w:t>
      </w:r>
      <w:r w:rsidR="00A641C0">
        <w:t xml:space="preserve"> </w:t>
      </w:r>
      <w:r w:rsidRPr="002D2773">
        <w:t>-</w:t>
      </w:r>
      <w:r w:rsidR="00A641C0">
        <w:t xml:space="preserve"> </w:t>
      </w:r>
      <w:r w:rsidRPr="002D2773">
        <w:t>2018.</w:t>
      </w:r>
    </w:p>
    <w:tbl>
      <w:tblPr>
        <w:tblW w:w="0" w:type="auto"/>
        <w:tblInd w:w="-10" w:type="dxa"/>
        <w:tblBorders>
          <w:insideH w:val="single" w:sz="8" w:space="0" w:color="F3CFC1"/>
        </w:tblBorders>
        <w:tblLook w:val="04A0" w:firstRow="1" w:lastRow="0" w:firstColumn="1" w:lastColumn="0" w:noHBand="0" w:noVBand="1"/>
      </w:tblPr>
      <w:tblGrid>
        <w:gridCol w:w="1266"/>
        <w:gridCol w:w="3412"/>
        <w:gridCol w:w="4536"/>
      </w:tblGrid>
      <w:tr w:rsidR="008878A0" w14:paraId="7DD056B1" w14:textId="77777777" w:rsidTr="00232927">
        <w:trPr>
          <w:trHeight w:val="314"/>
        </w:trPr>
        <w:tc>
          <w:tcPr>
            <w:tcW w:w="1266" w:type="dxa"/>
            <w:vMerge w:val="restart"/>
            <w:tcBorders>
              <w:top w:val="nil"/>
              <w:left w:val="single" w:sz="8" w:space="0" w:color="D2232A"/>
              <w:right w:val="single" w:sz="4" w:space="0" w:color="FFFFFF" w:themeColor="background1"/>
            </w:tcBorders>
            <w:shd w:val="clear" w:color="auto" w:fill="D2232A" w:themeFill="accent1"/>
            <w:vAlign w:val="center"/>
            <w:hideMark/>
          </w:tcPr>
          <w:p w14:paraId="111CB16F" w14:textId="77777777" w:rsidR="008878A0" w:rsidRDefault="008878A0" w:rsidP="00373E79">
            <w:pPr>
              <w:spacing w:after="0" w:line="240" w:lineRule="exact"/>
              <w:jc w:val="center"/>
              <w:rPr>
                <w:rFonts w:cstheme="minorHAnsi"/>
                <w:color w:val="FFFFFF" w:themeColor="background1"/>
              </w:rPr>
            </w:pPr>
            <w:r>
              <w:rPr>
                <w:rFonts w:cstheme="minorHAnsi"/>
                <w:color w:val="FFFFFF" w:themeColor="background1"/>
              </w:rPr>
              <w:t>Godina</w:t>
            </w:r>
          </w:p>
        </w:tc>
        <w:tc>
          <w:tcPr>
            <w:tcW w:w="7948" w:type="dxa"/>
            <w:gridSpan w:val="2"/>
            <w:tcBorders>
              <w:top w:val="nil"/>
              <w:left w:val="single" w:sz="4" w:space="0" w:color="FFFFFF" w:themeColor="background1"/>
              <w:bottom w:val="single" w:sz="8" w:space="0" w:color="D2232A"/>
              <w:right w:val="single" w:sz="8" w:space="0" w:color="D2232A"/>
            </w:tcBorders>
            <w:shd w:val="clear" w:color="auto" w:fill="D2232A" w:themeFill="accent1"/>
            <w:vAlign w:val="center"/>
            <w:hideMark/>
          </w:tcPr>
          <w:p w14:paraId="14CFAA98" w14:textId="77777777" w:rsidR="008878A0" w:rsidRDefault="008878A0" w:rsidP="00DD670B">
            <w:pPr>
              <w:spacing w:after="0" w:line="240" w:lineRule="exact"/>
              <w:jc w:val="center"/>
              <w:rPr>
                <w:rFonts w:cstheme="minorHAnsi"/>
                <w:color w:val="FFFFFF" w:themeColor="background1"/>
              </w:rPr>
            </w:pPr>
            <w:r>
              <w:rPr>
                <w:rFonts w:cstheme="minorHAnsi"/>
                <w:color w:val="FFFFFF" w:themeColor="background1"/>
              </w:rPr>
              <w:t>Zagorski puran</w:t>
            </w:r>
          </w:p>
        </w:tc>
      </w:tr>
      <w:tr w:rsidR="008878A0" w14:paraId="294BD0F4" w14:textId="77777777" w:rsidTr="00232927">
        <w:trPr>
          <w:trHeight w:val="314"/>
        </w:trPr>
        <w:tc>
          <w:tcPr>
            <w:tcW w:w="1266" w:type="dxa"/>
            <w:vMerge/>
            <w:tcBorders>
              <w:left w:val="single" w:sz="8" w:space="0" w:color="D2232A"/>
              <w:right w:val="single" w:sz="4" w:space="0" w:color="FFFFFF" w:themeColor="background1"/>
            </w:tcBorders>
            <w:shd w:val="clear" w:color="auto" w:fill="D2232A" w:themeFill="accent1"/>
            <w:vAlign w:val="center"/>
            <w:hideMark/>
          </w:tcPr>
          <w:p w14:paraId="3C9ABD76" w14:textId="77777777" w:rsidR="008878A0" w:rsidRDefault="008878A0" w:rsidP="00373E79">
            <w:pPr>
              <w:spacing w:after="0"/>
              <w:jc w:val="center"/>
              <w:rPr>
                <w:rFonts w:cstheme="minorHAnsi"/>
                <w:color w:val="FFFFFF" w:themeColor="background1"/>
                <w:sz w:val="22"/>
                <w:szCs w:val="22"/>
              </w:rPr>
            </w:pPr>
          </w:p>
        </w:tc>
        <w:tc>
          <w:tcPr>
            <w:tcW w:w="3412" w:type="dxa"/>
            <w:tcBorders>
              <w:top w:val="single" w:sz="4" w:space="0" w:color="FFFFFF" w:themeColor="background1"/>
              <w:left w:val="single" w:sz="4" w:space="0" w:color="FFFFFF" w:themeColor="background1"/>
              <w:right w:val="single" w:sz="8" w:space="0" w:color="D2232A"/>
            </w:tcBorders>
            <w:shd w:val="clear" w:color="auto" w:fill="D2232A" w:themeFill="accent1"/>
            <w:vAlign w:val="center"/>
            <w:hideMark/>
          </w:tcPr>
          <w:p w14:paraId="176326C5" w14:textId="77777777" w:rsidR="008878A0" w:rsidRDefault="008878A0" w:rsidP="00373E79">
            <w:pPr>
              <w:spacing w:after="0" w:line="240" w:lineRule="exact"/>
              <w:jc w:val="right"/>
              <w:rPr>
                <w:rFonts w:cstheme="minorHAnsi"/>
                <w:color w:val="FFFFFF" w:themeColor="background1"/>
              </w:rPr>
            </w:pPr>
            <w:r>
              <w:rPr>
                <w:rFonts w:cstheme="minorHAnsi"/>
                <w:color w:val="FFFFFF" w:themeColor="background1"/>
              </w:rPr>
              <w:t>Broj purana</w:t>
            </w:r>
          </w:p>
        </w:tc>
        <w:tc>
          <w:tcPr>
            <w:tcW w:w="4536" w:type="dxa"/>
            <w:tcBorders>
              <w:top w:val="single" w:sz="8" w:space="0" w:color="D2232A"/>
              <w:left w:val="single" w:sz="8" w:space="0" w:color="D2232A"/>
              <w:right w:val="single" w:sz="8" w:space="0" w:color="D2232A"/>
            </w:tcBorders>
            <w:shd w:val="clear" w:color="auto" w:fill="D2232A" w:themeFill="accent1"/>
            <w:vAlign w:val="center"/>
            <w:hideMark/>
          </w:tcPr>
          <w:p w14:paraId="51D3114E" w14:textId="77777777" w:rsidR="008878A0" w:rsidRDefault="008878A0" w:rsidP="00373E79">
            <w:pPr>
              <w:spacing w:after="0" w:line="240" w:lineRule="exact"/>
              <w:jc w:val="right"/>
              <w:rPr>
                <w:rFonts w:cstheme="minorHAnsi"/>
                <w:color w:val="FFFFFF" w:themeColor="background1"/>
              </w:rPr>
            </w:pPr>
            <w:r>
              <w:rPr>
                <w:rFonts w:cstheme="minorHAnsi"/>
                <w:color w:val="FFFFFF" w:themeColor="background1"/>
              </w:rPr>
              <w:t>Broj uzgajivača</w:t>
            </w:r>
          </w:p>
        </w:tc>
      </w:tr>
      <w:tr w:rsidR="008878A0" w14:paraId="6A195C5E" w14:textId="77777777" w:rsidTr="00232927">
        <w:trPr>
          <w:trHeight w:val="314"/>
        </w:trPr>
        <w:tc>
          <w:tcPr>
            <w:tcW w:w="1266" w:type="dxa"/>
            <w:tcBorders>
              <w:left w:val="single" w:sz="8" w:space="0" w:color="D2232A"/>
              <w:right w:val="single" w:sz="8" w:space="0" w:color="D2232A"/>
            </w:tcBorders>
            <w:vAlign w:val="center"/>
            <w:hideMark/>
          </w:tcPr>
          <w:p w14:paraId="5C9BDE88" w14:textId="77777777" w:rsidR="008878A0" w:rsidRPr="00373E79" w:rsidRDefault="008878A0" w:rsidP="00373E79">
            <w:pPr>
              <w:spacing w:after="0" w:line="240" w:lineRule="exact"/>
              <w:jc w:val="center"/>
              <w:rPr>
                <w:rFonts w:cstheme="minorHAnsi"/>
              </w:rPr>
            </w:pPr>
            <w:r w:rsidRPr="00373E79">
              <w:rPr>
                <w:rFonts w:cstheme="minorHAnsi"/>
              </w:rPr>
              <w:t>2010.</w:t>
            </w:r>
          </w:p>
        </w:tc>
        <w:tc>
          <w:tcPr>
            <w:tcW w:w="3412" w:type="dxa"/>
            <w:tcBorders>
              <w:left w:val="single" w:sz="8" w:space="0" w:color="D2232A"/>
              <w:right w:val="single" w:sz="8" w:space="0" w:color="D2232A"/>
            </w:tcBorders>
            <w:vAlign w:val="center"/>
            <w:hideMark/>
          </w:tcPr>
          <w:p w14:paraId="62B4E298" w14:textId="77777777" w:rsidR="008878A0" w:rsidRPr="00373E79" w:rsidRDefault="008878A0" w:rsidP="00373E79">
            <w:pPr>
              <w:spacing w:after="0"/>
              <w:jc w:val="right"/>
              <w:rPr>
                <w:rFonts w:cstheme="minorHAnsi"/>
              </w:rPr>
            </w:pPr>
            <w:r w:rsidRPr="00373E79">
              <w:rPr>
                <w:rFonts w:cstheme="minorHAnsi"/>
              </w:rPr>
              <w:t>1.329</w:t>
            </w:r>
          </w:p>
        </w:tc>
        <w:tc>
          <w:tcPr>
            <w:tcW w:w="4536" w:type="dxa"/>
            <w:tcBorders>
              <w:left w:val="single" w:sz="8" w:space="0" w:color="D2232A"/>
              <w:right w:val="single" w:sz="8" w:space="0" w:color="D2232A"/>
            </w:tcBorders>
            <w:vAlign w:val="center"/>
            <w:hideMark/>
          </w:tcPr>
          <w:p w14:paraId="5065BD3B" w14:textId="77777777" w:rsidR="008878A0" w:rsidRPr="00373E79" w:rsidRDefault="008878A0" w:rsidP="00373E79">
            <w:pPr>
              <w:spacing w:after="0"/>
              <w:jc w:val="right"/>
              <w:rPr>
                <w:rFonts w:cstheme="minorHAnsi"/>
              </w:rPr>
            </w:pPr>
            <w:r w:rsidRPr="00373E79">
              <w:rPr>
                <w:rFonts w:cstheme="minorHAnsi"/>
              </w:rPr>
              <w:t>102</w:t>
            </w:r>
          </w:p>
        </w:tc>
      </w:tr>
      <w:tr w:rsidR="008878A0" w14:paraId="27B0BA2E" w14:textId="77777777" w:rsidTr="00232927">
        <w:trPr>
          <w:trHeight w:val="314"/>
        </w:trPr>
        <w:tc>
          <w:tcPr>
            <w:tcW w:w="1266" w:type="dxa"/>
            <w:tcBorders>
              <w:left w:val="single" w:sz="8" w:space="0" w:color="D2232A"/>
              <w:right w:val="single" w:sz="8" w:space="0" w:color="D2232A"/>
            </w:tcBorders>
            <w:vAlign w:val="center"/>
            <w:hideMark/>
          </w:tcPr>
          <w:p w14:paraId="69F97D7A" w14:textId="77777777" w:rsidR="008878A0" w:rsidRPr="00373E79" w:rsidRDefault="008878A0" w:rsidP="00373E79">
            <w:pPr>
              <w:spacing w:after="0" w:line="240" w:lineRule="exact"/>
              <w:jc w:val="center"/>
              <w:rPr>
                <w:rFonts w:cstheme="minorHAnsi"/>
              </w:rPr>
            </w:pPr>
            <w:r w:rsidRPr="00373E79">
              <w:rPr>
                <w:rFonts w:cstheme="minorHAnsi"/>
              </w:rPr>
              <w:t>2011.</w:t>
            </w:r>
          </w:p>
        </w:tc>
        <w:tc>
          <w:tcPr>
            <w:tcW w:w="3412" w:type="dxa"/>
            <w:tcBorders>
              <w:left w:val="single" w:sz="8" w:space="0" w:color="D2232A"/>
              <w:right w:val="single" w:sz="8" w:space="0" w:color="D2232A"/>
            </w:tcBorders>
            <w:vAlign w:val="center"/>
            <w:hideMark/>
          </w:tcPr>
          <w:p w14:paraId="234FB0C7" w14:textId="77777777" w:rsidR="008878A0" w:rsidRPr="00373E79" w:rsidRDefault="008878A0" w:rsidP="00373E79">
            <w:pPr>
              <w:spacing w:after="0"/>
              <w:jc w:val="right"/>
              <w:rPr>
                <w:rFonts w:cstheme="minorHAnsi"/>
              </w:rPr>
            </w:pPr>
            <w:r w:rsidRPr="00373E79">
              <w:rPr>
                <w:rFonts w:cstheme="minorHAnsi"/>
              </w:rPr>
              <w:t>1.551</w:t>
            </w:r>
          </w:p>
        </w:tc>
        <w:tc>
          <w:tcPr>
            <w:tcW w:w="4536" w:type="dxa"/>
            <w:tcBorders>
              <w:left w:val="single" w:sz="8" w:space="0" w:color="D2232A"/>
              <w:right w:val="single" w:sz="8" w:space="0" w:color="D2232A"/>
            </w:tcBorders>
            <w:vAlign w:val="center"/>
            <w:hideMark/>
          </w:tcPr>
          <w:p w14:paraId="433D74A5" w14:textId="77777777" w:rsidR="008878A0" w:rsidRPr="00373E79" w:rsidRDefault="008878A0" w:rsidP="00373E79">
            <w:pPr>
              <w:spacing w:after="0"/>
              <w:jc w:val="right"/>
              <w:rPr>
                <w:rFonts w:cstheme="minorHAnsi"/>
              </w:rPr>
            </w:pPr>
            <w:r w:rsidRPr="00373E79">
              <w:rPr>
                <w:rFonts w:cstheme="minorHAnsi"/>
              </w:rPr>
              <w:t>95</w:t>
            </w:r>
          </w:p>
        </w:tc>
      </w:tr>
      <w:tr w:rsidR="008878A0" w14:paraId="12A6BCCA" w14:textId="77777777" w:rsidTr="00232927">
        <w:trPr>
          <w:trHeight w:val="314"/>
        </w:trPr>
        <w:tc>
          <w:tcPr>
            <w:tcW w:w="1266" w:type="dxa"/>
            <w:tcBorders>
              <w:left w:val="single" w:sz="8" w:space="0" w:color="D2232A"/>
              <w:right w:val="single" w:sz="8" w:space="0" w:color="D2232A"/>
            </w:tcBorders>
            <w:vAlign w:val="center"/>
            <w:hideMark/>
          </w:tcPr>
          <w:p w14:paraId="41E34131" w14:textId="77777777" w:rsidR="008878A0" w:rsidRPr="00373E79" w:rsidRDefault="008878A0" w:rsidP="00373E79">
            <w:pPr>
              <w:spacing w:after="0" w:line="240" w:lineRule="exact"/>
              <w:jc w:val="center"/>
              <w:rPr>
                <w:rFonts w:cstheme="minorHAnsi"/>
              </w:rPr>
            </w:pPr>
            <w:r w:rsidRPr="00373E79">
              <w:rPr>
                <w:rFonts w:cstheme="minorHAnsi"/>
              </w:rPr>
              <w:t>2012.</w:t>
            </w:r>
          </w:p>
        </w:tc>
        <w:tc>
          <w:tcPr>
            <w:tcW w:w="3412" w:type="dxa"/>
            <w:tcBorders>
              <w:left w:val="single" w:sz="8" w:space="0" w:color="D2232A"/>
              <w:right w:val="single" w:sz="8" w:space="0" w:color="D2232A"/>
            </w:tcBorders>
            <w:vAlign w:val="center"/>
            <w:hideMark/>
          </w:tcPr>
          <w:p w14:paraId="4648BD68" w14:textId="77777777" w:rsidR="008878A0" w:rsidRPr="00373E79" w:rsidRDefault="008878A0" w:rsidP="00373E79">
            <w:pPr>
              <w:spacing w:after="0"/>
              <w:jc w:val="right"/>
              <w:rPr>
                <w:rFonts w:cstheme="minorHAnsi"/>
              </w:rPr>
            </w:pPr>
            <w:r w:rsidRPr="00373E79">
              <w:rPr>
                <w:rFonts w:cstheme="minorHAnsi"/>
              </w:rPr>
              <w:t>2.171</w:t>
            </w:r>
          </w:p>
        </w:tc>
        <w:tc>
          <w:tcPr>
            <w:tcW w:w="4536" w:type="dxa"/>
            <w:tcBorders>
              <w:left w:val="single" w:sz="8" w:space="0" w:color="D2232A"/>
              <w:right w:val="single" w:sz="8" w:space="0" w:color="D2232A"/>
            </w:tcBorders>
            <w:vAlign w:val="center"/>
            <w:hideMark/>
          </w:tcPr>
          <w:p w14:paraId="6F9718FE" w14:textId="77777777" w:rsidR="008878A0" w:rsidRPr="00373E79" w:rsidRDefault="008878A0" w:rsidP="00373E79">
            <w:pPr>
              <w:spacing w:after="0"/>
              <w:jc w:val="right"/>
              <w:rPr>
                <w:rFonts w:cstheme="minorHAnsi"/>
              </w:rPr>
            </w:pPr>
            <w:r w:rsidRPr="00373E79">
              <w:rPr>
                <w:rFonts w:cstheme="minorHAnsi"/>
              </w:rPr>
              <w:t>95</w:t>
            </w:r>
          </w:p>
        </w:tc>
      </w:tr>
      <w:tr w:rsidR="008878A0" w14:paraId="2AB022F1" w14:textId="77777777" w:rsidTr="00232927">
        <w:trPr>
          <w:trHeight w:val="314"/>
        </w:trPr>
        <w:tc>
          <w:tcPr>
            <w:tcW w:w="1266" w:type="dxa"/>
            <w:tcBorders>
              <w:left w:val="single" w:sz="8" w:space="0" w:color="D2232A"/>
              <w:right w:val="single" w:sz="8" w:space="0" w:color="D2232A"/>
            </w:tcBorders>
            <w:vAlign w:val="center"/>
            <w:hideMark/>
          </w:tcPr>
          <w:p w14:paraId="21A5563E" w14:textId="77777777" w:rsidR="008878A0" w:rsidRPr="00373E79" w:rsidRDefault="008878A0" w:rsidP="00373E79">
            <w:pPr>
              <w:spacing w:after="0" w:line="240" w:lineRule="exact"/>
              <w:jc w:val="center"/>
              <w:rPr>
                <w:rFonts w:cstheme="minorHAnsi"/>
              </w:rPr>
            </w:pPr>
            <w:r w:rsidRPr="00373E79">
              <w:rPr>
                <w:rFonts w:cstheme="minorHAnsi"/>
              </w:rPr>
              <w:t>2013.</w:t>
            </w:r>
          </w:p>
        </w:tc>
        <w:tc>
          <w:tcPr>
            <w:tcW w:w="3412" w:type="dxa"/>
            <w:tcBorders>
              <w:left w:val="single" w:sz="8" w:space="0" w:color="D2232A"/>
              <w:right w:val="single" w:sz="8" w:space="0" w:color="D2232A"/>
            </w:tcBorders>
            <w:vAlign w:val="center"/>
            <w:hideMark/>
          </w:tcPr>
          <w:p w14:paraId="5EEA5F97" w14:textId="77777777" w:rsidR="008878A0" w:rsidRPr="00373E79" w:rsidRDefault="008878A0" w:rsidP="00373E79">
            <w:pPr>
              <w:spacing w:after="0"/>
              <w:jc w:val="right"/>
              <w:rPr>
                <w:rFonts w:cstheme="minorHAnsi"/>
              </w:rPr>
            </w:pPr>
            <w:r w:rsidRPr="00373E79">
              <w:rPr>
                <w:rFonts w:cstheme="minorHAnsi"/>
              </w:rPr>
              <w:t>1.871</w:t>
            </w:r>
          </w:p>
        </w:tc>
        <w:tc>
          <w:tcPr>
            <w:tcW w:w="4536" w:type="dxa"/>
            <w:tcBorders>
              <w:left w:val="single" w:sz="8" w:space="0" w:color="D2232A"/>
              <w:right w:val="single" w:sz="8" w:space="0" w:color="D2232A"/>
            </w:tcBorders>
            <w:vAlign w:val="center"/>
            <w:hideMark/>
          </w:tcPr>
          <w:p w14:paraId="6062003E" w14:textId="77777777" w:rsidR="008878A0" w:rsidRPr="00373E79" w:rsidRDefault="008878A0" w:rsidP="00373E79">
            <w:pPr>
              <w:spacing w:after="0"/>
              <w:jc w:val="right"/>
              <w:rPr>
                <w:rFonts w:cstheme="minorHAnsi"/>
              </w:rPr>
            </w:pPr>
            <w:r w:rsidRPr="00373E79">
              <w:rPr>
                <w:rFonts w:cstheme="minorHAnsi"/>
              </w:rPr>
              <w:t>80</w:t>
            </w:r>
          </w:p>
        </w:tc>
      </w:tr>
      <w:tr w:rsidR="008878A0" w14:paraId="4CF36D9D" w14:textId="77777777" w:rsidTr="00232927">
        <w:trPr>
          <w:trHeight w:val="314"/>
        </w:trPr>
        <w:tc>
          <w:tcPr>
            <w:tcW w:w="1266" w:type="dxa"/>
            <w:tcBorders>
              <w:left w:val="single" w:sz="8" w:space="0" w:color="D2232A"/>
              <w:right w:val="single" w:sz="8" w:space="0" w:color="D2232A"/>
            </w:tcBorders>
            <w:vAlign w:val="center"/>
            <w:hideMark/>
          </w:tcPr>
          <w:p w14:paraId="423937EA" w14:textId="77777777" w:rsidR="008878A0" w:rsidRPr="00373E79" w:rsidRDefault="008878A0" w:rsidP="00373E79">
            <w:pPr>
              <w:spacing w:after="0" w:line="240" w:lineRule="exact"/>
              <w:jc w:val="center"/>
              <w:rPr>
                <w:rFonts w:cstheme="minorHAnsi"/>
              </w:rPr>
            </w:pPr>
            <w:r w:rsidRPr="00373E79">
              <w:rPr>
                <w:rFonts w:cstheme="minorHAnsi"/>
              </w:rPr>
              <w:t>2014.</w:t>
            </w:r>
          </w:p>
        </w:tc>
        <w:tc>
          <w:tcPr>
            <w:tcW w:w="3412" w:type="dxa"/>
            <w:tcBorders>
              <w:left w:val="single" w:sz="8" w:space="0" w:color="D2232A"/>
              <w:right w:val="single" w:sz="8" w:space="0" w:color="D2232A"/>
            </w:tcBorders>
            <w:vAlign w:val="center"/>
            <w:hideMark/>
          </w:tcPr>
          <w:p w14:paraId="2822E6F9" w14:textId="77777777" w:rsidR="008878A0" w:rsidRPr="00373E79" w:rsidRDefault="008878A0" w:rsidP="00373E79">
            <w:pPr>
              <w:spacing w:after="0"/>
              <w:jc w:val="right"/>
              <w:rPr>
                <w:rFonts w:cstheme="minorHAnsi"/>
              </w:rPr>
            </w:pPr>
            <w:r w:rsidRPr="00373E79">
              <w:rPr>
                <w:rFonts w:cstheme="minorHAnsi"/>
              </w:rPr>
              <w:t>1.728</w:t>
            </w:r>
          </w:p>
        </w:tc>
        <w:tc>
          <w:tcPr>
            <w:tcW w:w="4536" w:type="dxa"/>
            <w:tcBorders>
              <w:left w:val="single" w:sz="8" w:space="0" w:color="D2232A"/>
              <w:right w:val="single" w:sz="8" w:space="0" w:color="D2232A"/>
            </w:tcBorders>
            <w:vAlign w:val="center"/>
            <w:hideMark/>
          </w:tcPr>
          <w:p w14:paraId="5E03A590" w14:textId="77777777" w:rsidR="008878A0" w:rsidRPr="00373E79" w:rsidRDefault="008878A0" w:rsidP="00373E79">
            <w:pPr>
              <w:spacing w:after="0"/>
              <w:jc w:val="right"/>
              <w:rPr>
                <w:rFonts w:cstheme="minorHAnsi"/>
              </w:rPr>
            </w:pPr>
            <w:r w:rsidRPr="00373E79">
              <w:rPr>
                <w:rFonts w:cstheme="minorHAnsi"/>
              </w:rPr>
              <w:t>74</w:t>
            </w:r>
          </w:p>
        </w:tc>
      </w:tr>
      <w:tr w:rsidR="008878A0" w14:paraId="7DF00CC0" w14:textId="77777777" w:rsidTr="00232927">
        <w:trPr>
          <w:trHeight w:val="314"/>
        </w:trPr>
        <w:tc>
          <w:tcPr>
            <w:tcW w:w="1266" w:type="dxa"/>
            <w:tcBorders>
              <w:left w:val="single" w:sz="8" w:space="0" w:color="D2232A"/>
              <w:right w:val="single" w:sz="8" w:space="0" w:color="D2232A"/>
            </w:tcBorders>
            <w:vAlign w:val="center"/>
            <w:hideMark/>
          </w:tcPr>
          <w:p w14:paraId="31C0F3E2" w14:textId="77777777" w:rsidR="008878A0" w:rsidRPr="00373E79" w:rsidRDefault="008878A0" w:rsidP="00373E79">
            <w:pPr>
              <w:spacing w:after="0" w:line="240" w:lineRule="exact"/>
              <w:jc w:val="center"/>
              <w:rPr>
                <w:rFonts w:cstheme="minorHAnsi"/>
              </w:rPr>
            </w:pPr>
            <w:r w:rsidRPr="00373E79">
              <w:rPr>
                <w:rFonts w:cstheme="minorHAnsi"/>
              </w:rPr>
              <w:t>2015.</w:t>
            </w:r>
          </w:p>
        </w:tc>
        <w:tc>
          <w:tcPr>
            <w:tcW w:w="3412" w:type="dxa"/>
            <w:tcBorders>
              <w:left w:val="single" w:sz="8" w:space="0" w:color="D2232A"/>
              <w:right w:val="single" w:sz="8" w:space="0" w:color="D2232A"/>
            </w:tcBorders>
            <w:vAlign w:val="center"/>
            <w:hideMark/>
          </w:tcPr>
          <w:p w14:paraId="5258E264" w14:textId="77777777" w:rsidR="008878A0" w:rsidRPr="00373E79" w:rsidRDefault="008878A0" w:rsidP="00373E79">
            <w:pPr>
              <w:spacing w:after="0" w:line="240" w:lineRule="exact"/>
              <w:jc w:val="right"/>
              <w:rPr>
                <w:rFonts w:cstheme="minorHAnsi"/>
              </w:rPr>
            </w:pPr>
            <w:r w:rsidRPr="00373E79">
              <w:rPr>
                <w:rFonts w:cstheme="minorHAnsi"/>
              </w:rPr>
              <w:t>774</w:t>
            </w:r>
          </w:p>
        </w:tc>
        <w:tc>
          <w:tcPr>
            <w:tcW w:w="4536" w:type="dxa"/>
            <w:tcBorders>
              <w:left w:val="single" w:sz="8" w:space="0" w:color="D2232A"/>
              <w:right w:val="single" w:sz="8" w:space="0" w:color="D2232A"/>
            </w:tcBorders>
            <w:vAlign w:val="center"/>
            <w:hideMark/>
          </w:tcPr>
          <w:p w14:paraId="36F2067F" w14:textId="77777777" w:rsidR="008878A0" w:rsidRPr="00373E79" w:rsidRDefault="008878A0" w:rsidP="00373E79">
            <w:pPr>
              <w:spacing w:after="0" w:line="240" w:lineRule="exact"/>
              <w:jc w:val="right"/>
              <w:rPr>
                <w:rFonts w:cstheme="minorHAnsi"/>
              </w:rPr>
            </w:pPr>
            <w:r w:rsidRPr="00373E79">
              <w:rPr>
                <w:rFonts w:cstheme="minorHAnsi"/>
              </w:rPr>
              <w:t>63</w:t>
            </w:r>
          </w:p>
        </w:tc>
      </w:tr>
      <w:tr w:rsidR="008878A0" w14:paraId="45440CB2" w14:textId="77777777" w:rsidTr="00232927">
        <w:trPr>
          <w:trHeight w:val="314"/>
        </w:trPr>
        <w:tc>
          <w:tcPr>
            <w:tcW w:w="1266" w:type="dxa"/>
            <w:tcBorders>
              <w:left w:val="single" w:sz="8" w:space="0" w:color="D2232A"/>
              <w:right w:val="single" w:sz="8" w:space="0" w:color="D2232A"/>
            </w:tcBorders>
            <w:vAlign w:val="center"/>
            <w:hideMark/>
          </w:tcPr>
          <w:p w14:paraId="7D26210D" w14:textId="77777777" w:rsidR="008878A0" w:rsidRPr="00373E79" w:rsidRDefault="008878A0" w:rsidP="00373E79">
            <w:pPr>
              <w:spacing w:after="0" w:line="240" w:lineRule="exact"/>
              <w:jc w:val="center"/>
              <w:rPr>
                <w:rFonts w:cstheme="minorHAnsi"/>
              </w:rPr>
            </w:pPr>
            <w:r w:rsidRPr="00373E79">
              <w:rPr>
                <w:rFonts w:cstheme="minorHAnsi"/>
              </w:rPr>
              <w:t>2016.</w:t>
            </w:r>
          </w:p>
        </w:tc>
        <w:tc>
          <w:tcPr>
            <w:tcW w:w="3412" w:type="dxa"/>
            <w:tcBorders>
              <w:left w:val="single" w:sz="8" w:space="0" w:color="D2232A"/>
              <w:right w:val="single" w:sz="8" w:space="0" w:color="D2232A"/>
            </w:tcBorders>
            <w:vAlign w:val="center"/>
            <w:hideMark/>
          </w:tcPr>
          <w:p w14:paraId="3ACEE0F1" w14:textId="77777777" w:rsidR="008878A0" w:rsidRPr="00373E79" w:rsidRDefault="008878A0" w:rsidP="00373E79">
            <w:pPr>
              <w:spacing w:after="0" w:line="240" w:lineRule="exact"/>
              <w:jc w:val="right"/>
              <w:rPr>
                <w:rFonts w:cstheme="minorHAnsi"/>
              </w:rPr>
            </w:pPr>
            <w:r w:rsidRPr="00373E79">
              <w:rPr>
                <w:rFonts w:cstheme="minorHAnsi"/>
              </w:rPr>
              <w:t>750</w:t>
            </w:r>
          </w:p>
        </w:tc>
        <w:tc>
          <w:tcPr>
            <w:tcW w:w="4536" w:type="dxa"/>
            <w:tcBorders>
              <w:left w:val="single" w:sz="8" w:space="0" w:color="D2232A"/>
              <w:right w:val="single" w:sz="8" w:space="0" w:color="D2232A"/>
            </w:tcBorders>
            <w:vAlign w:val="center"/>
            <w:hideMark/>
          </w:tcPr>
          <w:p w14:paraId="2D9842B6" w14:textId="77777777" w:rsidR="008878A0" w:rsidRPr="00373E79" w:rsidRDefault="008878A0" w:rsidP="00373E79">
            <w:pPr>
              <w:spacing w:after="0" w:line="240" w:lineRule="exact"/>
              <w:jc w:val="right"/>
              <w:rPr>
                <w:rFonts w:cstheme="minorHAnsi"/>
              </w:rPr>
            </w:pPr>
            <w:r w:rsidRPr="00373E79">
              <w:rPr>
                <w:rFonts w:cstheme="minorHAnsi"/>
              </w:rPr>
              <w:t>33</w:t>
            </w:r>
          </w:p>
        </w:tc>
      </w:tr>
      <w:tr w:rsidR="008878A0" w14:paraId="2F4A2A68" w14:textId="77777777" w:rsidTr="00232927">
        <w:trPr>
          <w:trHeight w:val="314"/>
        </w:trPr>
        <w:tc>
          <w:tcPr>
            <w:tcW w:w="1266" w:type="dxa"/>
            <w:tcBorders>
              <w:left w:val="single" w:sz="8" w:space="0" w:color="D2232A"/>
              <w:right w:val="single" w:sz="8" w:space="0" w:color="D2232A"/>
            </w:tcBorders>
            <w:vAlign w:val="center"/>
            <w:hideMark/>
          </w:tcPr>
          <w:p w14:paraId="5EA7D491" w14:textId="77777777" w:rsidR="008878A0" w:rsidRPr="00373E79" w:rsidRDefault="008878A0" w:rsidP="00373E79">
            <w:pPr>
              <w:spacing w:after="0" w:line="240" w:lineRule="exact"/>
              <w:jc w:val="center"/>
              <w:rPr>
                <w:rFonts w:cstheme="minorHAnsi"/>
              </w:rPr>
            </w:pPr>
            <w:r w:rsidRPr="00373E79">
              <w:rPr>
                <w:rFonts w:cstheme="minorHAnsi"/>
              </w:rPr>
              <w:t>2017.</w:t>
            </w:r>
          </w:p>
        </w:tc>
        <w:tc>
          <w:tcPr>
            <w:tcW w:w="3412" w:type="dxa"/>
            <w:tcBorders>
              <w:left w:val="single" w:sz="8" w:space="0" w:color="D2232A"/>
              <w:right w:val="single" w:sz="8" w:space="0" w:color="D2232A"/>
            </w:tcBorders>
            <w:vAlign w:val="center"/>
            <w:hideMark/>
          </w:tcPr>
          <w:p w14:paraId="67929896" w14:textId="77777777" w:rsidR="008878A0" w:rsidRPr="00373E79" w:rsidRDefault="008878A0" w:rsidP="00373E79">
            <w:pPr>
              <w:spacing w:after="0" w:line="240" w:lineRule="exact"/>
              <w:jc w:val="right"/>
              <w:rPr>
                <w:rFonts w:cstheme="minorHAnsi"/>
              </w:rPr>
            </w:pPr>
            <w:r w:rsidRPr="00373E79">
              <w:rPr>
                <w:rFonts w:cstheme="minorHAnsi"/>
              </w:rPr>
              <w:t>734</w:t>
            </w:r>
          </w:p>
        </w:tc>
        <w:tc>
          <w:tcPr>
            <w:tcW w:w="4536" w:type="dxa"/>
            <w:tcBorders>
              <w:left w:val="single" w:sz="8" w:space="0" w:color="D2232A"/>
              <w:right w:val="single" w:sz="8" w:space="0" w:color="D2232A"/>
            </w:tcBorders>
            <w:vAlign w:val="center"/>
            <w:hideMark/>
          </w:tcPr>
          <w:p w14:paraId="7DF4B17E" w14:textId="77777777" w:rsidR="008878A0" w:rsidRPr="00373E79" w:rsidRDefault="008878A0" w:rsidP="00373E79">
            <w:pPr>
              <w:spacing w:after="0" w:line="240" w:lineRule="exact"/>
              <w:jc w:val="right"/>
              <w:rPr>
                <w:rFonts w:cstheme="minorHAnsi"/>
              </w:rPr>
            </w:pPr>
            <w:r w:rsidRPr="00373E79">
              <w:rPr>
                <w:rFonts w:cstheme="minorHAnsi"/>
              </w:rPr>
              <w:t>41</w:t>
            </w:r>
          </w:p>
        </w:tc>
      </w:tr>
      <w:tr w:rsidR="008878A0" w14:paraId="53508DB2" w14:textId="77777777" w:rsidTr="00232927">
        <w:trPr>
          <w:trHeight w:val="314"/>
        </w:trPr>
        <w:tc>
          <w:tcPr>
            <w:tcW w:w="1266" w:type="dxa"/>
            <w:tcBorders>
              <w:left w:val="single" w:sz="8" w:space="0" w:color="D2232A"/>
              <w:bottom w:val="nil"/>
              <w:right w:val="single" w:sz="8" w:space="0" w:color="D2232A"/>
            </w:tcBorders>
            <w:vAlign w:val="center"/>
            <w:hideMark/>
          </w:tcPr>
          <w:p w14:paraId="4B49A688" w14:textId="77777777" w:rsidR="008878A0" w:rsidRPr="00373E79" w:rsidRDefault="008878A0" w:rsidP="00373E79">
            <w:pPr>
              <w:spacing w:after="0" w:line="240" w:lineRule="exact"/>
              <w:jc w:val="center"/>
              <w:rPr>
                <w:rFonts w:cstheme="minorHAnsi"/>
              </w:rPr>
            </w:pPr>
            <w:r w:rsidRPr="00373E79">
              <w:rPr>
                <w:rFonts w:cstheme="minorHAnsi"/>
              </w:rPr>
              <w:t>2018.</w:t>
            </w:r>
          </w:p>
        </w:tc>
        <w:tc>
          <w:tcPr>
            <w:tcW w:w="3412" w:type="dxa"/>
            <w:tcBorders>
              <w:left w:val="single" w:sz="8" w:space="0" w:color="D2232A"/>
              <w:bottom w:val="nil"/>
              <w:right w:val="single" w:sz="8" w:space="0" w:color="D2232A"/>
            </w:tcBorders>
            <w:vAlign w:val="center"/>
            <w:hideMark/>
          </w:tcPr>
          <w:p w14:paraId="63868592" w14:textId="77777777" w:rsidR="008878A0" w:rsidRPr="00373E79" w:rsidRDefault="008878A0" w:rsidP="00373E79">
            <w:pPr>
              <w:spacing w:after="0"/>
              <w:jc w:val="right"/>
              <w:rPr>
                <w:rFonts w:cstheme="minorHAnsi"/>
              </w:rPr>
            </w:pPr>
            <w:r w:rsidRPr="00373E79">
              <w:rPr>
                <w:rFonts w:cstheme="minorHAnsi"/>
              </w:rPr>
              <w:t>794</w:t>
            </w:r>
          </w:p>
        </w:tc>
        <w:tc>
          <w:tcPr>
            <w:tcW w:w="4536" w:type="dxa"/>
            <w:tcBorders>
              <w:left w:val="single" w:sz="8" w:space="0" w:color="D2232A"/>
              <w:bottom w:val="nil"/>
              <w:right w:val="single" w:sz="8" w:space="0" w:color="D2232A"/>
            </w:tcBorders>
            <w:vAlign w:val="center"/>
            <w:hideMark/>
          </w:tcPr>
          <w:p w14:paraId="3ABF2DE5" w14:textId="77777777" w:rsidR="008878A0" w:rsidRPr="00373E79" w:rsidRDefault="008878A0" w:rsidP="00373E79">
            <w:pPr>
              <w:spacing w:after="0"/>
              <w:jc w:val="right"/>
              <w:rPr>
                <w:rFonts w:cstheme="minorHAnsi"/>
              </w:rPr>
            </w:pPr>
            <w:r w:rsidRPr="00373E79">
              <w:rPr>
                <w:rFonts w:cstheme="minorHAnsi"/>
              </w:rPr>
              <w:t>49</w:t>
            </w:r>
          </w:p>
        </w:tc>
      </w:tr>
      <w:tr w:rsidR="0085155D" w14:paraId="7185F0B0" w14:textId="77777777" w:rsidTr="00232927">
        <w:trPr>
          <w:trHeight w:val="314"/>
        </w:trPr>
        <w:tc>
          <w:tcPr>
            <w:tcW w:w="1266" w:type="dxa"/>
            <w:tcBorders>
              <w:left w:val="single" w:sz="8" w:space="0" w:color="D2232A"/>
              <w:bottom w:val="nil"/>
              <w:right w:val="single" w:sz="8" w:space="0" w:color="D2232A"/>
            </w:tcBorders>
            <w:vAlign w:val="center"/>
          </w:tcPr>
          <w:p w14:paraId="238678AB" w14:textId="44EA1E63" w:rsidR="0085155D" w:rsidRPr="00373E79" w:rsidRDefault="0085155D" w:rsidP="00373E79">
            <w:pPr>
              <w:spacing w:after="0" w:line="240" w:lineRule="exact"/>
              <w:jc w:val="center"/>
              <w:rPr>
                <w:rFonts w:cstheme="minorHAnsi"/>
              </w:rPr>
            </w:pPr>
            <w:r>
              <w:rPr>
                <w:rFonts w:cstheme="minorHAnsi"/>
              </w:rPr>
              <w:t>2019.</w:t>
            </w:r>
          </w:p>
        </w:tc>
        <w:tc>
          <w:tcPr>
            <w:tcW w:w="3412" w:type="dxa"/>
            <w:tcBorders>
              <w:left w:val="single" w:sz="8" w:space="0" w:color="D2232A"/>
              <w:bottom w:val="nil"/>
              <w:right w:val="single" w:sz="8" w:space="0" w:color="D2232A"/>
            </w:tcBorders>
            <w:vAlign w:val="center"/>
          </w:tcPr>
          <w:p w14:paraId="78CFF44A" w14:textId="26007EB5" w:rsidR="0085155D" w:rsidRPr="00373E79" w:rsidRDefault="0085155D" w:rsidP="00373E79">
            <w:pPr>
              <w:spacing w:after="0"/>
              <w:jc w:val="right"/>
              <w:rPr>
                <w:rFonts w:cstheme="minorHAnsi"/>
              </w:rPr>
            </w:pPr>
            <w:r>
              <w:rPr>
                <w:rFonts w:cstheme="minorHAnsi"/>
              </w:rPr>
              <w:t>1268</w:t>
            </w:r>
          </w:p>
        </w:tc>
        <w:tc>
          <w:tcPr>
            <w:tcW w:w="4536" w:type="dxa"/>
            <w:tcBorders>
              <w:left w:val="single" w:sz="8" w:space="0" w:color="D2232A"/>
              <w:bottom w:val="nil"/>
              <w:right w:val="single" w:sz="8" w:space="0" w:color="D2232A"/>
            </w:tcBorders>
            <w:vAlign w:val="center"/>
          </w:tcPr>
          <w:p w14:paraId="5CDBA641" w14:textId="1C55C3E9" w:rsidR="0085155D" w:rsidRPr="00373E79" w:rsidRDefault="0085155D" w:rsidP="00373E79">
            <w:pPr>
              <w:spacing w:after="0"/>
              <w:jc w:val="right"/>
              <w:rPr>
                <w:rFonts w:cstheme="minorHAnsi"/>
              </w:rPr>
            </w:pPr>
            <w:r>
              <w:rPr>
                <w:rFonts w:cstheme="minorHAnsi"/>
              </w:rPr>
              <w:t>70</w:t>
            </w:r>
          </w:p>
        </w:tc>
      </w:tr>
    </w:tbl>
    <w:p w14:paraId="5458C7E5" w14:textId="76164692" w:rsidR="008878A0" w:rsidRPr="00BD6B22" w:rsidRDefault="008878A0" w:rsidP="003C2276">
      <w:pPr>
        <w:pStyle w:val="Izvor"/>
        <w:rPr>
          <w:i/>
          <w:color w:val="ABABAB" w:themeColor="text1" w:themeTint="A6"/>
          <w:sz w:val="16"/>
          <w:szCs w:val="16"/>
        </w:rPr>
      </w:pPr>
      <w:r w:rsidRPr="00BD6B22">
        <w:rPr>
          <w:i/>
          <w:color w:val="ABABAB" w:themeColor="text1" w:themeTint="A6"/>
          <w:sz w:val="16"/>
          <w:szCs w:val="16"/>
        </w:rPr>
        <w:t>Izvor: Hrvatska poljoprivredna agencija, Godišnja izvješća 2010.-2018., obrada autora</w:t>
      </w:r>
    </w:p>
    <w:p w14:paraId="4F9E49EC" w14:textId="0BBC2FAE" w:rsidR="0085155D" w:rsidRDefault="0085155D" w:rsidP="003C2276">
      <w:pPr>
        <w:pStyle w:val="Izvor"/>
      </w:pPr>
    </w:p>
    <w:p w14:paraId="4D7DD4E4" w14:textId="58334772" w:rsidR="00C6365B" w:rsidRDefault="00C6365B" w:rsidP="00232927">
      <w:pPr>
        <w:pStyle w:val="Opisslike"/>
      </w:pPr>
      <w:r w:rsidRPr="00BD6B22">
        <w:t xml:space="preserve">Tablica </w:t>
      </w:r>
      <w:r w:rsidR="00BD6B22" w:rsidRPr="00BD6B22">
        <w:t>1</w:t>
      </w:r>
      <w:r w:rsidR="00741E4F">
        <w:t>72</w:t>
      </w:r>
      <w:r w:rsidRPr="00BD6B22">
        <w:t xml:space="preserve">. </w:t>
      </w:r>
      <w:r w:rsidRPr="00C6365B">
        <w:t>Broj novo izvaljenih purića upisanih u JRDŽ, 2017.</w:t>
      </w:r>
      <w:r w:rsidR="00A641C0">
        <w:t xml:space="preserve"> </w:t>
      </w:r>
      <w:r w:rsidRPr="00C6365B">
        <w:t>-</w:t>
      </w:r>
      <w:r w:rsidR="00A641C0">
        <w:t xml:space="preserve"> </w:t>
      </w:r>
      <w:r w:rsidRPr="00C6365B">
        <w:t>2019.</w:t>
      </w:r>
    </w:p>
    <w:tbl>
      <w:tblPr>
        <w:tblW w:w="9214" w:type="dxa"/>
        <w:tblInd w:w="-10" w:type="dxa"/>
        <w:tblLook w:val="04A0" w:firstRow="1" w:lastRow="0" w:firstColumn="1" w:lastColumn="0" w:noHBand="0" w:noVBand="1"/>
      </w:tblPr>
      <w:tblGrid>
        <w:gridCol w:w="1985"/>
        <w:gridCol w:w="2126"/>
        <w:gridCol w:w="2268"/>
        <w:gridCol w:w="2835"/>
      </w:tblGrid>
      <w:tr w:rsidR="0085155D" w:rsidRPr="0085155D" w14:paraId="7B449E43" w14:textId="77777777" w:rsidTr="00232927">
        <w:trPr>
          <w:trHeight w:val="300"/>
        </w:trPr>
        <w:tc>
          <w:tcPr>
            <w:tcW w:w="1985" w:type="dxa"/>
            <w:tcBorders>
              <w:top w:val="nil"/>
              <w:left w:val="single" w:sz="8" w:space="0" w:color="D2232A"/>
              <w:bottom w:val="single" w:sz="8" w:space="0" w:color="F3CFC1"/>
              <w:right w:val="single" w:sz="8" w:space="0" w:color="FFFFFF"/>
            </w:tcBorders>
            <w:shd w:val="clear" w:color="000000" w:fill="D2232A"/>
            <w:vAlign w:val="center"/>
            <w:hideMark/>
          </w:tcPr>
          <w:p w14:paraId="5769BE95" w14:textId="77777777" w:rsidR="0085155D" w:rsidRPr="0085155D" w:rsidRDefault="0085155D" w:rsidP="0085155D">
            <w:pPr>
              <w:spacing w:after="0" w:line="240" w:lineRule="auto"/>
              <w:jc w:val="left"/>
              <w:rPr>
                <w:rFonts w:eastAsia="Times New Roman" w:cs="Calibri"/>
                <w:color w:val="FFFFFF"/>
                <w:szCs w:val="18"/>
                <w:lang w:eastAsia="hr-HR"/>
              </w:rPr>
            </w:pPr>
            <w:r w:rsidRPr="0085155D">
              <w:rPr>
                <w:rFonts w:eastAsia="Times New Roman" w:cs="Calibri"/>
                <w:color w:val="FFFFFF"/>
                <w:szCs w:val="18"/>
                <w:lang w:eastAsia="hr-HR"/>
              </w:rPr>
              <w:t>Godina</w:t>
            </w:r>
          </w:p>
        </w:tc>
        <w:tc>
          <w:tcPr>
            <w:tcW w:w="2126" w:type="dxa"/>
            <w:tcBorders>
              <w:top w:val="nil"/>
              <w:left w:val="single" w:sz="8" w:space="0" w:color="D2232A"/>
              <w:bottom w:val="single" w:sz="8" w:space="0" w:color="F3CFC1"/>
              <w:right w:val="single" w:sz="8" w:space="0" w:color="FFFFFF"/>
            </w:tcBorders>
            <w:shd w:val="clear" w:color="000000" w:fill="D2232A"/>
            <w:vAlign w:val="center"/>
            <w:hideMark/>
          </w:tcPr>
          <w:p w14:paraId="0EC13F5C" w14:textId="77777777" w:rsidR="0085155D" w:rsidRPr="0085155D" w:rsidRDefault="0085155D" w:rsidP="0085155D">
            <w:pPr>
              <w:spacing w:after="0" w:line="240" w:lineRule="auto"/>
              <w:jc w:val="center"/>
              <w:rPr>
                <w:rFonts w:eastAsia="Times New Roman" w:cs="Calibri"/>
                <w:color w:val="FFFFFF"/>
                <w:szCs w:val="18"/>
                <w:lang w:eastAsia="hr-HR"/>
              </w:rPr>
            </w:pPr>
            <w:r w:rsidRPr="0085155D">
              <w:rPr>
                <w:rFonts w:eastAsia="Times New Roman" w:cs="Calibri"/>
                <w:color w:val="FFFFFF"/>
                <w:szCs w:val="18"/>
                <w:lang w:eastAsia="hr-HR"/>
              </w:rPr>
              <w:t>2017.</w:t>
            </w:r>
          </w:p>
        </w:tc>
        <w:tc>
          <w:tcPr>
            <w:tcW w:w="2268" w:type="dxa"/>
            <w:tcBorders>
              <w:top w:val="nil"/>
              <w:left w:val="single" w:sz="8" w:space="0" w:color="D2232A"/>
              <w:bottom w:val="single" w:sz="8" w:space="0" w:color="F3CFC1"/>
              <w:right w:val="single" w:sz="8" w:space="0" w:color="FFFFFF"/>
            </w:tcBorders>
            <w:shd w:val="clear" w:color="000000" w:fill="D2232A"/>
            <w:vAlign w:val="center"/>
            <w:hideMark/>
          </w:tcPr>
          <w:p w14:paraId="26A86F1C" w14:textId="77777777" w:rsidR="0085155D" w:rsidRPr="0085155D" w:rsidRDefault="0085155D" w:rsidP="0085155D">
            <w:pPr>
              <w:spacing w:after="0" w:line="240" w:lineRule="auto"/>
              <w:jc w:val="center"/>
              <w:rPr>
                <w:rFonts w:eastAsia="Times New Roman" w:cs="Calibri"/>
                <w:color w:val="FFFFFF"/>
                <w:szCs w:val="18"/>
                <w:lang w:eastAsia="hr-HR"/>
              </w:rPr>
            </w:pPr>
            <w:r w:rsidRPr="0085155D">
              <w:rPr>
                <w:rFonts w:eastAsia="Times New Roman" w:cs="Calibri"/>
                <w:color w:val="FFFFFF"/>
                <w:szCs w:val="18"/>
                <w:lang w:eastAsia="hr-HR"/>
              </w:rPr>
              <w:t>2018.</w:t>
            </w:r>
          </w:p>
        </w:tc>
        <w:tc>
          <w:tcPr>
            <w:tcW w:w="2835" w:type="dxa"/>
            <w:tcBorders>
              <w:top w:val="nil"/>
              <w:left w:val="single" w:sz="8" w:space="0" w:color="D2232A"/>
              <w:bottom w:val="single" w:sz="8" w:space="0" w:color="F3CFC1"/>
              <w:right w:val="single" w:sz="8" w:space="0" w:color="FFFFFF"/>
            </w:tcBorders>
            <w:shd w:val="clear" w:color="000000" w:fill="D2232A"/>
            <w:vAlign w:val="center"/>
            <w:hideMark/>
          </w:tcPr>
          <w:p w14:paraId="26BB51FA" w14:textId="77777777" w:rsidR="0085155D" w:rsidRPr="0085155D" w:rsidRDefault="0085155D" w:rsidP="0085155D">
            <w:pPr>
              <w:spacing w:after="0" w:line="240" w:lineRule="auto"/>
              <w:jc w:val="center"/>
              <w:rPr>
                <w:rFonts w:eastAsia="Times New Roman" w:cs="Calibri"/>
                <w:color w:val="FFFFFF"/>
                <w:szCs w:val="18"/>
                <w:lang w:eastAsia="hr-HR"/>
              </w:rPr>
            </w:pPr>
            <w:r w:rsidRPr="0085155D">
              <w:rPr>
                <w:rFonts w:eastAsia="Times New Roman" w:cs="Calibri"/>
                <w:color w:val="FFFFFF"/>
                <w:szCs w:val="18"/>
                <w:lang w:eastAsia="hr-HR"/>
              </w:rPr>
              <w:t>2019.</w:t>
            </w:r>
          </w:p>
        </w:tc>
      </w:tr>
      <w:tr w:rsidR="0085155D" w:rsidRPr="0085155D" w14:paraId="4D1274DE" w14:textId="77777777" w:rsidTr="00232927">
        <w:trPr>
          <w:trHeight w:val="601"/>
        </w:trPr>
        <w:tc>
          <w:tcPr>
            <w:tcW w:w="1985" w:type="dxa"/>
            <w:tcBorders>
              <w:top w:val="single" w:sz="4" w:space="0" w:color="auto"/>
              <w:left w:val="nil"/>
              <w:bottom w:val="nil"/>
              <w:right w:val="single" w:sz="4" w:space="0" w:color="auto"/>
            </w:tcBorders>
            <w:shd w:val="clear" w:color="000000" w:fill="D2232A"/>
            <w:vAlign w:val="center"/>
            <w:hideMark/>
          </w:tcPr>
          <w:p w14:paraId="12786442" w14:textId="77777777" w:rsidR="0085155D" w:rsidRPr="0085155D" w:rsidRDefault="0085155D" w:rsidP="0085155D">
            <w:pPr>
              <w:spacing w:after="0" w:line="240" w:lineRule="auto"/>
              <w:jc w:val="left"/>
              <w:rPr>
                <w:rFonts w:eastAsia="Times New Roman" w:cs="Calibri"/>
                <w:color w:val="FFFFFF"/>
                <w:szCs w:val="18"/>
                <w:lang w:eastAsia="hr-HR"/>
              </w:rPr>
            </w:pPr>
            <w:r w:rsidRPr="0085155D">
              <w:rPr>
                <w:rFonts w:eastAsia="Times New Roman" w:cs="Calibri"/>
                <w:color w:val="FFFFFF"/>
                <w:szCs w:val="18"/>
                <w:lang w:eastAsia="hr-HR"/>
              </w:rPr>
              <w:t>Broj novo izvaljenih purića upisanih u JRDŽ</w:t>
            </w:r>
          </w:p>
        </w:tc>
        <w:tc>
          <w:tcPr>
            <w:tcW w:w="2126" w:type="dxa"/>
            <w:tcBorders>
              <w:top w:val="nil"/>
              <w:left w:val="single" w:sz="8" w:space="0" w:color="D2232A"/>
              <w:bottom w:val="single" w:sz="8" w:space="0" w:color="F3CFC1"/>
              <w:right w:val="single" w:sz="8" w:space="0" w:color="D2232A"/>
            </w:tcBorders>
            <w:shd w:val="clear" w:color="auto" w:fill="auto"/>
            <w:vAlign w:val="center"/>
            <w:hideMark/>
          </w:tcPr>
          <w:p w14:paraId="2FAAEB74" w14:textId="5DB1F94F" w:rsidR="0085155D" w:rsidRPr="0085155D" w:rsidRDefault="0085155D" w:rsidP="0085155D">
            <w:pPr>
              <w:spacing w:after="0" w:line="240" w:lineRule="auto"/>
              <w:jc w:val="center"/>
              <w:rPr>
                <w:rFonts w:eastAsia="Times New Roman" w:cs="Calibri"/>
                <w:color w:val="3F3F3F"/>
                <w:szCs w:val="18"/>
                <w:lang w:eastAsia="hr-HR"/>
              </w:rPr>
            </w:pPr>
            <w:r w:rsidRPr="0085155D">
              <w:rPr>
                <w:rFonts w:eastAsia="Times New Roman" w:cs="Calibri"/>
                <w:color w:val="3F3F3F"/>
                <w:szCs w:val="18"/>
                <w:lang w:eastAsia="hr-HR"/>
              </w:rPr>
              <w:t>4</w:t>
            </w:r>
            <w:r w:rsidR="00232927">
              <w:rPr>
                <w:rFonts w:eastAsia="Times New Roman" w:cs="Calibri"/>
                <w:color w:val="3F3F3F"/>
                <w:szCs w:val="18"/>
                <w:lang w:eastAsia="hr-HR"/>
              </w:rPr>
              <w:t>.</w:t>
            </w:r>
            <w:r w:rsidRPr="0085155D">
              <w:rPr>
                <w:rFonts w:eastAsia="Times New Roman" w:cs="Calibri"/>
                <w:color w:val="3F3F3F"/>
                <w:szCs w:val="18"/>
                <w:lang w:eastAsia="hr-HR"/>
              </w:rPr>
              <w:t>100</w:t>
            </w:r>
          </w:p>
        </w:tc>
        <w:tc>
          <w:tcPr>
            <w:tcW w:w="2268" w:type="dxa"/>
            <w:tcBorders>
              <w:top w:val="nil"/>
              <w:left w:val="nil"/>
              <w:bottom w:val="single" w:sz="8" w:space="0" w:color="F3CFC1"/>
              <w:right w:val="single" w:sz="8" w:space="0" w:color="D2232A"/>
            </w:tcBorders>
            <w:shd w:val="clear" w:color="auto" w:fill="auto"/>
            <w:vAlign w:val="center"/>
            <w:hideMark/>
          </w:tcPr>
          <w:p w14:paraId="4B1792D0" w14:textId="0FB6308E" w:rsidR="0085155D" w:rsidRPr="0085155D" w:rsidRDefault="0085155D" w:rsidP="0085155D">
            <w:pPr>
              <w:spacing w:after="0" w:line="240" w:lineRule="auto"/>
              <w:jc w:val="center"/>
              <w:rPr>
                <w:rFonts w:eastAsia="Times New Roman" w:cs="Calibri"/>
                <w:color w:val="3F3F3F"/>
                <w:szCs w:val="18"/>
                <w:lang w:eastAsia="hr-HR"/>
              </w:rPr>
            </w:pPr>
            <w:r w:rsidRPr="0085155D">
              <w:rPr>
                <w:rFonts w:eastAsia="Times New Roman" w:cs="Calibri"/>
                <w:color w:val="3F3F3F"/>
                <w:szCs w:val="18"/>
                <w:lang w:eastAsia="hr-HR"/>
              </w:rPr>
              <w:t>6</w:t>
            </w:r>
            <w:r w:rsidR="00232927">
              <w:rPr>
                <w:rFonts w:eastAsia="Times New Roman" w:cs="Calibri"/>
                <w:color w:val="3F3F3F"/>
                <w:szCs w:val="18"/>
                <w:lang w:eastAsia="hr-HR"/>
              </w:rPr>
              <w:t>.</w:t>
            </w:r>
            <w:r w:rsidRPr="0085155D">
              <w:rPr>
                <w:rFonts w:eastAsia="Times New Roman" w:cs="Calibri"/>
                <w:color w:val="3F3F3F"/>
                <w:szCs w:val="18"/>
                <w:lang w:eastAsia="hr-HR"/>
              </w:rPr>
              <w:t>635</w:t>
            </w:r>
          </w:p>
        </w:tc>
        <w:tc>
          <w:tcPr>
            <w:tcW w:w="2835" w:type="dxa"/>
            <w:tcBorders>
              <w:top w:val="nil"/>
              <w:left w:val="nil"/>
              <w:bottom w:val="single" w:sz="8" w:space="0" w:color="F3CFC1"/>
              <w:right w:val="single" w:sz="8" w:space="0" w:color="D2232A"/>
            </w:tcBorders>
            <w:shd w:val="clear" w:color="auto" w:fill="auto"/>
            <w:vAlign w:val="center"/>
            <w:hideMark/>
          </w:tcPr>
          <w:p w14:paraId="62680EF3" w14:textId="5B717DCB" w:rsidR="0085155D" w:rsidRPr="0085155D" w:rsidRDefault="0085155D" w:rsidP="0085155D">
            <w:pPr>
              <w:spacing w:after="0" w:line="240" w:lineRule="auto"/>
              <w:jc w:val="center"/>
              <w:rPr>
                <w:rFonts w:eastAsia="Times New Roman" w:cs="Calibri"/>
                <w:color w:val="3F3F3F"/>
                <w:szCs w:val="18"/>
                <w:lang w:eastAsia="hr-HR"/>
              </w:rPr>
            </w:pPr>
            <w:r w:rsidRPr="0085155D">
              <w:rPr>
                <w:rFonts w:eastAsia="Times New Roman" w:cs="Calibri"/>
                <w:color w:val="3F3F3F"/>
                <w:szCs w:val="18"/>
                <w:lang w:eastAsia="hr-HR"/>
              </w:rPr>
              <w:t>7</w:t>
            </w:r>
            <w:r w:rsidR="00232927">
              <w:rPr>
                <w:rFonts w:eastAsia="Times New Roman" w:cs="Calibri"/>
                <w:color w:val="3F3F3F"/>
                <w:szCs w:val="18"/>
                <w:lang w:eastAsia="hr-HR"/>
              </w:rPr>
              <w:t>.</w:t>
            </w:r>
            <w:r w:rsidRPr="0085155D">
              <w:rPr>
                <w:rFonts w:eastAsia="Times New Roman" w:cs="Calibri"/>
                <w:color w:val="3F3F3F"/>
                <w:szCs w:val="18"/>
                <w:lang w:eastAsia="hr-HR"/>
              </w:rPr>
              <w:t>720</w:t>
            </w:r>
          </w:p>
        </w:tc>
      </w:tr>
    </w:tbl>
    <w:p w14:paraId="1DD94D00" w14:textId="1A23352A" w:rsidR="0085155D" w:rsidRPr="00BD6B22" w:rsidRDefault="00C6365B" w:rsidP="003C2276">
      <w:pPr>
        <w:pStyle w:val="Izvor"/>
        <w:rPr>
          <w:i/>
          <w:color w:val="ABABAB" w:themeColor="text1" w:themeTint="A6"/>
          <w:sz w:val="16"/>
          <w:szCs w:val="16"/>
        </w:rPr>
      </w:pPr>
      <w:r w:rsidRPr="00BD6B22">
        <w:rPr>
          <w:i/>
          <w:color w:val="ABABAB" w:themeColor="text1" w:themeTint="A6"/>
          <w:sz w:val="16"/>
          <w:szCs w:val="16"/>
        </w:rPr>
        <w:t>Izvor: JRDŽ; HAPIH, obrada: Krapinsko-zagorska županija</w:t>
      </w:r>
    </w:p>
    <w:p w14:paraId="23A1C087" w14:textId="77777777" w:rsidR="0085155D" w:rsidRDefault="0085155D" w:rsidP="003C2276">
      <w:pPr>
        <w:pStyle w:val="Izvor"/>
        <w:rPr>
          <w:rFonts w:asciiTheme="minorHAnsi" w:hAnsiTheme="minorHAnsi"/>
        </w:rPr>
      </w:pPr>
    </w:p>
    <w:p w14:paraId="6CF97B0C" w14:textId="4248D740" w:rsidR="008878A0" w:rsidRDefault="008878A0" w:rsidP="00941871">
      <w:pPr>
        <w:rPr>
          <w:rFonts w:cstheme="minorHAnsi"/>
        </w:rPr>
      </w:pPr>
      <w:r>
        <w:rPr>
          <w:rFonts w:cstheme="minorHAnsi"/>
        </w:rPr>
        <w:t xml:space="preserve">Usprkos tradiciji i značajnom potencijalu dodatno ojačanom zaštitom oznakom zemljopisne izvornosti, nakon početnog pozitivnog trenda prisutan je dugogodišnji značajni trend opadanja broja </w:t>
      </w:r>
      <w:r w:rsidR="00492735">
        <w:rPr>
          <w:rFonts w:cstheme="minorHAnsi"/>
        </w:rPr>
        <w:t xml:space="preserve">umatičenih </w:t>
      </w:r>
      <w:r>
        <w:rPr>
          <w:rFonts w:cstheme="minorHAnsi"/>
        </w:rPr>
        <w:t>purana i</w:t>
      </w:r>
      <w:r w:rsidR="004475BA">
        <w:rPr>
          <w:rFonts w:cstheme="minorHAnsi"/>
        </w:rPr>
        <w:t xml:space="preserve"> nešto manje</w:t>
      </w:r>
      <w:r>
        <w:rPr>
          <w:rFonts w:cstheme="minorHAnsi"/>
        </w:rPr>
        <w:t xml:space="preserve"> broja uzgajivača, vidljiv iz podataka o uzgojno-selekcijskom odabiru. No, prema posljednjim dostupnim podacima </w:t>
      </w:r>
      <w:r w:rsidR="00A641C0">
        <w:rPr>
          <w:rFonts w:cstheme="minorHAnsi"/>
        </w:rPr>
        <w:t>u</w:t>
      </w:r>
      <w:r>
        <w:rPr>
          <w:rFonts w:cstheme="minorHAnsi"/>
        </w:rPr>
        <w:t xml:space="preserve"> 2018. godini, prvi puta nakon šest godina došlo je do povećanja u broju purana kao i u broju uzgajivača.</w:t>
      </w:r>
      <w:r w:rsidR="008F4D69">
        <w:rPr>
          <w:rFonts w:cstheme="minorHAnsi"/>
        </w:rPr>
        <w:t xml:space="preserve"> </w:t>
      </w:r>
      <w:r>
        <w:rPr>
          <w:rFonts w:cstheme="minorHAnsi"/>
        </w:rPr>
        <w:t>Međutim</w:t>
      </w:r>
      <w:r w:rsidR="008F4D69">
        <w:rPr>
          <w:rFonts w:cstheme="minorHAnsi"/>
        </w:rPr>
        <w:t xml:space="preserve"> ovdje se radi </w:t>
      </w:r>
      <w:r>
        <w:rPr>
          <w:rFonts w:cstheme="minorHAnsi"/>
        </w:rPr>
        <w:t>samo o umatičenim kljunovima</w:t>
      </w:r>
      <w:r w:rsidR="008F4D69">
        <w:rPr>
          <w:rFonts w:cstheme="minorHAnsi"/>
        </w:rPr>
        <w:t>,</w:t>
      </w:r>
      <w:r w:rsidR="00925AD6">
        <w:rPr>
          <w:rFonts w:cstheme="minorHAnsi"/>
        </w:rPr>
        <w:t xml:space="preserve"> </w:t>
      </w:r>
      <w:r>
        <w:rPr>
          <w:rFonts w:cstheme="minorHAnsi"/>
        </w:rPr>
        <w:t xml:space="preserve">ukupni broj uzgajivača i purana na terenu zasigurno </w:t>
      </w:r>
      <w:r w:rsidR="00925AD6">
        <w:rPr>
          <w:rFonts w:cstheme="minorHAnsi"/>
        </w:rPr>
        <w:t xml:space="preserve">je </w:t>
      </w:r>
      <w:r>
        <w:rPr>
          <w:rFonts w:cstheme="minorHAnsi"/>
        </w:rPr>
        <w:t>veći.</w:t>
      </w:r>
      <w:r w:rsidR="00F11AA7">
        <w:rPr>
          <w:rFonts w:cstheme="minorHAnsi"/>
        </w:rPr>
        <w:t xml:space="preserve"> Trend povećanja nastavlja se i tijekom 2019. godine kao rezultat mjera razvoja poljoprivredne proizvodnje i dodjeljivanja potpora za povećanje broja uzgojenih kljunova zagorskog purana, poboljšanje uvjeta uzgoja zagorskog purana te kupnju opreme za opremanje objekata za klanje zagorskog purana na gospodarstvima podrijetla. Evidencija o broju matičnih kljunova zagorskog purana vodi se u JRDŽ, a korisnici potpora su obvezni prijavljivati novo izvaljene puriće.</w:t>
      </w:r>
    </w:p>
    <w:p w14:paraId="7F768F3C" w14:textId="77777777" w:rsidR="00741E4F" w:rsidRDefault="00741E4F" w:rsidP="00941871">
      <w:pPr>
        <w:rPr>
          <w:rFonts w:eastAsiaTheme="minorHAnsi" w:cstheme="minorHAnsi"/>
          <w:sz w:val="22"/>
          <w:szCs w:val="22"/>
        </w:rPr>
      </w:pPr>
    </w:p>
    <w:p w14:paraId="25D9AAD8" w14:textId="7B29F824" w:rsidR="008878A0" w:rsidRDefault="003952B9" w:rsidP="0052192B">
      <w:pPr>
        <w:pStyle w:val="Naslov2"/>
      </w:pPr>
      <w:bookmarkStart w:id="208" w:name="_Toc85181361"/>
      <w:r>
        <w:lastRenderedPageBreak/>
        <w:t>1</w:t>
      </w:r>
      <w:r w:rsidR="00B601EE">
        <w:t>2</w:t>
      </w:r>
      <w:r w:rsidR="008878A0">
        <w:t>.</w:t>
      </w:r>
      <w:r w:rsidR="00CF50C7">
        <w:t>6</w:t>
      </w:r>
      <w:r w:rsidR="008878A0">
        <w:t>. Pčelarstvo</w:t>
      </w:r>
      <w:bookmarkEnd w:id="208"/>
      <w:r w:rsidR="008878A0">
        <w:t xml:space="preserve"> </w:t>
      </w:r>
    </w:p>
    <w:p w14:paraId="2A7BED59" w14:textId="43F8753D" w:rsidR="008878A0" w:rsidRDefault="008878A0" w:rsidP="00941871">
      <w:pPr>
        <w:rPr>
          <w:rFonts w:cstheme="minorHAnsi"/>
        </w:rPr>
      </w:pPr>
      <w:r>
        <w:rPr>
          <w:rFonts w:cstheme="minorHAnsi"/>
          <w:shd w:val="clear" w:color="auto" w:fill="FFFFFF"/>
        </w:rPr>
        <w:br/>
        <w:t xml:space="preserve">Razvijenost </w:t>
      </w:r>
      <w:r>
        <w:rPr>
          <w:rFonts w:cstheme="minorHAnsi"/>
        </w:rPr>
        <w:t>pčelarstva</w:t>
      </w:r>
      <w:r>
        <w:rPr>
          <w:rFonts w:cstheme="minorHAnsi"/>
          <w:shd w:val="clear" w:color="auto" w:fill="FFFFFF"/>
        </w:rPr>
        <w:t xml:space="preserve"> na području Krapinsko-zagorske županije uvjetovana je dobrim klimatskim uvjetima te medonosnim biljkama u kojima prednjači bagrem (bagremova paša). </w:t>
      </w:r>
      <w:r>
        <w:rPr>
          <w:rFonts w:cstheme="minorHAnsi"/>
        </w:rPr>
        <w:t xml:space="preserve">Na području </w:t>
      </w:r>
      <w:r w:rsidR="004A16FB">
        <w:rPr>
          <w:rFonts w:cstheme="minorHAnsi"/>
        </w:rPr>
        <w:t>Ž</w:t>
      </w:r>
      <w:r>
        <w:rPr>
          <w:rFonts w:cstheme="minorHAnsi"/>
        </w:rPr>
        <w:t xml:space="preserve">upanije djeluje </w:t>
      </w:r>
      <w:r w:rsidR="004A16FB">
        <w:rPr>
          <w:rFonts w:cstheme="minorHAnsi"/>
        </w:rPr>
        <w:t xml:space="preserve">9 pčelarskih udruga i </w:t>
      </w:r>
      <w:r>
        <w:rPr>
          <w:rFonts w:cstheme="minorHAnsi"/>
        </w:rPr>
        <w:t xml:space="preserve">Savez pčelarskih udruga </w:t>
      </w:r>
      <w:r w:rsidR="004A16FB">
        <w:rPr>
          <w:rFonts w:cstheme="minorHAnsi"/>
        </w:rPr>
        <w:t>Krapinsko-zagorske županije</w:t>
      </w:r>
      <w:r>
        <w:rPr>
          <w:rFonts w:cstheme="minorHAnsi"/>
        </w:rPr>
        <w:t>.</w:t>
      </w:r>
      <w:r w:rsidR="004A16FB">
        <w:rPr>
          <w:rFonts w:cstheme="minorHAnsi"/>
        </w:rPr>
        <w:t xml:space="preserve"> Pčelarenjem se bavi oko 450 pčelara, a njih 380 upisano je u Evidenciju pčelara i pčelinjaka. </w:t>
      </w:r>
      <w:r>
        <w:rPr>
          <w:rFonts w:cstheme="minorHAnsi"/>
        </w:rPr>
        <w:t xml:space="preserve"> U Upisnik registriranih objekata u poslovanju s hranom životinjskog podrijetla upisano je 73 </w:t>
      </w:r>
      <w:r w:rsidR="004232B0">
        <w:rPr>
          <w:rFonts w:cstheme="minorHAnsi"/>
        </w:rPr>
        <w:t>član</w:t>
      </w:r>
      <w:r w:rsidR="00E11D14">
        <w:rPr>
          <w:rFonts w:cstheme="minorHAnsi"/>
        </w:rPr>
        <w:t>ova</w:t>
      </w:r>
      <w:r>
        <w:rPr>
          <w:rFonts w:cstheme="minorHAnsi"/>
        </w:rPr>
        <w:t>. Prema evidenciji Saveza, članovi imaju ukupno 17.3</w:t>
      </w:r>
      <w:r w:rsidR="004A16FB">
        <w:rPr>
          <w:rFonts w:cstheme="minorHAnsi"/>
        </w:rPr>
        <w:t>83</w:t>
      </w:r>
      <w:r>
        <w:rPr>
          <w:rFonts w:cstheme="minorHAnsi"/>
        </w:rPr>
        <w:t xml:space="preserve"> košnic</w:t>
      </w:r>
      <w:r w:rsidR="004A16FB">
        <w:rPr>
          <w:rFonts w:cstheme="minorHAnsi"/>
        </w:rPr>
        <w:t>e, a proizvodnja meda po košnici ovisi o godini i kreće se od 10kg do čak 50kg</w:t>
      </w:r>
      <w:r w:rsidR="00A97C4F">
        <w:rPr>
          <w:rFonts w:cstheme="minorHAnsi"/>
        </w:rPr>
        <w:t>/košnici (ovisno o medenju medonosnog bilja i vremenskim uvjetima).</w:t>
      </w:r>
    </w:p>
    <w:p w14:paraId="6F4D30BE" w14:textId="433BFFF6" w:rsidR="008878A0" w:rsidRDefault="008878A0" w:rsidP="00941871">
      <w:pPr>
        <w:rPr>
          <w:rFonts w:eastAsia="Arial Narrow" w:cstheme="minorHAnsi"/>
        </w:rPr>
      </w:pPr>
      <w:r>
        <w:rPr>
          <w:rFonts w:cstheme="minorHAnsi"/>
        </w:rPr>
        <w:t>Višegodišnj</w:t>
      </w:r>
      <w:r w:rsidR="004232B0">
        <w:rPr>
          <w:rFonts w:cstheme="minorHAnsi"/>
        </w:rPr>
        <w:t>i</w:t>
      </w:r>
      <w:r>
        <w:rPr>
          <w:rFonts w:cstheme="minorHAnsi"/>
        </w:rPr>
        <w:t>m praćenjem botaničkog podrijetla i kvalitete bagremovog meda uoč</w:t>
      </w:r>
      <w:r w:rsidR="00925AD6">
        <w:rPr>
          <w:rFonts w:cstheme="minorHAnsi"/>
        </w:rPr>
        <w:t xml:space="preserve">ena je </w:t>
      </w:r>
      <w:r>
        <w:rPr>
          <w:rFonts w:cstheme="minorHAnsi"/>
        </w:rPr>
        <w:t>mogućnost njegove zaštite kao i kreiranja županijske robne marke. S ciljem isticanja i izdvajanja izvrsnosti meda, kao i marketinške promocije</w:t>
      </w:r>
      <w:r w:rsidR="00A641C0">
        <w:rPr>
          <w:rFonts w:cstheme="minorHAnsi"/>
        </w:rPr>
        <w:t>,</w:t>
      </w:r>
      <w:r>
        <w:rPr>
          <w:rFonts w:cstheme="minorHAnsi"/>
        </w:rPr>
        <w:t xml:space="preserve"> Krapinsko-zagorska županija je 2005. godine u suradnji s Agronomskim fakultetom u Zagrebu pokrenula projekt „Bagrem med zagorskih brega“. </w:t>
      </w:r>
      <w:r>
        <w:rPr>
          <w:rFonts w:eastAsia="Arial Narrow" w:cstheme="minorHAnsi"/>
        </w:rPr>
        <w:t>U</w:t>
      </w:r>
      <w:r>
        <w:rPr>
          <w:rFonts w:eastAsia="Arial Narrow" w:cstheme="minorHAnsi"/>
          <w:spacing w:val="1"/>
        </w:rPr>
        <w:t xml:space="preserve"> </w:t>
      </w:r>
      <w:r>
        <w:rPr>
          <w:rFonts w:eastAsia="Arial Narrow" w:cstheme="minorHAnsi"/>
        </w:rPr>
        <w:t>2012.</w:t>
      </w:r>
      <w:r>
        <w:rPr>
          <w:rFonts w:eastAsia="Arial Narrow" w:cstheme="minorHAnsi"/>
          <w:spacing w:val="2"/>
        </w:rPr>
        <w:t xml:space="preserve"> </w:t>
      </w:r>
      <w:r>
        <w:rPr>
          <w:rFonts w:eastAsia="Arial Narrow" w:cstheme="minorHAnsi"/>
        </w:rPr>
        <w:t>god</w:t>
      </w:r>
      <w:r>
        <w:rPr>
          <w:rFonts w:eastAsia="Arial Narrow" w:cstheme="minorHAnsi"/>
          <w:spacing w:val="1"/>
        </w:rPr>
        <w:t>i</w:t>
      </w:r>
      <w:r>
        <w:rPr>
          <w:rFonts w:eastAsia="Arial Narrow" w:cstheme="minorHAnsi"/>
          <w:spacing w:val="-2"/>
        </w:rPr>
        <w:t>n</w:t>
      </w:r>
      <w:r>
        <w:rPr>
          <w:rFonts w:eastAsia="Arial Narrow" w:cstheme="minorHAnsi"/>
        </w:rPr>
        <w:t>i</w:t>
      </w:r>
      <w:r>
        <w:rPr>
          <w:rFonts w:eastAsia="Arial Narrow" w:cstheme="minorHAnsi"/>
          <w:spacing w:val="3"/>
        </w:rPr>
        <w:t xml:space="preserve"> </w:t>
      </w:r>
      <w:r>
        <w:rPr>
          <w:rFonts w:eastAsia="Arial Narrow" w:cstheme="minorHAnsi"/>
        </w:rPr>
        <w:t>do</w:t>
      </w:r>
      <w:r>
        <w:rPr>
          <w:rFonts w:eastAsia="Arial Narrow" w:cstheme="minorHAnsi"/>
          <w:spacing w:val="-2"/>
        </w:rPr>
        <w:t>b</w:t>
      </w:r>
      <w:r>
        <w:rPr>
          <w:rFonts w:eastAsia="Arial Narrow" w:cstheme="minorHAnsi"/>
          <w:spacing w:val="1"/>
        </w:rPr>
        <w:t>iv</w:t>
      </w:r>
      <w:r>
        <w:rPr>
          <w:rFonts w:eastAsia="Arial Narrow" w:cstheme="minorHAnsi"/>
        </w:rPr>
        <w:t>e</w:t>
      </w:r>
      <w:r>
        <w:rPr>
          <w:rFonts w:eastAsia="Arial Narrow" w:cstheme="minorHAnsi"/>
          <w:spacing w:val="-2"/>
        </w:rPr>
        <w:t>n</w:t>
      </w:r>
      <w:r>
        <w:rPr>
          <w:rFonts w:eastAsia="Arial Narrow" w:cstheme="minorHAnsi"/>
        </w:rPr>
        <w:t>o</w:t>
      </w:r>
      <w:r>
        <w:rPr>
          <w:rFonts w:eastAsia="Arial Narrow" w:cstheme="minorHAnsi"/>
          <w:spacing w:val="2"/>
        </w:rPr>
        <w:t xml:space="preserve"> </w:t>
      </w:r>
      <w:r>
        <w:rPr>
          <w:rFonts w:eastAsia="Arial Narrow" w:cstheme="minorHAnsi"/>
          <w:spacing w:val="1"/>
        </w:rPr>
        <w:t>j</w:t>
      </w:r>
      <w:r>
        <w:rPr>
          <w:rFonts w:eastAsia="Arial Narrow" w:cstheme="minorHAnsi"/>
        </w:rPr>
        <w:t>e</w:t>
      </w:r>
      <w:r>
        <w:rPr>
          <w:rFonts w:eastAsia="Arial Narrow" w:cstheme="minorHAnsi"/>
          <w:spacing w:val="2"/>
        </w:rPr>
        <w:t xml:space="preserve"> </w:t>
      </w:r>
      <w:r>
        <w:rPr>
          <w:rFonts w:eastAsia="Arial Narrow" w:cstheme="minorHAnsi"/>
          <w:spacing w:val="-1"/>
        </w:rPr>
        <w:t>R</w:t>
      </w:r>
      <w:r>
        <w:rPr>
          <w:rFonts w:eastAsia="Arial Narrow" w:cstheme="minorHAnsi"/>
          <w:spacing w:val="-2"/>
        </w:rPr>
        <w:t>j</w:t>
      </w:r>
      <w:r>
        <w:rPr>
          <w:rFonts w:eastAsia="Arial Narrow" w:cstheme="minorHAnsi"/>
        </w:rPr>
        <w:t>e</w:t>
      </w:r>
      <w:r>
        <w:rPr>
          <w:rFonts w:eastAsia="Arial Narrow" w:cstheme="minorHAnsi"/>
          <w:spacing w:val="1"/>
        </w:rPr>
        <w:t>š</w:t>
      </w:r>
      <w:r>
        <w:rPr>
          <w:rFonts w:eastAsia="Arial Narrow" w:cstheme="minorHAnsi"/>
        </w:rPr>
        <w:t>en</w:t>
      </w:r>
      <w:r>
        <w:rPr>
          <w:rFonts w:eastAsia="Arial Narrow" w:cstheme="minorHAnsi"/>
          <w:spacing w:val="1"/>
        </w:rPr>
        <w:t>j</w:t>
      </w:r>
      <w:r>
        <w:rPr>
          <w:rFonts w:eastAsia="Arial Narrow" w:cstheme="minorHAnsi"/>
        </w:rPr>
        <w:t xml:space="preserve">e </w:t>
      </w:r>
      <w:r>
        <w:rPr>
          <w:rFonts w:eastAsia="Arial Narrow" w:cstheme="minorHAnsi"/>
          <w:spacing w:val="1"/>
        </w:rPr>
        <w:t>z</w:t>
      </w:r>
      <w:r>
        <w:rPr>
          <w:rFonts w:eastAsia="Arial Narrow" w:cstheme="minorHAnsi"/>
        </w:rPr>
        <w:t>a</w:t>
      </w:r>
      <w:r>
        <w:rPr>
          <w:rFonts w:eastAsia="Arial Narrow" w:cstheme="minorHAnsi"/>
          <w:spacing w:val="2"/>
        </w:rPr>
        <w:t xml:space="preserve"> </w:t>
      </w:r>
      <w:r>
        <w:rPr>
          <w:rFonts w:eastAsia="Arial Narrow" w:cstheme="minorHAnsi"/>
        </w:rPr>
        <w:t>re</w:t>
      </w:r>
      <w:r>
        <w:rPr>
          <w:rFonts w:eastAsia="Arial Narrow" w:cstheme="minorHAnsi"/>
          <w:spacing w:val="-2"/>
        </w:rPr>
        <w:t>g</w:t>
      </w:r>
      <w:r>
        <w:rPr>
          <w:rFonts w:eastAsia="Arial Narrow" w:cstheme="minorHAnsi"/>
          <w:spacing w:val="1"/>
        </w:rPr>
        <w:t>is</w:t>
      </w:r>
      <w:r>
        <w:rPr>
          <w:rFonts w:eastAsia="Arial Narrow" w:cstheme="minorHAnsi"/>
        </w:rPr>
        <w:t>tr</w:t>
      </w:r>
      <w:r>
        <w:rPr>
          <w:rFonts w:eastAsia="Arial Narrow" w:cstheme="minorHAnsi"/>
          <w:spacing w:val="-2"/>
        </w:rPr>
        <w:t>a</w:t>
      </w:r>
      <w:r>
        <w:rPr>
          <w:rFonts w:eastAsia="Arial Narrow" w:cstheme="minorHAnsi"/>
          <w:spacing w:val="1"/>
        </w:rPr>
        <w:t>cij</w:t>
      </w:r>
      <w:r>
        <w:rPr>
          <w:rFonts w:eastAsia="Arial Narrow" w:cstheme="minorHAnsi"/>
        </w:rPr>
        <w:t xml:space="preserve">u </w:t>
      </w:r>
      <w:r>
        <w:rPr>
          <w:rFonts w:eastAsia="Arial Narrow" w:cstheme="minorHAnsi"/>
          <w:spacing w:val="1"/>
        </w:rPr>
        <w:t>ži</w:t>
      </w:r>
      <w:r>
        <w:rPr>
          <w:rFonts w:eastAsia="Arial Narrow" w:cstheme="minorHAnsi"/>
        </w:rPr>
        <w:t>ga</w:t>
      </w:r>
      <w:r>
        <w:rPr>
          <w:rFonts w:eastAsia="Arial Narrow" w:cstheme="minorHAnsi"/>
          <w:spacing w:val="2"/>
        </w:rPr>
        <w:t xml:space="preserve"> „</w:t>
      </w:r>
      <w:r>
        <w:rPr>
          <w:rFonts w:eastAsia="Arial Narrow" w:cstheme="minorHAnsi"/>
          <w:spacing w:val="-1"/>
        </w:rPr>
        <w:t>B</w:t>
      </w:r>
      <w:r>
        <w:rPr>
          <w:rFonts w:eastAsia="Arial Narrow" w:cstheme="minorHAnsi"/>
          <w:spacing w:val="-2"/>
        </w:rPr>
        <w:t>a</w:t>
      </w:r>
      <w:r>
        <w:rPr>
          <w:rFonts w:eastAsia="Arial Narrow" w:cstheme="minorHAnsi"/>
        </w:rPr>
        <w:t>grem</w:t>
      </w:r>
      <w:r>
        <w:rPr>
          <w:rFonts w:eastAsia="Arial Narrow" w:cstheme="minorHAnsi"/>
          <w:spacing w:val="3"/>
        </w:rPr>
        <w:t xml:space="preserve"> </w:t>
      </w:r>
      <w:r>
        <w:rPr>
          <w:rFonts w:eastAsia="Arial Narrow" w:cstheme="minorHAnsi"/>
        </w:rPr>
        <w:t xml:space="preserve">med </w:t>
      </w:r>
      <w:r>
        <w:rPr>
          <w:rFonts w:eastAsia="Arial Narrow" w:cstheme="minorHAnsi"/>
          <w:spacing w:val="1"/>
        </w:rPr>
        <w:t>z</w:t>
      </w:r>
      <w:r>
        <w:rPr>
          <w:rFonts w:eastAsia="Arial Narrow" w:cstheme="minorHAnsi"/>
        </w:rPr>
        <w:t>ago</w:t>
      </w:r>
      <w:r>
        <w:rPr>
          <w:rFonts w:eastAsia="Arial Narrow" w:cstheme="minorHAnsi"/>
          <w:spacing w:val="-3"/>
        </w:rPr>
        <w:t>r</w:t>
      </w:r>
      <w:r>
        <w:rPr>
          <w:rFonts w:eastAsia="Arial Narrow" w:cstheme="minorHAnsi"/>
          <w:spacing w:val="1"/>
        </w:rPr>
        <w:t>sk</w:t>
      </w:r>
      <w:r>
        <w:rPr>
          <w:rFonts w:eastAsia="Arial Narrow" w:cstheme="minorHAnsi"/>
          <w:spacing w:val="-2"/>
        </w:rPr>
        <w:t>i</w:t>
      </w:r>
      <w:r>
        <w:rPr>
          <w:rFonts w:eastAsia="Arial Narrow" w:cstheme="minorHAnsi"/>
        </w:rPr>
        <w:t>h</w:t>
      </w:r>
      <w:r>
        <w:rPr>
          <w:rFonts w:eastAsia="Arial Narrow" w:cstheme="minorHAnsi"/>
          <w:spacing w:val="2"/>
        </w:rPr>
        <w:t xml:space="preserve"> </w:t>
      </w:r>
      <w:r>
        <w:rPr>
          <w:rFonts w:eastAsia="Arial Narrow" w:cstheme="minorHAnsi"/>
        </w:rPr>
        <w:t>brega“</w:t>
      </w:r>
      <w:r>
        <w:rPr>
          <w:rFonts w:eastAsia="Arial Narrow" w:cstheme="minorHAnsi"/>
          <w:spacing w:val="2"/>
        </w:rPr>
        <w:t xml:space="preserve"> </w:t>
      </w:r>
      <w:r>
        <w:rPr>
          <w:rFonts w:eastAsia="Arial Narrow" w:cstheme="minorHAnsi"/>
          <w:spacing w:val="-2"/>
        </w:rPr>
        <w:t>o</w:t>
      </w:r>
      <w:r>
        <w:rPr>
          <w:rFonts w:eastAsia="Arial Narrow" w:cstheme="minorHAnsi"/>
        </w:rPr>
        <w:t>d</w:t>
      </w:r>
      <w:r>
        <w:rPr>
          <w:rFonts w:eastAsia="Arial Narrow" w:cstheme="minorHAnsi"/>
          <w:spacing w:val="2"/>
        </w:rPr>
        <w:t xml:space="preserve"> </w:t>
      </w:r>
      <w:r>
        <w:rPr>
          <w:rFonts w:eastAsia="Arial Narrow" w:cstheme="minorHAnsi"/>
          <w:spacing w:val="-1"/>
        </w:rPr>
        <w:t>D</w:t>
      </w:r>
      <w:r>
        <w:rPr>
          <w:rFonts w:eastAsia="Arial Narrow" w:cstheme="minorHAnsi"/>
        </w:rPr>
        <w:t>r</w:t>
      </w:r>
      <w:r>
        <w:rPr>
          <w:rFonts w:eastAsia="Arial Narrow" w:cstheme="minorHAnsi"/>
          <w:spacing w:val="1"/>
        </w:rPr>
        <w:t>ž</w:t>
      </w:r>
      <w:r>
        <w:rPr>
          <w:rFonts w:eastAsia="Arial Narrow" w:cstheme="minorHAnsi"/>
        </w:rPr>
        <w:t>a</w:t>
      </w:r>
      <w:r>
        <w:rPr>
          <w:rFonts w:eastAsia="Arial Narrow" w:cstheme="minorHAnsi"/>
          <w:spacing w:val="1"/>
        </w:rPr>
        <w:t>v</w:t>
      </w:r>
      <w:r>
        <w:rPr>
          <w:rFonts w:eastAsia="Arial Narrow" w:cstheme="minorHAnsi"/>
        </w:rPr>
        <w:t xml:space="preserve">nog </w:t>
      </w:r>
      <w:r>
        <w:rPr>
          <w:rFonts w:eastAsia="Arial Narrow" w:cstheme="minorHAnsi"/>
          <w:spacing w:val="1"/>
        </w:rPr>
        <w:t>z</w:t>
      </w:r>
      <w:r>
        <w:rPr>
          <w:rFonts w:eastAsia="Arial Narrow" w:cstheme="minorHAnsi"/>
        </w:rPr>
        <w:t>a</w:t>
      </w:r>
      <w:r>
        <w:rPr>
          <w:rFonts w:eastAsia="Arial Narrow" w:cstheme="minorHAnsi"/>
          <w:spacing w:val="1"/>
        </w:rPr>
        <w:t>v</w:t>
      </w:r>
      <w:r>
        <w:rPr>
          <w:rFonts w:eastAsia="Arial Narrow" w:cstheme="minorHAnsi"/>
          <w:spacing w:val="-2"/>
        </w:rPr>
        <w:t>o</w:t>
      </w:r>
      <w:r>
        <w:rPr>
          <w:rFonts w:eastAsia="Arial Narrow" w:cstheme="minorHAnsi"/>
        </w:rPr>
        <w:t>da</w:t>
      </w:r>
      <w:r>
        <w:rPr>
          <w:rFonts w:eastAsia="Arial Narrow" w:cstheme="minorHAnsi"/>
          <w:spacing w:val="2"/>
        </w:rPr>
        <w:t xml:space="preserve"> </w:t>
      </w:r>
      <w:r>
        <w:rPr>
          <w:rFonts w:eastAsia="Arial Narrow" w:cstheme="minorHAnsi"/>
          <w:spacing w:val="-2"/>
        </w:rPr>
        <w:t>z</w:t>
      </w:r>
      <w:r>
        <w:rPr>
          <w:rFonts w:eastAsia="Arial Narrow" w:cstheme="minorHAnsi"/>
        </w:rPr>
        <w:t xml:space="preserve">a </w:t>
      </w:r>
      <w:r>
        <w:rPr>
          <w:rFonts w:eastAsia="Arial Narrow" w:cstheme="minorHAnsi"/>
          <w:spacing w:val="1"/>
        </w:rPr>
        <w:t>i</w:t>
      </w:r>
      <w:r>
        <w:rPr>
          <w:rFonts w:eastAsia="Arial Narrow" w:cstheme="minorHAnsi"/>
        </w:rPr>
        <w:t>nte</w:t>
      </w:r>
      <w:r>
        <w:rPr>
          <w:rFonts w:eastAsia="Arial Narrow" w:cstheme="minorHAnsi"/>
          <w:spacing w:val="1"/>
        </w:rPr>
        <w:t>l</w:t>
      </w:r>
      <w:r>
        <w:rPr>
          <w:rFonts w:eastAsia="Arial Narrow" w:cstheme="minorHAnsi"/>
          <w:spacing w:val="-2"/>
        </w:rPr>
        <w:t>e</w:t>
      </w:r>
      <w:r>
        <w:rPr>
          <w:rFonts w:eastAsia="Arial Narrow" w:cstheme="minorHAnsi"/>
          <w:spacing w:val="1"/>
        </w:rPr>
        <w:t>k</w:t>
      </w:r>
      <w:r>
        <w:rPr>
          <w:rFonts w:eastAsia="Arial Narrow" w:cstheme="minorHAnsi"/>
        </w:rPr>
        <w:t>tua</w:t>
      </w:r>
      <w:r>
        <w:rPr>
          <w:rFonts w:eastAsia="Arial Narrow" w:cstheme="minorHAnsi"/>
          <w:spacing w:val="-2"/>
        </w:rPr>
        <w:t>l</w:t>
      </w:r>
      <w:r>
        <w:rPr>
          <w:rFonts w:eastAsia="Arial Narrow" w:cstheme="minorHAnsi"/>
        </w:rPr>
        <w:t>no</w:t>
      </w:r>
      <w:r>
        <w:rPr>
          <w:rFonts w:eastAsia="Arial Narrow" w:cstheme="minorHAnsi"/>
          <w:spacing w:val="3"/>
        </w:rPr>
        <w:t xml:space="preserve"> </w:t>
      </w:r>
      <w:r>
        <w:rPr>
          <w:rFonts w:eastAsia="Arial Narrow" w:cstheme="minorHAnsi"/>
          <w:spacing w:val="1"/>
        </w:rPr>
        <w:t>v</w:t>
      </w:r>
      <w:r>
        <w:rPr>
          <w:rFonts w:eastAsia="Arial Narrow" w:cstheme="minorHAnsi"/>
          <w:spacing w:val="-2"/>
        </w:rPr>
        <w:t>l</w:t>
      </w:r>
      <w:r>
        <w:rPr>
          <w:rFonts w:eastAsia="Arial Narrow" w:cstheme="minorHAnsi"/>
        </w:rPr>
        <w:t>a</w:t>
      </w:r>
      <w:r>
        <w:rPr>
          <w:rFonts w:eastAsia="Arial Narrow" w:cstheme="minorHAnsi"/>
          <w:spacing w:val="1"/>
        </w:rPr>
        <w:t>s</w:t>
      </w:r>
      <w:r>
        <w:rPr>
          <w:rFonts w:eastAsia="Arial Narrow" w:cstheme="minorHAnsi"/>
        </w:rPr>
        <w:t>n</w:t>
      </w:r>
      <w:r>
        <w:rPr>
          <w:rFonts w:eastAsia="Arial Narrow" w:cstheme="minorHAnsi"/>
          <w:spacing w:val="-2"/>
        </w:rPr>
        <w:t>i</w:t>
      </w:r>
      <w:r>
        <w:rPr>
          <w:rFonts w:eastAsia="Arial Narrow" w:cstheme="minorHAnsi"/>
          <w:spacing w:val="1"/>
        </w:rPr>
        <w:t>š</w:t>
      </w:r>
      <w:r>
        <w:rPr>
          <w:rFonts w:eastAsia="Arial Narrow" w:cstheme="minorHAnsi"/>
        </w:rPr>
        <w:t>t</w:t>
      </w:r>
      <w:r>
        <w:rPr>
          <w:rFonts w:eastAsia="Arial Narrow" w:cstheme="minorHAnsi"/>
          <w:spacing w:val="-2"/>
        </w:rPr>
        <w:t>v</w:t>
      </w:r>
      <w:r>
        <w:rPr>
          <w:rFonts w:eastAsia="Arial Narrow" w:cstheme="minorHAnsi"/>
        </w:rPr>
        <w:t>o. Tijek</w:t>
      </w:r>
      <w:r w:rsidR="004475BA">
        <w:rPr>
          <w:rFonts w:eastAsia="Arial Narrow" w:cstheme="minorHAnsi"/>
        </w:rPr>
        <w:t>om 2019. godine dobivena je i z</w:t>
      </w:r>
      <w:r>
        <w:rPr>
          <w:rFonts w:eastAsia="Arial Narrow" w:cstheme="minorHAnsi"/>
        </w:rPr>
        <w:t xml:space="preserve">aštita oznake izvornosti. </w:t>
      </w:r>
      <w:r w:rsidR="00454180">
        <w:rPr>
          <w:rFonts w:eastAsia="Arial Narrow" w:cstheme="minorHAnsi"/>
        </w:rPr>
        <w:t>U organizaciji Krapinsko-zagorske županije, pčelarskih udruga i Saveza pčelarskih udruga Krapinsko-zagorske županije svake se godine organizira manifestacija ocjenjivanje i izložba meda.</w:t>
      </w:r>
    </w:p>
    <w:p w14:paraId="55D47FD0" w14:textId="77777777" w:rsidR="00A641C0" w:rsidRDefault="00A641C0" w:rsidP="00A641C0">
      <w:pPr>
        <w:jc w:val="left"/>
      </w:pPr>
    </w:p>
    <w:p w14:paraId="4EB1A410" w14:textId="623AB736" w:rsidR="008878A0" w:rsidRPr="00A641C0" w:rsidRDefault="003952B9" w:rsidP="00A641C0">
      <w:pPr>
        <w:pStyle w:val="Naslov2"/>
      </w:pPr>
      <w:bookmarkStart w:id="209" w:name="_Toc85181362"/>
      <w:r>
        <w:t>1</w:t>
      </w:r>
      <w:r w:rsidR="00B601EE">
        <w:t>2</w:t>
      </w:r>
      <w:r w:rsidR="008878A0">
        <w:t>.</w:t>
      </w:r>
      <w:r w:rsidR="00CF50C7">
        <w:t>7</w:t>
      </w:r>
      <w:r w:rsidR="008878A0">
        <w:t>. Integrirana i ekološka proizvodnja</w:t>
      </w:r>
      <w:bookmarkEnd w:id="209"/>
    </w:p>
    <w:p w14:paraId="29C4E906" w14:textId="58D5D237" w:rsidR="00DD670B" w:rsidRDefault="008878A0" w:rsidP="00346E38">
      <w:pPr>
        <w:rPr>
          <w:shd w:val="clear" w:color="auto" w:fill="FFFFFF"/>
        </w:rPr>
      </w:pPr>
      <w:r>
        <w:rPr>
          <w:rFonts w:cstheme="minorHAnsi"/>
          <w:shd w:val="clear" w:color="auto" w:fill="FFFFFF"/>
        </w:rPr>
        <w:br/>
      </w:r>
      <w:r w:rsidR="00BF3043">
        <w:rPr>
          <w:shd w:val="clear" w:color="auto" w:fill="FFFFFF"/>
        </w:rPr>
        <w:t>Ekološka proizvodnja sveobuhvatan je sustav upravljanja poljoprivrednim gospodarstvima i proizvodnjom hrane koji ujedinjuje najbolju praksu u pogledu okoliša i klime, visoku razinu biološke raznolikosti, očuvanje prirodnih resursa, primjenu visokih standarda</w:t>
      </w:r>
      <w:r w:rsidR="00624326">
        <w:rPr>
          <w:shd w:val="clear" w:color="auto" w:fill="FFFFFF"/>
        </w:rPr>
        <w:t xml:space="preserve"> za dobrobit životinja i proizvodnih standarda koji su u skladu s potražnjom sve većeg broja potrošača za proizvodima proizvedenim uz primjenu prirodnih tvari i procesa. U Upisnik subjekata u ekološkoj proizvodnji upisuju se subjekti u ekološkoj proizvodnji koji se bave proizvodnjom, preradom, uvozom i izvozom ekoloških proizvoda.</w:t>
      </w:r>
      <w:r w:rsidR="00BF3043">
        <w:rPr>
          <w:shd w:val="clear" w:color="auto" w:fill="FFFFFF"/>
        </w:rPr>
        <w:t xml:space="preserve"> </w:t>
      </w:r>
      <w:r w:rsidRPr="4E193667">
        <w:rPr>
          <w:shd w:val="clear" w:color="auto" w:fill="FFFFFF"/>
        </w:rPr>
        <w:t>Podaci o ekološkoj i integriranoj proizvodnji iz prethodnih godina ukazuju na stagnaciju u broju poljoprivrednih gospodarstava, međutim najnoviji podaci pokazuju značajniji porast br</w:t>
      </w:r>
      <w:r w:rsidR="004475BA" w:rsidRPr="4E193667">
        <w:rPr>
          <w:shd w:val="clear" w:color="auto" w:fill="FFFFFF"/>
        </w:rPr>
        <w:t>oja ekoloških proizvođača. B</w:t>
      </w:r>
      <w:r w:rsidRPr="4E193667">
        <w:rPr>
          <w:shd w:val="clear" w:color="auto" w:fill="FFFFFF"/>
        </w:rPr>
        <w:t>ez obzira na navedeno, uvidom u Popis subjekata koji se bave ekološkom poljoprivredom, ustanovljeno je da je upravo Krapinsko-zagorska županija, županija s najmanjim brojem registriranih ekoloških proizvođača u RH</w:t>
      </w:r>
      <w:r w:rsidRPr="4E193667">
        <w:rPr>
          <w:shd w:val="clear" w:color="auto" w:fill="FFFFFF"/>
          <w:vertAlign w:val="superscript"/>
        </w:rPr>
        <w:footnoteReference w:id="82"/>
      </w:r>
      <w:r w:rsidRPr="4E193667">
        <w:rPr>
          <w:shd w:val="clear" w:color="auto" w:fill="FFFFFF"/>
        </w:rPr>
        <w:t xml:space="preserve">. </w:t>
      </w:r>
    </w:p>
    <w:p w14:paraId="1DEE6DA9" w14:textId="77777777" w:rsidR="00346E38" w:rsidRPr="00346E38" w:rsidRDefault="00346E38" w:rsidP="00346E38">
      <w:pPr>
        <w:rPr>
          <w:rFonts w:cstheme="minorHAnsi"/>
          <w:shd w:val="clear" w:color="auto" w:fill="FFFFFF"/>
        </w:rPr>
      </w:pPr>
    </w:p>
    <w:p w14:paraId="7E66240A" w14:textId="066A1892" w:rsidR="00DD670B" w:rsidRDefault="00DD670B" w:rsidP="003E3F3C">
      <w:pPr>
        <w:pStyle w:val="Opisslike"/>
      </w:pPr>
      <w:r>
        <w:t>Tablica</w:t>
      </w:r>
      <w:r w:rsidR="00BD6B22">
        <w:t xml:space="preserve"> 1</w:t>
      </w:r>
      <w:r w:rsidR="00741E4F">
        <w:t>73</w:t>
      </w:r>
      <w:r>
        <w:t xml:space="preserve">. </w:t>
      </w:r>
      <w:r w:rsidRPr="006D0548">
        <w:t>Integrirana i ekološka proizvodnja Krapinsko-zagorske županije, rujan 2015. – 2019. godina</w:t>
      </w:r>
    </w:p>
    <w:tbl>
      <w:tblPr>
        <w:tblW w:w="0" w:type="auto"/>
        <w:tblInd w:w="-10" w:type="dxa"/>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3586"/>
        <w:gridCol w:w="2084"/>
        <w:gridCol w:w="3544"/>
      </w:tblGrid>
      <w:tr w:rsidR="008878A0" w14:paraId="2B805620" w14:textId="77777777" w:rsidTr="0080799B">
        <w:trPr>
          <w:trHeight w:val="284"/>
        </w:trPr>
        <w:tc>
          <w:tcPr>
            <w:tcW w:w="3586" w:type="dxa"/>
            <w:shd w:val="clear" w:color="auto" w:fill="D2232A" w:themeFill="accent1"/>
            <w:vAlign w:val="center"/>
            <w:hideMark/>
          </w:tcPr>
          <w:p w14:paraId="4D9A3921" w14:textId="77777777" w:rsidR="008878A0" w:rsidRDefault="008878A0" w:rsidP="00373E79">
            <w:pPr>
              <w:spacing w:after="0"/>
              <w:jc w:val="center"/>
              <w:rPr>
                <w:rFonts w:cstheme="minorHAnsi"/>
              </w:rPr>
            </w:pPr>
            <w:r>
              <w:rPr>
                <w:rFonts w:eastAsia="Arial Narrow" w:cstheme="minorHAnsi"/>
                <w:color w:val="FFFFFF"/>
              </w:rPr>
              <w:t>Godina</w:t>
            </w:r>
          </w:p>
        </w:tc>
        <w:tc>
          <w:tcPr>
            <w:tcW w:w="2084" w:type="dxa"/>
            <w:shd w:val="clear" w:color="auto" w:fill="D2232A" w:themeFill="accent1"/>
            <w:vAlign w:val="center"/>
            <w:hideMark/>
          </w:tcPr>
          <w:p w14:paraId="308E8B65" w14:textId="77777777" w:rsidR="008878A0" w:rsidRDefault="008878A0" w:rsidP="00373E79">
            <w:pPr>
              <w:spacing w:after="0"/>
              <w:jc w:val="right"/>
              <w:rPr>
                <w:rFonts w:cstheme="minorHAnsi"/>
                <w:color w:val="FFFFFF" w:themeColor="background1"/>
              </w:rPr>
            </w:pPr>
            <w:r>
              <w:rPr>
                <w:rFonts w:cstheme="minorHAnsi"/>
                <w:color w:val="FFFFFF" w:themeColor="background1"/>
              </w:rPr>
              <w:t>Broj PG-a integrirana</w:t>
            </w:r>
          </w:p>
        </w:tc>
        <w:tc>
          <w:tcPr>
            <w:tcW w:w="3544" w:type="dxa"/>
            <w:shd w:val="clear" w:color="auto" w:fill="D2232A" w:themeFill="accent1"/>
            <w:vAlign w:val="center"/>
            <w:hideMark/>
          </w:tcPr>
          <w:p w14:paraId="67866FEA" w14:textId="77777777" w:rsidR="008878A0" w:rsidRDefault="008878A0" w:rsidP="00373E79">
            <w:pPr>
              <w:spacing w:after="0"/>
              <w:jc w:val="right"/>
              <w:rPr>
                <w:rFonts w:cstheme="minorHAnsi"/>
                <w:color w:val="FFFFFF" w:themeColor="background1"/>
              </w:rPr>
            </w:pPr>
            <w:r>
              <w:rPr>
                <w:rFonts w:cstheme="minorHAnsi"/>
                <w:color w:val="FFFFFF" w:themeColor="background1"/>
              </w:rPr>
              <w:t>Broj PG-a ekološka</w:t>
            </w:r>
          </w:p>
        </w:tc>
      </w:tr>
      <w:tr w:rsidR="008878A0" w14:paraId="201C8F49" w14:textId="77777777" w:rsidTr="0080799B">
        <w:trPr>
          <w:trHeight w:val="284"/>
        </w:trPr>
        <w:tc>
          <w:tcPr>
            <w:tcW w:w="3586" w:type="dxa"/>
            <w:vAlign w:val="center"/>
            <w:hideMark/>
          </w:tcPr>
          <w:p w14:paraId="7574D599" w14:textId="77777777" w:rsidR="008878A0" w:rsidRPr="00373E79" w:rsidRDefault="008878A0" w:rsidP="00373E79">
            <w:pPr>
              <w:spacing w:after="0"/>
              <w:jc w:val="center"/>
              <w:rPr>
                <w:rFonts w:eastAsia="Arial Narrow" w:cstheme="minorHAnsi"/>
                <w:w w:val="99"/>
              </w:rPr>
            </w:pPr>
            <w:r w:rsidRPr="00373E79">
              <w:rPr>
                <w:rFonts w:eastAsia="Arial Narrow" w:cstheme="minorHAnsi"/>
                <w:w w:val="99"/>
              </w:rPr>
              <w:t>2016.</w:t>
            </w:r>
          </w:p>
        </w:tc>
        <w:tc>
          <w:tcPr>
            <w:tcW w:w="2084" w:type="dxa"/>
            <w:vAlign w:val="center"/>
            <w:hideMark/>
          </w:tcPr>
          <w:p w14:paraId="1E3355D4" w14:textId="77777777" w:rsidR="008878A0" w:rsidRPr="00373E79" w:rsidRDefault="008878A0" w:rsidP="00373E79">
            <w:pPr>
              <w:spacing w:after="0"/>
              <w:jc w:val="right"/>
              <w:rPr>
                <w:rFonts w:eastAsiaTheme="minorHAnsi" w:cstheme="minorHAnsi"/>
              </w:rPr>
            </w:pPr>
            <w:r w:rsidRPr="00373E79">
              <w:rPr>
                <w:rFonts w:cstheme="minorHAnsi"/>
              </w:rPr>
              <w:t>8</w:t>
            </w:r>
          </w:p>
        </w:tc>
        <w:tc>
          <w:tcPr>
            <w:tcW w:w="3544" w:type="dxa"/>
            <w:vAlign w:val="center"/>
            <w:hideMark/>
          </w:tcPr>
          <w:p w14:paraId="32707A9C" w14:textId="77777777" w:rsidR="008878A0" w:rsidRPr="00373E79" w:rsidRDefault="008878A0" w:rsidP="00373E79">
            <w:pPr>
              <w:spacing w:after="0"/>
              <w:jc w:val="right"/>
              <w:rPr>
                <w:rFonts w:cstheme="minorHAnsi"/>
              </w:rPr>
            </w:pPr>
            <w:r w:rsidRPr="00373E79">
              <w:rPr>
                <w:rFonts w:cstheme="minorHAnsi"/>
              </w:rPr>
              <w:t>67</w:t>
            </w:r>
          </w:p>
        </w:tc>
      </w:tr>
      <w:tr w:rsidR="008878A0" w14:paraId="634AF24D" w14:textId="77777777" w:rsidTr="0080799B">
        <w:trPr>
          <w:trHeight w:val="284"/>
        </w:trPr>
        <w:tc>
          <w:tcPr>
            <w:tcW w:w="3586" w:type="dxa"/>
            <w:vAlign w:val="center"/>
            <w:hideMark/>
          </w:tcPr>
          <w:p w14:paraId="02B1AA7B" w14:textId="77777777" w:rsidR="008878A0" w:rsidRPr="00373E79" w:rsidRDefault="008878A0" w:rsidP="00373E79">
            <w:pPr>
              <w:spacing w:after="0"/>
              <w:jc w:val="center"/>
              <w:rPr>
                <w:rFonts w:eastAsia="Arial Narrow" w:cstheme="minorHAnsi"/>
                <w:w w:val="99"/>
              </w:rPr>
            </w:pPr>
            <w:r w:rsidRPr="00373E79">
              <w:rPr>
                <w:rFonts w:eastAsia="Arial Narrow" w:cstheme="minorHAnsi"/>
                <w:w w:val="99"/>
              </w:rPr>
              <w:t>2017.</w:t>
            </w:r>
          </w:p>
        </w:tc>
        <w:tc>
          <w:tcPr>
            <w:tcW w:w="2084" w:type="dxa"/>
            <w:vAlign w:val="center"/>
            <w:hideMark/>
          </w:tcPr>
          <w:p w14:paraId="74E5E4AE" w14:textId="77777777" w:rsidR="008878A0" w:rsidRPr="00373E79" w:rsidRDefault="008878A0" w:rsidP="00373E79">
            <w:pPr>
              <w:spacing w:after="0"/>
              <w:jc w:val="right"/>
              <w:rPr>
                <w:rFonts w:eastAsiaTheme="minorHAnsi" w:cstheme="minorHAnsi"/>
              </w:rPr>
            </w:pPr>
            <w:r w:rsidRPr="00373E79">
              <w:rPr>
                <w:rFonts w:cstheme="minorHAnsi"/>
              </w:rPr>
              <w:t>7</w:t>
            </w:r>
          </w:p>
        </w:tc>
        <w:tc>
          <w:tcPr>
            <w:tcW w:w="3544" w:type="dxa"/>
            <w:vAlign w:val="center"/>
            <w:hideMark/>
          </w:tcPr>
          <w:p w14:paraId="3282E9AA" w14:textId="77777777" w:rsidR="008878A0" w:rsidRPr="00373E79" w:rsidRDefault="008878A0" w:rsidP="00373E79">
            <w:pPr>
              <w:spacing w:after="0"/>
              <w:jc w:val="right"/>
              <w:rPr>
                <w:rFonts w:cstheme="minorHAnsi"/>
              </w:rPr>
            </w:pPr>
            <w:r w:rsidRPr="00373E79">
              <w:rPr>
                <w:rFonts w:cstheme="minorHAnsi"/>
              </w:rPr>
              <w:t>66</w:t>
            </w:r>
          </w:p>
        </w:tc>
      </w:tr>
      <w:tr w:rsidR="008878A0" w14:paraId="6568279C" w14:textId="77777777" w:rsidTr="0080799B">
        <w:trPr>
          <w:trHeight w:val="284"/>
        </w:trPr>
        <w:tc>
          <w:tcPr>
            <w:tcW w:w="3586" w:type="dxa"/>
            <w:vAlign w:val="center"/>
            <w:hideMark/>
          </w:tcPr>
          <w:p w14:paraId="4D3E621E" w14:textId="77777777" w:rsidR="008878A0" w:rsidRPr="00373E79" w:rsidRDefault="008878A0" w:rsidP="00373E79">
            <w:pPr>
              <w:spacing w:after="0"/>
              <w:jc w:val="center"/>
              <w:rPr>
                <w:rFonts w:eastAsia="Arial Narrow" w:cstheme="minorHAnsi"/>
                <w:w w:val="99"/>
              </w:rPr>
            </w:pPr>
            <w:r w:rsidRPr="00373E79">
              <w:rPr>
                <w:rFonts w:eastAsia="Arial Narrow" w:cstheme="minorHAnsi"/>
                <w:w w:val="99"/>
              </w:rPr>
              <w:t>2018.</w:t>
            </w:r>
          </w:p>
        </w:tc>
        <w:tc>
          <w:tcPr>
            <w:tcW w:w="2084" w:type="dxa"/>
            <w:vAlign w:val="center"/>
            <w:hideMark/>
          </w:tcPr>
          <w:p w14:paraId="6D46F32F" w14:textId="77777777" w:rsidR="008878A0" w:rsidRPr="00373E79" w:rsidRDefault="008878A0" w:rsidP="00373E79">
            <w:pPr>
              <w:spacing w:after="0"/>
              <w:jc w:val="right"/>
              <w:rPr>
                <w:rFonts w:eastAsiaTheme="minorHAnsi" w:cstheme="minorHAnsi"/>
              </w:rPr>
            </w:pPr>
            <w:r w:rsidRPr="00373E79">
              <w:rPr>
                <w:rFonts w:cstheme="minorHAnsi"/>
              </w:rPr>
              <w:t>7</w:t>
            </w:r>
          </w:p>
        </w:tc>
        <w:tc>
          <w:tcPr>
            <w:tcW w:w="3544" w:type="dxa"/>
            <w:vAlign w:val="center"/>
            <w:hideMark/>
          </w:tcPr>
          <w:p w14:paraId="55EC4D8E" w14:textId="77777777" w:rsidR="008878A0" w:rsidRPr="00373E79" w:rsidRDefault="008878A0" w:rsidP="00373E79">
            <w:pPr>
              <w:spacing w:after="0"/>
              <w:jc w:val="right"/>
              <w:rPr>
                <w:rFonts w:cstheme="minorHAnsi"/>
              </w:rPr>
            </w:pPr>
            <w:r w:rsidRPr="00373E79">
              <w:rPr>
                <w:rFonts w:cstheme="minorHAnsi"/>
              </w:rPr>
              <w:t>66</w:t>
            </w:r>
          </w:p>
        </w:tc>
      </w:tr>
      <w:tr w:rsidR="008878A0" w14:paraId="17A7CDA2" w14:textId="77777777" w:rsidTr="0080799B">
        <w:trPr>
          <w:trHeight w:val="284"/>
        </w:trPr>
        <w:tc>
          <w:tcPr>
            <w:tcW w:w="3586" w:type="dxa"/>
            <w:vAlign w:val="center"/>
            <w:hideMark/>
          </w:tcPr>
          <w:p w14:paraId="67C48282" w14:textId="77777777" w:rsidR="008878A0" w:rsidRPr="00373E79" w:rsidRDefault="008878A0" w:rsidP="00373E79">
            <w:pPr>
              <w:spacing w:after="0"/>
              <w:jc w:val="center"/>
              <w:rPr>
                <w:rFonts w:eastAsia="Arial Narrow" w:cstheme="minorHAnsi"/>
                <w:w w:val="99"/>
              </w:rPr>
            </w:pPr>
            <w:r w:rsidRPr="00373E79">
              <w:rPr>
                <w:rFonts w:eastAsia="Arial Narrow" w:cstheme="minorHAnsi"/>
                <w:w w:val="99"/>
              </w:rPr>
              <w:t>*2019.</w:t>
            </w:r>
          </w:p>
        </w:tc>
        <w:tc>
          <w:tcPr>
            <w:tcW w:w="2084" w:type="dxa"/>
            <w:vAlign w:val="center"/>
            <w:hideMark/>
          </w:tcPr>
          <w:p w14:paraId="78CF9236" w14:textId="77777777" w:rsidR="008878A0" w:rsidRPr="00373E79" w:rsidRDefault="008878A0" w:rsidP="00373E79">
            <w:pPr>
              <w:spacing w:after="0"/>
              <w:jc w:val="right"/>
              <w:rPr>
                <w:rFonts w:eastAsiaTheme="minorHAnsi" w:cstheme="minorHAnsi"/>
              </w:rPr>
            </w:pPr>
            <w:r w:rsidRPr="00373E79">
              <w:rPr>
                <w:rFonts w:cstheme="minorHAnsi"/>
              </w:rPr>
              <w:t>n/a</w:t>
            </w:r>
          </w:p>
        </w:tc>
        <w:tc>
          <w:tcPr>
            <w:tcW w:w="3544" w:type="dxa"/>
            <w:vAlign w:val="center"/>
            <w:hideMark/>
          </w:tcPr>
          <w:p w14:paraId="4E290B6A" w14:textId="77777777" w:rsidR="008878A0" w:rsidRPr="00373E79" w:rsidRDefault="008878A0" w:rsidP="00373E79">
            <w:pPr>
              <w:spacing w:after="0"/>
              <w:jc w:val="right"/>
              <w:rPr>
                <w:rFonts w:cstheme="minorHAnsi"/>
              </w:rPr>
            </w:pPr>
            <w:r w:rsidRPr="00373E79">
              <w:rPr>
                <w:rFonts w:cstheme="minorHAnsi"/>
              </w:rPr>
              <w:t>80</w:t>
            </w:r>
          </w:p>
        </w:tc>
      </w:tr>
    </w:tbl>
    <w:p w14:paraId="1B887773" w14:textId="2614D912" w:rsidR="008878A0" w:rsidRPr="00BD6B22" w:rsidRDefault="008878A0" w:rsidP="00895C51">
      <w:pPr>
        <w:pStyle w:val="Izvor"/>
        <w:spacing w:after="0"/>
        <w:rPr>
          <w:i/>
          <w:color w:val="ABABAB" w:themeColor="text1" w:themeTint="A6"/>
          <w:sz w:val="16"/>
          <w:szCs w:val="16"/>
        </w:rPr>
      </w:pPr>
      <w:r w:rsidRPr="00BD6B22">
        <w:rPr>
          <w:i/>
          <w:color w:val="ABABAB" w:themeColor="text1" w:themeTint="A6"/>
          <w:sz w:val="16"/>
          <w:szCs w:val="16"/>
        </w:rPr>
        <w:t>*stanje na dan 25.</w:t>
      </w:r>
      <w:r w:rsidR="00B51CF3">
        <w:rPr>
          <w:i/>
          <w:color w:val="ABABAB" w:themeColor="text1" w:themeTint="A6"/>
          <w:sz w:val="16"/>
          <w:szCs w:val="16"/>
        </w:rPr>
        <w:t xml:space="preserve"> </w:t>
      </w:r>
      <w:r w:rsidRPr="00BD6B22">
        <w:rPr>
          <w:i/>
          <w:color w:val="ABABAB" w:themeColor="text1" w:themeTint="A6"/>
          <w:sz w:val="16"/>
          <w:szCs w:val="16"/>
        </w:rPr>
        <w:t>rujna 2019.</w:t>
      </w:r>
    </w:p>
    <w:p w14:paraId="797A6186" w14:textId="7399A726" w:rsidR="00DD670B" w:rsidRPr="00516911" w:rsidRDefault="008878A0" w:rsidP="00516911">
      <w:pPr>
        <w:pStyle w:val="Izvor"/>
        <w:spacing w:after="0"/>
        <w:rPr>
          <w:i/>
          <w:color w:val="ABABAB" w:themeColor="text1" w:themeTint="A6"/>
          <w:sz w:val="16"/>
          <w:szCs w:val="16"/>
        </w:rPr>
      </w:pPr>
      <w:r w:rsidRPr="00BD6B22">
        <w:rPr>
          <w:i/>
          <w:color w:val="ABABAB" w:themeColor="text1" w:themeTint="A6"/>
          <w:sz w:val="16"/>
          <w:szCs w:val="16"/>
        </w:rPr>
        <w:t>Izvor: Agencija za plaćanja u poljoprivredi, ribarstvu i ruralnom razvoju i Ministarstvo poljoprivrede,</w:t>
      </w:r>
      <w:r w:rsidR="00373E79" w:rsidRPr="00BD6B22">
        <w:rPr>
          <w:i/>
          <w:color w:val="ABABAB" w:themeColor="text1" w:themeTint="A6"/>
          <w:sz w:val="16"/>
          <w:szCs w:val="16"/>
        </w:rPr>
        <w:t xml:space="preserve"> </w:t>
      </w:r>
      <w:r w:rsidRPr="00BD6B22">
        <w:rPr>
          <w:i/>
          <w:color w:val="ABABAB" w:themeColor="text1" w:themeTint="A6"/>
          <w:sz w:val="16"/>
          <w:szCs w:val="16"/>
        </w:rPr>
        <w:t>obrada autora</w:t>
      </w:r>
    </w:p>
    <w:p w14:paraId="01EE419A" w14:textId="77777777" w:rsidR="00516911" w:rsidRDefault="00516911" w:rsidP="00373E79">
      <w:pPr>
        <w:rPr>
          <w:rFonts w:cstheme="minorHAnsi"/>
        </w:rPr>
      </w:pPr>
    </w:p>
    <w:p w14:paraId="5470C9A0" w14:textId="2AD770F3" w:rsidR="008878A0" w:rsidRDefault="008878A0" w:rsidP="008B46BC">
      <w:pPr>
        <w:rPr>
          <w:rFonts w:cstheme="minorHAnsi"/>
          <w:shd w:val="clear" w:color="auto" w:fill="FFFFFF"/>
        </w:rPr>
      </w:pPr>
      <w:r>
        <w:rPr>
          <w:rFonts w:cstheme="minorHAnsi"/>
        </w:rPr>
        <w:t>Najv</w:t>
      </w:r>
      <w:r w:rsidR="00492735">
        <w:rPr>
          <w:rFonts w:cstheme="minorHAnsi"/>
        </w:rPr>
        <w:t>eći broj subjekata registriranih u</w:t>
      </w:r>
      <w:r>
        <w:rPr>
          <w:rFonts w:cstheme="minorHAnsi"/>
        </w:rPr>
        <w:t xml:space="preserve"> </w:t>
      </w:r>
      <w:r>
        <w:rPr>
          <w:rFonts w:cstheme="minorHAnsi"/>
          <w:shd w:val="clear" w:color="auto" w:fill="FFFFFF"/>
        </w:rPr>
        <w:t>Upisnik</w:t>
      </w:r>
      <w:r w:rsidR="00492735">
        <w:rPr>
          <w:rFonts w:cstheme="minorHAnsi"/>
          <w:shd w:val="clear" w:color="auto" w:fill="FFFFFF"/>
        </w:rPr>
        <w:t>u</w:t>
      </w:r>
      <w:r>
        <w:rPr>
          <w:rFonts w:cstheme="minorHAnsi"/>
          <w:shd w:val="clear" w:color="auto" w:fill="FFFFFF"/>
        </w:rPr>
        <w:t xml:space="preserve"> subjekata u ekološkoj poljoprivredi na razini RH ima Osječko-baranjska županija, njih 894. Obzirom na prirodne uvjete (brdovit teren, male parcele, pretežito tradicionalna proizvodnja) i mogućnost plasmana kroz turističku ponudu</w:t>
      </w:r>
      <w:r w:rsidR="004475BA">
        <w:rPr>
          <w:rFonts w:cstheme="minorHAnsi"/>
          <w:shd w:val="clear" w:color="auto" w:fill="FFFFFF"/>
        </w:rPr>
        <w:t>,</w:t>
      </w:r>
      <w:r>
        <w:rPr>
          <w:rFonts w:cstheme="minorHAnsi"/>
          <w:shd w:val="clear" w:color="auto" w:fill="FFFFFF"/>
        </w:rPr>
        <w:t xml:space="preserve"> evidentno je da potencijal Krapinsko-zagorske županije u kontekstu ekološke proizvodnje nije do kraja iskorišten. </w:t>
      </w:r>
      <w:r w:rsidR="008B46BC">
        <w:rPr>
          <w:rFonts w:cstheme="minorHAnsi"/>
          <w:shd w:val="clear" w:color="auto" w:fill="FFFFFF"/>
        </w:rPr>
        <w:t>Postignuti urod u ekološkoj poljoprivrednoj proizvodnji je manji nego u konvencionalnoj proizvodnji, ali cijena proizvoda s eko oznakom je viša.</w:t>
      </w:r>
      <w:r w:rsidR="00B51CF3">
        <w:rPr>
          <w:rFonts w:cstheme="minorHAnsi"/>
          <w:shd w:val="clear" w:color="auto" w:fill="FFFFFF"/>
        </w:rPr>
        <w:t xml:space="preserve"> </w:t>
      </w:r>
    </w:p>
    <w:p w14:paraId="6434E747" w14:textId="15595C38" w:rsidR="00373E79" w:rsidRDefault="00373E79" w:rsidP="003E3F3C">
      <w:pPr>
        <w:pStyle w:val="Opisslike"/>
        <w:rPr>
          <w:noProof/>
        </w:rPr>
      </w:pPr>
      <w:r>
        <w:lastRenderedPageBreak/>
        <w:t>Grafikon</w:t>
      </w:r>
      <w:r w:rsidR="00BD6B22">
        <w:rPr>
          <w:noProof/>
        </w:rPr>
        <w:t xml:space="preserve"> </w:t>
      </w:r>
      <w:r w:rsidR="00F73E03">
        <w:rPr>
          <w:noProof/>
        </w:rPr>
        <w:t>6</w:t>
      </w:r>
      <w:r w:rsidR="0080799B">
        <w:rPr>
          <w:noProof/>
        </w:rPr>
        <w:t>5</w:t>
      </w:r>
      <w:r w:rsidR="00DD670B">
        <w:rPr>
          <w:noProof/>
        </w:rPr>
        <w:t>.</w:t>
      </w:r>
      <w:r>
        <w:t xml:space="preserve"> Broj registriranih subjekata u ekološkoj poljoprivredi po županijama, na dan 25.</w:t>
      </w:r>
      <w:r w:rsidR="00B51CF3">
        <w:t xml:space="preserve"> </w:t>
      </w:r>
      <w:r w:rsidR="00CB56BB">
        <w:t xml:space="preserve">rujna </w:t>
      </w:r>
      <w:r>
        <w:t>2019.</w:t>
      </w:r>
    </w:p>
    <w:p w14:paraId="77DA6941" w14:textId="2F3D5B0D" w:rsidR="003E6C76" w:rsidRDefault="00373E79" w:rsidP="00A03003">
      <w:pPr>
        <w:spacing w:before="16" w:line="260" w:lineRule="exact"/>
        <w:ind w:left="116"/>
        <w:jc w:val="left"/>
        <w:rPr>
          <w:rFonts w:eastAsia="ArialNarrow" w:cstheme="minorHAnsi"/>
          <w:i/>
          <w:color w:val="ABABAB" w:themeColor="text1" w:themeTint="A6"/>
          <w:sz w:val="16"/>
          <w:szCs w:val="16"/>
        </w:rPr>
      </w:pPr>
      <w:r w:rsidRPr="00BD6B22">
        <w:rPr>
          <w:rFonts w:eastAsia="ArialNarrow" w:cstheme="minorHAnsi"/>
          <w:i/>
          <w:noProof/>
          <w:color w:val="ABABAB" w:themeColor="text1" w:themeTint="A6"/>
          <w:sz w:val="16"/>
          <w:szCs w:val="16"/>
          <w:lang w:eastAsia="hr-HR"/>
        </w:rPr>
        <w:drawing>
          <wp:anchor distT="0" distB="0" distL="114300" distR="114300" simplePos="0" relativeHeight="251616256" behindDoc="0" locked="0" layoutInCell="1" allowOverlap="1" wp14:anchorId="6F5400A3" wp14:editId="38754132">
            <wp:simplePos x="0" y="0"/>
            <wp:positionH relativeFrom="column">
              <wp:posOffset>79537</wp:posOffset>
            </wp:positionH>
            <wp:positionV relativeFrom="paragraph">
              <wp:posOffset>159990</wp:posOffset>
            </wp:positionV>
            <wp:extent cx="5826125" cy="3763645"/>
            <wp:effectExtent l="0" t="0" r="3175" b="8255"/>
            <wp:wrapSquare wrapText="bothSides"/>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14:sizeRelH relativeFrom="page">
              <wp14:pctWidth>0</wp14:pctWidth>
            </wp14:sizeRelH>
            <wp14:sizeRelV relativeFrom="page">
              <wp14:pctHeight>0</wp14:pctHeight>
            </wp14:sizeRelV>
          </wp:anchor>
        </w:drawing>
      </w:r>
      <w:r w:rsidR="008878A0" w:rsidRPr="00BD6B22">
        <w:rPr>
          <w:rFonts w:eastAsia="ArialNarrow" w:cstheme="minorHAnsi"/>
          <w:i/>
          <w:color w:val="ABABAB" w:themeColor="text1" w:themeTint="A6"/>
          <w:sz w:val="16"/>
          <w:szCs w:val="16"/>
        </w:rPr>
        <w:t>Izvor: Ministarstvo poljoprivrede</w:t>
      </w:r>
    </w:p>
    <w:p w14:paraId="5FDADC89" w14:textId="77777777" w:rsidR="00741E4F" w:rsidRPr="00A03003" w:rsidRDefault="00741E4F" w:rsidP="00A03003">
      <w:pPr>
        <w:spacing w:before="16" w:line="260" w:lineRule="exact"/>
        <w:ind w:left="116"/>
        <w:jc w:val="left"/>
        <w:rPr>
          <w:rFonts w:eastAsia="ArialNarrow" w:cstheme="minorHAnsi"/>
          <w:i/>
          <w:color w:val="ABABAB" w:themeColor="text1" w:themeTint="A6"/>
          <w:sz w:val="16"/>
          <w:szCs w:val="16"/>
        </w:rPr>
      </w:pPr>
    </w:p>
    <w:p w14:paraId="2B2978AA" w14:textId="12919533" w:rsidR="008878A0" w:rsidRDefault="003952B9" w:rsidP="0052192B">
      <w:pPr>
        <w:pStyle w:val="Naslov2"/>
        <w:rPr>
          <w:sz w:val="26"/>
          <w:szCs w:val="26"/>
        </w:rPr>
      </w:pPr>
      <w:bookmarkStart w:id="210" w:name="_Toc85181363"/>
      <w:r>
        <w:t>1</w:t>
      </w:r>
      <w:r w:rsidR="00B601EE">
        <w:t>2</w:t>
      </w:r>
      <w:r w:rsidR="008878A0">
        <w:t>.</w:t>
      </w:r>
      <w:r w:rsidR="00CF50C7">
        <w:t>8</w:t>
      </w:r>
      <w:r w:rsidR="008878A0">
        <w:t>. Prerada i trženje</w:t>
      </w:r>
      <w:bookmarkEnd w:id="210"/>
    </w:p>
    <w:p w14:paraId="7106CFB9" w14:textId="44AC2C7E" w:rsidR="008878A0" w:rsidRDefault="00960F14" w:rsidP="00941871">
      <w:pPr>
        <w:rPr>
          <w:rFonts w:cstheme="minorHAnsi"/>
        </w:rPr>
      </w:pPr>
      <w:r>
        <w:rPr>
          <w:rFonts w:eastAsia="Arial Narrow" w:cstheme="minorHAnsi"/>
          <w:spacing w:val="-1"/>
        </w:rPr>
        <w:br/>
        <w:t>Proizvodnja</w:t>
      </w:r>
      <w:r w:rsidR="008878A0">
        <w:rPr>
          <w:rFonts w:eastAsia="Arial Narrow" w:cstheme="minorHAnsi"/>
          <w:spacing w:val="-1"/>
        </w:rPr>
        <w:t xml:space="preserve"> </w:t>
      </w:r>
      <w:r>
        <w:rPr>
          <w:rFonts w:eastAsia="Arial Narrow" w:cstheme="minorHAnsi"/>
          <w:spacing w:val="-1"/>
        </w:rPr>
        <w:t xml:space="preserve">i prerada </w:t>
      </w:r>
      <w:r w:rsidR="008878A0">
        <w:rPr>
          <w:rFonts w:eastAsia="Arial Narrow" w:cstheme="minorHAnsi"/>
          <w:spacing w:val="-1"/>
        </w:rPr>
        <w:t>primarnih poljoprivrednih proizvoda i dalje je većim dijelom u funkciji proiz</w:t>
      </w:r>
      <w:r>
        <w:rPr>
          <w:rFonts w:eastAsia="Arial Narrow" w:cstheme="minorHAnsi"/>
          <w:spacing w:val="-1"/>
        </w:rPr>
        <w:t>vodnje za vlastite potrebe. Na tržište se u značajnijim količinama plasiraju vino</w:t>
      </w:r>
      <w:r w:rsidR="008878A0">
        <w:rPr>
          <w:rFonts w:eastAsia="Arial Narrow" w:cstheme="minorHAnsi"/>
          <w:spacing w:val="-1"/>
        </w:rPr>
        <w:t>, med</w:t>
      </w:r>
      <w:r>
        <w:rPr>
          <w:rFonts w:eastAsia="Arial Narrow" w:cstheme="minorHAnsi"/>
          <w:spacing w:val="-1"/>
        </w:rPr>
        <w:t xml:space="preserve">, meso </w:t>
      </w:r>
      <w:r w:rsidR="008878A0">
        <w:rPr>
          <w:rFonts w:eastAsia="Arial Narrow" w:cstheme="minorHAnsi"/>
          <w:spacing w:val="-1"/>
        </w:rPr>
        <w:t>z</w:t>
      </w:r>
      <w:r w:rsidR="00274EB9">
        <w:rPr>
          <w:rFonts w:eastAsia="Arial Narrow" w:cstheme="minorHAnsi"/>
          <w:spacing w:val="-1"/>
        </w:rPr>
        <w:t>agorskog purana. V</w:t>
      </w:r>
      <w:r w:rsidR="008878A0">
        <w:rPr>
          <w:rFonts w:eastAsia="Arial Narrow" w:cstheme="minorHAnsi"/>
          <w:spacing w:val="-1"/>
        </w:rPr>
        <w:t xml:space="preserve">ina se uglavnom plasiraju prodajom na „kućnom pragu“ te putem objekata na Zagorskoj vinskoj turističkoj cesti, a meso zagorskog purana plasira se putem PZ Puran zagorskih brega te putem individualnih proizvođača. U </w:t>
      </w:r>
      <w:r w:rsidR="008878A0">
        <w:rPr>
          <w:rFonts w:cstheme="minorHAnsi"/>
        </w:rPr>
        <w:t>Upisnik registriranih objekata u poslovanju s hranom životinjskog podrijetla evidentiran je i značajniji broj objekata</w:t>
      </w:r>
      <w:r w:rsidR="00274EB9">
        <w:rPr>
          <w:rFonts w:cstheme="minorHAnsi"/>
        </w:rPr>
        <w:t xml:space="preserve"> </w:t>
      </w:r>
      <w:r w:rsidR="00B1324E">
        <w:rPr>
          <w:rFonts w:cstheme="minorHAnsi"/>
        </w:rPr>
        <w:t>(</w:t>
      </w:r>
      <w:r w:rsidR="00274EB9">
        <w:rPr>
          <w:rFonts w:cstheme="minorHAnsi"/>
        </w:rPr>
        <w:t>malih preradbenih kapaciteta)</w:t>
      </w:r>
      <w:r w:rsidR="008878A0">
        <w:rPr>
          <w:rFonts w:cstheme="minorHAnsi"/>
        </w:rPr>
        <w:t xml:space="preserve"> koji proizvode sir i vrhnje te jaja, a koji svoje proizvode uglavnom prodaju na kućnom pragu ili na tržnicama.</w:t>
      </w:r>
    </w:p>
    <w:p w14:paraId="41868BE4" w14:textId="23337DC3" w:rsidR="00492735" w:rsidRDefault="00492735" w:rsidP="00941871">
      <w:pPr>
        <w:rPr>
          <w:rFonts w:cstheme="minorHAnsi"/>
        </w:rPr>
      </w:pPr>
      <w:r>
        <w:rPr>
          <w:rFonts w:cstheme="minorHAnsi"/>
        </w:rPr>
        <w:t>Sukladno informacijama s terena, oprema za poljoprivrednu proizvodnju je uglavnom starija,</w:t>
      </w:r>
      <w:r w:rsidR="0044377B">
        <w:rPr>
          <w:rFonts w:cstheme="minorHAnsi"/>
        </w:rPr>
        <w:t xml:space="preserve"> a</w:t>
      </w:r>
      <w:r>
        <w:rPr>
          <w:rFonts w:cstheme="minorHAnsi"/>
        </w:rPr>
        <w:t xml:space="preserve"> većina gospodarstava nema znanja niti financijskih sredstava za ulaganje u nove tehnologije i preradu. </w:t>
      </w:r>
      <w:r w:rsidR="0044377B">
        <w:rPr>
          <w:rFonts w:cstheme="minorHAnsi"/>
        </w:rPr>
        <w:t xml:space="preserve">Međutim, evidentirana je i nekolicina poljoprivrednika koji uspješno posluju i primjenjuju nova znanja i tehnologije te djeluju kao predvodnici i pokretači daljnjeg razvoja poljoprivrede. </w:t>
      </w:r>
    </w:p>
    <w:p w14:paraId="27A37723" w14:textId="795ABF7A" w:rsidR="00491235" w:rsidRDefault="00D93C61" w:rsidP="00941871">
      <w:pPr>
        <w:rPr>
          <w:rFonts w:cstheme="minorHAnsi"/>
        </w:rPr>
      </w:pPr>
      <w:r>
        <w:rPr>
          <w:rFonts w:cstheme="minorHAnsi"/>
        </w:rPr>
        <w:t>N</w:t>
      </w:r>
      <w:r w:rsidR="00491235">
        <w:rPr>
          <w:rFonts w:cstheme="minorHAnsi"/>
        </w:rPr>
        <w:t xml:space="preserve">a području </w:t>
      </w:r>
      <w:r>
        <w:rPr>
          <w:rFonts w:cstheme="minorHAnsi"/>
        </w:rPr>
        <w:t>Krapinsk</w:t>
      </w:r>
      <w:r w:rsidR="00960F14">
        <w:rPr>
          <w:rFonts w:cstheme="minorHAnsi"/>
        </w:rPr>
        <w:t>o-zagorske županije registrirane</w:t>
      </w:r>
      <w:r>
        <w:rPr>
          <w:rFonts w:cstheme="minorHAnsi"/>
        </w:rPr>
        <w:t xml:space="preserve"> su udruge</w:t>
      </w:r>
      <w:r w:rsidR="00491235">
        <w:rPr>
          <w:rFonts w:cstheme="minorHAnsi"/>
        </w:rPr>
        <w:t xml:space="preserve"> koje okupljaju poljoprivredne proizvođače, </w:t>
      </w:r>
      <w:r>
        <w:rPr>
          <w:rFonts w:cstheme="minorHAnsi"/>
        </w:rPr>
        <w:t xml:space="preserve">no </w:t>
      </w:r>
      <w:r w:rsidR="00491235">
        <w:rPr>
          <w:rFonts w:cstheme="minorHAnsi"/>
        </w:rPr>
        <w:t>oni se većinom udružuju radi razmjene iskustava, promocije i edukacije. Nedostaje ciljanog udruživanja radi zajedničkog nastupa na tržištu naba</w:t>
      </w:r>
      <w:r>
        <w:rPr>
          <w:rFonts w:cstheme="minorHAnsi"/>
        </w:rPr>
        <w:t>ve i prodaje ili zajedničkog korištenja mehanizacije</w:t>
      </w:r>
      <w:r w:rsidR="00346E38">
        <w:rPr>
          <w:rFonts w:cstheme="minorHAnsi"/>
        </w:rPr>
        <w:t>.</w:t>
      </w:r>
      <w:r w:rsidRPr="00A641C0">
        <w:rPr>
          <w:rFonts w:cstheme="minorHAnsi"/>
          <w:highlight w:val="yellow"/>
        </w:rPr>
        <w:t xml:space="preserve"> </w:t>
      </w:r>
    </w:p>
    <w:p w14:paraId="2D5BD9DE" w14:textId="77777777" w:rsidR="008878A0" w:rsidRDefault="008878A0" w:rsidP="00941871">
      <w:pPr>
        <w:rPr>
          <w:rFonts w:eastAsia="Arial Narrow" w:cstheme="minorHAnsi"/>
          <w:spacing w:val="-1"/>
        </w:rPr>
      </w:pPr>
    </w:p>
    <w:p w14:paraId="37C1D9DD" w14:textId="343CB118" w:rsidR="008878A0" w:rsidRDefault="00FE0232" w:rsidP="0052192B">
      <w:pPr>
        <w:pStyle w:val="Naslov2"/>
      </w:pPr>
      <w:bookmarkStart w:id="211" w:name="_Hlk48900666"/>
      <w:bookmarkStart w:id="212" w:name="_Toc85181364"/>
      <w:r>
        <w:t>1</w:t>
      </w:r>
      <w:r w:rsidR="00B601EE">
        <w:t>2</w:t>
      </w:r>
      <w:r w:rsidR="008878A0">
        <w:t>.</w:t>
      </w:r>
      <w:r w:rsidR="00CF50C7">
        <w:t>9</w:t>
      </w:r>
      <w:r w:rsidR="008878A0">
        <w:t>. Mjere potpore</w:t>
      </w:r>
      <w:bookmarkEnd w:id="212"/>
    </w:p>
    <w:bookmarkEnd w:id="211"/>
    <w:p w14:paraId="22CFC050" w14:textId="77777777" w:rsidR="008878A0" w:rsidRPr="00373E79" w:rsidRDefault="008878A0" w:rsidP="00941871">
      <w:pPr>
        <w:rPr>
          <w:rFonts w:eastAsia="Arial Narrow" w:cstheme="minorHAnsi"/>
          <w:spacing w:val="-7"/>
        </w:rPr>
      </w:pPr>
      <w:r>
        <w:rPr>
          <w:rFonts w:eastAsia="Arial Narrow" w:cstheme="minorHAnsi"/>
          <w:spacing w:val="-1"/>
        </w:rPr>
        <w:br/>
      </w:r>
      <w:r w:rsidRPr="00373E79">
        <w:rPr>
          <w:rFonts w:eastAsia="Arial Narrow" w:cstheme="minorHAnsi"/>
          <w:spacing w:val="-1"/>
        </w:rPr>
        <w:t>K</w:t>
      </w:r>
      <w:r w:rsidRPr="00373E79">
        <w:rPr>
          <w:rFonts w:eastAsia="Arial Narrow" w:cstheme="minorHAnsi"/>
        </w:rPr>
        <w:t>rap</w:t>
      </w:r>
      <w:r w:rsidRPr="00373E79">
        <w:rPr>
          <w:rFonts w:eastAsia="Arial Narrow" w:cstheme="minorHAnsi"/>
          <w:spacing w:val="1"/>
        </w:rPr>
        <w:t>i</w:t>
      </w:r>
      <w:r w:rsidRPr="00373E79">
        <w:rPr>
          <w:rFonts w:eastAsia="Arial Narrow" w:cstheme="minorHAnsi"/>
        </w:rPr>
        <w:t>n</w:t>
      </w:r>
      <w:r w:rsidRPr="00373E79">
        <w:rPr>
          <w:rFonts w:eastAsia="Arial Narrow" w:cstheme="minorHAnsi"/>
          <w:spacing w:val="-2"/>
        </w:rPr>
        <w:t>s</w:t>
      </w:r>
      <w:r w:rsidRPr="00373E79">
        <w:rPr>
          <w:rFonts w:eastAsia="Arial Narrow" w:cstheme="minorHAnsi"/>
          <w:spacing w:val="1"/>
        </w:rPr>
        <w:t>k</w:t>
      </w:r>
      <w:r w:rsidRPr="00373E79">
        <w:rPr>
          <w:rFonts w:eastAsia="Arial Narrow" w:cstheme="minorHAnsi"/>
        </w:rPr>
        <w:t>o-</w:t>
      </w:r>
      <w:r w:rsidRPr="00373E79">
        <w:rPr>
          <w:rFonts w:eastAsia="Arial Narrow" w:cstheme="minorHAnsi"/>
          <w:spacing w:val="1"/>
        </w:rPr>
        <w:t>z</w:t>
      </w:r>
      <w:r w:rsidRPr="00373E79">
        <w:rPr>
          <w:rFonts w:eastAsia="Arial Narrow" w:cstheme="minorHAnsi"/>
        </w:rPr>
        <w:t>a</w:t>
      </w:r>
      <w:r w:rsidRPr="00373E79">
        <w:rPr>
          <w:rFonts w:eastAsia="Arial Narrow" w:cstheme="minorHAnsi"/>
          <w:spacing w:val="-2"/>
        </w:rPr>
        <w:t>g</w:t>
      </w:r>
      <w:r w:rsidRPr="00373E79">
        <w:rPr>
          <w:rFonts w:eastAsia="Arial Narrow" w:cstheme="minorHAnsi"/>
        </w:rPr>
        <w:t>or</w:t>
      </w:r>
      <w:r w:rsidRPr="00373E79">
        <w:rPr>
          <w:rFonts w:eastAsia="Arial Narrow" w:cstheme="minorHAnsi"/>
          <w:spacing w:val="1"/>
        </w:rPr>
        <w:t>s</w:t>
      </w:r>
      <w:r w:rsidRPr="00373E79">
        <w:rPr>
          <w:rFonts w:eastAsia="Arial Narrow" w:cstheme="minorHAnsi"/>
          <w:spacing w:val="-2"/>
        </w:rPr>
        <w:t>k</w:t>
      </w:r>
      <w:r w:rsidRPr="00373E79">
        <w:rPr>
          <w:rFonts w:eastAsia="Arial Narrow" w:cstheme="minorHAnsi"/>
        </w:rPr>
        <w:t>a</w:t>
      </w:r>
      <w:r w:rsidRPr="00373E79">
        <w:rPr>
          <w:rFonts w:eastAsia="Arial Narrow" w:cstheme="minorHAnsi"/>
          <w:spacing w:val="-4"/>
        </w:rPr>
        <w:t xml:space="preserve"> </w:t>
      </w:r>
      <w:r w:rsidRPr="00373E79">
        <w:rPr>
          <w:rFonts w:eastAsia="Arial Narrow" w:cstheme="minorHAnsi"/>
          <w:spacing w:val="1"/>
        </w:rPr>
        <w:t>ž</w:t>
      </w:r>
      <w:r w:rsidRPr="00373E79">
        <w:rPr>
          <w:rFonts w:eastAsia="Arial Narrow" w:cstheme="minorHAnsi"/>
        </w:rPr>
        <w:t>u</w:t>
      </w:r>
      <w:r w:rsidRPr="00373E79">
        <w:rPr>
          <w:rFonts w:eastAsia="Arial Narrow" w:cstheme="minorHAnsi"/>
          <w:spacing w:val="-2"/>
        </w:rPr>
        <w:t>p</w:t>
      </w:r>
      <w:r w:rsidRPr="00373E79">
        <w:rPr>
          <w:rFonts w:eastAsia="Arial Narrow" w:cstheme="minorHAnsi"/>
        </w:rPr>
        <w:t>an</w:t>
      </w:r>
      <w:r w:rsidRPr="00373E79">
        <w:rPr>
          <w:rFonts w:eastAsia="Arial Narrow" w:cstheme="minorHAnsi"/>
          <w:spacing w:val="1"/>
        </w:rPr>
        <w:t>i</w:t>
      </w:r>
      <w:r w:rsidRPr="00373E79">
        <w:rPr>
          <w:rFonts w:eastAsia="Arial Narrow" w:cstheme="minorHAnsi"/>
          <w:spacing w:val="-2"/>
        </w:rPr>
        <w:t>j</w:t>
      </w:r>
      <w:r w:rsidRPr="00373E79">
        <w:rPr>
          <w:rFonts w:eastAsia="Arial Narrow" w:cstheme="minorHAnsi"/>
        </w:rPr>
        <w:t>a</w:t>
      </w:r>
      <w:r w:rsidRPr="00373E79">
        <w:rPr>
          <w:rFonts w:eastAsia="Arial Narrow" w:cstheme="minorHAnsi"/>
          <w:spacing w:val="-4"/>
        </w:rPr>
        <w:t xml:space="preserve"> </w:t>
      </w:r>
      <w:r w:rsidRPr="00373E79">
        <w:rPr>
          <w:rFonts w:eastAsia="Arial Narrow" w:cstheme="minorHAnsi"/>
          <w:spacing w:val="-2"/>
        </w:rPr>
        <w:t>k</w:t>
      </w:r>
      <w:r w:rsidRPr="00373E79">
        <w:rPr>
          <w:rFonts w:eastAsia="Arial Narrow" w:cstheme="minorHAnsi"/>
        </w:rPr>
        <w:t>roz niz</w:t>
      </w:r>
      <w:r w:rsidRPr="00373E79">
        <w:rPr>
          <w:rFonts w:eastAsia="Arial Narrow" w:cstheme="minorHAnsi"/>
          <w:spacing w:val="-4"/>
        </w:rPr>
        <w:t xml:space="preserve"> različitih poticajnih mjera </w:t>
      </w:r>
      <w:r w:rsidRPr="00373E79">
        <w:rPr>
          <w:rFonts w:eastAsia="Arial Narrow" w:cstheme="minorHAnsi"/>
        </w:rPr>
        <w:t>na</w:t>
      </w:r>
      <w:r w:rsidRPr="00373E79">
        <w:rPr>
          <w:rFonts w:eastAsia="Arial Narrow" w:cstheme="minorHAnsi"/>
          <w:spacing w:val="1"/>
        </w:rPr>
        <w:t>s</w:t>
      </w:r>
      <w:r w:rsidRPr="00373E79">
        <w:rPr>
          <w:rFonts w:eastAsia="Arial Narrow" w:cstheme="minorHAnsi"/>
          <w:spacing w:val="-2"/>
        </w:rPr>
        <w:t>t</w:t>
      </w:r>
      <w:r w:rsidRPr="00373E79">
        <w:rPr>
          <w:rFonts w:eastAsia="Arial Narrow" w:cstheme="minorHAnsi"/>
        </w:rPr>
        <w:t>o</w:t>
      </w:r>
      <w:r w:rsidRPr="00373E79">
        <w:rPr>
          <w:rFonts w:eastAsia="Arial Narrow" w:cstheme="minorHAnsi"/>
          <w:spacing w:val="1"/>
        </w:rPr>
        <w:t>j</w:t>
      </w:r>
      <w:r w:rsidRPr="00373E79">
        <w:rPr>
          <w:rFonts w:eastAsia="Arial Narrow" w:cstheme="minorHAnsi"/>
        </w:rPr>
        <w:t>i</w:t>
      </w:r>
      <w:r w:rsidRPr="00373E79">
        <w:rPr>
          <w:rFonts w:eastAsia="Arial Narrow" w:cstheme="minorHAnsi"/>
          <w:spacing w:val="-4"/>
        </w:rPr>
        <w:t xml:space="preserve"> </w:t>
      </w:r>
      <w:r w:rsidRPr="00373E79">
        <w:rPr>
          <w:rFonts w:eastAsia="Arial Narrow" w:cstheme="minorHAnsi"/>
          <w:spacing w:val="-2"/>
        </w:rPr>
        <w:t>p</w:t>
      </w:r>
      <w:r w:rsidRPr="00373E79">
        <w:rPr>
          <w:rFonts w:eastAsia="Arial Narrow" w:cstheme="minorHAnsi"/>
        </w:rPr>
        <w:t>otpo</w:t>
      </w:r>
      <w:r w:rsidRPr="00373E79">
        <w:rPr>
          <w:rFonts w:eastAsia="Arial Narrow" w:cstheme="minorHAnsi"/>
          <w:spacing w:val="-2"/>
        </w:rPr>
        <w:t>m</w:t>
      </w:r>
      <w:r w:rsidRPr="00373E79">
        <w:rPr>
          <w:rFonts w:eastAsia="Arial Narrow" w:cstheme="minorHAnsi"/>
        </w:rPr>
        <w:t>agati</w:t>
      </w:r>
      <w:r w:rsidRPr="00373E79">
        <w:rPr>
          <w:rFonts w:eastAsia="Arial Narrow" w:cstheme="minorHAnsi"/>
          <w:spacing w:val="-6"/>
        </w:rPr>
        <w:t xml:space="preserve"> </w:t>
      </w:r>
      <w:r w:rsidRPr="00373E79">
        <w:rPr>
          <w:rFonts w:eastAsia="Arial Narrow" w:cstheme="minorHAnsi"/>
          <w:spacing w:val="1"/>
        </w:rPr>
        <w:t>z</w:t>
      </w:r>
      <w:r w:rsidRPr="00373E79">
        <w:rPr>
          <w:rFonts w:eastAsia="Arial Narrow" w:cstheme="minorHAnsi"/>
          <w:spacing w:val="-2"/>
        </w:rPr>
        <w:t>a</w:t>
      </w:r>
      <w:r w:rsidRPr="00373E79">
        <w:rPr>
          <w:rFonts w:eastAsia="Arial Narrow" w:cstheme="minorHAnsi"/>
        </w:rPr>
        <w:t>gor</w:t>
      </w:r>
      <w:r w:rsidRPr="00373E79">
        <w:rPr>
          <w:rFonts w:eastAsia="Arial Narrow" w:cstheme="minorHAnsi"/>
          <w:spacing w:val="1"/>
        </w:rPr>
        <w:t>sk</w:t>
      </w:r>
      <w:r w:rsidRPr="00373E79">
        <w:rPr>
          <w:rFonts w:eastAsia="Arial Narrow" w:cstheme="minorHAnsi"/>
        </w:rPr>
        <w:t>e</w:t>
      </w:r>
      <w:r w:rsidRPr="00373E79">
        <w:rPr>
          <w:rFonts w:eastAsia="Arial Narrow" w:cstheme="minorHAnsi"/>
          <w:spacing w:val="-4"/>
        </w:rPr>
        <w:t xml:space="preserve"> </w:t>
      </w:r>
      <w:r w:rsidRPr="00373E79">
        <w:rPr>
          <w:rFonts w:eastAsia="Arial Narrow" w:cstheme="minorHAnsi"/>
          <w:spacing w:val="-2"/>
        </w:rPr>
        <w:t>p</w:t>
      </w:r>
      <w:r w:rsidRPr="00373E79">
        <w:rPr>
          <w:rFonts w:eastAsia="Arial Narrow" w:cstheme="minorHAnsi"/>
        </w:rPr>
        <w:t>o</w:t>
      </w:r>
      <w:r w:rsidRPr="00373E79">
        <w:rPr>
          <w:rFonts w:eastAsia="Arial Narrow" w:cstheme="minorHAnsi"/>
          <w:spacing w:val="1"/>
        </w:rPr>
        <w:t>lj</w:t>
      </w:r>
      <w:r w:rsidRPr="00373E79">
        <w:rPr>
          <w:rFonts w:eastAsia="Arial Narrow" w:cstheme="minorHAnsi"/>
          <w:spacing w:val="-2"/>
        </w:rPr>
        <w:t>o</w:t>
      </w:r>
      <w:r w:rsidRPr="00373E79">
        <w:rPr>
          <w:rFonts w:eastAsia="Arial Narrow" w:cstheme="minorHAnsi"/>
        </w:rPr>
        <w:t>pr</w:t>
      </w:r>
      <w:r w:rsidRPr="00373E79">
        <w:rPr>
          <w:rFonts w:eastAsia="Arial Narrow" w:cstheme="minorHAnsi"/>
          <w:spacing w:val="1"/>
        </w:rPr>
        <w:t>iv</w:t>
      </w:r>
      <w:r w:rsidRPr="00373E79">
        <w:rPr>
          <w:rFonts w:eastAsia="Arial Narrow" w:cstheme="minorHAnsi"/>
          <w:spacing w:val="-3"/>
        </w:rPr>
        <w:t>r</w:t>
      </w:r>
      <w:r w:rsidRPr="00373E79">
        <w:rPr>
          <w:rFonts w:eastAsia="Arial Narrow" w:cstheme="minorHAnsi"/>
        </w:rPr>
        <w:t>edn</w:t>
      </w:r>
      <w:r w:rsidRPr="00373E79">
        <w:rPr>
          <w:rFonts w:eastAsia="Arial Narrow" w:cstheme="minorHAnsi"/>
          <w:spacing w:val="-2"/>
        </w:rPr>
        <w:t>i</w:t>
      </w:r>
      <w:r w:rsidRPr="00373E79">
        <w:rPr>
          <w:rFonts w:eastAsia="Arial Narrow" w:cstheme="minorHAnsi"/>
          <w:spacing w:val="1"/>
        </w:rPr>
        <w:t>k</w:t>
      </w:r>
      <w:r w:rsidRPr="00373E79">
        <w:rPr>
          <w:rFonts w:eastAsia="Arial Narrow" w:cstheme="minorHAnsi"/>
        </w:rPr>
        <w:t>e, pod</w:t>
      </w:r>
      <w:r w:rsidRPr="00373E79">
        <w:rPr>
          <w:rFonts w:eastAsia="Arial Narrow" w:cstheme="minorHAnsi"/>
          <w:spacing w:val="1"/>
        </w:rPr>
        <w:t>i</w:t>
      </w:r>
      <w:r w:rsidRPr="00373E79">
        <w:rPr>
          <w:rFonts w:eastAsia="Arial Narrow" w:cstheme="minorHAnsi"/>
          <w:spacing w:val="-2"/>
        </w:rPr>
        <w:t>ć</w:t>
      </w:r>
      <w:r w:rsidRPr="00373E79">
        <w:rPr>
          <w:rFonts w:eastAsia="Arial Narrow" w:cstheme="minorHAnsi"/>
        </w:rPr>
        <w:t>i</w:t>
      </w:r>
      <w:r w:rsidRPr="00373E79">
        <w:rPr>
          <w:rFonts w:eastAsia="Arial Narrow" w:cstheme="minorHAnsi"/>
          <w:spacing w:val="-4"/>
        </w:rPr>
        <w:t xml:space="preserve"> </w:t>
      </w:r>
      <w:r w:rsidRPr="00373E79">
        <w:rPr>
          <w:rFonts w:eastAsia="Arial Narrow" w:cstheme="minorHAnsi"/>
        </w:rPr>
        <w:t>r</w:t>
      </w:r>
      <w:r w:rsidRPr="00373E79">
        <w:rPr>
          <w:rFonts w:eastAsia="Arial Narrow" w:cstheme="minorHAnsi"/>
          <w:spacing w:val="-2"/>
        </w:rPr>
        <w:t>a</w:t>
      </w:r>
      <w:r w:rsidRPr="00373E79">
        <w:rPr>
          <w:rFonts w:eastAsia="Arial Narrow" w:cstheme="minorHAnsi"/>
          <w:spacing w:val="1"/>
        </w:rPr>
        <w:t>zi</w:t>
      </w:r>
      <w:r w:rsidRPr="00373E79">
        <w:rPr>
          <w:rFonts w:eastAsia="Arial Narrow" w:cstheme="minorHAnsi"/>
        </w:rPr>
        <w:t>nu</w:t>
      </w:r>
      <w:r w:rsidRPr="00373E79">
        <w:rPr>
          <w:rFonts w:eastAsia="Arial Narrow" w:cstheme="minorHAnsi"/>
          <w:spacing w:val="-7"/>
        </w:rPr>
        <w:t xml:space="preserve"> </w:t>
      </w:r>
      <w:r w:rsidRPr="00373E79">
        <w:rPr>
          <w:rFonts w:eastAsia="Arial Narrow" w:cstheme="minorHAnsi"/>
          <w:spacing w:val="-2"/>
        </w:rPr>
        <w:t>k</w:t>
      </w:r>
      <w:r w:rsidRPr="00373E79">
        <w:rPr>
          <w:rFonts w:eastAsia="Arial Narrow" w:cstheme="minorHAnsi"/>
          <w:spacing w:val="1"/>
        </w:rPr>
        <w:t>v</w:t>
      </w:r>
      <w:r w:rsidRPr="00373E79">
        <w:rPr>
          <w:rFonts w:eastAsia="Arial Narrow" w:cstheme="minorHAnsi"/>
        </w:rPr>
        <w:t>a</w:t>
      </w:r>
      <w:r w:rsidRPr="00373E79">
        <w:rPr>
          <w:rFonts w:eastAsia="Arial Narrow" w:cstheme="minorHAnsi"/>
          <w:spacing w:val="1"/>
        </w:rPr>
        <w:t>li</w:t>
      </w:r>
      <w:r w:rsidRPr="00373E79">
        <w:rPr>
          <w:rFonts w:eastAsia="Arial Narrow" w:cstheme="minorHAnsi"/>
          <w:spacing w:val="-2"/>
        </w:rPr>
        <w:t>t</w:t>
      </w:r>
      <w:r w:rsidRPr="00373E79">
        <w:rPr>
          <w:rFonts w:eastAsia="Arial Narrow" w:cstheme="minorHAnsi"/>
        </w:rPr>
        <w:t>ete</w:t>
      </w:r>
      <w:r w:rsidRPr="00373E79">
        <w:rPr>
          <w:rFonts w:eastAsia="Arial Narrow" w:cstheme="minorHAnsi"/>
          <w:spacing w:val="-7"/>
        </w:rPr>
        <w:t xml:space="preserve"> </w:t>
      </w:r>
      <w:r w:rsidRPr="00373E79">
        <w:rPr>
          <w:rFonts w:eastAsia="Arial Narrow" w:cstheme="minorHAnsi"/>
        </w:rPr>
        <w:t>po</w:t>
      </w:r>
      <w:r w:rsidRPr="00373E79">
        <w:rPr>
          <w:rFonts w:eastAsia="Arial Narrow" w:cstheme="minorHAnsi"/>
          <w:spacing w:val="1"/>
        </w:rPr>
        <w:t>l</w:t>
      </w:r>
      <w:r w:rsidRPr="00373E79">
        <w:rPr>
          <w:rFonts w:eastAsia="Arial Narrow" w:cstheme="minorHAnsi"/>
          <w:spacing w:val="-2"/>
        </w:rPr>
        <w:t>j</w:t>
      </w:r>
      <w:r w:rsidRPr="00373E79">
        <w:rPr>
          <w:rFonts w:eastAsia="Arial Narrow" w:cstheme="minorHAnsi"/>
        </w:rPr>
        <w:t>opr</w:t>
      </w:r>
      <w:r w:rsidRPr="00373E79">
        <w:rPr>
          <w:rFonts w:eastAsia="Arial Narrow" w:cstheme="minorHAnsi"/>
          <w:spacing w:val="1"/>
        </w:rPr>
        <w:t>i</w:t>
      </w:r>
      <w:r w:rsidRPr="00373E79">
        <w:rPr>
          <w:rFonts w:eastAsia="Arial Narrow" w:cstheme="minorHAnsi"/>
          <w:spacing w:val="-2"/>
        </w:rPr>
        <w:t>v</w:t>
      </w:r>
      <w:r w:rsidRPr="00373E79">
        <w:rPr>
          <w:rFonts w:eastAsia="Arial Narrow" w:cstheme="minorHAnsi"/>
        </w:rPr>
        <w:t>redn</w:t>
      </w:r>
      <w:r w:rsidRPr="00373E79">
        <w:rPr>
          <w:rFonts w:eastAsia="Arial Narrow" w:cstheme="minorHAnsi"/>
          <w:spacing w:val="1"/>
        </w:rPr>
        <w:t>i</w:t>
      </w:r>
      <w:r w:rsidRPr="00373E79">
        <w:rPr>
          <w:rFonts w:eastAsia="Arial Narrow" w:cstheme="minorHAnsi"/>
        </w:rPr>
        <w:t>h</w:t>
      </w:r>
      <w:r w:rsidRPr="00373E79">
        <w:rPr>
          <w:rFonts w:eastAsia="Arial Narrow" w:cstheme="minorHAnsi"/>
          <w:spacing w:val="-7"/>
        </w:rPr>
        <w:t xml:space="preserve"> </w:t>
      </w:r>
      <w:r w:rsidRPr="00373E79">
        <w:rPr>
          <w:rFonts w:eastAsia="Arial Narrow" w:cstheme="minorHAnsi"/>
        </w:rPr>
        <w:t>prehr</w:t>
      </w:r>
      <w:r w:rsidRPr="00373E79">
        <w:rPr>
          <w:rFonts w:eastAsia="Arial Narrow" w:cstheme="minorHAnsi"/>
          <w:spacing w:val="-2"/>
        </w:rPr>
        <w:t>a</w:t>
      </w:r>
      <w:r w:rsidRPr="00373E79">
        <w:rPr>
          <w:rFonts w:eastAsia="Arial Narrow" w:cstheme="minorHAnsi"/>
        </w:rPr>
        <w:t>mben</w:t>
      </w:r>
      <w:r w:rsidRPr="00373E79">
        <w:rPr>
          <w:rFonts w:eastAsia="Arial Narrow" w:cstheme="minorHAnsi"/>
          <w:spacing w:val="-2"/>
        </w:rPr>
        <w:t>i</w:t>
      </w:r>
      <w:r w:rsidRPr="00373E79">
        <w:rPr>
          <w:rFonts w:eastAsia="Arial Narrow" w:cstheme="minorHAnsi"/>
        </w:rPr>
        <w:t>h</w:t>
      </w:r>
      <w:r w:rsidRPr="00373E79">
        <w:rPr>
          <w:rFonts w:eastAsia="Arial Narrow" w:cstheme="minorHAnsi"/>
          <w:spacing w:val="-4"/>
        </w:rPr>
        <w:t xml:space="preserve"> </w:t>
      </w:r>
      <w:r w:rsidRPr="00373E79">
        <w:rPr>
          <w:rFonts w:eastAsia="Arial Narrow" w:cstheme="minorHAnsi"/>
        </w:rPr>
        <w:t>i</w:t>
      </w:r>
      <w:r w:rsidRPr="00373E79">
        <w:rPr>
          <w:rFonts w:eastAsia="Arial Narrow" w:cstheme="minorHAnsi"/>
          <w:spacing w:val="-6"/>
        </w:rPr>
        <w:t xml:space="preserve"> </w:t>
      </w:r>
      <w:r w:rsidRPr="00373E79">
        <w:rPr>
          <w:rFonts w:eastAsia="Arial Narrow" w:cstheme="minorHAnsi"/>
          <w:spacing w:val="-2"/>
        </w:rPr>
        <w:t>š</w:t>
      </w:r>
      <w:r w:rsidRPr="00373E79">
        <w:rPr>
          <w:rFonts w:eastAsia="Arial Narrow" w:cstheme="minorHAnsi"/>
        </w:rPr>
        <w:t>um</w:t>
      </w:r>
      <w:r w:rsidRPr="00373E79">
        <w:rPr>
          <w:rFonts w:eastAsia="Arial Narrow" w:cstheme="minorHAnsi"/>
          <w:spacing w:val="-2"/>
        </w:rPr>
        <w:t>s</w:t>
      </w:r>
      <w:r w:rsidRPr="00373E79">
        <w:rPr>
          <w:rFonts w:eastAsia="Arial Narrow" w:cstheme="minorHAnsi"/>
          <w:spacing w:val="1"/>
        </w:rPr>
        <w:t>ki</w:t>
      </w:r>
      <w:r w:rsidRPr="00373E79">
        <w:rPr>
          <w:rFonts w:eastAsia="Arial Narrow" w:cstheme="minorHAnsi"/>
        </w:rPr>
        <w:t>h</w:t>
      </w:r>
      <w:r w:rsidRPr="00373E79">
        <w:rPr>
          <w:rFonts w:eastAsia="Arial Narrow" w:cstheme="minorHAnsi"/>
          <w:spacing w:val="-7"/>
        </w:rPr>
        <w:t xml:space="preserve"> </w:t>
      </w:r>
      <w:r w:rsidRPr="00373E79">
        <w:rPr>
          <w:rFonts w:eastAsia="Arial Narrow" w:cstheme="minorHAnsi"/>
        </w:rPr>
        <w:t>pro</w:t>
      </w:r>
      <w:r w:rsidRPr="00373E79">
        <w:rPr>
          <w:rFonts w:eastAsia="Arial Narrow" w:cstheme="minorHAnsi"/>
          <w:spacing w:val="-2"/>
        </w:rPr>
        <w:t>i</w:t>
      </w:r>
      <w:r w:rsidRPr="00373E79">
        <w:rPr>
          <w:rFonts w:eastAsia="Arial Narrow" w:cstheme="minorHAnsi"/>
          <w:spacing w:val="1"/>
        </w:rPr>
        <w:t>zv</w:t>
      </w:r>
      <w:r w:rsidRPr="00373E79">
        <w:rPr>
          <w:rFonts w:eastAsia="Arial Narrow" w:cstheme="minorHAnsi"/>
        </w:rPr>
        <w:t>o</w:t>
      </w:r>
      <w:r w:rsidRPr="00373E79">
        <w:rPr>
          <w:rFonts w:eastAsia="Arial Narrow" w:cstheme="minorHAnsi"/>
          <w:spacing w:val="-2"/>
        </w:rPr>
        <w:t>d</w:t>
      </w:r>
      <w:r w:rsidRPr="00373E79">
        <w:rPr>
          <w:rFonts w:eastAsia="Arial Narrow" w:cstheme="minorHAnsi"/>
        </w:rPr>
        <w:t>a</w:t>
      </w:r>
      <w:r w:rsidRPr="00373E79">
        <w:rPr>
          <w:rFonts w:eastAsia="Arial Narrow" w:cstheme="minorHAnsi"/>
          <w:spacing w:val="-4"/>
        </w:rPr>
        <w:t xml:space="preserve"> </w:t>
      </w:r>
      <w:r w:rsidRPr="00373E79">
        <w:rPr>
          <w:rFonts w:eastAsia="Arial Narrow" w:cstheme="minorHAnsi"/>
        </w:rPr>
        <w:t>te</w:t>
      </w:r>
      <w:r w:rsidRPr="00373E79">
        <w:rPr>
          <w:rFonts w:eastAsia="Arial Narrow" w:cstheme="minorHAnsi"/>
          <w:spacing w:val="-7"/>
        </w:rPr>
        <w:t xml:space="preserve"> </w:t>
      </w:r>
      <w:r w:rsidRPr="00373E79">
        <w:rPr>
          <w:rFonts w:eastAsia="Arial Narrow" w:cstheme="minorHAnsi"/>
        </w:rPr>
        <w:t>o</w:t>
      </w:r>
      <w:r w:rsidRPr="00373E79">
        <w:rPr>
          <w:rFonts w:eastAsia="Arial Narrow" w:cstheme="minorHAnsi"/>
          <w:spacing w:val="-2"/>
        </w:rPr>
        <w:t>s</w:t>
      </w:r>
      <w:r w:rsidRPr="00373E79">
        <w:rPr>
          <w:rFonts w:eastAsia="Arial Narrow" w:cstheme="minorHAnsi"/>
          <w:spacing w:val="1"/>
        </w:rPr>
        <w:t>i</w:t>
      </w:r>
      <w:r w:rsidRPr="00373E79">
        <w:rPr>
          <w:rFonts w:eastAsia="Arial Narrow" w:cstheme="minorHAnsi"/>
        </w:rPr>
        <w:t>gura</w:t>
      </w:r>
      <w:r w:rsidRPr="00373E79">
        <w:rPr>
          <w:rFonts w:eastAsia="Arial Narrow" w:cstheme="minorHAnsi"/>
          <w:spacing w:val="-2"/>
        </w:rPr>
        <w:t>t</w:t>
      </w:r>
      <w:r w:rsidRPr="00373E79">
        <w:rPr>
          <w:rFonts w:eastAsia="Arial Narrow" w:cstheme="minorHAnsi"/>
        </w:rPr>
        <w:t>i</w:t>
      </w:r>
      <w:r w:rsidRPr="00373E79">
        <w:rPr>
          <w:rFonts w:eastAsia="Arial Narrow" w:cstheme="minorHAnsi"/>
          <w:spacing w:val="-4"/>
        </w:rPr>
        <w:t xml:space="preserve"> </w:t>
      </w:r>
      <w:r w:rsidRPr="00373E79">
        <w:rPr>
          <w:rFonts w:eastAsia="Arial Narrow" w:cstheme="minorHAnsi"/>
          <w:spacing w:val="-2"/>
        </w:rPr>
        <w:t>k</w:t>
      </w:r>
      <w:r w:rsidRPr="00373E79">
        <w:rPr>
          <w:rFonts w:eastAsia="Arial Narrow" w:cstheme="minorHAnsi"/>
        </w:rPr>
        <w:t>on</w:t>
      </w:r>
      <w:r w:rsidRPr="00373E79">
        <w:rPr>
          <w:rFonts w:eastAsia="Arial Narrow" w:cstheme="minorHAnsi"/>
          <w:spacing w:val="1"/>
        </w:rPr>
        <w:t>k</w:t>
      </w:r>
      <w:r w:rsidRPr="00373E79">
        <w:rPr>
          <w:rFonts w:eastAsia="Arial Narrow" w:cstheme="minorHAnsi"/>
        </w:rPr>
        <w:t>u</w:t>
      </w:r>
      <w:r w:rsidRPr="00373E79">
        <w:rPr>
          <w:rFonts w:eastAsia="Arial Narrow" w:cstheme="minorHAnsi"/>
          <w:spacing w:val="-3"/>
        </w:rPr>
        <w:t>r</w:t>
      </w:r>
      <w:r w:rsidRPr="00373E79">
        <w:rPr>
          <w:rFonts w:eastAsia="Arial Narrow" w:cstheme="minorHAnsi"/>
          <w:spacing w:val="-2"/>
        </w:rPr>
        <w:t>e</w:t>
      </w:r>
      <w:r w:rsidRPr="00373E79">
        <w:rPr>
          <w:rFonts w:eastAsia="Arial Narrow" w:cstheme="minorHAnsi"/>
        </w:rPr>
        <w:t>ntno</w:t>
      </w:r>
      <w:r w:rsidRPr="00373E79">
        <w:rPr>
          <w:rFonts w:eastAsia="Arial Narrow" w:cstheme="minorHAnsi"/>
          <w:spacing w:val="1"/>
        </w:rPr>
        <w:t>s</w:t>
      </w:r>
      <w:r w:rsidRPr="00373E79">
        <w:rPr>
          <w:rFonts w:eastAsia="Arial Narrow" w:cstheme="minorHAnsi"/>
        </w:rPr>
        <w:t>t</w:t>
      </w:r>
      <w:r w:rsidRPr="00373E79">
        <w:rPr>
          <w:rFonts w:eastAsia="Arial Narrow" w:cstheme="minorHAnsi"/>
          <w:spacing w:val="-7"/>
        </w:rPr>
        <w:t xml:space="preserve"> </w:t>
      </w:r>
      <w:r w:rsidRPr="00373E79">
        <w:rPr>
          <w:rFonts w:eastAsia="Arial Narrow" w:cstheme="minorHAnsi"/>
        </w:rPr>
        <w:t>na</w:t>
      </w:r>
      <w:r w:rsidRPr="00373E79">
        <w:rPr>
          <w:rFonts w:eastAsia="Arial Narrow" w:cstheme="minorHAnsi"/>
          <w:spacing w:val="-7"/>
        </w:rPr>
        <w:t xml:space="preserve"> </w:t>
      </w:r>
      <w:r w:rsidRPr="00373E79">
        <w:rPr>
          <w:rFonts w:eastAsia="Arial Narrow" w:cstheme="minorHAnsi"/>
        </w:rPr>
        <w:t>tr</w:t>
      </w:r>
      <w:r w:rsidRPr="00373E79">
        <w:rPr>
          <w:rFonts w:eastAsia="Arial Narrow" w:cstheme="minorHAnsi"/>
          <w:spacing w:val="1"/>
        </w:rPr>
        <w:t>ž</w:t>
      </w:r>
      <w:r w:rsidRPr="00373E79">
        <w:rPr>
          <w:rFonts w:eastAsia="Arial Narrow" w:cstheme="minorHAnsi"/>
          <w:spacing w:val="-2"/>
        </w:rPr>
        <w:t>i</w:t>
      </w:r>
      <w:r w:rsidRPr="00373E79">
        <w:rPr>
          <w:rFonts w:eastAsia="Arial Narrow" w:cstheme="minorHAnsi"/>
          <w:spacing w:val="1"/>
        </w:rPr>
        <w:t>š</w:t>
      </w:r>
      <w:r w:rsidRPr="00373E79">
        <w:rPr>
          <w:rFonts w:eastAsia="Arial Narrow" w:cstheme="minorHAnsi"/>
        </w:rPr>
        <w:t>tu.</w:t>
      </w:r>
      <w:r w:rsidRPr="00373E79">
        <w:rPr>
          <w:rFonts w:eastAsia="Arial Narrow" w:cstheme="minorHAnsi"/>
          <w:spacing w:val="-7"/>
        </w:rPr>
        <w:t xml:space="preserve"> </w:t>
      </w:r>
    </w:p>
    <w:p w14:paraId="17118C6A" w14:textId="50D6EFFF" w:rsidR="008878A0" w:rsidRDefault="008878A0" w:rsidP="00941871">
      <w:pPr>
        <w:rPr>
          <w:rFonts w:cstheme="minorHAnsi"/>
          <w:lang w:eastAsia="hr-HR"/>
        </w:rPr>
      </w:pPr>
      <w:r w:rsidRPr="007907B3">
        <w:rPr>
          <w:rFonts w:cstheme="minorHAnsi"/>
          <w:lang w:eastAsia="hr-HR"/>
        </w:rPr>
        <w:t xml:space="preserve">U posljednje 3 godine </w:t>
      </w:r>
      <w:r w:rsidR="001A76EF" w:rsidRPr="007907B3">
        <w:rPr>
          <w:rFonts w:cstheme="minorHAnsi"/>
          <w:lang w:eastAsia="hr-HR"/>
        </w:rPr>
        <w:t xml:space="preserve">iz Županijskog proračuna </w:t>
      </w:r>
      <w:r w:rsidRPr="007907B3">
        <w:rPr>
          <w:rFonts w:cstheme="minorHAnsi"/>
          <w:lang w:eastAsia="hr-HR"/>
        </w:rPr>
        <w:t xml:space="preserve">dodijeljeno je </w:t>
      </w:r>
      <w:r w:rsidRPr="00373E79">
        <w:rPr>
          <w:rFonts w:cstheme="minorHAnsi"/>
          <w:lang w:eastAsia="hr-HR"/>
        </w:rPr>
        <w:t>4.620.019,35 kuna potpore za 303 poljoprivrednika. Riječ je o mjerama potpore kojima se sufinanciraju prihvatljive aktivnosti (troškovi) u</w:t>
      </w:r>
      <w:r w:rsidR="00700F47">
        <w:rPr>
          <w:rFonts w:cstheme="minorHAnsi"/>
          <w:lang w:eastAsia="hr-HR"/>
        </w:rPr>
        <w:t xml:space="preserve"> iznosu </w:t>
      </w:r>
      <w:r w:rsidRPr="00373E79">
        <w:rPr>
          <w:rFonts w:cstheme="minorHAnsi"/>
          <w:lang w:eastAsia="hr-HR"/>
        </w:rPr>
        <w:t>do 75%, a najviše do 50.000,00 kuna</w:t>
      </w:r>
      <w:r w:rsidR="003C7DEF">
        <w:rPr>
          <w:rFonts w:cstheme="minorHAnsi"/>
          <w:lang w:eastAsia="hr-HR"/>
        </w:rPr>
        <w:t xml:space="preserve"> (</w:t>
      </w:r>
      <w:r w:rsidR="00F652FB">
        <w:rPr>
          <w:rFonts w:cstheme="minorHAnsi"/>
          <w:lang w:eastAsia="hr-HR"/>
        </w:rPr>
        <w:t>postotak sufinanciranja računa se od ukupno prihvatljivih aktivnosti)</w:t>
      </w:r>
      <w:r w:rsidRPr="00373E79">
        <w:rPr>
          <w:rFonts w:cstheme="minorHAnsi"/>
          <w:lang w:eastAsia="hr-HR"/>
        </w:rPr>
        <w:t xml:space="preserve">. Mjere potpore u 2018. godini bile su: Potpora za povećanje poljoprivredne proizvodnje, Potpora za povećanje stočarske proizvodnje na području Krapinsko-zagorske županije, Potpora za uzgoj zagorskog purana, Potpora za ulaganje u modernizaciju i povećanje konkurentnosti poljoprivrednika u preradi i stavljanju na tržište poljoprivrednih i prehrambenih proizvoda, Potpora za poboljšanje uvjeta uzgoja zagorskog purana na području KZŽ, Potpora za zaštitu višegodišnjih nasada od padalina na području Krapinsko-zagorske županije, Potpora za pripremu projektne </w:t>
      </w:r>
      <w:r w:rsidRPr="00373E79">
        <w:rPr>
          <w:rFonts w:cstheme="minorHAnsi"/>
          <w:lang w:eastAsia="hr-HR"/>
        </w:rPr>
        <w:lastRenderedPageBreak/>
        <w:t>dokumentacije, Potpora za razvoj poljoprivredne proizvodnje i promociju poljoprivrednih proizvoda,</w:t>
      </w:r>
      <w:r w:rsidRPr="00373E79">
        <w:t xml:space="preserve"> </w:t>
      </w:r>
      <w:r w:rsidRPr="00373E79">
        <w:rPr>
          <w:rFonts w:cstheme="minorHAnsi"/>
          <w:lang w:eastAsia="hr-HR"/>
        </w:rPr>
        <w:t>Potpora poljoprivrednim udrugama koje se bave primarnom proizvodnjom poljoprivrednih proizvoda, Potpora poljoprivrednim udrugama koje se bave preradom te stavljanjem na tržište poljoprivrednih proizvoda. Iznos potpore kao i broj korisnika povećava se iz godine u godinu i</w:t>
      </w:r>
      <w:r w:rsidR="00A641C0">
        <w:rPr>
          <w:rFonts w:cstheme="minorHAnsi"/>
          <w:lang w:eastAsia="hr-HR"/>
        </w:rPr>
        <w:t>z</w:t>
      </w:r>
      <w:r w:rsidRPr="00373E79">
        <w:rPr>
          <w:rFonts w:cstheme="minorHAnsi"/>
          <w:lang w:eastAsia="hr-HR"/>
        </w:rPr>
        <w:t xml:space="preserve"> čega su vidljiva nastojanja županije da ciljano usmjerenim potporama ojača sektor poljoprivrede. </w:t>
      </w:r>
    </w:p>
    <w:p w14:paraId="03F0FD26" w14:textId="77777777" w:rsidR="00FE0232" w:rsidRDefault="00FE0232" w:rsidP="00941871">
      <w:pPr>
        <w:rPr>
          <w:rFonts w:cstheme="minorHAnsi"/>
          <w:lang w:eastAsia="hr-HR"/>
        </w:rPr>
      </w:pPr>
    </w:p>
    <w:p w14:paraId="6E0E2BCF" w14:textId="401CBC7D" w:rsidR="00FE0232" w:rsidRDefault="00FE0232" w:rsidP="0052192B">
      <w:pPr>
        <w:pStyle w:val="Naslov2"/>
      </w:pPr>
      <w:bookmarkStart w:id="213" w:name="_Toc85181365"/>
      <w:r>
        <w:t>1</w:t>
      </w:r>
      <w:r w:rsidR="00B601EE">
        <w:t>2</w:t>
      </w:r>
      <w:r>
        <w:t>.</w:t>
      </w:r>
      <w:r w:rsidR="00CF50C7">
        <w:t>10</w:t>
      </w:r>
      <w:r>
        <w:t>. Učinci epidemioloških mjera na poljoprivrednu djelatnost</w:t>
      </w:r>
      <w:bookmarkEnd w:id="213"/>
    </w:p>
    <w:p w14:paraId="45764E83" w14:textId="77777777" w:rsidR="00FE0232" w:rsidRDefault="00FE0232" w:rsidP="00FE0232"/>
    <w:p w14:paraId="413FE5D2" w14:textId="77777777" w:rsidR="003D260C" w:rsidRPr="00295BFA" w:rsidRDefault="003D260C" w:rsidP="003D260C">
      <w:pPr>
        <w:rPr>
          <w:color w:val="auto"/>
        </w:rPr>
      </w:pPr>
      <w:bookmarkStart w:id="214" w:name="_Hlk85025518"/>
      <w:r w:rsidRPr="00295BFA">
        <w:rPr>
          <w:color w:val="auto"/>
        </w:rPr>
        <w:t xml:space="preserve">Pojava virusa COVID-19 i razvoj pandemije rezultirali su negativnim utjecajem i na sektor poljoprivrede te problemima koji su nastali ograničenjem u kretanju robe, promjeni u potrošnji u sklopu poljoprivrednih sustava za proizvodnju hrane te manjkom radne snage usred provedbe mjera koje se odnose na izolaciju ili karantenu. Kako bi smanjilo negativne utjecaje pandemije, Ministarstvo poljoprivrede donijelo je paket mjera usmjerenih očuvanju likvidnosti, zaposlenosti i sigurnosti prehrambenog lanca. Mjere su uključile odgodu obveze plaćanja s jedne strane te uštede i preraspodjele kako bi se osigurala nacionalna sredstva za pomoć s druge strane. U tijeku nastavka pandemije, Ministarstvo kontinuirano nastavlja s implementacijom dodatnih mjera te su u pregovorima s Europskom komisijom osigurana dodatna financijska sredstva. </w:t>
      </w:r>
    </w:p>
    <w:p w14:paraId="4B607FC2" w14:textId="6BB8B72D" w:rsidR="003D260C" w:rsidRPr="00295BFA" w:rsidRDefault="003D260C" w:rsidP="003D260C">
      <w:pPr>
        <w:rPr>
          <w:color w:val="auto"/>
        </w:rPr>
      </w:pPr>
      <w:r w:rsidRPr="00295BFA">
        <w:rPr>
          <w:color w:val="auto"/>
        </w:rPr>
        <w:t>Kako bi se ispitao utjecaj epidemioloških mjera provedenih radi pandemije bolesti COVID-19 na poljoprivredni sektor Krapinsko-zagorske županije, u listopadu 2020. godine provedena je anketa među poljoprivrednicima</w:t>
      </w:r>
      <w:r w:rsidR="007907B3">
        <w:rPr>
          <w:color w:val="auto"/>
        </w:rPr>
        <w:t xml:space="preserve"> s područja Krapinsko-zagorske županije</w:t>
      </w:r>
      <w:r w:rsidRPr="00295BFA">
        <w:rPr>
          <w:color w:val="auto"/>
        </w:rPr>
        <w:t xml:space="preserve">. Prema zaprimljenim odgovorima, uočeno je da među ispitanicima prevladava stav o vrlo snažnom utjecaju provedenih epidemioloških mjera na poljoprivredni sektor. Što se tiče utjecaja epidemioloških mjera na poslovanje poljoprivrednika, prevladava stav o pretežito negativnom utjecaju. Uočeno je kako ni jedan ispitanik utjecaj epidemioloških mjera na svoje poslovanje nije ocijenio pozitivnim. Rezultati ankete pokazali su da je za vrijeme pandemije bolesti COVID-19 primjetan otežan plasman poljoprivrednih proizvoda na tržnicama i sajmovima, pad potražnje i otkupa poljoprivrednih proizvoda, povećan uvoz poljoprivrednih proizvoda, ali i veći promet poljoprivrednih proizvoda kroz direktnu prodaju poljoprivrednik – kupac. U nešto manjoj mjeri primjetno je i kako se poljoprivredni proizvodi u vrijeme pandemije teško plasiraju na tržište, dok niti jedan ispitanik nije procijenio da su epidemiološke mjere utjecale na smanjenje obujma domaće proizvodnje. </w:t>
      </w:r>
      <w:bookmarkEnd w:id="214"/>
    </w:p>
    <w:p w14:paraId="5012007B" w14:textId="77777777" w:rsidR="003D260C" w:rsidRPr="00295BFA" w:rsidRDefault="003D260C" w:rsidP="003D260C">
      <w:pPr>
        <w:rPr>
          <w:color w:val="auto"/>
        </w:rPr>
      </w:pPr>
      <w:r w:rsidRPr="00295BFA">
        <w:rPr>
          <w:color w:val="auto"/>
        </w:rPr>
        <w:t>Većina ispitanika svoje proizvode prije pandemije nije prodavala putem vlastite web stranice što se nije značajnije promijenilo ni uvođenjem epidemioloških mjera. Više od polovice ispitanika, svoje proizvode ne prodaje ni putem online tržnice. Cijena poljoprivrednih proizvoda, unatoč krizi, mijenjana je od strane samo jednog ispitanika koji je snizio cijenu svojih proizvoda. Što se tiče suradnje u organizaciji prodaje odnosno plasiranja poljoprivrednih proizvoda na tržište, više od polovice ispitanika nije surađivalo s drugim poljoprivrednicima na svom području, a suradnju je ostvarilo svega 3 ispitanika.</w:t>
      </w:r>
    </w:p>
    <w:p w14:paraId="5DA941B4" w14:textId="77777777" w:rsidR="003D260C" w:rsidRPr="00295BFA" w:rsidRDefault="003D260C" w:rsidP="003D260C">
      <w:pPr>
        <w:rPr>
          <w:color w:val="auto"/>
        </w:rPr>
      </w:pPr>
      <w:r w:rsidRPr="00295BFA">
        <w:rPr>
          <w:color w:val="auto"/>
        </w:rPr>
        <w:t>Kao način plasiranja poljoprivrednih proizvoda na tržište za vrijeme krize, među ispitanicima prevladava prodaja na kućnom pragu što je očekivano s obzirom na mjere zabrane napuštanja mjesta prebivališta ili stalnog boravka. Osim ove vrste prodaje značajna je i prodaja na tržnici te prodaja i dostava po narudžbi. Proizvodi se plasiraju odnosno prodaju i na sajmovima, putem društvene mreže Facebook te u sklopu manifestacije ''100% Zagorsko'' koja se tradicionalno održava svake godine u Rijeci i Zagrebu. Ispitanici su naveli kako je izostanak ostalih manifestacije kao posljedica epidemioloških mjera utjecao na plasiranje njihovih proizvoda, a na poslovanje negativno se odrazilo i zatvaranje ugostiteljskih objekata za poljoprivrednike koji na taj način plasiraju svoje proizvode.</w:t>
      </w:r>
    </w:p>
    <w:p w14:paraId="414A7A1F" w14:textId="77777777" w:rsidR="003D260C" w:rsidRPr="00295BFA" w:rsidRDefault="003D260C" w:rsidP="003D260C">
      <w:pPr>
        <w:rPr>
          <w:color w:val="auto"/>
        </w:rPr>
      </w:pPr>
      <w:r w:rsidRPr="00295BFA">
        <w:rPr>
          <w:color w:val="auto"/>
        </w:rPr>
        <w:t xml:space="preserve">Tijekom važenja odluke o zabrani napuštanja mjesta prebivališta, Zahtjev za izdavanje Propusnice podnijelo je 16 od ukupno 18 ispitanika te im je Propusnica izdana prema svakom zahtjevu. Zahtjev nisu morali podnijeti poljoprivrednici odnosno članovi OPG-a koji nisu imali potrebe izlaziti iz područja prebivališta ili stalnog boravišta. Na temelju navedenog, može se zaključiti kako su Propusnice izdavane redovito temeljem podnošenja zahtjeva, a mjera napuštanja mjesta prebivališta utjecala je na poslovanje manje od 50% ispitanika. Kao problemi u poslovanju zbog mjere zabrane napuštanja mjesta prebivališta navode se smanjen dolazak kupaca na kućni prag kao način na koji se pretežito plasiraju proizvodi, nemogućnost prodaje proizvoda na tržnici i sajmovima, nemogućnost prodaje poljoprivrednih proizvoda zbog odgađanja ili ukidanja manifestacija, potreba izdavanja Propusnica za svako mjesto gdje se namjerava poslovati što je dodatno opteretilo poslovanje povećanom količinom administracije te je uočen pad prodaje zbog nemogućnosti dolaska kupaca iz susjednih županija po robu i zbog zatvaranja restorana i trgovina. </w:t>
      </w:r>
    </w:p>
    <w:p w14:paraId="613BC808" w14:textId="77777777" w:rsidR="003D260C" w:rsidRPr="00295BFA" w:rsidRDefault="003D260C" w:rsidP="003D260C">
      <w:pPr>
        <w:rPr>
          <w:color w:val="auto"/>
        </w:rPr>
      </w:pPr>
      <w:r w:rsidRPr="00295BFA">
        <w:rPr>
          <w:color w:val="auto"/>
        </w:rPr>
        <w:t>Do početka krize glavna prodaja/distribucija poljoprivrednih proizvoda većine ispitanika (67%) odvijala se na manifestacijama odnosno sajmovima. 44% ispitanika navelo je kako je oblik prodaje/distribucije do početka krize većinom bio samo na kućnom pragu, dok je 11% ispitanika navelo kako proizvode uglavnom distribuiraju u trgovine. Većina ispitanika (78%) mišljenja je kako je zabrana okupljanja odnosno održavanja sajmova/manifestacija utjecala na prodaju njihovih poljoprivrednih proizvoda, dok samo 4 ispitanika smatra kako navedena zabrana nije utjecala na prodaju njihovih proizvoda. 50% ispitanika navodi kako je mjera zabrane okupljanja utjecala na pad prihoda od prodaje na sajmovima/manifestacijama zbog njihova odgađanja ili ukidanja. 43% ispitanika smatra kako je došlo do smanjenja prodaje odnosno primijetili su manji broj kupaca, dok je 7%  ispitanika navelo kako zabrana okupljanja nije utjecala na prodaju njihovih poljoprivrednih proizvoda.</w:t>
      </w:r>
    </w:p>
    <w:p w14:paraId="4D75D3C4" w14:textId="77777777" w:rsidR="003D260C" w:rsidRPr="00295BFA" w:rsidRDefault="003D260C" w:rsidP="003D260C">
      <w:pPr>
        <w:rPr>
          <w:color w:val="auto"/>
        </w:rPr>
      </w:pPr>
      <w:r w:rsidRPr="00295BFA">
        <w:rPr>
          <w:color w:val="auto"/>
        </w:rPr>
        <w:lastRenderedPageBreak/>
        <w:t xml:space="preserve">Novi kanal komunikacije prema Ministarstvu poljoprivrede (internetska stranica) vezano uz probleme na koje su naišli u poslovanju za trajanja epidemioloških mjera koristilo je svega 4 ispitanika. Prema dobivenim podacima od ukupno 18 ispitanika, 22% ispitanika zadovoljno je mjerama Vlade RH za pomoć poljoprivrednicima, dok ih 78% nije zadovoljno provedenim mjerama. Najviše ispitanika (44%) navelo je da ne koristi niti jednu od mjera pomoći poljoprivrednicima kako bi otklonili negativne učinke epidemioloških mjera provedenih radi pandemije COVID-19, dok poljoprivrednici u sektoru pčelarstva navode kako taj sektor nije uključen u mjere zbog čega ne mogu koristiti ni jednu mjeru pomoći. </w:t>
      </w:r>
    </w:p>
    <w:p w14:paraId="3C49DF85" w14:textId="77777777" w:rsidR="003D260C" w:rsidRPr="00295BFA" w:rsidRDefault="003D260C" w:rsidP="003D260C">
      <w:pPr>
        <w:rPr>
          <w:color w:val="auto"/>
        </w:rPr>
      </w:pPr>
      <w:r w:rsidRPr="00295BFA">
        <w:rPr>
          <w:color w:val="auto"/>
        </w:rPr>
        <w:t>U posljednjem pitanju ispitanicima je omogućeno da sami iznesu prijedloge mjera koje bi im olakšale poslovanje za vrijeme i po prestanku epidemioloških mjera. Najviše ispitanika navelo je kako je za nesmetano poslovanje potrebno osigurati siguran otkup i smanjiti uvoz poljoprivrednih proizvoda. Nadalje, kako bi mogli plasirati svoje proizvode, potrebno je osigurati nesmetano održavanje i povećati broj sajmova bliže Gradu Zagrebu i okolici, a gdje se prodaju isključivo domaći proizvodi uz nastavljanje promocije ''Kupujmo Hrvatsko''. Potrebno je osigurati dodatne poticaje uz analizu u što i kako su uložena već dobivena sredstva pomoći. Osim toga, prijedlog je i smanjivanje administracije, stroža kontrola naplate odnosno da se PDV plaća po naplaćenim računima, smanjenje stope PDV-a na domaće proizvode, posebice one koji nose jednu od zaštićenih oznaka izvornosti i zemljopisnog podrijetla na razini EU te osiguranje pomoći Županije kod ulaska u trgovačke lance kako bi se plasiralo više domaćih proizvoda.</w:t>
      </w:r>
    </w:p>
    <w:p w14:paraId="7910B892" w14:textId="2977CD05" w:rsidR="003D260C" w:rsidRDefault="003D260C" w:rsidP="003D260C">
      <w:pPr>
        <w:rPr>
          <w:color w:val="auto"/>
        </w:rPr>
      </w:pPr>
      <w:r w:rsidRPr="00295BFA">
        <w:rPr>
          <w:color w:val="auto"/>
        </w:rPr>
        <w:t>Korona kriza osvijestila je potrebu da se i u hrvatskoj poljoprivredi napravi snažan zaokret i krene u bolju organizaciju proizvodnje, udruživanja i povezivanja proizvođača, odnosno jačanje horizontalne i vertikalne integracije. Samo jače međusobno povezivanje proizvođača i njihovo jače povezivanje s organizatorima proizvodnje, otkupljivačima i prerađivačko-prehrambenom industrijom, jamac je za povećanje konkurentnosti i razine samodostatnosti poljoprivredne proizvodnje te bolje organiziranosti tržišta koja će omogućiti dostupnost domaće robe na policama trgovačkih lanaca, ali isto tako i lakše apsorbiranje tržišnih viškova kroz izvoz.</w:t>
      </w:r>
    </w:p>
    <w:p w14:paraId="740108D6" w14:textId="77777777" w:rsidR="00B601EE" w:rsidRPr="00295BFA" w:rsidRDefault="00B601EE" w:rsidP="003D260C">
      <w:pPr>
        <w:rPr>
          <w:color w:val="auto"/>
        </w:rPr>
      </w:pPr>
    </w:p>
    <w:p w14:paraId="39E3AA8E" w14:textId="5ABE3044" w:rsidR="008878A0" w:rsidRPr="00373E79" w:rsidRDefault="008878A0" w:rsidP="00373E79">
      <w:pPr>
        <w:shd w:val="clear" w:color="auto" w:fill="E5E5E5" w:themeFill="text1" w:themeFillTint="33"/>
        <w:rPr>
          <w:b/>
          <w:bCs/>
        </w:rPr>
      </w:pPr>
      <w:r w:rsidRPr="00373E79">
        <w:rPr>
          <w:b/>
          <w:bCs/>
        </w:rPr>
        <w:t xml:space="preserve">Zaključak </w:t>
      </w:r>
    </w:p>
    <w:p w14:paraId="3424AEEE" w14:textId="77777777" w:rsidR="00D11A7A" w:rsidRDefault="008878A0" w:rsidP="00373E79">
      <w:pPr>
        <w:shd w:val="clear" w:color="auto" w:fill="E5E5E5" w:themeFill="text1" w:themeFillTint="33"/>
        <w:rPr>
          <w:rFonts w:eastAsia="Arial Narrow" w:cstheme="minorHAnsi"/>
        </w:rPr>
      </w:pPr>
      <w:r w:rsidRPr="00373E79">
        <w:rPr>
          <w:rFonts w:eastAsia="Arial Narrow" w:cstheme="minorHAnsi"/>
        </w:rPr>
        <w:t xml:space="preserve">Usprkos dugogodišnjoj tradiciji te relativno </w:t>
      </w:r>
      <w:r w:rsidR="00D042C0">
        <w:rPr>
          <w:rFonts w:eastAsia="Arial Narrow" w:cstheme="minorHAnsi"/>
        </w:rPr>
        <w:t xml:space="preserve">povoljnim prirodnim uvjetima, </w:t>
      </w:r>
      <w:r w:rsidRPr="00373E79">
        <w:rPr>
          <w:rFonts w:eastAsia="Arial Narrow" w:cstheme="minorHAnsi"/>
        </w:rPr>
        <w:t>podru</w:t>
      </w:r>
      <w:r w:rsidRPr="00373E79">
        <w:rPr>
          <w:rFonts w:eastAsia="Arial Narrow" w:cstheme="minorHAnsi"/>
          <w:spacing w:val="-2"/>
        </w:rPr>
        <w:t>č</w:t>
      </w:r>
      <w:r w:rsidRPr="00373E79">
        <w:rPr>
          <w:rFonts w:eastAsia="Arial Narrow" w:cstheme="minorHAnsi"/>
          <w:spacing w:val="1"/>
        </w:rPr>
        <w:t>j</w:t>
      </w:r>
      <w:r w:rsidRPr="00373E79">
        <w:rPr>
          <w:rFonts w:eastAsia="Arial Narrow" w:cstheme="minorHAnsi"/>
        </w:rPr>
        <w:t>e</w:t>
      </w:r>
      <w:r w:rsidRPr="00373E79">
        <w:rPr>
          <w:rFonts w:eastAsia="Arial Narrow" w:cstheme="minorHAnsi"/>
          <w:spacing w:val="3"/>
        </w:rPr>
        <w:t xml:space="preserve"> </w:t>
      </w:r>
      <w:r w:rsidRPr="00373E79">
        <w:rPr>
          <w:rFonts w:eastAsia="Arial Narrow" w:cstheme="minorHAnsi"/>
          <w:spacing w:val="-1"/>
        </w:rPr>
        <w:t>K</w:t>
      </w:r>
      <w:r w:rsidRPr="00373E79">
        <w:rPr>
          <w:rFonts w:eastAsia="Arial Narrow" w:cstheme="minorHAnsi"/>
        </w:rPr>
        <w:t>rap</w:t>
      </w:r>
      <w:r w:rsidRPr="00373E79">
        <w:rPr>
          <w:rFonts w:eastAsia="Arial Narrow" w:cstheme="minorHAnsi"/>
          <w:spacing w:val="1"/>
        </w:rPr>
        <w:t>i</w:t>
      </w:r>
      <w:r w:rsidRPr="00373E79">
        <w:rPr>
          <w:rFonts w:eastAsia="Arial Narrow" w:cstheme="minorHAnsi"/>
          <w:spacing w:val="-2"/>
        </w:rPr>
        <w:t>n</w:t>
      </w:r>
      <w:r w:rsidRPr="00373E79">
        <w:rPr>
          <w:rFonts w:eastAsia="Arial Narrow" w:cstheme="minorHAnsi"/>
          <w:spacing w:val="1"/>
        </w:rPr>
        <w:t>sk</w:t>
      </w:r>
      <w:r w:rsidRPr="00373E79">
        <w:rPr>
          <w:rFonts w:eastAsia="Arial Narrow" w:cstheme="minorHAnsi"/>
        </w:rPr>
        <w:t>o</w:t>
      </w:r>
      <w:r w:rsidRPr="00373E79">
        <w:rPr>
          <w:rFonts w:eastAsia="Arial Narrow" w:cstheme="minorHAnsi"/>
          <w:spacing w:val="-3"/>
        </w:rPr>
        <w:t>-</w:t>
      </w:r>
      <w:r w:rsidRPr="00373E79">
        <w:rPr>
          <w:rFonts w:eastAsia="Arial Narrow" w:cstheme="minorHAnsi"/>
          <w:spacing w:val="1"/>
        </w:rPr>
        <w:t>z</w:t>
      </w:r>
      <w:r w:rsidRPr="00373E79">
        <w:rPr>
          <w:rFonts w:eastAsia="Arial Narrow" w:cstheme="minorHAnsi"/>
        </w:rPr>
        <w:t>ago</w:t>
      </w:r>
      <w:r w:rsidRPr="00373E79">
        <w:rPr>
          <w:rFonts w:eastAsia="Arial Narrow" w:cstheme="minorHAnsi"/>
          <w:spacing w:val="-3"/>
        </w:rPr>
        <w:t>r</w:t>
      </w:r>
      <w:r w:rsidRPr="00373E79">
        <w:rPr>
          <w:rFonts w:eastAsia="Arial Narrow" w:cstheme="minorHAnsi"/>
          <w:spacing w:val="-2"/>
        </w:rPr>
        <w:t>s</w:t>
      </w:r>
      <w:r w:rsidRPr="00373E79">
        <w:rPr>
          <w:rFonts w:eastAsia="Arial Narrow" w:cstheme="minorHAnsi"/>
          <w:spacing w:val="1"/>
        </w:rPr>
        <w:t>k</w:t>
      </w:r>
      <w:r w:rsidRPr="00373E79">
        <w:rPr>
          <w:rFonts w:eastAsia="Arial Narrow" w:cstheme="minorHAnsi"/>
        </w:rPr>
        <w:t>e</w:t>
      </w:r>
      <w:r w:rsidRPr="00373E79">
        <w:rPr>
          <w:rFonts w:eastAsia="Arial Narrow" w:cstheme="minorHAnsi"/>
          <w:spacing w:val="3"/>
        </w:rPr>
        <w:t xml:space="preserve"> </w:t>
      </w:r>
      <w:r w:rsidRPr="00373E79">
        <w:rPr>
          <w:rFonts w:eastAsia="Arial Narrow" w:cstheme="minorHAnsi"/>
          <w:spacing w:val="1"/>
        </w:rPr>
        <w:t>ž</w:t>
      </w:r>
      <w:r w:rsidRPr="00373E79">
        <w:rPr>
          <w:rFonts w:eastAsia="Arial Narrow" w:cstheme="minorHAnsi"/>
        </w:rPr>
        <w:t>up</w:t>
      </w:r>
      <w:r w:rsidRPr="00373E79">
        <w:rPr>
          <w:rFonts w:eastAsia="Arial Narrow" w:cstheme="minorHAnsi"/>
          <w:spacing w:val="-2"/>
        </w:rPr>
        <w:t>a</w:t>
      </w:r>
      <w:r w:rsidRPr="00373E79">
        <w:rPr>
          <w:rFonts w:eastAsia="Arial Narrow" w:cstheme="minorHAnsi"/>
        </w:rPr>
        <w:t>n</w:t>
      </w:r>
      <w:r w:rsidRPr="00373E79">
        <w:rPr>
          <w:rFonts w:eastAsia="Arial Narrow" w:cstheme="minorHAnsi"/>
          <w:spacing w:val="1"/>
        </w:rPr>
        <w:t>ij</w:t>
      </w:r>
      <w:r w:rsidRPr="00373E79">
        <w:rPr>
          <w:rFonts w:eastAsia="Arial Narrow" w:cstheme="minorHAnsi"/>
        </w:rPr>
        <w:t xml:space="preserve">e i dalje </w:t>
      </w:r>
      <w:r w:rsidRPr="00373E79">
        <w:rPr>
          <w:rFonts w:eastAsia="Arial Narrow" w:cstheme="minorHAnsi"/>
          <w:spacing w:val="1"/>
        </w:rPr>
        <w:t>k</w:t>
      </w:r>
      <w:r w:rsidRPr="00373E79">
        <w:rPr>
          <w:rFonts w:eastAsia="Arial Narrow" w:cstheme="minorHAnsi"/>
        </w:rPr>
        <w:t>ara</w:t>
      </w:r>
      <w:r w:rsidRPr="00373E79">
        <w:rPr>
          <w:rFonts w:eastAsia="Arial Narrow" w:cstheme="minorHAnsi"/>
          <w:spacing w:val="-2"/>
        </w:rPr>
        <w:t>k</w:t>
      </w:r>
      <w:r w:rsidRPr="00373E79">
        <w:rPr>
          <w:rFonts w:eastAsia="Arial Narrow" w:cstheme="minorHAnsi"/>
        </w:rPr>
        <w:t>ter</w:t>
      </w:r>
      <w:r w:rsidRPr="00373E79">
        <w:rPr>
          <w:rFonts w:eastAsia="Arial Narrow" w:cstheme="minorHAnsi"/>
          <w:spacing w:val="1"/>
        </w:rPr>
        <w:t>i</w:t>
      </w:r>
      <w:r w:rsidRPr="00373E79">
        <w:rPr>
          <w:rFonts w:eastAsia="Arial Narrow" w:cstheme="minorHAnsi"/>
          <w:spacing w:val="-2"/>
        </w:rPr>
        <w:t>z</w:t>
      </w:r>
      <w:r w:rsidRPr="00373E79">
        <w:rPr>
          <w:rFonts w:eastAsia="Arial Narrow" w:cstheme="minorHAnsi"/>
          <w:spacing w:val="1"/>
        </w:rPr>
        <w:t>i</w:t>
      </w:r>
      <w:r w:rsidRPr="00373E79">
        <w:rPr>
          <w:rFonts w:eastAsia="Arial Narrow" w:cstheme="minorHAnsi"/>
        </w:rPr>
        <w:t>ra</w:t>
      </w:r>
      <w:r w:rsidRPr="00373E79">
        <w:rPr>
          <w:rFonts w:eastAsia="Arial Narrow" w:cstheme="minorHAnsi"/>
          <w:spacing w:val="3"/>
        </w:rPr>
        <w:t>ju mali i usitnjeni posjedi, nepovoljna dobna struktura onih koji se bave poljoprivredom te pretežna orijentacija na proizvodnju za vlastite potrebe. Naročito je slabo iskorišten potencijal za bavljenje stočarstvom te mogućnosti koje pruža ekološka poljoprivredna proizvodnja.</w:t>
      </w:r>
      <w:r w:rsidR="00643510" w:rsidRPr="00643510">
        <w:rPr>
          <w:rFonts w:eastAsia="Arial Narrow" w:cstheme="minorHAnsi"/>
        </w:rPr>
        <w:t xml:space="preserve"> </w:t>
      </w:r>
    </w:p>
    <w:p w14:paraId="04679C58" w14:textId="2C4CFD1C" w:rsidR="004475BA" w:rsidRDefault="00643510" w:rsidP="00373E79">
      <w:pPr>
        <w:shd w:val="clear" w:color="auto" w:fill="E5E5E5" w:themeFill="text1" w:themeFillTint="33"/>
        <w:rPr>
          <w:rFonts w:eastAsia="Arial Narrow" w:cstheme="minorHAnsi"/>
        </w:rPr>
      </w:pPr>
      <w:r>
        <w:rPr>
          <w:rFonts w:eastAsia="Arial Narrow" w:cstheme="minorHAnsi"/>
        </w:rPr>
        <w:t>Podaci iz Upisnika poljoprivrednika pokazuju kako je na p</w:t>
      </w:r>
      <w:r>
        <w:rPr>
          <w:rFonts w:eastAsia="Arial Narrow" w:cstheme="minorHAnsi"/>
          <w:spacing w:val="-2"/>
        </w:rPr>
        <w:t>o</w:t>
      </w:r>
      <w:r>
        <w:rPr>
          <w:rFonts w:eastAsia="Arial Narrow" w:cstheme="minorHAnsi"/>
        </w:rPr>
        <w:t>dru</w:t>
      </w:r>
      <w:r>
        <w:rPr>
          <w:rFonts w:eastAsia="Arial Narrow" w:cstheme="minorHAnsi"/>
          <w:spacing w:val="-2"/>
        </w:rPr>
        <w:t>č</w:t>
      </w:r>
      <w:r>
        <w:rPr>
          <w:rFonts w:eastAsia="Arial Narrow" w:cstheme="minorHAnsi"/>
          <w:spacing w:val="1"/>
        </w:rPr>
        <w:t>j</w:t>
      </w:r>
      <w:r>
        <w:rPr>
          <w:rFonts w:eastAsia="Arial Narrow" w:cstheme="minorHAnsi"/>
        </w:rPr>
        <w:t>u</w:t>
      </w:r>
      <w:r>
        <w:rPr>
          <w:rFonts w:eastAsia="Arial Narrow" w:cstheme="minorHAnsi"/>
          <w:spacing w:val="-9"/>
        </w:rPr>
        <w:t xml:space="preserve"> </w:t>
      </w:r>
      <w:r>
        <w:rPr>
          <w:rFonts w:eastAsia="Arial Narrow" w:cstheme="minorHAnsi"/>
          <w:spacing w:val="-1"/>
        </w:rPr>
        <w:t>K</w:t>
      </w:r>
      <w:r>
        <w:rPr>
          <w:rFonts w:eastAsia="Arial Narrow" w:cstheme="minorHAnsi"/>
        </w:rPr>
        <w:t>rap</w:t>
      </w:r>
      <w:r>
        <w:rPr>
          <w:rFonts w:eastAsia="Arial Narrow" w:cstheme="minorHAnsi"/>
          <w:spacing w:val="-2"/>
        </w:rPr>
        <w:t>i</w:t>
      </w:r>
      <w:r>
        <w:rPr>
          <w:rFonts w:eastAsia="Arial Narrow" w:cstheme="minorHAnsi"/>
        </w:rPr>
        <w:t>n</w:t>
      </w:r>
      <w:r>
        <w:rPr>
          <w:rFonts w:eastAsia="Arial Narrow" w:cstheme="minorHAnsi"/>
          <w:spacing w:val="1"/>
        </w:rPr>
        <w:t>s</w:t>
      </w:r>
      <w:r>
        <w:rPr>
          <w:rFonts w:eastAsia="Arial Narrow" w:cstheme="minorHAnsi"/>
          <w:spacing w:val="-2"/>
        </w:rPr>
        <w:t>k</w:t>
      </w:r>
      <w:r>
        <w:rPr>
          <w:rFonts w:eastAsia="Arial Narrow" w:cstheme="minorHAnsi"/>
        </w:rPr>
        <w:t>o-</w:t>
      </w:r>
      <w:r>
        <w:rPr>
          <w:rFonts w:eastAsia="Arial Narrow" w:cstheme="minorHAnsi"/>
          <w:spacing w:val="1"/>
        </w:rPr>
        <w:t>z</w:t>
      </w:r>
      <w:r>
        <w:rPr>
          <w:rFonts w:eastAsia="Arial Narrow" w:cstheme="minorHAnsi"/>
        </w:rPr>
        <w:t>a</w:t>
      </w:r>
      <w:r>
        <w:rPr>
          <w:rFonts w:eastAsia="Arial Narrow" w:cstheme="minorHAnsi"/>
          <w:spacing w:val="-2"/>
        </w:rPr>
        <w:t>g</w:t>
      </w:r>
      <w:r>
        <w:rPr>
          <w:rFonts w:eastAsia="Arial Narrow" w:cstheme="minorHAnsi"/>
        </w:rPr>
        <w:t>or</w:t>
      </w:r>
      <w:r>
        <w:rPr>
          <w:rFonts w:eastAsia="Arial Narrow" w:cstheme="minorHAnsi"/>
          <w:spacing w:val="1"/>
        </w:rPr>
        <w:t>s</w:t>
      </w:r>
      <w:r>
        <w:rPr>
          <w:rFonts w:eastAsia="Arial Narrow" w:cstheme="minorHAnsi"/>
          <w:spacing w:val="-2"/>
        </w:rPr>
        <w:t>k</w:t>
      </w:r>
      <w:r>
        <w:rPr>
          <w:rFonts w:eastAsia="Arial Narrow" w:cstheme="minorHAnsi"/>
        </w:rPr>
        <w:t xml:space="preserve">e </w:t>
      </w:r>
      <w:r>
        <w:rPr>
          <w:rFonts w:eastAsia="Arial Narrow" w:cstheme="minorHAnsi"/>
          <w:spacing w:val="1"/>
        </w:rPr>
        <w:t>ž</w:t>
      </w:r>
      <w:r>
        <w:rPr>
          <w:rFonts w:eastAsia="Arial Narrow" w:cstheme="minorHAnsi"/>
        </w:rPr>
        <w:t>upan</w:t>
      </w:r>
      <w:r>
        <w:rPr>
          <w:rFonts w:eastAsia="Arial Narrow" w:cstheme="minorHAnsi"/>
          <w:spacing w:val="-2"/>
        </w:rPr>
        <w:t>i</w:t>
      </w:r>
      <w:r>
        <w:rPr>
          <w:rFonts w:eastAsia="Arial Narrow" w:cstheme="minorHAnsi"/>
          <w:spacing w:val="1"/>
        </w:rPr>
        <w:t>j</w:t>
      </w:r>
      <w:r>
        <w:rPr>
          <w:rFonts w:eastAsia="Arial Narrow" w:cstheme="minorHAnsi"/>
        </w:rPr>
        <w:t>e nakon 5 godina kontinuiranog pada ukupnog broja upisanih u Upisnik u 2018. godini ponovo došlo do rasta. Broj registriranih poljoprivrednih gospodarstava povećao se za 3,15%, a najveći rast (u odnosu na 2012.</w:t>
      </w:r>
      <w:r w:rsidR="00D11A7A">
        <w:rPr>
          <w:rFonts w:eastAsia="Arial Narrow" w:cstheme="minorHAnsi"/>
        </w:rPr>
        <w:t xml:space="preserve"> </w:t>
      </w:r>
      <w:r>
        <w:rPr>
          <w:rFonts w:eastAsia="Arial Narrow" w:cstheme="minorHAnsi"/>
        </w:rPr>
        <w:t>godinu) zabilježen je u povećanju broja trgovačkih društava i to za 22%.</w:t>
      </w:r>
      <w:r w:rsidRPr="00643510">
        <w:rPr>
          <w:rFonts w:eastAsia="Arial Narrow" w:cstheme="minorHAnsi"/>
          <w:szCs w:val="18"/>
        </w:rPr>
        <w:t xml:space="preserve"> </w:t>
      </w:r>
      <w:r>
        <w:rPr>
          <w:rFonts w:eastAsia="Arial Narrow" w:cstheme="minorHAnsi"/>
          <w:szCs w:val="18"/>
        </w:rPr>
        <w:t>U županiji prevladavaju obiteljska poljoprivredna gospodarstva koja radi stvaranja dohotka samostalno i trajno obavljaju djelatnost poljoprivrede i s njima povezanih dopunskih djelatnosti. Velik dio OPG-a poljoprivredne proizvode koristi za svoje potrebe, a višak proizvoda i/ili njihovih prerađevina prodaju na tržnicama, sajmovima i kućnom pragu.</w:t>
      </w:r>
      <w:r w:rsidRPr="00643510">
        <w:t xml:space="preserve"> </w:t>
      </w:r>
      <w:r w:rsidRPr="00643510">
        <w:rPr>
          <w:rFonts w:eastAsia="Arial Narrow" w:cstheme="minorHAnsi"/>
          <w:szCs w:val="18"/>
        </w:rPr>
        <w:t xml:space="preserve">Dobna struktura nositelja/odgovorne osobe proteklih godina nije se mijenjala te i dalje najveći broj nositelja (38%) spada u dobnu skupinu starijih od 65 godina, što je jednako prosjeku na državnoj razini i ukazuje na povećanje staračkih domaćinstava. S druge strane, </w:t>
      </w:r>
      <w:r>
        <w:rPr>
          <w:rFonts w:eastAsia="Arial Narrow" w:cstheme="minorHAnsi"/>
          <w:szCs w:val="18"/>
        </w:rPr>
        <w:t>vidljivo je kako je</w:t>
      </w:r>
      <w:r w:rsidRPr="00643510">
        <w:rPr>
          <w:rFonts w:eastAsia="Arial Narrow" w:cstheme="minorHAnsi"/>
          <w:szCs w:val="18"/>
        </w:rPr>
        <w:t xml:space="preserve"> broj PG-a čiji su nositelji gospodarstava u dobnoj skupini do 41 godinu u kontinuiranom porastu </w:t>
      </w:r>
      <w:r>
        <w:rPr>
          <w:rFonts w:eastAsia="Arial Narrow" w:cstheme="minorHAnsi"/>
          <w:szCs w:val="18"/>
        </w:rPr>
        <w:t>(</w:t>
      </w:r>
      <w:r w:rsidRPr="00643510">
        <w:rPr>
          <w:rFonts w:eastAsia="Arial Narrow" w:cstheme="minorHAnsi"/>
          <w:szCs w:val="18"/>
        </w:rPr>
        <w:t>od 2016. do 2019. godine za 23,64%</w:t>
      </w:r>
      <w:r>
        <w:rPr>
          <w:rFonts w:eastAsia="Arial Narrow" w:cstheme="minorHAnsi"/>
          <w:szCs w:val="18"/>
        </w:rPr>
        <w:t>)</w:t>
      </w:r>
      <w:r w:rsidRPr="00643510">
        <w:rPr>
          <w:rFonts w:eastAsia="Arial Narrow" w:cstheme="minorHAnsi"/>
          <w:szCs w:val="18"/>
        </w:rPr>
        <w:t>, a to je jasan pokazatelj da se svake godine dio mladih obitelji odlučuje ostvariti svoj dohodak s osnova poljoprivredne proizvodnje.</w:t>
      </w:r>
      <w:r w:rsidRPr="00643510">
        <w:rPr>
          <w:rFonts w:eastAsia="Arial Narrow" w:cstheme="minorHAnsi"/>
        </w:rPr>
        <w:t xml:space="preserve"> </w:t>
      </w:r>
      <w:r>
        <w:rPr>
          <w:rFonts w:eastAsia="Arial Narrow" w:cstheme="minorHAnsi"/>
        </w:rPr>
        <w:t xml:space="preserve">Spolna struktura nositelja/odgovorne osobe također se nije mijenjala </w:t>
      </w:r>
      <w:r w:rsidR="00D11A7A">
        <w:rPr>
          <w:rFonts w:eastAsia="Arial Narrow" w:cstheme="minorHAnsi"/>
        </w:rPr>
        <w:t>pa</w:t>
      </w:r>
      <w:r>
        <w:rPr>
          <w:rFonts w:eastAsia="Arial Narrow" w:cstheme="minorHAnsi"/>
        </w:rPr>
        <w:t xml:space="preserve"> i dalje ima značajno više muških nositelja PG-a u odnosu na nositelje ženskog spola.</w:t>
      </w:r>
    </w:p>
    <w:p w14:paraId="2096DCBD" w14:textId="4C06E514" w:rsidR="003B3F39" w:rsidRPr="00D148A5" w:rsidRDefault="003B3F39" w:rsidP="00373E79">
      <w:pPr>
        <w:shd w:val="clear" w:color="auto" w:fill="E5E5E5" w:themeFill="text1" w:themeFillTint="33"/>
        <w:rPr>
          <w:rFonts w:eastAsia="Arial Narrow" w:cstheme="minorHAnsi"/>
          <w:szCs w:val="18"/>
        </w:rPr>
      </w:pPr>
      <w:r>
        <w:rPr>
          <w:rFonts w:eastAsia="Arial Narrow" w:cstheme="minorHAnsi"/>
          <w:spacing w:val="-1"/>
        </w:rPr>
        <w:t>Područje K</w:t>
      </w:r>
      <w:r>
        <w:rPr>
          <w:rFonts w:eastAsia="Arial Narrow" w:cstheme="minorHAnsi"/>
        </w:rPr>
        <w:t>rap</w:t>
      </w:r>
      <w:r>
        <w:rPr>
          <w:rFonts w:eastAsia="Arial Narrow" w:cstheme="minorHAnsi"/>
          <w:spacing w:val="1"/>
        </w:rPr>
        <w:t>i</w:t>
      </w:r>
      <w:r>
        <w:rPr>
          <w:rFonts w:eastAsia="Arial Narrow" w:cstheme="minorHAnsi"/>
        </w:rPr>
        <w:t>n</w:t>
      </w:r>
      <w:r>
        <w:rPr>
          <w:rFonts w:eastAsia="Arial Narrow" w:cstheme="minorHAnsi"/>
          <w:spacing w:val="-2"/>
        </w:rPr>
        <w:t>s</w:t>
      </w:r>
      <w:r>
        <w:rPr>
          <w:rFonts w:eastAsia="Arial Narrow" w:cstheme="minorHAnsi"/>
          <w:spacing w:val="1"/>
        </w:rPr>
        <w:t>k</w:t>
      </w:r>
      <w:r>
        <w:rPr>
          <w:rFonts w:eastAsia="Arial Narrow" w:cstheme="minorHAnsi"/>
        </w:rPr>
        <w:t>o-</w:t>
      </w:r>
      <w:r>
        <w:rPr>
          <w:rFonts w:eastAsia="Arial Narrow" w:cstheme="minorHAnsi"/>
          <w:spacing w:val="1"/>
        </w:rPr>
        <w:t>z</w:t>
      </w:r>
      <w:r>
        <w:rPr>
          <w:rFonts w:eastAsia="Arial Narrow" w:cstheme="minorHAnsi"/>
        </w:rPr>
        <w:t>a</w:t>
      </w:r>
      <w:r>
        <w:rPr>
          <w:rFonts w:eastAsia="Arial Narrow" w:cstheme="minorHAnsi"/>
          <w:spacing w:val="-2"/>
        </w:rPr>
        <w:t>g</w:t>
      </w:r>
      <w:r>
        <w:rPr>
          <w:rFonts w:eastAsia="Arial Narrow" w:cstheme="minorHAnsi"/>
        </w:rPr>
        <w:t>or</w:t>
      </w:r>
      <w:r>
        <w:rPr>
          <w:rFonts w:eastAsia="Arial Narrow" w:cstheme="minorHAnsi"/>
          <w:spacing w:val="1"/>
        </w:rPr>
        <w:t>s</w:t>
      </w:r>
      <w:r>
        <w:rPr>
          <w:rFonts w:eastAsia="Arial Narrow" w:cstheme="minorHAnsi"/>
          <w:spacing w:val="-2"/>
        </w:rPr>
        <w:t>k</w:t>
      </w:r>
      <w:r>
        <w:rPr>
          <w:rFonts w:eastAsia="Arial Narrow" w:cstheme="minorHAnsi"/>
        </w:rPr>
        <w:t>e</w:t>
      </w:r>
      <w:r>
        <w:rPr>
          <w:rFonts w:eastAsia="Arial Narrow" w:cstheme="minorHAnsi"/>
          <w:spacing w:val="3"/>
        </w:rPr>
        <w:t xml:space="preserve"> </w:t>
      </w:r>
      <w:r>
        <w:rPr>
          <w:rFonts w:eastAsia="Arial Narrow" w:cstheme="minorHAnsi"/>
          <w:spacing w:val="1"/>
        </w:rPr>
        <w:t>ž</w:t>
      </w:r>
      <w:r>
        <w:rPr>
          <w:rFonts w:eastAsia="Arial Narrow" w:cstheme="minorHAnsi"/>
          <w:spacing w:val="-2"/>
        </w:rPr>
        <w:t>u</w:t>
      </w:r>
      <w:r>
        <w:rPr>
          <w:rFonts w:eastAsia="Arial Narrow" w:cstheme="minorHAnsi"/>
        </w:rPr>
        <w:t>pan</w:t>
      </w:r>
      <w:r>
        <w:rPr>
          <w:rFonts w:eastAsia="Arial Narrow" w:cstheme="minorHAnsi"/>
          <w:spacing w:val="-2"/>
        </w:rPr>
        <w:t>i</w:t>
      </w:r>
      <w:r>
        <w:rPr>
          <w:rFonts w:eastAsia="Arial Narrow" w:cstheme="minorHAnsi"/>
          <w:spacing w:val="1"/>
        </w:rPr>
        <w:t>j</w:t>
      </w:r>
      <w:r>
        <w:rPr>
          <w:rFonts w:eastAsia="Arial Narrow" w:cstheme="minorHAnsi"/>
        </w:rPr>
        <w:t>e</w:t>
      </w:r>
      <w:r>
        <w:rPr>
          <w:rFonts w:eastAsia="Arial Narrow" w:cstheme="minorHAnsi"/>
          <w:spacing w:val="3"/>
        </w:rPr>
        <w:t xml:space="preserve"> </w:t>
      </w:r>
      <w:r>
        <w:rPr>
          <w:rFonts w:eastAsia="Arial Narrow" w:cstheme="minorHAnsi"/>
          <w:spacing w:val="-2"/>
        </w:rPr>
        <w:t>j</w:t>
      </w:r>
      <w:r>
        <w:rPr>
          <w:rFonts w:eastAsia="Arial Narrow" w:cstheme="minorHAnsi"/>
        </w:rPr>
        <w:t>e</w:t>
      </w:r>
      <w:r>
        <w:rPr>
          <w:rFonts w:eastAsia="Arial Narrow" w:cstheme="minorHAnsi"/>
          <w:spacing w:val="3"/>
        </w:rPr>
        <w:t xml:space="preserve"> </w:t>
      </w:r>
      <w:r>
        <w:rPr>
          <w:rFonts w:eastAsia="Arial Narrow" w:cstheme="minorHAnsi"/>
        </w:rPr>
        <w:t>trad</w:t>
      </w:r>
      <w:r>
        <w:rPr>
          <w:rFonts w:eastAsia="Arial Narrow" w:cstheme="minorHAnsi"/>
          <w:spacing w:val="-2"/>
        </w:rPr>
        <w:t>i</w:t>
      </w:r>
      <w:r>
        <w:rPr>
          <w:rFonts w:eastAsia="Arial Narrow" w:cstheme="minorHAnsi"/>
          <w:spacing w:val="1"/>
        </w:rPr>
        <w:t>ci</w:t>
      </w:r>
      <w:r>
        <w:rPr>
          <w:rFonts w:eastAsia="Arial Narrow" w:cstheme="minorHAnsi"/>
        </w:rPr>
        <w:t>on</w:t>
      </w:r>
      <w:r>
        <w:rPr>
          <w:rFonts w:eastAsia="Arial Narrow" w:cstheme="minorHAnsi"/>
          <w:spacing w:val="-2"/>
        </w:rPr>
        <w:t>a</w:t>
      </w:r>
      <w:r>
        <w:rPr>
          <w:rFonts w:eastAsia="Arial Narrow" w:cstheme="minorHAnsi"/>
          <w:spacing w:val="1"/>
        </w:rPr>
        <w:t>l</w:t>
      </w:r>
      <w:r>
        <w:rPr>
          <w:rFonts w:eastAsia="Arial Narrow" w:cstheme="minorHAnsi"/>
        </w:rPr>
        <w:t xml:space="preserve">no </w:t>
      </w:r>
      <w:r>
        <w:rPr>
          <w:rFonts w:eastAsia="Arial Narrow" w:cstheme="minorHAnsi"/>
          <w:spacing w:val="1"/>
        </w:rPr>
        <w:t>v</w:t>
      </w:r>
      <w:r>
        <w:rPr>
          <w:rFonts w:eastAsia="Arial Narrow" w:cstheme="minorHAnsi"/>
        </w:rPr>
        <w:t>o</w:t>
      </w:r>
      <w:r>
        <w:rPr>
          <w:rFonts w:eastAsia="Arial Narrow" w:cstheme="minorHAnsi"/>
          <w:spacing w:val="-2"/>
        </w:rPr>
        <w:t>ć</w:t>
      </w:r>
      <w:r>
        <w:rPr>
          <w:rFonts w:eastAsia="Arial Narrow" w:cstheme="minorHAnsi"/>
        </w:rPr>
        <w:t>ar</w:t>
      </w:r>
      <w:r>
        <w:rPr>
          <w:rFonts w:eastAsia="Arial Narrow" w:cstheme="minorHAnsi"/>
          <w:spacing w:val="1"/>
        </w:rPr>
        <w:t>sk</w:t>
      </w:r>
      <w:r>
        <w:rPr>
          <w:rFonts w:eastAsia="Arial Narrow" w:cstheme="minorHAnsi"/>
        </w:rPr>
        <w:t>o pro</w:t>
      </w:r>
      <w:r>
        <w:rPr>
          <w:rFonts w:eastAsia="Arial Narrow" w:cstheme="minorHAnsi"/>
          <w:spacing w:val="-2"/>
        </w:rPr>
        <w:t>iz</w:t>
      </w:r>
      <w:r>
        <w:rPr>
          <w:rFonts w:eastAsia="Arial Narrow" w:cstheme="minorHAnsi"/>
          <w:spacing w:val="1"/>
        </w:rPr>
        <w:t>v</w:t>
      </w:r>
      <w:r>
        <w:rPr>
          <w:rFonts w:eastAsia="Arial Narrow" w:cstheme="minorHAnsi"/>
        </w:rPr>
        <w:t>odno podr</w:t>
      </w:r>
      <w:r>
        <w:rPr>
          <w:rFonts w:eastAsia="Arial Narrow" w:cstheme="minorHAnsi"/>
          <w:spacing w:val="-2"/>
        </w:rPr>
        <w:t>u</w:t>
      </w:r>
      <w:r>
        <w:rPr>
          <w:rFonts w:eastAsia="Arial Narrow" w:cstheme="minorHAnsi"/>
          <w:spacing w:val="1"/>
        </w:rPr>
        <w:t>čj</w:t>
      </w:r>
      <w:r>
        <w:rPr>
          <w:rFonts w:eastAsia="Arial Narrow" w:cstheme="minorHAnsi"/>
        </w:rPr>
        <w:t>e</w:t>
      </w:r>
      <w:r>
        <w:rPr>
          <w:rFonts w:eastAsia="Arial Narrow" w:cstheme="minorHAnsi"/>
          <w:spacing w:val="3"/>
        </w:rPr>
        <w:t xml:space="preserve"> </w:t>
      </w:r>
      <w:r>
        <w:rPr>
          <w:rFonts w:eastAsia="Arial Narrow" w:cstheme="minorHAnsi"/>
        </w:rPr>
        <w:t xml:space="preserve">s povoljnim </w:t>
      </w:r>
      <w:r>
        <w:rPr>
          <w:rFonts w:eastAsia="Arial Narrow" w:cstheme="minorHAnsi"/>
          <w:spacing w:val="-2"/>
        </w:rPr>
        <w:t>k</w:t>
      </w:r>
      <w:r>
        <w:rPr>
          <w:rFonts w:eastAsia="Arial Narrow" w:cstheme="minorHAnsi"/>
          <w:spacing w:val="1"/>
        </w:rPr>
        <w:t>li</w:t>
      </w:r>
      <w:r>
        <w:rPr>
          <w:rFonts w:eastAsia="Arial Narrow" w:cstheme="minorHAnsi"/>
        </w:rPr>
        <w:t>m</w:t>
      </w:r>
      <w:r>
        <w:rPr>
          <w:rFonts w:eastAsia="Arial Narrow" w:cstheme="minorHAnsi"/>
          <w:spacing w:val="-2"/>
        </w:rPr>
        <w:t>a</w:t>
      </w:r>
      <w:r>
        <w:rPr>
          <w:rFonts w:eastAsia="Arial Narrow" w:cstheme="minorHAnsi"/>
        </w:rPr>
        <w:t>t</w:t>
      </w:r>
      <w:r>
        <w:rPr>
          <w:rFonts w:eastAsia="Arial Narrow" w:cstheme="minorHAnsi"/>
          <w:spacing w:val="1"/>
        </w:rPr>
        <w:t>s</w:t>
      </w:r>
      <w:r>
        <w:rPr>
          <w:rFonts w:eastAsia="Arial Narrow" w:cstheme="minorHAnsi"/>
          <w:spacing w:val="-2"/>
        </w:rPr>
        <w:t>k</w:t>
      </w:r>
      <w:r>
        <w:rPr>
          <w:rFonts w:eastAsia="Arial Narrow" w:cstheme="minorHAnsi"/>
        </w:rPr>
        <w:t>im</w:t>
      </w:r>
      <w:r>
        <w:rPr>
          <w:rFonts w:eastAsia="Arial Narrow" w:cstheme="minorHAnsi"/>
          <w:spacing w:val="3"/>
        </w:rPr>
        <w:t xml:space="preserve"> </w:t>
      </w:r>
      <w:r>
        <w:rPr>
          <w:rFonts w:eastAsia="Arial Narrow" w:cstheme="minorHAnsi"/>
        </w:rPr>
        <w:t>u</w:t>
      </w:r>
      <w:r>
        <w:rPr>
          <w:rFonts w:eastAsia="Arial Narrow" w:cstheme="minorHAnsi"/>
          <w:spacing w:val="-2"/>
        </w:rPr>
        <w:t>v</w:t>
      </w:r>
      <w:r>
        <w:rPr>
          <w:rFonts w:eastAsia="Arial Narrow" w:cstheme="minorHAnsi"/>
          <w:spacing w:val="1"/>
        </w:rPr>
        <w:t>j</w:t>
      </w:r>
      <w:r>
        <w:rPr>
          <w:rFonts w:eastAsia="Arial Narrow" w:cstheme="minorHAnsi"/>
        </w:rPr>
        <w:t>e</w:t>
      </w:r>
      <w:r>
        <w:rPr>
          <w:rFonts w:eastAsia="Arial Narrow" w:cstheme="minorHAnsi"/>
          <w:spacing w:val="-2"/>
        </w:rPr>
        <w:t>t</w:t>
      </w:r>
      <w:r>
        <w:rPr>
          <w:rFonts w:eastAsia="Arial Narrow" w:cstheme="minorHAnsi"/>
        </w:rPr>
        <w:t xml:space="preserve">ima </w:t>
      </w:r>
      <w:r>
        <w:rPr>
          <w:rFonts w:eastAsia="Arial Narrow" w:cstheme="minorHAnsi"/>
          <w:spacing w:val="1"/>
        </w:rPr>
        <w:t>z</w:t>
      </w:r>
      <w:r>
        <w:rPr>
          <w:rFonts w:eastAsia="Arial Narrow" w:cstheme="minorHAnsi"/>
        </w:rPr>
        <w:t>a intenzivnu p</w:t>
      </w:r>
      <w:r>
        <w:rPr>
          <w:rFonts w:eastAsia="Arial Narrow" w:cstheme="minorHAnsi"/>
          <w:spacing w:val="-3"/>
        </w:rPr>
        <w:t>r</w:t>
      </w:r>
      <w:r>
        <w:rPr>
          <w:rFonts w:eastAsia="Arial Narrow" w:cstheme="minorHAnsi"/>
        </w:rPr>
        <w:t>o</w:t>
      </w:r>
      <w:r>
        <w:rPr>
          <w:rFonts w:eastAsia="Arial Narrow" w:cstheme="minorHAnsi"/>
          <w:spacing w:val="1"/>
        </w:rPr>
        <w:t>i</w:t>
      </w:r>
      <w:r>
        <w:rPr>
          <w:rFonts w:eastAsia="Arial Narrow" w:cstheme="minorHAnsi"/>
          <w:spacing w:val="-2"/>
        </w:rPr>
        <w:t>z</w:t>
      </w:r>
      <w:r>
        <w:rPr>
          <w:rFonts w:eastAsia="Arial Narrow" w:cstheme="minorHAnsi"/>
          <w:spacing w:val="1"/>
        </w:rPr>
        <w:t>v</w:t>
      </w:r>
      <w:r>
        <w:rPr>
          <w:rFonts w:eastAsia="Arial Narrow" w:cstheme="minorHAnsi"/>
        </w:rPr>
        <w:t>od</w:t>
      </w:r>
      <w:r>
        <w:rPr>
          <w:rFonts w:eastAsia="Arial Narrow" w:cstheme="minorHAnsi"/>
          <w:spacing w:val="-2"/>
        </w:rPr>
        <w:t>n</w:t>
      </w:r>
      <w:r>
        <w:rPr>
          <w:rFonts w:eastAsia="Arial Narrow" w:cstheme="minorHAnsi"/>
          <w:spacing w:val="1"/>
        </w:rPr>
        <w:t>j</w:t>
      </w:r>
      <w:r>
        <w:rPr>
          <w:rFonts w:eastAsia="Arial Narrow" w:cstheme="minorHAnsi"/>
        </w:rPr>
        <w:t>u</w:t>
      </w:r>
      <w:r>
        <w:rPr>
          <w:rFonts w:eastAsia="Arial Narrow" w:cstheme="minorHAnsi"/>
          <w:spacing w:val="-2"/>
        </w:rPr>
        <w:t xml:space="preserve"> </w:t>
      </w:r>
      <w:r>
        <w:rPr>
          <w:rFonts w:eastAsia="Arial Narrow" w:cstheme="minorHAnsi"/>
          <w:spacing w:val="1"/>
        </w:rPr>
        <w:t>j</w:t>
      </w:r>
      <w:r>
        <w:rPr>
          <w:rFonts w:eastAsia="Arial Narrow" w:cstheme="minorHAnsi"/>
        </w:rPr>
        <w:t>ab</w:t>
      </w:r>
      <w:r>
        <w:rPr>
          <w:rFonts w:eastAsia="Arial Narrow" w:cstheme="minorHAnsi"/>
          <w:spacing w:val="-2"/>
        </w:rPr>
        <w:t>u</w:t>
      </w:r>
      <w:r>
        <w:rPr>
          <w:rFonts w:eastAsia="Arial Narrow" w:cstheme="minorHAnsi"/>
          <w:spacing w:val="1"/>
        </w:rPr>
        <w:t>k</w:t>
      </w:r>
      <w:r>
        <w:rPr>
          <w:rFonts w:eastAsia="Arial Narrow" w:cstheme="minorHAnsi"/>
        </w:rPr>
        <w:t>a,</w:t>
      </w:r>
      <w:r>
        <w:rPr>
          <w:rFonts w:eastAsia="Arial Narrow" w:cstheme="minorHAnsi"/>
          <w:spacing w:val="-2"/>
        </w:rPr>
        <w:t xml:space="preserve"> </w:t>
      </w:r>
      <w:r>
        <w:rPr>
          <w:rFonts w:eastAsia="Arial Narrow" w:cstheme="minorHAnsi"/>
          <w:spacing w:val="1"/>
        </w:rPr>
        <w:t>k</w:t>
      </w:r>
      <w:r>
        <w:rPr>
          <w:rFonts w:eastAsia="Arial Narrow" w:cstheme="minorHAnsi"/>
        </w:rPr>
        <w:t>ru</w:t>
      </w:r>
      <w:r>
        <w:rPr>
          <w:rFonts w:eastAsia="Arial Narrow" w:cstheme="minorHAnsi"/>
          <w:spacing w:val="1"/>
        </w:rPr>
        <w:t>š</w:t>
      </w:r>
      <w:r>
        <w:rPr>
          <w:rFonts w:eastAsia="Arial Narrow" w:cstheme="minorHAnsi"/>
          <w:spacing w:val="-2"/>
        </w:rPr>
        <w:t>a</w:t>
      </w:r>
      <w:r>
        <w:rPr>
          <w:rFonts w:eastAsia="Arial Narrow" w:cstheme="minorHAnsi"/>
          <w:spacing w:val="1"/>
        </w:rPr>
        <w:t>k</w:t>
      </w:r>
      <w:r>
        <w:rPr>
          <w:rFonts w:eastAsia="Arial Narrow" w:cstheme="minorHAnsi"/>
        </w:rPr>
        <w:t>a,</w:t>
      </w:r>
      <w:r>
        <w:rPr>
          <w:rFonts w:eastAsia="Arial Narrow" w:cstheme="minorHAnsi"/>
          <w:spacing w:val="-2"/>
        </w:rPr>
        <w:t xml:space="preserve"> </w:t>
      </w:r>
      <w:r>
        <w:rPr>
          <w:rFonts w:eastAsia="Arial Narrow" w:cstheme="minorHAnsi"/>
          <w:spacing w:val="1"/>
        </w:rPr>
        <w:t>š</w:t>
      </w:r>
      <w:r>
        <w:rPr>
          <w:rFonts w:eastAsia="Arial Narrow" w:cstheme="minorHAnsi"/>
          <w:spacing w:val="-2"/>
        </w:rPr>
        <w:t>l</w:t>
      </w:r>
      <w:r>
        <w:rPr>
          <w:rFonts w:eastAsia="Arial Narrow" w:cstheme="minorHAnsi"/>
          <w:spacing w:val="1"/>
        </w:rPr>
        <w:t>ji</w:t>
      </w:r>
      <w:r>
        <w:rPr>
          <w:rFonts w:eastAsia="Arial Narrow" w:cstheme="minorHAnsi"/>
          <w:spacing w:val="-2"/>
        </w:rPr>
        <w:t>v</w:t>
      </w:r>
      <w:r>
        <w:rPr>
          <w:rFonts w:eastAsia="Arial Narrow" w:cstheme="minorHAnsi"/>
        </w:rPr>
        <w:t>a,</w:t>
      </w:r>
      <w:r>
        <w:rPr>
          <w:rFonts w:eastAsia="Arial Narrow" w:cstheme="minorHAnsi"/>
          <w:spacing w:val="-2"/>
        </w:rPr>
        <w:t xml:space="preserve"> </w:t>
      </w:r>
      <w:r>
        <w:rPr>
          <w:rFonts w:eastAsia="Arial Narrow" w:cstheme="minorHAnsi"/>
        </w:rPr>
        <w:t>mare</w:t>
      </w:r>
      <w:r>
        <w:rPr>
          <w:rFonts w:eastAsia="Arial Narrow" w:cstheme="minorHAnsi"/>
          <w:spacing w:val="-2"/>
        </w:rPr>
        <w:t>l</w:t>
      </w:r>
      <w:r>
        <w:rPr>
          <w:rFonts w:eastAsia="Arial Narrow" w:cstheme="minorHAnsi"/>
          <w:spacing w:val="1"/>
        </w:rPr>
        <w:t>ic</w:t>
      </w:r>
      <w:r>
        <w:rPr>
          <w:rFonts w:eastAsia="Arial Narrow" w:cstheme="minorHAnsi"/>
        </w:rPr>
        <w:t>a,</w:t>
      </w:r>
      <w:r>
        <w:rPr>
          <w:rFonts w:eastAsia="Arial Narrow" w:cstheme="minorHAnsi"/>
          <w:spacing w:val="-2"/>
        </w:rPr>
        <w:t xml:space="preserve"> b</w:t>
      </w:r>
      <w:r>
        <w:rPr>
          <w:rFonts w:eastAsia="Arial Narrow" w:cstheme="minorHAnsi"/>
        </w:rPr>
        <w:t>re</w:t>
      </w:r>
      <w:r>
        <w:rPr>
          <w:rFonts w:eastAsia="Arial Narrow" w:cstheme="minorHAnsi"/>
          <w:spacing w:val="1"/>
        </w:rPr>
        <w:t>s</w:t>
      </w:r>
      <w:r>
        <w:rPr>
          <w:rFonts w:eastAsia="Arial Narrow" w:cstheme="minorHAnsi"/>
        </w:rPr>
        <w:t>a</w:t>
      </w:r>
      <w:r>
        <w:rPr>
          <w:rFonts w:eastAsia="Arial Narrow" w:cstheme="minorHAnsi"/>
          <w:spacing w:val="1"/>
        </w:rPr>
        <w:t>k</w:t>
      </w:r>
      <w:r>
        <w:rPr>
          <w:rFonts w:eastAsia="Arial Narrow" w:cstheme="minorHAnsi"/>
        </w:rPr>
        <w:t>a,</w:t>
      </w:r>
      <w:r>
        <w:rPr>
          <w:rFonts w:eastAsia="Arial Narrow" w:cstheme="minorHAnsi"/>
          <w:spacing w:val="-2"/>
        </w:rPr>
        <w:t xml:space="preserve"> </w:t>
      </w:r>
      <w:r>
        <w:rPr>
          <w:rFonts w:eastAsia="Arial Narrow" w:cstheme="minorHAnsi"/>
        </w:rPr>
        <w:t>tr</w:t>
      </w:r>
      <w:r>
        <w:rPr>
          <w:rFonts w:eastAsia="Arial Narrow" w:cstheme="minorHAnsi"/>
          <w:spacing w:val="-2"/>
        </w:rPr>
        <w:t>e</w:t>
      </w:r>
      <w:r>
        <w:rPr>
          <w:rFonts w:eastAsia="Arial Narrow" w:cstheme="minorHAnsi"/>
          <w:spacing w:val="1"/>
        </w:rPr>
        <w:t>š</w:t>
      </w:r>
      <w:r>
        <w:rPr>
          <w:rFonts w:eastAsia="Arial Narrow" w:cstheme="minorHAnsi"/>
        </w:rPr>
        <w:t>an</w:t>
      </w:r>
      <w:r>
        <w:rPr>
          <w:rFonts w:eastAsia="Arial Narrow" w:cstheme="minorHAnsi"/>
          <w:spacing w:val="-2"/>
        </w:rPr>
        <w:t>j</w:t>
      </w:r>
      <w:r>
        <w:rPr>
          <w:rFonts w:eastAsia="Arial Narrow" w:cstheme="minorHAnsi"/>
        </w:rPr>
        <w:t>a,</w:t>
      </w:r>
      <w:r>
        <w:rPr>
          <w:rFonts w:eastAsia="Arial Narrow" w:cstheme="minorHAnsi"/>
          <w:spacing w:val="-2"/>
        </w:rPr>
        <w:t xml:space="preserve"> </w:t>
      </w:r>
      <w:r>
        <w:rPr>
          <w:rFonts w:eastAsia="Arial Narrow" w:cstheme="minorHAnsi"/>
          <w:spacing w:val="1"/>
        </w:rPr>
        <w:t>viš</w:t>
      </w:r>
      <w:r>
        <w:rPr>
          <w:rFonts w:eastAsia="Arial Narrow" w:cstheme="minorHAnsi"/>
          <w:spacing w:val="-2"/>
        </w:rPr>
        <w:t>a</w:t>
      </w:r>
      <w:r>
        <w:rPr>
          <w:rFonts w:eastAsia="Arial Narrow" w:cstheme="minorHAnsi"/>
        </w:rPr>
        <w:t>n</w:t>
      </w:r>
      <w:r>
        <w:rPr>
          <w:rFonts w:eastAsia="Arial Narrow" w:cstheme="minorHAnsi"/>
          <w:spacing w:val="1"/>
        </w:rPr>
        <w:t>j</w:t>
      </w:r>
      <w:r>
        <w:rPr>
          <w:rFonts w:eastAsia="Arial Narrow" w:cstheme="minorHAnsi"/>
        </w:rPr>
        <w:t>a,</w:t>
      </w:r>
      <w:r>
        <w:rPr>
          <w:rFonts w:eastAsia="Arial Narrow" w:cstheme="minorHAnsi"/>
          <w:spacing w:val="-2"/>
        </w:rPr>
        <w:t xml:space="preserve"> </w:t>
      </w:r>
      <w:r>
        <w:rPr>
          <w:rFonts w:eastAsia="Arial Narrow" w:cstheme="minorHAnsi"/>
        </w:rPr>
        <w:t>ora</w:t>
      </w:r>
      <w:r>
        <w:rPr>
          <w:rFonts w:eastAsia="Arial Narrow" w:cstheme="minorHAnsi"/>
          <w:spacing w:val="-2"/>
        </w:rPr>
        <w:t>h</w:t>
      </w:r>
      <w:r>
        <w:rPr>
          <w:rFonts w:eastAsia="Arial Narrow" w:cstheme="minorHAnsi"/>
        </w:rPr>
        <w:t xml:space="preserve">a, </w:t>
      </w:r>
      <w:r>
        <w:rPr>
          <w:rFonts w:eastAsia="Arial Narrow" w:cstheme="minorHAnsi"/>
          <w:spacing w:val="1"/>
        </w:rPr>
        <w:t>l</w:t>
      </w:r>
      <w:r>
        <w:rPr>
          <w:rFonts w:eastAsia="Arial Narrow" w:cstheme="minorHAnsi"/>
          <w:spacing w:val="-2"/>
        </w:rPr>
        <w:t>i</w:t>
      </w:r>
      <w:r>
        <w:rPr>
          <w:rFonts w:eastAsia="Arial Narrow" w:cstheme="minorHAnsi"/>
          <w:spacing w:val="1"/>
        </w:rPr>
        <w:t>j</w:t>
      </w:r>
      <w:r>
        <w:rPr>
          <w:rFonts w:eastAsia="Arial Narrow" w:cstheme="minorHAnsi"/>
        </w:rPr>
        <w:t>e</w:t>
      </w:r>
      <w:r>
        <w:rPr>
          <w:rFonts w:eastAsia="Arial Narrow" w:cstheme="minorHAnsi"/>
          <w:spacing w:val="-2"/>
        </w:rPr>
        <w:t>s</w:t>
      </w:r>
      <w:r>
        <w:rPr>
          <w:rFonts w:eastAsia="Arial Narrow" w:cstheme="minorHAnsi"/>
          <w:spacing w:val="1"/>
        </w:rPr>
        <w:t>k</w:t>
      </w:r>
      <w:r>
        <w:rPr>
          <w:rFonts w:eastAsia="Arial Narrow" w:cstheme="minorHAnsi"/>
        </w:rPr>
        <w:t>e</w:t>
      </w:r>
      <w:r>
        <w:rPr>
          <w:rFonts w:eastAsia="Arial Narrow" w:cstheme="minorHAnsi"/>
          <w:spacing w:val="-2"/>
        </w:rPr>
        <w:t xml:space="preserve"> </w:t>
      </w:r>
      <w:r>
        <w:rPr>
          <w:rFonts w:eastAsia="Arial Narrow" w:cstheme="minorHAnsi"/>
        </w:rPr>
        <w:t>i</w:t>
      </w:r>
      <w:r>
        <w:rPr>
          <w:rFonts w:eastAsia="Arial Narrow" w:cstheme="minorHAnsi"/>
          <w:spacing w:val="-2"/>
        </w:rPr>
        <w:t xml:space="preserve"> </w:t>
      </w:r>
      <w:r>
        <w:rPr>
          <w:rFonts w:eastAsia="Arial Narrow" w:cstheme="minorHAnsi"/>
          <w:spacing w:val="1"/>
        </w:rPr>
        <w:t>j</w:t>
      </w:r>
      <w:r>
        <w:rPr>
          <w:rFonts w:eastAsia="Arial Narrow" w:cstheme="minorHAnsi"/>
        </w:rPr>
        <w:t>ago</w:t>
      </w:r>
      <w:r>
        <w:rPr>
          <w:rFonts w:eastAsia="Arial Narrow" w:cstheme="minorHAnsi"/>
          <w:spacing w:val="-2"/>
        </w:rPr>
        <w:t>d</w:t>
      </w:r>
      <w:r>
        <w:rPr>
          <w:rFonts w:eastAsia="Arial Narrow" w:cstheme="minorHAnsi"/>
          <w:spacing w:val="1"/>
        </w:rPr>
        <w:t>ič</w:t>
      </w:r>
      <w:r>
        <w:rPr>
          <w:rFonts w:eastAsia="Arial Narrow" w:cstheme="minorHAnsi"/>
          <w:spacing w:val="-2"/>
        </w:rPr>
        <w:t>a</w:t>
      </w:r>
      <w:r>
        <w:rPr>
          <w:rFonts w:eastAsia="Arial Narrow" w:cstheme="minorHAnsi"/>
          <w:spacing w:val="1"/>
        </w:rPr>
        <w:t>s</w:t>
      </w:r>
      <w:r>
        <w:rPr>
          <w:rFonts w:eastAsia="Arial Narrow" w:cstheme="minorHAnsi"/>
        </w:rPr>
        <w:t>t</w:t>
      </w:r>
      <w:r>
        <w:rPr>
          <w:rFonts w:eastAsia="Arial Narrow" w:cstheme="minorHAnsi"/>
          <w:spacing w:val="-2"/>
        </w:rPr>
        <w:t>o</w:t>
      </w:r>
      <w:r>
        <w:rPr>
          <w:rFonts w:eastAsia="Arial Narrow" w:cstheme="minorHAnsi"/>
        </w:rPr>
        <w:t xml:space="preserve">g </w:t>
      </w:r>
      <w:r>
        <w:rPr>
          <w:rFonts w:eastAsia="Arial Narrow" w:cstheme="minorHAnsi"/>
          <w:spacing w:val="1"/>
        </w:rPr>
        <w:t>v</w:t>
      </w:r>
      <w:r>
        <w:rPr>
          <w:rFonts w:eastAsia="Arial Narrow" w:cstheme="minorHAnsi"/>
        </w:rPr>
        <w:t>o</w:t>
      </w:r>
      <w:r>
        <w:rPr>
          <w:rFonts w:eastAsia="Arial Narrow" w:cstheme="minorHAnsi"/>
          <w:spacing w:val="1"/>
        </w:rPr>
        <w:t>ć</w:t>
      </w:r>
      <w:r>
        <w:rPr>
          <w:rFonts w:eastAsia="Arial Narrow" w:cstheme="minorHAnsi"/>
        </w:rPr>
        <w:t>a.</w:t>
      </w:r>
      <w:r>
        <w:rPr>
          <w:color w:val="auto"/>
        </w:rPr>
        <w:t xml:space="preserve"> Podaci</w:t>
      </w:r>
      <w:r w:rsidRPr="0067236F">
        <w:rPr>
          <w:color w:val="auto"/>
        </w:rPr>
        <w:t xml:space="preserve"> Agencije za plaćanja u poljoprivredi, ribarstvu i ruralnom razvoju</w:t>
      </w:r>
      <w:r>
        <w:rPr>
          <w:rFonts w:eastAsia="Arial Narrow" w:cstheme="minorHAnsi"/>
        </w:rPr>
        <w:t xml:space="preserve"> ukazuju na</w:t>
      </w:r>
      <w:r>
        <w:rPr>
          <w:rFonts w:eastAsia="Arial Narrow" w:cstheme="minorHAnsi"/>
          <w:spacing w:val="-4"/>
        </w:rPr>
        <w:t xml:space="preserve"> </w:t>
      </w:r>
      <w:r>
        <w:rPr>
          <w:rFonts w:eastAsia="Arial Narrow" w:cstheme="minorHAnsi"/>
          <w:spacing w:val="-2"/>
        </w:rPr>
        <w:t>p</w:t>
      </w:r>
      <w:r>
        <w:rPr>
          <w:rFonts w:eastAsia="Arial Narrow" w:cstheme="minorHAnsi"/>
        </w:rPr>
        <w:t>o</w:t>
      </w:r>
      <w:r>
        <w:rPr>
          <w:rFonts w:eastAsia="Arial Narrow" w:cstheme="minorHAnsi"/>
          <w:spacing w:val="1"/>
        </w:rPr>
        <w:t>v</w:t>
      </w:r>
      <w:r>
        <w:rPr>
          <w:rFonts w:eastAsia="Arial Narrow" w:cstheme="minorHAnsi"/>
        </w:rPr>
        <w:t>e</w:t>
      </w:r>
      <w:r>
        <w:rPr>
          <w:rFonts w:eastAsia="Arial Narrow" w:cstheme="minorHAnsi"/>
          <w:spacing w:val="1"/>
        </w:rPr>
        <w:t>ć</w:t>
      </w:r>
      <w:r>
        <w:rPr>
          <w:rFonts w:eastAsia="Arial Narrow" w:cstheme="minorHAnsi"/>
          <w:spacing w:val="-2"/>
        </w:rPr>
        <w:t>a</w:t>
      </w:r>
      <w:r>
        <w:rPr>
          <w:rFonts w:eastAsia="Arial Narrow" w:cstheme="minorHAnsi"/>
        </w:rPr>
        <w:t>n</w:t>
      </w:r>
      <w:r>
        <w:rPr>
          <w:rFonts w:eastAsia="Arial Narrow" w:cstheme="minorHAnsi"/>
          <w:spacing w:val="1"/>
        </w:rPr>
        <w:t>j</w:t>
      </w:r>
      <w:r>
        <w:rPr>
          <w:rFonts w:eastAsia="Arial Narrow" w:cstheme="minorHAnsi"/>
        </w:rPr>
        <w:t>e</w:t>
      </w:r>
      <w:r>
        <w:rPr>
          <w:rFonts w:eastAsia="Arial Narrow" w:cstheme="minorHAnsi"/>
          <w:spacing w:val="-4"/>
        </w:rPr>
        <w:t xml:space="preserve"> </w:t>
      </w:r>
      <w:r>
        <w:rPr>
          <w:rFonts w:eastAsia="Arial Narrow" w:cstheme="minorHAnsi"/>
        </w:rPr>
        <w:t>p</w:t>
      </w:r>
      <w:r>
        <w:rPr>
          <w:rFonts w:eastAsia="Arial Narrow" w:cstheme="minorHAnsi"/>
          <w:spacing w:val="-2"/>
        </w:rPr>
        <w:t>o</w:t>
      </w:r>
      <w:r>
        <w:rPr>
          <w:rFonts w:eastAsia="Arial Narrow" w:cstheme="minorHAnsi"/>
          <w:spacing w:val="1"/>
        </w:rPr>
        <w:t>v</w:t>
      </w:r>
      <w:r>
        <w:rPr>
          <w:rFonts w:eastAsia="Arial Narrow" w:cstheme="minorHAnsi"/>
        </w:rPr>
        <w:t>r</w:t>
      </w:r>
      <w:r>
        <w:rPr>
          <w:rFonts w:eastAsia="Arial Narrow" w:cstheme="minorHAnsi"/>
          <w:spacing w:val="1"/>
        </w:rPr>
        <w:t>ši</w:t>
      </w:r>
      <w:r>
        <w:rPr>
          <w:rFonts w:eastAsia="Arial Narrow" w:cstheme="minorHAnsi"/>
          <w:spacing w:val="-2"/>
        </w:rPr>
        <w:t>n</w:t>
      </w:r>
      <w:r>
        <w:rPr>
          <w:rFonts w:eastAsia="Arial Narrow" w:cstheme="minorHAnsi"/>
        </w:rPr>
        <w:t>a pod</w:t>
      </w:r>
      <w:r>
        <w:rPr>
          <w:rFonts w:eastAsia="Arial Narrow" w:cstheme="minorHAnsi"/>
          <w:spacing w:val="-2"/>
        </w:rPr>
        <w:t xml:space="preserve"> na</w:t>
      </w:r>
      <w:r>
        <w:rPr>
          <w:rFonts w:eastAsia="Arial Narrow" w:cstheme="minorHAnsi"/>
          <w:spacing w:val="1"/>
        </w:rPr>
        <w:t>s</w:t>
      </w:r>
      <w:r>
        <w:rPr>
          <w:rFonts w:eastAsia="Arial Narrow" w:cstheme="minorHAnsi"/>
        </w:rPr>
        <w:t>ad</w:t>
      </w:r>
      <w:r>
        <w:rPr>
          <w:rFonts w:eastAsia="Arial Narrow" w:cstheme="minorHAnsi"/>
          <w:spacing w:val="1"/>
        </w:rPr>
        <w:t>i</w:t>
      </w:r>
      <w:r>
        <w:rPr>
          <w:rFonts w:eastAsia="Arial Narrow" w:cstheme="minorHAnsi"/>
          <w:spacing w:val="-2"/>
        </w:rPr>
        <w:t>m</w:t>
      </w:r>
      <w:r>
        <w:rPr>
          <w:rFonts w:eastAsia="Arial Narrow" w:cstheme="minorHAnsi"/>
        </w:rPr>
        <w:t>a</w:t>
      </w:r>
      <w:r>
        <w:rPr>
          <w:rFonts w:eastAsia="Arial Narrow" w:cstheme="minorHAnsi"/>
          <w:spacing w:val="-2"/>
        </w:rPr>
        <w:t xml:space="preserve"> </w:t>
      </w:r>
      <w:r>
        <w:rPr>
          <w:rFonts w:eastAsia="Arial Narrow" w:cstheme="minorHAnsi"/>
        </w:rPr>
        <w:t>i</w:t>
      </w:r>
      <w:r>
        <w:rPr>
          <w:rFonts w:eastAsia="Arial Narrow" w:cstheme="minorHAnsi"/>
          <w:spacing w:val="-4"/>
        </w:rPr>
        <w:t xml:space="preserve"> </w:t>
      </w:r>
      <w:r>
        <w:rPr>
          <w:rFonts w:eastAsia="Arial Narrow" w:cstheme="minorHAnsi"/>
        </w:rPr>
        <w:t>bro</w:t>
      </w:r>
      <w:r>
        <w:rPr>
          <w:rFonts w:eastAsia="Arial Narrow" w:cstheme="minorHAnsi"/>
          <w:spacing w:val="1"/>
        </w:rPr>
        <w:t>j</w:t>
      </w:r>
      <w:r>
        <w:rPr>
          <w:rFonts w:eastAsia="Arial Narrow" w:cstheme="minorHAnsi"/>
        </w:rPr>
        <w:t>a</w:t>
      </w:r>
      <w:r>
        <w:rPr>
          <w:rFonts w:eastAsia="Arial Narrow" w:cstheme="minorHAnsi"/>
          <w:spacing w:val="-4"/>
        </w:rPr>
        <w:t xml:space="preserve"> </w:t>
      </w:r>
      <w:r>
        <w:rPr>
          <w:rFonts w:eastAsia="Arial Narrow" w:cstheme="minorHAnsi"/>
        </w:rPr>
        <w:t>poljoprivredn</w:t>
      </w:r>
      <w:r w:rsidRPr="0067236F">
        <w:rPr>
          <w:rFonts w:eastAsia="Arial Narrow" w:cstheme="minorHAnsi"/>
          <w:color w:val="auto"/>
        </w:rPr>
        <w:t xml:space="preserve">ih </w:t>
      </w:r>
      <w:r w:rsidRPr="00D148A5">
        <w:rPr>
          <w:rFonts w:eastAsia="Arial Narrow" w:cstheme="minorHAnsi"/>
          <w:szCs w:val="18"/>
        </w:rPr>
        <w:t>gospodarstva koji se bave voćarstvom. U razdoblju od 2015. do 2020. površine pod voćnjacima povećale su se za 23,10%. Uz to, područje županije smatra se i izuzetno vinorodnim područjem s višestoljetnom tradicijom u proizvodnji vina. Prema podjeli vinogradarskih područja, pripada podregiji Zagorje – Međimurje, a u proizvodnji vina prednjače sorte chardonnay, pinot bijeli, pinot sivi, traminac, rizling rajnski i graševina. Od visokokvalitetnih crnih vina u Zagorju se proizvode pinot crni i cabernet sauvignon te kvalitetna crna vina frankovka, portugizac i zweigelt. Kvaliteta  vina posljednjih je desetak godina značajno  porasla na temelju višegodišnjeg predanog rada zagorskih vinara koji na tržište plasiraju od sortnih vina do kvalitetnih i vrhunskih vina, a predikatna vina i ledene berbe su svjetski poznata. Krapinsko-zagorska županija prva je u Republici Hrvatskoj po broju poljoprivrednih gospodarstava koji posjeduju nasade vinograda dok se prema zasađenim površinama nalazi na 10 mjestu. Prepoznavši važnost očuvanja autohtonih sorata vinove loze na svom području, Županija je u suradnji s Agronomskim fakultetom u Zagrebu 2006. godine pristupila provedbi i financiranju znanstveno-stručnog projekta ''Zaštita i revitalizacija autohtonih sorata vinove loze Hrvatskog zagorja''. Trenutno je u provedbi treća faza projekta koja će trajati do proljeća 2022. godine, a cilj je dobiti cjeloviti uvid u gospodarsko-tehnološke karakteristike pronađenih i spašenih sorti s posebnom pažnjom na najinteresantnije gospodarstvu. Najbolje ocjenjene sorte preporučit će se proizvođačima za daljnje širenje uz preporuku o njihovoj tehnologiji uzgoja.</w:t>
      </w:r>
    </w:p>
    <w:p w14:paraId="401DFDB2" w14:textId="44CECA6D" w:rsidR="003B3F39" w:rsidRPr="00D1798B" w:rsidRDefault="002915FC" w:rsidP="002915FC">
      <w:pPr>
        <w:shd w:val="clear" w:color="auto" w:fill="E5E5E5" w:themeFill="text1" w:themeFillTint="33"/>
        <w:rPr>
          <w:rFonts w:eastAsia="Arial Narrow" w:cstheme="minorHAnsi"/>
          <w:color w:val="auto"/>
        </w:rPr>
      </w:pPr>
      <w:r>
        <w:rPr>
          <w:rFonts w:eastAsia="Arial Narrow" w:cstheme="minorHAnsi"/>
          <w:color w:val="auto"/>
        </w:rPr>
        <w:lastRenderedPageBreak/>
        <w:t>Z</w:t>
      </w:r>
      <w:r w:rsidR="003B3F39" w:rsidRPr="003B3F39">
        <w:rPr>
          <w:rFonts w:eastAsia="Arial Narrow" w:cstheme="minorHAnsi"/>
          <w:color w:val="auto"/>
        </w:rPr>
        <w:t>načajan segment poljoprivrede</w:t>
      </w:r>
      <w:r>
        <w:rPr>
          <w:rFonts w:eastAsia="Arial Narrow" w:cstheme="minorHAnsi"/>
          <w:color w:val="auto"/>
        </w:rPr>
        <w:t xml:space="preserve"> na području županije predstavlja stočarstvo</w:t>
      </w:r>
      <w:r w:rsidR="003B3F39" w:rsidRPr="003B3F39">
        <w:rPr>
          <w:rFonts w:eastAsia="Arial Narrow" w:cstheme="minorHAnsi"/>
          <w:color w:val="auto"/>
        </w:rPr>
        <w:t xml:space="preserve"> </w:t>
      </w:r>
      <w:r>
        <w:rPr>
          <w:rFonts w:eastAsia="Arial Narrow" w:cstheme="minorHAnsi"/>
          <w:color w:val="auto"/>
        </w:rPr>
        <w:t>kojem</w:t>
      </w:r>
      <w:r w:rsidR="003B3F39" w:rsidRPr="003B3F39">
        <w:rPr>
          <w:rFonts w:eastAsia="Arial Narrow" w:cstheme="minorHAnsi"/>
          <w:color w:val="auto"/>
        </w:rPr>
        <w:t xml:space="preserve"> prije svega pogoduju prirodni uvjeti s relativno blagom klimom povoljnom za držanje stoke te proizvodnju voluminozne krme. Prema broju grla, a temeljem podataka Jedinstvenog registra domaćih životinja (JRDŽ) Hrvatske poljoprivredne agencije, najznačajniji dio stočarske proizvodnje je govedarstvo i svinjogojstvo.</w:t>
      </w:r>
      <w:r w:rsidRPr="002915FC">
        <w:t xml:space="preserve"> </w:t>
      </w:r>
      <w:r w:rsidRPr="002915FC">
        <w:rPr>
          <w:rFonts w:eastAsia="Arial Narrow" w:cstheme="minorHAnsi"/>
          <w:color w:val="auto"/>
        </w:rPr>
        <w:t>U peradarskoj proizvodnji sa stajališta prepoznatljivosti na tržištu svakako je najznačajniji uzgoj zagorskog purana</w:t>
      </w:r>
      <w:r>
        <w:rPr>
          <w:rFonts w:eastAsia="Arial Narrow" w:cstheme="minorHAnsi"/>
          <w:color w:val="auto"/>
        </w:rPr>
        <w:t xml:space="preserve">, koji je </w:t>
      </w:r>
      <w:r w:rsidRPr="002915FC">
        <w:rPr>
          <w:rFonts w:eastAsia="Arial Narrow" w:cstheme="minorHAnsi"/>
          <w:color w:val="auto"/>
        </w:rPr>
        <w:t>zaštićeni autohtoni proizvod te je u kategoriji svježeg mesa prvi koji je u Republici Hrvatskoj dobio Oznaku zemljopisnog podrijetla „Meso zagorskog purana“. Time je kao visoko vrijedan proizvod postao vrlo važna karika u prepoznatljivosti zemlje i regije.</w:t>
      </w:r>
      <w:r w:rsidRPr="002915FC">
        <w:t xml:space="preserve"> </w:t>
      </w:r>
      <w:r>
        <w:rPr>
          <w:rFonts w:eastAsia="Arial Narrow" w:cstheme="minorHAnsi"/>
          <w:color w:val="auto"/>
        </w:rPr>
        <w:t>D</w:t>
      </w:r>
      <w:r w:rsidRPr="002915FC">
        <w:rPr>
          <w:rFonts w:eastAsia="Arial Narrow" w:cstheme="minorHAnsi"/>
          <w:color w:val="auto"/>
        </w:rPr>
        <w:t>obri klimatski uvjeti te medonos</w:t>
      </w:r>
      <w:r>
        <w:rPr>
          <w:rFonts w:eastAsia="Arial Narrow" w:cstheme="minorHAnsi"/>
          <w:color w:val="auto"/>
        </w:rPr>
        <w:t>ne</w:t>
      </w:r>
      <w:r w:rsidRPr="002915FC">
        <w:rPr>
          <w:rFonts w:eastAsia="Arial Narrow" w:cstheme="minorHAnsi"/>
          <w:color w:val="auto"/>
        </w:rPr>
        <w:t xml:space="preserve"> biljk</w:t>
      </w:r>
      <w:r>
        <w:rPr>
          <w:rFonts w:eastAsia="Arial Narrow" w:cstheme="minorHAnsi"/>
          <w:color w:val="auto"/>
        </w:rPr>
        <w:t>e</w:t>
      </w:r>
      <w:r w:rsidRPr="002915FC">
        <w:rPr>
          <w:rFonts w:eastAsia="Arial Narrow" w:cstheme="minorHAnsi"/>
          <w:color w:val="auto"/>
        </w:rPr>
        <w:t xml:space="preserve"> u kojima prednjači bagrem (bagremova paša)</w:t>
      </w:r>
      <w:r>
        <w:rPr>
          <w:rFonts w:eastAsia="Arial Narrow" w:cstheme="minorHAnsi"/>
          <w:color w:val="auto"/>
        </w:rPr>
        <w:t>, uvjetovali su razvoj pčelarstva</w:t>
      </w:r>
      <w:r w:rsidRPr="002915FC">
        <w:rPr>
          <w:rFonts w:eastAsia="Arial Narrow" w:cstheme="minorHAnsi"/>
          <w:color w:val="auto"/>
        </w:rPr>
        <w:t xml:space="preserve">. Na području </w:t>
      </w:r>
      <w:r>
        <w:rPr>
          <w:rFonts w:eastAsia="Arial Narrow" w:cstheme="minorHAnsi"/>
          <w:color w:val="auto"/>
        </w:rPr>
        <w:t>ž</w:t>
      </w:r>
      <w:r w:rsidRPr="002915FC">
        <w:rPr>
          <w:rFonts w:eastAsia="Arial Narrow" w:cstheme="minorHAnsi"/>
          <w:color w:val="auto"/>
        </w:rPr>
        <w:t xml:space="preserve">upanije djeluje 9 pčelarskih udruga i Savez pčelarskih udruga Krapinsko-zagorske županije. </w:t>
      </w:r>
      <w:r w:rsidR="003C7DEF">
        <w:rPr>
          <w:rFonts w:eastAsia="Arial Narrow" w:cstheme="minorHAnsi"/>
          <w:color w:val="auto"/>
        </w:rPr>
        <w:t>P</w:t>
      </w:r>
      <w:r w:rsidRPr="002915FC">
        <w:rPr>
          <w:rFonts w:eastAsia="Arial Narrow" w:cstheme="minorHAnsi"/>
          <w:color w:val="auto"/>
        </w:rPr>
        <w:t>roizvodnja meda po košnici ovisi o godini</w:t>
      </w:r>
      <w:r w:rsidRPr="002915FC">
        <w:t xml:space="preserve"> </w:t>
      </w:r>
      <w:r>
        <w:t>(</w:t>
      </w:r>
      <w:r w:rsidRPr="002915FC">
        <w:rPr>
          <w:rFonts w:eastAsia="Arial Narrow" w:cstheme="minorHAnsi"/>
          <w:color w:val="auto"/>
        </w:rPr>
        <w:t>medenju medonosnog bilja i vremenskim uvjetima</w:t>
      </w:r>
      <w:r>
        <w:rPr>
          <w:rFonts w:eastAsia="Arial Narrow" w:cstheme="minorHAnsi"/>
          <w:color w:val="auto"/>
        </w:rPr>
        <w:t>)</w:t>
      </w:r>
      <w:r w:rsidRPr="002915FC">
        <w:rPr>
          <w:rFonts w:eastAsia="Arial Narrow" w:cstheme="minorHAnsi"/>
          <w:color w:val="auto"/>
        </w:rPr>
        <w:t xml:space="preserve"> i kreće se od 10</w:t>
      </w:r>
      <w:r>
        <w:rPr>
          <w:rFonts w:eastAsia="Arial Narrow" w:cstheme="minorHAnsi"/>
          <w:color w:val="auto"/>
        </w:rPr>
        <w:t xml:space="preserve"> </w:t>
      </w:r>
      <w:r w:rsidRPr="002915FC">
        <w:rPr>
          <w:rFonts w:eastAsia="Arial Narrow" w:cstheme="minorHAnsi"/>
          <w:color w:val="auto"/>
        </w:rPr>
        <w:t>kg do čak 50</w:t>
      </w:r>
      <w:r>
        <w:rPr>
          <w:rFonts w:eastAsia="Arial Narrow" w:cstheme="minorHAnsi"/>
          <w:color w:val="auto"/>
        </w:rPr>
        <w:t xml:space="preserve"> </w:t>
      </w:r>
      <w:r w:rsidRPr="002915FC">
        <w:rPr>
          <w:rFonts w:eastAsia="Arial Narrow" w:cstheme="minorHAnsi"/>
          <w:color w:val="auto"/>
        </w:rPr>
        <w:t>kg/košnici</w:t>
      </w:r>
      <w:r>
        <w:rPr>
          <w:rFonts w:eastAsia="Arial Narrow" w:cstheme="minorHAnsi"/>
          <w:color w:val="auto"/>
        </w:rPr>
        <w:t>.</w:t>
      </w:r>
      <w:r w:rsidR="00D1798B">
        <w:rPr>
          <w:rFonts w:eastAsia="Arial Narrow" w:cstheme="minorHAnsi"/>
          <w:color w:val="auto"/>
        </w:rPr>
        <w:t xml:space="preserve"> </w:t>
      </w:r>
      <w:r w:rsidRPr="002915FC">
        <w:rPr>
          <w:rFonts w:eastAsia="Arial Narrow" w:cstheme="minorHAnsi"/>
          <w:color w:val="auto"/>
        </w:rPr>
        <w:t>S ciljem isticanja i izdvajanja izvrsnosti meda, kao i marketinške promocije, pokrenu</w:t>
      </w:r>
      <w:r w:rsidR="00D1798B">
        <w:rPr>
          <w:rFonts w:eastAsia="Arial Narrow" w:cstheme="minorHAnsi"/>
          <w:color w:val="auto"/>
        </w:rPr>
        <w:t>t je</w:t>
      </w:r>
      <w:r w:rsidRPr="002915FC">
        <w:rPr>
          <w:rFonts w:eastAsia="Arial Narrow" w:cstheme="minorHAnsi"/>
          <w:color w:val="auto"/>
        </w:rPr>
        <w:t xml:space="preserve"> projekt „Bagrem med zagorskih brega“</w:t>
      </w:r>
      <w:r w:rsidR="00D1798B">
        <w:rPr>
          <w:rFonts w:eastAsia="Arial Narrow" w:cstheme="minorHAnsi"/>
          <w:color w:val="auto"/>
        </w:rPr>
        <w:t xml:space="preserve">. Osim </w:t>
      </w:r>
      <w:r w:rsidR="00D1798B" w:rsidRPr="00D1798B">
        <w:rPr>
          <w:rFonts w:eastAsia="Arial Narrow" w:cstheme="minorHAnsi"/>
          <w:color w:val="auto"/>
        </w:rPr>
        <w:t>dobiveno</w:t>
      </w:r>
      <w:r w:rsidR="00D1798B">
        <w:rPr>
          <w:rFonts w:eastAsia="Arial Narrow" w:cstheme="minorHAnsi"/>
          <w:color w:val="auto"/>
        </w:rPr>
        <w:t>g</w:t>
      </w:r>
      <w:r w:rsidR="00D1798B" w:rsidRPr="00D1798B">
        <w:rPr>
          <w:rFonts w:eastAsia="Arial Narrow" w:cstheme="minorHAnsi"/>
          <w:color w:val="auto"/>
        </w:rPr>
        <w:t xml:space="preserve"> Rješenje za registraciju žiga „Bagrem med zagorskih brega“ </w:t>
      </w:r>
      <w:r w:rsidR="00D1798B">
        <w:rPr>
          <w:rFonts w:eastAsia="Arial Narrow" w:cstheme="minorHAnsi"/>
          <w:color w:val="auto"/>
        </w:rPr>
        <w:t xml:space="preserve">i </w:t>
      </w:r>
      <w:r w:rsidR="00D1798B" w:rsidRPr="00D1798B">
        <w:rPr>
          <w:rFonts w:eastAsia="Arial Narrow" w:cstheme="minorHAnsi"/>
          <w:color w:val="auto"/>
        </w:rPr>
        <w:t>zaštit</w:t>
      </w:r>
      <w:r w:rsidR="00D1798B">
        <w:rPr>
          <w:rFonts w:eastAsia="Arial Narrow" w:cstheme="minorHAnsi"/>
          <w:color w:val="auto"/>
        </w:rPr>
        <w:t>u</w:t>
      </w:r>
      <w:r w:rsidR="00D1798B" w:rsidRPr="00D1798B">
        <w:rPr>
          <w:rFonts w:eastAsia="Arial Narrow" w:cstheme="minorHAnsi"/>
          <w:color w:val="auto"/>
        </w:rPr>
        <w:t xml:space="preserve"> oznake izvornosti</w:t>
      </w:r>
      <w:r w:rsidR="00D1798B">
        <w:rPr>
          <w:rFonts w:eastAsia="Arial Narrow" w:cstheme="minorHAnsi"/>
          <w:color w:val="auto"/>
        </w:rPr>
        <w:t>,</w:t>
      </w:r>
      <w:r w:rsidR="00D1798B" w:rsidRPr="00D1798B">
        <w:rPr>
          <w:rFonts w:eastAsia="Arial Narrow" w:cstheme="minorHAnsi"/>
          <w:color w:val="auto"/>
        </w:rPr>
        <w:t xml:space="preserve"> </w:t>
      </w:r>
      <w:r w:rsidR="00D1798B">
        <w:rPr>
          <w:rFonts w:eastAsia="Arial Narrow" w:cstheme="minorHAnsi"/>
          <w:color w:val="auto"/>
        </w:rPr>
        <w:t xml:space="preserve">svake godine organizira se i </w:t>
      </w:r>
      <w:r w:rsidR="00D1798B" w:rsidRPr="00D1798B">
        <w:rPr>
          <w:rFonts w:eastAsia="Arial Narrow" w:cstheme="minorHAnsi"/>
          <w:color w:val="auto"/>
        </w:rPr>
        <w:t>manifestacija ocjenjivanje i izložba meda.</w:t>
      </w:r>
    </w:p>
    <w:p w14:paraId="3307D0AB" w14:textId="57760BFD" w:rsidR="00E81F58" w:rsidRDefault="003C7DEF" w:rsidP="00E81F58">
      <w:pPr>
        <w:shd w:val="clear" w:color="auto" w:fill="E5E5E5" w:themeFill="text1" w:themeFillTint="33"/>
        <w:rPr>
          <w:rFonts w:eastAsia="Arial Narrow" w:cstheme="minorHAnsi"/>
          <w:color w:val="auto"/>
          <w:spacing w:val="3"/>
        </w:rPr>
      </w:pPr>
      <w:r w:rsidRPr="003C7DEF">
        <w:rPr>
          <w:rFonts w:eastAsia="Arial Narrow" w:cstheme="minorHAnsi"/>
          <w:color w:val="auto"/>
          <w:spacing w:val="3"/>
        </w:rPr>
        <w:t>Usprkos tradiciji i značajnom potencijalu za razvoj poljoprivrede u Krapinsko-zagorskoj županiji, z</w:t>
      </w:r>
      <w:r w:rsidR="00E81F58" w:rsidRPr="003C7DEF">
        <w:rPr>
          <w:rFonts w:eastAsia="Arial Narrow" w:cstheme="minorHAnsi"/>
          <w:color w:val="auto"/>
          <w:spacing w:val="3"/>
        </w:rPr>
        <w:t xml:space="preserve">bog pretežito malih posjeda, nedostatne razine znanja te slabije tehnološke opremljenosti, izostaje značajnija prerada primarnih poljoprivrednih proizvoda. </w:t>
      </w:r>
      <w:r w:rsidRPr="003C7DEF">
        <w:rPr>
          <w:rFonts w:eastAsia="Arial Narrow" w:cstheme="minorHAnsi"/>
          <w:color w:val="auto"/>
          <w:spacing w:val="3"/>
        </w:rPr>
        <w:t>Uz to</w:t>
      </w:r>
      <w:r w:rsidR="00E81F58" w:rsidRPr="003C7DEF">
        <w:rPr>
          <w:rFonts w:eastAsia="Arial Narrow" w:cstheme="minorHAnsi"/>
          <w:color w:val="auto"/>
          <w:spacing w:val="3"/>
        </w:rPr>
        <w:t>, u nedovoljnoj mjeri se koriste i mogućnosti za udruživanje radi ostvarivanja lakš</w:t>
      </w:r>
      <w:r w:rsidR="00274EB9" w:rsidRPr="003C7DEF">
        <w:rPr>
          <w:rFonts w:eastAsia="Arial Narrow" w:cstheme="minorHAnsi"/>
          <w:color w:val="auto"/>
          <w:spacing w:val="3"/>
        </w:rPr>
        <w:t>eg i boljeg plasmana na tržištu te</w:t>
      </w:r>
      <w:r w:rsidR="00E81F58" w:rsidRPr="003C7DEF">
        <w:rPr>
          <w:rFonts w:eastAsia="Arial Narrow" w:cstheme="minorHAnsi"/>
          <w:color w:val="auto"/>
          <w:spacing w:val="3"/>
        </w:rPr>
        <w:t xml:space="preserve"> investicija u zajedničko korištenje preradbenih kapaciteta</w:t>
      </w:r>
      <w:r w:rsidR="00A641C0" w:rsidRPr="003C7DEF">
        <w:rPr>
          <w:rFonts w:eastAsia="Arial Narrow" w:cstheme="minorHAnsi"/>
          <w:color w:val="auto"/>
          <w:spacing w:val="3"/>
        </w:rPr>
        <w:t>.</w:t>
      </w:r>
    </w:p>
    <w:p w14:paraId="66B6D1CF" w14:textId="4A611749" w:rsidR="00FA1ED5" w:rsidRPr="003C7DEF" w:rsidRDefault="00FA1ED5" w:rsidP="00FA1ED5">
      <w:pPr>
        <w:shd w:val="clear" w:color="auto" w:fill="E5E5E5" w:themeFill="text1" w:themeFillTint="33"/>
        <w:rPr>
          <w:rFonts w:eastAsia="Arial Narrow" w:cstheme="minorHAnsi"/>
          <w:color w:val="auto"/>
          <w:spacing w:val="3"/>
        </w:rPr>
      </w:pPr>
      <w:r w:rsidRPr="00FA1ED5">
        <w:rPr>
          <w:rFonts w:eastAsia="Arial Narrow" w:cstheme="minorHAnsi"/>
          <w:color w:val="auto"/>
          <w:spacing w:val="3"/>
        </w:rPr>
        <w:t>Kako bi se ispitao utjecaj epidemioloških mjera provedenih radi pandemije bolesti COVID-19 na poljoprivredni sektor Krapinsko-zagorske županije, u listopadu 2020. godine provedena je anketa među poljoprivrednicima s područja Krapinsko-zagorske županije. Pojava virusa COVID-19 i razvoj pandemije rezultirali su negativnim utjecajem na sektor poljoprivrede te problemima koji su nastali ograničenjem u kretanju robe, promjeni u potrošnji u sklopu poljoprivrednih sustava za proizvodnju hrane te manjkom radne snage usred provedbe mjera koje se odnose na izolaciju ili karantenu</w:t>
      </w:r>
      <w:r>
        <w:rPr>
          <w:rFonts w:eastAsia="Arial Narrow" w:cstheme="minorHAnsi"/>
          <w:color w:val="auto"/>
          <w:spacing w:val="3"/>
        </w:rPr>
        <w:t>.</w:t>
      </w:r>
      <w:r w:rsidRPr="00FA1ED5">
        <w:rPr>
          <w:rFonts w:eastAsia="Arial Narrow" w:cstheme="minorHAnsi"/>
          <w:color w:val="auto"/>
          <w:spacing w:val="3"/>
        </w:rPr>
        <w:t xml:space="preserve"> Prema zaprimljenim odgovorima, uočeno je da među ispitanicima prevladava stav o vrlo snažnom utjecaju provedenih epidemioloških mjera na poljoprivredni sektor. Što se tiče utjecaja epidemioloških mjera na poslovanje poljoprivrednika, prevladava stav o pretežito negativnom utjecaju. Uočeno je kako ni jedan ispitanik utjecaj epidemioloških mjera na svoje poslovanje nije ocijenio pozitivnim. Rezultati ankete pokazali su da je za vrijeme pandemije bolesti COVID-19 primjetan otežan plasman poljoprivrednih proizvoda na tržnicama i sajmovima, pad potražnje i otkupa poljoprivrednih proizvoda, povećan uvoz poljoprivrednih proizvoda, ali i veći promet poljoprivrednih proizvoda kroz direktnu prodaju poljoprivrednik – kupac. U nešto manjoj mjeri primjetno je i kako se poljoprivredni proizvodi u vrijeme pandemije teško plasiraju na tržište, dok niti jedan ispitanik nije procijenio da su epidemiološke mjere utjecale na smanjenje obujma domaće proizvodnje.</w:t>
      </w:r>
    </w:p>
    <w:p w14:paraId="4E01E446" w14:textId="399F32C3" w:rsidR="00373E79" w:rsidRDefault="00373E79">
      <w:pPr>
        <w:jc w:val="left"/>
        <w:rPr>
          <w:rFonts w:eastAsiaTheme="majorEastAsia" w:cstheme="majorBidi"/>
          <w:color w:val="9D1A1F" w:themeColor="accent1" w:themeShade="BF"/>
          <w:sz w:val="34"/>
          <w:szCs w:val="34"/>
        </w:rPr>
      </w:pPr>
      <w:r>
        <w:br w:type="page"/>
      </w:r>
    </w:p>
    <w:p w14:paraId="673B3835" w14:textId="42D49E59" w:rsidR="008878A0" w:rsidRDefault="00BB316B" w:rsidP="005F13D3">
      <w:pPr>
        <w:pStyle w:val="Naslov1"/>
      </w:pPr>
      <w:r>
        <w:lastRenderedPageBreak/>
        <w:t xml:space="preserve"> </w:t>
      </w:r>
      <w:bookmarkStart w:id="215" w:name="_Toc85181366"/>
      <w:r w:rsidR="00E12A23">
        <w:t>STANJE U OKOLIŠU</w:t>
      </w:r>
      <w:bookmarkEnd w:id="215"/>
      <w:r w:rsidR="00CA194F">
        <w:t xml:space="preserve"> </w:t>
      </w:r>
    </w:p>
    <w:p w14:paraId="65E83048" w14:textId="77777777" w:rsidR="008878A0" w:rsidRDefault="008878A0" w:rsidP="00941871"/>
    <w:p w14:paraId="67802300" w14:textId="7AC20B2D" w:rsidR="008878A0" w:rsidRDefault="008878A0" w:rsidP="0052192B">
      <w:pPr>
        <w:pStyle w:val="Naslov2"/>
      </w:pPr>
      <w:bookmarkStart w:id="216" w:name="_Toc85181367"/>
      <w:r>
        <w:t>1</w:t>
      </w:r>
      <w:r w:rsidR="00B601EE">
        <w:t>3</w:t>
      </w:r>
      <w:r>
        <w:t>.</w:t>
      </w:r>
      <w:r w:rsidR="00B24905">
        <w:t>1</w:t>
      </w:r>
      <w:r>
        <w:t xml:space="preserve"> </w:t>
      </w:r>
      <w:r w:rsidR="00B24407">
        <w:t>Gospodarenje o</w:t>
      </w:r>
      <w:r>
        <w:t>tpad</w:t>
      </w:r>
      <w:r w:rsidR="00B24407">
        <w:t>om</w:t>
      </w:r>
      <w:bookmarkEnd w:id="216"/>
    </w:p>
    <w:p w14:paraId="0263D91F" w14:textId="02330053" w:rsidR="008B454B" w:rsidRDefault="008878A0" w:rsidP="00E14D01">
      <w:r>
        <w:br/>
        <w:t>Krapinsko-zagorska županija, sukladno važećim zakonskim propisima, obvezna je pridržavati se zakonski definiranih mjera za sprječavanje ili smanjenje štetnog djelovanj</w:t>
      </w:r>
      <w:r w:rsidR="006375C6">
        <w:t>a</w:t>
      </w:r>
      <w:r>
        <w:t xml:space="preserve"> otpada na ljudsko zdravlje i okoliš kroz smanjenje količina otpada u nastanku i/ili proizvodnji te slijediti smjernice kojima se uređuje gospodarenje otpadom bez uporabe rizičnih postupaka po ljudsko zdravlje i okoliš uz korištenje vrijednih svojstava otpada. Također, prema Zakonu o održivom gospodarenju otpadom, Županija se dužna pridržavati osnovnih načela gospodarenja otpadom, kao i poštovati red prvenstva gospodarenja otpadom. Potonje se odnosi na obvezu</w:t>
      </w:r>
      <w:r w:rsidR="00EA785E">
        <w:t>,</w:t>
      </w:r>
      <w:r>
        <w:t xml:space="preserve"> u prvom redu</w:t>
      </w:r>
      <w:r w:rsidR="00EA785E">
        <w:t>,</w:t>
      </w:r>
      <w:r>
        <w:t xml:space="preserve"> sprječavanja nastanka otpada, njegovu pripremu za ponovnu </w:t>
      </w:r>
      <w:r w:rsidR="00A7136E">
        <w:t>u</w:t>
      </w:r>
      <w:r>
        <w:t>porabu, recikliranje te potom korištenje drugih postupaka poput energetske oporabe te zbrinjavanja otpada. Krapinsko-zagorska županija na svom području dužna je osigurati uvjete i provedbu propisanih mjera za gospodarenje otpadom i u provedbi mjera surađivati s jedinicama lokalne samouprave koje su odgovorne za gospodarenje komunalnim otpadom.</w:t>
      </w:r>
      <w:r w:rsidR="00E14D01">
        <w:t xml:space="preserve"> </w:t>
      </w:r>
    </w:p>
    <w:p w14:paraId="5285EE02" w14:textId="6D24E2EE" w:rsidR="008878A0" w:rsidRDefault="008878A0" w:rsidP="00941871">
      <w:r>
        <w:t>Analiza temeljena na podacima koje objavljuje Agencija za zaštitu okoliša u godišnjim Izvješćima o komunalnom otpadu ukazuje na činjenicu kako je u periodu od 2011. do 2017. godine došlo do značajnog povećanja obuhvata stanovništva Krapinsko-zagorske županije organiziranim sakupljanjem komunalnog otpada. Na početku promatranog perioda 116.870 ili 88% stanovnika Županije bilo je obuhvaćeno organiziranim sakupljanjem komunalnog otpada. Godine 2017. obuhvaćeno je 127.422 žitelja ili 99,7%.</w:t>
      </w:r>
      <w:r>
        <w:rPr>
          <w:rStyle w:val="Referencafusnote"/>
        </w:rPr>
        <w:footnoteReference w:id="83"/>
      </w:r>
      <w:r w:rsidR="00A7136E">
        <w:t xml:space="preserve"> </w:t>
      </w:r>
      <w:r>
        <w:t xml:space="preserve">Krapinsko-zagorska županija </w:t>
      </w:r>
      <w:r w:rsidR="00EB0AF7">
        <w:t xml:space="preserve">se tako </w:t>
      </w:r>
      <w:r>
        <w:t xml:space="preserve">više ne ubraja u županije s ispodprosječnim obuhvatom stanovništva u prikupljanju otpada. Prema posljednjim podacima ukupno je šest tvrtki obavljalo djelatnost javne usluge prikupljanja miješanog komunalnog otpada, što se također odnosi na cijelo razdoblje 2011.-2017., osim 2015. godine kada </w:t>
      </w:r>
      <w:r w:rsidR="00EB0AF7">
        <w:t>su otpad prikupljale samo četiri tvrtke</w:t>
      </w:r>
      <w:r>
        <w:t xml:space="preserve">. Prikupljanje komunalnog otpada u Županiji vrši se specijalnim vozilima namijenjenima skupljanju otpada te pomoću posuda – kanti za prikupljanje otpada. S lokacija gdje pristup specijalnog vozila nije moguć, postavljeni su spremnici većih zapremnina. </w:t>
      </w:r>
    </w:p>
    <w:p w14:paraId="6A413C48" w14:textId="0133AE32" w:rsidR="00FD7D11" w:rsidRDefault="00C57204" w:rsidP="00E14D01">
      <w:r w:rsidRPr="00C57204">
        <w:t>U razdoblju od 2011. do 2017. godišnje je prikuplj</w:t>
      </w:r>
      <w:r w:rsidR="00874D2D">
        <w:t>e</w:t>
      </w:r>
      <w:r w:rsidRPr="00C57204">
        <w:t>no od 20.000 do 30.000 tona komunalnog otpada</w:t>
      </w:r>
      <w:r>
        <w:t>,</w:t>
      </w:r>
      <w:r w:rsidRPr="00C57204">
        <w:t xml:space="preserve"> </w:t>
      </w:r>
      <w:r w:rsidR="008878A0">
        <w:t>uz izuzetak 2015. godine kada je prikupljeno 15</w:t>
      </w:r>
      <w:r w:rsidR="00EB0AF7">
        <w:t>.</w:t>
      </w:r>
      <w:r w:rsidR="008878A0">
        <w:t xml:space="preserve">636 tona komunalnog otpada. Udio </w:t>
      </w:r>
      <w:r w:rsidR="00E14D01">
        <w:t>Ž</w:t>
      </w:r>
      <w:r w:rsidR="008878A0">
        <w:t>upanije u ukupno prikupljenom komunalnom otpadu porastao je s 1,6% u 2011. godini na 2% u 2017. godini.</w:t>
      </w:r>
    </w:p>
    <w:p w14:paraId="36AE568F" w14:textId="77777777" w:rsidR="00B601EE" w:rsidRDefault="00B601EE" w:rsidP="00E14D01"/>
    <w:p w14:paraId="21A48A41" w14:textId="0264A4F9" w:rsidR="008878A0" w:rsidRPr="00AD6C47" w:rsidRDefault="008878A0" w:rsidP="00E14D01">
      <w:r w:rsidRPr="00AD6C47">
        <w:t xml:space="preserve">Grafikon </w:t>
      </w:r>
      <w:r w:rsidR="00BD6B22">
        <w:rPr>
          <w:noProof/>
        </w:rPr>
        <w:t>6</w:t>
      </w:r>
      <w:r w:rsidR="00C71B24">
        <w:rPr>
          <w:noProof/>
        </w:rPr>
        <w:t>6</w:t>
      </w:r>
      <w:r w:rsidR="00BD6B22">
        <w:rPr>
          <w:noProof/>
        </w:rPr>
        <w:t>.</w:t>
      </w:r>
      <w:r w:rsidRPr="00AD6C47">
        <w:t xml:space="preserve"> Ukupne količine proizvedenog komunalnog otpada u tonama</w:t>
      </w:r>
      <w:r w:rsidR="00AD6C47" w:rsidRPr="00AD6C47">
        <w:t>, 2011.-2017.</w:t>
      </w:r>
    </w:p>
    <w:p w14:paraId="40589DE1" w14:textId="77777777" w:rsidR="008878A0" w:rsidRDefault="008878A0" w:rsidP="00941871">
      <w:r>
        <w:rPr>
          <w:rFonts w:asciiTheme="minorHAnsi" w:eastAsiaTheme="minorHAnsi" w:hAnsiTheme="minorHAnsi"/>
          <w:noProof/>
          <w:sz w:val="22"/>
          <w:szCs w:val="22"/>
          <w:lang w:eastAsia="hr-HR"/>
        </w:rPr>
        <w:drawing>
          <wp:inline distT="0" distB="0" distL="0" distR="0" wp14:anchorId="2FCCF5D1" wp14:editId="6D5E052A">
            <wp:extent cx="5881255" cy="1551709"/>
            <wp:effectExtent l="0" t="0" r="5715" b="10795"/>
            <wp:docPr id="229" name="Chart 229">
              <a:extLst xmlns:a="http://schemas.openxmlformats.org/drawingml/2006/main">
                <a:ext uri="{FF2B5EF4-FFF2-40B4-BE49-F238E27FC236}">
                  <a16:creationId xmlns:a16="http://schemas.microsoft.com/office/drawing/2014/main" id="{D8496211-CF7D-4936-8021-A44DAC1A8A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22AD9868" w14:textId="54C03410" w:rsidR="008878A0" w:rsidRDefault="008878A0" w:rsidP="003C2276">
      <w:pPr>
        <w:pStyle w:val="Izvor"/>
        <w:rPr>
          <w:i/>
          <w:color w:val="ABABAB" w:themeColor="text1" w:themeTint="A6"/>
          <w:sz w:val="16"/>
          <w:szCs w:val="16"/>
        </w:rPr>
      </w:pPr>
      <w:r w:rsidRPr="00BD6B22">
        <w:rPr>
          <w:i/>
          <w:color w:val="ABABAB" w:themeColor="text1" w:themeTint="A6"/>
          <w:sz w:val="16"/>
          <w:szCs w:val="16"/>
        </w:rPr>
        <w:t>Izvor: Izvješća o komunalnom otpadu 2011.- 2017.</w:t>
      </w:r>
    </w:p>
    <w:p w14:paraId="6C9A26CC" w14:textId="77777777" w:rsidR="005432E9" w:rsidRPr="00BD6B22" w:rsidRDefault="005432E9" w:rsidP="003C2276">
      <w:pPr>
        <w:pStyle w:val="Izvor"/>
        <w:rPr>
          <w:i/>
          <w:color w:val="ABABAB" w:themeColor="text1" w:themeTint="A6"/>
          <w:sz w:val="16"/>
          <w:szCs w:val="16"/>
        </w:rPr>
      </w:pPr>
    </w:p>
    <w:p w14:paraId="78BC952F" w14:textId="41D36868" w:rsidR="008878A0" w:rsidRDefault="008878A0" w:rsidP="00941871">
      <w:r>
        <w:t xml:space="preserve">Podaci iz Izvješća o komunalnom otpadu Agencije za zaštitu okoliša za referentni period 2011.-2017. godine ukazuju </w:t>
      </w:r>
      <w:r w:rsidR="001F6F47">
        <w:t xml:space="preserve">da </w:t>
      </w:r>
      <w:r>
        <w:t xml:space="preserve">stanovnik Krapinsko-zagorske županije u prosjeku proizvede 205 kilograma komunalnog otpada godišnje. Izuzmu li se podaci za 2015. godinu, kada je količina prikupljenog komunalnog otpada po stanovniku iznosila 140 kilograma godišnje, dolazi se do prosječne brojke od 216 kilograma godišnje. </w:t>
      </w:r>
      <w:r w:rsidR="001F6F47">
        <w:t>Ta količina je</w:t>
      </w:r>
      <w:r>
        <w:t xml:space="preserve"> relativno stabilna</w:t>
      </w:r>
      <w:r w:rsidR="001F6F47">
        <w:t>;</w:t>
      </w:r>
      <w:r>
        <w:t xml:space="preserve"> osim 2015. godine nije zabilježen osobit rast ili pad generiranja komunalnog otpada po stanovniku. U tablici u nastavku </w:t>
      </w:r>
      <w:r w:rsidR="001F6F47">
        <w:t>prikazani su</w:t>
      </w:r>
      <w:r>
        <w:t xml:space="preserve"> ukupno skupljen</w:t>
      </w:r>
      <w:r w:rsidR="00514C10">
        <w:t>i</w:t>
      </w:r>
      <w:r>
        <w:t xml:space="preserve"> komunaln</w:t>
      </w:r>
      <w:r w:rsidR="00514C10">
        <w:t>i</w:t>
      </w:r>
      <w:r>
        <w:t xml:space="preserve"> otpad u 2017. godini po gradu ili općini Krapinsko-zagorske županije, podaci o broju stanovnika obuhvaćenih organiziranim skupljanjem komunalnog otpada po jedinicama lokalne samouprave, te količina prikupljenog otpada po stanovniku u 2017. Količina prikupljenog komunalnog otpada po stanovniku 2017. godine bila je najmanja u Desiniću i iznosila 116 kilograma. Najviše je komunalnog otpada po glavi stanovnika prikupljeno u Humu na Sutli – 306 kilograma.</w:t>
      </w:r>
    </w:p>
    <w:p w14:paraId="61A78AA1" w14:textId="138C180D" w:rsidR="001B403E" w:rsidRDefault="001B403E" w:rsidP="003E3F3C">
      <w:pPr>
        <w:pStyle w:val="Opisslike"/>
      </w:pPr>
      <w:r>
        <w:lastRenderedPageBreak/>
        <w:t>Tablica</w:t>
      </w:r>
      <w:r w:rsidR="00BD6B22">
        <w:t xml:space="preserve"> </w:t>
      </w:r>
      <w:r w:rsidR="00BD6B22" w:rsidRPr="00094787">
        <w:t>1</w:t>
      </w:r>
      <w:r w:rsidR="00741E4F">
        <w:t>74</w:t>
      </w:r>
      <w:r w:rsidRPr="00094787">
        <w:t>.</w:t>
      </w:r>
      <w:r>
        <w:t xml:space="preserve"> </w:t>
      </w:r>
      <w:r w:rsidRPr="00DE3499">
        <w:t>Podaci o komunalnom otpadu po jedinicama po jedinicama lokalne samouprave u 2017. godini</w:t>
      </w:r>
    </w:p>
    <w:tbl>
      <w:tblPr>
        <w:tblW w:w="9534" w:type="dxa"/>
        <w:tblBorders>
          <w:insideH w:val="single" w:sz="8" w:space="0" w:color="F3CFC1"/>
          <w:insideV w:val="single" w:sz="8" w:space="0" w:color="D2232A"/>
        </w:tblBorders>
        <w:tblLook w:val="04A0" w:firstRow="1" w:lastRow="0" w:firstColumn="1" w:lastColumn="0" w:noHBand="0" w:noVBand="1"/>
      </w:tblPr>
      <w:tblGrid>
        <w:gridCol w:w="1800"/>
        <w:gridCol w:w="3142"/>
        <w:gridCol w:w="3128"/>
        <w:gridCol w:w="1464"/>
      </w:tblGrid>
      <w:tr w:rsidR="008B454B" w:rsidRPr="008B454B" w14:paraId="456740FB" w14:textId="77777777" w:rsidTr="000A346F">
        <w:trPr>
          <w:trHeight w:val="311"/>
          <w:tblHeader/>
        </w:trPr>
        <w:tc>
          <w:tcPr>
            <w:tcW w:w="1800" w:type="dxa"/>
            <w:tcBorders>
              <w:top w:val="nil"/>
            </w:tcBorders>
            <w:shd w:val="clear" w:color="auto" w:fill="D2232A" w:themeFill="accent1"/>
            <w:noWrap/>
            <w:vAlign w:val="center"/>
            <w:hideMark/>
          </w:tcPr>
          <w:p w14:paraId="1CABCA9D" w14:textId="77777777" w:rsidR="008878A0" w:rsidRPr="008B454B" w:rsidRDefault="008878A0" w:rsidP="008B454B">
            <w:pPr>
              <w:rPr>
                <w:color w:val="FFFFFF" w:themeColor="background1"/>
                <w:szCs w:val="18"/>
              </w:rPr>
            </w:pPr>
          </w:p>
        </w:tc>
        <w:tc>
          <w:tcPr>
            <w:tcW w:w="3142" w:type="dxa"/>
            <w:tcBorders>
              <w:top w:val="nil"/>
            </w:tcBorders>
            <w:shd w:val="clear" w:color="auto" w:fill="D2232A" w:themeFill="accent1"/>
            <w:vAlign w:val="center"/>
            <w:hideMark/>
          </w:tcPr>
          <w:p w14:paraId="0588A7E7" w14:textId="77777777" w:rsidR="008878A0" w:rsidRPr="008B454B" w:rsidRDefault="008878A0" w:rsidP="008B454B">
            <w:pPr>
              <w:jc w:val="right"/>
              <w:rPr>
                <w:b/>
                <w:bCs/>
                <w:i/>
                <w:iCs/>
                <w:color w:val="FFFFFF" w:themeColor="background1"/>
                <w:szCs w:val="18"/>
              </w:rPr>
            </w:pPr>
            <w:r w:rsidRPr="008B454B">
              <w:rPr>
                <w:rFonts w:cs="Calibri"/>
                <w:color w:val="FFFFFF" w:themeColor="background1"/>
                <w:szCs w:val="18"/>
              </w:rPr>
              <w:t>Ukupno skupljeno (preuzeto) u 2017. godini (t)</w:t>
            </w:r>
          </w:p>
        </w:tc>
        <w:tc>
          <w:tcPr>
            <w:tcW w:w="3128" w:type="dxa"/>
            <w:tcBorders>
              <w:top w:val="nil"/>
            </w:tcBorders>
            <w:shd w:val="clear" w:color="auto" w:fill="D2232A" w:themeFill="accent1"/>
            <w:vAlign w:val="center"/>
            <w:hideMark/>
          </w:tcPr>
          <w:p w14:paraId="669E0B9A" w14:textId="77777777" w:rsidR="008878A0" w:rsidRPr="008B454B" w:rsidRDefault="008878A0" w:rsidP="008B454B">
            <w:pPr>
              <w:jc w:val="right"/>
              <w:rPr>
                <w:b/>
                <w:bCs/>
                <w:i/>
                <w:iCs/>
                <w:color w:val="FFFFFF" w:themeColor="background1"/>
                <w:szCs w:val="18"/>
              </w:rPr>
            </w:pPr>
            <w:r w:rsidRPr="008B454B">
              <w:rPr>
                <w:rFonts w:cs="Calibri"/>
                <w:color w:val="FFFFFF" w:themeColor="background1"/>
                <w:szCs w:val="18"/>
              </w:rPr>
              <w:t>Broj stanovnika obuhvaćen</w:t>
            </w:r>
          </w:p>
        </w:tc>
        <w:tc>
          <w:tcPr>
            <w:tcW w:w="1464" w:type="dxa"/>
            <w:tcBorders>
              <w:top w:val="nil"/>
              <w:right w:val="single" w:sz="8" w:space="0" w:color="D2232A"/>
            </w:tcBorders>
            <w:shd w:val="clear" w:color="auto" w:fill="D2232A" w:themeFill="accent1"/>
            <w:noWrap/>
            <w:vAlign w:val="center"/>
            <w:hideMark/>
          </w:tcPr>
          <w:p w14:paraId="5830061C" w14:textId="77777777" w:rsidR="008878A0" w:rsidRPr="008B454B" w:rsidRDefault="008878A0" w:rsidP="008B454B">
            <w:pPr>
              <w:jc w:val="right"/>
              <w:rPr>
                <w:b/>
                <w:bCs/>
                <w:i/>
                <w:iCs/>
                <w:color w:val="FFFFFF" w:themeColor="background1"/>
                <w:szCs w:val="18"/>
              </w:rPr>
            </w:pPr>
            <w:r w:rsidRPr="008B454B">
              <w:rPr>
                <w:rFonts w:cs="Calibri"/>
                <w:color w:val="FFFFFF" w:themeColor="background1"/>
                <w:szCs w:val="18"/>
              </w:rPr>
              <w:t>Kg/stanovnik</w:t>
            </w:r>
          </w:p>
        </w:tc>
      </w:tr>
      <w:tr w:rsidR="008B454B" w:rsidRPr="008B454B" w14:paraId="6ABA0C06" w14:textId="77777777" w:rsidTr="000A346F">
        <w:trPr>
          <w:trHeight w:val="311"/>
        </w:trPr>
        <w:tc>
          <w:tcPr>
            <w:tcW w:w="1800" w:type="dxa"/>
            <w:shd w:val="clear" w:color="auto" w:fill="D2232A" w:themeFill="accent1"/>
            <w:noWrap/>
            <w:vAlign w:val="center"/>
            <w:hideMark/>
          </w:tcPr>
          <w:p w14:paraId="2534AABD"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Desinić</w:t>
            </w:r>
          </w:p>
        </w:tc>
        <w:tc>
          <w:tcPr>
            <w:tcW w:w="3142" w:type="dxa"/>
            <w:noWrap/>
            <w:vAlign w:val="center"/>
            <w:hideMark/>
          </w:tcPr>
          <w:p w14:paraId="7086C80F" w14:textId="77777777" w:rsidR="008878A0" w:rsidRPr="008B454B" w:rsidRDefault="008878A0" w:rsidP="008B454B">
            <w:pPr>
              <w:jc w:val="right"/>
              <w:rPr>
                <w:i/>
                <w:iCs/>
                <w:szCs w:val="18"/>
              </w:rPr>
            </w:pPr>
            <w:r w:rsidRPr="008B454B">
              <w:rPr>
                <w:rFonts w:cs="Calibri"/>
                <w:szCs w:val="18"/>
              </w:rPr>
              <w:t>339,66</w:t>
            </w:r>
          </w:p>
        </w:tc>
        <w:tc>
          <w:tcPr>
            <w:tcW w:w="3128" w:type="dxa"/>
            <w:noWrap/>
            <w:vAlign w:val="center"/>
            <w:hideMark/>
          </w:tcPr>
          <w:p w14:paraId="7DB5D883" w14:textId="77777777" w:rsidR="008878A0" w:rsidRPr="008B454B" w:rsidRDefault="008878A0" w:rsidP="008B454B">
            <w:pPr>
              <w:jc w:val="right"/>
              <w:rPr>
                <w:i/>
                <w:iCs/>
                <w:szCs w:val="18"/>
              </w:rPr>
            </w:pPr>
            <w:r w:rsidRPr="008B454B">
              <w:rPr>
                <w:rFonts w:cs="Calibri"/>
                <w:szCs w:val="18"/>
              </w:rPr>
              <w:t>2933</w:t>
            </w:r>
          </w:p>
        </w:tc>
        <w:tc>
          <w:tcPr>
            <w:tcW w:w="1464" w:type="dxa"/>
            <w:tcBorders>
              <w:right w:val="single" w:sz="8" w:space="0" w:color="D2232A"/>
            </w:tcBorders>
            <w:noWrap/>
            <w:vAlign w:val="center"/>
            <w:hideMark/>
          </w:tcPr>
          <w:p w14:paraId="44401D8A" w14:textId="77777777" w:rsidR="008878A0" w:rsidRPr="008B454B" w:rsidRDefault="008878A0" w:rsidP="008B454B">
            <w:pPr>
              <w:jc w:val="right"/>
              <w:rPr>
                <w:i/>
                <w:iCs/>
                <w:szCs w:val="18"/>
              </w:rPr>
            </w:pPr>
            <w:r w:rsidRPr="008B454B">
              <w:rPr>
                <w:rFonts w:cs="Calibri"/>
                <w:szCs w:val="18"/>
              </w:rPr>
              <w:t>116</w:t>
            </w:r>
          </w:p>
        </w:tc>
      </w:tr>
      <w:tr w:rsidR="008B454B" w:rsidRPr="008B454B" w14:paraId="563BB197" w14:textId="77777777" w:rsidTr="000A346F">
        <w:trPr>
          <w:trHeight w:val="296"/>
        </w:trPr>
        <w:tc>
          <w:tcPr>
            <w:tcW w:w="1800" w:type="dxa"/>
            <w:shd w:val="clear" w:color="auto" w:fill="D2232A" w:themeFill="accent1"/>
            <w:noWrap/>
            <w:vAlign w:val="center"/>
            <w:hideMark/>
          </w:tcPr>
          <w:p w14:paraId="7E6C3AA9"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Mihovljan</w:t>
            </w:r>
          </w:p>
        </w:tc>
        <w:tc>
          <w:tcPr>
            <w:tcW w:w="3142" w:type="dxa"/>
            <w:noWrap/>
            <w:vAlign w:val="center"/>
            <w:hideMark/>
          </w:tcPr>
          <w:p w14:paraId="19136899" w14:textId="77777777" w:rsidR="008878A0" w:rsidRPr="008B454B" w:rsidRDefault="008878A0" w:rsidP="008B454B">
            <w:pPr>
              <w:jc w:val="right"/>
              <w:rPr>
                <w:i/>
                <w:iCs/>
                <w:szCs w:val="18"/>
              </w:rPr>
            </w:pPr>
            <w:r w:rsidRPr="008B454B">
              <w:rPr>
                <w:rFonts w:cs="Calibri"/>
                <w:szCs w:val="18"/>
              </w:rPr>
              <w:t>239,9</w:t>
            </w:r>
          </w:p>
        </w:tc>
        <w:tc>
          <w:tcPr>
            <w:tcW w:w="3128" w:type="dxa"/>
            <w:noWrap/>
            <w:vAlign w:val="center"/>
            <w:hideMark/>
          </w:tcPr>
          <w:p w14:paraId="18A06B29" w14:textId="77777777" w:rsidR="008878A0" w:rsidRPr="008B454B" w:rsidRDefault="008878A0" w:rsidP="008B454B">
            <w:pPr>
              <w:jc w:val="right"/>
              <w:rPr>
                <w:i/>
                <w:iCs/>
                <w:szCs w:val="18"/>
              </w:rPr>
            </w:pPr>
            <w:r w:rsidRPr="008B454B">
              <w:rPr>
                <w:rFonts w:cs="Calibri"/>
                <w:szCs w:val="18"/>
              </w:rPr>
              <w:t>1938</w:t>
            </w:r>
          </w:p>
        </w:tc>
        <w:tc>
          <w:tcPr>
            <w:tcW w:w="1464" w:type="dxa"/>
            <w:tcBorders>
              <w:right w:val="single" w:sz="8" w:space="0" w:color="D2232A"/>
            </w:tcBorders>
            <w:noWrap/>
            <w:vAlign w:val="center"/>
            <w:hideMark/>
          </w:tcPr>
          <w:p w14:paraId="5D3BB280" w14:textId="77777777" w:rsidR="008878A0" w:rsidRPr="008B454B" w:rsidRDefault="008878A0" w:rsidP="008B454B">
            <w:pPr>
              <w:jc w:val="right"/>
              <w:rPr>
                <w:i/>
                <w:iCs/>
                <w:szCs w:val="18"/>
              </w:rPr>
            </w:pPr>
            <w:r w:rsidRPr="008B454B">
              <w:rPr>
                <w:rFonts w:cs="Calibri"/>
                <w:szCs w:val="18"/>
              </w:rPr>
              <w:t>124</w:t>
            </w:r>
          </w:p>
        </w:tc>
      </w:tr>
      <w:tr w:rsidR="008B454B" w:rsidRPr="008B454B" w14:paraId="03BB567D" w14:textId="77777777" w:rsidTr="000A346F">
        <w:trPr>
          <w:trHeight w:val="296"/>
        </w:trPr>
        <w:tc>
          <w:tcPr>
            <w:tcW w:w="1800" w:type="dxa"/>
            <w:shd w:val="clear" w:color="auto" w:fill="D2232A" w:themeFill="accent1"/>
            <w:noWrap/>
            <w:vAlign w:val="center"/>
            <w:hideMark/>
          </w:tcPr>
          <w:p w14:paraId="4B18C692"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Hrašćina</w:t>
            </w:r>
          </w:p>
        </w:tc>
        <w:tc>
          <w:tcPr>
            <w:tcW w:w="3142" w:type="dxa"/>
            <w:noWrap/>
            <w:vAlign w:val="center"/>
            <w:hideMark/>
          </w:tcPr>
          <w:p w14:paraId="1086AB47" w14:textId="77777777" w:rsidR="008878A0" w:rsidRPr="008B454B" w:rsidRDefault="008878A0" w:rsidP="008B454B">
            <w:pPr>
              <w:jc w:val="right"/>
              <w:rPr>
                <w:i/>
                <w:iCs/>
                <w:szCs w:val="18"/>
              </w:rPr>
            </w:pPr>
            <w:r w:rsidRPr="008B454B">
              <w:rPr>
                <w:rFonts w:cs="Calibri"/>
                <w:szCs w:val="18"/>
              </w:rPr>
              <w:t>178,73</w:t>
            </w:r>
          </w:p>
        </w:tc>
        <w:tc>
          <w:tcPr>
            <w:tcW w:w="3128" w:type="dxa"/>
            <w:noWrap/>
            <w:vAlign w:val="center"/>
            <w:hideMark/>
          </w:tcPr>
          <w:p w14:paraId="19658D46" w14:textId="77777777" w:rsidR="008878A0" w:rsidRPr="008B454B" w:rsidRDefault="008878A0" w:rsidP="008B454B">
            <w:pPr>
              <w:jc w:val="right"/>
              <w:rPr>
                <w:i/>
                <w:iCs/>
                <w:szCs w:val="18"/>
              </w:rPr>
            </w:pPr>
            <w:r w:rsidRPr="008B454B">
              <w:rPr>
                <w:rFonts w:cs="Calibri"/>
                <w:szCs w:val="18"/>
              </w:rPr>
              <w:t>1393</w:t>
            </w:r>
          </w:p>
        </w:tc>
        <w:tc>
          <w:tcPr>
            <w:tcW w:w="1464" w:type="dxa"/>
            <w:tcBorders>
              <w:right w:val="single" w:sz="8" w:space="0" w:color="D2232A"/>
            </w:tcBorders>
            <w:noWrap/>
            <w:vAlign w:val="center"/>
            <w:hideMark/>
          </w:tcPr>
          <w:p w14:paraId="67E97F08" w14:textId="77777777" w:rsidR="008878A0" w:rsidRPr="008B454B" w:rsidRDefault="008878A0" w:rsidP="008B454B">
            <w:pPr>
              <w:jc w:val="right"/>
              <w:rPr>
                <w:i/>
                <w:iCs/>
                <w:szCs w:val="18"/>
              </w:rPr>
            </w:pPr>
            <w:r w:rsidRPr="008B454B">
              <w:rPr>
                <w:rFonts w:cs="Calibri"/>
                <w:szCs w:val="18"/>
              </w:rPr>
              <w:t>128</w:t>
            </w:r>
          </w:p>
        </w:tc>
      </w:tr>
      <w:tr w:rsidR="008B454B" w:rsidRPr="008B454B" w14:paraId="720E8B75" w14:textId="77777777" w:rsidTr="000A346F">
        <w:trPr>
          <w:trHeight w:val="296"/>
        </w:trPr>
        <w:tc>
          <w:tcPr>
            <w:tcW w:w="1800" w:type="dxa"/>
            <w:shd w:val="clear" w:color="auto" w:fill="D2232A" w:themeFill="accent1"/>
            <w:noWrap/>
            <w:vAlign w:val="center"/>
            <w:hideMark/>
          </w:tcPr>
          <w:p w14:paraId="44F1A132"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Mače</w:t>
            </w:r>
          </w:p>
        </w:tc>
        <w:tc>
          <w:tcPr>
            <w:tcW w:w="3142" w:type="dxa"/>
            <w:noWrap/>
            <w:vAlign w:val="center"/>
            <w:hideMark/>
          </w:tcPr>
          <w:p w14:paraId="04C1E651" w14:textId="77777777" w:rsidR="008878A0" w:rsidRPr="008B454B" w:rsidRDefault="008878A0" w:rsidP="008B454B">
            <w:pPr>
              <w:jc w:val="right"/>
              <w:rPr>
                <w:i/>
                <w:iCs/>
                <w:szCs w:val="18"/>
              </w:rPr>
            </w:pPr>
            <w:r w:rsidRPr="008B454B">
              <w:rPr>
                <w:rFonts w:cs="Calibri"/>
                <w:szCs w:val="18"/>
              </w:rPr>
              <w:t>275,35</w:t>
            </w:r>
          </w:p>
        </w:tc>
        <w:tc>
          <w:tcPr>
            <w:tcW w:w="3128" w:type="dxa"/>
            <w:noWrap/>
            <w:vAlign w:val="center"/>
            <w:hideMark/>
          </w:tcPr>
          <w:p w14:paraId="1DAD5B2A" w14:textId="77777777" w:rsidR="008878A0" w:rsidRPr="008B454B" w:rsidRDefault="008878A0" w:rsidP="008B454B">
            <w:pPr>
              <w:jc w:val="right"/>
              <w:rPr>
                <w:i/>
                <w:iCs/>
                <w:szCs w:val="18"/>
              </w:rPr>
            </w:pPr>
            <w:r w:rsidRPr="008B454B">
              <w:rPr>
                <w:rFonts w:cs="Calibri"/>
                <w:szCs w:val="18"/>
              </w:rPr>
              <w:t>2131</w:t>
            </w:r>
          </w:p>
        </w:tc>
        <w:tc>
          <w:tcPr>
            <w:tcW w:w="1464" w:type="dxa"/>
            <w:tcBorders>
              <w:right w:val="single" w:sz="8" w:space="0" w:color="D2232A"/>
            </w:tcBorders>
            <w:noWrap/>
            <w:vAlign w:val="center"/>
            <w:hideMark/>
          </w:tcPr>
          <w:p w14:paraId="1E8F1468" w14:textId="77777777" w:rsidR="008878A0" w:rsidRPr="008B454B" w:rsidRDefault="008878A0" w:rsidP="008B454B">
            <w:pPr>
              <w:jc w:val="right"/>
              <w:rPr>
                <w:i/>
                <w:iCs/>
                <w:szCs w:val="18"/>
              </w:rPr>
            </w:pPr>
            <w:r w:rsidRPr="008B454B">
              <w:rPr>
                <w:rFonts w:cs="Calibri"/>
                <w:szCs w:val="18"/>
              </w:rPr>
              <w:t>129</w:t>
            </w:r>
          </w:p>
        </w:tc>
      </w:tr>
      <w:tr w:rsidR="008B454B" w:rsidRPr="008B454B" w14:paraId="26754D80" w14:textId="77777777" w:rsidTr="000A346F">
        <w:trPr>
          <w:trHeight w:val="296"/>
        </w:trPr>
        <w:tc>
          <w:tcPr>
            <w:tcW w:w="1800" w:type="dxa"/>
            <w:shd w:val="clear" w:color="auto" w:fill="D2232A" w:themeFill="accent1"/>
            <w:noWrap/>
            <w:vAlign w:val="center"/>
            <w:hideMark/>
          </w:tcPr>
          <w:p w14:paraId="3308F1C1"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Bedekovčina</w:t>
            </w:r>
          </w:p>
        </w:tc>
        <w:tc>
          <w:tcPr>
            <w:tcW w:w="3142" w:type="dxa"/>
            <w:noWrap/>
            <w:vAlign w:val="center"/>
            <w:hideMark/>
          </w:tcPr>
          <w:p w14:paraId="792F4277" w14:textId="77777777" w:rsidR="008878A0" w:rsidRPr="008B454B" w:rsidRDefault="008878A0" w:rsidP="008B454B">
            <w:pPr>
              <w:jc w:val="right"/>
              <w:rPr>
                <w:i/>
                <w:iCs/>
                <w:szCs w:val="18"/>
              </w:rPr>
            </w:pPr>
            <w:r w:rsidRPr="008B454B">
              <w:rPr>
                <w:rFonts w:cs="Calibri"/>
                <w:szCs w:val="18"/>
              </w:rPr>
              <w:t>1066,78</w:t>
            </w:r>
          </w:p>
        </w:tc>
        <w:tc>
          <w:tcPr>
            <w:tcW w:w="3128" w:type="dxa"/>
            <w:noWrap/>
            <w:vAlign w:val="center"/>
            <w:hideMark/>
          </w:tcPr>
          <w:p w14:paraId="2515C8C4" w14:textId="77777777" w:rsidR="008878A0" w:rsidRPr="008B454B" w:rsidRDefault="008878A0" w:rsidP="008B454B">
            <w:pPr>
              <w:jc w:val="right"/>
              <w:rPr>
                <w:i/>
                <w:iCs/>
                <w:szCs w:val="18"/>
              </w:rPr>
            </w:pPr>
            <w:r w:rsidRPr="008B454B">
              <w:rPr>
                <w:rFonts w:cs="Calibri"/>
                <w:szCs w:val="18"/>
              </w:rPr>
              <w:t>8041</w:t>
            </w:r>
          </w:p>
        </w:tc>
        <w:tc>
          <w:tcPr>
            <w:tcW w:w="1464" w:type="dxa"/>
            <w:tcBorders>
              <w:right w:val="single" w:sz="8" w:space="0" w:color="D2232A"/>
            </w:tcBorders>
            <w:noWrap/>
            <w:vAlign w:val="center"/>
            <w:hideMark/>
          </w:tcPr>
          <w:p w14:paraId="4FC3D2A8" w14:textId="77777777" w:rsidR="008878A0" w:rsidRPr="008B454B" w:rsidRDefault="008878A0" w:rsidP="008B454B">
            <w:pPr>
              <w:jc w:val="right"/>
              <w:rPr>
                <w:i/>
                <w:iCs/>
                <w:szCs w:val="18"/>
              </w:rPr>
            </w:pPr>
            <w:r w:rsidRPr="008B454B">
              <w:rPr>
                <w:rFonts w:cs="Calibri"/>
                <w:szCs w:val="18"/>
              </w:rPr>
              <w:t>133</w:t>
            </w:r>
          </w:p>
        </w:tc>
      </w:tr>
      <w:tr w:rsidR="008B454B" w:rsidRPr="008B454B" w14:paraId="7BF6B488" w14:textId="77777777" w:rsidTr="000A346F">
        <w:trPr>
          <w:trHeight w:val="296"/>
        </w:trPr>
        <w:tc>
          <w:tcPr>
            <w:tcW w:w="1800" w:type="dxa"/>
            <w:shd w:val="clear" w:color="auto" w:fill="D2232A" w:themeFill="accent1"/>
            <w:noWrap/>
            <w:vAlign w:val="center"/>
            <w:hideMark/>
          </w:tcPr>
          <w:p w14:paraId="7D2AF280"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Konjščina</w:t>
            </w:r>
          </w:p>
        </w:tc>
        <w:tc>
          <w:tcPr>
            <w:tcW w:w="3142" w:type="dxa"/>
            <w:noWrap/>
            <w:vAlign w:val="center"/>
            <w:hideMark/>
          </w:tcPr>
          <w:p w14:paraId="73A611E2" w14:textId="77777777" w:rsidR="008878A0" w:rsidRPr="008B454B" w:rsidRDefault="008878A0" w:rsidP="008B454B">
            <w:pPr>
              <w:jc w:val="right"/>
              <w:rPr>
                <w:i/>
                <w:iCs/>
                <w:szCs w:val="18"/>
              </w:rPr>
            </w:pPr>
            <w:r w:rsidRPr="008B454B">
              <w:rPr>
                <w:rFonts w:cs="Calibri"/>
                <w:szCs w:val="18"/>
              </w:rPr>
              <w:t>441,97</w:t>
            </w:r>
          </w:p>
        </w:tc>
        <w:tc>
          <w:tcPr>
            <w:tcW w:w="3128" w:type="dxa"/>
            <w:noWrap/>
            <w:vAlign w:val="center"/>
            <w:hideMark/>
          </w:tcPr>
          <w:p w14:paraId="4508EED5" w14:textId="77777777" w:rsidR="008878A0" w:rsidRPr="008B454B" w:rsidRDefault="008878A0" w:rsidP="008B454B">
            <w:pPr>
              <w:jc w:val="right"/>
              <w:rPr>
                <w:i/>
                <w:iCs/>
                <w:szCs w:val="18"/>
              </w:rPr>
            </w:pPr>
            <w:r w:rsidRPr="008B454B">
              <w:rPr>
                <w:rFonts w:cs="Calibri"/>
                <w:szCs w:val="18"/>
              </w:rPr>
              <w:t>3317</w:t>
            </w:r>
          </w:p>
        </w:tc>
        <w:tc>
          <w:tcPr>
            <w:tcW w:w="1464" w:type="dxa"/>
            <w:tcBorders>
              <w:right w:val="single" w:sz="8" w:space="0" w:color="D2232A"/>
            </w:tcBorders>
            <w:noWrap/>
            <w:vAlign w:val="center"/>
            <w:hideMark/>
          </w:tcPr>
          <w:p w14:paraId="02BF323B" w14:textId="77777777" w:rsidR="008878A0" w:rsidRPr="008B454B" w:rsidRDefault="008878A0" w:rsidP="008B454B">
            <w:pPr>
              <w:jc w:val="right"/>
              <w:rPr>
                <w:i/>
                <w:iCs/>
                <w:szCs w:val="18"/>
              </w:rPr>
            </w:pPr>
            <w:r w:rsidRPr="008B454B">
              <w:rPr>
                <w:rFonts w:cs="Calibri"/>
                <w:szCs w:val="18"/>
              </w:rPr>
              <w:t>133</w:t>
            </w:r>
          </w:p>
        </w:tc>
      </w:tr>
      <w:tr w:rsidR="008B454B" w:rsidRPr="008B454B" w14:paraId="777F6C80" w14:textId="77777777" w:rsidTr="000A346F">
        <w:trPr>
          <w:trHeight w:val="296"/>
        </w:trPr>
        <w:tc>
          <w:tcPr>
            <w:tcW w:w="1800" w:type="dxa"/>
            <w:shd w:val="clear" w:color="auto" w:fill="D2232A" w:themeFill="accent1"/>
            <w:noWrap/>
            <w:vAlign w:val="center"/>
            <w:hideMark/>
          </w:tcPr>
          <w:p w14:paraId="4278C0F7"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Budinščina</w:t>
            </w:r>
          </w:p>
        </w:tc>
        <w:tc>
          <w:tcPr>
            <w:tcW w:w="3142" w:type="dxa"/>
            <w:noWrap/>
            <w:vAlign w:val="center"/>
            <w:hideMark/>
          </w:tcPr>
          <w:p w14:paraId="2D8FA25E" w14:textId="77777777" w:rsidR="008878A0" w:rsidRPr="008B454B" w:rsidRDefault="008878A0" w:rsidP="008B454B">
            <w:pPr>
              <w:jc w:val="right"/>
              <w:rPr>
                <w:i/>
                <w:iCs/>
                <w:szCs w:val="18"/>
              </w:rPr>
            </w:pPr>
            <w:r w:rsidRPr="008B454B">
              <w:rPr>
                <w:rFonts w:cs="Calibri"/>
                <w:szCs w:val="18"/>
              </w:rPr>
              <w:t>284,45</w:t>
            </w:r>
          </w:p>
        </w:tc>
        <w:tc>
          <w:tcPr>
            <w:tcW w:w="3128" w:type="dxa"/>
            <w:noWrap/>
            <w:vAlign w:val="center"/>
            <w:hideMark/>
          </w:tcPr>
          <w:p w14:paraId="7A54B36E" w14:textId="77777777" w:rsidR="008878A0" w:rsidRPr="008B454B" w:rsidRDefault="008878A0" w:rsidP="008B454B">
            <w:pPr>
              <w:jc w:val="right"/>
              <w:rPr>
                <w:i/>
                <w:iCs/>
                <w:szCs w:val="18"/>
              </w:rPr>
            </w:pPr>
            <w:r w:rsidRPr="008B454B">
              <w:rPr>
                <w:rFonts w:cs="Calibri"/>
                <w:szCs w:val="18"/>
              </w:rPr>
              <w:t>2057</w:t>
            </w:r>
          </w:p>
        </w:tc>
        <w:tc>
          <w:tcPr>
            <w:tcW w:w="1464" w:type="dxa"/>
            <w:tcBorders>
              <w:right w:val="single" w:sz="8" w:space="0" w:color="D2232A"/>
            </w:tcBorders>
            <w:noWrap/>
            <w:vAlign w:val="center"/>
            <w:hideMark/>
          </w:tcPr>
          <w:p w14:paraId="1E748783" w14:textId="77777777" w:rsidR="008878A0" w:rsidRPr="008B454B" w:rsidRDefault="008878A0" w:rsidP="008B454B">
            <w:pPr>
              <w:jc w:val="right"/>
              <w:rPr>
                <w:i/>
                <w:iCs/>
                <w:szCs w:val="18"/>
              </w:rPr>
            </w:pPr>
            <w:r w:rsidRPr="008B454B">
              <w:rPr>
                <w:rFonts w:cs="Calibri"/>
                <w:szCs w:val="18"/>
              </w:rPr>
              <w:t>138</w:t>
            </w:r>
          </w:p>
        </w:tc>
      </w:tr>
      <w:tr w:rsidR="008B454B" w:rsidRPr="008B454B" w14:paraId="05F82D1B" w14:textId="77777777" w:rsidTr="000A346F">
        <w:trPr>
          <w:trHeight w:val="296"/>
        </w:trPr>
        <w:tc>
          <w:tcPr>
            <w:tcW w:w="1800" w:type="dxa"/>
            <w:shd w:val="clear" w:color="auto" w:fill="D2232A" w:themeFill="accent1"/>
            <w:noWrap/>
            <w:vAlign w:val="center"/>
            <w:hideMark/>
          </w:tcPr>
          <w:p w14:paraId="6E726861"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Kraljevec na Sutli</w:t>
            </w:r>
          </w:p>
        </w:tc>
        <w:tc>
          <w:tcPr>
            <w:tcW w:w="3142" w:type="dxa"/>
            <w:noWrap/>
            <w:vAlign w:val="center"/>
            <w:hideMark/>
          </w:tcPr>
          <w:p w14:paraId="361B3113" w14:textId="77777777" w:rsidR="008878A0" w:rsidRPr="008B454B" w:rsidRDefault="008878A0" w:rsidP="008B454B">
            <w:pPr>
              <w:jc w:val="right"/>
              <w:rPr>
                <w:i/>
                <w:iCs/>
                <w:szCs w:val="18"/>
              </w:rPr>
            </w:pPr>
            <w:r w:rsidRPr="008B454B">
              <w:rPr>
                <w:rFonts w:cs="Calibri"/>
                <w:szCs w:val="18"/>
              </w:rPr>
              <w:t>238,69</w:t>
            </w:r>
          </w:p>
        </w:tc>
        <w:tc>
          <w:tcPr>
            <w:tcW w:w="3128" w:type="dxa"/>
            <w:noWrap/>
            <w:vAlign w:val="center"/>
            <w:hideMark/>
          </w:tcPr>
          <w:p w14:paraId="4C3665AA" w14:textId="77777777" w:rsidR="008878A0" w:rsidRPr="008B454B" w:rsidRDefault="008878A0" w:rsidP="008B454B">
            <w:pPr>
              <w:jc w:val="right"/>
              <w:rPr>
                <w:i/>
                <w:iCs/>
                <w:szCs w:val="18"/>
              </w:rPr>
            </w:pPr>
            <w:r w:rsidRPr="008B454B">
              <w:rPr>
                <w:rFonts w:cs="Calibri"/>
                <w:szCs w:val="18"/>
              </w:rPr>
              <w:t>1727</w:t>
            </w:r>
          </w:p>
        </w:tc>
        <w:tc>
          <w:tcPr>
            <w:tcW w:w="1464" w:type="dxa"/>
            <w:tcBorders>
              <w:right w:val="single" w:sz="8" w:space="0" w:color="D2232A"/>
            </w:tcBorders>
            <w:noWrap/>
            <w:vAlign w:val="center"/>
            <w:hideMark/>
          </w:tcPr>
          <w:p w14:paraId="5DE71AB3" w14:textId="77777777" w:rsidR="008878A0" w:rsidRPr="008B454B" w:rsidRDefault="008878A0" w:rsidP="008B454B">
            <w:pPr>
              <w:jc w:val="right"/>
              <w:rPr>
                <w:i/>
                <w:iCs/>
                <w:szCs w:val="18"/>
              </w:rPr>
            </w:pPr>
            <w:r w:rsidRPr="008B454B">
              <w:rPr>
                <w:rFonts w:cs="Calibri"/>
                <w:szCs w:val="18"/>
              </w:rPr>
              <w:t>138</w:t>
            </w:r>
          </w:p>
        </w:tc>
      </w:tr>
      <w:tr w:rsidR="008B454B" w:rsidRPr="008B454B" w14:paraId="2F8538C1" w14:textId="77777777" w:rsidTr="000A346F">
        <w:trPr>
          <w:trHeight w:val="296"/>
        </w:trPr>
        <w:tc>
          <w:tcPr>
            <w:tcW w:w="1800" w:type="dxa"/>
            <w:shd w:val="clear" w:color="auto" w:fill="D2232A" w:themeFill="accent1"/>
            <w:noWrap/>
            <w:vAlign w:val="center"/>
            <w:hideMark/>
          </w:tcPr>
          <w:p w14:paraId="1CE723C0"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Pregrada</w:t>
            </w:r>
          </w:p>
        </w:tc>
        <w:tc>
          <w:tcPr>
            <w:tcW w:w="3142" w:type="dxa"/>
            <w:noWrap/>
            <w:vAlign w:val="center"/>
            <w:hideMark/>
          </w:tcPr>
          <w:p w14:paraId="6A534667" w14:textId="77777777" w:rsidR="008878A0" w:rsidRPr="008B454B" w:rsidRDefault="008878A0" w:rsidP="008B454B">
            <w:pPr>
              <w:jc w:val="right"/>
              <w:rPr>
                <w:i/>
                <w:iCs/>
                <w:szCs w:val="18"/>
              </w:rPr>
            </w:pPr>
            <w:r w:rsidRPr="008B454B">
              <w:rPr>
                <w:rFonts w:cs="Calibri"/>
                <w:szCs w:val="18"/>
              </w:rPr>
              <w:t>946,25</w:t>
            </w:r>
          </w:p>
        </w:tc>
        <w:tc>
          <w:tcPr>
            <w:tcW w:w="3128" w:type="dxa"/>
            <w:noWrap/>
            <w:vAlign w:val="center"/>
            <w:hideMark/>
          </w:tcPr>
          <w:p w14:paraId="17C0CC77" w14:textId="77777777" w:rsidR="008878A0" w:rsidRPr="008B454B" w:rsidRDefault="008878A0" w:rsidP="008B454B">
            <w:pPr>
              <w:jc w:val="right"/>
              <w:rPr>
                <w:i/>
                <w:iCs/>
                <w:szCs w:val="18"/>
              </w:rPr>
            </w:pPr>
            <w:r w:rsidRPr="008B454B">
              <w:rPr>
                <w:rFonts w:cs="Calibri"/>
                <w:szCs w:val="18"/>
              </w:rPr>
              <w:t>6594</w:t>
            </w:r>
          </w:p>
        </w:tc>
        <w:tc>
          <w:tcPr>
            <w:tcW w:w="1464" w:type="dxa"/>
            <w:tcBorders>
              <w:right w:val="single" w:sz="8" w:space="0" w:color="D2232A"/>
            </w:tcBorders>
            <w:noWrap/>
            <w:vAlign w:val="center"/>
            <w:hideMark/>
          </w:tcPr>
          <w:p w14:paraId="5A70AC0C" w14:textId="77777777" w:rsidR="008878A0" w:rsidRPr="008B454B" w:rsidRDefault="008878A0" w:rsidP="008B454B">
            <w:pPr>
              <w:jc w:val="right"/>
              <w:rPr>
                <w:i/>
                <w:iCs/>
                <w:szCs w:val="18"/>
              </w:rPr>
            </w:pPr>
            <w:r w:rsidRPr="008B454B">
              <w:rPr>
                <w:rFonts w:cs="Calibri"/>
                <w:szCs w:val="18"/>
              </w:rPr>
              <w:t>144</w:t>
            </w:r>
          </w:p>
        </w:tc>
      </w:tr>
      <w:tr w:rsidR="008B454B" w:rsidRPr="008B454B" w14:paraId="72A0BD0E" w14:textId="77777777" w:rsidTr="000A346F">
        <w:trPr>
          <w:trHeight w:val="296"/>
        </w:trPr>
        <w:tc>
          <w:tcPr>
            <w:tcW w:w="1800" w:type="dxa"/>
            <w:shd w:val="clear" w:color="auto" w:fill="D2232A" w:themeFill="accent1"/>
            <w:noWrap/>
            <w:vAlign w:val="center"/>
            <w:hideMark/>
          </w:tcPr>
          <w:p w14:paraId="24DF0946"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Klanjec</w:t>
            </w:r>
          </w:p>
        </w:tc>
        <w:tc>
          <w:tcPr>
            <w:tcW w:w="3142" w:type="dxa"/>
            <w:noWrap/>
            <w:vAlign w:val="center"/>
            <w:hideMark/>
          </w:tcPr>
          <w:p w14:paraId="1B738F02" w14:textId="77777777" w:rsidR="008878A0" w:rsidRPr="008B454B" w:rsidRDefault="008878A0" w:rsidP="008B454B">
            <w:pPr>
              <w:jc w:val="right"/>
              <w:rPr>
                <w:i/>
                <w:iCs/>
                <w:szCs w:val="18"/>
              </w:rPr>
            </w:pPr>
            <w:r w:rsidRPr="008B454B">
              <w:rPr>
                <w:rFonts w:cs="Calibri"/>
                <w:szCs w:val="18"/>
              </w:rPr>
              <w:t>429,8</w:t>
            </w:r>
          </w:p>
        </w:tc>
        <w:tc>
          <w:tcPr>
            <w:tcW w:w="3128" w:type="dxa"/>
            <w:noWrap/>
            <w:vAlign w:val="center"/>
            <w:hideMark/>
          </w:tcPr>
          <w:p w14:paraId="3B420BA1" w14:textId="77777777" w:rsidR="008878A0" w:rsidRPr="008B454B" w:rsidRDefault="008878A0" w:rsidP="008B454B">
            <w:pPr>
              <w:jc w:val="right"/>
              <w:rPr>
                <w:i/>
                <w:iCs/>
                <w:szCs w:val="18"/>
              </w:rPr>
            </w:pPr>
            <w:r w:rsidRPr="008B454B">
              <w:rPr>
                <w:rFonts w:cs="Calibri"/>
                <w:szCs w:val="18"/>
              </w:rPr>
              <w:t>2915</w:t>
            </w:r>
          </w:p>
        </w:tc>
        <w:tc>
          <w:tcPr>
            <w:tcW w:w="1464" w:type="dxa"/>
            <w:tcBorders>
              <w:right w:val="single" w:sz="8" w:space="0" w:color="D2232A"/>
            </w:tcBorders>
            <w:noWrap/>
            <w:vAlign w:val="center"/>
            <w:hideMark/>
          </w:tcPr>
          <w:p w14:paraId="6FC4F966" w14:textId="77777777" w:rsidR="008878A0" w:rsidRPr="008B454B" w:rsidRDefault="008878A0" w:rsidP="008B454B">
            <w:pPr>
              <w:jc w:val="right"/>
              <w:rPr>
                <w:i/>
                <w:iCs/>
                <w:szCs w:val="18"/>
              </w:rPr>
            </w:pPr>
            <w:r w:rsidRPr="008B454B">
              <w:rPr>
                <w:rFonts w:cs="Calibri"/>
                <w:szCs w:val="18"/>
              </w:rPr>
              <w:t>147</w:t>
            </w:r>
          </w:p>
        </w:tc>
      </w:tr>
      <w:tr w:rsidR="008B454B" w:rsidRPr="008B454B" w14:paraId="1E49892D" w14:textId="77777777" w:rsidTr="000A346F">
        <w:trPr>
          <w:trHeight w:val="311"/>
        </w:trPr>
        <w:tc>
          <w:tcPr>
            <w:tcW w:w="1800" w:type="dxa"/>
            <w:shd w:val="clear" w:color="auto" w:fill="D2232A" w:themeFill="accent1"/>
            <w:noWrap/>
            <w:vAlign w:val="center"/>
            <w:hideMark/>
          </w:tcPr>
          <w:p w14:paraId="1B81BDCC"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Veliko Trgovišće</w:t>
            </w:r>
          </w:p>
        </w:tc>
        <w:tc>
          <w:tcPr>
            <w:tcW w:w="3142" w:type="dxa"/>
            <w:noWrap/>
            <w:vAlign w:val="center"/>
            <w:hideMark/>
          </w:tcPr>
          <w:p w14:paraId="5B5AEA63" w14:textId="77777777" w:rsidR="008878A0" w:rsidRPr="008B454B" w:rsidRDefault="008878A0" w:rsidP="008B454B">
            <w:pPr>
              <w:jc w:val="right"/>
              <w:rPr>
                <w:i/>
                <w:iCs/>
                <w:szCs w:val="18"/>
              </w:rPr>
            </w:pPr>
            <w:r w:rsidRPr="008B454B">
              <w:rPr>
                <w:rFonts w:cs="Calibri"/>
                <w:szCs w:val="18"/>
              </w:rPr>
              <w:t>761,26</w:t>
            </w:r>
          </w:p>
        </w:tc>
        <w:tc>
          <w:tcPr>
            <w:tcW w:w="3128" w:type="dxa"/>
            <w:noWrap/>
            <w:vAlign w:val="center"/>
            <w:hideMark/>
          </w:tcPr>
          <w:p w14:paraId="49DEC968" w14:textId="77777777" w:rsidR="008878A0" w:rsidRPr="008B454B" w:rsidRDefault="008878A0" w:rsidP="008B454B">
            <w:pPr>
              <w:jc w:val="right"/>
              <w:rPr>
                <w:i/>
                <w:iCs/>
                <w:szCs w:val="18"/>
              </w:rPr>
            </w:pPr>
            <w:r w:rsidRPr="008B454B">
              <w:rPr>
                <w:rFonts w:cs="Calibri"/>
                <w:szCs w:val="18"/>
              </w:rPr>
              <w:t>4945</w:t>
            </w:r>
          </w:p>
        </w:tc>
        <w:tc>
          <w:tcPr>
            <w:tcW w:w="1464" w:type="dxa"/>
            <w:tcBorders>
              <w:right w:val="single" w:sz="8" w:space="0" w:color="D2232A"/>
            </w:tcBorders>
            <w:noWrap/>
            <w:vAlign w:val="center"/>
            <w:hideMark/>
          </w:tcPr>
          <w:p w14:paraId="02E174C6" w14:textId="77777777" w:rsidR="008878A0" w:rsidRPr="008B454B" w:rsidRDefault="008878A0" w:rsidP="008B454B">
            <w:pPr>
              <w:jc w:val="right"/>
              <w:rPr>
                <w:i/>
                <w:iCs/>
                <w:szCs w:val="18"/>
              </w:rPr>
            </w:pPr>
            <w:r w:rsidRPr="008B454B">
              <w:rPr>
                <w:rFonts w:cs="Calibri"/>
                <w:szCs w:val="18"/>
              </w:rPr>
              <w:t>154</w:t>
            </w:r>
          </w:p>
        </w:tc>
      </w:tr>
      <w:tr w:rsidR="008B454B" w:rsidRPr="008B454B" w14:paraId="57E14A54" w14:textId="77777777" w:rsidTr="000A346F">
        <w:trPr>
          <w:trHeight w:val="311"/>
        </w:trPr>
        <w:tc>
          <w:tcPr>
            <w:tcW w:w="1800" w:type="dxa"/>
            <w:shd w:val="clear" w:color="auto" w:fill="D2232A" w:themeFill="accent1"/>
            <w:noWrap/>
            <w:vAlign w:val="center"/>
            <w:hideMark/>
          </w:tcPr>
          <w:p w14:paraId="06205480"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Petrovsko</w:t>
            </w:r>
          </w:p>
        </w:tc>
        <w:tc>
          <w:tcPr>
            <w:tcW w:w="3142" w:type="dxa"/>
            <w:noWrap/>
            <w:vAlign w:val="center"/>
            <w:hideMark/>
          </w:tcPr>
          <w:p w14:paraId="2156721E" w14:textId="77777777" w:rsidR="008878A0" w:rsidRPr="008B454B" w:rsidRDefault="008878A0" w:rsidP="008B454B">
            <w:pPr>
              <w:jc w:val="right"/>
              <w:rPr>
                <w:i/>
                <w:iCs/>
                <w:szCs w:val="18"/>
              </w:rPr>
            </w:pPr>
            <w:r w:rsidRPr="008B454B">
              <w:rPr>
                <w:rFonts w:cs="Calibri"/>
                <w:szCs w:val="18"/>
              </w:rPr>
              <w:t>14,5</w:t>
            </w:r>
          </w:p>
        </w:tc>
        <w:tc>
          <w:tcPr>
            <w:tcW w:w="3128" w:type="dxa"/>
            <w:noWrap/>
            <w:vAlign w:val="center"/>
            <w:hideMark/>
          </w:tcPr>
          <w:p w14:paraId="0C64A48B" w14:textId="77777777" w:rsidR="008878A0" w:rsidRPr="008B454B" w:rsidRDefault="008878A0" w:rsidP="008B454B">
            <w:pPr>
              <w:jc w:val="right"/>
              <w:rPr>
                <w:i/>
                <w:iCs/>
                <w:szCs w:val="18"/>
              </w:rPr>
            </w:pPr>
            <w:r w:rsidRPr="008B454B">
              <w:rPr>
                <w:rFonts w:cs="Calibri"/>
                <w:szCs w:val="18"/>
              </w:rPr>
              <w:t>2656</w:t>
            </w:r>
          </w:p>
        </w:tc>
        <w:tc>
          <w:tcPr>
            <w:tcW w:w="1464" w:type="dxa"/>
            <w:tcBorders>
              <w:right w:val="single" w:sz="8" w:space="0" w:color="D2232A"/>
            </w:tcBorders>
            <w:noWrap/>
            <w:vAlign w:val="center"/>
            <w:hideMark/>
          </w:tcPr>
          <w:p w14:paraId="0C093274" w14:textId="77777777" w:rsidR="008878A0" w:rsidRPr="008B454B" w:rsidRDefault="008878A0" w:rsidP="008B454B">
            <w:pPr>
              <w:jc w:val="right"/>
              <w:rPr>
                <w:i/>
                <w:iCs/>
                <w:szCs w:val="18"/>
              </w:rPr>
            </w:pPr>
            <w:r w:rsidRPr="008B454B">
              <w:rPr>
                <w:rFonts w:cs="Calibri"/>
                <w:szCs w:val="18"/>
              </w:rPr>
              <w:t>156</w:t>
            </w:r>
          </w:p>
        </w:tc>
      </w:tr>
      <w:tr w:rsidR="008B454B" w:rsidRPr="008B454B" w14:paraId="701F41E6" w14:textId="77777777" w:rsidTr="000A346F">
        <w:trPr>
          <w:trHeight w:val="296"/>
        </w:trPr>
        <w:tc>
          <w:tcPr>
            <w:tcW w:w="1800" w:type="dxa"/>
            <w:shd w:val="clear" w:color="auto" w:fill="D2232A" w:themeFill="accent1"/>
            <w:noWrap/>
            <w:vAlign w:val="center"/>
            <w:hideMark/>
          </w:tcPr>
          <w:p w14:paraId="78ED6F93"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Novi Golubovec</w:t>
            </w:r>
          </w:p>
        </w:tc>
        <w:tc>
          <w:tcPr>
            <w:tcW w:w="3142" w:type="dxa"/>
            <w:noWrap/>
            <w:vAlign w:val="center"/>
            <w:hideMark/>
          </w:tcPr>
          <w:p w14:paraId="47DE4C4B" w14:textId="77777777" w:rsidR="008878A0" w:rsidRPr="008B454B" w:rsidRDefault="008878A0" w:rsidP="008B454B">
            <w:pPr>
              <w:jc w:val="right"/>
              <w:rPr>
                <w:i/>
                <w:iCs/>
                <w:szCs w:val="18"/>
              </w:rPr>
            </w:pPr>
            <w:r w:rsidRPr="008B454B">
              <w:rPr>
                <w:rFonts w:cs="Calibri"/>
                <w:szCs w:val="18"/>
              </w:rPr>
              <w:t>103,86</w:t>
            </w:r>
          </w:p>
        </w:tc>
        <w:tc>
          <w:tcPr>
            <w:tcW w:w="3128" w:type="dxa"/>
            <w:noWrap/>
            <w:vAlign w:val="center"/>
            <w:hideMark/>
          </w:tcPr>
          <w:p w14:paraId="3621B6AF" w14:textId="77777777" w:rsidR="008878A0" w:rsidRPr="008B454B" w:rsidRDefault="008878A0" w:rsidP="008B454B">
            <w:pPr>
              <w:jc w:val="right"/>
              <w:rPr>
                <w:i/>
                <w:iCs/>
                <w:szCs w:val="18"/>
              </w:rPr>
            </w:pPr>
            <w:r w:rsidRPr="008B454B">
              <w:rPr>
                <w:rFonts w:cs="Calibri"/>
                <w:szCs w:val="18"/>
              </w:rPr>
              <w:t>654</w:t>
            </w:r>
          </w:p>
        </w:tc>
        <w:tc>
          <w:tcPr>
            <w:tcW w:w="1464" w:type="dxa"/>
            <w:tcBorders>
              <w:right w:val="single" w:sz="8" w:space="0" w:color="D2232A"/>
            </w:tcBorders>
            <w:noWrap/>
            <w:vAlign w:val="center"/>
            <w:hideMark/>
          </w:tcPr>
          <w:p w14:paraId="466A1E75" w14:textId="77777777" w:rsidR="008878A0" w:rsidRPr="008B454B" w:rsidRDefault="008878A0" w:rsidP="008B454B">
            <w:pPr>
              <w:jc w:val="right"/>
              <w:rPr>
                <w:i/>
                <w:iCs/>
                <w:szCs w:val="18"/>
              </w:rPr>
            </w:pPr>
            <w:r w:rsidRPr="008B454B">
              <w:rPr>
                <w:rFonts w:cs="Calibri"/>
                <w:szCs w:val="18"/>
              </w:rPr>
              <w:t>159</w:t>
            </w:r>
          </w:p>
        </w:tc>
      </w:tr>
      <w:tr w:rsidR="008B454B" w:rsidRPr="008B454B" w14:paraId="432E7E69" w14:textId="77777777" w:rsidTr="000A346F">
        <w:trPr>
          <w:trHeight w:val="296"/>
        </w:trPr>
        <w:tc>
          <w:tcPr>
            <w:tcW w:w="1800" w:type="dxa"/>
            <w:shd w:val="clear" w:color="auto" w:fill="D2232A" w:themeFill="accent1"/>
            <w:noWrap/>
            <w:vAlign w:val="center"/>
            <w:hideMark/>
          </w:tcPr>
          <w:p w14:paraId="7A2FF4C2"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Gornja Stubica</w:t>
            </w:r>
          </w:p>
        </w:tc>
        <w:tc>
          <w:tcPr>
            <w:tcW w:w="3142" w:type="dxa"/>
            <w:noWrap/>
            <w:vAlign w:val="center"/>
            <w:hideMark/>
          </w:tcPr>
          <w:p w14:paraId="1CCDBF5F" w14:textId="77777777" w:rsidR="008878A0" w:rsidRPr="008B454B" w:rsidRDefault="008878A0" w:rsidP="008B454B">
            <w:pPr>
              <w:jc w:val="right"/>
              <w:rPr>
                <w:i/>
                <w:iCs/>
                <w:szCs w:val="18"/>
              </w:rPr>
            </w:pPr>
            <w:r w:rsidRPr="008B454B">
              <w:rPr>
                <w:rFonts w:cs="Calibri"/>
                <w:szCs w:val="18"/>
              </w:rPr>
              <w:t>857,45</w:t>
            </w:r>
          </w:p>
        </w:tc>
        <w:tc>
          <w:tcPr>
            <w:tcW w:w="3128" w:type="dxa"/>
            <w:noWrap/>
            <w:vAlign w:val="center"/>
            <w:hideMark/>
          </w:tcPr>
          <w:p w14:paraId="1C3373F5" w14:textId="77777777" w:rsidR="008878A0" w:rsidRPr="008B454B" w:rsidRDefault="008878A0" w:rsidP="008B454B">
            <w:pPr>
              <w:jc w:val="right"/>
              <w:rPr>
                <w:i/>
                <w:iCs/>
                <w:szCs w:val="18"/>
              </w:rPr>
            </w:pPr>
            <w:r w:rsidRPr="008B454B">
              <w:rPr>
                <w:rFonts w:cs="Calibri"/>
                <w:szCs w:val="18"/>
              </w:rPr>
              <w:t>5284</w:t>
            </w:r>
          </w:p>
        </w:tc>
        <w:tc>
          <w:tcPr>
            <w:tcW w:w="1464" w:type="dxa"/>
            <w:tcBorders>
              <w:right w:val="single" w:sz="8" w:space="0" w:color="D2232A"/>
            </w:tcBorders>
            <w:noWrap/>
            <w:vAlign w:val="center"/>
            <w:hideMark/>
          </w:tcPr>
          <w:p w14:paraId="7CF44CAD" w14:textId="77777777" w:rsidR="008878A0" w:rsidRPr="008B454B" w:rsidRDefault="008878A0" w:rsidP="008B454B">
            <w:pPr>
              <w:jc w:val="right"/>
              <w:rPr>
                <w:i/>
                <w:iCs/>
                <w:szCs w:val="18"/>
              </w:rPr>
            </w:pPr>
            <w:r w:rsidRPr="008B454B">
              <w:rPr>
                <w:rFonts w:cs="Calibri"/>
                <w:szCs w:val="18"/>
              </w:rPr>
              <w:t>162</w:t>
            </w:r>
          </w:p>
        </w:tc>
      </w:tr>
      <w:tr w:rsidR="008B454B" w:rsidRPr="008B454B" w14:paraId="0DD41CB3" w14:textId="77777777" w:rsidTr="000A346F">
        <w:trPr>
          <w:trHeight w:val="296"/>
        </w:trPr>
        <w:tc>
          <w:tcPr>
            <w:tcW w:w="1800" w:type="dxa"/>
            <w:shd w:val="clear" w:color="auto" w:fill="D2232A" w:themeFill="accent1"/>
            <w:noWrap/>
            <w:vAlign w:val="center"/>
            <w:hideMark/>
          </w:tcPr>
          <w:p w14:paraId="69B45BD5"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Kumrovec</w:t>
            </w:r>
          </w:p>
        </w:tc>
        <w:tc>
          <w:tcPr>
            <w:tcW w:w="3142" w:type="dxa"/>
            <w:noWrap/>
            <w:vAlign w:val="center"/>
            <w:hideMark/>
          </w:tcPr>
          <w:p w14:paraId="4733E47A" w14:textId="77777777" w:rsidR="008878A0" w:rsidRPr="008B454B" w:rsidRDefault="008878A0" w:rsidP="008B454B">
            <w:pPr>
              <w:jc w:val="right"/>
              <w:rPr>
                <w:i/>
                <w:iCs/>
                <w:szCs w:val="18"/>
              </w:rPr>
            </w:pPr>
            <w:r w:rsidRPr="008B454B">
              <w:rPr>
                <w:rFonts w:cs="Calibri"/>
                <w:szCs w:val="18"/>
              </w:rPr>
              <w:t>257,54</w:t>
            </w:r>
          </w:p>
        </w:tc>
        <w:tc>
          <w:tcPr>
            <w:tcW w:w="3128" w:type="dxa"/>
            <w:noWrap/>
            <w:vAlign w:val="center"/>
            <w:hideMark/>
          </w:tcPr>
          <w:p w14:paraId="2CD0FDF4" w14:textId="77777777" w:rsidR="008878A0" w:rsidRPr="008B454B" w:rsidRDefault="008878A0" w:rsidP="008B454B">
            <w:pPr>
              <w:jc w:val="right"/>
              <w:rPr>
                <w:i/>
                <w:iCs/>
                <w:szCs w:val="18"/>
              </w:rPr>
            </w:pPr>
            <w:r w:rsidRPr="008B454B">
              <w:rPr>
                <w:rFonts w:cs="Calibri"/>
                <w:szCs w:val="18"/>
              </w:rPr>
              <w:t>1588</w:t>
            </w:r>
          </w:p>
        </w:tc>
        <w:tc>
          <w:tcPr>
            <w:tcW w:w="1464" w:type="dxa"/>
            <w:tcBorders>
              <w:right w:val="single" w:sz="8" w:space="0" w:color="D2232A"/>
            </w:tcBorders>
            <w:noWrap/>
            <w:vAlign w:val="center"/>
            <w:hideMark/>
          </w:tcPr>
          <w:p w14:paraId="68AB471D" w14:textId="77777777" w:rsidR="008878A0" w:rsidRPr="008B454B" w:rsidRDefault="008878A0" w:rsidP="008B454B">
            <w:pPr>
              <w:jc w:val="right"/>
              <w:rPr>
                <w:i/>
                <w:iCs/>
                <w:szCs w:val="18"/>
              </w:rPr>
            </w:pPr>
            <w:r w:rsidRPr="008B454B">
              <w:rPr>
                <w:rFonts w:cs="Calibri"/>
                <w:szCs w:val="18"/>
              </w:rPr>
              <w:t>162</w:t>
            </w:r>
          </w:p>
        </w:tc>
      </w:tr>
      <w:tr w:rsidR="008B454B" w:rsidRPr="008B454B" w14:paraId="26E945D9" w14:textId="77777777" w:rsidTr="000A346F">
        <w:trPr>
          <w:trHeight w:val="296"/>
        </w:trPr>
        <w:tc>
          <w:tcPr>
            <w:tcW w:w="1800" w:type="dxa"/>
            <w:shd w:val="clear" w:color="auto" w:fill="D2232A" w:themeFill="accent1"/>
            <w:noWrap/>
            <w:vAlign w:val="center"/>
            <w:hideMark/>
          </w:tcPr>
          <w:p w14:paraId="1D5DA77E"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Marija Bistrica</w:t>
            </w:r>
          </w:p>
        </w:tc>
        <w:tc>
          <w:tcPr>
            <w:tcW w:w="3142" w:type="dxa"/>
            <w:noWrap/>
            <w:vAlign w:val="center"/>
            <w:hideMark/>
          </w:tcPr>
          <w:p w14:paraId="2CEF438C" w14:textId="77777777" w:rsidR="008878A0" w:rsidRPr="008B454B" w:rsidRDefault="008878A0" w:rsidP="008B454B">
            <w:pPr>
              <w:jc w:val="right"/>
              <w:rPr>
                <w:i/>
                <w:iCs/>
                <w:szCs w:val="18"/>
              </w:rPr>
            </w:pPr>
            <w:r w:rsidRPr="008B454B">
              <w:rPr>
                <w:rFonts w:cs="Calibri"/>
                <w:szCs w:val="18"/>
              </w:rPr>
              <w:t>807,98</w:t>
            </w:r>
          </w:p>
        </w:tc>
        <w:tc>
          <w:tcPr>
            <w:tcW w:w="3128" w:type="dxa"/>
            <w:noWrap/>
            <w:vAlign w:val="center"/>
            <w:hideMark/>
          </w:tcPr>
          <w:p w14:paraId="71FF233B" w14:textId="77777777" w:rsidR="008878A0" w:rsidRPr="008B454B" w:rsidRDefault="008878A0" w:rsidP="008B454B">
            <w:pPr>
              <w:jc w:val="right"/>
              <w:rPr>
                <w:i/>
                <w:iCs/>
                <w:szCs w:val="18"/>
              </w:rPr>
            </w:pPr>
            <w:r w:rsidRPr="008B454B">
              <w:rPr>
                <w:rFonts w:cs="Calibri"/>
                <w:szCs w:val="18"/>
              </w:rPr>
              <w:t>4993</w:t>
            </w:r>
          </w:p>
        </w:tc>
        <w:tc>
          <w:tcPr>
            <w:tcW w:w="1464" w:type="dxa"/>
            <w:tcBorders>
              <w:right w:val="single" w:sz="8" w:space="0" w:color="D2232A"/>
            </w:tcBorders>
            <w:noWrap/>
            <w:vAlign w:val="center"/>
            <w:hideMark/>
          </w:tcPr>
          <w:p w14:paraId="63F77250" w14:textId="77777777" w:rsidR="008878A0" w:rsidRPr="008B454B" w:rsidRDefault="008878A0" w:rsidP="008B454B">
            <w:pPr>
              <w:jc w:val="right"/>
              <w:rPr>
                <w:i/>
                <w:iCs/>
                <w:szCs w:val="18"/>
              </w:rPr>
            </w:pPr>
            <w:r w:rsidRPr="008B454B">
              <w:rPr>
                <w:rFonts w:cs="Calibri"/>
                <w:szCs w:val="18"/>
              </w:rPr>
              <w:t>162</w:t>
            </w:r>
          </w:p>
        </w:tc>
      </w:tr>
      <w:tr w:rsidR="008B454B" w:rsidRPr="008B454B" w14:paraId="1D5BAE81" w14:textId="77777777" w:rsidTr="000A346F">
        <w:trPr>
          <w:trHeight w:val="296"/>
        </w:trPr>
        <w:tc>
          <w:tcPr>
            <w:tcW w:w="1800" w:type="dxa"/>
            <w:shd w:val="clear" w:color="auto" w:fill="D2232A" w:themeFill="accent1"/>
            <w:noWrap/>
            <w:vAlign w:val="center"/>
            <w:hideMark/>
          </w:tcPr>
          <w:p w14:paraId="5E29670E"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Zlatar</w:t>
            </w:r>
          </w:p>
        </w:tc>
        <w:tc>
          <w:tcPr>
            <w:tcW w:w="3142" w:type="dxa"/>
            <w:noWrap/>
            <w:vAlign w:val="center"/>
            <w:hideMark/>
          </w:tcPr>
          <w:p w14:paraId="75635A07" w14:textId="77777777" w:rsidR="008878A0" w:rsidRPr="008B454B" w:rsidRDefault="008878A0" w:rsidP="008B454B">
            <w:pPr>
              <w:jc w:val="right"/>
              <w:rPr>
                <w:i/>
                <w:iCs/>
                <w:szCs w:val="18"/>
              </w:rPr>
            </w:pPr>
            <w:r w:rsidRPr="008B454B">
              <w:rPr>
                <w:rFonts w:cs="Calibri"/>
                <w:szCs w:val="18"/>
              </w:rPr>
              <w:t>876,4</w:t>
            </w:r>
          </w:p>
        </w:tc>
        <w:tc>
          <w:tcPr>
            <w:tcW w:w="3128" w:type="dxa"/>
            <w:noWrap/>
            <w:vAlign w:val="center"/>
            <w:hideMark/>
          </w:tcPr>
          <w:p w14:paraId="7F81A57E" w14:textId="77777777" w:rsidR="008878A0" w:rsidRPr="008B454B" w:rsidRDefault="008878A0" w:rsidP="008B454B">
            <w:pPr>
              <w:jc w:val="right"/>
              <w:rPr>
                <w:i/>
                <w:iCs/>
                <w:szCs w:val="18"/>
              </w:rPr>
            </w:pPr>
            <w:r w:rsidRPr="008B454B">
              <w:rPr>
                <w:rFonts w:cs="Calibri"/>
                <w:szCs w:val="18"/>
              </w:rPr>
              <w:t>5264</w:t>
            </w:r>
          </w:p>
        </w:tc>
        <w:tc>
          <w:tcPr>
            <w:tcW w:w="1464" w:type="dxa"/>
            <w:tcBorders>
              <w:right w:val="single" w:sz="8" w:space="0" w:color="D2232A"/>
            </w:tcBorders>
            <w:noWrap/>
            <w:vAlign w:val="center"/>
            <w:hideMark/>
          </w:tcPr>
          <w:p w14:paraId="2BB6C2CB" w14:textId="77777777" w:rsidR="008878A0" w:rsidRPr="008B454B" w:rsidRDefault="008878A0" w:rsidP="008B454B">
            <w:pPr>
              <w:jc w:val="right"/>
              <w:rPr>
                <w:i/>
                <w:iCs/>
                <w:szCs w:val="18"/>
              </w:rPr>
            </w:pPr>
            <w:r w:rsidRPr="008B454B">
              <w:rPr>
                <w:rFonts w:cs="Calibri"/>
                <w:szCs w:val="18"/>
              </w:rPr>
              <w:t>166</w:t>
            </w:r>
          </w:p>
        </w:tc>
      </w:tr>
      <w:tr w:rsidR="008B454B" w:rsidRPr="008B454B" w14:paraId="3EDEE434" w14:textId="77777777" w:rsidTr="000A346F">
        <w:trPr>
          <w:trHeight w:val="311"/>
        </w:trPr>
        <w:tc>
          <w:tcPr>
            <w:tcW w:w="1800" w:type="dxa"/>
            <w:shd w:val="clear" w:color="auto" w:fill="D2232A" w:themeFill="accent1"/>
            <w:noWrap/>
            <w:vAlign w:val="center"/>
            <w:hideMark/>
          </w:tcPr>
          <w:p w14:paraId="61424CA6"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Krapinske Toplice</w:t>
            </w:r>
          </w:p>
        </w:tc>
        <w:tc>
          <w:tcPr>
            <w:tcW w:w="3142" w:type="dxa"/>
            <w:noWrap/>
            <w:vAlign w:val="center"/>
            <w:hideMark/>
          </w:tcPr>
          <w:p w14:paraId="47836893" w14:textId="77777777" w:rsidR="008878A0" w:rsidRPr="008B454B" w:rsidRDefault="008878A0" w:rsidP="008B454B">
            <w:pPr>
              <w:jc w:val="right"/>
              <w:rPr>
                <w:i/>
                <w:iCs/>
                <w:szCs w:val="18"/>
              </w:rPr>
            </w:pPr>
            <w:r w:rsidRPr="008B454B">
              <w:rPr>
                <w:rFonts w:cs="Calibri"/>
                <w:szCs w:val="18"/>
              </w:rPr>
              <w:t>919,99</w:t>
            </w:r>
          </w:p>
        </w:tc>
        <w:tc>
          <w:tcPr>
            <w:tcW w:w="3128" w:type="dxa"/>
            <w:noWrap/>
            <w:vAlign w:val="center"/>
            <w:hideMark/>
          </w:tcPr>
          <w:p w14:paraId="174FBB4D" w14:textId="77777777" w:rsidR="008878A0" w:rsidRPr="008B454B" w:rsidRDefault="008878A0" w:rsidP="008B454B">
            <w:pPr>
              <w:jc w:val="right"/>
              <w:rPr>
                <w:i/>
                <w:iCs/>
                <w:szCs w:val="18"/>
              </w:rPr>
            </w:pPr>
            <w:r w:rsidRPr="008B454B">
              <w:rPr>
                <w:rFonts w:cs="Calibri"/>
                <w:szCs w:val="18"/>
              </w:rPr>
              <w:t>5367</w:t>
            </w:r>
          </w:p>
        </w:tc>
        <w:tc>
          <w:tcPr>
            <w:tcW w:w="1464" w:type="dxa"/>
            <w:tcBorders>
              <w:right w:val="single" w:sz="8" w:space="0" w:color="D2232A"/>
            </w:tcBorders>
            <w:noWrap/>
            <w:vAlign w:val="center"/>
            <w:hideMark/>
          </w:tcPr>
          <w:p w14:paraId="68D14207" w14:textId="77777777" w:rsidR="008878A0" w:rsidRPr="008B454B" w:rsidRDefault="008878A0" w:rsidP="008B454B">
            <w:pPr>
              <w:jc w:val="right"/>
              <w:rPr>
                <w:i/>
                <w:iCs/>
                <w:szCs w:val="18"/>
              </w:rPr>
            </w:pPr>
            <w:r w:rsidRPr="008B454B">
              <w:rPr>
                <w:rFonts w:cs="Calibri"/>
                <w:szCs w:val="18"/>
              </w:rPr>
              <w:t>171</w:t>
            </w:r>
          </w:p>
        </w:tc>
      </w:tr>
      <w:tr w:rsidR="008B454B" w:rsidRPr="008B454B" w14:paraId="0F74FBF7" w14:textId="77777777" w:rsidTr="000A346F">
        <w:trPr>
          <w:trHeight w:val="296"/>
        </w:trPr>
        <w:tc>
          <w:tcPr>
            <w:tcW w:w="1800" w:type="dxa"/>
            <w:shd w:val="clear" w:color="auto" w:fill="D2232A" w:themeFill="accent1"/>
            <w:noWrap/>
            <w:vAlign w:val="center"/>
            <w:hideMark/>
          </w:tcPr>
          <w:p w14:paraId="07E57AAE"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Zlatar-Bistrica</w:t>
            </w:r>
          </w:p>
        </w:tc>
        <w:tc>
          <w:tcPr>
            <w:tcW w:w="3142" w:type="dxa"/>
            <w:noWrap/>
            <w:vAlign w:val="center"/>
            <w:hideMark/>
          </w:tcPr>
          <w:p w14:paraId="09A02C3F" w14:textId="77777777" w:rsidR="008878A0" w:rsidRPr="008B454B" w:rsidRDefault="008878A0" w:rsidP="008B454B">
            <w:pPr>
              <w:jc w:val="right"/>
              <w:rPr>
                <w:i/>
                <w:iCs/>
                <w:szCs w:val="18"/>
              </w:rPr>
            </w:pPr>
            <w:r w:rsidRPr="008B454B">
              <w:rPr>
                <w:rFonts w:cs="Calibri"/>
                <w:szCs w:val="18"/>
              </w:rPr>
              <w:t>409,76</w:t>
            </w:r>
          </w:p>
        </w:tc>
        <w:tc>
          <w:tcPr>
            <w:tcW w:w="3128" w:type="dxa"/>
            <w:noWrap/>
            <w:vAlign w:val="center"/>
            <w:hideMark/>
          </w:tcPr>
          <w:p w14:paraId="60CE27DB" w14:textId="77777777" w:rsidR="008878A0" w:rsidRPr="008B454B" w:rsidRDefault="008878A0" w:rsidP="008B454B">
            <w:pPr>
              <w:jc w:val="right"/>
              <w:rPr>
                <w:i/>
                <w:iCs/>
                <w:szCs w:val="18"/>
              </w:rPr>
            </w:pPr>
            <w:r w:rsidRPr="008B454B">
              <w:rPr>
                <w:rFonts w:cs="Calibri"/>
                <w:szCs w:val="18"/>
              </w:rPr>
              <w:t>2316</w:t>
            </w:r>
          </w:p>
        </w:tc>
        <w:tc>
          <w:tcPr>
            <w:tcW w:w="1464" w:type="dxa"/>
            <w:tcBorders>
              <w:right w:val="single" w:sz="8" w:space="0" w:color="D2232A"/>
            </w:tcBorders>
            <w:noWrap/>
            <w:vAlign w:val="center"/>
            <w:hideMark/>
          </w:tcPr>
          <w:p w14:paraId="5FDBD486" w14:textId="77777777" w:rsidR="008878A0" w:rsidRPr="008B454B" w:rsidRDefault="008878A0" w:rsidP="008B454B">
            <w:pPr>
              <w:jc w:val="right"/>
              <w:rPr>
                <w:i/>
                <w:iCs/>
                <w:szCs w:val="18"/>
              </w:rPr>
            </w:pPr>
            <w:r w:rsidRPr="008B454B">
              <w:rPr>
                <w:rFonts w:cs="Calibri"/>
                <w:szCs w:val="18"/>
              </w:rPr>
              <w:t>177</w:t>
            </w:r>
          </w:p>
        </w:tc>
      </w:tr>
      <w:tr w:rsidR="008B454B" w:rsidRPr="008B454B" w14:paraId="4C751458" w14:textId="77777777" w:rsidTr="000A346F">
        <w:trPr>
          <w:trHeight w:val="296"/>
        </w:trPr>
        <w:tc>
          <w:tcPr>
            <w:tcW w:w="1800" w:type="dxa"/>
            <w:shd w:val="clear" w:color="auto" w:fill="D2232A" w:themeFill="accent1"/>
            <w:noWrap/>
            <w:vAlign w:val="center"/>
            <w:hideMark/>
          </w:tcPr>
          <w:p w14:paraId="15F2D9B2"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Lobor</w:t>
            </w:r>
          </w:p>
        </w:tc>
        <w:tc>
          <w:tcPr>
            <w:tcW w:w="3142" w:type="dxa"/>
            <w:noWrap/>
            <w:vAlign w:val="center"/>
            <w:hideMark/>
          </w:tcPr>
          <w:p w14:paraId="20964687" w14:textId="77777777" w:rsidR="008878A0" w:rsidRPr="008B454B" w:rsidRDefault="008878A0" w:rsidP="008B454B">
            <w:pPr>
              <w:jc w:val="right"/>
              <w:rPr>
                <w:i/>
                <w:iCs/>
                <w:szCs w:val="18"/>
              </w:rPr>
            </w:pPr>
            <w:r w:rsidRPr="008B454B">
              <w:rPr>
                <w:rFonts w:cs="Calibri"/>
                <w:szCs w:val="18"/>
              </w:rPr>
              <w:t>406</w:t>
            </w:r>
          </w:p>
        </w:tc>
        <w:tc>
          <w:tcPr>
            <w:tcW w:w="3128" w:type="dxa"/>
            <w:noWrap/>
            <w:vAlign w:val="center"/>
            <w:hideMark/>
          </w:tcPr>
          <w:p w14:paraId="401C59BF" w14:textId="77777777" w:rsidR="008878A0" w:rsidRPr="008B454B" w:rsidRDefault="008878A0" w:rsidP="008B454B">
            <w:pPr>
              <w:jc w:val="right"/>
              <w:rPr>
                <w:i/>
                <w:iCs/>
                <w:szCs w:val="18"/>
              </w:rPr>
            </w:pPr>
            <w:r w:rsidRPr="008B454B">
              <w:rPr>
                <w:rFonts w:cs="Calibri"/>
                <w:szCs w:val="18"/>
              </w:rPr>
              <w:t>2265</w:t>
            </w:r>
          </w:p>
        </w:tc>
        <w:tc>
          <w:tcPr>
            <w:tcW w:w="1464" w:type="dxa"/>
            <w:tcBorders>
              <w:right w:val="single" w:sz="8" w:space="0" w:color="D2232A"/>
            </w:tcBorders>
            <w:noWrap/>
            <w:vAlign w:val="center"/>
            <w:hideMark/>
          </w:tcPr>
          <w:p w14:paraId="1AABD0C7" w14:textId="77777777" w:rsidR="008878A0" w:rsidRPr="008B454B" w:rsidRDefault="008878A0" w:rsidP="008B454B">
            <w:pPr>
              <w:jc w:val="right"/>
              <w:rPr>
                <w:i/>
                <w:iCs/>
                <w:szCs w:val="18"/>
              </w:rPr>
            </w:pPr>
            <w:r w:rsidRPr="008B454B">
              <w:rPr>
                <w:rFonts w:cs="Calibri"/>
                <w:szCs w:val="18"/>
              </w:rPr>
              <w:t>179</w:t>
            </w:r>
          </w:p>
        </w:tc>
      </w:tr>
      <w:tr w:rsidR="008B454B" w:rsidRPr="008B454B" w14:paraId="130CD12A" w14:textId="77777777" w:rsidTr="000A346F">
        <w:trPr>
          <w:trHeight w:val="311"/>
        </w:trPr>
        <w:tc>
          <w:tcPr>
            <w:tcW w:w="1800" w:type="dxa"/>
            <w:shd w:val="clear" w:color="auto" w:fill="D2232A" w:themeFill="accent1"/>
            <w:noWrap/>
            <w:vAlign w:val="center"/>
            <w:hideMark/>
          </w:tcPr>
          <w:p w14:paraId="429A5AB2"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Donja Stubica</w:t>
            </w:r>
          </w:p>
        </w:tc>
        <w:tc>
          <w:tcPr>
            <w:tcW w:w="3142" w:type="dxa"/>
            <w:noWrap/>
            <w:vAlign w:val="center"/>
            <w:hideMark/>
          </w:tcPr>
          <w:p w14:paraId="369639A1" w14:textId="77777777" w:rsidR="008878A0" w:rsidRPr="008B454B" w:rsidRDefault="008878A0" w:rsidP="008B454B">
            <w:pPr>
              <w:jc w:val="right"/>
              <w:rPr>
                <w:i/>
                <w:iCs/>
                <w:szCs w:val="18"/>
              </w:rPr>
            </w:pPr>
            <w:r w:rsidRPr="008B454B">
              <w:rPr>
                <w:rFonts w:cs="Calibri"/>
                <w:szCs w:val="18"/>
              </w:rPr>
              <w:t>1020,39</w:t>
            </w:r>
          </w:p>
        </w:tc>
        <w:tc>
          <w:tcPr>
            <w:tcW w:w="3128" w:type="dxa"/>
            <w:noWrap/>
            <w:vAlign w:val="center"/>
            <w:hideMark/>
          </w:tcPr>
          <w:p w14:paraId="3C2D9C99" w14:textId="77777777" w:rsidR="008878A0" w:rsidRPr="008B454B" w:rsidRDefault="008878A0" w:rsidP="008B454B">
            <w:pPr>
              <w:jc w:val="right"/>
              <w:rPr>
                <w:i/>
                <w:iCs/>
                <w:szCs w:val="18"/>
              </w:rPr>
            </w:pPr>
            <w:r w:rsidRPr="008B454B">
              <w:rPr>
                <w:rFonts w:cs="Calibri"/>
                <w:szCs w:val="18"/>
              </w:rPr>
              <w:t>5680</w:t>
            </w:r>
          </w:p>
        </w:tc>
        <w:tc>
          <w:tcPr>
            <w:tcW w:w="1464" w:type="dxa"/>
            <w:tcBorders>
              <w:right w:val="single" w:sz="8" w:space="0" w:color="D2232A"/>
            </w:tcBorders>
            <w:noWrap/>
            <w:vAlign w:val="center"/>
            <w:hideMark/>
          </w:tcPr>
          <w:p w14:paraId="3CDD5B85" w14:textId="77777777" w:rsidR="008878A0" w:rsidRPr="008B454B" w:rsidRDefault="008878A0" w:rsidP="008B454B">
            <w:pPr>
              <w:jc w:val="right"/>
              <w:rPr>
                <w:i/>
                <w:iCs/>
                <w:szCs w:val="18"/>
              </w:rPr>
            </w:pPr>
            <w:r w:rsidRPr="008B454B">
              <w:rPr>
                <w:rFonts w:cs="Calibri"/>
                <w:szCs w:val="18"/>
              </w:rPr>
              <w:t>180</w:t>
            </w:r>
          </w:p>
        </w:tc>
      </w:tr>
      <w:tr w:rsidR="008B454B" w:rsidRPr="008B454B" w14:paraId="21C2066A" w14:textId="77777777" w:rsidTr="000A346F">
        <w:trPr>
          <w:trHeight w:val="311"/>
        </w:trPr>
        <w:tc>
          <w:tcPr>
            <w:tcW w:w="1800" w:type="dxa"/>
            <w:shd w:val="clear" w:color="auto" w:fill="D2232A" w:themeFill="accent1"/>
            <w:noWrap/>
            <w:vAlign w:val="center"/>
            <w:hideMark/>
          </w:tcPr>
          <w:p w14:paraId="6DC0F58C"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Jesenje</w:t>
            </w:r>
          </w:p>
        </w:tc>
        <w:tc>
          <w:tcPr>
            <w:tcW w:w="3142" w:type="dxa"/>
            <w:noWrap/>
            <w:vAlign w:val="center"/>
            <w:hideMark/>
          </w:tcPr>
          <w:p w14:paraId="1E98EC08" w14:textId="77777777" w:rsidR="008878A0" w:rsidRPr="008B454B" w:rsidRDefault="008878A0" w:rsidP="008B454B">
            <w:pPr>
              <w:jc w:val="right"/>
              <w:rPr>
                <w:i/>
                <w:iCs/>
                <w:szCs w:val="18"/>
              </w:rPr>
            </w:pPr>
            <w:r w:rsidRPr="008B454B">
              <w:rPr>
                <w:rFonts w:cs="Calibri"/>
                <w:szCs w:val="18"/>
              </w:rPr>
              <w:t>294</w:t>
            </w:r>
          </w:p>
        </w:tc>
        <w:tc>
          <w:tcPr>
            <w:tcW w:w="3128" w:type="dxa"/>
            <w:noWrap/>
            <w:vAlign w:val="center"/>
            <w:hideMark/>
          </w:tcPr>
          <w:p w14:paraId="6BA39F3C" w14:textId="77777777" w:rsidR="008878A0" w:rsidRPr="008B454B" w:rsidRDefault="008878A0" w:rsidP="008B454B">
            <w:pPr>
              <w:jc w:val="right"/>
              <w:rPr>
                <w:i/>
                <w:iCs/>
                <w:szCs w:val="18"/>
              </w:rPr>
            </w:pPr>
            <w:r w:rsidRPr="008B454B">
              <w:rPr>
                <w:rFonts w:cs="Calibri"/>
                <w:szCs w:val="18"/>
              </w:rPr>
              <w:t>1560</w:t>
            </w:r>
          </w:p>
        </w:tc>
        <w:tc>
          <w:tcPr>
            <w:tcW w:w="1464" w:type="dxa"/>
            <w:tcBorders>
              <w:right w:val="single" w:sz="8" w:space="0" w:color="D2232A"/>
            </w:tcBorders>
            <w:noWrap/>
            <w:vAlign w:val="center"/>
            <w:hideMark/>
          </w:tcPr>
          <w:p w14:paraId="7F20A0B4" w14:textId="77777777" w:rsidR="008878A0" w:rsidRPr="008B454B" w:rsidRDefault="008878A0" w:rsidP="008B454B">
            <w:pPr>
              <w:jc w:val="right"/>
              <w:rPr>
                <w:i/>
                <w:iCs/>
                <w:szCs w:val="18"/>
              </w:rPr>
            </w:pPr>
            <w:r w:rsidRPr="008B454B">
              <w:rPr>
                <w:rFonts w:cs="Calibri"/>
                <w:szCs w:val="18"/>
              </w:rPr>
              <w:t>188</w:t>
            </w:r>
          </w:p>
        </w:tc>
      </w:tr>
      <w:tr w:rsidR="008B454B" w:rsidRPr="008B454B" w14:paraId="468A15FD" w14:textId="77777777" w:rsidTr="000A346F">
        <w:trPr>
          <w:trHeight w:val="296"/>
        </w:trPr>
        <w:tc>
          <w:tcPr>
            <w:tcW w:w="1800" w:type="dxa"/>
            <w:shd w:val="clear" w:color="auto" w:fill="D2232A" w:themeFill="accent1"/>
            <w:noWrap/>
            <w:vAlign w:val="center"/>
            <w:hideMark/>
          </w:tcPr>
          <w:p w14:paraId="2B7CCF13"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Sveti Križ Začretje</w:t>
            </w:r>
          </w:p>
        </w:tc>
        <w:tc>
          <w:tcPr>
            <w:tcW w:w="3142" w:type="dxa"/>
            <w:noWrap/>
            <w:vAlign w:val="center"/>
            <w:hideMark/>
          </w:tcPr>
          <w:p w14:paraId="6E20D913" w14:textId="77777777" w:rsidR="008878A0" w:rsidRPr="008B454B" w:rsidRDefault="008878A0" w:rsidP="008B454B">
            <w:pPr>
              <w:jc w:val="right"/>
              <w:rPr>
                <w:i/>
                <w:iCs/>
                <w:szCs w:val="18"/>
              </w:rPr>
            </w:pPr>
            <w:r w:rsidRPr="008B454B">
              <w:rPr>
                <w:rFonts w:cs="Calibri"/>
                <w:szCs w:val="18"/>
              </w:rPr>
              <w:t>1165,94</w:t>
            </w:r>
          </w:p>
        </w:tc>
        <w:tc>
          <w:tcPr>
            <w:tcW w:w="3128" w:type="dxa"/>
            <w:noWrap/>
            <w:vAlign w:val="center"/>
            <w:hideMark/>
          </w:tcPr>
          <w:p w14:paraId="7D34B18C" w14:textId="77777777" w:rsidR="008878A0" w:rsidRPr="008B454B" w:rsidRDefault="008878A0" w:rsidP="008B454B">
            <w:pPr>
              <w:jc w:val="right"/>
              <w:rPr>
                <w:i/>
                <w:iCs/>
                <w:szCs w:val="18"/>
              </w:rPr>
            </w:pPr>
            <w:r w:rsidRPr="008B454B">
              <w:rPr>
                <w:rFonts w:cs="Calibri"/>
                <w:szCs w:val="18"/>
              </w:rPr>
              <w:t>6165</w:t>
            </w:r>
          </w:p>
        </w:tc>
        <w:tc>
          <w:tcPr>
            <w:tcW w:w="1464" w:type="dxa"/>
            <w:tcBorders>
              <w:right w:val="single" w:sz="8" w:space="0" w:color="D2232A"/>
            </w:tcBorders>
            <w:noWrap/>
            <w:vAlign w:val="center"/>
            <w:hideMark/>
          </w:tcPr>
          <w:p w14:paraId="698C4D9B" w14:textId="77777777" w:rsidR="008878A0" w:rsidRPr="008B454B" w:rsidRDefault="008878A0" w:rsidP="008B454B">
            <w:pPr>
              <w:jc w:val="right"/>
              <w:rPr>
                <w:i/>
                <w:iCs/>
                <w:szCs w:val="18"/>
              </w:rPr>
            </w:pPr>
            <w:r w:rsidRPr="008B454B">
              <w:rPr>
                <w:rFonts w:cs="Calibri"/>
                <w:szCs w:val="18"/>
              </w:rPr>
              <w:t>189</w:t>
            </w:r>
          </w:p>
        </w:tc>
      </w:tr>
      <w:tr w:rsidR="008B454B" w:rsidRPr="008B454B" w14:paraId="01C8E026" w14:textId="77777777" w:rsidTr="000A346F">
        <w:trPr>
          <w:trHeight w:val="296"/>
        </w:trPr>
        <w:tc>
          <w:tcPr>
            <w:tcW w:w="1800" w:type="dxa"/>
            <w:tcBorders>
              <w:bottom w:val="single" w:sz="8" w:space="0" w:color="D2232A"/>
            </w:tcBorders>
            <w:shd w:val="clear" w:color="auto" w:fill="D2232A" w:themeFill="accent1"/>
            <w:noWrap/>
            <w:vAlign w:val="center"/>
            <w:hideMark/>
          </w:tcPr>
          <w:p w14:paraId="3A7A6D37"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Đurmanec</w:t>
            </w:r>
          </w:p>
        </w:tc>
        <w:tc>
          <w:tcPr>
            <w:tcW w:w="3142" w:type="dxa"/>
            <w:noWrap/>
            <w:vAlign w:val="center"/>
            <w:hideMark/>
          </w:tcPr>
          <w:p w14:paraId="05BCBCD0" w14:textId="77777777" w:rsidR="008878A0" w:rsidRPr="008B454B" w:rsidRDefault="008878A0" w:rsidP="008B454B">
            <w:pPr>
              <w:jc w:val="right"/>
              <w:rPr>
                <w:i/>
                <w:iCs/>
                <w:szCs w:val="18"/>
              </w:rPr>
            </w:pPr>
            <w:r w:rsidRPr="008B454B">
              <w:rPr>
                <w:rFonts w:cs="Calibri"/>
                <w:szCs w:val="18"/>
              </w:rPr>
              <w:t>804,1</w:t>
            </w:r>
          </w:p>
        </w:tc>
        <w:tc>
          <w:tcPr>
            <w:tcW w:w="3128" w:type="dxa"/>
            <w:noWrap/>
            <w:vAlign w:val="center"/>
            <w:hideMark/>
          </w:tcPr>
          <w:p w14:paraId="34A42545" w14:textId="77777777" w:rsidR="008878A0" w:rsidRPr="008B454B" w:rsidRDefault="008878A0" w:rsidP="008B454B">
            <w:pPr>
              <w:jc w:val="right"/>
              <w:rPr>
                <w:i/>
                <w:iCs/>
                <w:szCs w:val="18"/>
              </w:rPr>
            </w:pPr>
            <w:r w:rsidRPr="008B454B">
              <w:rPr>
                <w:rFonts w:cs="Calibri"/>
                <w:szCs w:val="18"/>
              </w:rPr>
              <w:t>4235</w:t>
            </w:r>
          </w:p>
        </w:tc>
        <w:tc>
          <w:tcPr>
            <w:tcW w:w="1464" w:type="dxa"/>
            <w:tcBorders>
              <w:right w:val="single" w:sz="8" w:space="0" w:color="D2232A"/>
            </w:tcBorders>
            <w:noWrap/>
            <w:vAlign w:val="center"/>
            <w:hideMark/>
          </w:tcPr>
          <w:p w14:paraId="18369A44" w14:textId="77777777" w:rsidR="008878A0" w:rsidRPr="008B454B" w:rsidRDefault="008878A0" w:rsidP="008B454B">
            <w:pPr>
              <w:jc w:val="right"/>
              <w:rPr>
                <w:i/>
                <w:iCs/>
                <w:szCs w:val="18"/>
              </w:rPr>
            </w:pPr>
            <w:r w:rsidRPr="008B454B">
              <w:rPr>
                <w:rFonts w:cs="Calibri"/>
                <w:szCs w:val="18"/>
              </w:rPr>
              <w:t>190</w:t>
            </w:r>
          </w:p>
        </w:tc>
      </w:tr>
      <w:tr w:rsidR="008B454B" w:rsidRPr="008B454B" w14:paraId="1E69C495" w14:textId="77777777" w:rsidTr="000A346F">
        <w:trPr>
          <w:trHeight w:val="296"/>
        </w:trPr>
        <w:tc>
          <w:tcPr>
            <w:tcW w:w="1800" w:type="dxa"/>
            <w:tcBorders>
              <w:top w:val="single" w:sz="8" w:space="0" w:color="D2232A"/>
            </w:tcBorders>
            <w:shd w:val="clear" w:color="auto" w:fill="D2232A" w:themeFill="accent1"/>
            <w:noWrap/>
            <w:vAlign w:val="center"/>
            <w:hideMark/>
          </w:tcPr>
          <w:p w14:paraId="124BC330"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Radoboj</w:t>
            </w:r>
          </w:p>
        </w:tc>
        <w:tc>
          <w:tcPr>
            <w:tcW w:w="3142" w:type="dxa"/>
            <w:noWrap/>
            <w:vAlign w:val="center"/>
            <w:hideMark/>
          </w:tcPr>
          <w:p w14:paraId="7F8BB073" w14:textId="77777777" w:rsidR="008878A0" w:rsidRPr="008B454B" w:rsidRDefault="008878A0" w:rsidP="008B454B">
            <w:pPr>
              <w:jc w:val="right"/>
              <w:rPr>
                <w:i/>
                <w:iCs/>
                <w:szCs w:val="18"/>
              </w:rPr>
            </w:pPr>
            <w:r w:rsidRPr="008B454B">
              <w:rPr>
                <w:rFonts w:cs="Calibri"/>
                <w:szCs w:val="18"/>
              </w:rPr>
              <w:t>650,1</w:t>
            </w:r>
          </w:p>
        </w:tc>
        <w:tc>
          <w:tcPr>
            <w:tcW w:w="3128" w:type="dxa"/>
            <w:noWrap/>
            <w:vAlign w:val="center"/>
            <w:hideMark/>
          </w:tcPr>
          <w:p w14:paraId="2CFD1C79" w14:textId="77777777" w:rsidR="008878A0" w:rsidRPr="008B454B" w:rsidRDefault="008878A0" w:rsidP="008B454B">
            <w:pPr>
              <w:jc w:val="right"/>
              <w:rPr>
                <w:i/>
                <w:iCs/>
                <w:szCs w:val="18"/>
              </w:rPr>
            </w:pPr>
            <w:r w:rsidRPr="008B454B">
              <w:rPr>
                <w:rFonts w:cs="Calibri"/>
                <w:szCs w:val="18"/>
              </w:rPr>
              <w:t>3387</w:t>
            </w:r>
          </w:p>
        </w:tc>
        <w:tc>
          <w:tcPr>
            <w:tcW w:w="1464" w:type="dxa"/>
            <w:tcBorders>
              <w:right w:val="single" w:sz="8" w:space="0" w:color="D2232A"/>
            </w:tcBorders>
            <w:noWrap/>
            <w:vAlign w:val="center"/>
            <w:hideMark/>
          </w:tcPr>
          <w:p w14:paraId="053A08A1" w14:textId="77777777" w:rsidR="008878A0" w:rsidRPr="008B454B" w:rsidRDefault="008878A0" w:rsidP="008B454B">
            <w:pPr>
              <w:jc w:val="right"/>
              <w:rPr>
                <w:i/>
                <w:iCs/>
                <w:szCs w:val="18"/>
              </w:rPr>
            </w:pPr>
            <w:r w:rsidRPr="008B454B">
              <w:rPr>
                <w:rFonts w:cs="Calibri"/>
                <w:szCs w:val="18"/>
              </w:rPr>
              <w:t>192</w:t>
            </w:r>
          </w:p>
        </w:tc>
      </w:tr>
      <w:tr w:rsidR="008B454B" w:rsidRPr="008B454B" w14:paraId="2A1A6AEA" w14:textId="77777777" w:rsidTr="000A346F">
        <w:trPr>
          <w:trHeight w:val="296"/>
        </w:trPr>
        <w:tc>
          <w:tcPr>
            <w:tcW w:w="1800" w:type="dxa"/>
            <w:shd w:val="clear" w:color="auto" w:fill="D2232A" w:themeFill="accent1"/>
            <w:noWrap/>
            <w:vAlign w:val="center"/>
            <w:hideMark/>
          </w:tcPr>
          <w:p w14:paraId="5AA75587"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Zabok</w:t>
            </w:r>
          </w:p>
        </w:tc>
        <w:tc>
          <w:tcPr>
            <w:tcW w:w="3142" w:type="dxa"/>
            <w:noWrap/>
            <w:vAlign w:val="center"/>
            <w:hideMark/>
          </w:tcPr>
          <w:p w14:paraId="60890E3B" w14:textId="77777777" w:rsidR="008878A0" w:rsidRPr="008B454B" w:rsidRDefault="008878A0" w:rsidP="008B454B">
            <w:pPr>
              <w:jc w:val="right"/>
              <w:rPr>
                <w:i/>
                <w:iCs/>
                <w:szCs w:val="18"/>
              </w:rPr>
            </w:pPr>
            <w:r w:rsidRPr="008B454B">
              <w:rPr>
                <w:rFonts w:cs="Calibri"/>
                <w:szCs w:val="18"/>
              </w:rPr>
              <w:t>1751,29</w:t>
            </w:r>
          </w:p>
        </w:tc>
        <w:tc>
          <w:tcPr>
            <w:tcW w:w="3128" w:type="dxa"/>
            <w:noWrap/>
            <w:vAlign w:val="center"/>
            <w:hideMark/>
          </w:tcPr>
          <w:p w14:paraId="04F3E6BF" w14:textId="77777777" w:rsidR="008878A0" w:rsidRPr="008B454B" w:rsidRDefault="008878A0" w:rsidP="008B454B">
            <w:pPr>
              <w:jc w:val="right"/>
              <w:rPr>
                <w:i/>
                <w:iCs/>
                <w:szCs w:val="18"/>
              </w:rPr>
            </w:pPr>
            <w:r w:rsidRPr="008B454B">
              <w:rPr>
                <w:rFonts w:cs="Calibri"/>
                <w:szCs w:val="18"/>
              </w:rPr>
              <w:t>8994</w:t>
            </w:r>
          </w:p>
        </w:tc>
        <w:tc>
          <w:tcPr>
            <w:tcW w:w="1464" w:type="dxa"/>
            <w:tcBorders>
              <w:right w:val="single" w:sz="8" w:space="0" w:color="D2232A"/>
            </w:tcBorders>
            <w:noWrap/>
            <w:vAlign w:val="center"/>
            <w:hideMark/>
          </w:tcPr>
          <w:p w14:paraId="1BE7E3CA" w14:textId="77777777" w:rsidR="008878A0" w:rsidRPr="008B454B" w:rsidRDefault="008878A0" w:rsidP="008B454B">
            <w:pPr>
              <w:jc w:val="right"/>
              <w:rPr>
                <w:i/>
                <w:iCs/>
                <w:szCs w:val="18"/>
              </w:rPr>
            </w:pPr>
            <w:r w:rsidRPr="008B454B">
              <w:rPr>
                <w:rFonts w:cs="Calibri"/>
                <w:szCs w:val="18"/>
              </w:rPr>
              <w:t>195</w:t>
            </w:r>
          </w:p>
        </w:tc>
      </w:tr>
      <w:tr w:rsidR="008B454B" w:rsidRPr="008B454B" w14:paraId="7B25D3EC" w14:textId="77777777" w:rsidTr="000A346F">
        <w:trPr>
          <w:trHeight w:val="296"/>
        </w:trPr>
        <w:tc>
          <w:tcPr>
            <w:tcW w:w="1800" w:type="dxa"/>
            <w:shd w:val="clear" w:color="auto" w:fill="D2232A" w:themeFill="accent1"/>
            <w:noWrap/>
            <w:vAlign w:val="center"/>
            <w:hideMark/>
          </w:tcPr>
          <w:p w14:paraId="52846521"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Zagorska Sela</w:t>
            </w:r>
          </w:p>
        </w:tc>
        <w:tc>
          <w:tcPr>
            <w:tcW w:w="3142" w:type="dxa"/>
            <w:noWrap/>
            <w:vAlign w:val="center"/>
            <w:hideMark/>
          </w:tcPr>
          <w:p w14:paraId="3C287FD3" w14:textId="77777777" w:rsidR="008878A0" w:rsidRPr="008B454B" w:rsidRDefault="008878A0" w:rsidP="008B454B">
            <w:pPr>
              <w:jc w:val="right"/>
              <w:rPr>
                <w:i/>
                <w:iCs/>
                <w:szCs w:val="18"/>
              </w:rPr>
            </w:pPr>
            <w:r w:rsidRPr="008B454B">
              <w:rPr>
                <w:rFonts w:cs="Calibri"/>
                <w:szCs w:val="18"/>
              </w:rPr>
              <w:t>216,94</w:t>
            </w:r>
          </w:p>
        </w:tc>
        <w:tc>
          <w:tcPr>
            <w:tcW w:w="3128" w:type="dxa"/>
            <w:noWrap/>
            <w:vAlign w:val="center"/>
            <w:hideMark/>
          </w:tcPr>
          <w:p w14:paraId="78BC9D83" w14:textId="77777777" w:rsidR="008878A0" w:rsidRPr="008B454B" w:rsidRDefault="008878A0" w:rsidP="008B454B">
            <w:pPr>
              <w:jc w:val="right"/>
              <w:rPr>
                <w:i/>
                <w:iCs/>
                <w:szCs w:val="18"/>
              </w:rPr>
            </w:pPr>
            <w:r w:rsidRPr="008B454B">
              <w:rPr>
                <w:rFonts w:cs="Calibri"/>
                <w:szCs w:val="18"/>
              </w:rPr>
              <w:t>996</w:t>
            </w:r>
          </w:p>
        </w:tc>
        <w:tc>
          <w:tcPr>
            <w:tcW w:w="1464" w:type="dxa"/>
            <w:tcBorders>
              <w:right w:val="single" w:sz="8" w:space="0" w:color="D2232A"/>
            </w:tcBorders>
            <w:noWrap/>
            <w:vAlign w:val="center"/>
            <w:hideMark/>
          </w:tcPr>
          <w:p w14:paraId="76F39EF3" w14:textId="77777777" w:rsidR="008878A0" w:rsidRPr="008B454B" w:rsidRDefault="008878A0" w:rsidP="008B454B">
            <w:pPr>
              <w:jc w:val="right"/>
              <w:rPr>
                <w:i/>
                <w:iCs/>
                <w:szCs w:val="18"/>
              </w:rPr>
            </w:pPr>
            <w:r w:rsidRPr="008B454B">
              <w:rPr>
                <w:rFonts w:cs="Calibri"/>
                <w:szCs w:val="18"/>
              </w:rPr>
              <w:t>218</w:t>
            </w:r>
          </w:p>
        </w:tc>
      </w:tr>
      <w:tr w:rsidR="008B454B" w:rsidRPr="008B454B" w14:paraId="0DA5E20A" w14:textId="77777777" w:rsidTr="000A346F">
        <w:trPr>
          <w:trHeight w:val="311"/>
        </w:trPr>
        <w:tc>
          <w:tcPr>
            <w:tcW w:w="1800" w:type="dxa"/>
            <w:shd w:val="clear" w:color="auto" w:fill="D2232A" w:themeFill="accent1"/>
            <w:noWrap/>
            <w:vAlign w:val="center"/>
            <w:hideMark/>
          </w:tcPr>
          <w:p w14:paraId="75400A7A" w14:textId="0AEFB94D" w:rsidR="008878A0" w:rsidRPr="008B454B" w:rsidRDefault="008878A0" w:rsidP="008B454B">
            <w:pPr>
              <w:jc w:val="left"/>
              <w:rPr>
                <w:b/>
                <w:bCs/>
                <w:i/>
                <w:iCs/>
                <w:color w:val="FFFFFF" w:themeColor="background1"/>
                <w:szCs w:val="18"/>
              </w:rPr>
            </w:pPr>
            <w:r w:rsidRPr="008B454B">
              <w:rPr>
                <w:rFonts w:cs="Calibri"/>
                <w:color w:val="FFFFFF" w:themeColor="background1"/>
                <w:szCs w:val="18"/>
              </w:rPr>
              <w:t>Oroslav</w:t>
            </w:r>
            <w:r w:rsidR="008B4864">
              <w:rPr>
                <w:rFonts w:cs="Calibri"/>
                <w:color w:val="FFFFFF" w:themeColor="background1"/>
                <w:szCs w:val="18"/>
              </w:rPr>
              <w:t>j</w:t>
            </w:r>
            <w:r w:rsidRPr="008B454B">
              <w:rPr>
                <w:rFonts w:cs="Calibri"/>
                <w:color w:val="FFFFFF" w:themeColor="background1"/>
                <w:szCs w:val="18"/>
              </w:rPr>
              <w:t>e</w:t>
            </w:r>
          </w:p>
        </w:tc>
        <w:tc>
          <w:tcPr>
            <w:tcW w:w="3142" w:type="dxa"/>
            <w:noWrap/>
            <w:vAlign w:val="center"/>
            <w:hideMark/>
          </w:tcPr>
          <w:p w14:paraId="34DEF35D" w14:textId="77777777" w:rsidR="008878A0" w:rsidRPr="008B454B" w:rsidRDefault="008878A0" w:rsidP="008B454B">
            <w:pPr>
              <w:jc w:val="right"/>
              <w:rPr>
                <w:i/>
                <w:iCs/>
                <w:szCs w:val="18"/>
              </w:rPr>
            </w:pPr>
            <w:r w:rsidRPr="008B454B">
              <w:rPr>
                <w:rFonts w:cs="Calibri"/>
                <w:szCs w:val="18"/>
              </w:rPr>
              <w:t>1402,87</w:t>
            </w:r>
          </w:p>
        </w:tc>
        <w:tc>
          <w:tcPr>
            <w:tcW w:w="3128" w:type="dxa"/>
            <w:noWrap/>
            <w:vAlign w:val="center"/>
            <w:hideMark/>
          </w:tcPr>
          <w:p w14:paraId="682B192A" w14:textId="77777777" w:rsidR="008878A0" w:rsidRPr="008B454B" w:rsidRDefault="008878A0" w:rsidP="008B454B">
            <w:pPr>
              <w:jc w:val="right"/>
              <w:rPr>
                <w:i/>
                <w:iCs/>
                <w:szCs w:val="18"/>
              </w:rPr>
            </w:pPr>
            <w:r w:rsidRPr="008B454B">
              <w:rPr>
                <w:rFonts w:cs="Calibri"/>
                <w:szCs w:val="18"/>
              </w:rPr>
              <w:t>6138</w:t>
            </w:r>
          </w:p>
        </w:tc>
        <w:tc>
          <w:tcPr>
            <w:tcW w:w="1464" w:type="dxa"/>
            <w:tcBorders>
              <w:right w:val="single" w:sz="8" w:space="0" w:color="D2232A"/>
            </w:tcBorders>
            <w:noWrap/>
            <w:vAlign w:val="center"/>
            <w:hideMark/>
          </w:tcPr>
          <w:p w14:paraId="58714D0D" w14:textId="77777777" w:rsidR="008878A0" w:rsidRPr="008B454B" w:rsidRDefault="008878A0" w:rsidP="008B454B">
            <w:pPr>
              <w:jc w:val="right"/>
              <w:rPr>
                <w:i/>
                <w:iCs/>
                <w:szCs w:val="18"/>
              </w:rPr>
            </w:pPr>
            <w:r w:rsidRPr="008B454B">
              <w:rPr>
                <w:rFonts w:cs="Calibri"/>
                <w:szCs w:val="18"/>
              </w:rPr>
              <w:t>229</w:t>
            </w:r>
          </w:p>
        </w:tc>
      </w:tr>
      <w:tr w:rsidR="008B454B" w:rsidRPr="008B454B" w14:paraId="0C94EBC5" w14:textId="77777777" w:rsidTr="000A346F">
        <w:trPr>
          <w:trHeight w:val="311"/>
        </w:trPr>
        <w:tc>
          <w:tcPr>
            <w:tcW w:w="1800" w:type="dxa"/>
            <w:shd w:val="clear" w:color="auto" w:fill="D2232A" w:themeFill="accent1"/>
            <w:noWrap/>
            <w:vAlign w:val="center"/>
            <w:hideMark/>
          </w:tcPr>
          <w:p w14:paraId="2FDD45D8"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Krapina</w:t>
            </w:r>
          </w:p>
        </w:tc>
        <w:tc>
          <w:tcPr>
            <w:tcW w:w="3142" w:type="dxa"/>
            <w:noWrap/>
            <w:vAlign w:val="center"/>
            <w:hideMark/>
          </w:tcPr>
          <w:p w14:paraId="56CD2963" w14:textId="77777777" w:rsidR="008878A0" w:rsidRPr="008B454B" w:rsidRDefault="008878A0" w:rsidP="008B454B">
            <w:pPr>
              <w:jc w:val="right"/>
              <w:rPr>
                <w:i/>
                <w:iCs/>
                <w:szCs w:val="18"/>
              </w:rPr>
            </w:pPr>
            <w:r w:rsidRPr="008B454B">
              <w:rPr>
                <w:rFonts w:cs="Calibri"/>
                <w:szCs w:val="18"/>
              </w:rPr>
              <w:t>3067,7</w:t>
            </w:r>
          </w:p>
        </w:tc>
        <w:tc>
          <w:tcPr>
            <w:tcW w:w="3128" w:type="dxa"/>
            <w:noWrap/>
            <w:vAlign w:val="center"/>
            <w:hideMark/>
          </w:tcPr>
          <w:p w14:paraId="17B9A477" w14:textId="77777777" w:rsidR="008878A0" w:rsidRPr="008B454B" w:rsidRDefault="008878A0" w:rsidP="008B454B">
            <w:pPr>
              <w:jc w:val="right"/>
              <w:rPr>
                <w:i/>
                <w:iCs/>
                <w:szCs w:val="18"/>
              </w:rPr>
            </w:pPr>
            <w:r w:rsidRPr="008B454B">
              <w:rPr>
                <w:rFonts w:cs="Calibri"/>
                <w:szCs w:val="18"/>
              </w:rPr>
              <w:t>12480</w:t>
            </w:r>
          </w:p>
        </w:tc>
        <w:tc>
          <w:tcPr>
            <w:tcW w:w="1464" w:type="dxa"/>
            <w:tcBorders>
              <w:right w:val="single" w:sz="8" w:space="0" w:color="D2232A"/>
            </w:tcBorders>
            <w:noWrap/>
            <w:vAlign w:val="center"/>
            <w:hideMark/>
          </w:tcPr>
          <w:p w14:paraId="47E7397A" w14:textId="77777777" w:rsidR="008878A0" w:rsidRPr="008B454B" w:rsidRDefault="008878A0" w:rsidP="008B454B">
            <w:pPr>
              <w:jc w:val="right"/>
              <w:rPr>
                <w:i/>
                <w:iCs/>
                <w:szCs w:val="18"/>
              </w:rPr>
            </w:pPr>
            <w:r w:rsidRPr="008B454B">
              <w:rPr>
                <w:rFonts w:cs="Calibri"/>
                <w:szCs w:val="18"/>
              </w:rPr>
              <w:t>246</w:t>
            </w:r>
          </w:p>
        </w:tc>
      </w:tr>
      <w:tr w:rsidR="008B454B" w:rsidRPr="008B454B" w14:paraId="3DE1213C" w14:textId="77777777" w:rsidTr="000A346F">
        <w:trPr>
          <w:trHeight w:val="296"/>
        </w:trPr>
        <w:tc>
          <w:tcPr>
            <w:tcW w:w="1800" w:type="dxa"/>
            <w:shd w:val="clear" w:color="auto" w:fill="D2232A" w:themeFill="accent1"/>
            <w:noWrap/>
            <w:vAlign w:val="center"/>
            <w:hideMark/>
          </w:tcPr>
          <w:p w14:paraId="48258E00"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Stubičke Toplice</w:t>
            </w:r>
          </w:p>
        </w:tc>
        <w:tc>
          <w:tcPr>
            <w:tcW w:w="3142" w:type="dxa"/>
            <w:noWrap/>
            <w:vAlign w:val="center"/>
            <w:hideMark/>
          </w:tcPr>
          <w:p w14:paraId="63C580FF" w14:textId="77777777" w:rsidR="008878A0" w:rsidRPr="008B454B" w:rsidRDefault="008878A0" w:rsidP="008B454B">
            <w:pPr>
              <w:jc w:val="right"/>
              <w:rPr>
                <w:i/>
                <w:iCs/>
                <w:szCs w:val="18"/>
              </w:rPr>
            </w:pPr>
            <w:r w:rsidRPr="008B454B">
              <w:rPr>
                <w:rFonts w:cs="Calibri"/>
                <w:szCs w:val="18"/>
              </w:rPr>
              <w:t>760,74</w:t>
            </w:r>
          </w:p>
        </w:tc>
        <w:tc>
          <w:tcPr>
            <w:tcW w:w="3128" w:type="dxa"/>
            <w:noWrap/>
            <w:vAlign w:val="center"/>
            <w:hideMark/>
          </w:tcPr>
          <w:p w14:paraId="2AF29F2A" w14:textId="77777777" w:rsidR="008878A0" w:rsidRPr="008B454B" w:rsidRDefault="008878A0" w:rsidP="008B454B">
            <w:pPr>
              <w:jc w:val="right"/>
              <w:rPr>
                <w:i/>
                <w:iCs/>
                <w:szCs w:val="18"/>
              </w:rPr>
            </w:pPr>
            <w:r w:rsidRPr="008B454B">
              <w:rPr>
                <w:rFonts w:cs="Calibri"/>
                <w:szCs w:val="18"/>
              </w:rPr>
              <w:t>2805</w:t>
            </w:r>
          </w:p>
        </w:tc>
        <w:tc>
          <w:tcPr>
            <w:tcW w:w="1464" w:type="dxa"/>
            <w:tcBorders>
              <w:right w:val="single" w:sz="8" w:space="0" w:color="D2232A"/>
            </w:tcBorders>
            <w:noWrap/>
            <w:vAlign w:val="center"/>
            <w:hideMark/>
          </w:tcPr>
          <w:p w14:paraId="38D0D0A5" w14:textId="77777777" w:rsidR="008878A0" w:rsidRPr="008B454B" w:rsidRDefault="008878A0" w:rsidP="008B454B">
            <w:pPr>
              <w:jc w:val="right"/>
              <w:rPr>
                <w:i/>
                <w:iCs/>
                <w:szCs w:val="18"/>
              </w:rPr>
            </w:pPr>
            <w:r w:rsidRPr="008B454B">
              <w:rPr>
                <w:rFonts w:cs="Calibri"/>
                <w:szCs w:val="18"/>
              </w:rPr>
              <w:t>271</w:t>
            </w:r>
          </w:p>
        </w:tc>
      </w:tr>
      <w:tr w:rsidR="008B454B" w:rsidRPr="008B454B" w14:paraId="7B254E86" w14:textId="77777777" w:rsidTr="000A346F">
        <w:trPr>
          <w:trHeight w:val="296"/>
        </w:trPr>
        <w:tc>
          <w:tcPr>
            <w:tcW w:w="1800" w:type="dxa"/>
            <w:shd w:val="clear" w:color="auto" w:fill="D2232A" w:themeFill="accent1"/>
            <w:noWrap/>
            <w:vAlign w:val="center"/>
            <w:hideMark/>
          </w:tcPr>
          <w:p w14:paraId="00C4C5BB"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Tuhelj</w:t>
            </w:r>
          </w:p>
        </w:tc>
        <w:tc>
          <w:tcPr>
            <w:tcW w:w="3142" w:type="dxa"/>
            <w:noWrap/>
            <w:vAlign w:val="center"/>
            <w:hideMark/>
          </w:tcPr>
          <w:p w14:paraId="17E23CA0" w14:textId="77777777" w:rsidR="008878A0" w:rsidRPr="008B454B" w:rsidRDefault="008878A0" w:rsidP="008B454B">
            <w:pPr>
              <w:jc w:val="right"/>
              <w:rPr>
                <w:i/>
                <w:iCs/>
                <w:szCs w:val="18"/>
              </w:rPr>
            </w:pPr>
            <w:r w:rsidRPr="008B454B">
              <w:rPr>
                <w:rFonts w:cs="Calibri"/>
                <w:szCs w:val="18"/>
              </w:rPr>
              <w:t>571,78</w:t>
            </w:r>
          </w:p>
        </w:tc>
        <w:tc>
          <w:tcPr>
            <w:tcW w:w="3128" w:type="dxa"/>
            <w:noWrap/>
            <w:vAlign w:val="center"/>
            <w:hideMark/>
          </w:tcPr>
          <w:p w14:paraId="5D3C879D" w14:textId="77777777" w:rsidR="008878A0" w:rsidRPr="008B454B" w:rsidRDefault="008878A0" w:rsidP="008B454B">
            <w:pPr>
              <w:jc w:val="right"/>
              <w:rPr>
                <w:i/>
                <w:iCs/>
                <w:szCs w:val="18"/>
              </w:rPr>
            </w:pPr>
            <w:r w:rsidRPr="008B454B">
              <w:rPr>
                <w:rFonts w:cs="Calibri"/>
                <w:szCs w:val="18"/>
              </w:rPr>
              <w:t>2104</w:t>
            </w:r>
          </w:p>
        </w:tc>
        <w:tc>
          <w:tcPr>
            <w:tcW w:w="1464" w:type="dxa"/>
            <w:tcBorders>
              <w:right w:val="single" w:sz="8" w:space="0" w:color="D2232A"/>
            </w:tcBorders>
            <w:noWrap/>
            <w:vAlign w:val="center"/>
            <w:hideMark/>
          </w:tcPr>
          <w:p w14:paraId="762B6DEF" w14:textId="77777777" w:rsidR="008878A0" w:rsidRPr="008B454B" w:rsidRDefault="008878A0" w:rsidP="008B454B">
            <w:pPr>
              <w:jc w:val="right"/>
              <w:rPr>
                <w:i/>
                <w:iCs/>
                <w:szCs w:val="18"/>
              </w:rPr>
            </w:pPr>
            <w:r w:rsidRPr="008B454B">
              <w:rPr>
                <w:rFonts w:cs="Calibri"/>
                <w:szCs w:val="18"/>
              </w:rPr>
              <w:t>272</w:t>
            </w:r>
          </w:p>
        </w:tc>
      </w:tr>
      <w:tr w:rsidR="008B454B" w:rsidRPr="008B454B" w14:paraId="6950A719" w14:textId="77777777" w:rsidTr="000A346F">
        <w:trPr>
          <w:trHeight w:val="311"/>
        </w:trPr>
        <w:tc>
          <w:tcPr>
            <w:tcW w:w="1800" w:type="dxa"/>
            <w:tcBorders>
              <w:bottom w:val="nil"/>
            </w:tcBorders>
            <w:shd w:val="clear" w:color="auto" w:fill="D2232A" w:themeFill="accent1"/>
            <w:noWrap/>
            <w:vAlign w:val="center"/>
            <w:hideMark/>
          </w:tcPr>
          <w:p w14:paraId="61426FAD" w14:textId="77777777" w:rsidR="008878A0" w:rsidRPr="008B454B" w:rsidRDefault="008878A0" w:rsidP="008B454B">
            <w:pPr>
              <w:jc w:val="left"/>
              <w:rPr>
                <w:b/>
                <w:bCs/>
                <w:i/>
                <w:iCs/>
                <w:color w:val="FFFFFF" w:themeColor="background1"/>
                <w:szCs w:val="18"/>
              </w:rPr>
            </w:pPr>
            <w:r w:rsidRPr="008B454B">
              <w:rPr>
                <w:rFonts w:cs="Calibri"/>
                <w:color w:val="FFFFFF" w:themeColor="background1"/>
                <w:szCs w:val="18"/>
              </w:rPr>
              <w:t>Hum na Sutli</w:t>
            </w:r>
          </w:p>
        </w:tc>
        <w:tc>
          <w:tcPr>
            <w:tcW w:w="3142" w:type="dxa"/>
            <w:tcBorders>
              <w:bottom w:val="nil"/>
            </w:tcBorders>
            <w:noWrap/>
            <w:vAlign w:val="center"/>
            <w:hideMark/>
          </w:tcPr>
          <w:p w14:paraId="4CC32992" w14:textId="77777777" w:rsidR="008878A0" w:rsidRPr="008B454B" w:rsidRDefault="008878A0" w:rsidP="008B454B">
            <w:pPr>
              <w:jc w:val="right"/>
              <w:rPr>
                <w:i/>
                <w:iCs/>
                <w:szCs w:val="18"/>
              </w:rPr>
            </w:pPr>
            <w:r w:rsidRPr="008B454B">
              <w:rPr>
                <w:rFonts w:cs="Calibri"/>
                <w:szCs w:val="18"/>
              </w:rPr>
              <w:t>1377,47</w:t>
            </w:r>
          </w:p>
        </w:tc>
        <w:tc>
          <w:tcPr>
            <w:tcW w:w="3128" w:type="dxa"/>
            <w:tcBorders>
              <w:bottom w:val="nil"/>
            </w:tcBorders>
            <w:noWrap/>
            <w:vAlign w:val="center"/>
            <w:hideMark/>
          </w:tcPr>
          <w:p w14:paraId="761EAB30" w14:textId="77777777" w:rsidR="008878A0" w:rsidRPr="008B454B" w:rsidRDefault="008878A0" w:rsidP="008B454B">
            <w:pPr>
              <w:jc w:val="right"/>
              <w:rPr>
                <w:i/>
                <w:iCs/>
                <w:szCs w:val="18"/>
              </w:rPr>
            </w:pPr>
            <w:r w:rsidRPr="008B454B">
              <w:rPr>
                <w:rFonts w:cs="Calibri"/>
                <w:szCs w:val="18"/>
              </w:rPr>
              <w:t>4500</w:t>
            </w:r>
          </w:p>
        </w:tc>
        <w:tc>
          <w:tcPr>
            <w:tcW w:w="1464" w:type="dxa"/>
            <w:tcBorders>
              <w:bottom w:val="nil"/>
              <w:right w:val="single" w:sz="8" w:space="0" w:color="D2232A"/>
            </w:tcBorders>
            <w:noWrap/>
            <w:vAlign w:val="center"/>
            <w:hideMark/>
          </w:tcPr>
          <w:p w14:paraId="119A58E3" w14:textId="77777777" w:rsidR="008878A0" w:rsidRPr="008B454B" w:rsidRDefault="008878A0" w:rsidP="008B454B">
            <w:pPr>
              <w:jc w:val="right"/>
              <w:rPr>
                <w:i/>
                <w:iCs/>
                <w:szCs w:val="18"/>
              </w:rPr>
            </w:pPr>
            <w:r w:rsidRPr="008B454B">
              <w:rPr>
                <w:rFonts w:cs="Calibri"/>
                <w:szCs w:val="18"/>
              </w:rPr>
              <w:t>306</w:t>
            </w:r>
          </w:p>
        </w:tc>
      </w:tr>
    </w:tbl>
    <w:p w14:paraId="2E22EF77" w14:textId="77777777" w:rsidR="008B454B" w:rsidRPr="00BD6B22" w:rsidRDefault="008878A0" w:rsidP="003C2276">
      <w:pPr>
        <w:pStyle w:val="Izvor"/>
        <w:rPr>
          <w:i/>
          <w:color w:val="ABABAB" w:themeColor="text1" w:themeTint="A6"/>
          <w:sz w:val="16"/>
          <w:szCs w:val="16"/>
        </w:rPr>
      </w:pPr>
      <w:r w:rsidRPr="00BD6B22">
        <w:rPr>
          <w:i/>
          <w:color w:val="ABABAB" w:themeColor="text1" w:themeTint="A6"/>
          <w:sz w:val="16"/>
          <w:szCs w:val="16"/>
        </w:rPr>
        <w:t>Izvor: Hrvatska agencija za okoliš i prirodu, Izvješće o komunalnom otpadu za 2017. godinu</w:t>
      </w:r>
    </w:p>
    <w:p w14:paraId="43C8A4F9" w14:textId="77777777" w:rsidR="001B403E" w:rsidRDefault="001B403E" w:rsidP="00941871"/>
    <w:p w14:paraId="3D6DCF00" w14:textId="4B5E31AE" w:rsidR="008878A0" w:rsidRPr="008B454B" w:rsidRDefault="008878A0" w:rsidP="00941871">
      <w:pPr>
        <w:rPr>
          <w:rFonts w:asciiTheme="minorHAnsi" w:hAnsiTheme="minorHAnsi"/>
          <w:i/>
          <w:iCs/>
          <w:sz w:val="22"/>
          <w:szCs w:val="22"/>
        </w:rPr>
      </w:pPr>
      <w:r>
        <w:t>Istovremeno, bilježi se značajan porast broja ostvarenih noćenja u Krapinsko-zagorskoj županiji</w:t>
      </w:r>
      <w:r w:rsidR="00AD6C47">
        <w:t xml:space="preserve"> </w:t>
      </w:r>
      <w:r>
        <w:t xml:space="preserve">te s tim povezane veće količine otpada koje generira ta grana djelatnosti. Agencija za zaštitu okoliša registrira podatke od 2014. godine, kada je broj ostvarenih </w:t>
      </w:r>
      <w:r>
        <w:lastRenderedPageBreak/>
        <w:t>noćenja iznosio 210.253. Do 2017. godine ta se brojka povećala za 85%</w:t>
      </w:r>
      <w:r w:rsidR="00D53D01">
        <w:t>, a</w:t>
      </w:r>
      <w:r>
        <w:t xml:space="preserve"> noćenja </w:t>
      </w:r>
      <w:r w:rsidR="00D53D01">
        <w:t>je bilo</w:t>
      </w:r>
      <w:r>
        <w:t xml:space="preserve"> 389.461. Količina proizvedenog otpada iz turizma porasla je s 129 tona u 2014. godini na 236 tona u 2017., </w:t>
      </w:r>
      <w:r w:rsidR="001403B0">
        <w:t xml:space="preserve">što je porast od </w:t>
      </w:r>
      <w:r>
        <w:t>82%</w:t>
      </w:r>
      <w:r w:rsidR="001403B0">
        <w:t>.</w:t>
      </w:r>
      <w:r>
        <w:t xml:space="preserve"> </w:t>
      </w:r>
    </w:p>
    <w:p w14:paraId="5C20463F" w14:textId="730253A7" w:rsidR="008878A0" w:rsidRDefault="00A22CC4" w:rsidP="00941871">
      <w:r>
        <w:t xml:space="preserve">Udio </w:t>
      </w:r>
      <w:r w:rsidR="008878A0">
        <w:t xml:space="preserve">miješanog komunalnog otpada u sakupljenom komunalnom otpadu u 2017. </w:t>
      </w:r>
      <w:r w:rsidR="009F1989">
        <w:t>g</w:t>
      </w:r>
      <w:r w:rsidR="008878A0">
        <w:t>odini</w:t>
      </w:r>
      <w:r>
        <w:t xml:space="preserve"> u</w:t>
      </w:r>
      <w:r w:rsidR="008878A0">
        <w:t xml:space="preserve"> Krapinsko-zagorsk</w:t>
      </w:r>
      <w:r>
        <w:t>oj</w:t>
      </w:r>
      <w:r w:rsidR="008878A0">
        <w:t xml:space="preserve"> </w:t>
      </w:r>
      <w:r>
        <w:t xml:space="preserve">županiji iznosi </w:t>
      </w:r>
      <w:r w:rsidR="008878A0">
        <w:t>83%</w:t>
      </w:r>
      <w:r>
        <w:t>.</w:t>
      </w:r>
      <w:r w:rsidR="008878A0">
        <w:t xml:space="preserve"> Najbolje rezultate ostvaruje Međimurska županija s 58%, dok su najlošiji zabilježeni u Zadarskoj, Šibensko-kninskoj, Lično-senjskoj i Virovitičko-podravskoj gdje je udio miješanog otpada čini 95% ukupnog. Podaci o pojedinima vrstama otpada dostupni su u tablici u nastavku.</w:t>
      </w:r>
    </w:p>
    <w:p w14:paraId="229AAD42" w14:textId="22F593BF" w:rsidR="001B403E" w:rsidRDefault="001B403E" w:rsidP="00941871"/>
    <w:p w14:paraId="5D33D6D8" w14:textId="6C753B51" w:rsidR="008878A0" w:rsidRDefault="008878A0" w:rsidP="003E3F3C">
      <w:pPr>
        <w:pStyle w:val="Opisslike"/>
      </w:pPr>
      <w:r>
        <w:t xml:space="preserve">Tablica </w:t>
      </w:r>
      <w:r w:rsidR="00BD6B22">
        <w:rPr>
          <w:noProof/>
        </w:rPr>
        <w:t>1</w:t>
      </w:r>
      <w:r w:rsidR="00741E4F">
        <w:rPr>
          <w:noProof/>
        </w:rPr>
        <w:t>75</w:t>
      </w:r>
      <w:r w:rsidR="00BD6B22">
        <w:rPr>
          <w:noProof/>
        </w:rPr>
        <w:t>.</w:t>
      </w:r>
      <w:r>
        <w:t xml:space="preserve"> Količine skupljenog otpada u tonama po vrstama otpada</w:t>
      </w:r>
      <w:r w:rsidR="0034369B">
        <w:t xml:space="preserve"> </w:t>
      </w:r>
      <w:r>
        <w:t>na području Krapinsko-zagorske županija</w:t>
      </w:r>
      <w:r w:rsidR="00AD6C47">
        <w:t>, 2012.- 2017.</w:t>
      </w:r>
    </w:p>
    <w:tbl>
      <w:tblPr>
        <w:tblW w:w="0" w:type="auto"/>
        <w:jc w:val="right"/>
        <w:tblBorders>
          <w:right w:val="single" w:sz="8" w:space="0" w:color="D2232A"/>
          <w:insideH w:val="single" w:sz="8" w:space="0" w:color="F3CFC1"/>
          <w:insideV w:val="single" w:sz="8" w:space="0" w:color="D2232A"/>
        </w:tblBorders>
        <w:tblLayout w:type="fixed"/>
        <w:tblLook w:val="04A0" w:firstRow="1" w:lastRow="0" w:firstColumn="1" w:lastColumn="0" w:noHBand="0" w:noVBand="1"/>
      </w:tblPr>
      <w:tblGrid>
        <w:gridCol w:w="993"/>
        <w:gridCol w:w="1346"/>
        <w:gridCol w:w="1347"/>
        <w:gridCol w:w="1346"/>
        <w:gridCol w:w="1347"/>
        <w:gridCol w:w="1346"/>
        <w:gridCol w:w="1347"/>
      </w:tblGrid>
      <w:tr w:rsidR="008878A0" w14:paraId="2FF9BC21" w14:textId="77777777" w:rsidTr="000A346F">
        <w:trPr>
          <w:trHeight w:val="283"/>
          <w:jc w:val="right"/>
        </w:trPr>
        <w:tc>
          <w:tcPr>
            <w:tcW w:w="993" w:type="dxa"/>
            <w:shd w:val="clear" w:color="auto" w:fill="D2232A" w:themeFill="accent1"/>
            <w:noWrap/>
            <w:vAlign w:val="center"/>
            <w:hideMark/>
          </w:tcPr>
          <w:p w14:paraId="28C61541" w14:textId="77777777" w:rsidR="008878A0" w:rsidRPr="008B454B" w:rsidRDefault="008878A0" w:rsidP="008B454B">
            <w:pPr>
              <w:spacing w:after="0"/>
              <w:jc w:val="center"/>
              <w:rPr>
                <w:b/>
                <w:bCs/>
                <w:iCs/>
                <w:color w:val="FFFFFF" w:themeColor="background1"/>
                <w:lang w:val="en-GB"/>
              </w:rPr>
            </w:pPr>
            <w:r w:rsidRPr="008B454B">
              <w:rPr>
                <w:b/>
                <w:bCs/>
                <w:iCs/>
                <w:color w:val="FFFFFF" w:themeColor="background1"/>
              </w:rPr>
              <w:t>Godina</w:t>
            </w:r>
          </w:p>
        </w:tc>
        <w:tc>
          <w:tcPr>
            <w:tcW w:w="1346" w:type="dxa"/>
            <w:shd w:val="clear" w:color="auto" w:fill="D2232A" w:themeFill="accent1"/>
            <w:noWrap/>
            <w:vAlign w:val="center"/>
            <w:hideMark/>
          </w:tcPr>
          <w:p w14:paraId="522A30F5" w14:textId="77777777" w:rsidR="008878A0" w:rsidRPr="008B454B" w:rsidRDefault="008878A0" w:rsidP="008B454B">
            <w:pPr>
              <w:spacing w:after="0"/>
              <w:jc w:val="right"/>
              <w:rPr>
                <w:b/>
                <w:bCs/>
                <w:iCs/>
                <w:color w:val="FFFFFF" w:themeColor="background1"/>
              </w:rPr>
            </w:pPr>
            <w:r w:rsidRPr="008B454B">
              <w:rPr>
                <w:b/>
                <w:bCs/>
                <w:iCs/>
                <w:color w:val="FFFFFF" w:themeColor="background1"/>
              </w:rPr>
              <w:t>Papir</w:t>
            </w:r>
          </w:p>
        </w:tc>
        <w:tc>
          <w:tcPr>
            <w:tcW w:w="1347" w:type="dxa"/>
            <w:shd w:val="clear" w:color="auto" w:fill="D2232A" w:themeFill="accent1"/>
            <w:noWrap/>
            <w:vAlign w:val="center"/>
            <w:hideMark/>
          </w:tcPr>
          <w:p w14:paraId="37A518BF" w14:textId="77777777" w:rsidR="008878A0" w:rsidRPr="008B454B" w:rsidRDefault="008878A0" w:rsidP="008B454B">
            <w:pPr>
              <w:spacing w:after="0"/>
              <w:jc w:val="right"/>
              <w:rPr>
                <w:b/>
                <w:bCs/>
                <w:iCs/>
                <w:color w:val="FFFFFF" w:themeColor="background1"/>
              </w:rPr>
            </w:pPr>
            <w:r w:rsidRPr="008B454B">
              <w:rPr>
                <w:b/>
                <w:bCs/>
                <w:iCs/>
                <w:color w:val="FFFFFF" w:themeColor="background1"/>
              </w:rPr>
              <w:t>Plastika</w:t>
            </w:r>
          </w:p>
        </w:tc>
        <w:tc>
          <w:tcPr>
            <w:tcW w:w="1346" w:type="dxa"/>
            <w:shd w:val="clear" w:color="auto" w:fill="D2232A" w:themeFill="accent1"/>
            <w:noWrap/>
            <w:vAlign w:val="center"/>
            <w:hideMark/>
          </w:tcPr>
          <w:p w14:paraId="53B326E2" w14:textId="77777777" w:rsidR="008878A0" w:rsidRPr="008B454B" w:rsidRDefault="008878A0" w:rsidP="008B454B">
            <w:pPr>
              <w:spacing w:after="0"/>
              <w:jc w:val="right"/>
              <w:rPr>
                <w:b/>
                <w:bCs/>
                <w:iCs/>
                <w:color w:val="FFFFFF" w:themeColor="background1"/>
              </w:rPr>
            </w:pPr>
            <w:r w:rsidRPr="008B454B">
              <w:rPr>
                <w:b/>
                <w:bCs/>
                <w:iCs/>
                <w:color w:val="FFFFFF" w:themeColor="background1"/>
              </w:rPr>
              <w:t>Metal</w:t>
            </w:r>
          </w:p>
        </w:tc>
        <w:tc>
          <w:tcPr>
            <w:tcW w:w="1347" w:type="dxa"/>
            <w:shd w:val="clear" w:color="auto" w:fill="D2232A" w:themeFill="accent1"/>
            <w:noWrap/>
            <w:vAlign w:val="center"/>
            <w:hideMark/>
          </w:tcPr>
          <w:p w14:paraId="1AE7A197" w14:textId="77777777" w:rsidR="008878A0" w:rsidRPr="008B454B" w:rsidRDefault="008878A0" w:rsidP="008B454B">
            <w:pPr>
              <w:spacing w:after="0"/>
              <w:jc w:val="right"/>
              <w:rPr>
                <w:b/>
                <w:bCs/>
                <w:iCs/>
                <w:color w:val="FFFFFF" w:themeColor="background1"/>
              </w:rPr>
            </w:pPr>
            <w:r w:rsidRPr="008B454B">
              <w:rPr>
                <w:b/>
                <w:bCs/>
                <w:iCs/>
                <w:color w:val="FFFFFF" w:themeColor="background1"/>
              </w:rPr>
              <w:t>Staklo</w:t>
            </w:r>
          </w:p>
        </w:tc>
        <w:tc>
          <w:tcPr>
            <w:tcW w:w="1346" w:type="dxa"/>
            <w:shd w:val="clear" w:color="auto" w:fill="D2232A" w:themeFill="accent1"/>
            <w:noWrap/>
            <w:vAlign w:val="center"/>
            <w:hideMark/>
          </w:tcPr>
          <w:p w14:paraId="432EF080" w14:textId="77777777" w:rsidR="008878A0" w:rsidRPr="008B454B" w:rsidRDefault="008878A0" w:rsidP="008B454B">
            <w:pPr>
              <w:spacing w:after="0"/>
              <w:jc w:val="right"/>
              <w:rPr>
                <w:b/>
                <w:bCs/>
                <w:iCs/>
                <w:color w:val="FFFFFF" w:themeColor="background1"/>
              </w:rPr>
            </w:pPr>
            <w:r w:rsidRPr="008B454B">
              <w:rPr>
                <w:b/>
                <w:bCs/>
                <w:iCs/>
                <w:color w:val="FFFFFF" w:themeColor="background1"/>
              </w:rPr>
              <w:t>Glomazni otpad</w:t>
            </w:r>
          </w:p>
        </w:tc>
        <w:tc>
          <w:tcPr>
            <w:tcW w:w="1347" w:type="dxa"/>
            <w:shd w:val="clear" w:color="auto" w:fill="D2232A" w:themeFill="accent1"/>
            <w:noWrap/>
            <w:vAlign w:val="center"/>
            <w:hideMark/>
          </w:tcPr>
          <w:p w14:paraId="7ACD45BF" w14:textId="77777777" w:rsidR="008878A0" w:rsidRPr="008B454B" w:rsidRDefault="008878A0" w:rsidP="008B454B">
            <w:pPr>
              <w:spacing w:after="0"/>
              <w:jc w:val="right"/>
              <w:rPr>
                <w:b/>
                <w:bCs/>
                <w:iCs/>
                <w:color w:val="FFFFFF" w:themeColor="background1"/>
              </w:rPr>
            </w:pPr>
            <w:r w:rsidRPr="008B454B">
              <w:rPr>
                <w:b/>
                <w:bCs/>
                <w:iCs/>
                <w:color w:val="FFFFFF" w:themeColor="background1"/>
              </w:rPr>
              <w:t>Tekstil</w:t>
            </w:r>
          </w:p>
        </w:tc>
      </w:tr>
      <w:tr w:rsidR="008878A0" w14:paraId="6783252D" w14:textId="77777777" w:rsidTr="000A346F">
        <w:trPr>
          <w:trHeight w:val="283"/>
          <w:jc w:val="right"/>
        </w:trPr>
        <w:tc>
          <w:tcPr>
            <w:tcW w:w="993" w:type="dxa"/>
            <w:noWrap/>
            <w:hideMark/>
          </w:tcPr>
          <w:p w14:paraId="1AB30EB0" w14:textId="77777777" w:rsidR="008878A0" w:rsidRPr="008B454B" w:rsidRDefault="008878A0" w:rsidP="008B454B">
            <w:pPr>
              <w:spacing w:after="0"/>
              <w:jc w:val="center"/>
              <w:rPr>
                <w:b/>
                <w:bCs/>
                <w:iCs/>
              </w:rPr>
            </w:pPr>
            <w:r w:rsidRPr="008B454B">
              <w:rPr>
                <w:b/>
                <w:bCs/>
                <w:iCs/>
              </w:rPr>
              <w:t>2012.</w:t>
            </w:r>
          </w:p>
        </w:tc>
        <w:tc>
          <w:tcPr>
            <w:tcW w:w="1346" w:type="dxa"/>
            <w:noWrap/>
            <w:hideMark/>
          </w:tcPr>
          <w:p w14:paraId="62474177" w14:textId="77777777" w:rsidR="008878A0" w:rsidRPr="008B454B" w:rsidRDefault="008878A0" w:rsidP="008B454B">
            <w:pPr>
              <w:spacing w:after="0"/>
              <w:jc w:val="right"/>
              <w:rPr>
                <w:iCs/>
              </w:rPr>
            </w:pPr>
            <w:r w:rsidRPr="008B454B">
              <w:rPr>
                <w:iCs/>
              </w:rPr>
              <w:t>221</w:t>
            </w:r>
          </w:p>
        </w:tc>
        <w:tc>
          <w:tcPr>
            <w:tcW w:w="1347" w:type="dxa"/>
            <w:noWrap/>
            <w:hideMark/>
          </w:tcPr>
          <w:p w14:paraId="62A74FAA" w14:textId="77777777" w:rsidR="008878A0" w:rsidRPr="008B454B" w:rsidRDefault="008878A0" w:rsidP="008B454B">
            <w:pPr>
              <w:spacing w:after="0"/>
              <w:jc w:val="right"/>
              <w:rPr>
                <w:iCs/>
              </w:rPr>
            </w:pPr>
            <w:r w:rsidRPr="008B454B">
              <w:rPr>
                <w:iCs/>
              </w:rPr>
              <w:t>139</w:t>
            </w:r>
          </w:p>
        </w:tc>
        <w:tc>
          <w:tcPr>
            <w:tcW w:w="1346" w:type="dxa"/>
            <w:noWrap/>
            <w:hideMark/>
          </w:tcPr>
          <w:p w14:paraId="47A81A01" w14:textId="77777777" w:rsidR="008878A0" w:rsidRPr="008B454B" w:rsidRDefault="008878A0" w:rsidP="008B454B">
            <w:pPr>
              <w:spacing w:after="0"/>
              <w:jc w:val="right"/>
              <w:rPr>
                <w:iCs/>
              </w:rPr>
            </w:pPr>
            <w:r w:rsidRPr="008B454B">
              <w:rPr>
                <w:iCs/>
              </w:rPr>
              <w:t>20</w:t>
            </w:r>
          </w:p>
        </w:tc>
        <w:tc>
          <w:tcPr>
            <w:tcW w:w="1347" w:type="dxa"/>
            <w:noWrap/>
            <w:hideMark/>
          </w:tcPr>
          <w:p w14:paraId="16FA6BC3" w14:textId="77777777" w:rsidR="008878A0" w:rsidRPr="008B454B" w:rsidRDefault="008878A0" w:rsidP="008B454B">
            <w:pPr>
              <w:spacing w:after="0"/>
              <w:jc w:val="right"/>
              <w:rPr>
                <w:iCs/>
              </w:rPr>
            </w:pPr>
            <w:r w:rsidRPr="008B454B">
              <w:rPr>
                <w:iCs/>
              </w:rPr>
              <w:t>232</w:t>
            </w:r>
          </w:p>
        </w:tc>
        <w:tc>
          <w:tcPr>
            <w:tcW w:w="1346" w:type="dxa"/>
            <w:noWrap/>
            <w:hideMark/>
          </w:tcPr>
          <w:p w14:paraId="2004D1B0" w14:textId="77777777" w:rsidR="008878A0" w:rsidRPr="008B454B" w:rsidRDefault="008878A0" w:rsidP="008B454B">
            <w:pPr>
              <w:spacing w:after="0"/>
              <w:jc w:val="right"/>
              <w:rPr>
                <w:iCs/>
              </w:rPr>
            </w:pPr>
            <w:r w:rsidRPr="008B454B">
              <w:rPr>
                <w:iCs/>
              </w:rPr>
              <w:t>1102</w:t>
            </w:r>
          </w:p>
        </w:tc>
        <w:tc>
          <w:tcPr>
            <w:tcW w:w="1347" w:type="dxa"/>
            <w:noWrap/>
            <w:hideMark/>
          </w:tcPr>
          <w:p w14:paraId="73ED091A" w14:textId="77777777" w:rsidR="008878A0" w:rsidRPr="008B454B" w:rsidRDefault="008878A0" w:rsidP="008B454B">
            <w:pPr>
              <w:spacing w:after="0"/>
              <w:jc w:val="right"/>
              <w:rPr>
                <w:iCs/>
              </w:rPr>
            </w:pPr>
            <w:r w:rsidRPr="008B454B">
              <w:rPr>
                <w:rFonts w:ascii="Calibri" w:hAnsi="Calibri" w:cs="Calibri"/>
                <w:iCs/>
              </w:rPr>
              <w:t> </w:t>
            </w:r>
          </w:p>
        </w:tc>
      </w:tr>
      <w:tr w:rsidR="008878A0" w14:paraId="44DC796D" w14:textId="77777777" w:rsidTr="000A346F">
        <w:trPr>
          <w:trHeight w:val="283"/>
          <w:jc w:val="right"/>
        </w:trPr>
        <w:tc>
          <w:tcPr>
            <w:tcW w:w="993" w:type="dxa"/>
            <w:noWrap/>
            <w:hideMark/>
          </w:tcPr>
          <w:p w14:paraId="2D361D92" w14:textId="77777777" w:rsidR="008878A0" w:rsidRPr="008B454B" w:rsidRDefault="008878A0" w:rsidP="008B454B">
            <w:pPr>
              <w:spacing w:after="0"/>
              <w:jc w:val="center"/>
              <w:rPr>
                <w:b/>
                <w:bCs/>
                <w:iCs/>
              </w:rPr>
            </w:pPr>
            <w:r w:rsidRPr="008B454B">
              <w:rPr>
                <w:b/>
                <w:bCs/>
                <w:iCs/>
              </w:rPr>
              <w:t>2013.</w:t>
            </w:r>
          </w:p>
        </w:tc>
        <w:tc>
          <w:tcPr>
            <w:tcW w:w="1346" w:type="dxa"/>
            <w:noWrap/>
            <w:hideMark/>
          </w:tcPr>
          <w:p w14:paraId="101924F0" w14:textId="77777777" w:rsidR="008878A0" w:rsidRPr="008B454B" w:rsidRDefault="008878A0" w:rsidP="008B454B">
            <w:pPr>
              <w:spacing w:after="0"/>
              <w:jc w:val="right"/>
              <w:rPr>
                <w:iCs/>
              </w:rPr>
            </w:pPr>
            <w:r w:rsidRPr="008B454B">
              <w:rPr>
                <w:iCs/>
              </w:rPr>
              <w:t>216</w:t>
            </w:r>
          </w:p>
        </w:tc>
        <w:tc>
          <w:tcPr>
            <w:tcW w:w="1347" w:type="dxa"/>
            <w:noWrap/>
            <w:hideMark/>
          </w:tcPr>
          <w:p w14:paraId="2FAAB5D3" w14:textId="77777777" w:rsidR="008878A0" w:rsidRPr="008B454B" w:rsidRDefault="008878A0" w:rsidP="008B454B">
            <w:pPr>
              <w:spacing w:after="0"/>
              <w:jc w:val="right"/>
              <w:rPr>
                <w:iCs/>
              </w:rPr>
            </w:pPr>
            <w:r w:rsidRPr="008B454B">
              <w:rPr>
                <w:iCs/>
              </w:rPr>
              <w:t>339</w:t>
            </w:r>
          </w:p>
        </w:tc>
        <w:tc>
          <w:tcPr>
            <w:tcW w:w="1346" w:type="dxa"/>
            <w:noWrap/>
            <w:hideMark/>
          </w:tcPr>
          <w:p w14:paraId="430E20B1" w14:textId="77777777" w:rsidR="008878A0" w:rsidRPr="008B454B" w:rsidRDefault="008878A0" w:rsidP="008B454B">
            <w:pPr>
              <w:spacing w:after="0"/>
              <w:jc w:val="right"/>
              <w:rPr>
                <w:iCs/>
              </w:rPr>
            </w:pPr>
            <w:r w:rsidRPr="008B454B">
              <w:rPr>
                <w:iCs/>
              </w:rPr>
              <w:t>366</w:t>
            </w:r>
          </w:p>
        </w:tc>
        <w:tc>
          <w:tcPr>
            <w:tcW w:w="1347" w:type="dxa"/>
            <w:noWrap/>
            <w:hideMark/>
          </w:tcPr>
          <w:p w14:paraId="1008F341" w14:textId="77777777" w:rsidR="008878A0" w:rsidRPr="008B454B" w:rsidRDefault="008878A0" w:rsidP="008B454B">
            <w:pPr>
              <w:spacing w:after="0"/>
              <w:jc w:val="right"/>
              <w:rPr>
                <w:iCs/>
              </w:rPr>
            </w:pPr>
            <w:r w:rsidRPr="008B454B">
              <w:rPr>
                <w:iCs/>
              </w:rPr>
              <w:t>265</w:t>
            </w:r>
          </w:p>
        </w:tc>
        <w:tc>
          <w:tcPr>
            <w:tcW w:w="1346" w:type="dxa"/>
            <w:noWrap/>
            <w:hideMark/>
          </w:tcPr>
          <w:p w14:paraId="4268CCFF" w14:textId="77777777" w:rsidR="008878A0" w:rsidRPr="008B454B" w:rsidRDefault="008878A0" w:rsidP="008B454B">
            <w:pPr>
              <w:spacing w:after="0"/>
              <w:jc w:val="right"/>
              <w:rPr>
                <w:iCs/>
              </w:rPr>
            </w:pPr>
            <w:r w:rsidRPr="008B454B">
              <w:rPr>
                <w:iCs/>
              </w:rPr>
              <w:t>1443</w:t>
            </w:r>
          </w:p>
        </w:tc>
        <w:tc>
          <w:tcPr>
            <w:tcW w:w="1347" w:type="dxa"/>
            <w:noWrap/>
            <w:hideMark/>
          </w:tcPr>
          <w:p w14:paraId="498D17F2" w14:textId="77777777" w:rsidR="008878A0" w:rsidRPr="008B454B" w:rsidRDefault="008878A0" w:rsidP="008B454B">
            <w:pPr>
              <w:spacing w:after="0"/>
              <w:jc w:val="right"/>
              <w:rPr>
                <w:iCs/>
              </w:rPr>
            </w:pPr>
            <w:r w:rsidRPr="008B454B">
              <w:rPr>
                <w:iCs/>
              </w:rPr>
              <w:t>10</w:t>
            </w:r>
          </w:p>
        </w:tc>
      </w:tr>
      <w:tr w:rsidR="008878A0" w14:paraId="77F2A1FB" w14:textId="77777777" w:rsidTr="000A346F">
        <w:trPr>
          <w:trHeight w:val="283"/>
          <w:jc w:val="right"/>
        </w:trPr>
        <w:tc>
          <w:tcPr>
            <w:tcW w:w="993" w:type="dxa"/>
            <w:noWrap/>
            <w:hideMark/>
          </w:tcPr>
          <w:p w14:paraId="592B349F" w14:textId="77777777" w:rsidR="008878A0" w:rsidRPr="008B454B" w:rsidRDefault="008878A0" w:rsidP="008B454B">
            <w:pPr>
              <w:spacing w:after="0"/>
              <w:jc w:val="center"/>
              <w:rPr>
                <w:b/>
                <w:bCs/>
                <w:iCs/>
              </w:rPr>
            </w:pPr>
            <w:r w:rsidRPr="008B454B">
              <w:rPr>
                <w:b/>
                <w:bCs/>
                <w:iCs/>
              </w:rPr>
              <w:t>2014.</w:t>
            </w:r>
          </w:p>
        </w:tc>
        <w:tc>
          <w:tcPr>
            <w:tcW w:w="1346" w:type="dxa"/>
            <w:noWrap/>
            <w:hideMark/>
          </w:tcPr>
          <w:p w14:paraId="698E926C" w14:textId="77777777" w:rsidR="008878A0" w:rsidRPr="008B454B" w:rsidRDefault="008878A0" w:rsidP="008B454B">
            <w:pPr>
              <w:spacing w:after="0"/>
              <w:jc w:val="right"/>
              <w:rPr>
                <w:iCs/>
              </w:rPr>
            </w:pPr>
            <w:r w:rsidRPr="008B454B">
              <w:rPr>
                <w:iCs/>
              </w:rPr>
              <w:t>711</w:t>
            </w:r>
          </w:p>
        </w:tc>
        <w:tc>
          <w:tcPr>
            <w:tcW w:w="1347" w:type="dxa"/>
            <w:noWrap/>
            <w:hideMark/>
          </w:tcPr>
          <w:p w14:paraId="1D943132" w14:textId="77777777" w:rsidR="008878A0" w:rsidRPr="008B454B" w:rsidRDefault="008878A0" w:rsidP="008B454B">
            <w:pPr>
              <w:spacing w:after="0"/>
              <w:jc w:val="right"/>
              <w:rPr>
                <w:iCs/>
              </w:rPr>
            </w:pPr>
            <w:r w:rsidRPr="008B454B">
              <w:rPr>
                <w:iCs/>
              </w:rPr>
              <w:t>406</w:t>
            </w:r>
          </w:p>
        </w:tc>
        <w:tc>
          <w:tcPr>
            <w:tcW w:w="1346" w:type="dxa"/>
            <w:noWrap/>
            <w:hideMark/>
          </w:tcPr>
          <w:p w14:paraId="59301D95" w14:textId="77777777" w:rsidR="008878A0" w:rsidRPr="008B454B" w:rsidRDefault="008878A0" w:rsidP="008B454B">
            <w:pPr>
              <w:spacing w:after="0"/>
              <w:jc w:val="right"/>
              <w:rPr>
                <w:iCs/>
              </w:rPr>
            </w:pPr>
            <w:r w:rsidRPr="008B454B">
              <w:rPr>
                <w:iCs/>
              </w:rPr>
              <w:t>17</w:t>
            </w:r>
          </w:p>
        </w:tc>
        <w:tc>
          <w:tcPr>
            <w:tcW w:w="1347" w:type="dxa"/>
            <w:noWrap/>
            <w:hideMark/>
          </w:tcPr>
          <w:p w14:paraId="25EBD5D7" w14:textId="77777777" w:rsidR="008878A0" w:rsidRPr="008B454B" w:rsidRDefault="008878A0" w:rsidP="008B454B">
            <w:pPr>
              <w:spacing w:after="0"/>
              <w:jc w:val="right"/>
              <w:rPr>
                <w:iCs/>
              </w:rPr>
            </w:pPr>
            <w:r w:rsidRPr="008B454B">
              <w:rPr>
                <w:iCs/>
              </w:rPr>
              <w:t>215</w:t>
            </w:r>
          </w:p>
        </w:tc>
        <w:tc>
          <w:tcPr>
            <w:tcW w:w="1346" w:type="dxa"/>
            <w:noWrap/>
            <w:hideMark/>
          </w:tcPr>
          <w:p w14:paraId="6377647B" w14:textId="77777777" w:rsidR="008878A0" w:rsidRPr="008B454B" w:rsidRDefault="008878A0" w:rsidP="008B454B">
            <w:pPr>
              <w:spacing w:after="0"/>
              <w:jc w:val="right"/>
              <w:rPr>
                <w:iCs/>
              </w:rPr>
            </w:pPr>
            <w:r w:rsidRPr="008B454B">
              <w:rPr>
                <w:iCs/>
              </w:rPr>
              <w:t>306</w:t>
            </w:r>
          </w:p>
        </w:tc>
        <w:tc>
          <w:tcPr>
            <w:tcW w:w="1347" w:type="dxa"/>
            <w:noWrap/>
            <w:hideMark/>
          </w:tcPr>
          <w:p w14:paraId="7656B88B" w14:textId="77777777" w:rsidR="008878A0" w:rsidRPr="008B454B" w:rsidRDefault="008878A0" w:rsidP="008B454B">
            <w:pPr>
              <w:spacing w:after="0"/>
              <w:jc w:val="right"/>
              <w:rPr>
                <w:iCs/>
              </w:rPr>
            </w:pPr>
            <w:r w:rsidRPr="008B454B">
              <w:rPr>
                <w:iCs/>
              </w:rPr>
              <w:t>21</w:t>
            </w:r>
          </w:p>
        </w:tc>
      </w:tr>
      <w:tr w:rsidR="008878A0" w14:paraId="430D7ACD" w14:textId="77777777" w:rsidTr="000A346F">
        <w:trPr>
          <w:trHeight w:val="283"/>
          <w:jc w:val="right"/>
        </w:trPr>
        <w:tc>
          <w:tcPr>
            <w:tcW w:w="993" w:type="dxa"/>
            <w:noWrap/>
            <w:hideMark/>
          </w:tcPr>
          <w:p w14:paraId="323D1332" w14:textId="77777777" w:rsidR="008878A0" w:rsidRPr="008B454B" w:rsidRDefault="008878A0" w:rsidP="008B454B">
            <w:pPr>
              <w:spacing w:after="0"/>
              <w:jc w:val="center"/>
              <w:rPr>
                <w:b/>
                <w:bCs/>
                <w:iCs/>
              </w:rPr>
            </w:pPr>
            <w:r w:rsidRPr="008B454B">
              <w:rPr>
                <w:b/>
                <w:bCs/>
                <w:iCs/>
              </w:rPr>
              <w:t>2015.</w:t>
            </w:r>
          </w:p>
        </w:tc>
        <w:tc>
          <w:tcPr>
            <w:tcW w:w="1346" w:type="dxa"/>
            <w:noWrap/>
            <w:hideMark/>
          </w:tcPr>
          <w:p w14:paraId="6C162620" w14:textId="77777777" w:rsidR="008878A0" w:rsidRPr="008B454B" w:rsidRDefault="008878A0" w:rsidP="008B454B">
            <w:pPr>
              <w:spacing w:after="0"/>
              <w:jc w:val="right"/>
              <w:rPr>
                <w:iCs/>
              </w:rPr>
            </w:pPr>
            <w:r w:rsidRPr="008B454B">
              <w:rPr>
                <w:iCs/>
              </w:rPr>
              <w:t>485</w:t>
            </w:r>
          </w:p>
        </w:tc>
        <w:tc>
          <w:tcPr>
            <w:tcW w:w="1347" w:type="dxa"/>
            <w:noWrap/>
            <w:hideMark/>
          </w:tcPr>
          <w:p w14:paraId="28C185F9" w14:textId="77777777" w:rsidR="008878A0" w:rsidRPr="008B454B" w:rsidRDefault="008878A0" w:rsidP="008B454B">
            <w:pPr>
              <w:spacing w:after="0"/>
              <w:jc w:val="right"/>
              <w:rPr>
                <w:iCs/>
              </w:rPr>
            </w:pPr>
            <w:r w:rsidRPr="008B454B">
              <w:rPr>
                <w:iCs/>
              </w:rPr>
              <w:t>552</w:t>
            </w:r>
          </w:p>
        </w:tc>
        <w:tc>
          <w:tcPr>
            <w:tcW w:w="1346" w:type="dxa"/>
            <w:noWrap/>
            <w:hideMark/>
          </w:tcPr>
          <w:p w14:paraId="233D6E1C" w14:textId="77777777" w:rsidR="008878A0" w:rsidRPr="008B454B" w:rsidRDefault="008878A0" w:rsidP="008B454B">
            <w:pPr>
              <w:spacing w:after="0"/>
              <w:jc w:val="right"/>
              <w:rPr>
                <w:iCs/>
              </w:rPr>
            </w:pPr>
            <w:r w:rsidRPr="008B454B">
              <w:rPr>
                <w:iCs/>
              </w:rPr>
              <w:t>2</w:t>
            </w:r>
          </w:p>
        </w:tc>
        <w:tc>
          <w:tcPr>
            <w:tcW w:w="1347" w:type="dxa"/>
            <w:noWrap/>
            <w:hideMark/>
          </w:tcPr>
          <w:p w14:paraId="06B5FB0C" w14:textId="77777777" w:rsidR="008878A0" w:rsidRPr="008B454B" w:rsidRDefault="008878A0" w:rsidP="008B454B">
            <w:pPr>
              <w:spacing w:after="0"/>
              <w:jc w:val="right"/>
              <w:rPr>
                <w:iCs/>
              </w:rPr>
            </w:pPr>
            <w:r w:rsidRPr="008B454B">
              <w:rPr>
                <w:iCs/>
              </w:rPr>
              <w:t>122</w:t>
            </w:r>
          </w:p>
        </w:tc>
        <w:tc>
          <w:tcPr>
            <w:tcW w:w="1346" w:type="dxa"/>
            <w:noWrap/>
            <w:hideMark/>
          </w:tcPr>
          <w:p w14:paraId="0E6CAACB" w14:textId="77777777" w:rsidR="008878A0" w:rsidRPr="008B454B" w:rsidRDefault="008878A0" w:rsidP="008B454B">
            <w:pPr>
              <w:spacing w:after="0"/>
              <w:jc w:val="right"/>
              <w:rPr>
                <w:iCs/>
              </w:rPr>
            </w:pPr>
            <w:r w:rsidRPr="008B454B">
              <w:rPr>
                <w:iCs/>
              </w:rPr>
              <w:t>312</w:t>
            </w:r>
          </w:p>
        </w:tc>
        <w:tc>
          <w:tcPr>
            <w:tcW w:w="1347" w:type="dxa"/>
            <w:noWrap/>
            <w:hideMark/>
          </w:tcPr>
          <w:p w14:paraId="79E0E065" w14:textId="77777777" w:rsidR="008878A0" w:rsidRPr="008B454B" w:rsidRDefault="008878A0" w:rsidP="008B454B">
            <w:pPr>
              <w:spacing w:after="0"/>
              <w:jc w:val="right"/>
              <w:rPr>
                <w:iCs/>
              </w:rPr>
            </w:pPr>
            <w:r w:rsidRPr="008B454B">
              <w:rPr>
                <w:iCs/>
              </w:rPr>
              <w:t>10</w:t>
            </w:r>
          </w:p>
        </w:tc>
      </w:tr>
      <w:tr w:rsidR="008878A0" w14:paraId="51438F03" w14:textId="77777777" w:rsidTr="000A346F">
        <w:trPr>
          <w:trHeight w:val="283"/>
          <w:jc w:val="right"/>
        </w:trPr>
        <w:tc>
          <w:tcPr>
            <w:tcW w:w="993" w:type="dxa"/>
            <w:noWrap/>
            <w:hideMark/>
          </w:tcPr>
          <w:p w14:paraId="772CEAE7" w14:textId="77777777" w:rsidR="008878A0" w:rsidRPr="008B454B" w:rsidRDefault="008878A0" w:rsidP="008B454B">
            <w:pPr>
              <w:spacing w:after="0"/>
              <w:jc w:val="center"/>
              <w:rPr>
                <w:b/>
                <w:bCs/>
                <w:iCs/>
              </w:rPr>
            </w:pPr>
            <w:r w:rsidRPr="008B454B">
              <w:rPr>
                <w:b/>
                <w:bCs/>
                <w:iCs/>
              </w:rPr>
              <w:t>2016.</w:t>
            </w:r>
          </w:p>
        </w:tc>
        <w:tc>
          <w:tcPr>
            <w:tcW w:w="1346" w:type="dxa"/>
            <w:noWrap/>
            <w:hideMark/>
          </w:tcPr>
          <w:p w14:paraId="113C975B" w14:textId="77777777" w:rsidR="008878A0" w:rsidRPr="008B454B" w:rsidRDefault="008878A0" w:rsidP="008B454B">
            <w:pPr>
              <w:spacing w:after="0"/>
              <w:jc w:val="right"/>
              <w:rPr>
                <w:iCs/>
              </w:rPr>
            </w:pPr>
            <w:r w:rsidRPr="008B454B">
              <w:rPr>
                <w:iCs/>
              </w:rPr>
              <w:t>892</w:t>
            </w:r>
          </w:p>
        </w:tc>
        <w:tc>
          <w:tcPr>
            <w:tcW w:w="1347" w:type="dxa"/>
            <w:noWrap/>
            <w:hideMark/>
          </w:tcPr>
          <w:p w14:paraId="5C874637" w14:textId="77777777" w:rsidR="008878A0" w:rsidRPr="008B454B" w:rsidRDefault="008878A0" w:rsidP="008B454B">
            <w:pPr>
              <w:spacing w:after="0"/>
              <w:jc w:val="right"/>
              <w:rPr>
                <w:iCs/>
              </w:rPr>
            </w:pPr>
            <w:r w:rsidRPr="008B454B">
              <w:rPr>
                <w:iCs/>
              </w:rPr>
              <w:t>10015</w:t>
            </w:r>
          </w:p>
        </w:tc>
        <w:tc>
          <w:tcPr>
            <w:tcW w:w="1346" w:type="dxa"/>
            <w:noWrap/>
            <w:hideMark/>
          </w:tcPr>
          <w:p w14:paraId="4C9D82BF" w14:textId="77777777" w:rsidR="008878A0" w:rsidRPr="008B454B" w:rsidRDefault="008878A0" w:rsidP="008B454B">
            <w:pPr>
              <w:spacing w:after="0"/>
              <w:jc w:val="right"/>
              <w:rPr>
                <w:iCs/>
              </w:rPr>
            </w:pPr>
            <w:r w:rsidRPr="008B454B">
              <w:rPr>
                <w:iCs/>
              </w:rPr>
              <w:t>14</w:t>
            </w:r>
          </w:p>
        </w:tc>
        <w:tc>
          <w:tcPr>
            <w:tcW w:w="1347" w:type="dxa"/>
            <w:noWrap/>
            <w:hideMark/>
          </w:tcPr>
          <w:p w14:paraId="51ADC043" w14:textId="77777777" w:rsidR="008878A0" w:rsidRPr="008B454B" w:rsidRDefault="008878A0" w:rsidP="008B454B">
            <w:pPr>
              <w:spacing w:after="0"/>
              <w:jc w:val="right"/>
              <w:rPr>
                <w:iCs/>
              </w:rPr>
            </w:pPr>
            <w:r w:rsidRPr="008B454B">
              <w:rPr>
                <w:iCs/>
              </w:rPr>
              <w:t>213</w:t>
            </w:r>
          </w:p>
        </w:tc>
        <w:tc>
          <w:tcPr>
            <w:tcW w:w="1346" w:type="dxa"/>
            <w:noWrap/>
            <w:hideMark/>
          </w:tcPr>
          <w:p w14:paraId="11B5B33E" w14:textId="77777777" w:rsidR="008878A0" w:rsidRPr="008B454B" w:rsidRDefault="008878A0" w:rsidP="008B454B">
            <w:pPr>
              <w:spacing w:after="0"/>
              <w:jc w:val="right"/>
              <w:rPr>
                <w:iCs/>
              </w:rPr>
            </w:pPr>
            <w:r w:rsidRPr="008B454B">
              <w:rPr>
                <w:iCs/>
              </w:rPr>
              <w:t>1565</w:t>
            </w:r>
          </w:p>
        </w:tc>
        <w:tc>
          <w:tcPr>
            <w:tcW w:w="1347" w:type="dxa"/>
            <w:noWrap/>
            <w:hideMark/>
          </w:tcPr>
          <w:p w14:paraId="02AA1064" w14:textId="77777777" w:rsidR="008878A0" w:rsidRPr="008B454B" w:rsidRDefault="008878A0" w:rsidP="008B454B">
            <w:pPr>
              <w:spacing w:after="0"/>
              <w:jc w:val="right"/>
              <w:rPr>
                <w:iCs/>
              </w:rPr>
            </w:pPr>
            <w:r w:rsidRPr="008B454B">
              <w:rPr>
                <w:iCs/>
              </w:rPr>
              <w:t>27</w:t>
            </w:r>
          </w:p>
        </w:tc>
      </w:tr>
      <w:tr w:rsidR="008878A0" w14:paraId="497E9D5B" w14:textId="77777777" w:rsidTr="000A346F">
        <w:trPr>
          <w:trHeight w:val="283"/>
          <w:jc w:val="right"/>
        </w:trPr>
        <w:tc>
          <w:tcPr>
            <w:tcW w:w="993" w:type="dxa"/>
            <w:noWrap/>
            <w:hideMark/>
          </w:tcPr>
          <w:p w14:paraId="27D25942" w14:textId="77777777" w:rsidR="008878A0" w:rsidRPr="008B454B" w:rsidRDefault="008878A0" w:rsidP="008B454B">
            <w:pPr>
              <w:spacing w:after="0"/>
              <w:jc w:val="center"/>
              <w:rPr>
                <w:b/>
                <w:bCs/>
                <w:iCs/>
              </w:rPr>
            </w:pPr>
            <w:r w:rsidRPr="008B454B">
              <w:rPr>
                <w:b/>
                <w:bCs/>
                <w:iCs/>
              </w:rPr>
              <w:t>2017.</w:t>
            </w:r>
          </w:p>
        </w:tc>
        <w:tc>
          <w:tcPr>
            <w:tcW w:w="1346" w:type="dxa"/>
            <w:noWrap/>
            <w:hideMark/>
          </w:tcPr>
          <w:p w14:paraId="4BB70A6C" w14:textId="77777777" w:rsidR="008878A0" w:rsidRPr="008B454B" w:rsidRDefault="008878A0" w:rsidP="008B454B">
            <w:pPr>
              <w:spacing w:after="0"/>
              <w:jc w:val="right"/>
              <w:rPr>
                <w:iCs/>
              </w:rPr>
            </w:pPr>
            <w:r w:rsidRPr="008B454B">
              <w:rPr>
                <w:iCs/>
              </w:rPr>
              <w:t>957</w:t>
            </w:r>
          </w:p>
        </w:tc>
        <w:tc>
          <w:tcPr>
            <w:tcW w:w="1347" w:type="dxa"/>
            <w:noWrap/>
            <w:hideMark/>
          </w:tcPr>
          <w:p w14:paraId="4817BC15" w14:textId="77777777" w:rsidR="008878A0" w:rsidRPr="008B454B" w:rsidRDefault="008878A0" w:rsidP="008B454B">
            <w:pPr>
              <w:spacing w:after="0"/>
              <w:jc w:val="right"/>
              <w:rPr>
                <w:iCs/>
              </w:rPr>
            </w:pPr>
            <w:r w:rsidRPr="008B454B">
              <w:rPr>
                <w:iCs/>
              </w:rPr>
              <w:t>1158</w:t>
            </w:r>
          </w:p>
        </w:tc>
        <w:tc>
          <w:tcPr>
            <w:tcW w:w="1346" w:type="dxa"/>
            <w:noWrap/>
            <w:hideMark/>
          </w:tcPr>
          <w:p w14:paraId="51974C37" w14:textId="77777777" w:rsidR="008878A0" w:rsidRPr="008B454B" w:rsidRDefault="008878A0" w:rsidP="008B454B">
            <w:pPr>
              <w:spacing w:after="0"/>
              <w:jc w:val="right"/>
              <w:rPr>
                <w:iCs/>
              </w:rPr>
            </w:pPr>
            <w:r w:rsidRPr="008B454B">
              <w:rPr>
                <w:iCs/>
              </w:rPr>
              <w:t>29</w:t>
            </w:r>
          </w:p>
        </w:tc>
        <w:tc>
          <w:tcPr>
            <w:tcW w:w="1347" w:type="dxa"/>
            <w:noWrap/>
            <w:hideMark/>
          </w:tcPr>
          <w:p w14:paraId="3453CAF9" w14:textId="77777777" w:rsidR="008878A0" w:rsidRPr="008B454B" w:rsidRDefault="008878A0" w:rsidP="008B454B">
            <w:pPr>
              <w:spacing w:after="0"/>
              <w:jc w:val="right"/>
              <w:rPr>
                <w:iCs/>
              </w:rPr>
            </w:pPr>
            <w:r w:rsidRPr="008B454B">
              <w:rPr>
                <w:iCs/>
              </w:rPr>
              <w:t>170</w:t>
            </w:r>
          </w:p>
        </w:tc>
        <w:tc>
          <w:tcPr>
            <w:tcW w:w="1346" w:type="dxa"/>
            <w:noWrap/>
            <w:hideMark/>
          </w:tcPr>
          <w:p w14:paraId="0D9E8901" w14:textId="77777777" w:rsidR="008878A0" w:rsidRPr="008B454B" w:rsidRDefault="008878A0" w:rsidP="008B454B">
            <w:pPr>
              <w:spacing w:after="0"/>
              <w:jc w:val="right"/>
              <w:rPr>
                <w:iCs/>
              </w:rPr>
            </w:pPr>
            <w:r w:rsidRPr="008B454B">
              <w:rPr>
                <w:iCs/>
              </w:rPr>
              <w:t>1172</w:t>
            </w:r>
          </w:p>
        </w:tc>
        <w:tc>
          <w:tcPr>
            <w:tcW w:w="1347" w:type="dxa"/>
            <w:noWrap/>
            <w:hideMark/>
          </w:tcPr>
          <w:p w14:paraId="15FA96F9" w14:textId="77777777" w:rsidR="008878A0" w:rsidRPr="008B454B" w:rsidRDefault="008878A0" w:rsidP="008B454B">
            <w:pPr>
              <w:spacing w:after="0"/>
              <w:jc w:val="right"/>
              <w:rPr>
                <w:iCs/>
              </w:rPr>
            </w:pPr>
            <w:r w:rsidRPr="008B454B">
              <w:rPr>
                <w:iCs/>
              </w:rPr>
              <w:t>185</w:t>
            </w:r>
          </w:p>
        </w:tc>
      </w:tr>
    </w:tbl>
    <w:p w14:paraId="1967902A" w14:textId="25AE8C0C" w:rsidR="008878A0" w:rsidRPr="00BD6B22" w:rsidRDefault="008878A0" w:rsidP="003C2276">
      <w:pPr>
        <w:pStyle w:val="Izvor"/>
        <w:rPr>
          <w:i/>
          <w:color w:val="ABABAB" w:themeColor="text1" w:themeTint="A6"/>
          <w:sz w:val="16"/>
          <w:szCs w:val="16"/>
        </w:rPr>
      </w:pPr>
      <w:r w:rsidRPr="00BD6B22">
        <w:rPr>
          <w:i/>
          <w:color w:val="ABABAB" w:themeColor="text1" w:themeTint="A6"/>
          <w:sz w:val="16"/>
          <w:szCs w:val="16"/>
        </w:rPr>
        <w:t xml:space="preserve">Izvor: Hrvatska agencija za okoliš i prirodu, Izvješće o komunalnom otpadu </w:t>
      </w:r>
    </w:p>
    <w:p w14:paraId="00F01097" w14:textId="593B6DBC" w:rsidR="008B454B" w:rsidRDefault="008878A0" w:rsidP="00941871">
      <w:r>
        <w:br/>
        <w:t>Prema procjenama ukupne stope oporabe po županijama u 2017. godini, Krapinsko-zagorska županija uputila je na oporabu 6 880 tona otpada, ili 24,4% od ukupnog. Najbolje rezultate u državi ostvarila je Međimurska županija s 45,7%, a najslabije Zadarska s 14,3%. Na grafičkom prikazu u nastavku moguće je usporediti rezultate Krapinsko-zagorske županije s ostalim županijama</w:t>
      </w:r>
      <w:r w:rsidR="00B852CA">
        <w:t>.</w:t>
      </w:r>
    </w:p>
    <w:p w14:paraId="57EDBD08" w14:textId="77777777" w:rsidR="00B601EE" w:rsidRDefault="00B601EE" w:rsidP="00941871"/>
    <w:p w14:paraId="0EE542A0" w14:textId="598E6AA7" w:rsidR="008B454B" w:rsidRDefault="00C10DAE" w:rsidP="003E3F3C">
      <w:pPr>
        <w:pStyle w:val="Opisslike"/>
        <w:rPr>
          <w:rFonts w:ascii="Tahoma" w:hAnsi="Tahoma"/>
          <w:noProof/>
          <w:spacing w:val="15"/>
        </w:rPr>
      </w:pPr>
      <w:r>
        <w:rPr>
          <w:noProof/>
          <w:lang w:eastAsia="hr-HR"/>
        </w:rPr>
        <w:drawing>
          <wp:anchor distT="0" distB="0" distL="114300" distR="114300" simplePos="0" relativeHeight="251625472" behindDoc="0" locked="0" layoutInCell="1" allowOverlap="1" wp14:anchorId="53781CA5" wp14:editId="5A1200E2">
            <wp:simplePos x="0" y="0"/>
            <wp:positionH relativeFrom="margin">
              <wp:posOffset>516890</wp:posOffset>
            </wp:positionH>
            <wp:positionV relativeFrom="paragraph">
              <wp:posOffset>220980</wp:posOffset>
            </wp:positionV>
            <wp:extent cx="4762500" cy="3566160"/>
            <wp:effectExtent l="0" t="0" r="0" b="0"/>
            <wp:wrapTopAndBottom/>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30"/>
                    <pic:cNvPicPr>
                      <a:picLocks noChangeAspect="1" noChangeArrowheads="1"/>
                    </pic:cNvPicPr>
                  </pic:nvPicPr>
                  <pic:blipFill>
                    <a:blip r:embed="rId112" cstate="print">
                      <a:extLst>
                        <a:ext uri="{28A0092B-C50C-407E-A947-70E740481C1C}">
                          <a14:useLocalDpi xmlns:a14="http://schemas.microsoft.com/office/drawing/2010/main" val="0"/>
                        </a:ext>
                      </a:extLst>
                    </a:blip>
                    <a:srcRect t="7755" b="6406"/>
                    <a:stretch>
                      <a:fillRect/>
                    </a:stretch>
                  </pic:blipFill>
                  <pic:spPr bwMode="auto">
                    <a:xfrm>
                      <a:off x="0" y="0"/>
                      <a:ext cx="4762500" cy="3566160"/>
                    </a:xfrm>
                    <a:prstGeom prst="rect">
                      <a:avLst/>
                    </a:prstGeom>
                    <a:noFill/>
                  </pic:spPr>
                </pic:pic>
              </a:graphicData>
            </a:graphic>
            <wp14:sizeRelH relativeFrom="margin">
              <wp14:pctWidth>0</wp14:pctWidth>
            </wp14:sizeRelH>
            <wp14:sizeRelV relativeFrom="margin">
              <wp14:pctHeight>0</wp14:pctHeight>
            </wp14:sizeRelV>
          </wp:anchor>
        </w:drawing>
      </w:r>
      <w:r w:rsidR="008B454B">
        <w:t xml:space="preserve">Prikaz </w:t>
      </w:r>
      <w:r w:rsidR="00BD6B22">
        <w:rPr>
          <w:noProof/>
        </w:rPr>
        <w:t>1</w:t>
      </w:r>
      <w:r w:rsidR="00A96020">
        <w:rPr>
          <w:noProof/>
        </w:rPr>
        <w:t>2</w:t>
      </w:r>
      <w:r w:rsidR="001B403E">
        <w:rPr>
          <w:noProof/>
        </w:rPr>
        <w:t>.</w:t>
      </w:r>
      <w:r w:rsidR="008B454B">
        <w:t xml:space="preserve"> Stopa oporabe u 2017. godini</w:t>
      </w:r>
    </w:p>
    <w:p w14:paraId="1E3774E0" w14:textId="5679BFC9" w:rsidR="008878A0" w:rsidRDefault="008878A0" w:rsidP="003C2276">
      <w:pPr>
        <w:pStyle w:val="Izvor"/>
        <w:rPr>
          <w:i/>
          <w:color w:val="ABABAB" w:themeColor="text1" w:themeTint="A6"/>
          <w:sz w:val="16"/>
          <w:szCs w:val="16"/>
        </w:rPr>
      </w:pPr>
      <w:r w:rsidRPr="00BD6B22">
        <w:rPr>
          <w:i/>
          <w:color w:val="ABABAB" w:themeColor="text1" w:themeTint="A6"/>
          <w:sz w:val="16"/>
          <w:szCs w:val="16"/>
        </w:rPr>
        <w:t xml:space="preserve">Izvor: Hrvatska agencija za okoliš i prirodu, Izvješće o komunalnom otpadu, 2017. </w:t>
      </w:r>
    </w:p>
    <w:p w14:paraId="17BF60BB" w14:textId="77777777" w:rsidR="00B601EE" w:rsidRPr="00BD6B22" w:rsidRDefault="00B601EE" w:rsidP="003C2276">
      <w:pPr>
        <w:pStyle w:val="Izvor"/>
        <w:rPr>
          <w:i/>
          <w:color w:val="ABABAB" w:themeColor="text1" w:themeTint="A6"/>
          <w:sz w:val="16"/>
          <w:szCs w:val="16"/>
        </w:rPr>
      </w:pPr>
    </w:p>
    <w:p w14:paraId="508B6B06" w14:textId="78BFEB52" w:rsidR="008878A0" w:rsidRPr="008B454B" w:rsidRDefault="008878A0" w:rsidP="008B454B">
      <w:r w:rsidRPr="008B454B">
        <w:t xml:space="preserve">Prema podacima </w:t>
      </w:r>
      <w:r w:rsidR="0089272B">
        <w:t>Odbora za komunalne djelatnosti</w:t>
      </w:r>
      <w:r w:rsidRPr="008B454B">
        <w:t>, u 201</w:t>
      </w:r>
      <w:r w:rsidR="0089272B">
        <w:t>8</w:t>
      </w:r>
      <w:r w:rsidRPr="008B454B">
        <w:t xml:space="preserve">. godini stanovnici Krapinsko-zagorske županije koristili su </w:t>
      </w:r>
      <w:r w:rsidR="007C2D4E">
        <w:t>sedam</w:t>
      </w:r>
      <w:r w:rsidR="008029DD">
        <w:t xml:space="preserve"> </w:t>
      </w:r>
      <w:r w:rsidRPr="008B454B">
        <w:t>odlagališta. To su Gorjak, Gubaševo,</w:t>
      </w:r>
      <w:r w:rsidR="008029DD">
        <w:t xml:space="preserve"> </w:t>
      </w:r>
      <w:r w:rsidR="007C2D4E">
        <w:t xml:space="preserve">Leskov grm </w:t>
      </w:r>
      <w:r w:rsidRPr="008B454B">
        <w:t>Lesičak, Medvedov jarek, Straža (Hum na Sutli) i Tugonica. Prema količini otpada, najveće je odlagalište Gorjak sa 6 807 tona, dok je najmanje odloženo na Lesičak (991 tona). Odlagalištem Gorjak koristio se operater odlagališta Krakom d.o.o., Gubaševim i Lesičakom Komunalno-Zabok d.o.o., Medvedovim jarkom Zelenjak d.o.o., dok je Humkom d.o.o. upravljao sa Stražom (Hum na Sutli)</w:t>
      </w:r>
      <w:r w:rsidR="00E141DA">
        <w:t>,</w:t>
      </w:r>
      <w:r w:rsidRPr="008B454B">
        <w:t xml:space="preserve"> a Komunalno poduzeće Konjš</w:t>
      </w:r>
      <w:r w:rsidR="00856A54">
        <w:t>č</w:t>
      </w:r>
      <w:r w:rsidRPr="008B454B">
        <w:t xml:space="preserve">ina d.o.o. s Tugonicom. </w:t>
      </w:r>
    </w:p>
    <w:p w14:paraId="7E90DBC3" w14:textId="3E38D38F" w:rsidR="008B454B" w:rsidRDefault="008878A0" w:rsidP="008B454B">
      <w:r w:rsidRPr="008B454B">
        <w:lastRenderedPageBreak/>
        <w:t xml:space="preserve">Na području Županije nalazi se devet odlagališta, od čega je njih </w:t>
      </w:r>
      <w:r w:rsidR="00B0386F">
        <w:t>sedam</w:t>
      </w:r>
      <w:r w:rsidRPr="008B454B">
        <w:t xml:space="preserve"> aktivno</w:t>
      </w:r>
      <w:r w:rsidR="00310808">
        <w:t>,</w:t>
      </w:r>
      <w:r w:rsidRPr="008B454B">
        <w:t xml:space="preserve"> a </w:t>
      </w:r>
      <w:r w:rsidR="008029DD">
        <w:t xml:space="preserve">dva </w:t>
      </w:r>
      <w:r w:rsidRPr="008B454B">
        <w:t>su zatvorena. U tri su u tijeku postupci sanacije, u četiri odlagališta u tijeku je priprema za sanacijom</w:t>
      </w:r>
      <w:r w:rsidR="00310808">
        <w:t>,</w:t>
      </w:r>
      <w:r w:rsidRPr="008B454B">
        <w:t xml:space="preserve"> a jedno je odlagalište sanirano. Krajnji je cilj zatvaranje, s obzirom na skoro otvaranje Regionalnog centra za gospodarenje otpadom </w:t>
      </w:r>
      <w:r w:rsidR="00DD1BBA">
        <w:t>s</w:t>
      </w:r>
      <w:r w:rsidRPr="008B454B">
        <w:t>jeverozapadne Hrvatsk</w:t>
      </w:r>
      <w:r w:rsidR="00DD1BBA">
        <w:t>e na lokaciji Piškornica</w:t>
      </w:r>
      <w:r w:rsidR="00310808">
        <w:t>.</w:t>
      </w:r>
      <w:r w:rsidRPr="008B454B">
        <w:t xml:space="preserve"> Sanacija odlagališta provodi se u suradnji s Fondom za zaštitu okoliša i energetsku učinkovitost.</w:t>
      </w:r>
    </w:p>
    <w:p w14:paraId="2518E68C" w14:textId="77777777" w:rsidR="00D41F37" w:rsidRPr="008B454B" w:rsidRDefault="00D41F37" w:rsidP="008B454B"/>
    <w:p w14:paraId="6BB17D63" w14:textId="53CD752E" w:rsidR="001B403E" w:rsidRDefault="001B403E" w:rsidP="003E3F3C">
      <w:pPr>
        <w:pStyle w:val="Opisslike"/>
      </w:pPr>
      <w:r>
        <w:t>Tablica</w:t>
      </w:r>
      <w:r w:rsidR="00BD6B22">
        <w:t xml:space="preserve"> 1</w:t>
      </w:r>
      <w:r w:rsidR="00741E4F">
        <w:t>76</w:t>
      </w:r>
      <w:r>
        <w:t xml:space="preserve">. </w:t>
      </w:r>
      <w:r w:rsidRPr="00791ED8">
        <w:t>Lista odlagališta otpada s podacima o statusu i aktivnostima</w:t>
      </w:r>
    </w:p>
    <w:tbl>
      <w:tblPr>
        <w:tblW w:w="9273" w:type="dxa"/>
        <w:tblLook w:val="04A0" w:firstRow="1" w:lastRow="0" w:firstColumn="1" w:lastColumn="0" w:noHBand="0" w:noVBand="1"/>
      </w:tblPr>
      <w:tblGrid>
        <w:gridCol w:w="2712"/>
        <w:gridCol w:w="2860"/>
        <w:gridCol w:w="3701"/>
      </w:tblGrid>
      <w:tr w:rsidR="008878A0" w:rsidRPr="001B403E" w14:paraId="5F8393E7" w14:textId="77777777" w:rsidTr="00BD1528">
        <w:trPr>
          <w:trHeight w:val="291"/>
        </w:trPr>
        <w:tc>
          <w:tcPr>
            <w:tcW w:w="2712" w:type="dxa"/>
            <w:tcBorders>
              <w:left w:val="single" w:sz="8" w:space="0" w:color="D2232A"/>
            </w:tcBorders>
            <w:shd w:val="clear" w:color="auto" w:fill="D2232A" w:themeFill="accent1"/>
            <w:noWrap/>
            <w:vAlign w:val="center"/>
            <w:hideMark/>
          </w:tcPr>
          <w:p w14:paraId="5623ADBD" w14:textId="77777777" w:rsidR="008878A0" w:rsidRPr="001B403E" w:rsidRDefault="008878A0" w:rsidP="00941871">
            <w:pPr>
              <w:pStyle w:val="Podnaslov"/>
              <w:spacing w:after="0"/>
              <w:rPr>
                <w:rFonts w:ascii="Newslab" w:hAnsi="Newslab"/>
                <w:bCs/>
                <w:color w:val="FFFFFF" w:themeColor="background1"/>
                <w:sz w:val="18"/>
                <w:szCs w:val="18"/>
                <w:lang w:val="en-GB"/>
              </w:rPr>
            </w:pPr>
            <w:r w:rsidRPr="001B403E">
              <w:rPr>
                <w:rFonts w:ascii="Newslab" w:hAnsi="Newslab" w:cs="Calibri"/>
                <w:bCs/>
                <w:color w:val="FFFFFF" w:themeColor="background1"/>
                <w:sz w:val="18"/>
                <w:szCs w:val="18"/>
              </w:rPr>
              <w:t>Odlagalište otpada</w:t>
            </w:r>
          </w:p>
        </w:tc>
        <w:tc>
          <w:tcPr>
            <w:tcW w:w="2860" w:type="dxa"/>
            <w:shd w:val="clear" w:color="auto" w:fill="D2232A" w:themeFill="accent1"/>
            <w:noWrap/>
            <w:vAlign w:val="center"/>
            <w:hideMark/>
          </w:tcPr>
          <w:p w14:paraId="31CD0474" w14:textId="77777777" w:rsidR="008878A0" w:rsidRPr="001B403E" w:rsidRDefault="008878A0" w:rsidP="00941871">
            <w:pPr>
              <w:pStyle w:val="Podnaslov"/>
              <w:spacing w:after="0"/>
              <w:rPr>
                <w:rFonts w:ascii="Newslab" w:hAnsi="Newslab"/>
                <w:bCs/>
                <w:color w:val="FFFFFF" w:themeColor="background1"/>
                <w:sz w:val="18"/>
                <w:szCs w:val="18"/>
              </w:rPr>
            </w:pPr>
            <w:r w:rsidRPr="001B403E">
              <w:rPr>
                <w:rFonts w:ascii="Newslab" w:hAnsi="Newslab" w:cs="Calibri"/>
                <w:bCs/>
                <w:color w:val="FFFFFF" w:themeColor="background1"/>
                <w:sz w:val="18"/>
                <w:szCs w:val="18"/>
              </w:rPr>
              <w:t>Status</w:t>
            </w:r>
          </w:p>
        </w:tc>
        <w:tc>
          <w:tcPr>
            <w:tcW w:w="3701" w:type="dxa"/>
            <w:tcBorders>
              <w:right w:val="single" w:sz="8" w:space="0" w:color="D2232A"/>
            </w:tcBorders>
            <w:shd w:val="clear" w:color="auto" w:fill="D2232A" w:themeFill="accent1"/>
            <w:noWrap/>
            <w:vAlign w:val="center"/>
            <w:hideMark/>
          </w:tcPr>
          <w:p w14:paraId="213092FC" w14:textId="77777777" w:rsidR="008878A0" w:rsidRPr="001B403E" w:rsidRDefault="008878A0" w:rsidP="00941871">
            <w:pPr>
              <w:pStyle w:val="Podnaslov"/>
              <w:spacing w:after="0"/>
              <w:rPr>
                <w:rFonts w:ascii="Newslab" w:hAnsi="Newslab"/>
                <w:bCs/>
                <w:color w:val="FFFFFF" w:themeColor="background1"/>
                <w:sz w:val="18"/>
                <w:szCs w:val="18"/>
              </w:rPr>
            </w:pPr>
            <w:r w:rsidRPr="001B403E">
              <w:rPr>
                <w:rFonts w:ascii="Newslab" w:hAnsi="Newslab" w:cs="Calibri"/>
                <w:bCs/>
                <w:color w:val="FFFFFF" w:themeColor="background1"/>
                <w:sz w:val="18"/>
                <w:szCs w:val="18"/>
              </w:rPr>
              <w:t>Aktivnosti</w:t>
            </w:r>
          </w:p>
        </w:tc>
      </w:tr>
      <w:tr w:rsidR="008878A0" w:rsidRPr="001B403E" w14:paraId="3DAE0F95" w14:textId="77777777" w:rsidTr="00BD1528">
        <w:trPr>
          <w:trHeight w:val="291"/>
        </w:trPr>
        <w:tc>
          <w:tcPr>
            <w:tcW w:w="2712" w:type="dxa"/>
            <w:tcBorders>
              <w:left w:val="single" w:sz="8" w:space="0" w:color="D2232A"/>
              <w:bottom w:val="single" w:sz="8" w:space="0" w:color="F3CFC1"/>
            </w:tcBorders>
            <w:noWrap/>
            <w:vAlign w:val="bottom"/>
            <w:hideMark/>
          </w:tcPr>
          <w:p w14:paraId="55CDF443"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Gorjak</w:t>
            </w:r>
          </w:p>
        </w:tc>
        <w:tc>
          <w:tcPr>
            <w:tcW w:w="2860" w:type="dxa"/>
            <w:tcBorders>
              <w:bottom w:val="single" w:sz="8" w:space="0" w:color="F3CFC1"/>
            </w:tcBorders>
            <w:noWrap/>
            <w:vAlign w:val="bottom"/>
            <w:hideMark/>
          </w:tcPr>
          <w:p w14:paraId="59208508"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aktivno</w:t>
            </w:r>
          </w:p>
        </w:tc>
        <w:tc>
          <w:tcPr>
            <w:tcW w:w="3701" w:type="dxa"/>
            <w:tcBorders>
              <w:bottom w:val="single" w:sz="8" w:space="0" w:color="F3CFC1"/>
              <w:right w:val="single" w:sz="8" w:space="0" w:color="D2232A"/>
            </w:tcBorders>
            <w:noWrap/>
            <w:vAlign w:val="bottom"/>
            <w:hideMark/>
          </w:tcPr>
          <w:p w14:paraId="4F9C63D0"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postupci sanacije u tijeku</w:t>
            </w:r>
          </w:p>
        </w:tc>
      </w:tr>
      <w:tr w:rsidR="008878A0" w:rsidRPr="001B403E" w14:paraId="05242E41" w14:textId="77777777" w:rsidTr="00BD1528">
        <w:trPr>
          <w:trHeight w:val="291"/>
        </w:trPr>
        <w:tc>
          <w:tcPr>
            <w:tcW w:w="2712" w:type="dxa"/>
            <w:tcBorders>
              <w:top w:val="single" w:sz="8" w:space="0" w:color="F3CFC1"/>
              <w:left w:val="single" w:sz="8" w:space="0" w:color="D2232A"/>
              <w:bottom w:val="single" w:sz="8" w:space="0" w:color="F3CFC1"/>
            </w:tcBorders>
            <w:noWrap/>
            <w:vAlign w:val="bottom"/>
            <w:hideMark/>
          </w:tcPr>
          <w:p w14:paraId="5998ABFB"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Gubaševo</w:t>
            </w:r>
          </w:p>
        </w:tc>
        <w:tc>
          <w:tcPr>
            <w:tcW w:w="2860" w:type="dxa"/>
            <w:tcBorders>
              <w:top w:val="single" w:sz="8" w:space="0" w:color="F3CFC1"/>
              <w:bottom w:val="single" w:sz="8" w:space="0" w:color="F3CFC1"/>
            </w:tcBorders>
            <w:noWrap/>
            <w:vAlign w:val="bottom"/>
            <w:hideMark/>
          </w:tcPr>
          <w:p w14:paraId="510AA8C1"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aktivno</w:t>
            </w:r>
          </w:p>
        </w:tc>
        <w:tc>
          <w:tcPr>
            <w:tcW w:w="3701" w:type="dxa"/>
            <w:tcBorders>
              <w:top w:val="single" w:sz="8" w:space="0" w:color="F3CFC1"/>
              <w:bottom w:val="single" w:sz="8" w:space="0" w:color="F3CFC1"/>
              <w:right w:val="single" w:sz="8" w:space="0" w:color="D2232A"/>
            </w:tcBorders>
            <w:noWrap/>
            <w:vAlign w:val="bottom"/>
            <w:hideMark/>
          </w:tcPr>
          <w:p w14:paraId="20F8D586"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priprema</w:t>
            </w:r>
          </w:p>
        </w:tc>
      </w:tr>
      <w:tr w:rsidR="008878A0" w:rsidRPr="001B403E" w14:paraId="1B223573" w14:textId="77777777" w:rsidTr="00BD1528">
        <w:trPr>
          <w:trHeight w:val="291"/>
        </w:trPr>
        <w:tc>
          <w:tcPr>
            <w:tcW w:w="2712" w:type="dxa"/>
            <w:tcBorders>
              <w:top w:val="single" w:sz="8" w:space="0" w:color="F3CFC1"/>
              <w:left w:val="single" w:sz="8" w:space="0" w:color="D2232A"/>
              <w:bottom w:val="single" w:sz="8" w:space="0" w:color="F3CFC1"/>
            </w:tcBorders>
            <w:noWrap/>
            <w:vAlign w:val="bottom"/>
            <w:hideMark/>
          </w:tcPr>
          <w:p w14:paraId="580F2C68"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Kanjiža</w:t>
            </w:r>
          </w:p>
        </w:tc>
        <w:tc>
          <w:tcPr>
            <w:tcW w:w="2860" w:type="dxa"/>
            <w:tcBorders>
              <w:top w:val="single" w:sz="8" w:space="0" w:color="F3CFC1"/>
              <w:bottom w:val="single" w:sz="8" w:space="0" w:color="F3CFC1"/>
            </w:tcBorders>
            <w:noWrap/>
            <w:vAlign w:val="bottom"/>
            <w:hideMark/>
          </w:tcPr>
          <w:p w14:paraId="592785D8"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zatvoreno</w:t>
            </w:r>
          </w:p>
        </w:tc>
        <w:tc>
          <w:tcPr>
            <w:tcW w:w="3701" w:type="dxa"/>
            <w:tcBorders>
              <w:top w:val="single" w:sz="8" w:space="0" w:color="F3CFC1"/>
              <w:bottom w:val="single" w:sz="8" w:space="0" w:color="F3CFC1"/>
              <w:right w:val="single" w:sz="8" w:space="0" w:color="D2232A"/>
            </w:tcBorders>
            <w:noWrap/>
            <w:vAlign w:val="bottom"/>
            <w:hideMark/>
          </w:tcPr>
          <w:p w14:paraId="5C46972B"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priprema</w:t>
            </w:r>
          </w:p>
        </w:tc>
      </w:tr>
      <w:tr w:rsidR="008878A0" w:rsidRPr="001B403E" w14:paraId="4C1770D5" w14:textId="77777777" w:rsidTr="00BD1528">
        <w:trPr>
          <w:trHeight w:val="291"/>
        </w:trPr>
        <w:tc>
          <w:tcPr>
            <w:tcW w:w="2712" w:type="dxa"/>
            <w:tcBorders>
              <w:top w:val="single" w:sz="8" w:space="0" w:color="F3CFC1"/>
              <w:left w:val="single" w:sz="8" w:space="0" w:color="D2232A"/>
              <w:bottom w:val="single" w:sz="8" w:space="0" w:color="F3CFC1"/>
            </w:tcBorders>
            <w:noWrap/>
            <w:vAlign w:val="bottom"/>
            <w:hideMark/>
          </w:tcPr>
          <w:p w14:paraId="0A6934AD"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Lesičak</w:t>
            </w:r>
          </w:p>
        </w:tc>
        <w:tc>
          <w:tcPr>
            <w:tcW w:w="2860" w:type="dxa"/>
            <w:tcBorders>
              <w:top w:val="single" w:sz="8" w:space="0" w:color="F3CFC1"/>
              <w:bottom w:val="single" w:sz="8" w:space="0" w:color="F3CFC1"/>
            </w:tcBorders>
            <w:noWrap/>
            <w:vAlign w:val="bottom"/>
            <w:hideMark/>
          </w:tcPr>
          <w:p w14:paraId="011697A9"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aktivno</w:t>
            </w:r>
          </w:p>
        </w:tc>
        <w:tc>
          <w:tcPr>
            <w:tcW w:w="3701" w:type="dxa"/>
            <w:tcBorders>
              <w:top w:val="single" w:sz="8" w:space="0" w:color="F3CFC1"/>
              <w:bottom w:val="single" w:sz="8" w:space="0" w:color="F3CFC1"/>
              <w:right w:val="single" w:sz="8" w:space="0" w:color="D2232A"/>
            </w:tcBorders>
            <w:noWrap/>
            <w:vAlign w:val="bottom"/>
            <w:hideMark/>
          </w:tcPr>
          <w:p w14:paraId="5AC4D475"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priprema</w:t>
            </w:r>
          </w:p>
        </w:tc>
      </w:tr>
      <w:tr w:rsidR="008878A0" w:rsidRPr="001B403E" w14:paraId="792DFB39" w14:textId="77777777" w:rsidTr="00BD1528">
        <w:trPr>
          <w:trHeight w:val="291"/>
        </w:trPr>
        <w:tc>
          <w:tcPr>
            <w:tcW w:w="2712" w:type="dxa"/>
            <w:tcBorders>
              <w:top w:val="single" w:sz="8" w:space="0" w:color="F3CFC1"/>
              <w:left w:val="single" w:sz="8" w:space="0" w:color="D2232A"/>
              <w:bottom w:val="single" w:sz="8" w:space="0" w:color="F3CFC1"/>
            </w:tcBorders>
            <w:noWrap/>
            <w:vAlign w:val="bottom"/>
            <w:hideMark/>
          </w:tcPr>
          <w:p w14:paraId="3A508900"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Leskov grm</w:t>
            </w:r>
          </w:p>
        </w:tc>
        <w:tc>
          <w:tcPr>
            <w:tcW w:w="2860" w:type="dxa"/>
            <w:tcBorders>
              <w:top w:val="single" w:sz="8" w:space="0" w:color="F3CFC1"/>
              <w:bottom w:val="single" w:sz="8" w:space="0" w:color="F3CFC1"/>
            </w:tcBorders>
            <w:noWrap/>
            <w:vAlign w:val="bottom"/>
            <w:hideMark/>
          </w:tcPr>
          <w:p w14:paraId="3EA494E0"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aktivno</w:t>
            </w:r>
          </w:p>
        </w:tc>
        <w:tc>
          <w:tcPr>
            <w:tcW w:w="3701" w:type="dxa"/>
            <w:tcBorders>
              <w:top w:val="single" w:sz="8" w:space="0" w:color="F3CFC1"/>
              <w:bottom w:val="single" w:sz="8" w:space="0" w:color="F3CFC1"/>
              <w:right w:val="single" w:sz="8" w:space="0" w:color="D2232A"/>
            </w:tcBorders>
            <w:noWrap/>
            <w:vAlign w:val="bottom"/>
            <w:hideMark/>
          </w:tcPr>
          <w:p w14:paraId="4AF020FA"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sanirano</w:t>
            </w:r>
          </w:p>
        </w:tc>
      </w:tr>
      <w:tr w:rsidR="008878A0" w:rsidRPr="001B403E" w14:paraId="6129B089" w14:textId="77777777" w:rsidTr="00BD1528">
        <w:trPr>
          <w:trHeight w:val="291"/>
        </w:trPr>
        <w:tc>
          <w:tcPr>
            <w:tcW w:w="2712" w:type="dxa"/>
            <w:tcBorders>
              <w:top w:val="single" w:sz="8" w:space="0" w:color="F3CFC1"/>
              <w:left w:val="single" w:sz="8" w:space="0" w:color="D2232A"/>
              <w:bottom w:val="single" w:sz="8" w:space="0" w:color="F3CFC1"/>
            </w:tcBorders>
            <w:noWrap/>
            <w:vAlign w:val="bottom"/>
            <w:hideMark/>
          </w:tcPr>
          <w:p w14:paraId="740BA2D4"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Medvedov jarek</w:t>
            </w:r>
          </w:p>
        </w:tc>
        <w:tc>
          <w:tcPr>
            <w:tcW w:w="2860" w:type="dxa"/>
            <w:tcBorders>
              <w:top w:val="single" w:sz="8" w:space="0" w:color="F3CFC1"/>
              <w:bottom w:val="single" w:sz="8" w:space="0" w:color="F3CFC1"/>
            </w:tcBorders>
            <w:noWrap/>
            <w:vAlign w:val="bottom"/>
            <w:hideMark/>
          </w:tcPr>
          <w:p w14:paraId="7D729938"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aktivno</w:t>
            </w:r>
          </w:p>
        </w:tc>
        <w:tc>
          <w:tcPr>
            <w:tcW w:w="3701" w:type="dxa"/>
            <w:tcBorders>
              <w:top w:val="single" w:sz="8" w:space="0" w:color="F3CFC1"/>
              <w:bottom w:val="single" w:sz="8" w:space="0" w:color="F3CFC1"/>
              <w:right w:val="single" w:sz="8" w:space="0" w:color="D2232A"/>
            </w:tcBorders>
            <w:noWrap/>
            <w:vAlign w:val="bottom"/>
            <w:hideMark/>
          </w:tcPr>
          <w:p w14:paraId="306D0370"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postupci sanacije u tijeku</w:t>
            </w:r>
          </w:p>
        </w:tc>
      </w:tr>
      <w:tr w:rsidR="008878A0" w:rsidRPr="001B403E" w14:paraId="3E0522A2" w14:textId="77777777" w:rsidTr="00BD1528">
        <w:trPr>
          <w:trHeight w:val="291"/>
        </w:trPr>
        <w:tc>
          <w:tcPr>
            <w:tcW w:w="2712" w:type="dxa"/>
            <w:tcBorders>
              <w:top w:val="single" w:sz="8" w:space="0" w:color="F3CFC1"/>
              <w:left w:val="single" w:sz="8" w:space="0" w:color="D2232A"/>
              <w:bottom w:val="single" w:sz="8" w:space="0" w:color="F3CFC1"/>
            </w:tcBorders>
            <w:noWrap/>
            <w:vAlign w:val="bottom"/>
            <w:hideMark/>
          </w:tcPr>
          <w:p w14:paraId="1766513D"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Pustodol Začretski</w:t>
            </w:r>
          </w:p>
        </w:tc>
        <w:tc>
          <w:tcPr>
            <w:tcW w:w="2860" w:type="dxa"/>
            <w:tcBorders>
              <w:top w:val="single" w:sz="8" w:space="0" w:color="F3CFC1"/>
              <w:bottom w:val="single" w:sz="8" w:space="0" w:color="F3CFC1"/>
            </w:tcBorders>
            <w:noWrap/>
            <w:vAlign w:val="bottom"/>
            <w:hideMark/>
          </w:tcPr>
          <w:p w14:paraId="4B473FFD"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zatvoreno</w:t>
            </w:r>
          </w:p>
        </w:tc>
        <w:tc>
          <w:tcPr>
            <w:tcW w:w="3701" w:type="dxa"/>
            <w:tcBorders>
              <w:top w:val="single" w:sz="8" w:space="0" w:color="F3CFC1"/>
              <w:bottom w:val="single" w:sz="8" w:space="0" w:color="F3CFC1"/>
              <w:right w:val="single" w:sz="8" w:space="0" w:color="D2232A"/>
            </w:tcBorders>
            <w:noWrap/>
            <w:vAlign w:val="bottom"/>
            <w:hideMark/>
          </w:tcPr>
          <w:p w14:paraId="076EBAE9"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zatvoreno</w:t>
            </w:r>
          </w:p>
        </w:tc>
      </w:tr>
      <w:tr w:rsidR="008878A0" w:rsidRPr="001B403E" w14:paraId="2B35A297" w14:textId="77777777" w:rsidTr="00BD1528">
        <w:trPr>
          <w:trHeight w:val="291"/>
        </w:trPr>
        <w:tc>
          <w:tcPr>
            <w:tcW w:w="2712" w:type="dxa"/>
            <w:tcBorders>
              <w:top w:val="single" w:sz="8" w:space="0" w:color="F3CFC1"/>
              <w:left w:val="single" w:sz="8" w:space="0" w:color="D2232A"/>
              <w:bottom w:val="single" w:sz="8" w:space="0" w:color="F3CFC1"/>
            </w:tcBorders>
            <w:noWrap/>
            <w:vAlign w:val="bottom"/>
            <w:hideMark/>
          </w:tcPr>
          <w:p w14:paraId="660E7E36"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Straža (Hum na Sutli)</w:t>
            </w:r>
          </w:p>
        </w:tc>
        <w:tc>
          <w:tcPr>
            <w:tcW w:w="2860" w:type="dxa"/>
            <w:tcBorders>
              <w:top w:val="single" w:sz="8" w:space="0" w:color="F3CFC1"/>
              <w:bottom w:val="single" w:sz="8" w:space="0" w:color="F3CFC1"/>
            </w:tcBorders>
            <w:noWrap/>
            <w:vAlign w:val="bottom"/>
            <w:hideMark/>
          </w:tcPr>
          <w:p w14:paraId="550CC3E5"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aktivno</w:t>
            </w:r>
          </w:p>
        </w:tc>
        <w:tc>
          <w:tcPr>
            <w:tcW w:w="3701" w:type="dxa"/>
            <w:tcBorders>
              <w:top w:val="single" w:sz="8" w:space="0" w:color="F3CFC1"/>
              <w:bottom w:val="single" w:sz="8" w:space="0" w:color="F3CFC1"/>
              <w:right w:val="single" w:sz="8" w:space="0" w:color="D2232A"/>
            </w:tcBorders>
            <w:noWrap/>
            <w:vAlign w:val="bottom"/>
            <w:hideMark/>
          </w:tcPr>
          <w:p w14:paraId="65C3FFB5"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priprema</w:t>
            </w:r>
          </w:p>
        </w:tc>
      </w:tr>
      <w:tr w:rsidR="008878A0" w:rsidRPr="001B403E" w14:paraId="2A5D9C50" w14:textId="77777777" w:rsidTr="00BD1528">
        <w:trPr>
          <w:trHeight w:val="291"/>
        </w:trPr>
        <w:tc>
          <w:tcPr>
            <w:tcW w:w="2712" w:type="dxa"/>
            <w:tcBorders>
              <w:top w:val="single" w:sz="8" w:space="0" w:color="F3CFC1"/>
              <w:left w:val="single" w:sz="8" w:space="0" w:color="D2232A"/>
            </w:tcBorders>
            <w:noWrap/>
            <w:vAlign w:val="bottom"/>
            <w:hideMark/>
          </w:tcPr>
          <w:p w14:paraId="43AB3A8B"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Tugonica</w:t>
            </w:r>
          </w:p>
        </w:tc>
        <w:tc>
          <w:tcPr>
            <w:tcW w:w="2860" w:type="dxa"/>
            <w:tcBorders>
              <w:top w:val="single" w:sz="8" w:space="0" w:color="F3CFC1"/>
            </w:tcBorders>
            <w:noWrap/>
            <w:vAlign w:val="bottom"/>
            <w:hideMark/>
          </w:tcPr>
          <w:p w14:paraId="1AF1CF79"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aktivno</w:t>
            </w:r>
          </w:p>
        </w:tc>
        <w:tc>
          <w:tcPr>
            <w:tcW w:w="3701" w:type="dxa"/>
            <w:tcBorders>
              <w:top w:val="single" w:sz="8" w:space="0" w:color="F3CFC1"/>
              <w:right w:val="single" w:sz="8" w:space="0" w:color="D2232A"/>
            </w:tcBorders>
            <w:noWrap/>
            <w:vAlign w:val="bottom"/>
            <w:hideMark/>
          </w:tcPr>
          <w:p w14:paraId="49B11ACA" w14:textId="77777777" w:rsidR="008878A0" w:rsidRPr="001B403E" w:rsidRDefault="008878A0" w:rsidP="00941871">
            <w:pPr>
              <w:pStyle w:val="Podnaslov"/>
              <w:spacing w:after="0"/>
              <w:rPr>
                <w:rFonts w:ascii="Newslab" w:hAnsi="Newslab"/>
                <w:color w:val="3F3F3F" w:themeColor="text1" w:themeShade="80"/>
                <w:sz w:val="18"/>
                <w:szCs w:val="18"/>
              </w:rPr>
            </w:pPr>
            <w:r w:rsidRPr="001B403E">
              <w:rPr>
                <w:rFonts w:ascii="Newslab" w:hAnsi="Newslab" w:cs="Calibri"/>
                <w:color w:val="3F3F3F" w:themeColor="text1" w:themeShade="80"/>
                <w:sz w:val="18"/>
                <w:szCs w:val="18"/>
              </w:rPr>
              <w:t>postupci sanacije u tijeku</w:t>
            </w:r>
          </w:p>
        </w:tc>
      </w:tr>
    </w:tbl>
    <w:p w14:paraId="6442763D" w14:textId="62C34034" w:rsidR="008878A0" w:rsidRPr="00BD6B22" w:rsidRDefault="008878A0" w:rsidP="003C2276">
      <w:pPr>
        <w:pStyle w:val="Izvor"/>
        <w:rPr>
          <w:i/>
          <w:color w:val="ABABAB" w:themeColor="text1" w:themeTint="A6"/>
          <w:sz w:val="16"/>
          <w:szCs w:val="16"/>
        </w:rPr>
      </w:pPr>
      <w:r w:rsidRPr="00BD6B22">
        <w:rPr>
          <w:i/>
          <w:color w:val="ABABAB" w:themeColor="text1" w:themeTint="A6"/>
          <w:sz w:val="16"/>
          <w:szCs w:val="16"/>
        </w:rPr>
        <w:t>Izvor: Hrvatska agencija za okoliš i prirodu, Izvješće o komunalnom otpadu, 201</w:t>
      </w:r>
      <w:r w:rsidR="001B41D5" w:rsidRPr="00BD6B22">
        <w:rPr>
          <w:i/>
          <w:color w:val="ABABAB" w:themeColor="text1" w:themeTint="A6"/>
          <w:sz w:val="16"/>
          <w:szCs w:val="16"/>
        </w:rPr>
        <w:t>8</w:t>
      </w:r>
      <w:r w:rsidRPr="00BD6B22">
        <w:rPr>
          <w:i/>
          <w:color w:val="ABABAB" w:themeColor="text1" w:themeTint="A6"/>
          <w:sz w:val="16"/>
          <w:szCs w:val="16"/>
        </w:rPr>
        <w:t xml:space="preserve">. </w:t>
      </w:r>
    </w:p>
    <w:p w14:paraId="7360A8F2" w14:textId="77777777" w:rsidR="008B454B" w:rsidRPr="008B454B" w:rsidRDefault="008B454B" w:rsidP="008B454B"/>
    <w:p w14:paraId="55D366C6" w14:textId="40E4AE6F" w:rsidR="001B403E" w:rsidRDefault="001B403E" w:rsidP="003E3F3C">
      <w:pPr>
        <w:pStyle w:val="Opisslike"/>
      </w:pPr>
      <w:r>
        <w:t>Tablica</w:t>
      </w:r>
      <w:r w:rsidR="00BD6B22">
        <w:t xml:space="preserve"> 1</w:t>
      </w:r>
      <w:r w:rsidR="00741E4F">
        <w:t>77</w:t>
      </w:r>
      <w:r>
        <w:t xml:space="preserve">. </w:t>
      </w:r>
      <w:r w:rsidRPr="00D03A21">
        <w:t>Količine (u tonama) ukupno odloženog otpada</w:t>
      </w:r>
      <w:r w:rsidR="00EA5393">
        <w:t>, 2011.- 2017.</w:t>
      </w:r>
    </w:p>
    <w:tbl>
      <w:tblPr>
        <w:tblW w:w="0" w:type="auto"/>
        <w:tblBorders>
          <w:left w:val="single" w:sz="8" w:space="0" w:color="D2232A"/>
          <w:right w:val="single" w:sz="8" w:space="0" w:color="D2232A"/>
          <w:insideH w:val="single" w:sz="8" w:space="0" w:color="F3CFC1"/>
        </w:tblBorders>
        <w:tblLook w:val="04A0" w:firstRow="1" w:lastRow="0" w:firstColumn="1" w:lastColumn="0" w:noHBand="0" w:noVBand="1"/>
      </w:tblPr>
      <w:tblGrid>
        <w:gridCol w:w="1782"/>
        <w:gridCol w:w="1070"/>
        <w:gridCol w:w="1070"/>
        <w:gridCol w:w="1137"/>
        <w:gridCol w:w="1070"/>
        <w:gridCol w:w="1002"/>
        <w:gridCol w:w="951"/>
        <w:gridCol w:w="1070"/>
      </w:tblGrid>
      <w:tr w:rsidR="008878A0" w:rsidRPr="001B403E" w14:paraId="61866749" w14:textId="77777777" w:rsidTr="00BD1528">
        <w:trPr>
          <w:trHeight w:val="295"/>
        </w:trPr>
        <w:tc>
          <w:tcPr>
            <w:tcW w:w="1782" w:type="dxa"/>
            <w:shd w:val="clear" w:color="auto" w:fill="D2232A" w:themeFill="accent1"/>
            <w:noWrap/>
            <w:vAlign w:val="center"/>
            <w:hideMark/>
          </w:tcPr>
          <w:p w14:paraId="4CC24FD8" w14:textId="77777777" w:rsidR="008878A0" w:rsidRPr="001B403E" w:rsidRDefault="008878A0" w:rsidP="001B403E">
            <w:pPr>
              <w:spacing w:after="0"/>
              <w:rPr>
                <w:b/>
                <w:bCs/>
                <w:color w:val="FFFFFF" w:themeColor="background1"/>
                <w:szCs w:val="18"/>
                <w:lang w:val="en-GB"/>
              </w:rPr>
            </w:pPr>
            <w:r w:rsidRPr="001B403E">
              <w:rPr>
                <w:b/>
                <w:bCs/>
                <w:color w:val="FFFFFF" w:themeColor="background1"/>
                <w:szCs w:val="18"/>
              </w:rPr>
              <w:t>Odlagalište otpada</w:t>
            </w:r>
          </w:p>
        </w:tc>
        <w:tc>
          <w:tcPr>
            <w:tcW w:w="1070" w:type="dxa"/>
            <w:shd w:val="clear" w:color="auto" w:fill="D2232A" w:themeFill="accent1"/>
            <w:noWrap/>
            <w:vAlign w:val="center"/>
            <w:hideMark/>
          </w:tcPr>
          <w:p w14:paraId="557DF0ED" w14:textId="77777777" w:rsidR="008878A0" w:rsidRPr="001B403E" w:rsidRDefault="008878A0" w:rsidP="001B403E">
            <w:pPr>
              <w:spacing w:after="0"/>
              <w:jc w:val="right"/>
              <w:rPr>
                <w:b/>
                <w:bCs/>
                <w:color w:val="FFFFFF" w:themeColor="background1"/>
                <w:szCs w:val="18"/>
              </w:rPr>
            </w:pPr>
            <w:r w:rsidRPr="001B403E">
              <w:rPr>
                <w:b/>
                <w:bCs/>
                <w:color w:val="FFFFFF" w:themeColor="background1"/>
                <w:szCs w:val="18"/>
              </w:rPr>
              <w:t>2011.</w:t>
            </w:r>
          </w:p>
        </w:tc>
        <w:tc>
          <w:tcPr>
            <w:tcW w:w="1070" w:type="dxa"/>
            <w:shd w:val="clear" w:color="auto" w:fill="D2232A" w:themeFill="accent1"/>
            <w:noWrap/>
            <w:vAlign w:val="center"/>
            <w:hideMark/>
          </w:tcPr>
          <w:p w14:paraId="5B909DAC" w14:textId="77777777" w:rsidR="008878A0" w:rsidRPr="001B403E" w:rsidRDefault="008878A0" w:rsidP="001B403E">
            <w:pPr>
              <w:spacing w:after="0"/>
              <w:jc w:val="right"/>
              <w:rPr>
                <w:b/>
                <w:bCs/>
                <w:color w:val="FFFFFF" w:themeColor="background1"/>
                <w:szCs w:val="18"/>
              </w:rPr>
            </w:pPr>
            <w:r w:rsidRPr="001B403E">
              <w:rPr>
                <w:b/>
                <w:bCs/>
                <w:color w:val="FFFFFF" w:themeColor="background1"/>
                <w:szCs w:val="18"/>
              </w:rPr>
              <w:t>2012.</w:t>
            </w:r>
          </w:p>
        </w:tc>
        <w:tc>
          <w:tcPr>
            <w:tcW w:w="1137" w:type="dxa"/>
            <w:shd w:val="clear" w:color="auto" w:fill="D2232A" w:themeFill="accent1"/>
            <w:noWrap/>
            <w:vAlign w:val="center"/>
            <w:hideMark/>
          </w:tcPr>
          <w:p w14:paraId="55FDA6B3" w14:textId="77777777" w:rsidR="008878A0" w:rsidRPr="001B403E" w:rsidRDefault="008878A0" w:rsidP="001B403E">
            <w:pPr>
              <w:spacing w:after="0"/>
              <w:jc w:val="right"/>
              <w:rPr>
                <w:b/>
                <w:bCs/>
                <w:color w:val="FFFFFF" w:themeColor="background1"/>
                <w:szCs w:val="18"/>
              </w:rPr>
            </w:pPr>
            <w:r w:rsidRPr="001B403E">
              <w:rPr>
                <w:b/>
                <w:bCs/>
                <w:color w:val="FFFFFF" w:themeColor="background1"/>
                <w:szCs w:val="18"/>
              </w:rPr>
              <w:t>2013.</w:t>
            </w:r>
          </w:p>
        </w:tc>
        <w:tc>
          <w:tcPr>
            <w:tcW w:w="1070" w:type="dxa"/>
            <w:shd w:val="clear" w:color="auto" w:fill="D2232A" w:themeFill="accent1"/>
            <w:noWrap/>
            <w:vAlign w:val="center"/>
            <w:hideMark/>
          </w:tcPr>
          <w:p w14:paraId="7EF10B59" w14:textId="77777777" w:rsidR="008878A0" w:rsidRPr="001B403E" w:rsidRDefault="008878A0" w:rsidP="001B403E">
            <w:pPr>
              <w:spacing w:after="0"/>
              <w:jc w:val="right"/>
              <w:rPr>
                <w:b/>
                <w:bCs/>
                <w:color w:val="FFFFFF" w:themeColor="background1"/>
                <w:szCs w:val="18"/>
              </w:rPr>
            </w:pPr>
            <w:r w:rsidRPr="001B403E">
              <w:rPr>
                <w:b/>
                <w:bCs/>
                <w:color w:val="FFFFFF" w:themeColor="background1"/>
                <w:szCs w:val="18"/>
              </w:rPr>
              <w:t>2014.</w:t>
            </w:r>
          </w:p>
        </w:tc>
        <w:tc>
          <w:tcPr>
            <w:tcW w:w="1002" w:type="dxa"/>
            <w:shd w:val="clear" w:color="auto" w:fill="D2232A" w:themeFill="accent1"/>
            <w:noWrap/>
            <w:vAlign w:val="center"/>
            <w:hideMark/>
          </w:tcPr>
          <w:p w14:paraId="004D4BDF" w14:textId="77777777" w:rsidR="008878A0" w:rsidRPr="001B403E" w:rsidRDefault="008878A0" w:rsidP="001B403E">
            <w:pPr>
              <w:spacing w:after="0"/>
              <w:jc w:val="right"/>
              <w:rPr>
                <w:b/>
                <w:bCs/>
                <w:color w:val="FFFFFF" w:themeColor="background1"/>
                <w:szCs w:val="18"/>
              </w:rPr>
            </w:pPr>
            <w:r w:rsidRPr="001B403E">
              <w:rPr>
                <w:b/>
                <w:bCs/>
                <w:color w:val="FFFFFF" w:themeColor="background1"/>
                <w:szCs w:val="18"/>
              </w:rPr>
              <w:t>2015.</w:t>
            </w:r>
          </w:p>
        </w:tc>
        <w:tc>
          <w:tcPr>
            <w:tcW w:w="951" w:type="dxa"/>
            <w:shd w:val="clear" w:color="auto" w:fill="D2232A" w:themeFill="accent1"/>
            <w:noWrap/>
            <w:vAlign w:val="center"/>
            <w:hideMark/>
          </w:tcPr>
          <w:p w14:paraId="30646B47" w14:textId="77777777" w:rsidR="008878A0" w:rsidRPr="001B403E" w:rsidRDefault="008878A0" w:rsidP="001B403E">
            <w:pPr>
              <w:spacing w:after="0"/>
              <w:jc w:val="right"/>
              <w:rPr>
                <w:b/>
                <w:bCs/>
                <w:color w:val="FFFFFF" w:themeColor="background1"/>
                <w:szCs w:val="18"/>
              </w:rPr>
            </w:pPr>
            <w:r w:rsidRPr="001B403E">
              <w:rPr>
                <w:b/>
                <w:bCs/>
                <w:color w:val="FFFFFF" w:themeColor="background1"/>
                <w:szCs w:val="18"/>
              </w:rPr>
              <w:t>2016.</w:t>
            </w:r>
          </w:p>
        </w:tc>
        <w:tc>
          <w:tcPr>
            <w:tcW w:w="1070" w:type="dxa"/>
            <w:shd w:val="clear" w:color="auto" w:fill="D2232A" w:themeFill="accent1"/>
            <w:noWrap/>
            <w:vAlign w:val="center"/>
            <w:hideMark/>
          </w:tcPr>
          <w:p w14:paraId="17743E4A" w14:textId="77777777" w:rsidR="008878A0" w:rsidRPr="001B403E" w:rsidRDefault="008878A0" w:rsidP="001B403E">
            <w:pPr>
              <w:spacing w:after="0"/>
              <w:jc w:val="right"/>
              <w:rPr>
                <w:b/>
                <w:bCs/>
                <w:color w:val="FFFFFF" w:themeColor="background1"/>
                <w:szCs w:val="18"/>
              </w:rPr>
            </w:pPr>
            <w:r w:rsidRPr="001B403E">
              <w:rPr>
                <w:b/>
                <w:bCs/>
                <w:color w:val="FFFFFF" w:themeColor="background1"/>
                <w:szCs w:val="18"/>
              </w:rPr>
              <w:t>2017.</w:t>
            </w:r>
          </w:p>
        </w:tc>
      </w:tr>
      <w:tr w:rsidR="008878A0" w:rsidRPr="001B403E" w14:paraId="192D5B61" w14:textId="77777777" w:rsidTr="00BD1528">
        <w:trPr>
          <w:trHeight w:val="295"/>
        </w:trPr>
        <w:tc>
          <w:tcPr>
            <w:tcW w:w="1782" w:type="dxa"/>
            <w:noWrap/>
            <w:vAlign w:val="center"/>
            <w:hideMark/>
          </w:tcPr>
          <w:p w14:paraId="7C354384" w14:textId="77777777" w:rsidR="008878A0" w:rsidRPr="001B403E" w:rsidRDefault="008878A0" w:rsidP="001B403E">
            <w:pPr>
              <w:spacing w:after="0"/>
              <w:rPr>
                <w:b/>
                <w:bCs/>
                <w:szCs w:val="18"/>
              </w:rPr>
            </w:pPr>
            <w:r w:rsidRPr="001B403E">
              <w:rPr>
                <w:szCs w:val="18"/>
              </w:rPr>
              <w:t>Gorjak</w:t>
            </w:r>
          </w:p>
        </w:tc>
        <w:tc>
          <w:tcPr>
            <w:tcW w:w="1070" w:type="dxa"/>
            <w:noWrap/>
            <w:vAlign w:val="center"/>
            <w:hideMark/>
          </w:tcPr>
          <w:p w14:paraId="226C23A7" w14:textId="77777777" w:rsidR="008878A0" w:rsidRPr="001B403E" w:rsidRDefault="008878A0" w:rsidP="001B403E">
            <w:pPr>
              <w:spacing w:after="0"/>
              <w:jc w:val="right"/>
              <w:rPr>
                <w:szCs w:val="18"/>
              </w:rPr>
            </w:pPr>
            <w:r w:rsidRPr="001B403E">
              <w:rPr>
                <w:szCs w:val="18"/>
              </w:rPr>
              <w:t>5053</w:t>
            </w:r>
          </w:p>
        </w:tc>
        <w:tc>
          <w:tcPr>
            <w:tcW w:w="1070" w:type="dxa"/>
            <w:noWrap/>
            <w:vAlign w:val="center"/>
            <w:hideMark/>
          </w:tcPr>
          <w:p w14:paraId="29A08B85" w14:textId="77777777" w:rsidR="008878A0" w:rsidRPr="001B403E" w:rsidRDefault="008878A0" w:rsidP="001B403E">
            <w:pPr>
              <w:spacing w:after="0"/>
              <w:jc w:val="right"/>
              <w:rPr>
                <w:szCs w:val="18"/>
              </w:rPr>
            </w:pPr>
            <w:r w:rsidRPr="001B403E">
              <w:rPr>
                <w:szCs w:val="18"/>
              </w:rPr>
              <w:t>6267</w:t>
            </w:r>
          </w:p>
        </w:tc>
        <w:tc>
          <w:tcPr>
            <w:tcW w:w="1137" w:type="dxa"/>
            <w:noWrap/>
            <w:vAlign w:val="center"/>
            <w:hideMark/>
          </w:tcPr>
          <w:p w14:paraId="0F153C98" w14:textId="77777777" w:rsidR="008878A0" w:rsidRPr="001B403E" w:rsidRDefault="008878A0" w:rsidP="001B403E">
            <w:pPr>
              <w:spacing w:after="0"/>
              <w:jc w:val="right"/>
              <w:rPr>
                <w:szCs w:val="18"/>
              </w:rPr>
            </w:pPr>
            <w:r w:rsidRPr="001B403E">
              <w:rPr>
                <w:szCs w:val="18"/>
              </w:rPr>
              <w:t>7296</w:t>
            </w:r>
          </w:p>
        </w:tc>
        <w:tc>
          <w:tcPr>
            <w:tcW w:w="1070" w:type="dxa"/>
            <w:noWrap/>
            <w:vAlign w:val="center"/>
            <w:hideMark/>
          </w:tcPr>
          <w:p w14:paraId="3CC24D70" w14:textId="77777777" w:rsidR="008878A0" w:rsidRPr="001B403E" w:rsidRDefault="008878A0" w:rsidP="001B403E">
            <w:pPr>
              <w:spacing w:after="0"/>
              <w:jc w:val="right"/>
              <w:rPr>
                <w:szCs w:val="18"/>
              </w:rPr>
            </w:pPr>
            <w:r w:rsidRPr="001B403E">
              <w:rPr>
                <w:szCs w:val="18"/>
              </w:rPr>
              <w:t>6591</w:t>
            </w:r>
          </w:p>
        </w:tc>
        <w:tc>
          <w:tcPr>
            <w:tcW w:w="1002" w:type="dxa"/>
            <w:noWrap/>
            <w:vAlign w:val="center"/>
            <w:hideMark/>
          </w:tcPr>
          <w:p w14:paraId="0521A0B3" w14:textId="77777777" w:rsidR="008878A0" w:rsidRPr="001B403E" w:rsidRDefault="008878A0" w:rsidP="001B403E">
            <w:pPr>
              <w:spacing w:after="0"/>
              <w:jc w:val="right"/>
              <w:rPr>
                <w:szCs w:val="18"/>
              </w:rPr>
            </w:pPr>
            <w:r w:rsidRPr="001B403E">
              <w:rPr>
                <w:szCs w:val="18"/>
              </w:rPr>
              <w:t>7338</w:t>
            </w:r>
          </w:p>
        </w:tc>
        <w:tc>
          <w:tcPr>
            <w:tcW w:w="951" w:type="dxa"/>
            <w:noWrap/>
            <w:vAlign w:val="center"/>
            <w:hideMark/>
          </w:tcPr>
          <w:p w14:paraId="761EB2CA" w14:textId="77777777" w:rsidR="008878A0" w:rsidRPr="001B403E" w:rsidRDefault="008878A0" w:rsidP="001B403E">
            <w:pPr>
              <w:spacing w:after="0"/>
              <w:jc w:val="right"/>
              <w:rPr>
                <w:szCs w:val="18"/>
              </w:rPr>
            </w:pPr>
            <w:r w:rsidRPr="001B403E">
              <w:rPr>
                <w:szCs w:val="18"/>
              </w:rPr>
              <w:t>7698</w:t>
            </w:r>
          </w:p>
        </w:tc>
        <w:tc>
          <w:tcPr>
            <w:tcW w:w="1070" w:type="dxa"/>
            <w:noWrap/>
            <w:vAlign w:val="center"/>
            <w:hideMark/>
          </w:tcPr>
          <w:p w14:paraId="12BDDF54" w14:textId="77777777" w:rsidR="008878A0" w:rsidRPr="001B403E" w:rsidRDefault="008878A0" w:rsidP="001B403E">
            <w:pPr>
              <w:spacing w:after="0"/>
              <w:jc w:val="right"/>
              <w:rPr>
                <w:szCs w:val="18"/>
              </w:rPr>
            </w:pPr>
            <w:r w:rsidRPr="001B403E">
              <w:rPr>
                <w:szCs w:val="18"/>
              </w:rPr>
              <w:t>6807</w:t>
            </w:r>
          </w:p>
        </w:tc>
      </w:tr>
      <w:tr w:rsidR="008878A0" w:rsidRPr="001B403E" w14:paraId="36D8ABEA" w14:textId="77777777" w:rsidTr="00BD1528">
        <w:trPr>
          <w:trHeight w:val="295"/>
        </w:trPr>
        <w:tc>
          <w:tcPr>
            <w:tcW w:w="1782" w:type="dxa"/>
            <w:noWrap/>
            <w:vAlign w:val="center"/>
            <w:hideMark/>
          </w:tcPr>
          <w:p w14:paraId="7C17651D" w14:textId="77777777" w:rsidR="008878A0" w:rsidRPr="001B403E" w:rsidRDefault="008878A0" w:rsidP="001B403E">
            <w:pPr>
              <w:spacing w:after="0"/>
              <w:rPr>
                <w:b/>
                <w:bCs/>
                <w:szCs w:val="18"/>
              </w:rPr>
            </w:pPr>
            <w:r w:rsidRPr="001B403E">
              <w:rPr>
                <w:szCs w:val="18"/>
              </w:rPr>
              <w:t>Gubaševo</w:t>
            </w:r>
          </w:p>
        </w:tc>
        <w:tc>
          <w:tcPr>
            <w:tcW w:w="1070" w:type="dxa"/>
            <w:noWrap/>
            <w:vAlign w:val="center"/>
            <w:hideMark/>
          </w:tcPr>
          <w:p w14:paraId="288EF150" w14:textId="77777777" w:rsidR="008878A0" w:rsidRPr="001B403E" w:rsidRDefault="008878A0" w:rsidP="001B403E">
            <w:pPr>
              <w:spacing w:after="0"/>
              <w:jc w:val="right"/>
              <w:rPr>
                <w:szCs w:val="18"/>
              </w:rPr>
            </w:pPr>
            <w:r w:rsidRPr="001B403E">
              <w:rPr>
                <w:szCs w:val="18"/>
              </w:rPr>
              <w:t>3164</w:t>
            </w:r>
          </w:p>
        </w:tc>
        <w:tc>
          <w:tcPr>
            <w:tcW w:w="1070" w:type="dxa"/>
            <w:noWrap/>
            <w:vAlign w:val="center"/>
            <w:hideMark/>
          </w:tcPr>
          <w:p w14:paraId="0ECC5392" w14:textId="77777777" w:rsidR="008878A0" w:rsidRPr="001B403E" w:rsidRDefault="008878A0" w:rsidP="001B403E">
            <w:pPr>
              <w:spacing w:after="0"/>
              <w:jc w:val="right"/>
              <w:rPr>
                <w:szCs w:val="18"/>
              </w:rPr>
            </w:pPr>
            <w:r w:rsidRPr="001B403E">
              <w:rPr>
                <w:szCs w:val="18"/>
              </w:rPr>
              <w:t>2920</w:t>
            </w:r>
          </w:p>
        </w:tc>
        <w:tc>
          <w:tcPr>
            <w:tcW w:w="1137" w:type="dxa"/>
            <w:noWrap/>
            <w:vAlign w:val="center"/>
            <w:hideMark/>
          </w:tcPr>
          <w:p w14:paraId="4FAEC2C8" w14:textId="77777777" w:rsidR="008878A0" w:rsidRPr="001B403E" w:rsidRDefault="008878A0" w:rsidP="001B403E">
            <w:pPr>
              <w:spacing w:after="0"/>
              <w:jc w:val="right"/>
              <w:rPr>
                <w:szCs w:val="18"/>
              </w:rPr>
            </w:pPr>
            <w:r w:rsidRPr="001B403E">
              <w:rPr>
                <w:szCs w:val="18"/>
              </w:rPr>
              <w:t>1965</w:t>
            </w:r>
          </w:p>
        </w:tc>
        <w:tc>
          <w:tcPr>
            <w:tcW w:w="1070" w:type="dxa"/>
            <w:noWrap/>
            <w:vAlign w:val="center"/>
            <w:hideMark/>
          </w:tcPr>
          <w:p w14:paraId="7E735C14" w14:textId="77777777" w:rsidR="008878A0" w:rsidRPr="001B403E" w:rsidRDefault="008878A0" w:rsidP="001B403E">
            <w:pPr>
              <w:spacing w:after="0"/>
              <w:jc w:val="right"/>
              <w:rPr>
                <w:szCs w:val="18"/>
              </w:rPr>
            </w:pPr>
            <w:r w:rsidRPr="001B403E">
              <w:rPr>
                <w:szCs w:val="18"/>
              </w:rPr>
              <w:t>1628</w:t>
            </w:r>
          </w:p>
        </w:tc>
        <w:tc>
          <w:tcPr>
            <w:tcW w:w="1002" w:type="dxa"/>
            <w:noWrap/>
            <w:vAlign w:val="center"/>
            <w:hideMark/>
          </w:tcPr>
          <w:p w14:paraId="2AA05AE9" w14:textId="77777777" w:rsidR="008878A0" w:rsidRPr="001B403E" w:rsidRDefault="008878A0" w:rsidP="001B403E">
            <w:pPr>
              <w:spacing w:after="0"/>
              <w:jc w:val="right"/>
              <w:rPr>
                <w:szCs w:val="18"/>
              </w:rPr>
            </w:pPr>
            <w:r w:rsidRPr="001B403E">
              <w:rPr>
                <w:szCs w:val="18"/>
              </w:rPr>
              <w:t>1526</w:t>
            </w:r>
          </w:p>
        </w:tc>
        <w:tc>
          <w:tcPr>
            <w:tcW w:w="951" w:type="dxa"/>
            <w:noWrap/>
            <w:vAlign w:val="center"/>
            <w:hideMark/>
          </w:tcPr>
          <w:p w14:paraId="64CC68FF" w14:textId="77777777" w:rsidR="008878A0" w:rsidRPr="001B403E" w:rsidRDefault="008878A0" w:rsidP="001B403E">
            <w:pPr>
              <w:spacing w:after="0"/>
              <w:jc w:val="right"/>
              <w:rPr>
                <w:szCs w:val="18"/>
              </w:rPr>
            </w:pPr>
            <w:r w:rsidRPr="001B403E">
              <w:rPr>
                <w:szCs w:val="18"/>
              </w:rPr>
              <w:t>1575</w:t>
            </w:r>
          </w:p>
        </w:tc>
        <w:tc>
          <w:tcPr>
            <w:tcW w:w="1070" w:type="dxa"/>
            <w:noWrap/>
            <w:vAlign w:val="center"/>
            <w:hideMark/>
          </w:tcPr>
          <w:p w14:paraId="10E4DC00" w14:textId="77777777" w:rsidR="008878A0" w:rsidRPr="001B403E" w:rsidRDefault="008878A0" w:rsidP="001B403E">
            <w:pPr>
              <w:spacing w:after="0"/>
              <w:jc w:val="right"/>
              <w:rPr>
                <w:szCs w:val="18"/>
              </w:rPr>
            </w:pPr>
            <w:r w:rsidRPr="001B403E">
              <w:rPr>
                <w:szCs w:val="18"/>
              </w:rPr>
              <w:t>1445</w:t>
            </w:r>
          </w:p>
        </w:tc>
      </w:tr>
      <w:tr w:rsidR="008878A0" w:rsidRPr="001B403E" w14:paraId="7EC661BC" w14:textId="77777777" w:rsidTr="00BD1528">
        <w:trPr>
          <w:trHeight w:val="295"/>
        </w:trPr>
        <w:tc>
          <w:tcPr>
            <w:tcW w:w="1782" w:type="dxa"/>
            <w:noWrap/>
            <w:vAlign w:val="center"/>
            <w:hideMark/>
          </w:tcPr>
          <w:p w14:paraId="31480786" w14:textId="77777777" w:rsidR="008878A0" w:rsidRPr="001B403E" w:rsidRDefault="008878A0" w:rsidP="001B403E">
            <w:pPr>
              <w:spacing w:after="0"/>
              <w:rPr>
                <w:b/>
                <w:bCs/>
                <w:szCs w:val="18"/>
              </w:rPr>
            </w:pPr>
            <w:r w:rsidRPr="001B403E">
              <w:rPr>
                <w:szCs w:val="18"/>
              </w:rPr>
              <w:t>Lesičak</w:t>
            </w:r>
          </w:p>
        </w:tc>
        <w:tc>
          <w:tcPr>
            <w:tcW w:w="1070" w:type="dxa"/>
            <w:noWrap/>
            <w:vAlign w:val="center"/>
            <w:hideMark/>
          </w:tcPr>
          <w:p w14:paraId="33557F84" w14:textId="77777777" w:rsidR="008878A0" w:rsidRPr="001B403E" w:rsidRDefault="008878A0" w:rsidP="001B403E">
            <w:pPr>
              <w:spacing w:after="0"/>
              <w:jc w:val="right"/>
              <w:rPr>
                <w:szCs w:val="18"/>
              </w:rPr>
            </w:pPr>
            <w:r w:rsidRPr="001B403E">
              <w:rPr>
                <w:szCs w:val="18"/>
              </w:rPr>
              <w:t>2019</w:t>
            </w:r>
          </w:p>
        </w:tc>
        <w:tc>
          <w:tcPr>
            <w:tcW w:w="1070" w:type="dxa"/>
            <w:noWrap/>
            <w:vAlign w:val="center"/>
            <w:hideMark/>
          </w:tcPr>
          <w:p w14:paraId="7209AAA4" w14:textId="77777777" w:rsidR="008878A0" w:rsidRPr="001B403E" w:rsidRDefault="008878A0" w:rsidP="001B403E">
            <w:pPr>
              <w:spacing w:after="0"/>
              <w:jc w:val="right"/>
              <w:rPr>
                <w:szCs w:val="18"/>
              </w:rPr>
            </w:pPr>
            <w:r w:rsidRPr="001B403E">
              <w:rPr>
                <w:szCs w:val="18"/>
              </w:rPr>
              <w:t>2085</w:t>
            </w:r>
          </w:p>
        </w:tc>
        <w:tc>
          <w:tcPr>
            <w:tcW w:w="1137" w:type="dxa"/>
            <w:noWrap/>
            <w:vAlign w:val="center"/>
            <w:hideMark/>
          </w:tcPr>
          <w:p w14:paraId="77E43E8D" w14:textId="77777777" w:rsidR="008878A0" w:rsidRPr="001B403E" w:rsidRDefault="008878A0" w:rsidP="001B403E">
            <w:pPr>
              <w:spacing w:after="0"/>
              <w:jc w:val="right"/>
              <w:rPr>
                <w:szCs w:val="18"/>
              </w:rPr>
            </w:pPr>
            <w:r w:rsidRPr="001B403E">
              <w:rPr>
                <w:szCs w:val="18"/>
              </w:rPr>
              <w:t>1496</w:t>
            </w:r>
          </w:p>
        </w:tc>
        <w:tc>
          <w:tcPr>
            <w:tcW w:w="1070" w:type="dxa"/>
            <w:noWrap/>
            <w:vAlign w:val="center"/>
            <w:hideMark/>
          </w:tcPr>
          <w:p w14:paraId="0A40937F" w14:textId="77777777" w:rsidR="008878A0" w:rsidRPr="001B403E" w:rsidRDefault="008878A0" w:rsidP="001B403E">
            <w:pPr>
              <w:spacing w:after="0"/>
              <w:jc w:val="right"/>
              <w:rPr>
                <w:szCs w:val="18"/>
              </w:rPr>
            </w:pPr>
            <w:r w:rsidRPr="001B403E">
              <w:rPr>
                <w:szCs w:val="18"/>
              </w:rPr>
              <w:t>1120</w:t>
            </w:r>
          </w:p>
        </w:tc>
        <w:tc>
          <w:tcPr>
            <w:tcW w:w="1002" w:type="dxa"/>
            <w:noWrap/>
            <w:vAlign w:val="center"/>
            <w:hideMark/>
          </w:tcPr>
          <w:p w14:paraId="6A6734BE" w14:textId="77777777" w:rsidR="008878A0" w:rsidRPr="001B403E" w:rsidRDefault="008878A0" w:rsidP="001B403E">
            <w:pPr>
              <w:spacing w:after="0"/>
              <w:jc w:val="right"/>
              <w:rPr>
                <w:szCs w:val="18"/>
              </w:rPr>
            </w:pPr>
            <w:r w:rsidRPr="001B403E">
              <w:rPr>
                <w:szCs w:val="18"/>
              </w:rPr>
              <w:t>1165</w:t>
            </w:r>
          </w:p>
        </w:tc>
        <w:tc>
          <w:tcPr>
            <w:tcW w:w="951" w:type="dxa"/>
            <w:noWrap/>
            <w:vAlign w:val="center"/>
            <w:hideMark/>
          </w:tcPr>
          <w:p w14:paraId="145F536A" w14:textId="77777777" w:rsidR="008878A0" w:rsidRPr="001B403E" w:rsidRDefault="008878A0" w:rsidP="001B403E">
            <w:pPr>
              <w:spacing w:after="0"/>
              <w:jc w:val="right"/>
              <w:rPr>
                <w:szCs w:val="18"/>
              </w:rPr>
            </w:pPr>
            <w:r w:rsidRPr="001B403E">
              <w:rPr>
                <w:szCs w:val="18"/>
              </w:rPr>
              <w:t>1004</w:t>
            </w:r>
          </w:p>
        </w:tc>
        <w:tc>
          <w:tcPr>
            <w:tcW w:w="1070" w:type="dxa"/>
            <w:noWrap/>
            <w:vAlign w:val="center"/>
            <w:hideMark/>
          </w:tcPr>
          <w:p w14:paraId="280FBCB0" w14:textId="77777777" w:rsidR="008878A0" w:rsidRPr="001B403E" w:rsidRDefault="008878A0" w:rsidP="001B403E">
            <w:pPr>
              <w:spacing w:after="0"/>
              <w:jc w:val="right"/>
              <w:rPr>
                <w:szCs w:val="18"/>
              </w:rPr>
            </w:pPr>
            <w:r w:rsidRPr="001B403E">
              <w:rPr>
                <w:szCs w:val="18"/>
              </w:rPr>
              <w:t>991</w:t>
            </w:r>
          </w:p>
        </w:tc>
      </w:tr>
      <w:tr w:rsidR="008878A0" w:rsidRPr="001B403E" w14:paraId="31A3B4FC" w14:textId="77777777" w:rsidTr="00BD1528">
        <w:trPr>
          <w:trHeight w:val="295"/>
        </w:trPr>
        <w:tc>
          <w:tcPr>
            <w:tcW w:w="1782" w:type="dxa"/>
            <w:noWrap/>
            <w:vAlign w:val="center"/>
            <w:hideMark/>
          </w:tcPr>
          <w:p w14:paraId="1BA0532C" w14:textId="77777777" w:rsidR="008878A0" w:rsidRPr="001B403E" w:rsidRDefault="008878A0" w:rsidP="001B403E">
            <w:pPr>
              <w:spacing w:after="0"/>
              <w:rPr>
                <w:b/>
                <w:bCs/>
                <w:szCs w:val="18"/>
              </w:rPr>
            </w:pPr>
            <w:r w:rsidRPr="001B403E">
              <w:rPr>
                <w:szCs w:val="18"/>
              </w:rPr>
              <w:t>Medvedov jarek</w:t>
            </w:r>
          </w:p>
        </w:tc>
        <w:tc>
          <w:tcPr>
            <w:tcW w:w="1070" w:type="dxa"/>
            <w:noWrap/>
            <w:vAlign w:val="center"/>
            <w:hideMark/>
          </w:tcPr>
          <w:p w14:paraId="70A38BC9" w14:textId="77777777" w:rsidR="008878A0" w:rsidRPr="001B403E" w:rsidRDefault="008878A0" w:rsidP="001B403E">
            <w:pPr>
              <w:spacing w:after="0"/>
              <w:jc w:val="right"/>
              <w:rPr>
                <w:szCs w:val="18"/>
              </w:rPr>
            </w:pPr>
            <w:r w:rsidRPr="001B403E">
              <w:rPr>
                <w:szCs w:val="18"/>
              </w:rPr>
              <w:t>2409</w:t>
            </w:r>
          </w:p>
        </w:tc>
        <w:tc>
          <w:tcPr>
            <w:tcW w:w="1070" w:type="dxa"/>
            <w:noWrap/>
            <w:vAlign w:val="center"/>
            <w:hideMark/>
          </w:tcPr>
          <w:p w14:paraId="4D367ED4" w14:textId="77777777" w:rsidR="008878A0" w:rsidRPr="001B403E" w:rsidRDefault="008878A0" w:rsidP="001B403E">
            <w:pPr>
              <w:spacing w:after="0"/>
              <w:jc w:val="right"/>
              <w:rPr>
                <w:szCs w:val="18"/>
              </w:rPr>
            </w:pPr>
            <w:r w:rsidRPr="001B403E">
              <w:rPr>
                <w:szCs w:val="18"/>
              </w:rPr>
              <w:t>2271</w:t>
            </w:r>
          </w:p>
        </w:tc>
        <w:tc>
          <w:tcPr>
            <w:tcW w:w="1137" w:type="dxa"/>
            <w:noWrap/>
            <w:vAlign w:val="center"/>
            <w:hideMark/>
          </w:tcPr>
          <w:p w14:paraId="3EAC5891" w14:textId="77777777" w:rsidR="008878A0" w:rsidRPr="001B403E" w:rsidRDefault="008878A0" w:rsidP="001B403E">
            <w:pPr>
              <w:spacing w:after="0"/>
              <w:jc w:val="right"/>
              <w:rPr>
                <w:szCs w:val="18"/>
              </w:rPr>
            </w:pPr>
            <w:r w:rsidRPr="001B403E">
              <w:rPr>
                <w:szCs w:val="18"/>
              </w:rPr>
              <w:t>2099</w:t>
            </w:r>
          </w:p>
        </w:tc>
        <w:tc>
          <w:tcPr>
            <w:tcW w:w="1070" w:type="dxa"/>
            <w:noWrap/>
            <w:vAlign w:val="center"/>
            <w:hideMark/>
          </w:tcPr>
          <w:p w14:paraId="74CE8C70" w14:textId="77777777" w:rsidR="008878A0" w:rsidRPr="001B403E" w:rsidRDefault="008878A0" w:rsidP="001B403E">
            <w:pPr>
              <w:spacing w:after="0"/>
              <w:jc w:val="right"/>
              <w:rPr>
                <w:szCs w:val="18"/>
              </w:rPr>
            </w:pPr>
            <w:r w:rsidRPr="001B403E">
              <w:rPr>
                <w:szCs w:val="18"/>
              </w:rPr>
              <w:t>1961</w:t>
            </w:r>
          </w:p>
        </w:tc>
        <w:tc>
          <w:tcPr>
            <w:tcW w:w="1002" w:type="dxa"/>
            <w:noWrap/>
            <w:vAlign w:val="center"/>
            <w:hideMark/>
          </w:tcPr>
          <w:p w14:paraId="32EE95C1" w14:textId="77777777" w:rsidR="008878A0" w:rsidRPr="001B403E" w:rsidRDefault="008878A0" w:rsidP="001B403E">
            <w:pPr>
              <w:spacing w:after="0"/>
              <w:jc w:val="right"/>
              <w:rPr>
                <w:szCs w:val="18"/>
              </w:rPr>
            </w:pPr>
            <w:r w:rsidRPr="001B403E">
              <w:rPr>
                <w:szCs w:val="18"/>
              </w:rPr>
              <w:t>1976</w:t>
            </w:r>
          </w:p>
        </w:tc>
        <w:tc>
          <w:tcPr>
            <w:tcW w:w="951" w:type="dxa"/>
            <w:noWrap/>
            <w:vAlign w:val="center"/>
            <w:hideMark/>
          </w:tcPr>
          <w:p w14:paraId="05F3EAB4" w14:textId="77777777" w:rsidR="008878A0" w:rsidRPr="001B403E" w:rsidRDefault="008878A0" w:rsidP="001B403E">
            <w:pPr>
              <w:spacing w:after="0"/>
              <w:jc w:val="right"/>
              <w:rPr>
                <w:szCs w:val="18"/>
              </w:rPr>
            </w:pPr>
            <w:r w:rsidRPr="001B403E">
              <w:rPr>
                <w:szCs w:val="18"/>
              </w:rPr>
              <w:t>1718</w:t>
            </w:r>
          </w:p>
        </w:tc>
        <w:tc>
          <w:tcPr>
            <w:tcW w:w="1070" w:type="dxa"/>
            <w:noWrap/>
            <w:vAlign w:val="center"/>
            <w:hideMark/>
          </w:tcPr>
          <w:p w14:paraId="797FA9D8" w14:textId="77777777" w:rsidR="008878A0" w:rsidRPr="001B403E" w:rsidRDefault="008878A0" w:rsidP="001B403E">
            <w:pPr>
              <w:spacing w:after="0"/>
              <w:jc w:val="right"/>
              <w:rPr>
                <w:szCs w:val="18"/>
              </w:rPr>
            </w:pPr>
            <w:r w:rsidRPr="001B403E">
              <w:rPr>
                <w:szCs w:val="18"/>
              </w:rPr>
              <w:t>1763</w:t>
            </w:r>
          </w:p>
        </w:tc>
      </w:tr>
      <w:tr w:rsidR="008878A0" w:rsidRPr="001B403E" w14:paraId="44268753" w14:textId="77777777" w:rsidTr="00BD1528">
        <w:trPr>
          <w:trHeight w:val="295"/>
        </w:trPr>
        <w:tc>
          <w:tcPr>
            <w:tcW w:w="1782" w:type="dxa"/>
            <w:noWrap/>
            <w:vAlign w:val="center"/>
            <w:hideMark/>
          </w:tcPr>
          <w:p w14:paraId="70630894" w14:textId="77777777" w:rsidR="008878A0" w:rsidRPr="001B403E" w:rsidRDefault="008878A0" w:rsidP="001B403E">
            <w:pPr>
              <w:spacing w:after="0"/>
              <w:rPr>
                <w:b/>
                <w:bCs/>
                <w:szCs w:val="18"/>
              </w:rPr>
            </w:pPr>
            <w:r w:rsidRPr="001B403E">
              <w:rPr>
                <w:szCs w:val="18"/>
              </w:rPr>
              <w:t>Straža (Hum na Sutli)</w:t>
            </w:r>
          </w:p>
        </w:tc>
        <w:tc>
          <w:tcPr>
            <w:tcW w:w="1070" w:type="dxa"/>
            <w:noWrap/>
            <w:vAlign w:val="center"/>
            <w:hideMark/>
          </w:tcPr>
          <w:p w14:paraId="224CF839" w14:textId="77777777" w:rsidR="008878A0" w:rsidRPr="001B403E" w:rsidRDefault="008878A0" w:rsidP="001B403E">
            <w:pPr>
              <w:spacing w:after="0"/>
              <w:jc w:val="right"/>
              <w:rPr>
                <w:szCs w:val="18"/>
              </w:rPr>
            </w:pPr>
            <w:r w:rsidRPr="001B403E">
              <w:rPr>
                <w:szCs w:val="18"/>
              </w:rPr>
              <w:t>1596</w:t>
            </w:r>
          </w:p>
        </w:tc>
        <w:tc>
          <w:tcPr>
            <w:tcW w:w="1070" w:type="dxa"/>
            <w:noWrap/>
            <w:vAlign w:val="center"/>
            <w:hideMark/>
          </w:tcPr>
          <w:p w14:paraId="7DDB7041" w14:textId="77777777" w:rsidR="008878A0" w:rsidRPr="001B403E" w:rsidRDefault="008878A0" w:rsidP="001B403E">
            <w:pPr>
              <w:spacing w:after="0"/>
              <w:jc w:val="right"/>
              <w:rPr>
                <w:szCs w:val="18"/>
              </w:rPr>
            </w:pPr>
            <w:r w:rsidRPr="001B403E">
              <w:rPr>
                <w:szCs w:val="18"/>
              </w:rPr>
              <w:t>1666</w:t>
            </w:r>
          </w:p>
        </w:tc>
        <w:tc>
          <w:tcPr>
            <w:tcW w:w="1137" w:type="dxa"/>
            <w:noWrap/>
            <w:vAlign w:val="center"/>
            <w:hideMark/>
          </w:tcPr>
          <w:p w14:paraId="666E6DBD" w14:textId="77777777" w:rsidR="008878A0" w:rsidRPr="001B403E" w:rsidRDefault="008878A0" w:rsidP="001B403E">
            <w:pPr>
              <w:spacing w:after="0"/>
              <w:jc w:val="right"/>
              <w:rPr>
                <w:szCs w:val="18"/>
              </w:rPr>
            </w:pPr>
            <w:r w:rsidRPr="001B403E">
              <w:rPr>
                <w:szCs w:val="18"/>
              </w:rPr>
              <w:t>1598</w:t>
            </w:r>
          </w:p>
        </w:tc>
        <w:tc>
          <w:tcPr>
            <w:tcW w:w="1070" w:type="dxa"/>
            <w:noWrap/>
            <w:vAlign w:val="center"/>
            <w:hideMark/>
          </w:tcPr>
          <w:p w14:paraId="3574DCE1" w14:textId="77777777" w:rsidR="008878A0" w:rsidRPr="001B403E" w:rsidRDefault="008878A0" w:rsidP="001B403E">
            <w:pPr>
              <w:spacing w:after="0"/>
              <w:jc w:val="right"/>
              <w:rPr>
                <w:szCs w:val="18"/>
              </w:rPr>
            </w:pPr>
            <w:r w:rsidRPr="001B403E">
              <w:rPr>
                <w:szCs w:val="18"/>
              </w:rPr>
              <w:t>1315</w:t>
            </w:r>
          </w:p>
        </w:tc>
        <w:tc>
          <w:tcPr>
            <w:tcW w:w="1002" w:type="dxa"/>
            <w:noWrap/>
            <w:vAlign w:val="center"/>
            <w:hideMark/>
          </w:tcPr>
          <w:p w14:paraId="5F4A68D2" w14:textId="77777777" w:rsidR="008878A0" w:rsidRPr="001B403E" w:rsidRDefault="008878A0" w:rsidP="001B403E">
            <w:pPr>
              <w:spacing w:after="0"/>
              <w:jc w:val="right"/>
              <w:rPr>
                <w:szCs w:val="18"/>
              </w:rPr>
            </w:pPr>
            <w:r w:rsidRPr="001B403E">
              <w:rPr>
                <w:szCs w:val="18"/>
              </w:rPr>
              <w:t>1085</w:t>
            </w:r>
          </w:p>
        </w:tc>
        <w:tc>
          <w:tcPr>
            <w:tcW w:w="951" w:type="dxa"/>
            <w:noWrap/>
            <w:vAlign w:val="center"/>
            <w:hideMark/>
          </w:tcPr>
          <w:p w14:paraId="44A42C43" w14:textId="77777777" w:rsidR="008878A0" w:rsidRPr="001B403E" w:rsidRDefault="008878A0" w:rsidP="001B403E">
            <w:pPr>
              <w:spacing w:after="0"/>
              <w:jc w:val="right"/>
              <w:rPr>
                <w:szCs w:val="18"/>
              </w:rPr>
            </w:pPr>
            <w:r w:rsidRPr="001B403E">
              <w:rPr>
                <w:szCs w:val="18"/>
              </w:rPr>
              <w:t>1191</w:t>
            </w:r>
          </w:p>
        </w:tc>
        <w:tc>
          <w:tcPr>
            <w:tcW w:w="1070" w:type="dxa"/>
            <w:noWrap/>
            <w:vAlign w:val="center"/>
            <w:hideMark/>
          </w:tcPr>
          <w:p w14:paraId="6942D65C" w14:textId="77777777" w:rsidR="008878A0" w:rsidRPr="001B403E" w:rsidRDefault="008878A0" w:rsidP="001B403E">
            <w:pPr>
              <w:spacing w:after="0"/>
              <w:jc w:val="right"/>
              <w:rPr>
                <w:szCs w:val="18"/>
              </w:rPr>
            </w:pPr>
            <w:r w:rsidRPr="001B403E">
              <w:rPr>
                <w:szCs w:val="18"/>
              </w:rPr>
              <w:t>1301</w:t>
            </w:r>
          </w:p>
        </w:tc>
      </w:tr>
      <w:tr w:rsidR="008878A0" w:rsidRPr="001B403E" w14:paraId="5C150504" w14:textId="77777777" w:rsidTr="00BD1528">
        <w:trPr>
          <w:trHeight w:val="295"/>
        </w:trPr>
        <w:tc>
          <w:tcPr>
            <w:tcW w:w="1782" w:type="dxa"/>
            <w:noWrap/>
            <w:vAlign w:val="center"/>
            <w:hideMark/>
          </w:tcPr>
          <w:p w14:paraId="15225751" w14:textId="77777777" w:rsidR="008878A0" w:rsidRPr="001B403E" w:rsidRDefault="008878A0" w:rsidP="001B403E">
            <w:pPr>
              <w:spacing w:after="0"/>
              <w:rPr>
                <w:b/>
                <w:bCs/>
                <w:szCs w:val="18"/>
              </w:rPr>
            </w:pPr>
            <w:r w:rsidRPr="001B403E">
              <w:rPr>
                <w:szCs w:val="18"/>
              </w:rPr>
              <w:t>Tugonica</w:t>
            </w:r>
          </w:p>
        </w:tc>
        <w:tc>
          <w:tcPr>
            <w:tcW w:w="1070" w:type="dxa"/>
            <w:noWrap/>
            <w:vAlign w:val="center"/>
            <w:hideMark/>
          </w:tcPr>
          <w:p w14:paraId="617C81EF" w14:textId="77777777" w:rsidR="008878A0" w:rsidRPr="001B403E" w:rsidRDefault="008878A0" w:rsidP="001B403E">
            <w:pPr>
              <w:spacing w:after="0"/>
              <w:jc w:val="right"/>
              <w:rPr>
                <w:szCs w:val="18"/>
              </w:rPr>
            </w:pPr>
            <w:r w:rsidRPr="001B403E">
              <w:rPr>
                <w:szCs w:val="18"/>
              </w:rPr>
              <w:t>4370</w:t>
            </w:r>
          </w:p>
        </w:tc>
        <w:tc>
          <w:tcPr>
            <w:tcW w:w="1070" w:type="dxa"/>
            <w:noWrap/>
            <w:vAlign w:val="center"/>
            <w:hideMark/>
          </w:tcPr>
          <w:p w14:paraId="0091A0EB" w14:textId="77777777" w:rsidR="008878A0" w:rsidRPr="001B403E" w:rsidRDefault="008878A0" w:rsidP="001B403E">
            <w:pPr>
              <w:spacing w:after="0"/>
              <w:jc w:val="right"/>
              <w:rPr>
                <w:szCs w:val="18"/>
              </w:rPr>
            </w:pPr>
            <w:r w:rsidRPr="001B403E">
              <w:rPr>
                <w:szCs w:val="18"/>
              </w:rPr>
              <w:t>4469</w:t>
            </w:r>
          </w:p>
        </w:tc>
        <w:tc>
          <w:tcPr>
            <w:tcW w:w="1137" w:type="dxa"/>
            <w:noWrap/>
            <w:vAlign w:val="center"/>
            <w:hideMark/>
          </w:tcPr>
          <w:p w14:paraId="6DD70AD8" w14:textId="77777777" w:rsidR="008878A0" w:rsidRPr="001B403E" w:rsidRDefault="008878A0" w:rsidP="001B403E">
            <w:pPr>
              <w:spacing w:after="0"/>
              <w:jc w:val="right"/>
              <w:rPr>
                <w:szCs w:val="18"/>
              </w:rPr>
            </w:pPr>
            <w:r w:rsidRPr="001B403E">
              <w:rPr>
                <w:szCs w:val="18"/>
              </w:rPr>
              <w:t>3581</w:t>
            </w:r>
          </w:p>
        </w:tc>
        <w:tc>
          <w:tcPr>
            <w:tcW w:w="1070" w:type="dxa"/>
            <w:noWrap/>
            <w:vAlign w:val="center"/>
            <w:hideMark/>
          </w:tcPr>
          <w:p w14:paraId="6DC7F881" w14:textId="77777777" w:rsidR="008878A0" w:rsidRPr="001B403E" w:rsidRDefault="008878A0" w:rsidP="001B403E">
            <w:pPr>
              <w:spacing w:after="0"/>
              <w:jc w:val="right"/>
              <w:rPr>
                <w:szCs w:val="18"/>
              </w:rPr>
            </w:pPr>
            <w:r w:rsidRPr="001B403E">
              <w:rPr>
                <w:szCs w:val="18"/>
              </w:rPr>
              <w:t>3517</w:t>
            </w:r>
          </w:p>
        </w:tc>
        <w:tc>
          <w:tcPr>
            <w:tcW w:w="1002" w:type="dxa"/>
            <w:noWrap/>
            <w:vAlign w:val="center"/>
            <w:hideMark/>
          </w:tcPr>
          <w:p w14:paraId="2B9551CB" w14:textId="77777777" w:rsidR="008878A0" w:rsidRPr="001B403E" w:rsidRDefault="008878A0" w:rsidP="001B403E">
            <w:pPr>
              <w:spacing w:after="0"/>
              <w:jc w:val="right"/>
              <w:rPr>
                <w:szCs w:val="18"/>
              </w:rPr>
            </w:pPr>
            <w:r w:rsidRPr="001B403E">
              <w:rPr>
                <w:szCs w:val="18"/>
              </w:rPr>
              <w:t>3389</w:t>
            </w:r>
          </w:p>
        </w:tc>
        <w:tc>
          <w:tcPr>
            <w:tcW w:w="951" w:type="dxa"/>
            <w:noWrap/>
            <w:vAlign w:val="center"/>
            <w:hideMark/>
          </w:tcPr>
          <w:p w14:paraId="1A6FA600" w14:textId="77777777" w:rsidR="008878A0" w:rsidRPr="001B403E" w:rsidRDefault="008878A0" w:rsidP="001B403E">
            <w:pPr>
              <w:spacing w:after="0"/>
              <w:jc w:val="right"/>
              <w:rPr>
                <w:szCs w:val="18"/>
              </w:rPr>
            </w:pPr>
            <w:r w:rsidRPr="001B403E">
              <w:rPr>
                <w:szCs w:val="18"/>
              </w:rPr>
              <w:t>3383</w:t>
            </w:r>
          </w:p>
        </w:tc>
        <w:tc>
          <w:tcPr>
            <w:tcW w:w="1070" w:type="dxa"/>
            <w:noWrap/>
            <w:vAlign w:val="center"/>
            <w:hideMark/>
          </w:tcPr>
          <w:p w14:paraId="48400BE4" w14:textId="77777777" w:rsidR="008878A0" w:rsidRPr="001B403E" w:rsidRDefault="008878A0" w:rsidP="001B403E">
            <w:pPr>
              <w:spacing w:after="0"/>
              <w:jc w:val="right"/>
              <w:rPr>
                <w:szCs w:val="18"/>
              </w:rPr>
            </w:pPr>
            <w:r w:rsidRPr="001B403E">
              <w:rPr>
                <w:szCs w:val="18"/>
              </w:rPr>
              <w:t>3361</w:t>
            </w:r>
          </w:p>
        </w:tc>
      </w:tr>
      <w:tr w:rsidR="008878A0" w:rsidRPr="001B403E" w14:paraId="30688D8B" w14:textId="77777777" w:rsidTr="00BD1528">
        <w:trPr>
          <w:trHeight w:val="295"/>
        </w:trPr>
        <w:tc>
          <w:tcPr>
            <w:tcW w:w="1782" w:type="dxa"/>
            <w:noWrap/>
            <w:vAlign w:val="center"/>
            <w:hideMark/>
          </w:tcPr>
          <w:p w14:paraId="2D6E4677" w14:textId="77777777" w:rsidR="008878A0" w:rsidRPr="001B403E" w:rsidRDefault="008878A0" w:rsidP="001B403E">
            <w:pPr>
              <w:spacing w:after="0"/>
              <w:rPr>
                <w:b/>
                <w:bCs/>
                <w:szCs w:val="18"/>
              </w:rPr>
            </w:pPr>
            <w:r w:rsidRPr="001B403E">
              <w:rPr>
                <w:szCs w:val="18"/>
              </w:rPr>
              <w:t>Ukupno</w:t>
            </w:r>
          </w:p>
        </w:tc>
        <w:tc>
          <w:tcPr>
            <w:tcW w:w="1070" w:type="dxa"/>
            <w:noWrap/>
            <w:vAlign w:val="center"/>
            <w:hideMark/>
          </w:tcPr>
          <w:p w14:paraId="7A921F2A" w14:textId="77777777" w:rsidR="008878A0" w:rsidRPr="001B403E" w:rsidRDefault="008878A0" w:rsidP="001B403E">
            <w:pPr>
              <w:spacing w:after="0"/>
              <w:jc w:val="right"/>
              <w:rPr>
                <w:b/>
                <w:bCs/>
                <w:szCs w:val="18"/>
              </w:rPr>
            </w:pPr>
            <w:r w:rsidRPr="001B403E">
              <w:rPr>
                <w:szCs w:val="18"/>
              </w:rPr>
              <w:t>18611</w:t>
            </w:r>
          </w:p>
        </w:tc>
        <w:tc>
          <w:tcPr>
            <w:tcW w:w="1070" w:type="dxa"/>
            <w:noWrap/>
            <w:vAlign w:val="center"/>
            <w:hideMark/>
          </w:tcPr>
          <w:p w14:paraId="52C28997" w14:textId="77777777" w:rsidR="008878A0" w:rsidRPr="001B403E" w:rsidRDefault="008878A0" w:rsidP="001B403E">
            <w:pPr>
              <w:spacing w:after="0"/>
              <w:jc w:val="right"/>
              <w:rPr>
                <w:b/>
                <w:bCs/>
                <w:szCs w:val="18"/>
              </w:rPr>
            </w:pPr>
            <w:r w:rsidRPr="001B403E">
              <w:rPr>
                <w:szCs w:val="18"/>
              </w:rPr>
              <w:t>19678</w:t>
            </w:r>
          </w:p>
        </w:tc>
        <w:tc>
          <w:tcPr>
            <w:tcW w:w="1137" w:type="dxa"/>
            <w:noWrap/>
            <w:vAlign w:val="center"/>
            <w:hideMark/>
          </w:tcPr>
          <w:p w14:paraId="0C253F19" w14:textId="77777777" w:rsidR="008878A0" w:rsidRPr="001B403E" w:rsidRDefault="008878A0" w:rsidP="001B403E">
            <w:pPr>
              <w:spacing w:after="0"/>
              <w:jc w:val="right"/>
              <w:rPr>
                <w:b/>
                <w:bCs/>
                <w:szCs w:val="18"/>
              </w:rPr>
            </w:pPr>
            <w:r w:rsidRPr="001B403E">
              <w:rPr>
                <w:szCs w:val="18"/>
              </w:rPr>
              <w:t>18035</w:t>
            </w:r>
          </w:p>
        </w:tc>
        <w:tc>
          <w:tcPr>
            <w:tcW w:w="1070" w:type="dxa"/>
            <w:noWrap/>
            <w:vAlign w:val="center"/>
            <w:hideMark/>
          </w:tcPr>
          <w:p w14:paraId="0BF26260" w14:textId="77777777" w:rsidR="008878A0" w:rsidRPr="001B403E" w:rsidRDefault="008878A0" w:rsidP="001B403E">
            <w:pPr>
              <w:spacing w:after="0"/>
              <w:jc w:val="right"/>
              <w:rPr>
                <w:b/>
                <w:bCs/>
                <w:szCs w:val="18"/>
              </w:rPr>
            </w:pPr>
            <w:r w:rsidRPr="001B403E">
              <w:rPr>
                <w:szCs w:val="18"/>
              </w:rPr>
              <w:t>16132</w:t>
            </w:r>
          </w:p>
        </w:tc>
        <w:tc>
          <w:tcPr>
            <w:tcW w:w="1002" w:type="dxa"/>
            <w:noWrap/>
            <w:vAlign w:val="center"/>
            <w:hideMark/>
          </w:tcPr>
          <w:p w14:paraId="6CB4AA81" w14:textId="77777777" w:rsidR="008878A0" w:rsidRPr="001B403E" w:rsidRDefault="008878A0" w:rsidP="001B403E">
            <w:pPr>
              <w:spacing w:after="0"/>
              <w:jc w:val="right"/>
              <w:rPr>
                <w:b/>
                <w:bCs/>
                <w:szCs w:val="18"/>
              </w:rPr>
            </w:pPr>
            <w:r w:rsidRPr="001B403E">
              <w:rPr>
                <w:szCs w:val="18"/>
              </w:rPr>
              <w:t>16479</w:t>
            </w:r>
          </w:p>
        </w:tc>
        <w:tc>
          <w:tcPr>
            <w:tcW w:w="951" w:type="dxa"/>
            <w:noWrap/>
            <w:vAlign w:val="center"/>
            <w:hideMark/>
          </w:tcPr>
          <w:p w14:paraId="69FE0874" w14:textId="77777777" w:rsidR="008878A0" w:rsidRPr="001B403E" w:rsidRDefault="008878A0" w:rsidP="001B403E">
            <w:pPr>
              <w:spacing w:after="0"/>
              <w:jc w:val="right"/>
              <w:rPr>
                <w:b/>
                <w:bCs/>
                <w:szCs w:val="18"/>
              </w:rPr>
            </w:pPr>
            <w:r w:rsidRPr="001B403E">
              <w:rPr>
                <w:szCs w:val="18"/>
              </w:rPr>
              <w:t>16569</w:t>
            </w:r>
          </w:p>
        </w:tc>
        <w:tc>
          <w:tcPr>
            <w:tcW w:w="1070" w:type="dxa"/>
            <w:noWrap/>
            <w:vAlign w:val="center"/>
            <w:hideMark/>
          </w:tcPr>
          <w:p w14:paraId="51973211" w14:textId="77777777" w:rsidR="008878A0" w:rsidRPr="001B403E" w:rsidRDefault="008878A0" w:rsidP="001B403E">
            <w:pPr>
              <w:spacing w:after="0"/>
              <w:jc w:val="right"/>
              <w:rPr>
                <w:b/>
                <w:bCs/>
                <w:szCs w:val="18"/>
              </w:rPr>
            </w:pPr>
            <w:r w:rsidRPr="001B403E">
              <w:rPr>
                <w:szCs w:val="18"/>
              </w:rPr>
              <w:t>15668</w:t>
            </w:r>
          </w:p>
        </w:tc>
      </w:tr>
    </w:tbl>
    <w:p w14:paraId="360ADF65" w14:textId="5E3E3064" w:rsidR="008878A0" w:rsidRPr="00BD6B22" w:rsidRDefault="008878A0" w:rsidP="003C2276">
      <w:pPr>
        <w:pStyle w:val="Izvor"/>
        <w:rPr>
          <w:i/>
          <w:color w:val="ABABAB" w:themeColor="text1" w:themeTint="A6"/>
          <w:sz w:val="16"/>
          <w:szCs w:val="16"/>
        </w:rPr>
      </w:pPr>
      <w:r w:rsidRPr="00BD6B22">
        <w:rPr>
          <w:i/>
          <w:color w:val="ABABAB" w:themeColor="text1" w:themeTint="A6"/>
          <w:sz w:val="16"/>
          <w:szCs w:val="16"/>
        </w:rPr>
        <w:t xml:space="preserve">Izvor: Hrvatska agencija za okoliš i prirodu, Izvješće o komunalnom otpadu, 2017. </w:t>
      </w:r>
    </w:p>
    <w:p w14:paraId="5A28ED9F" w14:textId="572DB0B2" w:rsidR="008878A0" w:rsidRDefault="008878A0" w:rsidP="00675CE7">
      <w:r>
        <w:br/>
        <w:t xml:space="preserve">Iz </w:t>
      </w:r>
      <w:r w:rsidR="00B01B5C">
        <w:t>T</w:t>
      </w:r>
      <w:r>
        <w:t>abele</w:t>
      </w:r>
      <w:r w:rsidR="00B01B5C">
        <w:t xml:space="preserve"> 94</w:t>
      </w:r>
      <w:r w:rsidR="0088432A">
        <w:t>.</w:t>
      </w:r>
      <w:r>
        <w:t xml:space="preserve"> u kojoj </w:t>
      </w:r>
      <w:r w:rsidR="00346711">
        <w:t xml:space="preserve">su prikazani podaci </w:t>
      </w:r>
      <w:r>
        <w:t>o odloženim količinama komunalnog otpada na odlagališta Krapinsko-zagorske županije u periodu 2011.-2017., vidljivo je kontinuirano smanjivanje količina komunalnog otpada na odlagališta</w:t>
      </w:r>
      <w:r w:rsidR="00D20FDF">
        <w:t>.</w:t>
      </w:r>
      <w:r>
        <w:t xml:space="preserve"> </w:t>
      </w:r>
      <w:r w:rsidR="00A22CC4">
        <w:t>S</w:t>
      </w:r>
      <w:r>
        <w:t xml:space="preserve">ve </w:t>
      </w:r>
      <w:r w:rsidR="00A22CC4">
        <w:t xml:space="preserve">je </w:t>
      </w:r>
      <w:r>
        <w:t>veći postotak recikliranja iskoristivih komponenti otpada gdje najviše odvojenih vrsta otpada iz komunalnog otpada čine glomazni otpad, otpad od papira i kartona, metali te biorazgradivi otpad iz vrtova i parkova, osobito na područj</w:t>
      </w:r>
      <w:r w:rsidR="00675CE7">
        <w:t>ima</w:t>
      </w:r>
      <w:r>
        <w:t xml:space="preserve"> gradova. Oko polovice odvojeno skupljenih vrsta iz komunalnog otpada izravno preuzimaju oporabitelji, dok preostalu količinu  preuz</w:t>
      </w:r>
      <w:r w:rsidR="00A22CC4">
        <w:t>i</w:t>
      </w:r>
      <w:r>
        <w:t>m</w:t>
      </w:r>
      <w:r w:rsidR="00A22CC4">
        <w:t>aj</w:t>
      </w:r>
      <w:r>
        <w:t>u odlagališta gdje se eventualno još određena mala količina otpada izdvoji za potrebe oporabe. Odvojeno prikupljanje krupnog, glomaznog otpada osiguravaju sve jedinice lokalne samouprave na način da se skupljanje i odvoz provodi jednom ili dva puta godišnje, odnosno prema pozivu.</w:t>
      </w:r>
    </w:p>
    <w:p w14:paraId="6F30D4FC" w14:textId="6B5F5818" w:rsidR="008878A0" w:rsidRDefault="008878A0" w:rsidP="00941871">
      <w:r>
        <w:t>Zakonom o održivom gospodarenju otpadom biorazgradivi komunalni otpad definiran je kao otpad nastao u kućanstvu i otpad koji je po prirodi i sastavu sličan otpadu iz kućanstva, osim proizvodnog otpada i otpada iz poljoprivrede</w:t>
      </w:r>
      <w:r w:rsidR="00DF1628">
        <w:t xml:space="preserve"> i</w:t>
      </w:r>
      <w:r>
        <w:t xml:space="preserve"> šumarstva, a koji u svom sastavu sadrži biološki razgradiv otpad. Procesom prerade biorazgradivog komunalnog otpada, kompostiranjem, smanjuje se količina komunalnog otpada koju je potrebno odložiti</w:t>
      </w:r>
      <w:r w:rsidR="00DF1628">
        <w:t>.</w:t>
      </w:r>
      <w:r>
        <w:t xml:space="preserve"> Na području Županije, jedinice lokalne samouprave u kojima se provodi odvojeno sakupljanje biootpada iz komunalnog otpada su Đurmanec, Gornja Stubica, Hum na Sutli i Krapina. U 2017. godini ukupno </w:t>
      </w:r>
      <w:r w:rsidR="000F06D0">
        <w:t>su</w:t>
      </w:r>
      <w:r>
        <w:t xml:space="preserve"> prikupljen</w:t>
      </w:r>
      <w:r w:rsidR="000F06D0">
        <w:t>e</w:t>
      </w:r>
      <w:r>
        <w:t xml:space="preserve"> 14.332 ton</w:t>
      </w:r>
      <w:r w:rsidR="000F06D0">
        <w:t>e</w:t>
      </w:r>
      <w:r>
        <w:t xml:space="preserve"> biootpada, što čini 1.6% ukupno prikupljenog biootpada u Republici Hrvatskoj. Istovremeno, primjetan je snažan pozitivan trend prikupljanja biootpada. Od referentne godine 2014. do 2017. količine prikupljenog biootpada povećane su s 401 tone na 14 332 tone, to jest, u vrlo kratkom razdoblju prikupljeno je 3474% biootpada više.</w:t>
      </w:r>
    </w:p>
    <w:p w14:paraId="43C38934" w14:textId="77777777" w:rsidR="00F367A0" w:rsidRDefault="00F367A0" w:rsidP="00941871"/>
    <w:p w14:paraId="3F67BAC9" w14:textId="740030D2" w:rsidR="008878A0" w:rsidRDefault="008878A0" w:rsidP="003E3F3C">
      <w:pPr>
        <w:pStyle w:val="Opisslike"/>
      </w:pPr>
      <w:r>
        <w:lastRenderedPageBreak/>
        <w:t>Grafikon</w:t>
      </w:r>
      <w:r w:rsidR="00BD6B22">
        <w:rPr>
          <w:noProof/>
        </w:rPr>
        <w:t xml:space="preserve"> 6</w:t>
      </w:r>
      <w:r w:rsidR="00C71B24">
        <w:rPr>
          <w:noProof/>
        </w:rPr>
        <w:t>7</w:t>
      </w:r>
      <w:r w:rsidR="00E745AE">
        <w:rPr>
          <w:noProof/>
        </w:rPr>
        <w:t>.</w:t>
      </w:r>
      <w:r>
        <w:t xml:space="preserve"> Količina prikupljenog biootpada 2014.-2017.</w:t>
      </w:r>
    </w:p>
    <w:p w14:paraId="097598F3" w14:textId="77777777" w:rsidR="008878A0" w:rsidRDefault="008878A0" w:rsidP="00941871">
      <w:r>
        <w:rPr>
          <w:noProof/>
          <w:lang w:eastAsia="hr-HR"/>
        </w:rPr>
        <w:drawing>
          <wp:inline distT="0" distB="0" distL="0" distR="0" wp14:anchorId="2615E7E6" wp14:editId="544CCF72">
            <wp:extent cx="5908964" cy="2112818"/>
            <wp:effectExtent l="0" t="0" r="15875" b="1905"/>
            <wp:docPr id="231" name="Chart 231">
              <a:extLst xmlns:a="http://schemas.openxmlformats.org/drawingml/2006/main">
                <a:ext uri="{FF2B5EF4-FFF2-40B4-BE49-F238E27FC236}">
                  <a16:creationId xmlns:a16="http://schemas.microsoft.com/office/drawing/2014/main" id="{C6F44CDD-46F4-47BD-879A-94F5AF94FA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7F795347" w14:textId="01A416FB" w:rsidR="008878A0" w:rsidRPr="00BD6B22" w:rsidRDefault="008878A0" w:rsidP="003C2276">
      <w:pPr>
        <w:pStyle w:val="Izvor"/>
        <w:rPr>
          <w:i/>
          <w:color w:val="ABABAB" w:themeColor="text1" w:themeTint="A6"/>
          <w:sz w:val="16"/>
          <w:szCs w:val="16"/>
        </w:rPr>
      </w:pPr>
      <w:r w:rsidRPr="00BD6B22">
        <w:rPr>
          <w:i/>
          <w:color w:val="ABABAB" w:themeColor="text1" w:themeTint="A6"/>
          <w:sz w:val="16"/>
          <w:szCs w:val="16"/>
        </w:rPr>
        <w:t xml:space="preserve">Izvor: Hrvatska agencija za okoliš i prirodu, Izvješće o komunalnom otpadu,2014.-2017. </w:t>
      </w:r>
    </w:p>
    <w:p w14:paraId="3F931355" w14:textId="77777777" w:rsidR="00E745AE" w:rsidRDefault="00E745AE" w:rsidP="00941871"/>
    <w:p w14:paraId="6C7CC30D" w14:textId="0B6F155C" w:rsidR="008878A0" w:rsidRDefault="008878A0" w:rsidP="00941871">
      <w:r>
        <w:t>Industrijski i opasni otpad nastao na području Krapinsko-zagorske županije proizvođači otpada dužni su odvojeno prikupljati po vrsti i predati osobi koja obavlja djelatnost gospodarenja otpadom sukladno zakonu kojim je regulirano gospodarenje otpadom. Odvojeno prikupljeni otpad pravna i fizička osoba-obrtnik koja ima ishođenu dozvolu za gospodarenje otpadom dužna je zbrinuti preporučenim načinom obrade (kemijsko-fizikalni, biološki, termički i odlaganje otpada). Na području Krapinsko-zagorske županije 37 tvrtki posjeduje dozvole za gospodarenje neopasnim otpadom među kojima u Zaboku posluje tvrtka C.I.A.K. d.o.o. iz Zagreba koja se bavi gospodarenjem opasnim i neopasnim otpadom te na toj lokaciji posjeduje građevinu za privremeno skladištenje i obradu opasnog i neopasnog otpada.</w:t>
      </w:r>
    </w:p>
    <w:p w14:paraId="4BD9554F" w14:textId="21072B54" w:rsidR="00BE12E9" w:rsidRDefault="008878A0" w:rsidP="00BE12E9">
      <w:r>
        <w:t>Na području Krapinsko-zagorske županije postoji više divljih odlagališta otpada, odnosno manjih neuređenih prostora koji nisu predviđeni za odlaganje otpada, a formirali su ih najčešće građani gdje odbacuju građevinski, miješani komunalni otpad i glomazni otpad. U 2019. godini na području Krapinsko-zagorske županije prema evidencijama postojalo je 68 divljih odlagališta otpada koje je potrebno sanirati. Brojka je značajno niža od podataka o 2013. godini, kada je na istom području postojalo 255 divljih odlagališta. Također, primjećuje se trend smanjivanja broja odlagališta u periodu 2016.-2019. godine. Godine 2016. divljih odlagališta bi</w:t>
      </w:r>
      <w:r w:rsidR="004A4B2F">
        <w:t>l</w:t>
      </w:r>
      <w:r>
        <w:t xml:space="preserve">o je 94, a do 2019. godine njihov se broj smanjio za 27% </w:t>
      </w:r>
      <w:r w:rsidR="004A4B2F">
        <w:t xml:space="preserve">pa ih je sada </w:t>
      </w:r>
      <w:r>
        <w:t xml:space="preserve">68. Najviše divljih odlagališta nalazi se u općini Bedekovčina, Mače, Sveti Križ Začretje i </w:t>
      </w:r>
      <w:r w:rsidR="00BC1704">
        <w:t xml:space="preserve">Gradu </w:t>
      </w:r>
      <w:r>
        <w:t>Zlatar, to jest, po šest divljih odlagališta u svakoj navedenoj općini</w:t>
      </w:r>
      <w:r w:rsidR="001871A2">
        <w:t xml:space="preserve"> i gradu</w:t>
      </w:r>
      <w:r>
        <w:t>. Tablica u nastavku prikazuje broj i lokacije divljih odlagališta u periodu 2016.-2019. Prema inform</w:t>
      </w:r>
      <w:r w:rsidRPr="004B3256">
        <w:t>acijama dobiveni</w:t>
      </w:r>
      <w:r w:rsidR="004B3256" w:rsidRPr="004B3256">
        <w:t>m</w:t>
      </w:r>
      <w:r w:rsidRPr="004B3256">
        <w:t xml:space="preserve"> od </w:t>
      </w:r>
      <w:r w:rsidR="004B3256" w:rsidRPr="004B3256">
        <w:t>relevantnih dionika</w:t>
      </w:r>
      <w:r w:rsidRPr="004B3256">
        <w:t xml:space="preserve"> u studenom 2019. godine, faktori koji uzrokuju nastajanje divljih odlagališta otpada u prvom</w:t>
      </w:r>
      <w:r>
        <w:t xml:space="preserve"> su redu promjene u dinamici odvoza otpada, porast cijena usluge odvoza otpada te nedovoljno razvijena svijest o štetnosti divljih odlagališta. Uzrok visokoj cijeni usluge odvoza otpada je nepostojanje adekvatne konkurencije među pružateljima usluge na tržištu Krapinsko-zagorske županije. </w:t>
      </w:r>
    </w:p>
    <w:p w14:paraId="2B15EC5D" w14:textId="77777777" w:rsidR="00F367A0" w:rsidRDefault="00F367A0" w:rsidP="00BE12E9"/>
    <w:p w14:paraId="0198C740" w14:textId="32697306" w:rsidR="00E745AE" w:rsidRDefault="00E745AE" w:rsidP="003E3F3C">
      <w:pPr>
        <w:pStyle w:val="Opisslike"/>
      </w:pPr>
      <w:r>
        <w:t>Tablica</w:t>
      </w:r>
      <w:r w:rsidR="00BD6B22">
        <w:t xml:space="preserve"> 1</w:t>
      </w:r>
      <w:r w:rsidR="00741E4F">
        <w:t>78</w:t>
      </w:r>
      <w:r>
        <w:t xml:space="preserve">. </w:t>
      </w:r>
      <w:r w:rsidRPr="003A1EF2">
        <w:t>Broj i lokacije divljih odlagališta u Krapinsko-zagorskoj županiji u periodu 2016.-2019.</w:t>
      </w:r>
    </w:p>
    <w:tbl>
      <w:tblPr>
        <w:tblW w:w="9382" w:type="dxa"/>
        <w:tblBorders>
          <w:right w:val="single" w:sz="8" w:space="0" w:color="D2232A"/>
          <w:insideH w:val="single" w:sz="8" w:space="0" w:color="F3CFC1"/>
        </w:tblBorders>
        <w:tblLook w:val="04A0" w:firstRow="1" w:lastRow="0" w:firstColumn="1" w:lastColumn="0" w:noHBand="0" w:noVBand="1"/>
      </w:tblPr>
      <w:tblGrid>
        <w:gridCol w:w="2464"/>
        <w:gridCol w:w="1584"/>
        <w:gridCol w:w="1584"/>
        <w:gridCol w:w="1584"/>
        <w:gridCol w:w="2166"/>
      </w:tblGrid>
      <w:tr w:rsidR="00BE12E9" w:rsidRPr="00BE12E9" w14:paraId="39DE9A92" w14:textId="77777777" w:rsidTr="00E745AE">
        <w:trPr>
          <w:trHeight w:val="247"/>
          <w:tblHeader/>
        </w:trPr>
        <w:tc>
          <w:tcPr>
            <w:tcW w:w="2464" w:type="dxa"/>
            <w:shd w:val="clear" w:color="auto" w:fill="D2232A" w:themeFill="accent1"/>
            <w:vAlign w:val="center"/>
            <w:hideMark/>
          </w:tcPr>
          <w:p w14:paraId="48117ED9" w14:textId="77777777" w:rsidR="008878A0" w:rsidRPr="00BE12E9" w:rsidRDefault="008878A0" w:rsidP="00941871">
            <w:pPr>
              <w:spacing w:after="0" w:line="240" w:lineRule="auto"/>
              <w:rPr>
                <w:rFonts w:eastAsia="Times New Roman" w:cs="Calibri"/>
                <w:b/>
                <w:bCs/>
                <w:lang w:eastAsia="en-GB"/>
              </w:rPr>
            </w:pPr>
            <w:r w:rsidRPr="00BE12E9">
              <w:rPr>
                <w:rFonts w:ascii="Calibri" w:eastAsia="Times New Roman" w:hAnsi="Calibri" w:cs="Calibri"/>
                <w:b/>
                <w:bCs/>
                <w:lang w:eastAsia="en-GB"/>
              </w:rPr>
              <w:t> </w:t>
            </w:r>
          </w:p>
        </w:tc>
        <w:tc>
          <w:tcPr>
            <w:tcW w:w="6918" w:type="dxa"/>
            <w:gridSpan w:val="4"/>
            <w:shd w:val="clear" w:color="auto" w:fill="D2232A" w:themeFill="accent1"/>
            <w:vAlign w:val="center"/>
            <w:hideMark/>
          </w:tcPr>
          <w:p w14:paraId="623C2EDC" w14:textId="77777777" w:rsidR="008878A0" w:rsidRPr="00BE12E9" w:rsidRDefault="008878A0" w:rsidP="00BE12E9">
            <w:pPr>
              <w:spacing w:after="0" w:line="240" w:lineRule="auto"/>
              <w:jc w:val="center"/>
              <w:rPr>
                <w:rFonts w:eastAsia="Times New Roman" w:cs="Calibri"/>
                <w:b/>
                <w:bCs/>
                <w:color w:val="FFFFFF" w:themeColor="background1"/>
                <w:lang w:eastAsia="en-GB"/>
              </w:rPr>
            </w:pPr>
            <w:r w:rsidRPr="00BE12E9">
              <w:rPr>
                <w:rFonts w:eastAsia="Times New Roman" w:cs="Calibri"/>
                <w:b/>
                <w:bCs/>
                <w:color w:val="FFFFFF" w:themeColor="background1"/>
                <w:lang w:eastAsia="en-GB"/>
              </w:rPr>
              <w:t>BROJ DIVLJIH ODLAGALIŠTA OTPADA</w:t>
            </w:r>
          </w:p>
        </w:tc>
      </w:tr>
      <w:tr w:rsidR="00BE12E9" w:rsidRPr="00BE12E9" w14:paraId="3A84210F" w14:textId="77777777" w:rsidTr="00E745AE">
        <w:trPr>
          <w:trHeight w:val="455"/>
          <w:tblHeader/>
        </w:trPr>
        <w:tc>
          <w:tcPr>
            <w:tcW w:w="2464" w:type="dxa"/>
            <w:shd w:val="clear" w:color="auto" w:fill="D2232A" w:themeFill="accent1"/>
            <w:vAlign w:val="center"/>
            <w:hideMark/>
          </w:tcPr>
          <w:p w14:paraId="2BDC950D"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OPĆINA/GRAD</w:t>
            </w:r>
          </w:p>
        </w:tc>
        <w:tc>
          <w:tcPr>
            <w:tcW w:w="1584" w:type="dxa"/>
            <w:shd w:val="clear" w:color="auto" w:fill="D2232A" w:themeFill="accent1"/>
            <w:vAlign w:val="center"/>
            <w:hideMark/>
          </w:tcPr>
          <w:p w14:paraId="484EEE89" w14:textId="77777777" w:rsidR="008878A0" w:rsidRPr="00BE12E9" w:rsidRDefault="008878A0" w:rsidP="00BE12E9">
            <w:pPr>
              <w:spacing w:after="0" w:line="240" w:lineRule="auto"/>
              <w:jc w:val="right"/>
              <w:rPr>
                <w:rFonts w:eastAsia="Times New Roman" w:cs="Calibri"/>
                <w:b/>
                <w:bCs/>
                <w:color w:val="FFFFFF" w:themeColor="background1"/>
                <w:lang w:eastAsia="en-GB"/>
              </w:rPr>
            </w:pPr>
            <w:r w:rsidRPr="00BE12E9">
              <w:rPr>
                <w:rFonts w:eastAsia="Times New Roman" w:cs="Calibri"/>
                <w:b/>
                <w:bCs/>
                <w:color w:val="FFFFFF" w:themeColor="background1"/>
                <w:lang w:eastAsia="en-GB"/>
              </w:rPr>
              <w:t>2016</w:t>
            </w:r>
          </w:p>
        </w:tc>
        <w:tc>
          <w:tcPr>
            <w:tcW w:w="1584" w:type="dxa"/>
            <w:shd w:val="clear" w:color="auto" w:fill="D2232A" w:themeFill="accent1"/>
            <w:vAlign w:val="center"/>
            <w:hideMark/>
          </w:tcPr>
          <w:p w14:paraId="1721DD4E" w14:textId="77777777" w:rsidR="008878A0" w:rsidRPr="00BE12E9" w:rsidRDefault="008878A0" w:rsidP="00BE12E9">
            <w:pPr>
              <w:spacing w:after="0" w:line="240" w:lineRule="auto"/>
              <w:jc w:val="right"/>
              <w:rPr>
                <w:rFonts w:eastAsia="Times New Roman" w:cs="Calibri"/>
                <w:b/>
                <w:bCs/>
                <w:color w:val="FFFFFF" w:themeColor="background1"/>
                <w:lang w:eastAsia="en-GB"/>
              </w:rPr>
            </w:pPr>
            <w:r w:rsidRPr="00BE12E9">
              <w:rPr>
                <w:rFonts w:eastAsia="Times New Roman" w:cs="Calibri"/>
                <w:b/>
                <w:bCs/>
                <w:color w:val="FFFFFF" w:themeColor="background1"/>
                <w:lang w:eastAsia="en-GB"/>
              </w:rPr>
              <w:t>2017</w:t>
            </w:r>
          </w:p>
        </w:tc>
        <w:tc>
          <w:tcPr>
            <w:tcW w:w="1584" w:type="dxa"/>
            <w:shd w:val="clear" w:color="auto" w:fill="D2232A" w:themeFill="accent1"/>
            <w:vAlign w:val="center"/>
            <w:hideMark/>
          </w:tcPr>
          <w:p w14:paraId="0933C385" w14:textId="77777777" w:rsidR="008878A0" w:rsidRPr="00BE12E9" w:rsidRDefault="008878A0" w:rsidP="00BE12E9">
            <w:pPr>
              <w:spacing w:after="0" w:line="240" w:lineRule="auto"/>
              <w:jc w:val="right"/>
              <w:rPr>
                <w:rFonts w:eastAsia="Times New Roman" w:cs="Calibri"/>
                <w:b/>
                <w:bCs/>
                <w:color w:val="FFFFFF" w:themeColor="background1"/>
                <w:lang w:eastAsia="en-GB"/>
              </w:rPr>
            </w:pPr>
            <w:r w:rsidRPr="00BE12E9">
              <w:rPr>
                <w:rFonts w:eastAsia="Times New Roman" w:cs="Calibri"/>
                <w:b/>
                <w:bCs/>
                <w:color w:val="FFFFFF" w:themeColor="background1"/>
                <w:lang w:eastAsia="en-GB"/>
              </w:rPr>
              <w:t>2018</w:t>
            </w:r>
          </w:p>
        </w:tc>
        <w:tc>
          <w:tcPr>
            <w:tcW w:w="2166" w:type="dxa"/>
            <w:shd w:val="clear" w:color="auto" w:fill="D2232A" w:themeFill="accent1"/>
            <w:vAlign w:val="center"/>
            <w:hideMark/>
          </w:tcPr>
          <w:p w14:paraId="21E0720D" w14:textId="77777777" w:rsidR="008878A0" w:rsidRPr="00BE12E9" w:rsidRDefault="008878A0" w:rsidP="00BE12E9">
            <w:pPr>
              <w:spacing w:after="0" w:line="240" w:lineRule="auto"/>
              <w:jc w:val="right"/>
              <w:rPr>
                <w:rFonts w:eastAsia="Times New Roman" w:cs="Calibri"/>
                <w:b/>
                <w:bCs/>
                <w:color w:val="FFFFFF" w:themeColor="background1"/>
                <w:lang w:eastAsia="en-GB"/>
              </w:rPr>
            </w:pPr>
            <w:r w:rsidRPr="00BE12E9">
              <w:rPr>
                <w:rFonts w:eastAsia="Times New Roman" w:cs="Calibri"/>
                <w:b/>
                <w:bCs/>
                <w:color w:val="FFFFFF" w:themeColor="background1"/>
                <w:lang w:eastAsia="en-GB"/>
              </w:rPr>
              <w:t>2019</w:t>
            </w:r>
          </w:p>
        </w:tc>
      </w:tr>
      <w:tr w:rsidR="00BE12E9" w:rsidRPr="00BE12E9" w14:paraId="72369062" w14:textId="77777777" w:rsidTr="00E745AE">
        <w:trPr>
          <w:trHeight w:val="247"/>
        </w:trPr>
        <w:tc>
          <w:tcPr>
            <w:tcW w:w="2464" w:type="dxa"/>
            <w:shd w:val="clear" w:color="auto" w:fill="D2232A" w:themeFill="accent1"/>
            <w:vAlign w:val="center"/>
            <w:hideMark/>
          </w:tcPr>
          <w:p w14:paraId="79F50919"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BEDEKOVČINA</w:t>
            </w:r>
          </w:p>
        </w:tc>
        <w:tc>
          <w:tcPr>
            <w:tcW w:w="1584" w:type="dxa"/>
            <w:noWrap/>
            <w:vAlign w:val="center"/>
            <w:hideMark/>
          </w:tcPr>
          <w:p w14:paraId="486AFD5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9</w:t>
            </w:r>
          </w:p>
        </w:tc>
        <w:tc>
          <w:tcPr>
            <w:tcW w:w="1584" w:type="dxa"/>
            <w:noWrap/>
            <w:vAlign w:val="center"/>
            <w:hideMark/>
          </w:tcPr>
          <w:p w14:paraId="4B84E25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c>
          <w:tcPr>
            <w:tcW w:w="1584" w:type="dxa"/>
            <w:noWrap/>
            <w:vAlign w:val="center"/>
            <w:hideMark/>
          </w:tcPr>
          <w:p w14:paraId="43ED171A"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5</w:t>
            </w:r>
          </w:p>
        </w:tc>
        <w:tc>
          <w:tcPr>
            <w:tcW w:w="2166" w:type="dxa"/>
            <w:noWrap/>
            <w:vAlign w:val="center"/>
            <w:hideMark/>
          </w:tcPr>
          <w:p w14:paraId="799C09F2"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r>
      <w:tr w:rsidR="00BE12E9" w:rsidRPr="00BE12E9" w14:paraId="4D2F464F" w14:textId="77777777" w:rsidTr="00E745AE">
        <w:trPr>
          <w:trHeight w:val="247"/>
        </w:trPr>
        <w:tc>
          <w:tcPr>
            <w:tcW w:w="2464" w:type="dxa"/>
            <w:shd w:val="clear" w:color="auto" w:fill="D2232A" w:themeFill="accent1"/>
            <w:vAlign w:val="center"/>
            <w:hideMark/>
          </w:tcPr>
          <w:p w14:paraId="324DE907" w14:textId="75B399B4"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BUDINŠ</w:t>
            </w:r>
            <w:r w:rsidR="00856A54">
              <w:rPr>
                <w:rFonts w:eastAsia="Times New Roman" w:cs="Calibri"/>
                <w:b/>
                <w:bCs/>
                <w:color w:val="FFFFFF" w:themeColor="background1"/>
                <w:lang w:eastAsia="en-GB"/>
              </w:rPr>
              <w:t>Č</w:t>
            </w:r>
            <w:r w:rsidRPr="00BE12E9">
              <w:rPr>
                <w:rFonts w:eastAsia="Times New Roman" w:cs="Calibri"/>
                <w:b/>
                <w:bCs/>
                <w:color w:val="FFFFFF" w:themeColor="background1"/>
                <w:lang w:eastAsia="en-GB"/>
              </w:rPr>
              <w:t>INA</w:t>
            </w:r>
          </w:p>
        </w:tc>
        <w:tc>
          <w:tcPr>
            <w:tcW w:w="1584" w:type="dxa"/>
            <w:noWrap/>
            <w:vAlign w:val="center"/>
            <w:hideMark/>
          </w:tcPr>
          <w:p w14:paraId="71F17AE5"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5</w:t>
            </w:r>
          </w:p>
        </w:tc>
        <w:tc>
          <w:tcPr>
            <w:tcW w:w="1584" w:type="dxa"/>
            <w:noWrap/>
            <w:vAlign w:val="center"/>
            <w:hideMark/>
          </w:tcPr>
          <w:p w14:paraId="58049CB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4</w:t>
            </w:r>
          </w:p>
        </w:tc>
        <w:tc>
          <w:tcPr>
            <w:tcW w:w="1584" w:type="dxa"/>
            <w:noWrap/>
            <w:vAlign w:val="center"/>
            <w:hideMark/>
          </w:tcPr>
          <w:p w14:paraId="43FD5706"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c>
          <w:tcPr>
            <w:tcW w:w="2166" w:type="dxa"/>
            <w:noWrap/>
            <w:vAlign w:val="center"/>
            <w:hideMark/>
          </w:tcPr>
          <w:p w14:paraId="690057A5"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r>
      <w:tr w:rsidR="00BE12E9" w:rsidRPr="00BE12E9" w14:paraId="30CCCA47" w14:textId="77777777" w:rsidTr="00E745AE">
        <w:trPr>
          <w:trHeight w:val="247"/>
        </w:trPr>
        <w:tc>
          <w:tcPr>
            <w:tcW w:w="2464" w:type="dxa"/>
            <w:shd w:val="clear" w:color="auto" w:fill="D2232A" w:themeFill="accent1"/>
            <w:vAlign w:val="center"/>
            <w:hideMark/>
          </w:tcPr>
          <w:p w14:paraId="29A917B9"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DESINIĆ</w:t>
            </w:r>
          </w:p>
        </w:tc>
        <w:tc>
          <w:tcPr>
            <w:tcW w:w="1584" w:type="dxa"/>
            <w:noWrap/>
            <w:vAlign w:val="center"/>
            <w:hideMark/>
          </w:tcPr>
          <w:p w14:paraId="56FFD192"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2F17C52D"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3DF421D8"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c>
          <w:tcPr>
            <w:tcW w:w="2166" w:type="dxa"/>
            <w:noWrap/>
            <w:vAlign w:val="center"/>
            <w:hideMark/>
          </w:tcPr>
          <w:p w14:paraId="59C334C8"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r>
      <w:tr w:rsidR="00BE12E9" w:rsidRPr="00BE12E9" w14:paraId="357C134C" w14:textId="77777777" w:rsidTr="00E745AE">
        <w:trPr>
          <w:trHeight w:val="247"/>
        </w:trPr>
        <w:tc>
          <w:tcPr>
            <w:tcW w:w="2464" w:type="dxa"/>
            <w:shd w:val="clear" w:color="auto" w:fill="D2232A" w:themeFill="accent1"/>
            <w:vAlign w:val="center"/>
            <w:hideMark/>
          </w:tcPr>
          <w:p w14:paraId="3B78D5AB"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DONJA STUBICA</w:t>
            </w:r>
          </w:p>
        </w:tc>
        <w:tc>
          <w:tcPr>
            <w:tcW w:w="1584" w:type="dxa"/>
            <w:noWrap/>
            <w:vAlign w:val="center"/>
            <w:hideMark/>
          </w:tcPr>
          <w:p w14:paraId="25A9CCBA"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7E1FB99C"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1584" w:type="dxa"/>
            <w:noWrap/>
            <w:vAlign w:val="center"/>
            <w:hideMark/>
          </w:tcPr>
          <w:p w14:paraId="22207ECC"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53AD2BF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1929397E" w14:textId="77777777" w:rsidTr="00E745AE">
        <w:trPr>
          <w:trHeight w:val="247"/>
        </w:trPr>
        <w:tc>
          <w:tcPr>
            <w:tcW w:w="2464" w:type="dxa"/>
            <w:shd w:val="clear" w:color="auto" w:fill="D2232A" w:themeFill="accent1"/>
            <w:vAlign w:val="center"/>
            <w:hideMark/>
          </w:tcPr>
          <w:p w14:paraId="73FD1469"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ĐURMANEC</w:t>
            </w:r>
          </w:p>
        </w:tc>
        <w:tc>
          <w:tcPr>
            <w:tcW w:w="1584" w:type="dxa"/>
            <w:noWrap/>
            <w:vAlign w:val="center"/>
            <w:hideMark/>
          </w:tcPr>
          <w:p w14:paraId="4F04FD20"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0D6F8D9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0B96BE75"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31154C9F"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433CF714" w14:textId="77777777" w:rsidTr="00E745AE">
        <w:trPr>
          <w:trHeight w:val="247"/>
        </w:trPr>
        <w:tc>
          <w:tcPr>
            <w:tcW w:w="2464" w:type="dxa"/>
            <w:shd w:val="clear" w:color="auto" w:fill="D2232A" w:themeFill="accent1"/>
            <w:vAlign w:val="center"/>
            <w:hideMark/>
          </w:tcPr>
          <w:p w14:paraId="5D8F666C"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GORNJA STUBICA</w:t>
            </w:r>
          </w:p>
        </w:tc>
        <w:tc>
          <w:tcPr>
            <w:tcW w:w="1584" w:type="dxa"/>
            <w:noWrap/>
            <w:vAlign w:val="center"/>
            <w:hideMark/>
          </w:tcPr>
          <w:p w14:paraId="61591A4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3252A00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26D17B18"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4D6BFFB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38FCBDE5" w14:textId="77777777" w:rsidTr="00E745AE">
        <w:trPr>
          <w:trHeight w:val="247"/>
        </w:trPr>
        <w:tc>
          <w:tcPr>
            <w:tcW w:w="2464" w:type="dxa"/>
            <w:shd w:val="clear" w:color="auto" w:fill="D2232A" w:themeFill="accent1"/>
            <w:vAlign w:val="center"/>
            <w:hideMark/>
          </w:tcPr>
          <w:p w14:paraId="14DF8293"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HRAŠĆINA</w:t>
            </w:r>
          </w:p>
        </w:tc>
        <w:tc>
          <w:tcPr>
            <w:tcW w:w="1584" w:type="dxa"/>
            <w:noWrap/>
            <w:vAlign w:val="center"/>
            <w:hideMark/>
          </w:tcPr>
          <w:p w14:paraId="5DA0FFB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1584" w:type="dxa"/>
            <w:noWrap/>
            <w:vAlign w:val="center"/>
            <w:hideMark/>
          </w:tcPr>
          <w:p w14:paraId="047FFAA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1584" w:type="dxa"/>
            <w:noWrap/>
            <w:vAlign w:val="center"/>
            <w:hideMark/>
          </w:tcPr>
          <w:p w14:paraId="3CBFE8A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2166" w:type="dxa"/>
            <w:noWrap/>
            <w:vAlign w:val="center"/>
            <w:hideMark/>
          </w:tcPr>
          <w:p w14:paraId="294E3966"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7CC6B802" w14:textId="77777777" w:rsidTr="00E745AE">
        <w:trPr>
          <w:trHeight w:val="247"/>
        </w:trPr>
        <w:tc>
          <w:tcPr>
            <w:tcW w:w="2464" w:type="dxa"/>
            <w:shd w:val="clear" w:color="auto" w:fill="D2232A" w:themeFill="accent1"/>
            <w:vAlign w:val="center"/>
            <w:hideMark/>
          </w:tcPr>
          <w:p w14:paraId="530DCABD"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HUM NA SUTLI</w:t>
            </w:r>
          </w:p>
        </w:tc>
        <w:tc>
          <w:tcPr>
            <w:tcW w:w="1584" w:type="dxa"/>
            <w:noWrap/>
            <w:vAlign w:val="center"/>
            <w:hideMark/>
          </w:tcPr>
          <w:p w14:paraId="5327989D"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3116A4B7"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4CB9C69D"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0E054F7A"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562154D0" w14:textId="77777777" w:rsidTr="00E745AE">
        <w:trPr>
          <w:trHeight w:val="247"/>
        </w:trPr>
        <w:tc>
          <w:tcPr>
            <w:tcW w:w="2464" w:type="dxa"/>
            <w:shd w:val="clear" w:color="auto" w:fill="D2232A" w:themeFill="accent1"/>
            <w:vAlign w:val="center"/>
            <w:hideMark/>
          </w:tcPr>
          <w:p w14:paraId="6E8E29DF"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JESENJE</w:t>
            </w:r>
          </w:p>
        </w:tc>
        <w:tc>
          <w:tcPr>
            <w:tcW w:w="1584" w:type="dxa"/>
            <w:noWrap/>
            <w:vAlign w:val="center"/>
            <w:hideMark/>
          </w:tcPr>
          <w:p w14:paraId="5EE947AC"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366F6E7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6BEDDB6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1F06777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5D345079" w14:textId="77777777" w:rsidTr="00E745AE">
        <w:trPr>
          <w:trHeight w:val="247"/>
        </w:trPr>
        <w:tc>
          <w:tcPr>
            <w:tcW w:w="2464" w:type="dxa"/>
            <w:shd w:val="clear" w:color="auto" w:fill="D2232A" w:themeFill="accent1"/>
            <w:vAlign w:val="center"/>
            <w:hideMark/>
          </w:tcPr>
          <w:p w14:paraId="57BF87D4"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KLANJEC</w:t>
            </w:r>
          </w:p>
        </w:tc>
        <w:tc>
          <w:tcPr>
            <w:tcW w:w="1584" w:type="dxa"/>
            <w:noWrap/>
            <w:vAlign w:val="center"/>
            <w:hideMark/>
          </w:tcPr>
          <w:p w14:paraId="69CAA8C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c>
          <w:tcPr>
            <w:tcW w:w="1584" w:type="dxa"/>
            <w:noWrap/>
            <w:vAlign w:val="center"/>
            <w:hideMark/>
          </w:tcPr>
          <w:p w14:paraId="1EBACA0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c>
          <w:tcPr>
            <w:tcW w:w="1584" w:type="dxa"/>
            <w:noWrap/>
            <w:vAlign w:val="center"/>
            <w:hideMark/>
          </w:tcPr>
          <w:p w14:paraId="7EE5CE5A"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4</w:t>
            </w:r>
          </w:p>
        </w:tc>
        <w:tc>
          <w:tcPr>
            <w:tcW w:w="2166" w:type="dxa"/>
            <w:noWrap/>
            <w:vAlign w:val="center"/>
            <w:hideMark/>
          </w:tcPr>
          <w:p w14:paraId="512A420A"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r>
      <w:tr w:rsidR="00BE12E9" w:rsidRPr="00BE12E9" w14:paraId="586358C1" w14:textId="77777777" w:rsidTr="00E745AE">
        <w:trPr>
          <w:trHeight w:val="247"/>
        </w:trPr>
        <w:tc>
          <w:tcPr>
            <w:tcW w:w="2464" w:type="dxa"/>
            <w:shd w:val="clear" w:color="auto" w:fill="D2232A" w:themeFill="accent1"/>
            <w:vAlign w:val="center"/>
            <w:hideMark/>
          </w:tcPr>
          <w:p w14:paraId="3B001FCD"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KRALJEVEC NA SUTLI</w:t>
            </w:r>
          </w:p>
        </w:tc>
        <w:tc>
          <w:tcPr>
            <w:tcW w:w="1584" w:type="dxa"/>
            <w:noWrap/>
            <w:vAlign w:val="center"/>
            <w:hideMark/>
          </w:tcPr>
          <w:p w14:paraId="0ED0E04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7E37DCD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40207CB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395DA3D8"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289E288C" w14:textId="77777777" w:rsidTr="00E745AE">
        <w:trPr>
          <w:trHeight w:val="247"/>
        </w:trPr>
        <w:tc>
          <w:tcPr>
            <w:tcW w:w="2464" w:type="dxa"/>
            <w:shd w:val="clear" w:color="auto" w:fill="D2232A" w:themeFill="accent1"/>
            <w:vAlign w:val="center"/>
            <w:hideMark/>
          </w:tcPr>
          <w:p w14:paraId="7650C24C"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KRAPINA</w:t>
            </w:r>
          </w:p>
        </w:tc>
        <w:tc>
          <w:tcPr>
            <w:tcW w:w="1584" w:type="dxa"/>
            <w:noWrap/>
            <w:vAlign w:val="center"/>
            <w:hideMark/>
          </w:tcPr>
          <w:p w14:paraId="133AC3D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c>
          <w:tcPr>
            <w:tcW w:w="1584" w:type="dxa"/>
            <w:noWrap/>
            <w:vAlign w:val="center"/>
            <w:hideMark/>
          </w:tcPr>
          <w:p w14:paraId="5076D31C"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c>
          <w:tcPr>
            <w:tcW w:w="1584" w:type="dxa"/>
            <w:noWrap/>
            <w:vAlign w:val="center"/>
            <w:hideMark/>
          </w:tcPr>
          <w:p w14:paraId="798DBD1F"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2166" w:type="dxa"/>
            <w:noWrap/>
            <w:vAlign w:val="center"/>
            <w:hideMark/>
          </w:tcPr>
          <w:p w14:paraId="4D9D5A4D"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r>
      <w:tr w:rsidR="00BE12E9" w:rsidRPr="00BE12E9" w14:paraId="38DCA41B" w14:textId="77777777" w:rsidTr="00E745AE">
        <w:trPr>
          <w:trHeight w:val="247"/>
        </w:trPr>
        <w:tc>
          <w:tcPr>
            <w:tcW w:w="2464" w:type="dxa"/>
            <w:shd w:val="clear" w:color="auto" w:fill="D2232A" w:themeFill="accent1"/>
            <w:vAlign w:val="center"/>
            <w:hideMark/>
          </w:tcPr>
          <w:p w14:paraId="56863DE7"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KRAPINSKE TOPLICE</w:t>
            </w:r>
          </w:p>
        </w:tc>
        <w:tc>
          <w:tcPr>
            <w:tcW w:w="1584" w:type="dxa"/>
            <w:noWrap/>
            <w:vAlign w:val="center"/>
            <w:hideMark/>
          </w:tcPr>
          <w:p w14:paraId="7701A5D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c>
          <w:tcPr>
            <w:tcW w:w="1584" w:type="dxa"/>
            <w:noWrap/>
            <w:vAlign w:val="center"/>
            <w:hideMark/>
          </w:tcPr>
          <w:p w14:paraId="15447B5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4</w:t>
            </w:r>
          </w:p>
        </w:tc>
        <w:tc>
          <w:tcPr>
            <w:tcW w:w="1584" w:type="dxa"/>
            <w:noWrap/>
            <w:vAlign w:val="center"/>
            <w:hideMark/>
          </w:tcPr>
          <w:p w14:paraId="7F3D1FE8"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4</w:t>
            </w:r>
          </w:p>
        </w:tc>
        <w:tc>
          <w:tcPr>
            <w:tcW w:w="2166" w:type="dxa"/>
            <w:noWrap/>
            <w:vAlign w:val="center"/>
            <w:hideMark/>
          </w:tcPr>
          <w:p w14:paraId="66FDFCE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5</w:t>
            </w:r>
          </w:p>
        </w:tc>
      </w:tr>
      <w:tr w:rsidR="00BE12E9" w:rsidRPr="00BE12E9" w14:paraId="699D50BB" w14:textId="77777777" w:rsidTr="00E745AE">
        <w:trPr>
          <w:trHeight w:val="247"/>
        </w:trPr>
        <w:tc>
          <w:tcPr>
            <w:tcW w:w="2464" w:type="dxa"/>
            <w:shd w:val="clear" w:color="auto" w:fill="D2232A" w:themeFill="accent1"/>
            <w:vAlign w:val="center"/>
            <w:hideMark/>
          </w:tcPr>
          <w:p w14:paraId="03906665"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KONJŠČINA</w:t>
            </w:r>
          </w:p>
        </w:tc>
        <w:tc>
          <w:tcPr>
            <w:tcW w:w="1584" w:type="dxa"/>
            <w:noWrap/>
            <w:vAlign w:val="center"/>
            <w:hideMark/>
          </w:tcPr>
          <w:p w14:paraId="55B4E836"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4</w:t>
            </w:r>
          </w:p>
        </w:tc>
        <w:tc>
          <w:tcPr>
            <w:tcW w:w="1584" w:type="dxa"/>
            <w:noWrap/>
            <w:vAlign w:val="center"/>
            <w:hideMark/>
          </w:tcPr>
          <w:p w14:paraId="183D5050" w14:textId="684D4B21" w:rsidR="008878A0" w:rsidRPr="00BE12E9" w:rsidRDefault="00BD1528" w:rsidP="00BE12E9">
            <w:pPr>
              <w:spacing w:after="0" w:line="240" w:lineRule="auto"/>
              <w:jc w:val="right"/>
              <w:rPr>
                <w:rFonts w:eastAsia="Times New Roman" w:cs="Calibri"/>
                <w:lang w:eastAsia="en-GB"/>
              </w:rPr>
            </w:pPr>
            <w:r>
              <w:rPr>
                <w:rFonts w:eastAsia="Times New Roman" w:cs="Calibri"/>
                <w:lang w:eastAsia="en-GB"/>
              </w:rPr>
              <w:t>n/a</w:t>
            </w:r>
          </w:p>
        </w:tc>
        <w:tc>
          <w:tcPr>
            <w:tcW w:w="1584" w:type="dxa"/>
            <w:noWrap/>
            <w:vAlign w:val="center"/>
            <w:hideMark/>
          </w:tcPr>
          <w:p w14:paraId="033EC7BC" w14:textId="58B959AB" w:rsidR="008878A0" w:rsidRPr="00BE12E9" w:rsidRDefault="00BD1528" w:rsidP="00BE12E9">
            <w:pPr>
              <w:spacing w:after="0" w:line="240" w:lineRule="auto"/>
              <w:jc w:val="right"/>
              <w:rPr>
                <w:rFonts w:eastAsia="Times New Roman" w:cs="Calibri"/>
                <w:lang w:eastAsia="en-GB"/>
              </w:rPr>
            </w:pPr>
            <w:r>
              <w:rPr>
                <w:rFonts w:eastAsia="Times New Roman" w:cs="Calibri"/>
                <w:lang w:eastAsia="en-GB"/>
              </w:rPr>
              <w:t>n/a</w:t>
            </w:r>
          </w:p>
        </w:tc>
        <w:tc>
          <w:tcPr>
            <w:tcW w:w="2166" w:type="dxa"/>
            <w:noWrap/>
            <w:vAlign w:val="center"/>
            <w:hideMark/>
          </w:tcPr>
          <w:p w14:paraId="1A81336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r>
      <w:tr w:rsidR="00BE12E9" w:rsidRPr="00BE12E9" w14:paraId="0668B416" w14:textId="77777777" w:rsidTr="00E745AE">
        <w:trPr>
          <w:trHeight w:val="247"/>
        </w:trPr>
        <w:tc>
          <w:tcPr>
            <w:tcW w:w="2464" w:type="dxa"/>
            <w:shd w:val="clear" w:color="auto" w:fill="D2232A" w:themeFill="accent1"/>
            <w:vAlign w:val="center"/>
            <w:hideMark/>
          </w:tcPr>
          <w:p w14:paraId="532EF8C3"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lastRenderedPageBreak/>
              <w:t>KUMROVEC</w:t>
            </w:r>
          </w:p>
        </w:tc>
        <w:tc>
          <w:tcPr>
            <w:tcW w:w="1584" w:type="dxa"/>
            <w:noWrap/>
            <w:vAlign w:val="center"/>
            <w:hideMark/>
          </w:tcPr>
          <w:p w14:paraId="4C0A4115"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406FA037"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156232CD"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7343AD9F"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3B495B05" w14:textId="77777777" w:rsidTr="00E745AE">
        <w:trPr>
          <w:trHeight w:val="247"/>
        </w:trPr>
        <w:tc>
          <w:tcPr>
            <w:tcW w:w="2464" w:type="dxa"/>
            <w:shd w:val="clear" w:color="auto" w:fill="D2232A" w:themeFill="accent1"/>
            <w:vAlign w:val="center"/>
            <w:hideMark/>
          </w:tcPr>
          <w:p w14:paraId="79D16543"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LOBOR</w:t>
            </w:r>
          </w:p>
        </w:tc>
        <w:tc>
          <w:tcPr>
            <w:tcW w:w="1584" w:type="dxa"/>
            <w:noWrap/>
            <w:vAlign w:val="center"/>
            <w:hideMark/>
          </w:tcPr>
          <w:p w14:paraId="7126C12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16</w:t>
            </w:r>
          </w:p>
        </w:tc>
        <w:tc>
          <w:tcPr>
            <w:tcW w:w="1584" w:type="dxa"/>
            <w:noWrap/>
            <w:vAlign w:val="center"/>
            <w:hideMark/>
          </w:tcPr>
          <w:p w14:paraId="76CD2B9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15</w:t>
            </w:r>
          </w:p>
        </w:tc>
        <w:tc>
          <w:tcPr>
            <w:tcW w:w="1584" w:type="dxa"/>
            <w:noWrap/>
            <w:vAlign w:val="center"/>
            <w:hideMark/>
          </w:tcPr>
          <w:p w14:paraId="380F31A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9</w:t>
            </w:r>
          </w:p>
        </w:tc>
        <w:tc>
          <w:tcPr>
            <w:tcW w:w="2166" w:type="dxa"/>
            <w:noWrap/>
            <w:vAlign w:val="center"/>
            <w:hideMark/>
          </w:tcPr>
          <w:p w14:paraId="39EFB040"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r>
      <w:tr w:rsidR="00BE12E9" w:rsidRPr="00BE12E9" w14:paraId="684266FA" w14:textId="77777777" w:rsidTr="00E745AE">
        <w:trPr>
          <w:trHeight w:val="247"/>
        </w:trPr>
        <w:tc>
          <w:tcPr>
            <w:tcW w:w="2464" w:type="dxa"/>
            <w:shd w:val="clear" w:color="auto" w:fill="D2232A" w:themeFill="accent1"/>
            <w:vAlign w:val="center"/>
            <w:hideMark/>
          </w:tcPr>
          <w:p w14:paraId="0835AB82"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MAČE</w:t>
            </w:r>
          </w:p>
        </w:tc>
        <w:tc>
          <w:tcPr>
            <w:tcW w:w="1584" w:type="dxa"/>
            <w:noWrap/>
            <w:vAlign w:val="center"/>
            <w:hideMark/>
          </w:tcPr>
          <w:p w14:paraId="0E0141C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1584" w:type="dxa"/>
            <w:noWrap/>
            <w:vAlign w:val="center"/>
            <w:hideMark/>
          </w:tcPr>
          <w:p w14:paraId="6145B8A0"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5</w:t>
            </w:r>
          </w:p>
        </w:tc>
        <w:tc>
          <w:tcPr>
            <w:tcW w:w="1584" w:type="dxa"/>
            <w:noWrap/>
            <w:vAlign w:val="center"/>
            <w:hideMark/>
          </w:tcPr>
          <w:p w14:paraId="4AC8AE96"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c>
          <w:tcPr>
            <w:tcW w:w="2166" w:type="dxa"/>
            <w:noWrap/>
            <w:vAlign w:val="center"/>
            <w:hideMark/>
          </w:tcPr>
          <w:p w14:paraId="0FDE8FE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r>
      <w:tr w:rsidR="00BE12E9" w:rsidRPr="00BE12E9" w14:paraId="3C330773" w14:textId="77777777" w:rsidTr="00E745AE">
        <w:trPr>
          <w:trHeight w:val="247"/>
        </w:trPr>
        <w:tc>
          <w:tcPr>
            <w:tcW w:w="2464" w:type="dxa"/>
            <w:shd w:val="clear" w:color="auto" w:fill="D2232A" w:themeFill="accent1"/>
            <w:vAlign w:val="center"/>
            <w:hideMark/>
          </w:tcPr>
          <w:p w14:paraId="56758685"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MARIJA BISTRICA</w:t>
            </w:r>
          </w:p>
        </w:tc>
        <w:tc>
          <w:tcPr>
            <w:tcW w:w="1584" w:type="dxa"/>
            <w:vAlign w:val="center"/>
            <w:hideMark/>
          </w:tcPr>
          <w:p w14:paraId="75B68643" w14:textId="62429293" w:rsidR="008878A0" w:rsidRPr="00BE12E9" w:rsidRDefault="00BD1528" w:rsidP="00BE12E9">
            <w:pPr>
              <w:spacing w:after="0" w:line="240" w:lineRule="auto"/>
              <w:jc w:val="right"/>
              <w:rPr>
                <w:rFonts w:eastAsia="Times New Roman" w:cs="Calibri"/>
                <w:lang w:eastAsia="en-GB"/>
              </w:rPr>
            </w:pPr>
            <w:r>
              <w:rPr>
                <w:rFonts w:eastAsia="Times New Roman" w:cs="Calibri"/>
                <w:lang w:eastAsia="en-GB"/>
              </w:rPr>
              <w:t>n/a</w:t>
            </w:r>
          </w:p>
        </w:tc>
        <w:tc>
          <w:tcPr>
            <w:tcW w:w="1584" w:type="dxa"/>
            <w:vAlign w:val="center"/>
            <w:hideMark/>
          </w:tcPr>
          <w:p w14:paraId="7649B265"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c>
          <w:tcPr>
            <w:tcW w:w="1584" w:type="dxa"/>
            <w:vAlign w:val="center"/>
            <w:hideMark/>
          </w:tcPr>
          <w:p w14:paraId="044DC8DA"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7</w:t>
            </w:r>
          </w:p>
        </w:tc>
        <w:tc>
          <w:tcPr>
            <w:tcW w:w="2166" w:type="dxa"/>
            <w:noWrap/>
            <w:vAlign w:val="center"/>
            <w:hideMark/>
          </w:tcPr>
          <w:p w14:paraId="371F05EC" w14:textId="2310DEE8" w:rsidR="008878A0" w:rsidRPr="00BE12E9" w:rsidRDefault="00BD1528" w:rsidP="00BE12E9">
            <w:pPr>
              <w:spacing w:after="0" w:line="240" w:lineRule="auto"/>
              <w:jc w:val="right"/>
              <w:rPr>
                <w:rFonts w:eastAsia="Times New Roman" w:cs="Calibri"/>
                <w:lang w:eastAsia="en-GB"/>
              </w:rPr>
            </w:pPr>
            <w:r>
              <w:rPr>
                <w:rFonts w:eastAsia="Times New Roman" w:cs="Calibri"/>
                <w:lang w:eastAsia="en-GB"/>
              </w:rPr>
              <w:t>n/a</w:t>
            </w:r>
          </w:p>
        </w:tc>
      </w:tr>
      <w:tr w:rsidR="00BE12E9" w:rsidRPr="00BE12E9" w14:paraId="65EE0C48" w14:textId="77777777" w:rsidTr="00E745AE">
        <w:trPr>
          <w:trHeight w:val="247"/>
        </w:trPr>
        <w:tc>
          <w:tcPr>
            <w:tcW w:w="2464" w:type="dxa"/>
            <w:shd w:val="clear" w:color="auto" w:fill="D2232A" w:themeFill="accent1"/>
            <w:vAlign w:val="center"/>
            <w:hideMark/>
          </w:tcPr>
          <w:p w14:paraId="0CB1A304"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MIHOVLJAN</w:t>
            </w:r>
          </w:p>
        </w:tc>
        <w:tc>
          <w:tcPr>
            <w:tcW w:w="1584" w:type="dxa"/>
            <w:noWrap/>
            <w:vAlign w:val="center"/>
            <w:hideMark/>
          </w:tcPr>
          <w:p w14:paraId="15C79AEF"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7</w:t>
            </w:r>
          </w:p>
        </w:tc>
        <w:tc>
          <w:tcPr>
            <w:tcW w:w="1584" w:type="dxa"/>
            <w:noWrap/>
            <w:vAlign w:val="center"/>
            <w:hideMark/>
          </w:tcPr>
          <w:p w14:paraId="258F8B6F"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c>
          <w:tcPr>
            <w:tcW w:w="1584" w:type="dxa"/>
            <w:noWrap/>
            <w:vAlign w:val="center"/>
            <w:hideMark/>
          </w:tcPr>
          <w:p w14:paraId="0EE4D52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c>
          <w:tcPr>
            <w:tcW w:w="2166" w:type="dxa"/>
            <w:noWrap/>
            <w:vAlign w:val="center"/>
            <w:hideMark/>
          </w:tcPr>
          <w:p w14:paraId="7BD2ED7F"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5</w:t>
            </w:r>
          </w:p>
        </w:tc>
      </w:tr>
      <w:tr w:rsidR="00BE12E9" w:rsidRPr="00BE12E9" w14:paraId="3EFC348F" w14:textId="77777777" w:rsidTr="00E745AE">
        <w:trPr>
          <w:trHeight w:val="247"/>
        </w:trPr>
        <w:tc>
          <w:tcPr>
            <w:tcW w:w="2464" w:type="dxa"/>
            <w:shd w:val="clear" w:color="auto" w:fill="D2232A" w:themeFill="accent1"/>
            <w:vAlign w:val="center"/>
            <w:hideMark/>
          </w:tcPr>
          <w:p w14:paraId="785A1CC4"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NOVI GOLUBOVEC</w:t>
            </w:r>
          </w:p>
        </w:tc>
        <w:tc>
          <w:tcPr>
            <w:tcW w:w="1584" w:type="dxa"/>
            <w:noWrap/>
            <w:vAlign w:val="center"/>
            <w:hideMark/>
          </w:tcPr>
          <w:p w14:paraId="340E79A6"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5</w:t>
            </w:r>
          </w:p>
        </w:tc>
        <w:tc>
          <w:tcPr>
            <w:tcW w:w="1584" w:type="dxa"/>
            <w:noWrap/>
            <w:vAlign w:val="center"/>
            <w:hideMark/>
          </w:tcPr>
          <w:p w14:paraId="2A5DA54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4</w:t>
            </w:r>
          </w:p>
        </w:tc>
        <w:tc>
          <w:tcPr>
            <w:tcW w:w="1584" w:type="dxa"/>
            <w:noWrap/>
            <w:vAlign w:val="center"/>
            <w:hideMark/>
          </w:tcPr>
          <w:p w14:paraId="6599812F"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c>
          <w:tcPr>
            <w:tcW w:w="2166" w:type="dxa"/>
            <w:noWrap/>
            <w:vAlign w:val="center"/>
            <w:hideMark/>
          </w:tcPr>
          <w:p w14:paraId="4CFDC85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r>
      <w:tr w:rsidR="00BE12E9" w:rsidRPr="00BE12E9" w14:paraId="14BE4D28" w14:textId="77777777" w:rsidTr="00E745AE">
        <w:trPr>
          <w:trHeight w:val="247"/>
        </w:trPr>
        <w:tc>
          <w:tcPr>
            <w:tcW w:w="2464" w:type="dxa"/>
            <w:shd w:val="clear" w:color="auto" w:fill="D2232A" w:themeFill="accent1"/>
            <w:vAlign w:val="center"/>
            <w:hideMark/>
          </w:tcPr>
          <w:p w14:paraId="6C792232"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OROSLAVJE</w:t>
            </w:r>
          </w:p>
        </w:tc>
        <w:tc>
          <w:tcPr>
            <w:tcW w:w="1584" w:type="dxa"/>
            <w:noWrap/>
            <w:vAlign w:val="center"/>
            <w:hideMark/>
          </w:tcPr>
          <w:p w14:paraId="7E21C69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c>
          <w:tcPr>
            <w:tcW w:w="1584" w:type="dxa"/>
            <w:noWrap/>
            <w:vAlign w:val="center"/>
            <w:hideMark/>
          </w:tcPr>
          <w:p w14:paraId="70CD1E9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c>
          <w:tcPr>
            <w:tcW w:w="1584" w:type="dxa"/>
            <w:noWrap/>
            <w:vAlign w:val="center"/>
            <w:hideMark/>
          </w:tcPr>
          <w:p w14:paraId="081C8C6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c>
          <w:tcPr>
            <w:tcW w:w="2166" w:type="dxa"/>
            <w:noWrap/>
            <w:vAlign w:val="center"/>
            <w:hideMark/>
          </w:tcPr>
          <w:p w14:paraId="4A43591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r>
      <w:tr w:rsidR="00BE12E9" w:rsidRPr="00BE12E9" w14:paraId="31977280" w14:textId="77777777" w:rsidTr="00E745AE">
        <w:trPr>
          <w:trHeight w:val="247"/>
        </w:trPr>
        <w:tc>
          <w:tcPr>
            <w:tcW w:w="2464" w:type="dxa"/>
            <w:shd w:val="clear" w:color="auto" w:fill="D2232A" w:themeFill="accent1"/>
            <w:vAlign w:val="center"/>
            <w:hideMark/>
          </w:tcPr>
          <w:p w14:paraId="63A2C408"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PETROVSKO</w:t>
            </w:r>
          </w:p>
        </w:tc>
        <w:tc>
          <w:tcPr>
            <w:tcW w:w="1584" w:type="dxa"/>
            <w:noWrap/>
            <w:vAlign w:val="center"/>
            <w:hideMark/>
          </w:tcPr>
          <w:p w14:paraId="76475233"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292972ED"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362AC670"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220B9673"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448C4A84" w14:textId="77777777" w:rsidTr="00E745AE">
        <w:trPr>
          <w:trHeight w:val="247"/>
        </w:trPr>
        <w:tc>
          <w:tcPr>
            <w:tcW w:w="2464" w:type="dxa"/>
            <w:shd w:val="clear" w:color="auto" w:fill="D2232A" w:themeFill="accent1"/>
            <w:vAlign w:val="center"/>
            <w:hideMark/>
          </w:tcPr>
          <w:p w14:paraId="1A105F3C"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PREGRADA</w:t>
            </w:r>
          </w:p>
        </w:tc>
        <w:tc>
          <w:tcPr>
            <w:tcW w:w="1584" w:type="dxa"/>
            <w:noWrap/>
            <w:vAlign w:val="center"/>
            <w:hideMark/>
          </w:tcPr>
          <w:p w14:paraId="01224642"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c>
          <w:tcPr>
            <w:tcW w:w="1584" w:type="dxa"/>
            <w:noWrap/>
            <w:vAlign w:val="center"/>
            <w:hideMark/>
          </w:tcPr>
          <w:p w14:paraId="1AEE141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3A848B9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4</w:t>
            </w:r>
          </w:p>
        </w:tc>
        <w:tc>
          <w:tcPr>
            <w:tcW w:w="2166" w:type="dxa"/>
            <w:noWrap/>
            <w:vAlign w:val="center"/>
            <w:hideMark/>
          </w:tcPr>
          <w:p w14:paraId="09EC2D23"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r>
      <w:tr w:rsidR="00BE12E9" w:rsidRPr="00BE12E9" w14:paraId="235E2E62" w14:textId="77777777" w:rsidTr="00E745AE">
        <w:trPr>
          <w:trHeight w:val="247"/>
        </w:trPr>
        <w:tc>
          <w:tcPr>
            <w:tcW w:w="2464" w:type="dxa"/>
            <w:shd w:val="clear" w:color="auto" w:fill="D2232A" w:themeFill="accent1"/>
            <w:vAlign w:val="center"/>
            <w:hideMark/>
          </w:tcPr>
          <w:p w14:paraId="551389A3"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RADOBOJ</w:t>
            </w:r>
          </w:p>
        </w:tc>
        <w:tc>
          <w:tcPr>
            <w:tcW w:w="1584" w:type="dxa"/>
            <w:noWrap/>
            <w:vAlign w:val="center"/>
            <w:hideMark/>
          </w:tcPr>
          <w:p w14:paraId="69940A5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1584" w:type="dxa"/>
            <w:noWrap/>
            <w:vAlign w:val="center"/>
            <w:hideMark/>
          </w:tcPr>
          <w:p w14:paraId="6F5D29B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1584" w:type="dxa"/>
            <w:noWrap/>
            <w:vAlign w:val="center"/>
            <w:hideMark/>
          </w:tcPr>
          <w:p w14:paraId="6416D66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2166" w:type="dxa"/>
            <w:noWrap/>
            <w:vAlign w:val="center"/>
            <w:hideMark/>
          </w:tcPr>
          <w:p w14:paraId="5B2B335C"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r>
      <w:tr w:rsidR="00BE12E9" w:rsidRPr="00BE12E9" w14:paraId="6C9FE148" w14:textId="77777777" w:rsidTr="00E745AE">
        <w:trPr>
          <w:trHeight w:val="247"/>
        </w:trPr>
        <w:tc>
          <w:tcPr>
            <w:tcW w:w="2464" w:type="dxa"/>
            <w:shd w:val="clear" w:color="auto" w:fill="D2232A" w:themeFill="accent1"/>
            <w:vAlign w:val="center"/>
            <w:hideMark/>
          </w:tcPr>
          <w:p w14:paraId="6F2636E5"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STUBIČKE TOPLICE</w:t>
            </w:r>
          </w:p>
        </w:tc>
        <w:tc>
          <w:tcPr>
            <w:tcW w:w="1584" w:type="dxa"/>
            <w:noWrap/>
            <w:vAlign w:val="center"/>
            <w:hideMark/>
          </w:tcPr>
          <w:p w14:paraId="2814F278"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46A6A210"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01A409B2"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0D14A8E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3DE9FCB5" w14:textId="77777777" w:rsidTr="00E745AE">
        <w:trPr>
          <w:trHeight w:val="247"/>
        </w:trPr>
        <w:tc>
          <w:tcPr>
            <w:tcW w:w="2464" w:type="dxa"/>
            <w:shd w:val="clear" w:color="auto" w:fill="D2232A" w:themeFill="accent1"/>
            <w:vAlign w:val="center"/>
            <w:hideMark/>
          </w:tcPr>
          <w:p w14:paraId="4C92842C"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SVETI KRIŽ ZAČRETJE</w:t>
            </w:r>
          </w:p>
        </w:tc>
        <w:tc>
          <w:tcPr>
            <w:tcW w:w="1584" w:type="dxa"/>
            <w:noWrap/>
            <w:vAlign w:val="center"/>
            <w:hideMark/>
          </w:tcPr>
          <w:p w14:paraId="2BE57BB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11</w:t>
            </w:r>
          </w:p>
        </w:tc>
        <w:tc>
          <w:tcPr>
            <w:tcW w:w="1584" w:type="dxa"/>
            <w:noWrap/>
            <w:vAlign w:val="center"/>
            <w:hideMark/>
          </w:tcPr>
          <w:p w14:paraId="1DC77B90"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10</w:t>
            </w:r>
          </w:p>
        </w:tc>
        <w:tc>
          <w:tcPr>
            <w:tcW w:w="1584" w:type="dxa"/>
            <w:noWrap/>
            <w:vAlign w:val="center"/>
            <w:hideMark/>
          </w:tcPr>
          <w:p w14:paraId="08DC0E9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7</w:t>
            </w:r>
          </w:p>
        </w:tc>
        <w:tc>
          <w:tcPr>
            <w:tcW w:w="2166" w:type="dxa"/>
            <w:noWrap/>
            <w:vAlign w:val="center"/>
            <w:hideMark/>
          </w:tcPr>
          <w:p w14:paraId="7D298BED"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r>
      <w:tr w:rsidR="00BE12E9" w:rsidRPr="00BE12E9" w14:paraId="66A12014" w14:textId="77777777" w:rsidTr="00E745AE">
        <w:trPr>
          <w:trHeight w:val="247"/>
        </w:trPr>
        <w:tc>
          <w:tcPr>
            <w:tcW w:w="2464" w:type="dxa"/>
            <w:shd w:val="clear" w:color="auto" w:fill="D2232A" w:themeFill="accent1"/>
            <w:vAlign w:val="center"/>
            <w:hideMark/>
          </w:tcPr>
          <w:p w14:paraId="54907E19"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TUHELJ</w:t>
            </w:r>
          </w:p>
        </w:tc>
        <w:tc>
          <w:tcPr>
            <w:tcW w:w="1584" w:type="dxa"/>
            <w:noWrap/>
            <w:vAlign w:val="center"/>
            <w:hideMark/>
          </w:tcPr>
          <w:p w14:paraId="464276D3"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7ED54C26"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57D7434B"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783D66E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27DEAC68" w14:textId="77777777" w:rsidTr="00E745AE">
        <w:trPr>
          <w:trHeight w:val="247"/>
        </w:trPr>
        <w:tc>
          <w:tcPr>
            <w:tcW w:w="2464" w:type="dxa"/>
            <w:shd w:val="clear" w:color="auto" w:fill="D2232A" w:themeFill="accent1"/>
            <w:vAlign w:val="center"/>
            <w:hideMark/>
          </w:tcPr>
          <w:p w14:paraId="4E5884CB"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VELIKO TRGOVIŠĆE</w:t>
            </w:r>
          </w:p>
        </w:tc>
        <w:tc>
          <w:tcPr>
            <w:tcW w:w="1584" w:type="dxa"/>
            <w:noWrap/>
            <w:vAlign w:val="center"/>
            <w:hideMark/>
          </w:tcPr>
          <w:p w14:paraId="34EB3E4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5</w:t>
            </w:r>
          </w:p>
        </w:tc>
        <w:tc>
          <w:tcPr>
            <w:tcW w:w="1584" w:type="dxa"/>
            <w:noWrap/>
            <w:vAlign w:val="center"/>
            <w:hideMark/>
          </w:tcPr>
          <w:p w14:paraId="3FC21904"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5</w:t>
            </w:r>
          </w:p>
        </w:tc>
        <w:tc>
          <w:tcPr>
            <w:tcW w:w="1584" w:type="dxa"/>
            <w:noWrap/>
            <w:vAlign w:val="center"/>
            <w:hideMark/>
          </w:tcPr>
          <w:p w14:paraId="144690C3"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5</w:t>
            </w:r>
          </w:p>
        </w:tc>
        <w:tc>
          <w:tcPr>
            <w:tcW w:w="2166" w:type="dxa"/>
            <w:noWrap/>
            <w:vAlign w:val="center"/>
            <w:hideMark/>
          </w:tcPr>
          <w:p w14:paraId="722C484D"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4</w:t>
            </w:r>
          </w:p>
        </w:tc>
      </w:tr>
      <w:tr w:rsidR="00BE12E9" w:rsidRPr="00BE12E9" w14:paraId="7A46B88E" w14:textId="77777777" w:rsidTr="00E745AE">
        <w:trPr>
          <w:trHeight w:val="247"/>
        </w:trPr>
        <w:tc>
          <w:tcPr>
            <w:tcW w:w="2464" w:type="dxa"/>
            <w:shd w:val="clear" w:color="auto" w:fill="D2232A" w:themeFill="accent1"/>
            <w:vAlign w:val="center"/>
            <w:hideMark/>
          </w:tcPr>
          <w:p w14:paraId="2488E421"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ZABOK</w:t>
            </w:r>
          </w:p>
        </w:tc>
        <w:tc>
          <w:tcPr>
            <w:tcW w:w="1584" w:type="dxa"/>
            <w:noWrap/>
            <w:vAlign w:val="center"/>
            <w:hideMark/>
          </w:tcPr>
          <w:p w14:paraId="32A4915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6E6992A5"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1584" w:type="dxa"/>
            <w:noWrap/>
            <w:vAlign w:val="center"/>
            <w:hideMark/>
          </w:tcPr>
          <w:p w14:paraId="632BB96D"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c>
          <w:tcPr>
            <w:tcW w:w="2166" w:type="dxa"/>
            <w:noWrap/>
            <w:vAlign w:val="center"/>
            <w:hideMark/>
          </w:tcPr>
          <w:p w14:paraId="1F75839C"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0</w:t>
            </w:r>
          </w:p>
        </w:tc>
      </w:tr>
      <w:tr w:rsidR="00BE12E9" w:rsidRPr="00BE12E9" w14:paraId="50A9D21F" w14:textId="77777777" w:rsidTr="00E745AE">
        <w:trPr>
          <w:trHeight w:val="247"/>
        </w:trPr>
        <w:tc>
          <w:tcPr>
            <w:tcW w:w="2464" w:type="dxa"/>
            <w:shd w:val="clear" w:color="auto" w:fill="D2232A" w:themeFill="accent1"/>
            <w:vAlign w:val="center"/>
            <w:hideMark/>
          </w:tcPr>
          <w:p w14:paraId="06232B55"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ZAGORSKA SELA</w:t>
            </w:r>
          </w:p>
        </w:tc>
        <w:tc>
          <w:tcPr>
            <w:tcW w:w="1584" w:type="dxa"/>
            <w:noWrap/>
            <w:vAlign w:val="center"/>
            <w:hideMark/>
          </w:tcPr>
          <w:p w14:paraId="0E420637"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3</w:t>
            </w:r>
          </w:p>
        </w:tc>
        <w:tc>
          <w:tcPr>
            <w:tcW w:w="1584" w:type="dxa"/>
            <w:noWrap/>
            <w:vAlign w:val="center"/>
            <w:hideMark/>
          </w:tcPr>
          <w:p w14:paraId="15F53783"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c>
          <w:tcPr>
            <w:tcW w:w="1584" w:type="dxa"/>
            <w:noWrap/>
            <w:vAlign w:val="center"/>
            <w:hideMark/>
          </w:tcPr>
          <w:p w14:paraId="7B5F53A9"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c>
          <w:tcPr>
            <w:tcW w:w="2166" w:type="dxa"/>
            <w:noWrap/>
            <w:vAlign w:val="center"/>
            <w:hideMark/>
          </w:tcPr>
          <w:p w14:paraId="131967A5"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r>
      <w:tr w:rsidR="00BE12E9" w:rsidRPr="00BE12E9" w14:paraId="5D080DDE" w14:textId="77777777" w:rsidTr="00E745AE">
        <w:trPr>
          <w:trHeight w:val="247"/>
        </w:trPr>
        <w:tc>
          <w:tcPr>
            <w:tcW w:w="2464" w:type="dxa"/>
            <w:shd w:val="clear" w:color="auto" w:fill="D2232A" w:themeFill="accent1"/>
            <w:vAlign w:val="center"/>
            <w:hideMark/>
          </w:tcPr>
          <w:p w14:paraId="1DEEDD69"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ZLATAR</w:t>
            </w:r>
          </w:p>
        </w:tc>
        <w:tc>
          <w:tcPr>
            <w:tcW w:w="1584" w:type="dxa"/>
            <w:noWrap/>
            <w:vAlign w:val="center"/>
            <w:hideMark/>
          </w:tcPr>
          <w:p w14:paraId="6FB0B911"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c>
          <w:tcPr>
            <w:tcW w:w="1584" w:type="dxa"/>
            <w:noWrap/>
            <w:vAlign w:val="center"/>
            <w:hideMark/>
          </w:tcPr>
          <w:p w14:paraId="69B8BCA8"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c>
          <w:tcPr>
            <w:tcW w:w="1584" w:type="dxa"/>
            <w:noWrap/>
            <w:vAlign w:val="center"/>
            <w:hideMark/>
          </w:tcPr>
          <w:p w14:paraId="6F2A600E"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9</w:t>
            </w:r>
          </w:p>
        </w:tc>
        <w:tc>
          <w:tcPr>
            <w:tcW w:w="2166" w:type="dxa"/>
            <w:noWrap/>
            <w:vAlign w:val="center"/>
            <w:hideMark/>
          </w:tcPr>
          <w:p w14:paraId="47B3EFEC"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6</w:t>
            </w:r>
          </w:p>
        </w:tc>
      </w:tr>
      <w:tr w:rsidR="00BE12E9" w:rsidRPr="00BE12E9" w14:paraId="14238766" w14:textId="77777777" w:rsidTr="00E745AE">
        <w:trPr>
          <w:trHeight w:val="247"/>
        </w:trPr>
        <w:tc>
          <w:tcPr>
            <w:tcW w:w="2464" w:type="dxa"/>
            <w:shd w:val="clear" w:color="auto" w:fill="D2232A" w:themeFill="accent1"/>
            <w:vAlign w:val="center"/>
            <w:hideMark/>
          </w:tcPr>
          <w:p w14:paraId="1908F563" w14:textId="77777777" w:rsidR="008878A0" w:rsidRPr="00BE12E9" w:rsidRDefault="008878A0" w:rsidP="00941871">
            <w:pPr>
              <w:spacing w:after="0" w:line="240" w:lineRule="auto"/>
              <w:rPr>
                <w:rFonts w:eastAsia="Times New Roman" w:cs="Calibri"/>
                <w:b/>
                <w:bCs/>
                <w:color w:val="FFFFFF" w:themeColor="background1"/>
                <w:lang w:eastAsia="en-GB"/>
              </w:rPr>
            </w:pPr>
            <w:r w:rsidRPr="00BE12E9">
              <w:rPr>
                <w:rFonts w:eastAsia="Times New Roman" w:cs="Calibri"/>
                <w:b/>
                <w:bCs/>
                <w:color w:val="FFFFFF" w:themeColor="background1"/>
                <w:lang w:eastAsia="en-GB"/>
              </w:rPr>
              <w:t>ZLATAR BISTRICA</w:t>
            </w:r>
          </w:p>
        </w:tc>
        <w:tc>
          <w:tcPr>
            <w:tcW w:w="1584" w:type="dxa"/>
            <w:noWrap/>
            <w:vAlign w:val="center"/>
            <w:hideMark/>
          </w:tcPr>
          <w:p w14:paraId="07BA947C"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c>
          <w:tcPr>
            <w:tcW w:w="1584" w:type="dxa"/>
            <w:noWrap/>
            <w:vAlign w:val="center"/>
            <w:hideMark/>
          </w:tcPr>
          <w:p w14:paraId="1BDF1165"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1584" w:type="dxa"/>
            <w:noWrap/>
            <w:vAlign w:val="center"/>
            <w:hideMark/>
          </w:tcPr>
          <w:p w14:paraId="57AB19F2"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1</w:t>
            </w:r>
          </w:p>
        </w:tc>
        <w:tc>
          <w:tcPr>
            <w:tcW w:w="2166" w:type="dxa"/>
            <w:noWrap/>
            <w:vAlign w:val="center"/>
            <w:hideMark/>
          </w:tcPr>
          <w:p w14:paraId="5A0F32FA" w14:textId="77777777" w:rsidR="008878A0" w:rsidRPr="00BE12E9" w:rsidRDefault="008878A0" w:rsidP="00BE12E9">
            <w:pPr>
              <w:spacing w:after="0" w:line="240" w:lineRule="auto"/>
              <w:jc w:val="right"/>
              <w:rPr>
                <w:rFonts w:eastAsia="Times New Roman" w:cs="Calibri"/>
                <w:lang w:eastAsia="en-GB"/>
              </w:rPr>
            </w:pPr>
            <w:r w:rsidRPr="00BE12E9">
              <w:rPr>
                <w:rFonts w:eastAsia="Times New Roman" w:cs="Calibri"/>
                <w:lang w:eastAsia="en-GB"/>
              </w:rPr>
              <w:t>2</w:t>
            </w:r>
          </w:p>
        </w:tc>
      </w:tr>
      <w:tr w:rsidR="00BE12E9" w:rsidRPr="00BE12E9" w14:paraId="1887ED03" w14:textId="77777777" w:rsidTr="00E745AE">
        <w:trPr>
          <w:trHeight w:val="247"/>
        </w:trPr>
        <w:tc>
          <w:tcPr>
            <w:tcW w:w="2464" w:type="dxa"/>
            <w:shd w:val="clear" w:color="auto" w:fill="E5E5E5" w:themeFill="text1" w:themeFillTint="33"/>
            <w:vAlign w:val="center"/>
            <w:hideMark/>
          </w:tcPr>
          <w:p w14:paraId="320E2115" w14:textId="77777777" w:rsidR="008878A0" w:rsidRPr="00BE12E9" w:rsidRDefault="008878A0" w:rsidP="00941871">
            <w:pPr>
              <w:spacing w:after="0" w:line="240" w:lineRule="auto"/>
              <w:rPr>
                <w:rFonts w:eastAsia="Times New Roman" w:cs="Calibri"/>
                <w:b/>
                <w:bCs/>
                <w:lang w:eastAsia="en-GB"/>
              </w:rPr>
            </w:pPr>
            <w:r w:rsidRPr="00BE12E9">
              <w:rPr>
                <w:rFonts w:eastAsia="Times New Roman" w:cs="Calibri"/>
                <w:b/>
                <w:bCs/>
                <w:lang w:eastAsia="en-GB"/>
              </w:rPr>
              <w:t>Ukupno</w:t>
            </w:r>
          </w:p>
        </w:tc>
        <w:tc>
          <w:tcPr>
            <w:tcW w:w="1584" w:type="dxa"/>
            <w:shd w:val="clear" w:color="auto" w:fill="E5E5E5" w:themeFill="text1" w:themeFillTint="33"/>
            <w:noWrap/>
            <w:vAlign w:val="center"/>
            <w:hideMark/>
          </w:tcPr>
          <w:p w14:paraId="6317F1FA" w14:textId="77777777" w:rsidR="008878A0" w:rsidRPr="00BE12E9" w:rsidRDefault="008878A0" w:rsidP="00BE12E9">
            <w:pPr>
              <w:spacing w:after="0" w:line="240" w:lineRule="auto"/>
              <w:jc w:val="right"/>
              <w:rPr>
                <w:rFonts w:eastAsia="Times New Roman" w:cs="Calibri"/>
                <w:b/>
                <w:bCs/>
                <w:lang w:eastAsia="en-GB"/>
              </w:rPr>
            </w:pPr>
            <w:r w:rsidRPr="00BE12E9">
              <w:rPr>
                <w:rFonts w:eastAsia="Times New Roman" w:cs="Calibri"/>
                <w:b/>
                <w:bCs/>
                <w:lang w:eastAsia="en-GB"/>
              </w:rPr>
              <w:t>94</w:t>
            </w:r>
          </w:p>
        </w:tc>
        <w:tc>
          <w:tcPr>
            <w:tcW w:w="1584" w:type="dxa"/>
            <w:shd w:val="clear" w:color="auto" w:fill="E5E5E5" w:themeFill="text1" w:themeFillTint="33"/>
            <w:noWrap/>
            <w:vAlign w:val="center"/>
            <w:hideMark/>
          </w:tcPr>
          <w:p w14:paraId="28AAEB5F" w14:textId="77777777" w:rsidR="008878A0" w:rsidRPr="00BE12E9" w:rsidRDefault="008878A0" w:rsidP="00BE12E9">
            <w:pPr>
              <w:spacing w:after="0" w:line="240" w:lineRule="auto"/>
              <w:jc w:val="right"/>
              <w:rPr>
                <w:rFonts w:eastAsia="Times New Roman" w:cs="Calibri"/>
                <w:b/>
                <w:bCs/>
                <w:lang w:eastAsia="en-GB"/>
              </w:rPr>
            </w:pPr>
            <w:r w:rsidRPr="00BE12E9">
              <w:rPr>
                <w:rFonts w:eastAsia="Times New Roman" w:cs="Calibri"/>
                <w:b/>
                <w:bCs/>
                <w:lang w:eastAsia="en-GB"/>
              </w:rPr>
              <w:t>80</w:t>
            </w:r>
          </w:p>
        </w:tc>
        <w:tc>
          <w:tcPr>
            <w:tcW w:w="1584" w:type="dxa"/>
            <w:shd w:val="clear" w:color="auto" w:fill="E5E5E5" w:themeFill="text1" w:themeFillTint="33"/>
            <w:noWrap/>
            <w:vAlign w:val="center"/>
            <w:hideMark/>
          </w:tcPr>
          <w:p w14:paraId="40147666" w14:textId="77777777" w:rsidR="008878A0" w:rsidRPr="00BE12E9" w:rsidRDefault="008878A0" w:rsidP="00BE12E9">
            <w:pPr>
              <w:spacing w:after="0" w:line="240" w:lineRule="auto"/>
              <w:jc w:val="right"/>
              <w:rPr>
                <w:rFonts w:eastAsia="Times New Roman" w:cs="Calibri"/>
                <w:b/>
                <w:bCs/>
                <w:lang w:eastAsia="en-GB"/>
              </w:rPr>
            </w:pPr>
            <w:r w:rsidRPr="00BE12E9">
              <w:rPr>
                <w:rFonts w:eastAsia="Times New Roman" w:cs="Calibri"/>
                <w:b/>
                <w:bCs/>
                <w:lang w:eastAsia="en-GB"/>
              </w:rPr>
              <w:t>81</w:t>
            </w:r>
          </w:p>
        </w:tc>
        <w:tc>
          <w:tcPr>
            <w:tcW w:w="2166" w:type="dxa"/>
            <w:shd w:val="clear" w:color="auto" w:fill="E5E5E5" w:themeFill="text1" w:themeFillTint="33"/>
            <w:noWrap/>
            <w:vAlign w:val="center"/>
            <w:hideMark/>
          </w:tcPr>
          <w:p w14:paraId="6C0F0D8E" w14:textId="77777777" w:rsidR="008878A0" w:rsidRPr="00BE12E9" w:rsidRDefault="008878A0" w:rsidP="00BE12E9">
            <w:pPr>
              <w:spacing w:after="0" w:line="240" w:lineRule="auto"/>
              <w:jc w:val="right"/>
              <w:rPr>
                <w:rFonts w:eastAsia="Times New Roman" w:cs="Calibri"/>
                <w:b/>
                <w:bCs/>
                <w:lang w:eastAsia="en-GB"/>
              </w:rPr>
            </w:pPr>
            <w:r w:rsidRPr="00BE12E9">
              <w:rPr>
                <w:rFonts w:eastAsia="Times New Roman" w:cs="Calibri"/>
                <w:b/>
                <w:bCs/>
                <w:lang w:eastAsia="en-GB"/>
              </w:rPr>
              <w:t>68</w:t>
            </w:r>
          </w:p>
        </w:tc>
      </w:tr>
    </w:tbl>
    <w:p w14:paraId="319C3946" w14:textId="03198421" w:rsidR="008878A0" w:rsidRDefault="008878A0" w:rsidP="003C2276">
      <w:pPr>
        <w:pStyle w:val="Izvor"/>
        <w:rPr>
          <w:i/>
          <w:color w:val="ABABAB" w:themeColor="text1" w:themeTint="A6"/>
          <w:sz w:val="16"/>
          <w:szCs w:val="16"/>
        </w:rPr>
      </w:pPr>
      <w:r w:rsidRPr="00BD6B22">
        <w:rPr>
          <w:i/>
          <w:color w:val="ABABAB" w:themeColor="text1" w:themeTint="A6"/>
          <w:sz w:val="16"/>
          <w:szCs w:val="16"/>
        </w:rPr>
        <w:t>Izvor: Gradovi i općine Krapinsko- zagorske županije, obrada Zagorska razvojna agencija 2019.</w:t>
      </w:r>
    </w:p>
    <w:p w14:paraId="04EE9F63" w14:textId="77777777" w:rsidR="00F367A0" w:rsidRPr="00BD6B22" w:rsidRDefault="00F367A0" w:rsidP="003C2276">
      <w:pPr>
        <w:pStyle w:val="Izvor"/>
        <w:rPr>
          <w:i/>
          <w:color w:val="ABABAB" w:themeColor="text1" w:themeTint="A6"/>
          <w:sz w:val="16"/>
          <w:szCs w:val="16"/>
        </w:rPr>
      </w:pPr>
    </w:p>
    <w:p w14:paraId="514DFA36" w14:textId="3372722D" w:rsidR="008878A0" w:rsidRDefault="008878A0" w:rsidP="00941871">
      <w:r>
        <w:t>Na lokaciji Piškornica u Općini Koprivnički Ivanec planira se izgradnja Regionalnog centra za gospodarenje otpadom sjeverozapadne Hrvatske (RCGO), u kojem će se zbrinjavati otpad s područja 110 jedinica lokalne samouprave na području Koprivničko-križevačke, Krapinsko-zagorske, Međimurske i Varaždinske županije s ukupno cca. 570.000 stanovnika. Odlukom Vlade RH (NN 72/14) Projekt RCGO Piškornica je proglašen Strateškim projektom Vlade Republike Hrvatske. Piškornica – sanacijsko odlagalište j.d.o.o. je dana 24. rujna 2015. godine preuzela odlaganje otpada sve do uspostave rada RCGO. U realizaciji projekta sanacije i konačnog uređenja odlagališta otpada Piškornica ishođene su sve potrebne dozvole (Okolišna dozvola, Rješenje o izmjeni i dopuni građevinske dozvole, Uporabna dozvola, Dozvola za gospodarenje otpadom).</w:t>
      </w:r>
    </w:p>
    <w:p w14:paraId="4892FD04" w14:textId="77777777" w:rsidR="00505050" w:rsidRDefault="00505050" w:rsidP="00941871"/>
    <w:p w14:paraId="663A40BE" w14:textId="2301FDB8" w:rsidR="00505050" w:rsidRDefault="00505050" w:rsidP="00505050">
      <w:pPr>
        <w:pStyle w:val="Opisslike"/>
      </w:pPr>
      <w:r>
        <w:t>Prikaz 1</w:t>
      </w:r>
      <w:r w:rsidR="00A96020">
        <w:t>3</w:t>
      </w:r>
      <w:r>
        <w:t xml:space="preserve">. </w:t>
      </w:r>
      <w:r w:rsidRPr="00C10DAE">
        <w:t>Lokacija RCGO Piškornica i pretovarnih stanica</w:t>
      </w:r>
    </w:p>
    <w:p w14:paraId="6056A2A5" w14:textId="0430CE7A" w:rsidR="00505050" w:rsidRPr="00505050" w:rsidRDefault="00505050" w:rsidP="00505050">
      <w:r>
        <w:rPr>
          <w:noProof/>
        </w:rPr>
        <w:drawing>
          <wp:inline distT="0" distB="0" distL="0" distR="0" wp14:anchorId="5961B4F6" wp14:editId="51E0ADA5">
            <wp:extent cx="5888182" cy="3321237"/>
            <wp:effectExtent l="0" t="0" r="0" b="0"/>
            <wp:docPr id="235" name="Slika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02759" cy="3329459"/>
                    </a:xfrm>
                    <a:prstGeom prst="rect">
                      <a:avLst/>
                    </a:prstGeom>
                    <a:noFill/>
                  </pic:spPr>
                </pic:pic>
              </a:graphicData>
            </a:graphic>
          </wp:inline>
        </w:drawing>
      </w:r>
    </w:p>
    <w:p w14:paraId="2450E015" w14:textId="29624414" w:rsidR="008878A0" w:rsidRDefault="008878A0" w:rsidP="003C2276">
      <w:pPr>
        <w:pStyle w:val="Izvor"/>
        <w:rPr>
          <w:i/>
          <w:color w:val="ABABAB" w:themeColor="text1" w:themeTint="A6"/>
          <w:sz w:val="16"/>
          <w:szCs w:val="16"/>
        </w:rPr>
      </w:pPr>
      <w:r w:rsidRPr="00BD6B22">
        <w:rPr>
          <w:i/>
          <w:color w:val="ABABAB" w:themeColor="text1" w:themeTint="A6"/>
          <w:sz w:val="16"/>
          <w:szCs w:val="16"/>
        </w:rPr>
        <w:lastRenderedPageBreak/>
        <w:t xml:space="preserve">Izvor: Stručni skup na temu ''Okoliš i zdravlje'' – Regionalni centar za gospodarenje otpadom </w:t>
      </w:r>
      <w:r w:rsidR="00D20FDF" w:rsidRPr="00BD6B22">
        <w:rPr>
          <w:i/>
          <w:color w:val="ABABAB" w:themeColor="text1" w:themeTint="A6"/>
          <w:sz w:val="16"/>
          <w:szCs w:val="16"/>
        </w:rPr>
        <w:t>s</w:t>
      </w:r>
      <w:r w:rsidRPr="00BD6B22">
        <w:rPr>
          <w:i/>
          <w:color w:val="ABABAB" w:themeColor="text1" w:themeTint="A6"/>
          <w:sz w:val="16"/>
          <w:szCs w:val="16"/>
        </w:rPr>
        <w:t xml:space="preserve">jeverozapadne Hrvatske </w:t>
      </w:r>
    </w:p>
    <w:p w14:paraId="39DA804B" w14:textId="77777777" w:rsidR="00B601EE" w:rsidRPr="00BD6B22" w:rsidRDefault="00B601EE" w:rsidP="003C2276">
      <w:pPr>
        <w:pStyle w:val="Izvor"/>
        <w:rPr>
          <w:i/>
          <w:color w:val="ABABAB" w:themeColor="text1" w:themeTint="A6"/>
          <w:sz w:val="16"/>
          <w:szCs w:val="16"/>
        </w:rPr>
      </w:pPr>
    </w:p>
    <w:p w14:paraId="2743E04E" w14:textId="1A9B0E20" w:rsidR="008878A0" w:rsidRDefault="008878A0" w:rsidP="00941871">
      <w:r>
        <w:t>Objavljeni stručni radovi</w:t>
      </w:r>
      <w:r>
        <w:rPr>
          <w:rStyle w:val="Referencafusnote"/>
        </w:rPr>
        <w:footnoteReference w:id="84"/>
      </w:r>
      <w:r>
        <w:t xml:space="preserve"> sugeriraju</w:t>
      </w:r>
      <w:r w:rsidR="00555E19">
        <w:t>, međutim,</w:t>
      </w:r>
      <w:r>
        <w:t xml:space="preserve"> kako izgradnja regionalnog centra za gospodarenje otpadom ne ide u korak s recentnim trendovima u Europskoj uniji te kako se projekt ne uklapa u koncept kružnog gospodarstva kojeg proklamira Europska unija. Također, problem predstavljaju požari te nezadovoljavajući rezultati analiza otpadnih i oborinskih voda </w:t>
      </w:r>
      <w:r w:rsidR="00555E19">
        <w:t>i</w:t>
      </w:r>
      <w:r>
        <w:t xml:space="preserve"> deponijskog plina i zraka. Odjel za zdravstvenu ispravnost i kvalitetu voda navodi kako su u 2017. godini koncentracije metala, amonija, metana, ugljičnog dioksida, sumporovodika i ekološki pokazatelji poput kemijske i biološke potrošnje kisika bili iznad propisanih maksimuma.</w:t>
      </w:r>
    </w:p>
    <w:p w14:paraId="7200CFA6" w14:textId="49798F55" w:rsidR="008878A0" w:rsidRDefault="008878A0" w:rsidP="00941871">
      <w:r>
        <w:t xml:space="preserve">Krapinsko-zagorska županija kontinuirano podiže svijest o sustavnom gospodarenju otpadom i smanjenju komunalnog otpada postavljanjem zelenih otoka kojima se osiguravaju uvjeti za izdvajanje stakla, papira, PET ambalaže i metalne ambalaže, a za koje je Županija svake godine osigurala i doznačivala subvencijska sredstava za njihovu uspostavu. Tako su u 32 jedinice lokalne samouprave Krapinsko-zagorske županije oformljeni „zeleni otoci“. Podaci o jedinicama lokalne samouprave te vrsti otoka nalazi se u </w:t>
      </w:r>
      <w:r w:rsidR="004B3256">
        <w:t>Tablici 96</w:t>
      </w:r>
      <w:r w:rsidR="00BD180D">
        <w:t>.</w:t>
      </w:r>
      <w:r>
        <w:t xml:space="preserve"> u nastavku.</w:t>
      </w:r>
    </w:p>
    <w:p w14:paraId="498A4072" w14:textId="77777777" w:rsidR="00BE12E9" w:rsidRPr="00BE12E9" w:rsidRDefault="00BE12E9" w:rsidP="00BE12E9"/>
    <w:p w14:paraId="4CBEC3B1" w14:textId="0382299B" w:rsidR="00E745AE" w:rsidRDefault="00E745AE" w:rsidP="003E3F3C">
      <w:pPr>
        <w:pStyle w:val="Opisslike"/>
      </w:pPr>
      <w:r>
        <w:t>Tablica</w:t>
      </w:r>
      <w:r w:rsidR="00BD6B22">
        <w:t xml:space="preserve"> </w:t>
      </w:r>
      <w:r w:rsidR="006D7B27">
        <w:t>1</w:t>
      </w:r>
      <w:r w:rsidR="00741E4F">
        <w:t>79</w:t>
      </w:r>
      <w:r>
        <w:t xml:space="preserve">. </w:t>
      </w:r>
      <w:r w:rsidRPr="00932D26">
        <w:t>Broj i lokacija zelenih otoka u Krapinsko-zagorskoj županiji</w:t>
      </w:r>
    </w:p>
    <w:tbl>
      <w:tblPr>
        <w:tblW w:w="9409" w:type="dxa"/>
        <w:tblBorders>
          <w:left w:val="single" w:sz="8" w:space="0" w:color="D2232A"/>
          <w:right w:val="single" w:sz="8" w:space="0" w:color="D2232A"/>
          <w:insideH w:val="single" w:sz="8" w:space="0" w:color="F3CFC1"/>
          <w:insideV w:val="single" w:sz="8" w:space="0" w:color="D2232A"/>
        </w:tblBorders>
        <w:tblLayout w:type="fixed"/>
        <w:tblLook w:val="04A0" w:firstRow="1" w:lastRow="0" w:firstColumn="1" w:lastColumn="0" w:noHBand="0" w:noVBand="1"/>
      </w:tblPr>
      <w:tblGrid>
        <w:gridCol w:w="1823"/>
        <w:gridCol w:w="1519"/>
        <w:gridCol w:w="872"/>
        <w:gridCol w:w="871"/>
        <w:gridCol w:w="872"/>
        <w:gridCol w:w="706"/>
        <w:gridCol w:w="2746"/>
      </w:tblGrid>
      <w:tr w:rsidR="00FA7C95" w:rsidRPr="00E745AE" w14:paraId="0459A46F" w14:textId="77777777" w:rsidTr="00505050">
        <w:trPr>
          <w:trHeight w:val="284"/>
          <w:tblHeader/>
        </w:trPr>
        <w:tc>
          <w:tcPr>
            <w:tcW w:w="1823" w:type="dxa"/>
            <w:shd w:val="clear" w:color="auto" w:fill="D2232A" w:themeFill="accent1"/>
            <w:noWrap/>
            <w:vAlign w:val="center"/>
            <w:hideMark/>
          </w:tcPr>
          <w:p w14:paraId="56B50EB3" w14:textId="77777777" w:rsidR="00FA7C95" w:rsidRPr="00E745AE" w:rsidRDefault="00FA7C95" w:rsidP="00E745AE">
            <w:pPr>
              <w:spacing w:after="0"/>
              <w:rPr>
                <w:bCs/>
                <w:iCs/>
                <w:color w:val="FFFFFF" w:themeColor="background1"/>
                <w:szCs w:val="18"/>
                <w:lang w:val="en-GB"/>
              </w:rPr>
            </w:pPr>
            <w:r w:rsidRPr="00E745AE">
              <w:rPr>
                <w:bCs/>
                <w:iCs/>
                <w:color w:val="FFFFFF" w:themeColor="background1"/>
                <w:szCs w:val="18"/>
              </w:rPr>
              <w:t>GRAD/OPĆINA</w:t>
            </w:r>
          </w:p>
        </w:tc>
        <w:tc>
          <w:tcPr>
            <w:tcW w:w="1519" w:type="dxa"/>
            <w:shd w:val="clear" w:color="auto" w:fill="D2232A" w:themeFill="accent1"/>
            <w:noWrap/>
            <w:vAlign w:val="center"/>
            <w:hideMark/>
          </w:tcPr>
          <w:p w14:paraId="7B01C7CF" w14:textId="77777777" w:rsidR="00FA7C95" w:rsidRPr="00E745AE" w:rsidRDefault="00FA7C95" w:rsidP="00E745AE">
            <w:pPr>
              <w:spacing w:after="0"/>
              <w:jc w:val="right"/>
              <w:rPr>
                <w:bCs/>
                <w:iCs/>
                <w:color w:val="FFFFFF" w:themeColor="background1"/>
                <w:szCs w:val="18"/>
              </w:rPr>
            </w:pPr>
            <w:r w:rsidRPr="00E745AE">
              <w:rPr>
                <w:bCs/>
                <w:iCs/>
                <w:color w:val="FFFFFF" w:themeColor="background1"/>
                <w:szCs w:val="18"/>
              </w:rPr>
              <w:t>2015.</w:t>
            </w:r>
          </w:p>
        </w:tc>
        <w:tc>
          <w:tcPr>
            <w:tcW w:w="872" w:type="dxa"/>
            <w:shd w:val="clear" w:color="auto" w:fill="D2232A" w:themeFill="accent1"/>
            <w:noWrap/>
            <w:vAlign w:val="center"/>
            <w:hideMark/>
          </w:tcPr>
          <w:p w14:paraId="0E5B47CA" w14:textId="77777777" w:rsidR="00FA7C95" w:rsidRPr="00E745AE" w:rsidRDefault="00FA7C95" w:rsidP="00E745AE">
            <w:pPr>
              <w:spacing w:after="0"/>
              <w:jc w:val="right"/>
              <w:rPr>
                <w:bCs/>
                <w:iCs/>
                <w:color w:val="FFFFFF" w:themeColor="background1"/>
                <w:szCs w:val="18"/>
              </w:rPr>
            </w:pPr>
            <w:r w:rsidRPr="00E745AE">
              <w:rPr>
                <w:bCs/>
                <w:iCs/>
                <w:color w:val="FFFFFF" w:themeColor="background1"/>
                <w:szCs w:val="18"/>
              </w:rPr>
              <w:t>2016.</w:t>
            </w:r>
          </w:p>
        </w:tc>
        <w:tc>
          <w:tcPr>
            <w:tcW w:w="871" w:type="dxa"/>
            <w:shd w:val="clear" w:color="auto" w:fill="D2232A" w:themeFill="accent1"/>
            <w:noWrap/>
            <w:vAlign w:val="center"/>
            <w:hideMark/>
          </w:tcPr>
          <w:p w14:paraId="5EDDBFF6" w14:textId="77777777" w:rsidR="00FA7C95" w:rsidRPr="00E745AE" w:rsidRDefault="00FA7C95" w:rsidP="00E745AE">
            <w:pPr>
              <w:spacing w:after="0"/>
              <w:jc w:val="right"/>
              <w:rPr>
                <w:bCs/>
                <w:iCs/>
                <w:color w:val="FFFFFF" w:themeColor="background1"/>
                <w:szCs w:val="18"/>
              </w:rPr>
            </w:pPr>
            <w:r w:rsidRPr="00E745AE">
              <w:rPr>
                <w:bCs/>
                <w:iCs/>
                <w:color w:val="FFFFFF" w:themeColor="background1"/>
                <w:szCs w:val="18"/>
              </w:rPr>
              <w:t>2017.</w:t>
            </w:r>
          </w:p>
        </w:tc>
        <w:tc>
          <w:tcPr>
            <w:tcW w:w="872" w:type="dxa"/>
            <w:shd w:val="clear" w:color="auto" w:fill="D2232A" w:themeFill="accent1"/>
            <w:noWrap/>
            <w:vAlign w:val="center"/>
            <w:hideMark/>
          </w:tcPr>
          <w:p w14:paraId="7C1A2751" w14:textId="77777777" w:rsidR="00FA7C95" w:rsidRPr="00E745AE" w:rsidRDefault="00FA7C95" w:rsidP="00E745AE">
            <w:pPr>
              <w:spacing w:after="0"/>
              <w:jc w:val="right"/>
              <w:rPr>
                <w:bCs/>
                <w:iCs/>
                <w:color w:val="FFFFFF" w:themeColor="background1"/>
                <w:szCs w:val="18"/>
              </w:rPr>
            </w:pPr>
            <w:r w:rsidRPr="00E745AE">
              <w:rPr>
                <w:bCs/>
                <w:iCs/>
                <w:color w:val="FFFFFF" w:themeColor="background1"/>
                <w:szCs w:val="18"/>
              </w:rPr>
              <w:t>2018.</w:t>
            </w:r>
          </w:p>
        </w:tc>
        <w:tc>
          <w:tcPr>
            <w:tcW w:w="706" w:type="dxa"/>
            <w:shd w:val="clear" w:color="auto" w:fill="D2232A" w:themeFill="accent1"/>
          </w:tcPr>
          <w:p w14:paraId="51FB00BE" w14:textId="0F782E3E" w:rsidR="00FA7C95" w:rsidRPr="00E745AE" w:rsidRDefault="00FA7C95" w:rsidP="00E745AE">
            <w:pPr>
              <w:spacing w:after="0"/>
              <w:jc w:val="right"/>
              <w:rPr>
                <w:bCs/>
                <w:iCs/>
                <w:color w:val="FFFFFF" w:themeColor="background1"/>
                <w:szCs w:val="18"/>
              </w:rPr>
            </w:pPr>
            <w:r w:rsidRPr="00E745AE">
              <w:rPr>
                <w:bCs/>
                <w:iCs/>
                <w:color w:val="FFFFFF" w:themeColor="background1"/>
                <w:szCs w:val="18"/>
              </w:rPr>
              <w:t>2019.</w:t>
            </w:r>
          </w:p>
        </w:tc>
        <w:tc>
          <w:tcPr>
            <w:tcW w:w="2746" w:type="dxa"/>
            <w:shd w:val="clear" w:color="auto" w:fill="D2232A" w:themeFill="accent1"/>
            <w:noWrap/>
            <w:vAlign w:val="center"/>
            <w:hideMark/>
          </w:tcPr>
          <w:p w14:paraId="12633E4C" w14:textId="7D160CEE" w:rsidR="00FA7C95" w:rsidRPr="00E745AE" w:rsidRDefault="00FA7C95" w:rsidP="00E745AE">
            <w:pPr>
              <w:spacing w:after="0"/>
              <w:jc w:val="right"/>
              <w:rPr>
                <w:bCs/>
                <w:iCs/>
                <w:color w:val="FFFFFF" w:themeColor="background1"/>
                <w:szCs w:val="18"/>
              </w:rPr>
            </w:pPr>
            <w:r w:rsidRPr="00E745AE">
              <w:rPr>
                <w:bCs/>
                <w:iCs/>
                <w:color w:val="FFFFFF" w:themeColor="background1"/>
                <w:szCs w:val="18"/>
              </w:rPr>
              <w:t>Vrsta otpada koja se prikuplja</w:t>
            </w:r>
          </w:p>
        </w:tc>
      </w:tr>
      <w:tr w:rsidR="00FA7C95" w:rsidRPr="00E745AE" w14:paraId="3064FB0C" w14:textId="77777777" w:rsidTr="00505050">
        <w:trPr>
          <w:trHeight w:val="284"/>
        </w:trPr>
        <w:tc>
          <w:tcPr>
            <w:tcW w:w="1823" w:type="dxa"/>
            <w:noWrap/>
            <w:vAlign w:val="center"/>
            <w:hideMark/>
          </w:tcPr>
          <w:p w14:paraId="7E05D9FD" w14:textId="77777777" w:rsidR="00FA7C95" w:rsidRPr="00E745AE" w:rsidRDefault="00FA7C95" w:rsidP="00E745AE">
            <w:pPr>
              <w:spacing w:after="0"/>
              <w:rPr>
                <w:bCs/>
                <w:iCs/>
                <w:szCs w:val="18"/>
              </w:rPr>
            </w:pPr>
            <w:r w:rsidRPr="00E745AE">
              <w:rPr>
                <w:bCs/>
                <w:iCs/>
                <w:szCs w:val="18"/>
              </w:rPr>
              <w:t>Grad Krapina</w:t>
            </w:r>
          </w:p>
        </w:tc>
        <w:tc>
          <w:tcPr>
            <w:tcW w:w="1519" w:type="dxa"/>
            <w:noWrap/>
            <w:vAlign w:val="center"/>
            <w:hideMark/>
          </w:tcPr>
          <w:p w14:paraId="4188AA6F" w14:textId="77777777" w:rsidR="00FA7C95" w:rsidRPr="00E745AE" w:rsidRDefault="00FA7C95" w:rsidP="00505050">
            <w:pPr>
              <w:spacing w:after="0"/>
              <w:jc w:val="center"/>
              <w:rPr>
                <w:iCs/>
                <w:szCs w:val="18"/>
              </w:rPr>
            </w:pPr>
            <w:r w:rsidRPr="00E745AE">
              <w:rPr>
                <w:iCs/>
                <w:szCs w:val="18"/>
              </w:rPr>
              <w:t>19</w:t>
            </w:r>
          </w:p>
        </w:tc>
        <w:tc>
          <w:tcPr>
            <w:tcW w:w="872" w:type="dxa"/>
            <w:noWrap/>
            <w:vAlign w:val="center"/>
            <w:hideMark/>
          </w:tcPr>
          <w:p w14:paraId="32FF30FA" w14:textId="77777777" w:rsidR="00FA7C95" w:rsidRPr="00E745AE" w:rsidRDefault="00FA7C95" w:rsidP="00505050">
            <w:pPr>
              <w:spacing w:after="0"/>
              <w:jc w:val="center"/>
              <w:rPr>
                <w:iCs/>
                <w:szCs w:val="18"/>
              </w:rPr>
            </w:pPr>
            <w:r w:rsidRPr="00E745AE">
              <w:rPr>
                <w:iCs/>
                <w:szCs w:val="18"/>
              </w:rPr>
              <w:t>18</w:t>
            </w:r>
          </w:p>
        </w:tc>
        <w:tc>
          <w:tcPr>
            <w:tcW w:w="871" w:type="dxa"/>
            <w:noWrap/>
            <w:vAlign w:val="center"/>
            <w:hideMark/>
          </w:tcPr>
          <w:p w14:paraId="0306B9B2" w14:textId="77777777" w:rsidR="00FA7C95" w:rsidRPr="00E745AE" w:rsidRDefault="00FA7C95" w:rsidP="00505050">
            <w:pPr>
              <w:spacing w:after="0"/>
              <w:jc w:val="center"/>
              <w:rPr>
                <w:iCs/>
                <w:szCs w:val="18"/>
              </w:rPr>
            </w:pPr>
            <w:r w:rsidRPr="00E745AE">
              <w:rPr>
                <w:iCs/>
                <w:szCs w:val="18"/>
              </w:rPr>
              <w:t>18</w:t>
            </w:r>
          </w:p>
        </w:tc>
        <w:tc>
          <w:tcPr>
            <w:tcW w:w="872" w:type="dxa"/>
            <w:noWrap/>
            <w:vAlign w:val="center"/>
            <w:hideMark/>
          </w:tcPr>
          <w:p w14:paraId="340E9118" w14:textId="77777777" w:rsidR="00FA7C95" w:rsidRPr="00E745AE" w:rsidRDefault="00FA7C95" w:rsidP="00505050">
            <w:pPr>
              <w:spacing w:after="0"/>
              <w:jc w:val="center"/>
              <w:rPr>
                <w:iCs/>
                <w:szCs w:val="18"/>
              </w:rPr>
            </w:pPr>
            <w:r w:rsidRPr="00E745AE">
              <w:rPr>
                <w:iCs/>
                <w:szCs w:val="18"/>
              </w:rPr>
              <w:t>18</w:t>
            </w:r>
          </w:p>
        </w:tc>
        <w:tc>
          <w:tcPr>
            <w:tcW w:w="706" w:type="dxa"/>
          </w:tcPr>
          <w:p w14:paraId="4AF39CFD" w14:textId="154C16D9" w:rsidR="00FA7C95" w:rsidRPr="00E745AE" w:rsidRDefault="004E7067" w:rsidP="00505050">
            <w:pPr>
              <w:spacing w:after="0"/>
              <w:jc w:val="center"/>
              <w:rPr>
                <w:iCs/>
                <w:szCs w:val="18"/>
              </w:rPr>
            </w:pPr>
            <w:r w:rsidRPr="00E745AE">
              <w:rPr>
                <w:iCs/>
                <w:szCs w:val="18"/>
              </w:rPr>
              <w:t>17</w:t>
            </w:r>
          </w:p>
        </w:tc>
        <w:tc>
          <w:tcPr>
            <w:tcW w:w="2746" w:type="dxa"/>
            <w:vAlign w:val="center"/>
            <w:hideMark/>
          </w:tcPr>
          <w:p w14:paraId="2DE11EBD" w14:textId="255863A6" w:rsidR="00FA7C95" w:rsidRPr="00E745AE" w:rsidRDefault="00FA7C95" w:rsidP="00505050">
            <w:pPr>
              <w:spacing w:after="0"/>
              <w:jc w:val="center"/>
              <w:rPr>
                <w:iCs/>
                <w:szCs w:val="18"/>
              </w:rPr>
            </w:pPr>
            <w:r w:rsidRPr="00E745AE">
              <w:rPr>
                <w:iCs/>
                <w:szCs w:val="18"/>
              </w:rPr>
              <w:t>papir, karton, plastika, staklo, odjeća, metali</w:t>
            </w:r>
          </w:p>
        </w:tc>
      </w:tr>
      <w:tr w:rsidR="00FA7C95" w:rsidRPr="00E745AE" w14:paraId="6E587F37" w14:textId="77777777" w:rsidTr="00505050">
        <w:trPr>
          <w:trHeight w:val="284"/>
        </w:trPr>
        <w:tc>
          <w:tcPr>
            <w:tcW w:w="1823" w:type="dxa"/>
            <w:noWrap/>
            <w:vAlign w:val="center"/>
            <w:hideMark/>
          </w:tcPr>
          <w:p w14:paraId="2CFFD2A7" w14:textId="77777777" w:rsidR="00FA7C95" w:rsidRPr="00E745AE" w:rsidRDefault="00FA7C95" w:rsidP="00E745AE">
            <w:pPr>
              <w:spacing w:after="0"/>
              <w:rPr>
                <w:bCs/>
                <w:iCs/>
                <w:szCs w:val="18"/>
              </w:rPr>
            </w:pPr>
            <w:r w:rsidRPr="00E745AE">
              <w:rPr>
                <w:bCs/>
                <w:iCs/>
                <w:szCs w:val="18"/>
              </w:rPr>
              <w:t>Grad Donja Stubica</w:t>
            </w:r>
          </w:p>
        </w:tc>
        <w:tc>
          <w:tcPr>
            <w:tcW w:w="1519" w:type="dxa"/>
            <w:noWrap/>
            <w:vAlign w:val="center"/>
            <w:hideMark/>
          </w:tcPr>
          <w:p w14:paraId="6D411B98" w14:textId="77777777" w:rsidR="00FA7C95" w:rsidRPr="00E745AE" w:rsidRDefault="00FA7C95" w:rsidP="00505050">
            <w:pPr>
              <w:spacing w:after="0"/>
              <w:jc w:val="center"/>
              <w:rPr>
                <w:iCs/>
                <w:szCs w:val="18"/>
              </w:rPr>
            </w:pPr>
            <w:r w:rsidRPr="00E745AE">
              <w:rPr>
                <w:iCs/>
                <w:szCs w:val="18"/>
              </w:rPr>
              <w:t>10</w:t>
            </w:r>
          </w:p>
        </w:tc>
        <w:tc>
          <w:tcPr>
            <w:tcW w:w="872" w:type="dxa"/>
            <w:noWrap/>
            <w:vAlign w:val="center"/>
            <w:hideMark/>
          </w:tcPr>
          <w:p w14:paraId="75CC88A2" w14:textId="77777777" w:rsidR="00FA7C95" w:rsidRPr="00E745AE" w:rsidRDefault="00FA7C95" w:rsidP="00505050">
            <w:pPr>
              <w:spacing w:after="0"/>
              <w:jc w:val="center"/>
              <w:rPr>
                <w:iCs/>
                <w:szCs w:val="18"/>
              </w:rPr>
            </w:pPr>
            <w:r w:rsidRPr="00E745AE">
              <w:rPr>
                <w:iCs/>
                <w:szCs w:val="18"/>
              </w:rPr>
              <w:t>10</w:t>
            </w:r>
          </w:p>
        </w:tc>
        <w:tc>
          <w:tcPr>
            <w:tcW w:w="871" w:type="dxa"/>
            <w:noWrap/>
            <w:vAlign w:val="center"/>
            <w:hideMark/>
          </w:tcPr>
          <w:p w14:paraId="42A296C7" w14:textId="77777777" w:rsidR="00FA7C95" w:rsidRPr="00E745AE" w:rsidRDefault="00FA7C95" w:rsidP="00505050">
            <w:pPr>
              <w:spacing w:after="0"/>
              <w:jc w:val="center"/>
              <w:rPr>
                <w:iCs/>
                <w:szCs w:val="18"/>
              </w:rPr>
            </w:pPr>
            <w:r w:rsidRPr="00E745AE">
              <w:rPr>
                <w:iCs/>
                <w:szCs w:val="18"/>
              </w:rPr>
              <w:t>11</w:t>
            </w:r>
          </w:p>
        </w:tc>
        <w:tc>
          <w:tcPr>
            <w:tcW w:w="872" w:type="dxa"/>
            <w:noWrap/>
            <w:vAlign w:val="center"/>
            <w:hideMark/>
          </w:tcPr>
          <w:p w14:paraId="727F27BB" w14:textId="77777777" w:rsidR="00FA7C95" w:rsidRPr="00E745AE" w:rsidRDefault="00FA7C95" w:rsidP="00505050">
            <w:pPr>
              <w:spacing w:after="0"/>
              <w:jc w:val="center"/>
              <w:rPr>
                <w:iCs/>
                <w:szCs w:val="18"/>
              </w:rPr>
            </w:pPr>
            <w:r w:rsidRPr="00E745AE">
              <w:rPr>
                <w:iCs/>
                <w:szCs w:val="18"/>
              </w:rPr>
              <w:t>10</w:t>
            </w:r>
          </w:p>
        </w:tc>
        <w:tc>
          <w:tcPr>
            <w:tcW w:w="706" w:type="dxa"/>
          </w:tcPr>
          <w:p w14:paraId="1C90AF57" w14:textId="024C89CB" w:rsidR="00FA7C95" w:rsidRPr="00E745AE" w:rsidRDefault="004E7067" w:rsidP="00505050">
            <w:pPr>
              <w:spacing w:after="0"/>
              <w:jc w:val="center"/>
              <w:rPr>
                <w:iCs/>
                <w:szCs w:val="18"/>
              </w:rPr>
            </w:pPr>
            <w:r w:rsidRPr="00E745AE">
              <w:rPr>
                <w:iCs/>
                <w:szCs w:val="18"/>
              </w:rPr>
              <w:t>11</w:t>
            </w:r>
          </w:p>
        </w:tc>
        <w:tc>
          <w:tcPr>
            <w:tcW w:w="2746" w:type="dxa"/>
            <w:vAlign w:val="center"/>
            <w:hideMark/>
          </w:tcPr>
          <w:p w14:paraId="1324302A" w14:textId="7EDA6CE6" w:rsidR="00FA7C95" w:rsidRPr="00E745AE" w:rsidRDefault="00FA7C95" w:rsidP="00505050">
            <w:pPr>
              <w:spacing w:after="0"/>
              <w:jc w:val="center"/>
              <w:rPr>
                <w:iCs/>
                <w:szCs w:val="18"/>
              </w:rPr>
            </w:pPr>
            <w:r w:rsidRPr="00E745AE">
              <w:rPr>
                <w:iCs/>
                <w:szCs w:val="18"/>
              </w:rPr>
              <w:t>papir, karton, plastika, staklo, odjeća, metali</w:t>
            </w:r>
          </w:p>
        </w:tc>
      </w:tr>
      <w:tr w:rsidR="00FA7C95" w:rsidRPr="00E745AE" w14:paraId="2BE8D19E" w14:textId="77777777" w:rsidTr="00505050">
        <w:trPr>
          <w:trHeight w:val="284"/>
        </w:trPr>
        <w:tc>
          <w:tcPr>
            <w:tcW w:w="1823" w:type="dxa"/>
            <w:noWrap/>
            <w:vAlign w:val="center"/>
            <w:hideMark/>
          </w:tcPr>
          <w:p w14:paraId="54155784" w14:textId="77777777" w:rsidR="00FA7C95" w:rsidRPr="00E745AE" w:rsidRDefault="00FA7C95" w:rsidP="00E745AE">
            <w:pPr>
              <w:spacing w:after="0"/>
              <w:rPr>
                <w:bCs/>
                <w:iCs/>
                <w:szCs w:val="18"/>
              </w:rPr>
            </w:pPr>
            <w:r w:rsidRPr="00E745AE">
              <w:rPr>
                <w:bCs/>
                <w:iCs/>
                <w:szCs w:val="18"/>
              </w:rPr>
              <w:t>Grad Klanjec</w:t>
            </w:r>
          </w:p>
        </w:tc>
        <w:tc>
          <w:tcPr>
            <w:tcW w:w="1519" w:type="dxa"/>
            <w:noWrap/>
            <w:vAlign w:val="center"/>
            <w:hideMark/>
          </w:tcPr>
          <w:p w14:paraId="51CB4A94" w14:textId="77777777" w:rsidR="00FA7C95" w:rsidRPr="00E745AE" w:rsidRDefault="00FA7C95" w:rsidP="00505050">
            <w:pPr>
              <w:spacing w:after="0"/>
              <w:jc w:val="center"/>
              <w:rPr>
                <w:iCs/>
                <w:szCs w:val="18"/>
              </w:rPr>
            </w:pPr>
            <w:r w:rsidRPr="00E745AE">
              <w:rPr>
                <w:iCs/>
                <w:szCs w:val="18"/>
              </w:rPr>
              <w:t>4</w:t>
            </w:r>
          </w:p>
        </w:tc>
        <w:tc>
          <w:tcPr>
            <w:tcW w:w="872" w:type="dxa"/>
            <w:noWrap/>
            <w:vAlign w:val="center"/>
            <w:hideMark/>
          </w:tcPr>
          <w:p w14:paraId="7EF8F19E" w14:textId="77777777" w:rsidR="00FA7C95" w:rsidRPr="00E745AE" w:rsidRDefault="00FA7C95" w:rsidP="00505050">
            <w:pPr>
              <w:spacing w:after="0"/>
              <w:jc w:val="center"/>
              <w:rPr>
                <w:iCs/>
                <w:szCs w:val="18"/>
              </w:rPr>
            </w:pPr>
            <w:r w:rsidRPr="00E745AE">
              <w:rPr>
                <w:iCs/>
                <w:szCs w:val="18"/>
              </w:rPr>
              <w:t>6</w:t>
            </w:r>
          </w:p>
        </w:tc>
        <w:tc>
          <w:tcPr>
            <w:tcW w:w="871" w:type="dxa"/>
            <w:noWrap/>
            <w:vAlign w:val="center"/>
            <w:hideMark/>
          </w:tcPr>
          <w:p w14:paraId="2F5A4325" w14:textId="77777777" w:rsidR="00FA7C95" w:rsidRPr="00E745AE" w:rsidRDefault="00FA7C95" w:rsidP="00505050">
            <w:pPr>
              <w:spacing w:after="0"/>
              <w:jc w:val="center"/>
              <w:rPr>
                <w:iCs/>
                <w:szCs w:val="18"/>
              </w:rPr>
            </w:pPr>
            <w:r w:rsidRPr="00E745AE">
              <w:rPr>
                <w:iCs/>
                <w:szCs w:val="18"/>
              </w:rPr>
              <w:t>4</w:t>
            </w:r>
          </w:p>
        </w:tc>
        <w:tc>
          <w:tcPr>
            <w:tcW w:w="872" w:type="dxa"/>
            <w:noWrap/>
            <w:vAlign w:val="center"/>
            <w:hideMark/>
          </w:tcPr>
          <w:p w14:paraId="34CEA8F3" w14:textId="77777777" w:rsidR="00FA7C95" w:rsidRPr="00E745AE" w:rsidRDefault="00FA7C95" w:rsidP="00505050">
            <w:pPr>
              <w:spacing w:after="0"/>
              <w:jc w:val="center"/>
              <w:rPr>
                <w:iCs/>
                <w:szCs w:val="18"/>
              </w:rPr>
            </w:pPr>
            <w:r w:rsidRPr="00E745AE">
              <w:rPr>
                <w:iCs/>
                <w:szCs w:val="18"/>
              </w:rPr>
              <w:t>4</w:t>
            </w:r>
          </w:p>
        </w:tc>
        <w:tc>
          <w:tcPr>
            <w:tcW w:w="706" w:type="dxa"/>
          </w:tcPr>
          <w:p w14:paraId="15AB82A6" w14:textId="4D4EEDBD" w:rsidR="00FA7C95" w:rsidRPr="00E745AE" w:rsidRDefault="004E7067" w:rsidP="00505050">
            <w:pPr>
              <w:spacing w:after="0"/>
              <w:jc w:val="center"/>
              <w:rPr>
                <w:iCs/>
                <w:szCs w:val="18"/>
              </w:rPr>
            </w:pPr>
            <w:r w:rsidRPr="00E745AE">
              <w:rPr>
                <w:iCs/>
                <w:szCs w:val="18"/>
              </w:rPr>
              <w:t>4</w:t>
            </w:r>
          </w:p>
        </w:tc>
        <w:tc>
          <w:tcPr>
            <w:tcW w:w="2746" w:type="dxa"/>
            <w:vAlign w:val="center"/>
            <w:hideMark/>
          </w:tcPr>
          <w:p w14:paraId="77344931" w14:textId="497B04F9"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63869133" w14:textId="77777777" w:rsidTr="00505050">
        <w:trPr>
          <w:trHeight w:val="284"/>
        </w:trPr>
        <w:tc>
          <w:tcPr>
            <w:tcW w:w="1823" w:type="dxa"/>
            <w:noWrap/>
            <w:vAlign w:val="center"/>
            <w:hideMark/>
          </w:tcPr>
          <w:p w14:paraId="1DBE54C5" w14:textId="77777777" w:rsidR="00FA7C95" w:rsidRPr="00E745AE" w:rsidRDefault="00FA7C95" w:rsidP="00E745AE">
            <w:pPr>
              <w:spacing w:after="0"/>
              <w:rPr>
                <w:bCs/>
                <w:iCs/>
                <w:szCs w:val="18"/>
              </w:rPr>
            </w:pPr>
            <w:r w:rsidRPr="00E745AE">
              <w:rPr>
                <w:bCs/>
                <w:iCs/>
                <w:szCs w:val="18"/>
              </w:rPr>
              <w:t>Grad Oroslavje</w:t>
            </w:r>
          </w:p>
        </w:tc>
        <w:tc>
          <w:tcPr>
            <w:tcW w:w="1519" w:type="dxa"/>
            <w:noWrap/>
            <w:vAlign w:val="center"/>
            <w:hideMark/>
          </w:tcPr>
          <w:p w14:paraId="29C6D027" w14:textId="77777777" w:rsidR="00FA7C95" w:rsidRPr="00E745AE" w:rsidRDefault="00FA7C95" w:rsidP="00505050">
            <w:pPr>
              <w:spacing w:after="0"/>
              <w:jc w:val="center"/>
              <w:rPr>
                <w:iCs/>
                <w:szCs w:val="18"/>
              </w:rPr>
            </w:pPr>
            <w:r w:rsidRPr="00E745AE">
              <w:rPr>
                <w:iCs/>
                <w:szCs w:val="18"/>
              </w:rPr>
              <w:t>8</w:t>
            </w:r>
          </w:p>
        </w:tc>
        <w:tc>
          <w:tcPr>
            <w:tcW w:w="872" w:type="dxa"/>
            <w:noWrap/>
            <w:vAlign w:val="center"/>
            <w:hideMark/>
          </w:tcPr>
          <w:p w14:paraId="4B2C1FB1" w14:textId="77777777" w:rsidR="00FA7C95" w:rsidRPr="00E745AE" w:rsidRDefault="00FA7C95" w:rsidP="00505050">
            <w:pPr>
              <w:spacing w:after="0"/>
              <w:jc w:val="center"/>
              <w:rPr>
                <w:iCs/>
                <w:szCs w:val="18"/>
              </w:rPr>
            </w:pPr>
            <w:r w:rsidRPr="00E745AE">
              <w:rPr>
                <w:iCs/>
                <w:szCs w:val="18"/>
              </w:rPr>
              <w:t>8</w:t>
            </w:r>
          </w:p>
        </w:tc>
        <w:tc>
          <w:tcPr>
            <w:tcW w:w="871" w:type="dxa"/>
            <w:noWrap/>
            <w:vAlign w:val="center"/>
            <w:hideMark/>
          </w:tcPr>
          <w:p w14:paraId="76C893A0" w14:textId="77777777" w:rsidR="00FA7C95" w:rsidRPr="00E745AE" w:rsidRDefault="00FA7C95" w:rsidP="00505050">
            <w:pPr>
              <w:spacing w:after="0"/>
              <w:jc w:val="center"/>
              <w:rPr>
                <w:iCs/>
                <w:szCs w:val="18"/>
              </w:rPr>
            </w:pPr>
            <w:r w:rsidRPr="00E745AE">
              <w:rPr>
                <w:iCs/>
                <w:szCs w:val="18"/>
              </w:rPr>
              <w:t>8</w:t>
            </w:r>
          </w:p>
        </w:tc>
        <w:tc>
          <w:tcPr>
            <w:tcW w:w="872" w:type="dxa"/>
            <w:noWrap/>
            <w:vAlign w:val="center"/>
            <w:hideMark/>
          </w:tcPr>
          <w:p w14:paraId="07D46886" w14:textId="77777777" w:rsidR="00FA7C95" w:rsidRPr="00E745AE" w:rsidRDefault="00FA7C95" w:rsidP="00505050">
            <w:pPr>
              <w:spacing w:after="0"/>
              <w:jc w:val="center"/>
              <w:rPr>
                <w:iCs/>
                <w:szCs w:val="18"/>
              </w:rPr>
            </w:pPr>
            <w:r w:rsidRPr="00E745AE">
              <w:rPr>
                <w:iCs/>
                <w:szCs w:val="18"/>
              </w:rPr>
              <w:t>8</w:t>
            </w:r>
          </w:p>
        </w:tc>
        <w:tc>
          <w:tcPr>
            <w:tcW w:w="706" w:type="dxa"/>
          </w:tcPr>
          <w:p w14:paraId="2CFE3B0E" w14:textId="5FB971BE" w:rsidR="00FA7C95" w:rsidRPr="00E745AE" w:rsidRDefault="004E7067" w:rsidP="00505050">
            <w:pPr>
              <w:spacing w:after="0"/>
              <w:jc w:val="center"/>
              <w:rPr>
                <w:iCs/>
                <w:szCs w:val="18"/>
              </w:rPr>
            </w:pPr>
            <w:r w:rsidRPr="00E745AE">
              <w:rPr>
                <w:iCs/>
                <w:szCs w:val="18"/>
              </w:rPr>
              <w:t>10</w:t>
            </w:r>
          </w:p>
        </w:tc>
        <w:tc>
          <w:tcPr>
            <w:tcW w:w="2746" w:type="dxa"/>
            <w:vAlign w:val="center"/>
            <w:hideMark/>
          </w:tcPr>
          <w:p w14:paraId="7ABA98D8" w14:textId="6FBFD293" w:rsidR="00FA7C95" w:rsidRPr="00E745AE" w:rsidRDefault="00FA7C95" w:rsidP="00505050">
            <w:pPr>
              <w:spacing w:after="0"/>
              <w:jc w:val="center"/>
              <w:rPr>
                <w:iCs/>
                <w:szCs w:val="18"/>
              </w:rPr>
            </w:pPr>
            <w:r w:rsidRPr="00E745AE">
              <w:rPr>
                <w:iCs/>
                <w:szCs w:val="18"/>
              </w:rPr>
              <w:t>papir, karton, staklo, odjeća</w:t>
            </w:r>
          </w:p>
        </w:tc>
      </w:tr>
      <w:tr w:rsidR="00FA7C95" w:rsidRPr="00E745AE" w14:paraId="7D2DAE4E" w14:textId="77777777" w:rsidTr="00505050">
        <w:trPr>
          <w:trHeight w:val="284"/>
        </w:trPr>
        <w:tc>
          <w:tcPr>
            <w:tcW w:w="1823" w:type="dxa"/>
            <w:noWrap/>
            <w:vAlign w:val="center"/>
            <w:hideMark/>
          </w:tcPr>
          <w:p w14:paraId="3C7D3FBF" w14:textId="77777777" w:rsidR="00FA7C95" w:rsidRPr="00E745AE" w:rsidRDefault="00FA7C95" w:rsidP="00E745AE">
            <w:pPr>
              <w:spacing w:after="0"/>
              <w:rPr>
                <w:bCs/>
                <w:iCs/>
                <w:szCs w:val="18"/>
              </w:rPr>
            </w:pPr>
            <w:r w:rsidRPr="00E745AE">
              <w:rPr>
                <w:bCs/>
                <w:iCs/>
                <w:szCs w:val="18"/>
              </w:rPr>
              <w:t>Grad Pregrada</w:t>
            </w:r>
          </w:p>
        </w:tc>
        <w:tc>
          <w:tcPr>
            <w:tcW w:w="1519" w:type="dxa"/>
            <w:noWrap/>
            <w:vAlign w:val="center"/>
            <w:hideMark/>
          </w:tcPr>
          <w:p w14:paraId="2C0363A5" w14:textId="77777777" w:rsidR="00FA7C95" w:rsidRPr="00E745AE" w:rsidRDefault="00FA7C95" w:rsidP="00505050">
            <w:pPr>
              <w:spacing w:after="0"/>
              <w:jc w:val="center"/>
              <w:rPr>
                <w:iCs/>
                <w:szCs w:val="18"/>
              </w:rPr>
            </w:pPr>
            <w:r w:rsidRPr="00E745AE">
              <w:rPr>
                <w:iCs/>
                <w:szCs w:val="18"/>
              </w:rPr>
              <w:t>11</w:t>
            </w:r>
          </w:p>
        </w:tc>
        <w:tc>
          <w:tcPr>
            <w:tcW w:w="872" w:type="dxa"/>
            <w:noWrap/>
            <w:vAlign w:val="center"/>
            <w:hideMark/>
          </w:tcPr>
          <w:p w14:paraId="191281F1" w14:textId="77777777" w:rsidR="00FA7C95" w:rsidRPr="00E745AE" w:rsidRDefault="00FA7C95" w:rsidP="00505050">
            <w:pPr>
              <w:spacing w:after="0"/>
              <w:jc w:val="center"/>
              <w:rPr>
                <w:iCs/>
                <w:szCs w:val="18"/>
              </w:rPr>
            </w:pPr>
            <w:r w:rsidRPr="00E745AE">
              <w:rPr>
                <w:iCs/>
                <w:szCs w:val="18"/>
              </w:rPr>
              <w:t>11</w:t>
            </w:r>
          </w:p>
        </w:tc>
        <w:tc>
          <w:tcPr>
            <w:tcW w:w="871" w:type="dxa"/>
            <w:noWrap/>
            <w:vAlign w:val="center"/>
            <w:hideMark/>
          </w:tcPr>
          <w:p w14:paraId="760FBB96" w14:textId="77777777" w:rsidR="00FA7C95" w:rsidRPr="00E745AE" w:rsidRDefault="00FA7C95" w:rsidP="00505050">
            <w:pPr>
              <w:spacing w:after="0"/>
              <w:jc w:val="center"/>
              <w:rPr>
                <w:iCs/>
                <w:szCs w:val="18"/>
              </w:rPr>
            </w:pPr>
            <w:r w:rsidRPr="00E745AE">
              <w:rPr>
                <w:iCs/>
                <w:szCs w:val="18"/>
              </w:rPr>
              <w:t>10</w:t>
            </w:r>
          </w:p>
        </w:tc>
        <w:tc>
          <w:tcPr>
            <w:tcW w:w="872" w:type="dxa"/>
            <w:noWrap/>
            <w:vAlign w:val="center"/>
            <w:hideMark/>
          </w:tcPr>
          <w:p w14:paraId="549C5CCE" w14:textId="77777777" w:rsidR="00FA7C95" w:rsidRPr="00E745AE" w:rsidRDefault="00FA7C95" w:rsidP="00505050">
            <w:pPr>
              <w:spacing w:after="0"/>
              <w:jc w:val="center"/>
              <w:rPr>
                <w:iCs/>
                <w:szCs w:val="18"/>
              </w:rPr>
            </w:pPr>
            <w:r w:rsidRPr="00E745AE">
              <w:rPr>
                <w:iCs/>
                <w:szCs w:val="18"/>
              </w:rPr>
              <w:t>15</w:t>
            </w:r>
          </w:p>
        </w:tc>
        <w:tc>
          <w:tcPr>
            <w:tcW w:w="706" w:type="dxa"/>
          </w:tcPr>
          <w:p w14:paraId="2CA24D3A" w14:textId="684D7AC2" w:rsidR="00FA7C95" w:rsidRPr="00E745AE" w:rsidRDefault="004E7067" w:rsidP="00505050">
            <w:pPr>
              <w:spacing w:after="0"/>
              <w:jc w:val="center"/>
              <w:rPr>
                <w:iCs/>
                <w:szCs w:val="18"/>
              </w:rPr>
            </w:pPr>
            <w:r w:rsidRPr="00E745AE">
              <w:rPr>
                <w:iCs/>
                <w:szCs w:val="18"/>
              </w:rPr>
              <w:t>9</w:t>
            </w:r>
          </w:p>
        </w:tc>
        <w:tc>
          <w:tcPr>
            <w:tcW w:w="2746" w:type="dxa"/>
            <w:vAlign w:val="center"/>
            <w:hideMark/>
          </w:tcPr>
          <w:p w14:paraId="0DA139A9" w14:textId="302C400F" w:rsidR="00FA7C95" w:rsidRPr="00E745AE" w:rsidRDefault="00FA7C95" w:rsidP="00505050">
            <w:pPr>
              <w:spacing w:after="0"/>
              <w:jc w:val="center"/>
              <w:rPr>
                <w:iCs/>
                <w:szCs w:val="18"/>
              </w:rPr>
            </w:pPr>
            <w:r w:rsidRPr="00E745AE">
              <w:rPr>
                <w:iCs/>
                <w:szCs w:val="18"/>
              </w:rPr>
              <w:t>papir, karton, plastika, staklo, metali</w:t>
            </w:r>
          </w:p>
        </w:tc>
      </w:tr>
      <w:tr w:rsidR="00FA7C95" w:rsidRPr="00E745AE" w14:paraId="06C1D191" w14:textId="77777777" w:rsidTr="00505050">
        <w:trPr>
          <w:trHeight w:val="284"/>
        </w:trPr>
        <w:tc>
          <w:tcPr>
            <w:tcW w:w="1823" w:type="dxa"/>
            <w:noWrap/>
            <w:vAlign w:val="center"/>
            <w:hideMark/>
          </w:tcPr>
          <w:p w14:paraId="5C84E317" w14:textId="77777777" w:rsidR="00FA7C95" w:rsidRPr="00E745AE" w:rsidRDefault="00FA7C95" w:rsidP="00E745AE">
            <w:pPr>
              <w:spacing w:after="0"/>
              <w:rPr>
                <w:bCs/>
                <w:iCs/>
                <w:szCs w:val="18"/>
              </w:rPr>
            </w:pPr>
            <w:r w:rsidRPr="00E745AE">
              <w:rPr>
                <w:bCs/>
                <w:iCs/>
                <w:szCs w:val="18"/>
              </w:rPr>
              <w:t>Grad Zabok</w:t>
            </w:r>
          </w:p>
        </w:tc>
        <w:tc>
          <w:tcPr>
            <w:tcW w:w="1519" w:type="dxa"/>
            <w:noWrap/>
            <w:vAlign w:val="center"/>
            <w:hideMark/>
          </w:tcPr>
          <w:p w14:paraId="7108D3D3" w14:textId="77777777" w:rsidR="00FA7C95" w:rsidRPr="00E745AE" w:rsidRDefault="00FA7C95" w:rsidP="00505050">
            <w:pPr>
              <w:spacing w:after="0"/>
              <w:jc w:val="center"/>
              <w:rPr>
                <w:iCs/>
                <w:szCs w:val="18"/>
              </w:rPr>
            </w:pPr>
            <w:r w:rsidRPr="00E745AE">
              <w:rPr>
                <w:iCs/>
                <w:szCs w:val="18"/>
              </w:rPr>
              <w:t>25</w:t>
            </w:r>
          </w:p>
        </w:tc>
        <w:tc>
          <w:tcPr>
            <w:tcW w:w="872" w:type="dxa"/>
            <w:noWrap/>
            <w:vAlign w:val="center"/>
            <w:hideMark/>
          </w:tcPr>
          <w:p w14:paraId="7AB34A1F" w14:textId="77777777" w:rsidR="00FA7C95" w:rsidRPr="00E745AE" w:rsidRDefault="00FA7C95" w:rsidP="00505050">
            <w:pPr>
              <w:spacing w:after="0"/>
              <w:jc w:val="center"/>
              <w:rPr>
                <w:iCs/>
                <w:szCs w:val="18"/>
              </w:rPr>
            </w:pPr>
            <w:r w:rsidRPr="00E745AE">
              <w:rPr>
                <w:iCs/>
                <w:szCs w:val="18"/>
              </w:rPr>
              <w:t>25</w:t>
            </w:r>
          </w:p>
        </w:tc>
        <w:tc>
          <w:tcPr>
            <w:tcW w:w="871" w:type="dxa"/>
            <w:noWrap/>
            <w:vAlign w:val="center"/>
            <w:hideMark/>
          </w:tcPr>
          <w:p w14:paraId="4B2F8CDC" w14:textId="77777777" w:rsidR="00FA7C95" w:rsidRPr="00E745AE" w:rsidRDefault="00FA7C95" w:rsidP="00505050">
            <w:pPr>
              <w:spacing w:after="0"/>
              <w:jc w:val="center"/>
              <w:rPr>
                <w:iCs/>
                <w:szCs w:val="18"/>
              </w:rPr>
            </w:pPr>
            <w:r w:rsidRPr="00E745AE">
              <w:rPr>
                <w:iCs/>
                <w:szCs w:val="18"/>
              </w:rPr>
              <w:t>25</w:t>
            </w:r>
          </w:p>
        </w:tc>
        <w:tc>
          <w:tcPr>
            <w:tcW w:w="872" w:type="dxa"/>
            <w:noWrap/>
            <w:vAlign w:val="center"/>
            <w:hideMark/>
          </w:tcPr>
          <w:p w14:paraId="7A3BA8AA" w14:textId="77777777" w:rsidR="00FA7C95" w:rsidRPr="00E745AE" w:rsidRDefault="00FA7C95" w:rsidP="00505050">
            <w:pPr>
              <w:spacing w:after="0"/>
              <w:jc w:val="center"/>
              <w:rPr>
                <w:iCs/>
                <w:szCs w:val="18"/>
              </w:rPr>
            </w:pPr>
            <w:r w:rsidRPr="00E745AE">
              <w:rPr>
                <w:iCs/>
                <w:szCs w:val="18"/>
              </w:rPr>
              <w:t>26</w:t>
            </w:r>
          </w:p>
        </w:tc>
        <w:tc>
          <w:tcPr>
            <w:tcW w:w="706" w:type="dxa"/>
          </w:tcPr>
          <w:p w14:paraId="7325B193" w14:textId="4B6649C2" w:rsidR="00FA7C95" w:rsidRPr="00E745AE" w:rsidRDefault="004E7067" w:rsidP="00505050">
            <w:pPr>
              <w:spacing w:after="0"/>
              <w:jc w:val="center"/>
              <w:rPr>
                <w:iCs/>
                <w:szCs w:val="18"/>
              </w:rPr>
            </w:pPr>
            <w:r w:rsidRPr="00E745AE">
              <w:rPr>
                <w:iCs/>
                <w:szCs w:val="18"/>
              </w:rPr>
              <w:t>26</w:t>
            </w:r>
          </w:p>
        </w:tc>
        <w:tc>
          <w:tcPr>
            <w:tcW w:w="2746" w:type="dxa"/>
            <w:vAlign w:val="center"/>
            <w:hideMark/>
          </w:tcPr>
          <w:p w14:paraId="5DC26C4E" w14:textId="000C70B7" w:rsidR="00FA7C95" w:rsidRPr="00E745AE" w:rsidRDefault="00FA7C95" w:rsidP="00505050">
            <w:pPr>
              <w:spacing w:after="0"/>
              <w:jc w:val="center"/>
              <w:rPr>
                <w:iCs/>
                <w:szCs w:val="18"/>
              </w:rPr>
            </w:pPr>
            <w:r w:rsidRPr="00E745AE">
              <w:rPr>
                <w:iCs/>
                <w:szCs w:val="18"/>
              </w:rPr>
              <w:t>papir, karton, plastika, staklo, odjeća</w:t>
            </w:r>
            <w:r w:rsidR="001211C4" w:rsidRPr="00E745AE">
              <w:rPr>
                <w:iCs/>
                <w:szCs w:val="18"/>
              </w:rPr>
              <w:t>, metali</w:t>
            </w:r>
          </w:p>
        </w:tc>
      </w:tr>
      <w:tr w:rsidR="00FA7C95" w:rsidRPr="00E745AE" w14:paraId="10CBFE6A" w14:textId="77777777" w:rsidTr="00505050">
        <w:trPr>
          <w:trHeight w:val="284"/>
        </w:trPr>
        <w:tc>
          <w:tcPr>
            <w:tcW w:w="1823" w:type="dxa"/>
            <w:noWrap/>
            <w:vAlign w:val="center"/>
            <w:hideMark/>
          </w:tcPr>
          <w:p w14:paraId="54916A5C" w14:textId="77777777" w:rsidR="00FA7C95" w:rsidRPr="00E745AE" w:rsidRDefault="00FA7C95" w:rsidP="00E745AE">
            <w:pPr>
              <w:spacing w:after="0"/>
              <w:rPr>
                <w:bCs/>
                <w:iCs/>
                <w:szCs w:val="18"/>
              </w:rPr>
            </w:pPr>
            <w:r w:rsidRPr="00E745AE">
              <w:rPr>
                <w:bCs/>
                <w:iCs/>
                <w:szCs w:val="18"/>
              </w:rPr>
              <w:t>Grad Zlatar</w:t>
            </w:r>
          </w:p>
        </w:tc>
        <w:tc>
          <w:tcPr>
            <w:tcW w:w="1519" w:type="dxa"/>
            <w:noWrap/>
            <w:vAlign w:val="center"/>
            <w:hideMark/>
          </w:tcPr>
          <w:p w14:paraId="69AA3E96" w14:textId="77777777" w:rsidR="00FA7C95" w:rsidRPr="00E745AE" w:rsidRDefault="00FA7C95" w:rsidP="00505050">
            <w:pPr>
              <w:spacing w:after="0"/>
              <w:jc w:val="center"/>
              <w:rPr>
                <w:iCs/>
                <w:szCs w:val="18"/>
              </w:rPr>
            </w:pPr>
            <w:r w:rsidRPr="00E745AE">
              <w:rPr>
                <w:iCs/>
                <w:szCs w:val="18"/>
              </w:rPr>
              <w:t>14</w:t>
            </w:r>
          </w:p>
        </w:tc>
        <w:tc>
          <w:tcPr>
            <w:tcW w:w="872" w:type="dxa"/>
            <w:noWrap/>
            <w:vAlign w:val="center"/>
            <w:hideMark/>
          </w:tcPr>
          <w:p w14:paraId="432FE14D" w14:textId="77777777" w:rsidR="00FA7C95" w:rsidRPr="00E745AE" w:rsidRDefault="00FA7C95" w:rsidP="00505050">
            <w:pPr>
              <w:spacing w:after="0"/>
              <w:jc w:val="center"/>
              <w:rPr>
                <w:iCs/>
                <w:szCs w:val="18"/>
              </w:rPr>
            </w:pPr>
            <w:r w:rsidRPr="00E745AE">
              <w:rPr>
                <w:iCs/>
                <w:szCs w:val="18"/>
              </w:rPr>
              <w:t>14</w:t>
            </w:r>
          </w:p>
        </w:tc>
        <w:tc>
          <w:tcPr>
            <w:tcW w:w="871" w:type="dxa"/>
            <w:noWrap/>
            <w:vAlign w:val="center"/>
            <w:hideMark/>
          </w:tcPr>
          <w:p w14:paraId="1EE31487"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08973273" w14:textId="77777777" w:rsidR="00FA7C95" w:rsidRPr="00E745AE" w:rsidRDefault="00FA7C95" w:rsidP="00505050">
            <w:pPr>
              <w:spacing w:after="0"/>
              <w:jc w:val="center"/>
              <w:rPr>
                <w:iCs/>
                <w:szCs w:val="18"/>
              </w:rPr>
            </w:pPr>
            <w:r w:rsidRPr="00E745AE">
              <w:rPr>
                <w:iCs/>
                <w:szCs w:val="18"/>
              </w:rPr>
              <w:t>2</w:t>
            </w:r>
          </w:p>
        </w:tc>
        <w:tc>
          <w:tcPr>
            <w:tcW w:w="706" w:type="dxa"/>
          </w:tcPr>
          <w:p w14:paraId="75E487C7" w14:textId="2E286541" w:rsidR="00FA7C95" w:rsidRPr="00E745AE" w:rsidRDefault="004E7067" w:rsidP="00505050">
            <w:pPr>
              <w:spacing w:after="0"/>
              <w:jc w:val="center"/>
              <w:rPr>
                <w:iCs/>
                <w:szCs w:val="18"/>
              </w:rPr>
            </w:pPr>
            <w:r w:rsidRPr="00E745AE">
              <w:rPr>
                <w:iCs/>
                <w:szCs w:val="18"/>
              </w:rPr>
              <w:t>3</w:t>
            </w:r>
          </w:p>
        </w:tc>
        <w:tc>
          <w:tcPr>
            <w:tcW w:w="2746" w:type="dxa"/>
            <w:vAlign w:val="center"/>
            <w:hideMark/>
          </w:tcPr>
          <w:p w14:paraId="2B770A1F" w14:textId="67576FB1"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3F1A2A15" w14:textId="77777777" w:rsidTr="00505050">
        <w:trPr>
          <w:trHeight w:val="284"/>
        </w:trPr>
        <w:tc>
          <w:tcPr>
            <w:tcW w:w="1823" w:type="dxa"/>
            <w:noWrap/>
            <w:vAlign w:val="center"/>
            <w:hideMark/>
          </w:tcPr>
          <w:p w14:paraId="7CEBCFFE" w14:textId="77777777" w:rsidR="00FA7C95" w:rsidRPr="00E745AE" w:rsidRDefault="00FA7C95" w:rsidP="00E745AE">
            <w:pPr>
              <w:spacing w:after="0"/>
              <w:rPr>
                <w:bCs/>
                <w:iCs/>
                <w:szCs w:val="18"/>
              </w:rPr>
            </w:pPr>
            <w:r w:rsidRPr="00E745AE">
              <w:rPr>
                <w:bCs/>
                <w:iCs/>
                <w:szCs w:val="18"/>
              </w:rPr>
              <w:t>Općina Bedekovčina</w:t>
            </w:r>
          </w:p>
        </w:tc>
        <w:tc>
          <w:tcPr>
            <w:tcW w:w="1519" w:type="dxa"/>
            <w:noWrap/>
            <w:vAlign w:val="center"/>
            <w:hideMark/>
          </w:tcPr>
          <w:p w14:paraId="7D9738E8" w14:textId="77777777" w:rsidR="00FA7C95" w:rsidRPr="00E745AE" w:rsidRDefault="00FA7C95" w:rsidP="00505050">
            <w:pPr>
              <w:spacing w:after="0"/>
              <w:jc w:val="center"/>
              <w:rPr>
                <w:iCs/>
                <w:szCs w:val="18"/>
              </w:rPr>
            </w:pPr>
            <w:r w:rsidRPr="00E745AE">
              <w:rPr>
                <w:iCs/>
                <w:szCs w:val="18"/>
              </w:rPr>
              <w:t>10</w:t>
            </w:r>
          </w:p>
        </w:tc>
        <w:tc>
          <w:tcPr>
            <w:tcW w:w="872" w:type="dxa"/>
            <w:noWrap/>
            <w:vAlign w:val="center"/>
            <w:hideMark/>
          </w:tcPr>
          <w:p w14:paraId="2D6F2361" w14:textId="77777777" w:rsidR="00FA7C95" w:rsidRPr="00E745AE" w:rsidRDefault="00FA7C95" w:rsidP="00505050">
            <w:pPr>
              <w:spacing w:after="0"/>
              <w:jc w:val="center"/>
              <w:rPr>
                <w:iCs/>
                <w:szCs w:val="18"/>
              </w:rPr>
            </w:pPr>
            <w:r w:rsidRPr="00E745AE">
              <w:rPr>
                <w:iCs/>
                <w:szCs w:val="18"/>
              </w:rPr>
              <w:t>10</w:t>
            </w:r>
          </w:p>
        </w:tc>
        <w:tc>
          <w:tcPr>
            <w:tcW w:w="871" w:type="dxa"/>
            <w:noWrap/>
            <w:vAlign w:val="center"/>
            <w:hideMark/>
          </w:tcPr>
          <w:p w14:paraId="1BAD06E6" w14:textId="77777777" w:rsidR="00FA7C95" w:rsidRPr="00E745AE" w:rsidRDefault="00FA7C95" w:rsidP="00505050">
            <w:pPr>
              <w:spacing w:after="0"/>
              <w:jc w:val="center"/>
              <w:rPr>
                <w:iCs/>
                <w:szCs w:val="18"/>
              </w:rPr>
            </w:pPr>
            <w:r w:rsidRPr="00E745AE">
              <w:rPr>
                <w:iCs/>
                <w:szCs w:val="18"/>
              </w:rPr>
              <w:t>11</w:t>
            </w:r>
          </w:p>
        </w:tc>
        <w:tc>
          <w:tcPr>
            <w:tcW w:w="872" w:type="dxa"/>
            <w:noWrap/>
            <w:vAlign w:val="center"/>
            <w:hideMark/>
          </w:tcPr>
          <w:p w14:paraId="57EE640B" w14:textId="77777777" w:rsidR="00FA7C95" w:rsidRPr="00E745AE" w:rsidRDefault="00FA7C95" w:rsidP="00505050">
            <w:pPr>
              <w:spacing w:after="0"/>
              <w:jc w:val="center"/>
              <w:rPr>
                <w:iCs/>
                <w:szCs w:val="18"/>
              </w:rPr>
            </w:pPr>
            <w:r w:rsidRPr="00E745AE">
              <w:rPr>
                <w:iCs/>
                <w:szCs w:val="18"/>
              </w:rPr>
              <w:t>11</w:t>
            </w:r>
          </w:p>
        </w:tc>
        <w:tc>
          <w:tcPr>
            <w:tcW w:w="706" w:type="dxa"/>
          </w:tcPr>
          <w:p w14:paraId="51E571A5" w14:textId="3564BA13" w:rsidR="00FA7C95" w:rsidRPr="00E745AE" w:rsidRDefault="004E7067" w:rsidP="00505050">
            <w:pPr>
              <w:spacing w:after="0"/>
              <w:jc w:val="center"/>
              <w:rPr>
                <w:iCs/>
                <w:szCs w:val="18"/>
              </w:rPr>
            </w:pPr>
            <w:r w:rsidRPr="00E745AE">
              <w:rPr>
                <w:iCs/>
                <w:szCs w:val="18"/>
              </w:rPr>
              <w:t>11</w:t>
            </w:r>
          </w:p>
        </w:tc>
        <w:tc>
          <w:tcPr>
            <w:tcW w:w="2746" w:type="dxa"/>
            <w:vAlign w:val="center"/>
            <w:hideMark/>
          </w:tcPr>
          <w:p w14:paraId="6F80E691" w14:textId="5B39C272" w:rsidR="00FA7C95" w:rsidRPr="00E745AE" w:rsidRDefault="00FA7C95" w:rsidP="00505050">
            <w:pPr>
              <w:spacing w:after="0"/>
              <w:jc w:val="center"/>
              <w:rPr>
                <w:iCs/>
                <w:szCs w:val="18"/>
              </w:rPr>
            </w:pPr>
            <w:r w:rsidRPr="00E745AE">
              <w:rPr>
                <w:iCs/>
                <w:szCs w:val="18"/>
              </w:rPr>
              <w:t>papir, karton, plastika, staklo, odjeća</w:t>
            </w:r>
          </w:p>
        </w:tc>
      </w:tr>
      <w:tr w:rsidR="00FA7C95" w:rsidRPr="00E745AE" w14:paraId="47A25DCB" w14:textId="77777777" w:rsidTr="00505050">
        <w:trPr>
          <w:trHeight w:val="284"/>
        </w:trPr>
        <w:tc>
          <w:tcPr>
            <w:tcW w:w="1823" w:type="dxa"/>
            <w:noWrap/>
            <w:vAlign w:val="center"/>
            <w:hideMark/>
          </w:tcPr>
          <w:p w14:paraId="69CD4690" w14:textId="0F10408F" w:rsidR="00FA7C95" w:rsidRPr="00E745AE" w:rsidRDefault="00FA7C95" w:rsidP="00E745AE">
            <w:pPr>
              <w:spacing w:after="0"/>
              <w:rPr>
                <w:bCs/>
                <w:iCs/>
                <w:szCs w:val="18"/>
              </w:rPr>
            </w:pPr>
            <w:r w:rsidRPr="00E745AE">
              <w:rPr>
                <w:bCs/>
                <w:iCs/>
                <w:szCs w:val="18"/>
              </w:rPr>
              <w:t>Općina Budinš</w:t>
            </w:r>
            <w:r w:rsidR="00856A54">
              <w:rPr>
                <w:bCs/>
                <w:iCs/>
                <w:szCs w:val="18"/>
              </w:rPr>
              <w:t>č</w:t>
            </w:r>
            <w:r w:rsidRPr="00E745AE">
              <w:rPr>
                <w:bCs/>
                <w:iCs/>
                <w:szCs w:val="18"/>
              </w:rPr>
              <w:t>ina</w:t>
            </w:r>
          </w:p>
        </w:tc>
        <w:tc>
          <w:tcPr>
            <w:tcW w:w="1519" w:type="dxa"/>
            <w:noWrap/>
            <w:vAlign w:val="center"/>
            <w:hideMark/>
          </w:tcPr>
          <w:p w14:paraId="0318E17A" w14:textId="77777777" w:rsidR="00FA7C95" w:rsidRPr="00E745AE" w:rsidRDefault="00FA7C95" w:rsidP="00505050">
            <w:pPr>
              <w:spacing w:after="0"/>
              <w:jc w:val="center"/>
              <w:rPr>
                <w:iCs/>
                <w:szCs w:val="18"/>
              </w:rPr>
            </w:pPr>
            <w:r w:rsidRPr="00E745AE">
              <w:rPr>
                <w:iCs/>
                <w:szCs w:val="18"/>
              </w:rPr>
              <w:t>4</w:t>
            </w:r>
          </w:p>
        </w:tc>
        <w:tc>
          <w:tcPr>
            <w:tcW w:w="872" w:type="dxa"/>
            <w:noWrap/>
            <w:vAlign w:val="center"/>
            <w:hideMark/>
          </w:tcPr>
          <w:p w14:paraId="6C8EACA8" w14:textId="77777777" w:rsidR="00FA7C95" w:rsidRPr="00E745AE" w:rsidRDefault="00FA7C95" w:rsidP="00505050">
            <w:pPr>
              <w:spacing w:after="0"/>
              <w:jc w:val="center"/>
              <w:rPr>
                <w:iCs/>
                <w:szCs w:val="18"/>
              </w:rPr>
            </w:pPr>
            <w:r w:rsidRPr="00E745AE">
              <w:rPr>
                <w:iCs/>
                <w:szCs w:val="18"/>
              </w:rPr>
              <w:t>6</w:t>
            </w:r>
          </w:p>
        </w:tc>
        <w:tc>
          <w:tcPr>
            <w:tcW w:w="871" w:type="dxa"/>
            <w:noWrap/>
            <w:vAlign w:val="center"/>
            <w:hideMark/>
          </w:tcPr>
          <w:p w14:paraId="388290BC" w14:textId="77777777" w:rsidR="00FA7C95" w:rsidRPr="00E745AE" w:rsidRDefault="00FA7C95" w:rsidP="00505050">
            <w:pPr>
              <w:spacing w:after="0"/>
              <w:jc w:val="center"/>
              <w:rPr>
                <w:iCs/>
                <w:szCs w:val="18"/>
              </w:rPr>
            </w:pPr>
            <w:r w:rsidRPr="00E745AE">
              <w:rPr>
                <w:iCs/>
                <w:szCs w:val="18"/>
              </w:rPr>
              <w:t>6</w:t>
            </w:r>
          </w:p>
        </w:tc>
        <w:tc>
          <w:tcPr>
            <w:tcW w:w="872" w:type="dxa"/>
            <w:noWrap/>
            <w:vAlign w:val="center"/>
            <w:hideMark/>
          </w:tcPr>
          <w:p w14:paraId="03F755D7" w14:textId="77777777" w:rsidR="00FA7C95" w:rsidRPr="00E745AE" w:rsidRDefault="00FA7C95" w:rsidP="00505050">
            <w:pPr>
              <w:spacing w:after="0"/>
              <w:jc w:val="center"/>
              <w:rPr>
                <w:iCs/>
                <w:szCs w:val="18"/>
              </w:rPr>
            </w:pPr>
            <w:r w:rsidRPr="00E745AE">
              <w:rPr>
                <w:iCs/>
                <w:szCs w:val="18"/>
              </w:rPr>
              <w:t>6</w:t>
            </w:r>
          </w:p>
        </w:tc>
        <w:tc>
          <w:tcPr>
            <w:tcW w:w="706" w:type="dxa"/>
          </w:tcPr>
          <w:p w14:paraId="0CF681AB" w14:textId="59C24534" w:rsidR="00FA7C95" w:rsidRPr="00E745AE" w:rsidRDefault="004E7067" w:rsidP="00505050">
            <w:pPr>
              <w:spacing w:after="0"/>
              <w:jc w:val="center"/>
              <w:rPr>
                <w:iCs/>
                <w:szCs w:val="18"/>
              </w:rPr>
            </w:pPr>
            <w:r w:rsidRPr="00E745AE">
              <w:rPr>
                <w:iCs/>
                <w:szCs w:val="18"/>
              </w:rPr>
              <w:t>6</w:t>
            </w:r>
          </w:p>
        </w:tc>
        <w:tc>
          <w:tcPr>
            <w:tcW w:w="2746" w:type="dxa"/>
            <w:vAlign w:val="center"/>
            <w:hideMark/>
          </w:tcPr>
          <w:p w14:paraId="42A4CEE7" w14:textId="6A45A5CC"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70A063C1" w14:textId="77777777" w:rsidTr="00505050">
        <w:trPr>
          <w:trHeight w:val="284"/>
        </w:trPr>
        <w:tc>
          <w:tcPr>
            <w:tcW w:w="1823" w:type="dxa"/>
            <w:noWrap/>
            <w:vAlign w:val="center"/>
            <w:hideMark/>
          </w:tcPr>
          <w:p w14:paraId="3AF50179" w14:textId="77777777" w:rsidR="00FA7C95" w:rsidRPr="00E745AE" w:rsidRDefault="00FA7C95" w:rsidP="00E745AE">
            <w:pPr>
              <w:spacing w:after="0"/>
              <w:rPr>
                <w:bCs/>
                <w:iCs/>
                <w:szCs w:val="18"/>
              </w:rPr>
            </w:pPr>
            <w:r w:rsidRPr="00E745AE">
              <w:rPr>
                <w:bCs/>
                <w:iCs/>
                <w:szCs w:val="18"/>
              </w:rPr>
              <w:t>Općina Desinić</w:t>
            </w:r>
          </w:p>
        </w:tc>
        <w:tc>
          <w:tcPr>
            <w:tcW w:w="1519" w:type="dxa"/>
            <w:noWrap/>
            <w:vAlign w:val="center"/>
            <w:hideMark/>
          </w:tcPr>
          <w:p w14:paraId="644658CB" w14:textId="77777777" w:rsidR="00FA7C95" w:rsidRPr="00E745AE" w:rsidRDefault="00FA7C95" w:rsidP="00505050">
            <w:pPr>
              <w:spacing w:after="0"/>
              <w:jc w:val="center"/>
              <w:rPr>
                <w:iCs/>
                <w:szCs w:val="18"/>
              </w:rPr>
            </w:pPr>
            <w:r w:rsidRPr="00E745AE">
              <w:rPr>
                <w:iCs/>
                <w:szCs w:val="18"/>
              </w:rPr>
              <w:t>1</w:t>
            </w:r>
          </w:p>
        </w:tc>
        <w:tc>
          <w:tcPr>
            <w:tcW w:w="872" w:type="dxa"/>
            <w:noWrap/>
            <w:vAlign w:val="center"/>
            <w:hideMark/>
          </w:tcPr>
          <w:p w14:paraId="79C95BC7" w14:textId="77777777" w:rsidR="00FA7C95" w:rsidRPr="00E745AE" w:rsidRDefault="00FA7C95" w:rsidP="00505050">
            <w:pPr>
              <w:spacing w:after="0"/>
              <w:jc w:val="center"/>
              <w:rPr>
                <w:iCs/>
                <w:szCs w:val="18"/>
              </w:rPr>
            </w:pPr>
            <w:r w:rsidRPr="00E745AE">
              <w:rPr>
                <w:iCs/>
                <w:szCs w:val="18"/>
              </w:rPr>
              <w:t>1</w:t>
            </w:r>
          </w:p>
        </w:tc>
        <w:tc>
          <w:tcPr>
            <w:tcW w:w="871" w:type="dxa"/>
            <w:noWrap/>
            <w:vAlign w:val="center"/>
            <w:hideMark/>
          </w:tcPr>
          <w:p w14:paraId="3CD2E10C" w14:textId="77777777" w:rsidR="00FA7C95" w:rsidRPr="00E745AE" w:rsidRDefault="00FA7C95" w:rsidP="00505050">
            <w:pPr>
              <w:spacing w:after="0"/>
              <w:jc w:val="center"/>
              <w:rPr>
                <w:iCs/>
                <w:szCs w:val="18"/>
              </w:rPr>
            </w:pPr>
            <w:r w:rsidRPr="00E745AE">
              <w:rPr>
                <w:iCs/>
                <w:szCs w:val="18"/>
              </w:rPr>
              <w:t>1</w:t>
            </w:r>
          </w:p>
        </w:tc>
        <w:tc>
          <w:tcPr>
            <w:tcW w:w="872" w:type="dxa"/>
            <w:noWrap/>
            <w:vAlign w:val="center"/>
            <w:hideMark/>
          </w:tcPr>
          <w:p w14:paraId="011057AA" w14:textId="77777777" w:rsidR="00FA7C95" w:rsidRPr="00E745AE" w:rsidRDefault="00FA7C95" w:rsidP="00505050">
            <w:pPr>
              <w:spacing w:after="0"/>
              <w:jc w:val="center"/>
              <w:rPr>
                <w:iCs/>
                <w:szCs w:val="18"/>
              </w:rPr>
            </w:pPr>
            <w:r w:rsidRPr="00E745AE">
              <w:rPr>
                <w:iCs/>
                <w:szCs w:val="18"/>
              </w:rPr>
              <w:t>2</w:t>
            </w:r>
          </w:p>
        </w:tc>
        <w:tc>
          <w:tcPr>
            <w:tcW w:w="706" w:type="dxa"/>
          </w:tcPr>
          <w:p w14:paraId="10F69D18" w14:textId="0CE5D008" w:rsidR="00FA7C95" w:rsidRPr="00E745AE" w:rsidRDefault="004E7067" w:rsidP="00505050">
            <w:pPr>
              <w:spacing w:after="0"/>
              <w:jc w:val="center"/>
              <w:rPr>
                <w:iCs/>
                <w:szCs w:val="18"/>
              </w:rPr>
            </w:pPr>
            <w:r w:rsidRPr="00E745AE">
              <w:rPr>
                <w:iCs/>
                <w:szCs w:val="18"/>
              </w:rPr>
              <w:t>2</w:t>
            </w:r>
          </w:p>
        </w:tc>
        <w:tc>
          <w:tcPr>
            <w:tcW w:w="2746" w:type="dxa"/>
            <w:vAlign w:val="center"/>
            <w:hideMark/>
          </w:tcPr>
          <w:p w14:paraId="6AFFC11D" w14:textId="67D92894" w:rsidR="00FA7C95" w:rsidRPr="00E745AE" w:rsidRDefault="00FA7C95" w:rsidP="00505050">
            <w:pPr>
              <w:spacing w:after="0"/>
              <w:jc w:val="center"/>
              <w:rPr>
                <w:iCs/>
                <w:szCs w:val="18"/>
              </w:rPr>
            </w:pPr>
            <w:r w:rsidRPr="00E745AE">
              <w:rPr>
                <w:iCs/>
                <w:szCs w:val="18"/>
              </w:rPr>
              <w:t>papir, karton, plastika, staklo, odjeća</w:t>
            </w:r>
          </w:p>
        </w:tc>
      </w:tr>
      <w:tr w:rsidR="00FA7C95" w:rsidRPr="00E745AE" w14:paraId="1C7A101B" w14:textId="77777777" w:rsidTr="00505050">
        <w:trPr>
          <w:trHeight w:val="284"/>
        </w:trPr>
        <w:tc>
          <w:tcPr>
            <w:tcW w:w="1823" w:type="dxa"/>
            <w:noWrap/>
            <w:vAlign w:val="center"/>
            <w:hideMark/>
          </w:tcPr>
          <w:p w14:paraId="541FCFFC" w14:textId="77777777" w:rsidR="00FA7C95" w:rsidRPr="00E745AE" w:rsidRDefault="00FA7C95" w:rsidP="00E745AE">
            <w:pPr>
              <w:spacing w:after="0"/>
              <w:rPr>
                <w:bCs/>
                <w:iCs/>
                <w:szCs w:val="18"/>
              </w:rPr>
            </w:pPr>
            <w:r w:rsidRPr="00E745AE">
              <w:rPr>
                <w:bCs/>
                <w:iCs/>
                <w:szCs w:val="18"/>
              </w:rPr>
              <w:t>Općina Đurmanec</w:t>
            </w:r>
          </w:p>
        </w:tc>
        <w:tc>
          <w:tcPr>
            <w:tcW w:w="1519" w:type="dxa"/>
            <w:noWrap/>
            <w:vAlign w:val="center"/>
            <w:hideMark/>
          </w:tcPr>
          <w:p w14:paraId="637ACD89" w14:textId="77777777" w:rsidR="00FA7C95" w:rsidRPr="00E745AE" w:rsidRDefault="00FA7C95" w:rsidP="00505050">
            <w:pPr>
              <w:spacing w:after="0"/>
              <w:jc w:val="center"/>
              <w:rPr>
                <w:iCs/>
                <w:szCs w:val="18"/>
              </w:rPr>
            </w:pPr>
            <w:r w:rsidRPr="00E745AE">
              <w:rPr>
                <w:iCs/>
                <w:szCs w:val="18"/>
              </w:rPr>
              <w:t>9</w:t>
            </w:r>
          </w:p>
        </w:tc>
        <w:tc>
          <w:tcPr>
            <w:tcW w:w="872" w:type="dxa"/>
            <w:noWrap/>
            <w:vAlign w:val="center"/>
            <w:hideMark/>
          </w:tcPr>
          <w:p w14:paraId="792BFC8C" w14:textId="77777777" w:rsidR="00FA7C95" w:rsidRPr="00E745AE" w:rsidRDefault="00FA7C95" w:rsidP="00505050">
            <w:pPr>
              <w:spacing w:after="0"/>
              <w:jc w:val="center"/>
              <w:rPr>
                <w:iCs/>
                <w:szCs w:val="18"/>
              </w:rPr>
            </w:pPr>
            <w:r w:rsidRPr="00E745AE">
              <w:rPr>
                <w:iCs/>
                <w:szCs w:val="18"/>
              </w:rPr>
              <w:t>9</w:t>
            </w:r>
          </w:p>
        </w:tc>
        <w:tc>
          <w:tcPr>
            <w:tcW w:w="871" w:type="dxa"/>
            <w:noWrap/>
            <w:vAlign w:val="center"/>
            <w:hideMark/>
          </w:tcPr>
          <w:p w14:paraId="278489C3" w14:textId="77777777" w:rsidR="00FA7C95" w:rsidRPr="00E745AE" w:rsidRDefault="00FA7C95" w:rsidP="00505050">
            <w:pPr>
              <w:spacing w:after="0"/>
              <w:jc w:val="center"/>
              <w:rPr>
                <w:iCs/>
                <w:szCs w:val="18"/>
              </w:rPr>
            </w:pPr>
            <w:r w:rsidRPr="00E745AE">
              <w:rPr>
                <w:iCs/>
                <w:szCs w:val="18"/>
              </w:rPr>
              <w:t>9</w:t>
            </w:r>
          </w:p>
        </w:tc>
        <w:tc>
          <w:tcPr>
            <w:tcW w:w="872" w:type="dxa"/>
            <w:noWrap/>
            <w:vAlign w:val="center"/>
            <w:hideMark/>
          </w:tcPr>
          <w:p w14:paraId="22A5BDE8" w14:textId="77777777" w:rsidR="00FA7C95" w:rsidRPr="00E745AE" w:rsidRDefault="00FA7C95" w:rsidP="00505050">
            <w:pPr>
              <w:spacing w:after="0"/>
              <w:jc w:val="center"/>
              <w:rPr>
                <w:iCs/>
                <w:szCs w:val="18"/>
              </w:rPr>
            </w:pPr>
            <w:r w:rsidRPr="00E745AE">
              <w:rPr>
                <w:iCs/>
                <w:szCs w:val="18"/>
              </w:rPr>
              <w:t>9</w:t>
            </w:r>
          </w:p>
        </w:tc>
        <w:tc>
          <w:tcPr>
            <w:tcW w:w="706" w:type="dxa"/>
          </w:tcPr>
          <w:p w14:paraId="649830E4" w14:textId="676A8B36" w:rsidR="00FA7C95" w:rsidRPr="00E745AE" w:rsidRDefault="004E7067" w:rsidP="00505050">
            <w:pPr>
              <w:spacing w:after="0"/>
              <w:jc w:val="center"/>
              <w:rPr>
                <w:iCs/>
                <w:szCs w:val="18"/>
              </w:rPr>
            </w:pPr>
            <w:r w:rsidRPr="00E745AE">
              <w:rPr>
                <w:iCs/>
                <w:szCs w:val="18"/>
              </w:rPr>
              <w:t>9</w:t>
            </w:r>
          </w:p>
        </w:tc>
        <w:tc>
          <w:tcPr>
            <w:tcW w:w="2746" w:type="dxa"/>
            <w:vAlign w:val="center"/>
            <w:hideMark/>
          </w:tcPr>
          <w:p w14:paraId="4B732C5F" w14:textId="01D51A8A"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26C73119" w14:textId="77777777" w:rsidTr="00505050">
        <w:trPr>
          <w:trHeight w:val="284"/>
        </w:trPr>
        <w:tc>
          <w:tcPr>
            <w:tcW w:w="1823" w:type="dxa"/>
            <w:noWrap/>
            <w:vAlign w:val="center"/>
            <w:hideMark/>
          </w:tcPr>
          <w:p w14:paraId="11C89C40" w14:textId="77777777" w:rsidR="00FA7C95" w:rsidRPr="00E745AE" w:rsidRDefault="00FA7C95" w:rsidP="00E745AE">
            <w:pPr>
              <w:spacing w:after="0"/>
              <w:rPr>
                <w:bCs/>
                <w:iCs/>
                <w:szCs w:val="18"/>
              </w:rPr>
            </w:pPr>
            <w:r w:rsidRPr="00E745AE">
              <w:rPr>
                <w:bCs/>
                <w:iCs/>
                <w:szCs w:val="18"/>
              </w:rPr>
              <w:t>Općina Gornja Stubica</w:t>
            </w:r>
          </w:p>
        </w:tc>
        <w:tc>
          <w:tcPr>
            <w:tcW w:w="1519" w:type="dxa"/>
            <w:noWrap/>
            <w:vAlign w:val="center"/>
            <w:hideMark/>
          </w:tcPr>
          <w:p w14:paraId="581EFED1"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38228147" w14:textId="77777777" w:rsidR="00FA7C95" w:rsidRPr="00E745AE" w:rsidRDefault="00FA7C95" w:rsidP="00505050">
            <w:pPr>
              <w:spacing w:after="0"/>
              <w:jc w:val="center"/>
              <w:rPr>
                <w:iCs/>
                <w:szCs w:val="18"/>
              </w:rPr>
            </w:pPr>
            <w:r w:rsidRPr="00E745AE">
              <w:rPr>
                <w:iCs/>
                <w:szCs w:val="18"/>
              </w:rPr>
              <w:t>2</w:t>
            </w:r>
          </w:p>
        </w:tc>
        <w:tc>
          <w:tcPr>
            <w:tcW w:w="871" w:type="dxa"/>
            <w:noWrap/>
            <w:vAlign w:val="center"/>
            <w:hideMark/>
          </w:tcPr>
          <w:p w14:paraId="1EC6431B"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37093322" w14:textId="77777777" w:rsidR="00FA7C95" w:rsidRPr="00E745AE" w:rsidRDefault="00FA7C95" w:rsidP="00505050">
            <w:pPr>
              <w:spacing w:after="0"/>
              <w:jc w:val="center"/>
              <w:rPr>
                <w:iCs/>
                <w:szCs w:val="18"/>
              </w:rPr>
            </w:pPr>
            <w:r w:rsidRPr="00E745AE">
              <w:rPr>
                <w:iCs/>
                <w:szCs w:val="18"/>
              </w:rPr>
              <w:t>2</w:t>
            </w:r>
          </w:p>
        </w:tc>
        <w:tc>
          <w:tcPr>
            <w:tcW w:w="706" w:type="dxa"/>
          </w:tcPr>
          <w:p w14:paraId="1F5E57AA" w14:textId="7D6B7B51" w:rsidR="00FA7C95" w:rsidRPr="00E745AE" w:rsidRDefault="004E7067" w:rsidP="00505050">
            <w:pPr>
              <w:spacing w:after="0"/>
              <w:jc w:val="center"/>
              <w:rPr>
                <w:iCs/>
                <w:szCs w:val="18"/>
              </w:rPr>
            </w:pPr>
            <w:r w:rsidRPr="00E745AE">
              <w:rPr>
                <w:iCs/>
                <w:szCs w:val="18"/>
              </w:rPr>
              <w:t>2</w:t>
            </w:r>
          </w:p>
        </w:tc>
        <w:tc>
          <w:tcPr>
            <w:tcW w:w="2746" w:type="dxa"/>
            <w:vAlign w:val="center"/>
            <w:hideMark/>
          </w:tcPr>
          <w:p w14:paraId="76FB6E66" w14:textId="3D988620" w:rsidR="00FA7C95" w:rsidRPr="00E745AE" w:rsidRDefault="00FA7C95" w:rsidP="00505050">
            <w:pPr>
              <w:spacing w:after="0"/>
              <w:jc w:val="center"/>
              <w:rPr>
                <w:iCs/>
                <w:szCs w:val="18"/>
              </w:rPr>
            </w:pPr>
            <w:r w:rsidRPr="00E745AE">
              <w:rPr>
                <w:iCs/>
                <w:szCs w:val="18"/>
              </w:rPr>
              <w:t>papir, karton, plastika, staklo, odjeća</w:t>
            </w:r>
          </w:p>
        </w:tc>
      </w:tr>
      <w:tr w:rsidR="00FA7C95" w:rsidRPr="00E745AE" w14:paraId="46B0E1F1" w14:textId="77777777" w:rsidTr="00505050">
        <w:trPr>
          <w:trHeight w:val="284"/>
        </w:trPr>
        <w:tc>
          <w:tcPr>
            <w:tcW w:w="1823" w:type="dxa"/>
            <w:noWrap/>
            <w:vAlign w:val="center"/>
            <w:hideMark/>
          </w:tcPr>
          <w:p w14:paraId="42B3513E" w14:textId="77777777" w:rsidR="00FA7C95" w:rsidRPr="00E745AE" w:rsidRDefault="00FA7C95" w:rsidP="00E745AE">
            <w:pPr>
              <w:spacing w:after="0"/>
              <w:rPr>
                <w:bCs/>
                <w:iCs/>
                <w:szCs w:val="18"/>
              </w:rPr>
            </w:pPr>
            <w:r w:rsidRPr="00E745AE">
              <w:rPr>
                <w:bCs/>
                <w:iCs/>
                <w:szCs w:val="18"/>
              </w:rPr>
              <w:t>Općina Hum na Sutli</w:t>
            </w:r>
          </w:p>
        </w:tc>
        <w:tc>
          <w:tcPr>
            <w:tcW w:w="1519" w:type="dxa"/>
            <w:noWrap/>
            <w:vAlign w:val="center"/>
            <w:hideMark/>
          </w:tcPr>
          <w:p w14:paraId="74408419" w14:textId="77777777" w:rsidR="00FA7C95" w:rsidRPr="00E745AE" w:rsidRDefault="00FA7C95" w:rsidP="00505050">
            <w:pPr>
              <w:spacing w:after="0"/>
              <w:jc w:val="center"/>
              <w:rPr>
                <w:iCs/>
                <w:szCs w:val="18"/>
              </w:rPr>
            </w:pPr>
            <w:r w:rsidRPr="00E745AE">
              <w:rPr>
                <w:iCs/>
                <w:szCs w:val="18"/>
              </w:rPr>
              <w:t>4</w:t>
            </w:r>
          </w:p>
        </w:tc>
        <w:tc>
          <w:tcPr>
            <w:tcW w:w="872" w:type="dxa"/>
            <w:noWrap/>
            <w:vAlign w:val="center"/>
            <w:hideMark/>
          </w:tcPr>
          <w:p w14:paraId="6A18A558" w14:textId="77777777" w:rsidR="00FA7C95" w:rsidRPr="00E745AE" w:rsidRDefault="00FA7C95" w:rsidP="00505050">
            <w:pPr>
              <w:spacing w:after="0"/>
              <w:jc w:val="center"/>
              <w:rPr>
                <w:iCs/>
                <w:szCs w:val="18"/>
              </w:rPr>
            </w:pPr>
            <w:r w:rsidRPr="00E745AE">
              <w:rPr>
                <w:iCs/>
                <w:szCs w:val="18"/>
              </w:rPr>
              <w:t>4</w:t>
            </w:r>
          </w:p>
        </w:tc>
        <w:tc>
          <w:tcPr>
            <w:tcW w:w="871" w:type="dxa"/>
            <w:noWrap/>
            <w:vAlign w:val="center"/>
            <w:hideMark/>
          </w:tcPr>
          <w:p w14:paraId="4E8C2152"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70E72665" w14:textId="77777777" w:rsidR="00FA7C95" w:rsidRPr="00E745AE" w:rsidRDefault="00FA7C95" w:rsidP="00505050">
            <w:pPr>
              <w:spacing w:after="0"/>
              <w:jc w:val="center"/>
              <w:rPr>
                <w:iCs/>
                <w:szCs w:val="18"/>
              </w:rPr>
            </w:pPr>
            <w:r w:rsidRPr="00E745AE">
              <w:rPr>
                <w:iCs/>
                <w:szCs w:val="18"/>
              </w:rPr>
              <w:t>3</w:t>
            </w:r>
          </w:p>
        </w:tc>
        <w:tc>
          <w:tcPr>
            <w:tcW w:w="706" w:type="dxa"/>
          </w:tcPr>
          <w:p w14:paraId="52B31A2F" w14:textId="1F66D76D" w:rsidR="00FA7C95" w:rsidRPr="00E745AE" w:rsidRDefault="004E7067" w:rsidP="00505050">
            <w:pPr>
              <w:spacing w:after="0"/>
              <w:jc w:val="center"/>
              <w:rPr>
                <w:iCs/>
                <w:szCs w:val="18"/>
              </w:rPr>
            </w:pPr>
            <w:r w:rsidRPr="00E745AE">
              <w:rPr>
                <w:iCs/>
                <w:szCs w:val="18"/>
              </w:rPr>
              <w:t>2</w:t>
            </w:r>
          </w:p>
        </w:tc>
        <w:tc>
          <w:tcPr>
            <w:tcW w:w="2746" w:type="dxa"/>
            <w:vAlign w:val="center"/>
            <w:hideMark/>
          </w:tcPr>
          <w:p w14:paraId="6EB8E833" w14:textId="32C1261A" w:rsidR="00FA7C95" w:rsidRPr="00E745AE" w:rsidRDefault="00FA7C95" w:rsidP="00505050">
            <w:pPr>
              <w:spacing w:after="0"/>
              <w:jc w:val="center"/>
              <w:rPr>
                <w:iCs/>
                <w:szCs w:val="18"/>
              </w:rPr>
            </w:pPr>
            <w:r w:rsidRPr="00E745AE">
              <w:rPr>
                <w:iCs/>
                <w:szCs w:val="18"/>
              </w:rPr>
              <w:t xml:space="preserve">papir, karton, plastika, staklo, </w:t>
            </w:r>
            <w:r w:rsidR="001211C4" w:rsidRPr="00E745AE">
              <w:rPr>
                <w:iCs/>
                <w:szCs w:val="18"/>
              </w:rPr>
              <w:t>metal</w:t>
            </w:r>
          </w:p>
        </w:tc>
      </w:tr>
      <w:tr w:rsidR="00FA7C95" w:rsidRPr="00E745AE" w14:paraId="5244C91F" w14:textId="77777777" w:rsidTr="00505050">
        <w:trPr>
          <w:trHeight w:val="284"/>
        </w:trPr>
        <w:tc>
          <w:tcPr>
            <w:tcW w:w="1823" w:type="dxa"/>
            <w:noWrap/>
            <w:vAlign w:val="center"/>
            <w:hideMark/>
          </w:tcPr>
          <w:p w14:paraId="0AD8A64F" w14:textId="77777777" w:rsidR="00FA7C95" w:rsidRPr="00E745AE" w:rsidRDefault="00FA7C95" w:rsidP="00E745AE">
            <w:pPr>
              <w:spacing w:after="0"/>
              <w:rPr>
                <w:bCs/>
                <w:iCs/>
                <w:szCs w:val="18"/>
              </w:rPr>
            </w:pPr>
            <w:r w:rsidRPr="00E745AE">
              <w:rPr>
                <w:bCs/>
                <w:iCs/>
                <w:szCs w:val="18"/>
              </w:rPr>
              <w:t>Općina Hrašćina</w:t>
            </w:r>
          </w:p>
        </w:tc>
        <w:tc>
          <w:tcPr>
            <w:tcW w:w="1519" w:type="dxa"/>
            <w:noWrap/>
            <w:vAlign w:val="center"/>
            <w:hideMark/>
          </w:tcPr>
          <w:p w14:paraId="3470CA50" w14:textId="77777777" w:rsidR="00FA7C95" w:rsidRPr="00E745AE" w:rsidRDefault="00FA7C95" w:rsidP="00505050">
            <w:pPr>
              <w:spacing w:after="0"/>
              <w:jc w:val="center"/>
              <w:rPr>
                <w:iCs/>
                <w:szCs w:val="18"/>
              </w:rPr>
            </w:pPr>
            <w:r w:rsidRPr="00E745AE">
              <w:rPr>
                <w:iCs/>
                <w:szCs w:val="18"/>
              </w:rPr>
              <w:t>4</w:t>
            </w:r>
          </w:p>
        </w:tc>
        <w:tc>
          <w:tcPr>
            <w:tcW w:w="872" w:type="dxa"/>
            <w:noWrap/>
            <w:vAlign w:val="center"/>
            <w:hideMark/>
          </w:tcPr>
          <w:p w14:paraId="660E3FF1" w14:textId="77777777" w:rsidR="00FA7C95" w:rsidRPr="00E745AE" w:rsidRDefault="00FA7C95" w:rsidP="00505050">
            <w:pPr>
              <w:spacing w:after="0"/>
              <w:jc w:val="center"/>
              <w:rPr>
                <w:iCs/>
                <w:szCs w:val="18"/>
              </w:rPr>
            </w:pPr>
            <w:r w:rsidRPr="00E745AE">
              <w:rPr>
                <w:iCs/>
                <w:szCs w:val="18"/>
              </w:rPr>
              <w:t>4</w:t>
            </w:r>
          </w:p>
        </w:tc>
        <w:tc>
          <w:tcPr>
            <w:tcW w:w="871" w:type="dxa"/>
            <w:noWrap/>
            <w:vAlign w:val="center"/>
            <w:hideMark/>
          </w:tcPr>
          <w:p w14:paraId="4BB7FB6F" w14:textId="77777777" w:rsidR="00FA7C95" w:rsidRPr="00E745AE" w:rsidRDefault="00FA7C95" w:rsidP="00505050">
            <w:pPr>
              <w:spacing w:after="0"/>
              <w:jc w:val="center"/>
              <w:rPr>
                <w:iCs/>
                <w:szCs w:val="18"/>
              </w:rPr>
            </w:pPr>
            <w:r w:rsidRPr="00E745AE">
              <w:rPr>
                <w:iCs/>
                <w:szCs w:val="18"/>
              </w:rPr>
              <w:t>5</w:t>
            </w:r>
          </w:p>
        </w:tc>
        <w:tc>
          <w:tcPr>
            <w:tcW w:w="872" w:type="dxa"/>
            <w:noWrap/>
            <w:vAlign w:val="center"/>
            <w:hideMark/>
          </w:tcPr>
          <w:p w14:paraId="6C35A6F7" w14:textId="77777777" w:rsidR="00FA7C95" w:rsidRPr="00E745AE" w:rsidRDefault="00FA7C95" w:rsidP="00505050">
            <w:pPr>
              <w:spacing w:after="0"/>
              <w:jc w:val="center"/>
              <w:rPr>
                <w:iCs/>
                <w:szCs w:val="18"/>
              </w:rPr>
            </w:pPr>
            <w:r w:rsidRPr="00E745AE">
              <w:rPr>
                <w:iCs/>
                <w:szCs w:val="18"/>
              </w:rPr>
              <w:t>5</w:t>
            </w:r>
          </w:p>
        </w:tc>
        <w:tc>
          <w:tcPr>
            <w:tcW w:w="706" w:type="dxa"/>
          </w:tcPr>
          <w:p w14:paraId="757A7BFA" w14:textId="476333F5" w:rsidR="00FA7C95" w:rsidRPr="00E745AE" w:rsidRDefault="004E7067" w:rsidP="00505050">
            <w:pPr>
              <w:spacing w:after="0"/>
              <w:jc w:val="center"/>
              <w:rPr>
                <w:iCs/>
                <w:szCs w:val="18"/>
              </w:rPr>
            </w:pPr>
            <w:r w:rsidRPr="00E745AE">
              <w:rPr>
                <w:iCs/>
                <w:szCs w:val="18"/>
              </w:rPr>
              <w:t>5</w:t>
            </w:r>
          </w:p>
        </w:tc>
        <w:tc>
          <w:tcPr>
            <w:tcW w:w="2746" w:type="dxa"/>
            <w:vAlign w:val="center"/>
            <w:hideMark/>
          </w:tcPr>
          <w:p w14:paraId="6153432C" w14:textId="3C006048"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344C7768" w14:textId="77777777" w:rsidTr="00505050">
        <w:trPr>
          <w:trHeight w:val="284"/>
        </w:trPr>
        <w:tc>
          <w:tcPr>
            <w:tcW w:w="1823" w:type="dxa"/>
            <w:noWrap/>
            <w:vAlign w:val="center"/>
            <w:hideMark/>
          </w:tcPr>
          <w:p w14:paraId="33E497CF" w14:textId="77777777" w:rsidR="00FA7C95" w:rsidRPr="00E745AE" w:rsidRDefault="00FA7C95" w:rsidP="00E745AE">
            <w:pPr>
              <w:spacing w:after="0"/>
              <w:rPr>
                <w:bCs/>
                <w:iCs/>
                <w:szCs w:val="18"/>
              </w:rPr>
            </w:pPr>
            <w:r w:rsidRPr="00E745AE">
              <w:rPr>
                <w:bCs/>
                <w:iCs/>
                <w:szCs w:val="18"/>
              </w:rPr>
              <w:t>Općina Jesenje</w:t>
            </w:r>
          </w:p>
        </w:tc>
        <w:tc>
          <w:tcPr>
            <w:tcW w:w="1519" w:type="dxa"/>
            <w:noWrap/>
            <w:vAlign w:val="center"/>
            <w:hideMark/>
          </w:tcPr>
          <w:p w14:paraId="63A0A91A"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25844089" w14:textId="77777777" w:rsidR="00FA7C95" w:rsidRPr="00E745AE" w:rsidRDefault="00FA7C95" w:rsidP="00505050">
            <w:pPr>
              <w:spacing w:after="0"/>
              <w:jc w:val="center"/>
              <w:rPr>
                <w:iCs/>
                <w:szCs w:val="18"/>
              </w:rPr>
            </w:pPr>
            <w:r w:rsidRPr="00E745AE">
              <w:rPr>
                <w:iCs/>
                <w:szCs w:val="18"/>
              </w:rPr>
              <w:t>3</w:t>
            </w:r>
          </w:p>
        </w:tc>
        <w:tc>
          <w:tcPr>
            <w:tcW w:w="871" w:type="dxa"/>
            <w:noWrap/>
            <w:vAlign w:val="center"/>
            <w:hideMark/>
          </w:tcPr>
          <w:p w14:paraId="5DAC856F"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3E87DFF8" w14:textId="77777777" w:rsidR="00FA7C95" w:rsidRPr="00E745AE" w:rsidRDefault="00FA7C95" w:rsidP="00505050">
            <w:pPr>
              <w:spacing w:after="0"/>
              <w:jc w:val="center"/>
              <w:rPr>
                <w:iCs/>
                <w:szCs w:val="18"/>
              </w:rPr>
            </w:pPr>
            <w:r w:rsidRPr="00E745AE">
              <w:rPr>
                <w:iCs/>
                <w:szCs w:val="18"/>
              </w:rPr>
              <w:t>3</w:t>
            </w:r>
          </w:p>
        </w:tc>
        <w:tc>
          <w:tcPr>
            <w:tcW w:w="706" w:type="dxa"/>
          </w:tcPr>
          <w:p w14:paraId="654C30DC" w14:textId="43CD2328" w:rsidR="00FA7C95" w:rsidRPr="00E745AE" w:rsidRDefault="004E7067" w:rsidP="00505050">
            <w:pPr>
              <w:spacing w:after="0"/>
              <w:jc w:val="center"/>
              <w:rPr>
                <w:iCs/>
                <w:szCs w:val="18"/>
              </w:rPr>
            </w:pPr>
            <w:r w:rsidRPr="00E745AE">
              <w:rPr>
                <w:iCs/>
                <w:szCs w:val="18"/>
              </w:rPr>
              <w:t>3</w:t>
            </w:r>
          </w:p>
        </w:tc>
        <w:tc>
          <w:tcPr>
            <w:tcW w:w="2746" w:type="dxa"/>
            <w:vAlign w:val="center"/>
            <w:hideMark/>
          </w:tcPr>
          <w:p w14:paraId="7DA81577" w14:textId="46E568FA" w:rsidR="00FA7C95" w:rsidRPr="00E745AE" w:rsidRDefault="00FA7C95" w:rsidP="00505050">
            <w:pPr>
              <w:spacing w:after="0"/>
              <w:jc w:val="center"/>
              <w:rPr>
                <w:iCs/>
                <w:szCs w:val="18"/>
              </w:rPr>
            </w:pPr>
            <w:r w:rsidRPr="00E745AE">
              <w:rPr>
                <w:iCs/>
                <w:szCs w:val="18"/>
              </w:rPr>
              <w:t>papir, karton, plastika, staklo</w:t>
            </w:r>
            <w:r w:rsidR="001211C4" w:rsidRPr="00E745AE">
              <w:rPr>
                <w:iCs/>
                <w:szCs w:val="18"/>
              </w:rPr>
              <w:t>, odjeća</w:t>
            </w:r>
          </w:p>
        </w:tc>
      </w:tr>
      <w:tr w:rsidR="00FA7C95" w:rsidRPr="00E745AE" w14:paraId="1B9BEC74" w14:textId="77777777" w:rsidTr="00505050">
        <w:trPr>
          <w:trHeight w:val="284"/>
        </w:trPr>
        <w:tc>
          <w:tcPr>
            <w:tcW w:w="1823" w:type="dxa"/>
            <w:noWrap/>
            <w:vAlign w:val="center"/>
            <w:hideMark/>
          </w:tcPr>
          <w:p w14:paraId="748DB050" w14:textId="7D8958F4" w:rsidR="00FA7C95" w:rsidRPr="00E745AE" w:rsidRDefault="00FA7C95" w:rsidP="00E745AE">
            <w:pPr>
              <w:spacing w:after="0"/>
              <w:rPr>
                <w:bCs/>
                <w:iCs/>
                <w:szCs w:val="18"/>
              </w:rPr>
            </w:pPr>
            <w:r w:rsidRPr="00E745AE">
              <w:rPr>
                <w:bCs/>
                <w:iCs/>
                <w:szCs w:val="18"/>
              </w:rPr>
              <w:t>Općina Konjš</w:t>
            </w:r>
            <w:r w:rsidR="00856A54">
              <w:rPr>
                <w:bCs/>
                <w:iCs/>
                <w:szCs w:val="18"/>
              </w:rPr>
              <w:t>č</w:t>
            </w:r>
            <w:r w:rsidRPr="00E745AE">
              <w:rPr>
                <w:bCs/>
                <w:iCs/>
                <w:szCs w:val="18"/>
              </w:rPr>
              <w:t>ina</w:t>
            </w:r>
          </w:p>
        </w:tc>
        <w:tc>
          <w:tcPr>
            <w:tcW w:w="1519" w:type="dxa"/>
            <w:noWrap/>
            <w:vAlign w:val="center"/>
            <w:hideMark/>
          </w:tcPr>
          <w:p w14:paraId="7AB1DD9A" w14:textId="77777777" w:rsidR="00FA7C95" w:rsidRPr="00E745AE" w:rsidRDefault="00FA7C95" w:rsidP="00505050">
            <w:pPr>
              <w:spacing w:after="0"/>
              <w:jc w:val="center"/>
              <w:rPr>
                <w:iCs/>
                <w:szCs w:val="18"/>
              </w:rPr>
            </w:pPr>
            <w:r w:rsidRPr="00E745AE">
              <w:rPr>
                <w:iCs/>
                <w:szCs w:val="18"/>
              </w:rPr>
              <w:t>6</w:t>
            </w:r>
          </w:p>
        </w:tc>
        <w:tc>
          <w:tcPr>
            <w:tcW w:w="872" w:type="dxa"/>
            <w:noWrap/>
            <w:vAlign w:val="center"/>
            <w:hideMark/>
          </w:tcPr>
          <w:p w14:paraId="148F568F" w14:textId="77777777" w:rsidR="00FA7C95" w:rsidRPr="00E745AE" w:rsidRDefault="00FA7C95" w:rsidP="00505050">
            <w:pPr>
              <w:spacing w:after="0"/>
              <w:jc w:val="center"/>
              <w:rPr>
                <w:iCs/>
                <w:szCs w:val="18"/>
              </w:rPr>
            </w:pPr>
            <w:r w:rsidRPr="00E745AE">
              <w:rPr>
                <w:iCs/>
                <w:szCs w:val="18"/>
              </w:rPr>
              <w:t>6</w:t>
            </w:r>
          </w:p>
        </w:tc>
        <w:tc>
          <w:tcPr>
            <w:tcW w:w="871" w:type="dxa"/>
            <w:noWrap/>
            <w:vAlign w:val="center"/>
            <w:hideMark/>
          </w:tcPr>
          <w:p w14:paraId="59F857EE" w14:textId="77777777" w:rsidR="00FA7C95" w:rsidRPr="00E745AE" w:rsidRDefault="00FA7C95" w:rsidP="00505050">
            <w:pPr>
              <w:spacing w:after="0"/>
              <w:jc w:val="center"/>
              <w:rPr>
                <w:iCs/>
                <w:szCs w:val="18"/>
              </w:rPr>
            </w:pPr>
            <w:r w:rsidRPr="00E745AE">
              <w:rPr>
                <w:iCs/>
                <w:szCs w:val="18"/>
              </w:rPr>
              <w:t>7</w:t>
            </w:r>
          </w:p>
        </w:tc>
        <w:tc>
          <w:tcPr>
            <w:tcW w:w="872" w:type="dxa"/>
            <w:noWrap/>
            <w:vAlign w:val="center"/>
            <w:hideMark/>
          </w:tcPr>
          <w:p w14:paraId="27523734" w14:textId="77777777" w:rsidR="00FA7C95" w:rsidRPr="00E745AE" w:rsidRDefault="00FA7C95" w:rsidP="00505050">
            <w:pPr>
              <w:spacing w:after="0"/>
              <w:jc w:val="center"/>
              <w:rPr>
                <w:iCs/>
                <w:szCs w:val="18"/>
              </w:rPr>
            </w:pPr>
            <w:r w:rsidRPr="00E745AE">
              <w:rPr>
                <w:iCs/>
                <w:szCs w:val="18"/>
              </w:rPr>
              <w:t>2</w:t>
            </w:r>
          </w:p>
        </w:tc>
        <w:tc>
          <w:tcPr>
            <w:tcW w:w="706" w:type="dxa"/>
          </w:tcPr>
          <w:p w14:paraId="64E4F029" w14:textId="2FCA979D" w:rsidR="00FA7C95" w:rsidRPr="00E745AE" w:rsidRDefault="004E7067" w:rsidP="00505050">
            <w:pPr>
              <w:spacing w:after="0"/>
              <w:jc w:val="center"/>
              <w:rPr>
                <w:iCs/>
                <w:szCs w:val="18"/>
              </w:rPr>
            </w:pPr>
            <w:r w:rsidRPr="00E745AE">
              <w:rPr>
                <w:iCs/>
                <w:szCs w:val="18"/>
              </w:rPr>
              <w:t>3</w:t>
            </w:r>
          </w:p>
        </w:tc>
        <w:tc>
          <w:tcPr>
            <w:tcW w:w="2746" w:type="dxa"/>
            <w:vAlign w:val="center"/>
            <w:hideMark/>
          </w:tcPr>
          <w:p w14:paraId="181C9564" w14:textId="3C9CB273"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49C02114" w14:textId="77777777" w:rsidTr="00505050">
        <w:trPr>
          <w:trHeight w:val="284"/>
        </w:trPr>
        <w:tc>
          <w:tcPr>
            <w:tcW w:w="1823" w:type="dxa"/>
            <w:noWrap/>
            <w:vAlign w:val="center"/>
            <w:hideMark/>
          </w:tcPr>
          <w:p w14:paraId="47CAF0C9" w14:textId="77777777" w:rsidR="00FA7C95" w:rsidRPr="00E745AE" w:rsidRDefault="00FA7C95" w:rsidP="00E745AE">
            <w:pPr>
              <w:spacing w:after="0"/>
              <w:rPr>
                <w:bCs/>
                <w:iCs/>
                <w:szCs w:val="18"/>
              </w:rPr>
            </w:pPr>
            <w:r w:rsidRPr="00E745AE">
              <w:rPr>
                <w:bCs/>
                <w:iCs/>
                <w:szCs w:val="18"/>
              </w:rPr>
              <w:t>Općina Krapinske Toplice</w:t>
            </w:r>
          </w:p>
        </w:tc>
        <w:tc>
          <w:tcPr>
            <w:tcW w:w="1519" w:type="dxa"/>
            <w:noWrap/>
            <w:vAlign w:val="center"/>
            <w:hideMark/>
          </w:tcPr>
          <w:p w14:paraId="4F843645"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1E22DA72" w14:textId="77777777" w:rsidR="00FA7C95" w:rsidRPr="00E745AE" w:rsidRDefault="00FA7C95" w:rsidP="00505050">
            <w:pPr>
              <w:spacing w:after="0"/>
              <w:jc w:val="center"/>
              <w:rPr>
                <w:iCs/>
                <w:szCs w:val="18"/>
              </w:rPr>
            </w:pPr>
            <w:r w:rsidRPr="00E745AE">
              <w:rPr>
                <w:iCs/>
                <w:szCs w:val="18"/>
              </w:rPr>
              <w:t>2</w:t>
            </w:r>
          </w:p>
        </w:tc>
        <w:tc>
          <w:tcPr>
            <w:tcW w:w="871" w:type="dxa"/>
            <w:noWrap/>
            <w:vAlign w:val="center"/>
            <w:hideMark/>
          </w:tcPr>
          <w:p w14:paraId="3A23180A"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6F5DFC31" w14:textId="77777777" w:rsidR="00FA7C95" w:rsidRPr="00E745AE" w:rsidRDefault="00FA7C95" w:rsidP="00505050">
            <w:pPr>
              <w:spacing w:after="0"/>
              <w:jc w:val="center"/>
              <w:rPr>
                <w:iCs/>
                <w:szCs w:val="18"/>
              </w:rPr>
            </w:pPr>
            <w:r w:rsidRPr="00E745AE">
              <w:rPr>
                <w:iCs/>
                <w:szCs w:val="18"/>
              </w:rPr>
              <w:t>2</w:t>
            </w:r>
          </w:p>
        </w:tc>
        <w:tc>
          <w:tcPr>
            <w:tcW w:w="706" w:type="dxa"/>
          </w:tcPr>
          <w:p w14:paraId="0FC4F332" w14:textId="0A2732F6" w:rsidR="00FA7C95" w:rsidRPr="00E745AE" w:rsidRDefault="004E7067" w:rsidP="00505050">
            <w:pPr>
              <w:spacing w:after="0"/>
              <w:jc w:val="center"/>
              <w:rPr>
                <w:iCs/>
                <w:szCs w:val="18"/>
              </w:rPr>
            </w:pPr>
            <w:r w:rsidRPr="00E745AE">
              <w:rPr>
                <w:iCs/>
                <w:szCs w:val="18"/>
              </w:rPr>
              <w:t>2</w:t>
            </w:r>
          </w:p>
        </w:tc>
        <w:tc>
          <w:tcPr>
            <w:tcW w:w="2746" w:type="dxa"/>
            <w:vAlign w:val="center"/>
            <w:hideMark/>
          </w:tcPr>
          <w:p w14:paraId="03A0C55D" w14:textId="2F539A6D" w:rsidR="00FA7C95" w:rsidRPr="00E745AE" w:rsidRDefault="00FA7C95" w:rsidP="00505050">
            <w:pPr>
              <w:spacing w:after="0"/>
              <w:jc w:val="center"/>
              <w:rPr>
                <w:iCs/>
                <w:szCs w:val="18"/>
              </w:rPr>
            </w:pPr>
            <w:r w:rsidRPr="00E745AE">
              <w:rPr>
                <w:iCs/>
                <w:szCs w:val="18"/>
              </w:rPr>
              <w:t>staklo, plastika</w:t>
            </w:r>
            <w:r w:rsidR="006B05E1" w:rsidRPr="00E745AE">
              <w:rPr>
                <w:iCs/>
                <w:szCs w:val="18"/>
              </w:rPr>
              <w:t>, papir, karton</w:t>
            </w:r>
          </w:p>
        </w:tc>
      </w:tr>
      <w:tr w:rsidR="00FA7C95" w:rsidRPr="00E745AE" w14:paraId="03ADF768" w14:textId="77777777" w:rsidTr="00505050">
        <w:trPr>
          <w:trHeight w:val="284"/>
        </w:trPr>
        <w:tc>
          <w:tcPr>
            <w:tcW w:w="1823" w:type="dxa"/>
            <w:noWrap/>
            <w:vAlign w:val="center"/>
            <w:hideMark/>
          </w:tcPr>
          <w:p w14:paraId="6AC1E11E" w14:textId="77777777" w:rsidR="00FA7C95" w:rsidRPr="00E745AE" w:rsidRDefault="00FA7C95" w:rsidP="00E745AE">
            <w:pPr>
              <w:spacing w:after="0"/>
              <w:rPr>
                <w:bCs/>
                <w:iCs/>
                <w:szCs w:val="18"/>
              </w:rPr>
            </w:pPr>
            <w:r w:rsidRPr="00E745AE">
              <w:rPr>
                <w:bCs/>
                <w:iCs/>
                <w:szCs w:val="18"/>
              </w:rPr>
              <w:t>Općina Kraljevec na Sutli</w:t>
            </w:r>
          </w:p>
        </w:tc>
        <w:tc>
          <w:tcPr>
            <w:tcW w:w="1519" w:type="dxa"/>
            <w:noWrap/>
            <w:vAlign w:val="center"/>
            <w:hideMark/>
          </w:tcPr>
          <w:p w14:paraId="2AE62879" w14:textId="77777777" w:rsidR="00FA7C95" w:rsidRPr="00E745AE" w:rsidRDefault="00FA7C95" w:rsidP="00505050">
            <w:pPr>
              <w:spacing w:after="0"/>
              <w:jc w:val="center"/>
              <w:rPr>
                <w:iCs/>
                <w:szCs w:val="18"/>
              </w:rPr>
            </w:pPr>
            <w:r w:rsidRPr="00E745AE">
              <w:rPr>
                <w:iCs/>
                <w:szCs w:val="18"/>
              </w:rPr>
              <w:t>6</w:t>
            </w:r>
          </w:p>
        </w:tc>
        <w:tc>
          <w:tcPr>
            <w:tcW w:w="872" w:type="dxa"/>
            <w:noWrap/>
            <w:vAlign w:val="center"/>
            <w:hideMark/>
          </w:tcPr>
          <w:p w14:paraId="5AAB6500" w14:textId="77777777" w:rsidR="00FA7C95" w:rsidRPr="00E745AE" w:rsidRDefault="00FA7C95" w:rsidP="00505050">
            <w:pPr>
              <w:spacing w:after="0"/>
              <w:jc w:val="center"/>
              <w:rPr>
                <w:iCs/>
                <w:szCs w:val="18"/>
              </w:rPr>
            </w:pPr>
            <w:r w:rsidRPr="00E745AE">
              <w:rPr>
                <w:iCs/>
                <w:szCs w:val="18"/>
              </w:rPr>
              <w:t>6</w:t>
            </w:r>
          </w:p>
        </w:tc>
        <w:tc>
          <w:tcPr>
            <w:tcW w:w="871" w:type="dxa"/>
            <w:noWrap/>
            <w:vAlign w:val="center"/>
            <w:hideMark/>
          </w:tcPr>
          <w:p w14:paraId="7C4E8FEE" w14:textId="77777777" w:rsidR="00FA7C95" w:rsidRPr="00E745AE" w:rsidRDefault="00FA7C95" w:rsidP="00505050">
            <w:pPr>
              <w:spacing w:after="0"/>
              <w:jc w:val="center"/>
              <w:rPr>
                <w:iCs/>
                <w:szCs w:val="18"/>
              </w:rPr>
            </w:pPr>
            <w:r w:rsidRPr="00E745AE">
              <w:rPr>
                <w:iCs/>
                <w:szCs w:val="18"/>
              </w:rPr>
              <w:t>4</w:t>
            </w:r>
          </w:p>
        </w:tc>
        <w:tc>
          <w:tcPr>
            <w:tcW w:w="872" w:type="dxa"/>
            <w:noWrap/>
            <w:vAlign w:val="center"/>
            <w:hideMark/>
          </w:tcPr>
          <w:p w14:paraId="6CF4A2FB" w14:textId="77777777" w:rsidR="00FA7C95" w:rsidRPr="00E745AE" w:rsidRDefault="00FA7C95" w:rsidP="00505050">
            <w:pPr>
              <w:spacing w:after="0"/>
              <w:jc w:val="center"/>
              <w:rPr>
                <w:iCs/>
                <w:szCs w:val="18"/>
              </w:rPr>
            </w:pPr>
            <w:r w:rsidRPr="00E745AE">
              <w:rPr>
                <w:iCs/>
                <w:szCs w:val="18"/>
              </w:rPr>
              <w:t>6</w:t>
            </w:r>
          </w:p>
        </w:tc>
        <w:tc>
          <w:tcPr>
            <w:tcW w:w="706" w:type="dxa"/>
          </w:tcPr>
          <w:p w14:paraId="08C4E67E" w14:textId="1CDAC170" w:rsidR="00FA7C95" w:rsidRPr="00E745AE" w:rsidRDefault="004E7067" w:rsidP="00505050">
            <w:pPr>
              <w:spacing w:after="0"/>
              <w:jc w:val="center"/>
              <w:rPr>
                <w:iCs/>
                <w:szCs w:val="18"/>
              </w:rPr>
            </w:pPr>
            <w:r w:rsidRPr="00E745AE">
              <w:rPr>
                <w:iCs/>
                <w:szCs w:val="18"/>
              </w:rPr>
              <w:t>5</w:t>
            </w:r>
          </w:p>
        </w:tc>
        <w:tc>
          <w:tcPr>
            <w:tcW w:w="2746" w:type="dxa"/>
            <w:vAlign w:val="center"/>
            <w:hideMark/>
          </w:tcPr>
          <w:p w14:paraId="001D6B67" w14:textId="0395252A"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0EBECEAD" w14:textId="77777777" w:rsidTr="00505050">
        <w:trPr>
          <w:trHeight w:val="284"/>
        </w:trPr>
        <w:tc>
          <w:tcPr>
            <w:tcW w:w="1823" w:type="dxa"/>
            <w:noWrap/>
            <w:vAlign w:val="center"/>
            <w:hideMark/>
          </w:tcPr>
          <w:p w14:paraId="43F911F8" w14:textId="77777777" w:rsidR="00FA7C95" w:rsidRPr="00E745AE" w:rsidRDefault="00FA7C95" w:rsidP="00E745AE">
            <w:pPr>
              <w:spacing w:after="0"/>
              <w:rPr>
                <w:bCs/>
                <w:iCs/>
                <w:szCs w:val="18"/>
              </w:rPr>
            </w:pPr>
            <w:r w:rsidRPr="00E745AE">
              <w:rPr>
                <w:bCs/>
                <w:iCs/>
                <w:szCs w:val="18"/>
              </w:rPr>
              <w:t>Općina Kumrovec</w:t>
            </w:r>
          </w:p>
        </w:tc>
        <w:tc>
          <w:tcPr>
            <w:tcW w:w="1519" w:type="dxa"/>
            <w:noWrap/>
            <w:vAlign w:val="center"/>
            <w:hideMark/>
          </w:tcPr>
          <w:p w14:paraId="4533405B"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5A38ADE9" w14:textId="77777777" w:rsidR="00FA7C95" w:rsidRPr="00E745AE" w:rsidRDefault="00FA7C95" w:rsidP="00505050">
            <w:pPr>
              <w:spacing w:after="0"/>
              <w:jc w:val="center"/>
              <w:rPr>
                <w:iCs/>
                <w:szCs w:val="18"/>
              </w:rPr>
            </w:pPr>
            <w:r w:rsidRPr="00E745AE">
              <w:rPr>
                <w:iCs/>
                <w:szCs w:val="18"/>
              </w:rPr>
              <w:t>3</w:t>
            </w:r>
          </w:p>
        </w:tc>
        <w:tc>
          <w:tcPr>
            <w:tcW w:w="871" w:type="dxa"/>
            <w:noWrap/>
            <w:vAlign w:val="center"/>
            <w:hideMark/>
          </w:tcPr>
          <w:p w14:paraId="4B74AF17"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566DF153" w14:textId="77777777" w:rsidR="00FA7C95" w:rsidRPr="00E745AE" w:rsidRDefault="00FA7C95" w:rsidP="00505050">
            <w:pPr>
              <w:spacing w:after="0"/>
              <w:jc w:val="center"/>
              <w:rPr>
                <w:iCs/>
                <w:szCs w:val="18"/>
              </w:rPr>
            </w:pPr>
            <w:r w:rsidRPr="00E745AE">
              <w:rPr>
                <w:iCs/>
                <w:szCs w:val="18"/>
              </w:rPr>
              <w:t>2</w:t>
            </w:r>
          </w:p>
        </w:tc>
        <w:tc>
          <w:tcPr>
            <w:tcW w:w="706" w:type="dxa"/>
          </w:tcPr>
          <w:p w14:paraId="008CDA7F" w14:textId="0F3BB6C3" w:rsidR="00FA7C95" w:rsidRPr="00E745AE" w:rsidRDefault="004E7067" w:rsidP="00505050">
            <w:pPr>
              <w:spacing w:after="0"/>
              <w:jc w:val="center"/>
              <w:rPr>
                <w:iCs/>
                <w:szCs w:val="18"/>
              </w:rPr>
            </w:pPr>
            <w:r w:rsidRPr="00E745AE">
              <w:rPr>
                <w:iCs/>
                <w:szCs w:val="18"/>
              </w:rPr>
              <w:t>2</w:t>
            </w:r>
          </w:p>
        </w:tc>
        <w:tc>
          <w:tcPr>
            <w:tcW w:w="2746" w:type="dxa"/>
            <w:vAlign w:val="center"/>
            <w:hideMark/>
          </w:tcPr>
          <w:p w14:paraId="52CFF38A" w14:textId="1F1ADCB9" w:rsidR="00FA7C95" w:rsidRPr="00E745AE" w:rsidRDefault="00FA7C95" w:rsidP="00505050">
            <w:pPr>
              <w:spacing w:after="0"/>
              <w:jc w:val="center"/>
              <w:rPr>
                <w:iCs/>
                <w:szCs w:val="18"/>
              </w:rPr>
            </w:pPr>
            <w:r w:rsidRPr="00E745AE">
              <w:rPr>
                <w:iCs/>
                <w:szCs w:val="18"/>
              </w:rPr>
              <w:t xml:space="preserve">papir, karton, plastika, staklo, </w:t>
            </w:r>
            <w:r w:rsidR="006B05E1" w:rsidRPr="00E745AE">
              <w:rPr>
                <w:iCs/>
                <w:szCs w:val="18"/>
              </w:rPr>
              <w:t>metal</w:t>
            </w:r>
          </w:p>
        </w:tc>
      </w:tr>
      <w:tr w:rsidR="00FA7C95" w:rsidRPr="00E745AE" w14:paraId="22B74B24" w14:textId="77777777" w:rsidTr="00505050">
        <w:trPr>
          <w:trHeight w:val="284"/>
        </w:trPr>
        <w:tc>
          <w:tcPr>
            <w:tcW w:w="1823" w:type="dxa"/>
            <w:noWrap/>
            <w:vAlign w:val="center"/>
            <w:hideMark/>
          </w:tcPr>
          <w:p w14:paraId="490B78A5" w14:textId="77777777" w:rsidR="00FA7C95" w:rsidRPr="00E745AE" w:rsidRDefault="00FA7C95" w:rsidP="00E745AE">
            <w:pPr>
              <w:spacing w:after="0"/>
              <w:rPr>
                <w:bCs/>
                <w:iCs/>
                <w:szCs w:val="18"/>
              </w:rPr>
            </w:pPr>
            <w:r w:rsidRPr="00E745AE">
              <w:rPr>
                <w:bCs/>
                <w:iCs/>
                <w:szCs w:val="18"/>
              </w:rPr>
              <w:t>Općina Lobor</w:t>
            </w:r>
          </w:p>
        </w:tc>
        <w:tc>
          <w:tcPr>
            <w:tcW w:w="1519" w:type="dxa"/>
            <w:noWrap/>
            <w:vAlign w:val="center"/>
            <w:hideMark/>
          </w:tcPr>
          <w:p w14:paraId="58203BD0" w14:textId="77777777" w:rsidR="00FA7C95" w:rsidRPr="00E745AE" w:rsidRDefault="00FA7C95" w:rsidP="00505050">
            <w:pPr>
              <w:spacing w:after="0"/>
              <w:jc w:val="center"/>
              <w:rPr>
                <w:iCs/>
                <w:szCs w:val="18"/>
              </w:rPr>
            </w:pPr>
            <w:r w:rsidRPr="00E745AE">
              <w:rPr>
                <w:iCs/>
                <w:szCs w:val="18"/>
              </w:rPr>
              <w:t>4</w:t>
            </w:r>
          </w:p>
        </w:tc>
        <w:tc>
          <w:tcPr>
            <w:tcW w:w="872" w:type="dxa"/>
            <w:noWrap/>
            <w:vAlign w:val="center"/>
            <w:hideMark/>
          </w:tcPr>
          <w:p w14:paraId="67A38DA6" w14:textId="77777777" w:rsidR="00FA7C95" w:rsidRPr="00E745AE" w:rsidRDefault="00FA7C95" w:rsidP="00505050">
            <w:pPr>
              <w:spacing w:after="0"/>
              <w:jc w:val="center"/>
              <w:rPr>
                <w:iCs/>
                <w:szCs w:val="18"/>
              </w:rPr>
            </w:pPr>
            <w:r w:rsidRPr="00E745AE">
              <w:rPr>
                <w:iCs/>
                <w:szCs w:val="18"/>
              </w:rPr>
              <w:t>5</w:t>
            </w:r>
          </w:p>
        </w:tc>
        <w:tc>
          <w:tcPr>
            <w:tcW w:w="871" w:type="dxa"/>
            <w:noWrap/>
            <w:vAlign w:val="center"/>
            <w:hideMark/>
          </w:tcPr>
          <w:p w14:paraId="087E1983" w14:textId="77777777" w:rsidR="00FA7C95" w:rsidRPr="00E745AE" w:rsidRDefault="00FA7C95" w:rsidP="00505050">
            <w:pPr>
              <w:spacing w:after="0"/>
              <w:jc w:val="center"/>
              <w:rPr>
                <w:iCs/>
                <w:szCs w:val="18"/>
              </w:rPr>
            </w:pPr>
            <w:r w:rsidRPr="00E745AE">
              <w:rPr>
                <w:iCs/>
                <w:szCs w:val="18"/>
              </w:rPr>
              <w:t>5</w:t>
            </w:r>
          </w:p>
        </w:tc>
        <w:tc>
          <w:tcPr>
            <w:tcW w:w="872" w:type="dxa"/>
            <w:noWrap/>
            <w:vAlign w:val="center"/>
            <w:hideMark/>
          </w:tcPr>
          <w:p w14:paraId="68A561E5" w14:textId="77777777" w:rsidR="00FA7C95" w:rsidRPr="00E745AE" w:rsidRDefault="00FA7C95" w:rsidP="00505050">
            <w:pPr>
              <w:spacing w:after="0"/>
              <w:jc w:val="center"/>
              <w:rPr>
                <w:iCs/>
                <w:szCs w:val="18"/>
              </w:rPr>
            </w:pPr>
            <w:r w:rsidRPr="00E745AE">
              <w:rPr>
                <w:iCs/>
                <w:szCs w:val="18"/>
              </w:rPr>
              <w:t>5</w:t>
            </w:r>
          </w:p>
        </w:tc>
        <w:tc>
          <w:tcPr>
            <w:tcW w:w="706" w:type="dxa"/>
          </w:tcPr>
          <w:p w14:paraId="39F4145E" w14:textId="00DF1EDA" w:rsidR="00FA7C95" w:rsidRPr="00E745AE" w:rsidRDefault="004E7067" w:rsidP="00505050">
            <w:pPr>
              <w:spacing w:after="0"/>
              <w:jc w:val="center"/>
              <w:rPr>
                <w:iCs/>
                <w:szCs w:val="18"/>
              </w:rPr>
            </w:pPr>
            <w:r w:rsidRPr="00E745AE">
              <w:rPr>
                <w:iCs/>
                <w:szCs w:val="18"/>
              </w:rPr>
              <w:t>5</w:t>
            </w:r>
          </w:p>
        </w:tc>
        <w:tc>
          <w:tcPr>
            <w:tcW w:w="2746" w:type="dxa"/>
            <w:vAlign w:val="center"/>
            <w:hideMark/>
          </w:tcPr>
          <w:p w14:paraId="2BA98DF2" w14:textId="44DE53F2"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2B03D5E5" w14:textId="77777777" w:rsidTr="00505050">
        <w:trPr>
          <w:trHeight w:val="284"/>
        </w:trPr>
        <w:tc>
          <w:tcPr>
            <w:tcW w:w="1823" w:type="dxa"/>
            <w:noWrap/>
            <w:vAlign w:val="center"/>
            <w:hideMark/>
          </w:tcPr>
          <w:p w14:paraId="6CCA6FD4" w14:textId="77777777" w:rsidR="00FA7C95" w:rsidRPr="00E745AE" w:rsidRDefault="00FA7C95" w:rsidP="00E745AE">
            <w:pPr>
              <w:spacing w:after="0"/>
              <w:rPr>
                <w:bCs/>
                <w:iCs/>
                <w:szCs w:val="18"/>
              </w:rPr>
            </w:pPr>
            <w:r w:rsidRPr="00E745AE">
              <w:rPr>
                <w:bCs/>
                <w:iCs/>
                <w:szCs w:val="18"/>
              </w:rPr>
              <w:t>Općina Mače</w:t>
            </w:r>
          </w:p>
        </w:tc>
        <w:tc>
          <w:tcPr>
            <w:tcW w:w="1519" w:type="dxa"/>
            <w:noWrap/>
            <w:vAlign w:val="center"/>
            <w:hideMark/>
          </w:tcPr>
          <w:p w14:paraId="2D310A5C"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4D672617" w14:textId="77777777" w:rsidR="00FA7C95" w:rsidRPr="00E745AE" w:rsidRDefault="00FA7C95" w:rsidP="00505050">
            <w:pPr>
              <w:spacing w:after="0"/>
              <w:jc w:val="center"/>
              <w:rPr>
                <w:iCs/>
                <w:szCs w:val="18"/>
              </w:rPr>
            </w:pPr>
            <w:r w:rsidRPr="00E745AE">
              <w:rPr>
                <w:iCs/>
                <w:szCs w:val="18"/>
              </w:rPr>
              <w:t>3</w:t>
            </w:r>
          </w:p>
        </w:tc>
        <w:tc>
          <w:tcPr>
            <w:tcW w:w="871" w:type="dxa"/>
            <w:noWrap/>
            <w:vAlign w:val="center"/>
            <w:hideMark/>
          </w:tcPr>
          <w:p w14:paraId="092D22D1" w14:textId="77777777" w:rsidR="00FA7C95" w:rsidRPr="00E745AE" w:rsidRDefault="00FA7C95" w:rsidP="00505050">
            <w:pPr>
              <w:spacing w:after="0"/>
              <w:jc w:val="center"/>
              <w:rPr>
                <w:iCs/>
                <w:szCs w:val="18"/>
              </w:rPr>
            </w:pPr>
            <w:r w:rsidRPr="00E745AE">
              <w:rPr>
                <w:iCs/>
                <w:szCs w:val="18"/>
              </w:rPr>
              <w:t>4</w:t>
            </w:r>
          </w:p>
        </w:tc>
        <w:tc>
          <w:tcPr>
            <w:tcW w:w="872" w:type="dxa"/>
            <w:noWrap/>
            <w:vAlign w:val="center"/>
            <w:hideMark/>
          </w:tcPr>
          <w:p w14:paraId="239D52F7" w14:textId="77777777" w:rsidR="00FA7C95" w:rsidRPr="00E745AE" w:rsidRDefault="00FA7C95" w:rsidP="00505050">
            <w:pPr>
              <w:spacing w:after="0"/>
              <w:jc w:val="center"/>
              <w:rPr>
                <w:iCs/>
                <w:szCs w:val="18"/>
              </w:rPr>
            </w:pPr>
            <w:r w:rsidRPr="00E745AE">
              <w:rPr>
                <w:iCs/>
                <w:szCs w:val="18"/>
              </w:rPr>
              <w:t>4</w:t>
            </w:r>
          </w:p>
        </w:tc>
        <w:tc>
          <w:tcPr>
            <w:tcW w:w="706" w:type="dxa"/>
          </w:tcPr>
          <w:p w14:paraId="134D5D8B" w14:textId="0AAF33AA" w:rsidR="00FA7C95" w:rsidRPr="00E745AE" w:rsidRDefault="004E7067" w:rsidP="00505050">
            <w:pPr>
              <w:spacing w:after="0"/>
              <w:jc w:val="center"/>
              <w:rPr>
                <w:iCs/>
                <w:szCs w:val="18"/>
              </w:rPr>
            </w:pPr>
            <w:r w:rsidRPr="00E745AE">
              <w:rPr>
                <w:iCs/>
                <w:szCs w:val="18"/>
              </w:rPr>
              <w:t>4</w:t>
            </w:r>
          </w:p>
        </w:tc>
        <w:tc>
          <w:tcPr>
            <w:tcW w:w="2746" w:type="dxa"/>
            <w:vAlign w:val="center"/>
            <w:hideMark/>
          </w:tcPr>
          <w:p w14:paraId="6584998E" w14:textId="32634672"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1C63981B" w14:textId="77777777" w:rsidTr="00505050">
        <w:trPr>
          <w:trHeight w:val="284"/>
        </w:trPr>
        <w:tc>
          <w:tcPr>
            <w:tcW w:w="1823" w:type="dxa"/>
            <w:noWrap/>
            <w:vAlign w:val="center"/>
            <w:hideMark/>
          </w:tcPr>
          <w:p w14:paraId="4D318EF4" w14:textId="77777777" w:rsidR="00FA7C95" w:rsidRPr="00E745AE" w:rsidRDefault="00FA7C95" w:rsidP="00E745AE">
            <w:pPr>
              <w:spacing w:after="0"/>
              <w:rPr>
                <w:bCs/>
                <w:iCs/>
                <w:szCs w:val="18"/>
              </w:rPr>
            </w:pPr>
            <w:r w:rsidRPr="00E745AE">
              <w:rPr>
                <w:bCs/>
                <w:iCs/>
                <w:szCs w:val="18"/>
              </w:rPr>
              <w:t>Općina Marija Bistrica</w:t>
            </w:r>
          </w:p>
        </w:tc>
        <w:tc>
          <w:tcPr>
            <w:tcW w:w="1519" w:type="dxa"/>
            <w:noWrap/>
            <w:vAlign w:val="center"/>
            <w:hideMark/>
          </w:tcPr>
          <w:p w14:paraId="0145FB8A"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74CF88E3" w14:textId="77777777" w:rsidR="00FA7C95" w:rsidRPr="00E745AE" w:rsidRDefault="00FA7C95" w:rsidP="00505050">
            <w:pPr>
              <w:spacing w:after="0"/>
              <w:jc w:val="center"/>
              <w:rPr>
                <w:iCs/>
                <w:szCs w:val="18"/>
              </w:rPr>
            </w:pPr>
            <w:r w:rsidRPr="00E745AE">
              <w:rPr>
                <w:iCs/>
                <w:szCs w:val="18"/>
              </w:rPr>
              <w:t>3</w:t>
            </w:r>
          </w:p>
        </w:tc>
        <w:tc>
          <w:tcPr>
            <w:tcW w:w="871" w:type="dxa"/>
            <w:noWrap/>
            <w:vAlign w:val="center"/>
            <w:hideMark/>
          </w:tcPr>
          <w:p w14:paraId="58C36FAA"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5C9FB43B" w14:textId="77777777" w:rsidR="00FA7C95" w:rsidRPr="00E745AE" w:rsidRDefault="00FA7C95" w:rsidP="00505050">
            <w:pPr>
              <w:spacing w:after="0"/>
              <w:jc w:val="center"/>
              <w:rPr>
                <w:iCs/>
                <w:szCs w:val="18"/>
              </w:rPr>
            </w:pPr>
            <w:r w:rsidRPr="00E745AE">
              <w:rPr>
                <w:iCs/>
                <w:szCs w:val="18"/>
              </w:rPr>
              <w:t>3</w:t>
            </w:r>
          </w:p>
        </w:tc>
        <w:tc>
          <w:tcPr>
            <w:tcW w:w="706" w:type="dxa"/>
          </w:tcPr>
          <w:p w14:paraId="17A91F74" w14:textId="7E5DC983" w:rsidR="00FA7C95" w:rsidRPr="00E745AE" w:rsidRDefault="004E7067" w:rsidP="00505050">
            <w:pPr>
              <w:spacing w:after="0"/>
              <w:jc w:val="center"/>
              <w:rPr>
                <w:iCs/>
                <w:szCs w:val="18"/>
              </w:rPr>
            </w:pPr>
            <w:r w:rsidRPr="00E745AE">
              <w:rPr>
                <w:iCs/>
                <w:szCs w:val="18"/>
              </w:rPr>
              <w:t>3</w:t>
            </w:r>
          </w:p>
        </w:tc>
        <w:tc>
          <w:tcPr>
            <w:tcW w:w="2746" w:type="dxa"/>
            <w:vAlign w:val="center"/>
            <w:hideMark/>
          </w:tcPr>
          <w:p w14:paraId="75D235B7" w14:textId="74BC36FC"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58AB83EE" w14:textId="77777777" w:rsidTr="00505050">
        <w:trPr>
          <w:trHeight w:val="284"/>
        </w:trPr>
        <w:tc>
          <w:tcPr>
            <w:tcW w:w="1823" w:type="dxa"/>
            <w:noWrap/>
            <w:vAlign w:val="center"/>
            <w:hideMark/>
          </w:tcPr>
          <w:p w14:paraId="33CF0991" w14:textId="77777777" w:rsidR="00FA7C95" w:rsidRPr="00E745AE" w:rsidRDefault="00FA7C95" w:rsidP="00E745AE">
            <w:pPr>
              <w:spacing w:after="0"/>
              <w:rPr>
                <w:bCs/>
                <w:iCs/>
                <w:szCs w:val="18"/>
              </w:rPr>
            </w:pPr>
            <w:r w:rsidRPr="00E745AE">
              <w:rPr>
                <w:bCs/>
                <w:iCs/>
                <w:szCs w:val="18"/>
              </w:rPr>
              <w:lastRenderedPageBreak/>
              <w:t>Općina Mihovljan</w:t>
            </w:r>
          </w:p>
        </w:tc>
        <w:tc>
          <w:tcPr>
            <w:tcW w:w="1519" w:type="dxa"/>
            <w:noWrap/>
            <w:vAlign w:val="center"/>
            <w:hideMark/>
          </w:tcPr>
          <w:p w14:paraId="28AEDDA3"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57798783" w14:textId="77777777" w:rsidR="00FA7C95" w:rsidRPr="00E745AE" w:rsidRDefault="00FA7C95" w:rsidP="00505050">
            <w:pPr>
              <w:spacing w:after="0"/>
              <w:jc w:val="center"/>
              <w:rPr>
                <w:iCs/>
                <w:szCs w:val="18"/>
              </w:rPr>
            </w:pPr>
            <w:r w:rsidRPr="00E745AE">
              <w:rPr>
                <w:iCs/>
                <w:szCs w:val="18"/>
              </w:rPr>
              <w:t>3</w:t>
            </w:r>
          </w:p>
        </w:tc>
        <w:tc>
          <w:tcPr>
            <w:tcW w:w="871" w:type="dxa"/>
            <w:noWrap/>
            <w:vAlign w:val="center"/>
            <w:hideMark/>
          </w:tcPr>
          <w:p w14:paraId="6C508980"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68B7D654" w14:textId="77777777" w:rsidR="00FA7C95" w:rsidRPr="00E745AE" w:rsidRDefault="00FA7C95" w:rsidP="00505050">
            <w:pPr>
              <w:spacing w:after="0"/>
              <w:jc w:val="center"/>
              <w:rPr>
                <w:iCs/>
                <w:szCs w:val="18"/>
              </w:rPr>
            </w:pPr>
            <w:r w:rsidRPr="00E745AE">
              <w:rPr>
                <w:iCs/>
                <w:szCs w:val="18"/>
              </w:rPr>
              <w:t>2</w:t>
            </w:r>
          </w:p>
        </w:tc>
        <w:tc>
          <w:tcPr>
            <w:tcW w:w="706" w:type="dxa"/>
          </w:tcPr>
          <w:p w14:paraId="7D2A1393" w14:textId="6F089A3D" w:rsidR="00FA7C95" w:rsidRPr="00E745AE" w:rsidRDefault="004E7067" w:rsidP="00505050">
            <w:pPr>
              <w:spacing w:after="0"/>
              <w:jc w:val="center"/>
              <w:rPr>
                <w:iCs/>
                <w:szCs w:val="18"/>
              </w:rPr>
            </w:pPr>
            <w:r w:rsidRPr="00E745AE">
              <w:rPr>
                <w:iCs/>
                <w:szCs w:val="18"/>
              </w:rPr>
              <w:t>2</w:t>
            </w:r>
          </w:p>
        </w:tc>
        <w:tc>
          <w:tcPr>
            <w:tcW w:w="2746" w:type="dxa"/>
            <w:vAlign w:val="center"/>
            <w:hideMark/>
          </w:tcPr>
          <w:p w14:paraId="6FA644D5" w14:textId="4F79EE12"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02547F77" w14:textId="77777777" w:rsidTr="00505050">
        <w:trPr>
          <w:trHeight w:val="284"/>
        </w:trPr>
        <w:tc>
          <w:tcPr>
            <w:tcW w:w="1823" w:type="dxa"/>
            <w:noWrap/>
            <w:vAlign w:val="center"/>
            <w:hideMark/>
          </w:tcPr>
          <w:p w14:paraId="46F138AC" w14:textId="77777777" w:rsidR="00FA7C95" w:rsidRPr="00E745AE" w:rsidRDefault="00FA7C95" w:rsidP="00E745AE">
            <w:pPr>
              <w:spacing w:after="0"/>
              <w:rPr>
                <w:bCs/>
                <w:iCs/>
                <w:szCs w:val="18"/>
              </w:rPr>
            </w:pPr>
            <w:r w:rsidRPr="00E745AE">
              <w:rPr>
                <w:bCs/>
                <w:iCs/>
                <w:szCs w:val="18"/>
              </w:rPr>
              <w:t>Općina Novi Golubovec</w:t>
            </w:r>
          </w:p>
        </w:tc>
        <w:tc>
          <w:tcPr>
            <w:tcW w:w="1519" w:type="dxa"/>
            <w:noWrap/>
            <w:vAlign w:val="center"/>
            <w:hideMark/>
          </w:tcPr>
          <w:p w14:paraId="2F17F7F3" w14:textId="77777777" w:rsidR="00FA7C95" w:rsidRPr="00E745AE" w:rsidRDefault="00FA7C95" w:rsidP="00505050">
            <w:pPr>
              <w:spacing w:after="0"/>
              <w:jc w:val="center"/>
              <w:rPr>
                <w:bCs/>
                <w:iCs/>
                <w:szCs w:val="18"/>
              </w:rPr>
            </w:pPr>
          </w:p>
        </w:tc>
        <w:tc>
          <w:tcPr>
            <w:tcW w:w="872" w:type="dxa"/>
            <w:noWrap/>
            <w:vAlign w:val="center"/>
            <w:hideMark/>
          </w:tcPr>
          <w:p w14:paraId="458FFA79" w14:textId="77777777" w:rsidR="00FA7C95" w:rsidRPr="00E745AE" w:rsidRDefault="00FA7C95" w:rsidP="00505050">
            <w:pPr>
              <w:spacing w:after="0"/>
              <w:jc w:val="center"/>
              <w:rPr>
                <w:iCs/>
                <w:szCs w:val="18"/>
              </w:rPr>
            </w:pPr>
            <w:r w:rsidRPr="00E745AE">
              <w:rPr>
                <w:iCs/>
                <w:szCs w:val="18"/>
              </w:rPr>
              <w:t>3</w:t>
            </w:r>
          </w:p>
        </w:tc>
        <w:tc>
          <w:tcPr>
            <w:tcW w:w="871" w:type="dxa"/>
            <w:noWrap/>
            <w:vAlign w:val="center"/>
            <w:hideMark/>
          </w:tcPr>
          <w:p w14:paraId="3F88BB97"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7B915C34" w14:textId="77777777" w:rsidR="00FA7C95" w:rsidRPr="00E745AE" w:rsidRDefault="00FA7C95" w:rsidP="00505050">
            <w:pPr>
              <w:spacing w:after="0"/>
              <w:jc w:val="center"/>
              <w:rPr>
                <w:iCs/>
                <w:szCs w:val="18"/>
              </w:rPr>
            </w:pPr>
            <w:r w:rsidRPr="00E745AE">
              <w:rPr>
                <w:iCs/>
                <w:szCs w:val="18"/>
              </w:rPr>
              <w:t>3</w:t>
            </w:r>
          </w:p>
        </w:tc>
        <w:tc>
          <w:tcPr>
            <w:tcW w:w="706" w:type="dxa"/>
          </w:tcPr>
          <w:p w14:paraId="2D78DC2A" w14:textId="3812111E" w:rsidR="00FA7C95" w:rsidRPr="00E745AE" w:rsidRDefault="004E7067" w:rsidP="00505050">
            <w:pPr>
              <w:spacing w:after="0"/>
              <w:jc w:val="center"/>
              <w:rPr>
                <w:iCs/>
                <w:szCs w:val="18"/>
              </w:rPr>
            </w:pPr>
            <w:r w:rsidRPr="00E745AE">
              <w:rPr>
                <w:iCs/>
                <w:szCs w:val="18"/>
              </w:rPr>
              <w:t>3</w:t>
            </w:r>
          </w:p>
        </w:tc>
        <w:tc>
          <w:tcPr>
            <w:tcW w:w="2746" w:type="dxa"/>
            <w:vAlign w:val="center"/>
            <w:hideMark/>
          </w:tcPr>
          <w:p w14:paraId="128B3A9E" w14:textId="523DF1FA" w:rsidR="00FA7C95" w:rsidRPr="00E745AE" w:rsidRDefault="00FA7C95" w:rsidP="00505050">
            <w:pPr>
              <w:spacing w:after="0"/>
              <w:jc w:val="center"/>
              <w:rPr>
                <w:iCs/>
                <w:szCs w:val="18"/>
              </w:rPr>
            </w:pPr>
            <w:r w:rsidRPr="00E745AE">
              <w:rPr>
                <w:iCs/>
                <w:szCs w:val="18"/>
              </w:rPr>
              <w:t>papir, karton, plastika, staklo, odjeća</w:t>
            </w:r>
          </w:p>
        </w:tc>
      </w:tr>
      <w:tr w:rsidR="00FA7C95" w:rsidRPr="00E745AE" w14:paraId="22C8CB59" w14:textId="77777777" w:rsidTr="00505050">
        <w:trPr>
          <w:trHeight w:val="284"/>
        </w:trPr>
        <w:tc>
          <w:tcPr>
            <w:tcW w:w="1823" w:type="dxa"/>
            <w:noWrap/>
            <w:vAlign w:val="center"/>
            <w:hideMark/>
          </w:tcPr>
          <w:p w14:paraId="7EAAB751" w14:textId="77777777" w:rsidR="00FA7C95" w:rsidRPr="00E745AE" w:rsidRDefault="00FA7C95" w:rsidP="00E745AE">
            <w:pPr>
              <w:spacing w:after="0"/>
              <w:rPr>
                <w:bCs/>
                <w:iCs/>
                <w:szCs w:val="18"/>
              </w:rPr>
            </w:pPr>
            <w:r w:rsidRPr="00E745AE">
              <w:rPr>
                <w:bCs/>
                <w:iCs/>
                <w:szCs w:val="18"/>
              </w:rPr>
              <w:t>Općina Petrovsko</w:t>
            </w:r>
          </w:p>
        </w:tc>
        <w:tc>
          <w:tcPr>
            <w:tcW w:w="1519" w:type="dxa"/>
            <w:noWrap/>
            <w:vAlign w:val="center"/>
            <w:hideMark/>
          </w:tcPr>
          <w:p w14:paraId="76479C61" w14:textId="77777777" w:rsidR="00FA7C95" w:rsidRPr="00E745AE" w:rsidRDefault="00FA7C95" w:rsidP="00505050">
            <w:pPr>
              <w:spacing w:after="0"/>
              <w:jc w:val="center"/>
              <w:rPr>
                <w:iCs/>
                <w:szCs w:val="18"/>
              </w:rPr>
            </w:pPr>
            <w:r w:rsidRPr="00E745AE">
              <w:rPr>
                <w:iCs/>
                <w:szCs w:val="18"/>
              </w:rPr>
              <w:t>6</w:t>
            </w:r>
          </w:p>
        </w:tc>
        <w:tc>
          <w:tcPr>
            <w:tcW w:w="872" w:type="dxa"/>
            <w:noWrap/>
            <w:vAlign w:val="center"/>
            <w:hideMark/>
          </w:tcPr>
          <w:p w14:paraId="3447330B" w14:textId="77777777" w:rsidR="00FA7C95" w:rsidRPr="00E745AE" w:rsidRDefault="00FA7C95" w:rsidP="00505050">
            <w:pPr>
              <w:spacing w:after="0"/>
              <w:jc w:val="center"/>
              <w:rPr>
                <w:iCs/>
                <w:szCs w:val="18"/>
              </w:rPr>
            </w:pPr>
            <w:r w:rsidRPr="00E745AE">
              <w:rPr>
                <w:iCs/>
                <w:szCs w:val="18"/>
              </w:rPr>
              <w:t>6</w:t>
            </w:r>
          </w:p>
        </w:tc>
        <w:tc>
          <w:tcPr>
            <w:tcW w:w="871" w:type="dxa"/>
            <w:noWrap/>
            <w:vAlign w:val="center"/>
            <w:hideMark/>
          </w:tcPr>
          <w:p w14:paraId="2A7E05F0" w14:textId="77777777" w:rsidR="00FA7C95" w:rsidRPr="00E745AE" w:rsidRDefault="00FA7C95" w:rsidP="00505050">
            <w:pPr>
              <w:spacing w:after="0"/>
              <w:jc w:val="center"/>
              <w:rPr>
                <w:iCs/>
                <w:szCs w:val="18"/>
              </w:rPr>
            </w:pPr>
            <w:r w:rsidRPr="00E745AE">
              <w:rPr>
                <w:iCs/>
                <w:szCs w:val="18"/>
              </w:rPr>
              <w:t>6</w:t>
            </w:r>
          </w:p>
        </w:tc>
        <w:tc>
          <w:tcPr>
            <w:tcW w:w="872" w:type="dxa"/>
            <w:noWrap/>
            <w:vAlign w:val="center"/>
            <w:hideMark/>
          </w:tcPr>
          <w:p w14:paraId="3FB692F7" w14:textId="77777777" w:rsidR="00FA7C95" w:rsidRPr="00E745AE" w:rsidRDefault="00FA7C95" w:rsidP="00505050">
            <w:pPr>
              <w:spacing w:after="0"/>
              <w:jc w:val="center"/>
              <w:rPr>
                <w:iCs/>
                <w:szCs w:val="18"/>
              </w:rPr>
            </w:pPr>
            <w:r w:rsidRPr="00E745AE">
              <w:rPr>
                <w:iCs/>
                <w:szCs w:val="18"/>
              </w:rPr>
              <w:t>6</w:t>
            </w:r>
          </w:p>
        </w:tc>
        <w:tc>
          <w:tcPr>
            <w:tcW w:w="706" w:type="dxa"/>
          </w:tcPr>
          <w:p w14:paraId="55F715C0" w14:textId="28278896" w:rsidR="00FA7C95" w:rsidRPr="00E745AE" w:rsidRDefault="004E7067" w:rsidP="00505050">
            <w:pPr>
              <w:spacing w:after="0"/>
              <w:jc w:val="center"/>
              <w:rPr>
                <w:iCs/>
                <w:szCs w:val="18"/>
              </w:rPr>
            </w:pPr>
            <w:r w:rsidRPr="00E745AE">
              <w:rPr>
                <w:iCs/>
                <w:szCs w:val="18"/>
              </w:rPr>
              <w:t>6</w:t>
            </w:r>
          </w:p>
        </w:tc>
        <w:tc>
          <w:tcPr>
            <w:tcW w:w="2746" w:type="dxa"/>
            <w:vAlign w:val="center"/>
            <w:hideMark/>
          </w:tcPr>
          <w:p w14:paraId="5A30F235" w14:textId="10A2F0A8"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1D790E8A" w14:textId="77777777" w:rsidTr="00505050">
        <w:trPr>
          <w:trHeight w:val="284"/>
        </w:trPr>
        <w:tc>
          <w:tcPr>
            <w:tcW w:w="1823" w:type="dxa"/>
            <w:noWrap/>
            <w:vAlign w:val="center"/>
            <w:hideMark/>
          </w:tcPr>
          <w:p w14:paraId="0C2DE4FC" w14:textId="77777777" w:rsidR="00FA7C95" w:rsidRPr="00E745AE" w:rsidRDefault="00FA7C95" w:rsidP="00E745AE">
            <w:pPr>
              <w:spacing w:after="0"/>
              <w:rPr>
                <w:bCs/>
                <w:iCs/>
                <w:szCs w:val="18"/>
              </w:rPr>
            </w:pPr>
            <w:r w:rsidRPr="00E745AE">
              <w:rPr>
                <w:bCs/>
                <w:iCs/>
                <w:szCs w:val="18"/>
              </w:rPr>
              <w:t>Općina Radoboj</w:t>
            </w:r>
          </w:p>
        </w:tc>
        <w:tc>
          <w:tcPr>
            <w:tcW w:w="1519" w:type="dxa"/>
            <w:noWrap/>
            <w:vAlign w:val="center"/>
            <w:hideMark/>
          </w:tcPr>
          <w:p w14:paraId="57B64E3E" w14:textId="77777777" w:rsidR="00FA7C95" w:rsidRPr="00E745AE" w:rsidRDefault="00FA7C95" w:rsidP="00505050">
            <w:pPr>
              <w:spacing w:after="0"/>
              <w:jc w:val="center"/>
              <w:rPr>
                <w:iCs/>
                <w:szCs w:val="18"/>
              </w:rPr>
            </w:pPr>
            <w:r w:rsidRPr="00E745AE">
              <w:rPr>
                <w:iCs/>
                <w:szCs w:val="18"/>
              </w:rPr>
              <w:t>8</w:t>
            </w:r>
          </w:p>
        </w:tc>
        <w:tc>
          <w:tcPr>
            <w:tcW w:w="872" w:type="dxa"/>
            <w:noWrap/>
            <w:vAlign w:val="center"/>
            <w:hideMark/>
          </w:tcPr>
          <w:p w14:paraId="07E4914B" w14:textId="77777777" w:rsidR="00FA7C95" w:rsidRPr="00E745AE" w:rsidRDefault="00FA7C95" w:rsidP="00505050">
            <w:pPr>
              <w:spacing w:after="0"/>
              <w:jc w:val="center"/>
              <w:rPr>
                <w:iCs/>
                <w:szCs w:val="18"/>
              </w:rPr>
            </w:pPr>
            <w:r w:rsidRPr="00E745AE">
              <w:rPr>
                <w:iCs/>
                <w:szCs w:val="18"/>
              </w:rPr>
              <w:t>8</w:t>
            </w:r>
          </w:p>
        </w:tc>
        <w:tc>
          <w:tcPr>
            <w:tcW w:w="871" w:type="dxa"/>
            <w:noWrap/>
            <w:vAlign w:val="center"/>
            <w:hideMark/>
          </w:tcPr>
          <w:p w14:paraId="66A6ABE2" w14:textId="77777777" w:rsidR="00FA7C95" w:rsidRPr="00E745AE" w:rsidRDefault="00FA7C95" w:rsidP="00505050">
            <w:pPr>
              <w:spacing w:after="0"/>
              <w:jc w:val="center"/>
              <w:rPr>
                <w:iCs/>
                <w:szCs w:val="18"/>
              </w:rPr>
            </w:pPr>
            <w:r w:rsidRPr="00E745AE">
              <w:rPr>
                <w:iCs/>
                <w:szCs w:val="18"/>
              </w:rPr>
              <w:t>7</w:t>
            </w:r>
          </w:p>
        </w:tc>
        <w:tc>
          <w:tcPr>
            <w:tcW w:w="872" w:type="dxa"/>
            <w:noWrap/>
            <w:vAlign w:val="center"/>
            <w:hideMark/>
          </w:tcPr>
          <w:p w14:paraId="231CDB70" w14:textId="77777777" w:rsidR="00FA7C95" w:rsidRPr="00E745AE" w:rsidRDefault="00FA7C95" w:rsidP="00505050">
            <w:pPr>
              <w:spacing w:after="0"/>
              <w:jc w:val="center"/>
              <w:rPr>
                <w:iCs/>
                <w:szCs w:val="18"/>
              </w:rPr>
            </w:pPr>
            <w:r w:rsidRPr="00E745AE">
              <w:rPr>
                <w:iCs/>
                <w:szCs w:val="18"/>
              </w:rPr>
              <w:t>7</w:t>
            </w:r>
          </w:p>
        </w:tc>
        <w:tc>
          <w:tcPr>
            <w:tcW w:w="706" w:type="dxa"/>
          </w:tcPr>
          <w:p w14:paraId="3E3F714A" w14:textId="0FAFB06C" w:rsidR="00FA7C95" w:rsidRPr="00E745AE" w:rsidRDefault="004E7067" w:rsidP="00505050">
            <w:pPr>
              <w:spacing w:after="0"/>
              <w:jc w:val="center"/>
              <w:rPr>
                <w:iCs/>
                <w:szCs w:val="18"/>
              </w:rPr>
            </w:pPr>
            <w:r w:rsidRPr="00E745AE">
              <w:rPr>
                <w:iCs/>
                <w:szCs w:val="18"/>
              </w:rPr>
              <w:t>9</w:t>
            </w:r>
          </w:p>
        </w:tc>
        <w:tc>
          <w:tcPr>
            <w:tcW w:w="2746" w:type="dxa"/>
            <w:vAlign w:val="center"/>
            <w:hideMark/>
          </w:tcPr>
          <w:p w14:paraId="251B2577" w14:textId="030A53DA" w:rsidR="00FA7C95" w:rsidRPr="00E745AE" w:rsidRDefault="00FA7C95" w:rsidP="00505050">
            <w:pPr>
              <w:spacing w:after="0"/>
              <w:jc w:val="center"/>
              <w:rPr>
                <w:iCs/>
                <w:szCs w:val="18"/>
              </w:rPr>
            </w:pPr>
            <w:r w:rsidRPr="00E745AE">
              <w:rPr>
                <w:iCs/>
                <w:szCs w:val="18"/>
              </w:rPr>
              <w:t>papir, karton, plastika, staklo, odjeća</w:t>
            </w:r>
          </w:p>
        </w:tc>
      </w:tr>
      <w:tr w:rsidR="00FA7C95" w:rsidRPr="00E745AE" w14:paraId="74714CE0" w14:textId="77777777" w:rsidTr="00505050">
        <w:trPr>
          <w:trHeight w:val="284"/>
        </w:trPr>
        <w:tc>
          <w:tcPr>
            <w:tcW w:w="1823" w:type="dxa"/>
            <w:noWrap/>
            <w:vAlign w:val="center"/>
            <w:hideMark/>
          </w:tcPr>
          <w:p w14:paraId="482F8279" w14:textId="77777777" w:rsidR="00FA7C95" w:rsidRPr="00E745AE" w:rsidRDefault="00FA7C95" w:rsidP="00E745AE">
            <w:pPr>
              <w:spacing w:after="0"/>
              <w:rPr>
                <w:bCs/>
                <w:iCs/>
                <w:szCs w:val="18"/>
              </w:rPr>
            </w:pPr>
            <w:r w:rsidRPr="00E745AE">
              <w:rPr>
                <w:bCs/>
                <w:iCs/>
                <w:szCs w:val="18"/>
              </w:rPr>
              <w:t>Općina Stubičke Toplice</w:t>
            </w:r>
          </w:p>
        </w:tc>
        <w:tc>
          <w:tcPr>
            <w:tcW w:w="1519" w:type="dxa"/>
            <w:noWrap/>
            <w:vAlign w:val="center"/>
            <w:hideMark/>
          </w:tcPr>
          <w:p w14:paraId="61AD3A97" w14:textId="77777777" w:rsidR="00FA7C95" w:rsidRPr="00E745AE" w:rsidRDefault="00FA7C95" w:rsidP="00505050">
            <w:pPr>
              <w:spacing w:after="0"/>
              <w:jc w:val="center"/>
              <w:rPr>
                <w:iCs/>
                <w:szCs w:val="18"/>
              </w:rPr>
            </w:pPr>
            <w:r w:rsidRPr="00E745AE">
              <w:rPr>
                <w:iCs/>
                <w:szCs w:val="18"/>
              </w:rPr>
              <w:t>8</w:t>
            </w:r>
          </w:p>
        </w:tc>
        <w:tc>
          <w:tcPr>
            <w:tcW w:w="872" w:type="dxa"/>
            <w:noWrap/>
            <w:vAlign w:val="center"/>
            <w:hideMark/>
          </w:tcPr>
          <w:p w14:paraId="4DAD9C81" w14:textId="77777777" w:rsidR="00FA7C95" w:rsidRPr="00E745AE" w:rsidRDefault="00FA7C95" w:rsidP="00505050">
            <w:pPr>
              <w:spacing w:after="0"/>
              <w:jc w:val="center"/>
              <w:rPr>
                <w:iCs/>
                <w:szCs w:val="18"/>
              </w:rPr>
            </w:pPr>
            <w:r w:rsidRPr="00E745AE">
              <w:rPr>
                <w:iCs/>
                <w:szCs w:val="18"/>
              </w:rPr>
              <w:t>3</w:t>
            </w:r>
          </w:p>
        </w:tc>
        <w:tc>
          <w:tcPr>
            <w:tcW w:w="871" w:type="dxa"/>
            <w:noWrap/>
            <w:vAlign w:val="center"/>
            <w:hideMark/>
          </w:tcPr>
          <w:p w14:paraId="1859DF0D"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4ACEB590" w14:textId="77777777" w:rsidR="00FA7C95" w:rsidRPr="00E745AE" w:rsidRDefault="00FA7C95" w:rsidP="00505050">
            <w:pPr>
              <w:spacing w:after="0"/>
              <w:jc w:val="center"/>
              <w:rPr>
                <w:iCs/>
                <w:szCs w:val="18"/>
              </w:rPr>
            </w:pPr>
            <w:r w:rsidRPr="00E745AE">
              <w:rPr>
                <w:iCs/>
                <w:szCs w:val="18"/>
              </w:rPr>
              <w:t>3</w:t>
            </w:r>
          </w:p>
        </w:tc>
        <w:tc>
          <w:tcPr>
            <w:tcW w:w="706" w:type="dxa"/>
          </w:tcPr>
          <w:p w14:paraId="07E811AB" w14:textId="620FCF1D" w:rsidR="00FA7C95" w:rsidRPr="00E745AE" w:rsidRDefault="004E7067" w:rsidP="00505050">
            <w:pPr>
              <w:spacing w:after="0"/>
              <w:jc w:val="center"/>
              <w:rPr>
                <w:iCs/>
                <w:szCs w:val="18"/>
              </w:rPr>
            </w:pPr>
            <w:r w:rsidRPr="00E745AE">
              <w:rPr>
                <w:iCs/>
                <w:szCs w:val="18"/>
              </w:rPr>
              <w:t>2</w:t>
            </w:r>
          </w:p>
        </w:tc>
        <w:tc>
          <w:tcPr>
            <w:tcW w:w="2746" w:type="dxa"/>
            <w:vAlign w:val="center"/>
            <w:hideMark/>
          </w:tcPr>
          <w:p w14:paraId="771825DB" w14:textId="6C2F1316" w:rsidR="00FA7C95" w:rsidRPr="00E745AE" w:rsidRDefault="004E7067" w:rsidP="00505050">
            <w:pPr>
              <w:spacing w:after="0"/>
              <w:jc w:val="center"/>
              <w:rPr>
                <w:iCs/>
                <w:szCs w:val="18"/>
              </w:rPr>
            </w:pPr>
            <w:r w:rsidRPr="00E745AE">
              <w:rPr>
                <w:iCs/>
                <w:szCs w:val="18"/>
              </w:rPr>
              <w:t>S</w:t>
            </w:r>
            <w:r w:rsidR="00FA7C95" w:rsidRPr="00E745AE">
              <w:rPr>
                <w:iCs/>
                <w:szCs w:val="18"/>
              </w:rPr>
              <w:t>taklo</w:t>
            </w:r>
            <w:r w:rsidR="00547E7C" w:rsidRPr="00E745AE">
              <w:rPr>
                <w:iCs/>
                <w:szCs w:val="18"/>
              </w:rPr>
              <w:t>, papir, plastika</w:t>
            </w:r>
          </w:p>
        </w:tc>
      </w:tr>
      <w:tr w:rsidR="00FA7C95" w:rsidRPr="00E745AE" w14:paraId="4B28C850" w14:textId="77777777" w:rsidTr="00505050">
        <w:trPr>
          <w:trHeight w:val="284"/>
        </w:trPr>
        <w:tc>
          <w:tcPr>
            <w:tcW w:w="1823" w:type="dxa"/>
            <w:noWrap/>
            <w:vAlign w:val="center"/>
            <w:hideMark/>
          </w:tcPr>
          <w:p w14:paraId="399F1334" w14:textId="77777777" w:rsidR="00FA7C95" w:rsidRPr="00E745AE" w:rsidRDefault="00FA7C95" w:rsidP="00E745AE">
            <w:pPr>
              <w:spacing w:after="0"/>
              <w:rPr>
                <w:bCs/>
                <w:iCs/>
                <w:szCs w:val="18"/>
              </w:rPr>
            </w:pPr>
            <w:r w:rsidRPr="00E745AE">
              <w:rPr>
                <w:bCs/>
                <w:iCs/>
                <w:szCs w:val="18"/>
              </w:rPr>
              <w:t>Općina Sveti Križ Začretje</w:t>
            </w:r>
          </w:p>
        </w:tc>
        <w:tc>
          <w:tcPr>
            <w:tcW w:w="1519" w:type="dxa"/>
            <w:noWrap/>
            <w:vAlign w:val="center"/>
            <w:hideMark/>
          </w:tcPr>
          <w:p w14:paraId="26B08609" w14:textId="77777777" w:rsidR="00FA7C95" w:rsidRPr="00E745AE" w:rsidRDefault="00FA7C95" w:rsidP="00505050">
            <w:pPr>
              <w:spacing w:after="0"/>
              <w:jc w:val="center"/>
              <w:rPr>
                <w:iCs/>
                <w:szCs w:val="18"/>
              </w:rPr>
            </w:pPr>
            <w:r w:rsidRPr="00E745AE">
              <w:rPr>
                <w:iCs/>
                <w:szCs w:val="18"/>
              </w:rPr>
              <w:t>14</w:t>
            </w:r>
          </w:p>
        </w:tc>
        <w:tc>
          <w:tcPr>
            <w:tcW w:w="872" w:type="dxa"/>
            <w:noWrap/>
            <w:vAlign w:val="center"/>
            <w:hideMark/>
          </w:tcPr>
          <w:p w14:paraId="5D12E06F" w14:textId="77777777" w:rsidR="00FA7C95" w:rsidRPr="00E745AE" w:rsidRDefault="00FA7C95" w:rsidP="00505050">
            <w:pPr>
              <w:spacing w:after="0"/>
              <w:jc w:val="center"/>
              <w:rPr>
                <w:iCs/>
                <w:szCs w:val="18"/>
              </w:rPr>
            </w:pPr>
            <w:r w:rsidRPr="00E745AE">
              <w:rPr>
                <w:iCs/>
                <w:szCs w:val="18"/>
              </w:rPr>
              <w:t>14</w:t>
            </w:r>
          </w:p>
        </w:tc>
        <w:tc>
          <w:tcPr>
            <w:tcW w:w="871" w:type="dxa"/>
            <w:noWrap/>
            <w:vAlign w:val="center"/>
            <w:hideMark/>
          </w:tcPr>
          <w:p w14:paraId="3838E202" w14:textId="77777777" w:rsidR="00FA7C95" w:rsidRPr="00E745AE" w:rsidRDefault="00FA7C95" w:rsidP="00505050">
            <w:pPr>
              <w:spacing w:after="0"/>
              <w:jc w:val="center"/>
              <w:rPr>
                <w:iCs/>
                <w:szCs w:val="18"/>
              </w:rPr>
            </w:pPr>
            <w:r w:rsidRPr="00E745AE">
              <w:rPr>
                <w:iCs/>
                <w:szCs w:val="18"/>
              </w:rPr>
              <w:t>14</w:t>
            </w:r>
          </w:p>
        </w:tc>
        <w:tc>
          <w:tcPr>
            <w:tcW w:w="872" w:type="dxa"/>
            <w:noWrap/>
            <w:vAlign w:val="center"/>
            <w:hideMark/>
          </w:tcPr>
          <w:p w14:paraId="79433ED7" w14:textId="77777777" w:rsidR="00FA7C95" w:rsidRPr="00E745AE" w:rsidRDefault="00FA7C95" w:rsidP="00505050">
            <w:pPr>
              <w:spacing w:after="0"/>
              <w:jc w:val="center"/>
              <w:rPr>
                <w:iCs/>
                <w:szCs w:val="18"/>
              </w:rPr>
            </w:pPr>
            <w:r w:rsidRPr="00E745AE">
              <w:rPr>
                <w:iCs/>
                <w:szCs w:val="18"/>
              </w:rPr>
              <w:t>14</w:t>
            </w:r>
          </w:p>
        </w:tc>
        <w:tc>
          <w:tcPr>
            <w:tcW w:w="706" w:type="dxa"/>
          </w:tcPr>
          <w:p w14:paraId="6004CC2F" w14:textId="19678106" w:rsidR="00FA7C95" w:rsidRPr="00E745AE" w:rsidRDefault="004E7067" w:rsidP="00505050">
            <w:pPr>
              <w:spacing w:after="0"/>
              <w:jc w:val="center"/>
              <w:rPr>
                <w:iCs/>
                <w:szCs w:val="18"/>
              </w:rPr>
            </w:pPr>
            <w:r w:rsidRPr="00E745AE">
              <w:rPr>
                <w:iCs/>
                <w:szCs w:val="18"/>
              </w:rPr>
              <w:t>14</w:t>
            </w:r>
          </w:p>
        </w:tc>
        <w:tc>
          <w:tcPr>
            <w:tcW w:w="2746" w:type="dxa"/>
            <w:vAlign w:val="center"/>
            <w:hideMark/>
          </w:tcPr>
          <w:p w14:paraId="23CEAF53" w14:textId="6CFA791A" w:rsidR="00FA7C95" w:rsidRPr="00E745AE" w:rsidRDefault="00FA7C95" w:rsidP="00505050">
            <w:pPr>
              <w:spacing w:after="0"/>
              <w:jc w:val="center"/>
              <w:rPr>
                <w:iCs/>
                <w:szCs w:val="18"/>
              </w:rPr>
            </w:pPr>
            <w:r w:rsidRPr="00E745AE">
              <w:rPr>
                <w:iCs/>
                <w:szCs w:val="18"/>
              </w:rPr>
              <w:t>papir, karton, plastika, staklo, odjeća</w:t>
            </w:r>
          </w:p>
        </w:tc>
      </w:tr>
      <w:tr w:rsidR="00FA7C95" w:rsidRPr="00E745AE" w14:paraId="6A836909" w14:textId="77777777" w:rsidTr="00505050">
        <w:trPr>
          <w:trHeight w:val="284"/>
        </w:trPr>
        <w:tc>
          <w:tcPr>
            <w:tcW w:w="1823" w:type="dxa"/>
            <w:noWrap/>
            <w:vAlign w:val="center"/>
            <w:hideMark/>
          </w:tcPr>
          <w:p w14:paraId="769971A3" w14:textId="77777777" w:rsidR="00FA7C95" w:rsidRPr="00E745AE" w:rsidRDefault="00FA7C95" w:rsidP="00E745AE">
            <w:pPr>
              <w:spacing w:after="0"/>
              <w:rPr>
                <w:bCs/>
                <w:iCs/>
                <w:szCs w:val="18"/>
              </w:rPr>
            </w:pPr>
            <w:r w:rsidRPr="00E745AE">
              <w:rPr>
                <w:bCs/>
                <w:iCs/>
                <w:szCs w:val="18"/>
              </w:rPr>
              <w:t>Općina Tuhelj</w:t>
            </w:r>
          </w:p>
        </w:tc>
        <w:tc>
          <w:tcPr>
            <w:tcW w:w="1519" w:type="dxa"/>
            <w:noWrap/>
            <w:vAlign w:val="center"/>
            <w:hideMark/>
          </w:tcPr>
          <w:p w14:paraId="77A96C7A"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39B384AC" w14:textId="77777777" w:rsidR="00FA7C95" w:rsidRPr="00E745AE" w:rsidRDefault="00FA7C95" w:rsidP="00505050">
            <w:pPr>
              <w:spacing w:after="0"/>
              <w:jc w:val="center"/>
              <w:rPr>
                <w:iCs/>
                <w:szCs w:val="18"/>
              </w:rPr>
            </w:pPr>
            <w:r w:rsidRPr="00E745AE">
              <w:rPr>
                <w:iCs/>
                <w:szCs w:val="18"/>
              </w:rPr>
              <w:t>3</w:t>
            </w:r>
          </w:p>
        </w:tc>
        <w:tc>
          <w:tcPr>
            <w:tcW w:w="871" w:type="dxa"/>
            <w:noWrap/>
            <w:vAlign w:val="center"/>
            <w:hideMark/>
          </w:tcPr>
          <w:p w14:paraId="36F59A2B"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07283BBE" w14:textId="77777777" w:rsidR="00FA7C95" w:rsidRPr="00E745AE" w:rsidRDefault="00FA7C95" w:rsidP="00505050">
            <w:pPr>
              <w:spacing w:after="0"/>
              <w:jc w:val="center"/>
              <w:rPr>
                <w:iCs/>
                <w:szCs w:val="18"/>
              </w:rPr>
            </w:pPr>
            <w:r w:rsidRPr="00E745AE">
              <w:rPr>
                <w:iCs/>
                <w:szCs w:val="18"/>
              </w:rPr>
              <w:t>3</w:t>
            </w:r>
          </w:p>
        </w:tc>
        <w:tc>
          <w:tcPr>
            <w:tcW w:w="706" w:type="dxa"/>
          </w:tcPr>
          <w:p w14:paraId="0BDAB20E" w14:textId="32CD7F6C" w:rsidR="00FA7C95" w:rsidRPr="00E745AE" w:rsidRDefault="004E7067" w:rsidP="00505050">
            <w:pPr>
              <w:spacing w:after="0"/>
              <w:jc w:val="center"/>
              <w:rPr>
                <w:iCs/>
                <w:szCs w:val="18"/>
              </w:rPr>
            </w:pPr>
            <w:r w:rsidRPr="00E745AE">
              <w:rPr>
                <w:iCs/>
                <w:szCs w:val="18"/>
              </w:rPr>
              <w:t>3</w:t>
            </w:r>
          </w:p>
        </w:tc>
        <w:tc>
          <w:tcPr>
            <w:tcW w:w="2746" w:type="dxa"/>
            <w:vAlign w:val="center"/>
            <w:hideMark/>
          </w:tcPr>
          <w:p w14:paraId="2D888C84" w14:textId="331A1D16" w:rsidR="00FA7C95" w:rsidRPr="00E745AE" w:rsidRDefault="00FA7C95" w:rsidP="00505050">
            <w:pPr>
              <w:spacing w:after="0"/>
              <w:jc w:val="center"/>
              <w:rPr>
                <w:iCs/>
                <w:szCs w:val="18"/>
              </w:rPr>
            </w:pPr>
            <w:r w:rsidRPr="00E745AE">
              <w:rPr>
                <w:iCs/>
                <w:szCs w:val="18"/>
              </w:rPr>
              <w:t>papir, karton, plastika, staklo, odjeća</w:t>
            </w:r>
          </w:p>
        </w:tc>
      </w:tr>
      <w:tr w:rsidR="00FA7C95" w:rsidRPr="00E745AE" w14:paraId="5B17E83A" w14:textId="77777777" w:rsidTr="00505050">
        <w:trPr>
          <w:trHeight w:val="284"/>
        </w:trPr>
        <w:tc>
          <w:tcPr>
            <w:tcW w:w="1823" w:type="dxa"/>
            <w:noWrap/>
            <w:vAlign w:val="center"/>
            <w:hideMark/>
          </w:tcPr>
          <w:p w14:paraId="4E616A3E" w14:textId="77777777" w:rsidR="00FA7C95" w:rsidRPr="00E745AE" w:rsidRDefault="00FA7C95" w:rsidP="00E745AE">
            <w:pPr>
              <w:spacing w:after="0"/>
              <w:rPr>
                <w:bCs/>
                <w:iCs/>
                <w:szCs w:val="18"/>
              </w:rPr>
            </w:pPr>
            <w:r w:rsidRPr="00E745AE">
              <w:rPr>
                <w:bCs/>
                <w:iCs/>
                <w:szCs w:val="18"/>
              </w:rPr>
              <w:t>Općina Veliko Trgovišće</w:t>
            </w:r>
          </w:p>
        </w:tc>
        <w:tc>
          <w:tcPr>
            <w:tcW w:w="1519" w:type="dxa"/>
            <w:noWrap/>
            <w:vAlign w:val="center"/>
            <w:hideMark/>
          </w:tcPr>
          <w:p w14:paraId="0A359C8D" w14:textId="77777777" w:rsidR="00FA7C95" w:rsidRPr="00E745AE" w:rsidRDefault="00FA7C95" w:rsidP="00505050">
            <w:pPr>
              <w:spacing w:after="0"/>
              <w:jc w:val="center"/>
              <w:rPr>
                <w:iCs/>
                <w:szCs w:val="18"/>
              </w:rPr>
            </w:pPr>
            <w:r w:rsidRPr="00E745AE">
              <w:rPr>
                <w:iCs/>
                <w:szCs w:val="18"/>
              </w:rPr>
              <w:t>3</w:t>
            </w:r>
          </w:p>
        </w:tc>
        <w:tc>
          <w:tcPr>
            <w:tcW w:w="872" w:type="dxa"/>
            <w:noWrap/>
            <w:vAlign w:val="center"/>
            <w:hideMark/>
          </w:tcPr>
          <w:p w14:paraId="45C38066" w14:textId="77777777" w:rsidR="00FA7C95" w:rsidRPr="00E745AE" w:rsidRDefault="00FA7C95" w:rsidP="00505050">
            <w:pPr>
              <w:spacing w:after="0"/>
              <w:jc w:val="center"/>
              <w:rPr>
                <w:iCs/>
                <w:szCs w:val="18"/>
              </w:rPr>
            </w:pPr>
            <w:r w:rsidRPr="00E745AE">
              <w:rPr>
                <w:iCs/>
                <w:szCs w:val="18"/>
              </w:rPr>
              <w:t>4</w:t>
            </w:r>
          </w:p>
        </w:tc>
        <w:tc>
          <w:tcPr>
            <w:tcW w:w="871" w:type="dxa"/>
            <w:noWrap/>
            <w:vAlign w:val="center"/>
            <w:hideMark/>
          </w:tcPr>
          <w:p w14:paraId="7821A537" w14:textId="77777777" w:rsidR="00FA7C95" w:rsidRPr="00E745AE" w:rsidRDefault="00FA7C95" w:rsidP="00505050">
            <w:pPr>
              <w:spacing w:after="0"/>
              <w:jc w:val="center"/>
              <w:rPr>
                <w:iCs/>
                <w:szCs w:val="18"/>
              </w:rPr>
            </w:pPr>
            <w:r w:rsidRPr="00E745AE">
              <w:rPr>
                <w:iCs/>
                <w:szCs w:val="18"/>
              </w:rPr>
              <w:t>7</w:t>
            </w:r>
          </w:p>
        </w:tc>
        <w:tc>
          <w:tcPr>
            <w:tcW w:w="872" w:type="dxa"/>
            <w:noWrap/>
            <w:vAlign w:val="center"/>
            <w:hideMark/>
          </w:tcPr>
          <w:p w14:paraId="3DCC18DB" w14:textId="77777777" w:rsidR="00FA7C95" w:rsidRPr="00E745AE" w:rsidRDefault="00FA7C95" w:rsidP="00505050">
            <w:pPr>
              <w:spacing w:after="0"/>
              <w:jc w:val="center"/>
              <w:rPr>
                <w:iCs/>
                <w:szCs w:val="18"/>
              </w:rPr>
            </w:pPr>
            <w:r w:rsidRPr="00E745AE">
              <w:rPr>
                <w:iCs/>
                <w:szCs w:val="18"/>
              </w:rPr>
              <w:t>7</w:t>
            </w:r>
          </w:p>
        </w:tc>
        <w:tc>
          <w:tcPr>
            <w:tcW w:w="706" w:type="dxa"/>
          </w:tcPr>
          <w:p w14:paraId="3759DC69" w14:textId="109E2D93" w:rsidR="00FA7C95" w:rsidRPr="00E745AE" w:rsidRDefault="004E7067" w:rsidP="00505050">
            <w:pPr>
              <w:spacing w:after="0"/>
              <w:jc w:val="center"/>
              <w:rPr>
                <w:iCs/>
                <w:szCs w:val="18"/>
              </w:rPr>
            </w:pPr>
            <w:r w:rsidRPr="00E745AE">
              <w:rPr>
                <w:iCs/>
                <w:szCs w:val="18"/>
              </w:rPr>
              <w:t>7</w:t>
            </w:r>
          </w:p>
        </w:tc>
        <w:tc>
          <w:tcPr>
            <w:tcW w:w="2746" w:type="dxa"/>
            <w:vAlign w:val="center"/>
            <w:hideMark/>
          </w:tcPr>
          <w:p w14:paraId="59E2565C" w14:textId="5D917854"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55E776F4" w14:textId="77777777" w:rsidTr="00505050">
        <w:trPr>
          <w:trHeight w:val="284"/>
        </w:trPr>
        <w:tc>
          <w:tcPr>
            <w:tcW w:w="1823" w:type="dxa"/>
            <w:noWrap/>
            <w:vAlign w:val="center"/>
            <w:hideMark/>
          </w:tcPr>
          <w:p w14:paraId="3F34ECFC" w14:textId="77777777" w:rsidR="00FA7C95" w:rsidRPr="00E745AE" w:rsidRDefault="00FA7C95" w:rsidP="00E745AE">
            <w:pPr>
              <w:spacing w:after="0"/>
              <w:rPr>
                <w:bCs/>
                <w:iCs/>
                <w:szCs w:val="18"/>
              </w:rPr>
            </w:pPr>
            <w:r w:rsidRPr="00E745AE">
              <w:rPr>
                <w:bCs/>
                <w:iCs/>
                <w:szCs w:val="18"/>
              </w:rPr>
              <w:t>Općina Zlatar Bistrica</w:t>
            </w:r>
          </w:p>
        </w:tc>
        <w:tc>
          <w:tcPr>
            <w:tcW w:w="1519" w:type="dxa"/>
            <w:noWrap/>
            <w:vAlign w:val="center"/>
            <w:hideMark/>
          </w:tcPr>
          <w:p w14:paraId="6C74594F" w14:textId="77777777" w:rsidR="00FA7C95" w:rsidRPr="00E745AE" w:rsidRDefault="00FA7C95" w:rsidP="00505050">
            <w:pPr>
              <w:spacing w:after="0"/>
              <w:jc w:val="center"/>
              <w:rPr>
                <w:iCs/>
                <w:szCs w:val="18"/>
              </w:rPr>
            </w:pPr>
            <w:r w:rsidRPr="00E745AE">
              <w:rPr>
                <w:iCs/>
                <w:szCs w:val="18"/>
              </w:rPr>
              <w:t>7</w:t>
            </w:r>
          </w:p>
        </w:tc>
        <w:tc>
          <w:tcPr>
            <w:tcW w:w="872" w:type="dxa"/>
            <w:noWrap/>
            <w:vAlign w:val="center"/>
            <w:hideMark/>
          </w:tcPr>
          <w:p w14:paraId="46931CC4" w14:textId="77777777" w:rsidR="00FA7C95" w:rsidRPr="00E745AE" w:rsidRDefault="00FA7C95" w:rsidP="00505050">
            <w:pPr>
              <w:spacing w:after="0"/>
              <w:jc w:val="center"/>
              <w:rPr>
                <w:iCs/>
                <w:szCs w:val="18"/>
              </w:rPr>
            </w:pPr>
            <w:r w:rsidRPr="00E745AE">
              <w:rPr>
                <w:iCs/>
                <w:szCs w:val="18"/>
              </w:rPr>
              <w:t>7</w:t>
            </w:r>
          </w:p>
        </w:tc>
        <w:tc>
          <w:tcPr>
            <w:tcW w:w="871" w:type="dxa"/>
            <w:noWrap/>
            <w:vAlign w:val="center"/>
            <w:hideMark/>
          </w:tcPr>
          <w:p w14:paraId="14C368CB" w14:textId="77777777" w:rsidR="00FA7C95" w:rsidRPr="00E745AE" w:rsidRDefault="00FA7C95" w:rsidP="00505050">
            <w:pPr>
              <w:spacing w:after="0"/>
              <w:jc w:val="center"/>
              <w:rPr>
                <w:iCs/>
                <w:szCs w:val="18"/>
              </w:rPr>
            </w:pPr>
            <w:r w:rsidRPr="00E745AE">
              <w:rPr>
                <w:iCs/>
                <w:szCs w:val="18"/>
              </w:rPr>
              <w:t>6</w:t>
            </w:r>
          </w:p>
        </w:tc>
        <w:tc>
          <w:tcPr>
            <w:tcW w:w="872" w:type="dxa"/>
            <w:noWrap/>
            <w:vAlign w:val="center"/>
            <w:hideMark/>
          </w:tcPr>
          <w:p w14:paraId="2797E234" w14:textId="77777777" w:rsidR="00FA7C95" w:rsidRPr="00E745AE" w:rsidRDefault="00FA7C95" w:rsidP="00505050">
            <w:pPr>
              <w:spacing w:after="0"/>
              <w:jc w:val="center"/>
              <w:rPr>
                <w:iCs/>
                <w:szCs w:val="18"/>
              </w:rPr>
            </w:pPr>
            <w:r w:rsidRPr="00E745AE">
              <w:rPr>
                <w:iCs/>
                <w:szCs w:val="18"/>
              </w:rPr>
              <w:t>7</w:t>
            </w:r>
          </w:p>
        </w:tc>
        <w:tc>
          <w:tcPr>
            <w:tcW w:w="706" w:type="dxa"/>
          </w:tcPr>
          <w:p w14:paraId="2458EA76" w14:textId="1F4723FD" w:rsidR="00FA7C95" w:rsidRPr="00E745AE" w:rsidRDefault="004E7067" w:rsidP="00505050">
            <w:pPr>
              <w:spacing w:after="0"/>
              <w:jc w:val="center"/>
              <w:rPr>
                <w:iCs/>
                <w:szCs w:val="18"/>
              </w:rPr>
            </w:pPr>
            <w:r w:rsidRPr="00E745AE">
              <w:rPr>
                <w:iCs/>
                <w:szCs w:val="18"/>
              </w:rPr>
              <w:t>6</w:t>
            </w:r>
          </w:p>
        </w:tc>
        <w:tc>
          <w:tcPr>
            <w:tcW w:w="2746" w:type="dxa"/>
            <w:vAlign w:val="center"/>
            <w:hideMark/>
          </w:tcPr>
          <w:p w14:paraId="08CDB00C" w14:textId="0D69867C" w:rsidR="00FA7C95" w:rsidRPr="00E745AE" w:rsidRDefault="00FA7C95" w:rsidP="00505050">
            <w:pPr>
              <w:spacing w:after="0"/>
              <w:jc w:val="center"/>
              <w:rPr>
                <w:iCs/>
                <w:szCs w:val="18"/>
              </w:rPr>
            </w:pPr>
            <w:r w:rsidRPr="00E745AE">
              <w:rPr>
                <w:iCs/>
                <w:szCs w:val="18"/>
              </w:rPr>
              <w:t>papir, karton, plastika, staklo, odjeća</w:t>
            </w:r>
          </w:p>
        </w:tc>
      </w:tr>
      <w:tr w:rsidR="00FA7C95" w:rsidRPr="00E745AE" w14:paraId="5D408FA7" w14:textId="77777777" w:rsidTr="00505050">
        <w:trPr>
          <w:trHeight w:val="284"/>
        </w:trPr>
        <w:tc>
          <w:tcPr>
            <w:tcW w:w="1823" w:type="dxa"/>
            <w:noWrap/>
            <w:vAlign w:val="center"/>
            <w:hideMark/>
          </w:tcPr>
          <w:p w14:paraId="2BCB4A21" w14:textId="77777777" w:rsidR="00FA7C95" w:rsidRPr="00E745AE" w:rsidRDefault="00FA7C95" w:rsidP="00E745AE">
            <w:pPr>
              <w:spacing w:after="0"/>
              <w:rPr>
                <w:bCs/>
                <w:iCs/>
                <w:szCs w:val="18"/>
              </w:rPr>
            </w:pPr>
            <w:r w:rsidRPr="00E745AE">
              <w:rPr>
                <w:bCs/>
                <w:iCs/>
                <w:szCs w:val="18"/>
              </w:rPr>
              <w:t>Općina Zagorska Sela</w:t>
            </w:r>
          </w:p>
        </w:tc>
        <w:tc>
          <w:tcPr>
            <w:tcW w:w="1519" w:type="dxa"/>
            <w:noWrap/>
            <w:vAlign w:val="center"/>
            <w:hideMark/>
          </w:tcPr>
          <w:p w14:paraId="30E7A583"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41C55E0B" w14:textId="77777777" w:rsidR="00FA7C95" w:rsidRPr="00E745AE" w:rsidRDefault="00FA7C95" w:rsidP="00505050">
            <w:pPr>
              <w:spacing w:after="0"/>
              <w:jc w:val="center"/>
              <w:rPr>
                <w:iCs/>
                <w:szCs w:val="18"/>
              </w:rPr>
            </w:pPr>
            <w:r w:rsidRPr="00E745AE">
              <w:rPr>
                <w:iCs/>
                <w:szCs w:val="18"/>
              </w:rPr>
              <w:t>7</w:t>
            </w:r>
          </w:p>
        </w:tc>
        <w:tc>
          <w:tcPr>
            <w:tcW w:w="871" w:type="dxa"/>
            <w:noWrap/>
            <w:vAlign w:val="center"/>
            <w:hideMark/>
          </w:tcPr>
          <w:p w14:paraId="4BB5A277" w14:textId="77777777" w:rsidR="00FA7C95" w:rsidRPr="00E745AE" w:rsidRDefault="00FA7C95" w:rsidP="00505050">
            <w:pPr>
              <w:spacing w:after="0"/>
              <w:jc w:val="center"/>
              <w:rPr>
                <w:iCs/>
                <w:szCs w:val="18"/>
              </w:rPr>
            </w:pPr>
            <w:r w:rsidRPr="00E745AE">
              <w:rPr>
                <w:iCs/>
                <w:szCs w:val="18"/>
              </w:rPr>
              <w:t>2</w:t>
            </w:r>
          </w:p>
        </w:tc>
        <w:tc>
          <w:tcPr>
            <w:tcW w:w="872" w:type="dxa"/>
            <w:noWrap/>
            <w:vAlign w:val="center"/>
            <w:hideMark/>
          </w:tcPr>
          <w:p w14:paraId="12267A3D" w14:textId="77777777" w:rsidR="00FA7C95" w:rsidRPr="00E745AE" w:rsidRDefault="00FA7C95" w:rsidP="00505050">
            <w:pPr>
              <w:spacing w:after="0"/>
              <w:jc w:val="center"/>
              <w:rPr>
                <w:iCs/>
                <w:szCs w:val="18"/>
              </w:rPr>
            </w:pPr>
            <w:r w:rsidRPr="00E745AE">
              <w:rPr>
                <w:iCs/>
                <w:szCs w:val="18"/>
              </w:rPr>
              <w:t>2</w:t>
            </w:r>
          </w:p>
        </w:tc>
        <w:tc>
          <w:tcPr>
            <w:tcW w:w="706" w:type="dxa"/>
          </w:tcPr>
          <w:p w14:paraId="3F6071B0" w14:textId="073C749C" w:rsidR="00FA7C95" w:rsidRPr="00E745AE" w:rsidRDefault="004E7067" w:rsidP="00505050">
            <w:pPr>
              <w:spacing w:after="0"/>
              <w:jc w:val="center"/>
              <w:rPr>
                <w:iCs/>
                <w:szCs w:val="18"/>
              </w:rPr>
            </w:pPr>
            <w:r w:rsidRPr="00E745AE">
              <w:rPr>
                <w:iCs/>
                <w:szCs w:val="18"/>
              </w:rPr>
              <w:t>2</w:t>
            </w:r>
          </w:p>
        </w:tc>
        <w:tc>
          <w:tcPr>
            <w:tcW w:w="2746" w:type="dxa"/>
            <w:vAlign w:val="center"/>
            <w:hideMark/>
          </w:tcPr>
          <w:p w14:paraId="692C22D1" w14:textId="0227792D" w:rsidR="00FA7C95" w:rsidRPr="00E745AE" w:rsidRDefault="00FA7C95" w:rsidP="00505050">
            <w:pPr>
              <w:spacing w:after="0"/>
              <w:jc w:val="center"/>
              <w:rPr>
                <w:iCs/>
                <w:szCs w:val="18"/>
              </w:rPr>
            </w:pPr>
            <w:r w:rsidRPr="00E745AE">
              <w:rPr>
                <w:iCs/>
                <w:szCs w:val="18"/>
              </w:rPr>
              <w:t>papir, karton, plastika, staklo</w:t>
            </w:r>
          </w:p>
        </w:tc>
      </w:tr>
      <w:tr w:rsidR="00FA7C95" w:rsidRPr="00E745AE" w14:paraId="6397CC55" w14:textId="77777777" w:rsidTr="00505050">
        <w:trPr>
          <w:trHeight w:val="284"/>
        </w:trPr>
        <w:tc>
          <w:tcPr>
            <w:tcW w:w="1823" w:type="dxa"/>
            <w:noWrap/>
            <w:vAlign w:val="center"/>
            <w:hideMark/>
          </w:tcPr>
          <w:p w14:paraId="10D3F0CF" w14:textId="77777777" w:rsidR="00FA7C95" w:rsidRPr="00E745AE" w:rsidRDefault="00FA7C95" w:rsidP="00E745AE">
            <w:pPr>
              <w:spacing w:after="0"/>
              <w:rPr>
                <w:bCs/>
                <w:iCs/>
                <w:szCs w:val="18"/>
              </w:rPr>
            </w:pPr>
            <w:r w:rsidRPr="00E745AE">
              <w:rPr>
                <w:bCs/>
                <w:iCs/>
                <w:szCs w:val="18"/>
              </w:rPr>
              <w:t>UKUPNO:</w:t>
            </w:r>
          </w:p>
        </w:tc>
        <w:tc>
          <w:tcPr>
            <w:tcW w:w="1519" w:type="dxa"/>
            <w:noWrap/>
            <w:vAlign w:val="center"/>
            <w:hideMark/>
          </w:tcPr>
          <w:p w14:paraId="2DC9E155" w14:textId="77777777" w:rsidR="00FA7C95" w:rsidRPr="00E745AE" w:rsidRDefault="00FA7C95" w:rsidP="00505050">
            <w:pPr>
              <w:spacing w:after="0"/>
              <w:jc w:val="center"/>
              <w:rPr>
                <w:bCs/>
                <w:iCs/>
                <w:szCs w:val="18"/>
              </w:rPr>
            </w:pPr>
            <w:r w:rsidRPr="00E745AE">
              <w:rPr>
                <w:bCs/>
                <w:iCs/>
                <w:szCs w:val="18"/>
              </w:rPr>
              <w:t>207</w:t>
            </w:r>
          </w:p>
        </w:tc>
        <w:tc>
          <w:tcPr>
            <w:tcW w:w="872" w:type="dxa"/>
            <w:noWrap/>
            <w:vAlign w:val="center"/>
            <w:hideMark/>
          </w:tcPr>
          <w:p w14:paraId="34D65332" w14:textId="77777777" w:rsidR="00FA7C95" w:rsidRPr="00E745AE" w:rsidRDefault="00FA7C95" w:rsidP="00505050">
            <w:pPr>
              <w:spacing w:after="0"/>
              <w:jc w:val="center"/>
              <w:rPr>
                <w:bCs/>
                <w:iCs/>
                <w:szCs w:val="18"/>
              </w:rPr>
            </w:pPr>
            <w:r w:rsidRPr="00E745AE">
              <w:rPr>
                <w:bCs/>
                <w:iCs/>
                <w:szCs w:val="18"/>
              </w:rPr>
              <w:t>217</w:t>
            </w:r>
          </w:p>
        </w:tc>
        <w:tc>
          <w:tcPr>
            <w:tcW w:w="871" w:type="dxa"/>
            <w:noWrap/>
            <w:vAlign w:val="center"/>
            <w:hideMark/>
          </w:tcPr>
          <w:p w14:paraId="1D426C6C" w14:textId="77777777" w:rsidR="00FA7C95" w:rsidRPr="00E745AE" w:rsidRDefault="00FA7C95" w:rsidP="00505050">
            <w:pPr>
              <w:spacing w:after="0"/>
              <w:jc w:val="center"/>
              <w:rPr>
                <w:bCs/>
                <w:iCs/>
                <w:szCs w:val="18"/>
              </w:rPr>
            </w:pPr>
            <w:r w:rsidRPr="00E745AE">
              <w:rPr>
                <w:bCs/>
                <w:iCs/>
                <w:szCs w:val="18"/>
              </w:rPr>
              <w:t>198</w:t>
            </w:r>
          </w:p>
        </w:tc>
        <w:tc>
          <w:tcPr>
            <w:tcW w:w="872" w:type="dxa"/>
            <w:noWrap/>
            <w:vAlign w:val="center"/>
            <w:hideMark/>
          </w:tcPr>
          <w:p w14:paraId="18463B1C" w14:textId="77777777" w:rsidR="00FA7C95" w:rsidRPr="00E745AE" w:rsidRDefault="00FA7C95" w:rsidP="00505050">
            <w:pPr>
              <w:spacing w:after="0"/>
              <w:jc w:val="center"/>
              <w:rPr>
                <w:bCs/>
                <w:iCs/>
                <w:szCs w:val="18"/>
              </w:rPr>
            </w:pPr>
            <w:r w:rsidRPr="00E745AE">
              <w:rPr>
                <w:bCs/>
                <w:iCs/>
                <w:szCs w:val="18"/>
              </w:rPr>
              <w:t>202</w:t>
            </w:r>
          </w:p>
        </w:tc>
        <w:tc>
          <w:tcPr>
            <w:tcW w:w="706" w:type="dxa"/>
          </w:tcPr>
          <w:p w14:paraId="10BE20B2" w14:textId="580FF0B9" w:rsidR="00FA7C95" w:rsidRPr="00E745AE" w:rsidRDefault="004E7067" w:rsidP="00505050">
            <w:pPr>
              <w:spacing w:after="0"/>
              <w:jc w:val="center"/>
              <w:rPr>
                <w:bCs/>
                <w:iCs/>
                <w:szCs w:val="18"/>
              </w:rPr>
            </w:pPr>
            <w:r w:rsidRPr="00E745AE">
              <w:rPr>
                <w:bCs/>
                <w:iCs/>
                <w:szCs w:val="18"/>
              </w:rPr>
              <w:t>181</w:t>
            </w:r>
          </w:p>
        </w:tc>
        <w:tc>
          <w:tcPr>
            <w:tcW w:w="2746" w:type="dxa"/>
            <w:noWrap/>
            <w:vAlign w:val="center"/>
            <w:hideMark/>
          </w:tcPr>
          <w:p w14:paraId="59566CC6" w14:textId="71F64B92" w:rsidR="00FA7C95" w:rsidRPr="00E745AE" w:rsidRDefault="00FA7C95" w:rsidP="00505050">
            <w:pPr>
              <w:spacing w:after="0"/>
              <w:jc w:val="center"/>
              <w:rPr>
                <w:bCs/>
                <w:iCs/>
                <w:szCs w:val="18"/>
              </w:rPr>
            </w:pPr>
          </w:p>
        </w:tc>
      </w:tr>
    </w:tbl>
    <w:p w14:paraId="5186C201" w14:textId="6B2E00B6" w:rsidR="008878A0" w:rsidRPr="006D7B27" w:rsidRDefault="008878A0" w:rsidP="006D7B27">
      <w:pPr>
        <w:pStyle w:val="Izvor"/>
        <w:rPr>
          <w:i/>
          <w:color w:val="ABABAB" w:themeColor="text1" w:themeTint="A6"/>
          <w:sz w:val="16"/>
          <w:szCs w:val="16"/>
        </w:rPr>
      </w:pPr>
      <w:r w:rsidRPr="006D7B27">
        <w:rPr>
          <w:i/>
          <w:color w:val="ABABAB" w:themeColor="text1" w:themeTint="A6"/>
          <w:sz w:val="16"/>
          <w:szCs w:val="16"/>
        </w:rPr>
        <w:t xml:space="preserve">Izvor: </w:t>
      </w:r>
      <w:r w:rsidR="008D185C" w:rsidRPr="006D7B27">
        <w:rPr>
          <w:i/>
          <w:color w:val="ABABAB" w:themeColor="text1" w:themeTint="A6"/>
          <w:sz w:val="16"/>
          <w:szCs w:val="16"/>
        </w:rPr>
        <w:t>Jedinice lokalne samouprave KZŽ</w:t>
      </w:r>
      <w:r w:rsidR="00505050">
        <w:rPr>
          <w:i/>
          <w:color w:val="ABABAB" w:themeColor="text1" w:themeTint="A6"/>
          <w:sz w:val="16"/>
          <w:szCs w:val="16"/>
        </w:rPr>
        <w:t>, 2019</w:t>
      </w:r>
    </w:p>
    <w:p w14:paraId="66BC61B5" w14:textId="77777777" w:rsidR="00FB7B93" w:rsidRDefault="00FB7B93" w:rsidP="00941871">
      <w:pPr>
        <w:rPr>
          <w:rFonts w:asciiTheme="minorHAnsi" w:hAnsiTheme="minorHAnsi"/>
          <w:i/>
          <w:iCs/>
          <w:sz w:val="22"/>
          <w:szCs w:val="22"/>
        </w:rPr>
      </w:pPr>
    </w:p>
    <w:p w14:paraId="39CD7422" w14:textId="3C6C6393" w:rsidR="008878A0" w:rsidRDefault="008878A0" w:rsidP="00941871">
      <w:r>
        <w:t xml:space="preserve">Odvojeno prikupljanja otpada </w:t>
      </w:r>
      <w:r w:rsidR="008D185C">
        <w:t>u svrhu adekvatnog iskorištavanja</w:t>
      </w:r>
      <w:r>
        <w:t xml:space="preserve"> osigurale su gotovo sve jedinice lokalne samouprave kroz odvojeno prikupljanje na kućnom pragu, putem dodatne kante ili posebne dodatne vreće čime se osiguralo odvojeno prikupljanje papira, kartona, tetrapaka, plastike, metalne ambalaže i stakla. Prema informacijama dobivenima od </w:t>
      </w:r>
      <w:r w:rsidR="005C7EAD">
        <w:t>relevantnih dionika</w:t>
      </w:r>
      <w:r>
        <w:t>, postoji problem s preuzimanjem sortiranog otpada, pri čemu se prikupljeni sortirani otpad neadekvatno zbrinjava i reciklira.</w:t>
      </w:r>
    </w:p>
    <w:p w14:paraId="03A041BF" w14:textId="03F5E680" w:rsidR="006D7FB2" w:rsidRDefault="00081C91" w:rsidP="00941871">
      <w:r>
        <w:t>Na području Krapinsko-zagorske županije</w:t>
      </w:r>
      <w:r w:rsidR="006D7FB2">
        <w:t xml:space="preserve"> od siječnja 2017. do konca 2019.</w:t>
      </w:r>
      <w:r>
        <w:t xml:space="preserve"> </w:t>
      </w:r>
      <w:r w:rsidR="006D7FB2">
        <w:t xml:space="preserve">godine </w:t>
      </w:r>
      <w:r>
        <w:t>otvorena su</w:t>
      </w:r>
      <w:r w:rsidR="006D7FB2">
        <w:t xml:space="preserve"> četiri</w:t>
      </w:r>
      <w:r>
        <w:t xml:space="preserve"> reciklažna dvorišta</w:t>
      </w:r>
      <w:r w:rsidR="006D7FB2">
        <w:t xml:space="preserve"> - </w:t>
      </w:r>
      <w:r>
        <w:t xml:space="preserve"> u </w:t>
      </w:r>
      <w:r w:rsidR="00290FFD">
        <w:t>Krapini, Jertovcu</w:t>
      </w:r>
      <w:r w:rsidR="00073ED9">
        <w:t>, Krapinskim Toplicama te St</w:t>
      </w:r>
      <w:r w:rsidR="006D7FB2">
        <w:t>u</w:t>
      </w:r>
      <w:r w:rsidR="00073ED9">
        <w:t>bičkim Toplicama</w:t>
      </w:r>
      <w:r w:rsidR="006D7FB2">
        <w:t xml:space="preserve">. </w:t>
      </w:r>
      <w:r w:rsidR="003757AE">
        <w:t>U svrhu u</w:t>
      </w:r>
      <w:r w:rsidR="006D7FB2">
        <w:t>spostav</w:t>
      </w:r>
      <w:r w:rsidR="003757AE">
        <w:t>e</w:t>
      </w:r>
      <w:r w:rsidR="006D7FB2">
        <w:t xml:space="preserve"> reciklažnih dvorišta</w:t>
      </w:r>
      <w:r w:rsidR="003757AE">
        <w:t xml:space="preserve">, to jest, </w:t>
      </w:r>
      <w:r w:rsidR="003757AE" w:rsidRPr="00FE0A95">
        <w:t>za aktivnosti građenja i opremanja reciklažnih dvorišta odnosno nabavu mobilnih jedinica u smislu čl. 35 Zakona o održivom gospodarenju otpadom</w:t>
      </w:r>
      <w:r w:rsidR="003757AE">
        <w:t xml:space="preserve"> dodijeljena su bespovratna sredstva Europske unije. </w:t>
      </w:r>
    </w:p>
    <w:p w14:paraId="6BAA7234" w14:textId="77777777" w:rsidR="00E745AE" w:rsidRDefault="00E745AE" w:rsidP="00E745AE"/>
    <w:p w14:paraId="21511BBA" w14:textId="0B12E1B0" w:rsidR="008878A0" w:rsidRDefault="006D7B27" w:rsidP="0052192B">
      <w:pPr>
        <w:pStyle w:val="Naslov2"/>
      </w:pPr>
      <w:bookmarkStart w:id="217" w:name="_Toc85181368"/>
      <w:r>
        <w:t>1</w:t>
      </w:r>
      <w:r w:rsidR="004840B8">
        <w:t>3</w:t>
      </w:r>
      <w:r w:rsidR="008878A0">
        <w:t>.</w:t>
      </w:r>
      <w:r w:rsidR="00B24905">
        <w:t>2</w:t>
      </w:r>
      <w:r w:rsidR="008878A0">
        <w:t>. Kvaliteta zraka</w:t>
      </w:r>
      <w:bookmarkEnd w:id="217"/>
    </w:p>
    <w:p w14:paraId="66F7E7E6" w14:textId="77777777" w:rsidR="00D452D4" w:rsidRPr="00D452D4" w:rsidRDefault="00D452D4" w:rsidP="00D452D4"/>
    <w:p w14:paraId="2E8B88E7" w14:textId="577C8213" w:rsidR="008878A0" w:rsidRDefault="008878A0" w:rsidP="00941871">
      <w:r>
        <w:t>Od 1. siječnja 2019. godine Ministarstvo zaštite okoliša i energetike preuzelo je zaposlenike, poslove, prava i obveze Hrvatske agencije za okoliš i prirodu (HAOP). Na temelju Zakona o zaštiti zraka (Narodne novine, br. 130/11, 47/14, 61/17, 118/18), i Pravilnika o praćenju emisija onečišćujućih tvari u zrak iz nepokretnih izvora (Narodne novine, br. 129/12, 97/13), jedna od obveza je izrada godišnjeg izvješća o praćenju emisija onečišćujućih tvari u zrak iz nepokretnih izvora na teritoriju Republike Hrvatske.</w:t>
      </w:r>
    </w:p>
    <w:p w14:paraId="3A0FC981" w14:textId="07E2E836" w:rsidR="008878A0" w:rsidRDefault="008878A0" w:rsidP="00941871">
      <w:r>
        <w:t>Obaveze mjerenja onečišćenja zraka propisane su Zakonom o zaštiti zraka, Pravilnikom o praćenju emisija onečišćujućih tvari u zrak iz nepokretnih izvora i Uredbom o graničnim vrijednostima emisija onečišćujućih tvari u zrak iz nepokretnih izvora. Obveznici provođenja mjerenja ispuštanja su subjekti koji obavljaju djelatnost u kojoj dolazi do onečišćenja zraka i ima</w:t>
      </w:r>
      <w:r w:rsidR="00D526DA">
        <w:t>ju</w:t>
      </w:r>
      <w:r>
        <w:t xml:space="preserve"> u svojoj djelatnosti ispust (dimovodni kanal) za odvod onečišćujućih tvari u zrak. Učestalost mjerenja te popis onečišćujućih tvari koje se mjere regulirani su gore navedenim propisima. Prema postojećim propisima u Krapinsko-zagorskoj županiji ni jedan poslovni subjekt nema obavezu provoditi kontinuirana mjerenja emisija.</w:t>
      </w:r>
    </w:p>
    <w:p w14:paraId="0AB22D90" w14:textId="50EA20CC" w:rsidR="008878A0" w:rsidRDefault="008878A0" w:rsidP="00941871">
      <w:r>
        <w:t xml:space="preserve">Obveznici povremenih mjerenja (njih oko 150) dužni su </w:t>
      </w:r>
      <w:r w:rsidR="00D526DA">
        <w:t xml:space="preserve">Agenciji za zaštitu okoliša </w:t>
      </w:r>
      <w:r>
        <w:t>dostaviti izvještaj o obavljenim mjerenjima do 31. ožujka tekuće godine za proteklu kalendarsku godinu</w:t>
      </w:r>
      <w:r w:rsidR="00D526DA">
        <w:t>.</w:t>
      </w:r>
      <w:r>
        <w:t xml:space="preserve"> </w:t>
      </w:r>
      <w:r w:rsidR="00D526DA">
        <w:t>Ukoliko</w:t>
      </w:r>
      <w:r>
        <w:t xml:space="preserve"> prelaze godišnji prag ispuštanja propisan pravilnikom o Registru onečišćavanja okoliša podatke </w:t>
      </w:r>
      <w:r w:rsidR="00D526DA">
        <w:t>o tome moraju</w:t>
      </w:r>
      <w:r>
        <w:t xml:space="preserve"> dostaviti u Registar. Budući da je 2015. stupio na snagu stupio novi Pravilnik o Registru onečišćavanja okoliša (NN, 87/15) kojim je povećan prag ispuštanja onečišćujućih tvari za prijavu u Registar, broj obveznika će se znatno smanjiti. Po podacima iz Registra onečišćavanja okoliša iz 2017. godine, u Krapinsko-zagorskoj županiji bilo je 13 operatera obveznika.</w:t>
      </w:r>
    </w:p>
    <w:p w14:paraId="708A9CAA" w14:textId="075043B4" w:rsidR="008878A0" w:rsidRDefault="008878A0" w:rsidP="00941871">
      <w:r>
        <w:t xml:space="preserve">Uredbom o određivanju zona i aglomeracija prema razinama onečišćenosti zraka na teritoriju Republike Hrvatske (NN 1/14) određeno je 5 zona i 4 aglomeracije za potrebe praćenja kvalitete zraka. Krapinsko–zagorska županija svrstana je u zonu HR1 – Kontinentalna Hrvatska zajedno s Osječko-baranjskom županijom (izuzimajući </w:t>
      </w:r>
      <w:r w:rsidR="00D00692">
        <w:t xml:space="preserve">osječku </w:t>
      </w:r>
      <w:r>
        <w:t xml:space="preserve">aglomeraciju HR OS), Požeško-slavonskom </w:t>
      </w:r>
      <w:r>
        <w:lastRenderedPageBreak/>
        <w:t xml:space="preserve">županijom, Virovitičko-podravskom županijom, Vukovarsko srijemskom županijom, Bjelovarsko-bilogorskom županijom, Koprivničko-križevačkom županijom, Međimurskom županijom, Varaždinskom županijom te Zagrebačkom županija (izuzimajući </w:t>
      </w:r>
      <w:r w:rsidR="00D00692">
        <w:t xml:space="preserve">zagrebačku </w:t>
      </w:r>
      <w:r>
        <w:t>aglomeraciju HR ZG). Za zonu HR1- razina onečišćenosti zraka niža je od gornjeg praga procjene</w:t>
      </w:r>
      <w:r w:rsidR="00203385">
        <w:t xml:space="preserve"> po svim onečišćujućim tvarima. Koncentracij</w:t>
      </w:r>
      <w:r w:rsidR="000D371D">
        <w:t>e</w:t>
      </w:r>
      <w:r>
        <w:t xml:space="preserve"> </w:t>
      </w:r>
      <w:r w:rsidR="00203385">
        <w:t>SO</w:t>
      </w:r>
      <w:r w:rsidR="00203385" w:rsidRPr="00203385">
        <w:rPr>
          <w:vertAlign w:val="subscript"/>
        </w:rPr>
        <w:t>2</w:t>
      </w:r>
      <w:r w:rsidR="00203385">
        <w:t xml:space="preserve"> i </w:t>
      </w:r>
      <w:r>
        <w:t>NO</w:t>
      </w:r>
      <w:r w:rsidRPr="00203385">
        <w:rPr>
          <w:vertAlign w:val="subscript"/>
        </w:rPr>
        <w:t>2</w:t>
      </w:r>
      <w:r>
        <w:t xml:space="preserve"> niž</w:t>
      </w:r>
      <w:r w:rsidR="000D371D">
        <w:t>e</w:t>
      </w:r>
      <w:r>
        <w:t xml:space="preserve"> </w:t>
      </w:r>
      <w:r w:rsidR="000D371D">
        <w:t>su</w:t>
      </w:r>
      <w:r>
        <w:t xml:space="preserve"> od donjeg praga procjene, razina PM10 niža je od gornjeg prag</w:t>
      </w:r>
      <w:r w:rsidR="00FE451F">
        <w:t>a</w:t>
      </w:r>
      <w:r>
        <w:t xml:space="preserve"> procjene, razin</w:t>
      </w:r>
      <w:r w:rsidR="000D371D">
        <w:t>e</w:t>
      </w:r>
      <w:r>
        <w:t xml:space="preserve"> benzen</w:t>
      </w:r>
      <w:r w:rsidR="00447DB9">
        <w:t>a i</w:t>
      </w:r>
      <w:r>
        <w:t xml:space="preserve"> benzo(a) pirena niž</w:t>
      </w:r>
      <w:r w:rsidR="000D371D">
        <w:t>e</w:t>
      </w:r>
      <w:r>
        <w:t xml:space="preserve"> </w:t>
      </w:r>
      <w:r w:rsidR="000D371D">
        <w:t>su</w:t>
      </w:r>
      <w:r>
        <w:t xml:space="preserve"> od donjeg praga procjene, razin</w:t>
      </w:r>
      <w:r w:rsidR="000D371D">
        <w:t>e</w:t>
      </w:r>
      <w:r>
        <w:t xml:space="preserve"> Pb, As, Cd, Ni niž</w:t>
      </w:r>
      <w:r w:rsidR="000D371D">
        <w:t>e</w:t>
      </w:r>
      <w:r>
        <w:t xml:space="preserve"> </w:t>
      </w:r>
      <w:r w:rsidR="000D371D">
        <w:t>su</w:t>
      </w:r>
      <w:r>
        <w:t xml:space="preserve"> od donjeg praga procjene, razin</w:t>
      </w:r>
      <w:r w:rsidR="004C75A2">
        <w:t>a</w:t>
      </w:r>
      <w:r>
        <w:t xml:space="preserve"> CO niža je od donjeg praga procjene,</w:t>
      </w:r>
      <w:r w:rsidR="004C75A2">
        <w:t xml:space="preserve"> razina</w:t>
      </w:r>
      <w:r>
        <w:t xml:space="preserve"> O</w:t>
      </w:r>
      <w:r>
        <w:rPr>
          <w:vertAlign w:val="subscript"/>
        </w:rPr>
        <w:t>3</w:t>
      </w:r>
      <w:r>
        <w:t xml:space="preserve"> viša je od dugoročnih ciljeva za prizemni ozon, </w:t>
      </w:r>
      <w:r w:rsidR="004C75A2">
        <w:t xml:space="preserve">a </w:t>
      </w:r>
      <w:r>
        <w:t xml:space="preserve">Hg </w:t>
      </w:r>
      <w:r w:rsidR="004C75A2">
        <w:t xml:space="preserve">je </w:t>
      </w:r>
      <w:r>
        <w:t xml:space="preserve">niža od granične vrijednosti. Razina onečišćenosti zraka po onečišćujućim tvarima s obzirom na zaštitu vegetacije </w:t>
      </w:r>
      <w:r w:rsidR="004C75A2">
        <w:t xml:space="preserve">također je niža od donjeg praga procjene po svim onečišćujućim tvarima. Razine </w:t>
      </w:r>
      <w:r>
        <w:t>SO</w:t>
      </w:r>
      <w:r w:rsidRPr="004C75A2">
        <w:rPr>
          <w:vertAlign w:val="subscript"/>
        </w:rPr>
        <w:t>2</w:t>
      </w:r>
      <w:r>
        <w:t xml:space="preserve"> </w:t>
      </w:r>
      <w:r w:rsidR="009D2095">
        <w:t>i NO</w:t>
      </w:r>
      <w:r w:rsidR="009D2095">
        <w:rPr>
          <w:vertAlign w:val="subscript"/>
        </w:rPr>
        <w:t>x</w:t>
      </w:r>
      <w:r w:rsidR="009D2095">
        <w:t xml:space="preserve"> niže su</w:t>
      </w:r>
      <w:r>
        <w:t xml:space="preserve"> od donjeg praga procjene, a AOT40 parametar viš</w:t>
      </w:r>
      <w:r w:rsidR="009D2095">
        <w:t>i</w:t>
      </w:r>
      <w:r>
        <w:t xml:space="preserve"> je od dugoročnih ciljeva za prizemni ozon (AOT40 parametar).</w:t>
      </w:r>
    </w:p>
    <w:p w14:paraId="081A4932" w14:textId="63FD38EA" w:rsidR="00E745AE" w:rsidRDefault="008878A0" w:rsidP="00E745AE">
      <w:r>
        <w:t>U Krapinsko-zagorskoj županiji za ocjenu onečišćenosti za 2017. godinu uzeti su podaci s mjerne postaje Desinić. Prema tablici kvalitete zraka u zoni HR1, zrak je bio I kategorije s obzirom na sljedeće onečišćujuće tvari: PM10 (auto.), PM2,5 (auto.) i SO</w:t>
      </w:r>
      <w:r>
        <w:rPr>
          <w:vertAlign w:val="subscript"/>
        </w:rPr>
        <w:t>2</w:t>
      </w:r>
      <w:r>
        <w:t>. Zrak je s obzirom na količine O</w:t>
      </w:r>
      <w:r>
        <w:rPr>
          <w:vertAlign w:val="subscript"/>
        </w:rPr>
        <w:t>3</w:t>
      </w:r>
      <w:r>
        <w:t xml:space="preserve"> svrstan u II kategoriju. </w:t>
      </w:r>
    </w:p>
    <w:p w14:paraId="047D52E3" w14:textId="77777777" w:rsidR="00FB7B93" w:rsidRPr="00E745AE" w:rsidRDefault="00FB7B93" w:rsidP="00E745AE"/>
    <w:p w14:paraId="42F72D90" w14:textId="4B6638B3" w:rsidR="008878A0" w:rsidRDefault="008878A0" w:rsidP="003E3F3C">
      <w:pPr>
        <w:pStyle w:val="Opisslike"/>
      </w:pPr>
      <w:r>
        <w:t>Tablica</w:t>
      </w:r>
      <w:r w:rsidR="006D7B27">
        <w:rPr>
          <w:noProof/>
        </w:rPr>
        <w:t xml:space="preserve"> 1</w:t>
      </w:r>
      <w:r w:rsidR="00741E4F">
        <w:rPr>
          <w:noProof/>
        </w:rPr>
        <w:t>80</w:t>
      </w:r>
      <w:r w:rsidR="00FE451F">
        <w:rPr>
          <w:noProof/>
        </w:rPr>
        <w:t>.</w:t>
      </w:r>
      <w:r>
        <w:t xml:space="preserve"> Ukupna količina ispuštanja onečišćujućih tvari u zrak</w:t>
      </w:r>
    </w:p>
    <w:tbl>
      <w:tblPr>
        <w:tblW w:w="0" w:type="auto"/>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2198"/>
        <w:gridCol w:w="1005"/>
        <w:gridCol w:w="1019"/>
        <w:gridCol w:w="1019"/>
        <w:gridCol w:w="903"/>
        <w:gridCol w:w="976"/>
        <w:gridCol w:w="976"/>
        <w:gridCol w:w="976"/>
      </w:tblGrid>
      <w:tr w:rsidR="008878A0" w:rsidRPr="00D452D4" w14:paraId="5C1C0293" w14:textId="77777777" w:rsidTr="0084585F">
        <w:trPr>
          <w:trHeight w:val="915"/>
        </w:trPr>
        <w:tc>
          <w:tcPr>
            <w:tcW w:w="2198" w:type="dxa"/>
            <w:tcBorders>
              <w:right w:val="single" w:sz="4" w:space="0" w:color="FFFFFF" w:themeColor="background1"/>
            </w:tcBorders>
            <w:shd w:val="clear" w:color="auto" w:fill="D2232A" w:themeFill="accent1"/>
            <w:vAlign w:val="center"/>
            <w:hideMark/>
          </w:tcPr>
          <w:p w14:paraId="1F9BD444" w14:textId="77777777" w:rsidR="008878A0" w:rsidRPr="00D452D4" w:rsidRDefault="008878A0" w:rsidP="00D452D4">
            <w:pPr>
              <w:spacing w:after="0"/>
              <w:jc w:val="left"/>
              <w:rPr>
                <w:b/>
                <w:bCs/>
                <w:noProof/>
                <w:color w:val="FFFFFF" w:themeColor="background1"/>
                <w:szCs w:val="18"/>
                <w:lang w:val="en-GB"/>
              </w:rPr>
            </w:pPr>
            <w:r w:rsidRPr="00D452D4">
              <w:rPr>
                <w:b/>
                <w:bCs/>
                <w:noProof/>
                <w:color w:val="FFFFFF" w:themeColor="background1"/>
                <w:szCs w:val="18"/>
              </w:rPr>
              <w:t>Industrijska djelatnost/ Ispuštanje onečišćujućih stvari</w:t>
            </w:r>
          </w:p>
        </w:tc>
        <w:tc>
          <w:tcPr>
            <w:tcW w:w="1005" w:type="dxa"/>
            <w:vMerge w:val="restart"/>
            <w:tcBorders>
              <w:left w:val="single" w:sz="4" w:space="0" w:color="FFFFFF" w:themeColor="background1"/>
              <w:right w:val="single" w:sz="4" w:space="0" w:color="FFFFFF" w:themeColor="background1"/>
            </w:tcBorders>
            <w:shd w:val="clear" w:color="auto" w:fill="D2232A" w:themeFill="accent1"/>
            <w:noWrap/>
            <w:vAlign w:val="center"/>
            <w:hideMark/>
          </w:tcPr>
          <w:p w14:paraId="382AFE35" w14:textId="77777777" w:rsidR="008878A0" w:rsidRPr="00D452D4" w:rsidRDefault="008878A0" w:rsidP="007F2B15">
            <w:pPr>
              <w:spacing w:after="0"/>
              <w:jc w:val="center"/>
              <w:rPr>
                <w:b/>
                <w:bCs/>
                <w:noProof/>
                <w:color w:val="FFFFFF" w:themeColor="background1"/>
                <w:szCs w:val="18"/>
              </w:rPr>
            </w:pPr>
            <w:r w:rsidRPr="00D452D4">
              <w:rPr>
                <w:b/>
                <w:bCs/>
                <w:noProof/>
                <w:color w:val="FFFFFF" w:themeColor="background1"/>
                <w:szCs w:val="18"/>
              </w:rPr>
              <w:t>2011.</w:t>
            </w:r>
          </w:p>
        </w:tc>
        <w:tc>
          <w:tcPr>
            <w:tcW w:w="1019" w:type="dxa"/>
            <w:vMerge w:val="restart"/>
            <w:tcBorders>
              <w:left w:val="single" w:sz="4" w:space="0" w:color="FFFFFF" w:themeColor="background1"/>
              <w:right w:val="single" w:sz="4" w:space="0" w:color="FFFFFF" w:themeColor="background1"/>
            </w:tcBorders>
            <w:shd w:val="clear" w:color="auto" w:fill="D2232A" w:themeFill="accent1"/>
            <w:noWrap/>
            <w:vAlign w:val="center"/>
            <w:hideMark/>
          </w:tcPr>
          <w:p w14:paraId="6467185C" w14:textId="77777777" w:rsidR="008878A0" w:rsidRPr="00D452D4" w:rsidRDefault="008878A0" w:rsidP="007F2B15">
            <w:pPr>
              <w:spacing w:after="0"/>
              <w:jc w:val="center"/>
              <w:rPr>
                <w:b/>
                <w:bCs/>
                <w:noProof/>
                <w:color w:val="FFFFFF" w:themeColor="background1"/>
                <w:szCs w:val="18"/>
              </w:rPr>
            </w:pPr>
            <w:r w:rsidRPr="00D452D4">
              <w:rPr>
                <w:b/>
                <w:bCs/>
                <w:noProof/>
                <w:color w:val="FFFFFF" w:themeColor="background1"/>
                <w:szCs w:val="18"/>
              </w:rPr>
              <w:t>2012.</w:t>
            </w:r>
          </w:p>
        </w:tc>
        <w:tc>
          <w:tcPr>
            <w:tcW w:w="1019" w:type="dxa"/>
            <w:vMerge w:val="restart"/>
            <w:tcBorders>
              <w:left w:val="single" w:sz="4" w:space="0" w:color="FFFFFF" w:themeColor="background1"/>
              <w:right w:val="single" w:sz="4" w:space="0" w:color="FFFFFF" w:themeColor="background1"/>
            </w:tcBorders>
            <w:shd w:val="clear" w:color="auto" w:fill="D2232A" w:themeFill="accent1"/>
            <w:noWrap/>
            <w:vAlign w:val="center"/>
            <w:hideMark/>
          </w:tcPr>
          <w:p w14:paraId="621E6AD8" w14:textId="77777777" w:rsidR="008878A0" w:rsidRPr="00D452D4" w:rsidRDefault="008878A0" w:rsidP="007F2B15">
            <w:pPr>
              <w:spacing w:after="0"/>
              <w:jc w:val="center"/>
              <w:rPr>
                <w:b/>
                <w:bCs/>
                <w:noProof/>
                <w:color w:val="FFFFFF" w:themeColor="background1"/>
                <w:szCs w:val="18"/>
              </w:rPr>
            </w:pPr>
            <w:r w:rsidRPr="00D452D4">
              <w:rPr>
                <w:b/>
                <w:bCs/>
                <w:noProof/>
                <w:color w:val="FFFFFF" w:themeColor="background1"/>
                <w:szCs w:val="18"/>
              </w:rPr>
              <w:t>2013.</w:t>
            </w:r>
          </w:p>
        </w:tc>
        <w:tc>
          <w:tcPr>
            <w:tcW w:w="903" w:type="dxa"/>
            <w:vMerge w:val="restart"/>
            <w:tcBorders>
              <w:left w:val="single" w:sz="4" w:space="0" w:color="FFFFFF" w:themeColor="background1"/>
              <w:right w:val="single" w:sz="4" w:space="0" w:color="FFFFFF" w:themeColor="background1"/>
            </w:tcBorders>
            <w:shd w:val="clear" w:color="auto" w:fill="D2232A" w:themeFill="accent1"/>
            <w:noWrap/>
            <w:vAlign w:val="center"/>
            <w:hideMark/>
          </w:tcPr>
          <w:p w14:paraId="43F5D01D" w14:textId="77777777" w:rsidR="008878A0" w:rsidRPr="00D452D4" w:rsidRDefault="008878A0" w:rsidP="007F2B15">
            <w:pPr>
              <w:spacing w:after="0"/>
              <w:jc w:val="center"/>
              <w:rPr>
                <w:b/>
                <w:bCs/>
                <w:noProof/>
                <w:color w:val="FFFFFF" w:themeColor="background1"/>
                <w:szCs w:val="18"/>
              </w:rPr>
            </w:pPr>
            <w:r w:rsidRPr="00D452D4">
              <w:rPr>
                <w:b/>
                <w:bCs/>
                <w:noProof/>
                <w:color w:val="FFFFFF" w:themeColor="background1"/>
                <w:szCs w:val="18"/>
              </w:rPr>
              <w:t>2014.</w:t>
            </w:r>
          </w:p>
        </w:tc>
        <w:tc>
          <w:tcPr>
            <w:tcW w:w="976" w:type="dxa"/>
            <w:vMerge w:val="restart"/>
            <w:tcBorders>
              <w:left w:val="single" w:sz="4" w:space="0" w:color="FFFFFF" w:themeColor="background1"/>
              <w:right w:val="single" w:sz="4" w:space="0" w:color="FFFFFF" w:themeColor="background1"/>
            </w:tcBorders>
            <w:shd w:val="clear" w:color="auto" w:fill="D2232A" w:themeFill="accent1"/>
            <w:noWrap/>
            <w:vAlign w:val="center"/>
            <w:hideMark/>
          </w:tcPr>
          <w:p w14:paraId="483DB4BD" w14:textId="77777777" w:rsidR="008878A0" w:rsidRPr="00D452D4" w:rsidRDefault="008878A0" w:rsidP="007F2B15">
            <w:pPr>
              <w:spacing w:after="0"/>
              <w:jc w:val="center"/>
              <w:rPr>
                <w:b/>
                <w:bCs/>
                <w:noProof/>
                <w:color w:val="FFFFFF" w:themeColor="background1"/>
                <w:szCs w:val="18"/>
              </w:rPr>
            </w:pPr>
            <w:r w:rsidRPr="00D452D4">
              <w:rPr>
                <w:b/>
                <w:bCs/>
                <w:noProof/>
                <w:color w:val="FFFFFF" w:themeColor="background1"/>
                <w:szCs w:val="18"/>
              </w:rPr>
              <w:t>2015.</w:t>
            </w:r>
          </w:p>
        </w:tc>
        <w:tc>
          <w:tcPr>
            <w:tcW w:w="976" w:type="dxa"/>
            <w:vMerge w:val="restart"/>
            <w:tcBorders>
              <w:left w:val="single" w:sz="4" w:space="0" w:color="FFFFFF" w:themeColor="background1"/>
              <w:right w:val="single" w:sz="4" w:space="0" w:color="FFFFFF" w:themeColor="background1"/>
            </w:tcBorders>
            <w:shd w:val="clear" w:color="auto" w:fill="D2232A" w:themeFill="accent1"/>
            <w:noWrap/>
            <w:vAlign w:val="center"/>
            <w:hideMark/>
          </w:tcPr>
          <w:p w14:paraId="024B8617" w14:textId="77777777" w:rsidR="008878A0" w:rsidRPr="00D452D4" w:rsidRDefault="008878A0" w:rsidP="007F2B15">
            <w:pPr>
              <w:spacing w:after="0"/>
              <w:jc w:val="center"/>
              <w:rPr>
                <w:b/>
                <w:bCs/>
                <w:noProof/>
                <w:color w:val="FFFFFF" w:themeColor="background1"/>
                <w:szCs w:val="18"/>
              </w:rPr>
            </w:pPr>
            <w:r w:rsidRPr="00D452D4">
              <w:rPr>
                <w:b/>
                <w:bCs/>
                <w:noProof/>
                <w:color w:val="FFFFFF" w:themeColor="background1"/>
                <w:szCs w:val="18"/>
              </w:rPr>
              <w:t>2016.</w:t>
            </w:r>
          </w:p>
        </w:tc>
        <w:tc>
          <w:tcPr>
            <w:tcW w:w="976" w:type="dxa"/>
            <w:vMerge w:val="restart"/>
            <w:tcBorders>
              <w:left w:val="single" w:sz="4" w:space="0" w:color="FFFFFF" w:themeColor="background1"/>
            </w:tcBorders>
            <w:shd w:val="clear" w:color="auto" w:fill="D2232A" w:themeFill="accent1"/>
            <w:noWrap/>
            <w:vAlign w:val="center"/>
            <w:hideMark/>
          </w:tcPr>
          <w:p w14:paraId="2663C226" w14:textId="77777777" w:rsidR="008878A0" w:rsidRPr="00D452D4" w:rsidRDefault="008878A0" w:rsidP="007F2B15">
            <w:pPr>
              <w:spacing w:after="0"/>
              <w:jc w:val="center"/>
              <w:rPr>
                <w:b/>
                <w:bCs/>
                <w:noProof/>
                <w:color w:val="FFFFFF" w:themeColor="background1"/>
                <w:szCs w:val="18"/>
              </w:rPr>
            </w:pPr>
            <w:r w:rsidRPr="00D452D4">
              <w:rPr>
                <w:b/>
                <w:bCs/>
                <w:noProof/>
                <w:color w:val="FFFFFF" w:themeColor="background1"/>
                <w:szCs w:val="18"/>
              </w:rPr>
              <w:t>2017.</w:t>
            </w:r>
          </w:p>
        </w:tc>
      </w:tr>
      <w:tr w:rsidR="008878A0" w:rsidRPr="00D452D4" w14:paraId="7B37A26C" w14:textId="77777777" w:rsidTr="0084585F">
        <w:trPr>
          <w:trHeight w:val="615"/>
        </w:trPr>
        <w:tc>
          <w:tcPr>
            <w:tcW w:w="2198" w:type="dxa"/>
            <w:tcBorders>
              <w:right w:val="single" w:sz="4" w:space="0" w:color="FFFFFF" w:themeColor="background1"/>
            </w:tcBorders>
            <w:shd w:val="clear" w:color="auto" w:fill="D2232A" w:themeFill="accent1"/>
            <w:vAlign w:val="center"/>
            <w:hideMark/>
          </w:tcPr>
          <w:p w14:paraId="399B98EB" w14:textId="77777777" w:rsidR="008878A0" w:rsidRPr="00D452D4" w:rsidRDefault="008878A0" w:rsidP="00D452D4">
            <w:pPr>
              <w:spacing w:after="0"/>
              <w:jc w:val="left"/>
              <w:rPr>
                <w:b/>
                <w:bCs/>
                <w:noProof/>
                <w:szCs w:val="18"/>
              </w:rPr>
            </w:pPr>
            <w:r w:rsidRPr="00D452D4">
              <w:rPr>
                <w:b/>
                <w:bCs/>
                <w:noProof/>
                <w:color w:val="FFFFFF" w:themeColor="background1"/>
                <w:szCs w:val="18"/>
              </w:rPr>
              <w:t>Ispuštanja na razini Krapinsko-zagorske županije</w:t>
            </w:r>
          </w:p>
        </w:tc>
        <w:tc>
          <w:tcPr>
            <w:tcW w:w="0" w:type="auto"/>
            <w:vMerge/>
            <w:tcBorders>
              <w:left w:val="single" w:sz="4" w:space="0" w:color="FFFFFF" w:themeColor="background1"/>
              <w:right w:val="single" w:sz="4" w:space="0" w:color="FFFFFF" w:themeColor="background1"/>
            </w:tcBorders>
            <w:vAlign w:val="center"/>
            <w:hideMark/>
          </w:tcPr>
          <w:p w14:paraId="21464F35" w14:textId="77777777" w:rsidR="008878A0" w:rsidRPr="00D452D4" w:rsidRDefault="008878A0" w:rsidP="00D452D4">
            <w:pPr>
              <w:spacing w:after="0"/>
              <w:jc w:val="right"/>
              <w:rPr>
                <w:b/>
                <w:bCs/>
                <w:noProof/>
                <w:szCs w:val="18"/>
              </w:rPr>
            </w:pPr>
          </w:p>
        </w:tc>
        <w:tc>
          <w:tcPr>
            <w:tcW w:w="0" w:type="auto"/>
            <w:vMerge/>
            <w:tcBorders>
              <w:left w:val="single" w:sz="4" w:space="0" w:color="FFFFFF" w:themeColor="background1"/>
              <w:right w:val="single" w:sz="4" w:space="0" w:color="FFFFFF" w:themeColor="background1"/>
            </w:tcBorders>
            <w:vAlign w:val="center"/>
            <w:hideMark/>
          </w:tcPr>
          <w:p w14:paraId="215963F2" w14:textId="77777777" w:rsidR="008878A0" w:rsidRPr="00D452D4" w:rsidRDefault="008878A0" w:rsidP="00D452D4">
            <w:pPr>
              <w:spacing w:after="0"/>
              <w:jc w:val="right"/>
              <w:rPr>
                <w:b/>
                <w:bCs/>
                <w:noProof/>
                <w:szCs w:val="18"/>
              </w:rPr>
            </w:pPr>
          </w:p>
        </w:tc>
        <w:tc>
          <w:tcPr>
            <w:tcW w:w="0" w:type="auto"/>
            <w:vMerge/>
            <w:tcBorders>
              <w:left w:val="single" w:sz="4" w:space="0" w:color="FFFFFF" w:themeColor="background1"/>
              <w:right w:val="single" w:sz="4" w:space="0" w:color="FFFFFF" w:themeColor="background1"/>
            </w:tcBorders>
            <w:vAlign w:val="center"/>
            <w:hideMark/>
          </w:tcPr>
          <w:p w14:paraId="7D5BFD86" w14:textId="77777777" w:rsidR="008878A0" w:rsidRPr="00D452D4" w:rsidRDefault="008878A0" w:rsidP="00D452D4">
            <w:pPr>
              <w:spacing w:after="0"/>
              <w:jc w:val="right"/>
              <w:rPr>
                <w:b/>
                <w:bCs/>
                <w:noProof/>
                <w:szCs w:val="18"/>
              </w:rPr>
            </w:pPr>
          </w:p>
        </w:tc>
        <w:tc>
          <w:tcPr>
            <w:tcW w:w="0" w:type="auto"/>
            <w:vMerge/>
            <w:tcBorders>
              <w:left w:val="single" w:sz="4" w:space="0" w:color="FFFFFF" w:themeColor="background1"/>
              <w:right w:val="single" w:sz="4" w:space="0" w:color="FFFFFF" w:themeColor="background1"/>
            </w:tcBorders>
            <w:vAlign w:val="center"/>
            <w:hideMark/>
          </w:tcPr>
          <w:p w14:paraId="4D19E9E0" w14:textId="77777777" w:rsidR="008878A0" w:rsidRPr="00D452D4" w:rsidRDefault="008878A0" w:rsidP="00D452D4">
            <w:pPr>
              <w:spacing w:after="0"/>
              <w:jc w:val="right"/>
              <w:rPr>
                <w:b/>
                <w:bCs/>
                <w:noProof/>
                <w:szCs w:val="18"/>
              </w:rPr>
            </w:pPr>
          </w:p>
        </w:tc>
        <w:tc>
          <w:tcPr>
            <w:tcW w:w="0" w:type="auto"/>
            <w:vMerge/>
            <w:tcBorders>
              <w:left w:val="single" w:sz="4" w:space="0" w:color="FFFFFF" w:themeColor="background1"/>
              <w:right w:val="single" w:sz="4" w:space="0" w:color="FFFFFF" w:themeColor="background1"/>
            </w:tcBorders>
            <w:vAlign w:val="center"/>
            <w:hideMark/>
          </w:tcPr>
          <w:p w14:paraId="762E1B4D" w14:textId="77777777" w:rsidR="008878A0" w:rsidRPr="00D452D4" w:rsidRDefault="008878A0" w:rsidP="00D452D4">
            <w:pPr>
              <w:spacing w:after="0"/>
              <w:jc w:val="right"/>
              <w:rPr>
                <w:b/>
                <w:bCs/>
                <w:noProof/>
                <w:szCs w:val="18"/>
              </w:rPr>
            </w:pPr>
          </w:p>
        </w:tc>
        <w:tc>
          <w:tcPr>
            <w:tcW w:w="0" w:type="auto"/>
            <w:vMerge/>
            <w:tcBorders>
              <w:left w:val="single" w:sz="4" w:space="0" w:color="FFFFFF" w:themeColor="background1"/>
              <w:right w:val="single" w:sz="4" w:space="0" w:color="FFFFFF" w:themeColor="background1"/>
            </w:tcBorders>
            <w:vAlign w:val="center"/>
            <w:hideMark/>
          </w:tcPr>
          <w:p w14:paraId="61DA4C83" w14:textId="77777777" w:rsidR="008878A0" w:rsidRPr="00D452D4" w:rsidRDefault="008878A0" w:rsidP="00D452D4">
            <w:pPr>
              <w:spacing w:after="0"/>
              <w:jc w:val="right"/>
              <w:rPr>
                <w:b/>
                <w:bCs/>
                <w:noProof/>
                <w:szCs w:val="18"/>
              </w:rPr>
            </w:pPr>
          </w:p>
        </w:tc>
        <w:tc>
          <w:tcPr>
            <w:tcW w:w="0" w:type="auto"/>
            <w:vMerge/>
            <w:tcBorders>
              <w:left w:val="single" w:sz="4" w:space="0" w:color="FFFFFF" w:themeColor="background1"/>
            </w:tcBorders>
            <w:vAlign w:val="center"/>
            <w:hideMark/>
          </w:tcPr>
          <w:p w14:paraId="0EB61B07" w14:textId="77777777" w:rsidR="008878A0" w:rsidRPr="00D452D4" w:rsidRDefault="008878A0" w:rsidP="00D452D4">
            <w:pPr>
              <w:spacing w:after="0"/>
              <w:jc w:val="right"/>
              <w:rPr>
                <w:b/>
                <w:bCs/>
                <w:noProof/>
                <w:szCs w:val="18"/>
              </w:rPr>
            </w:pPr>
          </w:p>
        </w:tc>
      </w:tr>
      <w:tr w:rsidR="008878A0" w:rsidRPr="00D452D4" w14:paraId="5BD71810" w14:textId="77777777" w:rsidTr="000A346F">
        <w:trPr>
          <w:trHeight w:val="300"/>
        </w:trPr>
        <w:tc>
          <w:tcPr>
            <w:tcW w:w="2198" w:type="dxa"/>
            <w:noWrap/>
            <w:vAlign w:val="center"/>
            <w:hideMark/>
          </w:tcPr>
          <w:p w14:paraId="205F02FF" w14:textId="77777777" w:rsidR="008878A0" w:rsidRPr="00D452D4" w:rsidRDefault="008878A0" w:rsidP="00D452D4">
            <w:pPr>
              <w:spacing w:after="0"/>
              <w:jc w:val="left"/>
              <w:rPr>
                <w:noProof/>
                <w:szCs w:val="18"/>
              </w:rPr>
            </w:pPr>
            <w:r w:rsidRPr="00D452D4">
              <w:rPr>
                <w:noProof/>
                <w:szCs w:val="18"/>
              </w:rPr>
              <w:t>Ugljikov dioksid</w:t>
            </w:r>
          </w:p>
        </w:tc>
        <w:tc>
          <w:tcPr>
            <w:tcW w:w="1005" w:type="dxa"/>
            <w:noWrap/>
            <w:vAlign w:val="center"/>
            <w:hideMark/>
          </w:tcPr>
          <w:p w14:paraId="7802AA8E" w14:textId="77777777" w:rsidR="008878A0" w:rsidRPr="00D452D4" w:rsidRDefault="008878A0" w:rsidP="00D452D4">
            <w:pPr>
              <w:spacing w:after="0"/>
              <w:jc w:val="right"/>
              <w:rPr>
                <w:noProof/>
                <w:szCs w:val="18"/>
              </w:rPr>
            </w:pPr>
            <w:r w:rsidRPr="00D452D4">
              <w:rPr>
                <w:noProof/>
                <w:szCs w:val="18"/>
              </w:rPr>
              <w:t>113.181 t</w:t>
            </w:r>
          </w:p>
        </w:tc>
        <w:tc>
          <w:tcPr>
            <w:tcW w:w="1019" w:type="dxa"/>
            <w:noWrap/>
            <w:vAlign w:val="center"/>
            <w:hideMark/>
          </w:tcPr>
          <w:p w14:paraId="1955F316" w14:textId="77777777" w:rsidR="008878A0" w:rsidRPr="00D452D4" w:rsidRDefault="008878A0" w:rsidP="00D452D4">
            <w:pPr>
              <w:spacing w:after="0"/>
              <w:jc w:val="right"/>
              <w:rPr>
                <w:noProof/>
                <w:szCs w:val="18"/>
              </w:rPr>
            </w:pPr>
            <w:r w:rsidRPr="00D452D4">
              <w:rPr>
                <w:noProof/>
                <w:szCs w:val="18"/>
              </w:rPr>
              <w:t>102.763 t</w:t>
            </w:r>
          </w:p>
        </w:tc>
        <w:tc>
          <w:tcPr>
            <w:tcW w:w="1019" w:type="dxa"/>
            <w:noWrap/>
            <w:vAlign w:val="center"/>
            <w:hideMark/>
          </w:tcPr>
          <w:p w14:paraId="115B633E" w14:textId="77777777" w:rsidR="008878A0" w:rsidRPr="00D452D4" w:rsidRDefault="008878A0" w:rsidP="00D452D4">
            <w:pPr>
              <w:spacing w:after="0"/>
              <w:jc w:val="right"/>
              <w:rPr>
                <w:noProof/>
                <w:szCs w:val="18"/>
              </w:rPr>
            </w:pPr>
            <w:r w:rsidRPr="00D452D4">
              <w:rPr>
                <w:noProof/>
                <w:szCs w:val="18"/>
              </w:rPr>
              <w:t>105.133 t</w:t>
            </w:r>
          </w:p>
        </w:tc>
        <w:tc>
          <w:tcPr>
            <w:tcW w:w="903" w:type="dxa"/>
            <w:noWrap/>
            <w:vAlign w:val="center"/>
            <w:hideMark/>
          </w:tcPr>
          <w:p w14:paraId="79FB099A" w14:textId="77777777" w:rsidR="008878A0" w:rsidRPr="00D452D4" w:rsidRDefault="008878A0" w:rsidP="00D452D4">
            <w:pPr>
              <w:spacing w:after="0"/>
              <w:jc w:val="right"/>
              <w:rPr>
                <w:noProof/>
                <w:szCs w:val="18"/>
              </w:rPr>
            </w:pPr>
            <w:r w:rsidRPr="00D452D4">
              <w:rPr>
                <w:noProof/>
                <w:szCs w:val="18"/>
              </w:rPr>
              <w:t>123.396 t</w:t>
            </w:r>
          </w:p>
        </w:tc>
        <w:tc>
          <w:tcPr>
            <w:tcW w:w="976" w:type="dxa"/>
            <w:noWrap/>
            <w:vAlign w:val="center"/>
            <w:hideMark/>
          </w:tcPr>
          <w:p w14:paraId="2EAC4F1C" w14:textId="77777777" w:rsidR="008878A0" w:rsidRPr="00D452D4" w:rsidRDefault="008878A0" w:rsidP="00D452D4">
            <w:pPr>
              <w:spacing w:after="0"/>
              <w:jc w:val="right"/>
              <w:rPr>
                <w:noProof/>
                <w:szCs w:val="18"/>
              </w:rPr>
            </w:pPr>
            <w:r w:rsidRPr="00D452D4">
              <w:rPr>
                <w:noProof/>
                <w:szCs w:val="18"/>
              </w:rPr>
              <w:t>112.783 t</w:t>
            </w:r>
          </w:p>
        </w:tc>
        <w:tc>
          <w:tcPr>
            <w:tcW w:w="976" w:type="dxa"/>
            <w:noWrap/>
            <w:vAlign w:val="center"/>
            <w:hideMark/>
          </w:tcPr>
          <w:p w14:paraId="2363A9E2" w14:textId="77777777" w:rsidR="008878A0" w:rsidRPr="00D452D4" w:rsidRDefault="008878A0" w:rsidP="00D452D4">
            <w:pPr>
              <w:spacing w:after="0"/>
              <w:jc w:val="right"/>
              <w:rPr>
                <w:noProof/>
                <w:szCs w:val="18"/>
              </w:rPr>
            </w:pPr>
            <w:r w:rsidRPr="00D452D4">
              <w:rPr>
                <w:noProof/>
                <w:szCs w:val="18"/>
              </w:rPr>
              <w:t>123.511 t</w:t>
            </w:r>
          </w:p>
        </w:tc>
        <w:tc>
          <w:tcPr>
            <w:tcW w:w="976" w:type="dxa"/>
            <w:noWrap/>
            <w:vAlign w:val="center"/>
            <w:hideMark/>
          </w:tcPr>
          <w:p w14:paraId="41790C3B" w14:textId="77777777" w:rsidR="008878A0" w:rsidRPr="00D452D4" w:rsidRDefault="008878A0" w:rsidP="00D452D4">
            <w:pPr>
              <w:spacing w:after="0"/>
              <w:jc w:val="right"/>
              <w:rPr>
                <w:noProof/>
                <w:szCs w:val="18"/>
              </w:rPr>
            </w:pPr>
            <w:r w:rsidRPr="00D452D4">
              <w:rPr>
                <w:noProof/>
                <w:szCs w:val="18"/>
              </w:rPr>
              <w:t>127.852 t</w:t>
            </w:r>
          </w:p>
        </w:tc>
      </w:tr>
      <w:tr w:rsidR="008878A0" w:rsidRPr="00D452D4" w14:paraId="7108AA98" w14:textId="77777777" w:rsidTr="000A346F">
        <w:trPr>
          <w:trHeight w:val="300"/>
        </w:trPr>
        <w:tc>
          <w:tcPr>
            <w:tcW w:w="2198" w:type="dxa"/>
            <w:noWrap/>
            <w:vAlign w:val="center"/>
            <w:hideMark/>
          </w:tcPr>
          <w:p w14:paraId="65C2F57A" w14:textId="77777777" w:rsidR="008878A0" w:rsidRPr="00D452D4" w:rsidRDefault="008878A0" w:rsidP="00D452D4">
            <w:pPr>
              <w:spacing w:after="0"/>
              <w:jc w:val="left"/>
              <w:rPr>
                <w:noProof/>
                <w:szCs w:val="18"/>
              </w:rPr>
            </w:pPr>
            <w:r w:rsidRPr="00D452D4">
              <w:rPr>
                <w:noProof/>
                <w:szCs w:val="18"/>
              </w:rPr>
              <w:t>Arsen i spojevi</w:t>
            </w:r>
          </w:p>
        </w:tc>
        <w:tc>
          <w:tcPr>
            <w:tcW w:w="1005" w:type="dxa"/>
            <w:noWrap/>
            <w:vAlign w:val="center"/>
            <w:hideMark/>
          </w:tcPr>
          <w:p w14:paraId="03503718" w14:textId="77777777" w:rsidR="008878A0" w:rsidRPr="00D452D4" w:rsidRDefault="008878A0" w:rsidP="00D452D4">
            <w:pPr>
              <w:spacing w:after="0"/>
              <w:jc w:val="right"/>
              <w:rPr>
                <w:noProof/>
                <w:szCs w:val="18"/>
              </w:rPr>
            </w:pPr>
            <w:r w:rsidRPr="00D452D4">
              <w:rPr>
                <w:noProof/>
                <w:szCs w:val="18"/>
              </w:rPr>
              <w:t>30,2 kg</w:t>
            </w:r>
          </w:p>
        </w:tc>
        <w:tc>
          <w:tcPr>
            <w:tcW w:w="1019" w:type="dxa"/>
            <w:noWrap/>
            <w:vAlign w:val="center"/>
            <w:hideMark/>
          </w:tcPr>
          <w:p w14:paraId="375E4B2B" w14:textId="77777777" w:rsidR="008878A0" w:rsidRPr="00D452D4" w:rsidRDefault="008878A0" w:rsidP="00D452D4">
            <w:pPr>
              <w:spacing w:after="0"/>
              <w:jc w:val="right"/>
              <w:rPr>
                <w:noProof/>
                <w:szCs w:val="18"/>
              </w:rPr>
            </w:pPr>
            <w:r w:rsidRPr="00D452D4">
              <w:rPr>
                <w:noProof/>
                <w:szCs w:val="18"/>
              </w:rPr>
              <w:t>32,3 kg</w:t>
            </w:r>
          </w:p>
        </w:tc>
        <w:tc>
          <w:tcPr>
            <w:tcW w:w="1019" w:type="dxa"/>
            <w:noWrap/>
            <w:vAlign w:val="center"/>
            <w:hideMark/>
          </w:tcPr>
          <w:p w14:paraId="377673FC" w14:textId="77777777" w:rsidR="008878A0" w:rsidRPr="00D452D4" w:rsidRDefault="008878A0" w:rsidP="00D452D4">
            <w:pPr>
              <w:spacing w:after="0"/>
              <w:jc w:val="right"/>
              <w:rPr>
                <w:noProof/>
                <w:szCs w:val="18"/>
              </w:rPr>
            </w:pPr>
            <w:r w:rsidRPr="00D452D4">
              <w:rPr>
                <w:noProof/>
                <w:szCs w:val="18"/>
              </w:rPr>
              <w:t>30,7 kg</w:t>
            </w:r>
          </w:p>
        </w:tc>
        <w:tc>
          <w:tcPr>
            <w:tcW w:w="903" w:type="dxa"/>
            <w:noWrap/>
            <w:vAlign w:val="center"/>
            <w:hideMark/>
          </w:tcPr>
          <w:p w14:paraId="564C6057" w14:textId="77777777" w:rsidR="008878A0" w:rsidRPr="00D452D4" w:rsidRDefault="008878A0" w:rsidP="00D452D4">
            <w:pPr>
              <w:spacing w:after="0"/>
              <w:jc w:val="right"/>
              <w:rPr>
                <w:noProof/>
                <w:szCs w:val="18"/>
              </w:rPr>
            </w:pPr>
            <w:r w:rsidRPr="00D452D4">
              <w:rPr>
                <w:noProof/>
                <w:szCs w:val="18"/>
              </w:rPr>
              <w:t>17,45 kg</w:t>
            </w:r>
          </w:p>
        </w:tc>
        <w:tc>
          <w:tcPr>
            <w:tcW w:w="976" w:type="dxa"/>
            <w:noWrap/>
            <w:vAlign w:val="center"/>
            <w:hideMark/>
          </w:tcPr>
          <w:p w14:paraId="4B18C29F" w14:textId="77777777" w:rsidR="008878A0" w:rsidRPr="00D452D4" w:rsidRDefault="008878A0" w:rsidP="00D452D4">
            <w:pPr>
              <w:spacing w:after="0"/>
              <w:jc w:val="right"/>
              <w:rPr>
                <w:noProof/>
                <w:szCs w:val="18"/>
              </w:rPr>
            </w:pPr>
            <w:r w:rsidRPr="00D452D4">
              <w:rPr>
                <w:noProof/>
                <w:szCs w:val="18"/>
              </w:rPr>
              <w:t>6,8 kg</w:t>
            </w:r>
          </w:p>
        </w:tc>
        <w:tc>
          <w:tcPr>
            <w:tcW w:w="976" w:type="dxa"/>
            <w:noWrap/>
            <w:vAlign w:val="center"/>
            <w:hideMark/>
          </w:tcPr>
          <w:p w14:paraId="0FEF1F83" w14:textId="77777777" w:rsidR="008878A0" w:rsidRPr="00D452D4" w:rsidRDefault="008878A0" w:rsidP="00D452D4">
            <w:pPr>
              <w:spacing w:after="0"/>
              <w:jc w:val="right"/>
              <w:rPr>
                <w:noProof/>
                <w:szCs w:val="18"/>
              </w:rPr>
            </w:pPr>
            <w:r w:rsidRPr="00D452D4">
              <w:rPr>
                <w:noProof/>
                <w:szCs w:val="18"/>
              </w:rPr>
              <w:t>2,62 kg</w:t>
            </w:r>
          </w:p>
        </w:tc>
        <w:tc>
          <w:tcPr>
            <w:tcW w:w="976" w:type="dxa"/>
            <w:noWrap/>
            <w:vAlign w:val="center"/>
            <w:hideMark/>
          </w:tcPr>
          <w:p w14:paraId="63989E95" w14:textId="77777777" w:rsidR="008878A0" w:rsidRPr="00D452D4" w:rsidRDefault="008878A0" w:rsidP="00D452D4">
            <w:pPr>
              <w:spacing w:after="0"/>
              <w:jc w:val="right"/>
              <w:rPr>
                <w:noProof/>
                <w:szCs w:val="18"/>
              </w:rPr>
            </w:pPr>
            <w:r w:rsidRPr="00D452D4">
              <w:rPr>
                <w:noProof/>
                <w:szCs w:val="18"/>
              </w:rPr>
              <w:t>3,41 kg</w:t>
            </w:r>
          </w:p>
        </w:tc>
      </w:tr>
      <w:tr w:rsidR="008878A0" w:rsidRPr="00D452D4" w14:paraId="4D31CC7F" w14:textId="77777777" w:rsidTr="000A346F">
        <w:trPr>
          <w:trHeight w:val="300"/>
        </w:trPr>
        <w:tc>
          <w:tcPr>
            <w:tcW w:w="2198" w:type="dxa"/>
            <w:noWrap/>
            <w:vAlign w:val="center"/>
            <w:hideMark/>
          </w:tcPr>
          <w:p w14:paraId="74857BB5" w14:textId="77777777" w:rsidR="008878A0" w:rsidRPr="00D452D4" w:rsidRDefault="008878A0" w:rsidP="00D452D4">
            <w:pPr>
              <w:spacing w:after="0"/>
              <w:jc w:val="left"/>
              <w:rPr>
                <w:noProof/>
                <w:szCs w:val="18"/>
              </w:rPr>
            </w:pPr>
            <w:r w:rsidRPr="00D452D4">
              <w:rPr>
                <w:noProof/>
                <w:szCs w:val="18"/>
              </w:rPr>
              <w:t>Kadmij i spojevi</w:t>
            </w:r>
          </w:p>
        </w:tc>
        <w:tc>
          <w:tcPr>
            <w:tcW w:w="1005" w:type="dxa"/>
            <w:noWrap/>
            <w:vAlign w:val="center"/>
            <w:hideMark/>
          </w:tcPr>
          <w:p w14:paraId="3FE7BD93" w14:textId="77777777" w:rsidR="008878A0" w:rsidRPr="00D452D4" w:rsidRDefault="008878A0" w:rsidP="00D452D4">
            <w:pPr>
              <w:spacing w:after="0"/>
              <w:jc w:val="right"/>
              <w:rPr>
                <w:noProof/>
                <w:szCs w:val="18"/>
              </w:rPr>
            </w:pPr>
            <w:r w:rsidRPr="00D452D4">
              <w:rPr>
                <w:noProof/>
                <w:szCs w:val="18"/>
              </w:rPr>
              <w:t>12,9 kg</w:t>
            </w:r>
          </w:p>
        </w:tc>
        <w:tc>
          <w:tcPr>
            <w:tcW w:w="1019" w:type="dxa"/>
            <w:noWrap/>
            <w:vAlign w:val="center"/>
            <w:hideMark/>
          </w:tcPr>
          <w:p w14:paraId="38607CC1" w14:textId="77777777" w:rsidR="008878A0" w:rsidRPr="00D452D4" w:rsidRDefault="008878A0" w:rsidP="00D452D4">
            <w:pPr>
              <w:spacing w:after="0"/>
              <w:jc w:val="right"/>
              <w:rPr>
                <w:noProof/>
                <w:szCs w:val="18"/>
              </w:rPr>
            </w:pPr>
            <w:r w:rsidRPr="00D452D4">
              <w:rPr>
                <w:noProof/>
                <w:szCs w:val="18"/>
              </w:rPr>
              <w:t>11,2 kg</w:t>
            </w:r>
          </w:p>
        </w:tc>
        <w:tc>
          <w:tcPr>
            <w:tcW w:w="1019" w:type="dxa"/>
            <w:noWrap/>
            <w:vAlign w:val="center"/>
            <w:hideMark/>
          </w:tcPr>
          <w:p w14:paraId="689ED579" w14:textId="77777777" w:rsidR="008878A0" w:rsidRPr="00D452D4" w:rsidRDefault="008878A0" w:rsidP="00D452D4">
            <w:pPr>
              <w:spacing w:after="0"/>
              <w:jc w:val="right"/>
              <w:rPr>
                <w:noProof/>
                <w:szCs w:val="18"/>
              </w:rPr>
            </w:pPr>
            <w:r w:rsidRPr="00D452D4">
              <w:rPr>
                <w:noProof/>
                <w:szCs w:val="18"/>
              </w:rPr>
              <w:t>13,1 kg</w:t>
            </w:r>
          </w:p>
        </w:tc>
        <w:tc>
          <w:tcPr>
            <w:tcW w:w="903" w:type="dxa"/>
            <w:noWrap/>
            <w:vAlign w:val="center"/>
            <w:hideMark/>
          </w:tcPr>
          <w:p w14:paraId="3070693C" w14:textId="77777777" w:rsidR="008878A0" w:rsidRPr="00D452D4" w:rsidRDefault="008878A0" w:rsidP="00D452D4">
            <w:pPr>
              <w:spacing w:after="0"/>
              <w:jc w:val="right"/>
              <w:rPr>
                <w:noProof/>
                <w:szCs w:val="18"/>
              </w:rPr>
            </w:pPr>
            <w:r w:rsidRPr="00D452D4">
              <w:rPr>
                <w:noProof/>
                <w:szCs w:val="18"/>
              </w:rPr>
              <w:t>3,98 kg</w:t>
            </w:r>
          </w:p>
        </w:tc>
        <w:tc>
          <w:tcPr>
            <w:tcW w:w="976" w:type="dxa"/>
            <w:noWrap/>
            <w:vAlign w:val="center"/>
            <w:hideMark/>
          </w:tcPr>
          <w:p w14:paraId="6381FA50" w14:textId="77777777" w:rsidR="008878A0" w:rsidRPr="00D452D4" w:rsidRDefault="008878A0" w:rsidP="00D452D4">
            <w:pPr>
              <w:spacing w:after="0"/>
              <w:jc w:val="right"/>
              <w:rPr>
                <w:noProof/>
                <w:szCs w:val="18"/>
              </w:rPr>
            </w:pPr>
            <w:r w:rsidRPr="00D452D4">
              <w:rPr>
                <w:noProof/>
                <w:szCs w:val="18"/>
              </w:rPr>
              <w:t>1,7 kg</w:t>
            </w:r>
          </w:p>
        </w:tc>
        <w:tc>
          <w:tcPr>
            <w:tcW w:w="976" w:type="dxa"/>
            <w:noWrap/>
            <w:vAlign w:val="center"/>
            <w:hideMark/>
          </w:tcPr>
          <w:p w14:paraId="0C6CAEE6" w14:textId="77777777" w:rsidR="008878A0" w:rsidRPr="00D452D4" w:rsidRDefault="008878A0" w:rsidP="00D452D4">
            <w:pPr>
              <w:spacing w:after="0"/>
              <w:jc w:val="right"/>
              <w:rPr>
                <w:noProof/>
                <w:szCs w:val="18"/>
              </w:rPr>
            </w:pPr>
            <w:r w:rsidRPr="00D452D4">
              <w:rPr>
                <w:noProof/>
                <w:szCs w:val="18"/>
              </w:rPr>
              <w:t>1,314 kg</w:t>
            </w:r>
          </w:p>
        </w:tc>
        <w:tc>
          <w:tcPr>
            <w:tcW w:w="976" w:type="dxa"/>
            <w:noWrap/>
            <w:vAlign w:val="center"/>
            <w:hideMark/>
          </w:tcPr>
          <w:p w14:paraId="407E6D3E" w14:textId="77777777" w:rsidR="008878A0" w:rsidRPr="00D452D4" w:rsidRDefault="008878A0" w:rsidP="00D452D4">
            <w:pPr>
              <w:spacing w:after="0"/>
              <w:jc w:val="right"/>
              <w:rPr>
                <w:noProof/>
                <w:szCs w:val="18"/>
              </w:rPr>
            </w:pPr>
            <w:r w:rsidRPr="00D452D4">
              <w:rPr>
                <w:noProof/>
                <w:szCs w:val="18"/>
              </w:rPr>
              <w:t>-</w:t>
            </w:r>
          </w:p>
        </w:tc>
      </w:tr>
      <w:tr w:rsidR="008878A0" w:rsidRPr="00D452D4" w14:paraId="11055B1F" w14:textId="77777777" w:rsidTr="000A346F">
        <w:trPr>
          <w:trHeight w:val="300"/>
        </w:trPr>
        <w:tc>
          <w:tcPr>
            <w:tcW w:w="2198" w:type="dxa"/>
            <w:noWrap/>
            <w:vAlign w:val="center"/>
            <w:hideMark/>
          </w:tcPr>
          <w:p w14:paraId="0A7F1056" w14:textId="77777777" w:rsidR="008878A0" w:rsidRPr="00D452D4" w:rsidRDefault="008878A0" w:rsidP="00D452D4">
            <w:pPr>
              <w:spacing w:after="0"/>
              <w:jc w:val="left"/>
              <w:rPr>
                <w:noProof/>
                <w:szCs w:val="18"/>
              </w:rPr>
            </w:pPr>
            <w:r w:rsidRPr="00D452D4">
              <w:rPr>
                <w:noProof/>
                <w:szCs w:val="18"/>
              </w:rPr>
              <w:t>Čestice (PM 10)</w:t>
            </w:r>
          </w:p>
        </w:tc>
        <w:tc>
          <w:tcPr>
            <w:tcW w:w="1005" w:type="dxa"/>
            <w:noWrap/>
            <w:vAlign w:val="center"/>
            <w:hideMark/>
          </w:tcPr>
          <w:p w14:paraId="47A271CF" w14:textId="77777777" w:rsidR="008878A0" w:rsidRPr="00D452D4" w:rsidRDefault="008878A0" w:rsidP="00D452D4">
            <w:pPr>
              <w:spacing w:after="0"/>
              <w:jc w:val="right"/>
              <w:rPr>
                <w:noProof/>
                <w:szCs w:val="18"/>
              </w:rPr>
            </w:pPr>
            <w:r w:rsidRPr="00D452D4">
              <w:rPr>
                <w:noProof/>
                <w:szCs w:val="18"/>
              </w:rPr>
              <w:t>75,8 t</w:t>
            </w:r>
          </w:p>
        </w:tc>
        <w:tc>
          <w:tcPr>
            <w:tcW w:w="1019" w:type="dxa"/>
            <w:noWrap/>
            <w:vAlign w:val="center"/>
            <w:hideMark/>
          </w:tcPr>
          <w:p w14:paraId="3DF4DF60" w14:textId="77777777" w:rsidR="008878A0" w:rsidRPr="00D452D4" w:rsidRDefault="008878A0" w:rsidP="00D452D4">
            <w:pPr>
              <w:spacing w:after="0"/>
              <w:jc w:val="right"/>
              <w:rPr>
                <w:noProof/>
                <w:szCs w:val="18"/>
              </w:rPr>
            </w:pPr>
            <w:r w:rsidRPr="00D452D4">
              <w:rPr>
                <w:noProof/>
                <w:szCs w:val="18"/>
              </w:rPr>
              <w:t>128 t</w:t>
            </w:r>
          </w:p>
        </w:tc>
        <w:tc>
          <w:tcPr>
            <w:tcW w:w="1019" w:type="dxa"/>
            <w:noWrap/>
            <w:vAlign w:val="center"/>
            <w:hideMark/>
          </w:tcPr>
          <w:p w14:paraId="762A4328" w14:textId="77777777" w:rsidR="008878A0" w:rsidRPr="00D452D4" w:rsidRDefault="008878A0" w:rsidP="00D452D4">
            <w:pPr>
              <w:spacing w:after="0"/>
              <w:jc w:val="right"/>
              <w:rPr>
                <w:noProof/>
                <w:szCs w:val="18"/>
              </w:rPr>
            </w:pPr>
            <w:r w:rsidRPr="00D452D4">
              <w:rPr>
                <w:noProof/>
                <w:szCs w:val="18"/>
              </w:rPr>
              <w:t>126 t</w:t>
            </w:r>
          </w:p>
        </w:tc>
        <w:tc>
          <w:tcPr>
            <w:tcW w:w="903" w:type="dxa"/>
            <w:noWrap/>
            <w:vAlign w:val="center"/>
            <w:hideMark/>
          </w:tcPr>
          <w:p w14:paraId="4E5F5B34" w14:textId="77777777" w:rsidR="008878A0" w:rsidRPr="00D452D4" w:rsidRDefault="008878A0" w:rsidP="00D452D4">
            <w:pPr>
              <w:spacing w:after="0"/>
              <w:jc w:val="right"/>
              <w:rPr>
                <w:noProof/>
                <w:szCs w:val="18"/>
              </w:rPr>
            </w:pPr>
            <w:r w:rsidRPr="00D452D4">
              <w:rPr>
                <w:noProof/>
                <w:szCs w:val="18"/>
              </w:rPr>
              <w:t>80.8 t</w:t>
            </w:r>
          </w:p>
        </w:tc>
        <w:tc>
          <w:tcPr>
            <w:tcW w:w="976" w:type="dxa"/>
            <w:noWrap/>
            <w:vAlign w:val="center"/>
            <w:hideMark/>
          </w:tcPr>
          <w:p w14:paraId="3B3AB587" w14:textId="77777777" w:rsidR="008878A0" w:rsidRPr="00D452D4" w:rsidRDefault="008878A0" w:rsidP="00D452D4">
            <w:pPr>
              <w:spacing w:after="0"/>
              <w:jc w:val="right"/>
              <w:rPr>
                <w:noProof/>
                <w:szCs w:val="18"/>
              </w:rPr>
            </w:pPr>
            <w:r w:rsidRPr="00D452D4">
              <w:rPr>
                <w:noProof/>
                <w:szCs w:val="18"/>
              </w:rPr>
              <w:t>28.4 t</w:t>
            </w:r>
          </w:p>
        </w:tc>
        <w:tc>
          <w:tcPr>
            <w:tcW w:w="976" w:type="dxa"/>
            <w:noWrap/>
            <w:vAlign w:val="center"/>
            <w:hideMark/>
          </w:tcPr>
          <w:p w14:paraId="5652DB80" w14:textId="77777777" w:rsidR="008878A0" w:rsidRPr="00D452D4" w:rsidRDefault="008878A0" w:rsidP="00D452D4">
            <w:pPr>
              <w:spacing w:after="0"/>
              <w:jc w:val="right"/>
              <w:rPr>
                <w:noProof/>
                <w:szCs w:val="18"/>
              </w:rPr>
            </w:pPr>
            <w:r w:rsidRPr="00D452D4">
              <w:rPr>
                <w:noProof/>
                <w:szCs w:val="18"/>
              </w:rPr>
              <w:t>26,1 t</w:t>
            </w:r>
          </w:p>
        </w:tc>
        <w:tc>
          <w:tcPr>
            <w:tcW w:w="976" w:type="dxa"/>
            <w:noWrap/>
            <w:vAlign w:val="center"/>
            <w:hideMark/>
          </w:tcPr>
          <w:p w14:paraId="43BBA713" w14:textId="77777777" w:rsidR="008878A0" w:rsidRPr="00D452D4" w:rsidRDefault="008878A0" w:rsidP="00D452D4">
            <w:pPr>
              <w:spacing w:after="0"/>
              <w:jc w:val="right"/>
              <w:rPr>
                <w:noProof/>
                <w:szCs w:val="18"/>
              </w:rPr>
            </w:pPr>
            <w:r w:rsidRPr="00D452D4">
              <w:rPr>
                <w:noProof/>
                <w:szCs w:val="18"/>
              </w:rPr>
              <w:t>7,1 t</w:t>
            </w:r>
          </w:p>
        </w:tc>
      </w:tr>
      <w:tr w:rsidR="008878A0" w:rsidRPr="00D452D4" w14:paraId="6A05D5C1" w14:textId="77777777" w:rsidTr="000A346F">
        <w:trPr>
          <w:trHeight w:val="600"/>
        </w:trPr>
        <w:tc>
          <w:tcPr>
            <w:tcW w:w="2198" w:type="dxa"/>
            <w:vAlign w:val="center"/>
            <w:hideMark/>
          </w:tcPr>
          <w:p w14:paraId="15857839" w14:textId="77777777" w:rsidR="008878A0" w:rsidRPr="00D452D4" w:rsidRDefault="008878A0" w:rsidP="00D452D4">
            <w:pPr>
              <w:spacing w:after="0"/>
              <w:jc w:val="left"/>
              <w:rPr>
                <w:noProof/>
                <w:szCs w:val="18"/>
              </w:rPr>
            </w:pPr>
            <w:r w:rsidRPr="00D452D4">
              <w:rPr>
                <w:noProof/>
                <w:szCs w:val="18"/>
              </w:rPr>
              <w:t>Spojevi klora izraženi kao klorovodik (HCI)</w:t>
            </w:r>
          </w:p>
        </w:tc>
        <w:tc>
          <w:tcPr>
            <w:tcW w:w="1005" w:type="dxa"/>
            <w:noWrap/>
            <w:vAlign w:val="center"/>
            <w:hideMark/>
          </w:tcPr>
          <w:p w14:paraId="3C61F2E1" w14:textId="77777777" w:rsidR="008878A0" w:rsidRPr="00D452D4" w:rsidRDefault="008878A0" w:rsidP="00D452D4">
            <w:pPr>
              <w:spacing w:after="0"/>
              <w:jc w:val="right"/>
              <w:rPr>
                <w:noProof/>
                <w:szCs w:val="18"/>
              </w:rPr>
            </w:pPr>
            <w:r w:rsidRPr="00D452D4">
              <w:rPr>
                <w:noProof/>
                <w:szCs w:val="18"/>
              </w:rPr>
              <w:t>-</w:t>
            </w:r>
          </w:p>
        </w:tc>
        <w:tc>
          <w:tcPr>
            <w:tcW w:w="1019" w:type="dxa"/>
            <w:noWrap/>
            <w:vAlign w:val="center"/>
            <w:hideMark/>
          </w:tcPr>
          <w:p w14:paraId="14AF8938" w14:textId="77777777" w:rsidR="008878A0" w:rsidRPr="00D452D4" w:rsidRDefault="008878A0" w:rsidP="00D452D4">
            <w:pPr>
              <w:spacing w:after="0"/>
              <w:jc w:val="right"/>
              <w:rPr>
                <w:noProof/>
                <w:szCs w:val="18"/>
              </w:rPr>
            </w:pPr>
            <w:r w:rsidRPr="00D452D4">
              <w:rPr>
                <w:noProof/>
                <w:szCs w:val="18"/>
              </w:rPr>
              <w:t>15,3 t</w:t>
            </w:r>
          </w:p>
        </w:tc>
        <w:tc>
          <w:tcPr>
            <w:tcW w:w="1019" w:type="dxa"/>
            <w:noWrap/>
            <w:vAlign w:val="center"/>
            <w:hideMark/>
          </w:tcPr>
          <w:p w14:paraId="2D2FD6E7" w14:textId="77777777" w:rsidR="008878A0" w:rsidRPr="00D452D4" w:rsidRDefault="008878A0" w:rsidP="00D452D4">
            <w:pPr>
              <w:spacing w:after="0"/>
              <w:jc w:val="right"/>
              <w:rPr>
                <w:noProof/>
                <w:szCs w:val="18"/>
              </w:rPr>
            </w:pPr>
            <w:r w:rsidRPr="00D452D4">
              <w:rPr>
                <w:noProof/>
                <w:szCs w:val="18"/>
              </w:rPr>
              <w:t>11,0 t</w:t>
            </w:r>
          </w:p>
        </w:tc>
        <w:tc>
          <w:tcPr>
            <w:tcW w:w="903" w:type="dxa"/>
            <w:noWrap/>
            <w:vAlign w:val="center"/>
            <w:hideMark/>
          </w:tcPr>
          <w:p w14:paraId="1F54202E" w14:textId="77777777" w:rsidR="008878A0" w:rsidRPr="00D452D4" w:rsidRDefault="008878A0" w:rsidP="00D452D4">
            <w:pPr>
              <w:spacing w:after="0"/>
              <w:jc w:val="right"/>
              <w:rPr>
                <w:noProof/>
                <w:szCs w:val="18"/>
              </w:rPr>
            </w:pPr>
            <w:r w:rsidRPr="00D452D4">
              <w:rPr>
                <w:noProof/>
                <w:szCs w:val="18"/>
              </w:rPr>
              <w:t>6,0 t</w:t>
            </w:r>
          </w:p>
        </w:tc>
        <w:tc>
          <w:tcPr>
            <w:tcW w:w="976" w:type="dxa"/>
            <w:noWrap/>
            <w:vAlign w:val="center"/>
            <w:hideMark/>
          </w:tcPr>
          <w:p w14:paraId="79634A64" w14:textId="77777777" w:rsidR="008878A0" w:rsidRPr="00D452D4" w:rsidRDefault="008878A0" w:rsidP="00D452D4">
            <w:pPr>
              <w:spacing w:after="0"/>
              <w:jc w:val="right"/>
              <w:rPr>
                <w:noProof/>
                <w:szCs w:val="18"/>
              </w:rPr>
            </w:pPr>
            <w:r w:rsidRPr="00D452D4">
              <w:rPr>
                <w:noProof/>
                <w:szCs w:val="18"/>
              </w:rPr>
              <w:t>4,3 t</w:t>
            </w:r>
          </w:p>
        </w:tc>
        <w:tc>
          <w:tcPr>
            <w:tcW w:w="976" w:type="dxa"/>
            <w:noWrap/>
            <w:vAlign w:val="center"/>
            <w:hideMark/>
          </w:tcPr>
          <w:p w14:paraId="7129DBAE" w14:textId="77777777" w:rsidR="008878A0" w:rsidRPr="00D452D4" w:rsidRDefault="008878A0" w:rsidP="00D452D4">
            <w:pPr>
              <w:spacing w:after="0"/>
              <w:jc w:val="right"/>
              <w:rPr>
                <w:noProof/>
                <w:szCs w:val="18"/>
              </w:rPr>
            </w:pPr>
            <w:r w:rsidRPr="00D452D4">
              <w:rPr>
                <w:noProof/>
                <w:szCs w:val="18"/>
              </w:rPr>
              <w:t>6,4 t</w:t>
            </w:r>
          </w:p>
        </w:tc>
        <w:tc>
          <w:tcPr>
            <w:tcW w:w="976" w:type="dxa"/>
            <w:noWrap/>
            <w:vAlign w:val="center"/>
            <w:hideMark/>
          </w:tcPr>
          <w:p w14:paraId="6DDD9E11" w14:textId="77777777" w:rsidR="008878A0" w:rsidRPr="00D452D4" w:rsidRDefault="008878A0" w:rsidP="00D452D4">
            <w:pPr>
              <w:spacing w:after="0"/>
              <w:jc w:val="right"/>
              <w:rPr>
                <w:noProof/>
                <w:szCs w:val="18"/>
              </w:rPr>
            </w:pPr>
            <w:r w:rsidRPr="00D452D4">
              <w:rPr>
                <w:noProof/>
                <w:szCs w:val="18"/>
              </w:rPr>
              <w:t>5,0 t</w:t>
            </w:r>
          </w:p>
        </w:tc>
      </w:tr>
      <w:tr w:rsidR="008878A0" w:rsidRPr="00D452D4" w14:paraId="5D3C0E3B" w14:textId="77777777" w:rsidTr="000A346F">
        <w:trPr>
          <w:trHeight w:val="600"/>
        </w:trPr>
        <w:tc>
          <w:tcPr>
            <w:tcW w:w="2198" w:type="dxa"/>
            <w:vAlign w:val="center"/>
            <w:hideMark/>
          </w:tcPr>
          <w:p w14:paraId="7CE63662" w14:textId="77777777" w:rsidR="008878A0" w:rsidRPr="00D452D4" w:rsidRDefault="008878A0" w:rsidP="00D452D4">
            <w:pPr>
              <w:spacing w:after="0"/>
              <w:jc w:val="left"/>
              <w:rPr>
                <w:noProof/>
                <w:szCs w:val="18"/>
              </w:rPr>
            </w:pPr>
            <w:r w:rsidRPr="00D452D4">
              <w:rPr>
                <w:noProof/>
                <w:szCs w:val="18"/>
              </w:rPr>
              <w:t>Oksidi dušika izraženi kao dušikov dioksid (NO</w:t>
            </w:r>
            <w:r w:rsidRPr="00D452D4">
              <w:rPr>
                <w:noProof/>
                <w:szCs w:val="18"/>
                <w:vertAlign w:val="subscript"/>
              </w:rPr>
              <w:t>2</w:t>
            </w:r>
            <w:r w:rsidRPr="00D452D4">
              <w:rPr>
                <w:noProof/>
                <w:szCs w:val="18"/>
              </w:rPr>
              <w:t>)</w:t>
            </w:r>
          </w:p>
        </w:tc>
        <w:tc>
          <w:tcPr>
            <w:tcW w:w="1005" w:type="dxa"/>
            <w:noWrap/>
            <w:vAlign w:val="center"/>
            <w:hideMark/>
          </w:tcPr>
          <w:p w14:paraId="26C155AC" w14:textId="77777777" w:rsidR="008878A0" w:rsidRPr="00D452D4" w:rsidRDefault="008878A0" w:rsidP="00D452D4">
            <w:pPr>
              <w:spacing w:after="0"/>
              <w:jc w:val="right"/>
              <w:rPr>
                <w:noProof/>
                <w:szCs w:val="18"/>
              </w:rPr>
            </w:pPr>
            <w:r w:rsidRPr="00D452D4">
              <w:rPr>
                <w:noProof/>
                <w:szCs w:val="18"/>
              </w:rPr>
              <w:t>471 t</w:t>
            </w:r>
          </w:p>
        </w:tc>
        <w:tc>
          <w:tcPr>
            <w:tcW w:w="1019" w:type="dxa"/>
            <w:noWrap/>
            <w:vAlign w:val="center"/>
            <w:hideMark/>
          </w:tcPr>
          <w:p w14:paraId="62007BED" w14:textId="77777777" w:rsidR="008878A0" w:rsidRPr="00D452D4" w:rsidRDefault="008878A0" w:rsidP="00D452D4">
            <w:pPr>
              <w:spacing w:after="0"/>
              <w:jc w:val="right"/>
              <w:rPr>
                <w:noProof/>
                <w:szCs w:val="18"/>
              </w:rPr>
            </w:pPr>
            <w:r w:rsidRPr="00D452D4">
              <w:rPr>
                <w:noProof/>
                <w:szCs w:val="18"/>
              </w:rPr>
              <w:t>340 t</w:t>
            </w:r>
          </w:p>
        </w:tc>
        <w:tc>
          <w:tcPr>
            <w:tcW w:w="1019" w:type="dxa"/>
            <w:noWrap/>
            <w:vAlign w:val="center"/>
            <w:hideMark/>
          </w:tcPr>
          <w:p w14:paraId="479F2823" w14:textId="77777777" w:rsidR="008878A0" w:rsidRPr="00D452D4" w:rsidRDefault="008878A0" w:rsidP="00D452D4">
            <w:pPr>
              <w:spacing w:after="0"/>
              <w:jc w:val="right"/>
              <w:rPr>
                <w:noProof/>
                <w:szCs w:val="18"/>
              </w:rPr>
            </w:pPr>
            <w:r w:rsidRPr="00D452D4">
              <w:rPr>
                <w:noProof/>
                <w:szCs w:val="18"/>
              </w:rPr>
              <w:t>409 t</w:t>
            </w:r>
          </w:p>
        </w:tc>
        <w:tc>
          <w:tcPr>
            <w:tcW w:w="903" w:type="dxa"/>
            <w:noWrap/>
            <w:vAlign w:val="center"/>
            <w:hideMark/>
          </w:tcPr>
          <w:p w14:paraId="3FD395EA" w14:textId="77777777" w:rsidR="008878A0" w:rsidRPr="00D452D4" w:rsidRDefault="008878A0" w:rsidP="00D452D4">
            <w:pPr>
              <w:spacing w:after="0"/>
              <w:jc w:val="right"/>
              <w:rPr>
                <w:noProof/>
                <w:szCs w:val="18"/>
              </w:rPr>
            </w:pPr>
            <w:r w:rsidRPr="00D452D4">
              <w:rPr>
                <w:noProof/>
                <w:szCs w:val="18"/>
              </w:rPr>
              <w:t>257,7 t</w:t>
            </w:r>
          </w:p>
        </w:tc>
        <w:tc>
          <w:tcPr>
            <w:tcW w:w="976" w:type="dxa"/>
            <w:noWrap/>
            <w:vAlign w:val="center"/>
            <w:hideMark/>
          </w:tcPr>
          <w:p w14:paraId="332B0BA0" w14:textId="77777777" w:rsidR="008878A0" w:rsidRPr="00D452D4" w:rsidRDefault="008878A0" w:rsidP="00D452D4">
            <w:pPr>
              <w:spacing w:after="0"/>
              <w:jc w:val="right"/>
              <w:rPr>
                <w:noProof/>
                <w:szCs w:val="18"/>
              </w:rPr>
            </w:pPr>
            <w:r w:rsidRPr="00D452D4">
              <w:rPr>
                <w:noProof/>
                <w:szCs w:val="18"/>
              </w:rPr>
              <w:t>314,4 t</w:t>
            </w:r>
          </w:p>
        </w:tc>
        <w:tc>
          <w:tcPr>
            <w:tcW w:w="976" w:type="dxa"/>
            <w:noWrap/>
            <w:vAlign w:val="center"/>
            <w:hideMark/>
          </w:tcPr>
          <w:p w14:paraId="1569B5E5" w14:textId="77777777" w:rsidR="008878A0" w:rsidRPr="00D452D4" w:rsidRDefault="008878A0" w:rsidP="00D452D4">
            <w:pPr>
              <w:spacing w:after="0"/>
              <w:jc w:val="right"/>
              <w:rPr>
                <w:noProof/>
                <w:szCs w:val="18"/>
              </w:rPr>
            </w:pPr>
            <w:r w:rsidRPr="00D452D4">
              <w:rPr>
                <w:noProof/>
                <w:szCs w:val="18"/>
              </w:rPr>
              <w:t>422,3 t</w:t>
            </w:r>
          </w:p>
        </w:tc>
        <w:tc>
          <w:tcPr>
            <w:tcW w:w="976" w:type="dxa"/>
            <w:noWrap/>
            <w:vAlign w:val="center"/>
            <w:hideMark/>
          </w:tcPr>
          <w:p w14:paraId="1373D195" w14:textId="77777777" w:rsidR="008878A0" w:rsidRPr="00D452D4" w:rsidRDefault="008878A0" w:rsidP="00D452D4">
            <w:pPr>
              <w:spacing w:after="0"/>
              <w:jc w:val="right"/>
              <w:rPr>
                <w:noProof/>
                <w:szCs w:val="18"/>
              </w:rPr>
            </w:pPr>
            <w:r w:rsidRPr="00D452D4">
              <w:rPr>
                <w:noProof/>
                <w:szCs w:val="18"/>
              </w:rPr>
              <w:t>485,2 t</w:t>
            </w:r>
          </w:p>
        </w:tc>
      </w:tr>
      <w:tr w:rsidR="008878A0" w:rsidRPr="00D452D4" w14:paraId="2F2CF6F3" w14:textId="77777777" w:rsidTr="000A346F">
        <w:trPr>
          <w:trHeight w:val="600"/>
        </w:trPr>
        <w:tc>
          <w:tcPr>
            <w:tcW w:w="2198" w:type="dxa"/>
            <w:vAlign w:val="center"/>
            <w:hideMark/>
          </w:tcPr>
          <w:p w14:paraId="63FAC3C0" w14:textId="77777777" w:rsidR="008878A0" w:rsidRPr="00D452D4" w:rsidRDefault="008878A0" w:rsidP="00D452D4">
            <w:pPr>
              <w:spacing w:after="0"/>
              <w:jc w:val="left"/>
              <w:rPr>
                <w:noProof/>
                <w:szCs w:val="18"/>
              </w:rPr>
            </w:pPr>
            <w:r w:rsidRPr="00D452D4">
              <w:rPr>
                <w:noProof/>
                <w:szCs w:val="18"/>
              </w:rPr>
              <w:t>Oksidi sumpora izraženi kao sumporov dioksid (SO</w:t>
            </w:r>
            <w:r w:rsidRPr="00D452D4">
              <w:rPr>
                <w:noProof/>
                <w:szCs w:val="18"/>
                <w:vertAlign w:val="subscript"/>
              </w:rPr>
              <w:t>2</w:t>
            </w:r>
            <w:r w:rsidRPr="00D452D4">
              <w:rPr>
                <w:noProof/>
                <w:szCs w:val="18"/>
              </w:rPr>
              <w:t>)</w:t>
            </w:r>
          </w:p>
        </w:tc>
        <w:tc>
          <w:tcPr>
            <w:tcW w:w="1005" w:type="dxa"/>
            <w:noWrap/>
            <w:vAlign w:val="center"/>
            <w:hideMark/>
          </w:tcPr>
          <w:p w14:paraId="2634802F" w14:textId="77777777" w:rsidR="008878A0" w:rsidRPr="00D452D4" w:rsidRDefault="008878A0" w:rsidP="00D452D4">
            <w:pPr>
              <w:spacing w:after="0"/>
              <w:jc w:val="right"/>
              <w:rPr>
                <w:noProof/>
                <w:szCs w:val="18"/>
              </w:rPr>
            </w:pPr>
            <w:r w:rsidRPr="00D452D4">
              <w:rPr>
                <w:noProof/>
                <w:szCs w:val="18"/>
              </w:rPr>
              <w:t>229 t</w:t>
            </w:r>
          </w:p>
        </w:tc>
        <w:tc>
          <w:tcPr>
            <w:tcW w:w="1019" w:type="dxa"/>
            <w:noWrap/>
            <w:vAlign w:val="center"/>
            <w:hideMark/>
          </w:tcPr>
          <w:p w14:paraId="47263FF9" w14:textId="77777777" w:rsidR="008878A0" w:rsidRPr="00D452D4" w:rsidRDefault="008878A0" w:rsidP="00D452D4">
            <w:pPr>
              <w:spacing w:after="0"/>
              <w:jc w:val="right"/>
              <w:rPr>
                <w:noProof/>
                <w:szCs w:val="18"/>
              </w:rPr>
            </w:pPr>
            <w:r w:rsidRPr="00D452D4">
              <w:rPr>
                <w:noProof/>
                <w:szCs w:val="18"/>
              </w:rPr>
              <w:t>220 t</w:t>
            </w:r>
          </w:p>
        </w:tc>
        <w:tc>
          <w:tcPr>
            <w:tcW w:w="1019" w:type="dxa"/>
            <w:noWrap/>
            <w:vAlign w:val="center"/>
            <w:hideMark/>
          </w:tcPr>
          <w:p w14:paraId="21711671" w14:textId="77777777" w:rsidR="008878A0" w:rsidRPr="00D452D4" w:rsidRDefault="008878A0" w:rsidP="00D452D4">
            <w:pPr>
              <w:spacing w:after="0"/>
              <w:jc w:val="right"/>
              <w:rPr>
                <w:noProof/>
                <w:szCs w:val="18"/>
              </w:rPr>
            </w:pPr>
            <w:r w:rsidRPr="00D452D4">
              <w:rPr>
                <w:noProof/>
                <w:szCs w:val="18"/>
              </w:rPr>
              <w:t>180 t</w:t>
            </w:r>
          </w:p>
        </w:tc>
        <w:tc>
          <w:tcPr>
            <w:tcW w:w="903" w:type="dxa"/>
            <w:noWrap/>
            <w:vAlign w:val="center"/>
            <w:hideMark/>
          </w:tcPr>
          <w:p w14:paraId="0A769E82" w14:textId="77777777" w:rsidR="008878A0" w:rsidRPr="00D452D4" w:rsidRDefault="008878A0" w:rsidP="00D452D4">
            <w:pPr>
              <w:spacing w:after="0"/>
              <w:jc w:val="right"/>
              <w:rPr>
                <w:noProof/>
                <w:szCs w:val="18"/>
              </w:rPr>
            </w:pPr>
            <w:r w:rsidRPr="00D452D4">
              <w:rPr>
                <w:noProof/>
                <w:szCs w:val="18"/>
              </w:rPr>
              <w:t>519 t</w:t>
            </w:r>
          </w:p>
        </w:tc>
        <w:tc>
          <w:tcPr>
            <w:tcW w:w="976" w:type="dxa"/>
            <w:noWrap/>
            <w:vAlign w:val="center"/>
            <w:hideMark/>
          </w:tcPr>
          <w:p w14:paraId="03AB9036" w14:textId="77777777" w:rsidR="008878A0" w:rsidRPr="00D452D4" w:rsidRDefault="008878A0" w:rsidP="00D452D4">
            <w:pPr>
              <w:spacing w:after="0"/>
              <w:jc w:val="right"/>
              <w:rPr>
                <w:noProof/>
                <w:szCs w:val="18"/>
              </w:rPr>
            </w:pPr>
            <w:r w:rsidRPr="00D452D4">
              <w:rPr>
                <w:noProof/>
                <w:szCs w:val="18"/>
              </w:rPr>
              <w:t>371,7 t</w:t>
            </w:r>
          </w:p>
        </w:tc>
        <w:tc>
          <w:tcPr>
            <w:tcW w:w="976" w:type="dxa"/>
            <w:noWrap/>
            <w:vAlign w:val="center"/>
            <w:hideMark/>
          </w:tcPr>
          <w:p w14:paraId="67C816D2" w14:textId="77777777" w:rsidR="008878A0" w:rsidRPr="00D452D4" w:rsidRDefault="008878A0" w:rsidP="00D452D4">
            <w:pPr>
              <w:spacing w:after="0"/>
              <w:jc w:val="right"/>
              <w:rPr>
                <w:noProof/>
                <w:szCs w:val="18"/>
              </w:rPr>
            </w:pPr>
            <w:r w:rsidRPr="00D452D4">
              <w:rPr>
                <w:noProof/>
                <w:szCs w:val="18"/>
              </w:rPr>
              <w:t>176,6 t</w:t>
            </w:r>
          </w:p>
        </w:tc>
        <w:tc>
          <w:tcPr>
            <w:tcW w:w="976" w:type="dxa"/>
            <w:noWrap/>
            <w:vAlign w:val="center"/>
            <w:hideMark/>
          </w:tcPr>
          <w:p w14:paraId="022060C4" w14:textId="77777777" w:rsidR="008878A0" w:rsidRPr="00D452D4" w:rsidRDefault="008878A0" w:rsidP="00D452D4">
            <w:pPr>
              <w:spacing w:after="0"/>
              <w:jc w:val="right"/>
              <w:rPr>
                <w:noProof/>
                <w:szCs w:val="18"/>
              </w:rPr>
            </w:pPr>
            <w:r w:rsidRPr="00D452D4">
              <w:rPr>
                <w:noProof/>
                <w:szCs w:val="18"/>
              </w:rPr>
              <w:t>236,3 t</w:t>
            </w:r>
          </w:p>
        </w:tc>
      </w:tr>
      <w:tr w:rsidR="008878A0" w:rsidRPr="00D452D4" w14:paraId="13401A7D" w14:textId="77777777" w:rsidTr="000A346F">
        <w:trPr>
          <w:trHeight w:val="300"/>
        </w:trPr>
        <w:tc>
          <w:tcPr>
            <w:tcW w:w="2198" w:type="dxa"/>
            <w:vAlign w:val="center"/>
            <w:hideMark/>
          </w:tcPr>
          <w:p w14:paraId="6B0AA783" w14:textId="77777777" w:rsidR="008878A0" w:rsidRPr="00D452D4" w:rsidRDefault="008878A0" w:rsidP="00D452D4">
            <w:pPr>
              <w:spacing w:after="0"/>
              <w:jc w:val="left"/>
              <w:rPr>
                <w:noProof/>
                <w:szCs w:val="18"/>
              </w:rPr>
            </w:pPr>
            <w:r w:rsidRPr="00D452D4">
              <w:rPr>
                <w:noProof/>
                <w:szCs w:val="18"/>
              </w:rPr>
              <w:t>Metan</w:t>
            </w:r>
          </w:p>
        </w:tc>
        <w:tc>
          <w:tcPr>
            <w:tcW w:w="1005" w:type="dxa"/>
            <w:noWrap/>
            <w:vAlign w:val="center"/>
            <w:hideMark/>
          </w:tcPr>
          <w:p w14:paraId="12C93844" w14:textId="77777777" w:rsidR="008878A0" w:rsidRPr="00D452D4" w:rsidRDefault="008878A0" w:rsidP="00D452D4">
            <w:pPr>
              <w:jc w:val="right"/>
              <w:rPr>
                <w:noProof/>
                <w:szCs w:val="18"/>
              </w:rPr>
            </w:pPr>
          </w:p>
        </w:tc>
        <w:tc>
          <w:tcPr>
            <w:tcW w:w="1019" w:type="dxa"/>
            <w:noWrap/>
            <w:vAlign w:val="center"/>
            <w:hideMark/>
          </w:tcPr>
          <w:p w14:paraId="4C803CED" w14:textId="77777777" w:rsidR="008878A0" w:rsidRPr="00D452D4" w:rsidRDefault="008878A0" w:rsidP="00D452D4">
            <w:pPr>
              <w:spacing w:after="0"/>
              <w:jc w:val="right"/>
              <w:rPr>
                <w:szCs w:val="18"/>
                <w:lang w:eastAsia="hr-HR"/>
              </w:rPr>
            </w:pPr>
          </w:p>
        </w:tc>
        <w:tc>
          <w:tcPr>
            <w:tcW w:w="1019" w:type="dxa"/>
            <w:noWrap/>
            <w:vAlign w:val="center"/>
            <w:hideMark/>
          </w:tcPr>
          <w:p w14:paraId="6EAE4116" w14:textId="77777777" w:rsidR="008878A0" w:rsidRPr="00D452D4" w:rsidRDefault="008878A0" w:rsidP="00D452D4">
            <w:pPr>
              <w:spacing w:after="0"/>
              <w:jc w:val="right"/>
              <w:rPr>
                <w:szCs w:val="18"/>
                <w:lang w:eastAsia="hr-HR"/>
              </w:rPr>
            </w:pPr>
          </w:p>
        </w:tc>
        <w:tc>
          <w:tcPr>
            <w:tcW w:w="903" w:type="dxa"/>
            <w:noWrap/>
            <w:vAlign w:val="center"/>
            <w:hideMark/>
          </w:tcPr>
          <w:p w14:paraId="2E03E5E6" w14:textId="77777777" w:rsidR="008878A0" w:rsidRPr="00D452D4" w:rsidRDefault="008878A0" w:rsidP="00D452D4">
            <w:pPr>
              <w:spacing w:after="0"/>
              <w:jc w:val="right"/>
              <w:rPr>
                <w:noProof/>
                <w:szCs w:val="18"/>
              </w:rPr>
            </w:pPr>
            <w:r w:rsidRPr="00D452D4">
              <w:rPr>
                <w:noProof/>
                <w:szCs w:val="18"/>
              </w:rPr>
              <w:t>76 t</w:t>
            </w:r>
          </w:p>
        </w:tc>
        <w:tc>
          <w:tcPr>
            <w:tcW w:w="976" w:type="dxa"/>
            <w:noWrap/>
            <w:vAlign w:val="center"/>
            <w:hideMark/>
          </w:tcPr>
          <w:p w14:paraId="66977A99" w14:textId="77777777" w:rsidR="008878A0" w:rsidRPr="00D452D4" w:rsidRDefault="008878A0" w:rsidP="00D452D4">
            <w:pPr>
              <w:spacing w:after="0"/>
              <w:jc w:val="right"/>
              <w:rPr>
                <w:noProof/>
                <w:szCs w:val="18"/>
              </w:rPr>
            </w:pPr>
            <w:r w:rsidRPr="00D452D4">
              <w:rPr>
                <w:noProof/>
                <w:szCs w:val="18"/>
              </w:rPr>
              <w:t>101 t</w:t>
            </w:r>
          </w:p>
        </w:tc>
        <w:tc>
          <w:tcPr>
            <w:tcW w:w="976" w:type="dxa"/>
            <w:noWrap/>
            <w:vAlign w:val="center"/>
            <w:hideMark/>
          </w:tcPr>
          <w:p w14:paraId="5C473BD0" w14:textId="77777777" w:rsidR="008878A0" w:rsidRPr="00D452D4" w:rsidRDefault="008878A0" w:rsidP="00D452D4">
            <w:pPr>
              <w:jc w:val="right"/>
              <w:rPr>
                <w:noProof/>
                <w:szCs w:val="18"/>
              </w:rPr>
            </w:pPr>
          </w:p>
        </w:tc>
        <w:tc>
          <w:tcPr>
            <w:tcW w:w="976" w:type="dxa"/>
            <w:noWrap/>
            <w:vAlign w:val="center"/>
            <w:hideMark/>
          </w:tcPr>
          <w:p w14:paraId="33CE7A8C" w14:textId="77777777" w:rsidR="008878A0" w:rsidRPr="00D452D4" w:rsidRDefault="008878A0" w:rsidP="00D452D4">
            <w:pPr>
              <w:spacing w:after="0"/>
              <w:jc w:val="right"/>
              <w:rPr>
                <w:noProof/>
                <w:szCs w:val="18"/>
              </w:rPr>
            </w:pPr>
            <w:r w:rsidRPr="00D452D4">
              <w:rPr>
                <w:noProof/>
                <w:szCs w:val="18"/>
              </w:rPr>
              <w:t>114 t</w:t>
            </w:r>
          </w:p>
        </w:tc>
      </w:tr>
      <w:tr w:rsidR="008878A0" w:rsidRPr="00D452D4" w14:paraId="1818DD55" w14:textId="77777777" w:rsidTr="000A346F">
        <w:trPr>
          <w:trHeight w:val="300"/>
        </w:trPr>
        <w:tc>
          <w:tcPr>
            <w:tcW w:w="2198" w:type="dxa"/>
            <w:vAlign w:val="center"/>
            <w:hideMark/>
          </w:tcPr>
          <w:p w14:paraId="1D44E7C8" w14:textId="77777777" w:rsidR="008878A0" w:rsidRPr="00D452D4" w:rsidRDefault="008878A0" w:rsidP="00D452D4">
            <w:pPr>
              <w:spacing w:after="0"/>
              <w:jc w:val="left"/>
              <w:rPr>
                <w:noProof/>
                <w:szCs w:val="18"/>
              </w:rPr>
            </w:pPr>
            <w:r w:rsidRPr="00D452D4">
              <w:rPr>
                <w:noProof/>
                <w:szCs w:val="18"/>
              </w:rPr>
              <w:t>Spojevi fluora</w:t>
            </w:r>
          </w:p>
        </w:tc>
        <w:tc>
          <w:tcPr>
            <w:tcW w:w="1005" w:type="dxa"/>
            <w:noWrap/>
            <w:vAlign w:val="center"/>
            <w:hideMark/>
          </w:tcPr>
          <w:p w14:paraId="777CAA3C" w14:textId="77777777" w:rsidR="008878A0" w:rsidRPr="00D452D4" w:rsidRDefault="008878A0" w:rsidP="00D452D4">
            <w:pPr>
              <w:jc w:val="right"/>
              <w:rPr>
                <w:noProof/>
                <w:szCs w:val="18"/>
              </w:rPr>
            </w:pPr>
          </w:p>
        </w:tc>
        <w:tc>
          <w:tcPr>
            <w:tcW w:w="1019" w:type="dxa"/>
            <w:noWrap/>
            <w:vAlign w:val="center"/>
            <w:hideMark/>
          </w:tcPr>
          <w:p w14:paraId="049BC40D" w14:textId="77777777" w:rsidR="008878A0" w:rsidRPr="00D452D4" w:rsidRDefault="008878A0" w:rsidP="00D452D4">
            <w:pPr>
              <w:spacing w:after="0"/>
              <w:jc w:val="right"/>
              <w:rPr>
                <w:szCs w:val="18"/>
                <w:lang w:eastAsia="hr-HR"/>
              </w:rPr>
            </w:pPr>
          </w:p>
        </w:tc>
        <w:tc>
          <w:tcPr>
            <w:tcW w:w="1019" w:type="dxa"/>
            <w:noWrap/>
            <w:vAlign w:val="center"/>
            <w:hideMark/>
          </w:tcPr>
          <w:p w14:paraId="66BCCAC3" w14:textId="77777777" w:rsidR="008878A0" w:rsidRPr="00D452D4" w:rsidRDefault="008878A0" w:rsidP="00D452D4">
            <w:pPr>
              <w:spacing w:after="0"/>
              <w:jc w:val="right"/>
              <w:rPr>
                <w:szCs w:val="18"/>
                <w:lang w:eastAsia="hr-HR"/>
              </w:rPr>
            </w:pPr>
          </w:p>
        </w:tc>
        <w:tc>
          <w:tcPr>
            <w:tcW w:w="903" w:type="dxa"/>
            <w:noWrap/>
            <w:vAlign w:val="center"/>
            <w:hideMark/>
          </w:tcPr>
          <w:p w14:paraId="73BB82D6" w14:textId="77777777" w:rsidR="008878A0" w:rsidRPr="00D452D4" w:rsidRDefault="008878A0" w:rsidP="00D452D4">
            <w:pPr>
              <w:spacing w:after="0"/>
              <w:jc w:val="right"/>
              <w:rPr>
                <w:noProof/>
                <w:szCs w:val="18"/>
              </w:rPr>
            </w:pPr>
            <w:r w:rsidRPr="00D452D4">
              <w:rPr>
                <w:noProof/>
                <w:szCs w:val="18"/>
              </w:rPr>
              <w:t>769,05 kg</w:t>
            </w:r>
          </w:p>
        </w:tc>
        <w:tc>
          <w:tcPr>
            <w:tcW w:w="976" w:type="dxa"/>
            <w:noWrap/>
            <w:vAlign w:val="center"/>
            <w:hideMark/>
          </w:tcPr>
          <w:p w14:paraId="7B975070" w14:textId="77777777" w:rsidR="008878A0" w:rsidRPr="00D452D4" w:rsidRDefault="008878A0" w:rsidP="00D452D4">
            <w:pPr>
              <w:spacing w:after="0"/>
              <w:jc w:val="right"/>
              <w:rPr>
                <w:noProof/>
                <w:szCs w:val="18"/>
              </w:rPr>
            </w:pPr>
            <w:r w:rsidRPr="00D452D4">
              <w:rPr>
                <w:noProof/>
                <w:szCs w:val="18"/>
              </w:rPr>
              <w:t>222,7 kg</w:t>
            </w:r>
          </w:p>
        </w:tc>
        <w:tc>
          <w:tcPr>
            <w:tcW w:w="976" w:type="dxa"/>
            <w:noWrap/>
            <w:vAlign w:val="center"/>
            <w:hideMark/>
          </w:tcPr>
          <w:p w14:paraId="76F5CCE6" w14:textId="77777777" w:rsidR="008878A0" w:rsidRPr="00D452D4" w:rsidRDefault="008878A0" w:rsidP="00D452D4">
            <w:pPr>
              <w:spacing w:after="0"/>
              <w:jc w:val="right"/>
              <w:rPr>
                <w:noProof/>
                <w:szCs w:val="18"/>
              </w:rPr>
            </w:pPr>
            <w:r w:rsidRPr="00D452D4">
              <w:rPr>
                <w:noProof/>
                <w:szCs w:val="18"/>
              </w:rPr>
              <w:t>236,5 kg</w:t>
            </w:r>
          </w:p>
        </w:tc>
        <w:tc>
          <w:tcPr>
            <w:tcW w:w="976" w:type="dxa"/>
            <w:noWrap/>
            <w:vAlign w:val="center"/>
            <w:hideMark/>
          </w:tcPr>
          <w:p w14:paraId="4EC28944" w14:textId="77777777" w:rsidR="008878A0" w:rsidRPr="00D452D4" w:rsidRDefault="008878A0" w:rsidP="00D452D4">
            <w:pPr>
              <w:spacing w:after="0"/>
              <w:jc w:val="right"/>
              <w:rPr>
                <w:noProof/>
                <w:szCs w:val="18"/>
              </w:rPr>
            </w:pPr>
            <w:r w:rsidRPr="00D452D4">
              <w:rPr>
                <w:noProof/>
                <w:szCs w:val="18"/>
              </w:rPr>
              <w:t>245,2 kg</w:t>
            </w:r>
          </w:p>
        </w:tc>
      </w:tr>
      <w:tr w:rsidR="008878A0" w:rsidRPr="00D452D4" w14:paraId="79AA2B18" w14:textId="77777777" w:rsidTr="000A346F">
        <w:trPr>
          <w:trHeight w:val="300"/>
        </w:trPr>
        <w:tc>
          <w:tcPr>
            <w:tcW w:w="2198" w:type="dxa"/>
            <w:vAlign w:val="center"/>
            <w:hideMark/>
          </w:tcPr>
          <w:p w14:paraId="0CEFC160" w14:textId="77777777" w:rsidR="008878A0" w:rsidRPr="00D452D4" w:rsidRDefault="008878A0" w:rsidP="00D452D4">
            <w:pPr>
              <w:spacing w:after="0"/>
              <w:jc w:val="left"/>
              <w:rPr>
                <w:noProof/>
                <w:szCs w:val="18"/>
              </w:rPr>
            </w:pPr>
            <w:r w:rsidRPr="00D452D4">
              <w:rPr>
                <w:noProof/>
                <w:szCs w:val="18"/>
              </w:rPr>
              <w:t>Ugljikov monoksid</w:t>
            </w:r>
          </w:p>
        </w:tc>
        <w:tc>
          <w:tcPr>
            <w:tcW w:w="1005" w:type="dxa"/>
            <w:noWrap/>
            <w:vAlign w:val="center"/>
            <w:hideMark/>
          </w:tcPr>
          <w:p w14:paraId="64DA3BE4" w14:textId="77777777" w:rsidR="008878A0" w:rsidRPr="00D452D4" w:rsidRDefault="008878A0" w:rsidP="00D452D4">
            <w:pPr>
              <w:jc w:val="right"/>
              <w:rPr>
                <w:noProof/>
                <w:szCs w:val="18"/>
              </w:rPr>
            </w:pPr>
          </w:p>
        </w:tc>
        <w:tc>
          <w:tcPr>
            <w:tcW w:w="1019" w:type="dxa"/>
            <w:noWrap/>
            <w:vAlign w:val="center"/>
            <w:hideMark/>
          </w:tcPr>
          <w:p w14:paraId="233886A0" w14:textId="77777777" w:rsidR="008878A0" w:rsidRPr="00D452D4" w:rsidRDefault="008878A0" w:rsidP="00D452D4">
            <w:pPr>
              <w:spacing w:after="0"/>
              <w:jc w:val="right"/>
              <w:rPr>
                <w:szCs w:val="18"/>
                <w:lang w:eastAsia="hr-HR"/>
              </w:rPr>
            </w:pPr>
          </w:p>
        </w:tc>
        <w:tc>
          <w:tcPr>
            <w:tcW w:w="1019" w:type="dxa"/>
            <w:noWrap/>
            <w:vAlign w:val="center"/>
            <w:hideMark/>
          </w:tcPr>
          <w:p w14:paraId="4A917813" w14:textId="77777777" w:rsidR="008878A0" w:rsidRPr="00D452D4" w:rsidRDefault="008878A0" w:rsidP="00D452D4">
            <w:pPr>
              <w:spacing w:after="0"/>
              <w:jc w:val="right"/>
              <w:rPr>
                <w:szCs w:val="18"/>
                <w:lang w:eastAsia="hr-HR"/>
              </w:rPr>
            </w:pPr>
          </w:p>
        </w:tc>
        <w:tc>
          <w:tcPr>
            <w:tcW w:w="903" w:type="dxa"/>
            <w:noWrap/>
            <w:vAlign w:val="center"/>
            <w:hideMark/>
          </w:tcPr>
          <w:p w14:paraId="49B84379" w14:textId="77777777" w:rsidR="008878A0" w:rsidRPr="00D452D4" w:rsidRDefault="008878A0" w:rsidP="00D452D4">
            <w:pPr>
              <w:spacing w:after="0"/>
              <w:jc w:val="right"/>
              <w:rPr>
                <w:noProof/>
                <w:szCs w:val="18"/>
              </w:rPr>
            </w:pPr>
            <w:r w:rsidRPr="00D452D4">
              <w:rPr>
                <w:noProof/>
                <w:szCs w:val="18"/>
              </w:rPr>
              <w:t>9 t</w:t>
            </w:r>
          </w:p>
        </w:tc>
        <w:tc>
          <w:tcPr>
            <w:tcW w:w="976" w:type="dxa"/>
            <w:noWrap/>
            <w:vAlign w:val="center"/>
            <w:hideMark/>
          </w:tcPr>
          <w:p w14:paraId="3D01593E" w14:textId="77777777" w:rsidR="008878A0" w:rsidRPr="00D452D4" w:rsidRDefault="008878A0" w:rsidP="00D452D4">
            <w:pPr>
              <w:spacing w:after="0"/>
              <w:jc w:val="right"/>
              <w:rPr>
                <w:noProof/>
                <w:szCs w:val="18"/>
              </w:rPr>
            </w:pPr>
            <w:r w:rsidRPr="00D452D4">
              <w:rPr>
                <w:noProof/>
                <w:szCs w:val="18"/>
              </w:rPr>
              <w:t>19,3 t</w:t>
            </w:r>
          </w:p>
        </w:tc>
        <w:tc>
          <w:tcPr>
            <w:tcW w:w="976" w:type="dxa"/>
            <w:noWrap/>
            <w:vAlign w:val="center"/>
            <w:hideMark/>
          </w:tcPr>
          <w:p w14:paraId="77C962A8" w14:textId="77777777" w:rsidR="008878A0" w:rsidRPr="00D452D4" w:rsidRDefault="008878A0" w:rsidP="00D452D4">
            <w:pPr>
              <w:spacing w:after="0"/>
              <w:jc w:val="right"/>
              <w:rPr>
                <w:noProof/>
                <w:szCs w:val="18"/>
              </w:rPr>
            </w:pPr>
            <w:r w:rsidRPr="00D452D4">
              <w:rPr>
                <w:noProof/>
                <w:szCs w:val="18"/>
              </w:rPr>
              <w:t>7,8 t</w:t>
            </w:r>
          </w:p>
        </w:tc>
        <w:tc>
          <w:tcPr>
            <w:tcW w:w="976" w:type="dxa"/>
            <w:noWrap/>
            <w:vAlign w:val="center"/>
            <w:hideMark/>
          </w:tcPr>
          <w:p w14:paraId="03DABDA6" w14:textId="77777777" w:rsidR="008878A0" w:rsidRPr="00D452D4" w:rsidRDefault="008878A0" w:rsidP="00D452D4">
            <w:pPr>
              <w:spacing w:after="0"/>
              <w:jc w:val="right"/>
              <w:rPr>
                <w:noProof/>
                <w:szCs w:val="18"/>
              </w:rPr>
            </w:pPr>
            <w:r w:rsidRPr="00D452D4">
              <w:rPr>
                <w:noProof/>
                <w:szCs w:val="18"/>
              </w:rPr>
              <w:t>10,2 t</w:t>
            </w:r>
          </w:p>
        </w:tc>
      </w:tr>
      <w:tr w:rsidR="008878A0" w:rsidRPr="00D452D4" w14:paraId="6C6B9BFB" w14:textId="77777777" w:rsidTr="000A346F">
        <w:trPr>
          <w:trHeight w:val="615"/>
        </w:trPr>
        <w:tc>
          <w:tcPr>
            <w:tcW w:w="2198" w:type="dxa"/>
            <w:vAlign w:val="center"/>
            <w:hideMark/>
          </w:tcPr>
          <w:p w14:paraId="104434DA" w14:textId="77777777" w:rsidR="008878A0" w:rsidRPr="00D452D4" w:rsidRDefault="008878A0" w:rsidP="00D452D4">
            <w:pPr>
              <w:spacing w:after="0"/>
              <w:jc w:val="left"/>
              <w:rPr>
                <w:noProof/>
                <w:szCs w:val="18"/>
              </w:rPr>
            </w:pPr>
            <w:r w:rsidRPr="00D452D4">
              <w:rPr>
                <w:noProof/>
                <w:szCs w:val="18"/>
              </w:rPr>
              <w:t>Nemetanski hlapivi organski spojevi (NMHOS)</w:t>
            </w:r>
          </w:p>
        </w:tc>
        <w:tc>
          <w:tcPr>
            <w:tcW w:w="1005" w:type="dxa"/>
            <w:noWrap/>
            <w:vAlign w:val="center"/>
            <w:hideMark/>
          </w:tcPr>
          <w:p w14:paraId="23AC4FDC" w14:textId="77777777" w:rsidR="008878A0" w:rsidRPr="00D452D4" w:rsidRDefault="008878A0" w:rsidP="00D452D4">
            <w:pPr>
              <w:jc w:val="right"/>
              <w:rPr>
                <w:noProof/>
                <w:szCs w:val="18"/>
              </w:rPr>
            </w:pPr>
          </w:p>
        </w:tc>
        <w:tc>
          <w:tcPr>
            <w:tcW w:w="1019" w:type="dxa"/>
            <w:noWrap/>
            <w:vAlign w:val="center"/>
            <w:hideMark/>
          </w:tcPr>
          <w:p w14:paraId="24807B66" w14:textId="77777777" w:rsidR="008878A0" w:rsidRPr="00D452D4" w:rsidRDefault="008878A0" w:rsidP="00D452D4">
            <w:pPr>
              <w:spacing w:after="0"/>
              <w:jc w:val="right"/>
              <w:rPr>
                <w:szCs w:val="18"/>
                <w:lang w:eastAsia="hr-HR"/>
              </w:rPr>
            </w:pPr>
          </w:p>
        </w:tc>
        <w:tc>
          <w:tcPr>
            <w:tcW w:w="1019" w:type="dxa"/>
            <w:noWrap/>
            <w:vAlign w:val="center"/>
            <w:hideMark/>
          </w:tcPr>
          <w:p w14:paraId="700AAEAD" w14:textId="77777777" w:rsidR="008878A0" w:rsidRPr="00D452D4" w:rsidRDefault="008878A0" w:rsidP="00D452D4">
            <w:pPr>
              <w:spacing w:after="0"/>
              <w:jc w:val="right"/>
              <w:rPr>
                <w:szCs w:val="18"/>
                <w:lang w:eastAsia="hr-HR"/>
              </w:rPr>
            </w:pPr>
          </w:p>
        </w:tc>
        <w:tc>
          <w:tcPr>
            <w:tcW w:w="903" w:type="dxa"/>
            <w:noWrap/>
            <w:vAlign w:val="center"/>
            <w:hideMark/>
          </w:tcPr>
          <w:p w14:paraId="64DC0CA5" w14:textId="77777777" w:rsidR="008878A0" w:rsidRPr="00D452D4" w:rsidRDefault="008878A0" w:rsidP="00D452D4">
            <w:pPr>
              <w:spacing w:after="0"/>
              <w:jc w:val="right"/>
              <w:rPr>
                <w:noProof/>
                <w:szCs w:val="18"/>
              </w:rPr>
            </w:pPr>
            <w:r w:rsidRPr="00D452D4">
              <w:rPr>
                <w:noProof/>
                <w:szCs w:val="18"/>
              </w:rPr>
              <w:t>82, 5 t</w:t>
            </w:r>
          </w:p>
        </w:tc>
        <w:tc>
          <w:tcPr>
            <w:tcW w:w="976" w:type="dxa"/>
            <w:noWrap/>
            <w:vAlign w:val="center"/>
            <w:hideMark/>
          </w:tcPr>
          <w:p w14:paraId="68DE0210" w14:textId="77777777" w:rsidR="008878A0" w:rsidRPr="00D452D4" w:rsidRDefault="008878A0" w:rsidP="00D452D4">
            <w:pPr>
              <w:jc w:val="right"/>
              <w:rPr>
                <w:noProof/>
                <w:szCs w:val="18"/>
              </w:rPr>
            </w:pPr>
          </w:p>
        </w:tc>
        <w:tc>
          <w:tcPr>
            <w:tcW w:w="976" w:type="dxa"/>
            <w:noWrap/>
            <w:vAlign w:val="center"/>
            <w:hideMark/>
          </w:tcPr>
          <w:p w14:paraId="2801FDC6" w14:textId="77777777" w:rsidR="008878A0" w:rsidRPr="00D452D4" w:rsidRDefault="008878A0" w:rsidP="00D452D4">
            <w:pPr>
              <w:spacing w:after="0"/>
              <w:jc w:val="right"/>
              <w:rPr>
                <w:szCs w:val="18"/>
                <w:lang w:eastAsia="hr-HR"/>
              </w:rPr>
            </w:pPr>
          </w:p>
        </w:tc>
        <w:tc>
          <w:tcPr>
            <w:tcW w:w="976" w:type="dxa"/>
            <w:noWrap/>
            <w:vAlign w:val="center"/>
            <w:hideMark/>
          </w:tcPr>
          <w:p w14:paraId="6F716639" w14:textId="77777777" w:rsidR="008878A0" w:rsidRPr="00D452D4" w:rsidRDefault="008878A0" w:rsidP="00D452D4">
            <w:pPr>
              <w:spacing w:after="0"/>
              <w:jc w:val="right"/>
              <w:rPr>
                <w:szCs w:val="18"/>
                <w:lang w:eastAsia="hr-HR"/>
              </w:rPr>
            </w:pPr>
          </w:p>
        </w:tc>
      </w:tr>
    </w:tbl>
    <w:p w14:paraId="774BCF03" w14:textId="4541BA8B" w:rsidR="008878A0" w:rsidRPr="006D7B27" w:rsidRDefault="008878A0" w:rsidP="003C2276">
      <w:pPr>
        <w:pStyle w:val="Izvor"/>
        <w:rPr>
          <w:i/>
          <w:color w:val="ABABAB" w:themeColor="text1" w:themeTint="A6"/>
          <w:sz w:val="16"/>
          <w:szCs w:val="16"/>
        </w:rPr>
      </w:pPr>
      <w:r w:rsidRPr="006D7B27">
        <w:rPr>
          <w:i/>
          <w:color w:val="ABABAB" w:themeColor="text1" w:themeTint="A6"/>
          <w:sz w:val="16"/>
          <w:szCs w:val="16"/>
        </w:rPr>
        <w:t>Izvor: Agencija za zaštitu okoliša</w:t>
      </w:r>
    </w:p>
    <w:p w14:paraId="45EDEB47" w14:textId="4B94CC46" w:rsidR="007231D6" w:rsidRDefault="007231D6" w:rsidP="00E745AE"/>
    <w:p w14:paraId="1830B140" w14:textId="46B14870" w:rsidR="00876D85" w:rsidRDefault="00876D85" w:rsidP="0052192B">
      <w:pPr>
        <w:pStyle w:val="Naslov2"/>
      </w:pPr>
      <w:bookmarkStart w:id="218" w:name="_Toc85181369"/>
      <w:r>
        <w:t>1</w:t>
      </w:r>
      <w:r w:rsidR="004840B8">
        <w:t>3</w:t>
      </w:r>
      <w:r>
        <w:t>.3. Vodoopskrba</w:t>
      </w:r>
      <w:bookmarkEnd w:id="218"/>
    </w:p>
    <w:p w14:paraId="1F0CB27A" w14:textId="77D7EF03" w:rsidR="00876D85" w:rsidRDefault="00876D85" w:rsidP="00876D85">
      <w:r>
        <w:br/>
        <w:t xml:space="preserve">Prema podacima Hrvatskog zavoda za javno zdravstvo, u Republici Hrvatskoj razlikuje se javna, lokalna i individualna vodoopskrba. Javnu vodoopskrbu obavljaju pravne osobe koje su registrirane za obavljanje djelatnosti javne vodoopskrbe odnosno JIVU-i. Lokalna vodoopskrba podrazumijeva lokalne vodovode o kojima uglavnom skrbe grupe građana ili mjesne zajednice. Individualna vodoopskrba podrazumijeva upotrebu individualnih zdenaca i cisterni/gusterni. U skladu s podacima objavljenima na web stranicama Hrvatskog zdravstveno-statističkog ljetopisa za 2018. – tablični podaci, u Krapinsko-zagorskoj županiji djeluju četiri vodovoda koji opskrbljuju 122.696 stanovnika i čine 92.3% priključenosti. Istovremeno, 44 lokalnih vodovoda opskrbljuje 20.581 stanovnika i čini 15.49% priključenosti. </w:t>
      </w:r>
    </w:p>
    <w:p w14:paraId="31F94F82" w14:textId="77777777" w:rsidR="003A069A" w:rsidRDefault="003A069A" w:rsidP="00876D85"/>
    <w:p w14:paraId="4527BE13" w14:textId="46599B38" w:rsidR="00876D85" w:rsidRDefault="00876D85" w:rsidP="003E3F3C">
      <w:pPr>
        <w:pStyle w:val="Opisslike"/>
      </w:pPr>
      <w:r>
        <w:lastRenderedPageBreak/>
        <w:t>Tablica</w:t>
      </w:r>
      <w:r w:rsidR="006D7B27">
        <w:t xml:space="preserve"> 1</w:t>
      </w:r>
      <w:r w:rsidR="00741E4F">
        <w:t>81</w:t>
      </w:r>
      <w:r>
        <w:t xml:space="preserve">. </w:t>
      </w:r>
      <w:r w:rsidRPr="00164AC4">
        <w:t>Broj priključenih stanovnika na vodovod</w:t>
      </w:r>
    </w:p>
    <w:tbl>
      <w:tblPr>
        <w:tblW w:w="9217" w:type="dxa"/>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1325"/>
        <w:gridCol w:w="1057"/>
        <w:gridCol w:w="1250"/>
        <w:gridCol w:w="1399"/>
        <w:gridCol w:w="1057"/>
        <w:gridCol w:w="1250"/>
        <w:gridCol w:w="1879"/>
      </w:tblGrid>
      <w:tr w:rsidR="00876D85" w:rsidRPr="00752F0C" w14:paraId="2C7851CD" w14:textId="77777777" w:rsidTr="001D3ADC">
        <w:trPr>
          <w:trHeight w:val="649"/>
        </w:trPr>
        <w:tc>
          <w:tcPr>
            <w:tcW w:w="1325" w:type="dxa"/>
            <w:vMerge w:val="restart"/>
            <w:shd w:val="clear" w:color="auto" w:fill="D2232A" w:themeFill="accent1"/>
            <w:vAlign w:val="center"/>
            <w:hideMark/>
          </w:tcPr>
          <w:p w14:paraId="20B3AAE2" w14:textId="77777777" w:rsidR="00876D85" w:rsidRPr="00752F0C" w:rsidRDefault="00876D85" w:rsidP="001D3ADC">
            <w:pPr>
              <w:spacing w:after="0" w:line="240" w:lineRule="auto"/>
              <w:rPr>
                <w:rFonts w:eastAsia="Times New Roman" w:cs="Calibri"/>
                <w:b/>
                <w:bCs/>
                <w:color w:val="FFFFFF" w:themeColor="background1"/>
                <w:szCs w:val="18"/>
                <w:lang w:val="en-GB" w:eastAsia="en-GB"/>
              </w:rPr>
            </w:pPr>
            <w:r w:rsidRPr="00752F0C">
              <w:rPr>
                <w:rFonts w:eastAsia="Times New Roman" w:cs="Calibri"/>
                <w:b/>
                <w:bCs/>
                <w:color w:val="FFFFFF" w:themeColor="background1"/>
                <w:szCs w:val="18"/>
                <w:lang w:val="en-GB" w:eastAsia="en-GB"/>
              </w:rPr>
              <w:t>Broj stanovnika (popis stanovništva 2011)</w:t>
            </w:r>
          </w:p>
        </w:tc>
        <w:tc>
          <w:tcPr>
            <w:tcW w:w="3706" w:type="dxa"/>
            <w:gridSpan w:val="3"/>
            <w:shd w:val="clear" w:color="auto" w:fill="D2232A" w:themeFill="accent1"/>
            <w:noWrap/>
            <w:vAlign w:val="center"/>
            <w:hideMark/>
          </w:tcPr>
          <w:p w14:paraId="27AF5A9F" w14:textId="77777777" w:rsidR="00876D85" w:rsidRPr="00752F0C" w:rsidRDefault="00876D85" w:rsidP="001D3ADC">
            <w:pPr>
              <w:spacing w:after="0" w:line="240" w:lineRule="auto"/>
              <w:jc w:val="center"/>
              <w:rPr>
                <w:rFonts w:eastAsia="Times New Roman" w:cs="Arial"/>
                <w:b/>
                <w:bCs/>
                <w:color w:val="FFFFFF" w:themeColor="background1"/>
                <w:szCs w:val="18"/>
                <w:lang w:val="en-GB" w:eastAsia="en-GB"/>
              </w:rPr>
            </w:pPr>
            <w:r w:rsidRPr="00752F0C">
              <w:rPr>
                <w:rFonts w:eastAsia="Times New Roman" w:cs="Arial"/>
                <w:b/>
                <w:bCs/>
                <w:color w:val="FFFFFF" w:themeColor="background1"/>
                <w:szCs w:val="18"/>
                <w:lang w:val="en-GB" w:eastAsia="en-GB"/>
              </w:rPr>
              <w:t>JAVNA VODOOPSKRBA</w:t>
            </w:r>
          </w:p>
        </w:tc>
        <w:tc>
          <w:tcPr>
            <w:tcW w:w="4186" w:type="dxa"/>
            <w:gridSpan w:val="3"/>
            <w:shd w:val="clear" w:color="auto" w:fill="D2232A" w:themeFill="accent1"/>
            <w:noWrap/>
            <w:vAlign w:val="center"/>
            <w:hideMark/>
          </w:tcPr>
          <w:p w14:paraId="0D345A49" w14:textId="77777777" w:rsidR="00876D85" w:rsidRPr="00752F0C" w:rsidRDefault="00876D85" w:rsidP="001D3ADC">
            <w:pPr>
              <w:spacing w:after="0" w:line="240" w:lineRule="auto"/>
              <w:jc w:val="center"/>
              <w:rPr>
                <w:rFonts w:eastAsia="Times New Roman" w:cs="Arial"/>
                <w:b/>
                <w:bCs/>
                <w:color w:val="FFFFFF" w:themeColor="background1"/>
                <w:szCs w:val="18"/>
                <w:lang w:val="en-GB" w:eastAsia="en-GB"/>
              </w:rPr>
            </w:pPr>
            <w:r w:rsidRPr="00752F0C">
              <w:rPr>
                <w:rFonts w:eastAsia="Times New Roman" w:cs="Arial"/>
                <w:b/>
                <w:bCs/>
                <w:color w:val="FFFFFF" w:themeColor="background1"/>
                <w:szCs w:val="18"/>
                <w:lang w:val="en-GB" w:eastAsia="en-GB"/>
              </w:rPr>
              <w:t>LOKALNA VODOOPSKRBA</w:t>
            </w:r>
          </w:p>
        </w:tc>
      </w:tr>
      <w:tr w:rsidR="00876D85" w:rsidRPr="00752F0C" w14:paraId="609CBD1E" w14:textId="77777777" w:rsidTr="001D3ADC">
        <w:trPr>
          <w:trHeight w:val="870"/>
        </w:trPr>
        <w:tc>
          <w:tcPr>
            <w:tcW w:w="0" w:type="auto"/>
            <w:vMerge/>
            <w:shd w:val="clear" w:color="auto" w:fill="D2232A" w:themeFill="accent1"/>
            <w:vAlign w:val="center"/>
            <w:hideMark/>
          </w:tcPr>
          <w:p w14:paraId="1EE6F08E" w14:textId="77777777" w:rsidR="00876D85" w:rsidRPr="00752F0C" w:rsidRDefault="00876D85" w:rsidP="001D3ADC">
            <w:pPr>
              <w:spacing w:after="0"/>
              <w:rPr>
                <w:rFonts w:eastAsia="Times New Roman" w:cs="Calibri"/>
                <w:b/>
                <w:bCs/>
                <w:szCs w:val="18"/>
                <w:lang w:val="en-GB" w:eastAsia="en-GB"/>
              </w:rPr>
            </w:pPr>
          </w:p>
        </w:tc>
        <w:tc>
          <w:tcPr>
            <w:tcW w:w="1057" w:type="dxa"/>
            <w:tcBorders>
              <w:bottom w:val="single" w:sz="4" w:space="0" w:color="D2232A" w:themeColor="accent1"/>
            </w:tcBorders>
            <w:shd w:val="clear" w:color="auto" w:fill="EBEBEB" w:themeFill="accent3" w:themeFillTint="33"/>
            <w:vAlign w:val="center"/>
            <w:hideMark/>
          </w:tcPr>
          <w:p w14:paraId="1CA72B37" w14:textId="77777777" w:rsidR="00876D85" w:rsidRPr="00752F0C" w:rsidRDefault="00876D85" w:rsidP="001D3ADC">
            <w:pPr>
              <w:spacing w:after="0" w:line="240" w:lineRule="auto"/>
              <w:jc w:val="left"/>
              <w:rPr>
                <w:rFonts w:eastAsia="Times New Roman" w:cs="Calibri"/>
                <w:b/>
                <w:bCs/>
                <w:szCs w:val="18"/>
                <w:lang w:val="en-GB" w:eastAsia="en-GB"/>
              </w:rPr>
            </w:pPr>
            <w:r w:rsidRPr="00752F0C">
              <w:rPr>
                <w:rFonts w:eastAsia="Times New Roman" w:cs="Calibri"/>
                <w:b/>
                <w:bCs/>
                <w:szCs w:val="18"/>
                <w:lang w:val="en-GB" w:eastAsia="en-GB"/>
              </w:rPr>
              <w:t>Broj vodovoda</w:t>
            </w:r>
          </w:p>
        </w:tc>
        <w:tc>
          <w:tcPr>
            <w:tcW w:w="1250" w:type="dxa"/>
            <w:tcBorders>
              <w:bottom w:val="single" w:sz="4" w:space="0" w:color="D2232A" w:themeColor="accent1"/>
            </w:tcBorders>
            <w:shd w:val="clear" w:color="auto" w:fill="EBEBEB" w:themeFill="accent3" w:themeFillTint="33"/>
            <w:vAlign w:val="center"/>
            <w:hideMark/>
          </w:tcPr>
          <w:p w14:paraId="5431963A" w14:textId="77777777" w:rsidR="00876D85" w:rsidRPr="00752F0C" w:rsidRDefault="00876D85" w:rsidP="001D3ADC">
            <w:pPr>
              <w:spacing w:after="0" w:line="240" w:lineRule="auto"/>
              <w:jc w:val="left"/>
              <w:rPr>
                <w:rFonts w:eastAsia="Times New Roman" w:cs="Calibri"/>
                <w:b/>
                <w:bCs/>
                <w:szCs w:val="18"/>
                <w:lang w:val="en-GB" w:eastAsia="en-GB"/>
              </w:rPr>
            </w:pPr>
            <w:r w:rsidRPr="00752F0C">
              <w:rPr>
                <w:rFonts w:eastAsia="Times New Roman" w:cs="Calibri"/>
                <w:b/>
                <w:bCs/>
                <w:szCs w:val="18"/>
                <w:lang w:val="en-GB" w:eastAsia="en-GB"/>
              </w:rPr>
              <w:t xml:space="preserve">Broj priključenih stanovnika </w:t>
            </w:r>
          </w:p>
        </w:tc>
        <w:tc>
          <w:tcPr>
            <w:tcW w:w="1399" w:type="dxa"/>
            <w:tcBorders>
              <w:bottom w:val="single" w:sz="4" w:space="0" w:color="D2232A" w:themeColor="accent1"/>
            </w:tcBorders>
            <w:shd w:val="clear" w:color="auto" w:fill="EBEBEB" w:themeFill="accent3" w:themeFillTint="33"/>
            <w:vAlign w:val="center"/>
            <w:hideMark/>
          </w:tcPr>
          <w:p w14:paraId="0D5D0039" w14:textId="77777777" w:rsidR="00876D85" w:rsidRPr="00752F0C" w:rsidRDefault="00876D85" w:rsidP="001D3ADC">
            <w:pPr>
              <w:spacing w:after="0" w:line="240" w:lineRule="auto"/>
              <w:jc w:val="left"/>
              <w:rPr>
                <w:rFonts w:eastAsia="Times New Roman" w:cs="Calibri"/>
                <w:b/>
                <w:bCs/>
                <w:szCs w:val="18"/>
                <w:lang w:val="en-GB" w:eastAsia="en-GB"/>
              </w:rPr>
            </w:pPr>
            <w:r w:rsidRPr="00752F0C">
              <w:rPr>
                <w:rFonts w:eastAsia="Times New Roman" w:cs="Calibri"/>
                <w:b/>
                <w:bCs/>
                <w:szCs w:val="18"/>
                <w:lang w:val="en-GB" w:eastAsia="en-GB"/>
              </w:rPr>
              <w:t>% priključenosti</w:t>
            </w:r>
            <w:r w:rsidRPr="00752F0C">
              <w:rPr>
                <w:rFonts w:eastAsia="Times New Roman" w:cs="Calibri"/>
                <w:i/>
                <w:iCs/>
                <w:szCs w:val="18"/>
                <w:lang w:val="en-GB" w:eastAsia="en-GB"/>
              </w:rPr>
              <w:t xml:space="preserve"> </w:t>
            </w:r>
          </w:p>
        </w:tc>
        <w:tc>
          <w:tcPr>
            <w:tcW w:w="1057" w:type="dxa"/>
            <w:tcBorders>
              <w:bottom w:val="single" w:sz="4" w:space="0" w:color="D2232A" w:themeColor="accent1"/>
            </w:tcBorders>
            <w:shd w:val="clear" w:color="auto" w:fill="EBEBEB" w:themeFill="accent3" w:themeFillTint="33"/>
            <w:vAlign w:val="center"/>
            <w:hideMark/>
          </w:tcPr>
          <w:p w14:paraId="43DE3351" w14:textId="77777777" w:rsidR="00876D85" w:rsidRPr="00752F0C" w:rsidRDefault="00876D85" w:rsidP="001D3ADC">
            <w:pPr>
              <w:spacing w:after="0" w:line="240" w:lineRule="auto"/>
              <w:jc w:val="left"/>
              <w:rPr>
                <w:rFonts w:eastAsia="Times New Roman" w:cs="Calibri"/>
                <w:b/>
                <w:bCs/>
                <w:szCs w:val="18"/>
                <w:lang w:val="en-GB" w:eastAsia="en-GB"/>
              </w:rPr>
            </w:pPr>
            <w:r w:rsidRPr="00752F0C">
              <w:rPr>
                <w:rFonts w:eastAsia="Times New Roman" w:cs="Calibri"/>
                <w:b/>
                <w:bCs/>
                <w:szCs w:val="18"/>
                <w:lang w:val="en-GB" w:eastAsia="en-GB"/>
              </w:rPr>
              <w:t>Broj vodovoda</w:t>
            </w:r>
            <w:r w:rsidRPr="00752F0C">
              <w:rPr>
                <w:rFonts w:eastAsia="Times New Roman" w:cs="Calibri"/>
                <w:i/>
                <w:iCs/>
                <w:szCs w:val="18"/>
                <w:lang w:val="en-GB" w:eastAsia="en-GB"/>
              </w:rPr>
              <w:t xml:space="preserve"> </w:t>
            </w:r>
          </w:p>
        </w:tc>
        <w:tc>
          <w:tcPr>
            <w:tcW w:w="1250" w:type="dxa"/>
            <w:tcBorders>
              <w:bottom w:val="single" w:sz="4" w:space="0" w:color="D2232A" w:themeColor="accent1"/>
            </w:tcBorders>
            <w:shd w:val="clear" w:color="auto" w:fill="EBEBEB" w:themeFill="accent3" w:themeFillTint="33"/>
            <w:vAlign w:val="center"/>
            <w:hideMark/>
          </w:tcPr>
          <w:p w14:paraId="3E639580" w14:textId="77777777" w:rsidR="00876D85" w:rsidRPr="00752F0C" w:rsidRDefault="00876D85" w:rsidP="001D3ADC">
            <w:pPr>
              <w:spacing w:after="0" w:line="240" w:lineRule="auto"/>
              <w:jc w:val="left"/>
              <w:rPr>
                <w:rFonts w:eastAsia="Times New Roman" w:cs="Calibri"/>
                <w:b/>
                <w:bCs/>
                <w:szCs w:val="18"/>
                <w:lang w:val="en-GB" w:eastAsia="en-GB"/>
              </w:rPr>
            </w:pPr>
            <w:r w:rsidRPr="00752F0C">
              <w:rPr>
                <w:rFonts w:eastAsia="Times New Roman" w:cs="Calibri"/>
                <w:b/>
                <w:bCs/>
                <w:szCs w:val="18"/>
                <w:lang w:val="en-GB" w:eastAsia="en-GB"/>
              </w:rPr>
              <w:t xml:space="preserve">Broj priključenih stanovnika </w:t>
            </w:r>
          </w:p>
        </w:tc>
        <w:tc>
          <w:tcPr>
            <w:tcW w:w="1879" w:type="dxa"/>
            <w:tcBorders>
              <w:bottom w:val="single" w:sz="4" w:space="0" w:color="D2232A" w:themeColor="accent1"/>
            </w:tcBorders>
            <w:shd w:val="clear" w:color="auto" w:fill="EBEBEB" w:themeFill="accent3" w:themeFillTint="33"/>
            <w:vAlign w:val="center"/>
            <w:hideMark/>
          </w:tcPr>
          <w:p w14:paraId="0D6B18A2" w14:textId="77777777" w:rsidR="00876D85" w:rsidRPr="00752F0C" w:rsidRDefault="00876D85" w:rsidP="001D3ADC">
            <w:pPr>
              <w:spacing w:after="0" w:line="240" w:lineRule="auto"/>
              <w:jc w:val="left"/>
              <w:rPr>
                <w:rFonts w:eastAsia="Times New Roman" w:cs="Calibri"/>
                <w:b/>
                <w:bCs/>
                <w:szCs w:val="18"/>
                <w:lang w:val="en-GB" w:eastAsia="en-GB"/>
              </w:rPr>
            </w:pPr>
            <w:r w:rsidRPr="00752F0C">
              <w:rPr>
                <w:rFonts w:eastAsia="Times New Roman" w:cs="Calibri"/>
                <w:b/>
                <w:bCs/>
                <w:szCs w:val="18"/>
                <w:lang w:val="en-GB" w:eastAsia="en-GB"/>
              </w:rPr>
              <w:t xml:space="preserve">% priključenosti </w:t>
            </w:r>
          </w:p>
        </w:tc>
      </w:tr>
      <w:tr w:rsidR="00876D85" w:rsidRPr="00752F0C" w14:paraId="0EE9510D" w14:textId="77777777" w:rsidTr="001D3ADC">
        <w:trPr>
          <w:trHeight w:val="649"/>
        </w:trPr>
        <w:tc>
          <w:tcPr>
            <w:tcW w:w="1325" w:type="dxa"/>
            <w:tcBorders>
              <w:bottom w:val="single" w:sz="4" w:space="0" w:color="D2232A" w:themeColor="accent1"/>
            </w:tcBorders>
            <w:vAlign w:val="center"/>
            <w:hideMark/>
          </w:tcPr>
          <w:p w14:paraId="780FFF90" w14:textId="77777777" w:rsidR="00876D85" w:rsidRPr="00752F0C" w:rsidRDefault="00876D85" w:rsidP="001D3ADC">
            <w:pPr>
              <w:spacing w:after="0" w:line="240" w:lineRule="auto"/>
              <w:rPr>
                <w:rFonts w:eastAsia="Times New Roman" w:cs="Calibri"/>
                <w:szCs w:val="18"/>
                <w:lang w:val="en-GB" w:eastAsia="en-GB"/>
              </w:rPr>
            </w:pPr>
            <w:r w:rsidRPr="00752F0C">
              <w:rPr>
                <w:rFonts w:eastAsia="Times New Roman" w:cs="Calibri"/>
                <w:szCs w:val="18"/>
                <w:lang w:val="en-GB" w:eastAsia="en-GB"/>
              </w:rPr>
              <w:t>132.892</w:t>
            </w:r>
          </w:p>
        </w:tc>
        <w:tc>
          <w:tcPr>
            <w:tcW w:w="1057" w:type="dxa"/>
            <w:tcBorders>
              <w:top w:val="single" w:sz="4" w:space="0" w:color="D2232A" w:themeColor="accent1"/>
              <w:bottom w:val="single" w:sz="4" w:space="0" w:color="D2232A" w:themeColor="accent1"/>
            </w:tcBorders>
            <w:vAlign w:val="center"/>
            <w:hideMark/>
          </w:tcPr>
          <w:p w14:paraId="18CC2516" w14:textId="77777777" w:rsidR="00876D85" w:rsidRPr="00752F0C" w:rsidRDefault="00876D85" w:rsidP="001D3ADC">
            <w:pPr>
              <w:spacing w:after="0" w:line="240" w:lineRule="auto"/>
              <w:jc w:val="left"/>
              <w:rPr>
                <w:rFonts w:eastAsia="Times New Roman" w:cs="Calibri"/>
                <w:szCs w:val="18"/>
                <w:lang w:val="en-GB" w:eastAsia="en-GB"/>
              </w:rPr>
            </w:pPr>
            <w:r w:rsidRPr="00752F0C">
              <w:rPr>
                <w:rFonts w:eastAsia="Times New Roman" w:cs="Calibri"/>
                <w:szCs w:val="18"/>
                <w:lang w:val="en-GB" w:eastAsia="en-GB"/>
              </w:rPr>
              <w:t>4</w:t>
            </w:r>
          </w:p>
        </w:tc>
        <w:tc>
          <w:tcPr>
            <w:tcW w:w="1250" w:type="dxa"/>
            <w:tcBorders>
              <w:top w:val="single" w:sz="4" w:space="0" w:color="D2232A" w:themeColor="accent1"/>
              <w:bottom w:val="single" w:sz="4" w:space="0" w:color="D2232A" w:themeColor="accent1"/>
            </w:tcBorders>
            <w:vAlign w:val="center"/>
            <w:hideMark/>
          </w:tcPr>
          <w:p w14:paraId="6AB77483" w14:textId="77777777" w:rsidR="00876D85" w:rsidRPr="00752F0C" w:rsidRDefault="00876D85" w:rsidP="001D3ADC">
            <w:pPr>
              <w:spacing w:after="0" w:line="240" w:lineRule="auto"/>
              <w:jc w:val="left"/>
              <w:rPr>
                <w:rFonts w:eastAsia="Times New Roman" w:cs="Calibri"/>
                <w:szCs w:val="18"/>
                <w:lang w:val="en-GB" w:eastAsia="en-GB"/>
              </w:rPr>
            </w:pPr>
            <w:r w:rsidRPr="00752F0C">
              <w:rPr>
                <w:rFonts w:eastAsia="Times New Roman" w:cs="Calibri"/>
                <w:szCs w:val="18"/>
                <w:lang w:val="en-GB" w:eastAsia="en-GB"/>
              </w:rPr>
              <w:t>122.696</w:t>
            </w:r>
          </w:p>
        </w:tc>
        <w:tc>
          <w:tcPr>
            <w:tcW w:w="1399" w:type="dxa"/>
            <w:tcBorders>
              <w:top w:val="single" w:sz="4" w:space="0" w:color="D2232A" w:themeColor="accent1"/>
              <w:bottom w:val="single" w:sz="4" w:space="0" w:color="D2232A" w:themeColor="accent1"/>
            </w:tcBorders>
            <w:vAlign w:val="center"/>
            <w:hideMark/>
          </w:tcPr>
          <w:p w14:paraId="1AFDB649" w14:textId="77777777" w:rsidR="00876D85" w:rsidRPr="00752F0C" w:rsidRDefault="00876D85" w:rsidP="001D3ADC">
            <w:pPr>
              <w:spacing w:after="0" w:line="240" w:lineRule="auto"/>
              <w:jc w:val="left"/>
              <w:rPr>
                <w:rFonts w:eastAsia="Times New Roman" w:cs="Calibri"/>
                <w:szCs w:val="18"/>
                <w:lang w:val="en-GB" w:eastAsia="en-GB"/>
              </w:rPr>
            </w:pPr>
            <w:r w:rsidRPr="00752F0C">
              <w:rPr>
                <w:rFonts w:eastAsia="Times New Roman" w:cs="Calibri"/>
                <w:szCs w:val="18"/>
                <w:lang w:val="en-GB" w:eastAsia="en-GB"/>
              </w:rPr>
              <w:t>92,3</w:t>
            </w:r>
          </w:p>
        </w:tc>
        <w:tc>
          <w:tcPr>
            <w:tcW w:w="1057" w:type="dxa"/>
            <w:tcBorders>
              <w:top w:val="single" w:sz="4" w:space="0" w:color="D2232A" w:themeColor="accent1"/>
              <w:bottom w:val="single" w:sz="4" w:space="0" w:color="D2232A" w:themeColor="accent1"/>
            </w:tcBorders>
            <w:vAlign w:val="center"/>
            <w:hideMark/>
          </w:tcPr>
          <w:p w14:paraId="1246C931" w14:textId="77777777" w:rsidR="00876D85" w:rsidRPr="00752F0C" w:rsidRDefault="00876D85" w:rsidP="001D3ADC">
            <w:pPr>
              <w:spacing w:after="0" w:line="240" w:lineRule="auto"/>
              <w:jc w:val="left"/>
              <w:rPr>
                <w:rFonts w:eastAsia="Times New Roman" w:cs="Calibri"/>
                <w:szCs w:val="18"/>
                <w:lang w:val="en-GB" w:eastAsia="en-GB"/>
              </w:rPr>
            </w:pPr>
            <w:r w:rsidRPr="00752F0C">
              <w:rPr>
                <w:rFonts w:eastAsia="Times New Roman" w:cs="Calibri"/>
                <w:szCs w:val="18"/>
                <w:lang w:val="en-GB" w:eastAsia="en-GB"/>
              </w:rPr>
              <w:t>44</w:t>
            </w:r>
          </w:p>
        </w:tc>
        <w:tc>
          <w:tcPr>
            <w:tcW w:w="1250" w:type="dxa"/>
            <w:tcBorders>
              <w:top w:val="single" w:sz="4" w:space="0" w:color="D2232A" w:themeColor="accent1"/>
              <w:bottom w:val="single" w:sz="4" w:space="0" w:color="D2232A" w:themeColor="accent1"/>
            </w:tcBorders>
            <w:vAlign w:val="center"/>
            <w:hideMark/>
          </w:tcPr>
          <w:p w14:paraId="40A118E5" w14:textId="77777777" w:rsidR="00876D85" w:rsidRPr="00752F0C" w:rsidRDefault="00876D85" w:rsidP="001D3ADC">
            <w:pPr>
              <w:spacing w:after="0" w:line="240" w:lineRule="auto"/>
              <w:jc w:val="left"/>
              <w:rPr>
                <w:rFonts w:eastAsia="Times New Roman" w:cs="Calibri"/>
                <w:szCs w:val="18"/>
                <w:lang w:val="en-GB" w:eastAsia="en-GB"/>
              </w:rPr>
            </w:pPr>
            <w:r w:rsidRPr="00752F0C">
              <w:rPr>
                <w:rFonts w:eastAsia="Times New Roman" w:cs="Calibri"/>
                <w:szCs w:val="18"/>
                <w:lang w:val="en-GB" w:eastAsia="en-GB"/>
              </w:rPr>
              <w:t>20.581</w:t>
            </w:r>
          </w:p>
        </w:tc>
        <w:tc>
          <w:tcPr>
            <w:tcW w:w="1879" w:type="dxa"/>
            <w:tcBorders>
              <w:top w:val="single" w:sz="4" w:space="0" w:color="D2232A" w:themeColor="accent1"/>
              <w:bottom w:val="single" w:sz="4" w:space="0" w:color="D2232A" w:themeColor="accent1"/>
            </w:tcBorders>
            <w:vAlign w:val="center"/>
            <w:hideMark/>
          </w:tcPr>
          <w:p w14:paraId="7F44D697" w14:textId="77777777" w:rsidR="00876D85" w:rsidRPr="00752F0C" w:rsidRDefault="00876D85" w:rsidP="001D3ADC">
            <w:pPr>
              <w:spacing w:after="0" w:line="240" w:lineRule="auto"/>
              <w:jc w:val="left"/>
              <w:rPr>
                <w:rFonts w:eastAsia="Times New Roman" w:cs="Calibri"/>
                <w:szCs w:val="18"/>
                <w:lang w:val="en-GB" w:eastAsia="en-GB"/>
              </w:rPr>
            </w:pPr>
            <w:r w:rsidRPr="00752F0C">
              <w:rPr>
                <w:rFonts w:eastAsia="Times New Roman" w:cs="Calibri"/>
                <w:szCs w:val="18"/>
                <w:lang w:val="en-GB" w:eastAsia="en-GB"/>
              </w:rPr>
              <w:t>15,49</w:t>
            </w:r>
          </w:p>
        </w:tc>
      </w:tr>
    </w:tbl>
    <w:p w14:paraId="27D70C4F" w14:textId="56E174D4" w:rsidR="00876D85" w:rsidRPr="006D7B27" w:rsidRDefault="00876D85" w:rsidP="003C2276">
      <w:pPr>
        <w:pStyle w:val="Izvor"/>
        <w:rPr>
          <w:i/>
          <w:color w:val="ABABAB" w:themeColor="text1" w:themeTint="A6"/>
          <w:sz w:val="16"/>
          <w:szCs w:val="16"/>
        </w:rPr>
      </w:pPr>
      <w:r w:rsidRPr="006D7B27">
        <w:rPr>
          <w:i/>
          <w:color w:val="ABABAB" w:themeColor="text1" w:themeTint="A6"/>
          <w:sz w:val="16"/>
          <w:szCs w:val="16"/>
        </w:rPr>
        <w:t>Izvor: Zavod za javno zdravstvo, studeni 2019.</w:t>
      </w:r>
    </w:p>
    <w:p w14:paraId="224BC2DB" w14:textId="77777777" w:rsidR="00FB7B93" w:rsidRDefault="00FB7B93" w:rsidP="00855D8D">
      <w:pPr>
        <w:pStyle w:val="Izvor"/>
      </w:pPr>
    </w:p>
    <w:p w14:paraId="7FFFE918" w14:textId="77777777" w:rsidR="00876D85" w:rsidRPr="00752F0C" w:rsidRDefault="00876D85" w:rsidP="00876D85">
      <w:pPr>
        <w:rPr>
          <w:sz w:val="22"/>
          <w:szCs w:val="22"/>
        </w:rPr>
      </w:pPr>
      <w:r w:rsidRPr="00752F0C">
        <w:t>Javna poduzeća koja su registrirana za obavljanje djelatnosti vodoopskrbe su: Zagorski vodovod d.o.o. Zabok, „Krakom – vodoopskrba i odvodnja“ d.o.o. Krapina, „VIOP Pregrada“ d.o.o. Pregrada i „HUMVIO“ d.o.o. Hum na Sutli.</w:t>
      </w:r>
    </w:p>
    <w:p w14:paraId="179E38FB" w14:textId="77777777" w:rsidR="00876D85" w:rsidRPr="00752F0C" w:rsidRDefault="00876D85" w:rsidP="002F13CF">
      <w:pPr>
        <w:pStyle w:val="Odlomakpopisa"/>
        <w:numPr>
          <w:ilvl w:val="0"/>
          <w:numId w:val="8"/>
        </w:numPr>
      </w:pPr>
      <w:r w:rsidRPr="00752F0C">
        <w:t>Zagorski vodovod d.o.o. upravlja 171 km magistralne vodoo</w:t>
      </w:r>
      <w:r>
        <w:t>p</w:t>
      </w:r>
      <w:r w:rsidRPr="00752F0C">
        <w:t>skrbne mreže, s 1.684 km mjesne vodovodne mreže te 335 km priključnih cjevovoda;</w:t>
      </w:r>
    </w:p>
    <w:p w14:paraId="2BFCA105" w14:textId="77777777" w:rsidR="00876D85" w:rsidRPr="00752F0C" w:rsidRDefault="00876D85" w:rsidP="002F13CF">
      <w:pPr>
        <w:pStyle w:val="Odlomakpopisa"/>
        <w:numPr>
          <w:ilvl w:val="0"/>
          <w:numId w:val="8"/>
        </w:numPr>
      </w:pPr>
      <w:r w:rsidRPr="00752F0C">
        <w:t>Krakom – vodoopskrba i odvodnja d.o.o. upravlja s 240 km vodoopskrbnih cjevovoda;</w:t>
      </w:r>
    </w:p>
    <w:p w14:paraId="15B9FA43" w14:textId="77777777" w:rsidR="00876D85" w:rsidRPr="00752F0C" w:rsidRDefault="00876D85" w:rsidP="002F13CF">
      <w:pPr>
        <w:pStyle w:val="Odlomakpopisa"/>
        <w:numPr>
          <w:ilvl w:val="0"/>
          <w:numId w:val="8"/>
        </w:numPr>
      </w:pPr>
      <w:r w:rsidRPr="00752F0C">
        <w:t>VIOP Pregrada d.o.o. upravlja sa 197 km vodoopskrbne mreže;</w:t>
      </w:r>
    </w:p>
    <w:p w14:paraId="1AC28DB8" w14:textId="77777777" w:rsidR="00876D85" w:rsidRPr="00752F0C" w:rsidRDefault="00876D85" w:rsidP="002F13CF">
      <w:pPr>
        <w:pStyle w:val="Odlomakpopisa"/>
        <w:numPr>
          <w:ilvl w:val="0"/>
          <w:numId w:val="8"/>
        </w:numPr>
      </w:pPr>
      <w:r w:rsidRPr="00752F0C">
        <w:t>HUMVIO upravlja s</w:t>
      </w:r>
      <w:r>
        <w:t>a</w:t>
      </w:r>
      <w:r w:rsidRPr="00752F0C">
        <w:t xml:space="preserve"> 166 km vodoopskrbne mreže.</w:t>
      </w:r>
    </w:p>
    <w:p w14:paraId="34C39A38" w14:textId="77777777" w:rsidR="00876D85" w:rsidRPr="00752F0C" w:rsidRDefault="00876D85" w:rsidP="00876D85">
      <w:r w:rsidRPr="00752F0C">
        <w:t xml:space="preserve">U Krapinsko-zagorskoj županiji trenutno postoje 44 lokalna vodovoda, što je uz Varaždinsku i Zagrebačku ubraja u županije s najvećim brojem lokalnih vodovoda. Ipak, prema novom Zakonu o vodnim uslugama koji je na snazi od 18. srpnja 2019. godine, javni </w:t>
      </w:r>
      <w:r w:rsidRPr="00E745AE">
        <w:t>isporučitelji vodnih usluga dužni su u roku od šest mjeseci po izvršnosti rješenja o ispunjenju posebnih uvjeta iz članka 16. stavka 5. ovoga Zakona</w:t>
      </w:r>
      <w:r w:rsidRPr="00752F0C">
        <w:t xml:space="preserve"> popisati lokalne vodovode kojim</w:t>
      </w:r>
      <w:r>
        <w:t>a</w:t>
      </w:r>
      <w:r w:rsidRPr="00752F0C">
        <w:t xml:space="preserve"> se isporučuje </w:t>
      </w:r>
      <w:r>
        <w:t>prosječno</w:t>
      </w:r>
      <w:r w:rsidRPr="00752F0C">
        <w:t xml:space="preserve"> 10 m³ vode na dan ili opskrbljuje više od 50 ljudi. Lokalni vodovodi izgrađeni prije stupanja na snagu ovog Zakona prenijet će se na upravljanje javnom isporučitelju vodnih usluga na uslužnom području. Na taj će se način osigurati zdravstvena ispravnost vode za ljudsku potrošnju iz lokalnih vodovoda, što do sad nije bio slučaj. Naime, prema podacima iz Hrvatskog zdravstveno-statističkog ljetopisa za 2018. – tablični podaci, od 165 uzoraka vode iz lokalnih vodovoda, njih 81 ili 49,1 % bilo je neispravno. </w:t>
      </w:r>
    </w:p>
    <w:p w14:paraId="4F003008" w14:textId="3AB292D9" w:rsidR="00876D85" w:rsidRPr="004840B8" w:rsidRDefault="00876D85" w:rsidP="004840B8">
      <w:pPr>
        <w:spacing w:after="0" w:line="240" w:lineRule="auto"/>
        <w:rPr>
          <w:rFonts w:ascii="Times New Roman" w:eastAsia="Times New Roman" w:hAnsi="Times New Roman" w:cs="Times New Roman"/>
          <w:color w:val="auto"/>
          <w:sz w:val="24"/>
          <w:szCs w:val="24"/>
          <w:lang w:eastAsia="hr-HR"/>
        </w:rPr>
      </w:pPr>
      <w:r w:rsidRPr="00752F0C">
        <w:t>Pokazatelji kvalitete vode i njezine zdravstvene ispravnosti određeni su odredbama Pravilnika o zdravstvenoj ispravnosti vode za piće (</w:t>
      </w:r>
      <w:r w:rsidR="00415A3F" w:rsidRPr="00415A3F">
        <w:rPr>
          <w:rFonts w:eastAsia="Times New Roman" w:cs="Times New Roman"/>
        </w:rPr>
        <w:t>N</w:t>
      </w:r>
      <w:r w:rsidR="004840B8">
        <w:rPr>
          <w:rFonts w:eastAsia="Times New Roman" w:cs="Times New Roman"/>
        </w:rPr>
        <w:t xml:space="preserve">N </w:t>
      </w:r>
      <w:r w:rsidR="00415A3F" w:rsidRPr="00415A3F">
        <w:rPr>
          <w:rFonts w:eastAsia="Times New Roman" w:cs="Times New Roman"/>
        </w:rPr>
        <w:t>47/08</w:t>
      </w:r>
      <w:r w:rsidRPr="00752F0C">
        <w:t xml:space="preserve">). Zdravstvenu ispravnost vode provjerava Zavod za javno zdravstvo Krapinsko-zagorske županije. U tablici u nastavku prikazano je kako je u razdoblju od 2016. do 2018. godine, za koje su dostupni potrebni podaci, postotak neispravnih uzoraka vode iz lokalnih vodovoda smanjen za 9,5 postotnih bodova. </w:t>
      </w:r>
    </w:p>
    <w:p w14:paraId="5A9139D2" w14:textId="77777777" w:rsidR="00FB7B93" w:rsidRPr="00752F0C" w:rsidRDefault="00FB7B93" w:rsidP="00876D85"/>
    <w:p w14:paraId="553F8D01" w14:textId="00DD1AF9" w:rsidR="00876D85" w:rsidRDefault="00876D85" w:rsidP="003E3F3C">
      <w:pPr>
        <w:pStyle w:val="Opisslike"/>
      </w:pPr>
      <w:r>
        <w:t>Tablica</w:t>
      </w:r>
      <w:r w:rsidR="006D7B27">
        <w:t xml:space="preserve"> 1</w:t>
      </w:r>
      <w:r w:rsidR="00741E4F">
        <w:t>82</w:t>
      </w:r>
      <w:r>
        <w:t xml:space="preserve">. </w:t>
      </w:r>
      <w:r w:rsidRPr="001F6045">
        <w:t>Postotak neispravnih uzoraka vode u KZŽ u periodu 2016.-2018.</w:t>
      </w:r>
    </w:p>
    <w:tbl>
      <w:tblPr>
        <w:tblW w:w="0" w:type="auto"/>
        <w:jc w:val="center"/>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3052"/>
        <w:gridCol w:w="6107"/>
      </w:tblGrid>
      <w:tr w:rsidR="00876D85" w:rsidRPr="00752F0C" w14:paraId="2AFCDF56" w14:textId="77777777" w:rsidTr="00746BE2">
        <w:trPr>
          <w:trHeight w:val="347"/>
          <w:jc w:val="center"/>
        </w:trPr>
        <w:tc>
          <w:tcPr>
            <w:tcW w:w="3052" w:type="dxa"/>
            <w:shd w:val="clear" w:color="auto" w:fill="D2232A" w:themeFill="accent1"/>
            <w:noWrap/>
            <w:vAlign w:val="center"/>
            <w:hideMark/>
          </w:tcPr>
          <w:p w14:paraId="02114100" w14:textId="77777777" w:rsidR="00876D85" w:rsidRPr="00752F0C" w:rsidRDefault="00876D85" w:rsidP="00746BE2">
            <w:pPr>
              <w:spacing w:after="0"/>
              <w:jc w:val="center"/>
              <w:rPr>
                <w:b/>
                <w:bCs/>
                <w:iCs/>
                <w:color w:val="FFFFFF" w:themeColor="background1"/>
                <w:lang w:val="en-GB"/>
              </w:rPr>
            </w:pPr>
            <w:r w:rsidRPr="00752F0C">
              <w:rPr>
                <w:b/>
                <w:bCs/>
                <w:iCs/>
                <w:color w:val="FFFFFF" w:themeColor="background1"/>
              </w:rPr>
              <w:t>Godina</w:t>
            </w:r>
          </w:p>
        </w:tc>
        <w:tc>
          <w:tcPr>
            <w:tcW w:w="6107" w:type="dxa"/>
            <w:shd w:val="clear" w:color="auto" w:fill="D2232A" w:themeFill="accent1"/>
            <w:noWrap/>
            <w:vAlign w:val="center"/>
            <w:hideMark/>
          </w:tcPr>
          <w:p w14:paraId="6AF7441C" w14:textId="77777777" w:rsidR="00876D85" w:rsidRPr="00752F0C" w:rsidRDefault="00876D85" w:rsidP="00746BE2">
            <w:pPr>
              <w:spacing w:after="0"/>
              <w:jc w:val="center"/>
              <w:rPr>
                <w:b/>
                <w:bCs/>
                <w:iCs/>
                <w:color w:val="FFFFFF" w:themeColor="background1"/>
              </w:rPr>
            </w:pPr>
            <w:r w:rsidRPr="00752F0C">
              <w:rPr>
                <w:b/>
                <w:bCs/>
                <w:iCs/>
                <w:color w:val="FFFFFF" w:themeColor="background1"/>
              </w:rPr>
              <w:t>Postotak neispravnih uzoraka</w:t>
            </w:r>
          </w:p>
        </w:tc>
      </w:tr>
      <w:tr w:rsidR="00876D85" w:rsidRPr="00752F0C" w14:paraId="2AA444DA" w14:textId="77777777" w:rsidTr="00746BE2">
        <w:trPr>
          <w:trHeight w:val="347"/>
          <w:jc w:val="center"/>
        </w:trPr>
        <w:tc>
          <w:tcPr>
            <w:tcW w:w="3052" w:type="dxa"/>
            <w:noWrap/>
            <w:vAlign w:val="center"/>
            <w:hideMark/>
          </w:tcPr>
          <w:p w14:paraId="4210A5B5" w14:textId="77777777" w:rsidR="00876D85" w:rsidRPr="00752F0C" w:rsidRDefault="00876D85" w:rsidP="00746BE2">
            <w:pPr>
              <w:spacing w:after="0"/>
              <w:jc w:val="center"/>
              <w:rPr>
                <w:iCs/>
              </w:rPr>
            </w:pPr>
            <w:r w:rsidRPr="00752F0C">
              <w:rPr>
                <w:iCs/>
              </w:rPr>
              <w:t>2016.</w:t>
            </w:r>
          </w:p>
        </w:tc>
        <w:tc>
          <w:tcPr>
            <w:tcW w:w="6107" w:type="dxa"/>
            <w:noWrap/>
            <w:vAlign w:val="center"/>
            <w:hideMark/>
          </w:tcPr>
          <w:p w14:paraId="13B1E4D4" w14:textId="77777777" w:rsidR="00876D85" w:rsidRPr="00752F0C" w:rsidRDefault="00876D85" w:rsidP="00746BE2">
            <w:pPr>
              <w:spacing w:after="0"/>
              <w:jc w:val="center"/>
              <w:rPr>
                <w:iCs/>
              </w:rPr>
            </w:pPr>
            <w:r w:rsidRPr="00752F0C">
              <w:rPr>
                <w:iCs/>
              </w:rPr>
              <w:t>58,6%</w:t>
            </w:r>
          </w:p>
        </w:tc>
      </w:tr>
      <w:tr w:rsidR="00876D85" w:rsidRPr="00752F0C" w14:paraId="2A973575" w14:textId="77777777" w:rsidTr="00746BE2">
        <w:trPr>
          <w:trHeight w:val="347"/>
          <w:jc w:val="center"/>
        </w:trPr>
        <w:tc>
          <w:tcPr>
            <w:tcW w:w="3052" w:type="dxa"/>
            <w:noWrap/>
            <w:vAlign w:val="center"/>
            <w:hideMark/>
          </w:tcPr>
          <w:p w14:paraId="7AF21CA2" w14:textId="77777777" w:rsidR="00876D85" w:rsidRPr="00752F0C" w:rsidRDefault="00876D85" w:rsidP="00746BE2">
            <w:pPr>
              <w:spacing w:after="0"/>
              <w:jc w:val="center"/>
              <w:rPr>
                <w:iCs/>
              </w:rPr>
            </w:pPr>
            <w:r w:rsidRPr="00752F0C">
              <w:rPr>
                <w:iCs/>
              </w:rPr>
              <w:t>2017.</w:t>
            </w:r>
          </w:p>
        </w:tc>
        <w:tc>
          <w:tcPr>
            <w:tcW w:w="6107" w:type="dxa"/>
            <w:noWrap/>
            <w:vAlign w:val="center"/>
            <w:hideMark/>
          </w:tcPr>
          <w:p w14:paraId="354170F5" w14:textId="77777777" w:rsidR="00876D85" w:rsidRPr="00752F0C" w:rsidRDefault="00876D85" w:rsidP="00746BE2">
            <w:pPr>
              <w:spacing w:after="0"/>
              <w:jc w:val="center"/>
              <w:rPr>
                <w:iCs/>
              </w:rPr>
            </w:pPr>
            <w:r w:rsidRPr="00752F0C">
              <w:rPr>
                <w:iCs/>
              </w:rPr>
              <w:t>54,5%</w:t>
            </w:r>
          </w:p>
        </w:tc>
      </w:tr>
      <w:tr w:rsidR="00876D85" w:rsidRPr="00752F0C" w14:paraId="7282A0FF" w14:textId="77777777" w:rsidTr="00746BE2">
        <w:trPr>
          <w:trHeight w:val="347"/>
          <w:jc w:val="center"/>
        </w:trPr>
        <w:tc>
          <w:tcPr>
            <w:tcW w:w="3052" w:type="dxa"/>
            <w:tcBorders>
              <w:bottom w:val="single" w:sz="4" w:space="0" w:color="D2232A" w:themeColor="accent1"/>
            </w:tcBorders>
            <w:noWrap/>
            <w:vAlign w:val="center"/>
            <w:hideMark/>
          </w:tcPr>
          <w:p w14:paraId="05EA83CD" w14:textId="77777777" w:rsidR="00876D85" w:rsidRPr="00752F0C" w:rsidRDefault="00876D85" w:rsidP="00746BE2">
            <w:pPr>
              <w:spacing w:after="0"/>
              <w:jc w:val="center"/>
              <w:rPr>
                <w:iCs/>
              </w:rPr>
            </w:pPr>
            <w:r w:rsidRPr="00752F0C">
              <w:rPr>
                <w:iCs/>
              </w:rPr>
              <w:t>2018.</w:t>
            </w:r>
          </w:p>
        </w:tc>
        <w:tc>
          <w:tcPr>
            <w:tcW w:w="6107" w:type="dxa"/>
            <w:tcBorders>
              <w:bottom w:val="single" w:sz="4" w:space="0" w:color="D2232A" w:themeColor="accent1"/>
            </w:tcBorders>
            <w:noWrap/>
            <w:vAlign w:val="center"/>
            <w:hideMark/>
          </w:tcPr>
          <w:p w14:paraId="10CF0F17" w14:textId="77777777" w:rsidR="00876D85" w:rsidRPr="00752F0C" w:rsidRDefault="00876D85" w:rsidP="00746BE2">
            <w:pPr>
              <w:spacing w:after="0"/>
              <w:jc w:val="center"/>
              <w:rPr>
                <w:iCs/>
              </w:rPr>
            </w:pPr>
            <w:r w:rsidRPr="00752F0C">
              <w:rPr>
                <w:iCs/>
              </w:rPr>
              <w:t>49,1%</w:t>
            </w:r>
          </w:p>
        </w:tc>
      </w:tr>
    </w:tbl>
    <w:p w14:paraId="186746F5" w14:textId="106421E1" w:rsidR="00876D85" w:rsidRPr="006D7B27" w:rsidRDefault="00876D85" w:rsidP="003C2276">
      <w:pPr>
        <w:pStyle w:val="Izvor"/>
        <w:rPr>
          <w:i/>
          <w:color w:val="ABABAB" w:themeColor="text1" w:themeTint="A6"/>
          <w:sz w:val="16"/>
          <w:szCs w:val="16"/>
        </w:rPr>
      </w:pPr>
      <w:r w:rsidRPr="006D7B27">
        <w:rPr>
          <w:i/>
          <w:color w:val="ABABAB" w:themeColor="text1" w:themeTint="A6"/>
          <w:sz w:val="16"/>
          <w:szCs w:val="16"/>
        </w:rPr>
        <w:t>Izvor: Hrvatski zdravstveno-statistički ljetopis 2016.-2018.</w:t>
      </w:r>
    </w:p>
    <w:p w14:paraId="6C74807D" w14:textId="77777777" w:rsidR="00FB7B93" w:rsidRDefault="00FB7B93" w:rsidP="00855D8D">
      <w:pPr>
        <w:pStyle w:val="Izvor"/>
      </w:pPr>
    </w:p>
    <w:p w14:paraId="4D19E345" w14:textId="4EB5C0EA" w:rsidR="00876D85" w:rsidRDefault="00876D85" w:rsidP="00876D85">
      <w:r>
        <w:t>Kako je primjetno, taj je postotak još uvijek vrlo visok, te upućuje na činjenicu da je gotovo polovica vode iz lokalnih vodovoda neispravna. U srpnju 2019. godine osamdesetak ljudi potražilo je liječničku pomoć zbog trovanja vodom na području Krapinsko-zagorske županije, točnije s područja općine Mihovljan. U Zavodu za javno zdravstvo KZŽ potvrđeno je da su izvorišta zagađena, odnosno da u vodi ima puno više bakterija od dozvoljenih vrijednosti. Razlog zagađenja su jake padaline koje su pogodile područje Krapinsko - zagorske županije uslijed kojih je u vodu ušao mulj. Jedino trajno rješenje ovakvih problema vidi se u priključenj</w:t>
      </w:r>
      <w:r w:rsidR="00415A3F">
        <w:t>u</w:t>
      </w:r>
      <w:r>
        <w:t xml:space="preserve"> lokalnih vodovoda u sustav javnog vodovoda. Na lokalne je vodovode, prema podacima Hrvatskog zavoda za javno zdravstvo u 2018. godini bilo priključeno 20 581 žitelja Županije.</w:t>
      </w:r>
    </w:p>
    <w:p w14:paraId="7530A5BB" w14:textId="77777777" w:rsidR="00876D85" w:rsidRDefault="00876D85" w:rsidP="00876D85">
      <w:r>
        <w:t>Što se tiče izvorišta na području Krapinsko-zagorske županije, Zavod za javno zdravstvo vrši monitoring izvorišta vode za piće i neprerađene vode. U 2018. godini od 17 uzoraka njih 7, ili 41,2% bilo je neispravno. Od navedenog, dva su uzorka bila kemijski neispravna, a njih šest mikrobiološki neispravna. Navedeno je osjetno više od 2016. godine kada 28,6 % uzoraka nije bilo ispravno, te 2017. godine kada je 15,4% uzoraka bilo neispravno.</w:t>
      </w:r>
    </w:p>
    <w:p w14:paraId="6652E4B4" w14:textId="77777777" w:rsidR="00876D85" w:rsidRDefault="00876D85" w:rsidP="00876D85">
      <w:r>
        <w:t>Prema podacima koje su dostavili Humvio d.o.o., VIOP d.o.o., Krakom d.o.o. i Zagorski vodovod d.o.o., ukupna godišnja zahvaćena voda u okviru javnih vodoopskrbnih sustava u 2018. godini iznosila je 8.113.889 m</w:t>
      </w:r>
      <w:r w:rsidRPr="00B607B5">
        <w:rPr>
          <w:vertAlign w:val="superscript"/>
        </w:rPr>
        <w:t>3</w:t>
      </w:r>
      <w:r>
        <w:t>, a isporučena 4.988.452 m</w:t>
      </w:r>
      <w:r w:rsidRPr="001272BF">
        <w:rPr>
          <w:vertAlign w:val="superscript"/>
        </w:rPr>
        <w:t>3</w:t>
      </w:r>
      <w:r>
        <w:t xml:space="preserve">. Navedeni podaci ukazuju na gubitak od 38,5% zahvaćene vode. </w:t>
      </w:r>
    </w:p>
    <w:p w14:paraId="151CAB47" w14:textId="77777777" w:rsidR="00876D85" w:rsidRDefault="00876D85" w:rsidP="00876D85">
      <w:r>
        <w:lastRenderedPageBreak/>
        <w:t>Od većih kapitalnih investicija u sektoru vodoopskrbe, planira se dogradnja sustava vodoopskrbe naselja „visoke zone“ na području grada Zaboka te opskrba vodom „Visoke zone“ Lobor – Mače i Novi Golubovec iz izvorišta Mlačine Grabari. Također se projektiraju i grade kapitalni objekti nužni za povećanje kapaciteta sustava i sigurnosti vodoopskrbe stanovništva te za potrebe poduzetničke zone grada Zaboka, među kojima novi vodospremnik Zabok V = 1.500 m</w:t>
      </w:r>
      <w:r w:rsidRPr="00B607B5">
        <w:rPr>
          <w:vertAlign w:val="superscript"/>
        </w:rPr>
        <w:t>3</w:t>
      </w:r>
      <w:r>
        <w:t>. U fazi izgradnje je kapitalna investicija i cjevovodi vezani uz C.S. Gredice. Ukupna ulaganja za navedene investicije na području grada Zaboka (i rubnih područja prema susjednim JLS) do 2019. godine planiraju se u iznosu cca 60.000.000,00 kn.</w:t>
      </w:r>
    </w:p>
    <w:p w14:paraId="07E38D20" w14:textId="77777777" w:rsidR="00876D85" w:rsidRDefault="00876D85" w:rsidP="00876D85">
      <w:r>
        <w:t>Od planiranih projekata i investicija za naredno plansko razdoblje, potrebno je navesti završene projekte:</w:t>
      </w:r>
    </w:p>
    <w:p w14:paraId="3FA9BF4B" w14:textId="77777777" w:rsidR="00876D85" w:rsidRDefault="00876D85" w:rsidP="002F13CF">
      <w:pPr>
        <w:pStyle w:val="Odlomakpopisa"/>
        <w:numPr>
          <w:ilvl w:val="0"/>
          <w:numId w:val="19"/>
        </w:numPr>
      </w:pPr>
      <w:r>
        <w:t>Sustav Harina Zlaka III B faza – iz bunara HRZ-2,</w:t>
      </w:r>
    </w:p>
    <w:p w14:paraId="6E1C82B3" w14:textId="77777777" w:rsidR="00876D85" w:rsidRDefault="00876D85" w:rsidP="002F13CF">
      <w:pPr>
        <w:pStyle w:val="Odlomakpopisa"/>
        <w:numPr>
          <w:ilvl w:val="0"/>
          <w:numId w:val="19"/>
        </w:numPr>
      </w:pPr>
      <w:r>
        <w:t>Visoka zona grada Zlatara – Kadoići, Kantociji, Bartolini (h.s. i cjevovodi),</w:t>
      </w:r>
    </w:p>
    <w:p w14:paraId="56CF00CA" w14:textId="77777777" w:rsidR="00876D85" w:rsidRDefault="00876D85" w:rsidP="002F13CF">
      <w:pPr>
        <w:pStyle w:val="Odlomakpopisa"/>
        <w:numPr>
          <w:ilvl w:val="0"/>
          <w:numId w:val="19"/>
        </w:numPr>
      </w:pPr>
      <w:r>
        <w:t>HS Jankovčica i cjevovodi na vodoopskrbnom podsustavu Bedekovčina,</w:t>
      </w:r>
    </w:p>
    <w:p w14:paraId="5E5E37A6" w14:textId="77777777" w:rsidR="00876D85" w:rsidRDefault="00876D85" w:rsidP="002F13CF">
      <w:pPr>
        <w:pStyle w:val="Odlomakpopisa"/>
        <w:numPr>
          <w:ilvl w:val="0"/>
          <w:numId w:val="19"/>
        </w:numPr>
      </w:pPr>
      <w:r>
        <w:t>Opskrba vodom područja „niske zone“ naselja Veliko Trgovišće, Opskrba vodom naselja Velika Erpenja,</w:t>
      </w:r>
    </w:p>
    <w:p w14:paraId="5F89B538" w14:textId="77777777" w:rsidR="00876D85" w:rsidRDefault="00876D85" w:rsidP="002F13CF">
      <w:pPr>
        <w:pStyle w:val="Odlomakpopisa"/>
        <w:numPr>
          <w:ilvl w:val="0"/>
          <w:numId w:val="19"/>
        </w:numPr>
      </w:pPr>
      <w:r>
        <w:t>Vodoopskrbni sustav Hrašćina - Budinščina, podsustav u općini Budinščina – nastavak,</w:t>
      </w:r>
    </w:p>
    <w:p w14:paraId="40F9FDFC" w14:textId="77777777" w:rsidR="00876D85" w:rsidRDefault="00876D85" w:rsidP="002F13CF">
      <w:pPr>
        <w:pStyle w:val="Odlomakpopisa"/>
        <w:numPr>
          <w:ilvl w:val="0"/>
          <w:numId w:val="19"/>
        </w:numPr>
      </w:pPr>
      <w:r>
        <w:t>Opskrba vodom naselja Kraljev vrh 3 FAZA – spoj Strmec - Pila,</w:t>
      </w:r>
    </w:p>
    <w:p w14:paraId="519181D1" w14:textId="77777777" w:rsidR="00876D85" w:rsidRDefault="00876D85" w:rsidP="002F13CF">
      <w:pPr>
        <w:pStyle w:val="Odlomakpopisa"/>
        <w:numPr>
          <w:ilvl w:val="0"/>
          <w:numId w:val="19"/>
        </w:numPr>
      </w:pPr>
      <w:r>
        <w:t>Vodoopskrba "visoke zone" Općine Desinić H.S. Košnica i opskrbni cjevovodi,</w:t>
      </w:r>
    </w:p>
    <w:p w14:paraId="562DFD86" w14:textId="77777777" w:rsidR="00876D85" w:rsidRDefault="00876D85" w:rsidP="002F13CF">
      <w:pPr>
        <w:pStyle w:val="Odlomakpopisa"/>
        <w:numPr>
          <w:ilvl w:val="0"/>
          <w:numId w:val="19"/>
        </w:numPr>
      </w:pPr>
      <w:r>
        <w:t>Šavorići - KONJŠČINA – PEŠČENO,</w:t>
      </w:r>
    </w:p>
    <w:p w14:paraId="3D63EC46" w14:textId="77777777" w:rsidR="00876D85" w:rsidRDefault="00876D85" w:rsidP="002F13CF">
      <w:pPr>
        <w:pStyle w:val="Odlomakpopisa"/>
        <w:numPr>
          <w:ilvl w:val="0"/>
          <w:numId w:val="19"/>
        </w:numPr>
      </w:pPr>
      <w:r>
        <w:t>Dogradnja NUS-a.</w:t>
      </w:r>
    </w:p>
    <w:p w14:paraId="3D6C172A" w14:textId="77777777" w:rsidR="00876D85" w:rsidRDefault="00876D85" w:rsidP="00876D85">
      <w:pPr>
        <w:pStyle w:val="Odlomakpopisa"/>
      </w:pPr>
    </w:p>
    <w:p w14:paraId="76C18903" w14:textId="7F3BC8AE" w:rsidR="00876D85" w:rsidRDefault="00876D85" w:rsidP="00876D85">
      <w:r>
        <w:t>Projekti koji su djelomično završeni:</w:t>
      </w:r>
    </w:p>
    <w:p w14:paraId="79B2215C" w14:textId="77777777" w:rsidR="00876D85" w:rsidRDefault="00876D85" w:rsidP="002F13CF">
      <w:pPr>
        <w:pStyle w:val="Odlomakpopisa"/>
        <w:numPr>
          <w:ilvl w:val="0"/>
          <w:numId w:val="19"/>
        </w:numPr>
      </w:pPr>
      <w:r>
        <w:t>Opskrba vodom „niske zone“ naselja Marija Bistrica – izvedena VS Cerine, ostali objekti (magistralni cjevovod i CS s tlačnim vodom)  nisu u realizaciji,</w:t>
      </w:r>
    </w:p>
    <w:p w14:paraId="41B6CE91" w14:textId="77777777" w:rsidR="00876D85" w:rsidRDefault="00876D85" w:rsidP="002F13CF">
      <w:pPr>
        <w:pStyle w:val="Odlomakpopisa"/>
        <w:numPr>
          <w:ilvl w:val="0"/>
          <w:numId w:val="19"/>
        </w:numPr>
      </w:pPr>
      <w:r>
        <w:t>Opskrba vodom područja naselja Hum Bistrički, Donja i Gornja Selnica, – izvedena VS Hum Bistrički, ostali objekti ( cjevovodi i CS s tlačnim vodom)  u pripremi postupka javne nabave,</w:t>
      </w:r>
    </w:p>
    <w:p w14:paraId="1D1F6C2A" w14:textId="77777777" w:rsidR="00876D85" w:rsidRDefault="00876D85" w:rsidP="002F13CF">
      <w:pPr>
        <w:pStyle w:val="Odlomakpopisa"/>
        <w:numPr>
          <w:ilvl w:val="0"/>
          <w:numId w:val="19"/>
        </w:numPr>
      </w:pPr>
      <w:r>
        <w:t>Opskrba vodom naselja Mihovljan- izvedeno djelomično ( cca 20%), ostalo nije u realizaciji,</w:t>
      </w:r>
    </w:p>
    <w:p w14:paraId="598558C7" w14:textId="77777777" w:rsidR="00876D85" w:rsidRDefault="00876D85" w:rsidP="002F13CF">
      <w:pPr>
        <w:pStyle w:val="Odlomakpopisa"/>
        <w:numPr>
          <w:ilvl w:val="0"/>
          <w:numId w:val="19"/>
        </w:numPr>
      </w:pPr>
      <w:r>
        <w:t>Rekonstrukcija dijela magistralnog cjevovoda Lobor - Zabok dionica C.S. Cetinovec - P.K. Bukovec (DN 250, L = 1 km), - izvedeno djelomično, ( cca 50%) ostalo nije u realizaciji,</w:t>
      </w:r>
    </w:p>
    <w:p w14:paraId="6BABBC1B" w14:textId="77777777" w:rsidR="00876D85" w:rsidRDefault="00876D85" w:rsidP="002F13CF">
      <w:pPr>
        <w:pStyle w:val="Odlomakpopisa"/>
        <w:numPr>
          <w:ilvl w:val="0"/>
          <w:numId w:val="19"/>
        </w:numPr>
      </w:pPr>
      <w:r>
        <w:t>Rekonstrukcija dijela magistralnog cjevovoda Lobor - V.S. Kaštel dionica C.S. Cetinovec - V.S. Cetinovec - V.S. Kaštel (DN 200, L = 1 km), izvedeno djelomično ( cca 50%), ostalo nije u realizaciji.</w:t>
      </w:r>
    </w:p>
    <w:p w14:paraId="365C54A4" w14:textId="77777777" w:rsidR="00876D85" w:rsidRDefault="00876D85" w:rsidP="00876D85">
      <w:pPr>
        <w:pStyle w:val="Odlomakpopisa"/>
      </w:pPr>
    </w:p>
    <w:p w14:paraId="0F27E2BC" w14:textId="110A3ADB" w:rsidR="00876D85" w:rsidRDefault="00876D85" w:rsidP="006207AF">
      <w:pPr>
        <w:pStyle w:val="podpodnaslov111"/>
      </w:pPr>
      <w:bookmarkStart w:id="219" w:name="_Toc85181370"/>
      <w:r>
        <w:t>1</w:t>
      </w:r>
      <w:r w:rsidR="004840B8">
        <w:t>3</w:t>
      </w:r>
      <w:r>
        <w:t>.3.1. Gubitak vode u vodoopskrbi</w:t>
      </w:r>
      <w:bookmarkEnd w:id="219"/>
    </w:p>
    <w:p w14:paraId="083200E5" w14:textId="77777777" w:rsidR="00876D85" w:rsidRDefault="00876D85" w:rsidP="00876D85">
      <w:r>
        <w:br/>
        <w:t>Na temelju odredbi Zakona o vodama, Strategija upravljanja vodama donesena 15. srpnja 2008. godine dugoročni je planski dokument kojim se utvrđuju vizija, misija, ciljevi i zadaće državne politike u upravljanju vodama. Njome se ističe kako je voda jedinstven i nezamjenjiv prirodni resurs ograničenih količina i neravnomjerne prostorne i vremenske raspodjele. Štedljivo i racionalno korištenje vode jedno je od temeljnih načela Strategije upravljanja vodama Republike Hrvatske. Neracionalna potrošnja vode je rezultat, između ostalog, visokih gubitaka, koji su posljedica zastarjelosti i nedovoljnog održavanja sustava javne vodoopskrbe.</w:t>
      </w:r>
    </w:p>
    <w:p w14:paraId="01590652" w14:textId="77777777" w:rsidR="00876D85" w:rsidRDefault="00876D85" w:rsidP="00876D85">
      <w:r>
        <w:t>Prema podacima koje su dostavili Humvio d.o.o., VIOP d.o.o., Krakom d.o.o. i Zagorski vodovod d.o.o., ukupna godišnja zahvaćena voda u okviru javnih vodoopskrbnih sustava u 2018. godini iznosila je 8.113.889 m</w:t>
      </w:r>
      <w:r w:rsidRPr="007D5093">
        <w:rPr>
          <w:vertAlign w:val="superscript"/>
        </w:rPr>
        <w:t>3</w:t>
      </w:r>
      <w:r>
        <w:t>, a isporučena 4.988.452 m</w:t>
      </w:r>
      <w:r w:rsidRPr="007D5093">
        <w:rPr>
          <w:vertAlign w:val="superscript"/>
        </w:rPr>
        <w:t>3</w:t>
      </w:r>
      <w:r>
        <w:t>. Navedeni podaci ukazuju na gubitak od 38,5% zahvaćene vode, čime je vidljivo smanje gubitka vode u odnosu na 2014. godinu kada je gubitak vode iznosio 45,0%.</w:t>
      </w:r>
    </w:p>
    <w:p w14:paraId="4F5422F2" w14:textId="77777777" w:rsidR="00876D85" w:rsidRDefault="00876D85" w:rsidP="00876D85">
      <w:r>
        <w:t>Zagorski vodovod, Vodoopskrba i odvodnja Hum na Sutli (HUMVIO) i Vodoopskrba i odvodnja Pregrada (VIOP) bavi se aktivnostima koje su vezane na smanjenje gubitka vode u sustavu. Zagorski vodovod s ciljem smanjenja gubitka te unapređenja kontrole curenja RJ Vodoopskrba prepoznala je i pokrenula niz sustavnih mjera i aktivnosti. Sustav je temeljem međunarodnih standarda (IWA metodologija) podijeljen na DMA zone, regulaciju tlaka i aktivnu kontrolu curenja. Zagorski vodovod ima ugrađen nadzorno upravljački sustav (NUS) sukladno kojeg se prate vitalni dijelovi sustava te stanje količine vode u svim vodoopskrbnim objektima, tlak, protok i upravljanje uređajima za prepumpavanje vode. NUS je instaliran u CS Gredice putem kojeg dežurni zaposlenici 0 – 24 sata upravljaju sustavom. Zagorski vodovod također već duži niz godina radi na obnovi pumpnih i hidroforskih stanica gdje se ugrađuju pumpe najnovije generacije x frekventnom regulacijom te GPRS modulima koji su povezani s NUS-om, a koje sprečavaju nastanak hidrauličkih udara i samim time smanjuje se i broj puknuća cjevovoda.</w:t>
      </w:r>
    </w:p>
    <w:p w14:paraId="69CD8FBB" w14:textId="77777777" w:rsidR="00876D85" w:rsidRDefault="00876D85" w:rsidP="00876D85">
      <w:r>
        <w:t>Vodoopskrba i odvodnja Hum na Sutli (HUMVIO) planira dogradnju postojeće stare distributivne mreže na svojem području:</w:t>
      </w:r>
    </w:p>
    <w:p w14:paraId="0E0FDADE" w14:textId="77777777" w:rsidR="00876D85" w:rsidRDefault="00876D85" w:rsidP="002F13CF">
      <w:pPr>
        <w:pStyle w:val="Odlomakpopisa"/>
        <w:numPr>
          <w:ilvl w:val="0"/>
          <w:numId w:val="9"/>
        </w:numPr>
      </w:pPr>
      <w:r>
        <w:t>Distributivna mreža vezana na magistralni vodoopskrbni cjevovod podsustav Harina Zlaka II.C faza, 3. dio (Lastine, Grletinec, Klauže, Vrbišnica) dužina cca 2 000 m,</w:t>
      </w:r>
    </w:p>
    <w:p w14:paraId="114C39A3" w14:textId="77777777" w:rsidR="00876D85" w:rsidRDefault="00876D85" w:rsidP="002F13CF">
      <w:pPr>
        <w:pStyle w:val="Odlomakpopisa"/>
        <w:numPr>
          <w:ilvl w:val="0"/>
          <w:numId w:val="9"/>
        </w:numPr>
      </w:pPr>
      <w:r>
        <w:t>Distributivna mreža vezana na magistralni vodoopskrbni cjevovod podsustav Harina Zlaka II.C faza, 4. dio (nizinski dio Prišlin, Mali Tabor, Brezno Gornje i Donje, Zalug) dužina cca 5 000 m,</w:t>
      </w:r>
    </w:p>
    <w:p w14:paraId="344BE487" w14:textId="77777777" w:rsidR="00876D85" w:rsidRDefault="00876D85" w:rsidP="002F13CF">
      <w:pPr>
        <w:pStyle w:val="Odlomakpopisa"/>
        <w:numPr>
          <w:ilvl w:val="0"/>
          <w:numId w:val="9"/>
        </w:numPr>
      </w:pPr>
      <w:r>
        <w:lastRenderedPageBreak/>
        <w:t>Distributivna mreža vezana na magistralni vodoopskrbni cjevovod Harina Zlaka llC-faza, 2. dio (Donji Hum) dužina cca 2 000 m,</w:t>
      </w:r>
    </w:p>
    <w:p w14:paraId="5E8ADF5D" w14:textId="77777777" w:rsidR="00876D85" w:rsidRDefault="00876D85" w:rsidP="002F13CF">
      <w:pPr>
        <w:pStyle w:val="Odlomakpopisa"/>
        <w:numPr>
          <w:ilvl w:val="0"/>
          <w:numId w:val="9"/>
        </w:numPr>
      </w:pPr>
      <w:r>
        <w:t>Distributivna mreža vezana na magistralni vodoopskrbni cjevovod Harina Zlaka llC-faza, 1. dio (visoki dio Prišlin, Poredje) dužina cca 1 500 m,</w:t>
      </w:r>
    </w:p>
    <w:p w14:paraId="10A7E833" w14:textId="77777777" w:rsidR="00876D85" w:rsidRDefault="00876D85" w:rsidP="002F13CF">
      <w:pPr>
        <w:pStyle w:val="Odlomakpopisa"/>
        <w:numPr>
          <w:ilvl w:val="0"/>
          <w:numId w:val="9"/>
        </w:numPr>
      </w:pPr>
      <w:r>
        <w:t>Distributivna mreža vezana na vodoopskrbni cjevovod Visoke zone Lupinjak dužina cca 500 m cjevovodi distributivne mreže ll B faze dužina cca 6 800 m.</w:t>
      </w:r>
    </w:p>
    <w:p w14:paraId="1483B835" w14:textId="05BD8AC4" w:rsidR="00876D85" w:rsidRDefault="00876D85" w:rsidP="00876D85">
      <w:r>
        <w:t>Vodoopskrba i odvodnja Pregrada (VIOP) u svrhu rješavanja problematike gubitka vode napravila je hidraulično–matematički model vodoopskrbnog sustava i elaborat analize stanja gubitka. U 2015. godini u suradnji s Hrvatskim vodama, VIOP započeo je projekt „Sanacije gubitka vodovoda Pregrada“ ugradnjom mjerne opreme i regulatora tlakova na postojeći vodoopskrbni sustav. Projektom se planira riješiti problem visokih tlakova u vodoopskrbnoj mreži.</w:t>
      </w:r>
    </w:p>
    <w:p w14:paraId="53812398" w14:textId="77777777" w:rsidR="00D74EC1" w:rsidRDefault="00D74EC1" w:rsidP="00876D85"/>
    <w:p w14:paraId="4F31E60F" w14:textId="738D5F24" w:rsidR="00876D85" w:rsidRDefault="00876D85" w:rsidP="0052192B">
      <w:pPr>
        <w:pStyle w:val="Naslov2"/>
      </w:pPr>
      <w:bookmarkStart w:id="220" w:name="_Toc85181371"/>
      <w:r>
        <w:t>1</w:t>
      </w:r>
      <w:r w:rsidR="004840B8">
        <w:t>3</w:t>
      </w:r>
      <w:r>
        <w:t>.4. Odvodnja</w:t>
      </w:r>
      <w:bookmarkEnd w:id="220"/>
    </w:p>
    <w:p w14:paraId="4853A531" w14:textId="7FB80AEB" w:rsidR="00876D85" w:rsidRDefault="00876D85" w:rsidP="00876D85">
      <w:bookmarkStart w:id="221" w:name="_Hlk25674823"/>
      <w:r>
        <w:br/>
        <w:t xml:space="preserve">Na području Krapinsko-zagorske županije u sustav odvodnje otpadnih voda u 2019. godini bilo je priključeno tek 8.791 kućanstava. Sustav odvodnje tako je obuhvatio svega 27.656 stanovnika, </w:t>
      </w:r>
      <w:r w:rsidR="003D3595">
        <w:t>odnosno</w:t>
      </w:r>
      <w:r>
        <w:t xml:space="preserve"> 22% ukupnog broja stanovnika Županije. </w:t>
      </w:r>
      <w:bookmarkEnd w:id="221"/>
      <w:r>
        <w:t>Sustav se sastoji od mreže kanala i kolektora i samo dva uređaja za pročišćavanje otpadnih voda naselja. Usporedbom s podacima Zavoda za prostorno uređenje Krapinsko-zagorske županije za 2012. godinu, primjetno je kako se duljina mreže odvodnje otpadnih voda povećala s 241,8 km na 293,6 km, što znači da je postojećem sustavu dodano 51,8 km novih kanala za odvodnju otpadnih voda. Naselja Budinščina, Desinić, Đurmanec, Hrašćina, Hum na Sutli, Jesenje, Kraljevec na Sutli, Lobor, Mihovljan, Novi Golubovec, Petrovsko, Radoboj, Tuhelj i Zagorska Sela u 2019. godini nisu bila uključena u sustav odvodnje otpadnih voda, koji je razgranat uglavnom u većim naseljima urbanog karaktera, i naseljima u blizini istih.</w:t>
      </w:r>
    </w:p>
    <w:p w14:paraId="5351FFC8" w14:textId="77777777" w:rsidR="00FB7B93" w:rsidRDefault="00FB7B93" w:rsidP="00876D85"/>
    <w:p w14:paraId="4BF5172D" w14:textId="77EB744F" w:rsidR="00876D85" w:rsidRDefault="00876D85" w:rsidP="003E3F3C">
      <w:pPr>
        <w:pStyle w:val="Opisslike"/>
      </w:pPr>
      <w:r>
        <w:t>Tablica</w:t>
      </w:r>
      <w:r w:rsidR="006D7B27">
        <w:t xml:space="preserve"> 1</w:t>
      </w:r>
      <w:r w:rsidR="00741E4F">
        <w:t>83</w:t>
      </w:r>
      <w:r>
        <w:t xml:space="preserve">. </w:t>
      </w:r>
      <w:r w:rsidRPr="005146EA">
        <w:t>Broj kućanstava i stanovnika priključenih na sustav odvodnje s duljinama mreže i nadležnim poduzećima</w:t>
      </w:r>
    </w:p>
    <w:tbl>
      <w:tblPr>
        <w:tblW w:w="0" w:type="auto"/>
        <w:jc w:val="center"/>
        <w:tblBorders>
          <w:right w:val="single" w:sz="8" w:space="0" w:color="D2232A"/>
          <w:insideH w:val="single" w:sz="8" w:space="0" w:color="F3CFC1"/>
          <w:insideV w:val="single" w:sz="8" w:space="0" w:color="D2232A"/>
        </w:tblBorders>
        <w:tblLook w:val="04A0" w:firstRow="1" w:lastRow="0" w:firstColumn="1" w:lastColumn="0" w:noHBand="0" w:noVBand="1"/>
      </w:tblPr>
      <w:tblGrid>
        <w:gridCol w:w="1644"/>
        <w:gridCol w:w="2241"/>
        <w:gridCol w:w="2245"/>
        <w:gridCol w:w="1207"/>
        <w:gridCol w:w="1957"/>
      </w:tblGrid>
      <w:tr w:rsidR="00876D85" w:rsidRPr="00A26C76" w14:paraId="62B5D2A1" w14:textId="77777777" w:rsidTr="001D3ADC">
        <w:trPr>
          <w:trHeight w:val="367"/>
          <w:tblHeader/>
          <w:jc w:val="center"/>
        </w:trPr>
        <w:tc>
          <w:tcPr>
            <w:tcW w:w="0" w:type="auto"/>
            <w:vMerge w:val="restart"/>
            <w:shd w:val="clear" w:color="auto" w:fill="D2232A" w:themeFill="accent1"/>
            <w:vAlign w:val="center"/>
            <w:hideMark/>
          </w:tcPr>
          <w:p w14:paraId="1486F30A" w14:textId="77777777" w:rsidR="00876D85" w:rsidRPr="00A26C76" w:rsidRDefault="00876D85" w:rsidP="001D3ADC">
            <w:pPr>
              <w:spacing w:after="0" w:line="240" w:lineRule="auto"/>
              <w:jc w:val="left"/>
              <w:rPr>
                <w:rFonts w:eastAsia="Times New Roman" w:cs="Calibri"/>
                <w:b/>
                <w:bCs/>
                <w:color w:val="FFFFFF"/>
                <w:sz w:val="16"/>
                <w:szCs w:val="16"/>
                <w:lang w:eastAsia="en-GB"/>
              </w:rPr>
            </w:pPr>
            <w:r w:rsidRPr="00A26C76">
              <w:rPr>
                <w:rFonts w:eastAsia="Times New Roman" w:cs="Calibri"/>
                <w:b/>
                <w:bCs/>
                <w:color w:val="FFFFFF"/>
                <w:sz w:val="16"/>
                <w:szCs w:val="16"/>
                <w:lang w:eastAsia="en-GB"/>
              </w:rPr>
              <w:t>GRAD/OPĆINA</w:t>
            </w:r>
          </w:p>
        </w:tc>
        <w:tc>
          <w:tcPr>
            <w:tcW w:w="0" w:type="auto"/>
            <w:vMerge w:val="restart"/>
            <w:shd w:val="clear" w:color="auto" w:fill="D2232A" w:themeFill="accent1"/>
            <w:vAlign w:val="center"/>
            <w:hideMark/>
          </w:tcPr>
          <w:p w14:paraId="18268A5F" w14:textId="77777777" w:rsidR="00876D85" w:rsidRPr="00A26C76" w:rsidRDefault="00876D85" w:rsidP="001D3ADC">
            <w:pPr>
              <w:spacing w:after="0" w:line="240" w:lineRule="auto"/>
              <w:jc w:val="right"/>
              <w:rPr>
                <w:rFonts w:eastAsia="Times New Roman" w:cs="Calibri"/>
                <w:b/>
                <w:bCs/>
                <w:color w:val="FFFFFF"/>
                <w:sz w:val="16"/>
                <w:szCs w:val="16"/>
                <w:lang w:eastAsia="en-GB"/>
              </w:rPr>
            </w:pPr>
            <w:r w:rsidRPr="00A26C76">
              <w:rPr>
                <w:rFonts w:eastAsia="Times New Roman" w:cs="Calibri"/>
                <w:b/>
                <w:bCs/>
                <w:color w:val="FFFFFF"/>
                <w:sz w:val="16"/>
                <w:szCs w:val="16"/>
                <w:lang w:eastAsia="en-GB"/>
              </w:rPr>
              <w:t>Kućanstva priključena na kanalizaciju</w:t>
            </w:r>
          </w:p>
        </w:tc>
        <w:tc>
          <w:tcPr>
            <w:tcW w:w="0" w:type="auto"/>
            <w:vMerge w:val="restart"/>
            <w:shd w:val="clear" w:color="auto" w:fill="D2232A" w:themeFill="accent1"/>
            <w:vAlign w:val="center"/>
            <w:hideMark/>
          </w:tcPr>
          <w:p w14:paraId="199719C8" w14:textId="77777777" w:rsidR="00876D85" w:rsidRPr="00A26C76" w:rsidRDefault="00876D85" w:rsidP="001D3ADC">
            <w:pPr>
              <w:spacing w:after="0" w:line="240" w:lineRule="auto"/>
              <w:jc w:val="right"/>
              <w:rPr>
                <w:rFonts w:eastAsia="Times New Roman" w:cs="Calibri"/>
                <w:b/>
                <w:bCs/>
                <w:color w:val="FFFFFF"/>
                <w:sz w:val="16"/>
                <w:szCs w:val="16"/>
                <w:lang w:eastAsia="en-GB"/>
              </w:rPr>
            </w:pPr>
            <w:r w:rsidRPr="00A26C76">
              <w:rPr>
                <w:rFonts w:eastAsia="Times New Roman" w:cs="Calibri"/>
                <w:b/>
                <w:bCs/>
                <w:color w:val="FFFFFF"/>
                <w:sz w:val="16"/>
                <w:szCs w:val="16"/>
                <w:lang w:eastAsia="en-GB"/>
              </w:rPr>
              <w:t>Stanovnici  priključeni na kanalizaciju</w:t>
            </w:r>
          </w:p>
        </w:tc>
        <w:tc>
          <w:tcPr>
            <w:tcW w:w="0" w:type="auto"/>
            <w:vMerge w:val="restart"/>
            <w:shd w:val="clear" w:color="auto" w:fill="D2232A" w:themeFill="accent1"/>
            <w:vAlign w:val="center"/>
            <w:hideMark/>
          </w:tcPr>
          <w:p w14:paraId="54C4DB22" w14:textId="77777777" w:rsidR="00876D85" w:rsidRPr="00A26C76" w:rsidRDefault="00876D85" w:rsidP="001D3ADC">
            <w:pPr>
              <w:spacing w:after="0" w:line="240" w:lineRule="auto"/>
              <w:jc w:val="right"/>
              <w:rPr>
                <w:rFonts w:eastAsia="Times New Roman" w:cs="Calibri"/>
                <w:b/>
                <w:bCs/>
                <w:color w:val="FFFFFF"/>
                <w:sz w:val="16"/>
                <w:szCs w:val="16"/>
                <w:lang w:eastAsia="en-GB"/>
              </w:rPr>
            </w:pPr>
            <w:r w:rsidRPr="00A26C76">
              <w:rPr>
                <w:rFonts w:eastAsia="Times New Roman" w:cs="Calibri"/>
                <w:b/>
                <w:bCs/>
                <w:color w:val="FFFFFF"/>
                <w:sz w:val="16"/>
                <w:szCs w:val="16"/>
                <w:lang w:eastAsia="en-GB"/>
              </w:rPr>
              <w:t>Duljina mreže km</w:t>
            </w:r>
          </w:p>
        </w:tc>
        <w:tc>
          <w:tcPr>
            <w:tcW w:w="0" w:type="auto"/>
            <w:vMerge w:val="restart"/>
            <w:shd w:val="clear" w:color="auto" w:fill="D2232A" w:themeFill="accent1"/>
            <w:vAlign w:val="center"/>
            <w:hideMark/>
          </w:tcPr>
          <w:p w14:paraId="1F177A26" w14:textId="77777777" w:rsidR="00876D85" w:rsidRPr="00A26C76" w:rsidRDefault="00876D85" w:rsidP="001D3ADC">
            <w:pPr>
              <w:spacing w:after="0" w:line="240" w:lineRule="auto"/>
              <w:jc w:val="right"/>
              <w:rPr>
                <w:rFonts w:eastAsia="Times New Roman" w:cs="Calibri"/>
                <w:b/>
                <w:bCs/>
                <w:color w:val="FFFFFF"/>
                <w:sz w:val="16"/>
                <w:szCs w:val="16"/>
                <w:lang w:eastAsia="en-GB"/>
              </w:rPr>
            </w:pPr>
            <w:r w:rsidRPr="00A26C76">
              <w:rPr>
                <w:rFonts w:eastAsia="Times New Roman" w:cs="Calibri"/>
                <w:b/>
                <w:bCs/>
                <w:color w:val="FFFFFF"/>
                <w:sz w:val="16"/>
                <w:szCs w:val="16"/>
                <w:lang w:eastAsia="en-GB"/>
              </w:rPr>
              <w:t>Nadležno komunalno poduzeće</w:t>
            </w:r>
          </w:p>
        </w:tc>
      </w:tr>
      <w:tr w:rsidR="00876D85" w:rsidRPr="00A26C76" w14:paraId="10130710" w14:textId="77777777" w:rsidTr="001D3ADC">
        <w:trPr>
          <w:trHeight w:val="367"/>
          <w:tblHeader/>
          <w:jc w:val="center"/>
        </w:trPr>
        <w:tc>
          <w:tcPr>
            <w:tcW w:w="0" w:type="auto"/>
            <w:vMerge/>
            <w:shd w:val="clear" w:color="auto" w:fill="D2232A" w:themeFill="accent1"/>
            <w:vAlign w:val="center"/>
            <w:hideMark/>
          </w:tcPr>
          <w:p w14:paraId="745E479F" w14:textId="77777777" w:rsidR="00876D85" w:rsidRPr="00A26C76" w:rsidRDefault="00876D85" w:rsidP="001D3ADC">
            <w:pPr>
              <w:spacing w:after="0"/>
              <w:jc w:val="left"/>
              <w:rPr>
                <w:rFonts w:eastAsia="Times New Roman" w:cs="Calibri"/>
                <w:b/>
                <w:bCs/>
                <w:color w:val="FFFFFF"/>
                <w:szCs w:val="18"/>
                <w:lang w:eastAsia="en-GB"/>
              </w:rPr>
            </w:pPr>
          </w:p>
        </w:tc>
        <w:tc>
          <w:tcPr>
            <w:tcW w:w="0" w:type="auto"/>
            <w:vMerge/>
            <w:shd w:val="clear" w:color="auto" w:fill="D2232A" w:themeFill="accent1"/>
            <w:vAlign w:val="center"/>
            <w:hideMark/>
          </w:tcPr>
          <w:p w14:paraId="5FEE967F" w14:textId="77777777" w:rsidR="00876D85" w:rsidRPr="00A26C76" w:rsidRDefault="00876D85" w:rsidP="001D3ADC">
            <w:pPr>
              <w:spacing w:after="0"/>
              <w:jc w:val="right"/>
              <w:rPr>
                <w:rFonts w:eastAsia="Times New Roman" w:cs="Calibri"/>
                <w:b/>
                <w:bCs/>
                <w:color w:val="FFFFFF"/>
                <w:szCs w:val="18"/>
                <w:lang w:eastAsia="en-GB"/>
              </w:rPr>
            </w:pPr>
          </w:p>
        </w:tc>
        <w:tc>
          <w:tcPr>
            <w:tcW w:w="0" w:type="auto"/>
            <w:vMerge/>
            <w:shd w:val="clear" w:color="auto" w:fill="D2232A" w:themeFill="accent1"/>
            <w:vAlign w:val="center"/>
            <w:hideMark/>
          </w:tcPr>
          <w:p w14:paraId="5F106A2A" w14:textId="77777777" w:rsidR="00876D85" w:rsidRPr="00A26C76" w:rsidRDefault="00876D85" w:rsidP="001D3ADC">
            <w:pPr>
              <w:spacing w:after="0"/>
              <w:jc w:val="right"/>
              <w:rPr>
                <w:rFonts w:eastAsia="Times New Roman" w:cs="Calibri"/>
                <w:b/>
                <w:bCs/>
                <w:color w:val="FFFFFF"/>
                <w:szCs w:val="18"/>
                <w:lang w:eastAsia="en-GB"/>
              </w:rPr>
            </w:pPr>
          </w:p>
        </w:tc>
        <w:tc>
          <w:tcPr>
            <w:tcW w:w="0" w:type="auto"/>
            <w:vMerge/>
            <w:shd w:val="clear" w:color="auto" w:fill="D2232A" w:themeFill="accent1"/>
            <w:vAlign w:val="center"/>
            <w:hideMark/>
          </w:tcPr>
          <w:p w14:paraId="13C5B9E8" w14:textId="77777777" w:rsidR="00876D85" w:rsidRPr="00A26C76" w:rsidRDefault="00876D85" w:rsidP="001D3ADC">
            <w:pPr>
              <w:spacing w:after="0"/>
              <w:jc w:val="right"/>
              <w:rPr>
                <w:rFonts w:eastAsia="Times New Roman" w:cs="Calibri"/>
                <w:b/>
                <w:bCs/>
                <w:color w:val="FFFFFF"/>
                <w:szCs w:val="18"/>
                <w:lang w:eastAsia="en-GB"/>
              </w:rPr>
            </w:pPr>
          </w:p>
        </w:tc>
        <w:tc>
          <w:tcPr>
            <w:tcW w:w="0" w:type="auto"/>
            <w:vMerge/>
            <w:shd w:val="clear" w:color="auto" w:fill="D2232A" w:themeFill="accent1"/>
            <w:vAlign w:val="center"/>
            <w:hideMark/>
          </w:tcPr>
          <w:p w14:paraId="2379BB4C" w14:textId="77777777" w:rsidR="00876D85" w:rsidRPr="00A26C76" w:rsidRDefault="00876D85" w:rsidP="001D3ADC">
            <w:pPr>
              <w:spacing w:after="0"/>
              <w:jc w:val="right"/>
              <w:rPr>
                <w:rFonts w:eastAsia="Times New Roman" w:cs="Calibri"/>
                <w:b/>
                <w:bCs/>
                <w:color w:val="FFFFFF"/>
                <w:szCs w:val="18"/>
                <w:lang w:eastAsia="en-GB"/>
              </w:rPr>
            </w:pPr>
          </w:p>
        </w:tc>
      </w:tr>
      <w:tr w:rsidR="00876D85" w:rsidRPr="00A26C76" w14:paraId="241C4267" w14:textId="77777777" w:rsidTr="001D3ADC">
        <w:trPr>
          <w:trHeight w:val="367"/>
          <w:tblHeader/>
          <w:jc w:val="center"/>
        </w:trPr>
        <w:tc>
          <w:tcPr>
            <w:tcW w:w="0" w:type="auto"/>
            <w:vMerge/>
            <w:shd w:val="clear" w:color="auto" w:fill="D2232A" w:themeFill="accent1"/>
            <w:vAlign w:val="center"/>
            <w:hideMark/>
          </w:tcPr>
          <w:p w14:paraId="4502A9FC" w14:textId="77777777" w:rsidR="00876D85" w:rsidRPr="00A26C76" w:rsidRDefault="00876D85" w:rsidP="001D3ADC">
            <w:pPr>
              <w:spacing w:after="0"/>
              <w:jc w:val="left"/>
              <w:rPr>
                <w:rFonts w:eastAsia="Times New Roman" w:cs="Calibri"/>
                <w:b/>
                <w:bCs/>
                <w:color w:val="FFFFFF"/>
                <w:szCs w:val="18"/>
                <w:lang w:eastAsia="en-GB"/>
              </w:rPr>
            </w:pPr>
          </w:p>
        </w:tc>
        <w:tc>
          <w:tcPr>
            <w:tcW w:w="0" w:type="auto"/>
            <w:vMerge/>
            <w:shd w:val="clear" w:color="auto" w:fill="D2232A" w:themeFill="accent1"/>
            <w:vAlign w:val="center"/>
            <w:hideMark/>
          </w:tcPr>
          <w:p w14:paraId="123FF2BB" w14:textId="77777777" w:rsidR="00876D85" w:rsidRPr="00A26C76" w:rsidRDefault="00876D85" w:rsidP="001D3ADC">
            <w:pPr>
              <w:spacing w:after="0"/>
              <w:jc w:val="right"/>
              <w:rPr>
                <w:rFonts w:eastAsia="Times New Roman" w:cs="Calibri"/>
                <w:b/>
                <w:bCs/>
                <w:color w:val="FFFFFF"/>
                <w:szCs w:val="18"/>
                <w:lang w:eastAsia="en-GB"/>
              </w:rPr>
            </w:pPr>
          </w:p>
        </w:tc>
        <w:tc>
          <w:tcPr>
            <w:tcW w:w="0" w:type="auto"/>
            <w:vMerge/>
            <w:shd w:val="clear" w:color="auto" w:fill="D2232A" w:themeFill="accent1"/>
            <w:vAlign w:val="center"/>
            <w:hideMark/>
          </w:tcPr>
          <w:p w14:paraId="3A4F9CAB" w14:textId="77777777" w:rsidR="00876D85" w:rsidRPr="00A26C76" w:rsidRDefault="00876D85" w:rsidP="001D3ADC">
            <w:pPr>
              <w:spacing w:after="0"/>
              <w:jc w:val="right"/>
              <w:rPr>
                <w:rFonts w:eastAsia="Times New Roman" w:cs="Calibri"/>
                <w:b/>
                <w:bCs/>
                <w:color w:val="FFFFFF"/>
                <w:szCs w:val="18"/>
                <w:lang w:eastAsia="en-GB"/>
              </w:rPr>
            </w:pPr>
          </w:p>
        </w:tc>
        <w:tc>
          <w:tcPr>
            <w:tcW w:w="0" w:type="auto"/>
            <w:vMerge/>
            <w:shd w:val="clear" w:color="auto" w:fill="D2232A" w:themeFill="accent1"/>
            <w:vAlign w:val="center"/>
            <w:hideMark/>
          </w:tcPr>
          <w:p w14:paraId="1B3A1075" w14:textId="77777777" w:rsidR="00876D85" w:rsidRPr="00A26C76" w:rsidRDefault="00876D85" w:rsidP="001D3ADC">
            <w:pPr>
              <w:spacing w:after="0"/>
              <w:jc w:val="right"/>
              <w:rPr>
                <w:rFonts w:eastAsia="Times New Roman" w:cs="Calibri"/>
                <w:b/>
                <w:bCs/>
                <w:color w:val="FFFFFF"/>
                <w:szCs w:val="18"/>
                <w:lang w:eastAsia="en-GB"/>
              </w:rPr>
            </w:pPr>
          </w:p>
        </w:tc>
        <w:tc>
          <w:tcPr>
            <w:tcW w:w="0" w:type="auto"/>
            <w:vMerge/>
            <w:shd w:val="clear" w:color="auto" w:fill="D2232A" w:themeFill="accent1"/>
            <w:vAlign w:val="center"/>
            <w:hideMark/>
          </w:tcPr>
          <w:p w14:paraId="1D962528" w14:textId="77777777" w:rsidR="00876D85" w:rsidRPr="00A26C76" w:rsidRDefault="00876D85" w:rsidP="001D3ADC">
            <w:pPr>
              <w:spacing w:after="0"/>
              <w:jc w:val="right"/>
              <w:rPr>
                <w:rFonts w:eastAsia="Times New Roman" w:cs="Calibri"/>
                <w:b/>
                <w:bCs/>
                <w:color w:val="FFFFFF"/>
                <w:szCs w:val="18"/>
                <w:lang w:eastAsia="en-GB"/>
              </w:rPr>
            </w:pPr>
          </w:p>
        </w:tc>
      </w:tr>
      <w:tr w:rsidR="00876D85" w:rsidRPr="00A26C76" w14:paraId="4A049428" w14:textId="77777777" w:rsidTr="001D3ADC">
        <w:trPr>
          <w:trHeight w:val="283"/>
          <w:jc w:val="center"/>
        </w:trPr>
        <w:tc>
          <w:tcPr>
            <w:tcW w:w="0" w:type="auto"/>
            <w:shd w:val="clear" w:color="auto" w:fill="D2232A" w:themeFill="accent1"/>
            <w:vAlign w:val="center"/>
            <w:hideMark/>
          </w:tcPr>
          <w:p w14:paraId="6B2C3F35"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DONJA STUBICA</w:t>
            </w:r>
          </w:p>
        </w:tc>
        <w:tc>
          <w:tcPr>
            <w:tcW w:w="0" w:type="auto"/>
            <w:vAlign w:val="center"/>
            <w:hideMark/>
          </w:tcPr>
          <w:p w14:paraId="1B81D3A2"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215</w:t>
            </w:r>
          </w:p>
        </w:tc>
        <w:tc>
          <w:tcPr>
            <w:tcW w:w="0" w:type="auto"/>
            <w:vAlign w:val="center"/>
            <w:hideMark/>
          </w:tcPr>
          <w:p w14:paraId="5EA0BF99"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645</w:t>
            </w:r>
          </w:p>
        </w:tc>
        <w:tc>
          <w:tcPr>
            <w:tcW w:w="0" w:type="auto"/>
            <w:vAlign w:val="center"/>
            <w:hideMark/>
          </w:tcPr>
          <w:p w14:paraId="57E330F0"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16</w:t>
            </w:r>
          </w:p>
        </w:tc>
        <w:tc>
          <w:tcPr>
            <w:tcW w:w="0" w:type="auto"/>
            <w:vAlign w:val="center"/>
            <w:hideMark/>
          </w:tcPr>
          <w:p w14:paraId="41D957A8"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7AD1AAC1" w14:textId="77777777" w:rsidTr="001D3ADC">
        <w:trPr>
          <w:trHeight w:val="283"/>
          <w:jc w:val="center"/>
        </w:trPr>
        <w:tc>
          <w:tcPr>
            <w:tcW w:w="0" w:type="auto"/>
            <w:shd w:val="clear" w:color="auto" w:fill="D2232A" w:themeFill="accent1"/>
            <w:vAlign w:val="center"/>
            <w:hideMark/>
          </w:tcPr>
          <w:p w14:paraId="2CB4B15A"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KLANJEC</w:t>
            </w:r>
          </w:p>
        </w:tc>
        <w:tc>
          <w:tcPr>
            <w:tcW w:w="0" w:type="auto"/>
            <w:vAlign w:val="center"/>
            <w:hideMark/>
          </w:tcPr>
          <w:p w14:paraId="2B0495F9"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131</w:t>
            </w:r>
          </w:p>
        </w:tc>
        <w:tc>
          <w:tcPr>
            <w:tcW w:w="0" w:type="auto"/>
            <w:vAlign w:val="center"/>
            <w:hideMark/>
          </w:tcPr>
          <w:p w14:paraId="69FA47D9"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393</w:t>
            </w:r>
          </w:p>
        </w:tc>
        <w:tc>
          <w:tcPr>
            <w:tcW w:w="0" w:type="auto"/>
            <w:vAlign w:val="center"/>
            <w:hideMark/>
          </w:tcPr>
          <w:p w14:paraId="41A33A3B"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4,3</w:t>
            </w:r>
          </w:p>
        </w:tc>
        <w:tc>
          <w:tcPr>
            <w:tcW w:w="0" w:type="auto"/>
            <w:vAlign w:val="center"/>
            <w:hideMark/>
          </w:tcPr>
          <w:p w14:paraId="2DFDC094"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40733228" w14:textId="77777777" w:rsidTr="001D3ADC">
        <w:trPr>
          <w:trHeight w:val="283"/>
          <w:jc w:val="center"/>
        </w:trPr>
        <w:tc>
          <w:tcPr>
            <w:tcW w:w="0" w:type="auto"/>
            <w:shd w:val="clear" w:color="auto" w:fill="D2232A" w:themeFill="accent1"/>
            <w:vAlign w:val="center"/>
            <w:hideMark/>
          </w:tcPr>
          <w:p w14:paraId="5890A8C5"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KRAPINA</w:t>
            </w:r>
          </w:p>
        </w:tc>
        <w:tc>
          <w:tcPr>
            <w:tcW w:w="0" w:type="auto"/>
            <w:vAlign w:val="center"/>
            <w:hideMark/>
          </w:tcPr>
          <w:p w14:paraId="40A774BE"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1.782</w:t>
            </w:r>
          </w:p>
        </w:tc>
        <w:tc>
          <w:tcPr>
            <w:tcW w:w="0" w:type="auto"/>
            <w:vAlign w:val="center"/>
            <w:hideMark/>
          </w:tcPr>
          <w:p w14:paraId="73367B6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5.525</w:t>
            </w:r>
          </w:p>
        </w:tc>
        <w:tc>
          <w:tcPr>
            <w:tcW w:w="0" w:type="auto"/>
            <w:vAlign w:val="center"/>
            <w:hideMark/>
          </w:tcPr>
          <w:p w14:paraId="0C2A261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35</w:t>
            </w:r>
          </w:p>
        </w:tc>
        <w:tc>
          <w:tcPr>
            <w:tcW w:w="0" w:type="auto"/>
            <w:vAlign w:val="center"/>
            <w:hideMark/>
          </w:tcPr>
          <w:p w14:paraId="480344CC"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Krakom</w:t>
            </w:r>
          </w:p>
        </w:tc>
      </w:tr>
      <w:tr w:rsidR="00876D85" w:rsidRPr="00A26C76" w14:paraId="12F7FC83" w14:textId="77777777" w:rsidTr="001D3ADC">
        <w:trPr>
          <w:trHeight w:val="283"/>
          <w:jc w:val="center"/>
        </w:trPr>
        <w:tc>
          <w:tcPr>
            <w:tcW w:w="0" w:type="auto"/>
            <w:shd w:val="clear" w:color="auto" w:fill="D2232A" w:themeFill="accent1"/>
            <w:vAlign w:val="center"/>
            <w:hideMark/>
          </w:tcPr>
          <w:p w14:paraId="1E57FF86"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OROSLAVJE</w:t>
            </w:r>
          </w:p>
        </w:tc>
        <w:tc>
          <w:tcPr>
            <w:tcW w:w="0" w:type="auto"/>
            <w:vAlign w:val="center"/>
            <w:hideMark/>
          </w:tcPr>
          <w:p w14:paraId="30F28D19"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787</w:t>
            </w:r>
          </w:p>
        </w:tc>
        <w:tc>
          <w:tcPr>
            <w:tcW w:w="0" w:type="auto"/>
            <w:vAlign w:val="center"/>
            <w:hideMark/>
          </w:tcPr>
          <w:p w14:paraId="641BD49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2.361</w:t>
            </w:r>
          </w:p>
        </w:tc>
        <w:tc>
          <w:tcPr>
            <w:tcW w:w="0" w:type="auto"/>
            <w:vAlign w:val="center"/>
            <w:hideMark/>
          </w:tcPr>
          <w:p w14:paraId="1AB897C1"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30</w:t>
            </w:r>
          </w:p>
        </w:tc>
        <w:tc>
          <w:tcPr>
            <w:tcW w:w="0" w:type="auto"/>
            <w:vAlign w:val="center"/>
            <w:hideMark/>
          </w:tcPr>
          <w:p w14:paraId="36A27F3C"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2164B61A" w14:textId="77777777" w:rsidTr="001D3ADC">
        <w:trPr>
          <w:trHeight w:val="283"/>
          <w:jc w:val="center"/>
        </w:trPr>
        <w:tc>
          <w:tcPr>
            <w:tcW w:w="0" w:type="auto"/>
            <w:shd w:val="clear" w:color="auto" w:fill="D2232A" w:themeFill="accent1"/>
            <w:vAlign w:val="center"/>
            <w:hideMark/>
          </w:tcPr>
          <w:p w14:paraId="4E9EEDA7"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PREGRADA</w:t>
            </w:r>
          </w:p>
        </w:tc>
        <w:tc>
          <w:tcPr>
            <w:tcW w:w="0" w:type="auto"/>
            <w:vAlign w:val="center"/>
            <w:hideMark/>
          </w:tcPr>
          <w:p w14:paraId="4210051F"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600</w:t>
            </w:r>
          </w:p>
        </w:tc>
        <w:tc>
          <w:tcPr>
            <w:tcW w:w="0" w:type="auto"/>
            <w:vAlign w:val="center"/>
            <w:hideMark/>
          </w:tcPr>
          <w:p w14:paraId="7BA14DD9"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1.920</w:t>
            </w:r>
          </w:p>
        </w:tc>
        <w:tc>
          <w:tcPr>
            <w:tcW w:w="0" w:type="auto"/>
            <w:vAlign w:val="center"/>
            <w:hideMark/>
          </w:tcPr>
          <w:p w14:paraId="76348AF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10</w:t>
            </w:r>
          </w:p>
        </w:tc>
        <w:tc>
          <w:tcPr>
            <w:tcW w:w="0" w:type="auto"/>
            <w:vAlign w:val="center"/>
            <w:hideMark/>
          </w:tcPr>
          <w:p w14:paraId="58C53A91"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VIOP</w:t>
            </w:r>
          </w:p>
        </w:tc>
      </w:tr>
      <w:tr w:rsidR="00876D85" w:rsidRPr="00A26C76" w14:paraId="6962AB43" w14:textId="77777777" w:rsidTr="001D3ADC">
        <w:trPr>
          <w:trHeight w:val="283"/>
          <w:jc w:val="center"/>
        </w:trPr>
        <w:tc>
          <w:tcPr>
            <w:tcW w:w="0" w:type="auto"/>
            <w:shd w:val="clear" w:color="auto" w:fill="D2232A" w:themeFill="accent1"/>
            <w:vAlign w:val="center"/>
            <w:hideMark/>
          </w:tcPr>
          <w:p w14:paraId="2FAACCBA"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ZABOK</w:t>
            </w:r>
          </w:p>
        </w:tc>
        <w:tc>
          <w:tcPr>
            <w:tcW w:w="0" w:type="auto"/>
            <w:vAlign w:val="center"/>
            <w:hideMark/>
          </w:tcPr>
          <w:p w14:paraId="467CC7C6"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1.783</w:t>
            </w:r>
          </w:p>
        </w:tc>
        <w:tc>
          <w:tcPr>
            <w:tcW w:w="0" w:type="auto"/>
            <w:vAlign w:val="center"/>
            <w:hideMark/>
          </w:tcPr>
          <w:p w14:paraId="3C08C65B"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5.349</w:t>
            </w:r>
          </w:p>
        </w:tc>
        <w:tc>
          <w:tcPr>
            <w:tcW w:w="0" w:type="auto"/>
            <w:vAlign w:val="center"/>
            <w:hideMark/>
          </w:tcPr>
          <w:p w14:paraId="37AE5937"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53,5</w:t>
            </w:r>
          </w:p>
        </w:tc>
        <w:tc>
          <w:tcPr>
            <w:tcW w:w="0" w:type="auto"/>
            <w:vAlign w:val="center"/>
            <w:hideMark/>
          </w:tcPr>
          <w:p w14:paraId="36A169C0"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2B4036C9" w14:textId="77777777" w:rsidTr="001D3ADC">
        <w:trPr>
          <w:trHeight w:val="283"/>
          <w:jc w:val="center"/>
        </w:trPr>
        <w:tc>
          <w:tcPr>
            <w:tcW w:w="0" w:type="auto"/>
            <w:shd w:val="clear" w:color="auto" w:fill="D2232A" w:themeFill="accent1"/>
            <w:vAlign w:val="center"/>
            <w:hideMark/>
          </w:tcPr>
          <w:p w14:paraId="0951123E"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ZLATAR</w:t>
            </w:r>
          </w:p>
        </w:tc>
        <w:tc>
          <w:tcPr>
            <w:tcW w:w="0" w:type="auto"/>
            <w:vAlign w:val="center"/>
            <w:hideMark/>
          </w:tcPr>
          <w:p w14:paraId="06359364"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271</w:t>
            </w:r>
          </w:p>
        </w:tc>
        <w:tc>
          <w:tcPr>
            <w:tcW w:w="0" w:type="auto"/>
            <w:vAlign w:val="center"/>
            <w:hideMark/>
          </w:tcPr>
          <w:p w14:paraId="50642603"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1.568</w:t>
            </w:r>
          </w:p>
        </w:tc>
        <w:tc>
          <w:tcPr>
            <w:tcW w:w="0" w:type="auto"/>
            <w:vAlign w:val="center"/>
            <w:hideMark/>
          </w:tcPr>
          <w:p w14:paraId="2D13344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11</w:t>
            </w:r>
          </w:p>
        </w:tc>
        <w:tc>
          <w:tcPr>
            <w:tcW w:w="0" w:type="auto"/>
            <w:vAlign w:val="center"/>
            <w:hideMark/>
          </w:tcPr>
          <w:p w14:paraId="54C8826B"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429F6411" w14:textId="77777777" w:rsidTr="001D3ADC">
        <w:trPr>
          <w:trHeight w:val="283"/>
          <w:jc w:val="center"/>
        </w:trPr>
        <w:tc>
          <w:tcPr>
            <w:tcW w:w="0" w:type="auto"/>
            <w:shd w:val="clear" w:color="auto" w:fill="D2232A" w:themeFill="accent1"/>
            <w:vAlign w:val="center"/>
            <w:hideMark/>
          </w:tcPr>
          <w:p w14:paraId="598296C8"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BEDEKOVČINA</w:t>
            </w:r>
          </w:p>
        </w:tc>
        <w:tc>
          <w:tcPr>
            <w:tcW w:w="0" w:type="auto"/>
            <w:vAlign w:val="center"/>
            <w:hideMark/>
          </w:tcPr>
          <w:p w14:paraId="01DF67BA"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420</w:t>
            </w:r>
          </w:p>
        </w:tc>
        <w:tc>
          <w:tcPr>
            <w:tcW w:w="0" w:type="auto"/>
            <w:vAlign w:val="center"/>
            <w:hideMark/>
          </w:tcPr>
          <w:p w14:paraId="729B01B7"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1.260</w:t>
            </w:r>
          </w:p>
        </w:tc>
        <w:tc>
          <w:tcPr>
            <w:tcW w:w="0" w:type="auto"/>
            <w:vAlign w:val="center"/>
            <w:hideMark/>
          </w:tcPr>
          <w:p w14:paraId="3F9DBDB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22,8</w:t>
            </w:r>
          </w:p>
        </w:tc>
        <w:tc>
          <w:tcPr>
            <w:tcW w:w="0" w:type="auto"/>
            <w:vAlign w:val="center"/>
            <w:hideMark/>
          </w:tcPr>
          <w:p w14:paraId="21833BF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319EA3A1" w14:textId="77777777" w:rsidTr="001D3ADC">
        <w:trPr>
          <w:trHeight w:val="283"/>
          <w:jc w:val="center"/>
        </w:trPr>
        <w:tc>
          <w:tcPr>
            <w:tcW w:w="0" w:type="auto"/>
            <w:shd w:val="clear" w:color="auto" w:fill="D2232A" w:themeFill="accent1"/>
            <w:vAlign w:val="center"/>
            <w:hideMark/>
          </w:tcPr>
          <w:p w14:paraId="77CEC002"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BUDINŠČINA</w:t>
            </w:r>
          </w:p>
        </w:tc>
        <w:tc>
          <w:tcPr>
            <w:tcW w:w="0" w:type="auto"/>
            <w:vAlign w:val="center"/>
            <w:hideMark/>
          </w:tcPr>
          <w:p w14:paraId="51A8F2C7"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5976A56B"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37B4CDA4"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2E41E944"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7846C442" w14:textId="77777777" w:rsidTr="001D3ADC">
        <w:trPr>
          <w:trHeight w:val="283"/>
          <w:jc w:val="center"/>
        </w:trPr>
        <w:tc>
          <w:tcPr>
            <w:tcW w:w="0" w:type="auto"/>
            <w:shd w:val="clear" w:color="auto" w:fill="D2232A" w:themeFill="accent1"/>
            <w:vAlign w:val="center"/>
            <w:hideMark/>
          </w:tcPr>
          <w:p w14:paraId="2DF82DBB"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DESINIĆ</w:t>
            </w:r>
          </w:p>
        </w:tc>
        <w:tc>
          <w:tcPr>
            <w:tcW w:w="0" w:type="auto"/>
            <w:vAlign w:val="center"/>
            <w:hideMark/>
          </w:tcPr>
          <w:p w14:paraId="24FF3B66"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6E967113"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1C7CC883"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7A24FE90"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7F380E71" w14:textId="77777777" w:rsidTr="001D3ADC">
        <w:trPr>
          <w:trHeight w:val="283"/>
          <w:jc w:val="center"/>
        </w:trPr>
        <w:tc>
          <w:tcPr>
            <w:tcW w:w="0" w:type="auto"/>
            <w:shd w:val="clear" w:color="auto" w:fill="D2232A" w:themeFill="accent1"/>
            <w:vAlign w:val="center"/>
            <w:hideMark/>
          </w:tcPr>
          <w:p w14:paraId="4DE4122F"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ÐURMANEC</w:t>
            </w:r>
          </w:p>
        </w:tc>
        <w:tc>
          <w:tcPr>
            <w:tcW w:w="0" w:type="auto"/>
            <w:vAlign w:val="center"/>
            <w:hideMark/>
          </w:tcPr>
          <w:p w14:paraId="419A78CE"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5E19479B"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0ADCFE2C"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5B0F90EF"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40EE7A5D" w14:textId="77777777" w:rsidTr="001D3ADC">
        <w:trPr>
          <w:trHeight w:val="283"/>
          <w:jc w:val="center"/>
        </w:trPr>
        <w:tc>
          <w:tcPr>
            <w:tcW w:w="0" w:type="auto"/>
            <w:shd w:val="clear" w:color="auto" w:fill="D2232A" w:themeFill="accent1"/>
            <w:vAlign w:val="center"/>
            <w:hideMark/>
          </w:tcPr>
          <w:p w14:paraId="248EFB4A"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GORNJA STUBICA</w:t>
            </w:r>
          </w:p>
        </w:tc>
        <w:tc>
          <w:tcPr>
            <w:tcW w:w="0" w:type="auto"/>
            <w:vAlign w:val="center"/>
            <w:hideMark/>
          </w:tcPr>
          <w:p w14:paraId="1C4B11A3"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38</w:t>
            </w:r>
          </w:p>
        </w:tc>
        <w:tc>
          <w:tcPr>
            <w:tcW w:w="0" w:type="auto"/>
            <w:vAlign w:val="center"/>
            <w:hideMark/>
          </w:tcPr>
          <w:p w14:paraId="06F0663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114</w:t>
            </w:r>
          </w:p>
        </w:tc>
        <w:tc>
          <w:tcPr>
            <w:tcW w:w="0" w:type="auto"/>
            <w:vAlign w:val="center"/>
            <w:hideMark/>
          </w:tcPr>
          <w:p w14:paraId="4F8D46AF"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6</w:t>
            </w:r>
          </w:p>
        </w:tc>
        <w:tc>
          <w:tcPr>
            <w:tcW w:w="0" w:type="auto"/>
            <w:vAlign w:val="center"/>
            <w:hideMark/>
          </w:tcPr>
          <w:p w14:paraId="79DD7C17"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485F385C" w14:textId="77777777" w:rsidTr="001D3ADC">
        <w:trPr>
          <w:trHeight w:val="283"/>
          <w:jc w:val="center"/>
        </w:trPr>
        <w:tc>
          <w:tcPr>
            <w:tcW w:w="0" w:type="auto"/>
            <w:shd w:val="clear" w:color="auto" w:fill="D2232A" w:themeFill="accent1"/>
            <w:vAlign w:val="center"/>
            <w:hideMark/>
          </w:tcPr>
          <w:p w14:paraId="17D90CF1"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HRAŠĆINA</w:t>
            </w:r>
          </w:p>
        </w:tc>
        <w:tc>
          <w:tcPr>
            <w:tcW w:w="0" w:type="auto"/>
            <w:vAlign w:val="center"/>
            <w:hideMark/>
          </w:tcPr>
          <w:p w14:paraId="7CD23424"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27274AE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29725E0F"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0,32</w:t>
            </w:r>
          </w:p>
        </w:tc>
        <w:tc>
          <w:tcPr>
            <w:tcW w:w="0" w:type="auto"/>
            <w:vAlign w:val="center"/>
            <w:hideMark/>
          </w:tcPr>
          <w:p w14:paraId="238F37DF"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71285516" w14:textId="77777777" w:rsidTr="001D3ADC">
        <w:trPr>
          <w:trHeight w:val="283"/>
          <w:jc w:val="center"/>
        </w:trPr>
        <w:tc>
          <w:tcPr>
            <w:tcW w:w="0" w:type="auto"/>
            <w:shd w:val="clear" w:color="auto" w:fill="D2232A" w:themeFill="accent1"/>
            <w:vAlign w:val="center"/>
            <w:hideMark/>
          </w:tcPr>
          <w:p w14:paraId="0801ECCE"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HUM NA SUTLI</w:t>
            </w:r>
          </w:p>
        </w:tc>
        <w:tc>
          <w:tcPr>
            <w:tcW w:w="0" w:type="auto"/>
            <w:vAlign w:val="center"/>
            <w:hideMark/>
          </w:tcPr>
          <w:p w14:paraId="4CE643F9"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38CA7695"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4A3404C6"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3,7</w:t>
            </w:r>
          </w:p>
        </w:tc>
        <w:tc>
          <w:tcPr>
            <w:tcW w:w="0" w:type="auto"/>
            <w:vAlign w:val="center"/>
            <w:hideMark/>
          </w:tcPr>
          <w:p w14:paraId="48A8072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HUMVIO</w:t>
            </w:r>
          </w:p>
        </w:tc>
      </w:tr>
      <w:tr w:rsidR="00876D85" w:rsidRPr="00A26C76" w14:paraId="11415ECE" w14:textId="77777777" w:rsidTr="001D3ADC">
        <w:trPr>
          <w:trHeight w:val="283"/>
          <w:jc w:val="center"/>
        </w:trPr>
        <w:tc>
          <w:tcPr>
            <w:tcW w:w="0" w:type="auto"/>
            <w:shd w:val="clear" w:color="auto" w:fill="D2232A" w:themeFill="accent1"/>
            <w:vAlign w:val="center"/>
            <w:hideMark/>
          </w:tcPr>
          <w:p w14:paraId="335523FB"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JESENJE</w:t>
            </w:r>
          </w:p>
        </w:tc>
        <w:tc>
          <w:tcPr>
            <w:tcW w:w="0" w:type="auto"/>
            <w:vAlign w:val="center"/>
            <w:hideMark/>
          </w:tcPr>
          <w:p w14:paraId="645218BE"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3C8C1295"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64B1A4A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0E05D823"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24A11F8E" w14:textId="77777777" w:rsidTr="001D3ADC">
        <w:trPr>
          <w:trHeight w:val="283"/>
          <w:jc w:val="center"/>
        </w:trPr>
        <w:tc>
          <w:tcPr>
            <w:tcW w:w="0" w:type="auto"/>
            <w:shd w:val="clear" w:color="auto" w:fill="D2232A" w:themeFill="accent1"/>
            <w:vAlign w:val="center"/>
            <w:hideMark/>
          </w:tcPr>
          <w:p w14:paraId="13DEBF22"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KONJŠČINA</w:t>
            </w:r>
          </w:p>
        </w:tc>
        <w:tc>
          <w:tcPr>
            <w:tcW w:w="0" w:type="auto"/>
            <w:vAlign w:val="center"/>
            <w:hideMark/>
          </w:tcPr>
          <w:p w14:paraId="63573AF7"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131</w:t>
            </w:r>
          </w:p>
        </w:tc>
        <w:tc>
          <w:tcPr>
            <w:tcW w:w="0" w:type="auto"/>
            <w:vAlign w:val="center"/>
            <w:hideMark/>
          </w:tcPr>
          <w:p w14:paraId="247DF7BD"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393</w:t>
            </w:r>
          </w:p>
        </w:tc>
        <w:tc>
          <w:tcPr>
            <w:tcW w:w="0" w:type="auto"/>
            <w:vAlign w:val="center"/>
            <w:hideMark/>
          </w:tcPr>
          <w:p w14:paraId="0F95D79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11,3</w:t>
            </w:r>
          </w:p>
        </w:tc>
        <w:tc>
          <w:tcPr>
            <w:tcW w:w="0" w:type="auto"/>
            <w:vAlign w:val="center"/>
            <w:hideMark/>
          </w:tcPr>
          <w:p w14:paraId="027D8698"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78195510" w14:textId="77777777" w:rsidTr="001D3ADC">
        <w:trPr>
          <w:trHeight w:val="283"/>
          <w:jc w:val="center"/>
        </w:trPr>
        <w:tc>
          <w:tcPr>
            <w:tcW w:w="0" w:type="auto"/>
            <w:shd w:val="clear" w:color="auto" w:fill="D2232A" w:themeFill="accent1"/>
            <w:vAlign w:val="center"/>
            <w:hideMark/>
          </w:tcPr>
          <w:p w14:paraId="5444561D"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KRALJEVEC NA SUTLI</w:t>
            </w:r>
          </w:p>
        </w:tc>
        <w:tc>
          <w:tcPr>
            <w:tcW w:w="0" w:type="auto"/>
            <w:vAlign w:val="center"/>
            <w:hideMark/>
          </w:tcPr>
          <w:p w14:paraId="5CA88AF9"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48E856A3"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14507F70"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6F35A574"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10585C85" w14:textId="77777777" w:rsidTr="001D3ADC">
        <w:trPr>
          <w:trHeight w:val="283"/>
          <w:jc w:val="center"/>
        </w:trPr>
        <w:tc>
          <w:tcPr>
            <w:tcW w:w="0" w:type="auto"/>
            <w:shd w:val="clear" w:color="auto" w:fill="D2232A" w:themeFill="accent1"/>
            <w:vAlign w:val="center"/>
            <w:hideMark/>
          </w:tcPr>
          <w:p w14:paraId="7EE145D0"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KRAPINSKE TOPLICE</w:t>
            </w:r>
          </w:p>
        </w:tc>
        <w:tc>
          <w:tcPr>
            <w:tcW w:w="0" w:type="auto"/>
            <w:vAlign w:val="center"/>
            <w:hideMark/>
          </w:tcPr>
          <w:p w14:paraId="23403845"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659</w:t>
            </w:r>
          </w:p>
        </w:tc>
        <w:tc>
          <w:tcPr>
            <w:tcW w:w="0" w:type="auto"/>
            <w:vAlign w:val="center"/>
            <w:hideMark/>
          </w:tcPr>
          <w:p w14:paraId="71BB84B5"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1977</w:t>
            </w:r>
          </w:p>
        </w:tc>
        <w:tc>
          <w:tcPr>
            <w:tcW w:w="0" w:type="auto"/>
            <w:vAlign w:val="center"/>
            <w:hideMark/>
          </w:tcPr>
          <w:p w14:paraId="41DF053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18,5</w:t>
            </w:r>
          </w:p>
        </w:tc>
        <w:tc>
          <w:tcPr>
            <w:tcW w:w="0" w:type="auto"/>
            <w:vAlign w:val="center"/>
            <w:hideMark/>
          </w:tcPr>
          <w:p w14:paraId="23D7294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05FC8D2F" w14:textId="77777777" w:rsidTr="001D3ADC">
        <w:trPr>
          <w:trHeight w:val="283"/>
          <w:jc w:val="center"/>
        </w:trPr>
        <w:tc>
          <w:tcPr>
            <w:tcW w:w="0" w:type="auto"/>
            <w:shd w:val="clear" w:color="auto" w:fill="D2232A" w:themeFill="accent1"/>
            <w:vAlign w:val="center"/>
            <w:hideMark/>
          </w:tcPr>
          <w:p w14:paraId="28E22339"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KUMROVEC</w:t>
            </w:r>
          </w:p>
        </w:tc>
        <w:tc>
          <w:tcPr>
            <w:tcW w:w="0" w:type="auto"/>
            <w:vAlign w:val="center"/>
            <w:hideMark/>
          </w:tcPr>
          <w:p w14:paraId="066E116F"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38</w:t>
            </w:r>
          </w:p>
        </w:tc>
        <w:tc>
          <w:tcPr>
            <w:tcW w:w="0" w:type="auto"/>
            <w:vAlign w:val="center"/>
            <w:hideMark/>
          </w:tcPr>
          <w:p w14:paraId="479F8CFD"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114</w:t>
            </w:r>
          </w:p>
        </w:tc>
        <w:tc>
          <w:tcPr>
            <w:tcW w:w="0" w:type="auto"/>
            <w:vAlign w:val="center"/>
            <w:hideMark/>
          </w:tcPr>
          <w:p w14:paraId="4EF0B28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7,5</w:t>
            </w:r>
          </w:p>
        </w:tc>
        <w:tc>
          <w:tcPr>
            <w:tcW w:w="0" w:type="auto"/>
            <w:vAlign w:val="center"/>
            <w:hideMark/>
          </w:tcPr>
          <w:p w14:paraId="02FED9F7"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67D2F895" w14:textId="77777777" w:rsidTr="001D3ADC">
        <w:trPr>
          <w:trHeight w:val="283"/>
          <w:jc w:val="center"/>
        </w:trPr>
        <w:tc>
          <w:tcPr>
            <w:tcW w:w="0" w:type="auto"/>
            <w:shd w:val="clear" w:color="auto" w:fill="D2232A" w:themeFill="accent1"/>
            <w:vAlign w:val="center"/>
            <w:hideMark/>
          </w:tcPr>
          <w:p w14:paraId="44C0FD3F"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LOBOR</w:t>
            </w:r>
          </w:p>
        </w:tc>
        <w:tc>
          <w:tcPr>
            <w:tcW w:w="0" w:type="auto"/>
            <w:vAlign w:val="center"/>
            <w:hideMark/>
          </w:tcPr>
          <w:p w14:paraId="3AC03B0F"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7BA68F8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3FDE2403"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4818507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5F1BA3EE" w14:textId="77777777" w:rsidTr="001D3ADC">
        <w:trPr>
          <w:trHeight w:val="283"/>
          <w:jc w:val="center"/>
        </w:trPr>
        <w:tc>
          <w:tcPr>
            <w:tcW w:w="0" w:type="auto"/>
            <w:shd w:val="clear" w:color="auto" w:fill="D2232A" w:themeFill="accent1"/>
            <w:vAlign w:val="center"/>
            <w:hideMark/>
          </w:tcPr>
          <w:p w14:paraId="23975DCC"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MAČE</w:t>
            </w:r>
          </w:p>
        </w:tc>
        <w:tc>
          <w:tcPr>
            <w:tcW w:w="0" w:type="auto"/>
            <w:vAlign w:val="center"/>
            <w:hideMark/>
          </w:tcPr>
          <w:p w14:paraId="00F623A5"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48</w:t>
            </w:r>
          </w:p>
        </w:tc>
        <w:tc>
          <w:tcPr>
            <w:tcW w:w="0" w:type="auto"/>
            <w:vAlign w:val="center"/>
            <w:hideMark/>
          </w:tcPr>
          <w:p w14:paraId="7DC21DD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144</w:t>
            </w:r>
          </w:p>
        </w:tc>
        <w:tc>
          <w:tcPr>
            <w:tcW w:w="0" w:type="auto"/>
            <w:vAlign w:val="center"/>
            <w:hideMark/>
          </w:tcPr>
          <w:p w14:paraId="1AFEF9ED"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2,1</w:t>
            </w:r>
          </w:p>
        </w:tc>
        <w:tc>
          <w:tcPr>
            <w:tcW w:w="0" w:type="auto"/>
            <w:vAlign w:val="center"/>
            <w:hideMark/>
          </w:tcPr>
          <w:p w14:paraId="42C6C90C"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6342613E" w14:textId="77777777" w:rsidTr="001D3ADC">
        <w:trPr>
          <w:trHeight w:val="283"/>
          <w:jc w:val="center"/>
        </w:trPr>
        <w:tc>
          <w:tcPr>
            <w:tcW w:w="0" w:type="auto"/>
            <w:shd w:val="clear" w:color="auto" w:fill="D2232A" w:themeFill="accent1"/>
            <w:vAlign w:val="center"/>
            <w:hideMark/>
          </w:tcPr>
          <w:p w14:paraId="426CC1BE"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lastRenderedPageBreak/>
              <w:t>MARIJA BISTRICA</w:t>
            </w:r>
          </w:p>
        </w:tc>
        <w:tc>
          <w:tcPr>
            <w:tcW w:w="0" w:type="auto"/>
            <w:vAlign w:val="center"/>
            <w:hideMark/>
          </w:tcPr>
          <w:p w14:paraId="61517F85"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320</w:t>
            </w:r>
          </w:p>
        </w:tc>
        <w:tc>
          <w:tcPr>
            <w:tcW w:w="0" w:type="auto"/>
            <w:vAlign w:val="center"/>
            <w:hideMark/>
          </w:tcPr>
          <w:p w14:paraId="0E9607E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1.024</w:t>
            </w:r>
          </w:p>
        </w:tc>
        <w:tc>
          <w:tcPr>
            <w:tcW w:w="0" w:type="auto"/>
            <w:vAlign w:val="center"/>
            <w:hideMark/>
          </w:tcPr>
          <w:p w14:paraId="2CBAFD8B"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2,6</w:t>
            </w:r>
          </w:p>
        </w:tc>
        <w:tc>
          <w:tcPr>
            <w:tcW w:w="0" w:type="auto"/>
            <w:vAlign w:val="center"/>
            <w:hideMark/>
          </w:tcPr>
          <w:p w14:paraId="1C9D8D4C"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7B5C9DC3" w14:textId="77777777" w:rsidTr="001D3ADC">
        <w:trPr>
          <w:trHeight w:val="283"/>
          <w:jc w:val="center"/>
        </w:trPr>
        <w:tc>
          <w:tcPr>
            <w:tcW w:w="0" w:type="auto"/>
            <w:shd w:val="clear" w:color="auto" w:fill="D2232A" w:themeFill="accent1"/>
            <w:vAlign w:val="center"/>
            <w:hideMark/>
          </w:tcPr>
          <w:p w14:paraId="0499700D"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MIHOVLJAN</w:t>
            </w:r>
          </w:p>
        </w:tc>
        <w:tc>
          <w:tcPr>
            <w:tcW w:w="0" w:type="auto"/>
            <w:vAlign w:val="center"/>
            <w:hideMark/>
          </w:tcPr>
          <w:p w14:paraId="0D6C651D"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126FBA77"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63513228"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3CFE1AF2"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56B824BB" w14:textId="77777777" w:rsidTr="001D3ADC">
        <w:trPr>
          <w:trHeight w:val="283"/>
          <w:jc w:val="center"/>
        </w:trPr>
        <w:tc>
          <w:tcPr>
            <w:tcW w:w="0" w:type="auto"/>
            <w:shd w:val="clear" w:color="auto" w:fill="D2232A" w:themeFill="accent1"/>
            <w:vAlign w:val="center"/>
            <w:hideMark/>
          </w:tcPr>
          <w:p w14:paraId="2B1D389A"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NOVI GOLUBOVEC</w:t>
            </w:r>
          </w:p>
        </w:tc>
        <w:tc>
          <w:tcPr>
            <w:tcW w:w="0" w:type="auto"/>
            <w:vAlign w:val="center"/>
            <w:hideMark/>
          </w:tcPr>
          <w:p w14:paraId="1B11420A"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001F4829"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4B200E28"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27CBF664"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136A2AB9" w14:textId="77777777" w:rsidTr="001D3ADC">
        <w:trPr>
          <w:trHeight w:val="283"/>
          <w:jc w:val="center"/>
        </w:trPr>
        <w:tc>
          <w:tcPr>
            <w:tcW w:w="0" w:type="auto"/>
            <w:shd w:val="clear" w:color="auto" w:fill="D2232A" w:themeFill="accent1"/>
            <w:vAlign w:val="center"/>
            <w:hideMark/>
          </w:tcPr>
          <w:p w14:paraId="716601EE"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PETROVSKO</w:t>
            </w:r>
          </w:p>
        </w:tc>
        <w:tc>
          <w:tcPr>
            <w:tcW w:w="0" w:type="auto"/>
            <w:vAlign w:val="center"/>
            <w:hideMark/>
          </w:tcPr>
          <w:p w14:paraId="71650C28"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4C904EBF"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5729C4BC"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786D47D8"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7B380900" w14:textId="77777777" w:rsidTr="001D3ADC">
        <w:trPr>
          <w:trHeight w:val="283"/>
          <w:jc w:val="center"/>
        </w:trPr>
        <w:tc>
          <w:tcPr>
            <w:tcW w:w="0" w:type="auto"/>
            <w:shd w:val="clear" w:color="auto" w:fill="D2232A" w:themeFill="accent1"/>
            <w:vAlign w:val="center"/>
            <w:hideMark/>
          </w:tcPr>
          <w:p w14:paraId="6AF5BB6B"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RADOBOJ</w:t>
            </w:r>
          </w:p>
        </w:tc>
        <w:tc>
          <w:tcPr>
            <w:tcW w:w="0" w:type="auto"/>
            <w:vAlign w:val="center"/>
            <w:hideMark/>
          </w:tcPr>
          <w:p w14:paraId="7023EB42"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2D0538B1"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3C5C9F90"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4862392B"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49368560" w14:textId="77777777" w:rsidTr="001D3ADC">
        <w:trPr>
          <w:trHeight w:val="283"/>
          <w:jc w:val="center"/>
        </w:trPr>
        <w:tc>
          <w:tcPr>
            <w:tcW w:w="0" w:type="auto"/>
            <w:shd w:val="clear" w:color="auto" w:fill="D2232A" w:themeFill="accent1"/>
            <w:vAlign w:val="center"/>
            <w:hideMark/>
          </w:tcPr>
          <w:p w14:paraId="2FBE31CC"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STUBIČKE TOPLICE</w:t>
            </w:r>
          </w:p>
        </w:tc>
        <w:tc>
          <w:tcPr>
            <w:tcW w:w="0" w:type="auto"/>
            <w:vAlign w:val="center"/>
            <w:hideMark/>
          </w:tcPr>
          <w:p w14:paraId="2E892F0F"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885</w:t>
            </w:r>
          </w:p>
        </w:tc>
        <w:tc>
          <w:tcPr>
            <w:tcW w:w="0" w:type="auto"/>
            <w:vAlign w:val="center"/>
            <w:hideMark/>
          </w:tcPr>
          <w:p w14:paraId="5FDF2505"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2.832</w:t>
            </w:r>
          </w:p>
        </w:tc>
        <w:tc>
          <w:tcPr>
            <w:tcW w:w="0" w:type="auto"/>
            <w:vAlign w:val="center"/>
            <w:hideMark/>
          </w:tcPr>
          <w:p w14:paraId="0E9C111A"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26,66</w:t>
            </w:r>
          </w:p>
        </w:tc>
        <w:tc>
          <w:tcPr>
            <w:tcW w:w="0" w:type="auto"/>
            <w:vAlign w:val="center"/>
            <w:hideMark/>
          </w:tcPr>
          <w:p w14:paraId="1448D596"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02C86AB3" w14:textId="77777777" w:rsidTr="001D3ADC">
        <w:trPr>
          <w:trHeight w:val="283"/>
          <w:jc w:val="center"/>
        </w:trPr>
        <w:tc>
          <w:tcPr>
            <w:tcW w:w="0" w:type="auto"/>
            <w:shd w:val="clear" w:color="auto" w:fill="D2232A" w:themeFill="accent1"/>
            <w:vAlign w:val="center"/>
            <w:hideMark/>
          </w:tcPr>
          <w:p w14:paraId="4BA7A252"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SVETI KRIŽ ZAČRETJE</w:t>
            </w:r>
          </w:p>
        </w:tc>
        <w:tc>
          <w:tcPr>
            <w:tcW w:w="0" w:type="auto"/>
            <w:vAlign w:val="center"/>
            <w:hideMark/>
          </w:tcPr>
          <w:p w14:paraId="790AF396"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350</w:t>
            </w:r>
          </w:p>
        </w:tc>
        <w:tc>
          <w:tcPr>
            <w:tcW w:w="0" w:type="auto"/>
            <w:vAlign w:val="center"/>
            <w:hideMark/>
          </w:tcPr>
          <w:p w14:paraId="342FAC7E"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1050</w:t>
            </w:r>
          </w:p>
        </w:tc>
        <w:tc>
          <w:tcPr>
            <w:tcW w:w="0" w:type="auto"/>
            <w:vAlign w:val="center"/>
            <w:hideMark/>
          </w:tcPr>
          <w:p w14:paraId="23F91FF0"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10,4</w:t>
            </w:r>
          </w:p>
        </w:tc>
        <w:tc>
          <w:tcPr>
            <w:tcW w:w="0" w:type="auto"/>
            <w:vAlign w:val="center"/>
            <w:hideMark/>
          </w:tcPr>
          <w:p w14:paraId="274AFC93"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0F20BC4D" w14:textId="77777777" w:rsidTr="001D3ADC">
        <w:trPr>
          <w:trHeight w:val="283"/>
          <w:jc w:val="center"/>
        </w:trPr>
        <w:tc>
          <w:tcPr>
            <w:tcW w:w="0" w:type="auto"/>
            <w:shd w:val="clear" w:color="auto" w:fill="D2232A" w:themeFill="accent1"/>
            <w:vAlign w:val="center"/>
            <w:hideMark/>
          </w:tcPr>
          <w:p w14:paraId="5DB1F997"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TUHELJ</w:t>
            </w:r>
          </w:p>
        </w:tc>
        <w:tc>
          <w:tcPr>
            <w:tcW w:w="0" w:type="auto"/>
            <w:vAlign w:val="center"/>
            <w:hideMark/>
          </w:tcPr>
          <w:p w14:paraId="0FC10847"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7B673DEB"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42BF4E11"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4022B905"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405BD0CF" w14:textId="77777777" w:rsidTr="001D3ADC">
        <w:trPr>
          <w:trHeight w:val="283"/>
          <w:jc w:val="center"/>
        </w:trPr>
        <w:tc>
          <w:tcPr>
            <w:tcW w:w="0" w:type="auto"/>
            <w:shd w:val="clear" w:color="auto" w:fill="D2232A" w:themeFill="accent1"/>
            <w:vAlign w:val="center"/>
            <w:hideMark/>
          </w:tcPr>
          <w:p w14:paraId="75E49463"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VELIKO TRGOVIŠĆE</w:t>
            </w:r>
          </w:p>
        </w:tc>
        <w:tc>
          <w:tcPr>
            <w:tcW w:w="0" w:type="auto"/>
            <w:vAlign w:val="center"/>
            <w:hideMark/>
          </w:tcPr>
          <w:p w14:paraId="5D1D7F91"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254</w:t>
            </w:r>
          </w:p>
        </w:tc>
        <w:tc>
          <w:tcPr>
            <w:tcW w:w="0" w:type="auto"/>
            <w:vAlign w:val="center"/>
            <w:hideMark/>
          </w:tcPr>
          <w:p w14:paraId="4FB3C334"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762</w:t>
            </w:r>
          </w:p>
        </w:tc>
        <w:tc>
          <w:tcPr>
            <w:tcW w:w="0" w:type="auto"/>
            <w:vAlign w:val="center"/>
            <w:hideMark/>
          </w:tcPr>
          <w:p w14:paraId="3E548073"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8,4</w:t>
            </w:r>
          </w:p>
        </w:tc>
        <w:tc>
          <w:tcPr>
            <w:tcW w:w="0" w:type="auto"/>
            <w:vAlign w:val="center"/>
            <w:hideMark/>
          </w:tcPr>
          <w:p w14:paraId="4AD09E75"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7FB86B42" w14:textId="77777777" w:rsidTr="001D3ADC">
        <w:trPr>
          <w:trHeight w:val="283"/>
          <w:jc w:val="center"/>
        </w:trPr>
        <w:tc>
          <w:tcPr>
            <w:tcW w:w="0" w:type="auto"/>
            <w:shd w:val="clear" w:color="auto" w:fill="D2232A" w:themeFill="accent1"/>
            <w:vAlign w:val="center"/>
            <w:hideMark/>
          </w:tcPr>
          <w:p w14:paraId="1D667B07"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ZAGORSKA SELA</w:t>
            </w:r>
          </w:p>
        </w:tc>
        <w:tc>
          <w:tcPr>
            <w:tcW w:w="0" w:type="auto"/>
            <w:vAlign w:val="center"/>
            <w:hideMark/>
          </w:tcPr>
          <w:p w14:paraId="7F8A8F9C"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w:t>
            </w:r>
          </w:p>
        </w:tc>
        <w:tc>
          <w:tcPr>
            <w:tcW w:w="0" w:type="auto"/>
            <w:vAlign w:val="center"/>
            <w:hideMark/>
          </w:tcPr>
          <w:p w14:paraId="01B44C3C"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7CDD574F"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c>
          <w:tcPr>
            <w:tcW w:w="0" w:type="auto"/>
            <w:vAlign w:val="center"/>
            <w:hideMark/>
          </w:tcPr>
          <w:p w14:paraId="526B76C6"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w:t>
            </w:r>
          </w:p>
        </w:tc>
      </w:tr>
      <w:tr w:rsidR="00876D85" w:rsidRPr="00A26C76" w14:paraId="689A94AA" w14:textId="77777777" w:rsidTr="001D3ADC">
        <w:trPr>
          <w:trHeight w:val="283"/>
          <w:jc w:val="center"/>
        </w:trPr>
        <w:tc>
          <w:tcPr>
            <w:tcW w:w="0" w:type="auto"/>
            <w:shd w:val="clear" w:color="auto" w:fill="D2232A" w:themeFill="accent1"/>
            <w:vAlign w:val="center"/>
            <w:hideMark/>
          </w:tcPr>
          <w:p w14:paraId="60F7C14E" w14:textId="77777777" w:rsidR="00876D85" w:rsidRPr="00A26C76" w:rsidRDefault="00876D85" w:rsidP="001D3ADC">
            <w:pPr>
              <w:spacing w:after="0" w:line="240" w:lineRule="auto"/>
              <w:jc w:val="left"/>
              <w:rPr>
                <w:rFonts w:eastAsia="Times New Roman" w:cs="Calibri"/>
                <w:b/>
                <w:bCs/>
                <w:color w:val="FFFFFF"/>
                <w:szCs w:val="18"/>
                <w:lang w:eastAsia="en-GB"/>
              </w:rPr>
            </w:pPr>
            <w:r w:rsidRPr="00A26C76">
              <w:rPr>
                <w:rFonts w:eastAsia="Times New Roman" w:cs="Calibri"/>
                <w:b/>
                <w:bCs/>
                <w:color w:val="FFFFFF"/>
                <w:szCs w:val="18"/>
                <w:lang w:eastAsia="en-GB"/>
              </w:rPr>
              <w:t>ZLATAR BISTRICA</w:t>
            </w:r>
          </w:p>
        </w:tc>
        <w:tc>
          <w:tcPr>
            <w:tcW w:w="0" w:type="auto"/>
            <w:vAlign w:val="center"/>
            <w:hideMark/>
          </w:tcPr>
          <w:p w14:paraId="1BBFB0C5" w14:textId="77777777" w:rsidR="00876D85" w:rsidRPr="00A26C76" w:rsidRDefault="00876D85" w:rsidP="001D3ADC">
            <w:pPr>
              <w:spacing w:after="0" w:line="240" w:lineRule="auto"/>
              <w:jc w:val="right"/>
              <w:rPr>
                <w:rFonts w:eastAsia="Times New Roman" w:cs="Calibri"/>
                <w:color w:val="auto"/>
                <w:szCs w:val="18"/>
                <w:lang w:eastAsia="en-GB"/>
              </w:rPr>
            </w:pPr>
            <w:r w:rsidRPr="00A26C76">
              <w:rPr>
                <w:rFonts w:eastAsia="Times New Roman" w:cs="Calibri"/>
                <w:szCs w:val="18"/>
                <w:lang w:eastAsia="en-GB"/>
              </w:rPr>
              <w:t>75</w:t>
            </w:r>
          </w:p>
        </w:tc>
        <w:tc>
          <w:tcPr>
            <w:tcW w:w="0" w:type="auto"/>
            <w:vAlign w:val="center"/>
            <w:hideMark/>
          </w:tcPr>
          <w:p w14:paraId="23ED2A78"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225</w:t>
            </w:r>
          </w:p>
        </w:tc>
        <w:tc>
          <w:tcPr>
            <w:tcW w:w="0" w:type="auto"/>
            <w:vAlign w:val="center"/>
            <w:hideMark/>
          </w:tcPr>
          <w:p w14:paraId="5C82FA36"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13,6</w:t>
            </w:r>
          </w:p>
        </w:tc>
        <w:tc>
          <w:tcPr>
            <w:tcW w:w="0" w:type="auto"/>
            <w:vAlign w:val="center"/>
            <w:hideMark/>
          </w:tcPr>
          <w:p w14:paraId="27C5C16F" w14:textId="77777777" w:rsidR="00876D85" w:rsidRPr="00A26C76" w:rsidRDefault="00876D85" w:rsidP="001D3ADC">
            <w:pPr>
              <w:spacing w:after="0" w:line="240" w:lineRule="auto"/>
              <w:jc w:val="right"/>
              <w:rPr>
                <w:rFonts w:eastAsia="Times New Roman" w:cs="Calibri"/>
                <w:szCs w:val="18"/>
                <w:lang w:eastAsia="en-GB"/>
              </w:rPr>
            </w:pPr>
            <w:r w:rsidRPr="00A26C76">
              <w:rPr>
                <w:rFonts w:eastAsia="Times New Roman" w:cs="Calibri"/>
                <w:szCs w:val="18"/>
                <w:lang w:eastAsia="en-GB"/>
              </w:rPr>
              <w:t>Zagorski vodovod</w:t>
            </w:r>
          </w:p>
        </w:tc>
      </w:tr>
      <w:tr w:rsidR="00876D85" w:rsidRPr="00A26C76" w14:paraId="31531415" w14:textId="77777777" w:rsidTr="001D3ADC">
        <w:trPr>
          <w:trHeight w:val="283"/>
          <w:jc w:val="center"/>
        </w:trPr>
        <w:tc>
          <w:tcPr>
            <w:tcW w:w="0" w:type="auto"/>
            <w:tcBorders>
              <w:bottom w:val="single" w:sz="4" w:space="0" w:color="D2232A" w:themeColor="accent1"/>
            </w:tcBorders>
            <w:shd w:val="clear" w:color="auto" w:fill="E5E5E5" w:themeFill="text1" w:themeFillTint="33"/>
            <w:vAlign w:val="center"/>
            <w:hideMark/>
          </w:tcPr>
          <w:p w14:paraId="0D4639B1" w14:textId="77777777" w:rsidR="00876D85" w:rsidRPr="00A26C76" w:rsidRDefault="00876D85" w:rsidP="001D3ADC">
            <w:pPr>
              <w:spacing w:after="0" w:line="240" w:lineRule="auto"/>
              <w:jc w:val="left"/>
              <w:rPr>
                <w:rFonts w:eastAsia="Times New Roman" w:cs="Calibri"/>
                <w:bCs/>
                <w:szCs w:val="18"/>
                <w:lang w:eastAsia="en-GB"/>
              </w:rPr>
            </w:pPr>
            <w:r w:rsidRPr="00A26C76">
              <w:rPr>
                <w:rFonts w:eastAsia="Times New Roman" w:cs="Calibri"/>
                <w:bCs/>
                <w:szCs w:val="18"/>
                <w:lang w:eastAsia="en-GB"/>
              </w:rPr>
              <w:t>UKUPNO</w:t>
            </w:r>
          </w:p>
        </w:tc>
        <w:tc>
          <w:tcPr>
            <w:tcW w:w="0" w:type="auto"/>
            <w:tcBorders>
              <w:bottom w:val="single" w:sz="4" w:space="0" w:color="D2232A" w:themeColor="accent1"/>
            </w:tcBorders>
            <w:shd w:val="clear" w:color="auto" w:fill="E5E5E5" w:themeFill="text1" w:themeFillTint="33"/>
            <w:vAlign w:val="center"/>
            <w:hideMark/>
          </w:tcPr>
          <w:p w14:paraId="5A1FFF69" w14:textId="77777777" w:rsidR="00876D85" w:rsidRPr="00A26C76" w:rsidRDefault="00876D85" w:rsidP="001D3ADC">
            <w:pPr>
              <w:spacing w:after="0" w:line="240" w:lineRule="auto"/>
              <w:jc w:val="right"/>
              <w:rPr>
                <w:rFonts w:eastAsia="Times New Roman" w:cs="Calibri"/>
                <w:bCs/>
                <w:szCs w:val="18"/>
                <w:lang w:eastAsia="en-GB"/>
              </w:rPr>
            </w:pPr>
            <w:r w:rsidRPr="00A26C76">
              <w:rPr>
                <w:rFonts w:eastAsia="Times New Roman" w:cs="Calibri"/>
                <w:bCs/>
                <w:szCs w:val="18"/>
                <w:lang w:eastAsia="en-GB"/>
              </w:rPr>
              <w:t>8.787</w:t>
            </w:r>
          </w:p>
        </w:tc>
        <w:tc>
          <w:tcPr>
            <w:tcW w:w="0" w:type="auto"/>
            <w:tcBorders>
              <w:bottom w:val="single" w:sz="4" w:space="0" w:color="D2232A" w:themeColor="accent1"/>
            </w:tcBorders>
            <w:shd w:val="clear" w:color="auto" w:fill="E5E5E5" w:themeFill="text1" w:themeFillTint="33"/>
            <w:vAlign w:val="center"/>
            <w:hideMark/>
          </w:tcPr>
          <w:p w14:paraId="18963D42" w14:textId="77777777" w:rsidR="00876D85" w:rsidRPr="00A26C76" w:rsidRDefault="00876D85" w:rsidP="001D3ADC">
            <w:pPr>
              <w:spacing w:after="0" w:line="240" w:lineRule="auto"/>
              <w:jc w:val="right"/>
              <w:rPr>
                <w:rFonts w:eastAsia="Times New Roman" w:cs="Calibri"/>
                <w:bCs/>
                <w:szCs w:val="18"/>
                <w:lang w:eastAsia="en-GB"/>
              </w:rPr>
            </w:pPr>
            <w:r w:rsidRPr="00A26C76">
              <w:rPr>
                <w:rFonts w:eastAsia="Times New Roman" w:cs="Calibri"/>
                <w:bCs/>
                <w:szCs w:val="18"/>
                <w:lang w:eastAsia="en-GB"/>
              </w:rPr>
              <w:t>27.656</w:t>
            </w:r>
          </w:p>
        </w:tc>
        <w:tc>
          <w:tcPr>
            <w:tcW w:w="0" w:type="auto"/>
            <w:tcBorders>
              <w:bottom w:val="single" w:sz="4" w:space="0" w:color="D2232A" w:themeColor="accent1"/>
            </w:tcBorders>
            <w:shd w:val="clear" w:color="auto" w:fill="E5E5E5" w:themeFill="text1" w:themeFillTint="33"/>
            <w:vAlign w:val="center"/>
            <w:hideMark/>
          </w:tcPr>
          <w:p w14:paraId="56B8C5D9" w14:textId="77777777" w:rsidR="00876D85" w:rsidRPr="00A26C76" w:rsidRDefault="00876D85" w:rsidP="001D3ADC">
            <w:pPr>
              <w:spacing w:after="0" w:line="240" w:lineRule="auto"/>
              <w:jc w:val="right"/>
              <w:rPr>
                <w:rFonts w:eastAsia="Times New Roman" w:cs="Calibri"/>
                <w:bCs/>
                <w:szCs w:val="18"/>
                <w:lang w:eastAsia="en-GB"/>
              </w:rPr>
            </w:pPr>
            <w:r w:rsidRPr="00A26C76">
              <w:rPr>
                <w:rFonts w:eastAsia="Times New Roman" w:cs="Calibri"/>
                <w:bCs/>
                <w:szCs w:val="18"/>
                <w:lang w:eastAsia="en-GB"/>
              </w:rPr>
              <w:t>293,68</w:t>
            </w:r>
          </w:p>
        </w:tc>
        <w:tc>
          <w:tcPr>
            <w:tcW w:w="0" w:type="auto"/>
            <w:tcBorders>
              <w:bottom w:val="single" w:sz="4" w:space="0" w:color="D2232A" w:themeColor="accent1"/>
            </w:tcBorders>
            <w:shd w:val="clear" w:color="auto" w:fill="E5E5E5" w:themeFill="text1" w:themeFillTint="33"/>
            <w:vAlign w:val="center"/>
            <w:hideMark/>
          </w:tcPr>
          <w:p w14:paraId="098AEA81" w14:textId="77777777" w:rsidR="00876D85" w:rsidRPr="00A26C76" w:rsidRDefault="00876D85" w:rsidP="001D3ADC">
            <w:pPr>
              <w:spacing w:after="0" w:line="240" w:lineRule="auto"/>
              <w:jc w:val="right"/>
              <w:rPr>
                <w:rFonts w:eastAsia="Times New Roman" w:cs="Calibri"/>
                <w:bCs/>
                <w:szCs w:val="18"/>
                <w:lang w:eastAsia="en-GB"/>
              </w:rPr>
            </w:pPr>
            <w:r w:rsidRPr="00A26C76">
              <w:rPr>
                <w:rFonts w:ascii="Calibri" w:eastAsia="Times New Roman" w:hAnsi="Calibri" w:cs="Calibri"/>
                <w:bCs/>
                <w:szCs w:val="18"/>
                <w:lang w:eastAsia="en-GB"/>
              </w:rPr>
              <w:t> </w:t>
            </w:r>
          </w:p>
        </w:tc>
      </w:tr>
    </w:tbl>
    <w:p w14:paraId="4854ABF8" w14:textId="1187DF24" w:rsidR="00876D85" w:rsidRDefault="00876D85" w:rsidP="003C2276">
      <w:pPr>
        <w:pStyle w:val="Izvor"/>
        <w:rPr>
          <w:i/>
          <w:color w:val="ABABAB" w:themeColor="text1" w:themeTint="A6"/>
          <w:sz w:val="16"/>
          <w:szCs w:val="16"/>
        </w:rPr>
      </w:pPr>
      <w:r w:rsidRPr="006D7B27">
        <w:rPr>
          <w:i/>
          <w:color w:val="ABABAB" w:themeColor="text1" w:themeTint="A6"/>
          <w:sz w:val="16"/>
          <w:szCs w:val="16"/>
        </w:rPr>
        <w:t>Izvor: Zavod za prostorno uređenje Krapinsko-zagorske županije, studeni 2019.</w:t>
      </w:r>
      <w:bookmarkStart w:id="222" w:name="_Hlk25675305"/>
    </w:p>
    <w:p w14:paraId="248833AF" w14:textId="77777777" w:rsidR="004840B8" w:rsidRPr="006D7B27" w:rsidRDefault="004840B8" w:rsidP="003C2276">
      <w:pPr>
        <w:pStyle w:val="Izvor"/>
        <w:rPr>
          <w:i/>
          <w:color w:val="ABABAB" w:themeColor="text1" w:themeTint="A6"/>
          <w:sz w:val="16"/>
          <w:szCs w:val="16"/>
        </w:rPr>
      </w:pPr>
    </w:p>
    <w:p w14:paraId="735621A8" w14:textId="0420A14E" w:rsidR="00876D85" w:rsidRDefault="00876D85" w:rsidP="00876D85">
      <w:pPr>
        <w:rPr>
          <w:i/>
          <w:iCs/>
          <w:szCs w:val="18"/>
        </w:rPr>
      </w:pPr>
      <w:r>
        <w:t xml:space="preserve">Brdovita konfiguracija terena otežava izgradnju sustava i priključivanje manjih naselja i pojedinačnih kuća koje koriste sabirne jame </w:t>
      </w:r>
      <w:bookmarkEnd w:id="222"/>
      <w:r>
        <w:t>ili uopće nemaju riješenu odvodnju otpadnih voda. Nakon izgradnje cjelovitog sustava odvodnje i pročišćavanja otpadnih voda Županije na mrežu za prikupljanje otpadnih voda u sustav će biti priključeno oko 60% stanovništva Županije.</w:t>
      </w:r>
      <w:bookmarkStart w:id="223" w:name="_Hlk25675555"/>
    </w:p>
    <w:p w14:paraId="36FBAAAA" w14:textId="68FFA6BA" w:rsidR="00F367A0" w:rsidRDefault="00876D85" w:rsidP="00876D85">
      <w:r>
        <w:t xml:space="preserve">Aglomeracija Zabok i Zlatar te aglomeracija Krapina bit će najveće investicije u sljedećih nekoliko godina na području Krapinsko – zagorske županije. </w:t>
      </w:r>
      <w:bookmarkEnd w:id="223"/>
      <w:r>
        <w:t xml:space="preserve">Radi se o izgradnji kanalizacija i uređaja za pročišćavanje otpadnih voda </w:t>
      </w:r>
    </w:p>
    <w:p w14:paraId="4A561EB2" w14:textId="7A91222B" w:rsidR="00876D85" w:rsidRDefault="00876D85" w:rsidP="00876D85">
      <w:r>
        <w:t xml:space="preserve">u Gornjoj Pačetini, uz granicu s općinom Sveti Križ Začretje. </w:t>
      </w:r>
      <w:bookmarkStart w:id="224" w:name="_Hlk25675579"/>
      <w:r>
        <w:t xml:space="preserve">Aglomeracija Krapina obuhvaća tri jedinice lokalne samouprave: Grad Krapinu i Općine Đurmanec i Radoboj. </w:t>
      </w:r>
      <w:bookmarkEnd w:id="224"/>
      <w:r>
        <w:t>Položaj aglomeracije Krapina u Krapinsko-zagorskoj županiji, kao i lokacija uređaja za pročišćavanje prikazani su u nastavku:</w:t>
      </w:r>
    </w:p>
    <w:p w14:paraId="2FAB9419" w14:textId="2C8AF68A" w:rsidR="00F367A0" w:rsidRPr="00934F59" w:rsidRDefault="00F367A0" w:rsidP="00F367A0">
      <w:pPr>
        <w:pStyle w:val="Opisslike"/>
        <w:rPr>
          <w:noProof/>
          <w:szCs w:val="21"/>
        </w:rPr>
      </w:pPr>
      <w:r w:rsidRPr="00F367A0">
        <w:t>Prikaz 1</w:t>
      </w:r>
      <w:r w:rsidR="00A96020">
        <w:t>4</w:t>
      </w:r>
      <w:r w:rsidRPr="00F367A0">
        <w:t>. Prikaz sustava prikupljanja i odvodnje otpadnih voda</w:t>
      </w:r>
    </w:p>
    <w:p w14:paraId="2CD8BEF0" w14:textId="0F768CEA" w:rsidR="00F367A0" w:rsidRDefault="00F367A0" w:rsidP="00876D85">
      <w:r>
        <w:rPr>
          <w:noProof/>
        </w:rPr>
        <w:drawing>
          <wp:inline distT="0" distB="0" distL="0" distR="0" wp14:anchorId="437F6819" wp14:editId="561074FF">
            <wp:extent cx="2723251" cy="2521527"/>
            <wp:effectExtent l="0" t="0" r="1270" b="0"/>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50570" cy="2546823"/>
                    </a:xfrm>
                    <a:prstGeom prst="rect">
                      <a:avLst/>
                    </a:prstGeom>
                    <a:noFill/>
                  </pic:spPr>
                </pic:pic>
              </a:graphicData>
            </a:graphic>
          </wp:inline>
        </w:drawing>
      </w:r>
      <w:r w:rsidR="00CE01F3">
        <w:t xml:space="preserve"> </w:t>
      </w:r>
      <w:r>
        <w:rPr>
          <w:noProof/>
        </w:rPr>
        <w:drawing>
          <wp:inline distT="0" distB="0" distL="0" distR="0" wp14:anchorId="3F1A6595" wp14:editId="552440CE">
            <wp:extent cx="3144520" cy="2494506"/>
            <wp:effectExtent l="0" t="0" r="0" b="1270"/>
            <wp:docPr id="244" name="Slika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55046" cy="2502856"/>
                    </a:xfrm>
                    <a:prstGeom prst="rect">
                      <a:avLst/>
                    </a:prstGeom>
                    <a:noFill/>
                  </pic:spPr>
                </pic:pic>
              </a:graphicData>
            </a:graphic>
          </wp:inline>
        </w:drawing>
      </w:r>
    </w:p>
    <w:p w14:paraId="29152EB2" w14:textId="4576F8FD" w:rsidR="00876D85" w:rsidRDefault="00876D85" w:rsidP="00F367A0">
      <w:pPr>
        <w:pStyle w:val="Izvor"/>
        <w:rPr>
          <w:i/>
          <w:color w:val="ABABAB" w:themeColor="text1" w:themeTint="A6"/>
          <w:sz w:val="16"/>
          <w:szCs w:val="16"/>
        </w:rPr>
      </w:pPr>
      <w:r w:rsidRPr="00F367A0">
        <w:rPr>
          <w:i/>
          <w:color w:val="ABABAB" w:themeColor="text1" w:themeTint="A6"/>
          <w:sz w:val="16"/>
          <w:szCs w:val="16"/>
        </w:rPr>
        <w:t>Izvor: Elaborat o zaštiti okoliša za zahvat: sustav prikupljanja i odvodnje otpadnih voda sustava odvodnje Krapina, 2016.</w:t>
      </w:r>
    </w:p>
    <w:p w14:paraId="003ACDD1" w14:textId="77777777" w:rsidR="00F367A0" w:rsidRDefault="00F367A0" w:rsidP="00F367A0">
      <w:pPr>
        <w:pStyle w:val="Izvor"/>
      </w:pPr>
    </w:p>
    <w:p w14:paraId="2CAD1970" w14:textId="677EF866" w:rsidR="00876D85" w:rsidRDefault="00876D85" w:rsidP="00876D85">
      <w:r>
        <w:t xml:space="preserve">Postojeći sustav odvodnje </w:t>
      </w:r>
      <w:r w:rsidR="003C45BA">
        <w:t>G</w:t>
      </w:r>
      <w:r>
        <w:t xml:space="preserve">rada Krapine funkcionira kao mješoviti sustav odvodnje, a to znači da prikuplja oborinske, kućanske i tehnološke otpadne vode i to u cijelosti gravitacijskim načinom odvodnje. Na kanalizacijskom sustavu grada Krapine ne postoji uređaj za pročišćavanje otpadnih voda već se nepročišćene otpadne vode ispuštaju putem privremenih ispusta direktno u kanale i vodotoke. Danas je na postojeću kanalizacijsku mrežu spojeno cca 1.753 domaćinstava i 198 pravnih osoba. Ovaj izgrađeni dio kanalizacijskog sustava grada Krapine će i u budućnosti funkcionirati kao mješoviti sustav odvodnje, a sva nova kanalizacijska </w:t>
      </w:r>
      <w:r>
        <w:lastRenderedPageBreak/>
        <w:t>mreža se predviđa izvesti kao nepotpuni razdjelni sustav odvodnje. Kod nepotpunog razdjelnog sustava odvodnje kanalizacijska mreža namijenjena je odvodnji samo kućanskih i tehnoloških otpadnih voda. Oborinske vode odvode se (kao i prije izgradnje kanalizacije) infiltracijom, postojećom cestovnom odvodnjom, melioracijskim kanalima i vodotocima.</w:t>
      </w:r>
    </w:p>
    <w:p w14:paraId="0D0C3FEB" w14:textId="77777777" w:rsidR="009C131D" w:rsidRDefault="009C131D" w:rsidP="00876D85"/>
    <w:p w14:paraId="77E7644A" w14:textId="1C60CADA" w:rsidR="00876D85" w:rsidRDefault="00876D85" w:rsidP="0052192B">
      <w:pPr>
        <w:pStyle w:val="Naslov2"/>
        <w:rPr>
          <w:sz w:val="22"/>
        </w:rPr>
      </w:pPr>
      <w:bookmarkStart w:id="225" w:name="_Toc85181372"/>
      <w:r>
        <w:t>1</w:t>
      </w:r>
      <w:r w:rsidR="004840B8">
        <w:t>3</w:t>
      </w:r>
      <w:r>
        <w:t>.3. Opskrba plinom</w:t>
      </w:r>
      <w:bookmarkEnd w:id="225"/>
    </w:p>
    <w:p w14:paraId="02FF586F" w14:textId="42FF21B3" w:rsidR="00876D85" w:rsidRDefault="00876D85" w:rsidP="00876D85">
      <w:bookmarkStart w:id="226" w:name="_Hlk25675986"/>
      <w:r>
        <w:br/>
        <w:t xml:space="preserve">Na području Krapinsko-zagorske županije ukupna dužina mreža iznosi 2151 km. Distribuciju plina obavlja pet distributera </w:t>
      </w:r>
      <w:bookmarkEnd w:id="226"/>
      <w:r>
        <w:t xml:space="preserve">– Gradska plinara Krapina, Humplin, Zelenjak – plin, Zagorski metalac i Plin Konjščina. U 2018. godini navedenih pet distributera opskrbljivalo je 33.220 potrošača, od čega 30.611 kućanstava. </w:t>
      </w:r>
      <w:bookmarkStart w:id="227" w:name="_Hlk25676070"/>
      <w:r>
        <w:t xml:space="preserve">Prosječna starost plinovoda iznosi 25 godina. </w:t>
      </w:r>
      <w:bookmarkEnd w:id="227"/>
      <w:r>
        <w:t>Podaci o broju potrošača i duljini mreže prema pojedinom distributeru iznijeti su u sljedećoj tablici:</w:t>
      </w:r>
    </w:p>
    <w:p w14:paraId="18F03D05" w14:textId="77777777" w:rsidR="00876D85" w:rsidRDefault="00876D85" w:rsidP="00876D85">
      <w:pPr>
        <w:rPr>
          <w:sz w:val="22"/>
          <w:szCs w:val="22"/>
        </w:rPr>
      </w:pPr>
    </w:p>
    <w:p w14:paraId="5361A01D" w14:textId="486FBB2D" w:rsidR="00876D85" w:rsidRDefault="00876D85" w:rsidP="003E3F3C">
      <w:pPr>
        <w:pStyle w:val="Opisslike"/>
      </w:pPr>
      <w:r>
        <w:t>Tablica</w:t>
      </w:r>
      <w:r w:rsidR="006D7B27">
        <w:t xml:space="preserve"> 1</w:t>
      </w:r>
      <w:r w:rsidR="00741E4F">
        <w:t>84</w:t>
      </w:r>
      <w:r>
        <w:t xml:space="preserve">. </w:t>
      </w:r>
      <w:r w:rsidRPr="004C1F5B">
        <w:t>Distributeri plina u Krapinsko-zagorskoj županiji, 2018. godina</w:t>
      </w:r>
    </w:p>
    <w:tbl>
      <w:tblPr>
        <w:tblW w:w="5000" w:type="pct"/>
        <w:jc w:val="center"/>
        <w:tblBorders>
          <w:top w:val="single" w:sz="8" w:space="0" w:color="D2232A"/>
          <w:right w:val="single" w:sz="8" w:space="0" w:color="D2232A"/>
          <w:insideH w:val="single" w:sz="8" w:space="0" w:color="F3CFC1"/>
        </w:tblBorders>
        <w:tblLook w:val="04A0" w:firstRow="1" w:lastRow="0" w:firstColumn="1" w:lastColumn="0" w:noHBand="0" w:noVBand="1"/>
      </w:tblPr>
      <w:tblGrid>
        <w:gridCol w:w="2179"/>
        <w:gridCol w:w="7115"/>
      </w:tblGrid>
      <w:tr w:rsidR="00876D85" w:rsidRPr="000A346F" w14:paraId="75A5D7D6" w14:textId="77777777" w:rsidTr="001D3ADC">
        <w:trPr>
          <w:trHeight w:val="283"/>
          <w:jc w:val="center"/>
        </w:trPr>
        <w:tc>
          <w:tcPr>
            <w:tcW w:w="1172" w:type="pct"/>
            <w:shd w:val="clear" w:color="auto" w:fill="D2232A" w:themeFill="accent1"/>
            <w:vAlign w:val="center"/>
            <w:hideMark/>
          </w:tcPr>
          <w:p w14:paraId="63486B53" w14:textId="77777777" w:rsidR="00876D85" w:rsidRPr="000A346F" w:rsidRDefault="00876D85" w:rsidP="001D3ADC">
            <w:pPr>
              <w:rPr>
                <w:b/>
                <w:bCs/>
                <w:iCs/>
                <w:color w:val="FFFFFF" w:themeColor="background1"/>
                <w:lang w:val="en-GB"/>
              </w:rPr>
            </w:pPr>
            <w:r w:rsidRPr="000A346F">
              <w:rPr>
                <w:b/>
                <w:bCs/>
                <w:iCs/>
                <w:color w:val="FFFFFF" w:themeColor="background1"/>
              </w:rPr>
              <w:t>GRADSKA PLINARA KRAPINA</w:t>
            </w:r>
          </w:p>
        </w:tc>
        <w:tc>
          <w:tcPr>
            <w:tcW w:w="3828" w:type="pct"/>
            <w:hideMark/>
          </w:tcPr>
          <w:p w14:paraId="6C4A337B" w14:textId="77777777" w:rsidR="00876D85" w:rsidRPr="000A346F" w:rsidRDefault="00876D85" w:rsidP="001D3ADC">
            <w:pPr>
              <w:rPr>
                <w:iCs/>
              </w:rPr>
            </w:pPr>
            <w:r w:rsidRPr="000A346F">
              <w:rPr>
                <w:iCs/>
              </w:rPr>
              <w:t>Krapina, Petrovsko, Đurmanec, Radoboj, Mihovljan (izuzev naselja Gregurovec Veternički i Veternička Velika), Novi Golubovec (osim Starog Golubovca i Petrove Gore), Jesenje</w:t>
            </w:r>
          </w:p>
        </w:tc>
      </w:tr>
      <w:tr w:rsidR="00876D85" w:rsidRPr="000A346F" w14:paraId="4AA37373" w14:textId="77777777" w:rsidTr="001D3ADC">
        <w:trPr>
          <w:trHeight w:val="283"/>
          <w:jc w:val="center"/>
        </w:trPr>
        <w:tc>
          <w:tcPr>
            <w:tcW w:w="1172" w:type="pct"/>
            <w:shd w:val="clear" w:color="auto" w:fill="D2232A" w:themeFill="accent1"/>
            <w:vAlign w:val="center"/>
            <w:hideMark/>
          </w:tcPr>
          <w:p w14:paraId="76562B25" w14:textId="77777777" w:rsidR="00876D85" w:rsidRPr="000A346F" w:rsidRDefault="00876D85" w:rsidP="001D3ADC">
            <w:pPr>
              <w:rPr>
                <w:b/>
                <w:bCs/>
                <w:iCs/>
                <w:color w:val="FFFFFF" w:themeColor="background1"/>
              </w:rPr>
            </w:pPr>
            <w:r w:rsidRPr="000A346F">
              <w:rPr>
                <w:b/>
                <w:bCs/>
                <w:iCs/>
                <w:color w:val="FFFFFF" w:themeColor="background1"/>
              </w:rPr>
              <w:t>HUMPLIN</w:t>
            </w:r>
          </w:p>
        </w:tc>
        <w:tc>
          <w:tcPr>
            <w:tcW w:w="3828" w:type="pct"/>
            <w:hideMark/>
          </w:tcPr>
          <w:p w14:paraId="62C214C3" w14:textId="77777777" w:rsidR="00876D85" w:rsidRPr="000A346F" w:rsidRDefault="00876D85" w:rsidP="001D3ADC">
            <w:pPr>
              <w:rPr>
                <w:iCs/>
              </w:rPr>
            </w:pPr>
            <w:r w:rsidRPr="000A346F">
              <w:rPr>
                <w:iCs/>
              </w:rPr>
              <w:t>Pregrada, Hum na Sutli, Desinić i djelomično općina Petrovsko</w:t>
            </w:r>
          </w:p>
        </w:tc>
      </w:tr>
      <w:tr w:rsidR="00876D85" w:rsidRPr="000A346F" w14:paraId="72F82AEF" w14:textId="77777777" w:rsidTr="001D3ADC">
        <w:trPr>
          <w:trHeight w:val="283"/>
          <w:jc w:val="center"/>
        </w:trPr>
        <w:tc>
          <w:tcPr>
            <w:tcW w:w="1172" w:type="pct"/>
            <w:shd w:val="clear" w:color="auto" w:fill="D2232A" w:themeFill="accent1"/>
            <w:vAlign w:val="center"/>
            <w:hideMark/>
          </w:tcPr>
          <w:p w14:paraId="7B90F138" w14:textId="77777777" w:rsidR="00876D85" w:rsidRPr="000A346F" w:rsidRDefault="00876D85" w:rsidP="001D3ADC">
            <w:pPr>
              <w:rPr>
                <w:b/>
                <w:bCs/>
                <w:iCs/>
                <w:color w:val="FFFFFF" w:themeColor="background1"/>
              </w:rPr>
            </w:pPr>
            <w:r w:rsidRPr="000A346F">
              <w:rPr>
                <w:b/>
                <w:bCs/>
                <w:iCs/>
                <w:color w:val="FFFFFF" w:themeColor="background1"/>
              </w:rPr>
              <w:t>ZELENJAK - PLIN</w:t>
            </w:r>
          </w:p>
        </w:tc>
        <w:tc>
          <w:tcPr>
            <w:tcW w:w="3828" w:type="pct"/>
            <w:hideMark/>
          </w:tcPr>
          <w:p w14:paraId="0282E782" w14:textId="77777777" w:rsidR="00876D85" w:rsidRPr="000A346F" w:rsidRDefault="00876D85" w:rsidP="001D3ADC">
            <w:pPr>
              <w:rPr>
                <w:iCs/>
              </w:rPr>
            </w:pPr>
            <w:r w:rsidRPr="000A346F">
              <w:rPr>
                <w:iCs/>
              </w:rPr>
              <w:t xml:space="preserve">Klanjec,Tuhelj, Kumrovec, Zagorska </w:t>
            </w:r>
            <w:r>
              <w:rPr>
                <w:iCs/>
              </w:rPr>
              <w:t>S</w:t>
            </w:r>
            <w:r w:rsidRPr="000A346F">
              <w:rPr>
                <w:iCs/>
              </w:rPr>
              <w:t>ela, Kraljevec na Sutli, Desinić, Veliko Trgovišće, Dubravice</w:t>
            </w:r>
          </w:p>
        </w:tc>
      </w:tr>
      <w:tr w:rsidR="00876D85" w:rsidRPr="000A346F" w14:paraId="027BC2EC" w14:textId="77777777" w:rsidTr="001D3ADC">
        <w:trPr>
          <w:trHeight w:val="283"/>
          <w:jc w:val="center"/>
        </w:trPr>
        <w:tc>
          <w:tcPr>
            <w:tcW w:w="1172" w:type="pct"/>
            <w:shd w:val="clear" w:color="auto" w:fill="D2232A" w:themeFill="accent1"/>
            <w:vAlign w:val="center"/>
            <w:hideMark/>
          </w:tcPr>
          <w:p w14:paraId="35940252" w14:textId="77777777" w:rsidR="00876D85" w:rsidRPr="000A346F" w:rsidRDefault="00876D85" w:rsidP="001D3ADC">
            <w:pPr>
              <w:rPr>
                <w:b/>
                <w:bCs/>
                <w:iCs/>
                <w:color w:val="FFFFFF" w:themeColor="background1"/>
              </w:rPr>
            </w:pPr>
            <w:r w:rsidRPr="000A346F">
              <w:rPr>
                <w:b/>
                <w:bCs/>
                <w:iCs/>
                <w:color w:val="FFFFFF" w:themeColor="background1"/>
              </w:rPr>
              <w:t>ZAGORSKI METALAC</w:t>
            </w:r>
          </w:p>
        </w:tc>
        <w:tc>
          <w:tcPr>
            <w:tcW w:w="3828" w:type="pct"/>
            <w:hideMark/>
          </w:tcPr>
          <w:p w14:paraId="0A29D923" w14:textId="77777777" w:rsidR="00876D85" w:rsidRPr="000A346F" w:rsidRDefault="00876D85" w:rsidP="001D3ADC">
            <w:pPr>
              <w:rPr>
                <w:iCs/>
              </w:rPr>
            </w:pPr>
            <w:r w:rsidRPr="000A346F">
              <w:rPr>
                <w:iCs/>
              </w:rPr>
              <w:t>Bedekovčina, Krapinske Toplice, Mače, Sveti Križ Začretje, Veliko Trgovišće, Mihovljan - zaselak Haramini, Gornja Stubica, Stubičke Toplice, Luka, Bistra, Jakovlje, Zabok, Krapina, Donja Šemnica, Donja Stubica, Oroslavje</w:t>
            </w:r>
          </w:p>
        </w:tc>
      </w:tr>
      <w:tr w:rsidR="00876D85" w:rsidRPr="000A346F" w14:paraId="539BA300" w14:textId="77777777" w:rsidTr="001D3ADC">
        <w:trPr>
          <w:trHeight w:val="283"/>
          <w:jc w:val="center"/>
        </w:trPr>
        <w:tc>
          <w:tcPr>
            <w:tcW w:w="1172" w:type="pct"/>
            <w:tcBorders>
              <w:bottom w:val="single" w:sz="4" w:space="0" w:color="D2232A" w:themeColor="accent1"/>
            </w:tcBorders>
            <w:shd w:val="clear" w:color="auto" w:fill="D2232A" w:themeFill="accent1"/>
            <w:vAlign w:val="center"/>
            <w:hideMark/>
          </w:tcPr>
          <w:p w14:paraId="60F19BD8" w14:textId="77777777" w:rsidR="00876D85" w:rsidRPr="000A346F" w:rsidRDefault="00876D85" w:rsidP="001D3ADC">
            <w:pPr>
              <w:rPr>
                <w:b/>
                <w:bCs/>
                <w:iCs/>
                <w:color w:val="FFFFFF" w:themeColor="background1"/>
              </w:rPr>
            </w:pPr>
            <w:r w:rsidRPr="000A346F">
              <w:rPr>
                <w:b/>
                <w:bCs/>
                <w:iCs/>
                <w:color w:val="FFFFFF" w:themeColor="background1"/>
              </w:rPr>
              <w:t>PLIN KONJŠČINA</w:t>
            </w:r>
          </w:p>
        </w:tc>
        <w:tc>
          <w:tcPr>
            <w:tcW w:w="3828" w:type="pct"/>
            <w:tcBorders>
              <w:bottom w:val="single" w:sz="4" w:space="0" w:color="D2232A" w:themeColor="accent1"/>
            </w:tcBorders>
            <w:hideMark/>
          </w:tcPr>
          <w:p w14:paraId="2FF48B95" w14:textId="77777777" w:rsidR="00876D85" w:rsidRPr="000A346F" w:rsidRDefault="00876D85" w:rsidP="001D3ADC">
            <w:pPr>
              <w:rPr>
                <w:iCs/>
              </w:rPr>
            </w:pPr>
            <w:r w:rsidRPr="000A346F">
              <w:rPr>
                <w:iCs/>
              </w:rPr>
              <w:t>Zlatar, Konjš</w:t>
            </w:r>
            <w:r>
              <w:rPr>
                <w:iCs/>
              </w:rPr>
              <w:t>č</w:t>
            </w:r>
            <w:r w:rsidRPr="000A346F">
              <w:rPr>
                <w:iCs/>
              </w:rPr>
              <w:t>ina, Zlatar Bistrica, Marija Bistrica, Lobor, Budinščina, Hraš</w:t>
            </w:r>
            <w:r>
              <w:rPr>
                <w:iCs/>
              </w:rPr>
              <w:t>ć</w:t>
            </w:r>
            <w:r w:rsidRPr="000A346F">
              <w:rPr>
                <w:iCs/>
              </w:rPr>
              <w:t>ina, dio općine Gornja Stubica, Novi Golubovec i Mihovljan</w:t>
            </w:r>
          </w:p>
        </w:tc>
      </w:tr>
    </w:tbl>
    <w:p w14:paraId="14C928F8" w14:textId="77777777" w:rsidR="00876D85" w:rsidRPr="006D7B27" w:rsidRDefault="00876D85" w:rsidP="003C2276">
      <w:pPr>
        <w:pStyle w:val="Izvor"/>
        <w:rPr>
          <w:i/>
          <w:color w:val="ABABAB" w:themeColor="text1" w:themeTint="A6"/>
          <w:sz w:val="16"/>
          <w:szCs w:val="16"/>
        </w:rPr>
      </w:pPr>
      <w:r w:rsidRPr="006D7B27">
        <w:rPr>
          <w:i/>
          <w:color w:val="ABABAB" w:themeColor="text1" w:themeTint="A6"/>
          <w:sz w:val="16"/>
          <w:szCs w:val="16"/>
        </w:rPr>
        <w:t>Izvor: Strategija održivog korištenja energije Krapinsko-zagorske županije, 2008.</w:t>
      </w:r>
    </w:p>
    <w:p w14:paraId="04357023" w14:textId="77777777" w:rsidR="00876D85" w:rsidRDefault="00876D85" w:rsidP="00876D85"/>
    <w:p w14:paraId="111BB17B" w14:textId="492547A8" w:rsidR="00876D85" w:rsidRDefault="00876D85" w:rsidP="00876D85">
      <w:r>
        <w:t>Postoje planovi za proširenje plinske mreže poticanjem provedbe plinofikacije naselja i opskrbu gospodarstva kroz lokalne razvojne programe te izgradnj</w:t>
      </w:r>
      <w:r w:rsidR="000B1F3D">
        <w:t>u</w:t>
      </w:r>
      <w:r>
        <w:t xml:space="preserve"> magistralnih sustava uz objedinjavanje distribucijske mreže. Najniži stupanj plinofikacije od 8% je u općini Hrašćina, dok je najveći stupanj, do 90%, na području Zaboka.</w:t>
      </w:r>
    </w:p>
    <w:p w14:paraId="363AE461" w14:textId="77777777" w:rsidR="009C131D" w:rsidRDefault="009C131D" w:rsidP="00876D85">
      <w:pPr>
        <w:rPr>
          <w:sz w:val="22"/>
          <w:szCs w:val="22"/>
        </w:rPr>
      </w:pPr>
    </w:p>
    <w:p w14:paraId="6E746916" w14:textId="060D2DB8" w:rsidR="00876D85" w:rsidRDefault="00876D85" w:rsidP="003E3F3C">
      <w:pPr>
        <w:pStyle w:val="Opisslike"/>
        <w:rPr>
          <w:noProof/>
        </w:rPr>
      </w:pPr>
      <w:r>
        <w:rPr>
          <w:noProof/>
          <w:lang w:eastAsia="hr-HR"/>
        </w:rPr>
        <w:lastRenderedPageBreak/>
        <w:drawing>
          <wp:anchor distT="0" distB="0" distL="114300" distR="114300" simplePos="0" relativeHeight="251738112" behindDoc="0" locked="0" layoutInCell="1" allowOverlap="1" wp14:anchorId="47FD2836" wp14:editId="7AF726F9">
            <wp:simplePos x="0" y="0"/>
            <wp:positionH relativeFrom="margin">
              <wp:align>right</wp:align>
            </wp:positionH>
            <wp:positionV relativeFrom="paragraph">
              <wp:posOffset>175895</wp:posOffset>
            </wp:positionV>
            <wp:extent cx="5770245" cy="4643120"/>
            <wp:effectExtent l="0" t="0" r="1905" b="508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70245" cy="4643120"/>
                    </a:xfrm>
                    <a:prstGeom prst="rect">
                      <a:avLst/>
                    </a:prstGeom>
                    <a:noFill/>
                  </pic:spPr>
                </pic:pic>
              </a:graphicData>
            </a:graphic>
            <wp14:sizeRelH relativeFrom="margin">
              <wp14:pctWidth>0</wp14:pctWidth>
            </wp14:sizeRelH>
            <wp14:sizeRelV relativeFrom="margin">
              <wp14:pctHeight>0</wp14:pctHeight>
            </wp14:sizeRelV>
          </wp:anchor>
        </w:drawing>
      </w:r>
      <w:r w:rsidRPr="0043722B">
        <w:t xml:space="preserve"> </w:t>
      </w:r>
      <w:bookmarkStart w:id="228" w:name="_Hlk57304198"/>
      <w:r>
        <w:t>Prikaz</w:t>
      </w:r>
      <w:r w:rsidR="006D7B27">
        <w:rPr>
          <w:noProof/>
        </w:rPr>
        <w:t xml:space="preserve"> 1</w:t>
      </w:r>
      <w:r w:rsidR="00A96020">
        <w:rPr>
          <w:noProof/>
        </w:rPr>
        <w:t>5</w:t>
      </w:r>
      <w:r>
        <w:rPr>
          <w:noProof/>
        </w:rPr>
        <w:t>.</w:t>
      </w:r>
      <w:r>
        <w:t xml:space="preserve"> Kartografski prikaz plinskih distribucijskih područja u Krapinsko-zagorskoj županiji</w:t>
      </w:r>
      <w:bookmarkEnd w:id="228"/>
    </w:p>
    <w:p w14:paraId="4E03F232" w14:textId="1064F0D4" w:rsidR="009C131D" w:rsidRDefault="00876D85" w:rsidP="007823F0">
      <w:pPr>
        <w:pStyle w:val="Izvor"/>
        <w:rPr>
          <w:i/>
          <w:color w:val="ABABAB" w:themeColor="text1" w:themeTint="A6"/>
          <w:sz w:val="16"/>
          <w:szCs w:val="16"/>
        </w:rPr>
      </w:pPr>
      <w:r w:rsidRPr="006D7B27">
        <w:rPr>
          <w:i/>
          <w:color w:val="ABABAB" w:themeColor="text1" w:themeTint="A6"/>
          <w:sz w:val="16"/>
          <w:szCs w:val="16"/>
        </w:rPr>
        <w:t xml:space="preserve">Izvor: Analiza distribucije plina na području KZŽ, Upravni odjel za gospodarstvo, poljoprivredu, turizam, promet i kom. </w:t>
      </w:r>
      <w:r w:rsidR="007823F0" w:rsidRPr="006D7B27">
        <w:rPr>
          <w:i/>
          <w:color w:val="ABABAB" w:themeColor="text1" w:themeTint="A6"/>
          <w:sz w:val="16"/>
          <w:szCs w:val="16"/>
        </w:rPr>
        <w:t>I</w:t>
      </w:r>
      <w:r w:rsidRPr="006D7B27">
        <w:rPr>
          <w:i/>
          <w:color w:val="ABABAB" w:themeColor="text1" w:themeTint="A6"/>
          <w:sz w:val="16"/>
          <w:szCs w:val="16"/>
        </w:rPr>
        <w:t>nfrastrukturu</w:t>
      </w:r>
    </w:p>
    <w:p w14:paraId="52577AF3" w14:textId="77777777" w:rsidR="007823F0" w:rsidRPr="000A346F" w:rsidRDefault="007823F0" w:rsidP="007823F0">
      <w:pPr>
        <w:pStyle w:val="Izvor"/>
      </w:pPr>
    </w:p>
    <w:p w14:paraId="74F3EED9" w14:textId="6E75D26F" w:rsidR="00876D85" w:rsidRDefault="00876D85" w:rsidP="003E3F3C">
      <w:pPr>
        <w:pStyle w:val="Opisslike"/>
      </w:pPr>
      <w:r>
        <w:t xml:space="preserve">Tablica </w:t>
      </w:r>
      <w:r w:rsidR="006D7B27">
        <w:t>1</w:t>
      </w:r>
      <w:r w:rsidR="00741E4F">
        <w:t>88</w:t>
      </w:r>
      <w:r w:rsidR="006D7B27">
        <w:t>.</w:t>
      </w:r>
      <w:r>
        <w:t xml:space="preserve"> </w:t>
      </w:r>
      <w:r w:rsidRPr="006B5943">
        <w:t>Distributeri plina u Krapinsko-zagorskoj županiji, 2018</w:t>
      </w:r>
      <w:r w:rsidR="00CA1A58">
        <w:t>.</w:t>
      </w:r>
    </w:p>
    <w:tbl>
      <w:tblPr>
        <w:tblW w:w="5181" w:type="pct"/>
        <w:tblInd w:w="-142" w:type="dxa"/>
        <w:tblBorders>
          <w:left w:val="single" w:sz="8" w:space="0" w:color="D2232A"/>
          <w:right w:val="single" w:sz="8" w:space="0" w:color="D2232A"/>
          <w:insideH w:val="single" w:sz="8" w:space="0" w:color="F3CFC1"/>
          <w:insideV w:val="single" w:sz="8" w:space="0" w:color="D2232A"/>
        </w:tblBorders>
        <w:tblLayout w:type="fixed"/>
        <w:tblLook w:val="04A0" w:firstRow="1" w:lastRow="0" w:firstColumn="1" w:lastColumn="0" w:noHBand="0" w:noVBand="1"/>
      </w:tblPr>
      <w:tblGrid>
        <w:gridCol w:w="1417"/>
        <w:gridCol w:w="1131"/>
        <w:gridCol w:w="991"/>
        <w:gridCol w:w="850"/>
        <w:gridCol w:w="1272"/>
        <w:gridCol w:w="1133"/>
        <w:gridCol w:w="704"/>
        <w:gridCol w:w="868"/>
        <w:gridCol w:w="1254"/>
      </w:tblGrid>
      <w:tr w:rsidR="00876D85" w:rsidRPr="00597F39" w14:paraId="7C46A4E6" w14:textId="77777777" w:rsidTr="001D3ADC">
        <w:trPr>
          <w:trHeight w:val="864"/>
        </w:trPr>
        <w:tc>
          <w:tcPr>
            <w:tcW w:w="736" w:type="pct"/>
            <w:shd w:val="clear" w:color="auto" w:fill="D2232A" w:themeFill="accent1"/>
            <w:noWrap/>
            <w:vAlign w:val="center"/>
            <w:hideMark/>
          </w:tcPr>
          <w:p w14:paraId="4D1EEA2D" w14:textId="77777777" w:rsidR="00876D85" w:rsidRPr="0043722B" w:rsidRDefault="00876D85" w:rsidP="001D3ADC">
            <w:pPr>
              <w:spacing w:after="0"/>
              <w:jc w:val="left"/>
              <w:rPr>
                <w:b/>
                <w:bCs/>
                <w:iCs/>
                <w:color w:val="FFFFFF" w:themeColor="background1"/>
                <w:szCs w:val="18"/>
                <w:lang w:val="en-GB"/>
              </w:rPr>
            </w:pPr>
            <w:r w:rsidRPr="0043722B">
              <w:rPr>
                <w:b/>
                <w:bCs/>
                <w:iCs/>
                <w:color w:val="FFFFFF" w:themeColor="background1"/>
                <w:szCs w:val="18"/>
              </w:rPr>
              <w:t>2018</w:t>
            </w:r>
          </w:p>
        </w:tc>
        <w:tc>
          <w:tcPr>
            <w:tcW w:w="588" w:type="pct"/>
            <w:shd w:val="clear" w:color="auto" w:fill="D2232A" w:themeFill="accent1"/>
            <w:noWrap/>
            <w:vAlign w:val="center"/>
            <w:hideMark/>
          </w:tcPr>
          <w:p w14:paraId="360A9731" w14:textId="77777777" w:rsidR="00876D85" w:rsidRPr="0043722B" w:rsidRDefault="00876D85" w:rsidP="001D3ADC">
            <w:pPr>
              <w:spacing w:after="0"/>
              <w:jc w:val="right"/>
              <w:rPr>
                <w:b/>
                <w:bCs/>
                <w:iCs/>
                <w:color w:val="FFFFFF" w:themeColor="background1"/>
                <w:sz w:val="16"/>
                <w:szCs w:val="18"/>
              </w:rPr>
            </w:pPr>
            <w:r w:rsidRPr="0043722B">
              <w:rPr>
                <w:b/>
                <w:bCs/>
                <w:iCs/>
                <w:color w:val="FFFFFF" w:themeColor="background1"/>
                <w:sz w:val="16"/>
                <w:szCs w:val="18"/>
              </w:rPr>
              <w:t>Kućanstva</w:t>
            </w:r>
          </w:p>
        </w:tc>
        <w:tc>
          <w:tcPr>
            <w:tcW w:w="515" w:type="pct"/>
            <w:shd w:val="clear" w:color="auto" w:fill="D2232A" w:themeFill="accent1"/>
            <w:noWrap/>
            <w:vAlign w:val="center"/>
            <w:hideMark/>
          </w:tcPr>
          <w:p w14:paraId="4F56FA48" w14:textId="77777777" w:rsidR="00876D85" w:rsidRPr="0043722B" w:rsidRDefault="00876D85" w:rsidP="001D3ADC">
            <w:pPr>
              <w:spacing w:after="0"/>
              <w:jc w:val="right"/>
              <w:rPr>
                <w:b/>
                <w:bCs/>
                <w:iCs/>
                <w:color w:val="FFFFFF" w:themeColor="background1"/>
                <w:sz w:val="16"/>
                <w:szCs w:val="18"/>
              </w:rPr>
            </w:pPr>
            <w:r w:rsidRPr="0043722B">
              <w:rPr>
                <w:b/>
                <w:bCs/>
                <w:iCs/>
                <w:color w:val="FFFFFF" w:themeColor="background1"/>
                <w:sz w:val="16"/>
                <w:szCs w:val="18"/>
              </w:rPr>
              <w:t>Industrija</w:t>
            </w:r>
          </w:p>
        </w:tc>
        <w:tc>
          <w:tcPr>
            <w:tcW w:w="442" w:type="pct"/>
            <w:shd w:val="clear" w:color="auto" w:fill="D2232A" w:themeFill="accent1"/>
            <w:noWrap/>
            <w:vAlign w:val="center"/>
            <w:hideMark/>
          </w:tcPr>
          <w:p w14:paraId="56CC80EF" w14:textId="77777777" w:rsidR="00876D85" w:rsidRPr="0043722B" w:rsidRDefault="00876D85" w:rsidP="001D3ADC">
            <w:pPr>
              <w:spacing w:after="0"/>
              <w:jc w:val="right"/>
              <w:rPr>
                <w:b/>
                <w:bCs/>
                <w:iCs/>
                <w:color w:val="FFFFFF" w:themeColor="background1"/>
                <w:sz w:val="16"/>
                <w:szCs w:val="18"/>
              </w:rPr>
            </w:pPr>
            <w:r w:rsidRPr="0043722B">
              <w:rPr>
                <w:b/>
                <w:bCs/>
                <w:iCs/>
                <w:color w:val="FFFFFF" w:themeColor="background1"/>
                <w:sz w:val="16"/>
                <w:szCs w:val="18"/>
              </w:rPr>
              <w:t>Usluge</w:t>
            </w:r>
          </w:p>
        </w:tc>
        <w:tc>
          <w:tcPr>
            <w:tcW w:w="661" w:type="pct"/>
            <w:shd w:val="clear" w:color="auto" w:fill="D2232A" w:themeFill="accent1"/>
            <w:noWrap/>
            <w:vAlign w:val="center"/>
            <w:hideMark/>
          </w:tcPr>
          <w:p w14:paraId="7E7B366C" w14:textId="77777777" w:rsidR="00876D85" w:rsidRPr="0043722B" w:rsidRDefault="00876D85" w:rsidP="001D3ADC">
            <w:pPr>
              <w:spacing w:after="0"/>
              <w:jc w:val="right"/>
              <w:rPr>
                <w:b/>
                <w:bCs/>
                <w:iCs/>
                <w:color w:val="FFFFFF" w:themeColor="background1"/>
                <w:sz w:val="16"/>
                <w:szCs w:val="18"/>
              </w:rPr>
            </w:pPr>
            <w:r w:rsidRPr="0043722B">
              <w:rPr>
                <w:b/>
                <w:bCs/>
                <w:iCs/>
                <w:color w:val="FFFFFF" w:themeColor="background1"/>
                <w:sz w:val="16"/>
                <w:szCs w:val="18"/>
              </w:rPr>
              <w:t>Poljoprivreda</w:t>
            </w:r>
          </w:p>
        </w:tc>
        <w:tc>
          <w:tcPr>
            <w:tcW w:w="589" w:type="pct"/>
            <w:shd w:val="clear" w:color="auto" w:fill="D2232A" w:themeFill="accent1"/>
            <w:vAlign w:val="center"/>
            <w:hideMark/>
          </w:tcPr>
          <w:p w14:paraId="57E3D920" w14:textId="77777777" w:rsidR="00876D85" w:rsidRPr="0043722B" w:rsidRDefault="00876D85" w:rsidP="001D3ADC">
            <w:pPr>
              <w:spacing w:after="0"/>
              <w:jc w:val="right"/>
              <w:rPr>
                <w:b/>
                <w:bCs/>
                <w:iCs/>
                <w:color w:val="FFFFFF" w:themeColor="background1"/>
                <w:sz w:val="16"/>
                <w:szCs w:val="18"/>
              </w:rPr>
            </w:pPr>
            <w:r w:rsidRPr="0043722B">
              <w:rPr>
                <w:b/>
                <w:bCs/>
                <w:iCs/>
                <w:color w:val="FFFFFF" w:themeColor="background1"/>
                <w:sz w:val="16"/>
                <w:szCs w:val="18"/>
              </w:rPr>
              <w:t>Toplane i kotlovnice</w:t>
            </w:r>
          </w:p>
        </w:tc>
        <w:tc>
          <w:tcPr>
            <w:tcW w:w="366" w:type="pct"/>
            <w:shd w:val="clear" w:color="auto" w:fill="D2232A" w:themeFill="accent1"/>
            <w:noWrap/>
            <w:vAlign w:val="center"/>
            <w:hideMark/>
          </w:tcPr>
          <w:p w14:paraId="5B0D7F42" w14:textId="77777777" w:rsidR="00876D85" w:rsidRPr="0043722B" w:rsidRDefault="00876D85" w:rsidP="001D3ADC">
            <w:pPr>
              <w:spacing w:after="0"/>
              <w:jc w:val="right"/>
              <w:rPr>
                <w:b/>
                <w:bCs/>
                <w:iCs/>
                <w:color w:val="FFFFFF" w:themeColor="background1"/>
                <w:sz w:val="16"/>
                <w:szCs w:val="18"/>
              </w:rPr>
            </w:pPr>
            <w:r w:rsidRPr="0043722B">
              <w:rPr>
                <w:b/>
                <w:bCs/>
                <w:iCs/>
                <w:color w:val="FFFFFF" w:themeColor="background1"/>
                <w:sz w:val="16"/>
                <w:szCs w:val="18"/>
              </w:rPr>
              <w:t>Ostali</w:t>
            </w:r>
          </w:p>
        </w:tc>
        <w:tc>
          <w:tcPr>
            <w:tcW w:w="451" w:type="pct"/>
            <w:shd w:val="clear" w:color="auto" w:fill="D2232A" w:themeFill="accent1"/>
            <w:noWrap/>
            <w:vAlign w:val="center"/>
            <w:hideMark/>
          </w:tcPr>
          <w:p w14:paraId="2FD7F0A0" w14:textId="77777777" w:rsidR="00876D85" w:rsidRPr="0043722B" w:rsidRDefault="00876D85" w:rsidP="001D3ADC">
            <w:pPr>
              <w:spacing w:after="0"/>
              <w:jc w:val="right"/>
              <w:rPr>
                <w:b/>
                <w:bCs/>
                <w:iCs/>
                <w:color w:val="FFFFFF" w:themeColor="background1"/>
                <w:sz w:val="16"/>
                <w:szCs w:val="18"/>
              </w:rPr>
            </w:pPr>
            <w:r w:rsidRPr="0043722B">
              <w:rPr>
                <w:b/>
                <w:bCs/>
                <w:iCs/>
                <w:color w:val="FFFFFF" w:themeColor="background1"/>
                <w:sz w:val="16"/>
                <w:szCs w:val="18"/>
              </w:rPr>
              <w:t>Ukupno</w:t>
            </w:r>
          </w:p>
        </w:tc>
        <w:tc>
          <w:tcPr>
            <w:tcW w:w="652" w:type="pct"/>
            <w:shd w:val="clear" w:color="auto" w:fill="D2232A" w:themeFill="accent1"/>
            <w:vAlign w:val="center"/>
            <w:hideMark/>
          </w:tcPr>
          <w:p w14:paraId="0A370850" w14:textId="77777777" w:rsidR="00876D85" w:rsidRPr="0043722B" w:rsidRDefault="00876D85" w:rsidP="001D3ADC">
            <w:pPr>
              <w:spacing w:after="0"/>
              <w:jc w:val="right"/>
              <w:rPr>
                <w:b/>
                <w:bCs/>
                <w:iCs/>
                <w:color w:val="FFFFFF" w:themeColor="background1"/>
                <w:sz w:val="16"/>
                <w:szCs w:val="18"/>
              </w:rPr>
            </w:pPr>
            <w:r w:rsidRPr="0043722B">
              <w:rPr>
                <w:b/>
                <w:bCs/>
                <w:iCs/>
                <w:color w:val="FFFFFF" w:themeColor="background1"/>
                <w:sz w:val="16"/>
                <w:szCs w:val="18"/>
              </w:rPr>
              <w:t>Dužina distributivne mreže plinovoda (km)</w:t>
            </w:r>
          </w:p>
        </w:tc>
      </w:tr>
      <w:tr w:rsidR="00876D85" w:rsidRPr="00597F39" w14:paraId="6CC81D3F" w14:textId="77777777" w:rsidTr="001D3ADC">
        <w:trPr>
          <w:trHeight w:val="360"/>
        </w:trPr>
        <w:tc>
          <w:tcPr>
            <w:tcW w:w="736" w:type="pct"/>
            <w:noWrap/>
            <w:vAlign w:val="center"/>
            <w:hideMark/>
          </w:tcPr>
          <w:p w14:paraId="3D310277" w14:textId="77777777" w:rsidR="00876D85" w:rsidRPr="0043722B" w:rsidRDefault="00876D85" w:rsidP="001D3ADC">
            <w:pPr>
              <w:spacing w:after="0"/>
              <w:jc w:val="left"/>
              <w:rPr>
                <w:b/>
                <w:bCs/>
                <w:iCs/>
                <w:szCs w:val="18"/>
              </w:rPr>
            </w:pPr>
            <w:r w:rsidRPr="0043722B">
              <w:rPr>
                <w:b/>
                <w:bCs/>
                <w:iCs/>
                <w:szCs w:val="18"/>
              </w:rPr>
              <w:t>GRADSKA PLINARA KRAPINA</w:t>
            </w:r>
          </w:p>
        </w:tc>
        <w:tc>
          <w:tcPr>
            <w:tcW w:w="588" w:type="pct"/>
            <w:noWrap/>
            <w:vAlign w:val="center"/>
            <w:hideMark/>
          </w:tcPr>
          <w:p w14:paraId="1C387343" w14:textId="77777777" w:rsidR="00876D85" w:rsidRPr="0043722B" w:rsidRDefault="00876D85" w:rsidP="001D3ADC">
            <w:pPr>
              <w:spacing w:after="0"/>
              <w:jc w:val="right"/>
              <w:rPr>
                <w:iCs/>
                <w:szCs w:val="18"/>
              </w:rPr>
            </w:pPr>
            <w:r w:rsidRPr="0043722B">
              <w:rPr>
                <w:iCs/>
                <w:szCs w:val="18"/>
              </w:rPr>
              <w:t>4904</w:t>
            </w:r>
          </w:p>
        </w:tc>
        <w:tc>
          <w:tcPr>
            <w:tcW w:w="515" w:type="pct"/>
            <w:noWrap/>
            <w:vAlign w:val="center"/>
            <w:hideMark/>
          </w:tcPr>
          <w:p w14:paraId="3CAA97A0" w14:textId="77777777" w:rsidR="00876D85" w:rsidRPr="0043722B" w:rsidRDefault="00876D85" w:rsidP="001D3ADC">
            <w:pPr>
              <w:spacing w:after="0"/>
              <w:jc w:val="right"/>
              <w:rPr>
                <w:iCs/>
                <w:szCs w:val="18"/>
              </w:rPr>
            </w:pPr>
            <w:r w:rsidRPr="0043722B">
              <w:rPr>
                <w:iCs/>
                <w:szCs w:val="18"/>
              </w:rPr>
              <w:t>30</w:t>
            </w:r>
          </w:p>
        </w:tc>
        <w:tc>
          <w:tcPr>
            <w:tcW w:w="442" w:type="pct"/>
            <w:noWrap/>
            <w:vAlign w:val="center"/>
            <w:hideMark/>
          </w:tcPr>
          <w:p w14:paraId="77879722" w14:textId="77777777" w:rsidR="00876D85" w:rsidRPr="0043722B" w:rsidRDefault="00876D85" w:rsidP="001D3ADC">
            <w:pPr>
              <w:spacing w:after="0"/>
              <w:jc w:val="right"/>
              <w:rPr>
                <w:iCs/>
                <w:szCs w:val="18"/>
              </w:rPr>
            </w:pPr>
            <w:r w:rsidRPr="0043722B">
              <w:rPr>
                <w:iCs/>
                <w:szCs w:val="18"/>
              </w:rPr>
              <w:t>449</w:t>
            </w:r>
          </w:p>
        </w:tc>
        <w:tc>
          <w:tcPr>
            <w:tcW w:w="661" w:type="pct"/>
            <w:noWrap/>
            <w:vAlign w:val="center"/>
            <w:hideMark/>
          </w:tcPr>
          <w:p w14:paraId="27BDF488" w14:textId="77777777" w:rsidR="00876D85" w:rsidRPr="0043722B" w:rsidRDefault="00876D85" w:rsidP="001D3ADC">
            <w:pPr>
              <w:spacing w:after="0"/>
              <w:jc w:val="right"/>
              <w:rPr>
                <w:iCs/>
                <w:szCs w:val="18"/>
              </w:rPr>
            </w:pPr>
            <w:r w:rsidRPr="0043722B">
              <w:rPr>
                <w:iCs/>
                <w:szCs w:val="18"/>
              </w:rPr>
              <w:t>0</w:t>
            </w:r>
          </w:p>
        </w:tc>
        <w:tc>
          <w:tcPr>
            <w:tcW w:w="589" w:type="pct"/>
            <w:noWrap/>
            <w:vAlign w:val="center"/>
            <w:hideMark/>
          </w:tcPr>
          <w:p w14:paraId="3D5ABE94" w14:textId="77777777" w:rsidR="00876D85" w:rsidRPr="0043722B" w:rsidRDefault="00876D85" w:rsidP="001D3ADC">
            <w:pPr>
              <w:spacing w:after="0"/>
              <w:jc w:val="right"/>
              <w:rPr>
                <w:iCs/>
                <w:szCs w:val="18"/>
              </w:rPr>
            </w:pPr>
            <w:r w:rsidRPr="0043722B">
              <w:rPr>
                <w:iCs/>
                <w:szCs w:val="18"/>
              </w:rPr>
              <w:t>1</w:t>
            </w:r>
          </w:p>
        </w:tc>
        <w:tc>
          <w:tcPr>
            <w:tcW w:w="366" w:type="pct"/>
            <w:noWrap/>
            <w:vAlign w:val="center"/>
            <w:hideMark/>
          </w:tcPr>
          <w:p w14:paraId="5D4DFDF1" w14:textId="77777777" w:rsidR="00876D85" w:rsidRPr="0043722B" w:rsidRDefault="00876D85" w:rsidP="001D3ADC">
            <w:pPr>
              <w:spacing w:after="0"/>
              <w:jc w:val="right"/>
              <w:rPr>
                <w:iCs/>
                <w:szCs w:val="18"/>
              </w:rPr>
            </w:pPr>
            <w:r w:rsidRPr="0043722B">
              <w:rPr>
                <w:iCs/>
                <w:szCs w:val="18"/>
              </w:rPr>
              <w:t>0</w:t>
            </w:r>
          </w:p>
        </w:tc>
        <w:tc>
          <w:tcPr>
            <w:tcW w:w="451" w:type="pct"/>
            <w:noWrap/>
            <w:vAlign w:val="center"/>
            <w:hideMark/>
          </w:tcPr>
          <w:p w14:paraId="14140003" w14:textId="77777777" w:rsidR="00876D85" w:rsidRPr="0043722B" w:rsidRDefault="00876D85" w:rsidP="001D3ADC">
            <w:pPr>
              <w:spacing w:after="0"/>
              <w:jc w:val="right"/>
              <w:rPr>
                <w:iCs/>
                <w:szCs w:val="18"/>
              </w:rPr>
            </w:pPr>
            <w:r w:rsidRPr="0043722B">
              <w:rPr>
                <w:iCs/>
                <w:szCs w:val="18"/>
              </w:rPr>
              <w:t>5384</w:t>
            </w:r>
          </w:p>
        </w:tc>
        <w:tc>
          <w:tcPr>
            <w:tcW w:w="652" w:type="pct"/>
            <w:noWrap/>
            <w:vAlign w:val="center"/>
            <w:hideMark/>
          </w:tcPr>
          <w:p w14:paraId="5E51376C" w14:textId="77777777" w:rsidR="00876D85" w:rsidRPr="0043722B" w:rsidRDefault="00876D85" w:rsidP="001D3ADC">
            <w:pPr>
              <w:spacing w:after="0"/>
              <w:jc w:val="right"/>
              <w:rPr>
                <w:iCs/>
                <w:szCs w:val="18"/>
              </w:rPr>
            </w:pPr>
            <w:r w:rsidRPr="0043722B">
              <w:rPr>
                <w:iCs/>
                <w:szCs w:val="18"/>
              </w:rPr>
              <w:t>457</w:t>
            </w:r>
          </w:p>
        </w:tc>
      </w:tr>
      <w:tr w:rsidR="00876D85" w:rsidRPr="00597F39" w14:paraId="7AF19D49" w14:textId="77777777" w:rsidTr="001D3ADC">
        <w:trPr>
          <w:trHeight w:val="360"/>
        </w:trPr>
        <w:tc>
          <w:tcPr>
            <w:tcW w:w="736" w:type="pct"/>
            <w:noWrap/>
            <w:vAlign w:val="center"/>
            <w:hideMark/>
          </w:tcPr>
          <w:p w14:paraId="5416F31F" w14:textId="77777777" w:rsidR="00876D85" w:rsidRPr="0043722B" w:rsidRDefault="00876D85" w:rsidP="001D3ADC">
            <w:pPr>
              <w:spacing w:after="0"/>
              <w:jc w:val="left"/>
              <w:rPr>
                <w:b/>
                <w:bCs/>
                <w:iCs/>
                <w:szCs w:val="18"/>
              </w:rPr>
            </w:pPr>
            <w:r w:rsidRPr="0043722B">
              <w:rPr>
                <w:b/>
                <w:bCs/>
                <w:iCs/>
                <w:szCs w:val="18"/>
              </w:rPr>
              <w:t>HUMPLIN</w:t>
            </w:r>
          </w:p>
        </w:tc>
        <w:tc>
          <w:tcPr>
            <w:tcW w:w="588" w:type="pct"/>
            <w:noWrap/>
            <w:vAlign w:val="center"/>
            <w:hideMark/>
          </w:tcPr>
          <w:p w14:paraId="0F79C235" w14:textId="77777777" w:rsidR="00876D85" w:rsidRPr="0043722B" w:rsidRDefault="00876D85" w:rsidP="001D3ADC">
            <w:pPr>
              <w:spacing w:after="0"/>
              <w:jc w:val="right"/>
              <w:rPr>
                <w:iCs/>
                <w:szCs w:val="18"/>
              </w:rPr>
            </w:pPr>
            <w:r w:rsidRPr="0043722B">
              <w:rPr>
                <w:iCs/>
                <w:szCs w:val="18"/>
              </w:rPr>
              <w:t>2572</w:t>
            </w:r>
          </w:p>
        </w:tc>
        <w:tc>
          <w:tcPr>
            <w:tcW w:w="515" w:type="pct"/>
            <w:noWrap/>
            <w:vAlign w:val="center"/>
            <w:hideMark/>
          </w:tcPr>
          <w:p w14:paraId="4D1C2BD7" w14:textId="77777777" w:rsidR="00876D85" w:rsidRPr="0043722B" w:rsidRDefault="00876D85" w:rsidP="001D3ADC">
            <w:pPr>
              <w:spacing w:after="0"/>
              <w:jc w:val="right"/>
              <w:rPr>
                <w:iCs/>
                <w:szCs w:val="18"/>
              </w:rPr>
            </w:pPr>
            <w:r w:rsidRPr="0043722B">
              <w:rPr>
                <w:iCs/>
                <w:szCs w:val="18"/>
              </w:rPr>
              <w:t>17</w:t>
            </w:r>
          </w:p>
        </w:tc>
        <w:tc>
          <w:tcPr>
            <w:tcW w:w="442" w:type="pct"/>
            <w:noWrap/>
            <w:vAlign w:val="center"/>
            <w:hideMark/>
          </w:tcPr>
          <w:p w14:paraId="4CCAC6F9" w14:textId="77777777" w:rsidR="00876D85" w:rsidRPr="0043722B" w:rsidRDefault="00876D85" w:rsidP="001D3ADC">
            <w:pPr>
              <w:spacing w:after="0"/>
              <w:jc w:val="right"/>
              <w:rPr>
                <w:iCs/>
                <w:szCs w:val="18"/>
              </w:rPr>
            </w:pPr>
            <w:r w:rsidRPr="0043722B">
              <w:rPr>
                <w:iCs/>
                <w:szCs w:val="18"/>
              </w:rPr>
              <w:t>247</w:t>
            </w:r>
          </w:p>
        </w:tc>
        <w:tc>
          <w:tcPr>
            <w:tcW w:w="661" w:type="pct"/>
            <w:noWrap/>
            <w:vAlign w:val="center"/>
            <w:hideMark/>
          </w:tcPr>
          <w:p w14:paraId="1A401F91" w14:textId="77777777" w:rsidR="00876D85" w:rsidRPr="0043722B" w:rsidRDefault="00876D85" w:rsidP="001D3ADC">
            <w:pPr>
              <w:spacing w:after="0"/>
              <w:jc w:val="right"/>
              <w:rPr>
                <w:iCs/>
                <w:szCs w:val="18"/>
              </w:rPr>
            </w:pPr>
            <w:r w:rsidRPr="0043722B">
              <w:rPr>
                <w:iCs/>
                <w:szCs w:val="18"/>
              </w:rPr>
              <w:t>2</w:t>
            </w:r>
          </w:p>
        </w:tc>
        <w:tc>
          <w:tcPr>
            <w:tcW w:w="589" w:type="pct"/>
            <w:noWrap/>
            <w:vAlign w:val="center"/>
            <w:hideMark/>
          </w:tcPr>
          <w:p w14:paraId="2907C0BD" w14:textId="77777777" w:rsidR="00876D85" w:rsidRPr="0043722B" w:rsidRDefault="00876D85" w:rsidP="001D3ADC">
            <w:pPr>
              <w:spacing w:after="0"/>
              <w:jc w:val="right"/>
              <w:rPr>
                <w:iCs/>
                <w:szCs w:val="18"/>
              </w:rPr>
            </w:pPr>
            <w:r w:rsidRPr="0043722B">
              <w:rPr>
                <w:iCs/>
                <w:szCs w:val="18"/>
              </w:rPr>
              <w:t>2</w:t>
            </w:r>
          </w:p>
        </w:tc>
        <w:tc>
          <w:tcPr>
            <w:tcW w:w="366" w:type="pct"/>
            <w:noWrap/>
            <w:vAlign w:val="center"/>
            <w:hideMark/>
          </w:tcPr>
          <w:p w14:paraId="2979DBF1" w14:textId="77777777" w:rsidR="00876D85" w:rsidRPr="0043722B" w:rsidRDefault="00876D85" w:rsidP="001D3ADC">
            <w:pPr>
              <w:spacing w:after="0"/>
              <w:jc w:val="right"/>
              <w:rPr>
                <w:iCs/>
                <w:szCs w:val="18"/>
              </w:rPr>
            </w:pPr>
            <w:r w:rsidRPr="0043722B">
              <w:rPr>
                <w:iCs/>
                <w:szCs w:val="18"/>
              </w:rPr>
              <w:t>1</w:t>
            </w:r>
          </w:p>
        </w:tc>
        <w:tc>
          <w:tcPr>
            <w:tcW w:w="451" w:type="pct"/>
            <w:noWrap/>
            <w:vAlign w:val="center"/>
            <w:hideMark/>
          </w:tcPr>
          <w:p w14:paraId="42F778C1" w14:textId="77777777" w:rsidR="00876D85" w:rsidRPr="0043722B" w:rsidRDefault="00876D85" w:rsidP="001D3ADC">
            <w:pPr>
              <w:spacing w:after="0"/>
              <w:jc w:val="right"/>
              <w:rPr>
                <w:iCs/>
                <w:szCs w:val="18"/>
              </w:rPr>
            </w:pPr>
            <w:r w:rsidRPr="0043722B">
              <w:rPr>
                <w:iCs/>
                <w:szCs w:val="18"/>
              </w:rPr>
              <w:t>2841</w:t>
            </w:r>
          </w:p>
        </w:tc>
        <w:tc>
          <w:tcPr>
            <w:tcW w:w="652" w:type="pct"/>
            <w:noWrap/>
            <w:vAlign w:val="center"/>
            <w:hideMark/>
          </w:tcPr>
          <w:p w14:paraId="2AE0538A" w14:textId="77777777" w:rsidR="00876D85" w:rsidRPr="0043722B" w:rsidRDefault="00876D85" w:rsidP="001D3ADC">
            <w:pPr>
              <w:spacing w:after="0"/>
              <w:jc w:val="right"/>
              <w:rPr>
                <w:iCs/>
                <w:szCs w:val="18"/>
              </w:rPr>
            </w:pPr>
            <w:r w:rsidRPr="0043722B">
              <w:rPr>
                <w:iCs/>
                <w:szCs w:val="18"/>
              </w:rPr>
              <w:t>220</w:t>
            </w:r>
          </w:p>
        </w:tc>
      </w:tr>
      <w:tr w:rsidR="00876D85" w:rsidRPr="00597F39" w14:paraId="7FA2FBE4" w14:textId="77777777" w:rsidTr="001D3ADC">
        <w:trPr>
          <w:trHeight w:val="360"/>
        </w:trPr>
        <w:tc>
          <w:tcPr>
            <w:tcW w:w="736" w:type="pct"/>
            <w:noWrap/>
            <w:vAlign w:val="center"/>
            <w:hideMark/>
          </w:tcPr>
          <w:p w14:paraId="222BF6A7" w14:textId="77777777" w:rsidR="00876D85" w:rsidRPr="0043722B" w:rsidRDefault="00876D85" w:rsidP="001D3ADC">
            <w:pPr>
              <w:spacing w:after="0"/>
              <w:jc w:val="left"/>
              <w:rPr>
                <w:b/>
                <w:bCs/>
                <w:iCs/>
                <w:szCs w:val="18"/>
              </w:rPr>
            </w:pPr>
            <w:r w:rsidRPr="0043722B">
              <w:rPr>
                <w:b/>
                <w:bCs/>
                <w:iCs/>
                <w:szCs w:val="18"/>
              </w:rPr>
              <w:t>ZELENJAK - PLIN</w:t>
            </w:r>
          </w:p>
        </w:tc>
        <w:tc>
          <w:tcPr>
            <w:tcW w:w="588" w:type="pct"/>
            <w:noWrap/>
            <w:vAlign w:val="center"/>
            <w:hideMark/>
          </w:tcPr>
          <w:p w14:paraId="0BA22556" w14:textId="77777777" w:rsidR="00876D85" w:rsidRPr="0043722B" w:rsidRDefault="00876D85" w:rsidP="001D3ADC">
            <w:pPr>
              <w:spacing w:after="0"/>
              <w:jc w:val="right"/>
              <w:rPr>
                <w:iCs/>
                <w:szCs w:val="18"/>
              </w:rPr>
            </w:pPr>
            <w:r w:rsidRPr="0043722B">
              <w:rPr>
                <w:iCs/>
                <w:szCs w:val="18"/>
              </w:rPr>
              <w:t>2381</w:t>
            </w:r>
          </w:p>
        </w:tc>
        <w:tc>
          <w:tcPr>
            <w:tcW w:w="515" w:type="pct"/>
            <w:noWrap/>
            <w:vAlign w:val="center"/>
            <w:hideMark/>
          </w:tcPr>
          <w:p w14:paraId="667EFE5A" w14:textId="77777777" w:rsidR="00876D85" w:rsidRPr="0043722B" w:rsidRDefault="00876D85" w:rsidP="001D3ADC">
            <w:pPr>
              <w:spacing w:after="0"/>
              <w:jc w:val="right"/>
              <w:rPr>
                <w:iCs/>
                <w:szCs w:val="18"/>
              </w:rPr>
            </w:pPr>
            <w:r w:rsidRPr="0043722B">
              <w:rPr>
                <w:iCs/>
                <w:szCs w:val="18"/>
              </w:rPr>
              <w:t>4</w:t>
            </w:r>
          </w:p>
        </w:tc>
        <w:tc>
          <w:tcPr>
            <w:tcW w:w="442" w:type="pct"/>
            <w:noWrap/>
            <w:vAlign w:val="center"/>
            <w:hideMark/>
          </w:tcPr>
          <w:p w14:paraId="30F09FAF" w14:textId="77777777" w:rsidR="00876D85" w:rsidRPr="0043722B" w:rsidRDefault="00876D85" w:rsidP="001D3ADC">
            <w:pPr>
              <w:spacing w:after="0"/>
              <w:jc w:val="right"/>
              <w:rPr>
                <w:iCs/>
                <w:szCs w:val="18"/>
              </w:rPr>
            </w:pPr>
            <w:r w:rsidRPr="0043722B">
              <w:rPr>
                <w:iCs/>
                <w:szCs w:val="18"/>
              </w:rPr>
              <w:t>175</w:t>
            </w:r>
          </w:p>
        </w:tc>
        <w:tc>
          <w:tcPr>
            <w:tcW w:w="661" w:type="pct"/>
            <w:noWrap/>
            <w:vAlign w:val="center"/>
            <w:hideMark/>
          </w:tcPr>
          <w:p w14:paraId="1A2AC003" w14:textId="77777777" w:rsidR="00876D85" w:rsidRPr="0043722B" w:rsidRDefault="00876D85" w:rsidP="001D3ADC">
            <w:pPr>
              <w:spacing w:after="0"/>
              <w:jc w:val="right"/>
              <w:rPr>
                <w:iCs/>
                <w:szCs w:val="18"/>
              </w:rPr>
            </w:pPr>
            <w:r w:rsidRPr="0043722B">
              <w:rPr>
                <w:iCs/>
                <w:szCs w:val="18"/>
              </w:rPr>
              <w:t>3</w:t>
            </w:r>
          </w:p>
        </w:tc>
        <w:tc>
          <w:tcPr>
            <w:tcW w:w="589" w:type="pct"/>
            <w:noWrap/>
            <w:vAlign w:val="center"/>
            <w:hideMark/>
          </w:tcPr>
          <w:p w14:paraId="7514F8D8" w14:textId="77777777" w:rsidR="00876D85" w:rsidRPr="0043722B" w:rsidRDefault="00876D85" w:rsidP="001D3ADC">
            <w:pPr>
              <w:spacing w:after="0"/>
              <w:jc w:val="right"/>
              <w:rPr>
                <w:iCs/>
                <w:szCs w:val="18"/>
              </w:rPr>
            </w:pPr>
            <w:r w:rsidRPr="0043722B">
              <w:rPr>
                <w:iCs/>
                <w:szCs w:val="18"/>
              </w:rPr>
              <w:t>3</w:t>
            </w:r>
          </w:p>
        </w:tc>
        <w:tc>
          <w:tcPr>
            <w:tcW w:w="366" w:type="pct"/>
            <w:noWrap/>
            <w:vAlign w:val="center"/>
            <w:hideMark/>
          </w:tcPr>
          <w:p w14:paraId="409B7ACB" w14:textId="77777777" w:rsidR="00876D85" w:rsidRPr="0043722B" w:rsidRDefault="00876D85" w:rsidP="001D3ADC">
            <w:pPr>
              <w:spacing w:after="0"/>
              <w:jc w:val="right"/>
              <w:rPr>
                <w:iCs/>
                <w:szCs w:val="18"/>
              </w:rPr>
            </w:pPr>
            <w:r w:rsidRPr="0043722B">
              <w:rPr>
                <w:iCs/>
                <w:szCs w:val="18"/>
              </w:rPr>
              <w:t>0</w:t>
            </w:r>
          </w:p>
        </w:tc>
        <w:tc>
          <w:tcPr>
            <w:tcW w:w="451" w:type="pct"/>
            <w:noWrap/>
            <w:vAlign w:val="center"/>
            <w:hideMark/>
          </w:tcPr>
          <w:p w14:paraId="27C28F32" w14:textId="77777777" w:rsidR="00876D85" w:rsidRPr="0043722B" w:rsidRDefault="00876D85" w:rsidP="001D3ADC">
            <w:pPr>
              <w:spacing w:after="0"/>
              <w:jc w:val="right"/>
              <w:rPr>
                <w:iCs/>
                <w:szCs w:val="18"/>
              </w:rPr>
            </w:pPr>
            <w:r w:rsidRPr="0043722B">
              <w:rPr>
                <w:iCs/>
                <w:szCs w:val="18"/>
              </w:rPr>
              <w:t>2566</w:t>
            </w:r>
          </w:p>
        </w:tc>
        <w:tc>
          <w:tcPr>
            <w:tcW w:w="652" w:type="pct"/>
            <w:noWrap/>
            <w:vAlign w:val="center"/>
            <w:hideMark/>
          </w:tcPr>
          <w:p w14:paraId="6DFC35A5" w14:textId="77777777" w:rsidR="00876D85" w:rsidRPr="0043722B" w:rsidRDefault="00876D85" w:rsidP="001D3ADC">
            <w:pPr>
              <w:spacing w:after="0"/>
              <w:jc w:val="right"/>
              <w:rPr>
                <w:iCs/>
                <w:szCs w:val="18"/>
              </w:rPr>
            </w:pPr>
            <w:r w:rsidRPr="0043722B">
              <w:rPr>
                <w:iCs/>
                <w:szCs w:val="18"/>
              </w:rPr>
              <w:t>310</w:t>
            </w:r>
          </w:p>
        </w:tc>
      </w:tr>
      <w:tr w:rsidR="00876D85" w:rsidRPr="00597F39" w14:paraId="0878DB42" w14:textId="77777777" w:rsidTr="001D3ADC">
        <w:trPr>
          <w:trHeight w:val="360"/>
        </w:trPr>
        <w:tc>
          <w:tcPr>
            <w:tcW w:w="736" w:type="pct"/>
            <w:noWrap/>
            <w:vAlign w:val="center"/>
            <w:hideMark/>
          </w:tcPr>
          <w:p w14:paraId="2AA64AE6" w14:textId="77777777" w:rsidR="00876D85" w:rsidRPr="0043722B" w:rsidRDefault="00876D85" w:rsidP="001D3ADC">
            <w:pPr>
              <w:spacing w:after="0"/>
              <w:jc w:val="left"/>
              <w:rPr>
                <w:b/>
                <w:bCs/>
                <w:iCs/>
                <w:szCs w:val="18"/>
              </w:rPr>
            </w:pPr>
            <w:r w:rsidRPr="0043722B">
              <w:rPr>
                <w:b/>
                <w:bCs/>
                <w:iCs/>
                <w:szCs w:val="18"/>
              </w:rPr>
              <w:t>ZAGORSKI METALAC</w:t>
            </w:r>
          </w:p>
        </w:tc>
        <w:tc>
          <w:tcPr>
            <w:tcW w:w="588" w:type="pct"/>
            <w:noWrap/>
            <w:vAlign w:val="center"/>
            <w:hideMark/>
          </w:tcPr>
          <w:p w14:paraId="489410C7" w14:textId="77777777" w:rsidR="00876D85" w:rsidRPr="0043722B" w:rsidRDefault="00876D85" w:rsidP="001D3ADC">
            <w:pPr>
              <w:spacing w:after="0"/>
              <w:jc w:val="right"/>
              <w:rPr>
                <w:iCs/>
                <w:szCs w:val="18"/>
              </w:rPr>
            </w:pPr>
            <w:r w:rsidRPr="0043722B">
              <w:rPr>
                <w:iCs/>
                <w:szCs w:val="18"/>
              </w:rPr>
              <w:t>16260</w:t>
            </w:r>
          </w:p>
        </w:tc>
        <w:tc>
          <w:tcPr>
            <w:tcW w:w="515" w:type="pct"/>
            <w:noWrap/>
            <w:vAlign w:val="center"/>
            <w:hideMark/>
          </w:tcPr>
          <w:p w14:paraId="7354771C" w14:textId="77777777" w:rsidR="00876D85" w:rsidRPr="0043722B" w:rsidRDefault="00876D85" w:rsidP="001D3ADC">
            <w:pPr>
              <w:spacing w:after="0"/>
              <w:jc w:val="right"/>
              <w:rPr>
                <w:iCs/>
                <w:szCs w:val="18"/>
              </w:rPr>
            </w:pPr>
            <w:r w:rsidRPr="0043722B">
              <w:rPr>
                <w:iCs/>
                <w:szCs w:val="18"/>
              </w:rPr>
              <w:t>13</w:t>
            </w:r>
          </w:p>
        </w:tc>
        <w:tc>
          <w:tcPr>
            <w:tcW w:w="442" w:type="pct"/>
            <w:noWrap/>
            <w:vAlign w:val="center"/>
            <w:hideMark/>
          </w:tcPr>
          <w:p w14:paraId="0A6A5EB1" w14:textId="77777777" w:rsidR="00876D85" w:rsidRPr="0043722B" w:rsidRDefault="00876D85" w:rsidP="001D3ADC">
            <w:pPr>
              <w:spacing w:after="0"/>
              <w:jc w:val="right"/>
              <w:rPr>
                <w:iCs/>
                <w:szCs w:val="18"/>
              </w:rPr>
            </w:pPr>
            <w:r w:rsidRPr="0043722B">
              <w:rPr>
                <w:iCs/>
                <w:szCs w:val="18"/>
              </w:rPr>
              <w:t>1240</w:t>
            </w:r>
          </w:p>
        </w:tc>
        <w:tc>
          <w:tcPr>
            <w:tcW w:w="661" w:type="pct"/>
            <w:noWrap/>
            <w:vAlign w:val="center"/>
            <w:hideMark/>
          </w:tcPr>
          <w:p w14:paraId="2DBF66F9" w14:textId="77777777" w:rsidR="00876D85" w:rsidRPr="0043722B" w:rsidRDefault="00876D85" w:rsidP="001D3ADC">
            <w:pPr>
              <w:spacing w:after="0"/>
              <w:jc w:val="right"/>
              <w:rPr>
                <w:iCs/>
                <w:szCs w:val="18"/>
              </w:rPr>
            </w:pPr>
            <w:r w:rsidRPr="0043722B">
              <w:rPr>
                <w:iCs/>
                <w:szCs w:val="18"/>
              </w:rPr>
              <w:t>1</w:t>
            </w:r>
          </w:p>
        </w:tc>
        <w:tc>
          <w:tcPr>
            <w:tcW w:w="589" w:type="pct"/>
            <w:noWrap/>
            <w:vAlign w:val="center"/>
            <w:hideMark/>
          </w:tcPr>
          <w:p w14:paraId="22DE1A8D" w14:textId="77777777" w:rsidR="00876D85" w:rsidRPr="0043722B" w:rsidRDefault="00876D85" w:rsidP="001D3ADC">
            <w:pPr>
              <w:spacing w:after="0"/>
              <w:jc w:val="right"/>
              <w:rPr>
                <w:iCs/>
                <w:szCs w:val="18"/>
              </w:rPr>
            </w:pPr>
            <w:r w:rsidRPr="0043722B">
              <w:rPr>
                <w:iCs/>
                <w:szCs w:val="18"/>
              </w:rPr>
              <w:t>13</w:t>
            </w:r>
          </w:p>
        </w:tc>
        <w:tc>
          <w:tcPr>
            <w:tcW w:w="366" w:type="pct"/>
            <w:noWrap/>
            <w:vAlign w:val="center"/>
            <w:hideMark/>
          </w:tcPr>
          <w:p w14:paraId="3DAD60A0" w14:textId="77777777" w:rsidR="00876D85" w:rsidRPr="0043722B" w:rsidRDefault="00876D85" w:rsidP="001D3ADC">
            <w:pPr>
              <w:spacing w:after="0"/>
              <w:jc w:val="right"/>
              <w:rPr>
                <w:iCs/>
                <w:szCs w:val="18"/>
              </w:rPr>
            </w:pPr>
            <w:r w:rsidRPr="0043722B">
              <w:rPr>
                <w:iCs/>
                <w:szCs w:val="18"/>
              </w:rPr>
              <w:t>0</w:t>
            </w:r>
          </w:p>
        </w:tc>
        <w:tc>
          <w:tcPr>
            <w:tcW w:w="451" w:type="pct"/>
            <w:noWrap/>
            <w:vAlign w:val="center"/>
            <w:hideMark/>
          </w:tcPr>
          <w:p w14:paraId="3F60A5F4" w14:textId="77777777" w:rsidR="00876D85" w:rsidRPr="0043722B" w:rsidRDefault="00876D85" w:rsidP="001D3ADC">
            <w:pPr>
              <w:spacing w:after="0"/>
              <w:jc w:val="right"/>
              <w:rPr>
                <w:iCs/>
                <w:szCs w:val="18"/>
              </w:rPr>
            </w:pPr>
            <w:r w:rsidRPr="0043722B">
              <w:rPr>
                <w:iCs/>
                <w:szCs w:val="18"/>
              </w:rPr>
              <w:t>17527</w:t>
            </w:r>
          </w:p>
        </w:tc>
        <w:tc>
          <w:tcPr>
            <w:tcW w:w="652" w:type="pct"/>
            <w:noWrap/>
            <w:vAlign w:val="center"/>
            <w:hideMark/>
          </w:tcPr>
          <w:p w14:paraId="79CB5495" w14:textId="77777777" w:rsidR="00876D85" w:rsidRPr="0043722B" w:rsidRDefault="00876D85" w:rsidP="001D3ADC">
            <w:pPr>
              <w:spacing w:after="0"/>
              <w:jc w:val="right"/>
              <w:rPr>
                <w:iCs/>
                <w:szCs w:val="18"/>
              </w:rPr>
            </w:pPr>
            <w:r w:rsidRPr="0043722B">
              <w:rPr>
                <w:iCs/>
                <w:szCs w:val="18"/>
              </w:rPr>
              <w:t>833</w:t>
            </w:r>
          </w:p>
        </w:tc>
      </w:tr>
      <w:tr w:rsidR="00876D85" w:rsidRPr="00597F39" w14:paraId="018EDCE5" w14:textId="77777777" w:rsidTr="001D3ADC">
        <w:trPr>
          <w:trHeight w:val="360"/>
        </w:trPr>
        <w:tc>
          <w:tcPr>
            <w:tcW w:w="736" w:type="pct"/>
            <w:noWrap/>
            <w:vAlign w:val="center"/>
            <w:hideMark/>
          </w:tcPr>
          <w:p w14:paraId="1F8021A9" w14:textId="77777777" w:rsidR="00876D85" w:rsidRPr="0043722B" w:rsidRDefault="00876D85" w:rsidP="001D3ADC">
            <w:pPr>
              <w:spacing w:after="0"/>
              <w:jc w:val="left"/>
              <w:rPr>
                <w:b/>
                <w:bCs/>
                <w:iCs/>
                <w:szCs w:val="18"/>
              </w:rPr>
            </w:pPr>
            <w:r w:rsidRPr="0043722B">
              <w:rPr>
                <w:b/>
                <w:bCs/>
                <w:iCs/>
                <w:szCs w:val="18"/>
              </w:rPr>
              <w:t>PLIN KONJŠČINA</w:t>
            </w:r>
          </w:p>
        </w:tc>
        <w:tc>
          <w:tcPr>
            <w:tcW w:w="588" w:type="pct"/>
            <w:noWrap/>
            <w:vAlign w:val="center"/>
            <w:hideMark/>
          </w:tcPr>
          <w:p w14:paraId="11980A18" w14:textId="77777777" w:rsidR="00876D85" w:rsidRPr="0043722B" w:rsidRDefault="00876D85" w:rsidP="001D3ADC">
            <w:pPr>
              <w:spacing w:after="0"/>
              <w:jc w:val="right"/>
              <w:rPr>
                <w:iCs/>
                <w:szCs w:val="18"/>
              </w:rPr>
            </w:pPr>
            <w:r w:rsidRPr="0043722B">
              <w:rPr>
                <w:iCs/>
                <w:szCs w:val="18"/>
              </w:rPr>
              <w:t>4494</w:t>
            </w:r>
          </w:p>
        </w:tc>
        <w:tc>
          <w:tcPr>
            <w:tcW w:w="515" w:type="pct"/>
            <w:noWrap/>
            <w:vAlign w:val="center"/>
            <w:hideMark/>
          </w:tcPr>
          <w:p w14:paraId="10C7E8F4" w14:textId="77777777" w:rsidR="00876D85" w:rsidRPr="0043722B" w:rsidRDefault="00876D85" w:rsidP="001D3ADC">
            <w:pPr>
              <w:spacing w:after="0"/>
              <w:jc w:val="right"/>
              <w:rPr>
                <w:iCs/>
                <w:szCs w:val="18"/>
              </w:rPr>
            </w:pPr>
            <w:r w:rsidRPr="0043722B">
              <w:rPr>
                <w:iCs/>
                <w:szCs w:val="18"/>
              </w:rPr>
              <w:t>7</w:t>
            </w:r>
          </w:p>
        </w:tc>
        <w:tc>
          <w:tcPr>
            <w:tcW w:w="442" w:type="pct"/>
            <w:noWrap/>
            <w:vAlign w:val="center"/>
            <w:hideMark/>
          </w:tcPr>
          <w:p w14:paraId="60408EE3" w14:textId="77777777" w:rsidR="00876D85" w:rsidRPr="0043722B" w:rsidRDefault="00876D85" w:rsidP="001D3ADC">
            <w:pPr>
              <w:spacing w:after="0"/>
              <w:jc w:val="right"/>
              <w:rPr>
                <w:iCs/>
                <w:szCs w:val="18"/>
              </w:rPr>
            </w:pPr>
            <w:r w:rsidRPr="0043722B">
              <w:rPr>
                <w:iCs/>
                <w:szCs w:val="18"/>
              </w:rPr>
              <w:t>373</w:t>
            </w:r>
          </w:p>
        </w:tc>
        <w:tc>
          <w:tcPr>
            <w:tcW w:w="661" w:type="pct"/>
            <w:noWrap/>
            <w:vAlign w:val="center"/>
            <w:hideMark/>
          </w:tcPr>
          <w:p w14:paraId="27B687C9" w14:textId="77777777" w:rsidR="00876D85" w:rsidRPr="0043722B" w:rsidRDefault="00876D85" w:rsidP="001D3ADC">
            <w:pPr>
              <w:spacing w:after="0"/>
              <w:jc w:val="right"/>
              <w:rPr>
                <w:iCs/>
                <w:szCs w:val="18"/>
              </w:rPr>
            </w:pPr>
            <w:r w:rsidRPr="0043722B">
              <w:rPr>
                <w:iCs/>
                <w:szCs w:val="18"/>
              </w:rPr>
              <w:t>17</w:t>
            </w:r>
          </w:p>
        </w:tc>
        <w:tc>
          <w:tcPr>
            <w:tcW w:w="589" w:type="pct"/>
            <w:noWrap/>
            <w:vAlign w:val="center"/>
            <w:hideMark/>
          </w:tcPr>
          <w:p w14:paraId="20840463" w14:textId="77777777" w:rsidR="00876D85" w:rsidRPr="0043722B" w:rsidRDefault="00876D85" w:rsidP="001D3ADC">
            <w:pPr>
              <w:spacing w:after="0"/>
              <w:jc w:val="right"/>
              <w:rPr>
                <w:iCs/>
                <w:szCs w:val="18"/>
              </w:rPr>
            </w:pPr>
            <w:r w:rsidRPr="0043722B">
              <w:rPr>
                <w:iCs/>
                <w:szCs w:val="18"/>
              </w:rPr>
              <w:t>11</w:t>
            </w:r>
          </w:p>
        </w:tc>
        <w:tc>
          <w:tcPr>
            <w:tcW w:w="366" w:type="pct"/>
            <w:noWrap/>
            <w:vAlign w:val="center"/>
            <w:hideMark/>
          </w:tcPr>
          <w:p w14:paraId="03A8FFB1" w14:textId="77777777" w:rsidR="00876D85" w:rsidRPr="0043722B" w:rsidRDefault="00876D85" w:rsidP="001D3ADC">
            <w:pPr>
              <w:spacing w:after="0"/>
              <w:jc w:val="right"/>
              <w:rPr>
                <w:iCs/>
                <w:szCs w:val="18"/>
              </w:rPr>
            </w:pPr>
            <w:r w:rsidRPr="0043722B">
              <w:rPr>
                <w:iCs/>
                <w:szCs w:val="18"/>
              </w:rPr>
              <w:t>0</w:t>
            </w:r>
          </w:p>
        </w:tc>
        <w:tc>
          <w:tcPr>
            <w:tcW w:w="451" w:type="pct"/>
            <w:noWrap/>
            <w:vAlign w:val="center"/>
            <w:hideMark/>
          </w:tcPr>
          <w:p w14:paraId="0565E5D9" w14:textId="77777777" w:rsidR="00876D85" w:rsidRPr="0043722B" w:rsidRDefault="00876D85" w:rsidP="001D3ADC">
            <w:pPr>
              <w:spacing w:after="0"/>
              <w:jc w:val="right"/>
              <w:rPr>
                <w:iCs/>
                <w:szCs w:val="18"/>
              </w:rPr>
            </w:pPr>
            <w:r w:rsidRPr="0043722B">
              <w:rPr>
                <w:iCs/>
                <w:szCs w:val="18"/>
              </w:rPr>
              <w:t>4902</w:t>
            </w:r>
          </w:p>
        </w:tc>
        <w:tc>
          <w:tcPr>
            <w:tcW w:w="652" w:type="pct"/>
            <w:noWrap/>
            <w:vAlign w:val="center"/>
            <w:hideMark/>
          </w:tcPr>
          <w:p w14:paraId="312F6051" w14:textId="77777777" w:rsidR="00876D85" w:rsidRPr="0043722B" w:rsidRDefault="00876D85" w:rsidP="001D3ADC">
            <w:pPr>
              <w:spacing w:after="0"/>
              <w:jc w:val="right"/>
              <w:rPr>
                <w:iCs/>
                <w:szCs w:val="18"/>
              </w:rPr>
            </w:pPr>
            <w:r w:rsidRPr="0043722B">
              <w:rPr>
                <w:iCs/>
                <w:szCs w:val="18"/>
              </w:rPr>
              <w:t>331</w:t>
            </w:r>
          </w:p>
        </w:tc>
      </w:tr>
      <w:tr w:rsidR="00876D85" w:rsidRPr="00597F39" w14:paraId="00084E36" w14:textId="77777777" w:rsidTr="001D3ADC">
        <w:trPr>
          <w:trHeight w:val="360"/>
        </w:trPr>
        <w:tc>
          <w:tcPr>
            <w:tcW w:w="736" w:type="pct"/>
            <w:tcBorders>
              <w:bottom w:val="single" w:sz="4" w:space="0" w:color="D2232A" w:themeColor="accent1"/>
            </w:tcBorders>
            <w:noWrap/>
            <w:vAlign w:val="center"/>
            <w:hideMark/>
          </w:tcPr>
          <w:p w14:paraId="60BCEC05" w14:textId="77777777" w:rsidR="00876D85" w:rsidRPr="0043722B" w:rsidRDefault="00876D85" w:rsidP="001D3ADC">
            <w:pPr>
              <w:spacing w:after="0"/>
              <w:jc w:val="left"/>
              <w:rPr>
                <w:b/>
                <w:bCs/>
                <w:iCs/>
                <w:szCs w:val="18"/>
              </w:rPr>
            </w:pPr>
            <w:r w:rsidRPr="0043722B">
              <w:rPr>
                <w:b/>
                <w:bCs/>
                <w:iCs/>
                <w:szCs w:val="18"/>
              </w:rPr>
              <w:t>Ukupno</w:t>
            </w:r>
          </w:p>
        </w:tc>
        <w:tc>
          <w:tcPr>
            <w:tcW w:w="588" w:type="pct"/>
            <w:tcBorders>
              <w:bottom w:val="single" w:sz="4" w:space="0" w:color="D2232A" w:themeColor="accent1"/>
            </w:tcBorders>
            <w:noWrap/>
            <w:vAlign w:val="center"/>
            <w:hideMark/>
          </w:tcPr>
          <w:p w14:paraId="4AB769D0" w14:textId="77777777" w:rsidR="00876D85" w:rsidRPr="0043722B" w:rsidRDefault="00876D85" w:rsidP="001D3ADC">
            <w:pPr>
              <w:spacing w:after="0"/>
              <w:jc w:val="right"/>
              <w:rPr>
                <w:b/>
                <w:bCs/>
                <w:iCs/>
                <w:szCs w:val="18"/>
              </w:rPr>
            </w:pPr>
            <w:r w:rsidRPr="0043722B">
              <w:rPr>
                <w:b/>
                <w:bCs/>
                <w:iCs/>
                <w:szCs w:val="18"/>
              </w:rPr>
              <w:t>30611</w:t>
            </w:r>
          </w:p>
        </w:tc>
        <w:tc>
          <w:tcPr>
            <w:tcW w:w="515" w:type="pct"/>
            <w:tcBorders>
              <w:bottom w:val="single" w:sz="4" w:space="0" w:color="D2232A" w:themeColor="accent1"/>
            </w:tcBorders>
            <w:noWrap/>
            <w:vAlign w:val="center"/>
            <w:hideMark/>
          </w:tcPr>
          <w:p w14:paraId="79632860" w14:textId="77777777" w:rsidR="00876D85" w:rsidRPr="0043722B" w:rsidRDefault="00876D85" w:rsidP="001D3ADC">
            <w:pPr>
              <w:spacing w:after="0"/>
              <w:jc w:val="right"/>
              <w:rPr>
                <w:b/>
                <w:bCs/>
                <w:iCs/>
                <w:szCs w:val="18"/>
              </w:rPr>
            </w:pPr>
            <w:r w:rsidRPr="0043722B">
              <w:rPr>
                <w:b/>
                <w:bCs/>
                <w:iCs/>
                <w:szCs w:val="18"/>
              </w:rPr>
              <w:t>71</w:t>
            </w:r>
          </w:p>
        </w:tc>
        <w:tc>
          <w:tcPr>
            <w:tcW w:w="442" w:type="pct"/>
            <w:tcBorders>
              <w:bottom w:val="single" w:sz="4" w:space="0" w:color="D2232A" w:themeColor="accent1"/>
            </w:tcBorders>
            <w:noWrap/>
            <w:vAlign w:val="center"/>
            <w:hideMark/>
          </w:tcPr>
          <w:p w14:paraId="6C10E694" w14:textId="77777777" w:rsidR="00876D85" w:rsidRPr="0043722B" w:rsidRDefault="00876D85" w:rsidP="001D3ADC">
            <w:pPr>
              <w:spacing w:after="0"/>
              <w:jc w:val="right"/>
              <w:rPr>
                <w:b/>
                <w:bCs/>
                <w:iCs/>
                <w:szCs w:val="18"/>
              </w:rPr>
            </w:pPr>
            <w:r w:rsidRPr="0043722B">
              <w:rPr>
                <w:b/>
                <w:bCs/>
                <w:iCs/>
                <w:szCs w:val="18"/>
              </w:rPr>
              <w:t>2484</w:t>
            </w:r>
          </w:p>
        </w:tc>
        <w:tc>
          <w:tcPr>
            <w:tcW w:w="661" w:type="pct"/>
            <w:tcBorders>
              <w:bottom w:val="single" w:sz="4" w:space="0" w:color="D2232A" w:themeColor="accent1"/>
            </w:tcBorders>
            <w:noWrap/>
            <w:vAlign w:val="center"/>
            <w:hideMark/>
          </w:tcPr>
          <w:p w14:paraId="5F6AB7C5" w14:textId="77777777" w:rsidR="00876D85" w:rsidRPr="0043722B" w:rsidRDefault="00876D85" w:rsidP="001D3ADC">
            <w:pPr>
              <w:spacing w:after="0"/>
              <w:jc w:val="right"/>
              <w:rPr>
                <w:b/>
                <w:bCs/>
                <w:iCs/>
                <w:szCs w:val="18"/>
              </w:rPr>
            </w:pPr>
            <w:r w:rsidRPr="0043722B">
              <w:rPr>
                <w:b/>
                <w:bCs/>
                <w:iCs/>
                <w:szCs w:val="18"/>
              </w:rPr>
              <w:t>23</w:t>
            </w:r>
          </w:p>
        </w:tc>
        <w:tc>
          <w:tcPr>
            <w:tcW w:w="589" w:type="pct"/>
            <w:tcBorders>
              <w:bottom w:val="single" w:sz="4" w:space="0" w:color="D2232A" w:themeColor="accent1"/>
            </w:tcBorders>
            <w:noWrap/>
            <w:vAlign w:val="center"/>
            <w:hideMark/>
          </w:tcPr>
          <w:p w14:paraId="1C18F216" w14:textId="77777777" w:rsidR="00876D85" w:rsidRPr="0043722B" w:rsidRDefault="00876D85" w:rsidP="001D3ADC">
            <w:pPr>
              <w:spacing w:after="0"/>
              <w:jc w:val="right"/>
              <w:rPr>
                <w:b/>
                <w:bCs/>
                <w:iCs/>
                <w:szCs w:val="18"/>
              </w:rPr>
            </w:pPr>
            <w:r w:rsidRPr="0043722B">
              <w:rPr>
                <w:b/>
                <w:bCs/>
                <w:iCs/>
                <w:szCs w:val="18"/>
              </w:rPr>
              <w:t>30</w:t>
            </w:r>
          </w:p>
        </w:tc>
        <w:tc>
          <w:tcPr>
            <w:tcW w:w="366" w:type="pct"/>
            <w:tcBorders>
              <w:bottom w:val="single" w:sz="4" w:space="0" w:color="D2232A" w:themeColor="accent1"/>
            </w:tcBorders>
            <w:noWrap/>
            <w:vAlign w:val="center"/>
            <w:hideMark/>
          </w:tcPr>
          <w:p w14:paraId="040BF097" w14:textId="77777777" w:rsidR="00876D85" w:rsidRPr="0043722B" w:rsidRDefault="00876D85" w:rsidP="001D3ADC">
            <w:pPr>
              <w:spacing w:after="0"/>
              <w:jc w:val="right"/>
              <w:rPr>
                <w:b/>
                <w:bCs/>
                <w:iCs/>
                <w:szCs w:val="18"/>
              </w:rPr>
            </w:pPr>
            <w:r w:rsidRPr="0043722B">
              <w:rPr>
                <w:b/>
                <w:bCs/>
                <w:iCs/>
                <w:szCs w:val="18"/>
              </w:rPr>
              <w:t>1</w:t>
            </w:r>
          </w:p>
        </w:tc>
        <w:tc>
          <w:tcPr>
            <w:tcW w:w="451" w:type="pct"/>
            <w:tcBorders>
              <w:bottom w:val="single" w:sz="4" w:space="0" w:color="D2232A" w:themeColor="accent1"/>
            </w:tcBorders>
            <w:noWrap/>
            <w:vAlign w:val="center"/>
            <w:hideMark/>
          </w:tcPr>
          <w:p w14:paraId="591985FA" w14:textId="77777777" w:rsidR="00876D85" w:rsidRPr="0043722B" w:rsidRDefault="00876D85" w:rsidP="001D3ADC">
            <w:pPr>
              <w:spacing w:after="0"/>
              <w:jc w:val="right"/>
              <w:rPr>
                <w:b/>
                <w:bCs/>
                <w:iCs/>
                <w:szCs w:val="18"/>
              </w:rPr>
            </w:pPr>
            <w:r w:rsidRPr="0043722B">
              <w:rPr>
                <w:b/>
                <w:bCs/>
                <w:iCs/>
                <w:szCs w:val="18"/>
              </w:rPr>
              <w:t>33220</w:t>
            </w:r>
          </w:p>
        </w:tc>
        <w:tc>
          <w:tcPr>
            <w:tcW w:w="652" w:type="pct"/>
            <w:tcBorders>
              <w:bottom w:val="single" w:sz="4" w:space="0" w:color="D2232A" w:themeColor="accent1"/>
            </w:tcBorders>
            <w:noWrap/>
            <w:vAlign w:val="center"/>
            <w:hideMark/>
          </w:tcPr>
          <w:p w14:paraId="4335BFB5" w14:textId="77777777" w:rsidR="00876D85" w:rsidRPr="0043722B" w:rsidRDefault="00876D85" w:rsidP="001D3ADC">
            <w:pPr>
              <w:spacing w:after="0"/>
              <w:jc w:val="right"/>
              <w:rPr>
                <w:b/>
                <w:bCs/>
                <w:iCs/>
                <w:szCs w:val="18"/>
              </w:rPr>
            </w:pPr>
            <w:r w:rsidRPr="0043722B">
              <w:rPr>
                <w:b/>
                <w:bCs/>
                <w:iCs/>
                <w:szCs w:val="18"/>
              </w:rPr>
              <w:t>2151</w:t>
            </w:r>
          </w:p>
        </w:tc>
      </w:tr>
    </w:tbl>
    <w:p w14:paraId="615A0D36" w14:textId="7CC4D4CD" w:rsidR="00876D85" w:rsidRPr="006D7B27" w:rsidRDefault="00876D85" w:rsidP="006D7B27">
      <w:pPr>
        <w:pStyle w:val="Izvor"/>
        <w:rPr>
          <w:i/>
          <w:color w:val="ABABAB" w:themeColor="text1" w:themeTint="A6"/>
          <w:sz w:val="16"/>
          <w:szCs w:val="16"/>
        </w:rPr>
      </w:pPr>
      <w:r w:rsidRPr="006D7B27">
        <w:rPr>
          <w:i/>
          <w:color w:val="ABABAB" w:themeColor="text1" w:themeTint="A6"/>
          <w:sz w:val="16"/>
          <w:szCs w:val="16"/>
        </w:rPr>
        <w:t>Izvor: Plinsko gospodarstvo Republike Hrvatske, 2018. i Upravni odjel za gospodarstvo, poljoprivredu, turizam, promet i kom. Infrastrukturu</w:t>
      </w:r>
    </w:p>
    <w:p w14:paraId="56B9B146" w14:textId="65E780BD" w:rsidR="00876D85" w:rsidRDefault="00876D85" w:rsidP="00876D85">
      <w:pPr>
        <w:rPr>
          <w:sz w:val="22"/>
          <w:szCs w:val="22"/>
        </w:rPr>
      </w:pPr>
      <w:r>
        <w:t xml:space="preserve">Transportni sustav Republike Hrvatske u Krapinsko-zagorskoj županiji obuhvaća visokotlačni magistralni plinovod DN 500/50 bara koji dolazi iz smjera Rogaca, plinskog interkonektora sa slovenskim transportnim sustavom prema Zagrebu, na koji su spojene MRS Straža, MRS Krapina i MRS Zabok, odvojak DN 150/50 bara prema Kumrovcu, odvojak kod Zaboka DN 100/50 bara za MRS Oroslavje, odvojak magistralnog plinovoda DN 500/50 bara od Zaboka prema Varaždinu na koji su spojene MRS Konjščina i odvojak 150/50 bara za MRS Bedekovčina. Postojeće plinske distribucijske mreže sastoje se od plinovoda izrađenih od čeličnih cijevi, polietilenskih cijevi visoke gustoće, plinskih mjerno-redukcijskih stanica, odorizacijskih stanica, sustava katodne zaštite, </w:t>
      </w:r>
      <w:r w:rsidR="00FC56D5">
        <w:t>s</w:t>
      </w:r>
      <w:r>
        <w:t xml:space="preserve">ustava za daljinski nadzor, upravljanje i prikupljanje podataka, kućnih i industrijskih priključaka plina, plinomjera i druge mjerne </w:t>
      </w:r>
      <w:r>
        <w:lastRenderedPageBreak/>
        <w:t xml:space="preserve">opreme, kao i sve druge opreme i građevina ugrađenih u distribucijski sustav u svrhu osiguravanja sigurnog i pouzdanog pogona distribucijskog sustava i isporuke plina krajnjim kupcima. </w:t>
      </w:r>
    </w:p>
    <w:p w14:paraId="2CD2B069" w14:textId="77777777" w:rsidR="00876D85" w:rsidRDefault="00876D85" w:rsidP="00876D85">
      <w:r>
        <w:t>U industrijskoj potrošnji najveći udio od oko 76% u ukupnoj neposrednoj potrošnji ima potrošnja prirodnog plina. Gledajući udio pojedinih energenata, prirodni plin, električna energija i ogrjevno drvo imaju najveći udio u ukupnoj potrošnji energije kućanstava odnosno 45%, 26% i 20% od ukupnog. Strateški je cilj Županije primjenjivati takve energente koji će biti ekonomski, ali i ekološki najprihvatljiviji za individualnu potrošnju i za gospodarstvo u cijelosti.</w:t>
      </w:r>
    </w:p>
    <w:p w14:paraId="29C667CA" w14:textId="77777777" w:rsidR="00876D85" w:rsidRDefault="00876D85" w:rsidP="00876D85"/>
    <w:p w14:paraId="68DA9BE0" w14:textId="2A1DD381" w:rsidR="00876D85" w:rsidRDefault="00876D85" w:rsidP="0052192B">
      <w:pPr>
        <w:pStyle w:val="Naslov2"/>
      </w:pPr>
      <w:bookmarkStart w:id="229" w:name="_Hlk48902573"/>
      <w:bookmarkStart w:id="230" w:name="_Toc85181373"/>
      <w:r>
        <w:t>1</w:t>
      </w:r>
      <w:r w:rsidR="004840B8">
        <w:t>3</w:t>
      </w:r>
      <w:r>
        <w:t xml:space="preserve">.5. </w:t>
      </w:r>
      <w:bookmarkStart w:id="231" w:name="_Hlk25676412"/>
      <w:r>
        <w:t>Opskrba električnom energijom</w:t>
      </w:r>
      <w:bookmarkEnd w:id="230"/>
    </w:p>
    <w:p w14:paraId="259AC980" w14:textId="59067CCB" w:rsidR="00876D85" w:rsidRDefault="00876D85" w:rsidP="00876D85">
      <w:bookmarkStart w:id="232" w:name="_Hlk25676454"/>
      <w:bookmarkEnd w:id="229"/>
      <w:bookmarkEnd w:id="231"/>
      <w:r>
        <w:br/>
        <w:t xml:space="preserve">Krapinsko-zagorska županija pripada sjevernom dijelu elektroenergetskog sustava Republike Hrvatske koji se opskrbljuje električnom energijom iz hidroelektrana Dravskog sliva te termoelektrana na području Zagreba i Siska. </w:t>
      </w:r>
      <w:bookmarkStart w:id="233" w:name="_Hlk25676465"/>
      <w:bookmarkEnd w:id="232"/>
      <w:r>
        <w:t xml:space="preserve">Jedini proizvodni objekt HEP-a na području Krapinsko-zagorske županije je KTE Jertovec </w:t>
      </w:r>
      <w:bookmarkEnd w:id="233"/>
      <w:r>
        <w:t>(kombinirana plinskoparna termoelektrana) ukupne snage 88 MW u dva kombi bloka izgrađena 1956. i 1975. godine. Spajanjem elektrane na novoizgrađenu plinsku mrežu 1980. godine, počinje korištenje prirodnog plina kao osnovnog goriva. KTE Jertovec se koristi kao rezervna elektrana u EES-u RH raspoložive  snage 2x28 MW (plinskoturbinski agregati) i 2x10 MW (parnoturbinski agregati) s mogućnošću ulaska u pogon u vremenu 15 minuta nakon naloga.</w:t>
      </w:r>
    </w:p>
    <w:p w14:paraId="3E310745" w14:textId="77777777" w:rsidR="00876D85" w:rsidRDefault="00876D85" w:rsidP="00876D85">
      <w:pPr>
        <w:spacing w:after="0"/>
      </w:pPr>
      <w:bookmarkStart w:id="234" w:name="_Hlk25676523"/>
      <w:r>
        <w:t>Područje Krapinsko-zagorske županije električnom energijom opskrbljuju tri distributera:</w:t>
      </w:r>
    </w:p>
    <w:p w14:paraId="79F0BEC0" w14:textId="77777777" w:rsidR="00876D85" w:rsidRDefault="00876D85" w:rsidP="002F13CF">
      <w:pPr>
        <w:pStyle w:val="Odlomakpopisa"/>
        <w:numPr>
          <w:ilvl w:val="0"/>
          <w:numId w:val="10"/>
        </w:numPr>
      </w:pPr>
      <w:r>
        <w:t>DP Elektra Zabok,</w:t>
      </w:r>
    </w:p>
    <w:p w14:paraId="23D2C00A" w14:textId="77777777" w:rsidR="00876D85" w:rsidRDefault="00876D85" w:rsidP="002F13CF">
      <w:pPr>
        <w:pStyle w:val="Odlomakpopisa"/>
        <w:numPr>
          <w:ilvl w:val="0"/>
          <w:numId w:val="10"/>
        </w:numPr>
      </w:pPr>
      <w:r>
        <w:t>DP Elektra Varaždin,</w:t>
      </w:r>
    </w:p>
    <w:p w14:paraId="671E15E0" w14:textId="77777777" w:rsidR="00876D85" w:rsidRDefault="00876D85" w:rsidP="002F13CF">
      <w:pPr>
        <w:pStyle w:val="Odlomakpopisa"/>
        <w:numPr>
          <w:ilvl w:val="0"/>
          <w:numId w:val="10"/>
        </w:numPr>
      </w:pPr>
      <w:r>
        <w:t>DP Elektra Zagreb.</w:t>
      </w:r>
    </w:p>
    <w:p w14:paraId="083A0ED7" w14:textId="77777777" w:rsidR="00876D85" w:rsidRDefault="00876D85" w:rsidP="00876D85">
      <w:bookmarkStart w:id="235" w:name="_Hlk25676548"/>
      <w:bookmarkEnd w:id="234"/>
      <w:r>
        <w:t>Ukupna duljina vodova na distribucijskom području Krapinsko-zagorske županije</w:t>
      </w:r>
      <w:bookmarkEnd w:id="235"/>
      <w:r>
        <w:t xml:space="preserve">, površine 1 190 km², </w:t>
      </w:r>
      <w:bookmarkStart w:id="236" w:name="_Hlk25676555"/>
      <w:r>
        <w:t>iznosi 5 129,37 km</w:t>
      </w:r>
      <w:bookmarkEnd w:id="236"/>
      <w:r>
        <w:t xml:space="preserve">. Najveći dio područja Županije (cca 86%) električnom energijom snabdijeva distributer Elektra Zabok. </w:t>
      </w:r>
      <w:bookmarkStart w:id="237" w:name="_Hlk25676589"/>
      <w:r>
        <w:t>Značajan problem je relativno loša kvaliteta u opskrbi električnom energijom u sjeveroistočnom dijelu Županije u općinama Mihovljan, Novi Golubovec, Lobor, Zlatar i Budinščina radi dugih radijalnih vodova 10 kV s nedovoljnim presjecima vodiča.</w:t>
      </w:r>
      <w:bookmarkEnd w:id="237"/>
      <w:r>
        <w:t xml:space="preserve"> U ostalom dijelu osjeća se nedostatak magistralnih vodova 10 (20) kV s presjekom 95 mm</w:t>
      </w:r>
      <w:r w:rsidRPr="005C33D8">
        <w:rPr>
          <w:vertAlign w:val="superscript"/>
        </w:rPr>
        <w:t>2</w:t>
      </w:r>
      <w:r>
        <w:t xml:space="preserve"> . Na cijelom području Županije postoji značajan broj naselja s nezadovoljavajućim naponskim prilikama u niskonaponskim mrežama, tzv. sive zone. Glavne distributivne spojne točke su trafostanice TS 110/35/10 kV u Zaboku, Humu na Sutli i Jertovcu koje su sastavni dijelovi prijenosnog elektroenergetskog sustava RH.</w:t>
      </w:r>
    </w:p>
    <w:p w14:paraId="36580720" w14:textId="77777777" w:rsidR="00876D85" w:rsidRDefault="00876D85" w:rsidP="00876D85">
      <w:r>
        <w:t xml:space="preserve">Prema Izvješću o stanju u prostoru Krapinsko-zagorske županije 2011.-2015., na niskom naponu prisutan je velik broj NN izvoda s nedozvoljenim padovima napona i to na 369 od svih distributivnih TS 10(20)0,4 kV, odnosno na 547 niskonaponskih izvoda. Niskonaponska mreža 0,4 kV dužine je 2.696 km, a izvedenih priključaka ima u dužini 1.648 km. Na području Elektre Zabok postoje dvije TS 110/35/10 kV (Zabok i Straža), jedna TS 110/20 kV (Krapina-Bobovje) i jedna TS 110/35 kV (Jertovec) koja nije u osnovnim sredstvima Elektre Zabok, već Elektre Zagreb. Na temelju međusobnog sporazuma Elektra Zabok ima pravo na korištenje 50% instalirane snage (10 MVA). Poseban problem zbog manjka snage i rezerve predstavlja TS 110/35 kV, 1x20 MVA Jertovec koja se nalazi unutar TE Jertovec i najlošija je točka u sustavu distributivne mreže Hrvatske, kao bitan, jedini i osnovni izvor napajanja dijela 35 kV mreže: </w:t>
      </w:r>
    </w:p>
    <w:p w14:paraId="6A16393A" w14:textId="77777777" w:rsidR="00876D85" w:rsidRDefault="00876D85" w:rsidP="002F13CF">
      <w:pPr>
        <w:pStyle w:val="Odlomakpopisa"/>
        <w:numPr>
          <w:ilvl w:val="0"/>
          <w:numId w:val="11"/>
        </w:numPr>
      </w:pPr>
      <w:r>
        <w:t xml:space="preserve">Elektre Zagreb, Pogon Zelina s dvije TS 35/10 kV (Vinčino i Zelina) s ukupno 214 TS 10(20)/0.4 kV i s maksimalnim opterećenjem od oko 13 MW, što predstavlja 68% geografskog područja Pogona Zeline, </w:t>
      </w:r>
    </w:p>
    <w:p w14:paraId="719E67C5" w14:textId="77777777" w:rsidR="00876D85" w:rsidRDefault="00876D85" w:rsidP="002F13CF">
      <w:pPr>
        <w:pStyle w:val="Odlomakpopisa"/>
        <w:numPr>
          <w:ilvl w:val="0"/>
          <w:numId w:val="11"/>
        </w:numPr>
      </w:pPr>
      <w:r>
        <w:t xml:space="preserve">Elektre Zabok, Pogon Zlatar Bistrica s dvije TS 35/10 (Konjščina i Zlatar Bistrica) s ukupno 212 komada TS 10(20)/0.4 kV i s maksimalnim opterećenjem od oko 13 MW, što predstavlja 25% geografskog područja DP Elektre Zabok. </w:t>
      </w:r>
    </w:p>
    <w:p w14:paraId="64FFDA83" w14:textId="77777777" w:rsidR="00876D85" w:rsidRDefault="00876D85" w:rsidP="002F13CF">
      <w:pPr>
        <w:pStyle w:val="Odlomakpopisa"/>
        <w:numPr>
          <w:ilvl w:val="0"/>
          <w:numId w:val="11"/>
        </w:numPr>
      </w:pPr>
      <w:r>
        <w:t xml:space="preserve">TS 110/35 kV, 1x20 MVA Jertovec nema zadovoljen kriterij n-1 i pretežni dio godine opterećenje premašuje nazivnu snagu, a pri vršnom opterećenju i preko 124%. </w:t>
      </w:r>
    </w:p>
    <w:p w14:paraId="466ECDCC" w14:textId="3AC0BAD7" w:rsidR="00876D85" w:rsidRDefault="00876D85" w:rsidP="00876D85">
      <w:r>
        <w:t>Ukupna duljina 35 kV mreže je 131 km. Nadzemni vodovi su građeni 60ih i 70ih godina. U studenom 2019. godine, prema informacijama relevantnih dionika, pribavljene su dozvole za rekonstrukciju električne mreže, dok će brzina izvedbe ovisiti o postupcima javne nabave.</w:t>
      </w:r>
    </w:p>
    <w:p w14:paraId="0ECC9629" w14:textId="77777777" w:rsidR="000D2988" w:rsidRDefault="000D2988" w:rsidP="00876D85"/>
    <w:p w14:paraId="2F0D4F69" w14:textId="0C530AF5" w:rsidR="002B29DD" w:rsidRDefault="002B29DD" w:rsidP="0052192B">
      <w:pPr>
        <w:pStyle w:val="Naslov2"/>
      </w:pPr>
      <w:bookmarkStart w:id="238" w:name="_Toc85181374"/>
      <w:r>
        <w:t>1</w:t>
      </w:r>
      <w:r w:rsidR="004840B8">
        <w:t>3</w:t>
      </w:r>
      <w:r>
        <w:t>.</w:t>
      </w:r>
      <w:r w:rsidR="006D7B27">
        <w:t>6</w:t>
      </w:r>
      <w:r>
        <w:t>. Obnovljivi izvori energije</w:t>
      </w:r>
      <w:r w:rsidR="004600AD">
        <w:t xml:space="preserve"> i energetska učinkovitost</w:t>
      </w:r>
      <w:bookmarkEnd w:id="238"/>
    </w:p>
    <w:p w14:paraId="23850CEF" w14:textId="77777777" w:rsidR="002B29DD" w:rsidRPr="002B29DD" w:rsidRDefault="002B29DD" w:rsidP="002B29DD"/>
    <w:p w14:paraId="2A0F3881" w14:textId="66C00CDE" w:rsidR="006F3E2C" w:rsidRDefault="006F3E2C" w:rsidP="006F3E2C">
      <w:pPr>
        <w:pStyle w:val="Naslov3"/>
        <w:rPr>
          <w:color w:val="9D1A1F" w:themeColor="accent4"/>
        </w:rPr>
      </w:pPr>
      <w:bookmarkStart w:id="239" w:name="_Toc85181375"/>
      <w:r w:rsidRPr="001B20A5">
        <w:rPr>
          <w:color w:val="9D1A1F" w:themeColor="accent4"/>
        </w:rPr>
        <w:t>1</w:t>
      </w:r>
      <w:r w:rsidR="004840B8">
        <w:rPr>
          <w:color w:val="9D1A1F" w:themeColor="accent4"/>
        </w:rPr>
        <w:t>3</w:t>
      </w:r>
      <w:r w:rsidRPr="001B20A5">
        <w:rPr>
          <w:color w:val="9D1A1F" w:themeColor="accent4"/>
        </w:rPr>
        <w:t>.</w:t>
      </w:r>
      <w:r w:rsidR="006D7B27">
        <w:rPr>
          <w:color w:val="9D1A1F" w:themeColor="accent4"/>
        </w:rPr>
        <w:t>6</w:t>
      </w:r>
      <w:r w:rsidRPr="001B20A5">
        <w:rPr>
          <w:color w:val="9D1A1F" w:themeColor="accent4"/>
        </w:rPr>
        <w:t xml:space="preserve">.1. </w:t>
      </w:r>
      <w:r>
        <w:rPr>
          <w:color w:val="9D1A1F" w:themeColor="accent4"/>
        </w:rPr>
        <w:t>Energija biomase</w:t>
      </w:r>
      <w:bookmarkEnd w:id="239"/>
    </w:p>
    <w:p w14:paraId="25727314" w14:textId="6ABCF56A" w:rsidR="00EB3667" w:rsidRDefault="00EB3667" w:rsidP="00EB3667">
      <w:r>
        <w:br/>
        <w:t xml:space="preserve">U skladu s analizom iz Strategije održivog korištenja energije Krapinsko-zagorske županije, </w:t>
      </w:r>
      <w:bookmarkStart w:id="240" w:name="_Hlk25676679"/>
      <w:r>
        <w:t xml:space="preserve">najvažnija upotreba biomase u energetske svrhe na području Županije odnosi se na ogrjevno drvo za grijanje domaćinstava. </w:t>
      </w:r>
      <w:bookmarkEnd w:id="240"/>
      <w:r>
        <w:t xml:space="preserve">Najvažniji izvor biomase u </w:t>
      </w:r>
      <w:r>
        <w:lastRenderedPageBreak/>
        <w:t xml:space="preserve">Krapinsko-zagorskoj županiji je drvna (šumska) biomasa. </w:t>
      </w:r>
      <w:bookmarkStart w:id="241" w:name="_Hlk25676770"/>
      <w:r>
        <w:t xml:space="preserve">Drvna biomasa za energetsku uporabu se dijeli na cjepanice, sječku i pelete. </w:t>
      </w:r>
      <w:bookmarkEnd w:id="241"/>
      <w:r>
        <w:t>Prema posljednjim podacima Državnog zavoda za statistiku iz popisa stanovništva od 2001. godine, broj nastanjenih kućanstava u kojima se drvo koristilo kao jedini ili primarni energent za grijanje na području Županije iznosio je 23 141, dok je broj stanovnika koji je koristio drvo kao jedini ili primarni energent za grijanje iznosio oko 78 000 (55% od ukupnog broja stanovnika). Ukupna površina nastanjenih kućanstava koja koriste drvo kao jedini ili primarni energent za grijanje iznosi oko 1,47 milijuna m</w:t>
      </w:r>
      <w:r w:rsidRPr="00C27BDB">
        <w:rPr>
          <w:szCs w:val="20"/>
          <w:vertAlign w:val="superscript"/>
        </w:rPr>
        <w:t>2</w:t>
      </w:r>
      <w:r>
        <w:t>, što odgovara procijenjenoj godišnjoj potrošnji od oko 102 000 m</w:t>
      </w:r>
      <w:r w:rsidRPr="00F52BCA">
        <w:rPr>
          <w:vertAlign w:val="superscript"/>
        </w:rPr>
        <w:t>3</w:t>
      </w:r>
      <w:r>
        <w:t xml:space="preserve"> ogrjevnog drva (energetska vrijednost oko 0,68 PJ). Prosječna godišnja potrošnja ogrjevnog drva po stanovniku za Krapinsko-zagorsku županiju iznosi 0,71 m</w:t>
      </w:r>
      <w:r w:rsidRPr="00C27BDB">
        <w:rPr>
          <w:vertAlign w:val="superscript"/>
        </w:rPr>
        <w:t>3</w:t>
      </w:r>
      <w:r>
        <w:t xml:space="preserve"> , dok taj prosjek na razini cijele Hrvatske iznosi 0,77 m</w:t>
      </w:r>
      <w:r w:rsidRPr="00C27BDB">
        <w:rPr>
          <w:vertAlign w:val="superscript"/>
        </w:rPr>
        <w:t>3</w:t>
      </w:r>
      <w:r>
        <w:t>. Potrebno je ipak napomenuti da se sve navedene vrijednosti odnose na 2001. godinu te bi za određivanje novijih podataka bilo potrebno provesti opsežno anketiranje kućanstava na području Županije.</w:t>
      </w:r>
    </w:p>
    <w:p w14:paraId="32B57BEA" w14:textId="2B789051" w:rsidR="00EB3667" w:rsidRPr="00A01BFA" w:rsidRDefault="00A01BFA" w:rsidP="003E3F3C">
      <w:pPr>
        <w:pStyle w:val="Opisslike"/>
      </w:pPr>
      <w:r>
        <w:rPr>
          <w:noProof/>
        </w:rPr>
        <w:drawing>
          <wp:anchor distT="0" distB="0" distL="114300" distR="114300" simplePos="0" relativeHeight="251741184" behindDoc="0" locked="0" layoutInCell="1" allowOverlap="1" wp14:anchorId="3F1DABDB" wp14:editId="69CACC29">
            <wp:simplePos x="0" y="0"/>
            <wp:positionH relativeFrom="margin">
              <wp:posOffset>353060</wp:posOffset>
            </wp:positionH>
            <wp:positionV relativeFrom="paragraph">
              <wp:posOffset>270510</wp:posOffset>
            </wp:positionV>
            <wp:extent cx="5527040" cy="3997325"/>
            <wp:effectExtent l="19050" t="19050" r="16510" b="22225"/>
            <wp:wrapTopAndBottom/>
            <wp:docPr id="247" name="Picture 247" descr="Slika na kojoj se prikazuje tekst, karta&#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34" descr="Slika na kojoj se prikazuje tekst, karta&#10;&#10;Opis je automatski generiran"/>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27040" cy="399732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t>Prikaz</w:t>
      </w:r>
      <w:r w:rsidR="006D7B27">
        <w:t xml:space="preserve"> 1</w:t>
      </w:r>
      <w:r w:rsidR="00840136">
        <w:t>4</w:t>
      </w:r>
      <w:r>
        <w:t xml:space="preserve">. Potrošnja ogrjevnog drva po stanovniku u 2008. godini </w:t>
      </w:r>
    </w:p>
    <w:p w14:paraId="18C060B4" w14:textId="274A9A35" w:rsidR="00A01BFA" w:rsidRPr="006D7B27" w:rsidRDefault="00A01BFA" w:rsidP="003C2276">
      <w:pPr>
        <w:pStyle w:val="Izvor"/>
        <w:rPr>
          <w:i/>
          <w:color w:val="ABABAB" w:themeColor="text1" w:themeTint="A6"/>
          <w:sz w:val="16"/>
          <w:szCs w:val="16"/>
        </w:rPr>
      </w:pPr>
      <w:r w:rsidRPr="006D7B27">
        <w:rPr>
          <w:i/>
          <w:color w:val="ABABAB" w:themeColor="text1" w:themeTint="A6"/>
          <w:sz w:val="16"/>
          <w:szCs w:val="16"/>
        </w:rPr>
        <w:t>Izvor: Strategija održivog korištenja energije Krapinsko-zagorske županije, 2001.</w:t>
      </w:r>
    </w:p>
    <w:p w14:paraId="3A142258" w14:textId="77777777" w:rsidR="00EB3667" w:rsidRDefault="00EB3667" w:rsidP="00EB3667">
      <w:r>
        <w:t>Na području Županije nalazi se manji broj drvoprerađivačkih tvrtki uz čiju primarnu proizvodnju nastaje i određena količina drvnog ostatka koji se može koristi za proizvodnju energije. Trenutno postoji nekoliko drvoprerađivačkih tvrtki u sklopu kojih se nalaze kotlovnice na drvni ostatak, a najznačajnije među njima su Tvornica parketa Ratković iz Đurmanca te Stolarija Čiček iz Zlatar Bistrice. Osim navedenih postoji više manjih industrijskih kotlovnica na biomasu te je, prema dostupnim podacima, ukupna snaga svih industrijskih kotlovnica na biomasu u Krapinsko-zagorskoj županiji 3 MW.</w:t>
      </w:r>
    </w:p>
    <w:p w14:paraId="31764A42" w14:textId="77777777" w:rsidR="00EB3667" w:rsidRDefault="00EB3667" w:rsidP="00EB3667">
      <w:r>
        <w:t>Za ocjenu mogućega prinosa biomase potrebno je poznavanje drvne zalihe i njezina udjela po vrstama drveća, dobnim razredima, debljinskim razredima, prirastu, etatu i sličnim pokazateljima. Navedeni podaci predstavljaju temelj planiranja šumskoga ostatka u energetske svrhe, a za Krapinsko-zagorsku županiju prema podacima Hrvatskih šuma d.o.o. prikazani su u sljedećoj tablici.</w:t>
      </w:r>
    </w:p>
    <w:p w14:paraId="220B99F9" w14:textId="77777777" w:rsidR="00EB3667" w:rsidRDefault="00EB3667" w:rsidP="00EB3667"/>
    <w:p w14:paraId="321EB0B0" w14:textId="19A26E56" w:rsidR="00EB3667" w:rsidRDefault="00EB3667" w:rsidP="003E3F3C">
      <w:pPr>
        <w:pStyle w:val="Opisslike"/>
      </w:pPr>
      <w:r>
        <w:t>Tablica</w:t>
      </w:r>
      <w:r w:rsidR="006D7B27">
        <w:t xml:space="preserve"> 1</w:t>
      </w:r>
      <w:r w:rsidR="00741E4F">
        <w:t>89</w:t>
      </w:r>
      <w:r>
        <w:t xml:space="preserve">. </w:t>
      </w:r>
      <w:r w:rsidRPr="00F66B92">
        <w:t>Površina šuma i šumskog zemljišta, godišnji tečajni prirast i etat za Krapinsko-zagorsku županiju za 2019. godinu</w:t>
      </w:r>
    </w:p>
    <w:tbl>
      <w:tblPr>
        <w:tblW w:w="9380" w:type="dxa"/>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6905"/>
        <w:gridCol w:w="1074"/>
        <w:gridCol w:w="1401"/>
      </w:tblGrid>
      <w:tr w:rsidR="00EB3667" w14:paraId="0D6202CB" w14:textId="77777777" w:rsidTr="001D3ADC">
        <w:trPr>
          <w:trHeight w:val="296"/>
          <w:tblHeader/>
        </w:trPr>
        <w:tc>
          <w:tcPr>
            <w:tcW w:w="6905" w:type="dxa"/>
            <w:shd w:val="clear" w:color="auto" w:fill="D2232A" w:themeFill="accent1"/>
            <w:noWrap/>
            <w:hideMark/>
          </w:tcPr>
          <w:p w14:paraId="5E6D1180" w14:textId="77777777" w:rsidR="00EB3667" w:rsidRPr="0043722B" w:rsidRDefault="00EB3667" w:rsidP="001D3ADC">
            <w:pPr>
              <w:spacing w:after="0"/>
              <w:rPr>
                <w:iCs/>
                <w:color w:val="FFFFFF" w:themeColor="background1"/>
                <w:lang w:val="en-GB"/>
              </w:rPr>
            </w:pPr>
            <w:r w:rsidRPr="0043722B">
              <w:rPr>
                <w:rFonts w:ascii="Calibri" w:hAnsi="Calibri" w:cs="Calibri"/>
                <w:iCs/>
                <w:color w:val="FFFFFF" w:themeColor="background1"/>
              </w:rPr>
              <w:t> </w:t>
            </w:r>
          </w:p>
        </w:tc>
        <w:tc>
          <w:tcPr>
            <w:tcW w:w="1074" w:type="dxa"/>
            <w:shd w:val="clear" w:color="auto" w:fill="D2232A" w:themeFill="accent1"/>
            <w:noWrap/>
            <w:hideMark/>
          </w:tcPr>
          <w:p w14:paraId="194532DE" w14:textId="77777777" w:rsidR="00EB3667" w:rsidRPr="0043722B" w:rsidRDefault="00EB3667" w:rsidP="001D3ADC">
            <w:pPr>
              <w:spacing w:after="0"/>
              <w:jc w:val="right"/>
              <w:rPr>
                <w:b/>
                <w:bCs/>
                <w:iCs/>
                <w:color w:val="FFFFFF" w:themeColor="background1"/>
              </w:rPr>
            </w:pPr>
            <w:r w:rsidRPr="0043722B">
              <w:rPr>
                <w:b/>
                <w:bCs/>
                <w:iCs/>
                <w:color w:val="FFFFFF" w:themeColor="background1"/>
              </w:rPr>
              <w:t>Jedinica</w:t>
            </w:r>
          </w:p>
        </w:tc>
        <w:tc>
          <w:tcPr>
            <w:tcW w:w="1401" w:type="dxa"/>
            <w:shd w:val="clear" w:color="auto" w:fill="D2232A" w:themeFill="accent1"/>
            <w:noWrap/>
            <w:hideMark/>
          </w:tcPr>
          <w:p w14:paraId="0EBD408C" w14:textId="77777777" w:rsidR="00EB3667" w:rsidRPr="0043722B" w:rsidRDefault="00EB3667" w:rsidP="001D3ADC">
            <w:pPr>
              <w:spacing w:after="0"/>
              <w:jc w:val="right"/>
              <w:rPr>
                <w:b/>
                <w:bCs/>
                <w:iCs/>
                <w:color w:val="FFFFFF" w:themeColor="background1"/>
              </w:rPr>
            </w:pPr>
            <w:r w:rsidRPr="0043722B">
              <w:rPr>
                <w:b/>
                <w:bCs/>
                <w:iCs/>
                <w:color w:val="FFFFFF" w:themeColor="background1"/>
              </w:rPr>
              <w:t>Vrijednost</w:t>
            </w:r>
          </w:p>
        </w:tc>
      </w:tr>
      <w:tr w:rsidR="00EB3667" w14:paraId="0B7228A6" w14:textId="77777777" w:rsidTr="001D3ADC">
        <w:trPr>
          <w:trHeight w:val="296"/>
        </w:trPr>
        <w:tc>
          <w:tcPr>
            <w:tcW w:w="6905" w:type="dxa"/>
            <w:noWrap/>
            <w:hideMark/>
          </w:tcPr>
          <w:p w14:paraId="0411E79D" w14:textId="77777777" w:rsidR="00EB3667" w:rsidRPr="0043722B" w:rsidRDefault="00EB3667" w:rsidP="001D3ADC">
            <w:pPr>
              <w:spacing w:after="0"/>
              <w:jc w:val="left"/>
              <w:rPr>
                <w:b/>
                <w:bCs/>
                <w:iCs/>
              </w:rPr>
            </w:pPr>
            <w:r w:rsidRPr="0043722B">
              <w:rPr>
                <w:b/>
                <w:bCs/>
                <w:iCs/>
              </w:rPr>
              <w:t>Ukupna površina šuma i šumskog zemljišta</w:t>
            </w:r>
          </w:p>
        </w:tc>
        <w:tc>
          <w:tcPr>
            <w:tcW w:w="1074" w:type="dxa"/>
            <w:noWrap/>
            <w:hideMark/>
          </w:tcPr>
          <w:p w14:paraId="3DEF188C" w14:textId="77777777" w:rsidR="00EB3667" w:rsidRPr="0043722B" w:rsidRDefault="00EB3667" w:rsidP="001D3ADC">
            <w:pPr>
              <w:spacing w:after="0"/>
              <w:jc w:val="right"/>
              <w:rPr>
                <w:iCs/>
              </w:rPr>
            </w:pPr>
            <w:r w:rsidRPr="0043722B">
              <w:rPr>
                <w:iCs/>
              </w:rPr>
              <w:t>ha</w:t>
            </w:r>
          </w:p>
        </w:tc>
        <w:tc>
          <w:tcPr>
            <w:tcW w:w="1401" w:type="dxa"/>
            <w:noWrap/>
            <w:hideMark/>
          </w:tcPr>
          <w:p w14:paraId="188D9AA3" w14:textId="77777777" w:rsidR="00EB3667" w:rsidRPr="0043722B" w:rsidRDefault="00EB3667" w:rsidP="001D3ADC">
            <w:pPr>
              <w:spacing w:after="0"/>
              <w:jc w:val="right"/>
              <w:rPr>
                <w:iCs/>
              </w:rPr>
            </w:pPr>
            <w:r w:rsidRPr="0043722B">
              <w:rPr>
                <w:iCs/>
              </w:rPr>
              <w:t>53.736,05</w:t>
            </w:r>
          </w:p>
        </w:tc>
      </w:tr>
      <w:tr w:rsidR="00EB3667" w14:paraId="3AB14751" w14:textId="77777777" w:rsidTr="001D3ADC">
        <w:trPr>
          <w:trHeight w:val="296"/>
        </w:trPr>
        <w:tc>
          <w:tcPr>
            <w:tcW w:w="6905" w:type="dxa"/>
            <w:noWrap/>
            <w:hideMark/>
          </w:tcPr>
          <w:p w14:paraId="358E1C15" w14:textId="77777777" w:rsidR="00EB3667" w:rsidRPr="0043722B" w:rsidRDefault="00EB3667" w:rsidP="001D3ADC">
            <w:pPr>
              <w:spacing w:after="0"/>
              <w:jc w:val="left"/>
              <w:rPr>
                <w:b/>
                <w:bCs/>
                <w:iCs/>
              </w:rPr>
            </w:pPr>
            <w:r w:rsidRPr="0043722B">
              <w:rPr>
                <w:b/>
                <w:bCs/>
                <w:iCs/>
              </w:rPr>
              <w:t>Ukupna površina gospodarskih šuma</w:t>
            </w:r>
          </w:p>
        </w:tc>
        <w:tc>
          <w:tcPr>
            <w:tcW w:w="1074" w:type="dxa"/>
            <w:noWrap/>
            <w:hideMark/>
          </w:tcPr>
          <w:p w14:paraId="27D818D0" w14:textId="77777777" w:rsidR="00EB3667" w:rsidRPr="0043722B" w:rsidRDefault="00EB3667" w:rsidP="001D3ADC">
            <w:pPr>
              <w:spacing w:after="0"/>
              <w:jc w:val="right"/>
              <w:rPr>
                <w:iCs/>
              </w:rPr>
            </w:pPr>
            <w:r w:rsidRPr="0043722B">
              <w:rPr>
                <w:iCs/>
              </w:rPr>
              <w:t>ha</w:t>
            </w:r>
          </w:p>
        </w:tc>
        <w:tc>
          <w:tcPr>
            <w:tcW w:w="1401" w:type="dxa"/>
            <w:noWrap/>
            <w:hideMark/>
          </w:tcPr>
          <w:p w14:paraId="283CAC78" w14:textId="77777777" w:rsidR="00EB3667" w:rsidRPr="0043722B" w:rsidRDefault="00EB3667" w:rsidP="001D3ADC">
            <w:pPr>
              <w:spacing w:after="0"/>
              <w:jc w:val="right"/>
              <w:rPr>
                <w:iCs/>
              </w:rPr>
            </w:pPr>
            <w:r w:rsidRPr="0043722B">
              <w:rPr>
                <w:iCs/>
              </w:rPr>
              <w:t>40.111,63</w:t>
            </w:r>
          </w:p>
        </w:tc>
      </w:tr>
      <w:tr w:rsidR="00EB3667" w14:paraId="3169E081" w14:textId="77777777" w:rsidTr="001D3ADC">
        <w:trPr>
          <w:trHeight w:val="296"/>
        </w:trPr>
        <w:tc>
          <w:tcPr>
            <w:tcW w:w="6905" w:type="dxa"/>
            <w:noWrap/>
            <w:hideMark/>
          </w:tcPr>
          <w:p w14:paraId="3E09D275" w14:textId="77777777" w:rsidR="00EB3667" w:rsidRPr="0043722B" w:rsidRDefault="00EB3667" w:rsidP="001D3ADC">
            <w:pPr>
              <w:spacing w:after="0"/>
              <w:jc w:val="left"/>
              <w:rPr>
                <w:iCs/>
              </w:rPr>
            </w:pPr>
            <w:r w:rsidRPr="0043722B">
              <w:rPr>
                <w:iCs/>
              </w:rPr>
              <w:t>Udio privatnih šuma</w:t>
            </w:r>
          </w:p>
        </w:tc>
        <w:tc>
          <w:tcPr>
            <w:tcW w:w="1074" w:type="dxa"/>
            <w:noWrap/>
            <w:hideMark/>
          </w:tcPr>
          <w:p w14:paraId="19DB98CA" w14:textId="77777777" w:rsidR="00EB3667" w:rsidRPr="0043722B" w:rsidRDefault="00EB3667" w:rsidP="001D3ADC">
            <w:pPr>
              <w:spacing w:after="0"/>
              <w:jc w:val="right"/>
              <w:rPr>
                <w:iCs/>
              </w:rPr>
            </w:pPr>
            <w:r w:rsidRPr="0043722B">
              <w:rPr>
                <w:iCs/>
              </w:rPr>
              <w:t>%</w:t>
            </w:r>
          </w:p>
        </w:tc>
        <w:tc>
          <w:tcPr>
            <w:tcW w:w="1401" w:type="dxa"/>
            <w:noWrap/>
            <w:hideMark/>
          </w:tcPr>
          <w:p w14:paraId="18813F66" w14:textId="77777777" w:rsidR="00EB3667" w:rsidRPr="0043722B" w:rsidRDefault="00EB3667" w:rsidP="001D3ADC">
            <w:pPr>
              <w:spacing w:after="0"/>
              <w:jc w:val="right"/>
              <w:rPr>
                <w:iCs/>
              </w:rPr>
            </w:pPr>
            <w:r w:rsidRPr="0043722B">
              <w:rPr>
                <w:iCs/>
              </w:rPr>
              <w:t>81,8%</w:t>
            </w:r>
          </w:p>
        </w:tc>
      </w:tr>
      <w:tr w:rsidR="00EB3667" w14:paraId="5BDE7486" w14:textId="77777777" w:rsidTr="001D3ADC">
        <w:trPr>
          <w:trHeight w:val="403"/>
        </w:trPr>
        <w:tc>
          <w:tcPr>
            <w:tcW w:w="6905" w:type="dxa"/>
            <w:hideMark/>
          </w:tcPr>
          <w:p w14:paraId="45D69466" w14:textId="77777777" w:rsidR="00EB3667" w:rsidRPr="0043722B" w:rsidRDefault="00EB3667" w:rsidP="001D3ADC">
            <w:pPr>
              <w:spacing w:after="0"/>
              <w:jc w:val="left"/>
              <w:rPr>
                <w:iCs/>
              </w:rPr>
            </w:pPr>
            <w:r w:rsidRPr="0043722B">
              <w:rPr>
                <w:iCs/>
              </w:rPr>
              <w:t>Udio državnih šuma kojima gospodare Hrvatske šume d.o.o.</w:t>
            </w:r>
          </w:p>
        </w:tc>
        <w:tc>
          <w:tcPr>
            <w:tcW w:w="1074" w:type="dxa"/>
            <w:hideMark/>
          </w:tcPr>
          <w:p w14:paraId="5407D73C" w14:textId="77777777" w:rsidR="00EB3667" w:rsidRPr="0043722B" w:rsidRDefault="00EB3667" w:rsidP="001D3ADC">
            <w:pPr>
              <w:spacing w:after="0"/>
              <w:jc w:val="right"/>
              <w:rPr>
                <w:iCs/>
              </w:rPr>
            </w:pPr>
            <w:r w:rsidRPr="0043722B">
              <w:rPr>
                <w:iCs/>
              </w:rPr>
              <w:t>%</w:t>
            </w:r>
          </w:p>
        </w:tc>
        <w:tc>
          <w:tcPr>
            <w:tcW w:w="1401" w:type="dxa"/>
            <w:noWrap/>
            <w:hideMark/>
          </w:tcPr>
          <w:p w14:paraId="4BD8EBE4" w14:textId="77777777" w:rsidR="00EB3667" w:rsidRPr="0043722B" w:rsidRDefault="00EB3667" w:rsidP="001D3ADC">
            <w:pPr>
              <w:spacing w:after="0"/>
              <w:jc w:val="right"/>
              <w:rPr>
                <w:iCs/>
              </w:rPr>
            </w:pPr>
            <w:r w:rsidRPr="0043722B">
              <w:rPr>
                <w:iCs/>
              </w:rPr>
              <w:t>18,1%</w:t>
            </w:r>
          </w:p>
        </w:tc>
      </w:tr>
      <w:tr w:rsidR="00EB3667" w14:paraId="413AD2B7" w14:textId="77777777" w:rsidTr="001D3ADC">
        <w:trPr>
          <w:trHeight w:val="296"/>
        </w:trPr>
        <w:tc>
          <w:tcPr>
            <w:tcW w:w="6905" w:type="dxa"/>
            <w:noWrap/>
            <w:hideMark/>
          </w:tcPr>
          <w:p w14:paraId="00292BB3" w14:textId="77777777" w:rsidR="00EB3667" w:rsidRPr="0043722B" w:rsidRDefault="00EB3667" w:rsidP="001D3ADC">
            <w:pPr>
              <w:spacing w:after="0"/>
              <w:jc w:val="left"/>
              <w:rPr>
                <w:b/>
                <w:bCs/>
                <w:iCs/>
              </w:rPr>
            </w:pPr>
            <w:r w:rsidRPr="0043722B">
              <w:rPr>
                <w:b/>
                <w:bCs/>
                <w:iCs/>
              </w:rPr>
              <w:t>Površina privatnih gospodarskih šuma</w:t>
            </w:r>
          </w:p>
        </w:tc>
        <w:tc>
          <w:tcPr>
            <w:tcW w:w="1074" w:type="dxa"/>
            <w:noWrap/>
            <w:hideMark/>
          </w:tcPr>
          <w:p w14:paraId="467E1E89" w14:textId="77777777" w:rsidR="00EB3667" w:rsidRPr="0043722B" w:rsidRDefault="00EB3667" w:rsidP="001D3ADC">
            <w:pPr>
              <w:spacing w:after="0"/>
              <w:jc w:val="right"/>
              <w:rPr>
                <w:iCs/>
              </w:rPr>
            </w:pPr>
            <w:r w:rsidRPr="0043722B">
              <w:rPr>
                <w:iCs/>
              </w:rPr>
              <w:t>ha</w:t>
            </w:r>
          </w:p>
        </w:tc>
        <w:tc>
          <w:tcPr>
            <w:tcW w:w="1401" w:type="dxa"/>
            <w:noWrap/>
            <w:hideMark/>
          </w:tcPr>
          <w:p w14:paraId="6F664390" w14:textId="77777777" w:rsidR="00EB3667" w:rsidRPr="0043722B" w:rsidRDefault="00EB3667" w:rsidP="001D3ADC">
            <w:pPr>
              <w:spacing w:after="0"/>
              <w:jc w:val="right"/>
              <w:rPr>
                <w:iCs/>
              </w:rPr>
            </w:pPr>
            <w:r w:rsidRPr="0043722B">
              <w:rPr>
                <w:iCs/>
              </w:rPr>
              <w:t>32.835,83</w:t>
            </w:r>
          </w:p>
        </w:tc>
      </w:tr>
      <w:tr w:rsidR="00EB3667" w14:paraId="16BA3A54" w14:textId="77777777" w:rsidTr="001D3ADC">
        <w:trPr>
          <w:trHeight w:val="593"/>
        </w:trPr>
        <w:tc>
          <w:tcPr>
            <w:tcW w:w="6905" w:type="dxa"/>
            <w:hideMark/>
          </w:tcPr>
          <w:p w14:paraId="08B2836F" w14:textId="77777777" w:rsidR="00EB3667" w:rsidRPr="0043722B" w:rsidRDefault="00EB3667" w:rsidP="001D3ADC">
            <w:pPr>
              <w:spacing w:after="0"/>
              <w:jc w:val="left"/>
              <w:rPr>
                <w:b/>
                <w:bCs/>
                <w:iCs/>
              </w:rPr>
            </w:pPr>
            <w:r w:rsidRPr="0043722B">
              <w:rPr>
                <w:b/>
                <w:bCs/>
                <w:iCs/>
              </w:rPr>
              <w:lastRenderedPageBreak/>
              <w:t>Površina državnih gospodarskih šuma kojima gospodare Hrvatske šume d.o.o.</w:t>
            </w:r>
          </w:p>
        </w:tc>
        <w:tc>
          <w:tcPr>
            <w:tcW w:w="1074" w:type="dxa"/>
            <w:noWrap/>
            <w:hideMark/>
          </w:tcPr>
          <w:p w14:paraId="436901B4" w14:textId="77777777" w:rsidR="00EB3667" w:rsidRPr="0043722B" w:rsidRDefault="00EB3667" w:rsidP="001D3ADC">
            <w:pPr>
              <w:spacing w:after="0"/>
              <w:jc w:val="right"/>
              <w:rPr>
                <w:iCs/>
              </w:rPr>
            </w:pPr>
            <w:r w:rsidRPr="0043722B">
              <w:rPr>
                <w:iCs/>
              </w:rPr>
              <w:t>ha</w:t>
            </w:r>
          </w:p>
        </w:tc>
        <w:tc>
          <w:tcPr>
            <w:tcW w:w="1401" w:type="dxa"/>
            <w:noWrap/>
            <w:hideMark/>
          </w:tcPr>
          <w:p w14:paraId="2E734210" w14:textId="77777777" w:rsidR="00EB3667" w:rsidRPr="0043722B" w:rsidRDefault="00EB3667" w:rsidP="001D3ADC">
            <w:pPr>
              <w:spacing w:after="0"/>
              <w:jc w:val="right"/>
              <w:rPr>
                <w:iCs/>
              </w:rPr>
            </w:pPr>
            <w:r w:rsidRPr="0043722B">
              <w:rPr>
                <w:iCs/>
              </w:rPr>
              <w:t>7.275,80</w:t>
            </w:r>
          </w:p>
        </w:tc>
      </w:tr>
      <w:tr w:rsidR="00EB3667" w14:paraId="07972ED4" w14:textId="77777777" w:rsidTr="001D3ADC">
        <w:trPr>
          <w:trHeight w:val="593"/>
        </w:trPr>
        <w:tc>
          <w:tcPr>
            <w:tcW w:w="6905" w:type="dxa"/>
            <w:hideMark/>
          </w:tcPr>
          <w:p w14:paraId="015C6C2E" w14:textId="77777777" w:rsidR="00EB3667" w:rsidRPr="0043722B" w:rsidRDefault="00EB3667" w:rsidP="001D3ADC">
            <w:pPr>
              <w:spacing w:after="0"/>
              <w:jc w:val="left"/>
              <w:rPr>
                <w:b/>
                <w:bCs/>
                <w:iCs/>
              </w:rPr>
            </w:pPr>
            <w:r w:rsidRPr="0043722B">
              <w:rPr>
                <w:b/>
                <w:bCs/>
                <w:iCs/>
              </w:rPr>
              <w:t>Ukupna drvna zaliha gospodarskih šuma, za stabla iznad 10 cm promjera na visini od 1,30 m</w:t>
            </w:r>
          </w:p>
        </w:tc>
        <w:tc>
          <w:tcPr>
            <w:tcW w:w="1074" w:type="dxa"/>
            <w:noWrap/>
            <w:hideMark/>
          </w:tcPr>
          <w:p w14:paraId="51AED503" w14:textId="77777777" w:rsidR="00EB3667" w:rsidRPr="0043722B" w:rsidRDefault="00EB3667" w:rsidP="001D3ADC">
            <w:pPr>
              <w:spacing w:after="0"/>
              <w:jc w:val="right"/>
              <w:rPr>
                <w:iCs/>
              </w:rPr>
            </w:pPr>
            <w:r w:rsidRPr="0043722B">
              <w:rPr>
                <w:iCs/>
              </w:rPr>
              <w:t>m</w:t>
            </w:r>
            <w:r w:rsidRPr="00B607B5">
              <w:rPr>
                <w:iCs/>
                <w:vertAlign w:val="superscript"/>
              </w:rPr>
              <w:t>3</w:t>
            </w:r>
          </w:p>
        </w:tc>
        <w:tc>
          <w:tcPr>
            <w:tcW w:w="1401" w:type="dxa"/>
            <w:noWrap/>
            <w:hideMark/>
          </w:tcPr>
          <w:p w14:paraId="3B2EA5B0" w14:textId="77777777" w:rsidR="00EB3667" w:rsidRPr="0043722B" w:rsidRDefault="00EB3667" w:rsidP="001D3ADC">
            <w:pPr>
              <w:spacing w:after="0"/>
              <w:jc w:val="right"/>
              <w:rPr>
                <w:iCs/>
              </w:rPr>
            </w:pPr>
            <w:r w:rsidRPr="0043722B">
              <w:rPr>
                <w:iCs/>
              </w:rPr>
              <w:t>1911172</w:t>
            </w:r>
          </w:p>
        </w:tc>
      </w:tr>
      <w:tr w:rsidR="00EB3667" w14:paraId="6F41BA3C" w14:textId="77777777" w:rsidTr="001D3ADC">
        <w:trPr>
          <w:trHeight w:val="593"/>
        </w:trPr>
        <w:tc>
          <w:tcPr>
            <w:tcW w:w="6905" w:type="dxa"/>
            <w:hideMark/>
          </w:tcPr>
          <w:p w14:paraId="4DEC1EFB" w14:textId="77777777" w:rsidR="00EB3667" w:rsidRPr="0043722B" w:rsidRDefault="00EB3667" w:rsidP="001D3ADC">
            <w:pPr>
              <w:spacing w:after="0"/>
              <w:jc w:val="left"/>
              <w:rPr>
                <w:b/>
                <w:bCs/>
                <w:iCs/>
              </w:rPr>
            </w:pPr>
            <w:r w:rsidRPr="0043722B">
              <w:rPr>
                <w:b/>
                <w:bCs/>
                <w:iCs/>
              </w:rPr>
              <w:t>Godišnji tečajni prirast drvne zalihe gospodarskih šuma, za stabla iznad 10 cm promjera na visini od 1,30 m</w:t>
            </w:r>
          </w:p>
        </w:tc>
        <w:tc>
          <w:tcPr>
            <w:tcW w:w="1074" w:type="dxa"/>
            <w:noWrap/>
            <w:hideMark/>
          </w:tcPr>
          <w:p w14:paraId="766D6436" w14:textId="77777777" w:rsidR="00EB3667" w:rsidRPr="0043722B" w:rsidRDefault="00EB3667" w:rsidP="001D3ADC">
            <w:pPr>
              <w:spacing w:after="0"/>
              <w:jc w:val="right"/>
              <w:rPr>
                <w:iCs/>
              </w:rPr>
            </w:pPr>
            <w:r w:rsidRPr="0043722B">
              <w:rPr>
                <w:iCs/>
              </w:rPr>
              <w:t>m</w:t>
            </w:r>
            <w:r w:rsidRPr="00B607B5">
              <w:rPr>
                <w:iCs/>
                <w:vertAlign w:val="superscript"/>
              </w:rPr>
              <w:t>3</w:t>
            </w:r>
          </w:p>
        </w:tc>
        <w:tc>
          <w:tcPr>
            <w:tcW w:w="1401" w:type="dxa"/>
            <w:noWrap/>
            <w:hideMark/>
          </w:tcPr>
          <w:p w14:paraId="5DAA746F" w14:textId="77777777" w:rsidR="00EB3667" w:rsidRPr="0043722B" w:rsidRDefault="00EB3667" w:rsidP="001D3ADC">
            <w:pPr>
              <w:spacing w:after="0"/>
              <w:jc w:val="right"/>
              <w:rPr>
                <w:iCs/>
              </w:rPr>
            </w:pPr>
            <w:r w:rsidRPr="0043722B">
              <w:rPr>
                <w:iCs/>
              </w:rPr>
              <w:t>50582</w:t>
            </w:r>
          </w:p>
        </w:tc>
      </w:tr>
      <w:tr w:rsidR="00EB3667" w14:paraId="45CA8F2E" w14:textId="77777777" w:rsidTr="001D3ADC">
        <w:trPr>
          <w:trHeight w:val="547"/>
        </w:trPr>
        <w:tc>
          <w:tcPr>
            <w:tcW w:w="6905" w:type="dxa"/>
            <w:tcBorders>
              <w:bottom w:val="single" w:sz="4" w:space="0" w:color="D2232A" w:themeColor="accent1"/>
            </w:tcBorders>
            <w:hideMark/>
          </w:tcPr>
          <w:p w14:paraId="47928FED" w14:textId="77777777" w:rsidR="00EB3667" w:rsidRPr="0043722B" w:rsidRDefault="00EB3667" w:rsidP="001D3ADC">
            <w:pPr>
              <w:spacing w:after="0"/>
              <w:jc w:val="left"/>
              <w:rPr>
                <w:b/>
                <w:bCs/>
                <w:iCs/>
              </w:rPr>
            </w:pPr>
            <w:r w:rsidRPr="0043722B">
              <w:rPr>
                <w:b/>
                <w:bCs/>
                <w:iCs/>
              </w:rPr>
              <w:t>Prosječni godišnji etat (planirana drvna zaliha za sječu predviđena šumskogospodarskom osnovom područja) za sve drvne sortimente</w:t>
            </w:r>
          </w:p>
        </w:tc>
        <w:tc>
          <w:tcPr>
            <w:tcW w:w="1074" w:type="dxa"/>
            <w:tcBorders>
              <w:bottom w:val="single" w:sz="4" w:space="0" w:color="D2232A" w:themeColor="accent1"/>
            </w:tcBorders>
            <w:noWrap/>
            <w:hideMark/>
          </w:tcPr>
          <w:p w14:paraId="5CA841F3" w14:textId="77777777" w:rsidR="00EB3667" w:rsidRPr="0043722B" w:rsidRDefault="00EB3667" w:rsidP="001D3ADC">
            <w:pPr>
              <w:spacing w:after="0"/>
              <w:jc w:val="right"/>
              <w:rPr>
                <w:iCs/>
              </w:rPr>
            </w:pPr>
            <w:r w:rsidRPr="0043722B">
              <w:rPr>
                <w:iCs/>
              </w:rPr>
              <w:t>m</w:t>
            </w:r>
            <w:r w:rsidRPr="00B607B5">
              <w:rPr>
                <w:iCs/>
                <w:vertAlign w:val="superscript"/>
              </w:rPr>
              <w:t>3</w:t>
            </w:r>
          </w:p>
        </w:tc>
        <w:tc>
          <w:tcPr>
            <w:tcW w:w="1401" w:type="dxa"/>
            <w:tcBorders>
              <w:bottom w:val="single" w:sz="4" w:space="0" w:color="D2232A" w:themeColor="accent1"/>
            </w:tcBorders>
            <w:noWrap/>
            <w:hideMark/>
          </w:tcPr>
          <w:p w14:paraId="3DF6F2BA" w14:textId="77777777" w:rsidR="00EB3667" w:rsidRPr="0043722B" w:rsidRDefault="00EB3667" w:rsidP="001D3ADC">
            <w:pPr>
              <w:spacing w:after="0"/>
              <w:jc w:val="right"/>
              <w:rPr>
                <w:iCs/>
              </w:rPr>
            </w:pPr>
            <w:r w:rsidRPr="0043722B">
              <w:rPr>
                <w:iCs/>
              </w:rPr>
              <w:t>34438</w:t>
            </w:r>
          </w:p>
        </w:tc>
      </w:tr>
    </w:tbl>
    <w:p w14:paraId="06E3A7BD" w14:textId="77777777" w:rsidR="00EB3667" w:rsidRPr="006D7B27" w:rsidRDefault="00EB3667" w:rsidP="003C2276">
      <w:pPr>
        <w:pStyle w:val="Izvor"/>
        <w:rPr>
          <w:i/>
          <w:color w:val="ABABAB" w:themeColor="text1" w:themeTint="A6"/>
          <w:sz w:val="16"/>
          <w:szCs w:val="16"/>
        </w:rPr>
      </w:pPr>
      <w:r w:rsidRPr="006D7B27">
        <w:rPr>
          <w:i/>
          <w:color w:val="ABABAB" w:themeColor="text1" w:themeTint="A6"/>
          <w:sz w:val="16"/>
          <w:szCs w:val="16"/>
        </w:rPr>
        <w:t>Izvor: Hrvatske šume, 2019. godina</w:t>
      </w:r>
    </w:p>
    <w:p w14:paraId="66A6B0D6" w14:textId="77777777" w:rsidR="00EB3667" w:rsidRDefault="00EB3667" w:rsidP="00EB3667"/>
    <w:p w14:paraId="23DADDE8" w14:textId="77777777" w:rsidR="00EB3667" w:rsidRDefault="00EB3667" w:rsidP="00EB3667">
      <w:r>
        <w:t>Planirana drvna zaliha za sječu, predviđena šumskogospodarskom osnovom područja, za sve drvne sortimente iznosi 34.438 m</w:t>
      </w:r>
      <w:r w:rsidRPr="00B607B5">
        <w:rPr>
          <w:vertAlign w:val="superscript"/>
        </w:rPr>
        <w:t>3</w:t>
      </w:r>
      <w:r>
        <w:t>. U prosjeku se od ukupne mase stabala dobiva oko 65% trupaca, 20% oblica i cjepanica te 15% otpada (sitna granjevina, lišće i dr.). Procijenjena godišnja potrošnja ogrjevnog drva iznosi oko 116.109 m</w:t>
      </w:r>
      <w:r w:rsidRPr="00B607B5">
        <w:rPr>
          <w:vertAlign w:val="superscript"/>
        </w:rPr>
        <w:t>3</w:t>
      </w:r>
      <w:r>
        <w:t xml:space="preserve"> (energetska vrijednost oko 0,76 PJ). Prosječna godišnja potrošnja ogrjevnog drva po stanovniku za Krapinsko-zagorsku županiju iznosi 0,87 m</w:t>
      </w:r>
      <w:r w:rsidRPr="00B607B5">
        <w:rPr>
          <w:vertAlign w:val="superscript"/>
        </w:rPr>
        <w:t>3</w:t>
      </w:r>
      <w:r>
        <w:t>, a za Republiku Hrvatsku iznosi 0,77 m</w:t>
      </w:r>
      <w:r w:rsidRPr="009A47CF">
        <w:rPr>
          <w:vertAlign w:val="superscript"/>
        </w:rPr>
        <w:t>3</w:t>
      </w:r>
      <w:r>
        <w:t>. Na osnovi potrošnje ogrjevnog drva izračunato je da se najviše (1,25 - 1,5 m</w:t>
      </w:r>
      <w:r w:rsidRPr="00B607B5">
        <w:rPr>
          <w:vertAlign w:val="superscript"/>
        </w:rPr>
        <w:t>3</w:t>
      </w:r>
      <w:r>
        <w:t>) ogrjevnog drva troši u općinama Budinščina, Hrašćina, Konjščina, Zagorska Sela, Kumrovec i Tuhelj, a najmanje (0 - 0,6 m</w:t>
      </w:r>
      <w:r w:rsidRPr="00B607B5">
        <w:rPr>
          <w:vertAlign w:val="superscript"/>
        </w:rPr>
        <w:t>3</w:t>
      </w:r>
      <w:r>
        <w:t>) u Svetom Križu Začretje i Kraljevcu na Sutli.</w:t>
      </w:r>
    </w:p>
    <w:p w14:paraId="1E7FD0CB" w14:textId="77777777" w:rsidR="00EB3667" w:rsidRDefault="00EB3667" w:rsidP="00EB3667">
      <w:r>
        <w:t>U današnje vrijeme rasta cijena prirodnog plina i nafte, drvo kao energent sve se više vraća u upotrebu posebice za dobivanje toplinske energije (peleti, sječka, briketi, ogrjevno drvo). Prema izračunu iz planiranih drvnih zaliha iz privatnih šuma Krapinsko-zagorska županija raspolaže s 25.888 m</w:t>
      </w:r>
      <w:r w:rsidRPr="00B607B5">
        <w:rPr>
          <w:vertAlign w:val="superscript"/>
        </w:rPr>
        <w:t>3</w:t>
      </w:r>
      <w:r>
        <w:t xml:space="preserve"> drva pogodnog za izradu sječke. </w:t>
      </w:r>
      <w:bookmarkStart w:id="242" w:name="_Hlk25677171"/>
      <w:r>
        <w:t xml:space="preserve">Proizvođača sječke s područja Krapinsko-zagorske županije za sad nema, ali prema podacima iz Kataloga proizvođača šumske biomase u Hrvatskoj postoje 4 ovlaštena izvođača radova u šumarstvu koji imaju licencu </w:t>
      </w:r>
      <w:bookmarkEnd w:id="242"/>
      <w:r>
        <w:t>od Hrvatske komore inženjera šumarstva i drvne tehnologije. Da bi se bavili proizvodnjom sječke, uz standardnu šumarsku mehanizaciju, potrebna je dodatna oprema kojom se iz drva proizvodi drvna sječka, tzv. iverači. Troškovi nabave ovih strojeva kreću se od 30.000 HRK pa naviše. Drugu skupinu mogućih opskrbljivača drvnom sječkom čine Hrvatske šume d.o.o. koje na području Krapinsko-zagorske županije raspolažu s površinom 18,1% udjela ukupne površine gospodarskih šuma. Planirana drvna zaliha za sječu za sve drvne sortimente iznosi 34.438 m</w:t>
      </w:r>
      <w:r w:rsidRPr="00B607B5">
        <w:rPr>
          <w:vertAlign w:val="superscript"/>
        </w:rPr>
        <w:t>3</w:t>
      </w:r>
      <w:r>
        <w:t>. Prema izračunu, iz gospodarskih šuma kojima raspolaže poduzeće Hrvatske šume d.o.o. raspolažemo s 18.451 m</w:t>
      </w:r>
      <w:r w:rsidRPr="00B607B5">
        <w:rPr>
          <w:vertAlign w:val="superscript"/>
        </w:rPr>
        <w:t>3</w:t>
      </w:r>
      <w:r>
        <w:t xml:space="preserve"> drva pogodnog za izradu sječke.</w:t>
      </w:r>
    </w:p>
    <w:p w14:paraId="2879C879" w14:textId="77777777" w:rsidR="00EB3667" w:rsidRDefault="00EB3667" w:rsidP="00EB3667">
      <w:r>
        <w:t>Osim cjepanica i sječke, povećava se i udio peleta i briketa. Na području Županje nalazi se manji broj drvoprerađivačkih tvrtki uz čiju primarnu proizvodnju nastaje i određena količina drvnog ostatka koji se može koristi za proizvodnju energije. Na području Krapinsko-zagorske županije postoji oko 20 pilana i drvo-prerađivačkih tvrtki, ali njihovi trenutni kapaciteti su zanemarivi, odnosno jedva pokrivaju svoje toplinske potrebe ili od otpada rade finalni proizvod u obliku peleta ili briketa koji prodaju na tržištu.</w:t>
      </w:r>
    </w:p>
    <w:p w14:paraId="630CA3CB" w14:textId="77777777" w:rsidR="00EB3667" w:rsidRDefault="00EB3667" w:rsidP="00EB3667"/>
    <w:p w14:paraId="76F49AC7" w14:textId="4269207D" w:rsidR="00EB3667" w:rsidRPr="00F1106E" w:rsidRDefault="00EB3667" w:rsidP="00F1106E">
      <w:pPr>
        <w:pStyle w:val="Naslov3"/>
        <w:rPr>
          <w:color w:val="9D1A1F" w:themeColor="accent4"/>
        </w:rPr>
      </w:pPr>
      <w:bookmarkStart w:id="243" w:name="_Toc85181376"/>
      <w:r w:rsidRPr="00F1106E">
        <w:rPr>
          <w:color w:val="9D1A1F" w:themeColor="accent4"/>
        </w:rPr>
        <w:t>1</w:t>
      </w:r>
      <w:r w:rsidR="004840B8">
        <w:rPr>
          <w:color w:val="9D1A1F" w:themeColor="accent4"/>
        </w:rPr>
        <w:t>3</w:t>
      </w:r>
      <w:r w:rsidRPr="00F1106E">
        <w:rPr>
          <w:color w:val="9D1A1F" w:themeColor="accent4"/>
        </w:rPr>
        <w:t>.</w:t>
      </w:r>
      <w:r w:rsidR="006D7B27">
        <w:rPr>
          <w:color w:val="9D1A1F" w:themeColor="accent4"/>
        </w:rPr>
        <w:t>6</w:t>
      </w:r>
      <w:r w:rsidRPr="00F1106E">
        <w:rPr>
          <w:color w:val="9D1A1F" w:themeColor="accent4"/>
        </w:rPr>
        <w:t xml:space="preserve">.2. </w:t>
      </w:r>
      <w:bookmarkStart w:id="244" w:name="_Hlk25677211"/>
      <w:r w:rsidRPr="00F1106E">
        <w:rPr>
          <w:color w:val="9D1A1F" w:themeColor="accent4"/>
        </w:rPr>
        <w:t>Geotermalna energija</w:t>
      </w:r>
      <w:bookmarkEnd w:id="243"/>
      <w:bookmarkEnd w:id="244"/>
    </w:p>
    <w:p w14:paraId="20E2C40C" w14:textId="77777777" w:rsidR="00EB3667" w:rsidRDefault="00EB3667" w:rsidP="00EB3667">
      <w:bookmarkStart w:id="245" w:name="_Hlk25677263"/>
      <w:r>
        <w:br/>
        <w:t xml:space="preserve">Geotermalna energija je prisutna, na višoj ili nižoj temperaturnoj razini, na gotovo cijelom području Krapinsko-zagorske županije. </w:t>
      </w:r>
      <w:bookmarkEnd w:id="245"/>
      <w:r>
        <w:t>Na području Županije provedena su istraživanja i postoji više bušotina i lokaliteta s različitim geotermalnim energetskim potencijalom. U sklopu istraživanja na području Krapinsko-zagorske županije 1988. godine Geološki zavod Zagreb izradio je Elaborat sa sljedećim nalazima:</w:t>
      </w:r>
    </w:p>
    <w:p w14:paraId="130FFC1E" w14:textId="56F57187" w:rsidR="00EB3667" w:rsidRDefault="00EB3667" w:rsidP="002F13CF">
      <w:pPr>
        <w:pStyle w:val="Odlomakpopisa"/>
        <w:numPr>
          <w:ilvl w:val="0"/>
          <w:numId w:val="12"/>
        </w:numPr>
      </w:pPr>
      <w:r>
        <w:t xml:space="preserve">Bušotina </w:t>
      </w:r>
      <w:bookmarkStart w:id="246" w:name="_Hlk25677309"/>
      <w:r>
        <w:t xml:space="preserve">Kumrovec-1 </w:t>
      </w:r>
      <w:bookmarkEnd w:id="246"/>
      <w:r>
        <w:t>(Kum-1), locirana je 1989. godine. Na bušotini je ustanovljena temperatura vode od 25˚C uz protok vode od 4000 m</w:t>
      </w:r>
      <w:r w:rsidRPr="00B607B5">
        <w:rPr>
          <w:vertAlign w:val="superscript"/>
        </w:rPr>
        <w:t>3</w:t>
      </w:r>
      <w:r>
        <w:t xml:space="preserve">/d. Prema kemijskoj analizi voda je kalcijsko-magnezijsko-hidrokarbonatna. Bušotina Kum-1 projektirana je i bušena pod nadzorom INA Projekta, a nakon njegova ukidanja ostaje vlasništvo INA-e. </w:t>
      </w:r>
    </w:p>
    <w:p w14:paraId="496D175F" w14:textId="56F62CAE" w:rsidR="00EB3667" w:rsidRDefault="00EB3667" w:rsidP="002F13CF">
      <w:pPr>
        <w:pStyle w:val="Odlomakpopisa"/>
        <w:numPr>
          <w:ilvl w:val="0"/>
          <w:numId w:val="12"/>
        </w:numPr>
      </w:pPr>
      <w:r>
        <w:t xml:space="preserve">Bušotina </w:t>
      </w:r>
      <w:bookmarkStart w:id="247" w:name="_Hlk25677316"/>
      <w:r>
        <w:t>Tuheljka-1</w:t>
      </w:r>
      <w:bookmarkEnd w:id="247"/>
      <w:r>
        <w:t xml:space="preserve"> (Tka-1) projektirana je kao istražna radi otkrivanja geotermalnih resursa</w:t>
      </w:r>
      <w:r w:rsidR="00B33570">
        <w:t xml:space="preserve">, </w:t>
      </w:r>
      <w:r>
        <w:t>ali kako prilikom ispitivanja slojeva zasićenih vodom nisu dobiveni zadovoljavajući rezultati, bušotina je likvidirana kao negativna.</w:t>
      </w:r>
    </w:p>
    <w:p w14:paraId="51842AA0" w14:textId="205D2A24" w:rsidR="00EB3667" w:rsidRDefault="00EB3667" w:rsidP="002F13CF">
      <w:pPr>
        <w:pStyle w:val="Odlomakpopisa"/>
        <w:numPr>
          <w:ilvl w:val="0"/>
          <w:numId w:val="12"/>
        </w:numPr>
      </w:pPr>
      <w:r>
        <w:t xml:space="preserve">Bušotina </w:t>
      </w:r>
      <w:bookmarkStart w:id="248" w:name="_Hlk25677322"/>
      <w:r>
        <w:t xml:space="preserve">Zabok-1 </w:t>
      </w:r>
      <w:bookmarkEnd w:id="248"/>
      <w:r>
        <w:t>(Za-1) izrađena je 1963. godine. Projektirana je kao istražna na ugljikovodike, ali zbog negativnih rezultata pri ispitivanju bušotina je likvidirana kao negativna. Isto je i s bušotinom Hrvatsko Zagorje-1 (HZ-1) koja je izrađena 1990. sa svrhom otkrivanja ugljikovodika, ali zbog negativnih rezultata pri ispitivanju bušotina je likvidirana kao negativna.</w:t>
      </w:r>
    </w:p>
    <w:p w14:paraId="5C7CCA6E" w14:textId="40BC2648" w:rsidR="00EB3667" w:rsidRDefault="00EB3667" w:rsidP="002F13CF">
      <w:pPr>
        <w:pStyle w:val="Odlomakpopisa"/>
        <w:numPr>
          <w:ilvl w:val="0"/>
          <w:numId w:val="12"/>
        </w:numPr>
      </w:pPr>
      <w:r>
        <w:t xml:space="preserve">Tijekom 1986. Geotehnika je, za tadašnjeg investitora INA-u, izradila bušotinu </w:t>
      </w:r>
      <w:bookmarkStart w:id="249" w:name="_Hlk25677333"/>
      <w:r>
        <w:t xml:space="preserve">Krapinske Toplice-1 </w:t>
      </w:r>
      <w:bookmarkEnd w:id="249"/>
      <w:r>
        <w:t>(KRT-1). Utvrđena je pojava geotermalne vode s temperaturom od 45 ˚C.</w:t>
      </w:r>
    </w:p>
    <w:p w14:paraId="3A6EC9A2" w14:textId="79B33058" w:rsidR="00EB3667" w:rsidRDefault="00EB3667" w:rsidP="002F13CF">
      <w:pPr>
        <w:pStyle w:val="Odlomakpopisa"/>
        <w:numPr>
          <w:ilvl w:val="0"/>
          <w:numId w:val="12"/>
        </w:numPr>
      </w:pPr>
      <w:bookmarkStart w:id="250" w:name="_Hlk25677340"/>
      <w:r>
        <w:t xml:space="preserve">Sutinske Toplice </w:t>
      </w:r>
      <w:bookmarkEnd w:id="250"/>
      <w:r>
        <w:t xml:space="preserve">na jugoistočnom dijelu Krapinsko-zagorske županije obuhvaćaju  rubne dijelove općina Mihovljan i Mače. </w:t>
      </w:r>
      <w:bookmarkStart w:id="251" w:name="_Hlk25677363"/>
      <w:r>
        <w:t xml:space="preserve">Na tom prostoru, uz postojeće povijesne objekte rimskih toplica, postoje otvoreni bazeni. Danas su rimske terme </w:t>
      </w:r>
      <w:r>
        <w:lastRenderedPageBreak/>
        <w:t xml:space="preserve">zapuštene i devastirane. </w:t>
      </w:r>
      <w:bookmarkEnd w:id="251"/>
      <w:r>
        <w:t>Novi objekt koji koristi prirodni geotermalni izvor poznat je pod nazivom Sutinske Toplice. Istraživački radovi na području Sutinskih Toplica započeli su 1960. godine kada je izvedeno pregledno geološko kartiranje zapadnog dijela Krapinsko-zagorske županije, koje je nastavljeno 1981. detaljnim geološkim kartiranjem. Prva geotermalna bušotina Sutinka Termalna-1 (SuT-1) izrađena je 1983. godine. Budući da njeni rezultati nisu bili zadovoljavajući, tijekom studenog iste godine obavljena su geoelektrična mjerenja koja su korištena za lociranje bušotine Sutinka Termalna-2 (SuT-2) izrađene 1984. godine. Treća bušotina Sutinka Termalna-3 (SuT-3) izrađena je 1988. godine, koja je nabušila znatno povećanu debljinu ovog prvorazrednog vodonosnika. Izmjerena temperatura na dubini ležišta bila je 38 ˚C. Sve bušotine u vlasništvu su tvrtke INA d.d.</w:t>
      </w:r>
    </w:p>
    <w:p w14:paraId="473A265D" w14:textId="77777777" w:rsidR="00EB3667" w:rsidRDefault="00EB3667" w:rsidP="00EB3667">
      <w:bookmarkStart w:id="252" w:name="_Hlk25677879"/>
      <w:r>
        <w:t xml:space="preserve">Najčešća primjena termalnih voda je za toplice, kao bazenska voda te za grijanje. Ovisno o temperaturnoj razini, grijanje je moguće izravno preko izmjenjivača (Specijalna bolnica Stubičke Toplice) ili preko geotermalnih dizalica topline (Specijalna bolnica Krapinske Toplice). </w:t>
      </w:r>
      <w:bookmarkEnd w:id="252"/>
      <w:r>
        <w:t>Nakon oduzimanja toplinske energije, nužno je geotermalnu vodu vratiti natrag upojnim bunarom te pri tome paziti da ne dođe do kontaminacije vode.</w:t>
      </w:r>
    </w:p>
    <w:p w14:paraId="1CDEA7D0" w14:textId="753B3D6F" w:rsidR="00EB3667" w:rsidRDefault="00EB3667" w:rsidP="00EB3667">
      <w:r>
        <w:t xml:space="preserve">U rujnu 2019. godine završen je projekt DARLINGe </w:t>
      </w:r>
      <w:r w:rsidRPr="002A2E1E">
        <w:t>– Danube Region Leading Geothermal Energy</w:t>
      </w:r>
      <w:r>
        <w:t xml:space="preserve">, u kojem je Zagorska razvojna agencija sudjelovala kao partner Geološkom i geofizičkom institutu Mađarske. Cilj projekta bio je doprinijeti </w:t>
      </w:r>
      <w:r w:rsidRPr="00EE79DD">
        <w:t>energetskoj sigurnosti i učinkovitosti dunavske regije podizanjem svijesti o dubokim geotermalnim izvorima energije i poboljšanjem učinkovitog korištenja čitavog raspona temperatura eksploatiranih geotermalnih vodonosnika.</w:t>
      </w:r>
      <w:r w:rsidR="00CE6367" w:rsidRPr="00CE6367">
        <w:rPr>
          <w:rFonts w:ascii="Arial" w:hAnsi="Arial" w:cs="Arial"/>
          <w:color w:val="343434"/>
          <w:shd w:val="clear" w:color="auto" w:fill="FFFFFF"/>
        </w:rPr>
        <w:t xml:space="preserve"> </w:t>
      </w:r>
      <w:r w:rsidR="00CE6367" w:rsidRPr="00CE6367">
        <w:t>Projektom se želi intenzivirati suradnja u području energetske zaštite i učinkovitosti te povećati iskoristivost geotermalnih izvora u sektoru grijanja s ciljem smanjenja ovisnosti o fosilnim gorivima u Dunavskoj regiji.</w:t>
      </w:r>
      <w:r w:rsidR="00CE6367" w:rsidRPr="00CE6367">
        <w:rPr>
          <w:rFonts w:ascii="Calibri" w:hAnsi="Calibri" w:cs="Calibri"/>
        </w:rPr>
        <w:t> </w:t>
      </w:r>
    </w:p>
    <w:p w14:paraId="24D88ADD" w14:textId="77777777" w:rsidR="00EB3667" w:rsidRDefault="00EB3667" w:rsidP="00EB3667"/>
    <w:p w14:paraId="225411E2" w14:textId="46D7A9EC" w:rsidR="00EB3667" w:rsidRDefault="00EB3667" w:rsidP="00F1106E">
      <w:pPr>
        <w:pStyle w:val="Naslov3"/>
        <w:rPr>
          <w:color w:val="9D1A1F" w:themeColor="accent4"/>
        </w:rPr>
      </w:pPr>
      <w:bookmarkStart w:id="253" w:name="_Toc85181377"/>
      <w:r w:rsidRPr="00F1106E">
        <w:rPr>
          <w:color w:val="9D1A1F" w:themeColor="accent4"/>
        </w:rPr>
        <w:t>1</w:t>
      </w:r>
      <w:r w:rsidR="004840B8">
        <w:rPr>
          <w:color w:val="9D1A1F" w:themeColor="accent4"/>
        </w:rPr>
        <w:t>3</w:t>
      </w:r>
      <w:r w:rsidRPr="00F1106E">
        <w:rPr>
          <w:color w:val="9D1A1F" w:themeColor="accent4"/>
        </w:rPr>
        <w:t>.</w:t>
      </w:r>
      <w:r w:rsidR="006D7B27">
        <w:rPr>
          <w:color w:val="9D1A1F" w:themeColor="accent4"/>
        </w:rPr>
        <w:t>6</w:t>
      </w:r>
      <w:r w:rsidRPr="00F1106E">
        <w:rPr>
          <w:color w:val="9D1A1F" w:themeColor="accent4"/>
        </w:rPr>
        <w:t xml:space="preserve">.3. </w:t>
      </w:r>
      <w:bookmarkStart w:id="254" w:name="_Hlk25677922"/>
      <w:r w:rsidRPr="00F1106E">
        <w:rPr>
          <w:color w:val="9D1A1F" w:themeColor="accent4"/>
        </w:rPr>
        <w:t>Sunčeva energija</w:t>
      </w:r>
      <w:bookmarkEnd w:id="253"/>
      <w:bookmarkEnd w:id="254"/>
    </w:p>
    <w:p w14:paraId="0427EC54" w14:textId="77777777" w:rsidR="00A245E4" w:rsidRPr="00A245E4" w:rsidRDefault="00A245E4" w:rsidP="00A245E4"/>
    <w:p w14:paraId="0E3EDD87" w14:textId="77777777" w:rsidR="00EB3667" w:rsidRDefault="00EB3667" w:rsidP="00EB3667">
      <w:r>
        <w:t>U privatnim kućanstvima Krapinsko-zagorske županije solarna se energija za sada koristi na dva načina:</w:t>
      </w:r>
    </w:p>
    <w:p w14:paraId="1CC53007" w14:textId="77777777" w:rsidR="00EB3667" w:rsidRDefault="00EB3667" w:rsidP="002F13CF">
      <w:pPr>
        <w:pStyle w:val="Odlomakpopisa"/>
        <w:numPr>
          <w:ilvl w:val="0"/>
          <w:numId w:val="13"/>
        </w:numPr>
      </w:pPr>
      <w:r>
        <w:t>Solarna toplinska energija se koristi za pripremu potrošne tople vode</w:t>
      </w:r>
    </w:p>
    <w:p w14:paraId="53D047EC" w14:textId="77777777" w:rsidR="00EB3667" w:rsidRDefault="00EB3667" w:rsidP="002F13CF">
      <w:pPr>
        <w:pStyle w:val="Odlomakpopisa"/>
        <w:numPr>
          <w:ilvl w:val="0"/>
          <w:numId w:val="13"/>
        </w:numPr>
      </w:pPr>
      <w:r>
        <w:t>U solarnim ćelijama fotonaponski se efekt koristi za generiranje struje iz sunčevih zraka.</w:t>
      </w:r>
    </w:p>
    <w:p w14:paraId="7863F83B" w14:textId="09DD208D" w:rsidR="00EB3667" w:rsidRDefault="00EB3667" w:rsidP="00EB3667">
      <w:r>
        <w:t>K</w:t>
      </w:r>
      <w:r w:rsidRPr="00A26C76">
        <w:t>orištenjem Sunčeve energije smanjuje se potreba za fosilnim gorivima, kao i onečišćenje okoliša prouzročeno njihovim izgaranjem. Tehnologija korištenja Sunčeve energije ne proizvodi stakleničke plinove koji uzrokuju globalno zatopljenje i ne proizvodi radioaktivni otpad kao naslijeđe našim potomcima. U doba sve veće uporabe energije i trošenja zaliha fosilnih goriva preporučljivo je povećanje primjene obnovljivih izvora energije, a jedan od njih je solarna energija.</w:t>
      </w:r>
    </w:p>
    <w:p w14:paraId="03366B69" w14:textId="77777777" w:rsidR="00A01BFA" w:rsidRDefault="00A01BFA" w:rsidP="00EB3667"/>
    <w:p w14:paraId="27AA02CC" w14:textId="7EAD559B" w:rsidR="00A01BFA" w:rsidRPr="00A01BFA" w:rsidRDefault="00A01BFA" w:rsidP="003E3F3C">
      <w:pPr>
        <w:pStyle w:val="Opisslike"/>
      </w:pPr>
      <w:r>
        <w:t xml:space="preserve">Prikaz </w:t>
      </w:r>
      <w:r w:rsidR="006D7B27">
        <w:t>1</w:t>
      </w:r>
      <w:r w:rsidR="00A96020">
        <w:t>6</w:t>
      </w:r>
      <w:r>
        <w:t xml:space="preserve">. </w:t>
      </w:r>
      <w:r w:rsidRPr="00602913">
        <w:t>Insolacijska karta Hrvatske</w:t>
      </w:r>
      <w:r>
        <w:t xml:space="preserve"> </w:t>
      </w:r>
    </w:p>
    <w:p w14:paraId="0DF7992F" w14:textId="7370AEF8" w:rsidR="00A01BFA" w:rsidRDefault="00A01BFA" w:rsidP="00A01BFA">
      <w:pPr>
        <w:jc w:val="center"/>
        <w:rPr>
          <w:i/>
          <w:iCs/>
        </w:rPr>
      </w:pPr>
      <w:r>
        <w:rPr>
          <w:noProof/>
        </w:rPr>
        <w:drawing>
          <wp:inline distT="0" distB="0" distL="0" distR="0" wp14:anchorId="671FE0D6" wp14:editId="5958F089">
            <wp:extent cx="3043321" cy="3235036"/>
            <wp:effectExtent l="0" t="0" r="5080" b="3810"/>
            <wp:docPr id="250" name="Slika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50"/>
                    <pic:cNvPicPr/>
                  </pic:nvPicPr>
                  <pic:blipFill>
                    <a:blip r:embed="rId119">
                      <a:extLst>
                        <a:ext uri="{28A0092B-C50C-407E-A947-70E740481C1C}">
                          <a14:useLocalDpi xmlns:a14="http://schemas.microsoft.com/office/drawing/2010/main" val="0"/>
                        </a:ext>
                      </a:extLst>
                    </a:blip>
                    <a:stretch>
                      <a:fillRect/>
                    </a:stretch>
                  </pic:blipFill>
                  <pic:spPr>
                    <a:xfrm>
                      <a:off x="0" y="0"/>
                      <a:ext cx="3043321" cy="3235036"/>
                    </a:xfrm>
                    <a:prstGeom prst="rect">
                      <a:avLst/>
                    </a:prstGeom>
                  </pic:spPr>
                </pic:pic>
              </a:graphicData>
            </a:graphic>
          </wp:inline>
        </w:drawing>
      </w:r>
    </w:p>
    <w:p w14:paraId="5569DE17" w14:textId="072E03F9" w:rsidR="00A01BFA" w:rsidRDefault="00A01BFA" w:rsidP="00A01BFA">
      <w:pPr>
        <w:rPr>
          <w:rFonts w:eastAsia="ArialNarrow" w:cstheme="minorHAnsi"/>
          <w:i/>
          <w:color w:val="ABABAB" w:themeColor="text1" w:themeTint="A6"/>
          <w:sz w:val="16"/>
          <w:szCs w:val="16"/>
        </w:rPr>
      </w:pPr>
      <w:r>
        <w:rPr>
          <w:rFonts w:eastAsia="ArialNarrow" w:cstheme="minorHAnsi"/>
          <w:i/>
          <w:color w:val="ABABAB" w:themeColor="text1" w:themeTint="A6"/>
          <w:sz w:val="16"/>
          <w:szCs w:val="16"/>
        </w:rPr>
        <w:t xml:space="preserve">                                                             </w:t>
      </w:r>
      <w:r w:rsidRPr="00A01BFA">
        <w:rPr>
          <w:rFonts w:eastAsia="ArialNarrow" w:cstheme="minorHAnsi"/>
          <w:i/>
          <w:color w:val="ABABAB" w:themeColor="text1" w:themeTint="A6"/>
          <w:sz w:val="16"/>
          <w:szCs w:val="16"/>
        </w:rPr>
        <w:t>Izvor: SolarGIS 2011</w:t>
      </w:r>
      <w:r w:rsidR="006D7B27">
        <w:rPr>
          <w:rFonts w:eastAsia="ArialNarrow" w:cstheme="minorHAnsi"/>
          <w:i/>
          <w:color w:val="ABABAB" w:themeColor="text1" w:themeTint="A6"/>
          <w:sz w:val="16"/>
          <w:szCs w:val="16"/>
        </w:rPr>
        <w:t>.</w:t>
      </w:r>
    </w:p>
    <w:p w14:paraId="0B5B0E6C" w14:textId="77777777" w:rsidR="00D75F9B" w:rsidRPr="00A01BFA" w:rsidRDefault="00D75F9B" w:rsidP="00A01BFA">
      <w:pPr>
        <w:rPr>
          <w:rFonts w:eastAsia="ArialNarrow" w:cstheme="minorHAnsi"/>
          <w:i/>
          <w:color w:val="ABABAB" w:themeColor="text1" w:themeTint="A6"/>
          <w:sz w:val="16"/>
          <w:szCs w:val="16"/>
        </w:rPr>
      </w:pPr>
    </w:p>
    <w:p w14:paraId="0E29E47E" w14:textId="77777777" w:rsidR="00EB3667" w:rsidRDefault="00EB3667" w:rsidP="00EB3667">
      <w:r>
        <w:lastRenderedPageBreak/>
        <w:t>Mane su neravnomjerna raspoređenost, promjenljivost intenziteta, nepouzdanost (ovisnost o vremenskim prilikama) i visoka cijena sustava za korištenje u odnosu na klasične energetske sustave. Sunčeva energija u Hrvatskoj se najvećim djelom iskorištava putem fotonaponskih elektrana, dok su toplinske sunčane elektrane vrlo slabo zastupljene. Trenutno ukupna snaga fotonaponskih elektrana iznosi 24 MWp, odnosno 5,1 W/stan. Time je Hrvatska pri dnu ljestvice članica Europske Unije po proizvedenoj energiji iz fotonaponskih ćelija, no istovremeno dolazi do velike ekspanzije zadnjih godina radi velikog pada cijene tehnologije. Hrvatska ima veliki potencijal u iskorištavanju sunčeve energije. Naime, procijenjeni tehnički potencijal sunčeve energije 1% površine kontinentalne Hrvatske iznosi 830 TWh/god, što je desetorostruka vrijednost dnevne potrošnje primarne energije u Hrvatskoj. Najviše fotonaponskih sustava se nalazi na sjeverozapadu Hrvatske, a Dalmacija je trenutno najslabije razvijena iako ima najveći potencijal. Za razumijevanje značenja pojedinih vrijednosti parametara Sunčevog zračenja potrebno je objasniti pojam ozračenosti koji predstavlja količinu energije Sunčeva zračenja dozračenu na jediničnu površinu plohe u određenom vremenskom razdoblju. Dobiva se integriranjem ozračenja po vremenu, a jedinica za ozračenost je vat sat po kvadratnom metru (Wh/m2).</w:t>
      </w:r>
    </w:p>
    <w:p w14:paraId="782F74C9" w14:textId="77777777" w:rsidR="00EB3667" w:rsidRDefault="00EB3667" w:rsidP="00EB3667">
      <w:r>
        <w:t>S obzirom da ne postoje procjene Sunčevog zračenja u Krapinsko-zagorskoj županiji zbog relativno rijetke mreže meteoroloških postaja, može se primijeniti interpolacija meteoroloških veličina uz poštivanje pravila o primjenjivosti meteoroloških podataka za mjesta udaljena do 50 km od mjerne postoje. U slučaju Krapinsko-zagorske županije uzeti su obzir podaci s najbliže meteorološke postoje Zagreb-Grič. Svjetska meteorološka organizacija za prikaz prosječnih podatka o Sunčevom zračenju, preporučuje korištenje niza podataka iz tridesetogodišnjeg razdoblja od 1961. do 1990. godine. Na ovaj način dozračena sunčeva energija na području Krapinsko-zagorske županije, na optimalno nagnutu plohu u godišnjem prosjeku, iznosi 3,5 - 3,7 kWh/m² dnevno. Iznos srednje godišnje ozračenosti dokaz je značajnog potencijala koji je moguće iskoristiti primjenom aktivnih i pasivnih solarnih rješenja.</w:t>
      </w:r>
    </w:p>
    <w:p w14:paraId="4FA03A01" w14:textId="77777777" w:rsidR="00EB3667" w:rsidRPr="00265CA2" w:rsidRDefault="00EB3667" w:rsidP="00EB3667"/>
    <w:p w14:paraId="50DE2349" w14:textId="3DE3EF49" w:rsidR="00EB3667" w:rsidRDefault="00EB3667" w:rsidP="003E3F3C">
      <w:pPr>
        <w:pStyle w:val="Opisslike"/>
      </w:pPr>
      <w:r>
        <w:t>Tablica</w:t>
      </w:r>
      <w:r w:rsidR="006D7B27">
        <w:t xml:space="preserve"> 1</w:t>
      </w:r>
      <w:r w:rsidR="00741E4F">
        <w:t>90</w:t>
      </w:r>
      <w:r>
        <w:t xml:space="preserve">. </w:t>
      </w:r>
      <w:r w:rsidRPr="00B93B14">
        <w:t>Srednja dnevna ozračenost nagnute plohe (kWh/m²) uz godišnji optimalni kut 24,16° za razdoblje 1961.-1990.</w:t>
      </w:r>
    </w:p>
    <w:tbl>
      <w:tblPr>
        <w:tblW w:w="0" w:type="auto"/>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2380"/>
        <w:gridCol w:w="1640"/>
        <w:gridCol w:w="1460"/>
        <w:gridCol w:w="1520"/>
        <w:gridCol w:w="1380"/>
      </w:tblGrid>
      <w:tr w:rsidR="00EB3667" w:rsidRPr="00265CA2" w14:paraId="071882BF" w14:textId="77777777" w:rsidTr="001D3ADC">
        <w:trPr>
          <w:trHeight w:val="300"/>
        </w:trPr>
        <w:tc>
          <w:tcPr>
            <w:tcW w:w="2380" w:type="dxa"/>
            <w:shd w:val="clear" w:color="auto" w:fill="D2232A" w:themeFill="accent1"/>
            <w:noWrap/>
            <w:hideMark/>
          </w:tcPr>
          <w:p w14:paraId="74FC8913" w14:textId="77777777" w:rsidR="00EB3667" w:rsidRPr="00265CA2" w:rsidRDefault="00EB3667" w:rsidP="001D3ADC">
            <w:pPr>
              <w:spacing w:after="0"/>
              <w:rPr>
                <w:b/>
                <w:bCs/>
                <w:color w:val="FFFFFF" w:themeColor="background1"/>
                <w:szCs w:val="18"/>
                <w:lang w:val="en-GB"/>
              </w:rPr>
            </w:pPr>
            <w:r w:rsidRPr="00265CA2">
              <w:rPr>
                <w:b/>
                <w:bCs/>
                <w:color w:val="FFFFFF" w:themeColor="background1"/>
                <w:szCs w:val="18"/>
              </w:rPr>
              <w:t>Mjesec</w:t>
            </w:r>
          </w:p>
        </w:tc>
        <w:tc>
          <w:tcPr>
            <w:tcW w:w="1640" w:type="dxa"/>
            <w:shd w:val="clear" w:color="auto" w:fill="D2232A" w:themeFill="accent1"/>
            <w:noWrap/>
            <w:hideMark/>
          </w:tcPr>
          <w:p w14:paraId="17238AC7" w14:textId="77777777" w:rsidR="00EB3667" w:rsidRPr="00265CA2" w:rsidRDefault="00EB3667" w:rsidP="001D3ADC">
            <w:pPr>
              <w:spacing w:after="0"/>
              <w:jc w:val="right"/>
              <w:rPr>
                <w:b/>
                <w:bCs/>
                <w:color w:val="FFFFFF" w:themeColor="background1"/>
                <w:szCs w:val="18"/>
              </w:rPr>
            </w:pPr>
            <w:r w:rsidRPr="00265CA2">
              <w:rPr>
                <w:b/>
                <w:bCs/>
                <w:color w:val="FFFFFF" w:themeColor="background1"/>
                <w:szCs w:val="18"/>
              </w:rPr>
              <w:t>Ukupno</w:t>
            </w:r>
          </w:p>
        </w:tc>
        <w:tc>
          <w:tcPr>
            <w:tcW w:w="1460" w:type="dxa"/>
            <w:shd w:val="clear" w:color="auto" w:fill="D2232A" w:themeFill="accent1"/>
            <w:noWrap/>
            <w:hideMark/>
          </w:tcPr>
          <w:p w14:paraId="498FA4EC" w14:textId="77777777" w:rsidR="00EB3667" w:rsidRPr="00265CA2" w:rsidRDefault="00EB3667" w:rsidP="001D3ADC">
            <w:pPr>
              <w:spacing w:after="0"/>
              <w:jc w:val="right"/>
              <w:rPr>
                <w:b/>
                <w:bCs/>
                <w:color w:val="FFFFFF" w:themeColor="background1"/>
                <w:szCs w:val="18"/>
              </w:rPr>
            </w:pPr>
            <w:r w:rsidRPr="00265CA2">
              <w:rPr>
                <w:b/>
                <w:bCs/>
                <w:color w:val="FFFFFF" w:themeColor="background1"/>
                <w:szCs w:val="18"/>
              </w:rPr>
              <w:t>Raspršenost</w:t>
            </w:r>
          </w:p>
        </w:tc>
        <w:tc>
          <w:tcPr>
            <w:tcW w:w="1520" w:type="dxa"/>
            <w:shd w:val="clear" w:color="auto" w:fill="D2232A" w:themeFill="accent1"/>
            <w:noWrap/>
            <w:hideMark/>
          </w:tcPr>
          <w:p w14:paraId="26B6C728" w14:textId="77777777" w:rsidR="00EB3667" w:rsidRPr="00265CA2" w:rsidRDefault="00EB3667" w:rsidP="001D3ADC">
            <w:pPr>
              <w:spacing w:after="0"/>
              <w:jc w:val="right"/>
              <w:rPr>
                <w:b/>
                <w:bCs/>
                <w:color w:val="FFFFFF" w:themeColor="background1"/>
                <w:szCs w:val="18"/>
              </w:rPr>
            </w:pPr>
            <w:r w:rsidRPr="00265CA2">
              <w:rPr>
                <w:b/>
                <w:bCs/>
                <w:color w:val="FFFFFF" w:themeColor="background1"/>
                <w:szCs w:val="18"/>
              </w:rPr>
              <w:t>Izravno</w:t>
            </w:r>
          </w:p>
        </w:tc>
        <w:tc>
          <w:tcPr>
            <w:tcW w:w="1380" w:type="dxa"/>
            <w:shd w:val="clear" w:color="auto" w:fill="D2232A" w:themeFill="accent1"/>
            <w:noWrap/>
            <w:hideMark/>
          </w:tcPr>
          <w:p w14:paraId="4D02FFB4" w14:textId="77777777" w:rsidR="00EB3667" w:rsidRPr="00265CA2" w:rsidRDefault="00EB3667" w:rsidP="001D3ADC">
            <w:pPr>
              <w:spacing w:after="0"/>
              <w:jc w:val="right"/>
              <w:rPr>
                <w:b/>
                <w:bCs/>
                <w:color w:val="FFFFFF" w:themeColor="background1"/>
                <w:szCs w:val="18"/>
              </w:rPr>
            </w:pPr>
            <w:r w:rsidRPr="00265CA2">
              <w:rPr>
                <w:b/>
                <w:bCs/>
                <w:color w:val="FFFFFF" w:themeColor="background1"/>
                <w:szCs w:val="18"/>
              </w:rPr>
              <w:t>Odbijeno</w:t>
            </w:r>
          </w:p>
        </w:tc>
      </w:tr>
      <w:tr w:rsidR="00EB3667" w:rsidRPr="00265CA2" w14:paraId="787C9D8B" w14:textId="77777777" w:rsidTr="001D3ADC">
        <w:trPr>
          <w:trHeight w:val="300"/>
        </w:trPr>
        <w:tc>
          <w:tcPr>
            <w:tcW w:w="2380" w:type="dxa"/>
            <w:noWrap/>
            <w:hideMark/>
          </w:tcPr>
          <w:p w14:paraId="525C9182" w14:textId="77777777" w:rsidR="00EB3667" w:rsidRPr="00265CA2" w:rsidRDefault="00EB3667" w:rsidP="001D3ADC">
            <w:pPr>
              <w:spacing w:after="0"/>
              <w:rPr>
                <w:szCs w:val="18"/>
              </w:rPr>
            </w:pPr>
            <w:r w:rsidRPr="00265CA2">
              <w:rPr>
                <w:szCs w:val="18"/>
              </w:rPr>
              <w:t>Siječanj</w:t>
            </w:r>
          </w:p>
        </w:tc>
        <w:tc>
          <w:tcPr>
            <w:tcW w:w="1640" w:type="dxa"/>
            <w:noWrap/>
            <w:hideMark/>
          </w:tcPr>
          <w:p w14:paraId="444703F0" w14:textId="77777777" w:rsidR="00EB3667" w:rsidRPr="00265CA2" w:rsidRDefault="00EB3667" w:rsidP="001D3ADC">
            <w:pPr>
              <w:spacing w:after="0"/>
              <w:jc w:val="right"/>
              <w:rPr>
                <w:szCs w:val="18"/>
              </w:rPr>
            </w:pPr>
            <w:r w:rsidRPr="00265CA2">
              <w:rPr>
                <w:szCs w:val="18"/>
              </w:rPr>
              <w:t>1,27</w:t>
            </w:r>
          </w:p>
        </w:tc>
        <w:tc>
          <w:tcPr>
            <w:tcW w:w="1460" w:type="dxa"/>
            <w:noWrap/>
            <w:hideMark/>
          </w:tcPr>
          <w:p w14:paraId="736EF49D" w14:textId="77777777" w:rsidR="00EB3667" w:rsidRPr="00265CA2" w:rsidRDefault="00EB3667" w:rsidP="001D3ADC">
            <w:pPr>
              <w:spacing w:after="0"/>
              <w:jc w:val="right"/>
              <w:rPr>
                <w:szCs w:val="18"/>
              </w:rPr>
            </w:pPr>
            <w:r w:rsidRPr="00265CA2">
              <w:rPr>
                <w:szCs w:val="18"/>
              </w:rPr>
              <w:t>0,66</w:t>
            </w:r>
          </w:p>
        </w:tc>
        <w:tc>
          <w:tcPr>
            <w:tcW w:w="1520" w:type="dxa"/>
            <w:noWrap/>
            <w:hideMark/>
          </w:tcPr>
          <w:p w14:paraId="02AB107E" w14:textId="77777777" w:rsidR="00EB3667" w:rsidRPr="00265CA2" w:rsidRDefault="00EB3667" w:rsidP="001D3ADC">
            <w:pPr>
              <w:spacing w:after="0"/>
              <w:jc w:val="right"/>
              <w:rPr>
                <w:szCs w:val="18"/>
              </w:rPr>
            </w:pPr>
            <w:r w:rsidRPr="00265CA2">
              <w:rPr>
                <w:szCs w:val="18"/>
              </w:rPr>
              <w:t>0,6</w:t>
            </w:r>
          </w:p>
        </w:tc>
        <w:tc>
          <w:tcPr>
            <w:tcW w:w="1380" w:type="dxa"/>
            <w:noWrap/>
            <w:hideMark/>
          </w:tcPr>
          <w:p w14:paraId="77A46326" w14:textId="77777777" w:rsidR="00EB3667" w:rsidRPr="00265CA2" w:rsidRDefault="00EB3667" w:rsidP="001D3ADC">
            <w:pPr>
              <w:spacing w:after="0"/>
              <w:jc w:val="right"/>
              <w:rPr>
                <w:szCs w:val="18"/>
              </w:rPr>
            </w:pPr>
            <w:r w:rsidRPr="00265CA2">
              <w:rPr>
                <w:szCs w:val="18"/>
              </w:rPr>
              <w:t>0,01</w:t>
            </w:r>
          </w:p>
        </w:tc>
      </w:tr>
      <w:tr w:rsidR="00EB3667" w:rsidRPr="00265CA2" w14:paraId="319DA85D" w14:textId="77777777" w:rsidTr="001D3ADC">
        <w:trPr>
          <w:trHeight w:val="300"/>
        </w:trPr>
        <w:tc>
          <w:tcPr>
            <w:tcW w:w="2380" w:type="dxa"/>
            <w:noWrap/>
            <w:hideMark/>
          </w:tcPr>
          <w:p w14:paraId="5FB4CE43" w14:textId="77777777" w:rsidR="00EB3667" w:rsidRPr="00265CA2" w:rsidRDefault="00EB3667" w:rsidP="001D3ADC">
            <w:pPr>
              <w:spacing w:after="0"/>
              <w:rPr>
                <w:szCs w:val="18"/>
              </w:rPr>
            </w:pPr>
            <w:r w:rsidRPr="00265CA2">
              <w:rPr>
                <w:szCs w:val="18"/>
              </w:rPr>
              <w:t>Veljača</w:t>
            </w:r>
          </w:p>
        </w:tc>
        <w:tc>
          <w:tcPr>
            <w:tcW w:w="1640" w:type="dxa"/>
            <w:noWrap/>
            <w:hideMark/>
          </w:tcPr>
          <w:p w14:paraId="3659C86B" w14:textId="77777777" w:rsidR="00EB3667" w:rsidRPr="00265CA2" w:rsidRDefault="00EB3667" w:rsidP="001D3ADC">
            <w:pPr>
              <w:spacing w:after="0"/>
              <w:jc w:val="right"/>
              <w:rPr>
                <w:szCs w:val="18"/>
              </w:rPr>
            </w:pPr>
            <w:r w:rsidRPr="00265CA2">
              <w:rPr>
                <w:szCs w:val="18"/>
              </w:rPr>
              <w:t>2,01</w:t>
            </w:r>
          </w:p>
        </w:tc>
        <w:tc>
          <w:tcPr>
            <w:tcW w:w="1460" w:type="dxa"/>
            <w:noWrap/>
            <w:hideMark/>
          </w:tcPr>
          <w:p w14:paraId="2D6A6FD0" w14:textId="77777777" w:rsidR="00EB3667" w:rsidRPr="00265CA2" w:rsidRDefault="00EB3667" w:rsidP="001D3ADC">
            <w:pPr>
              <w:spacing w:after="0"/>
              <w:jc w:val="right"/>
              <w:rPr>
                <w:szCs w:val="18"/>
              </w:rPr>
            </w:pPr>
            <w:r w:rsidRPr="00265CA2">
              <w:rPr>
                <w:szCs w:val="18"/>
              </w:rPr>
              <w:t>1,02</w:t>
            </w:r>
          </w:p>
        </w:tc>
        <w:tc>
          <w:tcPr>
            <w:tcW w:w="1520" w:type="dxa"/>
            <w:noWrap/>
            <w:hideMark/>
          </w:tcPr>
          <w:p w14:paraId="67504837" w14:textId="77777777" w:rsidR="00EB3667" w:rsidRPr="00265CA2" w:rsidRDefault="00EB3667" w:rsidP="001D3ADC">
            <w:pPr>
              <w:spacing w:after="0"/>
              <w:jc w:val="right"/>
              <w:rPr>
                <w:szCs w:val="18"/>
              </w:rPr>
            </w:pPr>
            <w:r w:rsidRPr="00265CA2">
              <w:rPr>
                <w:szCs w:val="18"/>
              </w:rPr>
              <w:t>0,97</w:t>
            </w:r>
          </w:p>
        </w:tc>
        <w:tc>
          <w:tcPr>
            <w:tcW w:w="1380" w:type="dxa"/>
            <w:noWrap/>
            <w:hideMark/>
          </w:tcPr>
          <w:p w14:paraId="0DEF5507" w14:textId="77777777" w:rsidR="00EB3667" w:rsidRPr="00265CA2" w:rsidRDefault="00EB3667" w:rsidP="001D3ADC">
            <w:pPr>
              <w:spacing w:after="0"/>
              <w:jc w:val="right"/>
              <w:rPr>
                <w:szCs w:val="18"/>
              </w:rPr>
            </w:pPr>
            <w:r w:rsidRPr="00265CA2">
              <w:rPr>
                <w:szCs w:val="18"/>
              </w:rPr>
              <w:t>0,01</w:t>
            </w:r>
          </w:p>
        </w:tc>
      </w:tr>
      <w:tr w:rsidR="00EB3667" w:rsidRPr="00265CA2" w14:paraId="589660DF" w14:textId="77777777" w:rsidTr="001D3ADC">
        <w:trPr>
          <w:trHeight w:val="300"/>
        </w:trPr>
        <w:tc>
          <w:tcPr>
            <w:tcW w:w="2380" w:type="dxa"/>
            <w:noWrap/>
            <w:hideMark/>
          </w:tcPr>
          <w:p w14:paraId="0850C1D1" w14:textId="77777777" w:rsidR="00EB3667" w:rsidRPr="00265CA2" w:rsidRDefault="00EB3667" w:rsidP="001D3ADC">
            <w:pPr>
              <w:spacing w:after="0"/>
              <w:rPr>
                <w:szCs w:val="18"/>
              </w:rPr>
            </w:pPr>
            <w:r w:rsidRPr="00265CA2">
              <w:rPr>
                <w:szCs w:val="18"/>
              </w:rPr>
              <w:t>Ožujak</w:t>
            </w:r>
          </w:p>
        </w:tc>
        <w:tc>
          <w:tcPr>
            <w:tcW w:w="1640" w:type="dxa"/>
            <w:noWrap/>
            <w:hideMark/>
          </w:tcPr>
          <w:p w14:paraId="1D283416" w14:textId="77777777" w:rsidR="00EB3667" w:rsidRPr="00265CA2" w:rsidRDefault="00EB3667" w:rsidP="001D3ADC">
            <w:pPr>
              <w:spacing w:after="0"/>
              <w:jc w:val="right"/>
              <w:rPr>
                <w:szCs w:val="18"/>
              </w:rPr>
            </w:pPr>
            <w:r w:rsidRPr="00265CA2">
              <w:rPr>
                <w:szCs w:val="18"/>
              </w:rPr>
              <w:t>3,39</w:t>
            </w:r>
          </w:p>
        </w:tc>
        <w:tc>
          <w:tcPr>
            <w:tcW w:w="1460" w:type="dxa"/>
            <w:noWrap/>
            <w:hideMark/>
          </w:tcPr>
          <w:p w14:paraId="2A62FC92" w14:textId="77777777" w:rsidR="00EB3667" w:rsidRPr="00265CA2" w:rsidRDefault="00EB3667" w:rsidP="001D3ADC">
            <w:pPr>
              <w:spacing w:after="0"/>
              <w:jc w:val="right"/>
              <w:rPr>
                <w:szCs w:val="18"/>
              </w:rPr>
            </w:pPr>
            <w:r w:rsidRPr="00265CA2">
              <w:rPr>
                <w:szCs w:val="18"/>
              </w:rPr>
              <w:t>1,59</w:t>
            </w:r>
          </w:p>
        </w:tc>
        <w:tc>
          <w:tcPr>
            <w:tcW w:w="1520" w:type="dxa"/>
            <w:noWrap/>
            <w:hideMark/>
          </w:tcPr>
          <w:p w14:paraId="328038F1" w14:textId="77777777" w:rsidR="00EB3667" w:rsidRPr="00265CA2" w:rsidRDefault="00EB3667" w:rsidP="001D3ADC">
            <w:pPr>
              <w:spacing w:after="0"/>
              <w:jc w:val="right"/>
              <w:rPr>
                <w:szCs w:val="18"/>
              </w:rPr>
            </w:pPr>
            <w:r w:rsidRPr="00265CA2">
              <w:rPr>
                <w:szCs w:val="18"/>
              </w:rPr>
              <w:t>1,77</w:t>
            </w:r>
          </w:p>
        </w:tc>
        <w:tc>
          <w:tcPr>
            <w:tcW w:w="1380" w:type="dxa"/>
            <w:noWrap/>
            <w:hideMark/>
          </w:tcPr>
          <w:p w14:paraId="7C154F76" w14:textId="77777777" w:rsidR="00EB3667" w:rsidRPr="00265CA2" w:rsidRDefault="00EB3667" w:rsidP="001D3ADC">
            <w:pPr>
              <w:spacing w:after="0"/>
              <w:jc w:val="right"/>
              <w:rPr>
                <w:szCs w:val="18"/>
              </w:rPr>
            </w:pPr>
            <w:r w:rsidRPr="00265CA2">
              <w:rPr>
                <w:szCs w:val="18"/>
              </w:rPr>
              <w:t>0,03</w:t>
            </w:r>
          </w:p>
        </w:tc>
      </w:tr>
      <w:tr w:rsidR="00EB3667" w:rsidRPr="00265CA2" w14:paraId="64A57C70" w14:textId="77777777" w:rsidTr="001D3ADC">
        <w:trPr>
          <w:trHeight w:val="300"/>
        </w:trPr>
        <w:tc>
          <w:tcPr>
            <w:tcW w:w="2380" w:type="dxa"/>
            <w:noWrap/>
            <w:hideMark/>
          </w:tcPr>
          <w:p w14:paraId="1C0F205C" w14:textId="77777777" w:rsidR="00EB3667" w:rsidRPr="00265CA2" w:rsidRDefault="00EB3667" w:rsidP="001D3ADC">
            <w:pPr>
              <w:spacing w:after="0"/>
              <w:rPr>
                <w:szCs w:val="18"/>
              </w:rPr>
            </w:pPr>
            <w:r w:rsidRPr="00265CA2">
              <w:rPr>
                <w:szCs w:val="18"/>
              </w:rPr>
              <w:t>Travanj</w:t>
            </w:r>
          </w:p>
        </w:tc>
        <w:tc>
          <w:tcPr>
            <w:tcW w:w="1640" w:type="dxa"/>
            <w:noWrap/>
            <w:hideMark/>
          </w:tcPr>
          <w:p w14:paraId="0B5918A1" w14:textId="77777777" w:rsidR="00EB3667" w:rsidRPr="00265CA2" w:rsidRDefault="00EB3667" w:rsidP="001D3ADC">
            <w:pPr>
              <w:spacing w:after="0"/>
              <w:jc w:val="right"/>
              <w:rPr>
                <w:szCs w:val="18"/>
              </w:rPr>
            </w:pPr>
            <w:r w:rsidRPr="00265CA2">
              <w:rPr>
                <w:szCs w:val="18"/>
              </w:rPr>
              <w:t>4,45</w:t>
            </w:r>
          </w:p>
        </w:tc>
        <w:tc>
          <w:tcPr>
            <w:tcW w:w="1460" w:type="dxa"/>
            <w:noWrap/>
            <w:hideMark/>
          </w:tcPr>
          <w:p w14:paraId="74129C98" w14:textId="77777777" w:rsidR="00EB3667" w:rsidRPr="00265CA2" w:rsidRDefault="00EB3667" w:rsidP="001D3ADC">
            <w:pPr>
              <w:spacing w:after="0"/>
              <w:jc w:val="right"/>
              <w:rPr>
                <w:szCs w:val="18"/>
              </w:rPr>
            </w:pPr>
            <w:r w:rsidRPr="00265CA2">
              <w:rPr>
                <w:szCs w:val="18"/>
              </w:rPr>
              <w:t>2,09</w:t>
            </w:r>
          </w:p>
        </w:tc>
        <w:tc>
          <w:tcPr>
            <w:tcW w:w="1520" w:type="dxa"/>
            <w:noWrap/>
            <w:hideMark/>
          </w:tcPr>
          <w:p w14:paraId="090E77B2" w14:textId="77777777" w:rsidR="00EB3667" w:rsidRPr="00265CA2" w:rsidRDefault="00EB3667" w:rsidP="001D3ADC">
            <w:pPr>
              <w:spacing w:after="0"/>
              <w:jc w:val="right"/>
              <w:rPr>
                <w:szCs w:val="18"/>
              </w:rPr>
            </w:pPr>
            <w:r w:rsidRPr="00265CA2">
              <w:rPr>
                <w:szCs w:val="18"/>
              </w:rPr>
              <w:t>2,32</w:t>
            </w:r>
          </w:p>
        </w:tc>
        <w:tc>
          <w:tcPr>
            <w:tcW w:w="1380" w:type="dxa"/>
            <w:noWrap/>
            <w:hideMark/>
          </w:tcPr>
          <w:p w14:paraId="0B12A08A" w14:textId="77777777" w:rsidR="00EB3667" w:rsidRPr="00265CA2" w:rsidRDefault="00EB3667" w:rsidP="001D3ADC">
            <w:pPr>
              <w:spacing w:after="0"/>
              <w:jc w:val="right"/>
              <w:rPr>
                <w:szCs w:val="18"/>
              </w:rPr>
            </w:pPr>
            <w:r w:rsidRPr="00265CA2">
              <w:rPr>
                <w:szCs w:val="18"/>
              </w:rPr>
              <w:t>0,04</w:t>
            </w:r>
          </w:p>
        </w:tc>
      </w:tr>
      <w:tr w:rsidR="00EB3667" w:rsidRPr="00265CA2" w14:paraId="72BFA5D2" w14:textId="77777777" w:rsidTr="001D3ADC">
        <w:trPr>
          <w:trHeight w:val="300"/>
        </w:trPr>
        <w:tc>
          <w:tcPr>
            <w:tcW w:w="2380" w:type="dxa"/>
            <w:noWrap/>
            <w:hideMark/>
          </w:tcPr>
          <w:p w14:paraId="3BA3B845" w14:textId="77777777" w:rsidR="00EB3667" w:rsidRPr="00265CA2" w:rsidRDefault="00EB3667" w:rsidP="001D3ADC">
            <w:pPr>
              <w:spacing w:after="0"/>
              <w:rPr>
                <w:szCs w:val="18"/>
              </w:rPr>
            </w:pPr>
            <w:r w:rsidRPr="00265CA2">
              <w:rPr>
                <w:szCs w:val="18"/>
              </w:rPr>
              <w:t>Svibanj</w:t>
            </w:r>
          </w:p>
        </w:tc>
        <w:tc>
          <w:tcPr>
            <w:tcW w:w="1640" w:type="dxa"/>
            <w:noWrap/>
            <w:hideMark/>
          </w:tcPr>
          <w:p w14:paraId="12E0F1E8" w14:textId="77777777" w:rsidR="00EB3667" w:rsidRPr="00265CA2" w:rsidRDefault="00EB3667" w:rsidP="001D3ADC">
            <w:pPr>
              <w:spacing w:after="0"/>
              <w:jc w:val="right"/>
              <w:rPr>
                <w:szCs w:val="18"/>
              </w:rPr>
            </w:pPr>
            <w:r w:rsidRPr="00265CA2">
              <w:rPr>
                <w:szCs w:val="18"/>
              </w:rPr>
              <w:t>5,27</w:t>
            </w:r>
          </w:p>
        </w:tc>
        <w:tc>
          <w:tcPr>
            <w:tcW w:w="1460" w:type="dxa"/>
            <w:noWrap/>
            <w:hideMark/>
          </w:tcPr>
          <w:p w14:paraId="5AAD05A8" w14:textId="77777777" w:rsidR="00EB3667" w:rsidRPr="00265CA2" w:rsidRDefault="00EB3667" w:rsidP="001D3ADC">
            <w:pPr>
              <w:spacing w:after="0"/>
              <w:jc w:val="right"/>
              <w:rPr>
                <w:szCs w:val="18"/>
              </w:rPr>
            </w:pPr>
            <w:r w:rsidRPr="00265CA2">
              <w:rPr>
                <w:szCs w:val="18"/>
              </w:rPr>
              <w:t>2,52</w:t>
            </w:r>
          </w:p>
        </w:tc>
        <w:tc>
          <w:tcPr>
            <w:tcW w:w="1520" w:type="dxa"/>
            <w:noWrap/>
            <w:hideMark/>
          </w:tcPr>
          <w:p w14:paraId="3ABED699" w14:textId="77777777" w:rsidR="00EB3667" w:rsidRPr="00265CA2" w:rsidRDefault="00EB3667" w:rsidP="001D3ADC">
            <w:pPr>
              <w:spacing w:after="0"/>
              <w:jc w:val="right"/>
              <w:rPr>
                <w:szCs w:val="18"/>
              </w:rPr>
            </w:pPr>
            <w:r w:rsidRPr="00265CA2">
              <w:rPr>
                <w:szCs w:val="18"/>
              </w:rPr>
              <w:t>2,7</w:t>
            </w:r>
          </w:p>
        </w:tc>
        <w:tc>
          <w:tcPr>
            <w:tcW w:w="1380" w:type="dxa"/>
            <w:noWrap/>
            <w:hideMark/>
          </w:tcPr>
          <w:p w14:paraId="463B79E2" w14:textId="77777777" w:rsidR="00EB3667" w:rsidRPr="00265CA2" w:rsidRDefault="00EB3667" w:rsidP="001D3ADC">
            <w:pPr>
              <w:spacing w:after="0"/>
              <w:jc w:val="right"/>
              <w:rPr>
                <w:szCs w:val="18"/>
              </w:rPr>
            </w:pPr>
            <w:r w:rsidRPr="00265CA2">
              <w:rPr>
                <w:szCs w:val="18"/>
              </w:rPr>
              <w:t>0,05</w:t>
            </w:r>
          </w:p>
        </w:tc>
      </w:tr>
      <w:tr w:rsidR="00EB3667" w:rsidRPr="00265CA2" w14:paraId="5C342458" w14:textId="77777777" w:rsidTr="001D3ADC">
        <w:trPr>
          <w:trHeight w:val="300"/>
        </w:trPr>
        <w:tc>
          <w:tcPr>
            <w:tcW w:w="2380" w:type="dxa"/>
            <w:noWrap/>
            <w:hideMark/>
          </w:tcPr>
          <w:p w14:paraId="3D495782" w14:textId="77777777" w:rsidR="00EB3667" w:rsidRPr="00265CA2" w:rsidRDefault="00EB3667" w:rsidP="001D3ADC">
            <w:pPr>
              <w:spacing w:after="0"/>
              <w:rPr>
                <w:szCs w:val="18"/>
              </w:rPr>
            </w:pPr>
            <w:r w:rsidRPr="00265CA2">
              <w:rPr>
                <w:szCs w:val="18"/>
              </w:rPr>
              <w:t>Lipanj</w:t>
            </w:r>
          </w:p>
        </w:tc>
        <w:tc>
          <w:tcPr>
            <w:tcW w:w="1640" w:type="dxa"/>
            <w:noWrap/>
            <w:hideMark/>
          </w:tcPr>
          <w:p w14:paraId="41AEF78F" w14:textId="77777777" w:rsidR="00EB3667" w:rsidRPr="00265CA2" w:rsidRDefault="00EB3667" w:rsidP="001D3ADC">
            <w:pPr>
              <w:spacing w:after="0"/>
              <w:jc w:val="right"/>
              <w:rPr>
                <w:szCs w:val="18"/>
              </w:rPr>
            </w:pPr>
            <w:r w:rsidRPr="00265CA2">
              <w:rPr>
                <w:szCs w:val="18"/>
              </w:rPr>
              <w:t>5,61</w:t>
            </w:r>
          </w:p>
        </w:tc>
        <w:tc>
          <w:tcPr>
            <w:tcW w:w="1460" w:type="dxa"/>
            <w:noWrap/>
            <w:hideMark/>
          </w:tcPr>
          <w:p w14:paraId="705C00EA" w14:textId="77777777" w:rsidR="00EB3667" w:rsidRPr="00265CA2" w:rsidRDefault="00EB3667" w:rsidP="001D3ADC">
            <w:pPr>
              <w:spacing w:after="0"/>
              <w:jc w:val="right"/>
              <w:rPr>
                <w:szCs w:val="18"/>
              </w:rPr>
            </w:pPr>
            <w:r w:rsidRPr="00265CA2">
              <w:rPr>
                <w:szCs w:val="18"/>
              </w:rPr>
              <w:t>2,67</w:t>
            </w:r>
          </w:p>
        </w:tc>
        <w:tc>
          <w:tcPr>
            <w:tcW w:w="1520" w:type="dxa"/>
            <w:noWrap/>
            <w:hideMark/>
          </w:tcPr>
          <w:p w14:paraId="149BF44A" w14:textId="77777777" w:rsidR="00EB3667" w:rsidRPr="00265CA2" w:rsidRDefault="00EB3667" w:rsidP="001D3ADC">
            <w:pPr>
              <w:spacing w:after="0"/>
              <w:jc w:val="right"/>
              <w:rPr>
                <w:szCs w:val="18"/>
              </w:rPr>
            </w:pPr>
            <w:r w:rsidRPr="00265CA2">
              <w:rPr>
                <w:szCs w:val="18"/>
              </w:rPr>
              <w:t>2,89</w:t>
            </w:r>
          </w:p>
        </w:tc>
        <w:tc>
          <w:tcPr>
            <w:tcW w:w="1380" w:type="dxa"/>
            <w:noWrap/>
            <w:hideMark/>
          </w:tcPr>
          <w:p w14:paraId="3DF78849" w14:textId="77777777" w:rsidR="00EB3667" w:rsidRPr="00265CA2" w:rsidRDefault="00EB3667" w:rsidP="001D3ADC">
            <w:pPr>
              <w:spacing w:after="0"/>
              <w:jc w:val="right"/>
              <w:rPr>
                <w:szCs w:val="18"/>
              </w:rPr>
            </w:pPr>
            <w:r w:rsidRPr="00265CA2">
              <w:rPr>
                <w:szCs w:val="18"/>
              </w:rPr>
              <w:t>0,05</w:t>
            </w:r>
          </w:p>
        </w:tc>
      </w:tr>
      <w:tr w:rsidR="00EB3667" w:rsidRPr="00265CA2" w14:paraId="277A5659" w14:textId="77777777" w:rsidTr="001D3ADC">
        <w:trPr>
          <w:trHeight w:val="300"/>
        </w:trPr>
        <w:tc>
          <w:tcPr>
            <w:tcW w:w="2380" w:type="dxa"/>
            <w:noWrap/>
            <w:hideMark/>
          </w:tcPr>
          <w:p w14:paraId="57633D47" w14:textId="77777777" w:rsidR="00EB3667" w:rsidRPr="00265CA2" w:rsidRDefault="00EB3667" w:rsidP="001D3ADC">
            <w:pPr>
              <w:spacing w:after="0"/>
              <w:rPr>
                <w:szCs w:val="18"/>
              </w:rPr>
            </w:pPr>
            <w:r w:rsidRPr="00265CA2">
              <w:rPr>
                <w:szCs w:val="18"/>
              </w:rPr>
              <w:t>Srpanj</w:t>
            </w:r>
          </w:p>
        </w:tc>
        <w:tc>
          <w:tcPr>
            <w:tcW w:w="1640" w:type="dxa"/>
            <w:noWrap/>
            <w:hideMark/>
          </w:tcPr>
          <w:p w14:paraId="1532A98F" w14:textId="77777777" w:rsidR="00EB3667" w:rsidRPr="00265CA2" w:rsidRDefault="00EB3667" w:rsidP="001D3ADC">
            <w:pPr>
              <w:spacing w:after="0"/>
              <w:jc w:val="right"/>
              <w:rPr>
                <w:szCs w:val="18"/>
              </w:rPr>
            </w:pPr>
            <w:r w:rsidRPr="00265CA2">
              <w:rPr>
                <w:szCs w:val="18"/>
              </w:rPr>
              <w:t>5,88</w:t>
            </w:r>
          </w:p>
        </w:tc>
        <w:tc>
          <w:tcPr>
            <w:tcW w:w="1460" w:type="dxa"/>
            <w:noWrap/>
            <w:hideMark/>
          </w:tcPr>
          <w:p w14:paraId="539F817B" w14:textId="77777777" w:rsidR="00EB3667" w:rsidRPr="00265CA2" w:rsidRDefault="00EB3667" w:rsidP="001D3ADC">
            <w:pPr>
              <w:spacing w:after="0"/>
              <w:jc w:val="right"/>
              <w:rPr>
                <w:szCs w:val="18"/>
              </w:rPr>
            </w:pPr>
            <w:r w:rsidRPr="00265CA2">
              <w:rPr>
                <w:szCs w:val="18"/>
              </w:rPr>
              <w:t>2,52</w:t>
            </w:r>
          </w:p>
        </w:tc>
        <w:tc>
          <w:tcPr>
            <w:tcW w:w="1520" w:type="dxa"/>
            <w:noWrap/>
            <w:hideMark/>
          </w:tcPr>
          <w:p w14:paraId="29371DCF" w14:textId="77777777" w:rsidR="00EB3667" w:rsidRPr="00265CA2" w:rsidRDefault="00EB3667" w:rsidP="001D3ADC">
            <w:pPr>
              <w:spacing w:after="0"/>
              <w:jc w:val="right"/>
              <w:rPr>
                <w:szCs w:val="18"/>
              </w:rPr>
            </w:pPr>
            <w:r w:rsidRPr="00265CA2">
              <w:rPr>
                <w:szCs w:val="18"/>
              </w:rPr>
              <w:t>3,31</w:t>
            </w:r>
          </w:p>
        </w:tc>
        <w:tc>
          <w:tcPr>
            <w:tcW w:w="1380" w:type="dxa"/>
            <w:noWrap/>
            <w:hideMark/>
          </w:tcPr>
          <w:p w14:paraId="427F44AC" w14:textId="77777777" w:rsidR="00EB3667" w:rsidRPr="00265CA2" w:rsidRDefault="00EB3667" w:rsidP="001D3ADC">
            <w:pPr>
              <w:spacing w:after="0"/>
              <w:jc w:val="right"/>
              <w:rPr>
                <w:szCs w:val="18"/>
              </w:rPr>
            </w:pPr>
            <w:r w:rsidRPr="00265CA2">
              <w:rPr>
                <w:szCs w:val="18"/>
              </w:rPr>
              <w:t>0,05</w:t>
            </w:r>
          </w:p>
        </w:tc>
      </w:tr>
      <w:tr w:rsidR="00EB3667" w:rsidRPr="00265CA2" w14:paraId="599DB843" w14:textId="77777777" w:rsidTr="001D3ADC">
        <w:trPr>
          <w:trHeight w:val="300"/>
        </w:trPr>
        <w:tc>
          <w:tcPr>
            <w:tcW w:w="2380" w:type="dxa"/>
            <w:noWrap/>
            <w:hideMark/>
          </w:tcPr>
          <w:p w14:paraId="1B4F6256" w14:textId="77777777" w:rsidR="00EB3667" w:rsidRPr="00265CA2" w:rsidRDefault="00EB3667" w:rsidP="001D3ADC">
            <w:pPr>
              <w:spacing w:after="0"/>
              <w:rPr>
                <w:szCs w:val="18"/>
              </w:rPr>
            </w:pPr>
            <w:r w:rsidRPr="00265CA2">
              <w:rPr>
                <w:szCs w:val="18"/>
              </w:rPr>
              <w:t>Kolovoz</w:t>
            </w:r>
          </w:p>
        </w:tc>
        <w:tc>
          <w:tcPr>
            <w:tcW w:w="1640" w:type="dxa"/>
            <w:noWrap/>
            <w:hideMark/>
          </w:tcPr>
          <w:p w14:paraId="4F7C3417" w14:textId="77777777" w:rsidR="00EB3667" w:rsidRPr="00265CA2" w:rsidRDefault="00EB3667" w:rsidP="001D3ADC">
            <w:pPr>
              <w:spacing w:after="0"/>
              <w:jc w:val="right"/>
              <w:rPr>
                <w:szCs w:val="18"/>
              </w:rPr>
            </w:pPr>
            <w:r w:rsidRPr="00265CA2">
              <w:rPr>
                <w:szCs w:val="18"/>
              </w:rPr>
              <w:t>5,19</w:t>
            </w:r>
          </w:p>
        </w:tc>
        <w:tc>
          <w:tcPr>
            <w:tcW w:w="1460" w:type="dxa"/>
            <w:noWrap/>
            <w:hideMark/>
          </w:tcPr>
          <w:p w14:paraId="6AE72EB2" w14:textId="77777777" w:rsidR="00EB3667" w:rsidRPr="00265CA2" w:rsidRDefault="00EB3667" w:rsidP="001D3ADC">
            <w:pPr>
              <w:spacing w:after="0"/>
              <w:jc w:val="right"/>
              <w:rPr>
                <w:szCs w:val="18"/>
              </w:rPr>
            </w:pPr>
            <w:r w:rsidRPr="00265CA2">
              <w:rPr>
                <w:szCs w:val="18"/>
              </w:rPr>
              <w:t>2,25</w:t>
            </w:r>
          </w:p>
        </w:tc>
        <w:tc>
          <w:tcPr>
            <w:tcW w:w="1520" w:type="dxa"/>
            <w:noWrap/>
            <w:hideMark/>
          </w:tcPr>
          <w:p w14:paraId="41F7426C" w14:textId="77777777" w:rsidR="00EB3667" w:rsidRPr="00265CA2" w:rsidRDefault="00EB3667" w:rsidP="001D3ADC">
            <w:pPr>
              <w:spacing w:after="0"/>
              <w:jc w:val="right"/>
              <w:rPr>
                <w:szCs w:val="18"/>
              </w:rPr>
            </w:pPr>
            <w:r w:rsidRPr="00265CA2">
              <w:rPr>
                <w:szCs w:val="18"/>
              </w:rPr>
              <w:t>2,9</w:t>
            </w:r>
          </w:p>
        </w:tc>
        <w:tc>
          <w:tcPr>
            <w:tcW w:w="1380" w:type="dxa"/>
            <w:noWrap/>
            <w:hideMark/>
          </w:tcPr>
          <w:p w14:paraId="45BC0878" w14:textId="77777777" w:rsidR="00EB3667" w:rsidRPr="00265CA2" w:rsidRDefault="00EB3667" w:rsidP="001D3ADC">
            <w:pPr>
              <w:spacing w:after="0"/>
              <w:jc w:val="right"/>
              <w:rPr>
                <w:szCs w:val="18"/>
              </w:rPr>
            </w:pPr>
            <w:r w:rsidRPr="00265CA2">
              <w:rPr>
                <w:szCs w:val="18"/>
              </w:rPr>
              <w:t>0,04</w:t>
            </w:r>
          </w:p>
        </w:tc>
      </w:tr>
      <w:tr w:rsidR="00EB3667" w:rsidRPr="00265CA2" w14:paraId="367E5752" w14:textId="77777777" w:rsidTr="001D3ADC">
        <w:trPr>
          <w:trHeight w:val="300"/>
        </w:trPr>
        <w:tc>
          <w:tcPr>
            <w:tcW w:w="2380" w:type="dxa"/>
            <w:noWrap/>
            <w:hideMark/>
          </w:tcPr>
          <w:p w14:paraId="12B2C5EC" w14:textId="77777777" w:rsidR="00EB3667" w:rsidRPr="00265CA2" w:rsidRDefault="00EB3667" w:rsidP="001D3ADC">
            <w:pPr>
              <w:spacing w:after="0"/>
              <w:rPr>
                <w:szCs w:val="18"/>
              </w:rPr>
            </w:pPr>
            <w:r w:rsidRPr="00265CA2">
              <w:rPr>
                <w:szCs w:val="18"/>
              </w:rPr>
              <w:t>Rujan</w:t>
            </w:r>
          </w:p>
        </w:tc>
        <w:tc>
          <w:tcPr>
            <w:tcW w:w="1640" w:type="dxa"/>
            <w:noWrap/>
            <w:hideMark/>
          </w:tcPr>
          <w:p w14:paraId="6F5FB191" w14:textId="77777777" w:rsidR="00EB3667" w:rsidRPr="00265CA2" w:rsidRDefault="00EB3667" w:rsidP="001D3ADC">
            <w:pPr>
              <w:spacing w:after="0"/>
              <w:jc w:val="right"/>
              <w:rPr>
                <w:szCs w:val="18"/>
              </w:rPr>
            </w:pPr>
            <w:r w:rsidRPr="00265CA2">
              <w:rPr>
                <w:szCs w:val="18"/>
              </w:rPr>
              <w:t>4,44</w:t>
            </w:r>
          </w:p>
        </w:tc>
        <w:tc>
          <w:tcPr>
            <w:tcW w:w="1460" w:type="dxa"/>
            <w:noWrap/>
            <w:hideMark/>
          </w:tcPr>
          <w:p w14:paraId="452C08C7" w14:textId="77777777" w:rsidR="00EB3667" w:rsidRPr="00265CA2" w:rsidRDefault="00EB3667" w:rsidP="001D3ADC">
            <w:pPr>
              <w:spacing w:after="0"/>
              <w:jc w:val="right"/>
              <w:rPr>
                <w:szCs w:val="18"/>
              </w:rPr>
            </w:pPr>
            <w:r w:rsidRPr="00265CA2">
              <w:rPr>
                <w:szCs w:val="18"/>
              </w:rPr>
              <w:t>1,68</w:t>
            </w:r>
          </w:p>
        </w:tc>
        <w:tc>
          <w:tcPr>
            <w:tcW w:w="1520" w:type="dxa"/>
            <w:noWrap/>
            <w:hideMark/>
          </w:tcPr>
          <w:p w14:paraId="455992EF" w14:textId="77777777" w:rsidR="00EB3667" w:rsidRPr="00265CA2" w:rsidRDefault="00EB3667" w:rsidP="001D3ADC">
            <w:pPr>
              <w:spacing w:after="0"/>
              <w:jc w:val="right"/>
              <w:rPr>
                <w:szCs w:val="18"/>
              </w:rPr>
            </w:pPr>
            <w:r w:rsidRPr="00265CA2">
              <w:rPr>
                <w:szCs w:val="18"/>
              </w:rPr>
              <w:t>2,73</w:t>
            </w:r>
          </w:p>
        </w:tc>
        <w:tc>
          <w:tcPr>
            <w:tcW w:w="1380" w:type="dxa"/>
            <w:noWrap/>
            <w:hideMark/>
          </w:tcPr>
          <w:p w14:paraId="1866B018" w14:textId="77777777" w:rsidR="00EB3667" w:rsidRPr="00265CA2" w:rsidRDefault="00EB3667" w:rsidP="001D3ADC">
            <w:pPr>
              <w:spacing w:after="0"/>
              <w:jc w:val="right"/>
              <w:rPr>
                <w:szCs w:val="18"/>
              </w:rPr>
            </w:pPr>
            <w:r w:rsidRPr="00265CA2">
              <w:rPr>
                <w:szCs w:val="18"/>
              </w:rPr>
              <w:t>0,03</w:t>
            </w:r>
          </w:p>
        </w:tc>
      </w:tr>
      <w:tr w:rsidR="00EB3667" w:rsidRPr="00265CA2" w14:paraId="3861410B" w14:textId="77777777" w:rsidTr="001D3ADC">
        <w:trPr>
          <w:trHeight w:val="300"/>
        </w:trPr>
        <w:tc>
          <w:tcPr>
            <w:tcW w:w="2380" w:type="dxa"/>
            <w:noWrap/>
            <w:hideMark/>
          </w:tcPr>
          <w:p w14:paraId="27E8AD06" w14:textId="77777777" w:rsidR="00EB3667" w:rsidRPr="00265CA2" w:rsidRDefault="00EB3667" w:rsidP="001D3ADC">
            <w:pPr>
              <w:spacing w:after="0"/>
              <w:rPr>
                <w:szCs w:val="18"/>
              </w:rPr>
            </w:pPr>
            <w:r w:rsidRPr="00265CA2">
              <w:rPr>
                <w:szCs w:val="18"/>
              </w:rPr>
              <w:t>Listopad</w:t>
            </w:r>
          </w:p>
        </w:tc>
        <w:tc>
          <w:tcPr>
            <w:tcW w:w="1640" w:type="dxa"/>
            <w:noWrap/>
            <w:hideMark/>
          </w:tcPr>
          <w:p w14:paraId="2442768E" w14:textId="77777777" w:rsidR="00EB3667" w:rsidRPr="00265CA2" w:rsidRDefault="00EB3667" w:rsidP="001D3ADC">
            <w:pPr>
              <w:spacing w:after="0"/>
              <w:jc w:val="right"/>
              <w:rPr>
                <w:szCs w:val="18"/>
              </w:rPr>
            </w:pPr>
            <w:r w:rsidRPr="00265CA2">
              <w:rPr>
                <w:szCs w:val="18"/>
              </w:rPr>
              <w:t>2,88</w:t>
            </w:r>
          </w:p>
        </w:tc>
        <w:tc>
          <w:tcPr>
            <w:tcW w:w="1460" w:type="dxa"/>
            <w:noWrap/>
            <w:hideMark/>
          </w:tcPr>
          <w:p w14:paraId="24CAE1FB" w14:textId="77777777" w:rsidR="00EB3667" w:rsidRPr="00265CA2" w:rsidRDefault="00EB3667" w:rsidP="001D3ADC">
            <w:pPr>
              <w:spacing w:after="0"/>
              <w:jc w:val="right"/>
              <w:rPr>
                <w:szCs w:val="18"/>
              </w:rPr>
            </w:pPr>
            <w:r w:rsidRPr="00265CA2">
              <w:rPr>
                <w:szCs w:val="18"/>
              </w:rPr>
              <w:t>1,22</w:t>
            </w:r>
          </w:p>
        </w:tc>
        <w:tc>
          <w:tcPr>
            <w:tcW w:w="1520" w:type="dxa"/>
            <w:noWrap/>
            <w:hideMark/>
          </w:tcPr>
          <w:p w14:paraId="164C1D19" w14:textId="77777777" w:rsidR="00EB3667" w:rsidRPr="00265CA2" w:rsidRDefault="00EB3667" w:rsidP="001D3ADC">
            <w:pPr>
              <w:spacing w:after="0"/>
              <w:jc w:val="right"/>
              <w:rPr>
                <w:szCs w:val="18"/>
              </w:rPr>
            </w:pPr>
            <w:r w:rsidRPr="00265CA2">
              <w:rPr>
                <w:szCs w:val="18"/>
              </w:rPr>
              <w:t>1,64</w:t>
            </w:r>
          </w:p>
        </w:tc>
        <w:tc>
          <w:tcPr>
            <w:tcW w:w="1380" w:type="dxa"/>
            <w:noWrap/>
            <w:hideMark/>
          </w:tcPr>
          <w:p w14:paraId="0105036E" w14:textId="77777777" w:rsidR="00EB3667" w:rsidRPr="00265CA2" w:rsidRDefault="00EB3667" w:rsidP="001D3ADC">
            <w:pPr>
              <w:spacing w:after="0"/>
              <w:jc w:val="right"/>
              <w:rPr>
                <w:szCs w:val="18"/>
              </w:rPr>
            </w:pPr>
            <w:r w:rsidRPr="00265CA2">
              <w:rPr>
                <w:szCs w:val="18"/>
              </w:rPr>
              <w:t>0,02</w:t>
            </w:r>
          </w:p>
        </w:tc>
      </w:tr>
      <w:tr w:rsidR="00EB3667" w:rsidRPr="00265CA2" w14:paraId="67089584" w14:textId="77777777" w:rsidTr="001D3ADC">
        <w:trPr>
          <w:trHeight w:val="300"/>
        </w:trPr>
        <w:tc>
          <w:tcPr>
            <w:tcW w:w="2380" w:type="dxa"/>
            <w:noWrap/>
            <w:hideMark/>
          </w:tcPr>
          <w:p w14:paraId="060911AD" w14:textId="77777777" w:rsidR="00EB3667" w:rsidRPr="00265CA2" w:rsidRDefault="00EB3667" w:rsidP="001D3ADC">
            <w:pPr>
              <w:spacing w:after="0"/>
              <w:rPr>
                <w:szCs w:val="18"/>
              </w:rPr>
            </w:pPr>
            <w:r w:rsidRPr="00265CA2">
              <w:rPr>
                <w:szCs w:val="18"/>
              </w:rPr>
              <w:t>Studeni</w:t>
            </w:r>
          </w:p>
        </w:tc>
        <w:tc>
          <w:tcPr>
            <w:tcW w:w="1640" w:type="dxa"/>
            <w:noWrap/>
            <w:hideMark/>
          </w:tcPr>
          <w:p w14:paraId="24F7CE26" w14:textId="77777777" w:rsidR="00EB3667" w:rsidRPr="00265CA2" w:rsidRDefault="00EB3667" w:rsidP="001D3ADC">
            <w:pPr>
              <w:spacing w:after="0"/>
              <w:jc w:val="right"/>
              <w:rPr>
                <w:szCs w:val="18"/>
              </w:rPr>
            </w:pPr>
            <w:r w:rsidRPr="00265CA2">
              <w:rPr>
                <w:szCs w:val="18"/>
              </w:rPr>
              <w:t>1,49</w:t>
            </w:r>
          </w:p>
        </w:tc>
        <w:tc>
          <w:tcPr>
            <w:tcW w:w="1460" w:type="dxa"/>
            <w:noWrap/>
            <w:hideMark/>
          </w:tcPr>
          <w:p w14:paraId="51AC5967" w14:textId="77777777" w:rsidR="00EB3667" w:rsidRPr="00265CA2" w:rsidRDefault="00EB3667" w:rsidP="001D3ADC">
            <w:pPr>
              <w:spacing w:after="0"/>
              <w:jc w:val="right"/>
              <w:rPr>
                <w:szCs w:val="18"/>
              </w:rPr>
            </w:pPr>
            <w:r w:rsidRPr="00265CA2">
              <w:rPr>
                <w:szCs w:val="18"/>
              </w:rPr>
              <w:t>0,76</w:t>
            </w:r>
          </w:p>
        </w:tc>
        <w:tc>
          <w:tcPr>
            <w:tcW w:w="1520" w:type="dxa"/>
            <w:noWrap/>
            <w:hideMark/>
          </w:tcPr>
          <w:p w14:paraId="5BEE96D6" w14:textId="77777777" w:rsidR="00EB3667" w:rsidRPr="00265CA2" w:rsidRDefault="00EB3667" w:rsidP="001D3ADC">
            <w:pPr>
              <w:spacing w:after="0"/>
              <w:jc w:val="right"/>
              <w:rPr>
                <w:szCs w:val="18"/>
              </w:rPr>
            </w:pPr>
            <w:r w:rsidRPr="00265CA2">
              <w:rPr>
                <w:szCs w:val="18"/>
              </w:rPr>
              <w:t>0,72</w:t>
            </w:r>
          </w:p>
        </w:tc>
        <w:tc>
          <w:tcPr>
            <w:tcW w:w="1380" w:type="dxa"/>
            <w:noWrap/>
            <w:hideMark/>
          </w:tcPr>
          <w:p w14:paraId="6B1D8873" w14:textId="77777777" w:rsidR="00EB3667" w:rsidRPr="00265CA2" w:rsidRDefault="00EB3667" w:rsidP="001D3ADC">
            <w:pPr>
              <w:spacing w:after="0"/>
              <w:jc w:val="right"/>
              <w:rPr>
                <w:szCs w:val="18"/>
              </w:rPr>
            </w:pPr>
            <w:r w:rsidRPr="00265CA2">
              <w:rPr>
                <w:szCs w:val="18"/>
              </w:rPr>
              <w:t>0,01</w:t>
            </w:r>
          </w:p>
        </w:tc>
      </w:tr>
      <w:tr w:rsidR="00EB3667" w:rsidRPr="00265CA2" w14:paraId="3C75A3C3" w14:textId="77777777" w:rsidTr="001D3ADC">
        <w:trPr>
          <w:trHeight w:val="300"/>
        </w:trPr>
        <w:tc>
          <w:tcPr>
            <w:tcW w:w="2380" w:type="dxa"/>
            <w:noWrap/>
            <w:hideMark/>
          </w:tcPr>
          <w:p w14:paraId="4F5CDEF7" w14:textId="77777777" w:rsidR="00EB3667" w:rsidRPr="00265CA2" w:rsidRDefault="00EB3667" w:rsidP="001D3ADC">
            <w:pPr>
              <w:spacing w:after="0"/>
              <w:rPr>
                <w:szCs w:val="18"/>
              </w:rPr>
            </w:pPr>
            <w:r w:rsidRPr="00265CA2">
              <w:rPr>
                <w:szCs w:val="18"/>
              </w:rPr>
              <w:t>Prosinac</w:t>
            </w:r>
          </w:p>
        </w:tc>
        <w:tc>
          <w:tcPr>
            <w:tcW w:w="1640" w:type="dxa"/>
            <w:noWrap/>
            <w:hideMark/>
          </w:tcPr>
          <w:p w14:paraId="38E286CB" w14:textId="77777777" w:rsidR="00EB3667" w:rsidRPr="00265CA2" w:rsidRDefault="00EB3667" w:rsidP="001D3ADC">
            <w:pPr>
              <w:spacing w:after="0"/>
              <w:jc w:val="right"/>
              <w:rPr>
                <w:szCs w:val="18"/>
              </w:rPr>
            </w:pPr>
            <w:r w:rsidRPr="00265CA2">
              <w:rPr>
                <w:szCs w:val="18"/>
              </w:rPr>
              <w:t>0,94</w:t>
            </w:r>
          </w:p>
        </w:tc>
        <w:tc>
          <w:tcPr>
            <w:tcW w:w="1460" w:type="dxa"/>
            <w:noWrap/>
            <w:hideMark/>
          </w:tcPr>
          <w:p w14:paraId="6559E426" w14:textId="77777777" w:rsidR="00EB3667" w:rsidRPr="00265CA2" w:rsidRDefault="00EB3667" w:rsidP="001D3ADC">
            <w:pPr>
              <w:spacing w:after="0"/>
              <w:jc w:val="right"/>
              <w:rPr>
                <w:szCs w:val="18"/>
              </w:rPr>
            </w:pPr>
            <w:r w:rsidRPr="00265CA2">
              <w:rPr>
                <w:szCs w:val="18"/>
              </w:rPr>
              <w:t>0,53</w:t>
            </w:r>
          </w:p>
        </w:tc>
        <w:tc>
          <w:tcPr>
            <w:tcW w:w="1520" w:type="dxa"/>
            <w:noWrap/>
            <w:hideMark/>
          </w:tcPr>
          <w:p w14:paraId="44926DCE" w14:textId="77777777" w:rsidR="00EB3667" w:rsidRPr="00265CA2" w:rsidRDefault="00EB3667" w:rsidP="001D3ADC">
            <w:pPr>
              <w:spacing w:after="0"/>
              <w:jc w:val="right"/>
              <w:rPr>
                <w:szCs w:val="18"/>
              </w:rPr>
            </w:pPr>
            <w:r w:rsidRPr="00265CA2">
              <w:rPr>
                <w:szCs w:val="18"/>
              </w:rPr>
              <w:t>0,4</w:t>
            </w:r>
          </w:p>
        </w:tc>
        <w:tc>
          <w:tcPr>
            <w:tcW w:w="1380" w:type="dxa"/>
            <w:noWrap/>
            <w:hideMark/>
          </w:tcPr>
          <w:p w14:paraId="408B562C" w14:textId="77777777" w:rsidR="00EB3667" w:rsidRPr="00265CA2" w:rsidRDefault="00EB3667" w:rsidP="001D3ADC">
            <w:pPr>
              <w:spacing w:after="0"/>
              <w:jc w:val="right"/>
              <w:rPr>
                <w:szCs w:val="18"/>
              </w:rPr>
            </w:pPr>
            <w:r w:rsidRPr="00265CA2">
              <w:rPr>
                <w:szCs w:val="18"/>
              </w:rPr>
              <w:t>0,01</w:t>
            </w:r>
          </w:p>
        </w:tc>
      </w:tr>
      <w:tr w:rsidR="00EB3667" w:rsidRPr="00265CA2" w14:paraId="46BECAFC" w14:textId="77777777" w:rsidTr="001D3ADC">
        <w:trPr>
          <w:trHeight w:val="300"/>
        </w:trPr>
        <w:tc>
          <w:tcPr>
            <w:tcW w:w="2380" w:type="dxa"/>
            <w:noWrap/>
            <w:hideMark/>
          </w:tcPr>
          <w:p w14:paraId="08183826" w14:textId="77777777" w:rsidR="00EB3667" w:rsidRPr="00265CA2" w:rsidRDefault="00EB3667" w:rsidP="001D3ADC">
            <w:pPr>
              <w:spacing w:after="0"/>
              <w:rPr>
                <w:b/>
                <w:bCs/>
                <w:szCs w:val="18"/>
              </w:rPr>
            </w:pPr>
            <w:r w:rsidRPr="00265CA2">
              <w:rPr>
                <w:b/>
                <w:bCs/>
                <w:szCs w:val="18"/>
              </w:rPr>
              <w:t>Prosječno</w:t>
            </w:r>
          </w:p>
        </w:tc>
        <w:tc>
          <w:tcPr>
            <w:tcW w:w="1640" w:type="dxa"/>
            <w:noWrap/>
            <w:hideMark/>
          </w:tcPr>
          <w:p w14:paraId="242EC826" w14:textId="77777777" w:rsidR="00EB3667" w:rsidRPr="00265CA2" w:rsidRDefault="00EB3667" w:rsidP="001D3ADC">
            <w:pPr>
              <w:spacing w:after="0"/>
              <w:jc w:val="right"/>
              <w:rPr>
                <w:b/>
                <w:bCs/>
                <w:szCs w:val="18"/>
              </w:rPr>
            </w:pPr>
            <w:r w:rsidRPr="00265CA2">
              <w:rPr>
                <w:b/>
                <w:bCs/>
                <w:szCs w:val="18"/>
              </w:rPr>
              <w:t>3,58</w:t>
            </w:r>
          </w:p>
        </w:tc>
        <w:tc>
          <w:tcPr>
            <w:tcW w:w="1460" w:type="dxa"/>
            <w:noWrap/>
            <w:hideMark/>
          </w:tcPr>
          <w:p w14:paraId="31C11214" w14:textId="77777777" w:rsidR="00EB3667" w:rsidRPr="00265CA2" w:rsidRDefault="00EB3667" w:rsidP="001D3ADC">
            <w:pPr>
              <w:spacing w:after="0"/>
              <w:jc w:val="right"/>
              <w:rPr>
                <w:b/>
                <w:bCs/>
                <w:szCs w:val="18"/>
              </w:rPr>
            </w:pPr>
            <w:r w:rsidRPr="00265CA2">
              <w:rPr>
                <w:b/>
                <w:bCs/>
                <w:szCs w:val="18"/>
              </w:rPr>
              <w:t>1,63</w:t>
            </w:r>
          </w:p>
        </w:tc>
        <w:tc>
          <w:tcPr>
            <w:tcW w:w="1520" w:type="dxa"/>
            <w:noWrap/>
            <w:hideMark/>
          </w:tcPr>
          <w:p w14:paraId="56DF4C8D" w14:textId="77777777" w:rsidR="00EB3667" w:rsidRPr="00265CA2" w:rsidRDefault="00EB3667" w:rsidP="001D3ADC">
            <w:pPr>
              <w:spacing w:after="0"/>
              <w:jc w:val="right"/>
              <w:rPr>
                <w:b/>
                <w:bCs/>
                <w:szCs w:val="18"/>
              </w:rPr>
            </w:pPr>
            <w:r w:rsidRPr="00265CA2">
              <w:rPr>
                <w:b/>
                <w:bCs/>
                <w:szCs w:val="18"/>
              </w:rPr>
              <w:t>1,92</w:t>
            </w:r>
          </w:p>
        </w:tc>
        <w:tc>
          <w:tcPr>
            <w:tcW w:w="1380" w:type="dxa"/>
            <w:noWrap/>
            <w:hideMark/>
          </w:tcPr>
          <w:p w14:paraId="4F889B68" w14:textId="77777777" w:rsidR="00EB3667" w:rsidRPr="00265CA2" w:rsidRDefault="00EB3667" w:rsidP="001D3ADC">
            <w:pPr>
              <w:spacing w:after="0"/>
              <w:jc w:val="right"/>
              <w:rPr>
                <w:b/>
                <w:bCs/>
                <w:szCs w:val="18"/>
              </w:rPr>
            </w:pPr>
            <w:r w:rsidRPr="00265CA2">
              <w:rPr>
                <w:b/>
                <w:bCs/>
                <w:szCs w:val="18"/>
              </w:rPr>
              <w:t>0,03</w:t>
            </w:r>
          </w:p>
        </w:tc>
      </w:tr>
      <w:tr w:rsidR="00EB3667" w:rsidRPr="00265CA2" w14:paraId="204FAF56" w14:textId="77777777" w:rsidTr="001D3ADC">
        <w:trPr>
          <w:trHeight w:val="300"/>
        </w:trPr>
        <w:tc>
          <w:tcPr>
            <w:tcW w:w="2380" w:type="dxa"/>
            <w:tcBorders>
              <w:bottom w:val="single" w:sz="4" w:space="0" w:color="D2232A" w:themeColor="accent1"/>
            </w:tcBorders>
            <w:noWrap/>
            <w:hideMark/>
          </w:tcPr>
          <w:p w14:paraId="207DF619" w14:textId="77777777" w:rsidR="00EB3667" w:rsidRPr="00265CA2" w:rsidRDefault="00EB3667" w:rsidP="001D3ADC">
            <w:pPr>
              <w:spacing w:after="0"/>
              <w:rPr>
                <w:b/>
                <w:bCs/>
                <w:szCs w:val="18"/>
              </w:rPr>
            </w:pPr>
            <w:r w:rsidRPr="00265CA2">
              <w:rPr>
                <w:rFonts w:ascii="Courier New" w:hAnsi="Courier New" w:cs="Courier New"/>
                <w:b/>
                <w:bCs/>
                <w:szCs w:val="18"/>
              </w:rPr>
              <w:t>Σ</w:t>
            </w:r>
            <w:r w:rsidRPr="00265CA2">
              <w:rPr>
                <w:b/>
                <w:bCs/>
                <w:szCs w:val="18"/>
              </w:rPr>
              <w:t>[MWh/m²]</w:t>
            </w:r>
          </w:p>
        </w:tc>
        <w:tc>
          <w:tcPr>
            <w:tcW w:w="1640" w:type="dxa"/>
            <w:tcBorders>
              <w:bottom w:val="single" w:sz="4" w:space="0" w:color="D2232A" w:themeColor="accent1"/>
            </w:tcBorders>
            <w:noWrap/>
            <w:hideMark/>
          </w:tcPr>
          <w:p w14:paraId="1B56DAAD" w14:textId="77777777" w:rsidR="00EB3667" w:rsidRPr="00265CA2" w:rsidRDefault="00EB3667" w:rsidP="001D3ADC">
            <w:pPr>
              <w:spacing w:after="0"/>
              <w:jc w:val="right"/>
              <w:rPr>
                <w:b/>
                <w:bCs/>
                <w:szCs w:val="18"/>
              </w:rPr>
            </w:pPr>
            <w:r w:rsidRPr="00265CA2">
              <w:rPr>
                <w:b/>
                <w:bCs/>
                <w:szCs w:val="18"/>
              </w:rPr>
              <w:t>1,31</w:t>
            </w:r>
          </w:p>
        </w:tc>
        <w:tc>
          <w:tcPr>
            <w:tcW w:w="1460" w:type="dxa"/>
            <w:tcBorders>
              <w:bottom w:val="single" w:sz="4" w:space="0" w:color="D2232A" w:themeColor="accent1"/>
            </w:tcBorders>
            <w:noWrap/>
            <w:hideMark/>
          </w:tcPr>
          <w:p w14:paraId="6E0FDE29" w14:textId="77777777" w:rsidR="00EB3667" w:rsidRPr="00265CA2" w:rsidRDefault="00EB3667" w:rsidP="001D3ADC">
            <w:pPr>
              <w:spacing w:after="0"/>
              <w:jc w:val="right"/>
              <w:rPr>
                <w:b/>
                <w:bCs/>
                <w:szCs w:val="18"/>
              </w:rPr>
            </w:pPr>
            <w:r w:rsidRPr="00265CA2">
              <w:rPr>
                <w:b/>
                <w:bCs/>
                <w:szCs w:val="18"/>
              </w:rPr>
              <w:t>0,6</w:t>
            </w:r>
          </w:p>
        </w:tc>
        <w:tc>
          <w:tcPr>
            <w:tcW w:w="1520" w:type="dxa"/>
            <w:tcBorders>
              <w:bottom w:val="single" w:sz="4" w:space="0" w:color="D2232A" w:themeColor="accent1"/>
            </w:tcBorders>
            <w:noWrap/>
            <w:hideMark/>
          </w:tcPr>
          <w:p w14:paraId="71CAB763" w14:textId="77777777" w:rsidR="00EB3667" w:rsidRPr="00265CA2" w:rsidRDefault="00EB3667" w:rsidP="001D3ADC">
            <w:pPr>
              <w:spacing w:after="0"/>
              <w:jc w:val="right"/>
              <w:rPr>
                <w:b/>
                <w:bCs/>
                <w:szCs w:val="18"/>
              </w:rPr>
            </w:pPr>
            <w:r w:rsidRPr="00265CA2">
              <w:rPr>
                <w:b/>
                <w:bCs/>
                <w:szCs w:val="18"/>
              </w:rPr>
              <w:t>0,7</w:t>
            </w:r>
          </w:p>
        </w:tc>
        <w:tc>
          <w:tcPr>
            <w:tcW w:w="1380" w:type="dxa"/>
            <w:tcBorders>
              <w:bottom w:val="single" w:sz="4" w:space="0" w:color="D2232A" w:themeColor="accent1"/>
            </w:tcBorders>
            <w:noWrap/>
            <w:hideMark/>
          </w:tcPr>
          <w:p w14:paraId="08EA51C5" w14:textId="77777777" w:rsidR="00EB3667" w:rsidRPr="00265CA2" w:rsidRDefault="00EB3667" w:rsidP="001D3ADC">
            <w:pPr>
              <w:spacing w:after="0"/>
              <w:jc w:val="right"/>
              <w:rPr>
                <w:b/>
                <w:bCs/>
                <w:szCs w:val="18"/>
              </w:rPr>
            </w:pPr>
            <w:r w:rsidRPr="00265CA2">
              <w:rPr>
                <w:b/>
                <w:bCs/>
                <w:szCs w:val="18"/>
              </w:rPr>
              <w:t>0,01</w:t>
            </w:r>
          </w:p>
        </w:tc>
      </w:tr>
    </w:tbl>
    <w:p w14:paraId="2C0635A2" w14:textId="77777777" w:rsidR="00EB3667" w:rsidRPr="006D7B27" w:rsidRDefault="00EB3667" w:rsidP="006D7B27">
      <w:pPr>
        <w:rPr>
          <w:rFonts w:eastAsia="ArialNarrow" w:cstheme="minorHAnsi"/>
          <w:i/>
          <w:color w:val="ABABAB" w:themeColor="text1" w:themeTint="A6"/>
          <w:sz w:val="16"/>
          <w:szCs w:val="16"/>
        </w:rPr>
      </w:pPr>
      <w:r w:rsidRPr="006D7B27">
        <w:rPr>
          <w:rFonts w:eastAsia="ArialNarrow" w:cstheme="minorHAnsi"/>
          <w:i/>
          <w:color w:val="ABABAB" w:themeColor="text1" w:themeTint="A6"/>
          <w:sz w:val="16"/>
          <w:szCs w:val="16"/>
        </w:rPr>
        <w:t>Izvor: Regionalna energetska agencija Sjeverozapadne Hrvatske, 2014.</w:t>
      </w:r>
    </w:p>
    <w:p w14:paraId="054454F5" w14:textId="77777777" w:rsidR="00EB3667" w:rsidRDefault="00EB3667" w:rsidP="00EB3667"/>
    <w:p w14:paraId="297BEAF6" w14:textId="77777777" w:rsidR="00EB3667" w:rsidRDefault="00EB3667" w:rsidP="00EB3667">
      <w:r>
        <w:t>Vrlo povoljni insolacijski i klimatski uvjeti Krapinsko-zagorske županije u odnosu na područje srednje i sjeverne Europe, naročito u zimskom razdoblju, jamče veliki solarni tehnički potencijal. Aktivna primjena Sunčeve energije podrazumijeva njezinu izravnu pretvorbu u toplinsku ili električnu energiju. Pomoću solarnih kolektora sunčeva energija se izravno pretvara u toplinsku energiju koja se koristi za pripremu potrošne tople vode i/ili kao podrška grijanju. Solarni fotonaponski sustavi pomoću fotoelektričkog efekta pretvaraju energiju Sunčeva zračenja u električnu energiju. Mogu se podijeliti u dvije osnove skupine: fotonaponski sustavi koji nisu priključeni na mrežu i fotonaponski sustavi priključeni na javnu elektroenergetsku mrežu. Uobičajeno se fotonaponski moduli, kao osnovni elementi fotonaponskog sustava, postavljaju na krovove zgrada (ravne ili kose), a u posljednje vrijeme ugrađuju se kao element fasade.</w:t>
      </w:r>
    </w:p>
    <w:p w14:paraId="11F19C70" w14:textId="45C37FF9" w:rsidR="00EB3667" w:rsidRDefault="00EB3667" w:rsidP="00EB3667">
      <w:r w:rsidRPr="00027641">
        <w:t>Na području Krapinsko-zagorske županije tijekom 201</w:t>
      </w:r>
      <w:r>
        <w:t>9</w:t>
      </w:r>
      <w:r w:rsidRPr="00027641">
        <w:t xml:space="preserve">. godine djelovalo je ukupno </w:t>
      </w:r>
      <w:r>
        <w:t>29</w:t>
      </w:r>
      <w:r w:rsidRPr="00027641">
        <w:t xml:space="preserve"> sunčanih elektrana ukupne snage postrojenja 7.659,09 kW. Početkom svibnja 2019. godine na krovu Opće bolnice Zabok i bolnice hrvatskih veterana potpisivanjem ugovora između bolnice i tvrtke </w:t>
      </w:r>
      <w:r>
        <w:t>Solaris Pons d.o.o.</w:t>
      </w:r>
      <w:r w:rsidRPr="00027641">
        <w:t xml:space="preserve"> najavljena je izgradnja prve sunčane elektrane</w:t>
      </w:r>
      <w:r w:rsidRPr="00AF4FEC">
        <w:t xml:space="preserve"> po modelu ključ u ruke koji podrazumijeva da je izvođenje radova i isporuka proizvedene električne energije na strani privatnog partnera. Nakon deset </w:t>
      </w:r>
      <w:r w:rsidRPr="00AF4FEC">
        <w:lastRenderedPageBreak/>
        <w:t>godina čitava infrastruktura foto elektrane snage 420 kW pripast će bolnici, a za vrijeme tih deset godina privatni partner, naplaćivat će si troškove iz struje prodane bolnici</w:t>
      </w:r>
      <w:r w:rsidRPr="00027641">
        <w:t>. Realizacijom tog projekta, rečeno je tada, zagorska bi bolnica bila prva u Hrvatskoj s vlastitom elektranom. Projekt je to koji je osmislila Regionalna energetske agencija Sjeverozapadne Hrvatske. Ti su solarni fotonaponski sustavi izravno priključeni na javnu elektroenergetsku mrežu i svu proizvedenu električnu energiju predaju u elektroenergetski sustav. Navedena postrojenja dio su sustava poticanja proizvodnje električne energije iz obnovljivih izvora energije i kogeneracije te imaju status povlaštenog proizvođača.</w:t>
      </w:r>
    </w:p>
    <w:p w14:paraId="78114C3E" w14:textId="77777777" w:rsidR="00A01BFA" w:rsidRDefault="00A01BFA" w:rsidP="00EB3667"/>
    <w:p w14:paraId="7D0B2995" w14:textId="0CC866D2" w:rsidR="00EB3667" w:rsidRDefault="00EB3667" w:rsidP="003E3F3C">
      <w:pPr>
        <w:pStyle w:val="Opisslike"/>
      </w:pPr>
      <w:r>
        <w:t xml:space="preserve">Tablica </w:t>
      </w:r>
      <w:r w:rsidR="006D7B27">
        <w:t>1</w:t>
      </w:r>
      <w:r w:rsidR="00741E4F">
        <w:t>91</w:t>
      </w:r>
      <w:r>
        <w:t xml:space="preserve">. </w:t>
      </w:r>
      <w:r w:rsidRPr="008166D5">
        <w:t>Popis povlaštenih proizvođača električne energije na području Krapinsko-zagorske županije</w:t>
      </w:r>
    </w:p>
    <w:tbl>
      <w:tblPr>
        <w:tblpPr w:leftFromText="180" w:rightFromText="180" w:bottomFromText="160" w:vertAnchor="text" w:horzAnchor="margin" w:tblpY="103"/>
        <w:tblW w:w="9273" w:type="dxa"/>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3548"/>
        <w:gridCol w:w="1247"/>
        <w:gridCol w:w="2494"/>
        <w:gridCol w:w="1984"/>
      </w:tblGrid>
      <w:tr w:rsidR="00EB3667" w:rsidRPr="00265CA2" w14:paraId="2B9E4350" w14:textId="77777777" w:rsidTr="001D3ADC">
        <w:trPr>
          <w:trHeight w:val="408"/>
          <w:tblHeader/>
        </w:trPr>
        <w:tc>
          <w:tcPr>
            <w:tcW w:w="3548" w:type="dxa"/>
            <w:shd w:val="clear" w:color="auto" w:fill="D2232A" w:themeFill="accent1"/>
            <w:vAlign w:val="center"/>
            <w:hideMark/>
          </w:tcPr>
          <w:p w14:paraId="30474279" w14:textId="77777777" w:rsidR="00EB3667" w:rsidRPr="00265CA2" w:rsidRDefault="00EB3667" w:rsidP="001D3ADC">
            <w:pPr>
              <w:spacing w:after="0" w:line="240" w:lineRule="auto"/>
              <w:rPr>
                <w:rFonts w:eastAsia="Times New Roman" w:cs="Arial"/>
                <w:b/>
                <w:bCs/>
                <w:color w:val="FFFFFF" w:themeColor="background1"/>
                <w:szCs w:val="18"/>
                <w:lang w:eastAsia="en-GB"/>
              </w:rPr>
            </w:pPr>
            <w:r w:rsidRPr="00265CA2">
              <w:rPr>
                <w:rFonts w:eastAsia="Times New Roman" w:cs="Arial"/>
                <w:b/>
                <w:bCs/>
                <w:color w:val="FFFFFF" w:themeColor="background1"/>
                <w:szCs w:val="18"/>
                <w:lang w:eastAsia="en-GB"/>
              </w:rPr>
              <w:t>Tehnologija</w:t>
            </w:r>
          </w:p>
        </w:tc>
        <w:tc>
          <w:tcPr>
            <w:tcW w:w="1247" w:type="dxa"/>
            <w:shd w:val="clear" w:color="auto" w:fill="D2232A" w:themeFill="accent1"/>
            <w:vAlign w:val="center"/>
            <w:hideMark/>
          </w:tcPr>
          <w:p w14:paraId="38CDF3D9" w14:textId="77777777" w:rsidR="00EB3667" w:rsidRPr="00265CA2" w:rsidRDefault="00EB3667" w:rsidP="001D3ADC">
            <w:pPr>
              <w:spacing w:after="0" w:line="240" w:lineRule="auto"/>
              <w:jc w:val="right"/>
              <w:rPr>
                <w:rFonts w:eastAsia="Times New Roman" w:cs="Arial"/>
                <w:b/>
                <w:bCs/>
                <w:color w:val="FFFFFF" w:themeColor="background1"/>
                <w:szCs w:val="18"/>
                <w:lang w:eastAsia="en-GB"/>
              </w:rPr>
            </w:pPr>
            <w:r w:rsidRPr="00265CA2">
              <w:rPr>
                <w:rFonts w:eastAsia="Times New Roman" w:cs="Arial"/>
                <w:b/>
                <w:bCs/>
                <w:color w:val="FFFFFF" w:themeColor="background1"/>
                <w:szCs w:val="18"/>
                <w:lang w:eastAsia="en-GB"/>
              </w:rPr>
              <w:t>Instalirana snaga (kW)</w:t>
            </w:r>
          </w:p>
        </w:tc>
        <w:tc>
          <w:tcPr>
            <w:tcW w:w="2494" w:type="dxa"/>
            <w:shd w:val="clear" w:color="auto" w:fill="D2232A" w:themeFill="accent1"/>
            <w:vAlign w:val="center"/>
            <w:hideMark/>
          </w:tcPr>
          <w:p w14:paraId="5010A825" w14:textId="77777777" w:rsidR="00EB3667" w:rsidRPr="00265CA2" w:rsidRDefault="00EB3667" w:rsidP="001D3ADC">
            <w:pPr>
              <w:spacing w:after="0" w:line="240" w:lineRule="auto"/>
              <w:jc w:val="right"/>
              <w:rPr>
                <w:rFonts w:eastAsia="Times New Roman" w:cs="Arial"/>
                <w:b/>
                <w:bCs/>
                <w:color w:val="FFFFFF" w:themeColor="background1"/>
                <w:szCs w:val="18"/>
                <w:lang w:eastAsia="en-GB"/>
              </w:rPr>
            </w:pPr>
            <w:r w:rsidRPr="00265CA2">
              <w:rPr>
                <w:rFonts w:eastAsia="Times New Roman" w:cs="Arial"/>
                <w:b/>
                <w:bCs/>
                <w:color w:val="FFFFFF" w:themeColor="background1"/>
                <w:szCs w:val="18"/>
                <w:lang w:eastAsia="en-GB"/>
              </w:rPr>
              <w:t>Grad/Općina</w:t>
            </w:r>
          </w:p>
        </w:tc>
        <w:tc>
          <w:tcPr>
            <w:tcW w:w="1984" w:type="dxa"/>
            <w:shd w:val="clear" w:color="auto" w:fill="D2232A" w:themeFill="accent1"/>
            <w:vAlign w:val="center"/>
            <w:hideMark/>
          </w:tcPr>
          <w:p w14:paraId="2A0F64E4" w14:textId="77777777" w:rsidR="00EB3667" w:rsidRPr="00265CA2" w:rsidRDefault="00EB3667" w:rsidP="001D3ADC">
            <w:pPr>
              <w:spacing w:after="0" w:line="240" w:lineRule="auto"/>
              <w:jc w:val="right"/>
              <w:rPr>
                <w:rFonts w:eastAsia="Times New Roman" w:cs="Arial"/>
                <w:b/>
                <w:bCs/>
                <w:color w:val="FFFFFF" w:themeColor="background1"/>
                <w:szCs w:val="18"/>
                <w:lang w:eastAsia="en-GB"/>
              </w:rPr>
            </w:pPr>
            <w:r w:rsidRPr="00265CA2">
              <w:rPr>
                <w:rFonts w:eastAsia="Times New Roman" w:cs="Arial"/>
                <w:b/>
                <w:bCs/>
                <w:color w:val="FFFFFF" w:themeColor="background1"/>
                <w:szCs w:val="18"/>
                <w:lang w:eastAsia="en-GB"/>
              </w:rPr>
              <w:t>Katastarska općina</w:t>
            </w:r>
          </w:p>
        </w:tc>
      </w:tr>
      <w:tr w:rsidR="00EB3667" w:rsidRPr="00265CA2" w14:paraId="1D7322FB" w14:textId="77777777" w:rsidTr="001D3ADC">
        <w:trPr>
          <w:trHeight w:val="239"/>
        </w:trPr>
        <w:tc>
          <w:tcPr>
            <w:tcW w:w="3548" w:type="dxa"/>
            <w:vAlign w:val="center"/>
            <w:hideMark/>
          </w:tcPr>
          <w:p w14:paraId="71892EA6" w14:textId="77777777" w:rsidR="00EB3667" w:rsidRPr="00265CA2" w:rsidRDefault="00EB3667" w:rsidP="001D3ADC">
            <w:pPr>
              <w:spacing w:after="0" w:line="240" w:lineRule="auto"/>
              <w:jc w:val="left"/>
              <w:rPr>
                <w:rFonts w:eastAsia="Times New Roman" w:cs="Arial"/>
                <w:b/>
                <w:bCs/>
                <w:szCs w:val="18"/>
                <w:lang w:eastAsia="en-GB"/>
              </w:rPr>
            </w:pPr>
            <w:r w:rsidRPr="00265CA2">
              <w:rPr>
                <w:rFonts w:eastAsia="Times New Roman" w:cs="Arial"/>
                <w:b/>
                <w:bCs/>
                <w:szCs w:val="18"/>
                <w:lang w:eastAsia="en-GB"/>
              </w:rPr>
              <w:t>Krapinsko-zagorska</w:t>
            </w:r>
          </w:p>
        </w:tc>
        <w:tc>
          <w:tcPr>
            <w:tcW w:w="1247" w:type="dxa"/>
            <w:hideMark/>
          </w:tcPr>
          <w:p w14:paraId="36CF874C" w14:textId="77777777" w:rsidR="00EB3667" w:rsidRPr="00265CA2" w:rsidRDefault="00EB3667" w:rsidP="001D3ADC">
            <w:pPr>
              <w:spacing w:after="0" w:line="240" w:lineRule="auto"/>
              <w:jc w:val="right"/>
              <w:rPr>
                <w:rFonts w:eastAsia="Times New Roman" w:cs="Arial"/>
                <w:szCs w:val="18"/>
                <w:lang w:eastAsia="en-GB"/>
              </w:rPr>
            </w:pPr>
            <w:r w:rsidRPr="00265CA2">
              <w:rPr>
                <w:rFonts w:ascii="Calibri" w:eastAsia="Times New Roman" w:hAnsi="Calibri" w:cs="Calibri"/>
                <w:szCs w:val="18"/>
                <w:lang w:eastAsia="en-GB"/>
              </w:rPr>
              <w:t> </w:t>
            </w:r>
          </w:p>
        </w:tc>
        <w:tc>
          <w:tcPr>
            <w:tcW w:w="2494" w:type="dxa"/>
            <w:hideMark/>
          </w:tcPr>
          <w:p w14:paraId="52864527" w14:textId="77777777" w:rsidR="00EB3667" w:rsidRPr="00265CA2" w:rsidRDefault="00EB3667" w:rsidP="001D3ADC">
            <w:pPr>
              <w:spacing w:after="0" w:line="240" w:lineRule="auto"/>
              <w:jc w:val="right"/>
              <w:rPr>
                <w:rFonts w:eastAsia="Times New Roman" w:cs="Arial"/>
                <w:szCs w:val="18"/>
                <w:lang w:eastAsia="en-GB"/>
              </w:rPr>
            </w:pPr>
            <w:r w:rsidRPr="00265CA2">
              <w:rPr>
                <w:rFonts w:ascii="Calibri" w:eastAsia="Times New Roman" w:hAnsi="Calibri" w:cs="Calibri"/>
                <w:szCs w:val="18"/>
                <w:lang w:eastAsia="en-GB"/>
              </w:rPr>
              <w:t> </w:t>
            </w:r>
          </w:p>
        </w:tc>
        <w:tc>
          <w:tcPr>
            <w:tcW w:w="1984" w:type="dxa"/>
            <w:hideMark/>
          </w:tcPr>
          <w:p w14:paraId="0417BB25" w14:textId="77777777" w:rsidR="00EB3667" w:rsidRPr="00265CA2" w:rsidRDefault="00EB3667" w:rsidP="001D3ADC">
            <w:pPr>
              <w:spacing w:after="0" w:line="240" w:lineRule="auto"/>
              <w:jc w:val="right"/>
              <w:rPr>
                <w:rFonts w:eastAsia="Times New Roman" w:cs="Arial"/>
                <w:szCs w:val="18"/>
                <w:lang w:eastAsia="en-GB"/>
              </w:rPr>
            </w:pPr>
            <w:r w:rsidRPr="00265CA2">
              <w:rPr>
                <w:rFonts w:ascii="Calibri" w:eastAsia="Times New Roman" w:hAnsi="Calibri" w:cs="Calibri"/>
                <w:szCs w:val="18"/>
                <w:lang w:eastAsia="en-GB"/>
              </w:rPr>
              <w:t> </w:t>
            </w:r>
          </w:p>
        </w:tc>
      </w:tr>
      <w:tr w:rsidR="00EB3667" w:rsidRPr="00265CA2" w14:paraId="4D23A2F7" w14:textId="77777777" w:rsidTr="001D3ADC">
        <w:trPr>
          <w:trHeight w:val="239"/>
        </w:trPr>
        <w:tc>
          <w:tcPr>
            <w:tcW w:w="3548" w:type="dxa"/>
            <w:vAlign w:val="center"/>
            <w:hideMark/>
          </w:tcPr>
          <w:p w14:paraId="6511B4EC"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Marijan Žnidarec - 9,69 kW</w:t>
            </w:r>
          </w:p>
        </w:tc>
        <w:tc>
          <w:tcPr>
            <w:tcW w:w="1247" w:type="dxa"/>
            <w:vAlign w:val="center"/>
            <w:hideMark/>
          </w:tcPr>
          <w:p w14:paraId="7356B559"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9,69</w:t>
            </w:r>
          </w:p>
        </w:tc>
        <w:tc>
          <w:tcPr>
            <w:tcW w:w="2494" w:type="dxa"/>
            <w:vAlign w:val="center"/>
            <w:hideMark/>
          </w:tcPr>
          <w:p w14:paraId="6077FB96"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Kumrovec</w:t>
            </w:r>
          </w:p>
        </w:tc>
        <w:tc>
          <w:tcPr>
            <w:tcW w:w="1984" w:type="dxa"/>
            <w:vAlign w:val="center"/>
            <w:hideMark/>
          </w:tcPr>
          <w:p w14:paraId="75FB84D4"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Razvor</w:t>
            </w:r>
          </w:p>
        </w:tc>
      </w:tr>
      <w:tr w:rsidR="00EB3667" w:rsidRPr="00265CA2" w14:paraId="0AAE7129" w14:textId="77777777" w:rsidTr="001D3ADC">
        <w:trPr>
          <w:trHeight w:val="239"/>
        </w:trPr>
        <w:tc>
          <w:tcPr>
            <w:tcW w:w="3548" w:type="dxa"/>
            <w:vAlign w:val="center"/>
            <w:hideMark/>
          </w:tcPr>
          <w:p w14:paraId="6B2FB193"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HVAC-1</w:t>
            </w:r>
          </w:p>
        </w:tc>
        <w:tc>
          <w:tcPr>
            <w:tcW w:w="1247" w:type="dxa"/>
            <w:vAlign w:val="center"/>
            <w:hideMark/>
          </w:tcPr>
          <w:p w14:paraId="1FBC380F"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10,00</w:t>
            </w:r>
          </w:p>
        </w:tc>
        <w:tc>
          <w:tcPr>
            <w:tcW w:w="2494" w:type="dxa"/>
            <w:vAlign w:val="center"/>
            <w:hideMark/>
          </w:tcPr>
          <w:p w14:paraId="12BF6168"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Oroslavje</w:t>
            </w:r>
          </w:p>
        </w:tc>
        <w:tc>
          <w:tcPr>
            <w:tcW w:w="1984" w:type="dxa"/>
            <w:vAlign w:val="center"/>
            <w:hideMark/>
          </w:tcPr>
          <w:p w14:paraId="530890F9"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Oroslavje</w:t>
            </w:r>
          </w:p>
        </w:tc>
      </w:tr>
      <w:tr w:rsidR="00EB3667" w:rsidRPr="00265CA2" w14:paraId="4D9F1AC7" w14:textId="77777777" w:rsidTr="001D3ADC">
        <w:trPr>
          <w:trHeight w:val="239"/>
        </w:trPr>
        <w:tc>
          <w:tcPr>
            <w:tcW w:w="3548" w:type="dxa"/>
            <w:vAlign w:val="center"/>
            <w:hideMark/>
          </w:tcPr>
          <w:p w14:paraId="6137D70F"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HVAC-2</w:t>
            </w:r>
          </w:p>
        </w:tc>
        <w:tc>
          <w:tcPr>
            <w:tcW w:w="1247" w:type="dxa"/>
            <w:vAlign w:val="center"/>
            <w:hideMark/>
          </w:tcPr>
          <w:p w14:paraId="364237E3"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6,00</w:t>
            </w:r>
          </w:p>
        </w:tc>
        <w:tc>
          <w:tcPr>
            <w:tcW w:w="2494" w:type="dxa"/>
            <w:vAlign w:val="center"/>
            <w:hideMark/>
          </w:tcPr>
          <w:p w14:paraId="2566C659"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Oroslavje</w:t>
            </w:r>
          </w:p>
        </w:tc>
        <w:tc>
          <w:tcPr>
            <w:tcW w:w="1984" w:type="dxa"/>
            <w:vAlign w:val="center"/>
            <w:hideMark/>
          </w:tcPr>
          <w:p w14:paraId="72D417B9"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Oroslavje</w:t>
            </w:r>
          </w:p>
        </w:tc>
      </w:tr>
      <w:tr w:rsidR="00EB3667" w:rsidRPr="00265CA2" w14:paraId="7B7E0130" w14:textId="77777777" w:rsidTr="001D3ADC">
        <w:trPr>
          <w:trHeight w:val="239"/>
        </w:trPr>
        <w:tc>
          <w:tcPr>
            <w:tcW w:w="3548" w:type="dxa"/>
            <w:vAlign w:val="center"/>
            <w:hideMark/>
          </w:tcPr>
          <w:p w14:paraId="6BD326D2"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Ratkajec</w:t>
            </w:r>
          </w:p>
        </w:tc>
        <w:tc>
          <w:tcPr>
            <w:tcW w:w="1247" w:type="dxa"/>
            <w:vAlign w:val="center"/>
            <w:hideMark/>
          </w:tcPr>
          <w:p w14:paraId="1E854106"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10,00</w:t>
            </w:r>
          </w:p>
        </w:tc>
        <w:tc>
          <w:tcPr>
            <w:tcW w:w="2494" w:type="dxa"/>
            <w:vAlign w:val="center"/>
            <w:hideMark/>
          </w:tcPr>
          <w:p w14:paraId="791C4B08"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Tuhelj</w:t>
            </w:r>
          </w:p>
        </w:tc>
        <w:tc>
          <w:tcPr>
            <w:tcW w:w="1984" w:type="dxa"/>
            <w:vAlign w:val="center"/>
            <w:hideMark/>
          </w:tcPr>
          <w:p w14:paraId="4D777987"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Tuhelj</w:t>
            </w:r>
          </w:p>
        </w:tc>
      </w:tr>
      <w:tr w:rsidR="00EB3667" w:rsidRPr="00265CA2" w14:paraId="122B6291" w14:textId="77777777" w:rsidTr="001D3ADC">
        <w:trPr>
          <w:trHeight w:val="239"/>
        </w:trPr>
        <w:tc>
          <w:tcPr>
            <w:tcW w:w="3548" w:type="dxa"/>
            <w:vAlign w:val="center"/>
            <w:hideMark/>
          </w:tcPr>
          <w:p w14:paraId="2C0083C7"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MIP-IVETIĆ</w:t>
            </w:r>
          </w:p>
        </w:tc>
        <w:tc>
          <w:tcPr>
            <w:tcW w:w="1247" w:type="dxa"/>
            <w:vAlign w:val="center"/>
            <w:hideMark/>
          </w:tcPr>
          <w:p w14:paraId="2ACC2E27"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10,00</w:t>
            </w:r>
          </w:p>
        </w:tc>
        <w:tc>
          <w:tcPr>
            <w:tcW w:w="2494" w:type="dxa"/>
            <w:vAlign w:val="center"/>
            <w:hideMark/>
          </w:tcPr>
          <w:p w14:paraId="7613653B"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Veliko Trgovišće</w:t>
            </w:r>
          </w:p>
        </w:tc>
        <w:tc>
          <w:tcPr>
            <w:tcW w:w="1984" w:type="dxa"/>
            <w:vAlign w:val="center"/>
            <w:hideMark/>
          </w:tcPr>
          <w:p w14:paraId="611F8B2F"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Veliko Trgovišće</w:t>
            </w:r>
          </w:p>
        </w:tc>
      </w:tr>
      <w:tr w:rsidR="00EB3667" w:rsidRPr="00265CA2" w14:paraId="48C85810" w14:textId="77777777" w:rsidTr="001D3ADC">
        <w:trPr>
          <w:trHeight w:val="239"/>
        </w:trPr>
        <w:tc>
          <w:tcPr>
            <w:tcW w:w="3548" w:type="dxa"/>
            <w:vAlign w:val="center"/>
            <w:hideMark/>
          </w:tcPr>
          <w:p w14:paraId="25711C02"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Tomo Horvat - 10kW</w:t>
            </w:r>
          </w:p>
        </w:tc>
        <w:tc>
          <w:tcPr>
            <w:tcW w:w="1247" w:type="dxa"/>
            <w:vAlign w:val="center"/>
            <w:hideMark/>
          </w:tcPr>
          <w:p w14:paraId="7F4C4F91"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10,00</w:t>
            </w:r>
          </w:p>
        </w:tc>
        <w:tc>
          <w:tcPr>
            <w:tcW w:w="2494" w:type="dxa"/>
            <w:vAlign w:val="center"/>
            <w:hideMark/>
          </w:tcPr>
          <w:p w14:paraId="2D955B86"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Zlatar Bistrica</w:t>
            </w:r>
          </w:p>
        </w:tc>
        <w:tc>
          <w:tcPr>
            <w:tcW w:w="1984" w:type="dxa"/>
            <w:vAlign w:val="center"/>
            <w:hideMark/>
          </w:tcPr>
          <w:p w14:paraId="55E4E23E"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Veleškovec</w:t>
            </w:r>
          </w:p>
        </w:tc>
      </w:tr>
      <w:tr w:rsidR="00EB3667" w:rsidRPr="00265CA2" w14:paraId="4DC3A203" w14:textId="77777777" w:rsidTr="001D3ADC">
        <w:trPr>
          <w:trHeight w:val="239"/>
        </w:trPr>
        <w:tc>
          <w:tcPr>
            <w:tcW w:w="3548" w:type="dxa"/>
            <w:vAlign w:val="center"/>
            <w:hideMark/>
          </w:tcPr>
          <w:p w14:paraId="48E73B19"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Ivana R</w:t>
            </w:r>
          </w:p>
        </w:tc>
        <w:tc>
          <w:tcPr>
            <w:tcW w:w="1247" w:type="dxa"/>
            <w:vAlign w:val="center"/>
            <w:hideMark/>
          </w:tcPr>
          <w:p w14:paraId="69D30D63"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10,00</w:t>
            </w:r>
          </w:p>
        </w:tc>
        <w:tc>
          <w:tcPr>
            <w:tcW w:w="2494" w:type="dxa"/>
            <w:vAlign w:val="center"/>
            <w:hideMark/>
          </w:tcPr>
          <w:p w14:paraId="60B590F7"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Zabok</w:t>
            </w:r>
          </w:p>
        </w:tc>
        <w:tc>
          <w:tcPr>
            <w:tcW w:w="1984" w:type="dxa"/>
            <w:vAlign w:val="center"/>
            <w:hideMark/>
          </w:tcPr>
          <w:p w14:paraId="30873331"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Zabok</w:t>
            </w:r>
          </w:p>
        </w:tc>
      </w:tr>
      <w:tr w:rsidR="00EB3667" w:rsidRPr="00265CA2" w14:paraId="51FB6716" w14:textId="77777777" w:rsidTr="001D3ADC">
        <w:trPr>
          <w:trHeight w:val="239"/>
        </w:trPr>
        <w:tc>
          <w:tcPr>
            <w:tcW w:w="3548" w:type="dxa"/>
            <w:vAlign w:val="center"/>
            <w:hideMark/>
          </w:tcPr>
          <w:p w14:paraId="652B244E"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TT Inženjering</w:t>
            </w:r>
          </w:p>
        </w:tc>
        <w:tc>
          <w:tcPr>
            <w:tcW w:w="1247" w:type="dxa"/>
            <w:vAlign w:val="center"/>
            <w:hideMark/>
          </w:tcPr>
          <w:p w14:paraId="431CAEA9"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10,00</w:t>
            </w:r>
          </w:p>
        </w:tc>
        <w:tc>
          <w:tcPr>
            <w:tcW w:w="2494" w:type="dxa"/>
            <w:vAlign w:val="center"/>
            <w:hideMark/>
          </w:tcPr>
          <w:p w14:paraId="3E655991"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Bedekovčina</w:t>
            </w:r>
          </w:p>
        </w:tc>
        <w:tc>
          <w:tcPr>
            <w:tcW w:w="1984" w:type="dxa"/>
            <w:vAlign w:val="center"/>
            <w:hideMark/>
          </w:tcPr>
          <w:p w14:paraId="5129F727"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Bedekovčina</w:t>
            </w:r>
          </w:p>
        </w:tc>
      </w:tr>
      <w:tr w:rsidR="00EB3667" w:rsidRPr="00265CA2" w14:paraId="28FAB240" w14:textId="77777777" w:rsidTr="001D3ADC">
        <w:trPr>
          <w:trHeight w:val="239"/>
        </w:trPr>
        <w:tc>
          <w:tcPr>
            <w:tcW w:w="3548" w:type="dxa"/>
            <w:vAlign w:val="center"/>
            <w:hideMark/>
          </w:tcPr>
          <w:p w14:paraId="34AEA19E"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Ilijašević</w:t>
            </w:r>
          </w:p>
        </w:tc>
        <w:tc>
          <w:tcPr>
            <w:tcW w:w="1247" w:type="dxa"/>
            <w:vAlign w:val="center"/>
            <w:hideMark/>
          </w:tcPr>
          <w:p w14:paraId="2A7AF015"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10,00</w:t>
            </w:r>
          </w:p>
        </w:tc>
        <w:tc>
          <w:tcPr>
            <w:tcW w:w="2494" w:type="dxa"/>
            <w:vAlign w:val="center"/>
            <w:hideMark/>
          </w:tcPr>
          <w:p w14:paraId="49592C9F"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Hum na Sutli</w:t>
            </w:r>
          </w:p>
        </w:tc>
        <w:tc>
          <w:tcPr>
            <w:tcW w:w="1984" w:type="dxa"/>
            <w:vAlign w:val="center"/>
            <w:hideMark/>
          </w:tcPr>
          <w:p w14:paraId="7D11A52D"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Lupinjak</w:t>
            </w:r>
          </w:p>
        </w:tc>
      </w:tr>
      <w:tr w:rsidR="00EB3667" w:rsidRPr="00265CA2" w14:paraId="3A34468B" w14:textId="77777777" w:rsidTr="001D3ADC">
        <w:trPr>
          <w:trHeight w:val="239"/>
        </w:trPr>
        <w:tc>
          <w:tcPr>
            <w:tcW w:w="3548" w:type="dxa"/>
            <w:vAlign w:val="center"/>
            <w:hideMark/>
          </w:tcPr>
          <w:p w14:paraId="34950151"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Solarmont Zlatar 1</w:t>
            </w:r>
          </w:p>
        </w:tc>
        <w:tc>
          <w:tcPr>
            <w:tcW w:w="1247" w:type="dxa"/>
            <w:vAlign w:val="center"/>
            <w:hideMark/>
          </w:tcPr>
          <w:p w14:paraId="53603F84"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10,00</w:t>
            </w:r>
          </w:p>
        </w:tc>
        <w:tc>
          <w:tcPr>
            <w:tcW w:w="2494" w:type="dxa"/>
            <w:vAlign w:val="center"/>
            <w:hideMark/>
          </w:tcPr>
          <w:p w14:paraId="2E71828C"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Zlatar</w:t>
            </w:r>
          </w:p>
        </w:tc>
        <w:tc>
          <w:tcPr>
            <w:tcW w:w="1984" w:type="dxa"/>
            <w:vAlign w:val="center"/>
            <w:hideMark/>
          </w:tcPr>
          <w:p w14:paraId="53A9F54C"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Zlatar</w:t>
            </w:r>
          </w:p>
        </w:tc>
      </w:tr>
      <w:tr w:rsidR="00EB3667" w:rsidRPr="00265CA2" w14:paraId="5159CB88" w14:textId="77777777" w:rsidTr="001D3ADC">
        <w:trPr>
          <w:trHeight w:val="239"/>
        </w:trPr>
        <w:tc>
          <w:tcPr>
            <w:tcW w:w="3548" w:type="dxa"/>
            <w:vAlign w:val="center"/>
            <w:hideMark/>
          </w:tcPr>
          <w:p w14:paraId="0283057C"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Solarmont Zlatar 2</w:t>
            </w:r>
          </w:p>
        </w:tc>
        <w:tc>
          <w:tcPr>
            <w:tcW w:w="1247" w:type="dxa"/>
            <w:vAlign w:val="center"/>
            <w:hideMark/>
          </w:tcPr>
          <w:p w14:paraId="7776285B"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10,00</w:t>
            </w:r>
          </w:p>
        </w:tc>
        <w:tc>
          <w:tcPr>
            <w:tcW w:w="2494" w:type="dxa"/>
            <w:vAlign w:val="center"/>
            <w:hideMark/>
          </w:tcPr>
          <w:p w14:paraId="0AF721C0"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Zlatar</w:t>
            </w:r>
          </w:p>
        </w:tc>
        <w:tc>
          <w:tcPr>
            <w:tcW w:w="1984" w:type="dxa"/>
            <w:vAlign w:val="center"/>
            <w:hideMark/>
          </w:tcPr>
          <w:p w14:paraId="45D68284"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Zlatar</w:t>
            </w:r>
          </w:p>
        </w:tc>
      </w:tr>
      <w:tr w:rsidR="00EB3667" w:rsidRPr="00265CA2" w14:paraId="3B40CD3E" w14:textId="77777777" w:rsidTr="001D3ADC">
        <w:trPr>
          <w:trHeight w:val="239"/>
        </w:trPr>
        <w:tc>
          <w:tcPr>
            <w:tcW w:w="3548" w:type="dxa"/>
            <w:vAlign w:val="center"/>
            <w:hideMark/>
          </w:tcPr>
          <w:p w14:paraId="7CE2087A"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Zagorje promet</w:t>
            </w:r>
          </w:p>
        </w:tc>
        <w:tc>
          <w:tcPr>
            <w:tcW w:w="1247" w:type="dxa"/>
            <w:vAlign w:val="center"/>
            <w:hideMark/>
          </w:tcPr>
          <w:p w14:paraId="066C3BFE"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30,00</w:t>
            </w:r>
          </w:p>
        </w:tc>
        <w:tc>
          <w:tcPr>
            <w:tcW w:w="2494" w:type="dxa"/>
            <w:vAlign w:val="center"/>
            <w:hideMark/>
          </w:tcPr>
          <w:p w14:paraId="01462292"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Zagorska Sela</w:t>
            </w:r>
          </w:p>
        </w:tc>
        <w:tc>
          <w:tcPr>
            <w:tcW w:w="1984" w:type="dxa"/>
            <w:vAlign w:val="center"/>
            <w:hideMark/>
          </w:tcPr>
          <w:p w14:paraId="7AA8DD5A"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Miljana</w:t>
            </w:r>
          </w:p>
        </w:tc>
      </w:tr>
      <w:tr w:rsidR="00EB3667" w:rsidRPr="00265CA2" w14:paraId="6C8415F5" w14:textId="77777777" w:rsidTr="001D3ADC">
        <w:trPr>
          <w:trHeight w:val="239"/>
        </w:trPr>
        <w:tc>
          <w:tcPr>
            <w:tcW w:w="3548" w:type="dxa"/>
            <w:vAlign w:val="center"/>
            <w:hideMark/>
          </w:tcPr>
          <w:p w14:paraId="400E992B"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Fotonaponski sustav Krklec Metal</w:t>
            </w:r>
          </w:p>
        </w:tc>
        <w:tc>
          <w:tcPr>
            <w:tcW w:w="1247" w:type="dxa"/>
            <w:vAlign w:val="center"/>
            <w:hideMark/>
          </w:tcPr>
          <w:p w14:paraId="0B16D1B4"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30,00</w:t>
            </w:r>
          </w:p>
        </w:tc>
        <w:tc>
          <w:tcPr>
            <w:tcW w:w="2494" w:type="dxa"/>
            <w:vAlign w:val="center"/>
            <w:hideMark/>
          </w:tcPr>
          <w:p w14:paraId="05779A05"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Hum na Sutli</w:t>
            </w:r>
          </w:p>
        </w:tc>
        <w:tc>
          <w:tcPr>
            <w:tcW w:w="1984" w:type="dxa"/>
            <w:vAlign w:val="center"/>
            <w:hideMark/>
          </w:tcPr>
          <w:p w14:paraId="585C6B0F"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Lupinjak</w:t>
            </w:r>
          </w:p>
        </w:tc>
      </w:tr>
      <w:tr w:rsidR="00EB3667" w:rsidRPr="00265CA2" w14:paraId="4EF348DE" w14:textId="77777777" w:rsidTr="001D3ADC">
        <w:trPr>
          <w:trHeight w:val="239"/>
        </w:trPr>
        <w:tc>
          <w:tcPr>
            <w:tcW w:w="3548" w:type="dxa"/>
            <w:vAlign w:val="center"/>
            <w:hideMark/>
          </w:tcPr>
          <w:p w14:paraId="224B4D58"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BELINA 1</w:t>
            </w:r>
          </w:p>
        </w:tc>
        <w:tc>
          <w:tcPr>
            <w:tcW w:w="1247" w:type="dxa"/>
            <w:vAlign w:val="center"/>
            <w:hideMark/>
          </w:tcPr>
          <w:p w14:paraId="3DE2EDD4"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30,00</w:t>
            </w:r>
          </w:p>
        </w:tc>
        <w:tc>
          <w:tcPr>
            <w:tcW w:w="2494" w:type="dxa"/>
            <w:vAlign w:val="center"/>
            <w:hideMark/>
          </w:tcPr>
          <w:p w14:paraId="45CAB515"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Krapinske Toplice</w:t>
            </w:r>
          </w:p>
        </w:tc>
        <w:tc>
          <w:tcPr>
            <w:tcW w:w="1984" w:type="dxa"/>
            <w:vAlign w:val="center"/>
            <w:hideMark/>
          </w:tcPr>
          <w:p w14:paraId="0C91C305"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Vrtnjakovec</w:t>
            </w:r>
          </w:p>
        </w:tc>
      </w:tr>
      <w:tr w:rsidR="00EB3667" w:rsidRPr="00265CA2" w14:paraId="4989D937" w14:textId="77777777" w:rsidTr="001D3ADC">
        <w:trPr>
          <w:trHeight w:val="239"/>
        </w:trPr>
        <w:tc>
          <w:tcPr>
            <w:tcW w:w="3548" w:type="dxa"/>
            <w:vAlign w:val="center"/>
            <w:hideMark/>
          </w:tcPr>
          <w:p w14:paraId="663F5360"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Rajić 1</w:t>
            </w:r>
          </w:p>
        </w:tc>
        <w:tc>
          <w:tcPr>
            <w:tcW w:w="1247" w:type="dxa"/>
            <w:vAlign w:val="center"/>
            <w:hideMark/>
          </w:tcPr>
          <w:p w14:paraId="266E64D7"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30,00</w:t>
            </w:r>
          </w:p>
        </w:tc>
        <w:tc>
          <w:tcPr>
            <w:tcW w:w="2494" w:type="dxa"/>
            <w:vAlign w:val="center"/>
            <w:hideMark/>
          </w:tcPr>
          <w:p w14:paraId="741F5336"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Zabok</w:t>
            </w:r>
          </w:p>
        </w:tc>
        <w:tc>
          <w:tcPr>
            <w:tcW w:w="1984" w:type="dxa"/>
            <w:vAlign w:val="center"/>
            <w:hideMark/>
          </w:tcPr>
          <w:p w14:paraId="70C826EA"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Zabok</w:t>
            </w:r>
          </w:p>
        </w:tc>
      </w:tr>
      <w:tr w:rsidR="00EB3667" w:rsidRPr="00265CA2" w14:paraId="054E10BA" w14:textId="77777777" w:rsidTr="001D3ADC">
        <w:trPr>
          <w:trHeight w:val="239"/>
        </w:trPr>
        <w:tc>
          <w:tcPr>
            <w:tcW w:w="3548" w:type="dxa"/>
            <w:vAlign w:val="center"/>
            <w:hideMark/>
          </w:tcPr>
          <w:p w14:paraId="485EF6B6"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Vincetić i sin Mihovljan</w:t>
            </w:r>
          </w:p>
        </w:tc>
        <w:tc>
          <w:tcPr>
            <w:tcW w:w="1247" w:type="dxa"/>
            <w:vAlign w:val="center"/>
            <w:hideMark/>
          </w:tcPr>
          <w:p w14:paraId="7E2B74E3"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30,00</w:t>
            </w:r>
          </w:p>
        </w:tc>
        <w:tc>
          <w:tcPr>
            <w:tcW w:w="2494" w:type="dxa"/>
            <w:vAlign w:val="center"/>
            <w:hideMark/>
          </w:tcPr>
          <w:p w14:paraId="64302153"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Mihovljan</w:t>
            </w:r>
          </w:p>
        </w:tc>
        <w:tc>
          <w:tcPr>
            <w:tcW w:w="1984" w:type="dxa"/>
            <w:vAlign w:val="center"/>
            <w:hideMark/>
          </w:tcPr>
          <w:p w14:paraId="257B468B"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Mihovljan</w:t>
            </w:r>
          </w:p>
        </w:tc>
      </w:tr>
      <w:tr w:rsidR="00EB3667" w:rsidRPr="00265CA2" w14:paraId="6604D61F" w14:textId="77777777" w:rsidTr="001D3ADC">
        <w:trPr>
          <w:trHeight w:val="239"/>
        </w:trPr>
        <w:tc>
          <w:tcPr>
            <w:tcW w:w="3548" w:type="dxa"/>
            <w:vAlign w:val="center"/>
            <w:hideMark/>
          </w:tcPr>
          <w:p w14:paraId="1EE454F6"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Konjščina I</w:t>
            </w:r>
          </w:p>
        </w:tc>
        <w:tc>
          <w:tcPr>
            <w:tcW w:w="1247" w:type="dxa"/>
            <w:vAlign w:val="center"/>
            <w:hideMark/>
          </w:tcPr>
          <w:p w14:paraId="389C2D58"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169,00</w:t>
            </w:r>
          </w:p>
        </w:tc>
        <w:tc>
          <w:tcPr>
            <w:tcW w:w="2494" w:type="dxa"/>
            <w:vAlign w:val="center"/>
            <w:hideMark/>
          </w:tcPr>
          <w:p w14:paraId="5A8469DA"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c>
          <w:tcPr>
            <w:tcW w:w="1984" w:type="dxa"/>
            <w:vAlign w:val="center"/>
            <w:hideMark/>
          </w:tcPr>
          <w:p w14:paraId="24DDA4B7"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r>
      <w:tr w:rsidR="00EB3667" w:rsidRPr="00265CA2" w14:paraId="3F8BA829" w14:textId="77777777" w:rsidTr="001D3ADC">
        <w:trPr>
          <w:trHeight w:val="239"/>
        </w:trPr>
        <w:tc>
          <w:tcPr>
            <w:tcW w:w="3548" w:type="dxa"/>
            <w:vAlign w:val="center"/>
            <w:hideMark/>
          </w:tcPr>
          <w:p w14:paraId="629754B4"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Konjščina II</w:t>
            </w:r>
          </w:p>
        </w:tc>
        <w:tc>
          <w:tcPr>
            <w:tcW w:w="1247" w:type="dxa"/>
            <w:vAlign w:val="center"/>
            <w:hideMark/>
          </w:tcPr>
          <w:p w14:paraId="62995761"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177,00</w:t>
            </w:r>
          </w:p>
        </w:tc>
        <w:tc>
          <w:tcPr>
            <w:tcW w:w="2494" w:type="dxa"/>
            <w:vAlign w:val="center"/>
            <w:hideMark/>
          </w:tcPr>
          <w:p w14:paraId="2FBA03D9"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c>
          <w:tcPr>
            <w:tcW w:w="1984" w:type="dxa"/>
            <w:vAlign w:val="center"/>
            <w:hideMark/>
          </w:tcPr>
          <w:p w14:paraId="0E326CFC"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r>
      <w:tr w:rsidR="00EB3667" w:rsidRPr="00265CA2" w14:paraId="7B51341F" w14:textId="77777777" w:rsidTr="001D3ADC">
        <w:trPr>
          <w:trHeight w:val="239"/>
        </w:trPr>
        <w:tc>
          <w:tcPr>
            <w:tcW w:w="3548" w:type="dxa"/>
            <w:vAlign w:val="center"/>
            <w:hideMark/>
          </w:tcPr>
          <w:p w14:paraId="6BBEF19A"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Konjščina III</w:t>
            </w:r>
          </w:p>
        </w:tc>
        <w:tc>
          <w:tcPr>
            <w:tcW w:w="1247" w:type="dxa"/>
            <w:vAlign w:val="center"/>
            <w:hideMark/>
          </w:tcPr>
          <w:p w14:paraId="17479071"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151,00</w:t>
            </w:r>
          </w:p>
        </w:tc>
        <w:tc>
          <w:tcPr>
            <w:tcW w:w="2494" w:type="dxa"/>
            <w:vAlign w:val="center"/>
            <w:hideMark/>
          </w:tcPr>
          <w:p w14:paraId="2F7CFD51"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c>
          <w:tcPr>
            <w:tcW w:w="1984" w:type="dxa"/>
            <w:vAlign w:val="center"/>
            <w:hideMark/>
          </w:tcPr>
          <w:p w14:paraId="690EE417"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r>
      <w:tr w:rsidR="00EB3667" w:rsidRPr="00265CA2" w14:paraId="579F6A72" w14:textId="77777777" w:rsidTr="001D3ADC">
        <w:trPr>
          <w:trHeight w:val="239"/>
        </w:trPr>
        <w:tc>
          <w:tcPr>
            <w:tcW w:w="3548" w:type="dxa"/>
            <w:vAlign w:val="center"/>
            <w:hideMark/>
          </w:tcPr>
          <w:p w14:paraId="75498D6F"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Konjščina IV</w:t>
            </w:r>
          </w:p>
        </w:tc>
        <w:tc>
          <w:tcPr>
            <w:tcW w:w="1247" w:type="dxa"/>
            <w:vAlign w:val="center"/>
            <w:hideMark/>
          </w:tcPr>
          <w:p w14:paraId="21C3C50D"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999,00</w:t>
            </w:r>
          </w:p>
        </w:tc>
        <w:tc>
          <w:tcPr>
            <w:tcW w:w="2494" w:type="dxa"/>
            <w:vAlign w:val="center"/>
            <w:hideMark/>
          </w:tcPr>
          <w:p w14:paraId="6E6B4296"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c>
          <w:tcPr>
            <w:tcW w:w="1984" w:type="dxa"/>
            <w:vAlign w:val="center"/>
            <w:hideMark/>
          </w:tcPr>
          <w:p w14:paraId="23E65D8B"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r>
      <w:tr w:rsidR="00EB3667" w:rsidRPr="00265CA2" w14:paraId="655FA3B6" w14:textId="77777777" w:rsidTr="001D3ADC">
        <w:trPr>
          <w:trHeight w:val="239"/>
        </w:trPr>
        <w:tc>
          <w:tcPr>
            <w:tcW w:w="3548" w:type="dxa"/>
            <w:vAlign w:val="center"/>
            <w:hideMark/>
          </w:tcPr>
          <w:p w14:paraId="19C38629"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Zlatar Bistrica 3</w:t>
            </w:r>
          </w:p>
        </w:tc>
        <w:tc>
          <w:tcPr>
            <w:tcW w:w="1247" w:type="dxa"/>
            <w:vAlign w:val="center"/>
            <w:hideMark/>
          </w:tcPr>
          <w:p w14:paraId="7CFE9833"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999,00</w:t>
            </w:r>
          </w:p>
        </w:tc>
        <w:tc>
          <w:tcPr>
            <w:tcW w:w="2494" w:type="dxa"/>
            <w:vAlign w:val="center"/>
            <w:hideMark/>
          </w:tcPr>
          <w:p w14:paraId="4E21DD67"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Zlatar Bistrica</w:t>
            </w:r>
          </w:p>
        </w:tc>
        <w:tc>
          <w:tcPr>
            <w:tcW w:w="1984" w:type="dxa"/>
            <w:vAlign w:val="center"/>
            <w:hideMark/>
          </w:tcPr>
          <w:p w14:paraId="0437A272"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Lovrečan</w:t>
            </w:r>
          </w:p>
        </w:tc>
      </w:tr>
      <w:tr w:rsidR="00EB3667" w:rsidRPr="00265CA2" w14:paraId="29E2120E" w14:textId="77777777" w:rsidTr="001D3ADC">
        <w:trPr>
          <w:trHeight w:val="239"/>
        </w:trPr>
        <w:tc>
          <w:tcPr>
            <w:tcW w:w="3548" w:type="dxa"/>
            <w:vAlign w:val="center"/>
            <w:hideMark/>
          </w:tcPr>
          <w:p w14:paraId="21187514"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Zlatar Bistrica 1</w:t>
            </w:r>
          </w:p>
        </w:tc>
        <w:tc>
          <w:tcPr>
            <w:tcW w:w="1247" w:type="dxa"/>
            <w:vAlign w:val="center"/>
            <w:hideMark/>
          </w:tcPr>
          <w:p w14:paraId="425052B0"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999,00</w:t>
            </w:r>
          </w:p>
        </w:tc>
        <w:tc>
          <w:tcPr>
            <w:tcW w:w="2494" w:type="dxa"/>
            <w:vAlign w:val="center"/>
            <w:hideMark/>
          </w:tcPr>
          <w:p w14:paraId="1E80FC49"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Zlatar Bistrica</w:t>
            </w:r>
          </w:p>
        </w:tc>
        <w:tc>
          <w:tcPr>
            <w:tcW w:w="1984" w:type="dxa"/>
            <w:vAlign w:val="center"/>
            <w:hideMark/>
          </w:tcPr>
          <w:p w14:paraId="555B47E5"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Lovrečan</w:t>
            </w:r>
          </w:p>
        </w:tc>
      </w:tr>
      <w:tr w:rsidR="00EB3667" w:rsidRPr="00265CA2" w14:paraId="1B10596C" w14:textId="77777777" w:rsidTr="001D3ADC">
        <w:trPr>
          <w:trHeight w:val="239"/>
        </w:trPr>
        <w:tc>
          <w:tcPr>
            <w:tcW w:w="3548" w:type="dxa"/>
            <w:vAlign w:val="center"/>
            <w:hideMark/>
          </w:tcPr>
          <w:p w14:paraId="60DB7235"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Konjščina V</w:t>
            </w:r>
          </w:p>
        </w:tc>
        <w:tc>
          <w:tcPr>
            <w:tcW w:w="1247" w:type="dxa"/>
            <w:vAlign w:val="center"/>
            <w:hideMark/>
          </w:tcPr>
          <w:p w14:paraId="5DB95443"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996,00</w:t>
            </w:r>
          </w:p>
        </w:tc>
        <w:tc>
          <w:tcPr>
            <w:tcW w:w="2494" w:type="dxa"/>
            <w:vAlign w:val="center"/>
            <w:hideMark/>
          </w:tcPr>
          <w:p w14:paraId="29E27598"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c>
          <w:tcPr>
            <w:tcW w:w="1984" w:type="dxa"/>
            <w:vAlign w:val="center"/>
            <w:hideMark/>
          </w:tcPr>
          <w:p w14:paraId="6FC6073B"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r>
      <w:tr w:rsidR="00EB3667" w:rsidRPr="00265CA2" w14:paraId="18A1B44A" w14:textId="77777777" w:rsidTr="001D3ADC">
        <w:trPr>
          <w:trHeight w:val="239"/>
        </w:trPr>
        <w:tc>
          <w:tcPr>
            <w:tcW w:w="3548" w:type="dxa"/>
            <w:vAlign w:val="center"/>
            <w:hideMark/>
          </w:tcPr>
          <w:p w14:paraId="5D4348CB"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Konjščina VI</w:t>
            </w:r>
          </w:p>
        </w:tc>
        <w:tc>
          <w:tcPr>
            <w:tcW w:w="1247" w:type="dxa"/>
            <w:vAlign w:val="center"/>
            <w:hideMark/>
          </w:tcPr>
          <w:p w14:paraId="794C754D"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998,00</w:t>
            </w:r>
          </w:p>
        </w:tc>
        <w:tc>
          <w:tcPr>
            <w:tcW w:w="2494" w:type="dxa"/>
            <w:vAlign w:val="center"/>
            <w:hideMark/>
          </w:tcPr>
          <w:p w14:paraId="053CF7D9"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c>
          <w:tcPr>
            <w:tcW w:w="1984" w:type="dxa"/>
            <w:vAlign w:val="center"/>
            <w:hideMark/>
          </w:tcPr>
          <w:p w14:paraId="0EFCF077"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r>
      <w:tr w:rsidR="00EB3667" w:rsidRPr="00265CA2" w14:paraId="3F3054F6" w14:textId="77777777" w:rsidTr="001D3ADC">
        <w:trPr>
          <w:trHeight w:val="312"/>
        </w:trPr>
        <w:tc>
          <w:tcPr>
            <w:tcW w:w="3548" w:type="dxa"/>
            <w:vAlign w:val="center"/>
            <w:hideMark/>
          </w:tcPr>
          <w:p w14:paraId="0E8E310F"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Sunčana elektrana Konjščina VII</w:t>
            </w:r>
          </w:p>
        </w:tc>
        <w:tc>
          <w:tcPr>
            <w:tcW w:w="1247" w:type="dxa"/>
            <w:vAlign w:val="center"/>
            <w:hideMark/>
          </w:tcPr>
          <w:p w14:paraId="7FFCCC6F"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996,00</w:t>
            </w:r>
          </w:p>
        </w:tc>
        <w:tc>
          <w:tcPr>
            <w:tcW w:w="2494" w:type="dxa"/>
            <w:vAlign w:val="center"/>
            <w:hideMark/>
          </w:tcPr>
          <w:p w14:paraId="203BC32D"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c>
          <w:tcPr>
            <w:tcW w:w="1984" w:type="dxa"/>
            <w:vAlign w:val="center"/>
            <w:hideMark/>
          </w:tcPr>
          <w:p w14:paraId="2FBB4AC6"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Konjščina</w:t>
            </w:r>
          </w:p>
        </w:tc>
      </w:tr>
      <w:tr w:rsidR="00EB3667" w:rsidRPr="00265CA2" w14:paraId="7A0318DD" w14:textId="77777777" w:rsidTr="001D3ADC">
        <w:trPr>
          <w:trHeight w:val="239"/>
        </w:trPr>
        <w:tc>
          <w:tcPr>
            <w:tcW w:w="3548" w:type="dxa"/>
            <w:vAlign w:val="center"/>
            <w:hideMark/>
          </w:tcPr>
          <w:p w14:paraId="3C3842B3"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SE Jedinstvo 2</w:t>
            </w:r>
          </w:p>
        </w:tc>
        <w:tc>
          <w:tcPr>
            <w:tcW w:w="1247" w:type="dxa"/>
            <w:vAlign w:val="center"/>
            <w:hideMark/>
          </w:tcPr>
          <w:p w14:paraId="5563A4FE"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30,00</w:t>
            </w:r>
          </w:p>
        </w:tc>
        <w:tc>
          <w:tcPr>
            <w:tcW w:w="2494" w:type="dxa"/>
            <w:vAlign w:val="center"/>
            <w:hideMark/>
          </w:tcPr>
          <w:p w14:paraId="6ABD878D"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Krapina</w:t>
            </w:r>
          </w:p>
        </w:tc>
        <w:tc>
          <w:tcPr>
            <w:tcW w:w="1984" w:type="dxa"/>
            <w:vAlign w:val="center"/>
            <w:hideMark/>
          </w:tcPr>
          <w:p w14:paraId="04061FEA"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Krapina Grad</w:t>
            </w:r>
          </w:p>
        </w:tc>
      </w:tr>
      <w:tr w:rsidR="00EB3667" w:rsidRPr="00265CA2" w14:paraId="41363580" w14:textId="77777777" w:rsidTr="001D3ADC">
        <w:trPr>
          <w:trHeight w:val="239"/>
        </w:trPr>
        <w:tc>
          <w:tcPr>
            <w:tcW w:w="3548" w:type="dxa"/>
            <w:vAlign w:val="center"/>
            <w:hideMark/>
          </w:tcPr>
          <w:p w14:paraId="63DDD3B7"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 xml:space="preserve">SE Žutnica 2 </w:t>
            </w:r>
          </w:p>
        </w:tc>
        <w:tc>
          <w:tcPr>
            <w:tcW w:w="1247" w:type="dxa"/>
            <w:vAlign w:val="center"/>
            <w:hideMark/>
          </w:tcPr>
          <w:p w14:paraId="500FF004"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299,80</w:t>
            </w:r>
          </w:p>
        </w:tc>
        <w:tc>
          <w:tcPr>
            <w:tcW w:w="2494" w:type="dxa"/>
            <w:vAlign w:val="center"/>
            <w:hideMark/>
          </w:tcPr>
          <w:p w14:paraId="0E77AFCF"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Krapina</w:t>
            </w:r>
          </w:p>
        </w:tc>
        <w:tc>
          <w:tcPr>
            <w:tcW w:w="1984" w:type="dxa"/>
            <w:vAlign w:val="center"/>
            <w:hideMark/>
          </w:tcPr>
          <w:p w14:paraId="20A05053"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Krapina Grad</w:t>
            </w:r>
          </w:p>
        </w:tc>
      </w:tr>
      <w:tr w:rsidR="00EB3667" w:rsidRPr="00265CA2" w14:paraId="14E16597" w14:textId="77777777" w:rsidTr="001D3ADC">
        <w:trPr>
          <w:trHeight w:val="239"/>
        </w:trPr>
        <w:tc>
          <w:tcPr>
            <w:tcW w:w="3548" w:type="dxa"/>
            <w:vAlign w:val="center"/>
            <w:hideMark/>
          </w:tcPr>
          <w:p w14:paraId="57AF55ED"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SE Jedinstvo 1</w:t>
            </w:r>
          </w:p>
        </w:tc>
        <w:tc>
          <w:tcPr>
            <w:tcW w:w="1247" w:type="dxa"/>
            <w:vAlign w:val="center"/>
            <w:hideMark/>
          </w:tcPr>
          <w:p w14:paraId="7C804A8C"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289,80</w:t>
            </w:r>
          </w:p>
        </w:tc>
        <w:tc>
          <w:tcPr>
            <w:tcW w:w="2494" w:type="dxa"/>
            <w:vAlign w:val="center"/>
            <w:hideMark/>
          </w:tcPr>
          <w:p w14:paraId="60B8DAD0"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Krapina</w:t>
            </w:r>
          </w:p>
        </w:tc>
        <w:tc>
          <w:tcPr>
            <w:tcW w:w="1984" w:type="dxa"/>
            <w:vAlign w:val="center"/>
            <w:hideMark/>
          </w:tcPr>
          <w:p w14:paraId="2EAF4471"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Krapina Grad</w:t>
            </w:r>
          </w:p>
        </w:tc>
      </w:tr>
      <w:tr w:rsidR="00EB3667" w:rsidRPr="00265CA2" w14:paraId="1C90BC2F" w14:textId="77777777" w:rsidTr="001D3ADC">
        <w:trPr>
          <w:trHeight w:val="239"/>
        </w:trPr>
        <w:tc>
          <w:tcPr>
            <w:tcW w:w="3548" w:type="dxa"/>
            <w:vAlign w:val="center"/>
            <w:hideMark/>
          </w:tcPr>
          <w:p w14:paraId="260310B9" w14:textId="77777777" w:rsidR="00EB3667" w:rsidRPr="00265CA2" w:rsidRDefault="00EB3667" w:rsidP="001D3ADC">
            <w:pPr>
              <w:spacing w:after="0" w:line="240" w:lineRule="auto"/>
              <w:jc w:val="left"/>
              <w:rPr>
                <w:rFonts w:eastAsia="Times New Roman" w:cs="Arial"/>
                <w:szCs w:val="18"/>
                <w:lang w:eastAsia="en-GB"/>
              </w:rPr>
            </w:pPr>
            <w:r w:rsidRPr="00265CA2">
              <w:rPr>
                <w:rFonts w:eastAsia="Times New Roman" w:cs="Arial"/>
                <w:szCs w:val="18"/>
                <w:lang w:eastAsia="en-GB"/>
              </w:rPr>
              <w:t>SE Žutnica 1</w:t>
            </w:r>
          </w:p>
        </w:tc>
        <w:tc>
          <w:tcPr>
            <w:tcW w:w="1247" w:type="dxa"/>
            <w:vAlign w:val="center"/>
            <w:hideMark/>
          </w:tcPr>
          <w:p w14:paraId="5EA54BE4"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299,80</w:t>
            </w:r>
          </w:p>
        </w:tc>
        <w:tc>
          <w:tcPr>
            <w:tcW w:w="2494" w:type="dxa"/>
            <w:vAlign w:val="center"/>
            <w:hideMark/>
          </w:tcPr>
          <w:p w14:paraId="065D5CFF"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Krapina</w:t>
            </w:r>
          </w:p>
        </w:tc>
        <w:tc>
          <w:tcPr>
            <w:tcW w:w="1984" w:type="dxa"/>
            <w:vAlign w:val="center"/>
            <w:hideMark/>
          </w:tcPr>
          <w:p w14:paraId="46C55D15" w14:textId="77777777" w:rsidR="00EB3667" w:rsidRPr="00265CA2" w:rsidRDefault="00EB3667" w:rsidP="001D3ADC">
            <w:pPr>
              <w:spacing w:after="0" w:line="240" w:lineRule="auto"/>
              <w:jc w:val="right"/>
              <w:rPr>
                <w:rFonts w:eastAsia="Times New Roman" w:cs="Arial"/>
                <w:szCs w:val="18"/>
                <w:lang w:eastAsia="en-GB"/>
              </w:rPr>
            </w:pPr>
            <w:r w:rsidRPr="00265CA2">
              <w:rPr>
                <w:rFonts w:eastAsia="Times New Roman" w:cs="Arial"/>
                <w:szCs w:val="18"/>
                <w:lang w:eastAsia="en-GB"/>
              </w:rPr>
              <w:t>Krapina Grad</w:t>
            </w:r>
          </w:p>
        </w:tc>
      </w:tr>
      <w:tr w:rsidR="00EB3667" w:rsidRPr="00265CA2" w14:paraId="68F41934" w14:textId="77777777" w:rsidTr="001D3ADC">
        <w:trPr>
          <w:trHeight w:val="239"/>
        </w:trPr>
        <w:tc>
          <w:tcPr>
            <w:tcW w:w="3548" w:type="dxa"/>
            <w:shd w:val="clear" w:color="auto" w:fill="E5E5E5" w:themeFill="text1" w:themeFillTint="33"/>
            <w:vAlign w:val="center"/>
            <w:hideMark/>
          </w:tcPr>
          <w:p w14:paraId="77900A79" w14:textId="77777777" w:rsidR="00EB3667" w:rsidRPr="00265CA2" w:rsidRDefault="00EB3667" w:rsidP="001D3ADC">
            <w:pPr>
              <w:spacing w:after="0" w:line="240" w:lineRule="auto"/>
              <w:jc w:val="left"/>
              <w:rPr>
                <w:rFonts w:eastAsia="Times New Roman" w:cs="Arial"/>
                <w:b/>
                <w:bCs/>
                <w:szCs w:val="18"/>
                <w:lang w:eastAsia="en-GB"/>
              </w:rPr>
            </w:pPr>
            <w:r w:rsidRPr="00265CA2">
              <w:rPr>
                <w:rFonts w:eastAsia="Times New Roman" w:cs="Arial"/>
                <w:b/>
                <w:bCs/>
                <w:szCs w:val="18"/>
                <w:lang w:eastAsia="en-GB"/>
              </w:rPr>
              <w:t xml:space="preserve">UKUPNO  </w:t>
            </w:r>
          </w:p>
        </w:tc>
        <w:tc>
          <w:tcPr>
            <w:tcW w:w="1247" w:type="dxa"/>
            <w:shd w:val="clear" w:color="auto" w:fill="E5E5E5" w:themeFill="text1" w:themeFillTint="33"/>
            <w:vAlign w:val="center"/>
            <w:hideMark/>
          </w:tcPr>
          <w:p w14:paraId="6BEEB505" w14:textId="77777777" w:rsidR="00EB3667" w:rsidRPr="00265CA2" w:rsidRDefault="00EB3667" w:rsidP="001D3ADC">
            <w:pPr>
              <w:spacing w:after="0" w:line="240" w:lineRule="auto"/>
              <w:jc w:val="right"/>
              <w:rPr>
                <w:rFonts w:eastAsia="Times New Roman" w:cs="Arial"/>
                <w:b/>
                <w:bCs/>
                <w:szCs w:val="18"/>
                <w:lang w:eastAsia="en-GB"/>
              </w:rPr>
            </w:pPr>
            <w:r w:rsidRPr="00265CA2">
              <w:rPr>
                <w:rFonts w:eastAsia="Times New Roman" w:cs="Arial"/>
                <w:b/>
                <w:bCs/>
                <w:szCs w:val="18"/>
                <w:lang w:eastAsia="en-GB"/>
              </w:rPr>
              <w:t>7.659,09</w:t>
            </w:r>
          </w:p>
        </w:tc>
        <w:tc>
          <w:tcPr>
            <w:tcW w:w="2494" w:type="dxa"/>
            <w:shd w:val="clear" w:color="auto" w:fill="E5E5E5" w:themeFill="text1" w:themeFillTint="33"/>
            <w:vAlign w:val="center"/>
            <w:hideMark/>
          </w:tcPr>
          <w:p w14:paraId="3FA384C4" w14:textId="77777777" w:rsidR="00EB3667" w:rsidRPr="00265CA2" w:rsidRDefault="00EB3667" w:rsidP="001D3ADC">
            <w:pPr>
              <w:spacing w:after="0" w:line="240" w:lineRule="auto"/>
              <w:jc w:val="right"/>
              <w:rPr>
                <w:rFonts w:eastAsia="Times New Roman" w:cs="Arial"/>
                <w:szCs w:val="18"/>
                <w:lang w:eastAsia="en-GB"/>
              </w:rPr>
            </w:pPr>
            <w:r w:rsidRPr="00265CA2">
              <w:rPr>
                <w:rFonts w:ascii="Calibri" w:eastAsia="Times New Roman" w:hAnsi="Calibri" w:cs="Calibri"/>
                <w:szCs w:val="18"/>
                <w:lang w:eastAsia="en-GB"/>
              </w:rPr>
              <w:t> </w:t>
            </w:r>
          </w:p>
        </w:tc>
        <w:tc>
          <w:tcPr>
            <w:tcW w:w="1984" w:type="dxa"/>
            <w:shd w:val="clear" w:color="auto" w:fill="E5E5E5" w:themeFill="text1" w:themeFillTint="33"/>
            <w:vAlign w:val="center"/>
            <w:hideMark/>
          </w:tcPr>
          <w:p w14:paraId="7F292818" w14:textId="77777777" w:rsidR="00EB3667" w:rsidRPr="00265CA2" w:rsidRDefault="00EB3667" w:rsidP="001D3ADC">
            <w:pPr>
              <w:spacing w:after="0" w:line="240" w:lineRule="auto"/>
              <w:jc w:val="right"/>
              <w:rPr>
                <w:rFonts w:eastAsia="Times New Roman" w:cs="Arial"/>
                <w:szCs w:val="18"/>
                <w:lang w:eastAsia="en-GB"/>
              </w:rPr>
            </w:pPr>
            <w:r w:rsidRPr="00265CA2">
              <w:rPr>
                <w:rFonts w:ascii="Calibri" w:eastAsia="Times New Roman" w:hAnsi="Calibri" w:cs="Calibri"/>
                <w:szCs w:val="18"/>
                <w:lang w:eastAsia="en-GB"/>
              </w:rPr>
              <w:t> </w:t>
            </w:r>
          </w:p>
        </w:tc>
      </w:tr>
    </w:tbl>
    <w:p w14:paraId="4790076F" w14:textId="5AA46E8B" w:rsidR="00EB3667" w:rsidRPr="006D7B27" w:rsidRDefault="00EB3667" w:rsidP="006D7B27">
      <w:pPr>
        <w:rPr>
          <w:rFonts w:eastAsia="ArialNarrow" w:cstheme="minorHAnsi"/>
          <w:i/>
          <w:color w:val="ABABAB" w:themeColor="text1" w:themeTint="A6"/>
          <w:sz w:val="16"/>
          <w:szCs w:val="16"/>
        </w:rPr>
      </w:pPr>
      <w:r w:rsidRPr="006D7B27">
        <w:rPr>
          <w:rFonts w:eastAsia="ArialNarrow" w:cstheme="minorHAnsi"/>
          <w:i/>
          <w:color w:val="ABABAB" w:themeColor="text1" w:themeTint="A6"/>
          <w:sz w:val="16"/>
          <w:szCs w:val="16"/>
        </w:rPr>
        <w:t>Izvor: HROTE (Hrvatski operator tržišta energije d.o.o.), Izvještaj o postrojenjima po geografskoj poziciji, 2019.</w:t>
      </w:r>
    </w:p>
    <w:p w14:paraId="01558F15" w14:textId="77777777" w:rsidR="00A01BFA" w:rsidRPr="00A26C76" w:rsidRDefault="00A01BFA" w:rsidP="00835668">
      <w:pPr>
        <w:pStyle w:val="Izvor"/>
      </w:pPr>
    </w:p>
    <w:p w14:paraId="7B79FB79" w14:textId="11D845DA" w:rsidR="00EB3667" w:rsidRPr="000C3EDA" w:rsidRDefault="00EB3667" w:rsidP="000C3EDA">
      <w:pPr>
        <w:pStyle w:val="Naslov3"/>
        <w:rPr>
          <w:color w:val="9D1A1F" w:themeColor="accent4"/>
        </w:rPr>
      </w:pPr>
      <w:bookmarkStart w:id="255" w:name="_Toc85181378"/>
      <w:r w:rsidRPr="000C3EDA">
        <w:rPr>
          <w:color w:val="9D1A1F" w:themeColor="accent4"/>
        </w:rPr>
        <w:t>1</w:t>
      </w:r>
      <w:r w:rsidR="004840B8">
        <w:rPr>
          <w:color w:val="9D1A1F" w:themeColor="accent4"/>
        </w:rPr>
        <w:t>3</w:t>
      </w:r>
      <w:r w:rsidRPr="000C3EDA">
        <w:rPr>
          <w:color w:val="9D1A1F" w:themeColor="accent4"/>
        </w:rPr>
        <w:t>.</w:t>
      </w:r>
      <w:r w:rsidR="006D7B27">
        <w:rPr>
          <w:color w:val="9D1A1F" w:themeColor="accent4"/>
        </w:rPr>
        <w:t>6</w:t>
      </w:r>
      <w:r w:rsidRPr="000C3EDA">
        <w:rPr>
          <w:color w:val="9D1A1F" w:themeColor="accent4"/>
        </w:rPr>
        <w:t>.4. Male hidroelektrane</w:t>
      </w:r>
      <w:bookmarkEnd w:id="255"/>
    </w:p>
    <w:p w14:paraId="11B13C1C" w14:textId="77777777" w:rsidR="00EB3667" w:rsidRPr="00265CA2" w:rsidRDefault="00EB3667" w:rsidP="00EB3667"/>
    <w:p w14:paraId="575BA80E" w14:textId="77777777" w:rsidR="00EB3667" w:rsidRDefault="00EB3667" w:rsidP="00EB3667">
      <w:r>
        <w:t>Sve se površinske vode u Krapinsko-zagorskoj županiji evakuiraju kroz dva sliva: rijeke Krapine i rijeke Sutle. Preostali dijelovi vodotoka koji izviru ili utječu u Krapinsko-zagorskoj županiji, a imaju ili mali protok ili mali geodetski pad, nisu u ovoj analizi uzeti u obzir. Rijeka Krapina izvire na jugoistočnim obroncima Ivančice i sakuplja brojne pritoke s južnih obronaka ove gore. Drugi dio pritoka dolazi sa sjeverne strane Medvednice. Rijeka izlazi iz Županije kod Velikog Trgovišća. Sliv rijeke Krapine ima slivno područje od 1.244 km</w:t>
      </w:r>
      <w:r w:rsidRPr="00B607B5">
        <w:rPr>
          <w:vertAlign w:val="superscript"/>
        </w:rPr>
        <w:t>2</w:t>
      </w:r>
      <w:r>
        <w:t>, od čega na Krapinsko-zagorsku županiju otpada oko 730 km</w:t>
      </w:r>
      <w:r w:rsidRPr="00B607B5">
        <w:rPr>
          <w:vertAlign w:val="superscript"/>
        </w:rPr>
        <w:t>2</w:t>
      </w:r>
      <w:r>
        <w:t>. Na vodomjernoj stanici Kupljenovo (slivno područje 1.150 km</w:t>
      </w:r>
      <w:r w:rsidRPr="00B607B5">
        <w:rPr>
          <w:vertAlign w:val="superscript"/>
        </w:rPr>
        <w:t>2</w:t>
      </w:r>
      <w:r>
        <w:t>) izmjeren je višegodišnji srednji protok od 12,0 m</w:t>
      </w:r>
      <w:r w:rsidRPr="00B607B5">
        <w:rPr>
          <w:vertAlign w:val="superscript"/>
        </w:rPr>
        <w:t>3</w:t>
      </w:r>
      <w:r>
        <w:t>/s. U mjernom razdoblju zabilježen je srednji minimalni protok od 1,12 m</w:t>
      </w:r>
      <w:r w:rsidRPr="00B607B5">
        <w:rPr>
          <w:vertAlign w:val="superscript"/>
        </w:rPr>
        <w:t>3</w:t>
      </w:r>
      <w:r>
        <w:t>/s, odnosno srednji maksimalni protok od 153 m</w:t>
      </w:r>
      <w:r w:rsidRPr="00B607B5">
        <w:rPr>
          <w:vertAlign w:val="superscript"/>
        </w:rPr>
        <w:t>3</w:t>
      </w:r>
      <w:r>
        <w:t xml:space="preserve">/s. Sama krivulja trajanja protoka, mjerena na ovoj </w:t>
      </w:r>
      <w:r>
        <w:lastRenderedPageBreak/>
        <w:t>vodomjernoj stanici pokazuje dobru izdašnost rijeke (više od srednjeg protoka 27% godišnje). Vodotok rijeke Krapine se može podijeliti u dva dijela, na gornji i donji tok. Gornji tok je karakteriziran relativno malim protocima pa se u ovom pregledu ovaj dio uzima do utoka rijeke Batine (Selnica, Batina i Bistrica), dok je donji tok preostali dio vodotoka do izlaska iz Krapinsko-zagorske županije. Pregled procijenjenog hidroenergetskog potencijala koji se odnosi na veće pritoke rijeke Krapine u Krapinsko-zagorskoj županiji prikazan je u nastavku, pri čemu ukupni bruto potencijal sliva rijeke Krapine iznosi 16,2 GWh.</w:t>
      </w:r>
    </w:p>
    <w:p w14:paraId="724B0F87" w14:textId="77777777" w:rsidR="00EB3667" w:rsidRPr="00265CA2" w:rsidRDefault="00EB3667" w:rsidP="00EB3667"/>
    <w:p w14:paraId="449FA434" w14:textId="329469D2" w:rsidR="00EB3667" w:rsidRDefault="00EB3667" w:rsidP="003E3F3C">
      <w:pPr>
        <w:pStyle w:val="Opisslike"/>
      </w:pPr>
      <w:r>
        <w:t>Tablica</w:t>
      </w:r>
      <w:r w:rsidR="006D7B27">
        <w:t xml:space="preserve"> 1</w:t>
      </w:r>
      <w:r w:rsidR="00741E4F">
        <w:t>92</w:t>
      </w:r>
      <w:r>
        <w:t xml:space="preserve">. </w:t>
      </w:r>
      <w:r w:rsidRPr="00F31C18">
        <w:t>Procijenjeni hidro energetski potencijali većih pritoka rijeke Krapine</w:t>
      </w:r>
    </w:p>
    <w:tbl>
      <w:tblPr>
        <w:tblW w:w="0" w:type="auto"/>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1878"/>
        <w:gridCol w:w="1310"/>
        <w:gridCol w:w="1172"/>
        <w:gridCol w:w="1218"/>
        <w:gridCol w:w="1110"/>
        <w:gridCol w:w="1233"/>
        <w:gridCol w:w="1120"/>
      </w:tblGrid>
      <w:tr w:rsidR="00EB3667" w:rsidRPr="00265CA2" w14:paraId="10D2E610" w14:textId="77777777" w:rsidTr="001D3ADC">
        <w:trPr>
          <w:trHeight w:val="600"/>
        </w:trPr>
        <w:tc>
          <w:tcPr>
            <w:tcW w:w="1878" w:type="dxa"/>
            <w:shd w:val="clear" w:color="auto" w:fill="D2232A" w:themeFill="accent1"/>
            <w:noWrap/>
            <w:hideMark/>
          </w:tcPr>
          <w:p w14:paraId="3B6B49F7" w14:textId="77777777" w:rsidR="00EB3667" w:rsidRPr="00265CA2" w:rsidRDefault="00EB3667" w:rsidP="001D3ADC">
            <w:pPr>
              <w:spacing w:after="0"/>
              <w:rPr>
                <w:iCs/>
                <w:color w:val="FFFFFF" w:themeColor="background1"/>
                <w:lang w:val="en-GB"/>
              </w:rPr>
            </w:pPr>
            <w:r w:rsidRPr="00265CA2">
              <w:rPr>
                <w:rFonts w:ascii="Calibri" w:hAnsi="Calibri" w:cs="Calibri"/>
                <w:iCs/>
                <w:color w:val="FFFFFF" w:themeColor="background1"/>
              </w:rPr>
              <w:t> </w:t>
            </w:r>
          </w:p>
        </w:tc>
        <w:tc>
          <w:tcPr>
            <w:tcW w:w="1310" w:type="dxa"/>
            <w:shd w:val="clear" w:color="auto" w:fill="D2232A" w:themeFill="accent1"/>
            <w:hideMark/>
          </w:tcPr>
          <w:p w14:paraId="1E0151DD" w14:textId="77777777" w:rsidR="00EB3667" w:rsidRPr="00265CA2" w:rsidRDefault="00EB3667" w:rsidP="001D3ADC">
            <w:pPr>
              <w:spacing w:after="0"/>
              <w:jc w:val="right"/>
              <w:rPr>
                <w:b/>
                <w:bCs/>
                <w:iCs/>
                <w:color w:val="FFFFFF" w:themeColor="background1"/>
              </w:rPr>
            </w:pPr>
            <w:r w:rsidRPr="00265CA2">
              <w:rPr>
                <w:b/>
                <w:bCs/>
                <w:iCs/>
                <w:color w:val="FFFFFF" w:themeColor="background1"/>
              </w:rPr>
              <w:t>Slivna površina</w:t>
            </w:r>
          </w:p>
        </w:tc>
        <w:tc>
          <w:tcPr>
            <w:tcW w:w="1172" w:type="dxa"/>
            <w:shd w:val="clear" w:color="auto" w:fill="D2232A" w:themeFill="accent1"/>
            <w:hideMark/>
          </w:tcPr>
          <w:p w14:paraId="33AE498D" w14:textId="77777777" w:rsidR="00EB3667" w:rsidRPr="00265CA2" w:rsidRDefault="00EB3667" w:rsidP="001D3ADC">
            <w:pPr>
              <w:spacing w:after="0"/>
              <w:jc w:val="right"/>
              <w:rPr>
                <w:b/>
                <w:bCs/>
                <w:iCs/>
                <w:color w:val="FFFFFF" w:themeColor="background1"/>
              </w:rPr>
            </w:pPr>
            <w:r w:rsidRPr="00265CA2">
              <w:rPr>
                <w:b/>
                <w:bCs/>
                <w:iCs/>
                <w:color w:val="FFFFFF" w:themeColor="background1"/>
              </w:rPr>
              <w:t xml:space="preserve">Dužina </w:t>
            </w:r>
          </w:p>
        </w:tc>
        <w:tc>
          <w:tcPr>
            <w:tcW w:w="1218" w:type="dxa"/>
            <w:shd w:val="clear" w:color="auto" w:fill="D2232A" w:themeFill="accent1"/>
            <w:hideMark/>
          </w:tcPr>
          <w:p w14:paraId="40487DE4" w14:textId="77777777" w:rsidR="00EB3667" w:rsidRPr="00265CA2" w:rsidRDefault="00EB3667" w:rsidP="001D3ADC">
            <w:pPr>
              <w:spacing w:after="0"/>
              <w:jc w:val="right"/>
              <w:rPr>
                <w:b/>
                <w:bCs/>
                <w:iCs/>
                <w:color w:val="FFFFFF" w:themeColor="background1"/>
              </w:rPr>
            </w:pPr>
            <w:r w:rsidRPr="00265CA2">
              <w:rPr>
                <w:b/>
                <w:bCs/>
                <w:iCs/>
                <w:color w:val="FFFFFF" w:themeColor="background1"/>
              </w:rPr>
              <w:t>Geodetski pad</w:t>
            </w:r>
          </w:p>
        </w:tc>
        <w:tc>
          <w:tcPr>
            <w:tcW w:w="1110" w:type="dxa"/>
            <w:shd w:val="clear" w:color="auto" w:fill="D2232A" w:themeFill="accent1"/>
            <w:hideMark/>
          </w:tcPr>
          <w:p w14:paraId="38125B3C" w14:textId="77777777" w:rsidR="00EB3667" w:rsidRPr="00265CA2" w:rsidRDefault="00EB3667" w:rsidP="001D3ADC">
            <w:pPr>
              <w:spacing w:after="0"/>
              <w:jc w:val="right"/>
              <w:rPr>
                <w:b/>
                <w:bCs/>
                <w:iCs/>
                <w:color w:val="FFFFFF" w:themeColor="background1"/>
              </w:rPr>
            </w:pPr>
            <w:r w:rsidRPr="00265CA2">
              <w:rPr>
                <w:b/>
                <w:bCs/>
                <w:iCs/>
                <w:color w:val="FFFFFF" w:themeColor="background1"/>
              </w:rPr>
              <w:t>Relativni pad</w:t>
            </w:r>
          </w:p>
        </w:tc>
        <w:tc>
          <w:tcPr>
            <w:tcW w:w="1233" w:type="dxa"/>
            <w:shd w:val="clear" w:color="auto" w:fill="D2232A" w:themeFill="accent1"/>
            <w:hideMark/>
          </w:tcPr>
          <w:p w14:paraId="3342EA9C" w14:textId="77777777" w:rsidR="00EB3667" w:rsidRPr="00265CA2" w:rsidRDefault="00EB3667" w:rsidP="001D3ADC">
            <w:pPr>
              <w:spacing w:after="0"/>
              <w:jc w:val="right"/>
              <w:rPr>
                <w:b/>
                <w:bCs/>
                <w:iCs/>
                <w:color w:val="FFFFFF" w:themeColor="background1"/>
              </w:rPr>
            </w:pPr>
            <w:r w:rsidRPr="00265CA2">
              <w:rPr>
                <w:b/>
                <w:bCs/>
                <w:iCs/>
                <w:color w:val="FFFFFF" w:themeColor="background1"/>
              </w:rPr>
              <w:t>Prosječni protok</w:t>
            </w:r>
          </w:p>
        </w:tc>
        <w:tc>
          <w:tcPr>
            <w:tcW w:w="1120" w:type="dxa"/>
            <w:shd w:val="clear" w:color="auto" w:fill="D2232A" w:themeFill="accent1"/>
            <w:hideMark/>
          </w:tcPr>
          <w:p w14:paraId="292F2609" w14:textId="77777777" w:rsidR="00EB3667" w:rsidRPr="00265CA2" w:rsidRDefault="00EB3667" w:rsidP="001D3ADC">
            <w:pPr>
              <w:spacing w:after="0"/>
              <w:jc w:val="right"/>
              <w:rPr>
                <w:b/>
                <w:bCs/>
                <w:iCs/>
                <w:color w:val="FFFFFF" w:themeColor="background1"/>
              </w:rPr>
            </w:pPr>
            <w:r w:rsidRPr="00265CA2">
              <w:rPr>
                <w:b/>
                <w:bCs/>
                <w:iCs/>
                <w:color w:val="FFFFFF" w:themeColor="background1"/>
              </w:rPr>
              <w:t>Bruto potencijal</w:t>
            </w:r>
          </w:p>
        </w:tc>
      </w:tr>
      <w:tr w:rsidR="00EB3667" w:rsidRPr="00265CA2" w14:paraId="776A0A04" w14:textId="77777777" w:rsidTr="001D3ADC">
        <w:trPr>
          <w:trHeight w:val="300"/>
        </w:trPr>
        <w:tc>
          <w:tcPr>
            <w:tcW w:w="1878" w:type="dxa"/>
            <w:noWrap/>
            <w:hideMark/>
          </w:tcPr>
          <w:p w14:paraId="05D0AF89" w14:textId="77777777" w:rsidR="00EB3667" w:rsidRPr="00265CA2" w:rsidRDefault="00EB3667" w:rsidP="001D3ADC">
            <w:pPr>
              <w:spacing w:after="0"/>
              <w:rPr>
                <w:iCs/>
              </w:rPr>
            </w:pPr>
            <w:r w:rsidRPr="00265CA2">
              <w:rPr>
                <w:rFonts w:ascii="Calibri" w:hAnsi="Calibri" w:cs="Calibri"/>
                <w:iCs/>
              </w:rPr>
              <w:t> </w:t>
            </w:r>
          </w:p>
        </w:tc>
        <w:tc>
          <w:tcPr>
            <w:tcW w:w="1310" w:type="dxa"/>
            <w:hideMark/>
          </w:tcPr>
          <w:p w14:paraId="31EAC554" w14:textId="77777777" w:rsidR="00EB3667" w:rsidRPr="00265CA2" w:rsidRDefault="00EB3667" w:rsidP="001D3ADC">
            <w:pPr>
              <w:spacing w:after="0"/>
              <w:jc w:val="right"/>
              <w:rPr>
                <w:iCs/>
              </w:rPr>
            </w:pPr>
            <w:r w:rsidRPr="00265CA2">
              <w:rPr>
                <w:iCs/>
              </w:rPr>
              <w:t>km</w:t>
            </w:r>
            <w:r w:rsidRPr="00B607B5">
              <w:rPr>
                <w:iCs/>
                <w:vertAlign w:val="superscript"/>
              </w:rPr>
              <w:t>2</w:t>
            </w:r>
          </w:p>
        </w:tc>
        <w:tc>
          <w:tcPr>
            <w:tcW w:w="1172" w:type="dxa"/>
            <w:hideMark/>
          </w:tcPr>
          <w:p w14:paraId="16A107F4" w14:textId="77777777" w:rsidR="00EB3667" w:rsidRPr="00265CA2" w:rsidRDefault="00EB3667" w:rsidP="001D3ADC">
            <w:pPr>
              <w:spacing w:after="0"/>
              <w:jc w:val="right"/>
              <w:rPr>
                <w:iCs/>
              </w:rPr>
            </w:pPr>
            <w:r w:rsidRPr="00265CA2">
              <w:rPr>
                <w:iCs/>
              </w:rPr>
              <w:t>km</w:t>
            </w:r>
          </w:p>
        </w:tc>
        <w:tc>
          <w:tcPr>
            <w:tcW w:w="1218" w:type="dxa"/>
            <w:hideMark/>
          </w:tcPr>
          <w:p w14:paraId="3ABAC65A" w14:textId="77777777" w:rsidR="00EB3667" w:rsidRPr="00265CA2" w:rsidRDefault="00EB3667" w:rsidP="001D3ADC">
            <w:pPr>
              <w:spacing w:after="0"/>
              <w:jc w:val="right"/>
              <w:rPr>
                <w:iCs/>
              </w:rPr>
            </w:pPr>
            <w:r w:rsidRPr="00265CA2">
              <w:rPr>
                <w:iCs/>
              </w:rPr>
              <w:t>m</w:t>
            </w:r>
          </w:p>
        </w:tc>
        <w:tc>
          <w:tcPr>
            <w:tcW w:w="1110" w:type="dxa"/>
            <w:hideMark/>
          </w:tcPr>
          <w:p w14:paraId="2A5832B4" w14:textId="77777777" w:rsidR="00EB3667" w:rsidRPr="00265CA2" w:rsidRDefault="00EB3667" w:rsidP="001D3ADC">
            <w:pPr>
              <w:spacing w:after="0"/>
              <w:jc w:val="right"/>
              <w:rPr>
                <w:iCs/>
              </w:rPr>
            </w:pPr>
            <w:r w:rsidRPr="00265CA2">
              <w:rPr>
                <w:iCs/>
              </w:rPr>
              <w:t>‰</w:t>
            </w:r>
          </w:p>
        </w:tc>
        <w:tc>
          <w:tcPr>
            <w:tcW w:w="1233" w:type="dxa"/>
            <w:hideMark/>
          </w:tcPr>
          <w:p w14:paraId="149DEC39" w14:textId="77777777" w:rsidR="00EB3667" w:rsidRPr="00265CA2" w:rsidRDefault="00EB3667" w:rsidP="001D3ADC">
            <w:pPr>
              <w:spacing w:after="0"/>
              <w:jc w:val="right"/>
              <w:rPr>
                <w:iCs/>
              </w:rPr>
            </w:pPr>
            <w:r w:rsidRPr="00265CA2">
              <w:rPr>
                <w:iCs/>
              </w:rPr>
              <w:t>m</w:t>
            </w:r>
            <w:r w:rsidRPr="00B607B5">
              <w:rPr>
                <w:iCs/>
                <w:vertAlign w:val="superscript"/>
              </w:rPr>
              <w:t>3</w:t>
            </w:r>
            <w:r w:rsidRPr="00265CA2">
              <w:rPr>
                <w:iCs/>
              </w:rPr>
              <w:t>/s</w:t>
            </w:r>
          </w:p>
        </w:tc>
        <w:tc>
          <w:tcPr>
            <w:tcW w:w="1120" w:type="dxa"/>
            <w:hideMark/>
          </w:tcPr>
          <w:p w14:paraId="097C0F77" w14:textId="77777777" w:rsidR="00EB3667" w:rsidRPr="00265CA2" w:rsidRDefault="00EB3667" w:rsidP="001D3ADC">
            <w:pPr>
              <w:spacing w:after="0"/>
              <w:jc w:val="right"/>
              <w:rPr>
                <w:iCs/>
              </w:rPr>
            </w:pPr>
            <w:r w:rsidRPr="00265CA2">
              <w:rPr>
                <w:iCs/>
              </w:rPr>
              <w:t>GWh</w:t>
            </w:r>
          </w:p>
        </w:tc>
      </w:tr>
      <w:tr w:rsidR="00EB3667" w:rsidRPr="00265CA2" w14:paraId="65F0D093" w14:textId="77777777" w:rsidTr="001D3ADC">
        <w:trPr>
          <w:trHeight w:val="330"/>
        </w:trPr>
        <w:tc>
          <w:tcPr>
            <w:tcW w:w="1878" w:type="dxa"/>
            <w:hideMark/>
          </w:tcPr>
          <w:p w14:paraId="3A0F27BA" w14:textId="77777777" w:rsidR="00EB3667" w:rsidRPr="00265CA2" w:rsidRDefault="00EB3667" w:rsidP="001D3ADC">
            <w:pPr>
              <w:spacing w:after="0"/>
              <w:rPr>
                <w:iCs/>
              </w:rPr>
            </w:pPr>
            <w:r w:rsidRPr="00265CA2">
              <w:rPr>
                <w:iCs/>
              </w:rPr>
              <w:t>Krapina - gornji tok</w:t>
            </w:r>
          </w:p>
        </w:tc>
        <w:tc>
          <w:tcPr>
            <w:tcW w:w="1310" w:type="dxa"/>
            <w:noWrap/>
            <w:hideMark/>
          </w:tcPr>
          <w:p w14:paraId="7273D02D" w14:textId="77777777" w:rsidR="00EB3667" w:rsidRPr="00265CA2" w:rsidRDefault="00EB3667" w:rsidP="001D3ADC">
            <w:pPr>
              <w:spacing w:after="0"/>
              <w:jc w:val="right"/>
              <w:rPr>
                <w:iCs/>
              </w:rPr>
            </w:pPr>
            <w:r w:rsidRPr="00265CA2">
              <w:rPr>
                <w:iCs/>
              </w:rPr>
              <w:t>90,9</w:t>
            </w:r>
          </w:p>
        </w:tc>
        <w:tc>
          <w:tcPr>
            <w:tcW w:w="1172" w:type="dxa"/>
            <w:noWrap/>
            <w:hideMark/>
          </w:tcPr>
          <w:p w14:paraId="600644BC" w14:textId="77777777" w:rsidR="00EB3667" w:rsidRPr="00265CA2" w:rsidRDefault="00EB3667" w:rsidP="001D3ADC">
            <w:pPr>
              <w:spacing w:after="0"/>
              <w:jc w:val="right"/>
              <w:rPr>
                <w:iCs/>
              </w:rPr>
            </w:pPr>
            <w:r w:rsidRPr="00265CA2">
              <w:rPr>
                <w:iCs/>
              </w:rPr>
              <w:t>10,17</w:t>
            </w:r>
          </w:p>
        </w:tc>
        <w:tc>
          <w:tcPr>
            <w:tcW w:w="1218" w:type="dxa"/>
            <w:noWrap/>
            <w:hideMark/>
          </w:tcPr>
          <w:p w14:paraId="6B87B9D5" w14:textId="77777777" w:rsidR="00EB3667" w:rsidRPr="00265CA2" w:rsidRDefault="00EB3667" w:rsidP="001D3ADC">
            <w:pPr>
              <w:spacing w:after="0"/>
              <w:jc w:val="right"/>
              <w:rPr>
                <w:iCs/>
              </w:rPr>
            </w:pPr>
            <w:r w:rsidRPr="00265CA2">
              <w:rPr>
                <w:iCs/>
              </w:rPr>
              <w:t>18</w:t>
            </w:r>
          </w:p>
        </w:tc>
        <w:tc>
          <w:tcPr>
            <w:tcW w:w="1110" w:type="dxa"/>
            <w:noWrap/>
            <w:hideMark/>
          </w:tcPr>
          <w:p w14:paraId="50F122E7" w14:textId="77777777" w:rsidR="00EB3667" w:rsidRPr="00265CA2" w:rsidRDefault="00EB3667" w:rsidP="001D3ADC">
            <w:pPr>
              <w:spacing w:after="0"/>
              <w:jc w:val="right"/>
              <w:rPr>
                <w:iCs/>
              </w:rPr>
            </w:pPr>
            <w:r w:rsidRPr="00265CA2">
              <w:rPr>
                <w:iCs/>
              </w:rPr>
              <w:t>1,77</w:t>
            </w:r>
          </w:p>
        </w:tc>
        <w:tc>
          <w:tcPr>
            <w:tcW w:w="1233" w:type="dxa"/>
            <w:noWrap/>
            <w:hideMark/>
          </w:tcPr>
          <w:p w14:paraId="4DD4E1F1" w14:textId="77777777" w:rsidR="00EB3667" w:rsidRPr="00265CA2" w:rsidRDefault="00EB3667" w:rsidP="001D3ADC">
            <w:pPr>
              <w:spacing w:after="0"/>
              <w:jc w:val="right"/>
              <w:rPr>
                <w:iCs/>
              </w:rPr>
            </w:pPr>
            <w:r w:rsidRPr="00265CA2">
              <w:rPr>
                <w:iCs/>
              </w:rPr>
              <w:t>1,87</w:t>
            </w:r>
          </w:p>
        </w:tc>
        <w:tc>
          <w:tcPr>
            <w:tcW w:w="1120" w:type="dxa"/>
            <w:noWrap/>
            <w:hideMark/>
          </w:tcPr>
          <w:p w14:paraId="7AECB536" w14:textId="77777777" w:rsidR="00EB3667" w:rsidRPr="00265CA2" w:rsidRDefault="00EB3667" w:rsidP="001D3ADC">
            <w:pPr>
              <w:spacing w:after="0"/>
              <w:jc w:val="right"/>
              <w:rPr>
                <w:iCs/>
              </w:rPr>
            </w:pPr>
            <w:r w:rsidRPr="00265CA2">
              <w:rPr>
                <w:iCs/>
              </w:rPr>
              <w:t>0,25</w:t>
            </w:r>
          </w:p>
        </w:tc>
      </w:tr>
      <w:tr w:rsidR="00EB3667" w:rsidRPr="00265CA2" w14:paraId="639B3FA8" w14:textId="77777777" w:rsidTr="001D3ADC">
        <w:trPr>
          <w:trHeight w:val="300"/>
        </w:trPr>
        <w:tc>
          <w:tcPr>
            <w:tcW w:w="1878" w:type="dxa"/>
            <w:hideMark/>
          </w:tcPr>
          <w:p w14:paraId="627E9043" w14:textId="77777777" w:rsidR="00EB3667" w:rsidRPr="00265CA2" w:rsidRDefault="00EB3667" w:rsidP="001D3ADC">
            <w:pPr>
              <w:spacing w:after="0"/>
              <w:rPr>
                <w:iCs/>
              </w:rPr>
            </w:pPr>
            <w:r w:rsidRPr="00265CA2">
              <w:rPr>
                <w:iCs/>
              </w:rPr>
              <w:t>Krapina - donji tok</w:t>
            </w:r>
          </w:p>
        </w:tc>
        <w:tc>
          <w:tcPr>
            <w:tcW w:w="1310" w:type="dxa"/>
            <w:noWrap/>
            <w:hideMark/>
          </w:tcPr>
          <w:p w14:paraId="2C7133A8" w14:textId="77777777" w:rsidR="00EB3667" w:rsidRPr="00265CA2" w:rsidRDefault="00EB3667" w:rsidP="001D3ADC">
            <w:pPr>
              <w:spacing w:after="0"/>
              <w:jc w:val="right"/>
              <w:rPr>
                <w:iCs/>
              </w:rPr>
            </w:pPr>
            <w:r w:rsidRPr="00265CA2">
              <w:rPr>
                <w:iCs/>
              </w:rPr>
              <w:t>640</w:t>
            </w:r>
          </w:p>
        </w:tc>
        <w:tc>
          <w:tcPr>
            <w:tcW w:w="1172" w:type="dxa"/>
            <w:noWrap/>
            <w:hideMark/>
          </w:tcPr>
          <w:p w14:paraId="0DD77B4B" w14:textId="77777777" w:rsidR="00EB3667" w:rsidRPr="00265CA2" w:rsidRDefault="00EB3667" w:rsidP="001D3ADC">
            <w:pPr>
              <w:spacing w:after="0"/>
              <w:jc w:val="right"/>
              <w:rPr>
                <w:iCs/>
              </w:rPr>
            </w:pPr>
            <w:r w:rsidRPr="00265CA2">
              <w:rPr>
                <w:iCs/>
              </w:rPr>
              <w:t>11,43</w:t>
            </w:r>
          </w:p>
        </w:tc>
        <w:tc>
          <w:tcPr>
            <w:tcW w:w="1218" w:type="dxa"/>
            <w:noWrap/>
            <w:hideMark/>
          </w:tcPr>
          <w:p w14:paraId="1EA195C2" w14:textId="77777777" w:rsidR="00EB3667" w:rsidRPr="00265CA2" w:rsidRDefault="00EB3667" w:rsidP="001D3ADC">
            <w:pPr>
              <w:spacing w:after="0"/>
              <w:jc w:val="right"/>
              <w:rPr>
                <w:iCs/>
              </w:rPr>
            </w:pPr>
            <w:r w:rsidRPr="00265CA2">
              <w:rPr>
                <w:iCs/>
              </w:rPr>
              <w:t>11</w:t>
            </w:r>
          </w:p>
        </w:tc>
        <w:tc>
          <w:tcPr>
            <w:tcW w:w="1110" w:type="dxa"/>
            <w:noWrap/>
            <w:hideMark/>
          </w:tcPr>
          <w:p w14:paraId="37FAFF14" w14:textId="77777777" w:rsidR="00EB3667" w:rsidRPr="00265CA2" w:rsidRDefault="00EB3667" w:rsidP="001D3ADC">
            <w:pPr>
              <w:spacing w:after="0"/>
              <w:jc w:val="right"/>
              <w:rPr>
                <w:iCs/>
              </w:rPr>
            </w:pPr>
            <w:r w:rsidRPr="00265CA2">
              <w:rPr>
                <w:iCs/>
              </w:rPr>
              <w:t>0,96</w:t>
            </w:r>
          </w:p>
        </w:tc>
        <w:tc>
          <w:tcPr>
            <w:tcW w:w="1233" w:type="dxa"/>
            <w:noWrap/>
            <w:hideMark/>
          </w:tcPr>
          <w:p w14:paraId="331886AC" w14:textId="77777777" w:rsidR="00EB3667" w:rsidRPr="00265CA2" w:rsidRDefault="00EB3667" w:rsidP="001D3ADC">
            <w:pPr>
              <w:spacing w:after="0"/>
              <w:jc w:val="right"/>
              <w:rPr>
                <w:iCs/>
              </w:rPr>
            </w:pPr>
            <w:r w:rsidRPr="00265CA2">
              <w:rPr>
                <w:iCs/>
              </w:rPr>
              <w:t>5,2</w:t>
            </w:r>
          </w:p>
        </w:tc>
        <w:tc>
          <w:tcPr>
            <w:tcW w:w="1120" w:type="dxa"/>
            <w:noWrap/>
            <w:hideMark/>
          </w:tcPr>
          <w:p w14:paraId="4EF3373F" w14:textId="77777777" w:rsidR="00EB3667" w:rsidRPr="00265CA2" w:rsidRDefault="00EB3667" w:rsidP="001D3ADC">
            <w:pPr>
              <w:spacing w:after="0"/>
              <w:jc w:val="right"/>
              <w:rPr>
                <w:iCs/>
              </w:rPr>
            </w:pPr>
            <w:r w:rsidRPr="00265CA2">
              <w:rPr>
                <w:iCs/>
              </w:rPr>
              <w:t>1,2</w:t>
            </w:r>
          </w:p>
        </w:tc>
      </w:tr>
      <w:tr w:rsidR="00EB3667" w:rsidRPr="00265CA2" w14:paraId="2A6CB026" w14:textId="77777777" w:rsidTr="001D3ADC">
        <w:trPr>
          <w:trHeight w:val="300"/>
        </w:trPr>
        <w:tc>
          <w:tcPr>
            <w:tcW w:w="1878" w:type="dxa"/>
            <w:noWrap/>
            <w:hideMark/>
          </w:tcPr>
          <w:p w14:paraId="55E5ECB7" w14:textId="77777777" w:rsidR="00EB3667" w:rsidRPr="00265CA2" w:rsidRDefault="00EB3667" w:rsidP="001D3ADC">
            <w:pPr>
              <w:spacing w:after="0"/>
              <w:rPr>
                <w:iCs/>
              </w:rPr>
            </w:pPr>
            <w:r w:rsidRPr="00265CA2">
              <w:rPr>
                <w:iCs/>
              </w:rPr>
              <w:t>Selnica</w:t>
            </w:r>
          </w:p>
        </w:tc>
        <w:tc>
          <w:tcPr>
            <w:tcW w:w="1310" w:type="dxa"/>
            <w:noWrap/>
            <w:hideMark/>
          </w:tcPr>
          <w:p w14:paraId="70B71CC4" w14:textId="77777777" w:rsidR="00EB3667" w:rsidRPr="00265CA2" w:rsidRDefault="00EB3667" w:rsidP="001D3ADC">
            <w:pPr>
              <w:spacing w:after="0"/>
              <w:jc w:val="right"/>
              <w:rPr>
                <w:iCs/>
              </w:rPr>
            </w:pPr>
            <w:r w:rsidRPr="00265CA2">
              <w:rPr>
                <w:iCs/>
              </w:rPr>
              <w:t>14,2</w:t>
            </w:r>
          </w:p>
        </w:tc>
        <w:tc>
          <w:tcPr>
            <w:tcW w:w="1172" w:type="dxa"/>
            <w:noWrap/>
            <w:hideMark/>
          </w:tcPr>
          <w:p w14:paraId="3BD787CF" w14:textId="77777777" w:rsidR="00EB3667" w:rsidRPr="00265CA2" w:rsidRDefault="00EB3667" w:rsidP="001D3ADC">
            <w:pPr>
              <w:spacing w:after="0"/>
              <w:jc w:val="right"/>
              <w:rPr>
                <w:iCs/>
              </w:rPr>
            </w:pPr>
            <w:r w:rsidRPr="00265CA2">
              <w:rPr>
                <w:iCs/>
              </w:rPr>
              <w:t>13,08</w:t>
            </w:r>
          </w:p>
        </w:tc>
        <w:tc>
          <w:tcPr>
            <w:tcW w:w="1218" w:type="dxa"/>
            <w:noWrap/>
            <w:hideMark/>
          </w:tcPr>
          <w:p w14:paraId="5681ECBC" w14:textId="77777777" w:rsidR="00EB3667" w:rsidRPr="00265CA2" w:rsidRDefault="00EB3667" w:rsidP="001D3ADC">
            <w:pPr>
              <w:spacing w:after="0"/>
              <w:jc w:val="right"/>
              <w:rPr>
                <w:iCs/>
              </w:rPr>
            </w:pPr>
            <w:r w:rsidRPr="00265CA2">
              <w:rPr>
                <w:iCs/>
              </w:rPr>
              <w:t>120</w:t>
            </w:r>
          </w:p>
        </w:tc>
        <w:tc>
          <w:tcPr>
            <w:tcW w:w="1110" w:type="dxa"/>
            <w:noWrap/>
            <w:hideMark/>
          </w:tcPr>
          <w:p w14:paraId="5163CEA6" w14:textId="77777777" w:rsidR="00EB3667" w:rsidRPr="00265CA2" w:rsidRDefault="00EB3667" w:rsidP="001D3ADC">
            <w:pPr>
              <w:spacing w:after="0"/>
              <w:jc w:val="right"/>
              <w:rPr>
                <w:iCs/>
              </w:rPr>
            </w:pPr>
            <w:r w:rsidRPr="00265CA2">
              <w:rPr>
                <w:iCs/>
              </w:rPr>
              <w:t>9,17</w:t>
            </w:r>
          </w:p>
        </w:tc>
        <w:tc>
          <w:tcPr>
            <w:tcW w:w="1233" w:type="dxa"/>
            <w:noWrap/>
            <w:hideMark/>
          </w:tcPr>
          <w:p w14:paraId="7CFB94C9" w14:textId="77777777" w:rsidR="00EB3667" w:rsidRPr="00265CA2" w:rsidRDefault="00EB3667" w:rsidP="001D3ADC">
            <w:pPr>
              <w:spacing w:after="0"/>
              <w:jc w:val="right"/>
              <w:rPr>
                <w:iCs/>
              </w:rPr>
            </w:pPr>
            <w:r w:rsidRPr="00265CA2">
              <w:rPr>
                <w:iCs/>
              </w:rPr>
              <w:t>0,14</w:t>
            </w:r>
          </w:p>
        </w:tc>
        <w:tc>
          <w:tcPr>
            <w:tcW w:w="1120" w:type="dxa"/>
            <w:noWrap/>
            <w:hideMark/>
          </w:tcPr>
          <w:p w14:paraId="5A87E518" w14:textId="77777777" w:rsidR="00EB3667" w:rsidRPr="00265CA2" w:rsidRDefault="00EB3667" w:rsidP="001D3ADC">
            <w:pPr>
              <w:spacing w:after="0"/>
              <w:jc w:val="right"/>
              <w:rPr>
                <w:iCs/>
              </w:rPr>
            </w:pPr>
            <w:r w:rsidRPr="00265CA2">
              <w:rPr>
                <w:iCs/>
              </w:rPr>
              <w:t>0,4</w:t>
            </w:r>
          </w:p>
        </w:tc>
      </w:tr>
      <w:tr w:rsidR="00EB3667" w:rsidRPr="00265CA2" w14:paraId="4D98EB2D" w14:textId="77777777" w:rsidTr="001D3ADC">
        <w:trPr>
          <w:trHeight w:val="300"/>
        </w:trPr>
        <w:tc>
          <w:tcPr>
            <w:tcW w:w="1878" w:type="dxa"/>
            <w:noWrap/>
            <w:hideMark/>
          </w:tcPr>
          <w:p w14:paraId="26AE60E5" w14:textId="77777777" w:rsidR="00EB3667" w:rsidRPr="00265CA2" w:rsidRDefault="00EB3667" w:rsidP="001D3ADC">
            <w:pPr>
              <w:spacing w:after="0"/>
              <w:rPr>
                <w:iCs/>
              </w:rPr>
            </w:pPr>
            <w:r w:rsidRPr="00265CA2">
              <w:rPr>
                <w:iCs/>
              </w:rPr>
              <w:t>Batina</w:t>
            </w:r>
          </w:p>
        </w:tc>
        <w:tc>
          <w:tcPr>
            <w:tcW w:w="1310" w:type="dxa"/>
            <w:noWrap/>
            <w:hideMark/>
          </w:tcPr>
          <w:p w14:paraId="0AC808C9" w14:textId="77777777" w:rsidR="00EB3667" w:rsidRPr="00265CA2" w:rsidRDefault="00EB3667" w:rsidP="001D3ADC">
            <w:pPr>
              <w:spacing w:after="0"/>
              <w:jc w:val="right"/>
              <w:rPr>
                <w:iCs/>
              </w:rPr>
            </w:pPr>
            <w:r w:rsidRPr="00265CA2">
              <w:rPr>
                <w:iCs/>
              </w:rPr>
              <w:t>33,5</w:t>
            </w:r>
          </w:p>
        </w:tc>
        <w:tc>
          <w:tcPr>
            <w:tcW w:w="1172" w:type="dxa"/>
            <w:noWrap/>
            <w:hideMark/>
          </w:tcPr>
          <w:p w14:paraId="3705C775" w14:textId="77777777" w:rsidR="00EB3667" w:rsidRPr="00265CA2" w:rsidRDefault="00EB3667" w:rsidP="001D3ADC">
            <w:pPr>
              <w:spacing w:after="0"/>
              <w:jc w:val="right"/>
              <w:rPr>
                <w:iCs/>
              </w:rPr>
            </w:pPr>
            <w:r w:rsidRPr="00265CA2">
              <w:rPr>
                <w:iCs/>
              </w:rPr>
              <w:t>9,3</w:t>
            </w:r>
          </w:p>
        </w:tc>
        <w:tc>
          <w:tcPr>
            <w:tcW w:w="1218" w:type="dxa"/>
            <w:noWrap/>
            <w:hideMark/>
          </w:tcPr>
          <w:p w14:paraId="73C1B56F" w14:textId="77777777" w:rsidR="00EB3667" w:rsidRPr="00265CA2" w:rsidRDefault="00EB3667" w:rsidP="001D3ADC">
            <w:pPr>
              <w:spacing w:after="0"/>
              <w:jc w:val="right"/>
              <w:rPr>
                <w:iCs/>
              </w:rPr>
            </w:pPr>
            <w:r w:rsidRPr="00265CA2">
              <w:rPr>
                <w:iCs/>
              </w:rPr>
              <w:t>63</w:t>
            </w:r>
          </w:p>
        </w:tc>
        <w:tc>
          <w:tcPr>
            <w:tcW w:w="1110" w:type="dxa"/>
            <w:noWrap/>
            <w:hideMark/>
          </w:tcPr>
          <w:p w14:paraId="695A4CAC" w14:textId="77777777" w:rsidR="00EB3667" w:rsidRPr="00265CA2" w:rsidRDefault="00EB3667" w:rsidP="001D3ADC">
            <w:pPr>
              <w:spacing w:after="0"/>
              <w:jc w:val="right"/>
              <w:rPr>
                <w:iCs/>
              </w:rPr>
            </w:pPr>
            <w:r w:rsidRPr="00265CA2">
              <w:rPr>
                <w:iCs/>
              </w:rPr>
              <w:t>6,77</w:t>
            </w:r>
          </w:p>
        </w:tc>
        <w:tc>
          <w:tcPr>
            <w:tcW w:w="1233" w:type="dxa"/>
            <w:noWrap/>
            <w:hideMark/>
          </w:tcPr>
          <w:p w14:paraId="483C4B4F" w14:textId="77777777" w:rsidR="00EB3667" w:rsidRPr="00265CA2" w:rsidRDefault="00EB3667" w:rsidP="001D3ADC">
            <w:pPr>
              <w:spacing w:after="0"/>
              <w:jc w:val="right"/>
              <w:rPr>
                <w:iCs/>
              </w:rPr>
            </w:pPr>
            <w:r w:rsidRPr="00265CA2">
              <w:rPr>
                <w:iCs/>
              </w:rPr>
              <w:t>0,35</w:t>
            </w:r>
          </w:p>
        </w:tc>
        <w:tc>
          <w:tcPr>
            <w:tcW w:w="1120" w:type="dxa"/>
            <w:noWrap/>
            <w:hideMark/>
          </w:tcPr>
          <w:p w14:paraId="4C21F3F5" w14:textId="77777777" w:rsidR="00EB3667" w:rsidRPr="00265CA2" w:rsidRDefault="00EB3667" w:rsidP="001D3ADC">
            <w:pPr>
              <w:spacing w:after="0"/>
              <w:jc w:val="right"/>
              <w:rPr>
                <w:iCs/>
              </w:rPr>
            </w:pPr>
            <w:r w:rsidRPr="00265CA2">
              <w:rPr>
                <w:iCs/>
              </w:rPr>
              <w:t>0,55</w:t>
            </w:r>
          </w:p>
        </w:tc>
      </w:tr>
      <w:tr w:rsidR="00EB3667" w:rsidRPr="00265CA2" w14:paraId="40077562" w14:textId="77777777" w:rsidTr="001D3ADC">
        <w:trPr>
          <w:trHeight w:val="300"/>
        </w:trPr>
        <w:tc>
          <w:tcPr>
            <w:tcW w:w="1878" w:type="dxa"/>
            <w:noWrap/>
            <w:hideMark/>
          </w:tcPr>
          <w:p w14:paraId="7E82E9C5" w14:textId="77777777" w:rsidR="00EB3667" w:rsidRPr="00265CA2" w:rsidRDefault="00EB3667" w:rsidP="001D3ADC">
            <w:pPr>
              <w:spacing w:after="0"/>
              <w:rPr>
                <w:iCs/>
              </w:rPr>
            </w:pPr>
            <w:r w:rsidRPr="00265CA2">
              <w:rPr>
                <w:iCs/>
              </w:rPr>
              <w:t>Reka</w:t>
            </w:r>
          </w:p>
        </w:tc>
        <w:tc>
          <w:tcPr>
            <w:tcW w:w="1310" w:type="dxa"/>
            <w:noWrap/>
            <w:hideMark/>
          </w:tcPr>
          <w:p w14:paraId="7F4F3541" w14:textId="77777777" w:rsidR="00EB3667" w:rsidRPr="00265CA2" w:rsidRDefault="00EB3667" w:rsidP="001D3ADC">
            <w:pPr>
              <w:spacing w:after="0"/>
              <w:jc w:val="right"/>
              <w:rPr>
                <w:iCs/>
              </w:rPr>
            </w:pPr>
            <w:r w:rsidRPr="00265CA2">
              <w:rPr>
                <w:iCs/>
              </w:rPr>
              <w:t>56,1</w:t>
            </w:r>
          </w:p>
        </w:tc>
        <w:tc>
          <w:tcPr>
            <w:tcW w:w="1172" w:type="dxa"/>
            <w:noWrap/>
            <w:hideMark/>
          </w:tcPr>
          <w:p w14:paraId="1CBB0736" w14:textId="77777777" w:rsidR="00EB3667" w:rsidRPr="00265CA2" w:rsidRDefault="00EB3667" w:rsidP="001D3ADC">
            <w:pPr>
              <w:spacing w:after="0"/>
              <w:jc w:val="right"/>
              <w:rPr>
                <w:iCs/>
              </w:rPr>
            </w:pPr>
            <w:r w:rsidRPr="00265CA2">
              <w:rPr>
                <w:iCs/>
              </w:rPr>
              <w:t>15,1</w:t>
            </w:r>
          </w:p>
        </w:tc>
        <w:tc>
          <w:tcPr>
            <w:tcW w:w="1218" w:type="dxa"/>
            <w:noWrap/>
            <w:hideMark/>
          </w:tcPr>
          <w:p w14:paraId="4E105B30" w14:textId="77777777" w:rsidR="00EB3667" w:rsidRPr="00265CA2" w:rsidRDefault="00EB3667" w:rsidP="001D3ADC">
            <w:pPr>
              <w:spacing w:after="0"/>
              <w:jc w:val="right"/>
              <w:rPr>
                <w:iCs/>
              </w:rPr>
            </w:pPr>
            <w:r w:rsidRPr="00265CA2">
              <w:rPr>
                <w:iCs/>
              </w:rPr>
              <w:t>166,6</w:t>
            </w:r>
          </w:p>
        </w:tc>
        <w:tc>
          <w:tcPr>
            <w:tcW w:w="1110" w:type="dxa"/>
            <w:noWrap/>
            <w:hideMark/>
          </w:tcPr>
          <w:p w14:paraId="64871F98" w14:textId="77777777" w:rsidR="00EB3667" w:rsidRPr="00265CA2" w:rsidRDefault="00EB3667" w:rsidP="001D3ADC">
            <w:pPr>
              <w:spacing w:after="0"/>
              <w:jc w:val="right"/>
              <w:rPr>
                <w:iCs/>
              </w:rPr>
            </w:pPr>
            <w:r w:rsidRPr="00265CA2">
              <w:rPr>
                <w:iCs/>
              </w:rPr>
              <w:t>11,03</w:t>
            </w:r>
          </w:p>
        </w:tc>
        <w:tc>
          <w:tcPr>
            <w:tcW w:w="1233" w:type="dxa"/>
            <w:noWrap/>
            <w:hideMark/>
          </w:tcPr>
          <w:p w14:paraId="2ED3FE49" w14:textId="77777777" w:rsidR="00EB3667" w:rsidRPr="00265CA2" w:rsidRDefault="00EB3667" w:rsidP="001D3ADC">
            <w:pPr>
              <w:spacing w:after="0"/>
              <w:jc w:val="right"/>
              <w:rPr>
                <w:iCs/>
              </w:rPr>
            </w:pPr>
            <w:r w:rsidRPr="00265CA2">
              <w:rPr>
                <w:iCs/>
              </w:rPr>
              <w:t>0,44</w:t>
            </w:r>
          </w:p>
        </w:tc>
        <w:tc>
          <w:tcPr>
            <w:tcW w:w="1120" w:type="dxa"/>
            <w:noWrap/>
            <w:hideMark/>
          </w:tcPr>
          <w:p w14:paraId="15CEF7DC" w14:textId="77777777" w:rsidR="00EB3667" w:rsidRPr="00265CA2" w:rsidRDefault="00EB3667" w:rsidP="001D3ADC">
            <w:pPr>
              <w:spacing w:after="0"/>
              <w:jc w:val="right"/>
              <w:rPr>
                <w:iCs/>
              </w:rPr>
            </w:pPr>
            <w:r w:rsidRPr="00265CA2">
              <w:rPr>
                <w:iCs/>
              </w:rPr>
              <w:t>2</w:t>
            </w:r>
          </w:p>
        </w:tc>
      </w:tr>
      <w:tr w:rsidR="00EB3667" w:rsidRPr="00265CA2" w14:paraId="3588050C" w14:textId="77777777" w:rsidTr="001D3ADC">
        <w:trPr>
          <w:trHeight w:val="300"/>
        </w:trPr>
        <w:tc>
          <w:tcPr>
            <w:tcW w:w="1878" w:type="dxa"/>
            <w:noWrap/>
            <w:hideMark/>
          </w:tcPr>
          <w:p w14:paraId="792F0EDC" w14:textId="77777777" w:rsidR="00EB3667" w:rsidRPr="00265CA2" w:rsidRDefault="00EB3667" w:rsidP="001D3ADC">
            <w:pPr>
              <w:spacing w:after="0"/>
              <w:rPr>
                <w:iCs/>
              </w:rPr>
            </w:pPr>
            <w:r w:rsidRPr="00265CA2">
              <w:rPr>
                <w:iCs/>
              </w:rPr>
              <w:t>Velika Reka</w:t>
            </w:r>
          </w:p>
        </w:tc>
        <w:tc>
          <w:tcPr>
            <w:tcW w:w="1310" w:type="dxa"/>
            <w:noWrap/>
            <w:hideMark/>
          </w:tcPr>
          <w:p w14:paraId="1D59FB18" w14:textId="77777777" w:rsidR="00EB3667" w:rsidRPr="00265CA2" w:rsidRDefault="00EB3667" w:rsidP="001D3ADC">
            <w:pPr>
              <w:spacing w:after="0"/>
              <w:jc w:val="right"/>
              <w:rPr>
                <w:iCs/>
              </w:rPr>
            </w:pPr>
            <w:r w:rsidRPr="00265CA2">
              <w:rPr>
                <w:iCs/>
              </w:rPr>
              <w:t>75,2</w:t>
            </w:r>
          </w:p>
        </w:tc>
        <w:tc>
          <w:tcPr>
            <w:tcW w:w="1172" w:type="dxa"/>
            <w:noWrap/>
            <w:hideMark/>
          </w:tcPr>
          <w:p w14:paraId="20029439" w14:textId="77777777" w:rsidR="00EB3667" w:rsidRPr="00265CA2" w:rsidRDefault="00EB3667" w:rsidP="001D3ADC">
            <w:pPr>
              <w:spacing w:after="0"/>
              <w:jc w:val="right"/>
              <w:rPr>
                <w:iCs/>
              </w:rPr>
            </w:pPr>
            <w:r w:rsidRPr="00265CA2">
              <w:rPr>
                <w:iCs/>
              </w:rPr>
              <w:t>19,64</w:t>
            </w:r>
          </w:p>
        </w:tc>
        <w:tc>
          <w:tcPr>
            <w:tcW w:w="1218" w:type="dxa"/>
            <w:noWrap/>
            <w:hideMark/>
          </w:tcPr>
          <w:p w14:paraId="1DFD13A5" w14:textId="77777777" w:rsidR="00EB3667" w:rsidRPr="00265CA2" w:rsidRDefault="00EB3667" w:rsidP="001D3ADC">
            <w:pPr>
              <w:spacing w:after="0"/>
              <w:jc w:val="right"/>
              <w:rPr>
                <w:iCs/>
              </w:rPr>
            </w:pPr>
            <w:r w:rsidRPr="00265CA2">
              <w:rPr>
                <w:iCs/>
              </w:rPr>
              <w:t>194</w:t>
            </w:r>
          </w:p>
        </w:tc>
        <w:tc>
          <w:tcPr>
            <w:tcW w:w="1110" w:type="dxa"/>
            <w:noWrap/>
            <w:hideMark/>
          </w:tcPr>
          <w:p w14:paraId="10E7589E" w14:textId="77777777" w:rsidR="00EB3667" w:rsidRPr="00265CA2" w:rsidRDefault="00EB3667" w:rsidP="001D3ADC">
            <w:pPr>
              <w:spacing w:after="0"/>
              <w:jc w:val="right"/>
              <w:rPr>
                <w:iCs/>
              </w:rPr>
            </w:pPr>
            <w:r w:rsidRPr="00265CA2">
              <w:rPr>
                <w:iCs/>
              </w:rPr>
              <w:t>9,88</w:t>
            </w:r>
          </w:p>
        </w:tc>
        <w:tc>
          <w:tcPr>
            <w:tcW w:w="1233" w:type="dxa"/>
            <w:noWrap/>
            <w:hideMark/>
          </w:tcPr>
          <w:p w14:paraId="163F574E" w14:textId="77777777" w:rsidR="00EB3667" w:rsidRPr="00265CA2" w:rsidRDefault="00EB3667" w:rsidP="001D3ADC">
            <w:pPr>
              <w:spacing w:after="0"/>
              <w:jc w:val="right"/>
              <w:rPr>
                <w:iCs/>
              </w:rPr>
            </w:pPr>
            <w:r w:rsidRPr="00265CA2">
              <w:rPr>
                <w:iCs/>
              </w:rPr>
              <w:t>0,55</w:t>
            </w:r>
          </w:p>
        </w:tc>
        <w:tc>
          <w:tcPr>
            <w:tcW w:w="1120" w:type="dxa"/>
            <w:noWrap/>
            <w:hideMark/>
          </w:tcPr>
          <w:p w14:paraId="1704FDC4" w14:textId="77777777" w:rsidR="00EB3667" w:rsidRPr="00265CA2" w:rsidRDefault="00EB3667" w:rsidP="001D3ADC">
            <w:pPr>
              <w:spacing w:after="0"/>
              <w:jc w:val="right"/>
              <w:rPr>
                <w:iCs/>
              </w:rPr>
            </w:pPr>
            <w:r w:rsidRPr="00265CA2">
              <w:rPr>
                <w:iCs/>
              </w:rPr>
              <w:t>2,3</w:t>
            </w:r>
          </w:p>
        </w:tc>
      </w:tr>
      <w:tr w:rsidR="00EB3667" w:rsidRPr="00265CA2" w14:paraId="4BC51195" w14:textId="77777777" w:rsidTr="001D3ADC">
        <w:trPr>
          <w:trHeight w:val="300"/>
        </w:trPr>
        <w:tc>
          <w:tcPr>
            <w:tcW w:w="1878" w:type="dxa"/>
            <w:noWrap/>
            <w:hideMark/>
          </w:tcPr>
          <w:p w14:paraId="3E3663B8" w14:textId="77777777" w:rsidR="00EB3667" w:rsidRPr="00265CA2" w:rsidRDefault="00EB3667" w:rsidP="001D3ADC">
            <w:pPr>
              <w:spacing w:after="0"/>
              <w:rPr>
                <w:iCs/>
              </w:rPr>
            </w:pPr>
            <w:r w:rsidRPr="00265CA2">
              <w:rPr>
                <w:iCs/>
              </w:rPr>
              <w:t>Krapinica</w:t>
            </w:r>
          </w:p>
        </w:tc>
        <w:tc>
          <w:tcPr>
            <w:tcW w:w="1310" w:type="dxa"/>
            <w:noWrap/>
            <w:hideMark/>
          </w:tcPr>
          <w:p w14:paraId="479C52D3" w14:textId="77777777" w:rsidR="00EB3667" w:rsidRPr="00265CA2" w:rsidRDefault="00EB3667" w:rsidP="001D3ADC">
            <w:pPr>
              <w:spacing w:after="0"/>
              <w:jc w:val="right"/>
              <w:rPr>
                <w:iCs/>
              </w:rPr>
            </w:pPr>
            <w:r w:rsidRPr="00265CA2">
              <w:rPr>
                <w:iCs/>
              </w:rPr>
              <w:t>129,8</w:t>
            </w:r>
          </w:p>
        </w:tc>
        <w:tc>
          <w:tcPr>
            <w:tcW w:w="1172" w:type="dxa"/>
            <w:noWrap/>
            <w:hideMark/>
          </w:tcPr>
          <w:p w14:paraId="53223F58" w14:textId="77777777" w:rsidR="00EB3667" w:rsidRPr="00265CA2" w:rsidRDefault="00EB3667" w:rsidP="001D3ADC">
            <w:pPr>
              <w:spacing w:after="0"/>
              <w:jc w:val="right"/>
              <w:rPr>
                <w:iCs/>
              </w:rPr>
            </w:pPr>
            <w:r w:rsidRPr="00265CA2">
              <w:rPr>
                <w:iCs/>
              </w:rPr>
              <w:t>30,84</w:t>
            </w:r>
          </w:p>
        </w:tc>
        <w:tc>
          <w:tcPr>
            <w:tcW w:w="1218" w:type="dxa"/>
            <w:noWrap/>
            <w:hideMark/>
          </w:tcPr>
          <w:p w14:paraId="63E4F2E0" w14:textId="77777777" w:rsidR="00EB3667" w:rsidRPr="00265CA2" w:rsidRDefault="00EB3667" w:rsidP="001D3ADC">
            <w:pPr>
              <w:spacing w:after="0"/>
              <w:jc w:val="right"/>
              <w:rPr>
                <w:iCs/>
              </w:rPr>
            </w:pPr>
            <w:r w:rsidRPr="00265CA2">
              <w:rPr>
                <w:iCs/>
              </w:rPr>
              <w:t>257</w:t>
            </w:r>
          </w:p>
        </w:tc>
        <w:tc>
          <w:tcPr>
            <w:tcW w:w="1110" w:type="dxa"/>
            <w:noWrap/>
            <w:hideMark/>
          </w:tcPr>
          <w:p w14:paraId="61466865" w14:textId="77777777" w:rsidR="00EB3667" w:rsidRPr="00265CA2" w:rsidRDefault="00EB3667" w:rsidP="001D3ADC">
            <w:pPr>
              <w:spacing w:after="0"/>
              <w:jc w:val="right"/>
              <w:rPr>
                <w:iCs/>
              </w:rPr>
            </w:pPr>
            <w:r w:rsidRPr="00265CA2">
              <w:rPr>
                <w:iCs/>
              </w:rPr>
              <w:t>8,33</w:t>
            </w:r>
          </w:p>
        </w:tc>
        <w:tc>
          <w:tcPr>
            <w:tcW w:w="1233" w:type="dxa"/>
            <w:noWrap/>
            <w:hideMark/>
          </w:tcPr>
          <w:p w14:paraId="651FCF8B" w14:textId="77777777" w:rsidR="00EB3667" w:rsidRPr="00265CA2" w:rsidRDefault="00EB3667" w:rsidP="001D3ADC">
            <w:pPr>
              <w:spacing w:after="0"/>
              <w:jc w:val="right"/>
              <w:rPr>
                <w:iCs/>
              </w:rPr>
            </w:pPr>
            <w:r w:rsidRPr="00265CA2">
              <w:rPr>
                <w:iCs/>
              </w:rPr>
              <w:t>1,37</w:t>
            </w:r>
          </w:p>
        </w:tc>
        <w:tc>
          <w:tcPr>
            <w:tcW w:w="1120" w:type="dxa"/>
            <w:noWrap/>
            <w:hideMark/>
          </w:tcPr>
          <w:p w14:paraId="1069F412" w14:textId="77777777" w:rsidR="00EB3667" w:rsidRPr="00265CA2" w:rsidRDefault="00EB3667" w:rsidP="001D3ADC">
            <w:pPr>
              <w:spacing w:after="0"/>
              <w:jc w:val="right"/>
              <w:rPr>
                <w:iCs/>
              </w:rPr>
            </w:pPr>
            <w:r w:rsidRPr="00265CA2">
              <w:rPr>
                <w:iCs/>
              </w:rPr>
              <w:t>3,1</w:t>
            </w:r>
          </w:p>
        </w:tc>
      </w:tr>
      <w:tr w:rsidR="00EB3667" w:rsidRPr="00265CA2" w14:paraId="6CE692D1" w14:textId="77777777" w:rsidTr="001D3ADC">
        <w:trPr>
          <w:trHeight w:val="300"/>
        </w:trPr>
        <w:tc>
          <w:tcPr>
            <w:tcW w:w="1878" w:type="dxa"/>
            <w:noWrap/>
            <w:hideMark/>
          </w:tcPr>
          <w:p w14:paraId="62406010" w14:textId="77777777" w:rsidR="00EB3667" w:rsidRPr="00265CA2" w:rsidRDefault="00EB3667" w:rsidP="001D3ADC">
            <w:pPr>
              <w:spacing w:after="0"/>
              <w:rPr>
                <w:iCs/>
              </w:rPr>
            </w:pPr>
            <w:r w:rsidRPr="00265CA2">
              <w:rPr>
                <w:iCs/>
              </w:rPr>
              <w:t>Kosteljina</w:t>
            </w:r>
          </w:p>
        </w:tc>
        <w:tc>
          <w:tcPr>
            <w:tcW w:w="1310" w:type="dxa"/>
            <w:noWrap/>
            <w:hideMark/>
          </w:tcPr>
          <w:p w14:paraId="5AB224F8" w14:textId="77777777" w:rsidR="00EB3667" w:rsidRPr="00265CA2" w:rsidRDefault="00EB3667" w:rsidP="001D3ADC">
            <w:pPr>
              <w:spacing w:after="0"/>
              <w:jc w:val="right"/>
              <w:rPr>
                <w:iCs/>
              </w:rPr>
            </w:pPr>
            <w:r w:rsidRPr="00265CA2">
              <w:rPr>
                <w:iCs/>
              </w:rPr>
              <w:t>61</w:t>
            </w:r>
          </w:p>
        </w:tc>
        <w:tc>
          <w:tcPr>
            <w:tcW w:w="1172" w:type="dxa"/>
            <w:noWrap/>
            <w:hideMark/>
          </w:tcPr>
          <w:p w14:paraId="7F413227" w14:textId="77777777" w:rsidR="00EB3667" w:rsidRPr="00265CA2" w:rsidRDefault="00EB3667" w:rsidP="001D3ADC">
            <w:pPr>
              <w:spacing w:after="0"/>
              <w:jc w:val="right"/>
              <w:rPr>
                <w:iCs/>
              </w:rPr>
            </w:pPr>
            <w:r w:rsidRPr="00265CA2">
              <w:rPr>
                <w:iCs/>
              </w:rPr>
              <w:t>30,08</w:t>
            </w:r>
          </w:p>
        </w:tc>
        <w:tc>
          <w:tcPr>
            <w:tcW w:w="1218" w:type="dxa"/>
            <w:noWrap/>
            <w:hideMark/>
          </w:tcPr>
          <w:p w14:paraId="032E103C" w14:textId="77777777" w:rsidR="00EB3667" w:rsidRPr="00265CA2" w:rsidRDefault="00EB3667" w:rsidP="001D3ADC">
            <w:pPr>
              <w:spacing w:after="0"/>
              <w:jc w:val="right"/>
              <w:rPr>
                <w:iCs/>
              </w:rPr>
            </w:pPr>
            <w:r w:rsidRPr="00265CA2">
              <w:rPr>
                <w:iCs/>
              </w:rPr>
              <w:t>157</w:t>
            </w:r>
          </w:p>
        </w:tc>
        <w:tc>
          <w:tcPr>
            <w:tcW w:w="1110" w:type="dxa"/>
            <w:noWrap/>
            <w:hideMark/>
          </w:tcPr>
          <w:p w14:paraId="19319043" w14:textId="77777777" w:rsidR="00EB3667" w:rsidRPr="00265CA2" w:rsidRDefault="00EB3667" w:rsidP="001D3ADC">
            <w:pPr>
              <w:spacing w:after="0"/>
              <w:jc w:val="right"/>
              <w:rPr>
                <w:iCs/>
              </w:rPr>
            </w:pPr>
            <w:r w:rsidRPr="00265CA2">
              <w:rPr>
                <w:iCs/>
              </w:rPr>
              <w:t>5,22</w:t>
            </w:r>
          </w:p>
        </w:tc>
        <w:tc>
          <w:tcPr>
            <w:tcW w:w="1233" w:type="dxa"/>
            <w:noWrap/>
            <w:hideMark/>
          </w:tcPr>
          <w:p w14:paraId="1D78123E" w14:textId="77777777" w:rsidR="00EB3667" w:rsidRPr="00265CA2" w:rsidRDefault="00EB3667" w:rsidP="001D3ADC">
            <w:pPr>
              <w:spacing w:after="0"/>
              <w:jc w:val="right"/>
              <w:rPr>
                <w:iCs/>
              </w:rPr>
            </w:pPr>
            <w:r w:rsidRPr="00265CA2">
              <w:rPr>
                <w:iCs/>
              </w:rPr>
              <w:t>0,4</w:t>
            </w:r>
          </w:p>
        </w:tc>
        <w:tc>
          <w:tcPr>
            <w:tcW w:w="1120" w:type="dxa"/>
            <w:noWrap/>
            <w:hideMark/>
          </w:tcPr>
          <w:p w14:paraId="22608BF9" w14:textId="77777777" w:rsidR="00EB3667" w:rsidRPr="00265CA2" w:rsidRDefault="00EB3667" w:rsidP="001D3ADC">
            <w:pPr>
              <w:spacing w:after="0"/>
              <w:jc w:val="right"/>
              <w:rPr>
                <w:iCs/>
              </w:rPr>
            </w:pPr>
            <w:r w:rsidRPr="00265CA2">
              <w:rPr>
                <w:iCs/>
              </w:rPr>
              <w:t>0,3</w:t>
            </w:r>
          </w:p>
        </w:tc>
      </w:tr>
      <w:tr w:rsidR="00EB3667" w:rsidRPr="00265CA2" w14:paraId="02AB922F" w14:textId="77777777" w:rsidTr="001D3ADC">
        <w:trPr>
          <w:trHeight w:val="300"/>
        </w:trPr>
        <w:tc>
          <w:tcPr>
            <w:tcW w:w="1878" w:type="dxa"/>
            <w:noWrap/>
            <w:hideMark/>
          </w:tcPr>
          <w:p w14:paraId="649B4114" w14:textId="77777777" w:rsidR="00EB3667" w:rsidRPr="00265CA2" w:rsidRDefault="00EB3667" w:rsidP="001D3ADC">
            <w:pPr>
              <w:spacing w:after="0"/>
              <w:rPr>
                <w:iCs/>
              </w:rPr>
            </w:pPr>
            <w:r w:rsidRPr="00265CA2">
              <w:rPr>
                <w:iCs/>
              </w:rPr>
              <w:t>Horvatska</w:t>
            </w:r>
          </w:p>
        </w:tc>
        <w:tc>
          <w:tcPr>
            <w:tcW w:w="1310" w:type="dxa"/>
            <w:noWrap/>
            <w:hideMark/>
          </w:tcPr>
          <w:p w14:paraId="331C7E7F" w14:textId="77777777" w:rsidR="00EB3667" w:rsidRPr="00265CA2" w:rsidRDefault="00EB3667" w:rsidP="001D3ADC">
            <w:pPr>
              <w:spacing w:after="0"/>
              <w:jc w:val="right"/>
              <w:rPr>
                <w:iCs/>
              </w:rPr>
            </w:pPr>
            <w:r w:rsidRPr="00265CA2">
              <w:rPr>
                <w:iCs/>
              </w:rPr>
              <w:t>107,5</w:t>
            </w:r>
          </w:p>
        </w:tc>
        <w:tc>
          <w:tcPr>
            <w:tcW w:w="1172" w:type="dxa"/>
            <w:noWrap/>
            <w:hideMark/>
          </w:tcPr>
          <w:p w14:paraId="672DACFE" w14:textId="77777777" w:rsidR="00EB3667" w:rsidRPr="00265CA2" w:rsidRDefault="00EB3667" w:rsidP="001D3ADC">
            <w:pPr>
              <w:spacing w:after="0"/>
              <w:jc w:val="right"/>
              <w:rPr>
                <w:iCs/>
              </w:rPr>
            </w:pPr>
            <w:r w:rsidRPr="00265CA2">
              <w:rPr>
                <w:iCs/>
              </w:rPr>
              <w:t>28,71</w:t>
            </w:r>
          </w:p>
        </w:tc>
        <w:tc>
          <w:tcPr>
            <w:tcW w:w="1218" w:type="dxa"/>
            <w:noWrap/>
            <w:hideMark/>
          </w:tcPr>
          <w:p w14:paraId="5E528AD3" w14:textId="77777777" w:rsidR="00EB3667" w:rsidRPr="00265CA2" w:rsidRDefault="00EB3667" w:rsidP="001D3ADC">
            <w:pPr>
              <w:spacing w:after="0"/>
              <w:jc w:val="right"/>
              <w:rPr>
                <w:iCs/>
              </w:rPr>
            </w:pPr>
            <w:r w:rsidRPr="00265CA2">
              <w:rPr>
                <w:iCs/>
              </w:rPr>
              <w:t>201</w:t>
            </w:r>
          </w:p>
        </w:tc>
        <w:tc>
          <w:tcPr>
            <w:tcW w:w="1110" w:type="dxa"/>
            <w:noWrap/>
            <w:hideMark/>
          </w:tcPr>
          <w:p w14:paraId="1FA4B8D7" w14:textId="77777777" w:rsidR="00EB3667" w:rsidRPr="00265CA2" w:rsidRDefault="00EB3667" w:rsidP="001D3ADC">
            <w:pPr>
              <w:spacing w:after="0"/>
              <w:jc w:val="right"/>
              <w:rPr>
                <w:iCs/>
              </w:rPr>
            </w:pPr>
            <w:r w:rsidRPr="00265CA2">
              <w:rPr>
                <w:iCs/>
              </w:rPr>
              <w:t>7</w:t>
            </w:r>
          </w:p>
        </w:tc>
        <w:tc>
          <w:tcPr>
            <w:tcW w:w="1233" w:type="dxa"/>
            <w:noWrap/>
            <w:hideMark/>
          </w:tcPr>
          <w:p w14:paraId="0D53D112" w14:textId="77777777" w:rsidR="00EB3667" w:rsidRPr="00265CA2" w:rsidRDefault="00EB3667" w:rsidP="001D3ADC">
            <w:pPr>
              <w:spacing w:after="0"/>
              <w:jc w:val="right"/>
              <w:rPr>
                <w:iCs/>
              </w:rPr>
            </w:pPr>
            <w:r w:rsidRPr="00265CA2">
              <w:rPr>
                <w:iCs/>
              </w:rPr>
              <w:t>1,16</w:t>
            </w:r>
          </w:p>
        </w:tc>
        <w:tc>
          <w:tcPr>
            <w:tcW w:w="1120" w:type="dxa"/>
            <w:noWrap/>
            <w:hideMark/>
          </w:tcPr>
          <w:p w14:paraId="63886585" w14:textId="77777777" w:rsidR="00EB3667" w:rsidRPr="00265CA2" w:rsidRDefault="00EB3667" w:rsidP="001D3ADC">
            <w:pPr>
              <w:spacing w:after="0"/>
              <w:jc w:val="right"/>
              <w:rPr>
                <w:iCs/>
              </w:rPr>
            </w:pPr>
            <w:r w:rsidRPr="00265CA2">
              <w:rPr>
                <w:iCs/>
              </w:rPr>
              <w:t>1,95</w:t>
            </w:r>
          </w:p>
        </w:tc>
      </w:tr>
      <w:tr w:rsidR="00EB3667" w:rsidRPr="00265CA2" w14:paraId="32D411C6" w14:textId="77777777" w:rsidTr="001D3ADC">
        <w:trPr>
          <w:trHeight w:val="300"/>
        </w:trPr>
        <w:tc>
          <w:tcPr>
            <w:tcW w:w="1878" w:type="dxa"/>
            <w:noWrap/>
            <w:hideMark/>
          </w:tcPr>
          <w:p w14:paraId="0B13DA03" w14:textId="77777777" w:rsidR="00EB3667" w:rsidRPr="00265CA2" w:rsidRDefault="00EB3667" w:rsidP="001D3ADC">
            <w:pPr>
              <w:spacing w:after="0"/>
              <w:rPr>
                <w:iCs/>
              </w:rPr>
            </w:pPr>
            <w:r w:rsidRPr="00265CA2">
              <w:rPr>
                <w:iCs/>
              </w:rPr>
              <w:t>Bistrica</w:t>
            </w:r>
          </w:p>
        </w:tc>
        <w:tc>
          <w:tcPr>
            <w:tcW w:w="1310" w:type="dxa"/>
            <w:noWrap/>
            <w:hideMark/>
          </w:tcPr>
          <w:p w14:paraId="139F5CC4" w14:textId="77777777" w:rsidR="00EB3667" w:rsidRPr="00265CA2" w:rsidRDefault="00EB3667" w:rsidP="001D3ADC">
            <w:pPr>
              <w:spacing w:after="0"/>
              <w:jc w:val="right"/>
              <w:rPr>
                <w:iCs/>
              </w:rPr>
            </w:pPr>
            <w:r w:rsidRPr="00265CA2">
              <w:rPr>
                <w:iCs/>
              </w:rPr>
              <w:t>43,2</w:t>
            </w:r>
          </w:p>
        </w:tc>
        <w:tc>
          <w:tcPr>
            <w:tcW w:w="1172" w:type="dxa"/>
            <w:noWrap/>
            <w:hideMark/>
          </w:tcPr>
          <w:p w14:paraId="63B69419" w14:textId="77777777" w:rsidR="00EB3667" w:rsidRPr="00265CA2" w:rsidRDefault="00EB3667" w:rsidP="001D3ADC">
            <w:pPr>
              <w:spacing w:after="0"/>
              <w:jc w:val="right"/>
              <w:rPr>
                <w:iCs/>
              </w:rPr>
            </w:pPr>
            <w:r w:rsidRPr="00265CA2">
              <w:rPr>
                <w:iCs/>
              </w:rPr>
              <w:t>12,15</w:t>
            </w:r>
          </w:p>
        </w:tc>
        <w:tc>
          <w:tcPr>
            <w:tcW w:w="1218" w:type="dxa"/>
            <w:noWrap/>
            <w:hideMark/>
          </w:tcPr>
          <w:p w14:paraId="6E5C69EB" w14:textId="77777777" w:rsidR="00EB3667" w:rsidRPr="00265CA2" w:rsidRDefault="00EB3667" w:rsidP="001D3ADC">
            <w:pPr>
              <w:spacing w:after="0"/>
              <w:jc w:val="right"/>
              <w:rPr>
                <w:iCs/>
              </w:rPr>
            </w:pPr>
            <w:r w:rsidRPr="00265CA2">
              <w:rPr>
                <w:iCs/>
              </w:rPr>
              <w:t>174</w:t>
            </w:r>
          </w:p>
        </w:tc>
        <w:tc>
          <w:tcPr>
            <w:tcW w:w="1110" w:type="dxa"/>
            <w:noWrap/>
            <w:hideMark/>
          </w:tcPr>
          <w:p w14:paraId="6A585501" w14:textId="77777777" w:rsidR="00EB3667" w:rsidRPr="00265CA2" w:rsidRDefault="00EB3667" w:rsidP="001D3ADC">
            <w:pPr>
              <w:spacing w:after="0"/>
              <w:jc w:val="right"/>
              <w:rPr>
                <w:iCs/>
              </w:rPr>
            </w:pPr>
            <w:r w:rsidRPr="00265CA2">
              <w:rPr>
                <w:iCs/>
              </w:rPr>
              <w:t>14,32</w:t>
            </w:r>
          </w:p>
        </w:tc>
        <w:tc>
          <w:tcPr>
            <w:tcW w:w="1233" w:type="dxa"/>
            <w:noWrap/>
            <w:hideMark/>
          </w:tcPr>
          <w:p w14:paraId="59C1F249" w14:textId="77777777" w:rsidR="00EB3667" w:rsidRPr="00265CA2" w:rsidRDefault="00EB3667" w:rsidP="001D3ADC">
            <w:pPr>
              <w:spacing w:after="0"/>
              <w:jc w:val="right"/>
              <w:rPr>
                <w:iCs/>
              </w:rPr>
            </w:pPr>
            <w:r w:rsidRPr="00265CA2">
              <w:rPr>
                <w:iCs/>
              </w:rPr>
              <w:t>0,31</w:t>
            </w:r>
          </w:p>
        </w:tc>
        <w:tc>
          <w:tcPr>
            <w:tcW w:w="1120" w:type="dxa"/>
            <w:noWrap/>
            <w:hideMark/>
          </w:tcPr>
          <w:p w14:paraId="0078BC15" w14:textId="77777777" w:rsidR="00EB3667" w:rsidRPr="00265CA2" w:rsidRDefault="00EB3667" w:rsidP="001D3ADC">
            <w:pPr>
              <w:spacing w:after="0"/>
              <w:jc w:val="right"/>
              <w:rPr>
                <w:iCs/>
              </w:rPr>
            </w:pPr>
            <w:r w:rsidRPr="00265CA2">
              <w:rPr>
                <w:iCs/>
              </w:rPr>
              <w:t>1,5</w:t>
            </w:r>
          </w:p>
        </w:tc>
      </w:tr>
      <w:tr w:rsidR="00EB3667" w:rsidRPr="00265CA2" w14:paraId="52C9EDF5" w14:textId="77777777" w:rsidTr="001D3ADC">
        <w:trPr>
          <w:trHeight w:val="300"/>
        </w:trPr>
        <w:tc>
          <w:tcPr>
            <w:tcW w:w="1878" w:type="dxa"/>
            <w:noWrap/>
            <w:hideMark/>
          </w:tcPr>
          <w:p w14:paraId="0CBAAFDA" w14:textId="77777777" w:rsidR="00EB3667" w:rsidRPr="00265CA2" w:rsidRDefault="00EB3667" w:rsidP="001D3ADC">
            <w:pPr>
              <w:spacing w:after="0"/>
              <w:rPr>
                <w:iCs/>
              </w:rPr>
            </w:pPr>
            <w:r w:rsidRPr="00265CA2">
              <w:rPr>
                <w:iCs/>
              </w:rPr>
              <w:t>Žitomirka</w:t>
            </w:r>
          </w:p>
        </w:tc>
        <w:tc>
          <w:tcPr>
            <w:tcW w:w="1310" w:type="dxa"/>
            <w:noWrap/>
            <w:hideMark/>
          </w:tcPr>
          <w:p w14:paraId="70F8F1C8" w14:textId="77777777" w:rsidR="00EB3667" w:rsidRPr="00265CA2" w:rsidRDefault="00EB3667" w:rsidP="001D3ADC">
            <w:pPr>
              <w:spacing w:after="0"/>
              <w:jc w:val="right"/>
              <w:rPr>
                <w:iCs/>
              </w:rPr>
            </w:pPr>
            <w:r w:rsidRPr="00265CA2">
              <w:rPr>
                <w:iCs/>
              </w:rPr>
              <w:t>40,4</w:t>
            </w:r>
          </w:p>
        </w:tc>
        <w:tc>
          <w:tcPr>
            <w:tcW w:w="1172" w:type="dxa"/>
            <w:noWrap/>
            <w:hideMark/>
          </w:tcPr>
          <w:p w14:paraId="196074F7" w14:textId="77777777" w:rsidR="00EB3667" w:rsidRPr="00265CA2" w:rsidRDefault="00EB3667" w:rsidP="001D3ADC">
            <w:pPr>
              <w:spacing w:after="0"/>
              <w:jc w:val="right"/>
              <w:rPr>
                <w:iCs/>
              </w:rPr>
            </w:pPr>
            <w:r w:rsidRPr="00265CA2">
              <w:rPr>
                <w:iCs/>
              </w:rPr>
              <w:t>7,25</w:t>
            </w:r>
          </w:p>
        </w:tc>
        <w:tc>
          <w:tcPr>
            <w:tcW w:w="1218" w:type="dxa"/>
            <w:noWrap/>
            <w:hideMark/>
          </w:tcPr>
          <w:p w14:paraId="2473E7CC" w14:textId="77777777" w:rsidR="00EB3667" w:rsidRPr="00265CA2" w:rsidRDefault="00EB3667" w:rsidP="001D3ADC">
            <w:pPr>
              <w:spacing w:after="0"/>
              <w:jc w:val="right"/>
              <w:rPr>
                <w:iCs/>
              </w:rPr>
            </w:pPr>
            <w:r w:rsidRPr="00265CA2">
              <w:rPr>
                <w:iCs/>
              </w:rPr>
              <w:t>219</w:t>
            </w:r>
          </w:p>
        </w:tc>
        <w:tc>
          <w:tcPr>
            <w:tcW w:w="1110" w:type="dxa"/>
            <w:noWrap/>
            <w:hideMark/>
          </w:tcPr>
          <w:p w14:paraId="0D903C34" w14:textId="77777777" w:rsidR="00EB3667" w:rsidRPr="00265CA2" w:rsidRDefault="00EB3667" w:rsidP="001D3ADC">
            <w:pPr>
              <w:spacing w:after="0"/>
              <w:jc w:val="right"/>
              <w:rPr>
                <w:iCs/>
              </w:rPr>
            </w:pPr>
            <w:r w:rsidRPr="00265CA2">
              <w:rPr>
                <w:iCs/>
              </w:rPr>
              <w:t>30,21</w:t>
            </w:r>
          </w:p>
        </w:tc>
        <w:tc>
          <w:tcPr>
            <w:tcW w:w="1233" w:type="dxa"/>
            <w:noWrap/>
            <w:hideMark/>
          </w:tcPr>
          <w:p w14:paraId="7162481E" w14:textId="77777777" w:rsidR="00EB3667" w:rsidRPr="00265CA2" w:rsidRDefault="00EB3667" w:rsidP="001D3ADC">
            <w:pPr>
              <w:spacing w:after="0"/>
              <w:jc w:val="right"/>
              <w:rPr>
                <w:iCs/>
              </w:rPr>
            </w:pPr>
            <w:r w:rsidRPr="00265CA2">
              <w:rPr>
                <w:iCs/>
              </w:rPr>
              <w:t>0,3</w:t>
            </w:r>
          </w:p>
        </w:tc>
        <w:tc>
          <w:tcPr>
            <w:tcW w:w="1120" w:type="dxa"/>
            <w:noWrap/>
            <w:hideMark/>
          </w:tcPr>
          <w:p w14:paraId="62758DB3" w14:textId="77777777" w:rsidR="00EB3667" w:rsidRPr="00265CA2" w:rsidRDefault="00EB3667" w:rsidP="001D3ADC">
            <w:pPr>
              <w:spacing w:after="0"/>
              <w:jc w:val="right"/>
              <w:rPr>
                <w:iCs/>
              </w:rPr>
            </w:pPr>
            <w:r w:rsidRPr="00265CA2">
              <w:rPr>
                <w:iCs/>
              </w:rPr>
              <w:t>1,8</w:t>
            </w:r>
          </w:p>
        </w:tc>
      </w:tr>
      <w:tr w:rsidR="00EB3667" w:rsidRPr="00265CA2" w14:paraId="6FA8A726" w14:textId="77777777" w:rsidTr="001D3ADC">
        <w:trPr>
          <w:trHeight w:val="300"/>
        </w:trPr>
        <w:tc>
          <w:tcPr>
            <w:tcW w:w="1878" w:type="dxa"/>
            <w:noWrap/>
            <w:hideMark/>
          </w:tcPr>
          <w:p w14:paraId="27BAB95B" w14:textId="77777777" w:rsidR="00EB3667" w:rsidRPr="00265CA2" w:rsidRDefault="00EB3667" w:rsidP="001D3ADC">
            <w:pPr>
              <w:spacing w:after="0"/>
              <w:rPr>
                <w:iCs/>
              </w:rPr>
            </w:pPr>
            <w:r w:rsidRPr="00265CA2">
              <w:rPr>
                <w:iCs/>
              </w:rPr>
              <w:t>Pinja</w:t>
            </w:r>
          </w:p>
        </w:tc>
        <w:tc>
          <w:tcPr>
            <w:tcW w:w="1310" w:type="dxa"/>
            <w:noWrap/>
            <w:hideMark/>
          </w:tcPr>
          <w:p w14:paraId="41659A5F" w14:textId="77777777" w:rsidR="00EB3667" w:rsidRPr="00265CA2" w:rsidRDefault="00EB3667" w:rsidP="001D3ADC">
            <w:pPr>
              <w:spacing w:after="0"/>
              <w:jc w:val="right"/>
              <w:rPr>
                <w:iCs/>
              </w:rPr>
            </w:pPr>
            <w:r w:rsidRPr="00265CA2">
              <w:rPr>
                <w:iCs/>
              </w:rPr>
              <w:t>22,7</w:t>
            </w:r>
          </w:p>
        </w:tc>
        <w:tc>
          <w:tcPr>
            <w:tcW w:w="1172" w:type="dxa"/>
            <w:noWrap/>
            <w:hideMark/>
          </w:tcPr>
          <w:p w14:paraId="71DFFED5" w14:textId="77777777" w:rsidR="00EB3667" w:rsidRPr="00265CA2" w:rsidRDefault="00EB3667" w:rsidP="001D3ADC">
            <w:pPr>
              <w:spacing w:after="0"/>
              <w:jc w:val="right"/>
              <w:rPr>
                <w:iCs/>
              </w:rPr>
            </w:pPr>
            <w:r w:rsidRPr="00265CA2">
              <w:rPr>
                <w:iCs/>
              </w:rPr>
              <w:t>6,97</w:t>
            </w:r>
          </w:p>
        </w:tc>
        <w:tc>
          <w:tcPr>
            <w:tcW w:w="1218" w:type="dxa"/>
            <w:noWrap/>
            <w:hideMark/>
          </w:tcPr>
          <w:p w14:paraId="394026CB" w14:textId="77777777" w:rsidR="00EB3667" w:rsidRPr="00265CA2" w:rsidRDefault="00EB3667" w:rsidP="001D3ADC">
            <w:pPr>
              <w:spacing w:after="0"/>
              <w:jc w:val="right"/>
              <w:rPr>
                <w:iCs/>
              </w:rPr>
            </w:pPr>
            <w:r w:rsidRPr="00265CA2">
              <w:rPr>
                <w:iCs/>
              </w:rPr>
              <w:t>64</w:t>
            </w:r>
          </w:p>
        </w:tc>
        <w:tc>
          <w:tcPr>
            <w:tcW w:w="1110" w:type="dxa"/>
            <w:noWrap/>
            <w:hideMark/>
          </w:tcPr>
          <w:p w14:paraId="6D1D057F" w14:textId="77777777" w:rsidR="00EB3667" w:rsidRPr="00265CA2" w:rsidRDefault="00EB3667" w:rsidP="001D3ADC">
            <w:pPr>
              <w:spacing w:after="0"/>
              <w:jc w:val="right"/>
              <w:rPr>
                <w:iCs/>
              </w:rPr>
            </w:pPr>
            <w:r w:rsidRPr="00265CA2">
              <w:rPr>
                <w:iCs/>
              </w:rPr>
              <w:t>9,18</w:t>
            </w:r>
          </w:p>
        </w:tc>
        <w:tc>
          <w:tcPr>
            <w:tcW w:w="1233" w:type="dxa"/>
            <w:noWrap/>
            <w:hideMark/>
          </w:tcPr>
          <w:p w14:paraId="0D68CB7B" w14:textId="77777777" w:rsidR="00EB3667" w:rsidRPr="00265CA2" w:rsidRDefault="00EB3667" w:rsidP="001D3ADC">
            <w:pPr>
              <w:spacing w:after="0"/>
              <w:jc w:val="right"/>
              <w:rPr>
                <w:iCs/>
              </w:rPr>
            </w:pPr>
            <w:r w:rsidRPr="00265CA2">
              <w:rPr>
                <w:iCs/>
              </w:rPr>
              <w:t>0,18</w:t>
            </w:r>
          </w:p>
        </w:tc>
        <w:tc>
          <w:tcPr>
            <w:tcW w:w="1120" w:type="dxa"/>
            <w:noWrap/>
            <w:hideMark/>
          </w:tcPr>
          <w:p w14:paraId="0852E85B" w14:textId="77777777" w:rsidR="00EB3667" w:rsidRPr="00265CA2" w:rsidRDefault="00EB3667" w:rsidP="001D3ADC">
            <w:pPr>
              <w:spacing w:after="0"/>
              <w:jc w:val="right"/>
              <w:rPr>
                <w:iCs/>
              </w:rPr>
            </w:pPr>
            <w:r w:rsidRPr="00265CA2">
              <w:rPr>
                <w:iCs/>
              </w:rPr>
              <w:t>0,6</w:t>
            </w:r>
          </w:p>
        </w:tc>
      </w:tr>
      <w:tr w:rsidR="00EB3667" w:rsidRPr="00265CA2" w14:paraId="6AD7DF6B" w14:textId="77777777" w:rsidTr="001D3ADC">
        <w:trPr>
          <w:trHeight w:val="300"/>
        </w:trPr>
        <w:tc>
          <w:tcPr>
            <w:tcW w:w="1878" w:type="dxa"/>
            <w:noWrap/>
            <w:hideMark/>
          </w:tcPr>
          <w:p w14:paraId="34215092" w14:textId="77777777" w:rsidR="00EB3667" w:rsidRPr="00265CA2" w:rsidRDefault="00EB3667" w:rsidP="001D3ADC">
            <w:pPr>
              <w:spacing w:after="0"/>
              <w:rPr>
                <w:iCs/>
              </w:rPr>
            </w:pPr>
            <w:r w:rsidRPr="00265CA2">
              <w:rPr>
                <w:iCs/>
              </w:rPr>
              <w:t>Toplički potok</w:t>
            </w:r>
          </w:p>
        </w:tc>
        <w:tc>
          <w:tcPr>
            <w:tcW w:w="1310" w:type="dxa"/>
            <w:noWrap/>
            <w:hideMark/>
          </w:tcPr>
          <w:p w14:paraId="7D1CBCF0" w14:textId="77777777" w:rsidR="00EB3667" w:rsidRPr="00265CA2" w:rsidRDefault="00EB3667" w:rsidP="001D3ADC">
            <w:pPr>
              <w:spacing w:after="0"/>
              <w:jc w:val="right"/>
              <w:rPr>
                <w:iCs/>
              </w:rPr>
            </w:pPr>
            <w:r w:rsidRPr="00265CA2">
              <w:rPr>
                <w:iCs/>
              </w:rPr>
              <w:t>148,3</w:t>
            </w:r>
          </w:p>
        </w:tc>
        <w:tc>
          <w:tcPr>
            <w:tcW w:w="1172" w:type="dxa"/>
            <w:noWrap/>
            <w:hideMark/>
          </w:tcPr>
          <w:p w14:paraId="52894377" w14:textId="77777777" w:rsidR="00EB3667" w:rsidRPr="00265CA2" w:rsidRDefault="00EB3667" w:rsidP="001D3ADC">
            <w:pPr>
              <w:spacing w:after="0"/>
              <w:jc w:val="right"/>
              <w:rPr>
                <w:iCs/>
              </w:rPr>
            </w:pPr>
            <w:r w:rsidRPr="00265CA2">
              <w:rPr>
                <w:iCs/>
              </w:rPr>
              <w:t>4,97</w:t>
            </w:r>
          </w:p>
        </w:tc>
        <w:tc>
          <w:tcPr>
            <w:tcW w:w="1218" w:type="dxa"/>
            <w:noWrap/>
            <w:hideMark/>
          </w:tcPr>
          <w:p w14:paraId="76EE04DE" w14:textId="77777777" w:rsidR="00EB3667" w:rsidRPr="00265CA2" w:rsidRDefault="00EB3667" w:rsidP="001D3ADC">
            <w:pPr>
              <w:spacing w:after="0"/>
              <w:jc w:val="right"/>
              <w:rPr>
                <w:iCs/>
              </w:rPr>
            </w:pPr>
            <w:r w:rsidRPr="00265CA2">
              <w:rPr>
                <w:iCs/>
              </w:rPr>
              <w:t>20,5</w:t>
            </w:r>
          </w:p>
        </w:tc>
        <w:tc>
          <w:tcPr>
            <w:tcW w:w="1110" w:type="dxa"/>
            <w:noWrap/>
            <w:hideMark/>
          </w:tcPr>
          <w:p w14:paraId="243DB448" w14:textId="77777777" w:rsidR="00EB3667" w:rsidRPr="00265CA2" w:rsidRDefault="00EB3667" w:rsidP="001D3ADC">
            <w:pPr>
              <w:spacing w:after="0"/>
              <w:jc w:val="right"/>
              <w:rPr>
                <w:iCs/>
              </w:rPr>
            </w:pPr>
            <w:r w:rsidRPr="00265CA2">
              <w:rPr>
                <w:iCs/>
              </w:rPr>
              <w:t>4,12</w:t>
            </w:r>
          </w:p>
        </w:tc>
        <w:tc>
          <w:tcPr>
            <w:tcW w:w="1233" w:type="dxa"/>
            <w:noWrap/>
            <w:hideMark/>
          </w:tcPr>
          <w:p w14:paraId="6E39FCE7" w14:textId="77777777" w:rsidR="00EB3667" w:rsidRPr="00265CA2" w:rsidRDefault="00EB3667" w:rsidP="001D3ADC">
            <w:pPr>
              <w:spacing w:after="0"/>
              <w:jc w:val="right"/>
              <w:rPr>
                <w:iCs/>
              </w:rPr>
            </w:pPr>
            <w:r w:rsidRPr="00265CA2">
              <w:rPr>
                <w:iCs/>
              </w:rPr>
              <w:t>0,35</w:t>
            </w:r>
          </w:p>
        </w:tc>
        <w:tc>
          <w:tcPr>
            <w:tcW w:w="1120" w:type="dxa"/>
            <w:noWrap/>
            <w:hideMark/>
          </w:tcPr>
          <w:p w14:paraId="41A82673" w14:textId="77777777" w:rsidR="00EB3667" w:rsidRPr="00265CA2" w:rsidRDefault="00EB3667" w:rsidP="001D3ADC">
            <w:pPr>
              <w:spacing w:after="0"/>
              <w:jc w:val="right"/>
              <w:rPr>
                <w:iCs/>
              </w:rPr>
            </w:pPr>
            <w:r w:rsidRPr="00265CA2">
              <w:rPr>
                <w:iCs/>
              </w:rPr>
              <w:t>0,25</w:t>
            </w:r>
          </w:p>
        </w:tc>
      </w:tr>
      <w:tr w:rsidR="00EB3667" w:rsidRPr="00265CA2" w14:paraId="7609B953" w14:textId="77777777" w:rsidTr="001D3ADC">
        <w:trPr>
          <w:trHeight w:val="300"/>
        </w:trPr>
        <w:tc>
          <w:tcPr>
            <w:tcW w:w="1878" w:type="dxa"/>
            <w:shd w:val="clear" w:color="auto" w:fill="E5E5E5" w:themeFill="text1" w:themeFillTint="33"/>
            <w:noWrap/>
            <w:hideMark/>
          </w:tcPr>
          <w:p w14:paraId="76A2FD4F" w14:textId="77777777" w:rsidR="00EB3667" w:rsidRPr="00265CA2" w:rsidRDefault="00EB3667" w:rsidP="001D3ADC">
            <w:pPr>
              <w:spacing w:after="0"/>
              <w:rPr>
                <w:b/>
                <w:bCs/>
                <w:iCs/>
              </w:rPr>
            </w:pPr>
            <w:r w:rsidRPr="00265CA2">
              <w:rPr>
                <w:b/>
                <w:bCs/>
                <w:iCs/>
              </w:rPr>
              <w:t>UKUPNO</w:t>
            </w:r>
          </w:p>
        </w:tc>
        <w:tc>
          <w:tcPr>
            <w:tcW w:w="1310" w:type="dxa"/>
            <w:shd w:val="clear" w:color="auto" w:fill="E5E5E5" w:themeFill="text1" w:themeFillTint="33"/>
            <w:noWrap/>
            <w:hideMark/>
          </w:tcPr>
          <w:p w14:paraId="65DCC033" w14:textId="77777777" w:rsidR="00EB3667" w:rsidRPr="00265CA2" w:rsidRDefault="00EB3667" w:rsidP="001D3ADC">
            <w:pPr>
              <w:spacing w:after="0"/>
              <w:jc w:val="right"/>
              <w:rPr>
                <w:b/>
                <w:bCs/>
                <w:iCs/>
              </w:rPr>
            </w:pPr>
            <w:r w:rsidRPr="00265CA2">
              <w:rPr>
                <w:b/>
                <w:bCs/>
                <w:iCs/>
              </w:rPr>
              <w:t>1462,8</w:t>
            </w:r>
          </w:p>
        </w:tc>
        <w:tc>
          <w:tcPr>
            <w:tcW w:w="1172" w:type="dxa"/>
            <w:shd w:val="clear" w:color="auto" w:fill="E5E5E5" w:themeFill="text1" w:themeFillTint="33"/>
            <w:noWrap/>
            <w:hideMark/>
          </w:tcPr>
          <w:p w14:paraId="60C65225" w14:textId="77777777" w:rsidR="00EB3667" w:rsidRPr="00265CA2" w:rsidRDefault="00EB3667" w:rsidP="001D3ADC">
            <w:pPr>
              <w:spacing w:after="0"/>
              <w:jc w:val="right"/>
              <w:rPr>
                <w:b/>
                <w:bCs/>
                <w:iCs/>
              </w:rPr>
            </w:pPr>
            <w:r w:rsidRPr="00265CA2">
              <w:rPr>
                <w:b/>
                <w:bCs/>
                <w:iCs/>
              </w:rPr>
              <w:t>199,69</w:t>
            </w:r>
          </w:p>
        </w:tc>
        <w:tc>
          <w:tcPr>
            <w:tcW w:w="1218" w:type="dxa"/>
            <w:shd w:val="clear" w:color="auto" w:fill="E5E5E5" w:themeFill="text1" w:themeFillTint="33"/>
            <w:noWrap/>
            <w:hideMark/>
          </w:tcPr>
          <w:p w14:paraId="334A4BAE" w14:textId="77777777" w:rsidR="00EB3667" w:rsidRPr="00265CA2" w:rsidRDefault="00EB3667" w:rsidP="001D3ADC">
            <w:pPr>
              <w:spacing w:after="0"/>
              <w:jc w:val="right"/>
              <w:rPr>
                <w:b/>
                <w:bCs/>
                <w:iCs/>
              </w:rPr>
            </w:pPr>
            <w:r w:rsidRPr="00265CA2">
              <w:rPr>
                <w:b/>
                <w:bCs/>
                <w:iCs/>
              </w:rPr>
              <w:t>1665,1</w:t>
            </w:r>
          </w:p>
        </w:tc>
        <w:tc>
          <w:tcPr>
            <w:tcW w:w="1110" w:type="dxa"/>
            <w:shd w:val="clear" w:color="auto" w:fill="E5E5E5" w:themeFill="text1" w:themeFillTint="33"/>
            <w:noWrap/>
            <w:hideMark/>
          </w:tcPr>
          <w:p w14:paraId="44461DD0" w14:textId="77777777" w:rsidR="00EB3667" w:rsidRPr="00265CA2" w:rsidRDefault="00EB3667" w:rsidP="001D3ADC">
            <w:pPr>
              <w:spacing w:after="0"/>
              <w:jc w:val="right"/>
              <w:rPr>
                <w:b/>
                <w:bCs/>
                <w:iCs/>
              </w:rPr>
            </w:pPr>
            <w:r w:rsidRPr="00265CA2">
              <w:rPr>
                <w:b/>
                <w:bCs/>
                <w:iCs/>
              </w:rPr>
              <w:t>-</w:t>
            </w:r>
          </w:p>
        </w:tc>
        <w:tc>
          <w:tcPr>
            <w:tcW w:w="1233" w:type="dxa"/>
            <w:shd w:val="clear" w:color="auto" w:fill="E5E5E5" w:themeFill="text1" w:themeFillTint="33"/>
            <w:noWrap/>
            <w:hideMark/>
          </w:tcPr>
          <w:p w14:paraId="50F298F7" w14:textId="77777777" w:rsidR="00EB3667" w:rsidRPr="00265CA2" w:rsidRDefault="00EB3667" w:rsidP="001D3ADC">
            <w:pPr>
              <w:spacing w:after="0"/>
              <w:jc w:val="right"/>
              <w:rPr>
                <w:b/>
                <w:bCs/>
                <w:iCs/>
              </w:rPr>
            </w:pPr>
            <w:r w:rsidRPr="00265CA2">
              <w:rPr>
                <w:b/>
                <w:bCs/>
                <w:iCs/>
              </w:rPr>
              <w:t>-</w:t>
            </w:r>
          </w:p>
        </w:tc>
        <w:tc>
          <w:tcPr>
            <w:tcW w:w="1120" w:type="dxa"/>
            <w:shd w:val="clear" w:color="auto" w:fill="E5E5E5" w:themeFill="text1" w:themeFillTint="33"/>
            <w:noWrap/>
            <w:hideMark/>
          </w:tcPr>
          <w:p w14:paraId="05E324DC" w14:textId="77777777" w:rsidR="00EB3667" w:rsidRPr="00265CA2" w:rsidRDefault="00EB3667" w:rsidP="001D3ADC">
            <w:pPr>
              <w:spacing w:after="0"/>
              <w:jc w:val="right"/>
              <w:rPr>
                <w:b/>
                <w:bCs/>
                <w:iCs/>
              </w:rPr>
            </w:pPr>
            <w:r w:rsidRPr="00265CA2">
              <w:rPr>
                <w:b/>
                <w:bCs/>
                <w:iCs/>
              </w:rPr>
              <w:t>16,2</w:t>
            </w:r>
          </w:p>
        </w:tc>
      </w:tr>
    </w:tbl>
    <w:p w14:paraId="6E17A833" w14:textId="77777777" w:rsidR="00EB3667" w:rsidRPr="006D7B27" w:rsidRDefault="00EB3667" w:rsidP="006D7B27">
      <w:pPr>
        <w:rPr>
          <w:rFonts w:eastAsia="ArialNarrow" w:cstheme="minorHAnsi"/>
          <w:i/>
          <w:color w:val="ABABAB" w:themeColor="text1" w:themeTint="A6"/>
          <w:sz w:val="16"/>
          <w:szCs w:val="16"/>
        </w:rPr>
      </w:pPr>
      <w:r w:rsidRPr="006D7B27">
        <w:rPr>
          <w:rFonts w:eastAsia="ArialNarrow" w:cstheme="minorHAnsi"/>
          <w:i/>
          <w:color w:val="ABABAB" w:themeColor="text1" w:themeTint="A6"/>
          <w:sz w:val="16"/>
          <w:szCs w:val="16"/>
        </w:rPr>
        <w:t>Izvor: Regionalna energetska agencija Sjeverozapadne Hrvatske, 2016.</w:t>
      </w:r>
    </w:p>
    <w:p w14:paraId="1C9CA0E5" w14:textId="77777777" w:rsidR="00EB3667" w:rsidRDefault="00EB3667" w:rsidP="00EB3667"/>
    <w:p w14:paraId="3FD5281D" w14:textId="77777777" w:rsidR="00EB3667" w:rsidRDefault="00EB3667" w:rsidP="00EB3667">
      <w:r>
        <w:t>Rijeka Sutla izvire u Sloveniji sjeverozapadno od Đurmanca, a od mjesta Lupinjak čini granicu između Hrvatske i Slovenije. Slivno područje iznosi 590 km</w:t>
      </w:r>
      <w:r w:rsidRPr="00B607B5">
        <w:rPr>
          <w:vertAlign w:val="superscript"/>
        </w:rPr>
        <w:t>2</w:t>
      </w:r>
      <w:r>
        <w:t>, od čega 133 km</w:t>
      </w:r>
      <w:r w:rsidRPr="00B607B5">
        <w:rPr>
          <w:vertAlign w:val="superscript"/>
        </w:rPr>
        <w:t>2</w:t>
      </w:r>
      <w:r>
        <w:t xml:space="preserve"> na strani Republike Hrvatske i 457 km</w:t>
      </w:r>
      <w:r w:rsidRPr="00B607B5">
        <w:rPr>
          <w:vertAlign w:val="superscript"/>
        </w:rPr>
        <w:t>2</w:t>
      </w:r>
      <w:r>
        <w:t xml:space="preserve"> na strani Republike Slovenije. Glavninu slivnog područja u Hrvatskoj čine sjeverni i zapadni obronci Maceljskog gorja. Iz ovog područja Sutla ima i lijeve pritoke Brezinu, Sutlišće i Skoritnu. S hidroenergetskog stajališta sva tri pritoka su nezanimljiva.</w:t>
      </w:r>
    </w:p>
    <w:p w14:paraId="6F70BFD7" w14:textId="77777777" w:rsidR="00EB3667" w:rsidRDefault="00EB3667" w:rsidP="00EB3667">
      <w:r>
        <w:t>Za hidroenergetsko iskorištavanje zanimljiva je rijeka Sutla koja na gornjoj graničnoj točki ima kotu korita 247 m.n.v., a na izlasku iz Krapinsko-zagorske županije 150 m.n.m. U dužini granice od 73 km ima pad od 97 m, što znači da prosječni relativni geodetski pad graničnog poteza ove rijeke iznosi 1,27‰. Na vodomjernoj stanici Zelenjak (slivno područje 455 km</w:t>
      </w:r>
      <w:r w:rsidRPr="00B607B5">
        <w:rPr>
          <w:vertAlign w:val="superscript"/>
        </w:rPr>
        <w:t>2</w:t>
      </w:r>
      <w:r>
        <w:t>) izmjeren je višegodišnji srednji protok od 7,31 m</w:t>
      </w:r>
      <w:r w:rsidRPr="00B607B5">
        <w:rPr>
          <w:vertAlign w:val="superscript"/>
        </w:rPr>
        <w:t>3</w:t>
      </w:r>
      <w:r>
        <w:t>/s. U mjernom razdoblju zabilježen je srednji minimalni protok od 0,859 m</w:t>
      </w:r>
      <w:r w:rsidRPr="00B607B5">
        <w:rPr>
          <w:vertAlign w:val="superscript"/>
        </w:rPr>
        <w:t>3</w:t>
      </w:r>
      <w:r>
        <w:t>/s, odnosno srednji maksimalni protok od 129 m</w:t>
      </w:r>
      <w:r w:rsidRPr="00B607B5">
        <w:rPr>
          <w:vertAlign w:val="superscript"/>
        </w:rPr>
        <w:t>3</w:t>
      </w:r>
      <w:r>
        <w:t xml:space="preserve">/s. Sama krivulja trajanja protoka, mjerena na ovoj vodomjernoj stanici pokazuje veliku izdašnost rijeke (više od srednjeg protoka 43% godišnje). Temeljem ovih podataka može se procijeniti bruto hidroenergetski potencijal od oko 40 GWh. </w:t>
      </w:r>
    </w:p>
    <w:p w14:paraId="537C9D1B" w14:textId="77777777" w:rsidR="00EB3667" w:rsidRDefault="00EB3667" w:rsidP="00EB3667">
      <w:r>
        <w:t xml:space="preserve">Pri razmatranju energetskog potencijala rijeke Sutle potrebno je naglasiti da se ista nalazi u posebnoj zaštiti kroz Nacionalnu ekološku mrežu te je predviđena kao dio europske mreže NATURA 2000 kao stanište rijetke i ugrožene faune. Također, na razmeđi je Republike Hrvatske i Republike Slovenije. Stoga je prije planiranja izgradnje malih hidroelektrana na rijeci Sutli potrebno provesti postupak ocjene prihvatljivosti zahvata za ekološku mrežu sukladno odredbama Zakona o zaštiti prirode. Nadalje, još je 1980. godine pokrenut projekt regulacije rijeke Sutle, kako bi se smanjile opasnosti od poplava, riješila problematika vodoopskrbe i navodnjavanja poljoprivrednih površina te stvorili preduvjeti za razvoj slatkovodnog ribarstva i turizma. Korito rijeke Sutle je na većem dijelu toka obraslo gustim raslinjem, što uzrokuje formiranje "uskih grla" koja kod velikih voda u Sutli uzrokuju brojna lokalna plavljenja. Također je prisutna i česta pojava erozija pokosa korita na krivinama, uslijed čega dolazi do značajnog meandriranja korita i šteta na okolnom zemljištu. Stoga je na srednjem toku rijeke, u blizini slovenskog mjesta Podčetrtek, te 1980. godine izgrađena brana Vonarje, visine 12 metara i duljine krune 120 metara, kojom je stvoreno umjetno akumulacijsko jezero duljine 6 km i površine 195 hektara. Nazvano je Sutlansko, odnosno Vonarsko jezero. Međutim, zbog tehničkih problema i onečišćenja vode, koje je prvenstveno bilo posljedica nepostojanja pročišćivača otpadnih voda, a rezultiralo je pojavom neugodnih mirisa i višekratnim pomorom ribe, jezero je 1988. godine ispražnjeno. Sada je ideja ponovnog formiranja </w:t>
      </w:r>
      <w:r>
        <w:lastRenderedPageBreak/>
        <w:t xml:space="preserve">jezera opet aktualna, a u sklopu europskog projekta FRISCO 2.1 provode je Direkcija za vode Republike Slovenije i Hrvatske vode. Plan je da se Sutlansko/Vonarsko jezero napuni do 2021. ili 2022. godine. </w:t>
      </w:r>
    </w:p>
    <w:p w14:paraId="6EA3F457" w14:textId="77777777" w:rsidR="00EB3667" w:rsidRDefault="00EB3667" w:rsidP="00EB3667">
      <w:r>
        <w:t>Nužna je temeljita sanacija gotovo 40 godina stare brane, što podrazumijeva obnovu njenih konstruktivnih elemenata, oštećenih betonskih dijelova objekata na brani, zamjenu metalnih ograda na objektima i pristupnom mostu, zamjenu dotrajale hidromehaničke opreme i opreme za manipulaciju zapornicama, zamjenu i dogradnju električnih instalacija i elektro opreme, zamjenu nadstrešnice i antikorozijsku zaštitu metalne konstrukcije pristupnog mosta.</w:t>
      </w:r>
    </w:p>
    <w:p w14:paraId="22E19E26" w14:textId="77777777" w:rsidR="00EB3667" w:rsidRDefault="00EB3667" w:rsidP="00EB3667">
      <w:r>
        <w:t>U Republici Hrvatskoj, pa tako ni u Krapinsko-zagorskoj županiji, ne postoji katastar pozicija za male hidroelektrane temeljem kojega bi se mogle izabirati pozicije i obrađivati podaci za određenu hidroelektranu. Takav katastar je nužno sačiniti ukoliko se želi sistematska i isplativa izgradnja malih hidroelektrana. S obzirom da se strategija o ovakvim objektima donosi na razini županija, Krapinsko-zagorska županija treba pokrenuti izradu katastra pozicija za male hidroelektrane. Po izradi katastra pozicija za male hidroelektrane, potrebno je pokrenuti postupak za izmjenu i dopunu postojećeg prostornog plana Županije i u njega unijeti potencijalne pozicije za male hidroelektrane definirane navedenim katastrom.</w:t>
      </w:r>
    </w:p>
    <w:p w14:paraId="447CEB0D" w14:textId="77777777" w:rsidR="00EB3667" w:rsidRDefault="00EB3667" w:rsidP="00EB3667"/>
    <w:p w14:paraId="075223FF" w14:textId="62F84141" w:rsidR="00EB3667" w:rsidRPr="000C3EDA" w:rsidRDefault="00EB3667" w:rsidP="000C3EDA">
      <w:pPr>
        <w:pStyle w:val="Naslov3"/>
        <w:rPr>
          <w:color w:val="9D1A1F" w:themeColor="accent4"/>
        </w:rPr>
      </w:pPr>
      <w:bookmarkStart w:id="256" w:name="_Toc85181379"/>
      <w:r w:rsidRPr="000C3EDA">
        <w:rPr>
          <w:color w:val="9D1A1F" w:themeColor="accent4"/>
        </w:rPr>
        <w:t>1</w:t>
      </w:r>
      <w:r w:rsidR="004840B8">
        <w:rPr>
          <w:color w:val="9D1A1F" w:themeColor="accent4"/>
        </w:rPr>
        <w:t>3</w:t>
      </w:r>
      <w:r w:rsidRPr="000C3EDA">
        <w:rPr>
          <w:color w:val="9D1A1F" w:themeColor="accent4"/>
        </w:rPr>
        <w:t>.</w:t>
      </w:r>
      <w:r w:rsidR="006D7B27">
        <w:rPr>
          <w:color w:val="9D1A1F" w:themeColor="accent4"/>
        </w:rPr>
        <w:t>6</w:t>
      </w:r>
      <w:r w:rsidRPr="000C3EDA">
        <w:rPr>
          <w:color w:val="9D1A1F" w:themeColor="accent4"/>
        </w:rPr>
        <w:t>.5. Vjetroelektrane</w:t>
      </w:r>
      <w:bookmarkEnd w:id="256"/>
    </w:p>
    <w:p w14:paraId="753BB20B" w14:textId="403A93AE" w:rsidR="00EB3667" w:rsidRDefault="00EB3667" w:rsidP="00EB3667">
      <w:r>
        <w:br/>
        <w:t>Atlas vjetra Hrvatske je osnova za procjenu energetskog potencijala vjetra u Hrvatskoj. Prikazane su karte srednje godišnje brzine vjetra (m/s) i srednje godišnje gustoće snage vjetra (W/m²) na visinama 10 m i 80 m iznad tla. Prikazane brzina i gustoća snage vjetra rezultat su numeričkog modela atmosfere i predstavljaju prosječnu vrijednost u kvadratu mreže 2 km x 2 km. Lokalna brzina i gustoća snage vjetra na pojedinoj lokaciji može biti manja ili veća od prikazane prosječne vrijednosti kvadrata mreže. Na sljedećim slikama prikazane su srednje godišnje brzine vjetra na 10 i 80 metara iznad tla, kao i srednje godišnje gustoće snage također na 10 i 80 metara iznad tla.</w:t>
      </w:r>
    </w:p>
    <w:p w14:paraId="22405690" w14:textId="0B6FBB98" w:rsidR="00161CE2" w:rsidRDefault="00161CE2" w:rsidP="00EB3667"/>
    <w:p w14:paraId="0E2A49FC" w14:textId="31FD540F" w:rsidR="00EB3667" w:rsidRDefault="00161CE2" w:rsidP="003E3F3C">
      <w:pPr>
        <w:pStyle w:val="Opisslike"/>
      </w:pPr>
      <w:bookmarkStart w:id="257" w:name="_Hlk57305132"/>
      <w:r w:rsidRPr="005E2912">
        <w:rPr>
          <w:noProof/>
          <w:lang w:eastAsia="hr-HR"/>
        </w:rPr>
        <w:lastRenderedPageBreak/>
        <w:drawing>
          <wp:anchor distT="0" distB="0" distL="114300" distR="114300" simplePos="0" relativeHeight="251745280" behindDoc="0" locked="0" layoutInCell="1" allowOverlap="1" wp14:anchorId="0157B285" wp14:editId="6C90E8C7">
            <wp:simplePos x="0" y="0"/>
            <wp:positionH relativeFrom="margin">
              <wp:align>left</wp:align>
            </wp:positionH>
            <wp:positionV relativeFrom="paragraph">
              <wp:posOffset>199390</wp:posOffset>
            </wp:positionV>
            <wp:extent cx="6268085" cy="6766560"/>
            <wp:effectExtent l="0" t="0" r="0" b="0"/>
            <wp:wrapTopAndBottom/>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0" cstate="print">
                      <a:extLst>
                        <a:ext uri="{28A0092B-C50C-407E-A947-70E740481C1C}">
                          <a14:useLocalDpi xmlns:a14="http://schemas.microsoft.com/office/drawing/2010/main" val="0"/>
                        </a:ext>
                      </a:extLst>
                    </a:blip>
                    <a:srcRect l="494" t="3410" r="715" b="2630"/>
                    <a:stretch/>
                  </pic:blipFill>
                  <pic:spPr bwMode="auto">
                    <a:xfrm>
                      <a:off x="0" y="0"/>
                      <a:ext cx="6281413" cy="678072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Prikaz 1</w:t>
      </w:r>
      <w:r w:rsidR="00A96020">
        <w:t>7</w:t>
      </w:r>
      <w:r>
        <w:t xml:space="preserve">. </w:t>
      </w:r>
      <w:r w:rsidRPr="00161CE2">
        <w:t>Srednja godišnja brzina vjetra na 10 metara iznad tla</w:t>
      </w:r>
    </w:p>
    <w:bookmarkEnd w:id="257"/>
    <w:p w14:paraId="0764F0F0" w14:textId="235269A0" w:rsidR="00EB3667" w:rsidRPr="006D7B27" w:rsidRDefault="00EB3667" w:rsidP="006D7B27">
      <w:pPr>
        <w:rPr>
          <w:rFonts w:eastAsia="ArialNarrow" w:cstheme="minorHAnsi"/>
          <w:i/>
          <w:color w:val="ABABAB" w:themeColor="text1" w:themeTint="A6"/>
          <w:sz w:val="16"/>
          <w:szCs w:val="16"/>
        </w:rPr>
      </w:pPr>
      <w:r w:rsidRPr="006D7B27">
        <w:rPr>
          <w:rFonts w:eastAsia="ArialNarrow" w:cstheme="minorHAnsi"/>
          <w:i/>
          <w:color w:val="ABABAB" w:themeColor="text1" w:themeTint="A6"/>
          <w:sz w:val="16"/>
          <w:szCs w:val="16"/>
        </w:rPr>
        <w:t>Izvor: Državni hidrometeorološki zavod, 2019.</w:t>
      </w:r>
    </w:p>
    <w:p w14:paraId="17F3A3C5" w14:textId="77777777" w:rsidR="00EB3667" w:rsidRDefault="00EB3667" w:rsidP="00855D8D">
      <w:pPr>
        <w:pStyle w:val="Izvor"/>
      </w:pPr>
    </w:p>
    <w:p w14:paraId="78DE79B4" w14:textId="20EEE51A" w:rsidR="00EB3667" w:rsidRDefault="00EB3667" w:rsidP="003E3F3C">
      <w:pPr>
        <w:pStyle w:val="Opisslike"/>
      </w:pPr>
      <w:r>
        <w:rPr>
          <w:noProof/>
          <w:lang w:eastAsia="hr-HR"/>
        </w:rPr>
        <w:lastRenderedPageBreak/>
        <w:drawing>
          <wp:anchor distT="0" distB="0" distL="114300" distR="114300" simplePos="0" relativeHeight="251746304" behindDoc="0" locked="0" layoutInCell="1" allowOverlap="1" wp14:anchorId="1EF8CF7D" wp14:editId="0A79DD31">
            <wp:simplePos x="0" y="0"/>
            <wp:positionH relativeFrom="margin">
              <wp:align>right</wp:align>
            </wp:positionH>
            <wp:positionV relativeFrom="paragraph">
              <wp:posOffset>211239</wp:posOffset>
            </wp:positionV>
            <wp:extent cx="5906770" cy="6012815"/>
            <wp:effectExtent l="0" t="0" r="0" b="6985"/>
            <wp:wrapTopAndBottom/>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t="2557" b="2495"/>
                    <a:stretch/>
                  </pic:blipFill>
                  <pic:spPr bwMode="auto">
                    <a:xfrm>
                      <a:off x="0" y="0"/>
                      <a:ext cx="5916845" cy="602252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t>Prikaz</w:t>
      </w:r>
      <w:r w:rsidR="006D7B27">
        <w:rPr>
          <w:noProof/>
        </w:rPr>
        <w:t xml:space="preserve"> 1</w:t>
      </w:r>
      <w:r w:rsidR="00A96020">
        <w:rPr>
          <w:noProof/>
        </w:rPr>
        <w:t>8</w:t>
      </w:r>
      <w:r>
        <w:t xml:space="preserve">. </w:t>
      </w:r>
      <w:r w:rsidRPr="00141FA7">
        <w:t xml:space="preserve">Srednja godišnja brzina vjetra na </w:t>
      </w:r>
      <w:r>
        <w:t>8</w:t>
      </w:r>
      <w:r w:rsidRPr="00141FA7">
        <w:t>0 metara iznad tla</w:t>
      </w:r>
    </w:p>
    <w:p w14:paraId="09EFF6FD" w14:textId="77777777" w:rsidR="00EB3667" w:rsidRPr="006D7B27" w:rsidRDefault="00EB3667" w:rsidP="006D7B27">
      <w:pPr>
        <w:rPr>
          <w:rFonts w:eastAsia="ArialNarrow" w:cstheme="minorHAnsi"/>
          <w:i/>
          <w:color w:val="ABABAB" w:themeColor="text1" w:themeTint="A6"/>
          <w:sz w:val="16"/>
          <w:szCs w:val="16"/>
        </w:rPr>
      </w:pPr>
      <w:r w:rsidRPr="006D7B27">
        <w:rPr>
          <w:rFonts w:eastAsia="ArialNarrow" w:cstheme="minorHAnsi"/>
          <w:i/>
          <w:color w:val="ABABAB" w:themeColor="text1" w:themeTint="A6"/>
          <w:sz w:val="16"/>
          <w:szCs w:val="16"/>
        </w:rPr>
        <w:t>Izvor: Državni hidrometeorološki zavod, 2019.</w:t>
      </w:r>
    </w:p>
    <w:p w14:paraId="55E3007B" w14:textId="77777777" w:rsidR="00EB3667" w:rsidRDefault="00EB3667" w:rsidP="00EB3667"/>
    <w:p w14:paraId="00964DD9" w14:textId="77777777" w:rsidR="00EB3667" w:rsidRDefault="00EB3667" w:rsidP="00EB3667"/>
    <w:p w14:paraId="2135252C" w14:textId="77777777" w:rsidR="00EB3667" w:rsidRDefault="00EB3667" w:rsidP="00EB3667"/>
    <w:p w14:paraId="0EDFCA54" w14:textId="77777777" w:rsidR="00EB3667" w:rsidRDefault="00EB3667" w:rsidP="00EB3667"/>
    <w:p w14:paraId="3A61A01E" w14:textId="77777777" w:rsidR="00EB3667" w:rsidRDefault="00EB3667" w:rsidP="00EB3667"/>
    <w:p w14:paraId="4E486571" w14:textId="49DA6E1B" w:rsidR="00EB3667" w:rsidRDefault="00EB3667" w:rsidP="00EB3667"/>
    <w:p w14:paraId="5BBED188" w14:textId="42793270" w:rsidR="00055ED1" w:rsidRDefault="00055ED1" w:rsidP="00EB3667"/>
    <w:p w14:paraId="3E90B8F8" w14:textId="5114EA78" w:rsidR="00055ED1" w:rsidRDefault="00055ED1" w:rsidP="00EB3667"/>
    <w:p w14:paraId="2A73D869" w14:textId="3941ED51" w:rsidR="00055ED1" w:rsidRDefault="00055ED1" w:rsidP="00EB3667"/>
    <w:p w14:paraId="313A069B" w14:textId="1A1C3B68" w:rsidR="00055ED1" w:rsidRDefault="00055ED1" w:rsidP="00EB3667"/>
    <w:p w14:paraId="481FC91E" w14:textId="0673508E" w:rsidR="00055ED1" w:rsidRDefault="00055ED1" w:rsidP="00EB3667"/>
    <w:p w14:paraId="22DE9655" w14:textId="7FBA2E40" w:rsidR="00055ED1" w:rsidRDefault="00055ED1" w:rsidP="003E3F3C">
      <w:pPr>
        <w:pStyle w:val="Opisslike"/>
      </w:pPr>
      <w:bookmarkStart w:id="258" w:name="_Hlk57305240"/>
      <w:r>
        <w:rPr>
          <w:noProof/>
          <w:lang w:eastAsia="hr-HR"/>
        </w:rPr>
        <w:lastRenderedPageBreak/>
        <w:drawing>
          <wp:anchor distT="0" distB="0" distL="114300" distR="114300" simplePos="0" relativeHeight="251747328" behindDoc="0" locked="0" layoutInCell="1" allowOverlap="1" wp14:anchorId="16966B0C" wp14:editId="630450A3">
            <wp:simplePos x="0" y="0"/>
            <wp:positionH relativeFrom="margin">
              <wp:posOffset>1204595</wp:posOffset>
            </wp:positionH>
            <wp:positionV relativeFrom="paragraph">
              <wp:posOffset>245745</wp:posOffset>
            </wp:positionV>
            <wp:extent cx="3884295" cy="3752850"/>
            <wp:effectExtent l="0" t="0" r="1905" b="0"/>
            <wp:wrapTopAndBottom/>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884295" cy="3752850"/>
                    </a:xfrm>
                    <a:prstGeom prst="rect">
                      <a:avLst/>
                    </a:prstGeom>
                    <a:noFill/>
                    <a:ln>
                      <a:noFill/>
                    </a:ln>
                  </pic:spPr>
                </pic:pic>
              </a:graphicData>
            </a:graphic>
            <wp14:sizeRelH relativeFrom="margin">
              <wp14:pctWidth>0</wp14:pctWidth>
            </wp14:sizeRelH>
            <wp14:sizeRelV relativeFrom="margin">
              <wp14:pctHeight>0</wp14:pctHeight>
            </wp14:sizeRelV>
          </wp:anchor>
        </w:drawing>
      </w:r>
      <w:r>
        <w:t>Prikaz 1</w:t>
      </w:r>
      <w:r w:rsidR="00A96020">
        <w:t>9</w:t>
      </w:r>
      <w:r>
        <w:t xml:space="preserve">. </w:t>
      </w:r>
      <w:r w:rsidRPr="00055ED1">
        <w:t>Srednja godišnja gustoća snage 10m iznad tla</w:t>
      </w:r>
    </w:p>
    <w:bookmarkEnd w:id="258"/>
    <w:p w14:paraId="2B55B1D2" w14:textId="57FC49CB" w:rsidR="00055ED1" w:rsidRDefault="00EB3667" w:rsidP="00840136">
      <w:pPr>
        <w:rPr>
          <w:rFonts w:eastAsia="ArialNarrow" w:cstheme="minorHAnsi"/>
          <w:i/>
          <w:color w:val="ABABAB" w:themeColor="text1" w:themeTint="A6"/>
          <w:sz w:val="16"/>
          <w:szCs w:val="16"/>
        </w:rPr>
      </w:pPr>
      <w:r w:rsidRPr="00840136">
        <w:rPr>
          <w:rFonts w:eastAsia="ArialNarrow" w:cstheme="minorHAnsi"/>
          <w:i/>
          <w:color w:val="ABABAB" w:themeColor="text1" w:themeTint="A6"/>
          <w:sz w:val="16"/>
          <w:szCs w:val="16"/>
        </w:rPr>
        <w:t>Izvor: Državni hidrometeorološki zavod, 2019</w:t>
      </w:r>
      <w:r w:rsidR="00840136">
        <w:rPr>
          <w:rFonts w:eastAsia="ArialNarrow" w:cstheme="minorHAnsi"/>
          <w:i/>
          <w:color w:val="ABABAB" w:themeColor="text1" w:themeTint="A6"/>
          <w:sz w:val="16"/>
          <w:szCs w:val="16"/>
        </w:rPr>
        <w:t>.</w:t>
      </w:r>
    </w:p>
    <w:p w14:paraId="62A11054" w14:textId="77777777" w:rsidR="00840136" w:rsidRPr="00840136" w:rsidRDefault="00840136" w:rsidP="00840136">
      <w:pPr>
        <w:rPr>
          <w:rFonts w:eastAsia="ArialNarrow" w:cstheme="minorHAnsi"/>
          <w:i/>
          <w:color w:val="ABABAB" w:themeColor="text1" w:themeTint="A6"/>
          <w:sz w:val="16"/>
          <w:szCs w:val="16"/>
        </w:rPr>
      </w:pPr>
    </w:p>
    <w:p w14:paraId="2478E5A6" w14:textId="30AA4DE4" w:rsidR="00055ED1" w:rsidRDefault="00055ED1" w:rsidP="00840136">
      <w:pPr>
        <w:pStyle w:val="Opisslike"/>
      </w:pPr>
      <w:r>
        <w:t xml:space="preserve">Prikaz </w:t>
      </w:r>
      <w:r w:rsidR="00A96020">
        <w:t>20</w:t>
      </w:r>
      <w:r>
        <w:t xml:space="preserve">. </w:t>
      </w:r>
      <w:r w:rsidRPr="00055ED1">
        <w:t>Srednja godišnja gustoća snage 80m iznad tla</w:t>
      </w:r>
    </w:p>
    <w:p w14:paraId="5659585D" w14:textId="49750A2F" w:rsidR="00055ED1" w:rsidRDefault="00055ED1" w:rsidP="00055ED1">
      <w:r>
        <w:t xml:space="preserve">            </w:t>
      </w:r>
      <w:r w:rsidR="0078462B">
        <w:t xml:space="preserve">               </w:t>
      </w:r>
      <w:r>
        <w:t xml:space="preserve">      </w:t>
      </w:r>
      <w:r>
        <w:rPr>
          <w:noProof/>
        </w:rPr>
        <w:drawing>
          <wp:inline distT="0" distB="0" distL="0" distR="0" wp14:anchorId="037CBF57" wp14:editId="020E90AA">
            <wp:extent cx="4349503" cy="4197927"/>
            <wp:effectExtent l="0" t="0" r="0" b="0"/>
            <wp:docPr id="253" name="Slika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53"/>
                    <pic:cNvPicPr/>
                  </pic:nvPicPr>
                  <pic:blipFill>
                    <a:blip r:embed="rId123">
                      <a:extLst>
                        <a:ext uri="{28A0092B-C50C-407E-A947-70E740481C1C}">
                          <a14:useLocalDpi xmlns:a14="http://schemas.microsoft.com/office/drawing/2010/main" val="0"/>
                        </a:ext>
                      </a:extLst>
                    </a:blip>
                    <a:stretch>
                      <a:fillRect/>
                    </a:stretch>
                  </pic:blipFill>
                  <pic:spPr>
                    <a:xfrm>
                      <a:off x="0" y="0"/>
                      <a:ext cx="4349503" cy="4197927"/>
                    </a:xfrm>
                    <a:prstGeom prst="rect">
                      <a:avLst/>
                    </a:prstGeom>
                  </pic:spPr>
                </pic:pic>
              </a:graphicData>
            </a:graphic>
          </wp:inline>
        </w:drawing>
      </w:r>
    </w:p>
    <w:p w14:paraId="31B0068A" w14:textId="21791903" w:rsidR="00055ED1" w:rsidRPr="00840136" w:rsidRDefault="00EB3667" w:rsidP="003C2276">
      <w:pPr>
        <w:pStyle w:val="Izvor"/>
        <w:rPr>
          <w:i/>
          <w:color w:val="ABABAB" w:themeColor="text1" w:themeTint="A6"/>
          <w:sz w:val="16"/>
          <w:szCs w:val="16"/>
        </w:rPr>
      </w:pPr>
      <w:r w:rsidRPr="00840136">
        <w:rPr>
          <w:i/>
          <w:color w:val="ABABAB" w:themeColor="text1" w:themeTint="A6"/>
          <w:sz w:val="16"/>
          <w:szCs w:val="16"/>
        </w:rPr>
        <w:t>Izvor: Državni hidrometeorološki zavod, 2019.</w:t>
      </w:r>
    </w:p>
    <w:p w14:paraId="134C5E23" w14:textId="4D9A40AD" w:rsidR="00EB3667" w:rsidRDefault="00EB3667" w:rsidP="00EB3667">
      <w:r>
        <w:lastRenderedPageBreak/>
        <w:t>Za analizu potencijalnih lokacija vjetroelektrana Županije potrebno je odabrati prostore u kojima se mogu očekivati ambijentalna povećanja brzine strujanja te mjesta gdje je trenje podloge i vjetra najmanje (vrhovi i sljemena blago zaobljenih brda; travnati, kultivirani ili slabo zarasli prostori; prostori u čijoj blizini nema izgrađenih objekata). S obzirom na indikativne i preliminarne ocjene, potencijali energije vjetra u Krapinsko-zagorskoj županiji znatno su manji u odnosu na prostore priobalnih županija.</w:t>
      </w:r>
    </w:p>
    <w:p w14:paraId="73C42261" w14:textId="67084B21" w:rsidR="00EB3667" w:rsidRDefault="00EB3667" w:rsidP="00EB3667">
      <w:r>
        <w:t>Pregled potencijalnih lokacija vjetroelektrana, koje su određene na temelju snimke topografskih i satelitskih karata uz pretpostavku minimalne udaljenosti od 750 m od prvih naseljenih objekata, dan je na slici u nastavku. Uz navedene parametre, ove lokacije na maloj su udaljenosti od postojećih visokonaponskih mreža što ih čini vrlo pogodnima za eksploataciju.</w:t>
      </w:r>
    </w:p>
    <w:p w14:paraId="44371445" w14:textId="77777777" w:rsidR="004011C4" w:rsidRDefault="004011C4" w:rsidP="00EB3667"/>
    <w:p w14:paraId="127AC78B" w14:textId="5703D614" w:rsidR="004011C4" w:rsidRDefault="004011C4" w:rsidP="003E3F3C">
      <w:pPr>
        <w:pStyle w:val="Opisslike"/>
      </w:pPr>
      <w:r>
        <w:t xml:space="preserve">Prikaz </w:t>
      </w:r>
      <w:r w:rsidR="00840136">
        <w:t>2</w:t>
      </w:r>
      <w:r w:rsidR="00A96020">
        <w:t>1</w:t>
      </w:r>
      <w:r>
        <w:t>. Potencijalne lokacije vjetroelektrana u Krapinsko-zagorskoj županiji</w:t>
      </w:r>
    </w:p>
    <w:p w14:paraId="2F5AA1E8" w14:textId="17B05B50" w:rsidR="00176F3E" w:rsidRPr="00C14410" w:rsidRDefault="00EB3667" w:rsidP="00C14410">
      <w:pPr>
        <w:pStyle w:val="Opisslike"/>
      </w:pPr>
      <w:r>
        <w:rPr>
          <w:noProof/>
        </w:rPr>
        <w:drawing>
          <wp:inline distT="0" distB="0" distL="0" distR="0" wp14:anchorId="32492DC9" wp14:editId="45700BC7">
            <wp:extent cx="5894705" cy="4779818"/>
            <wp:effectExtent l="0" t="0" r="0" b="1905"/>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pic:nvPicPr>
                  <pic:blipFill>
                    <a:blip r:embed="rId124">
                      <a:extLst>
                        <a:ext uri="{28A0092B-C50C-407E-A947-70E740481C1C}">
                          <a14:useLocalDpi xmlns:a14="http://schemas.microsoft.com/office/drawing/2010/main" val="0"/>
                        </a:ext>
                      </a:extLst>
                    </a:blip>
                    <a:stretch>
                      <a:fillRect/>
                    </a:stretch>
                  </pic:blipFill>
                  <pic:spPr>
                    <a:xfrm>
                      <a:off x="0" y="0"/>
                      <a:ext cx="5908702" cy="4791167"/>
                    </a:xfrm>
                    <a:prstGeom prst="rect">
                      <a:avLst/>
                    </a:prstGeom>
                  </pic:spPr>
                </pic:pic>
              </a:graphicData>
            </a:graphic>
          </wp:inline>
        </w:drawing>
      </w:r>
      <w:r w:rsidR="00176F3E" w:rsidRPr="00C14410">
        <w:rPr>
          <w:rFonts w:eastAsia="ArialNarrow"/>
          <w:bCs w:val="0"/>
          <w:i/>
          <w:iCs w:val="0"/>
          <w:color w:val="ABABAB" w:themeColor="text1" w:themeTint="A6"/>
          <w:sz w:val="16"/>
          <w:szCs w:val="16"/>
        </w:rPr>
        <w:t>Izvor: REGEA, 2016</w:t>
      </w:r>
    </w:p>
    <w:p w14:paraId="5BA3C690" w14:textId="753C7FDD" w:rsidR="004011C4" w:rsidRDefault="004011C4" w:rsidP="00EB3667"/>
    <w:p w14:paraId="48D3DE89" w14:textId="20DD57BE" w:rsidR="00D75F9B" w:rsidRPr="000C3EDA" w:rsidRDefault="00D75F9B" w:rsidP="00D75F9B">
      <w:pPr>
        <w:pStyle w:val="Naslov3"/>
        <w:rPr>
          <w:color w:val="9D1A1F" w:themeColor="accent4"/>
        </w:rPr>
      </w:pPr>
      <w:bookmarkStart w:id="259" w:name="_Toc85181380"/>
      <w:r w:rsidRPr="000C3EDA">
        <w:rPr>
          <w:color w:val="9D1A1F" w:themeColor="accent4"/>
        </w:rPr>
        <w:t>1</w:t>
      </w:r>
      <w:r>
        <w:rPr>
          <w:color w:val="9D1A1F" w:themeColor="accent4"/>
        </w:rPr>
        <w:t>3</w:t>
      </w:r>
      <w:r w:rsidRPr="000C3EDA">
        <w:rPr>
          <w:color w:val="9D1A1F" w:themeColor="accent4"/>
        </w:rPr>
        <w:t>.</w:t>
      </w:r>
      <w:r>
        <w:rPr>
          <w:color w:val="9D1A1F" w:themeColor="accent4"/>
        </w:rPr>
        <w:t>6</w:t>
      </w:r>
      <w:r w:rsidRPr="000C3EDA">
        <w:rPr>
          <w:color w:val="9D1A1F" w:themeColor="accent4"/>
        </w:rPr>
        <w:t>.</w:t>
      </w:r>
      <w:r>
        <w:rPr>
          <w:color w:val="9D1A1F" w:themeColor="accent4"/>
        </w:rPr>
        <w:t>6</w:t>
      </w:r>
      <w:r w:rsidRPr="000C3EDA">
        <w:rPr>
          <w:color w:val="9D1A1F" w:themeColor="accent4"/>
        </w:rPr>
        <w:t xml:space="preserve">. </w:t>
      </w:r>
      <w:r>
        <w:rPr>
          <w:color w:val="9D1A1F" w:themeColor="accent4"/>
        </w:rPr>
        <w:t>Energetska učinkovitost</w:t>
      </w:r>
      <w:bookmarkEnd w:id="259"/>
    </w:p>
    <w:p w14:paraId="2D0235BA" w14:textId="252EA978" w:rsidR="00D75F9B" w:rsidRDefault="00D75F9B" w:rsidP="00EB3667"/>
    <w:p w14:paraId="199FA117" w14:textId="0C27C905" w:rsidR="00032C27" w:rsidRDefault="004954DF" w:rsidP="00EB3667">
      <w:r>
        <w:t xml:space="preserve">Energetska učinkovitost je nezaobilazni imperativ i pokazatelj stupnja tehnološkog, gospodarskog i socijalnog razvoja svakog društva. </w:t>
      </w:r>
      <w:r w:rsidR="00B62469">
        <w:t>Krapinsko-zagorska županija jedna je od prvih županija koja je prepoznala prednosti energetske učinkovitosti i počela s aktivnim djelovanjem na vlastitom području te aktivno provodi proaktivnu energetsku politiku. Također</w:t>
      </w:r>
      <w:r w:rsidR="00C14410">
        <w:t xml:space="preserve"> većina gradova i općina u Krapinsko-zagorskoj županiji</w:t>
      </w:r>
      <w:r w:rsidR="0042109D">
        <w:t xml:space="preserve"> prepoznala je važnost provođenja mjera energetske učinkovitosti u </w:t>
      </w:r>
      <w:r w:rsidR="00BF21A9">
        <w:t xml:space="preserve">sektoru </w:t>
      </w:r>
      <w:r w:rsidR="0042109D">
        <w:t>zgradarstv</w:t>
      </w:r>
      <w:r w:rsidR="00BF21A9">
        <w:t>a</w:t>
      </w:r>
      <w:r w:rsidR="0042109D">
        <w:t xml:space="preserve"> kao i u sustavima javne rasvjete. </w:t>
      </w:r>
      <w:r w:rsidR="002B6513">
        <w:t>Samo od 2013. godine do kraja 2019. godine u projekte izgradnje, obnove zgrada i rekonstrukcije- škola, domova zdravlja, zgrada javne uprave i sl., Krapinsko- zagorska županija uložila je preko 70 milijuna kuna</w:t>
      </w:r>
      <w:r w:rsidR="002B6513">
        <w:rPr>
          <w:rStyle w:val="Referencafusnote"/>
        </w:rPr>
        <w:footnoteReference w:id="85"/>
      </w:r>
    </w:p>
    <w:p w14:paraId="1D4B5133" w14:textId="6C896CBD" w:rsidR="0042109D" w:rsidRDefault="00032C27" w:rsidP="00EB3667">
      <w:r>
        <w:t>Na prostoru jedinica lokalne samouprave i</w:t>
      </w:r>
      <w:r w:rsidR="0042109D">
        <w:t xml:space="preserve">zvršen je određeni broj intervencija na postojećoj i na izgradnji nove rasvjete, no ipak postoje </w:t>
      </w:r>
      <w:r>
        <w:t xml:space="preserve">i dalje </w:t>
      </w:r>
      <w:r w:rsidR="0042109D">
        <w:t>mnoge instalacije koje ne zadovoljavaju osnovne kriterije i norme svjetlotehnike s velikim energetskim potencijalom ušteda koji će biti moguće ostvariti tijekom njihove rekonstrukcije ili izgradnje.</w:t>
      </w:r>
      <w:r w:rsidR="00EA7962">
        <w:t xml:space="preserve"> </w:t>
      </w:r>
      <w:r w:rsidR="0042109D" w:rsidRPr="00DE7CD1">
        <w:t>U 2020. godini realiziran</w:t>
      </w:r>
      <w:r w:rsidR="00620548">
        <w:t xml:space="preserve"> je</w:t>
      </w:r>
      <w:r w:rsidR="0042109D" w:rsidRPr="00DE7CD1">
        <w:t xml:space="preserve"> strateški </w:t>
      </w:r>
      <w:r w:rsidR="0042109D" w:rsidRPr="00DE7CD1">
        <w:lastRenderedPageBreak/>
        <w:t xml:space="preserve">projekt NEWLIGHT-Masterplan javne rasvjete Krapinsko-zagorske županije iz programa ELENA u suradnji s jedinicama lokalne samouprave. Cilj projekta je </w:t>
      </w:r>
      <w:r w:rsidR="0042109D" w:rsidRPr="0042109D">
        <w:t>rekonstrukcij</w:t>
      </w:r>
      <w:r w:rsidR="00DE7CD1" w:rsidRPr="00DE7CD1">
        <w:t>a</w:t>
      </w:r>
      <w:r w:rsidR="0042109D" w:rsidRPr="0042109D">
        <w:t xml:space="preserve"> i gradnj</w:t>
      </w:r>
      <w:r w:rsidR="00DE7CD1" w:rsidRPr="00DE7CD1">
        <w:t>a</w:t>
      </w:r>
      <w:r w:rsidR="0042109D" w:rsidRPr="0042109D">
        <w:t xml:space="preserve"> energetski održive i ekološki prihvatljive javne rasvjete na području Zagrebačke i Krapinsko – zagorske županije</w:t>
      </w:r>
      <w:r w:rsidR="00DE7CD1" w:rsidRPr="00DE7CD1">
        <w:t>.</w:t>
      </w:r>
      <w:r w:rsidR="00FD470B">
        <w:t xml:space="preserve"> </w:t>
      </w:r>
      <w:r w:rsidR="0042109D" w:rsidRPr="0042109D">
        <w:t>Kroz ovaj projekt na području Krapinsko – zagorske županije promijenjeno je 8000 rasvjetnih tijela, a emisija CO</w:t>
      </w:r>
      <w:r w:rsidR="0042109D" w:rsidRPr="0042109D">
        <w:rPr>
          <w:vertAlign w:val="superscript"/>
        </w:rPr>
        <w:t>2</w:t>
      </w:r>
      <w:r w:rsidR="0042109D" w:rsidRPr="0042109D">
        <w:t xml:space="preserve"> smanjena je za 700 tona na godišnjoj razini.</w:t>
      </w:r>
      <w:r w:rsidR="00D328D5">
        <w:t xml:space="preserve"> </w:t>
      </w:r>
      <w:r w:rsidR="00D328D5" w:rsidRPr="00D328D5">
        <w:t>Projekt Krapinsko-zagorske i Zagrebačke županije Newlight osvojio je nagradu za najbolji EU projekt u kategoriji Doprinos lokalnoj i regionalnoj zajednici.</w:t>
      </w:r>
    </w:p>
    <w:p w14:paraId="217107BC" w14:textId="26AC65BE" w:rsidR="00D54665" w:rsidRDefault="005D2FD7" w:rsidP="00EB3667">
      <w:r>
        <w:t>Godine 2011. Krapinsko-zagorska županija započela je velik</w:t>
      </w:r>
      <w:r w:rsidR="00593CD7">
        <w:t>i</w:t>
      </w:r>
      <w:r>
        <w:t xml:space="preserve"> projekt ulaganja u energetsk</w:t>
      </w:r>
      <w:r w:rsidR="00593CD7">
        <w:t>u</w:t>
      </w:r>
      <w:r>
        <w:t xml:space="preserve"> učinkovitost osnovnih škola ukupne vrijednosti 10 milijuna kuna koji je podupirala Europska investicijska banka s 1,5 milijuna kuna bespovratnih sredstava uz uvjet ostvarenja minimalnih energetskih ušteda od 30% i Fond</w:t>
      </w:r>
      <w:r w:rsidR="00EA7962">
        <w:t>a</w:t>
      </w:r>
      <w:r>
        <w:t xml:space="preserve"> za zaštitu okoliša i energetsku učinkovitost. Na ukupno 10 osnovnih škola izvršeni su brojni radovi (zamjena vanjske stolarije, izgradnja toplinske ovojnice, izolacija stropa prema negrijanom tavanu, rekonstrukcija kotlovnice te pilot projekt ugradnje geotermalne dizalice topline za grijanje</w:t>
      </w:r>
      <w:r w:rsidR="00EA7962">
        <w:t>)</w:t>
      </w:r>
      <w:r>
        <w:t>.</w:t>
      </w:r>
      <w:r w:rsidR="00DB330F">
        <w:t xml:space="preserve"> </w:t>
      </w:r>
      <w:r w:rsidR="00593CD7">
        <w:t>U 2020. godini s</w:t>
      </w:r>
      <w:r w:rsidR="00DB330F">
        <w:t xml:space="preserve"> energetskom obnovom zgrade OŠ Konjščina završen je ciklus energetskih obnova škola </w:t>
      </w:r>
      <w:r w:rsidR="00D54665" w:rsidRPr="00D54665">
        <w:t>ukupne vrijednosti 63,3 milijuna kuna</w:t>
      </w:r>
      <w:r w:rsidR="00DB330F">
        <w:t xml:space="preserve"> </w:t>
      </w:r>
      <w:r w:rsidR="00DB330F" w:rsidRPr="00DB330F">
        <w:t xml:space="preserve">(OŠ i SŠ u </w:t>
      </w:r>
      <w:r w:rsidR="00D54665" w:rsidRPr="00DB330F">
        <w:t xml:space="preserve">Konjščini, </w:t>
      </w:r>
      <w:r w:rsidR="00DB330F" w:rsidRPr="00DB330F">
        <w:t xml:space="preserve">OŠ </w:t>
      </w:r>
      <w:r w:rsidR="00D54665" w:rsidRPr="00DB330F">
        <w:t>Pregrada, Hum na Sutli, Zabok, Gornja Stubica, Kumrovec, Đurmanec i Srednja škola Bedekovčina</w:t>
      </w:r>
      <w:r w:rsidR="00DB330F" w:rsidRPr="00DB330F">
        <w:t xml:space="preserve">). </w:t>
      </w:r>
      <w:r w:rsidR="00D54665" w:rsidRPr="00DB330F">
        <w:t>Ukupna vrijednost tih radova u svih devet škola je bila gotovo 63,3 milijuna kuna, dok je od tog iznosa KZŽ izdvojila nešto više od 14 milijuna</w:t>
      </w:r>
      <w:r w:rsidR="00EA7962">
        <w:t xml:space="preserve"> kuna</w:t>
      </w:r>
      <w:r w:rsidR="00D54665" w:rsidRPr="00DB330F">
        <w:t xml:space="preserve">. Za </w:t>
      </w:r>
      <w:r w:rsidR="00DB330F" w:rsidRPr="00DB330F">
        <w:t>naredno razdoblje</w:t>
      </w:r>
      <w:r w:rsidR="00D54665" w:rsidRPr="00DB330F">
        <w:t xml:space="preserve"> Županija je predvidjela sredstva za još dvije škole; za cjelovitu obnovu OŠ Marija Bistrica</w:t>
      </w:r>
      <w:r w:rsidR="00DB330F" w:rsidRPr="00DB330F">
        <w:t xml:space="preserve"> u vrijednosti od</w:t>
      </w:r>
      <w:r w:rsidR="00D54665" w:rsidRPr="00DB330F">
        <w:t xml:space="preserve"> oko 11,2 milijuna kuna te Centar za odgoj i obrazovanje Krapinske Toplice, gdje bi energetska obnova škole koštala oko 9 milijuna kuna</w:t>
      </w:r>
      <w:r w:rsidR="00DB330F" w:rsidRPr="00DB330F">
        <w:t>.</w:t>
      </w:r>
    </w:p>
    <w:p w14:paraId="153C4AA3" w14:textId="4C33E9CA" w:rsidR="00593CD7" w:rsidRDefault="00593CD7" w:rsidP="00EB3667">
      <w:r>
        <w:t>U 2018. godini izrađen je dokument Dugoročni program izgradnje i obnove fonda zgrada Krapinsko-zagorske županije čiji je osnovni cilj prikazati potencijale i potrebe izgradnje, dogradnje, rekonstrukcije projekata energetske obnove zgrada te dati smjernice održivog načina upravljanja zgradama te analizirati modele financiranja potreba u razdobljima do 2030. i 2050. godine.</w:t>
      </w:r>
    </w:p>
    <w:p w14:paraId="611799BF" w14:textId="77777777" w:rsidR="00EE4351" w:rsidRPr="00EE4351" w:rsidRDefault="00EE4351" w:rsidP="00EE4351">
      <w:r w:rsidRPr="00EE4351">
        <w:t xml:space="preserve">Kontinuirano planiranje na području energetske učinkovitosti, Krapinsko-zagorska županija provodi sukladno Zakonu o energetskoj učinkovitosti (NN 127/14, 116/2018, 25/2020, 41/2021), na način da donosi trogodišnje i godišnje akcijske planove energetske učinkovitosti. Akcijski plan fokusiran je na sektor zgradarstva, odnosno na javne ustanove Krapinsko- zagorske županije zato što je to jedini sektor energetske potrošnje na koji županija ima direktan utjecaj. Na razini tih provedbenih dokumenata predlaže se daljnje detaljno planiranje u ovisnosti s jedne strane o potencijalima energetskih ušteda te s druge strane o mogućnostima zatvaranja financijske konstrukcije mjera. </w:t>
      </w:r>
    </w:p>
    <w:p w14:paraId="32D03C95" w14:textId="465DEAD0" w:rsidR="00910F9A" w:rsidRDefault="00910F9A" w:rsidP="00EB3667">
      <w:r>
        <w:t>U nadležnosti Krapinsko-zagorske županije nalazi se 16</w:t>
      </w:r>
      <w:r w:rsidR="00804EFC">
        <w:t xml:space="preserve">3 </w:t>
      </w:r>
      <w:r w:rsidR="00804EFC" w:rsidRPr="00EE4351">
        <w:rPr>
          <w:rStyle w:val="Referencafusnote"/>
        </w:rPr>
        <w:footnoteReference w:id="86"/>
      </w:r>
      <w:r>
        <w:t>zgrada javne namjene uglavnom građenih između 1941. i 1987. godine, a manji je dio novije izvedbe, odnosno građen od 1988.godine na dalje.</w:t>
      </w:r>
      <w:r w:rsidR="00014802">
        <w:t xml:space="preserve"> </w:t>
      </w:r>
      <w:r w:rsidR="009C36F6">
        <w:t>Prema javnoj namjeni- zgrade se dijele na zdravstvene ustanove, školske ustanove i ostale ustanove</w:t>
      </w:r>
      <w:r w:rsidR="00774213">
        <w:rPr>
          <w:rStyle w:val="Referencafusnote"/>
        </w:rPr>
        <w:footnoteReference w:id="87"/>
      </w:r>
      <w:r w:rsidR="00EA7962">
        <w:t xml:space="preserve">. </w:t>
      </w:r>
      <w:r w:rsidR="00E96885">
        <w:t xml:space="preserve">Prema namjeni vidljivo je da najveći udio (58%) čini podsektor obrazovanja. </w:t>
      </w:r>
      <w:r w:rsidR="001458C4" w:rsidRPr="001458C4">
        <w:t>Izračun referentne energetske potrošnje temelji se na podacima iz</w:t>
      </w:r>
      <w:r w:rsidR="001458C4">
        <w:t xml:space="preserve"> </w:t>
      </w:r>
      <w:r w:rsidR="001458C4" w:rsidRPr="001458C4">
        <w:t xml:space="preserve">Nacionalnog informacijskog sustava za gospodarenje energijom </w:t>
      </w:r>
      <w:r w:rsidR="001458C4">
        <w:t>(</w:t>
      </w:r>
      <w:r w:rsidR="001458C4" w:rsidRPr="001458C4">
        <w:t>ISGE sustava</w:t>
      </w:r>
      <w:r w:rsidR="001458C4">
        <w:t>)</w:t>
      </w:r>
      <w:r w:rsidR="001458C4" w:rsidRPr="001458C4">
        <w:t xml:space="preserve"> </w:t>
      </w:r>
      <w:r w:rsidR="001458C4">
        <w:rPr>
          <w:rStyle w:val="Referencafusnote"/>
        </w:rPr>
        <w:footnoteReference w:id="88"/>
      </w:r>
      <w:r w:rsidR="00646B4E">
        <w:t xml:space="preserve"> </w:t>
      </w:r>
      <w:r w:rsidR="001458C4" w:rsidRPr="001458C4">
        <w:t>kroz koji se od 2013.godine sustavno prati energetska potrošnja za sve zgrade u nadležnosti Krapinsko-zagorske županije</w:t>
      </w:r>
      <w:r w:rsidR="001458C4">
        <w:t xml:space="preserve"> </w:t>
      </w:r>
      <w:r w:rsidR="001458C4" w:rsidRPr="001458C4">
        <w:t>te njenih proračunskih i izvanproračunskih korisnika na način da se na mjesečnoj bazi unose podaci sa</w:t>
      </w:r>
      <w:r w:rsidR="001458C4">
        <w:t xml:space="preserve"> </w:t>
      </w:r>
      <w:r w:rsidR="001458C4" w:rsidRPr="001458C4">
        <w:t>računa o potrošnji energenata.</w:t>
      </w:r>
      <w:r w:rsidR="0023560B">
        <w:t xml:space="preserve"> </w:t>
      </w:r>
      <w:r w:rsidR="00EA7962" w:rsidRPr="00014802">
        <w:t>Ukupna</w:t>
      </w:r>
      <w:r w:rsidR="00EA7962">
        <w:t xml:space="preserve"> prosječna godišnja potrošnja energije u navedenim ustanovama u Krapinsko-zagorskoj županiji iznosi oko 3</w:t>
      </w:r>
      <w:r w:rsidR="00624516">
        <w:t>6</w:t>
      </w:r>
      <w:r w:rsidR="00EA7962">
        <w:t xml:space="preserve"> GWh</w:t>
      </w:r>
      <w:r w:rsidR="006A41CF">
        <w:t xml:space="preserve"> što uzrokuje emisije CO</w:t>
      </w:r>
      <w:r w:rsidR="006A41CF" w:rsidRPr="006A41CF">
        <w:rPr>
          <w:vertAlign w:val="subscript"/>
        </w:rPr>
        <w:t>2</w:t>
      </w:r>
      <w:r w:rsidR="006A41CF">
        <w:rPr>
          <w:vertAlign w:val="superscript"/>
        </w:rPr>
        <w:t xml:space="preserve"> </w:t>
      </w:r>
      <w:r w:rsidR="006A41CF">
        <w:t>u atmosferu od oko 7.600 tona.</w:t>
      </w:r>
      <w:r w:rsidR="009871B1">
        <w:t xml:space="preserve"> </w:t>
      </w:r>
      <w:r w:rsidR="0054278E">
        <w:t>Europska unija postavila je dugoročni cilj smanjenja emisija CO</w:t>
      </w:r>
      <w:r w:rsidR="0054278E" w:rsidRPr="0054278E">
        <w:rPr>
          <w:vertAlign w:val="subscript"/>
        </w:rPr>
        <w:t>2</w:t>
      </w:r>
      <w:r w:rsidR="0054278E">
        <w:t xml:space="preserve"> iz sektora zgradarstva 80-95% do 2050. godine. Stoga je nužno i s aspekta ekološke i s aspekta </w:t>
      </w:r>
      <w:r w:rsidR="006A1FCD">
        <w:t>financijske održivosti</w:t>
      </w:r>
      <w:r w:rsidR="0054278E">
        <w:t xml:space="preserve"> dugoročno planirati i osigurati provedbu mjera povećanja energetske učinkovitosti. </w:t>
      </w:r>
      <w:r w:rsidR="00EA7962">
        <w:t>Sukladno trendovima u gradnji i zatečenom stanju zgrada, može se zaključiti kako danas zgrade troše velike količine energije za grijanje, hlađenje i unutarnju rasvjetu, a sve kao rezultat relativno loših fizikalnih svojstava zgrada te smanjenog ulaganja u cjelovitu obnovu fonda zgrada.</w:t>
      </w:r>
      <w:r w:rsidR="00DC2C59">
        <w:t xml:space="preserve"> Analizirajući razdoblje od 2013. do 2017. godine, ukupni godišnji troškovi za energente kreću se oko 20 milijuna kn (s PDV-om). Kao energent za proizvodnju energije u javnim ustanovama prednjači prirodni plin</w:t>
      </w:r>
      <w:r w:rsidR="00DB0CAA">
        <w:t>. Iako fosilna goriva i dalje imaju prvenstvo kao energenti za proizvodnju energije (99,6 % u ukupnoj potrošnji energije), prisutan je i trend povećanja korištenja biomase, posebno drvenih peleta</w:t>
      </w:r>
      <w:r w:rsidR="00D07414">
        <w:t xml:space="preserve"> (</w:t>
      </w:r>
      <w:r w:rsidR="00566609">
        <w:t>t</w:t>
      </w:r>
      <w:r w:rsidR="00D07414">
        <w:t xml:space="preserve">ablica </w:t>
      </w:r>
      <w:r w:rsidR="00D07414" w:rsidRPr="00566609">
        <w:t>145</w:t>
      </w:r>
      <w:r w:rsidR="00DC2C59">
        <w:t>.</w:t>
      </w:r>
      <w:r w:rsidR="00D07414">
        <w:t xml:space="preserve">). </w:t>
      </w:r>
      <w:r w:rsidR="00624516" w:rsidRPr="00624516">
        <w:t>Udio obnovljivih izvora u ukupnoj potrošnji energije iznosi oko 0,66%</w:t>
      </w:r>
      <w:r w:rsidR="00624516">
        <w:t>.</w:t>
      </w:r>
      <w:r w:rsidR="00561647">
        <w:t xml:space="preserve"> Opći, konstrukcijski i energetski podaci te podaci o neposrednoj mjesečnoj potrošnji energije i vode za svaku zgradu javnog sektora vode se u Nacionalnom informacijskom sustavu za gospodarenje energijom (ISGE sustav).</w:t>
      </w:r>
      <w:r w:rsidR="00774D2A">
        <w:t xml:space="preserve"> </w:t>
      </w:r>
    </w:p>
    <w:p w14:paraId="1C061797" w14:textId="30C3B028" w:rsidR="00C71B24" w:rsidRDefault="00C71B24" w:rsidP="00EB3667"/>
    <w:p w14:paraId="5E49C020" w14:textId="01AAE728" w:rsidR="00C71B24" w:rsidRDefault="00C71B24" w:rsidP="00EB3667"/>
    <w:p w14:paraId="147292AB" w14:textId="77777777" w:rsidR="00C71B24" w:rsidRDefault="00C71B24" w:rsidP="00EB3667"/>
    <w:p w14:paraId="5C6F5509" w14:textId="67319B7E" w:rsidR="00365ED0" w:rsidRDefault="00365ED0" w:rsidP="00821E9B">
      <w:pPr>
        <w:pStyle w:val="Opisslike"/>
      </w:pPr>
      <w:bookmarkStart w:id="261" w:name="_Hlk78459348"/>
      <w:r>
        <w:lastRenderedPageBreak/>
        <w:t>Tablica 1</w:t>
      </w:r>
      <w:r w:rsidR="00741E4F">
        <w:t>93</w:t>
      </w:r>
      <w:r>
        <w:t>. Godišnja potrošnja energije (GWh) u javnim ustanovama Krapinsko-zagorske županije za referentno razdoblje (2013.-2017.)</w:t>
      </w:r>
    </w:p>
    <w:tbl>
      <w:tblPr>
        <w:tblStyle w:val="Reetkatablice"/>
        <w:tblW w:w="0" w:type="auto"/>
        <w:tblInd w:w="0" w:type="dxa"/>
        <w:tblLook w:val="04A0" w:firstRow="1" w:lastRow="0" w:firstColumn="1" w:lastColumn="0" w:noHBand="0" w:noVBand="1"/>
      </w:tblPr>
      <w:tblGrid>
        <w:gridCol w:w="1322"/>
        <w:gridCol w:w="1322"/>
        <w:gridCol w:w="1323"/>
        <w:gridCol w:w="1323"/>
        <w:gridCol w:w="1323"/>
        <w:gridCol w:w="1323"/>
        <w:gridCol w:w="1325"/>
      </w:tblGrid>
      <w:tr w:rsidR="00365ED0" w14:paraId="6E4F6F55" w14:textId="77777777" w:rsidTr="008D4C24">
        <w:trPr>
          <w:trHeight w:val="355"/>
        </w:trPr>
        <w:tc>
          <w:tcPr>
            <w:tcW w:w="9261" w:type="dxa"/>
            <w:gridSpan w:val="7"/>
            <w:shd w:val="clear" w:color="auto" w:fill="C00000"/>
            <w:vAlign w:val="center"/>
          </w:tcPr>
          <w:bookmarkEnd w:id="261"/>
          <w:p w14:paraId="55F9E192" w14:textId="6F4772CC" w:rsidR="00365ED0" w:rsidRPr="008D4C24" w:rsidRDefault="00365ED0" w:rsidP="008D4C24">
            <w:pPr>
              <w:jc w:val="center"/>
              <w:rPr>
                <w:b/>
                <w:bCs/>
              </w:rPr>
            </w:pPr>
            <w:r w:rsidRPr="008D4C24">
              <w:rPr>
                <w:b/>
                <w:bCs/>
                <w:color w:val="FFFFFF" w:themeColor="background1"/>
              </w:rPr>
              <w:t>Naziv energenta</w:t>
            </w:r>
          </w:p>
        </w:tc>
      </w:tr>
      <w:tr w:rsidR="00365ED0" w14:paraId="0D85F6FA" w14:textId="77777777" w:rsidTr="008D4C24">
        <w:trPr>
          <w:trHeight w:val="681"/>
        </w:trPr>
        <w:tc>
          <w:tcPr>
            <w:tcW w:w="1322" w:type="dxa"/>
            <w:shd w:val="clear" w:color="auto" w:fill="BFBFBF" w:themeFill="background1" w:themeFillShade="BF"/>
            <w:vAlign w:val="center"/>
          </w:tcPr>
          <w:p w14:paraId="24317F70" w14:textId="61694793" w:rsidR="00365ED0" w:rsidRPr="008D4C24" w:rsidRDefault="00365ED0" w:rsidP="008D4C24">
            <w:pPr>
              <w:jc w:val="center"/>
              <w:rPr>
                <w:b/>
                <w:bCs/>
                <w:color w:val="FFFFFF" w:themeColor="background1"/>
              </w:rPr>
            </w:pPr>
            <w:r w:rsidRPr="008D4C24">
              <w:rPr>
                <w:b/>
                <w:bCs/>
                <w:color w:val="FFFFFF" w:themeColor="background1"/>
              </w:rPr>
              <w:t>Godina</w:t>
            </w:r>
          </w:p>
        </w:tc>
        <w:tc>
          <w:tcPr>
            <w:tcW w:w="1322" w:type="dxa"/>
            <w:shd w:val="clear" w:color="auto" w:fill="F3BBBD" w:themeFill="accent6" w:themeFillTint="99"/>
            <w:vAlign w:val="center"/>
          </w:tcPr>
          <w:p w14:paraId="19F2A0E4" w14:textId="48BEDE1E" w:rsidR="00365ED0" w:rsidRPr="008D4C24" w:rsidRDefault="008D4C24" w:rsidP="008D4C24">
            <w:pPr>
              <w:jc w:val="center"/>
              <w:rPr>
                <w:b/>
                <w:bCs/>
                <w:color w:val="auto"/>
              </w:rPr>
            </w:pPr>
            <w:r w:rsidRPr="008D4C24">
              <w:rPr>
                <w:b/>
                <w:bCs/>
                <w:color w:val="auto"/>
              </w:rPr>
              <w:t>Prirodni plin</w:t>
            </w:r>
          </w:p>
        </w:tc>
        <w:tc>
          <w:tcPr>
            <w:tcW w:w="1323" w:type="dxa"/>
            <w:shd w:val="clear" w:color="auto" w:fill="F3BBBD" w:themeFill="accent6" w:themeFillTint="99"/>
            <w:vAlign w:val="center"/>
          </w:tcPr>
          <w:p w14:paraId="0C12FCF5" w14:textId="007BD6AC" w:rsidR="00365ED0" w:rsidRPr="008D4C24" w:rsidRDefault="008D4C24" w:rsidP="008D4C24">
            <w:pPr>
              <w:jc w:val="center"/>
              <w:rPr>
                <w:b/>
                <w:bCs/>
                <w:color w:val="auto"/>
              </w:rPr>
            </w:pPr>
            <w:r w:rsidRPr="008D4C24">
              <w:rPr>
                <w:b/>
                <w:bCs/>
                <w:color w:val="auto"/>
              </w:rPr>
              <w:t>Električna energija</w:t>
            </w:r>
          </w:p>
        </w:tc>
        <w:tc>
          <w:tcPr>
            <w:tcW w:w="1323" w:type="dxa"/>
            <w:shd w:val="clear" w:color="auto" w:fill="F3BBBD" w:themeFill="accent6" w:themeFillTint="99"/>
            <w:vAlign w:val="center"/>
          </w:tcPr>
          <w:p w14:paraId="4F7F0A56" w14:textId="73DBF597" w:rsidR="00365ED0" w:rsidRPr="008D4C24" w:rsidRDefault="008D4C24" w:rsidP="008D4C24">
            <w:pPr>
              <w:jc w:val="center"/>
              <w:rPr>
                <w:b/>
                <w:bCs/>
                <w:color w:val="auto"/>
              </w:rPr>
            </w:pPr>
            <w:r w:rsidRPr="008D4C24">
              <w:rPr>
                <w:b/>
                <w:bCs/>
                <w:color w:val="auto"/>
              </w:rPr>
              <w:t>Ukapljeni naftni plin</w:t>
            </w:r>
          </w:p>
        </w:tc>
        <w:tc>
          <w:tcPr>
            <w:tcW w:w="1323" w:type="dxa"/>
            <w:shd w:val="clear" w:color="auto" w:fill="F3BBBD" w:themeFill="accent6" w:themeFillTint="99"/>
            <w:vAlign w:val="center"/>
          </w:tcPr>
          <w:p w14:paraId="57BC5C15" w14:textId="6F4CDCD9" w:rsidR="00365ED0" w:rsidRPr="008D4C24" w:rsidRDefault="008D4C24" w:rsidP="008D4C24">
            <w:pPr>
              <w:jc w:val="center"/>
              <w:rPr>
                <w:b/>
                <w:bCs/>
                <w:color w:val="auto"/>
              </w:rPr>
            </w:pPr>
            <w:r w:rsidRPr="008D4C24">
              <w:rPr>
                <w:b/>
                <w:bCs/>
                <w:color w:val="auto"/>
              </w:rPr>
              <w:t>Biomasa-peleti</w:t>
            </w:r>
          </w:p>
        </w:tc>
        <w:tc>
          <w:tcPr>
            <w:tcW w:w="1323" w:type="dxa"/>
            <w:shd w:val="clear" w:color="auto" w:fill="F3BBBD" w:themeFill="accent6" w:themeFillTint="99"/>
            <w:vAlign w:val="center"/>
          </w:tcPr>
          <w:p w14:paraId="70257F79" w14:textId="0B9B6CCB" w:rsidR="00365ED0" w:rsidRPr="008D4C24" w:rsidRDefault="008D4C24" w:rsidP="008D4C24">
            <w:pPr>
              <w:jc w:val="center"/>
              <w:rPr>
                <w:b/>
                <w:bCs/>
                <w:color w:val="auto"/>
              </w:rPr>
            </w:pPr>
            <w:r w:rsidRPr="008D4C24">
              <w:rPr>
                <w:b/>
                <w:bCs/>
                <w:color w:val="auto"/>
              </w:rPr>
              <w:t>Biomasa- drva za ogrjev</w:t>
            </w:r>
          </w:p>
        </w:tc>
        <w:tc>
          <w:tcPr>
            <w:tcW w:w="1323" w:type="dxa"/>
            <w:shd w:val="clear" w:color="auto" w:fill="F3BBBD" w:themeFill="accent6" w:themeFillTint="99"/>
            <w:vAlign w:val="center"/>
          </w:tcPr>
          <w:p w14:paraId="699829BC" w14:textId="06620D08" w:rsidR="00365ED0" w:rsidRPr="008D4C24" w:rsidRDefault="008D4C24" w:rsidP="008D4C24">
            <w:pPr>
              <w:jc w:val="center"/>
              <w:rPr>
                <w:b/>
                <w:bCs/>
                <w:color w:val="auto"/>
              </w:rPr>
            </w:pPr>
            <w:r w:rsidRPr="008D4C24">
              <w:rPr>
                <w:b/>
                <w:bCs/>
                <w:color w:val="auto"/>
              </w:rPr>
              <w:t>Ukupno</w:t>
            </w:r>
          </w:p>
        </w:tc>
      </w:tr>
      <w:tr w:rsidR="00365ED0" w14:paraId="3D048F4A" w14:textId="77777777" w:rsidTr="008D4C24">
        <w:trPr>
          <w:trHeight w:val="234"/>
        </w:trPr>
        <w:tc>
          <w:tcPr>
            <w:tcW w:w="1322" w:type="dxa"/>
            <w:shd w:val="clear" w:color="auto" w:fill="BFBFBF" w:themeFill="background1" w:themeFillShade="BF"/>
            <w:vAlign w:val="center"/>
          </w:tcPr>
          <w:p w14:paraId="786F1326" w14:textId="6FBDBBBF" w:rsidR="00365ED0" w:rsidRPr="008D4C24" w:rsidRDefault="008D4C24" w:rsidP="008D4C24">
            <w:pPr>
              <w:jc w:val="center"/>
              <w:rPr>
                <w:b/>
                <w:bCs/>
                <w:color w:val="auto"/>
              </w:rPr>
            </w:pPr>
            <w:r>
              <w:rPr>
                <w:b/>
                <w:bCs/>
                <w:color w:val="auto"/>
              </w:rPr>
              <w:t>2013.</w:t>
            </w:r>
          </w:p>
        </w:tc>
        <w:tc>
          <w:tcPr>
            <w:tcW w:w="1322" w:type="dxa"/>
            <w:vAlign w:val="center"/>
          </w:tcPr>
          <w:p w14:paraId="583EA1FF" w14:textId="12EFB2BA" w:rsidR="00365ED0" w:rsidRDefault="00935063" w:rsidP="008D4C24">
            <w:pPr>
              <w:jc w:val="center"/>
            </w:pPr>
            <w:r>
              <w:t>27,49</w:t>
            </w:r>
          </w:p>
        </w:tc>
        <w:tc>
          <w:tcPr>
            <w:tcW w:w="1323" w:type="dxa"/>
            <w:vAlign w:val="center"/>
          </w:tcPr>
          <w:p w14:paraId="75D9A3F4" w14:textId="1210EBA7" w:rsidR="00365ED0" w:rsidRDefault="00935063" w:rsidP="008D4C24">
            <w:pPr>
              <w:jc w:val="center"/>
            </w:pPr>
            <w:r>
              <w:t>7,98</w:t>
            </w:r>
          </w:p>
        </w:tc>
        <w:tc>
          <w:tcPr>
            <w:tcW w:w="1323" w:type="dxa"/>
            <w:vAlign w:val="center"/>
          </w:tcPr>
          <w:p w14:paraId="3973AC32" w14:textId="41892345" w:rsidR="00365ED0" w:rsidRDefault="00935063" w:rsidP="008D4C24">
            <w:pPr>
              <w:jc w:val="center"/>
            </w:pPr>
            <w:r>
              <w:t>0</w:t>
            </w:r>
          </w:p>
        </w:tc>
        <w:tc>
          <w:tcPr>
            <w:tcW w:w="1323" w:type="dxa"/>
            <w:vAlign w:val="center"/>
          </w:tcPr>
          <w:p w14:paraId="25A1CB03" w14:textId="45E364D8" w:rsidR="00365ED0" w:rsidRDefault="00935063" w:rsidP="008D4C24">
            <w:pPr>
              <w:jc w:val="center"/>
            </w:pPr>
            <w:r>
              <w:t>0</w:t>
            </w:r>
          </w:p>
        </w:tc>
        <w:tc>
          <w:tcPr>
            <w:tcW w:w="1323" w:type="dxa"/>
            <w:vAlign w:val="center"/>
          </w:tcPr>
          <w:p w14:paraId="4AF60B8E" w14:textId="0F886D51" w:rsidR="00365ED0" w:rsidRDefault="00935063" w:rsidP="008D4C24">
            <w:pPr>
              <w:jc w:val="center"/>
            </w:pPr>
            <w:r>
              <w:t>0,09</w:t>
            </w:r>
          </w:p>
        </w:tc>
        <w:tc>
          <w:tcPr>
            <w:tcW w:w="1323" w:type="dxa"/>
            <w:vAlign w:val="center"/>
          </w:tcPr>
          <w:p w14:paraId="5C261BC7" w14:textId="6565B499" w:rsidR="00365ED0" w:rsidRPr="008D4C24" w:rsidRDefault="00935063" w:rsidP="008D4C24">
            <w:pPr>
              <w:jc w:val="center"/>
              <w:rPr>
                <w:b/>
                <w:bCs/>
                <w:color w:val="auto"/>
              </w:rPr>
            </w:pPr>
            <w:r>
              <w:rPr>
                <w:b/>
                <w:bCs/>
                <w:color w:val="auto"/>
              </w:rPr>
              <w:t>35,56</w:t>
            </w:r>
          </w:p>
        </w:tc>
      </w:tr>
      <w:tr w:rsidR="00365ED0" w14:paraId="339DB99B" w14:textId="77777777" w:rsidTr="008D4C24">
        <w:trPr>
          <w:trHeight w:val="223"/>
        </w:trPr>
        <w:tc>
          <w:tcPr>
            <w:tcW w:w="1322" w:type="dxa"/>
            <w:shd w:val="clear" w:color="auto" w:fill="BFBFBF" w:themeFill="background1" w:themeFillShade="BF"/>
            <w:vAlign w:val="center"/>
          </w:tcPr>
          <w:p w14:paraId="72F9D63B" w14:textId="2DC1F8A1" w:rsidR="00365ED0" w:rsidRPr="008D4C24" w:rsidRDefault="008D4C24" w:rsidP="008D4C24">
            <w:pPr>
              <w:jc w:val="center"/>
              <w:rPr>
                <w:b/>
                <w:bCs/>
                <w:color w:val="auto"/>
              </w:rPr>
            </w:pPr>
            <w:r>
              <w:rPr>
                <w:b/>
                <w:bCs/>
                <w:color w:val="auto"/>
              </w:rPr>
              <w:t>2014.</w:t>
            </w:r>
          </w:p>
        </w:tc>
        <w:tc>
          <w:tcPr>
            <w:tcW w:w="1322" w:type="dxa"/>
            <w:vAlign w:val="center"/>
          </w:tcPr>
          <w:p w14:paraId="759C9928" w14:textId="00667B20" w:rsidR="00365ED0" w:rsidRDefault="00935063" w:rsidP="008D4C24">
            <w:pPr>
              <w:jc w:val="center"/>
            </w:pPr>
            <w:r>
              <w:t>21,71</w:t>
            </w:r>
          </w:p>
        </w:tc>
        <w:tc>
          <w:tcPr>
            <w:tcW w:w="1323" w:type="dxa"/>
            <w:vAlign w:val="center"/>
          </w:tcPr>
          <w:p w14:paraId="13AC79F6" w14:textId="7B63E221" w:rsidR="00365ED0" w:rsidRDefault="00935063" w:rsidP="008D4C24">
            <w:pPr>
              <w:jc w:val="center"/>
            </w:pPr>
            <w:r>
              <w:t>8,07</w:t>
            </w:r>
          </w:p>
        </w:tc>
        <w:tc>
          <w:tcPr>
            <w:tcW w:w="1323" w:type="dxa"/>
            <w:vAlign w:val="center"/>
          </w:tcPr>
          <w:p w14:paraId="5ACF9188" w14:textId="451AD77F" w:rsidR="00365ED0" w:rsidRDefault="00935063" w:rsidP="008D4C24">
            <w:pPr>
              <w:jc w:val="center"/>
            </w:pPr>
            <w:r>
              <w:t>0</w:t>
            </w:r>
          </w:p>
        </w:tc>
        <w:tc>
          <w:tcPr>
            <w:tcW w:w="1323" w:type="dxa"/>
            <w:vAlign w:val="center"/>
          </w:tcPr>
          <w:p w14:paraId="680EECF7" w14:textId="3FA07CB9" w:rsidR="00365ED0" w:rsidRDefault="00935063" w:rsidP="008D4C24">
            <w:pPr>
              <w:jc w:val="center"/>
            </w:pPr>
            <w:r>
              <w:t>0</w:t>
            </w:r>
          </w:p>
        </w:tc>
        <w:tc>
          <w:tcPr>
            <w:tcW w:w="1323" w:type="dxa"/>
            <w:vAlign w:val="center"/>
          </w:tcPr>
          <w:p w14:paraId="1FA5A26A" w14:textId="547879C9" w:rsidR="00365ED0" w:rsidRDefault="00935063" w:rsidP="008D4C24">
            <w:pPr>
              <w:jc w:val="center"/>
            </w:pPr>
            <w:r>
              <w:t>0,06</w:t>
            </w:r>
          </w:p>
        </w:tc>
        <w:tc>
          <w:tcPr>
            <w:tcW w:w="1323" w:type="dxa"/>
            <w:vAlign w:val="center"/>
          </w:tcPr>
          <w:p w14:paraId="30547874" w14:textId="345F84DF" w:rsidR="00365ED0" w:rsidRPr="008D4C24" w:rsidRDefault="00935063" w:rsidP="008D4C24">
            <w:pPr>
              <w:jc w:val="center"/>
              <w:rPr>
                <w:b/>
                <w:bCs/>
                <w:color w:val="auto"/>
              </w:rPr>
            </w:pPr>
            <w:r>
              <w:rPr>
                <w:b/>
                <w:bCs/>
                <w:color w:val="auto"/>
              </w:rPr>
              <w:t>29,84</w:t>
            </w:r>
          </w:p>
        </w:tc>
      </w:tr>
      <w:tr w:rsidR="00365ED0" w14:paraId="26AFE472" w14:textId="77777777" w:rsidTr="008D4C24">
        <w:trPr>
          <w:trHeight w:val="234"/>
        </w:trPr>
        <w:tc>
          <w:tcPr>
            <w:tcW w:w="1322" w:type="dxa"/>
            <w:shd w:val="clear" w:color="auto" w:fill="BFBFBF" w:themeFill="background1" w:themeFillShade="BF"/>
            <w:vAlign w:val="center"/>
          </w:tcPr>
          <w:p w14:paraId="44E64361" w14:textId="141504E5" w:rsidR="00365ED0" w:rsidRPr="008D4C24" w:rsidRDefault="008D4C24" w:rsidP="008D4C24">
            <w:pPr>
              <w:jc w:val="center"/>
              <w:rPr>
                <w:b/>
                <w:bCs/>
                <w:color w:val="auto"/>
              </w:rPr>
            </w:pPr>
            <w:r>
              <w:rPr>
                <w:b/>
                <w:bCs/>
                <w:color w:val="auto"/>
              </w:rPr>
              <w:t>2015.</w:t>
            </w:r>
          </w:p>
        </w:tc>
        <w:tc>
          <w:tcPr>
            <w:tcW w:w="1322" w:type="dxa"/>
            <w:vAlign w:val="center"/>
          </w:tcPr>
          <w:p w14:paraId="50B3B26F" w14:textId="5AD206FD" w:rsidR="00365ED0" w:rsidRDefault="00935063" w:rsidP="008D4C24">
            <w:pPr>
              <w:jc w:val="center"/>
            </w:pPr>
            <w:r>
              <w:t>25,42</w:t>
            </w:r>
          </w:p>
        </w:tc>
        <w:tc>
          <w:tcPr>
            <w:tcW w:w="1323" w:type="dxa"/>
            <w:vAlign w:val="center"/>
          </w:tcPr>
          <w:p w14:paraId="18D13022" w14:textId="286AC607" w:rsidR="00365ED0" w:rsidRDefault="00935063" w:rsidP="008D4C24">
            <w:pPr>
              <w:jc w:val="center"/>
            </w:pPr>
            <w:r>
              <w:t>8,55</w:t>
            </w:r>
          </w:p>
        </w:tc>
        <w:tc>
          <w:tcPr>
            <w:tcW w:w="1323" w:type="dxa"/>
            <w:vAlign w:val="center"/>
          </w:tcPr>
          <w:p w14:paraId="2C3039BB" w14:textId="6401BD4B" w:rsidR="00365ED0" w:rsidRDefault="00935063" w:rsidP="008D4C24">
            <w:pPr>
              <w:jc w:val="center"/>
            </w:pPr>
            <w:r>
              <w:t>0,01</w:t>
            </w:r>
          </w:p>
        </w:tc>
        <w:tc>
          <w:tcPr>
            <w:tcW w:w="1323" w:type="dxa"/>
            <w:vAlign w:val="center"/>
          </w:tcPr>
          <w:p w14:paraId="5123894F" w14:textId="618BA771" w:rsidR="00365ED0" w:rsidRDefault="00935063" w:rsidP="008D4C24">
            <w:pPr>
              <w:jc w:val="center"/>
            </w:pPr>
            <w:r>
              <w:t>0,06</w:t>
            </w:r>
          </w:p>
        </w:tc>
        <w:tc>
          <w:tcPr>
            <w:tcW w:w="1323" w:type="dxa"/>
            <w:vAlign w:val="center"/>
          </w:tcPr>
          <w:p w14:paraId="5B577563" w14:textId="78BE91E4" w:rsidR="00365ED0" w:rsidRDefault="00935063" w:rsidP="008D4C24">
            <w:pPr>
              <w:jc w:val="center"/>
            </w:pPr>
            <w:r>
              <w:t>0,10</w:t>
            </w:r>
          </w:p>
        </w:tc>
        <w:tc>
          <w:tcPr>
            <w:tcW w:w="1323" w:type="dxa"/>
            <w:vAlign w:val="center"/>
          </w:tcPr>
          <w:p w14:paraId="453F4110" w14:textId="037739E5" w:rsidR="00365ED0" w:rsidRPr="008D4C24" w:rsidRDefault="00935063" w:rsidP="008D4C24">
            <w:pPr>
              <w:jc w:val="center"/>
              <w:rPr>
                <w:b/>
                <w:bCs/>
                <w:color w:val="auto"/>
              </w:rPr>
            </w:pPr>
            <w:r>
              <w:rPr>
                <w:b/>
                <w:bCs/>
                <w:color w:val="auto"/>
              </w:rPr>
              <w:t>34,14</w:t>
            </w:r>
          </w:p>
        </w:tc>
      </w:tr>
      <w:tr w:rsidR="00365ED0" w14:paraId="799DCC6C" w14:textId="77777777" w:rsidTr="008D4C24">
        <w:trPr>
          <w:trHeight w:val="223"/>
        </w:trPr>
        <w:tc>
          <w:tcPr>
            <w:tcW w:w="1322" w:type="dxa"/>
            <w:shd w:val="clear" w:color="auto" w:fill="BFBFBF" w:themeFill="background1" w:themeFillShade="BF"/>
            <w:vAlign w:val="center"/>
          </w:tcPr>
          <w:p w14:paraId="44DBB6E4" w14:textId="59894DCB" w:rsidR="00365ED0" w:rsidRPr="008D4C24" w:rsidRDefault="008D4C24" w:rsidP="008D4C24">
            <w:pPr>
              <w:jc w:val="center"/>
              <w:rPr>
                <w:b/>
                <w:bCs/>
                <w:color w:val="auto"/>
              </w:rPr>
            </w:pPr>
            <w:r>
              <w:rPr>
                <w:b/>
                <w:bCs/>
                <w:color w:val="auto"/>
              </w:rPr>
              <w:t>2016.</w:t>
            </w:r>
          </w:p>
        </w:tc>
        <w:tc>
          <w:tcPr>
            <w:tcW w:w="1322" w:type="dxa"/>
            <w:vAlign w:val="center"/>
          </w:tcPr>
          <w:p w14:paraId="3C041BA0" w14:textId="6CB15F59" w:rsidR="00365ED0" w:rsidRDefault="00935063" w:rsidP="008D4C24">
            <w:pPr>
              <w:jc w:val="center"/>
            </w:pPr>
            <w:r>
              <w:t>26,51</w:t>
            </w:r>
          </w:p>
        </w:tc>
        <w:tc>
          <w:tcPr>
            <w:tcW w:w="1323" w:type="dxa"/>
            <w:vAlign w:val="center"/>
          </w:tcPr>
          <w:p w14:paraId="04A497F4" w14:textId="5B8FEA1F" w:rsidR="00365ED0" w:rsidRDefault="00935063" w:rsidP="008D4C24">
            <w:pPr>
              <w:jc w:val="center"/>
            </w:pPr>
            <w:r>
              <w:t>8,86</w:t>
            </w:r>
          </w:p>
        </w:tc>
        <w:tc>
          <w:tcPr>
            <w:tcW w:w="1323" w:type="dxa"/>
            <w:vAlign w:val="center"/>
          </w:tcPr>
          <w:p w14:paraId="3966226A" w14:textId="384CDD47" w:rsidR="00365ED0" w:rsidRDefault="00935063" w:rsidP="008D4C24">
            <w:pPr>
              <w:jc w:val="center"/>
            </w:pPr>
            <w:r>
              <w:t>0,01</w:t>
            </w:r>
          </w:p>
        </w:tc>
        <w:tc>
          <w:tcPr>
            <w:tcW w:w="1323" w:type="dxa"/>
            <w:vAlign w:val="center"/>
          </w:tcPr>
          <w:p w14:paraId="1E430DE2" w14:textId="7561F428" w:rsidR="00365ED0" w:rsidRDefault="00935063" w:rsidP="008D4C24">
            <w:pPr>
              <w:jc w:val="center"/>
            </w:pPr>
            <w:r>
              <w:t>0,13</w:t>
            </w:r>
          </w:p>
        </w:tc>
        <w:tc>
          <w:tcPr>
            <w:tcW w:w="1323" w:type="dxa"/>
            <w:vAlign w:val="center"/>
          </w:tcPr>
          <w:p w14:paraId="0D78549F" w14:textId="1A75A271" w:rsidR="00365ED0" w:rsidRDefault="00935063" w:rsidP="008D4C24">
            <w:pPr>
              <w:jc w:val="center"/>
            </w:pPr>
            <w:r>
              <w:t>0,07</w:t>
            </w:r>
          </w:p>
        </w:tc>
        <w:tc>
          <w:tcPr>
            <w:tcW w:w="1323" w:type="dxa"/>
            <w:vAlign w:val="center"/>
          </w:tcPr>
          <w:p w14:paraId="5C53101B" w14:textId="68F8DC6E" w:rsidR="00365ED0" w:rsidRPr="008D4C24" w:rsidRDefault="00935063" w:rsidP="008D4C24">
            <w:pPr>
              <w:jc w:val="center"/>
              <w:rPr>
                <w:b/>
                <w:bCs/>
                <w:color w:val="auto"/>
              </w:rPr>
            </w:pPr>
            <w:r>
              <w:rPr>
                <w:b/>
                <w:bCs/>
                <w:color w:val="auto"/>
              </w:rPr>
              <w:t>35,59</w:t>
            </w:r>
          </w:p>
        </w:tc>
      </w:tr>
      <w:tr w:rsidR="00365ED0" w14:paraId="2DF02369" w14:textId="77777777" w:rsidTr="008D4C24">
        <w:trPr>
          <w:trHeight w:val="234"/>
        </w:trPr>
        <w:tc>
          <w:tcPr>
            <w:tcW w:w="1322" w:type="dxa"/>
            <w:shd w:val="clear" w:color="auto" w:fill="BFBFBF" w:themeFill="background1" w:themeFillShade="BF"/>
            <w:vAlign w:val="center"/>
          </w:tcPr>
          <w:p w14:paraId="35B84BAA" w14:textId="297D0F2C" w:rsidR="00365ED0" w:rsidRPr="008D4C24" w:rsidRDefault="008D4C24" w:rsidP="008D4C24">
            <w:pPr>
              <w:jc w:val="center"/>
              <w:rPr>
                <w:b/>
                <w:bCs/>
                <w:color w:val="auto"/>
              </w:rPr>
            </w:pPr>
            <w:r>
              <w:rPr>
                <w:b/>
                <w:bCs/>
                <w:color w:val="auto"/>
              </w:rPr>
              <w:t>2017.</w:t>
            </w:r>
          </w:p>
        </w:tc>
        <w:tc>
          <w:tcPr>
            <w:tcW w:w="1322" w:type="dxa"/>
            <w:vAlign w:val="center"/>
          </w:tcPr>
          <w:p w14:paraId="7A3B791E" w14:textId="717704B3" w:rsidR="00365ED0" w:rsidRDefault="00935063" w:rsidP="008D4C24">
            <w:pPr>
              <w:jc w:val="center"/>
            </w:pPr>
            <w:r>
              <w:t>26,29</w:t>
            </w:r>
          </w:p>
        </w:tc>
        <w:tc>
          <w:tcPr>
            <w:tcW w:w="1323" w:type="dxa"/>
            <w:vAlign w:val="center"/>
          </w:tcPr>
          <w:p w14:paraId="56A27539" w14:textId="37FEB597" w:rsidR="00365ED0" w:rsidRDefault="00935063" w:rsidP="008D4C24">
            <w:pPr>
              <w:jc w:val="center"/>
            </w:pPr>
            <w:r>
              <w:t>8,86</w:t>
            </w:r>
          </w:p>
        </w:tc>
        <w:tc>
          <w:tcPr>
            <w:tcW w:w="1323" w:type="dxa"/>
            <w:vAlign w:val="center"/>
          </w:tcPr>
          <w:p w14:paraId="3177F954" w14:textId="77D1C79A" w:rsidR="00365ED0" w:rsidRDefault="00935063" w:rsidP="008D4C24">
            <w:pPr>
              <w:jc w:val="center"/>
            </w:pPr>
            <w:r>
              <w:t>0</w:t>
            </w:r>
          </w:p>
        </w:tc>
        <w:tc>
          <w:tcPr>
            <w:tcW w:w="1323" w:type="dxa"/>
            <w:vAlign w:val="center"/>
          </w:tcPr>
          <w:p w14:paraId="62A4DB63" w14:textId="10E36222" w:rsidR="00365ED0" w:rsidRDefault="00935063" w:rsidP="008D4C24">
            <w:pPr>
              <w:jc w:val="center"/>
            </w:pPr>
            <w:r>
              <w:t>0,15</w:t>
            </w:r>
          </w:p>
        </w:tc>
        <w:tc>
          <w:tcPr>
            <w:tcW w:w="1323" w:type="dxa"/>
            <w:vAlign w:val="center"/>
          </w:tcPr>
          <w:p w14:paraId="698156EE" w14:textId="6F7AE0AB" w:rsidR="00365ED0" w:rsidRDefault="00935063" w:rsidP="008D4C24">
            <w:pPr>
              <w:jc w:val="center"/>
            </w:pPr>
            <w:r>
              <w:t>0,07</w:t>
            </w:r>
          </w:p>
        </w:tc>
        <w:tc>
          <w:tcPr>
            <w:tcW w:w="1323" w:type="dxa"/>
            <w:vAlign w:val="center"/>
          </w:tcPr>
          <w:p w14:paraId="21F0CCDE" w14:textId="19B4D6CA" w:rsidR="00365ED0" w:rsidRPr="008D4C24" w:rsidRDefault="00935063" w:rsidP="008D4C24">
            <w:pPr>
              <w:jc w:val="center"/>
              <w:rPr>
                <w:b/>
                <w:bCs/>
                <w:color w:val="auto"/>
              </w:rPr>
            </w:pPr>
            <w:r>
              <w:rPr>
                <w:b/>
                <w:bCs/>
                <w:color w:val="auto"/>
              </w:rPr>
              <w:t>35,37</w:t>
            </w:r>
          </w:p>
        </w:tc>
      </w:tr>
    </w:tbl>
    <w:p w14:paraId="27482EC6" w14:textId="051C76EC" w:rsidR="00365ED0" w:rsidRDefault="008D4C24" w:rsidP="00EB3667">
      <w:pPr>
        <w:rPr>
          <w:rFonts w:eastAsia="ArialNarrow" w:cstheme="minorHAnsi"/>
          <w:i/>
          <w:color w:val="ABABAB" w:themeColor="text1" w:themeTint="A6"/>
          <w:sz w:val="16"/>
          <w:szCs w:val="16"/>
        </w:rPr>
      </w:pPr>
      <w:r w:rsidRPr="008D4C24">
        <w:rPr>
          <w:rFonts w:eastAsia="ArialNarrow" w:cstheme="minorHAnsi"/>
          <w:i/>
          <w:color w:val="ABABAB" w:themeColor="text1" w:themeTint="A6"/>
          <w:sz w:val="16"/>
          <w:szCs w:val="16"/>
        </w:rPr>
        <w:t>Izvor: Dugoročni program izgradnje i obnove fonda zgrada Krapinsko-zagorske županije, Krapina, studeni 2018.</w:t>
      </w:r>
    </w:p>
    <w:p w14:paraId="300AF6C7" w14:textId="77777777" w:rsidR="00140C2C" w:rsidRDefault="00140C2C" w:rsidP="00EB3667">
      <w:pPr>
        <w:rPr>
          <w:rFonts w:eastAsia="ArialNarrow" w:cstheme="minorHAnsi"/>
          <w:i/>
          <w:color w:val="ABABAB" w:themeColor="text1" w:themeTint="A6"/>
          <w:sz w:val="16"/>
          <w:szCs w:val="16"/>
        </w:rPr>
      </w:pPr>
    </w:p>
    <w:p w14:paraId="681A5312" w14:textId="158CCFC8" w:rsidR="008D4C24" w:rsidRDefault="00140C2C" w:rsidP="00EB3667">
      <w:r w:rsidRPr="00140C2C">
        <w:t>Energetskom analizom neposredne potrošnje energije Krapinsko-zagorske županije u sektoru zgradarstva za razdoblje 2016. -2018. godine određena je ukupna godišnja potrošnja energije koja u prosjeku iznosi 36.527.362,59 kWh te ukupna prosječna godišnja potrošnja energije po pojedinom podsektoru</w:t>
      </w:r>
      <w:r>
        <w:t xml:space="preserve"> (Tablica 146.).</w:t>
      </w:r>
    </w:p>
    <w:p w14:paraId="560BDDA2" w14:textId="77777777" w:rsidR="00B9654A" w:rsidRDefault="00B9654A" w:rsidP="00EB3667"/>
    <w:p w14:paraId="54B50C02" w14:textId="2055AE1D" w:rsidR="00140C2C" w:rsidRDefault="00140C2C" w:rsidP="00140C2C">
      <w:pPr>
        <w:pStyle w:val="Opisslike"/>
      </w:pPr>
      <w:r>
        <w:t>Tablica 1</w:t>
      </w:r>
      <w:r w:rsidR="00741E4F">
        <w:t>94</w:t>
      </w:r>
      <w:r>
        <w:t xml:space="preserve">. </w:t>
      </w:r>
      <w:r w:rsidRPr="00140C2C">
        <w:t>Prikaz neposredne prosječne godišnje potrošnje energije u sektoru zgradarstva po pojedinim podsektorima za razdoblje 2016. -2018. godina</w:t>
      </w:r>
    </w:p>
    <w:tbl>
      <w:tblPr>
        <w:tblStyle w:val="Reetkatablice"/>
        <w:tblW w:w="0" w:type="auto"/>
        <w:tblInd w:w="0" w:type="dxa"/>
        <w:tblLook w:val="04A0" w:firstRow="1" w:lastRow="0" w:firstColumn="1" w:lastColumn="0" w:noHBand="0" w:noVBand="1"/>
      </w:tblPr>
      <w:tblGrid>
        <w:gridCol w:w="1858"/>
        <w:gridCol w:w="1859"/>
        <w:gridCol w:w="1859"/>
        <w:gridCol w:w="1859"/>
        <w:gridCol w:w="1859"/>
      </w:tblGrid>
      <w:tr w:rsidR="00004C34" w14:paraId="0EA023BB" w14:textId="77777777" w:rsidTr="00B95A83">
        <w:tc>
          <w:tcPr>
            <w:tcW w:w="1858" w:type="dxa"/>
            <w:shd w:val="clear" w:color="auto" w:fill="C00000"/>
          </w:tcPr>
          <w:p w14:paraId="2E86FBED" w14:textId="77777777" w:rsidR="00004C34" w:rsidRPr="00B95A83" w:rsidRDefault="00004C34" w:rsidP="00140C2C">
            <w:pPr>
              <w:rPr>
                <w:b/>
                <w:bCs/>
                <w:color w:val="FFFFFF" w:themeColor="background1"/>
              </w:rPr>
            </w:pPr>
          </w:p>
        </w:tc>
        <w:tc>
          <w:tcPr>
            <w:tcW w:w="1859" w:type="dxa"/>
            <w:shd w:val="clear" w:color="auto" w:fill="C00000"/>
            <w:vAlign w:val="center"/>
          </w:tcPr>
          <w:p w14:paraId="0B7B9209" w14:textId="5C86E09B" w:rsidR="00004C34" w:rsidRPr="00B95A83" w:rsidRDefault="00004C34" w:rsidP="00B40ED1">
            <w:pPr>
              <w:jc w:val="center"/>
              <w:rPr>
                <w:b/>
                <w:bCs/>
                <w:color w:val="FFFFFF" w:themeColor="background1"/>
              </w:rPr>
            </w:pPr>
            <w:r w:rsidRPr="00B95A83">
              <w:rPr>
                <w:b/>
                <w:bCs/>
                <w:color w:val="FFFFFF" w:themeColor="background1"/>
              </w:rPr>
              <w:t>Zdravstvene ustanove</w:t>
            </w:r>
          </w:p>
        </w:tc>
        <w:tc>
          <w:tcPr>
            <w:tcW w:w="1859" w:type="dxa"/>
            <w:shd w:val="clear" w:color="auto" w:fill="C00000"/>
            <w:vAlign w:val="center"/>
          </w:tcPr>
          <w:p w14:paraId="1E9E1C11" w14:textId="6B337E66" w:rsidR="00004C34" w:rsidRPr="00B95A83" w:rsidRDefault="00004C34" w:rsidP="00B40ED1">
            <w:pPr>
              <w:jc w:val="center"/>
              <w:rPr>
                <w:b/>
                <w:bCs/>
                <w:color w:val="FFFFFF" w:themeColor="background1"/>
              </w:rPr>
            </w:pPr>
            <w:r w:rsidRPr="00B95A83">
              <w:rPr>
                <w:b/>
                <w:bCs/>
                <w:color w:val="FFFFFF" w:themeColor="background1"/>
              </w:rPr>
              <w:t>Školske ustanove</w:t>
            </w:r>
          </w:p>
        </w:tc>
        <w:tc>
          <w:tcPr>
            <w:tcW w:w="1859" w:type="dxa"/>
            <w:shd w:val="clear" w:color="auto" w:fill="C00000"/>
            <w:vAlign w:val="center"/>
          </w:tcPr>
          <w:p w14:paraId="32A785E1" w14:textId="6E5397CD" w:rsidR="00004C34" w:rsidRPr="00B95A83" w:rsidRDefault="00B40ED1" w:rsidP="00B40ED1">
            <w:pPr>
              <w:jc w:val="center"/>
              <w:rPr>
                <w:b/>
                <w:bCs/>
                <w:color w:val="FFFFFF" w:themeColor="background1"/>
              </w:rPr>
            </w:pPr>
            <w:r w:rsidRPr="00B95A83">
              <w:rPr>
                <w:b/>
                <w:bCs/>
                <w:color w:val="FFFFFF" w:themeColor="background1"/>
              </w:rPr>
              <w:t>Ostale javne ustanove</w:t>
            </w:r>
          </w:p>
        </w:tc>
        <w:tc>
          <w:tcPr>
            <w:tcW w:w="1859" w:type="dxa"/>
            <w:shd w:val="clear" w:color="auto" w:fill="C00000"/>
            <w:vAlign w:val="center"/>
          </w:tcPr>
          <w:p w14:paraId="5FC7CA13" w14:textId="7885225A" w:rsidR="00004C34" w:rsidRPr="00B95A83" w:rsidRDefault="00B40ED1" w:rsidP="00B40ED1">
            <w:pPr>
              <w:jc w:val="center"/>
              <w:rPr>
                <w:b/>
                <w:bCs/>
                <w:color w:val="FFFFFF" w:themeColor="background1"/>
              </w:rPr>
            </w:pPr>
            <w:r w:rsidRPr="00B95A83">
              <w:rPr>
                <w:b/>
                <w:bCs/>
                <w:color w:val="FFFFFF" w:themeColor="background1"/>
              </w:rPr>
              <w:t>Ukupno zgradarstvo</w:t>
            </w:r>
          </w:p>
        </w:tc>
      </w:tr>
      <w:tr w:rsidR="00004C34" w14:paraId="013B8DD8" w14:textId="77777777" w:rsidTr="00A43A00">
        <w:tc>
          <w:tcPr>
            <w:tcW w:w="1858" w:type="dxa"/>
          </w:tcPr>
          <w:p w14:paraId="308774D5" w14:textId="7627A9B9" w:rsidR="00004C34" w:rsidRDefault="00004C34" w:rsidP="00140C2C">
            <w:r w:rsidRPr="00004C34">
              <w:t>Potrošnja energije (kWh)</w:t>
            </w:r>
          </w:p>
        </w:tc>
        <w:tc>
          <w:tcPr>
            <w:tcW w:w="1859" w:type="dxa"/>
            <w:vAlign w:val="center"/>
          </w:tcPr>
          <w:p w14:paraId="5799D62F" w14:textId="6064DBDF" w:rsidR="00004C34" w:rsidRDefault="00004C34" w:rsidP="00A43A00">
            <w:pPr>
              <w:jc w:val="center"/>
            </w:pPr>
            <w:r>
              <w:t>18.443.978,07</w:t>
            </w:r>
          </w:p>
        </w:tc>
        <w:tc>
          <w:tcPr>
            <w:tcW w:w="1859" w:type="dxa"/>
            <w:vAlign w:val="center"/>
          </w:tcPr>
          <w:p w14:paraId="43BABBDD" w14:textId="15FBCB59" w:rsidR="00004C34" w:rsidRDefault="00004C34" w:rsidP="00A43A00">
            <w:pPr>
              <w:jc w:val="center"/>
            </w:pPr>
            <w:r>
              <w:t>17.718.906,82</w:t>
            </w:r>
          </w:p>
        </w:tc>
        <w:tc>
          <w:tcPr>
            <w:tcW w:w="1859" w:type="dxa"/>
            <w:vAlign w:val="center"/>
          </w:tcPr>
          <w:p w14:paraId="6DC5F19D" w14:textId="1871427A" w:rsidR="00004C34" w:rsidRDefault="00B40ED1" w:rsidP="00A43A00">
            <w:pPr>
              <w:jc w:val="center"/>
            </w:pPr>
            <w:r>
              <w:t>364.477,70</w:t>
            </w:r>
          </w:p>
        </w:tc>
        <w:tc>
          <w:tcPr>
            <w:tcW w:w="1859" w:type="dxa"/>
            <w:vAlign w:val="center"/>
          </w:tcPr>
          <w:p w14:paraId="5DD2F631" w14:textId="06DE0C93" w:rsidR="00004C34" w:rsidRDefault="00B40ED1" w:rsidP="00A43A00">
            <w:pPr>
              <w:jc w:val="center"/>
            </w:pPr>
            <w:r>
              <w:t>36.527.362,59</w:t>
            </w:r>
          </w:p>
        </w:tc>
      </w:tr>
    </w:tbl>
    <w:p w14:paraId="799B4AF1" w14:textId="0FB4ACF5" w:rsidR="00B95A83" w:rsidRPr="00B95A83" w:rsidRDefault="00B95A83" w:rsidP="00B95A83">
      <w:r>
        <w:rPr>
          <w:rFonts w:eastAsia="ArialNarrow" w:cstheme="minorHAnsi"/>
          <w:i/>
          <w:color w:val="ABABAB" w:themeColor="text1" w:themeTint="A6"/>
          <w:sz w:val="16"/>
          <w:szCs w:val="16"/>
        </w:rPr>
        <w:t xml:space="preserve">Izvor: </w:t>
      </w:r>
      <w:r w:rsidRPr="00B95A83">
        <w:rPr>
          <w:rFonts w:eastAsia="ArialNarrow" w:cstheme="minorHAnsi"/>
          <w:i/>
          <w:color w:val="ABABAB" w:themeColor="text1" w:themeTint="A6"/>
          <w:sz w:val="16"/>
          <w:szCs w:val="16"/>
        </w:rPr>
        <w:t>Akcijski plan energetske učinkovitosti Krapinsko-zagorske županije za razdoblje 2020. -2022. (</w:t>
      </w:r>
      <w:hyperlink r:id="rId125" w:history="1">
        <w:r w:rsidRPr="00B95A83">
          <w:rPr>
            <w:rFonts w:eastAsia="ArialNarrow" w:cstheme="minorHAnsi"/>
            <w:i/>
            <w:color w:val="ABABAB" w:themeColor="text1" w:themeTint="A6"/>
            <w:sz w:val="16"/>
            <w:szCs w:val="16"/>
          </w:rPr>
          <w:t>http://kzz.hr/sadrzaj/dokumenti/programi-planovi-enu/KZZ_Akcijski_plan_EnU_2020_2022.pdf</w:t>
        </w:r>
      </w:hyperlink>
      <w:r w:rsidRPr="00B95A83">
        <w:rPr>
          <w:rFonts w:eastAsia="ArialNarrow" w:cstheme="minorHAnsi"/>
          <w:i/>
          <w:color w:val="ABABAB" w:themeColor="text1" w:themeTint="A6"/>
          <w:sz w:val="16"/>
          <w:szCs w:val="16"/>
        </w:rPr>
        <w:t>)</w:t>
      </w:r>
      <w:r w:rsidRPr="00B95A83">
        <w:t xml:space="preserve"> </w:t>
      </w:r>
    </w:p>
    <w:p w14:paraId="6BB91DA9" w14:textId="77777777" w:rsidR="00140C2C" w:rsidRPr="00140C2C" w:rsidRDefault="00140C2C" w:rsidP="00140C2C"/>
    <w:p w14:paraId="4E007CD5" w14:textId="3E57FDE5" w:rsidR="00140C2C" w:rsidRDefault="003A1751" w:rsidP="00EB3667">
      <w:r w:rsidRPr="003A1751">
        <w:t>Iz prikazane analize energetske potrošnje za razdoblje 2016. -2018. godina vidljivo je da je najveći potrošač energije podsektor zdravstvenih ustanova sa neposrednom prosječnom godišnjom potrošnjom od 18.443.978,07 kWh što čini udio od 50,49% u ukupnoj potrošnji, zatim ga slijedi podsektor školskih ustanova sa 17.718.906,82 kWh (48,51%) te naposljetku podsektor ostalih javnih ustanova sa 364.447,70 kWh (1,00%). Gledajući udio pojedinih energenata, prirodni plin ima daleko najveći udio u neposrednoj potrošnji energije u sektoru zgradarstva Krapinsko-zagorske županije, što je i očekivano uzevši u obzir visoku razinu plinofikacije na području Županije.</w:t>
      </w:r>
    </w:p>
    <w:p w14:paraId="2B8EDD78" w14:textId="5F628F34" w:rsidR="00EE4351" w:rsidRDefault="00EE4351" w:rsidP="00EE4351">
      <w:r w:rsidRPr="00EE4351">
        <w:t xml:space="preserve">Prema Godišnjem planu energetske učinkovitosti Krapinsko-zagorske županije izračun ušteda u 2019. godini temelji se na analizi mjera energetske učinkovitosti definiranih u Godišnjem planu. Očekivani okvirni cilj ušteda energije u neposrednoj potrošnji energije Krapinsko-zagorske županije za 2019. godinu iznosio je 2.272.171,88 kWh. Ukupno ostvarene energetske uštede na području Krapinsko-zagorske županije u 2019. godini uslijed provedbe svih mjera iznose 1.289.676,19 kWh. Do ove razlike došlo je uslijed ne završetka radova cjelovite obnove na dva osnovnoškolska objekta čiji radovi su bili u tijeku tijekom 2019.godine te su radovi dovršeni u 2020.godini. </w:t>
      </w:r>
    </w:p>
    <w:p w14:paraId="31A754E4" w14:textId="259F7EAD" w:rsidR="00E5237B" w:rsidRDefault="00E5237B" w:rsidP="00E5237B">
      <w:r w:rsidRPr="00EE4351">
        <w:t>Dugoročni ciljevi energetskih ušteda Akcijskog plana energetske učinkovitosti Krapinsko-zagorske županije za razdoblje od 2020. -2022. godine su: uštede u potrošnji energije u iznosu od 10.971.950,72 kWh,</w:t>
      </w:r>
      <w:r>
        <w:t xml:space="preserve"> i </w:t>
      </w:r>
      <w:r w:rsidRPr="00EE4351">
        <w:t>smanjenje emisija CO2 u iznosu od 3.925,16 tona</w:t>
      </w:r>
      <w:r>
        <w:t>.</w:t>
      </w:r>
    </w:p>
    <w:p w14:paraId="72CB7AC7" w14:textId="5F6FDE63" w:rsidR="00FC1D6D" w:rsidRPr="00DA1B16" w:rsidRDefault="00FC1D6D" w:rsidP="00E5237B">
      <w:r>
        <w:t xml:space="preserve">Procijenjene okvirne potrebe izgradnje i dogradnje </w:t>
      </w:r>
      <w:r w:rsidR="008A3106">
        <w:t xml:space="preserve">zgrada </w:t>
      </w:r>
      <w:r>
        <w:t>javne namjene su: 2 školske dvorane, 5 dogradnja postojećih škola (pedagoški standard), 2 regionalna centra izvrsnosti, 2 veće dogradnje specijalnih bolnica i 1 centar za hitnu medicinsku službu</w:t>
      </w:r>
      <w:r>
        <w:rPr>
          <w:rStyle w:val="Referencafusnote"/>
        </w:rPr>
        <w:footnoteReference w:id="89"/>
      </w:r>
      <w:r w:rsidR="008A3106">
        <w:t xml:space="preserve">. U skladu s postavljenim ciljevima do 2030. godine, u novoizgrađenim ili dograđenim zgradama javne namjene potrebno je postići minimalni udio OIE od 80%. U tu svrhu potrebno je predvidjeti ugradnju kotlovnica na biomasu ili primjenu geotermalnih dizalica topline, mehaničku ventilaciju s rekuperacijom te unutarnju rasvjetu s LED izvorima svjetlosti. Ukupni troškovi kapitalnih </w:t>
      </w:r>
      <w:r w:rsidR="00DA1B16">
        <w:t>investicija dogradnje i izgradnje novih zgrada do 2030. godine iznose oko 420 milijuna kn (s PDV-om). Investicija je procijenjena temeljem specifičnih troškova gradnje prema zahtjevima Tehničkog propisa za veliku rekonstrukciju uz pretpostavku specifičnog troška od oko 10.500 kn/m</w:t>
      </w:r>
      <w:r w:rsidR="00DA1B16" w:rsidRPr="00DA1B16">
        <w:rPr>
          <w:vertAlign w:val="superscript"/>
        </w:rPr>
        <w:t>2</w:t>
      </w:r>
      <w:r w:rsidR="00DA1B16">
        <w:t xml:space="preserve"> (s PDV-om) neto grijane površine (trošak uključuje gradnju, unutarnje opremanje te uređenje okoliša). </w:t>
      </w:r>
      <w:r w:rsidR="009A4112">
        <w:t xml:space="preserve">Prema Dugoročnom programu izgradnje i obnove fonda zgrada Krapinsko-zagorske županije ukupno za izgradnju, dogradnju, energetsku obnovu te opremanje zgrada potrebno </w:t>
      </w:r>
      <w:r w:rsidR="008C76B7">
        <w:t>je planirati oko 1,4 milijarde kn (s PDV-om) do 2050. godine. Navedeni iznos ne uključuje operativne troškove kao ni troškove investicijskog održavanja.</w:t>
      </w:r>
    </w:p>
    <w:p w14:paraId="2B05612C" w14:textId="464DF428" w:rsidR="007C07F4" w:rsidRDefault="007C07F4" w:rsidP="00EB3667">
      <w:r>
        <w:lastRenderedPageBreak/>
        <w:t xml:space="preserve">Glavni problemi kod prijave i provedbe projekata obnovljivih izvora energije i mjera energetske učinkovitosti jesu neriješeni imovinsko-pravni odnosi. Nužno je u narednom </w:t>
      </w:r>
      <w:r w:rsidR="00FA2412">
        <w:t>razdoblju provesti daljnje postupke legalizacije objekata i upisa vlasništva.</w:t>
      </w:r>
      <w:r w:rsidR="00DC2C59">
        <w:t xml:space="preserve"> Također u sljedećem razdoblju biti će potrebno pokrenuti sustavnu izgradnju, dogradnju i rekonstrukciju fonda zgrada primarno u svrhu dosezanja pedagoškog i nisko energetskog standarda gradnje.</w:t>
      </w:r>
      <w:r w:rsidR="00774D2A">
        <w:t xml:space="preserve"> Dugoročni je cilj Krapinsko-zagorske županije na području energetske učinkovitosti </w:t>
      </w:r>
      <w:r w:rsidR="00100F78">
        <w:t xml:space="preserve">provedba projekata izgradnje, energetske obnove, dogradnje i rekonstrukcije zgrada javne namjene prema GOEZ standardu. </w:t>
      </w:r>
      <w:r w:rsidR="001B4178">
        <w:t xml:space="preserve">Energetska obnova objekata javnih ustanova uz građevinske zahvate podrazumijeva i rekonstrukciju kotlovnica na biomasu ili primjenu geotermalnih dizalica topline, mehaničku ventilaciju s rekuperacijom te rekonstrukciju unutarnje rasvjete. </w:t>
      </w:r>
      <w:r w:rsidR="00100F78">
        <w:t>Procjena ukupnih ulaganja u razdoblje do 2050. godine za projekte dogradnje, izgradnje i energetske obnove, uključujući i trošak pripreme projekata i održavanja zgrada iznosi 1,5 milijardi kn.</w:t>
      </w:r>
      <w:r w:rsidR="00E16446">
        <w:t xml:space="preserve"> </w:t>
      </w:r>
      <w:r w:rsidR="00E16446" w:rsidRPr="00E16446">
        <w:t>U financijskom smislu, potrebna su značajna sredstva te su kao glavni izvor financiranja predviđeni strukturni fondovi, ali i novi inovativni oblici financiranja poput ugovora o energetskom učinku, javno-privatnog partnerstva i slično. Samo kombiniranjem privatnog kapitala i bespovratnih sredstava EU strukturnih i investicijskih fondova omogućit će se niži ukupni trošak financiranja odnosno razina naknade za javne naručitelje za usluge energetske obnove, ali i izgradnje, i dogradnje čime se Krapinsko-zagorskoj županiji, povrh postojećih, ne bi stvorili dodatni proračunski izdaci za provedbu kapitalnih projekata.</w:t>
      </w:r>
    </w:p>
    <w:p w14:paraId="120B58C8" w14:textId="77777777" w:rsidR="00032C27" w:rsidRDefault="00032C27" w:rsidP="00EB3667"/>
    <w:p w14:paraId="6295121E" w14:textId="2F94BE76" w:rsidR="008878A0" w:rsidRDefault="008878A0" w:rsidP="0052192B">
      <w:pPr>
        <w:pStyle w:val="Naslov2"/>
      </w:pPr>
      <w:bookmarkStart w:id="262" w:name="_Toc85181381"/>
      <w:r>
        <w:t>1</w:t>
      </w:r>
      <w:r w:rsidR="004840B8">
        <w:t>3</w:t>
      </w:r>
      <w:r>
        <w:t>.</w:t>
      </w:r>
      <w:r w:rsidR="004840B8">
        <w:t>7</w:t>
      </w:r>
      <w:r>
        <w:t xml:space="preserve">. </w:t>
      </w:r>
      <w:r w:rsidR="00EB3667">
        <w:t>Sigurnost stanovništva i i</w:t>
      </w:r>
      <w:r>
        <w:t>zloženost</w:t>
      </w:r>
      <w:r w:rsidR="00C14410">
        <w:t xml:space="preserve"> klimatskim promjenama i</w:t>
      </w:r>
      <w:r>
        <w:t xml:space="preserve"> prirodnim rizicima</w:t>
      </w:r>
      <w:bookmarkEnd w:id="262"/>
      <w:r w:rsidR="00C14410">
        <w:t xml:space="preserve"> </w:t>
      </w:r>
    </w:p>
    <w:p w14:paraId="4AEBE765" w14:textId="148BDFAA" w:rsidR="000D3F07" w:rsidRDefault="00A8588A" w:rsidP="0058254C">
      <w:r>
        <w:br/>
      </w:r>
      <w:bookmarkStart w:id="263" w:name="_Hlk39586175"/>
      <w:r w:rsidR="000D3F07">
        <w:t>Operativne snage sustava civilne zaštite su svi prikladni i raspoloživi resursi operativnih snaga koji su namijenjeni provođenju mjera civilne zaštite. Operativne snage vatrogastva, Hrvatske gorske službe spašavanja i Hrvatskog Crvenog križa su temeljne operativne snage u sustavu civilne zaštite koje posjeduju spremnost na žurno i kvalitetno operativno djelovanje u provođenju mjera i aktivnosti sustava civilne zaštite.</w:t>
      </w:r>
    </w:p>
    <w:bookmarkEnd w:id="263"/>
    <w:p w14:paraId="05113BE2" w14:textId="09EE2A2A" w:rsidR="00193EDF" w:rsidRDefault="00DB1EBD" w:rsidP="00193EDF">
      <w:r w:rsidRPr="00DB1EBD">
        <w:t xml:space="preserve">Posljedice klimatskih promjena osjećaju se u svim dijelovima svijeta. </w:t>
      </w:r>
      <w:r w:rsidR="0033508C">
        <w:t xml:space="preserve">Hrvatska se nalazi u osjetljivom području Europe, kao zona prijelaza između Centralne Europe i Sredozemlja, u kojem je trend porasta srednje godišnje temperature zraka prisutan na području cijele Hrvatske. </w:t>
      </w:r>
      <w:r w:rsidRPr="00DB1EBD">
        <w:t>U nekim regijama sve češće dolazi do ekstremnih vremenskih uvjeta i kiša, dok se u drugima javljaju sve intenzivniji toplinski valovi i suše.</w:t>
      </w:r>
      <w:r>
        <w:t xml:space="preserve"> </w:t>
      </w:r>
      <w:r w:rsidRPr="00DB1EBD">
        <w:t>Očekuje se da će u narednim desetljećima ti učinci biti još intenzivniji.</w:t>
      </w:r>
      <w:r>
        <w:rPr>
          <w:b/>
          <w:bCs/>
        </w:rPr>
        <w:t xml:space="preserve"> </w:t>
      </w:r>
      <w:r>
        <w:t xml:space="preserve">Krapinsko-zagorska županija bila je u više navrata izložena olujama. </w:t>
      </w:r>
      <w:r w:rsidR="00390A71" w:rsidRPr="00390A71">
        <w:t>U oluji Teodor, koja je zahvatila i K</w:t>
      </w:r>
      <w:r w:rsidR="00390A71">
        <w:t>rapinsko-zagorsku županiju</w:t>
      </w:r>
      <w:r w:rsidR="00390A71" w:rsidRPr="00390A71">
        <w:t>, evidentirano je 174 intervencija i to na području gradova i općina Bedekovčina, Budinščina, Đurmanec, Hrašćina, Hum na Sutli, Konjšćina, Krapina, Krapinske Toplice, Lobor, Mače, Marija Bistrica, Mihovljan, Oroslavje, Petrovsko, Radoboj, Sveti Križ Začretje, Zabok, Zlatar, Zlatar Bistrica. Od toga, najveći broj intervencija se odnosi na ispumpavanje vode iz stanova i podruma obiteljskih kuća, stambenih objekata, poslovnih objekata, trafostanice u Krapini, ustanova poput gradske knjižnice u Zlataru, zgrade Specijalne policije u Zlataru, štićena je zgrada Županijskog suda u Zlataru, evakuirana osnovna škola u Zlataru</w:t>
      </w:r>
      <w:r w:rsidR="00390A71">
        <w:t xml:space="preserve"> te je </w:t>
      </w:r>
      <w:r w:rsidR="00390A71" w:rsidRPr="00390A71">
        <w:t xml:space="preserve">sanirano krovište </w:t>
      </w:r>
      <w:r w:rsidR="00390A71">
        <w:t>OŠ</w:t>
      </w:r>
      <w:r w:rsidR="00390A71" w:rsidRPr="00390A71">
        <w:t>. Augusta Cesarca u Krapini. Spašavane su osobe iz prevrnutog autobusa u Đurmancu, evakuirane ugrožene osobe iz osobnih vozila opkoljenih vodom u Vučaku i Andraševcu</w:t>
      </w:r>
      <w:r w:rsidR="00390A71">
        <w:t>, te su s</w:t>
      </w:r>
      <w:r w:rsidR="00390A71" w:rsidRPr="00390A71">
        <w:t>anirana krovišta na obiteljskim kućama i gospodarskim zgradama. Izrađivani su zečji nasipi kako bi se čim više spriječio prodor vode i umanjila šteta na objektima i materijalnim dobrima. Na području 19 jedinica lokalne samouprave bile su intervencije i sudjelovala su 32 dobrovoljna vatrogasna društva</w:t>
      </w:r>
      <w:r w:rsidR="00390A71">
        <w:t xml:space="preserve"> </w:t>
      </w:r>
      <w:r w:rsidR="00390A71" w:rsidRPr="00390A71">
        <w:t>odnosno, oko 250 dobrovoljnih i 60 profesionalnih vatrogas</w:t>
      </w:r>
      <w:r w:rsidR="00390A71">
        <w:t>a</w:t>
      </w:r>
      <w:r w:rsidR="00390A71" w:rsidRPr="00390A71">
        <w:t>ca.</w:t>
      </w:r>
      <w:r w:rsidR="00390A71">
        <w:t xml:space="preserve"> </w:t>
      </w:r>
      <w:r w:rsidR="00193EDF" w:rsidRPr="00193EDF">
        <w:t>U srpnj</w:t>
      </w:r>
      <w:r>
        <w:t>u</w:t>
      </w:r>
      <w:r w:rsidR="00193EDF" w:rsidRPr="00193EDF">
        <w:t xml:space="preserve"> 2019. godine jako olujno nevrijeme </w:t>
      </w:r>
      <w:r w:rsidR="00390A71">
        <w:t xml:space="preserve">također je </w:t>
      </w:r>
      <w:r w:rsidR="00193EDF" w:rsidRPr="00193EDF">
        <w:t xml:space="preserve">pogodilo </w:t>
      </w:r>
      <w:r>
        <w:t xml:space="preserve">dijelove </w:t>
      </w:r>
      <w:r w:rsidR="00193EDF" w:rsidRPr="00193EDF">
        <w:t>područj</w:t>
      </w:r>
      <w:r>
        <w:t>a</w:t>
      </w:r>
      <w:r w:rsidR="00193EDF" w:rsidRPr="00193EDF">
        <w:t xml:space="preserve"> Krapinsko – zagorsk</w:t>
      </w:r>
      <w:r>
        <w:t>e</w:t>
      </w:r>
      <w:r w:rsidR="00193EDF" w:rsidRPr="00193EDF">
        <w:t xml:space="preserve"> županij</w:t>
      </w:r>
      <w:r>
        <w:t>e</w:t>
      </w:r>
      <w:r w:rsidR="00193EDF" w:rsidRPr="00193EDF">
        <w:t>.</w:t>
      </w:r>
      <w:r>
        <w:t xml:space="preserve"> </w:t>
      </w:r>
      <w:r w:rsidR="00193EDF" w:rsidRPr="00193EDF">
        <w:t xml:space="preserve">Prema izvješću Županijskog centra zbog jakog olujnog nevremena, zaprimljeno </w:t>
      </w:r>
      <w:r>
        <w:t xml:space="preserve">je </w:t>
      </w:r>
      <w:r w:rsidR="00193EDF" w:rsidRPr="00193EDF">
        <w:t>70-ak dojava o raskrivenim ku</w:t>
      </w:r>
      <w:r w:rsidR="00193EDF" w:rsidRPr="00193EDF">
        <w:rPr>
          <w:rFonts w:cs="Newslab"/>
        </w:rPr>
        <w:t>ć</w:t>
      </w:r>
      <w:r w:rsidR="00193EDF" w:rsidRPr="00193EDF">
        <w:t>ama kojima je vjetar odnio krov te srušenim električnim stupovima i stablima. Najviše dojava zaprimljeno je s područja Pregrade, Desinića, Petrovskog, Đurmanca, Krapinskih Toplica, Škarićeva, Sv. Križa Začretja, Zagorskih Sela i Huma na Sutli.</w:t>
      </w:r>
      <w:r>
        <w:t xml:space="preserve"> Također</w:t>
      </w:r>
      <w:r w:rsidRPr="00DB1EBD">
        <w:t xml:space="preserve"> posljedice oluje Teodor iz 2013. godine i posljedice oluje Rea iz 2019. godine i danas su vidljive na području Parka</w:t>
      </w:r>
      <w:r w:rsidR="004D5DA9">
        <w:t xml:space="preserve"> prirode</w:t>
      </w:r>
      <w:r w:rsidRPr="00DB1EBD">
        <w:t xml:space="preserve"> Medvednic</w:t>
      </w:r>
      <w:r w:rsidR="004D5DA9">
        <w:t>a</w:t>
      </w:r>
      <w:r w:rsidRPr="00DB1EBD">
        <w:t>.</w:t>
      </w:r>
    </w:p>
    <w:p w14:paraId="57ADDAB8" w14:textId="7B30D291" w:rsidR="004D5DA9" w:rsidRDefault="007B1F86" w:rsidP="00193EDF">
      <w:r w:rsidRPr="007B1F86">
        <w:t>Poznato je kako je područje Krapinsko-zagorske županije poznato vinogradarsko područje. Promjena temperature uslijed klimatskih promjena utjecat će različito na razvojne faze vinove loze u pojedinim vinorodnim područjima diljem Hrvatske (tj. njihove fenološke karakteristike) te različito na različite sorte. Istovremeno povećanje temperature mijenja raspodjelu konvektivne aktivnosti (oluje) time i pojavu tuče koje su procijenjene kao drugi najveći uzrok materijalnih šteta u Hrvatskoj. Ujedno je uočen i trend povećanja prosječnog trajanja padanja tuče na temelju postojećih mjerenja dobivenih u kopnenom dijelu Hrvatske. Pojava tuče procijenjena je kao drugi najveći uzrok materijalnih šteta u Hrvatskoj. Na području Krapinsko-zagorske županije u posljednjih par godina evidentirano je sve više šteta na voćnjacima i vinogradima kao posljedice tuče.</w:t>
      </w:r>
      <w:r>
        <w:t xml:space="preserve"> </w:t>
      </w:r>
    </w:p>
    <w:p w14:paraId="223FB794" w14:textId="32B51402" w:rsidR="001C28C7" w:rsidRDefault="001C28C7" w:rsidP="001C28C7">
      <w:r>
        <w:t xml:space="preserve">Dokument ''Procjena rizika od velikih nesreća za područje Krapinsko-zagorske županije'' </w:t>
      </w:r>
      <w:bookmarkStart w:id="264" w:name="_Hlk39586212"/>
      <w:r>
        <w:t xml:space="preserve">uz prijetnje uzrokovane degradacijom tla navodi da su potres, poplave te epidemije i pandemije prijetnje od kojih postoji veliki rizik za prostor Županije, gradova i općina. </w:t>
      </w:r>
      <w:bookmarkEnd w:id="264"/>
    </w:p>
    <w:p w14:paraId="67CD6CF6" w14:textId="77777777" w:rsidR="00197EA4" w:rsidRDefault="00197EA4" w:rsidP="001C28C7"/>
    <w:p w14:paraId="09488552" w14:textId="0CC39C00" w:rsidR="00A8588A" w:rsidRPr="001B20A5" w:rsidRDefault="00A8588A" w:rsidP="004B5533">
      <w:pPr>
        <w:pStyle w:val="Naslov3"/>
        <w:rPr>
          <w:color w:val="9D1A1F" w:themeColor="accent4"/>
        </w:rPr>
      </w:pPr>
      <w:bookmarkStart w:id="265" w:name="_Toc85181382"/>
      <w:r w:rsidRPr="001B20A5">
        <w:rPr>
          <w:color w:val="9D1A1F" w:themeColor="accent4"/>
        </w:rPr>
        <w:lastRenderedPageBreak/>
        <w:t>1</w:t>
      </w:r>
      <w:r w:rsidR="003952BC">
        <w:rPr>
          <w:color w:val="9D1A1F" w:themeColor="accent4"/>
        </w:rPr>
        <w:t>3</w:t>
      </w:r>
      <w:r w:rsidRPr="001B20A5">
        <w:rPr>
          <w:color w:val="9D1A1F" w:themeColor="accent4"/>
        </w:rPr>
        <w:t>.</w:t>
      </w:r>
      <w:r w:rsidR="003952BC">
        <w:rPr>
          <w:color w:val="9D1A1F" w:themeColor="accent4"/>
        </w:rPr>
        <w:t>7</w:t>
      </w:r>
      <w:r w:rsidRPr="001B20A5">
        <w:rPr>
          <w:color w:val="9D1A1F" w:themeColor="accent4"/>
        </w:rPr>
        <w:t>.1. Klizišta</w:t>
      </w:r>
      <w:bookmarkEnd w:id="265"/>
    </w:p>
    <w:p w14:paraId="7FA46915" w14:textId="0B0B4532" w:rsidR="00E745AE" w:rsidRDefault="00C725C9" w:rsidP="00941871">
      <w:r>
        <w:br/>
      </w:r>
      <w:r w:rsidR="008878A0">
        <w:t xml:space="preserve">Pregledom podataka dostavljenih od strane jedinica lokalne samouprave, u travnju 2018. godine bilo je aktivno 308 klizišta, od čega je 38 bilo novootvorenih. </w:t>
      </w:r>
      <w:r w:rsidR="00476A26">
        <w:t>Najviše klizišta</w:t>
      </w:r>
      <w:r w:rsidR="004011C4">
        <w:t xml:space="preserve">, njih 199 </w:t>
      </w:r>
      <w:r w:rsidR="00476A26">
        <w:t xml:space="preserve">nalazi se uz nerazvrstane ceste, 68 klizišta </w:t>
      </w:r>
      <w:r w:rsidR="004011C4">
        <w:t xml:space="preserve">nalazi se uz stambene objekte, dok se najmanje, 29 klizišta, nalazi uz </w:t>
      </w:r>
      <w:r w:rsidR="00476A26">
        <w:t>gospodarske objekte</w:t>
      </w:r>
      <w:r w:rsidR="004011C4">
        <w:t>.</w:t>
      </w:r>
      <w:r w:rsidR="00476A26">
        <w:t xml:space="preserve"> </w:t>
      </w:r>
      <w:r w:rsidR="008878A0">
        <w:t>Jedinice lokalne samouprave s najvećim brojem klizišta prikazane su u tablici u nastavku. Prema podacima Županijske uprave za ceste Krapinsko-zagorske županije, na županijskim i lokalnim cestama aktivno je 40</w:t>
      </w:r>
      <w:r w:rsidR="008878A0">
        <w:rPr>
          <w:rFonts w:ascii="Calibri" w:hAnsi="Calibri" w:cs="Calibri"/>
        </w:rPr>
        <w:t> </w:t>
      </w:r>
      <w:r w:rsidR="008878A0">
        <w:t>klizi</w:t>
      </w:r>
      <w:r w:rsidR="008878A0">
        <w:rPr>
          <w:rFonts w:cs="Newslab"/>
        </w:rPr>
        <w:t>š</w:t>
      </w:r>
      <w:r w:rsidR="008878A0">
        <w:t>ta u 20 jedinica lokalne samouprave.</w:t>
      </w:r>
    </w:p>
    <w:p w14:paraId="4A6A3AC6" w14:textId="77777777" w:rsidR="004011C4" w:rsidRDefault="004011C4" w:rsidP="00941871"/>
    <w:p w14:paraId="3008AFCB" w14:textId="658BCB5D" w:rsidR="00E745AE" w:rsidRDefault="00E745AE" w:rsidP="003E3F3C">
      <w:pPr>
        <w:pStyle w:val="Opisslike"/>
      </w:pPr>
      <w:bookmarkStart w:id="266" w:name="_Hlk27573453"/>
      <w:r>
        <w:t>Tablica</w:t>
      </w:r>
      <w:r w:rsidR="00840136">
        <w:t xml:space="preserve"> 1</w:t>
      </w:r>
      <w:r w:rsidR="00741E4F">
        <w:t>95</w:t>
      </w:r>
      <w:r>
        <w:t xml:space="preserve">. </w:t>
      </w:r>
      <w:r w:rsidRPr="00FB0594">
        <w:t>Jedinice lokalne samouprave s najvećim brojem klizišta, travanj 2018.</w:t>
      </w:r>
    </w:p>
    <w:tbl>
      <w:tblPr>
        <w:tblW w:w="0" w:type="auto"/>
        <w:jc w:val="center"/>
        <w:tblBorders>
          <w:left w:val="single" w:sz="8" w:space="0" w:color="D2232A"/>
          <w:right w:val="single" w:sz="8" w:space="0" w:color="D2232A"/>
          <w:insideH w:val="single" w:sz="8" w:space="0" w:color="F3CFC1"/>
        </w:tblBorders>
        <w:tblLook w:val="04A0" w:firstRow="1" w:lastRow="0" w:firstColumn="1" w:lastColumn="0" w:noHBand="0" w:noVBand="1"/>
      </w:tblPr>
      <w:tblGrid>
        <w:gridCol w:w="2313"/>
        <w:gridCol w:w="1050"/>
      </w:tblGrid>
      <w:tr w:rsidR="00D452D4" w14:paraId="51AE9EB7" w14:textId="77777777" w:rsidTr="00E745AE">
        <w:trPr>
          <w:trHeight w:val="292"/>
          <w:tblHeader/>
          <w:jc w:val="center"/>
        </w:trPr>
        <w:tc>
          <w:tcPr>
            <w:tcW w:w="0" w:type="auto"/>
            <w:shd w:val="clear" w:color="auto" w:fill="D2232A" w:themeFill="accent1"/>
            <w:noWrap/>
            <w:vAlign w:val="center"/>
            <w:hideMark/>
          </w:tcPr>
          <w:p w14:paraId="0205CD08" w14:textId="77777777" w:rsidR="00D452D4" w:rsidRPr="00D452D4" w:rsidRDefault="00D452D4" w:rsidP="00E745AE">
            <w:pPr>
              <w:spacing w:after="0"/>
              <w:rPr>
                <w:color w:val="FFFFFF" w:themeColor="background1"/>
              </w:rPr>
            </w:pPr>
            <w:r w:rsidRPr="00D452D4">
              <w:rPr>
                <w:color w:val="FFFFFF" w:themeColor="background1"/>
              </w:rPr>
              <w:t>Jedinica lokalne samouprave</w:t>
            </w:r>
          </w:p>
        </w:tc>
        <w:tc>
          <w:tcPr>
            <w:tcW w:w="0" w:type="auto"/>
            <w:shd w:val="clear" w:color="auto" w:fill="D2232A" w:themeFill="accent1"/>
            <w:noWrap/>
            <w:vAlign w:val="center"/>
            <w:hideMark/>
          </w:tcPr>
          <w:p w14:paraId="3397629B" w14:textId="77777777" w:rsidR="00D452D4" w:rsidRPr="00D452D4" w:rsidRDefault="00D452D4" w:rsidP="00E745AE">
            <w:pPr>
              <w:spacing w:after="0"/>
              <w:rPr>
                <w:color w:val="FFFFFF" w:themeColor="background1"/>
              </w:rPr>
            </w:pPr>
            <w:r w:rsidRPr="00D452D4">
              <w:rPr>
                <w:color w:val="FFFFFF" w:themeColor="background1"/>
              </w:rPr>
              <w:t>Broj klizišta</w:t>
            </w:r>
          </w:p>
        </w:tc>
      </w:tr>
      <w:tr w:rsidR="00D452D4" w14:paraId="4EFEC501" w14:textId="77777777" w:rsidTr="00E745AE">
        <w:trPr>
          <w:trHeight w:val="292"/>
          <w:jc w:val="center"/>
        </w:trPr>
        <w:tc>
          <w:tcPr>
            <w:tcW w:w="0" w:type="auto"/>
            <w:noWrap/>
            <w:vAlign w:val="center"/>
            <w:hideMark/>
          </w:tcPr>
          <w:p w14:paraId="330BAB1F" w14:textId="77777777" w:rsidR="00D452D4" w:rsidRDefault="00D452D4" w:rsidP="00E745AE">
            <w:pPr>
              <w:spacing w:after="0"/>
              <w:rPr>
                <w:b/>
                <w:bCs/>
              </w:rPr>
            </w:pPr>
            <w:r>
              <w:rPr>
                <w:b/>
                <w:bCs/>
              </w:rPr>
              <w:t>Pregrada</w:t>
            </w:r>
          </w:p>
        </w:tc>
        <w:tc>
          <w:tcPr>
            <w:tcW w:w="0" w:type="auto"/>
            <w:noWrap/>
            <w:vAlign w:val="center"/>
            <w:hideMark/>
          </w:tcPr>
          <w:p w14:paraId="61B09987" w14:textId="77777777" w:rsidR="00D452D4" w:rsidRDefault="00D452D4" w:rsidP="00E745AE">
            <w:pPr>
              <w:spacing w:after="0"/>
            </w:pPr>
            <w:r>
              <w:t>35</w:t>
            </w:r>
          </w:p>
        </w:tc>
      </w:tr>
      <w:tr w:rsidR="00D452D4" w14:paraId="1D0E866B" w14:textId="77777777" w:rsidTr="00E745AE">
        <w:trPr>
          <w:trHeight w:val="292"/>
          <w:jc w:val="center"/>
        </w:trPr>
        <w:tc>
          <w:tcPr>
            <w:tcW w:w="0" w:type="auto"/>
            <w:noWrap/>
            <w:vAlign w:val="center"/>
            <w:hideMark/>
          </w:tcPr>
          <w:p w14:paraId="1ED8A5F6" w14:textId="77777777" w:rsidR="00D452D4" w:rsidRDefault="00D452D4" w:rsidP="00E745AE">
            <w:pPr>
              <w:spacing w:after="0"/>
              <w:rPr>
                <w:b/>
                <w:bCs/>
              </w:rPr>
            </w:pPr>
            <w:r>
              <w:rPr>
                <w:b/>
                <w:bCs/>
              </w:rPr>
              <w:t>Marija Bistrica</w:t>
            </w:r>
          </w:p>
        </w:tc>
        <w:tc>
          <w:tcPr>
            <w:tcW w:w="0" w:type="auto"/>
            <w:noWrap/>
            <w:vAlign w:val="center"/>
            <w:hideMark/>
          </w:tcPr>
          <w:p w14:paraId="786385BC" w14:textId="77777777" w:rsidR="00D452D4" w:rsidRDefault="00D452D4" w:rsidP="00E745AE">
            <w:pPr>
              <w:spacing w:after="0"/>
            </w:pPr>
            <w:r>
              <w:t>24</w:t>
            </w:r>
          </w:p>
        </w:tc>
      </w:tr>
      <w:tr w:rsidR="00D452D4" w14:paraId="0F07CB04" w14:textId="77777777" w:rsidTr="00E745AE">
        <w:trPr>
          <w:trHeight w:val="292"/>
          <w:jc w:val="center"/>
        </w:trPr>
        <w:tc>
          <w:tcPr>
            <w:tcW w:w="0" w:type="auto"/>
            <w:noWrap/>
            <w:vAlign w:val="center"/>
            <w:hideMark/>
          </w:tcPr>
          <w:p w14:paraId="514779EE" w14:textId="77777777" w:rsidR="00D452D4" w:rsidRDefault="00D452D4" w:rsidP="00E745AE">
            <w:pPr>
              <w:spacing w:after="0"/>
              <w:rPr>
                <w:b/>
                <w:bCs/>
              </w:rPr>
            </w:pPr>
            <w:r>
              <w:rPr>
                <w:b/>
                <w:bCs/>
              </w:rPr>
              <w:t>Krapinske Toplice</w:t>
            </w:r>
          </w:p>
        </w:tc>
        <w:tc>
          <w:tcPr>
            <w:tcW w:w="0" w:type="auto"/>
            <w:noWrap/>
            <w:vAlign w:val="center"/>
            <w:hideMark/>
          </w:tcPr>
          <w:p w14:paraId="3E1D8F1B" w14:textId="77777777" w:rsidR="00D452D4" w:rsidRDefault="00D452D4" w:rsidP="00E745AE">
            <w:pPr>
              <w:spacing w:after="0"/>
            </w:pPr>
            <w:r>
              <w:t>21</w:t>
            </w:r>
          </w:p>
        </w:tc>
      </w:tr>
      <w:tr w:rsidR="00D452D4" w14:paraId="432721F0" w14:textId="77777777" w:rsidTr="00E745AE">
        <w:trPr>
          <w:trHeight w:val="292"/>
          <w:jc w:val="center"/>
        </w:trPr>
        <w:tc>
          <w:tcPr>
            <w:tcW w:w="0" w:type="auto"/>
            <w:noWrap/>
            <w:vAlign w:val="center"/>
            <w:hideMark/>
          </w:tcPr>
          <w:p w14:paraId="39040184" w14:textId="77777777" w:rsidR="00D452D4" w:rsidRDefault="00D452D4" w:rsidP="00E745AE">
            <w:pPr>
              <w:spacing w:after="0"/>
              <w:rPr>
                <w:b/>
                <w:bCs/>
              </w:rPr>
            </w:pPr>
            <w:r>
              <w:rPr>
                <w:b/>
                <w:bCs/>
              </w:rPr>
              <w:t>Zagorska Sela</w:t>
            </w:r>
          </w:p>
        </w:tc>
        <w:tc>
          <w:tcPr>
            <w:tcW w:w="0" w:type="auto"/>
            <w:noWrap/>
            <w:vAlign w:val="center"/>
            <w:hideMark/>
          </w:tcPr>
          <w:p w14:paraId="69BAED1B" w14:textId="77777777" w:rsidR="00D452D4" w:rsidRDefault="00D452D4" w:rsidP="00E745AE">
            <w:pPr>
              <w:spacing w:after="0"/>
            </w:pPr>
            <w:r>
              <w:t>18</w:t>
            </w:r>
          </w:p>
        </w:tc>
      </w:tr>
      <w:tr w:rsidR="00D452D4" w14:paraId="591B7458" w14:textId="77777777" w:rsidTr="00E745AE">
        <w:trPr>
          <w:trHeight w:val="292"/>
          <w:jc w:val="center"/>
        </w:trPr>
        <w:tc>
          <w:tcPr>
            <w:tcW w:w="0" w:type="auto"/>
            <w:noWrap/>
            <w:vAlign w:val="center"/>
            <w:hideMark/>
          </w:tcPr>
          <w:p w14:paraId="4F4DDB10" w14:textId="77777777" w:rsidR="00D452D4" w:rsidRDefault="00D452D4" w:rsidP="00E745AE">
            <w:pPr>
              <w:spacing w:after="0"/>
              <w:rPr>
                <w:b/>
                <w:bCs/>
              </w:rPr>
            </w:pPr>
            <w:r>
              <w:rPr>
                <w:b/>
                <w:bCs/>
              </w:rPr>
              <w:t>Donja Stubica</w:t>
            </w:r>
          </w:p>
        </w:tc>
        <w:tc>
          <w:tcPr>
            <w:tcW w:w="0" w:type="auto"/>
            <w:noWrap/>
            <w:vAlign w:val="center"/>
            <w:hideMark/>
          </w:tcPr>
          <w:p w14:paraId="78D9DDB5" w14:textId="77777777" w:rsidR="00D452D4" w:rsidRDefault="00D452D4" w:rsidP="00E745AE">
            <w:pPr>
              <w:spacing w:after="0"/>
            </w:pPr>
            <w:r>
              <w:t>17</w:t>
            </w:r>
          </w:p>
        </w:tc>
      </w:tr>
      <w:tr w:rsidR="00D452D4" w14:paraId="5F3AB918" w14:textId="77777777" w:rsidTr="00E745AE">
        <w:trPr>
          <w:trHeight w:val="292"/>
          <w:jc w:val="center"/>
        </w:trPr>
        <w:tc>
          <w:tcPr>
            <w:tcW w:w="0" w:type="auto"/>
            <w:noWrap/>
            <w:vAlign w:val="center"/>
            <w:hideMark/>
          </w:tcPr>
          <w:p w14:paraId="0D4B3D19" w14:textId="77777777" w:rsidR="00D452D4" w:rsidRDefault="00D452D4" w:rsidP="00E745AE">
            <w:pPr>
              <w:spacing w:after="0"/>
              <w:rPr>
                <w:b/>
                <w:bCs/>
              </w:rPr>
            </w:pPr>
            <w:r>
              <w:rPr>
                <w:b/>
                <w:bCs/>
              </w:rPr>
              <w:t>Bedekovčina</w:t>
            </w:r>
          </w:p>
        </w:tc>
        <w:tc>
          <w:tcPr>
            <w:tcW w:w="0" w:type="auto"/>
            <w:noWrap/>
            <w:vAlign w:val="center"/>
            <w:hideMark/>
          </w:tcPr>
          <w:p w14:paraId="1A73957E" w14:textId="77777777" w:rsidR="00D452D4" w:rsidRDefault="00D452D4" w:rsidP="00E745AE">
            <w:pPr>
              <w:spacing w:after="0"/>
            </w:pPr>
            <w:r>
              <w:t>16</w:t>
            </w:r>
          </w:p>
        </w:tc>
      </w:tr>
      <w:tr w:rsidR="00D452D4" w14:paraId="44C8B2A1" w14:textId="77777777" w:rsidTr="00E745AE">
        <w:trPr>
          <w:trHeight w:val="292"/>
          <w:jc w:val="center"/>
        </w:trPr>
        <w:tc>
          <w:tcPr>
            <w:tcW w:w="0" w:type="auto"/>
            <w:noWrap/>
            <w:vAlign w:val="center"/>
            <w:hideMark/>
          </w:tcPr>
          <w:p w14:paraId="6ADBC201" w14:textId="77777777" w:rsidR="00D452D4" w:rsidRDefault="00D452D4" w:rsidP="00E745AE">
            <w:pPr>
              <w:spacing w:after="0"/>
              <w:rPr>
                <w:b/>
                <w:bCs/>
              </w:rPr>
            </w:pPr>
            <w:r>
              <w:rPr>
                <w:b/>
                <w:bCs/>
              </w:rPr>
              <w:t>Gornja Stubica</w:t>
            </w:r>
          </w:p>
        </w:tc>
        <w:tc>
          <w:tcPr>
            <w:tcW w:w="0" w:type="auto"/>
            <w:noWrap/>
            <w:vAlign w:val="center"/>
            <w:hideMark/>
          </w:tcPr>
          <w:p w14:paraId="0BAE9CF9" w14:textId="77777777" w:rsidR="00D452D4" w:rsidRDefault="00D452D4" w:rsidP="00E745AE">
            <w:pPr>
              <w:spacing w:after="0"/>
            </w:pPr>
            <w:r>
              <w:t>15</w:t>
            </w:r>
          </w:p>
        </w:tc>
      </w:tr>
      <w:tr w:rsidR="00D452D4" w14:paraId="2443AA92" w14:textId="77777777" w:rsidTr="00E745AE">
        <w:trPr>
          <w:trHeight w:val="292"/>
          <w:jc w:val="center"/>
        </w:trPr>
        <w:tc>
          <w:tcPr>
            <w:tcW w:w="0" w:type="auto"/>
            <w:noWrap/>
            <w:vAlign w:val="center"/>
            <w:hideMark/>
          </w:tcPr>
          <w:p w14:paraId="6279B0D7" w14:textId="77777777" w:rsidR="00D452D4" w:rsidRDefault="00D452D4" w:rsidP="00E745AE">
            <w:pPr>
              <w:spacing w:after="0"/>
              <w:rPr>
                <w:b/>
                <w:bCs/>
              </w:rPr>
            </w:pPr>
            <w:r>
              <w:rPr>
                <w:b/>
                <w:bCs/>
              </w:rPr>
              <w:t>Lobor</w:t>
            </w:r>
          </w:p>
        </w:tc>
        <w:tc>
          <w:tcPr>
            <w:tcW w:w="0" w:type="auto"/>
            <w:noWrap/>
            <w:vAlign w:val="center"/>
            <w:hideMark/>
          </w:tcPr>
          <w:p w14:paraId="71820696" w14:textId="77777777" w:rsidR="00D452D4" w:rsidRDefault="00D452D4" w:rsidP="00E745AE">
            <w:pPr>
              <w:spacing w:after="0"/>
            </w:pPr>
            <w:r>
              <w:t>14</w:t>
            </w:r>
          </w:p>
        </w:tc>
      </w:tr>
      <w:tr w:rsidR="00D452D4" w14:paraId="1C746C26" w14:textId="77777777" w:rsidTr="00E745AE">
        <w:trPr>
          <w:trHeight w:val="292"/>
          <w:jc w:val="center"/>
        </w:trPr>
        <w:tc>
          <w:tcPr>
            <w:tcW w:w="0" w:type="auto"/>
            <w:noWrap/>
            <w:vAlign w:val="center"/>
            <w:hideMark/>
          </w:tcPr>
          <w:p w14:paraId="52F3631A" w14:textId="77777777" w:rsidR="00D452D4" w:rsidRDefault="00D452D4" w:rsidP="00E745AE">
            <w:pPr>
              <w:spacing w:after="0"/>
              <w:rPr>
                <w:b/>
                <w:bCs/>
              </w:rPr>
            </w:pPr>
            <w:r>
              <w:rPr>
                <w:b/>
                <w:bCs/>
              </w:rPr>
              <w:t>Jesenje</w:t>
            </w:r>
          </w:p>
        </w:tc>
        <w:tc>
          <w:tcPr>
            <w:tcW w:w="0" w:type="auto"/>
            <w:noWrap/>
            <w:vAlign w:val="center"/>
            <w:hideMark/>
          </w:tcPr>
          <w:p w14:paraId="5E2DC1E6" w14:textId="77777777" w:rsidR="00D452D4" w:rsidRDefault="00D452D4" w:rsidP="00E745AE">
            <w:pPr>
              <w:spacing w:after="0"/>
            </w:pPr>
            <w:r>
              <w:t>14</w:t>
            </w:r>
          </w:p>
        </w:tc>
      </w:tr>
      <w:tr w:rsidR="00D452D4" w14:paraId="30FFE57E" w14:textId="77777777" w:rsidTr="00E745AE">
        <w:trPr>
          <w:trHeight w:val="292"/>
          <w:jc w:val="center"/>
        </w:trPr>
        <w:tc>
          <w:tcPr>
            <w:tcW w:w="0" w:type="auto"/>
            <w:noWrap/>
            <w:vAlign w:val="center"/>
            <w:hideMark/>
          </w:tcPr>
          <w:p w14:paraId="3965AE3E" w14:textId="77777777" w:rsidR="00D452D4" w:rsidRDefault="00D452D4" w:rsidP="00E745AE">
            <w:pPr>
              <w:spacing w:after="0"/>
              <w:rPr>
                <w:b/>
                <w:bCs/>
              </w:rPr>
            </w:pPr>
            <w:r>
              <w:rPr>
                <w:b/>
                <w:bCs/>
              </w:rPr>
              <w:t>Klanjec</w:t>
            </w:r>
          </w:p>
        </w:tc>
        <w:tc>
          <w:tcPr>
            <w:tcW w:w="0" w:type="auto"/>
            <w:noWrap/>
            <w:vAlign w:val="center"/>
            <w:hideMark/>
          </w:tcPr>
          <w:p w14:paraId="0CDA6275" w14:textId="77777777" w:rsidR="00D452D4" w:rsidRDefault="00D452D4" w:rsidP="00E745AE">
            <w:pPr>
              <w:spacing w:after="0"/>
            </w:pPr>
            <w:r>
              <w:t>14</w:t>
            </w:r>
          </w:p>
        </w:tc>
      </w:tr>
      <w:tr w:rsidR="00D452D4" w14:paraId="76EE5B79" w14:textId="77777777" w:rsidTr="0084585F">
        <w:trPr>
          <w:trHeight w:val="292"/>
          <w:jc w:val="center"/>
        </w:trPr>
        <w:tc>
          <w:tcPr>
            <w:tcW w:w="0" w:type="auto"/>
            <w:tcBorders>
              <w:bottom w:val="single" w:sz="4" w:space="0" w:color="D2232A" w:themeColor="accent1"/>
            </w:tcBorders>
            <w:noWrap/>
            <w:vAlign w:val="center"/>
            <w:hideMark/>
          </w:tcPr>
          <w:p w14:paraId="6413D515" w14:textId="77777777" w:rsidR="00D452D4" w:rsidRDefault="00D452D4" w:rsidP="00E745AE">
            <w:pPr>
              <w:spacing w:after="0"/>
              <w:rPr>
                <w:b/>
                <w:bCs/>
              </w:rPr>
            </w:pPr>
            <w:r>
              <w:rPr>
                <w:b/>
                <w:bCs/>
              </w:rPr>
              <w:t>Petrovsko</w:t>
            </w:r>
          </w:p>
        </w:tc>
        <w:tc>
          <w:tcPr>
            <w:tcW w:w="0" w:type="auto"/>
            <w:tcBorders>
              <w:bottom w:val="single" w:sz="4" w:space="0" w:color="D2232A" w:themeColor="accent1"/>
            </w:tcBorders>
            <w:noWrap/>
            <w:vAlign w:val="center"/>
            <w:hideMark/>
          </w:tcPr>
          <w:p w14:paraId="67E27D50" w14:textId="77777777" w:rsidR="00D452D4" w:rsidRDefault="00D452D4" w:rsidP="00E745AE">
            <w:pPr>
              <w:spacing w:after="0"/>
            </w:pPr>
            <w:r>
              <w:t>13</w:t>
            </w:r>
            <w:r>
              <w:br/>
            </w:r>
          </w:p>
        </w:tc>
      </w:tr>
    </w:tbl>
    <w:p w14:paraId="5458206E" w14:textId="2C56EE92" w:rsidR="008878A0" w:rsidRPr="00840136" w:rsidRDefault="008878A0" w:rsidP="003C2276">
      <w:pPr>
        <w:pStyle w:val="Izvor"/>
        <w:rPr>
          <w:i/>
          <w:color w:val="ABABAB" w:themeColor="text1" w:themeTint="A6"/>
          <w:sz w:val="16"/>
          <w:szCs w:val="16"/>
        </w:rPr>
      </w:pPr>
      <w:r w:rsidRPr="00840136">
        <w:rPr>
          <w:i/>
          <w:color w:val="ABABAB" w:themeColor="text1" w:themeTint="A6"/>
          <w:sz w:val="16"/>
          <w:szCs w:val="16"/>
        </w:rPr>
        <w:t>Izvor: Podaci jedinica lokalne samouprave, travanj 2018.</w:t>
      </w:r>
    </w:p>
    <w:bookmarkEnd w:id="266"/>
    <w:p w14:paraId="706C5CD7" w14:textId="77777777" w:rsidR="004011C4" w:rsidRDefault="004011C4" w:rsidP="00941871"/>
    <w:p w14:paraId="53E10BE7" w14:textId="112FC384" w:rsidR="008878A0" w:rsidRDefault="008878A0" w:rsidP="00941871">
      <w:r>
        <w:t xml:space="preserve">Do studenog 2019. godine završena je novelacija projektne dokumentacije za sanaciju klizišta Krapinske Toplice, Tuheljske Toplice, Donje Jesenje i Gornji Macelj, kao i projekt sanacije klizišta Velinci. Također, u fazi projektiranja nalaze se projekti sanacije klizišta u Bruši, Humu Stubičkom, Donjoj Selnici, Globočecu, Klenovcu Humskom te radovi na sanaciji klizišta u Vojnocu Loborskom. U tijeku su i radovi na sanaciji klizišta u Donjem Jesenju, Gornjem Maclju, Krapinskim Toplicama, Tuheljskim Toplicima te Kumrovcu. </w:t>
      </w:r>
    </w:p>
    <w:p w14:paraId="766006BE" w14:textId="0D842AAE" w:rsidR="000B6330" w:rsidRDefault="008878A0" w:rsidP="00E745AE">
      <w:r>
        <w:t xml:space="preserve">U srpnju 2019. godine </w:t>
      </w:r>
      <w:r w:rsidR="008A427D">
        <w:t>potpisan je ugovor</w:t>
      </w:r>
      <w:r>
        <w:t xml:space="preserve"> o sufinanciranju sanacije klizišta. Ukupno je potpisano 60 ugovora o sufinanciranju sanacije klizišta ukupne vrijednosti 54,9 milijuna kuna, od čega 32,4 milijuna kuna sufinanciraju Hrvatske vode. S područja Krapinsko – zagorske ugovore je potpisalo 14 općina i 3 grada</w:t>
      </w:r>
      <w:r w:rsidR="00BC2E0F">
        <w:t xml:space="preserve">. Za </w:t>
      </w:r>
      <w:r>
        <w:t>sanaciju šest klizišta na županijskim cestama</w:t>
      </w:r>
      <w:r w:rsidR="003F4E64">
        <w:t xml:space="preserve"> potpisan </w:t>
      </w:r>
      <w:r w:rsidR="00BC2E0F">
        <w:t xml:space="preserve">je </w:t>
      </w:r>
      <w:r w:rsidR="003F4E64">
        <w:t xml:space="preserve">ugovor </w:t>
      </w:r>
      <w:r>
        <w:t>u vrijednosti od</w:t>
      </w:r>
      <w:r w:rsidR="004011C4">
        <w:t xml:space="preserve"> </w:t>
      </w:r>
      <w:r w:rsidR="004011C4" w:rsidRPr="004011C4">
        <w:t>5.237.000,00 kuna</w:t>
      </w:r>
      <w:r w:rsidR="004011C4">
        <w:t>.</w:t>
      </w:r>
    </w:p>
    <w:p w14:paraId="22660072" w14:textId="77777777" w:rsidR="00CB57E4" w:rsidRDefault="00CB57E4" w:rsidP="00E745AE"/>
    <w:p w14:paraId="4CA869B8" w14:textId="3DA03C65" w:rsidR="0058254C" w:rsidRPr="00670C02" w:rsidRDefault="0058254C" w:rsidP="0058254C">
      <w:pPr>
        <w:pStyle w:val="Naslov3"/>
        <w:rPr>
          <w:color w:val="9D1A1F" w:themeColor="accent4"/>
        </w:rPr>
      </w:pPr>
      <w:bookmarkStart w:id="267" w:name="_Toc85181383"/>
      <w:r w:rsidRPr="00670C02">
        <w:rPr>
          <w:color w:val="9D1A1F" w:themeColor="accent4"/>
        </w:rPr>
        <w:t>1</w:t>
      </w:r>
      <w:r w:rsidR="003952BC">
        <w:rPr>
          <w:color w:val="9D1A1F" w:themeColor="accent4"/>
        </w:rPr>
        <w:t>3</w:t>
      </w:r>
      <w:r w:rsidRPr="00670C02">
        <w:rPr>
          <w:color w:val="9D1A1F" w:themeColor="accent4"/>
        </w:rPr>
        <w:t>.</w:t>
      </w:r>
      <w:r w:rsidR="003952BC">
        <w:rPr>
          <w:color w:val="9D1A1F" w:themeColor="accent4"/>
        </w:rPr>
        <w:t>7</w:t>
      </w:r>
      <w:r w:rsidRPr="00670C02">
        <w:rPr>
          <w:color w:val="9D1A1F" w:themeColor="accent4"/>
        </w:rPr>
        <w:t>.2. Potres</w:t>
      </w:r>
      <w:r w:rsidR="0090034F" w:rsidRPr="00670C02">
        <w:rPr>
          <w:color w:val="9D1A1F" w:themeColor="accent4"/>
        </w:rPr>
        <w:t>i</w:t>
      </w:r>
      <w:bookmarkEnd w:id="267"/>
    </w:p>
    <w:p w14:paraId="1211B94A" w14:textId="19407165" w:rsidR="001D1BD2" w:rsidRDefault="00266046" w:rsidP="001D1BD2">
      <w:r>
        <w:br/>
      </w:r>
      <w:r w:rsidR="001D1BD2">
        <w:t>Potres je iznenadna i kratkotrajna vibracija tla uzrokovana urušavanjem stijena (urušni potres)</w:t>
      </w:r>
      <w:r w:rsidR="00862A33">
        <w:t xml:space="preserve">, magmatskom aktivnošću ili tektonskim poremećajima u litosferi i dijelom u Zemljinu plaštu. </w:t>
      </w:r>
      <w:r w:rsidR="00D26A4A">
        <w:t>E</w:t>
      </w:r>
      <w:r w:rsidR="00862A33">
        <w:t>lementarna</w:t>
      </w:r>
      <w:r w:rsidR="00D26A4A">
        <w:t xml:space="preserve"> je</w:t>
      </w:r>
      <w:r w:rsidR="00862A33">
        <w:t xml:space="preserve"> nepogoda uzrokovana prirodnim događajem koji predstavlja jedan od najrazornijih uzroka stradavanja ljudi i uništenja materijalnih dobara</w:t>
      </w:r>
      <w:bookmarkStart w:id="268" w:name="_Hlk39586575"/>
      <w:r w:rsidR="00862A33">
        <w:t xml:space="preserve">. Katastrofe uzrokovane </w:t>
      </w:r>
      <w:r w:rsidR="00AC2784">
        <w:t>potresima karakterizira brz nastanak, a događaju se bez prethodnog upozorenja.</w:t>
      </w:r>
      <w:r w:rsidR="00415E03">
        <w:t xml:space="preserve"> </w:t>
      </w:r>
      <w:bookmarkEnd w:id="268"/>
      <w:r w:rsidR="00415E03">
        <w:t>Potrese nije moguće predvidjeti</w:t>
      </w:r>
      <w:r w:rsidR="00131B05">
        <w:t xml:space="preserve">, a postoji vjerojatnost da se dogode u bilo kojem trenutku. </w:t>
      </w:r>
      <w:r w:rsidR="00674079">
        <w:t xml:space="preserve">Posljedice pojave jakog potresa mogu obuhvatiti oštećenja ili rušenja svih vrsta postojećih građevina. </w:t>
      </w:r>
      <w:r w:rsidR="00131B05">
        <w:t xml:space="preserve">Pozornost je potrebno usmjeriti na stambene zgrade, vrijednu kulturno-spomeničku baštinu, objekte od posebne važnosti (primjerice bolnice) i industrijske objekte, te kritične točke prometne i komunalne infrastrukture. </w:t>
      </w:r>
      <w:r w:rsidR="00C83ECB">
        <w:t>Pojava potresa povezana je sa značajnom izravnom i neizravnom štetom na imovini, uz opasnost od ozljeda i mogućeg gubitka ljudskih života.</w:t>
      </w:r>
      <w:r w:rsidR="00170C3C">
        <w:t xml:space="preserve"> </w:t>
      </w:r>
      <w:bookmarkStart w:id="269" w:name="_Hlk39586557"/>
      <w:r w:rsidR="00170C3C">
        <w:t>Područje Krapinsko-zagorske županije smješteno je na području gdje je seizmička aktivnost jedna od najjačih u Hrvatskoj. Prilikom gradnje i planiranja objekata izrazito je važno voditi računa o mogućim potresima.</w:t>
      </w:r>
    </w:p>
    <w:p w14:paraId="75A6D469" w14:textId="06AC2F79" w:rsidR="00C8512B" w:rsidRDefault="00DB4E19" w:rsidP="001D1BD2">
      <w:r>
        <w:t xml:space="preserve">U 2020. godini </w:t>
      </w:r>
      <w:r w:rsidR="00A84005">
        <w:t xml:space="preserve">područje </w:t>
      </w:r>
      <w:r w:rsidR="00C8324D">
        <w:t>Krapinsko-zagorske županije</w:t>
      </w:r>
      <w:r w:rsidR="00A84005">
        <w:t xml:space="preserve"> </w:t>
      </w:r>
      <w:r w:rsidR="00C8324D">
        <w:t>po</w:t>
      </w:r>
      <w:r w:rsidR="00A14296">
        <w:t>godilo</w:t>
      </w:r>
      <w:r w:rsidR="00C8324D">
        <w:t xml:space="preserve"> je nekoliko potresa čiji je epicentar bio u blizini grada Zagreba. </w:t>
      </w:r>
      <w:r w:rsidR="004D327F">
        <w:t xml:space="preserve">Potres magnitude 5.5 po Richteru koji je pogodio zagrebačko područje 22. ožujka 2020. te naknadni potresi koji su uslijedili nakon njega, na području Krapinsko-zagorske županije </w:t>
      </w:r>
      <w:r w:rsidR="00C8324D">
        <w:t xml:space="preserve">najteže </w:t>
      </w:r>
      <w:r w:rsidR="004D327F">
        <w:t xml:space="preserve">su </w:t>
      </w:r>
      <w:r w:rsidR="00C8324D">
        <w:t>pogodili područje grada Donj</w:t>
      </w:r>
      <w:r w:rsidR="00C47B55">
        <w:t>a</w:t>
      </w:r>
      <w:r w:rsidR="00C8324D">
        <w:t xml:space="preserve"> Stubic</w:t>
      </w:r>
      <w:r w:rsidR="00C47B55">
        <w:t>a</w:t>
      </w:r>
      <w:r w:rsidR="00C8324D">
        <w:t xml:space="preserve"> </w:t>
      </w:r>
      <w:r w:rsidR="004D327F">
        <w:t>i</w:t>
      </w:r>
      <w:r w:rsidR="00C8324D">
        <w:t xml:space="preserve"> </w:t>
      </w:r>
      <w:r w:rsidR="00A44772">
        <w:t>općin</w:t>
      </w:r>
      <w:r w:rsidR="004D327F">
        <w:t>e</w:t>
      </w:r>
      <w:r w:rsidR="00A44772">
        <w:t xml:space="preserve"> Gornja Stubica</w:t>
      </w:r>
      <w:r w:rsidR="004D327F">
        <w:t>, gdje je više obitelji moralo napustiti svoje domove zbog nastalih oštećenja.</w:t>
      </w:r>
      <w:r w:rsidR="00012606">
        <w:t xml:space="preserve"> Potres je ostavio znatne posljedice</w:t>
      </w:r>
      <w:r w:rsidR="004D327F">
        <w:t xml:space="preserve"> i</w:t>
      </w:r>
      <w:r w:rsidR="00012606">
        <w:t xml:space="preserve"> na području općine</w:t>
      </w:r>
      <w:r w:rsidR="004D327F">
        <w:t xml:space="preserve"> Marija Bistrica</w:t>
      </w:r>
      <w:r w:rsidR="00012606">
        <w:t xml:space="preserve">, a ukupna procijenjena šteta od potresa premašila je iznos </w:t>
      </w:r>
      <w:r w:rsidR="00012606" w:rsidRPr="0047233F">
        <w:t xml:space="preserve">od </w:t>
      </w:r>
      <w:r w:rsidR="00012606" w:rsidRPr="00B92EB9">
        <w:t>73,5 milijuna kuna</w:t>
      </w:r>
      <w:r w:rsidR="00012606">
        <w:t xml:space="preserve">. Za ove jedinice lokalne samouprave </w:t>
      </w:r>
      <w:r w:rsidR="00C47B55">
        <w:t>župan Krapinsko-zagorske županije donio</w:t>
      </w:r>
      <w:r w:rsidR="00012606">
        <w:t xml:space="preserve"> je</w:t>
      </w:r>
      <w:r w:rsidR="00C47B55">
        <w:t xml:space="preserve"> Odluku o proglašenju prirodne nepogode</w:t>
      </w:r>
      <w:r w:rsidR="00012606">
        <w:t xml:space="preserve"> uslijed potresa budući da su</w:t>
      </w:r>
      <w:r w:rsidR="00C47B55">
        <w:t xml:space="preserve"> </w:t>
      </w:r>
      <w:r w:rsidR="00622C82">
        <w:lastRenderedPageBreak/>
        <w:t>nastale velike materijalne štete na stambenim, gospodarskim, sakralnim i kulturnim objektima</w:t>
      </w:r>
      <w:r w:rsidR="00012606">
        <w:t>. Nakon</w:t>
      </w:r>
      <w:r w:rsidR="003155F6">
        <w:t xml:space="preserve"> uzastopnih potresa krajem 2020. i početkom 2021. godine, Odluka o proglašenju prirodne nepogodne donesena je </w:t>
      </w:r>
      <w:r w:rsidR="0006713C">
        <w:t>i za općine Krapinske Toplice, Kumrovec, Tuhelj, Sveti Križ Začretje, Desinić, Bedekovčina, Marija Bistrica</w:t>
      </w:r>
      <w:r w:rsidR="00641E84">
        <w:t>,</w:t>
      </w:r>
      <w:r w:rsidR="00BD2844">
        <w:t xml:space="preserve"> Lobor,</w:t>
      </w:r>
      <w:r w:rsidR="0006713C">
        <w:t xml:space="preserve"> Mače</w:t>
      </w:r>
      <w:r w:rsidR="00641E84">
        <w:t xml:space="preserve"> te grad Klanjec</w:t>
      </w:r>
      <w:r w:rsidR="0006713C">
        <w:t>.</w:t>
      </w:r>
      <w:r w:rsidR="00741782">
        <w:t xml:space="preserve"> </w:t>
      </w:r>
      <w:r w:rsidR="002F5400">
        <w:t>Temelj</w:t>
      </w:r>
      <w:r w:rsidR="00FD78E2">
        <w:t>em</w:t>
      </w:r>
      <w:r w:rsidR="002F5400">
        <w:t xml:space="preserve"> Odluke o provedbi popisa štete na nepokretnim kulturnim dobrima prouzročene potresom u Gradu Zagrebu i okolici</w:t>
      </w:r>
      <w:r w:rsidR="003F599A">
        <w:t xml:space="preserve"> koju je u travnju donijelo Ministar</w:t>
      </w:r>
      <w:r w:rsidR="0047233F">
        <w:t>s</w:t>
      </w:r>
      <w:r w:rsidR="003F599A">
        <w:t>tvo kulture i medija</w:t>
      </w:r>
      <w:r w:rsidR="002F5400">
        <w:t xml:space="preserve">, </w:t>
      </w:r>
      <w:r w:rsidR="00604690">
        <w:t xml:space="preserve">obavljen je popis kulturnih dobara na kojima će se financirati hitne mjere zaštite. </w:t>
      </w:r>
    </w:p>
    <w:p w14:paraId="4215EB33" w14:textId="32CB2F80" w:rsidR="003F599A" w:rsidRPr="003F599A" w:rsidRDefault="0047233F" w:rsidP="001D1BD2">
      <w:r>
        <w:t xml:space="preserve">Na temelju Odluke o određivanju i provođenju hitnih mjera zaštite na kulturnim dobrima na potresu pogođenom području i njihovom financiranju, </w:t>
      </w:r>
      <w:r w:rsidR="00C8512B">
        <w:t xml:space="preserve">Ministarstvo kulture i medija financirat će i provesti hitne mjere zaštite na oštećenim kulturnim dobrima stradalim u katastrofalnom potresu 29. prosinca 2020. godine </w:t>
      </w:r>
      <w:r w:rsidR="00AB23CF">
        <w:t xml:space="preserve">s epicentrom u Petrinji, a </w:t>
      </w:r>
      <w:r w:rsidR="00C8512B">
        <w:t>koji je pogodio područje središnje i sjeverne Hrvatske</w:t>
      </w:r>
      <w:r w:rsidR="00065C58">
        <w:t>. P</w:t>
      </w:r>
      <w:r w:rsidR="00C8512B">
        <w:t>otres je pogodio</w:t>
      </w:r>
      <w:r w:rsidR="00065C58">
        <w:t xml:space="preserve"> područje</w:t>
      </w:r>
      <w:r w:rsidR="00C8512B">
        <w:t xml:space="preserve"> 9 županija</w:t>
      </w:r>
      <w:r w:rsidR="00065C58">
        <w:t>,</w:t>
      </w:r>
      <w:r w:rsidR="00C8512B">
        <w:t xml:space="preserve"> među kojima je i Krapinsko-zagorska županija</w:t>
      </w:r>
      <w:r>
        <w:t xml:space="preserve">. </w:t>
      </w:r>
      <w:r w:rsidR="00C8512B">
        <w:t>Hitne mjere zaštite prihvatljiv su trošak za Fond solidarnosti Europske unije te će Ministarstvo podnijeti zahtjev za njegovo namirenje.</w:t>
      </w:r>
      <w:r w:rsidR="003F599A">
        <w:t xml:space="preserve"> </w:t>
      </w:r>
      <w:r w:rsidR="00604690">
        <w:t xml:space="preserve">Popis za kulturna dobra na području Krapinsko-zagorske županije prikazan je u tablici </w:t>
      </w:r>
      <w:r w:rsidR="00BD2844">
        <w:t>u nastavku</w:t>
      </w:r>
      <w:r w:rsidR="00604690">
        <w:t>.</w:t>
      </w:r>
      <w:r w:rsidR="00363612">
        <w:t xml:space="preserve"> Prema prikazanim podacima, hitne mjere zaštite provest će se za 32 kulturna dobra u ukupnom iznosu od </w:t>
      </w:r>
      <w:r w:rsidR="00363612" w:rsidRPr="00363612">
        <w:rPr>
          <w:rFonts w:eastAsia="Times New Roman" w:cs="Calibri"/>
          <w:color w:val="3F3F3F"/>
          <w:szCs w:val="18"/>
          <w:lang w:eastAsia="hr-HR"/>
        </w:rPr>
        <w:t>5.603.750,00 kuna</w:t>
      </w:r>
      <w:r w:rsidR="00363612">
        <w:rPr>
          <w:rFonts w:eastAsia="Times New Roman" w:cs="Calibri"/>
          <w:color w:val="3F3F3F"/>
          <w:szCs w:val="18"/>
          <w:lang w:eastAsia="hr-HR"/>
        </w:rPr>
        <w:t>.</w:t>
      </w:r>
    </w:p>
    <w:p w14:paraId="213BB820" w14:textId="77777777" w:rsidR="003F599A" w:rsidRDefault="003F599A" w:rsidP="001D1BD2"/>
    <w:p w14:paraId="569BB540" w14:textId="2179AEFA" w:rsidR="00604690" w:rsidRDefault="00604690" w:rsidP="001D1BD2">
      <w:r>
        <w:t xml:space="preserve">Tablica </w:t>
      </w:r>
      <w:r w:rsidR="00BD2844">
        <w:t>1</w:t>
      </w:r>
      <w:r w:rsidR="00741E4F">
        <w:t>96</w:t>
      </w:r>
      <w:r>
        <w:t>. Popis kulturnih dobara na kojima će se financirati hitne mjere zaštite na području Krapinsko-zagorske županije</w:t>
      </w:r>
    </w:p>
    <w:tbl>
      <w:tblPr>
        <w:tblW w:w="9346" w:type="dxa"/>
        <w:tblLook w:val="04A0" w:firstRow="1" w:lastRow="0" w:firstColumn="1" w:lastColumn="0" w:noHBand="0" w:noVBand="1"/>
      </w:tblPr>
      <w:tblGrid>
        <w:gridCol w:w="544"/>
        <w:gridCol w:w="2423"/>
        <w:gridCol w:w="4072"/>
        <w:gridCol w:w="2307"/>
      </w:tblGrid>
      <w:tr w:rsidR="005514E8" w:rsidRPr="00E71D75" w14:paraId="1018B785" w14:textId="77777777" w:rsidTr="005514E8">
        <w:trPr>
          <w:trHeight w:val="300"/>
        </w:trPr>
        <w:tc>
          <w:tcPr>
            <w:tcW w:w="544" w:type="dxa"/>
            <w:tcBorders>
              <w:top w:val="nil"/>
              <w:left w:val="single" w:sz="8" w:space="0" w:color="D2232A"/>
              <w:bottom w:val="single" w:sz="8" w:space="0" w:color="F3CFC1"/>
              <w:right w:val="single" w:sz="4" w:space="0" w:color="FFFFFF" w:themeColor="background1"/>
            </w:tcBorders>
            <w:shd w:val="clear" w:color="000000" w:fill="D2232A"/>
            <w:noWrap/>
            <w:vAlign w:val="center"/>
            <w:hideMark/>
          </w:tcPr>
          <w:p w14:paraId="6798197D" w14:textId="23BFA698" w:rsidR="00E71D75" w:rsidRPr="00E71D75" w:rsidRDefault="00E71D75" w:rsidP="00E71D75">
            <w:pPr>
              <w:spacing w:after="0" w:line="240" w:lineRule="auto"/>
              <w:jc w:val="center"/>
              <w:rPr>
                <w:rFonts w:eastAsia="Times New Roman" w:cs="Calibri"/>
                <w:color w:val="FFFFFF"/>
                <w:szCs w:val="18"/>
                <w:lang w:eastAsia="hr-HR"/>
              </w:rPr>
            </w:pPr>
            <w:r w:rsidRPr="00E71D75">
              <w:rPr>
                <w:rFonts w:eastAsia="Times New Roman" w:cs="Calibri"/>
                <w:color w:val="FFFFFF"/>
                <w:szCs w:val="18"/>
                <w:lang w:eastAsia="hr-HR"/>
              </w:rPr>
              <w:t>R</w:t>
            </w:r>
            <w:r w:rsidR="005514E8">
              <w:rPr>
                <w:rFonts w:eastAsia="Times New Roman" w:cs="Calibri"/>
                <w:color w:val="FFFFFF"/>
                <w:szCs w:val="18"/>
                <w:lang w:eastAsia="hr-HR"/>
              </w:rPr>
              <w:t>ed</w:t>
            </w:r>
            <w:r w:rsidRPr="00E71D75">
              <w:rPr>
                <w:rFonts w:eastAsia="Times New Roman" w:cs="Calibri"/>
                <w:color w:val="FFFFFF"/>
                <w:szCs w:val="18"/>
                <w:lang w:eastAsia="hr-HR"/>
              </w:rPr>
              <w:t>. br.</w:t>
            </w:r>
          </w:p>
        </w:tc>
        <w:tc>
          <w:tcPr>
            <w:tcW w:w="2423" w:type="dxa"/>
            <w:tcBorders>
              <w:top w:val="nil"/>
              <w:left w:val="single" w:sz="4" w:space="0" w:color="FFFFFF" w:themeColor="background1"/>
              <w:bottom w:val="single" w:sz="8" w:space="0" w:color="F3CFC1"/>
              <w:right w:val="single" w:sz="4" w:space="0" w:color="FFFFFF" w:themeColor="background1"/>
            </w:tcBorders>
            <w:shd w:val="clear" w:color="000000" w:fill="D2232A"/>
            <w:noWrap/>
            <w:vAlign w:val="center"/>
            <w:hideMark/>
          </w:tcPr>
          <w:p w14:paraId="5116C513" w14:textId="77777777" w:rsidR="00E71D75" w:rsidRPr="00E71D75" w:rsidRDefault="00E71D75" w:rsidP="00E71D75">
            <w:pPr>
              <w:spacing w:after="0" w:line="240" w:lineRule="auto"/>
              <w:jc w:val="center"/>
              <w:rPr>
                <w:rFonts w:eastAsia="Times New Roman" w:cs="Calibri"/>
                <w:color w:val="FFFFFF"/>
                <w:szCs w:val="18"/>
                <w:lang w:eastAsia="hr-HR"/>
              </w:rPr>
            </w:pPr>
            <w:r w:rsidRPr="00E71D75">
              <w:rPr>
                <w:rFonts w:eastAsia="Times New Roman" w:cs="Calibri"/>
                <w:color w:val="FFFFFF"/>
                <w:szCs w:val="18"/>
                <w:lang w:eastAsia="hr-HR"/>
              </w:rPr>
              <w:t>Naselje</w:t>
            </w:r>
          </w:p>
        </w:tc>
        <w:tc>
          <w:tcPr>
            <w:tcW w:w="4072" w:type="dxa"/>
            <w:tcBorders>
              <w:top w:val="nil"/>
              <w:left w:val="single" w:sz="4" w:space="0" w:color="FFFFFF" w:themeColor="background1"/>
              <w:bottom w:val="single" w:sz="8" w:space="0" w:color="F3CFC1"/>
              <w:right w:val="single" w:sz="4" w:space="0" w:color="FFFFFF" w:themeColor="background1"/>
            </w:tcBorders>
            <w:shd w:val="clear" w:color="000000" w:fill="D2232A"/>
            <w:noWrap/>
            <w:vAlign w:val="center"/>
            <w:hideMark/>
          </w:tcPr>
          <w:p w14:paraId="71933C9F" w14:textId="77777777" w:rsidR="00E71D75" w:rsidRPr="00E71D75" w:rsidRDefault="00E71D75" w:rsidP="00E71D75">
            <w:pPr>
              <w:spacing w:after="0" w:line="240" w:lineRule="auto"/>
              <w:jc w:val="center"/>
              <w:rPr>
                <w:rFonts w:eastAsia="Times New Roman" w:cs="Calibri"/>
                <w:color w:val="FFFFFF"/>
                <w:szCs w:val="18"/>
                <w:lang w:eastAsia="hr-HR"/>
              </w:rPr>
            </w:pPr>
            <w:r w:rsidRPr="00E71D75">
              <w:rPr>
                <w:rFonts w:eastAsia="Times New Roman" w:cs="Calibri"/>
                <w:color w:val="FFFFFF"/>
                <w:szCs w:val="18"/>
                <w:lang w:eastAsia="hr-HR"/>
              </w:rPr>
              <w:t>Naziv kulturnog dobra</w:t>
            </w:r>
          </w:p>
        </w:tc>
        <w:tc>
          <w:tcPr>
            <w:tcW w:w="2307" w:type="dxa"/>
            <w:tcBorders>
              <w:top w:val="nil"/>
              <w:left w:val="single" w:sz="4" w:space="0" w:color="FFFFFF" w:themeColor="background1"/>
              <w:bottom w:val="single" w:sz="8" w:space="0" w:color="F3CFC1"/>
              <w:right w:val="nil"/>
            </w:tcBorders>
            <w:shd w:val="clear" w:color="000000" w:fill="D2232A"/>
            <w:noWrap/>
            <w:vAlign w:val="center"/>
            <w:hideMark/>
          </w:tcPr>
          <w:p w14:paraId="38898DFB" w14:textId="77777777" w:rsidR="00E71D75" w:rsidRPr="00E71D75" w:rsidRDefault="00E71D75" w:rsidP="00E71D75">
            <w:pPr>
              <w:spacing w:after="0" w:line="240" w:lineRule="auto"/>
              <w:jc w:val="center"/>
              <w:rPr>
                <w:rFonts w:eastAsia="Times New Roman" w:cs="Calibri"/>
                <w:color w:val="FFFFFF"/>
                <w:szCs w:val="18"/>
                <w:lang w:eastAsia="hr-HR"/>
              </w:rPr>
            </w:pPr>
            <w:r w:rsidRPr="00E71D75">
              <w:rPr>
                <w:rFonts w:eastAsia="Times New Roman" w:cs="Calibri"/>
                <w:color w:val="FFFFFF"/>
                <w:szCs w:val="18"/>
                <w:lang w:eastAsia="hr-HR"/>
              </w:rPr>
              <w:t>Iznos hitnih mjera zaštite (kn)</w:t>
            </w:r>
          </w:p>
        </w:tc>
      </w:tr>
      <w:tr w:rsidR="00E71D75" w:rsidRPr="00E71D75" w14:paraId="57817534"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1F451AEC"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w:t>
            </w:r>
          </w:p>
        </w:tc>
        <w:tc>
          <w:tcPr>
            <w:tcW w:w="2423" w:type="dxa"/>
            <w:tcBorders>
              <w:top w:val="nil"/>
              <w:left w:val="single" w:sz="8" w:space="0" w:color="D2232A"/>
              <w:bottom w:val="single" w:sz="8" w:space="0" w:color="F3CFC1"/>
              <w:right w:val="nil"/>
            </w:tcBorders>
            <w:shd w:val="clear" w:color="auto" w:fill="auto"/>
            <w:noWrap/>
            <w:vAlign w:val="center"/>
            <w:hideMark/>
          </w:tcPr>
          <w:p w14:paraId="39268CA7"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Desinić, Hum Košnički</w:t>
            </w:r>
          </w:p>
        </w:tc>
        <w:tc>
          <w:tcPr>
            <w:tcW w:w="4072" w:type="dxa"/>
            <w:tcBorders>
              <w:top w:val="nil"/>
              <w:left w:val="single" w:sz="8" w:space="0" w:color="D2232A"/>
              <w:bottom w:val="single" w:sz="8" w:space="0" w:color="F3CFC1"/>
              <w:right w:val="nil"/>
            </w:tcBorders>
            <w:shd w:val="clear" w:color="auto" w:fill="auto"/>
            <w:noWrap/>
            <w:vAlign w:val="center"/>
            <w:hideMark/>
          </w:tcPr>
          <w:p w14:paraId="16EEAFFF"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Dvor Veliki tabor - Palas</w:t>
            </w:r>
          </w:p>
        </w:tc>
        <w:tc>
          <w:tcPr>
            <w:tcW w:w="2307" w:type="dxa"/>
            <w:tcBorders>
              <w:top w:val="nil"/>
              <w:left w:val="single" w:sz="8" w:space="0" w:color="D2232A"/>
              <w:bottom w:val="single" w:sz="8" w:space="0" w:color="F3CFC1"/>
              <w:right w:val="nil"/>
            </w:tcBorders>
            <w:shd w:val="clear" w:color="auto" w:fill="auto"/>
            <w:vAlign w:val="bottom"/>
            <w:hideMark/>
          </w:tcPr>
          <w:p w14:paraId="5DE28E7F" w14:textId="42544E7C" w:rsidR="00E71D75" w:rsidRPr="00E71D75" w:rsidRDefault="00E71D75" w:rsidP="00850F9F">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30.000,00    </w:t>
            </w:r>
          </w:p>
        </w:tc>
      </w:tr>
      <w:tr w:rsidR="00E71D75" w:rsidRPr="00E71D75" w14:paraId="0377F3EA"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1C7A2848"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w:t>
            </w:r>
          </w:p>
        </w:tc>
        <w:tc>
          <w:tcPr>
            <w:tcW w:w="2423" w:type="dxa"/>
            <w:tcBorders>
              <w:top w:val="nil"/>
              <w:left w:val="single" w:sz="8" w:space="0" w:color="D2232A"/>
              <w:bottom w:val="single" w:sz="8" w:space="0" w:color="F3CFC1"/>
              <w:right w:val="nil"/>
            </w:tcBorders>
            <w:shd w:val="clear" w:color="auto" w:fill="auto"/>
            <w:noWrap/>
            <w:vAlign w:val="center"/>
            <w:hideMark/>
          </w:tcPr>
          <w:p w14:paraId="15680436"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Hrašćina, Trgovišće</w:t>
            </w:r>
          </w:p>
        </w:tc>
        <w:tc>
          <w:tcPr>
            <w:tcW w:w="4072" w:type="dxa"/>
            <w:tcBorders>
              <w:top w:val="nil"/>
              <w:left w:val="single" w:sz="8" w:space="0" w:color="D2232A"/>
              <w:bottom w:val="single" w:sz="8" w:space="0" w:color="F3CFC1"/>
              <w:right w:val="nil"/>
            </w:tcBorders>
            <w:shd w:val="clear" w:color="auto" w:fill="auto"/>
            <w:noWrap/>
            <w:vAlign w:val="center"/>
            <w:hideMark/>
          </w:tcPr>
          <w:p w14:paraId="52764BFB"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Majke Božje Žalosne</w:t>
            </w:r>
          </w:p>
        </w:tc>
        <w:tc>
          <w:tcPr>
            <w:tcW w:w="2307" w:type="dxa"/>
            <w:tcBorders>
              <w:top w:val="nil"/>
              <w:left w:val="single" w:sz="8" w:space="0" w:color="D2232A"/>
              <w:bottom w:val="single" w:sz="8" w:space="0" w:color="F3CFC1"/>
              <w:right w:val="nil"/>
            </w:tcBorders>
            <w:shd w:val="clear" w:color="auto" w:fill="auto"/>
            <w:vAlign w:val="bottom"/>
            <w:hideMark/>
          </w:tcPr>
          <w:p w14:paraId="1F4DB726" w14:textId="22A6D64C"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100.000,00    </w:t>
            </w:r>
          </w:p>
        </w:tc>
      </w:tr>
      <w:tr w:rsidR="00E71D75" w:rsidRPr="00E71D75" w14:paraId="6DA3F125"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2BD519F2"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3.</w:t>
            </w:r>
          </w:p>
        </w:tc>
        <w:tc>
          <w:tcPr>
            <w:tcW w:w="2423" w:type="dxa"/>
            <w:tcBorders>
              <w:top w:val="nil"/>
              <w:left w:val="single" w:sz="8" w:space="0" w:color="D2232A"/>
              <w:bottom w:val="single" w:sz="8" w:space="0" w:color="F3CFC1"/>
              <w:right w:val="nil"/>
            </w:tcBorders>
            <w:shd w:val="clear" w:color="auto" w:fill="auto"/>
            <w:noWrap/>
            <w:vAlign w:val="center"/>
            <w:hideMark/>
          </w:tcPr>
          <w:p w14:paraId="29512CC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Hum na Sutli, Prišlin</w:t>
            </w:r>
          </w:p>
        </w:tc>
        <w:tc>
          <w:tcPr>
            <w:tcW w:w="4072" w:type="dxa"/>
            <w:tcBorders>
              <w:top w:val="nil"/>
              <w:left w:val="single" w:sz="8" w:space="0" w:color="D2232A"/>
              <w:bottom w:val="single" w:sz="8" w:space="0" w:color="F3CFC1"/>
              <w:right w:val="nil"/>
            </w:tcBorders>
            <w:shd w:val="clear" w:color="auto" w:fill="auto"/>
            <w:noWrap/>
            <w:vAlign w:val="center"/>
            <w:hideMark/>
          </w:tcPr>
          <w:p w14:paraId="2A2EF222"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Sv. Petra</w:t>
            </w:r>
          </w:p>
        </w:tc>
        <w:tc>
          <w:tcPr>
            <w:tcW w:w="2307" w:type="dxa"/>
            <w:tcBorders>
              <w:top w:val="nil"/>
              <w:left w:val="single" w:sz="8" w:space="0" w:color="D2232A"/>
              <w:bottom w:val="single" w:sz="8" w:space="0" w:color="F3CFC1"/>
              <w:right w:val="nil"/>
            </w:tcBorders>
            <w:shd w:val="clear" w:color="auto" w:fill="auto"/>
            <w:vAlign w:val="bottom"/>
            <w:hideMark/>
          </w:tcPr>
          <w:p w14:paraId="660BCC27" w14:textId="11B4F8FA"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50.000,00    </w:t>
            </w:r>
          </w:p>
        </w:tc>
      </w:tr>
      <w:tr w:rsidR="00E71D75" w:rsidRPr="00E71D75" w14:paraId="574C082E"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456717BF"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4.</w:t>
            </w:r>
          </w:p>
        </w:tc>
        <w:tc>
          <w:tcPr>
            <w:tcW w:w="2423" w:type="dxa"/>
            <w:tcBorders>
              <w:top w:val="nil"/>
              <w:left w:val="single" w:sz="8" w:space="0" w:color="D2232A"/>
              <w:bottom w:val="single" w:sz="8" w:space="0" w:color="F3CFC1"/>
              <w:right w:val="nil"/>
            </w:tcBorders>
            <w:shd w:val="clear" w:color="auto" w:fill="auto"/>
            <w:noWrap/>
            <w:vAlign w:val="center"/>
            <w:hideMark/>
          </w:tcPr>
          <w:p w14:paraId="1F06C53E"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Donja Stubica</w:t>
            </w:r>
          </w:p>
        </w:tc>
        <w:tc>
          <w:tcPr>
            <w:tcW w:w="4072" w:type="dxa"/>
            <w:tcBorders>
              <w:top w:val="nil"/>
              <w:left w:val="single" w:sz="8" w:space="0" w:color="D2232A"/>
              <w:bottom w:val="single" w:sz="8" w:space="0" w:color="F3CFC1"/>
              <w:right w:val="nil"/>
            </w:tcBorders>
            <w:shd w:val="clear" w:color="auto" w:fill="auto"/>
            <w:noWrap/>
            <w:vAlign w:val="center"/>
            <w:hideMark/>
          </w:tcPr>
          <w:p w14:paraId="61C9A09B"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Presvetog Trojstva</w:t>
            </w:r>
          </w:p>
        </w:tc>
        <w:tc>
          <w:tcPr>
            <w:tcW w:w="2307" w:type="dxa"/>
            <w:tcBorders>
              <w:top w:val="nil"/>
              <w:left w:val="single" w:sz="8" w:space="0" w:color="D2232A"/>
              <w:bottom w:val="single" w:sz="8" w:space="0" w:color="F3CFC1"/>
              <w:right w:val="nil"/>
            </w:tcBorders>
            <w:shd w:val="clear" w:color="auto" w:fill="auto"/>
            <w:vAlign w:val="bottom"/>
            <w:hideMark/>
          </w:tcPr>
          <w:p w14:paraId="0F234649" w14:textId="7A431DB1"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455.000,00    </w:t>
            </w:r>
          </w:p>
        </w:tc>
      </w:tr>
      <w:tr w:rsidR="00E71D75" w:rsidRPr="00E71D75" w14:paraId="79FDA555"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1AE2A641"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5.</w:t>
            </w:r>
          </w:p>
        </w:tc>
        <w:tc>
          <w:tcPr>
            <w:tcW w:w="2423" w:type="dxa"/>
            <w:tcBorders>
              <w:top w:val="nil"/>
              <w:left w:val="single" w:sz="8" w:space="0" w:color="D2232A"/>
              <w:bottom w:val="single" w:sz="8" w:space="0" w:color="F3CFC1"/>
              <w:right w:val="nil"/>
            </w:tcBorders>
            <w:shd w:val="clear" w:color="auto" w:fill="auto"/>
            <w:noWrap/>
            <w:vAlign w:val="center"/>
            <w:hideMark/>
          </w:tcPr>
          <w:p w14:paraId="0410C16A"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Gornje Jesenje</w:t>
            </w:r>
          </w:p>
        </w:tc>
        <w:tc>
          <w:tcPr>
            <w:tcW w:w="4072" w:type="dxa"/>
            <w:tcBorders>
              <w:top w:val="nil"/>
              <w:left w:val="single" w:sz="8" w:space="0" w:color="D2232A"/>
              <w:bottom w:val="single" w:sz="8" w:space="0" w:color="F3CFC1"/>
              <w:right w:val="nil"/>
            </w:tcBorders>
            <w:shd w:val="clear" w:color="auto" w:fill="auto"/>
            <w:noWrap/>
            <w:vAlign w:val="center"/>
            <w:hideMark/>
          </w:tcPr>
          <w:p w14:paraId="11D8C305"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Sv. Ivana Krstitelja</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43BE638B" w14:textId="00E882BD"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250.000,00    </w:t>
            </w:r>
          </w:p>
        </w:tc>
      </w:tr>
      <w:tr w:rsidR="00E71D75" w:rsidRPr="00E71D75" w14:paraId="4FA5CE07"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12BCA5EB"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6.</w:t>
            </w:r>
          </w:p>
        </w:tc>
        <w:tc>
          <w:tcPr>
            <w:tcW w:w="2423" w:type="dxa"/>
            <w:tcBorders>
              <w:top w:val="nil"/>
              <w:left w:val="single" w:sz="8" w:space="0" w:color="D2232A"/>
              <w:bottom w:val="single" w:sz="8" w:space="0" w:color="F3CFC1"/>
              <w:right w:val="nil"/>
            </w:tcBorders>
            <w:shd w:val="clear" w:color="auto" w:fill="auto"/>
            <w:noWrap/>
            <w:vAlign w:val="center"/>
            <w:hideMark/>
          </w:tcPr>
          <w:p w14:paraId="6A35DB8B"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Klanjec</w:t>
            </w:r>
          </w:p>
        </w:tc>
        <w:tc>
          <w:tcPr>
            <w:tcW w:w="4072" w:type="dxa"/>
            <w:tcBorders>
              <w:top w:val="nil"/>
              <w:left w:val="single" w:sz="8" w:space="0" w:color="D2232A"/>
              <w:bottom w:val="single" w:sz="8" w:space="0" w:color="F3CFC1"/>
              <w:right w:val="nil"/>
            </w:tcBorders>
            <w:shd w:val="clear" w:color="auto" w:fill="auto"/>
            <w:noWrap/>
            <w:vAlign w:val="center"/>
            <w:hideMark/>
          </w:tcPr>
          <w:p w14:paraId="2F346606"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 xml:space="preserve">Župna crkva Navještenja Blažene Djevice Marije i franjevački samostan </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083AB7B2" w14:textId="30B67BB0"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652.500,00    </w:t>
            </w:r>
          </w:p>
        </w:tc>
      </w:tr>
      <w:tr w:rsidR="00E71D75" w:rsidRPr="00E71D75" w14:paraId="7F6688B4"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26DDBC62"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7.</w:t>
            </w:r>
          </w:p>
        </w:tc>
        <w:tc>
          <w:tcPr>
            <w:tcW w:w="2423" w:type="dxa"/>
            <w:tcBorders>
              <w:top w:val="nil"/>
              <w:left w:val="single" w:sz="8" w:space="0" w:color="D2232A"/>
              <w:bottom w:val="single" w:sz="8" w:space="0" w:color="F3CFC1"/>
              <w:right w:val="nil"/>
            </w:tcBorders>
            <w:shd w:val="clear" w:color="auto" w:fill="auto"/>
            <w:noWrap/>
            <w:vAlign w:val="center"/>
            <w:hideMark/>
          </w:tcPr>
          <w:p w14:paraId="2390CD47"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Konjščina</w:t>
            </w:r>
          </w:p>
        </w:tc>
        <w:tc>
          <w:tcPr>
            <w:tcW w:w="4072" w:type="dxa"/>
            <w:tcBorders>
              <w:top w:val="nil"/>
              <w:left w:val="single" w:sz="8" w:space="0" w:color="D2232A"/>
              <w:bottom w:val="single" w:sz="8" w:space="0" w:color="F3CFC1"/>
              <w:right w:val="nil"/>
            </w:tcBorders>
            <w:shd w:val="clear" w:color="auto" w:fill="auto"/>
            <w:noWrap/>
            <w:vAlign w:val="center"/>
            <w:hideMark/>
          </w:tcPr>
          <w:p w14:paraId="051FCFD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 xml:space="preserve">Župni dvor </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30747984" w14:textId="6E4DFA66"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80.000,00    </w:t>
            </w:r>
          </w:p>
        </w:tc>
      </w:tr>
      <w:tr w:rsidR="00E71D75" w:rsidRPr="00E71D75" w14:paraId="0A8C20F0"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1B9753BC"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8.</w:t>
            </w:r>
          </w:p>
        </w:tc>
        <w:tc>
          <w:tcPr>
            <w:tcW w:w="2423" w:type="dxa"/>
            <w:tcBorders>
              <w:top w:val="nil"/>
              <w:left w:val="single" w:sz="8" w:space="0" w:color="D2232A"/>
              <w:bottom w:val="single" w:sz="8" w:space="0" w:color="F3CFC1"/>
              <w:right w:val="nil"/>
            </w:tcBorders>
            <w:shd w:val="clear" w:color="auto" w:fill="auto"/>
            <w:noWrap/>
            <w:vAlign w:val="center"/>
            <w:hideMark/>
          </w:tcPr>
          <w:p w14:paraId="17740DF8"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Krapina, Velika Ves</w:t>
            </w:r>
          </w:p>
        </w:tc>
        <w:tc>
          <w:tcPr>
            <w:tcW w:w="4072" w:type="dxa"/>
            <w:tcBorders>
              <w:top w:val="nil"/>
              <w:left w:val="single" w:sz="8" w:space="0" w:color="D2232A"/>
              <w:bottom w:val="single" w:sz="8" w:space="0" w:color="F3CFC1"/>
              <w:right w:val="nil"/>
            </w:tcBorders>
            <w:shd w:val="clear" w:color="auto" w:fill="auto"/>
            <w:noWrap/>
            <w:vAlign w:val="center"/>
            <w:hideMark/>
          </w:tcPr>
          <w:p w14:paraId="5A489F2F"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Dvorac Kulmer</w:t>
            </w:r>
          </w:p>
        </w:tc>
        <w:tc>
          <w:tcPr>
            <w:tcW w:w="2307" w:type="dxa"/>
            <w:tcBorders>
              <w:top w:val="nil"/>
              <w:left w:val="single" w:sz="8" w:space="0" w:color="D2232A"/>
              <w:bottom w:val="single" w:sz="8" w:space="0" w:color="F3CFC1"/>
              <w:right w:val="nil"/>
            </w:tcBorders>
            <w:shd w:val="clear" w:color="auto" w:fill="auto"/>
            <w:vAlign w:val="bottom"/>
            <w:hideMark/>
          </w:tcPr>
          <w:p w14:paraId="2F0FC1D7" w14:textId="3A0E209F"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1.260.000,00    </w:t>
            </w:r>
          </w:p>
        </w:tc>
      </w:tr>
      <w:tr w:rsidR="00E71D75" w:rsidRPr="00E71D75" w14:paraId="0B66438B"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3CD843C5"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9.</w:t>
            </w:r>
          </w:p>
        </w:tc>
        <w:tc>
          <w:tcPr>
            <w:tcW w:w="2423" w:type="dxa"/>
            <w:tcBorders>
              <w:top w:val="nil"/>
              <w:left w:val="single" w:sz="8" w:space="0" w:color="D2232A"/>
              <w:bottom w:val="single" w:sz="8" w:space="0" w:color="F3CFC1"/>
              <w:right w:val="nil"/>
            </w:tcBorders>
            <w:shd w:val="clear" w:color="auto" w:fill="auto"/>
            <w:noWrap/>
            <w:vAlign w:val="center"/>
            <w:hideMark/>
          </w:tcPr>
          <w:p w14:paraId="4FACB954" w14:textId="77777777" w:rsidR="00E71D75" w:rsidRPr="00E71D75" w:rsidRDefault="00E71D75" w:rsidP="00E71D75">
            <w:pPr>
              <w:spacing w:after="0" w:line="240" w:lineRule="auto"/>
              <w:jc w:val="left"/>
              <w:rPr>
                <w:rFonts w:eastAsia="Times New Roman" w:cs="Calibri"/>
                <w:color w:val="3F3F3F"/>
                <w:szCs w:val="18"/>
                <w:lang w:eastAsia="hr-HR"/>
              </w:rPr>
            </w:pPr>
            <w:r w:rsidRPr="00E71D75">
              <w:rPr>
                <w:rFonts w:eastAsia="Times New Roman" w:cs="Calibri"/>
                <w:color w:val="3F3F3F"/>
                <w:szCs w:val="18"/>
                <w:lang w:eastAsia="hr-HR"/>
              </w:rPr>
              <w:t>Krapinske Toplice, Lovreća Sela</w:t>
            </w:r>
          </w:p>
        </w:tc>
        <w:tc>
          <w:tcPr>
            <w:tcW w:w="4072" w:type="dxa"/>
            <w:tcBorders>
              <w:top w:val="nil"/>
              <w:left w:val="single" w:sz="8" w:space="0" w:color="D2232A"/>
              <w:bottom w:val="single" w:sz="8" w:space="0" w:color="F3CFC1"/>
              <w:right w:val="nil"/>
            </w:tcBorders>
            <w:shd w:val="clear" w:color="auto" w:fill="auto"/>
            <w:noWrap/>
            <w:vAlign w:val="center"/>
            <w:hideMark/>
          </w:tcPr>
          <w:p w14:paraId="304EA069"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Sv. Jurja</w:t>
            </w:r>
          </w:p>
        </w:tc>
        <w:tc>
          <w:tcPr>
            <w:tcW w:w="2307" w:type="dxa"/>
            <w:tcBorders>
              <w:top w:val="nil"/>
              <w:left w:val="single" w:sz="8" w:space="0" w:color="D2232A"/>
              <w:bottom w:val="single" w:sz="8" w:space="0" w:color="F3CFC1"/>
              <w:right w:val="nil"/>
            </w:tcBorders>
            <w:shd w:val="clear" w:color="auto" w:fill="auto"/>
            <w:vAlign w:val="bottom"/>
            <w:hideMark/>
          </w:tcPr>
          <w:p w14:paraId="536CAE44" w14:textId="482A292A"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100.000,00    </w:t>
            </w:r>
          </w:p>
        </w:tc>
      </w:tr>
      <w:tr w:rsidR="00E71D75" w:rsidRPr="00E71D75" w14:paraId="6A26A7D6"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6D39E0FE"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10.</w:t>
            </w:r>
          </w:p>
        </w:tc>
        <w:tc>
          <w:tcPr>
            <w:tcW w:w="2423" w:type="dxa"/>
            <w:tcBorders>
              <w:top w:val="nil"/>
              <w:left w:val="single" w:sz="8" w:space="0" w:color="D2232A"/>
              <w:bottom w:val="single" w:sz="8" w:space="0" w:color="F3CFC1"/>
              <w:right w:val="nil"/>
            </w:tcBorders>
            <w:shd w:val="clear" w:color="auto" w:fill="auto"/>
            <w:noWrap/>
            <w:vAlign w:val="center"/>
            <w:hideMark/>
          </w:tcPr>
          <w:p w14:paraId="607964A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Kumrovec</w:t>
            </w:r>
          </w:p>
        </w:tc>
        <w:tc>
          <w:tcPr>
            <w:tcW w:w="4072" w:type="dxa"/>
            <w:tcBorders>
              <w:top w:val="nil"/>
              <w:left w:val="single" w:sz="8" w:space="0" w:color="D2232A"/>
              <w:bottom w:val="single" w:sz="8" w:space="0" w:color="F3CFC1"/>
              <w:right w:val="nil"/>
            </w:tcBorders>
            <w:shd w:val="clear" w:color="auto" w:fill="auto"/>
            <w:noWrap/>
            <w:vAlign w:val="center"/>
            <w:hideMark/>
          </w:tcPr>
          <w:p w14:paraId="2C169E81"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Upravna zgrada Muzeja Staro selo Kumrovec</w:t>
            </w:r>
          </w:p>
        </w:tc>
        <w:tc>
          <w:tcPr>
            <w:tcW w:w="2307" w:type="dxa"/>
            <w:tcBorders>
              <w:top w:val="nil"/>
              <w:left w:val="single" w:sz="8" w:space="0" w:color="D2232A"/>
              <w:bottom w:val="single" w:sz="8" w:space="0" w:color="F3CFC1"/>
              <w:right w:val="nil"/>
            </w:tcBorders>
            <w:shd w:val="clear" w:color="auto" w:fill="auto"/>
            <w:vAlign w:val="bottom"/>
            <w:hideMark/>
          </w:tcPr>
          <w:p w14:paraId="7ACB73CE" w14:textId="2AC7FCE6"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20.000,00    </w:t>
            </w:r>
          </w:p>
        </w:tc>
      </w:tr>
      <w:tr w:rsidR="00E71D75" w:rsidRPr="00E71D75" w14:paraId="3A162163"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68019C46"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11.</w:t>
            </w:r>
          </w:p>
        </w:tc>
        <w:tc>
          <w:tcPr>
            <w:tcW w:w="2423" w:type="dxa"/>
            <w:tcBorders>
              <w:top w:val="nil"/>
              <w:left w:val="nil"/>
              <w:bottom w:val="single" w:sz="8" w:space="0" w:color="F3CFC1"/>
              <w:right w:val="nil"/>
            </w:tcBorders>
            <w:shd w:val="clear" w:color="auto" w:fill="auto"/>
            <w:noWrap/>
            <w:vAlign w:val="center"/>
            <w:hideMark/>
          </w:tcPr>
          <w:p w14:paraId="20D519F9"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Kumrovec</w:t>
            </w:r>
          </w:p>
        </w:tc>
        <w:tc>
          <w:tcPr>
            <w:tcW w:w="4072" w:type="dxa"/>
            <w:tcBorders>
              <w:top w:val="nil"/>
              <w:left w:val="single" w:sz="8" w:space="0" w:color="D2232A"/>
              <w:bottom w:val="single" w:sz="8" w:space="0" w:color="F3CFC1"/>
              <w:right w:val="nil"/>
            </w:tcBorders>
            <w:shd w:val="clear" w:color="auto" w:fill="auto"/>
            <w:noWrap/>
            <w:vAlign w:val="center"/>
            <w:hideMark/>
          </w:tcPr>
          <w:p w14:paraId="2A52388E"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Zgrada stare škole</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2F5063EC" w14:textId="406EE85B"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30.000,00    </w:t>
            </w:r>
          </w:p>
        </w:tc>
      </w:tr>
      <w:tr w:rsidR="00E71D75" w:rsidRPr="00E71D75" w14:paraId="10FB7174"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7E0BA5D5"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12.</w:t>
            </w:r>
          </w:p>
        </w:tc>
        <w:tc>
          <w:tcPr>
            <w:tcW w:w="2423" w:type="dxa"/>
            <w:tcBorders>
              <w:top w:val="nil"/>
              <w:left w:val="nil"/>
              <w:bottom w:val="single" w:sz="8" w:space="0" w:color="F3CFC1"/>
              <w:right w:val="nil"/>
            </w:tcBorders>
            <w:shd w:val="clear" w:color="auto" w:fill="auto"/>
            <w:noWrap/>
            <w:vAlign w:val="center"/>
            <w:hideMark/>
          </w:tcPr>
          <w:p w14:paraId="1FE5D88A"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Lobor</w:t>
            </w:r>
          </w:p>
        </w:tc>
        <w:tc>
          <w:tcPr>
            <w:tcW w:w="4072" w:type="dxa"/>
            <w:tcBorders>
              <w:top w:val="nil"/>
              <w:left w:val="single" w:sz="8" w:space="0" w:color="D2232A"/>
              <w:bottom w:val="single" w:sz="8" w:space="0" w:color="F3CFC1"/>
              <w:right w:val="nil"/>
            </w:tcBorders>
            <w:shd w:val="clear" w:color="auto" w:fill="auto"/>
            <w:noWrap/>
            <w:vAlign w:val="center"/>
            <w:hideMark/>
          </w:tcPr>
          <w:p w14:paraId="4FB0D8DC"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Dvorac Lobor</w:t>
            </w:r>
          </w:p>
        </w:tc>
        <w:tc>
          <w:tcPr>
            <w:tcW w:w="2307" w:type="dxa"/>
            <w:tcBorders>
              <w:top w:val="nil"/>
              <w:left w:val="single" w:sz="8" w:space="0" w:color="D2232A"/>
              <w:bottom w:val="single" w:sz="8" w:space="0" w:color="F3CFC1"/>
              <w:right w:val="nil"/>
            </w:tcBorders>
            <w:shd w:val="clear" w:color="auto" w:fill="auto"/>
            <w:vAlign w:val="bottom"/>
            <w:hideMark/>
          </w:tcPr>
          <w:p w14:paraId="4E7C48A3" w14:textId="7341D556"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200.000,00    </w:t>
            </w:r>
          </w:p>
        </w:tc>
      </w:tr>
      <w:tr w:rsidR="00E71D75" w:rsidRPr="00E71D75" w14:paraId="51FC69F9"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193C399F"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13.</w:t>
            </w:r>
          </w:p>
        </w:tc>
        <w:tc>
          <w:tcPr>
            <w:tcW w:w="2423" w:type="dxa"/>
            <w:tcBorders>
              <w:top w:val="nil"/>
              <w:left w:val="single" w:sz="8" w:space="0" w:color="D2232A"/>
              <w:bottom w:val="single" w:sz="8" w:space="0" w:color="F3CFC1"/>
              <w:right w:val="nil"/>
            </w:tcBorders>
            <w:shd w:val="clear" w:color="auto" w:fill="auto"/>
            <w:noWrap/>
            <w:vAlign w:val="center"/>
            <w:hideMark/>
          </w:tcPr>
          <w:p w14:paraId="367B515E"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Mače, Veliki Komor</w:t>
            </w:r>
          </w:p>
        </w:tc>
        <w:tc>
          <w:tcPr>
            <w:tcW w:w="4072" w:type="dxa"/>
            <w:tcBorders>
              <w:top w:val="nil"/>
              <w:left w:val="single" w:sz="8" w:space="0" w:color="D2232A"/>
              <w:bottom w:val="single" w:sz="8" w:space="0" w:color="F3CFC1"/>
              <w:right w:val="nil"/>
            </w:tcBorders>
            <w:shd w:val="clear" w:color="auto" w:fill="auto"/>
            <w:noWrap/>
            <w:vAlign w:val="center"/>
            <w:hideMark/>
          </w:tcPr>
          <w:p w14:paraId="33ED5D5D"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Sv. Benedikta</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342386F0" w14:textId="4BECC068"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150.000,00    </w:t>
            </w:r>
          </w:p>
        </w:tc>
      </w:tr>
      <w:tr w:rsidR="00E71D75" w:rsidRPr="00E71D75" w14:paraId="56EC21A5"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5B7A458E"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14.</w:t>
            </w:r>
          </w:p>
        </w:tc>
        <w:tc>
          <w:tcPr>
            <w:tcW w:w="2423" w:type="dxa"/>
            <w:tcBorders>
              <w:top w:val="nil"/>
              <w:left w:val="single" w:sz="8" w:space="0" w:color="D2232A"/>
              <w:bottom w:val="single" w:sz="8" w:space="0" w:color="F3CFC1"/>
              <w:right w:val="nil"/>
            </w:tcBorders>
            <w:shd w:val="clear" w:color="auto" w:fill="auto"/>
            <w:vAlign w:val="center"/>
            <w:hideMark/>
          </w:tcPr>
          <w:p w14:paraId="7CCB3917"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 xml:space="preserve">Pregrada, </w:t>
            </w:r>
            <w:r w:rsidRPr="00E71D75">
              <w:rPr>
                <w:rFonts w:eastAsia="Times New Roman" w:cs="Calibri"/>
                <w:color w:val="3F3F3F"/>
                <w:szCs w:val="18"/>
                <w:lang w:eastAsia="hr-HR"/>
              </w:rPr>
              <w:br/>
              <w:t>Gornja Plemenščina</w:t>
            </w:r>
          </w:p>
        </w:tc>
        <w:tc>
          <w:tcPr>
            <w:tcW w:w="4072" w:type="dxa"/>
            <w:tcBorders>
              <w:top w:val="nil"/>
              <w:left w:val="single" w:sz="8" w:space="0" w:color="D2232A"/>
              <w:bottom w:val="single" w:sz="8" w:space="0" w:color="F3CFC1"/>
              <w:right w:val="nil"/>
            </w:tcBorders>
            <w:shd w:val="clear" w:color="auto" w:fill="auto"/>
            <w:noWrap/>
            <w:vAlign w:val="center"/>
            <w:hideMark/>
          </w:tcPr>
          <w:p w14:paraId="1B5A25C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Sv. Ane</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6C676DCC" w14:textId="549E33BE"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56.250,00    </w:t>
            </w:r>
          </w:p>
        </w:tc>
      </w:tr>
      <w:tr w:rsidR="00E71D75" w:rsidRPr="00E71D75" w14:paraId="17E8C5E1"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3BD39E91"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15.</w:t>
            </w:r>
          </w:p>
        </w:tc>
        <w:tc>
          <w:tcPr>
            <w:tcW w:w="2423" w:type="dxa"/>
            <w:tcBorders>
              <w:top w:val="nil"/>
              <w:left w:val="single" w:sz="8" w:space="0" w:color="D2232A"/>
              <w:bottom w:val="single" w:sz="8" w:space="0" w:color="F3CFC1"/>
              <w:right w:val="nil"/>
            </w:tcBorders>
            <w:shd w:val="clear" w:color="auto" w:fill="auto"/>
            <w:noWrap/>
            <w:vAlign w:val="center"/>
            <w:hideMark/>
          </w:tcPr>
          <w:p w14:paraId="40770288"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Pregrada, Kostel</w:t>
            </w:r>
          </w:p>
        </w:tc>
        <w:tc>
          <w:tcPr>
            <w:tcW w:w="4072" w:type="dxa"/>
            <w:tcBorders>
              <w:top w:val="nil"/>
              <w:left w:val="single" w:sz="8" w:space="0" w:color="D2232A"/>
              <w:bottom w:val="single" w:sz="8" w:space="0" w:color="F3CFC1"/>
              <w:right w:val="nil"/>
            </w:tcBorders>
            <w:shd w:val="clear" w:color="auto" w:fill="auto"/>
            <w:noWrap/>
            <w:vAlign w:val="center"/>
            <w:hideMark/>
          </w:tcPr>
          <w:p w14:paraId="30A8FDCA"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Sv. Mirka (Emerika)</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5E1CF4D0" w14:textId="62F213B3"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30.000,00    </w:t>
            </w:r>
          </w:p>
        </w:tc>
      </w:tr>
      <w:tr w:rsidR="00E71D75" w:rsidRPr="00E71D75" w14:paraId="1EF5BDE3"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57FBF4F2"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16.</w:t>
            </w:r>
          </w:p>
        </w:tc>
        <w:tc>
          <w:tcPr>
            <w:tcW w:w="2423" w:type="dxa"/>
            <w:tcBorders>
              <w:top w:val="nil"/>
              <w:left w:val="single" w:sz="8" w:space="0" w:color="D2232A"/>
              <w:bottom w:val="single" w:sz="8" w:space="0" w:color="F3CFC1"/>
              <w:right w:val="nil"/>
            </w:tcBorders>
            <w:shd w:val="clear" w:color="auto" w:fill="auto"/>
            <w:noWrap/>
            <w:vAlign w:val="center"/>
            <w:hideMark/>
          </w:tcPr>
          <w:p w14:paraId="77F0C832"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Pregrada, Kostel</w:t>
            </w:r>
          </w:p>
        </w:tc>
        <w:tc>
          <w:tcPr>
            <w:tcW w:w="4072" w:type="dxa"/>
            <w:tcBorders>
              <w:top w:val="nil"/>
              <w:left w:val="single" w:sz="8" w:space="0" w:color="D2232A"/>
              <w:bottom w:val="single" w:sz="8" w:space="0" w:color="F3CFC1"/>
              <w:right w:val="nil"/>
            </w:tcBorders>
            <w:shd w:val="clear" w:color="auto" w:fill="auto"/>
            <w:noWrap/>
            <w:vAlign w:val="center"/>
            <w:hideMark/>
          </w:tcPr>
          <w:p w14:paraId="6B3D0FA9"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Trpećeg Isusa</w:t>
            </w:r>
          </w:p>
        </w:tc>
        <w:tc>
          <w:tcPr>
            <w:tcW w:w="2307" w:type="dxa"/>
            <w:tcBorders>
              <w:top w:val="nil"/>
              <w:left w:val="single" w:sz="8" w:space="0" w:color="D2232A"/>
              <w:bottom w:val="single" w:sz="8" w:space="0" w:color="F3CFC1"/>
              <w:right w:val="nil"/>
            </w:tcBorders>
            <w:shd w:val="clear" w:color="auto" w:fill="auto"/>
            <w:vAlign w:val="bottom"/>
            <w:hideMark/>
          </w:tcPr>
          <w:p w14:paraId="208EBD02" w14:textId="72906DCC"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40.000,00    </w:t>
            </w:r>
          </w:p>
        </w:tc>
      </w:tr>
      <w:tr w:rsidR="00E71D75" w:rsidRPr="00E71D75" w14:paraId="32A3EC53"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54825DDE"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17.</w:t>
            </w:r>
          </w:p>
        </w:tc>
        <w:tc>
          <w:tcPr>
            <w:tcW w:w="2423" w:type="dxa"/>
            <w:tcBorders>
              <w:top w:val="nil"/>
              <w:left w:val="single" w:sz="8" w:space="0" w:color="D2232A"/>
              <w:bottom w:val="single" w:sz="8" w:space="0" w:color="F3CFC1"/>
              <w:right w:val="nil"/>
            </w:tcBorders>
            <w:shd w:val="clear" w:color="auto" w:fill="auto"/>
            <w:noWrap/>
            <w:vAlign w:val="center"/>
            <w:hideMark/>
          </w:tcPr>
          <w:p w14:paraId="2857F487"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Pregrada, Kostel</w:t>
            </w:r>
          </w:p>
        </w:tc>
        <w:tc>
          <w:tcPr>
            <w:tcW w:w="4072" w:type="dxa"/>
            <w:tcBorders>
              <w:top w:val="nil"/>
              <w:left w:val="single" w:sz="8" w:space="0" w:color="D2232A"/>
              <w:bottom w:val="single" w:sz="8" w:space="0" w:color="F3CFC1"/>
              <w:right w:val="nil"/>
            </w:tcBorders>
            <w:shd w:val="clear" w:color="auto" w:fill="auto"/>
            <w:noWrap/>
            <w:vAlign w:val="center"/>
            <w:hideMark/>
          </w:tcPr>
          <w:p w14:paraId="514CA194"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Stari župni dvor</w:t>
            </w:r>
          </w:p>
        </w:tc>
        <w:tc>
          <w:tcPr>
            <w:tcW w:w="2307" w:type="dxa"/>
            <w:tcBorders>
              <w:top w:val="nil"/>
              <w:left w:val="single" w:sz="8" w:space="0" w:color="D2232A"/>
              <w:bottom w:val="single" w:sz="8" w:space="0" w:color="F3CFC1"/>
              <w:right w:val="nil"/>
            </w:tcBorders>
            <w:shd w:val="clear" w:color="auto" w:fill="auto"/>
            <w:vAlign w:val="bottom"/>
            <w:hideMark/>
          </w:tcPr>
          <w:p w14:paraId="03DF8FFF" w14:textId="590CE715"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50.000,00    </w:t>
            </w:r>
          </w:p>
        </w:tc>
      </w:tr>
      <w:tr w:rsidR="00E71D75" w:rsidRPr="00E71D75" w14:paraId="253E02DD"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55ADF8F4"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18.</w:t>
            </w:r>
          </w:p>
        </w:tc>
        <w:tc>
          <w:tcPr>
            <w:tcW w:w="2423" w:type="dxa"/>
            <w:tcBorders>
              <w:top w:val="nil"/>
              <w:left w:val="single" w:sz="8" w:space="0" w:color="D2232A"/>
              <w:bottom w:val="single" w:sz="8" w:space="0" w:color="F3CFC1"/>
              <w:right w:val="nil"/>
            </w:tcBorders>
            <w:shd w:val="clear" w:color="auto" w:fill="auto"/>
            <w:noWrap/>
            <w:vAlign w:val="center"/>
            <w:hideMark/>
          </w:tcPr>
          <w:p w14:paraId="0E348974"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Pregrada</w:t>
            </w:r>
          </w:p>
        </w:tc>
        <w:tc>
          <w:tcPr>
            <w:tcW w:w="4072" w:type="dxa"/>
            <w:tcBorders>
              <w:top w:val="nil"/>
              <w:left w:val="single" w:sz="8" w:space="0" w:color="D2232A"/>
              <w:bottom w:val="single" w:sz="8" w:space="0" w:color="F3CFC1"/>
              <w:right w:val="nil"/>
            </w:tcBorders>
            <w:shd w:val="clear" w:color="auto" w:fill="auto"/>
            <w:noWrap/>
            <w:vAlign w:val="center"/>
            <w:hideMark/>
          </w:tcPr>
          <w:p w14:paraId="1089CE55"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Uznesenja Blažene Djevice Marije</w:t>
            </w:r>
          </w:p>
        </w:tc>
        <w:tc>
          <w:tcPr>
            <w:tcW w:w="2307" w:type="dxa"/>
            <w:tcBorders>
              <w:top w:val="nil"/>
              <w:left w:val="single" w:sz="8" w:space="0" w:color="D2232A"/>
              <w:bottom w:val="single" w:sz="8" w:space="0" w:color="F3CFC1"/>
              <w:right w:val="nil"/>
            </w:tcBorders>
            <w:shd w:val="clear" w:color="auto" w:fill="auto"/>
            <w:vAlign w:val="bottom"/>
            <w:hideMark/>
          </w:tcPr>
          <w:p w14:paraId="11BD4648" w14:textId="3D9E8DFF"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100.000,00    </w:t>
            </w:r>
          </w:p>
        </w:tc>
      </w:tr>
      <w:tr w:rsidR="00E71D75" w:rsidRPr="00E71D75" w14:paraId="46AB16FA"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57008F6E"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19.</w:t>
            </w:r>
          </w:p>
        </w:tc>
        <w:tc>
          <w:tcPr>
            <w:tcW w:w="2423" w:type="dxa"/>
            <w:tcBorders>
              <w:top w:val="nil"/>
              <w:left w:val="single" w:sz="8" w:space="0" w:color="D2232A"/>
              <w:bottom w:val="single" w:sz="8" w:space="0" w:color="F3CFC1"/>
              <w:right w:val="nil"/>
            </w:tcBorders>
            <w:shd w:val="clear" w:color="auto" w:fill="auto"/>
            <w:noWrap/>
            <w:vAlign w:val="center"/>
            <w:hideMark/>
          </w:tcPr>
          <w:p w14:paraId="359B5E3A" w14:textId="77777777" w:rsidR="00E71D75" w:rsidRPr="00DA72A4"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 xml:space="preserve">Pregrada, </w:t>
            </w:r>
          </w:p>
          <w:p w14:paraId="4B8B632D" w14:textId="78C4EBEA"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Vrhi Pregradski</w:t>
            </w:r>
          </w:p>
        </w:tc>
        <w:tc>
          <w:tcPr>
            <w:tcW w:w="4072" w:type="dxa"/>
            <w:tcBorders>
              <w:top w:val="nil"/>
              <w:left w:val="single" w:sz="8" w:space="0" w:color="D2232A"/>
              <w:bottom w:val="single" w:sz="8" w:space="0" w:color="F3CFC1"/>
              <w:right w:val="nil"/>
            </w:tcBorders>
            <w:shd w:val="clear" w:color="auto" w:fill="auto"/>
            <w:noWrap/>
            <w:vAlign w:val="center"/>
            <w:hideMark/>
          </w:tcPr>
          <w:p w14:paraId="3D68849F"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Sv. Leonarda</w:t>
            </w:r>
          </w:p>
        </w:tc>
        <w:tc>
          <w:tcPr>
            <w:tcW w:w="2307" w:type="dxa"/>
            <w:tcBorders>
              <w:top w:val="nil"/>
              <w:left w:val="single" w:sz="8" w:space="0" w:color="D2232A"/>
              <w:bottom w:val="single" w:sz="8" w:space="0" w:color="F3CFC1"/>
              <w:right w:val="nil"/>
            </w:tcBorders>
            <w:shd w:val="clear" w:color="auto" w:fill="auto"/>
            <w:vAlign w:val="bottom"/>
            <w:hideMark/>
          </w:tcPr>
          <w:p w14:paraId="6DB4A858" w14:textId="277E1484"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100.000,00    </w:t>
            </w:r>
          </w:p>
        </w:tc>
      </w:tr>
      <w:tr w:rsidR="00E71D75" w:rsidRPr="00E71D75" w14:paraId="18117E30"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2C9D5AF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20.</w:t>
            </w:r>
          </w:p>
        </w:tc>
        <w:tc>
          <w:tcPr>
            <w:tcW w:w="2423" w:type="dxa"/>
            <w:tcBorders>
              <w:top w:val="nil"/>
              <w:left w:val="single" w:sz="8" w:space="0" w:color="D2232A"/>
              <w:bottom w:val="single" w:sz="8" w:space="0" w:color="F3CFC1"/>
              <w:right w:val="nil"/>
            </w:tcBorders>
            <w:shd w:val="clear" w:color="auto" w:fill="auto"/>
            <w:noWrap/>
            <w:vAlign w:val="center"/>
            <w:hideMark/>
          </w:tcPr>
          <w:p w14:paraId="2BB6E5DC" w14:textId="77777777" w:rsidR="00E71D75" w:rsidRPr="00E71D75" w:rsidRDefault="00E71D75" w:rsidP="00E71D75">
            <w:pPr>
              <w:spacing w:after="0" w:line="240" w:lineRule="auto"/>
              <w:jc w:val="left"/>
              <w:rPr>
                <w:rFonts w:eastAsia="Times New Roman" w:cs="Calibri"/>
                <w:color w:val="3F3F3F"/>
                <w:szCs w:val="18"/>
                <w:lang w:eastAsia="hr-HR"/>
              </w:rPr>
            </w:pPr>
            <w:r w:rsidRPr="00E71D75">
              <w:rPr>
                <w:rFonts w:eastAsia="Times New Roman" w:cs="Calibri"/>
                <w:color w:val="3F3F3F"/>
                <w:szCs w:val="18"/>
                <w:lang w:eastAsia="hr-HR"/>
              </w:rPr>
              <w:t>Sveti Križ Začretje, Klupci</w:t>
            </w:r>
          </w:p>
        </w:tc>
        <w:tc>
          <w:tcPr>
            <w:tcW w:w="4072" w:type="dxa"/>
            <w:tcBorders>
              <w:top w:val="nil"/>
              <w:left w:val="single" w:sz="8" w:space="0" w:color="D2232A"/>
              <w:bottom w:val="single" w:sz="8" w:space="0" w:color="F3CFC1"/>
              <w:right w:val="nil"/>
            </w:tcBorders>
            <w:shd w:val="clear" w:color="auto" w:fill="auto"/>
            <w:noWrap/>
            <w:vAlign w:val="center"/>
            <w:hideMark/>
          </w:tcPr>
          <w:p w14:paraId="229CEAA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Blažene Djevice Marije</w:t>
            </w:r>
          </w:p>
        </w:tc>
        <w:tc>
          <w:tcPr>
            <w:tcW w:w="2307" w:type="dxa"/>
            <w:tcBorders>
              <w:top w:val="nil"/>
              <w:left w:val="single" w:sz="8" w:space="0" w:color="D2232A"/>
              <w:bottom w:val="single" w:sz="8" w:space="0" w:color="F3CFC1"/>
              <w:right w:val="nil"/>
            </w:tcBorders>
            <w:shd w:val="clear" w:color="auto" w:fill="auto"/>
            <w:vAlign w:val="bottom"/>
            <w:hideMark/>
          </w:tcPr>
          <w:p w14:paraId="78E22E27" w14:textId="33E0DC26"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100.000,00    </w:t>
            </w:r>
          </w:p>
        </w:tc>
      </w:tr>
      <w:tr w:rsidR="00E71D75" w:rsidRPr="00E71D75" w14:paraId="3AA1BE77"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7222C031"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21.</w:t>
            </w:r>
          </w:p>
        </w:tc>
        <w:tc>
          <w:tcPr>
            <w:tcW w:w="2423" w:type="dxa"/>
            <w:tcBorders>
              <w:top w:val="nil"/>
              <w:left w:val="single" w:sz="8" w:space="0" w:color="D2232A"/>
              <w:bottom w:val="single" w:sz="8" w:space="0" w:color="F3CFC1"/>
              <w:right w:val="nil"/>
            </w:tcBorders>
            <w:shd w:val="clear" w:color="auto" w:fill="auto"/>
            <w:noWrap/>
            <w:vAlign w:val="center"/>
            <w:hideMark/>
          </w:tcPr>
          <w:p w14:paraId="3A33FFF4"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Sveti Križ Začretje</w:t>
            </w:r>
          </w:p>
        </w:tc>
        <w:tc>
          <w:tcPr>
            <w:tcW w:w="4072" w:type="dxa"/>
            <w:tcBorders>
              <w:top w:val="nil"/>
              <w:left w:val="single" w:sz="8" w:space="0" w:color="D2232A"/>
              <w:bottom w:val="single" w:sz="8" w:space="0" w:color="F3CFC1"/>
              <w:right w:val="nil"/>
            </w:tcBorders>
            <w:shd w:val="clear" w:color="auto" w:fill="auto"/>
            <w:noWrap/>
            <w:vAlign w:val="center"/>
            <w:hideMark/>
          </w:tcPr>
          <w:p w14:paraId="77EEF9B2"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Sv. Križa</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25EE1B80" w14:textId="1154DF72"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100.000,00    </w:t>
            </w:r>
          </w:p>
        </w:tc>
      </w:tr>
      <w:tr w:rsidR="00E71D75" w:rsidRPr="00E71D75" w14:paraId="0ED76F9D"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6A14A136"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22.</w:t>
            </w:r>
          </w:p>
        </w:tc>
        <w:tc>
          <w:tcPr>
            <w:tcW w:w="2423" w:type="dxa"/>
            <w:tcBorders>
              <w:top w:val="nil"/>
              <w:left w:val="single" w:sz="8" w:space="0" w:color="D2232A"/>
              <w:bottom w:val="single" w:sz="8" w:space="0" w:color="F3CFC1"/>
              <w:right w:val="nil"/>
            </w:tcBorders>
            <w:shd w:val="clear" w:color="auto" w:fill="auto"/>
            <w:noWrap/>
            <w:vAlign w:val="center"/>
            <w:hideMark/>
          </w:tcPr>
          <w:p w14:paraId="3479877C"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Sveti Križ Začretje</w:t>
            </w:r>
          </w:p>
        </w:tc>
        <w:tc>
          <w:tcPr>
            <w:tcW w:w="4072" w:type="dxa"/>
            <w:tcBorders>
              <w:top w:val="nil"/>
              <w:left w:val="single" w:sz="8" w:space="0" w:color="D2232A"/>
              <w:bottom w:val="single" w:sz="8" w:space="0" w:color="F3CFC1"/>
              <w:right w:val="nil"/>
            </w:tcBorders>
            <w:shd w:val="clear" w:color="auto" w:fill="auto"/>
            <w:noWrap/>
            <w:vAlign w:val="center"/>
            <w:hideMark/>
          </w:tcPr>
          <w:p w14:paraId="354F64FB"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Župni dvor</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41E1CF38" w14:textId="097D52E5"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150.000,00    </w:t>
            </w:r>
          </w:p>
        </w:tc>
      </w:tr>
      <w:tr w:rsidR="00E71D75" w:rsidRPr="00E71D75" w14:paraId="3E7CC47B"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79E18C75"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23.</w:t>
            </w:r>
          </w:p>
        </w:tc>
        <w:tc>
          <w:tcPr>
            <w:tcW w:w="2423" w:type="dxa"/>
            <w:tcBorders>
              <w:top w:val="nil"/>
              <w:left w:val="single" w:sz="8" w:space="0" w:color="D2232A"/>
              <w:bottom w:val="single" w:sz="8" w:space="0" w:color="F3CFC1"/>
              <w:right w:val="nil"/>
            </w:tcBorders>
            <w:shd w:val="clear" w:color="auto" w:fill="auto"/>
            <w:noWrap/>
            <w:vAlign w:val="center"/>
            <w:hideMark/>
          </w:tcPr>
          <w:p w14:paraId="5CD66E12"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Tuhelj, Lenišće</w:t>
            </w:r>
          </w:p>
        </w:tc>
        <w:tc>
          <w:tcPr>
            <w:tcW w:w="4072" w:type="dxa"/>
            <w:tcBorders>
              <w:top w:val="nil"/>
              <w:left w:val="single" w:sz="8" w:space="0" w:color="D2232A"/>
              <w:bottom w:val="single" w:sz="8" w:space="0" w:color="F3CFC1"/>
              <w:right w:val="nil"/>
            </w:tcBorders>
            <w:shd w:val="clear" w:color="auto" w:fill="auto"/>
            <w:noWrap/>
            <w:vAlign w:val="center"/>
            <w:hideMark/>
          </w:tcPr>
          <w:p w14:paraId="2949954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Sv. Margarete</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06EFF453" w14:textId="1E3DC461"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100.000,00    </w:t>
            </w:r>
          </w:p>
        </w:tc>
      </w:tr>
      <w:tr w:rsidR="00E71D75" w:rsidRPr="00E71D75" w14:paraId="092206FD"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538A8297"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24.</w:t>
            </w:r>
          </w:p>
        </w:tc>
        <w:tc>
          <w:tcPr>
            <w:tcW w:w="2423" w:type="dxa"/>
            <w:tcBorders>
              <w:top w:val="nil"/>
              <w:left w:val="single" w:sz="8" w:space="0" w:color="D2232A"/>
              <w:bottom w:val="single" w:sz="8" w:space="0" w:color="F3CFC1"/>
              <w:right w:val="nil"/>
            </w:tcBorders>
            <w:shd w:val="clear" w:color="auto" w:fill="auto"/>
            <w:noWrap/>
            <w:vAlign w:val="center"/>
            <w:hideMark/>
          </w:tcPr>
          <w:p w14:paraId="03C0C7E1"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Tuhelj</w:t>
            </w:r>
          </w:p>
        </w:tc>
        <w:tc>
          <w:tcPr>
            <w:tcW w:w="4072" w:type="dxa"/>
            <w:tcBorders>
              <w:top w:val="nil"/>
              <w:left w:val="single" w:sz="8" w:space="0" w:color="D2232A"/>
              <w:bottom w:val="single" w:sz="8" w:space="0" w:color="F3CFC1"/>
              <w:right w:val="nil"/>
            </w:tcBorders>
            <w:shd w:val="clear" w:color="auto" w:fill="auto"/>
            <w:noWrap/>
            <w:vAlign w:val="center"/>
            <w:hideMark/>
          </w:tcPr>
          <w:p w14:paraId="15C0C13B"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Sv. Josipa</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1EC1BAA5" w14:textId="16F66250"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50.000,00    </w:t>
            </w:r>
          </w:p>
        </w:tc>
      </w:tr>
      <w:tr w:rsidR="00E71D75" w:rsidRPr="00E71D75" w14:paraId="7C073864"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7972D07A"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25.</w:t>
            </w:r>
          </w:p>
        </w:tc>
        <w:tc>
          <w:tcPr>
            <w:tcW w:w="2423" w:type="dxa"/>
            <w:tcBorders>
              <w:top w:val="nil"/>
              <w:left w:val="single" w:sz="8" w:space="0" w:color="D2232A"/>
              <w:bottom w:val="single" w:sz="8" w:space="0" w:color="F3CFC1"/>
              <w:right w:val="nil"/>
            </w:tcBorders>
            <w:shd w:val="clear" w:color="auto" w:fill="auto"/>
            <w:noWrap/>
            <w:vAlign w:val="center"/>
            <w:hideMark/>
          </w:tcPr>
          <w:p w14:paraId="44B4DDD8"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Tuhelj</w:t>
            </w:r>
          </w:p>
        </w:tc>
        <w:tc>
          <w:tcPr>
            <w:tcW w:w="4072" w:type="dxa"/>
            <w:tcBorders>
              <w:top w:val="nil"/>
              <w:left w:val="single" w:sz="8" w:space="0" w:color="D2232A"/>
              <w:bottom w:val="single" w:sz="8" w:space="0" w:color="F3CFC1"/>
              <w:right w:val="nil"/>
            </w:tcBorders>
            <w:shd w:val="clear" w:color="auto" w:fill="auto"/>
            <w:noWrap/>
            <w:vAlign w:val="center"/>
            <w:hideMark/>
          </w:tcPr>
          <w:p w14:paraId="69AF7551"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Uznesenja BDM</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0B349A11" w14:textId="2C509BEA"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150.000,00    </w:t>
            </w:r>
          </w:p>
        </w:tc>
      </w:tr>
      <w:tr w:rsidR="00E71D75" w:rsidRPr="00E71D75" w14:paraId="12F11631"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3C0B59B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26.</w:t>
            </w:r>
          </w:p>
        </w:tc>
        <w:tc>
          <w:tcPr>
            <w:tcW w:w="2423" w:type="dxa"/>
            <w:tcBorders>
              <w:top w:val="nil"/>
              <w:left w:val="single" w:sz="8" w:space="0" w:color="D2232A"/>
              <w:bottom w:val="single" w:sz="8" w:space="0" w:color="F3CFC1"/>
              <w:right w:val="nil"/>
            </w:tcBorders>
            <w:shd w:val="clear" w:color="auto" w:fill="auto"/>
            <w:noWrap/>
            <w:vAlign w:val="center"/>
            <w:hideMark/>
          </w:tcPr>
          <w:p w14:paraId="1A7D0E28"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Tuhelj</w:t>
            </w:r>
          </w:p>
        </w:tc>
        <w:tc>
          <w:tcPr>
            <w:tcW w:w="4072" w:type="dxa"/>
            <w:tcBorders>
              <w:top w:val="nil"/>
              <w:left w:val="single" w:sz="8" w:space="0" w:color="D2232A"/>
              <w:bottom w:val="single" w:sz="8" w:space="0" w:color="F3CFC1"/>
              <w:right w:val="nil"/>
            </w:tcBorders>
            <w:shd w:val="clear" w:color="auto" w:fill="auto"/>
            <w:noWrap/>
            <w:vAlign w:val="center"/>
            <w:hideMark/>
          </w:tcPr>
          <w:p w14:paraId="4A94DE1C"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Župni dvor</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4C19C03F" w14:textId="083E4BB6"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50.000,00    </w:t>
            </w:r>
          </w:p>
        </w:tc>
      </w:tr>
      <w:tr w:rsidR="00E71D75" w:rsidRPr="00E71D75" w14:paraId="33ED77E3"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45ED1F75"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27.</w:t>
            </w:r>
          </w:p>
        </w:tc>
        <w:tc>
          <w:tcPr>
            <w:tcW w:w="2423" w:type="dxa"/>
            <w:tcBorders>
              <w:top w:val="nil"/>
              <w:left w:val="single" w:sz="8" w:space="0" w:color="D2232A"/>
              <w:bottom w:val="single" w:sz="8" w:space="0" w:color="F3CFC1"/>
              <w:right w:val="nil"/>
            </w:tcBorders>
            <w:shd w:val="clear" w:color="auto" w:fill="auto"/>
            <w:noWrap/>
            <w:vAlign w:val="center"/>
            <w:hideMark/>
          </w:tcPr>
          <w:p w14:paraId="34DC942F"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Strmec</w:t>
            </w:r>
          </w:p>
        </w:tc>
        <w:tc>
          <w:tcPr>
            <w:tcW w:w="4072" w:type="dxa"/>
            <w:tcBorders>
              <w:top w:val="nil"/>
              <w:left w:val="single" w:sz="8" w:space="0" w:color="D2232A"/>
              <w:bottom w:val="single" w:sz="8" w:space="0" w:color="F3CFC1"/>
              <w:right w:val="nil"/>
            </w:tcBorders>
            <w:shd w:val="clear" w:color="auto" w:fill="auto"/>
            <w:noWrap/>
            <w:vAlign w:val="center"/>
            <w:hideMark/>
          </w:tcPr>
          <w:p w14:paraId="0D2DB042" w14:textId="16C0FE48"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B</w:t>
            </w:r>
            <w:r w:rsidR="005514E8" w:rsidRPr="00DA72A4">
              <w:rPr>
                <w:rFonts w:eastAsia="Times New Roman" w:cs="Calibri"/>
                <w:color w:val="3F3F3F"/>
                <w:szCs w:val="18"/>
                <w:lang w:eastAsia="hr-HR"/>
              </w:rPr>
              <w:t xml:space="preserve">lažene </w:t>
            </w:r>
            <w:r w:rsidRPr="00E71D75">
              <w:rPr>
                <w:rFonts w:eastAsia="Times New Roman" w:cs="Calibri"/>
                <w:color w:val="3F3F3F"/>
                <w:szCs w:val="18"/>
                <w:lang w:eastAsia="hr-HR"/>
              </w:rPr>
              <w:t>D</w:t>
            </w:r>
            <w:r w:rsidR="005514E8" w:rsidRPr="00DA72A4">
              <w:rPr>
                <w:rFonts w:eastAsia="Times New Roman" w:cs="Calibri"/>
                <w:color w:val="3F3F3F"/>
                <w:szCs w:val="18"/>
                <w:lang w:eastAsia="hr-HR"/>
              </w:rPr>
              <w:t xml:space="preserve">jevice </w:t>
            </w:r>
            <w:r w:rsidRPr="00E71D75">
              <w:rPr>
                <w:rFonts w:eastAsia="Times New Roman" w:cs="Calibri"/>
                <w:color w:val="3F3F3F"/>
                <w:szCs w:val="18"/>
                <w:lang w:eastAsia="hr-HR"/>
              </w:rPr>
              <w:t>M</w:t>
            </w:r>
            <w:r w:rsidR="005514E8" w:rsidRPr="00DA72A4">
              <w:rPr>
                <w:rFonts w:eastAsia="Times New Roman" w:cs="Calibri"/>
                <w:color w:val="3F3F3F"/>
                <w:szCs w:val="18"/>
                <w:lang w:eastAsia="hr-HR"/>
              </w:rPr>
              <w:t>arije</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2CCF9E02" w14:textId="5162E259"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230.000,00    </w:t>
            </w:r>
          </w:p>
        </w:tc>
      </w:tr>
      <w:tr w:rsidR="00E71D75" w:rsidRPr="00E71D75" w14:paraId="30CF7111"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381D0C0B"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28.</w:t>
            </w:r>
          </w:p>
        </w:tc>
        <w:tc>
          <w:tcPr>
            <w:tcW w:w="2423" w:type="dxa"/>
            <w:tcBorders>
              <w:top w:val="nil"/>
              <w:left w:val="single" w:sz="8" w:space="0" w:color="D2232A"/>
              <w:bottom w:val="single" w:sz="8" w:space="0" w:color="F3CFC1"/>
              <w:right w:val="nil"/>
            </w:tcBorders>
            <w:shd w:val="clear" w:color="auto" w:fill="auto"/>
            <w:vAlign w:val="center"/>
            <w:hideMark/>
          </w:tcPr>
          <w:p w14:paraId="4D63CDE6" w14:textId="77777777" w:rsidR="00E71D75" w:rsidRPr="00E71D75" w:rsidRDefault="00E71D75" w:rsidP="00E71D75">
            <w:pPr>
              <w:spacing w:after="0" w:line="240" w:lineRule="auto"/>
              <w:jc w:val="left"/>
              <w:rPr>
                <w:rFonts w:eastAsia="Times New Roman" w:cs="Calibri"/>
                <w:color w:val="3F3F3F"/>
                <w:szCs w:val="18"/>
                <w:lang w:eastAsia="hr-HR"/>
              </w:rPr>
            </w:pPr>
            <w:r w:rsidRPr="00E71D75">
              <w:rPr>
                <w:rFonts w:eastAsia="Times New Roman" w:cs="Calibri"/>
                <w:color w:val="3F3F3F"/>
                <w:szCs w:val="18"/>
                <w:lang w:eastAsia="hr-HR"/>
              </w:rPr>
              <w:t xml:space="preserve">Veliko Trgovišće, </w:t>
            </w:r>
            <w:r w:rsidRPr="00E71D75">
              <w:rPr>
                <w:rFonts w:eastAsia="Times New Roman" w:cs="Calibri"/>
                <w:color w:val="3F3F3F"/>
                <w:szCs w:val="18"/>
                <w:lang w:eastAsia="hr-HR"/>
              </w:rPr>
              <w:br/>
              <w:t>Velika Erpenja</w:t>
            </w:r>
          </w:p>
        </w:tc>
        <w:tc>
          <w:tcPr>
            <w:tcW w:w="4072" w:type="dxa"/>
            <w:tcBorders>
              <w:top w:val="nil"/>
              <w:left w:val="single" w:sz="8" w:space="0" w:color="D2232A"/>
              <w:bottom w:val="single" w:sz="8" w:space="0" w:color="F3CFC1"/>
              <w:right w:val="nil"/>
            </w:tcBorders>
            <w:shd w:val="clear" w:color="auto" w:fill="auto"/>
            <w:noWrap/>
            <w:vAlign w:val="center"/>
            <w:hideMark/>
          </w:tcPr>
          <w:p w14:paraId="08DECA79"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Crkva Sv. Tri kralja</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660A363B" w14:textId="77777777"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100.000,00    </w:t>
            </w:r>
          </w:p>
        </w:tc>
      </w:tr>
      <w:tr w:rsidR="00E71D75" w:rsidRPr="00E71D75" w14:paraId="7F3E7F7B"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213167C7"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29.</w:t>
            </w:r>
          </w:p>
        </w:tc>
        <w:tc>
          <w:tcPr>
            <w:tcW w:w="2423" w:type="dxa"/>
            <w:tcBorders>
              <w:top w:val="nil"/>
              <w:left w:val="single" w:sz="8" w:space="0" w:color="D2232A"/>
              <w:bottom w:val="single" w:sz="8" w:space="0" w:color="F3CFC1"/>
              <w:right w:val="nil"/>
            </w:tcBorders>
            <w:shd w:val="clear" w:color="auto" w:fill="auto"/>
            <w:noWrap/>
            <w:vAlign w:val="center"/>
            <w:hideMark/>
          </w:tcPr>
          <w:p w14:paraId="7F670585"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Veliko Trgovišće</w:t>
            </w:r>
          </w:p>
        </w:tc>
        <w:tc>
          <w:tcPr>
            <w:tcW w:w="4072" w:type="dxa"/>
            <w:tcBorders>
              <w:top w:val="nil"/>
              <w:left w:val="single" w:sz="8" w:space="0" w:color="D2232A"/>
              <w:bottom w:val="single" w:sz="8" w:space="0" w:color="F3CFC1"/>
              <w:right w:val="nil"/>
            </w:tcBorders>
            <w:shd w:val="clear" w:color="auto" w:fill="auto"/>
            <w:noWrap/>
            <w:vAlign w:val="center"/>
            <w:hideMark/>
          </w:tcPr>
          <w:p w14:paraId="2E4BC36B"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Majke Božje od sedam žalosti</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2B949C57" w14:textId="4AFB2781"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300.000,00    </w:t>
            </w:r>
          </w:p>
        </w:tc>
      </w:tr>
      <w:tr w:rsidR="00E71D75" w:rsidRPr="00E71D75" w14:paraId="53511EAC" w14:textId="77777777" w:rsidTr="005514E8">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1BAD95A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30.</w:t>
            </w:r>
          </w:p>
        </w:tc>
        <w:tc>
          <w:tcPr>
            <w:tcW w:w="2423" w:type="dxa"/>
            <w:tcBorders>
              <w:top w:val="nil"/>
              <w:left w:val="single" w:sz="8" w:space="0" w:color="D2232A"/>
              <w:bottom w:val="single" w:sz="8" w:space="0" w:color="F3CFC1"/>
              <w:right w:val="nil"/>
            </w:tcBorders>
            <w:shd w:val="clear" w:color="auto" w:fill="auto"/>
            <w:vAlign w:val="center"/>
            <w:hideMark/>
          </w:tcPr>
          <w:p w14:paraId="6D523CBE" w14:textId="77777777" w:rsidR="00E71D75" w:rsidRPr="00E71D75" w:rsidRDefault="00E71D75" w:rsidP="00E71D75">
            <w:pPr>
              <w:spacing w:after="0" w:line="240" w:lineRule="auto"/>
              <w:jc w:val="left"/>
              <w:rPr>
                <w:rFonts w:eastAsia="Times New Roman" w:cs="Calibri"/>
                <w:color w:val="3F3F3F"/>
                <w:szCs w:val="18"/>
                <w:lang w:eastAsia="hr-HR"/>
              </w:rPr>
            </w:pPr>
            <w:r w:rsidRPr="00E71D75">
              <w:rPr>
                <w:rFonts w:eastAsia="Times New Roman" w:cs="Calibri"/>
                <w:color w:val="3F3F3F"/>
                <w:szCs w:val="18"/>
                <w:lang w:eastAsia="hr-HR"/>
              </w:rPr>
              <w:t xml:space="preserve">Zagorska Sela, </w:t>
            </w:r>
            <w:r w:rsidRPr="00E71D75">
              <w:rPr>
                <w:rFonts w:eastAsia="Times New Roman" w:cs="Calibri"/>
                <w:color w:val="3F3F3F"/>
                <w:szCs w:val="18"/>
                <w:lang w:eastAsia="hr-HR"/>
              </w:rPr>
              <w:br/>
              <w:t>Ivanić Miljanski</w:t>
            </w:r>
          </w:p>
        </w:tc>
        <w:tc>
          <w:tcPr>
            <w:tcW w:w="4072" w:type="dxa"/>
            <w:tcBorders>
              <w:top w:val="nil"/>
              <w:left w:val="single" w:sz="8" w:space="0" w:color="D2232A"/>
              <w:bottom w:val="single" w:sz="8" w:space="0" w:color="F3CFC1"/>
              <w:right w:val="nil"/>
            </w:tcBorders>
            <w:shd w:val="clear" w:color="auto" w:fill="auto"/>
            <w:noWrap/>
            <w:vAlign w:val="center"/>
            <w:hideMark/>
          </w:tcPr>
          <w:p w14:paraId="06F13D83"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Kapela Sv. Ivana Evanđeliste</w:t>
            </w:r>
          </w:p>
        </w:tc>
        <w:tc>
          <w:tcPr>
            <w:tcW w:w="2307" w:type="dxa"/>
            <w:tcBorders>
              <w:top w:val="nil"/>
              <w:left w:val="single" w:sz="8" w:space="0" w:color="D2232A"/>
              <w:bottom w:val="single" w:sz="8" w:space="0" w:color="F3CFC1"/>
              <w:right w:val="single" w:sz="8" w:space="0" w:color="C00000"/>
            </w:tcBorders>
            <w:shd w:val="clear" w:color="auto" w:fill="auto"/>
            <w:vAlign w:val="bottom"/>
            <w:hideMark/>
          </w:tcPr>
          <w:p w14:paraId="6FD1810F" w14:textId="77777777"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20.000,00    </w:t>
            </w:r>
          </w:p>
        </w:tc>
      </w:tr>
      <w:tr w:rsidR="00E71D75" w:rsidRPr="00E71D75" w14:paraId="210ADCD3" w14:textId="77777777" w:rsidTr="00D30130">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6A12A0FF"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31.</w:t>
            </w:r>
          </w:p>
        </w:tc>
        <w:tc>
          <w:tcPr>
            <w:tcW w:w="2423" w:type="dxa"/>
            <w:tcBorders>
              <w:top w:val="nil"/>
              <w:left w:val="single" w:sz="8" w:space="0" w:color="D2232A"/>
              <w:bottom w:val="single" w:sz="8" w:space="0" w:color="F3CFC1"/>
              <w:right w:val="nil"/>
            </w:tcBorders>
            <w:shd w:val="clear" w:color="auto" w:fill="auto"/>
            <w:noWrap/>
            <w:vAlign w:val="center"/>
            <w:hideMark/>
          </w:tcPr>
          <w:p w14:paraId="67B741C8"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Zagorska Sela</w:t>
            </w:r>
          </w:p>
        </w:tc>
        <w:tc>
          <w:tcPr>
            <w:tcW w:w="4072" w:type="dxa"/>
            <w:tcBorders>
              <w:top w:val="nil"/>
              <w:left w:val="single" w:sz="8" w:space="0" w:color="D2232A"/>
              <w:bottom w:val="single" w:sz="8" w:space="0" w:color="F3CFC1"/>
              <w:right w:val="nil"/>
            </w:tcBorders>
            <w:shd w:val="clear" w:color="auto" w:fill="auto"/>
            <w:noWrap/>
            <w:vAlign w:val="center"/>
            <w:hideMark/>
          </w:tcPr>
          <w:p w14:paraId="7C638C1D"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Sv. Katarine</w:t>
            </w:r>
          </w:p>
        </w:tc>
        <w:tc>
          <w:tcPr>
            <w:tcW w:w="2307" w:type="dxa"/>
            <w:tcBorders>
              <w:top w:val="nil"/>
              <w:left w:val="single" w:sz="8" w:space="0" w:color="D2232A"/>
              <w:bottom w:val="single" w:sz="8" w:space="0" w:color="F3CFC1"/>
              <w:right w:val="nil"/>
            </w:tcBorders>
            <w:shd w:val="clear" w:color="auto" w:fill="auto"/>
            <w:vAlign w:val="bottom"/>
            <w:hideMark/>
          </w:tcPr>
          <w:p w14:paraId="12033B69" w14:textId="228C0A56"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100.000,00    </w:t>
            </w:r>
          </w:p>
        </w:tc>
      </w:tr>
      <w:tr w:rsidR="00D30130" w:rsidRPr="00E71D75" w14:paraId="55648C73" w14:textId="77777777" w:rsidTr="00D30130">
        <w:trPr>
          <w:trHeight w:val="20"/>
        </w:trPr>
        <w:tc>
          <w:tcPr>
            <w:tcW w:w="544" w:type="dxa"/>
            <w:tcBorders>
              <w:top w:val="nil"/>
              <w:left w:val="single" w:sz="8" w:space="0" w:color="D2232A"/>
              <w:bottom w:val="single" w:sz="8" w:space="0" w:color="F3CFC1"/>
              <w:right w:val="nil"/>
            </w:tcBorders>
            <w:shd w:val="clear" w:color="auto" w:fill="auto"/>
            <w:noWrap/>
            <w:vAlign w:val="center"/>
            <w:hideMark/>
          </w:tcPr>
          <w:p w14:paraId="38C64E8A"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32.</w:t>
            </w:r>
          </w:p>
        </w:tc>
        <w:tc>
          <w:tcPr>
            <w:tcW w:w="2423" w:type="dxa"/>
            <w:tcBorders>
              <w:top w:val="single" w:sz="8" w:space="0" w:color="F3CFC1"/>
              <w:left w:val="single" w:sz="8" w:space="0" w:color="D2232A"/>
              <w:bottom w:val="single" w:sz="8" w:space="0" w:color="FFC000"/>
              <w:right w:val="nil"/>
            </w:tcBorders>
            <w:shd w:val="clear" w:color="auto" w:fill="auto"/>
            <w:noWrap/>
            <w:vAlign w:val="center"/>
            <w:hideMark/>
          </w:tcPr>
          <w:p w14:paraId="2ABFCD57"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Zlatar, Belec</w:t>
            </w:r>
          </w:p>
        </w:tc>
        <w:tc>
          <w:tcPr>
            <w:tcW w:w="4072" w:type="dxa"/>
            <w:tcBorders>
              <w:top w:val="single" w:sz="8" w:space="0" w:color="F3CFC1"/>
              <w:left w:val="single" w:sz="8" w:space="0" w:color="D2232A"/>
              <w:bottom w:val="single" w:sz="8" w:space="0" w:color="FFC000"/>
              <w:right w:val="nil"/>
            </w:tcBorders>
            <w:shd w:val="clear" w:color="auto" w:fill="auto"/>
            <w:noWrap/>
            <w:vAlign w:val="center"/>
            <w:hideMark/>
          </w:tcPr>
          <w:p w14:paraId="1B3547D7" w14:textId="77777777" w:rsidR="00E71D75" w:rsidRPr="00E71D75" w:rsidRDefault="00E71D75" w:rsidP="00E71D75">
            <w:pPr>
              <w:spacing w:after="0" w:line="240" w:lineRule="auto"/>
              <w:rPr>
                <w:rFonts w:eastAsia="Times New Roman" w:cs="Calibri"/>
                <w:color w:val="3F3F3F"/>
                <w:szCs w:val="18"/>
                <w:lang w:eastAsia="hr-HR"/>
              </w:rPr>
            </w:pPr>
            <w:r w:rsidRPr="00E71D75">
              <w:rPr>
                <w:rFonts w:eastAsia="Times New Roman" w:cs="Calibri"/>
                <w:color w:val="3F3F3F"/>
                <w:szCs w:val="18"/>
                <w:lang w:eastAsia="hr-HR"/>
              </w:rPr>
              <w:t>Župna crkva Majke Božje Snježne</w:t>
            </w:r>
          </w:p>
        </w:tc>
        <w:tc>
          <w:tcPr>
            <w:tcW w:w="2307" w:type="dxa"/>
            <w:tcBorders>
              <w:top w:val="single" w:sz="8" w:space="0" w:color="F3CFC1"/>
              <w:left w:val="single" w:sz="8" w:space="0" w:color="D2232A"/>
              <w:bottom w:val="single" w:sz="8" w:space="0" w:color="FFC000"/>
              <w:right w:val="nil"/>
            </w:tcBorders>
            <w:shd w:val="clear" w:color="auto" w:fill="auto"/>
            <w:vAlign w:val="bottom"/>
            <w:hideMark/>
          </w:tcPr>
          <w:p w14:paraId="6611D6A6" w14:textId="3E773E2E" w:rsidR="00E71D75" w:rsidRPr="00E71D75" w:rsidRDefault="00E71D75" w:rsidP="00E71D75">
            <w:pPr>
              <w:spacing w:after="0" w:line="240" w:lineRule="auto"/>
              <w:jc w:val="right"/>
              <w:rPr>
                <w:rFonts w:eastAsia="Times New Roman" w:cs="Calibri"/>
                <w:color w:val="3F3F3F"/>
                <w:szCs w:val="18"/>
                <w:lang w:eastAsia="hr-HR"/>
              </w:rPr>
            </w:pPr>
            <w:r w:rsidRPr="00E71D75">
              <w:rPr>
                <w:rFonts w:eastAsia="Times New Roman" w:cs="Calibri"/>
                <w:color w:val="3F3F3F"/>
                <w:szCs w:val="18"/>
                <w:lang w:eastAsia="hr-HR"/>
              </w:rPr>
              <w:t xml:space="preserve">                              400.000,00    </w:t>
            </w:r>
          </w:p>
        </w:tc>
      </w:tr>
      <w:tr w:rsidR="00D30130" w:rsidRPr="00E71D75" w14:paraId="3F486346" w14:textId="77777777" w:rsidTr="004E547B">
        <w:trPr>
          <w:trHeight w:val="227"/>
        </w:trPr>
        <w:tc>
          <w:tcPr>
            <w:tcW w:w="7039" w:type="dxa"/>
            <w:gridSpan w:val="3"/>
            <w:tcBorders>
              <w:top w:val="single" w:sz="8" w:space="0" w:color="F3CFC1"/>
              <w:left w:val="single" w:sz="8" w:space="0" w:color="D2232A"/>
              <w:bottom w:val="single" w:sz="8" w:space="0" w:color="FFC000"/>
              <w:right w:val="single" w:sz="8" w:space="0" w:color="C00000"/>
            </w:tcBorders>
            <w:shd w:val="clear" w:color="000000" w:fill="D2232A"/>
            <w:noWrap/>
            <w:vAlign w:val="center"/>
            <w:hideMark/>
          </w:tcPr>
          <w:p w14:paraId="0D6CF212" w14:textId="77777777" w:rsidR="00E71D75" w:rsidRPr="00E71D75" w:rsidRDefault="00E71D75" w:rsidP="00E71D75">
            <w:pPr>
              <w:spacing w:after="0" w:line="240" w:lineRule="auto"/>
              <w:jc w:val="center"/>
              <w:rPr>
                <w:rFonts w:eastAsia="Times New Roman" w:cs="Calibri"/>
                <w:color w:val="FFFFFF"/>
                <w:szCs w:val="18"/>
                <w:lang w:eastAsia="hr-HR"/>
              </w:rPr>
            </w:pPr>
            <w:r w:rsidRPr="00E71D75">
              <w:rPr>
                <w:rFonts w:eastAsia="Times New Roman" w:cs="Calibri"/>
                <w:color w:val="FFFFFF"/>
                <w:szCs w:val="18"/>
                <w:lang w:eastAsia="hr-HR"/>
              </w:rPr>
              <w:t>UKUPNO</w:t>
            </w:r>
          </w:p>
        </w:tc>
        <w:tc>
          <w:tcPr>
            <w:tcW w:w="2307" w:type="dxa"/>
            <w:tcBorders>
              <w:top w:val="single" w:sz="8" w:space="0" w:color="FFC000"/>
              <w:left w:val="nil"/>
              <w:bottom w:val="single" w:sz="8" w:space="0" w:color="FFC000"/>
              <w:right w:val="single" w:sz="8" w:space="0" w:color="C00000"/>
            </w:tcBorders>
            <w:shd w:val="clear" w:color="auto" w:fill="auto"/>
            <w:vAlign w:val="bottom"/>
            <w:hideMark/>
          </w:tcPr>
          <w:p w14:paraId="278F4B4C" w14:textId="12284FFF" w:rsidR="00E71D75" w:rsidRPr="00E71D75" w:rsidRDefault="00E71D75" w:rsidP="00850F9F">
            <w:pPr>
              <w:spacing w:after="0" w:line="240" w:lineRule="auto"/>
              <w:jc w:val="right"/>
              <w:rPr>
                <w:rFonts w:eastAsia="Times New Roman" w:cs="Calibri"/>
                <w:b/>
                <w:bCs/>
                <w:color w:val="3F3F3F"/>
                <w:szCs w:val="18"/>
                <w:lang w:eastAsia="hr-HR"/>
              </w:rPr>
            </w:pPr>
            <w:r w:rsidRPr="00E71D75">
              <w:rPr>
                <w:rFonts w:eastAsia="Times New Roman" w:cs="Calibri"/>
                <w:b/>
                <w:bCs/>
                <w:color w:val="3F3F3F"/>
                <w:szCs w:val="18"/>
                <w:lang w:eastAsia="hr-HR"/>
              </w:rPr>
              <w:t xml:space="preserve">                          5.603.750,00    </w:t>
            </w:r>
          </w:p>
        </w:tc>
      </w:tr>
    </w:tbl>
    <w:p w14:paraId="41BCD6C3" w14:textId="373A70BC" w:rsidR="00E71D75" w:rsidRDefault="00363612" w:rsidP="00363612">
      <w:pPr>
        <w:pStyle w:val="Izvor"/>
        <w:rPr>
          <w:i/>
          <w:color w:val="ABABAB" w:themeColor="text1" w:themeTint="A6"/>
          <w:sz w:val="16"/>
          <w:szCs w:val="16"/>
        </w:rPr>
      </w:pPr>
      <w:r w:rsidRPr="00363612">
        <w:rPr>
          <w:i/>
          <w:color w:val="ABABAB" w:themeColor="text1" w:themeTint="A6"/>
          <w:sz w:val="16"/>
          <w:szCs w:val="16"/>
        </w:rPr>
        <w:t>Izvor</w:t>
      </w:r>
      <w:r>
        <w:t xml:space="preserve">: </w:t>
      </w:r>
      <w:r w:rsidR="000A5781" w:rsidRPr="000A5781">
        <w:rPr>
          <w:i/>
          <w:color w:val="ABABAB" w:themeColor="text1" w:themeTint="A6"/>
          <w:sz w:val="16"/>
          <w:szCs w:val="16"/>
        </w:rPr>
        <w:t>Ministarstvo kulture i medija,</w:t>
      </w:r>
      <w:r w:rsidR="004E547B">
        <w:rPr>
          <w:i/>
          <w:color w:val="ABABAB" w:themeColor="text1" w:themeTint="A6"/>
          <w:sz w:val="16"/>
          <w:szCs w:val="16"/>
        </w:rPr>
        <w:t xml:space="preserve"> Odluka o određivanju i provođenju hitnih mjera zaštite na kulturnom dobrima na potresa području i njihovu financiranju,</w:t>
      </w:r>
      <w:r w:rsidR="00CB57E4">
        <w:rPr>
          <w:i/>
          <w:color w:val="ABABAB" w:themeColor="text1" w:themeTint="A6"/>
          <w:sz w:val="16"/>
          <w:szCs w:val="16"/>
        </w:rPr>
        <w:t xml:space="preserve"> </w:t>
      </w:r>
      <w:r w:rsidR="000A5781" w:rsidRPr="000A5781">
        <w:rPr>
          <w:i/>
          <w:color w:val="ABABAB" w:themeColor="text1" w:themeTint="A6"/>
          <w:sz w:val="16"/>
          <w:szCs w:val="16"/>
        </w:rPr>
        <w:lastRenderedPageBreak/>
        <w:t>https://minkulture.gov.hr/UserDocsImages/dokumenti/Doc/Popis%20kulturnih%20dobara%20na%20kojima%20%C4%87e%20se%20financirati%20hitne%20mjere%20za%C5%A1tite18.pdf</w:t>
      </w:r>
    </w:p>
    <w:p w14:paraId="1D4364BB" w14:textId="77777777" w:rsidR="00DC2492" w:rsidRDefault="00DC2492" w:rsidP="00363612">
      <w:pPr>
        <w:pStyle w:val="Izvor"/>
      </w:pPr>
    </w:p>
    <w:p w14:paraId="48A4928F" w14:textId="1B2B9F78" w:rsidR="00170C3C" w:rsidRPr="00670C02" w:rsidRDefault="00D16295" w:rsidP="00D16295">
      <w:pPr>
        <w:pStyle w:val="Naslov3"/>
        <w:rPr>
          <w:color w:val="9D1A1F" w:themeColor="accent4"/>
        </w:rPr>
      </w:pPr>
      <w:bookmarkStart w:id="270" w:name="_Toc85181384"/>
      <w:bookmarkEnd w:id="269"/>
      <w:r w:rsidRPr="00670C02">
        <w:rPr>
          <w:color w:val="9D1A1F" w:themeColor="accent4"/>
        </w:rPr>
        <w:t>1</w:t>
      </w:r>
      <w:r w:rsidR="00DC2492">
        <w:rPr>
          <w:color w:val="9D1A1F" w:themeColor="accent4"/>
        </w:rPr>
        <w:t>3</w:t>
      </w:r>
      <w:r w:rsidRPr="00670C02">
        <w:rPr>
          <w:color w:val="9D1A1F" w:themeColor="accent4"/>
        </w:rPr>
        <w:t>.</w:t>
      </w:r>
      <w:r w:rsidR="00DC2492">
        <w:rPr>
          <w:color w:val="9D1A1F" w:themeColor="accent4"/>
        </w:rPr>
        <w:t>7</w:t>
      </w:r>
      <w:r w:rsidRPr="00670C02">
        <w:rPr>
          <w:color w:val="9D1A1F" w:themeColor="accent4"/>
        </w:rPr>
        <w:t>.3. Poplave</w:t>
      </w:r>
      <w:bookmarkEnd w:id="270"/>
    </w:p>
    <w:p w14:paraId="5CFE5892" w14:textId="0D0D3660" w:rsidR="0058254C" w:rsidRDefault="00F30D20" w:rsidP="0058254C">
      <w:r>
        <w:br/>
      </w:r>
      <w:bookmarkStart w:id="271" w:name="_Hlk39586587"/>
      <w:r w:rsidR="00774DA3">
        <w:t xml:space="preserve">Poplave su prirodni fenomen čija se pojava ne može izbjeći, ali se rizici od poplavljivanja mogu smanjiti na prihvatljivu razinu poduzimanjem različitih preventivnih mjera. </w:t>
      </w:r>
      <w:bookmarkEnd w:id="271"/>
      <w:r w:rsidR="00774DA3">
        <w:t>Poplave mogu uzrokovati gubitke ljudskih života, velike materijalne štete, oštećenja kulturnih dobara te ekološke katastrofe. Mreža vodotoka Krapinsko-zagorske županije relativno je razvijena. Najveće slivove imaju rijeke Krapina i rijeka Sutla.</w:t>
      </w:r>
      <w:r w:rsidR="00B8396F">
        <w:t xml:space="preserve"> </w:t>
      </w:r>
      <w:bookmarkStart w:id="272" w:name="_Hlk39586611"/>
      <w:r w:rsidR="00B8396F">
        <w:t xml:space="preserve">Na slivu rijeke Krapine javljaju se nagle poplave uzrokovane intenzivnim oborinama povezane s povećanjem slabo propusnih površina zbog prenamjene iskorištavanja tla. </w:t>
      </w:r>
      <w:r w:rsidR="00760279">
        <w:t xml:space="preserve">Sutla se gotovo cijelom duljinom toka pri pojavi visokih voda izlijeva iz korita i plavi okolne, uglavnom poljoprivredne, površine. </w:t>
      </w:r>
      <w:bookmarkEnd w:id="272"/>
      <w:r w:rsidR="00C759B1">
        <w:t xml:space="preserve">Vodotoke na području KZŽ karakterizira peripanonski kišno-snježni režim što znači da je maksimum protoka i vodostaja u proljeće (ožujak-travanj) posljedica velike količine oborina te topljenja snijega. </w:t>
      </w:r>
      <w:r w:rsidR="00403151">
        <w:t>Glavnim provedbenim planom obrane od poplava (Hrvatske vode, ožujak 2018.), utvrđeni su tehnički i ostali elementi potrebni za upravljanje redovnom i izvanrednom obranom od poplava.</w:t>
      </w:r>
      <w:r w:rsidR="00574F55">
        <w:t xml:space="preserve"> Zaštitu od poplava na slivu Krapine čine nasipi, bujične pregrade i regulacijski radovi na rijeci Krapini i njenim pritocima.</w:t>
      </w:r>
      <w:r w:rsidR="008F7DD7">
        <w:t xml:space="preserve"> U slučaju događaja s najgorim mogućim posljedicama pretpostavlja se kako se neće javljati poplave u razmjerima u kojima bi stanovništvo bilo ugroženo u smislu da stanovništvo mora evakuirati, odnosno da bi bilo</w:t>
      </w:r>
      <w:r w:rsidR="00AD6203">
        <w:t xml:space="preserve"> životno ugroženo. </w:t>
      </w:r>
      <w:bookmarkStart w:id="273" w:name="_Hlk39586625"/>
      <w:r w:rsidR="00AD6203">
        <w:t xml:space="preserve">Usred poplava posljedice po gospodarstvo očitovale bi se u vidu šteta na pokretnoj i nepokretnoj imovini, gubitku repromaterijala, troškovima sanacije i sl. </w:t>
      </w:r>
    </w:p>
    <w:p w14:paraId="4EEBC0DD" w14:textId="77777777" w:rsidR="00B101F4" w:rsidRDefault="00B101F4" w:rsidP="0058254C"/>
    <w:p w14:paraId="5CD74B3B" w14:textId="6677A150" w:rsidR="00F30D20" w:rsidRPr="00670C02" w:rsidRDefault="00F30D20" w:rsidP="00F30D20">
      <w:pPr>
        <w:pStyle w:val="Naslov3"/>
        <w:rPr>
          <w:color w:val="9D1A1F" w:themeColor="accent4"/>
        </w:rPr>
      </w:pPr>
      <w:bookmarkStart w:id="274" w:name="_Toc85181385"/>
      <w:bookmarkEnd w:id="273"/>
      <w:r w:rsidRPr="00670C02">
        <w:rPr>
          <w:color w:val="9D1A1F" w:themeColor="accent4"/>
        </w:rPr>
        <w:t>1</w:t>
      </w:r>
      <w:r w:rsidR="00BA6140">
        <w:rPr>
          <w:color w:val="9D1A1F" w:themeColor="accent4"/>
        </w:rPr>
        <w:t>3</w:t>
      </w:r>
      <w:r w:rsidRPr="00670C02">
        <w:rPr>
          <w:color w:val="9D1A1F" w:themeColor="accent4"/>
        </w:rPr>
        <w:t>.</w:t>
      </w:r>
      <w:r w:rsidR="00BA6140">
        <w:rPr>
          <w:color w:val="9D1A1F" w:themeColor="accent4"/>
        </w:rPr>
        <w:t>7</w:t>
      </w:r>
      <w:r w:rsidRPr="00670C02">
        <w:rPr>
          <w:color w:val="9D1A1F" w:themeColor="accent4"/>
        </w:rPr>
        <w:t>.4. Epidemije i pandemije</w:t>
      </w:r>
      <w:bookmarkEnd w:id="274"/>
    </w:p>
    <w:p w14:paraId="2BD009AC" w14:textId="6F98DB93" w:rsidR="00F30D20" w:rsidRDefault="00F30D20" w:rsidP="00F30D20">
      <w:r>
        <w:br/>
      </w:r>
      <w:r w:rsidR="00D505B9">
        <w:t>Dokument ''Procjena rizika o velikih nesreća''</w:t>
      </w:r>
      <w:r w:rsidR="00963F10">
        <w:t xml:space="preserve"> </w:t>
      </w:r>
      <w:bookmarkStart w:id="275" w:name="_Hlk39586649"/>
      <w:r w:rsidR="00963F10">
        <w:t xml:space="preserve">kao glavni uzročnik epidemije i pandemije navodi virus influence, akutne zarazne bolesti s izraženim brzim širenjem i visokim brojem oboljelih. </w:t>
      </w:r>
      <w:bookmarkEnd w:id="275"/>
      <w:r w:rsidR="00332379">
        <w:t>Raspon oboljelih od gripe u KZŽ kretao se od 275 u sezoni 2014./2015., do 3 593 u sezoni 2015./2016.</w:t>
      </w:r>
      <w:r w:rsidR="00AF2963">
        <w:t xml:space="preserve"> Gripa se javlja u pandemijskom i epidemijskom oblik</w:t>
      </w:r>
      <w:r w:rsidR="00653AFB">
        <w:t xml:space="preserve">u </w:t>
      </w:r>
      <w:r w:rsidR="00AF2963">
        <w:t>a postotak stanovništva koji oboli kreće se od 10 do 20%.</w:t>
      </w:r>
      <w:r w:rsidR="001812EE">
        <w:t xml:space="preserve"> U slučaju pojave novih virusa epidemije se mogu proširiti diljem svijeta. U pandemijama obolijeva velik broj ljudi, a bolest može biti jednaka ili teža od uobičajene sezonske gripe koja se pojavljuje svake godine.</w:t>
      </w:r>
      <w:r w:rsidR="004578E1">
        <w:t xml:space="preserve"> </w:t>
      </w:r>
      <w:bookmarkStart w:id="276" w:name="_Hlk39586667"/>
      <w:r w:rsidR="004578E1">
        <w:t>U slučajevima pojave novih vrsta virusa predviđa se značajno veće obolijevanje stanovništva. Pretpostavlja se povećanje stope bolovanja radno aktivnog stanovništva te veći stupanj komplikacija i smrtnih slučajeva kod ranjivih skupina. Pojava epidemija i pandemija nema direktan utjecaj na kritičnu infrastrukturu,</w:t>
      </w:r>
      <w:r w:rsidR="00C725C9">
        <w:t xml:space="preserve"> no sa sobom nosi rizik od šteta po ekonomiju i </w:t>
      </w:r>
      <w:r w:rsidR="00476A26">
        <w:t>društvo</w:t>
      </w:r>
      <w:r w:rsidR="00C725C9">
        <w:t>.</w:t>
      </w:r>
    </w:p>
    <w:p w14:paraId="1C0B3804" w14:textId="77777777" w:rsidR="00B101F4" w:rsidRDefault="00B101F4" w:rsidP="00F30D20"/>
    <w:p w14:paraId="08EC06D5" w14:textId="1ABFD652" w:rsidR="008878A0" w:rsidRDefault="008878A0" w:rsidP="0052192B">
      <w:pPr>
        <w:pStyle w:val="Naslov2"/>
      </w:pPr>
      <w:bookmarkStart w:id="277" w:name="_Toc85181386"/>
      <w:bookmarkEnd w:id="276"/>
      <w:r>
        <w:t>1</w:t>
      </w:r>
      <w:r w:rsidR="00BA6140">
        <w:t>3</w:t>
      </w:r>
      <w:r>
        <w:t>.</w:t>
      </w:r>
      <w:r w:rsidR="00BA6140">
        <w:t>8</w:t>
      </w:r>
      <w:r>
        <w:t>. Brownfield investicije i vojni objekti</w:t>
      </w:r>
      <w:bookmarkEnd w:id="277"/>
    </w:p>
    <w:p w14:paraId="5906CC51" w14:textId="77777777" w:rsidR="00D452D4" w:rsidRPr="00D452D4" w:rsidRDefault="00D452D4" w:rsidP="00D452D4"/>
    <w:p w14:paraId="583C20B5" w14:textId="77777777" w:rsidR="008878A0" w:rsidRDefault="008878A0" w:rsidP="00941871">
      <w:pPr>
        <w:spacing w:line="252" w:lineRule="auto"/>
        <w:rPr>
          <w:rFonts w:ascii="Calibri" w:hAnsi="Calibri"/>
        </w:rPr>
      </w:pPr>
      <w:r>
        <w:t xml:space="preserve">Brownfield područja su zapuštena i nedovoljno iskorištena zemljišta i/ili građevine, degradirana prijašnjom namjenom ili njenim napuštanjem, uz koje su uglavnom vezani i ekološki problemi i kojima je potrebna određena intervencija. Brownfield lokacije obuhvaćaju industrijske građevine i zemljišta, vojne građevine i zemljišta, prometne građevine i infrastrukturu, stambene građevine i zemljišta i građevine i zemljišta društvene i javne namjene, zemljišta i građevine poljoprivrednih i rudarskih kompleksa. Te lokacije su uglavnom smještene u urbanim područjima, a okolnosti koje dodatno umanjuju njihovu prihvatljivost za nova ulaganja su visoki troškovi obnove ili uklanjanja radi dugotrajnog zapuštanja i devastacije. U posljednjih nekoliko desetljeća zamjetan je broj brownfield lokacija i u ruralnim područjima čija je gospodarska namjena uglavnom bila u sektoru primarnih djelatnosti (poljoprivreda, šumarstvo, rudarstvo). </w:t>
      </w:r>
    </w:p>
    <w:p w14:paraId="15BFB206" w14:textId="1EF70837" w:rsidR="008878A0" w:rsidRDefault="008878A0" w:rsidP="00941871">
      <w:pPr>
        <w:rPr>
          <w:rFonts w:asciiTheme="minorHAnsi" w:hAnsiTheme="minorHAnsi"/>
        </w:rPr>
      </w:pPr>
      <w:r>
        <w:t xml:space="preserve">Za područje Krapinsko-zagorske županije posljednji podaci prikupljeni su 2015. godine, a dopunjeni su početkom 2019. godine podacima Gradova/Općina u sastavu Urbane aglomeracije Zagreb. Tablica u nastavku nastala je nakon ažuriranja podataka od strane svih jedinica lokalne samouprave u studenom 2019. godine te predstavlja stanje brownfield lokacija u </w:t>
      </w:r>
      <w:r w:rsidR="00005B6D">
        <w:t>Ž</w:t>
      </w:r>
      <w:r>
        <w:t xml:space="preserve">upaniji temeljem </w:t>
      </w:r>
      <w:r w:rsidR="0091366F">
        <w:t>podataka koje su dali gradovi i općine.</w:t>
      </w:r>
    </w:p>
    <w:p w14:paraId="4BFDC596" w14:textId="77777777" w:rsidR="00D452D4" w:rsidRPr="00D452D4" w:rsidRDefault="00D452D4" w:rsidP="00D452D4"/>
    <w:p w14:paraId="44473D73" w14:textId="6B4A0DD8" w:rsidR="00E745AE" w:rsidRDefault="00E745AE" w:rsidP="003E3F3C">
      <w:pPr>
        <w:pStyle w:val="Opisslike"/>
      </w:pPr>
      <w:r>
        <w:t>Tablica</w:t>
      </w:r>
      <w:r w:rsidR="00840136">
        <w:t xml:space="preserve"> 1</w:t>
      </w:r>
      <w:r w:rsidR="00741E4F">
        <w:t>97</w:t>
      </w:r>
      <w:r>
        <w:t xml:space="preserve">. </w:t>
      </w:r>
      <w:r w:rsidRPr="0061392F">
        <w:t>Podaci o brownfield lokacijama</w:t>
      </w:r>
    </w:p>
    <w:tbl>
      <w:tblPr>
        <w:tblW w:w="5009" w:type="pct"/>
        <w:tblBorders>
          <w:left w:val="single" w:sz="8" w:space="0" w:color="D2232A"/>
          <w:right w:val="single" w:sz="8" w:space="0" w:color="D2232A"/>
          <w:insideH w:val="single" w:sz="8" w:space="0" w:color="F3CFC1"/>
        </w:tblBorders>
        <w:tblLook w:val="04A0" w:firstRow="1" w:lastRow="0" w:firstColumn="1" w:lastColumn="0" w:noHBand="0" w:noVBand="1"/>
      </w:tblPr>
      <w:tblGrid>
        <w:gridCol w:w="3755"/>
        <w:gridCol w:w="2798"/>
        <w:gridCol w:w="2748"/>
      </w:tblGrid>
      <w:tr w:rsidR="002713D7" w:rsidRPr="002713D7" w14:paraId="5258641D" w14:textId="77777777" w:rsidTr="00E745AE">
        <w:trPr>
          <w:trHeight w:val="283"/>
          <w:tblHeader/>
        </w:trPr>
        <w:tc>
          <w:tcPr>
            <w:tcW w:w="2019" w:type="pct"/>
            <w:shd w:val="clear" w:color="auto" w:fill="D2232A" w:themeFill="accent1"/>
            <w:vAlign w:val="center"/>
            <w:hideMark/>
          </w:tcPr>
          <w:p w14:paraId="5BBC3593"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Prostor - naziv</w:t>
            </w:r>
          </w:p>
        </w:tc>
        <w:tc>
          <w:tcPr>
            <w:tcW w:w="1504" w:type="pct"/>
            <w:shd w:val="clear" w:color="auto" w:fill="D2232A" w:themeFill="accent1"/>
            <w:vAlign w:val="center"/>
            <w:hideMark/>
          </w:tcPr>
          <w:p w14:paraId="5E601DBE" w14:textId="77777777" w:rsidR="008878A0" w:rsidRPr="00D66619" w:rsidRDefault="008878A0" w:rsidP="00D66619">
            <w:pPr>
              <w:spacing w:after="0" w:line="240" w:lineRule="auto"/>
              <w:jc w:val="righ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Veličina hale/ poslovnog prostora/ lokacije u m2</w:t>
            </w:r>
          </w:p>
        </w:tc>
        <w:tc>
          <w:tcPr>
            <w:tcW w:w="1477" w:type="pct"/>
            <w:shd w:val="clear" w:color="auto" w:fill="D2232A" w:themeFill="accent1"/>
            <w:vAlign w:val="center"/>
            <w:hideMark/>
          </w:tcPr>
          <w:p w14:paraId="2861FDF5" w14:textId="77777777" w:rsidR="008878A0" w:rsidRPr="00D66619" w:rsidRDefault="008878A0" w:rsidP="00D66619">
            <w:pPr>
              <w:spacing w:after="0" w:line="240" w:lineRule="auto"/>
              <w:jc w:val="righ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Naziv JLS gdje se nalazi hala/poslovni prostor</w:t>
            </w:r>
          </w:p>
        </w:tc>
      </w:tr>
      <w:tr w:rsidR="002713D7" w:rsidRPr="002713D7" w14:paraId="03A4BB2E" w14:textId="77777777" w:rsidTr="00E745AE">
        <w:trPr>
          <w:trHeight w:val="283"/>
        </w:trPr>
        <w:tc>
          <w:tcPr>
            <w:tcW w:w="5000" w:type="pct"/>
            <w:gridSpan w:val="3"/>
            <w:shd w:val="clear" w:color="auto" w:fill="D2232A" w:themeFill="accent1"/>
            <w:vAlign w:val="center"/>
            <w:hideMark/>
          </w:tcPr>
          <w:p w14:paraId="24058AA6"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NOVI GOLUBOVEC</w:t>
            </w:r>
          </w:p>
        </w:tc>
      </w:tr>
      <w:tr w:rsidR="002713D7" w:rsidRPr="002713D7" w14:paraId="192CC18D" w14:textId="77777777" w:rsidTr="00E745AE">
        <w:trPr>
          <w:trHeight w:val="283"/>
        </w:trPr>
        <w:tc>
          <w:tcPr>
            <w:tcW w:w="2019" w:type="pct"/>
            <w:vAlign w:val="center"/>
            <w:hideMark/>
          </w:tcPr>
          <w:p w14:paraId="61AD8204"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Bivša Prvomajska - privatni vlasnik</w:t>
            </w:r>
          </w:p>
        </w:tc>
        <w:tc>
          <w:tcPr>
            <w:tcW w:w="1504" w:type="pct"/>
            <w:vAlign w:val="center"/>
            <w:hideMark/>
          </w:tcPr>
          <w:p w14:paraId="5861B708"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4000 m2</w:t>
            </w:r>
          </w:p>
        </w:tc>
        <w:tc>
          <w:tcPr>
            <w:tcW w:w="1477" w:type="pct"/>
            <w:vAlign w:val="center"/>
            <w:hideMark/>
          </w:tcPr>
          <w:p w14:paraId="37B7971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Novi Golubovec</w:t>
            </w:r>
          </w:p>
        </w:tc>
      </w:tr>
      <w:tr w:rsidR="002713D7" w:rsidRPr="002713D7" w14:paraId="495953E6" w14:textId="77777777" w:rsidTr="00E745AE">
        <w:trPr>
          <w:trHeight w:val="283"/>
        </w:trPr>
        <w:tc>
          <w:tcPr>
            <w:tcW w:w="5000" w:type="pct"/>
            <w:gridSpan w:val="3"/>
            <w:shd w:val="clear" w:color="auto" w:fill="D2232A" w:themeFill="accent1"/>
            <w:vAlign w:val="center"/>
            <w:hideMark/>
          </w:tcPr>
          <w:p w14:paraId="6509F06C" w14:textId="77777777" w:rsidR="008878A0" w:rsidRPr="002713D7" w:rsidRDefault="008878A0" w:rsidP="00D66619">
            <w:pPr>
              <w:spacing w:after="0" w:line="240" w:lineRule="auto"/>
              <w:jc w:val="left"/>
              <w:rPr>
                <w:rFonts w:eastAsia="Times New Roman" w:cs="Calibri"/>
                <w:b/>
                <w:bCs/>
                <w:szCs w:val="18"/>
                <w:lang w:eastAsia="hr-HR"/>
              </w:rPr>
            </w:pPr>
            <w:r w:rsidRPr="00D66619">
              <w:rPr>
                <w:rFonts w:eastAsia="Times New Roman" w:cs="Calibri"/>
                <w:b/>
                <w:bCs/>
                <w:color w:val="FFFFFF" w:themeColor="background1"/>
                <w:szCs w:val="18"/>
                <w:lang w:eastAsia="hr-HR"/>
              </w:rPr>
              <w:t>OPĆINA STUBIČKE TOPLICE</w:t>
            </w:r>
          </w:p>
        </w:tc>
      </w:tr>
      <w:tr w:rsidR="002713D7" w:rsidRPr="002713D7" w14:paraId="20EFD164" w14:textId="77777777" w:rsidTr="00E745AE">
        <w:trPr>
          <w:trHeight w:val="283"/>
        </w:trPr>
        <w:tc>
          <w:tcPr>
            <w:tcW w:w="2019" w:type="pct"/>
            <w:vAlign w:val="center"/>
            <w:hideMark/>
          </w:tcPr>
          <w:p w14:paraId="02F47148"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Turističko odmaralište kod željezničke stanice Stubičke Toplice</w:t>
            </w:r>
          </w:p>
        </w:tc>
        <w:tc>
          <w:tcPr>
            <w:tcW w:w="1504" w:type="pct"/>
            <w:vAlign w:val="center"/>
            <w:hideMark/>
          </w:tcPr>
          <w:p w14:paraId="76AA78A5"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2033 m2</w:t>
            </w:r>
          </w:p>
        </w:tc>
        <w:tc>
          <w:tcPr>
            <w:tcW w:w="1477" w:type="pct"/>
            <w:vAlign w:val="center"/>
            <w:hideMark/>
          </w:tcPr>
          <w:p w14:paraId="04E35991"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Stubičke Toplice</w:t>
            </w:r>
          </w:p>
        </w:tc>
      </w:tr>
      <w:tr w:rsidR="002713D7" w:rsidRPr="002713D7" w14:paraId="6A8428B8" w14:textId="77777777" w:rsidTr="00E745AE">
        <w:trPr>
          <w:trHeight w:val="283"/>
        </w:trPr>
        <w:tc>
          <w:tcPr>
            <w:tcW w:w="5000" w:type="pct"/>
            <w:gridSpan w:val="3"/>
            <w:shd w:val="clear" w:color="auto" w:fill="D2232A" w:themeFill="accent1"/>
            <w:vAlign w:val="center"/>
            <w:hideMark/>
          </w:tcPr>
          <w:p w14:paraId="2B40A845"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lastRenderedPageBreak/>
              <w:t>GRAD PREGRADA</w:t>
            </w:r>
          </w:p>
        </w:tc>
      </w:tr>
      <w:tr w:rsidR="002713D7" w:rsidRPr="002713D7" w14:paraId="02794447" w14:textId="77777777" w:rsidTr="00E745AE">
        <w:trPr>
          <w:trHeight w:val="283"/>
        </w:trPr>
        <w:tc>
          <w:tcPr>
            <w:tcW w:w="2019" w:type="pct"/>
            <w:vAlign w:val="center"/>
            <w:hideMark/>
          </w:tcPr>
          <w:p w14:paraId="6B1B09E3"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Bivša Emka</w:t>
            </w:r>
          </w:p>
        </w:tc>
        <w:tc>
          <w:tcPr>
            <w:tcW w:w="1504" w:type="pct"/>
            <w:vAlign w:val="center"/>
            <w:hideMark/>
          </w:tcPr>
          <w:p w14:paraId="07572AA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2500 m2</w:t>
            </w:r>
          </w:p>
        </w:tc>
        <w:tc>
          <w:tcPr>
            <w:tcW w:w="1477" w:type="pct"/>
            <w:vAlign w:val="center"/>
            <w:hideMark/>
          </w:tcPr>
          <w:p w14:paraId="360BEC69"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Pregrada</w:t>
            </w:r>
          </w:p>
        </w:tc>
      </w:tr>
      <w:tr w:rsidR="002713D7" w:rsidRPr="002713D7" w14:paraId="1954EBB3" w14:textId="77777777" w:rsidTr="00E745AE">
        <w:trPr>
          <w:trHeight w:val="283"/>
        </w:trPr>
        <w:tc>
          <w:tcPr>
            <w:tcW w:w="2019" w:type="pct"/>
            <w:vAlign w:val="center"/>
            <w:hideMark/>
          </w:tcPr>
          <w:p w14:paraId="013CF9E4"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Bivši OKIROTO</w:t>
            </w:r>
          </w:p>
        </w:tc>
        <w:tc>
          <w:tcPr>
            <w:tcW w:w="1504" w:type="pct"/>
            <w:vAlign w:val="center"/>
            <w:hideMark/>
          </w:tcPr>
          <w:p w14:paraId="1B4B45BF"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4023 m2</w:t>
            </w:r>
          </w:p>
        </w:tc>
        <w:tc>
          <w:tcPr>
            <w:tcW w:w="1477" w:type="pct"/>
            <w:vAlign w:val="center"/>
            <w:hideMark/>
          </w:tcPr>
          <w:p w14:paraId="31BF776A"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Pregrada</w:t>
            </w:r>
          </w:p>
        </w:tc>
      </w:tr>
      <w:tr w:rsidR="002713D7" w:rsidRPr="002713D7" w14:paraId="40C924C1" w14:textId="77777777" w:rsidTr="00E745AE">
        <w:trPr>
          <w:trHeight w:val="283"/>
        </w:trPr>
        <w:tc>
          <w:tcPr>
            <w:tcW w:w="5000" w:type="pct"/>
            <w:gridSpan w:val="3"/>
            <w:shd w:val="clear" w:color="auto" w:fill="D2232A" w:themeFill="accent1"/>
            <w:vAlign w:val="center"/>
            <w:hideMark/>
          </w:tcPr>
          <w:p w14:paraId="69E2E71D"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BEDEKOVČINA</w:t>
            </w:r>
          </w:p>
        </w:tc>
      </w:tr>
      <w:tr w:rsidR="002713D7" w:rsidRPr="002713D7" w14:paraId="16967FB1" w14:textId="77777777" w:rsidTr="00E745AE">
        <w:trPr>
          <w:trHeight w:val="283"/>
        </w:trPr>
        <w:tc>
          <w:tcPr>
            <w:tcW w:w="2019" w:type="pct"/>
            <w:vAlign w:val="center"/>
            <w:hideMark/>
          </w:tcPr>
          <w:p w14:paraId="7F93E0C4"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RENOVA KAMENOLOM, Vojnić Breg</w:t>
            </w:r>
          </w:p>
        </w:tc>
        <w:tc>
          <w:tcPr>
            <w:tcW w:w="1504" w:type="pct"/>
            <w:vAlign w:val="center"/>
            <w:hideMark/>
          </w:tcPr>
          <w:p w14:paraId="6722CB8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13.814 m2</w:t>
            </w:r>
          </w:p>
        </w:tc>
        <w:tc>
          <w:tcPr>
            <w:tcW w:w="1477" w:type="pct"/>
            <w:vAlign w:val="center"/>
            <w:hideMark/>
          </w:tcPr>
          <w:p w14:paraId="3CE77594"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Bedekovčina</w:t>
            </w:r>
          </w:p>
        </w:tc>
      </w:tr>
      <w:tr w:rsidR="002713D7" w:rsidRPr="002713D7" w14:paraId="764C1554" w14:textId="77777777" w:rsidTr="00E745AE">
        <w:trPr>
          <w:trHeight w:val="283"/>
        </w:trPr>
        <w:tc>
          <w:tcPr>
            <w:tcW w:w="2019" w:type="pct"/>
            <w:vAlign w:val="center"/>
            <w:hideMark/>
          </w:tcPr>
          <w:p w14:paraId="26AD635F"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Wienerberger - Ilovac d.o.o., Karlovac ("Tondach")</w:t>
            </w:r>
          </w:p>
        </w:tc>
        <w:tc>
          <w:tcPr>
            <w:tcW w:w="1504" w:type="pct"/>
            <w:vAlign w:val="center"/>
            <w:hideMark/>
          </w:tcPr>
          <w:p w14:paraId="64CA0495" w14:textId="783FFFDB"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191.212,62</w:t>
            </w:r>
            <w:r w:rsidR="00D66619">
              <w:rPr>
                <w:rFonts w:eastAsia="Times New Roman" w:cs="Calibri"/>
                <w:szCs w:val="18"/>
                <w:lang w:eastAsia="hr-HR"/>
              </w:rPr>
              <w:t xml:space="preserve"> </w:t>
            </w:r>
            <w:r w:rsidRPr="002713D7">
              <w:rPr>
                <w:rFonts w:eastAsia="Times New Roman" w:cs="Calibri"/>
                <w:szCs w:val="18"/>
                <w:lang w:eastAsia="hr-HR"/>
              </w:rPr>
              <w:t>m2</w:t>
            </w:r>
          </w:p>
        </w:tc>
        <w:tc>
          <w:tcPr>
            <w:tcW w:w="1477" w:type="pct"/>
            <w:vAlign w:val="center"/>
            <w:hideMark/>
          </w:tcPr>
          <w:p w14:paraId="351EB680"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Bedekovčina</w:t>
            </w:r>
          </w:p>
        </w:tc>
      </w:tr>
      <w:tr w:rsidR="002713D7" w:rsidRPr="002713D7" w14:paraId="7565FD13" w14:textId="77777777" w:rsidTr="00E745AE">
        <w:trPr>
          <w:trHeight w:val="283"/>
        </w:trPr>
        <w:tc>
          <w:tcPr>
            <w:tcW w:w="5000" w:type="pct"/>
            <w:gridSpan w:val="3"/>
            <w:shd w:val="clear" w:color="auto" w:fill="D2232A" w:themeFill="accent1"/>
            <w:vAlign w:val="center"/>
            <w:hideMark/>
          </w:tcPr>
          <w:p w14:paraId="5FDB26A2"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ZAGORSKA SELA</w:t>
            </w:r>
          </w:p>
        </w:tc>
      </w:tr>
      <w:tr w:rsidR="002713D7" w:rsidRPr="002713D7" w14:paraId="1763BED5" w14:textId="77777777" w:rsidTr="00E745AE">
        <w:trPr>
          <w:trHeight w:val="283"/>
        </w:trPr>
        <w:tc>
          <w:tcPr>
            <w:tcW w:w="2019" w:type="pct"/>
            <w:vAlign w:val="center"/>
            <w:hideMark/>
          </w:tcPr>
          <w:p w14:paraId="64AAB524"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Govedićevo - Zagorska Sela </w:t>
            </w:r>
          </w:p>
        </w:tc>
        <w:tc>
          <w:tcPr>
            <w:tcW w:w="1504" w:type="pct"/>
            <w:vAlign w:val="center"/>
            <w:hideMark/>
          </w:tcPr>
          <w:p w14:paraId="03F40E02"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15900 m2</w:t>
            </w:r>
          </w:p>
        </w:tc>
        <w:tc>
          <w:tcPr>
            <w:tcW w:w="1477" w:type="pct"/>
            <w:vAlign w:val="center"/>
            <w:hideMark/>
          </w:tcPr>
          <w:p w14:paraId="44CA13B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Zagorska Sela</w:t>
            </w:r>
          </w:p>
        </w:tc>
      </w:tr>
      <w:tr w:rsidR="002713D7" w:rsidRPr="002713D7" w14:paraId="5F7DF3EC" w14:textId="77777777" w:rsidTr="000A346F">
        <w:trPr>
          <w:trHeight w:val="282"/>
        </w:trPr>
        <w:tc>
          <w:tcPr>
            <w:tcW w:w="5000" w:type="pct"/>
            <w:gridSpan w:val="3"/>
            <w:shd w:val="clear" w:color="auto" w:fill="D2232A" w:themeFill="accent1"/>
            <w:vAlign w:val="center"/>
            <w:hideMark/>
          </w:tcPr>
          <w:p w14:paraId="689CB94F" w14:textId="709AB384"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GRAD ZLATAR</w:t>
            </w:r>
          </w:p>
        </w:tc>
      </w:tr>
      <w:tr w:rsidR="002713D7" w:rsidRPr="002713D7" w14:paraId="1C5BA128" w14:textId="77777777" w:rsidTr="000A346F">
        <w:trPr>
          <w:trHeight w:val="959"/>
        </w:trPr>
        <w:tc>
          <w:tcPr>
            <w:tcW w:w="2019" w:type="pct"/>
            <w:vAlign w:val="center"/>
            <w:hideMark/>
          </w:tcPr>
          <w:p w14:paraId="7E0397F8"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Vojni kompleks na Ivanščici</w:t>
            </w:r>
          </w:p>
        </w:tc>
        <w:tc>
          <w:tcPr>
            <w:tcW w:w="1504" w:type="pct"/>
            <w:vAlign w:val="center"/>
            <w:hideMark/>
          </w:tcPr>
          <w:p w14:paraId="6AEA133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327 m² zgrada mješovite uporabe, 332 m² zgrada mješovite uporabe, 20 m² pomoćna zgrada</w:t>
            </w:r>
          </w:p>
        </w:tc>
        <w:tc>
          <w:tcPr>
            <w:tcW w:w="1477" w:type="pct"/>
            <w:vAlign w:val="center"/>
            <w:hideMark/>
          </w:tcPr>
          <w:p w14:paraId="30F0AE4E"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Zlatar</w:t>
            </w:r>
          </w:p>
        </w:tc>
      </w:tr>
      <w:tr w:rsidR="002713D7" w:rsidRPr="002713D7" w14:paraId="43736A79" w14:textId="77777777" w:rsidTr="000A346F">
        <w:trPr>
          <w:trHeight w:val="282"/>
        </w:trPr>
        <w:tc>
          <w:tcPr>
            <w:tcW w:w="5000" w:type="pct"/>
            <w:gridSpan w:val="3"/>
            <w:shd w:val="clear" w:color="auto" w:fill="D2232A" w:themeFill="accent1"/>
            <w:vAlign w:val="center"/>
            <w:hideMark/>
          </w:tcPr>
          <w:p w14:paraId="02424591"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GRAD KLANJEC</w:t>
            </w:r>
          </w:p>
        </w:tc>
      </w:tr>
      <w:tr w:rsidR="002713D7" w:rsidRPr="002713D7" w14:paraId="63309920" w14:textId="77777777" w:rsidTr="000A346F">
        <w:trPr>
          <w:trHeight w:val="296"/>
        </w:trPr>
        <w:tc>
          <w:tcPr>
            <w:tcW w:w="2019" w:type="pct"/>
            <w:vAlign w:val="center"/>
            <w:hideMark/>
          </w:tcPr>
          <w:p w14:paraId="3DC87089"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Bestal d.o.o.</w:t>
            </w:r>
          </w:p>
        </w:tc>
        <w:tc>
          <w:tcPr>
            <w:tcW w:w="1504" w:type="pct"/>
            <w:vAlign w:val="center"/>
            <w:hideMark/>
          </w:tcPr>
          <w:p w14:paraId="4D921AAD"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2.450</w:t>
            </w:r>
          </w:p>
        </w:tc>
        <w:tc>
          <w:tcPr>
            <w:tcW w:w="1477" w:type="pct"/>
            <w:vAlign w:val="center"/>
            <w:hideMark/>
          </w:tcPr>
          <w:p w14:paraId="79162FB1"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Klanjec</w:t>
            </w:r>
          </w:p>
        </w:tc>
      </w:tr>
      <w:tr w:rsidR="002713D7" w:rsidRPr="002713D7" w14:paraId="7D35FE72" w14:textId="77777777" w:rsidTr="000A346F">
        <w:trPr>
          <w:trHeight w:val="282"/>
        </w:trPr>
        <w:tc>
          <w:tcPr>
            <w:tcW w:w="5000" w:type="pct"/>
            <w:gridSpan w:val="3"/>
            <w:shd w:val="clear" w:color="auto" w:fill="D2232A" w:themeFill="accent1"/>
            <w:vAlign w:val="center"/>
            <w:hideMark/>
          </w:tcPr>
          <w:p w14:paraId="5A6F5C55"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KRAPINSKE TOPLICE</w:t>
            </w:r>
          </w:p>
        </w:tc>
      </w:tr>
      <w:tr w:rsidR="002713D7" w:rsidRPr="002713D7" w14:paraId="7BFB04C5" w14:textId="77777777" w:rsidTr="000A346F">
        <w:trPr>
          <w:trHeight w:val="296"/>
        </w:trPr>
        <w:tc>
          <w:tcPr>
            <w:tcW w:w="2019" w:type="pct"/>
            <w:vAlign w:val="center"/>
            <w:hideMark/>
          </w:tcPr>
          <w:p w14:paraId="1B6F45E4"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Proizvodna hala</w:t>
            </w:r>
          </w:p>
        </w:tc>
        <w:tc>
          <w:tcPr>
            <w:tcW w:w="1504" w:type="pct"/>
            <w:vAlign w:val="center"/>
            <w:hideMark/>
          </w:tcPr>
          <w:p w14:paraId="16D8F3A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1.500 + 1.600 terena</w:t>
            </w:r>
          </w:p>
        </w:tc>
        <w:tc>
          <w:tcPr>
            <w:tcW w:w="1477" w:type="pct"/>
            <w:vAlign w:val="center"/>
            <w:hideMark/>
          </w:tcPr>
          <w:p w14:paraId="1C080D82"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Krapinske Toplice</w:t>
            </w:r>
          </w:p>
        </w:tc>
      </w:tr>
      <w:tr w:rsidR="002713D7" w:rsidRPr="002713D7" w14:paraId="70E8DAED" w14:textId="77777777" w:rsidTr="000A346F">
        <w:trPr>
          <w:trHeight w:val="282"/>
        </w:trPr>
        <w:tc>
          <w:tcPr>
            <w:tcW w:w="5000" w:type="pct"/>
            <w:gridSpan w:val="3"/>
            <w:shd w:val="clear" w:color="auto" w:fill="D2232A" w:themeFill="accent1"/>
            <w:vAlign w:val="center"/>
            <w:hideMark/>
          </w:tcPr>
          <w:p w14:paraId="67F303E2"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DESINIĆ</w:t>
            </w:r>
          </w:p>
        </w:tc>
      </w:tr>
      <w:tr w:rsidR="002713D7" w:rsidRPr="002713D7" w14:paraId="695BA745" w14:textId="77777777" w:rsidTr="000A346F">
        <w:trPr>
          <w:trHeight w:val="296"/>
        </w:trPr>
        <w:tc>
          <w:tcPr>
            <w:tcW w:w="2019" w:type="pct"/>
            <w:vAlign w:val="center"/>
            <w:hideMark/>
          </w:tcPr>
          <w:p w14:paraId="3023B088"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TEP pogon Desinić</w:t>
            </w:r>
          </w:p>
        </w:tc>
        <w:tc>
          <w:tcPr>
            <w:tcW w:w="1504" w:type="pct"/>
            <w:vAlign w:val="center"/>
            <w:hideMark/>
          </w:tcPr>
          <w:p w14:paraId="643823C0"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1.515</w:t>
            </w:r>
          </w:p>
        </w:tc>
        <w:tc>
          <w:tcPr>
            <w:tcW w:w="1477" w:type="pct"/>
            <w:vAlign w:val="center"/>
            <w:hideMark/>
          </w:tcPr>
          <w:p w14:paraId="58C06E7D"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Desinić</w:t>
            </w:r>
          </w:p>
        </w:tc>
      </w:tr>
      <w:tr w:rsidR="002713D7" w:rsidRPr="002713D7" w14:paraId="6421D53B" w14:textId="77777777" w:rsidTr="000A346F">
        <w:trPr>
          <w:trHeight w:val="282"/>
        </w:trPr>
        <w:tc>
          <w:tcPr>
            <w:tcW w:w="5000" w:type="pct"/>
            <w:gridSpan w:val="3"/>
            <w:shd w:val="clear" w:color="auto" w:fill="D2232A" w:themeFill="accent1"/>
            <w:vAlign w:val="center"/>
            <w:hideMark/>
          </w:tcPr>
          <w:p w14:paraId="7C2CF78D"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GRAD DONJA STUBICA</w:t>
            </w:r>
          </w:p>
        </w:tc>
      </w:tr>
      <w:tr w:rsidR="002713D7" w:rsidRPr="002713D7" w14:paraId="02C4B6F9" w14:textId="77777777" w:rsidTr="000A346F">
        <w:trPr>
          <w:trHeight w:val="296"/>
        </w:trPr>
        <w:tc>
          <w:tcPr>
            <w:tcW w:w="2019" w:type="pct"/>
            <w:vAlign w:val="center"/>
            <w:hideMark/>
          </w:tcPr>
          <w:p w14:paraId="00FE1FC4"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Božić Frasinox</w:t>
            </w:r>
          </w:p>
        </w:tc>
        <w:tc>
          <w:tcPr>
            <w:tcW w:w="1504" w:type="pct"/>
            <w:vAlign w:val="center"/>
            <w:hideMark/>
          </w:tcPr>
          <w:p w14:paraId="301541D3"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700</w:t>
            </w:r>
          </w:p>
        </w:tc>
        <w:tc>
          <w:tcPr>
            <w:tcW w:w="1477" w:type="pct"/>
            <w:vAlign w:val="center"/>
            <w:hideMark/>
          </w:tcPr>
          <w:p w14:paraId="3A8B0828"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Donja Stubica</w:t>
            </w:r>
          </w:p>
        </w:tc>
      </w:tr>
      <w:tr w:rsidR="002713D7" w:rsidRPr="002713D7" w14:paraId="16B06141" w14:textId="77777777" w:rsidTr="000A346F">
        <w:trPr>
          <w:trHeight w:val="282"/>
        </w:trPr>
        <w:tc>
          <w:tcPr>
            <w:tcW w:w="5000" w:type="pct"/>
            <w:gridSpan w:val="3"/>
            <w:shd w:val="clear" w:color="auto" w:fill="D2232A" w:themeFill="accent1"/>
            <w:vAlign w:val="center"/>
            <w:hideMark/>
          </w:tcPr>
          <w:p w14:paraId="4FAC0E60"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KONJŠČINA</w:t>
            </w:r>
          </w:p>
        </w:tc>
      </w:tr>
      <w:tr w:rsidR="002713D7" w:rsidRPr="002713D7" w14:paraId="6C56DAEF" w14:textId="77777777" w:rsidTr="000A346F">
        <w:trPr>
          <w:trHeight w:val="959"/>
        </w:trPr>
        <w:tc>
          <w:tcPr>
            <w:tcW w:w="2019" w:type="pct"/>
            <w:vAlign w:val="center"/>
            <w:hideMark/>
          </w:tcPr>
          <w:p w14:paraId="078FC612"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Stara škola u Gornjoj Konjščini </w:t>
            </w:r>
          </w:p>
        </w:tc>
        <w:tc>
          <w:tcPr>
            <w:tcW w:w="1504" w:type="pct"/>
            <w:vAlign w:val="center"/>
            <w:hideMark/>
          </w:tcPr>
          <w:p w14:paraId="31AE50A5"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 xml:space="preserve">zemljište ukupno površine - 7.446 m² (2070 čhv), objekt površine 445,76 m², dvorište 1.475 m² </w:t>
            </w:r>
          </w:p>
        </w:tc>
        <w:tc>
          <w:tcPr>
            <w:tcW w:w="1477" w:type="pct"/>
            <w:vAlign w:val="center"/>
            <w:hideMark/>
          </w:tcPr>
          <w:p w14:paraId="075894F3"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Konjščina</w:t>
            </w:r>
          </w:p>
        </w:tc>
      </w:tr>
      <w:tr w:rsidR="002713D7" w:rsidRPr="002713D7" w14:paraId="0BAEA670" w14:textId="77777777" w:rsidTr="000A346F">
        <w:trPr>
          <w:trHeight w:val="282"/>
        </w:trPr>
        <w:tc>
          <w:tcPr>
            <w:tcW w:w="5000" w:type="pct"/>
            <w:gridSpan w:val="3"/>
            <w:shd w:val="clear" w:color="auto" w:fill="D2232A" w:themeFill="accent1"/>
            <w:vAlign w:val="center"/>
            <w:hideMark/>
          </w:tcPr>
          <w:p w14:paraId="5B19E68D"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VELIKO TRGOVIŠĆE</w:t>
            </w:r>
          </w:p>
        </w:tc>
      </w:tr>
      <w:tr w:rsidR="002713D7" w:rsidRPr="002713D7" w14:paraId="33416D68" w14:textId="77777777" w:rsidTr="000A346F">
        <w:trPr>
          <w:trHeight w:val="296"/>
        </w:trPr>
        <w:tc>
          <w:tcPr>
            <w:tcW w:w="2019" w:type="pct"/>
            <w:vAlign w:val="center"/>
            <w:hideMark/>
          </w:tcPr>
          <w:p w14:paraId="4633C9CA"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Škofina</w:t>
            </w:r>
          </w:p>
        </w:tc>
        <w:tc>
          <w:tcPr>
            <w:tcW w:w="1504" w:type="pct"/>
            <w:vAlign w:val="center"/>
            <w:hideMark/>
          </w:tcPr>
          <w:p w14:paraId="4BD11F93"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nema podataka</w:t>
            </w:r>
          </w:p>
        </w:tc>
        <w:tc>
          <w:tcPr>
            <w:tcW w:w="1477" w:type="pct"/>
            <w:vAlign w:val="center"/>
            <w:hideMark/>
          </w:tcPr>
          <w:p w14:paraId="30B53866"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Veliko Trgovišće</w:t>
            </w:r>
          </w:p>
        </w:tc>
      </w:tr>
      <w:tr w:rsidR="002713D7" w:rsidRPr="002713D7" w14:paraId="6F47381B" w14:textId="77777777" w:rsidTr="000A346F">
        <w:trPr>
          <w:trHeight w:val="733"/>
        </w:trPr>
        <w:tc>
          <w:tcPr>
            <w:tcW w:w="2019" w:type="pct"/>
            <w:vAlign w:val="center"/>
            <w:hideMark/>
          </w:tcPr>
          <w:p w14:paraId="700F0C24"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FERO ERO</w:t>
            </w:r>
          </w:p>
        </w:tc>
        <w:tc>
          <w:tcPr>
            <w:tcW w:w="1504" w:type="pct"/>
            <w:vAlign w:val="center"/>
            <w:hideMark/>
          </w:tcPr>
          <w:p w14:paraId="0C51A75C"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poslovni prostor 220 m2 + skladište 400 m2 + skladište 1.300 m2</w:t>
            </w:r>
          </w:p>
        </w:tc>
        <w:tc>
          <w:tcPr>
            <w:tcW w:w="1477" w:type="pct"/>
            <w:vAlign w:val="center"/>
            <w:hideMark/>
          </w:tcPr>
          <w:p w14:paraId="338E25A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Veliko Trgovišće</w:t>
            </w:r>
          </w:p>
        </w:tc>
      </w:tr>
      <w:tr w:rsidR="002713D7" w:rsidRPr="002713D7" w14:paraId="73E25FA1" w14:textId="77777777" w:rsidTr="000A346F">
        <w:trPr>
          <w:trHeight w:val="296"/>
        </w:trPr>
        <w:tc>
          <w:tcPr>
            <w:tcW w:w="2019" w:type="pct"/>
            <w:vAlign w:val="center"/>
            <w:hideMark/>
          </w:tcPr>
          <w:p w14:paraId="1A4045BE"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TL Tome Lučić d.o.o. u stečaju</w:t>
            </w:r>
          </w:p>
        </w:tc>
        <w:tc>
          <w:tcPr>
            <w:tcW w:w="1504" w:type="pct"/>
            <w:vAlign w:val="center"/>
            <w:hideMark/>
          </w:tcPr>
          <w:p w14:paraId="2EC04D16"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1.373</w:t>
            </w:r>
          </w:p>
        </w:tc>
        <w:tc>
          <w:tcPr>
            <w:tcW w:w="1477" w:type="pct"/>
            <w:vAlign w:val="center"/>
            <w:hideMark/>
          </w:tcPr>
          <w:p w14:paraId="225A0E46"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Veliko Trgovišće</w:t>
            </w:r>
          </w:p>
        </w:tc>
      </w:tr>
      <w:tr w:rsidR="002713D7" w:rsidRPr="002713D7" w14:paraId="62ED2A05" w14:textId="77777777" w:rsidTr="000A346F">
        <w:trPr>
          <w:trHeight w:val="479"/>
        </w:trPr>
        <w:tc>
          <w:tcPr>
            <w:tcW w:w="2019" w:type="pct"/>
            <w:vAlign w:val="center"/>
            <w:hideMark/>
          </w:tcPr>
          <w:p w14:paraId="4E7B9946"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ALBA M.S. d.o.o. u stečaju </w:t>
            </w:r>
          </w:p>
        </w:tc>
        <w:tc>
          <w:tcPr>
            <w:tcW w:w="1504" w:type="pct"/>
            <w:vAlign w:val="center"/>
            <w:hideMark/>
          </w:tcPr>
          <w:p w14:paraId="76B400F2"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 xml:space="preserve">proizvodni prostor - pržionica kave - 1500 m2 </w:t>
            </w:r>
          </w:p>
        </w:tc>
        <w:tc>
          <w:tcPr>
            <w:tcW w:w="1477" w:type="pct"/>
            <w:vAlign w:val="center"/>
            <w:hideMark/>
          </w:tcPr>
          <w:p w14:paraId="7295410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Veliko Trgovišće</w:t>
            </w:r>
          </w:p>
        </w:tc>
      </w:tr>
      <w:tr w:rsidR="002713D7" w:rsidRPr="002713D7" w14:paraId="7223548D" w14:textId="77777777" w:rsidTr="000A346F">
        <w:trPr>
          <w:trHeight w:val="719"/>
        </w:trPr>
        <w:tc>
          <w:tcPr>
            <w:tcW w:w="2019" w:type="pct"/>
            <w:vAlign w:val="center"/>
            <w:hideMark/>
          </w:tcPr>
          <w:p w14:paraId="3F71F8BA"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P.E.Z. AGRO ZAGORJE u stečaju </w:t>
            </w:r>
          </w:p>
        </w:tc>
        <w:tc>
          <w:tcPr>
            <w:tcW w:w="1504" w:type="pct"/>
            <w:vAlign w:val="center"/>
            <w:hideMark/>
          </w:tcPr>
          <w:p w14:paraId="125FDB8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proizvodni prostor - klanje životinja i prerada mesa - 916 m2</w:t>
            </w:r>
          </w:p>
        </w:tc>
        <w:tc>
          <w:tcPr>
            <w:tcW w:w="1477" w:type="pct"/>
            <w:vAlign w:val="center"/>
            <w:hideMark/>
          </w:tcPr>
          <w:p w14:paraId="0275895D"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Veliko Trgovišće</w:t>
            </w:r>
          </w:p>
        </w:tc>
      </w:tr>
      <w:tr w:rsidR="002713D7" w:rsidRPr="002713D7" w14:paraId="66412E3C" w14:textId="77777777" w:rsidTr="000A346F">
        <w:trPr>
          <w:trHeight w:val="282"/>
        </w:trPr>
        <w:tc>
          <w:tcPr>
            <w:tcW w:w="5000" w:type="pct"/>
            <w:gridSpan w:val="3"/>
            <w:shd w:val="clear" w:color="auto" w:fill="D2232A" w:themeFill="accent1"/>
            <w:vAlign w:val="center"/>
            <w:hideMark/>
          </w:tcPr>
          <w:p w14:paraId="506FA607"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SVETI KRIŽ ZAČRETJE</w:t>
            </w:r>
          </w:p>
        </w:tc>
      </w:tr>
      <w:tr w:rsidR="002713D7" w:rsidRPr="002713D7" w14:paraId="25616465" w14:textId="77777777" w:rsidTr="000A346F">
        <w:trPr>
          <w:trHeight w:val="493"/>
        </w:trPr>
        <w:tc>
          <w:tcPr>
            <w:tcW w:w="2019" w:type="pct"/>
            <w:vAlign w:val="center"/>
            <w:hideMark/>
          </w:tcPr>
          <w:p w14:paraId="6D97AFE0"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Termotehnika</w:t>
            </w:r>
          </w:p>
        </w:tc>
        <w:tc>
          <w:tcPr>
            <w:tcW w:w="1504" w:type="pct"/>
            <w:vAlign w:val="center"/>
            <w:hideMark/>
          </w:tcPr>
          <w:p w14:paraId="6F431CC8"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320 uredski prostor + 1.440 skladište i proizvodni dio</w:t>
            </w:r>
          </w:p>
        </w:tc>
        <w:tc>
          <w:tcPr>
            <w:tcW w:w="1477" w:type="pct"/>
            <w:vAlign w:val="center"/>
            <w:hideMark/>
          </w:tcPr>
          <w:p w14:paraId="7CB420F5"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Sveti Križ Začretje</w:t>
            </w:r>
          </w:p>
        </w:tc>
      </w:tr>
      <w:tr w:rsidR="002713D7" w:rsidRPr="002713D7" w14:paraId="59E33530" w14:textId="77777777" w:rsidTr="000A346F">
        <w:trPr>
          <w:trHeight w:val="296"/>
        </w:trPr>
        <w:tc>
          <w:tcPr>
            <w:tcW w:w="2019" w:type="pct"/>
            <w:vAlign w:val="center"/>
            <w:hideMark/>
          </w:tcPr>
          <w:p w14:paraId="2455473E"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Hala unutar tvornice TEP-a</w:t>
            </w:r>
          </w:p>
        </w:tc>
        <w:tc>
          <w:tcPr>
            <w:tcW w:w="1504" w:type="pct"/>
            <w:vAlign w:val="center"/>
            <w:hideMark/>
          </w:tcPr>
          <w:p w14:paraId="769AD31D"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5.400 m2</w:t>
            </w:r>
          </w:p>
        </w:tc>
        <w:tc>
          <w:tcPr>
            <w:tcW w:w="1477" w:type="pct"/>
            <w:vAlign w:val="center"/>
            <w:hideMark/>
          </w:tcPr>
          <w:p w14:paraId="2CA1E53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Sveti Križ Začretje</w:t>
            </w:r>
          </w:p>
        </w:tc>
      </w:tr>
      <w:tr w:rsidR="002713D7" w:rsidRPr="002713D7" w14:paraId="5FD5B556" w14:textId="77777777" w:rsidTr="000A346F">
        <w:trPr>
          <w:trHeight w:val="282"/>
        </w:trPr>
        <w:tc>
          <w:tcPr>
            <w:tcW w:w="2019" w:type="pct"/>
            <w:vAlign w:val="center"/>
            <w:hideMark/>
          </w:tcPr>
          <w:p w14:paraId="7C7C53D7"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Bivši poslovni prostor tvrtke GEO JET</w:t>
            </w:r>
          </w:p>
        </w:tc>
        <w:tc>
          <w:tcPr>
            <w:tcW w:w="1504" w:type="pct"/>
            <w:vAlign w:val="center"/>
            <w:hideMark/>
          </w:tcPr>
          <w:p w14:paraId="48A9646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1100 m2</w:t>
            </w:r>
          </w:p>
        </w:tc>
        <w:tc>
          <w:tcPr>
            <w:tcW w:w="1477" w:type="pct"/>
            <w:vAlign w:val="center"/>
            <w:hideMark/>
          </w:tcPr>
          <w:p w14:paraId="257DA2A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Sveti Križ Začretje</w:t>
            </w:r>
          </w:p>
        </w:tc>
      </w:tr>
      <w:tr w:rsidR="002713D7" w:rsidRPr="002713D7" w14:paraId="53C1D45E" w14:textId="77777777" w:rsidTr="000A346F">
        <w:trPr>
          <w:trHeight w:val="719"/>
        </w:trPr>
        <w:tc>
          <w:tcPr>
            <w:tcW w:w="2019" w:type="pct"/>
            <w:vAlign w:val="center"/>
            <w:hideMark/>
          </w:tcPr>
          <w:p w14:paraId="249A87D3"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Nedovršeni poslovni prostor u vlasništvu GEO OPREME CIGLENEČKI </w:t>
            </w:r>
          </w:p>
        </w:tc>
        <w:tc>
          <w:tcPr>
            <w:tcW w:w="1504" w:type="pct"/>
            <w:vAlign w:val="center"/>
            <w:hideMark/>
          </w:tcPr>
          <w:p w14:paraId="57596C7D"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1400 m2</w:t>
            </w:r>
          </w:p>
        </w:tc>
        <w:tc>
          <w:tcPr>
            <w:tcW w:w="1477" w:type="pct"/>
            <w:vAlign w:val="center"/>
            <w:hideMark/>
          </w:tcPr>
          <w:p w14:paraId="1CA3D22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Sveti Križ Začretje</w:t>
            </w:r>
          </w:p>
        </w:tc>
      </w:tr>
      <w:tr w:rsidR="002713D7" w:rsidRPr="002713D7" w14:paraId="0CFAD023" w14:textId="77777777" w:rsidTr="000A346F">
        <w:trPr>
          <w:trHeight w:val="282"/>
        </w:trPr>
        <w:tc>
          <w:tcPr>
            <w:tcW w:w="2019" w:type="pct"/>
            <w:vAlign w:val="center"/>
            <w:hideMark/>
          </w:tcPr>
          <w:p w14:paraId="4DFD0ED0"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Fingar </w:t>
            </w:r>
          </w:p>
        </w:tc>
        <w:tc>
          <w:tcPr>
            <w:tcW w:w="1504" w:type="pct"/>
            <w:vAlign w:val="center"/>
            <w:hideMark/>
          </w:tcPr>
          <w:p w14:paraId="002E144A"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 xml:space="preserve">250 m2 </w:t>
            </w:r>
          </w:p>
        </w:tc>
        <w:tc>
          <w:tcPr>
            <w:tcW w:w="1477" w:type="pct"/>
            <w:vAlign w:val="center"/>
            <w:hideMark/>
          </w:tcPr>
          <w:p w14:paraId="02CCFC61"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Sveti Križ Začretje</w:t>
            </w:r>
          </w:p>
        </w:tc>
      </w:tr>
      <w:tr w:rsidR="002713D7" w:rsidRPr="002713D7" w14:paraId="27D6A6ED" w14:textId="77777777" w:rsidTr="000A346F">
        <w:trPr>
          <w:trHeight w:val="282"/>
        </w:trPr>
        <w:tc>
          <w:tcPr>
            <w:tcW w:w="5000" w:type="pct"/>
            <w:gridSpan w:val="3"/>
            <w:shd w:val="clear" w:color="auto" w:fill="D2232A" w:themeFill="accent1"/>
            <w:vAlign w:val="center"/>
            <w:hideMark/>
          </w:tcPr>
          <w:p w14:paraId="0D0F87BA"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GRAD ZABOK</w:t>
            </w:r>
          </w:p>
        </w:tc>
      </w:tr>
      <w:tr w:rsidR="002713D7" w:rsidRPr="002713D7" w14:paraId="79174BA7" w14:textId="77777777" w:rsidTr="000A346F">
        <w:trPr>
          <w:trHeight w:val="493"/>
        </w:trPr>
        <w:tc>
          <w:tcPr>
            <w:tcW w:w="2019" w:type="pct"/>
            <w:vAlign w:val="center"/>
            <w:hideMark/>
          </w:tcPr>
          <w:p w14:paraId="70CEA4B4" w14:textId="192692E3"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Građevinsko zemljište na području bivše </w:t>
            </w:r>
            <w:r w:rsidR="004C55BC" w:rsidRPr="002713D7">
              <w:rPr>
                <w:rFonts w:eastAsia="Times New Roman" w:cs="Calibri"/>
                <w:szCs w:val="18"/>
                <w:lang w:eastAsia="hr-HR"/>
              </w:rPr>
              <w:t>moto kros</w:t>
            </w:r>
            <w:r w:rsidRPr="002713D7">
              <w:rPr>
                <w:rFonts w:eastAsia="Times New Roman" w:cs="Calibri"/>
                <w:szCs w:val="18"/>
                <w:lang w:eastAsia="hr-HR"/>
              </w:rPr>
              <w:t xml:space="preserve"> staze Vučak</w:t>
            </w:r>
          </w:p>
        </w:tc>
        <w:tc>
          <w:tcPr>
            <w:tcW w:w="1504" w:type="pct"/>
            <w:vAlign w:val="center"/>
            <w:hideMark/>
          </w:tcPr>
          <w:p w14:paraId="4291845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površina zemljišta 44.656 m2</w:t>
            </w:r>
          </w:p>
        </w:tc>
        <w:tc>
          <w:tcPr>
            <w:tcW w:w="1477" w:type="pct"/>
            <w:vAlign w:val="center"/>
            <w:hideMark/>
          </w:tcPr>
          <w:p w14:paraId="638ED1E6"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Zabok</w:t>
            </w:r>
          </w:p>
        </w:tc>
      </w:tr>
      <w:tr w:rsidR="002713D7" w:rsidRPr="002713D7" w14:paraId="5104345B" w14:textId="77777777" w:rsidTr="000A346F">
        <w:trPr>
          <w:trHeight w:val="493"/>
        </w:trPr>
        <w:tc>
          <w:tcPr>
            <w:tcW w:w="2019" w:type="pct"/>
            <w:vAlign w:val="center"/>
            <w:hideMark/>
          </w:tcPr>
          <w:p w14:paraId="0DBE437A"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lastRenderedPageBreak/>
              <w:t>Industrijska hala u centru Zaboka - bivši Zivtex</w:t>
            </w:r>
          </w:p>
        </w:tc>
        <w:tc>
          <w:tcPr>
            <w:tcW w:w="1504" w:type="pct"/>
            <w:vAlign w:val="center"/>
            <w:hideMark/>
          </w:tcPr>
          <w:p w14:paraId="572F51E5"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objekt 4.101 m2 + okućnica 1.552 m2</w:t>
            </w:r>
          </w:p>
        </w:tc>
        <w:tc>
          <w:tcPr>
            <w:tcW w:w="1477" w:type="pct"/>
            <w:vAlign w:val="center"/>
            <w:hideMark/>
          </w:tcPr>
          <w:p w14:paraId="4D65AF55"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Zabok</w:t>
            </w:r>
          </w:p>
        </w:tc>
      </w:tr>
      <w:tr w:rsidR="002713D7" w:rsidRPr="002713D7" w14:paraId="71BADC50" w14:textId="77777777" w:rsidTr="000A346F">
        <w:trPr>
          <w:trHeight w:val="493"/>
        </w:trPr>
        <w:tc>
          <w:tcPr>
            <w:tcW w:w="2019" w:type="pct"/>
            <w:vAlign w:val="center"/>
            <w:hideMark/>
          </w:tcPr>
          <w:p w14:paraId="29597727" w14:textId="77DDC6E2"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Društveno-kulturni centar </w:t>
            </w:r>
            <w:r w:rsidR="004C55BC" w:rsidRPr="002713D7">
              <w:rPr>
                <w:rFonts w:eastAsia="Times New Roman" w:cs="Calibri"/>
                <w:szCs w:val="18"/>
                <w:lang w:eastAsia="hr-HR"/>
              </w:rPr>
              <w:t>Re</w:t>
            </w:r>
            <w:r w:rsidRPr="002713D7">
              <w:rPr>
                <w:rFonts w:eastAsia="Times New Roman" w:cs="Calibri"/>
                <w:szCs w:val="18"/>
                <w:lang w:eastAsia="hr-HR"/>
              </w:rPr>
              <w:t>-GENERATOR</w:t>
            </w:r>
          </w:p>
        </w:tc>
        <w:tc>
          <w:tcPr>
            <w:tcW w:w="1504" w:type="pct"/>
            <w:vAlign w:val="center"/>
            <w:hideMark/>
          </w:tcPr>
          <w:p w14:paraId="683CE2D1"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Neto površina 2.195,90 m2</w:t>
            </w:r>
            <w:r w:rsidRPr="002713D7">
              <w:rPr>
                <w:rFonts w:eastAsia="Times New Roman" w:cs="Calibri"/>
                <w:szCs w:val="18"/>
                <w:lang w:eastAsia="hr-HR"/>
              </w:rPr>
              <w:br/>
              <w:t>bruto površina 2.683,00 m2</w:t>
            </w:r>
          </w:p>
        </w:tc>
        <w:tc>
          <w:tcPr>
            <w:tcW w:w="1477" w:type="pct"/>
            <w:vAlign w:val="center"/>
            <w:hideMark/>
          </w:tcPr>
          <w:p w14:paraId="02D648FE"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Zabok</w:t>
            </w:r>
          </w:p>
        </w:tc>
      </w:tr>
      <w:tr w:rsidR="002713D7" w:rsidRPr="002713D7" w14:paraId="093B483B" w14:textId="77777777" w:rsidTr="000A346F">
        <w:trPr>
          <w:trHeight w:val="282"/>
        </w:trPr>
        <w:tc>
          <w:tcPr>
            <w:tcW w:w="5000" w:type="pct"/>
            <w:gridSpan w:val="3"/>
            <w:shd w:val="clear" w:color="auto" w:fill="D2232A" w:themeFill="accent1"/>
            <w:vAlign w:val="center"/>
            <w:hideMark/>
          </w:tcPr>
          <w:p w14:paraId="28A2D111"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GRAD KRAPINA</w:t>
            </w:r>
          </w:p>
        </w:tc>
      </w:tr>
      <w:tr w:rsidR="00C268B4" w:rsidRPr="002713D7" w14:paraId="49F86AC5" w14:textId="77777777" w:rsidTr="000A346F">
        <w:trPr>
          <w:trHeight w:val="493"/>
        </w:trPr>
        <w:tc>
          <w:tcPr>
            <w:tcW w:w="2019" w:type="pct"/>
            <w:vAlign w:val="center"/>
          </w:tcPr>
          <w:p w14:paraId="1B843842" w14:textId="7848D784" w:rsidR="00C268B4" w:rsidRPr="002713D7" w:rsidRDefault="00C268B4" w:rsidP="00D66619">
            <w:pPr>
              <w:spacing w:after="0" w:line="240" w:lineRule="auto"/>
              <w:jc w:val="left"/>
              <w:rPr>
                <w:rFonts w:eastAsia="Times New Roman" w:cs="Calibri"/>
                <w:szCs w:val="18"/>
                <w:lang w:eastAsia="hr-HR"/>
              </w:rPr>
            </w:pPr>
            <w:r>
              <w:rPr>
                <w:rFonts w:eastAsia="Times New Roman" w:cs="Calibri"/>
                <w:szCs w:val="18"/>
                <w:lang w:eastAsia="hr-HR"/>
              </w:rPr>
              <w:t>Bivša Krapinska tekstilna industrija u sjevernom dijelu Grada Krapine (dio hala se koristi)</w:t>
            </w:r>
          </w:p>
        </w:tc>
        <w:tc>
          <w:tcPr>
            <w:tcW w:w="1504" w:type="pct"/>
            <w:vAlign w:val="center"/>
          </w:tcPr>
          <w:p w14:paraId="3A6EFA8B" w14:textId="55F704DC" w:rsidR="00C268B4" w:rsidRPr="002713D7" w:rsidRDefault="00C268B4" w:rsidP="00941871">
            <w:pPr>
              <w:spacing w:after="0" w:line="240" w:lineRule="auto"/>
              <w:rPr>
                <w:rFonts w:ascii="Calibri" w:eastAsia="Times New Roman" w:hAnsi="Calibri" w:cs="Calibri"/>
                <w:szCs w:val="18"/>
                <w:lang w:eastAsia="hr-HR"/>
              </w:rPr>
            </w:pPr>
            <w:r>
              <w:rPr>
                <w:rFonts w:ascii="Calibri" w:eastAsia="Times New Roman" w:hAnsi="Calibri" w:cs="Calibri"/>
                <w:szCs w:val="18"/>
                <w:lang w:eastAsia="hr-HR"/>
              </w:rPr>
              <w:t>Površina zemljišta cca 25 000 m</w:t>
            </w:r>
            <w:r w:rsidRPr="00C268B4">
              <w:rPr>
                <w:rFonts w:ascii="Calibri" w:eastAsia="Times New Roman" w:hAnsi="Calibri" w:cs="Calibri"/>
                <w:szCs w:val="18"/>
                <w:vertAlign w:val="superscript"/>
                <w:lang w:eastAsia="hr-HR"/>
              </w:rPr>
              <w:t>2</w:t>
            </w:r>
          </w:p>
        </w:tc>
        <w:tc>
          <w:tcPr>
            <w:tcW w:w="1477" w:type="pct"/>
            <w:vAlign w:val="center"/>
          </w:tcPr>
          <w:p w14:paraId="4E8E73AC" w14:textId="67ED639A" w:rsidR="00C268B4" w:rsidRPr="002713D7" w:rsidRDefault="00C268B4" w:rsidP="00D66619">
            <w:pPr>
              <w:spacing w:after="0" w:line="240" w:lineRule="auto"/>
              <w:jc w:val="right"/>
              <w:rPr>
                <w:rFonts w:eastAsia="Times New Roman" w:cs="Calibri"/>
                <w:szCs w:val="18"/>
                <w:lang w:eastAsia="hr-HR"/>
              </w:rPr>
            </w:pPr>
            <w:r>
              <w:rPr>
                <w:rFonts w:eastAsia="Times New Roman" w:cs="Calibri"/>
                <w:szCs w:val="18"/>
                <w:lang w:eastAsia="hr-HR"/>
              </w:rPr>
              <w:t>Krapina (naselje Žutnica)</w:t>
            </w:r>
          </w:p>
        </w:tc>
      </w:tr>
      <w:tr w:rsidR="007559E2" w:rsidRPr="002713D7" w14:paraId="417CF325" w14:textId="77777777" w:rsidTr="000A346F">
        <w:trPr>
          <w:trHeight w:val="493"/>
        </w:trPr>
        <w:tc>
          <w:tcPr>
            <w:tcW w:w="2019" w:type="pct"/>
            <w:vAlign w:val="center"/>
          </w:tcPr>
          <w:p w14:paraId="10C27C55" w14:textId="0BCE6653" w:rsidR="007559E2" w:rsidRDefault="007559E2" w:rsidP="00D66619">
            <w:pPr>
              <w:spacing w:after="0" w:line="240" w:lineRule="auto"/>
              <w:jc w:val="left"/>
              <w:rPr>
                <w:rFonts w:eastAsia="Times New Roman" w:cs="Calibri"/>
                <w:szCs w:val="18"/>
                <w:lang w:eastAsia="hr-HR"/>
              </w:rPr>
            </w:pPr>
            <w:r>
              <w:rPr>
                <w:rFonts w:eastAsia="Times New Roman" w:cs="Calibri"/>
                <w:szCs w:val="18"/>
                <w:lang w:eastAsia="hr-HR"/>
              </w:rPr>
              <w:t>Zapuštena poslovna zgrada u Krapini</w:t>
            </w:r>
            <w:r w:rsidR="00344978">
              <w:rPr>
                <w:rFonts w:eastAsia="Times New Roman" w:cs="Calibri"/>
                <w:szCs w:val="18"/>
                <w:lang w:eastAsia="hr-HR"/>
              </w:rPr>
              <w:t>, Magistratska 13 (unutar povijesne urbanističke cjeline)- vlasništvo Grada</w:t>
            </w:r>
          </w:p>
        </w:tc>
        <w:tc>
          <w:tcPr>
            <w:tcW w:w="1504" w:type="pct"/>
            <w:vAlign w:val="center"/>
          </w:tcPr>
          <w:p w14:paraId="10287025" w14:textId="3A86D72D" w:rsidR="007559E2" w:rsidRDefault="00344978" w:rsidP="00941871">
            <w:pPr>
              <w:spacing w:after="0" w:line="240" w:lineRule="auto"/>
              <w:rPr>
                <w:rFonts w:ascii="Calibri" w:eastAsia="Times New Roman" w:hAnsi="Calibri" w:cs="Calibri"/>
                <w:szCs w:val="18"/>
                <w:lang w:eastAsia="hr-HR"/>
              </w:rPr>
            </w:pPr>
            <w:r>
              <w:rPr>
                <w:rFonts w:ascii="Calibri" w:eastAsia="Times New Roman" w:hAnsi="Calibri" w:cs="Calibri"/>
                <w:szCs w:val="18"/>
                <w:lang w:eastAsia="hr-HR"/>
              </w:rPr>
              <w:t>Površina zemljišta 688 m</w:t>
            </w:r>
            <w:r w:rsidRPr="00344978">
              <w:rPr>
                <w:rFonts w:ascii="Calibri" w:eastAsia="Times New Roman" w:hAnsi="Calibri" w:cs="Calibri"/>
                <w:szCs w:val="18"/>
                <w:vertAlign w:val="superscript"/>
                <w:lang w:eastAsia="hr-HR"/>
              </w:rPr>
              <w:t>2</w:t>
            </w:r>
          </w:p>
        </w:tc>
        <w:tc>
          <w:tcPr>
            <w:tcW w:w="1477" w:type="pct"/>
            <w:vAlign w:val="center"/>
          </w:tcPr>
          <w:p w14:paraId="7A62F5CF" w14:textId="63A69AC4" w:rsidR="007559E2" w:rsidRDefault="00344978" w:rsidP="00D66619">
            <w:pPr>
              <w:spacing w:after="0" w:line="240" w:lineRule="auto"/>
              <w:jc w:val="right"/>
              <w:rPr>
                <w:rFonts w:eastAsia="Times New Roman" w:cs="Calibri"/>
                <w:szCs w:val="18"/>
                <w:lang w:eastAsia="hr-HR"/>
              </w:rPr>
            </w:pPr>
            <w:r>
              <w:rPr>
                <w:rFonts w:eastAsia="Times New Roman" w:cs="Calibri"/>
                <w:szCs w:val="18"/>
                <w:lang w:eastAsia="hr-HR"/>
              </w:rPr>
              <w:t>Krapina</w:t>
            </w:r>
          </w:p>
        </w:tc>
      </w:tr>
      <w:tr w:rsidR="007559E2" w:rsidRPr="002713D7" w14:paraId="05E9C652" w14:textId="77777777" w:rsidTr="000A346F">
        <w:trPr>
          <w:trHeight w:val="493"/>
        </w:trPr>
        <w:tc>
          <w:tcPr>
            <w:tcW w:w="2019" w:type="pct"/>
            <w:vAlign w:val="center"/>
          </w:tcPr>
          <w:p w14:paraId="6C80241A" w14:textId="6E8E9AB1" w:rsidR="007559E2" w:rsidRDefault="00344978" w:rsidP="00D66619">
            <w:pPr>
              <w:spacing w:after="0" w:line="240" w:lineRule="auto"/>
              <w:jc w:val="left"/>
              <w:rPr>
                <w:rFonts w:eastAsia="Times New Roman" w:cs="Calibri"/>
                <w:szCs w:val="18"/>
                <w:lang w:eastAsia="hr-HR"/>
              </w:rPr>
            </w:pPr>
            <w:r>
              <w:rPr>
                <w:rFonts w:eastAsia="Times New Roman" w:cs="Calibri"/>
                <w:szCs w:val="18"/>
                <w:lang w:eastAsia="hr-HR"/>
              </w:rPr>
              <w:t>Zapušteno kupalište Šemničke toplice</w:t>
            </w:r>
          </w:p>
        </w:tc>
        <w:tc>
          <w:tcPr>
            <w:tcW w:w="1504" w:type="pct"/>
            <w:vAlign w:val="center"/>
          </w:tcPr>
          <w:p w14:paraId="0AF5DE14" w14:textId="7C72A36D" w:rsidR="007559E2" w:rsidRDefault="00344978" w:rsidP="00941871">
            <w:pPr>
              <w:spacing w:after="0" w:line="240" w:lineRule="auto"/>
              <w:rPr>
                <w:rFonts w:ascii="Calibri" w:eastAsia="Times New Roman" w:hAnsi="Calibri" w:cs="Calibri"/>
                <w:szCs w:val="18"/>
                <w:lang w:eastAsia="hr-HR"/>
              </w:rPr>
            </w:pPr>
            <w:r>
              <w:rPr>
                <w:rFonts w:ascii="Calibri" w:eastAsia="Times New Roman" w:hAnsi="Calibri" w:cs="Calibri"/>
                <w:szCs w:val="18"/>
                <w:lang w:eastAsia="hr-HR"/>
              </w:rPr>
              <w:t>Površina zemljišta 14.731 m</w:t>
            </w:r>
            <w:r w:rsidRPr="00344978">
              <w:rPr>
                <w:rFonts w:ascii="Calibri" w:eastAsia="Times New Roman" w:hAnsi="Calibri" w:cs="Calibri"/>
                <w:szCs w:val="18"/>
                <w:vertAlign w:val="superscript"/>
                <w:lang w:eastAsia="hr-HR"/>
              </w:rPr>
              <w:t>2</w:t>
            </w:r>
          </w:p>
        </w:tc>
        <w:tc>
          <w:tcPr>
            <w:tcW w:w="1477" w:type="pct"/>
            <w:vAlign w:val="center"/>
          </w:tcPr>
          <w:p w14:paraId="155556A5" w14:textId="7B2F760F" w:rsidR="007559E2" w:rsidRDefault="00344978" w:rsidP="00D66619">
            <w:pPr>
              <w:spacing w:after="0" w:line="240" w:lineRule="auto"/>
              <w:jc w:val="right"/>
              <w:rPr>
                <w:rFonts w:eastAsia="Times New Roman" w:cs="Calibri"/>
                <w:szCs w:val="18"/>
                <w:lang w:eastAsia="hr-HR"/>
              </w:rPr>
            </w:pPr>
            <w:r>
              <w:rPr>
                <w:rFonts w:eastAsia="Times New Roman" w:cs="Calibri"/>
                <w:szCs w:val="18"/>
                <w:lang w:eastAsia="hr-HR"/>
              </w:rPr>
              <w:t>Krapina (Donja Šemnica)</w:t>
            </w:r>
          </w:p>
        </w:tc>
      </w:tr>
      <w:tr w:rsidR="002713D7" w:rsidRPr="002713D7" w14:paraId="10308BD5" w14:textId="77777777" w:rsidTr="000A346F">
        <w:trPr>
          <w:trHeight w:val="493"/>
        </w:trPr>
        <w:tc>
          <w:tcPr>
            <w:tcW w:w="2019" w:type="pct"/>
            <w:vAlign w:val="center"/>
            <w:hideMark/>
          </w:tcPr>
          <w:p w14:paraId="424EA4C0" w14:textId="1D80EE52"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Hala u vl. Jedinstvo d.d. (zgrada djelomično prazna, a dio se koristi)</w:t>
            </w:r>
          </w:p>
        </w:tc>
        <w:tc>
          <w:tcPr>
            <w:tcW w:w="1504" w:type="pct"/>
            <w:vAlign w:val="center"/>
            <w:hideMark/>
          </w:tcPr>
          <w:p w14:paraId="5E131EC2" w14:textId="1280BD07" w:rsidR="008878A0" w:rsidRPr="002713D7" w:rsidRDefault="008878A0" w:rsidP="00941871">
            <w:pPr>
              <w:spacing w:after="0" w:line="240" w:lineRule="auto"/>
              <w:rPr>
                <w:rFonts w:eastAsia="Times New Roman" w:cs="Calibri"/>
                <w:szCs w:val="18"/>
                <w:lang w:eastAsia="hr-HR"/>
              </w:rPr>
            </w:pPr>
            <w:r w:rsidRPr="002713D7">
              <w:rPr>
                <w:rFonts w:ascii="Calibri" w:eastAsia="Times New Roman" w:hAnsi="Calibri" w:cs="Calibri"/>
                <w:szCs w:val="18"/>
                <w:lang w:eastAsia="hr-HR"/>
              </w:rPr>
              <w:t> </w:t>
            </w:r>
            <w:r w:rsidR="00C268B4">
              <w:rPr>
                <w:rFonts w:ascii="Calibri" w:eastAsia="Times New Roman" w:hAnsi="Calibri" w:cs="Calibri"/>
                <w:szCs w:val="18"/>
                <w:lang w:eastAsia="hr-HR"/>
              </w:rPr>
              <w:t>n/a</w:t>
            </w:r>
          </w:p>
        </w:tc>
        <w:tc>
          <w:tcPr>
            <w:tcW w:w="1477" w:type="pct"/>
            <w:vAlign w:val="center"/>
            <w:hideMark/>
          </w:tcPr>
          <w:p w14:paraId="1E8FDD7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Krapina</w:t>
            </w:r>
          </w:p>
        </w:tc>
      </w:tr>
      <w:tr w:rsidR="00C268B4" w:rsidRPr="002713D7" w14:paraId="09571A91" w14:textId="77777777" w:rsidTr="000A346F">
        <w:trPr>
          <w:trHeight w:val="493"/>
        </w:trPr>
        <w:tc>
          <w:tcPr>
            <w:tcW w:w="2019" w:type="pct"/>
            <w:vAlign w:val="center"/>
          </w:tcPr>
          <w:p w14:paraId="527F3632" w14:textId="71AF5B85" w:rsidR="00C268B4" w:rsidRPr="002713D7" w:rsidRDefault="00C268B4" w:rsidP="00D66619">
            <w:pPr>
              <w:spacing w:after="0" w:line="240" w:lineRule="auto"/>
              <w:jc w:val="left"/>
              <w:rPr>
                <w:rFonts w:eastAsia="Times New Roman" w:cs="Calibri"/>
                <w:szCs w:val="18"/>
                <w:lang w:eastAsia="hr-HR"/>
              </w:rPr>
            </w:pPr>
            <w:r>
              <w:rPr>
                <w:rFonts w:eastAsia="Times New Roman" w:cs="Calibri"/>
                <w:szCs w:val="18"/>
                <w:lang w:eastAsia="hr-HR"/>
              </w:rPr>
              <w:t>Zapuštena zgrada bivšeg zadružnog doma Škarićevo</w:t>
            </w:r>
          </w:p>
        </w:tc>
        <w:tc>
          <w:tcPr>
            <w:tcW w:w="1504" w:type="pct"/>
            <w:vAlign w:val="center"/>
          </w:tcPr>
          <w:p w14:paraId="697ACEE4" w14:textId="77777777" w:rsidR="00C268B4" w:rsidRDefault="00C268B4" w:rsidP="00941871">
            <w:pPr>
              <w:spacing w:after="0" w:line="240" w:lineRule="auto"/>
              <w:rPr>
                <w:rFonts w:ascii="Calibri" w:eastAsia="Times New Roman" w:hAnsi="Calibri" w:cs="Calibri"/>
                <w:szCs w:val="18"/>
                <w:vertAlign w:val="superscript"/>
                <w:lang w:eastAsia="hr-HR"/>
              </w:rPr>
            </w:pPr>
            <w:r>
              <w:rPr>
                <w:rFonts w:ascii="Calibri" w:eastAsia="Times New Roman" w:hAnsi="Calibri" w:cs="Calibri"/>
                <w:szCs w:val="18"/>
                <w:lang w:eastAsia="hr-HR"/>
              </w:rPr>
              <w:t>Površina zemljišta 1410 m</w:t>
            </w:r>
            <w:r w:rsidRPr="00C268B4">
              <w:rPr>
                <w:rFonts w:ascii="Calibri" w:eastAsia="Times New Roman" w:hAnsi="Calibri" w:cs="Calibri"/>
                <w:szCs w:val="18"/>
                <w:vertAlign w:val="superscript"/>
                <w:lang w:eastAsia="hr-HR"/>
              </w:rPr>
              <w:t>2</w:t>
            </w:r>
          </w:p>
          <w:p w14:paraId="754EF1F4" w14:textId="68919FA4" w:rsidR="00C268B4" w:rsidRPr="002713D7" w:rsidRDefault="00C268B4" w:rsidP="00941871">
            <w:pPr>
              <w:spacing w:after="0" w:line="240" w:lineRule="auto"/>
              <w:rPr>
                <w:rFonts w:ascii="Calibri" w:eastAsia="Times New Roman" w:hAnsi="Calibri" w:cs="Calibri"/>
                <w:szCs w:val="18"/>
                <w:lang w:eastAsia="hr-HR"/>
              </w:rPr>
            </w:pPr>
            <w:r w:rsidRPr="00C268B4">
              <w:rPr>
                <w:rFonts w:ascii="Calibri" w:eastAsia="Times New Roman" w:hAnsi="Calibri" w:cs="Calibri"/>
                <w:szCs w:val="18"/>
                <w:lang w:eastAsia="hr-HR"/>
              </w:rPr>
              <w:t>Zgrada tlocrtne površine</w:t>
            </w:r>
            <w:r>
              <w:rPr>
                <w:rFonts w:ascii="Calibri" w:eastAsia="Times New Roman" w:hAnsi="Calibri" w:cs="Calibri"/>
                <w:szCs w:val="18"/>
                <w:vertAlign w:val="superscript"/>
                <w:lang w:eastAsia="hr-HR"/>
              </w:rPr>
              <w:t xml:space="preserve"> </w:t>
            </w:r>
            <w:r>
              <w:rPr>
                <w:rFonts w:ascii="Calibri" w:eastAsia="Times New Roman" w:hAnsi="Calibri" w:cs="Calibri"/>
                <w:szCs w:val="18"/>
                <w:lang w:eastAsia="hr-HR"/>
              </w:rPr>
              <w:t>447 m</w:t>
            </w:r>
            <w:r w:rsidRPr="00C268B4">
              <w:rPr>
                <w:rFonts w:ascii="Calibri" w:eastAsia="Times New Roman" w:hAnsi="Calibri" w:cs="Calibri"/>
                <w:szCs w:val="18"/>
                <w:vertAlign w:val="superscript"/>
                <w:lang w:eastAsia="hr-HR"/>
              </w:rPr>
              <w:t>2</w:t>
            </w:r>
          </w:p>
        </w:tc>
        <w:tc>
          <w:tcPr>
            <w:tcW w:w="1477" w:type="pct"/>
            <w:vAlign w:val="center"/>
          </w:tcPr>
          <w:p w14:paraId="70A51D04" w14:textId="7456750B" w:rsidR="00C268B4" w:rsidRPr="002713D7" w:rsidRDefault="00C268B4" w:rsidP="00D66619">
            <w:pPr>
              <w:spacing w:after="0" w:line="240" w:lineRule="auto"/>
              <w:jc w:val="right"/>
              <w:rPr>
                <w:rFonts w:eastAsia="Times New Roman" w:cs="Calibri"/>
                <w:szCs w:val="18"/>
                <w:lang w:eastAsia="hr-HR"/>
              </w:rPr>
            </w:pPr>
            <w:r>
              <w:rPr>
                <w:rFonts w:eastAsia="Times New Roman" w:cs="Calibri"/>
                <w:szCs w:val="18"/>
                <w:lang w:eastAsia="hr-HR"/>
              </w:rPr>
              <w:t>Krapina (Škarićevo)</w:t>
            </w:r>
          </w:p>
        </w:tc>
      </w:tr>
      <w:tr w:rsidR="002713D7" w:rsidRPr="002713D7" w14:paraId="5B794D65" w14:textId="77777777" w:rsidTr="000A346F">
        <w:trPr>
          <w:trHeight w:val="282"/>
        </w:trPr>
        <w:tc>
          <w:tcPr>
            <w:tcW w:w="5000" w:type="pct"/>
            <w:gridSpan w:val="3"/>
            <w:shd w:val="clear" w:color="auto" w:fill="D2232A" w:themeFill="accent1"/>
            <w:vAlign w:val="center"/>
            <w:hideMark/>
          </w:tcPr>
          <w:p w14:paraId="31711D2E"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MARIJA BISTRICA</w:t>
            </w:r>
          </w:p>
        </w:tc>
      </w:tr>
      <w:tr w:rsidR="002713D7" w:rsidRPr="002713D7" w14:paraId="0F4312BF" w14:textId="77777777" w:rsidTr="000A346F">
        <w:trPr>
          <w:trHeight w:val="733"/>
        </w:trPr>
        <w:tc>
          <w:tcPr>
            <w:tcW w:w="2019" w:type="pct"/>
            <w:vAlign w:val="center"/>
            <w:hideMark/>
          </w:tcPr>
          <w:p w14:paraId="579AF3CE" w14:textId="1223C3B1"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Poduzetnička zona Marija Bistrica 1 (bivši pogon tvornice  </w:t>
            </w:r>
            <w:r w:rsidR="004C55BC" w:rsidRPr="002713D7">
              <w:rPr>
                <w:rFonts w:eastAsia="Times New Roman" w:cs="Calibri"/>
                <w:szCs w:val="18"/>
                <w:lang w:eastAsia="hr-HR"/>
              </w:rPr>
              <w:t>Te</w:t>
            </w:r>
            <w:r w:rsidR="004C55BC">
              <w:rPr>
                <w:rFonts w:eastAsia="Times New Roman" w:cs="Calibri"/>
                <w:szCs w:val="18"/>
                <w:lang w:eastAsia="hr-HR"/>
              </w:rPr>
              <w:t>rmomehanika</w:t>
            </w:r>
            <w:r w:rsidRPr="002713D7">
              <w:rPr>
                <w:rFonts w:eastAsia="Times New Roman" w:cs="Calibri"/>
                <w:szCs w:val="18"/>
                <w:lang w:eastAsia="hr-HR"/>
              </w:rPr>
              <w:t>)</w:t>
            </w:r>
          </w:p>
        </w:tc>
        <w:tc>
          <w:tcPr>
            <w:tcW w:w="1504" w:type="pct"/>
            <w:vAlign w:val="center"/>
            <w:hideMark/>
          </w:tcPr>
          <w:p w14:paraId="6E88170D"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46 640 m2</w:t>
            </w:r>
          </w:p>
        </w:tc>
        <w:tc>
          <w:tcPr>
            <w:tcW w:w="1477" w:type="pct"/>
            <w:vAlign w:val="center"/>
            <w:hideMark/>
          </w:tcPr>
          <w:p w14:paraId="75E9392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Marija Bistrica</w:t>
            </w:r>
          </w:p>
        </w:tc>
      </w:tr>
      <w:tr w:rsidR="002713D7" w:rsidRPr="002713D7" w14:paraId="09F0D4B8" w14:textId="77777777" w:rsidTr="000A346F">
        <w:trPr>
          <w:trHeight w:val="282"/>
        </w:trPr>
        <w:tc>
          <w:tcPr>
            <w:tcW w:w="5000" w:type="pct"/>
            <w:gridSpan w:val="3"/>
            <w:shd w:val="clear" w:color="auto" w:fill="D2232A" w:themeFill="accent1"/>
            <w:vAlign w:val="center"/>
            <w:hideMark/>
          </w:tcPr>
          <w:p w14:paraId="1B32E110" w14:textId="7FC4C939"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GRAD OROSLAVJE</w:t>
            </w:r>
          </w:p>
        </w:tc>
      </w:tr>
      <w:tr w:rsidR="002713D7" w:rsidRPr="002713D7" w14:paraId="77395C5C" w14:textId="77777777" w:rsidTr="000A346F">
        <w:trPr>
          <w:trHeight w:val="296"/>
        </w:trPr>
        <w:tc>
          <w:tcPr>
            <w:tcW w:w="2019" w:type="pct"/>
            <w:vAlign w:val="center"/>
            <w:hideMark/>
          </w:tcPr>
          <w:p w14:paraId="771D4944"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Naselje Mokrice, k.o. mokrice 1287/2</w:t>
            </w:r>
          </w:p>
        </w:tc>
        <w:tc>
          <w:tcPr>
            <w:tcW w:w="1504" w:type="pct"/>
            <w:vAlign w:val="center"/>
            <w:hideMark/>
          </w:tcPr>
          <w:p w14:paraId="3990BF46"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0,21 ha</w:t>
            </w:r>
          </w:p>
        </w:tc>
        <w:tc>
          <w:tcPr>
            <w:tcW w:w="1477" w:type="pct"/>
            <w:vAlign w:val="center"/>
            <w:hideMark/>
          </w:tcPr>
          <w:p w14:paraId="0106A6C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Oroslavje</w:t>
            </w:r>
          </w:p>
        </w:tc>
      </w:tr>
      <w:tr w:rsidR="002713D7" w:rsidRPr="002713D7" w14:paraId="1E101C23" w14:textId="77777777" w:rsidTr="000A346F">
        <w:trPr>
          <w:trHeight w:val="493"/>
        </w:trPr>
        <w:tc>
          <w:tcPr>
            <w:tcW w:w="2019" w:type="pct"/>
            <w:vAlign w:val="center"/>
            <w:hideMark/>
          </w:tcPr>
          <w:p w14:paraId="6E99327A"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Park obitelji Prpića 13; k.č. broj 1530, 1531  k.o. Oroslavje</w:t>
            </w:r>
          </w:p>
        </w:tc>
        <w:tc>
          <w:tcPr>
            <w:tcW w:w="1504" w:type="pct"/>
            <w:vAlign w:val="center"/>
            <w:hideMark/>
          </w:tcPr>
          <w:p w14:paraId="06325DD9"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2,46 ha</w:t>
            </w:r>
          </w:p>
        </w:tc>
        <w:tc>
          <w:tcPr>
            <w:tcW w:w="1477" w:type="pct"/>
            <w:vAlign w:val="center"/>
            <w:hideMark/>
          </w:tcPr>
          <w:p w14:paraId="5546F41F"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Grad Oroslavje</w:t>
            </w:r>
          </w:p>
        </w:tc>
      </w:tr>
      <w:tr w:rsidR="002713D7" w:rsidRPr="002713D7" w14:paraId="7D3BD674" w14:textId="77777777" w:rsidTr="000A346F">
        <w:trPr>
          <w:trHeight w:val="282"/>
        </w:trPr>
        <w:tc>
          <w:tcPr>
            <w:tcW w:w="5000" w:type="pct"/>
            <w:gridSpan w:val="3"/>
            <w:shd w:val="clear" w:color="auto" w:fill="D2232A" w:themeFill="accent1"/>
            <w:vAlign w:val="center"/>
            <w:hideMark/>
          </w:tcPr>
          <w:p w14:paraId="6B141A24"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BUDINŠČINA</w:t>
            </w:r>
          </w:p>
        </w:tc>
      </w:tr>
      <w:tr w:rsidR="002713D7" w:rsidRPr="002713D7" w14:paraId="642D112E" w14:textId="77777777" w:rsidTr="000A346F">
        <w:trPr>
          <w:trHeight w:val="493"/>
        </w:trPr>
        <w:tc>
          <w:tcPr>
            <w:tcW w:w="2019" w:type="pct"/>
            <w:vAlign w:val="center"/>
            <w:hideMark/>
          </w:tcPr>
          <w:p w14:paraId="7B9F183F"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Krapinica - proizvodna hala i vanjski prostor bivši DEA KOLOR </w:t>
            </w:r>
          </w:p>
        </w:tc>
        <w:tc>
          <w:tcPr>
            <w:tcW w:w="1504" w:type="pct"/>
            <w:vAlign w:val="center"/>
            <w:hideMark/>
          </w:tcPr>
          <w:p w14:paraId="21722FAF"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6000 m²</w:t>
            </w:r>
          </w:p>
        </w:tc>
        <w:tc>
          <w:tcPr>
            <w:tcW w:w="1477" w:type="pct"/>
            <w:vAlign w:val="center"/>
            <w:hideMark/>
          </w:tcPr>
          <w:p w14:paraId="349C1DB9"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Budinščina</w:t>
            </w:r>
          </w:p>
        </w:tc>
      </w:tr>
      <w:tr w:rsidR="002713D7" w:rsidRPr="002713D7" w14:paraId="75D70C10" w14:textId="77777777" w:rsidTr="000A346F">
        <w:trPr>
          <w:trHeight w:val="493"/>
        </w:trPr>
        <w:tc>
          <w:tcPr>
            <w:tcW w:w="2019" w:type="pct"/>
            <w:vAlign w:val="center"/>
            <w:hideMark/>
          </w:tcPr>
          <w:p w14:paraId="2FF8FCC9"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Gotalovec - proizvodna hala i vanjski prostor ELMECH</w:t>
            </w:r>
          </w:p>
        </w:tc>
        <w:tc>
          <w:tcPr>
            <w:tcW w:w="1504" w:type="pct"/>
            <w:vAlign w:val="center"/>
            <w:hideMark/>
          </w:tcPr>
          <w:p w14:paraId="7E067425"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 xml:space="preserve"> 23000 m²</w:t>
            </w:r>
          </w:p>
        </w:tc>
        <w:tc>
          <w:tcPr>
            <w:tcW w:w="1477" w:type="pct"/>
            <w:vAlign w:val="center"/>
            <w:hideMark/>
          </w:tcPr>
          <w:p w14:paraId="58A2BA6F"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Budinščina</w:t>
            </w:r>
          </w:p>
        </w:tc>
      </w:tr>
      <w:tr w:rsidR="002713D7" w:rsidRPr="002713D7" w14:paraId="74C6190F" w14:textId="77777777" w:rsidTr="000A346F">
        <w:trPr>
          <w:trHeight w:val="282"/>
        </w:trPr>
        <w:tc>
          <w:tcPr>
            <w:tcW w:w="5000" w:type="pct"/>
            <w:gridSpan w:val="3"/>
            <w:shd w:val="clear" w:color="auto" w:fill="D2232A" w:themeFill="accent1"/>
            <w:vAlign w:val="center"/>
            <w:hideMark/>
          </w:tcPr>
          <w:p w14:paraId="55F6B68D"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MAČE</w:t>
            </w:r>
          </w:p>
        </w:tc>
      </w:tr>
      <w:tr w:rsidR="002713D7" w:rsidRPr="002713D7" w14:paraId="30B3E86A" w14:textId="77777777" w:rsidTr="000A346F">
        <w:trPr>
          <w:trHeight w:val="493"/>
        </w:trPr>
        <w:tc>
          <w:tcPr>
            <w:tcW w:w="2019" w:type="pct"/>
            <w:vAlign w:val="center"/>
            <w:hideMark/>
          </w:tcPr>
          <w:p w14:paraId="6EBC4C7B"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zapuštena farma u vlasništvu Benčić Ankice i Benčić Stjepana, Mače 29b </w:t>
            </w:r>
          </w:p>
        </w:tc>
        <w:tc>
          <w:tcPr>
            <w:tcW w:w="1504" w:type="pct"/>
            <w:vAlign w:val="center"/>
            <w:hideMark/>
          </w:tcPr>
          <w:p w14:paraId="48CF0A96"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 xml:space="preserve">4254 m² </w:t>
            </w:r>
          </w:p>
        </w:tc>
        <w:tc>
          <w:tcPr>
            <w:tcW w:w="1477" w:type="pct"/>
            <w:vAlign w:val="center"/>
            <w:hideMark/>
          </w:tcPr>
          <w:p w14:paraId="49D5F8B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Mače</w:t>
            </w:r>
          </w:p>
        </w:tc>
      </w:tr>
      <w:tr w:rsidR="002713D7" w:rsidRPr="002713D7" w14:paraId="68E5D62A" w14:textId="77777777" w:rsidTr="000A346F">
        <w:trPr>
          <w:trHeight w:val="493"/>
        </w:trPr>
        <w:tc>
          <w:tcPr>
            <w:tcW w:w="2019" w:type="pct"/>
            <w:vAlign w:val="center"/>
            <w:hideMark/>
          </w:tcPr>
          <w:p w14:paraId="00E7F31E"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zapuštena farma u vlasništvu Klarić Branke, Veliki Bukovec 4, Mače</w:t>
            </w:r>
          </w:p>
        </w:tc>
        <w:tc>
          <w:tcPr>
            <w:tcW w:w="1504" w:type="pct"/>
            <w:vAlign w:val="center"/>
            <w:hideMark/>
          </w:tcPr>
          <w:p w14:paraId="5D6679BF"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2931 m²</w:t>
            </w:r>
          </w:p>
        </w:tc>
        <w:tc>
          <w:tcPr>
            <w:tcW w:w="1477" w:type="pct"/>
            <w:vAlign w:val="center"/>
            <w:hideMark/>
          </w:tcPr>
          <w:p w14:paraId="3F5988E7"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Mače</w:t>
            </w:r>
          </w:p>
        </w:tc>
      </w:tr>
      <w:tr w:rsidR="002713D7" w:rsidRPr="002713D7" w14:paraId="79DB5AD9" w14:textId="77777777" w:rsidTr="000A346F">
        <w:trPr>
          <w:trHeight w:val="493"/>
        </w:trPr>
        <w:tc>
          <w:tcPr>
            <w:tcW w:w="2019" w:type="pct"/>
            <w:vAlign w:val="center"/>
            <w:hideMark/>
          </w:tcPr>
          <w:p w14:paraId="5455F7B4" w14:textId="01170CE2"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zapušteni </w:t>
            </w:r>
            <w:r w:rsidR="004C55BC" w:rsidRPr="002713D7">
              <w:rPr>
                <w:rFonts w:eastAsia="Times New Roman" w:cs="Calibri"/>
                <w:szCs w:val="18"/>
                <w:lang w:eastAsia="hr-HR"/>
              </w:rPr>
              <w:t>kompleks</w:t>
            </w:r>
            <w:r w:rsidRPr="002713D7">
              <w:rPr>
                <w:rFonts w:eastAsia="Times New Roman" w:cs="Calibri"/>
                <w:szCs w:val="18"/>
                <w:lang w:eastAsia="hr-HR"/>
              </w:rPr>
              <w:t xml:space="preserve"> Sutinskih Toplica u vlasništvu UTP Ivančica </w:t>
            </w:r>
          </w:p>
        </w:tc>
        <w:tc>
          <w:tcPr>
            <w:tcW w:w="1504" w:type="pct"/>
            <w:vAlign w:val="center"/>
            <w:hideMark/>
          </w:tcPr>
          <w:p w14:paraId="010C8432"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cca 4150 m²</w:t>
            </w:r>
          </w:p>
        </w:tc>
        <w:tc>
          <w:tcPr>
            <w:tcW w:w="1477" w:type="pct"/>
            <w:vAlign w:val="center"/>
            <w:hideMark/>
          </w:tcPr>
          <w:p w14:paraId="5838106F"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Mače</w:t>
            </w:r>
          </w:p>
        </w:tc>
      </w:tr>
      <w:tr w:rsidR="002713D7" w:rsidRPr="002713D7" w14:paraId="7F353AB4" w14:textId="77777777" w:rsidTr="000A346F">
        <w:trPr>
          <w:trHeight w:val="282"/>
        </w:trPr>
        <w:tc>
          <w:tcPr>
            <w:tcW w:w="5000" w:type="pct"/>
            <w:gridSpan w:val="3"/>
            <w:shd w:val="clear" w:color="auto" w:fill="D2232A" w:themeFill="accent1"/>
            <w:vAlign w:val="center"/>
            <w:hideMark/>
          </w:tcPr>
          <w:p w14:paraId="6F392B0B"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JESENJE</w:t>
            </w:r>
          </w:p>
        </w:tc>
      </w:tr>
      <w:tr w:rsidR="002713D7" w:rsidRPr="002713D7" w14:paraId="432644C5" w14:textId="77777777" w:rsidTr="000A346F">
        <w:trPr>
          <w:trHeight w:val="296"/>
        </w:trPr>
        <w:tc>
          <w:tcPr>
            <w:tcW w:w="2019" w:type="pct"/>
            <w:vAlign w:val="center"/>
            <w:hideMark/>
          </w:tcPr>
          <w:p w14:paraId="381A1961"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Hala u Donjem Jesenju</w:t>
            </w:r>
          </w:p>
        </w:tc>
        <w:tc>
          <w:tcPr>
            <w:tcW w:w="1504" w:type="pct"/>
            <w:vAlign w:val="center"/>
            <w:hideMark/>
          </w:tcPr>
          <w:p w14:paraId="5C4C802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360 m²</w:t>
            </w:r>
          </w:p>
        </w:tc>
        <w:tc>
          <w:tcPr>
            <w:tcW w:w="1477" w:type="pct"/>
            <w:vAlign w:val="center"/>
            <w:hideMark/>
          </w:tcPr>
          <w:p w14:paraId="7DDDDAF8"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Jesenje</w:t>
            </w:r>
          </w:p>
        </w:tc>
      </w:tr>
      <w:tr w:rsidR="002713D7" w:rsidRPr="002713D7" w14:paraId="134C6329" w14:textId="77777777" w:rsidTr="000A346F">
        <w:trPr>
          <w:trHeight w:val="296"/>
        </w:trPr>
        <w:tc>
          <w:tcPr>
            <w:tcW w:w="2019" w:type="pct"/>
            <w:vAlign w:val="center"/>
            <w:hideMark/>
          </w:tcPr>
          <w:p w14:paraId="2E2909F7"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Kamenolom u Donjem Jesenju </w:t>
            </w:r>
          </w:p>
        </w:tc>
        <w:tc>
          <w:tcPr>
            <w:tcW w:w="1504" w:type="pct"/>
            <w:vAlign w:val="center"/>
            <w:hideMark/>
          </w:tcPr>
          <w:p w14:paraId="77701EBF"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20360 m²</w:t>
            </w:r>
          </w:p>
        </w:tc>
        <w:tc>
          <w:tcPr>
            <w:tcW w:w="1477" w:type="pct"/>
            <w:vAlign w:val="center"/>
            <w:hideMark/>
          </w:tcPr>
          <w:p w14:paraId="2358734F"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Jesenje</w:t>
            </w:r>
          </w:p>
        </w:tc>
      </w:tr>
      <w:tr w:rsidR="002713D7" w:rsidRPr="002713D7" w14:paraId="2844C7F7" w14:textId="77777777" w:rsidTr="000A346F">
        <w:trPr>
          <w:trHeight w:val="282"/>
        </w:trPr>
        <w:tc>
          <w:tcPr>
            <w:tcW w:w="5000" w:type="pct"/>
            <w:gridSpan w:val="3"/>
            <w:shd w:val="clear" w:color="auto" w:fill="D2232A" w:themeFill="accent1"/>
            <w:vAlign w:val="center"/>
            <w:hideMark/>
          </w:tcPr>
          <w:p w14:paraId="7484DDFA"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HUM NA SUTLI</w:t>
            </w:r>
          </w:p>
        </w:tc>
      </w:tr>
      <w:tr w:rsidR="002713D7" w:rsidRPr="002713D7" w14:paraId="7F5CFAE9" w14:textId="77777777" w:rsidTr="000A346F">
        <w:trPr>
          <w:trHeight w:val="296"/>
        </w:trPr>
        <w:tc>
          <w:tcPr>
            <w:tcW w:w="2019" w:type="pct"/>
            <w:vAlign w:val="center"/>
            <w:hideMark/>
          </w:tcPr>
          <w:p w14:paraId="71B82A37"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Spomen dom "Orešje" </w:t>
            </w:r>
          </w:p>
        </w:tc>
        <w:tc>
          <w:tcPr>
            <w:tcW w:w="1504" w:type="pct"/>
            <w:vAlign w:val="center"/>
            <w:hideMark/>
          </w:tcPr>
          <w:p w14:paraId="413877DE"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448 čhv</w:t>
            </w:r>
          </w:p>
        </w:tc>
        <w:tc>
          <w:tcPr>
            <w:tcW w:w="1477" w:type="pct"/>
            <w:vAlign w:val="center"/>
            <w:hideMark/>
          </w:tcPr>
          <w:p w14:paraId="2E5B4B1A"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Hum na Sutli</w:t>
            </w:r>
          </w:p>
        </w:tc>
      </w:tr>
      <w:tr w:rsidR="002713D7" w:rsidRPr="002713D7" w14:paraId="40AA7C30" w14:textId="77777777" w:rsidTr="000A346F">
        <w:trPr>
          <w:trHeight w:val="282"/>
        </w:trPr>
        <w:tc>
          <w:tcPr>
            <w:tcW w:w="5000" w:type="pct"/>
            <w:gridSpan w:val="3"/>
            <w:shd w:val="clear" w:color="auto" w:fill="D2232A" w:themeFill="accent1"/>
            <w:vAlign w:val="center"/>
            <w:hideMark/>
          </w:tcPr>
          <w:p w14:paraId="2D12AE03"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 xml:space="preserve">OPĆINA LOBOR </w:t>
            </w:r>
          </w:p>
        </w:tc>
      </w:tr>
      <w:tr w:rsidR="002713D7" w:rsidRPr="002713D7" w14:paraId="566B3DCB" w14:textId="77777777" w:rsidTr="000A346F">
        <w:trPr>
          <w:trHeight w:val="493"/>
        </w:trPr>
        <w:tc>
          <w:tcPr>
            <w:tcW w:w="2019" w:type="pct"/>
            <w:vAlign w:val="center"/>
            <w:hideMark/>
          </w:tcPr>
          <w:p w14:paraId="676B01C5"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Upravna zgrada stare Ciglane-Vinipotok</w:t>
            </w:r>
          </w:p>
        </w:tc>
        <w:tc>
          <w:tcPr>
            <w:tcW w:w="1504" w:type="pct"/>
            <w:vAlign w:val="center"/>
            <w:hideMark/>
          </w:tcPr>
          <w:p w14:paraId="0F2FD596"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230 m²</w:t>
            </w:r>
          </w:p>
        </w:tc>
        <w:tc>
          <w:tcPr>
            <w:tcW w:w="1477" w:type="pct"/>
            <w:vAlign w:val="center"/>
            <w:hideMark/>
          </w:tcPr>
          <w:p w14:paraId="39218800"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 xml:space="preserve">Općina Lobor </w:t>
            </w:r>
          </w:p>
        </w:tc>
      </w:tr>
      <w:tr w:rsidR="002713D7" w:rsidRPr="002713D7" w14:paraId="3DD8023F" w14:textId="77777777" w:rsidTr="000A346F">
        <w:trPr>
          <w:trHeight w:val="296"/>
        </w:trPr>
        <w:tc>
          <w:tcPr>
            <w:tcW w:w="2019" w:type="pct"/>
            <w:vAlign w:val="center"/>
            <w:hideMark/>
          </w:tcPr>
          <w:p w14:paraId="6B2E6DC2" w14:textId="6C55FAB0"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 xml:space="preserve">Kamenolom - </w:t>
            </w:r>
            <w:r w:rsidR="004C55BC">
              <w:rPr>
                <w:rFonts w:eastAsia="Times New Roman" w:cs="Calibri"/>
                <w:szCs w:val="18"/>
                <w:lang w:eastAsia="hr-HR"/>
              </w:rPr>
              <w:t>Š</w:t>
            </w:r>
            <w:r w:rsidRPr="002713D7">
              <w:rPr>
                <w:rFonts w:eastAsia="Times New Roman" w:cs="Calibri"/>
                <w:szCs w:val="18"/>
                <w:lang w:eastAsia="hr-HR"/>
              </w:rPr>
              <w:t>udrana</w:t>
            </w:r>
          </w:p>
        </w:tc>
        <w:tc>
          <w:tcPr>
            <w:tcW w:w="1504" w:type="pct"/>
            <w:vAlign w:val="center"/>
            <w:hideMark/>
          </w:tcPr>
          <w:p w14:paraId="6F35A396"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4400 m²</w:t>
            </w:r>
          </w:p>
        </w:tc>
        <w:tc>
          <w:tcPr>
            <w:tcW w:w="1477" w:type="pct"/>
            <w:vAlign w:val="center"/>
            <w:hideMark/>
          </w:tcPr>
          <w:p w14:paraId="77D191EC"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 xml:space="preserve">Općina Lobor </w:t>
            </w:r>
          </w:p>
        </w:tc>
      </w:tr>
      <w:tr w:rsidR="002713D7" w:rsidRPr="002713D7" w14:paraId="45B337DD" w14:textId="77777777" w:rsidTr="000A346F">
        <w:trPr>
          <w:trHeight w:val="282"/>
        </w:trPr>
        <w:tc>
          <w:tcPr>
            <w:tcW w:w="5000" w:type="pct"/>
            <w:gridSpan w:val="3"/>
            <w:shd w:val="clear" w:color="auto" w:fill="D2232A" w:themeFill="accent1"/>
            <w:vAlign w:val="center"/>
            <w:hideMark/>
          </w:tcPr>
          <w:p w14:paraId="22DAF9F0"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 xml:space="preserve">OPĆINA GORNJA STUBICA </w:t>
            </w:r>
          </w:p>
        </w:tc>
      </w:tr>
      <w:tr w:rsidR="002713D7" w:rsidRPr="002713D7" w14:paraId="307E4AAC" w14:textId="77777777" w:rsidTr="000A346F">
        <w:trPr>
          <w:trHeight w:val="733"/>
        </w:trPr>
        <w:tc>
          <w:tcPr>
            <w:tcW w:w="2019" w:type="pct"/>
            <w:vAlign w:val="center"/>
            <w:hideMark/>
          </w:tcPr>
          <w:p w14:paraId="077304A9"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Bivši pogon MAVINI - Salar</w:t>
            </w:r>
          </w:p>
        </w:tc>
        <w:tc>
          <w:tcPr>
            <w:tcW w:w="1504" w:type="pct"/>
            <w:vAlign w:val="center"/>
            <w:hideMark/>
          </w:tcPr>
          <w:p w14:paraId="62868608"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908 m² poslovnog prostora, 900 m² građevinskog zemljišta</w:t>
            </w:r>
          </w:p>
        </w:tc>
        <w:tc>
          <w:tcPr>
            <w:tcW w:w="1477" w:type="pct"/>
            <w:vAlign w:val="center"/>
            <w:hideMark/>
          </w:tcPr>
          <w:p w14:paraId="5DD0DB6A"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Gornja Stubica</w:t>
            </w:r>
          </w:p>
        </w:tc>
      </w:tr>
      <w:tr w:rsidR="002713D7" w:rsidRPr="002713D7" w14:paraId="3A8BB1BD" w14:textId="77777777" w:rsidTr="000A346F">
        <w:trPr>
          <w:trHeight w:val="282"/>
        </w:trPr>
        <w:tc>
          <w:tcPr>
            <w:tcW w:w="5000" w:type="pct"/>
            <w:gridSpan w:val="3"/>
            <w:shd w:val="clear" w:color="auto" w:fill="D2232A" w:themeFill="accent1"/>
            <w:vAlign w:val="center"/>
            <w:hideMark/>
          </w:tcPr>
          <w:p w14:paraId="7803882A" w14:textId="77777777" w:rsidR="008878A0" w:rsidRPr="00D66619" w:rsidRDefault="008878A0" w:rsidP="00D66619">
            <w:pPr>
              <w:spacing w:after="0" w:line="240" w:lineRule="auto"/>
              <w:jc w:val="left"/>
              <w:rPr>
                <w:rFonts w:eastAsia="Times New Roman" w:cs="Calibri"/>
                <w:b/>
                <w:bCs/>
                <w:color w:val="FFFFFF" w:themeColor="background1"/>
                <w:szCs w:val="18"/>
                <w:lang w:eastAsia="hr-HR"/>
              </w:rPr>
            </w:pPr>
            <w:r w:rsidRPr="00D66619">
              <w:rPr>
                <w:rFonts w:eastAsia="Times New Roman" w:cs="Calibri"/>
                <w:b/>
                <w:bCs/>
                <w:color w:val="FFFFFF" w:themeColor="background1"/>
                <w:szCs w:val="18"/>
                <w:lang w:eastAsia="hr-HR"/>
              </w:rPr>
              <w:t>OPĆINA KRALJEVEC NA SUTLI</w:t>
            </w:r>
          </w:p>
        </w:tc>
      </w:tr>
      <w:tr w:rsidR="002713D7" w:rsidRPr="002713D7" w14:paraId="42E2F28C" w14:textId="77777777" w:rsidTr="000A346F">
        <w:trPr>
          <w:trHeight w:val="296"/>
        </w:trPr>
        <w:tc>
          <w:tcPr>
            <w:tcW w:w="2019" w:type="pct"/>
            <w:vAlign w:val="center"/>
            <w:hideMark/>
          </w:tcPr>
          <w:p w14:paraId="1C2E6A84"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t>Pogon mesne industrije Gorup</w:t>
            </w:r>
          </w:p>
        </w:tc>
        <w:tc>
          <w:tcPr>
            <w:tcW w:w="1504" w:type="pct"/>
            <w:vAlign w:val="center"/>
            <w:hideMark/>
          </w:tcPr>
          <w:p w14:paraId="3BB90F0A"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5000 m2</w:t>
            </w:r>
          </w:p>
        </w:tc>
        <w:tc>
          <w:tcPr>
            <w:tcW w:w="1477" w:type="pct"/>
            <w:vAlign w:val="center"/>
            <w:hideMark/>
          </w:tcPr>
          <w:p w14:paraId="4582B83E"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Kraljevec n/s</w:t>
            </w:r>
          </w:p>
        </w:tc>
      </w:tr>
      <w:tr w:rsidR="002713D7" w:rsidRPr="002713D7" w14:paraId="1CFF8C4A" w14:textId="77777777" w:rsidTr="000A346F">
        <w:trPr>
          <w:trHeight w:val="296"/>
        </w:trPr>
        <w:tc>
          <w:tcPr>
            <w:tcW w:w="2019" w:type="pct"/>
            <w:vAlign w:val="center"/>
            <w:hideMark/>
          </w:tcPr>
          <w:p w14:paraId="177FBE67" w14:textId="77777777" w:rsidR="008878A0" w:rsidRPr="002713D7" w:rsidRDefault="008878A0" w:rsidP="00D66619">
            <w:pPr>
              <w:spacing w:after="0" w:line="240" w:lineRule="auto"/>
              <w:jc w:val="left"/>
              <w:rPr>
                <w:rFonts w:eastAsia="Times New Roman" w:cs="Calibri"/>
                <w:szCs w:val="18"/>
                <w:lang w:eastAsia="hr-HR"/>
              </w:rPr>
            </w:pPr>
            <w:r w:rsidRPr="002713D7">
              <w:rPr>
                <w:rFonts w:eastAsia="Times New Roman" w:cs="Calibri"/>
                <w:szCs w:val="18"/>
                <w:lang w:eastAsia="hr-HR"/>
              </w:rPr>
              <w:lastRenderedPageBreak/>
              <w:t>Zemljište u radnoj zoni</w:t>
            </w:r>
          </w:p>
        </w:tc>
        <w:tc>
          <w:tcPr>
            <w:tcW w:w="1504" w:type="pct"/>
            <w:vAlign w:val="center"/>
            <w:hideMark/>
          </w:tcPr>
          <w:p w14:paraId="1AB82B38"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54.000 m2</w:t>
            </w:r>
          </w:p>
        </w:tc>
        <w:tc>
          <w:tcPr>
            <w:tcW w:w="1477" w:type="pct"/>
            <w:vAlign w:val="center"/>
            <w:hideMark/>
          </w:tcPr>
          <w:p w14:paraId="265EC6DB" w14:textId="77777777" w:rsidR="008878A0" w:rsidRPr="002713D7" w:rsidRDefault="008878A0" w:rsidP="00D66619">
            <w:pPr>
              <w:spacing w:after="0" w:line="240" w:lineRule="auto"/>
              <w:jc w:val="right"/>
              <w:rPr>
                <w:rFonts w:eastAsia="Times New Roman" w:cs="Calibri"/>
                <w:szCs w:val="18"/>
                <w:lang w:eastAsia="hr-HR"/>
              </w:rPr>
            </w:pPr>
            <w:r w:rsidRPr="002713D7">
              <w:rPr>
                <w:rFonts w:eastAsia="Times New Roman" w:cs="Calibri"/>
                <w:szCs w:val="18"/>
                <w:lang w:eastAsia="hr-HR"/>
              </w:rPr>
              <w:t>Općina Kraljevec n/s</w:t>
            </w:r>
          </w:p>
        </w:tc>
      </w:tr>
    </w:tbl>
    <w:p w14:paraId="12B5A65D" w14:textId="3A434E8F" w:rsidR="008878A0" w:rsidRDefault="008878A0" w:rsidP="003C2276">
      <w:pPr>
        <w:pStyle w:val="Izvor"/>
        <w:rPr>
          <w:i/>
          <w:color w:val="ABABAB" w:themeColor="text1" w:themeTint="A6"/>
          <w:sz w:val="16"/>
          <w:szCs w:val="16"/>
        </w:rPr>
      </w:pPr>
      <w:r w:rsidRPr="00840136">
        <w:rPr>
          <w:i/>
          <w:color w:val="ABABAB" w:themeColor="text1" w:themeTint="A6"/>
          <w:sz w:val="16"/>
          <w:szCs w:val="16"/>
        </w:rPr>
        <w:t>Izvor: Općine i gradovi KZŽ, Zagorska razvojna agencija</w:t>
      </w:r>
      <w:r w:rsidR="00005B6D" w:rsidRPr="00840136">
        <w:rPr>
          <w:i/>
          <w:color w:val="ABABAB" w:themeColor="text1" w:themeTint="A6"/>
          <w:sz w:val="16"/>
          <w:szCs w:val="16"/>
        </w:rPr>
        <w:t>, 2019.</w:t>
      </w:r>
    </w:p>
    <w:p w14:paraId="43298EA7" w14:textId="77777777" w:rsidR="00792DDF" w:rsidRPr="00840136" w:rsidRDefault="00792DDF" w:rsidP="003C2276">
      <w:pPr>
        <w:pStyle w:val="Izvor"/>
        <w:rPr>
          <w:i/>
          <w:color w:val="ABABAB" w:themeColor="text1" w:themeTint="A6"/>
          <w:sz w:val="16"/>
          <w:szCs w:val="16"/>
        </w:rPr>
      </w:pPr>
    </w:p>
    <w:p w14:paraId="3ED0D9C4" w14:textId="58E585FC" w:rsidR="00792DDF" w:rsidRPr="00792DDF" w:rsidRDefault="00792DDF" w:rsidP="00792DDF">
      <w:r w:rsidRPr="00792DDF">
        <w:t xml:space="preserve">Ministarstvo graditeljstva i prostornoga uređenja, nastavno na najavu koncem 2018. godine, tijekom ožujka </w:t>
      </w:r>
      <w:r>
        <w:t>2020.godine</w:t>
      </w:r>
      <w:r w:rsidRPr="00792DDF">
        <w:t xml:space="preserve"> stvorilo </w:t>
      </w:r>
      <w:r>
        <w:t xml:space="preserve">je </w:t>
      </w:r>
      <w:r w:rsidRPr="00792DDF">
        <w:t xml:space="preserve">pretpostavke za početak unosa podataka u Registar </w:t>
      </w:r>
      <w:r w:rsidRPr="00792DDF">
        <w:rPr>
          <w:i/>
          <w:iCs/>
        </w:rPr>
        <w:t>brownfield</w:t>
      </w:r>
      <w:r w:rsidRPr="00792DDF">
        <w:t xml:space="preserve"> područja, a Zavodu </w:t>
      </w:r>
      <w:r>
        <w:t xml:space="preserve">za prostorno uređenje Krapinsko-zagorske županije </w:t>
      </w:r>
      <w:r w:rsidRPr="00792DDF">
        <w:t xml:space="preserve">dodijelilo </w:t>
      </w:r>
      <w:r>
        <w:t xml:space="preserve">je </w:t>
      </w:r>
      <w:r w:rsidRPr="00792DDF">
        <w:t>status ovlaštenog korisnika i administratora korisnika za Županiju.</w:t>
      </w:r>
      <w:r>
        <w:t xml:space="preserve"> </w:t>
      </w:r>
      <w:r w:rsidRPr="00792DDF">
        <w:t xml:space="preserve">Registar je zamišljen kao mjesto u kojem će se uspostaviti evidencija </w:t>
      </w:r>
      <w:r w:rsidRPr="00792DDF">
        <w:rPr>
          <w:i/>
          <w:iCs/>
        </w:rPr>
        <w:t>brownfield</w:t>
      </w:r>
      <w:r w:rsidRPr="00792DDF">
        <w:t xml:space="preserve"> područja u cilju njihove inventarizacije i vrednovanja, a kasnije i praćenja stanja, kao preduvjeta za eventualna buduća ulaganja radi prenamjene ili revitalizacije takvih područja, sve u skladu s usmjerenjima iz Strategije prostornog razvoja RH („Narodne novine“ broj 106/17): „Projekti/Aktivnosti _ Izrada </w:t>
      </w:r>
      <w:r w:rsidRPr="00792DDF">
        <w:rPr>
          <w:i/>
          <w:iCs/>
        </w:rPr>
        <w:t>Brownfield </w:t>
      </w:r>
      <w:r w:rsidRPr="00792DDF">
        <w:t>registra u okviru ISPU-a kao jedinstvenog i javno dostupnog preglednika podataka o područjima planiranima za urbanu preobrazbu, s precizno utvrđenim modelom podataka o pojedinom području.</w:t>
      </w:r>
    </w:p>
    <w:p w14:paraId="2580BF63" w14:textId="15A1646F" w:rsidR="00792DDF" w:rsidRPr="00792DDF" w:rsidRDefault="00792DDF" w:rsidP="00792DDF">
      <w:r w:rsidRPr="00792DDF">
        <w:t>Strategija ukazuje na postojanje značajnih prostora koji se više ne koriste i ne mogu se koristiti na dosadašnji način te ocjenjuje da je potrebno, poštujući prostorne značajke i realne potrebe, spriječiti njihovu daljnju devastaciju, provesti urbanu preobrazbu i privesti ih novoj namjeni. Kako su navedeni prostori dio izgrađenih dijelova naselja, ali nisu više njihov funkcionalni dio, Strategija ih prepoznaje kao tzv. preskočene prostore odnosno brownfield zone i ocjenjuje da  većinu tih prostora karakterizira atraktivnost njihova položaja u urbanom tkivu, veličina zemljišta, prometna dostupnost te visoki stupanj zatečene uređenosti zemljišta. Strategijom se nadalje ocjenjuje da neriješeni imovinsko-pravni odnosi koji ograničavaju mogućnosti i opseg prenamjene pojedinih građevina ili sklopova, visina potrebnih ulaganja, nužnost izrade ili izmjene postojeće prostorno-planske dokumentacije, nemogućnost vremenskog planiranja realizacije zahvata, a u pojedinim slučajevima režimi zaštite kulturne baštine te prostore čine neprivlačnim potencijalnim investitorima.</w:t>
      </w:r>
    </w:p>
    <w:p w14:paraId="573B0790" w14:textId="77777777" w:rsidR="00792DDF" w:rsidRPr="00792DDF" w:rsidRDefault="00792DDF" w:rsidP="00792DDF">
      <w:r w:rsidRPr="00792DDF">
        <w:t>U okviru Strategije kao prostore navedenih karakteristika posebice se apostrofira napuštene vojne komplekse, napuštene komplekse velikih industrijskih proizvođača te napuštene ugostiteljsko-turističke prostore odnosno navodi:</w:t>
      </w:r>
    </w:p>
    <w:p w14:paraId="0E9E0DE9" w14:textId="23D3806A" w:rsidR="00792DDF" w:rsidRPr="00792DDF" w:rsidRDefault="00792DDF" w:rsidP="00792DDF">
      <w:pPr>
        <w:numPr>
          <w:ilvl w:val="0"/>
          <w:numId w:val="40"/>
        </w:numPr>
      </w:pPr>
      <w:r w:rsidRPr="00792DDF">
        <w:t>napušteni vojni kompleksi su postali, osobito u gradovima, značajan prostorni resurs, pri čemu važeća zakonska regulativa omogućuje jedinicama lokalne samouprave da ih koriste za rješavanje potreba javne namjene</w:t>
      </w:r>
      <w:r>
        <w:t xml:space="preserve"> </w:t>
      </w:r>
      <w:r w:rsidRPr="00792DDF">
        <w:t>(Zakon o upravljanju i raspolaganju imovinom u vlasništvu Republike Hrvatske (»Narodne novine« 94/13 i 18/16))</w:t>
      </w:r>
    </w:p>
    <w:p w14:paraId="60885B04" w14:textId="18342400" w:rsidR="00792DDF" w:rsidRPr="00792DDF" w:rsidRDefault="00792DDF" w:rsidP="00792DDF">
      <w:pPr>
        <w:numPr>
          <w:ilvl w:val="0"/>
          <w:numId w:val="40"/>
        </w:numPr>
      </w:pPr>
      <w:r w:rsidRPr="00792DDF">
        <w:t>tijekom procesa pretvorbe i privatizacije 90-ih godina 20. stoljeća započeti su procesi restrukturiranja velikih industrijskih proizvođača tijekom kojih su pojedini sektori ili upravne jedinice ranijih poduzeća postali samostalna trgovačka društva kojima je diobom pripao i odgovarajući dio nekretnina te se otvaranjem gospodarskih zona izvan naselja, dio proizvodnih pogona izmješta</w:t>
      </w:r>
      <w:r w:rsidR="00FC2926">
        <w:t>ja</w:t>
      </w:r>
      <w:r w:rsidRPr="00792DDF">
        <w:t xml:space="preserve"> iz gradova i dosadašnji prostor oslobađa za novo, drukčije korištenje, no dio ostaje na dosadašnjim lokacijama i postupno propada.</w:t>
      </w:r>
    </w:p>
    <w:p w14:paraId="6A188B35" w14:textId="77777777" w:rsidR="00792DDF" w:rsidRPr="00792DDF" w:rsidRDefault="00792DDF" w:rsidP="00792DDF">
      <w:pPr>
        <w:numPr>
          <w:ilvl w:val="0"/>
          <w:numId w:val="40"/>
        </w:numPr>
      </w:pPr>
      <w:r w:rsidRPr="00792DDF">
        <w:t>napušteni ugostiteljsko-turistički prostori su posljedica propadanja ranijih turističko-ugostiteljskih poduzeća te zatečenih neriješenih imovinsko-pravnih odnosa na nekretninama. Okolnosti koje dodatno umanjuju njihovu prihvatljivost za nova ulaganja dugotrajno su zapuštanje i devastacija, visoki troškovi obnove ili uklanjanja te činjenica da zemljište koje zauzimaju, u procesu pretvorbe i privatizacije, često nije bilo uključeno u imovinu vlasnika zgrada te je time pravo raspolaganja njime dodatni trošak.</w:t>
      </w:r>
    </w:p>
    <w:p w14:paraId="4AA15987" w14:textId="77777777" w:rsidR="00792DDF" w:rsidRPr="00792DDF" w:rsidRDefault="00792DDF" w:rsidP="00792DDF">
      <w:pPr>
        <w:numPr>
          <w:ilvl w:val="0"/>
          <w:numId w:val="40"/>
        </w:numPr>
      </w:pPr>
      <w:r w:rsidRPr="00792DDF">
        <w:t>u nešto manjoj mjeri prepoznati su napušteni objekti stambene i poslovne namjene, komunalni objekti, prostori nekadašnjih brodogradilišta i industrijskih luka te napuštena eksploatacijska polja na rubnim područjima naselja ili izvan njih</w:t>
      </w:r>
    </w:p>
    <w:p w14:paraId="5DBBE918" w14:textId="4A87329E" w:rsidR="008878A0" w:rsidRDefault="00FC2926" w:rsidP="00941871">
      <w:r w:rsidRPr="00792DDF">
        <w:t>Za potrebe dogovora o daljnjim aktivnostima i definiranja lokacija za upis u Registar, a u skladu s aplikacijom Brownfield registra, izrađena je excel tablica s prikazom podataka koje je potrebno unijeti za pojedinu lokaciju</w:t>
      </w:r>
      <w:r>
        <w:t xml:space="preserve"> te je upućen dopis u kolovozu 2020. godine svim jedinicama lokalne samouprave. </w:t>
      </w:r>
      <w:r w:rsidR="00792DDF">
        <w:t>za potrebe kreiranja registra za brownfiled područja</w:t>
      </w:r>
      <w:r w:rsidR="001117C4">
        <w:t xml:space="preserve"> na području Krapinsko-zagorske županije.</w:t>
      </w:r>
    </w:p>
    <w:p w14:paraId="742E42CB" w14:textId="77777777" w:rsidR="00792DDF" w:rsidRDefault="00792DDF" w:rsidP="00941871"/>
    <w:p w14:paraId="0CEA171D" w14:textId="3F1432DD" w:rsidR="008878A0" w:rsidRDefault="008878A0" w:rsidP="006207AF">
      <w:pPr>
        <w:pStyle w:val="podpodnaslov111"/>
      </w:pPr>
      <w:bookmarkStart w:id="278" w:name="_Hlk48904209"/>
      <w:bookmarkStart w:id="279" w:name="_Toc85181387"/>
      <w:r>
        <w:t>1</w:t>
      </w:r>
      <w:r w:rsidR="001117C4">
        <w:t>3</w:t>
      </w:r>
      <w:r>
        <w:t>.</w:t>
      </w:r>
      <w:r w:rsidR="001117C4">
        <w:t>8</w:t>
      </w:r>
      <w:r>
        <w:t>.1. Vojni objekti</w:t>
      </w:r>
      <w:bookmarkEnd w:id="279"/>
    </w:p>
    <w:bookmarkEnd w:id="278"/>
    <w:p w14:paraId="043A882E" w14:textId="538F94BD" w:rsidR="008878A0" w:rsidRDefault="008878A0" w:rsidP="00941871">
      <w:r>
        <w:br/>
      </w:r>
      <w:r w:rsidR="00005B6D">
        <w:t>Vojni o</w:t>
      </w:r>
      <w:r>
        <w:t>bjekt na vrhu Ivanščice u vlasništvu je MORH-a</w:t>
      </w:r>
      <w:r w:rsidR="00BE49CC">
        <w:t>. T</w:t>
      </w:r>
      <w:r>
        <w:t xml:space="preserve">renutno </w:t>
      </w:r>
      <w:r w:rsidR="0014197A">
        <w:t xml:space="preserve">nije u funkciji </w:t>
      </w:r>
      <w:r w:rsidR="00BE49CC">
        <w:t>i</w:t>
      </w:r>
      <w:r w:rsidR="0014197A">
        <w:t xml:space="preserve"> smatra </w:t>
      </w:r>
      <w:r w:rsidR="00FF46E5">
        <w:t xml:space="preserve">se </w:t>
      </w:r>
      <w:r w:rsidR="0014197A">
        <w:t xml:space="preserve">nerentabilnim. </w:t>
      </w:r>
      <w:r w:rsidR="00723477">
        <w:t>Objekt se nalazi</w:t>
      </w:r>
      <w:r>
        <w:t xml:space="preserve"> pod ingerencijom Ureda državne uprave za upravljanje imovinom. Zemljište na kojem je sagrađen vojni objekt u postupku je povrata imovine. Bivša vojarna u Stubičkoj Slatini od 2009. godine dodijeljena je na korištenje Hrvatskoj vatrogasnoj zajednici. </w:t>
      </w:r>
      <w:r w:rsidR="00723477">
        <w:t>Riječ je</w:t>
      </w:r>
      <w:r>
        <w:t xml:space="preserve"> o više od 180.000 četvornih metara zemljišta s pratećim objektima koje će ubuduće za svoje potrebe koristiti vatrogasci te je izrađena projektna dokumentacija za Vatrogasni centar za obuku vatrogasaca. Na području Grada Oroslavja nalazi se objekt bivše Vojne baza Kaniža. Baza se prostire na 60.768 m2, a trenutno je zapušteno i napušteno područje. Budući da je vlasnik objekta </w:t>
      </w:r>
      <w:r>
        <w:lastRenderedPageBreak/>
        <w:t>Republika Hrvatska, Grad je zainteresiran da se objekt prenese u njegovo vlasništvo ili da dobije dugoročno pravo korištenja i upravljanja ovim objektom.</w:t>
      </w:r>
    </w:p>
    <w:p w14:paraId="4558DA8C" w14:textId="77777777" w:rsidR="00DE4AF0" w:rsidRDefault="00DE4AF0" w:rsidP="00941871"/>
    <w:p w14:paraId="1B7E5E69" w14:textId="77777777" w:rsidR="00DE4AF0" w:rsidRDefault="00DE4AF0" w:rsidP="00DE4AF0">
      <w:pPr>
        <w:shd w:val="clear" w:color="auto" w:fill="E5E5E5" w:themeFill="text1" w:themeFillTint="33"/>
        <w:rPr>
          <w:b/>
          <w:bCs/>
        </w:rPr>
      </w:pPr>
      <w:bookmarkStart w:id="280" w:name="_Hlk48744566"/>
      <w:r>
        <w:rPr>
          <w:b/>
          <w:bCs/>
        </w:rPr>
        <w:t xml:space="preserve">Zaključak </w:t>
      </w:r>
    </w:p>
    <w:bookmarkEnd w:id="280"/>
    <w:p w14:paraId="4652BA79" w14:textId="48639D71" w:rsidR="00DE4AF0" w:rsidRDefault="00DE4AF0" w:rsidP="00DE4AF0">
      <w:pPr>
        <w:shd w:val="clear" w:color="auto" w:fill="E5E5E5" w:themeFill="text1" w:themeFillTint="33"/>
      </w:pPr>
      <w:r>
        <w:t>U periodu 2011. – 2017. KZŽ ostvarila je pad ukupne količine prikupljenog miješanog komunalnog otpada za 15.8%. Istovremeno, primjetan je pozitivan trend porasta prikupljenih količina biootpada te otpada sortiranog po vrstama (papir, plastika, metal, glomazni otpad, tekstil). Osim ulaganja u opremu i infrastrukturu, kontinuirano podizanje svijesti i educiranje svih građana (urbanog i ruralnog stanovništva te svih dobnih skupina) o važnosti recikliranja neizostavno je ukoliko se pozitivni trendovi žele nastaviti i u narednom razdoblju.</w:t>
      </w:r>
    </w:p>
    <w:p w14:paraId="309BD8C9" w14:textId="714ACBC9" w:rsidR="00A245E4" w:rsidRDefault="00A245E4" w:rsidP="00DE4AF0">
      <w:pPr>
        <w:shd w:val="clear" w:color="auto" w:fill="E5E5E5" w:themeFill="text1" w:themeFillTint="33"/>
      </w:pPr>
      <w:r>
        <w:t xml:space="preserve">Podaci o zalihama obnovljive podzemne vode ukazuju na negativan trend smanjenja količina vode iako se, zbog nedostatnih istraživanja, dobar dio takvih informacija bazira na procjenama. </w:t>
      </w:r>
      <w:bookmarkStart w:id="281" w:name="_Hlk25674561"/>
      <w:r>
        <w:t xml:space="preserve">U KZŽ najveći nedostatak u vodoopskrbi predstavljaju gubici vode, što kao posljedicu ima neekonomično poslovanje vodoopskrbnih poduzeća Županije. Iz tog je razloga u postojećim i novim vodoopskrbnim sustavima od prijekog interesa formiranje stručne službe koja će biti opremljena uređajima i instrumentima za mjerenje, kontrolu, opažanje i saniranje kvarova, odnosno gubitaka vode u vodoopskrbnim objektima. </w:t>
      </w:r>
      <w:bookmarkEnd w:id="281"/>
      <w:r>
        <w:t xml:space="preserve">Što su gubici vode u sustavu vodoopskrbe veći, to je i manja realizacija naplate vode, a troškovi održavanja ostaju isti ili se povećavaju (npr. raste cijene električne energije), pa je time borba protiv gubitaka još opravdanija. </w:t>
      </w:r>
    </w:p>
    <w:p w14:paraId="29B8DCC9" w14:textId="77777777" w:rsidR="00FB7B93" w:rsidRPr="00FB7B93" w:rsidRDefault="00FB7B93" w:rsidP="00FB7B93">
      <w:pPr>
        <w:shd w:val="clear" w:color="auto" w:fill="E5E5E5" w:themeFill="text1" w:themeFillTint="33"/>
        <w:rPr>
          <w:color w:val="00B050"/>
        </w:rPr>
      </w:pPr>
      <w:r>
        <w:t>Postojeće stanje javnog sustava odvodnje i pročišćavanja otpadnih voda nezadovoljavajuće je. Među najznačajnije nedostatke ubraja se neadekvatnost postojeće mreže, koja je izgrađivana povezivanjem niza odvojenih manjih mreža, a otpadne se vode ispuštaju u najbliži vodotok kroz nekoliko parcijalnih ispusta te bez ikakvog pročišćavanja. Nadalje, u naseljima koja se oslanjaju na sabirne jame, dio istih nije potpuno funkcionalan. Razlozi tome su njihov premali kapacitet ili neadekvatna izvedba, prilikom koje nije osigurano nepropusno dno pa se sadržaj jame prelijeva u obližnje cestovne jarke ili prijemnike. U Krapinsko-zagorskoj županiji pročišćavanje voda provodi se na svega četiri lokacije, u Krapinskim Toplicama (I faza-mehaničko pročišćavanje), Kumrovcu (mehaničko i biološko pročišćavanje), Tuhelj (mehaničko i biološko pročišćavanje) te Humu na Sutli (mehaničko i biološko pročišćavanje). Prema informacijama i zaključcima relevantnih dionika iz studenog 2019. godine, trenutno stanje po pitanju infrastrukture za pročišćavanje je neprimjereno potrebama Županije.</w:t>
      </w:r>
    </w:p>
    <w:p w14:paraId="1F6E15AF" w14:textId="1A09FA1F" w:rsidR="00FB7B93" w:rsidRDefault="009C131D" w:rsidP="00DE4AF0">
      <w:pPr>
        <w:shd w:val="clear" w:color="auto" w:fill="E5E5E5" w:themeFill="text1" w:themeFillTint="33"/>
      </w:pPr>
      <w:bookmarkStart w:id="282" w:name="_Hlk29908113"/>
      <w:r w:rsidRPr="0028100E">
        <w:t xml:space="preserve">Prirodni ili zemni plin je vrlo često korišten energent u kućanstvima, ali i poduzećima. Namijenjen je uporabi za kuhanje, grijanje vode te grijanje. U </w:t>
      </w:r>
      <w:r>
        <w:t>KZŽ</w:t>
      </w:r>
      <w:r w:rsidRPr="0028100E">
        <w:t xml:space="preserve"> plin se najviše koristi za grijanje zimi, jer je učinkovit i jeftin energent. Cijene plina su promjenjive, ali manje od cijena ostalih energenata. Na području </w:t>
      </w:r>
      <w:r>
        <w:t>KZŽ</w:t>
      </w:r>
      <w:r w:rsidRPr="0028100E">
        <w:t xml:space="preserve"> prirodni plin je energent s najnižom cijenom. S obzirom na takvo stanje, </w:t>
      </w:r>
      <w:bookmarkStart w:id="283" w:name="_Hlk25676359"/>
      <w:r w:rsidRPr="0028100E">
        <w:t xml:space="preserve">postojeći prijedlozi za unaprjeđenje opskrbe plinom uključuju proširivanje plinske distribucijske mreže na pojedinim prostorima, u skladu s prostornim planovima </w:t>
      </w:r>
      <w:r>
        <w:t>pojedinih</w:t>
      </w:r>
      <w:r w:rsidRPr="0028100E">
        <w:t xml:space="preserve"> područja. Nadalje, osobitu pozornost valja pridati održavanju postojećeg sustava i to posebice kroz daljnju zamjenu postojećeg sustava novim i dugotrajnijim materijalima i opremom.</w:t>
      </w:r>
      <w:bookmarkEnd w:id="283"/>
      <w:r w:rsidRPr="0028100E">
        <w:t xml:space="preserve"> Kako bi se moglo adekvatno sagledati mogućnosti plinofikacije preostalih područja, valja </w:t>
      </w:r>
      <w:r>
        <w:t>ustanoviti</w:t>
      </w:r>
      <w:r w:rsidRPr="0028100E">
        <w:t xml:space="preserve"> osnovne tehničko-ekonomske preduvjete</w:t>
      </w:r>
      <w:r>
        <w:t>.</w:t>
      </w:r>
      <w:bookmarkEnd w:id="282"/>
    </w:p>
    <w:p w14:paraId="42B1997B" w14:textId="68F3C73F" w:rsidR="004011C4" w:rsidRDefault="004011C4" w:rsidP="00DE4AF0">
      <w:pPr>
        <w:shd w:val="clear" w:color="auto" w:fill="E5E5E5" w:themeFill="text1" w:themeFillTint="33"/>
      </w:pPr>
      <w:r>
        <w:t>N</w:t>
      </w:r>
      <w:r w:rsidRPr="00027641">
        <w:t>ajvažnija upotreba biomase u energetske svrhe na području Županije odnosi se na ogrjevno drvo za grijanje domaćinstava. Najvažniji izvor biomase u Krapinsko-zagorskoj županiji je drvna (šumska) biomasa.</w:t>
      </w:r>
      <w:r>
        <w:t xml:space="preserve"> Po pitanju geotermalne energije i njenih potencijala, sustavi koji su trenutno u funkciji ne iskorištavaju puni potencijal, već se topla voda ispušta u vodotok ili u kanalizaciju. </w:t>
      </w:r>
      <w:r w:rsidRPr="00027641">
        <w:t>Vrlo povoljni insolacijski i klimatski uvjeti Krapinsko-zagorske županije u odnosu na područje srednje i sjeverne Europe, naročito u zimskom razdoblju, jamče veliki solarni tehnički potencijal.</w:t>
      </w:r>
      <w:r>
        <w:t xml:space="preserve"> </w:t>
      </w:r>
      <w:r w:rsidRPr="00027641">
        <w:t>U Republici Hrvatskoj, pa tako ni u Krapinsko-zagorskoj županiji, ne postoji katastar pozicija za male hidroelektrane temeljem kojega bi se mogle izabirati pozicije i obrađivati podaci za određenu hidroelektranu.</w:t>
      </w:r>
      <w:r>
        <w:t xml:space="preserve"> </w:t>
      </w:r>
      <w:r w:rsidRPr="00027641">
        <w:t>S obzirom na indikativne i preliminarne ocjene, potencijali energije vjetra u Krapinsko-zagorskoj županiji znatno su manji u odnosu na prostore priobalnih županija</w:t>
      </w:r>
      <w:r w:rsidR="00E04612">
        <w:t>.</w:t>
      </w:r>
    </w:p>
    <w:p w14:paraId="6B2FAC0D" w14:textId="1B003F10" w:rsidR="00603109" w:rsidRDefault="00603109" w:rsidP="00DE4AF0">
      <w:pPr>
        <w:shd w:val="clear" w:color="auto" w:fill="E5E5E5" w:themeFill="text1" w:themeFillTint="33"/>
      </w:pPr>
      <w:r>
        <w:t>Krapinsko-zagorska županija jedna je od prvih prepoznala prednosti energetske učinkovitosti te kontinuirano provodi proaktivnu energetsku politiku. Fond zgrada javne namjene bitan je dio sektora zgradarstva gdje lokalna, regionalna i nacionalna vlast u maniri dobrog gospodara preuzima aktivnu ulogu u primjeni i realizaciji mjera energetske učinkovitosti i obnovljivih izvora energije. Krapinsko-zagorska županija upravlja sa 16</w:t>
      </w:r>
      <w:r w:rsidR="00FE3D35">
        <w:t>3</w:t>
      </w:r>
      <w:r>
        <w:t xml:space="preserve"> zgrada ukupne površine oko 230.000 m</w:t>
      </w:r>
      <w:r w:rsidRPr="00603109">
        <w:rPr>
          <w:vertAlign w:val="superscript"/>
        </w:rPr>
        <w:t>2</w:t>
      </w:r>
      <w:r w:rsidRPr="00603109">
        <w:t xml:space="preserve">. Postojeća </w:t>
      </w:r>
      <w:r w:rsidR="00642285">
        <w:t>energetska potrošnja zgrada javne namjene iznosi oko 3</w:t>
      </w:r>
      <w:r w:rsidR="00FE3D35">
        <w:t>6</w:t>
      </w:r>
      <w:r w:rsidR="00642285">
        <w:t xml:space="preserve"> GWh što uzrokuje emisije CO</w:t>
      </w:r>
      <w:r w:rsidR="00642285" w:rsidRPr="00642285">
        <w:rPr>
          <w:vertAlign w:val="subscript"/>
        </w:rPr>
        <w:t>2</w:t>
      </w:r>
      <w:r w:rsidR="00642285">
        <w:rPr>
          <w:vertAlign w:val="subscript"/>
        </w:rPr>
        <w:t xml:space="preserve"> </w:t>
      </w:r>
      <w:r w:rsidR="00642285" w:rsidRPr="00642285">
        <w:t>u atmosferu od oko 7.600 tona.</w:t>
      </w:r>
      <w:r w:rsidR="00642285">
        <w:rPr>
          <w:vertAlign w:val="subscript"/>
        </w:rPr>
        <w:t xml:space="preserve"> </w:t>
      </w:r>
      <w:r w:rsidR="00502FE0" w:rsidRPr="00502FE0">
        <w:t xml:space="preserve">U postojećem fondu zgrada leži veliki potencijal </w:t>
      </w:r>
      <w:r w:rsidR="00502FE0">
        <w:t xml:space="preserve">za energetske uštede zbog tradicionalnih načina građenja budući da su zgrade građene s minimalnom ili gotovo nikakvom toplinskom izolacijom, nedovoljno održavane u prošlosti, postavljeni su novi zahtjevi za zgrade, a na raspolaganju su nove tehnologije i materijali. </w:t>
      </w:r>
      <w:r w:rsidR="00700F51">
        <w:t>Dugoročni je cilj Krapinsko-zagorske županije na području energetske učinkovitosti provedba projekata izgradnje, energetske obnove, dogradnje i rekonstrukcije zgrada javne namjene prema GO</w:t>
      </w:r>
      <w:r w:rsidR="00CA6E6B">
        <w:t>EZ standardu. Procjena ukupnih ulaganja za razdoblje do 2050. godine za daljnje projekte dogradnje, izgradnje i energetske obnove, uključujući i trošak pripreme projekata i održavanja zgrada iznosi 1,5 milijardi kn. S obzirom na nemogućnosti dostizanja zahtijevanih pedagoških, energetskih i funkcio</w:t>
      </w:r>
      <w:r w:rsidR="00964AE9">
        <w:t xml:space="preserve">nalnih standarda škola, domova zdravlja ili upravnih zgrada javne namjene u uvjetima fiskalnih i proračunskih ograničenja biti će potrebno razmatranje alternativnih izvora financiranja. U okviru dokumenta Dugoročnog </w:t>
      </w:r>
      <w:r w:rsidR="000115D1">
        <w:t xml:space="preserve">programa izgradnje i obnove fonda zgrada Krapinsko-zagorske županije detaljno je razrađen i predložen model implementacije projekata javno-privatnim partnerstvom. </w:t>
      </w:r>
      <w:r w:rsidR="002C2781">
        <w:t xml:space="preserve">Kontinuirano planiranje na području energetske učinkovitosti Krapinsko-zagorske </w:t>
      </w:r>
      <w:r w:rsidR="002C2781">
        <w:lastRenderedPageBreak/>
        <w:t xml:space="preserve">županija provodi sukladno Zakonu o energetskoj učinkovitosti te donosi trogodišnje i godišnje akcijske planove energetske učinkovitosti u kojima se predlažu daljnje detaljno planiranje u ovisnosti s jedne strane o potencijalima energetskih ušteda te s druge strane o mogućnostima zatvaranja financijske konstrukcije mjera. </w:t>
      </w:r>
    </w:p>
    <w:p w14:paraId="6EC87B36" w14:textId="7EDD1225" w:rsidR="00DE4AF0" w:rsidRDefault="00197EA4" w:rsidP="00DE4AF0">
      <w:pPr>
        <w:shd w:val="clear" w:color="auto" w:fill="E5E5E5" w:themeFill="text1" w:themeFillTint="33"/>
      </w:pPr>
      <w:r w:rsidRPr="00197EA4">
        <w:t>Dokument ''Procjena rizika od velikih nesreća za područje Krapinsko-zagorske županije'' uz prijetnje uzrokovane degradacijom tla navodi da su potres, poplave te epidemije i pandemije prijetnje od kojih postoji veliki rizik za prostor Županije</w:t>
      </w:r>
      <w:r>
        <w:t xml:space="preserve"> kao i za sigurnost stanovništva</w:t>
      </w:r>
      <w:r w:rsidRPr="00197EA4">
        <w:t xml:space="preserve">. </w:t>
      </w:r>
      <w:r w:rsidR="004D5DA9">
        <w:t>Navedene prijetnje su sve više</w:t>
      </w:r>
      <w:r w:rsidR="004D5DA9" w:rsidRPr="004D5DA9">
        <w:t xml:space="preserve"> izraženij</w:t>
      </w:r>
      <w:r w:rsidR="004D5DA9">
        <w:t>e</w:t>
      </w:r>
      <w:r w:rsidR="004D5DA9" w:rsidRPr="004D5DA9">
        <w:t xml:space="preserve"> </w:t>
      </w:r>
      <w:r w:rsidR="004D5DA9">
        <w:t xml:space="preserve">zbog </w:t>
      </w:r>
      <w:r w:rsidR="004D5DA9" w:rsidRPr="004D5DA9">
        <w:t>posljedica klimatskih promjena koje negativno utječu na stanovništvo te na lokalna gospodarstva</w:t>
      </w:r>
      <w:r w:rsidR="004D5DA9">
        <w:t xml:space="preserve">. </w:t>
      </w:r>
      <w:r w:rsidR="0031240E" w:rsidRPr="0031240E">
        <w:t xml:space="preserve">Krapinsko-zagorska županija bila je u više navrata izložena olujama </w:t>
      </w:r>
      <w:r w:rsidR="0031240E">
        <w:t xml:space="preserve">te su zabilježene štete nastale olujom Teodor (2013.godine) te oluje Rea iz 2019. godine. Osim posljedica koju uzrokuju oluje zabilježene su i štete na poljoprivrednim gospodarstvima uslijed tuča. </w:t>
      </w:r>
      <w:r w:rsidR="00DE4AF0">
        <w:t>Klizišta i odroni posljednjih godina ugrožavaju sve više stambenih i gospodarskih objekata u Hrvatskoj. Zbog konfiguracije tla gotovo 70 % klizišta Republike Hrvatske nalazi se u KZŽ. Klizišta na prometnicama KZŽ stvaraju velike poteškoće u prometu motornih vozila</w:t>
      </w:r>
      <w:r w:rsidR="004D5DA9">
        <w:t xml:space="preserve">, </w:t>
      </w:r>
      <w:r w:rsidR="00DE4AF0">
        <w:t xml:space="preserve">a sanacije predstavljaju veliko financijsko opterećenje. U Republici Hrvatskoj, a tako ni u KZŽ, potencijalna klizišta nisu mapirana. Navedeno rezultira nepredvidivim aktivacijama potencijalnih klizišta i značajnijom opasnošću po život i zdravlje ljudi. Uz prijetnje uzrokovane degradacijom tla, među prirodne rizike i prijetnje od kojih postoji veliki rizik za KZŽ ubrajaju se potresi, poplave te epidemije i pandemije. Katastrofe uzrokovane potresima karakterizira brz nastanak, a događaju se bez prethodnog upozorenja. </w:t>
      </w:r>
      <w:r w:rsidR="00DE4AF0" w:rsidRPr="00B6282D">
        <w:t>Područje Krapinsko-zagorske županije smješteno je na području gdje je seizmička aktivnost jedna od najjačih u Hrvatskoj. Prilikom gradnje i planiranja objekata izrazito je važno voditi računa o mogućim potresima.</w:t>
      </w:r>
      <w:r w:rsidR="00DE4AF0">
        <w:t xml:space="preserve"> Poplave su prirodni fenomen čija se pojava ne može izbjeći, ali se rizici od poplavljivanja mogu smanjiti na prihvatljivu razinu poduzimanjem različitih preventivnih mjera. Na slivu rijeke Krapine javljaju se nagle poplave uzrokovane intenzivnim oborinama povezane s povećanjem slabo propusnih površina zbog prenamjene iskorištavanja tla. Sutla se gotovo cijelom duljinom toka pri pojavi visokih voda izlijeva iz korita i plavi okolne, uglavnom poljoprivredne, površine. </w:t>
      </w:r>
      <w:r w:rsidR="00DE4AF0" w:rsidRPr="005533A0">
        <w:t>Usred poplava posljedice po gospodarstvo očitovale bi se u vidu šteta na pokretnoj i nepokretnoj imovini, gubitku repromaterijala, troškovima sanacije i sl.</w:t>
      </w:r>
      <w:r w:rsidR="00DE4AF0">
        <w:t xml:space="preserve"> Kao glavni uzročnik epidemije i pandemije navodi virus influence, akutne zarazne bolesti s izraženim brzim širenjem i visokim brojem oboljelih. </w:t>
      </w:r>
      <w:r w:rsidR="00DE4AF0" w:rsidRPr="005533A0">
        <w:t>U slučajevima pojave novih vrsta virusa predviđa se značajno veće obolijevanje stanovništva. Pretpostavlja se povećanje stope bolovanja radno aktivnog stanovništva te veći stupanj komplikacija i smrtnih slučajeva kod ranjivih skupina. Pojava epidemija i pandemija nema direktan utjecaj na kritičnu infrastrukturu, no sa sobom nosi rizik od šteta po ekonomiju i društvo.</w:t>
      </w:r>
    </w:p>
    <w:p w14:paraId="1C2BBCDB" w14:textId="12A5304B" w:rsidR="00DE4AF0" w:rsidRDefault="00DE4AF0" w:rsidP="00DE4AF0">
      <w:pPr>
        <w:shd w:val="clear" w:color="auto" w:fill="E5E5E5" w:themeFill="text1" w:themeFillTint="33"/>
        <w:spacing w:line="252" w:lineRule="auto"/>
      </w:pPr>
      <w:r>
        <w:t xml:space="preserve">Većinu brownfield područja, osobito onih u urbanim područjima, karakterizira atraktivnost njihova položaja, veličina zemljišta, prometna dostupnost te često visoki stupanj zatečene uređenosti zemljišta. S druge strane, brownfield lokacije predstavljaju neiskorišteni prostorni potencijal i što su duže izvan uporabe, veći će biti i troškovi obnove. Optimalno gospodarenje brownfield lokacijama u KZŽ nije postignuto zbog nepostojanja brownfield registra. Podaci kojima se sada raspolaže su šturi te ne daju potpunu sliku mogućnosti niti omogućuju planiranje prenamjene prostora tj. ulaganja. </w:t>
      </w:r>
      <w:r w:rsidR="007E5223">
        <w:t xml:space="preserve">Od osobitog značaja za ulaganje objekti su vojne namjene. </w:t>
      </w:r>
      <w:r w:rsidR="003F25AF">
        <w:t xml:space="preserve">U skladu s trendom prepuštanja </w:t>
      </w:r>
      <w:r w:rsidR="00A945F2">
        <w:t xml:space="preserve">neperspektivnih </w:t>
      </w:r>
      <w:r w:rsidR="003F25AF">
        <w:t xml:space="preserve">vojnih objekata </w:t>
      </w:r>
      <w:r w:rsidR="00A945F2">
        <w:t>jedinicama regionalne i lokalne samouprave</w:t>
      </w:r>
      <w:r w:rsidR="000D2AF8">
        <w:t xml:space="preserve"> u svrhu njihove revitalizacije</w:t>
      </w:r>
      <w:r w:rsidR="00A945F2">
        <w:t xml:space="preserve"> potrebno je</w:t>
      </w:r>
      <w:r w:rsidR="000D2AF8">
        <w:t xml:space="preserve"> detaljnije razmotriti njihov razvojni</w:t>
      </w:r>
      <w:r w:rsidR="00DC5316">
        <w:t xml:space="preserve"> i turistički</w:t>
      </w:r>
      <w:r w:rsidR="000D2AF8">
        <w:t xml:space="preserve"> potencijal</w:t>
      </w:r>
      <w:r w:rsidR="00DC5316">
        <w:t>.</w:t>
      </w:r>
    </w:p>
    <w:p w14:paraId="0D01DCC0" w14:textId="77777777" w:rsidR="00DE4AF0" w:rsidRDefault="00DE4AF0" w:rsidP="00941871"/>
    <w:p w14:paraId="6DA99EC1" w14:textId="77777777" w:rsidR="00D66619" w:rsidRDefault="00D66619">
      <w:pPr>
        <w:jc w:val="left"/>
        <w:rPr>
          <w:rFonts w:eastAsiaTheme="majorEastAsia" w:cstheme="majorBidi"/>
          <w:color w:val="9D1A1F" w:themeColor="accent1" w:themeShade="BF"/>
          <w:sz w:val="34"/>
          <w:szCs w:val="34"/>
        </w:rPr>
      </w:pPr>
      <w:r>
        <w:br w:type="page"/>
      </w:r>
    </w:p>
    <w:p w14:paraId="61FA860E" w14:textId="4747373F" w:rsidR="008878A0" w:rsidRDefault="00D02A62" w:rsidP="005F13D3">
      <w:pPr>
        <w:pStyle w:val="Naslov1"/>
      </w:pPr>
      <w:r>
        <w:lastRenderedPageBreak/>
        <w:t xml:space="preserve"> </w:t>
      </w:r>
      <w:bookmarkStart w:id="284" w:name="_Toc85181388"/>
      <w:r>
        <w:t>INSTITUCIONALNI OKVIR ZA UPRAVLJANJE RAZVOJEM</w:t>
      </w:r>
      <w:bookmarkEnd w:id="284"/>
    </w:p>
    <w:p w14:paraId="62F5BC32" w14:textId="77777777" w:rsidR="008878A0" w:rsidRDefault="008878A0" w:rsidP="00941871"/>
    <w:p w14:paraId="0841C6B3" w14:textId="7B5DFDCC" w:rsidR="008878A0" w:rsidRDefault="008878A0" w:rsidP="0052192B">
      <w:pPr>
        <w:pStyle w:val="Naslov2"/>
      </w:pPr>
      <w:bookmarkStart w:id="285" w:name="_Toc85181389"/>
      <w:r>
        <w:t>1</w:t>
      </w:r>
      <w:r w:rsidR="001433BD">
        <w:t>4</w:t>
      </w:r>
      <w:r>
        <w:t>.1. Ključni dionici upravljanja razvojem Krapinsko zagorske županije</w:t>
      </w:r>
      <w:bookmarkEnd w:id="285"/>
    </w:p>
    <w:p w14:paraId="5E707028" w14:textId="77777777" w:rsidR="008878A0" w:rsidRDefault="008878A0" w:rsidP="00941871">
      <w:pPr>
        <w:rPr>
          <w:rFonts w:asciiTheme="minorHAnsi" w:hAnsiTheme="minorHAnsi"/>
          <w:color w:val="auto"/>
          <w:sz w:val="22"/>
          <w:szCs w:val="22"/>
        </w:rPr>
      </w:pPr>
    </w:p>
    <w:p w14:paraId="776E457F" w14:textId="75498445" w:rsidR="008878A0" w:rsidRPr="00D02A62" w:rsidRDefault="008878A0" w:rsidP="00941871">
      <w:pPr>
        <w:spacing w:after="0"/>
      </w:pPr>
      <w:r w:rsidRPr="00D02A62">
        <w:t xml:space="preserve">Sukladno Zakonu o regionalnom razvoju Republike Hrvatske (NN 147/2014, NN 123/2017, NN 118/2018), županije su nositelji planiranja razvoja </w:t>
      </w:r>
      <w:r w:rsidR="00003354">
        <w:t xml:space="preserve">na svojem </w:t>
      </w:r>
      <w:r w:rsidRPr="00D02A62">
        <w:t>područj</w:t>
      </w:r>
      <w:r w:rsidR="00003354">
        <w:t>u</w:t>
      </w:r>
      <w:r w:rsidRPr="00D02A62">
        <w:t>. Sukladno odredbama Zakona o lokalnoj i područnoj (regionalnoj) samoupravi (NN</w:t>
      </w:r>
      <w:r w:rsidR="00B628E1">
        <w:rPr>
          <w:rFonts w:ascii="Calibri" w:hAnsi="Calibri" w:cs="Calibri"/>
        </w:rPr>
        <w:t xml:space="preserve"> </w:t>
      </w:r>
      <w:hyperlink r:id="rId126" w:history="1">
        <w:r w:rsidRPr="00B628E1">
          <w:rPr>
            <w:rStyle w:val="Hiperveza"/>
            <w:color w:val="3F3F3F" w:themeColor="text1" w:themeShade="80"/>
            <w:u w:val="none"/>
          </w:rPr>
          <w:t>33/01</w:t>
        </w:r>
      </w:hyperlink>
      <w:r w:rsidRPr="00B628E1">
        <w:t>,</w:t>
      </w:r>
      <w:r w:rsidR="00B628E1" w:rsidRPr="00B628E1">
        <w:rPr>
          <w:rFonts w:ascii="Calibri" w:hAnsi="Calibri" w:cs="Calibri"/>
        </w:rPr>
        <w:t xml:space="preserve"> </w:t>
      </w:r>
      <w:hyperlink r:id="rId127" w:history="1">
        <w:r w:rsidRPr="00B628E1">
          <w:rPr>
            <w:rStyle w:val="Hiperveza"/>
            <w:color w:val="3F3F3F" w:themeColor="text1" w:themeShade="80"/>
            <w:u w:val="none"/>
          </w:rPr>
          <w:t>60/01</w:t>
        </w:r>
      </w:hyperlink>
      <w:r w:rsidRPr="00B628E1">
        <w:t>,</w:t>
      </w:r>
      <w:r w:rsidR="00B628E1" w:rsidRPr="00B628E1">
        <w:rPr>
          <w:rFonts w:ascii="Calibri" w:hAnsi="Calibri" w:cs="Calibri"/>
        </w:rPr>
        <w:t xml:space="preserve"> </w:t>
      </w:r>
      <w:hyperlink r:id="rId128" w:history="1">
        <w:r w:rsidRPr="00B628E1">
          <w:rPr>
            <w:rStyle w:val="Hiperveza"/>
            <w:color w:val="3F3F3F" w:themeColor="text1" w:themeShade="80"/>
            <w:u w:val="none"/>
          </w:rPr>
          <w:t>129/05</w:t>
        </w:r>
      </w:hyperlink>
      <w:r w:rsidRPr="00B628E1">
        <w:t>,</w:t>
      </w:r>
      <w:r w:rsidR="00B628E1" w:rsidRPr="00B628E1">
        <w:rPr>
          <w:rFonts w:ascii="Calibri" w:hAnsi="Calibri" w:cs="Calibri"/>
        </w:rPr>
        <w:t xml:space="preserve"> </w:t>
      </w:r>
      <w:hyperlink r:id="rId129" w:history="1">
        <w:r w:rsidRPr="00B628E1">
          <w:rPr>
            <w:rStyle w:val="Hiperveza"/>
            <w:color w:val="3F3F3F" w:themeColor="text1" w:themeShade="80"/>
            <w:u w:val="none"/>
          </w:rPr>
          <w:t>109/07</w:t>
        </w:r>
      </w:hyperlink>
      <w:r w:rsidRPr="00B628E1">
        <w:t>,</w:t>
      </w:r>
      <w:r w:rsidR="00B628E1" w:rsidRPr="00B628E1">
        <w:rPr>
          <w:rFonts w:ascii="Calibri" w:hAnsi="Calibri" w:cs="Calibri"/>
        </w:rPr>
        <w:t xml:space="preserve"> </w:t>
      </w:r>
      <w:hyperlink r:id="rId130" w:history="1">
        <w:r w:rsidRPr="00B628E1">
          <w:rPr>
            <w:rStyle w:val="Hiperveza"/>
            <w:color w:val="3F3F3F" w:themeColor="text1" w:themeShade="80"/>
            <w:u w:val="none"/>
          </w:rPr>
          <w:t>125/08</w:t>
        </w:r>
      </w:hyperlink>
      <w:r w:rsidR="00771245" w:rsidRPr="00B628E1">
        <w:t xml:space="preserve">, </w:t>
      </w:r>
      <w:hyperlink r:id="rId131" w:history="1">
        <w:r w:rsidRPr="00B628E1">
          <w:rPr>
            <w:rStyle w:val="Hiperveza"/>
            <w:color w:val="3F3F3F" w:themeColor="text1" w:themeShade="80"/>
            <w:u w:val="none"/>
          </w:rPr>
          <w:t>36/09</w:t>
        </w:r>
      </w:hyperlink>
      <w:r w:rsidRPr="00B628E1">
        <w:t>,</w:t>
      </w:r>
      <w:r w:rsidR="00B628E1" w:rsidRPr="00B628E1">
        <w:rPr>
          <w:rFonts w:ascii="Calibri" w:hAnsi="Calibri" w:cs="Calibri"/>
        </w:rPr>
        <w:t xml:space="preserve"> </w:t>
      </w:r>
      <w:hyperlink r:id="rId132" w:history="1">
        <w:r w:rsidR="00771245" w:rsidRPr="00B628E1">
          <w:rPr>
            <w:rStyle w:val="Hiperveza"/>
            <w:color w:val="3F3F3F" w:themeColor="text1" w:themeShade="80"/>
            <w:u w:val="none"/>
          </w:rPr>
          <w:t>150/11</w:t>
        </w:r>
      </w:hyperlink>
      <w:r w:rsidR="00771245" w:rsidRPr="00B628E1">
        <w:t xml:space="preserve">, </w:t>
      </w:r>
      <w:hyperlink r:id="rId133" w:history="1">
        <w:r w:rsidR="00771245" w:rsidRPr="00B628E1">
          <w:rPr>
            <w:rStyle w:val="Hiperveza"/>
            <w:color w:val="3F3F3F" w:themeColor="text1" w:themeShade="80"/>
            <w:u w:val="none"/>
          </w:rPr>
          <w:t>144/12</w:t>
        </w:r>
      </w:hyperlink>
      <w:r w:rsidR="00771245" w:rsidRPr="00B628E1">
        <w:t>,</w:t>
      </w:r>
      <w:r w:rsidR="00B628E1" w:rsidRPr="00B628E1">
        <w:rPr>
          <w:rFonts w:ascii="Calibri" w:hAnsi="Calibri" w:cs="Calibri"/>
        </w:rPr>
        <w:t xml:space="preserve"> </w:t>
      </w:r>
      <w:hyperlink r:id="rId134" w:history="1">
        <w:r w:rsidR="00771245" w:rsidRPr="00B628E1">
          <w:rPr>
            <w:rStyle w:val="Hiperveza"/>
            <w:color w:val="3F3F3F" w:themeColor="text1" w:themeShade="80"/>
            <w:u w:val="none"/>
          </w:rPr>
          <w:t>19/13</w:t>
        </w:r>
      </w:hyperlink>
      <w:r w:rsidR="00771245" w:rsidRPr="00B628E1">
        <w:t>,</w:t>
      </w:r>
      <w:r w:rsidR="00B628E1" w:rsidRPr="00B628E1">
        <w:rPr>
          <w:rFonts w:ascii="Calibri" w:hAnsi="Calibri" w:cs="Calibri"/>
        </w:rPr>
        <w:t xml:space="preserve"> </w:t>
      </w:r>
      <w:hyperlink r:id="rId135" w:history="1">
        <w:r w:rsidR="00771245" w:rsidRPr="00B628E1">
          <w:rPr>
            <w:rStyle w:val="Hiperveza"/>
            <w:color w:val="3F3F3F" w:themeColor="text1" w:themeShade="80"/>
            <w:u w:val="none"/>
          </w:rPr>
          <w:t>137/15</w:t>
        </w:r>
      </w:hyperlink>
      <w:r w:rsidR="00771245" w:rsidRPr="00B628E1">
        <w:t xml:space="preserve">, </w:t>
      </w:r>
      <w:r w:rsidR="00771245" w:rsidRPr="00B628E1">
        <w:rPr>
          <w:rStyle w:val="Hiperveza"/>
          <w:color w:val="3F3F3F" w:themeColor="text1" w:themeShade="80"/>
          <w:u w:val="none"/>
        </w:rPr>
        <w:t>123/17</w:t>
      </w:r>
      <w:r w:rsidR="00B628E1" w:rsidRPr="00B628E1">
        <w:rPr>
          <w:rStyle w:val="Hiperveza"/>
          <w:color w:val="3F3F3F" w:themeColor="text1" w:themeShade="80"/>
          <w:u w:val="none"/>
        </w:rPr>
        <w:t xml:space="preserve">, </w:t>
      </w:r>
      <w:hyperlink r:id="rId136" w:tgtFrame="_blank" w:history="1">
        <w:r w:rsidRPr="00B628E1">
          <w:rPr>
            <w:rStyle w:val="Hiperveza"/>
            <w:color w:val="3F3F3F" w:themeColor="text1" w:themeShade="80"/>
            <w:u w:val="none"/>
          </w:rPr>
          <w:t>123/17</w:t>
        </w:r>
      </w:hyperlink>
      <w:r w:rsidR="00B628E1">
        <w:t xml:space="preserve"> i </w:t>
      </w:r>
      <w:hyperlink r:id="rId137" w:history="1">
        <w:r w:rsidRPr="00B628E1">
          <w:rPr>
            <w:rStyle w:val="Hiperveza"/>
            <w:color w:val="3F3F3F" w:themeColor="text1" w:themeShade="80"/>
            <w:u w:val="none"/>
          </w:rPr>
          <w:t>98/19</w:t>
        </w:r>
      </w:hyperlink>
      <w:r w:rsidRPr="00D02A62">
        <w:t>),</w:t>
      </w:r>
      <w:r w:rsidRPr="00D02A62">
        <w:rPr>
          <w:b/>
          <w:bCs/>
        </w:rPr>
        <w:t xml:space="preserve"> </w:t>
      </w:r>
      <w:r w:rsidRPr="00D02A62">
        <w:t>županije su ustrojene radi obavljanja poslova od područnoga (regionalnog) interesa. U samoupravni djelokrug poslova koje županija obavlja ubrajaju se poslovi od područnoga (regionalnog) značaja, što se osobito odnosi na obrazovanje, zdravstvo, prostorno i urbanističko planiranje, gospodarski razvoj, promet i prostornu infrastrukturu, održavanje javnih cesta, planiranje i razvoj mreže obrazovnih, zdravstvenih, socijalnih i kulturnih ustanova, izdavanje građevinskih i lokacijskih dozvola te drugih aka</w:t>
      </w:r>
      <w:r w:rsidR="00771245">
        <w:t>ta vezanih uz gradnju  i</w:t>
      </w:r>
      <w:r w:rsidRPr="00D02A62">
        <w:t xml:space="preserve"> provedbu dokumenata prostornog uređenja za područje županije izvan područja velikog grada, kao i ostale poslove sukladno posebnim zakonima. </w:t>
      </w:r>
    </w:p>
    <w:p w14:paraId="5C6D1E5C" w14:textId="77777777" w:rsidR="008878A0" w:rsidRPr="00D02A62" w:rsidRDefault="008878A0" w:rsidP="00941871">
      <w:pPr>
        <w:spacing w:after="0"/>
      </w:pPr>
    </w:p>
    <w:p w14:paraId="613287C3" w14:textId="3B329DF9" w:rsidR="008878A0" w:rsidRPr="00D02A62" w:rsidRDefault="008878A0" w:rsidP="00941871">
      <w:r w:rsidRPr="00D02A62">
        <w:rPr>
          <w:b/>
          <w:bCs/>
        </w:rPr>
        <w:t>Krapinsko-zagorska županija</w:t>
      </w:r>
      <w:r w:rsidRPr="00D02A62">
        <w:t xml:space="preserve"> </w:t>
      </w:r>
      <w:r w:rsidR="00003354">
        <w:t xml:space="preserve">upravlja </w:t>
      </w:r>
      <w:r w:rsidRPr="00D02A62">
        <w:t>razvoj</w:t>
      </w:r>
      <w:r w:rsidR="00003354">
        <w:t>em</w:t>
      </w:r>
      <w:r w:rsidRPr="00D02A62">
        <w:t xml:space="preserve"> na svom području. Ustrojstvo i djelokrug rada upravnih tijela Krapinsko-zagorske županije uređeno je Odlukom o ustrojstvu upravnih tijela Krapinsko-zagorske županije. Osnovne ustrojstvene jedinice su Skupština kao predstavničko tijelo, koje između ostalog donosi dokumente strateškog planiranja od značaja za županiju kao i njihove izmjene i dopune,  te župan kao izvršno tijelo. Krapinsko-zagorska županija, uz Ured župana ima </w:t>
      </w:r>
      <w:r w:rsidR="00AC3AD0">
        <w:t>9</w:t>
      </w:r>
      <w:r w:rsidR="00AC3AD0" w:rsidRPr="00D02A62">
        <w:t xml:space="preserve"> </w:t>
      </w:r>
      <w:r w:rsidRPr="00D02A62">
        <w:t xml:space="preserve">upravnih odjela: Upravni odjel za poslove Županijske skupštine; Upravni odjel za gospodarstvo, poljoprivredu, </w:t>
      </w:r>
      <w:r w:rsidR="00AC3AD0">
        <w:t xml:space="preserve">turizam, </w:t>
      </w:r>
      <w:r w:rsidRPr="00D02A62">
        <w:t xml:space="preserve">promet i komunalnu infrastrukturu; Upravni odjel za financije i proračun; Upravni odjel za prostorno uređenje, gradnju i zaštitu okoliša; Upravni odjel za zdravstvo, socijalnu </w:t>
      </w:r>
      <w:r w:rsidR="00AC3AD0">
        <w:t xml:space="preserve">politiku branitelje, civilno društvo </w:t>
      </w:r>
      <w:r w:rsidRPr="00D02A62">
        <w:t xml:space="preserve">i mlade; Upravni odjel za obrazovanje, kulturu, šport i tehničku kulturu; Upravni odjel za opće i zajedničke poslove </w:t>
      </w:r>
      <w:r w:rsidR="00AC3AD0">
        <w:t xml:space="preserve">, </w:t>
      </w:r>
      <w:r w:rsidRPr="00D02A62">
        <w:t xml:space="preserve"> Upravni odjel za javnu nabavu i EU fondove</w:t>
      </w:r>
      <w:r w:rsidR="00AC3AD0">
        <w:t xml:space="preserve"> te Upravni odjel za opću upravu i imovinsko-pravne poslove</w:t>
      </w:r>
      <w:r w:rsidRPr="00D02A62">
        <w:t xml:space="preserve"> Upravni odjeli obavljaju upravne i stručne poslove iz samoupravnog djelokruga poslova županije, čime su izravno uključeni u planiranje i provedbu razvojne politike županije.</w:t>
      </w:r>
    </w:p>
    <w:p w14:paraId="105583AB" w14:textId="76EAB991" w:rsidR="008878A0" w:rsidRPr="005505F4" w:rsidRDefault="008878A0" w:rsidP="005505F4">
      <w:pPr>
        <w:spacing w:after="0" w:line="240" w:lineRule="auto"/>
        <w:rPr>
          <w:rFonts w:ascii="Times New Roman" w:eastAsia="Times New Roman" w:hAnsi="Times New Roman" w:cs="Times New Roman"/>
          <w:color w:val="auto"/>
          <w:sz w:val="24"/>
          <w:szCs w:val="24"/>
          <w:lang w:eastAsia="hr-HR"/>
        </w:rPr>
      </w:pPr>
      <w:r w:rsidRPr="00D02A62">
        <w:t xml:space="preserve">Uz županiju u upravljanje razvojem KZŽ snažno je uključena </w:t>
      </w:r>
      <w:r w:rsidRPr="00D02A62">
        <w:rPr>
          <w:b/>
          <w:bCs/>
        </w:rPr>
        <w:t>Zagorska razvojna agencija</w:t>
      </w:r>
      <w:r w:rsidRPr="00D02A62">
        <w:t xml:space="preserve">. Osnovana je 2006. </w:t>
      </w:r>
      <w:r w:rsidR="005B1C68" w:rsidRPr="005B1C68">
        <w:rPr>
          <w:rFonts w:eastAsia="Times New Roman" w:cs="Times New Roman"/>
        </w:rPr>
        <w:t xml:space="preserve">kao </w:t>
      </w:r>
      <w:r w:rsidR="005505F4" w:rsidRPr="005505F4">
        <w:rPr>
          <w:rFonts w:eastAsia="Times New Roman" w:cs="Times New Roman"/>
        </w:rPr>
        <w:t xml:space="preserve">društvo s ograničenom odgovornošću </w:t>
      </w:r>
      <w:r w:rsidRPr="00D02A62">
        <w:t>koja će obavljati poslove regionalnog koordinatora</w:t>
      </w:r>
      <w:r w:rsidR="00771245">
        <w:t xml:space="preserve"> određenog Zakonom o regionalnom razvoju</w:t>
      </w:r>
      <w:r w:rsidRPr="00D02A62">
        <w:t xml:space="preserve"> te poslove poduzetničke potporne institucije za područje čitave Krapinsko-zagorske županije. Sukladno izmjenama Zakona o regionalnom razvoju Republike Hrvatske iz 2017. godine, temeljem koj</w:t>
      </w:r>
      <w:r w:rsidR="00CC10E8">
        <w:t>ih</w:t>
      </w:r>
      <w:r w:rsidRPr="00D02A62">
        <w:t xml:space="preserve"> poslove regionalnog koordinatora mogu obavljati isključivo razvojne agencije osnovane kao javne ustanove, Krapinsko-zagorska županija pristupila je postupku „diobe“ Zagorske razvojne agencije d.o.o. na javnu ustanovu Zagorska razvojna agencija te Poduzetnički centar Krapinsko-zagorske županije</w:t>
      </w:r>
      <w:r w:rsidR="00AC3AD0">
        <w:t xml:space="preserve"> d.o.o.</w:t>
      </w:r>
      <w:r w:rsidRPr="00D02A62">
        <w:t xml:space="preserve"> koji nastavlja djelovati i obavljati poslove poduzetničke potporne institucije. </w:t>
      </w:r>
      <w:r w:rsidR="005505F4">
        <w:rPr>
          <w:rFonts w:ascii="Times New Roman" w:eastAsia="Times New Roman" w:hAnsi="Times New Roman" w:cs="Times New Roman"/>
          <w:color w:val="auto"/>
          <w:sz w:val="24"/>
          <w:szCs w:val="24"/>
          <w:lang w:eastAsia="hr-HR"/>
        </w:rPr>
        <w:t xml:space="preserve"> </w:t>
      </w:r>
      <w:r w:rsidRPr="00D02A62">
        <w:t>Zagorska razvojna agencija nastavlja djelovati kao regionalni koordinator s ciljem učinkovite koordinacije i poticanja regionalnog razvoja na razini područne (regionalne) samouprave. Kao akreditirani regionalni koordinator Zagorska razvojna agencija obavlja između ostalog sljedeće poslove:</w:t>
      </w:r>
    </w:p>
    <w:p w14:paraId="3BA8FDDB" w14:textId="13653BDF" w:rsidR="008878A0" w:rsidRPr="00D02A62" w:rsidRDefault="008878A0" w:rsidP="002F13CF">
      <w:pPr>
        <w:pStyle w:val="Odlomakpopisa"/>
        <w:numPr>
          <w:ilvl w:val="0"/>
          <w:numId w:val="15"/>
        </w:numPr>
      </w:pPr>
      <w:r w:rsidRPr="00D02A62">
        <w:t>izrad</w:t>
      </w:r>
      <w:r w:rsidR="00A05EE9">
        <w:t>a Plana razvoja županije</w:t>
      </w:r>
      <w:r w:rsidRPr="00D02A62">
        <w:t xml:space="preserve"> i drugih strateških razvojnih dokumenata te njihovih provedbenih dokumenata;</w:t>
      </w:r>
    </w:p>
    <w:p w14:paraId="5D1F8004" w14:textId="77777777" w:rsidR="008878A0" w:rsidRPr="00D02A62" w:rsidRDefault="008878A0" w:rsidP="002F13CF">
      <w:pPr>
        <w:pStyle w:val="Odlomakpopisa"/>
        <w:numPr>
          <w:ilvl w:val="0"/>
          <w:numId w:val="15"/>
        </w:numPr>
      </w:pPr>
      <w:r w:rsidRPr="00D02A62">
        <w:t>pružanje stručne pomoći u pripremi i provedbi programa potpore i razvojnih projekata od interesa za razvoj županije;</w:t>
      </w:r>
    </w:p>
    <w:p w14:paraId="1C7F01E8" w14:textId="77777777" w:rsidR="008878A0" w:rsidRPr="00D02A62" w:rsidRDefault="008878A0" w:rsidP="002F13CF">
      <w:pPr>
        <w:pStyle w:val="Odlomakpopisa"/>
        <w:numPr>
          <w:ilvl w:val="0"/>
          <w:numId w:val="15"/>
        </w:numPr>
      </w:pPr>
      <w:r w:rsidRPr="00D02A62">
        <w:t>praćenje stanja projekata svih korisnika s područja županije u središnjem elektroničkom registru razvojnih projekata te</w:t>
      </w:r>
    </w:p>
    <w:p w14:paraId="4F78DCB3" w14:textId="1D3D9F05" w:rsidR="008878A0" w:rsidRPr="00D02A62" w:rsidRDefault="008878A0" w:rsidP="002F13CF">
      <w:pPr>
        <w:pStyle w:val="Odlomakpopisa"/>
        <w:numPr>
          <w:ilvl w:val="0"/>
          <w:numId w:val="15"/>
        </w:numPr>
      </w:pPr>
      <w:r w:rsidRPr="00D02A62">
        <w:t>provedba i izvještavanje o provedbi županijske razvojne strategije</w:t>
      </w:r>
      <w:r w:rsidR="00A05EE9">
        <w:t xml:space="preserve"> (Plana razvoja)</w:t>
      </w:r>
      <w:r w:rsidRPr="00D02A62">
        <w:t>.</w:t>
      </w:r>
    </w:p>
    <w:p w14:paraId="6AB79A70" w14:textId="77777777" w:rsidR="008878A0" w:rsidRPr="00D02A62" w:rsidRDefault="008878A0" w:rsidP="00941871">
      <w:pPr>
        <w:pStyle w:val="Odlomakpopisa"/>
      </w:pPr>
    </w:p>
    <w:p w14:paraId="20ACAB9B" w14:textId="1A8C5361" w:rsidR="008878A0" w:rsidRPr="00D02A62" w:rsidRDefault="008878A0" w:rsidP="00941871">
      <w:pPr>
        <w:pStyle w:val="Odlomakpopisa"/>
        <w:ind w:left="0"/>
      </w:pPr>
      <w:r w:rsidRPr="00D02A62">
        <w:rPr>
          <w:shd w:val="clear" w:color="auto" w:fill="FFFFFF"/>
        </w:rPr>
        <w:t xml:space="preserve">Temeljem Uredbe o načinu ustrojavanja, sadržaju i vođenju središnjeg elektroničkog registra razvojnih projekata (NN 42/2018) kojom </w:t>
      </w:r>
      <w:r w:rsidR="00CC10E8">
        <w:rPr>
          <w:shd w:val="clear" w:color="auto" w:fill="FFFFFF"/>
        </w:rPr>
        <w:t xml:space="preserve">je uređen </w:t>
      </w:r>
      <w:r w:rsidRPr="00D02A62">
        <w:rPr>
          <w:shd w:val="clear" w:color="auto" w:fill="FFFFFF"/>
        </w:rPr>
        <w:t>način ustrojavanja, sadržaj i vođenje Središnjeg elektroničkog registra razvojnih projekata (u daljnjem tekstu: Registar projekata)</w:t>
      </w:r>
      <w:r w:rsidR="00CC10E8">
        <w:rPr>
          <w:shd w:val="clear" w:color="auto" w:fill="FFFFFF"/>
        </w:rPr>
        <w:t>,</w:t>
      </w:r>
      <w:r w:rsidRPr="00D02A62">
        <w:rPr>
          <w:shd w:val="clear" w:color="auto" w:fill="FFFFFF"/>
        </w:rPr>
        <w:t xml:space="preserve"> na razi</w:t>
      </w:r>
      <w:r w:rsidR="00A05EE9">
        <w:rPr>
          <w:shd w:val="clear" w:color="auto" w:fill="FFFFFF"/>
        </w:rPr>
        <w:t xml:space="preserve">ni regionalnog koordinatora - </w:t>
      </w:r>
      <w:r w:rsidRPr="00D02A62">
        <w:rPr>
          <w:shd w:val="clear" w:color="auto" w:fill="FFFFFF"/>
        </w:rPr>
        <w:t xml:space="preserve">Zagorske razvojne agencije </w:t>
      </w:r>
      <w:r w:rsidRPr="00D02A62">
        <w:t>imenovane su dvije osobe za upis projektnih ideja i razvojnih projekata županije i županijskih institucija. Za realizaciju</w:t>
      </w:r>
      <w:r w:rsidR="00771245">
        <w:t xml:space="preserve"> uspostave Registra projekata u svakoj općini/g</w:t>
      </w:r>
      <w:r w:rsidRPr="00D02A62">
        <w:t>radu su imenovane 2 oso</w:t>
      </w:r>
      <w:r w:rsidR="00A05EE9">
        <w:t>be – lokalni koordinatori</w:t>
      </w:r>
      <w:r w:rsidR="00771245">
        <w:t xml:space="preserve"> te su</w:t>
      </w:r>
      <w:r w:rsidRPr="00D02A62">
        <w:t xml:space="preserve"> tako </w:t>
      </w:r>
      <w:r w:rsidR="00771245">
        <w:t>za područje KZŽ ukupno imenovane 64 osobe</w:t>
      </w:r>
      <w:r w:rsidRPr="00D02A62">
        <w:t xml:space="preserve">. Lokalni koordinator je pravna ili fizička osoba koju je općinski načelnik ili gradonačelnik kao predstavnik jedinice lokalne samouprave odredio za obavljanje i koordinaciju poslova strateškog planiranja na razini jedinice lokalne samouprave. </w:t>
      </w:r>
    </w:p>
    <w:p w14:paraId="1B4028E3" w14:textId="634E39A8" w:rsidR="008878A0" w:rsidRPr="00D02A62" w:rsidRDefault="008878A0" w:rsidP="00941871">
      <w:r w:rsidRPr="00D02A62">
        <w:t xml:space="preserve"> Uz Zagorsku razvojnu agenciju, u upravljanje razvojem i provedbu razvojne politike KZŽ uključene su i sljedeće institucije kojima je županija osnivač ili suosnivač</w:t>
      </w:r>
      <w:r w:rsidRPr="00D02A62">
        <w:rPr>
          <w:rStyle w:val="Referencafusnote"/>
        </w:rPr>
        <w:footnoteReference w:id="90"/>
      </w:r>
      <w:r w:rsidR="0073392B">
        <w:t>:</w:t>
      </w:r>
      <w:r w:rsidRPr="00D02A62">
        <w:t xml:space="preserve"> spomenuti Poduzetnički centar Krapinsko-zagorske županije, REGEA - Regionalna energetska agencija Sjeverozapadne Hrvatske, Zavod za prostorno uređenje Krapinsko-zagorske županije, Županijska uprava za ceste Krapinsko-zagorske županije i Javna ustanova za upravljanje zaštićenim prirodnim vrijednostima Krapinsko-</w:t>
      </w:r>
      <w:r w:rsidR="005B1C68">
        <w:t>z</w:t>
      </w:r>
      <w:r w:rsidRPr="00D02A62">
        <w:t>agorske županije. Razvojem turizma upravlja Turistička zajednica Krapinsko-zagorske županije čiji su osnivač njezini članovi, odnosno, turističke zajednice općina, gradova, mjesta i područja u KZŽ.</w:t>
      </w:r>
    </w:p>
    <w:p w14:paraId="076D3C33" w14:textId="77777777" w:rsidR="008878A0" w:rsidRPr="00D02A62" w:rsidRDefault="008878A0" w:rsidP="00941871">
      <w:pPr>
        <w:spacing w:after="0"/>
      </w:pPr>
      <w:r w:rsidRPr="00D02A62">
        <w:t>U svom djelovanju, dionici razvoja KZŽ vode se sljedećim strateškim dokumentima na razini Krapinsko-zagorske županije:</w:t>
      </w:r>
    </w:p>
    <w:p w14:paraId="04AB18B1" w14:textId="2DF6A47B" w:rsidR="008878A0" w:rsidRPr="00D02A62" w:rsidRDefault="0073392B" w:rsidP="002F13CF">
      <w:pPr>
        <w:pStyle w:val="Odlomakpopisa"/>
        <w:numPr>
          <w:ilvl w:val="0"/>
          <w:numId w:val="16"/>
        </w:numPr>
        <w:spacing w:after="0" w:line="276" w:lineRule="auto"/>
      </w:pPr>
      <w:r>
        <w:lastRenderedPageBreak/>
        <w:t>važeća</w:t>
      </w:r>
      <w:r w:rsidR="008878A0" w:rsidRPr="00D02A62">
        <w:t xml:space="preserve"> Strategija razvoja Krapinsko-zagorske županije do 2020. godine</w:t>
      </w:r>
    </w:p>
    <w:p w14:paraId="32DEFF91" w14:textId="77777777" w:rsidR="008878A0" w:rsidRPr="00D02A62" w:rsidRDefault="008878A0" w:rsidP="002F13CF">
      <w:pPr>
        <w:pStyle w:val="Odlomakpopisa"/>
        <w:numPr>
          <w:ilvl w:val="0"/>
          <w:numId w:val="16"/>
        </w:numPr>
        <w:spacing w:after="0" w:line="276" w:lineRule="auto"/>
      </w:pPr>
      <w:r w:rsidRPr="00D02A62">
        <w:t>Master plan razvoja turizma Krapinsko-zagorske županije za razdoblje 2016.- 2025.</w:t>
      </w:r>
    </w:p>
    <w:p w14:paraId="2FFF192C" w14:textId="24AABB2F" w:rsidR="008878A0" w:rsidRPr="00D02A62" w:rsidRDefault="008878A0" w:rsidP="002F13CF">
      <w:pPr>
        <w:pStyle w:val="Odlomakpopisa"/>
        <w:numPr>
          <w:ilvl w:val="0"/>
          <w:numId w:val="16"/>
        </w:numPr>
        <w:spacing w:after="0" w:line="276" w:lineRule="auto"/>
      </w:pPr>
      <w:r w:rsidRPr="00D02A62">
        <w:t xml:space="preserve">Strategija razvoja ljudskih potencijala Krapinsko-zagorske županije </w:t>
      </w:r>
      <w:r w:rsidR="00446BA5" w:rsidRPr="00D02A62">
        <w:t>20</w:t>
      </w:r>
      <w:r w:rsidR="00446BA5">
        <w:t>21</w:t>
      </w:r>
      <w:r w:rsidRPr="00D02A62">
        <w:t>.-202</w:t>
      </w:r>
      <w:r w:rsidR="00446BA5">
        <w:t>7</w:t>
      </w:r>
      <w:r w:rsidRPr="00D02A62">
        <w:t>.</w:t>
      </w:r>
    </w:p>
    <w:p w14:paraId="63998F0E" w14:textId="44DBC7B3" w:rsidR="008878A0" w:rsidRDefault="008878A0" w:rsidP="002F13CF">
      <w:pPr>
        <w:pStyle w:val="Odlomakpopisa"/>
        <w:numPr>
          <w:ilvl w:val="0"/>
          <w:numId w:val="16"/>
        </w:numPr>
        <w:spacing w:after="0" w:line="276" w:lineRule="auto"/>
      </w:pPr>
      <w:r w:rsidRPr="00D02A62">
        <w:t>Strategija upravljanja imovinom Krapinsko-zagorske županije od 2019. do 2025.</w:t>
      </w:r>
    </w:p>
    <w:p w14:paraId="3E88FEC3" w14:textId="1E44D01B" w:rsidR="00446BA5" w:rsidRPr="00D02A62" w:rsidRDefault="00446BA5" w:rsidP="002F13CF">
      <w:pPr>
        <w:pStyle w:val="Odlomakpopisa"/>
        <w:numPr>
          <w:ilvl w:val="0"/>
          <w:numId w:val="16"/>
        </w:numPr>
        <w:spacing w:after="0" w:line="276" w:lineRule="auto"/>
      </w:pPr>
      <w:r>
        <w:t>Strategija razvoja digitalne transformacije Krapinsko-zagorske županije</w:t>
      </w:r>
    </w:p>
    <w:p w14:paraId="15120519" w14:textId="77777777" w:rsidR="008878A0" w:rsidRPr="00D02A62" w:rsidRDefault="008878A0" w:rsidP="002F13CF">
      <w:pPr>
        <w:pStyle w:val="Odlomakpopisa"/>
        <w:numPr>
          <w:ilvl w:val="0"/>
          <w:numId w:val="16"/>
        </w:numPr>
        <w:spacing w:after="0" w:line="276" w:lineRule="auto"/>
      </w:pPr>
      <w:r w:rsidRPr="00D02A62">
        <w:t>Strategija upravljanja rizicima Krapinsko-zagorske županije</w:t>
      </w:r>
    </w:p>
    <w:p w14:paraId="6F5A50F8" w14:textId="77777777" w:rsidR="008878A0" w:rsidRPr="0073392B" w:rsidRDefault="008878A0" w:rsidP="002F13CF">
      <w:pPr>
        <w:pStyle w:val="Tekstkomentara"/>
        <w:numPr>
          <w:ilvl w:val="0"/>
          <w:numId w:val="16"/>
        </w:numPr>
        <w:spacing w:after="0" w:line="276" w:lineRule="auto"/>
        <w:jc w:val="both"/>
        <w:rPr>
          <w:rFonts w:ascii="Newslab" w:hAnsi="Newslab"/>
          <w:color w:val="3F3F3F" w:themeColor="text1" w:themeShade="80"/>
          <w:sz w:val="18"/>
          <w:szCs w:val="18"/>
        </w:rPr>
      </w:pPr>
      <w:r w:rsidRPr="0073392B">
        <w:rPr>
          <w:rFonts w:ascii="Newslab" w:hAnsi="Newslab"/>
          <w:color w:val="3F3F3F" w:themeColor="text1" w:themeShade="80"/>
          <w:sz w:val="18"/>
          <w:szCs w:val="18"/>
        </w:rPr>
        <w:t>Dugoročni program izgradnje i obnove fonda zgrada KZŽ</w:t>
      </w:r>
    </w:p>
    <w:p w14:paraId="76E11F78" w14:textId="77777777" w:rsidR="008878A0" w:rsidRPr="00D02A62" w:rsidRDefault="008878A0" w:rsidP="002F13CF">
      <w:pPr>
        <w:pStyle w:val="Odlomakpopisa"/>
        <w:numPr>
          <w:ilvl w:val="0"/>
          <w:numId w:val="16"/>
        </w:numPr>
        <w:spacing w:after="0" w:line="276" w:lineRule="auto"/>
        <w:rPr>
          <w:sz w:val="22"/>
          <w:szCs w:val="22"/>
        </w:rPr>
      </w:pPr>
      <w:r w:rsidRPr="00D02A62">
        <w:t>Aktualni Prostorni plan Krapinsko-zagorske županije</w:t>
      </w:r>
    </w:p>
    <w:p w14:paraId="358135A8" w14:textId="77777777" w:rsidR="008878A0" w:rsidRPr="00D02A62" w:rsidRDefault="008878A0" w:rsidP="002F13CF">
      <w:pPr>
        <w:pStyle w:val="Odlomakpopisa"/>
        <w:numPr>
          <w:ilvl w:val="0"/>
          <w:numId w:val="16"/>
        </w:numPr>
        <w:spacing w:after="0" w:line="276" w:lineRule="auto"/>
        <w:rPr>
          <w:rStyle w:val="shortdescription"/>
        </w:rPr>
      </w:pPr>
      <w:r w:rsidRPr="00D02A62">
        <w:rPr>
          <w:rStyle w:val="shortdescription"/>
        </w:rPr>
        <w:t>Program zaštite zraka, ozonskog sloja, ublažavanja klimatskih promjena i prilagodbe klimatskim promjenama Krapinsko-zagorske županije</w:t>
      </w:r>
    </w:p>
    <w:p w14:paraId="38F439A2" w14:textId="77777777" w:rsidR="008878A0" w:rsidRPr="00D02A62" w:rsidRDefault="008878A0" w:rsidP="00941871">
      <w:pPr>
        <w:pStyle w:val="Odlomakpopisa"/>
        <w:spacing w:after="0" w:line="276" w:lineRule="auto"/>
      </w:pPr>
    </w:p>
    <w:p w14:paraId="0C53E042" w14:textId="6AA6B412" w:rsidR="008878A0" w:rsidRDefault="008878A0" w:rsidP="00941871">
      <w:r w:rsidRPr="00D02A62">
        <w:t>Osim županijskih institucija, važni dionici u upravljanju razvojem u KZŽ su i 3 lokalne akcijske grupe: LAG Prizag</w:t>
      </w:r>
      <w:r w:rsidRPr="00D02A62">
        <w:rPr>
          <w:rStyle w:val="Referencafusnote"/>
        </w:rPr>
        <w:footnoteReference w:id="91"/>
      </w:r>
      <w:r w:rsidRPr="00D02A62">
        <w:t>, LAG Zagorje – Sutla i LAG Zeleni Bregi. Uloga LAG-ova u upravljanju razvojem usmjerena je na poticanje lokalnog ruralnog razvoja područja koja LAG-ovi obuhvaćaju, prema ciljevima i prioritetima definiranima u lokalnoj razvojnoj strategiji pojedinog LAG-a. Lokalne razvojne strategije LAG-ova važeće su do kraja 2020. godine. LAG-ovi su u okviru podmjere 19.2 Provedba operacija unutar CLLD strategije, a temeljem izrađenih lokalnih razvojnih strategija dobili na raspolaganje</w:t>
      </w:r>
      <w:r w:rsidRPr="00D02A62">
        <w:rPr>
          <w:rStyle w:val="Referencafusnote"/>
        </w:rPr>
        <w:footnoteReference w:id="92"/>
      </w:r>
      <w:r w:rsidRPr="00D02A62">
        <w:t xml:space="preserve"> sredstva iz Programa ruralnog razvoja RH, za koja raspisuju natječaje za korisnike s područja LAG-a. </w:t>
      </w:r>
    </w:p>
    <w:p w14:paraId="77C697F8" w14:textId="18C0F736" w:rsidR="00840136" w:rsidRDefault="00840136" w:rsidP="00941871"/>
    <w:p w14:paraId="3DD89EAB" w14:textId="77777777" w:rsidR="00840136" w:rsidRPr="00D02A62" w:rsidRDefault="00840136" w:rsidP="00941871">
      <w:pPr>
        <w:rPr>
          <w:highlight w:val="yellow"/>
        </w:rPr>
      </w:pPr>
    </w:p>
    <w:p w14:paraId="7982BFE9" w14:textId="1F34D455" w:rsidR="008878A0" w:rsidRDefault="008878A0" w:rsidP="00941871">
      <w:pPr>
        <w:rPr>
          <w:sz w:val="20"/>
        </w:rPr>
      </w:pPr>
      <w:r>
        <w:rPr>
          <w:noProof/>
          <w:sz w:val="22"/>
          <w:szCs w:val="22"/>
          <w:lang w:eastAsia="hr-HR"/>
        </w:rPr>
        <mc:AlternateContent>
          <mc:Choice Requires="wps">
            <w:drawing>
              <wp:anchor distT="0" distB="0" distL="114300" distR="114300" simplePos="0" relativeHeight="251662336" behindDoc="0" locked="0" layoutInCell="1" allowOverlap="1" wp14:anchorId="7F628962" wp14:editId="023D600E">
                <wp:simplePos x="0" y="0"/>
                <wp:positionH relativeFrom="column">
                  <wp:posOffset>635</wp:posOffset>
                </wp:positionH>
                <wp:positionV relativeFrom="paragraph">
                  <wp:posOffset>-398780</wp:posOffset>
                </wp:positionV>
                <wp:extent cx="5084445" cy="163830"/>
                <wp:effectExtent l="0" t="0" r="1905" b="7620"/>
                <wp:wrapNone/>
                <wp:docPr id="264" name="Text Box 264"/>
                <wp:cNvGraphicFramePr/>
                <a:graphic xmlns:a="http://schemas.openxmlformats.org/drawingml/2006/main">
                  <a:graphicData uri="http://schemas.microsoft.com/office/word/2010/wordprocessingShape">
                    <wps:wsp>
                      <wps:cNvSpPr txBox="1"/>
                      <wps:spPr>
                        <a:xfrm>
                          <a:off x="0" y="0"/>
                          <a:ext cx="5084445" cy="163195"/>
                        </a:xfrm>
                        <a:prstGeom prst="rect">
                          <a:avLst/>
                        </a:prstGeom>
                        <a:solidFill>
                          <a:prstClr val="white"/>
                        </a:solidFill>
                        <a:ln>
                          <a:noFill/>
                        </a:ln>
                      </wps:spPr>
                      <wps:txbx>
                        <w:txbxContent>
                          <w:p w14:paraId="224F5B1A" w14:textId="1ECCAD29" w:rsidR="00480559" w:rsidRDefault="00480559" w:rsidP="003E3F3C">
                            <w:pPr>
                              <w:pStyle w:val="Opisslike"/>
                              <w:rPr>
                                <w:noProof/>
                              </w:rPr>
                            </w:pPr>
                            <w:r>
                              <w:t>Prikaz</w:t>
                            </w:r>
                            <w:r>
                              <w:rPr>
                                <w:noProof/>
                              </w:rPr>
                              <w:t xml:space="preserve"> 2</w:t>
                            </w:r>
                            <w:r w:rsidR="00A96020">
                              <w:rPr>
                                <w:noProof/>
                              </w:rPr>
                              <w:t>2</w:t>
                            </w:r>
                            <w:r>
                              <w:rPr>
                                <w:noProof/>
                              </w:rPr>
                              <w:t>.</w:t>
                            </w:r>
                            <w:r>
                              <w:t xml:space="preserve"> Lokalne akcijske grupe Krapinsko-zagorske županije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F628962" id="_x0000_t202" coordsize="21600,21600" o:spt="202" path="m,l,21600r21600,l21600,xe">
                <v:stroke joinstyle="miter"/>
                <v:path gradientshapeok="t" o:connecttype="rect"/>
              </v:shapetype>
              <v:shape id="Text Box 264" o:spid="_x0000_s1026" type="#_x0000_t202" style="position:absolute;left:0;text-align:left;margin-left:.05pt;margin-top:-31.4pt;width:400.35pt;height:12.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" stroked="f">
                <v:textbox inset="0,0,0,0">
                  <w:txbxContent>
                    <w:p w14:paraId="224F5B1A" w14:textId="1ECCAD29" w:rsidR="00480559" w:rsidRDefault="00480559" w:rsidP="003E3F3C">
                      <w:pPr>
                        <w:pStyle w:val="Opisslike"/>
                        <w:rPr>
                          <w:noProof/>
                        </w:rPr>
                      </w:pPr>
                      <w:r>
                        <w:t>Prikaz</w:t>
                      </w:r>
                      <w:r>
                        <w:rPr>
                          <w:noProof/>
                        </w:rPr>
                        <w:t xml:space="preserve"> 2</w:t>
                      </w:r>
                      <w:r w:rsidR="00A96020">
                        <w:rPr>
                          <w:noProof/>
                        </w:rPr>
                        <w:t>2</w:t>
                      </w:r>
                      <w:r>
                        <w:rPr>
                          <w:noProof/>
                        </w:rPr>
                        <w:t>.</w:t>
                      </w:r>
                      <w:r>
                        <w:t xml:space="preserve"> Lokalne akcijske grupe Krapinsko-zagorske županije</w:t>
                      </w:r>
                    </w:p>
                  </w:txbxContent>
                </v:textbox>
              </v:shape>
            </w:pict>
          </mc:Fallback>
        </mc:AlternateContent>
      </w:r>
      <w:r w:rsidR="00F35CEA" w:rsidRPr="07E5E1E8">
        <w:rPr>
          <w:sz w:val="20"/>
          <w:szCs w:val="20"/>
        </w:rPr>
        <w:t xml:space="preserve">   </w:t>
      </w:r>
      <w:r>
        <w:rPr>
          <w:noProof/>
          <w:sz w:val="22"/>
          <w:szCs w:val="22"/>
          <w:lang w:eastAsia="hr-HR"/>
        </w:rPr>
        <w:drawing>
          <wp:inline distT="0" distB="0" distL="0" distR="0" wp14:anchorId="079A987C" wp14:editId="4360F22B">
            <wp:extent cx="5527963" cy="3427180"/>
            <wp:effectExtent l="0" t="0" r="0" b="190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538636" cy="3433797"/>
                    </a:xfrm>
                    <a:prstGeom prst="rect">
                      <a:avLst/>
                    </a:prstGeom>
                    <a:noFill/>
                  </pic:spPr>
                </pic:pic>
              </a:graphicData>
            </a:graphic>
          </wp:inline>
        </w:drawing>
      </w:r>
    </w:p>
    <w:p w14:paraId="7E196038" w14:textId="77777777" w:rsidR="008878A0" w:rsidRPr="00840136" w:rsidRDefault="008878A0" w:rsidP="003C2276">
      <w:pPr>
        <w:pStyle w:val="Izvor"/>
        <w:rPr>
          <w:i/>
          <w:color w:val="ABABAB" w:themeColor="text1" w:themeTint="A6"/>
          <w:sz w:val="16"/>
          <w:szCs w:val="16"/>
        </w:rPr>
      </w:pPr>
      <w:r w:rsidRPr="00840136">
        <w:rPr>
          <w:i/>
          <w:color w:val="ABABAB" w:themeColor="text1" w:themeTint="A6"/>
          <w:sz w:val="16"/>
          <w:szCs w:val="16"/>
        </w:rPr>
        <w:t>Izvor: Zavod za prostorno uređenje Krapinsko-zagorske županije</w:t>
      </w:r>
    </w:p>
    <w:p w14:paraId="6704F815" w14:textId="77777777" w:rsidR="00F35CEA" w:rsidRDefault="00F35CEA" w:rsidP="00941871"/>
    <w:p w14:paraId="2E8D51CF" w14:textId="48C274BB" w:rsidR="008878A0" w:rsidRDefault="008878A0" w:rsidP="00941871">
      <w:r>
        <w:t>U upravljanje razvojem na području KZŽ uključeni su i ostali lokalni dionici, prije svega, jedinice lokalne samouprave na području KZŽ (7 gradova i 25 općina), a čiji se razvojni planovi usklađuju sa županijskim Planom razvoja.</w:t>
      </w:r>
    </w:p>
    <w:p w14:paraId="6955F340" w14:textId="77777777" w:rsidR="003B53EC" w:rsidRDefault="003B53EC" w:rsidP="00941871">
      <w:pPr>
        <w:rPr>
          <w:sz w:val="22"/>
          <w:szCs w:val="22"/>
        </w:rPr>
      </w:pPr>
    </w:p>
    <w:p w14:paraId="4D7DF171" w14:textId="76DCAA68" w:rsidR="008878A0" w:rsidRDefault="008878A0" w:rsidP="0052192B">
      <w:pPr>
        <w:pStyle w:val="Naslov2"/>
        <w:rPr>
          <w:b/>
        </w:rPr>
      </w:pPr>
      <w:bookmarkStart w:id="286" w:name="_Toc85181390"/>
      <w:r>
        <w:lastRenderedPageBreak/>
        <w:t>1</w:t>
      </w:r>
      <w:r w:rsidR="001433BD">
        <w:t>4</w:t>
      </w:r>
      <w:r>
        <w:t>.2. Analiza kapaciteta dionika za upravljanje razvojem KZŽ</w:t>
      </w:r>
      <w:bookmarkEnd w:id="286"/>
    </w:p>
    <w:p w14:paraId="27BDA1A4" w14:textId="77777777" w:rsidR="00F35CEA" w:rsidRDefault="00F35CEA" w:rsidP="00941871"/>
    <w:p w14:paraId="04F8410D" w14:textId="607FF3EC" w:rsidR="008878A0" w:rsidRDefault="008878A0" w:rsidP="00941871">
      <w:r>
        <w:t xml:space="preserve">Kako bi se utvrdili kapaciteti za upravljanje razvojem, u listopadu 2019. godine provedeno je istraživanje putem anketnog upitnika. Upitnikom je bila obuhvaćena Krapinsko-zagorska županija, institucije kojima je županija osnivač ili suosnivač, LAG-ovi te obrazovne i zdravstvene institucije. Pitanja su se odnosila na ulogu ispitanika u upravljanju razvojem, broj osoba - zaposlenika koji imaju iskustva u pripremi i provedbi projekata i upravljanju razvojem, iskustvo u izradi te praćenju i provedbi strateških dokumenta, izradi financijskih planova i budžeta, poznavanju postupaka procjene utjecaja projekta na okoliš i ekološku mrežu te izradi studija izvedivosti. </w:t>
      </w:r>
    </w:p>
    <w:p w14:paraId="1F337C3B" w14:textId="6168F588" w:rsidR="008878A0" w:rsidRDefault="008878A0" w:rsidP="00941871">
      <w:r>
        <w:t>Analizom odgovora utvrđeno je da ispitanici kao svoju ulogu u upravljanju razvojem navode pripremu i provedbu razvojnih projekata te pružanje potpore drugim dionicima u pripremi i provedbi razvojnih projekata. U instituciji/organizaciji prosječno 5 osoba sudjeluje u upravljanju razvojem. Očekivano, obzirom na djelokrug rada i ključne aktivnosti, najveći broj osoba s relevantnim iskustvom u upravljanju razvojem imaju Krapinsko-zagorska županija (15 osoba), Regionalna energetska agencija Sjeverozapadne Hrvatske – REGEA (15 osoba), Zagorska razvojna agencija (12 osoba), dok se od ostalih izdvaja Osnovna škola Viktora Kovačića Hum na Sutli (10 osoba).</w:t>
      </w:r>
    </w:p>
    <w:p w14:paraId="12A04191" w14:textId="77777777" w:rsidR="00934D1C" w:rsidRDefault="00934D1C" w:rsidP="00941871"/>
    <w:p w14:paraId="1531B602" w14:textId="6C0F2ED7" w:rsidR="008878A0" w:rsidRDefault="008878A0" w:rsidP="003E3F3C">
      <w:pPr>
        <w:pStyle w:val="Opisslike"/>
      </w:pPr>
      <w:r>
        <w:t>Grafikon</w:t>
      </w:r>
      <w:r w:rsidR="00840136">
        <w:rPr>
          <w:noProof/>
        </w:rPr>
        <w:t xml:space="preserve"> 6</w:t>
      </w:r>
      <w:r w:rsidR="00C71B24">
        <w:rPr>
          <w:noProof/>
        </w:rPr>
        <w:t>8</w:t>
      </w:r>
      <w:r w:rsidR="003B53EC">
        <w:rPr>
          <w:noProof/>
        </w:rPr>
        <w:t>.</w:t>
      </w:r>
      <w:r>
        <w:t xml:space="preserve"> Broj osoba u upravljanju razvojem, pripremi i provedbi projekata, 2019</w:t>
      </w:r>
    </w:p>
    <w:p w14:paraId="2F2024A6" w14:textId="6943B893" w:rsidR="008878A0" w:rsidRDefault="00195B04" w:rsidP="00941871">
      <w:r>
        <w:rPr>
          <w:noProof/>
          <w:lang w:eastAsia="hr-HR"/>
        </w:rPr>
        <w:drawing>
          <wp:inline distT="0" distB="0" distL="0" distR="0" wp14:anchorId="660CD15E" wp14:editId="68A36E41">
            <wp:extent cx="5838825" cy="5286375"/>
            <wp:effectExtent l="0" t="0" r="9525" b="9525"/>
            <wp:docPr id="259" name="Chart 2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7F2AB770" w14:textId="77777777" w:rsidR="008878A0" w:rsidRPr="00840136" w:rsidRDefault="008878A0" w:rsidP="003C2276">
      <w:pPr>
        <w:pStyle w:val="Izvor"/>
        <w:rPr>
          <w:i/>
          <w:color w:val="ABABAB" w:themeColor="text1" w:themeTint="A6"/>
          <w:sz w:val="16"/>
          <w:szCs w:val="16"/>
        </w:rPr>
      </w:pPr>
      <w:r w:rsidRPr="00840136">
        <w:rPr>
          <w:i/>
          <w:color w:val="ABABAB" w:themeColor="text1" w:themeTint="A6"/>
          <w:sz w:val="16"/>
          <w:szCs w:val="16"/>
        </w:rPr>
        <w:t>Izvor: Anketni upitnik, obrada autora, 2019. godina</w:t>
      </w:r>
    </w:p>
    <w:p w14:paraId="3D5549C0" w14:textId="77777777" w:rsidR="003B53EC" w:rsidRDefault="003B53EC" w:rsidP="00941871"/>
    <w:p w14:paraId="24CC3A4D" w14:textId="62180165" w:rsidR="008878A0" w:rsidRDefault="008878A0" w:rsidP="00941871">
      <w:pPr>
        <w:rPr>
          <w:sz w:val="22"/>
          <w:szCs w:val="22"/>
        </w:rPr>
      </w:pPr>
      <w:r>
        <w:t>Generalno, više osoba po instituciji/organizaciji  ima iskustva u pripremi razvojnih projekata (relevantno iskustvo u pripremi najman</w:t>
      </w:r>
      <w:r w:rsidR="00195B04">
        <w:t>je 2 projekta)  - u prosjeku 3</w:t>
      </w:r>
      <w:r>
        <w:t xml:space="preserve"> osobe, u odnosu na provedbu projekata (relevantno iskustvo u provedbi najman</w:t>
      </w:r>
      <w:r w:rsidR="00195B04">
        <w:t>je 2 projekta) – u prosjeku 2 osobe</w:t>
      </w:r>
      <w:r>
        <w:t xml:space="preserve">. Najveći broj osoba koje imaju iskustvo u pripremi i provedbi projekata imaju Krapinsko-zagorska županija, </w:t>
      </w:r>
      <w:r>
        <w:lastRenderedPageBreak/>
        <w:t xml:space="preserve">Regionalna energetska agencija Sjeverozapadne Hrvatske – REGEA i Zagorska razvojna agencija, a značajnije se još izdvajaju škole i LAG-ovi. </w:t>
      </w:r>
    </w:p>
    <w:p w14:paraId="49E56421" w14:textId="4A812D35" w:rsidR="008878A0" w:rsidRDefault="008878A0" w:rsidP="00941871">
      <w:r>
        <w:t>Značajno manje osoba po instituciji/organizaciji ima relevantno iskustvo u pripremi i praćenju provedbe strateških dokumenata na lokalnoj, županijskoj ili nacionalnoj razini. Relevantno iskustvo u pripremi najmanje 1</w:t>
      </w:r>
      <w:r w:rsidR="00195B04">
        <w:t xml:space="preserve"> dokumenta u prosjeku imaju 2 osobe</w:t>
      </w:r>
      <w:r>
        <w:t xml:space="preserve"> po instituciji (najviše u Krapinsko-zagors</w:t>
      </w:r>
      <w:r w:rsidR="0073392B">
        <w:t xml:space="preserve">koj županiji – 11 osoba), a </w:t>
      </w:r>
      <w:r>
        <w:t xml:space="preserve">nešto manje u praćenju provedbe  - u prosjeku </w:t>
      </w:r>
      <w:r w:rsidR="00195B04">
        <w:t xml:space="preserve"> manje od 2 </w:t>
      </w:r>
      <w:r>
        <w:t>osobe po instituciji (najviše u Krapinsko-zagorskoj županiji – 11 osoba). Nešto je značajnije prethodno iskustvo u financijskom planiranju i praćenju budžeta na razini institucije/organizacije (aktivna uključenost u izradu i praćenje najmanje 2 financijska plana), gdj</w:t>
      </w:r>
      <w:r w:rsidR="00195B04">
        <w:t>e je evidentirano u prosjeku 2</w:t>
      </w:r>
      <w:r>
        <w:t xml:space="preserve"> osobe po instituciji (najviše u Krapinsko-zagorskoj županiji – 17 osoba). </w:t>
      </w:r>
    </w:p>
    <w:p w14:paraId="630ADDDA" w14:textId="77777777" w:rsidR="00BC5FA2" w:rsidRPr="00BC5FA2" w:rsidRDefault="00BC5FA2" w:rsidP="00BC5FA2"/>
    <w:p w14:paraId="103EFEFE" w14:textId="0E52AE7C" w:rsidR="008878A0" w:rsidRDefault="008878A0" w:rsidP="003E3F3C">
      <w:pPr>
        <w:pStyle w:val="Opisslike"/>
      </w:pPr>
      <w:r>
        <w:t>Grafikon</w:t>
      </w:r>
      <w:r w:rsidR="00840136">
        <w:rPr>
          <w:noProof/>
        </w:rPr>
        <w:t xml:space="preserve"> 6</w:t>
      </w:r>
      <w:r w:rsidR="00C71B24">
        <w:rPr>
          <w:noProof/>
        </w:rPr>
        <w:t>9</w:t>
      </w:r>
      <w:r w:rsidR="003B53EC">
        <w:rPr>
          <w:noProof/>
        </w:rPr>
        <w:t>.</w:t>
      </w:r>
      <w:r>
        <w:t xml:space="preserve"> Iskustvo u pripremi i provedbi strateških dokumenata, 2019. godina</w:t>
      </w:r>
    </w:p>
    <w:p w14:paraId="5BC918CF" w14:textId="4CE76915" w:rsidR="008878A0" w:rsidRDefault="00BC5FA2" w:rsidP="00941871">
      <w:r>
        <w:rPr>
          <w:noProof/>
          <w:lang w:eastAsia="hr-HR"/>
        </w:rPr>
        <w:drawing>
          <wp:inline distT="0" distB="0" distL="0" distR="0" wp14:anchorId="64B72EF5" wp14:editId="60C9AE92">
            <wp:extent cx="5676900" cy="6562725"/>
            <wp:effectExtent l="0" t="0" r="0" b="9525"/>
            <wp:docPr id="270" name="Chart 2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4CC9B0CB" w14:textId="77777777" w:rsidR="008878A0" w:rsidRPr="00840136" w:rsidRDefault="008878A0" w:rsidP="003C2276">
      <w:pPr>
        <w:pStyle w:val="Izvor"/>
        <w:rPr>
          <w:i/>
          <w:color w:val="ABABAB" w:themeColor="text1" w:themeTint="A6"/>
          <w:sz w:val="16"/>
          <w:szCs w:val="16"/>
        </w:rPr>
      </w:pPr>
      <w:r w:rsidRPr="00840136">
        <w:rPr>
          <w:i/>
          <w:color w:val="ABABAB" w:themeColor="text1" w:themeTint="A6"/>
          <w:sz w:val="16"/>
          <w:szCs w:val="16"/>
        </w:rPr>
        <w:t>Izvor: Anketni upitnik, obrada autora, 2019. godina</w:t>
      </w:r>
    </w:p>
    <w:p w14:paraId="709047DD" w14:textId="77777777" w:rsidR="008878A0" w:rsidRDefault="008878A0" w:rsidP="00941871">
      <w:pPr>
        <w:rPr>
          <w:sz w:val="22"/>
          <w:szCs w:val="22"/>
        </w:rPr>
      </w:pPr>
    </w:p>
    <w:p w14:paraId="74D19623" w14:textId="4DFA7C12" w:rsidR="00D02A62" w:rsidRDefault="008878A0" w:rsidP="00941871">
      <w:r>
        <w:lastRenderedPageBreak/>
        <w:t>Druga relevantna iskustva kao što su poznavanje postupaka procjene utjecaja projekta na okoliš i ekološku mrežu te prethodno iskustvo u izradi studija izvedivosti još su manje zastupljena. Aktivno iskustvo uključenosti u izradu najmanje 2 postupka procjene utjecaja projekta na okoliš i ek</w:t>
      </w:r>
      <w:r w:rsidR="00BC5FA2">
        <w:t>ološku mrežu imaju osobe iz</w:t>
      </w:r>
      <w:r>
        <w:t xml:space="preserve"> 9 institucija (najviše iz Krapinsko-zagorske županije – 3 osobe). Aktivnu uključenost u izradu najmanje 2 studije izvedivosti / analize troškova i koristi imaju osobe iz 8 institucija (najviše iz Regionalna energetska agencija Sjeverozapadne Hrvatske – REGEA</w:t>
      </w:r>
      <w:r w:rsidR="00BC5FA2">
        <w:t>-e</w:t>
      </w:r>
      <w:r>
        <w:t xml:space="preserve"> – 5 osoba).</w:t>
      </w:r>
    </w:p>
    <w:p w14:paraId="32A54B1F" w14:textId="436525BF" w:rsidR="008878A0" w:rsidRDefault="00BC5FA2" w:rsidP="00941871">
      <w:r>
        <w:t>Rezultati istraživanja su</w:t>
      </w:r>
      <w:r w:rsidR="008878A0">
        <w:t xml:space="preserve"> u skladu </w:t>
      </w:r>
      <w:r>
        <w:t xml:space="preserve">s dosadašnjim opažanjima </w:t>
      </w:r>
      <w:r w:rsidR="008878A0">
        <w:t>s terena gdje je evidentno da su se posljednjih</w:t>
      </w:r>
      <w:r w:rsidR="0073392B">
        <w:t xml:space="preserve"> godina znanja i iskustva u</w:t>
      </w:r>
      <w:r w:rsidR="008878A0">
        <w:t xml:space="preserve"> priprem</w:t>
      </w:r>
      <w:r w:rsidR="0073392B">
        <w:t>i</w:t>
      </w:r>
      <w:r w:rsidR="008878A0">
        <w:t xml:space="preserve"> projekata značajno povećala u odnosu na pretpristupno razdoblje</w:t>
      </w:r>
      <w:r>
        <w:t xml:space="preserve">. Međutim, još uvijek </w:t>
      </w:r>
      <w:r w:rsidR="008878A0">
        <w:t>manji broj osoba ima iskustva u provedbi pr</w:t>
      </w:r>
      <w:r w:rsidR="0073392B">
        <w:t xml:space="preserve">ojekata. Razlog tome </w:t>
      </w:r>
      <w:r w:rsidR="008878A0">
        <w:t xml:space="preserve">djelomično leži u činjenici da korisnici EU projekata u provedbi često koriste vanjske resurse za provedbi istih – poduzetničke potporne institucije ili konzultante. Iskustva u strateškom i financijskom planiranju su očekivano manja obzirom da su ista, osim kod regionalnog koordinatora i ostalih poduzetničkih potpornih institucija te kod županije, primarno vezana za planiranje na razini same organizacije. </w:t>
      </w:r>
    </w:p>
    <w:p w14:paraId="0A3FA8C0" w14:textId="77777777" w:rsidR="008878A0" w:rsidRDefault="008878A0" w:rsidP="00941871"/>
    <w:p w14:paraId="473981FA" w14:textId="45C98C78" w:rsidR="008878A0" w:rsidRDefault="008878A0" w:rsidP="0052192B">
      <w:pPr>
        <w:pStyle w:val="Naslov2"/>
        <w:rPr>
          <w:b/>
        </w:rPr>
      </w:pPr>
      <w:bookmarkStart w:id="287" w:name="_Toc85181391"/>
      <w:r>
        <w:t>1</w:t>
      </w:r>
      <w:r w:rsidR="001433BD">
        <w:t>4</w:t>
      </w:r>
      <w:r>
        <w:t>.3. Korištenje europskih fondova</w:t>
      </w:r>
      <w:bookmarkEnd w:id="287"/>
    </w:p>
    <w:p w14:paraId="043C1E74" w14:textId="77777777" w:rsidR="008878A0" w:rsidRDefault="008878A0" w:rsidP="00941871">
      <w:pPr>
        <w:autoSpaceDE w:val="0"/>
        <w:autoSpaceDN w:val="0"/>
        <w:adjustRightInd w:val="0"/>
        <w:spacing w:after="0" w:line="240" w:lineRule="auto"/>
        <w:rPr>
          <w:rFonts w:asciiTheme="minorHAnsi" w:eastAsia="ArialNarrow" w:hAnsiTheme="minorHAnsi" w:cstheme="minorHAnsi"/>
          <w:color w:val="auto"/>
          <w:sz w:val="22"/>
          <w:szCs w:val="22"/>
        </w:rPr>
      </w:pPr>
    </w:p>
    <w:p w14:paraId="1168F853" w14:textId="6310C162" w:rsidR="008878A0" w:rsidRPr="00C74DE2" w:rsidRDefault="00BC5FA2" w:rsidP="00941871">
      <w:pPr>
        <w:autoSpaceDE w:val="0"/>
        <w:autoSpaceDN w:val="0"/>
        <w:adjustRightInd w:val="0"/>
        <w:spacing w:after="0" w:line="240" w:lineRule="auto"/>
      </w:pPr>
      <w:r w:rsidRPr="00C74DE2">
        <w:t xml:space="preserve">Uloga EU fondova u </w:t>
      </w:r>
      <w:r w:rsidR="008878A0" w:rsidRPr="00C74DE2">
        <w:t>ukupnom ekonomskom razvoju vrlo je</w:t>
      </w:r>
      <w:r w:rsidRPr="00C74DE2">
        <w:t xml:space="preserve"> velika, kako za nacionalnu razinu</w:t>
      </w:r>
      <w:r w:rsidR="008878A0" w:rsidRPr="00C74DE2">
        <w:t xml:space="preserve"> tako i  za Krapinsko-Zagorsku županiju. </w:t>
      </w:r>
      <w:r w:rsidR="00E17064" w:rsidRPr="00C74DE2">
        <w:t xml:space="preserve">Korištenje sredstava EU fondova dalo je u posljednje tri godine i na nacionalnoj razini i na razini županija znatan doprinos gospodarskom rastu (HGK, lipanj 2020.). </w:t>
      </w:r>
      <w:r w:rsidR="008878A0" w:rsidRPr="00C74DE2">
        <w:t xml:space="preserve">Kao korisnici fondova EU pojavljuju se jedinice lokalne i regionalne samouprave, razvojne agencije, organizacije civilnog društva, poslovni subjekti, interesna udruženja, obrazovne institucije i drugi. Interes potencijalnih korisnika s  područja Krapinsko-zagorske županije je svake godine sve veći. Zagorska razvojna agencija, kao regionalni koordinator, provodi sustavne edukacije potencijalnih korisnika za pripremu i provedbu projekata sufinanciranih iz EU sredstava što se pozitivno odrazilo na razvoj kapaciteta te vjerojatno ima utjecaj na uspješnost u korištenju EU sredstava. </w:t>
      </w:r>
    </w:p>
    <w:p w14:paraId="030B33C4" w14:textId="77777777" w:rsidR="008878A0" w:rsidRDefault="008878A0" w:rsidP="00941871">
      <w:pPr>
        <w:autoSpaceDE w:val="0"/>
        <w:autoSpaceDN w:val="0"/>
        <w:adjustRightInd w:val="0"/>
        <w:spacing w:after="0" w:line="240" w:lineRule="auto"/>
        <w:rPr>
          <w:rFonts w:eastAsiaTheme="minorHAnsi" w:cstheme="minorHAnsi"/>
        </w:rPr>
      </w:pPr>
    </w:p>
    <w:p w14:paraId="0E2B0433" w14:textId="7DA13D11" w:rsidR="00E17064" w:rsidRPr="00C74DE2" w:rsidRDefault="008878A0" w:rsidP="00E17064">
      <w:r>
        <w:t>Rezultati k</w:t>
      </w:r>
      <w:r w:rsidR="00D128F9">
        <w:t xml:space="preserve">orištenja EU fondova za 2017., </w:t>
      </w:r>
      <w:r>
        <w:t xml:space="preserve">2018. </w:t>
      </w:r>
      <w:r w:rsidR="00D128F9">
        <w:t xml:space="preserve">i 2019. </w:t>
      </w:r>
      <w:r>
        <w:t xml:space="preserve">godinu najbolje se mogu sagledati iz pregleda Ministarstva regionalnog razvoja i fondova EU  koji sadrži ukupno ugovorene iznose bespovratnih sredstava za projekte koji se provode u </w:t>
      </w:r>
      <w:r w:rsidR="00BE1C9D">
        <w:t xml:space="preserve">pojedinim županijama za 2017., </w:t>
      </w:r>
      <w:r>
        <w:t>2018</w:t>
      </w:r>
      <w:r w:rsidR="00BE1C9D">
        <w:t>, 2019.</w:t>
      </w:r>
      <w:r>
        <w:rPr>
          <w:rStyle w:val="Referencafusnote"/>
          <w:b/>
          <w:bCs/>
        </w:rPr>
        <w:footnoteReference w:id="93"/>
      </w:r>
      <w:r w:rsidR="00E17064">
        <w:t xml:space="preserve">, </w:t>
      </w:r>
      <w:r w:rsidR="00E17064" w:rsidRPr="00C74DE2">
        <w:t>uz napomenu da iznosi za prethodne godine po županijama nisu dostupni i bili su gotovo zanemarivi (HOK, lipanj 2020.). Izvještaj se odnosi na projekte koji se provode na području samo jedne županije, dok projekti koji se provode na području nekoliko županija ili na području cijele Hrvatske nisu prikazani.</w:t>
      </w:r>
    </w:p>
    <w:p w14:paraId="2DB0B754" w14:textId="77777777" w:rsidR="00E17064" w:rsidRPr="00E17064" w:rsidRDefault="00E17064" w:rsidP="00E17064">
      <w:pPr>
        <w:rPr>
          <w:rFonts w:eastAsia="Times New Roman" w:cs="Times New Roman"/>
          <w:color w:val="FF0000"/>
        </w:rPr>
      </w:pPr>
    </w:p>
    <w:p w14:paraId="234CCFFA" w14:textId="5C80A4A4" w:rsidR="00E17064" w:rsidRPr="00F35CEA" w:rsidRDefault="00E17064" w:rsidP="003E3F3C">
      <w:pPr>
        <w:pStyle w:val="Opisslike"/>
      </w:pPr>
      <w:r w:rsidRPr="00F35CEA">
        <w:lastRenderedPageBreak/>
        <w:t>Graf</w:t>
      </w:r>
      <w:r w:rsidR="00F35CEA">
        <w:t xml:space="preserve">ikon </w:t>
      </w:r>
      <w:r w:rsidR="00C71B24">
        <w:t>70</w:t>
      </w:r>
      <w:r w:rsidR="00F35CEA">
        <w:t xml:space="preserve">. </w:t>
      </w:r>
      <w:r w:rsidRPr="00F35CEA">
        <w:t>Iznos ugovorenih sredstava fondova EU*, 2017.-2019., mil HRK</w:t>
      </w:r>
    </w:p>
    <w:p w14:paraId="5FCD8EBD" w14:textId="6108C8F8" w:rsidR="008878A0" w:rsidRDefault="00E17064" w:rsidP="00941871">
      <w:r>
        <w:rPr>
          <w:noProof/>
        </w:rPr>
        <w:drawing>
          <wp:inline distT="0" distB="0" distL="0" distR="0" wp14:anchorId="037E7E0B" wp14:editId="427C47C4">
            <wp:extent cx="6050280" cy="3710940"/>
            <wp:effectExtent l="0" t="0" r="7620" b="3810"/>
            <wp:docPr id="26" name="Slika 26"/>
            <wp:cNvGraphicFramePr/>
            <a:graphic xmlns:a="http://schemas.openxmlformats.org/drawingml/2006/main">
              <a:graphicData uri="http://schemas.openxmlformats.org/drawingml/2006/picture">
                <pic:pic xmlns:pic="http://schemas.openxmlformats.org/drawingml/2006/picture">
                  <pic:nvPicPr>
                    <pic:cNvPr id="1" name="Slika 1"/>
                    <pic:cNvPicPr/>
                  </pic:nvPicPr>
                  <pic:blipFill rotWithShape="1">
                    <a:blip r:embed="rId141"/>
                    <a:srcRect l="20238" t="39271" r="34788" b="12287"/>
                    <a:stretch/>
                  </pic:blipFill>
                  <pic:spPr bwMode="auto">
                    <a:xfrm>
                      <a:off x="0" y="0"/>
                      <a:ext cx="6064130" cy="3719435"/>
                    </a:xfrm>
                    <a:prstGeom prst="rect">
                      <a:avLst/>
                    </a:prstGeom>
                    <a:ln>
                      <a:noFill/>
                    </a:ln>
                    <a:extLst>
                      <a:ext uri="{53640926-AAD7-44D8-BBD7-CCE9431645EC}">
                        <a14:shadowObscured xmlns:a14="http://schemas.microsoft.com/office/drawing/2010/main"/>
                      </a:ext>
                    </a:extLst>
                  </pic:spPr>
                </pic:pic>
              </a:graphicData>
            </a:graphic>
          </wp:inline>
        </w:drawing>
      </w:r>
    </w:p>
    <w:p w14:paraId="105CFD34" w14:textId="77777777" w:rsidR="00E17064" w:rsidRPr="00840136" w:rsidRDefault="00E17064" w:rsidP="00840136">
      <w:pPr>
        <w:pStyle w:val="Izvor"/>
        <w:rPr>
          <w:i/>
          <w:color w:val="ABABAB" w:themeColor="text1" w:themeTint="A6"/>
          <w:sz w:val="16"/>
          <w:szCs w:val="16"/>
        </w:rPr>
      </w:pPr>
      <w:bookmarkStart w:id="288" w:name="_Hlk54162923"/>
      <w:r w:rsidRPr="00840136">
        <w:rPr>
          <w:i/>
          <w:color w:val="ABABAB" w:themeColor="text1" w:themeTint="A6"/>
          <w:sz w:val="16"/>
          <w:szCs w:val="16"/>
        </w:rPr>
        <w:t>Izvor: Županije i fondovi EU: Ugovorena sredstva i projekti po županijama, projekt Slavonija, Baranja i Srijem, HGK, Zagreb, lipanj 2020</w:t>
      </w:r>
      <w:bookmarkEnd w:id="288"/>
      <w:r w:rsidRPr="00840136">
        <w:rPr>
          <w:i/>
          <w:color w:val="ABABAB" w:themeColor="text1" w:themeTint="A6"/>
          <w:sz w:val="16"/>
          <w:szCs w:val="16"/>
        </w:rPr>
        <w:br/>
        <w:t>* Kohezijski fond, Europski fond za regionalni razvoj, Europski socijalni fond, Europski fond za ruralni razvoj</w:t>
      </w:r>
    </w:p>
    <w:p w14:paraId="2912AE68" w14:textId="50DF3546" w:rsidR="00E17064" w:rsidRDefault="00E17064" w:rsidP="00941871"/>
    <w:p w14:paraId="38BA90BC" w14:textId="77777777" w:rsidR="00E17064" w:rsidRPr="00C74DE2" w:rsidRDefault="00E17064" w:rsidP="00E17064">
      <w:pPr>
        <w:rPr>
          <w:rFonts w:eastAsia="Times New Roman" w:cs="Times New Roman"/>
          <w:color w:val="auto"/>
        </w:rPr>
      </w:pPr>
      <w:r w:rsidRPr="00C74DE2">
        <w:rPr>
          <w:rFonts w:eastAsia="Times New Roman" w:cs="Times New Roman"/>
          <w:color w:val="auto"/>
        </w:rPr>
        <w:t>Na nacionalnoj razni ukupan je kumulativni iznos ugovorenih EU projekata (zbroj sredstava ugovorenih po pojedinim županijama) iznosio 61,2 milijarde kuna. Najveći se iznos ugovorenih sredstava fondova EU (14,4 milijarde kn) odnosio na Grad Zagreb, čije gospodarstvo čini oko trećinu cjelokupnog hrvatskog gospodarstva. Iznos ugovorenih sredstava fondova EU za Krapinsko- zagorsku županiju iznosio je oko 1,8 milijardi kn prema podacima iz grafikona HGK-a te se nalazi na 15. mjestu. Rangiranje županija po ukupnom iznosu ugovorenih EU sredstava ipak ne znači da je neka županija bolja ili lošija u korištenju fondova jer su županije različite gospodarske veličine, strukture gospodarstva i broja stanovnika (HOK, lipanj 2020.).</w:t>
      </w:r>
    </w:p>
    <w:p w14:paraId="6213E5A3" w14:textId="6F75D89F" w:rsidR="00D02A62" w:rsidRPr="00C74DE2" w:rsidRDefault="00E17064" w:rsidP="00D02A62">
      <w:pPr>
        <w:rPr>
          <w:rFonts w:eastAsia="Times New Roman" w:cs="Times New Roman"/>
          <w:color w:val="auto"/>
        </w:rPr>
      </w:pPr>
      <w:r w:rsidRPr="00C74DE2">
        <w:rPr>
          <w:rFonts w:eastAsia="Times New Roman" w:cs="Times New Roman"/>
          <w:color w:val="auto"/>
        </w:rPr>
        <w:t>Detaljni rezultati korištenja EU fondova Krapinsko- zagorske županije za 2017., 2018. i 2019. godinu prikazani su u nastavku analizom dostupnih izvješća MRRFEU objavljenih na njihovim službenim stranicama.</w:t>
      </w:r>
    </w:p>
    <w:p w14:paraId="17043411" w14:textId="77777777" w:rsidR="00E17064" w:rsidRPr="00D02A62" w:rsidRDefault="00E17064" w:rsidP="00D02A62"/>
    <w:p w14:paraId="6E33B438" w14:textId="6876DF3A" w:rsidR="003B53EC" w:rsidRDefault="003B53EC" w:rsidP="003E3F3C">
      <w:pPr>
        <w:pStyle w:val="Opisslike"/>
      </w:pPr>
      <w:bookmarkStart w:id="289" w:name="_Hlk57306628"/>
      <w:r>
        <w:t>Tablica</w:t>
      </w:r>
      <w:r w:rsidR="00840136">
        <w:t xml:space="preserve"> 1</w:t>
      </w:r>
      <w:r w:rsidR="00934D1C">
        <w:t>98</w:t>
      </w:r>
      <w:r>
        <w:t xml:space="preserve">. </w:t>
      </w:r>
      <w:r w:rsidRPr="00C473E1">
        <w:t>Pregled ugovorenih EU sredstava za KZŽ prema pojedinom operativnom programu za 2017.-2019. godina</w:t>
      </w:r>
    </w:p>
    <w:tbl>
      <w:tblPr>
        <w:tblW w:w="0" w:type="auto"/>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1846"/>
        <w:gridCol w:w="1846"/>
        <w:gridCol w:w="1846"/>
        <w:gridCol w:w="1846"/>
        <w:gridCol w:w="1847"/>
      </w:tblGrid>
      <w:tr w:rsidR="00D02A62" w:rsidRPr="00D02A62" w14:paraId="646B67E7" w14:textId="77777777" w:rsidTr="004945AF">
        <w:trPr>
          <w:trHeight w:val="885"/>
        </w:trPr>
        <w:tc>
          <w:tcPr>
            <w:tcW w:w="1846" w:type="dxa"/>
            <w:shd w:val="clear" w:color="auto" w:fill="D2232A" w:themeFill="accent1"/>
            <w:hideMark/>
          </w:tcPr>
          <w:bookmarkEnd w:id="289"/>
          <w:p w14:paraId="3491DCC8" w14:textId="77777777" w:rsidR="008878A0" w:rsidRPr="00D02A62" w:rsidRDefault="008878A0" w:rsidP="00941871">
            <w:pPr>
              <w:spacing w:after="0"/>
              <w:rPr>
                <w:color w:val="FFFFFF" w:themeColor="background1"/>
              </w:rPr>
            </w:pPr>
            <w:r w:rsidRPr="00D02A62">
              <w:rPr>
                <w:color w:val="FFFFFF" w:themeColor="background1"/>
              </w:rPr>
              <w:t>Naziv programa</w:t>
            </w:r>
          </w:p>
        </w:tc>
        <w:tc>
          <w:tcPr>
            <w:tcW w:w="1846" w:type="dxa"/>
            <w:shd w:val="clear" w:color="auto" w:fill="D2232A" w:themeFill="accent1"/>
            <w:hideMark/>
          </w:tcPr>
          <w:p w14:paraId="5ACFBA5F" w14:textId="77777777" w:rsidR="008878A0" w:rsidRPr="00D02A62" w:rsidRDefault="008878A0" w:rsidP="00D02A62">
            <w:pPr>
              <w:spacing w:after="0"/>
              <w:jc w:val="right"/>
              <w:rPr>
                <w:color w:val="FFFFFF" w:themeColor="background1"/>
              </w:rPr>
            </w:pPr>
            <w:r w:rsidRPr="00D02A62">
              <w:rPr>
                <w:color w:val="FFFFFF" w:themeColor="background1"/>
              </w:rPr>
              <w:t>Ukupno ugovoreno na nacionalnoj razini</w:t>
            </w:r>
          </w:p>
        </w:tc>
        <w:tc>
          <w:tcPr>
            <w:tcW w:w="1846" w:type="dxa"/>
            <w:shd w:val="clear" w:color="auto" w:fill="D2232A" w:themeFill="accent1"/>
            <w:hideMark/>
          </w:tcPr>
          <w:p w14:paraId="6E2DC6EB" w14:textId="77777777" w:rsidR="008878A0" w:rsidRPr="00D02A62" w:rsidRDefault="008878A0" w:rsidP="00D02A62">
            <w:pPr>
              <w:spacing w:after="0"/>
              <w:jc w:val="right"/>
              <w:rPr>
                <w:color w:val="FFFFFF" w:themeColor="background1"/>
              </w:rPr>
            </w:pPr>
            <w:r w:rsidRPr="00D02A62">
              <w:rPr>
                <w:color w:val="FFFFFF" w:themeColor="background1"/>
              </w:rPr>
              <w:t>Ukupno ugovoreno za projekte u KZŽ</w:t>
            </w:r>
          </w:p>
        </w:tc>
        <w:tc>
          <w:tcPr>
            <w:tcW w:w="1846" w:type="dxa"/>
            <w:shd w:val="clear" w:color="auto" w:fill="D2232A" w:themeFill="accent1"/>
            <w:hideMark/>
          </w:tcPr>
          <w:p w14:paraId="6D35219A" w14:textId="77777777" w:rsidR="008878A0" w:rsidRPr="00D02A62" w:rsidRDefault="008878A0" w:rsidP="00D02A62">
            <w:pPr>
              <w:spacing w:after="0"/>
              <w:jc w:val="right"/>
              <w:rPr>
                <w:color w:val="FFFFFF" w:themeColor="background1"/>
              </w:rPr>
            </w:pPr>
            <w:r w:rsidRPr="00D02A62">
              <w:rPr>
                <w:color w:val="FFFFFF" w:themeColor="background1"/>
              </w:rPr>
              <w:t>Udio KZŽ u iznosu ugovorenom na nacionalnoj razini</w:t>
            </w:r>
          </w:p>
        </w:tc>
        <w:tc>
          <w:tcPr>
            <w:tcW w:w="1847" w:type="dxa"/>
            <w:shd w:val="clear" w:color="auto" w:fill="D2232A" w:themeFill="accent1"/>
            <w:hideMark/>
          </w:tcPr>
          <w:p w14:paraId="2A56F114" w14:textId="77777777" w:rsidR="008878A0" w:rsidRPr="00D02A62" w:rsidRDefault="008878A0" w:rsidP="00D02A62">
            <w:pPr>
              <w:spacing w:after="0"/>
              <w:jc w:val="right"/>
              <w:rPr>
                <w:color w:val="FFFFFF" w:themeColor="background1"/>
              </w:rPr>
            </w:pPr>
            <w:r w:rsidRPr="00D02A62">
              <w:rPr>
                <w:color w:val="FFFFFF" w:themeColor="background1"/>
              </w:rPr>
              <w:t>Mjesto na rang ljestvici županija</w:t>
            </w:r>
          </w:p>
        </w:tc>
      </w:tr>
      <w:tr w:rsidR="00D02A62" w:rsidRPr="00D02A62" w14:paraId="5741D475" w14:textId="77777777" w:rsidTr="004945AF">
        <w:trPr>
          <w:trHeight w:val="301"/>
        </w:trPr>
        <w:tc>
          <w:tcPr>
            <w:tcW w:w="1846" w:type="dxa"/>
            <w:hideMark/>
          </w:tcPr>
          <w:p w14:paraId="077DE861" w14:textId="77777777" w:rsidR="008878A0" w:rsidRPr="00D02A62" w:rsidRDefault="008878A0" w:rsidP="00941871">
            <w:pPr>
              <w:spacing w:after="0"/>
            </w:pPr>
            <w:r w:rsidRPr="00D02A62">
              <w:t>OPKK 2017.</w:t>
            </w:r>
          </w:p>
        </w:tc>
        <w:tc>
          <w:tcPr>
            <w:tcW w:w="1846" w:type="dxa"/>
            <w:hideMark/>
          </w:tcPr>
          <w:p w14:paraId="04489474" w14:textId="77777777" w:rsidR="008878A0" w:rsidRPr="00D02A62" w:rsidRDefault="008878A0" w:rsidP="00D02A62">
            <w:pPr>
              <w:spacing w:after="0"/>
              <w:jc w:val="right"/>
            </w:pPr>
            <w:r w:rsidRPr="00D02A62">
              <w:t>16.6 mlrd. kn</w:t>
            </w:r>
          </w:p>
        </w:tc>
        <w:tc>
          <w:tcPr>
            <w:tcW w:w="1846" w:type="dxa"/>
            <w:hideMark/>
          </w:tcPr>
          <w:p w14:paraId="6F73D6FE" w14:textId="77777777" w:rsidR="008878A0" w:rsidRPr="00D02A62" w:rsidRDefault="008878A0" w:rsidP="00D02A62">
            <w:pPr>
              <w:spacing w:after="0"/>
              <w:jc w:val="right"/>
            </w:pPr>
            <w:r w:rsidRPr="00D02A62">
              <w:t>415,5 mil. kn</w:t>
            </w:r>
          </w:p>
        </w:tc>
        <w:tc>
          <w:tcPr>
            <w:tcW w:w="1846" w:type="dxa"/>
            <w:hideMark/>
          </w:tcPr>
          <w:p w14:paraId="4A0BB899" w14:textId="77777777" w:rsidR="008878A0" w:rsidRPr="00D02A62" w:rsidRDefault="008878A0" w:rsidP="00D02A62">
            <w:pPr>
              <w:spacing w:after="0"/>
              <w:jc w:val="right"/>
            </w:pPr>
            <w:r w:rsidRPr="00D02A62">
              <w:t>2,5%</w:t>
            </w:r>
          </w:p>
        </w:tc>
        <w:tc>
          <w:tcPr>
            <w:tcW w:w="1847" w:type="dxa"/>
            <w:hideMark/>
          </w:tcPr>
          <w:p w14:paraId="3EB595D5" w14:textId="77777777" w:rsidR="008878A0" w:rsidRPr="00D02A62" w:rsidRDefault="008878A0" w:rsidP="00D02A62">
            <w:pPr>
              <w:spacing w:after="0"/>
              <w:jc w:val="right"/>
            </w:pPr>
            <w:r w:rsidRPr="00D02A62">
              <w:t>13.</w:t>
            </w:r>
          </w:p>
        </w:tc>
      </w:tr>
      <w:tr w:rsidR="00D02A62" w:rsidRPr="00D02A62" w14:paraId="05321F1D" w14:textId="77777777" w:rsidTr="004945AF">
        <w:trPr>
          <w:trHeight w:val="301"/>
        </w:trPr>
        <w:tc>
          <w:tcPr>
            <w:tcW w:w="1846" w:type="dxa"/>
            <w:hideMark/>
          </w:tcPr>
          <w:p w14:paraId="138082AB" w14:textId="77777777" w:rsidR="008878A0" w:rsidRPr="00D02A62" w:rsidRDefault="008878A0" w:rsidP="00941871">
            <w:pPr>
              <w:spacing w:after="0"/>
            </w:pPr>
            <w:r w:rsidRPr="00D02A62">
              <w:t>OPKK 2018.</w:t>
            </w:r>
          </w:p>
        </w:tc>
        <w:tc>
          <w:tcPr>
            <w:tcW w:w="1846" w:type="dxa"/>
            <w:hideMark/>
          </w:tcPr>
          <w:p w14:paraId="44219EC1" w14:textId="77777777" w:rsidR="008878A0" w:rsidRPr="00D02A62" w:rsidRDefault="008878A0" w:rsidP="00D02A62">
            <w:pPr>
              <w:spacing w:after="0"/>
              <w:jc w:val="right"/>
            </w:pPr>
            <w:r w:rsidRPr="00D02A62">
              <w:t>12.7 mlrd. kn</w:t>
            </w:r>
          </w:p>
        </w:tc>
        <w:tc>
          <w:tcPr>
            <w:tcW w:w="1846" w:type="dxa"/>
            <w:hideMark/>
          </w:tcPr>
          <w:p w14:paraId="58D43AA3" w14:textId="77777777" w:rsidR="008878A0" w:rsidRPr="00D02A62" w:rsidRDefault="008878A0" w:rsidP="00D02A62">
            <w:pPr>
              <w:spacing w:after="0"/>
              <w:jc w:val="right"/>
            </w:pPr>
            <w:r w:rsidRPr="00D02A62">
              <w:t>431,8 mil. kn</w:t>
            </w:r>
          </w:p>
        </w:tc>
        <w:tc>
          <w:tcPr>
            <w:tcW w:w="1846" w:type="dxa"/>
            <w:hideMark/>
          </w:tcPr>
          <w:p w14:paraId="60DA67F7" w14:textId="77777777" w:rsidR="008878A0" w:rsidRPr="00D02A62" w:rsidRDefault="008878A0" w:rsidP="00D02A62">
            <w:pPr>
              <w:spacing w:after="0"/>
              <w:jc w:val="right"/>
            </w:pPr>
            <w:r w:rsidRPr="00D02A62">
              <w:t>3,4%</w:t>
            </w:r>
          </w:p>
        </w:tc>
        <w:tc>
          <w:tcPr>
            <w:tcW w:w="1847" w:type="dxa"/>
            <w:hideMark/>
          </w:tcPr>
          <w:p w14:paraId="35D34606" w14:textId="77777777" w:rsidR="008878A0" w:rsidRPr="00D02A62" w:rsidRDefault="008878A0" w:rsidP="00D02A62">
            <w:pPr>
              <w:spacing w:after="0"/>
              <w:jc w:val="right"/>
            </w:pPr>
            <w:r w:rsidRPr="00D02A62">
              <w:t>9.</w:t>
            </w:r>
          </w:p>
        </w:tc>
      </w:tr>
      <w:tr w:rsidR="00190169" w:rsidRPr="00D02A62" w14:paraId="3D16EBC1" w14:textId="77777777" w:rsidTr="004945AF">
        <w:trPr>
          <w:trHeight w:val="301"/>
        </w:trPr>
        <w:tc>
          <w:tcPr>
            <w:tcW w:w="1846" w:type="dxa"/>
          </w:tcPr>
          <w:p w14:paraId="3E2D68C0" w14:textId="2B94266E" w:rsidR="00190169" w:rsidRPr="00D02A62" w:rsidRDefault="00190169" w:rsidP="00190169">
            <w:pPr>
              <w:spacing w:after="0"/>
            </w:pPr>
            <w:r>
              <w:t>OPKK 2019.</w:t>
            </w:r>
          </w:p>
        </w:tc>
        <w:tc>
          <w:tcPr>
            <w:tcW w:w="1846" w:type="dxa"/>
          </w:tcPr>
          <w:p w14:paraId="6F1873BA" w14:textId="3319EB5F" w:rsidR="00190169" w:rsidRPr="00D02A62" w:rsidRDefault="00190169" w:rsidP="00190169">
            <w:pPr>
              <w:spacing w:after="0"/>
              <w:jc w:val="right"/>
            </w:pPr>
            <w:r>
              <w:t xml:space="preserve">14.1 </w:t>
            </w:r>
            <w:r w:rsidRPr="00D02A62">
              <w:t>mlrd. kn</w:t>
            </w:r>
            <w:r>
              <w:t xml:space="preserve"> </w:t>
            </w:r>
          </w:p>
        </w:tc>
        <w:tc>
          <w:tcPr>
            <w:tcW w:w="1846" w:type="dxa"/>
          </w:tcPr>
          <w:p w14:paraId="181C8894" w14:textId="27BE3AEF" w:rsidR="00190169" w:rsidRPr="00D02A62" w:rsidRDefault="00190169" w:rsidP="00190169">
            <w:pPr>
              <w:spacing w:after="0"/>
              <w:jc w:val="right"/>
            </w:pPr>
            <w:r>
              <w:t>68.3 mil. kn</w:t>
            </w:r>
          </w:p>
        </w:tc>
        <w:tc>
          <w:tcPr>
            <w:tcW w:w="1846" w:type="dxa"/>
          </w:tcPr>
          <w:p w14:paraId="19B05FB9" w14:textId="3FF1B2D9" w:rsidR="00190169" w:rsidRPr="00D02A62" w:rsidRDefault="00190169" w:rsidP="00190169">
            <w:pPr>
              <w:spacing w:after="0"/>
              <w:jc w:val="right"/>
            </w:pPr>
            <w:r w:rsidRPr="00190169">
              <w:t>0,48%</w:t>
            </w:r>
          </w:p>
        </w:tc>
        <w:tc>
          <w:tcPr>
            <w:tcW w:w="1847" w:type="dxa"/>
          </w:tcPr>
          <w:p w14:paraId="1E54FA66" w14:textId="6371D318" w:rsidR="00190169" w:rsidRPr="00D02A62" w:rsidRDefault="00190169" w:rsidP="00190169">
            <w:pPr>
              <w:spacing w:after="0"/>
              <w:jc w:val="right"/>
            </w:pPr>
            <w:r>
              <w:t>20.</w:t>
            </w:r>
          </w:p>
        </w:tc>
      </w:tr>
      <w:tr w:rsidR="00190169" w:rsidRPr="00D02A62" w14:paraId="312DD867" w14:textId="77777777" w:rsidTr="004945AF">
        <w:trPr>
          <w:trHeight w:val="301"/>
        </w:trPr>
        <w:tc>
          <w:tcPr>
            <w:tcW w:w="1846" w:type="dxa"/>
            <w:hideMark/>
          </w:tcPr>
          <w:p w14:paraId="6EE04139" w14:textId="77777777" w:rsidR="00190169" w:rsidRPr="00D02A62" w:rsidRDefault="00190169" w:rsidP="00190169">
            <w:pPr>
              <w:spacing w:after="0"/>
            </w:pPr>
            <w:r w:rsidRPr="00D02A62">
              <w:t>OPULJP 2017.</w:t>
            </w:r>
          </w:p>
        </w:tc>
        <w:tc>
          <w:tcPr>
            <w:tcW w:w="1846" w:type="dxa"/>
            <w:hideMark/>
          </w:tcPr>
          <w:p w14:paraId="2C330F8F" w14:textId="77777777" w:rsidR="00190169" w:rsidRPr="00D02A62" w:rsidRDefault="00190169" w:rsidP="00190169">
            <w:pPr>
              <w:spacing w:after="0"/>
              <w:jc w:val="right"/>
            </w:pPr>
            <w:r w:rsidRPr="00D02A62">
              <w:t>812,2 mil. kn</w:t>
            </w:r>
          </w:p>
        </w:tc>
        <w:tc>
          <w:tcPr>
            <w:tcW w:w="1846" w:type="dxa"/>
            <w:hideMark/>
          </w:tcPr>
          <w:p w14:paraId="3DE8B17F" w14:textId="77777777" w:rsidR="00190169" w:rsidRPr="00D02A62" w:rsidRDefault="00190169" w:rsidP="00190169">
            <w:pPr>
              <w:spacing w:after="0"/>
              <w:jc w:val="right"/>
            </w:pPr>
            <w:r w:rsidRPr="00D02A62">
              <w:t>13 mil. kn</w:t>
            </w:r>
          </w:p>
        </w:tc>
        <w:tc>
          <w:tcPr>
            <w:tcW w:w="1846" w:type="dxa"/>
            <w:hideMark/>
          </w:tcPr>
          <w:p w14:paraId="22EE3918" w14:textId="77777777" w:rsidR="00190169" w:rsidRPr="00D02A62" w:rsidRDefault="00190169" w:rsidP="00190169">
            <w:pPr>
              <w:spacing w:after="0"/>
              <w:jc w:val="right"/>
            </w:pPr>
            <w:r w:rsidRPr="00D02A62">
              <w:t>1,6%</w:t>
            </w:r>
          </w:p>
        </w:tc>
        <w:tc>
          <w:tcPr>
            <w:tcW w:w="1847" w:type="dxa"/>
            <w:hideMark/>
          </w:tcPr>
          <w:p w14:paraId="28110D09" w14:textId="77777777" w:rsidR="00190169" w:rsidRPr="00D02A62" w:rsidRDefault="00190169" w:rsidP="00190169">
            <w:pPr>
              <w:spacing w:after="0"/>
              <w:jc w:val="right"/>
            </w:pPr>
            <w:r w:rsidRPr="00D02A62">
              <w:t>20.</w:t>
            </w:r>
          </w:p>
        </w:tc>
      </w:tr>
      <w:tr w:rsidR="00190169" w:rsidRPr="00D02A62" w14:paraId="51606E5B" w14:textId="77777777" w:rsidTr="004945AF">
        <w:trPr>
          <w:trHeight w:val="301"/>
        </w:trPr>
        <w:tc>
          <w:tcPr>
            <w:tcW w:w="1846" w:type="dxa"/>
            <w:hideMark/>
          </w:tcPr>
          <w:p w14:paraId="46D3C1DB" w14:textId="77777777" w:rsidR="00190169" w:rsidRPr="00D02A62" w:rsidRDefault="00190169" w:rsidP="00190169">
            <w:pPr>
              <w:spacing w:after="0"/>
            </w:pPr>
            <w:r w:rsidRPr="00D02A62">
              <w:t>OPULJP 2018.</w:t>
            </w:r>
          </w:p>
        </w:tc>
        <w:tc>
          <w:tcPr>
            <w:tcW w:w="1846" w:type="dxa"/>
            <w:hideMark/>
          </w:tcPr>
          <w:p w14:paraId="44C0D19D" w14:textId="77777777" w:rsidR="00190169" w:rsidRPr="00D02A62" w:rsidRDefault="00190169" w:rsidP="00190169">
            <w:pPr>
              <w:spacing w:after="0"/>
              <w:jc w:val="right"/>
            </w:pPr>
            <w:r w:rsidRPr="00D02A62">
              <w:t>1.4 mlrd. kn</w:t>
            </w:r>
          </w:p>
        </w:tc>
        <w:tc>
          <w:tcPr>
            <w:tcW w:w="1846" w:type="dxa"/>
            <w:hideMark/>
          </w:tcPr>
          <w:p w14:paraId="343652D2" w14:textId="77777777" w:rsidR="00190169" w:rsidRPr="00D02A62" w:rsidRDefault="00190169" w:rsidP="00190169">
            <w:pPr>
              <w:spacing w:after="0"/>
              <w:jc w:val="right"/>
            </w:pPr>
            <w:r w:rsidRPr="00D02A62">
              <w:t>44,8 mil. kn</w:t>
            </w:r>
          </w:p>
        </w:tc>
        <w:tc>
          <w:tcPr>
            <w:tcW w:w="1846" w:type="dxa"/>
            <w:hideMark/>
          </w:tcPr>
          <w:p w14:paraId="23141383" w14:textId="77777777" w:rsidR="00190169" w:rsidRPr="00D02A62" w:rsidRDefault="00190169" w:rsidP="00190169">
            <w:pPr>
              <w:spacing w:after="0"/>
              <w:jc w:val="right"/>
            </w:pPr>
            <w:r w:rsidRPr="00D02A62">
              <w:t>3,3%</w:t>
            </w:r>
          </w:p>
        </w:tc>
        <w:tc>
          <w:tcPr>
            <w:tcW w:w="1847" w:type="dxa"/>
            <w:hideMark/>
          </w:tcPr>
          <w:p w14:paraId="543D5E88" w14:textId="77777777" w:rsidR="00190169" w:rsidRPr="00D02A62" w:rsidRDefault="00190169" w:rsidP="00190169">
            <w:pPr>
              <w:spacing w:after="0"/>
              <w:jc w:val="right"/>
            </w:pPr>
            <w:r w:rsidRPr="00D02A62">
              <w:t>12.</w:t>
            </w:r>
          </w:p>
        </w:tc>
      </w:tr>
      <w:tr w:rsidR="00190169" w:rsidRPr="00D02A62" w14:paraId="576546C4" w14:textId="77777777" w:rsidTr="004945AF">
        <w:trPr>
          <w:trHeight w:val="301"/>
        </w:trPr>
        <w:tc>
          <w:tcPr>
            <w:tcW w:w="1846" w:type="dxa"/>
          </w:tcPr>
          <w:p w14:paraId="59234FA2" w14:textId="4BE8572B" w:rsidR="00190169" w:rsidRPr="00D02A62" w:rsidRDefault="00190169" w:rsidP="00190169">
            <w:pPr>
              <w:spacing w:after="0"/>
            </w:pPr>
            <w:r>
              <w:t>OPULJP 2019.</w:t>
            </w:r>
          </w:p>
        </w:tc>
        <w:tc>
          <w:tcPr>
            <w:tcW w:w="1846" w:type="dxa"/>
          </w:tcPr>
          <w:p w14:paraId="3AB2F077" w14:textId="77213A1B" w:rsidR="00190169" w:rsidRPr="00D02A62" w:rsidRDefault="00190169" w:rsidP="00190169">
            <w:pPr>
              <w:spacing w:after="0"/>
              <w:jc w:val="right"/>
            </w:pPr>
            <w:r w:rsidRPr="00190169">
              <w:t>5</w:t>
            </w:r>
            <w:r>
              <w:t xml:space="preserve">02.4 </w:t>
            </w:r>
            <w:r w:rsidRPr="00D02A62">
              <w:t>mil. kn</w:t>
            </w:r>
          </w:p>
        </w:tc>
        <w:tc>
          <w:tcPr>
            <w:tcW w:w="1846" w:type="dxa"/>
          </w:tcPr>
          <w:p w14:paraId="7DBFCD4F" w14:textId="7BF31E4C" w:rsidR="00190169" w:rsidRPr="00D02A62" w:rsidRDefault="00AD2778" w:rsidP="00190169">
            <w:pPr>
              <w:spacing w:after="0"/>
              <w:jc w:val="right"/>
            </w:pPr>
            <w:r>
              <w:t xml:space="preserve">13,7 </w:t>
            </w:r>
            <w:r w:rsidRPr="00D02A62">
              <w:t>mil. kn</w:t>
            </w:r>
          </w:p>
        </w:tc>
        <w:tc>
          <w:tcPr>
            <w:tcW w:w="1846" w:type="dxa"/>
          </w:tcPr>
          <w:p w14:paraId="423445DD" w14:textId="428BE4B1" w:rsidR="00190169" w:rsidRPr="00D02A62" w:rsidRDefault="00AD2778" w:rsidP="00190169">
            <w:pPr>
              <w:spacing w:after="0"/>
              <w:jc w:val="right"/>
            </w:pPr>
            <w:r>
              <w:t>2,74%</w:t>
            </w:r>
          </w:p>
        </w:tc>
        <w:tc>
          <w:tcPr>
            <w:tcW w:w="1847" w:type="dxa"/>
          </w:tcPr>
          <w:p w14:paraId="6A68F3FE" w14:textId="0BD13544" w:rsidR="00190169" w:rsidRPr="00D02A62" w:rsidRDefault="00AD2778" w:rsidP="00190169">
            <w:pPr>
              <w:spacing w:after="0"/>
              <w:jc w:val="right"/>
            </w:pPr>
            <w:r>
              <w:t>13.</w:t>
            </w:r>
          </w:p>
        </w:tc>
      </w:tr>
      <w:tr w:rsidR="00190169" w:rsidRPr="00D02A62" w14:paraId="4A2A126D" w14:textId="77777777" w:rsidTr="004945AF">
        <w:trPr>
          <w:trHeight w:val="301"/>
        </w:trPr>
        <w:tc>
          <w:tcPr>
            <w:tcW w:w="1846" w:type="dxa"/>
            <w:hideMark/>
          </w:tcPr>
          <w:p w14:paraId="7B7688EC" w14:textId="77777777" w:rsidR="00190169" w:rsidRPr="00D02A62" w:rsidRDefault="00190169" w:rsidP="00190169">
            <w:pPr>
              <w:spacing w:after="0"/>
            </w:pPr>
            <w:r w:rsidRPr="00D02A62">
              <w:t>PRR 2017.</w:t>
            </w:r>
          </w:p>
        </w:tc>
        <w:tc>
          <w:tcPr>
            <w:tcW w:w="1846" w:type="dxa"/>
            <w:hideMark/>
          </w:tcPr>
          <w:p w14:paraId="0D6FCD35" w14:textId="77777777" w:rsidR="00190169" w:rsidRPr="00D02A62" w:rsidRDefault="00190169" w:rsidP="00190169">
            <w:pPr>
              <w:spacing w:after="0"/>
              <w:jc w:val="right"/>
            </w:pPr>
            <w:r w:rsidRPr="00D02A62">
              <w:t>5.3 mlrd. kn</w:t>
            </w:r>
          </w:p>
        </w:tc>
        <w:tc>
          <w:tcPr>
            <w:tcW w:w="1846" w:type="dxa"/>
            <w:hideMark/>
          </w:tcPr>
          <w:p w14:paraId="15202D51" w14:textId="77777777" w:rsidR="00190169" w:rsidRPr="00D02A62" w:rsidRDefault="00190169" w:rsidP="00190169">
            <w:pPr>
              <w:spacing w:after="0"/>
              <w:jc w:val="right"/>
            </w:pPr>
            <w:r w:rsidRPr="00D02A62">
              <w:t>95,3 mil. kn</w:t>
            </w:r>
          </w:p>
        </w:tc>
        <w:tc>
          <w:tcPr>
            <w:tcW w:w="1846" w:type="dxa"/>
            <w:hideMark/>
          </w:tcPr>
          <w:p w14:paraId="0E7745B6" w14:textId="77777777" w:rsidR="00190169" w:rsidRPr="00D02A62" w:rsidRDefault="00190169" w:rsidP="00190169">
            <w:pPr>
              <w:spacing w:after="0"/>
              <w:jc w:val="right"/>
            </w:pPr>
            <w:r w:rsidRPr="00D02A62">
              <w:t>1,8%</w:t>
            </w:r>
          </w:p>
        </w:tc>
        <w:tc>
          <w:tcPr>
            <w:tcW w:w="1847" w:type="dxa"/>
            <w:hideMark/>
          </w:tcPr>
          <w:p w14:paraId="10B9FCF6" w14:textId="77777777" w:rsidR="00190169" w:rsidRPr="00D02A62" w:rsidRDefault="00190169" w:rsidP="00190169">
            <w:pPr>
              <w:spacing w:after="0"/>
              <w:jc w:val="right"/>
            </w:pPr>
            <w:r w:rsidRPr="00D02A62">
              <w:t>19.</w:t>
            </w:r>
          </w:p>
        </w:tc>
      </w:tr>
      <w:tr w:rsidR="00190169" w:rsidRPr="00D02A62" w14:paraId="695303DE" w14:textId="77777777" w:rsidTr="004945AF">
        <w:trPr>
          <w:trHeight w:val="301"/>
        </w:trPr>
        <w:tc>
          <w:tcPr>
            <w:tcW w:w="1846" w:type="dxa"/>
            <w:hideMark/>
          </w:tcPr>
          <w:p w14:paraId="4B11CE1E" w14:textId="77777777" w:rsidR="00190169" w:rsidRPr="00D02A62" w:rsidRDefault="00190169" w:rsidP="00190169">
            <w:pPr>
              <w:spacing w:after="0"/>
            </w:pPr>
            <w:r w:rsidRPr="00D02A62">
              <w:t>PRR 2018.</w:t>
            </w:r>
          </w:p>
        </w:tc>
        <w:tc>
          <w:tcPr>
            <w:tcW w:w="1846" w:type="dxa"/>
            <w:hideMark/>
          </w:tcPr>
          <w:p w14:paraId="051D2BAB" w14:textId="77777777" w:rsidR="00190169" w:rsidRPr="00D02A62" w:rsidRDefault="00190169" w:rsidP="00190169">
            <w:pPr>
              <w:spacing w:after="0"/>
              <w:jc w:val="right"/>
            </w:pPr>
            <w:r w:rsidRPr="00D02A62">
              <w:t>4.8 mlrd. kn</w:t>
            </w:r>
          </w:p>
        </w:tc>
        <w:tc>
          <w:tcPr>
            <w:tcW w:w="1846" w:type="dxa"/>
            <w:hideMark/>
          </w:tcPr>
          <w:p w14:paraId="4B20FFA2" w14:textId="77777777" w:rsidR="00190169" w:rsidRPr="00D02A62" w:rsidRDefault="00190169" w:rsidP="00190169">
            <w:pPr>
              <w:spacing w:after="0"/>
              <w:jc w:val="right"/>
            </w:pPr>
            <w:r w:rsidRPr="00D02A62">
              <w:t>270,1 mil. kn</w:t>
            </w:r>
          </w:p>
        </w:tc>
        <w:tc>
          <w:tcPr>
            <w:tcW w:w="1846" w:type="dxa"/>
            <w:hideMark/>
          </w:tcPr>
          <w:p w14:paraId="4BFBD2C0" w14:textId="77777777" w:rsidR="00190169" w:rsidRPr="00D02A62" w:rsidRDefault="00190169" w:rsidP="00190169">
            <w:pPr>
              <w:spacing w:after="0"/>
              <w:jc w:val="right"/>
            </w:pPr>
            <w:r w:rsidRPr="00D02A62">
              <w:t>5,6%</w:t>
            </w:r>
          </w:p>
        </w:tc>
        <w:tc>
          <w:tcPr>
            <w:tcW w:w="1847" w:type="dxa"/>
            <w:hideMark/>
          </w:tcPr>
          <w:p w14:paraId="16D0F4FB" w14:textId="77777777" w:rsidR="00190169" w:rsidRPr="00D02A62" w:rsidRDefault="00190169" w:rsidP="00190169">
            <w:pPr>
              <w:spacing w:after="0"/>
              <w:jc w:val="right"/>
            </w:pPr>
            <w:r w:rsidRPr="00D02A62">
              <w:t>4.</w:t>
            </w:r>
          </w:p>
        </w:tc>
      </w:tr>
      <w:tr w:rsidR="00190169" w:rsidRPr="00D02A62" w14:paraId="5E45A06F" w14:textId="77777777" w:rsidTr="004945AF">
        <w:trPr>
          <w:trHeight w:val="301"/>
        </w:trPr>
        <w:tc>
          <w:tcPr>
            <w:tcW w:w="1846" w:type="dxa"/>
          </w:tcPr>
          <w:p w14:paraId="7F1A50B6" w14:textId="06046CEC" w:rsidR="00190169" w:rsidRPr="00D02A62" w:rsidRDefault="00AD2778" w:rsidP="00190169">
            <w:pPr>
              <w:spacing w:after="0"/>
            </w:pPr>
            <w:r>
              <w:t>PRR 2019</w:t>
            </w:r>
            <w:r w:rsidRPr="00D02A62">
              <w:t>.</w:t>
            </w:r>
          </w:p>
        </w:tc>
        <w:tc>
          <w:tcPr>
            <w:tcW w:w="1846" w:type="dxa"/>
          </w:tcPr>
          <w:p w14:paraId="2F975E90" w14:textId="42C995EE" w:rsidR="00190169" w:rsidRPr="00D02A62" w:rsidRDefault="00AD2778" w:rsidP="00190169">
            <w:pPr>
              <w:spacing w:after="0"/>
              <w:jc w:val="right"/>
            </w:pPr>
            <w:r>
              <w:t xml:space="preserve">3,7 </w:t>
            </w:r>
            <w:r w:rsidRPr="00D02A62">
              <w:t>mlrd. kn</w:t>
            </w:r>
            <w:r>
              <w:t xml:space="preserve"> </w:t>
            </w:r>
          </w:p>
        </w:tc>
        <w:tc>
          <w:tcPr>
            <w:tcW w:w="1846" w:type="dxa"/>
          </w:tcPr>
          <w:p w14:paraId="5D138B4F" w14:textId="20A72563" w:rsidR="00190169" w:rsidRPr="00D02A62" w:rsidRDefault="00AD2778" w:rsidP="00190169">
            <w:pPr>
              <w:spacing w:after="0"/>
              <w:jc w:val="right"/>
            </w:pPr>
            <w:r>
              <w:t xml:space="preserve">99,5 </w:t>
            </w:r>
            <w:r w:rsidRPr="00D02A62">
              <w:t>mil. kn</w:t>
            </w:r>
          </w:p>
        </w:tc>
        <w:tc>
          <w:tcPr>
            <w:tcW w:w="1846" w:type="dxa"/>
          </w:tcPr>
          <w:p w14:paraId="51D43D19" w14:textId="32574C50" w:rsidR="00190169" w:rsidRPr="00D02A62" w:rsidRDefault="00AD2778" w:rsidP="00190169">
            <w:pPr>
              <w:spacing w:after="0"/>
              <w:jc w:val="right"/>
            </w:pPr>
            <w:r>
              <w:t>2,71%</w:t>
            </w:r>
          </w:p>
        </w:tc>
        <w:tc>
          <w:tcPr>
            <w:tcW w:w="1847" w:type="dxa"/>
          </w:tcPr>
          <w:p w14:paraId="5638DB65" w14:textId="5A17761F" w:rsidR="00190169" w:rsidRPr="00D02A62" w:rsidRDefault="00AD2778" w:rsidP="00190169">
            <w:pPr>
              <w:spacing w:after="0"/>
              <w:jc w:val="right"/>
            </w:pPr>
            <w:r>
              <w:t>18.</w:t>
            </w:r>
          </w:p>
        </w:tc>
      </w:tr>
      <w:tr w:rsidR="00AD2778" w:rsidRPr="00D02A62" w14:paraId="3FA5F63E" w14:textId="77777777" w:rsidTr="004945AF">
        <w:trPr>
          <w:trHeight w:val="301"/>
        </w:trPr>
        <w:tc>
          <w:tcPr>
            <w:tcW w:w="1846" w:type="dxa"/>
          </w:tcPr>
          <w:p w14:paraId="77F842F2" w14:textId="2FD59BD3" w:rsidR="00AD2778" w:rsidRPr="00D02A62" w:rsidRDefault="00AD2778" w:rsidP="00190169">
            <w:pPr>
              <w:spacing w:after="0"/>
            </w:pPr>
            <w:r>
              <w:t>OPPR 2017.</w:t>
            </w:r>
          </w:p>
        </w:tc>
        <w:tc>
          <w:tcPr>
            <w:tcW w:w="1846" w:type="dxa"/>
          </w:tcPr>
          <w:p w14:paraId="0A2D2B2A" w14:textId="57B72374" w:rsidR="00AD2778" w:rsidRDefault="00AD2778" w:rsidP="00190169">
            <w:pPr>
              <w:spacing w:after="0"/>
              <w:jc w:val="right"/>
            </w:pPr>
            <w:r>
              <w:t>666,5</w:t>
            </w:r>
            <w:r w:rsidRPr="00D02A62">
              <w:t xml:space="preserve"> mil. kn</w:t>
            </w:r>
          </w:p>
        </w:tc>
        <w:tc>
          <w:tcPr>
            <w:tcW w:w="1846" w:type="dxa"/>
          </w:tcPr>
          <w:p w14:paraId="01DD9772" w14:textId="6102DD03" w:rsidR="00AD2778" w:rsidRDefault="00AD2778" w:rsidP="00190169">
            <w:pPr>
              <w:spacing w:after="0"/>
              <w:jc w:val="right"/>
            </w:pPr>
            <w:r>
              <w:t>0</w:t>
            </w:r>
          </w:p>
        </w:tc>
        <w:tc>
          <w:tcPr>
            <w:tcW w:w="1846" w:type="dxa"/>
          </w:tcPr>
          <w:p w14:paraId="2D0791D5" w14:textId="45E59D7F" w:rsidR="00AD2778" w:rsidRDefault="00AD2778" w:rsidP="00190169">
            <w:pPr>
              <w:spacing w:after="0"/>
              <w:jc w:val="right"/>
            </w:pPr>
            <w:r>
              <w:t>0</w:t>
            </w:r>
          </w:p>
        </w:tc>
        <w:tc>
          <w:tcPr>
            <w:tcW w:w="1847" w:type="dxa"/>
          </w:tcPr>
          <w:p w14:paraId="167272AC" w14:textId="14D7F013" w:rsidR="00AD2778" w:rsidRDefault="00AD2778" w:rsidP="00190169">
            <w:pPr>
              <w:spacing w:after="0"/>
              <w:jc w:val="right"/>
            </w:pPr>
            <w:r>
              <w:t>-</w:t>
            </w:r>
          </w:p>
        </w:tc>
      </w:tr>
      <w:tr w:rsidR="00AD2778" w:rsidRPr="00D02A62" w14:paraId="4633D035" w14:textId="77777777" w:rsidTr="004945AF">
        <w:trPr>
          <w:trHeight w:val="301"/>
        </w:trPr>
        <w:tc>
          <w:tcPr>
            <w:tcW w:w="1846" w:type="dxa"/>
          </w:tcPr>
          <w:p w14:paraId="526F6A84" w14:textId="1D34A29F" w:rsidR="00AD2778" w:rsidRDefault="00AD2778" w:rsidP="00190169">
            <w:pPr>
              <w:spacing w:after="0"/>
            </w:pPr>
            <w:r>
              <w:t>OPPR 2018.</w:t>
            </w:r>
          </w:p>
        </w:tc>
        <w:tc>
          <w:tcPr>
            <w:tcW w:w="1846" w:type="dxa"/>
          </w:tcPr>
          <w:p w14:paraId="17563DF2" w14:textId="5322039F" w:rsidR="00AD2778" w:rsidRDefault="00AD2778" w:rsidP="00AD2778">
            <w:pPr>
              <w:spacing w:after="0"/>
              <w:jc w:val="right"/>
            </w:pPr>
            <w:r>
              <w:t xml:space="preserve">528,3 </w:t>
            </w:r>
            <w:r w:rsidRPr="00D02A62">
              <w:t>mil. kn</w:t>
            </w:r>
          </w:p>
        </w:tc>
        <w:tc>
          <w:tcPr>
            <w:tcW w:w="1846" w:type="dxa"/>
          </w:tcPr>
          <w:p w14:paraId="62932748" w14:textId="285388B0" w:rsidR="00AD2778" w:rsidRDefault="00AD2778" w:rsidP="00190169">
            <w:pPr>
              <w:spacing w:after="0"/>
              <w:jc w:val="right"/>
            </w:pPr>
            <w:r>
              <w:t xml:space="preserve">1,7 </w:t>
            </w:r>
            <w:r w:rsidRPr="00D02A62">
              <w:t>mil. kn</w:t>
            </w:r>
          </w:p>
        </w:tc>
        <w:tc>
          <w:tcPr>
            <w:tcW w:w="1846" w:type="dxa"/>
          </w:tcPr>
          <w:p w14:paraId="4256E21A" w14:textId="324B7046" w:rsidR="00AD2778" w:rsidRDefault="00AD2778" w:rsidP="00190169">
            <w:pPr>
              <w:spacing w:after="0"/>
              <w:jc w:val="right"/>
            </w:pPr>
            <w:r>
              <w:t>0,33%</w:t>
            </w:r>
          </w:p>
        </w:tc>
        <w:tc>
          <w:tcPr>
            <w:tcW w:w="1847" w:type="dxa"/>
          </w:tcPr>
          <w:p w14:paraId="1A2CDD55" w14:textId="27AF85E8" w:rsidR="00AD2778" w:rsidRDefault="00AD2778" w:rsidP="00190169">
            <w:pPr>
              <w:spacing w:after="0"/>
              <w:jc w:val="right"/>
            </w:pPr>
            <w:r>
              <w:t>10.</w:t>
            </w:r>
          </w:p>
        </w:tc>
      </w:tr>
      <w:tr w:rsidR="00AD2778" w:rsidRPr="00D02A62" w14:paraId="6F76198A" w14:textId="77777777" w:rsidTr="0084585F">
        <w:trPr>
          <w:trHeight w:val="301"/>
        </w:trPr>
        <w:tc>
          <w:tcPr>
            <w:tcW w:w="1846" w:type="dxa"/>
            <w:tcBorders>
              <w:bottom w:val="single" w:sz="4" w:space="0" w:color="D2232A" w:themeColor="accent1"/>
            </w:tcBorders>
          </w:tcPr>
          <w:p w14:paraId="017A013F" w14:textId="0B215509" w:rsidR="00AD2778" w:rsidRDefault="00AD2778" w:rsidP="00190169">
            <w:pPr>
              <w:spacing w:after="0"/>
            </w:pPr>
            <w:r>
              <w:lastRenderedPageBreak/>
              <w:t>OPPR 2019.</w:t>
            </w:r>
          </w:p>
        </w:tc>
        <w:tc>
          <w:tcPr>
            <w:tcW w:w="1846" w:type="dxa"/>
            <w:tcBorders>
              <w:bottom w:val="single" w:sz="4" w:space="0" w:color="D2232A" w:themeColor="accent1"/>
            </w:tcBorders>
          </w:tcPr>
          <w:p w14:paraId="408E7C6B" w14:textId="3B80B163" w:rsidR="00AD2778" w:rsidRDefault="00AD2778" w:rsidP="00190169">
            <w:pPr>
              <w:spacing w:after="0"/>
              <w:jc w:val="right"/>
            </w:pPr>
            <w:r>
              <w:t xml:space="preserve">103,7 </w:t>
            </w:r>
            <w:r w:rsidRPr="00D02A62">
              <w:t>mil. kn</w:t>
            </w:r>
          </w:p>
        </w:tc>
        <w:tc>
          <w:tcPr>
            <w:tcW w:w="1846" w:type="dxa"/>
            <w:tcBorders>
              <w:bottom w:val="single" w:sz="4" w:space="0" w:color="D2232A" w:themeColor="accent1"/>
            </w:tcBorders>
          </w:tcPr>
          <w:p w14:paraId="3547E6FF" w14:textId="18C7E6A1" w:rsidR="00AD2778" w:rsidRDefault="00AD2778" w:rsidP="00190169">
            <w:pPr>
              <w:spacing w:after="0"/>
              <w:jc w:val="right"/>
            </w:pPr>
            <w:r>
              <w:t>0</w:t>
            </w:r>
          </w:p>
        </w:tc>
        <w:tc>
          <w:tcPr>
            <w:tcW w:w="1846" w:type="dxa"/>
            <w:tcBorders>
              <w:bottom w:val="single" w:sz="4" w:space="0" w:color="D2232A" w:themeColor="accent1"/>
            </w:tcBorders>
          </w:tcPr>
          <w:p w14:paraId="22758693" w14:textId="47E77658" w:rsidR="00AD2778" w:rsidRDefault="00AD2778" w:rsidP="00190169">
            <w:pPr>
              <w:spacing w:after="0"/>
              <w:jc w:val="right"/>
            </w:pPr>
            <w:r>
              <w:t>0</w:t>
            </w:r>
          </w:p>
        </w:tc>
        <w:tc>
          <w:tcPr>
            <w:tcW w:w="1847" w:type="dxa"/>
            <w:tcBorders>
              <w:bottom w:val="single" w:sz="4" w:space="0" w:color="D2232A" w:themeColor="accent1"/>
            </w:tcBorders>
          </w:tcPr>
          <w:p w14:paraId="11B88940" w14:textId="15B3EF3B" w:rsidR="00AD2778" w:rsidRDefault="00AD2778" w:rsidP="00190169">
            <w:pPr>
              <w:spacing w:after="0"/>
              <w:jc w:val="right"/>
            </w:pPr>
            <w:r>
              <w:t>-</w:t>
            </w:r>
          </w:p>
        </w:tc>
      </w:tr>
    </w:tbl>
    <w:p w14:paraId="30C84ED1" w14:textId="34A6A77F" w:rsidR="008878A0" w:rsidRPr="00840136" w:rsidRDefault="008878A0" w:rsidP="00855D8D">
      <w:pPr>
        <w:pStyle w:val="Izvor"/>
        <w:rPr>
          <w:i/>
          <w:color w:val="ABABAB" w:themeColor="text1" w:themeTint="A6"/>
          <w:sz w:val="16"/>
          <w:szCs w:val="16"/>
        </w:rPr>
      </w:pPr>
      <w:r w:rsidRPr="00840136">
        <w:rPr>
          <w:i/>
          <w:color w:val="ABABAB" w:themeColor="text1" w:themeTint="A6"/>
          <w:sz w:val="16"/>
          <w:szCs w:val="16"/>
        </w:rPr>
        <w:t>Izvor:</w:t>
      </w:r>
      <w:r w:rsidR="003B53EC" w:rsidRPr="00840136">
        <w:rPr>
          <w:i/>
          <w:color w:val="ABABAB" w:themeColor="text1" w:themeTint="A6"/>
          <w:sz w:val="16"/>
          <w:szCs w:val="16"/>
        </w:rPr>
        <w:t xml:space="preserve"> Ministarstvo regionalnoga razvoja i fondova Europske unije, Iskorištenost EU fondova po županijama, </w:t>
      </w:r>
      <w:r w:rsidR="00DD53A2" w:rsidRPr="00840136">
        <w:rPr>
          <w:i/>
          <w:color w:val="ABABAB" w:themeColor="text1" w:themeTint="A6"/>
          <w:sz w:val="16"/>
          <w:szCs w:val="16"/>
        </w:rPr>
        <w:t>https://razvoj.gov.hr/UserDocsImages/Vijesti%20-%20dokumenti/Iskorištenost%20EU%20fondova%20po%20županijama.pdf</w:t>
      </w:r>
    </w:p>
    <w:p w14:paraId="03A4643C" w14:textId="77777777" w:rsidR="00E17064" w:rsidRDefault="00E17064" w:rsidP="00941871"/>
    <w:p w14:paraId="0F846260" w14:textId="2D8C8A5A" w:rsidR="008878A0" w:rsidRDefault="00E17064" w:rsidP="00941871">
      <w:r>
        <w:t>Gledano kumulativno prema iznosu ugovorenih sredstava po stanovniku, u 2017., 2018. i 2019. godini za 4 operativna programa (OP Konkurentnost i kohezija, OP Učinkoviti ljudski potencijali,  Program ruralnog razvoja i Operativni program za pomorstvo i ribarstvo), KZŽ je ugovorila 1.87 mlrd. kuna odnosno 14,1 tis kn po stanovniku.</w:t>
      </w:r>
    </w:p>
    <w:p w14:paraId="00A8D395" w14:textId="25E1E08E" w:rsidR="008878A0" w:rsidRDefault="00BE1C9D" w:rsidP="00941871">
      <w:r>
        <w:t>P</w:t>
      </w:r>
      <w:r w:rsidR="008878A0">
        <w:t xml:space="preserve">rema pojedinom operativnom programu, </w:t>
      </w:r>
      <w:r w:rsidR="0073392B">
        <w:t xml:space="preserve">a </w:t>
      </w:r>
      <w:r>
        <w:t xml:space="preserve">gledano na rang </w:t>
      </w:r>
      <w:r w:rsidR="008878A0">
        <w:t>u odnosu na druge županije, Krapinsko-zagorska županija najbolje se plasirala kada je u pitanju korištenje sredstava iz Programa rural</w:t>
      </w:r>
      <w:r>
        <w:t xml:space="preserve">nog razvoja. Također, ukoliko se uzmu u obzir ukupno ugovoreni financijski iznosi u protekle tri godine, također je najviše ugovoreno sredstava iz Programa ruralnog razvoja. Slijedi iznos ugovoren iz Operativnog programa konkurentnost i kohezija, zatim iz  Operativnog programa učinkoviti ljudski potencijali i očekivano najmanje iz Operativnog programa za pomorstvo i ribarstvo. </w:t>
      </w:r>
    </w:p>
    <w:p w14:paraId="6570780F" w14:textId="77777777" w:rsidR="00C74DE2" w:rsidRDefault="00C74DE2" w:rsidP="00941871"/>
    <w:p w14:paraId="67C99F78" w14:textId="395F1894" w:rsidR="008878A0" w:rsidRDefault="008878A0" w:rsidP="003E3F3C">
      <w:pPr>
        <w:pStyle w:val="Opisslike"/>
      </w:pPr>
      <w:r>
        <w:t>Grafikon</w:t>
      </w:r>
      <w:r w:rsidR="00840136">
        <w:rPr>
          <w:noProof/>
        </w:rPr>
        <w:t xml:space="preserve"> </w:t>
      </w:r>
      <w:r w:rsidR="00C71B24">
        <w:rPr>
          <w:noProof/>
        </w:rPr>
        <w:t>71</w:t>
      </w:r>
      <w:r w:rsidR="003B53EC">
        <w:rPr>
          <w:noProof/>
        </w:rPr>
        <w:t>.</w:t>
      </w:r>
      <w:r>
        <w:t xml:space="preserve"> Iskorištenost EU fondova na razini KZŽ – ukupno ugovoreno, veljača 2019.</w:t>
      </w:r>
    </w:p>
    <w:p w14:paraId="3CF79C1B" w14:textId="15E50702" w:rsidR="008878A0" w:rsidRDefault="00DD53A2" w:rsidP="00941871">
      <w:r>
        <w:rPr>
          <w:noProof/>
          <w:lang w:eastAsia="hr-HR"/>
        </w:rPr>
        <w:drawing>
          <wp:inline distT="0" distB="0" distL="0" distR="0" wp14:anchorId="0448B6BF" wp14:editId="343AF3A7">
            <wp:extent cx="5715000" cy="2092147"/>
            <wp:effectExtent l="0" t="0" r="0" b="3810"/>
            <wp:docPr id="272" name="Chart 2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0D71BACF" w14:textId="77777777" w:rsidR="003B53EC" w:rsidRPr="00840136" w:rsidRDefault="003B53EC" w:rsidP="003C2276">
      <w:pPr>
        <w:pStyle w:val="Izvor"/>
        <w:rPr>
          <w:i/>
          <w:color w:val="ABABAB" w:themeColor="text1" w:themeTint="A6"/>
          <w:sz w:val="16"/>
          <w:szCs w:val="16"/>
        </w:rPr>
      </w:pPr>
      <w:r w:rsidRPr="00840136">
        <w:rPr>
          <w:i/>
          <w:color w:val="ABABAB" w:themeColor="text1" w:themeTint="A6"/>
          <w:sz w:val="16"/>
          <w:szCs w:val="16"/>
        </w:rPr>
        <w:t>Izvor: Ministarstvo regionalnoga razvoja i fondova Europske unije, Iskorištenost EU fondova po županijama, https://razvoj.gov.hr/UserDocsImages/Vijesti%20-%20dokumenti/Iskorištenost%20EU%20fondova%20po%20županijama.pdf</w:t>
      </w:r>
    </w:p>
    <w:p w14:paraId="1B31B6C2" w14:textId="77777777" w:rsidR="00D02A62" w:rsidRDefault="00D02A62" w:rsidP="00941871">
      <w:pPr>
        <w:rPr>
          <w:color w:val="9D1A1F" w:themeColor="accent1" w:themeShade="BF"/>
        </w:rPr>
      </w:pPr>
    </w:p>
    <w:p w14:paraId="02C83FE3" w14:textId="45103E45" w:rsidR="008878A0" w:rsidRDefault="008878A0" w:rsidP="00941871">
      <w:pPr>
        <w:rPr>
          <w:color w:val="9D1A1F" w:themeColor="accent1" w:themeShade="BF"/>
          <w:sz w:val="22"/>
          <w:szCs w:val="22"/>
        </w:rPr>
      </w:pPr>
      <w:r>
        <w:rPr>
          <w:color w:val="9D1A1F" w:themeColor="accent1" w:themeShade="BF"/>
        </w:rPr>
        <w:t>Pomoći Europske unije županijama, gradovima i općinama</w:t>
      </w:r>
    </w:p>
    <w:p w14:paraId="65EFFE88" w14:textId="29E596AA" w:rsidR="00A14C38" w:rsidRPr="00A14C38" w:rsidRDefault="008878A0" w:rsidP="00F35CEA">
      <w:pPr>
        <w:spacing w:after="0" w:line="240" w:lineRule="auto"/>
        <w:rPr>
          <w:rFonts w:ascii="Times New Roman" w:eastAsia="Times New Roman" w:hAnsi="Times New Roman" w:cs="Times New Roman"/>
          <w:color w:val="auto"/>
          <w:sz w:val="24"/>
          <w:szCs w:val="24"/>
          <w:lang w:eastAsia="hr-HR"/>
        </w:rPr>
      </w:pPr>
      <w:r>
        <w:t>Podaci Instituta za javne financije u izvješću pod nazivom Pomoći Europske unije županijama, gradovima i općinama 2015. i 2016.</w:t>
      </w:r>
      <w:r>
        <w:rPr>
          <w:rStyle w:val="Referencafusnote"/>
        </w:rPr>
        <w:footnoteReference w:id="94"/>
      </w:r>
      <w:r>
        <w:t xml:space="preserve"> odnose se na indirektne i direktne pomoći te tekuće i kapitalne pomoći iz ESI fondova</w:t>
      </w:r>
      <w:r>
        <w:rPr>
          <w:rStyle w:val="Referencafusnote"/>
        </w:rPr>
        <w:footnoteReference w:id="95"/>
      </w:r>
      <w:r>
        <w:t xml:space="preserve">. U 2015. i 2016. sve županije, preko polovice gradova i nešto manje od četvrtine općina koristili su ukupno 958 mil. kn EU pomoći. U 2016. iznos EU pomoći koji su koristile JLRS se udvostručio u odnosu na 2015., s oko 311 na oko 648 mil. kn. Najviše pomoći primile su županije (401 mil. </w:t>
      </w:r>
      <w:r w:rsidR="00A14C38" w:rsidRPr="00A14C38">
        <w:rPr>
          <w:rFonts w:eastAsia="Times New Roman" w:cs="Times New Roman"/>
        </w:rPr>
        <w:t>k</w:t>
      </w:r>
      <w:r w:rsidR="00F35CEA">
        <w:rPr>
          <w:rFonts w:eastAsia="Times New Roman" w:cs="Times New Roman"/>
        </w:rPr>
        <w:t>n</w:t>
      </w:r>
      <w:r w:rsidR="00A14C38" w:rsidRPr="00A14C38">
        <w:rPr>
          <w:rFonts w:eastAsia="Times New Roman" w:cs="Times New Roman"/>
        </w:rPr>
        <w:t xml:space="preserve">), </w:t>
      </w:r>
      <w:r w:rsidR="00A14C38" w:rsidRPr="00A14C38">
        <w:rPr>
          <w:rFonts w:ascii="Times New Roman" w:eastAsia="Times New Roman" w:hAnsi="Times New Roman" w:cs="Times New Roman"/>
          <w:color w:val="auto"/>
          <w:sz w:val="24"/>
          <w:szCs w:val="24"/>
          <w:lang w:eastAsia="hr-HR"/>
        </w:rPr>
        <w:t xml:space="preserve"> </w:t>
      </w:r>
    </w:p>
    <w:p w14:paraId="574790FA" w14:textId="43049ADF" w:rsidR="008878A0" w:rsidRDefault="008878A0" w:rsidP="00F35CEA">
      <w:pPr>
        <w:rPr>
          <w:color w:val="auto"/>
        </w:rPr>
      </w:pPr>
      <w:r>
        <w:t>što pokazuje porast apsorpcijskih kapaciteta županija u odnosu na gradove koji su u prethodnom razdoblju (2011.-2014.) privukli najviše sredstava. Krapinsko-zagorska županija u 2015. je primila 1,7 mil. kuna EU pomoći ili 13,1 kn po stanovniku, dok je u 2016. primila 2,7 mil. kn ili 21,3 kune po stanovniku. Gradovi na području KZŽ nisu primili EU pomoći, dok su od općina u KZŽ EU pomoći primili Kumrovec, Veliko Trgovišće i Budinščina.</w:t>
      </w:r>
    </w:p>
    <w:p w14:paraId="61EC6380" w14:textId="77777777" w:rsidR="005B4BA7" w:rsidRDefault="005B4BA7" w:rsidP="00941871">
      <w:pPr>
        <w:rPr>
          <w:rFonts w:cstheme="minorHAnsi"/>
          <w:b/>
          <w:color w:val="691115" w:themeColor="accent1" w:themeShade="80"/>
          <w:sz w:val="24"/>
          <w:szCs w:val="24"/>
        </w:rPr>
      </w:pPr>
    </w:p>
    <w:p w14:paraId="421D67EE" w14:textId="25AAF4FA" w:rsidR="008878A0" w:rsidRDefault="008878A0" w:rsidP="0052192B">
      <w:pPr>
        <w:pStyle w:val="Naslov2"/>
        <w:rPr>
          <w:b/>
        </w:rPr>
      </w:pPr>
      <w:bookmarkStart w:id="290" w:name="_Toc85181392"/>
      <w:r>
        <w:t>1</w:t>
      </w:r>
      <w:r w:rsidR="001433BD">
        <w:t>4</w:t>
      </w:r>
      <w:r>
        <w:t>.</w:t>
      </w:r>
      <w:r w:rsidR="001433BD">
        <w:t>3</w:t>
      </w:r>
      <w:r>
        <w:t>. 1. Analiza projekata Krapinsko-zagorske županije</w:t>
      </w:r>
      <w:bookmarkEnd w:id="290"/>
    </w:p>
    <w:p w14:paraId="06719D41" w14:textId="77777777" w:rsidR="00D02A62" w:rsidRDefault="00D02A62" w:rsidP="00941871">
      <w:pPr>
        <w:rPr>
          <w:rFonts w:asciiTheme="minorHAnsi" w:hAnsiTheme="minorHAnsi"/>
          <w:color w:val="auto"/>
          <w:sz w:val="22"/>
          <w:szCs w:val="22"/>
        </w:rPr>
      </w:pPr>
    </w:p>
    <w:p w14:paraId="05262159" w14:textId="77777777" w:rsidR="00D42F71" w:rsidRDefault="00D42F71" w:rsidP="00DD53A2">
      <w:r>
        <w:t xml:space="preserve">Temeljem </w:t>
      </w:r>
      <w:r w:rsidR="005B4BA7">
        <w:t xml:space="preserve">podataka </w:t>
      </w:r>
      <w:r>
        <w:t xml:space="preserve">prikupljenih </w:t>
      </w:r>
      <w:r w:rsidR="005B4BA7">
        <w:t xml:space="preserve">od pojedinih nadležnih tijela u nastavku je dan detaljni prikaz i kratka analiza ugovorenih projekata s područja Krapinsko-zagorske županije </w:t>
      </w:r>
      <w:r>
        <w:t xml:space="preserve">ukupno te </w:t>
      </w:r>
      <w:r w:rsidR="005B4BA7">
        <w:t xml:space="preserve">prema pojedinim operativnim programima. Potrebno je naglasiti da </w:t>
      </w:r>
      <w:r w:rsidR="005B4BA7">
        <w:lastRenderedPageBreak/>
        <w:t>navedeno ne znači da su to ujedno i sveukupno ugovoreni projekti s područja Krapinsko-zagorske županije (izuzeta</w:t>
      </w:r>
      <w:r>
        <w:t xml:space="preserve">k je Program ruralnog razvoja), </w:t>
      </w:r>
      <w:r w:rsidR="005B4BA7">
        <w:t>obzirom da sva nadležna tijela nisu dostavila podatke</w:t>
      </w:r>
      <w:r>
        <w:t xml:space="preserve">. </w:t>
      </w:r>
    </w:p>
    <w:p w14:paraId="45606E2E" w14:textId="72524694" w:rsidR="00D42F71" w:rsidRDefault="00D42F71" w:rsidP="00F35CEA">
      <w:pPr>
        <w:rPr>
          <w:rFonts w:ascii="Arial Narrow" w:eastAsia="Arial Narrow" w:hAnsi="Arial Narrow" w:cs="Arial Narrow"/>
          <w:sz w:val="22"/>
          <w:szCs w:val="22"/>
        </w:rPr>
      </w:pPr>
      <w:r>
        <w:t xml:space="preserve">U </w:t>
      </w:r>
      <w:r w:rsidR="005B4BA7" w:rsidRPr="005B4BA7">
        <w:t xml:space="preserve">tablici </w:t>
      </w:r>
      <w:r>
        <w:t>u nastavku</w:t>
      </w:r>
      <w:r w:rsidR="005C083D">
        <w:t>, za razdoblje od 2007. do 2019. godine</w:t>
      </w:r>
      <w:r w:rsidR="00167ED8">
        <w:t>,</w:t>
      </w:r>
      <w:r>
        <w:t xml:space="preserve"> </w:t>
      </w:r>
      <w:r w:rsidR="005B4BA7" w:rsidRPr="005B4BA7">
        <w:t>iskazana je vrijednost provedenih projekata i projekata u provedbi koji su na području Krapinsko-zagorske županije sufinancirani iz različitih programa Europske unije. Riječ je o evidenciji podataka nacionalnih</w:t>
      </w:r>
      <w:r w:rsidR="005C083D">
        <w:t xml:space="preserve"> tijela</w:t>
      </w:r>
      <w:r w:rsidR="005B4BA7" w:rsidRPr="005B4BA7">
        <w:t xml:space="preserve"> do</w:t>
      </w:r>
      <w:r w:rsidR="005C083D">
        <w:t>stavljenih Zagorskoj razvojnoj</w:t>
      </w:r>
      <w:r w:rsidR="005B4BA7" w:rsidRPr="005B4BA7">
        <w:t xml:space="preserve"> agenci</w:t>
      </w:r>
      <w:r w:rsidR="005C083D">
        <w:t>ji zaključno</w:t>
      </w:r>
      <w:r>
        <w:t xml:space="preserve"> s prosincem 2019</w:t>
      </w:r>
      <w:r w:rsidR="005C083D">
        <w:t xml:space="preserve">. godine. </w:t>
      </w:r>
      <w:r w:rsidR="005B4BA7" w:rsidRPr="005B4BA7">
        <w:t xml:space="preserve">Vrijednost projekta prikazana je kao ukupna vrijednost </w:t>
      </w:r>
      <w:r w:rsidR="005C083D">
        <w:t>projekta</w:t>
      </w:r>
      <w:r>
        <w:t xml:space="preserve"> i </w:t>
      </w:r>
      <w:r w:rsidR="005B4BA7" w:rsidRPr="005B4BA7">
        <w:t>svih projektnih aktivnosti</w:t>
      </w:r>
      <w:r>
        <w:t xml:space="preserve"> neovisno o tome je li nositelj projekta s područja KZŽ ili projektni partner</w:t>
      </w:r>
      <w:r w:rsidR="005B4BA7">
        <w:rPr>
          <w:rFonts w:ascii="Arial Narrow" w:eastAsia="Arial Narrow" w:hAnsi="Arial Narrow" w:cs="Arial Narrow"/>
          <w:sz w:val="22"/>
          <w:szCs w:val="22"/>
        </w:rPr>
        <w:t>.</w:t>
      </w:r>
    </w:p>
    <w:p w14:paraId="596A8650" w14:textId="77777777" w:rsidR="00F35CEA" w:rsidRPr="00F35CEA" w:rsidRDefault="00F35CEA" w:rsidP="00F35CEA">
      <w:pPr>
        <w:rPr>
          <w:rFonts w:ascii="Arial Narrow" w:eastAsia="Arial Narrow" w:hAnsi="Arial Narrow" w:cs="Arial Narrow"/>
          <w:sz w:val="22"/>
          <w:szCs w:val="22"/>
        </w:rPr>
      </w:pPr>
    </w:p>
    <w:p w14:paraId="6978A3D3" w14:textId="51E8655D" w:rsidR="003B53EC" w:rsidRDefault="003B53EC" w:rsidP="003E3F3C">
      <w:pPr>
        <w:pStyle w:val="Opisslike"/>
      </w:pPr>
      <w:r>
        <w:t>Tablica</w:t>
      </w:r>
      <w:r w:rsidR="00840136">
        <w:t xml:space="preserve"> 1</w:t>
      </w:r>
      <w:r w:rsidR="00934D1C">
        <w:t>99</w:t>
      </w:r>
      <w:r>
        <w:t xml:space="preserve">. </w:t>
      </w:r>
      <w:r w:rsidRPr="00991E63">
        <w:t>Projekti sufinancirani sredstvima EU provedeni i u provedbi na području KZŽ 2007. - 2019.</w:t>
      </w:r>
    </w:p>
    <w:tbl>
      <w:tblPr>
        <w:tblStyle w:val="Style5"/>
        <w:tblW w:w="9214" w:type="dxa"/>
        <w:tblLook w:val="04A0" w:firstRow="1" w:lastRow="0" w:firstColumn="1" w:lastColumn="0" w:noHBand="0" w:noVBand="1"/>
      </w:tblPr>
      <w:tblGrid>
        <w:gridCol w:w="4000"/>
        <w:gridCol w:w="1420"/>
        <w:gridCol w:w="3794"/>
      </w:tblGrid>
      <w:tr w:rsidR="00D42F71" w:rsidRPr="00D42F71" w14:paraId="65D44FE6" w14:textId="77777777" w:rsidTr="00D42F71">
        <w:trPr>
          <w:cnfStyle w:val="100000000000" w:firstRow="1" w:lastRow="0" w:firstColumn="0" w:lastColumn="0" w:oddVBand="0" w:evenVBand="0" w:oddHBand="0" w:evenHBand="0" w:firstRowFirstColumn="0" w:firstRowLastColumn="0" w:lastRowFirstColumn="0" w:lastRowLastColumn="0"/>
          <w:trHeight w:val="300"/>
        </w:trPr>
        <w:tc>
          <w:tcPr>
            <w:tcW w:w="4000" w:type="dxa"/>
            <w:noWrap/>
            <w:hideMark/>
          </w:tcPr>
          <w:p w14:paraId="32886C2B" w14:textId="77777777" w:rsidR="00D42F71" w:rsidRPr="00D42F71" w:rsidRDefault="00D42F71" w:rsidP="00D42F71">
            <w:pPr>
              <w:jc w:val="left"/>
              <w:rPr>
                <w:rFonts w:eastAsia="Times New Roman" w:cs="Calibri"/>
                <w:color w:val="FFFFFF"/>
                <w:szCs w:val="18"/>
                <w:lang w:eastAsia="hr-HR"/>
              </w:rPr>
            </w:pPr>
            <w:r w:rsidRPr="00D42F71">
              <w:rPr>
                <w:rFonts w:eastAsia="Times New Roman" w:cs="Calibri"/>
                <w:color w:val="FFFFFF"/>
                <w:szCs w:val="18"/>
                <w:lang w:eastAsia="hr-HR"/>
              </w:rPr>
              <w:t>Naziv programa</w:t>
            </w:r>
          </w:p>
        </w:tc>
        <w:tc>
          <w:tcPr>
            <w:tcW w:w="1420" w:type="dxa"/>
            <w:noWrap/>
            <w:hideMark/>
          </w:tcPr>
          <w:p w14:paraId="36AA71F5" w14:textId="77777777" w:rsidR="00D42F71" w:rsidRPr="00D42F71" w:rsidRDefault="00D42F71" w:rsidP="00D42F71">
            <w:pPr>
              <w:jc w:val="left"/>
              <w:rPr>
                <w:rFonts w:eastAsia="Times New Roman" w:cs="Calibri"/>
                <w:color w:val="FFFFFF"/>
                <w:szCs w:val="18"/>
                <w:lang w:eastAsia="hr-HR"/>
              </w:rPr>
            </w:pPr>
            <w:r w:rsidRPr="00D42F71">
              <w:rPr>
                <w:rFonts w:eastAsia="Times New Roman" w:cs="Calibri"/>
                <w:color w:val="FFFFFF"/>
                <w:szCs w:val="18"/>
                <w:lang w:eastAsia="hr-HR"/>
              </w:rPr>
              <w:t>Broj projekata</w:t>
            </w:r>
          </w:p>
        </w:tc>
        <w:tc>
          <w:tcPr>
            <w:tcW w:w="3794" w:type="dxa"/>
            <w:noWrap/>
            <w:hideMark/>
          </w:tcPr>
          <w:p w14:paraId="43E290A8" w14:textId="77777777" w:rsidR="00D42F71" w:rsidRPr="00D42F71" w:rsidRDefault="00D42F71" w:rsidP="00D42F71">
            <w:pPr>
              <w:jc w:val="center"/>
              <w:rPr>
                <w:rFonts w:eastAsia="Times New Roman" w:cs="Calibri"/>
                <w:color w:val="FFFFFF"/>
                <w:szCs w:val="18"/>
                <w:lang w:eastAsia="hr-HR"/>
              </w:rPr>
            </w:pPr>
            <w:r w:rsidRPr="00D42F71">
              <w:rPr>
                <w:rFonts w:eastAsia="Times New Roman" w:cs="Calibri"/>
                <w:color w:val="FFFFFF"/>
                <w:szCs w:val="18"/>
                <w:lang w:eastAsia="hr-HR"/>
              </w:rPr>
              <w:t>Ukupna vrijednost (kn)</w:t>
            </w:r>
          </w:p>
        </w:tc>
      </w:tr>
      <w:tr w:rsidR="00D42F71" w:rsidRPr="00D42F71" w14:paraId="7C94B670" w14:textId="77777777" w:rsidTr="00D42F71">
        <w:trPr>
          <w:trHeight w:val="300"/>
        </w:trPr>
        <w:tc>
          <w:tcPr>
            <w:tcW w:w="4000" w:type="dxa"/>
            <w:noWrap/>
            <w:hideMark/>
          </w:tcPr>
          <w:p w14:paraId="1D0A26B7"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CEI KEP</w:t>
            </w:r>
          </w:p>
        </w:tc>
        <w:tc>
          <w:tcPr>
            <w:tcW w:w="1420" w:type="dxa"/>
            <w:noWrap/>
            <w:hideMark/>
          </w:tcPr>
          <w:p w14:paraId="297BED22"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w:t>
            </w:r>
          </w:p>
        </w:tc>
        <w:tc>
          <w:tcPr>
            <w:tcW w:w="3794" w:type="dxa"/>
            <w:noWrap/>
            <w:hideMark/>
          </w:tcPr>
          <w:p w14:paraId="1245031A"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206.111,45</w:t>
            </w:r>
          </w:p>
        </w:tc>
      </w:tr>
      <w:tr w:rsidR="00D42F71" w:rsidRPr="00D42F71" w14:paraId="6AF25D3B" w14:textId="77777777" w:rsidTr="00D42F71">
        <w:trPr>
          <w:trHeight w:val="300"/>
        </w:trPr>
        <w:tc>
          <w:tcPr>
            <w:tcW w:w="4000" w:type="dxa"/>
            <w:noWrap/>
            <w:hideMark/>
          </w:tcPr>
          <w:p w14:paraId="7027D727"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CIP</w:t>
            </w:r>
          </w:p>
        </w:tc>
        <w:tc>
          <w:tcPr>
            <w:tcW w:w="1420" w:type="dxa"/>
            <w:noWrap/>
            <w:hideMark/>
          </w:tcPr>
          <w:p w14:paraId="4375E5BC"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w:t>
            </w:r>
          </w:p>
        </w:tc>
        <w:tc>
          <w:tcPr>
            <w:tcW w:w="3794" w:type="dxa"/>
            <w:noWrap/>
            <w:hideMark/>
          </w:tcPr>
          <w:p w14:paraId="1CFB2CCC"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31.106.326,60</w:t>
            </w:r>
          </w:p>
        </w:tc>
      </w:tr>
      <w:tr w:rsidR="00D42F71" w:rsidRPr="00D42F71" w14:paraId="725EED27" w14:textId="77777777" w:rsidTr="00D42F71">
        <w:trPr>
          <w:trHeight w:val="300"/>
        </w:trPr>
        <w:tc>
          <w:tcPr>
            <w:tcW w:w="4000" w:type="dxa"/>
            <w:noWrap/>
            <w:hideMark/>
          </w:tcPr>
          <w:p w14:paraId="6EEF9971"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Cjeloživotno učenje</w:t>
            </w:r>
          </w:p>
        </w:tc>
        <w:tc>
          <w:tcPr>
            <w:tcW w:w="1420" w:type="dxa"/>
            <w:noWrap/>
            <w:hideMark/>
          </w:tcPr>
          <w:p w14:paraId="78DE6B60"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43</w:t>
            </w:r>
          </w:p>
        </w:tc>
        <w:tc>
          <w:tcPr>
            <w:tcW w:w="3794" w:type="dxa"/>
            <w:noWrap/>
            <w:hideMark/>
          </w:tcPr>
          <w:p w14:paraId="07CA2E4D"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3.656.239,14</w:t>
            </w:r>
          </w:p>
        </w:tc>
      </w:tr>
      <w:tr w:rsidR="00D42F71" w:rsidRPr="00D42F71" w14:paraId="53727D85" w14:textId="77777777" w:rsidTr="00D42F71">
        <w:trPr>
          <w:trHeight w:val="300"/>
        </w:trPr>
        <w:tc>
          <w:tcPr>
            <w:tcW w:w="4000" w:type="dxa"/>
            <w:noWrap/>
            <w:hideMark/>
          </w:tcPr>
          <w:p w14:paraId="3EBCDF50"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EIB</w:t>
            </w:r>
          </w:p>
        </w:tc>
        <w:tc>
          <w:tcPr>
            <w:tcW w:w="1420" w:type="dxa"/>
            <w:noWrap/>
            <w:hideMark/>
          </w:tcPr>
          <w:p w14:paraId="6ECFDA80"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40</w:t>
            </w:r>
          </w:p>
        </w:tc>
        <w:tc>
          <w:tcPr>
            <w:tcW w:w="3794" w:type="dxa"/>
            <w:noWrap/>
            <w:hideMark/>
          </w:tcPr>
          <w:p w14:paraId="36FE438E"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205.817.339,61</w:t>
            </w:r>
          </w:p>
        </w:tc>
      </w:tr>
      <w:tr w:rsidR="00D42F71" w:rsidRPr="00D42F71" w14:paraId="0E15AFC8" w14:textId="77777777" w:rsidTr="00D42F71">
        <w:trPr>
          <w:trHeight w:val="300"/>
        </w:trPr>
        <w:tc>
          <w:tcPr>
            <w:tcW w:w="4000" w:type="dxa"/>
            <w:noWrap/>
            <w:hideMark/>
          </w:tcPr>
          <w:p w14:paraId="6A463679"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Europa za građane</w:t>
            </w:r>
          </w:p>
        </w:tc>
        <w:tc>
          <w:tcPr>
            <w:tcW w:w="1420" w:type="dxa"/>
            <w:noWrap/>
            <w:hideMark/>
          </w:tcPr>
          <w:p w14:paraId="22A4B406"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w:t>
            </w:r>
          </w:p>
        </w:tc>
        <w:tc>
          <w:tcPr>
            <w:tcW w:w="3794" w:type="dxa"/>
            <w:noWrap/>
            <w:hideMark/>
          </w:tcPr>
          <w:p w14:paraId="239B0B85"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708.675,40</w:t>
            </w:r>
          </w:p>
        </w:tc>
      </w:tr>
      <w:tr w:rsidR="00D42F71" w:rsidRPr="00D42F71" w14:paraId="0839632D" w14:textId="77777777" w:rsidTr="00D42F71">
        <w:trPr>
          <w:trHeight w:val="300"/>
        </w:trPr>
        <w:tc>
          <w:tcPr>
            <w:tcW w:w="4000" w:type="dxa"/>
            <w:noWrap/>
            <w:hideMark/>
          </w:tcPr>
          <w:p w14:paraId="7105438D"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Interreg 3 B CADSES</w:t>
            </w:r>
          </w:p>
        </w:tc>
        <w:tc>
          <w:tcPr>
            <w:tcW w:w="1420" w:type="dxa"/>
            <w:noWrap/>
            <w:hideMark/>
          </w:tcPr>
          <w:p w14:paraId="71FD6564"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w:t>
            </w:r>
          </w:p>
        </w:tc>
        <w:tc>
          <w:tcPr>
            <w:tcW w:w="3794" w:type="dxa"/>
            <w:noWrap/>
            <w:hideMark/>
          </w:tcPr>
          <w:p w14:paraId="2127A032"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18.968.375,60</w:t>
            </w:r>
          </w:p>
        </w:tc>
      </w:tr>
      <w:tr w:rsidR="00D42F71" w:rsidRPr="00D42F71" w14:paraId="5C7DCDEF" w14:textId="77777777" w:rsidTr="00D42F71">
        <w:trPr>
          <w:trHeight w:val="300"/>
        </w:trPr>
        <w:tc>
          <w:tcPr>
            <w:tcW w:w="4000" w:type="dxa"/>
            <w:noWrap/>
            <w:hideMark/>
          </w:tcPr>
          <w:p w14:paraId="1C9E73FD"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PROGRESS</w:t>
            </w:r>
          </w:p>
        </w:tc>
        <w:tc>
          <w:tcPr>
            <w:tcW w:w="1420" w:type="dxa"/>
            <w:noWrap/>
            <w:hideMark/>
          </w:tcPr>
          <w:p w14:paraId="05D4850F"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3</w:t>
            </w:r>
          </w:p>
        </w:tc>
        <w:tc>
          <w:tcPr>
            <w:tcW w:w="3794" w:type="dxa"/>
            <w:noWrap/>
            <w:hideMark/>
          </w:tcPr>
          <w:p w14:paraId="45014340"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5.070.958,34</w:t>
            </w:r>
          </w:p>
        </w:tc>
      </w:tr>
      <w:tr w:rsidR="00D42F71" w:rsidRPr="00D42F71" w14:paraId="79E78941" w14:textId="77777777" w:rsidTr="00D42F71">
        <w:trPr>
          <w:trHeight w:val="300"/>
        </w:trPr>
        <w:tc>
          <w:tcPr>
            <w:tcW w:w="4000" w:type="dxa"/>
            <w:noWrap/>
            <w:hideMark/>
          </w:tcPr>
          <w:p w14:paraId="615221F0"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IPA 1</w:t>
            </w:r>
          </w:p>
        </w:tc>
        <w:tc>
          <w:tcPr>
            <w:tcW w:w="1420" w:type="dxa"/>
            <w:noWrap/>
            <w:hideMark/>
          </w:tcPr>
          <w:p w14:paraId="26ECE568"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w:t>
            </w:r>
          </w:p>
        </w:tc>
        <w:tc>
          <w:tcPr>
            <w:tcW w:w="3794" w:type="dxa"/>
            <w:noWrap/>
            <w:hideMark/>
          </w:tcPr>
          <w:p w14:paraId="69298BDD"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1.489.726,16</w:t>
            </w:r>
          </w:p>
        </w:tc>
      </w:tr>
      <w:tr w:rsidR="00D42F71" w:rsidRPr="00D42F71" w14:paraId="7F46071E" w14:textId="77777777" w:rsidTr="00D42F71">
        <w:trPr>
          <w:trHeight w:val="300"/>
        </w:trPr>
        <w:tc>
          <w:tcPr>
            <w:tcW w:w="4000" w:type="dxa"/>
            <w:noWrap/>
            <w:hideMark/>
          </w:tcPr>
          <w:p w14:paraId="42897900"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IPA 3C - Regionalna konkurentnost</w:t>
            </w:r>
          </w:p>
        </w:tc>
        <w:tc>
          <w:tcPr>
            <w:tcW w:w="1420" w:type="dxa"/>
            <w:noWrap/>
            <w:hideMark/>
          </w:tcPr>
          <w:p w14:paraId="2EF3CE8A"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10</w:t>
            </w:r>
          </w:p>
        </w:tc>
        <w:tc>
          <w:tcPr>
            <w:tcW w:w="3794" w:type="dxa"/>
            <w:noWrap/>
            <w:hideMark/>
          </w:tcPr>
          <w:p w14:paraId="5A47604B"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45.118.686,93</w:t>
            </w:r>
          </w:p>
        </w:tc>
      </w:tr>
      <w:tr w:rsidR="00D42F71" w:rsidRPr="00D42F71" w14:paraId="3710EAA0" w14:textId="77777777" w:rsidTr="00D42F71">
        <w:trPr>
          <w:trHeight w:val="300"/>
        </w:trPr>
        <w:tc>
          <w:tcPr>
            <w:tcW w:w="4000" w:type="dxa"/>
            <w:noWrap/>
            <w:hideMark/>
          </w:tcPr>
          <w:p w14:paraId="3C8BFCFD"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IPA 4 - Razvoj ljudskih potencijala</w:t>
            </w:r>
          </w:p>
        </w:tc>
        <w:tc>
          <w:tcPr>
            <w:tcW w:w="1420" w:type="dxa"/>
            <w:noWrap/>
            <w:hideMark/>
          </w:tcPr>
          <w:p w14:paraId="61754FBF"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55</w:t>
            </w:r>
          </w:p>
        </w:tc>
        <w:tc>
          <w:tcPr>
            <w:tcW w:w="3794" w:type="dxa"/>
            <w:noWrap/>
            <w:hideMark/>
          </w:tcPr>
          <w:p w14:paraId="6C814A6B"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155.177.942,64</w:t>
            </w:r>
          </w:p>
        </w:tc>
      </w:tr>
      <w:tr w:rsidR="00D42F71" w:rsidRPr="00D42F71" w14:paraId="73202232" w14:textId="77777777" w:rsidTr="00D42F71">
        <w:trPr>
          <w:trHeight w:val="300"/>
        </w:trPr>
        <w:tc>
          <w:tcPr>
            <w:tcW w:w="4000" w:type="dxa"/>
            <w:noWrap/>
            <w:hideMark/>
          </w:tcPr>
          <w:p w14:paraId="1F05CA6D"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IPARD</w:t>
            </w:r>
          </w:p>
        </w:tc>
        <w:tc>
          <w:tcPr>
            <w:tcW w:w="1420" w:type="dxa"/>
            <w:noWrap/>
            <w:hideMark/>
          </w:tcPr>
          <w:p w14:paraId="3C338A52"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12</w:t>
            </w:r>
          </w:p>
        </w:tc>
        <w:tc>
          <w:tcPr>
            <w:tcW w:w="3794" w:type="dxa"/>
            <w:noWrap/>
            <w:hideMark/>
          </w:tcPr>
          <w:p w14:paraId="204E33A6"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43.334.556,37</w:t>
            </w:r>
          </w:p>
        </w:tc>
      </w:tr>
      <w:tr w:rsidR="00D42F71" w:rsidRPr="00D42F71" w14:paraId="03CA5768" w14:textId="77777777" w:rsidTr="00D42F71">
        <w:trPr>
          <w:trHeight w:val="300"/>
        </w:trPr>
        <w:tc>
          <w:tcPr>
            <w:tcW w:w="4000" w:type="dxa"/>
            <w:noWrap/>
            <w:hideMark/>
          </w:tcPr>
          <w:p w14:paraId="32CCCF87"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Mediteran 2007.-2013.</w:t>
            </w:r>
          </w:p>
        </w:tc>
        <w:tc>
          <w:tcPr>
            <w:tcW w:w="1420" w:type="dxa"/>
            <w:noWrap/>
            <w:hideMark/>
          </w:tcPr>
          <w:p w14:paraId="76422F27"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w:t>
            </w:r>
          </w:p>
        </w:tc>
        <w:tc>
          <w:tcPr>
            <w:tcW w:w="3794" w:type="dxa"/>
            <w:noWrap/>
            <w:hideMark/>
          </w:tcPr>
          <w:p w14:paraId="6417E573"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6.382.867,50</w:t>
            </w:r>
          </w:p>
        </w:tc>
      </w:tr>
      <w:tr w:rsidR="00D42F71" w:rsidRPr="00D42F71" w14:paraId="5A5DFA58" w14:textId="77777777" w:rsidTr="00D42F71">
        <w:trPr>
          <w:trHeight w:val="300"/>
        </w:trPr>
        <w:tc>
          <w:tcPr>
            <w:tcW w:w="4000" w:type="dxa"/>
            <w:noWrap/>
            <w:hideMark/>
          </w:tcPr>
          <w:p w14:paraId="0487D01B"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Okoliš</w:t>
            </w:r>
          </w:p>
        </w:tc>
        <w:tc>
          <w:tcPr>
            <w:tcW w:w="1420" w:type="dxa"/>
            <w:noWrap/>
            <w:hideMark/>
          </w:tcPr>
          <w:p w14:paraId="69474C6F"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w:t>
            </w:r>
          </w:p>
        </w:tc>
        <w:tc>
          <w:tcPr>
            <w:tcW w:w="3794" w:type="dxa"/>
            <w:noWrap/>
            <w:hideMark/>
          </w:tcPr>
          <w:p w14:paraId="6F4C3A1A"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41.572.743,55</w:t>
            </w:r>
          </w:p>
        </w:tc>
      </w:tr>
      <w:tr w:rsidR="00D42F71" w:rsidRPr="00D42F71" w14:paraId="7F59E0B4" w14:textId="77777777" w:rsidTr="00D42F71">
        <w:trPr>
          <w:trHeight w:val="300"/>
        </w:trPr>
        <w:tc>
          <w:tcPr>
            <w:tcW w:w="4000" w:type="dxa"/>
            <w:noWrap/>
            <w:hideMark/>
          </w:tcPr>
          <w:p w14:paraId="6259E865"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Phare 2006</w:t>
            </w:r>
          </w:p>
        </w:tc>
        <w:tc>
          <w:tcPr>
            <w:tcW w:w="1420" w:type="dxa"/>
            <w:noWrap/>
            <w:hideMark/>
          </w:tcPr>
          <w:p w14:paraId="2E355025"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w:t>
            </w:r>
          </w:p>
        </w:tc>
        <w:tc>
          <w:tcPr>
            <w:tcW w:w="3794" w:type="dxa"/>
            <w:noWrap/>
            <w:hideMark/>
          </w:tcPr>
          <w:p w14:paraId="4E507308"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688.326,19</w:t>
            </w:r>
          </w:p>
        </w:tc>
      </w:tr>
      <w:tr w:rsidR="00D42F71" w:rsidRPr="00D42F71" w14:paraId="6533FB5B" w14:textId="77777777" w:rsidTr="00D42F71">
        <w:trPr>
          <w:trHeight w:val="300"/>
        </w:trPr>
        <w:tc>
          <w:tcPr>
            <w:tcW w:w="4000" w:type="dxa"/>
            <w:noWrap/>
            <w:hideMark/>
          </w:tcPr>
          <w:p w14:paraId="360E61B0"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Promet</w:t>
            </w:r>
          </w:p>
        </w:tc>
        <w:tc>
          <w:tcPr>
            <w:tcW w:w="1420" w:type="dxa"/>
            <w:noWrap/>
            <w:hideMark/>
          </w:tcPr>
          <w:p w14:paraId="60C65FFF"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5</w:t>
            </w:r>
          </w:p>
        </w:tc>
        <w:tc>
          <w:tcPr>
            <w:tcW w:w="3794" w:type="dxa"/>
            <w:noWrap/>
            <w:hideMark/>
          </w:tcPr>
          <w:p w14:paraId="355DA948"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22.216.800,00</w:t>
            </w:r>
          </w:p>
        </w:tc>
      </w:tr>
      <w:tr w:rsidR="00D42F71" w:rsidRPr="00D42F71" w14:paraId="007522BB" w14:textId="77777777" w:rsidTr="00D42F71">
        <w:trPr>
          <w:trHeight w:val="300"/>
        </w:trPr>
        <w:tc>
          <w:tcPr>
            <w:tcW w:w="4000" w:type="dxa"/>
            <w:noWrap/>
            <w:hideMark/>
          </w:tcPr>
          <w:p w14:paraId="163EC7D9"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Slovenija - Hrvatska 2007. -2013.</w:t>
            </w:r>
          </w:p>
        </w:tc>
        <w:tc>
          <w:tcPr>
            <w:tcW w:w="1420" w:type="dxa"/>
            <w:noWrap/>
            <w:hideMark/>
          </w:tcPr>
          <w:p w14:paraId="018597FE"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27</w:t>
            </w:r>
          </w:p>
        </w:tc>
        <w:tc>
          <w:tcPr>
            <w:tcW w:w="3794" w:type="dxa"/>
            <w:noWrap/>
            <w:hideMark/>
          </w:tcPr>
          <w:p w14:paraId="7D249BAC"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72.824.913,33</w:t>
            </w:r>
          </w:p>
        </w:tc>
      </w:tr>
      <w:tr w:rsidR="00D42F71" w:rsidRPr="00D42F71" w14:paraId="2BE50135" w14:textId="77777777" w:rsidTr="00D42F71">
        <w:trPr>
          <w:trHeight w:val="300"/>
        </w:trPr>
        <w:tc>
          <w:tcPr>
            <w:tcW w:w="4000" w:type="dxa"/>
            <w:noWrap/>
            <w:hideMark/>
          </w:tcPr>
          <w:p w14:paraId="28C207B9"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Youth in Action</w:t>
            </w:r>
          </w:p>
        </w:tc>
        <w:tc>
          <w:tcPr>
            <w:tcW w:w="1420" w:type="dxa"/>
            <w:noWrap/>
            <w:hideMark/>
          </w:tcPr>
          <w:p w14:paraId="36AF08FE"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3</w:t>
            </w:r>
          </w:p>
        </w:tc>
        <w:tc>
          <w:tcPr>
            <w:tcW w:w="3794" w:type="dxa"/>
            <w:noWrap/>
            <w:hideMark/>
          </w:tcPr>
          <w:p w14:paraId="73F8D3DF"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312.518,31</w:t>
            </w:r>
          </w:p>
        </w:tc>
      </w:tr>
      <w:tr w:rsidR="00D42F71" w:rsidRPr="00D42F71" w14:paraId="4A6D55D6" w14:textId="77777777" w:rsidTr="00D42F71">
        <w:trPr>
          <w:trHeight w:val="300"/>
        </w:trPr>
        <w:tc>
          <w:tcPr>
            <w:tcW w:w="4000" w:type="dxa"/>
            <w:noWrap/>
            <w:hideMark/>
          </w:tcPr>
          <w:p w14:paraId="0B6C1703"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Erasmus+</w:t>
            </w:r>
          </w:p>
        </w:tc>
        <w:tc>
          <w:tcPr>
            <w:tcW w:w="1420" w:type="dxa"/>
            <w:noWrap/>
            <w:hideMark/>
          </w:tcPr>
          <w:p w14:paraId="4CBB8FE0"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46</w:t>
            </w:r>
          </w:p>
        </w:tc>
        <w:tc>
          <w:tcPr>
            <w:tcW w:w="3794" w:type="dxa"/>
            <w:noWrap/>
            <w:hideMark/>
          </w:tcPr>
          <w:p w14:paraId="528B70A5"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10.890.703,16</w:t>
            </w:r>
          </w:p>
        </w:tc>
      </w:tr>
      <w:tr w:rsidR="00D42F71" w:rsidRPr="00D42F71" w14:paraId="3438DCE8" w14:textId="77777777" w:rsidTr="00D42F71">
        <w:trPr>
          <w:trHeight w:val="300"/>
        </w:trPr>
        <w:tc>
          <w:tcPr>
            <w:tcW w:w="4000" w:type="dxa"/>
            <w:noWrap/>
            <w:hideMark/>
          </w:tcPr>
          <w:p w14:paraId="5F82E229"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OBZOR 2020</w:t>
            </w:r>
          </w:p>
        </w:tc>
        <w:tc>
          <w:tcPr>
            <w:tcW w:w="1420" w:type="dxa"/>
            <w:noWrap/>
            <w:hideMark/>
          </w:tcPr>
          <w:p w14:paraId="3B2B1C8E"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3</w:t>
            </w:r>
          </w:p>
        </w:tc>
        <w:tc>
          <w:tcPr>
            <w:tcW w:w="3794" w:type="dxa"/>
            <w:noWrap/>
            <w:hideMark/>
          </w:tcPr>
          <w:p w14:paraId="7FF34F5F"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102.310.222,19</w:t>
            </w:r>
          </w:p>
        </w:tc>
      </w:tr>
      <w:tr w:rsidR="00D42F71" w:rsidRPr="00D42F71" w14:paraId="25EF7A7C" w14:textId="77777777" w:rsidTr="00D42F71">
        <w:trPr>
          <w:trHeight w:val="300"/>
        </w:trPr>
        <w:tc>
          <w:tcPr>
            <w:tcW w:w="4000" w:type="dxa"/>
            <w:noWrap/>
            <w:hideMark/>
          </w:tcPr>
          <w:p w14:paraId="047F919E"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FP7</w:t>
            </w:r>
          </w:p>
        </w:tc>
        <w:tc>
          <w:tcPr>
            <w:tcW w:w="1420" w:type="dxa"/>
            <w:noWrap/>
            <w:hideMark/>
          </w:tcPr>
          <w:p w14:paraId="2D020C01"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w:t>
            </w:r>
          </w:p>
        </w:tc>
        <w:tc>
          <w:tcPr>
            <w:tcW w:w="3794" w:type="dxa"/>
            <w:noWrap/>
            <w:hideMark/>
          </w:tcPr>
          <w:p w14:paraId="42933F48"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17.769.451,90</w:t>
            </w:r>
          </w:p>
        </w:tc>
      </w:tr>
      <w:tr w:rsidR="00D42F71" w:rsidRPr="00D42F71" w14:paraId="6CAB5F00" w14:textId="77777777" w:rsidTr="00D42F71">
        <w:trPr>
          <w:trHeight w:val="300"/>
        </w:trPr>
        <w:tc>
          <w:tcPr>
            <w:tcW w:w="4000" w:type="dxa"/>
            <w:noWrap/>
            <w:hideMark/>
          </w:tcPr>
          <w:p w14:paraId="6F3AABE7"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Interreg V-A Slovenija-Hrvatska 2014.-2020.</w:t>
            </w:r>
          </w:p>
        </w:tc>
        <w:tc>
          <w:tcPr>
            <w:tcW w:w="1420" w:type="dxa"/>
            <w:noWrap/>
            <w:hideMark/>
          </w:tcPr>
          <w:p w14:paraId="38E1BA59"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5</w:t>
            </w:r>
          </w:p>
        </w:tc>
        <w:tc>
          <w:tcPr>
            <w:tcW w:w="3794" w:type="dxa"/>
            <w:noWrap/>
            <w:hideMark/>
          </w:tcPr>
          <w:p w14:paraId="46B6C4DE"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57.321.190,31</w:t>
            </w:r>
          </w:p>
        </w:tc>
      </w:tr>
      <w:tr w:rsidR="00D42F71" w:rsidRPr="00D42F71" w14:paraId="4DB5DA43" w14:textId="77777777" w:rsidTr="00D42F71">
        <w:trPr>
          <w:trHeight w:val="300"/>
        </w:trPr>
        <w:tc>
          <w:tcPr>
            <w:tcW w:w="4000" w:type="dxa"/>
            <w:noWrap/>
            <w:hideMark/>
          </w:tcPr>
          <w:p w14:paraId="0568617D"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Interreg 5B DUNAV 2014.-2020.</w:t>
            </w:r>
          </w:p>
        </w:tc>
        <w:tc>
          <w:tcPr>
            <w:tcW w:w="1420" w:type="dxa"/>
            <w:noWrap/>
            <w:hideMark/>
          </w:tcPr>
          <w:p w14:paraId="1070ADD6"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w:t>
            </w:r>
          </w:p>
        </w:tc>
        <w:tc>
          <w:tcPr>
            <w:tcW w:w="3794" w:type="dxa"/>
            <w:noWrap/>
            <w:hideMark/>
          </w:tcPr>
          <w:p w14:paraId="4DC9B1C6"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18.943.205,25</w:t>
            </w:r>
          </w:p>
        </w:tc>
      </w:tr>
      <w:tr w:rsidR="00D42F71" w:rsidRPr="00D42F71" w14:paraId="0386C56F" w14:textId="77777777" w:rsidTr="00D42F71">
        <w:trPr>
          <w:trHeight w:val="300"/>
        </w:trPr>
        <w:tc>
          <w:tcPr>
            <w:tcW w:w="4000" w:type="dxa"/>
            <w:noWrap/>
            <w:hideMark/>
          </w:tcPr>
          <w:p w14:paraId="5483144E"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OP Konkurentnost i kohezija 2014.-2020.</w:t>
            </w:r>
          </w:p>
        </w:tc>
        <w:tc>
          <w:tcPr>
            <w:tcW w:w="1420" w:type="dxa"/>
            <w:noWrap/>
            <w:hideMark/>
          </w:tcPr>
          <w:p w14:paraId="43AED79E"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154</w:t>
            </w:r>
          </w:p>
        </w:tc>
        <w:tc>
          <w:tcPr>
            <w:tcW w:w="3794" w:type="dxa"/>
            <w:noWrap/>
            <w:hideMark/>
          </w:tcPr>
          <w:p w14:paraId="259295BA"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484.480.566,17</w:t>
            </w:r>
          </w:p>
        </w:tc>
      </w:tr>
      <w:tr w:rsidR="00D42F71" w:rsidRPr="00D42F71" w14:paraId="5D014E1A" w14:textId="77777777" w:rsidTr="00D42F71">
        <w:trPr>
          <w:trHeight w:val="300"/>
        </w:trPr>
        <w:tc>
          <w:tcPr>
            <w:tcW w:w="4000" w:type="dxa"/>
            <w:noWrap/>
            <w:hideMark/>
          </w:tcPr>
          <w:p w14:paraId="6450E407"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OP Učinkoviti ljudski potencijali 2014.-2020.</w:t>
            </w:r>
          </w:p>
        </w:tc>
        <w:tc>
          <w:tcPr>
            <w:tcW w:w="1420" w:type="dxa"/>
            <w:noWrap/>
            <w:hideMark/>
          </w:tcPr>
          <w:p w14:paraId="0E48BCEF"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60</w:t>
            </w:r>
          </w:p>
        </w:tc>
        <w:tc>
          <w:tcPr>
            <w:tcW w:w="3794" w:type="dxa"/>
            <w:noWrap/>
            <w:hideMark/>
          </w:tcPr>
          <w:p w14:paraId="1784CEE1"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1.623.606.996,00</w:t>
            </w:r>
          </w:p>
        </w:tc>
      </w:tr>
      <w:tr w:rsidR="00D42F71" w:rsidRPr="00D42F71" w14:paraId="6E086111" w14:textId="77777777" w:rsidTr="00D42F71">
        <w:trPr>
          <w:trHeight w:val="300"/>
        </w:trPr>
        <w:tc>
          <w:tcPr>
            <w:tcW w:w="4000" w:type="dxa"/>
            <w:noWrap/>
            <w:hideMark/>
          </w:tcPr>
          <w:p w14:paraId="161E1669" w14:textId="77777777" w:rsidR="00D42F71" w:rsidRPr="00D42F71" w:rsidRDefault="00D42F71" w:rsidP="00D42F71">
            <w:pPr>
              <w:jc w:val="left"/>
              <w:rPr>
                <w:rFonts w:eastAsia="Times New Roman" w:cs="Calibri"/>
                <w:color w:val="000000"/>
                <w:szCs w:val="18"/>
                <w:lang w:eastAsia="hr-HR"/>
              </w:rPr>
            </w:pPr>
            <w:r w:rsidRPr="00D42F71">
              <w:rPr>
                <w:rFonts w:eastAsia="Times New Roman" w:cs="Calibri"/>
                <w:color w:val="000000"/>
                <w:szCs w:val="18"/>
                <w:lang w:eastAsia="hr-HR"/>
              </w:rPr>
              <w:t>Program ruralnog razvoja 2014.-2020.</w:t>
            </w:r>
          </w:p>
        </w:tc>
        <w:tc>
          <w:tcPr>
            <w:tcW w:w="1420" w:type="dxa"/>
            <w:noWrap/>
            <w:hideMark/>
          </w:tcPr>
          <w:p w14:paraId="1B4E8141"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12851</w:t>
            </w:r>
          </w:p>
        </w:tc>
        <w:tc>
          <w:tcPr>
            <w:tcW w:w="3794" w:type="dxa"/>
            <w:noWrap/>
            <w:hideMark/>
          </w:tcPr>
          <w:p w14:paraId="2DC15C8D" w14:textId="77777777" w:rsidR="00D42F71" w:rsidRPr="00D42F71" w:rsidRDefault="00D42F71" w:rsidP="00D42F71">
            <w:pPr>
              <w:jc w:val="right"/>
              <w:rPr>
                <w:rFonts w:eastAsia="Times New Roman" w:cs="Calibri"/>
                <w:color w:val="000000"/>
                <w:szCs w:val="18"/>
                <w:lang w:eastAsia="hr-HR"/>
              </w:rPr>
            </w:pPr>
            <w:r w:rsidRPr="00D42F71">
              <w:rPr>
                <w:rFonts w:eastAsia="Times New Roman" w:cs="Calibri"/>
                <w:color w:val="000000"/>
                <w:szCs w:val="18"/>
                <w:lang w:eastAsia="hr-HR"/>
              </w:rPr>
              <w:t>458.733.805,05</w:t>
            </w:r>
          </w:p>
        </w:tc>
      </w:tr>
      <w:tr w:rsidR="00D42F71" w:rsidRPr="00D42F71" w14:paraId="0AF16907" w14:textId="77777777" w:rsidTr="007F2B15">
        <w:trPr>
          <w:trHeight w:val="300"/>
        </w:trPr>
        <w:tc>
          <w:tcPr>
            <w:tcW w:w="0" w:type="dxa"/>
            <w:shd w:val="clear" w:color="auto" w:fill="E5E5E5" w:themeFill="accent5"/>
            <w:noWrap/>
            <w:hideMark/>
          </w:tcPr>
          <w:p w14:paraId="5280ACD4" w14:textId="77777777" w:rsidR="00D42F71" w:rsidRPr="00D42F71" w:rsidRDefault="00D42F71" w:rsidP="00D42F71">
            <w:pPr>
              <w:jc w:val="left"/>
              <w:rPr>
                <w:rFonts w:eastAsia="Times New Roman" w:cs="Calibri"/>
                <w:b/>
                <w:color w:val="000000"/>
                <w:szCs w:val="18"/>
                <w:lang w:eastAsia="hr-HR"/>
              </w:rPr>
            </w:pPr>
            <w:r w:rsidRPr="00D42F71">
              <w:rPr>
                <w:rFonts w:eastAsia="Times New Roman" w:cs="Calibri"/>
                <w:b/>
                <w:color w:val="000000"/>
                <w:szCs w:val="18"/>
                <w:lang w:eastAsia="hr-HR"/>
              </w:rPr>
              <w:t>UKUPNO*</w:t>
            </w:r>
          </w:p>
        </w:tc>
        <w:tc>
          <w:tcPr>
            <w:tcW w:w="0" w:type="dxa"/>
            <w:shd w:val="clear" w:color="auto" w:fill="E5E5E5" w:themeFill="accent5"/>
            <w:noWrap/>
            <w:hideMark/>
          </w:tcPr>
          <w:p w14:paraId="2D733156" w14:textId="77777777" w:rsidR="00D42F71" w:rsidRPr="00D42F71" w:rsidRDefault="00D42F71" w:rsidP="00D42F71">
            <w:pPr>
              <w:jc w:val="right"/>
              <w:rPr>
                <w:rFonts w:eastAsia="Times New Roman" w:cs="Calibri"/>
                <w:b/>
                <w:color w:val="000000"/>
                <w:szCs w:val="18"/>
                <w:lang w:eastAsia="hr-HR"/>
              </w:rPr>
            </w:pPr>
            <w:r w:rsidRPr="00D42F71">
              <w:rPr>
                <w:rFonts w:eastAsia="Times New Roman" w:cs="Calibri"/>
                <w:b/>
                <w:color w:val="000000"/>
                <w:szCs w:val="18"/>
                <w:lang w:eastAsia="hr-HR"/>
              </w:rPr>
              <w:t>13336</w:t>
            </w:r>
          </w:p>
        </w:tc>
        <w:tc>
          <w:tcPr>
            <w:tcW w:w="0" w:type="dxa"/>
            <w:shd w:val="clear" w:color="auto" w:fill="E5E5E5" w:themeFill="accent5"/>
            <w:noWrap/>
            <w:hideMark/>
          </w:tcPr>
          <w:p w14:paraId="37386E6F" w14:textId="77777777" w:rsidR="00D42F71" w:rsidRPr="00D42F71" w:rsidRDefault="00D42F71" w:rsidP="00D42F71">
            <w:pPr>
              <w:jc w:val="right"/>
              <w:rPr>
                <w:rFonts w:eastAsia="Times New Roman" w:cs="Calibri"/>
                <w:b/>
                <w:color w:val="000000"/>
                <w:szCs w:val="18"/>
                <w:lang w:eastAsia="hr-HR"/>
              </w:rPr>
            </w:pPr>
            <w:r w:rsidRPr="00D42F71">
              <w:rPr>
                <w:rFonts w:eastAsia="Times New Roman" w:cs="Calibri"/>
                <w:b/>
                <w:color w:val="000000"/>
                <w:szCs w:val="18"/>
                <w:lang w:eastAsia="hr-HR"/>
              </w:rPr>
              <w:t>3.428.709.247,15</w:t>
            </w:r>
          </w:p>
        </w:tc>
      </w:tr>
    </w:tbl>
    <w:p w14:paraId="7B53580C" w14:textId="42BBB071" w:rsidR="009E6D48" w:rsidRDefault="009E6D48" w:rsidP="003C2276">
      <w:pPr>
        <w:pStyle w:val="Izvor"/>
      </w:pPr>
      <w:r w:rsidRPr="00840136">
        <w:rPr>
          <w:i/>
          <w:color w:val="ABABAB" w:themeColor="text1" w:themeTint="A6"/>
          <w:sz w:val="16"/>
          <w:szCs w:val="16"/>
        </w:rPr>
        <w:t>Izvor: APPRRR, MDOMSP, MRMS, MINGO, MRRFEU, MZO, Ministarstvo poljoprivrede, Zagorska razvojna agencija, obrada</w:t>
      </w:r>
      <w:r>
        <w:t xml:space="preserve"> </w:t>
      </w:r>
      <w:r w:rsidRPr="00840136">
        <w:rPr>
          <w:i/>
          <w:color w:val="ABABAB" w:themeColor="text1" w:themeTint="A6"/>
          <w:sz w:val="16"/>
          <w:szCs w:val="16"/>
        </w:rPr>
        <w:t>Zagorska razvojna agencija</w:t>
      </w:r>
    </w:p>
    <w:p w14:paraId="1AE35C3D" w14:textId="174E1DA9" w:rsidR="00167ED8" w:rsidRDefault="00167ED8" w:rsidP="00941871">
      <w:pPr>
        <w:rPr>
          <w:color w:val="9D1A1F" w:themeColor="accent4"/>
        </w:rPr>
      </w:pPr>
    </w:p>
    <w:p w14:paraId="1CC15EE1" w14:textId="50F067DC" w:rsidR="0064024D" w:rsidRPr="00446BA5" w:rsidRDefault="00E17064" w:rsidP="00E17064">
      <w:pPr>
        <w:rPr>
          <w:rFonts w:eastAsia="Times New Roman" w:cs="Times New Roman"/>
          <w:color w:val="auto"/>
        </w:rPr>
      </w:pPr>
      <w:r w:rsidRPr="00446BA5">
        <w:rPr>
          <w:rFonts w:eastAsia="Times New Roman" w:cs="Times New Roman"/>
          <w:color w:val="auto"/>
        </w:rPr>
        <w:t xml:space="preserve">Hrvatska gospodarska komora je u svojoj analizi izdvojila 3 najveća projekta financirana fondovima EU po županijama uz napomenu da se iznosi ne odnose na ukupnu vrijednost projekta već samo na ugovoreni iznos bespovratnih sredstava fondova EU. Prikazani projekti odnose na razdoblje do kraja svibnja 2020. godine. Na području Krapinsko- zagorske županije s najvećom ugovorenom vrijednosti izdvajaju se projekti: Izgradnja sustava prikupljanja i odvodnje otpadnih voda sustava odvodnje Zabok i sustava odvodnje Zlatar, Modernizacija i elektrifikacija željezničke pruge Zaprešić- Čakovec na dionici Zaprešić (isključivo)- Zabok (uključivo) i Regionalni centar kompetentnosti u turizmu i ugostiteljstvu Zabok. </w:t>
      </w:r>
    </w:p>
    <w:p w14:paraId="31CD4AC6" w14:textId="77777777" w:rsidR="00446BA5" w:rsidRDefault="00446BA5" w:rsidP="00E17064">
      <w:pPr>
        <w:rPr>
          <w:rFonts w:eastAsia="Times New Roman" w:cs="Times New Roman"/>
          <w:color w:val="FF0000"/>
        </w:rPr>
      </w:pPr>
    </w:p>
    <w:p w14:paraId="0AD2781E" w14:textId="47317D1D" w:rsidR="00E17064" w:rsidRPr="00F35CEA" w:rsidRDefault="00F35CEA" w:rsidP="003E3F3C">
      <w:pPr>
        <w:pStyle w:val="Opisslike"/>
      </w:pPr>
      <w:r>
        <w:t xml:space="preserve">Tablica </w:t>
      </w:r>
      <w:r w:rsidR="00934D1C">
        <w:t>200</w:t>
      </w:r>
      <w:r>
        <w:t xml:space="preserve">. </w:t>
      </w:r>
      <w:r w:rsidR="00E17064" w:rsidRPr="00F35CEA">
        <w:t>Projekti sa najvećom ugovorenom vrijednosti na području Krapinsko- zagorske županije u 2020. godini.</w:t>
      </w:r>
    </w:p>
    <w:tbl>
      <w:tblPr>
        <w:tblStyle w:val="Style51"/>
        <w:tblW w:w="8994" w:type="dxa"/>
        <w:tblInd w:w="0" w:type="dxa"/>
        <w:tblLook w:val="04A0" w:firstRow="1" w:lastRow="0" w:firstColumn="1" w:lastColumn="0" w:noHBand="0" w:noVBand="1"/>
      </w:tblPr>
      <w:tblGrid>
        <w:gridCol w:w="4616"/>
        <w:gridCol w:w="4378"/>
      </w:tblGrid>
      <w:tr w:rsidR="00E17064" w:rsidRPr="00E17064" w14:paraId="1D7742EF" w14:textId="77777777" w:rsidTr="00E17064">
        <w:trPr>
          <w:cnfStyle w:val="100000000000" w:firstRow="1" w:lastRow="0" w:firstColumn="0" w:lastColumn="0" w:oddVBand="0" w:evenVBand="0" w:oddHBand="0" w:evenHBand="0" w:firstRowFirstColumn="0" w:firstRowLastColumn="0" w:lastRowFirstColumn="0" w:lastRowLastColumn="0"/>
          <w:trHeight w:val="313"/>
        </w:trPr>
        <w:tc>
          <w:tcPr>
            <w:tcW w:w="4616" w:type="dxa"/>
            <w:tcBorders>
              <w:top w:val="nil"/>
              <w:left w:val="nil"/>
              <w:bottom w:val="single" w:sz="4" w:space="0" w:color="F3CFC1"/>
              <w:right w:val="nil"/>
            </w:tcBorders>
            <w:noWrap/>
            <w:hideMark/>
          </w:tcPr>
          <w:p w14:paraId="6736A871" w14:textId="77777777" w:rsidR="00E17064" w:rsidRPr="00E17064" w:rsidRDefault="00E17064" w:rsidP="00E17064">
            <w:pPr>
              <w:jc w:val="left"/>
              <w:rPr>
                <w:rFonts w:eastAsia="Calibri" w:cs="Calibri"/>
                <w:color w:val="FFFFFF"/>
                <w:szCs w:val="18"/>
                <w:lang w:eastAsia="hr-HR"/>
              </w:rPr>
            </w:pPr>
            <w:r w:rsidRPr="00E17064">
              <w:rPr>
                <w:rFonts w:eastAsia="Calibri" w:cs="Calibri"/>
                <w:color w:val="FFFFFF"/>
                <w:szCs w:val="18"/>
                <w:lang w:eastAsia="hr-HR"/>
              </w:rPr>
              <w:t>Naziv projekta</w:t>
            </w:r>
          </w:p>
        </w:tc>
        <w:tc>
          <w:tcPr>
            <w:tcW w:w="4378" w:type="dxa"/>
            <w:tcBorders>
              <w:top w:val="nil"/>
              <w:left w:val="nil"/>
              <w:bottom w:val="single" w:sz="4" w:space="0" w:color="F3CFC1"/>
              <w:right w:val="nil"/>
            </w:tcBorders>
            <w:noWrap/>
            <w:hideMark/>
          </w:tcPr>
          <w:p w14:paraId="36E8D66F" w14:textId="77777777" w:rsidR="00E17064" w:rsidRPr="00E17064" w:rsidRDefault="00E17064" w:rsidP="00E17064">
            <w:pPr>
              <w:jc w:val="center"/>
              <w:rPr>
                <w:rFonts w:eastAsia="Calibri" w:cs="Calibri"/>
                <w:color w:val="FFFFFF"/>
                <w:szCs w:val="18"/>
                <w:lang w:eastAsia="hr-HR"/>
              </w:rPr>
            </w:pPr>
            <w:r w:rsidRPr="00E17064">
              <w:rPr>
                <w:rFonts w:eastAsia="Calibri" w:cs="Calibri"/>
                <w:color w:val="FFFFFF"/>
                <w:szCs w:val="18"/>
                <w:lang w:eastAsia="hr-HR"/>
              </w:rPr>
              <w:t>Ugovoreni iznos (HRK)</w:t>
            </w:r>
          </w:p>
        </w:tc>
      </w:tr>
      <w:tr w:rsidR="00E17064" w:rsidRPr="00E17064" w14:paraId="7970D625" w14:textId="77777777" w:rsidTr="00E17064">
        <w:trPr>
          <w:trHeight w:val="313"/>
        </w:trPr>
        <w:tc>
          <w:tcPr>
            <w:tcW w:w="4616" w:type="dxa"/>
            <w:tcBorders>
              <w:top w:val="single" w:sz="4" w:space="0" w:color="F3CFC1"/>
              <w:left w:val="nil"/>
              <w:bottom w:val="single" w:sz="4" w:space="0" w:color="F3CFC1"/>
              <w:right w:val="nil"/>
            </w:tcBorders>
            <w:noWrap/>
            <w:hideMark/>
          </w:tcPr>
          <w:p w14:paraId="034F7FCD" w14:textId="671DB0DD" w:rsidR="00E17064" w:rsidRPr="00E17064" w:rsidRDefault="00E17064" w:rsidP="00E17064">
            <w:pPr>
              <w:jc w:val="left"/>
              <w:rPr>
                <w:rFonts w:cs="Calibri"/>
                <w:color w:val="000000"/>
                <w:szCs w:val="18"/>
                <w:lang w:eastAsia="hr-HR"/>
              </w:rPr>
            </w:pPr>
            <w:r>
              <w:rPr>
                <w:rFonts w:cs="Calibri"/>
                <w:color w:val="000000"/>
                <w:szCs w:val="18"/>
                <w:lang w:eastAsia="hr-HR"/>
              </w:rPr>
              <w:lastRenderedPageBreak/>
              <w:t xml:space="preserve">1. </w:t>
            </w:r>
            <w:r w:rsidRPr="00E17064">
              <w:rPr>
                <w:rFonts w:cs="Calibri"/>
                <w:color w:val="000000"/>
                <w:szCs w:val="18"/>
                <w:lang w:eastAsia="hr-HR"/>
              </w:rPr>
              <w:t>Izgradnja sustava prikupljanja i odvodnje otpadnih voda sustava odvodnje Zabok i sustava odvodnje Zlatar</w:t>
            </w:r>
          </w:p>
        </w:tc>
        <w:tc>
          <w:tcPr>
            <w:tcW w:w="4378" w:type="dxa"/>
            <w:tcBorders>
              <w:top w:val="single" w:sz="4" w:space="0" w:color="F3CFC1"/>
              <w:left w:val="nil"/>
              <w:bottom w:val="single" w:sz="4" w:space="0" w:color="F3CFC1"/>
              <w:right w:val="nil"/>
            </w:tcBorders>
            <w:noWrap/>
            <w:hideMark/>
          </w:tcPr>
          <w:p w14:paraId="1BE69F0F" w14:textId="77777777" w:rsidR="00E17064" w:rsidRPr="00E17064" w:rsidRDefault="00E17064" w:rsidP="00E17064">
            <w:pPr>
              <w:jc w:val="center"/>
              <w:rPr>
                <w:rFonts w:cs="Calibri"/>
                <w:color w:val="000000"/>
                <w:szCs w:val="18"/>
                <w:lang w:eastAsia="hr-HR"/>
              </w:rPr>
            </w:pPr>
            <w:r w:rsidRPr="00E17064">
              <w:rPr>
                <w:rFonts w:cs="Calibri"/>
                <w:color w:val="000000"/>
                <w:szCs w:val="18"/>
                <w:lang w:eastAsia="hr-HR"/>
              </w:rPr>
              <w:t>321.355.962</w:t>
            </w:r>
          </w:p>
        </w:tc>
      </w:tr>
      <w:tr w:rsidR="00E17064" w:rsidRPr="00E17064" w14:paraId="1A7B84CD" w14:textId="77777777" w:rsidTr="00E17064">
        <w:trPr>
          <w:trHeight w:val="313"/>
        </w:trPr>
        <w:tc>
          <w:tcPr>
            <w:tcW w:w="4616" w:type="dxa"/>
            <w:tcBorders>
              <w:top w:val="single" w:sz="4" w:space="0" w:color="F3CFC1"/>
              <w:left w:val="nil"/>
              <w:bottom w:val="single" w:sz="4" w:space="0" w:color="F3CFC1"/>
              <w:right w:val="nil"/>
            </w:tcBorders>
            <w:noWrap/>
            <w:hideMark/>
          </w:tcPr>
          <w:p w14:paraId="78D43629" w14:textId="1B81F623" w:rsidR="00E17064" w:rsidRPr="00E17064" w:rsidRDefault="00E17064" w:rsidP="00E17064">
            <w:pPr>
              <w:jc w:val="left"/>
              <w:rPr>
                <w:rFonts w:cs="Calibri"/>
                <w:color w:val="000000"/>
                <w:szCs w:val="18"/>
                <w:lang w:eastAsia="hr-HR"/>
              </w:rPr>
            </w:pPr>
            <w:r>
              <w:rPr>
                <w:rFonts w:cs="Calibri"/>
                <w:color w:val="000000"/>
                <w:szCs w:val="18"/>
                <w:lang w:eastAsia="hr-HR"/>
              </w:rPr>
              <w:t xml:space="preserve">2. </w:t>
            </w:r>
            <w:r w:rsidRPr="00E17064">
              <w:rPr>
                <w:rFonts w:cs="Calibri"/>
                <w:color w:val="000000"/>
                <w:szCs w:val="18"/>
                <w:lang w:eastAsia="hr-HR"/>
              </w:rPr>
              <w:t>Modernizacija i elektrifikacija željezničke pruge Zaprešić- Čakovec na dionici Zaprešić (isključivo)- Zabok (uključivo)</w:t>
            </w:r>
          </w:p>
        </w:tc>
        <w:tc>
          <w:tcPr>
            <w:tcW w:w="4378" w:type="dxa"/>
            <w:tcBorders>
              <w:top w:val="single" w:sz="4" w:space="0" w:color="F3CFC1"/>
              <w:left w:val="nil"/>
              <w:bottom w:val="single" w:sz="4" w:space="0" w:color="F3CFC1"/>
              <w:right w:val="nil"/>
            </w:tcBorders>
            <w:noWrap/>
            <w:hideMark/>
          </w:tcPr>
          <w:p w14:paraId="002EB251" w14:textId="77777777" w:rsidR="00E17064" w:rsidRPr="00E17064" w:rsidRDefault="00E17064" w:rsidP="00E17064">
            <w:pPr>
              <w:jc w:val="center"/>
              <w:rPr>
                <w:rFonts w:cs="Calibri"/>
                <w:color w:val="000000"/>
                <w:szCs w:val="18"/>
                <w:lang w:eastAsia="hr-HR"/>
              </w:rPr>
            </w:pPr>
            <w:r w:rsidRPr="00E17064">
              <w:rPr>
                <w:rFonts w:cs="Calibri"/>
                <w:color w:val="000000"/>
                <w:szCs w:val="18"/>
                <w:lang w:eastAsia="hr-HR"/>
              </w:rPr>
              <w:t>307.195.130</w:t>
            </w:r>
          </w:p>
        </w:tc>
      </w:tr>
      <w:tr w:rsidR="00E17064" w:rsidRPr="00E17064" w14:paraId="1757B1DC" w14:textId="77777777" w:rsidTr="00E17064">
        <w:trPr>
          <w:trHeight w:val="313"/>
        </w:trPr>
        <w:tc>
          <w:tcPr>
            <w:tcW w:w="4616" w:type="dxa"/>
            <w:tcBorders>
              <w:top w:val="single" w:sz="4" w:space="0" w:color="F3CFC1"/>
              <w:left w:val="nil"/>
              <w:bottom w:val="single" w:sz="4" w:space="0" w:color="F3CFC1"/>
              <w:right w:val="nil"/>
            </w:tcBorders>
            <w:noWrap/>
            <w:hideMark/>
          </w:tcPr>
          <w:p w14:paraId="0FA268DF" w14:textId="5923D3AA" w:rsidR="00E17064" w:rsidRPr="00E17064" w:rsidRDefault="00E17064" w:rsidP="00E17064">
            <w:pPr>
              <w:jc w:val="left"/>
              <w:rPr>
                <w:rFonts w:cs="Calibri"/>
                <w:color w:val="000000"/>
                <w:szCs w:val="18"/>
                <w:lang w:eastAsia="hr-HR"/>
              </w:rPr>
            </w:pPr>
            <w:r>
              <w:rPr>
                <w:rFonts w:cs="Calibri"/>
                <w:color w:val="000000"/>
                <w:szCs w:val="18"/>
                <w:lang w:eastAsia="hr-HR"/>
              </w:rPr>
              <w:t xml:space="preserve">3. </w:t>
            </w:r>
            <w:r w:rsidRPr="00E17064">
              <w:rPr>
                <w:rFonts w:cs="Calibri"/>
                <w:color w:val="000000"/>
                <w:szCs w:val="18"/>
                <w:lang w:eastAsia="hr-HR"/>
              </w:rPr>
              <w:t>Regionalni centar kompetentnosti u turizmu i ugostiteljstvu Zabok.</w:t>
            </w:r>
          </w:p>
        </w:tc>
        <w:tc>
          <w:tcPr>
            <w:tcW w:w="4378" w:type="dxa"/>
            <w:tcBorders>
              <w:top w:val="single" w:sz="4" w:space="0" w:color="F3CFC1"/>
              <w:left w:val="nil"/>
              <w:bottom w:val="single" w:sz="4" w:space="0" w:color="F3CFC1"/>
              <w:right w:val="nil"/>
            </w:tcBorders>
            <w:noWrap/>
            <w:hideMark/>
          </w:tcPr>
          <w:p w14:paraId="649DDDED" w14:textId="77777777" w:rsidR="00E17064" w:rsidRPr="00E17064" w:rsidRDefault="00E17064" w:rsidP="00E17064">
            <w:pPr>
              <w:jc w:val="center"/>
              <w:rPr>
                <w:rFonts w:cs="Calibri"/>
                <w:color w:val="000000"/>
                <w:szCs w:val="18"/>
                <w:lang w:eastAsia="hr-HR"/>
              </w:rPr>
            </w:pPr>
            <w:r w:rsidRPr="00E17064">
              <w:rPr>
                <w:rFonts w:cs="Calibri"/>
                <w:color w:val="000000"/>
                <w:szCs w:val="18"/>
                <w:lang w:eastAsia="hr-HR"/>
              </w:rPr>
              <w:t>30.000.000</w:t>
            </w:r>
          </w:p>
        </w:tc>
      </w:tr>
    </w:tbl>
    <w:p w14:paraId="2AD499B0" w14:textId="11502456" w:rsidR="00E17064" w:rsidRDefault="00E17064" w:rsidP="00941871">
      <w:pPr>
        <w:rPr>
          <w:rFonts w:eastAsia="ArialNarrow" w:cs="Calibri"/>
          <w:i/>
          <w:color w:val="ABABAB"/>
          <w:sz w:val="16"/>
          <w:szCs w:val="16"/>
        </w:rPr>
      </w:pPr>
      <w:r w:rsidRPr="00E17064">
        <w:rPr>
          <w:rFonts w:eastAsia="ArialNarrow" w:cs="Calibri"/>
          <w:i/>
          <w:color w:val="ABABAB"/>
          <w:sz w:val="16"/>
          <w:szCs w:val="16"/>
        </w:rPr>
        <w:t>Izvor: Izvor: Županije i fondovi EU: Ugovorena sredstva i projekti po županijama, projekt Slavonija, Baranja i Srijem, HGK, Zagreb, lipanj 2020</w:t>
      </w:r>
    </w:p>
    <w:p w14:paraId="4A8EBFD9" w14:textId="77777777" w:rsidR="001433BD" w:rsidRPr="00E17064" w:rsidRDefault="001433BD" w:rsidP="00941871">
      <w:pPr>
        <w:rPr>
          <w:rFonts w:eastAsia="ArialNarrow" w:cs="Calibri"/>
          <w:i/>
          <w:color w:val="ABABAB"/>
          <w:sz w:val="16"/>
          <w:szCs w:val="16"/>
        </w:rPr>
      </w:pPr>
    </w:p>
    <w:p w14:paraId="1C3CF33D" w14:textId="4C2D3A72" w:rsidR="008878A0" w:rsidRPr="00C2577A" w:rsidRDefault="008878A0" w:rsidP="00941871">
      <w:pPr>
        <w:rPr>
          <w:color w:val="9D1A1F" w:themeColor="accent4"/>
        </w:rPr>
      </w:pPr>
      <w:r w:rsidRPr="00C2577A">
        <w:rPr>
          <w:color w:val="9D1A1F" w:themeColor="accent4"/>
        </w:rPr>
        <w:t>Operativni program ,,Učinkoviti ljudski potencijali 2014. - 2020." (OP ULJP)</w:t>
      </w:r>
    </w:p>
    <w:p w14:paraId="694C2527" w14:textId="243DC201" w:rsidR="008878A0" w:rsidRPr="00D02A62" w:rsidRDefault="008878A0" w:rsidP="00941871">
      <w:r w:rsidRPr="00D02A62">
        <w:t>U okviru OP ULJP-a u periodu ovog programskog razdoblja do zaključno 1. prosinca 2019. godine, prema podacima Upravljačkog tijela Ministarstva rada i mirovinskog sustava, na  području   Krapinsko-zagorske županije (prema sjedištu korisnika projekta) ugovoren je  ukupno  31 projekt  ukupne  vrijednosti  87.529.142,07</w:t>
      </w:r>
      <w:r w:rsidR="0073392B">
        <w:t xml:space="preserve"> </w:t>
      </w:r>
      <w:r w:rsidRPr="00D02A62">
        <w:t>HRK, od čega bespovratna  sredstva  iznose  85.905.893,57   HRK.</w:t>
      </w:r>
    </w:p>
    <w:p w14:paraId="293A39A3" w14:textId="07D28EFB" w:rsidR="008878A0" w:rsidRPr="00D02A62" w:rsidRDefault="008878A0" w:rsidP="00941871">
      <w:r w:rsidRPr="00D02A62">
        <w:t>Najviše ugovora sklopljeno je u području Socijalnog  uključivanja - ukupno 23 ugovora ukupne vrijednosti 65.989.998,40  HRK  (bespovratna sredstva iznose 65.989.998,40 HRK), u okviru Poziva: Poboljšanje pristupa ranjivih skupina tržištu rada u sektoru turizma i ugostiteljstva, Podrška procesu  deinstitucionalizacije i prevencije</w:t>
      </w:r>
      <w:r w:rsidR="00A77513">
        <w:t>,</w:t>
      </w:r>
      <w:r w:rsidRPr="00D02A62">
        <w:t xml:space="preserve"> institucionalizacije djece i mladih,  Podrška  programima  usmjerenim mladima, Podrška socijalnom uključivanju i zapošljavanju marginaliziranih skupina, Promocija zdravlja i prevencija  bolesti - faza I, Razvoj i sirenje mreže  izvaninstitucionalnih usluga za hrvatske  branitelje i stradalnike Domovinskog rata, Razvoj usluge osobne asistencije za osobe s invaliditetom, Razvoj  usluge osobne asistencije za osobe s invaliditetom - faza II, Specijalističko usavršavanje doktora medicine, Umjetnost i kultura  54+, Unaprjeđenje usluga za djecu u sustavu ranog i predškolskog  odgoja i obrazovanja, Zaželi - Program  zapošljavanja žena. </w:t>
      </w:r>
    </w:p>
    <w:p w14:paraId="39C1EE58" w14:textId="181AA50D" w:rsidR="008878A0" w:rsidRPr="00D02A62" w:rsidRDefault="008878A0" w:rsidP="00941871">
      <w:r w:rsidRPr="00D02A62">
        <w:t>U  okviru Obrazovanja i cjeloživotnog učenja sklopljena su  ukupno 4  ugovora ukupne  vrijednosti   17.067.426,37 HRK  (bespovratna sredstva  iznose  15.444.177,87  HRK) i to  u okviru Poziva: Osiguravanje pomoćnika u  nastavi i  stručnih  komunikacijskih posrednika učenicima   s teškoćama u razvoju u osnovnoškolskim i srednjoškolskim odgojno-obrazovnim ustanovama, Osiguravanje pomoćnika u nastavi i stručnih komunikacijskih posrednika učenicima s teškoćama u razvoju u osnovnoškolskim i srednjoškolskim odgojno-obrazovnim ustanovama (faza II), Osiguravanje p</w:t>
      </w:r>
      <w:r w:rsidR="00A14C38">
        <w:t>omoćnika</w:t>
      </w:r>
      <w:r w:rsidRPr="00D02A62">
        <w:t xml:space="preserve"> u nastavi i stručnih komunikacijskih posrednika učenicima s teškoćama u razvoju u osnovnoškolskim i srednjoškolskim odgojno-obrazovnim ustanovama (faza III), Poticanje rada s darovitom djecom i učenicima na pred tercijarnoj razini.</w:t>
      </w:r>
    </w:p>
    <w:p w14:paraId="5FE16E6C" w14:textId="204B2D3B" w:rsidR="008878A0" w:rsidRPr="00D02A62" w:rsidRDefault="008878A0" w:rsidP="00941871">
      <w:r w:rsidRPr="00D02A62">
        <w:t>U području Visoke zapošljivosti i mobilnosti</w:t>
      </w:r>
      <w:r w:rsidR="0073392B">
        <w:t xml:space="preserve"> radne snage sklopljena su</w:t>
      </w:r>
      <w:r w:rsidRPr="00D02A62">
        <w:t xml:space="preserve"> ukupno 2 ugovora ukupne vrijednosti 2.976.043,22 HRK (bespovratna sredstva iznose 2.976.043,22 HRK). Ugovori su sklopljeni u okviru Poziva ,,Lokalne inicijative za poticanje zapošljavanja - faza III.</w:t>
      </w:r>
    </w:p>
    <w:p w14:paraId="665617DF" w14:textId="533070D7" w:rsidR="008878A0" w:rsidRPr="00D02A62" w:rsidRDefault="008878A0" w:rsidP="00941871">
      <w:r w:rsidRPr="00D02A62">
        <w:t>U području Dobrog upravljanja (civilno društvo) sklopljena su ukupno 2 ugovora ukupne vrijednosti 1.495.674,08 HRK (bespovratna sredstva iznose 1.495.674,08 HRK), u okviru Poziva: Kultura u centru - potpora razvoju javno-civilnog partnerstva u kulturi te Podrška organizatorima volontiranja za unaprjeđenje menadžmenta volontera i provedbu volonterskih programa.</w:t>
      </w:r>
    </w:p>
    <w:p w14:paraId="0FDEC2C5" w14:textId="0465BC41" w:rsidR="008878A0" w:rsidRDefault="008878A0" w:rsidP="00941871">
      <w:pPr>
        <w:rPr>
          <w:rFonts w:eastAsia="Times New Roman" w:cs="Calibri"/>
          <w:lang w:eastAsia="hr-HR"/>
        </w:rPr>
      </w:pPr>
      <w:r w:rsidRPr="00D02A62">
        <w:rPr>
          <w:rFonts w:cstheme="minorHAnsi"/>
        </w:rPr>
        <w:t xml:space="preserve">Prema informacijama Ministarstva za demografiju, obitelj, mlade i socijalnu politiku, koje je dostavilo informacije za projekte iz OP Učinkoviti ljudski potencijali na kojima ima funkciju Posredničkoj tijela razine 1 ili sektorski nadležnog tijela, u razdoblju do prosinca 2019. godine ugovoreno je 23 projekta ukupne vrijednosti 38.173.050,19 kuna. Međutim, potrebno je naglasiti da se od toga 13 projekata u vrijednosti </w:t>
      </w:r>
      <w:r w:rsidRPr="00D02A62">
        <w:rPr>
          <w:rFonts w:eastAsia="Times New Roman" w:cs="Calibri"/>
          <w:lang w:eastAsia="hr-HR"/>
        </w:rPr>
        <w:t xml:space="preserve">17.351.284,67 kuna samo djelomično provodi na području Krapinsko-zagorske županije.  </w:t>
      </w:r>
    </w:p>
    <w:p w14:paraId="013BA798" w14:textId="4DF3BC6A" w:rsidR="00167ED8" w:rsidRPr="00167ED8" w:rsidRDefault="00167ED8" w:rsidP="00167ED8">
      <w:r w:rsidRPr="00167ED8">
        <w:t>Prema podacima Ministarstva gospodarstva, poduzetništva i obrta</w:t>
      </w:r>
      <w:r>
        <w:t xml:space="preserve">, iz Operativnog programa učinkoviti ljudski potencijali </w:t>
      </w:r>
      <w:r w:rsidR="00F13D21">
        <w:t>proveden je p</w:t>
      </w:r>
      <w:r w:rsidRPr="00167ED8">
        <w:t xml:space="preserve">rojekt pod nazivom: UP.0l .3.2.02.0001 ,,Poticanje obrazovanja za vezane obrte temeljene na sustavu naukovanja", </w:t>
      </w:r>
      <w:r w:rsidR="00F13D21">
        <w:t xml:space="preserve">u </w:t>
      </w:r>
      <w:r w:rsidRPr="00167ED8">
        <w:t xml:space="preserve">vrijednosti: 67.850.000,00 </w:t>
      </w:r>
      <w:r>
        <w:t>HRK</w:t>
      </w:r>
      <w:r w:rsidR="00F13D21">
        <w:t>.</w:t>
      </w:r>
      <w:r w:rsidRPr="00167ED8">
        <w:t xml:space="preserve"> Temeljem aktivnosti ,,Stipendiranje učenika u obrtničkim zanimanjima" kao jednog od projektnih elemenata, učenicima s područja Krapinsko-zagorske Županije u 2016. godini</w:t>
      </w:r>
      <w:r>
        <w:t xml:space="preserve"> </w:t>
      </w:r>
      <w:r w:rsidRPr="00167ED8">
        <w:t>dodijeljene su 93 stipendije u iznosu od 837.000,00 kuna, u</w:t>
      </w:r>
      <w:r>
        <w:t xml:space="preserve"> </w:t>
      </w:r>
      <w:r w:rsidRPr="00167ED8">
        <w:t>2017. godini 133 stipendije u iznosu od</w:t>
      </w:r>
      <w:r>
        <w:t xml:space="preserve"> </w:t>
      </w:r>
      <w:r w:rsidRPr="00167ED8">
        <w:t>1.197.000,00</w:t>
      </w:r>
      <w:r>
        <w:t xml:space="preserve"> </w:t>
      </w:r>
      <w:r w:rsidRPr="00167ED8">
        <w:t>kuna</w:t>
      </w:r>
      <w:r>
        <w:t xml:space="preserve"> </w:t>
      </w:r>
      <w:r w:rsidRPr="00167ED8">
        <w:t>te</w:t>
      </w:r>
      <w:r>
        <w:t xml:space="preserve"> </w:t>
      </w:r>
      <w:r w:rsidRPr="00167ED8">
        <w:t>u</w:t>
      </w:r>
      <w:r>
        <w:t xml:space="preserve"> </w:t>
      </w:r>
      <w:r w:rsidRPr="00167ED8">
        <w:t>2018. godini 193 stipendije</w:t>
      </w:r>
      <w:r>
        <w:t xml:space="preserve"> </w:t>
      </w:r>
      <w:r w:rsidRPr="00167ED8">
        <w:t>u</w:t>
      </w:r>
      <w:r>
        <w:t xml:space="preserve"> </w:t>
      </w:r>
      <w:r w:rsidRPr="00167ED8">
        <w:t>iznosu</w:t>
      </w:r>
      <w:r>
        <w:t xml:space="preserve"> </w:t>
      </w:r>
      <w:r w:rsidRPr="00167ED8">
        <w:t xml:space="preserve">od 1.737.000,00kuna. </w:t>
      </w:r>
      <w:r w:rsidR="00F13D21" w:rsidRPr="00167ED8">
        <w:t>Također</w:t>
      </w:r>
      <w:r w:rsidRPr="00167ED8">
        <w:t>,</w:t>
      </w:r>
      <w:r>
        <w:t xml:space="preserve"> </w:t>
      </w:r>
      <w:r w:rsidRPr="00167ED8">
        <w:t>temeljem</w:t>
      </w:r>
      <w:r>
        <w:t xml:space="preserve"> </w:t>
      </w:r>
      <w:r w:rsidRPr="00167ED8">
        <w:t>aktivnosti ,,Naukovanje za obrtnička zanimanja" gospodarskim subjektima s područja navedene</w:t>
      </w:r>
      <w:r>
        <w:t xml:space="preserve"> </w:t>
      </w:r>
      <w:r w:rsidRPr="00167ED8">
        <w:t>Županije koji provode naukovanje u 2016. godini dodijeljene su 4 potpore u iznosu od</w:t>
      </w:r>
      <w:r>
        <w:t xml:space="preserve"> </w:t>
      </w:r>
      <w:r w:rsidRPr="00167ED8">
        <w:t>210.62l,9l</w:t>
      </w:r>
      <w:r>
        <w:t xml:space="preserve"> </w:t>
      </w:r>
      <w:r w:rsidRPr="00167ED8">
        <w:t>kuna, zatimu2017. godini l0 potpora u iznosu od 430.391,12 kuna te u 2018. godini l6 potpora u</w:t>
      </w:r>
      <w:r>
        <w:t xml:space="preserve"> </w:t>
      </w:r>
      <w:r w:rsidRPr="00167ED8">
        <w:t>iznosu od 77 4.233,96 kuna.</w:t>
      </w:r>
    </w:p>
    <w:p w14:paraId="6FE2C399" w14:textId="77777777" w:rsidR="008878A0" w:rsidRDefault="008878A0" w:rsidP="00941871">
      <w:pPr>
        <w:rPr>
          <w:rFonts w:asciiTheme="minorHAnsi" w:eastAsiaTheme="minorHAnsi" w:hAnsiTheme="minorHAnsi"/>
          <w:color w:val="691115" w:themeColor="accent1" w:themeShade="80"/>
        </w:rPr>
      </w:pPr>
    </w:p>
    <w:p w14:paraId="44754E2A" w14:textId="4BB9E6ED" w:rsidR="00DD53A2" w:rsidRDefault="00DD53A2" w:rsidP="00941871">
      <w:pPr>
        <w:rPr>
          <w:color w:val="9D1A1F" w:themeColor="accent4"/>
        </w:rPr>
      </w:pPr>
      <w:r w:rsidRPr="00DD53A2">
        <w:rPr>
          <w:color w:val="9D1A1F" w:themeColor="accent4"/>
        </w:rPr>
        <w:t>Operativni program konkurentnost i kohezija</w:t>
      </w:r>
      <w:r>
        <w:rPr>
          <w:color w:val="9D1A1F" w:themeColor="accent4"/>
        </w:rPr>
        <w:t xml:space="preserve"> </w:t>
      </w:r>
      <w:r w:rsidRPr="00C2577A">
        <w:rPr>
          <w:color w:val="9D1A1F" w:themeColor="accent4"/>
        </w:rPr>
        <w:t>2014.- 2020.</w:t>
      </w:r>
    </w:p>
    <w:p w14:paraId="35DCF501" w14:textId="1A542D5A" w:rsidR="00DD53A2" w:rsidRDefault="00DD53A2" w:rsidP="00941871">
      <w:r w:rsidRPr="00D128F9">
        <w:t>Za projekte ugovorene</w:t>
      </w:r>
      <w:r>
        <w:rPr>
          <w:color w:val="9D1A1F" w:themeColor="accent4"/>
        </w:rPr>
        <w:t xml:space="preserve"> </w:t>
      </w:r>
      <w:r w:rsidRPr="00D128F9">
        <w:t>iz Operativnog programa konkurentnost i kohezija</w:t>
      </w:r>
      <w:r w:rsidR="00C64D27">
        <w:t xml:space="preserve"> dostupni su</w:t>
      </w:r>
      <w:r w:rsidR="00D128F9">
        <w:t xml:space="preserve"> zbirni podaci koje je objavilo Ministarstvo regionalnog razvoja i fondova Europske unije. </w:t>
      </w:r>
      <w:r w:rsidR="00BE1C9D">
        <w:t>Prema najnovijim podacima, Krapinsko-zagorska županija je u razdoblju od 2017. do 2019. ugovorila projekte u vrijednosti od 915,6 milijuna kuna.</w:t>
      </w:r>
    </w:p>
    <w:p w14:paraId="2A5C905E" w14:textId="57E88D23" w:rsidR="00C64D27" w:rsidRPr="00E02F51" w:rsidRDefault="00C64D27" w:rsidP="00E02F51">
      <w:r>
        <w:t xml:space="preserve">Osim toga, o provedbi Operativnog programa konkurentnost i kohezija, </w:t>
      </w:r>
      <w:r w:rsidR="00625281">
        <w:t xml:space="preserve">detaljnije </w:t>
      </w:r>
      <w:r>
        <w:t xml:space="preserve">podatke je dostavilo </w:t>
      </w:r>
      <w:r w:rsidRPr="00167ED8">
        <w:t>M</w:t>
      </w:r>
      <w:r>
        <w:t>inistarstvo</w:t>
      </w:r>
      <w:r w:rsidRPr="00167ED8">
        <w:t xml:space="preserve"> gospodarstva, poduzetništva i obrta</w:t>
      </w:r>
      <w:r w:rsidRPr="00C64D27">
        <w:t xml:space="preserve">. </w:t>
      </w:r>
      <w:r>
        <w:t>Kr</w:t>
      </w:r>
      <w:r w:rsidRPr="00C64D27">
        <w:t xml:space="preserve">oz 16 natječaja Ministarstva gospodarstva, poduzetništva i obrta objavljenih od 2015. </w:t>
      </w:r>
      <w:r w:rsidRPr="00C64D27">
        <w:lastRenderedPageBreak/>
        <w:t>godine do</w:t>
      </w:r>
      <w:r>
        <w:t xml:space="preserve"> </w:t>
      </w:r>
      <w:r w:rsidRPr="00C64D27">
        <w:t xml:space="preserve">danas, u </w:t>
      </w:r>
      <w:r>
        <w:t>Krapinsko-zagorskoj ž</w:t>
      </w:r>
      <w:r w:rsidRPr="00C64D27">
        <w:t xml:space="preserve">upaniji dodijeljeno je ukupno 108 potpora, od </w:t>
      </w:r>
      <w:r>
        <w:t>č</w:t>
      </w:r>
      <w:r w:rsidRPr="00C64D27">
        <w:t>ega 105 potpora</w:t>
      </w:r>
      <w:r>
        <w:t xml:space="preserve"> </w:t>
      </w:r>
      <w:r w:rsidRPr="00C64D27">
        <w:t xml:space="preserve">poduzetnicima i obrtnicima i 3 potpore za poduzetničku </w:t>
      </w:r>
      <w:r>
        <w:t xml:space="preserve">infrastrukturu. Od </w:t>
      </w:r>
      <w:r w:rsidR="00221BFD">
        <w:t>toga:</w:t>
      </w:r>
      <w:r>
        <w:t xml:space="preserve"> </w:t>
      </w:r>
      <w:r w:rsidR="00221BFD">
        <w:t xml:space="preserve"> 5</w:t>
      </w:r>
      <w:r w:rsidRPr="00C64D27">
        <w:t xml:space="preserve"> potpora kroz poziv</w:t>
      </w:r>
      <w:r>
        <w:t xml:space="preserve"> </w:t>
      </w:r>
      <w:r w:rsidRPr="00C64D27">
        <w:t xml:space="preserve">Izgradnja proizvodnih kapaciteta MSP i ulaganje u </w:t>
      </w:r>
      <w:r w:rsidR="00221BFD">
        <w:t>opremu;</w:t>
      </w:r>
      <w:r w:rsidRPr="00C64D27">
        <w:t xml:space="preserve"> </w:t>
      </w:r>
      <w:r w:rsidR="00221BFD">
        <w:t>2</w:t>
      </w:r>
      <w:r w:rsidRPr="00C64D27">
        <w:t xml:space="preserve"> potpore kroz poziv Ulaganje u</w:t>
      </w:r>
      <w:r>
        <w:t xml:space="preserve"> </w:t>
      </w:r>
      <w:r w:rsidRPr="00C64D27">
        <w:t xml:space="preserve">proizvodnu tehnologiju </w:t>
      </w:r>
      <w:r w:rsidR="00221BFD">
        <w:t xml:space="preserve">MSP; </w:t>
      </w:r>
      <w:r w:rsidRPr="00C64D27">
        <w:t xml:space="preserve">20 potpora kroz poziv </w:t>
      </w:r>
      <w:r w:rsidR="00221BFD" w:rsidRPr="00C64D27">
        <w:t>Poboljšanje</w:t>
      </w:r>
      <w:r w:rsidRPr="00C64D27">
        <w:t xml:space="preserve"> konkurentnosti i </w:t>
      </w:r>
      <w:r w:rsidR="00221BFD" w:rsidRPr="00C64D27">
        <w:t>učinkovitosti</w:t>
      </w:r>
      <w:r w:rsidRPr="00C64D27">
        <w:t xml:space="preserve"> MSP</w:t>
      </w:r>
      <w:r w:rsidR="00221BFD">
        <w:t xml:space="preserve"> </w:t>
      </w:r>
      <w:r w:rsidRPr="00C64D27">
        <w:t xml:space="preserve">u </w:t>
      </w:r>
      <w:r w:rsidR="00221BFD" w:rsidRPr="00C64D27">
        <w:t>područjima</w:t>
      </w:r>
      <w:r w:rsidRPr="00C64D27">
        <w:t xml:space="preserve"> s </w:t>
      </w:r>
      <w:r w:rsidR="00221BFD" w:rsidRPr="00C64D27">
        <w:t>razvojnim</w:t>
      </w:r>
      <w:r w:rsidRPr="00C64D27">
        <w:t xml:space="preserve"> posebnostima kroz informacijske i komunikacijske </w:t>
      </w:r>
      <w:r w:rsidR="00221BFD" w:rsidRPr="00C64D27">
        <w:t>tehnologije</w:t>
      </w:r>
      <w:r w:rsidR="00221BFD">
        <w:t xml:space="preserve"> (IKT);</w:t>
      </w:r>
      <w:r w:rsidRPr="00C64D27">
        <w:t xml:space="preserve"> </w:t>
      </w:r>
      <w:r w:rsidR="00221BFD">
        <w:t xml:space="preserve">9 </w:t>
      </w:r>
      <w:r w:rsidRPr="00C64D27">
        <w:t xml:space="preserve">potpora temeljem poziva Kompetentnost i </w:t>
      </w:r>
      <w:r w:rsidR="00221BFD">
        <w:t>razv</w:t>
      </w:r>
      <w:r w:rsidRPr="00C64D27">
        <w:t>oj MSP,</w:t>
      </w:r>
      <w:r w:rsidR="00221BFD">
        <w:t xml:space="preserve"> </w:t>
      </w:r>
      <w:r w:rsidRPr="00C64D27">
        <w:t xml:space="preserve">34 potpore temeljem poziva </w:t>
      </w:r>
      <w:r w:rsidR="00221BFD">
        <w:t xml:space="preserve">E-impuls; </w:t>
      </w:r>
      <w:r w:rsidRPr="00C64D27">
        <w:t>jedna</w:t>
      </w:r>
      <w:r w:rsidR="00221BFD">
        <w:t xml:space="preserve"> </w:t>
      </w:r>
      <w:r w:rsidRPr="00C64D27">
        <w:t xml:space="preserve">potpora temeljem poziva Razvoj </w:t>
      </w:r>
      <w:r w:rsidR="00221BFD">
        <w:t>poslovne infrastrukture;</w:t>
      </w:r>
      <w:r w:rsidRPr="00C64D27">
        <w:t xml:space="preserve"> </w:t>
      </w:r>
      <w:r w:rsidR="00221BFD">
        <w:t>7</w:t>
      </w:r>
      <w:r w:rsidRPr="00C64D27">
        <w:t xml:space="preserve"> potpora temeljem poziva</w:t>
      </w:r>
      <w:r w:rsidR="00221BFD">
        <w:t xml:space="preserve"> </w:t>
      </w:r>
      <w:r w:rsidRPr="00C64D27">
        <w:t xml:space="preserve">Internacionalizacija poslovanja </w:t>
      </w:r>
      <w:r w:rsidR="00221BFD">
        <w:t xml:space="preserve">MSP; </w:t>
      </w:r>
      <w:r w:rsidRPr="00C64D27">
        <w:t xml:space="preserve">jedna potpora temeljem poziva </w:t>
      </w:r>
      <w:r w:rsidR="00221BFD" w:rsidRPr="00C64D27">
        <w:t>Certifikacijom</w:t>
      </w:r>
      <w:r w:rsidRPr="00C64D27">
        <w:t xml:space="preserve"> proizvoda do</w:t>
      </w:r>
      <w:r w:rsidR="00221BFD">
        <w:t xml:space="preserve"> tržišta; </w:t>
      </w:r>
      <w:r w:rsidRPr="00C64D27">
        <w:t>jedna potpora temeljem poziva Ra</w:t>
      </w:r>
      <w:r w:rsidR="006432D2">
        <w:t>zvoj</w:t>
      </w:r>
      <w:r w:rsidRPr="00C64D27">
        <w:t xml:space="preserve"> infrastrukture </w:t>
      </w:r>
      <w:r w:rsidR="00221BFD" w:rsidRPr="00C64D27">
        <w:t>poduzetničkih</w:t>
      </w:r>
      <w:r w:rsidR="00221BFD">
        <w:t xml:space="preserve"> zona; </w:t>
      </w:r>
      <w:r w:rsidRPr="00C64D27">
        <w:t>jedna potpora kroz</w:t>
      </w:r>
      <w:r w:rsidR="00221BFD">
        <w:t xml:space="preserve"> </w:t>
      </w:r>
      <w:r w:rsidRPr="00C64D27">
        <w:t xml:space="preserve">poziv </w:t>
      </w:r>
      <w:r w:rsidR="00221BFD" w:rsidRPr="00C64D27">
        <w:t>Pružanje</w:t>
      </w:r>
      <w:r w:rsidR="00221BFD">
        <w:t xml:space="preserve"> visokokv</w:t>
      </w:r>
      <w:r w:rsidRPr="00C64D27">
        <w:t>alitetnih</w:t>
      </w:r>
      <w:r w:rsidR="00221BFD">
        <w:t xml:space="preserve"> </w:t>
      </w:r>
      <w:r w:rsidRPr="00C64D27">
        <w:t>usluga</w:t>
      </w:r>
      <w:r w:rsidR="00221BFD">
        <w:t xml:space="preserve"> </w:t>
      </w:r>
      <w:r w:rsidRPr="00C64D27">
        <w:t>za</w:t>
      </w:r>
      <w:r w:rsidR="00221BFD">
        <w:t xml:space="preserve"> MSP </w:t>
      </w:r>
      <w:r w:rsidRPr="00C64D27">
        <w:t>putem</w:t>
      </w:r>
      <w:r w:rsidR="00221BFD">
        <w:t xml:space="preserve"> </w:t>
      </w:r>
      <w:r w:rsidR="00221BFD" w:rsidRPr="00C64D27">
        <w:t>poduzetničkih</w:t>
      </w:r>
      <w:r w:rsidR="00221BFD">
        <w:t xml:space="preserve"> </w:t>
      </w:r>
      <w:r w:rsidRPr="00C64D27">
        <w:t>potpornih</w:t>
      </w:r>
      <w:r w:rsidR="00221BFD">
        <w:t xml:space="preserve"> </w:t>
      </w:r>
      <w:r w:rsidRPr="00C64D27">
        <w:t>institucija</w:t>
      </w:r>
      <w:r w:rsidR="00221BFD">
        <w:t xml:space="preserve"> (PPI); 5 </w:t>
      </w:r>
      <w:r w:rsidRPr="00C64D27">
        <w:t xml:space="preserve">potpora na temelju poziva WWW </w:t>
      </w:r>
      <w:r w:rsidR="00221BFD" w:rsidRPr="00C64D27">
        <w:t>vaučeri</w:t>
      </w:r>
      <w:r w:rsidRPr="00C64D27">
        <w:t xml:space="preserve"> za MSP-ove, </w:t>
      </w:r>
      <w:r w:rsidR="00221BFD">
        <w:t>10</w:t>
      </w:r>
      <w:r w:rsidRPr="00C64D27">
        <w:t xml:space="preserve"> potpora temeljem poziva </w:t>
      </w:r>
      <w:r w:rsidR="00221BFD" w:rsidRPr="00C64D27">
        <w:t>Uvođenje</w:t>
      </w:r>
      <w:r w:rsidR="00221BFD">
        <w:t xml:space="preserve"> </w:t>
      </w:r>
      <w:r w:rsidR="00E02F51">
        <w:t>sustava upravljanja</w:t>
      </w:r>
      <w:r w:rsidR="00E02F51" w:rsidRPr="00E02F51">
        <w:t xml:space="preserve"> poslov</w:t>
      </w:r>
      <w:r w:rsidR="00E02F51">
        <w:t>nim procesima</w:t>
      </w:r>
      <w:r w:rsidR="00E02F51" w:rsidRPr="00E02F51">
        <w:t xml:space="preserve"> i </w:t>
      </w:r>
      <w:r w:rsidR="00E02F51">
        <w:t>kvalitetom</w:t>
      </w:r>
      <w:r w:rsidR="00E02F51" w:rsidRPr="00E02F51">
        <w:t xml:space="preserve"> (lSO </w:t>
      </w:r>
      <w:r w:rsidR="00E02F51">
        <w:t>i slič</w:t>
      </w:r>
      <w:r w:rsidR="00E02F51" w:rsidRPr="00E02F51">
        <w:t xml:space="preserve">ne </w:t>
      </w:r>
      <w:r w:rsidR="00E02F51">
        <w:t>norme); 6</w:t>
      </w:r>
      <w:r w:rsidR="00E02F51" w:rsidRPr="00E02F51">
        <w:t xml:space="preserve"> potpora temeljem</w:t>
      </w:r>
      <w:r w:rsidR="00E02F51">
        <w:t xml:space="preserve"> </w:t>
      </w:r>
      <w:r w:rsidR="00E02F51" w:rsidRPr="00E02F51">
        <w:t xml:space="preserve">poziva </w:t>
      </w:r>
      <w:r w:rsidR="00E02F51">
        <w:t>I</w:t>
      </w:r>
      <w:r w:rsidR="00E02F51" w:rsidRPr="00E02F51">
        <w:t xml:space="preserve">zgradnja i opremanje </w:t>
      </w:r>
      <w:r w:rsidR="00E02F51">
        <w:t>proizvodnih</w:t>
      </w:r>
      <w:r w:rsidR="00E02F51" w:rsidRPr="00E02F51">
        <w:t xml:space="preserve"> kapaciteta </w:t>
      </w:r>
      <w:r w:rsidR="00E02F51">
        <w:t>MSP; 4</w:t>
      </w:r>
      <w:r w:rsidR="00E02F51" w:rsidRPr="00E02F51">
        <w:t xml:space="preserve"> potpore temeljem poziva</w:t>
      </w:r>
      <w:r w:rsidR="00E02F51">
        <w:t xml:space="preserve"> </w:t>
      </w:r>
      <w:r w:rsidR="00E02F51" w:rsidRPr="00E02F51">
        <w:t xml:space="preserve">Internacionalizacija poslovanja MSP-ova - Faza </w:t>
      </w:r>
      <w:r w:rsidR="00E02F51">
        <w:t>2;</w:t>
      </w:r>
      <w:r w:rsidR="00E02F51" w:rsidRPr="00E02F51">
        <w:t xml:space="preserve"> jedna potpora temeljem poziva Certifikacijom</w:t>
      </w:r>
      <w:r w:rsidR="00E02F51">
        <w:t xml:space="preserve"> </w:t>
      </w:r>
      <w:r w:rsidR="00E02F51" w:rsidRPr="00E02F51">
        <w:t>proizvoda do tržišta - II i jedna potpora temeljem poziva Znakovi kvalitete (vaučer). Ukupna</w:t>
      </w:r>
      <w:r w:rsidR="00E02F51">
        <w:t xml:space="preserve"> </w:t>
      </w:r>
      <w:r w:rsidR="00E02F51" w:rsidRPr="00E02F51">
        <w:t xml:space="preserve">vrijednost projekata u Krapinsko-zagorskoj </w:t>
      </w:r>
      <w:r w:rsidR="00E02F51">
        <w:t>ž</w:t>
      </w:r>
      <w:r w:rsidR="00E02F51" w:rsidRPr="00E02F51">
        <w:t>upaniji koji su ostvarili pravo na potporu iznosi</w:t>
      </w:r>
      <w:r w:rsidR="00E02F51">
        <w:t xml:space="preserve"> </w:t>
      </w:r>
      <w:r w:rsidR="00E02F51" w:rsidRPr="00E02F51">
        <w:t>343.154.767,59 kuna, dok ukupna vrijednost dodijeljenih bespovratnih sredstava iznosi</w:t>
      </w:r>
      <w:r w:rsidR="00E02F51">
        <w:t xml:space="preserve"> </w:t>
      </w:r>
      <w:r w:rsidR="00E02F51" w:rsidRPr="00E02F51">
        <w:t>138.571.240,58 kuna.</w:t>
      </w:r>
    </w:p>
    <w:p w14:paraId="78AFF835" w14:textId="41B33FF9" w:rsidR="00DD53A2" w:rsidRPr="00DD53A2" w:rsidRDefault="00DD53A2" w:rsidP="00941871">
      <w:pPr>
        <w:rPr>
          <w:color w:val="9D1A1F" w:themeColor="accent4"/>
        </w:rPr>
      </w:pPr>
    </w:p>
    <w:p w14:paraId="6976C216" w14:textId="77777777" w:rsidR="008878A0" w:rsidRPr="00C2577A" w:rsidRDefault="008878A0" w:rsidP="00941871">
      <w:pPr>
        <w:rPr>
          <w:color w:val="9D1A1F" w:themeColor="accent4"/>
        </w:rPr>
      </w:pPr>
      <w:r w:rsidRPr="00C2577A">
        <w:rPr>
          <w:color w:val="9D1A1F" w:themeColor="accent4"/>
        </w:rPr>
        <w:t xml:space="preserve">Program ruralnog razvoja Republike Hrvatske 2014.- 2020. </w:t>
      </w:r>
    </w:p>
    <w:p w14:paraId="08CECF4F" w14:textId="2080FCCE" w:rsidR="003B53EC" w:rsidRDefault="008878A0" w:rsidP="003B53EC">
      <w:pPr>
        <w:rPr>
          <w:rFonts w:eastAsia="Times New Roman" w:cs="Calibri"/>
          <w:lang w:eastAsia="hr-HR"/>
        </w:rPr>
      </w:pPr>
      <w:r w:rsidRPr="004945AF">
        <w:t>Prema podacima koje je dostavilo Ministarstvo poljoprivrede, a koji obuhvaćaju dosadašnje razdoblje provedbe, na razini Krapinsko-zagorske župan</w:t>
      </w:r>
      <w:r w:rsidR="0073392B">
        <w:t>ije je ugovoren 12.851 projek</w:t>
      </w:r>
      <w:r w:rsidRPr="004945AF">
        <w:t xml:space="preserve">t ukupne vrijednosti </w:t>
      </w:r>
      <w:r w:rsidRPr="004945AF">
        <w:rPr>
          <w:rFonts w:eastAsia="Times New Roman" w:cs="Calibri"/>
          <w:lang w:eastAsia="hr-HR"/>
        </w:rPr>
        <w:t>458.733.805,05 kuna.</w:t>
      </w:r>
    </w:p>
    <w:p w14:paraId="238D436D" w14:textId="77777777" w:rsidR="003B53EC" w:rsidRDefault="003B53EC" w:rsidP="003B53EC">
      <w:pPr>
        <w:rPr>
          <w:rFonts w:eastAsia="Times New Roman" w:cs="Calibri"/>
          <w:lang w:eastAsia="hr-HR"/>
        </w:rPr>
      </w:pPr>
    </w:p>
    <w:p w14:paraId="7EF00C36" w14:textId="094D2DC5" w:rsidR="003B53EC" w:rsidRDefault="003B53EC" w:rsidP="003E3F3C">
      <w:pPr>
        <w:pStyle w:val="Opisslike"/>
      </w:pPr>
      <w:r>
        <w:t>Tablica</w:t>
      </w:r>
      <w:r w:rsidR="00840136">
        <w:t xml:space="preserve"> </w:t>
      </w:r>
      <w:r w:rsidR="00934D1C">
        <w:t>201</w:t>
      </w:r>
      <w:r>
        <w:t xml:space="preserve">. </w:t>
      </w:r>
      <w:r w:rsidRPr="00341977">
        <w:t>Prikaz broja projekata i ugovorenih iznosa iz mjera Programa ruralnog razvoja RH 2014.- 2020. za Krapinsko-zagorsku županiju, ukupno do prosinca 2019. godine</w:t>
      </w:r>
    </w:p>
    <w:tbl>
      <w:tblPr>
        <w:tblW w:w="9214" w:type="dxa"/>
        <w:tblInd w:w="-5" w:type="dxa"/>
        <w:tblBorders>
          <w:left w:val="single" w:sz="8" w:space="0" w:color="D2232A"/>
          <w:right w:val="single" w:sz="8" w:space="0" w:color="D2232A"/>
          <w:insideH w:val="single" w:sz="8" w:space="0" w:color="F3CFC1"/>
          <w:insideV w:val="single" w:sz="8" w:space="0" w:color="D2232A"/>
        </w:tblBorders>
        <w:tblLook w:val="04A0" w:firstRow="1" w:lastRow="0" w:firstColumn="1" w:lastColumn="0" w:noHBand="0" w:noVBand="1"/>
      </w:tblPr>
      <w:tblGrid>
        <w:gridCol w:w="5740"/>
        <w:gridCol w:w="1773"/>
        <w:gridCol w:w="1701"/>
      </w:tblGrid>
      <w:tr w:rsidR="00F20839" w:rsidRPr="00F20839" w14:paraId="5A37CD4B" w14:textId="77777777" w:rsidTr="003B53EC">
        <w:trPr>
          <w:trHeight w:val="900"/>
          <w:tblHeader/>
        </w:trPr>
        <w:tc>
          <w:tcPr>
            <w:tcW w:w="5740" w:type="dxa"/>
            <w:shd w:val="clear" w:color="auto" w:fill="D2232A" w:themeFill="accent1"/>
            <w:noWrap/>
            <w:vAlign w:val="bottom"/>
            <w:hideMark/>
          </w:tcPr>
          <w:p w14:paraId="44723E1E" w14:textId="77777777" w:rsidR="008878A0" w:rsidRPr="00F20839" w:rsidRDefault="008878A0" w:rsidP="00941871">
            <w:pPr>
              <w:spacing w:after="0" w:line="240" w:lineRule="auto"/>
              <w:rPr>
                <w:rFonts w:eastAsia="Times New Roman" w:cs="Calibri"/>
                <w:color w:val="FFFFFF" w:themeColor="background1"/>
                <w:szCs w:val="18"/>
                <w:lang w:eastAsia="hr-HR"/>
              </w:rPr>
            </w:pPr>
            <w:r w:rsidRPr="00F20839">
              <w:rPr>
                <w:rFonts w:eastAsia="Times New Roman" w:cs="Calibri"/>
                <w:color w:val="FFFFFF" w:themeColor="background1"/>
                <w:szCs w:val="18"/>
                <w:lang w:eastAsia="hr-HR"/>
              </w:rPr>
              <w:t>NAZIV MJERE</w:t>
            </w:r>
          </w:p>
        </w:tc>
        <w:tc>
          <w:tcPr>
            <w:tcW w:w="1773" w:type="dxa"/>
            <w:shd w:val="clear" w:color="auto" w:fill="D2232A" w:themeFill="accent1"/>
            <w:vAlign w:val="center"/>
            <w:hideMark/>
          </w:tcPr>
          <w:p w14:paraId="6DC5DCB6" w14:textId="77777777" w:rsidR="008878A0" w:rsidRPr="00F20839" w:rsidRDefault="008878A0" w:rsidP="004A7AA3">
            <w:pPr>
              <w:spacing w:after="0" w:line="240" w:lineRule="auto"/>
              <w:jc w:val="right"/>
              <w:rPr>
                <w:rFonts w:eastAsia="Times New Roman" w:cs="Calibri"/>
                <w:color w:val="FFFFFF" w:themeColor="background1"/>
                <w:szCs w:val="18"/>
                <w:lang w:eastAsia="hr-HR"/>
              </w:rPr>
            </w:pPr>
            <w:r w:rsidRPr="00F20839">
              <w:rPr>
                <w:rFonts w:eastAsia="Times New Roman" w:cs="Calibri"/>
                <w:color w:val="FFFFFF" w:themeColor="background1"/>
                <w:szCs w:val="18"/>
                <w:lang w:eastAsia="hr-HR"/>
              </w:rPr>
              <w:t xml:space="preserve">BROJ UGOVORENIH PROJEKTA </w:t>
            </w:r>
          </w:p>
        </w:tc>
        <w:tc>
          <w:tcPr>
            <w:tcW w:w="1701" w:type="dxa"/>
            <w:shd w:val="clear" w:color="auto" w:fill="D2232A" w:themeFill="accent1"/>
            <w:vAlign w:val="bottom"/>
            <w:hideMark/>
          </w:tcPr>
          <w:p w14:paraId="5AB12DD3" w14:textId="77777777" w:rsidR="008878A0" w:rsidRPr="00F20839" w:rsidRDefault="008878A0" w:rsidP="004A7AA3">
            <w:pPr>
              <w:spacing w:after="0" w:line="240" w:lineRule="auto"/>
              <w:jc w:val="right"/>
              <w:rPr>
                <w:rFonts w:eastAsia="Times New Roman" w:cs="Calibri"/>
                <w:color w:val="FFFFFF" w:themeColor="background1"/>
                <w:szCs w:val="18"/>
                <w:lang w:eastAsia="hr-HR"/>
              </w:rPr>
            </w:pPr>
            <w:r w:rsidRPr="00F20839">
              <w:rPr>
                <w:rFonts w:eastAsia="Times New Roman" w:cs="Calibri"/>
                <w:color w:val="FFFFFF" w:themeColor="background1"/>
                <w:szCs w:val="18"/>
                <w:lang w:eastAsia="hr-HR"/>
              </w:rPr>
              <w:t>VRIJEDNOST UGOVORENE POTPORE (kn)</w:t>
            </w:r>
          </w:p>
        </w:tc>
      </w:tr>
      <w:tr w:rsidR="00F20839" w:rsidRPr="00F20839" w14:paraId="04ECE4EE" w14:textId="77777777" w:rsidTr="00C2577A">
        <w:trPr>
          <w:trHeight w:val="300"/>
        </w:trPr>
        <w:tc>
          <w:tcPr>
            <w:tcW w:w="9214" w:type="dxa"/>
            <w:gridSpan w:val="3"/>
            <w:shd w:val="clear" w:color="auto" w:fill="D2232A" w:themeFill="accent1"/>
            <w:noWrap/>
            <w:vAlign w:val="bottom"/>
            <w:hideMark/>
          </w:tcPr>
          <w:p w14:paraId="29CBA7B0"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3</w:t>
            </w:r>
          </w:p>
        </w:tc>
      </w:tr>
      <w:tr w:rsidR="00F20839" w:rsidRPr="00F20839" w14:paraId="2768D4E7" w14:textId="77777777" w:rsidTr="004945AF">
        <w:trPr>
          <w:trHeight w:val="300"/>
        </w:trPr>
        <w:tc>
          <w:tcPr>
            <w:tcW w:w="5740" w:type="dxa"/>
            <w:noWrap/>
            <w:vAlign w:val="bottom"/>
            <w:hideMark/>
          </w:tcPr>
          <w:p w14:paraId="0F1737B6"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3.1.1. Potpora za sudjelovanje poljoprivrednika u sustavima kvalitete</w:t>
            </w:r>
          </w:p>
        </w:tc>
        <w:tc>
          <w:tcPr>
            <w:tcW w:w="1773" w:type="dxa"/>
            <w:noWrap/>
            <w:vAlign w:val="bottom"/>
            <w:hideMark/>
          </w:tcPr>
          <w:p w14:paraId="08C0EBE8"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2</w:t>
            </w:r>
          </w:p>
        </w:tc>
        <w:tc>
          <w:tcPr>
            <w:tcW w:w="1701" w:type="dxa"/>
            <w:noWrap/>
            <w:vAlign w:val="bottom"/>
            <w:hideMark/>
          </w:tcPr>
          <w:p w14:paraId="6C26CBE4"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72.500,00   </w:t>
            </w:r>
          </w:p>
        </w:tc>
      </w:tr>
      <w:tr w:rsidR="00F20839" w:rsidRPr="00F20839" w14:paraId="06666FDD" w14:textId="77777777" w:rsidTr="00C2577A">
        <w:trPr>
          <w:trHeight w:val="300"/>
        </w:trPr>
        <w:tc>
          <w:tcPr>
            <w:tcW w:w="9214" w:type="dxa"/>
            <w:gridSpan w:val="3"/>
            <w:shd w:val="clear" w:color="auto" w:fill="D2232A" w:themeFill="accent1"/>
            <w:noWrap/>
            <w:vAlign w:val="bottom"/>
            <w:hideMark/>
          </w:tcPr>
          <w:p w14:paraId="7BBC6B1F"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4</w:t>
            </w:r>
          </w:p>
        </w:tc>
      </w:tr>
      <w:tr w:rsidR="00F20839" w:rsidRPr="00F20839" w14:paraId="6CEAFA60" w14:textId="77777777" w:rsidTr="004945AF">
        <w:trPr>
          <w:trHeight w:val="300"/>
        </w:trPr>
        <w:tc>
          <w:tcPr>
            <w:tcW w:w="5740" w:type="dxa"/>
            <w:noWrap/>
            <w:vAlign w:val="bottom"/>
            <w:hideMark/>
          </w:tcPr>
          <w:p w14:paraId="22DE1E78"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4.1.1. Restrukturiranje, modernizacija i povećanje konkurentnosti poljoprivrednih gospodarstava</w:t>
            </w:r>
          </w:p>
        </w:tc>
        <w:tc>
          <w:tcPr>
            <w:tcW w:w="1773" w:type="dxa"/>
            <w:noWrap/>
            <w:vAlign w:val="bottom"/>
            <w:hideMark/>
          </w:tcPr>
          <w:p w14:paraId="3E43A960"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31</w:t>
            </w:r>
          </w:p>
        </w:tc>
        <w:tc>
          <w:tcPr>
            <w:tcW w:w="1701" w:type="dxa"/>
            <w:noWrap/>
            <w:vAlign w:val="bottom"/>
            <w:hideMark/>
          </w:tcPr>
          <w:p w14:paraId="44C5A22A"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57.968.593,17   </w:t>
            </w:r>
          </w:p>
        </w:tc>
      </w:tr>
      <w:tr w:rsidR="00F20839" w:rsidRPr="00F20839" w14:paraId="2D230AC1" w14:textId="77777777" w:rsidTr="004945AF">
        <w:trPr>
          <w:trHeight w:val="300"/>
        </w:trPr>
        <w:tc>
          <w:tcPr>
            <w:tcW w:w="5740" w:type="dxa"/>
            <w:noWrap/>
            <w:vAlign w:val="bottom"/>
            <w:hideMark/>
          </w:tcPr>
          <w:p w14:paraId="0D941BE8"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4.1.1. Restrukturiranje, modernizacija i povećanje konkurentnosti poljoprivrednih gospodarstava - FI</w:t>
            </w:r>
          </w:p>
        </w:tc>
        <w:tc>
          <w:tcPr>
            <w:tcW w:w="1773" w:type="dxa"/>
            <w:noWrap/>
            <w:vAlign w:val="bottom"/>
            <w:hideMark/>
          </w:tcPr>
          <w:p w14:paraId="05FF3D78"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7</w:t>
            </w:r>
          </w:p>
        </w:tc>
        <w:tc>
          <w:tcPr>
            <w:tcW w:w="1701" w:type="dxa"/>
            <w:noWrap/>
            <w:vAlign w:val="bottom"/>
            <w:hideMark/>
          </w:tcPr>
          <w:p w14:paraId="2BE5E230"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2.330.019,11   </w:t>
            </w:r>
          </w:p>
        </w:tc>
      </w:tr>
      <w:tr w:rsidR="00F20839" w:rsidRPr="00F20839" w14:paraId="67FB7E30" w14:textId="77777777" w:rsidTr="004945AF">
        <w:trPr>
          <w:trHeight w:val="300"/>
        </w:trPr>
        <w:tc>
          <w:tcPr>
            <w:tcW w:w="5740" w:type="dxa"/>
            <w:noWrap/>
            <w:vAlign w:val="bottom"/>
            <w:hideMark/>
          </w:tcPr>
          <w:p w14:paraId="3460543F"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4.1.2. Zbrinjavanje, rukovanje i korištenje stajskog gnojiva u cilju smanjenja štetnog utjecaja na okoliš</w:t>
            </w:r>
          </w:p>
        </w:tc>
        <w:tc>
          <w:tcPr>
            <w:tcW w:w="1773" w:type="dxa"/>
            <w:noWrap/>
            <w:vAlign w:val="bottom"/>
            <w:hideMark/>
          </w:tcPr>
          <w:p w14:paraId="6E8CCF53"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11</w:t>
            </w:r>
          </w:p>
        </w:tc>
        <w:tc>
          <w:tcPr>
            <w:tcW w:w="1701" w:type="dxa"/>
            <w:noWrap/>
            <w:vAlign w:val="bottom"/>
            <w:hideMark/>
          </w:tcPr>
          <w:p w14:paraId="2AFA8636"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15.436.594,57   </w:t>
            </w:r>
          </w:p>
        </w:tc>
      </w:tr>
      <w:tr w:rsidR="00F20839" w:rsidRPr="00F20839" w14:paraId="64140862" w14:textId="77777777" w:rsidTr="004945AF">
        <w:trPr>
          <w:trHeight w:val="300"/>
        </w:trPr>
        <w:tc>
          <w:tcPr>
            <w:tcW w:w="5740" w:type="dxa"/>
            <w:noWrap/>
            <w:vAlign w:val="bottom"/>
            <w:hideMark/>
          </w:tcPr>
          <w:p w14:paraId="3624D699"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4.1.3. Korištenje obnovljivih izvora energije</w:t>
            </w:r>
          </w:p>
        </w:tc>
        <w:tc>
          <w:tcPr>
            <w:tcW w:w="1773" w:type="dxa"/>
            <w:noWrap/>
            <w:vAlign w:val="bottom"/>
            <w:hideMark/>
          </w:tcPr>
          <w:p w14:paraId="3E497948"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2</w:t>
            </w:r>
          </w:p>
        </w:tc>
        <w:tc>
          <w:tcPr>
            <w:tcW w:w="1701" w:type="dxa"/>
            <w:noWrap/>
            <w:vAlign w:val="bottom"/>
            <w:hideMark/>
          </w:tcPr>
          <w:p w14:paraId="23BEA6DC"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3.177.900,72   </w:t>
            </w:r>
          </w:p>
        </w:tc>
      </w:tr>
      <w:tr w:rsidR="00F20839" w:rsidRPr="00F20839" w14:paraId="7B6616A3" w14:textId="77777777" w:rsidTr="004945AF">
        <w:trPr>
          <w:trHeight w:val="300"/>
        </w:trPr>
        <w:tc>
          <w:tcPr>
            <w:tcW w:w="5740" w:type="dxa"/>
            <w:noWrap/>
            <w:vAlign w:val="bottom"/>
            <w:hideMark/>
          </w:tcPr>
          <w:p w14:paraId="6F9275DC"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4.2.1. Povećanje dodane vrijednosti poljoprivrednim proizvodima</w:t>
            </w:r>
          </w:p>
        </w:tc>
        <w:tc>
          <w:tcPr>
            <w:tcW w:w="1773" w:type="dxa"/>
            <w:noWrap/>
            <w:vAlign w:val="bottom"/>
            <w:hideMark/>
          </w:tcPr>
          <w:p w14:paraId="60C06617"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4</w:t>
            </w:r>
          </w:p>
        </w:tc>
        <w:tc>
          <w:tcPr>
            <w:tcW w:w="1701" w:type="dxa"/>
            <w:noWrap/>
            <w:vAlign w:val="bottom"/>
            <w:hideMark/>
          </w:tcPr>
          <w:p w14:paraId="50197338"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8.708.419,01   </w:t>
            </w:r>
          </w:p>
        </w:tc>
      </w:tr>
      <w:tr w:rsidR="00F20839" w:rsidRPr="00F20839" w14:paraId="06BEE1F0" w14:textId="77777777" w:rsidTr="004945AF">
        <w:trPr>
          <w:trHeight w:val="300"/>
        </w:trPr>
        <w:tc>
          <w:tcPr>
            <w:tcW w:w="5740" w:type="dxa"/>
            <w:noWrap/>
            <w:vAlign w:val="bottom"/>
            <w:hideMark/>
          </w:tcPr>
          <w:p w14:paraId="167F6F9E"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4.3.3. Ulaganje u šumsku infrastrukturu</w:t>
            </w:r>
          </w:p>
        </w:tc>
        <w:tc>
          <w:tcPr>
            <w:tcW w:w="1773" w:type="dxa"/>
            <w:noWrap/>
            <w:vAlign w:val="bottom"/>
            <w:hideMark/>
          </w:tcPr>
          <w:p w14:paraId="31E9B260"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1</w:t>
            </w:r>
          </w:p>
        </w:tc>
        <w:tc>
          <w:tcPr>
            <w:tcW w:w="1701" w:type="dxa"/>
            <w:noWrap/>
            <w:vAlign w:val="bottom"/>
            <w:hideMark/>
          </w:tcPr>
          <w:p w14:paraId="6D6CECA2"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1.454.054,79   </w:t>
            </w:r>
          </w:p>
        </w:tc>
      </w:tr>
      <w:tr w:rsidR="00F20839" w:rsidRPr="00F20839" w14:paraId="46D8E63C" w14:textId="77777777" w:rsidTr="004945AF">
        <w:trPr>
          <w:trHeight w:val="300"/>
        </w:trPr>
        <w:tc>
          <w:tcPr>
            <w:tcW w:w="5740" w:type="dxa"/>
            <w:noWrap/>
            <w:vAlign w:val="bottom"/>
            <w:hideMark/>
          </w:tcPr>
          <w:p w14:paraId="63EE7AFE"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4.2.2. Korištenje obnovljivih izvora energije</w:t>
            </w:r>
          </w:p>
        </w:tc>
        <w:tc>
          <w:tcPr>
            <w:tcW w:w="1773" w:type="dxa"/>
            <w:noWrap/>
            <w:vAlign w:val="bottom"/>
            <w:hideMark/>
          </w:tcPr>
          <w:p w14:paraId="4EF15510"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1</w:t>
            </w:r>
          </w:p>
        </w:tc>
        <w:tc>
          <w:tcPr>
            <w:tcW w:w="1701" w:type="dxa"/>
            <w:noWrap/>
            <w:vAlign w:val="bottom"/>
            <w:hideMark/>
          </w:tcPr>
          <w:p w14:paraId="1B592B25"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523.867,36   </w:t>
            </w:r>
          </w:p>
        </w:tc>
      </w:tr>
      <w:tr w:rsidR="00F20839" w:rsidRPr="00F20839" w14:paraId="53486A83" w14:textId="77777777" w:rsidTr="00C2577A">
        <w:trPr>
          <w:trHeight w:val="300"/>
        </w:trPr>
        <w:tc>
          <w:tcPr>
            <w:tcW w:w="5740" w:type="dxa"/>
            <w:shd w:val="clear" w:color="auto" w:fill="E5E5E5" w:themeFill="text1" w:themeFillTint="33"/>
            <w:noWrap/>
            <w:vAlign w:val="bottom"/>
            <w:hideMark/>
          </w:tcPr>
          <w:p w14:paraId="0A0563B1" w14:textId="77777777" w:rsidR="008878A0" w:rsidRPr="00C2577A" w:rsidRDefault="008878A0" w:rsidP="00941871">
            <w:pPr>
              <w:spacing w:after="0" w:line="240" w:lineRule="auto"/>
              <w:rPr>
                <w:rFonts w:eastAsia="Times New Roman" w:cs="Calibri"/>
                <w:szCs w:val="18"/>
                <w:lang w:eastAsia="hr-HR"/>
              </w:rPr>
            </w:pPr>
            <w:r w:rsidRPr="00C2577A">
              <w:rPr>
                <w:rFonts w:eastAsia="Times New Roman" w:cs="Calibri"/>
                <w:szCs w:val="18"/>
                <w:lang w:eastAsia="hr-HR"/>
              </w:rPr>
              <w:t xml:space="preserve">UKUPNO </w:t>
            </w:r>
          </w:p>
        </w:tc>
        <w:tc>
          <w:tcPr>
            <w:tcW w:w="1773" w:type="dxa"/>
            <w:shd w:val="clear" w:color="auto" w:fill="E5E5E5" w:themeFill="text1" w:themeFillTint="33"/>
            <w:noWrap/>
            <w:vAlign w:val="bottom"/>
            <w:hideMark/>
          </w:tcPr>
          <w:p w14:paraId="0BCE3341" w14:textId="77777777" w:rsidR="008878A0" w:rsidRPr="00C2577A" w:rsidRDefault="008878A0" w:rsidP="004A7AA3">
            <w:pPr>
              <w:spacing w:after="0" w:line="240" w:lineRule="auto"/>
              <w:jc w:val="right"/>
              <w:rPr>
                <w:rFonts w:eastAsia="Times New Roman" w:cs="Calibri"/>
                <w:szCs w:val="18"/>
                <w:lang w:eastAsia="hr-HR"/>
              </w:rPr>
            </w:pPr>
            <w:r w:rsidRPr="00C2577A">
              <w:rPr>
                <w:rFonts w:eastAsia="Times New Roman" w:cs="Calibri"/>
                <w:szCs w:val="18"/>
                <w:lang w:eastAsia="hr-HR"/>
              </w:rPr>
              <w:t>57</w:t>
            </w:r>
          </w:p>
        </w:tc>
        <w:tc>
          <w:tcPr>
            <w:tcW w:w="1701" w:type="dxa"/>
            <w:shd w:val="clear" w:color="auto" w:fill="E5E5E5" w:themeFill="text1" w:themeFillTint="33"/>
            <w:noWrap/>
            <w:vAlign w:val="bottom"/>
            <w:hideMark/>
          </w:tcPr>
          <w:p w14:paraId="0090EFB4" w14:textId="77777777" w:rsidR="008878A0" w:rsidRPr="00C2577A" w:rsidRDefault="008878A0" w:rsidP="004A7AA3">
            <w:pPr>
              <w:spacing w:after="0" w:line="240" w:lineRule="auto"/>
              <w:jc w:val="right"/>
              <w:rPr>
                <w:rFonts w:eastAsia="Times New Roman" w:cs="Calibri"/>
                <w:szCs w:val="18"/>
                <w:lang w:eastAsia="hr-HR"/>
              </w:rPr>
            </w:pPr>
            <w:r w:rsidRPr="00C2577A">
              <w:rPr>
                <w:rFonts w:eastAsia="Times New Roman" w:cs="Calibri"/>
                <w:szCs w:val="18"/>
                <w:lang w:eastAsia="hr-HR"/>
              </w:rPr>
              <w:t xml:space="preserve">89.599.448,73   </w:t>
            </w:r>
          </w:p>
        </w:tc>
      </w:tr>
      <w:tr w:rsidR="00F20839" w:rsidRPr="00F20839" w14:paraId="386600CE" w14:textId="77777777" w:rsidTr="00C2577A">
        <w:trPr>
          <w:trHeight w:val="300"/>
        </w:trPr>
        <w:tc>
          <w:tcPr>
            <w:tcW w:w="9214" w:type="dxa"/>
            <w:gridSpan w:val="3"/>
            <w:shd w:val="clear" w:color="auto" w:fill="D2232A" w:themeFill="accent1"/>
            <w:noWrap/>
            <w:vAlign w:val="bottom"/>
            <w:hideMark/>
          </w:tcPr>
          <w:p w14:paraId="1C2AFE2F"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5</w:t>
            </w:r>
          </w:p>
        </w:tc>
      </w:tr>
      <w:tr w:rsidR="00F20839" w:rsidRPr="00F20839" w14:paraId="7C28B05C" w14:textId="77777777" w:rsidTr="004945AF">
        <w:trPr>
          <w:trHeight w:val="300"/>
        </w:trPr>
        <w:tc>
          <w:tcPr>
            <w:tcW w:w="5740" w:type="dxa"/>
            <w:noWrap/>
            <w:vAlign w:val="bottom"/>
            <w:hideMark/>
          </w:tcPr>
          <w:p w14:paraId="3C39AD5D"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5.2.1. Obnova poljoprivrednog zemljišta i proizvodnog potencijala</w:t>
            </w:r>
          </w:p>
        </w:tc>
        <w:tc>
          <w:tcPr>
            <w:tcW w:w="1773" w:type="dxa"/>
            <w:noWrap/>
            <w:vAlign w:val="bottom"/>
            <w:hideMark/>
          </w:tcPr>
          <w:p w14:paraId="0BBC8A0D"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12</w:t>
            </w:r>
          </w:p>
        </w:tc>
        <w:tc>
          <w:tcPr>
            <w:tcW w:w="1701" w:type="dxa"/>
            <w:noWrap/>
            <w:vAlign w:val="bottom"/>
            <w:hideMark/>
          </w:tcPr>
          <w:p w14:paraId="5B08D037"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4.728.722,56   </w:t>
            </w:r>
          </w:p>
        </w:tc>
      </w:tr>
      <w:tr w:rsidR="00F20839" w:rsidRPr="00F20839" w14:paraId="40AF824B" w14:textId="77777777" w:rsidTr="00C2577A">
        <w:trPr>
          <w:trHeight w:val="300"/>
        </w:trPr>
        <w:tc>
          <w:tcPr>
            <w:tcW w:w="9214" w:type="dxa"/>
            <w:gridSpan w:val="3"/>
            <w:shd w:val="clear" w:color="auto" w:fill="D2232A" w:themeFill="accent1"/>
            <w:noWrap/>
            <w:vAlign w:val="bottom"/>
            <w:hideMark/>
          </w:tcPr>
          <w:p w14:paraId="4002A638"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6</w:t>
            </w:r>
          </w:p>
        </w:tc>
      </w:tr>
      <w:tr w:rsidR="00F20839" w:rsidRPr="00F20839" w14:paraId="2B7D9D5D" w14:textId="77777777" w:rsidTr="004945AF">
        <w:trPr>
          <w:trHeight w:val="300"/>
        </w:trPr>
        <w:tc>
          <w:tcPr>
            <w:tcW w:w="5740" w:type="dxa"/>
            <w:noWrap/>
            <w:vAlign w:val="bottom"/>
            <w:hideMark/>
          </w:tcPr>
          <w:p w14:paraId="282649D2"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6.1.1. Potpora mladim poljoprivrednicima</w:t>
            </w:r>
          </w:p>
        </w:tc>
        <w:tc>
          <w:tcPr>
            <w:tcW w:w="1773" w:type="dxa"/>
            <w:noWrap/>
            <w:vAlign w:val="bottom"/>
            <w:hideMark/>
          </w:tcPr>
          <w:p w14:paraId="5FEAB735"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19</w:t>
            </w:r>
          </w:p>
        </w:tc>
        <w:tc>
          <w:tcPr>
            <w:tcW w:w="1701" w:type="dxa"/>
            <w:noWrap/>
            <w:vAlign w:val="bottom"/>
            <w:hideMark/>
          </w:tcPr>
          <w:p w14:paraId="4A8355C1"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5.939.625,00   </w:t>
            </w:r>
          </w:p>
        </w:tc>
      </w:tr>
      <w:tr w:rsidR="00F20839" w:rsidRPr="00F20839" w14:paraId="182A18AC" w14:textId="77777777" w:rsidTr="004945AF">
        <w:trPr>
          <w:trHeight w:val="300"/>
        </w:trPr>
        <w:tc>
          <w:tcPr>
            <w:tcW w:w="5740" w:type="dxa"/>
            <w:noWrap/>
            <w:vAlign w:val="bottom"/>
            <w:hideMark/>
          </w:tcPr>
          <w:p w14:paraId="0D0AC0DF"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6.2.1. Potpora ulaganju u pokretanje nepoljoprivrednih djelatnosti u ruralnim područjima</w:t>
            </w:r>
          </w:p>
        </w:tc>
        <w:tc>
          <w:tcPr>
            <w:tcW w:w="1773" w:type="dxa"/>
            <w:noWrap/>
            <w:vAlign w:val="bottom"/>
            <w:hideMark/>
          </w:tcPr>
          <w:p w14:paraId="7095D472"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9</w:t>
            </w:r>
          </w:p>
        </w:tc>
        <w:tc>
          <w:tcPr>
            <w:tcW w:w="1701" w:type="dxa"/>
            <w:noWrap/>
            <w:vAlign w:val="bottom"/>
            <w:hideMark/>
          </w:tcPr>
          <w:p w14:paraId="3F040469"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3.345.250,00   </w:t>
            </w:r>
          </w:p>
        </w:tc>
      </w:tr>
      <w:tr w:rsidR="00F20839" w:rsidRPr="00F20839" w14:paraId="354FBDC2" w14:textId="77777777" w:rsidTr="004945AF">
        <w:trPr>
          <w:trHeight w:val="300"/>
        </w:trPr>
        <w:tc>
          <w:tcPr>
            <w:tcW w:w="5740" w:type="dxa"/>
            <w:noWrap/>
            <w:vAlign w:val="bottom"/>
            <w:hideMark/>
          </w:tcPr>
          <w:p w14:paraId="220140DF"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6.3.1. Potpora razvoju malih poljoprivrednih gospodarstava</w:t>
            </w:r>
          </w:p>
        </w:tc>
        <w:tc>
          <w:tcPr>
            <w:tcW w:w="1773" w:type="dxa"/>
            <w:noWrap/>
            <w:vAlign w:val="bottom"/>
            <w:hideMark/>
          </w:tcPr>
          <w:p w14:paraId="2522824E"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163</w:t>
            </w:r>
          </w:p>
        </w:tc>
        <w:tc>
          <w:tcPr>
            <w:tcW w:w="1701" w:type="dxa"/>
            <w:noWrap/>
            <w:vAlign w:val="bottom"/>
            <w:hideMark/>
          </w:tcPr>
          <w:p w14:paraId="37EDB544"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18.238.440,00   </w:t>
            </w:r>
          </w:p>
        </w:tc>
      </w:tr>
      <w:tr w:rsidR="00F20839" w:rsidRPr="00F20839" w14:paraId="3CA39C49" w14:textId="77777777" w:rsidTr="004945AF">
        <w:trPr>
          <w:trHeight w:val="300"/>
        </w:trPr>
        <w:tc>
          <w:tcPr>
            <w:tcW w:w="5740" w:type="dxa"/>
            <w:noWrap/>
            <w:vAlign w:val="bottom"/>
            <w:hideMark/>
          </w:tcPr>
          <w:p w14:paraId="4F2F7CF7"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6.4.1. Razvoj nepoljoprivrednih djelatnosti u ruralnim područjima</w:t>
            </w:r>
          </w:p>
        </w:tc>
        <w:tc>
          <w:tcPr>
            <w:tcW w:w="1773" w:type="dxa"/>
            <w:noWrap/>
            <w:vAlign w:val="bottom"/>
            <w:hideMark/>
          </w:tcPr>
          <w:p w14:paraId="6BD9E020"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2</w:t>
            </w:r>
          </w:p>
        </w:tc>
        <w:tc>
          <w:tcPr>
            <w:tcW w:w="1701" w:type="dxa"/>
            <w:noWrap/>
            <w:vAlign w:val="bottom"/>
            <w:hideMark/>
          </w:tcPr>
          <w:p w14:paraId="20782802"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1.714.291,97   </w:t>
            </w:r>
          </w:p>
        </w:tc>
      </w:tr>
      <w:tr w:rsidR="00F20839" w:rsidRPr="00F20839" w14:paraId="5E87C3E9" w14:textId="77777777" w:rsidTr="00C2577A">
        <w:trPr>
          <w:trHeight w:val="300"/>
        </w:trPr>
        <w:tc>
          <w:tcPr>
            <w:tcW w:w="5740" w:type="dxa"/>
            <w:shd w:val="clear" w:color="auto" w:fill="E5E5E5" w:themeFill="text1" w:themeFillTint="33"/>
            <w:noWrap/>
            <w:vAlign w:val="bottom"/>
            <w:hideMark/>
          </w:tcPr>
          <w:p w14:paraId="6BAF61E7" w14:textId="77777777" w:rsidR="008878A0" w:rsidRPr="00C2577A" w:rsidRDefault="008878A0" w:rsidP="00941871">
            <w:pPr>
              <w:spacing w:after="0" w:line="240" w:lineRule="auto"/>
              <w:rPr>
                <w:rFonts w:eastAsia="Times New Roman" w:cs="Calibri"/>
                <w:szCs w:val="18"/>
                <w:lang w:eastAsia="hr-HR"/>
              </w:rPr>
            </w:pPr>
            <w:r w:rsidRPr="00C2577A">
              <w:rPr>
                <w:rFonts w:eastAsia="Times New Roman" w:cs="Calibri"/>
                <w:szCs w:val="18"/>
                <w:lang w:eastAsia="hr-HR"/>
              </w:rPr>
              <w:t>UKUPNO</w:t>
            </w:r>
          </w:p>
        </w:tc>
        <w:tc>
          <w:tcPr>
            <w:tcW w:w="1773" w:type="dxa"/>
            <w:shd w:val="clear" w:color="auto" w:fill="E5E5E5" w:themeFill="text1" w:themeFillTint="33"/>
            <w:noWrap/>
            <w:vAlign w:val="bottom"/>
            <w:hideMark/>
          </w:tcPr>
          <w:p w14:paraId="424BBC66" w14:textId="77777777" w:rsidR="008878A0" w:rsidRPr="00C2577A" w:rsidRDefault="008878A0" w:rsidP="004A7AA3">
            <w:pPr>
              <w:spacing w:after="0" w:line="240" w:lineRule="auto"/>
              <w:jc w:val="right"/>
              <w:rPr>
                <w:rFonts w:eastAsia="Times New Roman" w:cs="Calibri"/>
                <w:szCs w:val="18"/>
                <w:lang w:eastAsia="hr-HR"/>
              </w:rPr>
            </w:pPr>
            <w:r w:rsidRPr="00C2577A">
              <w:rPr>
                <w:rFonts w:eastAsia="Times New Roman" w:cs="Calibri"/>
                <w:szCs w:val="18"/>
                <w:lang w:eastAsia="hr-HR"/>
              </w:rPr>
              <w:t>193</w:t>
            </w:r>
          </w:p>
        </w:tc>
        <w:tc>
          <w:tcPr>
            <w:tcW w:w="1701" w:type="dxa"/>
            <w:shd w:val="clear" w:color="auto" w:fill="E5E5E5" w:themeFill="text1" w:themeFillTint="33"/>
            <w:noWrap/>
            <w:vAlign w:val="bottom"/>
            <w:hideMark/>
          </w:tcPr>
          <w:p w14:paraId="6E877B08" w14:textId="77777777" w:rsidR="008878A0" w:rsidRPr="00C2577A" w:rsidRDefault="008878A0" w:rsidP="004A7AA3">
            <w:pPr>
              <w:spacing w:after="0" w:line="240" w:lineRule="auto"/>
              <w:jc w:val="right"/>
              <w:rPr>
                <w:rFonts w:eastAsia="Times New Roman" w:cs="Calibri"/>
                <w:szCs w:val="18"/>
                <w:lang w:eastAsia="hr-HR"/>
              </w:rPr>
            </w:pPr>
            <w:r w:rsidRPr="00C2577A">
              <w:rPr>
                <w:rFonts w:eastAsia="Times New Roman" w:cs="Calibri"/>
                <w:szCs w:val="18"/>
                <w:lang w:eastAsia="hr-HR"/>
              </w:rPr>
              <w:t xml:space="preserve">29.237.606,97   </w:t>
            </w:r>
          </w:p>
        </w:tc>
      </w:tr>
      <w:tr w:rsidR="00F20839" w:rsidRPr="00F20839" w14:paraId="067F0EED" w14:textId="77777777" w:rsidTr="00C2577A">
        <w:trPr>
          <w:trHeight w:val="300"/>
        </w:trPr>
        <w:tc>
          <w:tcPr>
            <w:tcW w:w="9214" w:type="dxa"/>
            <w:gridSpan w:val="3"/>
            <w:shd w:val="clear" w:color="auto" w:fill="D2232A" w:themeFill="accent1"/>
            <w:noWrap/>
            <w:vAlign w:val="bottom"/>
            <w:hideMark/>
          </w:tcPr>
          <w:p w14:paraId="1973B1F7"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7</w:t>
            </w:r>
          </w:p>
        </w:tc>
      </w:tr>
      <w:tr w:rsidR="00F20839" w:rsidRPr="00F20839" w14:paraId="55B05ECF" w14:textId="77777777" w:rsidTr="004945AF">
        <w:trPr>
          <w:trHeight w:val="300"/>
        </w:trPr>
        <w:tc>
          <w:tcPr>
            <w:tcW w:w="5740" w:type="dxa"/>
            <w:noWrap/>
            <w:vAlign w:val="bottom"/>
            <w:hideMark/>
          </w:tcPr>
          <w:p w14:paraId="536C446E"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7.1.1. Sastavljanje i ažuriranje planova za razvoj jedinica lokalne samouprave</w:t>
            </w:r>
          </w:p>
        </w:tc>
        <w:tc>
          <w:tcPr>
            <w:tcW w:w="1773" w:type="dxa"/>
            <w:noWrap/>
            <w:vAlign w:val="bottom"/>
            <w:hideMark/>
          </w:tcPr>
          <w:p w14:paraId="7B8A21D9"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24</w:t>
            </w:r>
          </w:p>
        </w:tc>
        <w:tc>
          <w:tcPr>
            <w:tcW w:w="1701" w:type="dxa"/>
            <w:noWrap/>
            <w:vAlign w:val="bottom"/>
            <w:hideMark/>
          </w:tcPr>
          <w:p w14:paraId="7D4185A1"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3.275.500,00   </w:t>
            </w:r>
          </w:p>
        </w:tc>
      </w:tr>
      <w:tr w:rsidR="00F20839" w:rsidRPr="00F20839" w14:paraId="36B7A66B" w14:textId="77777777" w:rsidTr="004945AF">
        <w:trPr>
          <w:trHeight w:val="300"/>
        </w:trPr>
        <w:tc>
          <w:tcPr>
            <w:tcW w:w="5740" w:type="dxa"/>
            <w:noWrap/>
            <w:vAlign w:val="bottom"/>
            <w:hideMark/>
          </w:tcPr>
          <w:p w14:paraId="6A3205A3"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7.2.1. Ulaganja u građenje javnih sustava za vodoopskrbu, odvodnju i pročišćavanje otpadnih voda</w:t>
            </w:r>
          </w:p>
        </w:tc>
        <w:tc>
          <w:tcPr>
            <w:tcW w:w="1773" w:type="dxa"/>
            <w:noWrap/>
            <w:vAlign w:val="bottom"/>
            <w:hideMark/>
          </w:tcPr>
          <w:p w14:paraId="1C0F2146"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6</w:t>
            </w:r>
          </w:p>
        </w:tc>
        <w:tc>
          <w:tcPr>
            <w:tcW w:w="1701" w:type="dxa"/>
            <w:noWrap/>
            <w:vAlign w:val="bottom"/>
            <w:hideMark/>
          </w:tcPr>
          <w:p w14:paraId="0B7C32DB"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24.298.548,34   </w:t>
            </w:r>
          </w:p>
        </w:tc>
      </w:tr>
      <w:tr w:rsidR="00F20839" w:rsidRPr="00F20839" w14:paraId="7716149C" w14:textId="77777777" w:rsidTr="004945AF">
        <w:trPr>
          <w:trHeight w:val="300"/>
        </w:trPr>
        <w:tc>
          <w:tcPr>
            <w:tcW w:w="5740" w:type="dxa"/>
            <w:noWrap/>
            <w:vAlign w:val="bottom"/>
            <w:hideMark/>
          </w:tcPr>
          <w:p w14:paraId="3E782CD0"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lastRenderedPageBreak/>
              <w:t>7.2.2. Ulaganja u građenje nerazvrstanih cesta</w:t>
            </w:r>
          </w:p>
        </w:tc>
        <w:tc>
          <w:tcPr>
            <w:tcW w:w="1773" w:type="dxa"/>
            <w:noWrap/>
            <w:vAlign w:val="bottom"/>
            <w:hideMark/>
          </w:tcPr>
          <w:p w14:paraId="235C0E84"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18</w:t>
            </w:r>
          </w:p>
        </w:tc>
        <w:tc>
          <w:tcPr>
            <w:tcW w:w="1701" w:type="dxa"/>
            <w:noWrap/>
            <w:vAlign w:val="bottom"/>
            <w:hideMark/>
          </w:tcPr>
          <w:p w14:paraId="1DA5A776"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65.085.292,55   </w:t>
            </w:r>
          </w:p>
        </w:tc>
      </w:tr>
      <w:tr w:rsidR="00272259" w:rsidRPr="00F20839" w14:paraId="23FDEAAA" w14:textId="77777777" w:rsidTr="004945AF">
        <w:trPr>
          <w:trHeight w:val="300"/>
        </w:trPr>
        <w:tc>
          <w:tcPr>
            <w:tcW w:w="5740" w:type="dxa"/>
            <w:noWrap/>
            <w:vAlign w:val="bottom"/>
          </w:tcPr>
          <w:p w14:paraId="2F4836D1" w14:textId="265AADBF" w:rsidR="00272259" w:rsidRPr="00F20839" w:rsidRDefault="00272259" w:rsidP="00941871">
            <w:pPr>
              <w:spacing w:after="0" w:line="240" w:lineRule="auto"/>
              <w:rPr>
                <w:rFonts w:eastAsia="Times New Roman" w:cs="Calibri"/>
                <w:szCs w:val="18"/>
                <w:lang w:eastAsia="hr-HR"/>
              </w:rPr>
            </w:pPr>
            <w:r w:rsidRPr="00272259">
              <w:rPr>
                <w:rFonts w:eastAsia="Times New Roman" w:cs="Calibri"/>
                <w:szCs w:val="18"/>
                <w:lang w:eastAsia="hr-HR"/>
              </w:rPr>
              <w:t>7.4.1. Ulaganja u pokretanje, poboljšanje ili proširenje lokalnih temeljnih usluga za ruralno stanovništvo, uključujući slobodno vrijeme i kulturne aktivnosti te povezanu infrastrukturu</w:t>
            </w:r>
          </w:p>
        </w:tc>
        <w:tc>
          <w:tcPr>
            <w:tcW w:w="1773" w:type="dxa"/>
            <w:noWrap/>
            <w:vAlign w:val="bottom"/>
          </w:tcPr>
          <w:p w14:paraId="006BB756" w14:textId="7FC8457C" w:rsidR="00272259" w:rsidRPr="00F20839" w:rsidRDefault="00272259" w:rsidP="004A7AA3">
            <w:pPr>
              <w:spacing w:after="0" w:line="240" w:lineRule="auto"/>
              <w:jc w:val="right"/>
              <w:rPr>
                <w:rFonts w:eastAsia="Times New Roman" w:cs="Calibri"/>
                <w:szCs w:val="18"/>
                <w:lang w:eastAsia="hr-HR"/>
              </w:rPr>
            </w:pPr>
            <w:r>
              <w:rPr>
                <w:rFonts w:eastAsia="Times New Roman" w:cs="Calibri"/>
                <w:szCs w:val="18"/>
                <w:lang w:eastAsia="hr-HR"/>
              </w:rPr>
              <w:t>25</w:t>
            </w:r>
          </w:p>
        </w:tc>
        <w:tc>
          <w:tcPr>
            <w:tcW w:w="1701" w:type="dxa"/>
            <w:noWrap/>
            <w:vAlign w:val="bottom"/>
          </w:tcPr>
          <w:p w14:paraId="3F6515B1" w14:textId="4FB63E9B" w:rsidR="00272259" w:rsidRPr="00F20839" w:rsidRDefault="00272259" w:rsidP="004A7AA3">
            <w:pPr>
              <w:spacing w:after="0" w:line="240" w:lineRule="auto"/>
              <w:jc w:val="right"/>
              <w:rPr>
                <w:rFonts w:eastAsia="Times New Roman" w:cs="Calibri"/>
                <w:szCs w:val="18"/>
                <w:lang w:eastAsia="hr-HR"/>
              </w:rPr>
            </w:pPr>
            <w:r w:rsidRPr="00272259">
              <w:rPr>
                <w:rFonts w:eastAsia="Times New Roman" w:cs="Calibri"/>
                <w:szCs w:val="18"/>
                <w:lang w:eastAsia="hr-HR"/>
              </w:rPr>
              <w:t>141</w:t>
            </w:r>
            <w:r>
              <w:rPr>
                <w:rFonts w:eastAsia="Times New Roman" w:cs="Calibri"/>
                <w:szCs w:val="18"/>
                <w:lang w:eastAsia="hr-HR"/>
              </w:rPr>
              <w:t>.</w:t>
            </w:r>
            <w:r w:rsidRPr="00272259">
              <w:rPr>
                <w:rFonts w:eastAsia="Times New Roman" w:cs="Calibri"/>
                <w:szCs w:val="18"/>
                <w:lang w:eastAsia="hr-HR"/>
              </w:rPr>
              <w:t>311</w:t>
            </w:r>
            <w:r>
              <w:rPr>
                <w:rFonts w:eastAsia="Times New Roman" w:cs="Calibri"/>
                <w:szCs w:val="18"/>
                <w:lang w:eastAsia="hr-HR"/>
              </w:rPr>
              <w:t>.</w:t>
            </w:r>
            <w:r w:rsidRPr="00272259">
              <w:rPr>
                <w:rFonts w:eastAsia="Times New Roman" w:cs="Calibri"/>
                <w:szCs w:val="18"/>
                <w:lang w:eastAsia="hr-HR"/>
              </w:rPr>
              <w:t>072,03</w:t>
            </w:r>
          </w:p>
        </w:tc>
      </w:tr>
      <w:tr w:rsidR="00F20839" w:rsidRPr="00F20839" w14:paraId="40EBA03A" w14:textId="77777777" w:rsidTr="00C2577A">
        <w:trPr>
          <w:trHeight w:val="300"/>
        </w:trPr>
        <w:tc>
          <w:tcPr>
            <w:tcW w:w="5740" w:type="dxa"/>
            <w:shd w:val="clear" w:color="auto" w:fill="E5E5E5" w:themeFill="text1" w:themeFillTint="33"/>
            <w:noWrap/>
            <w:vAlign w:val="bottom"/>
            <w:hideMark/>
          </w:tcPr>
          <w:p w14:paraId="25218E19" w14:textId="77777777" w:rsidR="008878A0" w:rsidRPr="00C2577A" w:rsidRDefault="008878A0" w:rsidP="00941871">
            <w:pPr>
              <w:spacing w:after="0" w:line="240" w:lineRule="auto"/>
              <w:rPr>
                <w:rFonts w:eastAsia="Times New Roman" w:cs="Calibri"/>
                <w:szCs w:val="18"/>
                <w:lang w:eastAsia="hr-HR"/>
              </w:rPr>
            </w:pPr>
            <w:r w:rsidRPr="00C2577A">
              <w:rPr>
                <w:rFonts w:eastAsia="Times New Roman" w:cs="Calibri"/>
                <w:szCs w:val="18"/>
                <w:lang w:eastAsia="hr-HR"/>
              </w:rPr>
              <w:t>UKUPNO</w:t>
            </w:r>
          </w:p>
        </w:tc>
        <w:tc>
          <w:tcPr>
            <w:tcW w:w="1773" w:type="dxa"/>
            <w:shd w:val="clear" w:color="auto" w:fill="E5E5E5" w:themeFill="text1" w:themeFillTint="33"/>
            <w:noWrap/>
            <w:vAlign w:val="bottom"/>
            <w:hideMark/>
          </w:tcPr>
          <w:p w14:paraId="13551E71" w14:textId="51C9222D" w:rsidR="008878A0" w:rsidRPr="00C2577A" w:rsidRDefault="00272259" w:rsidP="004A7AA3">
            <w:pPr>
              <w:spacing w:after="0" w:line="240" w:lineRule="auto"/>
              <w:jc w:val="right"/>
              <w:rPr>
                <w:rFonts w:eastAsia="Times New Roman" w:cs="Calibri"/>
                <w:szCs w:val="18"/>
                <w:lang w:eastAsia="hr-HR"/>
              </w:rPr>
            </w:pPr>
            <w:r>
              <w:rPr>
                <w:rFonts w:eastAsia="Times New Roman" w:cs="Calibri"/>
                <w:szCs w:val="18"/>
                <w:lang w:eastAsia="hr-HR"/>
              </w:rPr>
              <w:t>73</w:t>
            </w:r>
          </w:p>
        </w:tc>
        <w:tc>
          <w:tcPr>
            <w:tcW w:w="1701" w:type="dxa"/>
            <w:shd w:val="clear" w:color="auto" w:fill="E5E5E5" w:themeFill="text1" w:themeFillTint="33"/>
            <w:noWrap/>
            <w:vAlign w:val="bottom"/>
            <w:hideMark/>
          </w:tcPr>
          <w:p w14:paraId="437D81DC" w14:textId="3555FD3D" w:rsidR="008878A0" w:rsidRPr="00C2577A" w:rsidRDefault="00272259" w:rsidP="004A7AA3">
            <w:pPr>
              <w:spacing w:after="0" w:line="240" w:lineRule="auto"/>
              <w:jc w:val="right"/>
              <w:rPr>
                <w:rFonts w:eastAsia="Times New Roman" w:cs="Calibri"/>
                <w:szCs w:val="18"/>
                <w:lang w:eastAsia="hr-HR"/>
              </w:rPr>
            </w:pPr>
            <w:r>
              <w:rPr>
                <w:rFonts w:eastAsia="Times New Roman" w:cs="Calibri"/>
                <w:szCs w:val="18"/>
                <w:lang w:eastAsia="hr-HR"/>
              </w:rPr>
              <w:t>233.970.412,92</w:t>
            </w:r>
          </w:p>
        </w:tc>
      </w:tr>
      <w:tr w:rsidR="00F20839" w:rsidRPr="00F20839" w14:paraId="70077C30" w14:textId="77777777" w:rsidTr="00C2577A">
        <w:trPr>
          <w:trHeight w:val="300"/>
        </w:trPr>
        <w:tc>
          <w:tcPr>
            <w:tcW w:w="9214" w:type="dxa"/>
            <w:gridSpan w:val="3"/>
            <w:shd w:val="clear" w:color="auto" w:fill="D2232A" w:themeFill="accent1"/>
            <w:noWrap/>
            <w:vAlign w:val="bottom"/>
            <w:hideMark/>
          </w:tcPr>
          <w:p w14:paraId="2A6E999A"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8</w:t>
            </w:r>
          </w:p>
        </w:tc>
      </w:tr>
      <w:tr w:rsidR="00F20839" w:rsidRPr="00F20839" w14:paraId="46F7BF41" w14:textId="77777777" w:rsidTr="004945AF">
        <w:trPr>
          <w:trHeight w:val="300"/>
        </w:trPr>
        <w:tc>
          <w:tcPr>
            <w:tcW w:w="5740" w:type="dxa"/>
            <w:noWrap/>
            <w:vAlign w:val="bottom"/>
            <w:hideMark/>
          </w:tcPr>
          <w:p w14:paraId="6A343612"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8.5.2. Uspostava i uređenje poučnih staza, vidikovaca i ostale manje infrastrukture</w:t>
            </w:r>
          </w:p>
        </w:tc>
        <w:tc>
          <w:tcPr>
            <w:tcW w:w="1773" w:type="dxa"/>
            <w:noWrap/>
            <w:vAlign w:val="bottom"/>
            <w:hideMark/>
          </w:tcPr>
          <w:p w14:paraId="700B3B76"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2</w:t>
            </w:r>
          </w:p>
        </w:tc>
        <w:tc>
          <w:tcPr>
            <w:tcW w:w="1701" w:type="dxa"/>
            <w:noWrap/>
            <w:vAlign w:val="bottom"/>
            <w:hideMark/>
          </w:tcPr>
          <w:p w14:paraId="79F4FF6C"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656.491,85   </w:t>
            </w:r>
          </w:p>
        </w:tc>
      </w:tr>
      <w:tr w:rsidR="00F20839" w:rsidRPr="00F20839" w14:paraId="2EC71DF4" w14:textId="77777777" w:rsidTr="004945AF">
        <w:trPr>
          <w:trHeight w:val="300"/>
        </w:trPr>
        <w:tc>
          <w:tcPr>
            <w:tcW w:w="5740" w:type="dxa"/>
            <w:noWrap/>
            <w:vAlign w:val="bottom"/>
            <w:hideMark/>
          </w:tcPr>
          <w:p w14:paraId="2971058B" w14:textId="0EBF2CAE"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8.6.1. Modernizacija tehnologija, strojeva, alata i opreme u pridobivanju drva i šumsko</w:t>
            </w:r>
            <w:r w:rsidR="004217AF">
              <w:rPr>
                <w:rFonts w:eastAsia="Times New Roman" w:cs="Calibri"/>
                <w:szCs w:val="18"/>
                <w:lang w:eastAsia="hr-HR"/>
              </w:rPr>
              <w:t xml:space="preserve"> </w:t>
            </w:r>
            <w:r w:rsidRPr="00F20839">
              <w:rPr>
                <w:rFonts w:eastAsia="Times New Roman" w:cs="Calibri"/>
                <w:szCs w:val="18"/>
                <w:lang w:eastAsia="hr-HR"/>
              </w:rPr>
              <w:t>uzgojnim radovima</w:t>
            </w:r>
          </w:p>
        </w:tc>
        <w:tc>
          <w:tcPr>
            <w:tcW w:w="1773" w:type="dxa"/>
            <w:noWrap/>
            <w:vAlign w:val="bottom"/>
            <w:hideMark/>
          </w:tcPr>
          <w:p w14:paraId="6FEE72AB"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1</w:t>
            </w:r>
          </w:p>
        </w:tc>
        <w:tc>
          <w:tcPr>
            <w:tcW w:w="1701" w:type="dxa"/>
            <w:noWrap/>
            <w:vAlign w:val="bottom"/>
            <w:hideMark/>
          </w:tcPr>
          <w:p w14:paraId="29B20DC6"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774.473,54   </w:t>
            </w:r>
          </w:p>
        </w:tc>
      </w:tr>
      <w:tr w:rsidR="00F20839" w:rsidRPr="00F20839" w14:paraId="572F54E9" w14:textId="77777777" w:rsidTr="004945AF">
        <w:trPr>
          <w:trHeight w:val="300"/>
        </w:trPr>
        <w:tc>
          <w:tcPr>
            <w:tcW w:w="5740" w:type="dxa"/>
            <w:noWrap/>
            <w:vAlign w:val="bottom"/>
            <w:hideMark/>
          </w:tcPr>
          <w:p w14:paraId="27D4D5E3"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8.6.2. Modernizacija tehnologija, strojeva, alata i opreme u predindustrijskoj preradi drva</w:t>
            </w:r>
          </w:p>
        </w:tc>
        <w:tc>
          <w:tcPr>
            <w:tcW w:w="1773" w:type="dxa"/>
            <w:noWrap/>
            <w:vAlign w:val="bottom"/>
            <w:hideMark/>
          </w:tcPr>
          <w:p w14:paraId="2B1E1A71"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3</w:t>
            </w:r>
          </w:p>
        </w:tc>
        <w:tc>
          <w:tcPr>
            <w:tcW w:w="1701" w:type="dxa"/>
            <w:noWrap/>
            <w:vAlign w:val="bottom"/>
            <w:hideMark/>
          </w:tcPr>
          <w:p w14:paraId="3CE924A3"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7.976.548,11   </w:t>
            </w:r>
          </w:p>
        </w:tc>
      </w:tr>
      <w:tr w:rsidR="00F20839" w:rsidRPr="00F20839" w14:paraId="74DB4ADE" w14:textId="77777777" w:rsidTr="00C2577A">
        <w:trPr>
          <w:trHeight w:val="300"/>
        </w:trPr>
        <w:tc>
          <w:tcPr>
            <w:tcW w:w="5740" w:type="dxa"/>
            <w:shd w:val="clear" w:color="auto" w:fill="E5E5E5" w:themeFill="text1" w:themeFillTint="33"/>
            <w:noWrap/>
            <w:vAlign w:val="bottom"/>
            <w:hideMark/>
          </w:tcPr>
          <w:p w14:paraId="4DD9445D" w14:textId="77777777" w:rsidR="008878A0" w:rsidRPr="00C2577A" w:rsidRDefault="008878A0" w:rsidP="00941871">
            <w:pPr>
              <w:spacing w:after="0" w:line="240" w:lineRule="auto"/>
              <w:rPr>
                <w:rFonts w:eastAsia="Times New Roman" w:cs="Calibri"/>
                <w:szCs w:val="18"/>
                <w:lang w:eastAsia="hr-HR"/>
              </w:rPr>
            </w:pPr>
            <w:r w:rsidRPr="00C2577A">
              <w:rPr>
                <w:rFonts w:eastAsia="Times New Roman" w:cs="Calibri"/>
                <w:szCs w:val="18"/>
                <w:lang w:eastAsia="hr-HR"/>
              </w:rPr>
              <w:t>UKUPNO</w:t>
            </w:r>
          </w:p>
        </w:tc>
        <w:tc>
          <w:tcPr>
            <w:tcW w:w="1773" w:type="dxa"/>
            <w:shd w:val="clear" w:color="auto" w:fill="E5E5E5" w:themeFill="text1" w:themeFillTint="33"/>
            <w:noWrap/>
            <w:vAlign w:val="bottom"/>
            <w:hideMark/>
          </w:tcPr>
          <w:p w14:paraId="232075D5" w14:textId="77777777" w:rsidR="008878A0" w:rsidRPr="00C2577A" w:rsidRDefault="008878A0" w:rsidP="004A7AA3">
            <w:pPr>
              <w:spacing w:after="0" w:line="240" w:lineRule="auto"/>
              <w:jc w:val="right"/>
              <w:rPr>
                <w:rFonts w:eastAsia="Times New Roman" w:cs="Calibri"/>
                <w:szCs w:val="18"/>
                <w:lang w:eastAsia="hr-HR"/>
              </w:rPr>
            </w:pPr>
            <w:r w:rsidRPr="00C2577A">
              <w:rPr>
                <w:rFonts w:eastAsia="Times New Roman" w:cs="Calibri"/>
                <w:szCs w:val="18"/>
                <w:lang w:eastAsia="hr-HR"/>
              </w:rPr>
              <w:t>6</w:t>
            </w:r>
          </w:p>
        </w:tc>
        <w:tc>
          <w:tcPr>
            <w:tcW w:w="1701" w:type="dxa"/>
            <w:shd w:val="clear" w:color="auto" w:fill="E5E5E5" w:themeFill="text1" w:themeFillTint="33"/>
            <w:noWrap/>
            <w:vAlign w:val="bottom"/>
            <w:hideMark/>
          </w:tcPr>
          <w:p w14:paraId="2F554240" w14:textId="77777777" w:rsidR="008878A0" w:rsidRPr="00C2577A" w:rsidRDefault="008878A0" w:rsidP="004A7AA3">
            <w:pPr>
              <w:spacing w:after="0" w:line="240" w:lineRule="auto"/>
              <w:jc w:val="right"/>
              <w:rPr>
                <w:rFonts w:eastAsia="Times New Roman" w:cs="Calibri"/>
                <w:szCs w:val="18"/>
                <w:lang w:eastAsia="hr-HR"/>
              </w:rPr>
            </w:pPr>
            <w:r w:rsidRPr="00C2577A">
              <w:rPr>
                <w:rFonts w:eastAsia="Times New Roman" w:cs="Calibri"/>
                <w:szCs w:val="18"/>
                <w:lang w:eastAsia="hr-HR"/>
              </w:rPr>
              <w:t xml:space="preserve">9.407.513,50   </w:t>
            </w:r>
          </w:p>
        </w:tc>
      </w:tr>
      <w:tr w:rsidR="00F20839" w:rsidRPr="00F20839" w14:paraId="330EBFF3" w14:textId="77777777" w:rsidTr="00C2577A">
        <w:trPr>
          <w:trHeight w:val="300"/>
        </w:trPr>
        <w:tc>
          <w:tcPr>
            <w:tcW w:w="9214" w:type="dxa"/>
            <w:gridSpan w:val="3"/>
            <w:shd w:val="clear" w:color="auto" w:fill="D2232A" w:themeFill="accent1"/>
            <w:noWrap/>
            <w:vAlign w:val="bottom"/>
            <w:hideMark/>
          </w:tcPr>
          <w:p w14:paraId="1BD41AA4"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10</w:t>
            </w:r>
          </w:p>
        </w:tc>
      </w:tr>
      <w:tr w:rsidR="00F20839" w:rsidRPr="00F20839" w14:paraId="165B6B14" w14:textId="77777777" w:rsidTr="004945AF">
        <w:trPr>
          <w:trHeight w:val="300"/>
        </w:trPr>
        <w:tc>
          <w:tcPr>
            <w:tcW w:w="5740" w:type="dxa"/>
            <w:noWrap/>
            <w:vAlign w:val="bottom"/>
            <w:hideMark/>
          </w:tcPr>
          <w:p w14:paraId="57E693DC"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 xml:space="preserve">Mjera 10 Poljoprivreda, okoliš i klimatske promjene </w:t>
            </w:r>
          </w:p>
        </w:tc>
        <w:tc>
          <w:tcPr>
            <w:tcW w:w="1773" w:type="dxa"/>
            <w:noWrap/>
            <w:vAlign w:val="center"/>
            <w:hideMark/>
          </w:tcPr>
          <w:p w14:paraId="43C33CCF"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210</w:t>
            </w:r>
          </w:p>
        </w:tc>
        <w:tc>
          <w:tcPr>
            <w:tcW w:w="1701" w:type="dxa"/>
            <w:noWrap/>
            <w:vAlign w:val="bottom"/>
            <w:hideMark/>
          </w:tcPr>
          <w:p w14:paraId="34009B87"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1.453.295,90   </w:t>
            </w:r>
          </w:p>
        </w:tc>
      </w:tr>
      <w:tr w:rsidR="00F20839" w:rsidRPr="00F20839" w14:paraId="265988D3" w14:textId="77777777" w:rsidTr="00C2577A">
        <w:trPr>
          <w:trHeight w:val="300"/>
        </w:trPr>
        <w:tc>
          <w:tcPr>
            <w:tcW w:w="9214" w:type="dxa"/>
            <w:gridSpan w:val="3"/>
            <w:shd w:val="clear" w:color="auto" w:fill="D2232A" w:themeFill="accent1"/>
            <w:noWrap/>
            <w:vAlign w:val="bottom"/>
            <w:hideMark/>
          </w:tcPr>
          <w:p w14:paraId="4C279A5C"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11</w:t>
            </w:r>
          </w:p>
        </w:tc>
      </w:tr>
      <w:tr w:rsidR="00F20839" w:rsidRPr="00F20839" w14:paraId="40197825" w14:textId="77777777" w:rsidTr="004945AF">
        <w:trPr>
          <w:trHeight w:val="300"/>
        </w:trPr>
        <w:tc>
          <w:tcPr>
            <w:tcW w:w="5740" w:type="dxa"/>
            <w:noWrap/>
            <w:vAlign w:val="bottom"/>
            <w:hideMark/>
          </w:tcPr>
          <w:p w14:paraId="53E2D27B"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 xml:space="preserve">Mjera 11 Ekološki uzgoj </w:t>
            </w:r>
          </w:p>
        </w:tc>
        <w:tc>
          <w:tcPr>
            <w:tcW w:w="1773" w:type="dxa"/>
            <w:noWrap/>
            <w:vAlign w:val="bottom"/>
            <w:hideMark/>
          </w:tcPr>
          <w:p w14:paraId="3FB18BA1"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65</w:t>
            </w:r>
          </w:p>
        </w:tc>
        <w:tc>
          <w:tcPr>
            <w:tcW w:w="1701" w:type="dxa"/>
            <w:noWrap/>
            <w:vAlign w:val="bottom"/>
            <w:hideMark/>
          </w:tcPr>
          <w:p w14:paraId="19467C41"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1.603.293,07   </w:t>
            </w:r>
          </w:p>
        </w:tc>
      </w:tr>
      <w:tr w:rsidR="00F20839" w:rsidRPr="00F20839" w14:paraId="54337226" w14:textId="77777777" w:rsidTr="00C2577A">
        <w:trPr>
          <w:trHeight w:val="300"/>
        </w:trPr>
        <w:tc>
          <w:tcPr>
            <w:tcW w:w="9214" w:type="dxa"/>
            <w:gridSpan w:val="3"/>
            <w:shd w:val="clear" w:color="auto" w:fill="D2232A" w:themeFill="accent1"/>
            <w:noWrap/>
            <w:vAlign w:val="bottom"/>
            <w:hideMark/>
          </w:tcPr>
          <w:p w14:paraId="2C22F590"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13</w:t>
            </w:r>
          </w:p>
        </w:tc>
      </w:tr>
      <w:tr w:rsidR="00F20839" w:rsidRPr="00F20839" w14:paraId="398C654C" w14:textId="77777777" w:rsidTr="004945AF">
        <w:trPr>
          <w:trHeight w:val="300"/>
        </w:trPr>
        <w:tc>
          <w:tcPr>
            <w:tcW w:w="5740" w:type="dxa"/>
            <w:noWrap/>
            <w:vAlign w:val="bottom"/>
            <w:hideMark/>
          </w:tcPr>
          <w:p w14:paraId="54AEF7AA"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Mjera 13 Plaćanja područjima s prirodnim ograničenjima ili ostalim posebnim ograničenjima</w:t>
            </w:r>
          </w:p>
        </w:tc>
        <w:tc>
          <w:tcPr>
            <w:tcW w:w="1773" w:type="dxa"/>
            <w:noWrap/>
            <w:vAlign w:val="bottom"/>
            <w:hideMark/>
          </w:tcPr>
          <w:p w14:paraId="5760291F"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6.134</w:t>
            </w:r>
          </w:p>
        </w:tc>
        <w:tc>
          <w:tcPr>
            <w:tcW w:w="1701" w:type="dxa"/>
            <w:noWrap/>
            <w:vAlign w:val="bottom"/>
            <w:hideMark/>
          </w:tcPr>
          <w:p w14:paraId="1F16677A"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49.403.407,90   </w:t>
            </w:r>
          </w:p>
        </w:tc>
      </w:tr>
      <w:tr w:rsidR="00F20839" w:rsidRPr="00F20839" w14:paraId="3DA9993C" w14:textId="77777777" w:rsidTr="00C2577A">
        <w:trPr>
          <w:trHeight w:val="300"/>
        </w:trPr>
        <w:tc>
          <w:tcPr>
            <w:tcW w:w="9214" w:type="dxa"/>
            <w:gridSpan w:val="3"/>
            <w:shd w:val="clear" w:color="auto" w:fill="D2232A" w:themeFill="accent1"/>
            <w:noWrap/>
            <w:vAlign w:val="bottom"/>
            <w:hideMark/>
          </w:tcPr>
          <w:p w14:paraId="5A16F45E"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14</w:t>
            </w:r>
          </w:p>
        </w:tc>
      </w:tr>
      <w:tr w:rsidR="00F20839" w:rsidRPr="00F20839" w14:paraId="386BCF3B" w14:textId="77777777" w:rsidTr="004945AF">
        <w:trPr>
          <w:trHeight w:val="300"/>
        </w:trPr>
        <w:tc>
          <w:tcPr>
            <w:tcW w:w="5740" w:type="dxa"/>
            <w:noWrap/>
            <w:vAlign w:val="bottom"/>
            <w:hideMark/>
          </w:tcPr>
          <w:p w14:paraId="2E685988"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Mjera 14 Dobrobit životinja</w:t>
            </w:r>
          </w:p>
        </w:tc>
        <w:tc>
          <w:tcPr>
            <w:tcW w:w="1773" w:type="dxa"/>
            <w:noWrap/>
            <w:vAlign w:val="bottom"/>
            <w:hideMark/>
          </w:tcPr>
          <w:p w14:paraId="743F7BDD"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24</w:t>
            </w:r>
          </w:p>
        </w:tc>
        <w:tc>
          <w:tcPr>
            <w:tcW w:w="1701" w:type="dxa"/>
            <w:noWrap/>
            <w:vAlign w:val="bottom"/>
            <w:hideMark/>
          </w:tcPr>
          <w:p w14:paraId="427FB5BC"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856.504,77   </w:t>
            </w:r>
          </w:p>
        </w:tc>
      </w:tr>
      <w:tr w:rsidR="00F20839" w:rsidRPr="00F20839" w14:paraId="7C4A6A8B" w14:textId="77777777" w:rsidTr="00C2577A">
        <w:trPr>
          <w:trHeight w:val="300"/>
        </w:trPr>
        <w:tc>
          <w:tcPr>
            <w:tcW w:w="9214" w:type="dxa"/>
            <w:gridSpan w:val="3"/>
            <w:shd w:val="clear" w:color="auto" w:fill="D2232A" w:themeFill="accent1"/>
            <w:noWrap/>
            <w:vAlign w:val="bottom"/>
            <w:hideMark/>
          </w:tcPr>
          <w:p w14:paraId="1AF9CD6C"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17</w:t>
            </w:r>
          </w:p>
        </w:tc>
      </w:tr>
      <w:tr w:rsidR="00F20839" w:rsidRPr="00F20839" w14:paraId="0615FB59" w14:textId="77777777" w:rsidTr="004945AF">
        <w:trPr>
          <w:trHeight w:val="300"/>
        </w:trPr>
        <w:tc>
          <w:tcPr>
            <w:tcW w:w="5740" w:type="dxa"/>
            <w:noWrap/>
            <w:vAlign w:val="bottom"/>
            <w:hideMark/>
          </w:tcPr>
          <w:p w14:paraId="4DE64D2F"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17.1.1. Osiguranje usjeva, životinja i biljaka</w:t>
            </w:r>
          </w:p>
        </w:tc>
        <w:tc>
          <w:tcPr>
            <w:tcW w:w="1773" w:type="dxa"/>
            <w:noWrap/>
            <w:vAlign w:val="bottom"/>
            <w:hideMark/>
          </w:tcPr>
          <w:p w14:paraId="172BD320"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63</w:t>
            </w:r>
          </w:p>
        </w:tc>
        <w:tc>
          <w:tcPr>
            <w:tcW w:w="1701" w:type="dxa"/>
            <w:noWrap/>
            <w:vAlign w:val="bottom"/>
            <w:hideMark/>
          </w:tcPr>
          <w:p w14:paraId="074F3E4E"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1.108.267,60   </w:t>
            </w:r>
          </w:p>
        </w:tc>
      </w:tr>
      <w:tr w:rsidR="00F20839" w:rsidRPr="00F20839" w14:paraId="19347B9B" w14:textId="77777777" w:rsidTr="00C2577A">
        <w:trPr>
          <w:trHeight w:val="300"/>
        </w:trPr>
        <w:tc>
          <w:tcPr>
            <w:tcW w:w="9214" w:type="dxa"/>
            <w:gridSpan w:val="3"/>
            <w:shd w:val="clear" w:color="auto" w:fill="D2232A" w:themeFill="accent1"/>
            <w:noWrap/>
            <w:vAlign w:val="bottom"/>
            <w:hideMark/>
          </w:tcPr>
          <w:p w14:paraId="145843FA"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18</w:t>
            </w:r>
          </w:p>
        </w:tc>
      </w:tr>
      <w:tr w:rsidR="00F20839" w:rsidRPr="00F20839" w14:paraId="4BF781B3" w14:textId="77777777" w:rsidTr="004945AF">
        <w:trPr>
          <w:trHeight w:val="300"/>
        </w:trPr>
        <w:tc>
          <w:tcPr>
            <w:tcW w:w="5740" w:type="dxa"/>
            <w:noWrap/>
            <w:vAlign w:val="bottom"/>
            <w:hideMark/>
          </w:tcPr>
          <w:p w14:paraId="0D769C1D"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Mjera 18 Financiranje dodatnih nacionalnih izravnih plaćanja za Hrvatsku</w:t>
            </w:r>
          </w:p>
        </w:tc>
        <w:tc>
          <w:tcPr>
            <w:tcW w:w="1773" w:type="dxa"/>
            <w:noWrap/>
            <w:vAlign w:val="bottom"/>
            <w:hideMark/>
          </w:tcPr>
          <w:p w14:paraId="1A4FBDDC"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6.010</w:t>
            </w:r>
          </w:p>
        </w:tc>
        <w:tc>
          <w:tcPr>
            <w:tcW w:w="1701" w:type="dxa"/>
            <w:noWrap/>
            <w:vAlign w:val="bottom"/>
            <w:hideMark/>
          </w:tcPr>
          <w:p w14:paraId="003352AE"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14.833.104,60   </w:t>
            </w:r>
          </w:p>
        </w:tc>
      </w:tr>
      <w:tr w:rsidR="00F20839" w:rsidRPr="00F20839" w14:paraId="7D546B50" w14:textId="77777777" w:rsidTr="00C2577A">
        <w:trPr>
          <w:trHeight w:val="300"/>
        </w:trPr>
        <w:tc>
          <w:tcPr>
            <w:tcW w:w="9214" w:type="dxa"/>
            <w:gridSpan w:val="3"/>
            <w:shd w:val="clear" w:color="auto" w:fill="D2232A" w:themeFill="accent1"/>
            <w:noWrap/>
            <w:vAlign w:val="bottom"/>
            <w:hideMark/>
          </w:tcPr>
          <w:p w14:paraId="71379B79" w14:textId="77777777" w:rsidR="008878A0" w:rsidRPr="00C2577A" w:rsidRDefault="008878A0" w:rsidP="00941871">
            <w:pPr>
              <w:spacing w:after="0" w:line="240" w:lineRule="auto"/>
              <w:rPr>
                <w:rFonts w:eastAsia="Times New Roman" w:cs="Calibri"/>
                <w:color w:val="FFFFFF" w:themeColor="background1"/>
                <w:szCs w:val="18"/>
                <w:lang w:eastAsia="hr-HR"/>
              </w:rPr>
            </w:pPr>
            <w:r w:rsidRPr="00C2577A">
              <w:rPr>
                <w:rFonts w:eastAsia="Times New Roman" w:cs="Calibri"/>
                <w:color w:val="FFFFFF" w:themeColor="background1"/>
                <w:szCs w:val="18"/>
                <w:lang w:eastAsia="hr-HR"/>
              </w:rPr>
              <w:t>MJERA 19</w:t>
            </w:r>
          </w:p>
        </w:tc>
      </w:tr>
      <w:tr w:rsidR="00F20839" w:rsidRPr="00F20839" w14:paraId="69FD4B7B" w14:textId="77777777" w:rsidTr="004945AF">
        <w:trPr>
          <w:trHeight w:val="300"/>
        </w:trPr>
        <w:tc>
          <w:tcPr>
            <w:tcW w:w="5740" w:type="dxa"/>
            <w:noWrap/>
            <w:vAlign w:val="bottom"/>
            <w:hideMark/>
          </w:tcPr>
          <w:p w14:paraId="2AA5CDBB" w14:textId="77777777" w:rsidR="008878A0" w:rsidRPr="00F20839" w:rsidRDefault="008878A0" w:rsidP="00941871">
            <w:pPr>
              <w:spacing w:after="0" w:line="240" w:lineRule="auto"/>
              <w:rPr>
                <w:rFonts w:eastAsia="Times New Roman" w:cs="Calibri"/>
                <w:szCs w:val="18"/>
                <w:lang w:eastAsia="hr-HR"/>
              </w:rPr>
            </w:pPr>
            <w:r w:rsidRPr="00F20839">
              <w:rPr>
                <w:rFonts w:eastAsia="Times New Roman" w:cs="Calibri"/>
                <w:szCs w:val="18"/>
                <w:lang w:eastAsia="hr-HR"/>
              </w:rPr>
              <w:t>Mjera 19 Potpora za lokalni razvoj u sklopu inicijative LEADER (CLLD - lokalni razvoj pod vodstvom zajednice)</w:t>
            </w:r>
          </w:p>
        </w:tc>
        <w:tc>
          <w:tcPr>
            <w:tcW w:w="1773" w:type="dxa"/>
            <w:noWrap/>
            <w:vAlign w:val="bottom"/>
            <w:hideMark/>
          </w:tcPr>
          <w:p w14:paraId="35D2478A"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2</w:t>
            </w:r>
          </w:p>
        </w:tc>
        <w:tc>
          <w:tcPr>
            <w:tcW w:w="1701" w:type="dxa"/>
            <w:noWrap/>
            <w:vAlign w:val="bottom"/>
            <w:hideMark/>
          </w:tcPr>
          <w:p w14:paraId="5F0F5358" w14:textId="77777777" w:rsidR="008878A0" w:rsidRPr="00F20839" w:rsidRDefault="008878A0" w:rsidP="004A7AA3">
            <w:pPr>
              <w:spacing w:after="0" w:line="240" w:lineRule="auto"/>
              <w:jc w:val="right"/>
              <w:rPr>
                <w:rFonts w:eastAsia="Times New Roman" w:cs="Calibri"/>
                <w:szCs w:val="18"/>
                <w:lang w:eastAsia="hr-HR"/>
              </w:rPr>
            </w:pPr>
            <w:r w:rsidRPr="00F20839">
              <w:rPr>
                <w:rFonts w:eastAsia="Times New Roman" w:cs="Calibri"/>
                <w:szCs w:val="18"/>
                <w:lang w:eastAsia="hr-HR"/>
              </w:rPr>
              <w:t xml:space="preserve">22.459.726,53   </w:t>
            </w:r>
          </w:p>
        </w:tc>
      </w:tr>
      <w:tr w:rsidR="00F20839" w:rsidRPr="00F20839" w14:paraId="27B7F00F" w14:textId="77777777" w:rsidTr="00C2577A">
        <w:trPr>
          <w:trHeight w:val="300"/>
        </w:trPr>
        <w:tc>
          <w:tcPr>
            <w:tcW w:w="5740" w:type="dxa"/>
            <w:tcBorders>
              <w:bottom w:val="single" w:sz="4" w:space="0" w:color="5F5F5F" w:themeColor="text1" w:themeShade="BF"/>
            </w:tcBorders>
            <w:shd w:val="clear" w:color="auto" w:fill="5F5F5F" w:themeFill="text1" w:themeFillShade="BF"/>
            <w:noWrap/>
            <w:vAlign w:val="bottom"/>
            <w:hideMark/>
          </w:tcPr>
          <w:p w14:paraId="354598D5" w14:textId="77777777" w:rsidR="008878A0" w:rsidRPr="004A7AA3" w:rsidRDefault="008878A0" w:rsidP="00941871">
            <w:pPr>
              <w:spacing w:after="0" w:line="240" w:lineRule="auto"/>
              <w:rPr>
                <w:rFonts w:eastAsia="Times New Roman" w:cs="Calibri"/>
                <w:b/>
                <w:color w:val="FFFFFF" w:themeColor="background1"/>
                <w:szCs w:val="18"/>
                <w:lang w:eastAsia="hr-HR"/>
              </w:rPr>
            </w:pPr>
            <w:r w:rsidRPr="004A7AA3">
              <w:rPr>
                <w:rFonts w:eastAsia="Times New Roman" w:cs="Calibri"/>
                <w:b/>
                <w:color w:val="FFFFFF" w:themeColor="background1"/>
                <w:szCs w:val="18"/>
                <w:lang w:eastAsia="hr-HR"/>
              </w:rPr>
              <w:t xml:space="preserve">SVEUKUPNO </w:t>
            </w:r>
          </w:p>
        </w:tc>
        <w:tc>
          <w:tcPr>
            <w:tcW w:w="1773" w:type="dxa"/>
            <w:tcBorders>
              <w:bottom w:val="single" w:sz="4" w:space="0" w:color="5F5F5F" w:themeColor="text1" w:themeShade="BF"/>
            </w:tcBorders>
            <w:shd w:val="clear" w:color="auto" w:fill="5F5F5F" w:themeFill="text1" w:themeFillShade="BF"/>
            <w:noWrap/>
            <w:vAlign w:val="bottom"/>
            <w:hideMark/>
          </w:tcPr>
          <w:p w14:paraId="4A04F37A" w14:textId="77777777" w:rsidR="008878A0" w:rsidRPr="004A7AA3" w:rsidRDefault="008878A0" w:rsidP="004A7AA3">
            <w:pPr>
              <w:spacing w:after="0" w:line="240" w:lineRule="auto"/>
              <w:jc w:val="right"/>
              <w:rPr>
                <w:rFonts w:eastAsia="Times New Roman" w:cs="Calibri"/>
                <w:b/>
                <w:color w:val="FFFFFF" w:themeColor="background1"/>
                <w:szCs w:val="18"/>
                <w:lang w:eastAsia="hr-HR"/>
              </w:rPr>
            </w:pPr>
            <w:r w:rsidRPr="004A7AA3">
              <w:rPr>
                <w:rFonts w:eastAsia="Times New Roman" w:cs="Calibri"/>
                <w:b/>
                <w:color w:val="FFFFFF" w:themeColor="background1"/>
                <w:szCs w:val="18"/>
                <w:lang w:eastAsia="hr-HR"/>
              </w:rPr>
              <w:t>12.851</w:t>
            </w:r>
          </w:p>
        </w:tc>
        <w:tc>
          <w:tcPr>
            <w:tcW w:w="1701" w:type="dxa"/>
            <w:tcBorders>
              <w:bottom w:val="single" w:sz="4" w:space="0" w:color="5F5F5F" w:themeColor="text1" w:themeShade="BF"/>
            </w:tcBorders>
            <w:shd w:val="clear" w:color="auto" w:fill="5F5F5F" w:themeFill="text1" w:themeFillShade="BF"/>
            <w:noWrap/>
            <w:vAlign w:val="bottom"/>
            <w:hideMark/>
          </w:tcPr>
          <w:p w14:paraId="3AFD6FD4" w14:textId="77777777" w:rsidR="008878A0" w:rsidRPr="004A7AA3" w:rsidRDefault="008878A0" w:rsidP="004A7AA3">
            <w:pPr>
              <w:spacing w:after="0" w:line="240" w:lineRule="auto"/>
              <w:jc w:val="right"/>
              <w:rPr>
                <w:rFonts w:eastAsia="Times New Roman" w:cs="Calibri"/>
                <w:b/>
                <w:color w:val="FFFFFF" w:themeColor="background1"/>
                <w:szCs w:val="18"/>
                <w:lang w:eastAsia="hr-HR"/>
              </w:rPr>
            </w:pPr>
            <w:r w:rsidRPr="004A7AA3">
              <w:rPr>
                <w:rFonts w:eastAsia="Times New Roman" w:cs="Calibri"/>
                <w:b/>
                <w:color w:val="FFFFFF" w:themeColor="background1"/>
                <w:szCs w:val="18"/>
                <w:lang w:eastAsia="hr-HR"/>
              </w:rPr>
              <w:t>458.733.805,05</w:t>
            </w:r>
          </w:p>
        </w:tc>
      </w:tr>
    </w:tbl>
    <w:p w14:paraId="56813355" w14:textId="2A6F409B" w:rsidR="008878A0" w:rsidRDefault="008878A0" w:rsidP="003C2276">
      <w:pPr>
        <w:pStyle w:val="Izvor"/>
        <w:rPr>
          <w:i/>
          <w:color w:val="ABABAB" w:themeColor="text1" w:themeTint="A6"/>
          <w:sz w:val="16"/>
          <w:szCs w:val="16"/>
        </w:rPr>
      </w:pPr>
      <w:r w:rsidRPr="00840136">
        <w:rPr>
          <w:i/>
          <w:color w:val="ABABAB" w:themeColor="text1" w:themeTint="A6"/>
          <w:sz w:val="16"/>
          <w:szCs w:val="16"/>
        </w:rPr>
        <w:t>Izvor: Ministarstvo poljoprivrede, 2019 godina</w:t>
      </w:r>
    </w:p>
    <w:p w14:paraId="090E3DF9" w14:textId="77777777" w:rsidR="00840136" w:rsidRPr="00840136" w:rsidRDefault="00840136" w:rsidP="003C2276">
      <w:pPr>
        <w:pStyle w:val="Izvor"/>
        <w:rPr>
          <w:i/>
          <w:color w:val="ABABAB" w:themeColor="text1" w:themeTint="A6"/>
          <w:sz w:val="16"/>
          <w:szCs w:val="16"/>
        </w:rPr>
      </w:pPr>
    </w:p>
    <w:p w14:paraId="359B3373" w14:textId="4D5BB7E7" w:rsidR="008878A0" w:rsidRDefault="008878A0" w:rsidP="00941871">
      <w:pPr>
        <w:rPr>
          <w:rFonts w:ascii="Calibri" w:eastAsia="Times New Roman" w:hAnsi="Calibri" w:cs="Calibri"/>
          <w:lang w:eastAsia="hr-HR"/>
        </w:rPr>
      </w:pPr>
      <w:r>
        <w:t>Ukoliko izuzmemo IAKS mjere (za IAKS mjere ruralnog razvoja 10, 11, 13, 14 i 18 korisnici podnose jedinstveni zahtjev jednom godišnje, u razdoblju od ožujka do svibnja) najveći broj projeka</w:t>
      </w:r>
      <w:r w:rsidR="005806BD">
        <w:t>ta je ugovoren u okviru Mjere 6</w:t>
      </w:r>
      <w:r>
        <w:t xml:space="preserve"> Razvoj poljoprivr</w:t>
      </w:r>
      <w:r w:rsidR="00634E52">
        <w:t>ednih gospodarstva i poslovanja</w:t>
      </w:r>
      <w:r>
        <w:t>, njih  193, dok je najviši ukupni iznos p</w:t>
      </w:r>
      <w:r w:rsidR="005806BD">
        <w:t xml:space="preserve">otpore ugovoren u okviru Mjere 7 Temeljne usluge i obnova sela u ruralnim područjima čak </w:t>
      </w:r>
      <w:r w:rsidR="005806BD">
        <w:rPr>
          <w:rFonts w:eastAsia="Times New Roman" w:cs="Calibri"/>
          <w:szCs w:val="18"/>
          <w:lang w:eastAsia="hr-HR"/>
        </w:rPr>
        <w:t>233.970.412,92</w:t>
      </w:r>
      <w:r w:rsidR="000556DC">
        <w:rPr>
          <w:rFonts w:eastAsia="Times New Roman" w:cs="Calibri"/>
          <w:szCs w:val="18"/>
          <w:lang w:eastAsia="hr-HR"/>
        </w:rPr>
        <w:t xml:space="preserve"> kn</w:t>
      </w:r>
      <w:r>
        <w:t xml:space="preserve">. </w:t>
      </w:r>
      <w:r w:rsidR="005806BD">
        <w:t xml:space="preserve">Značajan je i ugovoreni iznos u okviru Mjere 4 </w:t>
      </w:r>
      <w:r>
        <w:t xml:space="preserve">Ulaganje u fizičku imovinu,  </w:t>
      </w:r>
      <w:r w:rsidRPr="005603C2">
        <w:t>89.599.448,73 kuna. U okviru Mjere 6, najviše projekata je ugovoreno u okviru tipa operacije 6.3.1. Potpora razvoju malih poljoprivrednih gospodarstava što je u skladu s utvrđenim stanjem u području poljoprivrede gdje prevladavaju mali poljoprivredni proizvođači.</w:t>
      </w:r>
      <w:r>
        <w:rPr>
          <w:rFonts w:ascii="Calibri" w:eastAsia="Times New Roman" w:hAnsi="Calibri" w:cs="Calibri"/>
          <w:lang w:eastAsia="hr-HR"/>
        </w:rPr>
        <w:t xml:space="preserve"> </w:t>
      </w:r>
    </w:p>
    <w:p w14:paraId="483F32E7" w14:textId="77777777" w:rsidR="00BE1C9D" w:rsidRDefault="00BE1C9D" w:rsidP="00941871">
      <w:pPr>
        <w:rPr>
          <w:rFonts w:ascii="Calibri" w:eastAsia="Times New Roman" w:hAnsi="Calibri" w:cs="Calibri"/>
          <w:lang w:eastAsia="hr-HR"/>
        </w:rPr>
      </w:pPr>
    </w:p>
    <w:p w14:paraId="2918086A" w14:textId="77777777" w:rsidR="0079295E" w:rsidRDefault="00BE1C9D" w:rsidP="0079295E">
      <w:pPr>
        <w:rPr>
          <w:color w:val="9D1A1F" w:themeColor="accent4"/>
        </w:rPr>
      </w:pPr>
      <w:r w:rsidRPr="0079295E">
        <w:rPr>
          <w:color w:val="9D1A1F" w:themeColor="accent4"/>
        </w:rPr>
        <w:t>Programi prekogranične suradnje</w:t>
      </w:r>
    </w:p>
    <w:p w14:paraId="0211F1C9" w14:textId="5CC07015" w:rsidR="0079295E" w:rsidRDefault="0079295E" w:rsidP="0079295E">
      <w:pPr>
        <w:spacing w:after="0" w:line="240" w:lineRule="auto"/>
      </w:pPr>
      <w:r w:rsidRPr="0079295E">
        <w:t>Korisnici iz Krapinsko- zagorske županije imaju značajno iskustvo prijave i provedbe projekata prekograni</w:t>
      </w:r>
      <w:r w:rsidRPr="0079295E">
        <w:rPr>
          <w:rFonts w:hint="eastAsia"/>
        </w:rPr>
        <w:t>č</w:t>
      </w:r>
      <w:r w:rsidRPr="0079295E">
        <w:t xml:space="preserve">ne suradnje s partnerima </w:t>
      </w:r>
      <w:r>
        <w:t xml:space="preserve">iz </w:t>
      </w:r>
      <w:r w:rsidRPr="0079295E">
        <w:t>pograni</w:t>
      </w:r>
      <w:r w:rsidRPr="0079295E">
        <w:rPr>
          <w:rFonts w:hint="eastAsia"/>
        </w:rPr>
        <w:t>č</w:t>
      </w:r>
      <w:r w:rsidRPr="0079295E">
        <w:t>nog podru</w:t>
      </w:r>
      <w:r w:rsidRPr="0079295E">
        <w:rPr>
          <w:rFonts w:hint="eastAsia"/>
        </w:rPr>
        <w:t>č</w:t>
      </w:r>
      <w:r>
        <w:t>ja Republike Slovenije</w:t>
      </w:r>
      <w:r w:rsidR="00692606">
        <w:t xml:space="preserve"> i Mađarske</w:t>
      </w:r>
      <w:r>
        <w:t xml:space="preserve">. Iako za razinu Krapinsko-zagorske županije nisu dostupni </w:t>
      </w:r>
      <w:r w:rsidR="00692606">
        <w:t xml:space="preserve">potpuni i </w:t>
      </w:r>
      <w:r>
        <w:t xml:space="preserve">precizni podaci o broju projekata i financijskim iznosima, </w:t>
      </w:r>
      <w:r w:rsidR="00692606">
        <w:t>temeljem</w:t>
      </w:r>
      <w:r>
        <w:t xml:space="preserve"> dostupnih</w:t>
      </w:r>
      <w:r w:rsidR="00692606">
        <w:t xml:space="preserve"> podataka i saznanja Zagorske razvojne agencije, up</w:t>
      </w:r>
      <w:r>
        <w:t xml:space="preserve">ravo putem programa prekogranične </w:t>
      </w:r>
      <w:r w:rsidR="00B9669E">
        <w:t xml:space="preserve">suradnje </w:t>
      </w:r>
      <w:r>
        <w:t>je najveći bro</w:t>
      </w:r>
      <w:r w:rsidR="00692606">
        <w:t xml:space="preserve">j korisnika iz javnog sektora </w:t>
      </w:r>
      <w:r>
        <w:t xml:space="preserve">stekao iskustva pisanja i provedbe EU projekata. </w:t>
      </w:r>
    </w:p>
    <w:p w14:paraId="44B2149E" w14:textId="77777777" w:rsidR="005B4BA7" w:rsidRDefault="005B4BA7" w:rsidP="0079295E">
      <w:pPr>
        <w:spacing w:after="0" w:line="240" w:lineRule="auto"/>
      </w:pPr>
    </w:p>
    <w:p w14:paraId="5D7E9281" w14:textId="103EAA2E" w:rsidR="007A2A47" w:rsidRDefault="007A2A47" w:rsidP="0079295E">
      <w:pPr>
        <w:spacing w:after="0" w:line="240" w:lineRule="auto"/>
      </w:pPr>
    </w:p>
    <w:p w14:paraId="4F1353F8" w14:textId="77777777" w:rsidR="00C71B24" w:rsidRPr="0079295E" w:rsidRDefault="00C71B24" w:rsidP="0079295E">
      <w:pPr>
        <w:spacing w:after="0" w:line="240" w:lineRule="auto"/>
      </w:pPr>
    </w:p>
    <w:p w14:paraId="1E118803" w14:textId="53DCB798" w:rsidR="008878A0" w:rsidRDefault="008878A0" w:rsidP="004A7AA3">
      <w:pPr>
        <w:shd w:val="clear" w:color="auto" w:fill="E5E5E5" w:themeFill="text1" w:themeFillTint="33"/>
        <w:rPr>
          <w:rFonts w:asciiTheme="minorHAnsi" w:eastAsiaTheme="minorHAnsi" w:hAnsiTheme="minorHAnsi"/>
          <w:b/>
        </w:rPr>
      </w:pPr>
      <w:r>
        <w:rPr>
          <w:b/>
        </w:rPr>
        <w:lastRenderedPageBreak/>
        <w:t xml:space="preserve">Zaključak </w:t>
      </w:r>
    </w:p>
    <w:p w14:paraId="219BAEA3" w14:textId="160D4B8A" w:rsidR="008878A0" w:rsidRDefault="008878A0" w:rsidP="004A7AA3">
      <w:pPr>
        <w:shd w:val="clear" w:color="auto" w:fill="E5E5E5" w:themeFill="text1" w:themeFillTint="33"/>
      </w:pPr>
      <w:r>
        <w:t>Krapinsko-zagorska županija i Zagorska razvojna agencija kao ključni dionici u upravljanju razvojem na županijskoj razini imaju značajne kapacitete te potrebna iskustva u upravljanju razvojem, pripremi i provedbi projekata kao i pripremi i praćenju</w:t>
      </w:r>
      <w:r w:rsidR="00634E52">
        <w:t xml:space="preserve"> provedbe</w:t>
      </w:r>
      <w:r>
        <w:t xml:space="preserve"> strateških dokumenata i proračuna.</w:t>
      </w:r>
      <w:r w:rsidR="00A77513">
        <w:t xml:space="preserve"> P</w:t>
      </w:r>
      <w:r>
        <w:t>rovedeno istraživanj</w:t>
      </w:r>
      <w:r w:rsidR="00A77513">
        <w:t xml:space="preserve">e pokazuje </w:t>
      </w:r>
      <w:r>
        <w:t>da i druge institucije koje sudjeluju upravljanju razvojem, od kojih se naročito ističe Regionalna energetska agencija Sjeverozapadne Hrvatske – REGEA, imaju značajna iskustva u pripremi i provedbi projekata</w:t>
      </w:r>
      <w:r w:rsidR="00A77513">
        <w:t xml:space="preserve">. To </w:t>
      </w:r>
      <w:r>
        <w:t xml:space="preserve">iskustvo </w:t>
      </w:r>
      <w:r w:rsidR="00A77513">
        <w:t xml:space="preserve">je, </w:t>
      </w:r>
      <w:r w:rsidR="00001B03">
        <w:t>m</w:t>
      </w:r>
      <w:r w:rsidR="00A77513">
        <w:t xml:space="preserve">eđutim, </w:t>
      </w:r>
      <w:r>
        <w:t>generalno manje kad</w:t>
      </w:r>
      <w:r w:rsidR="00A77513">
        <w:t xml:space="preserve"> je u pitanju </w:t>
      </w:r>
      <w:r>
        <w:t>provedb</w:t>
      </w:r>
      <w:r w:rsidR="00A77513">
        <w:t>a</w:t>
      </w:r>
      <w:r>
        <w:t xml:space="preserve"> projekata. Iskustva ostalih dionika koji sudjeluju u upravljanju razvojem, vezana  uz strateško planiranje tj. izradu i praćenje strateških dokumenata kao i financijskom planiranju i praćenju budžeta znatno </w:t>
      </w:r>
      <w:r w:rsidR="00BB14FC">
        <w:t xml:space="preserve">su </w:t>
      </w:r>
      <w:r>
        <w:t xml:space="preserve">manja. Zagorska razvojna agencija kao regionalni koordinator kontinuirano organizira edukacije za potencijalne korisnike i korisnike EU sredstava. S obzirom na utvrđeno stanje, preporuka je da se pri organizaciji edukacija stavi naglasak na provedbu projekata. Osim toga, kako je iskustvo u izradi i praćenju strateških dokumenata te financijskom planiranju značajno manje, preporuka je da se organiziraju ciljane edukacije i u tom području. </w:t>
      </w:r>
    </w:p>
    <w:p w14:paraId="222092ED" w14:textId="63394909" w:rsidR="008878A0" w:rsidRPr="00446BA5" w:rsidRDefault="008878A0" w:rsidP="00446BA5">
      <w:pPr>
        <w:shd w:val="clear" w:color="auto" w:fill="E5E5E5"/>
        <w:rPr>
          <w:rFonts w:eastAsia="Times New Roman" w:cs="Times New Roman"/>
          <w:color w:val="3F3F3F"/>
        </w:rPr>
      </w:pPr>
      <w:r>
        <w:t xml:space="preserve">Podaci o iskorištenosti operativnih programa govore da </w:t>
      </w:r>
      <w:r w:rsidR="00BB14FC">
        <w:t>se</w:t>
      </w:r>
      <w:r>
        <w:t xml:space="preserve"> Krapinsko-zagorsko županija nalazi uglavnom na sredini ljestvice ukupno ugovorenih sredstava na razi</w:t>
      </w:r>
      <w:r w:rsidR="00103256">
        <w:t xml:space="preserve">ni 20 županija i Grada Zagreba. </w:t>
      </w:r>
      <w:r w:rsidR="00E17064" w:rsidRPr="00446BA5">
        <w:t>Rangiranje županija po ukupnom iznosu ugovorenih EU sredstava ipak ne znači da je neka županija bolja ili lošija u korištenju fondova jer su županije različite gospodarske veličine, strukture gospodarstva i broja stanovnika.</w:t>
      </w:r>
    </w:p>
    <w:p w14:paraId="6B9694C3" w14:textId="1D01CED3" w:rsidR="008878A0" w:rsidRDefault="00DB39FD" w:rsidP="005F13D3">
      <w:pPr>
        <w:pStyle w:val="Naslov1"/>
      </w:pPr>
      <w:r>
        <w:br w:type="column"/>
      </w:r>
      <w:bookmarkStart w:id="291" w:name="_Toc85181393"/>
      <w:r w:rsidR="008878A0">
        <w:lastRenderedPageBreak/>
        <w:t>SWOT analiza Krapinsko-zagorske županije</w:t>
      </w:r>
      <w:bookmarkEnd w:id="291"/>
    </w:p>
    <w:bookmarkEnd w:id="0"/>
    <w:p w14:paraId="3E60D9B2" w14:textId="1ED94A94" w:rsidR="00A63F68" w:rsidRDefault="00A63F68" w:rsidP="00A63F68">
      <w:pPr>
        <w:rPr>
          <w:rFonts w:eastAsia="Times New Roman" w:cs="Times New Roman"/>
          <w:b/>
          <w:color w:val="9D1A1F"/>
        </w:rPr>
      </w:pPr>
    </w:p>
    <w:p w14:paraId="000D815B" w14:textId="77777777" w:rsidR="009E441D" w:rsidRDefault="009E441D" w:rsidP="009E441D">
      <w:pPr>
        <w:spacing w:after="0"/>
        <w:rPr>
          <w:rFonts w:eastAsia="Times New Roman" w:cs="Times New Roman"/>
          <w:b/>
          <w:color w:val="9D1A1F"/>
        </w:rPr>
      </w:pPr>
      <w:r w:rsidRPr="00382AF9">
        <w:rPr>
          <w:rFonts w:eastAsia="Times New Roman" w:cs="Times New Roman"/>
          <w:b/>
          <w:color w:val="9D1A1F"/>
        </w:rPr>
        <w:t xml:space="preserve">GOSPODARSTVO </w:t>
      </w:r>
    </w:p>
    <w:tbl>
      <w:tblPr>
        <w:tblpPr w:leftFromText="180" w:rightFromText="180" w:vertAnchor="page" w:horzAnchor="margin" w:tblpY="2857"/>
        <w:tblW w:w="0" w:type="auto"/>
        <w:tblBorders>
          <w:insideH w:val="single" w:sz="8" w:space="0" w:color="F3CFC1"/>
          <w:insideV w:val="single" w:sz="8" w:space="0" w:color="D2232A"/>
        </w:tblBorders>
        <w:tblLook w:val="04A0" w:firstRow="1" w:lastRow="0" w:firstColumn="1" w:lastColumn="0" w:noHBand="0" w:noVBand="1"/>
      </w:tblPr>
      <w:tblGrid>
        <w:gridCol w:w="4534"/>
        <w:gridCol w:w="4528"/>
      </w:tblGrid>
      <w:tr w:rsidR="009E441D" w:rsidRPr="00382AF9" w14:paraId="0CC497C7" w14:textId="77777777" w:rsidTr="00FB5FE0">
        <w:trPr>
          <w:trHeight w:val="225"/>
          <w:tblHeader/>
        </w:trPr>
        <w:tc>
          <w:tcPr>
            <w:tcW w:w="4534" w:type="dxa"/>
            <w:shd w:val="clear" w:color="auto" w:fill="D2232A"/>
            <w:hideMark/>
          </w:tcPr>
          <w:p w14:paraId="212842D2" w14:textId="77777777" w:rsidR="009E441D" w:rsidRPr="00382AF9" w:rsidRDefault="009E441D" w:rsidP="00FB5FE0">
            <w:pPr>
              <w:spacing w:after="0"/>
              <w:rPr>
                <w:rFonts w:eastAsia="Times New Roman" w:cs="Calibri"/>
                <w:b/>
                <w:color w:val="FFFFFF"/>
              </w:rPr>
            </w:pPr>
            <w:r w:rsidRPr="00382AF9">
              <w:rPr>
                <w:rFonts w:eastAsia="Times New Roman" w:cs="Calibri"/>
                <w:b/>
                <w:color w:val="FFFFFF"/>
              </w:rPr>
              <w:t>Snage</w:t>
            </w:r>
          </w:p>
        </w:tc>
        <w:tc>
          <w:tcPr>
            <w:tcW w:w="4528" w:type="dxa"/>
            <w:shd w:val="clear" w:color="auto" w:fill="D2232A"/>
            <w:hideMark/>
          </w:tcPr>
          <w:p w14:paraId="20984610" w14:textId="77777777" w:rsidR="009E441D" w:rsidRPr="00382AF9" w:rsidRDefault="009E441D" w:rsidP="00FB5FE0">
            <w:pPr>
              <w:spacing w:after="0"/>
              <w:rPr>
                <w:rFonts w:eastAsia="Times New Roman" w:cs="Calibri"/>
                <w:color w:val="FFFFFF"/>
              </w:rPr>
            </w:pPr>
            <w:r w:rsidRPr="00382AF9">
              <w:rPr>
                <w:rFonts w:eastAsia="Times New Roman" w:cs="Calibri"/>
                <w:b/>
                <w:color w:val="FFFFFF"/>
              </w:rPr>
              <w:t>Slabosti</w:t>
            </w:r>
          </w:p>
        </w:tc>
      </w:tr>
      <w:tr w:rsidR="009E441D" w:rsidRPr="00173C4B" w14:paraId="246897C5" w14:textId="77777777" w:rsidTr="00FB5FE0">
        <w:trPr>
          <w:trHeight w:val="1984"/>
        </w:trPr>
        <w:tc>
          <w:tcPr>
            <w:tcW w:w="4534" w:type="dxa"/>
          </w:tcPr>
          <w:p w14:paraId="6CFF571A" w14:textId="77777777" w:rsidR="009E441D" w:rsidRPr="00382AF9" w:rsidRDefault="009E441D" w:rsidP="00FB5FE0">
            <w:pPr>
              <w:spacing w:after="0"/>
              <w:rPr>
                <w:rFonts w:eastAsia="Times New Roman" w:cs="Calibri"/>
                <w:b/>
              </w:rPr>
            </w:pPr>
            <w:r w:rsidRPr="00382AF9">
              <w:rPr>
                <w:rFonts w:eastAsia="Times New Roman" w:cs="Calibri"/>
                <w:b/>
                <w:color w:val="D2232A"/>
              </w:rPr>
              <w:t>Poljoprivreda</w:t>
            </w:r>
            <w:r w:rsidRPr="00382AF9">
              <w:rPr>
                <w:rFonts w:eastAsia="Times New Roman" w:cs="Calibri"/>
                <w:b/>
                <w:color w:val="3F3F3F"/>
              </w:rPr>
              <w:t xml:space="preserve">: </w:t>
            </w:r>
          </w:p>
          <w:p w14:paraId="1ABD67ED"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Dugogodišnja tradicija bavljenja poljoprivredom</w:t>
            </w:r>
            <w:r>
              <w:rPr>
                <w:rFonts w:eastAsia="Times New Roman" w:cs="Calibri"/>
                <w:color w:val="3F3F3F"/>
              </w:rPr>
              <w:t xml:space="preserve"> koja doprinosi prepoznatljivosti KZŽ i pojedinih poljoprivrednih proizvoda te djelomice generira povratak poljoprivredi </w:t>
            </w:r>
          </w:p>
          <w:p w14:paraId="6F489CBA" w14:textId="77777777" w:rsidR="009E441D" w:rsidRPr="00173C4B" w:rsidRDefault="009E441D" w:rsidP="009E441D">
            <w:pPr>
              <w:numPr>
                <w:ilvl w:val="0"/>
                <w:numId w:val="17"/>
              </w:numPr>
              <w:spacing w:after="0" w:line="240" w:lineRule="auto"/>
              <w:ind w:left="342" w:hanging="284"/>
              <w:contextualSpacing/>
              <w:rPr>
                <w:rFonts w:eastAsia="Times New Roman" w:cs="Calibri"/>
                <w:color w:val="3F3F3F"/>
              </w:rPr>
            </w:pPr>
            <w:r w:rsidRPr="00173C4B">
              <w:rPr>
                <w:rFonts w:eastAsia="Times New Roman" w:cs="Calibri"/>
                <w:color w:val="3F3F3F"/>
              </w:rPr>
              <w:t>Zaštićena oznaka izvornosti (ZOI) zagorskog bagremovog meda, zaštićena oznaka zemljopisnog podrijetla (ZOZP) za zagorskog purana, zagorske mlince i Zagorske štrukle/Zagorske štruklje osiguravaju kvalitetu i prepoznatljivost na tržištu, pridonose razvoju ruralnih područja te očuvanju i razvoju tradicionalne proizvodnje navedenih zagorskih proizvoda</w:t>
            </w:r>
          </w:p>
          <w:p w14:paraId="4FB17D29"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Por</w:t>
            </w:r>
            <w:r w:rsidRPr="00382AF9">
              <w:rPr>
                <w:rFonts w:eastAsia="Times New Roman" w:cs="Calibri"/>
                <w:color w:val="3F3F3F"/>
              </w:rPr>
              <w:t>ast kvalitete vina i prepoznatljivosti</w:t>
            </w:r>
            <w:r>
              <w:rPr>
                <w:rFonts w:eastAsia="Times New Roman" w:cs="Calibri"/>
                <w:color w:val="3F3F3F"/>
              </w:rPr>
              <w:t xml:space="preserve"> vina </w:t>
            </w:r>
            <w:r w:rsidRPr="00382AF9">
              <w:rPr>
                <w:rFonts w:eastAsia="Times New Roman" w:cs="Calibri"/>
                <w:color w:val="3F3F3F"/>
              </w:rPr>
              <w:t>na tržištu</w:t>
            </w:r>
          </w:p>
          <w:p w14:paraId="671B75D1"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Stručna znanja određenog broja poljoprivrednika koji </w:t>
            </w:r>
            <w:r>
              <w:rPr>
                <w:rFonts w:eastAsia="Times New Roman" w:cs="Calibri"/>
                <w:color w:val="3F3F3F"/>
              </w:rPr>
              <w:t xml:space="preserve">iako malobrojni </w:t>
            </w:r>
            <w:r w:rsidRPr="00382AF9">
              <w:rPr>
                <w:rFonts w:eastAsia="Times New Roman" w:cs="Calibri"/>
                <w:color w:val="3F3F3F"/>
              </w:rPr>
              <w:t xml:space="preserve">djeluju kao </w:t>
            </w:r>
            <w:r>
              <w:rPr>
                <w:rFonts w:eastAsia="Times New Roman" w:cs="Calibri"/>
                <w:color w:val="3F3F3F"/>
              </w:rPr>
              <w:t xml:space="preserve">uzor i pokretači daljnjeg </w:t>
            </w:r>
            <w:r w:rsidRPr="00382AF9">
              <w:rPr>
                <w:rFonts w:eastAsia="Times New Roman" w:cs="Calibri"/>
                <w:color w:val="3F3F3F"/>
              </w:rPr>
              <w:t xml:space="preserve">razvoja </w:t>
            </w:r>
            <w:r>
              <w:rPr>
                <w:rFonts w:eastAsia="Times New Roman" w:cs="Calibri"/>
                <w:color w:val="3F3F3F"/>
              </w:rPr>
              <w:t>poljoprivrede</w:t>
            </w:r>
          </w:p>
          <w:p w14:paraId="2383D0A8" w14:textId="649933A6" w:rsidR="009E441D" w:rsidRPr="00480559" w:rsidRDefault="009E441D" w:rsidP="009E441D">
            <w:pPr>
              <w:numPr>
                <w:ilvl w:val="0"/>
                <w:numId w:val="17"/>
              </w:numPr>
              <w:spacing w:after="0"/>
              <w:ind w:left="342" w:hanging="284"/>
              <w:contextualSpacing/>
              <w:rPr>
                <w:rFonts w:eastAsia="Times New Roman" w:cs="Calibri"/>
                <w:color w:val="auto"/>
              </w:rPr>
            </w:pPr>
            <w:r w:rsidRPr="00480559">
              <w:rPr>
                <w:rFonts w:eastAsia="Times New Roman" w:cs="Calibri"/>
                <w:color w:val="auto"/>
              </w:rPr>
              <w:t>Kontinuirano provođenje poticajnih mjera i izdvajanje financijskih sredstava iz županijskog proračuna za razvoj i povećanje konkurentnosti poljoprivredne djelatnosti u KZŽ</w:t>
            </w:r>
          </w:p>
          <w:p w14:paraId="645F4470" w14:textId="6BF36773" w:rsidR="00480559" w:rsidRPr="00480559" w:rsidRDefault="00480559" w:rsidP="00480559">
            <w:pPr>
              <w:numPr>
                <w:ilvl w:val="0"/>
                <w:numId w:val="17"/>
              </w:numPr>
              <w:spacing w:after="0" w:line="240" w:lineRule="auto"/>
              <w:ind w:left="342" w:hanging="284"/>
              <w:contextualSpacing/>
              <w:rPr>
                <w:rFonts w:eastAsia="Times New Roman" w:cs="Calibri"/>
                <w:color w:val="auto"/>
              </w:rPr>
            </w:pPr>
            <w:r w:rsidRPr="008D6453">
              <w:rPr>
                <w:rFonts w:eastAsia="Times New Roman" w:cs="Calibri"/>
                <w:color w:val="3F3F3F"/>
              </w:rPr>
              <w:t xml:space="preserve">Dugogodišnje iskustvo u obrazovanju učenika u sektoru poljoprivrede u zanimanjima cvjećar/ka, poljoprivredni gospodarstvenik, mehaničar poljoprivredne mehanizacije i agrotehničar </w:t>
            </w:r>
          </w:p>
          <w:p w14:paraId="12E88EEE" w14:textId="77777777" w:rsidR="009E441D" w:rsidRPr="00382AF9" w:rsidRDefault="009E441D" w:rsidP="00FB5FE0">
            <w:pPr>
              <w:spacing w:after="0" w:line="240" w:lineRule="auto"/>
              <w:ind w:left="720"/>
              <w:contextualSpacing/>
              <w:rPr>
                <w:rFonts w:eastAsia="Times New Roman" w:cs="Calibri"/>
                <w:b/>
                <w:color w:val="3F3F3F"/>
              </w:rPr>
            </w:pPr>
          </w:p>
          <w:p w14:paraId="7EC00863" w14:textId="77777777" w:rsidR="009E441D" w:rsidRPr="00382AF9" w:rsidRDefault="009E441D" w:rsidP="00FB5FE0">
            <w:pPr>
              <w:spacing w:after="0"/>
              <w:rPr>
                <w:rFonts w:eastAsia="Times New Roman" w:cs="Calibri"/>
                <w:b/>
                <w:color w:val="D2232A"/>
              </w:rPr>
            </w:pPr>
            <w:r w:rsidRPr="00382AF9">
              <w:rPr>
                <w:rFonts w:eastAsia="Times New Roman" w:cs="Calibri"/>
                <w:b/>
                <w:color w:val="D2232A"/>
              </w:rPr>
              <w:t>Poduzetništvo i obrtništvo:</w:t>
            </w:r>
          </w:p>
          <w:p w14:paraId="280ECC8E"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Pozitivni trendovi u poduzetništvu</w:t>
            </w:r>
            <w:r>
              <w:rPr>
                <w:rFonts w:eastAsia="Times New Roman" w:cs="Calibri"/>
                <w:color w:val="3F3F3F"/>
              </w:rPr>
              <w:t xml:space="preserve"> do pojave pandemije uzrokovane virusom COVID-19</w:t>
            </w:r>
            <w:r w:rsidRPr="00382AF9">
              <w:rPr>
                <w:rFonts w:eastAsia="Times New Roman" w:cs="Calibri"/>
                <w:color w:val="3F3F3F"/>
              </w:rPr>
              <w:t xml:space="preserve"> - rast broja poduzetnika, ukupnih prihoda, dobiti nakon oporezivanja, neto plaća i rast broja zaposlenih</w:t>
            </w:r>
          </w:p>
          <w:p w14:paraId="5ACA3089"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Razvijena prerađivačka industrija koja ostvaruje najveće prihode, zapošljava najviše ljudi i najveći je izvoznik</w:t>
            </w:r>
          </w:p>
          <w:p w14:paraId="19B4E684"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Izvozno orijentirano gospodarstvo</w:t>
            </w:r>
            <w:r>
              <w:rPr>
                <w:rFonts w:eastAsia="Times New Roman" w:cs="Calibri"/>
                <w:color w:val="3F3F3F"/>
              </w:rPr>
              <w:t xml:space="preserve"> županije koje jamči održiv gospodarski rast</w:t>
            </w:r>
          </w:p>
          <w:p w14:paraId="4BFC1B4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Dobar stupanj tehnološke opremljenosti vodećih tvrtki u poduzetništvu</w:t>
            </w:r>
          </w:p>
          <w:p w14:paraId="21AEB3DB"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R</w:t>
            </w:r>
            <w:r w:rsidRPr="00382AF9">
              <w:rPr>
                <w:rFonts w:eastAsia="Times New Roman" w:cs="Calibri"/>
                <w:color w:val="3F3F3F"/>
              </w:rPr>
              <w:t>ast broja obrta</w:t>
            </w:r>
            <w:r>
              <w:rPr>
                <w:rFonts w:eastAsia="Times New Roman" w:cs="Calibri"/>
                <w:color w:val="3F3F3F"/>
              </w:rPr>
              <w:t xml:space="preserve"> do pojave pandemije uzrokovane virusom COVID-19, koji kroz prihode i radna mjesta doprinose i nadopunjuju razvoj gospodarstva KZŽ </w:t>
            </w:r>
          </w:p>
          <w:p w14:paraId="46369C38" w14:textId="77777777" w:rsidR="009E441D" w:rsidRPr="00382AF9" w:rsidRDefault="009E441D" w:rsidP="00FB5FE0">
            <w:pPr>
              <w:spacing w:after="0"/>
              <w:rPr>
                <w:rFonts w:eastAsia="Times New Roman" w:cs="Calibri"/>
                <w:b/>
                <w:color w:val="3F3F3F"/>
              </w:rPr>
            </w:pPr>
          </w:p>
          <w:p w14:paraId="3813EB02" w14:textId="77777777" w:rsidR="009E441D" w:rsidRPr="00382AF9" w:rsidRDefault="009E441D" w:rsidP="00FB5FE0">
            <w:pPr>
              <w:spacing w:after="0"/>
              <w:rPr>
                <w:rFonts w:eastAsia="Times New Roman" w:cs="Calibri"/>
                <w:b/>
                <w:color w:val="3F3F3F"/>
              </w:rPr>
            </w:pPr>
            <w:r w:rsidRPr="00382AF9">
              <w:rPr>
                <w:rFonts w:eastAsia="Times New Roman" w:cs="Calibri"/>
                <w:b/>
                <w:color w:val="D2232A"/>
              </w:rPr>
              <w:t>Turizam</w:t>
            </w:r>
            <w:r w:rsidRPr="00382AF9">
              <w:rPr>
                <w:rFonts w:eastAsia="Times New Roman" w:cs="Calibri"/>
                <w:b/>
                <w:color w:val="3F3F3F"/>
              </w:rPr>
              <w:t>:</w:t>
            </w:r>
          </w:p>
          <w:p w14:paraId="6F2B7D5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P</w:t>
            </w:r>
            <w:r w:rsidRPr="00382AF9">
              <w:rPr>
                <w:rFonts w:eastAsia="Times New Roman" w:cs="Calibri"/>
                <w:color w:val="3F3F3F"/>
              </w:rPr>
              <w:t xml:space="preserve">rivrženost </w:t>
            </w:r>
            <w:r>
              <w:rPr>
                <w:rFonts w:eastAsia="Times New Roman" w:cs="Calibri"/>
                <w:color w:val="3F3F3F"/>
              </w:rPr>
              <w:t xml:space="preserve">stanovništva očuvanju tradicije u vidu materijalne i nematerijalne kulturne baštine koja je privlačna stranim turistima te predstavlja atrakcijski potencijal </w:t>
            </w:r>
          </w:p>
          <w:p w14:paraId="7273AB92" w14:textId="01E0C73E" w:rsidR="009E441D"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 xml:space="preserve">Postojeća ponuda različitih vrsta </w:t>
            </w:r>
            <w:r w:rsidRPr="00382AF9">
              <w:rPr>
                <w:rFonts w:eastAsia="Times New Roman" w:cs="Calibri"/>
                <w:color w:val="3F3F3F"/>
              </w:rPr>
              <w:t xml:space="preserve">smještajnih kapaciteta </w:t>
            </w:r>
            <w:r>
              <w:rPr>
                <w:rFonts w:eastAsia="Times New Roman" w:cs="Calibri"/>
                <w:color w:val="3F3F3F"/>
              </w:rPr>
              <w:t xml:space="preserve">koja je kreirana prema zahtjevima tržišta te porast broja stalnih postelja </w:t>
            </w:r>
          </w:p>
          <w:p w14:paraId="04A01329" w14:textId="77777777" w:rsidR="00480559" w:rsidRPr="008D6453" w:rsidRDefault="00480559" w:rsidP="00480559">
            <w:pPr>
              <w:numPr>
                <w:ilvl w:val="0"/>
                <w:numId w:val="17"/>
              </w:numPr>
              <w:spacing w:after="0" w:line="240" w:lineRule="auto"/>
              <w:ind w:left="342" w:hanging="284"/>
              <w:contextualSpacing/>
              <w:rPr>
                <w:rFonts w:eastAsia="Times New Roman" w:cs="Calibri"/>
                <w:color w:val="3F3F3F"/>
              </w:rPr>
            </w:pPr>
            <w:r w:rsidRPr="008D6453">
              <w:rPr>
                <w:rFonts w:eastAsia="Times New Roman" w:cs="Calibri"/>
                <w:color w:val="3F3F3F"/>
              </w:rPr>
              <w:t xml:space="preserve">Na području županije nalazi se najpoznatije i najposjećenije nacionalno marijansko svetište – Svetište Majke Božje Bistričke </w:t>
            </w:r>
          </w:p>
          <w:p w14:paraId="5A89F8BF"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Razvijen kupališni i zdravstveni turizam koji se temelji na </w:t>
            </w:r>
            <w:r w:rsidRPr="00173C4B">
              <w:rPr>
                <w:rFonts w:eastAsia="Times New Roman" w:cs="Calibri"/>
                <w:color w:val="3F3F3F"/>
              </w:rPr>
              <w:t>prirodnom resursu-</w:t>
            </w:r>
            <w:r w:rsidRPr="00382AF9">
              <w:rPr>
                <w:rFonts w:eastAsia="Times New Roman" w:cs="Calibri"/>
                <w:color w:val="3F3F3F"/>
              </w:rPr>
              <w:t>termalnim izvorima</w:t>
            </w:r>
          </w:p>
          <w:p w14:paraId="7A18A933" w14:textId="77777777" w:rsidR="009E441D" w:rsidRPr="00173C4B" w:rsidRDefault="009E441D" w:rsidP="009E441D">
            <w:pPr>
              <w:numPr>
                <w:ilvl w:val="0"/>
                <w:numId w:val="17"/>
              </w:numPr>
              <w:spacing w:after="0" w:line="240" w:lineRule="auto"/>
              <w:ind w:left="342" w:hanging="284"/>
              <w:contextualSpacing/>
              <w:rPr>
                <w:rFonts w:eastAsia="Times New Roman" w:cs="Calibri"/>
                <w:color w:val="3F3F3F"/>
              </w:rPr>
            </w:pPr>
            <w:r w:rsidRPr="00173C4B">
              <w:rPr>
                <w:rFonts w:eastAsia="Times New Roman" w:cs="Calibri"/>
                <w:color w:val="3F3F3F"/>
              </w:rPr>
              <w:lastRenderedPageBreak/>
              <w:t xml:space="preserve">Tradicija zdravstvenog turizma s postojećom infrastrukturom za zdravstveni turizam koja je dostupna stanovnicima KZŽ </w:t>
            </w:r>
          </w:p>
          <w:p w14:paraId="1F20065C" w14:textId="77777777" w:rsidR="009E441D" w:rsidRPr="00972936"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Brand „Bajka na dlanu“ prepoznat na domaćem i EU tržištu</w:t>
            </w:r>
          </w:p>
        </w:tc>
        <w:tc>
          <w:tcPr>
            <w:tcW w:w="4528" w:type="dxa"/>
          </w:tcPr>
          <w:p w14:paraId="2AA0C294" w14:textId="77777777" w:rsidR="009E441D" w:rsidRPr="008D59E9" w:rsidRDefault="009E441D" w:rsidP="00FB5FE0">
            <w:pPr>
              <w:spacing w:after="0"/>
              <w:rPr>
                <w:rFonts w:eastAsia="Times New Roman" w:cs="Calibri"/>
                <w:b/>
                <w:color w:val="D2232A"/>
              </w:rPr>
            </w:pPr>
            <w:r w:rsidRPr="008D59E9">
              <w:rPr>
                <w:rFonts w:eastAsia="Times New Roman" w:cs="Calibri"/>
                <w:b/>
                <w:color w:val="D2232A"/>
              </w:rPr>
              <w:lastRenderedPageBreak/>
              <w:t>Poljoprivreda:</w:t>
            </w:r>
          </w:p>
          <w:p w14:paraId="7455625B" w14:textId="77777777" w:rsidR="009E441D" w:rsidRPr="00185740"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Nepovoljna dobna struktura poljoprivrednih proizvođača</w:t>
            </w:r>
            <w:r>
              <w:rPr>
                <w:rFonts w:eastAsia="Times New Roman" w:cs="Calibri"/>
                <w:color w:val="3F3F3F"/>
              </w:rPr>
              <w:t xml:space="preserve"> - najveći broj registriranih nositelja poljoprivrednih gospodarstava je starije od 65 godina </w:t>
            </w:r>
            <w:r w:rsidRPr="00173C4B">
              <w:rPr>
                <w:rFonts w:eastAsia="Times New Roman" w:cs="Calibri"/>
                <w:color w:val="3F3F3F"/>
              </w:rPr>
              <w:t xml:space="preserve">i oni </w:t>
            </w:r>
            <w:r>
              <w:rPr>
                <w:rFonts w:eastAsia="Times New Roman" w:cs="Calibri"/>
                <w:color w:val="3F3F3F"/>
              </w:rPr>
              <w:t>nisu spremni na praćenje zahtjeva tržišta i primjenu novih tehnologija u proizvodnji</w:t>
            </w:r>
          </w:p>
          <w:p w14:paraId="0AAB3EEA"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Zapuštene poljoprivredne površine kao neiskorišteni potencijal</w:t>
            </w:r>
            <w:r>
              <w:rPr>
                <w:rFonts w:eastAsia="Times New Roman" w:cs="Calibri"/>
                <w:color w:val="3F3F3F"/>
              </w:rPr>
              <w:t xml:space="preserve"> za povećanje poljoprivredne proizvodnje</w:t>
            </w:r>
          </w:p>
          <w:p w14:paraId="6699423D"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Pad proizvodnje u pojedinim granama stočarstva (govedarstvo, svinjogojstvo) uslijed nedovoljne atraktivnosti proizvodnje</w:t>
            </w:r>
          </w:p>
          <w:p w14:paraId="208F16F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Pretežito mali proizvođači koji obrađuju male površine i proizvode uglavnom za vlastite potrebe, n</w:t>
            </w:r>
            <w:r w:rsidRPr="00382AF9">
              <w:rPr>
                <w:rFonts w:eastAsia="Times New Roman" w:cs="Calibri"/>
                <w:color w:val="3F3F3F"/>
              </w:rPr>
              <w:t>edostatak komercijalne poljoprivredne proizvodnje i finalizacije putem prerade</w:t>
            </w:r>
          </w:p>
          <w:p w14:paraId="2C70144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Nedovoljno iskorišteni potencijal za bavljenje ekološkom poljoprivredom </w:t>
            </w:r>
          </w:p>
          <w:p w14:paraId="62C619B7" w14:textId="77777777" w:rsidR="009E441D" w:rsidRPr="00780A57" w:rsidRDefault="009E441D" w:rsidP="009E441D">
            <w:pPr>
              <w:numPr>
                <w:ilvl w:val="0"/>
                <w:numId w:val="17"/>
              </w:numPr>
              <w:spacing w:after="0" w:line="240" w:lineRule="auto"/>
              <w:ind w:left="342" w:hanging="284"/>
              <w:contextualSpacing/>
              <w:rPr>
                <w:rFonts w:eastAsia="Times New Roman" w:cs="Calibri"/>
                <w:color w:val="3F3F3F"/>
              </w:rPr>
            </w:pPr>
            <w:r w:rsidRPr="00780A57">
              <w:rPr>
                <w:rFonts w:eastAsia="Times New Roman" w:cs="Calibri"/>
                <w:color w:val="3F3F3F"/>
              </w:rPr>
              <w:t xml:space="preserve">Slaba digitalna pismenost poljoprivrednih proizvođača, </w:t>
            </w:r>
            <w:r>
              <w:rPr>
                <w:rFonts w:eastAsia="Times New Roman" w:cs="Calibri"/>
                <w:color w:val="3F3F3F"/>
              </w:rPr>
              <w:t>z</w:t>
            </w:r>
            <w:r w:rsidRPr="00780A57">
              <w:rPr>
                <w:rFonts w:eastAsia="Times New Roman" w:cs="Calibri"/>
                <w:color w:val="3F3F3F"/>
              </w:rPr>
              <w:t>astarjela mehanizacija, strojevi i oprema koji usporavaju razvoj poljoprivrede</w:t>
            </w:r>
          </w:p>
          <w:p w14:paraId="64D57757" w14:textId="4C5FA01B"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Nedovoljno udruživanje poljoprivrednika (npr. proizvođačke organizacije, strojni prstenovi i sl.)</w:t>
            </w:r>
            <w:r>
              <w:rPr>
                <w:rFonts w:eastAsia="Times New Roman" w:cs="Calibri"/>
                <w:color w:val="3F3F3F"/>
              </w:rPr>
              <w:t xml:space="preserve"> kojim bi se malim proizvođačima smanjili troškovi proizvodnje i olakšao pristup tržištu nabave i prodaje</w:t>
            </w:r>
          </w:p>
          <w:p w14:paraId="0B8E0607" w14:textId="131A2EE6" w:rsidR="00480559" w:rsidRPr="00480559" w:rsidRDefault="00480559" w:rsidP="00480559">
            <w:pPr>
              <w:numPr>
                <w:ilvl w:val="0"/>
                <w:numId w:val="17"/>
              </w:numPr>
              <w:spacing w:after="0" w:line="240" w:lineRule="auto"/>
              <w:ind w:left="342" w:hanging="284"/>
              <w:contextualSpacing/>
              <w:rPr>
                <w:rFonts w:eastAsia="Times New Roman" w:cs="Calibri"/>
                <w:color w:val="3F3F3F"/>
              </w:rPr>
            </w:pPr>
            <w:r w:rsidRPr="008D6453">
              <w:rPr>
                <w:rFonts w:eastAsia="Times New Roman" w:cs="Calibri"/>
                <w:color w:val="3F3F3F"/>
              </w:rPr>
              <w:t>Nedostatak prostora za izvođenje teorijsko-praktične nastave u sektoru poljoprivrede</w:t>
            </w:r>
          </w:p>
          <w:p w14:paraId="6C503A17" w14:textId="77777777" w:rsidR="009E441D" w:rsidRPr="00173C4B" w:rsidRDefault="009E441D" w:rsidP="00FB5FE0">
            <w:pPr>
              <w:spacing w:after="0" w:line="240" w:lineRule="auto"/>
              <w:ind w:left="342"/>
              <w:contextualSpacing/>
              <w:rPr>
                <w:rFonts w:eastAsia="Times New Roman" w:cs="Calibri"/>
                <w:color w:val="3F3F3F"/>
              </w:rPr>
            </w:pPr>
          </w:p>
          <w:p w14:paraId="5CD17D5D" w14:textId="77777777" w:rsidR="009E441D" w:rsidRPr="008D59E9" w:rsidRDefault="009E441D" w:rsidP="00FB5FE0">
            <w:pPr>
              <w:spacing w:after="0"/>
              <w:rPr>
                <w:rFonts w:eastAsia="Times New Roman" w:cs="Calibri"/>
                <w:b/>
                <w:color w:val="D2232A"/>
              </w:rPr>
            </w:pPr>
            <w:r w:rsidRPr="008D59E9">
              <w:rPr>
                <w:rFonts w:eastAsia="Times New Roman" w:cs="Calibri"/>
                <w:b/>
                <w:color w:val="D2232A"/>
              </w:rPr>
              <w:t>Poduzetništvo i obrtništvo:</w:t>
            </w:r>
          </w:p>
          <w:p w14:paraId="6BC3401C"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Poduzetnička konkurentnost i aktivnost </w:t>
            </w:r>
            <w:r>
              <w:rPr>
                <w:rFonts w:eastAsia="Times New Roman" w:cs="Calibri"/>
                <w:color w:val="3F3F3F"/>
              </w:rPr>
              <w:t>(</w:t>
            </w:r>
            <w:r w:rsidRPr="00382AF9">
              <w:rPr>
                <w:rFonts w:eastAsia="Times New Roman" w:cs="Calibri"/>
                <w:color w:val="3F3F3F"/>
              </w:rPr>
              <w:t>mjerena brojem tvrtki na km</w:t>
            </w:r>
            <w:r w:rsidRPr="00480559">
              <w:rPr>
                <w:rFonts w:eastAsia="Times New Roman" w:cs="Calibri"/>
                <w:color w:val="3F3F3F"/>
                <w:vertAlign w:val="superscript"/>
              </w:rPr>
              <w:t>2</w:t>
            </w:r>
            <w:r w:rsidRPr="00382AF9">
              <w:rPr>
                <w:rFonts w:eastAsia="Times New Roman" w:cs="Calibri"/>
                <w:color w:val="3F3F3F"/>
              </w:rPr>
              <w:t xml:space="preserve"> i na 1000 stan</w:t>
            </w:r>
            <w:r>
              <w:rPr>
                <w:rFonts w:eastAsia="Times New Roman" w:cs="Calibri"/>
                <w:color w:val="3F3F3F"/>
              </w:rPr>
              <w:t>ovnika)</w:t>
            </w:r>
            <w:r w:rsidRPr="00382AF9">
              <w:rPr>
                <w:rFonts w:eastAsia="Times New Roman" w:cs="Calibri"/>
                <w:color w:val="3F3F3F"/>
              </w:rPr>
              <w:t xml:space="preserve"> manja u odnosu na prosjek države</w:t>
            </w:r>
          </w:p>
          <w:p w14:paraId="3C7F5E8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Plaće zaposlenih kod poduzetnika </w:t>
            </w:r>
            <w:r>
              <w:rPr>
                <w:rFonts w:eastAsia="Times New Roman" w:cs="Calibri"/>
                <w:color w:val="3F3F3F"/>
              </w:rPr>
              <w:t xml:space="preserve">u KZŽ </w:t>
            </w:r>
            <w:r w:rsidRPr="00382AF9">
              <w:rPr>
                <w:rFonts w:eastAsia="Times New Roman" w:cs="Calibri"/>
                <w:color w:val="3F3F3F"/>
              </w:rPr>
              <w:t>manje od prosjeka države</w:t>
            </w:r>
          </w:p>
          <w:p w14:paraId="7D59E0F7"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Niska inovativnost </w:t>
            </w:r>
            <w:r>
              <w:rPr>
                <w:rFonts w:eastAsia="Times New Roman" w:cs="Calibri"/>
                <w:color w:val="3F3F3F"/>
              </w:rPr>
              <w:t>KZŽ</w:t>
            </w:r>
            <w:r w:rsidRPr="00382AF9">
              <w:rPr>
                <w:rFonts w:eastAsia="Times New Roman" w:cs="Calibri"/>
                <w:color w:val="3F3F3F"/>
              </w:rPr>
              <w:t xml:space="preserve"> (mali broj prijavljenih i odobrenih patenata, </w:t>
            </w:r>
            <w:r>
              <w:rPr>
                <w:rFonts w:eastAsia="Times New Roman" w:cs="Calibri"/>
                <w:color w:val="3F3F3F"/>
              </w:rPr>
              <w:t>niska</w:t>
            </w:r>
            <w:r w:rsidRPr="00382AF9">
              <w:rPr>
                <w:rFonts w:eastAsia="Times New Roman" w:cs="Calibri"/>
                <w:color w:val="3F3F3F"/>
              </w:rPr>
              <w:t xml:space="preserve"> ulaganja u istraživanje i razvoj)</w:t>
            </w:r>
          </w:p>
          <w:p w14:paraId="7C185CF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S</w:t>
            </w:r>
            <w:r w:rsidRPr="00382AF9">
              <w:rPr>
                <w:rFonts w:eastAsia="Times New Roman" w:cs="Calibri"/>
                <w:color w:val="3F3F3F"/>
              </w:rPr>
              <w:t>laba motiviranost i zainteresiranost učenika za zanate i strukovna zanimanja</w:t>
            </w:r>
            <w:r>
              <w:rPr>
                <w:rFonts w:eastAsia="Times New Roman" w:cs="Calibri"/>
                <w:color w:val="3F3F3F"/>
              </w:rPr>
              <w:t xml:space="preserve"> – utvrđeno </w:t>
            </w:r>
            <w:r w:rsidRPr="00382AF9">
              <w:rPr>
                <w:rFonts w:eastAsia="Times New Roman" w:cs="Calibri"/>
                <w:color w:val="3F3F3F"/>
              </w:rPr>
              <w:t>10 zanimanja d</w:t>
            </w:r>
            <w:r>
              <w:rPr>
                <w:rFonts w:eastAsia="Times New Roman" w:cs="Calibri"/>
                <w:color w:val="3F3F3F"/>
              </w:rPr>
              <w:t xml:space="preserve">eficitarnih na području KZŽ </w:t>
            </w:r>
          </w:p>
          <w:p w14:paraId="4DB345AC"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Neiskorišten potencijal poslovnih zona predviđenih u prostornim planovima koje ne posluju</w:t>
            </w:r>
            <w:r w:rsidRPr="00382AF9">
              <w:rPr>
                <w:rFonts w:eastAsia="Times New Roman" w:cs="Calibri"/>
                <w:color w:val="3F3F3F"/>
              </w:rPr>
              <w:t xml:space="preserve"> i/ili su prazne</w:t>
            </w:r>
          </w:p>
          <w:p w14:paraId="2352D359" w14:textId="24DE5E9F" w:rsidR="00480559" w:rsidRPr="008D6453" w:rsidRDefault="00480559" w:rsidP="00480559">
            <w:pPr>
              <w:numPr>
                <w:ilvl w:val="0"/>
                <w:numId w:val="17"/>
              </w:numPr>
              <w:spacing w:after="0" w:line="240" w:lineRule="auto"/>
              <w:ind w:left="342" w:hanging="284"/>
              <w:contextualSpacing/>
              <w:rPr>
                <w:rFonts w:eastAsia="Times New Roman" w:cs="Calibri"/>
                <w:color w:val="3F3F3F"/>
              </w:rPr>
            </w:pPr>
            <w:r w:rsidRPr="008D6453">
              <w:rPr>
                <w:rFonts w:eastAsia="Times New Roman" w:cs="Calibri"/>
                <w:color w:val="3F3F3F"/>
              </w:rPr>
              <w:t>Pojedine tvrtke su obustavile i/ili prekinule poslovanje uslijed pandemije COVID-19</w:t>
            </w:r>
          </w:p>
          <w:p w14:paraId="0C8D7811" w14:textId="77777777" w:rsidR="009E441D" w:rsidRPr="00382AF9" w:rsidRDefault="009E441D" w:rsidP="00FB5FE0">
            <w:pPr>
              <w:spacing w:after="0" w:line="240" w:lineRule="auto"/>
              <w:ind w:left="342"/>
              <w:contextualSpacing/>
              <w:rPr>
                <w:rFonts w:eastAsia="Times New Roman" w:cs="Calibri"/>
                <w:color w:val="3F3F3F"/>
              </w:rPr>
            </w:pPr>
          </w:p>
          <w:p w14:paraId="2A43DAF3" w14:textId="77777777" w:rsidR="009E441D" w:rsidRPr="00CD1D78" w:rsidRDefault="009E441D" w:rsidP="00FB5FE0">
            <w:pPr>
              <w:spacing w:after="0"/>
              <w:rPr>
                <w:rFonts w:eastAsia="Times New Roman" w:cs="Calibri"/>
                <w:b/>
                <w:color w:val="D2232A"/>
              </w:rPr>
            </w:pPr>
            <w:r w:rsidRPr="00CD1D78">
              <w:rPr>
                <w:rFonts w:eastAsia="Times New Roman" w:cs="Calibri"/>
                <w:b/>
                <w:color w:val="D2232A"/>
              </w:rPr>
              <w:t>Turizam:</w:t>
            </w:r>
          </w:p>
          <w:p w14:paraId="08336DA7"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Nedostatak am</w:t>
            </w:r>
            <w:r>
              <w:rPr>
                <w:rFonts w:eastAsia="Times New Roman" w:cs="Calibri"/>
                <w:color w:val="3F3F3F"/>
              </w:rPr>
              <w:t xml:space="preserve">bicije za uključivanje u turističku djelatnost </w:t>
            </w:r>
            <w:r w:rsidRPr="00382AF9">
              <w:rPr>
                <w:rFonts w:eastAsia="Times New Roman" w:cs="Calibri"/>
                <w:color w:val="3F3F3F"/>
              </w:rPr>
              <w:t>uslijed visok</w:t>
            </w:r>
            <w:r>
              <w:rPr>
                <w:rFonts w:eastAsia="Times New Roman" w:cs="Calibri"/>
                <w:color w:val="3F3F3F"/>
              </w:rPr>
              <w:t>ih ulaganja i intenziteta posla</w:t>
            </w:r>
            <w:r w:rsidRPr="00382AF9">
              <w:rPr>
                <w:rFonts w:eastAsia="Times New Roman" w:cs="Calibri"/>
                <w:color w:val="3F3F3F"/>
              </w:rPr>
              <w:t xml:space="preserve"> </w:t>
            </w:r>
            <w:r>
              <w:rPr>
                <w:rFonts w:eastAsia="Times New Roman" w:cs="Calibri"/>
                <w:color w:val="3F3F3F"/>
              </w:rPr>
              <w:t>te neizvjesnosti poslovanja uzrokovanih pandemijom virusa COVID-19</w:t>
            </w:r>
          </w:p>
          <w:p w14:paraId="38025D2F"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Nedostatak suradnje između velikih hotela i lokalnih poljoprivrednih proizvođača</w:t>
            </w:r>
          </w:p>
          <w:p w14:paraId="4DBDB2C8"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173C4B">
              <w:rPr>
                <w:rFonts w:eastAsia="Times New Roman" w:cs="Calibri"/>
                <w:color w:val="3F3F3F"/>
              </w:rPr>
              <w:t>Nedostatak sportske infrastrukture i kapaciteta za razvoj sportskog turizma za npr. pripreme profesionalnih sportaša</w:t>
            </w:r>
          </w:p>
          <w:p w14:paraId="01809347" w14:textId="77777777" w:rsidR="009E441D" w:rsidRPr="00972936"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lastRenderedPageBreak/>
              <w:t>Nepove</w:t>
            </w:r>
            <w:r>
              <w:rPr>
                <w:rFonts w:eastAsia="Times New Roman" w:cs="Calibri"/>
                <w:color w:val="3F3F3F"/>
              </w:rPr>
              <w:t xml:space="preserve">zanost sa susjednim županijama </w:t>
            </w:r>
            <w:r w:rsidRPr="00382AF9">
              <w:rPr>
                <w:rFonts w:eastAsia="Times New Roman" w:cs="Calibri"/>
                <w:color w:val="3F3F3F"/>
              </w:rPr>
              <w:t xml:space="preserve">u smislu zajedničkog nastupa </w:t>
            </w:r>
            <w:r>
              <w:rPr>
                <w:rFonts w:eastAsia="Times New Roman" w:cs="Calibri"/>
                <w:color w:val="3F3F3F"/>
              </w:rPr>
              <w:t>na tržištu i povezivanja turističke ponude</w:t>
            </w:r>
          </w:p>
          <w:p w14:paraId="3C9EBE7E"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Nedovoljno iskorišteni potencijal </w:t>
            </w:r>
            <w:r>
              <w:rPr>
                <w:rFonts w:eastAsia="Times New Roman" w:cs="Calibri"/>
                <w:color w:val="3F3F3F"/>
              </w:rPr>
              <w:t xml:space="preserve">postojećih </w:t>
            </w:r>
            <w:r w:rsidRPr="00382AF9">
              <w:rPr>
                <w:rFonts w:eastAsia="Times New Roman" w:cs="Calibri"/>
                <w:color w:val="3F3F3F"/>
              </w:rPr>
              <w:t>turističkih manifestacija</w:t>
            </w:r>
            <w:r>
              <w:rPr>
                <w:rFonts w:eastAsia="Times New Roman" w:cs="Calibri"/>
                <w:color w:val="3F3F3F"/>
              </w:rPr>
              <w:t xml:space="preserve"> kao atrakcijskog potencijala za privlačenje turista </w:t>
            </w:r>
          </w:p>
          <w:p w14:paraId="30FECE5A"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173C4B">
              <w:rPr>
                <w:rFonts w:eastAsia="Times New Roman" w:cs="Calibri"/>
                <w:color w:val="3F3F3F"/>
              </w:rPr>
              <w:t>Nedostatak ulaganja u obnovu objekata tradicionalne arhitekture kao što su autohtone kleti i kuće koje se ne koriste, a koje se potencijalno mogu uključiti u turističku ponudu.</w:t>
            </w:r>
          </w:p>
          <w:p w14:paraId="3A3F2B30" w14:textId="77777777" w:rsidR="009E441D" w:rsidRPr="00173C4B" w:rsidRDefault="009E441D" w:rsidP="00FB5FE0">
            <w:pPr>
              <w:spacing w:after="0" w:line="240" w:lineRule="auto"/>
              <w:contextualSpacing/>
              <w:rPr>
                <w:rFonts w:eastAsia="Times New Roman" w:cs="Calibri"/>
                <w:color w:val="3F3F3F"/>
              </w:rPr>
            </w:pPr>
          </w:p>
        </w:tc>
      </w:tr>
      <w:tr w:rsidR="009E441D" w:rsidRPr="00173C4B" w14:paraId="4F23A4E7" w14:textId="77777777" w:rsidTr="00FB5FE0">
        <w:trPr>
          <w:trHeight w:val="283"/>
        </w:trPr>
        <w:tc>
          <w:tcPr>
            <w:tcW w:w="4534" w:type="dxa"/>
            <w:shd w:val="clear" w:color="auto" w:fill="C00000"/>
          </w:tcPr>
          <w:p w14:paraId="5B933768" w14:textId="77777777" w:rsidR="009E441D" w:rsidRPr="00B73CC0" w:rsidRDefault="009E441D" w:rsidP="00FB5FE0">
            <w:pPr>
              <w:spacing w:after="0"/>
              <w:rPr>
                <w:rFonts w:eastAsia="Times New Roman" w:cs="Calibri"/>
                <w:b/>
                <w:color w:val="D2232A"/>
              </w:rPr>
            </w:pPr>
            <w:r w:rsidRPr="00B73CC0">
              <w:rPr>
                <w:rFonts w:eastAsia="Times New Roman" w:cs="Calibri"/>
                <w:b/>
                <w:color w:val="FFFFFF"/>
              </w:rPr>
              <w:lastRenderedPageBreak/>
              <w:t>Prilike</w:t>
            </w:r>
          </w:p>
        </w:tc>
        <w:tc>
          <w:tcPr>
            <w:tcW w:w="4528" w:type="dxa"/>
            <w:shd w:val="clear" w:color="auto" w:fill="C00000"/>
          </w:tcPr>
          <w:p w14:paraId="39C17EA0" w14:textId="77777777" w:rsidR="009E441D" w:rsidRPr="00B73CC0" w:rsidRDefault="009E441D" w:rsidP="00FB5FE0">
            <w:pPr>
              <w:spacing w:after="0"/>
              <w:rPr>
                <w:rFonts w:eastAsia="Times New Roman" w:cs="Calibri"/>
                <w:b/>
                <w:color w:val="D2232A"/>
              </w:rPr>
            </w:pPr>
            <w:r w:rsidRPr="00B73CC0">
              <w:rPr>
                <w:rFonts w:eastAsia="Times New Roman" w:cs="Calibri"/>
                <w:b/>
                <w:color w:val="FFFFFF"/>
              </w:rPr>
              <w:t>Prijetnje</w:t>
            </w:r>
          </w:p>
        </w:tc>
      </w:tr>
      <w:tr w:rsidR="009E441D" w:rsidRPr="00173C4B" w14:paraId="368CD1F2" w14:textId="77777777" w:rsidTr="00FB5FE0">
        <w:trPr>
          <w:trHeight w:val="283"/>
        </w:trPr>
        <w:tc>
          <w:tcPr>
            <w:tcW w:w="4534" w:type="dxa"/>
            <w:shd w:val="clear" w:color="auto" w:fill="auto"/>
          </w:tcPr>
          <w:p w14:paraId="257A1786" w14:textId="77777777" w:rsidR="009E441D" w:rsidRPr="00382AF9" w:rsidRDefault="009E441D" w:rsidP="00FB5FE0">
            <w:pPr>
              <w:spacing w:after="0"/>
              <w:rPr>
                <w:rFonts w:eastAsia="Times New Roman" w:cs="Calibri"/>
                <w:b/>
                <w:color w:val="D2232A"/>
              </w:rPr>
            </w:pPr>
            <w:r w:rsidRPr="00382AF9">
              <w:rPr>
                <w:rFonts w:eastAsia="Times New Roman" w:cs="Calibri"/>
                <w:b/>
                <w:color w:val="D2232A"/>
              </w:rPr>
              <w:t>Poljoprivreda:</w:t>
            </w:r>
          </w:p>
          <w:p w14:paraId="57E52ED8"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Povoljni klimatski i prirodni uvjeti za bavljenje poljoprivredom (naročito stočarstvom, vinogradarstvom i pčelarstvom)</w:t>
            </w:r>
          </w:p>
          <w:p w14:paraId="0E42F308"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Blizina</w:t>
            </w:r>
            <w:r w:rsidRPr="00421FAE">
              <w:rPr>
                <w:rFonts w:eastAsia="Times New Roman" w:cs="Calibri"/>
                <w:color w:val="3F3F3F"/>
              </w:rPr>
              <w:t xml:space="preserve"> Zagreba kao značajnog tržišta </w:t>
            </w:r>
            <w:r w:rsidRPr="00173C4B">
              <w:rPr>
                <w:rFonts w:eastAsia="Times New Roman" w:cs="Calibri"/>
                <w:color w:val="3F3F3F"/>
              </w:rPr>
              <w:t xml:space="preserve">za </w:t>
            </w:r>
            <w:r>
              <w:rPr>
                <w:rFonts w:eastAsia="Times New Roman" w:cs="Calibri"/>
                <w:color w:val="3F3F3F"/>
              </w:rPr>
              <w:t>plasiranje</w:t>
            </w:r>
            <w:r w:rsidRPr="00173C4B">
              <w:rPr>
                <w:rFonts w:eastAsia="Times New Roman" w:cs="Calibri"/>
                <w:color w:val="3F3F3F"/>
              </w:rPr>
              <w:t xml:space="preserve"> vlastit</w:t>
            </w:r>
            <w:r>
              <w:rPr>
                <w:rFonts w:eastAsia="Times New Roman" w:cs="Calibri"/>
                <w:color w:val="3F3F3F"/>
              </w:rPr>
              <w:t>ih</w:t>
            </w:r>
            <w:r w:rsidRPr="00173C4B">
              <w:rPr>
                <w:rFonts w:eastAsia="Times New Roman" w:cs="Calibri"/>
                <w:color w:val="3F3F3F"/>
              </w:rPr>
              <w:t xml:space="preserve"> poljoprivredn</w:t>
            </w:r>
            <w:r>
              <w:rPr>
                <w:rFonts w:eastAsia="Times New Roman" w:cs="Calibri"/>
                <w:color w:val="3F3F3F"/>
              </w:rPr>
              <w:t>ih</w:t>
            </w:r>
            <w:r w:rsidRPr="00173C4B">
              <w:rPr>
                <w:rFonts w:eastAsia="Times New Roman" w:cs="Calibri"/>
                <w:color w:val="3F3F3F"/>
              </w:rPr>
              <w:t xml:space="preserve"> proizvod</w:t>
            </w:r>
            <w:r>
              <w:rPr>
                <w:rFonts w:eastAsia="Times New Roman" w:cs="Calibri"/>
                <w:color w:val="3F3F3F"/>
              </w:rPr>
              <w:t>a</w:t>
            </w:r>
            <w:r w:rsidRPr="00173C4B">
              <w:rPr>
                <w:rFonts w:eastAsia="Times New Roman" w:cs="Calibri"/>
                <w:color w:val="3F3F3F"/>
              </w:rPr>
              <w:t xml:space="preserve"> i njihov</w:t>
            </w:r>
            <w:r>
              <w:rPr>
                <w:rFonts w:eastAsia="Times New Roman" w:cs="Calibri"/>
                <w:color w:val="3F3F3F"/>
              </w:rPr>
              <w:t>ih</w:t>
            </w:r>
            <w:r w:rsidRPr="00173C4B">
              <w:rPr>
                <w:rFonts w:eastAsia="Times New Roman" w:cs="Calibri"/>
                <w:color w:val="3F3F3F"/>
              </w:rPr>
              <w:t xml:space="preserve"> prerađevin</w:t>
            </w:r>
            <w:r>
              <w:rPr>
                <w:rFonts w:eastAsia="Times New Roman" w:cs="Calibri"/>
                <w:color w:val="3F3F3F"/>
              </w:rPr>
              <w:t>a</w:t>
            </w:r>
          </w:p>
          <w:p w14:paraId="39723639"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Bespovratna sredstva iz EU fondova kao pr</w:t>
            </w:r>
            <w:r>
              <w:rPr>
                <w:rFonts w:eastAsia="Times New Roman" w:cs="Calibri"/>
                <w:color w:val="3F3F3F"/>
              </w:rPr>
              <w:t xml:space="preserve">ilika za povećanje kapaciteta, </w:t>
            </w:r>
            <w:r w:rsidRPr="00382AF9">
              <w:rPr>
                <w:rFonts w:eastAsia="Times New Roman" w:cs="Calibri"/>
                <w:color w:val="3F3F3F"/>
              </w:rPr>
              <w:t>modernizaciju proizvodnje i preradu</w:t>
            </w:r>
          </w:p>
          <w:p w14:paraId="6D970B0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Aktualni trend potražnje za tradicionalnim i lokalno proizvedenim proizvodima</w:t>
            </w:r>
          </w:p>
          <w:p w14:paraId="2445E7EA" w14:textId="77777777" w:rsidR="0048055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Sve veća usmjerenost kupaca na kvalitetu koji cijene i prepoznaju sustave kvalitete</w:t>
            </w:r>
          </w:p>
          <w:p w14:paraId="568E57EB" w14:textId="1F8DB71E" w:rsidR="009E441D" w:rsidRPr="00480559" w:rsidRDefault="00480559" w:rsidP="00480559">
            <w:pPr>
              <w:numPr>
                <w:ilvl w:val="0"/>
                <w:numId w:val="17"/>
              </w:numPr>
              <w:spacing w:after="0" w:line="240" w:lineRule="auto"/>
              <w:ind w:left="342" w:hanging="284"/>
              <w:contextualSpacing/>
              <w:rPr>
                <w:rFonts w:eastAsia="Times New Roman" w:cs="Calibri"/>
                <w:color w:val="3F3F3F"/>
              </w:rPr>
            </w:pPr>
            <w:r w:rsidRPr="00480559">
              <w:rPr>
                <w:rFonts w:eastAsia="Times New Roman" w:cs="Calibri"/>
                <w:color w:val="3F3F3F"/>
              </w:rPr>
              <w:t xml:space="preserve">Kvalitetna i konstruktivna suradnja Osnivača, OPG-ova, lokalnih zajednica i Srednje škole Bedekovčina u korištenju potencijala škole (pedološki laboratorij) i potencijala u obrazovanju odraslih </w:t>
            </w:r>
          </w:p>
          <w:p w14:paraId="2DCFA684" w14:textId="1AB6C461" w:rsidR="009E441D" w:rsidRDefault="009E441D" w:rsidP="00FB5FE0">
            <w:pPr>
              <w:spacing w:after="0" w:line="240" w:lineRule="auto"/>
              <w:ind w:left="720"/>
              <w:contextualSpacing/>
              <w:rPr>
                <w:rFonts w:eastAsia="Times New Roman" w:cs="Calibri"/>
                <w:b/>
                <w:color w:val="D2232A"/>
              </w:rPr>
            </w:pPr>
          </w:p>
          <w:p w14:paraId="709885D7" w14:textId="265389AF" w:rsidR="00480559" w:rsidRDefault="00480559" w:rsidP="00FB5FE0">
            <w:pPr>
              <w:spacing w:after="0" w:line="240" w:lineRule="auto"/>
              <w:ind w:left="720"/>
              <w:contextualSpacing/>
              <w:rPr>
                <w:rFonts w:eastAsia="Times New Roman" w:cs="Calibri"/>
                <w:b/>
                <w:color w:val="D2232A"/>
              </w:rPr>
            </w:pPr>
          </w:p>
          <w:p w14:paraId="6DD5CCB9" w14:textId="3E1BC05B" w:rsidR="00480559" w:rsidRDefault="00480559" w:rsidP="00FB5FE0">
            <w:pPr>
              <w:spacing w:after="0" w:line="240" w:lineRule="auto"/>
              <w:ind w:left="720"/>
              <w:contextualSpacing/>
              <w:rPr>
                <w:rFonts w:eastAsia="Times New Roman" w:cs="Calibri"/>
                <w:b/>
                <w:color w:val="D2232A"/>
              </w:rPr>
            </w:pPr>
          </w:p>
          <w:p w14:paraId="49AF334E" w14:textId="77777777" w:rsidR="00480559" w:rsidRPr="00382AF9" w:rsidRDefault="00480559" w:rsidP="00FB5FE0">
            <w:pPr>
              <w:spacing w:after="0" w:line="240" w:lineRule="auto"/>
              <w:ind w:left="720"/>
              <w:contextualSpacing/>
              <w:rPr>
                <w:rFonts w:eastAsia="Times New Roman" w:cs="Calibri"/>
                <w:b/>
                <w:color w:val="D2232A"/>
              </w:rPr>
            </w:pPr>
          </w:p>
          <w:p w14:paraId="1233EF1F" w14:textId="77777777" w:rsidR="009E441D" w:rsidRPr="00382AF9" w:rsidRDefault="009E441D" w:rsidP="00FB5FE0">
            <w:pPr>
              <w:spacing w:after="0" w:line="240" w:lineRule="auto"/>
              <w:contextualSpacing/>
              <w:rPr>
                <w:rFonts w:eastAsia="Times New Roman" w:cs="Calibri"/>
                <w:b/>
                <w:color w:val="D2232A"/>
              </w:rPr>
            </w:pPr>
            <w:r w:rsidRPr="00382AF9">
              <w:rPr>
                <w:rFonts w:eastAsia="Times New Roman" w:cs="Calibri"/>
                <w:b/>
                <w:color w:val="D2232A"/>
              </w:rPr>
              <w:t>Poduzetništvo i obrtništvo:</w:t>
            </w:r>
          </w:p>
          <w:p w14:paraId="6D693194"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421FAE">
              <w:rPr>
                <w:rFonts w:eastAsia="Times New Roman" w:cs="Calibri"/>
                <w:color w:val="3F3F3F"/>
              </w:rPr>
              <w:t xml:space="preserve">Povoljan geoprometni položaj </w:t>
            </w:r>
            <w:r w:rsidRPr="00173C4B">
              <w:rPr>
                <w:rFonts w:eastAsia="Times New Roman" w:cs="Calibri"/>
                <w:color w:val="3F3F3F"/>
              </w:rPr>
              <w:t>(na europskom cestovnom i željezničkom koridoru te blizina Zagreba) koji pogoduje razvoju gospodarstva</w:t>
            </w:r>
            <w:r w:rsidRPr="00421FAE">
              <w:rPr>
                <w:rFonts w:eastAsia="Times New Roman" w:cs="Calibri"/>
                <w:color w:val="FF0000"/>
              </w:rPr>
              <w:t xml:space="preserve"> </w:t>
            </w:r>
          </w:p>
          <w:p w14:paraId="779FF93E"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Bespovratna sredstva iz EU fondova kao poticaj poslovanju i daljnjem razvoju poduzetništva i obrta</w:t>
            </w:r>
          </w:p>
          <w:p w14:paraId="4F29B0BD"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Dodatna bespovratna sredstva koja se dodjeljuju kao poticaj za izlazak iz krize uzrokovane pandemijom virusa COVID-19</w:t>
            </w:r>
          </w:p>
          <w:p w14:paraId="0D6E2E30"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Plasman proizvoda i usluga na jedinstvenom europskom tržištu pojednostavljen je i predstavlja priliku za razvoj</w:t>
            </w:r>
          </w:p>
          <w:p w14:paraId="56EE8DA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 xml:space="preserve">Migracija radne snage iz inozemstva i/ili drugih županija kojom se potencijalno može nadoknaditi manjak radne snage u pojedinim djelatnostima/zanimanjima (npr. u građevinarstvu). </w:t>
            </w:r>
          </w:p>
          <w:p w14:paraId="18BD0B93" w14:textId="77777777" w:rsidR="009E441D" w:rsidRPr="00382AF9" w:rsidRDefault="009E441D" w:rsidP="00FB5FE0">
            <w:pPr>
              <w:spacing w:after="0" w:line="240" w:lineRule="auto"/>
              <w:ind w:left="720"/>
              <w:contextualSpacing/>
              <w:rPr>
                <w:rFonts w:eastAsia="Times New Roman" w:cs="Calibri"/>
                <w:b/>
                <w:color w:val="3F3F3F"/>
              </w:rPr>
            </w:pPr>
          </w:p>
          <w:p w14:paraId="2771B9F4" w14:textId="77777777" w:rsidR="009E441D" w:rsidRPr="00382AF9" w:rsidRDefault="009E441D" w:rsidP="00FB5FE0">
            <w:pPr>
              <w:spacing w:after="0"/>
              <w:rPr>
                <w:rFonts w:eastAsia="Times New Roman" w:cs="Calibri"/>
                <w:b/>
                <w:color w:val="3F3F3F"/>
              </w:rPr>
            </w:pPr>
            <w:r w:rsidRPr="00382AF9">
              <w:rPr>
                <w:rFonts w:eastAsia="Times New Roman" w:cs="Calibri"/>
                <w:b/>
                <w:color w:val="D2232A"/>
              </w:rPr>
              <w:t>Turizam</w:t>
            </w:r>
            <w:r w:rsidRPr="00382AF9">
              <w:rPr>
                <w:rFonts w:eastAsia="Times New Roman" w:cs="Calibri"/>
                <w:b/>
                <w:color w:val="3F3F3F"/>
              </w:rPr>
              <w:t>:</w:t>
            </w:r>
          </w:p>
          <w:p w14:paraId="50F79E48"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Povoljan geografski položaj – </w:t>
            </w:r>
            <w:r>
              <w:rPr>
                <w:rFonts w:eastAsia="Times New Roman" w:cs="Calibri"/>
                <w:color w:val="3F3F3F"/>
              </w:rPr>
              <w:t xml:space="preserve">KZŽ je </w:t>
            </w:r>
            <w:r w:rsidRPr="00382AF9">
              <w:rPr>
                <w:rFonts w:eastAsia="Times New Roman" w:cs="Calibri"/>
                <w:color w:val="3F3F3F"/>
              </w:rPr>
              <w:t>destinacija na putu do mora</w:t>
            </w:r>
            <w:r>
              <w:rPr>
                <w:rFonts w:eastAsia="Times New Roman" w:cs="Calibri"/>
                <w:color w:val="3F3F3F"/>
              </w:rPr>
              <w:t xml:space="preserve"> što predstavlja priliku za kreiranje ponude za zadržavanje tranzitnih turista</w:t>
            </w:r>
          </w:p>
          <w:p w14:paraId="4680056D" w14:textId="77777777" w:rsidR="009E441D" w:rsidRPr="00173C4B" w:rsidRDefault="009E441D" w:rsidP="009E441D">
            <w:pPr>
              <w:numPr>
                <w:ilvl w:val="0"/>
                <w:numId w:val="17"/>
              </w:numPr>
              <w:spacing w:after="0" w:line="240" w:lineRule="auto"/>
              <w:ind w:left="342" w:hanging="284"/>
              <w:contextualSpacing/>
              <w:rPr>
                <w:rFonts w:eastAsia="Times New Roman" w:cs="Calibri"/>
                <w:color w:val="3F3F3F"/>
              </w:rPr>
            </w:pPr>
            <w:r w:rsidRPr="00173C4B">
              <w:rPr>
                <w:rFonts w:eastAsia="Times New Roman" w:cs="Calibri"/>
                <w:color w:val="3F3F3F"/>
              </w:rPr>
              <w:t xml:space="preserve">Brojni trenutno neaktivni termalni izvori su potencijal za daljnji razvoj termalnog i zdravstvenog turizma </w:t>
            </w:r>
          </w:p>
          <w:p w14:paraId="385CF53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Tre</w:t>
            </w:r>
            <w:r>
              <w:rPr>
                <w:rFonts w:eastAsia="Times New Roman" w:cs="Calibri"/>
                <w:color w:val="3F3F3F"/>
              </w:rPr>
              <w:t>ndovi u turističkoj potražnji (a</w:t>
            </w:r>
            <w:r w:rsidRPr="00382AF9">
              <w:rPr>
                <w:rFonts w:eastAsia="Times New Roman" w:cs="Calibri"/>
                <w:color w:val="3F3F3F"/>
              </w:rPr>
              <w:t>groturizam, zdravstveni turizam, seoski turizam)</w:t>
            </w:r>
            <w:r>
              <w:rPr>
                <w:rFonts w:eastAsia="Times New Roman" w:cs="Calibri"/>
                <w:color w:val="3F3F3F"/>
              </w:rPr>
              <w:t xml:space="preserve"> koji su kompatibilni s turističkim potencijalima KZŽ</w:t>
            </w:r>
          </w:p>
          <w:p w14:paraId="61376DC2" w14:textId="77777777" w:rsidR="009E441D" w:rsidRPr="00480559" w:rsidRDefault="009E441D" w:rsidP="009E441D">
            <w:pPr>
              <w:numPr>
                <w:ilvl w:val="0"/>
                <w:numId w:val="17"/>
              </w:numPr>
              <w:spacing w:after="0" w:line="240" w:lineRule="auto"/>
              <w:ind w:left="342" w:hanging="284"/>
              <w:contextualSpacing/>
              <w:rPr>
                <w:rFonts w:eastAsia="Times New Roman" w:cs="Calibri"/>
                <w:color w:val="auto"/>
              </w:rPr>
            </w:pPr>
            <w:r w:rsidRPr="00480559">
              <w:rPr>
                <w:rFonts w:eastAsia="Times New Roman" w:cs="Calibri"/>
                <w:color w:val="auto"/>
              </w:rPr>
              <w:t xml:space="preserve">Promjene u načinu života, ubrzane uslijed pojave pandemije COVID-19 rezultiraju povećanom </w:t>
            </w:r>
            <w:r w:rsidRPr="00480559">
              <w:rPr>
                <w:rFonts w:eastAsia="Times New Roman" w:cs="Calibri"/>
                <w:color w:val="auto"/>
              </w:rPr>
              <w:lastRenderedPageBreak/>
              <w:t xml:space="preserve">potražnjom za kraćim aktivnim odmorom unutar granica županije, a koje može ponuditi KZŽ </w:t>
            </w:r>
          </w:p>
          <w:p w14:paraId="267A8937" w14:textId="77777777" w:rsidR="009E441D" w:rsidRPr="00480559" w:rsidRDefault="009E441D" w:rsidP="009E441D">
            <w:pPr>
              <w:numPr>
                <w:ilvl w:val="0"/>
                <w:numId w:val="17"/>
              </w:numPr>
              <w:spacing w:after="0" w:line="240" w:lineRule="auto"/>
              <w:ind w:left="342" w:hanging="284"/>
              <w:contextualSpacing/>
              <w:rPr>
                <w:rFonts w:eastAsia="Times New Roman" w:cs="Calibri"/>
                <w:color w:val="auto"/>
              </w:rPr>
            </w:pPr>
            <w:r w:rsidRPr="00480559">
              <w:rPr>
                <w:rFonts w:eastAsia="Times New Roman" w:cs="Calibri"/>
                <w:color w:val="auto"/>
              </w:rPr>
              <w:t>Povećanje udjela domaćih gostiju u ukupnim dolascima i noćenjima uslijed smanjenja inozemnih putovanja zbog uvođenja epidemioloških mjera ograničavanja slobode kretanja s ciljem suzbijanja pandemije virusa COVID-19</w:t>
            </w:r>
          </w:p>
          <w:p w14:paraId="45EEBF5F" w14:textId="615025C7" w:rsidR="009E441D" w:rsidRPr="00972936"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Izmjene zakona koje imaju za cilj povećanje ukupne učinkovitosti sustava turističkih zajednica, osobito na regionalnoj i lokalnoj (destinacijskoj) razini, poticanjem udruživanja turističkih zajednica</w:t>
            </w:r>
          </w:p>
        </w:tc>
        <w:tc>
          <w:tcPr>
            <w:tcW w:w="4528" w:type="dxa"/>
            <w:shd w:val="clear" w:color="auto" w:fill="auto"/>
          </w:tcPr>
          <w:p w14:paraId="733088C8" w14:textId="77777777" w:rsidR="009E441D" w:rsidRPr="00382AF9" w:rsidRDefault="009E441D" w:rsidP="00FB5FE0">
            <w:pPr>
              <w:spacing w:after="0"/>
              <w:rPr>
                <w:rFonts w:eastAsia="Times New Roman" w:cs="Calibri"/>
                <w:b/>
                <w:color w:val="D2232A"/>
              </w:rPr>
            </w:pPr>
            <w:r w:rsidRPr="00382AF9">
              <w:rPr>
                <w:rFonts w:eastAsia="Times New Roman" w:cs="Calibri"/>
                <w:b/>
                <w:color w:val="D2232A"/>
              </w:rPr>
              <w:lastRenderedPageBreak/>
              <w:t>Poljoprivreda:</w:t>
            </w:r>
          </w:p>
          <w:p w14:paraId="27FC68BA"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Neadekvatna zakonska regulativa koja uzrokuje usitnjenost posjeda i probleme s rješavanjem vlasništva</w:t>
            </w:r>
          </w:p>
          <w:p w14:paraId="194A7C04"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B</w:t>
            </w:r>
            <w:r>
              <w:rPr>
                <w:rFonts w:eastAsia="Times New Roman" w:cs="Calibri"/>
                <w:color w:val="3F3F3F"/>
              </w:rPr>
              <w:t>iljne b</w:t>
            </w:r>
            <w:r w:rsidRPr="00382AF9">
              <w:rPr>
                <w:rFonts w:eastAsia="Times New Roman" w:cs="Calibri"/>
                <w:color w:val="3F3F3F"/>
              </w:rPr>
              <w:t>olesti koje dolaze iz šire regije i iz susjednih zemalja koje mogu uništiti i/</w:t>
            </w:r>
            <w:r>
              <w:rPr>
                <w:rFonts w:eastAsia="Times New Roman" w:cs="Calibri"/>
                <w:color w:val="3F3F3F"/>
              </w:rPr>
              <w:t>i</w:t>
            </w:r>
            <w:r w:rsidRPr="00382AF9">
              <w:rPr>
                <w:rFonts w:eastAsia="Times New Roman" w:cs="Calibri"/>
                <w:color w:val="3F3F3F"/>
              </w:rPr>
              <w:t>li smanjiti proizvodnju</w:t>
            </w:r>
          </w:p>
          <w:p w14:paraId="59847420"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Moguća pojava epidemija koje mogu otežati pa i onemogućiti plasman poljoprivrednih proizvoda</w:t>
            </w:r>
          </w:p>
          <w:p w14:paraId="4967E530" w14:textId="77777777" w:rsidR="009E441D" w:rsidRPr="00480559" w:rsidRDefault="009E441D" w:rsidP="009E441D">
            <w:pPr>
              <w:numPr>
                <w:ilvl w:val="0"/>
                <w:numId w:val="17"/>
              </w:numPr>
              <w:spacing w:after="0" w:line="240" w:lineRule="auto"/>
              <w:ind w:left="342" w:hanging="284"/>
              <w:contextualSpacing/>
              <w:rPr>
                <w:rFonts w:eastAsia="Times New Roman" w:cs="Calibri"/>
                <w:color w:val="auto"/>
              </w:rPr>
            </w:pPr>
            <w:r w:rsidRPr="00480559">
              <w:rPr>
                <w:rFonts w:eastAsia="Times New Roman" w:cs="Calibri"/>
                <w:color w:val="auto"/>
              </w:rPr>
              <w:t>Klimatske promjene koje nepovoljno utječu na poljoprivrednu djelatnost</w:t>
            </w:r>
          </w:p>
          <w:p w14:paraId="31D03C0E"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Zahtjevna pravila, kompleksne i dugotrajne procedure dobivanja sredst</w:t>
            </w:r>
            <w:r>
              <w:rPr>
                <w:rFonts w:eastAsia="Times New Roman" w:cs="Calibri"/>
                <w:color w:val="3F3F3F"/>
              </w:rPr>
              <w:t>a</w:t>
            </w:r>
            <w:r w:rsidRPr="00382AF9">
              <w:rPr>
                <w:rFonts w:eastAsia="Times New Roman" w:cs="Calibri"/>
                <w:color w:val="3F3F3F"/>
              </w:rPr>
              <w:t>va iz EU fondova</w:t>
            </w:r>
          </w:p>
          <w:p w14:paraId="1C9CA1DB"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Kompleksni nacionalni zakoni, prav</w:t>
            </w:r>
            <w:r>
              <w:rPr>
                <w:rFonts w:eastAsia="Times New Roman" w:cs="Calibri"/>
                <w:color w:val="3F3F3F"/>
              </w:rPr>
              <w:t>il</w:t>
            </w:r>
            <w:r w:rsidRPr="00382AF9">
              <w:rPr>
                <w:rFonts w:eastAsia="Times New Roman" w:cs="Calibri"/>
                <w:color w:val="3F3F3F"/>
              </w:rPr>
              <w:t>nici, uredbe koji reguliraju poljoprivrednu proizvodnju</w:t>
            </w:r>
          </w:p>
          <w:p w14:paraId="3FFA0DF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Skupi inputi za </w:t>
            </w:r>
            <w:r>
              <w:rPr>
                <w:rFonts w:eastAsia="Times New Roman" w:cs="Calibri"/>
                <w:color w:val="3F3F3F"/>
              </w:rPr>
              <w:t xml:space="preserve">poljoprivrednu </w:t>
            </w:r>
            <w:r w:rsidRPr="00382AF9">
              <w:rPr>
                <w:rFonts w:eastAsia="Times New Roman" w:cs="Calibri"/>
                <w:color w:val="3F3F3F"/>
              </w:rPr>
              <w:t xml:space="preserve">proizvodnju </w:t>
            </w:r>
            <w:r>
              <w:rPr>
                <w:rFonts w:eastAsia="Times New Roman" w:cs="Calibri"/>
                <w:color w:val="3F3F3F"/>
              </w:rPr>
              <w:t xml:space="preserve">(sjemenska roba, gnojiva, zaštitna sredstva) koji smanjuju isplativost proizvodnje </w:t>
            </w:r>
          </w:p>
          <w:p w14:paraId="76F5F060"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 xml:space="preserve">Nedostatak radne snage </w:t>
            </w:r>
            <w:r w:rsidRPr="00382AF9">
              <w:rPr>
                <w:rFonts w:eastAsia="Times New Roman" w:cs="Calibri"/>
                <w:color w:val="3F3F3F"/>
              </w:rPr>
              <w:t>zainte</w:t>
            </w:r>
            <w:r>
              <w:rPr>
                <w:rFonts w:eastAsia="Times New Roman" w:cs="Calibri"/>
                <w:color w:val="3F3F3F"/>
              </w:rPr>
              <w:t>resirane za zapošljavanje u poljoprivredi</w:t>
            </w:r>
          </w:p>
          <w:p w14:paraId="54138F8E"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Rast konkurencije od strane jeftinih uvoznih proizvoda </w:t>
            </w:r>
            <w:r>
              <w:rPr>
                <w:rFonts w:eastAsia="Times New Roman" w:cs="Calibri"/>
                <w:color w:val="3F3F3F"/>
              </w:rPr>
              <w:t>koji ugrožava domaću proizvodnju, naročito male poljoprivredne proizvođače</w:t>
            </w:r>
          </w:p>
          <w:p w14:paraId="0D771E05" w14:textId="77777777" w:rsidR="009E441D" w:rsidRPr="00382AF9" w:rsidRDefault="009E441D" w:rsidP="00FB5FE0">
            <w:pPr>
              <w:spacing w:after="0"/>
              <w:rPr>
                <w:rFonts w:eastAsia="Times New Roman" w:cs="Calibri"/>
                <w:color w:val="3F3F3F"/>
              </w:rPr>
            </w:pPr>
          </w:p>
          <w:p w14:paraId="2DC75AB8" w14:textId="77777777" w:rsidR="009E441D" w:rsidRPr="00382AF9" w:rsidRDefault="009E441D" w:rsidP="00FB5FE0">
            <w:pPr>
              <w:spacing w:after="0"/>
              <w:rPr>
                <w:rFonts w:eastAsia="Times New Roman" w:cs="Calibri"/>
                <w:b/>
                <w:color w:val="D2232A"/>
              </w:rPr>
            </w:pPr>
            <w:r w:rsidRPr="00382AF9">
              <w:rPr>
                <w:rFonts w:eastAsia="Times New Roman" w:cs="Calibri"/>
                <w:b/>
                <w:color w:val="D2232A"/>
              </w:rPr>
              <w:t>Poduzetništvo i obrtništvo:</w:t>
            </w:r>
          </w:p>
          <w:p w14:paraId="53F0017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Nepostojana porezna politika i zakonska regulativa</w:t>
            </w:r>
            <w:r>
              <w:rPr>
                <w:rFonts w:eastAsia="Times New Roman" w:cs="Calibri"/>
                <w:color w:val="3F3F3F"/>
              </w:rPr>
              <w:t xml:space="preserve"> koji usporavaju i otežavaju planiranje i razvoj poslovanja</w:t>
            </w:r>
          </w:p>
          <w:p w14:paraId="3974E3AF"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Nastavak trenda iseljavanja iz države nakon popuštanja epidemioloških mjera ograničavanja slobode kretanja, a koji će uzrokovati daljnji n</w:t>
            </w:r>
            <w:r w:rsidRPr="00382AF9">
              <w:rPr>
                <w:rFonts w:eastAsia="Times New Roman" w:cs="Calibri"/>
                <w:color w:val="3F3F3F"/>
              </w:rPr>
              <w:t>edostatak radne snage</w:t>
            </w:r>
            <w:r>
              <w:rPr>
                <w:rFonts w:eastAsia="Times New Roman" w:cs="Calibri"/>
                <w:color w:val="3F3F3F"/>
              </w:rPr>
              <w:t xml:space="preserve"> u strukovnim zanimanjima.</w:t>
            </w:r>
          </w:p>
          <w:p w14:paraId="544F85EB"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Nedovoljno fleksibilni obrazovni sustav značajno utječe na nerazmjer između ponude i potražnje na tržištu rada</w:t>
            </w:r>
          </w:p>
          <w:p w14:paraId="09D15DF1"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Konkurencija susjednih regija i zemlja u privlačenju stranih ulaganja</w:t>
            </w:r>
          </w:p>
          <w:p w14:paraId="400DAAA9"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Kriza na glavnim izvoznim tržištima</w:t>
            </w:r>
            <w:r>
              <w:rPr>
                <w:rFonts w:eastAsia="Times New Roman" w:cs="Calibri"/>
                <w:color w:val="3F3F3F"/>
              </w:rPr>
              <w:t xml:space="preserve">, izazvana okretanjem zemalja uvoznica domaćih proizvoda vlastitoj proizvodnji, koja može ugroziti izvozno orijentirane tvrtke </w:t>
            </w:r>
          </w:p>
          <w:p w14:paraId="6758F381" w14:textId="77777777" w:rsidR="009E441D" w:rsidRPr="00382AF9" w:rsidRDefault="009E441D" w:rsidP="00FB5FE0">
            <w:pPr>
              <w:spacing w:after="0"/>
              <w:rPr>
                <w:rFonts w:eastAsia="Times New Roman" w:cs="Calibri"/>
                <w:b/>
                <w:color w:val="D2232A"/>
              </w:rPr>
            </w:pPr>
          </w:p>
          <w:p w14:paraId="5A827B19" w14:textId="77777777" w:rsidR="009E441D" w:rsidRPr="00382AF9" w:rsidRDefault="009E441D" w:rsidP="00FB5FE0">
            <w:pPr>
              <w:spacing w:after="0"/>
              <w:rPr>
                <w:rFonts w:eastAsia="Times New Roman" w:cs="Calibri"/>
                <w:b/>
                <w:color w:val="3F3F3F"/>
              </w:rPr>
            </w:pPr>
            <w:r w:rsidRPr="00382AF9">
              <w:rPr>
                <w:rFonts w:eastAsia="Times New Roman" w:cs="Calibri"/>
                <w:b/>
                <w:color w:val="D2232A"/>
              </w:rPr>
              <w:t>Turizam</w:t>
            </w:r>
            <w:r w:rsidRPr="00382AF9">
              <w:rPr>
                <w:rFonts w:eastAsia="Times New Roman" w:cs="Calibri"/>
                <w:b/>
                <w:color w:val="3F3F3F"/>
              </w:rPr>
              <w:t>:</w:t>
            </w:r>
          </w:p>
          <w:p w14:paraId="5AB942C0"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 xml:space="preserve">Ograničena samostalnost županijskih turističkih zajednica </w:t>
            </w:r>
            <w:r w:rsidRPr="00382AF9">
              <w:rPr>
                <w:rFonts w:eastAsia="Times New Roman" w:cs="Calibri"/>
                <w:color w:val="3F3F3F"/>
              </w:rPr>
              <w:t>u odlučivanju</w:t>
            </w:r>
            <w:r>
              <w:rPr>
                <w:rFonts w:eastAsia="Times New Roman" w:cs="Calibri"/>
                <w:color w:val="3F3F3F"/>
              </w:rPr>
              <w:t>,</w:t>
            </w:r>
            <w:r w:rsidRPr="00382AF9">
              <w:rPr>
                <w:rFonts w:eastAsia="Times New Roman" w:cs="Calibri"/>
                <w:color w:val="3F3F3F"/>
              </w:rPr>
              <w:t xml:space="preserve"> uvjetovana za</w:t>
            </w:r>
            <w:r>
              <w:rPr>
                <w:rFonts w:eastAsia="Times New Roman" w:cs="Calibri"/>
                <w:color w:val="3F3F3F"/>
              </w:rPr>
              <w:t xml:space="preserve">konskim odrednicama </w:t>
            </w:r>
          </w:p>
          <w:p w14:paraId="1042A355" w14:textId="77777777" w:rsidR="009E441D" w:rsidRPr="00480559" w:rsidRDefault="009E441D" w:rsidP="009E441D">
            <w:pPr>
              <w:numPr>
                <w:ilvl w:val="0"/>
                <w:numId w:val="17"/>
              </w:numPr>
              <w:spacing w:after="0" w:line="240" w:lineRule="auto"/>
              <w:ind w:left="342" w:hanging="284"/>
              <w:contextualSpacing/>
              <w:rPr>
                <w:rFonts w:eastAsia="Times New Roman" w:cs="Calibri"/>
                <w:color w:val="auto"/>
              </w:rPr>
            </w:pPr>
            <w:r w:rsidRPr="00480559">
              <w:rPr>
                <w:rFonts w:eastAsia="Times New Roman" w:cs="Calibri"/>
                <w:color w:val="auto"/>
              </w:rPr>
              <w:t>Smanjeni udio stranih gostiju uslijed uvođenja epidemioloških mjera ograničavanja slobode kretanja s ciljem suzbijanja pandemije virusa COVID-19</w:t>
            </w:r>
          </w:p>
          <w:p w14:paraId="6780B6B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Blizina konkurencije </w:t>
            </w:r>
            <w:r>
              <w:rPr>
                <w:rFonts w:eastAsia="Times New Roman" w:cs="Calibri"/>
                <w:color w:val="3F3F3F"/>
              </w:rPr>
              <w:t xml:space="preserve">iz susjednih županija </w:t>
            </w:r>
            <w:r w:rsidRPr="00382AF9">
              <w:rPr>
                <w:rFonts w:eastAsia="Times New Roman" w:cs="Calibri"/>
                <w:color w:val="3F3F3F"/>
              </w:rPr>
              <w:t>s istim ili sličnim sadržajima</w:t>
            </w:r>
            <w:r>
              <w:rPr>
                <w:rFonts w:eastAsia="Times New Roman" w:cs="Calibri"/>
                <w:color w:val="3F3F3F"/>
              </w:rPr>
              <w:t xml:space="preserve"> što zbog nedostatka suradnje u objedinjavanju ponude može rezultirati „preuzimanjem“ dijela turista</w:t>
            </w:r>
          </w:p>
          <w:p w14:paraId="4FEE6538"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lastRenderedPageBreak/>
              <w:t xml:space="preserve">Brza izmjena </w:t>
            </w:r>
            <w:r w:rsidRPr="00173C4B">
              <w:rPr>
                <w:rFonts w:eastAsia="Times New Roman" w:cs="Calibri"/>
                <w:color w:val="3F3F3F"/>
              </w:rPr>
              <w:t>turističkih</w:t>
            </w:r>
            <w:r>
              <w:rPr>
                <w:rFonts w:eastAsia="Times New Roman" w:cs="Calibri"/>
                <w:color w:val="3F3F3F"/>
              </w:rPr>
              <w:t xml:space="preserve"> </w:t>
            </w:r>
            <w:r w:rsidRPr="00382AF9">
              <w:rPr>
                <w:rFonts w:eastAsia="Times New Roman" w:cs="Calibri"/>
                <w:color w:val="3F3F3F"/>
              </w:rPr>
              <w:t>trendova i zahtjevno tržište</w:t>
            </w:r>
            <w:r>
              <w:rPr>
                <w:rFonts w:eastAsia="Times New Roman" w:cs="Calibri"/>
                <w:color w:val="3F3F3F"/>
              </w:rPr>
              <w:t xml:space="preserve"> koji zahtijevaju brzu prilagodbu ponude i nova ulaganja</w:t>
            </w:r>
          </w:p>
          <w:p w14:paraId="07ADEDEA" w14:textId="77777777" w:rsidR="009E441D" w:rsidRPr="00972936" w:rsidRDefault="009E441D" w:rsidP="009E441D">
            <w:pPr>
              <w:numPr>
                <w:ilvl w:val="0"/>
                <w:numId w:val="17"/>
              </w:numPr>
              <w:spacing w:after="0" w:line="240" w:lineRule="auto"/>
              <w:ind w:left="342" w:hanging="284"/>
              <w:contextualSpacing/>
              <w:rPr>
                <w:rFonts w:eastAsia="Times New Roman" w:cs="Calibri"/>
                <w:color w:val="3F3F3F"/>
              </w:rPr>
            </w:pPr>
            <w:r w:rsidRPr="00480559">
              <w:rPr>
                <w:rFonts w:eastAsia="Times New Roman" w:cs="Calibri"/>
                <w:color w:val="auto"/>
              </w:rPr>
              <w:t>Prekid kontinuiranog rasta broja turističkih dolazaka i noćenja, po stopi koja je značajno veća u odnosu na nacionalnu razinu zbog pandemije bolesti COVID-19.</w:t>
            </w:r>
          </w:p>
        </w:tc>
      </w:tr>
    </w:tbl>
    <w:p w14:paraId="535F03A2" w14:textId="77777777" w:rsidR="009E441D" w:rsidRDefault="009E441D" w:rsidP="009E441D">
      <w:pPr>
        <w:rPr>
          <w:rFonts w:eastAsia="Times New Roman" w:cs="Times New Roman"/>
          <w:b/>
          <w:color w:val="9D1A1F"/>
        </w:rPr>
      </w:pPr>
    </w:p>
    <w:p w14:paraId="55422FCC" w14:textId="77777777" w:rsidR="009E441D" w:rsidRDefault="009E441D" w:rsidP="009E441D">
      <w:pPr>
        <w:rPr>
          <w:rFonts w:eastAsia="Times New Roman" w:cs="Times New Roman"/>
          <w:b/>
          <w:color w:val="9D1A1F"/>
        </w:rPr>
      </w:pPr>
      <w:r w:rsidRPr="00382AF9">
        <w:rPr>
          <w:rFonts w:eastAsia="Times New Roman" w:cs="Times New Roman"/>
          <w:b/>
          <w:color w:val="9D1A1F"/>
        </w:rPr>
        <w:t>DRUŠTVENE DJELATNOSTI</w:t>
      </w:r>
    </w:p>
    <w:tbl>
      <w:tblPr>
        <w:tblW w:w="0" w:type="auto"/>
        <w:tblBorders>
          <w:insideV w:val="single" w:sz="8" w:space="0" w:color="D2232A"/>
        </w:tblBorders>
        <w:tblLook w:val="04A0" w:firstRow="1" w:lastRow="0" w:firstColumn="1" w:lastColumn="0" w:noHBand="0" w:noVBand="1"/>
      </w:tblPr>
      <w:tblGrid>
        <w:gridCol w:w="4531"/>
        <w:gridCol w:w="4531"/>
      </w:tblGrid>
      <w:tr w:rsidR="009E441D" w:rsidRPr="00382AF9" w14:paraId="2706A55A" w14:textId="77777777" w:rsidTr="00FB5FE0">
        <w:tc>
          <w:tcPr>
            <w:tcW w:w="4531" w:type="dxa"/>
            <w:shd w:val="clear" w:color="auto" w:fill="D2232A"/>
            <w:vAlign w:val="center"/>
            <w:hideMark/>
          </w:tcPr>
          <w:p w14:paraId="67307641" w14:textId="77777777" w:rsidR="009E441D" w:rsidRPr="00382AF9" w:rsidRDefault="009E441D" w:rsidP="00FB5FE0">
            <w:pPr>
              <w:spacing w:after="0"/>
              <w:rPr>
                <w:rFonts w:eastAsia="Times New Roman" w:cs="Times New Roman"/>
                <w:color w:val="3F3F3F"/>
              </w:rPr>
            </w:pPr>
            <w:r w:rsidRPr="00382AF9">
              <w:rPr>
                <w:rFonts w:eastAsia="Times New Roman" w:cs="Calibri"/>
                <w:b/>
                <w:color w:val="FFFFFF"/>
              </w:rPr>
              <w:t>Snage</w:t>
            </w:r>
          </w:p>
        </w:tc>
        <w:tc>
          <w:tcPr>
            <w:tcW w:w="4531" w:type="dxa"/>
            <w:shd w:val="clear" w:color="auto" w:fill="D2232A"/>
            <w:vAlign w:val="center"/>
            <w:hideMark/>
          </w:tcPr>
          <w:p w14:paraId="493590F3" w14:textId="77777777" w:rsidR="009E441D" w:rsidRPr="00382AF9" w:rsidRDefault="009E441D" w:rsidP="00FB5FE0">
            <w:pPr>
              <w:spacing w:after="0"/>
              <w:rPr>
                <w:rFonts w:eastAsia="Times New Roman" w:cs="Times New Roman"/>
                <w:color w:val="3F3F3F"/>
              </w:rPr>
            </w:pPr>
            <w:r w:rsidRPr="00382AF9">
              <w:rPr>
                <w:rFonts w:eastAsia="Times New Roman" w:cs="Calibri"/>
                <w:b/>
                <w:color w:val="FFFFFF"/>
              </w:rPr>
              <w:t>Slabosti</w:t>
            </w:r>
          </w:p>
        </w:tc>
      </w:tr>
      <w:tr w:rsidR="009E441D" w:rsidRPr="00382AF9" w14:paraId="4E5F4E91" w14:textId="77777777" w:rsidTr="00FB5FE0">
        <w:tc>
          <w:tcPr>
            <w:tcW w:w="4531" w:type="dxa"/>
            <w:shd w:val="clear" w:color="auto" w:fill="auto"/>
            <w:hideMark/>
          </w:tcPr>
          <w:p w14:paraId="450236D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Razvijeno tržište rada</w:t>
            </w:r>
            <w:r>
              <w:rPr>
                <w:rFonts w:eastAsia="Times New Roman" w:cs="Calibri"/>
                <w:color w:val="3F3F3F"/>
              </w:rPr>
              <w:t>, s visokom ponudom radnih mjesta te</w:t>
            </w:r>
            <w:r w:rsidRPr="00382AF9">
              <w:rPr>
                <w:rFonts w:eastAsia="Times New Roman" w:cs="Calibri"/>
                <w:color w:val="3F3F3F"/>
              </w:rPr>
              <w:t xml:space="preserve"> s visokom stopom radno aktivnog stanovništva u odnosu na prosjek Hrvatske</w:t>
            </w:r>
          </w:p>
          <w:p w14:paraId="00FE2149"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Razvijena mreža POU i </w:t>
            </w:r>
            <w:r>
              <w:rPr>
                <w:rFonts w:eastAsia="Times New Roman" w:cs="Calibri"/>
                <w:color w:val="3F3F3F"/>
              </w:rPr>
              <w:t xml:space="preserve">ponuda </w:t>
            </w:r>
            <w:r w:rsidRPr="00382AF9">
              <w:rPr>
                <w:rFonts w:eastAsia="Times New Roman" w:cs="Calibri"/>
                <w:color w:val="3F3F3F"/>
              </w:rPr>
              <w:t xml:space="preserve">programa obrazovanja odraslih </w:t>
            </w:r>
            <w:r>
              <w:rPr>
                <w:rFonts w:eastAsia="Times New Roman" w:cs="Calibri"/>
                <w:color w:val="3F3F3F"/>
              </w:rPr>
              <w:t>temeljenih</w:t>
            </w:r>
            <w:r w:rsidRPr="00382AF9">
              <w:rPr>
                <w:rFonts w:eastAsia="Times New Roman" w:cs="Calibri"/>
                <w:color w:val="3F3F3F"/>
              </w:rPr>
              <w:t xml:space="preserve"> </w:t>
            </w:r>
            <w:r>
              <w:rPr>
                <w:rFonts w:eastAsia="Times New Roman" w:cs="Calibri"/>
                <w:color w:val="3F3F3F"/>
              </w:rPr>
              <w:t xml:space="preserve">na </w:t>
            </w:r>
            <w:r w:rsidRPr="00382AF9">
              <w:rPr>
                <w:rFonts w:eastAsia="Times New Roman" w:cs="Calibri"/>
                <w:color w:val="3F3F3F"/>
              </w:rPr>
              <w:t>potrebama tržišta rada</w:t>
            </w:r>
            <w:r>
              <w:rPr>
                <w:rFonts w:eastAsia="Times New Roman" w:cs="Calibri"/>
                <w:color w:val="3F3F3F"/>
              </w:rPr>
              <w:t xml:space="preserve"> kao i</w:t>
            </w:r>
            <w:r w:rsidRPr="00382AF9">
              <w:rPr>
                <w:rFonts w:eastAsia="Times New Roman" w:cs="Calibri"/>
                <w:color w:val="3F3F3F"/>
              </w:rPr>
              <w:t xml:space="preserve"> fleksibilnost </w:t>
            </w:r>
            <w:r>
              <w:rPr>
                <w:rFonts w:eastAsia="Times New Roman" w:cs="Calibri"/>
                <w:color w:val="3F3F3F"/>
              </w:rPr>
              <w:t xml:space="preserve">POU </w:t>
            </w:r>
            <w:r w:rsidRPr="00382AF9">
              <w:rPr>
                <w:rFonts w:eastAsia="Times New Roman" w:cs="Calibri"/>
                <w:color w:val="3F3F3F"/>
              </w:rPr>
              <w:t>u izradi i provedbi istih</w:t>
            </w:r>
            <w:r>
              <w:rPr>
                <w:rFonts w:eastAsia="Times New Roman" w:cs="Calibri"/>
                <w:color w:val="3F3F3F"/>
              </w:rPr>
              <w:t xml:space="preserve"> prema novim potrebama</w:t>
            </w:r>
          </w:p>
          <w:p w14:paraId="304F9ED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 xml:space="preserve">Dostupnost </w:t>
            </w:r>
            <w:r w:rsidRPr="00382AF9">
              <w:rPr>
                <w:rFonts w:eastAsia="Times New Roman" w:cs="Calibri"/>
                <w:color w:val="3F3F3F"/>
              </w:rPr>
              <w:t>primarn</w:t>
            </w:r>
            <w:r>
              <w:rPr>
                <w:rFonts w:eastAsia="Times New Roman" w:cs="Calibri"/>
                <w:color w:val="3F3F3F"/>
              </w:rPr>
              <w:t>e</w:t>
            </w:r>
            <w:r w:rsidRPr="00382AF9">
              <w:rPr>
                <w:rFonts w:eastAsia="Times New Roman" w:cs="Calibri"/>
                <w:color w:val="3F3F3F"/>
              </w:rPr>
              <w:t xml:space="preserve"> i sekundarn</w:t>
            </w:r>
            <w:r>
              <w:rPr>
                <w:rFonts w:eastAsia="Times New Roman" w:cs="Calibri"/>
                <w:color w:val="3F3F3F"/>
              </w:rPr>
              <w:t>e</w:t>
            </w:r>
            <w:r w:rsidRPr="00382AF9">
              <w:rPr>
                <w:rFonts w:eastAsia="Times New Roman" w:cs="Calibri"/>
                <w:color w:val="3F3F3F"/>
              </w:rPr>
              <w:t xml:space="preserve"> zdravstven</w:t>
            </w:r>
            <w:r>
              <w:rPr>
                <w:rFonts w:eastAsia="Times New Roman" w:cs="Calibri"/>
                <w:color w:val="3F3F3F"/>
              </w:rPr>
              <w:t xml:space="preserve">e </w:t>
            </w:r>
            <w:r w:rsidRPr="00382AF9">
              <w:rPr>
                <w:rFonts w:eastAsia="Times New Roman" w:cs="Calibri"/>
                <w:color w:val="3F3F3F"/>
              </w:rPr>
              <w:t>zaštit</w:t>
            </w:r>
            <w:r>
              <w:rPr>
                <w:rFonts w:eastAsia="Times New Roman" w:cs="Calibri"/>
                <w:color w:val="3F3F3F"/>
              </w:rPr>
              <w:t>e</w:t>
            </w:r>
            <w:r w:rsidRPr="00382AF9">
              <w:rPr>
                <w:rFonts w:eastAsia="Times New Roman" w:cs="Calibri"/>
                <w:color w:val="3F3F3F"/>
              </w:rPr>
              <w:t xml:space="preserve"> (specijalne bolnice) </w:t>
            </w:r>
            <w:r w:rsidRPr="00C60913">
              <w:rPr>
                <w:rFonts w:eastAsia="Times New Roman" w:cs="Calibri"/>
                <w:color w:val="3F3F3F"/>
              </w:rPr>
              <w:t>svim stanovnicima</w:t>
            </w:r>
            <w:r>
              <w:rPr>
                <w:rFonts w:eastAsia="Times New Roman" w:cs="Calibri"/>
                <w:color w:val="3F3F3F"/>
              </w:rPr>
              <w:t xml:space="preserve"> </w:t>
            </w:r>
            <w:r w:rsidRPr="00224EBF">
              <w:rPr>
                <w:rFonts w:eastAsia="Times New Roman" w:cs="Calibri"/>
                <w:color w:val="3F3F3F"/>
              </w:rPr>
              <w:t>KZŽ</w:t>
            </w:r>
          </w:p>
          <w:p w14:paraId="798CCC0F"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Razvijeni programi preventivne zdravstvene zaštite </w:t>
            </w:r>
            <w:r>
              <w:rPr>
                <w:rFonts w:eastAsia="Times New Roman" w:cs="Calibri"/>
                <w:color w:val="3F3F3F"/>
              </w:rPr>
              <w:t xml:space="preserve">i dostupnost preventivnih pregleda </w:t>
            </w:r>
            <w:r w:rsidRPr="00927376">
              <w:rPr>
                <w:rFonts w:eastAsia="Times New Roman" w:cs="Calibri"/>
                <w:color w:val="3F3F3F"/>
              </w:rPr>
              <w:t xml:space="preserve">svim stanovnicima KZŽ </w:t>
            </w:r>
            <w:r>
              <w:rPr>
                <w:rFonts w:eastAsia="Times New Roman" w:cs="Calibri"/>
                <w:color w:val="3F3F3F"/>
              </w:rPr>
              <w:t>(</w:t>
            </w:r>
            <w:r w:rsidRPr="00927376">
              <w:rPr>
                <w:rFonts w:eastAsia="Times New Roman" w:cs="Calibri"/>
                <w:color w:val="3F3F3F"/>
              </w:rPr>
              <w:t>primjer</w:t>
            </w:r>
            <w:r>
              <w:rPr>
                <w:rFonts w:eastAsia="Times New Roman" w:cs="Calibri"/>
                <w:color w:val="3F3F3F"/>
              </w:rPr>
              <w:t>:</w:t>
            </w:r>
            <w:r w:rsidRPr="00927376">
              <w:rPr>
                <w:rFonts w:eastAsia="Times New Roman" w:cs="Calibri"/>
                <w:color w:val="3F3F3F"/>
              </w:rPr>
              <w:t xml:space="preserve"> Nacionalni programi probira ranog otkrivanja raka</w:t>
            </w:r>
            <w:r>
              <w:rPr>
                <w:rFonts w:eastAsia="Times New Roman" w:cs="Calibri"/>
                <w:color w:val="3F3F3F"/>
              </w:rPr>
              <w:t>)</w:t>
            </w:r>
            <w:r w:rsidRPr="00927376">
              <w:rPr>
                <w:rFonts w:eastAsia="Times New Roman" w:cs="Calibri"/>
                <w:color w:val="3F3F3F"/>
              </w:rPr>
              <w:t xml:space="preserve"> </w:t>
            </w:r>
          </w:p>
          <w:p w14:paraId="297D44C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Raznovrsna kulturno-povijesna baština</w:t>
            </w:r>
            <w:r>
              <w:rPr>
                <w:rFonts w:eastAsia="Times New Roman" w:cs="Calibri"/>
                <w:color w:val="3F3F3F"/>
              </w:rPr>
              <w:t xml:space="preserve"> pruža stanovnicima mogućnost kvalitetnog provođenja slobodnog vremena i organizaciju društvenih događanja </w:t>
            </w:r>
          </w:p>
          <w:p w14:paraId="45C3BEE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Očuvana tradicija i kultura </w:t>
            </w:r>
            <w:r>
              <w:rPr>
                <w:rFonts w:eastAsia="Times New Roman" w:cs="Calibri"/>
                <w:color w:val="3F3F3F"/>
              </w:rPr>
              <w:t>koja se vrednuje kroz kulturna događanja koja su organizirana od strane raznih udruga s područja KZŽ</w:t>
            </w:r>
          </w:p>
          <w:p w14:paraId="017EE056"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Postojanje institucionalnog okvira za razvoj civilnoga društva u KZŽ (Savjet za razvoj civilnog društva KZŽ, Strategija razvoja civilnog društva KZŽ)</w:t>
            </w:r>
          </w:p>
          <w:p w14:paraId="7B70FCDC" w14:textId="77777777" w:rsidR="009E441D" w:rsidRPr="00927376"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 xml:space="preserve">Razvijena mreža odgojno-obrazovnih ustanova na području KZŽ kojom su </w:t>
            </w:r>
            <w:r>
              <w:rPr>
                <w:rFonts w:eastAsia="Times New Roman" w:cs="Calibri"/>
                <w:color w:val="3F3F3F"/>
              </w:rPr>
              <w:t xml:space="preserve">pokriveni </w:t>
            </w:r>
            <w:r w:rsidRPr="00927376">
              <w:rPr>
                <w:rFonts w:eastAsia="Times New Roman" w:cs="Calibri"/>
                <w:color w:val="3F3F3F"/>
              </w:rPr>
              <w:t>i ruralni krajevi, pogotovo s mrežom osnovnih škola većinom područnih</w:t>
            </w:r>
          </w:p>
          <w:p w14:paraId="38A177EA" w14:textId="77777777" w:rsidR="009E441D" w:rsidRPr="00DA694F" w:rsidRDefault="009E441D" w:rsidP="009E441D">
            <w:pPr>
              <w:numPr>
                <w:ilvl w:val="0"/>
                <w:numId w:val="17"/>
              </w:numPr>
              <w:spacing w:after="0" w:line="240" w:lineRule="auto"/>
              <w:ind w:left="342" w:hanging="284"/>
              <w:contextualSpacing/>
              <w:rPr>
                <w:rFonts w:eastAsia="Times New Roman" w:cs="Calibri"/>
                <w:color w:val="3F3F3F"/>
              </w:rPr>
            </w:pPr>
            <w:r w:rsidRPr="00DA694F">
              <w:rPr>
                <w:rFonts w:eastAsia="Times New Roman" w:cs="Calibri"/>
                <w:color w:val="3F3F3F"/>
              </w:rPr>
              <w:t xml:space="preserve">Dobri uvjeti rada odgojno-obrazovnih djelatnika u matičnim osnovnim školama s mogućnošću sudjelovanja u kontinuiranom profesionalnom usavršavanju </w:t>
            </w:r>
          </w:p>
          <w:p w14:paraId="258211EB" w14:textId="77777777" w:rsidR="009E441D" w:rsidRPr="001F4C35" w:rsidRDefault="009E441D" w:rsidP="009E441D">
            <w:pPr>
              <w:numPr>
                <w:ilvl w:val="0"/>
                <w:numId w:val="17"/>
              </w:numPr>
              <w:spacing w:after="0" w:line="240" w:lineRule="auto"/>
              <w:ind w:left="342" w:hanging="284"/>
              <w:contextualSpacing/>
              <w:rPr>
                <w:rFonts w:eastAsia="Times New Roman" w:cs="Calibri"/>
                <w:color w:val="3F3F3F"/>
              </w:rPr>
            </w:pPr>
            <w:r w:rsidRPr="001F4C35">
              <w:rPr>
                <w:rFonts w:eastAsia="Times New Roman" w:cs="Calibri"/>
                <w:color w:val="3F3F3F"/>
              </w:rPr>
              <w:t>K</w:t>
            </w:r>
            <w:r>
              <w:rPr>
                <w:rFonts w:eastAsia="Times New Roman" w:cs="Calibri"/>
                <w:color w:val="3F3F3F"/>
              </w:rPr>
              <w:t>ZŽ</w:t>
            </w:r>
            <w:r w:rsidRPr="001F4C35">
              <w:rPr>
                <w:rFonts w:eastAsia="Times New Roman" w:cs="Calibri"/>
                <w:color w:val="3F3F3F"/>
              </w:rPr>
              <w:t xml:space="preserve"> ima velik broj razvijenih strukovnih programa koje provode strukovne srednje škole, a koji su u skladu s potrebama lokalnog tržišta rada</w:t>
            </w:r>
          </w:p>
          <w:p w14:paraId="09F629E8" w14:textId="77777777" w:rsidR="009E441D" w:rsidRPr="001F4C35" w:rsidRDefault="009E441D" w:rsidP="009E441D">
            <w:pPr>
              <w:numPr>
                <w:ilvl w:val="0"/>
                <w:numId w:val="17"/>
              </w:numPr>
              <w:spacing w:after="0" w:line="240" w:lineRule="auto"/>
              <w:ind w:left="342" w:hanging="284"/>
              <w:contextualSpacing/>
              <w:rPr>
                <w:rFonts w:eastAsia="Times New Roman" w:cs="Calibri"/>
                <w:color w:val="3F3F3F"/>
              </w:rPr>
            </w:pPr>
            <w:r w:rsidRPr="001F4C35">
              <w:rPr>
                <w:rFonts w:eastAsia="Times New Roman" w:cs="Calibri"/>
                <w:color w:val="3F3F3F"/>
              </w:rPr>
              <w:t xml:space="preserve">Postojeće aktivnosti koje se provode za poticanje upisa deficitarnih zanimanja (stipendije, predstavljanja zanimanja) i koje daju rezultate na razini </w:t>
            </w:r>
            <w:r w:rsidRPr="00224EBF">
              <w:rPr>
                <w:rFonts w:eastAsia="Times New Roman" w:cs="Calibri"/>
                <w:color w:val="3F3F3F"/>
              </w:rPr>
              <w:t>KZŽ</w:t>
            </w:r>
          </w:p>
          <w:p w14:paraId="43B27256"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Iskustvo u pripremi i provedbi projekata financiranih iz EU sredstava za kvalitetan odgoj i obrazovanje na svim razinama </w:t>
            </w:r>
          </w:p>
          <w:p w14:paraId="2FD92AE7" w14:textId="77777777" w:rsidR="009E441D" w:rsidRPr="007F2B15" w:rsidRDefault="009E441D" w:rsidP="009E441D">
            <w:pPr>
              <w:numPr>
                <w:ilvl w:val="0"/>
                <w:numId w:val="17"/>
              </w:numPr>
              <w:spacing w:after="0" w:line="240" w:lineRule="auto"/>
              <w:ind w:left="342" w:hanging="284"/>
              <w:contextualSpacing/>
              <w:rPr>
                <w:rFonts w:eastAsia="Times New Roman" w:cs="Calibri"/>
                <w:color w:val="3F3F3F"/>
              </w:rPr>
            </w:pPr>
            <w:r w:rsidRPr="007F2B15">
              <w:rPr>
                <w:rFonts w:eastAsia="Times New Roman" w:cs="Calibri"/>
                <w:color w:val="3F3F3F"/>
              </w:rPr>
              <w:t>Dobri primjeri pokrenutih programa prilagodbe obrazovnih programa za darovite učenike kao i za učenike s poteškoćama</w:t>
            </w:r>
            <w:r>
              <w:rPr>
                <w:rFonts w:eastAsia="Times New Roman" w:cs="Calibri"/>
                <w:color w:val="3F3F3F"/>
              </w:rPr>
              <w:t xml:space="preserve"> u razvoju</w:t>
            </w:r>
          </w:p>
          <w:p w14:paraId="394FBBB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Pokretanje </w:t>
            </w:r>
            <w:r w:rsidRPr="00927376">
              <w:rPr>
                <w:rFonts w:eastAsia="Times New Roman" w:cs="Calibri"/>
                <w:color w:val="3F3F3F"/>
              </w:rPr>
              <w:t>R</w:t>
            </w:r>
            <w:r w:rsidRPr="00382AF9">
              <w:rPr>
                <w:rFonts w:eastAsia="Times New Roman" w:cs="Calibri"/>
                <w:color w:val="3F3F3F"/>
              </w:rPr>
              <w:t xml:space="preserve">egionalnog centra </w:t>
            </w:r>
            <w:r w:rsidRPr="00927376">
              <w:rPr>
                <w:rFonts w:eastAsia="Times New Roman" w:cs="Calibri"/>
                <w:color w:val="3F3F3F"/>
              </w:rPr>
              <w:t xml:space="preserve">kompetentnosti </w:t>
            </w:r>
            <w:r>
              <w:rPr>
                <w:rFonts w:eastAsia="Times New Roman" w:cs="Calibri"/>
                <w:color w:val="3F3F3F"/>
              </w:rPr>
              <w:t xml:space="preserve">u turizmu </w:t>
            </w:r>
            <w:r w:rsidRPr="00927376">
              <w:rPr>
                <w:rFonts w:eastAsia="Times New Roman" w:cs="Calibri"/>
                <w:color w:val="3F3F3F"/>
              </w:rPr>
              <w:t xml:space="preserve">i ugostiteljstvu </w:t>
            </w:r>
            <w:r>
              <w:rPr>
                <w:rFonts w:eastAsia="Times New Roman" w:cs="Calibri"/>
                <w:color w:val="3F3F3F"/>
              </w:rPr>
              <w:t>koji će biti nositelj razvoja strukovnog obrazovanja i osposobljavanja za zanimanja u turizmu i ugostiteljstvu</w:t>
            </w:r>
          </w:p>
          <w:p w14:paraId="42E0D5C9"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 xml:space="preserve">Postojanje visokog obrazovanja u KZŽ koje omogućuje stjecanje fakultetske izobrazbe stanovnicima županije </w:t>
            </w:r>
            <w:r>
              <w:rPr>
                <w:rFonts w:eastAsia="Times New Roman" w:cs="Calibri"/>
                <w:color w:val="3F3F3F"/>
              </w:rPr>
              <w:t xml:space="preserve">u njihovom prebivalištu </w:t>
            </w:r>
          </w:p>
        </w:tc>
        <w:tc>
          <w:tcPr>
            <w:tcW w:w="4531" w:type="dxa"/>
            <w:hideMark/>
          </w:tcPr>
          <w:p w14:paraId="4676615A" w14:textId="2088D271" w:rsidR="009E441D"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Nepovoljna o</w:t>
            </w:r>
            <w:r w:rsidRPr="00382AF9">
              <w:rPr>
                <w:rFonts w:eastAsia="Times New Roman" w:cs="Calibri"/>
                <w:color w:val="3F3F3F"/>
              </w:rPr>
              <w:t xml:space="preserve">bilježja strukturne nezaposlenosti u županiji </w:t>
            </w:r>
            <w:r>
              <w:rPr>
                <w:rFonts w:eastAsia="Times New Roman" w:cs="Calibri"/>
                <w:color w:val="3F3F3F"/>
              </w:rPr>
              <w:t xml:space="preserve">- </w:t>
            </w:r>
            <w:r w:rsidRPr="00382AF9">
              <w:rPr>
                <w:rFonts w:eastAsia="Times New Roman" w:cs="Calibri"/>
                <w:color w:val="3F3F3F"/>
              </w:rPr>
              <w:t xml:space="preserve">pasivnost na tržištu rada nezaposlenih osoba starije radne dobi (iznad 50 godina), osoba s </w:t>
            </w:r>
            <w:r>
              <w:rPr>
                <w:rFonts w:eastAsia="Times New Roman" w:cs="Calibri"/>
                <w:color w:val="3F3F3F"/>
              </w:rPr>
              <w:t xml:space="preserve">invaliditetom </w:t>
            </w:r>
            <w:r w:rsidRPr="00382AF9">
              <w:rPr>
                <w:rFonts w:eastAsia="Times New Roman" w:cs="Calibri"/>
                <w:color w:val="3F3F3F"/>
              </w:rPr>
              <w:t>(OSI)</w:t>
            </w:r>
            <w:r>
              <w:rPr>
                <w:rFonts w:eastAsia="Times New Roman" w:cs="Calibri"/>
                <w:color w:val="3F3F3F"/>
              </w:rPr>
              <w:t xml:space="preserve"> i </w:t>
            </w:r>
            <w:r w:rsidRPr="00382AF9">
              <w:rPr>
                <w:rFonts w:eastAsia="Times New Roman" w:cs="Calibri"/>
                <w:color w:val="3F3F3F"/>
              </w:rPr>
              <w:t xml:space="preserve">dugotrajno nezaposlenih osoba (više od 1 godine) </w:t>
            </w:r>
          </w:p>
          <w:p w14:paraId="38B8B033" w14:textId="77777777" w:rsidR="00395C82" w:rsidRPr="008D6453" w:rsidRDefault="00395C82" w:rsidP="00395C82">
            <w:pPr>
              <w:numPr>
                <w:ilvl w:val="0"/>
                <w:numId w:val="17"/>
              </w:numPr>
              <w:spacing w:after="0" w:line="240" w:lineRule="auto"/>
              <w:ind w:left="342" w:hanging="284"/>
              <w:contextualSpacing/>
              <w:rPr>
                <w:rFonts w:eastAsia="Times New Roman" w:cs="Calibri"/>
                <w:color w:val="3F3F3F"/>
              </w:rPr>
            </w:pPr>
            <w:r w:rsidRPr="008D6453">
              <w:rPr>
                <w:rFonts w:eastAsia="Times New Roman" w:cs="Calibri"/>
                <w:color w:val="3F3F3F"/>
              </w:rPr>
              <w:t xml:space="preserve">Slaba ponuda radnih mjesta za osobe s invaliditetom </w:t>
            </w:r>
          </w:p>
          <w:p w14:paraId="468191A9"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 xml:space="preserve">Ograničena </w:t>
            </w:r>
            <w:r w:rsidRPr="00382AF9">
              <w:rPr>
                <w:rFonts w:eastAsia="Times New Roman" w:cs="Calibri"/>
                <w:color w:val="3F3F3F"/>
              </w:rPr>
              <w:t xml:space="preserve">mobilnost radne snage u </w:t>
            </w:r>
            <w:r w:rsidRPr="00224EBF">
              <w:rPr>
                <w:rFonts w:eastAsia="Times New Roman" w:cs="Calibri"/>
                <w:color w:val="3F3F3F"/>
              </w:rPr>
              <w:t>KZŽ</w:t>
            </w:r>
            <w:r w:rsidRPr="00382AF9">
              <w:rPr>
                <w:rFonts w:eastAsia="Times New Roman" w:cs="Calibri"/>
                <w:color w:val="3F3F3F"/>
              </w:rPr>
              <w:t xml:space="preserve"> zbog </w:t>
            </w:r>
            <w:r>
              <w:rPr>
                <w:rFonts w:eastAsia="Times New Roman" w:cs="Calibri"/>
                <w:color w:val="3F3F3F"/>
              </w:rPr>
              <w:t>slabije organizacije javnog prijevoza</w:t>
            </w:r>
            <w:r w:rsidRPr="00382AF9">
              <w:rPr>
                <w:rFonts w:eastAsia="Times New Roman" w:cs="Calibri"/>
                <w:color w:val="3F3F3F"/>
              </w:rPr>
              <w:t xml:space="preserve"> </w:t>
            </w:r>
            <w:r>
              <w:rPr>
                <w:rFonts w:eastAsia="Times New Roman" w:cs="Calibri"/>
                <w:color w:val="3F3F3F"/>
              </w:rPr>
              <w:t>kao i</w:t>
            </w:r>
            <w:r w:rsidRPr="00382AF9">
              <w:rPr>
                <w:rFonts w:eastAsia="Times New Roman" w:cs="Calibri"/>
                <w:color w:val="3F3F3F"/>
              </w:rPr>
              <w:t xml:space="preserve"> nespremnost dijela radne snage na prihvaćanje </w:t>
            </w:r>
            <w:r>
              <w:rPr>
                <w:rFonts w:eastAsia="Times New Roman" w:cs="Calibri"/>
                <w:color w:val="3F3F3F"/>
              </w:rPr>
              <w:t xml:space="preserve">radnog mjesta </w:t>
            </w:r>
            <w:r w:rsidRPr="00382AF9">
              <w:rPr>
                <w:rFonts w:eastAsia="Times New Roman" w:cs="Calibri"/>
                <w:color w:val="3F3F3F"/>
              </w:rPr>
              <w:t>izvan mjesta stanovanja</w:t>
            </w:r>
          </w:p>
          <w:p w14:paraId="73BDE3AC" w14:textId="77777777" w:rsidR="009E441D" w:rsidRPr="00D812A8" w:rsidRDefault="009E441D" w:rsidP="009E441D">
            <w:pPr>
              <w:numPr>
                <w:ilvl w:val="0"/>
                <w:numId w:val="17"/>
              </w:numPr>
              <w:spacing w:after="0" w:line="240" w:lineRule="auto"/>
              <w:ind w:left="342" w:hanging="284"/>
              <w:contextualSpacing/>
              <w:rPr>
                <w:rFonts w:eastAsia="Times New Roman" w:cs="Calibri"/>
                <w:color w:val="3F3F3F"/>
              </w:rPr>
            </w:pPr>
            <w:r w:rsidRPr="00D812A8">
              <w:rPr>
                <w:rFonts w:eastAsia="Times New Roman" w:cs="Calibri"/>
                <w:color w:val="3F3F3F"/>
              </w:rPr>
              <w:t>Nespremnost nezaposlenih</w:t>
            </w:r>
            <w:r>
              <w:rPr>
                <w:rFonts w:eastAsia="Times New Roman" w:cs="Calibri"/>
                <w:color w:val="3F3F3F"/>
              </w:rPr>
              <w:t xml:space="preserve"> (</w:t>
            </w:r>
            <w:r w:rsidRPr="00D812A8">
              <w:rPr>
                <w:rFonts w:eastAsia="Times New Roman" w:cs="Calibri"/>
                <w:color w:val="3F3F3F"/>
              </w:rPr>
              <w:t>nedostatak motivacije i nerazumijevanje važnosti cjeloživotnog učenja</w:t>
            </w:r>
            <w:r>
              <w:rPr>
                <w:rFonts w:eastAsia="Times New Roman" w:cs="Calibri"/>
                <w:color w:val="3F3F3F"/>
              </w:rPr>
              <w:t>)</w:t>
            </w:r>
            <w:r w:rsidRPr="00D812A8">
              <w:rPr>
                <w:rFonts w:eastAsia="Times New Roman" w:cs="Calibri"/>
                <w:color w:val="3F3F3F"/>
              </w:rPr>
              <w:t xml:space="preserve"> da se uključe u programe osposobljavanja ili prekvalifikacije u skladu s potrebama tržišta rada</w:t>
            </w:r>
          </w:p>
          <w:p w14:paraId="56D4312C"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Nedovoljno korištenje poticaja za zapošljavanje osoba s invaliditetom zbog administrativnih ograničenja za poslodavce</w:t>
            </w:r>
            <w:r>
              <w:rPr>
                <w:rFonts w:eastAsia="Times New Roman" w:cs="Calibri"/>
                <w:color w:val="3F3F3F"/>
              </w:rPr>
              <w:t xml:space="preserve"> </w:t>
            </w:r>
          </w:p>
          <w:p w14:paraId="256F503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Niska prosječna plaća u KZŽ u odnosu na hrvatski prosjek </w:t>
            </w:r>
            <w:r>
              <w:rPr>
                <w:rFonts w:eastAsia="Times New Roman" w:cs="Calibri"/>
                <w:color w:val="3F3F3F"/>
              </w:rPr>
              <w:t>što uvjetuje odlazak dijela (posebno kvalificirane) radne snage van županije</w:t>
            </w:r>
          </w:p>
          <w:p w14:paraId="3A64D85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Dio radnog stanovništva </w:t>
            </w:r>
            <w:r w:rsidRPr="00927376">
              <w:rPr>
                <w:rFonts w:eastAsia="Times New Roman" w:cs="Calibri"/>
                <w:color w:val="3F3F3F"/>
              </w:rPr>
              <w:t xml:space="preserve">brine se o </w:t>
            </w:r>
            <w:r w:rsidRPr="00382AF9">
              <w:rPr>
                <w:rFonts w:eastAsia="Times New Roman" w:cs="Calibri"/>
                <w:color w:val="3F3F3F"/>
              </w:rPr>
              <w:t>starijim članovima obitelji zbog nemogućnosti smještaja u dom</w:t>
            </w:r>
            <w:r>
              <w:rPr>
                <w:rFonts w:eastAsia="Times New Roman" w:cs="Calibri"/>
                <w:color w:val="3F3F3F"/>
              </w:rPr>
              <w:t xml:space="preserve"> zbog čega se ne mogu uključiti na tržište rada</w:t>
            </w:r>
          </w:p>
          <w:p w14:paraId="49CB9E2D"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Nezadovoljavajuća razina (nedostatan broj radnika, nedostatne kvalifikacije) visokoobrazovanog kadra u zdravstvu što onemogućava daljnji razvoj zdravstvenih usluga</w:t>
            </w:r>
          </w:p>
          <w:p w14:paraId="237FFCC4" w14:textId="77777777" w:rsidR="009E441D" w:rsidRPr="00D812A8" w:rsidRDefault="009E441D" w:rsidP="009E441D">
            <w:pPr>
              <w:numPr>
                <w:ilvl w:val="0"/>
                <w:numId w:val="17"/>
              </w:numPr>
              <w:spacing w:after="0" w:line="240" w:lineRule="auto"/>
              <w:ind w:left="342" w:hanging="284"/>
              <w:contextualSpacing/>
              <w:rPr>
                <w:rFonts w:eastAsia="Times New Roman" w:cs="Calibri"/>
                <w:color w:val="3F3F3F"/>
              </w:rPr>
            </w:pPr>
            <w:r w:rsidRPr="00D812A8">
              <w:rPr>
                <w:rFonts w:eastAsia="Times New Roman" w:cs="Calibri"/>
                <w:color w:val="3F3F3F"/>
              </w:rPr>
              <w:t>Nedostatak palijativne skrbi u županiji koji se očituje u nedostatku ležaja za palijativne bolesnike u bolnicama.</w:t>
            </w:r>
          </w:p>
          <w:p w14:paraId="0010AB9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Nedostatni broj organizacija civilnog društva koje imaju kapacitet i kompetencije za pružanje socijalnih usluga zbog postavljenih standarda i minimalnih </w:t>
            </w:r>
            <w:r>
              <w:rPr>
                <w:rFonts w:eastAsia="Times New Roman" w:cs="Calibri"/>
                <w:color w:val="3F3F3F"/>
              </w:rPr>
              <w:t>uvjeta</w:t>
            </w:r>
          </w:p>
          <w:p w14:paraId="1A92B4A4"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Nedovoljno razvijena svijest građana o važnosti volontiranja</w:t>
            </w:r>
            <w:r>
              <w:rPr>
                <w:rFonts w:eastAsia="Times New Roman" w:cs="Calibri"/>
                <w:color w:val="3F3F3F"/>
              </w:rPr>
              <w:t xml:space="preserve"> kao i slabije poznavanje zakonske regulative vezane za volonterstvo što se očituje u ne registriranju postojećeg volonterskog rada kod dijela OCD-a</w:t>
            </w:r>
          </w:p>
          <w:p w14:paraId="0928BEB1" w14:textId="77777777" w:rsidR="009E441D" w:rsidRPr="00E26A27"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Iako p</w:t>
            </w:r>
            <w:r w:rsidRPr="00E26A27">
              <w:rPr>
                <w:rFonts w:eastAsia="Times New Roman" w:cs="Calibri"/>
                <w:color w:val="3F3F3F"/>
              </w:rPr>
              <w:t>ostoj</w:t>
            </w:r>
            <w:r>
              <w:rPr>
                <w:rFonts w:eastAsia="Times New Roman" w:cs="Calibri"/>
                <w:color w:val="3F3F3F"/>
              </w:rPr>
              <w:t>e</w:t>
            </w:r>
            <w:r w:rsidRPr="00E26A27">
              <w:rPr>
                <w:rFonts w:eastAsia="Times New Roman" w:cs="Calibri"/>
                <w:color w:val="3F3F3F"/>
              </w:rPr>
              <w:t xml:space="preserve"> </w:t>
            </w:r>
            <w:r>
              <w:rPr>
                <w:rFonts w:eastAsia="Times New Roman" w:cs="Calibri"/>
                <w:color w:val="3F3F3F"/>
              </w:rPr>
              <w:t xml:space="preserve">primjeri </w:t>
            </w:r>
            <w:r w:rsidRPr="00E26A27">
              <w:rPr>
                <w:rFonts w:eastAsia="Times New Roman" w:cs="Calibri"/>
                <w:color w:val="3F3F3F"/>
              </w:rPr>
              <w:t>programa za mlade (kulturni, program</w:t>
            </w:r>
            <w:r>
              <w:rPr>
                <w:rFonts w:eastAsia="Times New Roman" w:cs="Calibri"/>
                <w:color w:val="3F3F3F"/>
              </w:rPr>
              <w:t>i</w:t>
            </w:r>
            <w:r w:rsidRPr="00E26A27">
              <w:rPr>
                <w:rFonts w:eastAsia="Times New Roman" w:cs="Calibri"/>
                <w:color w:val="3F3F3F"/>
              </w:rPr>
              <w:t xml:space="preserve"> za razvoj kreativnih vještina) koje provode organizacije civilnog društva u KZŽ</w:t>
            </w:r>
            <w:r>
              <w:rPr>
                <w:rFonts w:eastAsia="Times New Roman" w:cs="Calibri"/>
                <w:color w:val="3F3F3F"/>
              </w:rPr>
              <w:t xml:space="preserve"> njihov broj i broj uključenih mladih nije dovoljan</w:t>
            </w:r>
          </w:p>
          <w:p w14:paraId="7B283587"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OCD-ovi nemaju dovoljno kapaciteta za pisanje i provedbu EU projekata</w:t>
            </w:r>
            <w:r>
              <w:rPr>
                <w:rFonts w:eastAsia="Times New Roman" w:cs="Calibri"/>
                <w:color w:val="3F3F3F"/>
              </w:rPr>
              <w:t xml:space="preserve"> što dovodi do manjeg broja projekata i programa koji provode OCD u </w:t>
            </w:r>
            <w:r w:rsidRPr="00224EBF">
              <w:rPr>
                <w:rFonts w:eastAsia="Times New Roman" w:cs="Calibri"/>
                <w:color w:val="3F3F3F"/>
              </w:rPr>
              <w:t>KZŽ</w:t>
            </w:r>
          </w:p>
          <w:p w14:paraId="509A70A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Nedovoljno </w:t>
            </w:r>
            <w:r>
              <w:rPr>
                <w:rFonts w:eastAsia="Times New Roman" w:cs="Calibri"/>
                <w:color w:val="3F3F3F"/>
              </w:rPr>
              <w:t xml:space="preserve">adekvatnih </w:t>
            </w:r>
            <w:r w:rsidRPr="00382AF9">
              <w:rPr>
                <w:rFonts w:eastAsia="Times New Roman" w:cs="Calibri"/>
                <w:color w:val="3F3F3F"/>
              </w:rPr>
              <w:t>javnih prostora koji su ustupljeni OCD-ovima od strane JLS-ova u manjim sredinama</w:t>
            </w:r>
            <w:r>
              <w:rPr>
                <w:rFonts w:eastAsia="Times New Roman" w:cs="Calibri"/>
                <w:color w:val="3F3F3F"/>
              </w:rPr>
              <w:t xml:space="preserve"> što onemogućuje dodatni razvoj programa i sadržaja OCD u manjim sredinama KZŽ</w:t>
            </w:r>
          </w:p>
          <w:p w14:paraId="4FE07AA1"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EA7B90">
              <w:rPr>
                <w:rFonts w:eastAsia="Times New Roman" w:cs="Calibri"/>
                <w:color w:val="3F3F3F"/>
              </w:rPr>
              <w:lastRenderedPageBreak/>
              <w:t>Tijekom pripreme i provedbe projekata i programa povremeno izosta</w:t>
            </w:r>
            <w:r>
              <w:rPr>
                <w:rFonts w:eastAsia="Times New Roman" w:cs="Calibri"/>
                <w:color w:val="3F3F3F"/>
              </w:rPr>
              <w:t>je</w:t>
            </w:r>
            <w:r w:rsidRPr="00EA7B90">
              <w:rPr>
                <w:rFonts w:eastAsia="Times New Roman" w:cs="Calibri"/>
                <w:color w:val="3F3F3F"/>
              </w:rPr>
              <w:t xml:space="preserve"> inicijativ</w:t>
            </w:r>
            <w:r>
              <w:rPr>
                <w:rFonts w:eastAsia="Times New Roman" w:cs="Calibri"/>
                <w:color w:val="3F3F3F"/>
              </w:rPr>
              <w:t>a</w:t>
            </w:r>
            <w:r w:rsidRPr="00EA7B90">
              <w:rPr>
                <w:rFonts w:eastAsia="Times New Roman" w:cs="Calibri"/>
                <w:color w:val="3F3F3F"/>
              </w:rPr>
              <w:t xml:space="preserve"> za suradnjom između OCD-ova i JLRS-ova s obje strane</w:t>
            </w:r>
          </w:p>
          <w:p w14:paraId="71CD42A9" w14:textId="5E28DF43"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Neracionalna mreža područnih osnovnih škola</w:t>
            </w:r>
            <w:r>
              <w:rPr>
                <w:rFonts w:eastAsia="Times New Roman" w:cs="Calibri"/>
                <w:color w:val="3F3F3F"/>
              </w:rPr>
              <w:t xml:space="preserve"> u odnosu na sadašnji broj učenika te prognoze o </w:t>
            </w:r>
            <w:r w:rsidR="00395C82">
              <w:rPr>
                <w:rFonts w:eastAsia="Times New Roman" w:cs="Calibri"/>
                <w:color w:val="3F3F3F"/>
              </w:rPr>
              <w:t xml:space="preserve">kretanju </w:t>
            </w:r>
            <w:r>
              <w:rPr>
                <w:rFonts w:eastAsia="Times New Roman" w:cs="Calibri"/>
                <w:color w:val="3F3F3F"/>
              </w:rPr>
              <w:t>broj</w:t>
            </w:r>
            <w:r w:rsidR="00395C82">
              <w:rPr>
                <w:rFonts w:eastAsia="Times New Roman" w:cs="Calibri"/>
                <w:color w:val="3F3F3F"/>
              </w:rPr>
              <w:t>a</w:t>
            </w:r>
            <w:r>
              <w:rPr>
                <w:rFonts w:eastAsia="Times New Roman" w:cs="Calibri"/>
                <w:color w:val="3F3F3F"/>
              </w:rPr>
              <w:t xml:space="preserve"> učenika u narednim godinama kao</w:t>
            </w:r>
            <w:r w:rsidRPr="00382AF9">
              <w:rPr>
                <w:rFonts w:eastAsia="Times New Roman" w:cs="Calibri"/>
                <w:color w:val="3F3F3F"/>
              </w:rPr>
              <w:t xml:space="preserve"> i njihova neujednačena opremljenost za rad</w:t>
            </w:r>
          </w:p>
          <w:p w14:paraId="6A8334DE"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Neadekvatni prostori za jedno-smjenski rad u OŠ i SŠ</w:t>
            </w:r>
            <w:r>
              <w:rPr>
                <w:rFonts w:eastAsia="Times New Roman" w:cs="Calibri"/>
                <w:color w:val="3F3F3F"/>
              </w:rPr>
              <w:t xml:space="preserve">, što onemogućuje jedno-smjenski rad u svim školama u </w:t>
            </w:r>
            <w:r w:rsidRPr="00224EBF">
              <w:rPr>
                <w:rFonts w:eastAsia="Times New Roman" w:cs="Calibri"/>
                <w:color w:val="3F3F3F"/>
              </w:rPr>
              <w:t>KZŽ</w:t>
            </w:r>
          </w:p>
          <w:p w14:paraId="46902302" w14:textId="77777777" w:rsidR="009E441D" w:rsidRPr="00EA7B90" w:rsidRDefault="009E441D" w:rsidP="009E441D">
            <w:pPr>
              <w:numPr>
                <w:ilvl w:val="0"/>
                <w:numId w:val="17"/>
              </w:numPr>
              <w:spacing w:after="0" w:line="240" w:lineRule="auto"/>
              <w:ind w:left="342" w:hanging="284"/>
              <w:contextualSpacing/>
              <w:rPr>
                <w:rFonts w:eastAsia="Times New Roman" w:cs="Calibri"/>
                <w:color w:val="3F3F3F"/>
              </w:rPr>
            </w:pPr>
            <w:r w:rsidRPr="00EA7B90">
              <w:rPr>
                <w:rFonts w:eastAsia="Times New Roman" w:cs="Calibri"/>
                <w:color w:val="3F3F3F"/>
              </w:rPr>
              <w:t>Nedovoljn</w:t>
            </w:r>
            <w:r>
              <w:rPr>
                <w:rFonts w:eastAsia="Times New Roman" w:cs="Calibri"/>
                <w:color w:val="3F3F3F"/>
              </w:rPr>
              <w:t>o</w:t>
            </w:r>
            <w:r w:rsidRPr="00EA7B90">
              <w:rPr>
                <w:rFonts w:eastAsia="Times New Roman" w:cs="Calibri"/>
                <w:color w:val="3F3F3F"/>
              </w:rPr>
              <w:t xml:space="preserve"> kori</w:t>
            </w:r>
            <w:r>
              <w:rPr>
                <w:rFonts w:eastAsia="Times New Roman" w:cs="Calibri"/>
                <w:color w:val="3F3F3F"/>
              </w:rPr>
              <w:t>štenje</w:t>
            </w:r>
            <w:r w:rsidRPr="00EA7B90">
              <w:rPr>
                <w:rFonts w:eastAsia="Times New Roman" w:cs="Calibri"/>
                <w:color w:val="3F3F3F"/>
              </w:rPr>
              <w:t xml:space="preserve"> kapaciteta srednjih škola (stručnih i infrastrukturnih) za provođenje programa obrazovanja odraslih</w:t>
            </w:r>
          </w:p>
          <w:p w14:paraId="229BCEF5" w14:textId="77777777" w:rsidR="009E441D" w:rsidRPr="00382AF9" w:rsidRDefault="009E441D" w:rsidP="00FB5FE0">
            <w:pPr>
              <w:spacing w:after="0" w:line="240" w:lineRule="auto"/>
              <w:contextualSpacing/>
              <w:rPr>
                <w:rFonts w:eastAsia="Times New Roman" w:cs="Calibri"/>
                <w:color w:val="3F3F3F"/>
              </w:rPr>
            </w:pPr>
          </w:p>
        </w:tc>
      </w:tr>
      <w:tr w:rsidR="009E441D" w:rsidRPr="00382AF9" w14:paraId="1DD57C20" w14:textId="77777777" w:rsidTr="00FB5FE0">
        <w:tc>
          <w:tcPr>
            <w:tcW w:w="4531" w:type="dxa"/>
            <w:shd w:val="clear" w:color="auto" w:fill="D2232A"/>
            <w:vAlign w:val="center"/>
            <w:hideMark/>
          </w:tcPr>
          <w:p w14:paraId="3955E80B" w14:textId="77777777" w:rsidR="009E441D" w:rsidRPr="00382AF9" w:rsidRDefault="009E441D" w:rsidP="00FB5FE0">
            <w:pPr>
              <w:spacing w:after="0"/>
              <w:rPr>
                <w:rFonts w:eastAsia="Times New Roman" w:cs="Times New Roman"/>
                <w:color w:val="3F3F3F"/>
              </w:rPr>
            </w:pPr>
            <w:r w:rsidRPr="00382AF9">
              <w:rPr>
                <w:rFonts w:eastAsia="Times New Roman" w:cs="Calibri"/>
                <w:b/>
                <w:color w:val="FFFFFF"/>
              </w:rPr>
              <w:lastRenderedPageBreak/>
              <w:t>Prilike</w:t>
            </w:r>
          </w:p>
        </w:tc>
        <w:tc>
          <w:tcPr>
            <w:tcW w:w="4531" w:type="dxa"/>
            <w:shd w:val="clear" w:color="auto" w:fill="D2232A"/>
            <w:vAlign w:val="center"/>
            <w:hideMark/>
          </w:tcPr>
          <w:p w14:paraId="2FB3BFE5" w14:textId="77777777" w:rsidR="009E441D" w:rsidRPr="00382AF9" w:rsidRDefault="009E441D" w:rsidP="00FB5FE0">
            <w:pPr>
              <w:spacing w:after="0"/>
              <w:rPr>
                <w:rFonts w:eastAsia="Times New Roman" w:cs="Times New Roman"/>
                <w:color w:val="3F3F3F"/>
              </w:rPr>
            </w:pPr>
            <w:r w:rsidRPr="00382AF9">
              <w:rPr>
                <w:rFonts w:eastAsia="Times New Roman" w:cs="Calibri"/>
                <w:b/>
                <w:color w:val="FFFFFF"/>
              </w:rPr>
              <w:t>Prijetnje</w:t>
            </w:r>
          </w:p>
        </w:tc>
      </w:tr>
      <w:tr w:rsidR="009E441D" w:rsidRPr="00382AF9" w14:paraId="78B8CD73" w14:textId="77777777" w:rsidTr="00FB5FE0">
        <w:tc>
          <w:tcPr>
            <w:tcW w:w="4531" w:type="dxa"/>
            <w:shd w:val="clear" w:color="auto" w:fill="auto"/>
            <w:hideMark/>
          </w:tcPr>
          <w:p w14:paraId="2207997D" w14:textId="77777777" w:rsidR="009E441D" w:rsidRPr="001F4C35"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Postojanje velikog izbora mjera</w:t>
            </w:r>
            <w:r w:rsidRPr="001F4C35">
              <w:rPr>
                <w:rFonts w:eastAsia="Times New Roman" w:cs="Calibri"/>
                <w:color w:val="3F3F3F"/>
              </w:rPr>
              <w:t xml:space="preserve"> aktivne politike zapošljavanja HZZ-a</w:t>
            </w:r>
          </w:p>
          <w:p w14:paraId="18981D4A"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Dostupnost EU fondova kao i Programa Unije za razvoj tržišta rada, obrazovanja, socijalnih usluga te civilnog društva</w:t>
            </w:r>
          </w:p>
          <w:p w14:paraId="1EA8614C"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Napuštanje kvotnog sustava zapošljavanja stranih radnika što omogućuje lakši uvoz potrebne radne snage u županiju</w:t>
            </w:r>
          </w:p>
          <w:p w14:paraId="3CA96A0A"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Poticanje socijalnog poduzetništva kroz strategiju, zakone te poticaje</w:t>
            </w:r>
            <w:r>
              <w:rPr>
                <w:rFonts w:eastAsia="Times New Roman" w:cs="Calibri"/>
                <w:color w:val="3F3F3F"/>
              </w:rPr>
              <w:t xml:space="preserve"> i projekte EU</w:t>
            </w:r>
          </w:p>
          <w:p w14:paraId="4A55DBC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Mogućnost uvođenja i korištenja novih</w:t>
            </w:r>
            <w:r w:rsidRPr="00382AF9">
              <w:rPr>
                <w:rFonts w:eastAsia="Times New Roman" w:cs="Calibri"/>
                <w:color w:val="3F3F3F"/>
              </w:rPr>
              <w:t xml:space="preserve"> tehnologij</w:t>
            </w:r>
            <w:r>
              <w:rPr>
                <w:rFonts w:eastAsia="Times New Roman" w:cs="Calibri"/>
                <w:color w:val="3F3F3F"/>
              </w:rPr>
              <w:t>a</w:t>
            </w:r>
            <w:r w:rsidRPr="00382AF9">
              <w:rPr>
                <w:rFonts w:eastAsia="Times New Roman" w:cs="Calibri"/>
                <w:color w:val="3F3F3F"/>
              </w:rPr>
              <w:t xml:space="preserve"> za </w:t>
            </w:r>
            <w:r>
              <w:rPr>
                <w:rFonts w:eastAsia="Times New Roman" w:cs="Calibri"/>
                <w:color w:val="3F3F3F"/>
              </w:rPr>
              <w:t xml:space="preserve">razvoj </w:t>
            </w:r>
            <w:r w:rsidRPr="00382AF9">
              <w:rPr>
                <w:rFonts w:eastAsia="Times New Roman" w:cs="Calibri"/>
                <w:color w:val="3F3F3F"/>
              </w:rPr>
              <w:t>nov</w:t>
            </w:r>
            <w:r>
              <w:rPr>
                <w:rFonts w:eastAsia="Times New Roman" w:cs="Calibri"/>
                <w:color w:val="3F3F3F"/>
              </w:rPr>
              <w:t>ih</w:t>
            </w:r>
            <w:r w:rsidRPr="00382AF9">
              <w:rPr>
                <w:rFonts w:eastAsia="Times New Roman" w:cs="Calibri"/>
                <w:color w:val="3F3F3F"/>
              </w:rPr>
              <w:t xml:space="preserve"> socijaln</w:t>
            </w:r>
            <w:r>
              <w:rPr>
                <w:rFonts w:eastAsia="Times New Roman" w:cs="Calibri"/>
                <w:color w:val="3F3F3F"/>
              </w:rPr>
              <w:t>ih</w:t>
            </w:r>
            <w:r w:rsidRPr="00382AF9">
              <w:rPr>
                <w:rFonts w:eastAsia="Times New Roman" w:cs="Calibri"/>
                <w:color w:val="3F3F3F"/>
              </w:rPr>
              <w:t xml:space="preserve"> uslug</w:t>
            </w:r>
            <w:r>
              <w:rPr>
                <w:rFonts w:eastAsia="Times New Roman" w:cs="Calibri"/>
                <w:color w:val="3F3F3F"/>
              </w:rPr>
              <w:t xml:space="preserve">a </w:t>
            </w:r>
            <w:r w:rsidRPr="00382AF9">
              <w:rPr>
                <w:rFonts w:eastAsia="Times New Roman" w:cs="Calibri"/>
                <w:color w:val="3F3F3F"/>
              </w:rPr>
              <w:t>(učinkovitije, jeftinije)</w:t>
            </w:r>
          </w:p>
          <w:p w14:paraId="5ADD021C"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Korištenje poticanja volonter</w:t>
            </w:r>
            <w:r>
              <w:rPr>
                <w:rFonts w:eastAsia="Times New Roman" w:cs="Calibri"/>
                <w:color w:val="3F3F3F"/>
              </w:rPr>
              <w:t>stva</w:t>
            </w:r>
            <w:r w:rsidRPr="00382AF9">
              <w:rPr>
                <w:rFonts w:eastAsia="Times New Roman" w:cs="Calibri"/>
                <w:color w:val="3F3F3F"/>
              </w:rPr>
              <w:t xml:space="preserve"> i Zakona o </w:t>
            </w:r>
            <w:r>
              <w:rPr>
                <w:rFonts w:eastAsia="Times New Roman" w:cs="Calibri"/>
                <w:color w:val="3F3F3F"/>
              </w:rPr>
              <w:t>volonterstvu</w:t>
            </w:r>
            <w:r w:rsidRPr="00382AF9">
              <w:rPr>
                <w:rFonts w:eastAsia="Times New Roman" w:cs="Calibri"/>
                <w:color w:val="3F3F3F"/>
              </w:rPr>
              <w:t xml:space="preserve"> za razvoj </w:t>
            </w:r>
            <w:r>
              <w:rPr>
                <w:rFonts w:eastAsia="Times New Roman" w:cs="Calibri"/>
                <w:color w:val="3F3F3F"/>
              </w:rPr>
              <w:t xml:space="preserve">održivih </w:t>
            </w:r>
            <w:r w:rsidRPr="00382AF9">
              <w:rPr>
                <w:rFonts w:eastAsia="Times New Roman" w:cs="Calibri"/>
                <w:color w:val="3F3F3F"/>
              </w:rPr>
              <w:t>socijalnih usluga</w:t>
            </w:r>
          </w:p>
          <w:p w14:paraId="6BA6DB70"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Povezivanje organizacija civilnog društva unutar EU i razmjena iskustva/znanja</w:t>
            </w:r>
            <w:r>
              <w:rPr>
                <w:rFonts w:eastAsia="Times New Roman" w:cs="Calibri"/>
                <w:color w:val="3F3F3F"/>
              </w:rPr>
              <w:t xml:space="preserve"> </w:t>
            </w:r>
          </w:p>
          <w:p w14:paraId="7B3D4DC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Postojeći </w:t>
            </w:r>
            <w:r>
              <w:rPr>
                <w:rFonts w:eastAsia="Times New Roman" w:cs="Calibri"/>
                <w:color w:val="3F3F3F"/>
              </w:rPr>
              <w:t xml:space="preserve">nacionalni </w:t>
            </w:r>
            <w:r w:rsidRPr="00382AF9">
              <w:rPr>
                <w:rFonts w:eastAsia="Times New Roman" w:cs="Calibri"/>
                <w:color w:val="3F3F3F"/>
              </w:rPr>
              <w:t>strateški okvir za decentralizaciju pružanja socijalnih usluga</w:t>
            </w:r>
          </w:p>
          <w:p w14:paraId="79DD88F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Javno-privatno partnerstvo (JPP) kao izvor financiranja (do)gradnje objekata javnih ustanova</w:t>
            </w:r>
            <w:r>
              <w:rPr>
                <w:rFonts w:eastAsia="Times New Roman" w:cs="Calibri"/>
                <w:color w:val="3F3F3F"/>
              </w:rPr>
              <w:t xml:space="preserve"> koje se koriste za društvene djelatnosti</w:t>
            </w:r>
          </w:p>
          <w:p w14:paraId="42DC0BBA" w14:textId="011C0049"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Mogućnost svakodnevnog</w:t>
            </w:r>
            <w:r>
              <w:rPr>
                <w:rFonts w:eastAsia="Times New Roman" w:cs="Calibri"/>
                <w:color w:val="3F3F3F"/>
              </w:rPr>
              <w:t xml:space="preserve"> putovanja u Zagreb </w:t>
            </w:r>
            <w:r w:rsidRPr="00927376">
              <w:rPr>
                <w:rFonts w:eastAsia="Times New Roman" w:cs="Calibri"/>
                <w:color w:val="3F3F3F"/>
              </w:rPr>
              <w:t>koji je centar visokog obrazovanja u RH što čini priliku stanovništvu županije za ulaganjem u nova znanja, vještine i kompetencije koje mogu doprinijeti društveno- gospodarskom rastu županije</w:t>
            </w:r>
          </w:p>
          <w:p w14:paraId="0EBAA7A1"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Uvođenje participativnih proračuna za mlade u JL</w:t>
            </w:r>
            <w:r>
              <w:rPr>
                <w:rFonts w:eastAsia="Times New Roman" w:cs="Calibri"/>
                <w:color w:val="3F3F3F"/>
              </w:rPr>
              <w:t>P</w:t>
            </w:r>
            <w:r w:rsidRPr="00382AF9">
              <w:rPr>
                <w:rFonts w:eastAsia="Times New Roman" w:cs="Calibri"/>
                <w:color w:val="3F3F3F"/>
              </w:rPr>
              <w:t>RS-ove</w:t>
            </w:r>
            <w:r>
              <w:rPr>
                <w:rFonts w:eastAsia="Times New Roman" w:cs="Calibri"/>
                <w:color w:val="3F3F3F"/>
              </w:rPr>
              <w:t xml:space="preserve"> </w:t>
            </w:r>
            <w:r w:rsidRPr="00927376">
              <w:rPr>
                <w:rFonts w:eastAsia="Times New Roman" w:cs="Calibri"/>
                <w:color w:val="3F3F3F"/>
              </w:rPr>
              <w:t>čime se potiče na aktivnost mladih u kreiranju politike razvoja županije, planiranju projekata koji će se financirati iz proračuna te preuzimanju odgovornosti za svoje odluke</w:t>
            </w:r>
            <w:r w:rsidRPr="00FA1054">
              <w:rPr>
                <w:rFonts w:eastAsia="Times New Roman" w:cs="Calibri"/>
                <w:color w:val="FF0000"/>
              </w:rPr>
              <w:t xml:space="preserve"> </w:t>
            </w:r>
          </w:p>
        </w:tc>
        <w:tc>
          <w:tcPr>
            <w:tcW w:w="4531" w:type="dxa"/>
            <w:hideMark/>
          </w:tcPr>
          <w:p w14:paraId="29BD82C9"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Negativni demografski trendovi starenja stanovništva</w:t>
            </w:r>
            <w:r>
              <w:rPr>
                <w:rFonts w:eastAsia="Times New Roman" w:cs="Calibri"/>
                <w:color w:val="3F3F3F"/>
              </w:rPr>
              <w:t xml:space="preserve"> </w:t>
            </w:r>
            <w:r w:rsidRPr="00927376">
              <w:rPr>
                <w:rFonts w:eastAsia="Times New Roman" w:cs="Calibri"/>
                <w:color w:val="3F3F3F"/>
              </w:rPr>
              <w:t xml:space="preserve">Hrvatske koji se ogledaju i u starenju stanovništva županije te mogu dovesti do niza negativnih demografskih kretanja </w:t>
            </w:r>
          </w:p>
          <w:p w14:paraId="664F34CE"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Blizina Zagreba, Slovenije i Austrije koja nudi bolje radne uvjete za kvalificiranu radnu snagu iz KZŽ</w:t>
            </w:r>
          </w:p>
          <w:p w14:paraId="07A9B03C"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Sl</w:t>
            </w:r>
            <w:r>
              <w:rPr>
                <w:rFonts w:eastAsia="Times New Roman" w:cs="Calibri"/>
                <w:color w:val="3F3F3F"/>
              </w:rPr>
              <w:t>a</w:t>
            </w:r>
            <w:r w:rsidRPr="00382AF9">
              <w:rPr>
                <w:rFonts w:eastAsia="Times New Roman" w:cs="Calibri"/>
                <w:color w:val="3F3F3F"/>
              </w:rPr>
              <w:t>bo razvijen sustav za profesionalnu rehabilitaciju i zapošljavanje osoba s invaliditetom u Hrvatskoj</w:t>
            </w:r>
          </w:p>
          <w:p w14:paraId="13DAA8C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Neprilagođeni vozni red HŽ-a i linije prijevoznika za prijevoz SŠ i studenata</w:t>
            </w:r>
          </w:p>
          <w:p w14:paraId="46893F2B"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Sporost nacionalnih institucija oko odobravanja promjena u kurikul</w:t>
            </w:r>
            <w:r>
              <w:rPr>
                <w:rFonts w:eastAsia="Times New Roman" w:cs="Calibri"/>
                <w:color w:val="3F3F3F"/>
              </w:rPr>
              <w:t>umu</w:t>
            </w:r>
            <w:r w:rsidRPr="00382AF9">
              <w:rPr>
                <w:rFonts w:eastAsia="Times New Roman" w:cs="Calibri"/>
                <w:color w:val="3F3F3F"/>
              </w:rPr>
              <w:t xml:space="preserve"> strukovnih škola kao i u obrazovanju odraslih</w:t>
            </w:r>
          </w:p>
          <w:p w14:paraId="1A4937E7"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Ograničeni financijski resursi u JLS kao rezultat porezne politike i česte promjene nacionalne legislative</w:t>
            </w:r>
          </w:p>
          <w:p w14:paraId="05F2663F"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Nemogućnost plaćanja obrazovnih kadrova za sudjelovanje u EU projektima kao dodatni rad zbog zakonske regulative</w:t>
            </w:r>
          </w:p>
          <w:p w14:paraId="3F4943BF"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Kašnjenje u objavi najavljenih natječaja iz ESF-a kao problem u održivosti pokrenutih aktivnosti kao i održivosti rada OCD-a</w:t>
            </w:r>
          </w:p>
        </w:tc>
      </w:tr>
    </w:tbl>
    <w:p w14:paraId="64AEB786" w14:textId="77777777" w:rsidR="009E441D" w:rsidRDefault="009E441D" w:rsidP="009E441D">
      <w:pPr>
        <w:rPr>
          <w:rFonts w:eastAsia="Times New Roman" w:cs="Times New Roman"/>
          <w:b/>
          <w:color w:val="9D1A1F"/>
        </w:rPr>
      </w:pPr>
    </w:p>
    <w:p w14:paraId="1CDF0C1B" w14:textId="77777777" w:rsidR="009E441D" w:rsidRDefault="009E441D" w:rsidP="009E441D">
      <w:pPr>
        <w:rPr>
          <w:rFonts w:eastAsia="Times New Roman" w:cs="Times New Roman"/>
          <w:b/>
          <w:color w:val="9D1A1F"/>
        </w:rPr>
      </w:pPr>
      <w:r>
        <w:rPr>
          <w:rFonts w:eastAsia="Times New Roman" w:cs="Times New Roman"/>
          <w:b/>
          <w:color w:val="9D1A1F"/>
        </w:rPr>
        <w:t xml:space="preserve">OKOLIŠ, </w:t>
      </w:r>
      <w:r w:rsidRPr="00382AF9">
        <w:rPr>
          <w:rFonts w:eastAsia="Times New Roman" w:cs="Times New Roman"/>
          <w:b/>
          <w:color w:val="9D1A1F"/>
        </w:rPr>
        <w:t>PRIRODA</w:t>
      </w:r>
      <w:r>
        <w:rPr>
          <w:rFonts w:eastAsia="Times New Roman" w:cs="Times New Roman"/>
          <w:b/>
          <w:color w:val="9D1A1F"/>
        </w:rPr>
        <w:t>, INFRASTRUKTURA</w:t>
      </w:r>
      <w:r w:rsidRPr="00382AF9">
        <w:rPr>
          <w:rFonts w:eastAsia="Times New Roman" w:cs="Times New Roman"/>
          <w:b/>
          <w:color w:val="9D1A1F"/>
        </w:rPr>
        <w:t xml:space="preserve"> </w:t>
      </w:r>
    </w:p>
    <w:tbl>
      <w:tblPr>
        <w:tblW w:w="0" w:type="auto"/>
        <w:tblLook w:val="04A0" w:firstRow="1" w:lastRow="0" w:firstColumn="1" w:lastColumn="0" w:noHBand="0" w:noVBand="1"/>
      </w:tblPr>
      <w:tblGrid>
        <w:gridCol w:w="4508"/>
        <w:gridCol w:w="4508"/>
      </w:tblGrid>
      <w:tr w:rsidR="009E441D" w:rsidRPr="00382AF9" w14:paraId="1F2D0803" w14:textId="77777777" w:rsidTr="00FB5FE0">
        <w:trPr>
          <w:trHeight w:val="256"/>
        </w:trPr>
        <w:tc>
          <w:tcPr>
            <w:tcW w:w="4508" w:type="dxa"/>
            <w:shd w:val="clear" w:color="auto" w:fill="D2232A"/>
            <w:hideMark/>
          </w:tcPr>
          <w:p w14:paraId="39103F58" w14:textId="77777777" w:rsidR="009E441D" w:rsidRPr="00382AF9" w:rsidRDefault="009E441D" w:rsidP="00FB5FE0">
            <w:pPr>
              <w:spacing w:after="0" w:line="240" w:lineRule="auto"/>
              <w:ind w:left="720"/>
              <w:contextualSpacing/>
              <w:rPr>
                <w:rFonts w:eastAsia="Times New Roman" w:cs="Calibri"/>
                <w:b/>
                <w:bCs/>
                <w:color w:val="FFFFFF"/>
              </w:rPr>
            </w:pPr>
            <w:r w:rsidRPr="00382AF9">
              <w:rPr>
                <w:rFonts w:eastAsia="Times New Roman" w:cs="Calibri"/>
                <w:b/>
                <w:bCs/>
                <w:color w:val="FFFFFF"/>
              </w:rPr>
              <w:t>SNAGE</w:t>
            </w:r>
          </w:p>
        </w:tc>
        <w:tc>
          <w:tcPr>
            <w:tcW w:w="4508" w:type="dxa"/>
            <w:shd w:val="clear" w:color="auto" w:fill="D2232A"/>
            <w:hideMark/>
          </w:tcPr>
          <w:p w14:paraId="3F5AF31A" w14:textId="77777777" w:rsidR="009E441D" w:rsidRPr="00382AF9" w:rsidRDefault="009E441D" w:rsidP="00FB5FE0">
            <w:pPr>
              <w:spacing w:after="0" w:line="240" w:lineRule="auto"/>
              <w:ind w:left="720"/>
              <w:contextualSpacing/>
              <w:rPr>
                <w:rFonts w:eastAsia="Times New Roman" w:cs="Calibri"/>
                <w:b/>
                <w:bCs/>
                <w:color w:val="FFFFFF"/>
              </w:rPr>
            </w:pPr>
            <w:r w:rsidRPr="00382AF9">
              <w:rPr>
                <w:rFonts w:eastAsia="Times New Roman" w:cs="Calibri"/>
                <w:b/>
                <w:bCs/>
                <w:color w:val="FFFFFF"/>
              </w:rPr>
              <w:t>SLABOSTI</w:t>
            </w:r>
          </w:p>
        </w:tc>
      </w:tr>
      <w:tr w:rsidR="009E441D" w:rsidRPr="00382AF9" w14:paraId="47B8B525" w14:textId="77777777" w:rsidTr="00FB5FE0">
        <w:trPr>
          <w:trHeight w:val="1280"/>
        </w:trPr>
        <w:tc>
          <w:tcPr>
            <w:tcW w:w="4508" w:type="dxa"/>
            <w:tcBorders>
              <w:right w:val="single" w:sz="8" w:space="0" w:color="D2232A"/>
            </w:tcBorders>
          </w:tcPr>
          <w:p w14:paraId="1D990D38" w14:textId="77777777" w:rsidR="009E441D" w:rsidRPr="00756EEB" w:rsidRDefault="009E441D" w:rsidP="00FB5FE0">
            <w:pPr>
              <w:spacing w:after="0"/>
              <w:rPr>
                <w:rFonts w:eastAsia="Times New Roman" w:cs="Calibri"/>
                <w:b/>
                <w:bCs/>
                <w:color w:val="D2232A"/>
                <w:sz w:val="20"/>
                <w:szCs w:val="20"/>
              </w:rPr>
            </w:pPr>
            <w:r w:rsidRPr="00756EEB">
              <w:rPr>
                <w:rFonts w:eastAsia="Times New Roman" w:cs="Calibri"/>
                <w:b/>
                <w:bCs/>
                <w:color w:val="D2232A"/>
                <w:sz w:val="20"/>
                <w:szCs w:val="20"/>
              </w:rPr>
              <w:t>Okoliš, priroda</w:t>
            </w:r>
          </w:p>
          <w:p w14:paraId="139CE4AE"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Biološka raznolikost KZŽ zaštićena je uključivanjem u ekološku mrežu Natura 2000 (Strahinjščica, Ivanščica, Medvednica, Sutla)</w:t>
            </w:r>
          </w:p>
          <w:p w14:paraId="04FD97B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Postojeće dobro uređene i održavane interpretacijske i poučne staze imaju važnu edukativnu i turističku funkciju </w:t>
            </w:r>
          </w:p>
          <w:p w14:paraId="0FB128C9"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Djelovanje Centra za prirodu Zagorje u Radoboju značajno je za uspješnu suradnju</w:t>
            </w:r>
            <w:r>
              <w:rPr>
                <w:rFonts w:eastAsia="Times New Roman" w:cs="Calibri"/>
                <w:color w:val="3F3F3F"/>
              </w:rPr>
              <w:t xml:space="preserve"> i umrežavanje</w:t>
            </w:r>
            <w:r w:rsidRPr="00382AF9">
              <w:rPr>
                <w:rFonts w:eastAsia="Times New Roman" w:cs="Calibri"/>
                <w:color w:val="3F3F3F"/>
              </w:rPr>
              <w:t xml:space="preserve"> institucija u području očuvanja okoliša i obrazovanja</w:t>
            </w:r>
            <w:r>
              <w:rPr>
                <w:rFonts w:eastAsia="Times New Roman" w:cs="Calibri"/>
                <w:color w:val="3F3F3F"/>
              </w:rPr>
              <w:t xml:space="preserve">, kao i prezentaciju </w:t>
            </w:r>
            <w:r w:rsidRPr="00EC065F">
              <w:rPr>
                <w:rFonts w:eastAsia="Times New Roman" w:cs="Calibri"/>
                <w:color w:val="3F3F3F"/>
              </w:rPr>
              <w:t>zaštićenih dijelova prirode</w:t>
            </w:r>
            <w:r>
              <w:rPr>
                <w:rFonts w:eastAsia="Times New Roman" w:cs="Calibri"/>
                <w:color w:val="3F3F3F"/>
              </w:rPr>
              <w:t xml:space="preserve"> i</w:t>
            </w:r>
            <w:r w:rsidRPr="00EC065F">
              <w:rPr>
                <w:rFonts w:eastAsia="Times New Roman" w:cs="Calibri"/>
                <w:color w:val="3F3F3F"/>
              </w:rPr>
              <w:t xml:space="preserve"> Natura 2000 područja </w:t>
            </w:r>
          </w:p>
          <w:p w14:paraId="1A766570"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lastRenderedPageBreak/>
              <w:t xml:space="preserve">Pitanja zaštite prostora, okoliša i prirodnih vrijednosti prepoznata su kao ključna u svim strateškim dokumentima i tematskim programima/planovima KZŽ </w:t>
            </w:r>
          </w:p>
          <w:p w14:paraId="4B1E38ED"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Na području </w:t>
            </w:r>
            <w:r>
              <w:rPr>
                <w:rFonts w:eastAsia="Times New Roman" w:cs="Calibri"/>
                <w:color w:val="3F3F3F"/>
              </w:rPr>
              <w:t>KZŽ</w:t>
            </w:r>
            <w:r w:rsidRPr="00382AF9">
              <w:rPr>
                <w:rFonts w:eastAsia="Times New Roman" w:cs="Calibri"/>
                <w:color w:val="3F3F3F"/>
              </w:rPr>
              <w:t xml:space="preserve"> djeluje razvijena i agilna mreža eko-škola i udruga za zaštitu prirode i okoliša</w:t>
            </w:r>
          </w:p>
          <w:p w14:paraId="617AC1A0" w14:textId="77777777" w:rsidR="009E441D" w:rsidRPr="00BE5C21"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Razvoj politike </w:t>
            </w:r>
            <w:r w:rsidRPr="00382AF9">
              <w:rPr>
                <w:rFonts w:eastAsia="Calibri" w:cs="Calibri"/>
                <w:color w:val="3F3F3F"/>
              </w:rPr>
              <w:t xml:space="preserve">suzbijanja i prilagodbe </w:t>
            </w:r>
            <w:r w:rsidRPr="00382AF9">
              <w:rPr>
                <w:rFonts w:eastAsia="Times New Roman" w:cs="Calibri"/>
                <w:color w:val="3F3F3F"/>
              </w:rPr>
              <w:t>klimatskim</w:t>
            </w:r>
            <w:r>
              <w:rPr>
                <w:rFonts w:eastAsia="Calibri" w:cs="Calibri"/>
                <w:color w:val="3F3F3F"/>
              </w:rPr>
              <w:t xml:space="preserve"> </w:t>
            </w:r>
            <w:r w:rsidRPr="00382AF9">
              <w:rPr>
                <w:rFonts w:eastAsia="Calibri" w:cs="Calibri"/>
                <w:color w:val="3F3F3F"/>
              </w:rPr>
              <w:t xml:space="preserve">promjenama </w:t>
            </w:r>
            <w:r>
              <w:rPr>
                <w:rFonts w:eastAsia="Calibri" w:cs="Calibri"/>
                <w:color w:val="3F3F3F"/>
              </w:rPr>
              <w:t>na razini KZŽ</w:t>
            </w:r>
          </w:p>
          <w:p w14:paraId="3D62F5AF" w14:textId="7E36D37B"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Stavljanje u funkciju Regionalnog centra za gospodarenje otpadom kako bi se vrijedna svojstva otpada iskoristila u materijalne i energetske svrhe, smanjilo odlaganje otpada i smanjio negativni utjecaj na okoliš i ljudsko zdravlje</w:t>
            </w:r>
            <w:r w:rsidRPr="00BE5C21">
              <w:rPr>
                <w:rFonts w:eastAsia="Calibri" w:cs="Calibri"/>
                <w:color w:val="3F3F3F"/>
              </w:rPr>
              <w:br/>
            </w:r>
          </w:p>
          <w:p w14:paraId="185C17A6" w14:textId="20040436" w:rsidR="00395C82" w:rsidRDefault="00395C82" w:rsidP="00395C82">
            <w:pPr>
              <w:spacing w:after="0" w:line="240" w:lineRule="auto"/>
              <w:contextualSpacing/>
              <w:rPr>
                <w:rFonts w:eastAsia="Times New Roman" w:cs="Calibri"/>
                <w:color w:val="3F3F3F"/>
              </w:rPr>
            </w:pPr>
          </w:p>
          <w:p w14:paraId="55225B57" w14:textId="2216FCA3" w:rsidR="00395C82" w:rsidRDefault="00395C82" w:rsidP="00395C82">
            <w:pPr>
              <w:spacing w:after="0" w:line="240" w:lineRule="auto"/>
              <w:contextualSpacing/>
              <w:rPr>
                <w:rFonts w:eastAsia="Times New Roman" w:cs="Calibri"/>
                <w:color w:val="3F3F3F"/>
              </w:rPr>
            </w:pPr>
          </w:p>
          <w:p w14:paraId="66E6BF7F" w14:textId="3D4D5383" w:rsidR="00395C82" w:rsidRDefault="00395C82" w:rsidP="00395C82">
            <w:pPr>
              <w:spacing w:after="0" w:line="240" w:lineRule="auto"/>
              <w:contextualSpacing/>
              <w:rPr>
                <w:rFonts w:eastAsia="Times New Roman" w:cs="Calibri"/>
                <w:color w:val="3F3F3F"/>
              </w:rPr>
            </w:pPr>
          </w:p>
          <w:p w14:paraId="5A89A367" w14:textId="6D4E85F3" w:rsidR="00395C82" w:rsidRDefault="00395C82" w:rsidP="00395C82">
            <w:pPr>
              <w:spacing w:after="0" w:line="240" w:lineRule="auto"/>
              <w:contextualSpacing/>
              <w:rPr>
                <w:rFonts w:eastAsia="Times New Roman" w:cs="Calibri"/>
                <w:color w:val="3F3F3F"/>
              </w:rPr>
            </w:pPr>
          </w:p>
          <w:p w14:paraId="7875ABD1" w14:textId="77777777" w:rsidR="00395C82" w:rsidRPr="00BE5C21" w:rsidRDefault="00395C82" w:rsidP="00395C82">
            <w:pPr>
              <w:spacing w:after="0" w:line="240" w:lineRule="auto"/>
              <w:contextualSpacing/>
              <w:rPr>
                <w:rFonts w:eastAsia="Times New Roman" w:cs="Calibri"/>
                <w:color w:val="3F3F3F"/>
              </w:rPr>
            </w:pPr>
          </w:p>
          <w:p w14:paraId="18781D42" w14:textId="77777777" w:rsidR="009E441D" w:rsidRPr="00382AF9" w:rsidRDefault="009E441D" w:rsidP="00FB5FE0">
            <w:pPr>
              <w:spacing w:after="0"/>
              <w:rPr>
                <w:rFonts w:eastAsia="Times New Roman" w:cs="Calibri"/>
                <w:b/>
                <w:bCs/>
                <w:color w:val="D2232A"/>
              </w:rPr>
            </w:pPr>
            <w:r w:rsidRPr="00756EEB">
              <w:rPr>
                <w:rFonts w:eastAsia="Times New Roman" w:cs="Calibri"/>
                <w:b/>
                <w:bCs/>
                <w:color w:val="D2232A"/>
                <w:sz w:val="20"/>
                <w:szCs w:val="20"/>
              </w:rPr>
              <w:t>Infrastruktura</w:t>
            </w:r>
          </w:p>
          <w:p w14:paraId="530728EB" w14:textId="77777777" w:rsidR="009E441D" w:rsidRPr="00382AF9" w:rsidRDefault="009E441D" w:rsidP="009E441D">
            <w:pPr>
              <w:numPr>
                <w:ilvl w:val="0"/>
                <w:numId w:val="18"/>
              </w:numPr>
              <w:spacing w:after="0" w:line="240" w:lineRule="auto"/>
              <w:ind w:left="317" w:hanging="142"/>
              <w:contextualSpacing/>
              <w:rPr>
                <w:rFonts w:eastAsia="Calibri" w:cs="Calibri"/>
                <w:color w:val="3F3F3F"/>
              </w:rPr>
            </w:pPr>
            <w:r w:rsidRPr="00382AF9">
              <w:rPr>
                <w:rFonts w:eastAsia="Calibri" w:cs="Calibri"/>
                <w:color w:val="3F3F3F"/>
              </w:rPr>
              <w:t>Postojeće biciklističke rute imaju snažan sportski i turistički potencijal (iako zahtijevaju turističku valorizaciju i osuvremenjivanje)</w:t>
            </w:r>
          </w:p>
          <w:p w14:paraId="54B9A533" w14:textId="77777777" w:rsidR="009E441D" w:rsidRPr="00927376" w:rsidRDefault="009E441D" w:rsidP="009E441D">
            <w:pPr>
              <w:numPr>
                <w:ilvl w:val="0"/>
                <w:numId w:val="17"/>
              </w:numPr>
              <w:spacing w:after="0" w:line="240" w:lineRule="auto"/>
              <w:ind w:left="342" w:hanging="284"/>
              <w:contextualSpacing/>
              <w:rPr>
                <w:rFonts w:eastAsia="Times New Roman" w:cs="Calibri"/>
                <w:color w:val="3F3F3F"/>
              </w:rPr>
            </w:pPr>
            <w:r>
              <w:rPr>
                <w:rFonts w:eastAsia="Calibri" w:cs="Calibri"/>
                <w:color w:val="3F3F3F"/>
              </w:rPr>
              <w:t xml:space="preserve">Dobra povezanost na razini KZŽ zbog </w:t>
            </w:r>
            <w:r w:rsidRPr="00927376">
              <w:rPr>
                <w:rFonts w:eastAsia="Times New Roman" w:cs="Calibri"/>
                <w:color w:val="3F3F3F"/>
              </w:rPr>
              <w:t>razgranate mreže asfaltiranih cesta</w:t>
            </w:r>
          </w:p>
          <w:p w14:paraId="71036998" w14:textId="77777777" w:rsidR="009E441D" w:rsidRPr="00927376"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 xml:space="preserve">Reciklažna dvorišta na području županije pridonose povećanju postotka predmeta koje je moguće ponovo uporabiti, zaštiti okoliša i odgovornom postupanju otpadom smanjenjem količine otpada koji se odlaže na odlagališta. </w:t>
            </w:r>
          </w:p>
          <w:p w14:paraId="2AF6E4C8" w14:textId="77777777" w:rsidR="009E441D" w:rsidRPr="00382AF9" w:rsidRDefault="009E441D" w:rsidP="00FB5FE0">
            <w:pPr>
              <w:spacing w:after="0"/>
              <w:rPr>
                <w:rFonts w:eastAsia="Calibri" w:cs="Calibri"/>
                <w:b/>
                <w:bCs/>
                <w:color w:val="3F3F3F"/>
                <w:u w:val="single"/>
              </w:rPr>
            </w:pPr>
          </w:p>
          <w:p w14:paraId="5CB38A2C" w14:textId="77777777" w:rsidR="009E441D" w:rsidRPr="00382AF9" w:rsidRDefault="009E441D" w:rsidP="00FB5FE0">
            <w:pPr>
              <w:spacing w:after="0" w:line="240" w:lineRule="auto"/>
              <w:ind w:left="284"/>
              <w:contextualSpacing/>
              <w:rPr>
                <w:rFonts w:eastAsia="Times New Roman" w:cs="Calibri"/>
                <w:color w:val="3F3F3F"/>
              </w:rPr>
            </w:pPr>
          </w:p>
        </w:tc>
        <w:tc>
          <w:tcPr>
            <w:tcW w:w="4508" w:type="dxa"/>
            <w:tcBorders>
              <w:left w:val="single" w:sz="8" w:space="0" w:color="D2232A"/>
            </w:tcBorders>
          </w:tcPr>
          <w:p w14:paraId="6EC898B1" w14:textId="77777777" w:rsidR="009E441D" w:rsidRPr="00382AF9" w:rsidRDefault="009E441D" w:rsidP="00FB5FE0">
            <w:pPr>
              <w:spacing w:after="0"/>
              <w:rPr>
                <w:rFonts w:eastAsia="Times New Roman" w:cs="Calibri"/>
                <w:b/>
                <w:bCs/>
                <w:color w:val="D2232A"/>
                <w:sz w:val="20"/>
              </w:rPr>
            </w:pPr>
            <w:r w:rsidRPr="00382AF9">
              <w:rPr>
                <w:rFonts w:eastAsia="Times New Roman" w:cs="Calibri"/>
                <w:b/>
                <w:bCs/>
                <w:color w:val="D2232A"/>
                <w:sz w:val="20"/>
              </w:rPr>
              <w:lastRenderedPageBreak/>
              <w:t>Okoliš</w:t>
            </w:r>
            <w:r>
              <w:rPr>
                <w:rFonts w:eastAsia="Times New Roman" w:cs="Calibri"/>
                <w:b/>
                <w:bCs/>
                <w:color w:val="D2232A"/>
                <w:sz w:val="20"/>
              </w:rPr>
              <w:t>, priroda</w:t>
            </w:r>
          </w:p>
          <w:p w14:paraId="2096AEEC"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Ilegalna sječa privatnih šuma </w:t>
            </w:r>
            <w:r>
              <w:rPr>
                <w:rFonts w:eastAsia="Times New Roman" w:cs="Calibri"/>
                <w:color w:val="3F3F3F"/>
              </w:rPr>
              <w:t>umanjuje</w:t>
            </w:r>
            <w:r w:rsidRPr="00382AF9">
              <w:rPr>
                <w:rFonts w:eastAsia="Times New Roman" w:cs="Calibri"/>
                <w:color w:val="3F3F3F"/>
              </w:rPr>
              <w:t xml:space="preserve"> njihovu vrijednost i biološku raznolikost</w:t>
            </w:r>
          </w:p>
          <w:p w14:paraId="4FC14782"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Zapuštenost poljoprivrednih površina i travnjaka rezultira nestajanjem biološki vrijednih staništa, razmnožavanjem štetočina i bolesti te širenjem invazivnih vrsta (područje Zabok – Zaprešić istaknuto)</w:t>
            </w:r>
          </w:p>
          <w:p w14:paraId="44E133C6" w14:textId="77777777" w:rsidR="009E441D" w:rsidRPr="00DF592B"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Nedovoljna primjena znanja o pravilnom zbrinjavanju otpada dovodi do stvaranja sve većih količina otpada koji se ne sortira pravilno, ne reciklira i ne odvaja za potrebe ponovne uporabe</w:t>
            </w:r>
          </w:p>
          <w:p w14:paraId="0E8BFBD7"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lastRenderedPageBreak/>
              <w:t xml:space="preserve">Nedovoljna angažiranost nadležnih tijela (JLS, prema Zakonu o otpadu) </w:t>
            </w:r>
            <w:r>
              <w:rPr>
                <w:rFonts w:eastAsia="Times New Roman" w:cs="Calibri"/>
                <w:color w:val="3F3F3F"/>
              </w:rPr>
              <w:t xml:space="preserve">u sanaciji </w:t>
            </w:r>
            <w:r w:rsidRPr="00382AF9">
              <w:rPr>
                <w:rFonts w:eastAsia="Times New Roman" w:cs="Calibri"/>
                <w:color w:val="3F3F3F"/>
              </w:rPr>
              <w:t>divlj</w:t>
            </w:r>
            <w:r>
              <w:rPr>
                <w:rFonts w:eastAsia="Times New Roman" w:cs="Calibri"/>
                <w:color w:val="3F3F3F"/>
              </w:rPr>
              <w:t>ih</w:t>
            </w:r>
            <w:r w:rsidRPr="00382AF9">
              <w:rPr>
                <w:rFonts w:eastAsia="Times New Roman" w:cs="Calibri"/>
                <w:color w:val="3F3F3F"/>
              </w:rPr>
              <w:t xml:space="preserve"> odlagališta na području </w:t>
            </w:r>
            <w:r>
              <w:rPr>
                <w:rFonts w:eastAsia="Times New Roman" w:cs="Calibri"/>
                <w:color w:val="3F3F3F"/>
              </w:rPr>
              <w:t>KZŽ</w:t>
            </w:r>
          </w:p>
          <w:p w14:paraId="2B491078"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Neadekvatna zaštita izvorišta vode, pri čemu nisu poduzete mjere kako bi se ograničio pristup izvorištu i time osigurala </w:t>
            </w:r>
            <w:r>
              <w:rPr>
                <w:rFonts w:eastAsia="Times New Roman" w:cs="Calibri"/>
                <w:color w:val="3F3F3F"/>
              </w:rPr>
              <w:t>i</w:t>
            </w:r>
            <w:r w:rsidRPr="00382AF9">
              <w:rPr>
                <w:rFonts w:eastAsia="Times New Roman" w:cs="Calibri"/>
                <w:color w:val="3F3F3F"/>
              </w:rPr>
              <w:t>spravnost vode za piće</w:t>
            </w:r>
          </w:p>
          <w:p w14:paraId="2D09894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Izostanak sanacije prostora eksploatacije mineralnih sirovina, to jest </w:t>
            </w:r>
            <w:r>
              <w:rPr>
                <w:rFonts w:eastAsia="Times New Roman" w:cs="Calibri"/>
                <w:color w:val="3F3F3F"/>
              </w:rPr>
              <w:t>n</w:t>
            </w:r>
            <w:r w:rsidRPr="00382AF9">
              <w:rPr>
                <w:rFonts w:eastAsia="Times New Roman" w:cs="Calibri"/>
                <w:color w:val="3F3F3F"/>
              </w:rPr>
              <w:t>apuštenih kamenoloma koji degradiraju okoliš</w:t>
            </w:r>
          </w:p>
          <w:p w14:paraId="61E3959F"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Štetan utjecaj</w:t>
            </w:r>
            <w:r w:rsidRPr="00382AF9">
              <w:rPr>
                <w:rFonts w:eastAsia="Times New Roman" w:cs="Calibri"/>
                <w:color w:val="3F3F3F"/>
              </w:rPr>
              <w:t xml:space="preserve"> antropogeni</w:t>
            </w:r>
            <w:r>
              <w:rPr>
                <w:rFonts w:eastAsia="Times New Roman" w:cs="Calibri"/>
                <w:color w:val="3F3F3F"/>
              </w:rPr>
              <w:t>h</w:t>
            </w:r>
            <w:r w:rsidRPr="00382AF9">
              <w:rPr>
                <w:rFonts w:eastAsia="Times New Roman" w:cs="Calibri"/>
                <w:color w:val="3F3F3F"/>
              </w:rPr>
              <w:t xml:space="preserve"> čimbeni</w:t>
            </w:r>
            <w:r>
              <w:rPr>
                <w:rFonts w:eastAsia="Times New Roman" w:cs="Calibri"/>
                <w:color w:val="3F3F3F"/>
              </w:rPr>
              <w:t>ka</w:t>
            </w:r>
            <w:r w:rsidRPr="00382AF9">
              <w:rPr>
                <w:rFonts w:eastAsia="Times New Roman" w:cs="Calibri"/>
                <w:color w:val="3F3F3F"/>
              </w:rPr>
              <w:t xml:space="preserve"> (kanaliziranje vodotoka, urbanizacija, izgradnja prometnica) </w:t>
            </w:r>
            <w:r>
              <w:rPr>
                <w:rFonts w:eastAsia="Times New Roman" w:cs="Calibri"/>
                <w:color w:val="3F3F3F"/>
              </w:rPr>
              <w:t xml:space="preserve">koji </w:t>
            </w:r>
            <w:r w:rsidRPr="00382AF9">
              <w:rPr>
                <w:rFonts w:eastAsia="Times New Roman" w:cs="Calibri"/>
                <w:color w:val="3F3F3F"/>
              </w:rPr>
              <w:t>rezultir</w:t>
            </w:r>
            <w:r>
              <w:rPr>
                <w:rFonts w:eastAsia="Times New Roman" w:cs="Calibri"/>
                <w:color w:val="3F3F3F"/>
              </w:rPr>
              <w:t>a</w:t>
            </w:r>
            <w:r w:rsidRPr="00382AF9">
              <w:rPr>
                <w:rFonts w:eastAsia="Times New Roman" w:cs="Calibri"/>
                <w:color w:val="3F3F3F"/>
              </w:rPr>
              <w:t xml:space="preserve"> pojavom klizišta</w:t>
            </w:r>
          </w:p>
          <w:p w14:paraId="72EFDD2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Ciljevi i mjere k</w:t>
            </w:r>
            <w:r w:rsidRPr="00382AF9">
              <w:rPr>
                <w:rFonts w:eastAsia="Times New Roman" w:cs="Calibri"/>
                <w:color w:val="3F3F3F"/>
              </w:rPr>
              <w:t>omunikacijsk</w:t>
            </w:r>
            <w:r>
              <w:rPr>
                <w:rFonts w:eastAsia="Times New Roman" w:cs="Calibri"/>
                <w:color w:val="3F3F3F"/>
              </w:rPr>
              <w:t>ih</w:t>
            </w:r>
            <w:r w:rsidRPr="00382AF9">
              <w:rPr>
                <w:rFonts w:eastAsia="Times New Roman" w:cs="Calibri"/>
                <w:color w:val="3F3F3F"/>
              </w:rPr>
              <w:t xml:space="preserve"> strategij</w:t>
            </w:r>
            <w:r>
              <w:rPr>
                <w:rFonts w:eastAsia="Times New Roman" w:cs="Calibri"/>
                <w:color w:val="3F3F3F"/>
              </w:rPr>
              <w:t>a</w:t>
            </w:r>
            <w:r w:rsidRPr="00382AF9">
              <w:rPr>
                <w:rFonts w:eastAsia="Times New Roman" w:cs="Calibri"/>
                <w:color w:val="3F3F3F"/>
              </w:rPr>
              <w:t xml:space="preserve"> vezan</w:t>
            </w:r>
            <w:r>
              <w:rPr>
                <w:rFonts w:eastAsia="Times New Roman" w:cs="Calibri"/>
                <w:color w:val="3F3F3F"/>
              </w:rPr>
              <w:t>i</w:t>
            </w:r>
            <w:r w:rsidRPr="00382AF9">
              <w:rPr>
                <w:rFonts w:eastAsia="Times New Roman" w:cs="Calibri"/>
                <w:color w:val="3F3F3F"/>
              </w:rPr>
              <w:t xml:space="preserve"> uz zaštit</w:t>
            </w:r>
            <w:r>
              <w:rPr>
                <w:rFonts w:eastAsia="Times New Roman" w:cs="Calibri"/>
                <w:color w:val="3F3F3F"/>
              </w:rPr>
              <w:t>u</w:t>
            </w:r>
            <w:r w:rsidRPr="00382AF9">
              <w:rPr>
                <w:rFonts w:eastAsia="Times New Roman" w:cs="Calibri"/>
                <w:color w:val="3F3F3F"/>
              </w:rPr>
              <w:t xml:space="preserve"> okoliša, očuvanje prirodnih dobara i krajobraza ne ispunjavaju s</w:t>
            </w:r>
            <w:r>
              <w:rPr>
                <w:rFonts w:eastAsia="Times New Roman" w:cs="Calibri"/>
                <w:color w:val="3F3F3F"/>
              </w:rPr>
              <w:t>e</w:t>
            </w:r>
            <w:r w:rsidRPr="00382AF9">
              <w:rPr>
                <w:rFonts w:eastAsia="Times New Roman" w:cs="Calibri"/>
                <w:color w:val="3F3F3F"/>
              </w:rPr>
              <w:t xml:space="preserve"> u pogledu ilegalnog zbrinjavanja otpada</w:t>
            </w:r>
          </w:p>
          <w:p w14:paraId="7703628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Izostanak sustavnog načina praćenja i izvještavanja o stanju prostora, okoliša i korištenja prirodnih resursa </w:t>
            </w:r>
          </w:p>
          <w:p w14:paraId="57E7B493" w14:textId="77777777" w:rsidR="009E441D" w:rsidRPr="00382AF9" w:rsidRDefault="009E441D" w:rsidP="00FB5FE0">
            <w:pPr>
              <w:spacing w:after="0"/>
              <w:rPr>
                <w:rFonts w:eastAsia="Times New Roman" w:cs="Calibri"/>
                <w:color w:val="3F3F3F"/>
                <w:sz w:val="20"/>
              </w:rPr>
            </w:pPr>
          </w:p>
          <w:p w14:paraId="6F075C04" w14:textId="77777777" w:rsidR="009E441D" w:rsidRPr="00382AF9" w:rsidRDefault="009E441D" w:rsidP="00FB5FE0">
            <w:pPr>
              <w:spacing w:after="0"/>
              <w:rPr>
                <w:rFonts w:eastAsia="Times New Roman" w:cs="Calibri"/>
                <w:b/>
                <w:bCs/>
                <w:color w:val="D2232A"/>
                <w:sz w:val="20"/>
              </w:rPr>
            </w:pPr>
            <w:r w:rsidRPr="00382AF9">
              <w:rPr>
                <w:rFonts w:eastAsia="Times New Roman" w:cs="Calibri"/>
                <w:b/>
                <w:bCs/>
                <w:color w:val="D2232A"/>
                <w:sz w:val="20"/>
              </w:rPr>
              <w:t>Infrastruktura</w:t>
            </w:r>
          </w:p>
          <w:p w14:paraId="086205E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Trend povećanja cijena odvoza smeća i istovremeno smanjenje kvalitete usluge odvoza (smanjenje količina smeća koje se odvozi) što djelomično rezultira i stvaranjem divljih deponija</w:t>
            </w:r>
          </w:p>
          <w:p w14:paraId="33886F77"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Nedostatak lokalnih kontejnera za otpad izvan naseljenih mjesta</w:t>
            </w:r>
            <w:r>
              <w:rPr>
                <w:rFonts w:eastAsia="Times New Roman" w:cs="Calibri"/>
                <w:color w:val="3F3F3F"/>
              </w:rPr>
              <w:t xml:space="preserve"> jedan je od razloga nastanka divljih odlagališta otpada</w:t>
            </w:r>
          </w:p>
          <w:p w14:paraId="1429033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Ne postoji mjesto gdje se obrađuje biootpad </w:t>
            </w:r>
            <w:r>
              <w:rPr>
                <w:rFonts w:eastAsia="Times New Roman" w:cs="Calibri"/>
                <w:color w:val="3F3F3F"/>
              </w:rPr>
              <w:t>kako bi se iskoristio u</w:t>
            </w:r>
            <w:r w:rsidRPr="00382AF9">
              <w:rPr>
                <w:rFonts w:eastAsia="Times New Roman" w:cs="Calibri"/>
                <w:color w:val="3F3F3F"/>
              </w:rPr>
              <w:t xml:space="preserve"> proizvodnji bioenergije</w:t>
            </w:r>
          </w:p>
          <w:p w14:paraId="046C5C46" w14:textId="77777777" w:rsidR="009E441D" w:rsidRPr="00927376"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Neadekvatno održavanje I kategorije prometnica što negativno utječe na sigurnost u prometu</w:t>
            </w:r>
          </w:p>
          <w:p w14:paraId="4C1CAB5E"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Ceste istočnog dijela </w:t>
            </w:r>
            <w:r>
              <w:rPr>
                <w:rFonts w:eastAsia="Times New Roman" w:cs="Calibri"/>
                <w:color w:val="3F3F3F"/>
              </w:rPr>
              <w:t>KZŽ</w:t>
            </w:r>
            <w:r w:rsidRPr="00382AF9">
              <w:rPr>
                <w:rFonts w:eastAsia="Times New Roman" w:cs="Calibri"/>
                <w:color w:val="3F3F3F"/>
              </w:rPr>
              <w:t xml:space="preserve"> su u lošem stanju</w:t>
            </w:r>
            <w:r>
              <w:rPr>
                <w:rFonts w:eastAsia="Times New Roman" w:cs="Calibri"/>
                <w:color w:val="3F3F3F"/>
              </w:rPr>
              <w:t>,</w:t>
            </w:r>
            <w:r w:rsidRPr="00382AF9">
              <w:rPr>
                <w:rFonts w:eastAsia="Times New Roman" w:cs="Calibri"/>
                <w:color w:val="3F3F3F"/>
              </w:rPr>
              <w:t xml:space="preserve"> a prometna povezanost u tom dijelu </w:t>
            </w:r>
            <w:r>
              <w:rPr>
                <w:rFonts w:eastAsia="Times New Roman" w:cs="Calibri"/>
                <w:color w:val="3F3F3F"/>
              </w:rPr>
              <w:t xml:space="preserve">KZŽ </w:t>
            </w:r>
            <w:r w:rsidRPr="00382AF9">
              <w:rPr>
                <w:rFonts w:eastAsia="Times New Roman" w:cs="Calibri"/>
                <w:color w:val="3F3F3F"/>
              </w:rPr>
              <w:t>nije adekvatna (Hraš</w:t>
            </w:r>
            <w:r>
              <w:rPr>
                <w:rFonts w:eastAsia="Times New Roman" w:cs="Calibri"/>
                <w:color w:val="3F3F3F"/>
              </w:rPr>
              <w:t>ć</w:t>
            </w:r>
            <w:r w:rsidRPr="00382AF9">
              <w:rPr>
                <w:rFonts w:eastAsia="Times New Roman" w:cs="Calibri"/>
                <w:color w:val="3F3F3F"/>
              </w:rPr>
              <w:t>ina, Budinščina, Zlatar)</w:t>
            </w:r>
          </w:p>
          <w:p w14:paraId="02E708FF"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 xml:space="preserve">Neusklađenost </w:t>
            </w:r>
            <w:r>
              <w:rPr>
                <w:rFonts w:eastAsia="Times New Roman" w:cs="Calibri"/>
                <w:color w:val="3F3F3F"/>
              </w:rPr>
              <w:t xml:space="preserve">autobusnih </w:t>
            </w:r>
            <w:r w:rsidRPr="00927376">
              <w:rPr>
                <w:rFonts w:eastAsia="Times New Roman" w:cs="Calibri"/>
                <w:color w:val="3F3F3F"/>
              </w:rPr>
              <w:t xml:space="preserve">voznih redova </w:t>
            </w:r>
            <w:r>
              <w:rPr>
                <w:rFonts w:eastAsia="Times New Roman" w:cs="Calibri"/>
                <w:color w:val="3F3F3F"/>
              </w:rPr>
              <w:t xml:space="preserve">što </w:t>
            </w:r>
            <w:r w:rsidRPr="00927376">
              <w:rPr>
                <w:rFonts w:eastAsia="Times New Roman" w:cs="Calibri"/>
                <w:color w:val="3F3F3F"/>
              </w:rPr>
              <w:t>otežava stanovnicima županije</w:t>
            </w:r>
            <w:r>
              <w:rPr>
                <w:rFonts w:eastAsia="Times New Roman" w:cs="Calibri"/>
                <w:color w:val="3F3F3F"/>
              </w:rPr>
              <w:t xml:space="preserve"> </w:t>
            </w:r>
            <w:r w:rsidRPr="00927376">
              <w:rPr>
                <w:rFonts w:eastAsia="Times New Roman" w:cs="Calibri"/>
                <w:color w:val="3F3F3F"/>
              </w:rPr>
              <w:t>korištenje javnog prijevoza</w:t>
            </w:r>
          </w:p>
          <w:p w14:paraId="7450DBED"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Slabije izvedena sanacija klizišta dovodi do ponovnog otvaranja klizišta</w:t>
            </w:r>
          </w:p>
          <w:p w14:paraId="5D120344"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Nedostatak financijskih sredstava za subvencioniranje javnog prijevoza</w:t>
            </w:r>
          </w:p>
          <w:p w14:paraId="17143553"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Nepostojanje Baze podataka brownfield lokacija KZŽ zbog čega ne postoji jasan plan za prenamjenu napuštenih/zapuštenih prostora i zgrada</w:t>
            </w:r>
          </w:p>
          <w:p w14:paraId="7D4E8106" w14:textId="77777777" w:rsidR="009E441D" w:rsidRPr="00382AF9" w:rsidRDefault="009E441D" w:rsidP="00FB5FE0">
            <w:pPr>
              <w:spacing w:after="0" w:line="240" w:lineRule="auto"/>
              <w:contextualSpacing/>
              <w:rPr>
                <w:rFonts w:eastAsia="Times New Roman" w:cs="Calibri"/>
                <w:color w:val="3F3F3F"/>
              </w:rPr>
            </w:pPr>
          </w:p>
        </w:tc>
      </w:tr>
      <w:tr w:rsidR="009E441D" w:rsidRPr="00382AF9" w14:paraId="32D67FE1" w14:textId="77777777" w:rsidTr="00FB5FE0">
        <w:trPr>
          <w:trHeight w:val="278"/>
        </w:trPr>
        <w:tc>
          <w:tcPr>
            <w:tcW w:w="4508" w:type="dxa"/>
            <w:tcBorders>
              <w:right w:val="single" w:sz="8" w:space="0" w:color="D2232A"/>
            </w:tcBorders>
            <w:shd w:val="clear" w:color="auto" w:fill="D2232A"/>
            <w:hideMark/>
          </w:tcPr>
          <w:p w14:paraId="140A30EC" w14:textId="77777777" w:rsidR="009E441D" w:rsidRPr="00382AF9" w:rsidRDefault="009E441D" w:rsidP="00FB5FE0">
            <w:pPr>
              <w:spacing w:after="0" w:line="240" w:lineRule="auto"/>
              <w:ind w:left="720"/>
              <w:contextualSpacing/>
              <w:rPr>
                <w:rFonts w:eastAsia="Times New Roman" w:cs="Calibri"/>
                <w:b/>
                <w:bCs/>
                <w:color w:val="FFFFFF"/>
              </w:rPr>
            </w:pPr>
            <w:r w:rsidRPr="00382AF9">
              <w:rPr>
                <w:rFonts w:eastAsia="Times New Roman" w:cs="Times New Roman"/>
                <w:color w:val="3F3F3F"/>
              </w:rPr>
              <w:lastRenderedPageBreak/>
              <w:br w:type="page"/>
            </w:r>
            <w:r w:rsidRPr="00382AF9">
              <w:rPr>
                <w:rFonts w:eastAsia="Times New Roman" w:cs="Calibri"/>
                <w:b/>
                <w:bCs/>
                <w:color w:val="FFFFFF"/>
              </w:rPr>
              <w:t>PRILIKE</w:t>
            </w:r>
          </w:p>
        </w:tc>
        <w:tc>
          <w:tcPr>
            <w:tcW w:w="4508" w:type="dxa"/>
            <w:tcBorders>
              <w:left w:val="single" w:sz="8" w:space="0" w:color="D2232A"/>
            </w:tcBorders>
            <w:shd w:val="clear" w:color="auto" w:fill="D2232A"/>
            <w:hideMark/>
          </w:tcPr>
          <w:p w14:paraId="66039776" w14:textId="77777777" w:rsidR="009E441D" w:rsidRPr="00382AF9" w:rsidRDefault="009E441D" w:rsidP="00FB5FE0">
            <w:pPr>
              <w:spacing w:after="0" w:line="240" w:lineRule="auto"/>
              <w:ind w:left="720"/>
              <w:contextualSpacing/>
              <w:rPr>
                <w:rFonts w:eastAsia="Times New Roman" w:cs="Calibri"/>
                <w:b/>
                <w:bCs/>
                <w:color w:val="FFFFFF"/>
              </w:rPr>
            </w:pPr>
            <w:r w:rsidRPr="00382AF9">
              <w:rPr>
                <w:rFonts w:eastAsia="Times New Roman" w:cs="Calibri"/>
                <w:b/>
                <w:bCs/>
                <w:color w:val="FFFFFF"/>
              </w:rPr>
              <w:t>PRIJETNJE</w:t>
            </w:r>
          </w:p>
        </w:tc>
      </w:tr>
      <w:tr w:rsidR="009E441D" w:rsidRPr="00382AF9" w14:paraId="18300F86" w14:textId="77777777" w:rsidTr="00FB5FE0">
        <w:trPr>
          <w:trHeight w:val="2246"/>
        </w:trPr>
        <w:tc>
          <w:tcPr>
            <w:tcW w:w="4508" w:type="dxa"/>
            <w:tcBorders>
              <w:right w:val="single" w:sz="8" w:space="0" w:color="D2232A"/>
            </w:tcBorders>
          </w:tcPr>
          <w:p w14:paraId="69F4B7CC" w14:textId="77777777" w:rsidR="009E441D" w:rsidRPr="00756EEB" w:rsidRDefault="009E441D" w:rsidP="00FB5FE0">
            <w:pPr>
              <w:spacing w:after="0"/>
              <w:rPr>
                <w:rFonts w:eastAsia="Calibri" w:cs="Calibri"/>
                <w:b/>
                <w:bCs/>
                <w:color w:val="D2232A"/>
                <w:sz w:val="20"/>
                <w:szCs w:val="20"/>
              </w:rPr>
            </w:pPr>
            <w:r w:rsidRPr="00756EEB">
              <w:rPr>
                <w:rFonts w:eastAsia="Calibri" w:cs="Calibri"/>
                <w:b/>
                <w:bCs/>
                <w:color w:val="D2232A"/>
                <w:sz w:val="20"/>
                <w:szCs w:val="20"/>
              </w:rPr>
              <w:t>Okoliš, priroda</w:t>
            </w:r>
          </w:p>
          <w:p w14:paraId="6C3BFDE0" w14:textId="77777777" w:rsidR="009E441D" w:rsidRPr="00927376" w:rsidRDefault="009E441D" w:rsidP="009E441D">
            <w:pPr>
              <w:numPr>
                <w:ilvl w:val="0"/>
                <w:numId w:val="17"/>
              </w:numPr>
              <w:spacing w:after="0" w:line="240" w:lineRule="auto"/>
              <w:ind w:left="342" w:hanging="284"/>
              <w:contextualSpacing/>
              <w:rPr>
                <w:rFonts w:eastAsia="Times New Roman" w:cs="Calibri"/>
                <w:color w:val="3F3F3F"/>
              </w:rPr>
            </w:pPr>
            <w:r w:rsidRPr="00927376">
              <w:rPr>
                <w:rFonts w:eastAsia="Times New Roman" w:cs="Calibri"/>
                <w:color w:val="3F3F3F"/>
              </w:rPr>
              <w:t xml:space="preserve">Očuvana priroda i okoliš koji su atraktivni turistima, a </w:t>
            </w:r>
            <w:r>
              <w:rPr>
                <w:rFonts w:eastAsia="Times New Roman" w:cs="Calibri"/>
                <w:color w:val="3F3F3F"/>
              </w:rPr>
              <w:t xml:space="preserve">omogućuju </w:t>
            </w:r>
            <w:r w:rsidRPr="00927376">
              <w:rPr>
                <w:rFonts w:eastAsia="Times New Roman" w:cs="Calibri"/>
                <w:color w:val="3F3F3F"/>
              </w:rPr>
              <w:t>zdrav život stanovništva, i pretpostavka su ekološk</w:t>
            </w:r>
            <w:r>
              <w:rPr>
                <w:rFonts w:eastAsia="Times New Roman" w:cs="Calibri"/>
                <w:color w:val="3F3F3F"/>
              </w:rPr>
              <w:t>e</w:t>
            </w:r>
            <w:r w:rsidRPr="00927376">
              <w:rPr>
                <w:rFonts w:eastAsia="Times New Roman" w:cs="Calibri"/>
                <w:color w:val="3F3F3F"/>
              </w:rPr>
              <w:t xml:space="preserve"> poljoprivred</w:t>
            </w:r>
            <w:r>
              <w:rPr>
                <w:rFonts w:eastAsia="Times New Roman" w:cs="Calibri"/>
                <w:color w:val="3F3F3F"/>
              </w:rPr>
              <w:t>e</w:t>
            </w:r>
            <w:r w:rsidRPr="00927376">
              <w:rPr>
                <w:rFonts w:eastAsia="Times New Roman" w:cs="Calibri"/>
                <w:color w:val="3F3F3F"/>
              </w:rPr>
              <w:t xml:space="preserve"> u ruralnim dijelovima županije</w:t>
            </w:r>
          </w:p>
          <w:p w14:paraId="54876260"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Šume u </w:t>
            </w:r>
            <w:r>
              <w:rPr>
                <w:rFonts w:eastAsia="Times New Roman" w:cs="Calibri"/>
                <w:color w:val="3F3F3F"/>
              </w:rPr>
              <w:t>KZŽ</w:t>
            </w:r>
            <w:r w:rsidRPr="00382AF9">
              <w:rPr>
                <w:rFonts w:eastAsia="Times New Roman" w:cs="Calibri"/>
                <w:color w:val="3F3F3F"/>
              </w:rPr>
              <w:t xml:space="preserve"> zauzimaju visok postotak ukupne površine što doprinosi kvaliteti zraka te smanjuje eroziju tla</w:t>
            </w:r>
          </w:p>
          <w:p w14:paraId="68D5DB3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Calibri" w:cs="Calibri"/>
                <w:color w:val="3F3F3F"/>
              </w:rPr>
              <w:t xml:space="preserve">KZŽ </w:t>
            </w:r>
            <w:r w:rsidRPr="00382AF9">
              <w:rPr>
                <w:rFonts w:eastAsia="Calibri" w:cs="Calibri"/>
                <w:color w:val="3F3F3F"/>
              </w:rPr>
              <w:t xml:space="preserve">ima </w:t>
            </w:r>
            <w:r w:rsidRPr="00382AF9">
              <w:rPr>
                <w:rFonts w:eastAsia="Times New Roman" w:cs="Calibri"/>
                <w:color w:val="3F3F3F"/>
              </w:rPr>
              <w:t>visok potencijal solarne energije koju je moguće iskoristiti pasivnim solarnim sustavima, primjenom ravnih kolektora i fotonaponskih sustava</w:t>
            </w:r>
          </w:p>
          <w:p w14:paraId="6F477464"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Očuvane tipične krajobrazne vrijednosti i izvorne/autentične pejsažne cjeline koje osiguravaju zdrav život stanovništvu</w:t>
            </w:r>
          </w:p>
          <w:p w14:paraId="23490F00"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Reljef i bogata prirodna baština KZŽ</w:t>
            </w:r>
            <w:r w:rsidRPr="00382AF9">
              <w:rPr>
                <w:rFonts w:eastAsia="Times New Roman" w:cs="Calibri"/>
                <w:color w:val="3F3F3F"/>
              </w:rPr>
              <w:t xml:space="preserve"> resursna je osnova pogodna za daljnji razvoj selektivnih oblika turizma</w:t>
            </w:r>
          </w:p>
          <w:p w14:paraId="44D1316A"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Odlike terena i sastav tla postojeći su dobri preduvjeti sadnje profitabilnih kultura i ekološkog uzgoja</w:t>
            </w:r>
          </w:p>
          <w:p w14:paraId="2861951D"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 </w:t>
            </w:r>
            <w:r>
              <w:rPr>
                <w:rFonts w:eastAsia="Times New Roman" w:cs="Calibri"/>
                <w:color w:val="3F3F3F"/>
              </w:rPr>
              <w:t>Dostupnost „Life’’ programa</w:t>
            </w:r>
            <w:r w:rsidRPr="00382AF9">
              <w:rPr>
                <w:rFonts w:eastAsia="Times New Roman" w:cs="Calibri"/>
                <w:color w:val="3F3F3F"/>
              </w:rPr>
              <w:t xml:space="preserve"> za održavanje i revitalizaciju prirodnih staništa</w:t>
            </w:r>
          </w:p>
          <w:p w14:paraId="42A238B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lastRenderedPageBreak/>
              <w:t>Jačanje trenda zelenog razvoja i otvaranja radnih mjesta (</w:t>
            </w:r>
            <w:r w:rsidRPr="000133D5">
              <w:rPr>
                <w:rFonts w:eastAsia="Times New Roman" w:cs="Calibri"/>
                <w:i/>
                <w:color w:val="3F3F3F"/>
              </w:rPr>
              <w:t>green jobs</w:t>
            </w:r>
            <w:r w:rsidRPr="00382AF9">
              <w:rPr>
                <w:rFonts w:eastAsia="Times New Roman" w:cs="Calibri"/>
                <w:color w:val="3F3F3F"/>
              </w:rPr>
              <w:t>) povezan</w:t>
            </w:r>
            <w:r>
              <w:rPr>
                <w:rFonts w:eastAsia="Times New Roman" w:cs="Calibri"/>
                <w:color w:val="3F3F3F"/>
              </w:rPr>
              <w:t>ih</w:t>
            </w:r>
            <w:r w:rsidRPr="00382AF9">
              <w:rPr>
                <w:rFonts w:eastAsia="Times New Roman" w:cs="Calibri"/>
                <w:color w:val="3F3F3F"/>
              </w:rPr>
              <w:t xml:space="preserve"> s korištenjem obnovljivih izvora (</w:t>
            </w:r>
            <w:r w:rsidRPr="000133D5">
              <w:rPr>
                <w:rFonts w:eastAsia="Times New Roman" w:cs="Calibri"/>
                <w:i/>
                <w:color w:val="3F3F3F"/>
              </w:rPr>
              <w:t>green economy</w:t>
            </w:r>
            <w:r w:rsidRPr="00382AF9">
              <w:rPr>
                <w:rFonts w:eastAsia="Times New Roman" w:cs="Calibri"/>
                <w:color w:val="3F3F3F"/>
              </w:rPr>
              <w:t>) u Europi</w:t>
            </w:r>
          </w:p>
          <w:p w14:paraId="6466099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Transformacija industrije i obrtništva prema niskougljičnoj pro</w:t>
            </w:r>
            <w:r>
              <w:rPr>
                <w:rFonts w:eastAsia="Times New Roman" w:cs="Calibri"/>
                <w:color w:val="3F3F3F"/>
              </w:rPr>
              <w:t>izvodnji sa što manjom emisijom CO</w:t>
            </w:r>
            <w:r w:rsidRPr="00155937">
              <w:rPr>
                <w:rFonts w:eastAsia="Times New Roman" w:cs="Calibri"/>
                <w:color w:val="3F3F3F"/>
                <w:vertAlign w:val="subscript"/>
              </w:rPr>
              <w:t>2</w:t>
            </w:r>
          </w:p>
          <w:p w14:paraId="398AA22C"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Usmjeravanje gospodarstva prema poslovnim modelima ekološke povoljnosti i energetske učinkovitosti sa što manjom potrošnjom resursa i pritiskom na okoliš</w:t>
            </w:r>
          </w:p>
          <w:p w14:paraId="167C544B"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Uspostava i provedba koncepta integriranog gospodarenja otpadom i otpadnim vodama</w:t>
            </w:r>
          </w:p>
          <w:p w14:paraId="3ABA80B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Uporaba alternativnih goriva (plin, biodizel) i povećanje energetske učinkovitosti, prije svega, u javnom prijevozu (struja, plin, biodizel) </w:t>
            </w:r>
          </w:p>
          <w:p w14:paraId="1FE89A30"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Tipizacija krajobraza i donošenje plana upravljanj</w:t>
            </w:r>
            <w:r>
              <w:rPr>
                <w:rFonts w:eastAsia="Times New Roman" w:cs="Calibri"/>
                <w:color w:val="3F3F3F"/>
              </w:rPr>
              <w:t>a</w:t>
            </w:r>
            <w:r w:rsidRPr="00382AF9">
              <w:rPr>
                <w:rFonts w:eastAsia="Times New Roman" w:cs="Calibri"/>
                <w:color w:val="3F3F3F"/>
              </w:rPr>
              <w:t xml:space="preserve"> posebno vrijednim/tipičnim krajobraznim cjelinama</w:t>
            </w:r>
          </w:p>
          <w:p w14:paraId="396FF5A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Afirmiranje prostornog planiranja po konceptu integriranih prostornih pristupa s cjelovitim uređenjem usklađenih cjelina (“zeleni urbanizam”)</w:t>
            </w:r>
            <w:r w:rsidRPr="00382AF9">
              <w:rPr>
                <w:rFonts w:eastAsia="Times New Roman" w:cs="Calibri"/>
                <w:color w:val="3F3F3F"/>
              </w:rPr>
              <w:br/>
            </w:r>
          </w:p>
          <w:p w14:paraId="172F2BA9" w14:textId="77777777" w:rsidR="009E441D" w:rsidRPr="00756EEB" w:rsidRDefault="009E441D" w:rsidP="00FB5FE0">
            <w:pPr>
              <w:spacing w:after="0"/>
              <w:rPr>
                <w:rFonts w:eastAsia="Times New Roman" w:cs="Calibri"/>
                <w:b/>
                <w:bCs/>
                <w:color w:val="D2232A"/>
                <w:sz w:val="20"/>
                <w:szCs w:val="20"/>
              </w:rPr>
            </w:pPr>
            <w:r w:rsidRPr="00756EEB">
              <w:rPr>
                <w:rFonts w:eastAsia="Times New Roman" w:cs="Calibri"/>
                <w:b/>
                <w:bCs/>
                <w:color w:val="D2232A"/>
                <w:sz w:val="20"/>
                <w:szCs w:val="20"/>
              </w:rPr>
              <w:t>Infrastruktura</w:t>
            </w:r>
          </w:p>
          <w:p w14:paraId="07AAA3C7" w14:textId="77777777" w:rsidR="009E441D" w:rsidRPr="008253BC" w:rsidRDefault="009E441D" w:rsidP="009E441D">
            <w:pPr>
              <w:numPr>
                <w:ilvl w:val="0"/>
                <w:numId w:val="17"/>
              </w:numPr>
              <w:spacing w:after="0" w:line="240" w:lineRule="auto"/>
              <w:ind w:left="342" w:hanging="284"/>
              <w:contextualSpacing/>
              <w:rPr>
                <w:rFonts w:eastAsia="Times New Roman" w:cs="Calibri"/>
                <w:color w:val="auto"/>
              </w:rPr>
            </w:pPr>
            <w:r w:rsidRPr="008253BC">
              <w:rPr>
                <w:rFonts w:eastAsia="Times New Roman" w:cs="Calibri"/>
                <w:color w:val="auto"/>
              </w:rPr>
              <w:t>Šumske ceste posjeduju visok potencijal za razvoj planinarskog, lovnog i adrenalinskog turizma</w:t>
            </w:r>
          </w:p>
          <w:p w14:paraId="3859B14E"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Mogućnost prijave i direktnog financiranj</w:t>
            </w:r>
            <w:r>
              <w:rPr>
                <w:rFonts w:eastAsia="Times New Roman" w:cs="Calibri"/>
                <w:color w:val="3F3F3F"/>
              </w:rPr>
              <w:t>a</w:t>
            </w:r>
            <w:r w:rsidRPr="00382AF9">
              <w:rPr>
                <w:rFonts w:eastAsia="Times New Roman" w:cs="Calibri"/>
                <w:color w:val="3F3F3F"/>
              </w:rPr>
              <w:t xml:space="preserve"> strateških investicijskih projekata s nacionalne razine</w:t>
            </w:r>
          </w:p>
          <w:p w14:paraId="63F3D70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Uvođenje integriranog prijevoza putnika u kojem su sva vozila javnog prijevoza objedinjena u zajednički sustav prijevoza putnika u određenoj regiji koji je prepoznat kao optimalan sustav organizacije javnog prijevoza od strane EU (Bijela knjiga)</w:t>
            </w:r>
          </w:p>
          <w:p w14:paraId="1C8CEB48"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Mogućnost korištenja EU fondova koji potiču ulaganja u brownfield infrastrukturu</w:t>
            </w:r>
            <w:r>
              <w:rPr>
                <w:rFonts w:eastAsia="Times New Roman" w:cs="Calibri"/>
                <w:color w:val="3F3F3F"/>
              </w:rPr>
              <w:t xml:space="preserve"> i </w:t>
            </w:r>
            <w:r w:rsidRPr="00927376">
              <w:rPr>
                <w:rFonts w:eastAsia="Times New Roman" w:cs="Calibri"/>
                <w:color w:val="3F3F3F"/>
              </w:rPr>
              <w:t>time se omogućuje revitalizacija postojećih napuštenih i zapuštenih objekata i prostora na području županije</w:t>
            </w:r>
          </w:p>
          <w:p w14:paraId="652AE46C" w14:textId="77777777" w:rsidR="009E441D" w:rsidRPr="008253BC" w:rsidRDefault="009E441D" w:rsidP="009E441D">
            <w:pPr>
              <w:numPr>
                <w:ilvl w:val="0"/>
                <w:numId w:val="17"/>
              </w:numPr>
              <w:spacing w:after="0" w:line="240" w:lineRule="auto"/>
              <w:ind w:left="342" w:hanging="284"/>
              <w:contextualSpacing/>
              <w:rPr>
                <w:rFonts w:eastAsia="Times New Roman" w:cs="Calibri"/>
                <w:color w:val="auto"/>
              </w:rPr>
            </w:pPr>
            <w:r w:rsidRPr="008253BC">
              <w:rPr>
                <w:rFonts w:eastAsia="Times New Roman" w:cs="Calibri"/>
                <w:color w:val="auto"/>
              </w:rPr>
              <w:t>Sufinanciranje projekata komunalne infrastrukture kroz EU fondove s ciljem rasterećenja odlagališta, smanjivanja troškova odlaganja otpada i smanjenja onečišćenje tla, zraka i voda</w:t>
            </w:r>
          </w:p>
          <w:p w14:paraId="3989F713"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Razvoj burze otpada kao središte ponude i potražnje svih vrsta otpada čime bi se unaprijedio sustav gospodarenja otpadom</w:t>
            </w:r>
          </w:p>
          <w:p w14:paraId="7CD866B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Postojanje PRŠI za širokopojasni Internet (Planova razvoja širokopojasne infrastrukture) čime će se ujednačiti digitalni standard življenja u područjima gdje ne postoji dovoljan komercijalni interes</w:t>
            </w:r>
          </w:p>
          <w:p w14:paraId="14E8AFDB"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Promoviranje e-mobilnosti kroz EU fondove (za unaprjeđenje javnog prijevoza sufinanciranje iznosi 100%)</w:t>
            </w:r>
          </w:p>
          <w:p w14:paraId="3DAF1B5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Mogućnost prijave Županijske uprave za ceste na natječaje EU fondova za obnovu cestovne infrastrukture</w:t>
            </w:r>
          </w:p>
          <w:p w14:paraId="01B85D41" w14:textId="77777777" w:rsidR="009E441D" w:rsidRPr="00382AF9" w:rsidRDefault="009E441D" w:rsidP="00FB5FE0">
            <w:pPr>
              <w:spacing w:after="0" w:line="240" w:lineRule="auto"/>
              <w:ind w:left="720"/>
              <w:contextualSpacing/>
              <w:rPr>
                <w:rFonts w:eastAsia="Calibri" w:cs="Calibri"/>
                <w:color w:val="3F3F3F"/>
              </w:rPr>
            </w:pPr>
          </w:p>
        </w:tc>
        <w:tc>
          <w:tcPr>
            <w:tcW w:w="4508" w:type="dxa"/>
            <w:tcBorders>
              <w:left w:val="single" w:sz="8" w:space="0" w:color="D2232A"/>
            </w:tcBorders>
          </w:tcPr>
          <w:p w14:paraId="18DE4422" w14:textId="77777777" w:rsidR="009E441D" w:rsidRPr="00382AF9" w:rsidRDefault="009E441D" w:rsidP="00FB5FE0">
            <w:pPr>
              <w:spacing w:after="0"/>
              <w:rPr>
                <w:rFonts w:eastAsia="Times New Roman" w:cs="Calibri"/>
                <w:b/>
                <w:bCs/>
                <w:color w:val="D2232A"/>
                <w:sz w:val="20"/>
              </w:rPr>
            </w:pPr>
            <w:r w:rsidRPr="00382AF9">
              <w:rPr>
                <w:rFonts w:eastAsia="Times New Roman" w:cs="Calibri"/>
                <w:b/>
                <w:bCs/>
                <w:color w:val="D2232A"/>
                <w:sz w:val="20"/>
              </w:rPr>
              <w:lastRenderedPageBreak/>
              <w:t>Okoliš</w:t>
            </w:r>
            <w:r>
              <w:rPr>
                <w:rFonts w:eastAsia="Times New Roman" w:cs="Calibri"/>
                <w:b/>
                <w:bCs/>
                <w:color w:val="D2232A"/>
                <w:sz w:val="20"/>
              </w:rPr>
              <w:t>, priroda</w:t>
            </w:r>
          </w:p>
          <w:p w14:paraId="21E884B4"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Reljef je zapreka za unaprjeđenje komunalne infrastrukture (poskupljuje izvedbu</w:t>
            </w:r>
            <w:r>
              <w:rPr>
                <w:rFonts w:eastAsia="Times New Roman" w:cs="Calibri"/>
                <w:color w:val="3F3F3F"/>
              </w:rPr>
              <w:t xml:space="preserve"> infrastrukturnih radova</w:t>
            </w:r>
            <w:r w:rsidRPr="00382AF9">
              <w:rPr>
                <w:rFonts w:eastAsia="Times New Roman" w:cs="Calibri"/>
                <w:color w:val="3F3F3F"/>
              </w:rPr>
              <w:t>)</w:t>
            </w:r>
          </w:p>
          <w:p w14:paraId="7037A848"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Šumarski inspektorat Područnog ureda Državnog inspektorata, Inspekcija zaštite okoliša i Inspekcija zaštite prirode neadekvatno obavljaju kontrole privatnih šuma što rezultira njihovom degradacijom</w:t>
            </w:r>
          </w:p>
          <w:p w14:paraId="223FC985"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Nepovoljne</w:t>
            </w:r>
            <w:r w:rsidRPr="00382AF9">
              <w:rPr>
                <w:rFonts w:eastAsia="Times New Roman" w:cs="Calibri"/>
                <w:color w:val="3F3F3F"/>
              </w:rPr>
              <w:t xml:space="preserve"> vremenske prilike (vjetar, promjene u režimu padalina, temperaturne amplitude) zbog globalnih promjena klime mogu se </w:t>
            </w:r>
            <w:r>
              <w:rPr>
                <w:rFonts w:eastAsia="Times New Roman" w:cs="Calibri"/>
                <w:color w:val="3F3F3F"/>
              </w:rPr>
              <w:t>negativno</w:t>
            </w:r>
            <w:r w:rsidRPr="00382AF9">
              <w:rPr>
                <w:rFonts w:eastAsia="Times New Roman" w:cs="Calibri"/>
                <w:color w:val="3F3F3F"/>
              </w:rPr>
              <w:t xml:space="preserve"> odraziti na sigurnost i dobrobit ljudi</w:t>
            </w:r>
          </w:p>
          <w:p w14:paraId="0422B46F"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Blizina </w:t>
            </w:r>
            <w:r>
              <w:rPr>
                <w:rFonts w:eastAsia="Times New Roman" w:cs="Calibri"/>
                <w:color w:val="3F3F3F"/>
              </w:rPr>
              <w:t xml:space="preserve">susjednih </w:t>
            </w:r>
            <w:r w:rsidRPr="00382AF9">
              <w:rPr>
                <w:rFonts w:eastAsia="Times New Roman" w:cs="Calibri"/>
                <w:color w:val="3F3F3F"/>
              </w:rPr>
              <w:t>turističkih središta koja koriste termalne izvore (Republika Slovenija)</w:t>
            </w:r>
          </w:p>
          <w:p w14:paraId="4270B3E1"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Generalno manjak profesionalnih/stručnih kapaciteta za pripremu i provedbu javnih politika i  instrumenata u domeni prostornog uređenja i zaštite okoliša na nacionalnoj razini</w:t>
            </w:r>
          </w:p>
          <w:p w14:paraId="78B1A95C" w14:textId="77777777" w:rsidR="009E441D" w:rsidRPr="00382AF9" w:rsidRDefault="009E441D" w:rsidP="00FB5FE0">
            <w:pPr>
              <w:spacing w:after="0"/>
              <w:rPr>
                <w:rFonts w:eastAsia="Calibri" w:cs="Calibri"/>
                <w:color w:val="3F3F3F"/>
                <w:sz w:val="20"/>
              </w:rPr>
            </w:pPr>
          </w:p>
          <w:p w14:paraId="52BB1A78" w14:textId="45D3AA5F" w:rsidR="009E441D" w:rsidRDefault="009E441D" w:rsidP="00FB5FE0">
            <w:pPr>
              <w:spacing w:after="0"/>
              <w:rPr>
                <w:rFonts w:eastAsia="Times New Roman" w:cs="Calibri"/>
                <w:color w:val="3F3F3F"/>
                <w:sz w:val="20"/>
              </w:rPr>
            </w:pPr>
          </w:p>
          <w:p w14:paraId="643BC5EB" w14:textId="6424A62E" w:rsidR="008253BC" w:rsidRDefault="008253BC" w:rsidP="00FB5FE0">
            <w:pPr>
              <w:spacing w:after="0"/>
              <w:rPr>
                <w:rFonts w:eastAsia="Times New Roman" w:cs="Calibri"/>
                <w:color w:val="3F3F3F"/>
                <w:sz w:val="20"/>
              </w:rPr>
            </w:pPr>
          </w:p>
          <w:p w14:paraId="6D081C6F" w14:textId="6B37B37A" w:rsidR="008253BC" w:rsidRDefault="008253BC" w:rsidP="00FB5FE0">
            <w:pPr>
              <w:spacing w:after="0"/>
              <w:rPr>
                <w:rFonts w:eastAsia="Times New Roman" w:cs="Calibri"/>
                <w:color w:val="3F3F3F"/>
                <w:sz w:val="20"/>
              </w:rPr>
            </w:pPr>
          </w:p>
          <w:p w14:paraId="52ED318D" w14:textId="7092CD27" w:rsidR="008253BC" w:rsidRDefault="008253BC" w:rsidP="00FB5FE0">
            <w:pPr>
              <w:spacing w:after="0"/>
              <w:rPr>
                <w:rFonts w:eastAsia="Times New Roman" w:cs="Calibri"/>
                <w:color w:val="3F3F3F"/>
                <w:sz w:val="20"/>
              </w:rPr>
            </w:pPr>
          </w:p>
          <w:p w14:paraId="4AD556B1" w14:textId="756B9226" w:rsidR="008253BC" w:rsidRDefault="008253BC" w:rsidP="00FB5FE0">
            <w:pPr>
              <w:spacing w:after="0"/>
              <w:rPr>
                <w:rFonts w:eastAsia="Times New Roman" w:cs="Calibri"/>
                <w:color w:val="3F3F3F"/>
                <w:sz w:val="20"/>
              </w:rPr>
            </w:pPr>
          </w:p>
          <w:p w14:paraId="3AD2B171" w14:textId="3FEE1CC9" w:rsidR="008253BC" w:rsidRDefault="008253BC" w:rsidP="00FB5FE0">
            <w:pPr>
              <w:spacing w:after="0"/>
              <w:rPr>
                <w:rFonts w:eastAsia="Times New Roman" w:cs="Calibri"/>
                <w:color w:val="3F3F3F"/>
                <w:sz w:val="20"/>
              </w:rPr>
            </w:pPr>
          </w:p>
          <w:p w14:paraId="2CD3119A" w14:textId="38571ED5" w:rsidR="008253BC" w:rsidRDefault="008253BC" w:rsidP="00FB5FE0">
            <w:pPr>
              <w:spacing w:after="0"/>
              <w:rPr>
                <w:rFonts w:eastAsia="Times New Roman" w:cs="Calibri"/>
                <w:color w:val="3F3F3F"/>
                <w:sz w:val="20"/>
              </w:rPr>
            </w:pPr>
          </w:p>
          <w:p w14:paraId="01469BB6" w14:textId="0CD04FCA" w:rsidR="008253BC" w:rsidRDefault="008253BC" w:rsidP="00FB5FE0">
            <w:pPr>
              <w:spacing w:after="0"/>
              <w:rPr>
                <w:rFonts w:eastAsia="Times New Roman" w:cs="Calibri"/>
                <w:color w:val="3F3F3F"/>
                <w:sz w:val="20"/>
              </w:rPr>
            </w:pPr>
          </w:p>
          <w:p w14:paraId="2E91B47A" w14:textId="26C58539" w:rsidR="008253BC" w:rsidRDefault="008253BC" w:rsidP="00FB5FE0">
            <w:pPr>
              <w:spacing w:after="0"/>
              <w:rPr>
                <w:rFonts w:eastAsia="Times New Roman" w:cs="Calibri"/>
                <w:color w:val="3F3F3F"/>
                <w:sz w:val="20"/>
              </w:rPr>
            </w:pPr>
          </w:p>
          <w:p w14:paraId="0294B630" w14:textId="1E1DFC6F" w:rsidR="008253BC" w:rsidRDefault="008253BC" w:rsidP="00FB5FE0">
            <w:pPr>
              <w:spacing w:after="0"/>
              <w:rPr>
                <w:rFonts w:eastAsia="Times New Roman" w:cs="Calibri"/>
                <w:color w:val="3F3F3F"/>
                <w:sz w:val="20"/>
              </w:rPr>
            </w:pPr>
          </w:p>
          <w:p w14:paraId="7F69F7DD" w14:textId="1F56E810" w:rsidR="008253BC" w:rsidRDefault="008253BC" w:rsidP="00FB5FE0">
            <w:pPr>
              <w:spacing w:after="0"/>
              <w:rPr>
                <w:rFonts w:eastAsia="Times New Roman" w:cs="Calibri"/>
                <w:color w:val="3F3F3F"/>
                <w:sz w:val="20"/>
              </w:rPr>
            </w:pPr>
          </w:p>
          <w:p w14:paraId="641178F7" w14:textId="0D5A7CB1" w:rsidR="008253BC" w:rsidRDefault="008253BC" w:rsidP="00FB5FE0">
            <w:pPr>
              <w:spacing w:after="0"/>
              <w:rPr>
                <w:rFonts w:eastAsia="Times New Roman" w:cs="Calibri"/>
                <w:color w:val="3F3F3F"/>
                <w:sz w:val="20"/>
              </w:rPr>
            </w:pPr>
          </w:p>
          <w:p w14:paraId="636E476C" w14:textId="18B6F21F" w:rsidR="008253BC" w:rsidRDefault="008253BC" w:rsidP="00FB5FE0">
            <w:pPr>
              <w:spacing w:after="0"/>
              <w:rPr>
                <w:rFonts w:eastAsia="Times New Roman" w:cs="Calibri"/>
                <w:color w:val="3F3F3F"/>
                <w:sz w:val="20"/>
              </w:rPr>
            </w:pPr>
          </w:p>
          <w:p w14:paraId="3D735AB7" w14:textId="0D6BF4F3" w:rsidR="008253BC" w:rsidRDefault="008253BC" w:rsidP="00FB5FE0">
            <w:pPr>
              <w:spacing w:after="0"/>
              <w:rPr>
                <w:rFonts w:eastAsia="Times New Roman" w:cs="Calibri"/>
                <w:color w:val="3F3F3F"/>
                <w:sz w:val="20"/>
              </w:rPr>
            </w:pPr>
          </w:p>
          <w:p w14:paraId="01A0D949" w14:textId="77777777" w:rsidR="008253BC" w:rsidRPr="00382AF9" w:rsidRDefault="008253BC" w:rsidP="00FB5FE0">
            <w:pPr>
              <w:spacing w:after="0"/>
              <w:rPr>
                <w:rFonts w:eastAsia="Times New Roman" w:cs="Calibri"/>
                <w:color w:val="3F3F3F"/>
                <w:sz w:val="20"/>
              </w:rPr>
            </w:pPr>
          </w:p>
          <w:p w14:paraId="6EF344BC" w14:textId="77777777" w:rsidR="009E441D" w:rsidRPr="00382AF9" w:rsidRDefault="009E441D" w:rsidP="00FB5FE0">
            <w:pPr>
              <w:spacing w:after="0"/>
              <w:rPr>
                <w:rFonts w:eastAsia="Times New Roman" w:cs="Calibri"/>
                <w:b/>
                <w:bCs/>
                <w:color w:val="D2232A"/>
                <w:sz w:val="20"/>
              </w:rPr>
            </w:pPr>
            <w:r w:rsidRPr="00382AF9">
              <w:rPr>
                <w:rFonts w:eastAsia="Times New Roman" w:cs="Calibri"/>
                <w:b/>
                <w:bCs/>
                <w:color w:val="D2232A"/>
                <w:sz w:val="20"/>
              </w:rPr>
              <w:t>Infrastruktura</w:t>
            </w:r>
          </w:p>
          <w:p w14:paraId="05A0C3A8" w14:textId="77777777" w:rsidR="009E441D" w:rsidRDefault="009E441D" w:rsidP="009E441D">
            <w:pPr>
              <w:numPr>
                <w:ilvl w:val="0"/>
                <w:numId w:val="17"/>
              </w:numPr>
              <w:spacing w:after="0" w:line="240" w:lineRule="auto"/>
              <w:ind w:left="342" w:hanging="284"/>
              <w:contextualSpacing/>
              <w:rPr>
                <w:rFonts w:eastAsia="Times New Roman" w:cs="Calibri"/>
                <w:color w:val="3F3F3F"/>
              </w:rPr>
            </w:pPr>
            <w:r w:rsidRPr="003E39C3">
              <w:rPr>
                <w:rFonts w:eastAsia="Times New Roman" w:cs="Calibri"/>
                <w:color w:val="3F3F3F"/>
              </w:rPr>
              <w:t>Zbog zahtjevnih procedura javne nabave infrastru</w:t>
            </w:r>
            <w:r>
              <w:rPr>
                <w:rFonts w:eastAsia="Times New Roman" w:cs="Calibri"/>
                <w:color w:val="3F3F3F"/>
              </w:rPr>
              <w:t>kturni radovi nerijetko kasne, a</w:t>
            </w:r>
            <w:r w:rsidRPr="003E39C3">
              <w:rPr>
                <w:rFonts w:eastAsia="Times New Roman" w:cs="Calibri"/>
                <w:color w:val="3F3F3F"/>
              </w:rPr>
              <w:t xml:space="preserve"> na projektima financiranih iz EU sredstava nastaju financijske korekcije</w:t>
            </w:r>
          </w:p>
          <w:p w14:paraId="037EB21E" w14:textId="77777777" w:rsidR="009E441D" w:rsidRPr="00BE5C21"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 xml:space="preserve">Neadekvatna </w:t>
            </w:r>
            <w:r w:rsidRPr="00382AF9">
              <w:rPr>
                <w:rFonts w:eastAsia="Times New Roman" w:cs="Calibri"/>
                <w:color w:val="3F3F3F"/>
              </w:rPr>
              <w:t>željezničk</w:t>
            </w:r>
            <w:r>
              <w:rPr>
                <w:rFonts w:eastAsia="Times New Roman" w:cs="Calibri"/>
                <w:color w:val="3F3F3F"/>
              </w:rPr>
              <w:t>a</w:t>
            </w:r>
            <w:r w:rsidRPr="00382AF9">
              <w:rPr>
                <w:rFonts w:eastAsia="Times New Roman" w:cs="Calibri"/>
                <w:color w:val="3F3F3F"/>
              </w:rPr>
              <w:t xml:space="preserve"> infrastruktur</w:t>
            </w:r>
            <w:r>
              <w:rPr>
                <w:rFonts w:eastAsia="Times New Roman" w:cs="Calibri"/>
                <w:color w:val="3F3F3F"/>
              </w:rPr>
              <w:t xml:space="preserve">a i neusklađenost voznog reda s potrebama stanovništva pridonose </w:t>
            </w:r>
            <w:r w:rsidRPr="00382AF9">
              <w:rPr>
                <w:rFonts w:eastAsia="Times New Roman" w:cs="Calibri"/>
                <w:color w:val="3F3F3F"/>
              </w:rPr>
              <w:t>nezainteresiranost</w:t>
            </w:r>
            <w:r>
              <w:rPr>
                <w:rFonts w:eastAsia="Times New Roman" w:cs="Calibri"/>
                <w:color w:val="3F3F3F"/>
              </w:rPr>
              <w:t>i</w:t>
            </w:r>
            <w:r w:rsidRPr="00382AF9">
              <w:rPr>
                <w:rFonts w:eastAsia="Times New Roman" w:cs="Calibri"/>
                <w:color w:val="3F3F3F"/>
              </w:rPr>
              <w:t xml:space="preserve"> ljudi da se koriste željeznicom</w:t>
            </w:r>
          </w:p>
          <w:p w14:paraId="2E83D136"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Neadekvatni zakonodavni okvir vezan uz napuštene i nefunkcionalne nekretnine</w:t>
            </w:r>
          </w:p>
          <w:p w14:paraId="11FDD3D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Kašnjenje u donošenju adekvatnih propisa iz područja javnog prijevoza putnika kojim bi se riješio problem nerentabilnih autobusnih linija</w:t>
            </w:r>
          </w:p>
          <w:p w14:paraId="51B3D28A" w14:textId="77777777" w:rsidR="009E441D" w:rsidRPr="008253BC" w:rsidRDefault="009E441D" w:rsidP="009E441D">
            <w:pPr>
              <w:numPr>
                <w:ilvl w:val="0"/>
                <w:numId w:val="17"/>
              </w:numPr>
              <w:spacing w:after="0" w:line="240" w:lineRule="auto"/>
              <w:ind w:left="342" w:hanging="284"/>
              <w:contextualSpacing/>
              <w:rPr>
                <w:rFonts w:eastAsia="Times New Roman" w:cs="Calibri"/>
                <w:color w:val="auto"/>
              </w:rPr>
            </w:pPr>
            <w:r w:rsidRPr="008253BC">
              <w:rPr>
                <w:rFonts w:eastAsia="Times New Roman" w:cs="Calibri"/>
                <w:color w:val="auto"/>
              </w:rPr>
              <w:t xml:space="preserve">Neriješeni imovinsko-pravni odnosi i nedostatak financijskih sredstava za njihovo rješavanje </w:t>
            </w:r>
          </w:p>
          <w:p w14:paraId="7AA0DB42"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Nizak interes investitora za ulaganje u korištenje solarne energije z</w:t>
            </w:r>
            <w:r w:rsidRPr="00382AF9">
              <w:rPr>
                <w:rFonts w:eastAsia="Times New Roman" w:cs="Calibri"/>
                <w:color w:val="3F3F3F"/>
              </w:rPr>
              <w:t xml:space="preserve">bog niskih godišnjih fotonaponskih kvota </w:t>
            </w:r>
          </w:p>
          <w:p w14:paraId="08087F19"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sidRPr="00382AF9">
              <w:rPr>
                <w:rFonts w:eastAsia="Times New Roman" w:cs="Calibri"/>
                <w:color w:val="3F3F3F"/>
              </w:rPr>
              <w:t xml:space="preserve">Nedostatak </w:t>
            </w:r>
            <w:r w:rsidRPr="00756EEB">
              <w:rPr>
                <w:rFonts w:eastAsia="Times New Roman" w:cs="Calibri"/>
                <w:i/>
                <w:iCs/>
                <w:color w:val="3F3F3F"/>
              </w:rPr>
              <w:t>feed in</w:t>
            </w:r>
            <w:r w:rsidRPr="00382AF9">
              <w:rPr>
                <w:rFonts w:eastAsia="Times New Roman" w:cs="Calibri"/>
                <w:color w:val="3F3F3F"/>
              </w:rPr>
              <w:t xml:space="preserve"> tarifa kao sustava poticanja </w:t>
            </w:r>
            <w:r>
              <w:rPr>
                <w:rFonts w:eastAsia="Times New Roman" w:cs="Calibri"/>
                <w:color w:val="3F3F3F"/>
              </w:rPr>
              <w:t>uvođenja</w:t>
            </w:r>
            <w:r w:rsidRPr="00382AF9">
              <w:rPr>
                <w:rFonts w:eastAsia="Times New Roman" w:cs="Calibri"/>
                <w:color w:val="3F3F3F"/>
              </w:rPr>
              <w:t xml:space="preserve"> nov</w:t>
            </w:r>
            <w:r>
              <w:rPr>
                <w:rFonts w:eastAsia="Times New Roman" w:cs="Calibri"/>
                <w:color w:val="3F3F3F"/>
              </w:rPr>
              <w:t>ih</w:t>
            </w:r>
            <w:r w:rsidRPr="00382AF9">
              <w:rPr>
                <w:rFonts w:eastAsia="Times New Roman" w:cs="Calibri"/>
                <w:color w:val="3F3F3F"/>
              </w:rPr>
              <w:t xml:space="preserve"> tehnologij</w:t>
            </w:r>
            <w:r>
              <w:rPr>
                <w:rFonts w:eastAsia="Times New Roman" w:cs="Calibri"/>
                <w:color w:val="3F3F3F"/>
              </w:rPr>
              <w:t>a za korištenje obnovljivih izvora</w:t>
            </w:r>
            <w:r w:rsidRPr="00382AF9">
              <w:rPr>
                <w:rFonts w:eastAsia="Times New Roman" w:cs="Calibri"/>
                <w:color w:val="3F3F3F"/>
              </w:rPr>
              <w:t xml:space="preserve"> energije </w:t>
            </w:r>
          </w:p>
          <w:p w14:paraId="490088F8" w14:textId="77777777" w:rsidR="009E441D" w:rsidRPr="00382AF9" w:rsidRDefault="009E441D" w:rsidP="009E441D">
            <w:pPr>
              <w:numPr>
                <w:ilvl w:val="0"/>
                <w:numId w:val="17"/>
              </w:numPr>
              <w:spacing w:after="0" w:line="240" w:lineRule="auto"/>
              <w:ind w:left="342" w:hanging="284"/>
              <w:contextualSpacing/>
              <w:rPr>
                <w:rFonts w:eastAsia="Times New Roman" w:cs="Calibri"/>
                <w:color w:val="3F3F3F"/>
              </w:rPr>
            </w:pPr>
            <w:r>
              <w:rPr>
                <w:rFonts w:eastAsia="Times New Roman" w:cs="Calibri"/>
                <w:color w:val="3F3F3F"/>
              </w:rPr>
              <w:t>Neučinkovita međudržavna suradnja</w:t>
            </w:r>
            <w:r w:rsidRPr="00382AF9">
              <w:rPr>
                <w:rFonts w:eastAsia="Times New Roman" w:cs="Calibri"/>
                <w:color w:val="3F3F3F"/>
              </w:rPr>
              <w:t xml:space="preserve"> koj</w:t>
            </w:r>
            <w:r>
              <w:rPr>
                <w:rFonts w:eastAsia="Times New Roman" w:cs="Calibri"/>
                <w:color w:val="3F3F3F"/>
              </w:rPr>
              <w:t>a</w:t>
            </w:r>
            <w:r w:rsidRPr="00382AF9">
              <w:rPr>
                <w:rFonts w:eastAsia="Times New Roman" w:cs="Calibri"/>
                <w:color w:val="3F3F3F"/>
              </w:rPr>
              <w:t xml:space="preserve"> rezultira poteškoćama u provođenju aktivnosti koje se odnose na područja uz granicu – npr. zaštita rijeke Sutle i izgradnja hidroelektrane Mokrice u Sloveniji</w:t>
            </w:r>
          </w:p>
          <w:p w14:paraId="34937659" w14:textId="77777777" w:rsidR="009E441D" w:rsidRPr="00382AF9" w:rsidRDefault="009E441D" w:rsidP="00FB5FE0">
            <w:pPr>
              <w:spacing w:after="0"/>
              <w:rPr>
                <w:rFonts w:eastAsia="Calibri" w:cs="Calibri"/>
                <w:color w:val="3F3F3F"/>
                <w:sz w:val="20"/>
              </w:rPr>
            </w:pPr>
          </w:p>
        </w:tc>
      </w:tr>
    </w:tbl>
    <w:p w14:paraId="06D03D55" w14:textId="77777777" w:rsidR="009E441D" w:rsidRDefault="009E441D" w:rsidP="009E441D"/>
    <w:bookmarkEnd w:id="1"/>
    <w:p w14:paraId="5DA0FD22" w14:textId="77777777" w:rsidR="00A63F68" w:rsidRDefault="00A63F68" w:rsidP="00941871"/>
    <w:sectPr w:rsidR="00A63F68" w:rsidSect="00E03E42">
      <w:pgSz w:w="11900" w:h="16840"/>
      <w:pgMar w:top="1338" w:right="1298" w:bottom="278" w:left="1298"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7" w:author="Maja Flegar" w:date="2021-03-04T15:29:00Z" w:initials="MF">
    <w:p w14:paraId="0D7EACA7" w14:textId="34733F58" w:rsidR="00480559" w:rsidRDefault="00480559">
      <w:pPr>
        <w:pStyle w:val="Tekstkomentara"/>
      </w:pPr>
      <w:r>
        <w:rPr>
          <w:rStyle w:val="Referencakomentara"/>
        </w:rPr>
        <w:annotationRef/>
      </w:r>
      <w:r>
        <w:t>Ljubazno molim WYG savjetovanje da doda u fusnotu izvor podataka. Naime ja ne dobivam ove brojeve za 2019./2020. godinu. Za RH prema DZS-u dobivam 146277/439 (prema tablici sa stranice MZO-a)=333, za Sjevernu HR nisam provjeravala jer nisam sigurna što ste koristili kao izvor podataka po županijama…..</w:t>
      </w:r>
    </w:p>
  </w:comment>
  <w:comment w:id="141" w:author="Maja Flegar" w:date="2021-03-17T13:52:00Z" w:initials="MF">
    <w:p w14:paraId="473AF312" w14:textId="4E75776A" w:rsidR="00480559" w:rsidRDefault="00480559">
      <w:pPr>
        <w:pStyle w:val="Tekstkomentara"/>
      </w:pPr>
      <w:r>
        <w:rPr>
          <w:rStyle w:val="Referencakomentara"/>
        </w:rPr>
        <w:annotationRef/>
      </w:r>
      <w:r>
        <w:t>Ljubazno molimo WYG savjetovanje da revidirate odlomak za 2019. godinu usporedba KZŽ, Sjeverna HR i RH kao što ste učinili za 2018. godinu, nama nisu dostupni podaci za druge županije. Dodali smo iz FININE analize odlomak samo za KZŽ u 2019. godini</w:t>
      </w:r>
    </w:p>
  </w:comment>
  <w:comment w:id="142" w:author="Maja Flegar" w:date="2021-03-17T14:38:00Z" w:initials="MF">
    <w:p w14:paraId="477BC04A" w14:textId="4066D838" w:rsidR="00480559" w:rsidRDefault="00480559">
      <w:pPr>
        <w:pStyle w:val="Tekstkomentara"/>
      </w:pPr>
      <w:r>
        <w:rPr>
          <w:rStyle w:val="Referencakomentara"/>
        </w:rPr>
        <w:annotationRef/>
      </w:r>
      <w:r w:rsidRPr="00942A54">
        <w:t>Također ljubazno molimo ako možete ovaj odlomak dopuniti sa informacijama za posljednje 4 godine, nama nisu dostupni podaci u FININOJ analizi za 2019. za ostale županije pa da dopunimo poglavlje.</w:t>
      </w:r>
    </w:p>
  </w:comment>
  <w:comment w:id="144" w:author="Tomislav Keglević" w:date="2021-03-16T13:19:00Z" w:initials="TK">
    <w:p w14:paraId="4101840C" w14:textId="77777777" w:rsidR="00480559" w:rsidRPr="00824022" w:rsidRDefault="00480559" w:rsidP="006254C9">
      <w:pPr>
        <w:pStyle w:val="Tekstkomentara"/>
      </w:pPr>
      <w:r>
        <w:rPr>
          <w:rStyle w:val="Referencakomentara"/>
        </w:rPr>
        <w:annotationRef/>
      </w:r>
      <w:r>
        <w:t xml:space="preserve">@WYG - ZARA ima podatke iz </w:t>
      </w:r>
      <w:r w:rsidRPr="00824022">
        <w:rPr>
          <w:i/>
          <w:iCs/>
        </w:rPr>
        <w:t>Analize financijskih rezultata poslovanja poduzetnika Republike Hrvatske u 2019.</w:t>
      </w:r>
      <w:r>
        <w:rPr>
          <w:i/>
          <w:iCs/>
        </w:rPr>
        <w:t xml:space="preserve"> (</w:t>
      </w:r>
      <w:r w:rsidRPr="00824022">
        <w:rPr>
          <w:i/>
          <w:iCs/>
        </w:rPr>
        <w:t>FINA</w:t>
      </w:r>
      <w:r>
        <w:rPr>
          <w:i/>
          <w:iCs/>
        </w:rPr>
        <w:t>)</w:t>
      </w:r>
      <w:r>
        <w:t>; u tom dokumentu je referenca na drugi dokument s podacima o svim županijama pa molimo da dopunite ovu ćeliju ako imate pristup podacima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D7EACA7" w15:done="0"/>
  <w15:commentEx w15:paraId="473AF312" w15:done="0"/>
  <w15:commentEx w15:paraId="477BC04A" w15:done="0"/>
  <w15:commentEx w15:paraId="410184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3EB7B72" w16cex:dateUtc="2021-03-04T14:29:00Z"/>
  <w16cex:commentExtensible w16cex:durableId="23FC882F" w16cex:dateUtc="2021-03-17T12:52:00Z"/>
  <w16cex:commentExtensible w16cex:durableId="23FC92FB" w16cex:dateUtc="2021-03-17T13:38:00Z"/>
  <w16cex:commentExtensible w16cex:durableId="23FB2EFD" w16cex:dateUtc="2021-03-16T12: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D7EACA7" w16cid:durableId="23EB7B72"/>
  <w16cid:commentId w16cid:paraId="473AF312" w16cid:durableId="23FC882F"/>
  <w16cid:commentId w16cid:paraId="477BC04A" w16cid:durableId="23FC92FB"/>
  <w16cid:commentId w16cid:paraId="4101840C" w16cid:durableId="23FB2EF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26274A" w14:textId="77777777" w:rsidR="004D6C38" w:rsidRDefault="004D6C38" w:rsidP="00AB539A">
      <w:r>
        <w:separator/>
      </w:r>
    </w:p>
  </w:endnote>
  <w:endnote w:type="continuationSeparator" w:id="0">
    <w:p w14:paraId="0B7EA8D0" w14:textId="77777777" w:rsidR="004D6C38" w:rsidRDefault="004D6C38" w:rsidP="00AB53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Narrow">
    <w:altName w:val="MS Gothic"/>
    <w:panose1 w:val="00000000000000000000"/>
    <w:charset w:val="80"/>
    <w:family w:val="auto"/>
    <w:notTrueType/>
    <w:pitch w:val="default"/>
    <w:sig w:usb0="00000005" w:usb1="08070000" w:usb2="00000010" w:usb3="00000000" w:csb0="00020002" w:csb1="00000000"/>
  </w:font>
  <w:font w:name="Calibri">
    <w:panose1 w:val="020F0502020204030204"/>
    <w:charset w:val="EE"/>
    <w:family w:val="swiss"/>
    <w:pitch w:val="variable"/>
    <w:sig w:usb0="E4002EFF" w:usb1="C000247B" w:usb2="00000009" w:usb3="00000000" w:csb0="000001FF" w:csb1="00000000"/>
  </w:font>
  <w:font w:name="Newslab">
    <w:altName w:val="Calibri"/>
    <w:panose1 w:val="00000000000000000000"/>
    <w:charset w:val="00"/>
    <w:family w:val="modern"/>
    <w:notTrueType/>
    <w:pitch w:val="variable"/>
    <w:sig w:usb0="A000002F" w:usb1="5000005B" w:usb2="00000000" w:usb3="00000000" w:csb0="00000093" w:csb1="00000000"/>
  </w:font>
  <w:font w:name="Wingdings 3">
    <w:panose1 w:val="05040102010807070707"/>
    <w:charset w:val="02"/>
    <w:family w:val="roman"/>
    <w:pitch w:val="variable"/>
    <w:sig w:usb0="00000000" w:usb1="10000000" w:usb2="00000000" w:usb3="00000000" w:csb0="80000000" w:csb1="00000000"/>
  </w:font>
  <w:font w:name="ArialNarrow,Bold">
    <w:altName w:val="MS Gothic"/>
    <w:panose1 w:val="00000000000000000000"/>
    <w:charset w:val="80"/>
    <w:family w:val="auto"/>
    <w:notTrueType/>
    <w:pitch w:val="default"/>
    <w:sig w:usb0="00000005" w:usb1="08070000" w:usb2="00000010" w:usb3="00000000" w:csb0="00020002"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Newslab Book">
    <w:altName w:val="Calibri"/>
    <w:panose1 w:val="00000000000000000000"/>
    <w:charset w:val="00"/>
    <w:family w:val="modern"/>
    <w:notTrueType/>
    <w:pitch w:val="variable"/>
    <w:sig w:usb0="A000002F" w:usb1="5000005B" w:usb2="00000000" w:usb3="00000000" w:csb0="00000093" w:csb1="00000000"/>
  </w:font>
  <w:font w:name="Verdana">
    <w:panose1 w:val="020B0604030504040204"/>
    <w:charset w:val="EE"/>
    <w:family w:val="swiss"/>
    <w:pitch w:val="variable"/>
    <w:sig w:usb0="A00006FF" w:usb1="4000205B" w:usb2="00000010" w:usb3="00000000" w:csb0="0000019F" w:csb1="00000000"/>
  </w:font>
  <w:font w:name="Newslab Light">
    <w:altName w:val="Calibri"/>
    <w:panose1 w:val="00000000000000000000"/>
    <w:charset w:val="00"/>
    <w:family w:val="modern"/>
    <w:notTrueType/>
    <w:pitch w:val="variable"/>
    <w:sig w:usb0="A000002F" w:usb1="5000005B" w:usb2="00000000" w:usb3="00000000" w:csb0="00000093" w:csb1="00000000"/>
  </w:font>
  <w:font w:name="Tahoma">
    <w:panose1 w:val="020B0604030504040204"/>
    <w:charset w:val="EE"/>
    <w:family w:val="swiss"/>
    <w:pitch w:val="variable"/>
    <w:sig w:usb0="E1002EFF" w:usb1="C000605B" w:usb2="00000029" w:usb3="00000000" w:csb0="000101FF" w:csb1="00000000"/>
  </w:font>
  <w:font w:name="BrioniPro-Light">
    <w:altName w:val="Cambria"/>
    <w:panose1 w:val="00000000000000000000"/>
    <w:charset w:val="EE"/>
    <w:family w:val="roman"/>
    <w:notTrueType/>
    <w:pitch w:val="default"/>
    <w:sig w:usb0="00000005" w:usb1="00000000" w:usb2="00000000" w:usb3="00000000" w:csb0="00000002" w:csb1="00000000"/>
  </w:font>
  <w:font w:name="EC Square Sans Pro">
    <w:altName w:val="Calibri"/>
    <w:panose1 w:val="00000000000000000000"/>
    <w:charset w:val="00"/>
    <w:family w:val="swiss"/>
    <w:notTrueType/>
    <w:pitch w:val="default"/>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80250575"/>
      <w:docPartObj>
        <w:docPartGallery w:val="Page Numbers (Bottom of Page)"/>
        <w:docPartUnique/>
      </w:docPartObj>
    </w:sdtPr>
    <w:sdtEndPr/>
    <w:sdtContent>
      <w:p w14:paraId="5B72F2F3" w14:textId="20ED8CDC" w:rsidR="00480559" w:rsidRDefault="00480559">
        <w:pPr>
          <w:pStyle w:val="Podnoje"/>
          <w:jc w:val="right"/>
        </w:pPr>
        <w:r>
          <w:fldChar w:fldCharType="begin"/>
        </w:r>
        <w:r>
          <w:instrText>PAGE   \* MERGEFORMAT</w:instrText>
        </w:r>
        <w:r>
          <w:fldChar w:fldCharType="separate"/>
        </w:r>
        <w:r>
          <w:rPr>
            <w:noProof/>
          </w:rPr>
          <w:t>IV</w:t>
        </w:r>
        <w:r>
          <w:fldChar w:fldCharType="end"/>
        </w:r>
      </w:p>
    </w:sdtContent>
  </w:sdt>
  <w:p w14:paraId="72B062B8" w14:textId="533344EA" w:rsidR="00480559" w:rsidRDefault="00480559">
    <w:pPr>
      <w:pStyle w:val="Podnoje"/>
    </w:pPr>
  </w:p>
  <w:tbl>
    <w:tblPr>
      <w:tblStyle w:val="Reetkatablice1"/>
      <w:tblW w:w="11815" w:type="dxa"/>
      <w:tblInd w:w="-13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3"/>
      <w:gridCol w:w="2363"/>
      <w:gridCol w:w="2363"/>
      <w:gridCol w:w="2363"/>
      <w:gridCol w:w="2363"/>
    </w:tblGrid>
    <w:tr w:rsidR="00480559" w:rsidRPr="000B38B8" w14:paraId="69B04817" w14:textId="77777777" w:rsidTr="000B38B8">
      <w:tc>
        <w:tcPr>
          <w:tcW w:w="2363" w:type="dxa"/>
          <w:shd w:val="clear" w:color="auto" w:fill="ED7D31"/>
          <w:hideMark/>
        </w:tcPr>
        <w:p w14:paraId="3F16B017" w14:textId="77777777" w:rsidR="00480559" w:rsidRPr="000B38B8" w:rsidRDefault="00480559" w:rsidP="000B38B8">
          <w:pPr>
            <w:tabs>
              <w:tab w:val="center" w:pos="4536"/>
              <w:tab w:val="right" w:pos="9072"/>
            </w:tabs>
            <w:jc w:val="center"/>
            <w:rPr>
              <w:rFonts w:ascii="Newslab Light" w:eastAsia="Times New Roman" w:hAnsi="Newslab Light"/>
              <w:color w:val="FFFFFF"/>
            </w:rPr>
          </w:pPr>
          <w:r w:rsidRPr="000B38B8">
            <w:rPr>
              <w:rFonts w:ascii="Newslab Light" w:eastAsia="Times New Roman" w:hAnsi="Newslab Light"/>
              <w:color w:val="FFFFFF"/>
            </w:rPr>
            <w:t>LJUDI</w:t>
          </w:r>
        </w:p>
      </w:tc>
      <w:tc>
        <w:tcPr>
          <w:tcW w:w="2363" w:type="dxa"/>
          <w:shd w:val="clear" w:color="auto" w:fill="FBDD03"/>
          <w:hideMark/>
        </w:tcPr>
        <w:p w14:paraId="646E2E1B" w14:textId="77777777" w:rsidR="00480559" w:rsidRPr="000B38B8" w:rsidRDefault="00480559" w:rsidP="000B38B8">
          <w:pPr>
            <w:tabs>
              <w:tab w:val="center" w:pos="4536"/>
              <w:tab w:val="right" w:pos="9072"/>
            </w:tabs>
            <w:jc w:val="center"/>
            <w:rPr>
              <w:rFonts w:ascii="Newslab Light" w:eastAsia="Times New Roman" w:hAnsi="Newslab Light"/>
              <w:color w:val="FFFFFF"/>
            </w:rPr>
          </w:pPr>
          <w:r w:rsidRPr="000B38B8">
            <w:rPr>
              <w:rFonts w:ascii="Newslab Light" w:eastAsia="Times New Roman" w:hAnsi="Newslab Light"/>
              <w:color w:val="FFFFFF"/>
            </w:rPr>
            <w:t>IDEJE</w:t>
          </w:r>
        </w:p>
      </w:tc>
      <w:tc>
        <w:tcPr>
          <w:tcW w:w="2363" w:type="dxa"/>
          <w:shd w:val="clear" w:color="auto" w:fill="00B050"/>
          <w:hideMark/>
        </w:tcPr>
        <w:p w14:paraId="71EBB425" w14:textId="77777777" w:rsidR="00480559" w:rsidRPr="000B38B8" w:rsidRDefault="00480559" w:rsidP="000B38B8">
          <w:pPr>
            <w:tabs>
              <w:tab w:val="center" w:pos="4536"/>
              <w:tab w:val="right" w:pos="9072"/>
            </w:tabs>
            <w:jc w:val="center"/>
            <w:rPr>
              <w:rFonts w:ascii="Newslab Light" w:eastAsia="Times New Roman" w:hAnsi="Newslab Light"/>
              <w:color w:val="FFFFFF"/>
            </w:rPr>
          </w:pPr>
          <w:r w:rsidRPr="000B38B8">
            <w:rPr>
              <w:rFonts w:ascii="Newslab Light" w:eastAsia="Times New Roman" w:hAnsi="Newslab Light"/>
              <w:color w:val="FFFFFF"/>
            </w:rPr>
            <w:t>OKOLIŠ</w:t>
          </w:r>
        </w:p>
      </w:tc>
      <w:tc>
        <w:tcPr>
          <w:tcW w:w="2363" w:type="dxa"/>
          <w:shd w:val="clear" w:color="auto" w:fill="00B0F0"/>
          <w:hideMark/>
        </w:tcPr>
        <w:p w14:paraId="7A6AF6AF" w14:textId="77777777" w:rsidR="00480559" w:rsidRPr="000B38B8" w:rsidRDefault="00480559" w:rsidP="000B38B8">
          <w:pPr>
            <w:tabs>
              <w:tab w:val="center" w:pos="4536"/>
              <w:tab w:val="right" w:pos="9072"/>
            </w:tabs>
            <w:jc w:val="center"/>
            <w:rPr>
              <w:rFonts w:ascii="Newslab Light" w:eastAsia="Times New Roman" w:hAnsi="Newslab Light"/>
              <w:color w:val="FFFFFF"/>
            </w:rPr>
          </w:pPr>
          <w:r w:rsidRPr="000B38B8">
            <w:rPr>
              <w:rFonts w:ascii="Newslab Light" w:eastAsia="Times New Roman" w:hAnsi="Newslab Light"/>
              <w:color w:val="FFFFFF"/>
            </w:rPr>
            <w:t>GOSPODARSTVO</w:t>
          </w:r>
        </w:p>
      </w:tc>
      <w:tc>
        <w:tcPr>
          <w:tcW w:w="2363" w:type="dxa"/>
          <w:shd w:val="clear" w:color="auto" w:fill="C00000"/>
          <w:hideMark/>
        </w:tcPr>
        <w:p w14:paraId="74869287" w14:textId="77777777" w:rsidR="00480559" w:rsidRPr="000B38B8" w:rsidRDefault="00480559" w:rsidP="000B38B8">
          <w:pPr>
            <w:tabs>
              <w:tab w:val="center" w:pos="4536"/>
              <w:tab w:val="right" w:pos="9072"/>
            </w:tabs>
            <w:jc w:val="center"/>
            <w:rPr>
              <w:rFonts w:ascii="Newslab Light" w:eastAsia="Times New Roman" w:hAnsi="Newslab Light"/>
              <w:color w:val="FFFFFF"/>
            </w:rPr>
          </w:pPr>
          <w:r w:rsidRPr="000B38B8">
            <w:rPr>
              <w:rFonts w:ascii="Newslab Light" w:eastAsia="Times New Roman" w:hAnsi="Newslab Light"/>
              <w:color w:val="FFFFFF"/>
            </w:rPr>
            <w:t>TRADICIJA</w:t>
          </w:r>
        </w:p>
      </w:tc>
    </w:tr>
  </w:tbl>
  <w:p w14:paraId="70E7A331" w14:textId="77777777" w:rsidR="00480559" w:rsidRDefault="00480559">
    <w:pPr>
      <w:pStyle w:val="Podnoj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88097862"/>
      <w:docPartObj>
        <w:docPartGallery w:val="Page Numbers (Bottom of Page)"/>
        <w:docPartUnique/>
      </w:docPartObj>
    </w:sdtPr>
    <w:sdtEndPr/>
    <w:sdtContent>
      <w:p w14:paraId="7C4A0853" w14:textId="4D4168A5" w:rsidR="00480559" w:rsidRDefault="00480559">
        <w:pPr>
          <w:pStyle w:val="Podnoje"/>
          <w:jc w:val="right"/>
        </w:pPr>
        <w:r>
          <w:fldChar w:fldCharType="begin"/>
        </w:r>
        <w:r>
          <w:instrText>PAGE   \* MERGEFORMAT</w:instrText>
        </w:r>
        <w:r>
          <w:fldChar w:fldCharType="separate"/>
        </w:r>
        <w:r>
          <w:rPr>
            <w:noProof/>
          </w:rPr>
          <w:t>68</w:t>
        </w:r>
        <w:r>
          <w:fldChar w:fldCharType="end"/>
        </w:r>
      </w:p>
    </w:sdtContent>
  </w:sdt>
  <w:p w14:paraId="60AE1B3A" w14:textId="77777777" w:rsidR="00480559" w:rsidRDefault="00480559">
    <w:pPr>
      <w:pStyle w:val="Podnoje"/>
    </w:pPr>
  </w:p>
  <w:p w14:paraId="2EA58602" w14:textId="77777777" w:rsidR="00480559" w:rsidRDefault="00480559"/>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5905137"/>
      <w:docPartObj>
        <w:docPartGallery w:val="Page Numbers (Bottom of Page)"/>
        <w:docPartUnique/>
      </w:docPartObj>
    </w:sdtPr>
    <w:sdtEndPr/>
    <w:sdtContent>
      <w:p w14:paraId="22AB8CE8" w14:textId="6A3CAA9D" w:rsidR="00480559" w:rsidRDefault="00480559">
        <w:pPr>
          <w:pStyle w:val="Podnoje"/>
          <w:jc w:val="right"/>
        </w:pPr>
        <w:r>
          <w:fldChar w:fldCharType="begin"/>
        </w:r>
        <w:r>
          <w:instrText>PAGE   \* MERGEFORMAT</w:instrText>
        </w:r>
        <w:r>
          <w:fldChar w:fldCharType="separate"/>
        </w:r>
        <w:r>
          <w:rPr>
            <w:noProof/>
          </w:rPr>
          <w:t>185</w:t>
        </w:r>
        <w:r>
          <w:fldChar w:fldCharType="end"/>
        </w:r>
      </w:p>
    </w:sdtContent>
  </w:sdt>
  <w:p w14:paraId="573D9EE3" w14:textId="77777777" w:rsidR="00480559" w:rsidRDefault="00480559">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1461AE" w14:textId="77777777" w:rsidR="004D6C38" w:rsidRDefault="004D6C38" w:rsidP="00AB539A">
      <w:r>
        <w:separator/>
      </w:r>
    </w:p>
  </w:footnote>
  <w:footnote w:type="continuationSeparator" w:id="0">
    <w:p w14:paraId="2BF53B46" w14:textId="77777777" w:rsidR="004D6C38" w:rsidRDefault="004D6C38" w:rsidP="00AB539A">
      <w:r>
        <w:continuationSeparator/>
      </w:r>
    </w:p>
  </w:footnote>
  <w:footnote w:id="1">
    <w:p w14:paraId="18F05B3E" w14:textId="6C4C0C3D" w:rsidR="00480559" w:rsidRDefault="00480559" w:rsidP="00534B76">
      <w:pPr>
        <w:pStyle w:val="Tekstfusnote"/>
        <w:jc w:val="left"/>
      </w:pPr>
      <w:r>
        <w:rPr>
          <w:rStyle w:val="Referencafusnote"/>
        </w:rPr>
        <w:footnoteRef/>
      </w:r>
      <w:r w:rsidRPr="00025290">
        <w:t>https://krapinsko-zagorska-policija.gov.hr/UserDocsImages/PU_KZ/Vijesti%202019/Godi%C5%A1nje%20izvje%C5%A1%C4%87e%20o%20kretanju%20sigurnosnih%20pokazatelja%20u%202019.%20godini..pdf</w:t>
      </w:r>
    </w:p>
  </w:footnote>
  <w:footnote w:id="2">
    <w:p w14:paraId="5E1A071F" w14:textId="77777777" w:rsidR="00480559" w:rsidRDefault="00480559" w:rsidP="009348B2">
      <w:pPr>
        <w:pStyle w:val="Tekstfusnote"/>
      </w:pPr>
      <w:r>
        <w:rPr>
          <w:rStyle w:val="Referencafusnote"/>
        </w:rPr>
        <w:footnoteRef/>
      </w:r>
      <w:r>
        <w:t xml:space="preserve"> </w:t>
      </w:r>
      <w:hyperlink r:id="rId1" w:history="1">
        <w:r w:rsidRPr="00A86108">
          <w:rPr>
            <w:rStyle w:val="Hiperveza"/>
          </w:rPr>
          <w:t>https://ec.europa.eu/croatia/smart_city_in_Croatia_hr</w:t>
        </w:r>
      </w:hyperlink>
      <w:r>
        <w:t xml:space="preserve"> (datum pristupa: 04.12..2020.)</w:t>
      </w:r>
    </w:p>
  </w:footnote>
  <w:footnote w:id="3">
    <w:p w14:paraId="15316B83" w14:textId="77777777" w:rsidR="00480559" w:rsidRPr="00FD7D11" w:rsidRDefault="00480559" w:rsidP="009348B2">
      <w:pPr>
        <w:pStyle w:val="Tekstfusnote"/>
        <w:rPr>
          <w:rStyle w:val="Hiperveza"/>
          <w:rFonts w:eastAsiaTheme="majorEastAsia"/>
        </w:rPr>
      </w:pPr>
      <w:r>
        <w:rPr>
          <w:rStyle w:val="Referencafusnote"/>
        </w:rPr>
        <w:footnoteRef/>
      </w:r>
      <w:r>
        <w:t xml:space="preserve"> </w:t>
      </w:r>
      <w:r w:rsidRPr="00FD7D11">
        <w:rPr>
          <w:rStyle w:val="Hiperveza"/>
          <w:rFonts w:eastAsiaTheme="majorEastAsia"/>
        </w:rPr>
        <w:t>http://www.kzz.hr/sadrzaj/natjecaji/javni-uvid-rudarsko-geoloske-studije-kzz/KZZ_Rudarsko_geoloska_studija.pdf</w:t>
      </w:r>
    </w:p>
  </w:footnote>
  <w:footnote w:id="4">
    <w:p w14:paraId="23F638A3" w14:textId="77777777" w:rsidR="00480559" w:rsidRDefault="00480559" w:rsidP="009348B2">
      <w:pPr>
        <w:pStyle w:val="Tekstfusnote"/>
      </w:pPr>
      <w:r>
        <w:rPr>
          <w:rStyle w:val="Referencafusnote"/>
        </w:rPr>
        <w:footnoteRef/>
      </w:r>
      <w:r>
        <w:t xml:space="preserve"> </w:t>
      </w:r>
      <w:hyperlink r:id="rId2" w:history="1">
        <w:r w:rsidRPr="00FD7D11">
          <w:rPr>
            <w:rStyle w:val="Hiperveza"/>
            <w:rFonts w:eastAsiaTheme="majorEastAsia"/>
          </w:rPr>
          <w:t>http://www.revizija.hr/datastore/filestore/99/krapinsko-zagorska_zupanija.pdf</w:t>
        </w:r>
      </w:hyperlink>
    </w:p>
  </w:footnote>
  <w:footnote w:id="5">
    <w:p w14:paraId="4B0A368D" w14:textId="77777777" w:rsidR="00480559" w:rsidRDefault="00480559" w:rsidP="009348B2">
      <w:pPr>
        <w:pStyle w:val="Tekstfusnote"/>
      </w:pPr>
      <w:r>
        <w:rPr>
          <w:rStyle w:val="Referencafusnote"/>
        </w:rPr>
        <w:footnoteRef/>
      </w:r>
      <w:r>
        <w:t xml:space="preserve"> https://www.hrsume.hr/index.php/hr/34-sume/sume1/44-sume</w:t>
      </w:r>
    </w:p>
  </w:footnote>
  <w:footnote w:id="6">
    <w:p w14:paraId="705290F7" w14:textId="4E6A9A29" w:rsidR="00480559" w:rsidRDefault="00480559" w:rsidP="009348B2">
      <w:pPr>
        <w:pStyle w:val="Tekstfusnote"/>
      </w:pPr>
      <w:r>
        <w:rPr>
          <w:rStyle w:val="Referencafusnote"/>
        </w:rPr>
        <w:footnoteRef/>
      </w:r>
      <w:r>
        <w:t xml:space="preserve"> </w:t>
      </w:r>
      <w:hyperlink r:id="rId3" w:history="1">
        <w:r w:rsidRPr="00550EED">
          <w:rPr>
            <w:rStyle w:val="Hiperveza"/>
          </w:rPr>
          <w:t>https://www.zagorje-priroda.hr/zasticena-podrucja/</w:t>
        </w:r>
      </w:hyperlink>
      <w:r>
        <w:t xml:space="preserve"> </w:t>
      </w:r>
    </w:p>
  </w:footnote>
  <w:footnote w:id="7">
    <w:p w14:paraId="58F54A21" w14:textId="7F1F50D1" w:rsidR="00480559" w:rsidRDefault="00480559" w:rsidP="009348B2">
      <w:pPr>
        <w:pStyle w:val="Tekstfusnote"/>
      </w:pPr>
      <w:r>
        <w:rPr>
          <w:rStyle w:val="Referencafusnote"/>
        </w:rPr>
        <w:footnoteRef/>
      </w:r>
      <w:r>
        <w:t xml:space="preserve"> Informacije iz publikacije Zagorje zeleno korištene su u svrhu izrade poglavlja 2.3. i 2.4. Publikacija je javno dostupna na stranici Javne ustanove (</w:t>
      </w:r>
      <w:hyperlink r:id="rId4" w:history="1">
        <w:r w:rsidRPr="00D45FD9">
          <w:rPr>
            <w:rStyle w:val="Hiperveza"/>
          </w:rPr>
          <w:t>https://www.zagorje-priroda.hr/publikacija/knjiga-zagorje-zeleno/</w:t>
        </w:r>
      </w:hyperlink>
      <w:r>
        <w:t xml:space="preserve"> )</w:t>
      </w:r>
    </w:p>
  </w:footnote>
  <w:footnote w:id="8">
    <w:p w14:paraId="24B4C93A" w14:textId="66BF4CF6" w:rsidR="00480559" w:rsidRDefault="00480559">
      <w:pPr>
        <w:pStyle w:val="Tekstfusnote"/>
      </w:pPr>
      <w:r>
        <w:rPr>
          <w:rStyle w:val="Referencafusnote"/>
        </w:rPr>
        <w:footnoteRef/>
      </w:r>
      <w:r>
        <w:t xml:space="preserve"> Statistika u nizu: Transport-pregled po županijama, DZS (objavljeno 02.07.2021.)</w:t>
      </w:r>
    </w:p>
  </w:footnote>
  <w:footnote w:id="9">
    <w:p w14:paraId="57BD87F5" w14:textId="32206FA2" w:rsidR="00480559" w:rsidRDefault="00480559">
      <w:pPr>
        <w:pStyle w:val="Tekstfusnote"/>
      </w:pPr>
      <w:r>
        <w:rPr>
          <w:rStyle w:val="Referencafusnote"/>
        </w:rPr>
        <w:footnoteRef/>
      </w:r>
      <w:r>
        <w:t xml:space="preserve"> </w:t>
      </w:r>
      <w:r w:rsidRPr="003764BE">
        <w:t>Master plana prometnog sustava Grada Zagreba, Zagrebačke županije i Krapinsko-zagorske županije, veljača 2020.</w:t>
      </w:r>
    </w:p>
  </w:footnote>
  <w:footnote w:id="10">
    <w:p w14:paraId="19F78A08" w14:textId="77777777" w:rsidR="00480559" w:rsidRDefault="00480559" w:rsidP="00FD1143">
      <w:pPr>
        <w:pStyle w:val="Tekstfusnote"/>
      </w:pPr>
      <w:r>
        <w:rPr>
          <w:rStyle w:val="Referencafusnote"/>
        </w:rPr>
        <w:footnoteRef/>
      </w:r>
      <w:r>
        <w:t xml:space="preserve"> </w:t>
      </w:r>
      <w:r w:rsidRPr="001F69C4">
        <w:rPr>
          <w:bCs/>
        </w:rPr>
        <w:t>Master plana prometnog sustava Grada Zagreba, Zagrebačke županije i Krapinsko-zagorske županije, veljača 2020.</w:t>
      </w:r>
    </w:p>
  </w:footnote>
  <w:footnote w:id="11">
    <w:p w14:paraId="136667FA" w14:textId="77777777" w:rsidR="00480559" w:rsidRDefault="00480559" w:rsidP="003E6C76">
      <w:pPr>
        <w:pStyle w:val="Tekstfusnote"/>
      </w:pPr>
      <w:r>
        <w:rPr>
          <w:rStyle w:val="Referencafusnote"/>
        </w:rPr>
        <w:footnoteRef/>
      </w:r>
      <w:r>
        <w:t xml:space="preserve"> Podaci preuzeti iz: Indeks digitalnoga gospodarstva i društva (DESI). Izvješće za državu članicu za 2019. Hrvatska. Europska komisija (dostupno na: </w:t>
      </w:r>
      <w:hyperlink r:id="rId5" w:history="1">
        <w:r>
          <w:rPr>
            <w:rStyle w:val="Hiperveza"/>
          </w:rPr>
          <w:t>https://mmpi.gov.hr/UserDocsImages/dokumenti/PROMET/Promet%206_19/DESI2019-Croatia-Country-Report%20HR%2011-6_19.pdf</w:t>
        </w:r>
      </w:hyperlink>
      <w:r>
        <w:t xml:space="preserve">) </w:t>
      </w:r>
    </w:p>
  </w:footnote>
  <w:footnote w:id="12">
    <w:p w14:paraId="5AAF9751" w14:textId="77777777" w:rsidR="00480559" w:rsidRDefault="00480559" w:rsidP="003E6C76">
      <w:pPr>
        <w:pStyle w:val="Tekstfusnote"/>
      </w:pPr>
      <w:r>
        <w:rPr>
          <w:rStyle w:val="Referencafusnote"/>
        </w:rPr>
        <w:footnoteRef/>
      </w:r>
      <w:r>
        <w:t xml:space="preserve"> Analiza gospodarskih kretanja u Krapinsko-zagorskoj županiji. Upravni odjel za gospodarstvo, poljoprivredu, promet i komunalnu infrastrukturu, srpanj 2019.</w:t>
      </w:r>
    </w:p>
  </w:footnote>
  <w:footnote w:id="13">
    <w:p w14:paraId="2756DFC8" w14:textId="58C72895" w:rsidR="00480559" w:rsidRDefault="00480559">
      <w:pPr>
        <w:pStyle w:val="Tekstfusnote"/>
      </w:pPr>
      <w:r>
        <w:rPr>
          <w:rStyle w:val="Referencafusnote"/>
        </w:rPr>
        <w:footnoteRef/>
      </w:r>
      <w:r>
        <w:t xml:space="preserve"> </w:t>
      </w:r>
      <w:r w:rsidRPr="00AA71DD">
        <w:t>Strategija digitalne transformacije Krapinsko-zagorske županije, Zagorska razvojna agencija, Dokument izrađen u razdoblju: 7/2020-12/2020 (</w:t>
      </w:r>
      <w:hyperlink r:id="rId6" w:history="1">
        <w:r w:rsidRPr="00AA71DD">
          <w:rPr>
            <w:rStyle w:val="Hiperveza"/>
          </w:rPr>
          <w:t>https://drive.google.com/file/d/1W5Qf07Q0YOCJIN0kF28p5Wns6HM3qNvR/view</w:t>
        </w:r>
      </w:hyperlink>
      <w:r w:rsidRPr="00AA71DD">
        <w:t xml:space="preserve"> )</w:t>
      </w:r>
    </w:p>
  </w:footnote>
  <w:footnote w:id="14">
    <w:p w14:paraId="56ED7633" w14:textId="6050F6D4" w:rsidR="00480559" w:rsidRDefault="00480559" w:rsidP="005556BB">
      <w:pPr>
        <w:pStyle w:val="Tekstfusnote"/>
      </w:pPr>
      <w:r>
        <w:rPr>
          <w:rStyle w:val="Referencafusnote"/>
        </w:rPr>
        <w:footnoteRef/>
      </w:r>
      <w:r>
        <w:t xml:space="preserve"> </w:t>
      </w:r>
      <w:r w:rsidRPr="005556BB">
        <w:t>Statističke informacije , 2020.</w:t>
      </w:r>
      <w:r>
        <w:t>; Prema popisu 2011. godine na razini RH, čak 48% je izjavilo da ne koristi internet. Obzirom da je sada na razini RH ta brojka pala ispod 20%, treba zaključiti kako su i pojedinačni popisi za korištenje Interneta i digitalnih alata značajno porasli u odnosu na 2011. godinu.</w:t>
      </w:r>
    </w:p>
  </w:footnote>
  <w:footnote w:id="15">
    <w:p w14:paraId="5A7A5772" w14:textId="1E5E38D8" w:rsidR="00480559" w:rsidRDefault="00480559">
      <w:pPr>
        <w:pStyle w:val="Tekstfusnote"/>
      </w:pPr>
      <w:r>
        <w:rPr>
          <w:rStyle w:val="Referencafusnote"/>
        </w:rPr>
        <w:footnoteRef/>
      </w:r>
      <w:r>
        <w:t xml:space="preserve"> HGK</w:t>
      </w:r>
    </w:p>
  </w:footnote>
  <w:footnote w:id="16">
    <w:p w14:paraId="53125147" w14:textId="3599ED92" w:rsidR="00480559" w:rsidRDefault="00480559" w:rsidP="00281022">
      <w:pPr>
        <w:pStyle w:val="Tekstfusnote"/>
      </w:pPr>
      <w:r>
        <w:rPr>
          <w:rStyle w:val="Referencafusnote"/>
        </w:rPr>
        <w:footnoteRef/>
      </w:r>
      <w:r>
        <w:t xml:space="preserve"> </w:t>
      </w:r>
      <w:bookmarkStart w:id="58" w:name="_Hlk75350063"/>
      <w:r>
        <w:t>Strategija digitalne transformacije Krapinsko-zagorske županije, Zagorska razvojna agencija, Dokument izrađen u razdoblju: 7/2020-12/2020 (</w:t>
      </w:r>
      <w:hyperlink r:id="rId7" w:history="1">
        <w:r w:rsidRPr="00D62E1B">
          <w:rPr>
            <w:rStyle w:val="Hiperveza"/>
          </w:rPr>
          <w:t>https://drive.google.com/file/d/1W5Qf07Q0YOCJIN0kF28p5Wns6HM3qNvR/view</w:t>
        </w:r>
      </w:hyperlink>
      <w:r>
        <w:t xml:space="preserve"> )</w:t>
      </w:r>
      <w:bookmarkEnd w:id="58"/>
    </w:p>
  </w:footnote>
  <w:footnote w:id="17">
    <w:p w14:paraId="1D4CF2CB" w14:textId="77777777" w:rsidR="00480559" w:rsidRDefault="00480559" w:rsidP="003E6C76">
      <w:pPr>
        <w:pStyle w:val="Tekstfusnote"/>
      </w:pPr>
      <w:r>
        <w:rPr>
          <w:rStyle w:val="Referencafusnote"/>
        </w:rPr>
        <w:footnoteRef/>
      </w:r>
      <w:r>
        <w:t xml:space="preserve"> </w:t>
      </w:r>
      <w:r w:rsidRPr="004C3C23">
        <w:t>U sklopu analize digitalne spremnosti Krapinsko-zagorske županije provedena je i analiza spremnosti ustanova koj</w:t>
      </w:r>
      <w:r>
        <w:t>e</w:t>
      </w:r>
      <w:r w:rsidRPr="004C3C23">
        <w:t xml:space="preserve"> izravno surađuju sa Županijom</w:t>
      </w:r>
      <w:r>
        <w:t xml:space="preserve"> (</w:t>
      </w:r>
      <w:r w:rsidRPr="00283589">
        <w:rPr>
          <w:rFonts w:ascii="Calibri" w:hAnsi="Calibri" w:cs="Calibri"/>
        </w:rPr>
        <w:t> </w:t>
      </w:r>
      <w:r w:rsidRPr="00283589">
        <w:t>Integrirani promet zagrebačkog područja Zagreb d.o.o.</w:t>
      </w:r>
      <w:r w:rsidRPr="00283589">
        <w:rPr>
          <w:rFonts w:ascii="Calibri" w:hAnsi="Calibri" w:cs="Calibri"/>
        </w:rPr>
        <w:t> </w:t>
      </w:r>
      <w:r>
        <w:t xml:space="preserve">, zagorska razvojna agencija, </w:t>
      </w:r>
      <w:r w:rsidRPr="00283589">
        <w:t>Javna ustanova za upravljanje zaštićenim dijelovima prirode Krapinsko-zagorske Županije</w:t>
      </w:r>
      <w:r w:rsidRPr="00283589">
        <w:rPr>
          <w:rFonts w:ascii="Calibri" w:hAnsi="Calibri" w:cs="Calibri"/>
        </w:rPr>
        <w:t> </w:t>
      </w:r>
      <w:r>
        <w:t>,</w:t>
      </w:r>
      <w:r w:rsidRPr="00283589">
        <w:rPr>
          <w:rFonts w:ascii="Arial" w:hAnsi="Arial" w:cs="Arial"/>
          <w:color w:val="000000"/>
          <w:sz w:val="18"/>
          <w:szCs w:val="18"/>
          <w:shd w:val="clear" w:color="auto" w:fill="FFFFFF"/>
        </w:rPr>
        <w:t xml:space="preserve"> </w:t>
      </w:r>
      <w:r w:rsidRPr="00283589">
        <w:t>Ljekarna Krapinsko-zagorske Županije</w:t>
      </w:r>
      <w:r w:rsidRPr="00283589">
        <w:rPr>
          <w:rFonts w:ascii="Calibri" w:hAnsi="Calibri" w:cs="Calibri"/>
        </w:rPr>
        <w:t> </w:t>
      </w:r>
      <w:r>
        <w:t xml:space="preserve">, </w:t>
      </w:r>
      <w:r w:rsidRPr="00803121">
        <w:t>Regionalna energetska agencija Sjeverozapadne Hrvatske</w:t>
      </w:r>
      <w:r w:rsidRPr="00803121">
        <w:rPr>
          <w:rFonts w:ascii="Calibri" w:hAnsi="Calibri" w:cs="Calibri"/>
        </w:rPr>
        <w:t> </w:t>
      </w:r>
      <w:r>
        <w:t xml:space="preserve">, </w:t>
      </w:r>
      <w:r w:rsidRPr="00803121">
        <w:t>Zavod za javno zdravstvo Krapinsko-zagorske županije</w:t>
      </w:r>
      <w:r w:rsidRPr="00803121">
        <w:rPr>
          <w:rFonts w:ascii="Calibri" w:hAnsi="Calibri" w:cs="Calibri"/>
        </w:rPr>
        <w:t> </w:t>
      </w:r>
      <w:r>
        <w:t xml:space="preserve">, </w:t>
      </w:r>
      <w:r w:rsidRPr="00803121">
        <w:t>Zavod za prostorno uređenje Krapinsko-zagorske županije</w:t>
      </w:r>
      <w:r w:rsidRPr="00803121">
        <w:rPr>
          <w:rFonts w:ascii="Calibri" w:hAnsi="Calibri" w:cs="Calibri"/>
        </w:rPr>
        <w:t> </w:t>
      </w:r>
      <w:r>
        <w:t xml:space="preserve">, </w:t>
      </w:r>
      <w:r w:rsidRPr="003A5DD3">
        <w:t>Specijalna bolnica za medicinsku rehabilitaciju Stubičke Toplice</w:t>
      </w:r>
      <w:r w:rsidRPr="003A5DD3">
        <w:rPr>
          <w:rFonts w:ascii="Calibri" w:hAnsi="Calibri" w:cs="Calibri"/>
        </w:rPr>
        <w:t> </w:t>
      </w:r>
    </w:p>
  </w:footnote>
  <w:footnote w:id="18">
    <w:p w14:paraId="00951077" w14:textId="3C7A61BF" w:rsidR="00480559" w:rsidRDefault="00480559" w:rsidP="009348B2">
      <w:pPr>
        <w:pStyle w:val="Tekstfusnote"/>
      </w:pPr>
      <w:r>
        <w:rPr>
          <w:rStyle w:val="Referencafusnote"/>
        </w:rPr>
        <w:footnoteRef/>
      </w:r>
      <w:r>
        <w:t xml:space="preserve"> DZS – Procjene stanovništva Republike Hrvatske u 2019., </w:t>
      </w:r>
      <w:r w:rsidRPr="006104BD">
        <w:t>https://www.dzs.hr/Hrv_Eng/publication/2020/07-01-03_01_2020.htm</w:t>
      </w:r>
    </w:p>
  </w:footnote>
  <w:footnote w:id="19">
    <w:p w14:paraId="151B9D5A" w14:textId="77777777" w:rsidR="00480559" w:rsidRDefault="00480559" w:rsidP="009348B2">
      <w:pPr>
        <w:pStyle w:val="Tekstfusnote"/>
      </w:pPr>
      <w:r w:rsidRPr="004935F8">
        <w:rPr>
          <w:rStyle w:val="Referencafusnote"/>
        </w:rPr>
        <w:footnoteRef/>
      </w:r>
      <w:r w:rsidRPr="004935F8">
        <w:t xml:space="preserve"> Prema nacionalnoj klasifikaciji statističkih regija 2021., statistička regija 2. razine (HR NUTS 2) Sjeverna Hrvatska obuhvaća sljedeće županije: Međimurska županija, Varaždinska županija, Koprivničko-križevačka županija, Krapinsko-zagorska županija, Zagrebačka županija. </w:t>
      </w:r>
      <w:hyperlink r:id="rId8" w:history="1">
        <w:r w:rsidRPr="004935F8">
          <w:rPr>
            <w:rStyle w:val="Hiperveza"/>
          </w:rPr>
          <w:t>https://narodne-novine.nn.hr/clanci/sluzbeni/2019_12_125_2507.html</w:t>
        </w:r>
      </w:hyperlink>
      <w:r w:rsidRPr="004935F8">
        <w:t xml:space="preserve"> </w:t>
      </w:r>
    </w:p>
  </w:footnote>
  <w:footnote w:id="20">
    <w:p w14:paraId="2048C159" w14:textId="5CF7B545" w:rsidR="00480559" w:rsidRPr="004935F8" w:rsidRDefault="00480559" w:rsidP="009348B2">
      <w:pPr>
        <w:pStyle w:val="Tekstfusnote"/>
        <w:rPr>
          <w:b/>
          <w:bCs/>
        </w:rPr>
      </w:pPr>
      <w:r w:rsidRPr="4E193667">
        <w:rPr>
          <w:rStyle w:val="Referencafusnote"/>
        </w:rPr>
        <w:footnoteRef/>
      </w:r>
      <w:r w:rsidRPr="004935F8">
        <w:t xml:space="preserve"> </w:t>
      </w:r>
      <w:r>
        <w:t xml:space="preserve"> </w:t>
      </w:r>
      <w:hyperlink r:id="rId9" w:history="1">
        <w:r w:rsidRPr="00D45FD9">
          <w:rPr>
            <w:rStyle w:val="Hiperveza"/>
          </w:rPr>
          <w:t>https://www.dzs.hr/Hrv_Eng/publication/2020/07-01-03_01_2020.htm</w:t>
        </w:r>
      </w:hyperlink>
      <w:r>
        <w:t xml:space="preserve"> </w:t>
      </w:r>
    </w:p>
  </w:footnote>
  <w:footnote w:id="21">
    <w:p w14:paraId="56638D00" w14:textId="36D872CE" w:rsidR="00480559" w:rsidRDefault="00480559" w:rsidP="009348B2">
      <w:pPr>
        <w:pStyle w:val="Tekstfusnote"/>
      </w:pPr>
      <w:r w:rsidRPr="00214FA3">
        <w:rPr>
          <w:rStyle w:val="Referencafusnote"/>
          <w:szCs w:val="20"/>
        </w:rPr>
        <w:footnoteRef/>
      </w:r>
      <w:r w:rsidRPr="00214FA3">
        <w:t xml:space="preserve"> </w:t>
      </w:r>
      <w:r w:rsidRPr="00C27EEF">
        <w:t>https://www.dzs.hr/Hrv_Eng/publication/2020/07-01-01_01_2020.htm</w:t>
      </w:r>
    </w:p>
  </w:footnote>
  <w:footnote w:id="22">
    <w:p w14:paraId="2B4B7195" w14:textId="77777777" w:rsidR="00480559" w:rsidRPr="004935F8" w:rsidRDefault="00480559" w:rsidP="009348B2">
      <w:pPr>
        <w:pStyle w:val="Tekstfusnote"/>
      </w:pPr>
      <w:r w:rsidRPr="004935F8">
        <w:rPr>
          <w:rStyle w:val="Referencafusnote"/>
          <w:szCs w:val="16"/>
        </w:rPr>
        <w:footnoteRef/>
      </w:r>
      <w:r>
        <w:t xml:space="preserve"> </w:t>
      </w:r>
      <w:hyperlink r:id="rId10" w:history="1">
        <w:r w:rsidRPr="004935F8">
          <w:rPr>
            <w:rStyle w:val="Hiperveza"/>
            <w:szCs w:val="16"/>
          </w:rPr>
          <w:t>https://www.dzs.hr/Hrv_Eng/publication/2019/07-01-01_01_2019.htm</w:t>
        </w:r>
      </w:hyperlink>
      <w:r w:rsidRPr="004935F8">
        <w:t xml:space="preserve"> </w:t>
      </w:r>
    </w:p>
  </w:footnote>
  <w:footnote w:id="23">
    <w:p w14:paraId="140DBADF" w14:textId="77777777" w:rsidR="00480559" w:rsidRDefault="00480559" w:rsidP="009348B2">
      <w:pPr>
        <w:pStyle w:val="Tekstfusnote"/>
        <w:rPr>
          <w:sz w:val="20"/>
          <w:szCs w:val="20"/>
        </w:rPr>
      </w:pPr>
      <w:r>
        <w:rPr>
          <w:rStyle w:val="Referencafusnote"/>
        </w:rPr>
        <w:footnoteRef/>
      </w:r>
      <w:r>
        <w:t xml:space="preserve"> </w:t>
      </w:r>
      <w:r w:rsidRPr="00C27EEF">
        <w:t>https://www.hzjz.hr/wp-content/uploads/2020/08/Prirodno_kretanje_2019_030920.pdf</w:t>
      </w:r>
    </w:p>
  </w:footnote>
  <w:footnote w:id="24">
    <w:p w14:paraId="7A841602" w14:textId="5EED513E" w:rsidR="00480559" w:rsidRPr="00214FA3" w:rsidRDefault="00480559" w:rsidP="009348B2">
      <w:pPr>
        <w:pStyle w:val="Tekstfusnote"/>
      </w:pPr>
      <w:r>
        <w:rPr>
          <w:rStyle w:val="Referencafusnote"/>
        </w:rPr>
        <w:footnoteRef/>
      </w:r>
      <w:r w:rsidRPr="4E193667">
        <w:rPr>
          <w:rStyle w:val="Hiperveza"/>
        </w:rPr>
        <w:t xml:space="preserve"> </w:t>
      </w:r>
      <w:hyperlink r:id="rId11">
        <w:r w:rsidRPr="4E193667">
          <w:rPr>
            <w:rStyle w:val="Hiperveza"/>
          </w:rPr>
          <w:t>https://www.dzs.hr/Hrv_Eng/publication/2019/07-01-03_01_2019.htm</w:t>
        </w:r>
      </w:hyperlink>
      <w:r w:rsidRPr="4E193667">
        <w:t xml:space="preserve">; </w:t>
      </w:r>
      <w:r>
        <w:t>https://www.dzs.hr/Hrv_Eng/publication/2020/07-01-03_01_2020.htm</w:t>
      </w:r>
    </w:p>
  </w:footnote>
  <w:footnote w:id="25">
    <w:p w14:paraId="271C2E2F" w14:textId="65D5669C" w:rsidR="00480559" w:rsidRDefault="00480559" w:rsidP="009348B2">
      <w:pPr>
        <w:pStyle w:val="Tekstfusnote"/>
      </w:pPr>
      <w:r>
        <w:rPr>
          <w:rStyle w:val="Referencafusnote"/>
        </w:rPr>
        <w:footnoteRef/>
      </w:r>
      <w:r>
        <w:t xml:space="preserve"> </w:t>
      </w:r>
      <w:hyperlink r:id="rId12" w:history="1">
        <w:r w:rsidRPr="000A2FC4">
          <w:rPr>
            <w:rStyle w:val="Hiperveza"/>
          </w:rPr>
          <w:t>https://www.dzs.hr/Hrv_Eng/Projections/projekcije_stanovnistva_2010-2061.pdf</w:t>
        </w:r>
      </w:hyperlink>
      <w:r>
        <w:t xml:space="preserve"> </w:t>
      </w:r>
    </w:p>
  </w:footnote>
  <w:footnote w:id="26">
    <w:p w14:paraId="2489A718" w14:textId="0890A6E4" w:rsidR="00480559" w:rsidRDefault="00480559" w:rsidP="009348B2">
      <w:pPr>
        <w:pStyle w:val="Tekstfusnote"/>
      </w:pPr>
      <w:r>
        <w:rPr>
          <w:rStyle w:val="Referencafusnote"/>
        </w:rPr>
        <w:footnoteRef/>
      </w:r>
      <w:r>
        <w:t xml:space="preserve"> </w:t>
      </w:r>
      <w:hyperlink r:id="rId13" w:history="1">
        <w:r w:rsidRPr="000A2FC4">
          <w:rPr>
            <w:rStyle w:val="Hiperveza"/>
          </w:rPr>
          <w:t>https://clps.hr/fertilitet-po-zupanijama-hrvatske-u-2016/</w:t>
        </w:r>
      </w:hyperlink>
      <w:r>
        <w:t xml:space="preserve"> (datum pristupa 15.12.2020.).</w:t>
      </w:r>
    </w:p>
  </w:footnote>
  <w:footnote w:id="27">
    <w:p w14:paraId="403EEDAB" w14:textId="45CA3707" w:rsidR="00480559" w:rsidRDefault="00480559" w:rsidP="009348B2">
      <w:pPr>
        <w:pStyle w:val="Tekstfusnote"/>
      </w:pPr>
      <w:r>
        <w:rPr>
          <w:rStyle w:val="Referencafusnote"/>
        </w:rPr>
        <w:footnoteRef/>
      </w:r>
      <w:r>
        <w:t xml:space="preserve"> Baza podataka DZS-a: (Stanovništvo- Demografski pokazatelji-Stopa totalnog fertiliteta), datum pristupa 15.12.2020.</w:t>
      </w:r>
    </w:p>
  </w:footnote>
  <w:footnote w:id="28">
    <w:p w14:paraId="0DCD720A" w14:textId="77777777" w:rsidR="008F5C7A" w:rsidRDefault="008F5C7A" w:rsidP="008F5C7A">
      <w:pPr>
        <w:pStyle w:val="Tekstfusnote"/>
      </w:pPr>
      <w:r>
        <w:rPr>
          <w:rStyle w:val="Referencafusnote"/>
        </w:rPr>
        <w:footnoteRef/>
      </w:r>
      <w:r>
        <w:t xml:space="preserve"> </w:t>
      </w:r>
      <w:r w:rsidRPr="00C27EEF">
        <w:t>https://www.dzs.hr/Hrv_Eng/publication/2020/07-01-02_01_2020.htm</w:t>
      </w:r>
    </w:p>
  </w:footnote>
  <w:footnote w:id="29">
    <w:p w14:paraId="4DA9BADB" w14:textId="087A7971" w:rsidR="00480559" w:rsidRDefault="00480559" w:rsidP="009348B2">
      <w:pPr>
        <w:pStyle w:val="Tekstfusnote"/>
        <w:rPr>
          <w:szCs w:val="18"/>
        </w:rPr>
      </w:pPr>
      <w:r>
        <w:rPr>
          <w:rStyle w:val="Referencafusnote"/>
        </w:rPr>
        <w:footnoteRef/>
      </w:r>
      <w:r>
        <w:t xml:space="preserve"> </w:t>
      </w:r>
      <w:r w:rsidRPr="00964961">
        <w:t xml:space="preserve"> </w:t>
      </w:r>
      <w:r w:rsidRPr="00DB27AB">
        <w:t>DZS, Pokazatelji siromaštva i socijalne isključenosti u 2019.</w:t>
      </w:r>
      <w:r>
        <w:t xml:space="preserve">, </w:t>
      </w:r>
      <w:r w:rsidRPr="00DB27AB">
        <w:t>https://www.dzs.hr/Hrv_Eng/publication/2020/14-01-01_01_2020.htm</w:t>
      </w:r>
    </w:p>
  </w:footnote>
  <w:footnote w:id="30">
    <w:p w14:paraId="10EBED4C" w14:textId="1B3749F0" w:rsidR="00480559" w:rsidRDefault="00480559" w:rsidP="009348B2">
      <w:pPr>
        <w:pStyle w:val="Tekstfusnote"/>
      </w:pPr>
      <w:r>
        <w:rPr>
          <w:rStyle w:val="Referencafusnote"/>
        </w:rPr>
        <w:footnoteRef/>
      </w:r>
      <w:r>
        <w:t xml:space="preserve"> </w:t>
      </w:r>
      <w:r w:rsidRPr="00DB27AB">
        <w:t>https://www.dzs.hr/Hrv_Eng/publication/2020/14-01-01_01_2020.htm</w:t>
      </w:r>
    </w:p>
  </w:footnote>
  <w:footnote w:id="31">
    <w:p w14:paraId="4FE3F56F" w14:textId="32FF23C8" w:rsidR="00480559" w:rsidRDefault="00480559" w:rsidP="009348B2">
      <w:pPr>
        <w:pStyle w:val="Tekstfusnote"/>
        <w:rPr>
          <w:sz w:val="20"/>
        </w:rPr>
      </w:pPr>
      <w:r>
        <w:rPr>
          <w:rStyle w:val="Referencafusnote"/>
        </w:rPr>
        <w:footnoteRef/>
      </w:r>
      <w:r>
        <w:t xml:space="preserve"> </w:t>
      </w:r>
      <w:r w:rsidRPr="00B649B2">
        <w:rPr>
          <w:rStyle w:val="Hiperveza"/>
          <w:color w:val="auto"/>
          <w:szCs w:val="18"/>
        </w:rPr>
        <w:t>https://www.dzs.hr/Hrv_Eng/publication/2020/14-01-01_01_2020.htm</w:t>
      </w:r>
    </w:p>
  </w:footnote>
  <w:footnote w:id="32">
    <w:p w14:paraId="6DE621B3" w14:textId="164C0DD2" w:rsidR="00480559" w:rsidRDefault="00480559" w:rsidP="009348B2">
      <w:pPr>
        <w:pStyle w:val="Tekstfusnote"/>
      </w:pPr>
      <w:r>
        <w:rPr>
          <w:rStyle w:val="Referencafusnote"/>
        </w:rPr>
        <w:footnoteRef/>
      </w:r>
      <w:r>
        <w:t xml:space="preserve"> Prikaz bez kaznenih djela iz domene prometa</w:t>
      </w:r>
    </w:p>
  </w:footnote>
  <w:footnote w:id="33">
    <w:p w14:paraId="348561EE" w14:textId="37AD01E9" w:rsidR="00480559" w:rsidRDefault="00480559" w:rsidP="009348B2">
      <w:pPr>
        <w:pStyle w:val="Tekstfusnote"/>
      </w:pPr>
      <w:r>
        <w:rPr>
          <w:rStyle w:val="Referencafusnote"/>
        </w:rPr>
        <w:footnoteRef/>
      </w:r>
      <w:r>
        <w:t xml:space="preserve"> Osnovana je ustanova socijalne skrbi Dom za žrtve nasilja u obitelji NOVI POČETAK, koja je počela s radom na području Krapinsko-zagorske županije 7. prosinca 2020. godine. </w:t>
      </w:r>
    </w:p>
  </w:footnote>
  <w:footnote w:id="34">
    <w:p w14:paraId="086B6BF5" w14:textId="77777777" w:rsidR="00480559" w:rsidRPr="00494495" w:rsidRDefault="00480559" w:rsidP="009348B2">
      <w:pPr>
        <w:pStyle w:val="Tekstfusnote"/>
      </w:pPr>
      <w:r w:rsidRPr="00494495">
        <w:rPr>
          <w:rStyle w:val="Referencafusnote"/>
          <w:szCs w:val="16"/>
        </w:rPr>
        <w:footnoteRef/>
      </w:r>
      <w:r w:rsidRPr="00494495">
        <w:t xml:space="preserve"> SB Krapinske Toplice ima ugovor s nadležnim ministarstvom o pružanju usluga socijalne skrbi, odnosno privremenog smještaja za 33 korisnika tijekom svih dana u tjednu, za 25 korisnika tijekom pet dana i tjednu i poludnevnog boravka za 12 korisnika, sve dječje dobi, upućenih rješenjem nadležnog centra za socijalnu skrb. Međutim, od lipnja 2019. više nema niti jednog korisnika.</w:t>
      </w:r>
    </w:p>
  </w:footnote>
  <w:footnote w:id="35">
    <w:p w14:paraId="1C194583" w14:textId="77777777" w:rsidR="00480559" w:rsidRPr="00494495" w:rsidRDefault="00480559" w:rsidP="009348B2">
      <w:pPr>
        <w:pStyle w:val="Tekstfusnote"/>
      </w:pPr>
      <w:r w:rsidRPr="00494495">
        <w:rPr>
          <w:rStyle w:val="Referencafusnote"/>
          <w:szCs w:val="16"/>
        </w:rPr>
        <w:footnoteRef/>
      </w:r>
      <w:r w:rsidRPr="00494495">
        <w:t xml:space="preserve"> Broj korisnika prema Godišnjem statističkom izvješću o domovima i korisnicima socijalne skrbi u Republici Hrvatskoj u 2019. godini odnosi se na broj korisnika svih vrsta usluga: smještaja, organiziranog stanovanja, boravka, psihosocijalne podrške i pomoći u kući.</w:t>
      </w:r>
    </w:p>
  </w:footnote>
  <w:footnote w:id="36">
    <w:p w14:paraId="58DD7D26" w14:textId="3498B7DB" w:rsidR="00480559" w:rsidRDefault="00480559">
      <w:pPr>
        <w:pStyle w:val="Tekstfusnote"/>
      </w:pPr>
      <w:r>
        <w:rPr>
          <w:rStyle w:val="Referencafusnote"/>
        </w:rPr>
        <w:footnoteRef/>
      </w:r>
      <w:r>
        <w:t xml:space="preserve"> Dom za starije Majke Terezije Taucher djeluje u sklopu Samostana Majke Dobroga Savjeta.</w:t>
      </w:r>
    </w:p>
  </w:footnote>
  <w:footnote w:id="37">
    <w:p w14:paraId="1E22187F" w14:textId="66BA2726" w:rsidR="00480559" w:rsidRPr="00494495" w:rsidRDefault="00480559" w:rsidP="009348B2">
      <w:pPr>
        <w:pStyle w:val="Tekstfusnote"/>
      </w:pPr>
      <w:r w:rsidRPr="00494495">
        <w:rPr>
          <w:rStyle w:val="Referencafusnote"/>
          <w:szCs w:val="16"/>
        </w:rPr>
        <w:footnoteRef/>
      </w:r>
      <w:r w:rsidRPr="00494495">
        <w:t>Podatak preuzet sa službene web stranice Centra za rehabilitaciju Varaždin – Podružnica Pustodol (</w:t>
      </w:r>
      <w:hyperlink r:id="rId14" w:history="1">
        <w:r w:rsidRPr="00494495">
          <w:rPr>
            <w:rStyle w:val="Hiperveza1"/>
            <w:color w:val="auto"/>
            <w:szCs w:val="16"/>
          </w:rPr>
          <w:t>http://www.dom-lekic.com/new/podruznica-pustodol/</w:t>
        </w:r>
      </w:hyperlink>
      <w:r w:rsidRPr="00494495">
        <w:t>, datum pristupa 17. veljače 202</w:t>
      </w:r>
      <w:r>
        <w:t>1</w:t>
      </w:r>
      <w:r w:rsidRPr="00494495">
        <w:t>.)</w:t>
      </w:r>
    </w:p>
  </w:footnote>
  <w:footnote w:id="38">
    <w:p w14:paraId="20DF1920" w14:textId="320F21FF" w:rsidR="00DC7117" w:rsidRDefault="00DC7117">
      <w:pPr>
        <w:pStyle w:val="Tekstfusnote"/>
      </w:pPr>
      <w:r>
        <w:rPr>
          <w:rStyle w:val="Referencafusnote"/>
        </w:rPr>
        <w:footnoteRef/>
      </w:r>
      <w:r>
        <w:t xml:space="preserve"> Program socijalne skrbi Grada Zaboka u 2020. godini: </w:t>
      </w:r>
      <w:r w:rsidRPr="00DC7117">
        <w:t>https://www.zabok.hr/stranica/kultura-i-socijalna-skrb</w:t>
      </w:r>
    </w:p>
  </w:footnote>
  <w:footnote w:id="39">
    <w:p w14:paraId="17242829" w14:textId="09B3D470" w:rsidR="00480559" w:rsidRDefault="00480559" w:rsidP="009348B2">
      <w:pPr>
        <w:pStyle w:val="Tekstfusnote"/>
      </w:pPr>
      <w:r>
        <w:rPr>
          <w:rStyle w:val="Referencafusnote"/>
        </w:rPr>
        <w:footnoteRef/>
      </w:r>
      <w:r>
        <w:t xml:space="preserve"> Izvješće o osobama s invaliditetom u Republici Hrvatskoj, svibanj 2019., Hrvatski zavod za javno zdravstvo</w:t>
      </w:r>
    </w:p>
  </w:footnote>
  <w:footnote w:id="40">
    <w:p w14:paraId="3692E0B0" w14:textId="75D342D4" w:rsidR="00480559" w:rsidRDefault="00480559" w:rsidP="009348B2">
      <w:pPr>
        <w:pStyle w:val="Tekstfusnote"/>
      </w:pPr>
      <w:r>
        <w:rPr>
          <w:rStyle w:val="Referencafusnote"/>
        </w:rPr>
        <w:footnoteRef/>
      </w:r>
      <w:r>
        <w:t xml:space="preserve"> Uključuje ljekarne i ljekarničke jedinice</w:t>
      </w:r>
    </w:p>
  </w:footnote>
  <w:footnote w:id="41">
    <w:p w14:paraId="206E8843" w14:textId="0F40C707" w:rsidR="00480559" w:rsidRDefault="00480559">
      <w:pPr>
        <w:pStyle w:val="Tekstfusnote"/>
      </w:pPr>
      <w:r>
        <w:rPr>
          <w:rStyle w:val="Referencafusnote"/>
        </w:rPr>
        <w:footnoteRef/>
      </w:r>
      <w:r>
        <w:t xml:space="preserve"> </w:t>
      </w:r>
      <w:hyperlink r:id="rId15" w:history="1">
        <w:r w:rsidRPr="002045F0">
          <w:rPr>
            <w:rStyle w:val="Hiperveza"/>
          </w:rPr>
          <w:t>https://www.koronavirus.hr/zupanije/139</w:t>
        </w:r>
      </w:hyperlink>
      <w:r>
        <w:t>, datum pristupa 11.01.2021.</w:t>
      </w:r>
    </w:p>
  </w:footnote>
  <w:footnote w:id="42">
    <w:p w14:paraId="59829097" w14:textId="4BBDA967" w:rsidR="00480559" w:rsidRDefault="00480559" w:rsidP="0069692C">
      <w:pPr>
        <w:pStyle w:val="Tekstfusnote"/>
        <w:jc w:val="left"/>
      </w:pPr>
      <w:r>
        <w:rPr>
          <w:rStyle w:val="Referencafusnote"/>
        </w:rPr>
        <w:footnoteRef/>
      </w:r>
      <w:hyperlink r:id="rId16" w:history="1">
        <w:r w:rsidRPr="00C0682B">
          <w:rPr>
            <w:rStyle w:val="Hiperveza"/>
          </w:rPr>
          <w:t>http://www.kzz.hr/koronavirus-aktualno,koronavirus-aktualno/pocelo-cijepljenje-u-krapinsko-zagorskoj-zupaniji</w:t>
        </w:r>
      </w:hyperlink>
      <w:r>
        <w:t xml:space="preserve">; </w:t>
      </w:r>
      <w:hyperlink r:id="rId17" w:history="1">
        <w:r w:rsidRPr="00E15114">
          <w:rPr>
            <w:rStyle w:val="Hiperveza"/>
          </w:rPr>
          <w:t>http://www.kzz.hr/koronavirus-aktualno,koronavirus-aktualno/cijepljenje-pocelo-i-u-ob-zabok</w:t>
        </w:r>
      </w:hyperlink>
      <w:r>
        <w:t xml:space="preserve">; </w:t>
      </w:r>
      <w:hyperlink r:id="rId18" w:history="1">
        <w:r w:rsidRPr="00E15114">
          <w:rPr>
            <w:rStyle w:val="Hiperveza"/>
          </w:rPr>
          <w:t>http://www.kzz.hr/koronavirus-aktualno/zupanijski-stozer-epidemioloska-situacija-je-dobra-nastavlja-se-cijepljenje</w:t>
        </w:r>
      </w:hyperlink>
      <w:r>
        <w:t>, datum pristupa 15.2.2021.</w:t>
      </w:r>
    </w:p>
  </w:footnote>
  <w:footnote w:id="43">
    <w:p w14:paraId="5CDDB3D8" w14:textId="20DE2BEC" w:rsidR="00480559" w:rsidRDefault="00480559" w:rsidP="0069692C">
      <w:pPr>
        <w:pStyle w:val="Tekstfusnote"/>
        <w:jc w:val="left"/>
      </w:pPr>
      <w:r>
        <w:rPr>
          <w:rStyle w:val="Referencafusnote"/>
        </w:rPr>
        <w:footnoteRef/>
      </w:r>
      <w:bookmarkStart w:id="100" w:name="_Hlk78186616"/>
      <w:r>
        <w:fldChar w:fldCharType="begin"/>
      </w:r>
      <w:r>
        <w:instrText xml:space="preserve"> HYPERLINK "</w:instrText>
      </w:r>
      <w:r w:rsidRPr="0069692C">
        <w:instrText>http://www.kzz.hr/sadrzaj/dokumenti/strategija-razvoja-palijativne-skrbi-2020-2023/KZ%c5%bd_Strategija%20razvoja%20palijativne%20skrbi%20u%20KZ%c5%bd.pdf</w:instrText>
      </w:r>
      <w:r>
        <w:instrText xml:space="preserve">" </w:instrText>
      </w:r>
      <w:r>
        <w:fldChar w:fldCharType="separate"/>
      </w:r>
      <w:r w:rsidRPr="00C0682B">
        <w:rPr>
          <w:rStyle w:val="Hiperveza"/>
        </w:rPr>
        <w:t>http://www.kzz.hr/sadrzaj/dokumenti/strategija-razvoja-palijativne-skrbi-2020-2023/KZ%c5%bd_Strategija%20razvoja%20palijativne%20skrbi%20u%20KZ%c5%bd.pdf</w:t>
      </w:r>
      <w:r>
        <w:fldChar w:fldCharType="end"/>
      </w:r>
      <w:r>
        <w:t xml:space="preserve"> (datum pristupa: 26.07.2021.)</w:t>
      </w:r>
      <w:bookmarkEnd w:id="100"/>
    </w:p>
  </w:footnote>
  <w:footnote w:id="44">
    <w:p w14:paraId="4803AA62" w14:textId="7ED6661C" w:rsidR="00480559" w:rsidRDefault="00480559" w:rsidP="006262DB">
      <w:pPr>
        <w:pStyle w:val="Tekstfusnote"/>
        <w:jc w:val="left"/>
      </w:pPr>
      <w:r>
        <w:rPr>
          <w:rStyle w:val="Referencafusnote"/>
        </w:rPr>
        <w:footnoteRef/>
      </w:r>
      <w:hyperlink r:id="rId19" w:history="1">
        <w:r w:rsidRPr="00C0682B">
          <w:rPr>
            <w:rStyle w:val="Hiperveza"/>
          </w:rPr>
          <w:t>http://www.kzz.hr/sadrzaj/dokumenti/strategija-razvoja-palijativne-skrbi-2020-2023/KZ%c5%bd_Strategija%20razvoja%20palijativne%20skrbi%20u%20KZ%c5%bd.pdf</w:t>
        </w:r>
      </w:hyperlink>
      <w:r w:rsidRPr="006262DB">
        <w:t xml:space="preserve"> (datum pristupa: 26.07.2021.)</w:t>
      </w:r>
    </w:p>
  </w:footnote>
  <w:footnote w:id="45">
    <w:p w14:paraId="41990CA4" w14:textId="4DBE39EF" w:rsidR="00480559" w:rsidRDefault="00480559" w:rsidP="009348B2">
      <w:pPr>
        <w:pStyle w:val="Tekstfusnote"/>
      </w:pPr>
      <w:r>
        <w:rPr>
          <w:rStyle w:val="Referencafusnote"/>
        </w:rPr>
        <w:footnoteRef/>
      </w:r>
      <w:r>
        <w:t xml:space="preserve"> Z</w:t>
      </w:r>
      <w:r w:rsidRPr="00551498">
        <w:t>adnji podaci DZS-a o knjižnicama</w:t>
      </w:r>
      <w:r>
        <w:t xml:space="preserve"> dostupni po županijama</w:t>
      </w:r>
    </w:p>
  </w:footnote>
  <w:footnote w:id="46">
    <w:p w14:paraId="3FF2CDEE" w14:textId="3B6F0DC8" w:rsidR="00480559" w:rsidRDefault="00480559" w:rsidP="009348B2">
      <w:pPr>
        <w:pStyle w:val="Tekstfusnote"/>
      </w:pPr>
      <w:r>
        <w:rPr>
          <w:rStyle w:val="Referencafusnote"/>
        </w:rPr>
        <w:footnoteRef/>
      </w:r>
      <w:r>
        <w:t xml:space="preserve"> </w:t>
      </w:r>
      <w:hyperlink r:id="rId20" w:history="1">
        <w:r w:rsidRPr="003170C0">
          <w:rPr>
            <w:rStyle w:val="Hiperveza"/>
          </w:rPr>
          <w:t>http://upisnik.nsk.hr/upisnik-knjiznica-1/imenik/index.php</w:t>
        </w:r>
      </w:hyperlink>
      <w:r>
        <w:t xml:space="preserve"> (datum pristupa 22.02.2021.). </w:t>
      </w:r>
      <w:r w:rsidRPr="00551498">
        <w:t>Upisnik knjižnica u Republici Hrvatskoj sadrži temeljne podatke o svim knjižnicama u Republici Hrvatskoj, a vodi ga Nacionalna i sveučilišna knjižnica u Zagrebu u svrhu praćenja stanja u knjižničnoj djelatnosti</w:t>
      </w:r>
      <w:r>
        <w:t>.</w:t>
      </w:r>
    </w:p>
  </w:footnote>
  <w:footnote w:id="47">
    <w:p w14:paraId="7ABD34A1" w14:textId="77777777" w:rsidR="00F43132" w:rsidRDefault="00F43132" w:rsidP="00F43132">
      <w:pPr>
        <w:pStyle w:val="Tekstfusnote"/>
      </w:pPr>
      <w:r>
        <w:rPr>
          <w:rStyle w:val="Referencafusnote"/>
          <w:szCs w:val="16"/>
        </w:rPr>
        <w:footnoteRef/>
      </w:r>
      <w:r>
        <w:t xml:space="preserve"> Analitička podloga za izradu Strategije regionalnog razvoja Republike Hrvatske, Ekonomski institut, Zagreb, veljača 2015. godine</w:t>
      </w:r>
    </w:p>
  </w:footnote>
  <w:footnote w:id="48">
    <w:p w14:paraId="1926ED27" w14:textId="3BB53AA2" w:rsidR="00480559" w:rsidRDefault="00480559" w:rsidP="009348B2">
      <w:pPr>
        <w:pStyle w:val="Tekstfusnote"/>
      </w:pPr>
      <w:r>
        <w:rPr>
          <w:rStyle w:val="Referencafusnote"/>
        </w:rPr>
        <w:footnoteRef/>
      </w:r>
      <w:r>
        <w:t xml:space="preserve"> </w:t>
      </w:r>
      <w:hyperlink r:id="rId21" w:history="1">
        <w:r w:rsidRPr="0050108D">
          <w:rPr>
            <w:rStyle w:val="Hiperveza"/>
          </w:rPr>
          <w:t>http://www.kzz.hr/uvodna-konferencija-projekt-baif</w:t>
        </w:r>
      </w:hyperlink>
      <w:r>
        <w:t xml:space="preserve"> </w:t>
      </w:r>
    </w:p>
  </w:footnote>
  <w:footnote w:id="49">
    <w:p w14:paraId="4BA2B09B" w14:textId="2D0CF4F0" w:rsidR="00480559" w:rsidRDefault="00480559" w:rsidP="009348B2">
      <w:pPr>
        <w:pStyle w:val="Tekstfusnote"/>
      </w:pPr>
      <w:r>
        <w:rPr>
          <w:rStyle w:val="Referencafusnote"/>
        </w:rPr>
        <w:footnoteRef/>
      </w:r>
      <w:r>
        <w:t xml:space="preserve"> </w:t>
      </w:r>
      <w:r w:rsidRPr="009348B2">
        <w:t>The European Social Economy Regions initiative (ESER) ili Inicijativa europskih regija društvene ekonomije pokrenuta je 2018. godine te se do danas razvila u snažnu zajednicu dionika društvene ekonomije diljem Europe</w:t>
      </w:r>
      <w:r>
        <w:t>.</w:t>
      </w:r>
    </w:p>
  </w:footnote>
  <w:footnote w:id="50">
    <w:p w14:paraId="59B1E5B7" w14:textId="77777777" w:rsidR="00480559" w:rsidRDefault="00480559" w:rsidP="009348B2">
      <w:pPr>
        <w:pStyle w:val="Tekstfusnote"/>
        <w:rPr>
          <w:sz w:val="20"/>
        </w:rPr>
      </w:pPr>
      <w:r>
        <w:rPr>
          <w:rStyle w:val="Referencafusnote"/>
        </w:rPr>
        <w:footnoteRef/>
      </w:r>
      <w:r>
        <w:t xml:space="preserve">DZS, Stanovništvo staro 15 i više godina prema najvišoj završenoj školi, obrazovnim područjima i spolu, Popis 2011.  </w:t>
      </w:r>
      <w:hyperlink r:id="rId22" w:history="1">
        <w:r>
          <w:rPr>
            <w:rStyle w:val="Hiperveza"/>
          </w:rPr>
          <w:t>https://www.dzs.hr/Hrv/censuses/census2011/results/htm/h01_01_36/h01_01_36_zup02.html</w:t>
        </w:r>
      </w:hyperlink>
      <w:r>
        <w:t xml:space="preserve"> </w:t>
      </w:r>
    </w:p>
  </w:footnote>
  <w:footnote w:id="51">
    <w:p w14:paraId="16F6742F" w14:textId="77777777" w:rsidR="00480559" w:rsidRDefault="00480559" w:rsidP="009348B2">
      <w:pPr>
        <w:pStyle w:val="Tekstfusnote"/>
      </w:pPr>
      <w:r>
        <w:rPr>
          <w:rStyle w:val="Referencafusnote"/>
        </w:rPr>
        <w:footnoteRef/>
      </w:r>
      <w:r>
        <w:t xml:space="preserve"> Državni pedagoški standard predškolskog odgoja i naobrazbe (NN 63/08, 90/10) </w:t>
      </w:r>
      <w:hyperlink r:id="rId23" w:history="1">
        <w:r>
          <w:rPr>
            <w:rStyle w:val="Hiperveza"/>
          </w:rPr>
          <w:t>http://www.propisi.hr/print.php?id=2561</w:t>
        </w:r>
      </w:hyperlink>
    </w:p>
  </w:footnote>
  <w:footnote w:id="52">
    <w:p w14:paraId="0C84B9D7" w14:textId="7952A281" w:rsidR="00480559" w:rsidRDefault="00480559" w:rsidP="009348B2">
      <w:pPr>
        <w:pStyle w:val="Tekstfusnote"/>
      </w:pPr>
      <w:r>
        <w:rPr>
          <w:rStyle w:val="Referencafusnote"/>
        </w:rPr>
        <w:footnoteRef/>
      </w:r>
      <w:r>
        <w:t xml:space="preserve"> </w:t>
      </w:r>
      <w:hyperlink r:id="rId24" w:history="1">
        <w:r w:rsidRPr="00F14F82">
          <w:rPr>
            <w:rStyle w:val="Hiperveza"/>
          </w:rPr>
          <w:t>https://www.dzs.hr/Hrv_Eng/publication/2020/08-01-02_01_2020.htm</w:t>
        </w:r>
      </w:hyperlink>
      <w:r>
        <w:t xml:space="preserve"> </w:t>
      </w:r>
    </w:p>
  </w:footnote>
  <w:footnote w:id="53">
    <w:p w14:paraId="61B82117" w14:textId="323019B4" w:rsidR="00480559" w:rsidRDefault="00480559" w:rsidP="009348B2">
      <w:pPr>
        <w:pStyle w:val="Tekstfusnote"/>
      </w:pPr>
      <w:r>
        <w:rPr>
          <w:rStyle w:val="Referencafusnote"/>
        </w:rPr>
        <w:footnoteRef/>
      </w:r>
      <w:r>
        <w:t xml:space="preserve"> </w:t>
      </w:r>
      <w:r w:rsidRPr="00FF2B3D">
        <w:t xml:space="preserve">Broj se odnosi na </w:t>
      </w:r>
      <w:r>
        <w:t xml:space="preserve">popis </w:t>
      </w:r>
      <w:r w:rsidRPr="00FF2B3D">
        <w:t>srednj</w:t>
      </w:r>
      <w:r>
        <w:t>ih</w:t>
      </w:r>
      <w:r w:rsidRPr="00FF2B3D">
        <w:t xml:space="preserve"> škol</w:t>
      </w:r>
      <w:r>
        <w:t>a</w:t>
      </w:r>
      <w:r w:rsidRPr="00FF2B3D">
        <w:t xml:space="preserve"> u Krapinsko-zagorskoj županiji, uključujući i Glazbenu školu Pregrada</w:t>
      </w:r>
    </w:p>
  </w:footnote>
  <w:footnote w:id="54">
    <w:p w14:paraId="3E76F3B7" w14:textId="3947C639" w:rsidR="00480559" w:rsidRDefault="00480559" w:rsidP="009348B2">
      <w:pPr>
        <w:pStyle w:val="Tekstfusnote"/>
      </w:pPr>
      <w:r>
        <w:rPr>
          <w:rStyle w:val="Referencafusnote"/>
        </w:rPr>
        <w:footnoteRef/>
      </w:r>
      <w:r>
        <w:t xml:space="preserve"> </w:t>
      </w:r>
      <w:r w:rsidRPr="00FF2B3D">
        <w:t xml:space="preserve">MZO, Odluka o upisu učenika u I. razred srednje škole u školskoj godini 2020./2021. ( NN 62/2020 ) </w:t>
      </w:r>
      <w:hyperlink r:id="rId25" w:history="1">
        <w:r w:rsidRPr="00FF2B3D">
          <w:rPr>
            <w:rStyle w:val="Hiperveza"/>
          </w:rPr>
          <w:t>https://narodne-novine.nn.hr/clanci/sluzbeni/2020_05_62_1240.html</w:t>
        </w:r>
      </w:hyperlink>
    </w:p>
  </w:footnote>
  <w:footnote w:id="55">
    <w:p w14:paraId="74707B2F" w14:textId="77777777" w:rsidR="00480559" w:rsidRDefault="00480559" w:rsidP="009348B2">
      <w:pPr>
        <w:pStyle w:val="Tekstfusnote"/>
      </w:pPr>
      <w:r>
        <w:rPr>
          <w:rStyle w:val="Referencafusnote"/>
        </w:rPr>
        <w:footnoteRef/>
      </w:r>
      <w:r>
        <w:t xml:space="preserve">KZŽ, Pravilnik o uvjetima, kriterijima i postupku dodjele stipendija redovitim učenicima srednjih škola i studentima s područja Krapinsko-zagorske županije </w:t>
      </w:r>
      <w:hyperlink r:id="rId26" w:history="1">
        <w:r>
          <w:rPr>
            <w:rStyle w:val="Hiperveza"/>
          </w:rPr>
          <w:t>http://www.kzz.hr/pravilnik</w:t>
        </w:r>
      </w:hyperlink>
      <w:r>
        <w:t xml:space="preserve"> </w:t>
      </w:r>
    </w:p>
  </w:footnote>
  <w:footnote w:id="56">
    <w:p w14:paraId="0D83E8BB" w14:textId="4FA9EDF7" w:rsidR="00480559" w:rsidRDefault="00480559" w:rsidP="009348B2">
      <w:pPr>
        <w:pStyle w:val="Tekstfusnote"/>
      </w:pPr>
      <w:r>
        <w:rPr>
          <w:rStyle w:val="Referencafusnote"/>
        </w:rPr>
        <w:footnoteRef/>
      </w:r>
      <w:r>
        <w:t xml:space="preserve"> </w:t>
      </w:r>
      <w:r w:rsidRPr="00857BB2">
        <w:t>Odluka o kriterijima i načinu financiranja troškova javnog prijevoza redovitih učenika srednjih škola za školsku godinu 2020./2021.</w:t>
      </w:r>
      <w:r>
        <w:t xml:space="preserve"> (</w:t>
      </w:r>
      <w:hyperlink r:id="rId27" w:history="1">
        <w:r w:rsidRPr="00857BB2">
          <w:rPr>
            <w:rStyle w:val="Hiperveza"/>
          </w:rPr>
          <w:t>https://narodne-novine.nn.hr/clanci/sluzbeni/2020_08_94_1781.html</w:t>
        </w:r>
      </w:hyperlink>
      <w:r>
        <w:t xml:space="preserve">) </w:t>
      </w:r>
    </w:p>
  </w:footnote>
  <w:footnote w:id="57">
    <w:p w14:paraId="39CF6BAA" w14:textId="50AB1DFA" w:rsidR="00480559" w:rsidRDefault="00480559" w:rsidP="009348B2">
      <w:pPr>
        <w:pStyle w:val="Tekstfusnote"/>
      </w:pPr>
      <w:r>
        <w:rPr>
          <w:rStyle w:val="Referencafusnote"/>
        </w:rPr>
        <w:footnoteRef/>
      </w:r>
      <w:r>
        <w:t xml:space="preserve"> </w:t>
      </w:r>
      <w:r w:rsidRPr="00857BB2">
        <w:t>Podaci preuzeti sa službenih stranica Srednje škole Bedekovčina i Srednje škole Pregrada.</w:t>
      </w:r>
      <w:r>
        <w:t xml:space="preserve"> </w:t>
      </w:r>
      <w:hyperlink r:id="rId28" w:history="1">
        <w:r w:rsidRPr="00857BB2">
          <w:rPr>
            <w:rStyle w:val="Hiperveza"/>
          </w:rPr>
          <w:t>http://ss-bedekovcina.skole.hr/skola/dom</w:t>
        </w:r>
      </w:hyperlink>
      <w:r>
        <w:t xml:space="preserve"> i </w:t>
      </w:r>
      <w:hyperlink r:id="rId29" w:history="1">
        <w:r w:rsidRPr="000E020D">
          <w:rPr>
            <w:rStyle w:val="Hiperveza"/>
          </w:rPr>
          <w:t>https://sspregrada.hr/o-skoli/</w:t>
        </w:r>
      </w:hyperlink>
    </w:p>
  </w:footnote>
  <w:footnote w:id="58">
    <w:p w14:paraId="4CAEC1B9" w14:textId="6AA4A26D" w:rsidR="00480559" w:rsidRDefault="00480559" w:rsidP="009348B2">
      <w:pPr>
        <w:pStyle w:val="Tekstfusnote"/>
      </w:pPr>
      <w:r>
        <w:rPr>
          <w:rStyle w:val="Referencafusnote"/>
        </w:rPr>
        <w:footnoteRef/>
      </w:r>
      <w:r>
        <w:t xml:space="preserve"> Za broj stanovnika uzeta je procjena DZS-a za 2019. godinu</w:t>
      </w:r>
    </w:p>
  </w:footnote>
  <w:footnote w:id="59">
    <w:p w14:paraId="5EBEB135" w14:textId="332431B3" w:rsidR="00480559" w:rsidRDefault="00480559" w:rsidP="009348B2">
      <w:pPr>
        <w:pStyle w:val="Tekstfusnote"/>
      </w:pPr>
      <w:r>
        <w:rPr>
          <w:rStyle w:val="Referencafusnote"/>
        </w:rPr>
        <w:footnoteRef/>
      </w:r>
      <w:r>
        <w:t xml:space="preserve"> Podaci se odnose na broj polaznika formalnog i neformalnog obrazovanja</w:t>
      </w:r>
    </w:p>
  </w:footnote>
  <w:footnote w:id="60">
    <w:p w14:paraId="164FF0DF" w14:textId="56FFE116" w:rsidR="00480559" w:rsidRDefault="00480559" w:rsidP="009348B2">
      <w:pPr>
        <w:pStyle w:val="Tekstfusnote"/>
      </w:pPr>
      <w:r>
        <w:rPr>
          <w:rStyle w:val="Referencafusnote"/>
        </w:rPr>
        <w:footnoteRef/>
      </w:r>
      <w:r>
        <w:t xml:space="preserve"> </w:t>
      </w:r>
      <w:hyperlink r:id="rId30" w:history="1">
        <w:r w:rsidRPr="00F16D6C">
          <w:rPr>
            <w:rStyle w:val="Hiperveza"/>
          </w:rPr>
          <w:t>https://mzo.gov.hr/istaknute-teme/odgoj-i-obrazovanje/umjetnicko-obrazovanje/132</w:t>
        </w:r>
      </w:hyperlink>
      <w:r>
        <w:t xml:space="preserve"> (datum pristupa 02.03.2021.)</w:t>
      </w:r>
    </w:p>
  </w:footnote>
  <w:footnote w:id="61">
    <w:p w14:paraId="2B2406D7" w14:textId="77777777" w:rsidR="00480559" w:rsidRDefault="00480559" w:rsidP="009348B2">
      <w:pPr>
        <w:pStyle w:val="Tekstfusnote"/>
      </w:pPr>
      <w:r>
        <w:rPr>
          <w:rStyle w:val="Referencafusnote"/>
        </w:rPr>
        <w:footnoteRef/>
      </w:r>
      <w:r>
        <w:t xml:space="preserve"> Broj zaposlenih u pravnim osobama odnosi se na zaposlene u pravnim osobama svih oblika vlasništva, tijela državne vlasti i tijela jedinica lokalne i područne (regionalne) samouprave na području Republike Hrvatske. </w:t>
      </w:r>
    </w:p>
  </w:footnote>
  <w:footnote w:id="62">
    <w:p w14:paraId="1C48BE8A" w14:textId="77777777" w:rsidR="00480559" w:rsidRDefault="00480559" w:rsidP="009348B2">
      <w:pPr>
        <w:pStyle w:val="Tekstfusnote"/>
      </w:pPr>
      <w:r>
        <w:rPr>
          <w:rStyle w:val="Referencafusnote"/>
        </w:rPr>
        <w:footnoteRef/>
      </w:r>
      <w:r>
        <w:t xml:space="preserve"> Napomena: Mjere aktivne politike zapošljavanja koje provodi HZZ donose se za svaku godinu posebno i kroz godinu su prisutne izmjene samih mjera i uvjeta provođenja istih. </w:t>
      </w:r>
    </w:p>
  </w:footnote>
  <w:footnote w:id="63">
    <w:p w14:paraId="2DC264EA" w14:textId="77777777" w:rsidR="00480559" w:rsidRDefault="00480559" w:rsidP="009348B2">
      <w:pPr>
        <w:pStyle w:val="Tekstfusnote"/>
      </w:pPr>
      <w:r>
        <w:rPr>
          <w:rStyle w:val="Referencafusnote"/>
        </w:rPr>
        <w:footnoteRef/>
      </w:r>
      <w:r>
        <w:t xml:space="preserve"> Podaci se odnose na godinu uključenja u mjeru </w:t>
      </w:r>
    </w:p>
  </w:footnote>
  <w:footnote w:id="64">
    <w:p w14:paraId="0F7BF55F" w14:textId="77777777" w:rsidR="00480559" w:rsidRDefault="00480559" w:rsidP="009348B2">
      <w:pPr>
        <w:pStyle w:val="Tekstfusnote"/>
      </w:pPr>
      <w:r>
        <w:rPr>
          <w:rStyle w:val="Referencafusnote"/>
        </w:rPr>
        <w:footnoteRef/>
      </w:r>
      <w:r>
        <w:t xml:space="preserve"> Partnersko vijeće za tržište rada Krapinsko-zagorske županije, </w:t>
      </w:r>
      <w:hyperlink r:id="rId31" w:history="1">
        <w:r w:rsidRPr="00975DA6">
          <w:rPr>
            <w:rStyle w:val="Hiperveza"/>
          </w:rPr>
          <w:t>http://www.partnerstvo-razvoj.net/hr/novosti/stanje-na-trzistu-rada/nezaposlenost-i-zaposljavanje-u-prosincu-2020_2019-godine,3061.html</w:t>
        </w:r>
      </w:hyperlink>
      <w:r>
        <w:t>, pristupljeno 15. veljače 2021. godine</w:t>
      </w:r>
    </w:p>
  </w:footnote>
  <w:footnote w:id="65">
    <w:p w14:paraId="5384FA5B" w14:textId="3F722484" w:rsidR="00480559" w:rsidRDefault="00480559" w:rsidP="009348B2">
      <w:pPr>
        <w:pStyle w:val="Tekstfusnote"/>
      </w:pPr>
      <w:r>
        <w:rPr>
          <w:rStyle w:val="Referencafusnote"/>
        </w:rPr>
        <w:footnoteRef/>
      </w:r>
      <w:r>
        <w:t xml:space="preserve">Podatak za EU -28 za 2018. godinu preuzet sa </w:t>
      </w:r>
      <w:hyperlink r:id="rId32" w:history="1">
        <w:r w:rsidRPr="007F4EEC">
          <w:rPr>
            <w:rStyle w:val="Hiperveza"/>
          </w:rPr>
          <w:t>https://ec.europa.eu/eurostat/databrowser/view/sdg_08_10/default/table?lang=en</w:t>
        </w:r>
      </w:hyperlink>
      <w:r>
        <w:t xml:space="preserve"> , datum pristupa 15.03.2021.</w:t>
      </w:r>
    </w:p>
  </w:footnote>
  <w:footnote w:id="66">
    <w:p w14:paraId="5E6B59A5" w14:textId="62BB3B3D" w:rsidR="00480559" w:rsidRDefault="00480559">
      <w:pPr>
        <w:pStyle w:val="Tekstfusnote"/>
      </w:pPr>
      <w:r>
        <w:rPr>
          <w:rStyle w:val="Referencafusnote"/>
        </w:rPr>
        <w:footnoteRef/>
      </w:r>
      <w:r>
        <w:t xml:space="preserve"> Prema Popisu 2011.</w:t>
      </w:r>
    </w:p>
  </w:footnote>
  <w:footnote w:id="67">
    <w:p w14:paraId="3A965A77" w14:textId="6D5BD5B3" w:rsidR="00480559" w:rsidRDefault="00480559">
      <w:pPr>
        <w:pStyle w:val="Tekstfusnote"/>
      </w:pPr>
      <w:r>
        <w:rPr>
          <w:rStyle w:val="Referencafusnote"/>
        </w:rPr>
        <w:footnoteRef/>
      </w:r>
      <w:r>
        <w:t xml:space="preserve"> </w:t>
      </w:r>
      <w:r w:rsidRPr="006D0175">
        <w:t>Gospodarsko vijeće HGK ŽK Krapina čini 19 najuspješnijih poduzetnika Krapinsko-zagorske županije</w:t>
      </w:r>
    </w:p>
  </w:footnote>
  <w:footnote w:id="68">
    <w:p w14:paraId="02135DDC" w14:textId="52C13B23" w:rsidR="005D1F8E" w:rsidRDefault="005D1F8E">
      <w:pPr>
        <w:pStyle w:val="Tekstfusnote"/>
      </w:pPr>
      <w:r>
        <w:rPr>
          <w:rStyle w:val="Referencafusnote"/>
        </w:rPr>
        <w:footnoteRef/>
      </w:r>
      <w:r>
        <w:t xml:space="preserve"> ŽUPANIJE-razvojna raznolikost i gospodarski potencijal, HGK, Zagreb, rujan 2020.</w:t>
      </w:r>
    </w:p>
  </w:footnote>
  <w:footnote w:id="69">
    <w:p w14:paraId="4067C28F" w14:textId="52F44B7B" w:rsidR="00480559" w:rsidRDefault="00480559" w:rsidP="009348B2">
      <w:pPr>
        <w:pStyle w:val="Tekstfusnote"/>
      </w:pPr>
      <w:r>
        <w:rPr>
          <w:rStyle w:val="Referencafusnote"/>
        </w:rPr>
        <w:footnoteRef/>
      </w:r>
      <w:r>
        <w:t xml:space="preserve"> Stavka Ostale djelatnosti obuhvaća podatke o djelatnostima za koje se HNB obvezuje čuvati u tajnosti u skladu sa Zakonom o službenoj statistici, zatim dio prikupljenih podataka obuhvaćenih statističkim istraživanjem za koje nije raspoloživ podatak o djelatnosti izvještajnog subjekta te dio podataka koji se odnose  na procjenu za onaj dio populacije koji nije obuhvaćen statističkim istraživanjem.</w:t>
      </w:r>
    </w:p>
  </w:footnote>
  <w:footnote w:id="70">
    <w:p w14:paraId="78F69BBD" w14:textId="77777777" w:rsidR="00480559" w:rsidRDefault="00480559" w:rsidP="009348B2">
      <w:pPr>
        <w:pStyle w:val="Tekstfusnote"/>
      </w:pPr>
      <w:r>
        <w:rPr>
          <w:rStyle w:val="Referencafusnote"/>
          <w:rFonts w:cstheme="minorHAnsi"/>
          <w:szCs w:val="18"/>
        </w:rPr>
        <w:footnoteRef/>
      </w:r>
      <w:r>
        <w:t xml:space="preserve"> U okviru ICT sektora obrađeni su podaci za NKD 2007: C26 - Proizvodnja računala te elektroničkih i optičkih proizvoda; J58.2 - Izdavanje softvera; J61 –Telekomunikacije; J62 - Računalno programiranje, savjetovanje i djelatnosti povezane s njima; J63.1 - Obrada podataka, usluge poslužitelja i djelatnosti povezane s njima; internetski portali; S95 - Popravak računala i komunikacijske opreme.</w:t>
      </w:r>
    </w:p>
  </w:footnote>
  <w:footnote w:id="71">
    <w:p w14:paraId="4B4FECB5" w14:textId="4F950C14" w:rsidR="00480559" w:rsidRDefault="00480559" w:rsidP="009348B2">
      <w:pPr>
        <w:pStyle w:val="Tekstfusnote"/>
      </w:pPr>
      <w:r>
        <w:rPr>
          <w:rStyle w:val="Referencafusnote"/>
        </w:rPr>
        <w:footnoteRef/>
      </w:r>
      <w:r>
        <w:t xml:space="preserve"> Prema projekcijama OECD-a; </w:t>
      </w:r>
      <w:r w:rsidRPr="4E193667">
        <w:t>http://www.oecd.org/economic-outlook/</w:t>
      </w:r>
    </w:p>
  </w:footnote>
  <w:footnote w:id="72">
    <w:p w14:paraId="10179413" w14:textId="20EDACEB" w:rsidR="00480559" w:rsidRDefault="00480559" w:rsidP="009348B2">
      <w:pPr>
        <w:pStyle w:val="Tekstfusnote"/>
      </w:pPr>
      <w:r w:rsidRPr="4E193667">
        <w:rPr>
          <w:rStyle w:val="Referencafusnote"/>
        </w:rPr>
        <w:footnoteRef/>
      </w:r>
      <w:r>
        <w:t xml:space="preserve"> </w:t>
      </w:r>
      <w:r w:rsidRPr="4E193667">
        <w:t>Radi čitljivosti, u tekstu će se koristiti izraz „koronavirus“. Termin se odnosi na SARS-CoV-2 virus, a potječe od imena skupine virusa kojoj SARS-CoV-2 pripada, karakteristične strukture i izgleda.</w:t>
      </w:r>
    </w:p>
  </w:footnote>
  <w:footnote w:id="73">
    <w:p w14:paraId="3B60BC15" w14:textId="1A80BCC1" w:rsidR="002C7BD8" w:rsidRDefault="002C7BD8">
      <w:pPr>
        <w:pStyle w:val="Tekstfusnote"/>
      </w:pPr>
      <w:r>
        <w:rPr>
          <w:rStyle w:val="Referencafusnote"/>
        </w:rPr>
        <w:footnoteRef/>
      </w:r>
      <w:r>
        <w:t xml:space="preserve"> </w:t>
      </w:r>
      <w:r w:rsidRPr="002C7BD8">
        <w:t>IZVJEŠĆE O RADU S FINANCIJSKIM IZVJEŠĆEM ZA RAZDOBLJE 01.01.-31.12.2020.</w:t>
      </w:r>
      <w:r>
        <w:t xml:space="preserve"> </w:t>
      </w:r>
      <w:r w:rsidRPr="002C7BD8">
        <w:t>https://visitzagorje.hr/wp-content/uploads/2021/04/4.pdf</w:t>
      </w:r>
    </w:p>
  </w:footnote>
  <w:footnote w:id="74">
    <w:p w14:paraId="27C199EC" w14:textId="77777777" w:rsidR="00480559" w:rsidRDefault="00480559" w:rsidP="009348B2">
      <w:pPr>
        <w:pStyle w:val="Tekstfusnote"/>
      </w:pPr>
      <w:r>
        <w:footnoteRef/>
      </w:r>
      <w:r>
        <w:t xml:space="preserve"> Dokument je izradio HORWATH HTL (Horwath i Horwath Consulting Zagreb d.o.o.).</w:t>
      </w:r>
    </w:p>
  </w:footnote>
  <w:footnote w:id="75">
    <w:p w14:paraId="493ABABD" w14:textId="77777777" w:rsidR="00480559" w:rsidRDefault="00480559" w:rsidP="009348B2">
      <w:pPr>
        <w:pStyle w:val="Tekstfusnote"/>
      </w:pPr>
      <w:r>
        <w:footnoteRef/>
      </w:r>
      <w:r>
        <w:t xml:space="preserve"> Riječ je o sljedećim turističkim zajednicama: TZG Krapina,  TZG Oroslavje, TZG Zlatar, TZO Marija Bistrica, TZO Stubičke toplice, TZP Donja Stubica i Gornja Stubica, TZP Kumrovec, Desinić i Zagorska Sela, TZP Srce Zagorja, TZP Klanjec, Tuhelj i Veliko Trgovišće. </w:t>
      </w:r>
    </w:p>
  </w:footnote>
  <w:footnote w:id="76">
    <w:p w14:paraId="6D1AD3DA" w14:textId="77777777" w:rsidR="00480559" w:rsidRDefault="00480559" w:rsidP="009348B2">
      <w:pPr>
        <w:pStyle w:val="Tekstfusnote"/>
        <w:rPr>
          <w:sz w:val="22"/>
        </w:rPr>
      </w:pPr>
      <w:r>
        <w:footnoteRef/>
      </w:r>
      <w:r>
        <w:t xml:space="preserve"> Zakon o turističkim zajednicama i pomicanju hrvatskog turizma stupa na snagu 1. siječnja 2020.</w:t>
      </w:r>
    </w:p>
  </w:footnote>
  <w:footnote w:id="77">
    <w:p w14:paraId="393E4151" w14:textId="77777777" w:rsidR="00480559" w:rsidRDefault="00480559" w:rsidP="009348B2">
      <w:pPr>
        <w:pStyle w:val="Tekstfusnote"/>
      </w:pPr>
      <w:r>
        <w:footnoteRef/>
      </w:r>
      <w:r>
        <w:t xml:space="preserve"> Riječ je o nagradi Hrvatske turističke zajednice i Hrvatske gospodarske komore u kategoriji destinacije godine.</w:t>
      </w:r>
    </w:p>
    <w:p w14:paraId="245C824A" w14:textId="77777777" w:rsidR="00480559" w:rsidRDefault="00480559" w:rsidP="008878A0">
      <w:pPr>
        <w:rPr>
          <w:szCs w:val="18"/>
        </w:rPr>
      </w:pPr>
    </w:p>
  </w:footnote>
  <w:footnote w:id="78">
    <w:p w14:paraId="13726623" w14:textId="77777777" w:rsidR="00480559" w:rsidRDefault="00480559" w:rsidP="008878A0">
      <w:pPr>
        <w:rPr>
          <w:szCs w:val="18"/>
        </w:rPr>
      </w:pPr>
      <w:r>
        <w:rPr>
          <w:rStyle w:val="Referencafusnote"/>
        </w:rPr>
        <w:footnoteRef/>
      </w:r>
      <w:r>
        <w:t xml:space="preserve"> </w:t>
      </w:r>
      <w:r>
        <w:rPr>
          <w:szCs w:val="18"/>
        </w:rPr>
        <w:t xml:space="preserve">Stopa zauzetosti hotelskog smještaja u 2018. godini na nacionalnoj razini iznosi 43,10% (izračun prema podacima dostupnima u publikaciji Turizam u brojkama 2018., Ministarstvo turizma Republike Hrvatske (dostupno na: </w:t>
      </w:r>
      <w:hyperlink r:id="rId33" w:history="1">
        <w:r>
          <w:rPr>
            <w:rStyle w:val="Hiperveza"/>
            <w:color w:val="auto"/>
            <w:szCs w:val="18"/>
          </w:rPr>
          <w:t>https://htz.hr/sites/default/files/2019-06/HTZ%20TUB%20HR_%202018_0.pdf</w:t>
        </w:r>
      </w:hyperlink>
      <w:r>
        <w:rPr>
          <w:szCs w:val="18"/>
        </w:rPr>
        <w:t xml:space="preserve">) </w:t>
      </w:r>
    </w:p>
    <w:p w14:paraId="26C513E6" w14:textId="77777777" w:rsidR="00480559" w:rsidRDefault="00480559" w:rsidP="009348B2">
      <w:pPr>
        <w:pStyle w:val="Tekstfusnote"/>
      </w:pPr>
    </w:p>
  </w:footnote>
  <w:footnote w:id="79">
    <w:p w14:paraId="45353DD8" w14:textId="5866E879" w:rsidR="00480559" w:rsidRDefault="00480559" w:rsidP="009348B2">
      <w:pPr>
        <w:pStyle w:val="Tekstfusnote"/>
      </w:pPr>
      <w:r>
        <w:rPr>
          <w:rStyle w:val="Referencafusnote"/>
        </w:rPr>
        <w:footnoteRef/>
      </w:r>
      <w:r>
        <w:t xml:space="preserve"> Umjesto Zone turističke izgradnje komplementarnih smještajnih kapaciteta, pansioni, apartmani, vile (91,06 ha) za koju je zatraženo brisanje iz PPU-a.</w:t>
      </w:r>
    </w:p>
    <w:p w14:paraId="116C54B0" w14:textId="1BCA914F" w:rsidR="00480559" w:rsidRDefault="00480559" w:rsidP="009348B2">
      <w:pPr>
        <w:pStyle w:val="Tekstfusnote"/>
      </w:pPr>
    </w:p>
  </w:footnote>
  <w:footnote w:id="80">
    <w:p w14:paraId="21122EE6" w14:textId="6DE2AA20" w:rsidR="00480559" w:rsidRDefault="00480559" w:rsidP="009348B2">
      <w:pPr>
        <w:pStyle w:val="Tekstfusnote"/>
      </w:pPr>
      <w:r>
        <w:rPr>
          <w:rStyle w:val="Referencafusnote"/>
        </w:rPr>
        <w:footnoteRef/>
      </w:r>
      <w:r>
        <w:t xml:space="preserve"> Samoopskrbno poljoprivredno gospodarstvo je fizička osoba poljoprivrednik </w:t>
      </w:r>
      <w:r w:rsidRPr="009E1557">
        <w:t>koja se za osobne potrebe bavi poljoprivredom u okviru korištenja prirodnih bogatstava zemlje i prodajom, odnosno zamjenom od tih djelatnosti dobivenih proizvoda u neprerađenom stanju i kojoj obavljanje gospodarske djelatnosti poljoprivrede nije glavna djelatnost, odnosno zanimanje poljoprivrednik nije glavno ili jedino zanimanje, a temelji se na korištenju vlastitih i/ili unajmljenih proizvodnih resursa te na radu, znanju i vještinama članova kućanstva i ekonomska veličina gospodarstva je manja ili jednaka od kunske protuvrijednosti izražene u stranoj valuti od 3.000 eura.</w:t>
      </w:r>
    </w:p>
  </w:footnote>
  <w:footnote w:id="81">
    <w:p w14:paraId="76659504" w14:textId="42966200" w:rsidR="00480559" w:rsidRDefault="00480559" w:rsidP="009348B2">
      <w:pPr>
        <w:pStyle w:val="Tekstfusnote"/>
      </w:pPr>
      <w:r>
        <w:rPr>
          <w:rStyle w:val="Referencafusnote"/>
        </w:rPr>
        <w:footnoteRef/>
      </w:r>
      <w:r>
        <w:t xml:space="preserve"> APPRRR prema Pravilniku o evidenciji uporabe poljoprivrednog zemljišta (NN 54/19) i 126/19 vodi ARKOD bazu podataka u koju se upisuju svi poljoprivrednici koji potražuju potpore za površine na kojima vrše poljoprivrednu proizvodnju.</w:t>
      </w:r>
    </w:p>
  </w:footnote>
  <w:footnote w:id="82">
    <w:p w14:paraId="1B8BA998" w14:textId="4BC35BE1" w:rsidR="00480559" w:rsidRDefault="00480559" w:rsidP="009348B2">
      <w:pPr>
        <w:pStyle w:val="Tekstfusnote"/>
      </w:pPr>
      <w:r>
        <w:rPr>
          <w:rStyle w:val="Referencafusnote"/>
        </w:rPr>
        <w:footnoteRef/>
      </w:r>
      <w:r>
        <w:t xml:space="preserve"> </w:t>
      </w:r>
      <w:hyperlink r:id="rId34" w:history="1">
        <w:r>
          <w:rPr>
            <w:rStyle w:val="Hiperveza"/>
            <w:rFonts w:eastAsiaTheme="majorEastAsia"/>
          </w:rPr>
          <w:t>https://poljoprivreda.gov.hr/istaknute-teme/poljoprivreda-173/poljoprivreda-175/ekoloska/popis-subjekata-u-ekoloskoj-poljoprivredi/208</w:t>
        </w:r>
      </w:hyperlink>
    </w:p>
  </w:footnote>
  <w:footnote w:id="83">
    <w:p w14:paraId="61C2F733" w14:textId="77777777" w:rsidR="00480559" w:rsidRDefault="00480559" w:rsidP="009348B2">
      <w:pPr>
        <w:pStyle w:val="Tekstfusnote"/>
      </w:pPr>
      <w:r>
        <w:rPr>
          <w:rStyle w:val="Referencafusnote"/>
        </w:rPr>
        <w:footnoteRef/>
      </w:r>
      <w:r>
        <w:t xml:space="preserve"> Vlastiti izračun. Agencija za zaštitu okoliša računala je stopu obuhvata koristeći broj obuhvaćenih građana u 2017. godini i uspoređujući ga s brojem stanovnika prema popisu iz 2011. godine i izračunala kako je obuhvat 96%. U novom izračunu korištene su procjene broja stanovništva DZS-a za 2017. godinu.</w:t>
      </w:r>
    </w:p>
  </w:footnote>
  <w:footnote w:id="84">
    <w:p w14:paraId="0F925013" w14:textId="77777777" w:rsidR="00480559" w:rsidRDefault="00480559" w:rsidP="009348B2">
      <w:pPr>
        <w:pStyle w:val="Tekstfusnote"/>
      </w:pPr>
      <w:r>
        <w:rPr>
          <w:rStyle w:val="Referencafusnote"/>
        </w:rPr>
        <w:footnoteRef/>
      </w:r>
      <w:r>
        <w:t xml:space="preserve"> </w:t>
      </w:r>
      <w:hyperlink r:id="rId35" w:history="1">
        <w:r>
          <w:rPr>
            <w:rStyle w:val="Hiperveza"/>
          </w:rPr>
          <w:t>https://zir.nsk.hr/islandora/object/mev%3A1006/datastream/PDF/view</w:t>
        </w:r>
      </w:hyperlink>
    </w:p>
  </w:footnote>
  <w:footnote w:id="85">
    <w:p w14:paraId="6D577C7C" w14:textId="37C0D947" w:rsidR="00480559" w:rsidRDefault="00480559">
      <w:pPr>
        <w:pStyle w:val="Tekstfusnote"/>
      </w:pPr>
      <w:r>
        <w:rPr>
          <w:rStyle w:val="Referencafusnote"/>
        </w:rPr>
        <w:footnoteRef/>
      </w:r>
      <w:r>
        <w:t>Godišnji plan energetske učinkovitosti Krapinsko- zagorske županije za 2020. godinu (</w:t>
      </w:r>
      <w:hyperlink r:id="rId36" w:history="1">
        <w:r w:rsidRPr="002B6513">
          <w:t>http://www.kzz.hr/sadrzaj/novosti/godisnji-plan-energetske-ucinkovitosti2020/Godisnji%20plan%</w:t>
        </w:r>
      </w:hyperlink>
      <w:r w:rsidRPr="002B6513">
        <w:t>2EnU%20KZZ%202020.</w:t>
      </w:r>
      <w:r>
        <w:t xml:space="preserve"> </w:t>
      </w:r>
      <w:r w:rsidRPr="002B6513">
        <w:t>pdf</w:t>
      </w:r>
    </w:p>
  </w:footnote>
  <w:footnote w:id="86">
    <w:p w14:paraId="67B3712E" w14:textId="61B549DF" w:rsidR="00480559" w:rsidRDefault="00480559">
      <w:pPr>
        <w:pStyle w:val="Tekstfusnote"/>
      </w:pPr>
      <w:r>
        <w:rPr>
          <w:rStyle w:val="Referencafusnote"/>
        </w:rPr>
        <w:footnoteRef/>
      </w:r>
      <w:r w:rsidRPr="00804EFC">
        <w:t>Akcijski plan energetske učinkovitosti Krapinsko-zagorske županije za razdoblje 2020. -2022.</w:t>
      </w:r>
      <w:r>
        <w:t xml:space="preserve"> (</w:t>
      </w:r>
      <w:hyperlink r:id="rId37" w:history="1">
        <w:r w:rsidRPr="00212F2A">
          <w:rPr>
            <w:rStyle w:val="Hiperveza"/>
          </w:rPr>
          <w:t>http://kzz.hr/sadrzaj/dokumenti/programi-planovi-enu/KZZ_Akcijski_plan_EnU_2020_2022.pdf</w:t>
        </w:r>
      </w:hyperlink>
      <w:r>
        <w:t xml:space="preserve">) </w:t>
      </w:r>
    </w:p>
  </w:footnote>
  <w:footnote w:id="87">
    <w:p w14:paraId="4D2F3C47" w14:textId="44CA8537" w:rsidR="00480559" w:rsidRDefault="00480559">
      <w:pPr>
        <w:pStyle w:val="Tekstfusnote"/>
      </w:pPr>
      <w:r>
        <w:rPr>
          <w:rStyle w:val="Referencafusnote"/>
        </w:rPr>
        <w:footnoteRef/>
      </w:r>
      <w:r>
        <w:t xml:space="preserve"> </w:t>
      </w:r>
      <w:bookmarkStart w:id="260" w:name="_Hlk78445199"/>
      <w:r>
        <w:t>Dugoročni program izgradnje i obnove fonda zgrada Krapinsko-zagorske županije, Krapina, studeni 2018.</w:t>
      </w:r>
      <w:bookmarkEnd w:id="260"/>
    </w:p>
  </w:footnote>
  <w:footnote w:id="88">
    <w:p w14:paraId="210F95C9" w14:textId="0971013B" w:rsidR="00480559" w:rsidRDefault="00480559">
      <w:pPr>
        <w:pStyle w:val="Tekstfusnote"/>
      </w:pPr>
      <w:r w:rsidRPr="001458C4">
        <w:t>.</w:t>
      </w:r>
      <w:r>
        <w:rPr>
          <w:rStyle w:val="Referencafusnote"/>
        </w:rPr>
        <w:footnoteRef/>
      </w:r>
      <w:r>
        <w:t xml:space="preserve"> </w:t>
      </w:r>
      <w:r w:rsidRPr="001458C4">
        <w:t>ISGE je računalna aplikacija za praćenje i analizu potrošnje energije u zgradama javnog sektora koju vodi Agencija za pravni promet i posredovanje nekretninama, a u koju se za Krapinsko-zagorsku županiju od 2013. godine unose opći, konstrukcijski i energetski podaci te podaci o neposrednoj potrošnji energije i/ili vode za svaku zgradu javnog sektora na mjesečnoj razini</w:t>
      </w:r>
    </w:p>
  </w:footnote>
  <w:footnote w:id="89">
    <w:p w14:paraId="282B0CD6" w14:textId="451B84BD" w:rsidR="00480559" w:rsidRDefault="00480559">
      <w:pPr>
        <w:pStyle w:val="Tekstfusnote"/>
      </w:pPr>
      <w:r>
        <w:rPr>
          <w:rStyle w:val="Referencafusnote"/>
        </w:rPr>
        <w:footnoteRef/>
      </w:r>
      <w:r>
        <w:t xml:space="preserve"> </w:t>
      </w:r>
      <w:r w:rsidRPr="00FC1D6D">
        <w:t>Dugoročni program izgradnje i obnove fonda zgrada Krapinsko-zagorske županije, Krapina, studeni 2018.</w:t>
      </w:r>
    </w:p>
  </w:footnote>
  <w:footnote w:id="90">
    <w:p w14:paraId="78A6B7DF" w14:textId="77777777" w:rsidR="00480559" w:rsidRDefault="00480559" w:rsidP="009348B2">
      <w:pPr>
        <w:pStyle w:val="Tekstfusnote"/>
      </w:pPr>
      <w:r>
        <w:rPr>
          <w:rStyle w:val="Referencafusnote"/>
        </w:rPr>
        <w:footnoteRef/>
      </w:r>
      <w:r>
        <w:t xml:space="preserve"> Županija je suosnivač Regionalne energetske agencije Sjeverozapadne Hrvatske.</w:t>
      </w:r>
    </w:p>
  </w:footnote>
  <w:footnote w:id="91">
    <w:p w14:paraId="2EE8DF3F" w14:textId="77777777" w:rsidR="00480559" w:rsidRDefault="00480559" w:rsidP="009348B2">
      <w:pPr>
        <w:pStyle w:val="Tekstfusnote"/>
      </w:pPr>
      <w:r>
        <w:rPr>
          <w:rStyle w:val="Referencafusnote"/>
        </w:rPr>
        <w:footnoteRef/>
      </w:r>
      <w:r>
        <w:t xml:space="preserve"> LAG Prizag je međužupanijski LAG te osim djela Krapinsko-zagorske županije obuhvaća i dio prostora Varaždinske i Koprivničko-križevačke županije. </w:t>
      </w:r>
    </w:p>
  </w:footnote>
  <w:footnote w:id="92">
    <w:p w14:paraId="36C949D5" w14:textId="77777777" w:rsidR="00480559" w:rsidRDefault="00480559" w:rsidP="009348B2">
      <w:pPr>
        <w:pStyle w:val="Tekstfusnote"/>
        <w:rPr>
          <w:highlight w:val="yellow"/>
        </w:rPr>
      </w:pPr>
      <w:r>
        <w:rPr>
          <w:rStyle w:val="Referencafusnote"/>
        </w:rPr>
        <w:footnoteRef/>
      </w:r>
      <w:r>
        <w:t xml:space="preserve"> LAG Zeleni bregi je do listopada 2019. godine proveo 2 natječaja na kojima je za 52 projekta na LAG razini odobreno 6.618.497,00 kn. LAG Zagorje-Sutla je do listopada 2019. godine provelo 3 natječaja na kojima je na LAG razini odobreno 33 projekta u vrijednosti 778.771,17 €. </w:t>
      </w:r>
    </w:p>
    <w:p w14:paraId="632230F7" w14:textId="77777777" w:rsidR="00480559" w:rsidRDefault="00480559" w:rsidP="009348B2">
      <w:pPr>
        <w:pStyle w:val="Tekstfusnote"/>
      </w:pPr>
    </w:p>
  </w:footnote>
  <w:footnote w:id="93">
    <w:p w14:paraId="31BD6399" w14:textId="3416A500" w:rsidR="00480559" w:rsidRDefault="00480559" w:rsidP="009348B2">
      <w:pPr>
        <w:pStyle w:val="Tekstfusnote"/>
      </w:pPr>
      <w:r>
        <w:rPr>
          <w:rStyle w:val="Referencafusnote"/>
        </w:rPr>
        <w:footnoteRef/>
      </w:r>
      <w:r>
        <w:t xml:space="preserve"> Izvor podataka: Izvještaj MRRFEU (dostupno na: </w:t>
      </w:r>
      <w:hyperlink r:id="rId38" w:history="1">
        <w:r w:rsidRPr="00363BF7">
          <w:rPr>
            <w:rStyle w:val="Hiperveza"/>
          </w:rPr>
          <w:t>https://razvoj.gov.hr/UserDocsImages/Vijesti%20-%20dokumenti/Iskorištenost%20EU%20fondova%20po%20županijama.pdf</w:t>
        </w:r>
      </w:hyperlink>
      <w:r>
        <w:t>)</w:t>
      </w:r>
    </w:p>
    <w:p w14:paraId="42645294" w14:textId="77777777" w:rsidR="00480559" w:rsidRDefault="00480559" w:rsidP="009348B2">
      <w:pPr>
        <w:pStyle w:val="Tekstfusnote"/>
      </w:pPr>
    </w:p>
  </w:footnote>
  <w:footnote w:id="94">
    <w:p w14:paraId="49A2C5B0" w14:textId="77777777" w:rsidR="00480559" w:rsidRDefault="00480559" w:rsidP="009348B2">
      <w:pPr>
        <w:pStyle w:val="Tekstfusnote"/>
      </w:pPr>
      <w:r>
        <w:rPr>
          <w:rStyle w:val="Referencafusnote"/>
        </w:rPr>
        <w:footnoteRef/>
      </w:r>
      <w:r>
        <w:t xml:space="preserve"> Dostupno na: http://www.ijf.hr/upload/files/114.pdf</w:t>
      </w:r>
    </w:p>
  </w:footnote>
  <w:footnote w:id="95">
    <w:p w14:paraId="0486DA5E" w14:textId="77777777" w:rsidR="00480559" w:rsidRDefault="00480559" w:rsidP="009348B2">
      <w:pPr>
        <w:pStyle w:val="Tekstfusnote"/>
      </w:pPr>
      <w:r>
        <w:rPr>
          <w:rStyle w:val="Referencafusnote"/>
        </w:rPr>
        <w:footnoteRef/>
      </w:r>
      <w:r>
        <w:t xml:space="preserve"> Direktne pomoći odnose se na situaciju kada JLS (županije, gradovi i općine) primaju sredstva izravno od EK ili drugih zemalja članica u okviru prekograničnih programa, dok su indirektne one koje u proračun JLS-ova dolaze posredno, preko nadležnih ministarstava. Za financiranje rashoda poslovanja (redovitih aktivnosti u obračunskom razdoblju) dobivaju se tekuće, a za financiranje dugotrajne nefinancijske imovine, kapitalne pomoći.</w:t>
      </w:r>
    </w:p>
    <w:p w14:paraId="4473EB11" w14:textId="77777777" w:rsidR="00480559" w:rsidRDefault="00480559" w:rsidP="009348B2">
      <w:pPr>
        <w:pStyle w:val="Tekstfusnote"/>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F3E2B"/>
    <w:multiLevelType w:val="hybridMultilevel"/>
    <w:tmpl w:val="8220763A"/>
    <w:lvl w:ilvl="0" w:tplc="01CA0E84">
      <w:start w:val="1"/>
      <w:numFmt w:val="bullet"/>
      <w:lvlText w:val=""/>
      <w:lvlJc w:val="left"/>
      <w:pPr>
        <w:ind w:left="720" w:hanging="360"/>
      </w:pPr>
      <w:rPr>
        <w:rFonts w:ascii="Wingdings" w:hAnsi="Wingdings" w:hint="default"/>
        <w:color w:val="39577A"/>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0E2D05C5"/>
    <w:multiLevelType w:val="hybridMultilevel"/>
    <w:tmpl w:val="3AEA7A60"/>
    <w:lvl w:ilvl="0" w:tplc="C6C295E6">
      <w:start w:val="2020"/>
      <w:numFmt w:val="bullet"/>
      <w:lvlText w:val=""/>
      <w:lvlJc w:val="left"/>
      <w:pPr>
        <w:ind w:left="720" w:hanging="360"/>
      </w:pPr>
      <w:rPr>
        <w:rFonts w:ascii="Symbol" w:eastAsia="ArialNarrow"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FE97FA6"/>
    <w:multiLevelType w:val="hybridMultilevel"/>
    <w:tmpl w:val="AF76B240"/>
    <w:lvl w:ilvl="0" w:tplc="0A28E094">
      <w:start w:val="1"/>
      <w:numFmt w:val="bullet"/>
      <w:lvlText w:val=""/>
      <w:lvlJc w:val="left"/>
      <w:pPr>
        <w:ind w:left="720" w:hanging="360"/>
      </w:pPr>
      <w:rPr>
        <w:rFonts w:ascii="Wingdings" w:hAnsi="Wingdings" w:cs="Wingdings" w:hint="default"/>
        <w:color w:val="39617A"/>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7A5576B"/>
    <w:multiLevelType w:val="multilevel"/>
    <w:tmpl w:val="74427CAE"/>
    <w:lvl w:ilvl="0">
      <w:start w:val="8"/>
      <w:numFmt w:val="decimal"/>
      <w:lvlText w:val="%1"/>
      <w:lvlJc w:val="left"/>
      <w:pPr>
        <w:ind w:left="600" w:hanging="600"/>
      </w:pPr>
      <w:rPr>
        <w:rFonts w:hint="default"/>
      </w:rPr>
    </w:lvl>
    <w:lvl w:ilvl="1">
      <w:start w:val="1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9C837D7"/>
    <w:multiLevelType w:val="multilevel"/>
    <w:tmpl w:val="CEECB638"/>
    <w:lvl w:ilvl="0">
      <w:start w:val="1"/>
      <w:numFmt w:val="decimal"/>
      <w:pStyle w:val="Naslov1"/>
      <w:lvlText w:val="%1."/>
      <w:lvlJc w:val="left"/>
      <w:pPr>
        <w:ind w:left="456" w:hanging="456"/>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ACC34DE"/>
    <w:multiLevelType w:val="hybridMultilevel"/>
    <w:tmpl w:val="C8C00690"/>
    <w:lvl w:ilvl="0" w:tplc="23DE7970">
      <w:start w:val="1"/>
      <w:numFmt w:val="bullet"/>
      <w:lvlText w:val=""/>
      <w:lvlJc w:val="left"/>
      <w:pPr>
        <w:ind w:left="720" w:hanging="360"/>
      </w:pPr>
      <w:rPr>
        <w:rFonts w:ascii="Symbol" w:hAnsi="Symbol" w:hint="default"/>
      </w:rPr>
    </w:lvl>
    <w:lvl w:ilvl="1" w:tplc="3802FC32">
      <w:start w:val="1"/>
      <w:numFmt w:val="bullet"/>
      <w:lvlText w:val="o"/>
      <w:lvlJc w:val="left"/>
      <w:pPr>
        <w:ind w:left="1440" w:hanging="360"/>
      </w:pPr>
      <w:rPr>
        <w:rFonts w:ascii="Courier New" w:hAnsi="Courier New" w:hint="default"/>
      </w:rPr>
    </w:lvl>
    <w:lvl w:ilvl="2" w:tplc="C44C0A72">
      <w:start w:val="1"/>
      <w:numFmt w:val="bullet"/>
      <w:lvlText w:val=""/>
      <w:lvlJc w:val="left"/>
      <w:pPr>
        <w:ind w:left="2160" w:hanging="360"/>
      </w:pPr>
      <w:rPr>
        <w:rFonts w:ascii="Wingdings" w:hAnsi="Wingdings" w:hint="default"/>
      </w:rPr>
    </w:lvl>
    <w:lvl w:ilvl="3" w:tplc="348E91CC">
      <w:start w:val="1"/>
      <w:numFmt w:val="bullet"/>
      <w:lvlText w:val=""/>
      <w:lvlJc w:val="left"/>
      <w:pPr>
        <w:ind w:left="2880" w:hanging="360"/>
      </w:pPr>
      <w:rPr>
        <w:rFonts w:ascii="Symbol" w:hAnsi="Symbol" w:hint="default"/>
      </w:rPr>
    </w:lvl>
    <w:lvl w:ilvl="4" w:tplc="CFBE3A20">
      <w:start w:val="1"/>
      <w:numFmt w:val="bullet"/>
      <w:lvlText w:val="o"/>
      <w:lvlJc w:val="left"/>
      <w:pPr>
        <w:ind w:left="3600" w:hanging="360"/>
      </w:pPr>
      <w:rPr>
        <w:rFonts w:ascii="Courier New" w:hAnsi="Courier New" w:hint="default"/>
      </w:rPr>
    </w:lvl>
    <w:lvl w:ilvl="5" w:tplc="47783CF4">
      <w:start w:val="1"/>
      <w:numFmt w:val="bullet"/>
      <w:lvlText w:val=""/>
      <w:lvlJc w:val="left"/>
      <w:pPr>
        <w:ind w:left="4320" w:hanging="360"/>
      </w:pPr>
      <w:rPr>
        <w:rFonts w:ascii="Wingdings" w:hAnsi="Wingdings" w:hint="default"/>
      </w:rPr>
    </w:lvl>
    <w:lvl w:ilvl="6" w:tplc="BB0AFC8E">
      <w:start w:val="1"/>
      <w:numFmt w:val="bullet"/>
      <w:lvlText w:val=""/>
      <w:lvlJc w:val="left"/>
      <w:pPr>
        <w:ind w:left="5040" w:hanging="360"/>
      </w:pPr>
      <w:rPr>
        <w:rFonts w:ascii="Symbol" w:hAnsi="Symbol" w:hint="default"/>
      </w:rPr>
    </w:lvl>
    <w:lvl w:ilvl="7" w:tplc="6F9895E6">
      <w:start w:val="1"/>
      <w:numFmt w:val="bullet"/>
      <w:lvlText w:val="o"/>
      <w:lvlJc w:val="left"/>
      <w:pPr>
        <w:ind w:left="5760" w:hanging="360"/>
      </w:pPr>
      <w:rPr>
        <w:rFonts w:ascii="Courier New" w:hAnsi="Courier New" w:hint="default"/>
      </w:rPr>
    </w:lvl>
    <w:lvl w:ilvl="8" w:tplc="31A4CA36">
      <w:start w:val="1"/>
      <w:numFmt w:val="bullet"/>
      <w:lvlText w:val=""/>
      <w:lvlJc w:val="left"/>
      <w:pPr>
        <w:ind w:left="6480" w:hanging="360"/>
      </w:pPr>
      <w:rPr>
        <w:rFonts w:ascii="Wingdings" w:hAnsi="Wingdings" w:hint="default"/>
      </w:rPr>
    </w:lvl>
  </w:abstractNum>
  <w:abstractNum w:abstractNumId="6" w15:restartNumberingAfterBreak="0">
    <w:nsid w:val="1E41528F"/>
    <w:multiLevelType w:val="multilevel"/>
    <w:tmpl w:val="3C9EEF46"/>
    <w:lvl w:ilvl="0">
      <w:start w:val="1"/>
      <w:numFmt w:val="decimal"/>
      <w:lvlText w:val="%1."/>
      <w:lvlJc w:val="left"/>
      <w:pPr>
        <w:tabs>
          <w:tab w:val="num" w:pos="284"/>
        </w:tabs>
        <w:ind w:left="0" w:firstLine="0"/>
      </w:pPr>
      <w:rPr>
        <w:rFonts w:hint="default"/>
      </w:rPr>
    </w:lvl>
    <w:lvl w:ilvl="1">
      <w:start w:val="1"/>
      <w:numFmt w:val="decimal"/>
      <w:lvlText w:val="%1.%2."/>
      <w:lvlJc w:val="left"/>
      <w:pPr>
        <w:tabs>
          <w:tab w:val="num" w:pos="284"/>
        </w:tabs>
        <w:ind w:left="0" w:firstLine="0"/>
      </w:pPr>
      <w:rPr>
        <w:rFonts w:hint="default"/>
      </w:rPr>
    </w:lvl>
    <w:lvl w:ilvl="2">
      <w:start w:val="1"/>
      <w:numFmt w:val="decimal"/>
      <w:lvlText w:val="%1.%2.%3."/>
      <w:lvlJc w:val="left"/>
      <w:pPr>
        <w:tabs>
          <w:tab w:val="num" w:pos="284"/>
        </w:tabs>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1E203F3"/>
    <w:multiLevelType w:val="hybridMultilevel"/>
    <w:tmpl w:val="7B608328"/>
    <w:lvl w:ilvl="0" w:tplc="0A28E094">
      <w:start w:val="1"/>
      <w:numFmt w:val="bullet"/>
      <w:lvlText w:val=""/>
      <w:lvlJc w:val="left"/>
      <w:pPr>
        <w:ind w:left="720" w:hanging="360"/>
      </w:pPr>
      <w:rPr>
        <w:rFonts w:ascii="Wingdings" w:hAnsi="Wingdings" w:cs="Wingdings" w:hint="default"/>
        <w:color w:val="39617A"/>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 w15:restartNumberingAfterBreak="0">
    <w:nsid w:val="28C4221E"/>
    <w:multiLevelType w:val="hybridMultilevel"/>
    <w:tmpl w:val="CA1665EE"/>
    <w:lvl w:ilvl="0" w:tplc="65F04942">
      <w:numFmt w:val="bullet"/>
      <w:lvlText w:val="•"/>
      <w:lvlJc w:val="left"/>
      <w:pPr>
        <w:ind w:left="720" w:hanging="360"/>
      </w:pPr>
      <w:rPr>
        <w:rFonts w:ascii="Newslab" w:eastAsiaTheme="minorEastAsia" w:hAnsi="Newslab"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AC46F2A"/>
    <w:multiLevelType w:val="hybridMultilevel"/>
    <w:tmpl w:val="D3F872D4"/>
    <w:lvl w:ilvl="0" w:tplc="94422BFC">
      <w:start w:val="2020"/>
      <w:numFmt w:val="bullet"/>
      <w:lvlText w:val=""/>
      <w:lvlJc w:val="left"/>
      <w:pPr>
        <w:ind w:left="720" w:hanging="360"/>
      </w:pPr>
      <w:rPr>
        <w:rFonts w:ascii="Symbol" w:eastAsia="ArialNarrow"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0" w15:restartNumberingAfterBreak="0">
    <w:nsid w:val="2B0936D7"/>
    <w:multiLevelType w:val="multilevel"/>
    <w:tmpl w:val="32D47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6627B44"/>
    <w:multiLevelType w:val="hybridMultilevel"/>
    <w:tmpl w:val="704E022C"/>
    <w:lvl w:ilvl="0" w:tplc="DCC87538">
      <w:start w:val="2020"/>
      <w:numFmt w:val="bullet"/>
      <w:lvlText w:val=""/>
      <w:lvlJc w:val="left"/>
      <w:pPr>
        <w:ind w:left="720" w:hanging="360"/>
      </w:pPr>
      <w:rPr>
        <w:rFonts w:ascii="Symbol" w:eastAsia="ArialNarrow"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2" w15:restartNumberingAfterBreak="0">
    <w:nsid w:val="39C8718C"/>
    <w:multiLevelType w:val="multilevel"/>
    <w:tmpl w:val="C930AF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C60B85"/>
    <w:multiLevelType w:val="hybridMultilevel"/>
    <w:tmpl w:val="59C40D0E"/>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14" w15:restartNumberingAfterBreak="0">
    <w:nsid w:val="46310892"/>
    <w:multiLevelType w:val="hybridMultilevel"/>
    <w:tmpl w:val="BEBA7F0E"/>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15" w15:restartNumberingAfterBreak="0">
    <w:nsid w:val="51F738E9"/>
    <w:multiLevelType w:val="hybridMultilevel"/>
    <w:tmpl w:val="006A5302"/>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6" w15:restartNumberingAfterBreak="0">
    <w:nsid w:val="52D90741"/>
    <w:multiLevelType w:val="hybridMultilevel"/>
    <w:tmpl w:val="D4660E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54561DDE"/>
    <w:multiLevelType w:val="hybridMultilevel"/>
    <w:tmpl w:val="1688E2BC"/>
    <w:lvl w:ilvl="0" w:tplc="C2D27A16">
      <w:start w:val="1"/>
      <w:numFmt w:val="bullet"/>
      <w:lvlText w:val=""/>
      <w:lvlJc w:val="left"/>
      <w:pPr>
        <w:ind w:left="720" w:hanging="360"/>
      </w:pPr>
      <w:rPr>
        <w:rFonts w:ascii="Symbol" w:hAnsi="Symbol" w:hint="default"/>
      </w:rPr>
    </w:lvl>
    <w:lvl w:ilvl="1" w:tplc="0FD830AA">
      <w:start w:val="1"/>
      <w:numFmt w:val="bullet"/>
      <w:lvlText w:val="o"/>
      <w:lvlJc w:val="left"/>
      <w:pPr>
        <w:ind w:left="1440" w:hanging="360"/>
      </w:pPr>
      <w:rPr>
        <w:rFonts w:ascii="Courier New" w:hAnsi="Courier New" w:hint="default"/>
      </w:rPr>
    </w:lvl>
    <w:lvl w:ilvl="2" w:tplc="64FEECA0">
      <w:start w:val="1"/>
      <w:numFmt w:val="bullet"/>
      <w:lvlText w:val=""/>
      <w:lvlJc w:val="left"/>
      <w:pPr>
        <w:ind w:left="2160" w:hanging="360"/>
      </w:pPr>
      <w:rPr>
        <w:rFonts w:ascii="Wingdings" w:hAnsi="Wingdings" w:hint="default"/>
      </w:rPr>
    </w:lvl>
    <w:lvl w:ilvl="3" w:tplc="76B2F7EE">
      <w:start w:val="1"/>
      <w:numFmt w:val="bullet"/>
      <w:lvlText w:val=""/>
      <w:lvlJc w:val="left"/>
      <w:pPr>
        <w:ind w:left="2880" w:hanging="360"/>
      </w:pPr>
      <w:rPr>
        <w:rFonts w:ascii="Symbol" w:hAnsi="Symbol" w:hint="default"/>
      </w:rPr>
    </w:lvl>
    <w:lvl w:ilvl="4" w:tplc="31A62EDE">
      <w:start w:val="1"/>
      <w:numFmt w:val="bullet"/>
      <w:lvlText w:val="o"/>
      <w:lvlJc w:val="left"/>
      <w:pPr>
        <w:ind w:left="3600" w:hanging="360"/>
      </w:pPr>
      <w:rPr>
        <w:rFonts w:ascii="Courier New" w:hAnsi="Courier New" w:hint="default"/>
      </w:rPr>
    </w:lvl>
    <w:lvl w:ilvl="5" w:tplc="52E0DAD8">
      <w:start w:val="1"/>
      <w:numFmt w:val="bullet"/>
      <w:lvlText w:val=""/>
      <w:lvlJc w:val="left"/>
      <w:pPr>
        <w:ind w:left="4320" w:hanging="360"/>
      </w:pPr>
      <w:rPr>
        <w:rFonts w:ascii="Wingdings" w:hAnsi="Wingdings" w:hint="default"/>
      </w:rPr>
    </w:lvl>
    <w:lvl w:ilvl="6" w:tplc="0EAC32B8">
      <w:start w:val="1"/>
      <w:numFmt w:val="bullet"/>
      <w:lvlText w:val=""/>
      <w:lvlJc w:val="left"/>
      <w:pPr>
        <w:ind w:left="5040" w:hanging="360"/>
      </w:pPr>
      <w:rPr>
        <w:rFonts w:ascii="Symbol" w:hAnsi="Symbol" w:hint="default"/>
      </w:rPr>
    </w:lvl>
    <w:lvl w:ilvl="7" w:tplc="1D769EE2">
      <w:start w:val="1"/>
      <w:numFmt w:val="bullet"/>
      <w:lvlText w:val="o"/>
      <w:lvlJc w:val="left"/>
      <w:pPr>
        <w:ind w:left="5760" w:hanging="360"/>
      </w:pPr>
      <w:rPr>
        <w:rFonts w:ascii="Courier New" w:hAnsi="Courier New" w:hint="default"/>
      </w:rPr>
    </w:lvl>
    <w:lvl w:ilvl="8" w:tplc="DBB2F52C">
      <w:start w:val="1"/>
      <w:numFmt w:val="bullet"/>
      <w:lvlText w:val=""/>
      <w:lvlJc w:val="left"/>
      <w:pPr>
        <w:ind w:left="6480" w:hanging="360"/>
      </w:pPr>
      <w:rPr>
        <w:rFonts w:ascii="Wingdings" w:hAnsi="Wingdings" w:hint="default"/>
      </w:rPr>
    </w:lvl>
  </w:abstractNum>
  <w:abstractNum w:abstractNumId="18" w15:restartNumberingAfterBreak="0">
    <w:nsid w:val="557B0EB0"/>
    <w:multiLevelType w:val="hybridMultilevel"/>
    <w:tmpl w:val="3F981116"/>
    <w:lvl w:ilvl="0" w:tplc="E062AC98">
      <w:start w:val="1"/>
      <w:numFmt w:val="bullet"/>
      <w:lvlText w:val=""/>
      <w:lvlJc w:val="left"/>
      <w:pPr>
        <w:ind w:left="720" w:hanging="360"/>
      </w:pPr>
      <w:rPr>
        <w:rFonts w:ascii="Symbol" w:hAnsi="Symbol" w:hint="default"/>
      </w:rPr>
    </w:lvl>
    <w:lvl w:ilvl="1" w:tplc="CF2446F2">
      <w:start w:val="1"/>
      <w:numFmt w:val="bullet"/>
      <w:lvlText w:val="o"/>
      <w:lvlJc w:val="left"/>
      <w:pPr>
        <w:ind w:left="1440" w:hanging="360"/>
      </w:pPr>
      <w:rPr>
        <w:rFonts w:ascii="Courier New" w:hAnsi="Courier New" w:hint="default"/>
      </w:rPr>
    </w:lvl>
    <w:lvl w:ilvl="2" w:tplc="1518991A">
      <w:start w:val="1"/>
      <w:numFmt w:val="bullet"/>
      <w:lvlText w:val=""/>
      <w:lvlJc w:val="left"/>
      <w:pPr>
        <w:ind w:left="2160" w:hanging="360"/>
      </w:pPr>
      <w:rPr>
        <w:rFonts w:ascii="Wingdings" w:hAnsi="Wingdings" w:hint="default"/>
      </w:rPr>
    </w:lvl>
    <w:lvl w:ilvl="3" w:tplc="0BEE07AC">
      <w:start w:val="1"/>
      <w:numFmt w:val="bullet"/>
      <w:lvlText w:val=""/>
      <w:lvlJc w:val="left"/>
      <w:pPr>
        <w:ind w:left="2880" w:hanging="360"/>
      </w:pPr>
      <w:rPr>
        <w:rFonts w:ascii="Symbol" w:hAnsi="Symbol" w:hint="default"/>
      </w:rPr>
    </w:lvl>
    <w:lvl w:ilvl="4" w:tplc="D3C849E4">
      <w:start w:val="1"/>
      <w:numFmt w:val="bullet"/>
      <w:lvlText w:val="o"/>
      <w:lvlJc w:val="left"/>
      <w:pPr>
        <w:ind w:left="3600" w:hanging="360"/>
      </w:pPr>
      <w:rPr>
        <w:rFonts w:ascii="Courier New" w:hAnsi="Courier New" w:hint="default"/>
      </w:rPr>
    </w:lvl>
    <w:lvl w:ilvl="5" w:tplc="022A6FB4">
      <w:start w:val="1"/>
      <w:numFmt w:val="bullet"/>
      <w:lvlText w:val=""/>
      <w:lvlJc w:val="left"/>
      <w:pPr>
        <w:ind w:left="4320" w:hanging="360"/>
      </w:pPr>
      <w:rPr>
        <w:rFonts w:ascii="Wingdings" w:hAnsi="Wingdings" w:hint="default"/>
      </w:rPr>
    </w:lvl>
    <w:lvl w:ilvl="6" w:tplc="A41C4DD2">
      <w:start w:val="1"/>
      <w:numFmt w:val="bullet"/>
      <w:lvlText w:val=""/>
      <w:lvlJc w:val="left"/>
      <w:pPr>
        <w:ind w:left="5040" w:hanging="360"/>
      </w:pPr>
      <w:rPr>
        <w:rFonts w:ascii="Symbol" w:hAnsi="Symbol" w:hint="default"/>
      </w:rPr>
    </w:lvl>
    <w:lvl w:ilvl="7" w:tplc="C36A3FA6">
      <w:start w:val="1"/>
      <w:numFmt w:val="bullet"/>
      <w:lvlText w:val="o"/>
      <w:lvlJc w:val="left"/>
      <w:pPr>
        <w:ind w:left="5760" w:hanging="360"/>
      </w:pPr>
      <w:rPr>
        <w:rFonts w:ascii="Courier New" w:hAnsi="Courier New" w:hint="default"/>
      </w:rPr>
    </w:lvl>
    <w:lvl w:ilvl="8" w:tplc="0FD02432">
      <w:start w:val="1"/>
      <w:numFmt w:val="bullet"/>
      <w:lvlText w:val=""/>
      <w:lvlJc w:val="left"/>
      <w:pPr>
        <w:ind w:left="6480" w:hanging="360"/>
      </w:pPr>
      <w:rPr>
        <w:rFonts w:ascii="Wingdings" w:hAnsi="Wingdings" w:hint="default"/>
      </w:rPr>
    </w:lvl>
  </w:abstractNum>
  <w:abstractNum w:abstractNumId="19" w15:restartNumberingAfterBreak="0">
    <w:nsid w:val="5603706F"/>
    <w:multiLevelType w:val="hybridMultilevel"/>
    <w:tmpl w:val="F93E5234"/>
    <w:lvl w:ilvl="0" w:tplc="1C46FB90">
      <w:start w:val="1"/>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20" w15:restartNumberingAfterBreak="0">
    <w:nsid w:val="5B632D7C"/>
    <w:multiLevelType w:val="hybridMultilevel"/>
    <w:tmpl w:val="1C7E8054"/>
    <w:lvl w:ilvl="0" w:tplc="A4C8FF76">
      <w:start w:val="1"/>
      <w:numFmt w:val="decimal"/>
      <w:lvlText w:val="%1."/>
      <w:lvlJc w:val="left"/>
      <w:pPr>
        <w:ind w:left="768" w:hanging="360"/>
      </w:pPr>
    </w:lvl>
    <w:lvl w:ilvl="1" w:tplc="041A0019">
      <w:start w:val="1"/>
      <w:numFmt w:val="lowerLetter"/>
      <w:lvlText w:val="%2."/>
      <w:lvlJc w:val="left"/>
      <w:pPr>
        <w:ind w:left="1488" w:hanging="360"/>
      </w:pPr>
    </w:lvl>
    <w:lvl w:ilvl="2" w:tplc="041A001B">
      <w:start w:val="1"/>
      <w:numFmt w:val="lowerRoman"/>
      <w:lvlText w:val="%3."/>
      <w:lvlJc w:val="right"/>
      <w:pPr>
        <w:ind w:left="2208" w:hanging="180"/>
      </w:pPr>
    </w:lvl>
    <w:lvl w:ilvl="3" w:tplc="041A000F">
      <w:start w:val="1"/>
      <w:numFmt w:val="decimal"/>
      <w:lvlText w:val="%4."/>
      <w:lvlJc w:val="left"/>
      <w:pPr>
        <w:ind w:left="2928" w:hanging="360"/>
      </w:pPr>
    </w:lvl>
    <w:lvl w:ilvl="4" w:tplc="041A0019">
      <w:start w:val="1"/>
      <w:numFmt w:val="lowerLetter"/>
      <w:lvlText w:val="%5."/>
      <w:lvlJc w:val="left"/>
      <w:pPr>
        <w:ind w:left="3648" w:hanging="360"/>
      </w:pPr>
    </w:lvl>
    <w:lvl w:ilvl="5" w:tplc="041A001B">
      <w:start w:val="1"/>
      <w:numFmt w:val="lowerRoman"/>
      <w:lvlText w:val="%6."/>
      <w:lvlJc w:val="right"/>
      <w:pPr>
        <w:ind w:left="4368" w:hanging="180"/>
      </w:pPr>
    </w:lvl>
    <w:lvl w:ilvl="6" w:tplc="041A000F">
      <w:start w:val="1"/>
      <w:numFmt w:val="decimal"/>
      <w:lvlText w:val="%7."/>
      <w:lvlJc w:val="left"/>
      <w:pPr>
        <w:ind w:left="5088" w:hanging="360"/>
      </w:pPr>
    </w:lvl>
    <w:lvl w:ilvl="7" w:tplc="041A0019">
      <w:start w:val="1"/>
      <w:numFmt w:val="lowerLetter"/>
      <w:lvlText w:val="%8."/>
      <w:lvlJc w:val="left"/>
      <w:pPr>
        <w:ind w:left="5808" w:hanging="360"/>
      </w:pPr>
    </w:lvl>
    <w:lvl w:ilvl="8" w:tplc="041A001B">
      <w:start w:val="1"/>
      <w:numFmt w:val="lowerRoman"/>
      <w:lvlText w:val="%9."/>
      <w:lvlJc w:val="right"/>
      <w:pPr>
        <w:ind w:left="6528" w:hanging="180"/>
      </w:pPr>
    </w:lvl>
  </w:abstractNum>
  <w:abstractNum w:abstractNumId="21" w15:restartNumberingAfterBreak="0">
    <w:nsid w:val="60473F87"/>
    <w:multiLevelType w:val="hybridMultilevel"/>
    <w:tmpl w:val="B9D48DF8"/>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22" w15:restartNumberingAfterBreak="0">
    <w:nsid w:val="616228C2"/>
    <w:multiLevelType w:val="hybridMultilevel"/>
    <w:tmpl w:val="AC92DC4C"/>
    <w:lvl w:ilvl="0" w:tplc="0A28E094">
      <w:start w:val="1"/>
      <w:numFmt w:val="bullet"/>
      <w:lvlText w:val=""/>
      <w:lvlJc w:val="left"/>
      <w:pPr>
        <w:ind w:left="720" w:hanging="360"/>
      </w:pPr>
      <w:rPr>
        <w:rFonts w:ascii="Wingdings" w:hAnsi="Wingdings" w:cs="Wingdings" w:hint="default"/>
        <w:color w:val="39617A"/>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655B2E26"/>
    <w:multiLevelType w:val="hybridMultilevel"/>
    <w:tmpl w:val="69543F0E"/>
    <w:lvl w:ilvl="0" w:tplc="01CA0E84">
      <w:start w:val="1"/>
      <w:numFmt w:val="bullet"/>
      <w:lvlText w:val=""/>
      <w:lvlJc w:val="left"/>
      <w:pPr>
        <w:ind w:left="1080" w:hanging="360"/>
      </w:pPr>
      <w:rPr>
        <w:rFonts w:ascii="Wingdings" w:hAnsi="Wingdings" w:hint="default"/>
        <w:color w:val="39577A"/>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24" w15:restartNumberingAfterBreak="0">
    <w:nsid w:val="6E59196F"/>
    <w:multiLevelType w:val="multilevel"/>
    <w:tmpl w:val="BE14B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EC42761"/>
    <w:multiLevelType w:val="hybridMultilevel"/>
    <w:tmpl w:val="BEBA7F0E"/>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26" w15:restartNumberingAfterBreak="0">
    <w:nsid w:val="726E48CF"/>
    <w:multiLevelType w:val="hybridMultilevel"/>
    <w:tmpl w:val="FB42A2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2A61F23"/>
    <w:multiLevelType w:val="hybridMultilevel"/>
    <w:tmpl w:val="62F23B0C"/>
    <w:lvl w:ilvl="0" w:tplc="968E74F4">
      <w:start w:val="1"/>
      <w:numFmt w:val="bullet"/>
      <w:lvlText w:val=""/>
      <w:lvlJc w:val="left"/>
      <w:pPr>
        <w:tabs>
          <w:tab w:val="num" w:pos="720"/>
        </w:tabs>
        <w:ind w:left="720" w:hanging="360"/>
      </w:pPr>
      <w:rPr>
        <w:rFonts w:ascii="Wingdings 3" w:hAnsi="Wingdings 3" w:hint="default"/>
      </w:rPr>
    </w:lvl>
    <w:lvl w:ilvl="1" w:tplc="2CA65412" w:tentative="1">
      <w:start w:val="1"/>
      <w:numFmt w:val="bullet"/>
      <w:lvlText w:val=""/>
      <w:lvlJc w:val="left"/>
      <w:pPr>
        <w:tabs>
          <w:tab w:val="num" w:pos="1440"/>
        </w:tabs>
        <w:ind w:left="1440" w:hanging="360"/>
      </w:pPr>
      <w:rPr>
        <w:rFonts w:ascii="Wingdings 3" w:hAnsi="Wingdings 3" w:hint="default"/>
      </w:rPr>
    </w:lvl>
    <w:lvl w:ilvl="2" w:tplc="8A7E9F92" w:tentative="1">
      <w:start w:val="1"/>
      <w:numFmt w:val="bullet"/>
      <w:lvlText w:val=""/>
      <w:lvlJc w:val="left"/>
      <w:pPr>
        <w:tabs>
          <w:tab w:val="num" w:pos="2160"/>
        </w:tabs>
        <w:ind w:left="2160" w:hanging="360"/>
      </w:pPr>
      <w:rPr>
        <w:rFonts w:ascii="Wingdings 3" w:hAnsi="Wingdings 3" w:hint="default"/>
      </w:rPr>
    </w:lvl>
    <w:lvl w:ilvl="3" w:tplc="1748AE36" w:tentative="1">
      <w:start w:val="1"/>
      <w:numFmt w:val="bullet"/>
      <w:lvlText w:val=""/>
      <w:lvlJc w:val="left"/>
      <w:pPr>
        <w:tabs>
          <w:tab w:val="num" w:pos="2880"/>
        </w:tabs>
        <w:ind w:left="2880" w:hanging="360"/>
      </w:pPr>
      <w:rPr>
        <w:rFonts w:ascii="Wingdings 3" w:hAnsi="Wingdings 3" w:hint="default"/>
      </w:rPr>
    </w:lvl>
    <w:lvl w:ilvl="4" w:tplc="EBD868BA" w:tentative="1">
      <w:start w:val="1"/>
      <w:numFmt w:val="bullet"/>
      <w:lvlText w:val=""/>
      <w:lvlJc w:val="left"/>
      <w:pPr>
        <w:tabs>
          <w:tab w:val="num" w:pos="3600"/>
        </w:tabs>
        <w:ind w:left="3600" w:hanging="360"/>
      </w:pPr>
      <w:rPr>
        <w:rFonts w:ascii="Wingdings 3" w:hAnsi="Wingdings 3" w:hint="default"/>
      </w:rPr>
    </w:lvl>
    <w:lvl w:ilvl="5" w:tplc="239ECB88" w:tentative="1">
      <w:start w:val="1"/>
      <w:numFmt w:val="bullet"/>
      <w:lvlText w:val=""/>
      <w:lvlJc w:val="left"/>
      <w:pPr>
        <w:tabs>
          <w:tab w:val="num" w:pos="4320"/>
        </w:tabs>
        <w:ind w:left="4320" w:hanging="360"/>
      </w:pPr>
      <w:rPr>
        <w:rFonts w:ascii="Wingdings 3" w:hAnsi="Wingdings 3" w:hint="default"/>
      </w:rPr>
    </w:lvl>
    <w:lvl w:ilvl="6" w:tplc="B08C89BA" w:tentative="1">
      <w:start w:val="1"/>
      <w:numFmt w:val="bullet"/>
      <w:lvlText w:val=""/>
      <w:lvlJc w:val="left"/>
      <w:pPr>
        <w:tabs>
          <w:tab w:val="num" w:pos="5040"/>
        </w:tabs>
        <w:ind w:left="5040" w:hanging="360"/>
      </w:pPr>
      <w:rPr>
        <w:rFonts w:ascii="Wingdings 3" w:hAnsi="Wingdings 3" w:hint="default"/>
      </w:rPr>
    </w:lvl>
    <w:lvl w:ilvl="7" w:tplc="46D825A6" w:tentative="1">
      <w:start w:val="1"/>
      <w:numFmt w:val="bullet"/>
      <w:lvlText w:val=""/>
      <w:lvlJc w:val="left"/>
      <w:pPr>
        <w:tabs>
          <w:tab w:val="num" w:pos="5760"/>
        </w:tabs>
        <w:ind w:left="5760" w:hanging="360"/>
      </w:pPr>
      <w:rPr>
        <w:rFonts w:ascii="Wingdings 3" w:hAnsi="Wingdings 3" w:hint="default"/>
      </w:rPr>
    </w:lvl>
    <w:lvl w:ilvl="8" w:tplc="BC884910" w:tentative="1">
      <w:start w:val="1"/>
      <w:numFmt w:val="bullet"/>
      <w:lvlText w:val=""/>
      <w:lvlJc w:val="left"/>
      <w:pPr>
        <w:tabs>
          <w:tab w:val="num" w:pos="6480"/>
        </w:tabs>
        <w:ind w:left="6480" w:hanging="360"/>
      </w:pPr>
      <w:rPr>
        <w:rFonts w:ascii="Wingdings 3" w:hAnsi="Wingdings 3" w:hint="default"/>
      </w:rPr>
    </w:lvl>
  </w:abstractNum>
  <w:abstractNum w:abstractNumId="28" w15:restartNumberingAfterBreak="0">
    <w:nsid w:val="757D05A6"/>
    <w:multiLevelType w:val="hybridMultilevel"/>
    <w:tmpl w:val="DC949702"/>
    <w:lvl w:ilvl="0" w:tplc="1E7007EA">
      <w:start w:val="13"/>
      <w:numFmt w:val="bullet"/>
      <w:lvlText w:val="-"/>
      <w:lvlJc w:val="left"/>
      <w:pPr>
        <w:ind w:left="720" w:hanging="360"/>
      </w:pPr>
      <w:rPr>
        <w:rFonts w:ascii="Calibri" w:eastAsiaTheme="minorHAnsi" w:hAnsi="Calibri" w:cs="Calibri"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abstractNum w:abstractNumId="29" w15:restartNumberingAfterBreak="0">
    <w:nsid w:val="76E170BC"/>
    <w:multiLevelType w:val="hybridMultilevel"/>
    <w:tmpl w:val="4462E7B6"/>
    <w:lvl w:ilvl="0" w:tplc="01CA0E84">
      <w:start w:val="1"/>
      <w:numFmt w:val="bullet"/>
      <w:lvlText w:val=""/>
      <w:lvlJc w:val="left"/>
      <w:pPr>
        <w:ind w:left="720" w:hanging="360"/>
      </w:pPr>
      <w:rPr>
        <w:rFonts w:ascii="Wingdings" w:hAnsi="Wingdings" w:hint="default"/>
        <w:color w:val="39577A"/>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77B7162"/>
    <w:multiLevelType w:val="hybridMultilevel"/>
    <w:tmpl w:val="BEBA7F0E"/>
    <w:lvl w:ilvl="0" w:tplc="041A000F">
      <w:start w:val="1"/>
      <w:numFmt w:val="decimal"/>
      <w:lvlText w:val="%1."/>
      <w:lvlJc w:val="left"/>
      <w:pPr>
        <w:ind w:left="720" w:hanging="360"/>
      </w:pPr>
    </w:lvl>
    <w:lvl w:ilvl="1" w:tplc="041A0019">
      <w:start w:val="1"/>
      <w:numFmt w:val="lowerLetter"/>
      <w:lvlText w:val="%2."/>
      <w:lvlJc w:val="left"/>
      <w:pPr>
        <w:ind w:left="1440" w:hanging="360"/>
      </w:pPr>
    </w:lvl>
    <w:lvl w:ilvl="2" w:tplc="041A001B">
      <w:start w:val="1"/>
      <w:numFmt w:val="lowerRoman"/>
      <w:lvlText w:val="%3."/>
      <w:lvlJc w:val="right"/>
      <w:pPr>
        <w:ind w:left="2160" w:hanging="180"/>
      </w:pPr>
    </w:lvl>
    <w:lvl w:ilvl="3" w:tplc="041A000F">
      <w:start w:val="1"/>
      <w:numFmt w:val="decimal"/>
      <w:lvlText w:val="%4."/>
      <w:lvlJc w:val="left"/>
      <w:pPr>
        <w:ind w:left="2880" w:hanging="360"/>
      </w:pPr>
    </w:lvl>
    <w:lvl w:ilvl="4" w:tplc="041A0019">
      <w:start w:val="1"/>
      <w:numFmt w:val="lowerLetter"/>
      <w:lvlText w:val="%5."/>
      <w:lvlJc w:val="left"/>
      <w:pPr>
        <w:ind w:left="3600" w:hanging="360"/>
      </w:pPr>
    </w:lvl>
    <w:lvl w:ilvl="5" w:tplc="041A001B">
      <w:start w:val="1"/>
      <w:numFmt w:val="lowerRoman"/>
      <w:lvlText w:val="%6."/>
      <w:lvlJc w:val="right"/>
      <w:pPr>
        <w:ind w:left="4320" w:hanging="180"/>
      </w:pPr>
    </w:lvl>
    <w:lvl w:ilvl="6" w:tplc="041A000F">
      <w:start w:val="1"/>
      <w:numFmt w:val="decimal"/>
      <w:lvlText w:val="%7."/>
      <w:lvlJc w:val="left"/>
      <w:pPr>
        <w:ind w:left="5040" w:hanging="360"/>
      </w:pPr>
    </w:lvl>
    <w:lvl w:ilvl="7" w:tplc="041A0019">
      <w:start w:val="1"/>
      <w:numFmt w:val="lowerLetter"/>
      <w:lvlText w:val="%8."/>
      <w:lvlJc w:val="left"/>
      <w:pPr>
        <w:ind w:left="5760" w:hanging="360"/>
      </w:pPr>
    </w:lvl>
    <w:lvl w:ilvl="8" w:tplc="041A001B">
      <w:start w:val="1"/>
      <w:numFmt w:val="lowerRoman"/>
      <w:lvlText w:val="%9."/>
      <w:lvlJc w:val="right"/>
      <w:pPr>
        <w:ind w:left="6480" w:hanging="180"/>
      </w:pPr>
    </w:lvl>
  </w:abstractNum>
  <w:abstractNum w:abstractNumId="31" w15:restartNumberingAfterBreak="0">
    <w:nsid w:val="78A345C9"/>
    <w:multiLevelType w:val="hybridMultilevel"/>
    <w:tmpl w:val="D504A4AC"/>
    <w:lvl w:ilvl="0" w:tplc="041A0001">
      <w:start w:val="1"/>
      <w:numFmt w:val="bullet"/>
      <w:lvlText w:val=""/>
      <w:lvlJc w:val="left"/>
      <w:pPr>
        <w:ind w:left="720" w:hanging="360"/>
      </w:pPr>
      <w:rPr>
        <w:rFonts w:ascii="Symbol" w:hAnsi="Symbol" w:hint="default"/>
      </w:rPr>
    </w:lvl>
    <w:lvl w:ilvl="1" w:tplc="041A0003">
      <w:start w:val="1"/>
      <w:numFmt w:val="bullet"/>
      <w:lvlText w:val="o"/>
      <w:lvlJc w:val="left"/>
      <w:pPr>
        <w:ind w:left="1440" w:hanging="360"/>
      </w:pPr>
      <w:rPr>
        <w:rFonts w:ascii="Courier New" w:hAnsi="Courier New" w:cs="Courier New" w:hint="default"/>
      </w:rPr>
    </w:lvl>
    <w:lvl w:ilvl="2" w:tplc="041A0005">
      <w:start w:val="1"/>
      <w:numFmt w:val="bullet"/>
      <w:lvlText w:val=""/>
      <w:lvlJc w:val="left"/>
      <w:pPr>
        <w:ind w:left="2160" w:hanging="360"/>
      </w:pPr>
      <w:rPr>
        <w:rFonts w:ascii="Wingdings" w:hAnsi="Wingdings" w:hint="default"/>
      </w:rPr>
    </w:lvl>
    <w:lvl w:ilvl="3" w:tplc="041A0001">
      <w:start w:val="1"/>
      <w:numFmt w:val="bullet"/>
      <w:lvlText w:val=""/>
      <w:lvlJc w:val="left"/>
      <w:pPr>
        <w:ind w:left="2880" w:hanging="360"/>
      </w:pPr>
      <w:rPr>
        <w:rFonts w:ascii="Symbol" w:hAnsi="Symbol" w:hint="default"/>
      </w:rPr>
    </w:lvl>
    <w:lvl w:ilvl="4" w:tplc="041A0003">
      <w:start w:val="1"/>
      <w:numFmt w:val="bullet"/>
      <w:lvlText w:val="o"/>
      <w:lvlJc w:val="left"/>
      <w:pPr>
        <w:ind w:left="3600" w:hanging="360"/>
      </w:pPr>
      <w:rPr>
        <w:rFonts w:ascii="Courier New" w:hAnsi="Courier New" w:cs="Courier New" w:hint="default"/>
      </w:rPr>
    </w:lvl>
    <w:lvl w:ilvl="5" w:tplc="041A0005">
      <w:start w:val="1"/>
      <w:numFmt w:val="bullet"/>
      <w:lvlText w:val=""/>
      <w:lvlJc w:val="left"/>
      <w:pPr>
        <w:ind w:left="4320" w:hanging="360"/>
      </w:pPr>
      <w:rPr>
        <w:rFonts w:ascii="Wingdings" w:hAnsi="Wingdings" w:hint="default"/>
      </w:rPr>
    </w:lvl>
    <w:lvl w:ilvl="6" w:tplc="041A0001">
      <w:start w:val="1"/>
      <w:numFmt w:val="bullet"/>
      <w:lvlText w:val=""/>
      <w:lvlJc w:val="left"/>
      <w:pPr>
        <w:ind w:left="5040" w:hanging="360"/>
      </w:pPr>
      <w:rPr>
        <w:rFonts w:ascii="Symbol" w:hAnsi="Symbol" w:hint="default"/>
      </w:rPr>
    </w:lvl>
    <w:lvl w:ilvl="7" w:tplc="041A0003">
      <w:start w:val="1"/>
      <w:numFmt w:val="bullet"/>
      <w:lvlText w:val="o"/>
      <w:lvlJc w:val="left"/>
      <w:pPr>
        <w:ind w:left="5760" w:hanging="360"/>
      </w:pPr>
      <w:rPr>
        <w:rFonts w:ascii="Courier New" w:hAnsi="Courier New" w:cs="Courier New" w:hint="default"/>
      </w:rPr>
    </w:lvl>
    <w:lvl w:ilvl="8" w:tplc="041A0005">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18"/>
  </w:num>
  <w:num w:numId="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2"/>
  </w:num>
  <w:num w:numId="9">
    <w:abstractNumId w:val="23"/>
  </w:num>
  <w:num w:numId="10">
    <w:abstractNumId w:val="7"/>
  </w:num>
  <w:num w:numId="11">
    <w:abstractNumId w:val="22"/>
  </w:num>
  <w:num w:numId="12">
    <w:abstractNumId w:val="0"/>
  </w:num>
  <w:num w:numId="13">
    <w:abstractNumId w:val="29"/>
  </w:num>
  <w:num w:numId="14">
    <w:abstractNumId w:val="31"/>
  </w:num>
  <w:num w:numId="15">
    <w:abstractNumId w:val="28"/>
  </w:num>
  <w:num w:numId="16">
    <w:abstractNumId w:val="13"/>
  </w:num>
  <w:num w:numId="17">
    <w:abstractNumId w:val="26"/>
  </w:num>
  <w:num w:numId="18">
    <w:abstractNumId w:val="16"/>
  </w:num>
  <w:num w:numId="19">
    <w:abstractNumId w:val="8"/>
  </w:num>
  <w:num w:numId="20">
    <w:abstractNumId w:val="4"/>
  </w:num>
  <w:num w:numId="21">
    <w:abstractNumId w:val="3"/>
  </w:num>
  <w:num w:numId="22">
    <w:abstractNumId w:val="12"/>
  </w:num>
  <w:num w:numId="23">
    <w:abstractNumId w:val="10"/>
  </w:num>
  <w:num w:numId="24">
    <w:abstractNumId w:val="11"/>
  </w:num>
  <w:num w:numId="25">
    <w:abstractNumId w:val="9"/>
  </w:num>
  <w:num w:numId="26">
    <w:abstractNumId w:val="1"/>
  </w:num>
  <w:num w:numId="27">
    <w:abstractNumId w:val="19"/>
  </w:num>
  <w:num w:numId="28">
    <w:abstractNumId w:val="19"/>
    <w:lvlOverride w:ilvl="0">
      <w:startOverride w:val="11"/>
    </w:lvlOverride>
  </w:num>
  <w:num w:numId="29">
    <w:abstractNumId w:val="19"/>
    <w:lvlOverride w:ilvl="0">
      <w:startOverride w:val="10"/>
    </w:lvlOverride>
  </w:num>
  <w:num w:numId="30">
    <w:abstractNumId w:val="19"/>
  </w:num>
  <w:num w:numId="31">
    <w:abstractNumId w:val="14"/>
  </w:num>
  <w:num w:numId="32">
    <w:abstractNumId w:val="19"/>
  </w:num>
  <w:num w:numId="33">
    <w:abstractNumId w:val="19"/>
    <w:lvlOverride w:ilvl="0">
      <w:startOverride w:val="1"/>
    </w:lvlOverride>
  </w:num>
  <w:num w:numId="34">
    <w:abstractNumId w:val="4"/>
    <w:lvlOverride w:ilvl="0">
      <w:startOverride w:val="1"/>
    </w:lvlOverride>
  </w:num>
  <w:num w:numId="35">
    <w:abstractNumId w:val="15"/>
  </w:num>
  <w:num w:numId="36">
    <w:abstractNumId w:val="24"/>
  </w:num>
  <w:num w:numId="37">
    <w:abstractNumId w:val="27"/>
  </w:num>
  <w:num w:numId="38">
    <w:abstractNumId w:val="4"/>
  </w:num>
  <w:num w:numId="39">
    <w:abstractNumId w:val="6"/>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ja Flegar">
    <w15:presenceInfo w15:providerId="None" w15:userId="Maja Flegar"/>
  </w15:person>
  <w15:person w15:author="Tomislav Keglević">
    <w15:presenceInfo w15:providerId="AD" w15:userId="S::tomislav@zara.hr::774196d3-772a-472a-8b6e-be46f34ad1e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GrammaticalErrors/>
  <w:proofState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azMDQ3sjA3NzM3NzFW0lEKTi0uzszPAykwtKgFAOubgZ4tAAAA"/>
  </w:docVars>
  <w:rsids>
    <w:rsidRoot w:val="00AB538E"/>
    <w:rsid w:val="000012AF"/>
    <w:rsid w:val="00001B03"/>
    <w:rsid w:val="000026B6"/>
    <w:rsid w:val="00002D91"/>
    <w:rsid w:val="0000334E"/>
    <w:rsid w:val="00003354"/>
    <w:rsid w:val="000042D5"/>
    <w:rsid w:val="00004C34"/>
    <w:rsid w:val="00004F7D"/>
    <w:rsid w:val="000054D2"/>
    <w:rsid w:val="00005B6D"/>
    <w:rsid w:val="00005BB9"/>
    <w:rsid w:val="00005FE7"/>
    <w:rsid w:val="000061E9"/>
    <w:rsid w:val="00007563"/>
    <w:rsid w:val="0000782A"/>
    <w:rsid w:val="000103D5"/>
    <w:rsid w:val="00010A1C"/>
    <w:rsid w:val="00010B06"/>
    <w:rsid w:val="00010DAB"/>
    <w:rsid w:val="00010F2B"/>
    <w:rsid w:val="000115D1"/>
    <w:rsid w:val="00011BE4"/>
    <w:rsid w:val="00012606"/>
    <w:rsid w:val="000126B7"/>
    <w:rsid w:val="000130A9"/>
    <w:rsid w:val="000134D7"/>
    <w:rsid w:val="00013D18"/>
    <w:rsid w:val="00013DEC"/>
    <w:rsid w:val="00014802"/>
    <w:rsid w:val="00017536"/>
    <w:rsid w:val="0001759D"/>
    <w:rsid w:val="00020639"/>
    <w:rsid w:val="00020747"/>
    <w:rsid w:val="00020C1D"/>
    <w:rsid w:val="00022303"/>
    <w:rsid w:val="00022636"/>
    <w:rsid w:val="00022ADB"/>
    <w:rsid w:val="00022FA0"/>
    <w:rsid w:val="000232A5"/>
    <w:rsid w:val="00023A35"/>
    <w:rsid w:val="00025290"/>
    <w:rsid w:val="00025C03"/>
    <w:rsid w:val="0002715A"/>
    <w:rsid w:val="00027291"/>
    <w:rsid w:val="0002796E"/>
    <w:rsid w:val="00027BB2"/>
    <w:rsid w:val="00030161"/>
    <w:rsid w:val="0003107D"/>
    <w:rsid w:val="00032A87"/>
    <w:rsid w:val="00032C27"/>
    <w:rsid w:val="00033A06"/>
    <w:rsid w:val="00033B0B"/>
    <w:rsid w:val="00033D36"/>
    <w:rsid w:val="00034CBC"/>
    <w:rsid w:val="00034F8F"/>
    <w:rsid w:val="00035E26"/>
    <w:rsid w:val="000368D0"/>
    <w:rsid w:val="00037256"/>
    <w:rsid w:val="00040226"/>
    <w:rsid w:val="0004029C"/>
    <w:rsid w:val="000403E5"/>
    <w:rsid w:val="0004063C"/>
    <w:rsid w:val="0004155A"/>
    <w:rsid w:val="00042B79"/>
    <w:rsid w:val="00044486"/>
    <w:rsid w:val="00044A3D"/>
    <w:rsid w:val="000451FC"/>
    <w:rsid w:val="00045EB5"/>
    <w:rsid w:val="00046396"/>
    <w:rsid w:val="000468C6"/>
    <w:rsid w:val="00046C49"/>
    <w:rsid w:val="00047004"/>
    <w:rsid w:val="0004778C"/>
    <w:rsid w:val="0004792B"/>
    <w:rsid w:val="00047B61"/>
    <w:rsid w:val="000509CF"/>
    <w:rsid w:val="0005196F"/>
    <w:rsid w:val="000527DB"/>
    <w:rsid w:val="00052864"/>
    <w:rsid w:val="000532A2"/>
    <w:rsid w:val="000532C5"/>
    <w:rsid w:val="0005390C"/>
    <w:rsid w:val="000543D9"/>
    <w:rsid w:val="0005533E"/>
    <w:rsid w:val="000556DC"/>
    <w:rsid w:val="00055ED1"/>
    <w:rsid w:val="00056887"/>
    <w:rsid w:val="000577C5"/>
    <w:rsid w:val="00057C1E"/>
    <w:rsid w:val="0006033B"/>
    <w:rsid w:val="0006080E"/>
    <w:rsid w:val="0006179C"/>
    <w:rsid w:val="00061F35"/>
    <w:rsid w:val="000630AD"/>
    <w:rsid w:val="000630BC"/>
    <w:rsid w:val="0006411E"/>
    <w:rsid w:val="000659C9"/>
    <w:rsid w:val="00065A9C"/>
    <w:rsid w:val="00065C58"/>
    <w:rsid w:val="0006618B"/>
    <w:rsid w:val="000661F2"/>
    <w:rsid w:val="0006713C"/>
    <w:rsid w:val="000702E3"/>
    <w:rsid w:val="0007034B"/>
    <w:rsid w:val="000707FE"/>
    <w:rsid w:val="000712EA"/>
    <w:rsid w:val="000717D1"/>
    <w:rsid w:val="000726AD"/>
    <w:rsid w:val="00072AF5"/>
    <w:rsid w:val="00073054"/>
    <w:rsid w:val="00073221"/>
    <w:rsid w:val="00073894"/>
    <w:rsid w:val="000738CE"/>
    <w:rsid w:val="000738F4"/>
    <w:rsid w:val="00073ED9"/>
    <w:rsid w:val="000746C8"/>
    <w:rsid w:val="000750AA"/>
    <w:rsid w:val="00075292"/>
    <w:rsid w:val="00075EAD"/>
    <w:rsid w:val="0007695D"/>
    <w:rsid w:val="00076B5A"/>
    <w:rsid w:val="00081B4D"/>
    <w:rsid w:val="00081C91"/>
    <w:rsid w:val="00081CD9"/>
    <w:rsid w:val="00083360"/>
    <w:rsid w:val="00083AE7"/>
    <w:rsid w:val="0008467D"/>
    <w:rsid w:val="00084FC8"/>
    <w:rsid w:val="000861BA"/>
    <w:rsid w:val="00087464"/>
    <w:rsid w:val="00087F2B"/>
    <w:rsid w:val="0009005A"/>
    <w:rsid w:val="0009057C"/>
    <w:rsid w:val="00090AB0"/>
    <w:rsid w:val="00091FDD"/>
    <w:rsid w:val="0009205D"/>
    <w:rsid w:val="000931C8"/>
    <w:rsid w:val="00093845"/>
    <w:rsid w:val="0009386E"/>
    <w:rsid w:val="000939B0"/>
    <w:rsid w:val="00094630"/>
    <w:rsid w:val="00094787"/>
    <w:rsid w:val="00094F87"/>
    <w:rsid w:val="0009528D"/>
    <w:rsid w:val="00096498"/>
    <w:rsid w:val="00096C6A"/>
    <w:rsid w:val="000976DA"/>
    <w:rsid w:val="00097876"/>
    <w:rsid w:val="00097F5B"/>
    <w:rsid w:val="000A0A18"/>
    <w:rsid w:val="000A12C3"/>
    <w:rsid w:val="000A232E"/>
    <w:rsid w:val="000A2336"/>
    <w:rsid w:val="000A2EB8"/>
    <w:rsid w:val="000A2F2B"/>
    <w:rsid w:val="000A346F"/>
    <w:rsid w:val="000A3A85"/>
    <w:rsid w:val="000A3C21"/>
    <w:rsid w:val="000A4112"/>
    <w:rsid w:val="000A4F1E"/>
    <w:rsid w:val="000A528E"/>
    <w:rsid w:val="000A5781"/>
    <w:rsid w:val="000A5B9B"/>
    <w:rsid w:val="000A76D7"/>
    <w:rsid w:val="000B0C15"/>
    <w:rsid w:val="000B0C82"/>
    <w:rsid w:val="000B11FB"/>
    <w:rsid w:val="000B1F3D"/>
    <w:rsid w:val="000B246F"/>
    <w:rsid w:val="000B2632"/>
    <w:rsid w:val="000B38B8"/>
    <w:rsid w:val="000B39EC"/>
    <w:rsid w:val="000B4418"/>
    <w:rsid w:val="000B55A8"/>
    <w:rsid w:val="000B5B11"/>
    <w:rsid w:val="000B5E01"/>
    <w:rsid w:val="000B5E4D"/>
    <w:rsid w:val="000B6070"/>
    <w:rsid w:val="000B6217"/>
    <w:rsid w:val="000B6330"/>
    <w:rsid w:val="000B6AEE"/>
    <w:rsid w:val="000B6D47"/>
    <w:rsid w:val="000B728E"/>
    <w:rsid w:val="000B72C2"/>
    <w:rsid w:val="000B7B05"/>
    <w:rsid w:val="000C01F7"/>
    <w:rsid w:val="000C2652"/>
    <w:rsid w:val="000C3E04"/>
    <w:rsid w:val="000C3EDA"/>
    <w:rsid w:val="000C401B"/>
    <w:rsid w:val="000C4E9D"/>
    <w:rsid w:val="000C5489"/>
    <w:rsid w:val="000C5954"/>
    <w:rsid w:val="000C5992"/>
    <w:rsid w:val="000C5C34"/>
    <w:rsid w:val="000C6213"/>
    <w:rsid w:val="000C6C8D"/>
    <w:rsid w:val="000C6DD6"/>
    <w:rsid w:val="000C6E77"/>
    <w:rsid w:val="000C7313"/>
    <w:rsid w:val="000C76E4"/>
    <w:rsid w:val="000D01DF"/>
    <w:rsid w:val="000D11E3"/>
    <w:rsid w:val="000D200F"/>
    <w:rsid w:val="000D2988"/>
    <w:rsid w:val="000D2AF8"/>
    <w:rsid w:val="000D2B7D"/>
    <w:rsid w:val="000D2D67"/>
    <w:rsid w:val="000D3266"/>
    <w:rsid w:val="000D3378"/>
    <w:rsid w:val="000D371D"/>
    <w:rsid w:val="000D3F07"/>
    <w:rsid w:val="000D418A"/>
    <w:rsid w:val="000D4A2C"/>
    <w:rsid w:val="000D52AA"/>
    <w:rsid w:val="000D5420"/>
    <w:rsid w:val="000D5634"/>
    <w:rsid w:val="000D5753"/>
    <w:rsid w:val="000D57FF"/>
    <w:rsid w:val="000D58F5"/>
    <w:rsid w:val="000D5E3F"/>
    <w:rsid w:val="000D6724"/>
    <w:rsid w:val="000D70EE"/>
    <w:rsid w:val="000D73C4"/>
    <w:rsid w:val="000D742F"/>
    <w:rsid w:val="000E0938"/>
    <w:rsid w:val="000E0F6D"/>
    <w:rsid w:val="000E1497"/>
    <w:rsid w:val="000E1FFD"/>
    <w:rsid w:val="000E205A"/>
    <w:rsid w:val="000E3436"/>
    <w:rsid w:val="000E440C"/>
    <w:rsid w:val="000E4751"/>
    <w:rsid w:val="000E4A5D"/>
    <w:rsid w:val="000E4BDE"/>
    <w:rsid w:val="000E675E"/>
    <w:rsid w:val="000E73D7"/>
    <w:rsid w:val="000E7442"/>
    <w:rsid w:val="000F06D0"/>
    <w:rsid w:val="000F0EAC"/>
    <w:rsid w:val="000F0F92"/>
    <w:rsid w:val="000F0FF0"/>
    <w:rsid w:val="000F2056"/>
    <w:rsid w:val="000F2E58"/>
    <w:rsid w:val="000F37CE"/>
    <w:rsid w:val="000F38B1"/>
    <w:rsid w:val="000F3983"/>
    <w:rsid w:val="000F3D8C"/>
    <w:rsid w:val="000F3E1A"/>
    <w:rsid w:val="000F412C"/>
    <w:rsid w:val="000F4291"/>
    <w:rsid w:val="000F4955"/>
    <w:rsid w:val="000F53D0"/>
    <w:rsid w:val="000F64ED"/>
    <w:rsid w:val="000F6E78"/>
    <w:rsid w:val="000F7D8E"/>
    <w:rsid w:val="0010026E"/>
    <w:rsid w:val="001004D3"/>
    <w:rsid w:val="00100F78"/>
    <w:rsid w:val="00102065"/>
    <w:rsid w:val="00102123"/>
    <w:rsid w:val="001026A1"/>
    <w:rsid w:val="00102A40"/>
    <w:rsid w:val="00103256"/>
    <w:rsid w:val="001046C2"/>
    <w:rsid w:val="00104F77"/>
    <w:rsid w:val="0010503B"/>
    <w:rsid w:val="0010569F"/>
    <w:rsid w:val="00105C0F"/>
    <w:rsid w:val="001074D5"/>
    <w:rsid w:val="001077FE"/>
    <w:rsid w:val="00107BCB"/>
    <w:rsid w:val="00110550"/>
    <w:rsid w:val="001117C4"/>
    <w:rsid w:val="00113097"/>
    <w:rsid w:val="001139FB"/>
    <w:rsid w:val="00113AF2"/>
    <w:rsid w:val="00114CB7"/>
    <w:rsid w:val="00114EF1"/>
    <w:rsid w:val="00115ED9"/>
    <w:rsid w:val="00116C07"/>
    <w:rsid w:val="00116F08"/>
    <w:rsid w:val="001170AD"/>
    <w:rsid w:val="00117582"/>
    <w:rsid w:val="0011775F"/>
    <w:rsid w:val="001179C7"/>
    <w:rsid w:val="001179DA"/>
    <w:rsid w:val="001200D5"/>
    <w:rsid w:val="00120311"/>
    <w:rsid w:val="001211C4"/>
    <w:rsid w:val="0012149F"/>
    <w:rsid w:val="001219FF"/>
    <w:rsid w:val="00121A48"/>
    <w:rsid w:val="00121A8B"/>
    <w:rsid w:val="001226E5"/>
    <w:rsid w:val="00122EA1"/>
    <w:rsid w:val="00123099"/>
    <w:rsid w:val="001234B8"/>
    <w:rsid w:val="00123FBF"/>
    <w:rsid w:val="00124E43"/>
    <w:rsid w:val="00125224"/>
    <w:rsid w:val="001272BF"/>
    <w:rsid w:val="001274FB"/>
    <w:rsid w:val="001306C5"/>
    <w:rsid w:val="00131A39"/>
    <w:rsid w:val="00131B05"/>
    <w:rsid w:val="001322DE"/>
    <w:rsid w:val="00134980"/>
    <w:rsid w:val="00135145"/>
    <w:rsid w:val="0013526F"/>
    <w:rsid w:val="001356A3"/>
    <w:rsid w:val="00135912"/>
    <w:rsid w:val="00137D25"/>
    <w:rsid w:val="00137E4B"/>
    <w:rsid w:val="00137EA3"/>
    <w:rsid w:val="0014009E"/>
    <w:rsid w:val="001403B0"/>
    <w:rsid w:val="00140C2C"/>
    <w:rsid w:val="0014124E"/>
    <w:rsid w:val="0014197A"/>
    <w:rsid w:val="00142F09"/>
    <w:rsid w:val="001433BA"/>
    <w:rsid w:val="001433BD"/>
    <w:rsid w:val="00143491"/>
    <w:rsid w:val="00144A0F"/>
    <w:rsid w:val="00144C61"/>
    <w:rsid w:val="001458C4"/>
    <w:rsid w:val="00146137"/>
    <w:rsid w:val="00146300"/>
    <w:rsid w:val="001463F4"/>
    <w:rsid w:val="00147F8D"/>
    <w:rsid w:val="001503B1"/>
    <w:rsid w:val="0015128E"/>
    <w:rsid w:val="00151FD4"/>
    <w:rsid w:val="00152DB1"/>
    <w:rsid w:val="00152F79"/>
    <w:rsid w:val="0015329C"/>
    <w:rsid w:val="00154306"/>
    <w:rsid w:val="0015691E"/>
    <w:rsid w:val="001575E4"/>
    <w:rsid w:val="00157FCC"/>
    <w:rsid w:val="0016046A"/>
    <w:rsid w:val="00161CE2"/>
    <w:rsid w:val="00161E78"/>
    <w:rsid w:val="001626FA"/>
    <w:rsid w:val="001635A2"/>
    <w:rsid w:val="00163B9B"/>
    <w:rsid w:val="00165316"/>
    <w:rsid w:val="001654D4"/>
    <w:rsid w:val="0016594B"/>
    <w:rsid w:val="00166B79"/>
    <w:rsid w:val="00166C05"/>
    <w:rsid w:val="00166F42"/>
    <w:rsid w:val="00167ED8"/>
    <w:rsid w:val="0017082E"/>
    <w:rsid w:val="00170C3C"/>
    <w:rsid w:val="00170D01"/>
    <w:rsid w:val="001712AB"/>
    <w:rsid w:val="00171356"/>
    <w:rsid w:val="00171A51"/>
    <w:rsid w:val="00171C5D"/>
    <w:rsid w:val="00172E7A"/>
    <w:rsid w:val="001742E0"/>
    <w:rsid w:val="00175ACD"/>
    <w:rsid w:val="001765D0"/>
    <w:rsid w:val="00176F3E"/>
    <w:rsid w:val="00176FD7"/>
    <w:rsid w:val="00176FFD"/>
    <w:rsid w:val="00180174"/>
    <w:rsid w:val="0018019C"/>
    <w:rsid w:val="00180F15"/>
    <w:rsid w:val="001812EE"/>
    <w:rsid w:val="001815CA"/>
    <w:rsid w:val="00183240"/>
    <w:rsid w:val="00183351"/>
    <w:rsid w:val="001838EE"/>
    <w:rsid w:val="001842B7"/>
    <w:rsid w:val="001848F2"/>
    <w:rsid w:val="0018507B"/>
    <w:rsid w:val="00185962"/>
    <w:rsid w:val="00185A7A"/>
    <w:rsid w:val="00185F93"/>
    <w:rsid w:val="00185FE0"/>
    <w:rsid w:val="001861E1"/>
    <w:rsid w:val="00186AC4"/>
    <w:rsid w:val="00186E8A"/>
    <w:rsid w:val="001871A2"/>
    <w:rsid w:val="0018721A"/>
    <w:rsid w:val="001876E8"/>
    <w:rsid w:val="0018DD43"/>
    <w:rsid w:val="00190169"/>
    <w:rsid w:val="00190605"/>
    <w:rsid w:val="001909B5"/>
    <w:rsid w:val="00190B64"/>
    <w:rsid w:val="00190D20"/>
    <w:rsid w:val="00191ECC"/>
    <w:rsid w:val="00192B14"/>
    <w:rsid w:val="00192F3C"/>
    <w:rsid w:val="00193461"/>
    <w:rsid w:val="00193890"/>
    <w:rsid w:val="00193EDF"/>
    <w:rsid w:val="001940DC"/>
    <w:rsid w:val="00194121"/>
    <w:rsid w:val="0019456D"/>
    <w:rsid w:val="00194AD7"/>
    <w:rsid w:val="00194CC7"/>
    <w:rsid w:val="0019552B"/>
    <w:rsid w:val="00195B04"/>
    <w:rsid w:val="00195B2F"/>
    <w:rsid w:val="00196231"/>
    <w:rsid w:val="00196451"/>
    <w:rsid w:val="00197222"/>
    <w:rsid w:val="00197EA4"/>
    <w:rsid w:val="00197ED0"/>
    <w:rsid w:val="001A00F5"/>
    <w:rsid w:val="001A10E3"/>
    <w:rsid w:val="001A2984"/>
    <w:rsid w:val="001A350B"/>
    <w:rsid w:val="001A3C2C"/>
    <w:rsid w:val="001A425B"/>
    <w:rsid w:val="001A58FE"/>
    <w:rsid w:val="001A68F7"/>
    <w:rsid w:val="001A6B01"/>
    <w:rsid w:val="001A6C18"/>
    <w:rsid w:val="001A76EF"/>
    <w:rsid w:val="001A7FFA"/>
    <w:rsid w:val="001B085D"/>
    <w:rsid w:val="001B1365"/>
    <w:rsid w:val="001B20A5"/>
    <w:rsid w:val="001B3890"/>
    <w:rsid w:val="001B3929"/>
    <w:rsid w:val="001B401E"/>
    <w:rsid w:val="001B403E"/>
    <w:rsid w:val="001B4178"/>
    <w:rsid w:val="001B41D5"/>
    <w:rsid w:val="001B51F0"/>
    <w:rsid w:val="001B5447"/>
    <w:rsid w:val="001B5E7B"/>
    <w:rsid w:val="001B6226"/>
    <w:rsid w:val="001B6773"/>
    <w:rsid w:val="001B68D7"/>
    <w:rsid w:val="001B7F17"/>
    <w:rsid w:val="001C0332"/>
    <w:rsid w:val="001C06C0"/>
    <w:rsid w:val="001C0755"/>
    <w:rsid w:val="001C08A3"/>
    <w:rsid w:val="001C0B08"/>
    <w:rsid w:val="001C22AB"/>
    <w:rsid w:val="001C23B7"/>
    <w:rsid w:val="001C28C7"/>
    <w:rsid w:val="001C2C12"/>
    <w:rsid w:val="001C2E09"/>
    <w:rsid w:val="001C3B3A"/>
    <w:rsid w:val="001C6230"/>
    <w:rsid w:val="001C66AF"/>
    <w:rsid w:val="001C67DA"/>
    <w:rsid w:val="001C68D0"/>
    <w:rsid w:val="001C6928"/>
    <w:rsid w:val="001C6DFB"/>
    <w:rsid w:val="001C7C77"/>
    <w:rsid w:val="001D0424"/>
    <w:rsid w:val="001D07F3"/>
    <w:rsid w:val="001D1BD2"/>
    <w:rsid w:val="001D21ED"/>
    <w:rsid w:val="001D22B6"/>
    <w:rsid w:val="001D23FA"/>
    <w:rsid w:val="001D3618"/>
    <w:rsid w:val="001D3ADC"/>
    <w:rsid w:val="001D649A"/>
    <w:rsid w:val="001D6920"/>
    <w:rsid w:val="001D6C38"/>
    <w:rsid w:val="001D7C8D"/>
    <w:rsid w:val="001E07F3"/>
    <w:rsid w:val="001E0E60"/>
    <w:rsid w:val="001E0FD0"/>
    <w:rsid w:val="001E1F01"/>
    <w:rsid w:val="001E2628"/>
    <w:rsid w:val="001E37E6"/>
    <w:rsid w:val="001E3867"/>
    <w:rsid w:val="001E4011"/>
    <w:rsid w:val="001E4762"/>
    <w:rsid w:val="001E52B3"/>
    <w:rsid w:val="001E59C3"/>
    <w:rsid w:val="001E5E9A"/>
    <w:rsid w:val="001E611A"/>
    <w:rsid w:val="001E6374"/>
    <w:rsid w:val="001E6718"/>
    <w:rsid w:val="001E67E6"/>
    <w:rsid w:val="001E69BE"/>
    <w:rsid w:val="001E7E0F"/>
    <w:rsid w:val="001F0C2E"/>
    <w:rsid w:val="001F142A"/>
    <w:rsid w:val="001F3788"/>
    <w:rsid w:val="001F469D"/>
    <w:rsid w:val="001F5033"/>
    <w:rsid w:val="001F5067"/>
    <w:rsid w:val="001F5513"/>
    <w:rsid w:val="001F6325"/>
    <w:rsid w:val="001F6398"/>
    <w:rsid w:val="001F65FC"/>
    <w:rsid w:val="001F69C4"/>
    <w:rsid w:val="001F6D4E"/>
    <w:rsid w:val="001F6F47"/>
    <w:rsid w:val="001F77EB"/>
    <w:rsid w:val="0020022D"/>
    <w:rsid w:val="00200288"/>
    <w:rsid w:val="002006B0"/>
    <w:rsid w:val="00200A06"/>
    <w:rsid w:val="002010FD"/>
    <w:rsid w:val="00201691"/>
    <w:rsid w:val="0020261A"/>
    <w:rsid w:val="00202AE0"/>
    <w:rsid w:val="00202AEC"/>
    <w:rsid w:val="00203385"/>
    <w:rsid w:val="00204474"/>
    <w:rsid w:val="0020466F"/>
    <w:rsid w:val="00204B14"/>
    <w:rsid w:val="00204EA5"/>
    <w:rsid w:val="002054DB"/>
    <w:rsid w:val="00205838"/>
    <w:rsid w:val="00205F39"/>
    <w:rsid w:val="0020624B"/>
    <w:rsid w:val="00207142"/>
    <w:rsid w:val="00207DC9"/>
    <w:rsid w:val="002109C6"/>
    <w:rsid w:val="00210A32"/>
    <w:rsid w:val="00210B7A"/>
    <w:rsid w:val="00210F8B"/>
    <w:rsid w:val="00211225"/>
    <w:rsid w:val="0021182D"/>
    <w:rsid w:val="00211B14"/>
    <w:rsid w:val="00211F7D"/>
    <w:rsid w:val="002121C0"/>
    <w:rsid w:val="00213CBB"/>
    <w:rsid w:val="00213E2D"/>
    <w:rsid w:val="00214376"/>
    <w:rsid w:val="00214FA3"/>
    <w:rsid w:val="00215B04"/>
    <w:rsid w:val="00215D05"/>
    <w:rsid w:val="002161E8"/>
    <w:rsid w:val="002162E4"/>
    <w:rsid w:val="002167B8"/>
    <w:rsid w:val="00216ACE"/>
    <w:rsid w:val="00220550"/>
    <w:rsid w:val="0022122C"/>
    <w:rsid w:val="002216F6"/>
    <w:rsid w:val="002218D5"/>
    <w:rsid w:val="00221BFD"/>
    <w:rsid w:val="00222522"/>
    <w:rsid w:val="0022293F"/>
    <w:rsid w:val="00223A66"/>
    <w:rsid w:val="00223E69"/>
    <w:rsid w:val="00224243"/>
    <w:rsid w:val="0022468D"/>
    <w:rsid w:val="00224C20"/>
    <w:rsid w:val="002255B2"/>
    <w:rsid w:val="00226142"/>
    <w:rsid w:val="0022741C"/>
    <w:rsid w:val="002276E2"/>
    <w:rsid w:val="00230A69"/>
    <w:rsid w:val="0023100F"/>
    <w:rsid w:val="002315CB"/>
    <w:rsid w:val="00231D08"/>
    <w:rsid w:val="00232236"/>
    <w:rsid w:val="00232467"/>
    <w:rsid w:val="0023263D"/>
    <w:rsid w:val="00232676"/>
    <w:rsid w:val="00232927"/>
    <w:rsid w:val="002337E0"/>
    <w:rsid w:val="0023384D"/>
    <w:rsid w:val="00233DBE"/>
    <w:rsid w:val="002342FF"/>
    <w:rsid w:val="00234E77"/>
    <w:rsid w:val="0023560B"/>
    <w:rsid w:val="00236D04"/>
    <w:rsid w:val="0023701D"/>
    <w:rsid w:val="002371C8"/>
    <w:rsid w:val="00237942"/>
    <w:rsid w:val="00240886"/>
    <w:rsid w:val="002410A4"/>
    <w:rsid w:val="00241A37"/>
    <w:rsid w:val="00241C71"/>
    <w:rsid w:val="00242051"/>
    <w:rsid w:val="0024292A"/>
    <w:rsid w:val="00242DF3"/>
    <w:rsid w:val="002434A5"/>
    <w:rsid w:val="002438ED"/>
    <w:rsid w:val="00243DAC"/>
    <w:rsid w:val="00244386"/>
    <w:rsid w:val="0024453C"/>
    <w:rsid w:val="002448D8"/>
    <w:rsid w:val="00244B15"/>
    <w:rsid w:val="002454AC"/>
    <w:rsid w:val="00245644"/>
    <w:rsid w:val="00245F67"/>
    <w:rsid w:val="002461A2"/>
    <w:rsid w:val="002467E0"/>
    <w:rsid w:val="00252577"/>
    <w:rsid w:val="00252989"/>
    <w:rsid w:val="00252C97"/>
    <w:rsid w:val="002544BF"/>
    <w:rsid w:val="0025600B"/>
    <w:rsid w:val="00256F3C"/>
    <w:rsid w:val="0025746B"/>
    <w:rsid w:val="00257C5E"/>
    <w:rsid w:val="00260DF1"/>
    <w:rsid w:val="00260E0A"/>
    <w:rsid w:val="00260F9C"/>
    <w:rsid w:val="002610C4"/>
    <w:rsid w:val="002616BB"/>
    <w:rsid w:val="00262224"/>
    <w:rsid w:val="0026238F"/>
    <w:rsid w:val="002631DE"/>
    <w:rsid w:val="002632A6"/>
    <w:rsid w:val="0026418E"/>
    <w:rsid w:val="0026498F"/>
    <w:rsid w:val="002652D1"/>
    <w:rsid w:val="00265CA2"/>
    <w:rsid w:val="00266046"/>
    <w:rsid w:val="0026852D"/>
    <w:rsid w:val="002701A3"/>
    <w:rsid w:val="00270A58"/>
    <w:rsid w:val="002711A0"/>
    <w:rsid w:val="002713D7"/>
    <w:rsid w:val="00271C56"/>
    <w:rsid w:val="00272259"/>
    <w:rsid w:val="002723C2"/>
    <w:rsid w:val="0027260A"/>
    <w:rsid w:val="0027367F"/>
    <w:rsid w:val="00273B7F"/>
    <w:rsid w:val="00273E2F"/>
    <w:rsid w:val="0027401A"/>
    <w:rsid w:val="00274329"/>
    <w:rsid w:val="0027485E"/>
    <w:rsid w:val="00274EB9"/>
    <w:rsid w:val="0027513B"/>
    <w:rsid w:val="002751C8"/>
    <w:rsid w:val="00275F09"/>
    <w:rsid w:val="00276CB6"/>
    <w:rsid w:val="0027751F"/>
    <w:rsid w:val="002800B7"/>
    <w:rsid w:val="00280832"/>
    <w:rsid w:val="0028100E"/>
    <w:rsid w:val="00281022"/>
    <w:rsid w:val="002810F8"/>
    <w:rsid w:val="00281604"/>
    <w:rsid w:val="0028189C"/>
    <w:rsid w:val="00282094"/>
    <w:rsid w:val="0028265F"/>
    <w:rsid w:val="00282700"/>
    <w:rsid w:val="002832E1"/>
    <w:rsid w:val="00284C9C"/>
    <w:rsid w:val="00285E8E"/>
    <w:rsid w:val="002865C5"/>
    <w:rsid w:val="002870F1"/>
    <w:rsid w:val="00287903"/>
    <w:rsid w:val="00290FFD"/>
    <w:rsid w:val="00291130"/>
    <w:rsid w:val="002915FC"/>
    <w:rsid w:val="00291E4E"/>
    <w:rsid w:val="00291FFF"/>
    <w:rsid w:val="00293A29"/>
    <w:rsid w:val="00293EA4"/>
    <w:rsid w:val="00293FBB"/>
    <w:rsid w:val="00294169"/>
    <w:rsid w:val="00294532"/>
    <w:rsid w:val="00296814"/>
    <w:rsid w:val="002976A0"/>
    <w:rsid w:val="002A0C86"/>
    <w:rsid w:val="002A186E"/>
    <w:rsid w:val="002A194E"/>
    <w:rsid w:val="002A2317"/>
    <w:rsid w:val="002A260D"/>
    <w:rsid w:val="002A2E1E"/>
    <w:rsid w:val="002A31F1"/>
    <w:rsid w:val="002A3406"/>
    <w:rsid w:val="002A3D97"/>
    <w:rsid w:val="002A4094"/>
    <w:rsid w:val="002A42CB"/>
    <w:rsid w:val="002A43B0"/>
    <w:rsid w:val="002A43BB"/>
    <w:rsid w:val="002A4585"/>
    <w:rsid w:val="002A45AB"/>
    <w:rsid w:val="002A4D1E"/>
    <w:rsid w:val="002A595B"/>
    <w:rsid w:val="002A5B85"/>
    <w:rsid w:val="002A5EB5"/>
    <w:rsid w:val="002A6B7A"/>
    <w:rsid w:val="002A6C8E"/>
    <w:rsid w:val="002A717E"/>
    <w:rsid w:val="002A764F"/>
    <w:rsid w:val="002A7B1C"/>
    <w:rsid w:val="002B065F"/>
    <w:rsid w:val="002B0B05"/>
    <w:rsid w:val="002B0DDB"/>
    <w:rsid w:val="002B166B"/>
    <w:rsid w:val="002B1C06"/>
    <w:rsid w:val="002B29DD"/>
    <w:rsid w:val="002B3698"/>
    <w:rsid w:val="002B4FAB"/>
    <w:rsid w:val="002B5177"/>
    <w:rsid w:val="002B52E0"/>
    <w:rsid w:val="002B56C6"/>
    <w:rsid w:val="002B58C9"/>
    <w:rsid w:val="002B5934"/>
    <w:rsid w:val="002B5D78"/>
    <w:rsid w:val="002B5FC6"/>
    <w:rsid w:val="002B6335"/>
    <w:rsid w:val="002B6513"/>
    <w:rsid w:val="002B703F"/>
    <w:rsid w:val="002B7500"/>
    <w:rsid w:val="002C06CC"/>
    <w:rsid w:val="002C07BD"/>
    <w:rsid w:val="002C097B"/>
    <w:rsid w:val="002C0FB6"/>
    <w:rsid w:val="002C114C"/>
    <w:rsid w:val="002C1278"/>
    <w:rsid w:val="002C1563"/>
    <w:rsid w:val="002C2781"/>
    <w:rsid w:val="002C2A74"/>
    <w:rsid w:val="002C342B"/>
    <w:rsid w:val="002C3A77"/>
    <w:rsid w:val="002C579E"/>
    <w:rsid w:val="002C5E3F"/>
    <w:rsid w:val="002C64D6"/>
    <w:rsid w:val="002C77D2"/>
    <w:rsid w:val="002C7BD8"/>
    <w:rsid w:val="002C7E17"/>
    <w:rsid w:val="002D0B00"/>
    <w:rsid w:val="002D1220"/>
    <w:rsid w:val="002D3F78"/>
    <w:rsid w:val="002D4BEF"/>
    <w:rsid w:val="002D543F"/>
    <w:rsid w:val="002D59EA"/>
    <w:rsid w:val="002D61C0"/>
    <w:rsid w:val="002D6E1C"/>
    <w:rsid w:val="002D7A26"/>
    <w:rsid w:val="002D7E55"/>
    <w:rsid w:val="002E01B8"/>
    <w:rsid w:val="002E09A1"/>
    <w:rsid w:val="002E1535"/>
    <w:rsid w:val="002E2192"/>
    <w:rsid w:val="002E2198"/>
    <w:rsid w:val="002E46A2"/>
    <w:rsid w:val="002E5518"/>
    <w:rsid w:val="002E5894"/>
    <w:rsid w:val="002E5E1A"/>
    <w:rsid w:val="002E6343"/>
    <w:rsid w:val="002E698A"/>
    <w:rsid w:val="002E6BD9"/>
    <w:rsid w:val="002E6E9D"/>
    <w:rsid w:val="002E7624"/>
    <w:rsid w:val="002E77C7"/>
    <w:rsid w:val="002E78F5"/>
    <w:rsid w:val="002F0BCD"/>
    <w:rsid w:val="002F0F18"/>
    <w:rsid w:val="002F13CF"/>
    <w:rsid w:val="002F2132"/>
    <w:rsid w:val="002F2455"/>
    <w:rsid w:val="002F3302"/>
    <w:rsid w:val="002F3F9F"/>
    <w:rsid w:val="002F4C1A"/>
    <w:rsid w:val="002F4EDA"/>
    <w:rsid w:val="002F4FE0"/>
    <w:rsid w:val="002F5400"/>
    <w:rsid w:val="002F5BF7"/>
    <w:rsid w:val="002F66FF"/>
    <w:rsid w:val="002F6A8E"/>
    <w:rsid w:val="002F6CB6"/>
    <w:rsid w:val="002F6DE6"/>
    <w:rsid w:val="002F7323"/>
    <w:rsid w:val="002F7701"/>
    <w:rsid w:val="002F7BBD"/>
    <w:rsid w:val="002F7BC9"/>
    <w:rsid w:val="002F7D98"/>
    <w:rsid w:val="002F7DCC"/>
    <w:rsid w:val="003006C6"/>
    <w:rsid w:val="00300D80"/>
    <w:rsid w:val="003012FD"/>
    <w:rsid w:val="00301603"/>
    <w:rsid w:val="00303A32"/>
    <w:rsid w:val="00303EE7"/>
    <w:rsid w:val="0030420B"/>
    <w:rsid w:val="00305976"/>
    <w:rsid w:val="00305CCD"/>
    <w:rsid w:val="00305FD1"/>
    <w:rsid w:val="00306093"/>
    <w:rsid w:val="00306322"/>
    <w:rsid w:val="0030663E"/>
    <w:rsid w:val="00307094"/>
    <w:rsid w:val="0030756A"/>
    <w:rsid w:val="00307E03"/>
    <w:rsid w:val="00310808"/>
    <w:rsid w:val="00310902"/>
    <w:rsid w:val="00310961"/>
    <w:rsid w:val="0031126E"/>
    <w:rsid w:val="0031240E"/>
    <w:rsid w:val="003131E0"/>
    <w:rsid w:val="00313B99"/>
    <w:rsid w:val="003142F0"/>
    <w:rsid w:val="003148CE"/>
    <w:rsid w:val="00315033"/>
    <w:rsid w:val="0031510B"/>
    <w:rsid w:val="00315513"/>
    <w:rsid w:val="003155F6"/>
    <w:rsid w:val="00315A6D"/>
    <w:rsid w:val="00315E4B"/>
    <w:rsid w:val="00316264"/>
    <w:rsid w:val="003163A6"/>
    <w:rsid w:val="00317818"/>
    <w:rsid w:val="003201C3"/>
    <w:rsid w:val="00320606"/>
    <w:rsid w:val="003218A4"/>
    <w:rsid w:val="0032308D"/>
    <w:rsid w:val="00324975"/>
    <w:rsid w:val="00324DEC"/>
    <w:rsid w:val="00325136"/>
    <w:rsid w:val="003259BA"/>
    <w:rsid w:val="00325DB7"/>
    <w:rsid w:val="003279C2"/>
    <w:rsid w:val="00330530"/>
    <w:rsid w:val="003309F0"/>
    <w:rsid w:val="00331886"/>
    <w:rsid w:val="00332379"/>
    <w:rsid w:val="00332B47"/>
    <w:rsid w:val="00332FE4"/>
    <w:rsid w:val="003331A1"/>
    <w:rsid w:val="00333A11"/>
    <w:rsid w:val="00334329"/>
    <w:rsid w:val="0033443F"/>
    <w:rsid w:val="00334D5E"/>
    <w:rsid w:val="00334FB0"/>
    <w:rsid w:val="0033508C"/>
    <w:rsid w:val="003355DE"/>
    <w:rsid w:val="00336730"/>
    <w:rsid w:val="00336B46"/>
    <w:rsid w:val="00340720"/>
    <w:rsid w:val="00340B88"/>
    <w:rsid w:val="00341FF3"/>
    <w:rsid w:val="00342127"/>
    <w:rsid w:val="0034288E"/>
    <w:rsid w:val="00343335"/>
    <w:rsid w:val="0034369B"/>
    <w:rsid w:val="00344978"/>
    <w:rsid w:val="00344D45"/>
    <w:rsid w:val="003456C9"/>
    <w:rsid w:val="003463D3"/>
    <w:rsid w:val="00346711"/>
    <w:rsid w:val="00346E38"/>
    <w:rsid w:val="0035074C"/>
    <w:rsid w:val="003514D6"/>
    <w:rsid w:val="00351DFD"/>
    <w:rsid w:val="0035213B"/>
    <w:rsid w:val="003525CC"/>
    <w:rsid w:val="00353223"/>
    <w:rsid w:val="0035368C"/>
    <w:rsid w:val="00354112"/>
    <w:rsid w:val="003548F9"/>
    <w:rsid w:val="003566F8"/>
    <w:rsid w:val="0035709A"/>
    <w:rsid w:val="00360E53"/>
    <w:rsid w:val="00362208"/>
    <w:rsid w:val="00363612"/>
    <w:rsid w:val="00364636"/>
    <w:rsid w:val="003646C8"/>
    <w:rsid w:val="00365A4B"/>
    <w:rsid w:val="00365D46"/>
    <w:rsid w:val="00365ED0"/>
    <w:rsid w:val="0036628D"/>
    <w:rsid w:val="003665E9"/>
    <w:rsid w:val="00367511"/>
    <w:rsid w:val="00367FF2"/>
    <w:rsid w:val="003701DA"/>
    <w:rsid w:val="003706D8"/>
    <w:rsid w:val="00370EBB"/>
    <w:rsid w:val="003715A4"/>
    <w:rsid w:val="0037225E"/>
    <w:rsid w:val="00372A4B"/>
    <w:rsid w:val="00373E79"/>
    <w:rsid w:val="00374C4C"/>
    <w:rsid w:val="00374C9A"/>
    <w:rsid w:val="003757AE"/>
    <w:rsid w:val="00375AE9"/>
    <w:rsid w:val="003764BE"/>
    <w:rsid w:val="003769AB"/>
    <w:rsid w:val="003773A3"/>
    <w:rsid w:val="00377DC9"/>
    <w:rsid w:val="00377F5B"/>
    <w:rsid w:val="00380400"/>
    <w:rsid w:val="00380F6B"/>
    <w:rsid w:val="0038173B"/>
    <w:rsid w:val="003821B1"/>
    <w:rsid w:val="0038288D"/>
    <w:rsid w:val="00382BEA"/>
    <w:rsid w:val="00382E8E"/>
    <w:rsid w:val="00383192"/>
    <w:rsid w:val="00383313"/>
    <w:rsid w:val="00384231"/>
    <w:rsid w:val="00384494"/>
    <w:rsid w:val="00384830"/>
    <w:rsid w:val="00385DA1"/>
    <w:rsid w:val="0038F789"/>
    <w:rsid w:val="0039073A"/>
    <w:rsid w:val="00390A71"/>
    <w:rsid w:val="00390E4D"/>
    <w:rsid w:val="0039109A"/>
    <w:rsid w:val="00391785"/>
    <w:rsid w:val="00395225"/>
    <w:rsid w:val="003952B9"/>
    <w:rsid w:val="003952BC"/>
    <w:rsid w:val="00395370"/>
    <w:rsid w:val="00395C82"/>
    <w:rsid w:val="00395CCE"/>
    <w:rsid w:val="00396028"/>
    <w:rsid w:val="00396E96"/>
    <w:rsid w:val="00397051"/>
    <w:rsid w:val="00397054"/>
    <w:rsid w:val="003975A2"/>
    <w:rsid w:val="00397636"/>
    <w:rsid w:val="00397988"/>
    <w:rsid w:val="003A019F"/>
    <w:rsid w:val="003A069A"/>
    <w:rsid w:val="003A06FF"/>
    <w:rsid w:val="003A12CA"/>
    <w:rsid w:val="003A1751"/>
    <w:rsid w:val="003A1AC7"/>
    <w:rsid w:val="003A1D00"/>
    <w:rsid w:val="003A2F4B"/>
    <w:rsid w:val="003A5222"/>
    <w:rsid w:val="003A54AF"/>
    <w:rsid w:val="003A5A8F"/>
    <w:rsid w:val="003A626B"/>
    <w:rsid w:val="003A6CE8"/>
    <w:rsid w:val="003A7D9D"/>
    <w:rsid w:val="003B0D4F"/>
    <w:rsid w:val="003B0F0E"/>
    <w:rsid w:val="003B1507"/>
    <w:rsid w:val="003B2196"/>
    <w:rsid w:val="003B2E70"/>
    <w:rsid w:val="003B3F39"/>
    <w:rsid w:val="003B3FD7"/>
    <w:rsid w:val="003B4058"/>
    <w:rsid w:val="003B4514"/>
    <w:rsid w:val="003B4AF3"/>
    <w:rsid w:val="003B4E26"/>
    <w:rsid w:val="003B507A"/>
    <w:rsid w:val="003B53EC"/>
    <w:rsid w:val="003B54AF"/>
    <w:rsid w:val="003B6186"/>
    <w:rsid w:val="003B64E1"/>
    <w:rsid w:val="003B6FF5"/>
    <w:rsid w:val="003B77A1"/>
    <w:rsid w:val="003B79FF"/>
    <w:rsid w:val="003C01CD"/>
    <w:rsid w:val="003C0351"/>
    <w:rsid w:val="003C1996"/>
    <w:rsid w:val="003C21BB"/>
    <w:rsid w:val="003C2276"/>
    <w:rsid w:val="003C29AF"/>
    <w:rsid w:val="003C388E"/>
    <w:rsid w:val="003C3A09"/>
    <w:rsid w:val="003C45BA"/>
    <w:rsid w:val="003C4664"/>
    <w:rsid w:val="003C5680"/>
    <w:rsid w:val="003C5DD9"/>
    <w:rsid w:val="003C7131"/>
    <w:rsid w:val="003C7DEF"/>
    <w:rsid w:val="003D0D60"/>
    <w:rsid w:val="003D1382"/>
    <w:rsid w:val="003D172A"/>
    <w:rsid w:val="003D2367"/>
    <w:rsid w:val="003D260C"/>
    <w:rsid w:val="003D2638"/>
    <w:rsid w:val="003D2D07"/>
    <w:rsid w:val="003D3595"/>
    <w:rsid w:val="003D3F12"/>
    <w:rsid w:val="003D517E"/>
    <w:rsid w:val="003D730E"/>
    <w:rsid w:val="003D7493"/>
    <w:rsid w:val="003E01CD"/>
    <w:rsid w:val="003E04A1"/>
    <w:rsid w:val="003E0DC2"/>
    <w:rsid w:val="003E1B25"/>
    <w:rsid w:val="003E1E05"/>
    <w:rsid w:val="003E2012"/>
    <w:rsid w:val="003E3467"/>
    <w:rsid w:val="003E3A2E"/>
    <w:rsid w:val="003E3F3C"/>
    <w:rsid w:val="003E4C34"/>
    <w:rsid w:val="003E5622"/>
    <w:rsid w:val="003E5A9C"/>
    <w:rsid w:val="003E5DFA"/>
    <w:rsid w:val="003E60F1"/>
    <w:rsid w:val="003E6C76"/>
    <w:rsid w:val="003E6D0E"/>
    <w:rsid w:val="003E72B2"/>
    <w:rsid w:val="003F25AF"/>
    <w:rsid w:val="003F2EE3"/>
    <w:rsid w:val="003F4552"/>
    <w:rsid w:val="003F4575"/>
    <w:rsid w:val="003F4698"/>
    <w:rsid w:val="003F4E64"/>
    <w:rsid w:val="003F50C8"/>
    <w:rsid w:val="003F5721"/>
    <w:rsid w:val="003F5977"/>
    <w:rsid w:val="003F599A"/>
    <w:rsid w:val="003F5F03"/>
    <w:rsid w:val="003F79C0"/>
    <w:rsid w:val="003F7FF1"/>
    <w:rsid w:val="004006F2"/>
    <w:rsid w:val="00400923"/>
    <w:rsid w:val="00400B57"/>
    <w:rsid w:val="004011C4"/>
    <w:rsid w:val="00401BEF"/>
    <w:rsid w:val="0040276C"/>
    <w:rsid w:val="00402D06"/>
    <w:rsid w:val="00403151"/>
    <w:rsid w:val="00403395"/>
    <w:rsid w:val="00403C3D"/>
    <w:rsid w:val="00404D0C"/>
    <w:rsid w:val="00404EFB"/>
    <w:rsid w:val="00406111"/>
    <w:rsid w:val="00406CB9"/>
    <w:rsid w:val="0040745B"/>
    <w:rsid w:val="0041061B"/>
    <w:rsid w:val="00411D05"/>
    <w:rsid w:val="00412882"/>
    <w:rsid w:val="00413A5A"/>
    <w:rsid w:val="00414CDF"/>
    <w:rsid w:val="00415A3F"/>
    <w:rsid w:val="00415E03"/>
    <w:rsid w:val="0041609E"/>
    <w:rsid w:val="00417A7C"/>
    <w:rsid w:val="00417CF0"/>
    <w:rsid w:val="00417F61"/>
    <w:rsid w:val="00420405"/>
    <w:rsid w:val="0042109D"/>
    <w:rsid w:val="00421486"/>
    <w:rsid w:val="004217AF"/>
    <w:rsid w:val="00422623"/>
    <w:rsid w:val="004229B5"/>
    <w:rsid w:val="00422CBC"/>
    <w:rsid w:val="00422DCE"/>
    <w:rsid w:val="00423235"/>
    <w:rsid w:val="004232B0"/>
    <w:rsid w:val="00424136"/>
    <w:rsid w:val="004249DC"/>
    <w:rsid w:val="00424C99"/>
    <w:rsid w:val="00424F58"/>
    <w:rsid w:val="004254D2"/>
    <w:rsid w:val="00425B1B"/>
    <w:rsid w:val="00426E0D"/>
    <w:rsid w:val="00426E1F"/>
    <w:rsid w:val="00430FB5"/>
    <w:rsid w:val="00431337"/>
    <w:rsid w:val="004313B2"/>
    <w:rsid w:val="004316C2"/>
    <w:rsid w:val="004317D9"/>
    <w:rsid w:val="00431FD9"/>
    <w:rsid w:val="00432233"/>
    <w:rsid w:val="00432A4E"/>
    <w:rsid w:val="0043351C"/>
    <w:rsid w:val="004339AF"/>
    <w:rsid w:val="004353F9"/>
    <w:rsid w:val="00435723"/>
    <w:rsid w:val="0043695C"/>
    <w:rsid w:val="0043722B"/>
    <w:rsid w:val="00437B19"/>
    <w:rsid w:val="00440664"/>
    <w:rsid w:val="00440F3E"/>
    <w:rsid w:val="004413C7"/>
    <w:rsid w:val="004414A4"/>
    <w:rsid w:val="00441678"/>
    <w:rsid w:val="0044224A"/>
    <w:rsid w:val="00442AB6"/>
    <w:rsid w:val="00442B00"/>
    <w:rsid w:val="004431C8"/>
    <w:rsid w:val="0044377B"/>
    <w:rsid w:val="00444A39"/>
    <w:rsid w:val="00445309"/>
    <w:rsid w:val="004453C9"/>
    <w:rsid w:val="00445472"/>
    <w:rsid w:val="00445C71"/>
    <w:rsid w:val="004468CA"/>
    <w:rsid w:val="00446BA5"/>
    <w:rsid w:val="00447426"/>
    <w:rsid w:val="004475BA"/>
    <w:rsid w:val="00447CDF"/>
    <w:rsid w:val="00447DB9"/>
    <w:rsid w:val="00450193"/>
    <w:rsid w:val="00450FFE"/>
    <w:rsid w:val="00451280"/>
    <w:rsid w:val="004514CD"/>
    <w:rsid w:val="00451F4E"/>
    <w:rsid w:val="0045204F"/>
    <w:rsid w:val="0045236F"/>
    <w:rsid w:val="00453C3C"/>
    <w:rsid w:val="00454180"/>
    <w:rsid w:val="0045531B"/>
    <w:rsid w:val="0045687A"/>
    <w:rsid w:val="00456F85"/>
    <w:rsid w:val="004578E1"/>
    <w:rsid w:val="004600AD"/>
    <w:rsid w:val="00460D3A"/>
    <w:rsid w:val="004613AF"/>
    <w:rsid w:val="00461843"/>
    <w:rsid w:val="00463866"/>
    <w:rsid w:val="00464935"/>
    <w:rsid w:val="004649F2"/>
    <w:rsid w:val="004651E1"/>
    <w:rsid w:val="00467A1B"/>
    <w:rsid w:val="00467D4D"/>
    <w:rsid w:val="00467EAC"/>
    <w:rsid w:val="00470129"/>
    <w:rsid w:val="0047074D"/>
    <w:rsid w:val="00470B0D"/>
    <w:rsid w:val="004711BB"/>
    <w:rsid w:val="00471AC3"/>
    <w:rsid w:val="0047233F"/>
    <w:rsid w:val="0047276E"/>
    <w:rsid w:val="00472E88"/>
    <w:rsid w:val="0047306D"/>
    <w:rsid w:val="00473AC2"/>
    <w:rsid w:val="00473BE1"/>
    <w:rsid w:val="00473E8C"/>
    <w:rsid w:val="00474CE5"/>
    <w:rsid w:val="00475CB2"/>
    <w:rsid w:val="004767B1"/>
    <w:rsid w:val="00476A26"/>
    <w:rsid w:val="00476A71"/>
    <w:rsid w:val="004772EE"/>
    <w:rsid w:val="0047736B"/>
    <w:rsid w:val="0047737F"/>
    <w:rsid w:val="0047738C"/>
    <w:rsid w:val="0047767D"/>
    <w:rsid w:val="00477D31"/>
    <w:rsid w:val="00477F16"/>
    <w:rsid w:val="00480559"/>
    <w:rsid w:val="004813BD"/>
    <w:rsid w:val="00481816"/>
    <w:rsid w:val="00481D5E"/>
    <w:rsid w:val="00482638"/>
    <w:rsid w:val="00482673"/>
    <w:rsid w:val="00482A90"/>
    <w:rsid w:val="00483101"/>
    <w:rsid w:val="00483119"/>
    <w:rsid w:val="00483454"/>
    <w:rsid w:val="0048346E"/>
    <w:rsid w:val="00483748"/>
    <w:rsid w:val="004840B8"/>
    <w:rsid w:val="0048461B"/>
    <w:rsid w:val="00484F52"/>
    <w:rsid w:val="0049045B"/>
    <w:rsid w:val="004906B8"/>
    <w:rsid w:val="00490A6E"/>
    <w:rsid w:val="00491113"/>
    <w:rsid w:val="00491235"/>
    <w:rsid w:val="00491FB6"/>
    <w:rsid w:val="00492735"/>
    <w:rsid w:val="00492829"/>
    <w:rsid w:val="00492A70"/>
    <w:rsid w:val="00492B22"/>
    <w:rsid w:val="004935F8"/>
    <w:rsid w:val="00493DE3"/>
    <w:rsid w:val="004945AF"/>
    <w:rsid w:val="004954DF"/>
    <w:rsid w:val="004957D2"/>
    <w:rsid w:val="00495D05"/>
    <w:rsid w:val="004967BC"/>
    <w:rsid w:val="00496A06"/>
    <w:rsid w:val="0049706D"/>
    <w:rsid w:val="0049738B"/>
    <w:rsid w:val="00497818"/>
    <w:rsid w:val="004979FF"/>
    <w:rsid w:val="004A0343"/>
    <w:rsid w:val="004A16FB"/>
    <w:rsid w:val="004A1982"/>
    <w:rsid w:val="004A23CA"/>
    <w:rsid w:val="004A26B1"/>
    <w:rsid w:val="004A2F7C"/>
    <w:rsid w:val="004A3722"/>
    <w:rsid w:val="004A3ED6"/>
    <w:rsid w:val="004A41F8"/>
    <w:rsid w:val="004A4B2F"/>
    <w:rsid w:val="004A53B3"/>
    <w:rsid w:val="004A5AC9"/>
    <w:rsid w:val="004A5CA3"/>
    <w:rsid w:val="004A5CFE"/>
    <w:rsid w:val="004A5D9B"/>
    <w:rsid w:val="004A6E46"/>
    <w:rsid w:val="004A6EEC"/>
    <w:rsid w:val="004A7AA3"/>
    <w:rsid w:val="004A7BB0"/>
    <w:rsid w:val="004B0538"/>
    <w:rsid w:val="004B13AE"/>
    <w:rsid w:val="004B224C"/>
    <w:rsid w:val="004B3256"/>
    <w:rsid w:val="004B416F"/>
    <w:rsid w:val="004B4A19"/>
    <w:rsid w:val="004B4E65"/>
    <w:rsid w:val="004B5533"/>
    <w:rsid w:val="004B573B"/>
    <w:rsid w:val="004B6877"/>
    <w:rsid w:val="004B6D55"/>
    <w:rsid w:val="004B79DC"/>
    <w:rsid w:val="004B7A15"/>
    <w:rsid w:val="004B7CDC"/>
    <w:rsid w:val="004C0199"/>
    <w:rsid w:val="004C0AC7"/>
    <w:rsid w:val="004C1284"/>
    <w:rsid w:val="004C1634"/>
    <w:rsid w:val="004C35A6"/>
    <w:rsid w:val="004C3959"/>
    <w:rsid w:val="004C5425"/>
    <w:rsid w:val="004C55BC"/>
    <w:rsid w:val="004C57D8"/>
    <w:rsid w:val="004C63CC"/>
    <w:rsid w:val="004C6834"/>
    <w:rsid w:val="004C6AA8"/>
    <w:rsid w:val="004C6D2F"/>
    <w:rsid w:val="004C75A2"/>
    <w:rsid w:val="004C772D"/>
    <w:rsid w:val="004C7BEF"/>
    <w:rsid w:val="004C7FF1"/>
    <w:rsid w:val="004D037A"/>
    <w:rsid w:val="004D12DF"/>
    <w:rsid w:val="004D1864"/>
    <w:rsid w:val="004D327F"/>
    <w:rsid w:val="004D36C8"/>
    <w:rsid w:val="004D3715"/>
    <w:rsid w:val="004D4B50"/>
    <w:rsid w:val="004D5DA9"/>
    <w:rsid w:val="004D6B00"/>
    <w:rsid w:val="004D6C38"/>
    <w:rsid w:val="004D7CC6"/>
    <w:rsid w:val="004E0224"/>
    <w:rsid w:val="004E1F5B"/>
    <w:rsid w:val="004E2864"/>
    <w:rsid w:val="004E2A1F"/>
    <w:rsid w:val="004E30C4"/>
    <w:rsid w:val="004E3DAC"/>
    <w:rsid w:val="004E469D"/>
    <w:rsid w:val="004E4E19"/>
    <w:rsid w:val="004E547B"/>
    <w:rsid w:val="004E5E90"/>
    <w:rsid w:val="004E64E5"/>
    <w:rsid w:val="004E6F2C"/>
    <w:rsid w:val="004E6FF1"/>
    <w:rsid w:val="004E7067"/>
    <w:rsid w:val="004F084E"/>
    <w:rsid w:val="004F1624"/>
    <w:rsid w:val="004F1913"/>
    <w:rsid w:val="004F29B1"/>
    <w:rsid w:val="004F2BBB"/>
    <w:rsid w:val="004F3A31"/>
    <w:rsid w:val="004F4564"/>
    <w:rsid w:val="004F4C89"/>
    <w:rsid w:val="004F4DD3"/>
    <w:rsid w:val="004F55A9"/>
    <w:rsid w:val="004F6055"/>
    <w:rsid w:val="004F6139"/>
    <w:rsid w:val="004F6BD6"/>
    <w:rsid w:val="004F7776"/>
    <w:rsid w:val="004F7BEA"/>
    <w:rsid w:val="004F7EA1"/>
    <w:rsid w:val="00500011"/>
    <w:rsid w:val="00501258"/>
    <w:rsid w:val="0050156B"/>
    <w:rsid w:val="005018D2"/>
    <w:rsid w:val="00502264"/>
    <w:rsid w:val="00502370"/>
    <w:rsid w:val="00502563"/>
    <w:rsid w:val="00502E6B"/>
    <w:rsid w:val="00502E8C"/>
    <w:rsid w:val="00502FE0"/>
    <w:rsid w:val="00503CB3"/>
    <w:rsid w:val="00504EAA"/>
    <w:rsid w:val="00504FD9"/>
    <w:rsid w:val="00505050"/>
    <w:rsid w:val="00505CDE"/>
    <w:rsid w:val="00506563"/>
    <w:rsid w:val="00507E00"/>
    <w:rsid w:val="0050DEE8"/>
    <w:rsid w:val="00510135"/>
    <w:rsid w:val="0051026A"/>
    <w:rsid w:val="0051043D"/>
    <w:rsid w:val="00510648"/>
    <w:rsid w:val="00510D74"/>
    <w:rsid w:val="005120A1"/>
    <w:rsid w:val="005120F7"/>
    <w:rsid w:val="00512348"/>
    <w:rsid w:val="00512EB2"/>
    <w:rsid w:val="00513555"/>
    <w:rsid w:val="00513B6F"/>
    <w:rsid w:val="005147BC"/>
    <w:rsid w:val="0051487A"/>
    <w:rsid w:val="00514C10"/>
    <w:rsid w:val="00514CD5"/>
    <w:rsid w:val="00515629"/>
    <w:rsid w:val="00516911"/>
    <w:rsid w:val="00517264"/>
    <w:rsid w:val="00520C77"/>
    <w:rsid w:val="0052166A"/>
    <w:rsid w:val="0052192B"/>
    <w:rsid w:val="00521A61"/>
    <w:rsid w:val="005223D3"/>
    <w:rsid w:val="00522C89"/>
    <w:rsid w:val="005233D7"/>
    <w:rsid w:val="005251F6"/>
    <w:rsid w:val="00525963"/>
    <w:rsid w:val="00525E33"/>
    <w:rsid w:val="00526535"/>
    <w:rsid w:val="00527173"/>
    <w:rsid w:val="00527291"/>
    <w:rsid w:val="005276DD"/>
    <w:rsid w:val="0053052F"/>
    <w:rsid w:val="005305C1"/>
    <w:rsid w:val="005309F1"/>
    <w:rsid w:val="00531137"/>
    <w:rsid w:val="005318B9"/>
    <w:rsid w:val="00531B56"/>
    <w:rsid w:val="0053248A"/>
    <w:rsid w:val="005325F7"/>
    <w:rsid w:val="0053390C"/>
    <w:rsid w:val="00534B76"/>
    <w:rsid w:val="005352EC"/>
    <w:rsid w:val="00535CF7"/>
    <w:rsid w:val="00536424"/>
    <w:rsid w:val="00536987"/>
    <w:rsid w:val="00537490"/>
    <w:rsid w:val="00537B64"/>
    <w:rsid w:val="00540FA0"/>
    <w:rsid w:val="005419EE"/>
    <w:rsid w:val="00541AC1"/>
    <w:rsid w:val="0054278E"/>
    <w:rsid w:val="00543015"/>
    <w:rsid w:val="0054314E"/>
    <w:rsid w:val="005432E9"/>
    <w:rsid w:val="005436CF"/>
    <w:rsid w:val="0054405A"/>
    <w:rsid w:val="005442C3"/>
    <w:rsid w:val="005443C3"/>
    <w:rsid w:val="00544E00"/>
    <w:rsid w:val="005455AC"/>
    <w:rsid w:val="00545C44"/>
    <w:rsid w:val="00546DAE"/>
    <w:rsid w:val="0054705B"/>
    <w:rsid w:val="00547752"/>
    <w:rsid w:val="00547E7C"/>
    <w:rsid w:val="005505F4"/>
    <w:rsid w:val="00550644"/>
    <w:rsid w:val="00551498"/>
    <w:rsid w:val="005514E8"/>
    <w:rsid w:val="00551E15"/>
    <w:rsid w:val="005526F2"/>
    <w:rsid w:val="00552D0B"/>
    <w:rsid w:val="00553256"/>
    <w:rsid w:val="00553C40"/>
    <w:rsid w:val="00553C64"/>
    <w:rsid w:val="00554169"/>
    <w:rsid w:val="005542C9"/>
    <w:rsid w:val="00554737"/>
    <w:rsid w:val="00554D42"/>
    <w:rsid w:val="00554FA6"/>
    <w:rsid w:val="0055514A"/>
    <w:rsid w:val="00555294"/>
    <w:rsid w:val="005556BB"/>
    <w:rsid w:val="00555AEC"/>
    <w:rsid w:val="00555D3D"/>
    <w:rsid w:val="00555E19"/>
    <w:rsid w:val="00555F83"/>
    <w:rsid w:val="00556372"/>
    <w:rsid w:val="00557067"/>
    <w:rsid w:val="005603C2"/>
    <w:rsid w:val="00561647"/>
    <w:rsid w:val="005621F8"/>
    <w:rsid w:val="0056274A"/>
    <w:rsid w:val="00563651"/>
    <w:rsid w:val="0056428B"/>
    <w:rsid w:val="00565643"/>
    <w:rsid w:val="0056580A"/>
    <w:rsid w:val="00565CDC"/>
    <w:rsid w:val="00565F25"/>
    <w:rsid w:val="00566609"/>
    <w:rsid w:val="005670E5"/>
    <w:rsid w:val="005674A8"/>
    <w:rsid w:val="00570021"/>
    <w:rsid w:val="00570324"/>
    <w:rsid w:val="00570667"/>
    <w:rsid w:val="00570B22"/>
    <w:rsid w:val="005712E8"/>
    <w:rsid w:val="0057366D"/>
    <w:rsid w:val="00573D45"/>
    <w:rsid w:val="00573EA1"/>
    <w:rsid w:val="005744B6"/>
    <w:rsid w:val="00574F55"/>
    <w:rsid w:val="005759D3"/>
    <w:rsid w:val="0058011B"/>
    <w:rsid w:val="005801C2"/>
    <w:rsid w:val="005806BD"/>
    <w:rsid w:val="0058175D"/>
    <w:rsid w:val="00581AA0"/>
    <w:rsid w:val="00581F40"/>
    <w:rsid w:val="0058254C"/>
    <w:rsid w:val="005842B3"/>
    <w:rsid w:val="0058475C"/>
    <w:rsid w:val="0058562B"/>
    <w:rsid w:val="00585C7B"/>
    <w:rsid w:val="0058734F"/>
    <w:rsid w:val="00587DAB"/>
    <w:rsid w:val="005902D5"/>
    <w:rsid w:val="00591144"/>
    <w:rsid w:val="0059142E"/>
    <w:rsid w:val="00591D6F"/>
    <w:rsid w:val="00592567"/>
    <w:rsid w:val="00592907"/>
    <w:rsid w:val="005936F9"/>
    <w:rsid w:val="005938C7"/>
    <w:rsid w:val="0059395A"/>
    <w:rsid w:val="00593CD7"/>
    <w:rsid w:val="00594844"/>
    <w:rsid w:val="00594915"/>
    <w:rsid w:val="00595139"/>
    <w:rsid w:val="00595897"/>
    <w:rsid w:val="00597A5A"/>
    <w:rsid w:val="005A0078"/>
    <w:rsid w:val="005A02F2"/>
    <w:rsid w:val="005A0422"/>
    <w:rsid w:val="005A0A33"/>
    <w:rsid w:val="005A0CC5"/>
    <w:rsid w:val="005A35EB"/>
    <w:rsid w:val="005A37C7"/>
    <w:rsid w:val="005A4AB2"/>
    <w:rsid w:val="005A4B26"/>
    <w:rsid w:val="005A6DAE"/>
    <w:rsid w:val="005A71E7"/>
    <w:rsid w:val="005A71EB"/>
    <w:rsid w:val="005A73BA"/>
    <w:rsid w:val="005A7D9B"/>
    <w:rsid w:val="005A7E7A"/>
    <w:rsid w:val="005A7EEC"/>
    <w:rsid w:val="005B0B57"/>
    <w:rsid w:val="005B17C6"/>
    <w:rsid w:val="005B1C68"/>
    <w:rsid w:val="005B1E07"/>
    <w:rsid w:val="005B229E"/>
    <w:rsid w:val="005B31E0"/>
    <w:rsid w:val="005B37C0"/>
    <w:rsid w:val="005B3912"/>
    <w:rsid w:val="005B3AEB"/>
    <w:rsid w:val="005B3B52"/>
    <w:rsid w:val="005B4645"/>
    <w:rsid w:val="005B49A0"/>
    <w:rsid w:val="005B4BA7"/>
    <w:rsid w:val="005B4ED7"/>
    <w:rsid w:val="005B6E34"/>
    <w:rsid w:val="005B6E4D"/>
    <w:rsid w:val="005B7117"/>
    <w:rsid w:val="005B7558"/>
    <w:rsid w:val="005B7DDF"/>
    <w:rsid w:val="005B7F1F"/>
    <w:rsid w:val="005C083D"/>
    <w:rsid w:val="005C1C4F"/>
    <w:rsid w:val="005C256E"/>
    <w:rsid w:val="005C32A4"/>
    <w:rsid w:val="005C33D8"/>
    <w:rsid w:val="005C33EC"/>
    <w:rsid w:val="005C3C74"/>
    <w:rsid w:val="005C4058"/>
    <w:rsid w:val="005C4A46"/>
    <w:rsid w:val="005C6021"/>
    <w:rsid w:val="005C62BE"/>
    <w:rsid w:val="005C6320"/>
    <w:rsid w:val="005C673F"/>
    <w:rsid w:val="005C77AC"/>
    <w:rsid w:val="005C7AA8"/>
    <w:rsid w:val="005C7EAD"/>
    <w:rsid w:val="005D02A9"/>
    <w:rsid w:val="005D0715"/>
    <w:rsid w:val="005D0C99"/>
    <w:rsid w:val="005D13DD"/>
    <w:rsid w:val="005D1E49"/>
    <w:rsid w:val="005D1F8E"/>
    <w:rsid w:val="005D2FD7"/>
    <w:rsid w:val="005D33E9"/>
    <w:rsid w:val="005D347E"/>
    <w:rsid w:val="005D36A5"/>
    <w:rsid w:val="005D37C0"/>
    <w:rsid w:val="005D42AB"/>
    <w:rsid w:val="005D44BC"/>
    <w:rsid w:val="005D594A"/>
    <w:rsid w:val="005D6004"/>
    <w:rsid w:val="005D6550"/>
    <w:rsid w:val="005D6BC7"/>
    <w:rsid w:val="005D7007"/>
    <w:rsid w:val="005D7FD7"/>
    <w:rsid w:val="005E0142"/>
    <w:rsid w:val="005E2912"/>
    <w:rsid w:val="005E3552"/>
    <w:rsid w:val="005E37D6"/>
    <w:rsid w:val="005E380B"/>
    <w:rsid w:val="005E3BCD"/>
    <w:rsid w:val="005E434B"/>
    <w:rsid w:val="005E4CB7"/>
    <w:rsid w:val="005E505E"/>
    <w:rsid w:val="005E510C"/>
    <w:rsid w:val="005E5493"/>
    <w:rsid w:val="005E5722"/>
    <w:rsid w:val="005E6CB2"/>
    <w:rsid w:val="005F0732"/>
    <w:rsid w:val="005F0E9B"/>
    <w:rsid w:val="005F12A9"/>
    <w:rsid w:val="005F134F"/>
    <w:rsid w:val="005F13D3"/>
    <w:rsid w:val="005F155A"/>
    <w:rsid w:val="005F18CC"/>
    <w:rsid w:val="005F27E8"/>
    <w:rsid w:val="005F4C2F"/>
    <w:rsid w:val="005F5C87"/>
    <w:rsid w:val="005F78CB"/>
    <w:rsid w:val="005F7A04"/>
    <w:rsid w:val="005F7A9B"/>
    <w:rsid w:val="005F7B35"/>
    <w:rsid w:val="00600229"/>
    <w:rsid w:val="00601797"/>
    <w:rsid w:val="00601AC9"/>
    <w:rsid w:val="00601E5C"/>
    <w:rsid w:val="006026F4"/>
    <w:rsid w:val="00602E56"/>
    <w:rsid w:val="00603109"/>
    <w:rsid w:val="00604690"/>
    <w:rsid w:val="00605E9B"/>
    <w:rsid w:val="0060636E"/>
    <w:rsid w:val="00606396"/>
    <w:rsid w:val="00606B7F"/>
    <w:rsid w:val="0061020B"/>
    <w:rsid w:val="00610265"/>
    <w:rsid w:val="006104BD"/>
    <w:rsid w:val="006106A3"/>
    <w:rsid w:val="00610C12"/>
    <w:rsid w:val="00610C60"/>
    <w:rsid w:val="00612100"/>
    <w:rsid w:val="00613182"/>
    <w:rsid w:val="00613909"/>
    <w:rsid w:val="006154B8"/>
    <w:rsid w:val="006177E1"/>
    <w:rsid w:val="006178FE"/>
    <w:rsid w:val="00617C76"/>
    <w:rsid w:val="00617C7B"/>
    <w:rsid w:val="006203E0"/>
    <w:rsid w:val="00620548"/>
    <w:rsid w:val="00620760"/>
    <w:rsid w:val="006207AF"/>
    <w:rsid w:val="00620ED1"/>
    <w:rsid w:val="00621DC1"/>
    <w:rsid w:val="00621F18"/>
    <w:rsid w:val="00622C82"/>
    <w:rsid w:val="00623226"/>
    <w:rsid w:val="00623EFB"/>
    <w:rsid w:val="00624326"/>
    <w:rsid w:val="00624516"/>
    <w:rsid w:val="00625281"/>
    <w:rsid w:val="0062547A"/>
    <w:rsid w:val="006254C9"/>
    <w:rsid w:val="006262DB"/>
    <w:rsid w:val="00626985"/>
    <w:rsid w:val="00626F02"/>
    <w:rsid w:val="00626FAC"/>
    <w:rsid w:val="006271C8"/>
    <w:rsid w:val="006276AE"/>
    <w:rsid w:val="00627AAF"/>
    <w:rsid w:val="0063082C"/>
    <w:rsid w:val="00630D40"/>
    <w:rsid w:val="006315FA"/>
    <w:rsid w:val="006326D6"/>
    <w:rsid w:val="00632D77"/>
    <w:rsid w:val="00632FD0"/>
    <w:rsid w:val="00633A61"/>
    <w:rsid w:val="00633D2D"/>
    <w:rsid w:val="00634296"/>
    <w:rsid w:val="0063453F"/>
    <w:rsid w:val="00634A13"/>
    <w:rsid w:val="00634E52"/>
    <w:rsid w:val="00634FA2"/>
    <w:rsid w:val="006360F2"/>
    <w:rsid w:val="00636224"/>
    <w:rsid w:val="006362E9"/>
    <w:rsid w:val="00636DF4"/>
    <w:rsid w:val="00636E5A"/>
    <w:rsid w:val="006375C6"/>
    <w:rsid w:val="00637EB2"/>
    <w:rsid w:val="0064024D"/>
    <w:rsid w:val="00640497"/>
    <w:rsid w:val="006413D5"/>
    <w:rsid w:val="00641E84"/>
    <w:rsid w:val="00642285"/>
    <w:rsid w:val="0064269B"/>
    <w:rsid w:val="00642D8B"/>
    <w:rsid w:val="006432D2"/>
    <w:rsid w:val="00643386"/>
    <w:rsid w:val="00643510"/>
    <w:rsid w:val="00644965"/>
    <w:rsid w:val="0064567D"/>
    <w:rsid w:val="00646B4E"/>
    <w:rsid w:val="006473D2"/>
    <w:rsid w:val="006502A5"/>
    <w:rsid w:val="00650317"/>
    <w:rsid w:val="00650614"/>
    <w:rsid w:val="00650BD6"/>
    <w:rsid w:val="00650E50"/>
    <w:rsid w:val="006513DC"/>
    <w:rsid w:val="006525B8"/>
    <w:rsid w:val="00653552"/>
    <w:rsid w:val="0065377A"/>
    <w:rsid w:val="00653AFB"/>
    <w:rsid w:val="00654FA5"/>
    <w:rsid w:val="00654FD3"/>
    <w:rsid w:val="00655374"/>
    <w:rsid w:val="006553E2"/>
    <w:rsid w:val="00655524"/>
    <w:rsid w:val="00655ABA"/>
    <w:rsid w:val="006560DD"/>
    <w:rsid w:val="006562FB"/>
    <w:rsid w:val="006569A9"/>
    <w:rsid w:val="0065785B"/>
    <w:rsid w:val="00660406"/>
    <w:rsid w:val="0066044E"/>
    <w:rsid w:val="00660662"/>
    <w:rsid w:val="00660CE4"/>
    <w:rsid w:val="00661337"/>
    <w:rsid w:val="006614C2"/>
    <w:rsid w:val="00662443"/>
    <w:rsid w:val="006626E1"/>
    <w:rsid w:val="00663970"/>
    <w:rsid w:val="0066591C"/>
    <w:rsid w:val="00665CDD"/>
    <w:rsid w:val="0066605A"/>
    <w:rsid w:val="0066628F"/>
    <w:rsid w:val="006666DA"/>
    <w:rsid w:val="00667AA3"/>
    <w:rsid w:val="0067019B"/>
    <w:rsid w:val="006702E4"/>
    <w:rsid w:val="00670C02"/>
    <w:rsid w:val="00670C4C"/>
    <w:rsid w:val="0067236F"/>
    <w:rsid w:val="006726A9"/>
    <w:rsid w:val="0067278C"/>
    <w:rsid w:val="00674079"/>
    <w:rsid w:val="00674335"/>
    <w:rsid w:val="006744F1"/>
    <w:rsid w:val="006749AE"/>
    <w:rsid w:val="00674A9E"/>
    <w:rsid w:val="00674D95"/>
    <w:rsid w:val="00675432"/>
    <w:rsid w:val="00675471"/>
    <w:rsid w:val="00675AF7"/>
    <w:rsid w:val="00675B81"/>
    <w:rsid w:val="00675CE7"/>
    <w:rsid w:val="006762D9"/>
    <w:rsid w:val="00680E4A"/>
    <w:rsid w:val="00681416"/>
    <w:rsid w:val="00681866"/>
    <w:rsid w:val="00681F7C"/>
    <w:rsid w:val="0068212E"/>
    <w:rsid w:val="00684120"/>
    <w:rsid w:val="00684F94"/>
    <w:rsid w:val="0068505E"/>
    <w:rsid w:val="00685970"/>
    <w:rsid w:val="00686F17"/>
    <w:rsid w:val="00686F9C"/>
    <w:rsid w:val="00687639"/>
    <w:rsid w:val="006879D3"/>
    <w:rsid w:val="00690F17"/>
    <w:rsid w:val="0069117D"/>
    <w:rsid w:val="00691305"/>
    <w:rsid w:val="00691755"/>
    <w:rsid w:val="00692606"/>
    <w:rsid w:val="00692A99"/>
    <w:rsid w:val="00692AD8"/>
    <w:rsid w:val="00692FCD"/>
    <w:rsid w:val="00693AB9"/>
    <w:rsid w:val="00694E0E"/>
    <w:rsid w:val="00695E4B"/>
    <w:rsid w:val="0069608D"/>
    <w:rsid w:val="0069628D"/>
    <w:rsid w:val="0069692C"/>
    <w:rsid w:val="006A0727"/>
    <w:rsid w:val="006A0CB0"/>
    <w:rsid w:val="006A196E"/>
    <w:rsid w:val="006A1A04"/>
    <w:rsid w:val="006A1A87"/>
    <w:rsid w:val="006A1FCD"/>
    <w:rsid w:val="006A268C"/>
    <w:rsid w:val="006A2DAC"/>
    <w:rsid w:val="006A336B"/>
    <w:rsid w:val="006A344C"/>
    <w:rsid w:val="006A41CF"/>
    <w:rsid w:val="006A441C"/>
    <w:rsid w:val="006A44D0"/>
    <w:rsid w:val="006A48B1"/>
    <w:rsid w:val="006A4A9B"/>
    <w:rsid w:val="006A5428"/>
    <w:rsid w:val="006A5A58"/>
    <w:rsid w:val="006A5E91"/>
    <w:rsid w:val="006A5FC4"/>
    <w:rsid w:val="006A6930"/>
    <w:rsid w:val="006A6E3E"/>
    <w:rsid w:val="006A7056"/>
    <w:rsid w:val="006A79E3"/>
    <w:rsid w:val="006B05E1"/>
    <w:rsid w:val="006B09D1"/>
    <w:rsid w:val="006B0BE0"/>
    <w:rsid w:val="006B0E27"/>
    <w:rsid w:val="006B176C"/>
    <w:rsid w:val="006B2A71"/>
    <w:rsid w:val="006B3661"/>
    <w:rsid w:val="006B46AD"/>
    <w:rsid w:val="006B5411"/>
    <w:rsid w:val="006B5625"/>
    <w:rsid w:val="006B575B"/>
    <w:rsid w:val="006B5DCE"/>
    <w:rsid w:val="006C0983"/>
    <w:rsid w:val="006C1015"/>
    <w:rsid w:val="006C1D84"/>
    <w:rsid w:val="006C25A2"/>
    <w:rsid w:val="006C35E3"/>
    <w:rsid w:val="006C429C"/>
    <w:rsid w:val="006C6994"/>
    <w:rsid w:val="006C6E4C"/>
    <w:rsid w:val="006C7775"/>
    <w:rsid w:val="006D0175"/>
    <w:rsid w:val="006D117E"/>
    <w:rsid w:val="006D1CD4"/>
    <w:rsid w:val="006D2F96"/>
    <w:rsid w:val="006D6136"/>
    <w:rsid w:val="006D6C20"/>
    <w:rsid w:val="006D74B8"/>
    <w:rsid w:val="006D761E"/>
    <w:rsid w:val="006D77D7"/>
    <w:rsid w:val="006D7B27"/>
    <w:rsid w:val="006D7FB2"/>
    <w:rsid w:val="006E014D"/>
    <w:rsid w:val="006E0400"/>
    <w:rsid w:val="006E043D"/>
    <w:rsid w:val="006E0949"/>
    <w:rsid w:val="006E1AD1"/>
    <w:rsid w:val="006E309E"/>
    <w:rsid w:val="006E30A9"/>
    <w:rsid w:val="006E3426"/>
    <w:rsid w:val="006E4148"/>
    <w:rsid w:val="006E464F"/>
    <w:rsid w:val="006E48E5"/>
    <w:rsid w:val="006E4CDE"/>
    <w:rsid w:val="006E53FA"/>
    <w:rsid w:val="006E5AE2"/>
    <w:rsid w:val="006E6A95"/>
    <w:rsid w:val="006F06BC"/>
    <w:rsid w:val="006F23D4"/>
    <w:rsid w:val="006F35B3"/>
    <w:rsid w:val="006F3E2C"/>
    <w:rsid w:val="006F48FC"/>
    <w:rsid w:val="006F533F"/>
    <w:rsid w:val="006F5366"/>
    <w:rsid w:val="006F5C92"/>
    <w:rsid w:val="006F6F8F"/>
    <w:rsid w:val="006F74BD"/>
    <w:rsid w:val="006F79B6"/>
    <w:rsid w:val="00700190"/>
    <w:rsid w:val="00700541"/>
    <w:rsid w:val="00700942"/>
    <w:rsid w:val="00700B85"/>
    <w:rsid w:val="00700F47"/>
    <w:rsid w:val="00700F51"/>
    <w:rsid w:val="007014D1"/>
    <w:rsid w:val="00701AC1"/>
    <w:rsid w:val="007020B7"/>
    <w:rsid w:val="007027E3"/>
    <w:rsid w:val="00702C59"/>
    <w:rsid w:val="00702E15"/>
    <w:rsid w:val="0070477C"/>
    <w:rsid w:val="007048AD"/>
    <w:rsid w:val="00704B4D"/>
    <w:rsid w:val="00705439"/>
    <w:rsid w:val="007054C2"/>
    <w:rsid w:val="0070554B"/>
    <w:rsid w:val="007062B0"/>
    <w:rsid w:val="00706754"/>
    <w:rsid w:val="00710B5F"/>
    <w:rsid w:val="00713011"/>
    <w:rsid w:val="007130F8"/>
    <w:rsid w:val="007132CC"/>
    <w:rsid w:val="0071473D"/>
    <w:rsid w:val="007176CD"/>
    <w:rsid w:val="00720FF2"/>
    <w:rsid w:val="00722579"/>
    <w:rsid w:val="00722DDE"/>
    <w:rsid w:val="007231D6"/>
    <w:rsid w:val="00723477"/>
    <w:rsid w:val="00723BFA"/>
    <w:rsid w:val="007250D4"/>
    <w:rsid w:val="00725186"/>
    <w:rsid w:val="00725607"/>
    <w:rsid w:val="00726218"/>
    <w:rsid w:val="0072703B"/>
    <w:rsid w:val="00727A36"/>
    <w:rsid w:val="00727BF3"/>
    <w:rsid w:val="007309AD"/>
    <w:rsid w:val="00731475"/>
    <w:rsid w:val="00731640"/>
    <w:rsid w:val="00731A52"/>
    <w:rsid w:val="00731F61"/>
    <w:rsid w:val="0073265E"/>
    <w:rsid w:val="00732AF4"/>
    <w:rsid w:val="007332C5"/>
    <w:rsid w:val="0073392B"/>
    <w:rsid w:val="00733F2A"/>
    <w:rsid w:val="00734C7A"/>
    <w:rsid w:val="00735134"/>
    <w:rsid w:val="007353AF"/>
    <w:rsid w:val="007357BB"/>
    <w:rsid w:val="00735BCF"/>
    <w:rsid w:val="00736AEC"/>
    <w:rsid w:val="007372F7"/>
    <w:rsid w:val="007375E5"/>
    <w:rsid w:val="007379BD"/>
    <w:rsid w:val="00737B82"/>
    <w:rsid w:val="00737C21"/>
    <w:rsid w:val="007401C7"/>
    <w:rsid w:val="00740DD3"/>
    <w:rsid w:val="00741782"/>
    <w:rsid w:val="00741E4F"/>
    <w:rsid w:val="00741EBF"/>
    <w:rsid w:val="007436EF"/>
    <w:rsid w:val="00743E93"/>
    <w:rsid w:val="00743ECD"/>
    <w:rsid w:val="007449DB"/>
    <w:rsid w:val="00745C8B"/>
    <w:rsid w:val="007463B4"/>
    <w:rsid w:val="00746AF3"/>
    <w:rsid w:val="00746BE2"/>
    <w:rsid w:val="0074713A"/>
    <w:rsid w:val="00750FC1"/>
    <w:rsid w:val="007511EA"/>
    <w:rsid w:val="00752D05"/>
    <w:rsid w:val="00752D2E"/>
    <w:rsid w:val="00752F0C"/>
    <w:rsid w:val="00754AC3"/>
    <w:rsid w:val="007559E2"/>
    <w:rsid w:val="007564B7"/>
    <w:rsid w:val="00756F28"/>
    <w:rsid w:val="00757C48"/>
    <w:rsid w:val="00760279"/>
    <w:rsid w:val="007618B8"/>
    <w:rsid w:val="00762985"/>
    <w:rsid w:val="007632DA"/>
    <w:rsid w:val="00763A6E"/>
    <w:rsid w:val="00764F69"/>
    <w:rsid w:val="00770098"/>
    <w:rsid w:val="0077034F"/>
    <w:rsid w:val="00771245"/>
    <w:rsid w:val="00771954"/>
    <w:rsid w:val="0077281A"/>
    <w:rsid w:val="00772E3D"/>
    <w:rsid w:val="0077336F"/>
    <w:rsid w:val="007736CA"/>
    <w:rsid w:val="00774213"/>
    <w:rsid w:val="00774A9A"/>
    <w:rsid w:val="00774D2A"/>
    <w:rsid w:val="00774DA3"/>
    <w:rsid w:val="0077506E"/>
    <w:rsid w:val="00776079"/>
    <w:rsid w:val="0077626C"/>
    <w:rsid w:val="007763D0"/>
    <w:rsid w:val="007765F6"/>
    <w:rsid w:val="007766A2"/>
    <w:rsid w:val="00776F63"/>
    <w:rsid w:val="00777ACC"/>
    <w:rsid w:val="00780110"/>
    <w:rsid w:val="00780231"/>
    <w:rsid w:val="00780B69"/>
    <w:rsid w:val="00780BF2"/>
    <w:rsid w:val="00780FB5"/>
    <w:rsid w:val="007823F0"/>
    <w:rsid w:val="00782FC2"/>
    <w:rsid w:val="00783327"/>
    <w:rsid w:val="00783C89"/>
    <w:rsid w:val="0078462B"/>
    <w:rsid w:val="0078503A"/>
    <w:rsid w:val="007862F3"/>
    <w:rsid w:val="00786618"/>
    <w:rsid w:val="0078667A"/>
    <w:rsid w:val="00786CD4"/>
    <w:rsid w:val="0078710F"/>
    <w:rsid w:val="0078792D"/>
    <w:rsid w:val="00787CF1"/>
    <w:rsid w:val="007907B3"/>
    <w:rsid w:val="00790C31"/>
    <w:rsid w:val="0079265D"/>
    <w:rsid w:val="007927D6"/>
    <w:rsid w:val="00792844"/>
    <w:rsid w:val="0079295E"/>
    <w:rsid w:val="007929FB"/>
    <w:rsid w:val="00792DDF"/>
    <w:rsid w:val="007931C0"/>
    <w:rsid w:val="00793215"/>
    <w:rsid w:val="00793971"/>
    <w:rsid w:val="00793D1B"/>
    <w:rsid w:val="00794B55"/>
    <w:rsid w:val="00796B4E"/>
    <w:rsid w:val="00797311"/>
    <w:rsid w:val="0079779D"/>
    <w:rsid w:val="00797AB8"/>
    <w:rsid w:val="007A0711"/>
    <w:rsid w:val="007A2876"/>
    <w:rsid w:val="007A28E9"/>
    <w:rsid w:val="007A2A47"/>
    <w:rsid w:val="007A2FDC"/>
    <w:rsid w:val="007A5B70"/>
    <w:rsid w:val="007A731C"/>
    <w:rsid w:val="007A7572"/>
    <w:rsid w:val="007A76E1"/>
    <w:rsid w:val="007B0972"/>
    <w:rsid w:val="007B0EA8"/>
    <w:rsid w:val="007B1402"/>
    <w:rsid w:val="007B1F86"/>
    <w:rsid w:val="007B2826"/>
    <w:rsid w:val="007B2FE7"/>
    <w:rsid w:val="007B3024"/>
    <w:rsid w:val="007B34D9"/>
    <w:rsid w:val="007B351D"/>
    <w:rsid w:val="007B35F0"/>
    <w:rsid w:val="007B396E"/>
    <w:rsid w:val="007B4A8E"/>
    <w:rsid w:val="007B5034"/>
    <w:rsid w:val="007B56F0"/>
    <w:rsid w:val="007B5B2D"/>
    <w:rsid w:val="007B5BC6"/>
    <w:rsid w:val="007B5E48"/>
    <w:rsid w:val="007B6B3C"/>
    <w:rsid w:val="007B6D14"/>
    <w:rsid w:val="007B6ED9"/>
    <w:rsid w:val="007B70A2"/>
    <w:rsid w:val="007B70DC"/>
    <w:rsid w:val="007B76D7"/>
    <w:rsid w:val="007B7837"/>
    <w:rsid w:val="007B7B16"/>
    <w:rsid w:val="007B7B88"/>
    <w:rsid w:val="007C0795"/>
    <w:rsid w:val="007C07F4"/>
    <w:rsid w:val="007C0C7A"/>
    <w:rsid w:val="007C1AFC"/>
    <w:rsid w:val="007C2D4E"/>
    <w:rsid w:val="007C30A7"/>
    <w:rsid w:val="007C3620"/>
    <w:rsid w:val="007C44BA"/>
    <w:rsid w:val="007C4737"/>
    <w:rsid w:val="007C4E2E"/>
    <w:rsid w:val="007C50CA"/>
    <w:rsid w:val="007C5804"/>
    <w:rsid w:val="007C6932"/>
    <w:rsid w:val="007C710D"/>
    <w:rsid w:val="007D025C"/>
    <w:rsid w:val="007D05AD"/>
    <w:rsid w:val="007D18FD"/>
    <w:rsid w:val="007D248F"/>
    <w:rsid w:val="007D26C2"/>
    <w:rsid w:val="007D2DFA"/>
    <w:rsid w:val="007D3318"/>
    <w:rsid w:val="007D3AC6"/>
    <w:rsid w:val="007D3D29"/>
    <w:rsid w:val="007D3F69"/>
    <w:rsid w:val="007D4273"/>
    <w:rsid w:val="007D44B4"/>
    <w:rsid w:val="007D47C0"/>
    <w:rsid w:val="007D4B63"/>
    <w:rsid w:val="007D4C81"/>
    <w:rsid w:val="007D5093"/>
    <w:rsid w:val="007D5728"/>
    <w:rsid w:val="007D612F"/>
    <w:rsid w:val="007D6366"/>
    <w:rsid w:val="007D748F"/>
    <w:rsid w:val="007D7BDA"/>
    <w:rsid w:val="007E03F3"/>
    <w:rsid w:val="007E137C"/>
    <w:rsid w:val="007E1FEC"/>
    <w:rsid w:val="007E3175"/>
    <w:rsid w:val="007E3DE9"/>
    <w:rsid w:val="007E5223"/>
    <w:rsid w:val="007E544D"/>
    <w:rsid w:val="007E5BF8"/>
    <w:rsid w:val="007E6030"/>
    <w:rsid w:val="007E7790"/>
    <w:rsid w:val="007E7A72"/>
    <w:rsid w:val="007E7ECD"/>
    <w:rsid w:val="007F0493"/>
    <w:rsid w:val="007F04FE"/>
    <w:rsid w:val="007F093A"/>
    <w:rsid w:val="007F09EE"/>
    <w:rsid w:val="007F1AD5"/>
    <w:rsid w:val="007F2B15"/>
    <w:rsid w:val="007F3418"/>
    <w:rsid w:val="007F5268"/>
    <w:rsid w:val="007F5A38"/>
    <w:rsid w:val="007F5A97"/>
    <w:rsid w:val="007F5D63"/>
    <w:rsid w:val="007F61F3"/>
    <w:rsid w:val="007F731A"/>
    <w:rsid w:val="007F7C3E"/>
    <w:rsid w:val="00800404"/>
    <w:rsid w:val="00800DCC"/>
    <w:rsid w:val="008013DB"/>
    <w:rsid w:val="00801D08"/>
    <w:rsid w:val="00801E52"/>
    <w:rsid w:val="00802656"/>
    <w:rsid w:val="008029DD"/>
    <w:rsid w:val="00803DE3"/>
    <w:rsid w:val="00803E8B"/>
    <w:rsid w:val="00804453"/>
    <w:rsid w:val="00804EFC"/>
    <w:rsid w:val="00805373"/>
    <w:rsid w:val="00805D60"/>
    <w:rsid w:val="008065C8"/>
    <w:rsid w:val="00806E82"/>
    <w:rsid w:val="00806EC7"/>
    <w:rsid w:val="008074F2"/>
    <w:rsid w:val="0080798F"/>
    <w:rsid w:val="0080799B"/>
    <w:rsid w:val="00807C1C"/>
    <w:rsid w:val="00807CBF"/>
    <w:rsid w:val="008101B4"/>
    <w:rsid w:val="0081158E"/>
    <w:rsid w:val="0081329E"/>
    <w:rsid w:val="008134B6"/>
    <w:rsid w:val="00813937"/>
    <w:rsid w:val="00813EF6"/>
    <w:rsid w:val="00813FD2"/>
    <w:rsid w:val="00815BEE"/>
    <w:rsid w:val="00815F51"/>
    <w:rsid w:val="008165D6"/>
    <w:rsid w:val="00816D99"/>
    <w:rsid w:val="00817005"/>
    <w:rsid w:val="00817621"/>
    <w:rsid w:val="00817CC3"/>
    <w:rsid w:val="0082143F"/>
    <w:rsid w:val="00821E9B"/>
    <w:rsid w:val="00822933"/>
    <w:rsid w:val="00822C86"/>
    <w:rsid w:val="00822CA8"/>
    <w:rsid w:val="00823A5E"/>
    <w:rsid w:val="00824C54"/>
    <w:rsid w:val="008253BC"/>
    <w:rsid w:val="008253E7"/>
    <w:rsid w:val="00825C43"/>
    <w:rsid w:val="00825CD8"/>
    <w:rsid w:val="00825E70"/>
    <w:rsid w:val="008269CC"/>
    <w:rsid w:val="00827664"/>
    <w:rsid w:val="008276CA"/>
    <w:rsid w:val="008276EA"/>
    <w:rsid w:val="00830899"/>
    <w:rsid w:val="00830968"/>
    <w:rsid w:val="00830A26"/>
    <w:rsid w:val="00831138"/>
    <w:rsid w:val="0083118E"/>
    <w:rsid w:val="008313D7"/>
    <w:rsid w:val="008318F2"/>
    <w:rsid w:val="00831EE9"/>
    <w:rsid w:val="00831F33"/>
    <w:rsid w:val="00832FC9"/>
    <w:rsid w:val="00833283"/>
    <w:rsid w:val="008333D5"/>
    <w:rsid w:val="00833606"/>
    <w:rsid w:val="00835668"/>
    <w:rsid w:val="008358D5"/>
    <w:rsid w:val="00835965"/>
    <w:rsid w:val="008359A6"/>
    <w:rsid w:val="00835A6C"/>
    <w:rsid w:val="00835C5B"/>
    <w:rsid w:val="008370D2"/>
    <w:rsid w:val="00840136"/>
    <w:rsid w:val="00840888"/>
    <w:rsid w:val="00840B22"/>
    <w:rsid w:val="00840CB6"/>
    <w:rsid w:val="00840D32"/>
    <w:rsid w:val="00840FFA"/>
    <w:rsid w:val="008412C6"/>
    <w:rsid w:val="00841B08"/>
    <w:rsid w:val="00842342"/>
    <w:rsid w:val="008429DC"/>
    <w:rsid w:val="00843E16"/>
    <w:rsid w:val="008454ED"/>
    <w:rsid w:val="0084585F"/>
    <w:rsid w:val="0084586F"/>
    <w:rsid w:val="00845873"/>
    <w:rsid w:val="00845ED0"/>
    <w:rsid w:val="008465AC"/>
    <w:rsid w:val="00846F06"/>
    <w:rsid w:val="0084738A"/>
    <w:rsid w:val="008473A1"/>
    <w:rsid w:val="00847653"/>
    <w:rsid w:val="00847D61"/>
    <w:rsid w:val="00847E6E"/>
    <w:rsid w:val="00850517"/>
    <w:rsid w:val="008508BF"/>
    <w:rsid w:val="00850D89"/>
    <w:rsid w:val="00850F9F"/>
    <w:rsid w:val="008510A6"/>
    <w:rsid w:val="00851190"/>
    <w:rsid w:val="0085155D"/>
    <w:rsid w:val="008518A8"/>
    <w:rsid w:val="008533DE"/>
    <w:rsid w:val="008534A2"/>
    <w:rsid w:val="008535AB"/>
    <w:rsid w:val="00854391"/>
    <w:rsid w:val="008544B5"/>
    <w:rsid w:val="008549DA"/>
    <w:rsid w:val="008554C2"/>
    <w:rsid w:val="008559B5"/>
    <w:rsid w:val="00855D8D"/>
    <w:rsid w:val="00855DB8"/>
    <w:rsid w:val="00855DE1"/>
    <w:rsid w:val="008561FC"/>
    <w:rsid w:val="008568E7"/>
    <w:rsid w:val="00856A54"/>
    <w:rsid w:val="00856D90"/>
    <w:rsid w:val="00857479"/>
    <w:rsid w:val="008577A3"/>
    <w:rsid w:val="00857BB2"/>
    <w:rsid w:val="00857C87"/>
    <w:rsid w:val="00857DFC"/>
    <w:rsid w:val="008607E8"/>
    <w:rsid w:val="00860E6C"/>
    <w:rsid w:val="00861323"/>
    <w:rsid w:val="0086153C"/>
    <w:rsid w:val="008626AC"/>
    <w:rsid w:val="00862A33"/>
    <w:rsid w:val="008639C8"/>
    <w:rsid w:val="00864455"/>
    <w:rsid w:val="008648C5"/>
    <w:rsid w:val="008658ED"/>
    <w:rsid w:val="00866646"/>
    <w:rsid w:val="008667A8"/>
    <w:rsid w:val="00867988"/>
    <w:rsid w:val="00867F86"/>
    <w:rsid w:val="00871486"/>
    <w:rsid w:val="008717BF"/>
    <w:rsid w:val="00872632"/>
    <w:rsid w:val="0087289A"/>
    <w:rsid w:val="00872CDE"/>
    <w:rsid w:val="0087395D"/>
    <w:rsid w:val="00873B3F"/>
    <w:rsid w:val="00874888"/>
    <w:rsid w:val="00874C39"/>
    <w:rsid w:val="00874D2D"/>
    <w:rsid w:val="00874E18"/>
    <w:rsid w:val="008750FA"/>
    <w:rsid w:val="0087642F"/>
    <w:rsid w:val="00876D85"/>
    <w:rsid w:val="008770C2"/>
    <w:rsid w:val="00877DAC"/>
    <w:rsid w:val="00877F32"/>
    <w:rsid w:val="00880A0E"/>
    <w:rsid w:val="00880CCE"/>
    <w:rsid w:val="00880FCF"/>
    <w:rsid w:val="008812BF"/>
    <w:rsid w:val="008825C4"/>
    <w:rsid w:val="008829FF"/>
    <w:rsid w:val="0088364F"/>
    <w:rsid w:val="00883922"/>
    <w:rsid w:val="0088432A"/>
    <w:rsid w:val="008849EB"/>
    <w:rsid w:val="008853F3"/>
    <w:rsid w:val="00885913"/>
    <w:rsid w:val="0088613C"/>
    <w:rsid w:val="0088677B"/>
    <w:rsid w:val="00887774"/>
    <w:rsid w:val="008878A0"/>
    <w:rsid w:val="00887C0A"/>
    <w:rsid w:val="00887D9C"/>
    <w:rsid w:val="0089019C"/>
    <w:rsid w:val="008902DA"/>
    <w:rsid w:val="008904B7"/>
    <w:rsid w:val="00891CD3"/>
    <w:rsid w:val="0089202A"/>
    <w:rsid w:val="008926CB"/>
    <w:rsid w:val="008926E2"/>
    <w:rsid w:val="0089272B"/>
    <w:rsid w:val="00892CE6"/>
    <w:rsid w:val="008932D7"/>
    <w:rsid w:val="00893754"/>
    <w:rsid w:val="00893F8B"/>
    <w:rsid w:val="00893FFC"/>
    <w:rsid w:val="00894CFC"/>
    <w:rsid w:val="00895C51"/>
    <w:rsid w:val="008960FD"/>
    <w:rsid w:val="008961B6"/>
    <w:rsid w:val="00896B9B"/>
    <w:rsid w:val="00896C03"/>
    <w:rsid w:val="008A118E"/>
    <w:rsid w:val="008A1869"/>
    <w:rsid w:val="008A1A9E"/>
    <w:rsid w:val="008A219B"/>
    <w:rsid w:val="008A2FB9"/>
    <w:rsid w:val="008A3106"/>
    <w:rsid w:val="008A3521"/>
    <w:rsid w:val="008A352C"/>
    <w:rsid w:val="008A386A"/>
    <w:rsid w:val="008A3B84"/>
    <w:rsid w:val="008A3BCF"/>
    <w:rsid w:val="008A427D"/>
    <w:rsid w:val="008A481E"/>
    <w:rsid w:val="008A4AE1"/>
    <w:rsid w:val="008A4BDB"/>
    <w:rsid w:val="008A5074"/>
    <w:rsid w:val="008A6C7E"/>
    <w:rsid w:val="008A6CFE"/>
    <w:rsid w:val="008A6F45"/>
    <w:rsid w:val="008A74A1"/>
    <w:rsid w:val="008A79CC"/>
    <w:rsid w:val="008B066D"/>
    <w:rsid w:val="008B0CC0"/>
    <w:rsid w:val="008B0DD0"/>
    <w:rsid w:val="008B0FAA"/>
    <w:rsid w:val="008B241A"/>
    <w:rsid w:val="008B3060"/>
    <w:rsid w:val="008B376B"/>
    <w:rsid w:val="008B384B"/>
    <w:rsid w:val="008B3B29"/>
    <w:rsid w:val="008B454B"/>
    <w:rsid w:val="008B46BC"/>
    <w:rsid w:val="008B4817"/>
    <w:rsid w:val="008B4864"/>
    <w:rsid w:val="008B4A9F"/>
    <w:rsid w:val="008B556C"/>
    <w:rsid w:val="008B5667"/>
    <w:rsid w:val="008B652F"/>
    <w:rsid w:val="008B6817"/>
    <w:rsid w:val="008C03A1"/>
    <w:rsid w:val="008C11F7"/>
    <w:rsid w:val="008C211A"/>
    <w:rsid w:val="008C3094"/>
    <w:rsid w:val="008C3F04"/>
    <w:rsid w:val="008C49E7"/>
    <w:rsid w:val="008C5000"/>
    <w:rsid w:val="008C59CD"/>
    <w:rsid w:val="008C64DE"/>
    <w:rsid w:val="008C6C3F"/>
    <w:rsid w:val="008C73AE"/>
    <w:rsid w:val="008C76B7"/>
    <w:rsid w:val="008C7D1D"/>
    <w:rsid w:val="008D01F0"/>
    <w:rsid w:val="008D06A7"/>
    <w:rsid w:val="008D0CA7"/>
    <w:rsid w:val="008D185C"/>
    <w:rsid w:val="008D1CB0"/>
    <w:rsid w:val="008D246C"/>
    <w:rsid w:val="008D41EE"/>
    <w:rsid w:val="008D46B3"/>
    <w:rsid w:val="008D4C24"/>
    <w:rsid w:val="008D512F"/>
    <w:rsid w:val="008D5702"/>
    <w:rsid w:val="008D7F6A"/>
    <w:rsid w:val="008DFA5F"/>
    <w:rsid w:val="008E039E"/>
    <w:rsid w:val="008E0F21"/>
    <w:rsid w:val="008E2EE7"/>
    <w:rsid w:val="008E4734"/>
    <w:rsid w:val="008E48EE"/>
    <w:rsid w:val="008E498A"/>
    <w:rsid w:val="008E7280"/>
    <w:rsid w:val="008F09A2"/>
    <w:rsid w:val="008F0A3F"/>
    <w:rsid w:val="008F1097"/>
    <w:rsid w:val="008F1C18"/>
    <w:rsid w:val="008F33FF"/>
    <w:rsid w:val="008F3F04"/>
    <w:rsid w:val="008F4D69"/>
    <w:rsid w:val="008F51B4"/>
    <w:rsid w:val="008F51BB"/>
    <w:rsid w:val="008F5249"/>
    <w:rsid w:val="008F5A72"/>
    <w:rsid w:val="008F5C7A"/>
    <w:rsid w:val="008F5CE9"/>
    <w:rsid w:val="008F5EE4"/>
    <w:rsid w:val="008F637A"/>
    <w:rsid w:val="008F643B"/>
    <w:rsid w:val="008F7DD7"/>
    <w:rsid w:val="0090034F"/>
    <w:rsid w:val="00900863"/>
    <w:rsid w:val="00900A42"/>
    <w:rsid w:val="009019E6"/>
    <w:rsid w:val="00901BEF"/>
    <w:rsid w:val="00903AF6"/>
    <w:rsid w:val="00903ECC"/>
    <w:rsid w:val="00904AEB"/>
    <w:rsid w:val="00907603"/>
    <w:rsid w:val="009076CB"/>
    <w:rsid w:val="00910F9A"/>
    <w:rsid w:val="00911795"/>
    <w:rsid w:val="00912211"/>
    <w:rsid w:val="0091269F"/>
    <w:rsid w:val="00912AC2"/>
    <w:rsid w:val="009135AC"/>
    <w:rsid w:val="0091366F"/>
    <w:rsid w:val="00913999"/>
    <w:rsid w:val="009143F0"/>
    <w:rsid w:val="0091479B"/>
    <w:rsid w:val="0091480B"/>
    <w:rsid w:val="009156E4"/>
    <w:rsid w:val="00915E07"/>
    <w:rsid w:val="00915F38"/>
    <w:rsid w:val="00916280"/>
    <w:rsid w:val="00916E95"/>
    <w:rsid w:val="009209DE"/>
    <w:rsid w:val="00920A5D"/>
    <w:rsid w:val="00920F97"/>
    <w:rsid w:val="00922BC7"/>
    <w:rsid w:val="009240ED"/>
    <w:rsid w:val="00925180"/>
    <w:rsid w:val="00925AD6"/>
    <w:rsid w:val="00926904"/>
    <w:rsid w:val="009279A8"/>
    <w:rsid w:val="00927F84"/>
    <w:rsid w:val="00932262"/>
    <w:rsid w:val="009322D1"/>
    <w:rsid w:val="00932C42"/>
    <w:rsid w:val="0093387B"/>
    <w:rsid w:val="00933A6E"/>
    <w:rsid w:val="009343A4"/>
    <w:rsid w:val="0093459F"/>
    <w:rsid w:val="0093473C"/>
    <w:rsid w:val="009348B2"/>
    <w:rsid w:val="00934BB3"/>
    <w:rsid w:val="00934D1C"/>
    <w:rsid w:val="00935063"/>
    <w:rsid w:val="0093545B"/>
    <w:rsid w:val="00935A31"/>
    <w:rsid w:val="009369DA"/>
    <w:rsid w:val="00937425"/>
    <w:rsid w:val="009377E3"/>
    <w:rsid w:val="00937973"/>
    <w:rsid w:val="00940474"/>
    <w:rsid w:val="009415A9"/>
    <w:rsid w:val="00941871"/>
    <w:rsid w:val="00941CDE"/>
    <w:rsid w:val="00941D9B"/>
    <w:rsid w:val="00942846"/>
    <w:rsid w:val="00942A54"/>
    <w:rsid w:val="00942E58"/>
    <w:rsid w:val="00943AF1"/>
    <w:rsid w:val="00943C1F"/>
    <w:rsid w:val="0094400C"/>
    <w:rsid w:val="009442AC"/>
    <w:rsid w:val="009449C8"/>
    <w:rsid w:val="0094504D"/>
    <w:rsid w:val="0094525D"/>
    <w:rsid w:val="00945348"/>
    <w:rsid w:val="00945430"/>
    <w:rsid w:val="009458C8"/>
    <w:rsid w:val="00945DB7"/>
    <w:rsid w:val="00946C89"/>
    <w:rsid w:val="00947228"/>
    <w:rsid w:val="009479E6"/>
    <w:rsid w:val="009504E7"/>
    <w:rsid w:val="0095094C"/>
    <w:rsid w:val="00950D9E"/>
    <w:rsid w:val="00950DAC"/>
    <w:rsid w:val="00952322"/>
    <w:rsid w:val="0095252C"/>
    <w:rsid w:val="0095306D"/>
    <w:rsid w:val="00953EA7"/>
    <w:rsid w:val="009543BB"/>
    <w:rsid w:val="00955256"/>
    <w:rsid w:val="00955545"/>
    <w:rsid w:val="00955A36"/>
    <w:rsid w:val="00955FB2"/>
    <w:rsid w:val="00956CC8"/>
    <w:rsid w:val="00957389"/>
    <w:rsid w:val="00960911"/>
    <w:rsid w:val="00960D6B"/>
    <w:rsid w:val="00960F14"/>
    <w:rsid w:val="00962400"/>
    <w:rsid w:val="009625E9"/>
    <w:rsid w:val="00962825"/>
    <w:rsid w:val="0096356C"/>
    <w:rsid w:val="00963F10"/>
    <w:rsid w:val="0096443C"/>
    <w:rsid w:val="00964961"/>
    <w:rsid w:val="00964AE9"/>
    <w:rsid w:val="00964B8C"/>
    <w:rsid w:val="00965205"/>
    <w:rsid w:val="00965318"/>
    <w:rsid w:val="00966675"/>
    <w:rsid w:val="009669FF"/>
    <w:rsid w:val="00967F1E"/>
    <w:rsid w:val="0097006C"/>
    <w:rsid w:val="0097021B"/>
    <w:rsid w:val="009705E2"/>
    <w:rsid w:val="00970D6A"/>
    <w:rsid w:val="0097126C"/>
    <w:rsid w:val="009725B0"/>
    <w:rsid w:val="00972936"/>
    <w:rsid w:val="0097382C"/>
    <w:rsid w:val="0097416B"/>
    <w:rsid w:val="009746DD"/>
    <w:rsid w:val="00974710"/>
    <w:rsid w:val="00975B55"/>
    <w:rsid w:val="009761DE"/>
    <w:rsid w:val="009768B3"/>
    <w:rsid w:val="00976DC3"/>
    <w:rsid w:val="00981189"/>
    <w:rsid w:val="009812E4"/>
    <w:rsid w:val="0098209D"/>
    <w:rsid w:val="00982252"/>
    <w:rsid w:val="009823C4"/>
    <w:rsid w:val="00982C75"/>
    <w:rsid w:val="00983E3E"/>
    <w:rsid w:val="009847E7"/>
    <w:rsid w:val="0098517D"/>
    <w:rsid w:val="00985648"/>
    <w:rsid w:val="00985B3A"/>
    <w:rsid w:val="00985EDB"/>
    <w:rsid w:val="009860FF"/>
    <w:rsid w:val="0098661B"/>
    <w:rsid w:val="0098674E"/>
    <w:rsid w:val="009868EF"/>
    <w:rsid w:val="00987099"/>
    <w:rsid w:val="009871B1"/>
    <w:rsid w:val="00990019"/>
    <w:rsid w:val="00990101"/>
    <w:rsid w:val="0099084B"/>
    <w:rsid w:val="009917B0"/>
    <w:rsid w:val="00991B53"/>
    <w:rsid w:val="00992698"/>
    <w:rsid w:val="0099308F"/>
    <w:rsid w:val="0099373D"/>
    <w:rsid w:val="009947BD"/>
    <w:rsid w:val="00994DD2"/>
    <w:rsid w:val="009971C2"/>
    <w:rsid w:val="0099788C"/>
    <w:rsid w:val="009A0500"/>
    <w:rsid w:val="009A05CC"/>
    <w:rsid w:val="009A062F"/>
    <w:rsid w:val="009A0BBF"/>
    <w:rsid w:val="009A2291"/>
    <w:rsid w:val="009A4112"/>
    <w:rsid w:val="009A47CF"/>
    <w:rsid w:val="009A48C2"/>
    <w:rsid w:val="009A5D2C"/>
    <w:rsid w:val="009A6479"/>
    <w:rsid w:val="009A6A08"/>
    <w:rsid w:val="009B214B"/>
    <w:rsid w:val="009B216A"/>
    <w:rsid w:val="009B2376"/>
    <w:rsid w:val="009B2510"/>
    <w:rsid w:val="009B2D94"/>
    <w:rsid w:val="009B2F5E"/>
    <w:rsid w:val="009B3372"/>
    <w:rsid w:val="009B3D70"/>
    <w:rsid w:val="009B3DCC"/>
    <w:rsid w:val="009B543E"/>
    <w:rsid w:val="009B576D"/>
    <w:rsid w:val="009B5B40"/>
    <w:rsid w:val="009B5F89"/>
    <w:rsid w:val="009B61D3"/>
    <w:rsid w:val="009B62B8"/>
    <w:rsid w:val="009B750A"/>
    <w:rsid w:val="009B75D6"/>
    <w:rsid w:val="009B7680"/>
    <w:rsid w:val="009C00AF"/>
    <w:rsid w:val="009C0110"/>
    <w:rsid w:val="009C0342"/>
    <w:rsid w:val="009C04EF"/>
    <w:rsid w:val="009C0BFF"/>
    <w:rsid w:val="009C0E7B"/>
    <w:rsid w:val="009C131D"/>
    <w:rsid w:val="009C1681"/>
    <w:rsid w:val="009C2833"/>
    <w:rsid w:val="009C32B1"/>
    <w:rsid w:val="009C36F6"/>
    <w:rsid w:val="009C3D14"/>
    <w:rsid w:val="009C43F3"/>
    <w:rsid w:val="009C4BF3"/>
    <w:rsid w:val="009C4F24"/>
    <w:rsid w:val="009C5081"/>
    <w:rsid w:val="009C5D61"/>
    <w:rsid w:val="009C606E"/>
    <w:rsid w:val="009C690C"/>
    <w:rsid w:val="009C6F04"/>
    <w:rsid w:val="009C7626"/>
    <w:rsid w:val="009C7F74"/>
    <w:rsid w:val="009D2095"/>
    <w:rsid w:val="009D2484"/>
    <w:rsid w:val="009D4141"/>
    <w:rsid w:val="009D5540"/>
    <w:rsid w:val="009D6769"/>
    <w:rsid w:val="009D6989"/>
    <w:rsid w:val="009D737A"/>
    <w:rsid w:val="009E1557"/>
    <w:rsid w:val="009E37FB"/>
    <w:rsid w:val="009E4112"/>
    <w:rsid w:val="009E441D"/>
    <w:rsid w:val="009E4534"/>
    <w:rsid w:val="009E5104"/>
    <w:rsid w:val="009E5A80"/>
    <w:rsid w:val="009E67D7"/>
    <w:rsid w:val="009E693B"/>
    <w:rsid w:val="009E69A4"/>
    <w:rsid w:val="009E6D48"/>
    <w:rsid w:val="009E726E"/>
    <w:rsid w:val="009E734D"/>
    <w:rsid w:val="009E7D03"/>
    <w:rsid w:val="009E7F70"/>
    <w:rsid w:val="009E7FCA"/>
    <w:rsid w:val="009F0CB0"/>
    <w:rsid w:val="009F16B7"/>
    <w:rsid w:val="009F1989"/>
    <w:rsid w:val="009F2474"/>
    <w:rsid w:val="009F2762"/>
    <w:rsid w:val="009F2F39"/>
    <w:rsid w:val="009F347A"/>
    <w:rsid w:val="009F36AA"/>
    <w:rsid w:val="009F3A91"/>
    <w:rsid w:val="009F3BB3"/>
    <w:rsid w:val="009F3CD8"/>
    <w:rsid w:val="009F427C"/>
    <w:rsid w:val="009F439F"/>
    <w:rsid w:val="009F456B"/>
    <w:rsid w:val="009F4C07"/>
    <w:rsid w:val="009F4CF2"/>
    <w:rsid w:val="009F7643"/>
    <w:rsid w:val="00A019C9"/>
    <w:rsid w:val="00A01BFA"/>
    <w:rsid w:val="00A01C6F"/>
    <w:rsid w:val="00A01E14"/>
    <w:rsid w:val="00A01F6D"/>
    <w:rsid w:val="00A01FB0"/>
    <w:rsid w:val="00A02CBA"/>
    <w:rsid w:val="00A03003"/>
    <w:rsid w:val="00A03061"/>
    <w:rsid w:val="00A03517"/>
    <w:rsid w:val="00A03B00"/>
    <w:rsid w:val="00A0456D"/>
    <w:rsid w:val="00A04AEB"/>
    <w:rsid w:val="00A04C7B"/>
    <w:rsid w:val="00A0586C"/>
    <w:rsid w:val="00A05EE9"/>
    <w:rsid w:val="00A06A64"/>
    <w:rsid w:val="00A06C9A"/>
    <w:rsid w:val="00A10923"/>
    <w:rsid w:val="00A10E75"/>
    <w:rsid w:val="00A10FCA"/>
    <w:rsid w:val="00A116B2"/>
    <w:rsid w:val="00A133EF"/>
    <w:rsid w:val="00A14296"/>
    <w:rsid w:val="00A14C38"/>
    <w:rsid w:val="00A154BF"/>
    <w:rsid w:val="00A155B9"/>
    <w:rsid w:val="00A15ACD"/>
    <w:rsid w:val="00A15B2A"/>
    <w:rsid w:val="00A167EC"/>
    <w:rsid w:val="00A169BB"/>
    <w:rsid w:val="00A171CE"/>
    <w:rsid w:val="00A175D4"/>
    <w:rsid w:val="00A178C7"/>
    <w:rsid w:val="00A17F79"/>
    <w:rsid w:val="00A20FCF"/>
    <w:rsid w:val="00A2189F"/>
    <w:rsid w:val="00A219DE"/>
    <w:rsid w:val="00A22CC4"/>
    <w:rsid w:val="00A2440E"/>
    <w:rsid w:val="00A245E4"/>
    <w:rsid w:val="00A255D2"/>
    <w:rsid w:val="00A25C73"/>
    <w:rsid w:val="00A26C76"/>
    <w:rsid w:val="00A27385"/>
    <w:rsid w:val="00A276BF"/>
    <w:rsid w:val="00A27930"/>
    <w:rsid w:val="00A3004D"/>
    <w:rsid w:val="00A303D2"/>
    <w:rsid w:val="00A30AAF"/>
    <w:rsid w:val="00A314B3"/>
    <w:rsid w:val="00A31ABA"/>
    <w:rsid w:val="00A32002"/>
    <w:rsid w:val="00A32336"/>
    <w:rsid w:val="00A33765"/>
    <w:rsid w:val="00A33CF0"/>
    <w:rsid w:val="00A35406"/>
    <w:rsid w:val="00A36587"/>
    <w:rsid w:val="00A370CB"/>
    <w:rsid w:val="00A374BE"/>
    <w:rsid w:val="00A37576"/>
    <w:rsid w:val="00A402DA"/>
    <w:rsid w:val="00A40471"/>
    <w:rsid w:val="00A40B1F"/>
    <w:rsid w:val="00A414BF"/>
    <w:rsid w:val="00A41B71"/>
    <w:rsid w:val="00A423E9"/>
    <w:rsid w:val="00A42A8E"/>
    <w:rsid w:val="00A43499"/>
    <w:rsid w:val="00A4399D"/>
    <w:rsid w:val="00A43A00"/>
    <w:rsid w:val="00A43B30"/>
    <w:rsid w:val="00A44772"/>
    <w:rsid w:val="00A44D72"/>
    <w:rsid w:val="00A45043"/>
    <w:rsid w:val="00A452F9"/>
    <w:rsid w:val="00A47C44"/>
    <w:rsid w:val="00A505EE"/>
    <w:rsid w:val="00A5064C"/>
    <w:rsid w:val="00A50E36"/>
    <w:rsid w:val="00A51230"/>
    <w:rsid w:val="00A517C7"/>
    <w:rsid w:val="00A5180C"/>
    <w:rsid w:val="00A5297F"/>
    <w:rsid w:val="00A52B73"/>
    <w:rsid w:val="00A52E1C"/>
    <w:rsid w:val="00A530D9"/>
    <w:rsid w:val="00A53702"/>
    <w:rsid w:val="00A549FD"/>
    <w:rsid w:val="00A54D4F"/>
    <w:rsid w:val="00A55C80"/>
    <w:rsid w:val="00A55D6D"/>
    <w:rsid w:val="00A5700D"/>
    <w:rsid w:val="00A573E0"/>
    <w:rsid w:val="00A5785A"/>
    <w:rsid w:val="00A60066"/>
    <w:rsid w:val="00A600D2"/>
    <w:rsid w:val="00A604A1"/>
    <w:rsid w:val="00A611EB"/>
    <w:rsid w:val="00A614C2"/>
    <w:rsid w:val="00A631E5"/>
    <w:rsid w:val="00A63468"/>
    <w:rsid w:val="00A63F68"/>
    <w:rsid w:val="00A63FE5"/>
    <w:rsid w:val="00A641C0"/>
    <w:rsid w:val="00A64806"/>
    <w:rsid w:val="00A651D0"/>
    <w:rsid w:val="00A65988"/>
    <w:rsid w:val="00A66398"/>
    <w:rsid w:val="00A668BF"/>
    <w:rsid w:val="00A66F23"/>
    <w:rsid w:val="00A67640"/>
    <w:rsid w:val="00A704FE"/>
    <w:rsid w:val="00A707AE"/>
    <w:rsid w:val="00A7136E"/>
    <w:rsid w:val="00A7185B"/>
    <w:rsid w:val="00A73037"/>
    <w:rsid w:val="00A73269"/>
    <w:rsid w:val="00A735C2"/>
    <w:rsid w:val="00A73F33"/>
    <w:rsid w:val="00A74C6B"/>
    <w:rsid w:val="00A754A2"/>
    <w:rsid w:val="00A75923"/>
    <w:rsid w:val="00A7606E"/>
    <w:rsid w:val="00A76151"/>
    <w:rsid w:val="00A7649E"/>
    <w:rsid w:val="00A76712"/>
    <w:rsid w:val="00A76DEC"/>
    <w:rsid w:val="00A77513"/>
    <w:rsid w:val="00A7798A"/>
    <w:rsid w:val="00A77F68"/>
    <w:rsid w:val="00A77F6A"/>
    <w:rsid w:val="00A77FB8"/>
    <w:rsid w:val="00A809FE"/>
    <w:rsid w:val="00A813F2"/>
    <w:rsid w:val="00A822F9"/>
    <w:rsid w:val="00A824FB"/>
    <w:rsid w:val="00A833E9"/>
    <w:rsid w:val="00A84005"/>
    <w:rsid w:val="00A840E9"/>
    <w:rsid w:val="00A8442C"/>
    <w:rsid w:val="00A846F6"/>
    <w:rsid w:val="00A84ADD"/>
    <w:rsid w:val="00A85147"/>
    <w:rsid w:val="00A8588A"/>
    <w:rsid w:val="00A8673E"/>
    <w:rsid w:val="00A8683D"/>
    <w:rsid w:val="00A869AE"/>
    <w:rsid w:val="00A875C2"/>
    <w:rsid w:val="00A879CB"/>
    <w:rsid w:val="00A916CC"/>
    <w:rsid w:val="00A91A65"/>
    <w:rsid w:val="00A922B2"/>
    <w:rsid w:val="00A945F2"/>
    <w:rsid w:val="00A946CC"/>
    <w:rsid w:val="00A95348"/>
    <w:rsid w:val="00A95A55"/>
    <w:rsid w:val="00A96020"/>
    <w:rsid w:val="00A96227"/>
    <w:rsid w:val="00A96B3A"/>
    <w:rsid w:val="00A96CAF"/>
    <w:rsid w:val="00A97C4F"/>
    <w:rsid w:val="00AA0A92"/>
    <w:rsid w:val="00AA0CED"/>
    <w:rsid w:val="00AA1390"/>
    <w:rsid w:val="00AA14B4"/>
    <w:rsid w:val="00AA16BA"/>
    <w:rsid w:val="00AA1F4D"/>
    <w:rsid w:val="00AA2222"/>
    <w:rsid w:val="00AA2280"/>
    <w:rsid w:val="00AA2400"/>
    <w:rsid w:val="00AA29AD"/>
    <w:rsid w:val="00AA37B3"/>
    <w:rsid w:val="00AA4753"/>
    <w:rsid w:val="00AA4BFD"/>
    <w:rsid w:val="00AA5505"/>
    <w:rsid w:val="00AA71DD"/>
    <w:rsid w:val="00AB00CC"/>
    <w:rsid w:val="00AB0326"/>
    <w:rsid w:val="00AB1052"/>
    <w:rsid w:val="00AB1E66"/>
    <w:rsid w:val="00AB23CF"/>
    <w:rsid w:val="00AB24C2"/>
    <w:rsid w:val="00AB2DE7"/>
    <w:rsid w:val="00AB32DE"/>
    <w:rsid w:val="00AB3932"/>
    <w:rsid w:val="00AB3BC1"/>
    <w:rsid w:val="00AB4229"/>
    <w:rsid w:val="00AB46F0"/>
    <w:rsid w:val="00AB4C33"/>
    <w:rsid w:val="00AB4DF4"/>
    <w:rsid w:val="00AB538E"/>
    <w:rsid w:val="00AB539A"/>
    <w:rsid w:val="00AB5CAC"/>
    <w:rsid w:val="00AB5E3D"/>
    <w:rsid w:val="00AC2784"/>
    <w:rsid w:val="00AC28DB"/>
    <w:rsid w:val="00AC2F2E"/>
    <w:rsid w:val="00AC3614"/>
    <w:rsid w:val="00AC365B"/>
    <w:rsid w:val="00AC3AD0"/>
    <w:rsid w:val="00AC4465"/>
    <w:rsid w:val="00AC4D44"/>
    <w:rsid w:val="00AC57D0"/>
    <w:rsid w:val="00AC5A71"/>
    <w:rsid w:val="00AC5B3A"/>
    <w:rsid w:val="00AC6967"/>
    <w:rsid w:val="00AC769F"/>
    <w:rsid w:val="00AC7724"/>
    <w:rsid w:val="00AC77C4"/>
    <w:rsid w:val="00AD2778"/>
    <w:rsid w:val="00AD2B3E"/>
    <w:rsid w:val="00AD3198"/>
    <w:rsid w:val="00AD3E11"/>
    <w:rsid w:val="00AD4AD1"/>
    <w:rsid w:val="00AD5C50"/>
    <w:rsid w:val="00AD6203"/>
    <w:rsid w:val="00AD63CB"/>
    <w:rsid w:val="00AD6C47"/>
    <w:rsid w:val="00AE037E"/>
    <w:rsid w:val="00AE0546"/>
    <w:rsid w:val="00AE14EB"/>
    <w:rsid w:val="00AE15D8"/>
    <w:rsid w:val="00AE3631"/>
    <w:rsid w:val="00AE379B"/>
    <w:rsid w:val="00AE3806"/>
    <w:rsid w:val="00AE451F"/>
    <w:rsid w:val="00AE4834"/>
    <w:rsid w:val="00AE4F56"/>
    <w:rsid w:val="00AE65DA"/>
    <w:rsid w:val="00AE6BC4"/>
    <w:rsid w:val="00AE7729"/>
    <w:rsid w:val="00AE7D30"/>
    <w:rsid w:val="00AF18C3"/>
    <w:rsid w:val="00AF2963"/>
    <w:rsid w:val="00AF3DB9"/>
    <w:rsid w:val="00AF3F15"/>
    <w:rsid w:val="00AF4FEC"/>
    <w:rsid w:val="00AF50EF"/>
    <w:rsid w:val="00AF512E"/>
    <w:rsid w:val="00AF5283"/>
    <w:rsid w:val="00AF5492"/>
    <w:rsid w:val="00AF5853"/>
    <w:rsid w:val="00AF5B79"/>
    <w:rsid w:val="00AF5C3A"/>
    <w:rsid w:val="00AF65C1"/>
    <w:rsid w:val="00AF6F96"/>
    <w:rsid w:val="00AF7234"/>
    <w:rsid w:val="00AF7457"/>
    <w:rsid w:val="00AF7606"/>
    <w:rsid w:val="00AF7C74"/>
    <w:rsid w:val="00AF7D84"/>
    <w:rsid w:val="00AF7FA5"/>
    <w:rsid w:val="00B0024A"/>
    <w:rsid w:val="00B002F7"/>
    <w:rsid w:val="00B003B9"/>
    <w:rsid w:val="00B00B15"/>
    <w:rsid w:val="00B01058"/>
    <w:rsid w:val="00B01B5C"/>
    <w:rsid w:val="00B0386F"/>
    <w:rsid w:val="00B0404C"/>
    <w:rsid w:val="00B0431F"/>
    <w:rsid w:val="00B044F9"/>
    <w:rsid w:val="00B055AB"/>
    <w:rsid w:val="00B059AE"/>
    <w:rsid w:val="00B060C4"/>
    <w:rsid w:val="00B06636"/>
    <w:rsid w:val="00B06F0B"/>
    <w:rsid w:val="00B07D39"/>
    <w:rsid w:val="00B101F4"/>
    <w:rsid w:val="00B10852"/>
    <w:rsid w:val="00B11A19"/>
    <w:rsid w:val="00B11E24"/>
    <w:rsid w:val="00B12014"/>
    <w:rsid w:val="00B12AB2"/>
    <w:rsid w:val="00B12B1B"/>
    <w:rsid w:val="00B12C81"/>
    <w:rsid w:val="00B1324E"/>
    <w:rsid w:val="00B132D8"/>
    <w:rsid w:val="00B13B47"/>
    <w:rsid w:val="00B13E6D"/>
    <w:rsid w:val="00B13FF7"/>
    <w:rsid w:val="00B140E2"/>
    <w:rsid w:val="00B14198"/>
    <w:rsid w:val="00B1476A"/>
    <w:rsid w:val="00B1481C"/>
    <w:rsid w:val="00B149F5"/>
    <w:rsid w:val="00B150EE"/>
    <w:rsid w:val="00B1511E"/>
    <w:rsid w:val="00B153BF"/>
    <w:rsid w:val="00B154FA"/>
    <w:rsid w:val="00B16BC3"/>
    <w:rsid w:val="00B16CA7"/>
    <w:rsid w:val="00B170C4"/>
    <w:rsid w:val="00B1736E"/>
    <w:rsid w:val="00B214A2"/>
    <w:rsid w:val="00B2162C"/>
    <w:rsid w:val="00B224D0"/>
    <w:rsid w:val="00B229B5"/>
    <w:rsid w:val="00B230D7"/>
    <w:rsid w:val="00B23BA8"/>
    <w:rsid w:val="00B23C0E"/>
    <w:rsid w:val="00B23FDE"/>
    <w:rsid w:val="00B24407"/>
    <w:rsid w:val="00B24905"/>
    <w:rsid w:val="00B249D6"/>
    <w:rsid w:val="00B24D99"/>
    <w:rsid w:val="00B25CFC"/>
    <w:rsid w:val="00B26FF2"/>
    <w:rsid w:val="00B276D2"/>
    <w:rsid w:val="00B27783"/>
    <w:rsid w:val="00B277FA"/>
    <w:rsid w:val="00B27932"/>
    <w:rsid w:val="00B30ABC"/>
    <w:rsid w:val="00B3235A"/>
    <w:rsid w:val="00B33222"/>
    <w:rsid w:val="00B33570"/>
    <w:rsid w:val="00B33671"/>
    <w:rsid w:val="00B34C0D"/>
    <w:rsid w:val="00B34FD9"/>
    <w:rsid w:val="00B35537"/>
    <w:rsid w:val="00B35D49"/>
    <w:rsid w:val="00B36083"/>
    <w:rsid w:val="00B369AC"/>
    <w:rsid w:val="00B36FBE"/>
    <w:rsid w:val="00B36FDD"/>
    <w:rsid w:val="00B37AFC"/>
    <w:rsid w:val="00B40ED1"/>
    <w:rsid w:val="00B41F07"/>
    <w:rsid w:val="00B41FDA"/>
    <w:rsid w:val="00B42034"/>
    <w:rsid w:val="00B421EB"/>
    <w:rsid w:val="00B43057"/>
    <w:rsid w:val="00B44EAA"/>
    <w:rsid w:val="00B44ED5"/>
    <w:rsid w:val="00B46C15"/>
    <w:rsid w:val="00B47B0F"/>
    <w:rsid w:val="00B47C65"/>
    <w:rsid w:val="00B512A6"/>
    <w:rsid w:val="00B5146E"/>
    <w:rsid w:val="00B51CF3"/>
    <w:rsid w:val="00B526C8"/>
    <w:rsid w:val="00B54275"/>
    <w:rsid w:val="00B5475D"/>
    <w:rsid w:val="00B555CF"/>
    <w:rsid w:val="00B5560C"/>
    <w:rsid w:val="00B55FF8"/>
    <w:rsid w:val="00B56513"/>
    <w:rsid w:val="00B56BE5"/>
    <w:rsid w:val="00B56C64"/>
    <w:rsid w:val="00B576A7"/>
    <w:rsid w:val="00B6016D"/>
    <w:rsid w:val="00B601EE"/>
    <w:rsid w:val="00B60249"/>
    <w:rsid w:val="00B607B5"/>
    <w:rsid w:val="00B608C3"/>
    <w:rsid w:val="00B61330"/>
    <w:rsid w:val="00B61760"/>
    <w:rsid w:val="00B61FAA"/>
    <w:rsid w:val="00B6236C"/>
    <w:rsid w:val="00B62469"/>
    <w:rsid w:val="00B628E1"/>
    <w:rsid w:val="00B62A4C"/>
    <w:rsid w:val="00B62EEF"/>
    <w:rsid w:val="00B63DAF"/>
    <w:rsid w:val="00B643CB"/>
    <w:rsid w:val="00B64447"/>
    <w:rsid w:val="00B652E5"/>
    <w:rsid w:val="00B655AF"/>
    <w:rsid w:val="00B6568A"/>
    <w:rsid w:val="00B65CB6"/>
    <w:rsid w:val="00B6673A"/>
    <w:rsid w:val="00B669FF"/>
    <w:rsid w:val="00B66A30"/>
    <w:rsid w:val="00B670AF"/>
    <w:rsid w:val="00B708BB"/>
    <w:rsid w:val="00B71A52"/>
    <w:rsid w:val="00B72508"/>
    <w:rsid w:val="00B7302F"/>
    <w:rsid w:val="00B73622"/>
    <w:rsid w:val="00B74381"/>
    <w:rsid w:val="00B7447C"/>
    <w:rsid w:val="00B74FA7"/>
    <w:rsid w:val="00B7521F"/>
    <w:rsid w:val="00B75C93"/>
    <w:rsid w:val="00B75D38"/>
    <w:rsid w:val="00B75DE4"/>
    <w:rsid w:val="00B7638C"/>
    <w:rsid w:val="00B76F23"/>
    <w:rsid w:val="00B809BE"/>
    <w:rsid w:val="00B81839"/>
    <w:rsid w:val="00B81A33"/>
    <w:rsid w:val="00B81C4D"/>
    <w:rsid w:val="00B82FCA"/>
    <w:rsid w:val="00B83317"/>
    <w:rsid w:val="00B8396F"/>
    <w:rsid w:val="00B83BF2"/>
    <w:rsid w:val="00B83F39"/>
    <w:rsid w:val="00B8457A"/>
    <w:rsid w:val="00B852CA"/>
    <w:rsid w:val="00B85E08"/>
    <w:rsid w:val="00B862D9"/>
    <w:rsid w:val="00B86A2C"/>
    <w:rsid w:val="00B86B82"/>
    <w:rsid w:val="00B87953"/>
    <w:rsid w:val="00B87962"/>
    <w:rsid w:val="00B87FDA"/>
    <w:rsid w:val="00B90B63"/>
    <w:rsid w:val="00B90FA1"/>
    <w:rsid w:val="00B92EB9"/>
    <w:rsid w:val="00B93BD9"/>
    <w:rsid w:val="00B93C23"/>
    <w:rsid w:val="00B94504"/>
    <w:rsid w:val="00B947C0"/>
    <w:rsid w:val="00B949FF"/>
    <w:rsid w:val="00B94D35"/>
    <w:rsid w:val="00B950C6"/>
    <w:rsid w:val="00B95A83"/>
    <w:rsid w:val="00B95D3E"/>
    <w:rsid w:val="00B95FAA"/>
    <w:rsid w:val="00B95FE6"/>
    <w:rsid w:val="00B9654A"/>
    <w:rsid w:val="00B9669E"/>
    <w:rsid w:val="00B9708C"/>
    <w:rsid w:val="00B97529"/>
    <w:rsid w:val="00B9789E"/>
    <w:rsid w:val="00B97DA9"/>
    <w:rsid w:val="00BA026C"/>
    <w:rsid w:val="00BA079B"/>
    <w:rsid w:val="00BA09F5"/>
    <w:rsid w:val="00BA0B61"/>
    <w:rsid w:val="00BA0EF3"/>
    <w:rsid w:val="00BA0F0E"/>
    <w:rsid w:val="00BA1788"/>
    <w:rsid w:val="00BA2AFE"/>
    <w:rsid w:val="00BA350C"/>
    <w:rsid w:val="00BA474A"/>
    <w:rsid w:val="00BA4D00"/>
    <w:rsid w:val="00BA5F30"/>
    <w:rsid w:val="00BA6140"/>
    <w:rsid w:val="00BA64E2"/>
    <w:rsid w:val="00BA6538"/>
    <w:rsid w:val="00BA72AE"/>
    <w:rsid w:val="00BA7693"/>
    <w:rsid w:val="00BB0A6E"/>
    <w:rsid w:val="00BB0CF3"/>
    <w:rsid w:val="00BB0FD3"/>
    <w:rsid w:val="00BB14FC"/>
    <w:rsid w:val="00BB1A21"/>
    <w:rsid w:val="00BB2402"/>
    <w:rsid w:val="00BB310E"/>
    <w:rsid w:val="00BB316B"/>
    <w:rsid w:val="00BB3387"/>
    <w:rsid w:val="00BB33C8"/>
    <w:rsid w:val="00BB3D5F"/>
    <w:rsid w:val="00BB477E"/>
    <w:rsid w:val="00BB4C45"/>
    <w:rsid w:val="00BB5237"/>
    <w:rsid w:val="00BB5D58"/>
    <w:rsid w:val="00BB61E2"/>
    <w:rsid w:val="00BB7401"/>
    <w:rsid w:val="00BB7A93"/>
    <w:rsid w:val="00BB7B27"/>
    <w:rsid w:val="00BC0C51"/>
    <w:rsid w:val="00BC11E0"/>
    <w:rsid w:val="00BC1704"/>
    <w:rsid w:val="00BC21AB"/>
    <w:rsid w:val="00BC248E"/>
    <w:rsid w:val="00BC2E0F"/>
    <w:rsid w:val="00BC3738"/>
    <w:rsid w:val="00BC3D62"/>
    <w:rsid w:val="00BC3D7D"/>
    <w:rsid w:val="00BC3FB3"/>
    <w:rsid w:val="00BC5DBD"/>
    <w:rsid w:val="00BC5FA2"/>
    <w:rsid w:val="00BC6E7A"/>
    <w:rsid w:val="00BC7770"/>
    <w:rsid w:val="00BC7883"/>
    <w:rsid w:val="00BD0057"/>
    <w:rsid w:val="00BD0697"/>
    <w:rsid w:val="00BD1528"/>
    <w:rsid w:val="00BD1752"/>
    <w:rsid w:val="00BD180D"/>
    <w:rsid w:val="00BD2844"/>
    <w:rsid w:val="00BD2AB0"/>
    <w:rsid w:val="00BD2B50"/>
    <w:rsid w:val="00BD38F8"/>
    <w:rsid w:val="00BD4AB6"/>
    <w:rsid w:val="00BD4F6D"/>
    <w:rsid w:val="00BD537A"/>
    <w:rsid w:val="00BD6644"/>
    <w:rsid w:val="00BD6B22"/>
    <w:rsid w:val="00BD721F"/>
    <w:rsid w:val="00BD762A"/>
    <w:rsid w:val="00BD7D63"/>
    <w:rsid w:val="00BE07BD"/>
    <w:rsid w:val="00BE095A"/>
    <w:rsid w:val="00BE0B33"/>
    <w:rsid w:val="00BE1086"/>
    <w:rsid w:val="00BE12E9"/>
    <w:rsid w:val="00BE1546"/>
    <w:rsid w:val="00BE1B68"/>
    <w:rsid w:val="00BE1C34"/>
    <w:rsid w:val="00BE1C9D"/>
    <w:rsid w:val="00BE268C"/>
    <w:rsid w:val="00BE295C"/>
    <w:rsid w:val="00BE2C7F"/>
    <w:rsid w:val="00BE322E"/>
    <w:rsid w:val="00BE37B7"/>
    <w:rsid w:val="00BE3D43"/>
    <w:rsid w:val="00BE4212"/>
    <w:rsid w:val="00BE4420"/>
    <w:rsid w:val="00BE49CC"/>
    <w:rsid w:val="00BE4F88"/>
    <w:rsid w:val="00BE5C21"/>
    <w:rsid w:val="00BE616D"/>
    <w:rsid w:val="00BF03D3"/>
    <w:rsid w:val="00BF0DEE"/>
    <w:rsid w:val="00BF1393"/>
    <w:rsid w:val="00BF1521"/>
    <w:rsid w:val="00BF1D91"/>
    <w:rsid w:val="00BF21A9"/>
    <w:rsid w:val="00BF2A39"/>
    <w:rsid w:val="00BF3043"/>
    <w:rsid w:val="00BF386A"/>
    <w:rsid w:val="00BF3C08"/>
    <w:rsid w:val="00BF3CEA"/>
    <w:rsid w:val="00BF4895"/>
    <w:rsid w:val="00BF4C2B"/>
    <w:rsid w:val="00BF5FA7"/>
    <w:rsid w:val="00BF61D5"/>
    <w:rsid w:val="00BF62DA"/>
    <w:rsid w:val="00BF66EB"/>
    <w:rsid w:val="00BF69D2"/>
    <w:rsid w:val="00BF7D45"/>
    <w:rsid w:val="00C00A5E"/>
    <w:rsid w:val="00C00DD9"/>
    <w:rsid w:val="00C00E3E"/>
    <w:rsid w:val="00C01164"/>
    <w:rsid w:val="00C02F7C"/>
    <w:rsid w:val="00C032C9"/>
    <w:rsid w:val="00C03689"/>
    <w:rsid w:val="00C03D90"/>
    <w:rsid w:val="00C049C6"/>
    <w:rsid w:val="00C04B1E"/>
    <w:rsid w:val="00C04EEB"/>
    <w:rsid w:val="00C05809"/>
    <w:rsid w:val="00C10785"/>
    <w:rsid w:val="00C10DAE"/>
    <w:rsid w:val="00C11651"/>
    <w:rsid w:val="00C11C42"/>
    <w:rsid w:val="00C12148"/>
    <w:rsid w:val="00C121D9"/>
    <w:rsid w:val="00C122EE"/>
    <w:rsid w:val="00C12F64"/>
    <w:rsid w:val="00C12FE6"/>
    <w:rsid w:val="00C130DE"/>
    <w:rsid w:val="00C13931"/>
    <w:rsid w:val="00C13C8D"/>
    <w:rsid w:val="00C13F1D"/>
    <w:rsid w:val="00C14410"/>
    <w:rsid w:val="00C1489D"/>
    <w:rsid w:val="00C14AFF"/>
    <w:rsid w:val="00C15A90"/>
    <w:rsid w:val="00C15E97"/>
    <w:rsid w:val="00C160FA"/>
    <w:rsid w:val="00C1616B"/>
    <w:rsid w:val="00C162A3"/>
    <w:rsid w:val="00C17A8A"/>
    <w:rsid w:val="00C2091E"/>
    <w:rsid w:val="00C20A79"/>
    <w:rsid w:val="00C23946"/>
    <w:rsid w:val="00C23A0A"/>
    <w:rsid w:val="00C23D30"/>
    <w:rsid w:val="00C23FFA"/>
    <w:rsid w:val="00C2447A"/>
    <w:rsid w:val="00C24719"/>
    <w:rsid w:val="00C24B64"/>
    <w:rsid w:val="00C25696"/>
    <w:rsid w:val="00C2577A"/>
    <w:rsid w:val="00C268B4"/>
    <w:rsid w:val="00C26B1C"/>
    <w:rsid w:val="00C27BDB"/>
    <w:rsid w:val="00C27EEF"/>
    <w:rsid w:val="00C30729"/>
    <w:rsid w:val="00C30D2D"/>
    <w:rsid w:val="00C3182E"/>
    <w:rsid w:val="00C34590"/>
    <w:rsid w:val="00C348AE"/>
    <w:rsid w:val="00C35C9E"/>
    <w:rsid w:val="00C35E5B"/>
    <w:rsid w:val="00C3658A"/>
    <w:rsid w:val="00C3747B"/>
    <w:rsid w:val="00C4017D"/>
    <w:rsid w:val="00C407D8"/>
    <w:rsid w:val="00C410EF"/>
    <w:rsid w:val="00C4168E"/>
    <w:rsid w:val="00C41770"/>
    <w:rsid w:val="00C41DD1"/>
    <w:rsid w:val="00C425D9"/>
    <w:rsid w:val="00C426FB"/>
    <w:rsid w:val="00C42BF8"/>
    <w:rsid w:val="00C4449F"/>
    <w:rsid w:val="00C45E6E"/>
    <w:rsid w:val="00C470BE"/>
    <w:rsid w:val="00C47264"/>
    <w:rsid w:val="00C472FF"/>
    <w:rsid w:val="00C47B55"/>
    <w:rsid w:val="00C5103A"/>
    <w:rsid w:val="00C52BFE"/>
    <w:rsid w:val="00C544E9"/>
    <w:rsid w:val="00C54E3A"/>
    <w:rsid w:val="00C55218"/>
    <w:rsid w:val="00C55B38"/>
    <w:rsid w:val="00C56296"/>
    <w:rsid w:val="00C56FDB"/>
    <w:rsid w:val="00C57204"/>
    <w:rsid w:val="00C6037B"/>
    <w:rsid w:val="00C6186E"/>
    <w:rsid w:val="00C6248D"/>
    <w:rsid w:val="00C6365B"/>
    <w:rsid w:val="00C63B5E"/>
    <w:rsid w:val="00C645CC"/>
    <w:rsid w:val="00C64D27"/>
    <w:rsid w:val="00C66B2A"/>
    <w:rsid w:val="00C66C5A"/>
    <w:rsid w:val="00C66C5B"/>
    <w:rsid w:val="00C70242"/>
    <w:rsid w:val="00C719D8"/>
    <w:rsid w:val="00C71B24"/>
    <w:rsid w:val="00C725C9"/>
    <w:rsid w:val="00C72950"/>
    <w:rsid w:val="00C729AA"/>
    <w:rsid w:val="00C72E48"/>
    <w:rsid w:val="00C7437E"/>
    <w:rsid w:val="00C74DE2"/>
    <w:rsid w:val="00C750E3"/>
    <w:rsid w:val="00C759B1"/>
    <w:rsid w:val="00C75D42"/>
    <w:rsid w:val="00C7687C"/>
    <w:rsid w:val="00C7699B"/>
    <w:rsid w:val="00C77565"/>
    <w:rsid w:val="00C777E1"/>
    <w:rsid w:val="00C806DA"/>
    <w:rsid w:val="00C81E72"/>
    <w:rsid w:val="00C8254D"/>
    <w:rsid w:val="00C8324D"/>
    <w:rsid w:val="00C836A0"/>
    <w:rsid w:val="00C83ECB"/>
    <w:rsid w:val="00C84746"/>
    <w:rsid w:val="00C84AC7"/>
    <w:rsid w:val="00C8512B"/>
    <w:rsid w:val="00C85D76"/>
    <w:rsid w:val="00C85E60"/>
    <w:rsid w:val="00C85E70"/>
    <w:rsid w:val="00C86360"/>
    <w:rsid w:val="00C869A4"/>
    <w:rsid w:val="00C86B5E"/>
    <w:rsid w:val="00C87959"/>
    <w:rsid w:val="00C87CEC"/>
    <w:rsid w:val="00C901DF"/>
    <w:rsid w:val="00C90B48"/>
    <w:rsid w:val="00C9137A"/>
    <w:rsid w:val="00C9139C"/>
    <w:rsid w:val="00C92057"/>
    <w:rsid w:val="00C92703"/>
    <w:rsid w:val="00C928E6"/>
    <w:rsid w:val="00C93AD7"/>
    <w:rsid w:val="00C93AE9"/>
    <w:rsid w:val="00C94190"/>
    <w:rsid w:val="00C94343"/>
    <w:rsid w:val="00C96598"/>
    <w:rsid w:val="00C96E5F"/>
    <w:rsid w:val="00C97178"/>
    <w:rsid w:val="00CA082C"/>
    <w:rsid w:val="00CA0A46"/>
    <w:rsid w:val="00CA0FAB"/>
    <w:rsid w:val="00CA18EF"/>
    <w:rsid w:val="00CA194F"/>
    <w:rsid w:val="00CA1A58"/>
    <w:rsid w:val="00CA26EC"/>
    <w:rsid w:val="00CA3263"/>
    <w:rsid w:val="00CA35EC"/>
    <w:rsid w:val="00CA3662"/>
    <w:rsid w:val="00CA3FD3"/>
    <w:rsid w:val="00CA4B6C"/>
    <w:rsid w:val="00CA521D"/>
    <w:rsid w:val="00CA687A"/>
    <w:rsid w:val="00CA6B43"/>
    <w:rsid w:val="00CA6E6B"/>
    <w:rsid w:val="00CA6F66"/>
    <w:rsid w:val="00CB10DE"/>
    <w:rsid w:val="00CB13C2"/>
    <w:rsid w:val="00CB1462"/>
    <w:rsid w:val="00CB2796"/>
    <w:rsid w:val="00CB29CF"/>
    <w:rsid w:val="00CB29F6"/>
    <w:rsid w:val="00CB2CB4"/>
    <w:rsid w:val="00CB3E76"/>
    <w:rsid w:val="00CB4113"/>
    <w:rsid w:val="00CB4288"/>
    <w:rsid w:val="00CB54AF"/>
    <w:rsid w:val="00CB56BB"/>
    <w:rsid w:val="00CB57E4"/>
    <w:rsid w:val="00CB5C97"/>
    <w:rsid w:val="00CB5EAB"/>
    <w:rsid w:val="00CB6046"/>
    <w:rsid w:val="00CB6718"/>
    <w:rsid w:val="00CB761B"/>
    <w:rsid w:val="00CB7C31"/>
    <w:rsid w:val="00CC077A"/>
    <w:rsid w:val="00CC10E8"/>
    <w:rsid w:val="00CC2549"/>
    <w:rsid w:val="00CC2B89"/>
    <w:rsid w:val="00CC325D"/>
    <w:rsid w:val="00CC3476"/>
    <w:rsid w:val="00CC3E38"/>
    <w:rsid w:val="00CC47B9"/>
    <w:rsid w:val="00CC56E5"/>
    <w:rsid w:val="00CC658B"/>
    <w:rsid w:val="00CC6956"/>
    <w:rsid w:val="00CC7274"/>
    <w:rsid w:val="00CD10B1"/>
    <w:rsid w:val="00CD1208"/>
    <w:rsid w:val="00CD306F"/>
    <w:rsid w:val="00CD416C"/>
    <w:rsid w:val="00CD4361"/>
    <w:rsid w:val="00CD4A6C"/>
    <w:rsid w:val="00CD512D"/>
    <w:rsid w:val="00CD59CD"/>
    <w:rsid w:val="00CD5D82"/>
    <w:rsid w:val="00CD7073"/>
    <w:rsid w:val="00CD708B"/>
    <w:rsid w:val="00CD7220"/>
    <w:rsid w:val="00CE01F3"/>
    <w:rsid w:val="00CE168C"/>
    <w:rsid w:val="00CE19F8"/>
    <w:rsid w:val="00CE2E95"/>
    <w:rsid w:val="00CE3BD8"/>
    <w:rsid w:val="00CE3E71"/>
    <w:rsid w:val="00CE42DA"/>
    <w:rsid w:val="00CE4674"/>
    <w:rsid w:val="00CE4C36"/>
    <w:rsid w:val="00CE6367"/>
    <w:rsid w:val="00CE71F9"/>
    <w:rsid w:val="00CE73DB"/>
    <w:rsid w:val="00CE774C"/>
    <w:rsid w:val="00CE7C72"/>
    <w:rsid w:val="00CF0D75"/>
    <w:rsid w:val="00CF18B3"/>
    <w:rsid w:val="00CF1D64"/>
    <w:rsid w:val="00CF258F"/>
    <w:rsid w:val="00CF2759"/>
    <w:rsid w:val="00CF2815"/>
    <w:rsid w:val="00CF282D"/>
    <w:rsid w:val="00CF28ED"/>
    <w:rsid w:val="00CF38AB"/>
    <w:rsid w:val="00CF4B96"/>
    <w:rsid w:val="00CF50C7"/>
    <w:rsid w:val="00CF65DA"/>
    <w:rsid w:val="00CF766F"/>
    <w:rsid w:val="00CF7FC1"/>
    <w:rsid w:val="00D00557"/>
    <w:rsid w:val="00D00692"/>
    <w:rsid w:val="00D00DF3"/>
    <w:rsid w:val="00D02112"/>
    <w:rsid w:val="00D0229B"/>
    <w:rsid w:val="00D026BE"/>
    <w:rsid w:val="00D02A62"/>
    <w:rsid w:val="00D039C6"/>
    <w:rsid w:val="00D03DF3"/>
    <w:rsid w:val="00D042C0"/>
    <w:rsid w:val="00D047ED"/>
    <w:rsid w:val="00D0638F"/>
    <w:rsid w:val="00D07414"/>
    <w:rsid w:val="00D100B6"/>
    <w:rsid w:val="00D115EA"/>
    <w:rsid w:val="00D11A39"/>
    <w:rsid w:val="00D11A7A"/>
    <w:rsid w:val="00D1270D"/>
    <w:rsid w:val="00D128F9"/>
    <w:rsid w:val="00D12AA6"/>
    <w:rsid w:val="00D13E1C"/>
    <w:rsid w:val="00D1415E"/>
    <w:rsid w:val="00D148A5"/>
    <w:rsid w:val="00D16295"/>
    <w:rsid w:val="00D1698D"/>
    <w:rsid w:val="00D17335"/>
    <w:rsid w:val="00D1798B"/>
    <w:rsid w:val="00D179B2"/>
    <w:rsid w:val="00D20DA4"/>
    <w:rsid w:val="00D20DFE"/>
    <w:rsid w:val="00D20FDF"/>
    <w:rsid w:val="00D2183A"/>
    <w:rsid w:val="00D22C92"/>
    <w:rsid w:val="00D23615"/>
    <w:rsid w:val="00D2372E"/>
    <w:rsid w:val="00D237C8"/>
    <w:rsid w:val="00D2451A"/>
    <w:rsid w:val="00D2488B"/>
    <w:rsid w:val="00D249F8"/>
    <w:rsid w:val="00D25751"/>
    <w:rsid w:val="00D260B8"/>
    <w:rsid w:val="00D26A4A"/>
    <w:rsid w:val="00D26CE1"/>
    <w:rsid w:val="00D26CFD"/>
    <w:rsid w:val="00D27446"/>
    <w:rsid w:val="00D30130"/>
    <w:rsid w:val="00D30799"/>
    <w:rsid w:val="00D3124B"/>
    <w:rsid w:val="00D312AE"/>
    <w:rsid w:val="00D316F6"/>
    <w:rsid w:val="00D32376"/>
    <w:rsid w:val="00D324D4"/>
    <w:rsid w:val="00D328D5"/>
    <w:rsid w:val="00D32A99"/>
    <w:rsid w:val="00D33E58"/>
    <w:rsid w:val="00D34AE5"/>
    <w:rsid w:val="00D34C88"/>
    <w:rsid w:val="00D34DBE"/>
    <w:rsid w:val="00D3501C"/>
    <w:rsid w:val="00D352DD"/>
    <w:rsid w:val="00D358B7"/>
    <w:rsid w:val="00D367A4"/>
    <w:rsid w:val="00D37558"/>
    <w:rsid w:val="00D37C07"/>
    <w:rsid w:val="00D40451"/>
    <w:rsid w:val="00D41F37"/>
    <w:rsid w:val="00D424D0"/>
    <w:rsid w:val="00D425ED"/>
    <w:rsid w:val="00D42A3A"/>
    <w:rsid w:val="00D42A7E"/>
    <w:rsid w:val="00D42CBB"/>
    <w:rsid w:val="00D42F71"/>
    <w:rsid w:val="00D43677"/>
    <w:rsid w:val="00D43C31"/>
    <w:rsid w:val="00D4506B"/>
    <w:rsid w:val="00D452D4"/>
    <w:rsid w:val="00D4614C"/>
    <w:rsid w:val="00D46E35"/>
    <w:rsid w:val="00D4769B"/>
    <w:rsid w:val="00D505B9"/>
    <w:rsid w:val="00D507BC"/>
    <w:rsid w:val="00D50ACF"/>
    <w:rsid w:val="00D51238"/>
    <w:rsid w:val="00D526DA"/>
    <w:rsid w:val="00D52E51"/>
    <w:rsid w:val="00D53D01"/>
    <w:rsid w:val="00D54665"/>
    <w:rsid w:val="00D54A13"/>
    <w:rsid w:val="00D54F7D"/>
    <w:rsid w:val="00D54FDC"/>
    <w:rsid w:val="00D55313"/>
    <w:rsid w:val="00D5622D"/>
    <w:rsid w:val="00D56F34"/>
    <w:rsid w:val="00D57095"/>
    <w:rsid w:val="00D57245"/>
    <w:rsid w:val="00D57453"/>
    <w:rsid w:val="00D5766A"/>
    <w:rsid w:val="00D57829"/>
    <w:rsid w:val="00D579AE"/>
    <w:rsid w:val="00D57AAA"/>
    <w:rsid w:val="00D628A1"/>
    <w:rsid w:val="00D6294B"/>
    <w:rsid w:val="00D62C2D"/>
    <w:rsid w:val="00D63E44"/>
    <w:rsid w:val="00D64ADA"/>
    <w:rsid w:val="00D66619"/>
    <w:rsid w:val="00D66DF2"/>
    <w:rsid w:val="00D66EE0"/>
    <w:rsid w:val="00D6750B"/>
    <w:rsid w:val="00D70145"/>
    <w:rsid w:val="00D70870"/>
    <w:rsid w:val="00D716F4"/>
    <w:rsid w:val="00D7170D"/>
    <w:rsid w:val="00D71E6A"/>
    <w:rsid w:val="00D71EE3"/>
    <w:rsid w:val="00D7250E"/>
    <w:rsid w:val="00D74060"/>
    <w:rsid w:val="00D74E5B"/>
    <w:rsid w:val="00D74EC1"/>
    <w:rsid w:val="00D75F9B"/>
    <w:rsid w:val="00D763B4"/>
    <w:rsid w:val="00D76EAB"/>
    <w:rsid w:val="00D770FC"/>
    <w:rsid w:val="00D77312"/>
    <w:rsid w:val="00D77549"/>
    <w:rsid w:val="00D80F1C"/>
    <w:rsid w:val="00D822DC"/>
    <w:rsid w:val="00D823E7"/>
    <w:rsid w:val="00D82E02"/>
    <w:rsid w:val="00D82F7B"/>
    <w:rsid w:val="00D83A40"/>
    <w:rsid w:val="00D84352"/>
    <w:rsid w:val="00D850F4"/>
    <w:rsid w:val="00D86120"/>
    <w:rsid w:val="00D86854"/>
    <w:rsid w:val="00D8687C"/>
    <w:rsid w:val="00D86E53"/>
    <w:rsid w:val="00D90959"/>
    <w:rsid w:val="00D911C1"/>
    <w:rsid w:val="00D91FB2"/>
    <w:rsid w:val="00D9207A"/>
    <w:rsid w:val="00D92364"/>
    <w:rsid w:val="00D926D9"/>
    <w:rsid w:val="00D92F7F"/>
    <w:rsid w:val="00D935EA"/>
    <w:rsid w:val="00D93C61"/>
    <w:rsid w:val="00D93F4E"/>
    <w:rsid w:val="00D947C8"/>
    <w:rsid w:val="00D95CF3"/>
    <w:rsid w:val="00D960AD"/>
    <w:rsid w:val="00D960DE"/>
    <w:rsid w:val="00D9613D"/>
    <w:rsid w:val="00D9619E"/>
    <w:rsid w:val="00D96238"/>
    <w:rsid w:val="00D9631F"/>
    <w:rsid w:val="00D9725A"/>
    <w:rsid w:val="00D972FB"/>
    <w:rsid w:val="00D97655"/>
    <w:rsid w:val="00DA1B16"/>
    <w:rsid w:val="00DA2225"/>
    <w:rsid w:val="00DA257D"/>
    <w:rsid w:val="00DA31F8"/>
    <w:rsid w:val="00DA3B11"/>
    <w:rsid w:val="00DA41FA"/>
    <w:rsid w:val="00DA42EC"/>
    <w:rsid w:val="00DA432F"/>
    <w:rsid w:val="00DA513F"/>
    <w:rsid w:val="00DA5B37"/>
    <w:rsid w:val="00DA5E16"/>
    <w:rsid w:val="00DA7187"/>
    <w:rsid w:val="00DA72A4"/>
    <w:rsid w:val="00DB0823"/>
    <w:rsid w:val="00DB0CAA"/>
    <w:rsid w:val="00DB1162"/>
    <w:rsid w:val="00DB18D1"/>
    <w:rsid w:val="00DB1AAF"/>
    <w:rsid w:val="00DB1EBD"/>
    <w:rsid w:val="00DB2056"/>
    <w:rsid w:val="00DB27AB"/>
    <w:rsid w:val="00DB330F"/>
    <w:rsid w:val="00DB335E"/>
    <w:rsid w:val="00DB3771"/>
    <w:rsid w:val="00DB39FD"/>
    <w:rsid w:val="00DB3A2B"/>
    <w:rsid w:val="00DB40A3"/>
    <w:rsid w:val="00DB4245"/>
    <w:rsid w:val="00DB43C7"/>
    <w:rsid w:val="00DB4E19"/>
    <w:rsid w:val="00DB51CD"/>
    <w:rsid w:val="00DB599E"/>
    <w:rsid w:val="00DB655B"/>
    <w:rsid w:val="00DB6573"/>
    <w:rsid w:val="00DB692F"/>
    <w:rsid w:val="00DB7781"/>
    <w:rsid w:val="00DB78E7"/>
    <w:rsid w:val="00DB7DE3"/>
    <w:rsid w:val="00DB7F89"/>
    <w:rsid w:val="00DB7FA6"/>
    <w:rsid w:val="00DC07C7"/>
    <w:rsid w:val="00DC0BE6"/>
    <w:rsid w:val="00DC1042"/>
    <w:rsid w:val="00DC1299"/>
    <w:rsid w:val="00DC1C3A"/>
    <w:rsid w:val="00DC2492"/>
    <w:rsid w:val="00DC283F"/>
    <w:rsid w:val="00DC29D0"/>
    <w:rsid w:val="00DC2AAB"/>
    <w:rsid w:val="00DC2C59"/>
    <w:rsid w:val="00DC2CD7"/>
    <w:rsid w:val="00DC2E5B"/>
    <w:rsid w:val="00DC351F"/>
    <w:rsid w:val="00DC3B9F"/>
    <w:rsid w:val="00DC4726"/>
    <w:rsid w:val="00DC4BAC"/>
    <w:rsid w:val="00DC4CD2"/>
    <w:rsid w:val="00DC4E12"/>
    <w:rsid w:val="00DC4FC6"/>
    <w:rsid w:val="00DC5310"/>
    <w:rsid w:val="00DC5316"/>
    <w:rsid w:val="00DC5F8A"/>
    <w:rsid w:val="00DC5FBE"/>
    <w:rsid w:val="00DC62F6"/>
    <w:rsid w:val="00DC694C"/>
    <w:rsid w:val="00DC7117"/>
    <w:rsid w:val="00DC7B36"/>
    <w:rsid w:val="00DC7CF7"/>
    <w:rsid w:val="00DC7F58"/>
    <w:rsid w:val="00DD011A"/>
    <w:rsid w:val="00DD012D"/>
    <w:rsid w:val="00DD06A9"/>
    <w:rsid w:val="00DD0738"/>
    <w:rsid w:val="00DD11DF"/>
    <w:rsid w:val="00DD1BBA"/>
    <w:rsid w:val="00DD3103"/>
    <w:rsid w:val="00DD3F05"/>
    <w:rsid w:val="00DD4AEC"/>
    <w:rsid w:val="00DD53A2"/>
    <w:rsid w:val="00DD54C5"/>
    <w:rsid w:val="00DD5924"/>
    <w:rsid w:val="00DD5BE9"/>
    <w:rsid w:val="00DD5DF4"/>
    <w:rsid w:val="00DD5EF0"/>
    <w:rsid w:val="00DD670B"/>
    <w:rsid w:val="00DE0D75"/>
    <w:rsid w:val="00DE1F39"/>
    <w:rsid w:val="00DE22A7"/>
    <w:rsid w:val="00DE321B"/>
    <w:rsid w:val="00DE32AA"/>
    <w:rsid w:val="00DE3887"/>
    <w:rsid w:val="00DE39F5"/>
    <w:rsid w:val="00DE3BF0"/>
    <w:rsid w:val="00DE42C3"/>
    <w:rsid w:val="00DE44F8"/>
    <w:rsid w:val="00DE4AF0"/>
    <w:rsid w:val="00DE56D5"/>
    <w:rsid w:val="00DE5F5B"/>
    <w:rsid w:val="00DE77E7"/>
    <w:rsid w:val="00DE7CD1"/>
    <w:rsid w:val="00DF050A"/>
    <w:rsid w:val="00DF1628"/>
    <w:rsid w:val="00DF27F2"/>
    <w:rsid w:val="00DF2A68"/>
    <w:rsid w:val="00DF2FCE"/>
    <w:rsid w:val="00DF3832"/>
    <w:rsid w:val="00DF3A3E"/>
    <w:rsid w:val="00DF3EF2"/>
    <w:rsid w:val="00DF46AD"/>
    <w:rsid w:val="00DF48A8"/>
    <w:rsid w:val="00DF4A7B"/>
    <w:rsid w:val="00DF63EF"/>
    <w:rsid w:val="00DF665C"/>
    <w:rsid w:val="00DF684A"/>
    <w:rsid w:val="00DF7428"/>
    <w:rsid w:val="00DF7D25"/>
    <w:rsid w:val="00E001C6"/>
    <w:rsid w:val="00E00542"/>
    <w:rsid w:val="00E00C7A"/>
    <w:rsid w:val="00E02632"/>
    <w:rsid w:val="00E02C7D"/>
    <w:rsid w:val="00E02F51"/>
    <w:rsid w:val="00E0328F"/>
    <w:rsid w:val="00E0359C"/>
    <w:rsid w:val="00E0374D"/>
    <w:rsid w:val="00E03C67"/>
    <w:rsid w:val="00E03DB3"/>
    <w:rsid w:val="00E03E42"/>
    <w:rsid w:val="00E04612"/>
    <w:rsid w:val="00E055B0"/>
    <w:rsid w:val="00E06E12"/>
    <w:rsid w:val="00E07224"/>
    <w:rsid w:val="00E07E84"/>
    <w:rsid w:val="00E10CD6"/>
    <w:rsid w:val="00E11840"/>
    <w:rsid w:val="00E11D14"/>
    <w:rsid w:val="00E11FC3"/>
    <w:rsid w:val="00E12678"/>
    <w:rsid w:val="00E12A23"/>
    <w:rsid w:val="00E12B2E"/>
    <w:rsid w:val="00E12B41"/>
    <w:rsid w:val="00E135AB"/>
    <w:rsid w:val="00E13704"/>
    <w:rsid w:val="00E13710"/>
    <w:rsid w:val="00E13CA9"/>
    <w:rsid w:val="00E13FB4"/>
    <w:rsid w:val="00E141DA"/>
    <w:rsid w:val="00E14B18"/>
    <w:rsid w:val="00E14B3D"/>
    <w:rsid w:val="00E14D01"/>
    <w:rsid w:val="00E15A17"/>
    <w:rsid w:val="00E16446"/>
    <w:rsid w:val="00E17064"/>
    <w:rsid w:val="00E17B83"/>
    <w:rsid w:val="00E17D04"/>
    <w:rsid w:val="00E20708"/>
    <w:rsid w:val="00E20BBD"/>
    <w:rsid w:val="00E21478"/>
    <w:rsid w:val="00E217A0"/>
    <w:rsid w:val="00E21922"/>
    <w:rsid w:val="00E229ED"/>
    <w:rsid w:val="00E24F05"/>
    <w:rsid w:val="00E25A50"/>
    <w:rsid w:val="00E26A27"/>
    <w:rsid w:val="00E26C35"/>
    <w:rsid w:val="00E3126F"/>
    <w:rsid w:val="00E312CC"/>
    <w:rsid w:val="00E315D5"/>
    <w:rsid w:val="00E316DA"/>
    <w:rsid w:val="00E31A53"/>
    <w:rsid w:val="00E31DC9"/>
    <w:rsid w:val="00E33201"/>
    <w:rsid w:val="00E338D8"/>
    <w:rsid w:val="00E36CDB"/>
    <w:rsid w:val="00E4097E"/>
    <w:rsid w:val="00E41B79"/>
    <w:rsid w:val="00E41C26"/>
    <w:rsid w:val="00E41ED7"/>
    <w:rsid w:val="00E42A9B"/>
    <w:rsid w:val="00E43B37"/>
    <w:rsid w:val="00E443B7"/>
    <w:rsid w:val="00E4469D"/>
    <w:rsid w:val="00E449F9"/>
    <w:rsid w:val="00E44FA3"/>
    <w:rsid w:val="00E45261"/>
    <w:rsid w:val="00E46D0E"/>
    <w:rsid w:val="00E504D4"/>
    <w:rsid w:val="00E5151C"/>
    <w:rsid w:val="00E5220F"/>
    <w:rsid w:val="00E5237B"/>
    <w:rsid w:val="00E528CD"/>
    <w:rsid w:val="00E55F58"/>
    <w:rsid w:val="00E5684E"/>
    <w:rsid w:val="00E575D4"/>
    <w:rsid w:val="00E61116"/>
    <w:rsid w:val="00E6136B"/>
    <w:rsid w:val="00E616A0"/>
    <w:rsid w:val="00E61B9C"/>
    <w:rsid w:val="00E61CD7"/>
    <w:rsid w:val="00E620EF"/>
    <w:rsid w:val="00E629BE"/>
    <w:rsid w:val="00E62A43"/>
    <w:rsid w:val="00E62CF2"/>
    <w:rsid w:val="00E635BD"/>
    <w:rsid w:val="00E63CEF"/>
    <w:rsid w:val="00E63DD0"/>
    <w:rsid w:val="00E63EA5"/>
    <w:rsid w:val="00E6415C"/>
    <w:rsid w:val="00E64611"/>
    <w:rsid w:val="00E65CC6"/>
    <w:rsid w:val="00E66ABF"/>
    <w:rsid w:val="00E66E5D"/>
    <w:rsid w:val="00E6722F"/>
    <w:rsid w:val="00E67F6F"/>
    <w:rsid w:val="00E71D20"/>
    <w:rsid w:val="00E71D75"/>
    <w:rsid w:val="00E72485"/>
    <w:rsid w:val="00E72667"/>
    <w:rsid w:val="00E7391E"/>
    <w:rsid w:val="00E73B51"/>
    <w:rsid w:val="00E73E79"/>
    <w:rsid w:val="00E7430E"/>
    <w:rsid w:val="00E74311"/>
    <w:rsid w:val="00E745AE"/>
    <w:rsid w:val="00E754C0"/>
    <w:rsid w:val="00E76609"/>
    <w:rsid w:val="00E76E08"/>
    <w:rsid w:val="00E775C1"/>
    <w:rsid w:val="00E80441"/>
    <w:rsid w:val="00E8078A"/>
    <w:rsid w:val="00E80DBA"/>
    <w:rsid w:val="00E8169E"/>
    <w:rsid w:val="00E81C1D"/>
    <w:rsid w:val="00E81C86"/>
    <w:rsid w:val="00E81F58"/>
    <w:rsid w:val="00E8265D"/>
    <w:rsid w:val="00E82923"/>
    <w:rsid w:val="00E8350B"/>
    <w:rsid w:val="00E83627"/>
    <w:rsid w:val="00E840C0"/>
    <w:rsid w:val="00E8507A"/>
    <w:rsid w:val="00E85282"/>
    <w:rsid w:val="00E8538E"/>
    <w:rsid w:val="00E86DAC"/>
    <w:rsid w:val="00E86EBF"/>
    <w:rsid w:val="00E87C24"/>
    <w:rsid w:val="00E90322"/>
    <w:rsid w:val="00E9055B"/>
    <w:rsid w:val="00E90A49"/>
    <w:rsid w:val="00E91836"/>
    <w:rsid w:val="00E91E65"/>
    <w:rsid w:val="00E9244E"/>
    <w:rsid w:val="00E92541"/>
    <w:rsid w:val="00E92CBE"/>
    <w:rsid w:val="00E92D10"/>
    <w:rsid w:val="00E93D6B"/>
    <w:rsid w:val="00E93D97"/>
    <w:rsid w:val="00E9455B"/>
    <w:rsid w:val="00E94E8E"/>
    <w:rsid w:val="00E94F27"/>
    <w:rsid w:val="00E95221"/>
    <w:rsid w:val="00E95316"/>
    <w:rsid w:val="00E95C33"/>
    <w:rsid w:val="00E95C59"/>
    <w:rsid w:val="00E96326"/>
    <w:rsid w:val="00E96885"/>
    <w:rsid w:val="00E96938"/>
    <w:rsid w:val="00E96FBB"/>
    <w:rsid w:val="00EA169B"/>
    <w:rsid w:val="00EA1C15"/>
    <w:rsid w:val="00EA20A6"/>
    <w:rsid w:val="00EA3570"/>
    <w:rsid w:val="00EA37B4"/>
    <w:rsid w:val="00EA3DAC"/>
    <w:rsid w:val="00EA5393"/>
    <w:rsid w:val="00EA785E"/>
    <w:rsid w:val="00EA7962"/>
    <w:rsid w:val="00EA799A"/>
    <w:rsid w:val="00EB0948"/>
    <w:rsid w:val="00EB0AF7"/>
    <w:rsid w:val="00EB1FF5"/>
    <w:rsid w:val="00EB21CB"/>
    <w:rsid w:val="00EB272D"/>
    <w:rsid w:val="00EB2D81"/>
    <w:rsid w:val="00EB3667"/>
    <w:rsid w:val="00EB50C0"/>
    <w:rsid w:val="00EB5927"/>
    <w:rsid w:val="00EB66DB"/>
    <w:rsid w:val="00EB6E1C"/>
    <w:rsid w:val="00EB7303"/>
    <w:rsid w:val="00EB7E4D"/>
    <w:rsid w:val="00EC0ADA"/>
    <w:rsid w:val="00EC110B"/>
    <w:rsid w:val="00EC18D8"/>
    <w:rsid w:val="00EC2105"/>
    <w:rsid w:val="00EC2BBC"/>
    <w:rsid w:val="00EC322E"/>
    <w:rsid w:val="00EC3797"/>
    <w:rsid w:val="00EC40DA"/>
    <w:rsid w:val="00EC4E34"/>
    <w:rsid w:val="00EC555A"/>
    <w:rsid w:val="00EC5A55"/>
    <w:rsid w:val="00EC6005"/>
    <w:rsid w:val="00EC6833"/>
    <w:rsid w:val="00EC6CBB"/>
    <w:rsid w:val="00EC7344"/>
    <w:rsid w:val="00EC7E0B"/>
    <w:rsid w:val="00ED288C"/>
    <w:rsid w:val="00ED2A53"/>
    <w:rsid w:val="00ED37B7"/>
    <w:rsid w:val="00ED6019"/>
    <w:rsid w:val="00ED6F7E"/>
    <w:rsid w:val="00ED6F8D"/>
    <w:rsid w:val="00ED765C"/>
    <w:rsid w:val="00EE0EE4"/>
    <w:rsid w:val="00EE2061"/>
    <w:rsid w:val="00EE234D"/>
    <w:rsid w:val="00EE2C10"/>
    <w:rsid w:val="00EE3137"/>
    <w:rsid w:val="00EE3ECB"/>
    <w:rsid w:val="00EE3FEB"/>
    <w:rsid w:val="00EE4351"/>
    <w:rsid w:val="00EE6D93"/>
    <w:rsid w:val="00EE79DD"/>
    <w:rsid w:val="00EF10D0"/>
    <w:rsid w:val="00EF1B94"/>
    <w:rsid w:val="00EF27FE"/>
    <w:rsid w:val="00EF47FE"/>
    <w:rsid w:val="00EF4869"/>
    <w:rsid w:val="00EF4893"/>
    <w:rsid w:val="00EF4F55"/>
    <w:rsid w:val="00EF681B"/>
    <w:rsid w:val="00EF746A"/>
    <w:rsid w:val="00F016CA"/>
    <w:rsid w:val="00F01755"/>
    <w:rsid w:val="00F01A23"/>
    <w:rsid w:val="00F01C9E"/>
    <w:rsid w:val="00F0261F"/>
    <w:rsid w:val="00F028C6"/>
    <w:rsid w:val="00F03483"/>
    <w:rsid w:val="00F0393F"/>
    <w:rsid w:val="00F03A55"/>
    <w:rsid w:val="00F03BE8"/>
    <w:rsid w:val="00F03D80"/>
    <w:rsid w:val="00F042C4"/>
    <w:rsid w:val="00F04DD2"/>
    <w:rsid w:val="00F05398"/>
    <w:rsid w:val="00F053DD"/>
    <w:rsid w:val="00F06B40"/>
    <w:rsid w:val="00F06BA2"/>
    <w:rsid w:val="00F074A4"/>
    <w:rsid w:val="00F07DB4"/>
    <w:rsid w:val="00F07E79"/>
    <w:rsid w:val="00F109EF"/>
    <w:rsid w:val="00F1106E"/>
    <w:rsid w:val="00F11700"/>
    <w:rsid w:val="00F117D5"/>
    <w:rsid w:val="00F11AA7"/>
    <w:rsid w:val="00F12545"/>
    <w:rsid w:val="00F12EFF"/>
    <w:rsid w:val="00F13917"/>
    <w:rsid w:val="00F13D21"/>
    <w:rsid w:val="00F1442D"/>
    <w:rsid w:val="00F149C7"/>
    <w:rsid w:val="00F16384"/>
    <w:rsid w:val="00F16CE4"/>
    <w:rsid w:val="00F17D41"/>
    <w:rsid w:val="00F20839"/>
    <w:rsid w:val="00F20C25"/>
    <w:rsid w:val="00F211E6"/>
    <w:rsid w:val="00F22073"/>
    <w:rsid w:val="00F220EB"/>
    <w:rsid w:val="00F24050"/>
    <w:rsid w:val="00F257B3"/>
    <w:rsid w:val="00F25CD5"/>
    <w:rsid w:val="00F30A11"/>
    <w:rsid w:val="00F30D20"/>
    <w:rsid w:val="00F30FB0"/>
    <w:rsid w:val="00F312AD"/>
    <w:rsid w:val="00F31733"/>
    <w:rsid w:val="00F32006"/>
    <w:rsid w:val="00F323B8"/>
    <w:rsid w:val="00F32FC9"/>
    <w:rsid w:val="00F34318"/>
    <w:rsid w:val="00F34ADC"/>
    <w:rsid w:val="00F35284"/>
    <w:rsid w:val="00F35CEA"/>
    <w:rsid w:val="00F36265"/>
    <w:rsid w:val="00F367A0"/>
    <w:rsid w:val="00F368A7"/>
    <w:rsid w:val="00F37174"/>
    <w:rsid w:val="00F401C0"/>
    <w:rsid w:val="00F40204"/>
    <w:rsid w:val="00F408C6"/>
    <w:rsid w:val="00F40974"/>
    <w:rsid w:val="00F413A3"/>
    <w:rsid w:val="00F4177D"/>
    <w:rsid w:val="00F4218F"/>
    <w:rsid w:val="00F42FA1"/>
    <w:rsid w:val="00F43132"/>
    <w:rsid w:val="00F44992"/>
    <w:rsid w:val="00F44D36"/>
    <w:rsid w:val="00F45033"/>
    <w:rsid w:val="00F455E4"/>
    <w:rsid w:val="00F457FA"/>
    <w:rsid w:val="00F46232"/>
    <w:rsid w:val="00F4699E"/>
    <w:rsid w:val="00F46AD2"/>
    <w:rsid w:val="00F46B8F"/>
    <w:rsid w:val="00F47112"/>
    <w:rsid w:val="00F47B32"/>
    <w:rsid w:val="00F500D6"/>
    <w:rsid w:val="00F519D2"/>
    <w:rsid w:val="00F51DED"/>
    <w:rsid w:val="00F51F18"/>
    <w:rsid w:val="00F52BCA"/>
    <w:rsid w:val="00F53786"/>
    <w:rsid w:val="00F53B2E"/>
    <w:rsid w:val="00F54000"/>
    <w:rsid w:val="00F566B2"/>
    <w:rsid w:val="00F5675A"/>
    <w:rsid w:val="00F56B31"/>
    <w:rsid w:val="00F56F1C"/>
    <w:rsid w:val="00F56F42"/>
    <w:rsid w:val="00F570F5"/>
    <w:rsid w:val="00F57429"/>
    <w:rsid w:val="00F57869"/>
    <w:rsid w:val="00F60177"/>
    <w:rsid w:val="00F62823"/>
    <w:rsid w:val="00F63219"/>
    <w:rsid w:val="00F636E2"/>
    <w:rsid w:val="00F63E48"/>
    <w:rsid w:val="00F63ED0"/>
    <w:rsid w:val="00F652FB"/>
    <w:rsid w:val="00F6579D"/>
    <w:rsid w:val="00F65E5B"/>
    <w:rsid w:val="00F66144"/>
    <w:rsid w:val="00F66B4B"/>
    <w:rsid w:val="00F67950"/>
    <w:rsid w:val="00F70111"/>
    <w:rsid w:val="00F70C87"/>
    <w:rsid w:val="00F70D69"/>
    <w:rsid w:val="00F70F30"/>
    <w:rsid w:val="00F7145E"/>
    <w:rsid w:val="00F71AB2"/>
    <w:rsid w:val="00F7207A"/>
    <w:rsid w:val="00F72223"/>
    <w:rsid w:val="00F722CE"/>
    <w:rsid w:val="00F7237A"/>
    <w:rsid w:val="00F72DB2"/>
    <w:rsid w:val="00F73E03"/>
    <w:rsid w:val="00F74A23"/>
    <w:rsid w:val="00F7524D"/>
    <w:rsid w:val="00F75FA5"/>
    <w:rsid w:val="00F7672D"/>
    <w:rsid w:val="00F7780F"/>
    <w:rsid w:val="00F77D3B"/>
    <w:rsid w:val="00F80684"/>
    <w:rsid w:val="00F81169"/>
    <w:rsid w:val="00F81755"/>
    <w:rsid w:val="00F8278C"/>
    <w:rsid w:val="00F82E70"/>
    <w:rsid w:val="00F83654"/>
    <w:rsid w:val="00F83B6B"/>
    <w:rsid w:val="00F844F8"/>
    <w:rsid w:val="00F85094"/>
    <w:rsid w:val="00F8543F"/>
    <w:rsid w:val="00F856B0"/>
    <w:rsid w:val="00F862A3"/>
    <w:rsid w:val="00F8634D"/>
    <w:rsid w:val="00F86373"/>
    <w:rsid w:val="00F869C3"/>
    <w:rsid w:val="00F86FE2"/>
    <w:rsid w:val="00F87563"/>
    <w:rsid w:val="00F87682"/>
    <w:rsid w:val="00F9056F"/>
    <w:rsid w:val="00F905AB"/>
    <w:rsid w:val="00F90D0A"/>
    <w:rsid w:val="00F91A5B"/>
    <w:rsid w:val="00F91FAF"/>
    <w:rsid w:val="00F924B7"/>
    <w:rsid w:val="00F92855"/>
    <w:rsid w:val="00F92A6D"/>
    <w:rsid w:val="00F92DFE"/>
    <w:rsid w:val="00F9360A"/>
    <w:rsid w:val="00F94FF5"/>
    <w:rsid w:val="00F96AB6"/>
    <w:rsid w:val="00F96E44"/>
    <w:rsid w:val="00F97293"/>
    <w:rsid w:val="00F975E9"/>
    <w:rsid w:val="00F97618"/>
    <w:rsid w:val="00FA042D"/>
    <w:rsid w:val="00FA0EED"/>
    <w:rsid w:val="00FA1ED5"/>
    <w:rsid w:val="00FA2412"/>
    <w:rsid w:val="00FA295D"/>
    <w:rsid w:val="00FA2B69"/>
    <w:rsid w:val="00FA3804"/>
    <w:rsid w:val="00FA3B9A"/>
    <w:rsid w:val="00FA42E2"/>
    <w:rsid w:val="00FA5280"/>
    <w:rsid w:val="00FA5B56"/>
    <w:rsid w:val="00FA64DA"/>
    <w:rsid w:val="00FA78E1"/>
    <w:rsid w:val="00FA7C95"/>
    <w:rsid w:val="00FA7F91"/>
    <w:rsid w:val="00FB072D"/>
    <w:rsid w:val="00FB0989"/>
    <w:rsid w:val="00FB0CD0"/>
    <w:rsid w:val="00FB11F9"/>
    <w:rsid w:val="00FB1979"/>
    <w:rsid w:val="00FB1EB3"/>
    <w:rsid w:val="00FB20DB"/>
    <w:rsid w:val="00FB233B"/>
    <w:rsid w:val="00FB33ED"/>
    <w:rsid w:val="00FB3514"/>
    <w:rsid w:val="00FB3541"/>
    <w:rsid w:val="00FB3C32"/>
    <w:rsid w:val="00FB4B6F"/>
    <w:rsid w:val="00FB4B98"/>
    <w:rsid w:val="00FB5E66"/>
    <w:rsid w:val="00FB5FE0"/>
    <w:rsid w:val="00FB6A4F"/>
    <w:rsid w:val="00FB6D8C"/>
    <w:rsid w:val="00FB7588"/>
    <w:rsid w:val="00FB758D"/>
    <w:rsid w:val="00FB7B93"/>
    <w:rsid w:val="00FB7CE0"/>
    <w:rsid w:val="00FC0573"/>
    <w:rsid w:val="00FC089D"/>
    <w:rsid w:val="00FC08B4"/>
    <w:rsid w:val="00FC15CF"/>
    <w:rsid w:val="00FC1D6D"/>
    <w:rsid w:val="00FC2926"/>
    <w:rsid w:val="00FC2CBB"/>
    <w:rsid w:val="00FC3A6A"/>
    <w:rsid w:val="00FC3A73"/>
    <w:rsid w:val="00FC56D5"/>
    <w:rsid w:val="00FC6138"/>
    <w:rsid w:val="00FC62A9"/>
    <w:rsid w:val="00FC63FE"/>
    <w:rsid w:val="00FC758F"/>
    <w:rsid w:val="00FC7B58"/>
    <w:rsid w:val="00FD02B2"/>
    <w:rsid w:val="00FD1143"/>
    <w:rsid w:val="00FD16FE"/>
    <w:rsid w:val="00FD1A8F"/>
    <w:rsid w:val="00FD1C89"/>
    <w:rsid w:val="00FD1F86"/>
    <w:rsid w:val="00FD2308"/>
    <w:rsid w:val="00FD33E3"/>
    <w:rsid w:val="00FD470B"/>
    <w:rsid w:val="00FD4CD5"/>
    <w:rsid w:val="00FD5032"/>
    <w:rsid w:val="00FD593C"/>
    <w:rsid w:val="00FD5BD1"/>
    <w:rsid w:val="00FD5BEF"/>
    <w:rsid w:val="00FD5DA6"/>
    <w:rsid w:val="00FD6C73"/>
    <w:rsid w:val="00FD78E2"/>
    <w:rsid w:val="00FD7D11"/>
    <w:rsid w:val="00FD7F29"/>
    <w:rsid w:val="00FE0000"/>
    <w:rsid w:val="00FE0232"/>
    <w:rsid w:val="00FE050F"/>
    <w:rsid w:val="00FE0711"/>
    <w:rsid w:val="00FE0ACE"/>
    <w:rsid w:val="00FE0FB6"/>
    <w:rsid w:val="00FE1EE9"/>
    <w:rsid w:val="00FE259F"/>
    <w:rsid w:val="00FE2F06"/>
    <w:rsid w:val="00FE30D4"/>
    <w:rsid w:val="00FE3D35"/>
    <w:rsid w:val="00FE451F"/>
    <w:rsid w:val="00FE5E90"/>
    <w:rsid w:val="00FE6E21"/>
    <w:rsid w:val="00FE70F7"/>
    <w:rsid w:val="00FF0A6F"/>
    <w:rsid w:val="00FF19C5"/>
    <w:rsid w:val="00FF23F6"/>
    <w:rsid w:val="00FF2570"/>
    <w:rsid w:val="00FF2B3D"/>
    <w:rsid w:val="00FF3512"/>
    <w:rsid w:val="00FF365C"/>
    <w:rsid w:val="00FF3F10"/>
    <w:rsid w:val="00FF46E5"/>
    <w:rsid w:val="00FF5332"/>
    <w:rsid w:val="00FF5987"/>
    <w:rsid w:val="00FF5F4E"/>
    <w:rsid w:val="00FF7764"/>
    <w:rsid w:val="010E4250"/>
    <w:rsid w:val="010FFD15"/>
    <w:rsid w:val="0126ECE4"/>
    <w:rsid w:val="0127800F"/>
    <w:rsid w:val="0139642A"/>
    <w:rsid w:val="016525C6"/>
    <w:rsid w:val="0177A00A"/>
    <w:rsid w:val="01A1C886"/>
    <w:rsid w:val="01A484FA"/>
    <w:rsid w:val="01B65B6B"/>
    <w:rsid w:val="01D58EED"/>
    <w:rsid w:val="01DCA3F7"/>
    <w:rsid w:val="01F8DADE"/>
    <w:rsid w:val="021F9680"/>
    <w:rsid w:val="0226CF49"/>
    <w:rsid w:val="022EC767"/>
    <w:rsid w:val="024280E1"/>
    <w:rsid w:val="02434D2C"/>
    <w:rsid w:val="0246568C"/>
    <w:rsid w:val="024A94AA"/>
    <w:rsid w:val="0255C11A"/>
    <w:rsid w:val="025F9FCE"/>
    <w:rsid w:val="027A38AA"/>
    <w:rsid w:val="027C2C2E"/>
    <w:rsid w:val="0283652B"/>
    <w:rsid w:val="029631E9"/>
    <w:rsid w:val="029A52D8"/>
    <w:rsid w:val="02B2DEA3"/>
    <w:rsid w:val="02F081C0"/>
    <w:rsid w:val="02F38BCE"/>
    <w:rsid w:val="0306D02C"/>
    <w:rsid w:val="030B2EC7"/>
    <w:rsid w:val="031645C0"/>
    <w:rsid w:val="0325C33A"/>
    <w:rsid w:val="03273A52"/>
    <w:rsid w:val="03295443"/>
    <w:rsid w:val="033C6EEA"/>
    <w:rsid w:val="0363CD3B"/>
    <w:rsid w:val="03753C82"/>
    <w:rsid w:val="037632E5"/>
    <w:rsid w:val="0381D672"/>
    <w:rsid w:val="03826A6D"/>
    <w:rsid w:val="03906FF7"/>
    <w:rsid w:val="0390C9C7"/>
    <w:rsid w:val="03983B56"/>
    <w:rsid w:val="039852A1"/>
    <w:rsid w:val="03B37F83"/>
    <w:rsid w:val="03B75477"/>
    <w:rsid w:val="03C924F4"/>
    <w:rsid w:val="03D0A068"/>
    <w:rsid w:val="03D449DF"/>
    <w:rsid w:val="03E6B4DD"/>
    <w:rsid w:val="04191851"/>
    <w:rsid w:val="042343B8"/>
    <w:rsid w:val="043D59A0"/>
    <w:rsid w:val="0442F6DF"/>
    <w:rsid w:val="045C2801"/>
    <w:rsid w:val="048043BB"/>
    <w:rsid w:val="048397B0"/>
    <w:rsid w:val="04C38019"/>
    <w:rsid w:val="04F156F1"/>
    <w:rsid w:val="04F7BDAB"/>
    <w:rsid w:val="0523C64C"/>
    <w:rsid w:val="05425762"/>
    <w:rsid w:val="057482F1"/>
    <w:rsid w:val="05A432E6"/>
    <w:rsid w:val="05A8A469"/>
    <w:rsid w:val="05AE5D7B"/>
    <w:rsid w:val="05D9B9E2"/>
    <w:rsid w:val="05EB1B3D"/>
    <w:rsid w:val="060CEBA2"/>
    <w:rsid w:val="065F581D"/>
    <w:rsid w:val="0693692C"/>
    <w:rsid w:val="0699C43B"/>
    <w:rsid w:val="06AC6F24"/>
    <w:rsid w:val="06B50120"/>
    <w:rsid w:val="06B709AA"/>
    <w:rsid w:val="06D4540B"/>
    <w:rsid w:val="06DCBE73"/>
    <w:rsid w:val="06E3033D"/>
    <w:rsid w:val="06E9D97F"/>
    <w:rsid w:val="06F6E577"/>
    <w:rsid w:val="06FD2AC5"/>
    <w:rsid w:val="07009840"/>
    <w:rsid w:val="07071381"/>
    <w:rsid w:val="0712B579"/>
    <w:rsid w:val="071A1002"/>
    <w:rsid w:val="07A003A3"/>
    <w:rsid w:val="07A0567E"/>
    <w:rsid w:val="07DEAB3A"/>
    <w:rsid w:val="07E5E1E8"/>
    <w:rsid w:val="07EB31C7"/>
    <w:rsid w:val="08226B68"/>
    <w:rsid w:val="08336C2E"/>
    <w:rsid w:val="08D4503A"/>
    <w:rsid w:val="08DA891B"/>
    <w:rsid w:val="08DC1C08"/>
    <w:rsid w:val="08FF00A5"/>
    <w:rsid w:val="0901C57F"/>
    <w:rsid w:val="09110FA6"/>
    <w:rsid w:val="0913E7A4"/>
    <w:rsid w:val="09188D3C"/>
    <w:rsid w:val="091B2E5A"/>
    <w:rsid w:val="092E2E9E"/>
    <w:rsid w:val="093EB5B3"/>
    <w:rsid w:val="094803FF"/>
    <w:rsid w:val="0978EEC4"/>
    <w:rsid w:val="0982A597"/>
    <w:rsid w:val="09915601"/>
    <w:rsid w:val="09964D57"/>
    <w:rsid w:val="09BE151F"/>
    <w:rsid w:val="09F837C5"/>
    <w:rsid w:val="09F9F5CE"/>
    <w:rsid w:val="09FBB2A5"/>
    <w:rsid w:val="0A278A36"/>
    <w:rsid w:val="0A32FD1A"/>
    <w:rsid w:val="0A35DBE4"/>
    <w:rsid w:val="0A40D4C2"/>
    <w:rsid w:val="0A4BBF05"/>
    <w:rsid w:val="0A4C2E11"/>
    <w:rsid w:val="0A80646A"/>
    <w:rsid w:val="0AB8CA50"/>
    <w:rsid w:val="0AE4A84B"/>
    <w:rsid w:val="0B5CD5E3"/>
    <w:rsid w:val="0B6F5CB2"/>
    <w:rsid w:val="0B74FC0E"/>
    <w:rsid w:val="0B8540D9"/>
    <w:rsid w:val="0B8AE18F"/>
    <w:rsid w:val="0BBBF147"/>
    <w:rsid w:val="0BD542EB"/>
    <w:rsid w:val="0C2713FB"/>
    <w:rsid w:val="0C5C7A65"/>
    <w:rsid w:val="0C6813C5"/>
    <w:rsid w:val="0C95FD42"/>
    <w:rsid w:val="0C97CEDF"/>
    <w:rsid w:val="0CA8907D"/>
    <w:rsid w:val="0CBDAE88"/>
    <w:rsid w:val="0CC855B2"/>
    <w:rsid w:val="0CEDDA8C"/>
    <w:rsid w:val="0CF963CF"/>
    <w:rsid w:val="0CFA1652"/>
    <w:rsid w:val="0D1145A2"/>
    <w:rsid w:val="0D2AEB0F"/>
    <w:rsid w:val="0D2C11C5"/>
    <w:rsid w:val="0D826C88"/>
    <w:rsid w:val="0DA187CF"/>
    <w:rsid w:val="0DC27478"/>
    <w:rsid w:val="0DC9C7D2"/>
    <w:rsid w:val="0E13AD35"/>
    <w:rsid w:val="0E3752CA"/>
    <w:rsid w:val="0E8BE335"/>
    <w:rsid w:val="0EAEDBC8"/>
    <w:rsid w:val="0EBFB2F3"/>
    <w:rsid w:val="0EC3447A"/>
    <w:rsid w:val="0EE2B0B0"/>
    <w:rsid w:val="0EE856AA"/>
    <w:rsid w:val="0EF3897A"/>
    <w:rsid w:val="0F101698"/>
    <w:rsid w:val="0F20C020"/>
    <w:rsid w:val="0F2C70BB"/>
    <w:rsid w:val="0F35C6E1"/>
    <w:rsid w:val="0F57C32C"/>
    <w:rsid w:val="0F6CCAB3"/>
    <w:rsid w:val="0F71AD92"/>
    <w:rsid w:val="0F7C7967"/>
    <w:rsid w:val="0F83698A"/>
    <w:rsid w:val="0F866A9A"/>
    <w:rsid w:val="0F883998"/>
    <w:rsid w:val="0F9C0842"/>
    <w:rsid w:val="0FBAC386"/>
    <w:rsid w:val="0FD1B486"/>
    <w:rsid w:val="0FE173A4"/>
    <w:rsid w:val="100A8B69"/>
    <w:rsid w:val="102EE5E4"/>
    <w:rsid w:val="103442CE"/>
    <w:rsid w:val="104925D5"/>
    <w:rsid w:val="106C4B67"/>
    <w:rsid w:val="1089500B"/>
    <w:rsid w:val="108A1739"/>
    <w:rsid w:val="109355EA"/>
    <w:rsid w:val="10A745A3"/>
    <w:rsid w:val="10C05E04"/>
    <w:rsid w:val="10DF9FD1"/>
    <w:rsid w:val="10F70C1B"/>
    <w:rsid w:val="11213CC1"/>
    <w:rsid w:val="112E6560"/>
    <w:rsid w:val="114E040D"/>
    <w:rsid w:val="115B8DCE"/>
    <w:rsid w:val="1173F150"/>
    <w:rsid w:val="11786E8D"/>
    <w:rsid w:val="117C59E8"/>
    <w:rsid w:val="117E3153"/>
    <w:rsid w:val="118940EF"/>
    <w:rsid w:val="1189CA5A"/>
    <w:rsid w:val="11A5DD74"/>
    <w:rsid w:val="11A907A9"/>
    <w:rsid w:val="11CDBB99"/>
    <w:rsid w:val="11DB899C"/>
    <w:rsid w:val="11DBD862"/>
    <w:rsid w:val="11E7D4A5"/>
    <w:rsid w:val="123666A0"/>
    <w:rsid w:val="123D2E61"/>
    <w:rsid w:val="12465272"/>
    <w:rsid w:val="1246AFA8"/>
    <w:rsid w:val="125BF636"/>
    <w:rsid w:val="12706EC2"/>
    <w:rsid w:val="1276A282"/>
    <w:rsid w:val="1285D700"/>
    <w:rsid w:val="12DBBDC8"/>
    <w:rsid w:val="12EA49EE"/>
    <w:rsid w:val="12EBF1A5"/>
    <w:rsid w:val="12ED6EF8"/>
    <w:rsid w:val="12F2071D"/>
    <w:rsid w:val="12F23021"/>
    <w:rsid w:val="1314994C"/>
    <w:rsid w:val="133F21EC"/>
    <w:rsid w:val="134F6F5A"/>
    <w:rsid w:val="136492E1"/>
    <w:rsid w:val="13680889"/>
    <w:rsid w:val="136E0650"/>
    <w:rsid w:val="136F3325"/>
    <w:rsid w:val="1390DF59"/>
    <w:rsid w:val="13915A14"/>
    <w:rsid w:val="13ADA646"/>
    <w:rsid w:val="13B4A404"/>
    <w:rsid w:val="13E224D8"/>
    <w:rsid w:val="13EFCE5F"/>
    <w:rsid w:val="14120967"/>
    <w:rsid w:val="142C8F2B"/>
    <w:rsid w:val="142E2D87"/>
    <w:rsid w:val="1430163A"/>
    <w:rsid w:val="1459DBBD"/>
    <w:rsid w:val="1466F145"/>
    <w:rsid w:val="146AA653"/>
    <w:rsid w:val="146F75D5"/>
    <w:rsid w:val="146FD159"/>
    <w:rsid w:val="1472A57E"/>
    <w:rsid w:val="14865DD9"/>
    <w:rsid w:val="149ED091"/>
    <w:rsid w:val="14C922F4"/>
    <w:rsid w:val="14D26313"/>
    <w:rsid w:val="14D40DC7"/>
    <w:rsid w:val="14D46183"/>
    <w:rsid w:val="14D99285"/>
    <w:rsid w:val="14ED5D96"/>
    <w:rsid w:val="14FA09FE"/>
    <w:rsid w:val="151430C3"/>
    <w:rsid w:val="1538F4AA"/>
    <w:rsid w:val="153BB851"/>
    <w:rsid w:val="1556C6D8"/>
    <w:rsid w:val="15666165"/>
    <w:rsid w:val="156BFF89"/>
    <w:rsid w:val="156F81FE"/>
    <w:rsid w:val="157105E5"/>
    <w:rsid w:val="157B01FE"/>
    <w:rsid w:val="157CDD93"/>
    <w:rsid w:val="15897209"/>
    <w:rsid w:val="158F458B"/>
    <w:rsid w:val="159385C5"/>
    <w:rsid w:val="15B29153"/>
    <w:rsid w:val="15D46AC0"/>
    <w:rsid w:val="15DFE6FF"/>
    <w:rsid w:val="15EF7379"/>
    <w:rsid w:val="15F04F49"/>
    <w:rsid w:val="1602A497"/>
    <w:rsid w:val="1635D13D"/>
    <w:rsid w:val="166DCE7C"/>
    <w:rsid w:val="166E70A4"/>
    <w:rsid w:val="1679919F"/>
    <w:rsid w:val="16815EBF"/>
    <w:rsid w:val="168E4467"/>
    <w:rsid w:val="16B1B91E"/>
    <w:rsid w:val="16B23234"/>
    <w:rsid w:val="16D57409"/>
    <w:rsid w:val="16E97292"/>
    <w:rsid w:val="16EC0B06"/>
    <w:rsid w:val="171F914A"/>
    <w:rsid w:val="172314DE"/>
    <w:rsid w:val="1737A994"/>
    <w:rsid w:val="173BB536"/>
    <w:rsid w:val="17CCC296"/>
    <w:rsid w:val="17D175B6"/>
    <w:rsid w:val="17D33C19"/>
    <w:rsid w:val="17E117E8"/>
    <w:rsid w:val="17FA24BF"/>
    <w:rsid w:val="183EFEC5"/>
    <w:rsid w:val="184C2F1B"/>
    <w:rsid w:val="187B24DB"/>
    <w:rsid w:val="18965109"/>
    <w:rsid w:val="18BE5A7A"/>
    <w:rsid w:val="18C533C5"/>
    <w:rsid w:val="18D0752A"/>
    <w:rsid w:val="18E0D743"/>
    <w:rsid w:val="18EBE6DE"/>
    <w:rsid w:val="19251265"/>
    <w:rsid w:val="192DC42C"/>
    <w:rsid w:val="194C3163"/>
    <w:rsid w:val="19772A1A"/>
    <w:rsid w:val="19835494"/>
    <w:rsid w:val="19B37C18"/>
    <w:rsid w:val="19B62465"/>
    <w:rsid w:val="19C21A2E"/>
    <w:rsid w:val="19C438A9"/>
    <w:rsid w:val="19D84E17"/>
    <w:rsid w:val="19DA89AF"/>
    <w:rsid w:val="19DE53B4"/>
    <w:rsid w:val="1A0E22BD"/>
    <w:rsid w:val="1A1FE367"/>
    <w:rsid w:val="1A33A13F"/>
    <w:rsid w:val="1A3F6032"/>
    <w:rsid w:val="1A433D10"/>
    <w:rsid w:val="1A485F07"/>
    <w:rsid w:val="1A686CA4"/>
    <w:rsid w:val="1A729E2A"/>
    <w:rsid w:val="1AC557E4"/>
    <w:rsid w:val="1ACFA4A6"/>
    <w:rsid w:val="1B0EB007"/>
    <w:rsid w:val="1B144390"/>
    <w:rsid w:val="1B29C408"/>
    <w:rsid w:val="1B369AD5"/>
    <w:rsid w:val="1B51798E"/>
    <w:rsid w:val="1B550284"/>
    <w:rsid w:val="1B5758A1"/>
    <w:rsid w:val="1B808049"/>
    <w:rsid w:val="1B91D2BC"/>
    <w:rsid w:val="1BB779E7"/>
    <w:rsid w:val="1BD72115"/>
    <w:rsid w:val="1C020F91"/>
    <w:rsid w:val="1C5BF0E8"/>
    <w:rsid w:val="1C5BF336"/>
    <w:rsid w:val="1C82C157"/>
    <w:rsid w:val="1CB7E4E2"/>
    <w:rsid w:val="1CB7F83A"/>
    <w:rsid w:val="1CFC9061"/>
    <w:rsid w:val="1D02B4E0"/>
    <w:rsid w:val="1D60F94A"/>
    <w:rsid w:val="1D78269F"/>
    <w:rsid w:val="1D7D89F1"/>
    <w:rsid w:val="1DAF0382"/>
    <w:rsid w:val="1DEA330A"/>
    <w:rsid w:val="1DF89B25"/>
    <w:rsid w:val="1DFB6DE1"/>
    <w:rsid w:val="1E00F44E"/>
    <w:rsid w:val="1E0CFC72"/>
    <w:rsid w:val="1E106E78"/>
    <w:rsid w:val="1E15EBA3"/>
    <w:rsid w:val="1E360ED7"/>
    <w:rsid w:val="1E6F55EA"/>
    <w:rsid w:val="1E7A3A9A"/>
    <w:rsid w:val="1E8C67DB"/>
    <w:rsid w:val="1EB7405C"/>
    <w:rsid w:val="1EBB0F1F"/>
    <w:rsid w:val="1F14D6AB"/>
    <w:rsid w:val="1F28A3D0"/>
    <w:rsid w:val="1F3A8CBD"/>
    <w:rsid w:val="1F4DBDC4"/>
    <w:rsid w:val="1F536990"/>
    <w:rsid w:val="1F606B5C"/>
    <w:rsid w:val="1F61926F"/>
    <w:rsid w:val="1F649323"/>
    <w:rsid w:val="1F7830D7"/>
    <w:rsid w:val="1F87E45E"/>
    <w:rsid w:val="1F8EB217"/>
    <w:rsid w:val="1F9F5A20"/>
    <w:rsid w:val="1FC2511B"/>
    <w:rsid w:val="1FE96F7C"/>
    <w:rsid w:val="1FF19934"/>
    <w:rsid w:val="1FF4E2CF"/>
    <w:rsid w:val="1FFDD3AD"/>
    <w:rsid w:val="201EFC98"/>
    <w:rsid w:val="203D756B"/>
    <w:rsid w:val="207DED08"/>
    <w:rsid w:val="208EDCCD"/>
    <w:rsid w:val="2098942D"/>
    <w:rsid w:val="20A32654"/>
    <w:rsid w:val="20A6A5BE"/>
    <w:rsid w:val="20BD81D4"/>
    <w:rsid w:val="20D69A95"/>
    <w:rsid w:val="20DDC707"/>
    <w:rsid w:val="20EB1EDE"/>
    <w:rsid w:val="212D5B34"/>
    <w:rsid w:val="213A662B"/>
    <w:rsid w:val="2145E777"/>
    <w:rsid w:val="2177A766"/>
    <w:rsid w:val="217BC5A7"/>
    <w:rsid w:val="21C24CA3"/>
    <w:rsid w:val="21DDB2E1"/>
    <w:rsid w:val="2207D09C"/>
    <w:rsid w:val="2210513A"/>
    <w:rsid w:val="22245DC2"/>
    <w:rsid w:val="22626926"/>
    <w:rsid w:val="22A221E8"/>
    <w:rsid w:val="22C69EC4"/>
    <w:rsid w:val="2308CFC4"/>
    <w:rsid w:val="23143C7E"/>
    <w:rsid w:val="235FC468"/>
    <w:rsid w:val="236F4F45"/>
    <w:rsid w:val="23C59F57"/>
    <w:rsid w:val="23CA4FF9"/>
    <w:rsid w:val="24044C7C"/>
    <w:rsid w:val="2423B7A2"/>
    <w:rsid w:val="2433C187"/>
    <w:rsid w:val="245B7888"/>
    <w:rsid w:val="245CD783"/>
    <w:rsid w:val="2464E553"/>
    <w:rsid w:val="24865698"/>
    <w:rsid w:val="248A94A2"/>
    <w:rsid w:val="24954ACE"/>
    <w:rsid w:val="24A9F719"/>
    <w:rsid w:val="24AC45C6"/>
    <w:rsid w:val="24DD9840"/>
    <w:rsid w:val="24E9AC4F"/>
    <w:rsid w:val="24F850DE"/>
    <w:rsid w:val="24F97AE0"/>
    <w:rsid w:val="2538E7D7"/>
    <w:rsid w:val="254412A4"/>
    <w:rsid w:val="256F1E4B"/>
    <w:rsid w:val="2588387A"/>
    <w:rsid w:val="25C63B3A"/>
    <w:rsid w:val="25D4AD31"/>
    <w:rsid w:val="25F47689"/>
    <w:rsid w:val="25FD4EB6"/>
    <w:rsid w:val="26123B27"/>
    <w:rsid w:val="26130FA3"/>
    <w:rsid w:val="261A4001"/>
    <w:rsid w:val="26426254"/>
    <w:rsid w:val="2649E947"/>
    <w:rsid w:val="2649F102"/>
    <w:rsid w:val="265281AC"/>
    <w:rsid w:val="265B7522"/>
    <w:rsid w:val="266BC6C1"/>
    <w:rsid w:val="26760A0A"/>
    <w:rsid w:val="268827AC"/>
    <w:rsid w:val="269D3CF8"/>
    <w:rsid w:val="26A1A445"/>
    <w:rsid w:val="26D1C078"/>
    <w:rsid w:val="26F4EC03"/>
    <w:rsid w:val="26F5AD17"/>
    <w:rsid w:val="270D132B"/>
    <w:rsid w:val="27733923"/>
    <w:rsid w:val="278F2987"/>
    <w:rsid w:val="27940982"/>
    <w:rsid w:val="27ABC396"/>
    <w:rsid w:val="28176871"/>
    <w:rsid w:val="2833358B"/>
    <w:rsid w:val="2834836B"/>
    <w:rsid w:val="285330E4"/>
    <w:rsid w:val="287C86B5"/>
    <w:rsid w:val="288FDBC6"/>
    <w:rsid w:val="2896C369"/>
    <w:rsid w:val="289D84D3"/>
    <w:rsid w:val="28A50762"/>
    <w:rsid w:val="28ABB3C9"/>
    <w:rsid w:val="28B0F0D7"/>
    <w:rsid w:val="28B7755E"/>
    <w:rsid w:val="28B9C59D"/>
    <w:rsid w:val="28C0346C"/>
    <w:rsid w:val="291F48BD"/>
    <w:rsid w:val="2947D37B"/>
    <w:rsid w:val="29CF1A82"/>
    <w:rsid w:val="29DC320C"/>
    <w:rsid w:val="29E92567"/>
    <w:rsid w:val="2A1ABB31"/>
    <w:rsid w:val="2A48944F"/>
    <w:rsid w:val="2A6C4E1D"/>
    <w:rsid w:val="2A9286EA"/>
    <w:rsid w:val="2A9B7D9D"/>
    <w:rsid w:val="2A9FC206"/>
    <w:rsid w:val="2AC50F99"/>
    <w:rsid w:val="2AC688E8"/>
    <w:rsid w:val="2ACCA56E"/>
    <w:rsid w:val="2ADFFA8B"/>
    <w:rsid w:val="2AE42C75"/>
    <w:rsid w:val="2AEFE982"/>
    <w:rsid w:val="2AFCB195"/>
    <w:rsid w:val="2AFDAFFE"/>
    <w:rsid w:val="2B1F6A62"/>
    <w:rsid w:val="2B61B457"/>
    <w:rsid w:val="2B71DB0E"/>
    <w:rsid w:val="2B75586E"/>
    <w:rsid w:val="2B9FDF5E"/>
    <w:rsid w:val="2BA917A8"/>
    <w:rsid w:val="2BBD8F6F"/>
    <w:rsid w:val="2BC85D26"/>
    <w:rsid w:val="2C16CBFD"/>
    <w:rsid w:val="2C2AA438"/>
    <w:rsid w:val="2C729D4B"/>
    <w:rsid w:val="2C8BE6B3"/>
    <w:rsid w:val="2C8F7F2E"/>
    <w:rsid w:val="2C9F3151"/>
    <w:rsid w:val="2CC8DB24"/>
    <w:rsid w:val="2CE897AB"/>
    <w:rsid w:val="2CE8FAD6"/>
    <w:rsid w:val="2CF3F999"/>
    <w:rsid w:val="2D0E4328"/>
    <w:rsid w:val="2D19D734"/>
    <w:rsid w:val="2D3821E8"/>
    <w:rsid w:val="2D4A5F33"/>
    <w:rsid w:val="2D52AE7A"/>
    <w:rsid w:val="2D6E3279"/>
    <w:rsid w:val="2D7EE17F"/>
    <w:rsid w:val="2D8CDFEC"/>
    <w:rsid w:val="2D99AD8D"/>
    <w:rsid w:val="2DA1B1B2"/>
    <w:rsid w:val="2DD910AC"/>
    <w:rsid w:val="2DE14144"/>
    <w:rsid w:val="2E17FCAD"/>
    <w:rsid w:val="2E18484F"/>
    <w:rsid w:val="2E746BA5"/>
    <w:rsid w:val="2ECA3F3D"/>
    <w:rsid w:val="2EF5963D"/>
    <w:rsid w:val="2F121FAE"/>
    <w:rsid w:val="2F1A7C73"/>
    <w:rsid w:val="2F3285DD"/>
    <w:rsid w:val="2F36A408"/>
    <w:rsid w:val="2F4A5625"/>
    <w:rsid w:val="2F6D7B1D"/>
    <w:rsid w:val="2F8A98CA"/>
    <w:rsid w:val="2FDA1CB6"/>
    <w:rsid w:val="30013971"/>
    <w:rsid w:val="300D0252"/>
    <w:rsid w:val="302E8F3F"/>
    <w:rsid w:val="3038D769"/>
    <w:rsid w:val="3048F6E7"/>
    <w:rsid w:val="304ADAF3"/>
    <w:rsid w:val="307A963D"/>
    <w:rsid w:val="30881BE9"/>
    <w:rsid w:val="30CB0976"/>
    <w:rsid w:val="30D6D062"/>
    <w:rsid w:val="30F16992"/>
    <w:rsid w:val="31064F6C"/>
    <w:rsid w:val="31291EA5"/>
    <w:rsid w:val="31579CEA"/>
    <w:rsid w:val="31618170"/>
    <w:rsid w:val="316291B8"/>
    <w:rsid w:val="316A5A4E"/>
    <w:rsid w:val="31A57E9E"/>
    <w:rsid w:val="31B2359E"/>
    <w:rsid w:val="31C41E18"/>
    <w:rsid w:val="31DCF6FE"/>
    <w:rsid w:val="31E3B886"/>
    <w:rsid w:val="31F36290"/>
    <w:rsid w:val="31F5059B"/>
    <w:rsid w:val="32218B23"/>
    <w:rsid w:val="32302F99"/>
    <w:rsid w:val="32345B48"/>
    <w:rsid w:val="32872861"/>
    <w:rsid w:val="3298AE36"/>
    <w:rsid w:val="329B8259"/>
    <w:rsid w:val="329BE0BA"/>
    <w:rsid w:val="32BFDCA7"/>
    <w:rsid w:val="32D66B70"/>
    <w:rsid w:val="32FDC31F"/>
    <w:rsid w:val="3300488C"/>
    <w:rsid w:val="330A7E5B"/>
    <w:rsid w:val="333624E5"/>
    <w:rsid w:val="3345AD34"/>
    <w:rsid w:val="334BFE11"/>
    <w:rsid w:val="334CE63B"/>
    <w:rsid w:val="33527061"/>
    <w:rsid w:val="33596FAA"/>
    <w:rsid w:val="33B6D550"/>
    <w:rsid w:val="33CCB5E9"/>
    <w:rsid w:val="33D15766"/>
    <w:rsid w:val="33F8D0A5"/>
    <w:rsid w:val="34013B4F"/>
    <w:rsid w:val="3407DF53"/>
    <w:rsid w:val="341A1637"/>
    <w:rsid w:val="343158A9"/>
    <w:rsid w:val="34376498"/>
    <w:rsid w:val="346F07FA"/>
    <w:rsid w:val="34743DEF"/>
    <w:rsid w:val="347DA36B"/>
    <w:rsid w:val="349ABB85"/>
    <w:rsid w:val="34B2B1BE"/>
    <w:rsid w:val="34ED9BAB"/>
    <w:rsid w:val="351B1071"/>
    <w:rsid w:val="35230863"/>
    <w:rsid w:val="35363560"/>
    <w:rsid w:val="3555F747"/>
    <w:rsid w:val="3568969E"/>
    <w:rsid w:val="357005C6"/>
    <w:rsid w:val="357C3F75"/>
    <w:rsid w:val="3591F92D"/>
    <w:rsid w:val="35B7C0F6"/>
    <w:rsid w:val="35BF6B1C"/>
    <w:rsid w:val="35D4FAAC"/>
    <w:rsid w:val="35DFF316"/>
    <w:rsid w:val="35ED16F7"/>
    <w:rsid w:val="3601A846"/>
    <w:rsid w:val="360AE4B5"/>
    <w:rsid w:val="3611E5B0"/>
    <w:rsid w:val="36171544"/>
    <w:rsid w:val="362C2A3A"/>
    <w:rsid w:val="362E6451"/>
    <w:rsid w:val="3630DEF6"/>
    <w:rsid w:val="364425A8"/>
    <w:rsid w:val="364D2BF1"/>
    <w:rsid w:val="36605D2C"/>
    <w:rsid w:val="36737819"/>
    <w:rsid w:val="3675CEB8"/>
    <w:rsid w:val="368213D2"/>
    <w:rsid w:val="368319E2"/>
    <w:rsid w:val="36836D8F"/>
    <w:rsid w:val="3685ECC0"/>
    <w:rsid w:val="3687FDC4"/>
    <w:rsid w:val="36AE2FC1"/>
    <w:rsid w:val="36C00391"/>
    <w:rsid w:val="36C52E01"/>
    <w:rsid w:val="36DC32B3"/>
    <w:rsid w:val="36E8FEB1"/>
    <w:rsid w:val="37010C9F"/>
    <w:rsid w:val="3709A3D0"/>
    <w:rsid w:val="3725FBEE"/>
    <w:rsid w:val="37512F1F"/>
    <w:rsid w:val="37717A9E"/>
    <w:rsid w:val="37822C25"/>
    <w:rsid w:val="3784E9B4"/>
    <w:rsid w:val="37B16C9C"/>
    <w:rsid w:val="37B759B1"/>
    <w:rsid w:val="37BF5FE6"/>
    <w:rsid w:val="37CB157B"/>
    <w:rsid w:val="37CB921B"/>
    <w:rsid w:val="38105ACA"/>
    <w:rsid w:val="38239CD3"/>
    <w:rsid w:val="3828E26E"/>
    <w:rsid w:val="382E4AC8"/>
    <w:rsid w:val="3833C775"/>
    <w:rsid w:val="3834AAB9"/>
    <w:rsid w:val="3859E06A"/>
    <w:rsid w:val="385D9E97"/>
    <w:rsid w:val="3868105D"/>
    <w:rsid w:val="38716EA3"/>
    <w:rsid w:val="38854ACC"/>
    <w:rsid w:val="388A0C5B"/>
    <w:rsid w:val="38B3C2E5"/>
    <w:rsid w:val="38C6D8D3"/>
    <w:rsid w:val="392F1E2B"/>
    <w:rsid w:val="392FDB09"/>
    <w:rsid w:val="394965D6"/>
    <w:rsid w:val="3959ADCA"/>
    <w:rsid w:val="3968AD92"/>
    <w:rsid w:val="397D054F"/>
    <w:rsid w:val="398A6FB0"/>
    <w:rsid w:val="39BB1BAB"/>
    <w:rsid w:val="3A04109F"/>
    <w:rsid w:val="3A0C115C"/>
    <w:rsid w:val="3A1E6AD4"/>
    <w:rsid w:val="3A255585"/>
    <w:rsid w:val="3A34157A"/>
    <w:rsid w:val="3A3DEB8E"/>
    <w:rsid w:val="3A4D3EDE"/>
    <w:rsid w:val="3A671A0A"/>
    <w:rsid w:val="3A822E5F"/>
    <w:rsid w:val="3A911F66"/>
    <w:rsid w:val="3A92AB02"/>
    <w:rsid w:val="3AC02FBF"/>
    <w:rsid w:val="3AD97054"/>
    <w:rsid w:val="3AE3E438"/>
    <w:rsid w:val="3AF83B29"/>
    <w:rsid w:val="3B0A131B"/>
    <w:rsid w:val="3B36365C"/>
    <w:rsid w:val="3B416103"/>
    <w:rsid w:val="3B4EE722"/>
    <w:rsid w:val="3B622D1A"/>
    <w:rsid w:val="3B649DE6"/>
    <w:rsid w:val="3BA75120"/>
    <w:rsid w:val="3BAFAD28"/>
    <w:rsid w:val="3BEC118D"/>
    <w:rsid w:val="3BFAA640"/>
    <w:rsid w:val="3C03EC50"/>
    <w:rsid w:val="3C253C85"/>
    <w:rsid w:val="3C284A17"/>
    <w:rsid w:val="3C42A59C"/>
    <w:rsid w:val="3C5046AD"/>
    <w:rsid w:val="3C83587B"/>
    <w:rsid w:val="3C983DE8"/>
    <w:rsid w:val="3CB8999F"/>
    <w:rsid w:val="3CC5032B"/>
    <w:rsid w:val="3CD342AA"/>
    <w:rsid w:val="3D1AF6B1"/>
    <w:rsid w:val="3D1F4D76"/>
    <w:rsid w:val="3D2BA000"/>
    <w:rsid w:val="3D2D0D50"/>
    <w:rsid w:val="3D3D16D0"/>
    <w:rsid w:val="3D3FEB90"/>
    <w:rsid w:val="3D44067E"/>
    <w:rsid w:val="3D5725C6"/>
    <w:rsid w:val="3D680877"/>
    <w:rsid w:val="3D8DB944"/>
    <w:rsid w:val="3D93F9EC"/>
    <w:rsid w:val="3DA62C6A"/>
    <w:rsid w:val="3DB09B13"/>
    <w:rsid w:val="3DB81EE4"/>
    <w:rsid w:val="3DBBA242"/>
    <w:rsid w:val="3DC00739"/>
    <w:rsid w:val="3E06D58B"/>
    <w:rsid w:val="3E120B1D"/>
    <w:rsid w:val="3E424ECF"/>
    <w:rsid w:val="3E74DDCE"/>
    <w:rsid w:val="3E81C6A4"/>
    <w:rsid w:val="3E8C317B"/>
    <w:rsid w:val="3E9FF627"/>
    <w:rsid w:val="3EAB486E"/>
    <w:rsid w:val="3ECBDAD0"/>
    <w:rsid w:val="3F04CF3F"/>
    <w:rsid w:val="3F13CD99"/>
    <w:rsid w:val="3F308E6C"/>
    <w:rsid w:val="3F4AF216"/>
    <w:rsid w:val="3F5837B5"/>
    <w:rsid w:val="3F7487DE"/>
    <w:rsid w:val="3F7A8625"/>
    <w:rsid w:val="3F826926"/>
    <w:rsid w:val="3FAEE75B"/>
    <w:rsid w:val="3FBA40A0"/>
    <w:rsid w:val="3FDF39B3"/>
    <w:rsid w:val="3FF03A61"/>
    <w:rsid w:val="3FFC214F"/>
    <w:rsid w:val="4014178E"/>
    <w:rsid w:val="401D7082"/>
    <w:rsid w:val="4041A27B"/>
    <w:rsid w:val="404344F9"/>
    <w:rsid w:val="407D0065"/>
    <w:rsid w:val="40AC4FC5"/>
    <w:rsid w:val="40B9A273"/>
    <w:rsid w:val="40CDDD64"/>
    <w:rsid w:val="40D59209"/>
    <w:rsid w:val="40FE68AC"/>
    <w:rsid w:val="411399BF"/>
    <w:rsid w:val="411C7D88"/>
    <w:rsid w:val="411FD9BE"/>
    <w:rsid w:val="4138CA75"/>
    <w:rsid w:val="414AFE50"/>
    <w:rsid w:val="4156A4E8"/>
    <w:rsid w:val="41575192"/>
    <w:rsid w:val="415DE359"/>
    <w:rsid w:val="416D69E0"/>
    <w:rsid w:val="416DEA0D"/>
    <w:rsid w:val="41905C91"/>
    <w:rsid w:val="419725BB"/>
    <w:rsid w:val="41A89433"/>
    <w:rsid w:val="41B04355"/>
    <w:rsid w:val="41C349FF"/>
    <w:rsid w:val="41C77D68"/>
    <w:rsid w:val="41CB181E"/>
    <w:rsid w:val="41D67C22"/>
    <w:rsid w:val="41EE6A9B"/>
    <w:rsid w:val="4214F051"/>
    <w:rsid w:val="423114EC"/>
    <w:rsid w:val="423AB8FB"/>
    <w:rsid w:val="4246E9C6"/>
    <w:rsid w:val="42587ECA"/>
    <w:rsid w:val="4266741C"/>
    <w:rsid w:val="427082CA"/>
    <w:rsid w:val="42745EF2"/>
    <w:rsid w:val="42799ABE"/>
    <w:rsid w:val="428AE2D7"/>
    <w:rsid w:val="4293B165"/>
    <w:rsid w:val="42AB73E4"/>
    <w:rsid w:val="42CCB814"/>
    <w:rsid w:val="42EC84B2"/>
    <w:rsid w:val="42FDAC3E"/>
    <w:rsid w:val="430ED51E"/>
    <w:rsid w:val="432415DC"/>
    <w:rsid w:val="432A9931"/>
    <w:rsid w:val="433FC114"/>
    <w:rsid w:val="436FCAE4"/>
    <w:rsid w:val="43779135"/>
    <w:rsid w:val="439B203D"/>
    <w:rsid w:val="43AA2B3B"/>
    <w:rsid w:val="43B57216"/>
    <w:rsid w:val="43E85122"/>
    <w:rsid w:val="43FEC1AB"/>
    <w:rsid w:val="4404887D"/>
    <w:rsid w:val="4414C537"/>
    <w:rsid w:val="442E89C4"/>
    <w:rsid w:val="445ECB8A"/>
    <w:rsid w:val="44799D5A"/>
    <w:rsid w:val="44876931"/>
    <w:rsid w:val="449664A6"/>
    <w:rsid w:val="44DF227E"/>
    <w:rsid w:val="45083068"/>
    <w:rsid w:val="450F6EF5"/>
    <w:rsid w:val="456026E0"/>
    <w:rsid w:val="457A63FD"/>
    <w:rsid w:val="45B1F5F2"/>
    <w:rsid w:val="45F00EAB"/>
    <w:rsid w:val="465A5130"/>
    <w:rsid w:val="468A8004"/>
    <w:rsid w:val="46A0A834"/>
    <w:rsid w:val="46B4A391"/>
    <w:rsid w:val="46BE0CC5"/>
    <w:rsid w:val="47378358"/>
    <w:rsid w:val="474047D0"/>
    <w:rsid w:val="474EB361"/>
    <w:rsid w:val="478347D8"/>
    <w:rsid w:val="478FD37D"/>
    <w:rsid w:val="4790A7BF"/>
    <w:rsid w:val="47C7297D"/>
    <w:rsid w:val="47D6C227"/>
    <w:rsid w:val="47E90AAB"/>
    <w:rsid w:val="4812A9EC"/>
    <w:rsid w:val="483B61F5"/>
    <w:rsid w:val="48579412"/>
    <w:rsid w:val="487468F7"/>
    <w:rsid w:val="487ACB73"/>
    <w:rsid w:val="48A4B3D5"/>
    <w:rsid w:val="48D98EA9"/>
    <w:rsid w:val="48D9E7FE"/>
    <w:rsid w:val="48DFAED5"/>
    <w:rsid w:val="48FF49C0"/>
    <w:rsid w:val="49054DBC"/>
    <w:rsid w:val="49130DFD"/>
    <w:rsid w:val="49202C3E"/>
    <w:rsid w:val="495CF8DB"/>
    <w:rsid w:val="496D0174"/>
    <w:rsid w:val="49790E2A"/>
    <w:rsid w:val="497D8636"/>
    <w:rsid w:val="49882819"/>
    <w:rsid w:val="49B040B5"/>
    <w:rsid w:val="49BB553A"/>
    <w:rsid w:val="49CD32CD"/>
    <w:rsid w:val="49F99E71"/>
    <w:rsid w:val="49FED86B"/>
    <w:rsid w:val="4A10E291"/>
    <w:rsid w:val="4A21A6CD"/>
    <w:rsid w:val="4A2900F5"/>
    <w:rsid w:val="4A3810CD"/>
    <w:rsid w:val="4A649FF6"/>
    <w:rsid w:val="4A9C49F3"/>
    <w:rsid w:val="4AA114B7"/>
    <w:rsid w:val="4AB1433C"/>
    <w:rsid w:val="4AC52652"/>
    <w:rsid w:val="4AEAE1EF"/>
    <w:rsid w:val="4B206A79"/>
    <w:rsid w:val="4B522129"/>
    <w:rsid w:val="4B66547C"/>
    <w:rsid w:val="4B7F4BF5"/>
    <w:rsid w:val="4B84A982"/>
    <w:rsid w:val="4B8D8B20"/>
    <w:rsid w:val="4B91E152"/>
    <w:rsid w:val="4B95273E"/>
    <w:rsid w:val="4BA28111"/>
    <w:rsid w:val="4BC9AB09"/>
    <w:rsid w:val="4BCA07A0"/>
    <w:rsid w:val="4BD03834"/>
    <w:rsid w:val="4BD64804"/>
    <w:rsid w:val="4BE389C4"/>
    <w:rsid w:val="4C0DD577"/>
    <w:rsid w:val="4C17DC77"/>
    <w:rsid w:val="4C2EE50F"/>
    <w:rsid w:val="4C3C9BF5"/>
    <w:rsid w:val="4C411B53"/>
    <w:rsid w:val="4C4E30DB"/>
    <w:rsid w:val="4C62004E"/>
    <w:rsid w:val="4C6FF6D6"/>
    <w:rsid w:val="4C766B80"/>
    <w:rsid w:val="4C7F094D"/>
    <w:rsid w:val="4C8D752F"/>
    <w:rsid w:val="4CA1716D"/>
    <w:rsid w:val="4CA5709B"/>
    <w:rsid w:val="4CBBFD86"/>
    <w:rsid w:val="4CC94DB0"/>
    <w:rsid w:val="4CCC516E"/>
    <w:rsid w:val="4D0DD72C"/>
    <w:rsid w:val="4D18B75E"/>
    <w:rsid w:val="4D27BF8F"/>
    <w:rsid w:val="4D392B02"/>
    <w:rsid w:val="4D48906E"/>
    <w:rsid w:val="4D4A14ED"/>
    <w:rsid w:val="4D55F775"/>
    <w:rsid w:val="4D577D4D"/>
    <w:rsid w:val="4D715CD6"/>
    <w:rsid w:val="4D81BFA5"/>
    <w:rsid w:val="4D915C0A"/>
    <w:rsid w:val="4DA37024"/>
    <w:rsid w:val="4DAF5EF4"/>
    <w:rsid w:val="4DAF868E"/>
    <w:rsid w:val="4DAFBC86"/>
    <w:rsid w:val="4DBAC5A7"/>
    <w:rsid w:val="4DCD4053"/>
    <w:rsid w:val="4DDABEA3"/>
    <w:rsid w:val="4DF4D98E"/>
    <w:rsid w:val="4DF717E1"/>
    <w:rsid w:val="4E07A09D"/>
    <w:rsid w:val="4E0DF1D3"/>
    <w:rsid w:val="4E193667"/>
    <w:rsid w:val="4E3E296D"/>
    <w:rsid w:val="4E3E49FE"/>
    <w:rsid w:val="4E52752F"/>
    <w:rsid w:val="4E5D955E"/>
    <w:rsid w:val="4E7D3177"/>
    <w:rsid w:val="4E7ED0E4"/>
    <w:rsid w:val="4EB10196"/>
    <w:rsid w:val="4EB25BC4"/>
    <w:rsid w:val="4ED0576C"/>
    <w:rsid w:val="4EE7070F"/>
    <w:rsid w:val="4EEEEFCB"/>
    <w:rsid w:val="4EEF94AF"/>
    <w:rsid w:val="4EFC4629"/>
    <w:rsid w:val="4F1061AC"/>
    <w:rsid w:val="4F211BB9"/>
    <w:rsid w:val="4F387528"/>
    <w:rsid w:val="4F4D5481"/>
    <w:rsid w:val="4F5114B6"/>
    <w:rsid w:val="4F8C3185"/>
    <w:rsid w:val="4F96E778"/>
    <w:rsid w:val="4FD638AD"/>
    <w:rsid w:val="4FE8D1E1"/>
    <w:rsid w:val="4FF78FD6"/>
    <w:rsid w:val="4FFF3E53"/>
    <w:rsid w:val="50047442"/>
    <w:rsid w:val="500E610F"/>
    <w:rsid w:val="501470AF"/>
    <w:rsid w:val="501CF868"/>
    <w:rsid w:val="5040326F"/>
    <w:rsid w:val="504AC847"/>
    <w:rsid w:val="505A9271"/>
    <w:rsid w:val="5065BE57"/>
    <w:rsid w:val="506E530A"/>
    <w:rsid w:val="5073F685"/>
    <w:rsid w:val="508CDCD8"/>
    <w:rsid w:val="509198AA"/>
    <w:rsid w:val="50A34E3E"/>
    <w:rsid w:val="50AD3013"/>
    <w:rsid w:val="50B5290A"/>
    <w:rsid w:val="50B69DE0"/>
    <w:rsid w:val="50ECA141"/>
    <w:rsid w:val="512CD2CD"/>
    <w:rsid w:val="51589D8B"/>
    <w:rsid w:val="5159814A"/>
    <w:rsid w:val="516523FE"/>
    <w:rsid w:val="51690E8F"/>
    <w:rsid w:val="518D7691"/>
    <w:rsid w:val="51AB01D5"/>
    <w:rsid w:val="51DC39F6"/>
    <w:rsid w:val="51E2FCED"/>
    <w:rsid w:val="51F59FA3"/>
    <w:rsid w:val="51FE826C"/>
    <w:rsid w:val="5211CB0D"/>
    <w:rsid w:val="52262A99"/>
    <w:rsid w:val="52280E4D"/>
    <w:rsid w:val="5242A3F9"/>
    <w:rsid w:val="524467F9"/>
    <w:rsid w:val="5246951F"/>
    <w:rsid w:val="524AD9FC"/>
    <w:rsid w:val="525CC5CB"/>
    <w:rsid w:val="52AD3392"/>
    <w:rsid w:val="52B31BF9"/>
    <w:rsid w:val="52B514CE"/>
    <w:rsid w:val="52D1A8AD"/>
    <w:rsid w:val="52DCCB77"/>
    <w:rsid w:val="52DD1A92"/>
    <w:rsid w:val="52E0BDC6"/>
    <w:rsid w:val="530121D5"/>
    <w:rsid w:val="531D9218"/>
    <w:rsid w:val="5331C2E8"/>
    <w:rsid w:val="53354FDB"/>
    <w:rsid w:val="534FEA5F"/>
    <w:rsid w:val="53535313"/>
    <w:rsid w:val="536A626F"/>
    <w:rsid w:val="536D9F10"/>
    <w:rsid w:val="5374E9A2"/>
    <w:rsid w:val="5377A6FC"/>
    <w:rsid w:val="53A3445E"/>
    <w:rsid w:val="53A40B1A"/>
    <w:rsid w:val="53ABE2B9"/>
    <w:rsid w:val="53B0ED38"/>
    <w:rsid w:val="53BB9491"/>
    <w:rsid w:val="53F0A2BA"/>
    <w:rsid w:val="54009D8E"/>
    <w:rsid w:val="54100429"/>
    <w:rsid w:val="54337730"/>
    <w:rsid w:val="543431B0"/>
    <w:rsid w:val="543B1B20"/>
    <w:rsid w:val="5465C5F9"/>
    <w:rsid w:val="54857992"/>
    <w:rsid w:val="54A97791"/>
    <w:rsid w:val="54B3C0A5"/>
    <w:rsid w:val="54BB9722"/>
    <w:rsid w:val="54CE47D8"/>
    <w:rsid w:val="54DEE610"/>
    <w:rsid w:val="54EBC121"/>
    <w:rsid w:val="55096346"/>
    <w:rsid w:val="55100A04"/>
    <w:rsid w:val="5512636B"/>
    <w:rsid w:val="5512B389"/>
    <w:rsid w:val="551C9A02"/>
    <w:rsid w:val="556401ED"/>
    <w:rsid w:val="55A9B693"/>
    <w:rsid w:val="55B821DE"/>
    <w:rsid w:val="55E03AC5"/>
    <w:rsid w:val="55ECFE01"/>
    <w:rsid w:val="55F01F93"/>
    <w:rsid w:val="562B1124"/>
    <w:rsid w:val="562E95F7"/>
    <w:rsid w:val="56302F89"/>
    <w:rsid w:val="56550309"/>
    <w:rsid w:val="566DFB04"/>
    <w:rsid w:val="5674FF9B"/>
    <w:rsid w:val="56827EE3"/>
    <w:rsid w:val="5694C652"/>
    <w:rsid w:val="56A309E8"/>
    <w:rsid w:val="56D651A2"/>
    <w:rsid w:val="56D6A14A"/>
    <w:rsid w:val="56E1CE55"/>
    <w:rsid w:val="56E528CF"/>
    <w:rsid w:val="56EB4C0C"/>
    <w:rsid w:val="56F96765"/>
    <w:rsid w:val="5757B887"/>
    <w:rsid w:val="578DE6B9"/>
    <w:rsid w:val="57908C9C"/>
    <w:rsid w:val="5796146B"/>
    <w:rsid w:val="57A05CC5"/>
    <w:rsid w:val="57CAD336"/>
    <w:rsid w:val="57DBA724"/>
    <w:rsid w:val="57E98854"/>
    <w:rsid w:val="57F05A67"/>
    <w:rsid w:val="5823E46F"/>
    <w:rsid w:val="583D3F98"/>
    <w:rsid w:val="583D9629"/>
    <w:rsid w:val="585816F6"/>
    <w:rsid w:val="58726809"/>
    <w:rsid w:val="587C23DB"/>
    <w:rsid w:val="58A571EC"/>
    <w:rsid w:val="58CDE9F1"/>
    <w:rsid w:val="58CE4A38"/>
    <w:rsid w:val="5907477A"/>
    <w:rsid w:val="591D0C8A"/>
    <w:rsid w:val="591E795E"/>
    <w:rsid w:val="59476C45"/>
    <w:rsid w:val="596BA7AF"/>
    <w:rsid w:val="5973860E"/>
    <w:rsid w:val="597C6D3D"/>
    <w:rsid w:val="59892F89"/>
    <w:rsid w:val="598A4CA4"/>
    <w:rsid w:val="598CA536"/>
    <w:rsid w:val="59B61CD4"/>
    <w:rsid w:val="59B9189A"/>
    <w:rsid w:val="59C41D53"/>
    <w:rsid w:val="59D09602"/>
    <w:rsid w:val="59DCA96F"/>
    <w:rsid w:val="59E527E6"/>
    <w:rsid w:val="59ED577A"/>
    <w:rsid w:val="59EF5281"/>
    <w:rsid w:val="59F73918"/>
    <w:rsid w:val="59FF9826"/>
    <w:rsid w:val="5A0DA934"/>
    <w:rsid w:val="5A1D5868"/>
    <w:rsid w:val="5A4E5E69"/>
    <w:rsid w:val="5A69BFCC"/>
    <w:rsid w:val="5A789D27"/>
    <w:rsid w:val="5A86AA3D"/>
    <w:rsid w:val="5A8E7502"/>
    <w:rsid w:val="5A97CA48"/>
    <w:rsid w:val="5AAF36C3"/>
    <w:rsid w:val="5AD10116"/>
    <w:rsid w:val="5AECB56D"/>
    <w:rsid w:val="5AEEDEBE"/>
    <w:rsid w:val="5B1EB348"/>
    <w:rsid w:val="5B3E6CE5"/>
    <w:rsid w:val="5B59F74E"/>
    <w:rsid w:val="5B83552C"/>
    <w:rsid w:val="5B91E40A"/>
    <w:rsid w:val="5BDDD695"/>
    <w:rsid w:val="5BE2AE00"/>
    <w:rsid w:val="5BF049CB"/>
    <w:rsid w:val="5C064216"/>
    <w:rsid w:val="5C0BAF73"/>
    <w:rsid w:val="5C1A025B"/>
    <w:rsid w:val="5C2F567D"/>
    <w:rsid w:val="5C54643C"/>
    <w:rsid w:val="5C5517E3"/>
    <w:rsid w:val="5C68A34D"/>
    <w:rsid w:val="5CC2378F"/>
    <w:rsid w:val="5CC865DE"/>
    <w:rsid w:val="5CCC9A1B"/>
    <w:rsid w:val="5CD2583E"/>
    <w:rsid w:val="5CFFCE61"/>
    <w:rsid w:val="5D2BFFAE"/>
    <w:rsid w:val="5D57824C"/>
    <w:rsid w:val="5D811A8A"/>
    <w:rsid w:val="5D990084"/>
    <w:rsid w:val="5DDA3998"/>
    <w:rsid w:val="5DEA7FE8"/>
    <w:rsid w:val="5DF37919"/>
    <w:rsid w:val="5E25A52F"/>
    <w:rsid w:val="5E28090C"/>
    <w:rsid w:val="5E2B14B8"/>
    <w:rsid w:val="5E477C6A"/>
    <w:rsid w:val="5E925208"/>
    <w:rsid w:val="5E92FB71"/>
    <w:rsid w:val="5ECA962A"/>
    <w:rsid w:val="5ED158C7"/>
    <w:rsid w:val="5ED71D1B"/>
    <w:rsid w:val="5EE8F99B"/>
    <w:rsid w:val="5EE9EA9D"/>
    <w:rsid w:val="5EF9558A"/>
    <w:rsid w:val="5EFE2008"/>
    <w:rsid w:val="5EFF8BB4"/>
    <w:rsid w:val="5F535C1C"/>
    <w:rsid w:val="5F5C58EA"/>
    <w:rsid w:val="5F821539"/>
    <w:rsid w:val="5FABC46B"/>
    <w:rsid w:val="5FBAAC56"/>
    <w:rsid w:val="5FC27C54"/>
    <w:rsid w:val="5FEFF1BD"/>
    <w:rsid w:val="602CD494"/>
    <w:rsid w:val="605D0D98"/>
    <w:rsid w:val="6069C8BF"/>
    <w:rsid w:val="609A555E"/>
    <w:rsid w:val="609BF00F"/>
    <w:rsid w:val="60ADB80C"/>
    <w:rsid w:val="60C26EC2"/>
    <w:rsid w:val="60CB92D3"/>
    <w:rsid w:val="60F7F262"/>
    <w:rsid w:val="61051106"/>
    <w:rsid w:val="61290397"/>
    <w:rsid w:val="6131A967"/>
    <w:rsid w:val="6142BD7A"/>
    <w:rsid w:val="616EE61B"/>
    <w:rsid w:val="61769E82"/>
    <w:rsid w:val="6191C439"/>
    <w:rsid w:val="61939103"/>
    <w:rsid w:val="619599BA"/>
    <w:rsid w:val="61B44194"/>
    <w:rsid w:val="6231CD13"/>
    <w:rsid w:val="624541A7"/>
    <w:rsid w:val="626817CB"/>
    <w:rsid w:val="62764C5D"/>
    <w:rsid w:val="6288878F"/>
    <w:rsid w:val="628B4473"/>
    <w:rsid w:val="629F173F"/>
    <w:rsid w:val="62D10F9B"/>
    <w:rsid w:val="62E1C935"/>
    <w:rsid w:val="62ECA0E5"/>
    <w:rsid w:val="62FE2005"/>
    <w:rsid w:val="631A7EDB"/>
    <w:rsid w:val="631CE955"/>
    <w:rsid w:val="63869214"/>
    <w:rsid w:val="639B7569"/>
    <w:rsid w:val="63CCD1B2"/>
    <w:rsid w:val="63E4E336"/>
    <w:rsid w:val="63E546B1"/>
    <w:rsid w:val="63F364BB"/>
    <w:rsid w:val="6414448A"/>
    <w:rsid w:val="64172BB3"/>
    <w:rsid w:val="644300C4"/>
    <w:rsid w:val="644F128E"/>
    <w:rsid w:val="645D39D0"/>
    <w:rsid w:val="6460FD63"/>
    <w:rsid w:val="64643EF9"/>
    <w:rsid w:val="646650FE"/>
    <w:rsid w:val="6488D257"/>
    <w:rsid w:val="64939466"/>
    <w:rsid w:val="64943A4B"/>
    <w:rsid w:val="64BF667B"/>
    <w:rsid w:val="64C7D72B"/>
    <w:rsid w:val="64DF9695"/>
    <w:rsid w:val="64E9132F"/>
    <w:rsid w:val="6503F9E9"/>
    <w:rsid w:val="6526F69B"/>
    <w:rsid w:val="652FC1D6"/>
    <w:rsid w:val="65351E3A"/>
    <w:rsid w:val="656F23C9"/>
    <w:rsid w:val="658A26C3"/>
    <w:rsid w:val="6605C3E8"/>
    <w:rsid w:val="66158A28"/>
    <w:rsid w:val="6618E118"/>
    <w:rsid w:val="66579F37"/>
    <w:rsid w:val="6662F7EE"/>
    <w:rsid w:val="66685494"/>
    <w:rsid w:val="66775911"/>
    <w:rsid w:val="669DEA6C"/>
    <w:rsid w:val="66A1C383"/>
    <w:rsid w:val="66A32E1C"/>
    <w:rsid w:val="66DF2A03"/>
    <w:rsid w:val="670877F4"/>
    <w:rsid w:val="6713159D"/>
    <w:rsid w:val="671B2332"/>
    <w:rsid w:val="6725C736"/>
    <w:rsid w:val="672A8BC2"/>
    <w:rsid w:val="678E97E9"/>
    <w:rsid w:val="67A8193A"/>
    <w:rsid w:val="67B36AE9"/>
    <w:rsid w:val="67EB2C35"/>
    <w:rsid w:val="67F3FA1A"/>
    <w:rsid w:val="6802B231"/>
    <w:rsid w:val="682FC149"/>
    <w:rsid w:val="684B9FE5"/>
    <w:rsid w:val="686AEBD1"/>
    <w:rsid w:val="687A674C"/>
    <w:rsid w:val="687B3F5D"/>
    <w:rsid w:val="68923EC6"/>
    <w:rsid w:val="68ACC30D"/>
    <w:rsid w:val="68B59083"/>
    <w:rsid w:val="68BC7D75"/>
    <w:rsid w:val="69340F7B"/>
    <w:rsid w:val="6949A320"/>
    <w:rsid w:val="695B6740"/>
    <w:rsid w:val="696C0E1D"/>
    <w:rsid w:val="697A2076"/>
    <w:rsid w:val="69959C46"/>
    <w:rsid w:val="69AA8048"/>
    <w:rsid w:val="69B7533E"/>
    <w:rsid w:val="69BBA616"/>
    <w:rsid w:val="69C7E7B6"/>
    <w:rsid w:val="69CA67AB"/>
    <w:rsid w:val="69DB378C"/>
    <w:rsid w:val="69E2E682"/>
    <w:rsid w:val="69EB471E"/>
    <w:rsid w:val="69EC8767"/>
    <w:rsid w:val="69EE34D5"/>
    <w:rsid w:val="69FAF14E"/>
    <w:rsid w:val="6A1318D7"/>
    <w:rsid w:val="6A3EFF6C"/>
    <w:rsid w:val="6AB8EA13"/>
    <w:rsid w:val="6AFF9044"/>
    <w:rsid w:val="6B100428"/>
    <w:rsid w:val="6B275662"/>
    <w:rsid w:val="6B2B1FFA"/>
    <w:rsid w:val="6B84A2AC"/>
    <w:rsid w:val="6B8572CF"/>
    <w:rsid w:val="6BCC087C"/>
    <w:rsid w:val="6BE6A7CF"/>
    <w:rsid w:val="6C10283D"/>
    <w:rsid w:val="6C23716C"/>
    <w:rsid w:val="6C32FC06"/>
    <w:rsid w:val="6C3B110D"/>
    <w:rsid w:val="6C40FAED"/>
    <w:rsid w:val="6C426960"/>
    <w:rsid w:val="6C664C5D"/>
    <w:rsid w:val="6C8298A8"/>
    <w:rsid w:val="6C895D23"/>
    <w:rsid w:val="6CA8AB00"/>
    <w:rsid w:val="6CAB9AD0"/>
    <w:rsid w:val="6CD75E0B"/>
    <w:rsid w:val="6D03936E"/>
    <w:rsid w:val="6D049016"/>
    <w:rsid w:val="6D140C92"/>
    <w:rsid w:val="6D2BFF84"/>
    <w:rsid w:val="6D549B39"/>
    <w:rsid w:val="6D70FC2B"/>
    <w:rsid w:val="6D8141B1"/>
    <w:rsid w:val="6DB78E8E"/>
    <w:rsid w:val="6DBCF480"/>
    <w:rsid w:val="6DEDC24A"/>
    <w:rsid w:val="6E1924A4"/>
    <w:rsid w:val="6E1ECD84"/>
    <w:rsid w:val="6E4C5937"/>
    <w:rsid w:val="6E7D726C"/>
    <w:rsid w:val="6E977B9B"/>
    <w:rsid w:val="6EC65196"/>
    <w:rsid w:val="6F1BADBD"/>
    <w:rsid w:val="6F2984A8"/>
    <w:rsid w:val="6F2E3B1E"/>
    <w:rsid w:val="6F6FB71D"/>
    <w:rsid w:val="6F712D06"/>
    <w:rsid w:val="6F8413A1"/>
    <w:rsid w:val="6F8FD973"/>
    <w:rsid w:val="6F966BC7"/>
    <w:rsid w:val="6F9BD61B"/>
    <w:rsid w:val="6FA66185"/>
    <w:rsid w:val="6FB656C6"/>
    <w:rsid w:val="6FCA06E1"/>
    <w:rsid w:val="6FD2280B"/>
    <w:rsid w:val="6FD5B972"/>
    <w:rsid w:val="6FF0ABC9"/>
    <w:rsid w:val="6FF0EAC5"/>
    <w:rsid w:val="7007D938"/>
    <w:rsid w:val="70153BAF"/>
    <w:rsid w:val="7016A6C7"/>
    <w:rsid w:val="7043A4E6"/>
    <w:rsid w:val="70444FD5"/>
    <w:rsid w:val="70541E1F"/>
    <w:rsid w:val="705B818B"/>
    <w:rsid w:val="706C450C"/>
    <w:rsid w:val="70845B38"/>
    <w:rsid w:val="709D2300"/>
    <w:rsid w:val="70AF9908"/>
    <w:rsid w:val="70B7D5A5"/>
    <w:rsid w:val="70CE1A58"/>
    <w:rsid w:val="70D596A7"/>
    <w:rsid w:val="713EE1C7"/>
    <w:rsid w:val="713FB8E7"/>
    <w:rsid w:val="7141F626"/>
    <w:rsid w:val="7152EBCF"/>
    <w:rsid w:val="7152F4D5"/>
    <w:rsid w:val="717DF13E"/>
    <w:rsid w:val="7182D44D"/>
    <w:rsid w:val="71932CB4"/>
    <w:rsid w:val="719E2EBC"/>
    <w:rsid w:val="71C97EAF"/>
    <w:rsid w:val="71E42664"/>
    <w:rsid w:val="71F28C7F"/>
    <w:rsid w:val="7205CC03"/>
    <w:rsid w:val="7209FEF6"/>
    <w:rsid w:val="7255B47B"/>
    <w:rsid w:val="725A8E7F"/>
    <w:rsid w:val="7280AAFF"/>
    <w:rsid w:val="72832D7E"/>
    <w:rsid w:val="728DD468"/>
    <w:rsid w:val="72BF6130"/>
    <w:rsid w:val="72C37C0E"/>
    <w:rsid w:val="72D21C97"/>
    <w:rsid w:val="72E17764"/>
    <w:rsid w:val="72F644C8"/>
    <w:rsid w:val="7359535F"/>
    <w:rsid w:val="735B4247"/>
    <w:rsid w:val="735C835F"/>
    <w:rsid w:val="7375A0EC"/>
    <w:rsid w:val="7388C764"/>
    <w:rsid w:val="739F6C7A"/>
    <w:rsid w:val="73B95D1A"/>
    <w:rsid w:val="73C75EB5"/>
    <w:rsid w:val="73D6B5E4"/>
    <w:rsid w:val="7407DD8A"/>
    <w:rsid w:val="745F3A11"/>
    <w:rsid w:val="7463941B"/>
    <w:rsid w:val="74754306"/>
    <w:rsid w:val="748596FD"/>
    <w:rsid w:val="74E352B5"/>
    <w:rsid w:val="74EB5AC4"/>
    <w:rsid w:val="74FE8518"/>
    <w:rsid w:val="7535D5C1"/>
    <w:rsid w:val="753DD456"/>
    <w:rsid w:val="75575812"/>
    <w:rsid w:val="755C8F57"/>
    <w:rsid w:val="7593C4A4"/>
    <w:rsid w:val="759DDDA2"/>
    <w:rsid w:val="75D8724F"/>
    <w:rsid w:val="75F0ECDC"/>
    <w:rsid w:val="75FF7FA1"/>
    <w:rsid w:val="76052BED"/>
    <w:rsid w:val="760D99B3"/>
    <w:rsid w:val="760F4EA5"/>
    <w:rsid w:val="76111367"/>
    <w:rsid w:val="7616C47C"/>
    <w:rsid w:val="7618FFF2"/>
    <w:rsid w:val="761C754A"/>
    <w:rsid w:val="7622FAB4"/>
    <w:rsid w:val="763B460B"/>
    <w:rsid w:val="76701131"/>
    <w:rsid w:val="7688798A"/>
    <w:rsid w:val="76C0A6AC"/>
    <w:rsid w:val="76C1698A"/>
    <w:rsid w:val="76D21338"/>
    <w:rsid w:val="76D674B9"/>
    <w:rsid w:val="76DD4423"/>
    <w:rsid w:val="76EF5027"/>
    <w:rsid w:val="76F63EAC"/>
    <w:rsid w:val="7791A6C9"/>
    <w:rsid w:val="77C49857"/>
    <w:rsid w:val="77D40B98"/>
    <w:rsid w:val="77E86305"/>
    <w:rsid w:val="77F7723B"/>
    <w:rsid w:val="7803EE8C"/>
    <w:rsid w:val="781CAB07"/>
    <w:rsid w:val="78646347"/>
    <w:rsid w:val="787F8EB9"/>
    <w:rsid w:val="78A7DA15"/>
    <w:rsid w:val="78B2A360"/>
    <w:rsid w:val="78BD8B92"/>
    <w:rsid w:val="78C1B84A"/>
    <w:rsid w:val="78C7C12D"/>
    <w:rsid w:val="78CCC082"/>
    <w:rsid w:val="78CF90BE"/>
    <w:rsid w:val="78F0ACE5"/>
    <w:rsid w:val="790C371F"/>
    <w:rsid w:val="792F8BCC"/>
    <w:rsid w:val="794ED1FC"/>
    <w:rsid w:val="7951689F"/>
    <w:rsid w:val="795463D6"/>
    <w:rsid w:val="7968A30B"/>
    <w:rsid w:val="7969D3A9"/>
    <w:rsid w:val="796B19E4"/>
    <w:rsid w:val="79AE792F"/>
    <w:rsid w:val="79CD99A9"/>
    <w:rsid w:val="79D10B17"/>
    <w:rsid w:val="79D4E76A"/>
    <w:rsid w:val="7A04FA00"/>
    <w:rsid w:val="7A1D3EAC"/>
    <w:rsid w:val="7A344825"/>
    <w:rsid w:val="7A4DFE1F"/>
    <w:rsid w:val="7A7C8665"/>
    <w:rsid w:val="7A9469EF"/>
    <w:rsid w:val="7AAFE9BB"/>
    <w:rsid w:val="7ACB5C2D"/>
    <w:rsid w:val="7ACD53E2"/>
    <w:rsid w:val="7AD71BA7"/>
    <w:rsid w:val="7ADD2E7C"/>
    <w:rsid w:val="7AF340BD"/>
    <w:rsid w:val="7AF4AF0F"/>
    <w:rsid w:val="7AFF7E53"/>
    <w:rsid w:val="7B05B0BD"/>
    <w:rsid w:val="7B152C46"/>
    <w:rsid w:val="7B15B0B9"/>
    <w:rsid w:val="7B1B704D"/>
    <w:rsid w:val="7B2887D7"/>
    <w:rsid w:val="7B29F3ED"/>
    <w:rsid w:val="7B3A8615"/>
    <w:rsid w:val="7B43BCC4"/>
    <w:rsid w:val="7B4D81BD"/>
    <w:rsid w:val="7B74FF7D"/>
    <w:rsid w:val="7BB0D286"/>
    <w:rsid w:val="7BB3C5E7"/>
    <w:rsid w:val="7BB4C4C2"/>
    <w:rsid w:val="7BB8BEE8"/>
    <w:rsid w:val="7BB9D100"/>
    <w:rsid w:val="7BBDE33A"/>
    <w:rsid w:val="7BC14B49"/>
    <w:rsid w:val="7BC23D7F"/>
    <w:rsid w:val="7BC8D84B"/>
    <w:rsid w:val="7C174A49"/>
    <w:rsid w:val="7C384381"/>
    <w:rsid w:val="7C438962"/>
    <w:rsid w:val="7C5CE328"/>
    <w:rsid w:val="7C5DF810"/>
    <w:rsid w:val="7C630941"/>
    <w:rsid w:val="7C6D1E0C"/>
    <w:rsid w:val="7C7CB7AD"/>
    <w:rsid w:val="7CC74EB0"/>
    <w:rsid w:val="7CFCFC39"/>
    <w:rsid w:val="7D182B8E"/>
    <w:rsid w:val="7D20D535"/>
    <w:rsid w:val="7D2C3834"/>
    <w:rsid w:val="7D326C3D"/>
    <w:rsid w:val="7D73E313"/>
    <w:rsid w:val="7D833AD4"/>
    <w:rsid w:val="7D84418B"/>
    <w:rsid w:val="7D8D5144"/>
    <w:rsid w:val="7DAFDE65"/>
    <w:rsid w:val="7DC8DE6B"/>
    <w:rsid w:val="7DE021FC"/>
    <w:rsid w:val="7DE4DE7F"/>
    <w:rsid w:val="7DEC0CD4"/>
    <w:rsid w:val="7DF6B0EB"/>
    <w:rsid w:val="7E090509"/>
    <w:rsid w:val="7E0CA4E6"/>
    <w:rsid w:val="7E156013"/>
    <w:rsid w:val="7E1FEB73"/>
    <w:rsid w:val="7E527954"/>
    <w:rsid w:val="7E899964"/>
    <w:rsid w:val="7E94D045"/>
    <w:rsid w:val="7EA56630"/>
    <w:rsid w:val="7EC07D9C"/>
    <w:rsid w:val="7ECBAF26"/>
    <w:rsid w:val="7F0F3E4F"/>
    <w:rsid w:val="7F2A21F9"/>
    <w:rsid w:val="7F455623"/>
    <w:rsid w:val="7F50961C"/>
    <w:rsid w:val="7F64AECC"/>
    <w:rsid w:val="7F85FD9F"/>
    <w:rsid w:val="7F882573"/>
    <w:rsid w:val="7FA1980D"/>
    <w:rsid w:val="7FB52F32"/>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D8DF4F"/>
  <w15:docId w15:val="{0A99FC21-3455-4268-8D1D-1B2CDAC0E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1"/>
        <w:szCs w:val="21"/>
        <w:lang w:val="hr-HR"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68E7"/>
    <w:pPr>
      <w:jc w:val="both"/>
    </w:pPr>
    <w:rPr>
      <w:rFonts w:ascii="Newslab" w:hAnsi="Newslab"/>
      <w:color w:val="3F3F3F" w:themeColor="text1" w:themeShade="80"/>
      <w:sz w:val="18"/>
    </w:rPr>
  </w:style>
  <w:style w:type="paragraph" w:styleId="Naslov1">
    <w:name w:val="heading 1"/>
    <w:basedOn w:val="Naslov2"/>
    <w:next w:val="Normal"/>
    <w:link w:val="Naslov1Char"/>
    <w:autoRedefine/>
    <w:uiPriority w:val="9"/>
    <w:qFormat/>
    <w:rsid w:val="005F13D3"/>
    <w:pPr>
      <w:numPr>
        <w:numId w:val="20"/>
      </w:numPr>
      <w:jc w:val="both"/>
      <w:outlineLvl w:val="0"/>
    </w:pPr>
    <w:rPr>
      <w:sz w:val="34"/>
      <w:szCs w:val="34"/>
    </w:rPr>
  </w:style>
  <w:style w:type="paragraph" w:styleId="Naslov2">
    <w:name w:val="heading 2"/>
    <w:aliases w:val="podnaslov 1.1."/>
    <w:basedOn w:val="Normal"/>
    <w:next w:val="Normal"/>
    <w:link w:val="Naslov2Char"/>
    <w:autoRedefine/>
    <w:uiPriority w:val="9"/>
    <w:unhideWhenUsed/>
    <w:qFormat/>
    <w:rsid w:val="0052192B"/>
    <w:pPr>
      <w:keepNext/>
      <w:keepLines/>
      <w:spacing w:before="160" w:after="0" w:line="240" w:lineRule="auto"/>
      <w:jc w:val="left"/>
      <w:outlineLvl w:val="1"/>
    </w:pPr>
    <w:rPr>
      <w:rFonts w:eastAsia="ArialNarrow,Bold" w:cstheme="majorBidi"/>
      <w:color w:val="9D1A1F" w:themeColor="accent1" w:themeShade="BF"/>
      <w:sz w:val="28"/>
      <w:szCs w:val="18"/>
    </w:rPr>
  </w:style>
  <w:style w:type="paragraph" w:styleId="Naslov3">
    <w:name w:val="heading 3"/>
    <w:basedOn w:val="Normal"/>
    <w:next w:val="Normal"/>
    <w:link w:val="Naslov3Char"/>
    <w:uiPriority w:val="9"/>
    <w:unhideWhenUsed/>
    <w:qFormat/>
    <w:rsid w:val="00752F0C"/>
    <w:pPr>
      <w:keepNext/>
      <w:keepLines/>
      <w:spacing w:before="80" w:after="0" w:line="240" w:lineRule="auto"/>
      <w:outlineLvl w:val="2"/>
    </w:pPr>
    <w:rPr>
      <w:rFonts w:eastAsiaTheme="majorEastAsia" w:cstheme="majorBidi"/>
      <w:color w:val="EC8E92" w:themeColor="accent6"/>
      <w:sz w:val="24"/>
      <w:szCs w:val="26"/>
    </w:rPr>
  </w:style>
  <w:style w:type="paragraph" w:styleId="Naslov4">
    <w:name w:val="heading 4"/>
    <w:basedOn w:val="Normal"/>
    <w:next w:val="Normal"/>
    <w:link w:val="Naslov4Char"/>
    <w:uiPriority w:val="9"/>
    <w:semiHidden/>
    <w:unhideWhenUsed/>
    <w:qFormat/>
    <w:rsid w:val="00C4168E"/>
    <w:pPr>
      <w:keepNext/>
      <w:keepLines/>
      <w:spacing w:before="80" w:after="0"/>
      <w:outlineLvl w:val="3"/>
    </w:pPr>
    <w:rPr>
      <w:rFonts w:asciiTheme="majorHAnsi" w:eastAsiaTheme="majorEastAsia" w:hAnsiTheme="majorHAnsi" w:cstheme="majorBidi"/>
      <w:sz w:val="24"/>
      <w:szCs w:val="24"/>
    </w:rPr>
  </w:style>
  <w:style w:type="paragraph" w:styleId="Naslov5">
    <w:name w:val="heading 5"/>
    <w:basedOn w:val="Normal"/>
    <w:next w:val="Normal"/>
    <w:link w:val="Naslov5Char"/>
    <w:uiPriority w:val="9"/>
    <w:semiHidden/>
    <w:unhideWhenUsed/>
    <w:qFormat/>
    <w:rsid w:val="00C4168E"/>
    <w:pPr>
      <w:keepNext/>
      <w:keepLines/>
      <w:spacing w:before="80" w:after="0"/>
      <w:outlineLvl w:val="4"/>
    </w:pPr>
    <w:rPr>
      <w:rFonts w:asciiTheme="majorHAnsi" w:eastAsiaTheme="majorEastAsia" w:hAnsiTheme="majorHAnsi" w:cstheme="majorBidi"/>
      <w:i/>
      <w:iCs/>
      <w:sz w:val="22"/>
      <w:szCs w:val="22"/>
    </w:rPr>
  </w:style>
  <w:style w:type="paragraph" w:styleId="Naslov6">
    <w:name w:val="heading 6"/>
    <w:basedOn w:val="Normal"/>
    <w:next w:val="Normal"/>
    <w:link w:val="Naslov6Char"/>
    <w:uiPriority w:val="9"/>
    <w:semiHidden/>
    <w:unhideWhenUsed/>
    <w:qFormat/>
    <w:rsid w:val="00C4168E"/>
    <w:pPr>
      <w:keepNext/>
      <w:keepLines/>
      <w:spacing w:before="80" w:after="0"/>
      <w:outlineLvl w:val="5"/>
    </w:pPr>
    <w:rPr>
      <w:rFonts w:asciiTheme="majorHAnsi" w:eastAsiaTheme="majorEastAsia" w:hAnsiTheme="majorHAnsi" w:cstheme="majorBidi"/>
      <w:color w:val="ABABAB" w:themeColor="text1" w:themeTint="A6"/>
    </w:rPr>
  </w:style>
  <w:style w:type="paragraph" w:styleId="Naslov7">
    <w:name w:val="heading 7"/>
    <w:basedOn w:val="Normal"/>
    <w:next w:val="Normal"/>
    <w:link w:val="Naslov7Char"/>
    <w:uiPriority w:val="9"/>
    <w:semiHidden/>
    <w:unhideWhenUsed/>
    <w:qFormat/>
    <w:rsid w:val="00C4168E"/>
    <w:pPr>
      <w:keepNext/>
      <w:keepLines/>
      <w:spacing w:before="80" w:after="0"/>
      <w:outlineLvl w:val="6"/>
    </w:pPr>
    <w:rPr>
      <w:rFonts w:asciiTheme="majorHAnsi" w:eastAsiaTheme="majorEastAsia" w:hAnsiTheme="majorHAnsi" w:cstheme="majorBidi"/>
      <w:i/>
      <w:iCs/>
      <w:color w:val="ABABAB" w:themeColor="text1" w:themeTint="A6"/>
    </w:rPr>
  </w:style>
  <w:style w:type="paragraph" w:styleId="Naslov8">
    <w:name w:val="heading 8"/>
    <w:basedOn w:val="Normal"/>
    <w:next w:val="Normal"/>
    <w:link w:val="Naslov8Char"/>
    <w:uiPriority w:val="9"/>
    <w:semiHidden/>
    <w:unhideWhenUsed/>
    <w:qFormat/>
    <w:rsid w:val="00C4168E"/>
    <w:pPr>
      <w:keepNext/>
      <w:keepLines/>
      <w:spacing w:before="80" w:after="0"/>
      <w:outlineLvl w:val="7"/>
    </w:pPr>
    <w:rPr>
      <w:rFonts w:asciiTheme="majorHAnsi" w:eastAsiaTheme="majorEastAsia" w:hAnsiTheme="majorHAnsi" w:cstheme="majorBidi"/>
      <w:smallCaps/>
      <w:color w:val="ABABAB" w:themeColor="text1" w:themeTint="A6"/>
    </w:rPr>
  </w:style>
  <w:style w:type="paragraph" w:styleId="Naslov9">
    <w:name w:val="heading 9"/>
    <w:basedOn w:val="Normal"/>
    <w:next w:val="Normal"/>
    <w:link w:val="Naslov9Char"/>
    <w:uiPriority w:val="9"/>
    <w:semiHidden/>
    <w:unhideWhenUsed/>
    <w:qFormat/>
    <w:rsid w:val="00C4168E"/>
    <w:pPr>
      <w:keepNext/>
      <w:keepLines/>
      <w:spacing w:before="80" w:after="0"/>
      <w:outlineLvl w:val="8"/>
    </w:pPr>
    <w:rPr>
      <w:rFonts w:asciiTheme="majorHAnsi" w:eastAsiaTheme="majorEastAsia" w:hAnsiTheme="majorHAnsi" w:cstheme="majorBidi"/>
      <w:i/>
      <w:iCs/>
      <w:smallCaps/>
      <w:color w:val="ABABAB" w:themeColor="text1" w:themeTint="A6"/>
    </w:rPr>
  </w:style>
  <w:style w:type="character" w:default="1" w:styleId="Zadanifontodlomka">
    <w:name w:val="Default Paragraph Font"/>
    <w:uiPriority w:val="1"/>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2Char">
    <w:name w:val="Naslov 2 Char"/>
    <w:aliases w:val="podnaslov 1.1. Char"/>
    <w:basedOn w:val="Zadanifontodlomka"/>
    <w:link w:val="Naslov2"/>
    <w:uiPriority w:val="9"/>
    <w:rsid w:val="0052192B"/>
    <w:rPr>
      <w:rFonts w:ascii="Newslab" w:eastAsia="ArialNarrow,Bold" w:hAnsi="Newslab" w:cstheme="majorBidi"/>
      <w:color w:val="9D1A1F" w:themeColor="accent1" w:themeShade="BF"/>
      <w:sz w:val="28"/>
      <w:szCs w:val="18"/>
    </w:rPr>
  </w:style>
  <w:style w:type="character" w:customStyle="1" w:styleId="Naslov1Char">
    <w:name w:val="Naslov 1 Char"/>
    <w:basedOn w:val="Zadanifontodlomka"/>
    <w:link w:val="Naslov1"/>
    <w:uiPriority w:val="9"/>
    <w:rsid w:val="005F13D3"/>
    <w:rPr>
      <w:rFonts w:ascii="Newslab" w:eastAsia="ArialNarrow,Bold" w:hAnsi="Newslab" w:cstheme="majorBidi"/>
      <w:color w:val="9D1A1F" w:themeColor="accent1" w:themeShade="BF"/>
      <w:sz w:val="34"/>
      <w:szCs w:val="34"/>
    </w:rPr>
  </w:style>
  <w:style w:type="character" w:customStyle="1" w:styleId="Naslov3Char">
    <w:name w:val="Naslov 3 Char"/>
    <w:basedOn w:val="Zadanifontodlomka"/>
    <w:link w:val="Naslov3"/>
    <w:uiPriority w:val="9"/>
    <w:rsid w:val="00752F0C"/>
    <w:rPr>
      <w:rFonts w:ascii="Newslab" w:eastAsiaTheme="majorEastAsia" w:hAnsi="Newslab" w:cstheme="majorBidi"/>
      <w:color w:val="EC8E92" w:themeColor="accent6"/>
      <w:sz w:val="24"/>
      <w:szCs w:val="26"/>
    </w:rPr>
  </w:style>
  <w:style w:type="character" w:customStyle="1" w:styleId="Naslov4Char">
    <w:name w:val="Naslov 4 Char"/>
    <w:basedOn w:val="Zadanifontodlomka"/>
    <w:link w:val="Naslov4"/>
    <w:uiPriority w:val="9"/>
    <w:semiHidden/>
    <w:rsid w:val="00C4168E"/>
    <w:rPr>
      <w:rFonts w:asciiTheme="majorHAnsi" w:eastAsiaTheme="majorEastAsia" w:hAnsiTheme="majorHAnsi" w:cstheme="majorBidi"/>
      <w:sz w:val="24"/>
      <w:szCs w:val="24"/>
    </w:rPr>
  </w:style>
  <w:style w:type="character" w:customStyle="1" w:styleId="Naslov5Char">
    <w:name w:val="Naslov 5 Char"/>
    <w:basedOn w:val="Zadanifontodlomka"/>
    <w:link w:val="Naslov5"/>
    <w:uiPriority w:val="9"/>
    <w:semiHidden/>
    <w:rsid w:val="00C4168E"/>
    <w:rPr>
      <w:rFonts w:asciiTheme="majorHAnsi" w:eastAsiaTheme="majorEastAsia" w:hAnsiTheme="majorHAnsi" w:cstheme="majorBidi"/>
      <w:i/>
      <w:iCs/>
      <w:sz w:val="22"/>
      <w:szCs w:val="22"/>
    </w:rPr>
  </w:style>
  <w:style w:type="character" w:customStyle="1" w:styleId="Naslov6Char">
    <w:name w:val="Naslov 6 Char"/>
    <w:basedOn w:val="Zadanifontodlomka"/>
    <w:link w:val="Naslov6"/>
    <w:uiPriority w:val="9"/>
    <w:semiHidden/>
    <w:rsid w:val="00C4168E"/>
    <w:rPr>
      <w:rFonts w:asciiTheme="majorHAnsi" w:eastAsiaTheme="majorEastAsia" w:hAnsiTheme="majorHAnsi" w:cstheme="majorBidi"/>
      <w:color w:val="ABABAB" w:themeColor="text1" w:themeTint="A6"/>
    </w:rPr>
  </w:style>
  <w:style w:type="character" w:customStyle="1" w:styleId="Naslov7Char">
    <w:name w:val="Naslov 7 Char"/>
    <w:basedOn w:val="Zadanifontodlomka"/>
    <w:link w:val="Naslov7"/>
    <w:uiPriority w:val="9"/>
    <w:semiHidden/>
    <w:rsid w:val="00C4168E"/>
    <w:rPr>
      <w:rFonts w:asciiTheme="majorHAnsi" w:eastAsiaTheme="majorEastAsia" w:hAnsiTheme="majorHAnsi" w:cstheme="majorBidi"/>
      <w:i/>
      <w:iCs/>
      <w:color w:val="ABABAB" w:themeColor="text1" w:themeTint="A6"/>
    </w:rPr>
  </w:style>
  <w:style w:type="character" w:customStyle="1" w:styleId="Naslov8Char">
    <w:name w:val="Naslov 8 Char"/>
    <w:basedOn w:val="Zadanifontodlomka"/>
    <w:link w:val="Naslov8"/>
    <w:uiPriority w:val="9"/>
    <w:semiHidden/>
    <w:rsid w:val="00C4168E"/>
    <w:rPr>
      <w:rFonts w:asciiTheme="majorHAnsi" w:eastAsiaTheme="majorEastAsia" w:hAnsiTheme="majorHAnsi" w:cstheme="majorBidi"/>
      <w:smallCaps/>
      <w:color w:val="ABABAB" w:themeColor="text1" w:themeTint="A6"/>
    </w:rPr>
  </w:style>
  <w:style w:type="character" w:customStyle="1" w:styleId="Naslov9Char">
    <w:name w:val="Naslov 9 Char"/>
    <w:basedOn w:val="Zadanifontodlomka"/>
    <w:link w:val="Naslov9"/>
    <w:uiPriority w:val="9"/>
    <w:semiHidden/>
    <w:rsid w:val="00C4168E"/>
    <w:rPr>
      <w:rFonts w:asciiTheme="majorHAnsi" w:eastAsiaTheme="majorEastAsia" w:hAnsiTheme="majorHAnsi" w:cstheme="majorBidi"/>
      <w:i/>
      <w:iCs/>
      <w:smallCaps/>
      <w:color w:val="ABABAB" w:themeColor="text1" w:themeTint="A6"/>
    </w:rPr>
  </w:style>
  <w:style w:type="paragraph" w:styleId="Tekstbalonia">
    <w:name w:val="Balloon Text"/>
    <w:basedOn w:val="Normal"/>
    <w:link w:val="TekstbaloniaChar"/>
    <w:uiPriority w:val="99"/>
    <w:semiHidden/>
    <w:unhideWhenUsed/>
    <w:rsid w:val="00AB538E"/>
    <w:rPr>
      <w:rFonts w:ascii="Segoe UI" w:hAnsi="Segoe UI" w:cs="Segoe UI"/>
      <w:szCs w:val="18"/>
    </w:rPr>
  </w:style>
  <w:style w:type="character" w:customStyle="1" w:styleId="TekstbaloniaChar">
    <w:name w:val="Tekst balončića Char"/>
    <w:basedOn w:val="Zadanifontodlomka"/>
    <w:link w:val="Tekstbalonia"/>
    <w:uiPriority w:val="99"/>
    <w:semiHidden/>
    <w:rsid w:val="00AB538E"/>
    <w:rPr>
      <w:rFonts w:ascii="Segoe UI" w:eastAsia="Times New Roman" w:hAnsi="Segoe UI" w:cs="Segoe UI"/>
      <w:sz w:val="18"/>
      <w:szCs w:val="18"/>
    </w:rPr>
  </w:style>
  <w:style w:type="paragraph" w:styleId="Tijeloteksta">
    <w:name w:val="Body Text"/>
    <w:basedOn w:val="Normal"/>
    <w:link w:val="TijelotekstaChar"/>
    <w:autoRedefine/>
    <w:uiPriority w:val="1"/>
    <w:rsid w:val="001A58FE"/>
    <w:pPr>
      <w:spacing w:line="360" w:lineRule="auto"/>
    </w:pPr>
  </w:style>
  <w:style w:type="character" w:customStyle="1" w:styleId="TijelotekstaChar">
    <w:name w:val="Tijelo teksta Char"/>
    <w:basedOn w:val="Zadanifontodlomka"/>
    <w:link w:val="Tijeloteksta"/>
    <w:uiPriority w:val="1"/>
    <w:rsid w:val="001A58FE"/>
    <w:rPr>
      <w:rFonts w:ascii="Newslab" w:hAnsi="Newslab"/>
      <w:color w:val="3F3F3F" w:themeColor="text1" w:themeShade="80"/>
      <w:sz w:val="18"/>
    </w:rPr>
  </w:style>
  <w:style w:type="character" w:styleId="Hiperveza">
    <w:name w:val="Hyperlink"/>
    <w:basedOn w:val="Zadanifontodlomka"/>
    <w:uiPriority w:val="99"/>
    <w:unhideWhenUsed/>
    <w:rsid w:val="006C7775"/>
    <w:rPr>
      <w:color w:val="D2232A" w:themeColor="accent1"/>
      <w:u w:val="single"/>
    </w:rPr>
  </w:style>
  <w:style w:type="character" w:customStyle="1" w:styleId="NASLOV">
    <w:name w:val="NASLOV"/>
    <w:basedOn w:val="Naslov3Char"/>
    <w:uiPriority w:val="1"/>
    <w:rsid w:val="00AB538E"/>
    <w:rPr>
      <w:rFonts w:ascii="Newslab" w:eastAsiaTheme="majorEastAsia" w:hAnsi="Newslab" w:cstheme="majorBidi"/>
      <w:b/>
      <w:caps w:val="0"/>
      <w:color w:val="A71B28"/>
      <w:spacing w:val="15"/>
      <w:sz w:val="34"/>
      <w:szCs w:val="34"/>
      <w:lang w:val="hr-HR"/>
    </w:rPr>
  </w:style>
  <w:style w:type="paragraph" w:styleId="TOCNaslov">
    <w:name w:val="TOC Heading"/>
    <w:basedOn w:val="Naslov1"/>
    <w:next w:val="Normal"/>
    <w:uiPriority w:val="39"/>
    <w:unhideWhenUsed/>
    <w:qFormat/>
    <w:rsid w:val="00C4168E"/>
    <w:pPr>
      <w:outlineLvl w:val="9"/>
    </w:pPr>
  </w:style>
  <w:style w:type="paragraph" w:styleId="Sadraj2">
    <w:name w:val="toc 2"/>
    <w:basedOn w:val="Normal"/>
    <w:next w:val="Normal"/>
    <w:autoRedefine/>
    <w:uiPriority w:val="39"/>
    <w:unhideWhenUsed/>
    <w:rsid w:val="00941871"/>
    <w:pPr>
      <w:tabs>
        <w:tab w:val="right" w:leader="dot" w:pos="9290"/>
      </w:tabs>
      <w:spacing w:after="100"/>
      <w:ind w:left="220"/>
      <w:jc w:val="left"/>
    </w:pPr>
  </w:style>
  <w:style w:type="paragraph" w:styleId="Sadraj1">
    <w:name w:val="toc 1"/>
    <w:basedOn w:val="Normal"/>
    <w:next w:val="Normal"/>
    <w:autoRedefine/>
    <w:uiPriority w:val="39"/>
    <w:unhideWhenUsed/>
    <w:rsid w:val="005F4C2F"/>
    <w:pPr>
      <w:tabs>
        <w:tab w:val="right" w:leader="dot" w:pos="9290"/>
      </w:tabs>
      <w:spacing w:after="100"/>
    </w:pPr>
    <w:rPr>
      <w:rFonts w:eastAsia="Arial Narrow"/>
      <w:noProof/>
      <w:color w:val="9D1A1F" w:themeColor="accent4"/>
      <w:spacing w:val="1"/>
    </w:rPr>
  </w:style>
  <w:style w:type="paragraph" w:customStyle="1" w:styleId="Graybackground">
    <w:name w:val="Gray background"/>
    <w:basedOn w:val="Bezproreda"/>
    <w:qFormat/>
    <w:rsid w:val="00B14198"/>
    <w:pPr>
      <w:framePr w:wrap="around" w:hAnchor="text"/>
    </w:pPr>
    <w:rPr>
      <w:color w:val="3F3F3F" w:themeColor="text1" w:themeShade="80"/>
    </w:rPr>
  </w:style>
  <w:style w:type="paragraph" w:styleId="Bezproreda">
    <w:name w:val="No Spacing"/>
    <w:aliases w:val="heading tablica white"/>
    <w:autoRedefine/>
    <w:uiPriority w:val="1"/>
    <w:qFormat/>
    <w:rsid w:val="00797AB8"/>
    <w:pPr>
      <w:spacing w:after="0" w:line="240" w:lineRule="auto"/>
      <w:jc w:val="center"/>
    </w:pPr>
    <w:rPr>
      <w:rFonts w:ascii="Newslab" w:hAnsi="Newslab"/>
      <w:color w:val="FFFFFF" w:themeColor="background1"/>
      <w:sz w:val="20"/>
    </w:rPr>
  </w:style>
  <w:style w:type="paragraph" w:customStyle="1" w:styleId="slikan">
    <w:name w:val="slika n ..."/>
    <w:basedOn w:val="Normal"/>
    <w:autoRedefine/>
    <w:rsid w:val="00DC5F8A"/>
    <w:rPr>
      <w:rFonts w:cstheme="minorHAnsi"/>
      <w:noProof/>
      <w:color w:val="929292" w:themeColor="text1" w:themeTint="D9"/>
    </w:rPr>
  </w:style>
  <w:style w:type="paragraph" w:customStyle="1" w:styleId="Izvor">
    <w:name w:val="Izvor:"/>
    <w:basedOn w:val="Normal"/>
    <w:autoRedefine/>
    <w:rsid w:val="003C2276"/>
    <w:pPr>
      <w:adjustRightInd w:val="0"/>
    </w:pPr>
    <w:rPr>
      <w:rFonts w:eastAsia="ArialNarrow" w:cstheme="minorHAnsi"/>
      <w:color w:val="auto"/>
      <w:szCs w:val="20"/>
    </w:rPr>
  </w:style>
  <w:style w:type="paragraph" w:styleId="Opisslike">
    <w:name w:val="caption"/>
    <w:basedOn w:val="Normal"/>
    <w:next w:val="Normal"/>
    <w:autoRedefine/>
    <w:uiPriority w:val="35"/>
    <w:unhideWhenUsed/>
    <w:qFormat/>
    <w:rsid w:val="003E3F3C"/>
    <w:pPr>
      <w:keepNext/>
      <w:spacing w:after="0" w:line="240" w:lineRule="auto"/>
    </w:pPr>
    <w:rPr>
      <w:rFonts w:cstheme="minorHAnsi"/>
      <w:bCs/>
      <w:iCs/>
      <w:szCs w:val="22"/>
    </w:rPr>
  </w:style>
  <w:style w:type="paragraph" w:styleId="Tekstfusnote">
    <w:name w:val="footnote text"/>
    <w:basedOn w:val="Normal"/>
    <w:link w:val="TekstfusnoteChar"/>
    <w:autoRedefine/>
    <w:uiPriority w:val="99"/>
    <w:unhideWhenUsed/>
    <w:rsid w:val="009348B2"/>
    <w:pPr>
      <w:spacing w:after="0" w:line="240" w:lineRule="auto"/>
    </w:pPr>
    <w:rPr>
      <w:rFonts w:eastAsiaTheme="minorHAnsi"/>
      <w:color w:val="7F7F7F" w:themeColor="text1"/>
      <w:sz w:val="16"/>
      <w:szCs w:val="22"/>
    </w:rPr>
  </w:style>
  <w:style w:type="character" w:customStyle="1" w:styleId="TekstfusnoteChar">
    <w:name w:val="Tekst fusnote Char"/>
    <w:basedOn w:val="Zadanifontodlomka"/>
    <w:link w:val="Tekstfusnote"/>
    <w:uiPriority w:val="99"/>
    <w:rsid w:val="009348B2"/>
    <w:rPr>
      <w:rFonts w:ascii="Newslab" w:eastAsiaTheme="minorHAnsi" w:hAnsi="Newslab"/>
      <w:color w:val="7F7F7F" w:themeColor="text1"/>
      <w:sz w:val="16"/>
      <w:szCs w:val="22"/>
    </w:rPr>
  </w:style>
  <w:style w:type="character" w:styleId="Referencafusnote">
    <w:name w:val="footnote reference"/>
    <w:basedOn w:val="Zadanifontodlomka"/>
    <w:uiPriority w:val="99"/>
    <w:semiHidden/>
    <w:unhideWhenUsed/>
    <w:rsid w:val="00AB539A"/>
    <w:rPr>
      <w:vertAlign w:val="superscript"/>
    </w:rPr>
  </w:style>
  <w:style w:type="paragraph" w:customStyle="1" w:styleId="TableParagraph">
    <w:name w:val="Table Paragraph"/>
    <w:basedOn w:val="Normal"/>
    <w:autoRedefine/>
    <w:uiPriority w:val="1"/>
    <w:qFormat/>
    <w:rsid w:val="003D3F12"/>
    <w:pPr>
      <w:framePr w:hSpace="180" w:wrap="around" w:vAnchor="page" w:hAnchor="margin" w:y="1771"/>
      <w:spacing w:line="240" w:lineRule="auto"/>
      <w:jc w:val="center"/>
    </w:pPr>
    <w:rPr>
      <w:rFonts w:ascii="Newslab Book" w:eastAsia="Verdana" w:hAnsi="Newslab Book" w:cs="Verdana"/>
      <w:sz w:val="20"/>
      <w:lang w:eastAsia="hr-HR"/>
    </w:rPr>
  </w:style>
  <w:style w:type="paragraph" w:styleId="Naslov0">
    <w:name w:val="Title"/>
    <w:basedOn w:val="Normal"/>
    <w:next w:val="Normal"/>
    <w:link w:val="NaslovChar"/>
    <w:uiPriority w:val="10"/>
    <w:qFormat/>
    <w:rsid w:val="00C4168E"/>
    <w:pPr>
      <w:spacing w:after="0" w:line="240" w:lineRule="auto"/>
      <w:contextualSpacing/>
    </w:pPr>
    <w:rPr>
      <w:rFonts w:asciiTheme="majorHAnsi" w:eastAsiaTheme="majorEastAsia" w:hAnsiTheme="majorHAnsi" w:cstheme="majorBidi"/>
      <w:color w:val="9D1A1F" w:themeColor="accent1" w:themeShade="BF"/>
      <w:spacing w:val="-7"/>
      <w:sz w:val="80"/>
      <w:szCs w:val="80"/>
    </w:rPr>
  </w:style>
  <w:style w:type="character" w:customStyle="1" w:styleId="NaslovChar">
    <w:name w:val="Naslov Char"/>
    <w:basedOn w:val="Zadanifontodlomka"/>
    <w:link w:val="Naslov0"/>
    <w:uiPriority w:val="10"/>
    <w:rsid w:val="00C4168E"/>
    <w:rPr>
      <w:rFonts w:asciiTheme="majorHAnsi" w:eastAsiaTheme="majorEastAsia" w:hAnsiTheme="majorHAnsi" w:cstheme="majorBidi"/>
      <w:color w:val="9D1A1F" w:themeColor="accent1" w:themeShade="BF"/>
      <w:spacing w:val="-7"/>
      <w:sz w:val="80"/>
      <w:szCs w:val="80"/>
    </w:rPr>
  </w:style>
  <w:style w:type="paragraph" w:styleId="Podnaslov">
    <w:name w:val="Subtitle"/>
    <w:basedOn w:val="Normal"/>
    <w:next w:val="Normal"/>
    <w:link w:val="PodnaslovChar"/>
    <w:uiPriority w:val="11"/>
    <w:qFormat/>
    <w:rsid w:val="00C4168E"/>
    <w:pPr>
      <w:numPr>
        <w:ilvl w:val="1"/>
      </w:numPr>
      <w:spacing w:after="240" w:line="240" w:lineRule="auto"/>
    </w:pPr>
    <w:rPr>
      <w:rFonts w:asciiTheme="majorHAnsi" w:eastAsiaTheme="majorEastAsia" w:hAnsiTheme="majorHAnsi" w:cstheme="majorBidi"/>
      <w:color w:val="9F9F9F" w:themeColor="text1" w:themeTint="BF"/>
      <w:sz w:val="30"/>
      <w:szCs w:val="30"/>
    </w:rPr>
  </w:style>
  <w:style w:type="character" w:customStyle="1" w:styleId="PodnaslovChar">
    <w:name w:val="Podnaslov Char"/>
    <w:basedOn w:val="Zadanifontodlomka"/>
    <w:link w:val="Podnaslov"/>
    <w:uiPriority w:val="11"/>
    <w:rsid w:val="00C4168E"/>
    <w:rPr>
      <w:rFonts w:asciiTheme="majorHAnsi" w:eastAsiaTheme="majorEastAsia" w:hAnsiTheme="majorHAnsi" w:cstheme="majorBidi"/>
      <w:color w:val="9F9F9F" w:themeColor="text1" w:themeTint="BF"/>
      <w:sz w:val="30"/>
      <w:szCs w:val="30"/>
    </w:rPr>
  </w:style>
  <w:style w:type="character" w:styleId="Naglaeno">
    <w:name w:val="Strong"/>
    <w:basedOn w:val="Zadanifontodlomka"/>
    <w:uiPriority w:val="22"/>
    <w:qFormat/>
    <w:rsid w:val="00C4168E"/>
    <w:rPr>
      <w:b/>
      <w:bCs/>
    </w:rPr>
  </w:style>
  <w:style w:type="character" w:styleId="Istaknuto">
    <w:name w:val="Emphasis"/>
    <w:basedOn w:val="Zadanifontodlomka"/>
    <w:uiPriority w:val="20"/>
    <w:qFormat/>
    <w:rsid w:val="00C4168E"/>
    <w:rPr>
      <w:i/>
      <w:iCs/>
    </w:rPr>
  </w:style>
  <w:style w:type="paragraph" w:styleId="Citat">
    <w:name w:val="Quote"/>
    <w:basedOn w:val="Normal"/>
    <w:next w:val="Normal"/>
    <w:link w:val="CitatChar"/>
    <w:uiPriority w:val="29"/>
    <w:qFormat/>
    <w:rsid w:val="00C4168E"/>
    <w:pPr>
      <w:spacing w:before="240" w:after="240" w:line="252" w:lineRule="auto"/>
      <w:ind w:left="864" w:right="864"/>
      <w:jc w:val="center"/>
    </w:pPr>
    <w:rPr>
      <w:i/>
      <w:iCs/>
    </w:rPr>
  </w:style>
  <w:style w:type="character" w:customStyle="1" w:styleId="CitatChar">
    <w:name w:val="Citat Char"/>
    <w:basedOn w:val="Zadanifontodlomka"/>
    <w:link w:val="Citat"/>
    <w:uiPriority w:val="29"/>
    <w:rsid w:val="00C4168E"/>
    <w:rPr>
      <w:i/>
      <w:iCs/>
    </w:rPr>
  </w:style>
  <w:style w:type="paragraph" w:styleId="Naglaencitat">
    <w:name w:val="Intense Quote"/>
    <w:basedOn w:val="Normal"/>
    <w:next w:val="Normal"/>
    <w:link w:val="NaglaencitatChar"/>
    <w:uiPriority w:val="30"/>
    <w:qFormat/>
    <w:rsid w:val="00C4168E"/>
    <w:pPr>
      <w:spacing w:before="100" w:beforeAutospacing="1" w:after="240"/>
      <w:ind w:left="864" w:right="864"/>
      <w:jc w:val="center"/>
    </w:pPr>
    <w:rPr>
      <w:rFonts w:asciiTheme="majorHAnsi" w:eastAsiaTheme="majorEastAsia" w:hAnsiTheme="majorHAnsi" w:cstheme="majorBidi"/>
      <w:color w:val="D2232A" w:themeColor="accent1"/>
      <w:sz w:val="28"/>
      <w:szCs w:val="28"/>
    </w:rPr>
  </w:style>
  <w:style w:type="character" w:customStyle="1" w:styleId="NaglaencitatChar">
    <w:name w:val="Naglašen citat Char"/>
    <w:basedOn w:val="Zadanifontodlomka"/>
    <w:link w:val="Naglaencitat"/>
    <w:uiPriority w:val="30"/>
    <w:rsid w:val="00C4168E"/>
    <w:rPr>
      <w:rFonts w:asciiTheme="majorHAnsi" w:eastAsiaTheme="majorEastAsia" w:hAnsiTheme="majorHAnsi" w:cstheme="majorBidi"/>
      <w:color w:val="D2232A" w:themeColor="accent1"/>
      <w:sz w:val="28"/>
      <w:szCs w:val="28"/>
    </w:rPr>
  </w:style>
  <w:style w:type="character" w:styleId="Neupadljivoisticanje">
    <w:name w:val="Subtle Emphasis"/>
    <w:basedOn w:val="Zadanifontodlomka"/>
    <w:uiPriority w:val="19"/>
    <w:qFormat/>
    <w:rsid w:val="00C4168E"/>
    <w:rPr>
      <w:i/>
      <w:iCs/>
      <w:color w:val="ABABAB" w:themeColor="text1" w:themeTint="A6"/>
    </w:rPr>
  </w:style>
  <w:style w:type="character" w:styleId="Jakoisticanje">
    <w:name w:val="Intense Emphasis"/>
    <w:basedOn w:val="Zadanifontodlomka"/>
    <w:uiPriority w:val="21"/>
    <w:qFormat/>
    <w:rsid w:val="00C4168E"/>
    <w:rPr>
      <w:b/>
      <w:bCs/>
      <w:i/>
      <w:iCs/>
    </w:rPr>
  </w:style>
  <w:style w:type="character" w:styleId="Neupadljivareferenca">
    <w:name w:val="Subtle Reference"/>
    <w:basedOn w:val="Zadanifontodlomka"/>
    <w:uiPriority w:val="31"/>
    <w:qFormat/>
    <w:rsid w:val="00C4168E"/>
    <w:rPr>
      <w:smallCaps/>
      <w:color w:val="9F9F9F" w:themeColor="text1" w:themeTint="BF"/>
    </w:rPr>
  </w:style>
  <w:style w:type="character" w:styleId="Istaknutareferenca">
    <w:name w:val="Intense Reference"/>
    <w:basedOn w:val="Zadanifontodlomka"/>
    <w:uiPriority w:val="32"/>
    <w:qFormat/>
    <w:rsid w:val="00C4168E"/>
    <w:rPr>
      <w:b/>
      <w:bCs/>
      <w:smallCaps/>
      <w:u w:val="single"/>
    </w:rPr>
  </w:style>
  <w:style w:type="character" w:styleId="Naslovknjige">
    <w:name w:val="Book Title"/>
    <w:basedOn w:val="Zadanifontodlomka"/>
    <w:uiPriority w:val="33"/>
    <w:qFormat/>
    <w:rsid w:val="00C4168E"/>
    <w:rPr>
      <w:b/>
      <w:bCs/>
      <w:smallCaps/>
    </w:rPr>
  </w:style>
  <w:style w:type="paragraph" w:styleId="Zaglavlje">
    <w:name w:val="header"/>
    <w:basedOn w:val="Normal"/>
    <w:link w:val="ZaglavljeChar"/>
    <w:uiPriority w:val="99"/>
    <w:unhideWhenUsed/>
    <w:rsid w:val="00FD2308"/>
    <w:pPr>
      <w:tabs>
        <w:tab w:val="center" w:pos="4513"/>
        <w:tab w:val="right" w:pos="9026"/>
      </w:tabs>
      <w:spacing w:after="0" w:line="240" w:lineRule="auto"/>
    </w:pPr>
  </w:style>
  <w:style w:type="character" w:customStyle="1" w:styleId="ZaglavljeChar">
    <w:name w:val="Zaglavlje Char"/>
    <w:basedOn w:val="Zadanifontodlomka"/>
    <w:link w:val="Zaglavlje"/>
    <w:uiPriority w:val="99"/>
    <w:rsid w:val="00FD2308"/>
    <w:rPr>
      <w:rFonts w:ascii="Newslab" w:hAnsi="Newslab"/>
      <w:color w:val="3F3F3F" w:themeColor="text1" w:themeShade="80"/>
      <w:sz w:val="18"/>
    </w:rPr>
  </w:style>
  <w:style w:type="paragraph" w:styleId="Podnoje">
    <w:name w:val="footer"/>
    <w:basedOn w:val="Normal"/>
    <w:link w:val="PodnojeChar"/>
    <w:uiPriority w:val="99"/>
    <w:unhideWhenUsed/>
    <w:rsid w:val="00FD2308"/>
    <w:pPr>
      <w:tabs>
        <w:tab w:val="center" w:pos="4513"/>
        <w:tab w:val="right" w:pos="9026"/>
      </w:tabs>
      <w:spacing w:after="0" w:line="240" w:lineRule="auto"/>
    </w:pPr>
  </w:style>
  <w:style w:type="character" w:customStyle="1" w:styleId="PodnojeChar">
    <w:name w:val="Podnožje Char"/>
    <w:basedOn w:val="Zadanifontodlomka"/>
    <w:link w:val="Podnoje"/>
    <w:uiPriority w:val="99"/>
    <w:rsid w:val="00FD2308"/>
    <w:rPr>
      <w:rFonts w:ascii="Newslab" w:hAnsi="Newslab"/>
      <w:color w:val="3F3F3F" w:themeColor="text1" w:themeShade="80"/>
      <w:sz w:val="18"/>
    </w:rPr>
  </w:style>
  <w:style w:type="character" w:customStyle="1" w:styleId="Style1">
    <w:name w:val="Style1"/>
    <w:basedOn w:val="NASLOV"/>
    <w:uiPriority w:val="1"/>
    <w:rsid w:val="00FD2308"/>
    <w:rPr>
      <w:rFonts w:ascii="Newslab" w:eastAsiaTheme="majorEastAsia" w:hAnsi="Newslab" w:cstheme="majorBidi"/>
      <w:b/>
      <w:caps w:val="0"/>
      <w:color w:val="A71B28"/>
      <w:spacing w:val="15"/>
      <w:sz w:val="34"/>
      <w:szCs w:val="34"/>
      <w:lang w:val="hr-HR"/>
    </w:rPr>
  </w:style>
  <w:style w:type="paragraph" w:styleId="Sadraj3">
    <w:name w:val="toc 3"/>
    <w:basedOn w:val="Normal"/>
    <w:next w:val="Normal"/>
    <w:autoRedefine/>
    <w:uiPriority w:val="39"/>
    <w:unhideWhenUsed/>
    <w:rsid w:val="0007695D"/>
    <w:pPr>
      <w:tabs>
        <w:tab w:val="right" w:leader="dot" w:pos="9290"/>
      </w:tabs>
      <w:spacing w:after="100" w:line="256" w:lineRule="auto"/>
      <w:ind w:left="440"/>
      <w:jc w:val="left"/>
    </w:pPr>
    <w:rPr>
      <w:rFonts w:eastAsiaTheme="minorHAnsi"/>
      <w:noProof/>
      <w:sz w:val="20"/>
      <w:szCs w:val="22"/>
    </w:rPr>
  </w:style>
  <w:style w:type="paragraph" w:styleId="Tekstkomentara">
    <w:name w:val="annotation text"/>
    <w:basedOn w:val="Normal"/>
    <w:link w:val="TekstkomentaraChar"/>
    <w:uiPriority w:val="99"/>
    <w:unhideWhenUsed/>
    <w:rsid w:val="008878A0"/>
    <w:pPr>
      <w:spacing w:after="160" w:line="240" w:lineRule="auto"/>
      <w:jc w:val="left"/>
    </w:pPr>
    <w:rPr>
      <w:rFonts w:asciiTheme="minorHAnsi" w:eastAsiaTheme="minorHAnsi" w:hAnsiTheme="minorHAnsi"/>
      <w:color w:val="auto"/>
      <w:sz w:val="20"/>
    </w:rPr>
  </w:style>
  <w:style w:type="character" w:customStyle="1" w:styleId="TekstkomentaraChar">
    <w:name w:val="Tekst komentara Char"/>
    <w:basedOn w:val="Zadanifontodlomka"/>
    <w:link w:val="Tekstkomentara"/>
    <w:uiPriority w:val="99"/>
    <w:rsid w:val="008878A0"/>
    <w:rPr>
      <w:rFonts w:eastAsiaTheme="minorHAnsi"/>
    </w:rPr>
  </w:style>
  <w:style w:type="character" w:customStyle="1" w:styleId="PredmetkomentaraChar">
    <w:name w:val="Predmet komentara Char"/>
    <w:basedOn w:val="TekstkomentaraChar"/>
    <w:link w:val="Predmetkomentara"/>
    <w:uiPriority w:val="99"/>
    <w:semiHidden/>
    <w:rsid w:val="008878A0"/>
    <w:rPr>
      <w:rFonts w:eastAsiaTheme="minorHAnsi"/>
      <w:b/>
      <w:bCs/>
    </w:rPr>
  </w:style>
  <w:style w:type="paragraph" w:styleId="Predmetkomentara">
    <w:name w:val="annotation subject"/>
    <w:basedOn w:val="Tekstkomentara"/>
    <w:next w:val="Tekstkomentara"/>
    <w:link w:val="PredmetkomentaraChar"/>
    <w:uiPriority w:val="99"/>
    <w:semiHidden/>
    <w:unhideWhenUsed/>
    <w:rsid w:val="008878A0"/>
    <w:rPr>
      <w:b/>
      <w:bCs/>
    </w:rPr>
  </w:style>
  <w:style w:type="character" w:customStyle="1" w:styleId="OdlomakpopisaChar">
    <w:name w:val="Odlomak popisa Char"/>
    <w:link w:val="Odlomakpopisa"/>
    <w:uiPriority w:val="34"/>
    <w:locked/>
    <w:rsid w:val="008878A0"/>
  </w:style>
  <w:style w:type="paragraph" w:styleId="Odlomakpopisa">
    <w:name w:val="List Paragraph"/>
    <w:basedOn w:val="Normal"/>
    <w:link w:val="OdlomakpopisaChar"/>
    <w:uiPriority w:val="34"/>
    <w:qFormat/>
    <w:rsid w:val="008878A0"/>
    <w:pPr>
      <w:ind w:left="720"/>
      <w:contextualSpacing/>
    </w:pPr>
  </w:style>
  <w:style w:type="paragraph" w:customStyle="1" w:styleId="Default">
    <w:name w:val="Default"/>
    <w:rsid w:val="008878A0"/>
    <w:pPr>
      <w:autoSpaceDE w:val="0"/>
      <w:autoSpaceDN w:val="0"/>
      <w:adjustRightInd w:val="0"/>
      <w:spacing w:after="0" w:line="240" w:lineRule="auto"/>
    </w:pPr>
    <w:rPr>
      <w:rFonts w:ascii="Newslab Book" w:eastAsiaTheme="minorHAnsi" w:hAnsi="Newslab Book" w:cs="Newslab Book"/>
      <w:color w:val="000000"/>
      <w:sz w:val="24"/>
      <w:szCs w:val="24"/>
    </w:rPr>
  </w:style>
  <w:style w:type="paragraph" w:customStyle="1" w:styleId="Pa3">
    <w:name w:val="Pa3"/>
    <w:basedOn w:val="Default"/>
    <w:next w:val="Default"/>
    <w:uiPriority w:val="99"/>
    <w:rsid w:val="008878A0"/>
    <w:pPr>
      <w:spacing w:line="241" w:lineRule="atLeast"/>
    </w:pPr>
    <w:rPr>
      <w:rFonts w:cstheme="minorBidi"/>
      <w:color w:val="auto"/>
    </w:rPr>
  </w:style>
  <w:style w:type="paragraph" w:customStyle="1" w:styleId="xl91">
    <w:name w:val="xl91"/>
    <w:basedOn w:val="Normal"/>
    <w:rsid w:val="008878A0"/>
    <w:pPr>
      <w:pBdr>
        <w:left w:val="single" w:sz="8" w:space="0" w:color="auto"/>
      </w:pBd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92">
    <w:name w:val="xl92"/>
    <w:basedOn w:val="Normal"/>
    <w:rsid w:val="008878A0"/>
    <w:pPr>
      <w:pBdr>
        <w:top w:val="single" w:sz="8" w:space="0" w:color="auto"/>
        <w:left w:val="single" w:sz="8"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95">
    <w:name w:val="xl95"/>
    <w:basedOn w:val="Normal"/>
    <w:rsid w:val="008878A0"/>
    <w:pPr>
      <w:pBdr>
        <w:top w:val="single" w:sz="8" w:space="0" w:color="002D62"/>
        <w:left w:val="single" w:sz="8" w:space="0" w:color="auto"/>
        <w:right w:val="single" w:sz="8"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98">
    <w:name w:val="xl98"/>
    <w:basedOn w:val="Normal"/>
    <w:rsid w:val="008878A0"/>
    <w:pPr>
      <w:pBdr>
        <w:top w:val="single" w:sz="8" w:space="0" w:color="auto"/>
        <w:left w:val="single" w:sz="8" w:space="0" w:color="auto"/>
        <w:right w:val="single" w:sz="8" w:space="0" w:color="auto"/>
      </w:pBd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99">
    <w:name w:val="xl99"/>
    <w:basedOn w:val="Normal"/>
    <w:rsid w:val="008878A0"/>
    <w:pPr>
      <w:pBdr>
        <w:left w:val="single" w:sz="8" w:space="0" w:color="auto"/>
        <w:bottom w:val="single" w:sz="8" w:space="0" w:color="002D62"/>
        <w:right w:val="single" w:sz="8" w:space="0" w:color="auto"/>
      </w:pBd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1">
    <w:name w:val="xl101"/>
    <w:basedOn w:val="Normal"/>
    <w:rsid w:val="008878A0"/>
    <w:pPr>
      <w:pBdr>
        <w:top w:val="single" w:sz="8" w:space="0" w:color="auto"/>
        <w:left w:val="single" w:sz="8" w:space="0" w:color="auto"/>
        <w:bottom w:val="single" w:sz="8" w:space="0" w:color="auto"/>
        <w:right w:val="single" w:sz="8" w:space="0" w:color="auto"/>
      </w:pBd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2">
    <w:name w:val="xl102"/>
    <w:basedOn w:val="Normal"/>
    <w:rsid w:val="008878A0"/>
    <w:pPr>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4">
    <w:name w:val="xl104"/>
    <w:basedOn w:val="Normal"/>
    <w:rsid w:val="008878A0"/>
    <w:pPr>
      <w:pBdr>
        <w:top w:val="single" w:sz="8" w:space="0" w:color="auto"/>
        <w:left w:val="single" w:sz="8" w:space="0" w:color="auto"/>
        <w:right w:val="single" w:sz="4"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5">
    <w:name w:val="xl105"/>
    <w:basedOn w:val="Normal"/>
    <w:rsid w:val="008878A0"/>
    <w:pPr>
      <w:pBdr>
        <w:top w:val="single" w:sz="8" w:space="0" w:color="auto"/>
        <w:left w:val="single" w:sz="4" w:space="0" w:color="auto"/>
        <w:right w:val="single" w:sz="8"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paragraph" w:customStyle="1" w:styleId="xl106">
    <w:name w:val="xl106"/>
    <w:basedOn w:val="Normal"/>
    <w:rsid w:val="008878A0"/>
    <w:pPr>
      <w:pBdr>
        <w:left w:val="single" w:sz="8" w:space="0" w:color="auto"/>
      </w:pBdr>
      <w:shd w:val="clear" w:color="auto" w:fill="FFFFFF"/>
      <w:spacing w:beforeAutospacing="1" w:after="100" w:afterAutospacing="1" w:line="240" w:lineRule="auto"/>
      <w:jc w:val="center"/>
    </w:pPr>
    <w:rPr>
      <w:rFonts w:ascii="Arial Narrow" w:eastAsia="Times New Roman" w:hAnsi="Arial Narrow" w:cs="Times New Roman"/>
      <w:color w:val="auto"/>
      <w:sz w:val="20"/>
      <w:lang w:eastAsia="hr-HR"/>
    </w:rPr>
  </w:style>
  <w:style w:type="character" w:styleId="Referencakomentara">
    <w:name w:val="annotation reference"/>
    <w:basedOn w:val="Zadanifontodlomka"/>
    <w:uiPriority w:val="99"/>
    <w:semiHidden/>
    <w:unhideWhenUsed/>
    <w:rsid w:val="008878A0"/>
    <w:rPr>
      <w:sz w:val="16"/>
      <w:szCs w:val="16"/>
    </w:rPr>
  </w:style>
  <w:style w:type="character" w:customStyle="1" w:styleId="A2">
    <w:name w:val="A2"/>
    <w:uiPriority w:val="99"/>
    <w:rsid w:val="008878A0"/>
    <w:rPr>
      <w:rFonts w:ascii="Newslab Book" w:hAnsi="Newslab Book" w:cs="Newslab Book" w:hint="default"/>
      <w:color w:val="000000"/>
      <w:sz w:val="20"/>
      <w:szCs w:val="20"/>
    </w:rPr>
  </w:style>
  <w:style w:type="character" w:customStyle="1" w:styleId="maintexthtml">
    <w:name w:val="maintexthtml"/>
    <w:basedOn w:val="Zadanifontodlomka"/>
    <w:rsid w:val="008878A0"/>
  </w:style>
  <w:style w:type="character" w:customStyle="1" w:styleId="shortdescription">
    <w:name w:val="shortdescription"/>
    <w:basedOn w:val="Zadanifontodlomka"/>
    <w:rsid w:val="008878A0"/>
  </w:style>
  <w:style w:type="table" w:styleId="Reetkatablice">
    <w:name w:val="Table Grid"/>
    <w:basedOn w:val="Obinatablica"/>
    <w:uiPriority w:val="39"/>
    <w:rsid w:val="008878A0"/>
    <w:pPr>
      <w:spacing w:after="0" w:line="240" w:lineRule="auto"/>
    </w:pPr>
    <w:rPr>
      <w:rFonts w:eastAsiaTheme="minorHAns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vijetlatablicareetke-isticanje11">
    <w:name w:val="Svijetla tablica rešetke - isticanje 11"/>
    <w:basedOn w:val="Obinatablica"/>
    <w:uiPriority w:val="46"/>
    <w:rsid w:val="008878A0"/>
    <w:pPr>
      <w:spacing w:after="0" w:line="240" w:lineRule="auto"/>
    </w:pPr>
    <w:rPr>
      <w:rFonts w:eastAsiaTheme="minorHAnsi"/>
      <w:sz w:val="22"/>
      <w:szCs w:val="22"/>
    </w:rPr>
    <w:tblPr>
      <w:tblStyleRowBandSize w:val="1"/>
      <w:tblStyleColBandSize w:val="1"/>
      <w:tblInd w:w="0" w:type="nil"/>
      <w:tblBorders>
        <w:top w:val="single" w:sz="4" w:space="0" w:color="EFA4A7" w:themeColor="accent1" w:themeTint="66"/>
        <w:left w:val="single" w:sz="4" w:space="0" w:color="EFA4A7" w:themeColor="accent1" w:themeTint="66"/>
        <w:bottom w:val="single" w:sz="4" w:space="0" w:color="EFA4A7" w:themeColor="accent1" w:themeTint="66"/>
        <w:right w:val="single" w:sz="4" w:space="0" w:color="EFA4A7" w:themeColor="accent1" w:themeTint="66"/>
        <w:insideH w:val="single" w:sz="4" w:space="0" w:color="EFA4A7" w:themeColor="accent1" w:themeTint="66"/>
        <w:insideV w:val="single" w:sz="4" w:space="0" w:color="EFA4A7" w:themeColor="accent1" w:themeTint="66"/>
      </w:tblBorders>
    </w:tblPr>
    <w:tblStylePr w:type="firstRow">
      <w:rPr>
        <w:b/>
        <w:bCs/>
      </w:rPr>
      <w:tblPr/>
      <w:tcPr>
        <w:tcBorders>
          <w:bottom w:val="single" w:sz="12" w:space="0" w:color="E8767B" w:themeColor="accent1" w:themeTint="99"/>
        </w:tcBorders>
      </w:tcPr>
    </w:tblStylePr>
    <w:tblStylePr w:type="lastRow">
      <w:rPr>
        <w:b/>
        <w:bCs/>
      </w:rPr>
      <w:tblPr/>
      <w:tcPr>
        <w:tcBorders>
          <w:top w:val="double" w:sz="2" w:space="0" w:color="E8767B" w:themeColor="accent1" w:themeTint="99"/>
        </w:tcBorders>
      </w:tcPr>
    </w:tblStylePr>
    <w:tblStylePr w:type="firstCol">
      <w:rPr>
        <w:b/>
        <w:bCs/>
      </w:rPr>
    </w:tblStylePr>
    <w:tblStylePr w:type="lastCol">
      <w:rPr>
        <w:b/>
        <w:bCs/>
      </w:rPr>
    </w:tblStylePr>
  </w:style>
  <w:style w:type="table" w:customStyle="1" w:styleId="Tamnatablicareetke5-isticanje11">
    <w:name w:val="Tamna tablica rešetke 5 - isticanje 11"/>
    <w:basedOn w:val="Obinatablica"/>
    <w:uiPriority w:val="50"/>
    <w:rsid w:val="008878A0"/>
    <w:pPr>
      <w:spacing w:after="0" w:line="240" w:lineRule="auto"/>
    </w:pPr>
    <w:rPr>
      <w:rFonts w:eastAsiaTheme="minorHAnsi"/>
      <w:sz w:val="22"/>
      <w:szCs w:val="22"/>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7D1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2232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2232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2232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2232A" w:themeFill="accent1"/>
      </w:tcPr>
    </w:tblStylePr>
    <w:tblStylePr w:type="band1Vert">
      <w:tblPr/>
      <w:tcPr>
        <w:shd w:val="clear" w:color="auto" w:fill="EFA4A7" w:themeFill="accent1" w:themeFillTint="66"/>
      </w:tcPr>
    </w:tblStylePr>
    <w:tblStylePr w:type="band1Horz">
      <w:tblPr/>
      <w:tcPr>
        <w:shd w:val="clear" w:color="auto" w:fill="EFA4A7" w:themeFill="accent1" w:themeFillTint="66"/>
      </w:tcPr>
    </w:tblStylePr>
  </w:style>
  <w:style w:type="table" w:customStyle="1" w:styleId="Tablicapopisa4-isticanje11">
    <w:name w:val="Tablica popisa 4 - isticanje 11"/>
    <w:basedOn w:val="Obinatablica"/>
    <w:uiPriority w:val="49"/>
    <w:rsid w:val="003F5F03"/>
    <w:pPr>
      <w:spacing w:after="0" w:line="240" w:lineRule="auto"/>
    </w:pPr>
    <w:tblPr>
      <w:tblStyleRowBandSize w:val="1"/>
      <w:tblStyleColBandSize w:val="1"/>
      <w:tblBorders>
        <w:top w:val="single" w:sz="4" w:space="0" w:color="E8767B" w:themeColor="accent1" w:themeTint="99"/>
        <w:left w:val="single" w:sz="4" w:space="0" w:color="E8767B" w:themeColor="accent1" w:themeTint="99"/>
        <w:bottom w:val="single" w:sz="4" w:space="0" w:color="E8767B" w:themeColor="accent1" w:themeTint="99"/>
        <w:right w:val="single" w:sz="4" w:space="0" w:color="E8767B" w:themeColor="accent1" w:themeTint="99"/>
        <w:insideH w:val="single" w:sz="4" w:space="0" w:color="E8767B" w:themeColor="accent1" w:themeTint="99"/>
      </w:tblBorders>
    </w:tblPr>
    <w:tblStylePr w:type="firstRow">
      <w:rPr>
        <w:b/>
        <w:bCs/>
        <w:color w:val="FFFFFF" w:themeColor="background1"/>
      </w:rPr>
      <w:tblPr/>
      <w:tcPr>
        <w:tcBorders>
          <w:top w:val="single" w:sz="4" w:space="0" w:color="D2232A" w:themeColor="accent1"/>
          <w:left w:val="single" w:sz="4" w:space="0" w:color="D2232A" w:themeColor="accent1"/>
          <w:bottom w:val="single" w:sz="4" w:space="0" w:color="D2232A" w:themeColor="accent1"/>
          <w:right w:val="single" w:sz="4" w:space="0" w:color="D2232A" w:themeColor="accent1"/>
          <w:insideH w:val="nil"/>
        </w:tcBorders>
        <w:shd w:val="clear" w:color="auto" w:fill="D2232A" w:themeFill="accent1"/>
      </w:tcPr>
    </w:tblStylePr>
    <w:tblStylePr w:type="lastRow">
      <w:rPr>
        <w:b/>
        <w:bCs/>
      </w:rPr>
      <w:tblPr/>
      <w:tcPr>
        <w:tcBorders>
          <w:top w:val="double" w:sz="4" w:space="0" w:color="E8767B" w:themeColor="accent1" w:themeTint="99"/>
        </w:tcBorders>
      </w:tcPr>
    </w:tblStylePr>
    <w:tblStylePr w:type="firstCol">
      <w:rPr>
        <w:b/>
        <w:bCs/>
      </w:rPr>
    </w:tblStylePr>
    <w:tblStylePr w:type="lastCol">
      <w:rPr>
        <w:b/>
        <w:bCs/>
      </w:rPr>
    </w:tblStylePr>
    <w:tblStylePr w:type="band1Vert">
      <w:tblPr/>
      <w:tcPr>
        <w:shd w:val="clear" w:color="auto" w:fill="F7D1D2" w:themeFill="accent1" w:themeFillTint="33"/>
      </w:tcPr>
    </w:tblStylePr>
    <w:tblStylePr w:type="band1Horz">
      <w:tblPr/>
      <w:tcPr>
        <w:shd w:val="clear" w:color="auto" w:fill="F7D1D2" w:themeFill="accent1" w:themeFillTint="33"/>
      </w:tcPr>
    </w:tblStylePr>
  </w:style>
  <w:style w:type="table" w:customStyle="1" w:styleId="Style5">
    <w:name w:val="Style5"/>
    <w:basedOn w:val="Obinatablica"/>
    <w:uiPriority w:val="99"/>
    <w:rsid w:val="006C25A2"/>
    <w:pPr>
      <w:spacing w:after="0" w:line="240" w:lineRule="auto"/>
    </w:pPr>
    <w:rPr>
      <w:rFonts w:ascii="Newslab" w:hAnsi="Newslab"/>
      <w:sz w:val="20"/>
    </w:rPr>
    <w:tblPr>
      <w:tblBorders>
        <w:insideH w:val="single" w:sz="4" w:space="0" w:color="F3CFC1"/>
      </w:tblBorders>
    </w:tblPr>
    <w:tcPr>
      <w:shd w:val="clear" w:color="auto" w:fill="FFFFFF"/>
    </w:tcPr>
    <w:tblStylePr w:type="firstRow">
      <w:rPr>
        <w:rFonts w:ascii="Arial Narrow" w:hAnsi="Arial Narrow"/>
        <w:color w:val="FFFFFF" w:themeColor="background1"/>
        <w:sz w:val="20"/>
      </w:rPr>
      <w:tblPr/>
      <w:tcPr>
        <w:shd w:val="clear" w:color="auto" w:fill="D2232A"/>
      </w:tcPr>
    </w:tblStylePr>
  </w:style>
  <w:style w:type="table" w:customStyle="1" w:styleId="Tablicapopisa31">
    <w:name w:val="Tablica popisa 31"/>
    <w:basedOn w:val="Obinatablica"/>
    <w:uiPriority w:val="48"/>
    <w:rsid w:val="003F5F03"/>
    <w:pPr>
      <w:spacing w:after="0" w:line="240" w:lineRule="auto"/>
    </w:pPr>
    <w:tblPr>
      <w:tblStyleRowBandSize w:val="1"/>
      <w:tblStyleColBandSize w:val="1"/>
      <w:tblBorders>
        <w:top w:val="single" w:sz="4" w:space="0" w:color="7F7F7F" w:themeColor="text1"/>
        <w:left w:val="single" w:sz="4" w:space="0" w:color="7F7F7F" w:themeColor="text1"/>
        <w:bottom w:val="single" w:sz="4" w:space="0" w:color="7F7F7F" w:themeColor="text1"/>
        <w:right w:val="single" w:sz="4" w:space="0" w:color="7F7F7F" w:themeColor="text1"/>
      </w:tblBorders>
    </w:tblPr>
    <w:tblStylePr w:type="firstRow">
      <w:rPr>
        <w:b/>
        <w:bCs/>
        <w:color w:val="FFFFFF" w:themeColor="background1"/>
      </w:rPr>
      <w:tblPr/>
      <w:tcPr>
        <w:shd w:val="clear" w:color="auto" w:fill="7F7F7F" w:themeFill="text1"/>
      </w:tcPr>
    </w:tblStylePr>
    <w:tblStylePr w:type="lastRow">
      <w:rPr>
        <w:b/>
        <w:bCs/>
      </w:rPr>
      <w:tblPr/>
      <w:tcPr>
        <w:tcBorders>
          <w:top w:val="double" w:sz="4" w:space="0" w:color="7F7F7F"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F7F7F" w:themeColor="text1"/>
          <w:right w:val="single" w:sz="4" w:space="0" w:color="7F7F7F" w:themeColor="text1"/>
        </w:tcBorders>
      </w:tcPr>
    </w:tblStylePr>
    <w:tblStylePr w:type="band1Horz">
      <w:tblPr/>
      <w:tcPr>
        <w:tcBorders>
          <w:top w:val="single" w:sz="4" w:space="0" w:color="7F7F7F" w:themeColor="text1"/>
          <w:bottom w:val="single" w:sz="4" w:space="0" w:color="7F7F7F"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F7F7F" w:themeColor="text1"/>
          <w:left w:val="nil"/>
        </w:tcBorders>
      </w:tcPr>
    </w:tblStylePr>
    <w:tblStylePr w:type="swCell">
      <w:tblPr/>
      <w:tcPr>
        <w:tcBorders>
          <w:top w:val="double" w:sz="4" w:space="0" w:color="7F7F7F" w:themeColor="text1"/>
          <w:right w:val="nil"/>
        </w:tcBorders>
      </w:tcPr>
    </w:tblStylePr>
  </w:style>
  <w:style w:type="table" w:customStyle="1" w:styleId="Tamnatablicapopisa5-isticanje11">
    <w:name w:val="Tamna tablica popisa 5 - isticanje 11"/>
    <w:basedOn w:val="Obinatablica"/>
    <w:uiPriority w:val="50"/>
    <w:rsid w:val="003F5F03"/>
    <w:pPr>
      <w:spacing w:after="0" w:line="240" w:lineRule="auto"/>
    </w:pPr>
    <w:rPr>
      <w:color w:val="FFFFFF" w:themeColor="background1"/>
    </w:rPr>
    <w:tblPr>
      <w:tblStyleRowBandSize w:val="1"/>
      <w:tblStyleColBandSize w:val="1"/>
      <w:tblBorders>
        <w:top w:val="single" w:sz="24" w:space="0" w:color="D2232A" w:themeColor="accent1"/>
        <w:left w:val="single" w:sz="24" w:space="0" w:color="D2232A" w:themeColor="accent1"/>
        <w:bottom w:val="single" w:sz="24" w:space="0" w:color="D2232A" w:themeColor="accent1"/>
        <w:right w:val="single" w:sz="24" w:space="0" w:color="D2232A" w:themeColor="accent1"/>
      </w:tblBorders>
    </w:tblPr>
    <w:tcPr>
      <w:shd w:val="clear" w:color="auto" w:fill="D2232A"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Svijetlareetkatablice1">
    <w:name w:val="Svijetla rešetka tablice1"/>
    <w:basedOn w:val="Obinatablica"/>
    <w:uiPriority w:val="40"/>
    <w:rsid w:val="003A06F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tyle2">
    <w:name w:val="Style2"/>
    <w:basedOn w:val="Obinatablica"/>
    <w:uiPriority w:val="99"/>
    <w:rsid w:val="003A06FF"/>
    <w:pPr>
      <w:spacing w:after="0" w:line="240" w:lineRule="auto"/>
    </w:pPr>
    <w:rPr>
      <w:rFonts w:ascii="Newslab Book" w:hAnsi="Newslab Book"/>
    </w:rPr>
    <w:tblPr/>
    <w:tblStylePr w:type="firstRow">
      <w:rPr>
        <w:color w:val="3F3F3F" w:themeColor="text1" w:themeShade="80"/>
      </w:rPr>
      <w:tblPr/>
      <w:tcPr>
        <w:shd w:val="clear" w:color="auto" w:fill="E5E5E5" w:themeFill="text1" w:themeFillTint="33"/>
      </w:tcPr>
    </w:tblStylePr>
    <w:tblStylePr w:type="lastRow">
      <w:tblPr/>
      <w:tcPr>
        <w:shd w:val="clear" w:color="auto" w:fill="FFFFFF" w:themeFill="background1"/>
      </w:tcPr>
    </w:tblStylePr>
    <w:tblStylePr w:type="firstCol">
      <w:tblPr/>
      <w:tcPr>
        <w:shd w:val="clear" w:color="auto" w:fill="C00000"/>
      </w:tcPr>
    </w:tblStylePr>
  </w:style>
  <w:style w:type="table" w:customStyle="1" w:styleId="Style3">
    <w:name w:val="Style3"/>
    <w:basedOn w:val="Obinatablica"/>
    <w:uiPriority w:val="99"/>
    <w:rsid w:val="00310961"/>
    <w:pPr>
      <w:spacing w:after="0" w:line="240" w:lineRule="auto"/>
    </w:pPr>
    <w:rPr>
      <w:rFonts w:ascii="Newslab" w:hAnsi="Newslab"/>
      <w:sz w:val="20"/>
    </w:rPr>
    <w:tblPr/>
  </w:style>
  <w:style w:type="paragraph" w:customStyle="1" w:styleId="nasivojpozadini">
    <w:name w:val="na sivoj pozadini"/>
    <w:basedOn w:val="Bezproreda"/>
    <w:qFormat/>
    <w:rsid w:val="00AF7FA5"/>
    <w:pPr>
      <w:framePr w:wrap="around" w:hAnchor="text" w:y="3732"/>
    </w:pPr>
    <w:rPr>
      <w:color w:val="3F3F3F" w:themeColor="text1" w:themeShade="80"/>
    </w:rPr>
  </w:style>
  <w:style w:type="table" w:customStyle="1" w:styleId="Style4">
    <w:name w:val="Style4"/>
    <w:basedOn w:val="Obinatablica"/>
    <w:uiPriority w:val="99"/>
    <w:rsid w:val="006C25A2"/>
    <w:pPr>
      <w:spacing w:after="0" w:line="240" w:lineRule="auto"/>
    </w:pPr>
    <w:rPr>
      <w:rFonts w:ascii="Newslab" w:hAnsi="Newslab"/>
      <w:color w:val="FFFFFF" w:themeColor="background1"/>
      <w:sz w:val="20"/>
    </w:rPr>
    <w:tblPr>
      <w:tblBorders>
        <w:insideH w:val="single" w:sz="4" w:space="0" w:color="F3CFC1"/>
      </w:tblBorders>
    </w:tblPr>
    <w:tblStylePr w:type="firstRow">
      <w:rPr>
        <w:rFonts w:ascii="Arial Narrow" w:hAnsi="Arial Narrow"/>
        <w:sz w:val="20"/>
      </w:rPr>
    </w:tblStylePr>
  </w:style>
  <w:style w:type="paragraph" w:customStyle="1" w:styleId="podpodnaslov111">
    <w:name w:val="podpodnaslov 1.1.1."/>
    <w:basedOn w:val="Naslov2"/>
    <w:autoRedefine/>
    <w:qFormat/>
    <w:rsid w:val="006207AF"/>
    <w:pPr>
      <w:spacing w:before="0"/>
      <w:jc w:val="both"/>
    </w:pPr>
    <w:rPr>
      <w:szCs w:val="28"/>
    </w:rPr>
  </w:style>
  <w:style w:type="paragraph" w:styleId="Sadraj4">
    <w:name w:val="toc 4"/>
    <w:basedOn w:val="Normal"/>
    <w:next w:val="Normal"/>
    <w:autoRedefine/>
    <w:uiPriority w:val="39"/>
    <w:unhideWhenUsed/>
    <w:rsid w:val="003706D8"/>
    <w:pPr>
      <w:spacing w:after="100" w:line="259" w:lineRule="auto"/>
      <w:ind w:left="660"/>
      <w:jc w:val="left"/>
    </w:pPr>
    <w:rPr>
      <w:rFonts w:asciiTheme="minorHAnsi" w:hAnsiTheme="minorHAnsi"/>
      <w:color w:val="auto"/>
      <w:sz w:val="22"/>
      <w:szCs w:val="22"/>
      <w:lang w:eastAsia="hr-HR"/>
    </w:rPr>
  </w:style>
  <w:style w:type="paragraph" w:styleId="Sadraj5">
    <w:name w:val="toc 5"/>
    <w:basedOn w:val="Normal"/>
    <w:next w:val="Normal"/>
    <w:autoRedefine/>
    <w:uiPriority w:val="39"/>
    <w:unhideWhenUsed/>
    <w:rsid w:val="003706D8"/>
    <w:pPr>
      <w:spacing w:after="100" w:line="259" w:lineRule="auto"/>
      <w:ind w:left="880"/>
      <w:jc w:val="left"/>
    </w:pPr>
    <w:rPr>
      <w:rFonts w:asciiTheme="minorHAnsi" w:hAnsiTheme="minorHAnsi"/>
      <w:color w:val="auto"/>
      <w:sz w:val="22"/>
      <w:szCs w:val="22"/>
      <w:lang w:eastAsia="hr-HR"/>
    </w:rPr>
  </w:style>
  <w:style w:type="paragraph" w:styleId="Sadraj6">
    <w:name w:val="toc 6"/>
    <w:basedOn w:val="Normal"/>
    <w:next w:val="Normal"/>
    <w:autoRedefine/>
    <w:uiPriority w:val="39"/>
    <w:unhideWhenUsed/>
    <w:rsid w:val="003706D8"/>
    <w:pPr>
      <w:spacing w:after="100" w:line="259" w:lineRule="auto"/>
      <w:ind w:left="1100"/>
      <w:jc w:val="left"/>
    </w:pPr>
    <w:rPr>
      <w:rFonts w:asciiTheme="minorHAnsi" w:hAnsiTheme="minorHAnsi"/>
      <w:color w:val="auto"/>
      <w:sz w:val="22"/>
      <w:szCs w:val="22"/>
      <w:lang w:eastAsia="hr-HR"/>
    </w:rPr>
  </w:style>
  <w:style w:type="paragraph" w:styleId="Sadraj7">
    <w:name w:val="toc 7"/>
    <w:basedOn w:val="Normal"/>
    <w:next w:val="Normal"/>
    <w:autoRedefine/>
    <w:uiPriority w:val="39"/>
    <w:unhideWhenUsed/>
    <w:rsid w:val="003706D8"/>
    <w:pPr>
      <w:spacing w:after="100" w:line="259" w:lineRule="auto"/>
      <w:ind w:left="1320"/>
      <w:jc w:val="left"/>
    </w:pPr>
    <w:rPr>
      <w:rFonts w:asciiTheme="minorHAnsi" w:hAnsiTheme="minorHAnsi"/>
      <w:color w:val="auto"/>
      <w:sz w:val="22"/>
      <w:szCs w:val="22"/>
      <w:lang w:eastAsia="hr-HR"/>
    </w:rPr>
  </w:style>
  <w:style w:type="paragraph" w:styleId="Sadraj8">
    <w:name w:val="toc 8"/>
    <w:basedOn w:val="Normal"/>
    <w:next w:val="Normal"/>
    <w:autoRedefine/>
    <w:uiPriority w:val="39"/>
    <w:unhideWhenUsed/>
    <w:rsid w:val="003706D8"/>
    <w:pPr>
      <w:spacing w:after="100" w:line="259" w:lineRule="auto"/>
      <w:ind w:left="1540"/>
      <w:jc w:val="left"/>
    </w:pPr>
    <w:rPr>
      <w:rFonts w:asciiTheme="minorHAnsi" w:hAnsiTheme="minorHAnsi"/>
      <w:color w:val="auto"/>
      <w:sz w:val="22"/>
      <w:szCs w:val="22"/>
      <w:lang w:eastAsia="hr-HR"/>
    </w:rPr>
  </w:style>
  <w:style w:type="paragraph" w:styleId="Sadraj9">
    <w:name w:val="toc 9"/>
    <w:basedOn w:val="Normal"/>
    <w:next w:val="Normal"/>
    <w:autoRedefine/>
    <w:uiPriority w:val="39"/>
    <w:unhideWhenUsed/>
    <w:rsid w:val="003706D8"/>
    <w:pPr>
      <w:spacing w:after="100" w:line="259" w:lineRule="auto"/>
      <w:ind w:left="1760"/>
      <w:jc w:val="left"/>
    </w:pPr>
    <w:rPr>
      <w:rFonts w:asciiTheme="minorHAnsi" w:hAnsiTheme="minorHAnsi"/>
      <w:color w:val="auto"/>
      <w:sz w:val="22"/>
      <w:szCs w:val="22"/>
      <w:lang w:eastAsia="hr-HR"/>
    </w:rPr>
  </w:style>
  <w:style w:type="character" w:customStyle="1" w:styleId="Nerijeenospominjanje1">
    <w:name w:val="Neriješeno spominjanje1"/>
    <w:basedOn w:val="Zadanifontodlomka"/>
    <w:uiPriority w:val="99"/>
    <w:semiHidden/>
    <w:unhideWhenUsed/>
    <w:rsid w:val="003706D8"/>
    <w:rPr>
      <w:color w:val="605E5C"/>
      <w:shd w:val="clear" w:color="auto" w:fill="E1DFDD"/>
    </w:rPr>
  </w:style>
  <w:style w:type="character" w:customStyle="1" w:styleId="UnresolvedMention1">
    <w:name w:val="Unresolved Mention1"/>
    <w:basedOn w:val="Zadanifontodlomka"/>
    <w:uiPriority w:val="99"/>
    <w:semiHidden/>
    <w:unhideWhenUsed/>
    <w:rsid w:val="009019E6"/>
    <w:rPr>
      <w:color w:val="605E5C"/>
      <w:shd w:val="clear" w:color="auto" w:fill="E1DFDD"/>
    </w:rPr>
  </w:style>
  <w:style w:type="character" w:styleId="SlijeenaHiperveza">
    <w:name w:val="FollowedHyperlink"/>
    <w:basedOn w:val="Zadanifontodlomka"/>
    <w:uiPriority w:val="99"/>
    <w:semiHidden/>
    <w:unhideWhenUsed/>
    <w:rsid w:val="00A44D72"/>
    <w:rPr>
      <w:color w:val="9D1A1F" w:themeColor="followedHyperlink"/>
      <w:u w:val="single"/>
    </w:rPr>
  </w:style>
  <w:style w:type="character" w:customStyle="1" w:styleId="UnresolvedMention2">
    <w:name w:val="Unresolved Mention2"/>
    <w:basedOn w:val="Zadanifontodlomka"/>
    <w:uiPriority w:val="99"/>
    <w:semiHidden/>
    <w:unhideWhenUsed/>
    <w:rsid w:val="00B01058"/>
    <w:rPr>
      <w:color w:val="605E5C"/>
      <w:shd w:val="clear" w:color="auto" w:fill="E1DFDD"/>
    </w:rPr>
  </w:style>
  <w:style w:type="character" w:customStyle="1" w:styleId="Nerijeenospominjanje2">
    <w:name w:val="Neriješeno spominjanje2"/>
    <w:basedOn w:val="Zadanifontodlomka"/>
    <w:uiPriority w:val="99"/>
    <w:semiHidden/>
    <w:unhideWhenUsed/>
    <w:rsid w:val="003A2F4B"/>
    <w:rPr>
      <w:color w:val="605E5C"/>
      <w:shd w:val="clear" w:color="auto" w:fill="E1DFDD"/>
    </w:rPr>
  </w:style>
  <w:style w:type="character" w:customStyle="1" w:styleId="UnresolvedMention3">
    <w:name w:val="Unresolved Mention3"/>
    <w:basedOn w:val="Zadanifontodlomka"/>
    <w:uiPriority w:val="99"/>
    <w:semiHidden/>
    <w:unhideWhenUsed/>
    <w:rsid w:val="00D8687C"/>
    <w:rPr>
      <w:color w:val="605E5C"/>
      <w:shd w:val="clear" w:color="auto" w:fill="E1DFDD"/>
    </w:rPr>
  </w:style>
  <w:style w:type="character" w:styleId="Nerijeenospominjanje">
    <w:name w:val="Unresolved Mention"/>
    <w:basedOn w:val="Zadanifontodlomka"/>
    <w:uiPriority w:val="99"/>
    <w:semiHidden/>
    <w:unhideWhenUsed/>
    <w:rsid w:val="00A45043"/>
    <w:rPr>
      <w:color w:val="605E5C"/>
      <w:shd w:val="clear" w:color="auto" w:fill="E1DFDD"/>
    </w:rPr>
  </w:style>
  <w:style w:type="table" w:styleId="Svijetlatablicareetke1-isticanje5">
    <w:name w:val="Grid Table 1 Light Accent 5"/>
    <w:basedOn w:val="Obinatablica"/>
    <w:uiPriority w:val="46"/>
    <w:rsid w:val="00FD5BD1"/>
    <w:pPr>
      <w:spacing w:after="0" w:line="240" w:lineRule="auto"/>
    </w:pPr>
    <w:tblPr>
      <w:tblStyleRowBandSize w:val="1"/>
      <w:tblStyleColBandSize w:val="1"/>
      <w:tblBorders>
        <w:top w:val="single" w:sz="4" w:space="0" w:color="F4F4F4" w:themeColor="accent5" w:themeTint="66"/>
        <w:left w:val="single" w:sz="4" w:space="0" w:color="F4F4F4" w:themeColor="accent5" w:themeTint="66"/>
        <w:bottom w:val="single" w:sz="4" w:space="0" w:color="F4F4F4" w:themeColor="accent5" w:themeTint="66"/>
        <w:right w:val="single" w:sz="4" w:space="0" w:color="F4F4F4" w:themeColor="accent5" w:themeTint="66"/>
        <w:insideH w:val="single" w:sz="4" w:space="0" w:color="F4F4F4" w:themeColor="accent5" w:themeTint="66"/>
        <w:insideV w:val="single" w:sz="4" w:space="0" w:color="F4F4F4" w:themeColor="accent5" w:themeTint="66"/>
      </w:tblBorders>
    </w:tblPr>
    <w:tblStylePr w:type="firstRow">
      <w:rPr>
        <w:b/>
        <w:bCs/>
      </w:rPr>
      <w:tblPr/>
      <w:tcPr>
        <w:tcBorders>
          <w:bottom w:val="single" w:sz="12" w:space="0" w:color="EFEFEF" w:themeColor="accent5" w:themeTint="99"/>
        </w:tcBorders>
      </w:tcPr>
    </w:tblStylePr>
    <w:tblStylePr w:type="lastRow">
      <w:rPr>
        <w:b/>
        <w:bCs/>
      </w:rPr>
      <w:tblPr/>
      <w:tcPr>
        <w:tcBorders>
          <w:top w:val="double" w:sz="2" w:space="0" w:color="EFEFEF" w:themeColor="accent5" w:themeTint="99"/>
        </w:tcBorders>
      </w:tcPr>
    </w:tblStylePr>
    <w:tblStylePr w:type="firstCol">
      <w:rPr>
        <w:b/>
        <w:bCs/>
      </w:rPr>
    </w:tblStylePr>
    <w:tblStylePr w:type="lastCol">
      <w:rPr>
        <w:b/>
        <w:bCs/>
      </w:rPr>
    </w:tblStylePr>
  </w:style>
  <w:style w:type="table" w:customStyle="1" w:styleId="Reetkatablice1">
    <w:name w:val="Rešetka tablice1"/>
    <w:basedOn w:val="Obinatablica"/>
    <w:uiPriority w:val="39"/>
    <w:rsid w:val="000B38B8"/>
    <w:pPr>
      <w:spacing w:after="0" w:line="240" w:lineRule="auto"/>
    </w:pPr>
    <w:rPr>
      <w:rFonts w:ascii="Calibri" w:eastAsia="Calibri" w:hAnsi="Calibri" w:cs="Times New Roman"/>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51">
    <w:name w:val="Style51"/>
    <w:basedOn w:val="Obinatablica"/>
    <w:uiPriority w:val="99"/>
    <w:rsid w:val="00E17064"/>
    <w:pPr>
      <w:spacing w:after="0" w:line="240" w:lineRule="auto"/>
    </w:pPr>
    <w:rPr>
      <w:rFonts w:ascii="Newslab" w:eastAsia="Times New Roman" w:hAnsi="Newslab" w:cs="Times New Roman"/>
      <w:sz w:val="20"/>
    </w:rPr>
    <w:tblPr>
      <w:tblInd w:w="0" w:type="nil"/>
      <w:tblBorders>
        <w:insideH w:val="single" w:sz="4" w:space="0" w:color="F3CFC1"/>
      </w:tblBorders>
    </w:tblPr>
    <w:tcPr>
      <w:shd w:val="clear" w:color="auto" w:fill="FFFFFF"/>
    </w:tcPr>
    <w:tblStylePr w:type="firstRow">
      <w:rPr>
        <w:rFonts w:ascii="Arial Narrow" w:hAnsi="Arial Narrow" w:hint="default"/>
        <w:color w:val="FFFFFF"/>
        <w:sz w:val="20"/>
        <w:szCs w:val="20"/>
      </w:rPr>
      <w:tblPr/>
      <w:tcPr>
        <w:shd w:val="clear" w:color="auto" w:fill="D2232A"/>
      </w:tcPr>
    </w:tblStylePr>
  </w:style>
  <w:style w:type="paragraph" w:styleId="StandardWeb">
    <w:name w:val="Normal (Web)"/>
    <w:basedOn w:val="Normal"/>
    <w:uiPriority w:val="99"/>
    <w:semiHidden/>
    <w:unhideWhenUsed/>
    <w:rsid w:val="0031510B"/>
    <w:rPr>
      <w:rFonts w:ascii="Times New Roman" w:hAnsi="Times New Roman" w:cs="Times New Roman"/>
      <w:sz w:val="24"/>
      <w:szCs w:val="24"/>
    </w:rPr>
  </w:style>
  <w:style w:type="paragraph" w:styleId="Revizija">
    <w:name w:val="Revision"/>
    <w:hidden/>
    <w:uiPriority w:val="99"/>
    <w:semiHidden/>
    <w:rsid w:val="00825C43"/>
    <w:pPr>
      <w:spacing w:after="0" w:line="240" w:lineRule="auto"/>
    </w:pPr>
    <w:rPr>
      <w:rFonts w:ascii="Newslab" w:hAnsi="Newslab"/>
      <w:color w:val="3F3F3F" w:themeColor="text1" w:themeShade="80"/>
      <w:sz w:val="18"/>
    </w:rPr>
  </w:style>
  <w:style w:type="table" w:styleId="Tablicareetke4-isticanje1">
    <w:name w:val="Grid Table 4 Accent 1"/>
    <w:basedOn w:val="Obinatablica"/>
    <w:uiPriority w:val="49"/>
    <w:rsid w:val="00B526C8"/>
    <w:pPr>
      <w:spacing w:after="0" w:line="240" w:lineRule="auto"/>
    </w:pPr>
    <w:tblPr>
      <w:tblStyleRowBandSize w:val="1"/>
      <w:tblStyleColBandSize w:val="1"/>
      <w:tblBorders>
        <w:top w:val="single" w:sz="4" w:space="0" w:color="E8767B" w:themeColor="accent1" w:themeTint="99"/>
        <w:left w:val="single" w:sz="4" w:space="0" w:color="E8767B" w:themeColor="accent1" w:themeTint="99"/>
        <w:bottom w:val="single" w:sz="4" w:space="0" w:color="E8767B" w:themeColor="accent1" w:themeTint="99"/>
        <w:right w:val="single" w:sz="4" w:space="0" w:color="E8767B" w:themeColor="accent1" w:themeTint="99"/>
        <w:insideH w:val="single" w:sz="4" w:space="0" w:color="E8767B" w:themeColor="accent1" w:themeTint="99"/>
        <w:insideV w:val="single" w:sz="4" w:space="0" w:color="E8767B" w:themeColor="accent1" w:themeTint="99"/>
      </w:tblBorders>
    </w:tblPr>
    <w:tblStylePr w:type="firstRow">
      <w:rPr>
        <w:b/>
        <w:bCs/>
        <w:color w:val="FFFFFF" w:themeColor="background1"/>
      </w:rPr>
      <w:tblPr/>
      <w:tcPr>
        <w:tcBorders>
          <w:top w:val="single" w:sz="4" w:space="0" w:color="D2232A" w:themeColor="accent1"/>
          <w:left w:val="single" w:sz="4" w:space="0" w:color="D2232A" w:themeColor="accent1"/>
          <w:bottom w:val="single" w:sz="4" w:space="0" w:color="D2232A" w:themeColor="accent1"/>
          <w:right w:val="single" w:sz="4" w:space="0" w:color="D2232A" w:themeColor="accent1"/>
          <w:insideH w:val="nil"/>
          <w:insideV w:val="nil"/>
        </w:tcBorders>
        <w:shd w:val="clear" w:color="auto" w:fill="D2232A" w:themeFill="accent1"/>
      </w:tcPr>
    </w:tblStylePr>
    <w:tblStylePr w:type="lastRow">
      <w:rPr>
        <w:b/>
        <w:bCs/>
      </w:rPr>
      <w:tblPr/>
      <w:tcPr>
        <w:tcBorders>
          <w:top w:val="double" w:sz="4" w:space="0" w:color="D2232A" w:themeColor="accent1"/>
        </w:tcBorders>
      </w:tcPr>
    </w:tblStylePr>
    <w:tblStylePr w:type="firstCol">
      <w:rPr>
        <w:b/>
        <w:bCs/>
      </w:rPr>
    </w:tblStylePr>
    <w:tblStylePr w:type="lastCol">
      <w:rPr>
        <w:b/>
        <w:bCs/>
      </w:rPr>
    </w:tblStylePr>
    <w:tblStylePr w:type="band1Vert">
      <w:tblPr/>
      <w:tcPr>
        <w:shd w:val="clear" w:color="auto" w:fill="F7D1D2" w:themeFill="accent1" w:themeFillTint="33"/>
      </w:tcPr>
    </w:tblStylePr>
    <w:tblStylePr w:type="band1Horz">
      <w:tblPr/>
      <w:tcPr>
        <w:shd w:val="clear" w:color="auto" w:fill="F7D1D2" w:themeFill="accent1" w:themeFillTint="33"/>
      </w:tcPr>
    </w:tblStylePr>
  </w:style>
  <w:style w:type="table" w:styleId="Tablicareetke4-isticanje3">
    <w:name w:val="Grid Table 4 Accent 3"/>
    <w:basedOn w:val="Obinatablica"/>
    <w:uiPriority w:val="49"/>
    <w:rsid w:val="00B526C8"/>
    <w:pPr>
      <w:spacing w:after="0" w:line="240" w:lineRule="auto"/>
    </w:pPr>
    <w:tblPr>
      <w:tblStyleRowBandSize w:val="1"/>
      <w:tblStyleColBandSize w:val="1"/>
      <w:tblBorders>
        <w:top w:val="single" w:sz="4" w:space="0" w:color="C3C3C3" w:themeColor="accent3" w:themeTint="99"/>
        <w:left w:val="single" w:sz="4" w:space="0" w:color="C3C3C3" w:themeColor="accent3" w:themeTint="99"/>
        <w:bottom w:val="single" w:sz="4" w:space="0" w:color="C3C3C3" w:themeColor="accent3" w:themeTint="99"/>
        <w:right w:val="single" w:sz="4" w:space="0" w:color="C3C3C3" w:themeColor="accent3" w:themeTint="99"/>
        <w:insideH w:val="single" w:sz="4" w:space="0" w:color="C3C3C3" w:themeColor="accent3" w:themeTint="99"/>
        <w:insideV w:val="single" w:sz="4" w:space="0" w:color="C3C3C3" w:themeColor="accent3" w:themeTint="99"/>
      </w:tblBorders>
    </w:tblPr>
    <w:tblStylePr w:type="firstRow">
      <w:rPr>
        <w:b/>
        <w:bCs/>
        <w:color w:val="FFFFFF" w:themeColor="background1"/>
      </w:rPr>
      <w:tblPr/>
      <w:tcPr>
        <w:tcBorders>
          <w:top w:val="single" w:sz="4" w:space="0" w:color="9B9B9B" w:themeColor="accent3"/>
          <w:left w:val="single" w:sz="4" w:space="0" w:color="9B9B9B" w:themeColor="accent3"/>
          <w:bottom w:val="single" w:sz="4" w:space="0" w:color="9B9B9B" w:themeColor="accent3"/>
          <w:right w:val="single" w:sz="4" w:space="0" w:color="9B9B9B" w:themeColor="accent3"/>
          <w:insideH w:val="nil"/>
          <w:insideV w:val="nil"/>
        </w:tcBorders>
        <w:shd w:val="clear" w:color="auto" w:fill="9B9B9B" w:themeFill="accent3"/>
      </w:tcPr>
    </w:tblStylePr>
    <w:tblStylePr w:type="lastRow">
      <w:rPr>
        <w:b/>
        <w:bCs/>
      </w:rPr>
      <w:tblPr/>
      <w:tcPr>
        <w:tcBorders>
          <w:top w:val="double" w:sz="4" w:space="0" w:color="9B9B9B" w:themeColor="accent3"/>
        </w:tcBorders>
      </w:tcPr>
    </w:tblStylePr>
    <w:tblStylePr w:type="firstCol">
      <w:rPr>
        <w:b/>
        <w:bCs/>
      </w:rPr>
    </w:tblStylePr>
    <w:tblStylePr w:type="lastCol">
      <w:rPr>
        <w:b/>
        <w:bCs/>
      </w:rPr>
    </w:tblStylePr>
    <w:tblStylePr w:type="band1Vert">
      <w:tblPr/>
      <w:tcPr>
        <w:shd w:val="clear" w:color="auto" w:fill="EBEBEB" w:themeFill="accent3" w:themeFillTint="33"/>
      </w:tcPr>
    </w:tblStylePr>
    <w:tblStylePr w:type="band1Horz">
      <w:tblPr/>
      <w:tcPr>
        <w:shd w:val="clear" w:color="auto" w:fill="EBEBEB" w:themeFill="accent3" w:themeFillTint="33"/>
      </w:tcPr>
    </w:tblStylePr>
  </w:style>
  <w:style w:type="character" w:customStyle="1" w:styleId="Hiperveza1">
    <w:name w:val="Hiperveza1"/>
    <w:basedOn w:val="Zadanifontodlomka"/>
    <w:uiPriority w:val="99"/>
    <w:unhideWhenUsed/>
    <w:rsid w:val="00DC1C3A"/>
    <w:rPr>
      <w:color w:val="D2232A"/>
      <w:u w:val="single"/>
    </w:rPr>
  </w:style>
  <w:style w:type="table" w:styleId="Svijetlatablicareetke-isticanje1">
    <w:name w:val="Grid Table 1 Light Accent 1"/>
    <w:basedOn w:val="Obinatablica"/>
    <w:uiPriority w:val="46"/>
    <w:rsid w:val="00FE2F06"/>
    <w:pPr>
      <w:spacing w:after="0" w:line="240" w:lineRule="auto"/>
    </w:pPr>
    <w:tblPr>
      <w:tblStyleRowBandSize w:val="1"/>
      <w:tblStyleColBandSize w:val="1"/>
      <w:tblBorders>
        <w:top w:val="single" w:sz="4" w:space="0" w:color="EFA4A7" w:themeColor="accent1" w:themeTint="66"/>
        <w:left w:val="single" w:sz="4" w:space="0" w:color="EFA4A7" w:themeColor="accent1" w:themeTint="66"/>
        <w:bottom w:val="single" w:sz="4" w:space="0" w:color="EFA4A7" w:themeColor="accent1" w:themeTint="66"/>
        <w:right w:val="single" w:sz="4" w:space="0" w:color="EFA4A7" w:themeColor="accent1" w:themeTint="66"/>
        <w:insideH w:val="single" w:sz="4" w:space="0" w:color="EFA4A7" w:themeColor="accent1" w:themeTint="66"/>
        <w:insideV w:val="single" w:sz="4" w:space="0" w:color="EFA4A7" w:themeColor="accent1" w:themeTint="66"/>
      </w:tblBorders>
    </w:tblPr>
    <w:tblStylePr w:type="firstRow">
      <w:rPr>
        <w:b/>
        <w:bCs/>
      </w:rPr>
      <w:tblPr/>
      <w:tcPr>
        <w:tcBorders>
          <w:bottom w:val="single" w:sz="12" w:space="0" w:color="E8767B" w:themeColor="accent1" w:themeTint="99"/>
        </w:tcBorders>
      </w:tcPr>
    </w:tblStylePr>
    <w:tblStylePr w:type="lastRow">
      <w:rPr>
        <w:b/>
        <w:bCs/>
      </w:rPr>
      <w:tblPr/>
      <w:tcPr>
        <w:tcBorders>
          <w:top w:val="double" w:sz="2" w:space="0" w:color="E8767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37227">
      <w:bodyDiv w:val="1"/>
      <w:marLeft w:val="0"/>
      <w:marRight w:val="0"/>
      <w:marTop w:val="0"/>
      <w:marBottom w:val="0"/>
      <w:divBdr>
        <w:top w:val="none" w:sz="0" w:space="0" w:color="auto"/>
        <w:left w:val="none" w:sz="0" w:space="0" w:color="auto"/>
        <w:bottom w:val="none" w:sz="0" w:space="0" w:color="auto"/>
        <w:right w:val="none" w:sz="0" w:space="0" w:color="auto"/>
      </w:divBdr>
    </w:div>
    <w:div w:id="8917937">
      <w:bodyDiv w:val="1"/>
      <w:marLeft w:val="0"/>
      <w:marRight w:val="0"/>
      <w:marTop w:val="0"/>
      <w:marBottom w:val="0"/>
      <w:divBdr>
        <w:top w:val="none" w:sz="0" w:space="0" w:color="auto"/>
        <w:left w:val="none" w:sz="0" w:space="0" w:color="auto"/>
        <w:bottom w:val="none" w:sz="0" w:space="0" w:color="auto"/>
        <w:right w:val="none" w:sz="0" w:space="0" w:color="auto"/>
      </w:divBdr>
    </w:div>
    <w:div w:id="10033739">
      <w:bodyDiv w:val="1"/>
      <w:marLeft w:val="0"/>
      <w:marRight w:val="0"/>
      <w:marTop w:val="0"/>
      <w:marBottom w:val="0"/>
      <w:divBdr>
        <w:top w:val="none" w:sz="0" w:space="0" w:color="auto"/>
        <w:left w:val="none" w:sz="0" w:space="0" w:color="auto"/>
        <w:bottom w:val="none" w:sz="0" w:space="0" w:color="auto"/>
        <w:right w:val="none" w:sz="0" w:space="0" w:color="auto"/>
      </w:divBdr>
    </w:div>
    <w:div w:id="26031702">
      <w:bodyDiv w:val="1"/>
      <w:marLeft w:val="0"/>
      <w:marRight w:val="0"/>
      <w:marTop w:val="0"/>
      <w:marBottom w:val="0"/>
      <w:divBdr>
        <w:top w:val="none" w:sz="0" w:space="0" w:color="auto"/>
        <w:left w:val="none" w:sz="0" w:space="0" w:color="auto"/>
        <w:bottom w:val="none" w:sz="0" w:space="0" w:color="auto"/>
        <w:right w:val="none" w:sz="0" w:space="0" w:color="auto"/>
      </w:divBdr>
    </w:div>
    <w:div w:id="28183593">
      <w:bodyDiv w:val="1"/>
      <w:marLeft w:val="0"/>
      <w:marRight w:val="0"/>
      <w:marTop w:val="0"/>
      <w:marBottom w:val="0"/>
      <w:divBdr>
        <w:top w:val="none" w:sz="0" w:space="0" w:color="auto"/>
        <w:left w:val="none" w:sz="0" w:space="0" w:color="auto"/>
        <w:bottom w:val="none" w:sz="0" w:space="0" w:color="auto"/>
        <w:right w:val="none" w:sz="0" w:space="0" w:color="auto"/>
      </w:divBdr>
    </w:div>
    <w:div w:id="31006082">
      <w:bodyDiv w:val="1"/>
      <w:marLeft w:val="0"/>
      <w:marRight w:val="0"/>
      <w:marTop w:val="0"/>
      <w:marBottom w:val="0"/>
      <w:divBdr>
        <w:top w:val="none" w:sz="0" w:space="0" w:color="auto"/>
        <w:left w:val="none" w:sz="0" w:space="0" w:color="auto"/>
        <w:bottom w:val="none" w:sz="0" w:space="0" w:color="auto"/>
        <w:right w:val="none" w:sz="0" w:space="0" w:color="auto"/>
      </w:divBdr>
    </w:div>
    <w:div w:id="51344843">
      <w:bodyDiv w:val="1"/>
      <w:marLeft w:val="0"/>
      <w:marRight w:val="0"/>
      <w:marTop w:val="0"/>
      <w:marBottom w:val="0"/>
      <w:divBdr>
        <w:top w:val="none" w:sz="0" w:space="0" w:color="auto"/>
        <w:left w:val="none" w:sz="0" w:space="0" w:color="auto"/>
        <w:bottom w:val="none" w:sz="0" w:space="0" w:color="auto"/>
        <w:right w:val="none" w:sz="0" w:space="0" w:color="auto"/>
      </w:divBdr>
    </w:div>
    <w:div w:id="96490264">
      <w:bodyDiv w:val="1"/>
      <w:marLeft w:val="0"/>
      <w:marRight w:val="0"/>
      <w:marTop w:val="0"/>
      <w:marBottom w:val="0"/>
      <w:divBdr>
        <w:top w:val="none" w:sz="0" w:space="0" w:color="auto"/>
        <w:left w:val="none" w:sz="0" w:space="0" w:color="auto"/>
        <w:bottom w:val="none" w:sz="0" w:space="0" w:color="auto"/>
        <w:right w:val="none" w:sz="0" w:space="0" w:color="auto"/>
      </w:divBdr>
      <w:divsChild>
        <w:div w:id="707605688">
          <w:marLeft w:val="576"/>
          <w:marRight w:val="0"/>
          <w:marTop w:val="80"/>
          <w:marBottom w:val="0"/>
          <w:divBdr>
            <w:top w:val="none" w:sz="0" w:space="0" w:color="auto"/>
            <w:left w:val="none" w:sz="0" w:space="0" w:color="auto"/>
            <w:bottom w:val="none" w:sz="0" w:space="0" w:color="auto"/>
            <w:right w:val="none" w:sz="0" w:space="0" w:color="auto"/>
          </w:divBdr>
        </w:div>
        <w:div w:id="476993279">
          <w:marLeft w:val="576"/>
          <w:marRight w:val="0"/>
          <w:marTop w:val="80"/>
          <w:marBottom w:val="0"/>
          <w:divBdr>
            <w:top w:val="none" w:sz="0" w:space="0" w:color="auto"/>
            <w:left w:val="none" w:sz="0" w:space="0" w:color="auto"/>
            <w:bottom w:val="none" w:sz="0" w:space="0" w:color="auto"/>
            <w:right w:val="none" w:sz="0" w:space="0" w:color="auto"/>
          </w:divBdr>
        </w:div>
      </w:divsChild>
    </w:div>
    <w:div w:id="97408927">
      <w:bodyDiv w:val="1"/>
      <w:marLeft w:val="0"/>
      <w:marRight w:val="0"/>
      <w:marTop w:val="0"/>
      <w:marBottom w:val="0"/>
      <w:divBdr>
        <w:top w:val="none" w:sz="0" w:space="0" w:color="auto"/>
        <w:left w:val="none" w:sz="0" w:space="0" w:color="auto"/>
        <w:bottom w:val="none" w:sz="0" w:space="0" w:color="auto"/>
        <w:right w:val="none" w:sz="0" w:space="0" w:color="auto"/>
      </w:divBdr>
    </w:div>
    <w:div w:id="110321764">
      <w:bodyDiv w:val="1"/>
      <w:marLeft w:val="0"/>
      <w:marRight w:val="0"/>
      <w:marTop w:val="0"/>
      <w:marBottom w:val="0"/>
      <w:divBdr>
        <w:top w:val="none" w:sz="0" w:space="0" w:color="auto"/>
        <w:left w:val="none" w:sz="0" w:space="0" w:color="auto"/>
        <w:bottom w:val="none" w:sz="0" w:space="0" w:color="auto"/>
        <w:right w:val="none" w:sz="0" w:space="0" w:color="auto"/>
      </w:divBdr>
    </w:div>
    <w:div w:id="112482425">
      <w:bodyDiv w:val="1"/>
      <w:marLeft w:val="0"/>
      <w:marRight w:val="0"/>
      <w:marTop w:val="0"/>
      <w:marBottom w:val="0"/>
      <w:divBdr>
        <w:top w:val="none" w:sz="0" w:space="0" w:color="auto"/>
        <w:left w:val="none" w:sz="0" w:space="0" w:color="auto"/>
        <w:bottom w:val="none" w:sz="0" w:space="0" w:color="auto"/>
        <w:right w:val="none" w:sz="0" w:space="0" w:color="auto"/>
      </w:divBdr>
    </w:div>
    <w:div w:id="119763766">
      <w:bodyDiv w:val="1"/>
      <w:marLeft w:val="0"/>
      <w:marRight w:val="0"/>
      <w:marTop w:val="0"/>
      <w:marBottom w:val="0"/>
      <w:divBdr>
        <w:top w:val="none" w:sz="0" w:space="0" w:color="auto"/>
        <w:left w:val="none" w:sz="0" w:space="0" w:color="auto"/>
        <w:bottom w:val="none" w:sz="0" w:space="0" w:color="auto"/>
        <w:right w:val="none" w:sz="0" w:space="0" w:color="auto"/>
      </w:divBdr>
    </w:div>
    <w:div w:id="134446492">
      <w:bodyDiv w:val="1"/>
      <w:marLeft w:val="0"/>
      <w:marRight w:val="0"/>
      <w:marTop w:val="0"/>
      <w:marBottom w:val="0"/>
      <w:divBdr>
        <w:top w:val="none" w:sz="0" w:space="0" w:color="auto"/>
        <w:left w:val="none" w:sz="0" w:space="0" w:color="auto"/>
        <w:bottom w:val="none" w:sz="0" w:space="0" w:color="auto"/>
        <w:right w:val="none" w:sz="0" w:space="0" w:color="auto"/>
      </w:divBdr>
    </w:div>
    <w:div w:id="170146086">
      <w:bodyDiv w:val="1"/>
      <w:marLeft w:val="0"/>
      <w:marRight w:val="0"/>
      <w:marTop w:val="0"/>
      <w:marBottom w:val="0"/>
      <w:divBdr>
        <w:top w:val="none" w:sz="0" w:space="0" w:color="auto"/>
        <w:left w:val="none" w:sz="0" w:space="0" w:color="auto"/>
        <w:bottom w:val="none" w:sz="0" w:space="0" w:color="auto"/>
        <w:right w:val="none" w:sz="0" w:space="0" w:color="auto"/>
      </w:divBdr>
    </w:div>
    <w:div w:id="181863006">
      <w:bodyDiv w:val="1"/>
      <w:marLeft w:val="0"/>
      <w:marRight w:val="0"/>
      <w:marTop w:val="0"/>
      <w:marBottom w:val="0"/>
      <w:divBdr>
        <w:top w:val="none" w:sz="0" w:space="0" w:color="auto"/>
        <w:left w:val="none" w:sz="0" w:space="0" w:color="auto"/>
        <w:bottom w:val="none" w:sz="0" w:space="0" w:color="auto"/>
        <w:right w:val="none" w:sz="0" w:space="0" w:color="auto"/>
      </w:divBdr>
    </w:div>
    <w:div w:id="194732845">
      <w:bodyDiv w:val="1"/>
      <w:marLeft w:val="0"/>
      <w:marRight w:val="0"/>
      <w:marTop w:val="0"/>
      <w:marBottom w:val="0"/>
      <w:divBdr>
        <w:top w:val="none" w:sz="0" w:space="0" w:color="auto"/>
        <w:left w:val="none" w:sz="0" w:space="0" w:color="auto"/>
        <w:bottom w:val="none" w:sz="0" w:space="0" w:color="auto"/>
        <w:right w:val="none" w:sz="0" w:space="0" w:color="auto"/>
      </w:divBdr>
    </w:div>
    <w:div w:id="240526779">
      <w:bodyDiv w:val="1"/>
      <w:marLeft w:val="0"/>
      <w:marRight w:val="0"/>
      <w:marTop w:val="0"/>
      <w:marBottom w:val="0"/>
      <w:divBdr>
        <w:top w:val="none" w:sz="0" w:space="0" w:color="auto"/>
        <w:left w:val="none" w:sz="0" w:space="0" w:color="auto"/>
        <w:bottom w:val="none" w:sz="0" w:space="0" w:color="auto"/>
        <w:right w:val="none" w:sz="0" w:space="0" w:color="auto"/>
      </w:divBdr>
    </w:div>
    <w:div w:id="264460619">
      <w:bodyDiv w:val="1"/>
      <w:marLeft w:val="0"/>
      <w:marRight w:val="0"/>
      <w:marTop w:val="0"/>
      <w:marBottom w:val="0"/>
      <w:divBdr>
        <w:top w:val="none" w:sz="0" w:space="0" w:color="auto"/>
        <w:left w:val="none" w:sz="0" w:space="0" w:color="auto"/>
        <w:bottom w:val="none" w:sz="0" w:space="0" w:color="auto"/>
        <w:right w:val="none" w:sz="0" w:space="0" w:color="auto"/>
      </w:divBdr>
    </w:div>
    <w:div w:id="264771175">
      <w:bodyDiv w:val="1"/>
      <w:marLeft w:val="0"/>
      <w:marRight w:val="0"/>
      <w:marTop w:val="0"/>
      <w:marBottom w:val="0"/>
      <w:divBdr>
        <w:top w:val="none" w:sz="0" w:space="0" w:color="auto"/>
        <w:left w:val="none" w:sz="0" w:space="0" w:color="auto"/>
        <w:bottom w:val="none" w:sz="0" w:space="0" w:color="auto"/>
        <w:right w:val="none" w:sz="0" w:space="0" w:color="auto"/>
      </w:divBdr>
    </w:div>
    <w:div w:id="269508596">
      <w:bodyDiv w:val="1"/>
      <w:marLeft w:val="0"/>
      <w:marRight w:val="0"/>
      <w:marTop w:val="0"/>
      <w:marBottom w:val="0"/>
      <w:divBdr>
        <w:top w:val="none" w:sz="0" w:space="0" w:color="auto"/>
        <w:left w:val="none" w:sz="0" w:space="0" w:color="auto"/>
        <w:bottom w:val="none" w:sz="0" w:space="0" w:color="auto"/>
        <w:right w:val="none" w:sz="0" w:space="0" w:color="auto"/>
      </w:divBdr>
    </w:div>
    <w:div w:id="270862094">
      <w:bodyDiv w:val="1"/>
      <w:marLeft w:val="0"/>
      <w:marRight w:val="0"/>
      <w:marTop w:val="0"/>
      <w:marBottom w:val="0"/>
      <w:divBdr>
        <w:top w:val="none" w:sz="0" w:space="0" w:color="auto"/>
        <w:left w:val="none" w:sz="0" w:space="0" w:color="auto"/>
        <w:bottom w:val="none" w:sz="0" w:space="0" w:color="auto"/>
        <w:right w:val="none" w:sz="0" w:space="0" w:color="auto"/>
      </w:divBdr>
    </w:div>
    <w:div w:id="272982221">
      <w:bodyDiv w:val="1"/>
      <w:marLeft w:val="0"/>
      <w:marRight w:val="0"/>
      <w:marTop w:val="0"/>
      <w:marBottom w:val="0"/>
      <w:divBdr>
        <w:top w:val="none" w:sz="0" w:space="0" w:color="auto"/>
        <w:left w:val="none" w:sz="0" w:space="0" w:color="auto"/>
        <w:bottom w:val="none" w:sz="0" w:space="0" w:color="auto"/>
        <w:right w:val="none" w:sz="0" w:space="0" w:color="auto"/>
      </w:divBdr>
    </w:div>
    <w:div w:id="310133255">
      <w:bodyDiv w:val="1"/>
      <w:marLeft w:val="0"/>
      <w:marRight w:val="0"/>
      <w:marTop w:val="0"/>
      <w:marBottom w:val="0"/>
      <w:divBdr>
        <w:top w:val="none" w:sz="0" w:space="0" w:color="auto"/>
        <w:left w:val="none" w:sz="0" w:space="0" w:color="auto"/>
        <w:bottom w:val="none" w:sz="0" w:space="0" w:color="auto"/>
        <w:right w:val="none" w:sz="0" w:space="0" w:color="auto"/>
      </w:divBdr>
    </w:div>
    <w:div w:id="322247323">
      <w:bodyDiv w:val="1"/>
      <w:marLeft w:val="0"/>
      <w:marRight w:val="0"/>
      <w:marTop w:val="0"/>
      <w:marBottom w:val="0"/>
      <w:divBdr>
        <w:top w:val="none" w:sz="0" w:space="0" w:color="auto"/>
        <w:left w:val="none" w:sz="0" w:space="0" w:color="auto"/>
        <w:bottom w:val="none" w:sz="0" w:space="0" w:color="auto"/>
        <w:right w:val="none" w:sz="0" w:space="0" w:color="auto"/>
      </w:divBdr>
    </w:div>
    <w:div w:id="330257886">
      <w:bodyDiv w:val="1"/>
      <w:marLeft w:val="0"/>
      <w:marRight w:val="0"/>
      <w:marTop w:val="0"/>
      <w:marBottom w:val="0"/>
      <w:divBdr>
        <w:top w:val="none" w:sz="0" w:space="0" w:color="auto"/>
        <w:left w:val="none" w:sz="0" w:space="0" w:color="auto"/>
        <w:bottom w:val="none" w:sz="0" w:space="0" w:color="auto"/>
        <w:right w:val="none" w:sz="0" w:space="0" w:color="auto"/>
      </w:divBdr>
    </w:div>
    <w:div w:id="332606367">
      <w:bodyDiv w:val="1"/>
      <w:marLeft w:val="0"/>
      <w:marRight w:val="0"/>
      <w:marTop w:val="0"/>
      <w:marBottom w:val="0"/>
      <w:divBdr>
        <w:top w:val="none" w:sz="0" w:space="0" w:color="auto"/>
        <w:left w:val="none" w:sz="0" w:space="0" w:color="auto"/>
        <w:bottom w:val="none" w:sz="0" w:space="0" w:color="auto"/>
        <w:right w:val="none" w:sz="0" w:space="0" w:color="auto"/>
      </w:divBdr>
    </w:div>
    <w:div w:id="334916042">
      <w:bodyDiv w:val="1"/>
      <w:marLeft w:val="0"/>
      <w:marRight w:val="0"/>
      <w:marTop w:val="0"/>
      <w:marBottom w:val="0"/>
      <w:divBdr>
        <w:top w:val="none" w:sz="0" w:space="0" w:color="auto"/>
        <w:left w:val="none" w:sz="0" w:space="0" w:color="auto"/>
        <w:bottom w:val="none" w:sz="0" w:space="0" w:color="auto"/>
        <w:right w:val="none" w:sz="0" w:space="0" w:color="auto"/>
      </w:divBdr>
    </w:div>
    <w:div w:id="336813484">
      <w:bodyDiv w:val="1"/>
      <w:marLeft w:val="0"/>
      <w:marRight w:val="0"/>
      <w:marTop w:val="0"/>
      <w:marBottom w:val="0"/>
      <w:divBdr>
        <w:top w:val="none" w:sz="0" w:space="0" w:color="auto"/>
        <w:left w:val="none" w:sz="0" w:space="0" w:color="auto"/>
        <w:bottom w:val="none" w:sz="0" w:space="0" w:color="auto"/>
        <w:right w:val="none" w:sz="0" w:space="0" w:color="auto"/>
      </w:divBdr>
    </w:div>
    <w:div w:id="338701498">
      <w:bodyDiv w:val="1"/>
      <w:marLeft w:val="0"/>
      <w:marRight w:val="0"/>
      <w:marTop w:val="0"/>
      <w:marBottom w:val="0"/>
      <w:divBdr>
        <w:top w:val="none" w:sz="0" w:space="0" w:color="auto"/>
        <w:left w:val="none" w:sz="0" w:space="0" w:color="auto"/>
        <w:bottom w:val="none" w:sz="0" w:space="0" w:color="auto"/>
        <w:right w:val="none" w:sz="0" w:space="0" w:color="auto"/>
      </w:divBdr>
    </w:div>
    <w:div w:id="355086557">
      <w:bodyDiv w:val="1"/>
      <w:marLeft w:val="0"/>
      <w:marRight w:val="0"/>
      <w:marTop w:val="0"/>
      <w:marBottom w:val="0"/>
      <w:divBdr>
        <w:top w:val="none" w:sz="0" w:space="0" w:color="auto"/>
        <w:left w:val="none" w:sz="0" w:space="0" w:color="auto"/>
        <w:bottom w:val="none" w:sz="0" w:space="0" w:color="auto"/>
        <w:right w:val="none" w:sz="0" w:space="0" w:color="auto"/>
      </w:divBdr>
    </w:div>
    <w:div w:id="379282940">
      <w:bodyDiv w:val="1"/>
      <w:marLeft w:val="0"/>
      <w:marRight w:val="0"/>
      <w:marTop w:val="0"/>
      <w:marBottom w:val="0"/>
      <w:divBdr>
        <w:top w:val="none" w:sz="0" w:space="0" w:color="auto"/>
        <w:left w:val="none" w:sz="0" w:space="0" w:color="auto"/>
        <w:bottom w:val="none" w:sz="0" w:space="0" w:color="auto"/>
        <w:right w:val="none" w:sz="0" w:space="0" w:color="auto"/>
      </w:divBdr>
    </w:div>
    <w:div w:id="380445147">
      <w:bodyDiv w:val="1"/>
      <w:marLeft w:val="0"/>
      <w:marRight w:val="0"/>
      <w:marTop w:val="0"/>
      <w:marBottom w:val="0"/>
      <w:divBdr>
        <w:top w:val="none" w:sz="0" w:space="0" w:color="auto"/>
        <w:left w:val="none" w:sz="0" w:space="0" w:color="auto"/>
        <w:bottom w:val="none" w:sz="0" w:space="0" w:color="auto"/>
        <w:right w:val="none" w:sz="0" w:space="0" w:color="auto"/>
      </w:divBdr>
    </w:div>
    <w:div w:id="396589338">
      <w:bodyDiv w:val="1"/>
      <w:marLeft w:val="0"/>
      <w:marRight w:val="0"/>
      <w:marTop w:val="0"/>
      <w:marBottom w:val="0"/>
      <w:divBdr>
        <w:top w:val="none" w:sz="0" w:space="0" w:color="auto"/>
        <w:left w:val="none" w:sz="0" w:space="0" w:color="auto"/>
        <w:bottom w:val="none" w:sz="0" w:space="0" w:color="auto"/>
        <w:right w:val="none" w:sz="0" w:space="0" w:color="auto"/>
      </w:divBdr>
    </w:div>
    <w:div w:id="403796026">
      <w:bodyDiv w:val="1"/>
      <w:marLeft w:val="0"/>
      <w:marRight w:val="0"/>
      <w:marTop w:val="0"/>
      <w:marBottom w:val="0"/>
      <w:divBdr>
        <w:top w:val="none" w:sz="0" w:space="0" w:color="auto"/>
        <w:left w:val="none" w:sz="0" w:space="0" w:color="auto"/>
        <w:bottom w:val="none" w:sz="0" w:space="0" w:color="auto"/>
        <w:right w:val="none" w:sz="0" w:space="0" w:color="auto"/>
      </w:divBdr>
    </w:div>
    <w:div w:id="414670293">
      <w:bodyDiv w:val="1"/>
      <w:marLeft w:val="0"/>
      <w:marRight w:val="0"/>
      <w:marTop w:val="0"/>
      <w:marBottom w:val="0"/>
      <w:divBdr>
        <w:top w:val="none" w:sz="0" w:space="0" w:color="auto"/>
        <w:left w:val="none" w:sz="0" w:space="0" w:color="auto"/>
        <w:bottom w:val="none" w:sz="0" w:space="0" w:color="auto"/>
        <w:right w:val="none" w:sz="0" w:space="0" w:color="auto"/>
      </w:divBdr>
    </w:div>
    <w:div w:id="421725673">
      <w:bodyDiv w:val="1"/>
      <w:marLeft w:val="0"/>
      <w:marRight w:val="0"/>
      <w:marTop w:val="0"/>
      <w:marBottom w:val="0"/>
      <w:divBdr>
        <w:top w:val="none" w:sz="0" w:space="0" w:color="auto"/>
        <w:left w:val="none" w:sz="0" w:space="0" w:color="auto"/>
        <w:bottom w:val="none" w:sz="0" w:space="0" w:color="auto"/>
        <w:right w:val="none" w:sz="0" w:space="0" w:color="auto"/>
      </w:divBdr>
    </w:div>
    <w:div w:id="438792719">
      <w:bodyDiv w:val="1"/>
      <w:marLeft w:val="0"/>
      <w:marRight w:val="0"/>
      <w:marTop w:val="0"/>
      <w:marBottom w:val="0"/>
      <w:divBdr>
        <w:top w:val="none" w:sz="0" w:space="0" w:color="auto"/>
        <w:left w:val="none" w:sz="0" w:space="0" w:color="auto"/>
        <w:bottom w:val="none" w:sz="0" w:space="0" w:color="auto"/>
        <w:right w:val="none" w:sz="0" w:space="0" w:color="auto"/>
      </w:divBdr>
    </w:div>
    <w:div w:id="438961249">
      <w:bodyDiv w:val="1"/>
      <w:marLeft w:val="0"/>
      <w:marRight w:val="0"/>
      <w:marTop w:val="0"/>
      <w:marBottom w:val="0"/>
      <w:divBdr>
        <w:top w:val="none" w:sz="0" w:space="0" w:color="auto"/>
        <w:left w:val="none" w:sz="0" w:space="0" w:color="auto"/>
        <w:bottom w:val="none" w:sz="0" w:space="0" w:color="auto"/>
        <w:right w:val="none" w:sz="0" w:space="0" w:color="auto"/>
      </w:divBdr>
    </w:div>
    <w:div w:id="447628818">
      <w:bodyDiv w:val="1"/>
      <w:marLeft w:val="0"/>
      <w:marRight w:val="0"/>
      <w:marTop w:val="0"/>
      <w:marBottom w:val="0"/>
      <w:divBdr>
        <w:top w:val="none" w:sz="0" w:space="0" w:color="auto"/>
        <w:left w:val="none" w:sz="0" w:space="0" w:color="auto"/>
        <w:bottom w:val="none" w:sz="0" w:space="0" w:color="auto"/>
        <w:right w:val="none" w:sz="0" w:space="0" w:color="auto"/>
      </w:divBdr>
    </w:div>
    <w:div w:id="448936802">
      <w:bodyDiv w:val="1"/>
      <w:marLeft w:val="0"/>
      <w:marRight w:val="0"/>
      <w:marTop w:val="0"/>
      <w:marBottom w:val="0"/>
      <w:divBdr>
        <w:top w:val="none" w:sz="0" w:space="0" w:color="auto"/>
        <w:left w:val="none" w:sz="0" w:space="0" w:color="auto"/>
        <w:bottom w:val="none" w:sz="0" w:space="0" w:color="auto"/>
        <w:right w:val="none" w:sz="0" w:space="0" w:color="auto"/>
      </w:divBdr>
    </w:div>
    <w:div w:id="452985348">
      <w:bodyDiv w:val="1"/>
      <w:marLeft w:val="0"/>
      <w:marRight w:val="0"/>
      <w:marTop w:val="0"/>
      <w:marBottom w:val="0"/>
      <w:divBdr>
        <w:top w:val="none" w:sz="0" w:space="0" w:color="auto"/>
        <w:left w:val="none" w:sz="0" w:space="0" w:color="auto"/>
        <w:bottom w:val="none" w:sz="0" w:space="0" w:color="auto"/>
        <w:right w:val="none" w:sz="0" w:space="0" w:color="auto"/>
      </w:divBdr>
    </w:div>
    <w:div w:id="455224009">
      <w:bodyDiv w:val="1"/>
      <w:marLeft w:val="0"/>
      <w:marRight w:val="0"/>
      <w:marTop w:val="0"/>
      <w:marBottom w:val="0"/>
      <w:divBdr>
        <w:top w:val="none" w:sz="0" w:space="0" w:color="auto"/>
        <w:left w:val="none" w:sz="0" w:space="0" w:color="auto"/>
        <w:bottom w:val="none" w:sz="0" w:space="0" w:color="auto"/>
        <w:right w:val="none" w:sz="0" w:space="0" w:color="auto"/>
      </w:divBdr>
    </w:div>
    <w:div w:id="480384836">
      <w:bodyDiv w:val="1"/>
      <w:marLeft w:val="0"/>
      <w:marRight w:val="0"/>
      <w:marTop w:val="0"/>
      <w:marBottom w:val="0"/>
      <w:divBdr>
        <w:top w:val="none" w:sz="0" w:space="0" w:color="auto"/>
        <w:left w:val="none" w:sz="0" w:space="0" w:color="auto"/>
        <w:bottom w:val="none" w:sz="0" w:space="0" w:color="auto"/>
        <w:right w:val="none" w:sz="0" w:space="0" w:color="auto"/>
      </w:divBdr>
    </w:div>
    <w:div w:id="509611232">
      <w:bodyDiv w:val="1"/>
      <w:marLeft w:val="0"/>
      <w:marRight w:val="0"/>
      <w:marTop w:val="0"/>
      <w:marBottom w:val="0"/>
      <w:divBdr>
        <w:top w:val="none" w:sz="0" w:space="0" w:color="auto"/>
        <w:left w:val="none" w:sz="0" w:space="0" w:color="auto"/>
        <w:bottom w:val="none" w:sz="0" w:space="0" w:color="auto"/>
        <w:right w:val="none" w:sz="0" w:space="0" w:color="auto"/>
      </w:divBdr>
    </w:div>
    <w:div w:id="514000892">
      <w:bodyDiv w:val="1"/>
      <w:marLeft w:val="0"/>
      <w:marRight w:val="0"/>
      <w:marTop w:val="0"/>
      <w:marBottom w:val="0"/>
      <w:divBdr>
        <w:top w:val="none" w:sz="0" w:space="0" w:color="auto"/>
        <w:left w:val="none" w:sz="0" w:space="0" w:color="auto"/>
        <w:bottom w:val="none" w:sz="0" w:space="0" w:color="auto"/>
        <w:right w:val="none" w:sz="0" w:space="0" w:color="auto"/>
      </w:divBdr>
    </w:div>
    <w:div w:id="516820312">
      <w:bodyDiv w:val="1"/>
      <w:marLeft w:val="0"/>
      <w:marRight w:val="0"/>
      <w:marTop w:val="0"/>
      <w:marBottom w:val="0"/>
      <w:divBdr>
        <w:top w:val="none" w:sz="0" w:space="0" w:color="auto"/>
        <w:left w:val="none" w:sz="0" w:space="0" w:color="auto"/>
        <w:bottom w:val="none" w:sz="0" w:space="0" w:color="auto"/>
        <w:right w:val="none" w:sz="0" w:space="0" w:color="auto"/>
      </w:divBdr>
    </w:div>
    <w:div w:id="523058669">
      <w:bodyDiv w:val="1"/>
      <w:marLeft w:val="0"/>
      <w:marRight w:val="0"/>
      <w:marTop w:val="0"/>
      <w:marBottom w:val="0"/>
      <w:divBdr>
        <w:top w:val="none" w:sz="0" w:space="0" w:color="auto"/>
        <w:left w:val="none" w:sz="0" w:space="0" w:color="auto"/>
        <w:bottom w:val="none" w:sz="0" w:space="0" w:color="auto"/>
        <w:right w:val="none" w:sz="0" w:space="0" w:color="auto"/>
      </w:divBdr>
      <w:divsChild>
        <w:div w:id="1769891521">
          <w:marLeft w:val="0"/>
          <w:marRight w:val="0"/>
          <w:marTop w:val="0"/>
          <w:marBottom w:val="0"/>
          <w:divBdr>
            <w:top w:val="none" w:sz="0" w:space="0" w:color="auto"/>
            <w:left w:val="none" w:sz="0" w:space="0" w:color="auto"/>
            <w:bottom w:val="none" w:sz="0" w:space="0" w:color="auto"/>
            <w:right w:val="none" w:sz="0" w:space="0" w:color="auto"/>
          </w:divBdr>
          <w:divsChild>
            <w:div w:id="2071347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33701">
      <w:bodyDiv w:val="1"/>
      <w:marLeft w:val="0"/>
      <w:marRight w:val="0"/>
      <w:marTop w:val="0"/>
      <w:marBottom w:val="0"/>
      <w:divBdr>
        <w:top w:val="none" w:sz="0" w:space="0" w:color="auto"/>
        <w:left w:val="none" w:sz="0" w:space="0" w:color="auto"/>
        <w:bottom w:val="none" w:sz="0" w:space="0" w:color="auto"/>
        <w:right w:val="none" w:sz="0" w:space="0" w:color="auto"/>
      </w:divBdr>
    </w:div>
    <w:div w:id="586618817">
      <w:bodyDiv w:val="1"/>
      <w:marLeft w:val="0"/>
      <w:marRight w:val="0"/>
      <w:marTop w:val="0"/>
      <w:marBottom w:val="0"/>
      <w:divBdr>
        <w:top w:val="none" w:sz="0" w:space="0" w:color="auto"/>
        <w:left w:val="none" w:sz="0" w:space="0" w:color="auto"/>
        <w:bottom w:val="none" w:sz="0" w:space="0" w:color="auto"/>
        <w:right w:val="none" w:sz="0" w:space="0" w:color="auto"/>
      </w:divBdr>
    </w:div>
    <w:div w:id="597295296">
      <w:bodyDiv w:val="1"/>
      <w:marLeft w:val="0"/>
      <w:marRight w:val="0"/>
      <w:marTop w:val="0"/>
      <w:marBottom w:val="0"/>
      <w:divBdr>
        <w:top w:val="none" w:sz="0" w:space="0" w:color="auto"/>
        <w:left w:val="none" w:sz="0" w:space="0" w:color="auto"/>
        <w:bottom w:val="none" w:sz="0" w:space="0" w:color="auto"/>
        <w:right w:val="none" w:sz="0" w:space="0" w:color="auto"/>
      </w:divBdr>
    </w:div>
    <w:div w:id="599485448">
      <w:bodyDiv w:val="1"/>
      <w:marLeft w:val="0"/>
      <w:marRight w:val="0"/>
      <w:marTop w:val="0"/>
      <w:marBottom w:val="0"/>
      <w:divBdr>
        <w:top w:val="none" w:sz="0" w:space="0" w:color="auto"/>
        <w:left w:val="none" w:sz="0" w:space="0" w:color="auto"/>
        <w:bottom w:val="none" w:sz="0" w:space="0" w:color="auto"/>
        <w:right w:val="none" w:sz="0" w:space="0" w:color="auto"/>
      </w:divBdr>
    </w:div>
    <w:div w:id="603731758">
      <w:bodyDiv w:val="1"/>
      <w:marLeft w:val="0"/>
      <w:marRight w:val="0"/>
      <w:marTop w:val="0"/>
      <w:marBottom w:val="0"/>
      <w:divBdr>
        <w:top w:val="none" w:sz="0" w:space="0" w:color="auto"/>
        <w:left w:val="none" w:sz="0" w:space="0" w:color="auto"/>
        <w:bottom w:val="none" w:sz="0" w:space="0" w:color="auto"/>
        <w:right w:val="none" w:sz="0" w:space="0" w:color="auto"/>
      </w:divBdr>
    </w:div>
    <w:div w:id="609095418">
      <w:bodyDiv w:val="1"/>
      <w:marLeft w:val="0"/>
      <w:marRight w:val="0"/>
      <w:marTop w:val="0"/>
      <w:marBottom w:val="0"/>
      <w:divBdr>
        <w:top w:val="none" w:sz="0" w:space="0" w:color="auto"/>
        <w:left w:val="none" w:sz="0" w:space="0" w:color="auto"/>
        <w:bottom w:val="none" w:sz="0" w:space="0" w:color="auto"/>
        <w:right w:val="none" w:sz="0" w:space="0" w:color="auto"/>
      </w:divBdr>
    </w:div>
    <w:div w:id="615256252">
      <w:bodyDiv w:val="1"/>
      <w:marLeft w:val="0"/>
      <w:marRight w:val="0"/>
      <w:marTop w:val="0"/>
      <w:marBottom w:val="0"/>
      <w:divBdr>
        <w:top w:val="none" w:sz="0" w:space="0" w:color="auto"/>
        <w:left w:val="none" w:sz="0" w:space="0" w:color="auto"/>
        <w:bottom w:val="none" w:sz="0" w:space="0" w:color="auto"/>
        <w:right w:val="none" w:sz="0" w:space="0" w:color="auto"/>
      </w:divBdr>
    </w:div>
    <w:div w:id="622343576">
      <w:bodyDiv w:val="1"/>
      <w:marLeft w:val="0"/>
      <w:marRight w:val="0"/>
      <w:marTop w:val="0"/>
      <w:marBottom w:val="0"/>
      <w:divBdr>
        <w:top w:val="none" w:sz="0" w:space="0" w:color="auto"/>
        <w:left w:val="none" w:sz="0" w:space="0" w:color="auto"/>
        <w:bottom w:val="none" w:sz="0" w:space="0" w:color="auto"/>
        <w:right w:val="none" w:sz="0" w:space="0" w:color="auto"/>
      </w:divBdr>
    </w:div>
    <w:div w:id="638268238">
      <w:bodyDiv w:val="1"/>
      <w:marLeft w:val="0"/>
      <w:marRight w:val="0"/>
      <w:marTop w:val="0"/>
      <w:marBottom w:val="0"/>
      <w:divBdr>
        <w:top w:val="none" w:sz="0" w:space="0" w:color="auto"/>
        <w:left w:val="none" w:sz="0" w:space="0" w:color="auto"/>
        <w:bottom w:val="none" w:sz="0" w:space="0" w:color="auto"/>
        <w:right w:val="none" w:sz="0" w:space="0" w:color="auto"/>
      </w:divBdr>
    </w:div>
    <w:div w:id="661743035">
      <w:bodyDiv w:val="1"/>
      <w:marLeft w:val="0"/>
      <w:marRight w:val="0"/>
      <w:marTop w:val="0"/>
      <w:marBottom w:val="0"/>
      <w:divBdr>
        <w:top w:val="none" w:sz="0" w:space="0" w:color="auto"/>
        <w:left w:val="none" w:sz="0" w:space="0" w:color="auto"/>
        <w:bottom w:val="none" w:sz="0" w:space="0" w:color="auto"/>
        <w:right w:val="none" w:sz="0" w:space="0" w:color="auto"/>
      </w:divBdr>
    </w:div>
    <w:div w:id="666398215">
      <w:bodyDiv w:val="1"/>
      <w:marLeft w:val="0"/>
      <w:marRight w:val="0"/>
      <w:marTop w:val="0"/>
      <w:marBottom w:val="0"/>
      <w:divBdr>
        <w:top w:val="none" w:sz="0" w:space="0" w:color="auto"/>
        <w:left w:val="none" w:sz="0" w:space="0" w:color="auto"/>
        <w:bottom w:val="none" w:sz="0" w:space="0" w:color="auto"/>
        <w:right w:val="none" w:sz="0" w:space="0" w:color="auto"/>
      </w:divBdr>
    </w:div>
    <w:div w:id="672491947">
      <w:bodyDiv w:val="1"/>
      <w:marLeft w:val="0"/>
      <w:marRight w:val="0"/>
      <w:marTop w:val="0"/>
      <w:marBottom w:val="0"/>
      <w:divBdr>
        <w:top w:val="none" w:sz="0" w:space="0" w:color="auto"/>
        <w:left w:val="none" w:sz="0" w:space="0" w:color="auto"/>
        <w:bottom w:val="none" w:sz="0" w:space="0" w:color="auto"/>
        <w:right w:val="none" w:sz="0" w:space="0" w:color="auto"/>
      </w:divBdr>
    </w:div>
    <w:div w:id="672683641">
      <w:bodyDiv w:val="1"/>
      <w:marLeft w:val="0"/>
      <w:marRight w:val="0"/>
      <w:marTop w:val="0"/>
      <w:marBottom w:val="0"/>
      <w:divBdr>
        <w:top w:val="none" w:sz="0" w:space="0" w:color="auto"/>
        <w:left w:val="none" w:sz="0" w:space="0" w:color="auto"/>
        <w:bottom w:val="none" w:sz="0" w:space="0" w:color="auto"/>
        <w:right w:val="none" w:sz="0" w:space="0" w:color="auto"/>
      </w:divBdr>
    </w:div>
    <w:div w:id="678853655">
      <w:bodyDiv w:val="1"/>
      <w:marLeft w:val="0"/>
      <w:marRight w:val="0"/>
      <w:marTop w:val="0"/>
      <w:marBottom w:val="0"/>
      <w:divBdr>
        <w:top w:val="none" w:sz="0" w:space="0" w:color="auto"/>
        <w:left w:val="none" w:sz="0" w:space="0" w:color="auto"/>
        <w:bottom w:val="none" w:sz="0" w:space="0" w:color="auto"/>
        <w:right w:val="none" w:sz="0" w:space="0" w:color="auto"/>
      </w:divBdr>
    </w:div>
    <w:div w:id="679359037">
      <w:bodyDiv w:val="1"/>
      <w:marLeft w:val="0"/>
      <w:marRight w:val="0"/>
      <w:marTop w:val="0"/>
      <w:marBottom w:val="0"/>
      <w:divBdr>
        <w:top w:val="none" w:sz="0" w:space="0" w:color="auto"/>
        <w:left w:val="none" w:sz="0" w:space="0" w:color="auto"/>
        <w:bottom w:val="none" w:sz="0" w:space="0" w:color="auto"/>
        <w:right w:val="none" w:sz="0" w:space="0" w:color="auto"/>
      </w:divBdr>
    </w:div>
    <w:div w:id="684479698">
      <w:bodyDiv w:val="1"/>
      <w:marLeft w:val="0"/>
      <w:marRight w:val="0"/>
      <w:marTop w:val="0"/>
      <w:marBottom w:val="0"/>
      <w:divBdr>
        <w:top w:val="none" w:sz="0" w:space="0" w:color="auto"/>
        <w:left w:val="none" w:sz="0" w:space="0" w:color="auto"/>
        <w:bottom w:val="none" w:sz="0" w:space="0" w:color="auto"/>
        <w:right w:val="none" w:sz="0" w:space="0" w:color="auto"/>
      </w:divBdr>
      <w:divsChild>
        <w:div w:id="1839732989">
          <w:marLeft w:val="0"/>
          <w:marRight w:val="0"/>
          <w:marTop w:val="0"/>
          <w:marBottom w:val="0"/>
          <w:divBdr>
            <w:top w:val="none" w:sz="0" w:space="0" w:color="auto"/>
            <w:left w:val="none" w:sz="0" w:space="0" w:color="auto"/>
            <w:bottom w:val="none" w:sz="0" w:space="0" w:color="auto"/>
            <w:right w:val="none" w:sz="0" w:space="0" w:color="auto"/>
          </w:divBdr>
          <w:divsChild>
            <w:div w:id="82871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7432600">
      <w:bodyDiv w:val="1"/>
      <w:marLeft w:val="0"/>
      <w:marRight w:val="0"/>
      <w:marTop w:val="0"/>
      <w:marBottom w:val="0"/>
      <w:divBdr>
        <w:top w:val="none" w:sz="0" w:space="0" w:color="auto"/>
        <w:left w:val="none" w:sz="0" w:space="0" w:color="auto"/>
        <w:bottom w:val="none" w:sz="0" w:space="0" w:color="auto"/>
        <w:right w:val="none" w:sz="0" w:space="0" w:color="auto"/>
      </w:divBdr>
      <w:divsChild>
        <w:div w:id="1321738727">
          <w:marLeft w:val="0"/>
          <w:marRight w:val="0"/>
          <w:marTop w:val="0"/>
          <w:marBottom w:val="0"/>
          <w:divBdr>
            <w:top w:val="none" w:sz="0" w:space="0" w:color="auto"/>
            <w:left w:val="none" w:sz="0" w:space="0" w:color="auto"/>
            <w:bottom w:val="none" w:sz="0" w:space="0" w:color="auto"/>
            <w:right w:val="none" w:sz="0" w:space="0" w:color="auto"/>
          </w:divBdr>
        </w:div>
      </w:divsChild>
    </w:div>
    <w:div w:id="734008319">
      <w:bodyDiv w:val="1"/>
      <w:marLeft w:val="0"/>
      <w:marRight w:val="0"/>
      <w:marTop w:val="0"/>
      <w:marBottom w:val="0"/>
      <w:divBdr>
        <w:top w:val="none" w:sz="0" w:space="0" w:color="auto"/>
        <w:left w:val="none" w:sz="0" w:space="0" w:color="auto"/>
        <w:bottom w:val="none" w:sz="0" w:space="0" w:color="auto"/>
        <w:right w:val="none" w:sz="0" w:space="0" w:color="auto"/>
      </w:divBdr>
    </w:div>
    <w:div w:id="741025995">
      <w:bodyDiv w:val="1"/>
      <w:marLeft w:val="0"/>
      <w:marRight w:val="0"/>
      <w:marTop w:val="0"/>
      <w:marBottom w:val="0"/>
      <w:divBdr>
        <w:top w:val="none" w:sz="0" w:space="0" w:color="auto"/>
        <w:left w:val="none" w:sz="0" w:space="0" w:color="auto"/>
        <w:bottom w:val="none" w:sz="0" w:space="0" w:color="auto"/>
        <w:right w:val="none" w:sz="0" w:space="0" w:color="auto"/>
      </w:divBdr>
    </w:div>
    <w:div w:id="799612447">
      <w:bodyDiv w:val="1"/>
      <w:marLeft w:val="0"/>
      <w:marRight w:val="0"/>
      <w:marTop w:val="0"/>
      <w:marBottom w:val="0"/>
      <w:divBdr>
        <w:top w:val="none" w:sz="0" w:space="0" w:color="auto"/>
        <w:left w:val="none" w:sz="0" w:space="0" w:color="auto"/>
        <w:bottom w:val="none" w:sz="0" w:space="0" w:color="auto"/>
        <w:right w:val="none" w:sz="0" w:space="0" w:color="auto"/>
      </w:divBdr>
    </w:div>
    <w:div w:id="801459287">
      <w:bodyDiv w:val="1"/>
      <w:marLeft w:val="0"/>
      <w:marRight w:val="0"/>
      <w:marTop w:val="0"/>
      <w:marBottom w:val="0"/>
      <w:divBdr>
        <w:top w:val="none" w:sz="0" w:space="0" w:color="auto"/>
        <w:left w:val="none" w:sz="0" w:space="0" w:color="auto"/>
        <w:bottom w:val="none" w:sz="0" w:space="0" w:color="auto"/>
        <w:right w:val="none" w:sz="0" w:space="0" w:color="auto"/>
      </w:divBdr>
    </w:div>
    <w:div w:id="848787491">
      <w:bodyDiv w:val="1"/>
      <w:marLeft w:val="0"/>
      <w:marRight w:val="0"/>
      <w:marTop w:val="0"/>
      <w:marBottom w:val="0"/>
      <w:divBdr>
        <w:top w:val="none" w:sz="0" w:space="0" w:color="auto"/>
        <w:left w:val="none" w:sz="0" w:space="0" w:color="auto"/>
        <w:bottom w:val="none" w:sz="0" w:space="0" w:color="auto"/>
        <w:right w:val="none" w:sz="0" w:space="0" w:color="auto"/>
      </w:divBdr>
    </w:div>
    <w:div w:id="849224913">
      <w:bodyDiv w:val="1"/>
      <w:marLeft w:val="0"/>
      <w:marRight w:val="0"/>
      <w:marTop w:val="0"/>
      <w:marBottom w:val="0"/>
      <w:divBdr>
        <w:top w:val="none" w:sz="0" w:space="0" w:color="auto"/>
        <w:left w:val="none" w:sz="0" w:space="0" w:color="auto"/>
        <w:bottom w:val="none" w:sz="0" w:space="0" w:color="auto"/>
        <w:right w:val="none" w:sz="0" w:space="0" w:color="auto"/>
      </w:divBdr>
    </w:div>
    <w:div w:id="862595312">
      <w:bodyDiv w:val="1"/>
      <w:marLeft w:val="0"/>
      <w:marRight w:val="0"/>
      <w:marTop w:val="0"/>
      <w:marBottom w:val="0"/>
      <w:divBdr>
        <w:top w:val="none" w:sz="0" w:space="0" w:color="auto"/>
        <w:left w:val="none" w:sz="0" w:space="0" w:color="auto"/>
        <w:bottom w:val="none" w:sz="0" w:space="0" w:color="auto"/>
        <w:right w:val="none" w:sz="0" w:space="0" w:color="auto"/>
      </w:divBdr>
    </w:div>
    <w:div w:id="870654370">
      <w:bodyDiv w:val="1"/>
      <w:marLeft w:val="0"/>
      <w:marRight w:val="0"/>
      <w:marTop w:val="0"/>
      <w:marBottom w:val="0"/>
      <w:divBdr>
        <w:top w:val="none" w:sz="0" w:space="0" w:color="auto"/>
        <w:left w:val="none" w:sz="0" w:space="0" w:color="auto"/>
        <w:bottom w:val="none" w:sz="0" w:space="0" w:color="auto"/>
        <w:right w:val="none" w:sz="0" w:space="0" w:color="auto"/>
      </w:divBdr>
      <w:divsChild>
        <w:div w:id="643314246">
          <w:marLeft w:val="0"/>
          <w:marRight w:val="0"/>
          <w:marTop w:val="0"/>
          <w:marBottom w:val="0"/>
          <w:divBdr>
            <w:top w:val="none" w:sz="0" w:space="0" w:color="auto"/>
            <w:left w:val="none" w:sz="0" w:space="0" w:color="auto"/>
            <w:bottom w:val="none" w:sz="0" w:space="0" w:color="auto"/>
            <w:right w:val="none" w:sz="0" w:space="0" w:color="auto"/>
          </w:divBdr>
          <w:divsChild>
            <w:div w:id="887717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867217">
      <w:bodyDiv w:val="1"/>
      <w:marLeft w:val="0"/>
      <w:marRight w:val="0"/>
      <w:marTop w:val="0"/>
      <w:marBottom w:val="0"/>
      <w:divBdr>
        <w:top w:val="none" w:sz="0" w:space="0" w:color="auto"/>
        <w:left w:val="none" w:sz="0" w:space="0" w:color="auto"/>
        <w:bottom w:val="none" w:sz="0" w:space="0" w:color="auto"/>
        <w:right w:val="none" w:sz="0" w:space="0" w:color="auto"/>
      </w:divBdr>
    </w:div>
    <w:div w:id="882523590">
      <w:bodyDiv w:val="1"/>
      <w:marLeft w:val="0"/>
      <w:marRight w:val="0"/>
      <w:marTop w:val="0"/>
      <w:marBottom w:val="0"/>
      <w:divBdr>
        <w:top w:val="none" w:sz="0" w:space="0" w:color="auto"/>
        <w:left w:val="none" w:sz="0" w:space="0" w:color="auto"/>
        <w:bottom w:val="none" w:sz="0" w:space="0" w:color="auto"/>
        <w:right w:val="none" w:sz="0" w:space="0" w:color="auto"/>
      </w:divBdr>
    </w:div>
    <w:div w:id="898052828">
      <w:bodyDiv w:val="1"/>
      <w:marLeft w:val="0"/>
      <w:marRight w:val="0"/>
      <w:marTop w:val="0"/>
      <w:marBottom w:val="0"/>
      <w:divBdr>
        <w:top w:val="none" w:sz="0" w:space="0" w:color="auto"/>
        <w:left w:val="none" w:sz="0" w:space="0" w:color="auto"/>
        <w:bottom w:val="none" w:sz="0" w:space="0" w:color="auto"/>
        <w:right w:val="none" w:sz="0" w:space="0" w:color="auto"/>
      </w:divBdr>
      <w:divsChild>
        <w:div w:id="1019939125">
          <w:marLeft w:val="0"/>
          <w:marRight w:val="0"/>
          <w:marTop w:val="0"/>
          <w:marBottom w:val="0"/>
          <w:divBdr>
            <w:top w:val="none" w:sz="0" w:space="0" w:color="auto"/>
            <w:left w:val="none" w:sz="0" w:space="0" w:color="auto"/>
            <w:bottom w:val="none" w:sz="0" w:space="0" w:color="auto"/>
            <w:right w:val="none" w:sz="0" w:space="0" w:color="auto"/>
          </w:divBdr>
          <w:divsChild>
            <w:div w:id="409500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344545">
      <w:bodyDiv w:val="1"/>
      <w:marLeft w:val="0"/>
      <w:marRight w:val="0"/>
      <w:marTop w:val="0"/>
      <w:marBottom w:val="0"/>
      <w:divBdr>
        <w:top w:val="none" w:sz="0" w:space="0" w:color="auto"/>
        <w:left w:val="none" w:sz="0" w:space="0" w:color="auto"/>
        <w:bottom w:val="none" w:sz="0" w:space="0" w:color="auto"/>
        <w:right w:val="none" w:sz="0" w:space="0" w:color="auto"/>
      </w:divBdr>
    </w:div>
    <w:div w:id="913517278">
      <w:bodyDiv w:val="1"/>
      <w:marLeft w:val="0"/>
      <w:marRight w:val="0"/>
      <w:marTop w:val="0"/>
      <w:marBottom w:val="0"/>
      <w:divBdr>
        <w:top w:val="none" w:sz="0" w:space="0" w:color="auto"/>
        <w:left w:val="none" w:sz="0" w:space="0" w:color="auto"/>
        <w:bottom w:val="none" w:sz="0" w:space="0" w:color="auto"/>
        <w:right w:val="none" w:sz="0" w:space="0" w:color="auto"/>
      </w:divBdr>
    </w:div>
    <w:div w:id="930048442">
      <w:bodyDiv w:val="1"/>
      <w:marLeft w:val="0"/>
      <w:marRight w:val="0"/>
      <w:marTop w:val="0"/>
      <w:marBottom w:val="0"/>
      <w:divBdr>
        <w:top w:val="none" w:sz="0" w:space="0" w:color="auto"/>
        <w:left w:val="none" w:sz="0" w:space="0" w:color="auto"/>
        <w:bottom w:val="none" w:sz="0" w:space="0" w:color="auto"/>
        <w:right w:val="none" w:sz="0" w:space="0" w:color="auto"/>
      </w:divBdr>
    </w:div>
    <w:div w:id="939408091">
      <w:bodyDiv w:val="1"/>
      <w:marLeft w:val="0"/>
      <w:marRight w:val="0"/>
      <w:marTop w:val="0"/>
      <w:marBottom w:val="0"/>
      <w:divBdr>
        <w:top w:val="none" w:sz="0" w:space="0" w:color="auto"/>
        <w:left w:val="none" w:sz="0" w:space="0" w:color="auto"/>
        <w:bottom w:val="none" w:sz="0" w:space="0" w:color="auto"/>
        <w:right w:val="none" w:sz="0" w:space="0" w:color="auto"/>
      </w:divBdr>
    </w:div>
    <w:div w:id="953050682">
      <w:bodyDiv w:val="1"/>
      <w:marLeft w:val="0"/>
      <w:marRight w:val="0"/>
      <w:marTop w:val="0"/>
      <w:marBottom w:val="0"/>
      <w:divBdr>
        <w:top w:val="none" w:sz="0" w:space="0" w:color="auto"/>
        <w:left w:val="none" w:sz="0" w:space="0" w:color="auto"/>
        <w:bottom w:val="none" w:sz="0" w:space="0" w:color="auto"/>
        <w:right w:val="none" w:sz="0" w:space="0" w:color="auto"/>
      </w:divBdr>
    </w:div>
    <w:div w:id="954941838">
      <w:bodyDiv w:val="1"/>
      <w:marLeft w:val="0"/>
      <w:marRight w:val="0"/>
      <w:marTop w:val="0"/>
      <w:marBottom w:val="0"/>
      <w:divBdr>
        <w:top w:val="none" w:sz="0" w:space="0" w:color="auto"/>
        <w:left w:val="none" w:sz="0" w:space="0" w:color="auto"/>
        <w:bottom w:val="none" w:sz="0" w:space="0" w:color="auto"/>
        <w:right w:val="none" w:sz="0" w:space="0" w:color="auto"/>
      </w:divBdr>
    </w:div>
    <w:div w:id="958679353">
      <w:bodyDiv w:val="1"/>
      <w:marLeft w:val="0"/>
      <w:marRight w:val="0"/>
      <w:marTop w:val="0"/>
      <w:marBottom w:val="0"/>
      <w:divBdr>
        <w:top w:val="none" w:sz="0" w:space="0" w:color="auto"/>
        <w:left w:val="none" w:sz="0" w:space="0" w:color="auto"/>
        <w:bottom w:val="none" w:sz="0" w:space="0" w:color="auto"/>
        <w:right w:val="none" w:sz="0" w:space="0" w:color="auto"/>
      </w:divBdr>
    </w:div>
    <w:div w:id="962811677">
      <w:bodyDiv w:val="1"/>
      <w:marLeft w:val="0"/>
      <w:marRight w:val="0"/>
      <w:marTop w:val="0"/>
      <w:marBottom w:val="0"/>
      <w:divBdr>
        <w:top w:val="none" w:sz="0" w:space="0" w:color="auto"/>
        <w:left w:val="none" w:sz="0" w:space="0" w:color="auto"/>
        <w:bottom w:val="none" w:sz="0" w:space="0" w:color="auto"/>
        <w:right w:val="none" w:sz="0" w:space="0" w:color="auto"/>
      </w:divBdr>
    </w:div>
    <w:div w:id="963119770">
      <w:bodyDiv w:val="1"/>
      <w:marLeft w:val="0"/>
      <w:marRight w:val="0"/>
      <w:marTop w:val="0"/>
      <w:marBottom w:val="0"/>
      <w:divBdr>
        <w:top w:val="none" w:sz="0" w:space="0" w:color="auto"/>
        <w:left w:val="none" w:sz="0" w:space="0" w:color="auto"/>
        <w:bottom w:val="none" w:sz="0" w:space="0" w:color="auto"/>
        <w:right w:val="none" w:sz="0" w:space="0" w:color="auto"/>
      </w:divBdr>
    </w:div>
    <w:div w:id="1016812649">
      <w:bodyDiv w:val="1"/>
      <w:marLeft w:val="0"/>
      <w:marRight w:val="0"/>
      <w:marTop w:val="0"/>
      <w:marBottom w:val="0"/>
      <w:divBdr>
        <w:top w:val="none" w:sz="0" w:space="0" w:color="auto"/>
        <w:left w:val="none" w:sz="0" w:space="0" w:color="auto"/>
        <w:bottom w:val="none" w:sz="0" w:space="0" w:color="auto"/>
        <w:right w:val="none" w:sz="0" w:space="0" w:color="auto"/>
      </w:divBdr>
    </w:div>
    <w:div w:id="1035036105">
      <w:bodyDiv w:val="1"/>
      <w:marLeft w:val="0"/>
      <w:marRight w:val="0"/>
      <w:marTop w:val="0"/>
      <w:marBottom w:val="0"/>
      <w:divBdr>
        <w:top w:val="none" w:sz="0" w:space="0" w:color="auto"/>
        <w:left w:val="none" w:sz="0" w:space="0" w:color="auto"/>
        <w:bottom w:val="none" w:sz="0" w:space="0" w:color="auto"/>
        <w:right w:val="none" w:sz="0" w:space="0" w:color="auto"/>
      </w:divBdr>
    </w:div>
    <w:div w:id="1037854092">
      <w:bodyDiv w:val="1"/>
      <w:marLeft w:val="0"/>
      <w:marRight w:val="0"/>
      <w:marTop w:val="0"/>
      <w:marBottom w:val="0"/>
      <w:divBdr>
        <w:top w:val="none" w:sz="0" w:space="0" w:color="auto"/>
        <w:left w:val="none" w:sz="0" w:space="0" w:color="auto"/>
        <w:bottom w:val="none" w:sz="0" w:space="0" w:color="auto"/>
        <w:right w:val="none" w:sz="0" w:space="0" w:color="auto"/>
      </w:divBdr>
    </w:div>
    <w:div w:id="1041588748">
      <w:bodyDiv w:val="1"/>
      <w:marLeft w:val="0"/>
      <w:marRight w:val="0"/>
      <w:marTop w:val="0"/>
      <w:marBottom w:val="0"/>
      <w:divBdr>
        <w:top w:val="none" w:sz="0" w:space="0" w:color="auto"/>
        <w:left w:val="none" w:sz="0" w:space="0" w:color="auto"/>
        <w:bottom w:val="none" w:sz="0" w:space="0" w:color="auto"/>
        <w:right w:val="none" w:sz="0" w:space="0" w:color="auto"/>
      </w:divBdr>
    </w:div>
    <w:div w:id="1045644872">
      <w:bodyDiv w:val="1"/>
      <w:marLeft w:val="0"/>
      <w:marRight w:val="0"/>
      <w:marTop w:val="0"/>
      <w:marBottom w:val="0"/>
      <w:divBdr>
        <w:top w:val="none" w:sz="0" w:space="0" w:color="auto"/>
        <w:left w:val="none" w:sz="0" w:space="0" w:color="auto"/>
        <w:bottom w:val="none" w:sz="0" w:space="0" w:color="auto"/>
        <w:right w:val="none" w:sz="0" w:space="0" w:color="auto"/>
      </w:divBdr>
    </w:div>
    <w:div w:id="1053190718">
      <w:bodyDiv w:val="1"/>
      <w:marLeft w:val="0"/>
      <w:marRight w:val="0"/>
      <w:marTop w:val="0"/>
      <w:marBottom w:val="0"/>
      <w:divBdr>
        <w:top w:val="none" w:sz="0" w:space="0" w:color="auto"/>
        <w:left w:val="none" w:sz="0" w:space="0" w:color="auto"/>
        <w:bottom w:val="none" w:sz="0" w:space="0" w:color="auto"/>
        <w:right w:val="none" w:sz="0" w:space="0" w:color="auto"/>
      </w:divBdr>
    </w:div>
    <w:div w:id="1061052953">
      <w:bodyDiv w:val="1"/>
      <w:marLeft w:val="0"/>
      <w:marRight w:val="0"/>
      <w:marTop w:val="0"/>
      <w:marBottom w:val="0"/>
      <w:divBdr>
        <w:top w:val="none" w:sz="0" w:space="0" w:color="auto"/>
        <w:left w:val="none" w:sz="0" w:space="0" w:color="auto"/>
        <w:bottom w:val="none" w:sz="0" w:space="0" w:color="auto"/>
        <w:right w:val="none" w:sz="0" w:space="0" w:color="auto"/>
      </w:divBdr>
    </w:div>
    <w:div w:id="1061977102">
      <w:bodyDiv w:val="1"/>
      <w:marLeft w:val="0"/>
      <w:marRight w:val="0"/>
      <w:marTop w:val="0"/>
      <w:marBottom w:val="0"/>
      <w:divBdr>
        <w:top w:val="none" w:sz="0" w:space="0" w:color="auto"/>
        <w:left w:val="none" w:sz="0" w:space="0" w:color="auto"/>
        <w:bottom w:val="none" w:sz="0" w:space="0" w:color="auto"/>
        <w:right w:val="none" w:sz="0" w:space="0" w:color="auto"/>
      </w:divBdr>
    </w:div>
    <w:div w:id="1071804606">
      <w:bodyDiv w:val="1"/>
      <w:marLeft w:val="0"/>
      <w:marRight w:val="0"/>
      <w:marTop w:val="0"/>
      <w:marBottom w:val="0"/>
      <w:divBdr>
        <w:top w:val="none" w:sz="0" w:space="0" w:color="auto"/>
        <w:left w:val="none" w:sz="0" w:space="0" w:color="auto"/>
        <w:bottom w:val="none" w:sz="0" w:space="0" w:color="auto"/>
        <w:right w:val="none" w:sz="0" w:space="0" w:color="auto"/>
      </w:divBdr>
    </w:div>
    <w:div w:id="1080907451">
      <w:bodyDiv w:val="1"/>
      <w:marLeft w:val="0"/>
      <w:marRight w:val="0"/>
      <w:marTop w:val="0"/>
      <w:marBottom w:val="0"/>
      <w:divBdr>
        <w:top w:val="none" w:sz="0" w:space="0" w:color="auto"/>
        <w:left w:val="none" w:sz="0" w:space="0" w:color="auto"/>
        <w:bottom w:val="none" w:sz="0" w:space="0" w:color="auto"/>
        <w:right w:val="none" w:sz="0" w:space="0" w:color="auto"/>
      </w:divBdr>
    </w:div>
    <w:div w:id="1095520950">
      <w:bodyDiv w:val="1"/>
      <w:marLeft w:val="0"/>
      <w:marRight w:val="0"/>
      <w:marTop w:val="0"/>
      <w:marBottom w:val="0"/>
      <w:divBdr>
        <w:top w:val="none" w:sz="0" w:space="0" w:color="auto"/>
        <w:left w:val="none" w:sz="0" w:space="0" w:color="auto"/>
        <w:bottom w:val="none" w:sz="0" w:space="0" w:color="auto"/>
        <w:right w:val="none" w:sz="0" w:space="0" w:color="auto"/>
      </w:divBdr>
    </w:div>
    <w:div w:id="1103839138">
      <w:bodyDiv w:val="1"/>
      <w:marLeft w:val="0"/>
      <w:marRight w:val="0"/>
      <w:marTop w:val="0"/>
      <w:marBottom w:val="0"/>
      <w:divBdr>
        <w:top w:val="none" w:sz="0" w:space="0" w:color="auto"/>
        <w:left w:val="none" w:sz="0" w:space="0" w:color="auto"/>
        <w:bottom w:val="none" w:sz="0" w:space="0" w:color="auto"/>
        <w:right w:val="none" w:sz="0" w:space="0" w:color="auto"/>
      </w:divBdr>
    </w:div>
    <w:div w:id="1115058422">
      <w:bodyDiv w:val="1"/>
      <w:marLeft w:val="0"/>
      <w:marRight w:val="0"/>
      <w:marTop w:val="0"/>
      <w:marBottom w:val="0"/>
      <w:divBdr>
        <w:top w:val="none" w:sz="0" w:space="0" w:color="auto"/>
        <w:left w:val="none" w:sz="0" w:space="0" w:color="auto"/>
        <w:bottom w:val="none" w:sz="0" w:space="0" w:color="auto"/>
        <w:right w:val="none" w:sz="0" w:space="0" w:color="auto"/>
      </w:divBdr>
    </w:div>
    <w:div w:id="1123840584">
      <w:bodyDiv w:val="1"/>
      <w:marLeft w:val="0"/>
      <w:marRight w:val="0"/>
      <w:marTop w:val="0"/>
      <w:marBottom w:val="0"/>
      <w:divBdr>
        <w:top w:val="none" w:sz="0" w:space="0" w:color="auto"/>
        <w:left w:val="none" w:sz="0" w:space="0" w:color="auto"/>
        <w:bottom w:val="none" w:sz="0" w:space="0" w:color="auto"/>
        <w:right w:val="none" w:sz="0" w:space="0" w:color="auto"/>
      </w:divBdr>
    </w:div>
    <w:div w:id="1124614635">
      <w:bodyDiv w:val="1"/>
      <w:marLeft w:val="0"/>
      <w:marRight w:val="0"/>
      <w:marTop w:val="0"/>
      <w:marBottom w:val="0"/>
      <w:divBdr>
        <w:top w:val="none" w:sz="0" w:space="0" w:color="auto"/>
        <w:left w:val="none" w:sz="0" w:space="0" w:color="auto"/>
        <w:bottom w:val="none" w:sz="0" w:space="0" w:color="auto"/>
        <w:right w:val="none" w:sz="0" w:space="0" w:color="auto"/>
      </w:divBdr>
    </w:div>
    <w:div w:id="1134952992">
      <w:bodyDiv w:val="1"/>
      <w:marLeft w:val="0"/>
      <w:marRight w:val="0"/>
      <w:marTop w:val="0"/>
      <w:marBottom w:val="0"/>
      <w:divBdr>
        <w:top w:val="none" w:sz="0" w:space="0" w:color="auto"/>
        <w:left w:val="none" w:sz="0" w:space="0" w:color="auto"/>
        <w:bottom w:val="none" w:sz="0" w:space="0" w:color="auto"/>
        <w:right w:val="none" w:sz="0" w:space="0" w:color="auto"/>
      </w:divBdr>
    </w:div>
    <w:div w:id="1146508980">
      <w:bodyDiv w:val="1"/>
      <w:marLeft w:val="0"/>
      <w:marRight w:val="0"/>
      <w:marTop w:val="0"/>
      <w:marBottom w:val="0"/>
      <w:divBdr>
        <w:top w:val="none" w:sz="0" w:space="0" w:color="auto"/>
        <w:left w:val="none" w:sz="0" w:space="0" w:color="auto"/>
        <w:bottom w:val="none" w:sz="0" w:space="0" w:color="auto"/>
        <w:right w:val="none" w:sz="0" w:space="0" w:color="auto"/>
      </w:divBdr>
    </w:div>
    <w:div w:id="1147936568">
      <w:bodyDiv w:val="1"/>
      <w:marLeft w:val="0"/>
      <w:marRight w:val="0"/>
      <w:marTop w:val="0"/>
      <w:marBottom w:val="0"/>
      <w:divBdr>
        <w:top w:val="none" w:sz="0" w:space="0" w:color="auto"/>
        <w:left w:val="none" w:sz="0" w:space="0" w:color="auto"/>
        <w:bottom w:val="none" w:sz="0" w:space="0" w:color="auto"/>
        <w:right w:val="none" w:sz="0" w:space="0" w:color="auto"/>
      </w:divBdr>
    </w:div>
    <w:div w:id="1149054604">
      <w:bodyDiv w:val="1"/>
      <w:marLeft w:val="0"/>
      <w:marRight w:val="0"/>
      <w:marTop w:val="0"/>
      <w:marBottom w:val="0"/>
      <w:divBdr>
        <w:top w:val="none" w:sz="0" w:space="0" w:color="auto"/>
        <w:left w:val="none" w:sz="0" w:space="0" w:color="auto"/>
        <w:bottom w:val="none" w:sz="0" w:space="0" w:color="auto"/>
        <w:right w:val="none" w:sz="0" w:space="0" w:color="auto"/>
      </w:divBdr>
    </w:div>
    <w:div w:id="1149127433">
      <w:bodyDiv w:val="1"/>
      <w:marLeft w:val="0"/>
      <w:marRight w:val="0"/>
      <w:marTop w:val="0"/>
      <w:marBottom w:val="0"/>
      <w:divBdr>
        <w:top w:val="none" w:sz="0" w:space="0" w:color="auto"/>
        <w:left w:val="none" w:sz="0" w:space="0" w:color="auto"/>
        <w:bottom w:val="none" w:sz="0" w:space="0" w:color="auto"/>
        <w:right w:val="none" w:sz="0" w:space="0" w:color="auto"/>
      </w:divBdr>
    </w:div>
    <w:div w:id="1152135109">
      <w:bodyDiv w:val="1"/>
      <w:marLeft w:val="0"/>
      <w:marRight w:val="0"/>
      <w:marTop w:val="0"/>
      <w:marBottom w:val="0"/>
      <w:divBdr>
        <w:top w:val="none" w:sz="0" w:space="0" w:color="auto"/>
        <w:left w:val="none" w:sz="0" w:space="0" w:color="auto"/>
        <w:bottom w:val="none" w:sz="0" w:space="0" w:color="auto"/>
        <w:right w:val="none" w:sz="0" w:space="0" w:color="auto"/>
      </w:divBdr>
    </w:div>
    <w:div w:id="1165779816">
      <w:bodyDiv w:val="1"/>
      <w:marLeft w:val="0"/>
      <w:marRight w:val="0"/>
      <w:marTop w:val="0"/>
      <w:marBottom w:val="0"/>
      <w:divBdr>
        <w:top w:val="none" w:sz="0" w:space="0" w:color="auto"/>
        <w:left w:val="none" w:sz="0" w:space="0" w:color="auto"/>
        <w:bottom w:val="none" w:sz="0" w:space="0" w:color="auto"/>
        <w:right w:val="none" w:sz="0" w:space="0" w:color="auto"/>
      </w:divBdr>
    </w:div>
    <w:div w:id="1174412814">
      <w:bodyDiv w:val="1"/>
      <w:marLeft w:val="0"/>
      <w:marRight w:val="0"/>
      <w:marTop w:val="0"/>
      <w:marBottom w:val="0"/>
      <w:divBdr>
        <w:top w:val="none" w:sz="0" w:space="0" w:color="auto"/>
        <w:left w:val="none" w:sz="0" w:space="0" w:color="auto"/>
        <w:bottom w:val="none" w:sz="0" w:space="0" w:color="auto"/>
        <w:right w:val="none" w:sz="0" w:space="0" w:color="auto"/>
      </w:divBdr>
    </w:div>
    <w:div w:id="1191608223">
      <w:bodyDiv w:val="1"/>
      <w:marLeft w:val="0"/>
      <w:marRight w:val="0"/>
      <w:marTop w:val="0"/>
      <w:marBottom w:val="0"/>
      <w:divBdr>
        <w:top w:val="none" w:sz="0" w:space="0" w:color="auto"/>
        <w:left w:val="none" w:sz="0" w:space="0" w:color="auto"/>
        <w:bottom w:val="none" w:sz="0" w:space="0" w:color="auto"/>
        <w:right w:val="none" w:sz="0" w:space="0" w:color="auto"/>
      </w:divBdr>
    </w:div>
    <w:div w:id="1193034624">
      <w:bodyDiv w:val="1"/>
      <w:marLeft w:val="0"/>
      <w:marRight w:val="0"/>
      <w:marTop w:val="0"/>
      <w:marBottom w:val="0"/>
      <w:divBdr>
        <w:top w:val="none" w:sz="0" w:space="0" w:color="auto"/>
        <w:left w:val="none" w:sz="0" w:space="0" w:color="auto"/>
        <w:bottom w:val="none" w:sz="0" w:space="0" w:color="auto"/>
        <w:right w:val="none" w:sz="0" w:space="0" w:color="auto"/>
      </w:divBdr>
    </w:div>
    <w:div w:id="1209145305">
      <w:bodyDiv w:val="1"/>
      <w:marLeft w:val="0"/>
      <w:marRight w:val="0"/>
      <w:marTop w:val="0"/>
      <w:marBottom w:val="0"/>
      <w:divBdr>
        <w:top w:val="none" w:sz="0" w:space="0" w:color="auto"/>
        <w:left w:val="none" w:sz="0" w:space="0" w:color="auto"/>
        <w:bottom w:val="none" w:sz="0" w:space="0" w:color="auto"/>
        <w:right w:val="none" w:sz="0" w:space="0" w:color="auto"/>
      </w:divBdr>
    </w:div>
    <w:div w:id="1216311679">
      <w:bodyDiv w:val="1"/>
      <w:marLeft w:val="0"/>
      <w:marRight w:val="0"/>
      <w:marTop w:val="0"/>
      <w:marBottom w:val="0"/>
      <w:divBdr>
        <w:top w:val="none" w:sz="0" w:space="0" w:color="auto"/>
        <w:left w:val="none" w:sz="0" w:space="0" w:color="auto"/>
        <w:bottom w:val="none" w:sz="0" w:space="0" w:color="auto"/>
        <w:right w:val="none" w:sz="0" w:space="0" w:color="auto"/>
      </w:divBdr>
    </w:div>
    <w:div w:id="1241329270">
      <w:bodyDiv w:val="1"/>
      <w:marLeft w:val="0"/>
      <w:marRight w:val="0"/>
      <w:marTop w:val="0"/>
      <w:marBottom w:val="0"/>
      <w:divBdr>
        <w:top w:val="none" w:sz="0" w:space="0" w:color="auto"/>
        <w:left w:val="none" w:sz="0" w:space="0" w:color="auto"/>
        <w:bottom w:val="none" w:sz="0" w:space="0" w:color="auto"/>
        <w:right w:val="none" w:sz="0" w:space="0" w:color="auto"/>
      </w:divBdr>
    </w:div>
    <w:div w:id="1255436871">
      <w:bodyDiv w:val="1"/>
      <w:marLeft w:val="0"/>
      <w:marRight w:val="0"/>
      <w:marTop w:val="0"/>
      <w:marBottom w:val="0"/>
      <w:divBdr>
        <w:top w:val="none" w:sz="0" w:space="0" w:color="auto"/>
        <w:left w:val="none" w:sz="0" w:space="0" w:color="auto"/>
        <w:bottom w:val="none" w:sz="0" w:space="0" w:color="auto"/>
        <w:right w:val="none" w:sz="0" w:space="0" w:color="auto"/>
      </w:divBdr>
    </w:div>
    <w:div w:id="1262185215">
      <w:bodyDiv w:val="1"/>
      <w:marLeft w:val="0"/>
      <w:marRight w:val="0"/>
      <w:marTop w:val="0"/>
      <w:marBottom w:val="0"/>
      <w:divBdr>
        <w:top w:val="none" w:sz="0" w:space="0" w:color="auto"/>
        <w:left w:val="none" w:sz="0" w:space="0" w:color="auto"/>
        <w:bottom w:val="none" w:sz="0" w:space="0" w:color="auto"/>
        <w:right w:val="none" w:sz="0" w:space="0" w:color="auto"/>
      </w:divBdr>
    </w:div>
    <w:div w:id="1273778612">
      <w:bodyDiv w:val="1"/>
      <w:marLeft w:val="0"/>
      <w:marRight w:val="0"/>
      <w:marTop w:val="0"/>
      <w:marBottom w:val="0"/>
      <w:divBdr>
        <w:top w:val="none" w:sz="0" w:space="0" w:color="auto"/>
        <w:left w:val="none" w:sz="0" w:space="0" w:color="auto"/>
        <w:bottom w:val="none" w:sz="0" w:space="0" w:color="auto"/>
        <w:right w:val="none" w:sz="0" w:space="0" w:color="auto"/>
      </w:divBdr>
    </w:div>
    <w:div w:id="1289124441">
      <w:bodyDiv w:val="1"/>
      <w:marLeft w:val="0"/>
      <w:marRight w:val="0"/>
      <w:marTop w:val="0"/>
      <w:marBottom w:val="0"/>
      <w:divBdr>
        <w:top w:val="none" w:sz="0" w:space="0" w:color="auto"/>
        <w:left w:val="none" w:sz="0" w:space="0" w:color="auto"/>
        <w:bottom w:val="none" w:sz="0" w:space="0" w:color="auto"/>
        <w:right w:val="none" w:sz="0" w:space="0" w:color="auto"/>
      </w:divBdr>
    </w:div>
    <w:div w:id="1306282029">
      <w:bodyDiv w:val="1"/>
      <w:marLeft w:val="0"/>
      <w:marRight w:val="0"/>
      <w:marTop w:val="0"/>
      <w:marBottom w:val="0"/>
      <w:divBdr>
        <w:top w:val="none" w:sz="0" w:space="0" w:color="auto"/>
        <w:left w:val="none" w:sz="0" w:space="0" w:color="auto"/>
        <w:bottom w:val="none" w:sz="0" w:space="0" w:color="auto"/>
        <w:right w:val="none" w:sz="0" w:space="0" w:color="auto"/>
      </w:divBdr>
    </w:div>
    <w:div w:id="1317953506">
      <w:bodyDiv w:val="1"/>
      <w:marLeft w:val="0"/>
      <w:marRight w:val="0"/>
      <w:marTop w:val="0"/>
      <w:marBottom w:val="0"/>
      <w:divBdr>
        <w:top w:val="none" w:sz="0" w:space="0" w:color="auto"/>
        <w:left w:val="none" w:sz="0" w:space="0" w:color="auto"/>
        <w:bottom w:val="none" w:sz="0" w:space="0" w:color="auto"/>
        <w:right w:val="none" w:sz="0" w:space="0" w:color="auto"/>
      </w:divBdr>
    </w:div>
    <w:div w:id="1319263654">
      <w:bodyDiv w:val="1"/>
      <w:marLeft w:val="0"/>
      <w:marRight w:val="0"/>
      <w:marTop w:val="0"/>
      <w:marBottom w:val="0"/>
      <w:divBdr>
        <w:top w:val="none" w:sz="0" w:space="0" w:color="auto"/>
        <w:left w:val="none" w:sz="0" w:space="0" w:color="auto"/>
        <w:bottom w:val="none" w:sz="0" w:space="0" w:color="auto"/>
        <w:right w:val="none" w:sz="0" w:space="0" w:color="auto"/>
      </w:divBdr>
    </w:div>
    <w:div w:id="1372150295">
      <w:bodyDiv w:val="1"/>
      <w:marLeft w:val="0"/>
      <w:marRight w:val="0"/>
      <w:marTop w:val="0"/>
      <w:marBottom w:val="0"/>
      <w:divBdr>
        <w:top w:val="none" w:sz="0" w:space="0" w:color="auto"/>
        <w:left w:val="none" w:sz="0" w:space="0" w:color="auto"/>
        <w:bottom w:val="none" w:sz="0" w:space="0" w:color="auto"/>
        <w:right w:val="none" w:sz="0" w:space="0" w:color="auto"/>
      </w:divBdr>
      <w:divsChild>
        <w:div w:id="307328057">
          <w:marLeft w:val="0"/>
          <w:marRight w:val="0"/>
          <w:marTop w:val="0"/>
          <w:marBottom w:val="0"/>
          <w:divBdr>
            <w:top w:val="none" w:sz="0" w:space="0" w:color="auto"/>
            <w:left w:val="none" w:sz="0" w:space="0" w:color="auto"/>
            <w:bottom w:val="none" w:sz="0" w:space="0" w:color="auto"/>
            <w:right w:val="none" w:sz="0" w:space="0" w:color="auto"/>
          </w:divBdr>
          <w:divsChild>
            <w:div w:id="515969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6275632">
      <w:bodyDiv w:val="1"/>
      <w:marLeft w:val="0"/>
      <w:marRight w:val="0"/>
      <w:marTop w:val="0"/>
      <w:marBottom w:val="0"/>
      <w:divBdr>
        <w:top w:val="none" w:sz="0" w:space="0" w:color="auto"/>
        <w:left w:val="none" w:sz="0" w:space="0" w:color="auto"/>
        <w:bottom w:val="none" w:sz="0" w:space="0" w:color="auto"/>
        <w:right w:val="none" w:sz="0" w:space="0" w:color="auto"/>
      </w:divBdr>
    </w:div>
    <w:div w:id="1388533805">
      <w:bodyDiv w:val="1"/>
      <w:marLeft w:val="0"/>
      <w:marRight w:val="0"/>
      <w:marTop w:val="0"/>
      <w:marBottom w:val="0"/>
      <w:divBdr>
        <w:top w:val="none" w:sz="0" w:space="0" w:color="auto"/>
        <w:left w:val="none" w:sz="0" w:space="0" w:color="auto"/>
        <w:bottom w:val="none" w:sz="0" w:space="0" w:color="auto"/>
        <w:right w:val="none" w:sz="0" w:space="0" w:color="auto"/>
      </w:divBdr>
    </w:div>
    <w:div w:id="1392581393">
      <w:bodyDiv w:val="1"/>
      <w:marLeft w:val="0"/>
      <w:marRight w:val="0"/>
      <w:marTop w:val="0"/>
      <w:marBottom w:val="0"/>
      <w:divBdr>
        <w:top w:val="none" w:sz="0" w:space="0" w:color="auto"/>
        <w:left w:val="none" w:sz="0" w:space="0" w:color="auto"/>
        <w:bottom w:val="none" w:sz="0" w:space="0" w:color="auto"/>
        <w:right w:val="none" w:sz="0" w:space="0" w:color="auto"/>
      </w:divBdr>
    </w:div>
    <w:div w:id="1411729764">
      <w:bodyDiv w:val="1"/>
      <w:marLeft w:val="0"/>
      <w:marRight w:val="0"/>
      <w:marTop w:val="0"/>
      <w:marBottom w:val="0"/>
      <w:divBdr>
        <w:top w:val="none" w:sz="0" w:space="0" w:color="auto"/>
        <w:left w:val="none" w:sz="0" w:space="0" w:color="auto"/>
        <w:bottom w:val="none" w:sz="0" w:space="0" w:color="auto"/>
        <w:right w:val="none" w:sz="0" w:space="0" w:color="auto"/>
      </w:divBdr>
    </w:div>
    <w:div w:id="1417288916">
      <w:bodyDiv w:val="1"/>
      <w:marLeft w:val="0"/>
      <w:marRight w:val="0"/>
      <w:marTop w:val="0"/>
      <w:marBottom w:val="0"/>
      <w:divBdr>
        <w:top w:val="none" w:sz="0" w:space="0" w:color="auto"/>
        <w:left w:val="none" w:sz="0" w:space="0" w:color="auto"/>
        <w:bottom w:val="none" w:sz="0" w:space="0" w:color="auto"/>
        <w:right w:val="none" w:sz="0" w:space="0" w:color="auto"/>
      </w:divBdr>
    </w:div>
    <w:div w:id="1424957756">
      <w:bodyDiv w:val="1"/>
      <w:marLeft w:val="0"/>
      <w:marRight w:val="0"/>
      <w:marTop w:val="0"/>
      <w:marBottom w:val="0"/>
      <w:divBdr>
        <w:top w:val="none" w:sz="0" w:space="0" w:color="auto"/>
        <w:left w:val="none" w:sz="0" w:space="0" w:color="auto"/>
        <w:bottom w:val="none" w:sz="0" w:space="0" w:color="auto"/>
        <w:right w:val="none" w:sz="0" w:space="0" w:color="auto"/>
      </w:divBdr>
    </w:div>
    <w:div w:id="1430587413">
      <w:bodyDiv w:val="1"/>
      <w:marLeft w:val="0"/>
      <w:marRight w:val="0"/>
      <w:marTop w:val="0"/>
      <w:marBottom w:val="0"/>
      <w:divBdr>
        <w:top w:val="none" w:sz="0" w:space="0" w:color="auto"/>
        <w:left w:val="none" w:sz="0" w:space="0" w:color="auto"/>
        <w:bottom w:val="none" w:sz="0" w:space="0" w:color="auto"/>
        <w:right w:val="none" w:sz="0" w:space="0" w:color="auto"/>
      </w:divBdr>
    </w:div>
    <w:div w:id="1438450113">
      <w:bodyDiv w:val="1"/>
      <w:marLeft w:val="0"/>
      <w:marRight w:val="0"/>
      <w:marTop w:val="0"/>
      <w:marBottom w:val="0"/>
      <w:divBdr>
        <w:top w:val="none" w:sz="0" w:space="0" w:color="auto"/>
        <w:left w:val="none" w:sz="0" w:space="0" w:color="auto"/>
        <w:bottom w:val="none" w:sz="0" w:space="0" w:color="auto"/>
        <w:right w:val="none" w:sz="0" w:space="0" w:color="auto"/>
      </w:divBdr>
    </w:div>
    <w:div w:id="1443961841">
      <w:bodyDiv w:val="1"/>
      <w:marLeft w:val="0"/>
      <w:marRight w:val="0"/>
      <w:marTop w:val="0"/>
      <w:marBottom w:val="0"/>
      <w:divBdr>
        <w:top w:val="none" w:sz="0" w:space="0" w:color="auto"/>
        <w:left w:val="none" w:sz="0" w:space="0" w:color="auto"/>
        <w:bottom w:val="none" w:sz="0" w:space="0" w:color="auto"/>
        <w:right w:val="none" w:sz="0" w:space="0" w:color="auto"/>
      </w:divBdr>
    </w:div>
    <w:div w:id="1463113490">
      <w:bodyDiv w:val="1"/>
      <w:marLeft w:val="0"/>
      <w:marRight w:val="0"/>
      <w:marTop w:val="0"/>
      <w:marBottom w:val="0"/>
      <w:divBdr>
        <w:top w:val="none" w:sz="0" w:space="0" w:color="auto"/>
        <w:left w:val="none" w:sz="0" w:space="0" w:color="auto"/>
        <w:bottom w:val="none" w:sz="0" w:space="0" w:color="auto"/>
        <w:right w:val="none" w:sz="0" w:space="0" w:color="auto"/>
      </w:divBdr>
    </w:div>
    <w:div w:id="1471632078">
      <w:bodyDiv w:val="1"/>
      <w:marLeft w:val="0"/>
      <w:marRight w:val="0"/>
      <w:marTop w:val="0"/>
      <w:marBottom w:val="0"/>
      <w:divBdr>
        <w:top w:val="none" w:sz="0" w:space="0" w:color="auto"/>
        <w:left w:val="none" w:sz="0" w:space="0" w:color="auto"/>
        <w:bottom w:val="none" w:sz="0" w:space="0" w:color="auto"/>
        <w:right w:val="none" w:sz="0" w:space="0" w:color="auto"/>
      </w:divBdr>
    </w:div>
    <w:div w:id="1477532542">
      <w:bodyDiv w:val="1"/>
      <w:marLeft w:val="0"/>
      <w:marRight w:val="0"/>
      <w:marTop w:val="0"/>
      <w:marBottom w:val="0"/>
      <w:divBdr>
        <w:top w:val="none" w:sz="0" w:space="0" w:color="auto"/>
        <w:left w:val="none" w:sz="0" w:space="0" w:color="auto"/>
        <w:bottom w:val="none" w:sz="0" w:space="0" w:color="auto"/>
        <w:right w:val="none" w:sz="0" w:space="0" w:color="auto"/>
      </w:divBdr>
    </w:div>
    <w:div w:id="1485929474">
      <w:bodyDiv w:val="1"/>
      <w:marLeft w:val="0"/>
      <w:marRight w:val="0"/>
      <w:marTop w:val="0"/>
      <w:marBottom w:val="0"/>
      <w:divBdr>
        <w:top w:val="none" w:sz="0" w:space="0" w:color="auto"/>
        <w:left w:val="none" w:sz="0" w:space="0" w:color="auto"/>
        <w:bottom w:val="none" w:sz="0" w:space="0" w:color="auto"/>
        <w:right w:val="none" w:sz="0" w:space="0" w:color="auto"/>
      </w:divBdr>
    </w:div>
    <w:div w:id="1502282783">
      <w:bodyDiv w:val="1"/>
      <w:marLeft w:val="0"/>
      <w:marRight w:val="0"/>
      <w:marTop w:val="0"/>
      <w:marBottom w:val="0"/>
      <w:divBdr>
        <w:top w:val="none" w:sz="0" w:space="0" w:color="auto"/>
        <w:left w:val="none" w:sz="0" w:space="0" w:color="auto"/>
        <w:bottom w:val="none" w:sz="0" w:space="0" w:color="auto"/>
        <w:right w:val="none" w:sz="0" w:space="0" w:color="auto"/>
      </w:divBdr>
    </w:div>
    <w:div w:id="1508716402">
      <w:bodyDiv w:val="1"/>
      <w:marLeft w:val="0"/>
      <w:marRight w:val="0"/>
      <w:marTop w:val="0"/>
      <w:marBottom w:val="0"/>
      <w:divBdr>
        <w:top w:val="none" w:sz="0" w:space="0" w:color="auto"/>
        <w:left w:val="none" w:sz="0" w:space="0" w:color="auto"/>
        <w:bottom w:val="none" w:sz="0" w:space="0" w:color="auto"/>
        <w:right w:val="none" w:sz="0" w:space="0" w:color="auto"/>
      </w:divBdr>
    </w:div>
    <w:div w:id="1525905596">
      <w:bodyDiv w:val="1"/>
      <w:marLeft w:val="0"/>
      <w:marRight w:val="0"/>
      <w:marTop w:val="0"/>
      <w:marBottom w:val="0"/>
      <w:divBdr>
        <w:top w:val="none" w:sz="0" w:space="0" w:color="auto"/>
        <w:left w:val="none" w:sz="0" w:space="0" w:color="auto"/>
        <w:bottom w:val="none" w:sz="0" w:space="0" w:color="auto"/>
        <w:right w:val="none" w:sz="0" w:space="0" w:color="auto"/>
      </w:divBdr>
    </w:div>
    <w:div w:id="1532302330">
      <w:bodyDiv w:val="1"/>
      <w:marLeft w:val="0"/>
      <w:marRight w:val="0"/>
      <w:marTop w:val="0"/>
      <w:marBottom w:val="0"/>
      <w:divBdr>
        <w:top w:val="none" w:sz="0" w:space="0" w:color="auto"/>
        <w:left w:val="none" w:sz="0" w:space="0" w:color="auto"/>
        <w:bottom w:val="none" w:sz="0" w:space="0" w:color="auto"/>
        <w:right w:val="none" w:sz="0" w:space="0" w:color="auto"/>
      </w:divBdr>
    </w:div>
    <w:div w:id="1537505194">
      <w:bodyDiv w:val="1"/>
      <w:marLeft w:val="0"/>
      <w:marRight w:val="0"/>
      <w:marTop w:val="0"/>
      <w:marBottom w:val="0"/>
      <w:divBdr>
        <w:top w:val="none" w:sz="0" w:space="0" w:color="auto"/>
        <w:left w:val="none" w:sz="0" w:space="0" w:color="auto"/>
        <w:bottom w:val="none" w:sz="0" w:space="0" w:color="auto"/>
        <w:right w:val="none" w:sz="0" w:space="0" w:color="auto"/>
      </w:divBdr>
    </w:div>
    <w:div w:id="1537736779">
      <w:bodyDiv w:val="1"/>
      <w:marLeft w:val="0"/>
      <w:marRight w:val="0"/>
      <w:marTop w:val="0"/>
      <w:marBottom w:val="0"/>
      <w:divBdr>
        <w:top w:val="none" w:sz="0" w:space="0" w:color="auto"/>
        <w:left w:val="none" w:sz="0" w:space="0" w:color="auto"/>
        <w:bottom w:val="none" w:sz="0" w:space="0" w:color="auto"/>
        <w:right w:val="none" w:sz="0" w:space="0" w:color="auto"/>
      </w:divBdr>
    </w:div>
    <w:div w:id="1557425513">
      <w:bodyDiv w:val="1"/>
      <w:marLeft w:val="0"/>
      <w:marRight w:val="0"/>
      <w:marTop w:val="0"/>
      <w:marBottom w:val="0"/>
      <w:divBdr>
        <w:top w:val="none" w:sz="0" w:space="0" w:color="auto"/>
        <w:left w:val="none" w:sz="0" w:space="0" w:color="auto"/>
        <w:bottom w:val="none" w:sz="0" w:space="0" w:color="auto"/>
        <w:right w:val="none" w:sz="0" w:space="0" w:color="auto"/>
      </w:divBdr>
    </w:div>
    <w:div w:id="1561751162">
      <w:bodyDiv w:val="1"/>
      <w:marLeft w:val="0"/>
      <w:marRight w:val="0"/>
      <w:marTop w:val="0"/>
      <w:marBottom w:val="0"/>
      <w:divBdr>
        <w:top w:val="none" w:sz="0" w:space="0" w:color="auto"/>
        <w:left w:val="none" w:sz="0" w:space="0" w:color="auto"/>
        <w:bottom w:val="none" w:sz="0" w:space="0" w:color="auto"/>
        <w:right w:val="none" w:sz="0" w:space="0" w:color="auto"/>
      </w:divBdr>
    </w:div>
    <w:div w:id="1573806131">
      <w:bodyDiv w:val="1"/>
      <w:marLeft w:val="0"/>
      <w:marRight w:val="0"/>
      <w:marTop w:val="0"/>
      <w:marBottom w:val="0"/>
      <w:divBdr>
        <w:top w:val="none" w:sz="0" w:space="0" w:color="auto"/>
        <w:left w:val="none" w:sz="0" w:space="0" w:color="auto"/>
        <w:bottom w:val="none" w:sz="0" w:space="0" w:color="auto"/>
        <w:right w:val="none" w:sz="0" w:space="0" w:color="auto"/>
      </w:divBdr>
    </w:div>
    <w:div w:id="1580363279">
      <w:bodyDiv w:val="1"/>
      <w:marLeft w:val="0"/>
      <w:marRight w:val="0"/>
      <w:marTop w:val="0"/>
      <w:marBottom w:val="0"/>
      <w:divBdr>
        <w:top w:val="none" w:sz="0" w:space="0" w:color="auto"/>
        <w:left w:val="none" w:sz="0" w:space="0" w:color="auto"/>
        <w:bottom w:val="none" w:sz="0" w:space="0" w:color="auto"/>
        <w:right w:val="none" w:sz="0" w:space="0" w:color="auto"/>
      </w:divBdr>
      <w:divsChild>
        <w:div w:id="1319383285">
          <w:marLeft w:val="0"/>
          <w:marRight w:val="0"/>
          <w:marTop w:val="0"/>
          <w:marBottom w:val="0"/>
          <w:divBdr>
            <w:top w:val="none" w:sz="0" w:space="0" w:color="auto"/>
            <w:left w:val="none" w:sz="0" w:space="0" w:color="auto"/>
            <w:bottom w:val="none" w:sz="0" w:space="0" w:color="auto"/>
            <w:right w:val="none" w:sz="0" w:space="0" w:color="auto"/>
          </w:divBdr>
        </w:div>
        <w:div w:id="902063189">
          <w:marLeft w:val="0"/>
          <w:marRight w:val="0"/>
          <w:marTop w:val="0"/>
          <w:marBottom w:val="0"/>
          <w:divBdr>
            <w:top w:val="none" w:sz="0" w:space="0" w:color="auto"/>
            <w:left w:val="none" w:sz="0" w:space="0" w:color="auto"/>
            <w:bottom w:val="none" w:sz="0" w:space="0" w:color="auto"/>
            <w:right w:val="none" w:sz="0" w:space="0" w:color="auto"/>
          </w:divBdr>
        </w:div>
        <w:div w:id="653990435">
          <w:marLeft w:val="0"/>
          <w:marRight w:val="0"/>
          <w:marTop w:val="0"/>
          <w:marBottom w:val="0"/>
          <w:divBdr>
            <w:top w:val="none" w:sz="0" w:space="0" w:color="auto"/>
            <w:left w:val="none" w:sz="0" w:space="0" w:color="auto"/>
            <w:bottom w:val="none" w:sz="0" w:space="0" w:color="auto"/>
            <w:right w:val="none" w:sz="0" w:space="0" w:color="auto"/>
          </w:divBdr>
        </w:div>
        <w:div w:id="903369617">
          <w:marLeft w:val="0"/>
          <w:marRight w:val="0"/>
          <w:marTop w:val="0"/>
          <w:marBottom w:val="0"/>
          <w:divBdr>
            <w:top w:val="none" w:sz="0" w:space="0" w:color="auto"/>
            <w:left w:val="none" w:sz="0" w:space="0" w:color="auto"/>
            <w:bottom w:val="none" w:sz="0" w:space="0" w:color="auto"/>
            <w:right w:val="none" w:sz="0" w:space="0" w:color="auto"/>
          </w:divBdr>
        </w:div>
        <w:div w:id="200363642">
          <w:marLeft w:val="0"/>
          <w:marRight w:val="0"/>
          <w:marTop w:val="0"/>
          <w:marBottom w:val="0"/>
          <w:divBdr>
            <w:top w:val="none" w:sz="0" w:space="0" w:color="auto"/>
            <w:left w:val="none" w:sz="0" w:space="0" w:color="auto"/>
            <w:bottom w:val="none" w:sz="0" w:space="0" w:color="auto"/>
            <w:right w:val="none" w:sz="0" w:space="0" w:color="auto"/>
          </w:divBdr>
        </w:div>
        <w:div w:id="1095637837">
          <w:marLeft w:val="0"/>
          <w:marRight w:val="0"/>
          <w:marTop w:val="0"/>
          <w:marBottom w:val="0"/>
          <w:divBdr>
            <w:top w:val="none" w:sz="0" w:space="0" w:color="auto"/>
            <w:left w:val="none" w:sz="0" w:space="0" w:color="auto"/>
            <w:bottom w:val="none" w:sz="0" w:space="0" w:color="auto"/>
            <w:right w:val="none" w:sz="0" w:space="0" w:color="auto"/>
          </w:divBdr>
        </w:div>
        <w:div w:id="1914776030">
          <w:marLeft w:val="0"/>
          <w:marRight w:val="0"/>
          <w:marTop w:val="0"/>
          <w:marBottom w:val="0"/>
          <w:divBdr>
            <w:top w:val="none" w:sz="0" w:space="0" w:color="auto"/>
            <w:left w:val="none" w:sz="0" w:space="0" w:color="auto"/>
            <w:bottom w:val="none" w:sz="0" w:space="0" w:color="auto"/>
            <w:right w:val="none" w:sz="0" w:space="0" w:color="auto"/>
          </w:divBdr>
        </w:div>
        <w:div w:id="1351225348">
          <w:marLeft w:val="0"/>
          <w:marRight w:val="0"/>
          <w:marTop w:val="0"/>
          <w:marBottom w:val="0"/>
          <w:divBdr>
            <w:top w:val="none" w:sz="0" w:space="0" w:color="auto"/>
            <w:left w:val="none" w:sz="0" w:space="0" w:color="auto"/>
            <w:bottom w:val="none" w:sz="0" w:space="0" w:color="auto"/>
            <w:right w:val="none" w:sz="0" w:space="0" w:color="auto"/>
          </w:divBdr>
        </w:div>
        <w:div w:id="1678654949">
          <w:marLeft w:val="0"/>
          <w:marRight w:val="0"/>
          <w:marTop w:val="0"/>
          <w:marBottom w:val="0"/>
          <w:divBdr>
            <w:top w:val="none" w:sz="0" w:space="0" w:color="auto"/>
            <w:left w:val="none" w:sz="0" w:space="0" w:color="auto"/>
            <w:bottom w:val="none" w:sz="0" w:space="0" w:color="auto"/>
            <w:right w:val="none" w:sz="0" w:space="0" w:color="auto"/>
          </w:divBdr>
        </w:div>
        <w:div w:id="541287881">
          <w:marLeft w:val="0"/>
          <w:marRight w:val="0"/>
          <w:marTop w:val="0"/>
          <w:marBottom w:val="0"/>
          <w:divBdr>
            <w:top w:val="none" w:sz="0" w:space="0" w:color="auto"/>
            <w:left w:val="none" w:sz="0" w:space="0" w:color="auto"/>
            <w:bottom w:val="none" w:sz="0" w:space="0" w:color="auto"/>
            <w:right w:val="none" w:sz="0" w:space="0" w:color="auto"/>
          </w:divBdr>
        </w:div>
        <w:div w:id="1511603201">
          <w:marLeft w:val="0"/>
          <w:marRight w:val="0"/>
          <w:marTop w:val="0"/>
          <w:marBottom w:val="0"/>
          <w:divBdr>
            <w:top w:val="none" w:sz="0" w:space="0" w:color="auto"/>
            <w:left w:val="none" w:sz="0" w:space="0" w:color="auto"/>
            <w:bottom w:val="none" w:sz="0" w:space="0" w:color="auto"/>
            <w:right w:val="none" w:sz="0" w:space="0" w:color="auto"/>
          </w:divBdr>
        </w:div>
      </w:divsChild>
    </w:div>
    <w:div w:id="1595163203">
      <w:bodyDiv w:val="1"/>
      <w:marLeft w:val="0"/>
      <w:marRight w:val="0"/>
      <w:marTop w:val="0"/>
      <w:marBottom w:val="0"/>
      <w:divBdr>
        <w:top w:val="none" w:sz="0" w:space="0" w:color="auto"/>
        <w:left w:val="none" w:sz="0" w:space="0" w:color="auto"/>
        <w:bottom w:val="none" w:sz="0" w:space="0" w:color="auto"/>
        <w:right w:val="none" w:sz="0" w:space="0" w:color="auto"/>
      </w:divBdr>
    </w:div>
    <w:div w:id="1612545395">
      <w:bodyDiv w:val="1"/>
      <w:marLeft w:val="0"/>
      <w:marRight w:val="0"/>
      <w:marTop w:val="0"/>
      <w:marBottom w:val="0"/>
      <w:divBdr>
        <w:top w:val="none" w:sz="0" w:space="0" w:color="auto"/>
        <w:left w:val="none" w:sz="0" w:space="0" w:color="auto"/>
        <w:bottom w:val="none" w:sz="0" w:space="0" w:color="auto"/>
        <w:right w:val="none" w:sz="0" w:space="0" w:color="auto"/>
      </w:divBdr>
      <w:divsChild>
        <w:div w:id="1602833946">
          <w:marLeft w:val="0"/>
          <w:marRight w:val="0"/>
          <w:marTop w:val="0"/>
          <w:marBottom w:val="0"/>
          <w:divBdr>
            <w:top w:val="none" w:sz="0" w:space="0" w:color="auto"/>
            <w:left w:val="none" w:sz="0" w:space="0" w:color="auto"/>
            <w:bottom w:val="none" w:sz="0" w:space="0" w:color="auto"/>
            <w:right w:val="none" w:sz="0" w:space="0" w:color="auto"/>
          </w:divBdr>
          <w:divsChild>
            <w:div w:id="11922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522035">
      <w:bodyDiv w:val="1"/>
      <w:marLeft w:val="0"/>
      <w:marRight w:val="0"/>
      <w:marTop w:val="0"/>
      <w:marBottom w:val="0"/>
      <w:divBdr>
        <w:top w:val="none" w:sz="0" w:space="0" w:color="auto"/>
        <w:left w:val="none" w:sz="0" w:space="0" w:color="auto"/>
        <w:bottom w:val="none" w:sz="0" w:space="0" w:color="auto"/>
        <w:right w:val="none" w:sz="0" w:space="0" w:color="auto"/>
      </w:divBdr>
    </w:div>
    <w:div w:id="1655909109">
      <w:bodyDiv w:val="1"/>
      <w:marLeft w:val="0"/>
      <w:marRight w:val="0"/>
      <w:marTop w:val="0"/>
      <w:marBottom w:val="0"/>
      <w:divBdr>
        <w:top w:val="none" w:sz="0" w:space="0" w:color="auto"/>
        <w:left w:val="none" w:sz="0" w:space="0" w:color="auto"/>
        <w:bottom w:val="none" w:sz="0" w:space="0" w:color="auto"/>
        <w:right w:val="none" w:sz="0" w:space="0" w:color="auto"/>
      </w:divBdr>
    </w:div>
    <w:div w:id="1657100893">
      <w:bodyDiv w:val="1"/>
      <w:marLeft w:val="0"/>
      <w:marRight w:val="0"/>
      <w:marTop w:val="0"/>
      <w:marBottom w:val="0"/>
      <w:divBdr>
        <w:top w:val="none" w:sz="0" w:space="0" w:color="auto"/>
        <w:left w:val="none" w:sz="0" w:space="0" w:color="auto"/>
        <w:bottom w:val="none" w:sz="0" w:space="0" w:color="auto"/>
        <w:right w:val="none" w:sz="0" w:space="0" w:color="auto"/>
      </w:divBdr>
    </w:div>
    <w:div w:id="1661545557">
      <w:bodyDiv w:val="1"/>
      <w:marLeft w:val="0"/>
      <w:marRight w:val="0"/>
      <w:marTop w:val="0"/>
      <w:marBottom w:val="0"/>
      <w:divBdr>
        <w:top w:val="none" w:sz="0" w:space="0" w:color="auto"/>
        <w:left w:val="none" w:sz="0" w:space="0" w:color="auto"/>
        <w:bottom w:val="none" w:sz="0" w:space="0" w:color="auto"/>
        <w:right w:val="none" w:sz="0" w:space="0" w:color="auto"/>
      </w:divBdr>
    </w:div>
    <w:div w:id="1662347129">
      <w:bodyDiv w:val="1"/>
      <w:marLeft w:val="0"/>
      <w:marRight w:val="0"/>
      <w:marTop w:val="0"/>
      <w:marBottom w:val="0"/>
      <w:divBdr>
        <w:top w:val="none" w:sz="0" w:space="0" w:color="auto"/>
        <w:left w:val="none" w:sz="0" w:space="0" w:color="auto"/>
        <w:bottom w:val="none" w:sz="0" w:space="0" w:color="auto"/>
        <w:right w:val="none" w:sz="0" w:space="0" w:color="auto"/>
      </w:divBdr>
    </w:div>
    <w:div w:id="1674145766">
      <w:bodyDiv w:val="1"/>
      <w:marLeft w:val="0"/>
      <w:marRight w:val="0"/>
      <w:marTop w:val="0"/>
      <w:marBottom w:val="0"/>
      <w:divBdr>
        <w:top w:val="none" w:sz="0" w:space="0" w:color="auto"/>
        <w:left w:val="none" w:sz="0" w:space="0" w:color="auto"/>
        <w:bottom w:val="none" w:sz="0" w:space="0" w:color="auto"/>
        <w:right w:val="none" w:sz="0" w:space="0" w:color="auto"/>
      </w:divBdr>
    </w:div>
    <w:div w:id="1678993233">
      <w:bodyDiv w:val="1"/>
      <w:marLeft w:val="0"/>
      <w:marRight w:val="0"/>
      <w:marTop w:val="0"/>
      <w:marBottom w:val="0"/>
      <w:divBdr>
        <w:top w:val="none" w:sz="0" w:space="0" w:color="auto"/>
        <w:left w:val="none" w:sz="0" w:space="0" w:color="auto"/>
        <w:bottom w:val="none" w:sz="0" w:space="0" w:color="auto"/>
        <w:right w:val="none" w:sz="0" w:space="0" w:color="auto"/>
      </w:divBdr>
    </w:div>
    <w:div w:id="1687948993">
      <w:bodyDiv w:val="1"/>
      <w:marLeft w:val="0"/>
      <w:marRight w:val="0"/>
      <w:marTop w:val="0"/>
      <w:marBottom w:val="0"/>
      <w:divBdr>
        <w:top w:val="none" w:sz="0" w:space="0" w:color="auto"/>
        <w:left w:val="none" w:sz="0" w:space="0" w:color="auto"/>
        <w:bottom w:val="none" w:sz="0" w:space="0" w:color="auto"/>
        <w:right w:val="none" w:sz="0" w:space="0" w:color="auto"/>
      </w:divBdr>
    </w:div>
    <w:div w:id="1692300688">
      <w:bodyDiv w:val="1"/>
      <w:marLeft w:val="0"/>
      <w:marRight w:val="0"/>
      <w:marTop w:val="0"/>
      <w:marBottom w:val="0"/>
      <w:divBdr>
        <w:top w:val="none" w:sz="0" w:space="0" w:color="auto"/>
        <w:left w:val="none" w:sz="0" w:space="0" w:color="auto"/>
        <w:bottom w:val="none" w:sz="0" w:space="0" w:color="auto"/>
        <w:right w:val="none" w:sz="0" w:space="0" w:color="auto"/>
      </w:divBdr>
    </w:div>
    <w:div w:id="1710564348">
      <w:bodyDiv w:val="1"/>
      <w:marLeft w:val="0"/>
      <w:marRight w:val="0"/>
      <w:marTop w:val="0"/>
      <w:marBottom w:val="0"/>
      <w:divBdr>
        <w:top w:val="none" w:sz="0" w:space="0" w:color="auto"/>
        <w:left w:val="none" w:sz="0" w:space="0" w:color="auto"/>
        <w:bottom w:val="none" w:sz="0" w:space="0" w:color="auto"/>
        <w:right w:val="none" w:sz="0" w:space="0" w:color="auto"/>
      </w:divBdr>
    </w:div>
    <w:div w:id="1728794496">
      <w:bodyDiv w:val="1"/>
      <w:marLeft w:val="0"/>
      <w:marRight w:val="0"/>
      <w:marTop w:val="0"/>
      <w:marBottom w:val="0"/>
      <w:divBdr>
        <w:top w:val="none" w:sz="0" w:space="0" w:color="auto"/>
        <w:left w:val="none" w:sz="0" w:space="0" w:color="auto"/>
        <w:bottom w:val="none" w:sz="0" w:space="0" w:color="auto"/>
        <w:right w:val="none" w:sz="0" w:space="0" w:color="auto"/>
      </w:divBdr>
    </w:div>
    <w:div w:id="1730180141">
      <w:bodyDiv w:val="1"/>
      <w:marLeft w:val="0"/>
      <w:marRight w:val="0"/>
      <w:marTop w:val="0"/>
      <w:marBottom w:val="0"/>
      <w:divBdr>
        <w:top w:val="none" w:sz="0" w:space="0" w:color="auto"/>
        <w:left w:val="none" w:sz="0" w:space="0" w:color="auto"/>
        <w:bottom w:val="none" w:sz="0" w:space="0" w:color="auto"/>
        <w:right w:val="none" w:sz="0" w:space="0" w:color="auto"/>
      </w:divBdr>
    </w:div>
    <w:div w:id="1747922944">
      <w:bodyDiv w:val="1"/>
      <w:marLeft w:val="0"/>
      <w:marRight w:val="0"/>
      <w:marTop w:val="0"/>
      <w:marBottom w:val="0"/>
      <w:divBdr>
        <w:top w:val="none" w:sz="0" w:space="0" w:color="auto"/>
        <w:left w:val="none" w:sz="0" w:space="0" w:color="auto"/>
        <w:bottom w:val="none" w:sz="0" w:space="0" w:color="auto"/>
        <w:right w:val="none" w:sz="0" w:space="0" w:color="auto"/>
      </w:divBdr>
    </w:div>
    <w:div w:id="1771046621">
      <w:bodyDiv w:val="1"/>
      <w:marLeft w:val="0"/>
      <w:marRight w:val="0"/>
      <w:marTop w:val="0"/>
      <w:marBottom w:val="0"/>
      <w:divBdr>
        <w:top w:val="none" w:sz="0" w:space="0" w:color="auto"/>
        <w:left w:val="none" w:sz="0" w:space="0" w:color="auto"/>
        <w:bottom w:val="none" w:sz="0" w:space="0" w:color="auto"/>
        <w:right w:val="none" w:sz="0" w:space="0" w:color="auto"/>
      </w:divBdr>
    </w:div>
    <w:div w:id="1783302420">
      <w:bodyDiv w:val="1"/>
      <w:marLeft w:val="0"/>
      <w:marRight w:val="0"/>
      <w:marTop w:val="0"/>
      <w:marBottom w:val="0"/>
      <w:divBdr>
        <w:top w:val="none" w:sz="0" w:space="0" w:color="auto"/>
        <w:left w:val="none" w:sz="0" w:space="0" w:color="auto"/>
        <w:bottom w:val="none" w:sz="0" w:space="0" w:color="auto"/>
        <w:right w:val="none" w:sz="0" w:space="0" w:color="auto"/>
      </w:divBdr>
    </w:div>
    <w:div w:id="1794713986">
      <w:bodyDiv w:val="1"/>
      <w:marLeft w:val="0"/>
      <w:marRight w:val="0"/>
      <w:marTop w:val="0"/>
      <w:marBottom w:val="0"/>
      <w:divBdr>
        <w:top w:val="none" w:sz="0" w:space="0" w:color="auto"/>
        <w:left w:val="none" w:sz="0" w:space="0" w:color="auto"/>
        <w:bottom w:val="none" w:sz="0" w:space="0" w:color="auto"/>
        <w:right w:val="none" w:sz="0" w:space="0" w:color="auto"/>
      </w:divBdr>
    </w:div>
    <w:div w:id="1798449251">
      <w:bodyDiv w:val="1"/>
      <w:marLeft w:val="0"/>
      <w:marRight w:val="0"/>
      <w:marTop w:val="0"/>
      <w:marBottom w:val="0"/>
      <w:divBdr>
        <w:top w:val="none" w:sz="0" w:space="0" w:color="auto"/>
        <w:left w:val="none" w:sz="0" w:space="0" w:color="auto"/>
        <w:bottom w:val="none" w:sz="0" w:space="0" w:color="auto"/>
        <w:right w:val="none" w:sz="0" w:space="0" w:color="auto"/>
      </w:divBdr>
    </w:div>
    <w:div w:id="1800490143">
      <w:bodyDiv w:val="1"/>
      <w:marLeft w:val="0"/>
      <w:marRight w:val="0"/>
      <w:marTop w:val="0"/>
      <w:marBottom w:val="0"/>
      <w:divBdr>
        <w:top w:val="none" w:sz="0" w:space="0" w:color="auto"/>
        <w:left w:val="none" w:sz="0" w:space="0" w:color="auto"/>
        <w:bottom w:val="none" w:sz="0" w:space="0" w:color="auto"/>
        <w:right w:val="none" w:sz="0" w:space="0" w:color="auto"/>
      </w:divBdr>
    </w:div>
    <w:div w:id="1818644163">
      <w:bodyDiv w:val="1"/>
      <w:marLeft w:val="0"/>
      <w:marRight w:val="0"/>
      <w:marTop w:val="0"/>
      <w:marBottom w:val="0"/>
      <w:divBdr>
        <w:top w:val="none" w:sz="0" w:space="0" w:color="auto"/>
        <w:left w:val="none" w:sz="0" w:space="0" w:color="auto"/>
        <w:bottom w:val="none" w:sz="0" w:space="0" w:color="auto"/>
        <w:right w:val="none" w:sz="0" w:space="0" w:color="auto"/>
      </w:divBdr>
    </w:div>
    <w:div w:id="1819808267">
      <w:bodyDiv w:val="1"/>
      <w:marLeft w:val="0"/>
      <w:marRight w:val="0"/>
      <w:marTop w:val="0"/>
      <w:marBottom w:val="0"/>
      <w:divBdr>
        <w:top w:val="none" w:sz="0" w:space="0" w:color="auto"/>
        <w:left w:val="none" w:sz="0" w:space="0" w:color="auto"/>
        <w:bottom w:val="none" w:sz="0" w:space="0" w:color="auto"/>
        <w:right w:val="none" w:sz="0" w:space="0" w:color="auto"/>
      </w:divBdr>
    </w:div>
    <w:div w:id="1857770942">
      <w:bodyDiv w:val="1"/>
      <w:marLeft w:val="0"/>
      <w:marRight w:val="0"/>
      <w:marTop w:val="0"/>
      <w:marBottom w:val="0"/>
      <w:divBdr>
        <w:top w:val="none" w:sz="0" w:space="0" w:color="auto"/>
        <w:left w:val="none" w:sz="0" w:space="0" w:color="auto"/>
        <w:bottom w:val="none" w:sz="0" w:space="0" w:color="auto"/>
        <w:right w:val="none" w:sz="0" w:space="0" w:color="auto"/>
      </w:divBdr>
    </w:div>
    <w:div w:id="1872304804">
      <w:bodyDiv w:val="1"/>
      <w:marLeft w:val="0"/>
      <w:marRight w:val="0"/>
      <w:marTop w:val="0"/>
      <w:marBottom w:val="0"/>
      <w:divBdr>
        <w:top w:val="none" w:sz="0" w:space="0" w:color="auto"/>
        <w:left w:val="none" w:sz="0" w:space="0" w:color="auto"/>
        <w:bottom w:val="none" w:sz="0" w:space="0" w:color="auto"/>
        <w:right w:val="none" w:sz="0" w:space="0" w:color="auto"/>
      </w:divBdr>
    </w:div>
    <w:div w:id="1885553990">
      <w:bodyDiv w:val="1"/>
      <w:marLeft w:val="0"/>
      <w:marRight w:val="0"/>
      <w:marTop w:val="0"/>
      <w:marBottom w:val="0"/>
      <w:divBdr>
        <w:top w:val="none" w:sz="0" w:space="0" w:color="auto"/>
        <w:left w:val="none" w:sz="0" w:space="0" w:color="auto"/>
        <w:bottom w:val="none" w:sz="0" w:space="0" w:color="auto"/>
        <w:right w:val="none" w:sz="0" w:space="0" w:color="auto"/>
      </w:divBdr>
    </w:div>
    <w:div w:id="1894077560">
      <w:bodyDiv w:val="1"/>
      <w:marLeft w:val="0"/>
      <w:marRight w:val="0"/>
      <w:marTop w:val="0"/>
      <w:marBottom w:val="0"/>
      <w:divBdr>
        <w:top w:val="none" w:sz="0" w:space="0" w:color="auto"/>
        <w:left w:val="none" w:sz="0" w:space="0" w:color="auto"/>
        <w:bottom w:val="none" w:sz="0" w:space="0" w:color="auto"/>
        <w:right w:val="none" w:sz="0" w:space="0" w:color="auto"/>
      </w:divBdr>
    </w:div>
    <w:div w:id="1900940635">
      <w:bodyDiv w:val="1"/>
      <w:marLeft w:val="0"/>
      <w:marRight w:val="0"/>
      <w:marTop w:val="0"/>
      <w:marBottom w:val="0"/>
      <w:divBdr>
        <w:top w:val="none" w:sz="0" w:space="0" w:color="auto"/>
        <w:left w:val="none" w:sz="0" w:space="0" w:color="auto"/>
        <w:bottom w:val="none" w:sz="0" w:space="0" w:color="auto"/>
        <w:right w:val="none" w:sz="0" w:space="0" w:color="auto"/>
      </w:divBdr>
    </w:div>
    <w:div w:id="1902859083">
      <w:bodyDiv w:val="1"/>
      <w:marLeft w:val="0"/>
      <w:marRight w:val="0"/>
      <w:marTop w:val="0"/>
      <w:marBottom w:val="0"/>
      <w:divBdr>
        <w:top w:val="none" w:sz="0" w:space="0" w:color="auto"/>
        <w:left w:val="none" w:sz="0" w:space="0" w:color="auto"/>
        <w:bottom w:val="none" w:sz="0" w:space="0" w:color="auto"/>
        <w:right w:val="none" w:sz="0" w:space="0" w:color="auto"/>
      </w:divBdr>
    </w:div>
    <w:div w:id="1909998828">
      <w:bodyDiv w:val="1"/>
      <w:marLeft w:val="0"/>
      <w:marRight w:val="0"/>
      <w:marTop w:val="0"/>
      <w:marBottom w:val="0"/>
      <w:divBdr>
        <w:top w:val="none" w:sz="0" w:space="0" w:color="auto"/>
        <w:left w:val="none" w:sz="0" w:space="0" w:color="auto"/>
        <w:bottom w:val="none" w:sz="0" w:space="0" w:color="auto"/>
        <w:right w:val="none" w:sz="0" w:space="0" w:color="auto"/>
      </w:divBdr>
    </w:div>
    <w:div w:id="1910994122">
      <w:bodyDiv w:val="1"/>
      <w:marLeft w:val="0"/>
      <w:marRight w:val="0"/>
      <w:marTop w:val="0"/>
      <w:marBottom w:val="0"/>
      <w:divBdr>
        <w:top w:val="none" w:sz="0" w:space="0" w:color="auto"/>
        <w:left w:val="none" w:sz="0" w:space="0" w:color="auto"/>
        <w:bottom w:val="none" w:sz="0" w:space="0" w:color="auto"/>
        <w:right w:val="none" w:sz="0" w:space="0" w:color="auto"/>
      </w:divBdr>
    </w:div>
    <w:div w:id="1933776735">
      <w:bodyDiv w:val="1"/>
      <w:marLeft w:val="0"/>
      <w:marRight w:val="0"/>
      <w:marTop w:val="0"/>
      <w:marBottom w:val="0"/>
      <w:divBdr>
        <w:top w:val="none" w:sz="0" w:space="0" w:color="auto"/>
        <w:left w:val="none" w:sz="0" w:space="0" w:color="auto"/>
        <w:bottom w:val="none" w:sz="0" w:space="0" w:color="auto"/>
        <w:right w:val="none" w:sz="0" w:space="0" w:color="auto"/>
      </w:divBdr>
    </w:div>
    <w:div w:id="1933926882">
      <w:bodyDiv w:val="1"/>
      <w:marLeft w:val="0"/>
      <w:marRight w:val="0"/>
      <w:marTop w:val="0"/>
      <w:marBottom w:val="0"/>
      <w:divBdr>
        <w:top w:val="none" w:sz="0" w:space="0" w:color="auto"/>
        <w:left w:val="none" w:sz="0" w:space="0" w:color="auto"/>
        <w:bottom w:val="none" w:sz="0" w:space="0" w:color="auto"/>
        <w:right w:val="none" w:sz="0" w:space="0" w:color="auto"/>
      </w:divBdr>
    </w:div>
    <w:div w:id="1954168723">
      <w:bodyDiv w:val="1"/>
      <w:marLeft w:val="0"/>
      <w:marRight w:val="0"/>
      <w:marTop w:val="0"/>
      <w:marBottom w:val="0"/>
      <w:divBdr>
        <w:top w:val="none" w:sz="0" w:space="0" w:color="auto"/>
        <w:left w:val="none" w:sz="0" w:space="0" w:color="auto"/>
        <w:bottom w:val="none" w:sz="0" w:space="0" w:color="auto"/>
        <w:right w:val="none" w:sz="0" w:space="0" w:color="auto"/>
      </w:divBdr>
    </w:div>
    <w:div w:id="1968659750">
      <w:bodyDiv w:val="1"/>
      <w:marLeft w:val="0"/>
      <w:marRight w:val="0"/>
      <w:marTop w:val="0"/>
      <w:marBottom w:val="0"/>
      <w:divBdr>
        <w:top w:val="none" w:sz="0" w:space="0" w:color="auto"/>
        <w:left w:val="none" w:sz="0" w:space="0" w:color="auto"/>
        <w:bottom w:val="none" w:sz="0" w:space="0" w:color="auto"/>
        <w:right w:val="none" w:sz="0" w:space="0" w:color="auto"/>
      </w:divBdr>
    </w:div>
    <w:div w:id="1972250744">
      <w:bodyDiv w:val="1"/>
      <w:marLeft w:val="0"/>
      <w:marRight w:val="0"/>
      <w:marTop w:val="0"/>
      <w:marBottom w:val="0"/>
      <w:divBdr>
        <w:top w:val="none" w:sz="0" w:space="0" w:color="auto"/>
        <w:left w:val="none" w:sz="0" w:space="0" w:color="auto"/>
        <w:bottom w:val="none" w:sz="0" w:space="0" w:color="auto"/>
        <w:right w:val="none" w:sz="0" w:space="0" w:color="auto"/>
      </w:divBdr>
    </w:div>
    <w:div w:id="1987853388">
      <w:bodyDiv w:val="1"/>
      <w:marLeft w:val="0"/>
      <w:marRight w:val="0"/>
      <w:marTop w:val="0"/>
      <w:marBottom w:val="0"/>
      <w:divBdr>
        <w:top w:val="none" w:sz="0" w:space="0" w:color="auto"/>
        <w:left w:val="none" w:sz="0" w:space="0" w:color="auto"/>
        <w:bottom w:val="none" w:sz="0" w:space="0" w:color="auto"/>
        <w:right w:val="none" w:sz="0" w:space="0" w:color="auto"/>
      </w:divBdr>
    </w:div>
    <w:div w:id="1993102578">
      <w:bodyDiv w:val="1"/>
      <w:marLeft w:val="0"/>
      <w:marRight w:val="0"/>
      <w:marTop w:val="0"/>
      <w:marBottom w:val="0"/>
      <w:divBdr>
        <w:top w:val="none" w:sz="0" w:space="0" w:color="auto"/>
        <w:left w:val="none" w:sz="0" w:space="0" w:color="auto"/>
        <w:bottom w:val="none" w:sz="0" w:space="0" w:color="auto"/>
        <w:right w:val="none" w:sz="0" w:space="0" w:color="auto"/>
      </w:divBdr>
    </w:div>
    <w:div w:id="2004971791">
      <w:bodyDiv w:val="1"/>
      <w:marLeft w:val="0"/>
      <w:marRight w:val="0"/>
      <w:marTop w:val="0"/>
      <w:marBottom w:val="0"/>
      <w:divBdr>
        <w:top w:val="none" w:sz="0" w:space="0" w:color="auto"/>
        <w:left w:val="none" w:sz="0" w:space="0" w:color="auto"/>
        <w:bottom w:val="none" w:sz="0" w:space="0" w:color="auto"/>
        <w:right w:val="none" w:sz="0" w:space="0" w:color="auto"/>
      </w:divBdr>
    </w:div>
    <w:div w:id="2013951382">
      <w:bodyDiv w:val="1"/>
      <w:marLeft w:val="0"/>
      <w:marRight w:val="0"/>
      <w:marTop w:val="0"/>
      <w:marBottom w:val="0"/>
      <w:divBdr>
        <w:top w:val="none" w:sz="0" w:space="0" w:color="auto"/>
        <w:left w:val="none" w:sz="0" w:space="0" w:color="auto"/>
        <w:bottom w:val="none" w:sz="0" w:space="0" w:color="auto"/>
        <w:right w:val="none" w:sz="0" w:space="0" w:color="auto"/>
      </w:divBdr>
    </w:div>
    <w:div w:id="2021422936">
      <w:bodyDiv w:val="1"/>
      <w:marLeft w:val="0"/>
      <w:marRight w:val="0"/>
      <w:marTop w:val="0"/>
      <w:marBottom w:val="0"/>
      <w:divBdr>
        <w:top w:val="none" w:sz="0" w:space="0" w:color="auto"/>
        <w:left w:val="none" w:sz="0" w:space="0" w:color="auto"/>
        <w:bottom w:val="none" w:sz="0" w:space="0" w:color="auto"/>
        <w:right w:val="none" w:sz="0" w:space="0" w:color="auto"/>
      </w:divBdr>
    </w:div>
    <w:div w:id="2022779088">
      <w:bodyDiv w:val="1"/>
      <w:marLeft w:val="0"/>
      <w:marRight w:val="0"/>
      <w:marTop w:val="0"/>
      <w:marBottom w:val="0"/>
      <w:divBdr>
        <w:top w:val="none" w:sz="0" w:space="0" w:color="auto"/>
        <w:left w:val="none" w:sz="0" w:space="0" w:color="auto"/>
        <w:bottom w:val="none" w:sz="0" w:space="0" w:color="auto"/>
        <w:right w:val="none" w:sz="0" w:space="0" w:color="auto"/>
      </w:divBdr>
    </w:div>
    <w:div w:id="2026244949">
      <w:bodyDiv w:val="1"/>
      <w:marLeft w:val="0"/>
      <w:marRight w:val="0"/>
      <w:marTop w:val="0"/>
      <w:marBottom w:val="0"/>
      <w:divBdr>
        <w:top w:val="none" w:sz="0" w:space="0" w:color="auto"/>
        <w:left w:val="none" w:sz="0" w:space="0" w:color="auto"/>
        <w:bottom w:val="none" w:sz="0" w:space="0" w:color="auto"/>
        <w:right w:val="none" w:sz="0" w:space="0" w:color="auto"/>
      </w:divBdr>
    </w:div>
    <w:div w:id="2037346438">
      <w:bodyDiv w:val="1"/>
      <w:marLeft w:val="0"/>
      <w:marRight w:val="0"/>
      <w:marTop w:val="0"/>
      <w:marBottom w:val="0"/>
      <w:divBdr>
        <w:top w:val="none" w:sz="0" w:space="0" w:color="auto"/>
        <w:left w:val="none" w:sz="0" w:space="0" w:color="auto"/>
        <w:bottom w:val="none" w:sz="0" w:space="0" w:color="auto"/>
        <w:right w:val="none" w:sz="0" w:space="0" w:color="auto"/>
      </w:divBdr>
    </w:div>
    <w:div w:id="2050567432">
      <w:bodyDiv w:val="1"/>
      <w:marLeft w:val="0"/>
      <w:marRight w:val="0"/>
      <w:marTop w:val="0"/>
      <w:marBottom w:val="0"/>
      <w:divBdr>
        <w:top w:val="none" w:sz="0" w:space="0" w:color="auto"/>
        <w:left w:val="none" w:sz="0" w:space="0" w:color="auto"/>
        <w:bottom w:val="none" w:sz="0" w:space="0" w:color="auto"/>
        <w:right w:val="none" w:sz="0" w:space="0" w:color="auto"/>
      </w:divBdr>
    </w:div>
    <w:div w:id="2060780287">
      <w:bodyDiv w:val="1"/>
      <w:marLeft w:val="0"/>
      <w:marRight w:val="0"/>
      <w:marTop w:val="0"/>
      <w:marBottom w:val="0"/>
      <w:divBdr>
        <w:top w:val="none" w:sz="0" w:space="0" w:color="auto"/>
        <w:left w:val="none" w:sz="0" w:space="0" w:color="auto"/>
        <w:bottom w:val="none" w:sz="0" w:space="0" w:color="auto"/>
        <w:right w:val="none" w:sz="0" w:space="0" w:color="auto"/>
      </w:divBdr>
    </w:div>
    <w:div w:id="2066101726">
      <w:bodyDiv w:val="1"/>
      <w:marLeft w:val="0"/>
      <w:marRight w:val="0"/>
      <w:marTop w:val="0"/>
      <w:marBottom w:val="0"/>
      <w:divBdr>
        <w:top w:val="none" w:sz="0" w:space="0" w:color="auto"/>
        <w:left w:val="none" w:sz="0" w:space="0" w:color="auto"/>
        <w:bottom w:val="none" w:sz="0" w:space="0" w:color="auto"/>
        <w:right w:val="none" w:sz="0" w:space="0" w:color="auto"/>
      </w:divBdr>
    </w:div>
    <w:div w:id="2068650530">
      <w:bodyDiv w:val="1"/>
      <w:marLeft w:val="0"/>
      <w:marRight w:val="0"/>
      <w:marTop w:val="0"/>
      <w:marBottom w:val="0"/>
      <w:divBdr>
        <w:top w:val="none" w:sz="0" w:space="0" w:color="auto"/>
        <w:left w:val="none" w:sz="0" w:space="0" w:color="auto"/>
        <w:bottom w:val="none" w:sz="0" w:space="0" w:color="auto"/>
        <w:right w:val="none" w:sz="0" w:space="0" w:color="auto"/>
      </w:divBdr>
    </w:div>
    <w:div w:id="2073505361">
      <w:bodyDiv w:val="1"/>
      <w:marLeft w:val="0"/>
      <w:marRight w:val="0"/>
      <w:marTop w:val="0"/>
      <w:marBottom w:val="0"/>
      <w:divBdr>
        <w:top w:val="none" w:sz="0" w:space="0" w:color="auto"/>
        <w:left w:val="none" w:sz="0" w:space="0" w:color="auto"/>
        <w:bottom w:val="none" w:sz="0" w:space="0" w:color="auto"/>
        <w:right w:val="none" w:sz="0" w:space="0" w:color="auto"/>
      </w:divBdr>
    </w:div>
    <w:div w:id="2074574629">
      <w:bodyDiv w:val="1"/>
      <w:marLeft w:val="0"/>
      <w:marRight w:val="0"/>
      <w:marTop w:val="0"/>
      <w:marBottom w:val="0"/>
      <w:divBdr>
        <w:top w:val="none" w:sz="0" w:space="0" w:color="auto"/>
        <w:left w:val="none" w:sz="0" w:space="0" w:color="auto"/>
        <w:bottom w:val="none" w:sz="0" w:space="0" w:color="auto"/>
        <w:right w:val="none" w:sz="0" w:space="0" w:color="auto"/>
      </w:divBdr>
    </w:div>
    <w:div w:id="2098555126">
      <w:bodyDiv w:val="1"/>
      <w:marLeft w:val="0"/>
      <w:marRight w:val="0"/>
      <w:marTop w:val="0"/>
      <w:marBottom w:val="0"/>
      <w:divBdr>
        <w:top w:val="none" w:sz="0" w:space="0" w:color="auto"/>
        <w:left w:val="none" w:sz="0" w:space="0" w:color="auto"/>
        <w:bottom w:val="none" w:sz="0" w:space="0" w:color="auto"/>
        <w:right w:val="none" w:sz="0" w:space="0" w:color="auto"/>
      </w:divBdr>
    </w:div>
    <w:div w:id="2105759770">
      <w:bodyDiv w:val="1"/>
      <w:marLeft w:val="0"/>
      <w:marRight w:val="0"/>
      <w:marTop w:val="0"/>
      <w:marBottom w:val="0"/>
      <w:divBdr>
        <w:top w:val="none" w:sz="0" w:space="0" w:color="auto"/>
        <w:left w:val="none" w:sz="0" w:space="0" w:color="auto"/>
        <w:bottom w:val="none" w:sz="0" w:space="0" w:color="auto"/>
        <w:right w:val="none" w:sz="0" w:space="0" w:color="auto"/>
      </w:divBdr>
    </w:div>
    <w:div w:id="2137292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mppi.hr/default.aspx?id=3625" TargetMode="External"/><Relationship Id="rId117" Type="http://schemas.openxmlformats.org/officeDocument/2006/relationships/image" Target="media/image24.png"/><Relationship Id="rId21" Type="http://schemas.openxmlformats.org/officeDocument/2006/relationships/chart" Target="charts/chart1.xml"/><Relationship Id="rId42" Type="http://schemas.openxmlformats.org/officeDocument/2006/relationships/chart" Target="charts/chart10.xml"/><Relationship Id="rId47" Type="http://schemas.openxmlformats.org/officeDocument/2006/relationships/hyperlink" Target="https://www.koronavirus.hr/zupanije/krapinsko-zagorska-zupanija/174" TargetMode="External"/><Relationship Id="rId63" Type="http://schemas.microsoft.com/office/2018/08/relationships/commentsExtensible" Target="commentsExtensible.xml"/><Relationship Id="rId68" Type="http://schemas.openxmlformats.org/officeDocument/2006/relationships/chart" Target="charts/chart24.xml"/><Relationship Id="rId84" Type="http://schemas.openxmlformats.org/officeDocument/2006/relationships/chart" Target="charts/chart38.xml"/><Relationship Id="rId89" Type="http://schemas.openxmlformats.org/officeDocument/2006/relationships/chart" Target="charts/chart41.xml"/><Relationship Id="rId112" Type="http://schemas.openxmlformats.org/officeDocument/2006/relationships/image" Target="media/image20.png"/><Relationship Id="rId133" Type="http://schemas.openxmlformats.org/officeDocument/2006/relationships/hyperlink" Target="https://www.zakon.hr/cms.htm?id=268" TargetMode="External"/><Relationship Id="rId138" Type="http://schemas.openxmlformats.org/officeDocument/2006/relationships/image" Target="media/image32.png"/><Relationship Id="rId16" Type="http://schemas.openxmlformats.org/officeDocument/2006/relationships/image" Target="media/image6.png"/><Relationship Id="rId107" Type="http://schemas.openxmlformats.org/officeDocument/2006/relationships/chart" Target="charts/chart56.xml"/><Relationship Id="rId11" Type="http://schemas.openxmlformats.org/officeDocument/2006/relationships/hyperlink" Target="http://www.poslovni.hr/tehnologija/smart-city-rjesenja-stede-novac-i-podizu-kvalitetu-zivota-35383" TargetMode="External"/><Relationship Id="rId32" Type="http://schemas.openxmlformats.org/officeDocument/2006/relationships/chart" Target="charts/chart4.xml"/><Relationship Id="rId37" Type="http://schemas.openxmlformats.org/officeDocument/2006/relationships/image" Target="media/image14.jpg"/><Relationship Id="rId53" Type="http://schemas.openxmlformats.org/officeDocument/2006/relationships/chart" Target="charts/chart18.xml"/><Relationship Id="rId58" Type="http://schemas.openxmlformats.org/officeDocument/2006/relationships/hyperlink" Target="http://www.upisi.hr" TargetMode="External"/><Relationship Id="rId74" Type="http://schemas.openxmlformats.org/officeDocument/2006/relationships/footer" Target="footer2.xml"/><Relationship Id="rId79" Type="http://schemas.openxmlformats.org/officeDocument/2006/relationships/chart" Target="charts/chart33.xml"/><Relationship Id="rId102" Type="http://schemas.openxmlformats.org/officeDocument/2006/relationships/chart" Target="charts/chart52.xml"/><Relationship Id="rId123" Type="http://schemas.openxmlformats.org/officeDocument/2006/relationships/image" Target="media/image30.png"/><Relationship Id="rId128" Type="http://schemas.openxmlformats.org/officeDocument/2006/relationships/hyperlink" Target="https://www.zakon.hr/cms.htm?id=262" TargetMode="External"/><Relationship Id="rId144" Type="http://schemas.microsoft.com/office/2011/relationships/people" Target="people.xml"/><Relationship Id="rId5" Type="http://schemas.openxmlformats.org/officeDocument/2006/relationships/webSettings" Target="webSettings.xml"/><Relationship Id="rId90" Type="http://schemas.openxmlformats.org/officeDocument/2006/relationships/chart" Target="charts/chart42.xml"/><Relationship Id="rId95" Type="http://schemas.openxmlformats.org/officeDocument/2006/relationships/chart" Target="charts/chart46.xml"/><Relationship Id="rId22" Type="http://schemas.openxmlformats.org/officeDocument/2006/relationships/chart" Target="charts/chart2.xml"/><Relationship Id="rId27" Type="http://schemas.openxmlformats.org/officeDocument/2006/relationships/image" Target="media/image10.png"/><Relationship Id="rId43" Type="http://schemas.openxmlformats.org/officeDocument/2006/relationships/chart" Target="charts/chart11.xml"/><Relationship Id="rId48" Type="http://schemas.openxmlformats.org/officeDocument/2006/relationships/hyperlink" Target="http://www.kzz.hr/palijativna-skrb" TargetMode="External"/><Relationship Id="rId64" Type="http://schemas.openxmlformats.org/officeDocument/2006/relationships/chart" Target="charts/chart22.xml"/><Relationship Id="rId69" Type="http://schemas.openxmlformats.org/officeDocument/2006/relationships/chart" Target="charts/chart25.xml"/><Relationship Id="rId113" Type="http://schemas.openxmlformats.org/officeDocument/2006/relationships/chart" Target="charts/chart60.xml"/><Relationship Id="rId118" Type="http://schemas.openxmlformats.org/officeDocument/2006/relationships/image" Target="media/image25.png"/><Relationship Id="rId134" Type="http://schemas.openxmlformats.org/officeDocument/2006/relationships/hyperlink" Target="https://www.zakon.hr/cms.htm?id=285" TargetMode="External"/><Relationship Id="rId139" Type="http://schemas.openxmlformats.org/officeDocument/2006/relationships/chart" Target="charts/chart61.xml"/><Relationship Id="rId80" Type="http://schemas.openxmlformats.org/officeDocument/2006/relationships/chart" Target="charts/chart34.xml"/><Relationship Id="rId85" Type="http://schemas.openxmlformats.org/officeDocument/2006/relationships/chart" Target="charts/chart39.xml"/><Relationship Id="rId3" Type="http://schemas.openxmlformats.org/officeDocument/2006/relationships/styles" Target="styles.xml"/><Relationship Id="rId12" Type="http://schemas.openxmlformats.org/officeDocument/2006/relationships/hyperlink" Target="https://ec.europa.eu/croatia/How_IoT_is_helping_and_changing_our_everyday_life_hr" TargetMode="External"/><Relationship Id="rId17" Type="http://schemas.openxmlformats.org/officeDocument/2006/relationships/hyperlink" Target="https://www.zagorje-priroda.hr/wp-content/" TargetMode="External"/><Relationship Id="rId25" Type="http://schemas.openxmlformats.org/officeDocument/2006/relationships/hyperlink" Target="http://www.mppi.hr/default.aspx?id=3625" TargetMode="External"/><Relationship Id="rId33" Type="http://schemas.openxmlformats.org/officeDocument/2006/relationships/chart" Target="charts/chart5.xml"/><Relationship Id="rId38" Type="http://schemas.openxmlformats.org/officeDocument/2006/relationships/image" Target="media/image15.png"/><Relationship Id="rId46" Type="http://schemas.openxmlformats.org/officeDocument/2006/relationships/chart" Target="charts/chart14.xml"/><Relationship Id="rId59" Type="http://schemas.openxmlformats.org/officeDocument/2006/relationships/chart" Target="charts/chart21.xml"/><Relationship Id="rId67" Type="http://schemas.openxmlformats.org/officeDocument/2006/relationships/hyperlink" Target="http://www.pou-stubica.hr/defaultcont.asp?id=2&amp;n=3" TargetMode="External"/><Relationship Id="rId103" Type="http://schemas.openxmlformats.org/officeDocument/2006/relationships/chart" Target="charts/chart53.xml"/><Relationship Id="rId108" Type="http://schemas.openxmlformats.org/officeDocument/2006/relationships/chart" Target="charts/chart57.xml"/><Relationship Id="rId116" Type="http://schemas.openxmlformats.org/officeDocument/2006/relationships/image" Target="media/image23.png"/><Relationship Id="rId124" Type="http://schemas.openxmlformats.org/officeDocument/2006/relationships/image" Target="media/image31.png"/><Relationship Id="rId129" Type="http://schemas.openxmlformats.org/officeDocument/2006/relationships/hyperlink" Target="https://www.zakon.hr/cms.htm?id=263" TargetMode="External"/><Relationship Id="rId137" Type="http://schemas.openxmlformats.org/officeDocument/2006/relationships/hyperlink" Target="https://www.zakon.hr/cms.htm?id=40763" TargetMode="External"/><Relationship Id="rId20" Type="http://schemas.openxmlformats.org/officeDocument/2006/relationships/hyperlink" Target="http://www.viamichelin.com" TargetMode="External"/><Relationship Id="rId41" Type="http://schemas.openxmlformats.org/officeDocument/2006/relationships/chart" Target="charts/chart9.xml"/><Relationship Id="rId54" Type="http://schemas.openxmlformats.org/officeDocument/2006/relationships/hyperlink" Target="https://kzz-lumen.net/" TargetMode="External"/><Relationship Id="rId62" Type="http://schemas.microsoft.com/office/2016/09/relationships/commentsIds" Target="commentsIds.xml"/><Relationship Id="rId70" Type="http://schemas.openxmlformats.org/officeDocument/2006/relationships/chart" Target="charts/chart26.xml"/><Relationship Id="rId75" Type="http://schemas.openxmlformats.org/officeDocument/2006/relationships/chart" Target="charts/chart30.xml"/><Relationship Id="rId83" Type="http://schemas.openxmlformats.org/officeDocument/2006/relationships/chart" Target="charts/chart37.xml"/><Relationship Id="rId88" Type="http://schemas.openxmlformats.org/officeDocument/2006/relationships/chart" Target="charts/chart40.xml"/><Relationship Id="rId91" Type="http://schemas.openxmlformats.org/officeDocument/2006/relationships/chart" Target="charts/chart43.xml"/><Relationship Id="rId96" Type="http://schemas.openxmlformats.org/officeDocument/2006/relationships/chart" Target="charts/chart47.xml"/><Relationship Id="rId111" Type="http://schemas.openxmlformats.org/officeDocument/2006/relationships/chart" Target="charts/chart59.xml"/><Relationship Id="rId132" Type="http://schemas.openxmlformats.org/officeDocument/2006/relationships/hyperlink" Target="https://www.zakon.hr/cms.htm?id=267" TargetMode="External"/><Relationship Id="rId140" Type="http://schemas.openxmlformats.org/officeDocument/2006/relationships/chart" Target="charts/chart62.xm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chart" Target="charts/chart3.xml"/><Relationship Id="rId28" Type="http://schemas.openxmlformats.org/officeDocument/2006/relationships/image" Target="media/image11.svg"/><Relationship Id="rId36" Type="http://schemas.openxmlformats.org/officeDocument/2006/relationships/hyperlink" Target="https://clps.hr/fertilitet-po-zupanijama-hrvatske-u-2016/" TargetMode="External"/><Relationship Id="rId49" Type="http://schemas.openxmlformats.org/officeDocument/2006/relationships/chart" Target="charts/chart15.xml"/><Relationship Id="rId57" Type="http://schemas.openxmlformats.org/officeDocument/2006/relationships/chart" Target="charts/chart20.xml"/><Relationship Id="rId106" Type="http://schemas.openxmlformats.org/officeDocument/2006/relationships/chart" Target="charts/chart55.xml"/><Relationship Id="rId114" Type="http://schemas.openxmlformats.org/officeDocument/2006/relationships/image" Target="media/image21.png"/><Relationship Id="rId119" Type="http://schemas.openxmlformats.org/officeDocument/2006/relationships/image" Target="media/image26.png"/><Relationship Id="rId127" Type="http://schemas.openxmlformats.org/officeDocument/2006/relationships/hyperlink" Target="https://www.zakon.hr/cms.htm?id=261" TargetMode="External"/><Relationship Id="rId10" Type="http://schemas.openxmlformats.org/officeDocument/2006/relationships/image" Target="media/image2.jpeg"/><Relationship Id="rId31" Type="http://schemas.openxmlformats.org/officeDocument/2006/relationships/image" Target="media/image13.png"/><Relationship Id="rId44" Type="http://schemas.openxmlformats.org/officeDocument/2006/relationships/chart" Target="charts/chart12.xml"/><Relationship Id="rId52" Type="http://schemas.openxmlformats.org/officeDocument/2006/relationships/hyperlink" Target="http://mzos.hr/dbApp/pregled.aspx?search=2&amp;appName=OS" TargetMode="External"/><Relationship Id="rId60" Type="http://schemas.openxmlformats.org/officeDocument/2006/relationships/comments" Target="comments.xml"/><Relationship Id="rId65" Type="http://schemas.openxmlformats.org/officeDocument/2006/relationships/chart" Target="charts/chart23.xml"/><Relationship Id="rId73" Type="http://schemas.openxmlformats.org/officeDocument/2006/relationships/chart" Target="charts/chart29.xml"/><Relationship Id="rId78" Type="http://schemas.openxmlformats.org/officeDocument/2006/relationships/hyperlink" Target="http://ec.europa.eu/eurostat/web/lfs/data/main-tables" TargetMode="External"/><Relationship Id="rId81" Type="http://schemas.openxmlformats.org/officeDocument/2006/relationships/chart" Target="charts/chart35.xml"/><Relationship Id="rId86" Type="http://schemas.openxmlformats.org/officeDocument/2006/relationships/image" Target="media/image17.png"/><Relationship Id="rId94" Type="http://schemas.openxmlformats.org/officeDocument/2006/relationships/chart" Target="charts/chart45.xml"/><Relationship Id="rId99" Type="http://schemas.openxmlformats.org/officeDocument/2006/relationships/chart" Target="charts/chart49.xml"/><Relationship Id="rId101" Type="http://schemas.openxmlformats.org/officeDocument/2006/relationships/chart" Target="charts/chart51.xml"/><Relationship Id="rId122" Type="http://schemas.openxmlformats.org/officeDocument/2006/relationships/image" Target="media/image29.gif"/><Relationship Id="rId130" Type="http://schemas.openxmlformats.org/officeDocument/2006/relationships/hyperlink" Target="https://www.zakon.hr/cms.htm?id=264" TargetMode="External"/><Relationship Id="rId135" Type="http://schemas.openxmlformats.org/officeDocument/2006/relationships/hyperlink" Target="https://www.zakon.hr/cms.htm?id=15727" TargetMode="External"/><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16.svg"/><Relationship Id="rId109" Type="http://schemas.openxmlformats.org/officeDocument/2006/relationships/hyperlink" Target="http://hpa.mps.hr/jrdz-izvjestaji/broj-domacih-zivotinja/" TargetMode="External"/><Relationship Id="rId34" Type="http://schemas.openxmlformats.org/officeDocument/2006/relationships/chart" Target="charts/chart6.xml"/><Relationship Id="rId50" Type="http://schemas.openxmlformats.org/officeDocument/2006/relationships/chart" Target="charts/chart16.xml"/><Relationship Id="rId55" Type="http://schemas.openxmlformats.org/officeDocument/2006/relationships/chart" Target="charts/chart19.xml"/><Relationship Id="rId76" Type="http://schemas.openxmlformats.org/officeDocument/2006/relationships/chart" Target="charts/chart31.xml"/><Relationship Id="rId97" Type="http://schemas.openxmlformats.org/officeDocument/2006/relationships/hyperlink" Target="http://www.zagorjebike.com.hr" TargetMode="External"/><Relationship Id="rId104" Type="http://schemas.openxmlformats.org/officeDocument/2006/relationships/chart" Target="charts/chart54.xml"/><Relationship Id="rId120" Type="http://schemas.openxmlformats.org/officeDocument/2006/relationships/image" Target="media/image27.png"/><Relationship Id="rId125" Type="http://schemas.openxmlformats.org/officeDocument/2006/relationships/hyperlink" Target="http://kzz.hr/sadrzaj/dokumenti/programi-planovi-enu/KZZ_Akcijski_plan_EnU_2020_2022.pdf" TargetMode="External"/><Relationship Id="rId141" Type="http://schemas.openxmlformats.org/officeDocument/2006/relationships/image" Target="media/image33.png"/><Relationship Id="rId7" Type="http://schemas.openxmlformats.org/officeDocument/2006/relationships/endnotes" Target="endnotes.xml"/><Relationship Id="rId71" Type="http://schemas.openxmlformats.org/officeDocument/2006/relationships/chart" Target="charts/chart27.xml"/><Relationship Id="rId92" Type="http://schemas.openxmlformats.org/officeDocument/2006/relationships/image" Target="media/image18.png"/><Relationship Id="rId2" Type="http://schemas.openxmlformats.org/officeDocument/2006/relationships/numbering" Target="numbering.xml"/><Relationship Id="rId29" Type="http://schemas.openxmlformats.org/officeDocument/2006/relationships/hyperlink" Target="https://ec.europa.eu/digital-single-market/en/policies/improving-connectivity-and-access" TargetMode="External"/><Relationship Id="rId24" Type="http://schemas.openxmlformats.org/officeDocument/2006/relationships/image" Target="media/image9.emf"/><Relationship Id="rId40" Type="http://schemas.openxmlformats.org/officeDocument/2006/relationships/chart" Target="charts/chart8.xml"/><Relationship Id="rId45" Type="http://schemas.openxmlformats.org/officeDocument/2006/relationships/chart" Target="charts/chart13.xml"/><Relationship Id="rId66" Type="http://schemas.openxmlformats.org/officeDocument/2006/relationships/hyperlink" Target="http://www.pou-zabok.hr/stranica/srednje-obrazovanje" TargetMode="External"/><Relationship Id="rId87" Type="http://schemas.openxmlformats.org/officeDocument/2006/relationships/footer" Target="footer3.xml"/><Relationship Id="rId110" Type="http://schemas.openxmlformats.org/officeDocument/2006/relationships/chart" Target="charts/chart58.xml"/><Relationship Id="rId115" Type="http://schemas.openxmlformats.org/officeDocument/2006/relationships/image" Target="media/image22.png"/><Relationship Id="rId131" Type="http://schemas.openxmlformats.org/officeDocument/2006/relationships/hyperlink" Target="https://www.zakon.hr/cms.htm?id=265" TargetMode="External"/><Relationship Id="rId136" Type="http://schemas.openxmlformats.org/officeDocument/2006/relationships/hyperlink" Target="https://www.zakon.hr/cms.htm?id=26157" TargetMode="External"/><Relationship Id="rId61" Type="http://schemas.microsoft.com/office/2011/relationships/commentsExtended" Target="commentsExtended.xml"/><Relationship Id="rId82" Type="http://schemas.openxmlformats.org/officeDocument/2006/relationships/chart" Target="charts/chart36.xml"/><Relationship Id="rId19" Type="http://schemas.openxmlformats.org/officeDocument/2006/relationships/image" Target="media/image8.jpg"/><Relationship Id="rId14" Type="http://schemas.openxmlformats.org/officeDocument/2006/relationships/image" Target="media/image4.png"/><Relationship Id="rId30" Type="http://schemas.openxmlformats.org/officeDocument/2006/relationships/image" Target="media/image12.png"/><Relationship Id="rId35" Type="http://schemas.openxmlformats.org/officeDocument/2006/relationships/chart" Target="charts/chart7.xml"/><Relationship Id="rId56" Type="http://schemas.openxmlformats.org/officeDocument/2006/relationships/hyperlink" Target="https://app.powerbi.com/view?r=eyJrIjoiZWE3YTE4OWQtOWJmNC00OTJmLWE2MjktYTQ5MWJlNDNlZDQ0IiwidCI6IjJjMTFjYmNjLWI3NjEtNDVkYi1hOWY1LTRhYzc3ZTk0ZTFkNCIsImMiOjh9" TargetMode="External"/><Relationship Id="rId77" Type="http://schemas.openxmlformats.org/officeDocument/2006/relationships/chart" Target="charts/chart32.xml"/><Relationship Id="rId100" Type="http://schemas.openxmlformats.org/officeDocument/2006/relationships/chart" Target="charts/chart50.xml"/><Relationship Id="rId105" Type="http://schemas.openxmlformats.org/officeDocument/2006/relationships/image" Target="media/image19.png"/><Relationship Id="rId126" Type="http://schemas.openxmlformats.org/officeDocument/2006/relationships/hyperlink" Target="https://www.zakon.hr/cms.htm?id=260" TargetMode="External"/><Relationship Id="rId8" Type="http://schemas.openxmlformats.org/officeDocument/2006/relationships/image" Target="media/image1.png"/><Relationship Id="rId51" Type="http://schemas.openxmlformats.org/officeDocument/2006/relationships/chart" Target="charts/chart17.xml"/><Relationship Id="rId72" Type="http://schemas.openxmlformats.org/officeDocument/2006/relationships/chart" Target="charts/chart28.xml"/><Relationship Id="rId93" Type="http://schemas.openxmlformats.org/officeDocument/2006/relationships/chart" Target="charts/chart44.xml"/><Relationship Id="rId98" Type="http://schemas.openxmlformats.org/officeDocument/2006/relationships/chart" Target="charts/chart48.xml"/><Relationship Id="rId121" Type="http://schemas.openxmlformats.org/officeDocument/2006/relationships/image" Target="media/image28.gif"/><Relationship Id="rId142" Type="http://schemas.openxmlformats.org/officeDocument/2006/relationships/chart" Target="charts/chart63.xml"/></Relationships>
</file>

<file path=word/_rels/footnotes.xml.rels><?xml version="1.0" encoding="UTF-8" standalone="yes"?>
<Relationships xmlns="http://schemas.openxmlformats.org/package/2006/relationships"><Relationship Id="rId8" Type="http://schemas.openxmlformats.org/officeDocument/2006/relationships/hyperlink" Target="https://narodne-novine.nn.hr/clanci/sluzbeni/2019_12_125_2507.html" TargetMode="External"/><Relationship Id="rId13" Type="http://schemas.openxmlformats.org/officeDocument/2006/relationships/hyperlink" Target="https://clps.hr/fertilitet-po-zupanijama-hrvatske-u-2016/" TargetMode="External"/><Relationship Id="rId18" Type="http://schemas.openxmlformats.org/officeDocument/2006/relationships/hyperlink" Target="http://www.kzz.hr/koronavirus-aktualno/zupanijski-stozer-epidemioloska-situacija-je-dobra-nastavlja-se-cijepljenje" TargetMode="External"/><Relationship Id="rId26" Type="http://schemas.openxmlformats.org/officeDocument/2006/relationships/hyperlink" Target="http://www.kzz.hr/sadrzaj/natjecaji/pravilnik-stipendije-poziv-savjet/Pravilnik%20-%20stipendije%20-%20vazeci.pdf" TargetMode="External"/><Relationship Id="rId3" Type="http://schemas.openxmlformats.org/officeDocument/2006/relationships/hyperlink" Target="https://www.zagorje-priroda.hr/zasticena-podrucja/" TargetMode="External"/><Relationship Id="rId21" Type="http://schemas.openxmlformats.org/officeDocument/2006/relationships/hyperlink" Target="http://www.kzz.hr/uvodna-konferencija-projekt-baif" TargetMode="External"/><Relationship Id="rId34" Type="http://schemas.openxmlformats.org/officeDocument/2006/relationships/hyperlink" Target="https://poljoprivreda.gov.hr/istaknute-teme/poljoprivreda-173/poljoprivreda-175/ekoloska/popis-subjekata-u-ekoloskoj-poljoprivredi/208" TargetMode="External"/><Relationship Id="rId7" Type="http://schemas.openxmlformats.org/officeDocument/2006/relationships/hyperlink" Target="https://drive.google.com/file/d/1W5Qf07Q0YOCJIN0kF28p5Wns6HM3qNvR/view" TargetMode="External"/><Relationship Id="rId12" Type="http://schemas.openxmlformats.org/officeDocument/2006/relationships/hyperlink" Target="https://www.dzs.hr/Hrv_Eng/Projections/projekcije_stanovnistva_2010-2061.pdf" TargetMode="External"/><Relationship Id="rId17" Type="http://schemas.openxmlformats.org/officeDocument/2006/relationships/hyperlink" Target="http://www.kzz.hr/koronavirus-aktualno,koronavirus-aktualno/cijepljenje-pocelo-i-u-ob-zabok" TargetMode="External"/><Relationship Id="rId25" Type="http://schemas.openxmlformats.org/officeDocument/2006/relationships/hyperlink" Target="https://narodne-novine.nn.hr/clanci/sluzbeni/2020_05_62_1240.html" TargetMode="External"/><Relationship Id="rId33" Type="http://schemas.openxmlformats.org/officeDocument/2006/relationships/hyperlink" Target="https://htz.hr/sites/default/files/2019-06/HTZ%20TUB%20HR_%202018_0.pdf" TargetMode="External"/><Relationship Id="rId38" Type="http://schemas.openxmlformats.org/officeDocument/2006/relationships/hyperlink" Target="https://razvoj.gov.hr/UserDocsImages/Vijesti%20-%20dokumenti/Iskori&#353;tenost%20EU%20fondova%20po%20&#382;upanijama.pdf" TargetMode="External"/><Relationship Id="rId2" Type="http://schemas.openxmlformats.org/officeDocument/2006/relationships/hyperlink" Target="http://www.revizija.hr/datastore/filestore/99/krapinsko-zagorska_zupanija.pdf" TargetMode="External"/><Relationship Id="rId16" Type="http://schemas.openxmlformats.org/officeDocument/2006/relationships/hyperlink" Target="http://www.kzz.hr/koronavirus-aktualno,koronavirus-aktualno/pocelo-cijepljenje-u-krapinsko-zagorskoj-zupaniji" TargetMode="External"/><Relationship Id="rId20" Type="http://schemas.openxmlformats.org/officeDocument/2006/relationships/hyperlink" Target="http://upisnik.nsk.hr/upisnik-knjiznica-1/imenik/index.php" TargetMode="External"/><Relationship Id="rId29" Type="http://schemas.openxmlformats.org/officeDocument/2006/relationships/hyperlink" Target="https://sspregrada.hr/o-skoli/" TargetMode="External"/><Relationship Id="rId1" Type="http://schemas.openxmlformats.org/officeDocument/2006/relationships/hyperlink" Target="https://ec.europa.eu/croatia/smart_city_in_Croatia_hr" TargetMode="External"/><Relationship Id="rId6" Type="http://schemas.openxmlformats.org/officeDocument/2006/relationships/hyperlink" Target="https://drive.google.com/file/d/1W5Qf07Q0YOCJIN0kF28p5Wns6HM3qNvR/view" TargetMode="External"/><Relationship Id="rId11" Type="http://schemas.openxmlformats.org/officeDocument/2006/relationships/hyperlink" Target="https://www.dzs.hr/Hrv_Eng/publication/2019/07-01-03_01_2019.htm" TargetMode="External"/><Relationship Id="rId24" Type="http://schemas.openxmlformats.org/officeDocument/2006/relationships/hyperlink" Target="https://www.dzs.hr/Hrv_Eng/publication/2020/08-01-02_01_2020.htm" TargetMode="External"/><Relationship Id="rId32" Type="http://schemas.openxmlformats.org/officeDocument/2006/relationships/hyperlink" Target="https://ec.europa.eu/eurostat/databrowser/view/sdg_08_10/default/table?lang=en" TargetMode="External"/><Relationship Id="rId37" Type="http://schemas.openxmlformats.org/officeDocument/2006/relationships/hyperlink" Target="http://kzz.hr/sadrzaj/dokumenti/programi-planovi-enu/KZZ_Akcijski_plan_EnU_2020_2022.pdf" TargetMode="External"/><Relationship Id="rId5" Type="http://schemas.openxmlformats.org/officeDocument/2006/relationships/hyperlink" Target="https://mmpi.gov.hr/UserDocsImages/dokumenti/PROMET/Promet%206_19/DESI2019-Croatia-Country-Report%20HR%2011-6_19.pdf" TargetMode="External"/><Relationship Id="rId15" Type="http://schemas.openxmlformats.org/officeDocument/2006/relationships/hyperlink" Target="https://www.koronavirus.hr/zupanije/139" TargetMode="External"/><Relationship Id="rId23" Type="http://schemas.openxmlformats.org/officeDocument/2006/relationships/hyperlink" Target="http://www.propisi.hr/print.php?id=2561" TargetMode="External"/><Relationship Id="rId28" Type="http://schemas.openxmlformats.org/officeDocument/2006/relationships/hyperlink" Target="http://ss-bedekovcina.skole.hr/skola/dom" TargetMode="External"/><Relationship Id="rId36" Type="http://schemas.openxmlformats.org/officeDocument/2006/relationships/hyperlink" Target="http://www.kzz.hr/sadrzaj/novosti/godisnji-plan-energetske-ucinkovitosti2020/Godisnji%20plan%25" TargetMode="External"/><Relationship Id="rId10" Type="http://schemas.openxmlformats.org/officeDocument/2006/relationships/hyperlink" Target="https://www.dzs.hr/Hrv_Eng/publication/2019/07-01-01_01_2019.htm" TargetMode="External"/><Relationship Id="rId19" Type="http://schemas.openxmlformats.org/officeDocument/2006/relationships/hyperlink" Target="http://www.kzz.hr/sadrzaj/dokumenti/strategija-razvoja-palijativne-skrbi-2020-2023/KZ%c5%bd_Strategija%20razvoja%20palijativne%20skrbi%20u%20KZ%c5%bd.pdf" TargetMode="External"/><Relationship Id="rId31" Type="http://schemas.openxmlformats.org/officeDocument/2006/relationships/hyperlink" Target="http://www.partnerstvo-razvoj.net/hr/novosti/stanje-na-trzistu-rada/nezaposlenost-i-zaposljavanje-u-prosincu-2020_2019-godine,3061.html" TargetMode="External"/><Relationship Id="rId4" Type="http://schemas.openxmlformats.org/officeDocument/2006/relationships/hyperlink" Target="https://www.zagorje-priroda.hr/publikacija/knjiga-zagorje-zeleno/" TargetMode="External"/><Relationship Id="rId9" Type="http://schemas.openxmlformats.org/officeDocument/2006/relationships/hyperlink" Target="https://www.dzs.hr/Hrv_Eng/publication/2020/07-01-03_01_2020.htm" TargetMode="External"/><Relationship Id="rId14" Type="http://schemas.openxmlformats.org/officeDocument/2006/relationships/hyperlink" Target="http://www.dom-lekic.com/new/podruznica-pustodol/" TargetMode="External"/><Relationship Id="rId22" Type="http://schemas.openxmlformats.org/officeDocument/2006/relationships/hyperlink" Target="https://www.dzs.hr/Hrv/censuses/census2011/results/htm/h01_01_36/h01_01_36_zup02.html" TargetMode="External"/><Relationship Id="rId27" Type="http://schemas.openxmlformats.org/officeDocument/2006/relationships/hyperlink" Target="https://narodne-novine.nn.hr/clanci/sluzbeni/2020_08_94_1781.html" TargetMode="External"/><Relationship Id="rId30" Type="http://schemas.openxmlformats.org/officeDocument/2006/relationships/hyperlink" Target="https://mzo.gov.hr/istaknute-teme/odgoj-i-obrazovanje/umjetnicko-obrazovanje/132" TargetMode="External"/><Relationship Id="rId35" Type="http://schemas.openxmlformats.org/officeDocument/2006/relationships/hyperlink" Target="https://zir.nsk.hr/islandora/object/mev%3A1006/datastream/PDF/view"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9.xml"/><Relationship Id="rId1" Type="http://schemas.microsoft.com/office/2011/relationships/chartStyle" Target="style9.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1.xml"/><Relationship Id="rId1" Type="http://schemas.microsoft.com/office/2011/relationships/chartStyle" Target="style11.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2.xml"/><Relationship Id="rId1" Type="http://schemas.microsoft.com/office/2011/relationships/chartStyle" Target="style12.xml"/></Relationships>
</file>

<file path=word/charts/_rels/chart15.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11.xlsx"/></Relationships>
</file>

<file path=word/charts/_rels/chart1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18.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14.xml"/><Relationship Id="rId1" Type="http://schemas.microsoft.com/office/2011/relationships/chartStyle" Target="style14.xml"/></Relationships>
</file>

<file path=word/charts/_rels/chart19.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15.xml"/><Relationship Id="rId1" Type="http://schemas.microsoft.com/office/2011/relationships/chartStyle" Target="style15.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3.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oleObject" Target="../embeddings/oleObject3.bin"/></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4.xlsx"/></Relationships>
</file>

<file path=word/charts/_rels/chart23.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19.xml"/><Relationship Id="rId1" Type="http://schemas.microsoft.com/office/2011/relationships/chartStyle" Target="style19.xml"/></Relationships>
</file>

<file path=word/charts/_rels/chart24.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20.xml"/><Relationship Id="rId1" Type="http://schemas.microsoft.com/office/2011/relationships/chartStyle" Target="style20.xml"/></Relationships>
</file>

<file path=word/charts/_rels/chart25.xml.rels><?xml version="1.0" encoding="UTF-8" standalone="yes"?>
<Relationships xmlns="http://schemas.openxmlformats.org/package/2006/relationships"><Relationship Id="rId3" Type="http://schemas.openxmlformats.org/officeDocument/2006/relationships/oleObject" Target="Knjiga1" TargetMode="External"/><Relationship Id="rId2" Type="http://schemas.microsoft.com/office/2011/relationships/chartColorStyle" Target="colors21.xml"/><Relationship Id="rId1" Type="http://schemas.microsoft.com/office/2011/relationships/chartStyle" Target="style21.xml"/></Relationships>
</file>

<file path=word/charts/_rels/chart26.xml.rels><?xml version="1.0" encoding="UTF-8" standalone="yes"?>
<Relationships xmlns="http://schemas.openxmlformats.org/package/2006/relationships"><Relationship Id="rId3" Type="http://schemas.openxmlformats.org/officeDocument/2006/relationships/oleObject" Target="file:///C:\Users\Korisnik\Desktop\Tr&#382;i&#353;te%20rada.xlsx" TargetMode="External"/><Relationship Id="rId2" Type="http://schemas.microsoft.com/office/2011/relationships/chartColorStyle" Target="colors22.xml"/><Relationship Id="rId1" Type="http://schemas.microsoft.com/office/2011/relationships/chartStyle" Target="style22.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Korisnik\Desktop\Tr&#382;i&#353;te%20rada.xlsx" TargetMode="External"/><Relationship Id="rId2" Type="http://schemas.microsoft.com/office/2011/relationships/chartColorStyle" Target="colors23.xml"/><Relationship Id="rId1" Type="http://schemas.microsoft.com/office/2011/relationships/chartStyle" Target="style23.xml"/></Relationships>
</file>

<file path=word/charts/_rels/chart28.xml.rels><?xml version="1.0" encoding="UTF-8" standalone="yes"?>
<Relationships xmlns="http://schemas.openxmlformats.org/package/2006/relationships"><Relationship Id="rId1" Type="http://schemas.openxmlformats.org/officeDocument/2006/relationships/oleObject" Target="file:///\\194.152.214.169\Dokumenti\STRATEGIJE\04_PLAN%20RAZVOJA%20KZ&#381;\BAZA%20PODATAKA%20ZA%20PRKZ&#381;\TR&#381;I&#352;TE%20RADA\Tablice%20i%20grafikoni%20tr&#382;i&#353;te%20rada.xlsx" TargetMode="External"/></Relationships>
</file>

<file path=word/charts/_rels/chart29.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TR&#381;I&#352;TE%20RADA\Tablice%20i%20grafikoni%20tr&#382;i&#353;te%20rada.xlsx" TargetMode="External"/><Relationship Id="rId2" Type="http://schemas.microsoft.com/office/2011/relationships/chartColorStyle" Target="colors24.xml"/><Relationship Id="rId1" Type="http://schemas.microsoft.com/office/2011/relationships/chartStyle" Target="style24.xml"/></Relationships>
</file>

<file path=word/charts/_rels/chart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TR&#381;I&#352;TE%20RADA\Tablice%20i%20grafikoni%20tr&#382;i&#353;te%20rada.xlsx" TargetMode="External"/><Relationship Id="rId2" Type="http://schemas.microsoft.com/office/2011/relationships/chartColorStyle" Target="colors25.xml"/><Relationship Id="rId1" Type="http://schemas.microsoft.com/office/2011/relationships/chartStyle" Target="style25.xml"/></Relationships>
</file>

<file path=word/charts/_rels/chart31.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TR&#381;I&#352;TE%20RADA\Tablice%20i%20grafikoni%20tr&#382;i&#353;te%20rada.xlsx" TargetMode="External"/><Relationship Id="rId2" Type="http://schemas.microsoft.com/office/2011/relationships/chartColorStyle" Target="colors26.xml"/><Relationship Id="rId1" Type="http://schemas.microsoft.com/office/2011/relationships/chartStyle" Target="style26.xml"/></Relationships>
</file>

<file path=word/charts/_rels/chart32.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TR&#381;I&#352;TE%20RADA\Tablice%20i%20grafikoni%20tr&#382;i&#353;te%20rada.xlsx" TargetMode="External"/><Relationship Id="rId2" Type="http://schemas.microsoft.com/office/2011/relationships/chartColorStyle" Target="colors27.xml"/><Relationship Id="rId1" Type="http://schemas.microsoft.com/office/2011/relationships/chartStyle" Target="style27.xml"/></Relationships>
</file>

<file path=word/charts/_rels/chart33.xml.rels><?xml version="1.0" encoding="UTF-8" standalone="yes"?>
<Relationships xmlns="http://schemas.openxmlformats.org/package/2006/relationships"><Relationship Id="rId1" Type="http://schemas.openxmlformats.org/officeDocument/2006/relationships/oleObject" Target="file:///\\194.152.214.169\Dokumenti\STRATEGIJE\04_PLAN%20RAZVOJA%20KZ&#381;\BAZA%20PODATAKA%20ZA%20PRKZ&#381;\TR&#381;I&#352;TE%20RADA\Tablice%20i%20grafikoni%20tr&#382;i&#353;te%20rada.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194.152.214.169\Dokumenti\STRATEGIJE\04_PLAN%20RAZVOJA%20KZ&#381;\BAZA%20PODATAKA%20ZA%20PRKZ&#381;\TR&#381;I&#352;TE%20RADA\Tablice%20i%20grafikoni%20tr&#382;i&#353;te%20rada.xlsx" TargetMode="External"/></Relationships>
</file>

<file path=word/charts/_rels/chart35.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TR&#381;I&#352;TE%20RADA\Tablice%20i%20grafikoni%20tr&#382;i&#353;te%20rada.xlsx" TargetMode="External"/><Relationship Id="rId2" Type="http://schemas.microsoft.com/office/2011/relationships/chartColorStyle" Target="colors28.xml"/><Relationship Id="rId1" Type="http://schemas.microsoft.com/office/2011/relationships/chartStyle" Target="style28.xml"/></Relationships>
</file>

<file path=word/charts/_rels/chart36.xml.rels><?xml version="1.0" encoding="UTF-8" standalone="yes"?>
<Relationships xmlns="http://schemas.openxmlformats.org/package/2006/relationships"><Relationship Id="rId1" Type="http://schemas.openxmlformats.org/officeDocument/2006/relationships/oleObject" Target="file:///\\194.152.214.169\Dokumenti\STRATEGIJE\04_PLAN%20RAZVOJA%20KZ&#381;\BAZA%20PODATAKA%20ZA%20PRKZ&#381;\TR&#381;I&#352;TE%20RADA\Tablice%20i%20grafikoni%20tr&#382;i&#353;te%20rada.xlsx" TargetMode="External"/></Relationships>
</file>

<file path=word/charts/_rels/chart37.xml.rels><?xml version="1.0" encoding="UTF-8" standalone="yes"?>
<Relationships xmlns="http://schemas.openxmlformats.org/package/2006/relationships"><Relationship Id="rId3" Type="http://schemas.openxmlformats.org/officeDocument/2006/relationships/oleObject" Target="file:///C:\Users\Korisnik\Downloads\LFSI_NEET_A1609365882092.xlsx" TargetMode="External"/><Relationship Id="rId2" Type="http://schemas.microsoft.com/office/2011/relationships/chartColorStyle" Target="colors29.xml"/><Relationship Id="rId1" Type="http://schemas.microsoft.com/office/2011/relationships/chartStyle" Target="style29.xml"/></Relationships>
</file>

<file path=word/charts/_rels/chart38.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TR&#381;I&#352;TE%20RADA\Tablice%20i%20grafikoni%20tr&#382;i&#353;te%20rada.xlsx" TargetMode="External"/><Relationship Id="rId2" Type="http://schemas.microsoft.com/office/2011/relationships/chartColorStyle" Target="colors30.xml"/><Relationship Id="rId1" Type="http://schemas.microsoft.com/office/2011/relationships/chartStyle" Target="style30.xml"/></Relationships>
</file>

<file path=word/charts/_rels/chart39.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TR&#381;I&#352;TE%20RADA\Tablice%20i%20grafikoni%20tr&#382;i&#353;te%20rada.xlsx" TargetMode="External"/><Relationship Id="rId2" Type="http://schemas.microsoft.com/office/2011/relationships/chartColorStyle" Target="colors31.xml"/><Relationship Id="rId1" Type="http://schemas.microsoft.com/office/2011/relationships/chartStyle" Target="style31.xml"/></Relationships>
</file>

<file path=word/charts/_rels/chart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1.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OP&#262;A%20GOSPODARSKA%20KRETANJA\Statisti&#269;ki%20podaci_Plan%20razvoja%20KZ&#381;_HGK%20&#381;K%20Krapina.xlsx" TargetMode="External"/><Relationship Id="rId2" Type="http://schemas.microsoft.com/office/2011/relationships/chartColorStyle" Target="colors32.xml"/><Relationship Id="rId1" Type="http://schemas.microsoft.com/office/2011/relationships/chartStyle" Target="style32.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15.xlsx"/><Relationship Id="rId2" Type="http://schemas.microsoft.com/office/2011/relationships/chartColorStyle" Target="colors33.xml"/><Relationship Id="rId1" Type="http://schemas.microsoft.com/office/2011/relationships/chartStyle" Target="style33.xml"/></Relationships>
</file>

<file path=word/charts/_rels/chart4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44.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34.xml"/><Relationship Id="rId1" Type="http://schemas.microsoft.com/office/2011/relationships/chartStyle" Target="style34.xml"/></Relationships>
</file>

<file path=word/charts/_rels/chart45.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TURIZAM%20i%20KULTURNA%20BA&#352;TINA\9.%20TURIZAM.xlsx" TargetMode="External"/><Relationship Id="rId2" Type="http://schemas.microsoft.com/office/2011/relationships/chartColorStyle" Target="colors35.xml"/><Relationship Id="rId1" Type="http://schemas.microsoft.com/office/2011/relationships/chartStyle" Target="style35.xml"/></Relationships>
</file>

<file path=word/charts/_rels/chart46.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36.xml"/><Relationship Id="rId1" Type="http://schemas.microsoft.com/office/2011/relationships/chartStyle" Target="style36.xml"/><Relationship Id="rId4" Type="http://schemas.openxmlformats.org/officeDocument/2006/relationships/package" Target="../embeddings/Microsoft_Excel_Worksheet16.xlsx"/></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17.xlsx"/><Relationship Id="rId2" Type="http://schemas.microsoft.com/office/2011/relationships/chartColorStyle" Target="colors37.xml"/><Relationship Id="rId1" Type="http://schemas.microsoft.com/office/2011/relationships/chartStyle" Target="style37.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38.xml"/><Relationship Id="rId1" Type="http://schemas.microsoft.com/office/2011/relationships/chartStyle" Target="style38.xml"/></Relationships>
</file>

<file path=word/charts/_rels/chart4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39.xml"/><Relationship Id="rId1" Type="http://schemas.microsoft.com/office/2011/relationships/chartStyle" Target="style39.xml"/><Relationship Id="rId4" Type="http://schemas.openxmlformats.org/officeDocument/2006/relationships/package" Target="../embeddings/Microsoft_Excel_Worksheet19.xlsx"/></Relationships>
</file>

<file path=word/charts/_rels/chart5.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PODACI%20DZS-a\3.%20DEMOGRAFSKA%20OBILJE&#381;JA.xlsx" TargetMode="External"/><Relationship Id="rId2" Type="http://schemas.microsoft.com/office/2011/relationships/chartColorStyle" Target="colors3.xml"/><Relationship Id="rId1" Type="http://schemas.microsoft.com/office/2011/relationships/chartStyle" Target="style3.xml"/></Relationships>
</file>

<file path=word/charts/_rels/chart50.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40.xml"/><Relationship Id="rId1" Type="http://schemas.microsoft.com/office/2011/relationships/chartStyle" Target="style40.xml"/></Relationships>
</file>

<file path=word/charts/_rels/chart52.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41.xml"/><Relationship Id="rId1" Type="http://schemas.microsoft.com/office/2011/relationships/chartStyle" Target="style41.xml"/><Relationship Id="rId4" Type="http://schemas.openxmlformats.org/officeDocument/2006/relationships/package" Target="../embeddings/Microsoft_Excel_Worksheet21.xlsx"/></Relationships>
</file>

<file path=word/charts/_rels/chart5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4.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42.xml"/><Relationship Id="rId1" Type="http://schemas.microsoft.com/office/2011/relationships/chartStyle" Target="style42.xml"/><Relationship Id="rId4" Type="http://schemas.openxmlformats.org/officeDocument/2006/relationships/package" Target="../embeddings/Microsoft_Excel_Worksheet22.xlsx"/></Relationships>
</file>

<file path=word/charts/_rels/chart55.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43.xml"/><Relationship Id="rId1" Type="http://schemas.microsoft.com/office/2011/relationships/chartStyle" Target="style43.xml"/><Relationship Id="rId4" Type="http://schemas.openxmlformats.org/officeDocument/2006/relationships/package" Target="../embeddings/Microsoft_Excel_Worksheet23.xlsx"/></Relationships>
</file>

<file path=word/charts/_rels/chart5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7.xml.rels><?xml version="1.0" encoding="UTF-8" standalone="yes"?>
<Relationships xmlns="http://schemas.openxmlformats.org/package/2006/relationships"><Relationship Id="rId3" Type="http://schemas.openxmlformats.org/officeDocument/2006/relationships/oleObject" Target="file:///\\194.152.214.169\Dokumenti\STRATEGIJE\04_PLAN%20RAZVOJA%20KZ&#381;\BAZA%20PODATAKA%20ZA%20PRKZ&#381;\POLJOPRIVREDA\Vinogradarki%20registar\Povr&#353;ina%20i%20broj%20PG-a%20pod%20vinogradima%20prema%20veli&#269;ini%20gospodarstva.xlsx" TargetMode="External"/><Relationship Id="rId2" Type="http://schemas.microsoft.com/office/2011/relationships/chartColorStyle" Target="colors44.xml"/><Relationship Id="rId1" Type="http://schemas.microsoft.com/office/2011/relationships/chartStyle" Target="style44.xml"/></Relationships>
</file>

<file path=word/charts/_rels/chart58.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9.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1.xml"/><Relationship Id="rId4" Type="http://schemas.openxmlformats.org/officeDocument/2006/relationships/package" Target="../embeddings/Microsoft_Excel_Worksheet2.xlsx"/></Relationships>
</file>

<file path=word/charts/_rels/chart60.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'sigurnost prometa'!$P$4</c:f>
              <c:strCache>
                <c:ptCount val="1"/>
                <c:pt idx="0">
                  <c:v>prekršaji</c:v>
                </c:pt>
              </c:strCache>
            </c:strRef>
          </c:tx>
          <c:spPr>
            <a:solidFill>
              <a:srgbClr val="D2232A">
                <a:lumMod val="75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panose="02000000000000000000" pitchFamily="50" charset="0"/>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'sigurnost prometa'!$Q$3:$AB$3</c:f>
              <c:strCache>
                <c:ptCount val="12"/>
                <c:pt idx="0">
                  <c:v>2009.</c:v>
                </c:pt>
                <c:pt idx="1">
                  <c:v>2010.</c:v>
                </c:pt>
                <c:pt idx="2">
                  <c:v>2011.</c:v>
                </c:pt>
                <c:pt idx="3">
                  <c:v>2012.</c:v>
                </c:pt>
                <c:pt idx="4">
                  <c:v>2013.</c:v>
                </c:pt>
                <c:pt idx="5">
                  <c:v>2014.</c:v>
                </c:pt>
                <c:pt idx="6">
                  <c:v>2015.</c:v>
                </c:pt>
                <c:pt idx="7">
                  <c:v>2016.</c:v>
                </c:pt>
                <c:pt idx="8">
                  <c:v>2017.</c:v>
                </c:pt>
                <c:pt idx="9">
                  <c:v>2018.</c:v>
                </c:pt>
                <c:pt idx="10">
                  <c:v>2019.</c:v>
                </c:pt>
                <c:pt idx="11">
                  <c:v>2020.</c:v>
                </c:pt>
              </c:strCache>
            </c:strRef>
          </c:cat>
          <c:val>
            <c:numRef>
              <c:f>'sigurnost prometa'!$Q$4:$AB$4</c:f>
              <c:numCache>
                <c:formatCode>General</c:formatCode>
                <c:ptCount val="12"/>
                <c:pt idx="0">
                  <c:v>13778</c:v>
                </c:pt>
                <c:pt idx="1">
                  <c:v>13510</c:v>
                </c:pt>
                <c:pt idx="2">
                  <c:v>13092</c:v>
                </c:pt>
                <c:pt idx="3">
                  <c:v>12760</c:v>
                </c:pt>
                <c:pt idx="4">
                  <c:v>13879</c:v>
                </c:pt>
                <c:pt idx="5">
                  <c:v>14557</c:v>
                </c:pt>
                <c:pt idx="6">
                  <c:v>14455</c:v>
                </c:pt>
                <c:pt idx="7">
                  <c:v>16445</c:v>
                </c:pt>
                <c:pt idx="8">
                  <c:v>17012</c:v>
                </c:pt>
                <c:pt idx="9">
                  <c:v>15360</c:v>
                </c:pt>
                <c:pt idx="10" formatCode="#,##0">
                  <c:v>14708</c:v>
                </c:pt>
                <c:pt idx="11" formatCode="#,##0">
                  <c:v>15159</c:v>
                </c:pt>
              </c:numCache>
            </c:numRef>
          </c:val>
          <c:extLst>
            <c:ext xmlns:c16="http://schemas.microsoft.com/office/drawing/2014/chart" uri="{C3380CC4-5D6E-409C-BE32-E72D297353CC}">
              <c16:uniqueId val="{00000000-A1E0-4AEA-8773-5841FD63A718}"/>
            </c:ext>
          </c:extLst>
        </c:ser>
        <c:dLbls>
          <c:dLblPos val="outEnd"/>
          <c:showLegendKey val="0"/>
          <c:showVal val="1"/>
          <c:showCatName val="0"/>
          <c:showSerName val="0"/>
          <c:showPercent val="0"/>
          <c:showBubbleSize val="0"/>
        </c:dLbls>
        <c:gapWidth val="80"/>
        <c:overlap val="25"/>
        <c:axId val="641037376"/>
        <c:axId val="641037704"/>
      </c:barChart>
      <c:catAx>
        <c:axId val="641037376"/>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Newslab" panose="02000000000000000000" pitchFamily="50" charset="0"/>
                    <a:ea typeface="+mn-ea"/>
                    <a:cs typeface="+mn-cs"/>
                  </a:defRPr>
                </a:pPr>
                <a:r>
                  <a:rPr lang="hr-HR">
                    <a:latin typeface="Newslab" panose="02000000000000000000" pitchFamily="50" charset="0"/>
                  </a:rPr>
                  <a:t>Godina</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Newslab" panose="02000000000000000000" pitchFamily="50" charset="0"/>
                  <a:ea typeface="+mn-ea"/>
                  <a:cs typeface="+mn-cs"/>
                </a:defRPr>
              </a:pPr>
              <a:endParaRPr lang="sr-Latn-RS"/>
            </a:p>
          </c:txPr>
        </c:title>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Newslab" panose="02000000000000000000" pitchFamily="50" charset="0"/>
                <a:ea typeface="+mn-ea"/>
                <a:cs typeface="+mn-cs"/>
              </a:defRPr>
            </a:pPr>
            <a:endParaRPr lang="sr-Latn-RS"/>
          </a:p>
        </c:txPr>
        <c:crossAx val="641037704"/>
        <c:crosses val="autoZero"/>
        <c:auto val="1"/>
        <c:lblAlgn val="ctr"/>
        <c:lblOffset val="100"/>
        <c:noMultiLvlLbl val="0"/>
      </c:catAx>
      <c:valAx>
        <c:axId val="641037704"/>
        <c:scaling>
          <c:orientation val="minMax"/>
        </c:scaling>
        <c:delete val="0"/>
        <c:axPos val="l"/>
        <c:majorGridlines>
          <c:spPr>
            <a:ln w="9525" cap="flat" cmpd="sng" algn="ctr">
              <a:solidFill>
                <a:schemeClr val="tx1">
                  <a:lumMod val="5000"/>
                  <a:lumOff val="9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Newslab" panose="02000000000000000000" pitchFamily="50" charset="0"/>
                    <a:ea typeface="+mn-ea"/>
                    <a:cs typeface="+mn-cs"/>
                  </a:defRPr>
                </a:pPr>
                <a:r>
                  <a:rPr lang="hr-HR">
                    <a:latin typeface="Newslab" panose="02000000000000000000" pitchFamily="50" charset="0"/>
                  </a:rPr>
                  <a:t>Prometni</a:t>
                </a:r>
                <a:r>
                  <a:rPr lang="hr-HR" baseline="0">
                    <a:latin typeface="Newslab" panose="02000000000000000000" pitchFamily="50" charset="0"/>
                  </a:rPr>
                  <a:t> prekršaji</a:t>
                </a:r>
                <a:endParaRPr lang="hr-HR">
                  <a:latin typeface="Newslab" panose="02000000000000000000" pitchFamily="50"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Newslab" panose="02000000000000000000" pitchFamily="50" charset="0"/>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Newslab" panose="02000000000000000000" pitchFamily="50" charset="0"/>
                <a:ea typeface="+mn-ea"/>
                <a:cs typeface="+mn-cs"/>
              </a:defRPr>
            </a:pPr>
            <a:endParaRPr lang="sr-Latn-RS"/>
          </a:p>
        </c:txPr>
        <c:crossAx val="6410373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16282246897356"/>
          <c:y val="0.12037032604966932"/>
          <c:w val="0.84712232753084082"/>
          <c:h val="0.59944674468882875"/>
        </c:manualLayout>
      </c:layout>
      <c:lineChart>
        <c:grouping val="standard"/>
        <c:varyColors val="0"/>
        <c:ser>
          <c:idx val="0"/>
          <c:order val="0"/>
          <c:tx>
            <c:strRef>
              <c:f>'Broj radnika na broj stanovnika'!$B$5</c:f>
              <c:strCache>
                <c:ptCount val="1"/>
                <c:pt idx="0">
                  <c:v>Republika Hrvatska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0440643353001281E-2"/>
                  <c:y val="-2.27584583841913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061-4703-A516-0D25EF274E8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'Broj radnika na broj stanovnika'!$C$4:$F$4</c:f>
              <c:strCache>
                <c:ptCount val="4"/>
                <c:pt idx="0">
                  <c:v>2016.</c:v>
                </c:pt>
                <c:pt idx="1">
                  <c:v>2017.</c:v>
                </c:pt>
                <c:pt idx="2">
                  <c:v>2018.</c:v>
                </c:pt>
                <c:pt idx="3">
                  <c:v>2019.</c:v>
                </c:pt>
              </c:strCache>
            </c:strRef>
          </c:cat>
          <c:val>
            <c:numRef>
              <c:f>'Broj radnika na broj stanovnika'!$C$5:$F$5</c:f>
              <c:numCache>
                <c:formatCode>0.0</c:formatCode>
                <c:ptCount val="4"/>
                <c:pt idx="0">
                  <c:v>4.9000000000000004</c:v>
                </c:pt>
                <c:pt idx="1">
                  <c:v>5.4</c:v>
                </c:pt>
                <c:pt idx="2">
                  <c:v>5.7</c:v>
                </c:pt>
                <c:pt idx="3">
                  <c:v>5.7</c:v>
                </c:pt>
              </c:numCache>
            </c:numRef>
          </c:val>
          <c:smooth val="0"/>
          <c:extLst>
            <c:ext xmlns:c16="http://schemas.microsoft.com/office/drawing/2014/chart" uri="{C3380CC4-5D6E-409C-BE32-E72D297353CC}">
              <c16:uniqueId val="{00000000-F9E2-4ED3-A7B7-6049E1CFA4AB}"/>
            </c:ext>
          </c:extLst>
        </c:ser>
        <c:ser>
          <c:idx val="1"/>
          <c:order val="1"/>
          <c:tx>
            <c:strRef>
              <c:f>'Broj radnika na broj stanovnika'!$B$6</c:f>
              <c:strCache>
                <c:ptCount val="1"/>
                <c:pt idx="0">
                  <c:v>Krapinsko-zagorska županija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'Broj radnika na broj stanovnika'!$C$4:$F$4</c:f>
              <c:strCache>
                <c:ptCount val="4"/>
                <c:pt idx="0">
                  <c:v>2016.</c:v>
                </c:pt>
                <c:pt idx="1">
                  <c:v>2017.</c:v>
                </c:pt>
                <c:pt idx="2">
                  <c:v>2018.</c:v>
                </c:pt>
                <c:pt idx="3">
                  <c:v>2019.</c:v>
                </c:pt>
              </c:strCache>
            </c:strRef>
          </c:cat>
          <c:val>
            <c:numRef>
              <c:f>'Broj radnika na broj stanovnika'!$C$6:$F$6</c:f>
              <c:numCache>
                <c:formatCode>0.0</c:formatCode>
                <c:ptCount val="4"/>
                <c:pt idx="0">
                  <c:v>5.7</c:v>
                </c:pt>
                <c:pt idx="1">
                  <c:v>7.9</c:v>
                </c:pt>
                <c:pt idx="2">
                  <c:v>8.3000000000000007</c:v>
                </c:pt>
                <c:pt idx="3">
                  <c:v>8.3000000000000007</c:v>
                </c:pt>
              </c:numCache>
            </c:numRef>
          </c:val>
          <c:smooth val="0"/>
          <c:extLst>
            <c:ext xmlns:c16="http://schemas.microsoft.com/office/drawing/2014/chart" uri="{C3380CC4-5D6E-409C-BE32-E72D297353CC}">
              <c16:uniqueId val="{00000001-F9E2-4ED3-A7B7-6049E1CFA4AB}"/>
            </c:ext>
          </c:extLst>
        </c:ser>
        <c:dLbls>
          <c:showLegendKey val="0"/>
          <c:showVal val="0"/>
          <c:showCatName val="0"/>
          <c:showSerName val="0"/>
          <c:showPercent val="0"/>
          <c:showBubbleSize val="0"/>
        </c:dLbls>
        <c:marker val="1"/>
        <c:smooth val="0"/>
        <c:axId val="54889199"/>
        <c:axId val="54876303"/>
      </c:lineChart>
      <c:catAx>
        <c:axId val="548891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4876303"/>
        <c:crosses val="autoZero"/>
        <c:auto val="1"/>
        <c:lblAlgn val="ctr"/>
        <c:lblOffset val="100"/>
        <c:noMultiLvlLbl val="0"/>
      </c:catAx>
      <c:valAx>
        <c:axId val="54876303"/>
        <c:scaling>
          <c:orientation val="minMax"/>
          <c:max val="1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a:t>Broj</a:t>
                </a:r>
                <a:r>
                  <a:rPr lang="hr-HR" baseline="0"/>
                  <a:t> na 10.000 stanovnika</a:t>
                </a:r>
                <a:endParaRPr lang="hr-H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4889199"/>
        <c:crosses val="autoZero"/>
        <c:crossBetween val="between"/>
        <c:majorUnit val="2"/>
        <c:minorUnit val="0.1"/>
      </c:valAx>
      <c:spPr>
        <a:noFill/>
        <a:ln>
          <a:noFill/>
        </a:ln>
        <a:effectLst/>
      </c:spPr>
    </c:plotArea>
    <c:legend>
      <c:legendPos val="b"/>
      <c:layout>
        <c:manualLayout>
          <c:xMode val="edge"/>
          <c:yMode val="edge"/>
          <c:x val="0.17810935878654702"/>
          <c:y val="0.86665669450893101"/>
          <c:w val="0.62648004395490164"/>
          <c:h val="8.548692051791399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37270341207346"/>
          <c:y val="0.19907407407407407"/>
          <c:w val="0.84662729658792646"/>
          <c:h val="0.56447506561679794"/>
        </c:manualLayout>
      </c:layout>
      <c:lineChart>
        <c:grouping val="standard"/>
        <c:varyColors val="0"/>
        <c:ser>
          <c:idx val="0"/>
          <c:order val="0"/>
          <c:tx>
            <c:strRef>
              <c:f>'Primarna zdravstvena zaštita'!$B$4</c:f>
              <c:strCache>
                <c:ptCount val="1"/>
                <c:pt idx="0">
                  <c:v>Republika Hrvatska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'Primarna zdravstvena zaštita'!$C$3:$F$3</c:f>
              <c:strCache>
                <c:ptCount val="4"/>
                <c:pt idx="0">
                  <c:v>2016.</c:v>
                </c:pt>
                <c:pt idx="1">
                  <c:v>2017.</c:v>
                </c:pt>
                <c:pt idx="2">
                  <c:v>2018.</c:v>
                </c:pt>
                <c:pt idx="3">
                  <c:v>2019.</c:v>
                </c:pt>
              </c:strCache>
            </c:strRef>
          </c:cat>
          <c:val>
            <c:numRef>
              <c:f>'Primarna zdravstvena zaštita'!$C$4:$F$4</c:f>
              <c:numCache>
                <c:formatCode>0.0</c:formatCode>
                <c:ptCount val="4"/>
                <c:pt idx="0">
                  <c:v>6.1</c:v>
                </c:pt>
                <c:pt idx="1">
                  <c:v>6.2</c:v>
                </c:pt>
                <c:pt idx="2">
                  <c:v>6.2</c:v>
                </c:pt>
                <c:pt idx="3">
                  <c:v>5.9</c:v>
                </c:pt>
              </c:numCache>
            </c:numRef>
          </c:val>
          <c:smooth val="0"/>
          <c:extLst>
            <c:ext xmlns:c16="http://schemas.microsoft.com/office/drawing/2014/chart" uri="{C3380CC4-5D6E-409C-BE32-E72D297353CC}">
              <c16:uniqueId val="{00000000-2E2E-4035-ACAC-89769FBE8405}"/>
            </c:ext>
          </c:extLst>
        </c:ser>
        <c:ser>
          <c:idx val="1"/>
          <c:order val="1"/>
          <c:tx>
            <c:strRef>
              <c:f>'Primarna zdravstvena zaštita'!$B$5</c:f>
              <c:strCache>
                <c:ptCount val="1"/>
                <c:pt idx="0">
                  <c:v>Krapinsko-zagorska županija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'Primarna zdravstvena zaštita'!$C$3:$F$3</c:f>
              <c:strCache>
                <c:ptCount val="4"/>
                <c:pt idx="0">
                  <c:v>2016.</c:v>
                </c:pt>
                <c:pt idx="1">
                  <c:v>2017.</c:v>
                </c:pt>
                <c:pt idx="2">
                  <c:v>2018.</c:v>
                </c:pt>
                <c:pt idx="3">
                  <c:v>2019.</c:v>
                </c:pt>
              </c:strCache>
            </c:strRef>
          </c:cat>
          <c:val>
            <c:numRef>
              <c:f>'Primarna zdravstvena zaštita'!$C$5:$F$5</c:f>
              <c:numCache>
                <c:formatCode>0.0</c:formatCode>
                <c:ptCount val="4"/>
                <c:pt idx="0">
                  <c:v>6.1</c:v>
                </c:pt>
                <c:pt idx="1">
                  <c:v>6.1</c:v>
                </c:pt>
                <c:pt idx="2">
                  <c:v>6.1</c:v>
                </c:pt>
                <c:pt idx="3">
                  <c:v>6.1</c:v>
                </c:pt>
              </c:numCache>
            </c:numRef>
          </c:val>
          <c:smooth val="0"/>
          <c:extLst>
            <c:ext xmlns:c16="http://schemas.microsoft.com/office/drawing/2014/chart" uri="{C3380CC4-5D6E-409C-BE32-E72D297353CC}">
              <c16:uniqueId val="{00000001-2E2E-4035-ACAC-89769FBE8405}"/>
            </c:ext>
          </c:extLst>
        </c:ser>
        <c:dLbls>
          <c:showLegendKey val="0"/>
          <c:showVal val="0"/>
          <c:showCatName val="0"/>
          <c:showSerName val="0"/>
          <c:showPercent val="0"/>
          <c:showBubbleSize val="0"/>
        </c:dLbls>
        <c:marker val="1"/>
        <c:smooth val="0"/>
        <c:axId val="319556639"/>
        <c:axId val="319560383"/>
      </c:lineChart>
      <c:catAx>
        <c:axId val="3195566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19560383"/>
        <c:crosses val="autoZero"/>
        <c:auto val="1"/>
        <c:lblAlgn val="ctr"/>
        <c:lblOffset val="100"/>
        <c:noMultiLvlLbl val="0"/>
      </c:catAx>
      <c:valAx>
        <c:axId val="319560383"/>
        <c:scaling>
          <c:orientation val="minMax"/>
          <c:max val="6.4"/>
          <c:min val="5.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a:t>
                </a:r>
                <a:r>
                  <a:rPr lang="hr-HR"/>
                  <a:t>roj na 10.000 stanovnika</a:t>
                </a:r>
                <a:endParaRPr lang="en-US"/>
              </a:p>
            </c:rich>
          </c:tx>
          <c:layout>
            <c:manualLayout>
              <c:xMode val="edge"/>
              <c:yMode val="edge"/>
              <c:x val="2.9986001749781291E-2"/>
              <c:y val="0.1843784631087780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19556639"/>
        <c:crosses val="autoZero"/>
        <c:crossBetween val="between"/>
        <c:minorUnit val="0.1"/>
      </c:valAx>
      <c:spPr>
        <a:noFill/>
        <a:ln>
          <a:noFill/>
        </a:ln>
        <a:effectLst/>
      </c:spPr>
    </c:plotArea>
    <c:legend>
      <c:legendPos val="b"/>
      <c:layout>
        <c:manualLayout>
          <c:xMode val="edge"/>
          <c:yMode val="edge"/>
          <c:x val="0.13089873140857392"/>
          <c:y val="0.8616892680081657"/>
          <c:w val="0.73820231846019235"/>
          <c:h val="7.812554680664918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37270341207346"/>
          <c:y val="0.14814814814814814"/>
          <c:w val="0.83551618547681539"/>
          <c:h val="0.62466025080198317"/>
        </c:manualLayout>
      </c:layout>
      <c:lineChart>
        <c:grouping val="standard"/>
        <c:varyColors val="0"/>
        <c:ser>
          <c:idx val="0"/>
          <c:order val="0"/>
          <c:tx>
            <c:strRef>
              <c:f>'Opća medicina'!$B$4</c:f>
              <c:strCache>
                <c:ptCount val="1"/>
                <c:pt idx="0">
                  <c:v>Republika Hrvatska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'Opća medicina'!$C$3:$F$3</c:f>
              <c:strCache>
                <c:ptCount val="4"/>
                <c:pt idx="0">
                  <c:v>2016.</c:v>
                </c:pt>
                <c:pt idx="1">
                  <c:v>2017.</c:v>
                </c:pt>
                <c:pt idx="2">
                  <c:v>2018.</c:v>
                </c:pt>
                <c:pt idx="3">
                  <c:v>2019.</c:v>
                </c:pt>
              </c:strCache>
            </c:strRef>
          </c:cat>
          <c:val>
            <c:numRef>
              <c:f>'Opća medicina'!$C$4:$F$4</c:f>
              <c:numCache>
                <c:formatCode>0.0</c:formatCode>
                <c:ptCount val="4"/>
                <c:pt idx="0">
                  <c:v>5.5</c:v>
                </c:pt>
                <c:pt idx="1">
                  <c:v>5.5</c:v>
                </c:pt>
                <c:pt idx="2">
                  <c:v>5.5</c:v>
                </c:pt>
                <c:pt idx="3">
                  <c:v>5.3</c:v>
                </c:pt>
              </c:numCache>
            </c:numRef>
          </c:val>
          <c:smooth val="0"/>
          <c:extLst>
            <c:ext xmlns:c16="http://schemas.microsoft.com/office/drawing/2014/chart" uri="{C3380CC4-5D6E-409C-BE32-E72D297353CC}">
              <c16:uniqueId val="{00000000-4E5C-4776-BCA1-5933475CB737}"/>
            </c:ext>
          </c:extLst>
        </c:ser>
        <c:ser>
          <c:idx val="1"/>
          <c:order val="1"/>
          <c:tx>
            <c:strRef>
              <c:f>'Opća medicina'!$B$5</c:f>
              <c:strCache>
                <c:ptCount val="1"/>
                <c:pt idx="0">
                  <c:v>Krapinsko-zagorska županija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'Opća medicina'!$C$3:$F$3</c:f>
              <c:strCache>
                <c:ptCount val="4"/>
                <c:pt idx="0">
                  <c:v>2016.</c:v>
                </c:pt>
                <c:pt idx="1">
                  <c:v>2017.</c:v>
                </c:pt>
                <c:pt idx="2">
                  <c:v>2018.</c:v>
                </c:pt>
                <c:pt idx="3">
                  <c:v>2019.</c:v>
                </c:pt>
              </c:strCache>
            </c:strRef>
          </c:cat>
          <c:val>
            <c:numRef>
              <c:f>'Opća medicina'!$C$5:$F$5</c:f>
              <c:numCache>
                <c:formatCode>0.0</c:formatCode>
                <c:ptCount val="4"/>
                <c:pt idx="0">
                  <c:v>5.7</c:v>
                </c:pt>
                <c:pt idx="1">
                  <c:v>5.8</c:v>
                </c:pt>
                <c:pt idx="2">
                  <c:v>5.8</c:v>
                </c:pt>
                <c:pt idx="3">
                  <c:v>5.8</c:v>
                </c:pt>
              </c:numCache>
            </c:numRef>
          </c:val>
          <c:smooth val="0"/>
          <c:extLst>
            <c:ext xmlns:c16="http://schemas.microsoft.com/office/drawing/2014/chart" uri="{C3380CC4-5D6E-409C-BE32-E72D297353CC}">
              <c16:uniqueId val="{00000001-4E5C-4776-BCA1-5933475CB737}"/>
            </c:ext>
          </c:extLst>
        </c:ser>
        <c:dLbls>
          <c:showLegendKey val="0"/>
          <c:showVal val="0"/>
          <c:showCatName val="0"/>
          <c:showSerName val="0"/>
          <c:showPercent val="0"/>
          <c:showBubbleSize val="0"/>
        </c:dLbls>
        <c:marker val="1"/>
        <c:smooth val="0"/>
        <c:axId val="319558719"/>
        <c:axId val="319559135"/>
      </c:lineChart>
      <c:catAx>
        <c:axId val="3195587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19559135"/>
        <c:crosses val="autoZero"/>
        <c:auto val="1"/>
        <c:lblAlgn val="ctr"/>
        <c:lblOffset val="100"/>
        <c:noMultiLvlLbl val="0"/>
      </c:catAx>
      <c:valAx>
        <c:axId val="319559135"/>
        <c:scaling>
          <c:orientation val="minMax"/>
          <c:max val="6"/>
          <c:min val="5.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a:t>Broj</a:t>
                </a:r>
                <a:r>
                  <a:rPr lang="hr-HR" baseline="0"/>
                  <a:t> na 10.000 stanovnika</a:t>
                </a:r>
                <a:endParaRPr lang="hr-HR"/>
              </a:p>
            </c:rich>
          </c:tx>
          <c:layout>
            <c:manualLayout>
              <c:xMode val="edge"/>
              <c:yMode val="edge"/>
              <c:x val="1.6097112860892389E-2"/>
              <c:y val="0.1334525371828521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19558719"/>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315048118985127"/>
          <c:y val="0.11143204871668268"/>
          <c:w val="0.79629396325459323"/>
          <c:h val="0.53669728783902015"/>
        </c:manualLayout>
      </c:layout>
      <c:barChart>
        <c:barDir val="col"/>
        <c:grouping val="clustered"/>
        <c:varyColors val="0"/>
        <c:ser>
          <c:idx val="0"/>
          <c:order val="0"/>
          <c:tx>
            <c:strRef>
              <c:f>'Broj postelja'!$B$5</c:f>
              <c:strCache>
                <c:ptCount val="1"/>
                <c:pt idx="0">
                  <c:v>Krapinsko-zagorska županija</c:v>
                </c:pt>
              </c:strCache>
            </c:strRef>
          </c:tx>
          <c:spPr>
            <a:solidFill>
              <a:schemeClr val="accent1"/>
            </a:solidFill>
            <a:ln>
              <a:noFill/>
            </a:ln>
            <a:effectLst/>
          </c:spPr>
          <c:invertIfNegative val="0"/>
          <c:cat>
            <c:strRef>
              <c:f>'Broj postelja'!$C$4:$F$4</c:f>
              <c:strCache>
                <c:ptCount val="4"/>
                <c:pt idx="0">
                  <c:v>2016.</c:v>
                </c:pt>
                <c:pt idx="1">
                  <c:v>2017.</c:v>
                </c:pt>
                <c:pt idx="2">
                  <c:v>2018.</c:v>
                </c:pt>
                <c:pt idx="3">
                  <c:v>2019.</c:v>
                </c:pt>
              </c:strCache>
            </c:strRef>
          </c:cat>
          <c:val>
            <c:numRef>
              <c:f>'Broj postelja'!$C$5:$F$5</c:f>
              <c:numCache>
                <c:formatCode>0.00</c:formatCode>
                <c:ptCount val="4"/>
                <c:pt idx="0">
                  <c:v>9</c:v>
                </c:pt>
                <c:pt idx="1">
                  <c:v>8.98</c:v>
                </c:pt>
                <c:pt idx="2">
                  <c:v>9.1</c:v>
                </c:pt>
                <c:pt idx="3">
                  <c:v>9.3800000000000008</c:v>
                </c:pt>
              </c:numCache>
            </c:numRef>
          </c:val>
          <c:extLst>
            <c:ext xmlns:c16="http://schemas.microsoft.com/office/drawing/2014/chart" uri="{C3380CC4-5D6E-409C-BE32-E72D297353CC}">
              <c16:uniqueId val="{00000000-FB5C-4E43-9BD0-16D65D234104}"/>
            </c:ext>
          </c:extLst>
        </c:ser>
        <c:ser>
          <c:idx val="1"/>
          <c:order val="1"/>
          <c:tx>
            <c:strRef>
              <c:f>'Broj postelja'!$B$6</c:f>
              <c:strCache>
                <c:ptCount val="1"/>
                <c:pt idx="0">
                  <c:v>Sjeverna Hrvatska</c:v>
                </c:pt>
              </c:strCache>
            </c:strRef>
          </c:tx>
          <c:spPr>
            <a:solidFill>
              <a:schemeClr val="accent2"/>
            </a:solidFill>
            <a:ln>
              <a:noFill/>
            </a:ln>
            <a:effectLst/>
          </c:spPr>
          <c:invertIfNegative val="0"/>
          <c:cat>
            <c:strRef>
              <c:f>'Broj postelja'!$C$4:$F$4</c:f>
              <c:strCache>
                <c:ptCount val="4"/>
                <c:pt idx="0">
                  <c:v>2016.</c:v>
                </c:pt>
                <c:pt idx="1">
                  <c:v>2017.</c:v>
                </c:pt>
                <c:pt idx="2">
                  <c:v>2018.</c:v>
                </c:pt>
                <c:pt idx="3">
                  <c:v>2019.</c:v>
                </c:pt>
              </c:strCache>
            </c:strRef>
          </c:cat>
          <c:val>
            <c:numRef>
              <c:f>'Broj postelja'!$C$6:$F$6</c:f>
              <c:numCache>
                <c:formatCode>0.00</c:formatCode>
                <c:ptCount val="4"/>
                <c:pt idx="0">
                  <c:v>5.2</c:v>
                </c:pt>
                <c:pt idx="1">
                  <c:v>5.16</c:v>
                </c:pt>
                <c:pt idx="2">
                  <c:v>5.18</c:v>
                </c:pt>
                <c:pt idx="3">
                  <c:v>5.25</c:v>
                </c:pt>
              </c:numCache>
            </c:numRef>
          </c:val>
          <c:extLst>
            <c:ext xmlns:c16="http://schemas.microsoft.com/office/drawing/2014/chart" uri="{C3380CC4-5D6E-409C-BE32-E72D297353CC}">
              <c16:uniqueId val="{00000001-FB5C-4E43-9BD0-16D65D234104}"/>
            </c:ext>
          </c:extLst>
        </c:ser>
        <c:ser>
          <c:idx val="2"/>
          <c:order val="2"/>
          <c:tx>
            <c:strRef>
              <c:f>'Broj postelja'!$B$7</c:f>
              <c:strCache>
                <c:ptCount val="1"/>
                <c:pt idx="0">
                  <c:v>Republika Hrvatska</c:v>
                </c:pt>
              </c:strCache>
            </c:strRef>
          </c:tx>
          <c:spPr>
            <a:solidFill>
              <a:schemeClr val="accent3"/>
            </a:solidFill>
            <a:ln>
              <a:noFill/>
            </a:ln>
            <a:effectLst/>
          </c:spPr>
          <c:invertIfNegative val="0"/>
          <c:cat>
            <c:strRef>
              <c:f>'Broj postelja'!$C$4:$F$4</c:f>
              <c:strCache>
                <c:ptCount val="4"/>
                <c:pt idx="0">
                  <c:v>2016.</c:v>
                </c:pt>
                <c:pt idx="1">
                  <c:v>2017.</c:v>
                </c:pt>
                <c:pt idx="2">
                  <c:v>2018.</c:v>
                </c:pt>
                <c:pt idx="3">
                  <c:v>2019.</c:v>
                </c:pt>
              </c:strCache>
            </c:strRef>
          </c:cat>
          <c:val>
            <c:numRef>
              <c:f>'Broj postelja'!$C$7:$F$7</c:f>
              <c:numCache>
                <c:formatCode>0.00</c:formatCode>
                <c:ptCount val="4"/>
                <c:pt idx="0">
                  <c:v>5.39</c:v>
                </c:pt>
                <c:pt idx="1">
                  <c:v>5.38</c:v>
                </c:pt>
                <c:pt idx="2">
                  <c:v>5.4</c:v>
                </c:pt>
                <c:pt idx="3">
                  <c:v>5.42</c:v>
                </c:pt>
              </c:numCache>
            </c:numRef>
          </c:val>
          <c:extLst>
            <c:ext xmlns:c16="http://schemas.microsoft.com/office/drawing/2014/chart" uri="{C3380CC4-5D6E-409C-BE32-E72D297353CC}">
              <c16:uniqueId val="{00000002-FB5C-4E43-9BD0-16D65D234104}"/>
            </c:ext>
          </c:extLst>
        </c:ser>
        <c:dLbls>
          <c:showLegendKey val="0"/>
          <c:showVal val="0"/>
          <c:showCatName val="0"/>
          <c:showSerName val="0"/>
          <c:showPercent val="0"/>
          <c:showBubbleSize val="0"/>
        </c:dLbls>
        <c:gapWidth val="219"/>
        <c:overlap val="-27"/>
        <c:axId val="194308159"/>
        <c:axId val="194305663"/>
      </c:barChart>
      <c:catAx>
        <c:axId val="1943081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94305663"/>
        <c:crosses val="autoZero"/>
        <c:auto val="1"/>
        <c:lblAlgn val="ctr"/>
        <c:lblOffset val="100"/>
        <c:noMultiLvlLbl val="0"/>
      </c:catAx>
      <c:valAx>
        <c:axId val="1943056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a:t>
                </a:r>
                <a:r>
                  <a:rPr lang="hr-HR"/>
                  <a:t>roj postelja</a:t>
                </a:r>
                <a:r>
                  <a:rPr lang="hr-HR" baseline="0"/>
                  <a:t> na 1.000 </a:t>
                </a:r>
              </a:p>
              <a:p>
                <a:pPr>
                  <a:defRPr/>
                </a:pPr>
                <a:r>
                  <a:rPr lang="hr-HR" baseline="0"/>
                  <a:t>stanovnika</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94308159"/>
        <c:crosses val="autoZero"/>
        <c:crossBetween val="between"/>
        <c:majorUnit val="2"/>
      </c:valAx>
      <c:spPr>
        <a:noFill/>
        <a:ln>
          <a:noFill/>
        </a:ln>
        <a:effectLst/>
      </c:spPr>
    </c:plotArea>
    <c:legend>
      <c:legendPos val="b"/>
      <c:layout>
        <c:manualLayout>
          <c:xMode val="edge"/>
          <c:yMode val="edge"/>
          <c:x val="0.14569411931616652"/>
          <c:y val="0.81927440521547701"/>
          <c:w val="0.69557572195367479"/>
          <c:h val="9.282243184948417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91426071741031"/>
          <c:y val="5.0925925925925923E-2"/>
          <c:w val="0.82753018372703413"/>
          <c:h val="0.73577136191309422"/>
        </c:manualLayout>
      </c:layout>
      <c:lineChart>
        <c:grouping val="standard"/>
        <c:varyColors val="0"/>
        <c:ser>
          <c:idx val="0"/>
          <c:order val="0"/>
          <c:tx>
            <c:strRef>
              <c:f>'Broj liječnika'!$A$4</c:f>
              <c:strCache>
                <c:ptCount val="1"/>
                <c:pt idx="0">
                  <c:v>Krapinsko-zagorska županija</c:v>
                </c:pt>
              </c:strCache>
            </c:strRef>
          </c:tx>
          <c:spPr>
            <a:ln w="28575" cap="rnd">
              <a:solidFill>
                <a:schemeClr val="accent1"/>
              </a:solidFill>
              <a:round/>
            </a:ln>
            <a:effectLst/>
          </c:spPr>
          <c:marker>
            <c:symbol val="none"/>
          </c:marker>
          <c:dLbls>
            <c:dLbl>
              <c:idx val="0"/>
              <c:layout>
                <c:manualLayout>
                  <c:x val="-3.3167567567567564E-2"/>
                  <c:y val="-2.345963282004892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08-40EF-880F-C9A9885C9316}"/>
                </c:ext>
              </c:extLst>
            </c:dLbl>
            <c:dLbl>
              <c:idx val="1"/>
              <c:layout>
                <c:manualLayout>
                  <c:x val="-3.3167567567567564E-2"/>
                  <c:y val="-2.86815649349314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08-40EF-880F-C9A9885C9316}"/>
                </c:ext>
              </c:extLst>
            </c:dLbl>
            <c:dLbl>
              <c:idx val="2"/>
              <c:layout>
                <c:manualLayout>
                  <c:x val="-3.3167567567567564E-2"/>
                  <c:y val="-2.34596328200490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08-40EF-880F-C9A9885C9316}"/>
                </c:ext>
              </c:extLst>
            </c:dLbl>
            <c:dLbl>
              <c:idx val="3"/>
              <c:layout>
                <c:manualLayout>
                  <c:x val="-3.1005405405405563E-2"/>
                  <c:y val="-2.86815649349314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908-40EF-880F-C9A9885C931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'Broj liječnika'!$B$3:$E$3</c:f>
              <c:strCache>
                <c:ptCount val="4"/>
                <c:pt idx="0">
                  <c:v>2016.</c:v>
                </c:pt>
                <c:pt idx="1">
                  <c:v>2017.</c:v>
                </c:pt>
                <c:pt idx="2">
                  <c:v>2018.</c:v>
                </c:pt>
                <c:pt idx="3">
                  <c:v>2019.</c:v>
                </c:pt>
              </c:strCache>
            </c:strRef>
          </c:cat>
          <c:val>
            <c:numRef>
              <c:f>'Broj liječnika'!$B$4:$E$4</c:f>
              <c:numCache>
                <c:formatCode>General</c:formatCode>
                <c:ptCount val="4"/>
                <c:pt idx="0">
                  <c:v>188</c:v>
                </c:pt>
                <c:pt idx="1">
                  <c:v>184</c:v>
                </c:pt>
                <c:pt idx="2">
                  <c:v>183</c:v>
                </c:pt>
                <c:pt idx="3">
                  <c:v>209</c:v>
                </c:pt>
              </c:numCache>
            </c:numRef>
          </c:val>
          <c:smooth val="0"/>
          <c:extLst>
            <c:ext xmlns:c16="http://schemas.microsoft.com/office/drawing/2014/chart" uri="{C3380CC4-5D6E-409C-BE32-E72D297353CC}">
              <c16:uniqueId val="{00000000-2C41-466B-940E-0EC0E370E683}"/>
            </c:ext>
          </c:extLst>
        </c:ser>
        <c:ser>
          <c:idx val="1"/>
          <c:order val="1"/>
          <c:tx>
            <c:strRef>
              <c:f>'Broj liječnika'!$A$5</c:f>
              <c:strCache>
                <c:ptCount val="1"/>
                <c:pt idx="0">
                  <c:v>Sjeverna Hrvatska</c:v>
                </c:pt>
              </c:strCache>
            </c:strRef>
          </c:tx>
          <c:spPr>
            <a:ln w="28575" cap="rnd">
              <a:solidFill>
                <a:schemeClr val="accent2"/>
              </a:solidFill>
              <a:round/>
            </a:ln>
            <a:effectLst/>
          </c:spPr>
          <c:marker>
            <c:symbol val="none"/>
          </c:marker>
          <c:dLbls>
            <c:dLbl>
              <c:idx val="0"/>
              <c:layout>
                <c:manualLayout>
                  <c:x val="-3.3167567567567564E-2"/>
                  <c:y val="-4.43473612795789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908-40EF-880F-C9A9885C9316}"/>
                </c:ext>
              </c:extLst>
            </c:dLbl>
            <c:dLbl>
              <c:idx val="1"/>
              <c:layout>
                <c:manualLayout>
                  <c:x val="-3.3167567567567564E-2"/>
                  <c:y val="-4.95692933944614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908-40EF-880F-C9A9885C9316}"/>
                </c:ext>
              </c:extLst>
            </c:dLbl>
            <c:dLbl>
              <c:idx val="2"/>
              <c:layout>
                <c:manualLayout>
                  <c:x val="-3.3167567567567564E-2"/>
                  <c:y val="-4.43473612795789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908-40EF-880F-C9A9885C9316}"/>
                </c:ext>
              </c:extLst>
            </c:dLbl>
            <c:dLbl>
              <c:idx val="3"/>
              <c:layout>
                <c:manualLayout>
                  <c:x val="-3.3167567567567724E-2"/>
                  <c:y val="-4.43473612795789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908-40EF-880F-C9A9885C931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'Broj liječnika'!$B$3:$E$3</c:f>
              <c:strCache>
                <c:ptCount val="4"/>
                <c:pt idx="0">
                  <c:v>2016.</c:v>
                </c:pt>
                <c:pt idx="1">
                  <c:v>2017.</c:v>
                </c:pt>
                <c:pt idx="2">
                  <c:v>2018.</c:v>
                </c:pt>
                <c:pt idx="3">
                  <c:v>2019.</c:v>
                </c:pt>
              </c:strCache>
            </c:strRef>
          </c:cat>
          <c:val>
            <c:numRef>
              <c:f>'Broj liječnika'!$B$5:$E$5</c:f>
              <c:numCache>
                <c:formatCode>General</c:formatCode>
                <c:ptCount val="4"/>
                <c:pt idx="0">
                  <c:v>676</c:v>
                </c:pt>
                <c:pt idx="1">
                  <c:v>660</c:v>
                </c:pt>
                <c:pt idx="2">
                  <c:v>660</c:v>
                </c:pt>
                <c:pt idx="3">
                  <c:v>736</c:v>
                </c:pt>
              </c:numCache>
            </c:numRef>
          </c:val>
          <c:smooth val="0"/>
          <c:extLst>
            <c:ext xmlns:c16="http://schemas.microsoft.com/office/drawing/2014/chart" uri="{C3380CC4-5D6E-409C-BE32-E72D297353CC}">
              <c16:uniqueId val="{00000001-2C41-466B-940E-0EC0E370E683}"/>
            </c:ext>
          </c:extLst>
        </c:ser>
        <c:ser>
          <c:idx val="2"/>
          <c:order val="2"/>
          <c:tx>
            <c:strRef>
              <c:f>'Broj liječnika'!$A$6</c:f>
              <c:strCache>
                <c:ptCount val="1"/>
                <c:pt idx="0">
                  <c:v>Republika Hrvatska</c:v>
                </c:pt>
              </c:strCache>
            </c:strRef>
          </c:tx>
          <c:spPr>
            <a:ln w="28575" cap="rnd">
              <a:solidFill>
                <a:schemeClr val="accent3"/>
              </a:solidFill>
              <a:round/>
            </a:ln>
            <a:effectLst/>
          </c:spPr>
          <c:marker>
            <c:symbol val="none"/>
          </c:marker>
          <c:dLbls>
            <c:dLbl>
              <c:idx val="0"/>
              <c:layout>
                <c:manualLayout>
                  <c:x val="-4.0551436475845921E-2"/>
                  <c:y val="-3.91254291646964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908-40EF-880F-C9A9885C9316}"/>
                </c:ext>
              </c:extLst>
            </c:dLbl>
            <c:dLbl>
              <c:idx val="1"/>
              <c:layout>
                <c:manualLayout>
                  <c:x val="-4.0551436475845921E-2"/>
                  <c:y val="-4.43473612795789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908-40EF-880F-C9A9885C9316}"/>
                </c:ext>
              </c:extLst>
            </c:dLbl>
            <c:dLbl>
              <c:idx val="2"/>
              <c:layout>
                <c:manualLayout>
                  <c:x val="-4.0551436475845921E-2"/>
                  <c:y val="-4.95692933944614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908-40EF-880F-C9A9885C9316}"/>
                </c:ext>
              </c:extLst>
            </c:dLbl>
            <c:dLbl>
              <c:idx val="3"/>
              <c:layout>
                <c:manualLayout>
                  <c:x val="-3.62271121515216E-2"/>
                  <c:y val="-4.43473612795789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908-40EF-880F-C9A9885C931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'Broj liječnika'!$B$3:$E$3</c:f>
              <c:strCache>
                <c:ptCount val="4"/>
                <c:pt idx="0">
                  <c:v>2016.</c:v>
                </c:pt>
                <c:pt idx="1">
                  <c:v>2017.</c:v>
                </c:pt>
                <c:pt idx="2">
                  <c:v>2018.</c:v>
                </c:pt>
                <c:pt idx="3">
                  <c:v>2019.</c:v>
                </c:pt>
              </c:strCache>
            </c:strRef>
          </c:cat>
          <c:val>
            <c:numRef>
              <c:f>'Broj liječnika'!$B$6:$E$6</c:f>
              <c:numCache>
                <c:formatCode>#,##0</c:formatCode>
                <c:ptCount val="4"/>
                <c:pt idx="0">
                  <c:v>6510</c:v>
                </c:pt>
                <c:pt idx="1">
                  <c:v>6642</c:v>
                </c:pt>
                <c:pt idx="2">
                  <c:v>6838</c:v>
                </c:pt>
                <c:pt idx="3">
                  <c:v>7117</c:v>
                </c:pt>
              </c:numCache>
            </c:numRef>
          </c:val>
          <c:smooth val="0"/>
          <c:extLst>
            <c:ext xmlns:c16="http://schemas.microsoft.com/office/drawing/2014/chart" uri="{C3380CC4-5D6E-409C-BE32-E72D297353CC}">
              <c16:uniqueId val="{00000002-2C41-466B-940E-0EC0E370E683}"/>
            </c:ext>
          </c:extLst>
        </c:ser>
        <c:dLbls>
          <c:dLblPos val="t"/>
          <c:showLegendKey val="0"/>
          <c:showVal val="1"/>
          <c:showCatName val="0"/>
          <c:showSerName val="0"/>
          <c:showPercent val="0"/>
          <c:showBubbleSize val="0"/>
        </c:dLbls>
        <c:smooth val="0"/>
        <c:axId val="52204047"/>
        <c:axId val="52204463"/>
      </c:lineChart>
      <c:catAx>
        <c:axId val="522040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2204463"/>
        <c:crosses val="autoZero"/>
        <c:auto val="1"/>
        <c:lblAlgn val="ctr"/>
        <c:lblOffset val="100"/>
        <c:noMultiLvlLbl val="0"/>
      </c:catAx>
      <c:valAx>
        <c:axId val="522044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Broj liječnika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220404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1921235540001964E-2"/>
          <c:y val="5.064890071989115E-2"/>
          <c:w val="0.7316573101973366"/>
          <c:h val="0.85657435921910163"/>
        </c:manualLayout>
      </c:layout>
      <c:barChart>
        <c:barDir val="col"/>
        <c:grouping val="clustered"/>
        <c:varyColors val="0"/>
        <c:ser>
          <c:idx val="0"/>
          <c:order val="0"/>
          <c:tx>
            <c:strRef>
              <c:f>List1!$B$1</c:f>
              <c:strCache>
                <c:ptCount val="1"/>
                <c:pt idx="0">
                  <c:v>umrli</c:v>
                </c:pt>
              </c:strCache>
            </c:strRef>
          </c:tx>
          <c:invertIfNegative val="0"/>
          <c:dLbls>
            <c:dLbl>
              <c:idx val="0"/>
              <c:layout>
                <c:manualLayout>
                  <c:x val="0"/>
                  <c:y val="1.12241331235215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407-4EE0-9B6D-9E4F4B78974C}"/>
                </c:ext>
              </c:extLst>
            </c:dLbl>
            <c:dLbl>
              <c:idx val="1"/>
              <c:layout>
                <c:manualLayout>
                  <c:x val="3.0864197530864291E-3"/>
                  <c:y val="8.41809984264118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407-4EE0-9B6D-9E4F4B78974C}"/>
                </c:ext>
              </c:extLst>
            </c:dLbl>
            <c:dLbl>
              <c:idx val="2"/>
              <c:tx>
                <c:rich>
                  <a:bodyPr/>
                  <a:lstStyle/>
                  <a:p>
                    <a:r>
                      <a:rPr lang="en-US"/>
                      <a:t>64%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1407-4EE0-9B6D-9E4F4B78974C}"/>
                </c:ext>
              </c:extLst>
            </c:dLbl>
            <c:spPr>
              <a:noFill/>
              <a:ln>
                <a:noFill/>
              </a:ln>
              <a:effectLst/>
            </c:spPr>
            <c:txPr>
              <a:bodyPr/>
              <a:lstStyle/>
              <a:p>
                <a:pPr>
                  <a:defRPr sz="900">
                    <a:latin typeface="Newslab" panose="02000000000000000000" pitchFamily="50" charset="0"/>
                    <a:cs typeface="Arial" panose="020B0604020202020204" pitchFamily="34"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List1!$A$2:$A$5</c:f>
              <c:strCache>
                <c:ptCount val="4"/>
                <c:pt idx="0">
                  <c:v>2015.</c:v>
                </c:pt>
                <c:pt idx="1">
                  <c:v>2016.</c:v>
                </c:pt>
                <c:pt idx="2">
                  <c:v>2017.</c:v>
                </c:pt>
                <c:pt idx="3">
                  <c:v>2018.</c:v>
                </c:pt>
              </c:strCache>
            </c:strRef>
          </c:cat>
          <c:val>
            <c:numRef>
              <c:f>List1!$B$2:$B$5</c:f>
              <c:numCache>
                <c:formatCode>0%</c:formatCode>
                <c:ptCount val="4"/>
                <c:pt idx="0">
                  <c:v>0.44</c:v>
                </c:pt>
                <c:pt idx="1">
                  <c:v>0.56000000000000005</c:v>
                </c:pt>
                <c:pt idx="2" formatCode="0.00%">
                  <c:v>0.64000000000000168</c:v>
                </c:pt>
                <c:pt idx="3">
                  <c:v>0.6500000000000018</c:v>
                </c:pt>
              </c:numCache>
            </c:numRef>
          </c:val>
          <c:extLst>
            <c:ext xmlns:c16="http://schemas.microsoft.com/office/drawing/2014/chart" uri="{C3380CC4-5D6E-409C-BE32-E72D297353CC}">
              <c16:uniqueId val="{00000003-1407-4EE0-9B6D-9E4F4B78974C}"/>
            </c:ext>
          </c:extLst>
        </c:ser>
        <c:ser>
          <c:idx val="1"/>
          <c:order val="1"/>
          <c:tx>
            <c:strRef>
              <c:f>List1!$C$1</c:f>
              <c:strCache>
                <c:ptCount val="1"/>
                <c:pt idx="0">
                  <c:v>Stupac1</c:v>
                </c:pt>
              </c:strCache>
            </c:strRef>
          </c:tx>
          <c:invertIfNegative val="0"/>
          <c:dLbls>
            <c:spPr>
              <a:noFill/>
              <a:ln>
                <a:noFill/>
              </a:ln>
              <a:effectLst/>
            </c:spPr>
            <c:txPr>
              <a:bodyPr/>
              <a:lstStyle/>
              <a:p>
                <a:pPr>
                  <a:defRPr sz="1400">
                    <a:latin typeface="Arial" panose="020B0604020202020204" pitchFamily="34" charset="0"/>
                    <a:cs typeface="Arial" panose="020B0604020202020204" pitchFamily="34"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List1!$A$2:$A$5</c:f>
              <c:strCache>
                <c:ptCount val="4"/>
                <c:pt idx="0">
                  <c:v>2015.</c:v>
                </c:pt>
                <c:pt idx="1">
                  <c:v>2016.</c:v>
                </c:pt>
                <c:pt idx="2">
                  <c:v>2017.</c:v>
                </c:pt>
                <c:pt idx="3">
                  <c:v>2018.</c:v>
                </c:pt>
              </c:strCache>
            </c:strRef>
          </c:cat>
          <c:val>
            <c:numRef>
              <c:f>List1!$C$2:$C$5</c:f>
              <c:numCache>
                <c:formatCode>General</c:formatCode>
                <c:ptCount val="4"/>
              </c:numCache>
            </c:numRef>
          </c:val>
          <c:extLst>
            <c:ext xmlns:c16="http://schemas.microsoft.com/office/drawing/2014/chart" uri="{C3380CC4-5D6E-409C-BE32-E72D297353CC}">
              <c16:uniqueId val="{00000004-1407-4EE0-9B6D-9E4F4B78974C}"/>
            </c:ext>
          </c:extLst>
        </c:ser>
        <c:ser>
          <c:idx val="2"/>
          <c:order val="2"/>
          <c:tx>
            <c:strRef>
              <c:f>List1!$D$1</c:f>
              <c:strCache>
                <c:ptCount val="1"/>
                <c:pt idx="0">
                  <c:v>umrli u bolnici</c:v>
                </c:pt>
              </c:strCache>
            </c:strRef>
          </c:tx>
          <c:invertIfNegative val="0"/>
          <c:dLbls>
            <c:dLbl>
              <c:idx val="0"/>
              <c:layout>
                <c:manualLayout>
                  <c:x val="0"/>
                  <c:y val="1.6836199685282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407-4EE0-9B6D-9E4F4B78974C}"/>
                </c:ext>
              </c:extLst>
            </c:dLbl>
            <c:dLbl>
              <c:idx val="1"/>
              <c:layout>
                <c:manualLayout>
                  <c:x val="-6.1728395061728392E-3"/>
                  <c:y val="1.6836199685282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407-4EE0-9B6D-9E4F4B78974C}"/>
                </c:ext>
              </c:extLst>
            </c:dLbl>
            <c:dLbl>
              <c:idx val="2"/>
              <c:tx>
                <c:rich>
                  <a:bodyPr/>
                  <a:lstStyle/>
                  <a:p>
                    <a:r>
                      <a:rPr lang="en-US"/>
                      <a:t>39%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1407-4EE0-9B6D-9E4F4B78974C}"/>
                </c:ext>
              </c:extLst>
            </c:dLbl>
            <c:spPr>
              <a:noFill/>
              <a:ln>
                <a:noFill/>
              </a:ln>
              <a:effectLst/>
            </c:spPr>
            <c:txPr>
              <a:bodyPr/>
              <a:lstStyle/>
              <a:p>
                <a:pPr>
                  <a:defRPr sz="900">
                    <a:latin typeface="Newslab" panose="02000000000000000000" pitchFamily="50" charset="0"/>
                    <a:cs typeface="Arial" panose="020B0604020202020204" pitchFamily="34"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List1!$A$2:$A$5</c:f>
              <c:strCache>
                <c:ptCount val="4"/>
                <c:pt idx="0">
                  <c:v>2015.</c:v>
                </c:pt>
                <c:pt idx="1">
                  <c:v>2016.</c:v>
                </c:pt>
                <c:pt idx="2">
                  <c:v>2017.</c:v>
                </c:pt>
                <c:pt idx="3">
                  <c:v>2018.</c:v>
                </c:pt>
              </c:strCache>
            </c:strRef>
          </c:cat>
          <c:val>
            <c:numRef>
              <c:f>List1!$D$2:$D$5</c:f>
              <c:numCache>
                <c:formatCode>0%</c:formatCode>
                <c:ptCount val="4"/>
                <c:pt idx="0">
                  <c:v>0.6500000000000018</c:v>
                </c:pt>
                <c:pt idx="1">
                  <c:v>0.43000000000000038</c:v>
                </c:pt>
                <c:pt idx="2" formatCode="0.00%">
                  <c:v>0.39000000000000085</c:v>
                </c:pt>
                <c:pt idx="3">
                  <c:v>0.46</c:v>
                </c:pt>
              </c:numCache>
            </c:numRef>
          </c:val>
          <c:extLst>
            <c:ext xmlns:c16="http://schemas.microsoft.com/office/drawing/2014/chart" uri="{C3380CC4-5D6E-409C-BE32-E72D297353CC}">
              <c16:uniqueId val="{00000008-1407-4EE0-9B6D-9E4F4B78974C}"/>
            </c:ext>
          </c:extLst>
        </c:ser>
        <c:ser>
          <c:idx val="3"/>
          <c:order val="3"/>
          <c:tx>
            <c:strRef>
              <c:f>List1!$E$1</c:f>
              <c:strCache>
                <c:ptCount val="1"/>
                <c:pt idx="0">
                  <c:v>umrli kod kuće</c:v>
                </c:pt>
              </c:strCache>
            </c:strRef>
          </c:tx>
          <c:invertIfNegative val="0"/>
          <c:dLbls>
            <c:dLbl>
              <c:idx val="0"/>
              <c:layout>
                <c:manualLayout>
                  <c:x val="7.716049382716081E-3"/>
                  <c:y val="1.96422329661628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407-4EE0-9B6D-9E4F4B78974C}"/>
                </c:ext>
              </c:extLst>
            </c:dLbl>
            <c:dLbl>
              <c:idx val="1"/>
              <c:layout>
                <c:manualLayout>
                  <c:x val="1.543209876543215E-3"/>
                  <c:y val="1.96422329661628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407-4EE0-9B6D-9E4F4B78974C}"/>
                </c:ext>
              </c:extLst>
            </c:dLbl>
            <c:dLbl>
              <c:idx val="2"/>
              <c:tx>
                <c:rich>
                  <a:bodyPr/>
                  <a:lstStyle/>
                  <a:p>
                    <a:r>
                      <a:rPr lang="en-US"/>
                      <a:t>61%</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1407-4EE0-9B6D-9E4F4B78974C}"/>
                </c:ext>
              </c:extLst>
            </c:dLbl>
            <c:dLbl>
              <c:idx val="3"/>
              <c:layout>
                <c:manualLayout>
                  <c:x val="1.2345679012345711E-2"/>
                  <c:y val="1.40301664044019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407-4EE0-9B6D-9E4F4B78974C}"/>
                </c:ext>
              </c:extLst>
            </c:dLbl>
            <c:spPr>
              <a:noFill/>
              <a:ln>
                <a:noFill/>
              </a:ln>
              <a:effectLst/>
            </c:spPr>
            <c:txPr>
              <a:bodyPr/>
              <a:lstStyle/>
              <a:p>
                <a:pPr>
                  <a:defRPr sz="900">
                    <a:latin typeface="Newslab" panose="02000000000000000000" pitchFamily="50" charset="0"/>
                    <a:cs typeface="Arial" panose="020B0604020202020204" pitchFamily="34"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List1!$A$2:$A$5</c:f>
              <c:strCache>
                <c:ptCount val="4"/>
                <c:pt idx="0">
                  <c:v>2015.</c:v>
                </c:pt>
                <c:pt idx="1">
                  <c:v>2016.</c:v>
                </c:pt>
                <c:pt idx="2">
                  <c:v>2017.</c:v>
                </c:pt>
                <c:pt idx="3">
                  <c:v>2018.</c:v>
                </c:pt>
              </c:strCache>
            </c:strRef>
          </c:cat>
          <c:val>
            <c:numRef>
              <c:f>List1!$E$2:$E$5</c:f>
              <c:numCache>
                <c:formatCode>0%</c:formatCode>
                <c:ptCount val="4"/>
                <c:pt idx="0">
                  <c:v>0.35000000000000031</c:v>
                </c:pt>
                <c:pt idx="1">
                  <c:v>0.56999999999999995</c:v>
                </c:pt>
                <c:pt idx="2" formatCode="0.00%">
                  <c:v>0.61000000000000065</c:v>
                </c:pt>
                <c:pt idx="3">
                  <c:v>0.43000000000000038</c:v>
                </c:pt>
              </c:numCache>
            </c:numRef>
          </c:val>
          <c:extLst>
            <c:ext xmlns:c16="http://schemas.microsoft.com/office/drawing/2014/chart" uri="{C3380CC4-5D6E-409C-BE32-E72D297353CC}">
              <c16:uniqueId val="{0000000D-1407-4EE0-9B6D-9E4F4B78974C}"/>
            </c:ext>
          </c:extLst>
        </c:ser>
        <c:ser>
          <c:idx val="4"/>
          <c:order val="4"/>
          <c:tx>
            <c:strRef>
              <c:f>List1!$F$1</c:f>
              <c:strCache>
                <c:ptCount val="1"/>
                <c:pt idx="0">
                  <c:v>umrli u domu</c:v>
                </c:pt>
              </c:strCache>
            </c:strRef>
          </c:tx>
          <c:spPr>
            <a:solidFill>
              <a:schemeClr val="accent2"/>
            </a:solidFill>
            <a:ln>
              <a:solidFill>
                <a:schemeClr val="accent2"/>
              </a:solidFill>
            </a:ln>
          </c:spPr>
          <c:invertIfNegative val="0"/>
          <c:dLbls>
            <c:dLbl>
              <c:idx val="3"/>
              <c:layout>
                <c:manualLayout>
                  <c:x val="6.1728395061728392E-3"/>
                  <c:y val="8.41809984264118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407-4EE0-9B6D-9E4F4B78974C}"/>
                </c:ext>
              </c:extLst>
            </c:dLbl>
            <c:spPr>
              <a:noFill/>
              <a:ln>
                <a:noFill/>
              </a:ln>
              <a:effectLst/>
            </c:spPr>
            <c:txPr>
              <a:bodyPr/>
              <a:lstStyle/>
              <a:p>
                <a:pPr>
                  <a:defRPr sz="900">
                    <a:latin typeface="Newslab" panose="02000000000000000000" pitchFamily="50" charset="0"/>
                    <a:cs typeface="Arial" panose="020B0604020202020204" pitchFamily="34" charset="0"/>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List1!$A$2:$A$5</c:f>
              <c:strCache>
                <c:ptCount val="4"/>
                <c:pt idx="0">
                  <c:v>2015.</c:v>
                </c:pt>
                <c:pt idx="1">
                  <c:v>2016.</c:v>
                </c:pt>
                <c:pt idx="2">
                  <c:v>2017.</c:v>
                </c:pt>
                <c:pt idx="3">
                  <c:v>2018.</c:v>
                </c:pt>
              </c:strCache>
            </c:strRef>
          </c:cat>
          <c:val>
            <c:numRef>
              <c:f>List1!$F$2:$F$5</c:f>
              <c:numCache>
                <c:formatCode>General</c:formatCode>
                <c:ptCount val="4"/>
                <c:pt idx="3" formatCode="0%">
                  <c:v>0.11</c:v>
                </c:pt>
              </c:numCache>
            </c:numRef>
          </c:val>
          <c:extLst>
            <c:ext xmlns:c16="http://schemas.microsoft.com/office/drawing/2014/chart" uri="{C3380CC4-5D6E-409C-BE32-E72D297353CC}">
              <c16:uniqueId val="{0000000F-1407-4EE0-9B6D-9E4F4B78974C}"/>
            </c:ext>
          </c:extLst>
        </c:ser>
        <c:dLbls>
          <c:showLegendKey val="0"/>
          <c:showVal val="0"/>
          <c:showCatName val="0"/>
          <c:showSerName val="0"/>
          <c:showPercent val="0"/>
          <c:showBubbleSize val="0"/>
        </c:dLbls>
        <c:gapWidth val="150"/>
        <c:axId val="191266176"/>
        <c:axId val="190522496"/>
      </c:barChart>
      <c:catAx>
        <c:axId val="191266176"/>
        <c:scaling>
          <c:orientation val="minMax"/>
        </c:scaling>
        <c:delete val="0"/>
        <c:axPos val="b"/>
        <c:numFmt formatCode="General" sourceLinked="1"/>
        <c:majorTickMark val="out"/>
        <c:minorTickMark val="none"/>
        <c:tickLblPos val="nextTo"/>
        <c:txPr>
          <a:bodyPr/>
          <a:lstStyle/>
          <a:p>
            <a:pPr>
              <a:defRPr sz="900">
                <a:latin typeface="Newslab" panose="02000000000000000000" pitchFamily="50" charset="0"/>
                <a:cs typeface="Arial" panose="020B0604020202020204" pitchFamily="34" charset="0"/>
              </a:defRPr>
            </a:pPr>
            <a:endParaRPr lang="sr-Latn-RS"/>
          </a:p>
        </c:txPr>
        <c:crossAx val="190522496"/>
        <c:crosses val="autoZero"/>
        <c:auto val="1"/>
        <c:lblAlgn val="ctr"/>
        <c:lblOffset val="100"/>
        <c:noMultiLvlLbl val="0"/>
      </c:catAx>
      <c:valAx>
        <c:axId val="190522496"/>
        <c:scaling>
          <c:orientation val="minMax"/>
        </c:scaling>
        <c:delete val="0"/>
        <c:axPos val="l"/>
        <c:majorGridlines/>
        <c:numFmt formatCode="0%" sourceLinked="1"/>
        <c:majorTickMark val="out"/>
        <c:minorTickMark val="none"/>
        <c:tickLblPos val="nextTo"/>
        <c:txPr>
          <a:bodyPr/>
          <a:lstStyle/>
          <a:p>
            <a:pPr>
              <a:defRPr sz="900">
                <a:latin typeface="Newslab" panose="02000000000000000000" pitchFamily="50" charset="0"/>
                <a:cs typeface="Arial" panose="020B0604020202020204" pitchFamily="34" charset="0"/>
              </a:defRPr>
            </a:pPr>
            <a:endParaRPr lang="sr-Latn-RS"/>
          </a:p>
        </c:txPr>
        <c:crossAx val="191266176"/>
        <c:crosses val="autoZero"/>
        <c:crossBetween val="between"/>
      </c:valAx>
    </c:plotArea>
    <c:legend>
      <c:legendPos val="r"/>
      <c:legendEntry>
        <c:idx val="1"/>
        <c:delete val="1"/>
      </c:legendEntry>
      <c:layout>
        <c:manualLayout>
          <c:xMode val="edge"/>
          <c:yMode val="edge"/>
          <c:x val="0.82049188295907638"/>
          <c:y val="0.40957436231236716"/>
          <c:w val="0.17024885778166668"/>
          <c:h val="0.19488144177967023"/>
        </c:manualLayout>
      </c:layout>
      <c:overlay val="0"/>
      <c:txPr>
        <a:bodyPr/>
        <a:lstStyle/>
        <a:p>
          <a:pPr>
            <a:defRPr sz="900">
              <a:latin typeface="Newslab" panose="02000000000000000000" pitchFamily="50" charset="0"/>
              <a:cs typeface="Arial" panose="020B0604020202020204" pitchFamily="34" charset="0"/>
            </a:defRPr>
          </a:pPr>
          <a:endParaRPr lang="sr-Latn-RS"/>
        </a:p>
      </c:txPr>
    </c:legend>
    <c:plotVisOnly val="1"/>
    <c:dispBlanksAs val="gap"/>
    <c:showDLblsOverMax val="0"/>
  </c:chart>
  <c:txPr>
    <a:bodyPr/>
    <a:lstStyle/>
    <a:p>
      <a:pPr>
        <a:defRPr sz="1800"/>
      </a:pPr>
      <a:endParaRPr lang="sr-Latn-RS"/>
    </a:p>
  </c:txPr>
  <c:externalData r:id="rId1">
    <c:autoUpdate val="0"/>
  </c:externalData>
  <c:userShapes r:id="rId2"/>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08FA-4DE7-80BA-CD7245BB3925}"/>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08FA-4DE7-80BA-CD7245BB3925}"/>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08FA-4DE7-80BA-CD7245BB3925}"/>
              </c:ext>
            </c:extLst>
          </c:dPt>
          <c:dPt>
            <c:idx val="3"/>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7-08FA-4DE7-80BA-CD7245BB3925}"/>
              </c:ext>
            </c:extLst>
          </c:dPt>
          <c:dPt>
            <c:idx val="4"/>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09-08FA-4DE7-80BA-CD7245BB3925}"/>
              </c:ext>
            </c:extLst>
          </c:dPt>
          <c:dPt>
            <c:idx val="5"/>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B-08FA-4DE7-80BA-CD7245BB3925}"/>
              </c:ext>
            </c:extLst>
          </c:dPt>
          <c:dLbls>
            <c:dLbl>
              <c:idx val="0"/>
              <c:layout>
                <c:manualLayout>
                  <c:x val="4.5871559633027442E-2"/>
                  <c:y val="-1.7667844522968202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8FA-4DE7-80BA-CD7245BB3925}"/>
                </c:ext>
              </c:extLst>
            </c:dLbl>
            <c:dLbl>
              <c:idx val="5"/>
              <c:layout>
                <c:manualLayout>
                  <c:x val="-2.8396679772826641E-2"/>
                  <c:y val="-2.2084805653710248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8FA-4DE7-80BA-CD7245BB392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panose="02000000000000000000" pitchFamily="50" charset="0"/>
                    <a:ea typeface="+mn-ea"/>
                    <a:cs typeface="+mn-cs"/>
                  </a:defRPr>
                </a:pPr>
                <a:endParaRPr lang="sr-Latn-R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'35'!$E$15:$J$15</c:f>
              <c:strCache>
                <c:ptCount val="6"/>
                <c:pt idx="0">
                  <c:v>Bez škole</c:v>
                </c:pt>
                <c:pt idx="1">
                  <c:v>Osnovna škola</c:v>
                </c:pt>
                <c:pt idx="2">
                  <c:v>Srednja škola - strukovna</c:v>
                </c:pt>
                <c:pt idx="3">
                  <c:v>Srednja škola - gimnazija</c:v>
                </c:pt>
                <c:pt idx="4">
                  <c:v>Fakultet</c:v>
                </c:pt>
                <c:pt idx="5">
                  <c:v>Nepoznato</c:v>
                </c:pt>
              </c:strCache>
            </c:strRef>
          </c:cat>
          <c:val>
            <c:numRef>
              <c:f>'35'!$E$17:$J$17</c:f>
              <c:numCache>
                <c:formatCode>0.00%</c:formatCode>
                <c:ptCount val="6"/>
                <c:pt idx="0">
                  <c:v>1.486149456549629E-2</c:v>
                </c:pt>
                <c:pt idx="1">
                  <c:v>0.44922151632403806</c:v>
                </c:pt>
                <c:pt idx="2">
                  <c:v>0.39222850574240758</c:v>
                </c:pt>
                <c:pt idx="3">
                  <c:v>3.6045282399187133E-2</c:v>
                </c:pt>
                <c:pt idx="4">
                  <c:v>0.10678107006866257</c:v>
                </c:pt>
                <c:pt idx="5">
                  <c:v>8.6213090020834831E-4</c:v>
                </c:pt>
              </c:numCache>
            </c:numRef>
          </c:val>
          <c:extLst>
            <c:ext xmlns:c16="http://schemas.microsoft.com/office/drawing/2014/chart" uri="{C3380CC4-5D6E-409C-BE32-E72D297353CC}">
              <c16:uniqueId val="{0000000C-08FA-4DE7-80BA-CD7245BB3925}"/>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'program predškole'!$C$4</c:f>
              <c:strCache>
                <c:ptCount val="1"/>
                <c:pt idx="0">
                  <c:v>Broj upisane djece</c:v>
                </c:pt>
              </c:strCache>
            </c:strRef>
          </c:tx>
          <c:spPr>
            <a:ln w="28575" cap="rnd">
              <a:solidFill>
                <a:srgbClr val="C00000"/>
              </a:solidFill>
              <a:round/>
            </a:ln>
            <a:effectLst/>
          </c:spPr>
          <c:marker>
            <c:symbol val="circle"/>
            <c:size val="5"/>
            <c:spPr>
              <a:solidFill>
                <a:schemeClr val="accent1"/>
              </a:solidFill>
              <a:ln w="9525">
                <a:solidFill>
                  <a:srgbClr val="C00000"/>
                </a:solidFill>
              </a:ln>
              <a:effectLst/>
            </c:spPr>
          </c:marker>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t"/>
              <c:showLegendKey val="0"/>
              <c:showVal val="1"/>
              <c:showCatName val="0"/>
              <c:showSerName val="0"/>
              <c:showPercent val="0"/>
              <c:showBubbleSize val="0"/>
              <c:extLst>
                <c:ext xmlns:c16="http://schemas.microsoft.com/office/drawing/2014/chart" uri="{C3380CC4-5D6E-409C-BE32-E72D297353CC}">
                  <c16:uniqueId val="{00000002-B920-4AB7-992A-EAE36C90DB2B}"/>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t"/>
              <c:showLegendKey val="0"/>
              <c:showVal val="1"/>
              <c:showCatName val="0"/>
              <c:showSerName val="0"/>
              <c:showPercent val="0"/>
              <c:showBubbleSize val="0"/>
              <c:extLst>
                <c:ext xmlns:c16="http://schemas.microsoft.com/office/drawing/2014/chart" uri="{C3380CC4-5D6E-409C-BE32-E72D297353CC}">
                  <c16:uniqueId val="{00000003-B920-4AB7-992A-EAE36C90DB2B}"/>
                </c:ext>
              </c:extLst>
            </c:dLbl>
            <c:dLbl>
              <c:idx val="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t"/>
              <c:showLegendKey val="0"/>
              <c:showVal val="1"/>
              <c:showCatName val="0"/>
              <c:showSerName val="0"/>
              <c:showPercent val="0"/>
              <c:showBubbleSize val="0"/>
              <c:extLst>
                <c:ext xmlns:c16="http://schemas.microsoft.com/office/drawing/2014/chart" uri="{C3380CC4-5D6E-409C-BE32-E72D297353CC}">
                  <c16:uniqueId val="{00000004-B920-4AB7-992A-EAE36C90DB2B}"/>
                </c:ext>
              </c:extLst>
            </c:dLbl>
            <c:dLbl>
              <c:idx val="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t"/>
              <c:showLegendKey val="0"/>
              <c:showVal val="1"/>
              <c:showCatName val="0"/>
              <c:showSerName val="0"/>
              <c:showPercent val="0"/>
              <c:showBubbleSize val="0"/>
              <c:extLst>
                <c:ext xmlns:c16="http://schemas.microsoft.com/office/drawing/2014/chart" uri="{C3380CC4-5D6E-409C-BE32-E72D297353CC}">
                  <c16:uniqueId val="{00000005-B920-4AB7-992A-EAE36C90DB2B}"/>
                </c:ext>
              </c:extLst>
            </c:dLbl>
            <c:dLbl>
              <c:idx val="4"/>
              <c:layout>
                <c:manualLayout>
                  <c:x val="-2.5037676742020308E-2"/>
                  <c:y val="-7.079464102174523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920-4AB7-992A-EAE36C90DB2B}"/>
                </c:ext>
              </c:extLst>
            </c:dLbl>
            <c:dLbl>
              <c:idx val="5"/>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t"/>
              <c:showLegendKey val="0"/>
              <c:showVal val="1"/>
              <c:showCatName val="0"/>
              <c:showSerName val="0"/>
              <c:showPercent val="0"/>
              <c:showBubbleSize val="0"/>
              <c:extLst>
                <c:ext xmlns:c16="http://schemas.microsoft.com/office/drawing/2014/chart" uri="{C3380CC4-5D6E-409C-BE32-E72D297353CC}">
                  <c16:uniqueId val="{00000007-B920-4AB7-992A-EAE36C90DB2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'program predškole'!$B$5:$B$10</c:f>
              <c:strCache>
                <c:ptCount val="6"/>
                <c:pt idx="0">
                  <c:v>2015./2016.</c:v>
                </c:pt>
                <c:pt idx="1">
                  <c:v>2016./2017.</c:v>
                </c:pt>
                <c:pt idx="2">
                  <c:v>2017./2018.</c:v>
                </c:pt>
                <c:pt idx="3">
                  <c:v>2018./2019.</c:v>
                </c:pt>
                <c:pt idx="4">
                  <c:v>2019./2020.</c:v>
                </c:pt>
                <c:pt idx="5">
                  <c:v>2020./2021.</c:v>
                </c:pt>
              </c:strCache>
            </c:strRef>
          </c:cat>
          <c:val>
            <c:numRef>
              <c:f>'program predškole'!$C$5:$C$10</c:f>
              <c:numCache>
                <c:formatCode>General</c:formatCode>
                <c:ptCount val="6"/>
                <c:pt idx="0">
                  <c:v>1826</c:v>
                </c:pt>
                <c:pt idx="1">
                  <c:v>1841</c:v>
                </c:pt>
                <c:pt idx="2">
                  <c:v>1929</c:v>
                </c:pt>
                <c:pt idx="3">
                  <c:v>2035</c:v>
                </c:pt>
                <c:pt idx="4">
                  <c:v>1565</c:v>
                </c:pt>
                <c:pt idx="5">
                  <c:v>1753</c:v>
                </c:pt>
              </c:numCache>
            </c:numRef>
          </c:val>
          <c:smooth val="0"/>
          <c:extLst>
            <c:ext xmlns:c16="http://schemas.microsoft.com/office/drawing/2014/chart" uri="{C3380CC4-5D6E-409C-BE32-E72D297353CC}">
              <c16:uniqueId val="{00000000-B920-4AB7-992A-EAE36C90DB2B}"/>
            </c:ext>
          </c:extLst>
        </c:ser>
        <c:dLbls>
          <c:showLegendKey val="0"/>
          <c:showVal val="0"/>
          <c:showCatName val="0"/>
          <c:showSerName val="0"/>
          <c:showPercent val="0"/>
          <c:showBubbleSize val="0"/>
        </c:dLbls>
        <c:marker val="1"/>
        <c:smooth val="0"/>
        <c:axId val="654205560"/>
        <c:axId val="654206544"/>
      </c:lineChart>
      <c:catAx>
        <c:axId val="654205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654206544"/>
        <c:crosses val="autoZero"/>
        <c:auto val="1"/>
        <c:lblAlgn val="ctr"/>
        <c:lblOffset val="100"/>
        <c:noMultiLvlLbl val="0"/>
      </c:catAx>
      <c:valAx>
        <c:axId val="654206544"/>
        <c:scaling>
          <c:orientation val="minMax"/>
          <c:max val="2100"/>
          <c:min val="14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654205560"/>
        <c:crosses val="autoZero"/>
        <c:crossBetween val="between"/>
        <c:majorUnit val="100"/>
        <c:minorUnit val="5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OBRAZOVANJE.xlsx]br učenika u OŠ'!$B$8:$B$15</c:f>
              <c:strCache>
                <c:ptCount val="8"/>
                <c:pt idx="0">
                  <c:v>2013./2014.</c:v>
                </c:pt>
                <c:pt idx="1">
                  <c:v>2014./2015.</c:v>
                </c:pt>
                <c:pt idx="2">
                  <c:v>2015./2016.</c:v>
                </c:pt>
                <c:pt idx="3">
                  <c:v>2016./2017.</c:v>
                </c:pt>
                <c:pt idx="4">
                  <c:v>2017./2018.</c:v>
                </c:pt>
                <c:pt idx="5">
                  <c:v>2018./2019.</c:v>
                </c:pt>
                <c:pt idx="6">
                  <c:v>2019./2020.</c:v>
                </c:pt>
                <c:pt idx="7">
                  <c:v>2020./2021.</c:v>
                </c:pt>
              </c:strCache>
            </c:strRef>
          </c:cat>
          <c:val>
            <c:numRef>
              <c:f>'[6. OBRAZOVANJE.xlsx]br učenika u OŠ'!$C$8:$C$15</c:f>
              <c:numCache>
                <c:formatCode>General</c:formatCode>
                <c:ptCount val="8"/>
                <c:pt idx="0">
                  <c:v>10045</c:v>
                </c:pt>
                <c:pt idx="1">
                  <c:v>9812</c:v>
                </c:pt>
                <c:pt idx="2">
                  <c:v>9756</c:v>
                </c:pt>
                <c:pt idx="3">
                  <c:v>9574</c:v>
                </c:pt>
                <c:pt idx="4">
                  <c:v>9588</c:v>
                </c:pt>
                <c:pt idx="5">
                  <c:v>9455</c:v>
                </c:pt>
                <c:pt idx="6">
                  <c:v>9398</c:v>
                </c:pt>
                <c:pt idx="7">
                  <c:v>9369</c:v>
                </c:pt>
              </c:numCache>
            </c:numRef>
          </c:val>
          <c:smooth val="0"/>
          <c:extLst>
            <c:ext xmlns:c16="http://schemas.microsoft.com/office/drawing/2014/chart" uri="{C3380CC4-5D6E-409C-BE32-E72D297353CC}">
              <c16:uniqueId val="{00000000-4A59-4E0F-B1B3-BFDD08D7470F}"/>
            </c:ext>
          </c:extLst>
        </c:ser>
        <c:dLbls>
          <c:showLegendKey val="0"/>
          <c:showVal val="0"/>
          <c:showCatName val="0"/>
          <c:showSerName val="0"/>
          <c:showPercent val="0"/>
          <c:showBubbleSize val="0"/>
        </c:dLbls>
        <c:marker val="1"/>
        <c:smooth val="0"/>
        <c:axId val="648770856"/>
        <c:axId val="648776104"/>
      </c:lineChart>
      <c:catAx>
        <c:axId val="648770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648776104"/>
        <c:crosses val="autoZero"/>
        <c:auto val="1"/>
        <c:lblAlgn val="ctr"/>
        <c:lblOffset val="100"/>
        <c:noMultiLvlLbl val="0"/>
      </c:catAx>
      <c:valAx>
        <c:axId val="648776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Bro</a:t>
                </a:r>
                <a:r>
                  <a:rPr lang="hr-HR"/>
                  <a:t>j</a:t>
                </a:r>
                <a:r>
                  <a:rPr lang="hr-HR" baseline="0"/>
                  <a:t> </a:t>
                </a:r>
                <a:r>
                  <a:rPr lang="hr-HR"/>
                  <a:t>učenika</a:t>
                </a:r>
                <a:r>
                  <a:rPr lang="en-US"/>
                  <a:t>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6487708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'[6. OBRAZOVANJE.xlsx]Učenici s teškoćama'!$G$6</c:f>
              <c:strCache>
                <c:ptCount val="1"/>
                <c:pt idx="0">
                  <c:v>Broj asistenata/pomoćnika u nastavi</c:v>
                </c:pt>
              </c:strCache>
            </c:strRef>
          </c:tx>
          <c:spPr>
            <a:solidFill>
              <a:schemeClr val="accent1"/>
            </a:solidFill>
            <a:ln>
              <a:noFill/>
            </a:ln>
            <a:effectLst/>
          </c:spPr>
          <c:invertIfNegative val="0"/>
          <c:cat>
            <c:strRef>
              <c:f>'[6. OBRAZOVANJE.xlsx]Učenici s teškoćama'!$F$7:$F$9</c:f>
              <c:strCache>
                <c:ptCount val="3"/>
                <c:pt idx="0">
                  <c:v>šk. god. 2018./2019.</c:v>
                </c:pt>
                <c:pt idx="1">
                  <c:v>šk. god. 2019./2020.</c:v>
                </c:pt>
                <c:pt idx="2">
                  <c:v>šk. god. 2020./2021.</c:v>
                </c:pt>
              </c:strCache>
            </c:strRef>
          </c:cat>
          <c:val>
            <c:numRef>
              <c:f>'[6. OBRAZOVANJE.xlsx]Učenici s teškoćama'!$G$7:$G$9</c:f>
              <c:numCache>
                <c:formatCode>General</c:formatCode>
                <c:ptCount val="3"/>
                <c:pt idx="0">
                  <c:v>85</c:v>
                </c:pt>
                <c:pt idx="1">
                  <c:v>82</c:v>
                </c:pt>
                <c:pt idx="2">
                  <c:v>101</c:v>
                </c:pt>
              </c:numCache>
            </c:numRef>
          </c:val>
          <c:extLst>
            <c:ext xmlns:c16="http://schemas.microsoft.com/office/drawing/2014/chart" uri="{C3380CC4-5D6E-409C-BE32-E72D297353CC}">
              <c16:uniqueId val="{00000000-92D4-4409-9864-EEBF5307B95E}"/>
            </c:ext>
          </c:extLst>
        </c:ser>
        <c:dLbls>
          <c:showLegendKey val="0"/>
          <c:showVal val="0"/>
          <c:showCatName val="0"/>
          <c:showSerName val="0"/>
          <c:showPercent val="0"/>
          <c:showBubbleSize val="0"/>
        </c:dLbls>
        <c:gapWidth val="182"/>
        <c:axId val="648948472"/>
        <c:axId val="648947160"/>
      </c:barChart>
      <c:catAx>
        <c:axId val="6489484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648947160"/>
        <c:crosses val="autoZero"/>
        <c:auto val="1"/>
        <c:lblAlgn val="ctr"/>
        <c:lblOffset val="100"/>
        <c:noMultiLvlLbl val="0"/>
      </c:catAx>
      <c:valAx>
        <c:axId val="64894716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Newslab Light" panose="02000000000000000000" pitchFamily="50" charset="0"/>
                    <a:ea typeface="+mn-ea"/>
                    <a:cs typeface="+mn-cs"/>
                  </a:defRPr>
                </a:pPr>
                <a:r>
                  <a:rPr lang="hr-HR">
                    <a:latin typeface="Newslab Light" panose="02000000000000000000" pitchFamily="50" charset="0"/>
                  </a:rPr>
                  <a:t>Broj pomoćnika u nastavi</a:t>
                </a:r>
              </a:p>
            </c:rich>
          </c:tx>
          <c:layout>
            <c:manualLayout>
              <c:xMode val="edge"/>
              <c:yMode val="edge"/>
              <c:x val="0.36526290463692046"/>
              <c:y val="0.8925692621755614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48948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'sigurnost prometa'!$B$4</c:f>
              <c:strCache>
                <c:ptCount val="1"/>
                <c:pt idx="0">
                  <c:v>nesreće</c:v>
                </c:pt>
              </c:strCache>
            </c:strRef>
          </c:tx>
          <c:spPr>
            <a:solidFill>
              <a:srgbClr val="D2232A">
                <a:lumMod val="75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panose="02000000000000000000" pitchFamily="50" charset="0"/>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'sigurnost prometa'!$C$3:$N$3</c:f>
              <c:strCache>
                <c:ptCount val="12"/>
                <c:pt idx="0">
                  <c:v>2009.</c:v>
                </c:pt>
                <c:pt idx="1">
                  <c:v>2010.</c:v>
                </c:pt>
                <c:pt idx="2">
                  <c:v>2011.</c:v>
                </c:pt>
                <c:pt idx="3">
                  <c:v>2012.</c:v>
                </c:pt>
                <c:pt idx="4">
                  <c:v>2013.</c:v>
                </c:pt>
                <c:pt idx="5">
                  <c:v>2014.</c:v>
                </c:pt>
                <c:pt idx="6">
                  <c:v>2015.</c:v>
                </c:pt>
                <c:pt idx="7">
                  <c:v>2016.</c:v>
                </c:pt>
                <c:pt idx="8">
                  <c:v>2017.</c:v>
                </c:pt>
                <c:pt idx="9">
                  <c:v>2018.</c:v>
                </c:pt>
                <c:pt idx="10">
                  <c:v>2019.</c:v>
                </c:pt>
                <c:pt idx="11">
                  <c:v>2020.</c:v>
                </c:pt>
              </c:strCache>
            </c:strRef>
          </c:cat>
          <c:val>
            <c:numRef>
              <c:f>'sigurnost prometa'!$C$4:$N$4</c:f>
              <c:numCache>
                <c:formatCode>General</c:formatCode>
                <c:ptCount val="12"/>
                <c:pt idx="0">
                  <c:v>1017</c:v>
                </c:pt>
                <c:pt idx="1">
                  <c:v>906</c:v>
                </c:pt>
                <c:pt idx="2">
                  <c:v>816</c:v>
                </c:pt>
                <c:pt idx="3">
                  <c:v>761</c:v>
                </c:pt>
                <c:pt idx="4">
                  <c:v>706</c:v>
                </c:pt>
                <c:pt idx="5">
                  <c:v>677</c:v>
                </c:pt>
                <c:pt idx="6">
                  <c:v>675</c:v>
                </c:pt>
                <c:pt idx="7">
                  <c:v>727</c:v>
                </c:pt>
                <c:pt idx="8">
                  <c:v>725</c:v>
                </c:pt>
                <c:pt idx="9">
                  <c:v>666</c:v>
                </c:pt>
                <c:pt idx="10">
                  <c:v>702</c:v>
                </c:pt>
                <c:pt idx="11">
                  <c:v>546</c:v>
                </c:pt>
              </c:numCache>
            </c:numRef>
          </c:val>
          <c:extLst>
            <c:ext xmlns:c16="http://schemas.microsoft.com/office/drawing/2014/chart" uri="{C3380CC4-5D6E-409C-BE32-E72D297353CC}">
              <c16:uniqueId val="{00000000-BA6A-401A-A95D-BE261F2C4D90}"/>
            </c:ext>
          </c:extLst>
        </c:ser>
        <c:dLbls>
          <c:dLblPos val="outEnd"/>
          <c:showLegendKey val="0"/>
          <c:showVal val="1"/>
          <c:showCatName val="0"/>
          <c:showSerName val="0"/>
          <c:showPercent val="0"/>
          <c:showBubbleSize val="0"/>
        </c:dLbls>
        <c:gapWidth val="80"/>
        <c:overlap val="25"/>
        <c:axId val="652551616"/>
        <c:axId val="652554568"/>
      </c:barChart>
      <c:catAx>
        <c:axId val="652551616"/>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hr-HR">
                    <a:latin typeface="Newslab" panose="02000000000000000000" pitchFamily="50" charset="0"/>
                  </a:rPr>
                  <a:t>Godina</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Newslab" panose="02000000000000000000" pitchFamily="50" charset="0"/>
                <a:ea typeface="+mn-ea"/>
                <a:cs typeface="+mn-cs"/>
              </a:defRPr>
            </a:pPr>
            <a:endParaRPr lang="sr-Latn-RS"/>
          </a:p>
        </c:txPr>
        <c:crossAx val="652554568"/>
        <c:crosses val="autoZero"/>
        <c:auto val="1"/>
        <c:lblAlgn val="ctr"/>
        <c:lblOffset val="100"/>
        <c:noMultiLvlLbl val="0"/>
      </c:catAx>
      <c:valAx>
        <c:axId val="652554568"/>
        <c:scaling>
          <c:orientation val="minMax"/>
        </c:scaling>
        <c:delete val="0"/>
        <c:axPos val="l"/>
        <c:majorGridlines>
          <c:spPr>
            <a:ln w="9525" cap="flat" cmpd="sng" algn="ctr">
              <a:solidFill>
                <a:schemeClr val="tx1">
                  <a:lumMod val="5000"/>
                  <a:lumOff val="95000"/>
                </a:schemeClr>
              </a:solidFill>
              <a:round/>
            </a:ln>
            <a:effectLst/>
          </c:spPr>
        </c:majorGridlines>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hr-HR">
                    <a:latin typeface="Newslab" panose="02000000000000000000" pitchFamily="50" charset="0"/>
                  </a:rPr>
                  <a:t>prometne</a:t>
                </a:r>
                <a:r>
                  <a:rPr lang="hr-HR" baseline="0">
                    <a:latin typeface="Newslab" panose="02000000000000000000" pitchFamily="50" charset="0"/>
                  </a:rPr>
                  <a:t> nesreće</a:t>
                </a:r>
                <a:endParaRPr lang="hr-HR">
                  <a:latin typeface="Newslab" panose="02000000000000000000" pitchFamily="50" charset="0"/>
                </a:endParaRP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Newslab" panose="02000000000000000000" pitchFamily="50" charset="0"/>
                <a:ea typeface="+mn-ea"/>
                <a:cs typeface="+mn-cs"/>
              </a:defRPr>
            </a:pPr>
            <a:endParaRPr lang="sr-Latn-RS"/>
          </a:p>
        </c:txPr>
        <c:crossAx val="6525516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579310533864233E-2"/>
          <c:y val="5.514566929133858E-2"/>
          <c:w val="0.61394765758713465"/>
          <c:h val="0.8691162968282683"/>
        </c:manualLayout>
      </c:layout>
      <c:barChart>
        <c:barDir val="col"/>
        <c:grouping val="stacked"/>
        <c:varyColors val="0"/>
        <c:ser>
          <c:idx val="0"/>
          <c:order val="0"/>
          <c:tx>
            <c:strRef>
              <c:f>'br učenika po programima'!$J$8</c:f>
              <c:strCache>
                <c:ptCount val="1"/>
                <c:pt idx="0">
                  <c:v>Gimnazija</c:v>
                </c:pt>
              </c:strCache>
            </c:strRef>
          </c:tx>
          <c:spPr>
            <a:solidFill>
              <a:srgbClr val="D2232A"/>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Newslab Light" panose="02000000000000000000" pitchFamily="50" charset="0"/>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'br učenika po programima'!$I$9:$I$13</c:f>
              <c:strCache>
                <c:ptCount val="5"/>
                <c:pt idx="0">
                  <c:v>2016./2017.</c:v>
                </c:pt>
                <c:pt idx="1">
                  <c:v>2017./2018.</c:v>
                </c:pt>
                <c:pt idx="2">
                  <c:v>2018./2019.</c:v>
                </c:pt>
                <c:pt idx="3">
                  <c:v>2019./2020.</c:v>
                </c:pt>
                <c:pt idx="4">
                  <c:v>2020./2021.</c:v>
                </c:pt>
              </c:strCache>
            </c:strRef>
          </c:cat>
          <c:val>
            <c:numRef>
              <c:f>'br učenika po programima'!$J$9:$J$13</c:f>
              <c:numCache>
                <c:formatCode>General</c:formatCode>
                <c:ptCount val="5"/>
                <c:pt idx="0">
                  <c:v>1115</c:v>
                </c:pt>
                <c:pt idx="1">
                  <c:v>1070</c:v>
                </c:pt>
                <c:pt idx="2">
                  <c:v>971</c:v>
                </c:pt>
                <c:pt idx="3">
                  <c:v>930</c:v>
                </c:pt>
                <c:pt idx="4">
                  <c:v>876</c:v>
                </c:pt>
              </c:numCache>
            </c:numRef>
          </c:val>
          <c:extLst>
            <c:ext xmlns:c16="http://schemas.microsoft.com/office/drawing/2014/chart" uri="{C3380CC4-5D6E-409C-BE32-E72D297353CC}">
              <c16:uniqueId val="{00000000-67A3-41E4-A9D2-95924721E516}"/>
            </c:ext>
          </c:extLst>
        </c:ser>
        <c:ser>
          <c:idx val="1"/>
          <c:order val="1"/>
          <c:tx>
            <c:strRef>
              <c:f>'br učenika po programima'!$K$8</c:f>
              <c:strCache>
                <c:ptCount val="1"/>
                <c:pt idx="0">
                  <c:v>Glazbeni program</c:v>
                </c:pt>
              </c:strCache>
            </c:strRef>
          </c:tx>
          <c:spPr>
            <a:solidFill>
              <a:schemeClr val="tx1">
                <a:lumMod val="65000"/>
                <a:lumOff val="35000"/>
              </a:schemeClr>
            </a:solidFill>
            <a:ln>
              <a:solidFill>
                <a:srgbClr val="424242">
                  <a:lumMod val="75000"/>
                </a:srgb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Newslab Light" panose="02000000000000000000" pitchFamily="50" charset="0"/>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'br učenika po programima'!$I$9:$I$13</c:f>
              <c:strCache>
                <c:ptCount val="5"/>
                <c:pt idx="0">
                  <c:v>2016./2017.</c:v>
                </c:pt>
                <c:pt idx="1">
                  <c:v>2017./2018.</c:v>
                </c:pt>
                <c:pt idx="2">
                  <c:v>2018./2019.</c:v>
                </c:pt>
                <c:pt idx="3">
                  <c:v>2019./2020.</c:v>
                </c:pt>
                <c:pt idx="4">
                  <c:v>2020./2021.</c:v>
                </c:pt>
              </c:strCache>
            </c:strRef>
          </c:cat>
          <c:val>
            <c:numRef>
              <c:f>'br učenika po programima'!$K$9:$K$13</c:f>
              <c:numCache>
                <c:formatCode>General</c:formatCode>
                <c:ptCount val="5"/>
                <c:pt idx="0">
                  <c:v>45</c:v>
                </c:pt>
                <c:pt idx="1">
                  <c:v>65</c:v>
                </c:pt>
                <c:pt idx="2">
                  <c:v>65</c:v>
                </c:pt>
                <c:pt idx="3">
                  <c:v>55</c:v>
                </c:pt>
                <c:pt idx="4">
                  <c:v>54</c:v>
                </c:pt>
              </c:numCache>
            </c:numRef>
          </c:val>
          <c:extLst>
            <c:ext xmlns:c16="http://schemas.microsoft.com/office/drawing/2014/chart" uri="{C3380CC4-5D6E-409C-BE32-E72D297353CC}">
              <c16:uniqueId val="{00000001-67A3-41E4-A9D2-95924721E516}"/>
            </c:ext>
          </c:extLst>
        </c:ser>
        <c:ser>
          <c:idx val="2"/>
          <c:order val="2"/>
          <c:tx>
            <c:strRef>
              <c:f>'br učenika po programima'!$L$8</c:f>
              <c:strCache>
                <c:ptCount val="1"/>
                <c:pt idx="0">
                  <c:v>Trogodišnji strukovni program</c:v>
                </c:pt>
              </c:strCache>
            </c:strRef>
          </c:tx>
          <c:spPr>
            <a:solidFill>
              <a:schemeClr val="bg1">
                <a:lumMod val="65000"/>
              </a:schemeClr>
            </a:solidFill>
            <a:ln>
              <a:solidFill>
                <a:srgbClr val="E5E5E5">
                  <a:lumMod val="75000"/>
                </a:srgbClr>
              </a:solid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Newslab Light" panose="02000000000000000000" pitchFamily="50" charset="0"/>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'br učenika po programima'!$I$9:$I$13</c:f>
              <c:strCache>
                <c:ptCount val="5"/>
                <c:pt idx="0">
                  <c:v>2016./2017.</c:v>
                </c:pt>
                <c:pt idx="1">
                  <c:v>2017./2018.</c:v>
                </c:pt>
                <c:pt idx="2">
                  <c:v>2018./2019.</c:v>
                </c:pt>
                <c:pt idx="3">
                  <c:v>2019./2020.</c:v>
                </c:pt>
                <c:pt idx="4">
                  <c:v>2020./2021.</c:v>
                </c:pt>
              </c:strCache>
            </c:strRef>
          </c:cat>
          <c:val>
            <c:numRef>
              <c:f>'br učenika po programima'!$L$9:$L$13</c:f>
              <c:numCache>
                <c:formatCode>General</c:formatCode>
                <c:ptCount val="5"/>
                <c:pt idx="0">
                  <c:v>1150</c:v>
                </c:pt>
                <c:pt idx="1">
                  <c:v>1053</c:v>
                </c:pt>
                <c:pt idx="2">
                  <c:v>995</c:v>
                </c:pt>
                <c:pt idx="3">
                  <c:v>1021</c:v>
                </c:pt>
                <c:pt idx="4">
                  <c:v>1081</c:v>
                </c:pt>
              </c:numCache>
            </c:numRef>
          </c:val>
          <c:extLst>
            <c:ext xmlns:c16="http://schemas.microsoft.com/office/drawing/2014/chart" uri="{C3380CC4-5D6E-409C-BE32-E72D297353CC}">
              <c16:uniqueId val="{00000002-67A3-41E4-A9D2-95924721E516}"/>
            </c:ext>
          </c:extLst>
        </c:ser>
        <c:ser>
          <c:idx val="3"/>
          <c:order val="3"/>
          <c:tx>
            <c:strRef>
              <c:f>'br učenika po programima'!$M$8</c:f>
              <c:strCache>
                <c:ptCount val="1"/>
                <c:pt idx="0">
                  <c:v>Četverogodišnji i petogodišnji strukovni program</c:v>
                </c:pt>
              </c:strCache>
            </c:strRef>
          </c:tx>
          <c:spPr>
            <a:solidFill>
              <a:srgbClr val="AC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Newslab Light" panose="02000000000000000000" pitchFamily="50" charset="0"/>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'br učenika po programima'!$I$9:$I$13</c:f>
              <c:strCache>
                <c:ptCount val="5"/>
                <c:pt idx="0">
                  <c:v>2016./2017.</c:v>
                </c:pt>
                <c:pt idx="1">
                  <c:v>2017./2018.</c:v>
                </c:pt>
                <c:pt idx="2">
                  <c:v>2018./2019.</c:v>
                </c:pt>
                <c:pt idx="3">
                  <c:v>2019./2020.</c:v>
                </c:pt>
                <c:pt idx="4">
                  <c:v>2020./2021.</c:v>
                </c:pt>
              </c:strCache>
            </c:strRef>
          </c:cat>
          <c:val>
            <c:numRef>
              <c:f>'br učenika po programima'!$M$9:$M$13</c:f>
              <c:numCache>
                <c:formatCode>General</c:formatCode>
                <c:ptCount val="5"/>
                <c:pt idx="0">
                  <c:v>3391</c:v>
                </c:pt>
                <c:pt idx="1">
                  <c:v>2448</c:v>
                </c:pt>
                <c:pt idx="2">
                  <c:v>2380</c:v>
                </c:pt>
                <c:pt idx="3">
                  <c:v>2336</c:v>
                </c:pt>
                <c:pt idx="4">
                  <c:v>2305</c:v>
                </c:pt>
              </c:numCache>
            </c:numRef>
          </c:val>
          <c:extLst>
            <c:ext xmlns:c16="http://schemas.microsoft.com/office/drawing/2014/chart" uri="{C3380CC4-5D6E-409C-BE32-E72D297353CC}">
              <c16:uniqueId val="{00000003-67A3-41E4-A9D2-95924721E516}"/>
            </c:ext>
          </c:extLst>
        </c:ser>
        <c:dLbls>
          <c:dLblPos val="ctr"/>
          <c:showLegendKey val="0"/>
          <c:showVal val="1"/>
          <c:showCatName val="0"/>
          <c:showSerName val="0"/>
          <c:showPercent val="0"/>
          <c:showBubbleSize val="0"/>
        </c:dLbls>
        <c:gapWidth val="79"/>
        <c:overlap val="100"/>
        <c:axId val="2086276720"/>
        <c:axId val="2086270480"/>
      </c:barChart>
      <c:catAx>
        <c:axId val="20862767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50" b="0" i="0" u="none" strike="noStrike" kern="1200" cap="all" spc="120" normalizeH="0" baseline="0">
                <a:solidFill>
                  <a:schemeClr val="tx1">
                    <a:lumMod val="65000"/>
                    <a:lumOff val="35000"/>
                  </a:schemeClr>
                </a:solidFill>
                <a:latin typeface="Newslab Light" panose="02000000000000000000" pitchFamily="50" charset="0"/>
                <a:ea typeface="+mn-ea"/>
                <a:cs typeface="+mn-cs"/>
              </a:defRPr>
            </a:pPr>
            <a:endParaRPr lang="sr-Latn-RS"/>
          </a:p>
        </c:txPr>
        <c:crossAx val="2086270480"/>
        <c:crosses val="autoZero"/>
        <c:auto val="1"/>
        <c:lblAlgn val="ctr"/>
        <c:lblOffset val="100"/>
        <c:noMultiLvlLbl val="0"/>
      </c:catAx>
      <c:valAx>
        <c:axId val="2086270480"/>
        <c:scaling>
          <c:orientation val="minMax"/>
        </c:scaling>
        <c:delete val="1"/>
        <c:axPos val="l"/>
        <c:numFmt formatCode="General" sourceLinked="1"/>
        <c:majorTickMark val="none"/>
        <c:minorTickMark val="none"/>
        <c:tickLblPos val="nextTo"/>
        <c:crossAx val="2086276720"/>
        <c:crosses val="autoZero"/>
        <c:crossBetween val="between"/>
      </c:valAx>
      <c:spPr>
        <a:noFill/>
        <a:ln>
          <a:noFill/>
        </a:ln>
        <a:effectLst/>
      </c:spPr>
    </c:plotArea>
    <c:legend>
      <c:legendPos val="r"/>
      <c:overlay val="0"/>
      <c:spPr>
        <a:noFill/>
        <a:ln>
          <a:noFill/>
        </a:ln>
        <a:effectLst>
          <a:outerShdw dist="50800" sx="1000" sy="1000" algn="ctr" rotWithShape="0">
            <a:srgbClr val="000000"/>
          </a:outerShdw>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w="28575" cap="rnd">
              <a:solidFill>
                <a:srgbClr val="D0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'br učenika u SŠ'!$B$11:$B$15</c:f>
              <c:strCache>
                <c:ptCount val="5"/>
                <c:pt idx="0">
                  <c:v>2016./2017.</c:v>
                </c:pt>
                <c:pt idx="1">
                  <c:v>2017./2018.</c:v>
                </c:pt>
                <c:pt idx="2">
                  <c:v>2018./2019.</c:v>
                </c:pt>
                <c:pt idx="3">
                  <c:v>2019./2020.</c:v>
                </c:pt>
                <c:pt idx="4">
                  <c:v>2020./2021.</c:v>
                </c:pt>
              </c:strCache>
            </c:strRef>
          </c:cat>
          <c:val>
            <c:numRef>
              <c:f>'br učenika u SŠ'!$C$11:$C$15</c:f>
              <c:numCache>
                <c:formatCode>General</c:formatCode>
                <c:ptCount val="5"/>
                <c:pt idx="0">
                  <c:v>4868</c:v>
                </c:pt>
                <c:pt idx="1">
                  <c:v>4638</c:v>
                </c:pt>
                <c:pt idx="2">
                  <c:v>4413</c:v>
                </c:pt>
                <c:pt idx="3">
                  <c:v>4342</c:v>
                </c:pt>
                <c:pt idx="4">
                  <c:v>4316</c:v>
                </c:pt>
              </c:numCache>
            </c:numRef>
          </c:val>
          <c:smooth val="0"/>
          <c:extLst>
            <c:ext xmlns:c16="http://schemas.microsoft.com/office/drawing/2014/chart" uri="{C3380CC4-5D6E-409C-BE32-E72D297353CC}">
              <c16:uniqueId val="{00000000-3097-409A-BD8B-3E8065A49CC8}"/>
            </c:ext>
          </c:extLst>
        </c:ser>
        <c:dLbls>
          <c:dLblPos val="t"/>
          <c:showLegendKey val="0"/>
          <c:showVal val="1"/>
          <c:showCatName val="0"/>
          <c:showSerName val="0"/>
          <c:showPercent val="0"/>
          <c:showBubbleSize val="0"/>
        </c:dLbls>
        <c:smooth val="0"/>
        <c:axId val="35228272"/>
        <c:axId val="35212880"/>
      </c:lineChart>
      <c:catAx>
        <c:axId val="35228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35212880"/>
        <c:crosses val="autoZero"/>
        <c:auto val="1"/>
        <c:lblAlgn val="ctr"/>
        <c:lblOffset val="100"/>
        <c:noMultiLvlLbl val="0"/>
      </c:catAx>
      <c:valAx>
        <c:axId val="352128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352282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chemeClr val="bg1">
                  <a:lumMod val="65000"/>
                </a:schemeClr>
              </a:solidFill>
              <a:ln w="19050">
                <a:solidFill>
                  <a:schemeClr val="lt1"/>
                </a:solidFill>
              </a:ln>
              <a:effectLst/>
            </c:spPr>
            <c:extLst>
              <c:ext xmlns:c16="http://schemas.microsoft.com/office/drawing/2014/chart" uri="{C3380CC4-5D6E-409C-BE32-E72D297353CC}">
                <c16:uniqueId val="{00000001-C01A-4CE4-9346-A8D69C83A339}"/>
              </c:ext>
            </c:extLst>
          </c:dPt>
          <c:dPt>
            <c:idx val="1"/>
            <c:bubble3D val="0"/>
            <c:spPr>
              <a:solidFill>
                <a:srgbClr val="E20000"/>
              </a:solidFill>
              <a:ln w="19050">
                <a:solidFill>
                  <a:schemeClr val="lt1"/>
                </a:solidFill>
              </a:ln>
              <a:effectLst/>
            </c:spPr>
            <c:extLst>
              <c:ext xmlns:c16="http://schemas.microsoft.com/office/drawing/2014/chart" uri="{C3380CC4-5D6E-409C-BE32-E72D297353CC}">
                <c16:uniqueId val="{00000003-C01A-4CE4-9346-A8D69C83A339}"/>
              </c:ext>
            </c:extLst>
          </c:dPt>
          <c:dPt>
            <c:idx val="2"/>
            <c:bubble3D val="0"/>
            <c:spPr>
              <a:solidFill>
                <a:schemeClr val="bg1">
                  <a:lumMod val="85000"/>
                </a:schemeClr>
              </a:solidFill>
              <a:ln w="19050">
                <a:solidFill>
                  <a:schemeClr val="lt1"/>
                </a:solidFill>
              </a:ln>
              <a:effectLst/>
            </c:spPr>
            <c:extLst>
              <c:ext xmlns:c16="http://schemas.microsoft.com/office/drawing/2014/chart" uri="{C3380CC4-5D6E-409C-BE32-E72D297353CC}">
                <c16:uniqueId val="{00000005-C01A-4CE4-9346-A8D69C83A339}"/>
              </c:ext>
            </c:extLst>
          </c:dPt>
          <c:dPt>
            <c:idx val="3"/>
            <c:bubble3D val="0"/>
            <c:spPr>
              <a:solidFill>
                <a:srgbClr val="B40000"/>
              </a:solidFill>
              <a:ln w="19050">
                <a:solidFill>
                  <a:schemeClr val="lt1"/>
                </a:solidFill>
              </a:ln>
              <a:effectLst/>
            </c:spPr>
            <c:extLst>
              <c:ext xmlns:c16="http://schemas.microsoft.com/office/drawing/2014/chart" uri="{C3380CC4-5D6E-409C-BE32-E72D297353CC}">
                <c16:uniqueId val="{00000007-C01A-4CE4-9346-A8D69C83A33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outEnd"/>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'studenti po programima'!$B$40:$B$43</c:f>
              <c:strCache>
                <c:ptCount val="4"/>
                <c:pt idx="0">
                  <c:v>Veleučilište Hrvatsko zagorje Krapina</c:v>
                </c:pt>
                <c:pt idx="1">
                  <c:v>Medicinski fakultet Osijek (Dislocirani studij Pregrada)</c:v>
                </c:pt>
                <c:pt idx="2">
                  <c:v>Organizacija i informatika (Varaždin)</c:v>
                </c:pt>
                <c:pt idx="3">
                  <c:v>Turizam i hotelijerstvo (Opatija)</c:v>
                </c:pt>
              </c:strCache>
            </c:strRef>
          </c:cat>
          <c:val>
            <c:numRef>
              <c:f>'studenti po programima'!$C$40:$C$43</c:f>
              <c:numCache>
                <c:formatCode>General</c:formatCode>
                <c:ptCount val="4"/>
                <c:pt idx="0">
                  <c:v>229</c:v>
                </c:pt>
                <c:pt idx="1">
                  <c:v>168</c:v>
                </c:pt>
                <c:pt idx="2">
                  <c:v>164</c:v>
                </c:pt>
                <c:pt idx="3">
                  <c:v>744</c:v>
                </c:pt>
              </c:numCache>
            </c:numRef>
          </c:val>
          <c:extLst>
            <c:ext xmlns:c16="http://schemas.microsoft.com/office/drawing/2014/chart" uri="{C3380CC4-5D6E-409C-BE32-E72D297353CC}">
              <c16:uniqueId val="{00000008-C01A-4CE4-9346-A8D69C83A339}"/>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A-C01A-4CE4-9346-A8D69C83A33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C-C01A-4CE4-9346-A8D69C83A33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E-C01A-4CE4-9346-A8D69C83A33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10-C01A-4CE4-9346-A8D69C83A33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'studenti po programima'!$B$40:$B$43</c:f>
              <c:strCache>
                <c:ptCount val="4"/>
                <c:pt idx="0">
                  <c:v>Veleučilište Hrvatsko zagorje Krapina</c:v>
                </c:pt>
                <c:pt idx="1">
                  <c:v>Medicinski fakultet Osijek (Dislocirani studij Pregrada)</c:v>
                </c:pt>
                <c:pt idx="2">
                  <c:v>Organizacija i informatika (Varaždin)</c:v>
                </c:pt>
                <c:pt idx="3">
                  <c:v>Turizam i hotelijerstvo (Opatija)</c:v>
                </c:pt>
              </c:strCache>
            </c:strRef>
          </c:cat>
          <c:val>
            <c:numRef>
              <c:f>'studenti po programima'!$D$40:$D$43</c:f>
              <c:numCache>
                <c:formatCode>General</c:formatCode>
                <c:ptCount val="4"/>
              </c:numCache>
            </c:numRef>
          </c:val>
          <c:extLst>
            <c:ext xmlns:c16="http://schemas.microsoft.com/office/drawing/2014/chart" uri="{C3380CC4-5D6E-409C-BE32-E72D297353CC}">
              <c16:uniqueId val="{00000011-C01A-4CE4-9346-A8D69C83A339}"/>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3454750602438768"/>
          <c:y val="1.7513134851138354E-2"/>
          <c:w val="0.73610764109962201"/>
          <c:h val="0.5108771736282528"/>
        </c:manualLayout>
      </c:layout>
      <c:barChart>
        <c:barDir val="bar"/>
        <c:grouping val="clustered"/>
        <c:varyColors val="0"/>
        <c:ser>
          <c:idx val="0"/>
          <c:order val="0"/>
          <c:tx>
            <c:strRef>
              <c:f>List1!$B$1</c:f>
              <c:strCache>
                <c:ptCount val="1"/>
                <c:pt idx="0">
                  <c:v>2015.</c:v>
                </c:pt>
              </c:strCache>
            </c:strRef>
          </c:tx>
          <c:spPr>
            <a:solidFill>
              <a:srgbClr val="C00000"/>
            </a:solidFill>
            <a:ln>
              <a:noFill/>
            </a:ln>
            <a:effectLst/>
          </c:spPr>
          <c:invertIfNegative val="0"/>
          <c:cat>
            <c:strRef>
              <c:f>List1!$A$2:$A$6</c:f>
              <c:strCache>
                <c:ptCount val="5"/>
                <c:pt idx="0">
                  <c:v>visoke škole</c:v>
                </c:pt>
                <c:pt idx="1">
                  <c:v>veleučilišta</c:v>
                </c:pt>
                <c:pt idx="2">
                  <c:v>fakulteti stručni studij</c:v>
                </c:pt>
                <c:pt idx="3">
                  <c:v>fakulteti sveučilišni studij</c:v>
                </c:pt>
                <c:pt idx="4">
                  <c:v>umjetničke akademije</c:v>
                </c:pt>
              </c:strCache>
            </c:strRef>
          </c:cat>
          <c:val>
            <c:numRef>
              <c:f>List1!$B$2:$B$6</c:f>
              <c:numCache>
                <c:formatCode>General</c:formatCode>
                <c:ptCount val="5"/>
                <c:pt idx="0">
                  <c:v>29</c:v>
                </c:pt>
                <c:pt idx="1">
                  <c:v>200</c:v>
                </c:pt>
                <c:pt idx="2">
                  <c:v>109</c:v>
                </c:pt>
                <c:pt idx="3">
                  <c:v>588</c:v>
                </c:pt>
                <c:pt idx="4">
                  <c:v>9</c:v>
                </c:pt>
              </c:numCache>
            </c:numRef>
          </c:val>
          <c:extLst>
            <c:ext xmlns:c16="http://schemas.microsoft.com/office/drawing/2014/chart" uri="{C3380CC4-5D6E-409C-BE32-E72D297353CC}">
              <c16:uniqueId val="{00000000-F2F7-467A-ABF4-E119D611DA3A}"/>
            </c:ext>
          </c:extLst>
        </c:ser>
        <c:ser>
          <c:idx val="1"/>
          <c:order val="1"/>
          <c:tx>
            <c:strRef>
              <c:f>List1!$C$1</c:f>
              <c:strCache>
                <c:ptCount val="1"/>
                <c:pt idx="0">
                  <c:v>2016.</c:v>
                </c:pt>
              </c:strCache>
            </c:strRef>
          </c:tx>
          <c:spPr>
            <a:solidFill>
              <a:schemeClr val="bg1">
                <a:lumMod val="50000"/>
              </a:schemeClr>
            </a:solidFill>
            <a:ln>
              <a:noFill/>
            </a:ln>
            <a:effectLst/>
          </c:spPr>
          <c:invertIfNegative val="0"/>
          <c:cat>
            <c:strRef>
              <c:f>List1!$A$2:$A$6</c:f>
              <c:strCache>
                <c:ptCount val="5"/>
                <c:pt idx="0">
                  <c:v>visoke škole</c:v>
                </c:pt>
                <c:pt idx="1">
                  <c:v>veleučilišta</c:v>
                </c:pt>
                <c:pt idx="2">
                  <c:v>fakulteti stručni studij</c:v>
                </c:pt>
                <c:pt idx="3">
                  <c:v>fakulteti sveučilišni studij</c:v>
                </c:pt>
                <c:pt idx="4">
                  <c:v>umjetničke akademije</c:v>
                </c:pt>
              </c:strCache>
            </c:strRef>
          </c:cat>
          <c:val>
            <c:numRef>
              <c:f>List1!$C$2:$C$6</c:f>
              <c:numCache>
                <c:formatCode>General</c:formatCode>
                <c:ptCount val="5"/>
                <c:pt idx="0">
                  <c:v>30</c:v>
                </c:pt>
                <c:pt idx="1">
                  <c:v>189</c:v>
                </c:pt>
                <c:pt idx="2">
                  <c:v>95</c:v>
                </c:pt>
                <c:pt idx="3">
                  <c:v>596</c:v>
                </c:pt>
                <c:pt idx="4">
                  <c:v>20</c:v>
                </c:pt>
              </c:numCache>
            </c:numRef>
          </c:val>
          <c:extLst>
            <c:ext xmlns:c16="http://schemas.microsoft.com/office/drawing/2014/chart" uri="{C3380CC4-5D6E-409C-BE32-E72D297353CC}">
              <c16:uniqueId val="{00000001-F2F7-467A-ABF4-E119D611DA3A}"/>
            </c:ext>
          </c:extLst>
        </c:ser>
        <c:ser>
          <c:idx val="2"/>
          <c:order val="2"/>
          <c:tx>
            <c:strRef>
              <c:f>List1!$D$1</c:f>
              <c:strCache>
                <c:ptCount val="1"/>
                <c:pt idx="0">
                  <c:v>2017.</c:v>
                </c:pt>
              </c:strCache>
            </c:strRef>
          </c:tx>
          <c:spPr>
            <a:solidFill>
              <a:srgbClr val="FF0000"/>
            </a:solidFill>
            <a:ln>
              <a:noFill/>
            </a:ln>
            <a:effectLst/>
          </c:spPr>
          <c:invertIfNegative val="0"/>
          <c:dPt>
            <c:idx val="1"/>
            <c:invertIfNegative val="0"/>
            <c:bubble3D val="0"/>
            <c:spPr>
              <a:solidFill>
                <a:srgbClr val="F60000"/>
              </a:solidFill>
              <a:ln>
                <a:noFill/>
              </a:ln>
              <a:effectLst/>
            </c:spPr>
            <c:extLst>
              <c:ext xmlns:c16="http://schemas.microsoft.com/office/drawing/2014/chart" uri="{C3380CC4-5D6E-409C-BE32-E72D297353CC}">
                <c16:uniqueId val="{00000003-F2F7-467A-ABF4-E119D611DA3A}"/>
              </c:ext>
            </c:extLst>
          </c:dPt>
          <c:cat>
            <c:strRef>
              <c:f>List1!$A$2:$A$6</c:f>
              <c:strCache>
                <c:ptCount val="5"/>
                <c:pt idx="0">
                  <c:v>visoke škole</c:v>
                </c:pt>
                <c:pt idx="1">
                  <c:v>veleučilišta</c:v>
                </c:pt>
                <c:pt idx="2">
                  <c:v>fakulteti stručni studij</c:v>
                </c:pt>
                <c:pt idx="3">
                  <c:v>fakulteti sveučilišni studij</c:v>
                </c:pt>
                <c:pt idx="4">
                  <c:v>umjetničke akademije</c:v>
                </c:pt>
              </c:strCache>
            </c:strRef>
          </c:cat>
          <c:val>
            <c:numRef>
              <c:f>List1!$D$2:$D$6</c:f>
              <c:numCache>
                <c:formatCode>General</c:formatCode>
                <c:ptCount val="5"/>
                <c:pt idx="0">
                  <c:v>30</c:v>
                </c:pt>
                <c:pt idx="1">
                  <c:v>171</c:v>
                </c:pt>
                <c:pt idx="2">
                  <c:v>90</c:v>
                </c:pt>
                <c:pt idx="3">
                  <c:v>603</c:v>
                </c:pt>
                <c:pt idx="4">
                  <c:v>16</c:v>
                </c:pt>
              </c:numCache>
            </c:numRef>
          </c:val>
          <c:extLst>
            <c:ext xmlns:c16="http://schemas.microsoft.com/office/drawing/2014/chart" uri="{C3380CC4-5D6E-409C-BE32-E72D297353CC}">
              <c16:uniqueId val="{00000004-F2F7-467A-ABF4-E119D611DA3A}"/>
            </c:ext>
          </c:extLst>
        </c:ser>
        <c:ser>
          <c:idx val="3"/>
          <c:order val="3"/>
          <c:tx>
            <c:strRef>
              <c:f>List1!$E$1</c:f>
              <c:strCache>
                <c:ptCount val="1"/>
                <c:pt idx="0">
                  <c:v>2018.</c:v>
                </c:pt>
              </c:strCache>
            </c:strRef>
          </c:tx>
          <c:spPr>
            <a:solidFill>
              <a:schemeClr val="bg1">
                <a:lumMod val="75000"/>
              </a:schemeClr>
            </a:solidFill>
            <a:ln>
              <a:noFill/>
            </a:ln>
            <a:effectLst/>
          </c:spPr>
          <c:invertIfNegative val="0"/>
          <c:cat>
            <c:strRef>
              <c:f>List1!$A$2:$A$6</c:f>
              <c:strCache>
                <c:ptCount val="5"/>
                <c:pt idx="0">
                  <c:v>visoke škole</c:v>
                </c:pt>
                <c:pt idx="1">
                  <c:v>veleučilišta</c:v>
                </c:pt>
                <c:pt idx="2">
                  <c:v>fakulteti stručni studij</c:v>
                </c:pt>
                <c:pt idx="3">
                  <c:v>fakulteti sveučilišni studij</c:v>
                </c:pt>
                <c:pt idx="4">
                  <c:v>umjetničke akademije</c:v>
                </c:pt>
              </c:strCache>
            </c:strRef>
          </c:cat>
          <c:val>
            <c:numRef>
              <c:f>List1!$E$2:$E$6</c:f>
              <c:numCache>
                <c:formatCode>General</c:formatCode>
                <c:ptCount val="5"/>
                <c:pt idx="0">
                  <c:v>31</c:v>
                </c:pt>
                <c:pt idx="1">
                  <c:v>191</c:v>
                </c:pt>
                <c:pt idx="2">
                  <c:v>80</c:v>
                </c:pt>
                <c:pt idx="3">
                  <c:v>607</c:v>
                </c:pt>
                <c:pt idx="4">
                  <c:v>17</c:v>
                </c:pt>
              </c:numCache>
            </c:numRef>
          </c:val>
          <c:extLst>
            <c:ext xmlns:c16="http://schemas.microsoft.com/office/drawing/2014/chart" uri="{C3380CC4-5D6E-409C-BE32-E72D297353CC}">
              <c16:uniqueId val="{00000005-F2F7-467A-ABF4-E119D611DA3A}"/>
            </c:ext>
          </c:extLst>
        </c:ser>
        <c:ser>
          <c:idx val="4"/>
          <c:order val="4"/>
          <c:tx>
            <c:strRef>
              <c:f>List1!$F$1</c:f>
              <c:strCache>
                <c:ptCount val="1"/>
                <c:pt idx="0">
                  <c:v>2019.</c:v>
                </c:pt>
              </c:strCache>
            </c:strRef>
          </c:tx>
          <c:spPr>
            <a:solidFill>
              <a:schemeClr val="tx1">
                <a:lumMod val="65000"/>
                <a:lumOff val="35000"/>
              </a:schemeClr>
            </a:solidFill>
            <a:ln>
              <a:noFill/>
            </a:ln>
            <a:effectLst/>
          </c:spPr>
          <c:invertIfNegative val="0"/>
          <c:cat>
            <c:strRef>
              <c:f>List1!$A$2:$A$6</c:f>
              <c:strCache>
                <c:ptCount val="5"/>
                <c:pt idx="0">
                  <c:v>visoke škole</c:v>
                </c:pt>
                <c:pt idx="1">
                  <c:v>veleučilišta</c:v>
                </c:pt>
                <c:pt idx="2">
                  <c:v>fakulteti stručni studij</c:v>
                </c:pt>
                <c:pt idx="3">
                  <c:v>fakulteti sveučilišni studij</c:v>
                </c:pt>
                <c:pt idx="4">
                  <c:v>umjetničke akademije</c:v>
                </c:pt>
              </c:strCache>
            </c:strRef>
          </c:cat>
          <c:val>
            <c:numRef>
              <c:f>List1!$F$2:$F$6</c:f>
              <c:numCache>
                <c:formatCode>General</c:formatCode>
                <c:ptCount val="5"/>
                <c:pt idx="0">
                  <c:v>28</c:v>
                </c:pt>
                <c:pt idx="1">
                  <c:v>169</c:v>
                </c:pt>
                <c:pt idx="2">
                  <c:v>68</c:v>
                </c:pt>
                <c:pt idx="3">
                  <c:v>619</c:v>
                </c:pt>
                <c:pt idx="4">
                  <c:v>9</c:v>
                </c:pt>
              </c:numCache>
            </c:numRef>
          </c:val>
          <c:extLst>
            <c:ext xmlns:c16="http://schemas.microsoft.com/office/drawing/2014/chart" uri="{C3380CC4-5D6E-409C-BE32-E72D297353CC}">
              <c16:uniqueId val="{00000006-F2F7-467A-ABF4-E119D611DA3A}"/>
            </c:ext>
          </c:extLst>
        </c:ser>
        <c:dLbls>
          <c:showLegendKey val="0"/>
          <c:showVal val="0"/>
          <c:showCatName val="0"/>
          <c:showSerName val="0"/>
          <c:showPercent val="0"/>
          <c:showBubbleSize val="0"/>
        </c:dLbls>
        <c:gapWidth val="182"/>
        <c:axId val="485553680"/>
        <c:axId val="485554096"/>
      </c:barChart>
      <c:catAx>
        <c:axId val="4855536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Newslab Light" panose="02000000000000000000" pitchFamily="50" charset="0"/>
                <a:ea typeface="+mn-ea"/>
                <a:cs typeface="+mn-cs"/>
              </a:defRPr>
            </a:pPr>
            <a:endParaRPr lang="sr-Latn-RS"/>
          </a:p>
        </c:txPr>
        <c:crossAx val="485554096"/>
        <c:crosses val="autoZero"/>
        <c:auto val="1"/>
        <c:lblAlgn val="ctr"/>
        <c:lblOffset val="100"/>
        <c:noMultiLvlLbl val="0"/>
      </c:catAx>
      <c:valAx>
        <c:axId val="48555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Newslab Light" panose="02000000000000000000" pitchFamily="50" charset="0"/>
                <a:ea typeface="+mn-ea"/>
                <a:cs typeface="+mn-cs"/>
              </a:defRPr>
            </a:pPr>
            <a:endParaRPr lang="sr-Latn-RS"/>
          </a:p>
        </c:txPr>
        <c:crossAx val="48555368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solidFill>
                <a:latin typeface="Newslab Light" panose="02000000000000000000" pitchFamily="50" charset="0"/>
                <a:ea typeface="+mn-ea"/>
                <a:cs typeface="+mn-cs"/>
              </a:defRPr>
            </a:pPr>
            <a:endParaRPr lang="sr-Latn-RS"/>
          </a:p>
        </c:txPr>
      </c:dTable>
      <c:spPr>
        <a:noFill/>
        <a:ln>
          <a:noFill/>
        </a:ln>
        <a:effectLst/>
      </c:spPr>
    </c:plotArea>
    <c:legend>
      <c:legendPos val="b"/>
      <c:layout>
        <c:manualLayout>
          <c:xMode val="edge"/>
          <c:yMode val="edge"/>
          <c:x val="0.29652817962749534"/>
          <c:y val="0.94019912572224429"/>
          <c:w val="0.40284947493129375"/>
          <c:h val="5.9800874277755559E-2"/>
        </c:manualLayout>
      </c:layout>
      <c:overlay val="0"/>
      <c:spPr>
        <a:noFill/>
        <a:ln>
          <a:noFill/>
        </a:ln>
        <a:effectLst/>
      </c:spPr>
      <c:txPr>
        <a:bodyPr rot="0" spcFirstLastPara="1" vertOverflow="ellipsis" vert="horz" wrap="square" anchor="ctr" anchorCtr="1"/>
        <a:lstStyle/>
        <a:p>
          <a:pPr>
            <a:defRPr sz="900" b="0" i="0" u="none" strike="noStrike" kern="1200" baseline="0">
              <a:ln>
                <a:noFill/>
              </a:ln>
              <a:solidFill>
                <a:schemeClr val="tx1"/>
              </a:solidFill>
              <a:latin typeface="Newslab Light" panose="02000000000000000000" pitchFamily="50" charset="0"/>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List1!$A$2</c:f>
              <c:strCache>
                <c:ptCount val="1"/>
                <c:pt idx="0">
                  <c:v>broj polaznika osposobljavanja</c:v>
                </c:pt>
              </c:strCache>
            </c:strRef>
          </c:tx>
          <c:spPr>
            <a:solidFill>
              <a:schemeClr val="accent5">
                <a:lumMod val="50000"/>
              </a:schemeClr>
            </a:solidFill>
            <a:ln>
              <a:noFill/>
            </a:ln>
            <a:effectLst/>
          </c:spPr>
          <c:invertIfNegative val="0"/>
          <c:cat>
            <c:strRef>
              <c:f>List1!$B$1:$G$1</c:f>
              <c:strCache>
                <c:ptCount val="6"/>
                <c:pt idx="0">
                  <c:v>2015.</c:v>
                </c:pt>
                <c:pt idx="1">
                  <c:v>2016.</c:v>
                </c:pt>
                <c:pt idx="2">
                  <c:v>2017.</c:v>
                </c:pt>
                <c:pt idx="3">
                  <c:v>2018.</c:v>
                </c:pt>
                <c:pt idx="4">
                  <c:v>2019.</c:v>
                </c:pt>
                <c:pt idx="5">
                  <c:v>2020.</c:v>
                </c:pt>
              </c:strCache>
            </c:strRef>
          </c:cat>
          <c:val>
            <c:numRef>
              <c:f>List1!$B$2:$G$2</c:f>
              <c:numCache>
                <c:formatCode>General</c:formatCode>
                <c:ptCount val="6"/>
                <c:pt idx="0">
                  <c:v>65</c:v>
                </c:pt>
                <c:pt idx="1">
                  <c:v>98</c:v>
                </c:pt>
                <c:pt idx="2">
                  <c:v>67</c:v>
                </c:pt>
                <c:pt idx="3">
                  <c:v>111</c:v>
                </c:pt>
                <c:pt idx="4">
                  <c:v>65</c:v>
                </c:pt>
                <c:pt idx="5">
                  <c:v>49</c:v>
                </c:pt>
              </c:numCache>
            </c:numRef>
          </c:val>
          <c:extLst>
            <c:ext xmlns:c16="http://schemas.microsoft.com/office/drawing/2014/chart" uri="{C3380CC4-5D6E-409C-BE32-E72D297353CC}">
              <c16:uniqueId val="{00000000-93D9-42F7-B4C5-C3DBE8A1A7E9}"/>
            </c:ext>
          </c:extLst>
        </c:ser>
        <c:ser>
          <c:idx val="1"/>
          <c:order val="1"/>
          <c:tx>
            <c:strRef>
              <c:f>List1!$A$3</c:f>
              <c:strCache>
                <c:ptCount val="1"/>
                <c:pt idx="0">
                  <c:v>broj zaposlenih nakon osposobljavanja</c:v>
                </c:pt>
              </c:strCache>
            </c:strRef>
          </c:tx>
          <c:spPr>
            <a:solidFill>
              <a:srgbClr val="C00000"/>
            </a:solidFill>
            <a:ln>
              <a:noFill/>
            </a:ln>
            <a:effectLst/>
          </c:spPr>
          <c:invertIfNegative val="0"/>
          <c:cat>
            <c:strRef>
              <c:f>List1!$B$1:$G$1</c:f>
              <c:strCache>
                <c:ptCount val="6"/>
                <c:pt idx="0">
                  <c:v>2015.</c:v>
                </c:pt>
                <c:pt idx="1">
                  <c:v>2016.</c:v>
                </c:pt>
                <c:pt idx="2">
                  <c:v>2017.</c:v>
                </c:pt>
                <c:pt idx="3">
                  <c:v>2018.</c:v>
                </c:pt>
                <c:pt idx="4">
                  <c:v>2019.</c:v>
                </c:pt>
                <c:pt idx="5">
                  <c:v>2020.</c:v>
                </c:pt>
              </c:strCache>
            </c:strRef>
          </c:cat>
          <c:val>
            <c:numRef>
              <c:f>List1!$B$3:$G$3</c:f>
              <c:numCache>
                <c:formatCode>General</c:formatCode>
                <c:ptCount val="6"/>
                <c:pt idx="0">
                  <c:v>53</c:v>
                </c:pt>
                <c:pt idx="1">
                  <c:v>77</c:v>
                </c:pt>
                <c:pt idx="2">
                  <c:v>42</c:v>
                </c:pt>
                <c:pt idx="3">
                  <c:v>78</c:v>
                </c:pt>
                <c:pt idx="4">
                  <c:v>41</c:v>
                </c:pt>
                <c:pt idx="5">
                  <c:v>15</c:v>
                </c:pt>
              </c:numCache>
            </c:numRef>
          </c:val>
          <c:extLst>
            <c:ext xmlns:c16="http://schemas.microsoft.com/office/drawing/2014/chart" uri="{C3380CC4-5D6E-409C-BE32-E72D297353CC}">
              <c16:uniqueId val="{00000001-93D9-42F7-B4C5-C3DBE8A1A7E9}"/>
            </c:ext>
          </c:extLst>
        </c:ser>
        <c:dLbls>
          <c:showLegendKey val="0"/>
          <c:showVal val="0"/>
          <c:showCatName val="0"/>
          <c:showSerName val="0"/>
          <c:showPercent val="0"/>
          <c:showBubbleSize val="0"/>
        </c:dLbls>
        <c:gapWidth val="182"/>
        <c:axId val="1015846943"/>
        <c:axId val="1015848607"/>
      </c:barChart>
      <c:catAx>
        <c:axId val="10158469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bg1">
                    <a:lumMod val="65000"/>
                  </a:schemeClr>
                </a:solidFill>
                <a:latin typeface="Newslab Light" panose="02000000000000000000" pitchFamily="50" charset="0"/>
                <a:ea typeface="+mn-ea"/>
                <a:cs typeface="+mn-cs"/>
              </a:defRPr>
            </a:pPr>
            <a:endParaRPr lang="sr-Latn-RS"/>
          </a:p>
        </c:txPr>
        <c:crossAx val="1015848607"/>
        <c:crosses val="autoZero"/>
        <c:auto val="1"/>
        <c:lblAlgn val="ctr"/>
        <c:lblOffset val="100"/>
        <c:noMultiLvlLbl val="0"/>
      </c:catAx>
      <c:valAx>
        <c:axId val="101584860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10158469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bg1">
                  <a:lumMod val="65000"/>
                </a:schemeClr>
              </a:solidFill>
              <a:latin typeface="Newslab Light" panose="02000000000000000000" pitchFamily="50" charset="0"/>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'Radno aktivno stanovništvo'!$B$3:$B$7</c:f>
              <c:strCache>
                <c:ptCount val="5"/>
                <c:pt idx="0">
                  <c:v>2015.</c:v>
                </c:pt>
                <c:pt idx="1">
                  <c:v>2016.</c:v>
                </c:pt>
                <c:pt idx="2">
                  <c:v>2017.</c:v>
                </c:pt>
                <c:pt idx="3">
                  <c:v>2018.</c:v>
                </c:pt>
                <c:pt idx="4">
                  <c:v>2019.</c:v>
                </c:pt>
              </c:strCache>
            </c:strRef>
          </c:cat>
          <c:val>
            <c:numRef>
              <c:f>'Radno aktivno stanovništvo'!$C$3:$C$7</c:f>
              <c:numCache>
                <c:formatCode>#,##0</c:formatCode>
                <c:ptCount val="5"/>
                <c:pt idx="0">
                  <c:v>40517</c:v>
                </c:pt>
                <c:pt idx="1">
                  <c:v>39733</c:v>
                </c:pt>
                <c:pt idx="2">
                  <c:v>39020</c:v>
                </c:pt>
                <c:pt idx="3">
                  <c:v>38693</c:v>
                </c:pt>
                <c:pt idx="4">
                  <c:v>38131</c:v>
                </c:pt>
              </c:numCache>
            </c:numRef>
          </c:val>
          <c:smooth val="0"/>
          <c:extLst>
            <c:ext xmlns:c16="http://schemas.microsoft.com/office/drawing/2014/chart" uri="{C3380CC4-5D6E-409C-BE32-E72D297353CC}">
              <c16:uniqueId val="{00000000-A63D-406E-A9ED-3ACF6045C081}"/>
            </c:ext>
          </c:extLst>
        </c:ser>
        <c:dLbls>
          <c:dLblPos val="t"/>
          <c:showLegendKey val="0"/>
          <c:showVal val="1"/>
          <c:showCatName val="0"/>
          <c:showSerName val="0"/>
          <c:showPercent val="0"/>
          <c:showBubbleSize val="0"/>
        </c:dLbls>
        <c:marker val="1"/>
        <c:smooth val="0"/>
        <c:axId val="892849583"/>
        <c:axId val="892859567"/>
      </c:lineChart>
      <c:catAx>
        <c:axId val="8928495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92859567"/>
        <c:crosses val="autoZero"/>
        <c:auto val="1"/>
        <c:lblAlgn val="ctr"/>
        <c:lblOffset val="100"/>
        <c:noMultiLvlLbl val="0"/>
      </c:catAx>
      <c:valAx>
        <c:axId val="892859567"/>
        <c:scaling>
          <c:orientation val="minMax"/>
          <c:min val="37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92849583"/>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barChart>
        <c:barDir val="col"/>
        <c:grouping val="stacked"/>
        <c:varyColors val="0"/>
        <c:ser>
          <c:idx val="0"/>
          <c:order val="0"/>
          <c:tx>
            <c:strRef>
              <c:f>'Stupanj obrazovanja'!$A$2</c:f>
              <c:strCache>
                <c:ptCount val="1"/>
                <c:pt idx="0">
                  <c:v>VSS</c:v>
                </c:pt>
              </c:strCache>
            </c:strRef>
          </c:tx>
          <c:spPr>
            <a:solidFill>
              <a:schemeClr val="accent1">
                <a:shade val="45000"/>
              </a:schemeClr>
            </a:solidFill>
            <a:ln>
              <a:noFill/>
            </a:ln>
            <a:effectLst/>
          </c:spPr>
          <c:invertIfNegative val="0"/>
          <c:cat>
            <c:strRef>
              <c:f>'Stupanj obrazovanja'!$B$1:$F$1</c:f>
              <c:strCache>
                <c:ptCount val="5"/>
                <c:pt idx="0">
                  <c:v>2015.</c:v>
                </c:pt>
                <c:pt idx="1">
                  <c:v>2016.</c:v>
                </c:pt>
                <c:pt idx="2">
                  <c:v>2017.</c:v>
                </c:pt>
                <c:pt idx="3">
                  <c:v>2018.</c:v>
                </c:pt>
                <c:pt idx="4">
                  <c:v>2019.</c:v>
                </c:pt>
              </c:strCache>
            </c:strRef>
          </c:cat>
          <c:val>
            <c:numRef>
              <c:f>'Stupanj obrazovanja'!$B$2:$F$2</c:f>
              <c:numCache>
                <c:formatCode>0</c:formatCode>
                <c:ptCount val="5"/>
                <c:pt idx="0">
                  <c:v>3639</c:v>
                </c:pt>
                <c:pt idx="1">
                  <c:v>3774</c:v>
                </c:pt>
                <c:pt idx="2">
                  <c:v>3880</c:v>
                </c:pt>
                <c:pt idx="3">
                  <c:v>4056</c:v>
                </c:pt>
                <c:pt idx="4">
                  <c:v>4234</c:v>
                </c:pt>
              </c:numCache>
            </c:numRef>
          </c:val>
          <c:extLst>
            <c:ext xmlns:c16="http://schemas.microsoft.com/office/drawing/2014/chart" uri="{C3380CC4-5D6E-409C-BE32-E72D297353CC}">
              <c16:uniqueId val="{00000000-7972-4432-968F-FAF2F2DDD5F6}"/>
            </c:ext>
          </c:extLst>
        </c:ser>
        <c:ser>
          <c:idx val="1"/>
          <c:order val="1"/>
          <c:tx>
            <c:strRef>
              <c:f>'Stupanj obrazovanja'!$A$3</c:f>
              <c:strCache>
                <c:ptCount val="1"/>
                <c:pt idx="0">
                  <c:v>VŠS</c:v>
                </c:pt>
              </c:strCache>
            </c:strRef>
          </c:tx>
          <c:spPr>
            <a:solidFill>
              <a:schemeClr val="accent1">
                <a:shade val="61000"/>
              </a:schemeClr>
            </a:solidFill>
            <a:ln>
              <a:noFill/>
            </a:ln>
            <a:effectLst/>
          </c:spPr>
          <c:invertIfNegative val="0"/>
          <c:cat>
            <c:strRef>
              <c:f>'Stupanj obrazovanja'!$B$1:$F$1</c:f>
              <c:strCache>
                <c:ptCount val="5"/>
                <c:pt idx="0">
                  <c:v>2015.</c:v>
                </c:pt>
                <c:pt idx="1">
                  <c:v>2016.</c:v>
                </c:pt>
                <c:pt idx="2">
                  <c:v>2017.</c:v>
                </c:pt>
                <c:pt idx="3">
                  <c:v>2018.</c:v>
                </c:pt>
                <c:pt idx="4">
                  <c:v>2019.</c:v>
                </c:pt>
              </c:strCache>
            </c:strRef>
          </c:cat>
          <c:val>
            <c:numRef>
              <c:f>'Stupanj obrazovanja'!$B$3:$F$3</c:f>
              <c:numCache>
                <c:formatCode>0</c:formatCode>
                <c:ptCount val="5"/>
                <c:pt idx="0">
                  <c:v>2115</c:v>
                </c:pt>
                <c:pt idx="1">
                  <c:v>2356</c:v>
                </c:pt>
                <c:pt idx="2">
                  <c:v>2242</c:v>
                </c:pt>
                <c:pt idx="3">
                  <c:v>2340</c:v>
                </c:pt>
                <c:pt idx="4">
                  <c:v>2373</c:v>
                </c:pt>
              </c:numCache>
            </c:numRef>
          </c:val>
          <c:extLst>
            <c:ext xmlns:c16="http://schemas.microsoft.com/office/drawing/2014/chart" uri="{C3380CC4-5D6E-409C-BE32-E72D297353CC}">
              <c16:uniqueId val="{00000001-7972-4432-968F-FAF2F2DDD5F6}"/>
            </c:ext>
          </c:extLst>
        </c:ser>
        <c:ser>
          <c:idx val="2"/>
          <c:order val="2"/>
          <c:tx>
            <c:strRef>
              <c:f>'Stupanj obrazovanja'!$A$4</c:f>
              <c:strCache>
                <c:ptCount val="1"/>
                <c:pt idx="0">
                  <c:v>SSS</c:v>
                </c:pt>
              </c:strCache>
            </c:strRef>
          </c:tx>
          <c:spPr>
            <a:solidFill>
              <a:schemeClr val="accent1">
                <a:shade val="76000"/>
              </a:schemeClr>
            </a:solidFill>
            <a:ln>
              <a:noFill/>
            </a:ln>
            <a:effectLst/>
          </c:spPr>
          <c:invertIfNegative val="0"/>
          <c:cat>
            <c:strRef>
              <c:f>'Stupanj obrazovanja'!$B$1:$F$1</c:f>
              <c:strCache>
                <c:ptCount val="5"/>
                <c:pt idx="0">
                  <c:v>2015.</c:v>
                </c:pt>
                <c:pt idx="1">
                  <c:v>2016.</c:v>
                </c:pt>
                <c:pt idx="2">
                  <c:v>2017.</c:v>
                </c:pt>
                <c:pt idx="3">
                  <c:v>2018.</c:v>
                </c:pt>
                <c:pt idx="4">
                  <c:v>2019.</c:v>
                </c:pt>
              </c:strCache>
            </c:strRef>
          </c:cat>
          <c:val>
            <c:numRef>
              <c:f>'Stupanj obrazovanja'!$B$4:$F$4</c:f>
              <c:numCache>
                <c:formatCode>0</c:formatCode>
                <c:ptCount val="5"/>
                <c:pt idx="0">
                  <c:v>13677</c:v>
                </c:pt>
                <c:pt idx="1">
                  <c:v>14556</c:v>
                </c:pt>
                <c:pt idx="2">
                  <c:v>15445</c:v>
                </c:pt>
                <c:pt idx="3">
                  <c:v>16130</c:v>
                </c:pt>
                <c:pt idx="4">
                  <c:v>16062</c:v>
                </c:pt>
              </c:numCache>
            </c:numRef>
          </c:val>
          <c:extLst>
            <c:ext xmlns:c16="http://schemas.microsoft.com/office/drawing/2014/chart" uri="{C3380CC4-5D6E-409C-BE32-E72D297353CC}">
              <c16:uniqueId val="{00000002-7972-4432-968F-FAF2F2DDD5F6}"/>
            </c:ext>
          </c:extLst>
        </c:ser>
        <c:ser>
          <c:idx val="3"/>
          <c:order val="3"/>
          <c:tx>
            <c:strRef>
              <c:f>'Stupanj obrazovanja'!$A$5</c:f>
              <c:strCache>
                <c:ptCount val="1"/>
                <c:pt idx="0">
                  <c:v>NSS</c:v>
                </c:pt>
              </c:strCache>
            </c:strRef>
          </c:tx>
          <c:spPr>
            <a:solidFill>
              <a:schemeClr val="accent1">
                <a:shade val="92000"/>
              </a:schemeClr>
            </a:solidFill>
            <a:ln>
              <a:noFill/>
            </a:ln>
            <a:effectLst/>
          </c:spPr>
          <c:invertIfNegative val="0"/>
          <c:cat>
            <c:strRef>
              <c:f>'Stupanj obrazovanja'!$B$1:$F$1</c:f>
              <c:strCache>
                <c:ptCount val="5"/>
                <c:pt idx="0">
                  <c:v>2015.</c:v>
                </c:pt>
                <c:pt idx="1">
                  <c:v>2016.</c:v>
                </c:pt>
                <c:pt idx="2">
                  <c:v>2017.</c:v>
                </c:pt>
                <c:pt idx="3">
                  <c:v>2018.</c:v>
                </c:pt>
                <c:pt idx="4">
                  <c:v>2019.</c:v>
                </c:pt>
              </c:strCache>
            </c:strRef>
          </c:cat>
          <c:val>
            <c:numRef>
              <c:f>'Stupanj obrazovanja'!$B$5:$F$5</c:f>
              <c:numCache>
                <c:formatCode>0</c:formatCode>
                <c:ptCount val="5"/>
                <c:pt idx="0">
                  <c:v>610</c:v>
                </c:pt>
                <c:pt idx="1">
                  <c:v>701</c:v>
                </c:pt>
                <c:pt idx="2">
                  <c:v>788</c:v>
                </c:pt>
                <c:pt idx="3">
                  <c:v>726</c:v>
                </c:pt>
                <c:pt idx="4">
                  <c:v>784</c:v>
                </c:pt>
              </c:numCache>
            </c:numRef>
          </c:val>
          <c:extLst>
            <c:ext xmlns:c16="http://schemas.microsoft.com/office/drawing/2014/chart" uri="{C3380CC4-5D6E-409C-BE32-E72D297353CC}">
              <c16:uniqueId val="{00000003-7972-4432-968F-FAF2F2DDD5F6}"/>
            </c:ext>
          </c:extLst>
        </c:ser>
        <c:ser>
          <c:idx val="4"/>
          <c:order val="4"/>
          <c:tx>
            <c:strRef>
              <c:f>'Stupanj obrazovanja'!$A$6</c:f>
              <c:strCache>
                <c:ptCount val="1"/>
                <c:pt idx="0">
                  <c:v>VKV</c:v>
                </c:pt>
              </c:strCache>
            </c:strRef>
          </c:tx>
          <c:spPr>
            <a:solidFill>
              <a:schemeClr val="accent1">
                <a:tint val="93000"/>
              </a:schemeClr>
            </a:solidFill>
            <a:ln>
              <a:noFill/>
            </a:ln>
            <a:effectLst/>
          </c:spPr>
          <c:invertIfNegative val="0"/>
          <c:cat>
            <c:strRef>
              <c:f>'Stupanj obrazovanja'!$B$1:$F$1</c:f>
              <c:strCache>
                <c:ptCount val="5"/>
                <c:pt idx="0">
                  <c:v>2015.</c:v>
                </c:pt>
                <c:pt idx="1">
                  <c:v>2016.</c:v>
                </c:pt>
                <c:pt idx="2">
                  <c:v>2017.</c:v>
                </c:pt>
                <c:pt idx="3">
                  <c:v>2018.</c:v>
                </c:pt>
                <c:pt idx="4">
                  <c:v>2019.</c:v>
                </c:pt>
              </c:strCache>
            </c:strRef>
          </c:cat>
          <c:val>
            <c:numRef>
              <c:f>'Stupanj obrazovanja'!$B$6:$F$6</c:f>
              <c:numCache>
                <c:formatCode>0</c:formatCode>
                <c:ptCount val="5"/>
                <c:pt idx="0">
                  <c:v>268</c:v>
                </c:pt>
                <c:pt idx="1">
                  <c:v>264</c:v>
                </c:pt>
                <c:pt idx="2">
                  <c:v>240</c:v>
                </c:pt>
                <c:pt idx="3">
                  <c:v>212</c:v>
                </c:pt>
                <c:pt idx="4">
                  <c:v>204</c:v>
                </c:pt>
              </c:numCache>
            </c:numRef>
          </c:val>
          <c:extLst>
            <c:ext xmlns:c16="http://schemas.microsoft.com/office/drawing/2014/chart" uri="{C3380CC4-5D6E-409C-BE32-E72D297353CC}">
              <c16:uniqueId val="{00000004-7972-4432-968F-FAF2F2DDD5F6}"/>
            </c:ext>
          </c:extLst>
        </c:ser>
        <c:ser>
          <c:idx val="5"/>
          <c:order val="5"/>
          <c:tx>
            <c:strRef>
              <c:f>'Stupanj obrazovanja'!$A$7</c:f>
              <c:strCache>
                <c:ptCount val="1"/>
                <c:pt idx="0">
                  <c:v>KV</c:v>
                </c:pt>
              </c:strCache>
            </c:strRef>
          </c:tx>
          <c:spPr>
            <a:solidFill>
              <a:schemeClr val="accent1">
                <a:tint val="77000"/>
              </a:schemeClr>
            </a:solidFill>
            <a:ln>
              <a:noFill/>
            </a:ln>
            <a:effectLst/>
          </c:spPr>
          <c:invertIfNegative val="0"/>
          <c:cat>
            <c:strRef>
              <c:f>'Stupanj obrazovanja'!$B$1:$F$1</c:f>
              <c:strCache>
                <c:ptCount val="5"/>
                <c:pt idx="0">
                  <c:v>2015.</c:v>
                </c:pt>
                <c:pt idx="1">
                  <c:v>2016.</c:v>
                </c:pt>
                <c:pt idx="2">
                  <c:v>2017.</c:v>
                </c:pt>
                <c:pt idx="3">
                  <c:v>2018.</c:v>
                </c:pt>
                <c:pt idx="4">
                  <c:v>2019.</c:v>
                </c:pt>
              </c:strCache>
            </c:strRef>
          </c:cat>
          <c:val>
            <c:numRef>
              <c:f>'Stupanj obrazovanja'!$B$7:$F$7</c:f>
              <c:numCache>
                <c:formatCode>0</c:formatCode>
                <c:ptCount val="5"/>
                <c:pt idx="0">
                  <c:v>1808</c:v>
                </c:pt>
                <c:pt idx="1">
                  <c:v>1757</c:v>
                </c:pt>
                <c:pt idx="2">
                  <c:v>1685</c:v>
                </c:pt>
                <c:pt idx="3">
                  <c:v>1682</c:v>
                </c:pt>
                <c:pt idx="4">
                  <c:v>1708</c:v>
                </c:pt>
              </c:numCache>
            </c:numRef>
          </c:val>
          <c:extLst>
            <c:ext xmlns:c16="http://schemas.microsoft.com/office/drawing/2014/chart" uri="{C3380CC4-5D6E-409C-BE32-E72D297353CC}">
              <c16:uniqueId val="{00000005-7972-4432-968F-FAF2F2DDD5F6}"/>
            </c:ext>
          </c:extLst>
        </c:ser>
        <c:ser>
          <c:idx val="6"/>
          <c:order val="6"/>
          <c:tx>
            <c:strRef>
              <c:f>'Stupanj obrazovanja'!$A$8</c:f>
              <c:strCache>
                <c:ptCount val="1"/>
                <c:pt idx="0">
                  <c:v>PKV</c:v>
                </c:pt>
              </c:strCache>
            </c:strRef>
          </c:tx>
          <c:spPr>
            <a:solidFill>
              <a:schemeClr val="accent1">
                <a:tint val="62000"/>
              </a:schemeClr>
            </a:solidFill>
            <a:ln>
              <a:noFill/>
            </a:ln>
            <a:effectLst/>
          </c:spPr>
          <c:invertIfNegative val="0"/>
          <c:cat>
            <c:strRef>
              <c:f>'Stupanj obrazovanja'!$B$1:$F$1</c:f>
              <c:strCache>
                <c:ptCount val="5"/>
                <c:pt idx="0">
                  <c:v>2015.</c:v>
                </c:pt>
                <c:pt idx="1">
                  <c:v>2016.</c:v>
                </c:pt>
                <c:pt idx="2">
                  <c:v>2017.</c:v>
                </c:pt>
                <c:pt idx="3">
                  <c:v>2018.</c:v>
                </c:pt>
                <c:pt idx="4">
                  <c:v>2019.</c:v>
                </c:pt>
              </c:strCache>
            </c:strRef>
          </c:cat>
          <c:val>
            <c:numRef>
              <c:f>'Stupanj obrazovanja'!$B$8:$F$8</c:f>
              <c:numCache>
                <c:formatCode>0</c:formatCode>
                <c:ptCount val="5"/>
                <c:pt idx="0">
                  <c:v>508</c:v>
                </c:pt>
                <c:pt idx="1">
                  <c:v>533</c:v>
                </c:pt>
                <c:pt idx="2">
                  <c:v>502</c:v>
                </c:pt>
                <c:pt idx="3">
                  <c:v>465</c:v>
                </c:pt>
                <c:pt idx="4">
                  <c:v>482</c:v>
                </c:pt>
              </c:numCache>
            </c:numRef>
          </c:val>
          <c:extLst>
            <c:ext xmlns:c16="http://schemas.microsoft.com/office/drawing/2014/chart" uri="{C3380CC4-5D6E-409C-BE32-E72D297353CC}">
              <c16:uniqueId val="{00000006-7972-4432-968F-FAF2F2DDD5F6}"/>
            </c:ext>
          </c:extLst>
        </c:ser>
        <c:ser>
          <c:idx val="7"/>
          <c:order val="7"/>
          <c:tx>
            <c:strRef>
              <c:f>'Stupanj obrazovanja'!$A$9</c:f>
              <c:strCache>
                <c:ptCount val="1"/>
                <c:pt idx="0">
                  <c:v>NKV</c:v>
                </c:pt>
              </c:strCache>
            </c:strRef>
          </c:tx>
          <c:spPr>
            <a:solidFill>
              <a:schemeClr val="accent1">
                <a:tint val="46000"/>
              </a:schemeClr>
            </a:solidFill>
            <a:ln>
              <a:noFill/>
            </a:ln>
            <a:effectLst/>
          </c:spPr>
          <c:invertIfNegative val="0"/>
          <c:cat>
            <c:strRef>
              <c:f>'Stupanj obrazovanja'!$B$1:$F$1</c:f>
              <c:strCache>
                <c:ptCount val="5"/>
                <c:pt idx="0">
                  <c:v>2015.</c:v>
                </c:pt>
                <c:pt idx="1">
                  <c:v>2016.</c:v>
                </c:pt>
                <c:pt idx="2">
                  <c:v>2017.</c:v>
                </c:pt>
                <c:pt idx="3">
                  <c:v>2018.</c:v>
                </c:pt>
                <c:pt idx="4">
                  <c:v>2019.</c:v>
                </c:pt>
              </c:strCache>
            </c:strRef>
          </c:cat>
          <c:val>
            <c:numRef>
              <c:f>'Stupanj obrazovanja'!$B$9:$F$9</c:f>
              <c:numCache>
                <c:formatCode>0</c:formatCode>
                <c:ptCount val="5"/>
                <c:pt idx="0">
                  <c:v>2214</c:v>
                </c:pt>
                <c:pt idx="1">
                  <c:v>2123</c:v>
                </c:pt>
                <c:pt idx="2">
                  <c:v>1909</c:v>
                </c:pt>
                <c:pt idx="3">
                  <c:v>1796</c:v>
                </c:pt>
                <c:pt idx="4">
                  <c:v>1710</c:v>
                </c:pt>
              </c:numCache>
            </c:numRef>
          </c:val>
          <c:extLst>
            <c:ext xmlns:c16="http://schemas.microsoft.com/office/drawing/2014/chart" uri="{C3380CC4-5D6E-409C-BE32-E72D297353CC}">
              <c16:uniqueId val="{00000007-7972-4432-968F-FAF2F2DDD5F6}"/>
            </c:ext>
          </c:extLst>
        </c:ser>
        <c:dLbls>
          <c:showLegendKey val="0"/>
          <c:showVal val="0"/>
          <c:showCatName val="0"/>
          <c:showSerName val="0"/>
          <c:showPercent val="0"/>
          <c:showBubbleSize val="0"/>
        </c:dLbls>
        <c:gapWidth val="150"/>
        <c:overlap val="100"/>
        <c:axId val="964907599"/>
        <c:axId val="964918415"/>
      </c:barChart>
      <c:catAx>
        <c:axId val="9649075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964918415"/>
        <c:crosses val="autoZero"/>
        <c:auto val="1"/>
        <c:lblAlgn val="ctr"/>
        <c:lblOffset val="100"/>
        <c:noMultiLvlLbl val="0"/>
      </c:catAx>
      <c:valAx>
        <c:axId val="964918415"/>
        <c:scaling>
          <c:orientation val="minMax"/>
          <c:max val="30000"/>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9649075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'Zaposleni po djelatnostima'!$C$1</c:f>
              <c:strCache>
                <c:ptCount val="1"/>
                <c:pt idx="0">
                  <c:v>muški</c:v>
                </c:pt>
              </c:strCache>
            </c:strRef>
          </c:tx>
          <c:spPr>
            <a:solidFill>
              <a:schemeClr val="accent1"/>
            </a:solidFill>
            <a:ln>
              <a:noFill/>
            </a:ln>
            <a:effectLst/>
          </c:spPr>
          <c:invertIfNegative val="0"/>
          <c:cat>
            <c:strRef>
              <c:f>'Zaposleni po djelatnostima'!$B$2:$B$20</c:f>
              <c:strCache>
                <c:ptCount val="19"/>
                <c:pt idx="0">
                  <c:v>A  Poljoprivreda, šumarstvo i ribarstvo</c:v>
                </c:pt>
                <c:pt idx="1">
                  <c:v>B  Rudarstvo i vađenje</c:v>
                </c:pt>
                <c:pt idx="2">
                  <c:v>C  Prerađivačka industrija</c:v>
                </c:pt>
                <c:pt idx="3">
                  <c:v>D  Opskrba električnom energijom, plinom, parom i klimatizacija</c:v>
                </c:pt>
                <c:pt idx="4">
                  <c:v>E  Opskrba vodom; uklanjanje otpadnih voda, gospodarenje otpadom te djelatnosti sanacije okoliša</c:v>
                </c:pt>
                <c:pt idx="5">
                  <c:v>F  Građevinarstvo</c:v>
                </c:pt>
                <c:pt idx="6">
                  <c:v>G  Trgovina na veliko i na malo; popravak motornih vozila i motocikla</c:v>
                </c:pt>
                <c:pt idx="7">
                  <c:v>H  Prijevoz i skladištenje</c:v>
                </c:pt>
                <c:pt idx="8">
                  <c:v>I  Djelatnosti pružanja smještaja te pripreme i usluživanja hrane</c:v>
                </c:pt>
                <c:pt idx="9">
                  <c:v>J  Informacije i komunikacije</c:v>
                </c:pt>
                <c:pt idx="10">
                  <c:v>K  Financijske djelatnosti i djelatnosti osiguranja</c:v>
                </c:pt>
                <c:pt idx="11">
                  <c:v>L  Poslovanje nekretninama</c:v>
                </c:pt>
                <c:pt idx="12">
                  <c:v>M  Stručne, znanstvene i tehničke djelatnosti</c:v>
                </c:pt>
                <c:pt idx="13">
                  <c:v>N  Administrativne i pomoćne uslužne djelatnosti</c:v>
                </c:pt>
                <c:pt idx="14">
                  <c:v>O  Javna uprava i obrana; obvezno socijalno osiguranje</c:v>
                </c:pt>
                <c:pt idx="15">
                  <c:v>P  Obrazovanje</c:v>
                </c:pt>
                <c:pt idx="16">
                  <c:v>Q  Djelatnosti zdravstvene zaštite i socijalne skrbi</c:v>
                </c:pt>
                <c:pt idx="17">
                  <c:v>R  Umjetnost, zabava i rekreacija</c:v>
                </c:pt>
                <c:pt idx="18">
                  <c:v>S  Ostale uslužne djelatnosti</c:v>
                </c:pt>
              </c:strCache>
            </c:strRef>
          </c:cat>
          <c:val>
            <c:numRef>
              <c:f>'Zaposleni po djelatnostima'!$C$2:$C$20</c:f>
              <c:numCache>
                <c:formatCode>General</c:formatCode>
                <c:ptCount val="19"/>
                <c:pt idx="0">
                  <c:v>62</c:v>
                </c:pt>
                <c:pt idx="1">
                  <c:v>142</c:v>
                </c:pt>
                <c:pt idx="2">
                  <c:v>5539</c:v>
                </c:pt>
                <c:pt idx="3">
                  <c:v>348</c:v>
                </c:pt>
                <c:pt idx="4">
                  <c:v>598</c:v>
                </c:pt>
                <c:pt idx="5">
                  <c:v>1747</c:v>
                </c:pt>
                <c:pt idx="6">
                  <c:v>1234</c:v>
                </c:pt>
                <c:pt idx="7">
                  <c:v>966</c:v>
                </c:pt>
                <c:pt idx="8">
                  <c:v>222</c:v>
                </c:pt>
                <c:pt idx="9">
                  <c:v>171</c:v>
                </c:pt>
                <c:pt idx="10">
                  <c:v>76</c:v>
                </c:pt>
                <c:pt idx="11">
                  <c:v>23</c:v>
                </c:pt>
                <c:pt idx="12">
                  <c:v>399</c:v>
                </c:pt>
                <c:pt idx="13">
                  <c:v>84</c:v>
                </c:pt>
                <c:pt idx="14">
                  <c:v>699</c:v>
                </c:pt>
                <c:pt idx="15">
                  <c:v>552</c:v>
                </c:pt>
                <c:pt idx="16">
                  <c:v>752</c:v>
                </c:pt>
                <c:pt idx="17">
                  <c:v>56</c:v>
                </c:pt>
                <c:pt idx="18">
                  <c:v>104</c:v>
                </c:pt>
              </c:numCache>
            </c:numRef>
          </c:val>
          <c:extLst>
            <c:ext xmlns:c16="http://schemas.microsoft.com/office/drawing/2014/chart" uri="{C3380CC4-5D6E-409C-BE32-E72D297353CC}">
              <c16:uniqueId val="{00000000-5897-4337-84E4-ED856CA770B3}"/>
            </c:ext>
          </c:extLst>
        </c:ser>
        <c:ser>
          <c:idx val="1"/>
          <c:order val="1"/>
          <c:tx>
            <c:strRef>
              <c:f>'Zaposleni po djelatnostima'!$D$1</c:f>
              <c:strCache>
                <c:ptCount val="1"/>
                <c:pt idx="0">
                  <c:v>ženski</c:v>
                </c:pt>
              </c:strCache>
            </c:strRef>
          </c:tx>
          <c:spPr>
            <a:solidFill>
              <a:schemeClr val="accent2"/>
            </a:solidFill>
            <a:ln>
              <a:noFill/>
            </a:ln>
            <a:effectLst/>
          </c:spPr>
          <c:invertIfNegative val="0"/>
          <c:cat>
            <c:strRef>
              <c:f>'Zaposleni po djelatnostima'!$B$2:$B$20</c:f>
              <c:strCache>
                <c:ptCount val="19"/>
                <c:pt idx="0">
                  <c:v>A  Poljoprivreda, šumarstvo i ribarstvo</c:v>
                </c:pt>
                <c:pt idx="1">
                  <c:v>B  Rudarstvo i vađenje</c:v>
                </c:pt>
                <c:pt idx="2">
                  <c:v>C  Prerađivačka industrija</c:v>
                </c:pt>
                <c:pt idx="3">
                  <c:v>D  Opskrba električnom energijom, plinom, parom i klimatizacija</c:v>
                </c:pt>
                <c:pt idx="4">
                  <c:v>E  Opskrba vodom; uklanjanje otpadnih voda, gospodarenje otpadom te djelatnosti sanacije okoliša</c:v>
                </c:pt>
                <c:pt idx="5">
                  <c:v>F  Građevinarstvo</c:v>
                </c:pt>
                <c:pt idx="6">
                  <c:v>G  Trgovina na veliko i na malo; popravak motornih vozila i motocikla</c:v>
                </c:pt>
                <c:pt idx="7">
                  <c:v>H  Prijevoz i skladištenje</c:v>
                </c:pt>
                <c:pt idx="8">
                  <c:v>I  Djelatnosti pružanja smještaja te pripreme i usluživanja hrane</c:v>
                </c:pt>
                <c:pt idx="9">
                  <c:v>J  Informacije i komunikacije</c:v>
                </c:pt>
                <c:pt idx="10">
                  <c:v>K  Financijske djelatnosti i djelatnosti osiguranja</c:v>
                </c:pt>
                <c:pt idx="11">
                  <c:v>L  Poslovanje nekretninama</c:v>
                </c:pt>
                <c:pt idx="12">
                  <c:v>M  Stručne, znanstvene i tehničke djelatnosti</c:v>
                </c:pt>
                <c:pt idx="13">
                  <c:v>N  Administrativne i pomoćne uslužne djelatnosti</c:v>
                </c:pt>
                <c:pt idx="14">
                  <c:v>O  Javna uprava i obrana; obvezno socijalno osiguranje</c:v>
                </c:pt>
                <c:pt idx="15">
                  <c:v>P  Obrazovanje</c:v>
                </c:pt>
                <c:pt idx="16">
                  <c:v>Q  Djelatnosti zdravstvene zaštite i socijalne skrbi</c:v>
                </c:pt>
                <c:pt idx="17">
                  <c:v>R  Umjetnost, zabava i rekreacija</c:v>
                </c:pt>
                <c:pt idx="18">
                  <c:v>S  Ostale uslužne djelatnosti</c:v>
                </c:pt>
              </c:strCache>
            </c:strRef>
          </c:cat>
          <c:val>
            <c:numRef>
              <c:f>'Zaposleni po djelatnostima'!$D$2:$D$20</c:f>
              <c:numCache>
                <c:formatCode>General</c:formatCode>
                <c:ptCount val="19"/>
                <c:pt idx="0">
                  <c:v>29</c:v>
                </c:pt>
                <c:pt idx="1">
                  <c:v>26</c:v>
                </c:pt>
                <c:pt idx="2">
                  <c:v>4209</c:v>
                </c:pt>
                <c:pt idx="3">
                  <c:v>49</c:v>
                </c:pt>
                <c:pt idx="4">
                  <c:v>237</c:v>
                </c:pt>
                <c:pt idx="5">
                  <c:v>201</c:v>
                </c:pt>
                <c:pt idx="6">
                  <c:v>2662</c:v>
                </c:pt>
                <c:pt idx="7">
                  <c:v>235</c:v>
                </c:pt>
                <c:pt idx="8">
                  <c:v>465</c:v>
                </c:pt>
                <c:pt idx="9">
                  <c:v>63</c:v>
                </c:pt>
                <c:pt idx="10">
                  <c:v>244</c:v>
                </c:pt>
                <c:pt idx="11">
                  <c:v>10</c:v>
                </c:pt>
                <c:pt idx="12">
                  <c:v>290</c:v>
                </c:pt>
                <c:pt idx="13">
                  <c:v>38</c:v>
                </c:pt>
                <c:pt idx="14">
                  <c:v>821</c:v>
                </c:pt>
                <c:pt idx="15">
                  <c:v>2394</c:v>
                </c:pt>
                <c:pt idx="16">
                  <c:v>2787</c:v>
                </c:pt>
                <c:pt idx="17">
                  <c:v>115</c:v>
                </c:pt>
                <c:pt idx="18">
                  <c:v>126</c:v>
                </c:pt>
              </c:numCache>
            </c:numRef>
          </c:val>
          <c:extLst>
            <c:ext xmlns:c16="http://schemas.microsoft.com/office/drawing/2014/chart" uri="{C3380CC4-5D6E-409C-BE32-E72D297353CC}">
              <c16:uniqueId val="{00000001-5897-4337-84E4-ED856CA770B3}"/>
            </c:ext>
          </c:extLst>
        </c:ser>
        <c:dLbls>
          <c:showLegendKey val="0"/>
          <c:showVal val="0"/>
          <c:showCatName val="0"/>
          <c:showSerName val="0"/>
          <c:showPercent val="0"/>
          <c:showBubbleSize val="0"/>
        </c:dLbls>
        <c:gapWidth val="182"/>
        <c:overlap val="100"/>
        <c:axId val="795713871"/>
        <c:axId val="795714287"/>
      </c:barChart>
      <c:catAx>
        <c:axId val="79571387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795714287"/>
        <c:crosses val="autoZero"/>
        <c:auto val="1"/>
        <c:lblAlgn val="ctr"/>
        <c:lblOffset val="100"/>
        <c:noMultiLvlLbl val="0"/>
      </c:catAx>
      <c:valAx>
        <c:axId val="795714287"/>
        <c:scaling>
          <c:orientation val="minMax"/>
          <c:max val="100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795713871"/>
        <c:crosses val="autoZero"/>
        <c:crossBetween val="between"/>
        <c:majorUnit val="2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3.9830887616320684E-2"/>
          <c:y val="2.8551034975017844E-2"/>
          <c:w val="0.92961349469100452"/>
          <c:h val="0.69437189916477826"/>
        </c:manualLayout>
      </c:layout>
      <c:barChart>
        <c:barDir val="col"/>
        <c:grouping val="stacked"/>
        <c:varyColors val="0"/>
        <c:ser>
          <c:idx val="0"/>
          <c:order val="0"/>
          <c:tx>
            <c:strRef>
              <c:f>'Obrazovna struktura odjavljenih'!$C$4</c:f>
              <c:strCache>
                <c:ptCount val="1"/>
                <c:pt idx="0">
                  <c:v>Bez škole i nezavršena osnovna škola</c:v>
                </c:pt>
              </c:strCache>
            </c:strRef>
          </c:tx>
          <c:spPr>
            <a:solidFill>
              <a:schemeClr val="accent1"/>
            </a:solidFill>
            <a:ln>
              <a:noFill/>
            </a:ln>
            <a:effectLst/>
          </c:spPr>
          <c:invertIfNegative val="0"/>
          <c:dLbls>
            <c:dLbl>
              <c:idx val="4"/>
              <c:layout>
                <c:manualLayout>
                  <c:x val="0"/>
                  <c:y val="1.299545159194281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9E0-4967-9D4D-8E0433AC135B}"/>
                </c:ext>
              </c:extLst>
            </c:dLbl>
            <c:dLbl>
              <c:idx val="5"/>
              <c:layout>
                <c:manualLayout>
                  <c:x val="0"/>
                  <c:y val="9.7465886939569965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9E0-4967-9D4D-8E0433AC135B}"/>
                </c:ext>
              </c:extLst>
            </c:dLbl>
            <c:spPr>
              <a:noFill/>
              <a:ln>
                <a:noFill/>
              </a:ln>
              <a:effectLst/>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'Obrazovna struktura odjavljenih'!$D$3:$I$3</c:f>
              <c:strCache>
                <c:ptCount val="6"/>
                <c:pt idx="0">
                  <c:v>2015.</c:v>
                </c:pt>
                <c:pt idx="1">
                  <c:v>2016.</c:v>
                </c:pt>
                <c:pt idx="2">
                  <c:v>2017.</c:v>
                </c:pt>
                <c:pt idx="3">
                  <c:v>2018.</c:v>
                </c:pt>
                <c:pt idx="4">
                  <c:v>2019.</c:v>
                </c:pt>
                <c:pt idx="5">
                  <c:v>2020.</c:v>
                </c:pt>
              </c:strCache>
            </c:strRef>
          </c:cat>
          <c:val>
            <c:numRef>
              <c:f>'Obrazovna struktura odjavljenih'!$D$4:$I$4</c:f>
              <c:numCache>
                <c:formatCode>General</c:formatCode>
                <c:ptCount val="6"/>
                <c:pt idx="0">
                  <c:v>83</c:v>
                </c:pt>
                <c:pt idx="1">
                  <c:v>70</c:v>
                </c:pt>
                <c:pt idx="2">
                  <c:v>73</c:v>
                </c:pt>
                <c:pt idx="3">
                  <c:v>54</c:v>
                </c:pt>
                <c:pt idx="4">
                  <c:v>34</c:v>
                </c:pt>
                <c:pt idx="5">
                  <c:v>33</c:v>
                </c:pt>
              </c:numCache>
            </c:numRef>
          </c:val>
          <c:extLst>
            <c:ext xmlns:c16="http://schemas.microsoft.com/office/drawing/2014/chart" uri="{C3380CC4-5D6E-409C-BE32-E72D297353CC}">
              <c16:uniqueId val="{00000000-3B5A-4729-AF2E-146B1EC339DA}"/>
            </c:ext>
          </c:extLst>
        </c:ser>
        <c:ser>
          <c:idx val="1"/>
          <c:order val="1"/>
          <c:tx>
            <c:strRef>
              <c:f>'Obrazovna struktura odjavljenih'!$C$5</c:f>
              <c:strCache>
                <c:ptCount val="1"/>
                <c:pt idx="0">
                  <c:v>Završena osnovna škola</c:v>
                </c:pt>
              </c:strCache>
            </c:strRef>
          </c:tx>
          <c:spPr>
            <a:solidFill>
              <a:schemeClr val="accent2"/>
            </a:solidFill>
            <a:ln>
              <a:noFill/>
            </a:ln>
            <a:effectLst/>
          </c:spPr>
          <c:invertIfNegative val="0"/>
          <c:dLbls>
            <c:spPr>
              <a:noFill/>
              <a:ln>
                <a:noFill/>
              </a:ln>
              <a:effectLst/>
            </c:spPr>
            <c:txPr>
              <a:bodyPr wrap="square" lIns="38100" tIns="19050" rIns="38100" bIns="19050" anchor="ctr">
                <a:spAutoFit/>
              </a:bodyPr>
              <a:lstStyle/>
              <a:p>
                <a:pPr>
                  <a:defRPr sz="900" b="0" i="0" u="none" strike="noStrike" baseline="0">
                    <a:solidFill>
                      <a:schemeClr val="bg1"/>
                    </a:solidFill>
                    <a:latin typeface="Calibri"/>
                    <a:ea typeface="Calibri"/>
                    <a:cs typeface="Calibri"/>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'Obrazovna struktura odjavljenih'!$D$3:$I$3</c:f>
              <c:strCache>
                <c:ptCount val="6"/>
                <c:pt idx="0">
                  <c:v>2015.</c:v>
                </c:pt>
                <c:pt idx="1">
                  <c:v>2016.</c:v>
                </c:pt>
                <c:pt idx="2">
                  <c:v>2017.</c:v>
                </c:pt>
                <c:pt idx="3">
                  <c:v>2018.</c:v>
                </c:pt>
                <c:pt idx="4">
                  <c:v>2019.</c:v>
                </c:pt>
                <c:pt idx="5">
                  <c:v>2020.</c:v>
                </c:pt>
              </c:strCache>
            </c:strRef>
          </c:cat>
          <c:val>
            <c:numRef>
              <c:f>'Obrazovna struktura odjavljenih'!$D$5:$I$5</c:f>
              <c:numCache>
                <c:formatCode>General</c:formatCode>
                <c:ptCount val="6"/>
                <c:pt idx="0">
                  <c:v>760</c:v>
                </c:pt>
                <c:pt idx="1">
                  <c:v>600</c:v>
                </c:pt>
                <c:pt idx="2">
                  <c:v>448</c:v>
                </c:pt>
                <c:pt idx="3">
                  <c:v>456</c:v>
                </c:pt>
                <c:pt idx="4">
                  <c:v>315</c:v>
                </c:pt>
                <c:pt idx="5">
                  <c:v>354</c:v>
                </c:pt>
              </c:numCache>
            </c:numRef>
          </c:val>
          <c:extLst>
            <c:ext xmlns:c16="http://schemas.microsoft.com/office/drawing/2014/chart" uri="{C3380CC4-5D6E-409C-BE32-E72D297353CC}">
              <c16:uniqueId val="{00000001-3B5A-4729-AF2E-146B1EC339DA}"/>
            </c:ext>
          </c:extLst>
        </c:ser>
        <c:ser>
          <c:idx val="2"/>
          <c:order val="2"/>
          <c:tx>
            <c:strRef>
              <c:f>'Obrazovna struktura odjavljenih'!$C$6</c:f>
              <c:strCache>
                <c:ptCount val="1"/>
                <c:pt idx="0">
                  <c:v>Srednja škola</c:v>
                </c:pt>
              </c:strCache>
            </c:strRef>
          </c:tx>
          <c:spPr>
            <a:solidFill>
              <a:schemeClr val="accent3"/>
            </a:solidFill>
            <a:ln>
              <a:noFill/>
            </a:ln>
            <a:effectLst/>
          </c:spPr>
          <c:invertIfNegative val="0"/>
          <c:dLbls>
            <c:spPr>
              <a:noFill/>
              <a:ln>
                <a:noFill/>
              </a:ln>
              <a:effectLst/>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'Obrazovna struktura odjavljenih'!$D$3:$I$3</c:f>
              <c:strCache>
                <c:ptCount val="6"/>
                <c:pt idx="0">
                  <c:v>2015.</c:v>
                </c:pt>
                <c:pt idx="1">
                  <c:v>2016.</c:v>
                </c:pt>
                <c:pt idx="2">
                  <c:v>2017.</c:v>
                </c:pt>
                <c:pt idx="3">
                  <c:v>2018.</c:v>
                </c:pt>
                <c:pt idx="4">
                  <c:v>2019.</c:v>
                </c:pt>
                <c:pt idx="5">
                  <c:v>2020.</c:v>
                </c:pt>
              </c:strCache>
            </c:strRef>
          </c:cat>
          <c:val>
            <c:numRef>
              <c:f>'Obrazovna struktura odjavljenih'!$D$6:$I$6</c:f>
              <c:numCache>
                <c:formatCode>General</c:formatCode>
                <c:ptCount val="6"/>
                <c:pt idx="0">
                  <c:v>4249</c:v>
                </c:pt>
                <c:pt idx="1">
                  <c:v>3634</c:v>
                </c:pt>
                <c:pt idx="2">
                  <c:v>2840</c:v>
                </c:pt>
                <c:pt idx="3">
                  <c:v>2447</c:v>
                </c:pt>
                <c:pt idx="4">
                  <c:v>2103</c:v>
                </c:pt>
                <c:pt idx="5">
                  <c:v>2172</c:v>
                </c:pt>
              </c:numCache>
            </c:numRef>
          </c:val>
          <c:extLst>
            <c:ext xmlns:c16="http://schemas.microsoft.com/office/drawing/2014/chart" uri="{C3380CC4-5D6E-409C-BE32-E72D297353CC}">
              <c16:uniqueId val="{00000002-3B5A-4729-AF2E-146B1EC339DA}"/>
            </c:ext>
          </c:extLst>
        </c:ser>
        <c:ser>
          <c:idx val="3"/>
          <c:order val="3"/>
          <c:tx>
            <c:strRef>
              <c:f>'Obrazovna struktura odjavljenih'!$C$7</c:f>
              <c:strCache>
                <c:ptCount val="1"/>
                <c:pt idx="0">
                  <c:v>Prvi stupanj fakulteta, stručni studij i viša škola</c:v>
                </c:pt>
              </c:strCache>
            </c:strRef>
          </c:tx>
          <c:spPr>
            <a:solidFill>
              <a:schemeClr val="accent4"/>
            </a:solidFill>
            <a:ln>
              <a:noFill/>
            </a:ln>
            <a:effectLst/>
          </c:spPr>
          <c:invertIfNegative val="0"/>
          <c:dLbls>
            <c:spPr>
              <a:noFill/>
              <a:ln>
                <a:noFill/>
              </a:ln>
              <a:effectLst/>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'Obrazovna struktura odjavljenih'!$D$3:$I$3</c:f>
              <c:strCache>
                <c:ptCount val="6"/>
                <c:pt idx="0">
                  <c:v>2015.</c:v>
                </c:pt>
                <c:pt idx="1">
                  <c:v>2016.</c:v>
                </c:pt>
                <c:pt idx="2">
                  <c:v>2017.</c:v>
                </c:pt>
                <c:pt idx="3">
                  <c:v>2018.</c:v>
                </c:pt>
                <c:pt idx="4">
                  <c:v>2019.</c:v>
                </c:pt>
                <c:pt idx="5">
                  <c:v>2020.</c:v>
                </c:pt>
              </c:strCache>
            </c:strRef>
          </c:cat>
          <c:val>
            <c:numRef>
              <c:f>'Obrazovna struktura odjavljenih'!$D$7:$I$7</c:f>
              <c:numCache>
                <c:formatCode>General</c:formatCode>
                <c:ptCount val="6"/>
                <c:pt idx="0">
                  <c:v>592</c:v>
                </c:pt>
                <c:pt idx="1">
                  <c:v>570</c:v>
                </c:pt>
                <c:pt idx="2">
                  <c:v>442</c:v>
                </c:pt>
                <c:pt idx="3">
                  <c:v>385</c:v>
                </c:pt>
                <c:pt idx="4">
                  <c:v>311</c:v>
                </c:pt>
                <c:pt idx="5">
                  <c:v>292</c:v>
                </c:pt>
              </c:numCache>
            </c:numRef>
          </c:val>
          <c:extLst>
            <c:ext xmlns:c16="http://schemas.microsoft.com/office/drawing/2014/chart" uri="{C3380CC4-5D6E-409C-BE32-E72D297353CC}">
              <c16:uniqueId val="{00000003-3B5A-4729-AF2E-146B1EC339DA}"/>
            </c:ext>
          </c:extLst>
        </c:ser>
        <c:ser>
          <c:idx val="4"/>
          <c:order val="4"/>
          <c:tx>
            <c:strRef>
              <c:f>'Obrazovna struktura odjavljenih'!$C$8</c:f>
              <c:strCache>
                <c:ptCount val="1"/>
                <c:pt idx="0">
                  <c:v>Fakultet, akademija, magisterij, doktorat</c:v>
                </c:pt>
              </c:strCache>
            </c:strRef>
          </c:tx>
          <c:spPr>
            <a:solidFill>
              <a:schemeClr val="accent5"/>
            </a:solidFill>
            <a:ln>
              <a:noFill/>
            </a:ln>
            <a:effectLst/>
          </c:spPr>
          <c:invertIfNegative val="0"/>
          <c:dLbls>
            <c:spPr>
              <a:noFill/>
              <a:ln>
                <a:noFill/>
              </a:ln>
              <a:effectLst/>
            </c:spPr>
            <c:txPr>
              <a:bodyPr wrap="square" lIns="38100" tIns="19050" rIns="38100" bIns="19050" anchor="ctr">
                <a:spAutoFit/>
              </a:bodyPr>
              <a:lstStyle/>
              <a:p>
                <a:pPr>
                  <a:defRPr sz="900" b="0" i="0" u="none" strike="noStrike" baseline="0">
                    <a:solidFill>
                      <a:srgbClr val="333333"/>
                    </a:solidFill>
                    <a:latin typeface="Calibri"/>
                    <a:ea typeface="Calibri"/>
                    <a:cs typeface="Calibri"/>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'Obrazovna struktura odjavljenih'!$D$3:$I$3</c:f>
              <c:strCache>
                <c:ptCount val="6"/>
                <c:pt idx="0">
                  <c:v>2015.</c:v>
                </c:pt>
                <c:pt idx="1">
                  <c:v>2016.</c:v>
                </c:pt>
                <c:pt idx="2">
                  <c:v>2017.</c:v>
                </c:pt>
                <c:pt idx="3">
                  <c:v>2018.</c:v>
                </c:pt>
                <c:pt idx="4">
                  <c:v>2019.</c:v>
                </c:pt>
                <c:pt idx="5">
                  <c:v>2020.</c:v>
                </c:pt>
              </c:strCache>
            </c:strRef>
          </c:cat>
          <c:val>
            <c:numRef>
              <c:f>'Obrazovna struktura odjavljenih'!$D$8:$I$8</c:f>
              <c:numCache>
                <c:formatCode>General</c:formatCode>
                <c:ptCount val="6"/>
                <c:pt idx="0">
                  <c:v>577</c:v>
                </c:pt>
                <c:pt idx="1">
                  <c:v>561</c:v>
                </c:pt>
                <c:pt idx="2">
                  <c:v>553</c:v>
                </c:pt>
                <c:pt idx="3">
                  <c:v>461</c:v>
                </c:pt>
                <c:pt idx="4">
                  <c:v>432</c:v>
                </c:pt>
                <c:pt idx="5">
                  <c:v>395</c:v>
                </c:pt>
              </c:numCache>
            </c:numRef>
          </c:val>
          <c:extLst>
            <c:ext xmlns:c16="http://schemas.microsoft.com/office/drawing/2014/chart" uri="{C3380CC4-5D6E-409C-BE32-E72D297353CC}">
              <c16:uniqueId val="{00000004-3B5A-4729-AF2E-146B1EC339DA}"/>
            </c:ext>
          </c:extLst>
        </c:ser>
        <c:dLbls>
          <c:showLegendKey val="0"/>
          <c:showVal val="0"/>
          <c:showCatName val="0"/>
          <c:showSerName val="0"/>
          <c:showPercent val="0"/>
          <c:showBubbleSize val="0"/>
        </c:dLbls>
        <c:gapWidth val="150"/>
        <c:overlap val="100"/>
        <c:axId val="487034192"/>
        <c:axId val="1"/>
      </c:barChart>
      <c:catAx>
        <c:axId val="487034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Newslab Light" panose="02000000000000000000" pitchFamily="50" charset="0"/>
                <a:ea typeface="Calibri"/>
                <a:cs typeface="Calibri"/>
              </a:defRPr>
            </a:pPr>
            <a:endParaRPr lang="sr-Latn-RS"/>
          </a:p>
        </c:txPr>
        <c:crossAx val="1"/>
        <c:crosses val="autoZero"/>
        <c:auto val="1"/>
        <c:lblAlgn val="ctr"/>
        <c:lblOffset val="100"/>
        <c:noMultiLvlLbl val="0"/>
      </c:catAx>
      <c:valAx>
        <c:axId val="1"/>
        <c:scaling>
          <c:orientation val="minMax"/>
          <c:max val="7000"/>
          <c:min val="0"/>
        </c:scaling>
        <c:delete val="1"/>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crossAx val="487034192"/>
        <c:crosses val="autoZero"/>
        <c:crossBetween val="between"/>
        <c:majorUnit val="1000"/>
      </c:valAx>
      <c:spPr>
        <a:noFill/>
        <a:ln w="25400">
          <a:noFill/>
        </a:ln>
      </c:spPr>
    </c:plotArea>
    <c:legend>
      <c:legendPos val="b"/>
      <c:layout>
        <c:manualLayout>
          <c:xMode val="edge"/>
          <c:yMode val="edge"/>
          <c:x val="6.3579694583631594E-2"/>
          <c:y val="0.80529471859495827"/>
          <c:w val="0.87839604211405387"/>
          <c:h val="0.15622068980507872"/>
        </c:manualLayout>
      </c:layout>
      <c:overlay val="0"/>
      <c:spPr>
        <a:noFill/>
        <a:ln>
          <a:noFill/>
        </a:ln>
        <a:effectLst/>
      </c:spPr>
      <c:txPr>
        <a:bodyPr/>
        <a:lstStyle/>
        <a:p>
          <a:pPr>
            <a:defRPr sz="825" b="0" i="0" u="none" strike="noStrike" baseline="0">
              <a:solidFill>
                <a:srgbClr val="333333"/>
              </a:solidFill>
              <a:latin typeface="Newslab Light" panose="02000000000000000000" pitchFamily="50" charset="0"/>
              <a:ea typeface="Calibri"/>
              <a:cs typeface="Calibri"/>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sr-Latn-R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'Nezaposleni prema obrazovanju'!$C$6</c:f>
              <c:strCache>
                <c:ptCount val="1"/>
                <c:pt idx="0">
                  <c:v>2015.</c:v>
                </c:pt>
              </c:strCache>
            </c:strRef>
          </c:tx>
          <c:spPr>
            <a:solidFill>
              <a:schemeClr val="accent2"/>
            </a:solidFill>
            <a:ln>
              <a:noFill/>
            </a:ln>
            <a:effectLst/>
          </c:spPr>
          <c:invertIfNegative val="0"/>
          <c:cat>
            <c:strRef>
              <c:f>'Nezaposleni prema obrazovanju'!$D$4:$H$4</c:f>
              <c:strCache>
                <c:ptCount val="5"/>
                <c:pt idx="0">
                  <c:v> Bez škole i nezavršena osnovna škola</c:v>
                </c:pt>
                <c:pt idx="1">
                  <c:v> Završena osnovna škola</c:v>
                </c:pt>
                <c:pt idx="2">
                  <c:v>Srednja škola</c:v>
                </c:pt>
                <c:pt idx="3">
                  <c:v> Prvi stupanj fakulteta, stručni studij i viša škola</c:v>
                </c:pt>
                <c:pt idx="4">
                  <c:v> Fakultet, akademija, magisterij, doktorat</c:v>
                </c:pt>
              </c:strCache>
            </c:strRef>
          </c:cat>
          <c:val>
            <c:numRef>
              <c:f>'Nezaposleni prema obrazovanju'!$D$6:$H$6</c:f>
              <c:numCache>
                <c:formatCode>0</c:formatCode>
                <c:ptCount val="5"/>
                <c:pt idx="0">
                  <c:v>420.5</c:v>
                </c:pt>
                <c:pt idx="1">
                  <c:v>1531.75</c:v>
                </c:pt>
                <c:pt idx="2">
                  <c:v>4054.0833333333335</c:v>
                </c:pt>
                <c:pt idx="3">
                  <c:v>369.33333333333297</c:v>
                </c:pt>
                <c:pt idx="4">
                  <c:v>272.75</c:v>
                </c:pt>
              </c:numCache>
            </c:numRef>
          </c:val>
          <c:extLst>
            <c:ext xmlns:c16="http://schemas.microsoft.com/office/drawing/2014/chart" uri="{C3380CC4-5D6E-409C-BE32-E72D297353CC}">
              <c16:uniqueId val="{00000000-B497-4A7C-ABF4-CEC1A5E909AF}"/>
            </c:ext>
          </c:extLst>
        </c:ser>
        <c:ser>
          <c:idx val="2"/>
          <c:order val="2"/>
          <c:tx>
            <c:strRef>
              <c:f>'Nezaposleni prema obrazovanju'!$C$7</c:f>
              <c:strCache>
                <c:ptCount val="1"/>
                <c:pt idx="0">
                  <c:v>2016.</c:v>
                </c:pt>
              </c:strCache>
            </c:strRef>
          </c:tx>
          <c:spPr>
            <a:solidFill>
              <a:schemeClr val="accent3"/>
            </a:solidFill>
            <a:ln>
              <a:noFill/>
            </a:ln>
            <a:effectLst/>
          </c:spPr>
          <c:invertIfNegative val="0"/>
          <c:cat>
            <c:strRef>
              <c:f>'Nezaposleni prema obrazovanju'!$D$4:$H$4</c:f>
              <c:strCache>
                <c:ptCount val="5"/>
                <c:pt idx="0">
                  <c:v> Bez škole i nezavršena osnovna škola</c:v>
                </c:pt>
                <c:pt idx="1">
                  <c:v> Završena osnovna škola</c:v>
                </c:pt>
                <c:pt idx="2">
                  <c:v>Srednja škola</c:v>
                </c:pt>
                <c:pt idx="3">
                  <c:v> Prvi stupanj fakulteta, stručni studij i viša škola</c:v>
                </c:pt>
                <c:pt idx="4">
                  <c:v> Fakultet, akademija, magisterij, doktorat</c:v>
                </c:pt>
              </c:strCache>
            </c:strRef>
          </c:cat>
          <c:val>
            <c:numRef>
              <c:f>'Nezaposleni prema obrazovanju'!$D$7:$H$7</c:f>
              <c:numCache>
                <c:formatCode>0</c:formatCode>
                <c:ptCount val="5"/>
                <c:pt idx="0">
                  <c:v>332.25</c:v>
                </c:pt>
                <c:pt idx="1">
                  <c:v>1168.25</c:v>
                </c:pt>
                <c:pt idx="2">
                  <c:v>3082.1666666666665</c:v>
                </c:pt>
                <c:pt idx="3">
                  <c:v>326.91666666666669</c:v>
                </c:pt>
                <c:pt idx="4">
                  <c:v>258.16666666666669</c:v>
                </c:pt>
              </c:numCache>
            </c:numRef>
          </c:val>
          <c:extLst>
            <c:ext xmlns:c16="http://schemas.microsoft.com/office/drawing/2014/chart" uri="{C3380CC4-5D6E-409C-BE32-E72D297353CC}">
              <c16:uniqueId val="{00000001-B497-4A7C-ABF4-CEC1A5E909AF}"/>
            </c:ext>
          </c:extLst>
        </c:ser>
        <c:ser>
          <c:idx val="3"/>
          <c:order val="3"/>
          <c:tx>
            <c:strRef>
              <c:f>'Nezaposleni prema obrazovanju'!$C$8</c:f>
              <c:strCache>
                <c:ptCount val="1"/>
                <c:pt idx="0">
                  <c:v>2017.</c:v>
                </c:pt>
              </c:strCache>
            </c:strRef>
          </c:tx>
          <c:spPr>
            <a:solidFill>
              <a:schemeClr val="accent4"/>
            </a:solidFill>
            <a:ln>
              <a:noFill/>
            </a:ln>
            <a:effectLst/>
          </c:spPr>
          <c:invertIfNegative val="0"/>
          <c:cat>
            <c:strRef>
              <c:f>'Nezaposleni prema obrazovanju'!$D$4:$H$4</c:f>
              <c:strCache>
                <c:ptCount val="5"/>
                <c:pt idx="0">
                  <c:v> Bez škole i nezavršena osnovna škola</c:v>
                </c:pt>
                <c:pt idx="1">
                  <c:v> Završena osnovna škola</c:v>
                </c:pt>
                <c:pt idx="2">
                  <c:v>Srednja škola</c:v>
                </c:pt>
                <c:pt idx="3">
                  <c:v> Prvi stupanj fakulteta, stručni studij i viša škola</c:v>
                </c:pt>
                <c:pt idx="4">
                  <c:v> Fakultet, akademija, magisterij, doktorat</c:v>
                </c:pt>
              </c:strCache>
            </c:strRef>
          </c:cat>
          <c:val>
            <c:numRef>
              <c:f>'Nezaposleni prema obrazovanju'!$D$8:$H$8</c:f>
              <c:numCache>
                <c:formatCode>0</c:formatCode>
                <c:ptCount val="5"/>
                <c:pt idx="0">
                  <c:v>224.91666666666666</c:v>
                </c:pt>
                <c:pt idx="1">
                  <c:v>845</c:v>
                </c:pt>
                <c:pt idx="2">
                  <c:v>2141.4166666666665</c:v>
                </c:pt>
                <c:pt idx="3">
                  <c:v>244.16666666666666</c:v>
                </c:pt>
                <c:pt idx="4">
                  <c:v>233.83333333333334</c:v>
                </c:pt>
              </c:numCache>
            </c:numRef>
          </c:val>
          <c:extLst>
            <c:ext xmlns:c16="http://schemas.microsoft.com/office/drawing/2014/chart" uri="{C3380CC4-5D6E-409C-BE32-E72D297353CC}">
              <c16:uniqueId val="{00000002-B497-4A7C-ABF4-CEC1A5E909AF}"/>
            </c:ext>
          </c:extLst>
        </c:ser>
        <c:ser>
          <c:idx val="4"/>
          <c:order val="4"/>
          <c:tx>
            <c:strRef>
              <c:f>'Nezaposleni prema obrazovanju'!$C$9</c:f>
              <c:strCache>
                <c:ptCount val="1"/>
                <c:pt idx="0">
                  <c:v>2018.</c:v>
                </c:pt>
              </c:strCache>
            </c:strRef>
          </c:tx>
          <c:spPr>
            <a:solidFill>
              <a:schemeClr val="accent5"/>
            </a:solidFill>
            <a:ln>
              <a:noFill/>
            </a:ln>
            <a:effectLst/>
          </c:spPr>
          <c:invertIfNegative val="0"/>
          <c:cat>
            <c:strRef>
              <c:f>'Nezaposleni prema obrazovanju'!$D$4:$H$4</c:f>
              <c:strCache>
                <c:ptCount val="5"/>
                <c:pt idx="0">
                  <c:v> Bez škole i nezavršena osnovna škola</c:v>
                </c:pt>
                <c:pt idx="1">
                  <c:v> Završena osnovna škola</c:v>
                </c:pt>
                <c:pt idx="2">
                  <c:v>Srednja škola</c:v>
                </c:pt>
                <c:pt idx="3">
                  <c:v> Prvi stupanj fakulteta, stručni studij i viša škola</c:v>
                </c:pt>
                <c:pt idx="4">
                  <c:v> Fakultet, akademija, magisterij, doktorat</c:v>
                </c:pt>
              </c:strCache>
            </c:strRef>
          </c:cat>
          <c:val>
            <c:numRef>
              <c:f>'Nezaposleni prema obrazovanju'!$D$9:$H$9</c:f>
              <c:numCache>
                <c:formatCode>0</c:formatCode>
                <c:ptCount val="5"/>
                <c:pt idx="0">
                  <c:v>166.91666666666666</c:v>
                </c:pt>
                <c:pt idx="1">
                  <c:v>676.58333333333337</c:v>
                </c:pt>
                <c:pt idx="2">
                  <c:v>1599.0833333333333</c:v>
                </c:pt>
                <c:pt idx="3">
                  <c:v>171.25</c:v>
                </c:pt>
                <c:pt idx="4">
                  <c:v>175</c:v>
                </c:pt>
              </c:numCache>
            </c:numRef>
          </c:val>
          <c:extLst>
            <c:ext xmlns:c16="http://schemas.microsoft.com/office/drawing/2014/chart" uri="{C3380CC4-5D6E-409C-BE32-E72D297353CC}">
              <c16:uniqueId val="{00000003-B497-4A7C-ABF4-CEC1A5E909AF}"/>
            </c:ext>
          </c:extLst>
        </c:ser>
        <c:ser>
          <c:idx val="5"/>
          <c:order val="5"/>
          <c:tx>
            <c:strRef>
              <c:f>'Nezaposleni prema obrazovanju'!$C$10</c:f>
              <c:strCache>
                <c:ptCount val="1"/>
                <c:pt idx="0">
                  <c:v>2019.</c:v>
                </c:pt>
              </c:strCache>
            </c:strRef>
          </c:tx>
          <c:spPr>
            <a:solidFill>
              <a:schemeClr val="accent6"/>
            </a:solidFill>
            <a:ln>
              <a:noFill/>
            </a:ln>
            <a:effectLst/>
          </c:spPr>
          <c:invertIfNegative val="0"/>
          <c:cat>
            <c:strRef>
              <c:f>'Nezaposleni prema obrazovanju'!$D$4:$H$4</c:f>
              <c:strCache>
                <c:ptCount val="5"/>
                <c:pt idx="0">
                  <c:v> Bez škole i nezavršena osnovna škola</c:v>
                </c:pt>
                <c:pt idx="1">
                  <c:v> Završena osnovna škola</c:v>
                </c:pt>
                <c:pt idx="2">
                  <c:v>Srednja škola</c:v>
                </c:pt>
                <c:pt idx="3">
                  <c:v> Prvi stupanj fakulteta, stručni studij i viša škola</c:v>
                </c:pt>
                <c:pt idx="4">
                  <c:v> Fakultet, akademija, magisterij, doktorat</c:v>
                </c:pt>
              </c:strCache>
            </c:strRef>
          </c:cat>
          <c:val>
            <c:numRef>
              <c:f>'Nezaposleni prema obrazovanju'!$D$10:$H$10</c:f>
              <c:numCache>
                <c:formatCode>0</c:formatCode>
                <c:ptCount val="5"/>
                <c:pt idx="0">
                  <c:v>122.58333333333333</c:v>
                </c:pt>
                <c:pt idx="1">
                  <c:v>528.66666666666663</c:v>
                </c:pt>
                <c:pt idx="2">
                  <c:v>1362.9166666666667</c:v>
                </c:pt>
                <c:pt idx="3">
                  <c:v>150.33333333333334</c:v>
                </c:pt>
                <c:pt idx="4">
                  <c:v>157.83333333333334</c:v>
                </c:pt>
              </c:numCache>
            </c:numRef>
          </c:val>
          <c:extLst>
            <c:ext xmlns:c16="http://schemas.microsoft.com/office/drawing/2014/chart" uri="{C3380CC4-5D6E-409C-BE32-E72D297353CC}">
              <c16:uniqueId val="{00000004-B497-4A7C-ABF4-CEC1A5E909AF}"/>
            </c:ext>
          </c:extLst>
        </c:ser>
        <c:ser>
          <c:idx val="6"/>
          <c:order val="6"/>
          <c:tx>
            <c:strRef>
              <c:f>'Nezaposleni prema obrazovanju'!$C$11</c:f>
              <c:strCache>
                <c:ptCount val="1"/>
                <c:pt idx="0">
                  <c:v>2020.</c:v>
                </c:pt>
              </c:strCache>
            </c:strRef>
          </c:tx>
          <c:spPr>
            <a:solidFill>
              <a:schemeClr val="accent1">
                <a:lumMod val="60000"/>
              </a:schemeClr>
            </a:solidFill>
            <a:ln>
              <a:noFill/>
            </a:ln>
            <a:effectLst/>
          </c:spPr>
          <c:invertIfNegative val="0"/>
          <c:cat>
            <c:strRef>
              <c:f>'Nezaposleni prema obrazovanju'!$D$4:$H$4</c:f>
              <c:strCache>
                <c:ptCount val="5"/>
                <c:pt idx="0">
                  <c:v> Bez škole i nezavršena osnovna škola</c:v>
                </c:pt>
                <c:pt idx="1">
                  <c:v> Završena osnovna škola</c:v>
                </c:pt>
                <c:pt idx="2">
                  <c:v>Srednja škola</c:v>
                </c:pt>
                <c:pt idx="3">
                  <c:v> Prvi stupanj fakulteta, stručni studij i viša škola</c:v>
                </c:pt>
                <c:pt idx="4">
                  <c:v> Fakultet, akademija, magisterij, doktorat</c:v>
                </c:pt>
              </c:strCache>
            </c:strRef>
          </c:cat>
          <c:val>
            <c:numRef>
              <c:f>'Nezaposleni prema obrazovanju'!$D$11:$H$11</c:f>
              <c:numCache>
                <c:formatCode>0</c:formatCode>
                <c:ptCount val="5"/>
                <c:pt idx="0">
                  <c:v>113.36363636363636</c:v>
                </c:pt>
                <c:pt idx="1">
                  <c:v>557</c:v>
                </c:pt>
                <c:pt idx="2">
                  <c:v>1655</c:v>
                </c:pt>
                <c:pt idx="3">
                  <c:v>167</c:v>
                </c:pt>
                <c:pt idx="4">
                  <c:v>177</c:v>
                </c:pt>
              </c:numCache>
            </c:numRef>
          </c:val>
          <c:extLst>
            <c:ext xmlns:c16="http://schemas.microsoft.com/office/drawing/2014/chart" uri="{C3380CC4-5D6E-409C-BE32-E72D297353CC}">
              <c16:uniqueId val="{00000005-B497-4A7C-ABF4-CEC1A5E909AF}"/>
            </c:ext>
          </c:extLst>
        </c:ser>
        <c:dLbls>
          <c:showLegendKey val="0"/>
          <c:showVal val="0"/>
          <c:showCatName val="0"/>
          <c:showSerName val="0"/>
          <c:showPercent val="0"/>
          <c:showBubbleSize val="0"/>
        </c:dLbls>
        <c:gapWidth val="219"/>
        <c:overlap val="-27"/>
        <c:axId val="36280640"/>
        <c:axId val="36281056"/>
        <c:extLst>
          <c:ext xmlns:c15="http://schemas.microsoft.com/office/drawing/2012/chart" uri="{02D57815-91ED-43cb-92C2-25804820EDAC}">
            <c15:filteredBarSeries>
              <c15:ser>
                <c:idx val="0"/>
                <c:order val="0"/>
                <c:tx>
                  <c:strRef>
                    <c:extLst>
                      <c:ext uri="{02D57815-91ED-43cb-92C2-25804820EDAC}">
                        <c15:formulaRef>
                          <c15:sqref>'Nezaposleni prema obrazovanju'!$C$5</c15:sqref>
                        </c15:formulaRef>
                      </c:ext>
                    </c:extLst>
                    <c:strCache>
                      <c:ptCount val="1"/>
                    </c:strCache>
                  </c:strRef>
                </c:tx>
                <c:spPr>
                  <a:solidFill>
                    <a:schemeClr val="accent1"/>
                  </a:solidFill>
                  <a:ln>
                    <a:noFill/>
                  </a:ln>
                  <a:effectLst/>
                </c:spPr>
                <c:invertIfNegative val="0"/>
                <c:cat>
                  <c:strRef>
                    <c:extLst>
                      <c:ext uri="{02D57815-91ED-43cb-92C2-25804820EDAC}">
                        <c15:formulaRef>
                          <c15:sqref>'Nezaposleni prema obrazovanju'!$D$4:$H$4</c15:sqref>
                        </c15:formulaRef>
                      </c:ext>
                    </c:extLst>
                    <c:strCache>
                      <c:ptCount val="5"/>
                      <c:pt idx="0">
                        <c:v> Bez škole i nezavršena osnovna škola</c:v>
                      </c:pt>
                      <c:pt idx="1">
                        <c:v> Završena osnovna škola</c:v>
                      </c:pt>
                      <c:pt idx="2">
                        <c:v>Srednja škola</c:v>
                      </c:pt>
                      <c:pt idx="3">
                        <c:v> Prvi stupanj fakulteta, stručni studij i viša škola</c:v>
                      </c:pt>
                      <c:pt idx="4">
                        <c:v> Fakultet, akademija, magisterij, doktorat</c:v>
                      </c:pt>
                    </c:strCache>
                  </c:strRef>
                </c:cat>
                <c:val>
                  <c:numRef>
                    <c:extLst>
                      <c:ext uri="{02D57815-91ED-43cb-92C2-25804820EDAC}">
                        <c15:formulaRef>
                          <c15:sqref>'Nezaposleni prema obrazovanju'!$D$5:$H$5</c15:sqref>
                        </c15:formulaRef>
                      </c:ext>
                    </c:extLst>
                    <c:numCache>
                      <c:formatCode>General</c:formatCode>
                      <c:ptCount val="5"/>
                    </c:numCache>
                  </c:numRef>
                </c:val>
                <c:extLst>
                  <c:ext xmlns:c16="http://schemas.microsoft.com/office/drawing/2014/chart" uri="{C3380CC4-5D6E-409C-BE32-E72D297353CC}">
                    <c16:uniqueId val="{00000006-B497-4A7C-ABF4-CEC1A5E909AF}"/>
                  </c:ext>
                </c:extLst>
              </c15:ser>
            </c15:filteredBarSeries>
          </c:ext>
        </c:extLst>
      </c:barChart>
      <c:catAx>
        <c:axId val="36280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6281056"/>
        <c:crosses val="autoZero"/>
        <c:auto val="1"/>
        <c:lblAlgn val="ctr"/>
        <c:lblOffset val="100"/>
        <c:noMultiLvlLbl val="0"/>
      </c:catAx>
      <c:valAx>
        <c:axId val="36281056"/>
        <c:scaling>
          <c:orientation val="minMax"/>
          <c:max val="45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6280640"/>
        <c:crosses val="autoZero"/>
        <c:crossBetween val="between"/>
        <c:majorUnit val="5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Sheet1!$B$3</c:f>
              <c:strCache>
                <c:ptCount val="1"/>
                <c:pt idx="0">
                  <c:v>RH</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panose="02000000000000000000" pitchFamily="50" charset="0"/>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Sheet1!$C$2:$G$2</c:f>
              <c:strCache>
                <c:ptCount val="5"/>
                <c:pt idx="0">
                  <c:v>2014.</c:v>
                </c:pt>
                <c:pt idx="1">
                  <c:v>2015.</c:v>
                </c:pt>
                <c:pt idx="2">
                  <c:v>2016.</c:v>
                </c:pt>
                <c:pt idx="3">
                  <c:v>2017.</c:v>
                </c:pt>
                <c:pt idx="4">
                  <c:v>2018.</c:v>
                </c:pt>
              </c:strCache>
            </c:strRef>
          </c:cat>
          <c:val>
            <c:numRef>
              <c:f>Sheet1!$C$3:$G$3</c:f>
              <c:numCache>
                <c:formatCode>#,##0</c:formatCode>
                <c:ptCount val="5"/>
                <c:pt idx="0">
                  <c:v>16109</c:v>
                </c:pt>
                <c:pt idx="1">
                  <c:v>16080</c:v>
                </c:pt>
                <c:pt idx="2">
                  <c:v>16262</c:v>
                </c:pt>
                <c:pt idx="3">
                  <c:v>16663</c:v>
                </c:pt>
                <c:pt idx="4">
                  <c:v>17331</c:v>
                </c:pt>
              </c:numCache>
            </c:numRef>
          </c:val>
          <c:smooth val="0"/>
          <c:extLst>
            <c:ext xmlns:c16="http://schemas.microsoft.com/office/drawing/2014/chart" uri="{C3380CC4-5D6E-409C-BE32-E72D297353CC}">
              <c16:uniqueId val="{00000000-186A-47EE-884D-C4F3F40D2E03}"/>
            </c:ext>
          </c:extLst>
        </c:ser>
        <c:ser>
          <c:idx val="1"/>
          <c:order val="1"/>
          <c:tx>
            <c:strRef>
              <c:f>Sheet1!$B$4</c:f>
              <c:strCache>
                <c:ptCount val="1"/>
                <c:pt idx="0">
                  <c:v>KZŽ</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panose="02000000000000000000" pitchFamily="50" charset="0"/>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Sheet1!$C$2:$G$2</c:f>
              <c:strCache>
                <c:ptCount val="5"/>
                <c:pt idx="0">
                  <c:v>2014.</c:v>
                </c:pt>
                <c:pt idx="1">
                  <c:v>2015.</c:v>
                </c:pt>
                <c:pt idx="2">
                  <c:v>2016.</c:v>
                </c:pt>
                <c:pt idx="3">
                  <c:v>2017.</c:v>
                </c:pt>
                <c:pt idx="4">
                  <c:v>2018.</c:v>
                </c:pt>
              </c:strCache>
            </c:strRef>
          </c:cat>
          <c:val>
            <c:numRef>
              <c:f>Sheet1!$C$4:$G$4</c:f>
              <c:numCache>
                <c:formatCode>#,##0</c:formatCode>
                <c:ptCount val="5"/>
                <c:pt idx="0">
                  <c:v>1556</c:v>
                </c:pt>
                <c:pt idx="1">
                  <c:v>1450</c:v>
                </c:pt>
                <c:pt idx="2">
                  <c:v>1359</c:v>
                </c:pt>
                <c:pt idx="3">
                  <c:v>1310</c:v>
                </c:pt>
                <c:pt idx="4">
                  <c:v>1341</c:v>
                </c:pt>
              </c:numCache>
            </c:numRef>
          </c:val>
          <c:smooth val="0"/>
          <c:extLst>
            <c:ext xmlns:c16="http://schemas.microsoft.com/office/drawing/2014/chart" uri="{C3380CC4-5D6E-409C-BE32-E72D297353CC}">
              <c16:uniqueId val="{00000001-186A-47EE-884D-C4F3F40D2E03}"/>
            </c:ext>
          </c:extLst>
        </c:ser>
        <c:dLbls>
          <c:dLblPos val="t"/>
          <c:showLegendKey val="0"/>
          <c:showVal val="1"/>
          <c:showCatName val="0"/>
          <c:showSerName val="0"/>
          <c:showPercent val="0"/>
          <c:showBubbleSize val="0"/>
        </c:dLbls>
        <c:smooth val="0"/>
        <c:axId val="517073920"/>
        <c:axId val="518066944"/>
      </c:lineChart>
      <c:catAx>
        <c:axId val="517073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18066944"/>
        <c:crosses val="autoZero"/>
        <c:auto val="1"/>
        <c:lblAlgn val="ctr"/>
        <c:lblOffset val="100"/>
        <c:noMultiLvlLbl val="0"/>
      </c:catAx>
      <c:valAx>
        <c:axId val="5180669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17073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Newslab" panose="02000000000000000000" pitchFamily="50" charset="0"/>
        </a:defRPr>
      </a:pPr>
      <a:endParaRPr lang="sr-Latn-R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'Nezaposleni obrazovanje i spol'!$A$5</c:f>
              <c:strCache>
                <c:ptCount val="1"/>
                <c:pt idx="0">
                  <c:v>Ženski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'Nezaposleni obrazovanje i spol'!$B$4:$F$4</c:f>
              <c:strCache>
                <c:ptCount val="5"/>
                <c:pt idx="0">
                  <c:v>Bez škole i nezavršena osnovna škola</c:v>
                </c:pt>
                <c:pt idx="1">
                  <c:v>Završena osnovna škola</c:v>
                </c:pt>
                <c:pt idx="2">
                  <c:v>Srednja škola</c:v>
                </c:pt>
                <c:pt idx="3">
                  <c:v>Prvi stupanj fakulteta, stručni studij i viša škola</c:v>
                </c:pt>
                <c:pt idx="4">
                  <c:v>Fakultet, akademija, magisterij, doktorat</c:v>
                </c:pt>
              </c:strCache>
            </c:strRef>
          </c:cat>
          <c:val>
            <c:numRef>
              <c:f>'Nezaposleni obrazovanje i spol'!$B$5:$F$5</c:f>
              <c:numCache>
                <c:formatCode>General</c:formatCode>
                <c:ptCount val="5"/>
                <c:pt idx="0">
                  <c:v>45</c:v>
                </c:pt>
                <c:pt idx="1">
                  <c:v>291</c:v>
                </c:pt>
                <c:pt idx="2">
                  <c:v>849</c:v>
                </c:pt>
                <c:pt idx="3">
                  <c:v>110</c:v>
                </c:pt>
                <c:pt idx="4">
                  <c:v>131</c:v>
                </c:pt>
              </c:numCache>
            </c:numRef>
          </c:val>
          <c:extLst>
            <c:ext xmlns:c16="http://schemas.microsoft.com/office/drawing/2014/chart" uri="{C3380CC4-5D6E-409C-BE32-E72D297353CC}">
              <c16:uniqueId val="{00000000-29CD-4E63-B182-DCEBC793BE9D}"/>
            </c:ext>
          </c:extLst>
        </c:ser>
        <c:ser>
          <c:idx val="1"/>
          <c:order val="1"/>
          <c:tx>
            <c:strRef>
              <c:f>'Nezaposleni obrazovanje i spol'!$A$6</c:f>
              <c:strCache>
                <c:ptCount val="1"/>
                <c:pt idx="0">
                  <c:v>Muški</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'Nezaposleni obrazovanje i spol'!$B$4:$F$4</c:f>
              <c:strCache>
                <c:ptCount val="5"/>
                <c:pt idx="0">
                  <c:v>Bez škole i nezavršena osnovna škola</c:v>
                </c:pt>
                <c:pt idx="1">
                  <c:v>Završena osnovna škola</c:v>
                </c:pt>
                <c:pt idx="2">
                  <c:v>Srednja škola</c:v>
                </c:pt>
                <c:pt idx="3">
                  <c:v>Prvi stupanj fakulteta, stručni studij i viša škola</c:v>
                </c:pt>
                <c:pt idx="4">
                  <c:v>Fakultet, akademija, magisterij, doktorat</c:v>
                </c:pt>
              </c:strCache>
            </c:strRef>
          </c:cat>
          <c:val>
            <c:numRef>
              <c:f>'Nezaposleni obrazovanje i spol'!$B$6:$F$6</c:f>
              <c:numCache>
                <c:formatCode>General</c:formatCode>
                <c:ptCount val="5"/>
                <c:pt idx="0">
                  <c:v>68</c:v>
                </c:pt>
                <c:pt idx="1">
                  <c:v>267</c:v>
                </c:pt>
                <c:pt idx="2">
                  <c:v>806</c:v>
                </c:pt>
                <c:pt idx="3">
                  <c:v>57</c:v>
                </c:pt>
                <c:pt idx="4">
                  <c:v>46</c:v>
                </c:pt>
              </c:numCache>
            </c:numRef>
          </c:val>
          <c:extLst>
            <c:ext xmlns:c16="http://schemas.microsoft.com/office/drawing/2014/chart" uri="{C3380CC4-5D6E-409C-BE32-E72D297353CC}">
              <c16:uniqueId val="{00000001-29CD-4E63-B182-DCEBC793BE9D}"/>
            </c:ext>
          </c:extLst>
        </c:ser>
        <c:dLbls>
          <c:showLegendKey val="0"/>
          <c:showVal val="0"/>
          <c:showCatName val="0"/>
          <c:showSerName val="0"/>
          <c:showPercent val="0"/>
          <c:showBubbleSize val="0"/>
        </c:dLbls>
        <c:gapWidth val="219"/>
        <c:overlap val="-27"/>
        <c:axId val="326602576"/>
        <c:axId val="1"/>
      </c:barChart>
      <c:catAx>
        <c:axId val="3266025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266025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'Nezaposleni po dobi'!$C$5</c:f>
              <c:strCache>
                <c:ptCount val="1"/>
                <c:pt idx="0">
                  <c:v>2016.</c:v>
                </c:pt>
              </c:strCache>
            </c:strRef>
          </c:tx>
          <c:spPr>
            <a:solidFill>
              <a:schemeClr val="accent2"/>
            </a:solidFill>
            <a:ln>
              <a:noFill/>
            </a:ln>
            <a:effectLst/>
          </c:spPr>
          <c:invertIfNegative val="0"/>
          <c:cat>
            <c:strRef>
              <c:f>'Nezaposleni po dobi'!$D$3:$M$3</c:f>
              <c:strCache>
                <c:ptCount val="10"/>
                <c:pt idx="0">
                  <c:v>15-19</c:v>
                </c:pt>
                <c:pt idx="1">
                  <c:v>20-24</c:v>
                </c:pt>
                <c:pt idx="2">
                  <c:v>25-29</c:v>
                </c:pt>
                <c:pt idx="3">
                  <c:v>30-34</c:v>
                </c:pt>
                <c:pt idx="4">
                  <c:v>35-39</c:v>
                </c:pt>
                <c:pt idx="5">
                  <c:v>40-44</c:v>
                </c:pt>
                <c:pt idx="6">
                  <c:v>45-49</c:v>
                </c:pt>
                <c:pt idx="7">
                  <c:v>50-54</c:v>
                </c:pt>
                <c:pt idx="8">
                  <c:v>55-59</c:v>
                </c:pt>
                <c:pt idx="9">
                  <c:v>60 i više</c:v>
                </c:pt>
              </c:strCache>
            </c:strRef>
          </c:cat>
          <c:val>
            <c:numRef>
              <c:f>'Nezaposleni po dobi'!$D$5:$M$5</c:f>
              <c:numCache>
                <c:formatCode>0</c:formatCode>
                <c:ptCount val="10"/>
                <c:pt idx="0">
                  <c:v>321.33333333333331</c:v>
                </c:pt>
                <c:pt idx="1">
                  <c:v>697.58333333333337</c:v>
                </c:pt>
                <c:pt idx="2">
                  <c:v>615.16666666666663</c:v>
                </c:pt>
                <c:pt idx="3">
                  <c:v>436.83333333333331</c:v>
                </c:pt>
                <c:pt idx="4">
                  <c:v>385</c:v>
                </c:pt>
                <c:pt idx="5">
                  <c:v>404.33333333333331</c:v>
                </c:pt>
                <c:pt idx="6">
                  <c:v>482.41666666666669</c:v>
                </c:pt>
                <c:pt idx="7">
                  <c:v>649.83333333333337</c:v>
                </c:pt>
                <c:pt idx="8">
                  <c:v>805.58333333333337</c:v>
                </c:pt>
                <c:pt idx="9">
                  <c:v>369.66666666666669</c:v>
                </c:pt>
              </c:numCache>
            </c:numRef>
          </c:val>
          <c:extLst>
            <c:ext xmlns:c16="http://schemas.microsoft.com/office/drawing/2014/chart" uri="{C3380CC4-5D6E-409C-BE32-E72D297353CC}">
              <c16:uniqueId val="{00000001-4CBD-4297-B29D-AEA34A7F8E50}"/>
            </c:ext>
          </c:extLst>
        </c:ser>
        <c:ser>
          <c:idx val="2"/>
          <c:order val="1"/>
          <c:tx>
            <c:strRef>
              <c:f>'Nezaposleni po dobi'!$C$6</c:f>
              <c:strCache>
                <c:ptCount val="1"/>
                <c:pt idx="0">
                  <c:v>2017.</c:v>
                </c:pt>
              </c:strCache>
            </c:strRef>
          </c:tx>
          <c:spPr>
            <a:solidFill>
              <a:schemeClr val="accent3"/>
            </a:solidFill>
            <a:ln>
              <a:noFill/>
            </a:ln>
            <a:effectLst/>
          </c:spPr>
          <c:invertIfNegative val="0"/>
          <c:cat>
            <c:strRef>
              <c:f>'Nezaposleni po dobi'!$D$3:$M$3</c:f>
              <c:strCache>
                <c:ptCount val="10"/>
                <c:pt idx="0">
                  <c:v>15-19</c:v>
                </c:pt>
                <c:pt idx="1">
                  <c:v>20-24</c:v>
                </c:pt>
                <c:pt idx="2">
                  <c:v>25-29</c:v>
                </c:pt>
                <c:pt idx="3">
                  <c:v>30-34</c:v>
                </c:pt>
                <c:pt idx="4">
                  <c:v>35-39</c:v>
                </c:pt>
                <c:pt idx="5">
                  <c:v>40-44</c:v>
                </c:pt>
                <c:pt idx="6">
                  <c:v>45-49</c:v>
                </c:pt>
                <c:pt idx="7">
                  <c:v>50-54</c:v>
                </c:pt>
                <c:pt idx="8">
                  <c:v>55-59</c:v>
                </c:pt>
                <c:pt idx="9">
                  <c:v>60 i više</c:v>
                </c:pt>
              </c:strCache>
            </c:strRef>
          </c:cat>
          <c:val>
            <c:numRef>
              <c:f>'Nezaposleni po dobi'!$D$6:$M$6</c:f>
              <c:numCache>
                <c:formatCode>0</c:formatCode>
                <c:ptCount val="10"/>
                <c:pt idx="0">
                  <c:v>210.25</c:v>
                </c:pt>
                <c:pt idx="1">
                  <c:v>434</c:v>
                </c:pt>
                <c:pt idx="2">
                  <c:v>430</c:v>
                </c:pt>
                <c:pt idx="3">
                  <c:v>295.83333333333331</c:v>
                </c:pt>
                <c:pt idx="4">
                  <c:v>261.58333333333331</c:v>
                </c:pt>
                <c:pt idx="5">
                  <c:v>281.91666666666669</c:v>
                </c:pt>
                <c:pt idx="6">
                  <c:v>339.33333333333331</c:v>
                </c:pt>
                <c:pt idx="7">
                  <c:v>495.41666666666669</c:v>
                </c:pt>
                <c:pt idx="8">
                  <c:v>611.58333333333337</c:v>
                </c:pt>
                <c:pt idx="9">
                  <c:v>329.41666666666669</c:v>
                </c:pt>
              </c:numCache>
            </c:numRef>
          </c:val>
          <c:extLst>
            <c:ext xmlns:c16="http://schemas.microsoft.com/office/drawing/2014/chart" uri="{C3380CC4-5D6E-409C-BE32-E72D297353CC}">
              <c16:uniqueId val="{00000002-4CBD-4297-B29D-AEA34A7F8E50}"/>
            </c:ext>
          </c:extLst>
        </c:ser>
        <c:ser>
          <c:idx val="3"/>
          <c:order val="2"/>
          <c:tx>
            <c:strRef>
              <c:f>'Nezaposleni po dobi'!$C$7</c:f>
              <c:strCache>
                <c:ptCount val="1"/>
                <c:pt idx="0">
                  <c:v>2018.</c:v>
                </c:pt>
              </c:strCache>
            </c:strRef>
          </c:tx>
          <c:spPr>
            <a:solidFill>
              <a:schemeClr val="accent4"/>
            </a:solidFill>
            <a:ln>
              <a:noFill/>
            </a:ln>
            <a:effectLst/>
          </c:spPr>
          <c:invertIfNegative val="0"/>
          <c:cat>
            <c:strRef>
              <c:f>'Nezaposleni po dobi'!$D$3:$M$3</c:f>
              <c:strCache>
                <c:ptCount val="10"/>
                <c:pt idx="0">
                  <c:v>15-19</c:v>
                </c:pt>
                <c:pt idx="1">
                  <c:v>20-24</c:v>
                </c:pt>
                <c:pt idx="2">
                  <c:v>25-29</c:v>
                </c:pt>
                <c:pt idx="3">
                  <c:v>30-34</c:v>
                </c:pt>
                <c:pt idx="4">
                  <c:v>35-39</c:v>
                </c:pt>
                <c:pt idx="5">
                  <c:v>40-44</c:v>
                </c:pt>
                <c:pt idx="6">
                  <c:v>45-49</c:v>
                </c:pt>
                <c:pt idx="7">
                  <c:v>50-54</c:v>
                </c:pt>
                <c:pt idx="8">
                  <c:v>55-59</c:v>
                </c:pt>
                <c:pt idx="9">
                  <c:v>60 i više</c:v>
                </c:pt>
              </c:strCache>
            </c:strRef>
          </c:cat>
          <c:val>
            <c:numRef>
              <c:f>'Nezaposleni po dobi'!$D$7:$M$7</c:f>
              <c:numCache>
                <c:formatCode>0</c:formatCode>
                <c:ptCount val="10"/>
                <c:pt idx="0">
                  <c:v>158.75</c:v>
                </c:pt>
                <c:pt idx="1">
                  <c:v>301.58333333333331</c:v>
                </c:pt>
                <c:pt idx="2">
                  <c:v>292.83333333333331</c:v>
                </c:pt>
                <c:pt idx="3">
                  <c:v>231.33333333333334</c:v>
                </c:pt>
                <c:pt idx="4">
                  <c:v>189.25</c:v>
                </c:pt>
                <c:pt idx="5">
                  <c:v>208</c:v>
                </c:pt>
                <c:pt idx="6">
                  <c:v>268.75</c:v>
                </c:pt>
                <c:pt idx="7">
                  <c:v>333.33333333333331</c:v>
                </c:pt>
                <c:pt idx="8">
                  <c:v>498.83333333333331</c:v>
                </c:pt>
                <c:pt idx="9">
                  <c:v>306.16666666666669</c:v>
                </c:pt>
              </c:numCache>
            </c:numRef>
          </c:val>
          <c:extLst>
            <c:ext xmlns:c16="http://schemas.microsoft.com/office/drawing/2014/chart" uri="{C3380CC4-5D6E-409C-BE32-E72D297353CC}">
              <c16:uniqueId val="{00000003-4CBD-4297-B29D-AEA34A7F8E50}"/>
            </c:ext>
          </c:extLst>
        </c:ser>
        <c:ser>
          <c:idx val="4"/>
          <c:order val="3"/>
          <c:tx>
            <c:strRef>
              <c:f>'Nezaposleni po dobi'!$C$8</c:f>
              <c:strCache>
                <c:ptCount val="1"/>
                <c:pt idx="0">
                  <c:v>2019.</c:v>
                </c:pt>
              </c:strCache>
            </c:strRef>
          </c:tx>
          <c:spPr>
            <a:solidFill>
              <a:schemeClr val="accent5"/>
            </a:solidFill>
            <a:ln>
              <a:noFill/>
            </a:ln>
            <a:effectLst/>
          </c:spPr>
          <c:invertIfNegative val="0"/>
          <c:cat>
            <c:strRef>
              <c:f>'Nezaposleni po dobi'!$D$3:$M$3</c:f>
              <c:strCache>
                <c:ptCount val="10"/>
                <c:pt idx="0">
                  <c:v>15-19</c:v>
                </c:pt>
                <c:pt idx="1">
                  <c:v>20-24</c:v>
                </c:pt>
                <c:pt idx="2">
                  <c:v>25-29</c:v>
                </c:pt>
                <c:pt idx="3">
                  <c:v>30-34</c:v>
                </c:pt>
                <c:pt idx="4">
                  <c:v>35-39</c:v>
                </c:pt>
                <c:pt idx="5">
                  <c:v>40-44</c:v>
                </c:pt>
                <c:pt idx="6">
                  <c:v>45-49</c:v>
                </c:pt>
                <c:pt idx="7">
                  <c:v>50-54</c:v>
                </c:pt>
                <c:pt idx="8">
                  <c:v>55-59</c:v>
                </c:pt>
                <c:pt idx="9">
                  <c:v>60 i više</c:v>
                </c:pt>
              </c:strCache>
            </c:strRef>
          </c:cat>
          <c:val>
            <c:numRef>
              <c:f>'Nezaposleni po dobi'!$D$8:$M$8</c:f>
              <c:numCache>
                <c:formatCode>0</c:formatCode>
                <c:ptCount val="10"/>
                <c:pt idx="0">
                  <c:v>127.5</c:v>
                </c:pt>
                <c:pt idx="1">
                  <c:v>280.58333333333331</c:v>
                </c:pt>
                <c:pt idx="2">
                  <c:v>244.33333333333334</c:v>
                </c:pt>
                <c:pt idx="3">
                  <c:v>201.5</c:v>
                </c:pt>
                <c:pt idx="4">
                  <c:v>172.25</c:v>
                </c:pt>
                <c:pt idx="5">
                  <c:v>157.25</c:v>
                </c:pt>
                <c:pt idx="6">
                  <c:v>212.41666666666666</c:v>
                </c:pt>
                <c:pt idx="7">
                  <c:v>258.83333333333331</c:v>
                </c:pt>
                <c:pt idx="8">
                  <c:v>376.16666666666669</c:v>
                </c:pt>
                <c:pt idx="9">
                  <c:v>291.5</c:v>
                </c:pt>
              </c:numCache>
            </c:numRef>
          </c:val>
          <c:extLst>
            <c:ext xmlns:c16="http://schemas.microsoft.com/office/drawing/2014/chart" uri="{C3380CC4-5D6E-409C-BE32-E72D297353CC}">
              <c16:uniqueId val="{00000004-4CBD-4297-B29D-AEA34A7F8E50}"/>
            </c:ext>
          </c:extLst>
        </c:ser>
        <c:ser>
          <c:idx val="5"/>
          <c:order val="4"/>
          <c:tx>
            <c:strRef>
              <c:f>'Nezaposleni po dobi'!$C$9</c:f>
              <c:strCache>
                <c:ptCount val="1"/>
                <c:pt idx="0">
                  <c:v>2020.</c:v>
                </c:pt>
              </c:strCache>
            </c:strRef>
          </c:tx>
          <c:spPr>
            <a:solidFill>
              <a:schemeClr val="accent6"/>
            </a:solidFill>
            <a:ln>
              <a:noFill/>
            </a:ln>
            <a:effectLst/>
          </c:spPr>
          <c:invertIfNegative val="0"/>
          <c:cat>
            <c:strRef>
              <c:f>'Nezaposleni po dobi'!$D$3:$M$3</c:f>
              <c:strCache>
                <c:ptCount val="10"/>
                <c:pt idx="0">
                  <c:v>15-19</c:v>
                </c:pt>
                <c:pt idx="1">
                  <c:v>20-24</c:v>
                </c:pt>
                <c:pt idx="2">
                  <c:v>25-29</c:v>
                </c:pt>
                <c:pt idx="3">
                  <c:v>30-34</c:v>
                </c:pt>
                <c:pt idx="4">
                  <c:v>35-39</c:v>
                </c:pt>
                <c:pt idx="5">
                  <c:v>40-44</c:v>
                </c:pt>
                <c:pt idx="6">
                  <c:v>45-49</c:v>
                </c:pt>
                <c:pt idx="7">
                  <c:v>50-54</c:v>
                </c:pt>
                <c:pt idx="8">
                  <c:v>55-59</c:v>
                </c:pt>
                <c:pt idx="9">
                  <c:v>60 i više</c:v>
                </c:pt>
              </c:strCache>
            </c:strRef>
          </c:cat>
          <c:val>
            <c:numRef>
              <c:f>'Nezaposleni po dobi'!$D$9:$M$9</c:f>
              <c:numCache>
                <c:formatCode>0</c:formatCode>
                <c:ptCount val="10"/>
                <c:pt idx="0">
                  <c:v>158</c:v>
                </c:pt>
                <c:pt idx="1">
                  <c:v>337</c:v>
                </c:pt>
                <c:pt idx="2">
                  <c:v>326</c:v>
                </c:pt>
                <c:pt idx="3">
                  <c:v>239</c:v>
                </c:pt>
                <c:pt idx="4">
                  <c:v>236</c:v>
                </c:pt>
                <c:pt idx="5">
                  <c:v>191</c:v>
                </c:pt>
                <c:pt idx="6">
                  <c:v>230</c:v>
                </c:pt>
                <c:pt idx="7">
                  <c:v>266</c:v>
                </c:pt>
                <c:pt idx="8">
                  <c:v>388.63636363636363</c:v>
                </c:pt>
                <c:pt idx="9">
                  <c:v>298.18181818181819</c:v>
                </c:pt>
              </c:numCache>
            </c:numRef>
          </c:val>
          <c:extLst>
            <c:ext xmlns:c16="http://schemas.microsoft.com/office/drawing/2014/chart" uri="{C3380CC4-5D6E-409C-BE32-E72D297353CC}">
              <c16:uniqueId val="{00000005-4CBD-4297-B29D-AEA34A7F8E50}"/>
            </c:ext>
          </c:extLst>
        </c:ser>
        <c:dLbls>
          <c:showLegendKey val="0"/>
          <c:showVal val="0"/>
          <c:showCatName val="0"/>
          <c:showSerName val="0"/>
          <c:showPercent val="0"/>
          <c:showBubbleSize val="0"/>
        </c:dLbls>
        <c:gapWidth val="219"/>
        <c:overlap val="-27"/>
        <c:axId val="1059397311"/>
        <c:axId val="1059396063"/>
      </c:barChart>
      <c:catAx>
        <c:axId val="1059397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1059396063"/>
        <c:crosses val="autoZero"/>
        <c:auto val="1"/>
        <c:lblAlgn val="ctr"/>
        <c:lblOffset val="100"/>
        <c:noMultiLvlLbl val="0"/>
      </c:catAx>
      <c:valAx>
        <c:axId val="105939606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1059397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6243689465912756E-2"/>
          <c:y val="5.0925925925925923E-2"/>
          <c:w val="0.65487780764949954"/>
          <c:h val="0.8416746864975212"/>
        </c:manualLayout>
      </c:layout>
      <c:barChart>
        <c:barDir val="col"/>
        <c:grouping val="clustered"/>
        <c:varyColors val="0"/>
        <c:ser>
          <c:idx val="0"/>
          <c:order val="0"/>
          <c:tx>
            <c:strRef>
              <c:f>'Osiguranici mirovinskog sustava'!$C$3</c:f>
              <c:strCache>
                <c:ptCount val="1"/>
                <c:pt idx="0">
                  <c:v>Aktivno stanovništvo (osiguranici+nezaposleni)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'Osiguranici mirovinskog sustava'!$B$4:$B$6</c:f>
              <c:strCache>
                <c:ptCount val="3"/>
                <c:pt idx="0">
                  <c:v>2018.</c:v>
                </c:pt>
                <c:pt idx="1">
                  <c:v>2019.</c:v>
                </c:pt>
                <c:pt idx="2">
                  <c:v>2020.</c:v>
                </c:pt>
              </c:strCache>
            </c:strRef>
          </c:cat>
          <c:val>
            <c:numRef>
              <c:f>'Osiguranici mirovinskog sustava'!$C$4:$C$6</c:f>
              <c:numCache>
                <c:formatCode>0</c:formatCode>
                <c:ptCount val="3"/>
                <c:pt idx="0" formatCode="General">
                  <c:v>40011</c:v>
                </c:pt>
                <c:pt idx="1">
                  <c:v>40455</c:v>
                </c:pt>
                <c:pt idx="2" formatCode="General">
                  <c:v>41038</c:v>
                </c:pt>
              </c:numCache>
            </c:numRef>
          </c:val>
          <c:extLst>
            <c:ext xmlns:c16="http://schemas.microsoft.com/office/drawing/2014/chart" uri="{C3380CC4-5D6E-409C-BE32-E72D297353CC}">
              <c16:uniqueId val="{00000000-5138-4FF5-B33A-12DEB4FBC649}"/>
            </c:ext>
          </c:extLst>
        </c:ser>
        <c:ser>
          <c:idx val="1"/>
          <c:order val="1"/>
          <c:tx>
            <c:strRef>
              <c:f>'Osiguranici mirovinskog sustava'!$D$3</c:f>
              <c:strCache>
                <c:ptCount val="1"/>
                <c:pt idx="0">
                  <c:v>Osiguranici MO (ukupno)</c:v>
                </c:pt>
              </c:strCache>
            </c:strRef>
          </c:tx>
          <c:spPr>
            <a:solidFill>
              <a:schemeClr val="accent2"/>
            </a:solidFill>
            <a:ln>
              <a:noFill/>
            </a:ln>
            <a:effectLst/>
          </c:spPr>
          <c:invertIfNegative val="0"/>
          <c:dLbls>
            <c:dLbl>
              <c:idx val="0"/>
              <c:layout>
                <c:manualLayout>
                  <c:x val="1.89393939393939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B5B-4363-B214-F5B8409A234B}"/>
                </c:ext>
              </c:extLst>
            </c:dLbl>
            <c:dLbl>
              <c:idx val="1"/>
              <c:layout>
                <c:manualLayout>
                  <c:x val="1.6835016835016835E-2"/>
                  <c:y val="-1.6322223600025632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B5B-4363-B214-F5B8409A234B}"/>
                </c:ext>
              </c:extLst>
            </c:dLbl>
            <c:dLbl>
              <c:idx val="2"/>
              <c:layout>
                <c:manualLayout>
                  <c:x val="1.4730639730639731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B5B-4363-B214-F5B8409A234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'Osiguranici mirovinskog sustava'!$B$4:$B$6</c:f>
              <c:strCache>
                <c:ptCount val="3"/>
                <c:pt idx="0">
                  <c:v>2018.</c:v>
                </c:pt>
                <c:pt idx="1">
                  <c:v>2019.</c:v>
                </c:pt>
                <c:pt idx="2">
                  <c:v>2020.</c:v>
                </c:pt>
              </c:strCache>
            </c:strRef>
          </c:cat>
          <c:val>
            <c:numRef>
              <c:f>'Osiguranici mirovinskog sustava'!$D$4:$D$6</c:f>
              <c:numCache>
                <c:formatCode>0</c:formatCode>
                <c:ptCount val="3"/>
                <c:pt idx="0" formatCode="General">
                  <c:v>37222</c:v>
                </c:pt>
                <c:pt idx="1">
                  <c:v>38133</c:v>
                </c:pt>
                <c:pt idx="2" formatCode="General">
                  <c:v>38368</c:v>
                </c:pt>
              </c:numCache>
            </c:numRef>
          </c:val>
          <c:extLst>
            <c:ext xmlns:c16="http://schemas.microsoft.com/office/drawing/2014/chart" uri="{C3380CC4-5D6E-409C-BE32-E72D297353CC}">
              <c16:uniqueId val="{00000001-5138-4FF5-B33A-12DEB4FBC649}"/>
            </c:ext>
          </c:extLst>
        </c:ser>
        <c:ser>
          <c:idx val="2"/>
          <c:order val="2"/>
          <c:tx>
            <c:strRef>
              <c:f>'Osiguranici mirovinskog sustava'!$E$3</c:f>
              <c:strCache>
                <c:ptCount val="1"/>
                <c:pt idx="0">
                  <c:v>Radnici kod pravnih osoba</c:v>
                </c:pt>
              </c:strCache>
            </c:strRef>
          </c:tx>
          <c:spPr>
            <a:solidFill>
              <a:schemeClr val="accent3"/>
            </a:solidFill>
            <a:ln>
              <a:noFill/>
            </a:ln>
            <a:effectLst/>
          </c:spPr>
          <c:invertIfNegative val="0"/>
          <c:dLbls>
            <c:dLbl>
              <c:idx val="0"/>
              <c:layout>
                <c:manualLayout>
                  <c:x val="2.1043771043771024E-2"/>
                  <c:y val="1.0683760683760684E-2"/>
                </c:manualLayout>
              </c:layout>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B5B-4363-B214-F5B8409A234B}"/>
                </c:ext>
              </c:extLst>
            </c:dLbl>
            <c:dLbl>
              <c:idx val="1"/>
              <c:layout>
                <c:manualLayout>
                  <c:x val="2.3148148148148147E-2"/>
                  <c:y val="-3.2644447200051263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B5B-4363-B214-F5B8409A234B}"/>
                </c:ext>
              </c:extLst>
            </c:dLbl>
            <c:dLbl>
              <c:idx val="2"/>
              <c:layout>
                <c:manualLayout>
                  <c:x val="1.89393939393939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B5B-4363-B214-F5B8409A234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'Osiguranici mirovinskog sustava'!$B$4:$B$6</c:f>
              <c:strCache>
                <c:ptCount val="3"/>
                <c:pt idx="0">
                  <c:v>2018.</c:v>
                </c:pt>
                <c:pt idx="1">
                  <c:v>2019.</c:v>
                </c:pt>
                <c:pt idx="2">
                  <c:v>2020.</c:v>
                </c:pt>
              </c:strCache>
            </c:strRef>
          </c:cat>
          <c:val>
            <c:numRef>
              <c:f>'Osiguranici mirovinskog sustava'!$E$4:$E$6</c:f>
              <c:numCache>
                <c:formatCode>0</c:formatCode>
                <c:ptCount val="3"/>
                <c:pt idx="0" formatCode="General">
                  <c:v>30195</c:v>
                </c:pt>
                <c:pt idx="1">
                  <c:v>31025</c:v>
                </c:pt>
                <c:pt idx="2" formatCode="General">
                  <c:v>31327</c:v>
                </c:pt>
              </c:numCache>
            </c:numRef>
          </c:val>
          <c:extLst>
            <c:ext xmlns:c16="http://schemas.microsoft.com/office/drawing/2014/chart" uri="{C3380CC4-5D6E-409C-BE32-E72D297353CC}">
              <c16:uniqueId val="{00000002-5138-4FF5-B33A-12DEB4FBC649}"/>
            </c:ext>
          </c:extLst>
        </c:ser>
        <c:ser>
          <c:idx val="3"/>
          <c:order val="3"/>
          <c:tx>
            <c:strRef>
              <c:f>'Osiguranici mirovinskog sustava'!$F$3</c:f>
              <c:strCache>
                <c:ptCount val="1"/>
                <c:pt idx="0">
                  <c:v>Radnici kod fizičkih osoba</c:v>
                </c:pt>
              </c:strCache>
            </c:strRef>
          </c:tx>
          <c:spPr>
            <a:solidFill>
              <a:schemeClr val="accent4"/>
            </a:solidFill>
            <a:ln>
              <a:noFill/>
            </a:ln>
            <a:effectLst/>
          </c:spPr>
          <c:invertIfNegative val="0"/>
          <c:dLbls>
            <c:dLbl>
              <c:idx val="0"/>
              <c:layout>
                <c:manualLayout>
                  <c:x val="8.4175084175084364E-3"/>
                  <c:y val="-2.136752136752136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B5B-4363-B214-F5B8409A234B}"/>
                </c:ext>
              </c:extLst>
            </c:dLbl>
            <c:dLbl>
              <c:idx val="1"/>
              <c:layout>
                <c:manualLayout>
                  <c:x val="1.0521885521885523E-2"/>
                  <c:y val="-3.561253561253561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B5B-4363-B214-F5B8409A234B}"/>
                </c:ext>
              </c:extLst>
            </c:dLbl>
            <c:dLbl>
              <c:idx val="2"/>
              <c:layout>
                <c:manualLayout>
                  <c:x val="6.313131313131313E-3"/>
                  <c:y val="-2.492877492877505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B5B-4363-B214-F5B8409A234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'Osiguranici mirovinskog sustava'!$B$4:$B$6</c:f>
              <c:strCache>
                <c:ptCount val="3"/>
                <c:pt idx="0">
                  <c:v>2018.</c:v>
                </c:pt>
                <c:pt idx="1">
                  <c:v>2019.</c:v>
                </c:pt>
                <c:pt idx="2">
                  <c:v>2020.</c:v>
                </c:pt>
              </c:strCache>
            </c:strRef>
          </c:cat>
          <c:val>
            <c:numRef>
              <c:f>'Osiguranici mirovinskog sustava'!$F$4:$F$6</c:f>
              <c:numCache>
                <c:formatCode>0</c:formatCode>
                <c:ptCount val="3"/>
                <c:pt idx="0" formatCode="General">
                  <c:v>4396</c:v>
                </c:pt>
                <c:pt idx="1">
                  <c:v>4335</c:v>
                </c:pt>
                <c:pt idx="2" formatCode="General">
                  <c:v>4211</c:v>
                </c:pt>
              </c:numCache>
            </c:numRef>
          </c:val>
          <c:extLst>
            <c:ext xmlns:c16="http://schemas.microsoft.com/office/drawing/2014/chart" uri="{C3380CC4-5D6E-409C-BE32-E72D297353CC}">
              <c16:uniqueId val="{00000003-5138-4FF5-B33A-12DEB4FBC649}"/>
            </c:ext>
          </c:extLst>
        </c:ser>
        <c:ser>
          <c:idx val="4"/>
          <c:order val="4"/>
          <c:tx>
            <c:strRef>
              <c:f>'Osiguranici mirovinskog sustava'!$G$3</c:f>
              <c:strCache>
                <c:ptCount val="1"/>
                <c:pt idx="0">
                  <c:v>Obrtnici</c:v>
                </c:pt>
              </c:strCache>
            </c:strRef>
          </c:tx>
          <c:spPr>
            <a:solidFill>
              <a:schemeClr val="accent5"/>
            </a:solidFill>
            <a:ln>
              <a:noFill/>
            </a:ln>
            <a:effectLst/>
          </c:spPr>
          <c:invertIfNegative val="0"/>
          <c:dLbls>
            <c:dLbl>
              <c:idx val="0"/>
              <c:layout>
                <c:manualLayout>
                  <c:x val="6.3131313131312749E-3"/>
                  <c:y val="-2.492877492877505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B5B-4363-B214-F5B8409A234B}"/>
                </c:ext>
              </c:extLst>
            </c:dLbl>
            <c:dLbl>
              <c:idx val="1"/>
              <c:layout>
                <c:manualLayout>
                  <c:x val="2.1043771043771043E-3"/>
                  <c:y val="-1.424501424501424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B5B-4363-B214-F5B8409A234B}"/>
                </c:ext>
              </c:extLst>
            </c:dLbl>
            <c:dLbl>
              <c:idx val="2"/>
              <c:layout>
                <c:manualLayout>
                  <c:x val="4.2087542087541315E-3"/>
                  <c:y val="-3.561253561253561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B5B-4363-B214-F5B8409A234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'Osiguranici mirovinskog sustava'!$B$4:$B$6</c:f>
              <c:strCache>
                <c:ptCount val="3"/>
                <c:pt idx="0">
                  <c:v>2018.</c:v>
                </c:pt>
                <c:pt idx="1">
                  <c:v>2019.</c:v>
                </c:pt>
                <c:pt idx="2">
                  <c:v>2020.</c:v>
                </c:pt>
              </c:strCache>
            </c:strRef>
          </c:cat>
          <c:val>
            <c:numRef>
              <c:f>'Osiguranici mirovinskog sustava'!$G$4:$G$6</c:f>
              <c:numCache>
                <c:formatCode>0</c:formatCode>
                <c:ptCount val="3"/>
                <c:pt idx="0" formatCode="General">
                  <c:v>2041</c:v>
                </c:pt>
                <c:pt idx="1">
                  <c:v>2171</c:v>
                </c:pt>
                <c:pt idx="2" formatCode="General">
                  <c:v>2247</c:v>
                </c:pt>
              </c:numCache>
            </c:numRef>
          </c:val>
          <c:extLst>
            <c:ext xmlns:c16="http://schemas.microsoft.com/office/drawing/2014/chart" uri="{C3380CC4-5D6E-409C-BE32-E72D297353CC}">
              <c16:uniqueId val="{00000004-5138-4FF5-B33A-12DEB4FBC649}"/>
            </c:ext>
          </c:extLst>
        </c:ser>
        <c:ser>
          <c:idx val="5"/>
          <c:order val="5"/>
          <c:tx>
            <c:strRef>
              <c:f>'Osiguranici mirovinskog sustava'!$H$3</c:f>
              <c:strCache>
                <c:ptCount val="1"/>
                <c:pt idx="0">
                  <c:v>Poljoprivrednici</c:v>
                </c:pt>
              </c:strCache>
            </c:strRef>
          </c:tx>
          <c:spPr>
            <a:solidFill>
              <a:schemeClr val="accent6"/>
            </a:solidFill>
            <a:ln>
              <a:noFill/>
            </a:ln>
            <a:effectLst/>
          </c:spPr>
          <c:invertIfNegative val="0"/>
          <c:dLbls>
            <c:dLbl>
              <c:idx val="0"/>
              <c:layout>
                <c:manualLayout>
                  <c:x val="0"/>
                  <c:y val="-2.49287749287749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B5B-4363-B214-F5B8409A234B}"/>
                </c:ext>
              </c:extLst>
            </c:dLbl>
            <c:dLbl>
              <c:idx val="1"/>
              <c:layout>
                <c:manualLayout>
                  <c:x val="0"/>
                  <c:y val="-2.136752136752136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B5B-4363-B214-F5B8409A234B}"/>
                </c:ext>
              </c:extLst>
            </c:dLbl>
            <c:dLbl>
              <c:idx val="2"/>
              <c:layout>
                <c:manualLayout>
                  <c:x val="7.7159602472848446E-17"/>
                  <c:y val="-1.424501424501424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B5B-4363-B214-F5B8409A234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'Osiguranici mirovinskog sustava'!$B$4:$B$6</c:f>
              <c:strCache>
                <c:ptCount val="3"/>
                <c:pt idx="0">
                  <c:v>2018.</c:v>
                </c:pt>
                <c:pt idx="1">
                  <c:v>2019.</c:v>
                </c:pt>
                <c:pt idx="2">
                  <c:v>2020.</c:v>
                </c:pt>
              </c:strCache>
            </c:strRef>
          </c:cat>
          <c:val>
            <c:numRef>
              <c:f>'Osiguranici mirovinskog sustava'!$H$4:$H$6</c:f>
              <c:numCache>
                <c:formatCode>0</c:formatCode>
                <c:ptCount val="3"/>
                <c:pt idx="0" formatCode="General">
                  <c:v>277</c:v>
                </c:pt>
                <c:pt idx="1">
                  <c:v>279</c:v>
                </c:pt>
                <c:pt idx="2" formatCode="General">
                  <c:v>277</c:v>
                </c:pt>
              </c:numCache>
            </c:numRef>
          </c:val>
          <c:extLst>
            <c:ext xmlns:c16="http://schemas.microsoft.com/office/drawing/2014/chart" uri="{C3380CC4-5D6E-409C-BE32-E72D297353CC}">
              <c16:uniqueId val="{00000005-5138-4FF5-B33A-12DEB4FBC649}"/>
            </c:ext>
          </c:extLst>
        </c:ser>
        <c:ser>
          <c:idx val="6"/>
          <c:order val="6"/>
          <c:tx>
            <c:strRef>
              <c:f>'Osiguranici mirovinskog sustava'!$I$3</c:f>
              <c:strCache>
                <c:ptCount val="1"/>
                <c:pt idx="0">
                  <c:v>Samostalne profesije</c:v>
                </c:pt>
              </c:strCache>
            </c:strRef>
          </c:tx>
          <c:spPr>
            <a:solidFill>
              <a:schemeClr val="accent1">
                <a:lumMod val="60000"/>
              </a:schemeClr>
            </a:solidFill>
            <a:ln>
              <a:noFill/>
            </a:ln>
            <a:effectLst/>
          </c:spPr>
          <c:invertIfNegative val="0"/>
          <c:dLbls>
            <c:dLbl>
              <c:idx val="0"/>
              <c:layout>
                <c:manualLayout>
                  <c:x val="2.1043771043771043E-3"/>
                  <c:y val="-1.06837606837606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B5B-4363-B214-F5B8409A234B}"/>
                </c:ext>
              </c:extLst>
            </c:dLbl>
            <c:dLbl>
              <c:idx val="1"/>
              <c:layout>
                <c:manualLayout>
                  <c:x val="0"/>
                  <c:y val="-7.122507122507122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B5B-4363-B214-F5B8409A234B}"/>
                </c:ext>
              </c:extLst>
            </c:dLbl>
            <c:dLbl>
              <c:idx val="2"/>
              <c:layout>
                <c:manualLayout>
                  <c:x val="-7.7159602472848446E-17"/>
                  <c:y val="7.122507122506991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B5B-4363-B214-F5B8409A234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'Osiguranici mirovinskog sustava'!$B$4:$B$6</c:f>
              <c:strCache>
                <c:ptCount val="3"/>
                <c:pt idx="0">
                  <c:v>2018.</c:v>
                </c:pt>
                <c:pt idx="1">
                  <c:v>2019.</c:v>
                </c:pt>
                <c:pt idx="2">
                  <c:v>2020.</c:v>
                </c:pt>
              </c:strCache>
            </c:strRef>
          </c:cat>
          <c:val>
            <c:numRef>
              <c:f>'Osiguranici mirovinskog sustava'!$I$4:$I$6</c:f>
              <c:numCache>
                <c:formatCode>0</c:formatCode>
                <c:ptCount val="3"/>
                <c:pt idx="0" formatCode="General">
                  <c:v>230</c:v>
                </c:pt>
                <c:pt idx="1">
                  <c:v>228</c:v>
                </c:pt>
                <c:pt idx="2" formatCode="General">
                  <c:v>219</c:v>
                </c:pt>
              </c:numCache>
            </c:numRef>
          </c:val>
          <c:extLst>
            <c:ext xmlns:c16="http://schemas.microsoft.com/office/drawing/2014/chart" uri="{C3380CC4-5D6E-409C-BE32-E72D297353CC}">
              <c16:uniqueId val="{00000006-5138-4FF5-B33A-12DEB4FBC649}"/>
            </c:ext>
          </c:extLst>
        </c:ser>
        <c:ser>
          <c:idx val="7"/>
          <c:order val="7"/>
          <c:tx>
            <c:strRef>
              <c:f>'Osiguranici mirovinskog sustava'!$J$3</c:f>
              <c:strCache>
                <c:ptCount val="1"/>
                <c:pt idx="0">
                  <c:v>Produženo osiguranje </c:v>
                </c:pt>
              </c:strCache>
            </c:strRef>
          </c:tx>
          <c:spPr>
            <a:solidFill>
              <a:schemeClr val="accent2">
                <a:lumMod val="60000"/>
              </a:schemeClr>
            </a:solidFill>
            <a:ln>
              <a:noFill/>
            </a:ln>
            <a:effectLst/>
          </c:spPr>
          <c:invertIfNegative val="0"/>
          <c:dLbls>
            <c:dLbl>
              <c:idx val="0"/>
              <c:layout>
                <c:manualLayout>
                  <c:x val="0"/>
                  <c:y val="1.780626780626780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B5B-4363-B214-F5B8409A234B}"/>
                </c:ext>
              </c:extLst>
            </c:dLbl>
            <c:dLbl>
              <c:idx val="1"/>
              <c:layout>
                <c:manualLayout>
                  <c:x val="-7.7159602472848446E-17"/>
                  <c:y val="2.849002849002849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B5B-4363-B214-F5B8409A234B}"/>
                </c:ext>
              </c:extLst>
            </c:dLbl>
            <c:dLbl>
              <c:idx val="2"/>
              <c:layout>
                <c:manualLayout>
                  <c:x val="-7.7159602472848446E-17"/>
                  <c:y val="-1.06837606837606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B5B-4363-B214-F5B8409A234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'Osiguranici mirovinskog sustava'!$B$4:$B$6</c:f>
              <c:strCache>
                <c:ptCount val="3"/>
                <c:pt idx="0">
                  <c:v>2018.</c:v>
                </c:pt>
                <c:pt idx="1">
                  <c:v>2019.</c:v>
                </c:pt>
                <c:pt idx="2">
                  <c:v>2020.</c:v>
                </c:pt>
              </c:strCache>
            </c:strRef>
          </c:cat>
          <c:val>
            <c:numRef>
              <c:f>'Osiguranici mirovinskog sustava'!$J$4:$J$6</c:f>
              <c:numCache>
                <c:formatCode>0</c:formatCode>
                <c:ptCount val="3"/>
                <c:pt idx="0" formatCode="General">
                  <c:v>83</c:v>
                </c:pt>
                <c:pt idx="1">
                  <c:v>95</c:v>
                </c:pt>
                <c:pt idx="2" formatCode="General">
                  <c:v>87</c:v>
                </c:pt>
              </c:numCache>
            </c:numRef>
          </c:val>
          <c:extLst>
            <c:ext xmlns:c16="http://schemas.microsoft.com/office/drawing/2014/chart" uri="{C3380CC4-5D6E-409C-BE32-E72D297353CC}">
              <c16:uniqueId val="{00000007-5138-4FF5-B33A-12DEB4FBC649}"/>
            </c:ext>
          </c:extLst>
        </c:ser>
        <c:ser>
          <c:idx val="8"/>
          <c:order val="8"/>
          <c:tx>
            <c:strRef>
              <c:f>'Osiguranici mirovinskog sustava'!$K$3</c:f>
              <c:strCache>
                <c:ptCount val="1"/>
                <c:pt idx="0">
                  <c:v>Nezaposleni</c:v>
                </c:pt>
              </c:strCache>
            </c:strRef>
          </c:tx>
          <c:spPr>
            <a:solidFill>
              <a:schemeClr val="accent3">
                <a:lumMod val="60000"/>
              </a:schemeClr>
            </a:solidFill>
            <a:ln>
              <a:noFill/>
            </a:ln>
            <a:effectLst/>
          </c:spPr>
          <c:invertIfNegative val="0"/>
          <c:dLbls>
            <c:dLbl>
              <c:idx val="0"/>
              <c:layout>
                <c:manualLayout>
                  <c:x val="1.2626262626262588E-2"/>
                  <c:y val="-2.1367521367521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B5B-4363-B214-F5B8409A234B}"/>
                </c:ext>
              </c:extLst>
            </c:dLbl>
            <c:dLbl>
              <c:idx val="2"/>
              <c:layout>
                <c:manualLayout>
                  <c:x val="-7.7159602472848446E-17"/>
                  <c:y val="-2.136752136752136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B5B-4363-B214-F5B8409A234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'Osiguranici mirovinskog sustava'!$B$4:$B$6</c:f>
              <c:strCache>
                <c:ptCount val="3"/>
                <c:pt idx="0">
                  <c:v>2018.</c:v>
                </c:pt>
                <c:pt idx="1">
                  <c:v>2019.</c:v>
                </c:pt>
                <c:pt idx="2">
                  <c:v>2020.</c:v>
                </c:pt>
              </c:strCache>
            </c:strRef>
          </c:cat>
          <c:val>
            <c:numRef>
              <c:f>'Osiguranici mirovinskog sustava'!$K$4:$K$6</c:f>
              <c:numCache>
                <c:formatCode>0</c:formatCode>
                <c:ptCount val="3"/>
                <c:pt idx="0" formatCode="General">
                  <c:v>2789</c:v>
                </c:pt>
                <c:pt idx="1">
                  <c:v>2322</c:v>
                </c:pt>
                <c:pt idx="2" formatCode="General">
                  <c:v>2670</c:v>
                </c:pt>
              </c:numCache>
            </c:numRef>
          </c:val>
          <c:extLst>
            <c:ext xmlns:c16="http://schemas.microsoft.com/office/drawing/2014/chart" uri="{C3380CC4-5D6E-409C-BE32-E72D297353CC}">
              <c16:uniqueId val="{00000008-5138-4FF5-B33A-12DEB4FBC649}"/>
            </c:ext>
          </c:extLst>
        </c:ser>
        <c:dLbls>
          <c:dLblPos val="outEnd"/>
          <c:showLegendKey val="0"/>
          <c:showVal val="1"/>
          <c:showCatName val="0"/>
          <c:showSerName val="0"/>
          <c:showPercent val="0"/>
          <c:showBubbleSize val="0"/>
        </c:dLbls>
        <c:gapWidth val="219"/>
        <c:overlap val="-27"/>
        <c:axId val="409098911"/>
        <c:axId val="409095167"/>
      </c:barChart>
      <c:catAx>
        <c:axId val="4090989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409095167"/>
        <c:crosses val="autoZero"/>
        <c:auto val="1"/>
        <c:lblAlgn val="ctr"/>
        <c:lblOffset val="100"/>
        <c:noMultiLvlLbl val="0"/>
      </c:catAx>
      <c:valAx>
        <c:axId val="409095167"/>
        <c:scaling>
          <c:orientation val="minMax"/>
          <c:max val="45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409098911"/>
        <c:crosses val="autoZero"/>
        <c:crossBetween val="between"/>
        <c:majorUnit val="5000"/>
      </c:valAx>
      <c:spPr>
        <a:noFill/>
        <a:ln>
          <a:noFill/>
        </a:ln>
        <a:effectLst/>
      </c:spPr>
    </c:plotArea>
    <c:legend>
      <c:legendPos val="r"/>
      <c:layout>
        <c:manualLayout>
          <c:xMode val="edge"/>
          <c:yMode val="edge"/>
          <c:x val="0.74327216540216801"/>
          <c:y val="5.034339457567804E-2"/>
          <c:w val="0.25299467774861473"/>
          <c:h val="0.8957520133701235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'OSI po spolu'!$D$5</c:f>
              <c:strCache>
                <c:ptCount val="1"/>
                <c:pt idx="0">
                  <c:v>Muškarci</c:v>
                </c:pt>
              </c:strCache>
            </c:strRef>
          </c:tx>
          <c:spPr>
            <a:solidFill>
              <a:schemeClr val="accent1"/>
            </a:solidFill>
            <a:ln>
              <a:noFill/>
            </a:ln>
            <a:effectLst/>
          </c:spPr>
          <c:invertIfNegative val="0"/>
          <c:cat>
            <c:strRef>
              <c:f>'OSI po spolu'!$E$4:$J$4</c:f>
              <c:strCache>
                <c:ptCount val="6"/>
                <c:pt idx="0">
                  <c:v>2015.</c:v>
                </c:pt>
                <c:pt idx="1">
                  <c:v>2016.</c:v>
                </c:pt>
                <c:pt idx="2">
                  <c:v>2017.</c:v>
                </c:pt>
                <c:pt idx="3">
                  <c:v>2018.</c:v>
                </c:pt>
                <c:pt idx="4">
                  <c:v>2019.</c:v>
                </c:pt>
                <c:pt idx="5">
                  <c:v>2020.</c:v>
                </c:pt>
              </c:strCache>
            </c:strRef>
          </c:cat>
          <c:val>
            <c:numRef>
              <c:f>'OSI po spolu'!$E$5:$J$5</c:f>
              <c:numCache>
                <c:formatCode>General</c:formatCode>
                <c:ptCount val="6"/>
                <c:pt idx="0">
                  <c:v>159</c:v>
                </c:pt>
                <c:pt idx="1">
                  <c:v>143</c:v>
                </c:pt>
                <c:pt idx="2">
                  <c:v>102</c:v>
                </c:pt>
                <c:pt idx="3">
                  <c:v>85</c:v>
                </c:pt>
                <c:pt idx="4">
                  <c:v>77</c:v>
                </c:pt>
                <c:pt idx="5">
                  <c:v>78</c:v>
                </c:pt>
              </c:numCache>
            </c:numRef>
          </c:val>
          <c:extLst>
            <c:ext xmlns:c16="http://schemas.microsoft.com/office/drawing/2014/chart" uri="{C3380CC4-5D6E-409C-BE32-E72D297353CC}">
              <c16:uniqueId val="{00000000-6757-44C6-922C-A3295C59FE98}"/>
            </c:ext>
          </c:extLst>
        </c:ser>
        <c:ser>
          <c:idx val="1"/>
          <c:order val="1"/>
          <c:tx>
            <c:strRef>
              <c:f>'OSI po spolu'!$D$6</c:f>
              <c:strCache>
                <c:ptCount val="1"/>
                <c:pt idx="0">
                  <c:v>Žene</c:v>
                </c:pt>
              </c:strCache>
            </c:strRef>
          </c:tx>
          <c:spPr>
            <a:solidFill>
              <a:schemeClr val="accent2"/>
            </a:solidFill>
            <a:ln>
              <a:noFill/>
            </a:ln>
            <a:effectLst/>
          </c:spPr>
          <c:invertIfNegative val="0"/>
          <c:cat>
            <c:strRef>
              <c:f>'OSI po spolu'!$E$4:$J$4</c:f>
              <c:strCache>
                <c:ptCount val="6"/>
                <c:pt idx="0">
                  <c:v>2015.</c:v>
                </c:pt>
                <c:pt idx="1">
                  <c:v>2016.</c:v>
                </c:pt>
                <c:pt idx="2">
                  <c:v>2017.</c:v>
                </c:pt>
                <c:pt idx="3">
                  <c:v>2018.</c:v>
                </c:pt>
                <c:pt idx="4">
                  <c:v>2019.</c:v>
                </c:pt>
                <c:pt idx="5">
                  <c:v>2020.</c:v>
                </c:pt>
              </c:strCache>
            </c:strRef>
          </c:cat>
          <c:val>
            <c:numRef>
              <c:f>'OSI po spolu'!$E$6:$J$6</c:f>
              <c:numCache>
                <c:formatCode>General</c:formatCode>
                <c:ptCount val="6"/>
                <c:pt idx="0">
                  <c:v>111</c:v>
                </c:pt>
                <c:pt idx="1">
                  <c:v>117</c:v>
                </c:pt>
                <c:pt idx="2">
                  <c:v>104</c:v>
                </c:pt>
                <c:pt idx="3">
                  <c:v>84</c:v>
                </c:pt>
                <c:pt idx="4">
                  <c:v>81</c:v>
                </c:pt>
                <c:pt idx="5">
                  <c:v>92</c:v>
                </c:pt>
              </c:numCache>
            </c:numRef>
          </c:val>
          <c:extLst>
            <c:ext xmlns:c16="http://schemas.microsoft.com/office/drawing/2014/chart" uri="{C3380CC4-5D6E-409C-BE32-E72D297353CC}">
              <c16:uniqueId val="{00000001-6757-44C6-922C-A3295C59FE98}"/>
            </c:ext>
          </c:extLst>
        </c:ser>
        <c:dLbls>
          <c:showLegendKey val="0"/>
          <c:showVal val="0"/>
          <c:showCatName val="0"/>
          <c:showSerName val="0"/>
          <c:showPercent val="0"/>
          <c:showBubbleSize val="0"/>
        </c:dLbls>
        <c:gapWidth val="150"/>
        <c:overlap val="100"/>
        <c:axId val="1080017792"/>
        <c:axId val="1"/>
      </c:barChart>
      <c:catAx>
        <c:axId val="1080017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80017792"/>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'Mladi - prijava na evidenciju'!$A$4</c:f>
              <c:strCache>
                <c:ptCount val="1"/>
                <c:pt idx="0">
                  <c:v>Muškarci </c:v>
                </c:pt>
              </c:strCache>
            </c:strRef>
          </c:tx>
          <c:spPr>
            <a:solidFill>
              <a:schemeClr val="accent1"/>
            </a:solidFill>
            <a:ln>
              <a:noFill/>
            </a:ln>
            <a:effectLst/>
          </c:spPr>
          <c:invertIfNegative val="0"/>
          <c:dLbls>
            <c:spPr>
              <a:noFill/>
              <a:ln>
                <a:noFill/>
              </a:ln>
              <a:effectLst/>
            </c:spPr>
            <c:txPr>
              <a:bodyPr wrap="square" lIns="38100" tIns="19050" rIns="38100" bIns="19050" anchor="ctr">
                <a:spAutoFit/>
              </a:bodyPr>
              <a:lstStyle/>
              <a:p>
                <a:pPr>
                  <a:defRPr sz="900">
                    <a:solidFill>
                      <a:schemeClr val="bg1"/>
                    </a:solidFill>
                    <a:latin typeface="Newslab Light" panose="02000000000000000000" pitchFamily="50" charset="0"/>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'Mladi - prijava na evidenciju'!$B$3:$G$3</c:f>
              <c:strCache>
                <c:ptCount val="6"/>
                <c:pt idx="0">
                  <c:v>2015.</c:v>
                </c:pt>
                <c:pt idx="1">
                  <c:v>2016.</c:v>
                </c:pt>
                <c:pt idx="2">
                  <c:v>2017.</c:v>
                </c:pt>
                <c:pt idx="3">
                  <c:v>2018.</c:v>
                </c:pt>
                <c:pt idx="4">
                  <c:v>2019.</c:v>
                </c:pt>
                <c:pt idx="5">
                  <c:v>2020.</c:v>
                </c:pt>
              </c:strCache>
            </c:strRef>
          </c:cat>
          <c:val>
            <c:numRef>
              <c:f>'Mladi - prijava na evidenciju'!$B$4:$G$4</c:f>
              <c:numCache>
                <c:formatCode>#,##0</c:formatCode>
                <c:ptCount val="6"/>
                <c:pt idx="0">
                  <c:v>965</c:v>
                </c:pt>
                <c:pt idx="1">
                  <c:v>623</c:v>
                </c:pt>
                <c:pt idx="2">
                  <c:v>364</c:v>
                </c:pt>
                <c:pt idx="3" formatCode="General">
                  <c:v>256</c:v>
                </c:pt>
                <c:pt idx="4" formatCode="General">
                  <c:v>241</c:v>
                </c:pt>
                <c:pt idx="5" formatCode="General">
                  <c:v>321</c:v>
                </c:pt>
              </c:numCache>
            </c:numRef>
          </c:val>
          <c:extLst>
            <c:ext xmlns:c16="http://schemas.microsoft.com/office/drawing/2014/chart" uri="{C3380CC4-5D6E-409C-BE32-E72D297353CC}">
              <c16:uniqueId val="{00000000-37C2-4BBB-B6C4-361BC887B92D}"/>
            </c:ext>
          </c:extLst>
        </c:ser>
        <c:ser>
          <c:idx val="1"/>
          <c:order val="1"/>
          <c:tx>
            <c:strRef>
              <c:f>'Mladi - prijava na evidenciju'!$A$5</c:f>
              <c:strCache>
                <c:ptCount val="1"/>
                <c:pt idx="0">
                  <c:v>Žene</c:v>
                </c:pt>
              </c:strCache>
            </c:strRef>
          </c:tx>
          <c:spPr>
            <a:solidFill>
              <a:schemeClr val="accent2"/>
            </a:solidFill>
            <a:ln>
              <a:noFill/>
            </a:ln>
            <a:effectLst/>
          </c:spPr>
          <c:invertIfNegative val="0"/>
          <c:dLbls>
            <c:spPr>
              <a:noFill/>
              <a:ln>
                <a:noFill/>
              </a:ln>
              <a:effectLst/>
            </c:spPr>
            <c:txPr>
              <a:bodyPr wrap="square" lIns="38100" tIns="19050" rIns="38100" bIns="19050" anchor="ctr">
                <a:spAutoFit/>
              </a:bodyPr>
              <a:lstStyle/>
              <a:p>
                <a:pPr>
                  <a:defRPr sz="900">
                    <a:solidFill>
                      <a:schemeClr val="bg1"/>
                    </a:solidFill>
                    <a:latin typeface="Newslab Light" panose="02000000000000000000" pitchFamily="50" charset="0"/>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'Mladi - prijava na evidenciju'!$B$3:$G$3</c:f>
              <c:strCache>
                <c:ptCount val="6"/>
                <c:pt idx="0">
                  <c:v>2015.</c:v>
                </c:pt>
                <c:pt idx="1">
                  <c:v>2016.</c:v>
                </c:pt>
                <c:pt idx="2">
                  <c:v>2017.</c:v>
                </c:pt>
                <c:pt idx="3">
                  <c:v>2018.</c:v>
                </c:pt>
                <c:pt idx="4">
                  <c:v>2019.</c:v>
                </c:pt>
                <c:pt idx="5">
                  <c:v>2020.</c:v>
                </c:pt>
              </c:strCache>
            </c:strRef>
          </c:cat>
          <c:val>
            <c:numRef>
              <c:f>'Mladi - prijava na evidenciju'!$B$5:$G$5</c:f>
              <c:numCache>
                <c:formatCode>#,##0</c:formatCode>
                <c:ptCount val="6"/>
                <c:pt idx="0">
                  <c:v>1179</c:v>
                </c:pt>
                <c:pt idx="1">
                  <c:v>1011</c:v>
                </c:pt>
                <c:pt idx="2">
                  <c:v>711</c:v>
                </c:pt>
                <c:pt idx="3" formatCode="General">
                  <c:v>497</c:v>
                </c:pt>
                <c:pt idx="4" formatCode="General">
                  <c:v>411</c:v>
                </c:pt>
                <c:pt idx="5" formatCode="General">
                  <c:v>500</c:v>
                </c:pt>
              </c:numCache>
            </c:numRef>
          </c:val>
          <c:extLst>
            <c:ext xmlns:c16="http://schemas.microsoft.com/office/drawing/2014/chart" uri="{C3380CC4-5D6E-409C-BE32-E72D297353CC}">
              <c16:uniqueId val="{00000001-37C2-4BBB-B6C4-361BC887B92D}"/>
            </c:ext>
          </c:extLst>
        </c:ser>
        <c:dLbls>
          <c:dLblPos val="ctr"/>
          <c:showLegendKey val="0"/>
          <c:showVal val="1"/>
          <c:showCatName val="0"/>
          <c:showSerName val="0"/>
          <c:showPercent val="0"/>
          <c:showBubbleSize val="0"/>
        </c:dLbls>
        <c:gapWidth val="150"/>
        <c:overlap val="100"/>
        <c:axId val="1041199568"/>
        <c:axId val="1"/>
      </c:barChart>
      <c:catAx>
        <c:axId val="1041199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41199568"/>
        <c:crosses val="autoZero"/>
        <c:crossBetween val="between"/>
      </c:valAx>
      <c:spPr>
        <a:noFill/>
        <a:ln w="25400">
          <a:noFill/>
        </a:ln>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1251364897217312E-2"/>
          <c:y val="5.2986512524084775E-2"/>
          <c:w val="0.58100537820369347"/>
          <c:h val="0.8352684599396174"/>
        </c:manualLayout>
      </c:layout>
      <c:barChart>
        <c:barDir val="col"/>
        <c:grouping val="stacked"/>
        <c:varyColors val="0"/>
        <c:ser>
          <c:idx val="0"/>
          <c:order val="0"/>
          <c:tx>
            <c:strRef>
              <c:f>'Nezapos. mladi obrazovanje'!$B$3</c:f>
              <c:strCache>
                <c:ptCount val="1"/>
                <c:pt idx="0">
                  <c:v> Bez škole i nezavršena osnovna škola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'Nezapos. mladi obrazovanje'!$A$4:$A$9</c:f>
              <c:strCache>
                <c:ptCount val="6"/>
                <c:pt idx="0">
                  <c:v>2015.</c:v>
                </c:pt>
                <c:pt idx="1">
                  <c:v>2016.</c:v>
                </c:pt>
                <c:pt idx="2">
                  <c:v>2017.</c:v>
                </c:pt>
                <c:pt idx="3">
                  <c:v>2018.</c:v>
                </c:pt>
                <c:pt idx="4">
                  <c:v>2019.</c:v>
                </c:pt>
                <c:pt idx="5">
                  <c:v>2020.</c:v>
                </c:pt>
              </c:strCache>
            </c:strRef>
          </c:cat>
          <c:val>
            <c:numRef>
              <c:f>'Nezapos. mladi obrazovanje'!$B$4:$B$9</c:f>
              <c:numCache>
                <c:formatCode>0</c:formatCode>
                <c:ptCount val="6"/>
                <c:pt idx="0">
                  <c:v>5.25</c:v>
                </c:pt>
                <c:pt idx="1">
                  <c:v>3.416666666666667</c:v>
                </c:pt>
                <c:pt idx="2">
                  <c:v>2.5</c:v>
                </c:pt>
                <c:pt idx="3">
                  <c:v>1.3333333333333335</c:v>
                </c:pt>
                <c:pt idx="4">
                  <c:v>2.083333333333333</c:v>
                </c:pt>
                <c:pt idx="5">
                  <c:v>2.8181818181818183</c:v>
                </c:pt>
              </c:numCache>
            </c:numRef>
          </c:val>
          <c:extLst>
            <c:ext xmlns:c16="http://schemas.microsoft.com/office/drawing/2014/chart" uri="{C3380CC4-5D6E-409C-BE32-E72D297353CC}">
              <c16:uniqueId val="{00000000-BC50-42E9-ADE1-955E861BE35B}"/>
            </c:ext>
          </c:extLst>
        </c:ser>
        <c:ser>
          <c:idx val="1"/>
          <c:order val="1"/>
          <c:tx>
            <c:strRef>
              <c:f>'Nezapos. mladi obrazovanje'!$C$3</c:f>
              <c:strCache>
                <c:ptCount val="1"/>
                <c:pt idx="0">
                  <c:v> Završena osnovna škola</c:v>
                </c:pt>
              </c:strCache>
            </c:strRef>
          </c:tx>
          <c:spPr>
            <a:solidFill>
              <a:schemeClr val="accent2"/>
            </a:solidFill>
            <a:ln>
              <a:noFill/>
            </a:ln>
            <a:effectLst/>
          </c:spPr>
          <c:invertIfNegative val="0"/>
          <c:dLbls>
            <c:dLbl>
              <c:idx val="0"/>
              <c:layout>
                <c:manualLayout>
                  <c:x val="3.2258064516129031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C50-42E9-ADE1-955E861BE35B}"/>
                </c:ext>
              </c:extLst>
            </c:dLbl>
            <c:dLbl>
              <c:idx val="1"/>
              <c:layout>
                <c:manualLayout>
                  <c:x val="3.0107526881720432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C50-42E9-ADE1-955E861BE35B}"/>
                </c:ext>
              </c:extLst>
            </c:dLbl>
            <c:dLbl>
              <c:idx val="2"/>
              <c:layout>
                <c:manualLayout>
                  <c:x val="3.010752688172039E-2"/>
                  <c:y val="-4.993757802746566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C50-42E9-ADE1-955E861BE35B}"/>
                </c:ext>
              </c:extLst>
            </c:dLbl>
            <c:dLbl>
              <c:idx val="3"/>
              <c:layout>
                <c:manualLayout>
                  <c:x val="3.2258064516129031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C50-42E9-ADE1-955E861BE35B}"/>
                </c:ext>
              </c:extLst>
            </c:dLbl>
            <c:dLbl>
              <c:idx val="4"/>
              <c:layout>
                <c:manualLayout>
                  <c:x val="2.7956989247311829E-2"/>
                  <c:y val="4.993757802746566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C50-42E9-ADE1-955E861BE35B}"/>
                </c:ext>
              </c:extLst>
            </c:dLbl>
            <c:dLbl>
              <c:idx val="5"/>
              <c:layout>
                <c:manualLayout>
                  <c:x val="4.5161290322580643E-2"/>
                  <c:y val="-4.993757802746566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C50-42E9-ADE1-955E861BE3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'Nezapos. mladi obrazovanje'!$A$4:$A$9</c:f>
              <c:strCache>
                <c:ptCount val="6"/>
                <c:pt idx="0">
                  <c:v>2015.</c:v>
                </c:pt>
                <c:pt idx="1">
                  <c:v>2016.</c:v>
                </c:pt>
                <c:pt idx="2">
                  <c:v>2017.</c:v>
                </c:pt>
                <c:pt idx="3">
                  <c:v>2018.</c:v>
                </c:pt>
                <c:pt idx="4">
                  <c:v>2019.</c:v>
                </c:pt>
                <c:pt idx="5">
                  <c:v>2020.</c:v>
                </c:pt>
              </c:strCache>
            </c:strRef>
          </c:cat>
          <c:val>
            <c:numRef>
              <c:f>'Nezapos. mladi obrazovanje'!$C$4:$C$9</c:f>
              <c:numCache>
                <c:formatCode>0</c:formatCode>
                <c:ptCount val="6"/>
                <c:pt idx="0">
                  <c:v>95.583333333333343</c:v>
                </c:pt>
                <c:pt idx="1">
                  <c:v>66.583333333333343</c:v>
                </c:pt>
                <c:pt idx="2">
                  <c:v>35.083333333333329</c:v>
                </c:pt>
                <c:pt idx="3">
                  <c:v>18.25</c:v>
                </c:pt>
                <c:pt idx="4">
                  <c:v>18.166666666666668</c:v>
                </c:pt>
                <c:pt idx="5">
                  <c:v>31.636363636363633</c:v>
                </c:pt>
              </c:numCache>
            </c:numRef>
          </c:val>
          <c:extLst>
            <c:ext xmlns:c16="http://schemas.microsoft.com/office/drawing/2014/chart" uri="{C3380CC4-5D6E-409C-BE32-E72D297353CC}">
              <c16:uniqueId val="{00000001-BC50-42E9-ADE1-955E861BE35B}"/>
            </c:ext>
          </c:extLst>
        </c:ser>
        <c:ser>
          <c:idx val="2"/>
          <c:order val="2"/>
          <c:tx>
            <c:strRef>
              <c:f>'Nezapos. mladi obrazovanje'!$D$3</c:f>
              <c:strCache>
                <c:ptCount val="1"/>
                <c:pt idx="0">
                  <c:v>Srednja škola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'Nezapos. mladi obrazovanje'!$A$4:$A$9</c:f>
              <c:strCache>
                <c:ptCount val="6"/>
                <c:pt idx="0">
                  <c:v>2015.</c:v>
                </c:pt>
                <c:pt idx="1">
                  <c:v>2016.</c:v>
                </c:pt>
                <c:pt idx="2">
                  <c:v>2017.</c:v>
                </c:pt>
                <c:pt idx="3">
                  <c:v>2018.</c:v>
                </c:pt>
                <c:pt idx="4">
                  <c:v>2019.</c:v>
                </c:pt>
                <c:pt idx="5">
                  <c:v>2020.</c:v>
                </c:pt>
              </c:strCache>
            </c:strRef>
          </c:cat>
          <c:val>
            <c:numRef>
              <c:f>'Nezapos. mladi obrazovanje'!$D$4:$D$9</c:f>
              <c:numCache>
                <c:formatCode>0</c:formatCode>
                <c:ptCount val="6"/>
                <c:pt idx="0">
                  <c:v>1625.9166666666667</c:v>
                </c:pt>
                <c:pt idx="1">
                  <c:v>1200.8333333333333</c:v>
                </c:pt>
                <c:pt idx="2">
                  <c:v>750.25</c:v>
                </c:pt>
                <c:pt idx="3">
                  <c:v>542.66666666666663</c:v>
                </c:pt>
                <c:pt idx="4">
                  <c:v>468.66666666666663</c:v>
                </c:pt>
                <c:pt idx="5">
                  <c:v>606</c:v>
                </c:pt>
              </c:numCache>
            </c:numRef>
          </c:val>
          <c:extLst>
            <c:ext xmlns:c16="http://schemas.microsoft.com/office/drawing/2014/chart" uri="{C3380CC4-5D6E-409C-BE32-E72D297353CC}">
              <c16:uniqueId val="{00000002-BC50-42E9-ADE1-955E861BE35B}"/>
            </c:ext>
          </c:extLst>
        </c:ser>
        <c:ser>
          <c:idx val="3"/>
          <c:order val="3"/>
          <c:tx>
            <c:strRef>
              <c:f>'Nezapos. mladi obrazovanje'!$E$3</c:f>
              <c:strCache>
                <c:ptCount val="1"/>
                <c:pt idx="0">
                  <c:v> Prvi stupanj fakulteta, stručni studij i viša škola</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'Nezapos. mladi obrazovanje'!$A$4:$A$9</c:f>
              <c:strCache>
                <c:ptCount val="6"/>
                <c:pt idx="0">
                  <c:v>2015.</c:v>
                </c:pt>
                <c:pt idx="1">
                  <c:v>2016.</c:v>
                </c:pt>
                <c:pt idx="2">
                  <c:v>2017.</c:v>
                </c:pt>
                <c:pt idx="3">
                  <c:v>2018.</c:v>
                </c:pt>
                <c:pt idx="4">
                  <c:v>2019.</c:v>
                </c:pt>
                <c:pt idx="5">
                  <c:v>2020.</c:v>
                </c:pt>
              </c:strCache>
            </c:strRef>
          </c:cat>
          <c:val>
            <c:numRef>
              <c:f>'Nezapos. mladi obrazovanje'!$E$4:$E$9</c:f>
              <c:numCache>
                <c:formatCode>0</c:formatCode>
                <c:ptCount val="6"/>
                <c:pt idx="0">
                  <c:v>249.5</c:v>
                </c:pt>
                <c:pt idx="1">
                  <c:v>207.91666666666669</c:v>
                </c:pt>
                <c:pt idx="2">
                  <c:v>145.08333333333331</c:v>
                </c:pt>
                <c:pt idx="3">
                  <c:v>88.333333333333343</c:v>
                </c:pt>
                <c:pt idx="4">
                  <c:v>75.916666666666671</c:v>
                </c:pt>
                <c:pt idx="5">
                  <c:v>82</c:v>
                </c:pt>
              </c:numCache>
            </c:numRef>
          </c:val>
          <c:extLst>
            <c:ext xmlns:c16="http://schemas.microsoft.com/office/drawing/2014/chart" uri="{C3380CC4-5D6E-409C-BE32-E72D297353CC}">
              <c16:uniqueId val="{00000003-BC50-42E9-ADE1-955E861BE35B}"/>
            </c:ext>
          </c:extLst>
        </c:ser>
        <c:ser>
          <c:idx val="4"/>
          <c:order val="4"/>
          <c:tx>
            <c:strRef>
              <c:f>'Nezapos. mladi obrazovanje'!$F$3</c:f>
              <c:strCache>
                <c:ptCount val="1"/>
                <c:pt idx="0">
                  <c:v> Fakultet, akademija, magisterij, doktorat</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'Nezapos. mladi obrazovanje'!$A$4:$A$9</c:f>
              <c:strCache>
                <c:ptCount val="6"/>
                <c:pt idx="0">
                  <c:v>2015.</c:v>
                </c:pt>
                <c:pt idx="1">
                  <c:v>2016.</c:v>
                </c:pt>
                <c:pt idx="2">
                  <c:v>2017.</c:v>
                </c:pt>
                <c:pt idx="3">
                  <c:v>2018.</c:v>
                </c:pt>
                <c:pt idx="4">
                  <c:v>2019.</c:v>
                </c:pt>
                <c:pt idx="5">
                  <c:v>2020.</c:v>
                </c:pt>
              </c:strCache>
            </c:strRef>
          </c:cat>
          <c:val>
            <c:numRef>
              <c:f>'Nezapos. mladi obrazovanje'!$F$4:$F$9</c:f>
              <c:numCache>
                <c:formatCode>0</c:formatCode>
                <c:ptCount val="6"/>
                <c:pt idx="0">
                  <c:v>180.08333333333331</c:v>
                </c:pt>
                <c:pt idx="1">
                  <c:v>155.33333333333331</c:v>
                </c:pt>
                <c:pt idx="2">
                  <c:v>141.33333333333334</c:v>
                </c:pt>
                <c:pt idx="3">
                  <c:v>102.58333333333333</c:v>
                </c:pt>
                <c:pt idx="4">
                  <c:v>87.583333333333343</c:v>
                </c:pt>
                <c:pt idx="5">
                  <c:v>99</c:v>
                </c:pt>
              </c:numCache>
            </c:numRef>
          </c:val>
          <c:extLst>
            <c:ext xmlns:c16="http://schemas.microsoft.com/office/drawing/2014/chart" uri="{C3380CC4-5D6E-409C-BE32-E72D297353CC}">
              <c16:uniqueId val="{00000004-BC50-42E9-ADE1-955E861BE35B}"/>
            </c:ext>
          </c:extLst>
        </c:ser>
        <c:dLbls>
          <c:dLblPos val="ctr"/>
          <c:showLegendKey val="0"/>
          <c:showVal val="1"/>
          <c:showCatName val="0"/>
          <c:showSerName val="0"/>
          <c:showPercent val="0"/>
          <c:showBubbleSize val="0"/>
        </c:dLbls>
        <c:gapWidth val="150"/>
        <c:overlap val="100"/>
        <c:axId val="559277695"/>
        <c:axId val="559281023"/>
      </c:barChart>
      <c:catAx>
        <c:axId val="559277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559281023"/>
        <c:crosses val="autoZero"/>
        <c:auto val="1"/>
        <c:lblAlgn val="ctr"/>
        <c:lblOffset val="100"/>
        <c:noMultiLvlLbl val="0"/>
      </c:catAx>
      <c:valAx>
        <c:axId val="55928102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5927769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3"/>
          <c:order val="0"/>
          <c:tx>
            <c:strRef>
              <c:f>'Nezapos. mladi staž'!$A$8</c:f>
              <c:strCache>
                <c:ptCount val="1"/>
                <c:pt idx="0">
                  <c:v>2015.</c:v>
                </c:pt>
              </c:strCache>
            </c:strRef>
          </c:tx>
          <c:spPr>
            <a:solidFill>
              <a:schemeClr val="accent4"/>
            </a:solidFill>
            <a:ln>
              <a:noFill/>
            </a:ln>
            <a:effectLst/>
          </c:spPr>
          <c:invertIfNegative val="0"/>
          <c:cat>
            <c:strRef>
              <c:f>'Nezapos. mladi staž'!$B$4:$G$4</c:f>
              <c:strCache>
                <c:ptCount val="6"/>
                <c:pt idx="0">
                  <c:v>Bez staža</c:v>
                </c:pt>
                <c:pt idx="1">
                  <c:v>Do 1 godine</c:v>
                </c:pt>
                <c:pt idx="2">
                  <c:v>1 - 2 godine</c:v>
                </c:pt>
                <c:pt idx="3">
                  <c:v>2 - 3 godine</c:v>
                </c:pt>
                <c:pt idx="4">
                  <c:v>3 - 5 godina</c:v>
                </c:pt>
                <c:pt idx="5">
                  <c:v>5 - 10 godina</c:v>
                </c:pt>
              </c:strCache>
            </c:strRef>
          </c:cat>
          <c:val>
            <c:numRef>
              <c:f>'Nezapos. mladi staž'!$B$8:$G$8</c:f>
              <c:numCache>
                <c:formatCode>0</c:formatCode>
                <c:ptCount val="6"/>
                <c:pt idx="0">
                  <c:v>874.50000000000011</c:v>
                </c:pt>
                <c:pt idx="1">
                  <c:v>433.16666666666663</c:v>
                </c:pt>
                <c:pt idx="2">
                  <c:v>394</c:v>
                </c:pt>
                <c:pt idx="3">
                  <c:v>145.58333333333334</c:v>
                </c:pt>
                <c:pt idx="4">
                  <c:v>145.16666666666669</c:v>
                </c:pt>
                <c:pt idx="5">
                  <c:v>147.5</c:v>
                </c:pt>
              </c:numCache>
            </c:numRef>
          </c:val>
          <c:extLst>
            <c:ext xmlns:c16="http://schemas.microsoft.com/office/drawing/2014/chart" uri="{C3380CC4-5D6E-409C-BE32-E72D297353CC}">
              <c16:uniqueId val="{00000000-3E86-478D-873F-EDA8721AA17B}"/>
            </c:ext>
          </c:extLst>
        </c:ser>
        <c:ser>
          <c:idx val="4"/>
          <c:order val="1"/>
          <c:tx>
            <c:strRef>
              <c:f>'Nezapos. mladi staž'!$A$9</c:f>
              <c:strCache>
                <c:ptCount val="1"/>
                <c:pt idx="0">
                  <c:v>2016.</c:v>
                </c:pt>
              </c:strCache>
            </c:strRef>
          </c:tx>
          <c:spPr>
            <a:solidFill>
              <a:schemeClr val="accent5"/>
            </a:solidFill>
            <a:ln>
              <a:noFill/>
            </a:ln>
            <a:effectLst/>
          </c:spPr>
          <c:invertIfNegative val="0"/>
          <c:cat>
            <c:strRef>
              <c:f>'Nezapos. mladi staž'!$B$4:$G$4</c:f>
              <c:strCache>
                <c:ptCount val="6"/>
                <c:pt idx="0">
                  <c:v>Bez staža</c:v>
                </c:pt>
                <c:pt idx="1">
                  <c:v>Do 1 godine</c:v>
                </c:pt>
                <c:pt idx="2">
                  <c:v>1 - 2 godine</c:v>
                </c:pt>
                <c:pt idx="3">
                  <c:v>2 - 3 godine</c:v>
                </c:pt>
                <c:pt idx="4">
                  <c:v>3 - 5 godina</c:v>
                </c:pt>
                <c:pt idx="5">
                  <c:v>5 - 10 godina</c:v>
                </c:pt>
              </c:strCache>
            </c:strRef>
          </c:cat>
          <c:val>
            <c:numRef>
              <c:f>'Nezapos. mladi staž'!$B$9:$G$9</c:f>
              <c:numCache>
                <c:formatCode>0</c:formatCode>
                <c:ptCount val="6"/>
                <c:pt idx="0">
                  <c:v>664.5</c:v>
                </c:pt>
                <c:pt idx="1">
                  <c:v>305.75</c:v>
                </c:pt>
                <c:pt idx="2">
                  <c:v>341.33333333333337</c:v>
                </c:pt>
                <c:pt idx="3">
                  <c:v>119.75</c:v>
                </c:pt>
                <c:pt idx="4">
                  <c:v>102.58333333333333</c:v>
                </c:pt>
                <c:pt idx="5">
                  <c:v>96</c:v>
                </c:pt>
              </c:numCache>
            </c:numRef>
          </c:val>
          <c:extLst>
            <c:ext xmlns:c16="http://schemas.microsoft.com/office/drawing/2014/chart" uri="{C3380CC4-5D6E-409C-BE32-E72D297353CC}">
              <c16:uniqueId val="{00000001-3E86-478D-873F-EDA8721AA17B}"/>
            </c:ext>
          </c:extLst>
        </c:ser>
        <c:ser>
          <c:idx val="5"/>
          <c:order val="2"/>
          <c:tx>
            <c:strRef>
              <c:f>'Nezapos. mladi staž'!$A$10</c:f>
              <c:strCache>
                <c:ptCount val="1"/>
                <c:pt idx="0">
                  <c:v>2017.</c:v>
                </c:pt>
              </c:strCache>
            </c:strRef>
          </c:tx>
          <c:spPr>
            <a:solidFill>
              <a:schemeClr val="accent6"/>
            </a:solidFill>
            <a:ln>
              <a:noFill/>
            </a:ln>
            <a:effectLst/>
          </c:spPr>
          <c:invertIfNegative val="0"/>
          <c:cat>
            <c:strRef>
              <c:f>'Nezapos. mladi staž'!$B$4:$G$4</c:f>
              <c:strCache>
                <c:ptCount val="6"/>
                <c:pt idx="0">
                  <c:v>Bez staža</c:v>
                </c:pt>
                <c:pt idx="1">
                  <c:v>Do 1 godine</c:v>
                </c:pt>
                <c:pt idx="2">
                  <c:v>1 - 2 godine</c:v>
                </c:pt>
                <c:pt idx="3">
                  <c:v>2 - 3 godine</c:v>
                </c:pt>
                <c:pt idx="4">
                  <c:v>3 - 5 godina</c:v>
                </c:pt>
                <c:pt idx="5">
                  <c:v>5 - 10 godina</c:v>
                </c:pt>
              </c:strCache>
            </c:strRef>
          </c:cat>
          <c:val>
            <c:numRef>
              <c:f>'Nezapos. mladi staž'!$B$10:$G$10</c:f>
              <c:numCache>
                <c:formatCode>0</c:formatCode>
                <c:ptCount val="6"/>
                <c:pt idx="0">
                  <c:v>421</c:v>
                </c:pt>
                <c:pt idx="1">
                  <c:v>203.75</c:v>
                </c:pt>
                <c:pt idx="2">
                  <c:v>239.5</c:v>
                </c:pt>
                <c:pt idx="3">
                  <c:v>93.083333333333343</c:v>
                </c:pt>
                <c:pt idx="4">
                  <c:v>66.5</c:v>
                </c:pt>
                <c:pt idx="5">
                  <c:v>46.916666666666671</c:v>
                </c:pt>
              </c:numCache>
            </c:numRef>
          </c:val>
          <c:extLst>
            <c:ext xmlns:c16="http://schemas.microsoft.com/office/drawing/2014/chart" uri="{C3380CC4-5D6E-409C-BE32-E72D297353CC}">
              <c16:uniqueId val="{00000002-3E86-478D-873F-EDA8721AA17B}"/>
            </c:ext>
          </c:extLst>
        </c:ser>
        <c:ser>
          <c:idx val="6"/>
          <c:order val="3"/>
          <c:tx>
            <c:strRef>
              <c:f>'Nezapos. mladi staž'!$A$11</c:f>
              <c:strCache>
                <c:ptCount val="1"/>
                <c:pt idx="0">
                  <c:v>2018.</c:v>
                </c:pt>
              </c:strCache>
            </c:strRef>
          </c:tx>
          <c:spPr>
            <a:solidFill>
              <a:schemeClr val="accent1">
                <a:lumMod val="60000"/>
              </a:schemeClr>
            </a:solidFill>
            <a:ln>
              <a:noFill/>
            </a:ln>
            <a:effectLst/>
          </c:spPr>
          <c:invertIfNegative val="0"/>
          <c:cat>
            <c:strRef>
              <c:f>'Nezapos. mladi staž'!$B$4:$G$4</c:f>
              <c:strCache>
                <c:ptCount val="6"/>
                <c:pt idx="0">
                  <c:v>Bez staža</c:v>
                </c:pt>
                <c:pt idx="1">
                  <c:v>Do 1 godine</c:v>
                </c:pt>
                <c:pt idx="2">
                  <c:v>1 - 2 godine</c:v>
                </c:pt>
                <c:pt idx="3">
                  <c:v>2 - 3 godine</c:v>
                </c:pt>
                <c:pt idx="4">
                  <c:v>3 - 5 godina</c:v>
                </c:pt>
                <c:pt idx="5">
                  <c:v>5 - 10 godina</c:v>
                </c:pt>
              </c:strCache>
            </c:strRef>
          </c:cat>
          <c:val>
            <c:numRef>
              <c:f>'Nezapos. mladi staž'!$B$11:$G$11</c:f>
              <c:numCache>
                <c:formatCode>0</c:formatCode>
                <c:ptCount val="6"/>
                <c:pt idx="0">
                  <c:v>297.25</c:v>
                </c:pt>
                <c:pt idx="1">
                  <c:v>126.5</c:v>
                </c:pt>
                <c:pt idx="2">
                  <c:v>159.58333333333334</c:v>
                </c:pt>
                <c:pt idx="3">
                  <c:v>72.916666666666671</c:v>
                </c:pt>
                <c:pt idx="4">
                  <c:v>61.583333333333336</c:v>
                </c:pt>
                <c:pt idx="5">
                  <c:v>33.416666666666671</c:v>
                </c:pt>
              </c:numCache>
            </c:numRef>
          </c:val>
          <c:extLst>
            <c:ext xmlns:c16="http://schemas.microsoft.com/office/drawing/2014/chart" uri="{C3380CC4-5D6E-409C-BE32-E72D297353CC}">
              <c16:uniqueId val="{00000003-3E86-478D-873F-EDA8721AA17B}"/>
            </c:ext>
          </c:extLst>
        </c:ser>
        <c:ser>
          <c:idx val="7"/>
          <c:order val="4"/>
          <c:tx>
            <c:strRef>
              <c:f>'Nezapos. mladi staž'!$A$12</c:f>
              <c:strCache>
                <c:ptCount val="1"/>
                <c:pt idx="0">
                  <c:v>2019.</c:v>
                </c:pt>
              </c:strCache>
            </c:strRef>
          </c:tx>
          <c:spPr>
            <a:solidFill>
              <a:schemeClr val="accent2">
                <a:lumMod val="60000"/>
              </a:schemeClr>
            </a:solidFill>
            <a:ln>
              <a:noFill/>
            </a:ln>
            <a:effectLst/>
          </c:spPr>
          <c:invertIfNegative val="0"/>
          <c:cat>
            <c:strRef>
              <c:f>'Nezapos. mladi staž'!$B$4:$G$4</c:f>
              <c:strCache>
                <c:ptCount val="6"/>
                <c:pt idx="0">
                  <c:v>Bez staža</c:v>
                </c:pt>
                <c:pt idx="1">
                  <c:v>Do 1 godine</c:v>
                </c:pt>
                <c:pt idx="2">
                  <c:v>1 - 2 godine</c:v>
                </c:pt>
                <c:pt idx="3">
                  <c:v>2 - 3 godine</c:v>
                </c:pt>
                <c:pt idx="4">
                  <c:v>3 - 5 godina</c:v>
                </c:pt>
                <c:pt idx="5">
                  <c:v>5 - 10 godina</c:v>
                </c:pt>
              </c:strCache>
            </c:strRef>
          </c:cat>
          <c:val>
            <c:numRef>
              <c:f>'Nezapos. mladi staž'!$B$12:$G$12</c:f>
              <c:numCache>
                <c:formatCode>0</c:formatCode>
                <c:ptCount val="6"/>
                <c:pt idx="0">
                  <c:v>244.66666666666666</c:v>
                </c:pt>
                <c:pt idx="1">
                  <c:v>94.750000000000014</c:v>
                </c:pt>
                <c:pt idx="2">
                  <c:v>143.08333333333334</c:v>
                </c:pt>
                <c:pt idx="3">
                  <c:v>77.083333333333343</c:v>
                </c:pt>
                <c:pt idx="4">
                  <c:v>57.416666666666671</c:v>
                </c:pt>
                <c:pt idx="5">
                  <c:v>31.833333333333332</c:v>
                </c:pt>
              </c:numCache>
            </c:numRef>
          </c:val>
          <c:extLst>
            <c:ext xmlns:c16="http://schemas.microsoft.com/office/drawing/2014/chart" uri="{C3380CC4-5D6E-409C-BE32-E72D297353CC}">
              <c16:uniqueId val="{00000004-3E86-478D-873F-EDA8721AA17B}"/>
            </c:ext>
          </c:extLst>
        </c:ser>
        <c:ser>
          <c:idx val="8"/>
          <c:order val="5"/>
          <c:tx>
            <c:strRef>
              <c:f>'Nezapos. mladi staž'!$A$13</c:f>
              <c:strCache>
                <c:ptCount val="1"/>
                <c:pt idx="0">
                  <c:v>2020.</c:v>
                </c:pt>
              </c:strCache>
            </c:strRef>
          </c:tx>
          <c:spPr>
            <a:solidFill>
              <a:schemeClr val="accent3">
                <a:lumMod val="60000"/>
              </a:schemeClr>
            </a:solidFill>
            <a:ln>
              <a:noFill/>
            </a:ln>
            <a:effectLst/>
          </c:spPr>
          <c:invertIfNegative val="0"/>
          <c:cat>
            <c:strRef>
              <c:f>'Nezapos. mladi staž'!$B$4:$G$4</c:f>
              <c:strCache>
                <c:ptCount val="6"/>
                <c:pt idx="0">
                  <c:v>Bez staža</c:v>
                </c:pt>
                <c:pt idx="1">
                  <c:v>Do 1 godine</c:v>
                </c:pt>
                <c:pt idx="2">
                  <c:v>1 - 2 godine</c:v>
                </c:pt>
                <c:pt idx="3">
                  <c:v>2 - 3 godine</c:v>
                </c:pt>
                <c:pt idx="4">
                  <c:v>3 - 5 godina</c:v>
                </c:pt>
                <c:pt idx="5">
                  <c:v>5 - 10 godina</c:v>
                </c:pt>
              </c:strCache>
            </c:strRef>
          </c:cat>
          <c:val>
            <c:numRef>
              <c:f>'Nezapos. mladi staž'!$B$13:$G$13</c:f>
              <c:numCache>
                <c:formatCode>0</c:formatCode>
                <c:ptCount val="6"/>
                <c:pt idx="0">
                  <c:v>281</c:v>
                </c:pt>
                <c:pt idx="1">
                  <c:v>126.72727272727272</c:v>
                </c:pt>
                <c:pt idx="2">
                  <c:v>169</c:v>
                </c:pt>
                <c:pt idx="3">
                  <c:v>81</c:v>
                </c:pt>
                <c:pt idx="4">
                  <c:v>94</c:v>
                </c:pt>
                <c:pt idx="5">
                  <c:v>65</c:v>
                </c:pt>
              </c:numCache>
            </c:numRef>
          </c:val>
          <c:extLst>
            <c:ext xmlns:c16="http://schemas.microsoft.com/office/drawing/2014/chart" uri="{C3380CC4-5D6E-409C-BE32-E72D297353CC}">
              <c16:uniqueId val="{00000005-3E86-478D-873F-EDA8721AA17B}"/>
            </c:ext>
          </c:extLst>
        </c:ser>
        <c:dLbls>
          <c:showLegendKey val="0"/>
          <c:showVal val="0"/>
          <c:showCatName val="0"/>
          <c:showSerName val="0"/>
          <c:showPercent val="0"/>
          <c:showBubbleSize val="0"/>
        </c:dLbls>
        <c:gapWidth val="219"/>
        <c:overlap val="-27"/>
        <c:axId val="863154816"/>
        <c:axId val="1"/>
      </c:barChart>
      <c:catAx>
        <c:axId val="8631548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Newslab Light" panose="02000000000000000000" pitchFamily="50" charset="0"/>
                <a:ea typeface="Calibri"/>
                <a:cs typeface="Calibri"/>
              </a:defRPr>
            </a:pPr>
            <a:endParaRPr lang="sr-Latn-R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0" vert="horz"/>
          <a:lstStyle/>
          <a:p>
            <a:pPr>
              <a:defRPr sz="900" b="0" i="0" u="none" strike="noStrike" baseline="0">
                <a:solidFill>
                  <a:srgbClr val="333333"/>
                </a:solidFill>
                <a:latin typeface="Calibri"/>
                <a:ea typeface="Calibri"/>
                <a:cs typeface="Calibri"/>
              </a:defRPr>
            </a:pPr>
            <a:endParaRPr lang="sr-Latn-RS"/>
          </a:p>
        </c:txPr>
        <c:crossAx val="863154816"/>
        <c:crosses val="autoZero"/>
        <c:crossBetween val="between"/>
      </c:valAx>
      <c:spPr>
        <a:noFill/>
        <a:ln w="25400">
          <a:noFill/>
        </a:ln>
      </c:spPr>
    </c:plotArea>
    <c:legend>
      <c:legendPos val="b"/>
      <c:overlay val="0"/>
      <c:spPr>
        <a:noFill/>
        <a:ln>
          <a:noFill/>
        </a:ln>
        <a:effectLst/>
      </c:spPr>
      <c:txPr>
        <a:bodyPr/>
        <a:lstStyle/>
        <a:p>
          <a:pPr>
            <a:defRPr sz="825" b="0" i="0" u="none" strike="noStrike" baseline="0">
              <a:solidFill>
                <a:srgbClr val="333333"/>
              </a:solidFill>
              <a:latin typeface="Newslab Light" panose="02000000000000000000" pitchFamily="50" charset="0"/>
              <a:ea typeface="Calibri"/>
              <a:cs typeface="Calibri"/>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b="0" i="0" u="none" strike="noStrike" baseline="0">
          <a:solidFill>
            <a:srgbClr val="000000"/>
          </a:solidFill>
          <a:latin typeface="Calibri"/>
          <a:ea typeface="Calibri"/>
          <a:cs typeface="Calibri"/>
        </a:defRPr>
      </a:pPr>
      <a:endParaRPr lang="sr-Latn-R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7961133126333062E-2"/>
          <c:y val="4.9019607843137254E-2"/>
          <c:w val="0.92415727445833973"/>
          <c:h val="0.61936642946369669"/>
        </c:manualLayout>
      </c:layout>
      <c:barChart>
        <c:barDir val="col"/>
        <c:grouping val="clustered"/>
        <c:varyColors val="0"/>
        <c:ser>
          <c:idx val="0"/>
          <c:order val="0"/>
          <c:tx>
            <c:v>2019</c:v>
          </c:tx>
          <c:spPr>
            <a:solidFill>
              <a:schemeClr val="accent1"/>
            </a:solidFill>
            <a:ln>
              <a:noFill/>
            </a:ln>
            <a:effectLst/>
          </c:spPr>
          <c:invertIfNegative val="0"/>
          <c:cat>
            <c:strRef>
              <c:f>Grafikon!$A$1:$A$27</c:f>
              <c:strCache>
                <c:ptCount val="27"/>
                <c:pt idx="0">
                  <c:v>Austrija</c:v>
                </c:pt>
                <c:pt idx="1">
                  <c:v>Belgija</c:v>
                </c:pt>
                <c:pt idx="2">
                  <c:v>Bugarska</c:v>
                </c:pt>
                <c:pt idx="3">
                  <c:v>Cipar</c:v>
                </c:pt>
                <c:pt idx="4">
                  <c:v>Češka</c:v>
                </c:pt>
                <c:pt idx="5">
                  <c:v>Danska</c:v>
                </c:pt>
                <c:pt idx="6">
                  <c:v>Estonija</c:v>
                </c:pt>
                <c:pt idx="7">
                  <c:v>Finska</c:v>
                </c:pt>
                <c:pt idx="8">
                  <c:v>Francuska</c:v>
                </c:pt>
                <c:pt idx="9">
                  <c:v>Grčka</c:v>
                </c:pt>
                <c:pt idx="10">
                  <c:v>Hrvatska</c:v>
                </c:pt>
                <c:pt idx="11">
                  <c:v>Irska</c:v>
                </c:pt>
                <c:pt idx="12">
                  <c:v>Italija</c:v>
                </c:pt>
                <c:pt idx="13">
                  <c:v>Latvija</c:v>
                </c:pt>
                <c:pt idx="14">
                  <c:v>Litva</c:v>
                </c:pt>
                <c:pt idx="15">
                  <c:v>Luksemburg</c:v>
                </c:pt>
                <c:pt idx="16">
                  <c:v>Mađarska</c:v>
                </c:pt>
                <c:pt idx="17">
                  <c:v>Malta</c:v>
                </c:pt>
                <c:pt idx="18">
                  <c:v>Nizozemska</c:v>
                </c:pt>
                <c:pt idx="19">
                  <c:v>Njemačka</c:v>
                </c:pt>
                <c:pt idx="20">
                  <c:v>Poljska</c:v>
                </c:pt>
                <c:pt idx="21">
                  <c:v>Portugal</c:v>
                </c:pt>
                <c:pt idx="22">
                  <c:v>Rumunjska</c:v>
                </c:pt>
                <c:pt idx="23">
                  <c:v>Slovačka</c:v>
                </c:pt>
                <c:pt idx="24">
                  <c:v>Slovenija</c:v>
                </c:pt>
                <c:pt idx="25">
                  <c:v>Španjolska</c:v>
                </c:pt>
                <c:pt idx="26">
                  <c:v>Švedska</c:v>
                </c:pt>
              </c:strCache>
            </c:strRef>
          </c:cat>
          <c:val>
            <c:numRef>
              <c:f>Grafikon!$B$1:$B$27</c:f>
              <c:numCache>
                <c:formatCode>#,##0.##########</c:formatCode>
                <c:ptCount val="27"/>
                <c:pt idx="0">
                  <c:v>8.3000000000000007</c:v>
                </c:pt>
                <c:pt idx="1">
                  <c:v>11.8</c:v>
                </c:pt>
                <c:pt idx="2">
                  <c:v>16.7</c:v>
                </c:pt>
                <c:pt idx="3">
                  <c:v>14.1</c:v>
                </c:pt>
                <c:pt idx="4">
                  <c:v>9.8000000000000007</c:v>
                </c:pt>
                <c:pt idx="5">
                  <c:v>9.6</c:v>
                </c:pt>
                <c:pt idx="6">
                  <c:v>9.8000000000000007</c:v>
                </c:pt>
                <c:pt idx="7">
                  <c:v>9.5</c:v>
                </c:pt>
                <c:pt idx="8">
                  <c:v>12.9</c:v>
                </c:pt>
                <c:pt idx="9">
                  <c:v>17.7</c:v>
                </c:pt>
                <c:pt idx="10">
                  <c:v>14.2</c:v>
                </c:pt>
                <c:pt idx="11">
                  <c:v>11.4</c:v>
                </c:pt>
                <c:pt idx="12">
                  <c:v>22.1</c:v>
                </c:pt>
                <c:pt idx="13">
                  <c:v>10.3</c:v>
                </c:pt>
                <c:pt idx="14">
                  <c:v>10.9</c:v>
                </c:pt>
                <c:pt idx="15">
                  <c:v>6.5</c:v>
                </c:pt>
                <c:pt idx="16">
                  <c:v>13.2</c:v>
                </c:pt>
                <c:pt idx="17">
                  <c:v>7.9</c:v>
                </c:pt>
                <c:pt idx="18">
                  <c:v>5.7</c:v>
                </c:pt>
                <c:pt idx="19">
                  <c:v>7.6</c:v>
                </c:pt>
                <c:pt idx="20" formatCode="#,##0">
                  <c:v>12</c:v>
                </c:pt>
                <c:pt idx="21">
                  <c:v>9.1999999999999993</c:v>
                </c:pt>
                <c:pt idx="22">
                  <c:v>16.8</c:v>
                </c:pt>
                <c:pt idx="23">
                  <c:v>14.5</c:v>
                </c:pt>
                <c:pt idx="24">
                  <c:v>8.8000000000000007</c:v>
                </c:pt>
                <c:pt idx="25">
                  <c:v>14.9</c:v>
                </c:pt>
                <c:pt idx="26">
                  <c:v>6.3</c:v>
                </c:pt>
              </c:numCache>
            </c:numRef>
          </c:val>
          <c:extLst>
            <c:ext xmlns:c16="http://schemas.microsoft.com/office/drawing/2014/chart" uri="{C3380CC4-5D6E-409C-BE32-E72D297353CC}">
              <c16:uniqueId val="{00000000-D5EA-4C0A-B209-DF2B7832D55A}"/>
            </c:ext>
          </c:extLst>
        </c:ser>
        <c:dLbls>
          <c:showLegendKey val="0"/>
          <c:showVal val="0"/>
          <c:showCatName val="0"/>
          <c:showSerName val="0"/>
          <c:showPercent val="0"/>
          <c:showBubbleSize val="0"/>
        </c:dLbls>
        <c:gapWidth val="219"/>
        <c:axId val="105012672"/>
        <c:axId val="105013088"/>
      </c:barChart>
      <c:lineChart>
        <c:grouping val="standard"/>
        <c:varyColors val="0"/>
        <c:ser>
          <c:idx val="1"/>
          <c:order val="1"/>
          <c:tx>
            <c:v>EU (27) 2019.</c:v>
          </c:tx>
          <c:spPr>
            <a:ln w="28575" cap="rnd">
              <a:solidFill>
                <a:schemeClr val="accent2"/>
              </a:solidFill>
              <a:round/>
            </a:ln>
            <a:effectLst/>
          </c:spPr>
          <c:marker>
            <c:symbol val="none"/>
          </c:marker>
          <c:dPt>
            <c:idx val="0"/>
            <c:marker>
              <c:symbol val="none"/>
            </c:marker>
            <c:bubble3D val="0"/>
            <c:spPr>
              <a:ln w="28575" cap="rnd">
                <a:solidFill>
                  <a:schemeClr val="accent2"/>
                </a:solidFill>
                <a:round/>
              </a:ln>
              <a:effectLst/>
            </c:spPr>
            <c:extLst>
              <c:ext xmlns:c16="http://schemas.microsoft.com/office/drawing/2014/chart" uri="{C3380CC4-5D6E-409C-BE32-E72D297353CC}">
                <c16:uniqueId val="{00000002-D5EA-4C0A-B209-DF2B7832D55A}"/>
              </c:ext>
            </c:extLst>
          </c:dPt>
          <c:val>
            <c:numRef>
              <c:f>Grafikon!$C$1:$C$27</c:f>
              <c:numCache>
                <c:formatCode>#,##0.##########</c:formatCode>
                <c:ptCount val="27"/>
                <c:pt idx="0">
                  <c:v>12.5</c:v>
                </c:pt>
                <c:pt idx="1">
                  <c:v>12.5</c:v>
                </c:pt>
                <c:pt idx="2">
                  <c:v>12.5</c:v>
                </c:pt>
                <c:pt idx="3">
                  <c:v>12.5</c:v>
                </c:pt>
                <c:pt idx="4">
                  <c:v>12.5</c:v>
                </c:pt>
                <c:pt idx="5">
                  <c:v>12.5</c:v>
                </c:pt>
                <c:pt idx="6">
                  <c:v>12.5</c:v>
                </c:pt>
                <c:pt idx="7">
                  <c:v>12.5</c:v>
                </c:pt>
                <c:pt idx="8">
                  <c:v>12.5</c:v>
                </c:pt>
                <c:pt idx="9">
                  <c:v>12.5</c:v>
                </c:pt>
                <c:pt idx="10">
                  <c:v>12.5</c:v>
                </c:pt>
                <c:pt idx="11">
                  <c:v>12.5</c:v>
                </c:pt>
                <c:pt idx="12">
                  <c:v>12.5</c:v>
                </c:pt>
                <c:pt idx="13">
                  <c:v>12.5</c:v>
                </c:pt>
                <c:pt idx="14">
                  <c:v>12.5</c:v>
                </c:pt>
                <c:pt idx="15">
                  <c:v>12.5</c:v>
                </c:pt>
                <c:pt idx="16">
                  <c:v>12.5</c:v>
                </c:pt>
                <c:pt idx="17">
                  <c:v>12.5</c:v>
                </c:pt>
                <c:pt idx="18">
                  <c:v>12.5</c:v>
                </c:pt>
                <c:pt idx="19">
                  <c:v>12.5</c:v>
                </c:pt>
                <c:pt idx="20">
                  <c:v>12.5</c:v>
                </c:pt>
                <c:pt idx="21">
                  <c:v>12.5</c:v>
                </c:pt>
                <c:pt idx="22">
                  <c:v>12.5</c:v>
                </c:pt>
                <c:pt idx="23">
                  <c:v>12.5</c:v>
                </c:pt>
                <c:pt idx="24">
                  <c:v>12.5</c:v>
                </c:pt>
                <c:pt idx="25">
                  <c:v>12.5</c:v>
                </c:pt>
                <c:pt idx="26">
                  <c:v>12.5</c:v>
                </c:pt>
              </c:numCache>
            </c:numRef>
          </c:val>
          <c:smooth val="0"/>
          <c:extLst>
            <c:ext xmlns:c16="http://schemas.microsoft.com/office/drawing/2014/chart" uri="{C3380CC4-5D6E-409C-BE32-E72D297353CC}">
              <c16:uniqueId val="{00000003-D5EA-4C0A-B209-DF2B7832D55A}"/>
            </c:ext>
          </c:extLst>
        </c:ser>
        <c:dLbls>
          <c:showLegendKey val="0"/>
          <c:showVal val="0"/>
          <c:showCatName val="0"/>
          <c:showSerName val="0"/>
          <c:showPercent val="0"/>
          <c:showBubbleSize val="0"/>
        </c:dLbls>
        <c:marker val="1"/>
        <c:smooth val="0"/>
        <c:axId val="105012672"/>
        <c:axId val="105013088"/>
      </c:lineChart>
      <c:catAx>
        <c:axId val="105012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5013088"/>
        <c:crosses val="autoZero"/>
        <c:auto val="1"/>
        <c:lblAlgn val="ctr"/>
        <c:lblOffset val="100"/>
        <c:noMultiLvlLbl val="0"/>
      </c:catAx>
      <c:valAx>
        <c:axId val="1050130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5012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'Nezaposleni po spolu'!$C$4</c:f>
              <c:strCache>
                <c:ptCount val="1"/>
                <c:pt idx="0">
                  <c:v>Muškarci</c:v>
                </c:pt>
              </c:strCache>
            </c:strRef>
          </c:tx>
          <c:spPr>
            <a:solidFill>
              <a:schemeClr val="accent1"/>
            </a:solidFill>
            <a:ln>
              <a:noFill/>
            </a:ln>
            <a:effectLst/>
          </c:spPr>
          <c:invertIfNegative val="0"/>
          <c:cat>
            <c:strRef>
              <c:f>'Nezaposleni po spolu'!$B$5:$B$10</c:f>
              <c:strCache>
                <c:ptCount val="6"/>
                <c:pt idx="0">
                  <c:v>2015.</c:v>
                </c:pt>
                <c:pt idx="1">
                  <c:v>2016.</c:v>
                </c:pt>
                <c:pt idx="2">
                  <c:v>2017.</c:v>
                </c:pt>
                <c:pt idx="3">
                  <c:v>2018.</c:v>
                </c:pt>
                <c:pt idx="4">
                  <c:v>2019.</c:v>
                </c:pt>
                <c:pt idx="5">
                  <c:v>2020.</c:v>
                </c:pt>
              </c:strCache>
            </c:strRef>
          </c:cat>
          <c:val>
            <c:numRef>
              <c:f>'Nezaposleni po spolu'!$C$5:$C$10</c:f>
              <c:numCache>
                <c:formatCode>0</c:formatCode>
                <c:ptCount val="6"/>
                <c:pt idx="0">
                  <c:v>3360.75</c:v>
                </c:pt>
                <c:pt idx="1">
                  <c:v>2407</c:v>
                </c:pt>
                <c:pt idx="2">
                  <c:v>1632.75</c:v>
                </c:pt>
                <c:pt idx="3">
                  <c:v>1293.3333333333333</c:v>
                </c:pt>
                <c:pt idx="4">
                  <c:v>1126.3333333333333</c:v>
                </c:pt>
                <c:pt idx="5">
                  <c:v>1244</c:v>
                </c:pt>
              </c:numCache>
            </c:numRef>
          </c:val>
          <c:extLst>
            <c:ext xmlns:c16="http://schemas.microsoft.com/office/drawing/2014/chart" uri="{C3380CC4-5D6E-409C-BE32-E72D297353CC}">
              <c16:uniqueId val="{00000000-66C9-40DE-80EE-B473867BF878}"/>
            </c:ext>
          </c:extLst>
        </c:ser>
        <c:ser>
          <c:idx val="1"/>
          <c:order val="1"/>
          <c:tx>
            <c:strRef>
              <c:f>'Nezaposleni po spolu'!$D$4</c:f>
              <c:strCache>
                <c:ptCount val="1"/>
                <c:pt idx="0">
                  <c:v>Žene</c:v>
                </c:pt>
              </c:strCache>
            </c:strRef>
          </c:tx>
          <c:spPr>
            <a:solidFill>
              <a:schemeClr val="accent2"/>
            </a:solidFill>
            <a:ln>
              <a:noFill/>
            </a:ln>
            <a:effectLst/>
          </c:spPr>
          <c:invertIfNegative val="0"/>
          <c:cat>
            <c:strRef>
              <c:f>'Nezaposleni po spolu'!$B$5:$B$10</c:f>
              <c:strCache>
                <c:ptCount val="6"/>
                <c:pt idx="0">
                  <c:v>2015.</c:v>
                </c:pt>
                <c:pt idx="1">
                  <c:v>2016.</c:v>
                </c:pt>
                <c:pt idx="2">
                  <c:v>2017.</c:v>
                </c:pt>
                <c:pt idx="3">
                  <c:v>2018.</c:v>
                </c:pt>
                <c:pt idx="4">
                  <c:v>2019.</c:v>
                </c:pt>
                <c:pt idx="5">
                  <c:v>2020.</c:v>
                </c:pt>
              </c:strCache>
            </c:strRef>
          </c:cat>
          <c:val>
            <c:numRef>
              <c:f>'Nezaposleni po spolu'!$D$5:$D$10</c:f>
              <c:numCache>
                <c:formatCode>0</c:formatCode>
                <c:ptCount val="6"/>
                <c:pt idx="0">
                  <c:v>3287.6666666666665</c:v>
                </c:pt>
                <c:pt idx="1">
                  <c:v>2760.75</c:v>
                </c:pt>
                <c:pt idx="2">
                  <c:v>2056.5833333333335</c:v>
                </c:pt>
                <c:pt idx="3">
                  <c:v>1495.5</c:v>
                </c:pt>
                <c:pt idx="4">
                  <c:v>1196</c:v>
                </c:pt>
                <c:pt idx="5">
                  <c:v>1425</c:v>
                </c:pt>
              </c:numCache>
            </c:numRef>
          </c:val>
          <c:extLst>
            <c:ext xmlns:c16="http://schemas.microsoft.com/office/drawing/2014/chart" uri="{C3380CC4-5D6E-409C-BE32-E72D297353CC}">
              <c16:uniqueId val="{00000001-66C9-40DE-80EE-B473867BF878}"/>
            </c:ext>
          </c:extLst>
        </c:ser>
        <c:dLbls>
          <c:showLegendKey val="0"/>
          <c:showVal val="0"/>
          <c:showCatName val="0"/>
          <c:showSerName val="0"/>
          <c:showPercent val="0"/>
          <c:showBubbleSize val="0"/>
        </c:dLbls>
        <c:gapWidth val="150"/>
        <c:overlap val="100"/>
        <c:axId val="873232896"/>
        <c:axId val="1"/>
      </c:barChart>
      <c:catAx>
        <c:axId val="873232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73232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'Dugotrajno nezaposleni'!$C$4</c:f>
              <c:strCache>
                <c:ptCount val="1"/>
                <c:pt idx="0">
                  <c:v>0 - 3 mj.</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'Dugotrajno nezaposleni'!$B$5:$B$10</c:f>
              <c:strCache>
                <c:ptCount val="6"/>
                <c:pt idx="0">
                  <c:v>2015.</c:v>
                </c:pt>
                <c:pt idx="1">
                  <c:v>2016.</c:v>
                </c:pt>
                <c:pt idx="2">
                  <c:v>2017.</c:v>
                </c:pt>
                <c:pt idx="3">
                  <c:v>2018.</c:v>
                </c:pt>
                <c:pt idx="4">
                  <c:v>2019.</c:v>
                </c:pt>
                <c:pt idx="5">
                  <c:v>2020.</c:v>
                </c:pt>
              </c:strCache>
            </c:strRef>
          </c:cat>
          <c:val>
            <c:numRef>
              <c:f>'Dugotrajno nezaposleni'!$C$5:$C$10</c:f>
              <c:numCache>
                <c:formatCode>0</c:formatCode>
                <c:ptCount val="6"/>
                <c:pt idx="0">
                  <c:v>1529.25</c:v>
                </c:pt>
                <c:pt idx="1">
                  <c:v>1250.1666666666667</c:v>
                </c:pt>
                <c:pt idx="2">
                  <c:v>1068.75</c:v>
                </c:pt>
                <c:pt idx="3">
                  <c:v>868.08333333333326</c:v>
                </c:pt>
                <c:pt idx="4">
                  <c:v>752</c:v>
                </c:pt>
                <c:pt idx="5">
                  <c:v>873.5454545454545</c:v>
                </c:pt>
              </c:numCache>
            </c:numRef>
          </c:val>
          <c:extLst>
            <c:ext xmlns:c16="http://schemas.microsoft.com/office/drawing/2014/chart" uri="{C3380CC4-5D6E-409C-BE32-E72D297353CC}">
              <c16:uniqueId val="{00000000-AC62-4516-BB77-D449F16260B0}"/>
            </c:ext>
          </c:extLst>
        </c:ser>
        <c:ser>
          <c:idx val="1"/>
          <c:order val="1"/>
          <c:tx>
            <c:strRef>
              <c:f>'Dugotrajno nezaposleni'!$D$4</c:f>
              <c:strCache>
                <c:ptCount val="1"/>
                <c:pt idx="0">
                  <c:v>3 - 6 mj.</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'Dugotrajno nezaposleni'!$B$5:$B$10</c:f>
              <c:strCache>
                <c:ptCount val="6"/>
                <c:pt idx="0">
                  <c:v>2015.</c:v>
                </c:pt>
                <c:pt idx="1">
                  <c:v>2016.</c:v>
                </c:pt>
                <c:pt idx="2">
                  <c:v>2017.</c:v>
                </c:pt>
                <c:pt idx="3">
                  <c:v>2018.</c:v>
                </c:pt>
                <c:pt idx="4">
                  <c:v>2019.</c:v>
                </c:pt>
                <c:pt idx="5">
                  <c:v>2020.</c:v>
                </c:pt>
              </c:strCache>
            </c:strRef>
          </c:cat>
          <c:val>
            <c:numRef>
              <c:f>'Dugotrajno nezaposleni'!$D$5:$D$10</c:f>
              <c:numCache>
                <c:formatCode>0</c:formatCode>
                <c:ptCount val="6"/>
                <c:pt idx="0">
                  <c:v>884.66666666666674</c:v>
                </c:pt>
                <c:pt idx="1">
                  <c:v>707.66666666666663</c:v>
                </c:pt>
                <c:pt idx="2">
                  <c:v>520.83333333333337</c:v>
                </c:pt>
                <c:pt idx="3">
                  <c:v>409.58333333333337</c:v>
                </c:pt>
                <c:pt idx="4">
                  <c:v>353.16666666666663</c:v>
                </c:pt>
                <c:pt idx="5">
                  <c:v>445</c:v>
                </c:pt>
              </c:numCache>
            </c:numRef>
          </c:val>
          <c:extLst>
            <c:ext xmlns:c16="http://schemas.microsoft.com/office/drawing/2014/chart" uri="{C3380CC4-5D6E-409C-BE32-E72D297353CC}">
              <c16:uniqueId val="{00000001-AC62-4516-BB77-D449F16260B0}"/>
            </c:ext>
          </c:extLst>
        </c:ser>
        <c:ser>
          <c:idx val="2"/>
          <c:order val="2"/>
          <c:tx>
            <c:strRef>
              <c:f>'Dugotrajno nezaposleni'!$E$4</c:f>
              <c:strCache>
                <c:ptCount val="1"/>
                <c:pt idx="0">
                  <c:v>6 - 9 mj.</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Newslab Light" panose="02000000000000000000" pitchFamily="50" charset="0"/>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'Dugotrajno nezaposleni'!$B$5:$B$10</c:f>
              <c:strCache>
                <c:ptCount val="6"/>
                <c:pt idx="0">
                  <c:v>2015.</c:v>
                </c:pt>
                <c:pt idx="1">
                  <c:v>2016.</c:v>
                </c:pt>
                <c:pt idx="2">
                  <c:v>2017.</c:v>
                </c:pt>
                <c:pt idx="3">
                  <c:v>2018.</c:v>
                </c:pt>
                <c:pt idx="4">
                  <c:v>2019.</c:v>
                </c:pt>
                <c:pt idx="5">
                  <c:v>2020.</c:v>
                </c:pt>
              </c:strCache>
            </c:strRef>
          </c:cat>
          <c:val>
            <c:numRef>
              <c:f>'Dugotrajno nezaposleni'!$E$5:$E$10</c:f>
              <c:numCache>
                <c:formatCode>0</c:formatCode>
                <c:ptCount val="6"/>
                <c:pt idx="0">
                  <c:v>576.58333333333326</c:v>
                </c:pt>
                <c:pt idx="1">
                  <c:v>444.08333333333337</c:v>
                </c:pt>
                <c:pt idx="2">
                  <c:v>302.08333333333331</c:v>
                </c:pt>
                <c:pt idx="3">
                  <c:v>220.66666666666666</c:v>
                </c:pt>
                <c:pt idx="4">
                  <c:v>203.83333333333334</c:v>
                </c:pt>
                <c:pt idx="5">
                  <c:v>262</c:v>
                </c:pt>
              </c:numCache>
            </c:numRef>
          </c:val>
          <c:extLst>
            <c:ext xmlns:c16="http://schemas.microsoft.com/office/drawing/2014/chart" uri="{C3380CC4-5D6E-409C-BE32-E72D297353CC}">
              <c16:uniqueId val="{00000002-AC62-4516-BB77-D449F16260B0}"/>
            </c:ext>
          </c:extLst>
        </c:ser>
        <c:ser>
          <c:idx val="3"/>
          <c:order val="3"/>
          <c:tx>
            <c:strRef>
              <c:f>'Dugotrajno nezaposleni'!$F$4</c:f>
              <c:strCache>
                <c:ptCount val="1"/>
                <c:pt idx="0">
                  <c:v>9 - 12 mj.</c:v>
                </c:pt>
              </c:strCache>
            </c:strRef>
          </c:tx>
          <c:spPr>
            <a:solidFill>
              <a:schemeClr val="accent4"/>
            </a:solidFill>
            <a:ln>
              <a:noFill/>
            </a:ln>
            <a:effectLst/>
          </c:spPr>
          <c:invertIfNegative val="0"/>
          <c:dLbls>
            <c:dLbl>
              <c:idx val="2"/>
              <c:layout>
                <c:manualLayout>
                  <c:x val="3.6597598151793524E-2"/>
                  <c:y val="-1.57097302882388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C62-4516-BB77-D449F16260B0}"/>
                </c:ext>
              </c:extLst>
            </c:dLbl>
            <c:dLbl>
              <c:idx val="3"/>
              <c:layout>
                <c:manualLayout>
                  <c:x val="3.8753725120297462E-2"/>
                  <c:y val="-1.885369532428348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C62-4516-BB77-D449F16260B0}"/>
                </c:ext>
              </c:extLst>
            </c:dLbl>
            <c:dLbl>
              <c:idx val="4"/>
              <c:layout>
                <c:manualLayout>
                  <c:x val="4.0951887849956257E-2"/>
                  <c:y val="-7.541478129713423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C62-4516-BB77-D449F16260B0}"/>
                </c:ext>
              </c:extLst>
            </c:dLbl>
            <c:dLbl>
              <c:idx val="5"/>
              <c:layout>
                <c:manualLayout>
                  <c:x val="4.3079990977690288E-2"/>
                  <c:y val="-3.770739064856780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C62-4516-BB77-D449F16260B0}"/>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'Dugotrajno nezaposleni'!$B$5:$B$10</c:f>
              <c:strCache>
                <c:ptCount val="6"/>
                <c:pt idx="0">
                  <c:v>2015.</c:v>
                </c:pt>
                <c:pt idx="1">
                  <c:v>2016.</c:v>
                </c:pt>
                <c:pt idx="2">
                  <c:v>2017.</c:v>
                </c:pt>
                <c:pt idx="3">
                  <c:v>2018.</c:v>
                </c:pt>
                <c:pt idx="4">
                  <c:v>2019.</c:v>
                </c:pt>
                <c:pt idx="5">
                  <c:v>2020.</c:v>
                </c:pt>
              </c:strCache>
            </c:strRef>
          </c:cat>
          <c:val>
            <c:numRef>
              <c:f>'Dugotrajno nezaposleni'!$F$5:$F$10</c:f>
              <c:numCache>
                <c:formatCode>0</c:formatCode>
                <c:ptCount val="6"/>
                <c:pt idx="0">
                  <c:v>419.75</c:v>
                </c:pt>
                <c:pt idx="1">
                  <c:v>330.66666666666663</c:v>
                </c:pt>
                <c:pt idx="2">
                  <c:v>207.25</c:v>
                </c:pt>
                <c:pt idx="3">
                  <c:v>158.66666666666666</c:v>
                </c:pt>
                <c:pt idx="4">
                  <c:v>127.91666666666667</c:v>
                </c:pt>
                <c:pt idx="5">
                  <c:v>179</c:v>
                </c:pt>
              </c:numCache>
            </c:numRef>
          </c:val>
          <c:extLst>
            <c:ext xmlns:c16="http://schemas.microsoft.com/office/drawing/2014/chart" uri="{C3380CC4-5D6E-409C-BE32-E72D297353CC}">
              <c16:uniqueId val="{00000003-AC62-4516-BB77-D449F16260B0}"/>
            </c:ext>
          </c:extLst>
        </c:ser>
        <c:ser>
          <c:idx val="4"/>
          <c:order val="4"/>
          <c:tx>
            <c:strRef>
              <c:f>'Dugotrajno nezaposleni'!$G$4</c:f>
              <c:strCache>
                <c:ptCount val="1"/>
                <c:pt idx="0">
                  <c:v>1 - 8 godina i više</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Newslab Light" panose="02000000000000000000" pitchFamily="50" charset="0"/>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'Dugotrajno nezaposleni'!$B$5:$B$10</c:f>
              <c:strCache>
                <c:ptCount val="6"/>
                <c:pt idx="0">
                  <c:v>2015.</c:v>
                </c:pt>
                <c:pt idx="1">
                  <c:v>2016.</c:v>
                </c:pt>
                <c:pt idx="2">
                  <c:v>2017.</c:v>
                </c:pt>
                <c:pt idx="3">
                  <c:v>2018.</c:v>
                </c:pt>
                <c:pt idx="4">
                  <c:v>2019.</c:v>
                </c:pt>
                <c:pt idx="5">
                  <c:v>2020.</c:v>
                </c:pt>
              </c:strCache>
            </c:strRef>
          </c:cat>
          <c:val>
            <c:numRef>
              <c:f>'Dugotrajno nezaposleni'!$G$5:$G$10</c:f>
              <c:numCache>
                <c:formatCode>0</c:formatCode>
                <c:ptCount val="6"/>
                <c:pt idx="0">
                  <c:v>3238.166666666667</c:v>
                </c:pt>
                <c:pt idx="1">
                  <c:v>2435.166666666667</c:v>
                </c:pt>
                <c:pt idx="2">
                  <c:v>1590.4166666666665</c:v>
                </c:pt>
                <c:pt idx="3">
                  <c:v>1131.8333333333333</c:v>
                </c:pt>
                <c:pt idx="4">
                  <c:v>885.41666666666674</c:v>
                </c:pt>
                <c:pt idx="5">
                  <c:v>910.41666666666663</c:v>
                </c:pt>
              </c:numCache>
            </c:numRef>
          </c:val>
          <c:extLst>
            <c:ext xmlns:c16="http://schemas.microsoft.com/office/drawing/2014/chart" uri="{C3380CC4-5D6E-409C-BE32-E72D297353CC}">
              <c16:uniqueId val="{00000004-AC62-4516-BB77-D449F16260B0}"/>
            </c:ext>
          </c:extLst>
        </c:ser>
        <c:dLbls>
          <c:dLblPos val="ctr"/>
          <c:showLegendKey val="0"/>
          <c:showVal val="1"/>
          <c:showCatName val="0"/>
          <c:showSerName val="0"/>
          <c:showPercent val="0"/>
          <c:showBubbleSize val="0"/>
        </c:dLbls>
        <c:gapWidth val="150"/>
        <c:overlap val="100"/>
        <c:axId val="1686820015"/>
        <c:axId val="1686816271"/>
      </c:barChart>
      <c:catAx>
        <c:axId val="16868200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1686816271"/>
        <c:crosses val="autoZero"/>
        <c:auto val="1"/>
        <c:lblAlgn val="ctr"/>
        <c:lblOffset val="100"/>
        <c:noMultiLvlLbl val="0"/>
      </c:catAx>
      <c:valAx>
        <c:axId val="168681627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crossAx val="16868200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Light" panose="02000000000000000000" pitchFamily="50" charset="0"/>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'[Potrebni statistički podaci.xlsx]7.4.3.'!$B$52</c:f>
              <c:strCache>
                <c:ptCount val="1"/>
                <c:pt idx="0">
                  <c:v>Kretanje broja stanovnika KZŽ</c:v>
                </c:pt>
              </c:strCache>
            </c:strRef>
          </c:tx>
          <c:spPr>
            <a:ln w="28575" cap="rnd">
              <a:solidFill>
                <a:schemeClr val="accent1"/>
              </a:solidFill>
              <a:round/>
            </a:ln>
            <a:effectLst/>
          </c:spPr>
          <c:marker>
            <c:symbol val="squar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panose="02000000000000000000" pitchFamily="50" charset="0"/>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'[Potrebni statistički podaci.xlsx]7.4.3.'!$C$51:$G$51</c:f>
              <c:numCache>
                <c:formatCode>General</c:formatCode>
                <c:ptCount val="5"/>
                <c:pt idx="0">
                  <c:v>1971</c:v>
                </c:pt>
                <c:pt idx="1">
                  <c:v>1981</c:v>
                </c:pt>
                <c:pt idx="2">
                  <c:v>1991</c:v>
                </c:pt>
                <c:pt idx="3">
                  <c:v>2001</c:v>
                </c:pt>
                <c:pt idx="4">
                  <c:v>2011</c:v>
                </c:pt>
              </c:numCache>
            </c:numRef>
          </c:cat>
          <c:val>
            <c:numRef>
              <c:f>'[Potrebni statistički podaci.xlsx]7.4.3.'!$C$52:$G$52</c:f>
              <c:numCache>
                <c:formatCode>#,##0</c:formatCode>
                <c:ptCount val="5"/>
                <c:pt idx="0">
                  <c:v>161247</c:v>
                </c:pt>
                <c:pt idx="1">
                  <c:v>153567</c:v>
                </c:pt>
                <c:pt idx="2">
                  <c:v>148779</c:v>
                </c:pt>
                <c:pt idx="3">
                  <c:v>142432</c:v>
                </c:pt>
                <c:pt idx="4">
                  <c:v>132892</c:v>
                </c:pt>
              </c:numCache>
            </c:numRef>
          </c:val>
          <c:smooth val="0"/>
          <c:extLst>
            <c:ext xmlns:c16="http://schemas.microsoft.com/office/drawing/2014/chart" uri="{C3380CC4-5D6E-409C-BE32-E72D297353CC}">
              <c16:uniqueId val="{00000000-F700-4A32-96FA-25ABBD783081}"/>
            </c:ext>
          </c:extLst>
        </c:ser>
        <c:dLbls>
          <c:showLegendKey val="0"/>
          <c:showVal val="0"/>
          <c:showCatName val="0"/>
          <c:showSerName val="0"/>
          <c:showPercent val="0"/>
          <c:showBubbleSize val="0"/>
        </c:dLbls>
        <c:marker val="1"/>
        <c:smooth val="0"/>
        <c:axId val="530375040"/>
        <c:axId val="530376576"/>
      </c:lineChart>
      <c:catAx>
        <c:axId val="5303750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30376576"/>
        <c:crosses val="autoZero"/>
        <c:auto val="1"/>
        <c:lblAlgn val="ctr"/>
        <c:lblOffset val="100"/>
        <c:noMultiLvlLbl val="0"/>
      </c:catAx>
      <c:valAx>
        <c:axId val="530376576"/>
        <c:scaling>
          <c:orientation val="minMax"/>
          <c:min val="12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303750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Lokacijski!$A$32</c:f>
              <c:strCache>
                <c:ptCount val="1"/>
                <c:pt idx="0">
                  <c:v>Lokacijski kvocijent</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Newslab" panose="02000000000000000000" pitchFamily="50" charset="0"/>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Lokacijski!$B$31:$T$31</c:f>
              <c:strCache>
                <c:ptCount val="19"/>
                <c:pt idx="0">
                  <c:v>A</c:v>
                </c:pt>
                <c:pt idx="1">
                  <c:v>B</c:v>
                </c:pt>
                <c:pt idx="2">
                  <c:v>C</c:v>
                </c:pt>
                <c:pt idx="3">
                  <c:v>D</c:v>
                </c:pt>
                <c:pt idx="4">
                  <c:v>E</c:v>
                </c:pt>
                <c:pt idx="5">
                  <c:v>F</c:v>
                </c:pt>
                <c:pt idx="6">
                  <c:v>G</c:v>
                </c:pt>
                <c:pt idx="7">
                  <c:v>H</c:v>
                </c:pt>
                <c:pt idx="8">
                  <c:v>I</c:v>
                </c:pt>
                <c:pt idx="9">
                  <c:v>J</c:v>
                </c:pt>
                <c:pt idx="10">
                  <c:v>K</c:v>
                </c:pt>
                <c:pt idx="11">
                  <c:v>L</c:v>
                </c:pt>
                <c:pt idx="12">
                  <c:v>M</c:v>
                </c:pt>
                <c:pt idx="13">
                  <c:v>N</c:v>
                </c:pt>
                <c:pt idx="14">
                  <c:v>O</c:v>
                </c:pt>
                <c:pt idx="15">
                  <c:v>P</c:v>
                </c:pt>
                <c:pt idx="16">
                  <c:v>Q</c:v>
                </c:pt>
                <c:pt idx="17">
                  <c:v>R</c:v>
                </c:pt>
                <c:pt idx="18">
                  <c:v>S</c:v>
                </c:pt>
              </c:strCache>
            </c:strRef>
          </c:cat>
          <c:val>
            <c:numRef>
              <c:f>Lokacijski!$B$32:$T$32</c:f>
              <c:numCache>
                <c:formatCode>0.00</c:formatCode>
                <c:ptCount val="19"/>
                <c:pt idx="0">
                  <c:v>0.28194326593594671</c:v>
                </c:pt>
                <c:pt idx="1">
                  <c:v>1.3973102973412819</c:v>
                </c:pt>
                <c:pt idx="2">
                  <c:v>1.9470252020102976</c:v>
                </c:pt>
                <c:pt idx="3">
                  <c:v>1.1379645841302621</c:v>
                </c:pt>
                <c:pt idx="4">
                  <c:v>1.2855050557063841</c:v>
                </c:pt>
                <c:pt idx="5">
                  <c:v>1.2374873823791637</c:v>
                </c:pt>
                <c:pt idx="6">
                  <c:v>0.86982913074073676</c:v>
                </c:pt>
                <c:pt idx="7">
                  <c:v>0.97135492197803874</c:v>
                </c:pt>
                <c:pt idx="8">
                  <c:v>0.69063841207766952</c:v>
                </c:pt>
                <c:pt idx="9">
                  <c:v>0.28397300110930873</c:v>
                </c:pt>
                <c:pt idx="10">
                  <c:v>0.3954970574384481</c:v>
                </c:pt>
                <c:pt idx="11">
                  <c:v>0.1900528582880375</c:v>
                </c:pt>
                <c:pt idx="12">
                  <c:v>0.49349093633910152</c:v>
                </c:pt>
                <c:pt idx="13">
                  <c:v>0.1209603818481863</c:v>
                </c:pt>
                <c:pt idx="14">
                  <c:v>0.54113148271000999</c:v>
                </c:pt>
                <c:pt idx="15">
                  <c:v>0.94559536234302222</c:v>
                </c:pt>
                <c:pt idx="16">
                  <c:v>1.3266166865537801</c:v>
                </c:pt>
                <c:pt idx="17">
                  <c:v>0.24903280982745066</c:v>
                </c:pt>
                <c:pt idx="18">
                  <c:v>0.78873661181620613</c:v>
                </c:pt>
              </c:numCache>
            </c:numRef>
          </c:val>
          <c:extLst>
            <c:ext xmlns:c16="http://schemas.microsoft.com/office/drawing/2014/chart" uri="{C3380CC4-5D6E-409C-BE32-E72D297353CC}">
              <c16:uniqueId val="{00000000-F7F1-4A87-A799-7CC8D92B8742}"/>
            </c:ext>
          </c:extLst>
        </c:ser>
        <c:dLbls>
          <c:dLblPos val="outEnd"/>
          <c:showLegendKey val="0"/>
          <c:showVal val="1"/>
          <c:showCatName val="0"/>
          <c:showSerName val="0"/>
          <c:showPercent val="0"/>
          <c:showBubbleSize val="0"/>
        </c:dLbls>
        <c:gapWidth val="444"/>
        <c:overlap val="-90"/>
        <c:axId val="502209152"/>
        <c:axId val="502216192"/>
      </c:barChart>
      <c:catAx>
        <c:axId val="5022091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Newslab" panose="02000000000000000000" pitchFamily="50" charset="0"/>
                <a:ea typeface="+mn-ea"/>
                <a:cs typeface="+mn-cs"/>
              </a:defRPr>
            </a:pPr>
            <a:endParaRPr lang="sr-Latn-RS"/>
          </a:p>
        </c:txPr>
        <c:crossAx val="502216192"/>
        <c:crosses val="autoZero"/>
        <c:auto val="1"/>
        <c:lblAlgn val="ctr"/>
        <c:lblOffset val="100"/>
        <c:noMultiLvlLbl val="0"/>
      </c:catAx>
      <c:valAx>
        <c:axId val="502216192"/>
        <c:scaling>
          <c:orientation val="minMax"/>
        </c:scaling>
        <c:delete val="1"/>
        <c:axPos val="l"/>
        <c:numFmt formatCode="0.00" sourceLinked="1"/>
        <c:majorTickMark val="none"/>
        <c:minorTickMark val="none"/>
        <c:tickLblPos val="nextTo"/>
        <c:crossAx val="502209152"/>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latin typeface="Newslab" panose="02000000000000000000" pitchFamily="50" charset="0"/>
        </a:defRPr>
      </a:pPr>
      <a:endParaRPr lang="sr-Latn-RS"/>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059585350613616E-2"/>
          <c:y val="3.8841807909604523E-2"/>
          <c:w val="0.95294041464938639"/>
          <c:h val="0.70394173450776276"/>
        </c:manualLayout>
      </c:layout>
      <c:barChart>
        <c:barDir val="col"/>
        <c:grouping val="clustered"/>
        <c:varyColors val="0"/>
        <c:ser>
          <c:idx val="0"/>
          <c:order val="0"/>
          <c:tx>
            <c:strRef>
              <c:f>'vanjskotrg. partneri izvoz'!$B$6</c:f>
              <c:strCache>
                <c:ptCount val="1"/>
                <c:pt idx="0">
                  <c:v>Slovenija</c:v>
                </c:pt>
              </c:strCache>
            </c:strRef>
          </c:tx>
          <c:spPr>
            <a:solidFill>
              <a:schemeClr val="accent1"/>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izvoz'!$C$6:$M$6</c:f>
              <c:numCache>
                <c:formatCode>General</c:formatCode>
                <c:ptCount val="11"/>
                <c:pt idx="0">
                  <c:v>21.05</c:v>
                </c:pt>
                <c:pt idx="1">
                  <c:v>21.58</c:v>
                </c:pt>
                <c:pt idx="2">
                  <c:v>20.53</c:v>
                </c:pt>
                <c:pt idx="3">
                  <c:v>20.8</c:v>
                </c:pt>
                <c:pt idx="4">
                  <c:v>24</c:v>
                </c:pt>
                <c:pt idx="5">
                  <c:v>22.3</c:v>
                </c:pt>
                <c:pt idx="6">
                  <c:v>22.1</c:v>
                </c:pt>
                <c:pt idx="7">
                  <c:v>21.3</c:v>
                </c:pt>
                <c:pt idx="8">
                  <c:v>20.9</c:v>
                </c:pt>
                <c:pt idx="9">
                  <c:v>19.100000000000001</c:v>
                </c:pt>
                <c:pt idx="10">
                  <c:v>19.100000000000001</c:v>
                </c:pt>
              </c:numCache>
            </c:numRef>
          </c:val>
          <c:extLst>
            <c:ext xmlns:c16="http://schemas.microsoft.com/office/drawing/2014/chart" uri="{C3380CC4-5D6E-409C-BE32-E72D297353CC}">
              <c16:uniqueId val="{00000000-9C67-4BDB-A2C7-08D3D9B7290C}"/>
            </c:ext>
          </c:extLst>
        </c:ser>
        <c:ser>
          <c:idx val="1"/>
          <c:order val="1"/>
          <c:tx>
            <c:strRef>
              <c:f>'vanjskotrg. partneri izvoz'!$B$7</c:f>
              <c:strCache>
                <c:ptCount val="1"/>
                <c:pt idx="0">
                  <c:v>Njemačka</c:v>
                </c:pt>
              </c:strCache>
            </c:strRef>
          </c:tx>
          <c:spPr>
            <a:solidFill>
              <a:schemeClr val="accent2"/>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izvoz'!$C$7:$M$7</c:f>
              <c:numCache>
                <c:formatCode>General</c:formatCode>
                <c:ptCount val="11"/>
                <c:pt idx="0">
                  <c:v>17.559999999999999</c:v>
                </c:pt>
                <c:pt idx="1">
                  <c:v>16.690000000000001</c:v>
                </c:pt>
                <c:pt idx="2">
                  <c:v>16.29</c:v>
                </c:pt>
                <c:pt idx="3">
                  <c:v>18.399999999999999</c:v>
                </c:pt>
                <c:pt idx="4">
                  <c:v>15.9</c:v>
                </c:pt>
                <c:pt idx="5">
                  <c:v>17.2</c:v>
                </c:pt>
                <c:pt idx="6">
                  <c:v>17.8</c:v>
                </c:pt>
                <c:pt idx="7">
                  <c:v>17.5</c:v>
                </c:pt>
                <c:pt idx="8">
                  <c:v>10.199999999999999</c:v>
                </c:pt>
                <c:pt idx="9">
                  <c:v>18</c:v>
                </c:pt>
                <c:pt idx="10">
                  <c:v>16.899999999999999</c:v>
                </c:pt>
              </c:numCache>
            </c:numRef>
          </c:val>
          <c:extLst>
            <c:ext xmlns:c16="http://schemas.microsoft.com/office/drawing/2014/chart" uri="{C3380CC4-5D6E-409C-BE32-E72D297353CC}">
              <c16:uniqueId val="{00000001-9C67-4BDB-A2C7-08D3D9B7290C}"/>
            </c:ext>
          </c:extLst>
        </c:ser>
        <c:ser>
          <c:idx val="2"/>
          <c:order val="2"/>
          <c:tx>
            <c:strRef>
              <c:f>'vanjskotrg. partneri izvoz'!$B$8</c:f>
              <c:strCache>
                <c:ptCount val="1"/>
                <c:pt idx="0">
                  <c:v>Italija</c:v>
                </c:pt>
              </c:strCache>
            </c:strRef>
          </c:tx>
          <c:spPr>
            <a:solidFill>
              <a:schemeClr val="accent3"/>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izvoz'!$C$8:$M$8</c:f>
              <c:numCache>
                <c:formatCode>General</c:formatCode>
                <c:ptCount val="11"/>
                <c:pt idx="0">
                  <c:v>7.63</c:v>
                </c:pt>
                <c:pt idx="1">
                  <c:v>8.61</c:v>
                </c:pt>
                <c:pt idx="2">
                  <c:v>8.98</c:v>
                </c:pt>
                <c:pt idx="3">
                  <c:v>10</c:v>
                </c:pt>
                <c:pt idx="4">
                  <c:v>9.8000000000000007</c:v>
                </c:pt>
                <c:pt idx="5">
                  <c:v>10.4</c:v>
                </c:pt>
                <c:pt idx="6">
                  <c:v>10.5</c:v>
                </c:pt>
                <c:pt idx="7">
                  <c:v>10.5</c:v>
                </c:pt>
                <c:pt idx="8">
                  <c:v>11.2</c:v>
                </c:pt>
                <c:pt idx="9">
                  <c:v>11.4</c:v>
                </c:pt>
                <c:pt idx="10">
                  <c:v>11.2</c:v>
                </c:pt>
              </c:numCache>
            </c:numRef>
          </c:val>
          <c:extLst>
            <c:ext xmlns:c16="http://schemas.microsoft.com/office/drawing/2014/chart" uri="{C3380CC4-5D6E-409C-BE32-E72D297353CC}">
              <c16:uniqueId val="{00000002-9C67-4BDB-A2C7-08D3D9B7290C}"/>
            </c:ext>
          </c:extLst>
        </c:ser>
        <c:ser>
          <c:idx val="3"/>
          <c:order val="3"/>
          <c:tx>
            <c:strRef>
              <c:f>'vanjskotrg. partneri izvoz'!$B$9</c:f>
              <c:strCache>
                <c:ptCount val="1"/>
                <c:pt idx="0">
                  <c:v>Austrija</c:v>
                </c:pt>
              </c:strCache>
            </c:strRef>
          </c:tx>
          <c:spPr>
            <a:solidFill>
              <a:schemeClr val="accent4"/>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izvoz'!$C$9:$M$9</c:f>
              <c:numCache>
                <c:formatCode>General</c:formatCode>
                <c:ptCount val="11"/>
                <c:pt idx="0">
                  <c:v>6.62</c:v>
                </c:pt>
                <c:pt idx="1">
                  <c:v>6.31</c:v>
                </c:pt>
                <c:pt idx="2">
                  <c:v>8.6199999999999992</c:v>
                </c:pt>
                <c:pt idx="3">
                  <c:v>10.3</c:v>
                </c:pt>
                <c:pt idx="4">
                  <c:v>11.2</c:v>
                </c:pt>
                <c:pt idx="5">
                  <c:v>11.2</c:v>
                </c:pt>
                <c:pt idx="6">
                  <c:v>11.6</c:v>
                </c:pt>
                <c:pt idx="7">
                  <c:v>11.8</c:v>
                </c:pt>
                <c:pt idx="8">
                  <c:v>11</c:v>
                </c:pt>
                <c:pt idx="9">
                  <c:v>10.6</c:v>
                </c:pt>
                <c:pt idx="10">
                  <c:v>8</c:v>
                </c:pt>
              </c:numCache>
            </c:numRef>
          </c:val>
          <c:extLst>
            <c:ext xmlns:c16="http://schemas.microsoft.com/office/drawing/2014/chart" uri="{C3380CC4-5D6E-409C-BE32-E72D297353CC}">
              <c16:uniqueId val="{00000003-9C67-4BDB-A2C7-08D3D9B7290C}"/>
            </c:ext>
          </c:extLst>
        </c:ser>
        <c:ser>
          <c:idx val="4"/>
          <c:order val="4"/>
          <c:tx>
            <c:strRef>
              <c:f>'vanjskotrg. partneri izvoz'!$B$10</c:f>
              <c:strCache>
                <c:ptCount val="1"/>
                <c:pt idx="0">
                  <c:v>Srbija</c:v>
                </c:pt>
              </c:strCache>
            </c:strRef>
          </c:tx>
          <c:spPr>
            <a:solidFill>
              <a:schemeClr val="accent5"/>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izvoz'!$C$10:$M$10</c:f>
              <c:numCache>
                <c:formatCode>General</c:formatCode>
                <c:ptCount val="11"/>
                <c:pt idx="0">
                  <c:v>7.22</c:v>
                </c:pt>
                <c:pt idx="1">
                  <c:v>7.66</c:v>
                </c:pt>
                <c:pt idx="2">
                  <c:v>8.02</c:v>
                </c:pt>
                <c:pt idx="3">
                  <c:v>6.3</c:v>
                </c:pt>
                <c:pt idx="4">
                  <c:v>6.2</c:v>
                </c:pt>
                <c:pt idx="5">
                  <c:v>4.8</c:v>
                </c:pt>
                <c:pt idx="6">
                  <c:v>4.5999999999999996</c:v>
                </c:pt>
                <c:pt idx="7">
                  <c:v>5</c:v>
                </c:pt>
                <c:pt idx="8">
                  <c:v>5.4</c:v>
                </c:pt>
                <c:pt idx="9">
                  <c:v>6</c:v>
                </c:pt>
                <c:pt idx="10">
                  <c:v>6.1</c:v>
                </c:pt>
              </c:numCache>
            </c:numRef>
          </c:val>
          <c:extLst>
            <c:ext xmlns:c16="http://schemas.microsoft.com/office/drawing/2014/chart" uri="{C3380CC4-5D6E-409C-BE32-E72D297353CC}">
              <c16:uniqueId val="{00000004-9C67-4BDB-A2C7-08D3D9B7290C}"/>
            </c:ext>
          </c:extLst>
        </c:ser>
        <c:ser>
          <c:idx val="5"/>
          <c:order val="5"/>
          <c:tx>
            <c:strRef>
              <c:f>'vanjskotrg. partneri izvoz'!$B$11</c:f>
              <c:strCache>
                <c:ptCount val="1"/>
                <c:pt idx="0">
                  <c:v>BiH</c:v>
                </c:pt>
              </c:strCache>
            </c:strRef>
          </c:tx>
          <c:spPr>
            <a:solidFill>
              <a:schemeClr val="accent6"/>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izvoz'!$C$11:$M$11</c:f>
              <c:numCache>
                <c:formatCode>General</c:formatCode>
                <c:ptCount val="11"/>
                <c:pt idx="0">
                  <c:v>10.3</c:v>
                </c:pt>
                <c:pt idx="1">
                  <c:v>8.61</c:v>
                </c:pt>
                <c:pt idx="2">
                  <c:v>10</c:v>
                </c:pt>
                <c:pt idx="3">
                  <c:v>7</c:v>
                </c:pt>
                <c:pt idx="4">
                  <c:v>5.7</c:v>
                </c:pt>
                <c:pt idx="5">
                  <c:v>5.0999999999999996</c:v>
                </c:pt>
                <c:pt idx="6">
                  <c:v>4.7</c:v>
                </c:pt>
                <c:pt idx="7">
                  <c:v>4.8</c:v>
                </c:pt>
                <c:pt idx="8">
                  <c:v>4.5</c:v>
                </c:pt>
                <c:pt idx="9">
                  <c:v>4.5999999999999996</c:v>
                </c:pt>
                <c:pt idx="10">
                  <c:v>4.5999999999999996</c:v>
                </c:pt>
              </c:numCache>
            </c:numRef>
          </c:val>
          <c:extLst>
            <c:ext xmlns:c16="http://schemas.microsoft.com/office/drawing/2014/chart" uri="{C3380CC4-5D6E-409C-BE32-E72D297353CC}">
              <c16:uniqueId val="{00000005-9C67-4BDB-A2C7-08D3D9B7290C}"/>
            </c:ext>
          </c:extLst>
        </c:ser>
        <c:ser>
          <c:idx val="6"/>
          <c:order val="6"/>
          <c:tx>
            <c:strRef>
              <c:f>'vanjskotrg. partneri izvoz'!$B$12</c:f>
              <c:strCache>
                <c:ptCount val="1"/>
                <c:pt idx="0">
                  <c:v>Francuska</c:v>
                </c:pt>
              </c:strCache>
            </c:strRef>
          </c:tx>
          <c:spPr>
            <a:solidFill>
              <a:schemeClr val="accent1">
                <a:lumMod val="6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izvoz'!$C$12:$M$12</c:f>
              <c:numCache>
                <c:formatCode>General</c:formatCode>
                <c:ptCount val="11"/>
                <c:pt idx="0">
                  <c:v>1.82</c:v>
                </c:pt>
                <c:pt idx="1">
                  <c:v>1.78</c:v>
                </c:pt>
                <c:pt idx="2" formatCode="0.00">
                  <c:v>1.6</c:v>
                </c:pt>
                <c:pt idx="3">
                  <c:v>2.7</c:v>
                </c:pt>
                <c:pt idx="4">
                  <c:v>2.8</c:v>
                </c:pt>
                <c:pt idx="5">
                  <c:v>2.8</c:v>
                </c:pt>
                <c:pt idx="6">
                  <c:v>1.6</c:v>
                </c:pt>
                <c:pt idx="7">
                  <c:v>1.6</c:v>
                </c:pt>
                <c:pt idx="8">
                  <c:v>1.6</c:v>
                </c:pt>
                <c:pt idx="9">
                  <c:v>1.2</c:v>
                </c:pt>
                <c:pt idx="10">
                  <c:v>1.2</c:v>
                </c:pt>
              </c:numCache>
            </c:numRef>
          </c:val>
          <c:extLst>
            <c:ext xmlns:c16="http://schemas.microsoft.com/office/drawing/2014/chart" uri="{C3380CC4-5D6E-409C-BE32-E72D297353CC}">
              <c16:uniqueId val="{00000006-9C67-4BDB-A2C7-08D3D9B7290C}"/>
            </c:ext>
          </c:extLst>
        </c:ser>
        <c:ser>
          <c:idx val="7"/>
          <c:order val="7"/>
          <c:tx>
            <c:strRef>
              <c:f>'vanjskotrg. partneri izvoz'!$B$13</c:f>
              <c:strCache>
                <c:ptCount val="1"/>
                <c:pt idx="0">
                  <c:v>Belgija</c:v>
                </c:pt>
              </c:strCache>
            </c:strRef>
          </c:tx>
          <c:spPr>
            <a:solidFill>
              <a:schemeClr val="accent2">
                <a:lumMod val="6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izvoz'!$C$13:$M$13</c:f>
              <c:numCache>
                <c:formatCode>General</c:formatCode>
                <c:ptCount val="11"/>
                <c:pt idx="0">
                  <c:v>6.58</c:v>
                </c:pt>
                <c:pt idx="1">
                  <c:v>5.28</c:v>
                </c:pt>
                <c:pt idx="2">
                  <c:v>3.26</c:v>
                </c:pt>
                <c:pt idx="3">
                  <c:v>2.1</c:v>
                </c:pt>
                <c:pt idx="4">
                  <c:v>2.9</c:v>
                </c:pt>
                <c:pt idx="5">
                  <c:v>3.5</c:v>
                </c:pt>
                <c:pt idx="6">
                  <c:v>2.7</c:v>
                </c:pt>
                <c:pt idx="7">
                  <c:v>1.9</c:v>
                </c:pt>
                <c:pt idx="8">
                  <c:v>1.2</c:v>
                </c:pt>
                <c:pt idx="9">
                  <c:v>1.1000000000000001</c:v>
                </c:pt>
                <c:pt idx="10">
                  <c:v>1.2</c:v>
                </c:pt>
              </c:numCache>
            </c:numRef>
          </c:val>
          <c:extLst>
            <c:ext xmlns:c16="http://schemas.microsoft.com/office/drawing/2014/chart" uri="{C3380CC4-5D6E-409C-BE32-E72D297353CC}">
              <c16:uniqueId val="{00000007-9C67-4BDB-A2C7-08D3D9B7290C}"/>
            </c:ext>
          </c:extLst>
        </c:ser>
        <c:ser>
          <c:idx val="8"/>
          <c:order val="8"/>
          <c:tx>
            <c:strRef>
              <c:f>'vanjskotrg. partneri izvoz'!$B$14</c:f>
              <c:strCache>
                <c:ptCount val="1"/>
                <c:pt idx="0">
                  <c:v>Brazil</c:v>
                </c:pt>
              </c:strCache>
            </c:strRef>
          </c:tx>
          <c:spPr>
            <a:solidFill>
              <a:schemeClr val="accent3">
                <a:lumMod val="6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izvoz'!$C$14:$M$14</c:f>
              <c:numCache>
                <c:formatCode>General</c:formatCode>
                <c:ptCount val="11"/>
                <c:pt idx="3">
                  <c:v>2.1</c:v>
                </c:pt>
              </c:numCache>
            </c:numRef>
          </c:val>
          <c:extLst>
            <c:ext xmlns:c16="http://schemas.microsoft.com/office/drawing/2014/chart" uri="{C3380CC4-5D6E-409C-BE32-E72D297353CC}">
              <c16:uniqueId val="{00000008-9C67-4BDB-A2C7-08D3D9B7290C}"/>
            </c:ext>
          </c:extLst>
        </c:ser>
        <c:ser>
          <c:idx val="9"/>
          <c:order val="9"/>
          <c:tx>
            <c:strRef>
              <c:f>'vanjskotrg. partneri izvoz'!$B$15</c:f>
              <c:strCache>
                <c:ptCount val="1"/>
                <c:pt idx="0">
                  <c:v>Mađarska</c:v>
                </c:pt>
              </c:strCache>
            </c:strRef>
          </c:tx>
          <c:spPr>
            <a:solidFill>
              <a:schemeClr val="accent4">
                <a:lumMod val="6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izvoz'!$C$15:$M$15</c:f>
              <c:numCache>
                <c:formatCode>General</c:formatCode>
                <c:ptCount val="11"/>
                <c:pt idx="3">
                  <c:v>2.1</c:v>
                </c:pt>
                <c:pt idx="6">
                  <c:v>2.2999999999999998</c:v>
                </c:pt>
                <c:pt idx="7">
                  <c:v>2.7</c:v>
                </c:pt>
                <c:pt idx="8">
                  <c:v>2.5</c:v>
                </c:pt>
                <c:pt idx="9">
                  <c:v>1.8</c:v>
                </c:pt>
                <c:pt idx="10">
                  <c:v>3.1</c:v>
                </c:pt>
              </c:numCache>
            </c:numRef>
          </c:val>
          <c:extLst>
            <c:ext xmlns:c16="http://schemas.microsoft.com/office/drawing/2014/chart" uri="{C3380CC4-5D6E-409C-BE32-E72D297353CC}">
              <c16:uniqueId val="{00000009-9C67-4BDB-A2C7-08D3D9B7290C}"/>
            </c:ext>
          </c:extLst>
        </c:ser>
        <c:ser>
          <c:idx val="10"/>
          <c:order val="10"/>
          <c:tx>
            <c:strRef>
              <c:f>'vanjskotrg. partneri izvoz'!$B$16</c:f>
              <c:strCache>
                <c:ptCount val="1"/>
                <c:pt idx="0">
                  <c:v>Rusija</c:v>
                </c:pt>
              </c:strCache>
            </c:strRef>
          </c:tx>
          <c:spPr>
            <a:solidFill>
              <a:schemeClr val="accent5">
                <a:lumMod val="6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izvoz'!$C$16:$M$16</c:f>
              <c:numCache>
                <c:formatCode>General</c:formatCode>
                <c:ptCount val="11"/>
                <c:pt idx="3">
                  <c:v>2.5</c:v>
                </c:pt>
                <c:pt idx="4">
                  <c:v>2.2999999999999998</c:v>
                </c:pt>
                <c:pt idx="9">
                  <c:v>1.8</c:v>
                </c:pt>
                <c:pt idx="10">
                  <c:v>1.6</c:v>
                </c:pt>
              </c:numCache>
            </c:numRef>
          </c:val>
          <c:extLst>
            <c:ext xmlns:c16="http://schemas.microsoft.com/office/drawing/2014/chart" uri="{C3380CC4-5D6E-409C-BE32-E72D297353CC}">
              <c16:uniqueId val="{0000000A-9C67-4BDB-A2C7-08D3D9B7290C}"/>
            </c:ext>
          </c:extLst>
        </c:ser>
        <c:ser>
          <c:idx val="11"/>
          <c:order val="11"/>
          <c:tx>
            <c:strRef>
              <c:f>'vanjskotrg. partneri izvoz'!$B$17</c:f>
              <c:strCache>
                <c:ptCount val="1"/>
                <c:pt idx="0">
                  <c:v>SAD</c:v>
                </c:pt>
              </c:strCache>
            </c:strRef>
          </c:tx>
          <c:spPr>
            <a:solidFill>
              <a:schemeClr val="accent6">
                <a:lumMod val="6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izvoz'!$C$17:$M$17</c:f>
              <c:numCache>
                <c:formatCode>General</c:formatCode>
                <c:ptCount val="11"/>
                <c:pt idx="5">
                  <c:v>3.7</c:v>
                </c:pt>
                <c:pt idx="6">
                  <c:v>4</c:v>
                </c:pt>
                <c:pt idx="7">
                  <c:v>3.7</c:v>
                </c:pt>
                <c:pt idx="8">
                  <c:v>3.2</c:v>
                </c:pt>
                <c:pt idx="10">
                  <c:v>4.5999999999999996</c:v>
                </c:pt>
              </c:numCache>
            </c:numRef>
          </c:val>
          <c:extLst>
            <c:ext xmlns:c16="http://schemas.microsoft.com/office/drawing/2014/chart" uri="{C3380CC4-5D6E-409C-BE32-E72D297353CC}">
              <c16:uniqueId val="{0000000B-9C67-4BDB-A2C7-08D3D9B7290C}"/>
            </c:ext>
          </c:extLst>
        </c:ser>
        <c:ser>
          <c:idx val="12"/>
          <c:order val="12"/>
          <c:tx>
            <c:strRef>
              <c:f>'vanjskotrg. partneri izvoz'!$B$18</c:f>
              <c:strCache>
                <c:ptCount val="1"/>
                <c:pt idx="0">
                  <c:v>Slovačka</c:v>
                </c:pt>
              </c:strCache>
            </c:strRef>
          </c:tx>
          <c:spPr>
            <a:solidFill>
              <a:schemeClr val="accent1">
                <a:lumMod val="80000"/>
                <a:lumOff val="2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izvoz'!$C$18:$M$18</c:f>
              <c:numCache>
                <c:formatCode>General</c:formatCode>
                <c:ptCount val="11"/>
                <c:pt idx="8">
                  <c:v>4.2</c:v>
                </c:pt>
                <c:pt idx="9">
                  <c:v>5</c:v>
                </c:pt>
                <c:pt idx="10">
                  <c:v>4.5</c:v>
                </c:pt>
              </c:numCache>
            </c:numRef>
          </c:val>
          <c:extLst>
            <c:ext xmlns:c16="http://schemas.microsoft.com/office/drawing/2014/chart" uri="{C3380CC4-5D6E-409C-BE32-E72D297353CC}">
              <c16:uniqueId val="{0000000C-9C67-4BDB-A2C7-08D3D9B7290C}"/>
            </c:ext>
          </c:extLst>
        </c:ser>
        <c:ser>
          <c:idx val="13"/>
          <c:order val="13"/>
          <c:tx>
            <c:strRef>
              <c:f>'vanjskotrg. partneri izvoz'!$B$19</c:f>
              <c:strCache>
                <c:ptCount val="1"/>
                <c:pt idx="0">
                  <c:v>Poljska</c:v>
                </c:pt>
              </c:strCache>
            </c:strRef>
          </c:tx>
          <c:spPr>
            <a:solidFill>
              <a:schemeClr val="accent2">
                <a:lumMod val="80000"/>
                <a:lumOff val="2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izvoz'!$C$19:$M$19</c:f>
              <c:numCache>
                <c:formatCode>General</c:formatCode>
                <c:ptCount val="11"/>
                <c:pt idx="9">
                  <c:v>1.7</c:v>
                </c:pt>
                <c:pt idx="10">
                  <c:v>1.6</c:v>
                </c:pt>
              </c:numCache>
            </c:numRef>
          </c:val>
          <c:extLst>
            <c:ext xmlns:c16="http://schemas.microsoft.com/office/drawing/2014/chart" uri="{C3380CC4-5D6E-409C-BE32-E72D297353CC}">
              <c16:uniqueId val="{0000000D-9C67-4BDB-A2C7-08D3D9B7290C}"/>
            </c:ext>
          </c:extLst>
        </c:ser>
        <c:ser>
          <c:idx val="14"/>
          <c:order val="14"/>
          <c:tx>
            <c:strRef>
              <c:f>'vanjskotrg. partneri izvoz'!$B$20</c:f>
              <c:strCache>
                <c:ptCount val="1"/>
                <c:pt idx="0">
                  <c:v>Rumunjska</c:v>
                </c:pt>
              </c:strCache>
            </c:strRef>
          </c:tx>
          <c:spPr>
            <a:solidFill>
              <a:schemeClr val="accent3">
                <a:lumMod val="80000"/>
                <a:lumOff val="2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izvoz'!$C$20:$M$20</c:f>
              <c:numCache>
                <c:formatCode>General</c:formatCode>
                <c:ptCount val="11"/>
                <c:pt idx="9">
                  <c:v>1.2</c:v>
                </c:pt>
                <c:pt idx="10">
                  <c:v>1.3</c:v>
                </c:pt>
              </c:numCache>
            </c:numRef>
          </c:val>
          <c:extLst>
            <c:ext xmlns:c16="http://schemas.microsoft.com/office/drawing/2014/chart" uri="{C3380CC4-5D6E-409C-BE32-E72D297353CC}">
              <c16:uniqueId val="{0000000E-9C67-4BDB-A2C7-08D3D9B7290C}"/>
            </c:ext>
          </c:extLst>
        </c:ser>
        <c:ser>
          <c:idx val="15"/>
          <c:order val="15"/>
          <c:tx>
            <c:strRef>
              <c:f>'vanjskotrg. partneri izvoz'!$B$21</c:f>
              <c:strCache>
                <c:ptCount val="1"/>
                <c:pt idx="0">
                  <c:v>Sj.Makedonija</c:v>
                </c:pt>
              </c:strCache>
            </c:strRef>
          </c:tx>
          <c:spPr>
            <a:solidFill>
              <a:schemeClr val="accent4">
                <a:lumMod val="80000"/>
                <a:lumOff val="2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izvoz'!$C$21:$M$21</c:f>
              <c:numCache>
                <c:formatCode>General</c:formatCode>
                <c:ptCount val="11"/>
                <c:pt idx="9">
                  <c:v>1.5</c:v>
                </c:pt>
                <c:pt idx="10">
                  <c:v>1.5</c:v>
                </c:pt>
              </c:numCache>
            </c:numRef>
          </c:val>
          <c:extLst>
            <c:ext xmlns:c16="http://schemas.microsoft.com/office/drawing/2014/chart" uri="{C3380CC4-5D6E-409C-BE32-E72D297353CC}">
              <c16:uniqueId val="{0000000F-9C67-4BDB-A2C7-08D3D9B7290C}"/>
            </c:ext>
          </c:extLst>
        </c:ser>
        <c:ser>
          <c:idx val="16"/>
          <c:order val="16"/>
          <c:tx>
            <c:strRef>
              <c:f>'vanjskotrg. partneri izvoz'!$B$22</c:f>
              <c:strCache>
                <c:ptCount val="1"/>
                <c:pt idx="0">
                  <c:v>UK</c:v>
                </c:pt>
              </c:strCache>
            </c:strRef>
          </c:tx>
          <c:spPr>
            <a:solidFill>
              <a:schemeClr val="accent5">
                <a:lumMod val="80000"/>
                <a:lumOff val="2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izvoz'!$C$22:$M$22</c:f>
              <c:numCache>
                <c:formatCode>General</c:formatCode>
                <c:ptCount val="11"/>
                <c:pt idx="9">
                  <c:v>2.1</c:v>
                </c:pt>
                <c:pt idx="10">
                  <c:v>2.2999999999999998</c:v>
                </c:pt>
              </c:numCache>
            </c:numRef>
          </c:val>
          <c:extLst>
            <c:ext xmlns:c16="http://schemas.microsoft.com/office/drawing/2014/chart" uri="{C3380CC4-5D6E-409C-BE32-E72D297353CC}">
              <c16:uniqueId val="{00000010-9C67-4BDB-A2C7-08D3D9B7290C}"/>
            </c:ext>
          </c:extLst>
        </c:ser>
        <c:ser>
          <c:idx val="17"/>
          <c:order val="17"/>
          <c:tx>
            <c:strRef>
              <c:f>'vanjskotrg. partneri izvoz'!$B$23</c:f>
              <c:strCache>
                <c:ptCount val="1"/>
                <c:pt idx="0">
                  <c:v>Turska</c:v>
                </c:pt>
              </c:strCache>
            </c:strRef>
          </c:tx>
          <c:spPr>
            <a:solidFill>
              <a:schemeClr val="accent6">
                <a:lumMod val="80000"/>
                <a:lumOff val="20000"/>
              </a:schemeClr>
            </a:solidFill>
            <a:ln>
              <a:noFill/>
            </a:ln>
            <a:effectLst/>
          </c:spPr>
          <c:invertIfNegative val="0"/>
          <c:cat>
            <c:strRef>
              <c:f>'vanjskotrg. partneri izvoz'!$C$5:$M$5</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izvoz'!$C$23:$M$23</c:f>
              <c:numCache>
                <c:formatCode>General</c:formatCode>
                <c:ptCount val="11"/>
                <c:pt idx="10">
                  <c:v>1.3</c:v>
                </c:pt>
              </c:numCache>
            </c:numRef>
          </c:val>
          <c:extLst>
            <c:ext xmlns:c16="http://schemas.microsoft.com/office/drawing/2014/chart" uri="{C3380CC4-5D6E-409C-BE32-E72D297353CC}">
              <c16:uniqueId val="{00000011-9C67-4BDB-A2C7-08D3D9B7290C}"/>
            </c:ext>
          </c:extLst>
        </c:ser>
        <c:dLbls>
          <c:showLegendKey val="0"/>
          <c:showVal val="0"/>
          <c:showCatName val="0"/>
          <c:showSerName val="0"/>
          <c:showPercent val="0"/>
          <c:showBubbleSize val="0"/>
        </c:dLbls>
        <c:gapWidth val="219"/>
        <c:overlap val="-27"/>
        <c:axId val="710581320"/>
        <c:axId val="710580992"/>
      </c:barChart>
      <c:catAx>
        <c:axId val="7105813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sr-Latn-RS"/>
          </a:p>
        </c:txPr>
        <c:crossAx val="710580992"/>
        <c:crosses val="autoZero"/>
        <c:auto val="1"/>
        <c:lblAlgn val="ctr"/>
        <c:lblOffset val="100"/>
        <c:noMultiLvlLbl val="0"/>
      </c:catAx>
      <c:valAx>
        <c:axId val="7105809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sr-Latn-RS"/>
          </a:p>
        </c:txPr>
        <c:crossAx val="7105813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358007054793129E-2"/>
          <c:y val="2.5109855618330193E-2"/>
          <c:w val="0.944043540666617"/>
          <c:h val="0.6825959372780851"/>
        </c:manualLayout>
      </c:layout>
      <c:barChart>
        <c:barDir val="col"/>
        <c:grouping val="clustered"/>
        <c:varyColors val="0"/>
        <c:ser>
          <c:idx val="0"/>
          <c:order val="0"/>
          <c:tx>
            <c:strRef>
              <c:f>'vanjskotrg. partneri uvoz'!$B$7</c:f>
              <c:strCache>
                <c:ptCount val="1"/>
                <c:pt idx="0">
                  <c:v>Njemačka</c:v>
                </c:pt>
              </c:strCache>
            </c:strRef>
          </c:tx>
          <c:spPr>
            <a:solidFill>
              <a:schemeClr val="accent1"/>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uvoz'!$C$7:$M$7</c:f>
              <c:numCache>
                <c:formatCode>General</c:formatCode>
                <c:ptCount val="11"/>
                <c:pt idx="0">
                  <c:v>14.93</c:v>
                </c:pt>
                <c:pt idx="1">
                  <c:v>14.51</c:v>
                </c:pt>
                <c:pt idx="2">
                  <c:v>12.93</c:v>
                </c:pt>
                <c:pt idx="3">
                  <c:v>13.8</c:v>
                </c:pt>
                <c:pt idx="4">
                  <c:v>14.2</c:v>
                </c:pt>
                <c:pt idx="5">
                  <c:v>16.2</c:v>
                </c:pt>
                <c:pt idx="6">
                  <c:v>13.4</c:v>
                </c:pt>
                <c:pt idx="7">
                  <c:v>15.6</c:v>
                </c:pt>
                <c:pt idx="8">
                  <c:v>13.5</c:v>
                </c:pt>
                <c:pt idx="9">
                  <c:v>14.7</c:v>
                </c:pt>
                <c:pt idx="10">
                  <c:v>12.8</c:v>
                </c:pt>
              </c:numCache>
            </c:numRef>
          </c:val>
          <c:extLst>
            <c:ext xmlns:c16="http://schemas.microsoft.com/office/drawing/2014/chart" uri="{C3380CC4-5D6E-409C-BE32-E72D297353CC}">
              <c16:uniqueId val="{00000000-C7A7-428F-B21D-A208359838D3}"/>
            </c:ext>
          </c:extLst>
        </c:ser>
        <c:ser>
          <c:idx val="1"/>
          <c:order val="1"/>
          <c:tx>
            <c:strRef>
              <c:f>'vanjskotrg. partneri uvoz'!$B$8</c:f>
              <c:strCache>
                <c:ptCount val="1"/>
                <c:pt idx="0">
                  <c:v>Italija</c:v>
                </c:pt>
              </c:strCache>
            </c:strRef>
          </c:tx>
          <c:spPr>
            <a:solidFill>
              <a:schemeClr val="accent2"/>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uvoz'!$C$8:$M$8</c:f>
              <c:numCache>
                <c:formatCode>General</c:formatCode>
                <c:ptCount val="11"/>
                <c:pt idx="0">
                  <c:v>13.49</c:v>
                </c:pt>
                <c:pt idx="1">
                  <c:v>14.92</c:v>
                </c:pt>
                <c:pt idx="2">
                  <c:v>15.5</c:v>
                </c:pt>
                <c:pt idx="3">
                  <c:v>13.5</c:v>
                </c:pt>
                <c:pt idx="4">
                  <c:v>17.3</c:v>
                </c:pt>
                <c:pt idx="5">
                  <c:v>16.899999999999999</c:v>
                </c:pt>
                <c:pt idx="6">
                  <c:v>16.3</c:v>
                </c:pt>
                <c:pt idx="7">
                  <c:v>12.3</c:v>
                </c:pt>
                <c:pt idx="8">
                  <c:v>13.4</c:v>
                </c:pt>
                <c:pt idx="9">
                  <c:v>13.3</c:v>
                </c:pt>
                <c:pt idx="10">
                  <c:v>12.5</c:v>
                </c:pt>
              </c:numCache>
            </c:numRef>
          </c:val>
          <c:extLst>
            <c:ext xmlns:c16="http://schemas.microsoft.com/office/drawing/2014/chart" uri="{C3380CC4-5D6E-409C-BE32-E72D297353CC}">
              <c16:uniqueId val="{00000001-C7A7-428F-B21D-A208359838D3}"/>
            </c:ext>
          </c:extLst>
        </c:ser>
        <c:ser>
          <c:idx val="2"/>
          <c:order val="2"/>
          <c:tx>
            <c:strRef>
              <c:f>'vanjskotrg. partneri uvoz'!$B$9</c:f>
              <c:strCache>
                <c:ptCount val="1"/>
                <c:pt idx="0">
                  <c:v>Slovenija</c:v>
                </c:pt>
              </c:strCache>
            </c:strRef>
          </c:tx>
          <c:spPr>
            <a:solidFill>
              <a:schemeClr val="accent3"/>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uvoz'!$C$9:$M$9</c:f>
              <c:numCache>
                <c:formatCode>General</c:formatCode>
                <c:ptCount val="11"/>
                <c:pt idx="0">
                  <c:v>15.73</c:v>
                </c:pt>
                <c:pt idx="1">
                  <c:v>15.06</c:v>
                </c:pt>
                <c:pt idx="2">
                  <c:v>15.83</c:v>
                </c:pt>
                <c:pt idx="3">
                  <c:v>23</c:v>
                </c:pt>
                <c:pt idx="4">
                  <c:v>29.4</c:v>
                </c:pt>
                <c:pt idx="5">
                  <c:v>26.2</c:v>
                </c:pt>
                <c:pt idx="6">
                  <c:v>26.5</c:v>
                </c:pt>
                <c:pt idx="7">
                  <c:v>27.4</c:v>
                </c:pt>
                <c:pt idx="8">
                  <c:v>27.5</c:v>
                </c:pt>
                <c:pt idx="9">
                  <c:v>25.8</c:v>
                </c:pt>
                <c:pt idx="10">
                  <c:v>27.6</c:v>
                </c:pt>
              </c:numCache>
            </c:numRef>
          </c:val>
          <c:extLst>
            <c:ext xmlns:c16="http://schemas.microsoft.com/office/drawing/2014/chart" uri="{C3380CC4-5D6E-409C-BE32-E72D297353CC}">
              <c16:uniqueId val="{00000002-C7A7-428F-B21D-A208359838D3}"/>
            </c:ext>
          </c:extLst>
        </c:ser>
        <c:ser>
          <c:idx val="3"/>
          <c:order val="3"/>
          <c:tx>
            <c:strRef>
              <c:f>'vanjskotrg. partneri uvoz'!$B$10</c:f>
              <c:strCache>
                <c:ptCount val="1"/>
                <c:pt idx="0">
                  <c:v>Austrija</c:v>
                </c:pt>
              </c:strCache>
            </c:strRef>
          </c:tx>
          <c:spPr>
            <a:solidFill>
              <a:schemeClr val="accent4"/>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uvoz'!$C$10:$M$10</c:f>
              <c:numCache>
                <c:formatCode>General</c:formatCode>
                <c:ptCount val="11"/>
                <c:pt idx="0">
                  <c:v>12.73</c:v>
                </c:pt>
                <c:pt idx="1">
                  <c:v>12.14</c:v>
                </c:pt>
                <c:pt idx="2">
                  <c:v>11.77</c:v>
                </c:pt>
                <c:pt idx="3">
                  <c:v>13.2</c:v>
                </c:pt>
                <c:pt idx="4">
                  <c:v>7.5</c:v>
                </c:pt>
                <c:pt idx="5">
                  <c:v>6.1</c:v>
                </c:pt>
                <c:pt idx="6">
                  <c:v>6.4</c:v>
                </c:pt>
                <c:pt idx="7">
                  <c:v>6.8</c:v>
                </c:pt>
                <c:pt idx="8">
                  <c:v>6.2</c:v>
                </c:pt>
                <c:pt idx="9">
                  <c:v>5.0999999999999996</c:v>
                </c:pt>
                <c:pt idx="10">
                  <c:v>4.8</c:v>
                </c:pt>
              </c:numCache>
            </c:numRef>
          </c:val>
          <c:extLst>
            <c:ext xmlns:c16="http://schemas.microsoft.com/office/drawing/2014/chart" uri="{C3380CC4-5D6E-409C-BE32-E72D297353CC}">
              <c16:uniqueId val="{00000003-C7A7-428F-B21D-A208359838D3}"/>
            </c:ext>
          </c:extLst>
        </c:ser>
        <c:ser>
          <c:idx val="4"/>
          <c:order val="4"/>
          <c:tx>
            <c:strRef>
              <c:f>'vanjskotrg. partneri uvoz'!$B$11</c:f>
              <c:strCache>
                <c:ptCount val="1"/>
                <c:pt idx="0">
                  <c:v>Češka</c:v>
                </c:pt>
              </c:strCache>
            </c:strRef>
          </c:tx>
          <c:spPr>
            <a:solidFill>
              <a:schemeClr val="accent5"/>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uvoz'!$C$11:$M$11</c:f>
              <c:numCache>
                <c:formatCode>General</c:formatCode>
                <c:ptCount val="11"/>
                <c:pt idx="0">
                  <c:v>5.01</c:v>
                </c:pt>
                <c:pt idx="1">
                  <c:v>4.88</c:v>
                </c:pt>
                <c:pt idx="2" formatCode="0.00">
                  <c:v>3.6</c:v>
                </c:pt>
                <c:pt idx="3">
                  <c:v>2.8</c:v>
                </c:pt>
                <c:pt idx="4">
                  <c:v>2.4</c:v>
                </c:pt>
                <c:pt idx="5">
                  <c:v>2.6</c:v>
                </c:pt>
                <c:pt idx="6">
                  <c:v>2.7</c:v>
                </c:pt>
                <c:pt idx="7">
                  <c:v>2.6</c:v>
                </c:pt>
                <c:pt idx="8">
                  <c:v>2.5</c:v>
                </c:pt>
                <c:pt idx="9">
                  <c:v>2.1</c:v>
                </c:pt>
                <c:pt idx="10">
                  <c:v>1.6</c:v>
                </c:pt>
              </c:numCache>
            </c:numRef>
          </c:val>
          <c:extLst>
            <c:ext xmlns:c16="http://schemas.microsoft.com/office/drawing/2014/chart" uri="{C3380CC4-5D6E-409C-BE32-E72D297353CC}">
              <c16:uniqueId val="{00000004-C7A7-428F-B21D-A208359838D3}"/>
            </c:ext>
          </c:extLst>
        </c:ser>
        <c:ser>
          <c:idx val="5"/>
          <c:order val="5"/>
          <c:tx>
            <c:strRef>
              <c:f>'vanjskotrg. partneri uvoz'!$B$12</c:f>
              <c:strCache>
                <c:ptCount val="1"/>
                <c:pt idx="0">
                  <c:v>Francuska</c:v>
                </c:pt>
              </c:strCache>
            </c:strRef>
          </c:tx>
          <c:spPr>
            <a:solidFill>
              <a:schemeClr val="accent6"/>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uvoz'!$C$12:$M$12</c:f>
              <c:numCache>
                <c:formatCode>General</c:formatCode>
                <c:ptCount val="11"/>
                <c:pt idx="0">
                  <c:v>4.18</c:v>
                </c:pt>
                <c:pt idx="1">
                  <c:v>3.22</c:v>
                </c:pt>
                <c:pt idx="2">
                  <c:v>3.28</c:v>
                </c:pt>
                <c:pt idx="3">
                  <c:v>3</c:v>
                </c:pt>
                <c:pt idx="4">
                  <c:v>4.4000000000000004</c:v>
                </c:pt>
                <c:pt idx="5">
                  <c:v>2.5</c:v>
                </c:pt>
                <c:pt idx="6">
                  <c:v>2.6</c:v>
                </c:pt>
                <c:pt idx="7">
                  <c:v>2.2000000000000002</c:v>
                </c:pt>
                <c:pt idx="8">
                  <c:v>1.4</c:v>
                </c:pt>
                <c:pt idx="9">
                  <c:v>1.3</c:v>
                </c:pt>
                <c:pt idx="10">
                  <c:v>1.8</c:v>
                </c:pt>
              </c:numCache>
            </c:numRef>
          </c:val>
          <c:extLst>
            <c:ext xmlns:c16="http://schemas.microsoft.com/office/drawing/2014/chart" uri="{C3380CC4-5D6E-409C-BE32-E72D297353CC}">
              <c16:uniqueId val="{00000005-C7A7-428F-B21D-A208359838D3}"/>
            </c:ext>
          </c:extLst>
        </c:ser>
        <c:ser>
          <c:idx val="6"/>
          <c:order val="6"/>
          <c:tx>
            <c:strRef>
              <c:f>'vanjskotrg. partneri uvoz'!$B$13</c:f>
              <c:strCache>
                <c:ptCount val="1"/>
                <c:pt idx="0">
                  <c:v>BiH</c:v>
                </c:pt>
              </c:strCache>
            </c:strRef>
          </c:tx>
          <c:spPr>
            <a:solidFill>
              <a:schemeClr val="accent1">
                <a:lumMod val="6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uvoz'!$C$13:$M$13</c:f>
              <c:numCache>
                <c:formatCode>General</c:formatCode>
                <c:ptCount val="11"/>
                <c:pt idx="0">
                  <c:v>4.1500000000000004</c:v>
                </c:pt>
                <c:pt idx="1">
                  <c:v>3.94</c:v>
                </c:pt>
                <c:pt idx="2">
                  <c:v>5.46</c:v>
                </c:pt>
                <c:pt idx="3">
                  <c:v>4.3</c:v>
                </c:pt>
                <c:pt idx="4">
                  <c:v>2.5</c:v>
                </c:pt>
                <c:pt idx="5">
                  <c:v>2.2999999999999998</c:v>
                </c:pt>
                <c:pt idx="6">
                  <c:v>2.2000000000000002</c:v>
                </c:pt>
                <c:pt idx="7">
                  <c:v>2.1</c:v>
                </c:pt>
                <c:pt idx="8">
                  <c:v>2.2000000000000002</c:v>
                </c:pt>
                <c:pt idx="9">
                  <c:v>1.8</c:v>
                </c:pt>
                <c:pt idx="10">
                  <c:v>1.7</c:v>
                </c:pt>
              </c:numCache>
            </c:numRef>
          </c:val>
          <c:extLst>
            <c:ext xmlns:c16="http://schemas.microsoft.com/office/drawing/2014/chart" uri="{C3380CC4-5D6E-409C-BE32-E72D297353CC}">
              <c16:uniqueId val="{00000006-C7A7-428F-B21D-A208359838D3}"/>
            </c:ext>
          </c:extLst>
        </c:ser>
        <c:ser>
          <c:idx val="7"/>
          <c:order val="7"/>
          <c:tx>
            <c:strRef>
              <c:f>'vanjskotrg. partneri uvoz'!$B$14</c:f>
              <c:strCache>
                <c:ptCount val="1"/>
                <c:pt idx="0">
                  <c:v>Belgija</c:v>
                </c:pt>
              </c:strCache>
            </c:strRef>
          </c:tx>
          <c:spPr>
            <a:solidFill>
              <a:schemeClr val="accent2">
                <a:lumMod val="6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uvoz'!$C$14:$M$14</c:f>
              <c:numCache>
                <c:formatCode>General</c:formatCode>
                <c:ptCount val="11"/>
                <c:pt idx="0">
                  <c:v>2.87</c:v>
                </c:pt>
                <c:pt idx="1">
                  <c:v>1.69</c:v>
                </c:pt>
                <c:pt idx="2">
                  <c:v>1.1200000000000001</c:v>
                </c:pt>
                <c:pt idx="3">
                  <c:v>1.5</c:v>
                </c:pt>
                <c:pt idx="4">
                  <c:v>1.4</c:v>
                </c:pt>
                <c:pt idx="5">
                  <c:v>2</c:v>
                </c:pt>
                <c:pt idx="6">
                  <c:v>3</c:v>
                </c:pt>
                <c:pt idx="7">
                  <c:v>2.8</c:v>
                </c:pt>
                <c:pt idx="8">
                  <c:v>2.2999999999999998</c:v>
                </c:pt>
                <c:pt idx="9">
                  <c:v>2.5</c:v>
                </c:pt>
                <c:pt idx="10">
                  <c:v>1.5</c:v>
                </c:pt>
              </c:numCache>
            </c:numRef>
          </c:val>
          <c:extLst>
            <c:ext xmlns:c16="http://schemas.microsoft.com/office/drawing/2014/chart" uri="{C3380CC4-5D6E-409C-BE32-E72D297353CC}">
              <c16:uniqueId val="{00000007-C7A7-428F-B21D-A208359838D3}"/>
            </c:ext>
          </c:extLst>
        </c:ser>
        <c:ser>
          <c:idx val="8"/>
          <c:order val="8"/>
          <c:tx>
            <c:strRef>
              <c:f>'vanjskotrg. partneri uvoz'!$B$15</c:f>
              <c:strCache>
                <c:ptCount val="1"/>
                <c:pt idx="0">
                  <c:v>Mađarska</c:v>
                </c:pt>
              </c:strCache>
            </c:strRef>
          </c:tx>
          <c:spPr>
            <a:solidFill>
              <a:schemeClr val="accent3">
                <a:lumMod val="6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uvoz'!$C$15:$M$15</c:f>
              <c:numCache>
                <c:formatCode>General</c:formatCode>
                <c:ptCount val="11"/>
                <c:pt idx="3">
                  <c:v>9.1999999999999993</c:v>
                </c:pt>
                <c:pt idx="4">
                  <c:v>2.7</c:v>
                </c:pt>
                <c:pt idx="5">
                  <c:v>2.6</c:v>
                </c:pt>
                <c:pt idx="6">
                  <c:v>2.6</c:v>
                </c:pt>
                <c:pt idx="7">
                  <c:v>2.6</c:v>
                </c:pt>
                <c:pt idx="8">
                  <c:v>3</c:v>
                </c:pt>
                <c:pt idx="9">
                  <c:v>2.7</c:v>
                </c:pt>
                <c:pt idx="10">
                  <c:v>2.2999999999999998</c:v>
                </c:pt>
              </c:numCache>
            </c:numRef>
          </c:val>
          <c:extLst>
            <c:ext xmlns:c16="http://schemas.microsoft.com/office/drawing/2014/chart" uri="{C3380CC4-5D6E-409C-BE32-E72D297353CC}">
              <c16:uniqueId val="{00000008-C7A7-428F-B21D-A208359838D3}"/>
            </c:ext>
          </c:extLst>
        </c:ser>
        <c:ser>
          <c:idx val="9"/>
          <c:order val="9"/>
          <c:tx>
            <c:strRef>
              <c:f>'vanjskotrg. partneri uvoz'!$B$16</c:f>
              <c:strCache>
                <c:ptCount val="1"/>
                <c:pt idx="0">
                  <c:v>Kina</c:v>
                </c:pt>
              </c:strCache>
            </c:strRef>
          </c:tx>
          <c:spPr>
            <a:solidFill>
              <a:schemeClr val="accent4">
                <a:lumMod val="6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uvoz'!$C$16:$M$16</c:f>
              <c:numCache>
                <c:formatCode>General</c:formatCode>
                <c:ptCount val="11"/>
                <c:pt idx="3" formatCode="0.0">
                  <c:v>3</c:v>
                </c:pt>
                <c:pt idx="4">
                  <c:v>3.3</c:v>
                </c:pt>
                <c:pt idx="5">
                  <c:v>4.4000000000000004</c:v>
                </c:pt>
                <c:pt idx="6">
                  <c:v>4.5</c:v>
                </c:pt>
                <c:pt idx="7">
                  <c:v>4</c:v>
                </c:pt>
                <c:pt idx="8">
                  <c:v>4.2</c:v>
                </c:pt>
                <c:pt idx="9">
                  <c:v>4.0999999999999996</c:v>
                </c:pt>
                <c:pt idx="10">
                  <c:v>4.5</c:v>
                </c:pt>
              </c:numCache>
            </c:numRef>
          </c:val>
          <c:extLst>
            <c:ext xmlns:c16="http://schemas.microsoft.com/office/drawing/2014/chart" uri="{C3380CC4-5D6E-409C-BE32-E72D297353CC}">
              <c16:uniqueId val="{00000009-C7A7-428F-B21D-A208359838D3}"/>
            </c:ext>
          </c:extLst>
        </c:ser>
        <c:ser>
          <c:idx val="10"/>
          <c:order val="10"/>
          <c:tx>
            <c:strRef>
              <c:f>'vanjskotrg. partneri uvoz'!$B$17</c:f>
              <c:strCache>
                <c:ptCount val="1"/>
                <c:pt idx="0">
                  <c:v>Poljska</c:v>
                </c:pt>
              </c:strCache>
            </c:strRef>
          </c:tx>
          <c:spPr>
            <a:solidFill>
              <a:schemeClr val="accent5">
                <a:lumMod val="6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uvoz'!$C$17:$M$17</c:f>
              <c:numCache>
                <c:formatCode>General</c:formatCode>
                <c:ptCount val="11"/>
                <c:pt idx="6">
                  <c:v>2.7</c:v>
                </c:pt>
                <c:pt idx="7">
                  <c:v>3.5</c:v>
                </c:pt>
                <c:pt idx="8">
                  <c:v>4.0999999999999996</c:v>
                </c:pt>
                <c:pt idx="9">
                  <c:v>4.0999999999999996</c:v>
                </c:pt>
                <c:pt idx="10">
                  <c:v>4.0999999999999996</c:v>
                </c:pt>
              </c:numCache>
            </c:numRef>
          </c:val>
          <c:extLst>
            <c:ext xmlns:c16="http://schemas.microsoft.com/office/drawing/2014/chart" uri="{C3380CC4-5D6E-409C-BE32-E72D297353CC}">
              <c16:uniqueId val="{0000000A-C7A7-428F-B21D-A208359838D3}"/>
            </c:ext>
          </c:extLst>
        </c:ser>
        <c:ser>
          <c:idx val="11"/>
          <c:order val="11"/>
          <c:tx>
            <c:strRef>
              <c:f>'vanjskotrg. partneri uvoz'!$B$18</c:f>
              <c:strCache>
                <c:ptCount val="1"/>
                <c:pt idx="0">
                  <c:v>Nizozemska</c:v>
                </c:pt>
              </c:strCache>
            </c:strRef>
          </c:tx>
          <c:spPr>
            <a:solidFill>
              <a:schemeClr val="accent6">
                <a:lumMod val="6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uvoz'!$C$18:$M$18</c:f>
              <c:numCache>
                <c:formatCode>General</c:formatCode>
                <c:ptCount val="11"/>
                <c:pt idx="9">
                  <c:v>2.9</c:v>
                </c:pt>
                <c:pt idx="10">
                  <c:v>3</c:v>
                </c:pt>
              </c:numCache>
            </c:numRef>
          </c:val>
          <c:extLst>
            <c:ext xmlns:c16="http://schemas.microsoft.com/office/drawing/2014/chart" uri="{C3380CC4-5D6E-409C-BE32-E72D297353CC}">
              <c16:uniqueId val="{0000000B-C7A7-428F-B21D-A208359838D3}"/>
            </c:ext>
          </c:extLst>
        </c:ser>
        <c:ser>
          <c:idx val="12"/>
          <c:order val="12"/>
          <c:tx>
            <c:strRef>
              <c:f>'vanjskotrg. partneri uvoz'!$B$19</c:f>
              <c:strCache>
                <c:ptCount val="1"/>
                <c:pt idx="0">
                  <c:v>Rumunjska</c:v>
                </c:pt>
              </c:strCache>
            </c:strRef>
          </c:tx>
          <c:spPr>
            <a:solidFill>
              <a:schemeClr val="accent1">
                <a:lumMod val="80000"/>
                <a:lumOff val="2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uvoz'!$C$19:$M$19</c:f>
              <c:numCache>
                <c:formatCode>General</c:formatCode>
                <c:ptCount val="11"/>
                <c:pt idx="9">
                  <c:v>1.5</c:v>
                </c:pt>
                <c:pt idx="10">
                  <c:v>1.5</c:v>
                </c:pt>
              </c:numCache>
            </c:numRef>
          </c:val>
          <c:extLst>
            <c:ext xmlns:c16="http://schemas.microsoft.com/office/drawing/2014/chart" uri="{C3380CC4-5D6E-409C-BE32-E72D297353CC}">
              <c16:uniqueId val="{0000000C-C7A7-428F-B21D-A208359838D3}"/>
            </c:ext>
          </c:extLst>
        </c:ser>
        <c:ser>
          <c:idx val="13"/>
          <c:order val="13"/>
          <c:tx>
            <c:strRef>
              <c:f>'vanjskotrg. partneri uvoz'!$B$20</c:f>
              <c:strCache>
                <c:ptCount val="1"/>
                <c:pt idx="0">
                  <c:v>Slovačka</c:v>
                </c:pt>
              </c:strCache>
            </c:strRef>
          </c:tx>
          <c:spPr>
            <a:solidFill>
              <a:schemeClr val="accent2">
                <a:lumMod val="80000"/>
                <a:lumOff val="2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uvoz'!$C$20:$M$20</c:f>
              <c:numCache>
                <c:formatCode>General</c:formatCode>
                <c:ptCount val="11"/>
                <c:pt idx="9">
                  <c:v>1.8</c:v>
                </c:pt>
                <c:pt idx="10">
                  <c:v>2</c:v>
                </c:pt>
              </c:numCache>
            </c:numRef>
          </c:val>
          <c:extLst>
            <c:ext xmlns:c16="http://schemas.microsoft.com/office/drawing/2014/chart" uri="{C3380CC4-5D6E-409C-BE32-E72D297353CC}">
              <c16:uniqueId val="{0000000D-C7A7-428F-B21D-A208359838D3}"/>
            </c:ext>
          </c:extLst>
        </c:ser>
        <c:ser>
          <c:idx val="14"/>
          <c:order val="14"/>
          <c:tx>
            <c:strRef>
              <c:f>'vanjskotrg. partneri uvoz'!$B$21</c:f>
              <c:strCache>
                <c:ptCount val="1"/>
                <c:pt idx="0">
                  <c:v>Španjolska</c:v>
                </c:pt>
              </c:strCache>
            </c:strRef>
          </c:tx>
          <c:spPr>
            <a:solidFill>
              <a:schemeClr val="accent3">
                <a:lumMod val="80000"/>
                <a:lumOff val="2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uvoz'!$C$21:$M$21</c:f>
              <c:numCache>
                <c:formatCode>General</c:formatCode>
                <c:ptCount val="11"/>
                <c:pt idx="9">
                  <c:v>3.1</c:v>
                </c:pt>
                <c:pt idx="10">
                  <c:v>2.8</c:v>
                </c:pt>
              </c:numCache>
            </c:numRef>
          </c:val>
          <c:extLst>
            <c:ext xmlns:c16="http://schemas.microsoft.com/office/drawing/2014/chart" uri="{C3380CC4-5D6E-409C-BE32-E72D297353CC}">
              <c16:uniqueId val="{0000000E-C7A7-428F-B21D-A208359838D3}"/>
            </c:ext>
          </c:extLst>
        </c:ser>
        <c:ser>
          <c:idx val="15"/>
          <c:order val="15"/>
          <c:tx>
            <c:strRef>
              <c:f>'vanjskotrg. partneri uvoz'!$B$22</c:f>
              <c:strCache>
                <c:ptCount val="1"/>
                <c:pt idx="0">
                  <c:v>Turska</c:v>
                </c:pt>
              </c:strCache>
            </c:strRef>
          </c:tx>
          <c:spPr>
            <a:solidFill>
              <a:schemeClr val="accent4">
                <a:lumMod val="80000"/>
                <a:lumOff val="2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uvoz'!$C$22:$M$22</c:f>
              <c:numCache>
                <c:formatCode>General</c:formatCode>
                <c:ptCount val="11"/>
                <c:pt idx="9">
                  <c:v>2.2999999999999998</c:v>
                </c:pt>
                <c:pt idx="10">
                  <c:v>2.1</c:v>
                </c:pt>
              </c:numCache>
            </c:numRef>
          </c:val>
          <c:extLst>
            <c:ext xmlns:c16="http://schemas.microsoft.com/office/drawing/2014/chart" uri="{C3380CC4-5D6E-409C-BE32-E72D297353CC}">
              <c16:uniqueId val="{0000000F-C7A7-428F-B21D-A208359838D3}"/>
            </c:ext>
          </c:extLst>
        </c:ser>
        <c:ser>
          <c:idx val="16"/>
          <c:order val="16"/>
          <c:tx>
            <c:strRef>
              <c:f>'vanjskotrg. partneri uvoz'!$B$23</c:f>
              <c:strCache>
                <c:ptCount val="1"/>
                <c:pt idx="0">
                  <c:v>UK</c:v>
                </c:pt>
              </c:strCache>
            </c:strRef>
          </c:tx>
          <c:spPr>
            <a:solidFill>
              <a:schemeClr val="accent5">
                <a:lumMod val="80000"/>
                <a:lumOff val="20000"/>
              </a:schemeClr>
            </a:solidFill>
            <a:ln>
              <a:noFill/>
            </a:ln>
            <a:effectLst/>
          </c:spPr>
          <c:invertIfNegative val="0"/>
          <c:cat>
            <c:strRef>
              <c:f>'vanjskotrg. partneri uvoz'!$C$6:$M$6</c:f>
              <c:strCache>
                <c:ptCount val="11"/>
                <c:pt idx="0">
                  <c:v>2010.</c:v>
                </c:pt>
                <c:pt idx="1">
                  <c:v>2011.</c:v>
                </c:pt>
                <c:pt idx="2">
                  <c:v>2012.</c:v>
                </c:pt>
                <c:pt idx="3">
                  <c:v>2013.</c:v>
                </c:pt>
                <c:pt idx="4">
                  <c:v>2014.</c:v>
                </c:pt>
                <c:pt idx="5">
                  <c:v>2015.</c:v>
                </c:pt>
                <c:pt idx="6">
                  <c:v>2016.</c:v>
                </c:pt>
                <c:pt idx="7">
                  <c:v>2017.</c:v>
                </c:pt>
                <c:pt idx="8">
                  <c:v>2018.</c:v>
                </c:pt>
                <c:pt idx="9">
                  <c:v>2019.</c:v>
                </c:pt>
                <c:pt idx="10">
                  <c:v>2020.*</c:v>
                </c:pt>
              </c:strCache>
            </c:strRef>
          </c:cat>
          <c:val>
            <c:numRef>
              <c:f>'vanjskotrg. partneri uvoz'!$C$23:$M$23</c:f>
              <c:numCache>
                <c:formatCode>General</c:formatCode>
                <c:ptCount val="11"/>
                <c:pt idx="9">
                  <c:v>2.4</c:v>
                </c:pt>
                <c:pt idx="10">
                  <c:v>2.9</c:v>
                </c:pt>
              </c:numCache>
            </c:numRef>
          </c:val>
          <c:extLst>
            <c:ext xmlns:c16="http://schemas.microsoft.com/office/drawing/2014/chart" uri="{C3380CC4-5D6E-409C-BE32-E72D297353CC}">
              <c16:uniqueId val="{00000010-C7A7-428F-B21D-A208359838D3}"/>
            </c:ext>
          </c:extLst>
        </c:ser>
        <c:dLbls>
          <c:showLegendKey val="0"/>
          <c:showVal val="0"/>
          <c:showCatName val="0"/>
          <c:showSerName val="0"/>
          <c:showPercent val="0"/>
          <c:showBubbleSize val="0"/>
        </c:dLbls>
        <c:gapWidth val="219"/>
        <c:overlap val="-27"/>
        <c:axId val="581762312"/>
        <c:axId val="581759360"/>
      </c:barChart>
      <c:catAx>
        <c:axId val="581762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81759360"/>
        <c:crosses val="autoZero"/>
        <c:auto val="1"/>
        <c:lblAlgn val="ctr"/>
        <c:lblOffset val="100"/>
        <c:noMultiLvlLbl val="0"/>
      </c:catAx>
      <c:valAx>
        <c:axId val="5817593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crossAx val="581762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'br. obrtnika'!$P$3</c:f>
              <c:strCache>
                <c:ptCount val="1"/>
                <c:pt idx="0">
                  <c:v>2016.</c:v>
                </c:pt>
              </c:strCache>
            </c:strRef>
          </c:tx>
          <c:spPr>
            <a:solidFill>
              <a:schemeClr val="accent1"/>
            </a:solidFill>
            <a:ln>
              <a:noFill/>
            </a:ln>
            <a:effectLst/>
          </c:spPr>
          <c:invertIfNegative val="0"/>
          <c:cat>
            <c:strRef>
              <c:f>'br. obrtnika'!$O$4:$O$14</c:f>
              <c:strCache>
                <c:ptCount val="11"/>
                <c:pt idx="2">
                  <c:v>BEDEKOVČINA</c:v>
                </c:pt>
                <c:pt idx="3">
                  <c:v>DONJA STUBICA</c:v>
                </c:pt>
                <c:pt idx="4">
                  <c:v>KLANJEC</c:v>
                </c:pt>
                <c:pt idx="5">
                  <c:v>KRAPINA</c:v>
                </c:pt>
                <c:pt idx="6">
                  <c:v>KRAP.TOPLICE</c:v>
                </c:pt>
                <c:pt idx="7">
                  <c:v>PREGRADA</c:v>
                </c:pt>
                <c:pt idx="8">
                  <c:v>S.K.ZAČRETJE</c:v>
                </c:pt>
                <c:pt idx="9">
                  <c:v>ZABOK</c:v>
                </c:pt>
                <c:pt idx="10">
                  <c:v>ZLATAR</c:v>
                </c:pt>
              </c:strCache>
            </c:strRef>
          </c:cat>
          <c:val>
            <c:numRef>
              <c:f>'br. obrtnika'!$P$4:$P$14</c:f>
              <c:numCache>
                <c:formatCode>General</c:formatCode>
                <c:ptCount val="11"/>
                <c:pt idx="2">
                  <c:v>128</c:v>
                </c:pt>
                <c:pt idx="3">
                  <c:v>513</c:v>
                </c:pt>
                <c:pt idx="4">
                  <c:v>178</c:v>
                </c:pt>
                <c:pt idx="5">
                  <c:v>374</c:v>
                </c:pt>
                <c:pt idx="6">
                  <c:v>104</c:v>
                </c:pt>
                <c:pt idx="7">
                  <c:v>263</c:v>
                </c:pt>
                <c:pt idx="8">
                  <c:v>102</c:v>
                </c:pt>
                <c:pt idx="9">
                  <c:v>297</c:v>
                </c:pt>
                <c:pt idx="10">
                  <c:v>350</c:v>
                </c:pt>
              </c:numCache>
            </c:numRef>
          </c:val>
          <c:extLst>
            <c:ext xmlns:c16="http://schemas.microsoft.com/office/drawing/2014/chart" uri="{C3380CC4-5D6E-409C-BE32-E72D297353CC}">
              <c16:uniqueId val="{00000000-F3C5-4638-B724-5C843A6B37AE}"/>
            </c:ext>
          </c:extLst>
        </c:ser>
        <c:ser>
          <c:idx val="1"/>
          <c:order val="1"/>
          <c:tx>
            <c:strRef>
              <c:f>'br. obrtnika'!$Q$3</c:f>
              <c:strCache>
                <c:ptCount val="1"/>
                <c:pt idx="0">
                  <c:v>2017.</c:v>
                </c:pt>
              </c:strCache>
            </c:strRef>
          </c:tx>
          <c:spPr>
            <a:solidFill>
              <a:schemeClr val="accent2"/>
            </a:solidFill>
            <a:ln>
              <a:noFill/>
            </a:ln>
            <a:effectLst/>
          </c:spPr>
          <c:invertIfNegative val="0"/>
          <c:cat>
            <c:strRef>
              <c:f>'br. obrtnika'!$O$4:$O$14</c:f>
              <c:strCache>
                <c:ptCount val="11"/>
                <c:pt idx="2">
                  <c:v>BEDEKOVČINA</c:v>
                </c:pt>
                <c:pt idx="3">
                  <c:v>DONJA STUBICA</c:v>
                </c:pt>
                <c:pt idx="4">
                  <c:v>KLANJEC</c:v>
                </c:pt>
                <c:pt idx="5">
                  <c:v>KRAPINA</c:v>
                </c:pt>
                <c:pt idx="6">
                  <c:v>KRAP.TOPLICE</c:v>
                </c:pt>
                <c:pt idx="7">
                  <c:v>PREGRADA</c:v>
                </c:pt>
                <c:pt idx="8">
                  <c:v>S.K.ZAČRETJE</c:v>
                </c:pt>
                <c:pt idx="9">
                  <c:v>ZABOK</c:v>
                </c:pt>
                <c:pt idx="10">
                  <c:v>ZLATAR</c:v>
                </c:pt>
              </c:strCache>
            </c:strRef>
          </c:cat>
          <c:val>
            <c:numRef>
              <c:f>'br. obrtnika'!$Q$4:$Q$14</c:f>
              <c:numCache>
                <c:formatCode>General</c:formatCode>
                <c:ptCount val="11"/>
                <c:pt idx="2">
                  <c:v>129</c:v>
                </c:pt>
                <c:pt idx="3">
                  <c:v>520</c:v>
                </c:pt>
                <c:pt idx="4">
                  <c:v>183</c:v>
                </c:pt>
                <c:pt idx="5">
                  <c:v>380</c:v>
                </c:pt>
                <c:pt idx="6">
                  <c:v>105</c:v>
                </c:pt>
                <c:pt idx="7">
                  <c:v>261</c:v>
                </c:pt>
                <c:pt idx="8">
                  <c:v>102</c:v>
                </c:pt>
                <c:pt idx="9">
                  <c:v>322</c:v>
                </c:pt>
                <c:pt idx="10">
                  <c:v>350</c:v>
                </c:pt>
              </c:numCache>
            </c:numRef>
          </c:val>
          <c:extLst>
            <c:ext xmlns:c16="http://schemas.microsoft.com/office/drawing/2014/chart" uri="{C3380CC4-5D6E-409C-BE32-E72D297353CC}">
              <c16:uniqueId val="{00000001-F3C5-4638-B724-5C843A6B37AE}"/>
            </c:ext>
          </c:extLst>
        </c:ser>
        <c:ser>
          <c:idx val="2"/>
          <c:order val="2"/>
          <c:tx>
            <c:strRef>
              <c:f>'br. obrtnika'!$R$3</c:f>
              <c:strCache>
                <c:ptCount val="1"/>
                <c:pt idx="0">
                  <c:v>2018.</c:v>
                </c:pt>
              </c:strCache>
            </c:strRef>
          </c:tx>
          <c:spPr>
            <a:solidFill>
              <a:schemeClr val="accent3"/>
            </a:solidFill>
            <a:ln>
              <a:noFill/>
            </a:ln>
            <a:effectLst/>
          </c:spPr>
          <c:invertIfNegative val="0"/>
          <c:cat>
            <c:strRef>
              <c:f>'br. obrtnika'!$O$4:$O$14</c:f>
              <c:strCache>
                <c:ptCount val="11"/>
                <c:pt idx="2">
                  <c:v>BEDEKOVČINA</c:v>
                </c:pt>
                <c:pt idx="3">
                  <c:v>DONJA STUBICA</c:v>
                </c:pt>
                <c:pt idx="4">
                  <c:v>KLANJEC</c:v>
                </c:pt>
                <c:pt idx="5">
                  <c:v>KRAPINA</c:v>
                </c:pt>
                <c:pt idx="6">
                  <c:v>KRAP.TOPLICE</c:v>
                </c:pt>
                <c:pt idx="7">
                  <c:v>PREGRADA</c:v>
                </c:pt>
                <c:pt idx="8">
                  <c:v>S.K.ZAČRETJE</c:v>
                </c:pt>
                <c:pt idx="9">
                  <c:v>ZABOK</c:v>
                </c:pt>
                <c:pt idx="10">
                  <c:v>ZLATAR</c:v>
                </c:pt>
              </c:strCache>
            </c:strRef>
          </c:cat>
          <c:val>
            <c:numRef>
              <c:f>'br. obrtnika'!$R$4:$R$14</c:f>
              <c:numCache>
                <c:formatCode>General</c:formatCode>
                <c:ptCount val="11"/>
                <c:pt idx="2">
                  <c:v>131</c:v>
                </c:pt>
                <c:pt idx="3">
                  <c:v>545</c:v>
                </c:pt>
                <c:pt idx="4">
                  <c:v>189</c:v>
                </c:pt>
                <c:pt idx="5">
                  <c:v>416</c:v>
                </c:pt>
                <c:pt idx="6">
                  <c:v>105</c:v>
                </c:pt>
                <c:pt idx="7">
                  <c:v>257</c:v>
                </c:pt>
                <c:pt idx="8">
                  <c:v>106</c:v>
                </c:pt>
                <c:pt idx="9">
                  <c:v>328</c:v>
                </c:pt>
                <c:pt idx="10">
                  <c:v>366</c:v>
                </c:pt>
              </c:numCache>
            </c:numRef>
          </c:val>
          <c:extLst>
            <c:ext xmlns:c16="http://schemas.microsoft.com/office/drawing/2014/chart" uri="{C3380CC4-5D6E-409C-BE32-E72D297353CC}">
              <c16:uniqueId val="{00000002-F3C5-4638-B724-5C843A6B37AE}"/>
            </c:ext>
          </c:extLst>
        </c:ser>
        <c:dLbls>
          <c:showLegendKey val="0"/>
          <c:showVal val="0"/>
          <c:showCatName val="0"/>
          <c:showSerName val="0"/>
          <c:showPercent val="0"/>
          <c:showBubbleSize val="0"/>
        </c:dLbls>
        <c:gapWidth val="219"/>
        <c:overlap val="-27"/>
        <c:axId val="504020992"/>
        <c:axId val="504022912"/>
      </c:barChart>
      <c:catAx>
        <c:axId val="50402099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Newslab" panose="02000000000000000000" pitchFamily="50" charset="0"/>
                    <a:ea typeface="+mn-ea"/>
                    <a:cs typeface="+mn-cs"/>
                  </a:defRPr>
                </a:pPr>
                <a:r>
                  <a:rPr lang="hr-HR"/>
                  <a:t>Udruženje</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04022912"/>
        <c:crosses val="autoZero"/>
        <c:auto val="1"/>
        <c:lblAlgn val="ctr"/>
        <c:lblOffset val="100"/>
        <c:noMultiLvlLbl val="0"/>
      </c:catAx>
      <c:valAx>
        <c:axId val="5040229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Newslab" panose="02000000000000000000" pitchFamily="50" charset="0"/>
                    <a:ea typeface="+mn-ea"/>
                    <a:cs typeface="+mn-cs"/>
                  </a:defRPr>
                </a:pPr>
                <a:r>
                  <a:rPr lang="hr-HR"/>
                  <a:t>Broj obrtnika</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040209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Newslab" panose="02000000000000000000" pitchFamily="50" charset="0"/>
        </a:defRPr>
      </a:pPr>
      <a:endParaRPr lang="sr-Latn-RS"/>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837821044340954E-2"/>
          <c:y val="5.4882970137207422E-2"/>
          <c:w val="0.89803291611509761"/>
          <c:h val="0.67722098134308872"/>
        </c:manualLayout>
      </c:layout>
      <c:barChart>
        <c:barDir val="col"/>
        <c:grouping val="clustered"/>
        <c:varyColors val="1"/>
        <c:ser>
          <c:idx val="0"/>
          <c:order val="0"/>
          <c:invertIfNegative val="1"/>
          <c:dPt>
            <c:idx val="0"/>
            <c:invertIfNegative val="1"/>
            <c:bubble3D val="0"/>
            <c:spPr>
              <a:solidFill>
                <a:schemeClr val="accent1"/>
              </a:solidFill>
              <a:ln>
                <a:noFill/>
              </a:ln>
              <a:effectLst/>
            </c:spPr>
            <c:extLst>
              <c:ext xmlns:c16="http://schemas.microsoft.com/office/drawing/2014/chart" uri="{C3380CC4-5D6E-409C-BE32-E72D297353CC}">
                <c16:uniqueId val="{00000001-AADB-45D5-84C2-1EA726C5E78C}"/>
              </c:ext>
            </c:extLst>
          </c:dPt>
          <c:dPt>
            <c:idx val="1"/>
            <c:invertIfNegative val="1"/>
            <c:bubble3D val="0"/>
            <c:spPr>
              <a:solidFill>
                <a:schemeClr val="accent2"/>
              </a:solidFill>
              <a:ln>
                <a:noFill/>
              </a:ln>
              <a:effectLst/>
            </c:spPr>
            <c:extLst>
              <c:ext xmlns:c16="http://schemas.microsoft.com/office/drawing/2014/chart" uri="{C3380CC4-5D6E-409C-BE32-E72D297353CC}">
                <c16:uniqueId val="{00000003-AADB-45D5-84C2-1EA726C5E78C}"/>
              </c:ext>
            </c:extLst>
          </c:dPt>
          <c:dPt>
            <c:idx val="2"/>
            <c:invertIfNegative val="1"/>
            <c:bubble3D val="0"/>
            <c:spPr>
              <a:solidFill>
                <a:schemeClr val="accent3"/>
              </a:solidFill>
              <a:ln>
                <a:noFill/>
              </a:ln>
              <a:effectLst/>
            </c:spPr>
            <c:extLst>
              <c:ext xmlns:c16="http://schemas.microsoft.com/office/drawing/2014/chart" uri="{C3380CC4-5D6E-409C-BE32-E72D297353CC}">
                <c16:uniqueId val="{00000005-AADB-45D5-84C2-1EA726C5E78C}"/>
              </c:ext>
            </c:extLst>
          </c:dPt>
          <c:dPt>
            <c:idx val="3"/>
            <c:invertIfNegative val="1"/>
            <c:bubble3D val="0"/>
            <c:spPr>
              <a:solidFill>
                <a:schemeClr val="accent4"/>
              </a:solidFill>
              <a:ln>
                <a:noFill/>
              </a:ln>
              <a:effectLst/>
            </c:spPr>
            <c:extLst>
              <c:ext xmlns:c16="http://schemas.microsoft.com/office/drawing/2014/chart" uri="{C3380CC4-5D6E-409C-BE32-E72D297353CC}">
                <c16:uniqueId val="{00000007-AADB-45D5-84C2-1EA726C5E78C}"/>
              </c:ext>
            </c:extLst>
          </c:dPt>
          <c:dPt>
            <c:idx val="4"/>
            <c:invertIfNegative val="1"/>
            <c:bubble3D val="0"/>
            <c:spPr>
              <a:solidFill>
                <a:schemeClr val="accent5"/>
              </a:solidFill>
              <a:ln>
                <a:noFill/>
              </a:ln>
              <a:effectLst/>
            </c:spPr>
            <c:extLst>
              <c:ext xmlns:c16="http://schemas.microsoft.com/office/drawing/2014/chart" uri="{C3380CC4-5D6E-409C-BE32-E72D297353CC}">
                <c16:uniqueId val="{00000009-AADB-45D5-84C2-1EA726C5E78C}"/>
              </c:ext>
            </c:extLst>
          </c:dPt>
          <c:dPt>
            <c:idx val="5"/>
            <c:invertIfNegative val="1"/>
            <c:bubble3D val="0"/>
            <c:spPr>
              <a:solidFill>
                <a:schemeClr val="accent6"/>
              </a:solidFill>
              <a:ln>
                <a:noFill/>
              </a:ln>
              <a:effectLst/>
            </c:spPr>
            <c:extLst>
              <c:ext xmlns:c16="http://schemas.microsoft.com/office/drawing/2014/chart" uri="{C3380CC4-5D6E-409C-BE32-E72D297353CC}">
                <c16:uniqueId val="{0000000B-AADB-45D5-84C2-1EA726C5E78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Sheet18!$U$2:$U$7</c:f>
              <c:strCache>
                <c:ptCount val="6"/>
                <c:pt idx="0">
                  <c:v>Do 6 mjeseci</c:v>
                </c:pt>
                <c:pt idx="1">
                  <c:v>6 – 12 mjeseci</c:v>
                </c:pt>
                <c:pt idx="2">
                  <c:v>12 – 18 mjeseci</c:v>
                </c:pt>
                <c:pt idx="3">
                  <c:v>18 – 24 mjeseca</c:v>
                </c:pt>
                <c:pt idx="4">
                  <c:v>Mislim da neću dostići prijašnju razinu ili ne planiram nastaviti s poslovanjem</c:v>
                </c:pt>
                <c:pt idx="5">
                  <c:v>Ne znam, ne mogu procijeniti</c:v>
                </c:pt>
              </c:strCache>
            </c:strRef>
          </c:cat>
          <c:val>
            <c:numRef>
              <c:f>Sheet18!$W$2:$W$7</c:f>
              <c:numCache>
                <c:formatCode>0%</c:formatCode>
                <c:ptCount val="6"/>
                <c:pt idx="0">
                  <c:v>0.14545454545454545</c:v>
                </c:pt>
                <c:pt idx="1">
                  <c:v>0.22727272727272727</c:v>
                </c:pt>
                <c:pt idx="2">
                  <c:v>0.11818181818181818</c:v>
                </c:pt>
                <c:pt idx="3">
                  <c:v>7.2727272727272724E-2</c:v>
                </c:pt>
                <c:pt idx="4">
                  <c:v>5.4545454545454543E-2</c:v>
                </c:pt>
                <c:pt idx="5">
                  <c:v>0.33636363636363636</c:v>
                </c:pt>
              </c:numCache>
            </c:numRef>
          </c:val>
          <c:extLst>
            <c:ext xmlns:c16="http://schemas.microsoft.com/office/drawing/2014/chart" uri="{C3380CC4-5D6E-409C-BE32-E72D297353CC}">
              <c16:uniqueId val="{0000000C-AADB-45D5-84C2-1EA726C5E78C}"/>
            </c:ext>
          </c:extLst>
        </c:ser>
        <c:dLbls>
          <c:dLblPos val="outEnd"/>
          <c:showLegendKey val="0"/>
          <c:showVal val="1"/>
          <c:showCatName val="0"/>
          <c:showSerName val="0"/>
          <c:showPercent val="0"/>
          <c:showBubbleSize val="0"/>
        </c:dLbls>
        <c:gapWidth val="219"/>
        <c:overlap val="-27"/>
        <c:axId val="936024440"/>
        <c:axId val="377073966"/>
      </c:barChart>
      <c:catAx>
        <c:axId val="936024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hr-H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77073966"/>
        <c:crosses val="autoZero"/>
        <c:auto val="1"/>
        <c:lblAlgn val="ctr"/>
        <c:lblOffset val="100"/>
        <c:noMultiLvlLbl val="1"/>
      </c:catAx>
      <c:valAx>
        <c:axId val="37707396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hr-H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936024440"/>
        <c:crosses val="autoZero"/>
        <c:crossBetween val="between"/>
      </c:valAx>
      <c:spPr>
        <a:noFill/>
        <a:ln>
          <a:noFill/>
        </a:ln>
        <a:effectLst/>
      </c:spPr>
    </c:plotArea>
    <c:plotVisOnly val="1"/>
    <c:dispBlanksAs val="zero"/>
    <c:showDLblsOverMax val="1"/>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EB5-40D4-B396-EE905E8078A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EB5-40D4-B396-EE905E8078A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EB5-40D4-B396-EE905E8078A2}"/>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EB5-40D4-B396-EE905E8078A2}"/>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EB5-40D4-B396-EE905E8078A2}"/>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EB5-40D4-B396-EE905E8078A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'Smještajni kapaciteti '!$N$17:$N$22</c:f>
              <c:strCache>
                <c:ptCount val="6"/>
                <c:pt idx="0">
                  <c:v>Hoteli</c:v>
                </c:pt>
                <c:pt idx="1">
                  <c:v>Kampovi</c:v>
                </c:pt>
                <c:pt idx="2">
                  <c:v>Privatni smještaj</c:v>
                </c:pt>
                <c:pt idx="3">
                  <c:v>Pansioni</c:v>
                </c:pt>
                <c:pt idx="4">
                  <c:v>Agroturizam/seosko domaćinstvo</c:v>
                </c:pt>
                <c:pt idx="5">
                  <c:v>Hostel</c:v>
                </c:pt>
              </c:strCache>
            </c:strRef>
          </c:cat>
          <c:val>
            <c:numRef>
              <c:f>'Smještajni kapaciteti '!$O$17:$O$22</c:f>
              <c:numCache>
                <c:formatCode>General</c:formatCode>
                <c:ptCount val="6"/>
                <c:pt idx="0">
                  <c:v>580</c:v>
                </c:pt>
                <c:pt idx="1">
                  <c:v>151</c:v>
                </c:pt>
                <c:pt idx="2">
                  <c:v>365</c:v>
                </c:pt>
                <c:pt idx="3">
                  <c:v>85</c:v>
                </c:pt>
                <c:pt idx="4">
                  <c:v>50</c:v>
                </c:pt>
                <c:pt idx="5">
                  <c:v>51</c:v>
                </c:pt>
              </c:numCache>
            </c:numRef>
          </c:val>
          <c:extLst>
            <c:ext xmlns:c16="http://schemas.microsoft.com/office/drawing/2014/chart" uri="{C3380CC4-5D6E-409C-BE32-E72D297353CC}">
              <c16:uniqueId val="{0000000C-8EB5-40D4-B396-EE905E8078A2}"/>
            </c:ext>
          </c:extLst>
        </c:ser>
        <c:dLbls>
          <c:showLegendKey val="0"/>
          <c:showVal val="0"/>
          <c:showCatName val="0"/>
          <c:showSerName val="0"/>
          <c:showPercent val="1"/>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15461034660387"/>
          <c:y val="4.9178312170438152E-2"/>
          <c:w val="0.86375759368107152"/>
          <c:h val="0.84112303035291325"/>
        </c:manualLayout>
      </c:layout>
      <c:lineChart>
        <c:grouping val="standard"/>
        <c:varyColors val="0"/>
        <c:ser>
          <c:idx val="0"/>
          <c:order val="0"/>
          <c:spPr>
            <a:ln w="28575" cap="rnd">
              <a:solidFill>
                <a:srgbClr val="FF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'Broj stalnih postelja u KZŽ'!$H$4:$S$4</c:f>
              <c:numCache>
                <c:formatCode>General</c:formatCode>
                <c:ptCount val="12"/>
                <c:pt idx="0">
                  <c:v>2009</c:v>
                </c:pt>
                <c:pt idx="1">
                  <c:v>2010</c:v>
                </c:pt>
                <c:pt idx="2">
                  <c:v>2011</c:v>
                </c:pt>
                <c:pt idx="3">
                  <c:v>2012</c:v>
                </c:pt>
                <c:pt idx="4">
                  <c:v>2013</c:v>
                </c:pt>
                <c:pt idx="5">
                  <c:v>2014</c:v>
                </c:pt>
                <c:pt idx="6">
                  <c:v>2015</c:v>
                </c:pt>
                <c:pt idx="7">
                  <c:v>2016</c:v>
                </c:pt>
                <c:pt idx="8">
                  <c:v>2017</c:v>
                </c:pt>
                <c:pt idx="9">
                  <c:v>2018</c:v>
                </c:pt>
                <c:pt idx="10">
                  <c:v>2019</c:v>
                </c:pt>
                <c:pt idx="11">
                  <c:v>2020</c:v>
                </c:pt>
              </c:numCache>
            </c:numRef>
          </c:cat>
          <c:val>
            <c:numRef>
              <c:f>'Broj stalnih postelja u KZŽ'!$H$5:$S$5</c:f>
              <c:numCache>
                <c:formatCode>General</c:formatCode>
                <c:ptCount val="12"/>
                <c:pt idx="0">
                  <c:v>1623</c:v>
                </c:pt>
                <c:pt idx="1">
                  <c:v>1785</c:v>
                </c:pt>
                <c:pt idx="2">
                  <c:v>1751</c:v>
                </c:pt>
                <c:pt idx="3">
                  <c:v>1971</c:v>
                </c:pt>
                <c:pt idx="4">
                  <c:v>2107</c:v>
                </c:pt>
                <c:pt idx="5">
                  <c:v>1918</c:v>
                </c:pt>
                <c:pt idx="6">
                  <c:v>2125</c:v>
                </c:pt>
                <c:pt idx="7">
                  <c:v>2291</c:v>
                </c:pt>
                <c:pt idx="8">
                  <c:v>2653</c:v>
                </c:pt>
                <c:pt idx="9">
                  <c:v>2677</c:v>
                </c:pt>
                <c:pt idx="10">
                  <c:v>2970</c:v>
                </c:pt>
                <c:pt idx="11">
                  <c:v>2971</c:v>
                </c:pt>
              </c:numCache>
            </c:numRef>
          </c:val>
          <c:smooth val="0"/>
          <c:extLst>
            <c:ext xmlns:c16="http://schemas.microsoft.com/office/drawing/2014/chart" uri="{C3380CC4-5D6E-409C-BE32-E72D297353CC}">
              <c16:uniqueId val="{00000000-69A1-4F67-85DB-CD2554970E88}"/>
            </c:ext>
          </c:extLst>
        </c:ser>
        <c:dLbls>
          <c:dLblPos val="t"/>
          <c:showLegendKey val="0"/>
          <c:showVal val="1"/>
          <c:showCatName val="0"/>
          <c:showSerName val="0"/>
          <c:showPercent val="0"/>
          <c:showBubbleSize val="0"/>
        </c:dLbls>
        <c:smooth val="0"/>
        <c:axId val="376724032"/>
        <c:axId val="376724360"/>
      </c:lineChart>
      <c:catAx>
        <c:axId val="376724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76724360"/>
        <c:crosses val="autoZero"/>
        <c:auto val="1"/>
        <c:lblAlgn val="ctr"/>
        <c:lblOffset val="100"/>
        <c:noMultiLvlLbl val="0"/>
      </c:catAx>
      <c:valAx>
        <c:axId val="376724360"/>
        <c:scaling>
          <c:orientation val="minMax"/>
          <c:max val="3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broj posjetitelja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767240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'kupališni kapaciteti 2015-18'!$D$27</c:f>
              <c:strCache>
                <c:ptCount val="1"/>
                <c:pt idx="0">
                  <c:v>Broj posjetitelja kupališta</c:v>
                </c:pt>
              </c:strCache>
            </c:strRef>
          </c:tx>
          <c:spPr>
            <a:ln w="28575" cap="rnd">
              <a:solidFill>
                <a:schemeClr val="accent1"/>
              </a:solidFill>
              <a:round/>
            </a:ln>
            <a:effectLst/>
          </c:spPr>
          <c:marker>
            <c:symbol val="none"/>
          </c:marker>
          <c:dLbls>
            <c:dLbl>
              <c:idx val="0"/>
              <c:layout>
                <c:manualLayout>
                  <c:x val="-5.5889939810834066E-2"/>
                  <c:y val="-7.05550329256820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3E4-4CDE-AA44-BEAA4CA49086}"/>
                </c:ext>
              </c:extLst>
            </c:dLbl>
            <c:dLbl>
              <c:idx val="1"/>
              <c:layout>
                <c:manualLayout>
                  <c:x val="-4.5141874462596772E-2"/>
                  <c:y val="-0.108184383819379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3E4-4CDE-AA44-BEAA4CA49086}"/>
                </c:ext>
              </c:extLst>
            </c:dLbl>
            <c:dLbl>
              <c:idx val="2"/>
              <c:layout>
                <c:manualLayout>
                  <c:x val="-6.2338779019776441E-2"/>
                  <c:y val="-7.0555032925682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3E4-4CDE-AA44-BEAA4CA49086}"/>
                </c:ext>
              </c:extLst>
            </c:dLbl>
            <c:dLbl>
              <c:idx val="3"/>
              <c:layout>
                <c:manualLayout>
                  <c:x val="-4.7291487532244193E-2"/>
                  <c:y val="-8.46660395108184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3E4-4CDE-AA44-BEAA4CA49086}"/>
                </c:ext>
              </c:extLst>
            </c:dLbl>
            <c:dLbl>
              <c:idx val="4"/>
              <c:layout>
                <c:manualLayout>
                  <c:x val="-4.7291487532244277E-2"/>
                  <c:y val="-7.05550329256820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3E4-4CDE-AA44-BEAA4CA49086}"/>
                </c:ext>
              </c:extLst>
            </c:dLbl>
            <c:dLbl>
              <c:idx val="5"/>
              <c:layout>
                <c:manualLayout>
                  <c:x val="-5.5889939810834052E-2"/>
                  <c:y val="-7.05550329256820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3E4-4CDE-AA44-BEAA4CA49086}"/>
                </c:ext>
              </c:extLst>
            </c:dLbl>
            <c:dLbl>
              <c:idx val="6"/>
              <c:layout>
                <c:manualLayout>
                  <c:x val="-6.4488392089423904E-2"/>
                  <c:y val="-6.58513640639699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3E4-4CDE-AA44-BEAA4CA49086}"/>
                </c:ext>
              </c:extLst>
            </c:dLbl>
            <c:dLbl>
              <c:idx val="7"/>
              <c:layout>
                <c:manualLayout>
                  <c:x val="-2.3645743766122097E-2"/>
                  <c:y val="-9.877704609595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3E4-4CDE-AA44-BEAA4CA490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'kupališni kapaciteti 2015-18'!$C$28:$C$35</c:f>
              <c:strCache>
                <c:ptCount val="8"/>
                <c:pt idx="0">
                  <c:v>2013.</c:v>
                </c:pt>
                <c:pt idx="1">
                  <c:v>2014.</c:v>
                </c:pt>
                <c:pt idx="2">
                  <c:v>2015.</c:v>
                </c:pt>
                <c:pt idx="3">
                  <c:v>2016.</c:v>
                </c:pt>
                <c:pt idx="4">
                  <c:v>2017.</c:v>
                </c:pt>
                <c:pt idx="5">
                  <c:v>2018.</c:v>
                </c:pt>
                <c:pt idx="6">
                  <c:v>2019.</c:v>
                </c:pt>
                <c:pt idx="7">
                  <c:v>2020.</c:v>
                </c:pt>
              </c:strCache>
            </c:strRef>
          </c:cat>
          <c:val>
            <c:numRef>
              <c:f>'kupališni kapaciteti 2015-18'!$D$28:$D$35</c:f>
              <c:numCache>
                <c:formatCode>#,##0</c:formatCode>
                <c:ptCount val="8"/>
                <c:pt idx="0">
                  <c:v>377656</c:v>
                </c:pt>
                <c:pt idx="1">
                  <c:v>405284</c:v>
                </c:pt>
                <c:pt idx="2">
                  <c:v>533007</c:v>
                </c:pt>
                <c:pt idx="3">
                  <c:v>614799</c:v>
                </c:pt>
                <c:pt idx="4">
                  <c:v>684928</c:v>
                </c:pt>
                <c:pt idx="5">
                  <c:v>729466</c:v>
                </c:pt>
                <c:pt idx="6">
                  <c:v>778790</c:v>
                </c:pt>
                <c:pt idx="7">
                  <c:v>368317</c:v>
                </c:pt>
              </c:numCache>
            </c:numRef>
          </c:val>
          <c:smooth val="0"/>
          <c:extLst>
            <c:ext xmlns:c16="http://schemas.microsoft.com/office/drawing/2014/chart" uri="{C3380CC4-5D6E-409C-BE32-E72D297353CC}">
              <c16:uniqueId val="{00000000-E3E4-4CDE-AA44-BEAA4CA49086}"/>
            </c:ext>
          </c:extLst>
        </c:ser>
        <c:dLbls>
          <c:showLegendKey val="0"/>
          <c:showVal val="1"/>
          <c:showCatName val="0"/>
          <c:showSerName val="0"/>
          <c:showPercent val="0"/>
          <c:showBubbleSize val="0"/>
        </c:dLbls>
        <c:smooth val="0"/>
        <c:axId val="193141688"/>
        <c:axId val="193145296"/>
      </c:lineChart>
      <c:catAx>
        <c:axId val="193141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93145296"/>
        <c:crosses val="autoZero"/>
        <c:auto val="1"/>
        <c:lblAlgn val="ctr"/>
        <c:lblOffset val="100"/>
        <c:noMultiLvlLbl val="0"/>
      </c:catAx>
      <c:valAx>
        <c:axId val="19314529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931416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'br. posjet. po tipu tur.atrakc.'!$B$5</c:f>
              <c:strCache>
                <c:ptCount val="1"/>
                <c:pt idx="0">
                  <c:v>Svetište MBB</c:v>
                </c:pt>
              </c:strCache>
            </c:strRef>
          </c:tx>
          <c:spPr>
            <a:solidFill>
              <a:schemeClr val="accent1"/>
            </a:solidFill>
            <a:ln>
              <a:noFill/>
            </a:ln>
            <a:effectLst/>
          </c:spPr>
          <c:invertIfNegative val="0"/>
          <c:cat>
            <c:strRef>
              <c:f>'br. posjet. po tipu tur.atrakc.'!$C$4:$J$4</c:f>
              <c:strCache>
                <c:ptCount val="8"/>
                <c:pt idx="0">
                  <c:v> Broj posjetitelja 2013.</c:v>
                </c:pt>
                <c:pt idx="1">
                  <c:v> Broj posjetitelja 2014.</c:v>
                </c:pt>
                <c:pt idx="2">
                  <c:v> Broj posjetitelja 2015.</c:v>
                </c:pt>
                <c:pt idx="3">
                  <c:v> Broj posjetitelja 2016.</c:v>
                </c:pt>
                <c:pt idx="4">
                  <c:v> Broj posjetitelja 2017.</c:v>
                </c:pt>
                <c:pt idx="5">
                  <c:v> Broj posjetitelja 2018.</c:v>
                </c:pt>
                <c:pt idx="6">
                  <c:v> Broj posjetitelja 2019.</c:v>
                </c:pt>
                <c:pt idx="7">
                  <c:v> Broj posjetitelja 2020.</c:v>
                </c:pt>
              </c:strCache>
            </c:strRef>
          </c:cat>
          <c:val>
            <c:numRef>
              <c:f>'br. posjet. po tipu tur.atrakc.'!$C$5:$J$5</c:f>
              <c:numCache>
                <c:formatCode>General</c:formatCode>
                <c:ptCount val="8"/>
                <c:pt idx="0">
                  <c:v>886500</c:v>
                </c:pt>
                <c:pt idx="1">
                  <c:v>843000</c:v>
                </c:pt>
                <c:pt idx="2">
                  <c:v>812000</c:v>
                </c:pt>
                <c:pt idx="3">
                  <c:v>1022300</c:v>
                </c:pt>
                <c:pt idx="4">
                  <c:v>970740</c:v>
                </c:pt>
                <c:pt idx="5">
                  <c:v>956170</c:v>
                </c:pt>
                <c:pt idx="6">
                  <c:v>971250</c:v>
                </c:pt>
                <c:pt idx="7" formatCode="#,##0">
                  <c:v>282700</c:v>
                </c:pt>
              </c:numCache>
            </c:numRef>
          </c:val>
          <c:extLst>
            <c:ext xmlns:c16="http://schemas.microsoft.com/office/drawing/2014/chart" uri="{C3380CC4-5D6E-409C-BE32-E72D297353CC}">
              <c16:uniqueId val="{00000000-78FB-44AD-A4F4-DA80BB1A529E}"/>
            </c:ext>
          </c:extLst>
        </c:ser>
        <c:ser>
          <c:idx val="1"/>
          <c:order val="1"/>
          <c:tx>
            <c:strRef>
              <c:f>'br. posjet. po tipu tur.atrakc.'!$B$6</c:f>
              <c:strCache>
                <c:ptCount val="1"/>
                <c:pt idx="0">
                  <c:v>Kupališta</c:v>
                </c:pt>
              </c:strCache>
            </c:strRef>
          </c:tx>
          <c:spPr>
            <a:solidFill>
              <a:schemeClr val="accent2"/>
            </a:solidFill>
            <a:ln>
              <a:noFill/>
            </a:ln>
            <a:effectLst/>
          </c:spPr>
          <c:invertIfNegative val="0"/>
          <c:cat>
            <c:strRef>
              <c:f>'br. posjet. po tipu tur.atrakc.'!$C$4:$J$4</c:f>
              <c:strCache>
                <c:ptCount val="8"/>
                <c:pt idx="0">
                  <c:v> Broj posjetitelja 2013.</c:v>
                </c:pt>
                <c:pt idx="1">
                  <c:v> Broj posjetitelja 2014.</c:v>
                </c:pt>
                <c:pt idx="2">
                  <c:v> Broj posjetitelja 2015.</c:v>
                </c:pt>
                <c:pt idx="3">
                  <c:v> Broj posjetitelja 2016.</c:v>
                </c:pt>
                <c:pt idx="4">
                  <c:v> Broj posjetitelja 2017.</c:v>
                </c:pt>
                <c:pt idx="5">
                  <c:v> Broj posjetitelja 2018.</c:v>
                </c:pt>
                <c:pt idx="6">
                  <c:v> Broj posjetitelja 2019.</c:v>
                </c:pt>
                <c:pt idx="7">
                  <c:v> Broj posjetitelja 2020.</c:v>
                </c:pt>
              </c:strCache>
            </c:strRef>
          </c:cat>
          <c:val>
            <c:numRef>
              <c:f>'br. posjet. po tipu tur.atrakc.'!$C$6:$J$6</c:f>
              <c:numCache>
                <c:formatCode>General</c:formatCode>
                <c:ptCount val="8"/>
                <c:pt idx="0">
                  <c:v>377656</c:v>
                </c:pt>
                <c:pt idx="1">
                  <c:v>405284</c:v>
                </c:pt>
                <c:pt idx="2">
                  <c:v>533007</c:v>
                </c:pt>
                <c:pt idx="3">
                  <c:v>608731</c:v>
                </c:pt>
                <c:pt idx="4">
                  <c:v>679237</c:v>
                </c:pt>
                <c:pt idx="5">
                  <c:v>729466</c:v>
                </c:pt>
                <c:pt idx="6">
                  <c:v>778790</c:v>
                </c:pt>
                <c:pt idx="7" formatCode="#,##0">
                  <c:v>368317</c:v>
                </c:pt>
              </c:numCache>
            </c:numRef>
          </c:val>
          <c:extLst>
            <c:ext xmlns:c16="http://schemas.microsoft.com/office/drawing/2014/chart" uri="{C3380CC4-5D6E-409C-BE32-E72D297353CC}">
              <c16:uniqueId val="{00000001-78FB-44AD-A4F4-DA80BB1A529E}"/>
            </c:ext>
          </c:extLst>
        </c:ser>
        <c:ser>
          <c:idx val="2"/>
          <c:order val="2"/>
          <c:tx>
            <c:strRef>
              <c:f>'br. posjet. po tipu tur.atrakc.'!$B$7</c:f>
              <c:strCache>
                <c:ptCount val="1"/>
                <c:pt idx="0">
                  <c:v>Muzeji</c:v>
                </c:pt>
              </c:strCache>
            </c:strRef>
          </c:tx>
          <c:spPr>
            <a:solidFill>
              <a:schemeClr val="accent3"/>
            </a:solidFill>
            <a:ln>
              <a:noFill/>
            </a:ln>
            <a:effectLst/>
          </c:spPr>
          <c:invertIfNegative val="0"/>
          <c:cat>
            <c:strRef>
              <c:f>'br. posjet. po tipu tur.atrakc.'!$C$4:$J$4</c:f>
              <c:strCache>
                <c:ptCount val="8"/>
                <c:pt idx="0">
                  <c:v> Broj posjetitelja 2013.</c:v>
                </c:pt>
                <c:pt idx="1">
                  <c:v> Broj posjetitelja 2014.</c:v>
                </c:pt>
                <c:pt idx="2">
                  <c:v> Broj posjetitelja 2015.</c:v>
                </c:pt>
                <c:pt idx="3">
                  <c:v> Broj posjetitelja 2016.</c:v>
                </c:pt>
                <c:pt idx="4">
                  <c:v> Broj posjetitelja 2017.</c:v>
                </c:pt>
                <c:pt idx="5">
                  <c:v> Broj posjetitelja 2018.</c:v>
                </c:pt>
                <c:pt idx="6">
                  <c:v> Broj posjetitelja 2019.</c:v>
                </c:pt>
                <c:pt idx="7">
                  <c:v> Broj posjetitelja 2020.</c:v>
                </c:pt>
              </c:strCache>
            </c:strRef>
          </c:cat>
          <c:val>
            <c:numRef>
              <c:f>'br. posjet. po tipu tur.atrakc.'!$C$7:$J$7</c:f>
              <c:numCache>
                <c:formatCode>General</c:formatCode>
                <c:ptCount val="8"/>
                <c:pt idx="0">
                  <c:v>171589</c:v>
                </c:pt>
                <c:pt idx="1">
                  <c:v>168114</c:v>
                </c:pt>
                <c:pt idx="2">
                  <c:v>166737</c:v>
                </c:pt>
                <c:pt idx="3">
                  <c:v>177797</c:v>
                </c:pt>
                <c:pt idx="4">
                  <c:v>206636</c:v>
                </c:pt>
                <c:pt idx="5">
                  <c:v>198986</c:v>
                </c:pt>
                <c:pt idx="6">
                  <c:v>208583</c:v>
                </c:pt>
                <c:pt idx="7" formatCode="#,##0">
                  <c:v>90893</c:v>
                </c:pt>
              </c:numCache>
            </c:numRef>
          </c:val>
          <c:extLst>
            <c:ext xmlns:c16="http://schemas.microsoft.com/office/drawing/2014/chart" uri="{C3380CC4-5D6E-409C-BE32-E72D297353CC}">
              <c16:uniqueId val="{00000002-78FB-44AD-A4F4-DA80BB1A529E}"/>
            </c:ext>
          </c:extLst>
        </c:ser>
        <c:dLbls>
          <c:showLegendKey val="0"/>
          <c:showVal val="0"/>
          <c:showCatName val="0"/>
          <c:showSerName val="0"/>
          <c:showPercent val="0"/>
          <c:showBubbleSize val="0"/>
        </c:dLbls>
        <c:gapWidth val="219"/>
        <c:overlap val="-27"/>
        <c:axId val="435765504"/>
        <c:axId val="435766160"/>
      </c:barChart>
      <c:catAx>
        <c:axId val="4357655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5766160"/>
        <c:crosses val="autoZero"/>
        <c:auto val="1"/>
        <c:lblAlgn val="ctr"/>
        <c:lblOffset val="100"/>
        <c:noMultiLvlLbl val="0"/>
      </c:catAx>
      <c:valAx>
        <c:axId val="4357661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57655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'Dolasci i noćenja'!$B$5</c:f>
              <c:strCache>
                <c:ptCount val="1"/>
                <c:pt idx="0">
                  <c:v>dolasci</c:v>
                </c:pt>
              </c:strCache>
            </c:strRef>
          </c:tx>
          <c:spPr>
            <a:ln w="28575" cap="rnd">
              <a:solidFill>
                <a:srgbClr val="C00000"/>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'Dolasci i noćenja'!$C$4:$M$4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'Dolasci i noćenja'!$C$5:$M$5</c:f>
              <c:numCache>
                <c:formatCode>#,##0</c:formatCode>
                <c:ptCount val="11"/>
                <c:pt idx="0">
                  <c:v>51921</c:v>
                </c:pt>
                <c:pt idx="1">
                  <c:v>60646</c:v>
                </c:pt>
                <c:pt idx="2">
                  <c:v>62218</c:v>
                </c:pt>
                <c:pt idx="3">
                  <c:v>70472</c:v>
                </c:pt>
                <c:pt idx="4">
                  <c:v>81019</c:v>
                </c:pt>
                <c:pt idx="5">
                  <c:v>93828</c:v>
                </c:pt>
                <c:pt idx="6">
                  <c:v>122711</c:v>
                </c:pt>
                <c:pt idx="7">
                  <c:v>141793</c:v>
                </c:pt>
                <c:pt idx="8">
                  <c:v>159191</c:v>
                </c:pt>
                <c:pt idx="9">
                  <c:v>176610</c:v>
                </c:pt>
                <c:pt idx="10">
                  <c:v>89874</c:v>
                </c:pt>
              </c:numCache>
            </c:numRef>
          </c:val>
          <c:smooth val="0"/>
          <c:extLst>
            <c:ext xmlns:c16="http://schemas.microsoft.com/office/drawing/2014/chart" uri="{C3380CC4-5D6E-409C-BE32-E72D297353CC}">
              <c16:uniqueId val="{00000000-B7D5-48EF-A11F-3CEE4BD4380A}"/>
            </c:ext>
          </c:extLst>
        </c:ser>
        <c:ser>
          <c:idx val="1"/>
          <c:order val="1"/>
          <c:tx>
            <c:strRef>
              <c:f>'Dolasci i noćenja'!$B$6</c:f>
              <c:strCache>
                <c:ptCount val="1"/>
                <c:pt idx="0">
                  <c:v>noćenja</c:v>
                </c:pt>
              </c:strCache>
            </c:strRef>
          </c:tx>
          <c:spPr>
            <a:ln w="28575" cap="rnd">
              <a:solidFill>
                <a:sysClr val="windowText" lastClr="000000">
                  <a:lumMod val="65000"/>
                  <a:lumOff val="35000"/>
                </a:sysClr>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'Dolasci i noćenja'!$C$4:$M$4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'Dolasci i noćenja'!$C$6:$M$6</c:f>
              <c:numCache>
                <c:formatCode>#,##0</c:formatCode>
                <c:ptCount val="11"/>
                <c:pt idx="0">
                  <c:v>128820</c:v>
                </c:pt>
                <c:pt idx="1">
                  <c:v>141338</c:v>
                </c:pt>
                <c:pt idx="2">
                  <c:v>149129</c:v>
                </c:pt>
                <c:pt idx="3">
                  <c:v>159072</c:v>
                </c:pt>
                <c:pt idx="4">
                  <c:v>185732</c:v>
                </c:pt>
                <c:pt idx="5">
                  <c:v>202594</c:v>
                </c:pt>
                <c:pt idx="6">
                  <c:v>281291</c:v>
                </c:pt>
                <c:pt idx="7">
                  <c:v>324551</c:v>
                </c:pt>
                <c:pt idx="8">
                  <c:v>348694</c:v>
                </c:pt>
                <c:pt idx="9">
                  <c:v>373149</c:v>
                </c:pt>
                <c:pt idx="10">
                  <c:v>204957</c:v>
                </c:pt>
              </c:numCache>
            </c:numRef>
          </c:val>
          <c:smooth val="0"/>
          <c:extLst>
            <c:ext xmlns:c16="http://schemas.microsoft.com/office/drawing/2014/chart" uri="{C3380CC4-5D6E-409C-BE32-E72D297353CC}">
              <c16:uniqueId val="{00000001-B7D5-48EF-A11F-3CEE4BD4380A}"/>
            </c:ext>
          </c:extLst>
        </c:ser>
        <c:dLbls>
          <c:dLblPos val="t"/>
          <c:showLegendKey val="0"/>
          <c:showVal val="1"/>
          <c:showCatName val="0"/>
          <c:showSerName val="0"/>
          <c:showPercent val="0"/>
          <c:showBubbleSize val="0"/>
        </c:dLbls>
        <c:smooth val="0"/>
        <c:axId val="456643288"/>
        <c:axId val="442341048"/>
      </c:lineChart>
      <c:catAx>
        <c:axId val="4566432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42341048"/>
        <c:crosses val="autoZero"/>
        <c:auto val="1"/>
        <c:lblAlgn val="ctr"/>
        <c:lblOffset val="100"/>
        <c:noMultiLvlLbl val="0"/>
      </c:catAx>
      <c:valAx>
        <c:axId val="4423410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a:t>broj dolazaka i broj noćenja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56643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lineChart>
        <c:grouping val="standard"/>
        <c:varyColors val="0"/>
        <c:ser>
          <c:idx val="0"/>
          <c:order val="0"/>
          <c:tx>
            <c:v>Procjena broja stanovnika KZŽ</c:v>
          </c:tx>
          <c:spPr>
            <a:ln w="28575" cap="rnd">
              <a:solidFill>
                <a:srgbClr val="FF0000"/>
              </a:solidFill>
              <a:round/>
            </a:ln>
            <a:effectLst/>
          </c:spPr>
          <c:marker>
            <c:symbol val="circle"/>
            <c:size val="5"/>
            <c:spPr>
              <a:solidFill>
                <a:srgbClr val="FF0000"/>
              </a:solidFill>
              <a:ln w="9525">
                <a:solidFill>
                  <a:srgbClr val="FF0000"/>
                </a:solidFill>
              </a:ln>
              <a:effectLst/>
            </c:spPr>
          </c:marker>
          <c:dLbls>
            <c:dLbl>
              <c:idx val="0"/>
              <c:layout>
                <c:manualLayout>
                  <c:x val="1.4040014040014041E-2"/>
                  <c:y val="-9.96264009962640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79C-4AC7-A008-68D97AD5A3D8}"/>
                </c:ext>
              </c:extLst>
            </c:dLbl>
            <c:dLbl>
              <c:idx val="1"/>
              <c:layout>
                <c:manualLayout>
                  <c:x val="7.020007020006977E-3"/>
                  <c:y val="-9.96264009962640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79C-4AC7-A008-68D97AD5A3D8}"/>
                </c:ext>
              </c:extLst>
            </c:dLbl>
            <c:dLbl>
              <c:idx val="2"/>
              <c:layout>
                <c:manualLayout>
                  <c:x val="4.6800046800046799E-3"/>
                  <c:y val="-4.981320049813246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79C-4AC7-A008-68D97AD5A3D8}"/>
                </c:ext>
              </c:extLst>
            </c:dLbl>
            <c:dLbl>
              <c:idx val="3"/>
              <c:layout>
                <c:manualLayout>
                  <c:x val="2.34000234000234E-3"/>
                  <c:y val="-2.49066002490660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79C-4AC7-A008-68D97AD5A3D8}"/>
                </c:ext>
              </c:extLst>
            </c:dLbl>
            <c:dLbl>
              <c:idx val="4"/>
              <c:layout>
                <c:manualLayout>
                  <c:x val="0"/>
                  <c:y val="-2.49066002490660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79C-4AC7-A008-68D97AD5A3D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Procjena!$B$5:$B$10</c:f>
              <c:strCache>
                <c:ptCount val="6"/>
                <c:pt idx="0">
                  <c:v>2014.</c:v>
                </c:pt>
                <c:pt idx="1">
                  <c:v>2015.</c:v>
                </c:pt>
                <c:pt idx="2">
                  <c:v>2016.</c:v>
                </c:pt>
                <c:pt idx="3">
                  <c:v>2017.</c:v>
                </c:pt>
                <c:pt idx="4">
                  <c:v>2018.</c:v>
                </c:pt>
                <c:pt idx="5">
                  <c:v>2019.</c:v>
                </c:pt>
              </c:strCache>
            </c:strRef>
          </c:cat>
          <c:val>
            <c:numRef>
              <c:f>Procjena!$C$5:$C$10</c:f>
              <c:numCache>
                <c:formatCode>#,##0</c:formatCode>
                <c:ptCount val="6"/>
                <c:pt idx="0">
                  <c:v>129967</c:v>
                </c:pt>
                <c:pt idx="1">
                  <c:v>128905</c:v>
                </c:pt>
                <c:pt idx="2">
                  <c:v>127748</c:v>
                </c:pt>
                <c:pt idx="3">
                  <c:v>126334</c:v>
                </c:pt>
                <c:pt idx="4">
                  <c:v>125357</c:v>
                </c:pt>
                <c:pt idx="5">
                  <c:v>124517</c:v>
                </c:pt>
              </c:numCache>
            </c:numRef>
          </c:val>
          <c:smooth val="0"/>
          <c:extLst>
            <c:ext xmlns:c16="http://schemas.microsoft.com/office/drawing/2014/chart" uri="{C3380CC4-5D6E-409C-BE32-E72D297353CC}">
              <c16:uniqueId val="{00000000-179C-4AC7-A008-68D97AD5A3D8}"/>
            </c:ext>
          </c:extLst>
        </c:ser>
        <c:dLbls>
          <c:showLegendKey val="0"/>
          <c:showVal val="0"/>
          <c:showCatName val="0"/>
          <c:showSerName val="0"/>
          <c:showPercent val="0"/>
          <c:showBubbleSize val="0"/>
        </c:dLbls>
        <c:marker val="1"/>
        <c:smooth val="0"/>
        <c:axId val="1442091583"/>
        <c:axId val="1442091999"/>
      </c:lineChart>
      <c:catAx>
        <c:axId val="14420915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42091999"/>
        <c:crosses val="autoZero"/>
        <c:auto val="1"/>
        <c:lblAlgn val="ctr"/>
        <c:lblOffset val="100"/>
        <c:noMultiLvlLbl val="0"/>
      </c:catAx>
      <c:valAx>
        <c:axId val="1442091999"/>
        <c:scaling>
          <c:orientation val="minMax"/>
          <c:max val="132000"/>
          <c:min val="122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42091583"/>
        <c:crosses val="autoZero"/>
        <c:crossBetween val="between"/>
        <c:majorUnit val="2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'emitiv tržišta prema br nocenja'!$I$63</c:f>
              <c:strCache>
                <c:ptCount val="1"/>
                <c:pt idx="0">
                  <c:v>Slovenija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'emitiv tržišta prema br nocenja'!$J$62:$M$62</c:f>
              <c:strCache>
                <c:ptCount val="4"/>
                <c:pt idx="0">
                  <c:v>2016.</c:v>
                </c:pt>
                <c:pt idx="1">
                  <c:v>2017.</c:v>
                </c:pt>
                <c:pt idx="2">
                  <c:v>2018.</c:v>
                </c:pt>
                <c:pt idx="3">
                  <c:v>2019.</c:v>
                </c:pt>
              </c:strCache>
            </c:strRef>
          </c:cat>
          <c:val>
            <c:numRef>
              <c:f>'emitiv tržišta prema br nocenja'!$J$63:$M$63</c:f>
              <c:numCache>
                <c:formatCode>#,##0</c:formatCode>
                <c:ptCount val="4"/>
                <c:pt idx="0">
                  <c:v>35493</c:v>
                </c:pt>
                <c:pt idx="1">
                  <c:v>42181</c:v>
                </c:pt>
                <c:pt idx="2">
                  <c:v>47558</c:v>
                </c:pt>
                <c:pt idx="3">
                  <c:v>54238</c:v>
                </c:pt>
              </c:numCache>
            </c:numRef>
          </c:val>
          <c:extLst>
            <c:ext xmlns:c16="http://schemas.microsoft.com/office/drawing/2014/chart" uri="{C3380CC4-5D6E-409C-BE32-E72D297353CC}">
              <c16:uniqueId val="{00000000-1DCC-4C65-92DA-68053747783B}"/>
            </c:ext>
          </c:extLst>
        </c:ser>
        <c:ser>
          <c:idx val="1"/>
          <c:order val="1"/>
          <c:tx>
            <c:strRef>
              <c:f>'emitiv tržišta prema br nocenja'!$I$64</c:f>
              <c:strCache>
                <c:ptCount val="1"/>
                <c:pt idx="0">
                  <c:v>Njemačka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'emitiv tržišta prema br nocenja'!$J$62:$M$62</c:f>
              <c:strCache>
                <c:ptCount val="4"/>
                <c:pt idx="0">
                  <c:v>2016.</c:v>
                </c:pt>
                <c:pt idx="1">
                  <c:v>2017.</c:v>
                </c:pt>
                <c:pt idx="2">
                  <c:v>2018.</c:v>
                </c:pt>
                <c:pt idx="3">
                  <c:v>2019.</c:v>
                </c:pt>
              </c:strCache>
            </c:strRef>
          </c:cat>
          <c:val>
            <c:numRef>
              <c:f>'emitiv tržišta prema br nocenja'!$J$64:$M$64</c:f>
              <c:numCache>
                <c:formatCode>#,##0</c:formatCode>
                <c:ptCount val="4"/>
                <c:pt idx="0">
                  <c:v>14577</c:v>
                </c:pt>
                <c:pt idx="1">
                  <c:v>20884</c:v>
                </c:pt>
                <c:pt idx="2">
                  <c:v>22226</c:v>
                </c:pt>
                <c:pt idx="3">
                  <c:v>23324</c:v>
                </c:pt>
              </c:numCache>
            </c:numRef>
          </c:val>
          <c:extLst>
            <c:ext xmlns:c16="http://schemas.microsoft.com/office/drawing/2014/chart" uri="{C3380CC4-5D6E-409C-BE32-E72D297353CC}">
              <c16:uniqueId val="{00000001-1DCC-4C65-92DA-68053747783B}"/>
            </c:ext>
          </c:extLst>
        </c:ser>
        <c:ser>
          <c:idx val="2"/>
          <c:order val="2"/>
          <c:tx>
            <c:strRef>
              <c:f>'emitiv tržišta prema br nocenja'!$I$65</c:f>
              <c:strCache>
                <c:ptCount val="1"/>
                <c:pt idx="0">
                  <c:v>Poljska</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'emitiv tržišta prema br nocenja'!$J$62:$M$62</c:f>
              <c:strCache>
                <c:ptCount val="4"/>
                <c:pt idx="0">
                  <c:v>2016.</c:v>
                </c:pt>
                <c:pt idx="1">
                  <c:v>2017.</c:v>
                </c:pt>
                <c:pt idx="2">
                  <c:v>2018.</c:v>
                </c:pt>
                <c:pt idx="3">
                  <c:v>2019.</c:v>
                </c:pt>
              </c:strCache>
            </c:strRef>
          </c:cat>
          <c:val>
            <c:numRef>
              <c:f>'emitiv tržišta prema br nocenja'!$J$65:$M$65</c:f>
              <c:numCache>
                <c:formatCode>#,##0</c:formatCode>
                <c:ptCount val="4"/>
                <c:pt idx="0">
                  <c:v>7166</c:v>
                </c:pt>
                <c:pt idx="1">
                  <c:v>13994</c:v>
                </c:pt>
                <c:pt idx="2">
                  <c:v>17784</c:v>
                </c:pt>
                <c:pt idx="3">
                  <c:v>21525</c:v>
                </c:pt>
              </c:numCache>
            </c:numRef>
          </c:val>
          <c:extLst>
            <c:ext xmlns:c16="http://schemas.microsoft.com/office/drawing/2014/chart" uri="{C3380CC4-5D6E-409C-BE32-E72D297353CC}">
              <c16:uniqueId val="{00000002-1DCC-4C65-92DA-68053747783B}"/>
            </c:ext>
          </c:extLst>
        </c:ser>
        <c:ser>
          <c:idx val="3"/>
          <c:order val="3"/>
          <c:tx>
            <c:strRef>
              <c:f>'emitiv tržišta prema br nocenja'!$I$66</c:f>
              <c:strCache>
                <c:ptCount val="1"/>
                <c:pt idx="0">
                  <c:v>Bosna i Hercegovina</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'emitiv tržišta prema br nocenja'!$J$62:$M$62</c:f>
              <c:strCache>
                <c:ptCount val="4"/>
                <c:pt idx="0">
                  <c:v>2016.</c:v>
                </c:pt>
                <c:pt idx="1">
                  <c:v>2017.</c:v>
                </c:pt>
                <c:pt idx="2">
                  <c:v>2018.</c:v>
                </c:pt>
                <c:pt idx="3">
                  <c:v>2019.</c:v>
                </c:pt>
              </c:strCache>
            </c:strRef>
          </c:cat>
          <c:val>
            <c:numRef>
              <c:f>'emitiv tržišta prema br nocenja'!$J$66:$M$66</c:f>
              <c:numCache>
                <c:formatCode>#,##0</c:formatCode>
                <c:ptCount val="4"/>
                <c:pt idx="0">
                  <c:v>10453</c:v>
                </c:pt>
                <c:pt idx="1">
                  <c:v>9139</c:v>
                </c:pt>
                <c:pt idx="2">
                  <c:v>9431</c:v>
                </c:pt>
                <c:pt idx="3">
                  <c:v>10032</c:v>
                </c:pt>
              </c:numCache>
            </c:numRef>
          </c:val>
          <c:extLst>
            <c:ext xmlns:c16="http://schemas.microsoft.com/office/drawing/2014/chart" uri="{C3380CC4-5D6E-409C-BE32-E72D297353CC}">
              <c16:uniqueId val="{00000003-1DCC-4C65-92DA-68053747783B}"/>
            </c:ext>
          </c:extLst>
        </c:ser>
        <c:ser>
          <c:idx val="4"/>
          <c:order val="4"/>
          <c:tx>
            <c:strRef>
              <c:f>'emitiv tržišta prema br nocenja'!$I$67</c:f>
              <c:strCache>
                <c:ptCount val="1"/>
                <c:pt idx="0">
                  <c:v>Italija</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'emitiv tržišta prema br nocenja'!$J$62:$M$62</c:f>
              <c:strCache>
                <c:ptCount val="4"/>
                <c:pt idx="0">
                  <c:v>2016.</c:v>
                </c:pt>
                <c:pt idx="1">
                  <c:v>2017.</c:v>
                </c:pt>
                <c:pt idx="2">
                  <c:v>2018.</c:v>
                </c:pt>
                <c:pt idx="3">
                  <c:v>2019.</c:v>
                </c:pt>
              </c:strCache>
            </c:strRef>
          </c:cat>
          <c:val>
            <c:numRef>
              <c:f>'emitiv tržišta prema br nocenja'!$J$67:$M$67</c:f>
              <c:numCache>
                <c:formatCode>#,##0</c:formatCode>
                <c:ptCount val="4"/>
                <c:pt idx="0">
                  <c:v>8302</c:v>
                </c:pt>
                <c:pt idx="1">
                  <c:v>7897</c:v>
                </c:pt>
                <c:pt idx="2">
                  <c:v>7497</c:v>
                </c:pt>
                <c:pt idx="3">
                  <c:v>6251</c:v>
                </c:pt>
              </c:numCache>
            </c:numRef>
          </c:val>
          <c:extLst>
            <c:ext xmlns:c16="http://schemas.microsoft.com/office/drawing/2014/chart" uri="{C3380CC4-5D6E-409C-BE32-E72D297353CC}">
              <c16:uniqueId val="{00000004-1DCC-4C65-92DA-68053747783B}"/>
            </c:ext>
          </c:extLst>
        </c:ser>
        <c:dLbls>
          <c:dLblPos val="ctr"/>
          <c:showLegendKey val="0"/>
          <c:showVal val="1"/>
          <c:showCatName val="0"/>
          <c:showSerName val="0"/>
          <c:showPercent val="0"/>
          <c:showBubbleSize val="0"/>
        </c:dLbls>
        <c:gapWidth val="150"/>
        <c:overlap val="100"/>
        <c:axId val="504491008"/>
        <c:axId val="504517376"/>
      </c:barChart>
      <c:catAx>
        <c:axId val="504491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04517376"/>
        <c:crosses val="autoZero"/>
        <c:auto val="1"/>
        <c:lblAlgn val="ctr"/>
        <c:lblOffset val="100"/>
        <c:noMultiLvlLbl val="0"/>
      </c:catAx>
      <c:valAx>
        <c:axId val="5045173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a:t>Broj noćenja</a:t>
                </a: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04491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'dol. i noć. prema načinu dolask'!$B$85</c:f>
              <c:strCache>
                <c:ptCount val="1"/>
                <c:pt idx="0">
                  <c:v>Individualno DOMAĆI</c:v>
                </c:pt>
              </c:strCache>
            </c:strRef>
          </c:tx>
          <c:spPr>
            <a:solidFill>
              <a:schemeClr val="accent1"/>
            </a:solidFill>
            <a:ln>
              <a:noFill/>
            </a:ln>
            <a:effectLst/>
          </c:spPr>
          <c:invertIfNegative val="0"/>
          <c:cat>
            <c:strRef>
              <c:f>'dol. i noć. prema načinu dolask'!$C$84:$L$84</c:f>
              <c:strCache>
                <c:ptCount val="10"/>
                <c:pt idx="0">
                  <c:v>Dolasci 2016</c:v>
                </c:pt>
                <c:pt idx="1">
                  <c:v>Noćenja 2016</c:v>
                </c:pt>
                <c:pt idx="2">
                  <c:v>Dolasci 2017</c:v>
                </c:pt>
                <c:pt idx="3">
                  <c:v>Noćenja 2017</c:v>
                </c:pt>
                <c:pt idx="4">
                  <c:v>Dolasci 2018</c:v>
                </c:pt>
                <c:pt idx="5">
                  <c:v>Noćenja 2018</c:v>
                </c:pt>
                <c:pt idx="6">
                  <c:v>Dolasci 2019</c:v>
                </c:pt>
                <c:pt idx="7">
                  <c:v>Noćenja 2019</c:v>
                </c:pt>
                <c:pt idx="8">
                  <c:v>Dolasci 2020</c:v>
                </c:pt>
                <c:pt idx="9">
                  <c:v>Noćenja 2020</c:v>
                </c:pt>
              </c:strCache>
            </c:strRef>
          </c:cat>
          <c:val>
            <c:numRef>
              <c:f>'dol. i noć. prema načinu dolask'!$C$85:$L$85</c:f>
              <c:numCache>
                <c:formatCode>#,##0</c:formatCode>
                <c:ptCount val="10"/>
                <c:pt idx="0">
                  <c:v>42988</c:v>
                </c:pt>
                <c:pt idx="1">
                  <c:v>118269</c:v>
                </c:pt>
                <c:pt idx="2">
                  <c:v>50940</c:v>
                </c:pt>
                <c:pt idx="3">
                  <c:v>131163</c:v>
                </c:pt>
                <c:pt idx="4">
                  <c:v>57352</c:v>
                </c:pt>
                <c:pt idx="5">
                  <c:v>137373</c:v>
                </c:pt>
                <c:pt idx="6">
                  <c:v>63829</c:v>
                </c:pt>
                <c:pt idx="7">
                  <c:v>149373</c:v>
                </c:pt>
                <c:pt idx="8">
                  <c:v>43562</c:v>
                </c:pt>
                <c:pt idx="9">
                  <c:v>106516</c:v>
                </c:pt>
              </c:numCache>
            </c:numRef>
          </c:val>
          <c:extLst>
            <c:ext xmlns:c16="http://schemas.microsoft.com/office/drawing/2014/chart" uri="{C3380CC4-5D6E-409C-BE32-E72D297353CC}">
              <c16:uniqueId val="{00000000-CD57-45C0-8D5B-19057EC97D0C}"/>
            </c:ext>
          </c:extLst>
        </c:ser>
        <c:ser>
          <c:idx val="1"/>
          <c:order val="1"/>
          <c:tx>
            <c:strRef>
              <c:f>'dol. i noć. prema načinu dolask'!$B$86</c:f>
              <c:strCache>
                <c:ptCount val="1"/>
                <c:pt idx="0">
                  <c:v>Agencijski DOMAĆI</c:v>
                </c:pt>
              </c:strCache>
            </c:strRef>
          </c:tx>
          <c:spPr>
            <a:solidFill>
              <a:schemeClr val="accent2"/>
            </a:solidFill>
            <a:ln>
              <a:noFill/>
            </a:ln>
            <a:effectLst/>
          </c:spPr>
          <c:invertIfNegative val="0"/>
          <c:cat>
            <c:strRef>
              <c:f>'dol. i noć. prema načinu dolask'!$C$84:$L$84</c:f>
              <c:strCache>
                <c:ptCount val="10"/>
                <c:pt idx="0">
                  <c:v>Dolasci 2016</c:v>
                </c:pt>
                <c:pt idx="1">
                  <c:v>Noćenja 2016</c:v>
                </c:pt>
                <c:pt idx="2">
                  <c:v>Dolasci 2017</c:v>
                </c:pt>
                <c:pt idx="3">
                  <c:v>Noćenja 2017</c:v>
                </c:pt>
                <c:pt idx="4">
                  <c:v>Dolasci 2018</c:v>
                </c:pt>
                <c:pt idx="5">
                  <c:v>Noćenja 2018</c:v>
                </c:pt>
                <c:pt idx="6">
                  <c:v>Dolasci 2019</c:v>
                </c:pt>
                <c:pt idx="7">
                  <c:v>Noćenja 2019</c:v>
                </c:pt>
                <c:pt idx="8">
                  <c:v>Dolasci 2020</c:v>
                </c:pt>
                <c:pt idx="9">
                  <c:v>Noćenja 2020</c:v>
                </c:pt>
              </c:strCache>
            </c:strRef>
          </c:cat>
          <c:val>
            <c:numRef>
              <c:f>'dol. i noć. prema načinu dolask'!$C$86:$L$86</c:f>
              <c:numCache>
                <c:formatCode>#,##0</c:formatCode>
                <c:ptCount val="10"/>
                <c:pt idx="0">
                  <c:v>22194</c:v>
                </c:pt>
                <c:pt idx="1">
                  <c:v>41934</c:v>
                </c:pt>
                <c:pt idx="2">
                  <c:v>21879</c:v>
                </c:pt>
                <c:pt idx="3">
                  <c:v>45053</c:v>
                </c:pt>
                <c:pt idx="4">
                  <c:v>24684</c:v>
                </c:pt>
                <c:pt idx="5">
                  <c:v>50014</c:v>
                </c:pt>
                <c:pt idx="6">
                  <c:v>25666</c:v>
                </c:pt>
                <c:pt idx="7">
                  <c:v>48069</c:v>
                </c:pt>
                <c:pt idx="8">
                  <c:v>13723</c:v>
                </c:pt>
                <c:pt idx="9">
                  <c:v>27501</c:v>
                </c:pt>
              </c:numCache>
            </c:numRef>
          </c:val>
          <c:extLst>
            <c:ext xmlns:c16="http://schemas.microsoft.com/office/drawing/2014/chart" uri="{C3380CC4-5D6E-409C-BE32-E72D297353CC}">
              <c16:uniqueId val="{00000001-CD57-45C0-8D5B-19057EC97D0C}"/>
            </c:ext>
          </c:extLst>
        </c:ser>
        <c:ser>
          <c:idx val="2"/>
          <c:order val="2"/>
          <c:tx>
            <c:strRef>
              <c:f>'dol. i noć. prema načinu dolask'!$B$87</c:f>
              <c:strCache>
                <c:ptCount val="1"/>
                <c:pt idx="0">
                  <c:v>Individualno STRANI</c:v>
                </c:pt>
              </c:strCache>
            </c:strRef>
          </c:tx>
          <c:spPr>
            <a:solidFill>
              <a:schemeClr val="accent3"/>
            </a:solidFill>
            <a:ln>
              <a:noFill/>
            </a:ln>
            <a:effectLst/>
          </c:spPr>
          <c:invertIfNegative val="0"/>
          <c:cat>
            <c:strRef>
              <c:f>'dol. i noć. prema načinu dolask'!$C$84:$L$84</c:f>
              <c:strCache>
                <c:ptCount val="10"/>
                <c:pt idx="0">
                  <c:v>Dolasci 2016</c:v>
                </c:pt>
                <c:pt idx="1">
                  <c:v>Noćenja 2016</c:v>
                </c:pt>
                <c:pt idx="2">
                  <c:v>Dolasci 2017</c:v>
                </c:pt>
                <c:pt idx="3">
                  <c:v>Noćenja 2017</c:v>
                </c:pt>
                <c:pt idx="4">
                  <c:v>Dolasci 2018</c:v>
                </c:pt>
                <c:pt idx="5">
                  <c:v>Noćenja 2018</c:v>
                </c:pt>
                <c:pt idx="6">
                  <c:v>Dolasci 2019</c:v>
                </c:pt>
                <c:pt idx="7">
                  <c:v>Noćenja 2019</c:v>
                </c:pt>
                <c:pt idx="8">
                  <c:v>Dolasci 2020</c:v>
                </c:pt>
                <c:pt idx="9">
                  <c:v>Noćenja 2020</c:v>
                </c:pt>
              </c:strCache>
            </c:strRef>
          </c:cat>
          <c:val>
            <c:numRef>
              <c:f>'dol. i noć. prema načinu dolask'!$C$87:$L$87</c:f>
              <c:numCache>
                <c:formatCode>#,##0</c:formatCode>
                <c:ptCount val="10"/>
                <c:pt idx="0">
                  <c:v>34226</c:v>
                </c:pt>
                <c:pt idx="1">
                  <c:v>72794</c:v>
                </c:pt>
                <c:pt idx="2">
                  <c:v>40179</c:v>
                </c:pt>
                <c:pt idx="3">
                  <c:v>85177</c:v>
                </c:pt>
                <c:pt idx="4">
                  <c:v>48672</c:v>
                </c:pt>
                <c:pt idx="5">
                  <c:v>99802</c:v>
                </c:pt>
                <c:pt idx="6">
                  <c:v>54946</c:v>
                </c:pt>
                <c:pt idx="7">
                  <c:v>113274</c:v>
                </c:pt>
                <c:pt idx="8">
                  <c:v>27960</c:v>
                </c:pt>
                <c:pt idx="9">
                  <c:v>57499</c:v>
                </c:pt>
              </c:numCache>
            </c:numRef>
          </c:val>
          <c:extLst>
            <c:ext xmlns:c16="http://schemas.microsoft.com/office/drawing/2014/chart" uri="{C3380CC4-5D6E-409C-BE32-E72D297353CC}">
              <c16:uniqueId val="{00000002-CD57-45C0-8D5B-19057EC97D0C}"/>
            </c:ext>
          </c:extLst>
        </c:ser>
        <c:ser>
          <c:idx val="3"/>
          <c:order val="3"/>
          <c:tx>
            <c:strRef>
              <c:f>'dol. i noć. prema načinu dolask'!$B$88</c:f>
              <c:strCache>
                <c:ptCount val="1"/>
                <c:pt idx="0">
                  <c:v>Agencijski STRANI</c:v>
                </c:pt>
              </c:strCache>
            </c:strRef>
          </c:tx>
          <c:spPr>
            <a:solidFill>
              <a:schemeClr val="accent4"/>
            </a:solidFill>
            <a:ln>
              <a:noFill/>
            </a:ln>
            <a:effectLst/>
          </c:spPr>
          <c:invertIfNegative val="0"/>
          <c:cat>
            <c:strRef>
              <c:f>'dol. i noć. prema načinu dolask'!$C$84:$L$84</c:f>
              <c:strCache>
                <c:ptCount val="10"/>
                <c:pt idx="0">
                  <c:v>Dolasci 2016</c:v>
                </c:pt>
                <c:pt idx="1">
                  <c:v>Noćenja 2016</c:v>
                </c:pt>
                <c:pt idx="2">
                  <c:v>Dolasci 2017</c:v>
                </c:pt>
                <c:pt idx="3">
                  <c:v>Noćenja 2017</c:v>
                </c:pt>
                <c:pt idx="4">
                  <c:v>Dolasci 2018</c:v>
                </c:pt>
                <c:pt idx="5">
                  <c:v>Noćenja 2018</c:v>
                </c:pt>
                <c:pt idx="6">
                  <c:v>Dolasci 2019</c:v>
                </c:pt>
                <c:pt idx="7">
                  <c:v>Noćenja 2019</c:v>
                </c:pt>
                <c:pt idx="8">
                  <c:v>Dolasci 2020</c:v>
                </c:pt>
                <c:pt idx="9">
                  <c:v>Noćenja 2020</c:v>
                </c:pt>
              </c:strCache>
            </c:strRef>
          </c:cat>
          <c:val>
            <c:numRef>
              <c:f>'dol. i noć. prema načinu dolask'!$C$88:$L$88</c:f>
              <c:numCache>
                <c:formatCode>#,##0</c:formatCode>
                <c:ptCount val="10"/>
                <c:pt idx="0">
                  <c:v>23303</c:v>
                </c:pt>
                <c:pt idx="1">
                  <c:v>48294</c:v>
                </c:pt>
                <c:pt idx="2">
                  <c:v>28385</c:v>
                </c:pt>
                <c:pt idx="3">
                  <c:v>60894</c:v>
                </c:pt>
                <c:pt idx="4">
                  <c:v>28435</c:v>
                </c:pt>
                <c:pt idx="5">
                  <c:v>61192</c:v>
                </c:pt>
                <c:pt idx="6">
                  <c:v>32387</c:v>
                </c:pt>
                <c:pt idx="7">
                  <c:v>62676</c:v>
                </c:pt>
                <c:pt idx="8">
                  <c:v>4775</c:v>
                </c:pt>
                <c:pt idx="9">
                  <c:v>13607</c:v>
                </c:pt>
              </c:numCache>
            </c:numRef>
          </c:val>
          <c:extLst>
            <c:ext xmlns:c16="http://schemas.microsoft.com/office/drawing/2014/chart" uri="{C3380CC4-5D6E-409C-BE32-E72D297353CC}">
              <c16:uniqueId val="{00000003-CD57-45C0-8D5B-19057EC97D0C}"/>
            </c:ext>
          </c:extLst>
        </c:ser>
        <c:dLbls>
          <c:showLegendKey val="0"/>
          <c:showVal val="0"/>
          <c:showCatName val="0"/>
          <c:showSerName val="0"/>
          <c:showPercent val="0"/>
          <c:showBubbleSize val="0"/>
        </c:dLbls>
        <c:gapWidth val="219"/>
        <c:overlap val="-27"/>
        <c:axId val="436386608"/>
        <c:axId val="436382016"/>
      </c:barChart>
      <c:catAx>
        <c:axId val="436386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6382016"/>
        <c:crosses val="autoZero"/>
        <c:auto val="1"/>
        <c:lblAlgn val="ctr"/>
        <c:lblOffset val="100"/>
        <c:noMultiLvlLbl val="0"/>
      </c:catAx>
      <c:valAx>
        <c:axId val="4363820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436386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'trajanje boravka'!$B$5</c:f>
              <c:strCache>
                <c:ptCount val="1"/>
                <c:pt idx="0">
                  <c:v>domaći</c:v>
                </c:pt>
              </c:strCache>
            </c:strRef>
          </c:tx>
          <c:spPr>
            <a:solidFill>
              <a:srgbClr val="C00000"/>
            </a:solidFill>
            <a:ln>
              <a:noFill/>
            </a:ln>
            <a:effectLst/>
          </c:spPr>
          <c:invertIfNegative val="0"/>
          <c:cat>
            <c:numRef>
              <c:f>'trajanje boravka'!$C$4:$M$4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'trajanje boravka'!$C$5:$M$5</c:f>
              <c:numCache>
                <c:formatCode>#,##0.00</c:formatCode>
                <c:ptCount val="11"/>
                <c:pt idx="0">
                  <c:v>2.5531446929445201</c:v>
                </c:pt>
                <c:pt idx="1">
                  <c:v>2.3801383270259691</c:v>
                </c:pt>
                <c:pt idx="2">
                  <c:v>2.4756118266268889</c:v>
                </c:pt>
                <c:pt idx="3">
                  <c:v>2.3221628241056922</c:v>
                </c:pt>
                <c:pt idx="4">
                  <c:v>2.3374594572402185</c:v>
                </c:pt>
                <c:pt idx="5">
                  <c:v>2.209985047955946</c:v>
                </c:pt>
                <c:pt idx="6" formatCode="0.00">
                  <c:v>2.4577797551471265</c:v>
                </c:pt>
                <c:pt idx="7" formatCode="0.00">
                  <c:v>2.4179422352908846</c:v>
                </c:pt>
                <c:pt idx="8" formatCode="0.00">
                  <c:v>2.2880886764383095</c:v>
                </c:pt>
                <c:pt idx="9" formatCode="0.00">
                  <c:v>2.21</c:v>
                </c:pt>
                <c:pt idx="10" formatCode="0.00">
                  <c:v>2.34</c:v>
                </c:pt>
              </c:numCache>
            </c:numRef>
          </c:val>
          <c:extLst>
            <c:ext xmlns:c16="http://schemas.microsoft.com/office/drawing/2014/chart" uri="{C3380CC4-5D6E-409C-BE32-E72D297353CC}">
              <c16:uniqueId val="{00000000-8571-4283-97D3-8BF7610C8748}"/>
            </c:ext>
          </c:extLst>
        </c:ser>
        <c:ser>
          <c:idx val="1"/>
          <c:order val="1"/>
          <c:tx>
            <c:strRef>
              <c:f>'trajanje boravka'!$B$6</c:f>
              <c:strCache>
                <c:ptCount val="1"/>
                <c:pt idx="0">
                  <c:v>strani</c:v>
                </c:pt>
              </c:strCache>
            </c:strRef>
          </c:tx>
          <c:spPr>
            <a:solidFill>
              <a:schemeClr val="tx1">
                <a:lumMod val="85000"/>
                <a:lumOff val="15000"/>
              </a:schemeClr>
            </a:solidFill>
            <a:ln>
              <a:noFill/>
            </a:ln>
            <a:effectLst/>
          </c:spPr>
          <c:invertIfNegative val="0"/>
          <c:cat>
            <c:numRef>
              <c:f>'trajanje boravka'!$C$4:$M$4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'trajanje boravka'!$C$6:$M$6</c:f>
              <c:numCache>
                <c:formatCode>#,##0.00</c:formatCode>
                <c:ptCount val="11"/>
                <c:pt idx="0">
                  <c:v>2.2265188547486034</c:v>
                </c:pt>
                <c:pt idx="1">
                  <c:v>2.175074993182438</c:v>
                </c:pt>
                <c:pt idx="2">
                  <c:v>2.2422221163466576</c:v>
                </c:pt>
                <c:pt idx="3">
                  <c:v>2.1416399700088609</c:v>
                </c:pt>
                <c:pt idx="4">
                  <c:v>2.1750882352941177</c:v>
                </c:pt>
                <c:pt idx="5">
                  <c:v>2.0877750987533985</c:v>
                </c:pt>
                <c:pt idx="6" formatCode="0.00">
                  <c:v>2.1048167011420329</c:v>
                </c:pt>
                <c:pt idx="7" formatCode="0.00">
                  <c:v>2.1295399515738498</c:v>
                </c:pt>
                <c:pt idx="8" formatCode="0.00">
                  <c:v>2.0866360044050012</c:v>
                </c:pt>
                <c:pt idx="9" formatCode="0.00">
                  <c:v>2.02</c:v>
                </c:pt>
                <c:pt idx="10" formatCode="0.00">
                  <c:v>2.17</c:v>
                </c:pt>
              </c:numCache>
            </c:numRef>
          </c:val>
          <c:extLst>
            <c:ext xmlns:c16="http://schemas.microsoft.com/office/drawing/2014/chart" uri="{C3380CC4-5D6E-409C-BE32-E72D297353CC}">
              <c16:uniqueId val="{00000001-8571-4283-97D3-8BF7610C8748}"/>
            </c:ext>
          </c:extLst>
        </c:ser>
        <c:ser>
          <c:idx val="2"/>
          <c:order val="2"/>
          <c:tx>
            <c:strRef>
              <c:f>'trajanje boravka'!$B$7</c:f>
              <c:strCache>
                <c:ptCount val="1"/>
                <c:pt idx="0">
                  <c:v>ukupno</c:v>
                </c:pt>
              </c:strCache>
            </c:strRef>
          </c:tx>
          <c:spPr>
            <a:solidFill>
              <a:schemeClr val="bg1">
                <a:lumMod val="65000"/>
              </a:schemeClr>
            </a:solidFill>
            <a:ln>
              <a:noFill/>
            </a:ln>
            <a:effectLst/>
          </c:spPr>
          <c:invertIfNegative val="0"/>
          <c:cat>
            <c:numRef>
              <c:f>'trajanje boravka'!$C$4:$M$4</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'trajanje boravka'!$C$7:$M$7</c:f>
              <c:numCache>
                <c:formatCode>#,##0.00</c:formatCode>
                <c:ptCount val="11"/>
                <c:pt idx="0">
                  <c:v>2.4810770208586121</c:v>
                </c:pt>
                <c:pt idx="1">
                  <c:v>2.3305411733667514</c:v>
                </c:pt>
                <c:pt idx="2">
                  <c:v>2.3968787167700665</c:v>
                </c:pt>
                <c:pt idx="3">
                  <c:v>2.2483949585683449</c:v>
                </c:pt>
                <c:pt idx="4">
                  <c:v>2.2707159610223178</c:v>
                </c:pt>
                <c:pt idx="5">
                  <c:v>2.1592062071023577</c:v>
                </c:pt>
                <c:pt idx="6" formatCode="0.00">
                  <c:v>2.2923046833617198</c:v>
                </c:pt>
                <c:pt idx="7" formatCode="0.00">
                  <c:v>2.2780466406294222</c:v>
                </c:pt>
                <c:pt idx="8" formatCode="0.00">
                  <c:v>2.1904127745915285</c:v>
                </c:pt>
                <c:pt idx="9" formatCode="0.00">
                  <c:v>2.11</c:v>
                </c:pt>
                <c:pt idx="10" formatCode="0.00">
                  <c:v>2.2799999999999998</c:v>
                </c:pt>
              </c:numCache>
            </c:numRef>
          </c:val>
          <c:extLst>
            <c:ext xmlns:c16="http://schemas.microsoft.com/office/drawing/2014/chart" uri="{C3380CC4-5D6E-409C-BE32-E72D297353CC}">
              <c16:uniqueId val="{00000002-8571-4283-97D3-8BF7610C8748}"/>
            </c:ext>
          </c:extLst>
        </c:ser>
        <c:dLbls>
          <c:showLegendKey val="0"/>
          <c:showVal val="0"/>
          <c:showCatName val="0"/>
          <c:showSerName val="0"/>
          <c:showPercent val="0"/>
          <c:showBubbleSize val="0"/>
        </c:dLbls>
        <c:gapWidth val="219"/>
        <c:overlap val="-27"/>
        <c:axId val="375641192"/>
        <c:axId val="375147936"/>
      </c:barChart>
      <c:catAx>
        <c:axId val="375641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75147936"/>
        <c:crosses val="autoZero"/>
        <c:auto val="1"/>
        <c:lblAlgn val="ctr"/>
        <c:lblOffset val="100"/>
        <c:noMultiLvlLbl val="0"/>
      </c:catAx>
      <c:valAx>
        <c:axId val="3751479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a:t>Prosječna dužina boravka u dnaima</a:t>
                </a:r>
              </a:p>
            </c:rich>
          </c:tx>
          <c:layout>
            <c:manualLayout>
              <c:xMode val="edge"/>
              <c:yMode val="edge"/>
              <c:x val="2.2222222222222223E-2"/>
              <c:y val="7.407407407407407E-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75641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'Dolasci i noćenja_vrsta objekta'!$B$14</c:f>
              <c:strCache>
                <c:ptCount val="1"/>
                <c:pt idx="0">
                  <c:v>hoteli </c:v>
                </c:pt>
              </c:strCache>
            </c:strRef>
          </c:tx>
          <c:spPr>
            <a:solidFill>
              <a:schemeClr val="accent1"/>
            </a:solidFill>
            <a:ln>
              <a:noFill/>
            </a:ln>
            <a:effectLst/>
          </c:spPr>
          <c:invertIfNegative val="0"/>
          <c:cat>
            <c:multiLvlStrRef>
              <c:f>'Dolasci i noćenja_vrsta objekta'!$C$12:$J$13</c:f>
              <c:multiLvlStrCache>
                <c:ptCount val="8"/>
                <c:lvl>
                  <c:pt idx="0">
                    <c:v>Broj dolazaka</c:v>
                  </c:pt>
                  <c:pt idx="1">
                    <c:v>Broj noćenja</c:v>
                  </c:pt>
                  <c:pt idx="2">
                    <c:v>Broj dolazaka</c:v>
                  </c:pt>
                  <c:pt idx="3">
                    <c:v>Broj noćenja</c:v>
                  </c:pt>
                  <c:pt idx="4">
                    <c:v>Broj dolazaka</c:v>
                  </c:pt>
                  <c:pt idx="5">
                    <c:v>Broj noćenja</c:v>
                  </c:pt>
                  <c:pt idx="6">
                    <c:v>Broj dolazaka</c:v>
                  </c:pt>
                  <c:pt idx="7">
                    <c:v>Broj noćenja</c:v>
                  </c:pt>
                </c:lvl>
                <c:lvl>
                  <c:pt idx="0">
                    <c:v>2016.</c:v>
                  </c:pt>
                  <c:pt idx="2">
                    <c:v>2017.</c:v>
                  </c:pt>
                  <c:pt idx="4">
                    <c:v>2018.</c:v>
                  </c:pt>
                  <c:pt idx="6">
                    <c:v>2019.</c:v>
                  </c:pt>
                </c:lvl>
              </c:multiLvlStrCache>
            </c:multiLvlStrRef>
          </c:cat>
          <c:val>
            <c:numRef>
              <c:f>'Dolasci i noćenja_vrsta objekta'!$C$14:$J$14</c:f>
              <c:numCache>
                <c:formatCode>General</c:formatCode>
                <c:ptCount val="8"/>
                <c:pt idx="0">
                  <c:v>107702</c:v>
                </c:pt>
                <c:pt idx="1">
                  <c:v>231357</c:v>
                </c:pt>
                <c:pt idx="2">
                  <c:v>123056</c:v>
                </c:pt>
                <c:pt idx="3">
                  <c:v>271438</c:v>
                </c:pt>
                <c:pt idx="4">
                  <c:v>134637</c:v>
                </c:pt>
                <c:pt idx="5">
                  <c:v>290112</c:v>
                </c:pt>
                <c:pt idx="6">
                  <c:v>145336</c:v>
                </c:pt>
                <c:pt idx="7">
                  <c:v>297279</c:v>
                </c:pt>
              </c:numCache>
            </c:numRef>
          </c:val>
          <c:extLst>
            <c:ext xmlns:c16="http://schemas.microsoft.com/office/drawing/2014/chart" uri="{C3380CC4-5D6E-409C-BE32-E72D297353CC}">
              <c16:uniqueId val="{00000000-7A9E-473B-A4E4-ED0B229B1A52}"/>
            </c:ext>
          </c:extLst>
        </c:ser>
        <c:ser>
          <c:idx val="1"/>
          <c:order val="1"/>
          <c:tx>
            <c:strRef>
              <c:f>'Dolasci i noćenja_vrsta objekta'!$B$15</c:f>
              <c:strCache>
                <c:ptCount val="1"/>
                <c:pt idx="0">
                  <c:v>kampovi </c:v>
                </c:pt>
              </c:strCache>
            </c:strRef>
          </c:tx>
          <c:spPr>
            <a:solidFill>
              <a:schemeClr val="accent2"/>
            </a:solidFill>
            <a:ln>
              <a:noFill/>
            </a:ln>
            <a:effectLst/>
          </c:spPr>
          <c:invertIfNegative val="0"/>
          <c:cat>
            <c:multiLvlStrRef>
              <c:f>'Dolasci i noćenja_vrsta objekta'!$C$12:$J$13</c:f>
              <c:multiLvlStrCache>
                <c:ptCount val="8"/>
                <c:lvl>
                  <c:pt idx="0">
                    <c:v>Broj dolazaka</c:v>
                  </c:pt>
                  <c:pt idx="1">
                    <c:v>Broj noćenja</c:v>
                  </c:pt>
                  <c:pt idx="2">
                    <c:v>Broj dolazaka</c:v>
                  </c:pt>
                  <c:pt idx="3">
                    <c:v>Broj noćenja</c:v>
                  </c:pt>
                  <c:pt idx="4">
                    <c:v>Broj dolazaka</c:v>
                  </c:pt>
                  <c:pt idx="5">
                    <c:v>Broj noćenja</c:v>
                  </c:pt>
                  <c:pt idx="6">
                    <c:v>Broj dolazaka</c:v>
                  </c:pt>
                  <c:pt idx="7">
                    <c:v>Broj noćenja</c:v>
                  </c:pt>
                </c:lvl>
                <c:lvl>
                  <c:pt idx="0">
                    <c:v>2016.</c:v>
                  </c:pt>
                  <c:pt idx="2">
                    <c:v>2017.</c:v>
                  </c:pt>
                  <c:pt idx="4">
                    <c:v>2018.</c:v>
                  </c:pt>
                  <c:pt idx="6">
                    <c:v>2019.</c:v>
                  </c:pt>
                </c:lvl>
              </c:multiLvlStrCache>
            </c:multiLvlStrRef>
          </c:cat>
          <c:val>
            <c:numRef>
              <c:f>'Dolasci i noćenja_vrsta objekta'!$C$15:$J$15</c:f>
              <c:numCache>
                <c:formatCode>General</c:formatCode>
                <c:ptCount val="8"/>
                <c:pt idx="0">
                  <c:v>739</c:v>
                </c:pt>
                <c:pt idx="1">
                  <c:v>2143</c:v>
                </c:pt>
                <c:pt idx="2">
                  <c:v>805</c:v>
                </c:pt>
                <c:pt idx="3">
                  <c:v>2017</c:v>
                </c:pt>
                <c:pt idx="4">
                  <c:v>1759</c:v>
                </c:pt>
                <c:pt idx="5">
                  <c:v>4065</c:v>
                </c:pt>
                <c:pt idx="6">
                  <c:v>4312</c:v>
                </c:pt>
                <c:pt idx="7">
                  <c:v>10040</c:v>
                </c:pt>
              </c:numCache>
            </c:numRef>
          </c:val>
          <c:extLst>
            <c:ext xmlns:c16="http://schemas.microsoft.com/office/drawing/2014/chart" uri="{C3380CC4-5D6E-409C-BE32-E72D297353CC}">
              <c16:uniqueId val="{00000001-7A9E-473B-A4E4-ED0B229B1A52}"/>
            </c:ext>
          </c:extLst>
        </c:ser>
        <c:ser>
          <c:idx val="2"/>
          <c:order val="2"/>
          <c:tx>
            <c:strRef>
              <c:f>'Dolasci i noćenja_vrsta objekta'!$B$16</c:f>
              <c:strCache>
                <c:ptCount val="1"/>
                <c:pt idx="0">
                  <c:v>objekti na OPG-u (seljačkom domaćinstvu) </c:v>
                </c:pt>
              </c:strCache>
            </c:strRef>
          </c:tx>
          <c:spPr>
            <a:solidFill>
              <a:schemeClr val="accent3"/>
            </a:solidFill>
            <a:ln>
              <a:noFill/>
            </a:ln>
            <a:effectLst/>
          </c:spPr>
          <c:invertIfNegative val="0"/>
          <c:cat>
            <c:multiLvlStrRef>
              <c:f>'Dolasci i noćenja_vrsta objekta'!$C$12:$J$13</c:f>
              <c:multiLvlStrCache>
                <c:ptCount val="8"/>
                <c:lvl>
                  <c:pt idx="0">
                    <c:v>Broj dolazaka</c:v>
                  </c:pt>
                  <c:pt idx="1">
                    <c:v>Broj noćenja</c:v>
                  </c:pt>
                  <c:pt idx="2">
                    <c:v>Broj dolazaka</c:v>
                  </c:pt>
                  <c:pt idx="3">
                    <c:v>Broj noćenja</c:v>
                  </c:pt>
                  <c:pt idx="4">
                    <c:v>Broj dolazaka</c:v>
                  </c:pt>
                  <c:pt idx="5">
                    <c:v>Broj noćenja</c:v>
                  </c:pt>
                  <c:pt idx="6">
                    <c:v>Broj dolazaka</c:v>
                  </c:pt>
                  <c:pt idx="7">
                    <c:v>Broj noćenja</c:v>
                  </c:pt>
                </c:lvl>
                <c:lvl>
                  <c:pt idx="0">
                    <c:v>2016.</c:v>
                  </c:pt>
                  <c:pt idx="2">
                    <c:v>2017.</c:v>
                  </c:pt>
                  <c:pt idx="4">
                    <c:v>2018.</c:v>
                  </c:pt>
                  <c:pt idx="6">
                    <c:v>2019.</c:v>
                  </c:pt>
                </c:lvl>
              </c:multiLvlStrCache>
            </c:multiLvlStrRef>
          </c:cat>
          <c:val>
            <c:numRef>
              <c:f>'Dolasci i noćenja_vrsta objekta'!$C$16:$J$16</c:f>
              <c:numCache>
                <c:formatCode>General</c:formatCode>
                <c:ptCount val="8"/>
                <c:pt idx="0">
                  <c:v>623</c:v>
                </c:pt>
                <c:pt idx="1">
                  <c:v>1779</c:v>
                </c:pt>
                <c:pt idx="2">
                  <c:v>668</c:v>
                </c:pt>
                <c:pt idx="3">
                  <c:v>1532</c:v>
                </c:pt>
                <c:pt idx="4">
                  <c:v>1174</c:v>
                </c:pt>
                <c:pt idx="5">
                  <c:v>2005</c:v>
                </c:pt>
                <c:pt idx="6">
                  <c:v>1735</c:v>
                </c:pt>
                <c:pt idx="7">
                  <c:v>3771</c:v>
                </c:pt>
              </c:numCache>
            </c:numRef>
          </c:val>
          <c:extLst>
            <c:ext xmlns:c16="http://schemas.microsoft.com/office/drawing/2014/chart" uri="{C3380CC4-5D6E-409C-BE32-E72D297353CC}">
              <c16:uniqueId val="{00000002-7A9E-473B-A4E4-ED0B229B1A52}"/>
            </c:ext>
          </c:extLst>
        </c:ser>
        <c:ser>
          <c:idx val="3"/>
          <c:order val="3"/>
          <c:tx>
            <c:strRef>
              <c:f>'Dolasci i noćenja_vrsta objekta'!$B$17</c:f>
              <c:strCache>
                <c:ptCount val="1"/>
                <c:pt idx="0">
                  <c:v>objekti u domaćinstvu </c:v>
                </c:pt>
              </c:strCache>
            </c:strRef>
          </c:tx>
          <c:spPr>
            <a:solidFill>
              <a:schemeClr val="accent4"/>
            </a:solidFill>
            <a:ln>
              <a:noFill/>
            </a:ln>
            <a:effectLst/>
          </c:spPr>
          <c:invertIfNegative val="0"/>
          <c:cat>
            <c:multiLvlStrRef>
              <c:f>'Dolasci i noćenja_vrsta objekta'!$C$12:$J$13</c:f>
              <c:multiLvlStrCache>
                <c:ptCount val="8"/>
                <c:lvl>
                  <c:pt idx="0">
                    <c:v>Broj dolazaka</c:v>
                  </c:pt>
                  <c:pt idx="1">
                    <c:v>Broj noćenja</c:v>
                  </c:pt>
                  <c:pt idx="2">
                    <c:v>Broj dolazaka</c:v>
                  </c:pt>
                  <c:pt idx="3">
                    <c:v>Broj noćenja</c:v>
                  </c:pt>
                  <c:pt idx="4">
                    <c:v>Broj dolazaka</c:v>
                  </c:pt>
                  <c:pt idx="5">
                    <c:v>Broj noćenja</c:v>
                  </c:pt>
                  <c:pt idx="6">
                    <c:v>Broj dolazaka</c:v>
                  </c:pt>
                  <c:pt idx="7">
                    <c:v>Broj noćenja</c:v>
                  </c:pt>
                </c:lvl>
                <c:lvl>
                  <c:pt idx="0">
                    <c:v>2016.</c:v>
                  </c:pt>
                  <c:pt idx="2">
                    <c:v>2017.</c:v>
                  </c:pt>
                  <c:pt idx="4">
                    <c:v>2018.</c:v>
                  </c:pt>
                  <c:pt idx="6">
                    <c:v>2019.</c:v>
                  </c:pt>
                </c:lvl>
              </c:multiLvlStrCache>
            </c:multiLvlStrRef>
          </c:cat>
          <c:val>
            <c:numRef>
              <c:f>'Dolasci i noćenja_vrsta objekta'!$C$17:$J$17</c:f>
              <c:numCache>
                <c:formatCode>General</c:formatCode>
                <c:ptCount val="8"/>
                <c:pt idx="0">
                  <c:v>7221</c:v>
                </c:pt>
                <c:pt idx="1">
                  <c:v>23717</c:v>
                </c:pt>
                <c:pt idx="2">
                  <c:v>9816</c:v>
                </c:pt>
                <c:pt idx="3">
                  <c:v>28391</c:v>
                </c:pt>
                <c:pt idx="4">
                  <c:v>13077</c:v>
                </c:pt>
                <c:pt idx="5">
                  <c:v>35648</c:v>
                </c:pt>
                <c:pt idx="6">
                  <c:v>16681</c:v>
                </c:pt>
                <c:pt idx="7">
                  <c:v>45235</c:v>
                </c:pt>
              </c:numCache>
            </c:numRef>
          </c:val>
          <c:extLst>
            <c:ext xmlns:c16="http://schemas.microsoft.com/office/drawing/2014/chart" uri="{C3380CC4-5D6E-409C-BE32-E72D297353CC}">
              <c16:uniqueId val="{00000003-7A9E-473B-A4E4-ED0B229B1A52}"/>
            </c:ext>
          </c:extLst>
        </c:ser>
        <c:ser>
          <c:idx val="4"/>
          <c:order val="4"/>
          <c:tx>
            <c:strRef>
              <c:f>'Dolasci i noćenja_vrsta objekta'!$B$18</c:f>
              <c:strCache>
                <c:ptCount val="1"/>
                <c:pt idx="0">
                  <c:v>ostali ugostiteljski objekti za smještaj </c:v>
                </c:pt>
              </c:strCache>
            </c:strRef>
          </c:tx>
          <c:spPr>
            <a:solidFill>
              <a:schemeClr val="accent5"/>
            </a:solidFill>
            <a:ln>
              <a:noFill/>
            </a:ln>
            <a:effectLst/>
          </c:spPr>
          <c:invertIfNegative val="0"/>
          <c:cat>
            <c:multiLvlStrRef>
              <c:f>'Dolasci i noćenja_vrsta objekta'!$C$12:$J$13</c:f>
              <c:multiLvlStrCache>
                <c:ptCount val="8"/>
                <c:lvl>
                  <c:pt idx="0">
                    <c:v>Broj dolazaka</c:v>
                  </c:pt>
                  <c:pt idx="1">
                    <c:v>Broj noćenja</c:v>
                  </c:pt>
                  <c:pt idx="2">
                    <c:v>Broj dolazaka</c:v>
                  </c:pt>
                  <c:pt idx="3">
                    <c:v>Broj noćenja</c:v>
                  </c:pt>
                  <c:pt idx="4">
                    <c:v>Broj dolazaka</c:v>
                  </c:pt>
                  <c:pt idx="5">
                    <c:v>Broj noćenja</c:v>
                  </c:pt>
                  <c:pt idx="6">
                    <c:v>Broj dolazaka</c:v>
                  </c:pt>
                  <c:pt idx="7">
                    <c:v>Broj noćenja</c:v>
                  </c:pt>
                </c:lvl>
                <c:lvl>
                  <c:pt idx="0">
                    <c:v>2016.</c:v>
                  </c:pt>
                  <c:pt idx="2">
                    <c:v>2017.</c:v>
                  </c:pt>
                  <c:pt idx="4">
                    <c:v>2018.</c:v>
                  </c:pt>
                  <c:pt idx="6">
                    <c:v>2019.</c:v>
                  </c:pt>
                </c:lvl>
              </c:multiLvlStrCache>
            </c:multiLvlStrRef>
          </c:cat>
          <c:val>
            <c:numRef>
              <c:f>'Dolasci i noćenja_vrsta objekta'!$C$18:$J$18</c:f>
              <c:numCache>
                <c:formatCode>General</c:formatCode>
                <c:ptCount val="8"/>
                <c:pt idx="0">
                  <c:v>6229</c:v>
                </c:pt>
                <c:pt idx="1">
                  <c:v>10128</c:v>
                </c:pt>
                <c:pt idx="2">
                  <c:v>6560</c:v>
                </c:pt>
                <c:pt idx="3">
                  <c:v>10415</c:v>
                </c:pt>
                <c:pt idx="4">
                  <c:v>8305</c:v>
                </c:pt>
                <c:pt idx="5">
                  <c:v>12504</c:v>
                </c:pt>
                <c:pt idx="6">
                  <c:v>8256</c:v>
                </c:pt>
                <c:pt idx="7">
                  <c:v>13926</c:v>
                </c:pt>
              </c:numCache>
            </c:numRef>
          </c:val>
          <c:extLst>
            <c:ext xmlns:c16="http://schemas.microsoft.com/office/drawing/2014/chart" uri="{C3380CC4-5D6E-409C-BE32-E72D297353CC}">
              <c16:uniqueId val="{00000004-7A9E-473B-A4E4-ED0B229B1A52}"/>
            </c:ext>
          </c:extLst>
        </c:ser>
        <c:dLbls>
          <c:showLegendKey val="0"/>
          <c:showVal val="0"/>
          <c:showCatName val="0"/>
          <c:showSerName val="0"/>
          <c:showPercent val="0"/>
          <c:showBubbleSize val="0"/>
        </c:dLbls>
        <c:gapWidth val="182"/>
        <c:overlap val="100"/>
        <c:axId val="515612032"/>
        <c:axId val="515626112"/>
      </c:barChart>
      <c:catAx>
        <c:axId val="515612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15626112"/>
        <c:crosses val="autoZero"/>
        <c:auto val="1"/>
        <c:lblAlgn val="ctr"/>
        <c:lblOffset val="100"/>
        <c:noMultiLvlLbl val="0"/>
      </c:catAx>
      <c:valAx>
        <c:axId val="5156261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15612032"/>
        <c:crosses val="autoZero"/>
        <c:crossBetween val="between"/>
      </c:valAx>
      <c:spPr>
        <a:noFill/>
        <a:ln>
          <a:noFill/>
        </a:ln>
        <a:effectLst/>
      </c:spPr>
    </c:plotArea>
    <c:legend>
      <c:legendPos val="b"/>
      <c:layout>
        <c:manualLayout>
          <c:xMode val="edge"/>
          <c:yMode val="edge"/>
          <c:x val="8.5725757710238045E-3"/>
          <c:y val="0.75168759310491595"/>
          <c:w val="0.91629536646083487"/>
          <c:h val="0.221285379868057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2057189752561438"/>
          <c:y val="3.7037037037037035E-2"/>
          <c:w val="0.62323354725219793"/>
          <c:h val="0.73577136191309422"/>
        </c:manualLayout>
      </c:layout>
      <c:barChart>
        <c:barDir val="bar"/>
        <c:grouping val="clustered"/>
        <c:varyColors val="0"/>
        <c:ser>
          <c:idx val="2"/>
          <c:order val="2"/>
          <c:tx>
            <c:strRef>
              <c:f>'stopa zauzetosti 2016-2018'!$E$4</c:f>
              <c:strCache>
                <c:ptCount val="1"/>
                <c:pt idx="0">
                  <c:v>2017</c:v>
                </c:pt>
              </c:strCache>
            </c:strRef>
          </c:tx>
          <c:spPr>
            <a:solidFill>
              <a:srgbClr val="FF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'stopa zauzetosti 2016-2018'!$B$5:$B$9</c:f>
              <c:strCache>
                <c:ptCount val="5"/>
                <c:pt idx="0">
                  <c:v>Hoteli </c:v>
                </c:pt>
                <c:pt idx="1">
                  <c:v>Kampovi </c:v>
                </c:pt>
                <c:pt idx="2">
                  <c:v>Objekti na OPG-u (seljačkom domaćinstvu) </c:v>
                </c:pt>
                <c:pt idx="3">
                  <c:v>objekti u domaćinstvu </c:v>
                </c:pt>
                <c:pt idx="4">
                  <c:v>ostali ugostiteljski objekti za smještaj </c:v>
                </c:pt>
              </c:strCache>
            </c:strRef>
          </c:cat>
          <c:val>
            <c:numRef>
              <c:f>'stopa zauzetosti 2016-2018'!$E$5:$E$9</c:f>
              <c:numCache>
                <c:formatCode>0.00%</c:formatCode>
                <c:ptCount val="5"/>
                <c:pt idx="0">
                  <c:v>0.42909999999999998</c:v>
                </c:pt>
                <c:pt idx="1">
                  <c:v>0.1842</c:v>
                </c:pt>
                <c:pt idx="2">
                  <c:v>5.1799999999999999E-2</c:v>
                </c:pt>
                <c:pt idx="3">
                  <c:v>0.15390000000000001</c:v>
                </c:pt>
                <c:pt idx="4">
                  <c:v>0.1017</c:v>
                </c:pt>
              </c:numCache>
            </c:numRef>
          </c:val>
          <c:extLst>
            <c:ext xmlns:c16="http://schemas.microsoft.com/office/drawing/2014/chart" uri="{C3380CC4-5D6E-409C-BE32-E72D297353CC}">
              <c16:uniqueId val="{00000000-9F03-4D7D-A05D-9D482C2AFA1D}"/>
            </c:ext>
          </c:extLst>
        </c:ser>
        <c:ser>
          <c:idx val="3"/>
          <c:order val="3"/>
          <c:tx>
            <c:strRef>
              <c:f>'stopa zauzetosti 2016-2018'!$F$4</c:f>
              <c:strCache>
                <c:ptCount val="1"/>
                <c:pt idx="0">
                  <c:v>2018</c:v>
                </c:pt>
              </c:strCache>
            </c:strRef>
          </c:tx>
          <c:spPr>
            <a:solidFill>
              <a:schemeClr val="tx1">
                <a:lumMod val="85000"/>
                <a:lumOff val="1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'stopa zauzetosti 2016-2018'!$B$5:$B$9</c:f>
              <c:strCache>
                <c:ptCount val="5"/>
                <c:pt idx="0">
                  <c:v>Hoteli </c:v>
                </c:pt>
                <c:pt idx="1">
                  <c:v>Kampovi </c:v>
                </c:pt>
                <c:pt idx="2">
                  <c:v>Objekti na OPG-u (seljačkom domaćinstvu) </c:v>
                </c:pt>
                <c:pt idx="3">
                  <c:v>objekti u domaćinstvu </c:v>
                </c:pt>
                <c:pt idx="4">
                  <c:v>ostali ugostiteljski objekti za smještaj </c:v>
                </c:pt>
              </c:strCache>
            </c:strRef>
          </c:cat>
          <c:val>
            <c:numRef>
              <c:f>'stopa zauzetosti 2016-2018'!$F$5:$F$9</c:f>
              <c:numCache>
                <c:formatCode>0.00%</c:formatCode>
                <c:ptCount val="5"/>
                <c:pt idx="0">
                  <c:v>0.45860000000000001</c:v>
                </c:pt>
                <c:pt idx="1">
                  <c:v>5.8900000000000001E-2</c:v>
                </c:pt>
                <c:pt idx="2">
                  <c:v>6.3100000000000003E-2</c:v>
                </c:pt>
                <c:pt idx="3">
                  <c:v>0.1573</c:v>
                </c:pt>
                <c:pt idx="4">
                  <c:v>0.1011</c:v>
                </c:pt>
              </c:numCache>
            </c:numRef>
          </c:val>
          <c:extLst>
            <c:ext xmlns:c16="http://schemas.microsoft.com/office/drawing/2014/chart" uri="{C3380CC4-5D6E-409C-BE32-E72D297353CC}">
              <c16:uniqueId val="{00000001-9F03-4D7D-A05D-9D482C2AFA1D}"/>
            </c:ext>
          </c:extLst>
        </c:ser>
        <c:ser>
          <c:idx val="4"/>
          <c:order val="4"/>
          <c:tx>
            <c:strRef>
              <c:f>'stopa zauzetosti 2016-2018'!$G$4</c:f>
              <c:strCache>
                <c:ptCount val="1"/>
                <c:pt idx="0">
                  <c:v>2019</c:v>
                </c:pt>
              </c:strCache>
            </c:strRef>
          </c:tx>
          <c:spPr>
            <a:solidFill>
              <a:schemeClr val="bg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'stopa zauzetosti 2016-2018'!$B$5:$B$9</c:f>
              <c:strCache>
                <c:ptCount val="5"/>
                <c:pt idx="0">
                  <c:v>Hoteli </c:v>
                </c:pt>
                <c:pt idx="1">
                  <c:v>Kampovi </c:v>
                </c:pt>
                <c:pt idx="2">
                  <c:v>Objekti na OPG-u (seljačkom domaćinstvu) </c:v>
                </c:pt>
                <c:pt idx="3">
                  <c:v>objekti u domaćinstvu </c:v>
                </c:pt>
                <c:pt idx="4">
                  <c:v>ostali ugostiteljski objekti za smještaj </c:v>
                </c:pt>
              </c:strCache>
            </c:strRef>
          </c:cat>
          <c:val>
            <c:numRef>
              <c:f>'stopa zauzetosti 2016-2018'!$G$5:$G$9</c:f>
              <c:numCache>
                <c:formatCode>0.00%</c:formatCode>
                <c:ptCount val="5"/>
                <c:pt idx="0">
                  <c:v>0.4677</c:v>
                </c:pt>
                <c:pt idx="1">
                  <c:v>7.6999999999999999E-2</c:v>
                </c:pt>
                <c:pt idx="2">
                  <c:v>0.12429999999999999</c:v>
                </c:pt>
                <c:pt idx="3">
                  <c:v>0.1641</c:v>
                </c:pt>
                <c:pt idx="4">
                  <c:v>0.1079</c:v>
                </c:pt>
              </c:numCache>
            </c:numRef>
          </c:val>
          <c:extLst>
            <c:ext xmlns:c16="http://schemas.microsoft.com/office/drawing/2014/chart" uri="{C3380CC4-5D6E-409C-BE32-E72D297353CC}">
              <c16:uniqueId val="{00000002-9F03-4D7D-A05D-9D482C2AFA1D}"/>
            </c:ext>
          </c:extLst>
        </c:ser>
        <c:ser>
          <c:idx val="5"/>
          <c:order val="5"/>
          <c:tx>
            <c:strRef>
              <c:f>'stopa zauzetosti 2016-2018'!$H$4</c:f>
              <c:strCache>
                <c:ptCount val="1"/>
                <c:pt idx="0">
                  <c:v>2020</c:v>
                </c:pt>
              </c:strCache>
            </c:strRef>
          </c:tx>
          <c:spPr>
            <a:solidFill>
              <a:srgbClr val="AB010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'stopa zauzetosti 2016-2018'!$B$5:$B$9</c:f>
              <c:strCache>
                <c:ptCount val="5"/>
                <c:pt idx="0">
                  <c:v>Hoteli </c:v>
                </c:pt>
                <c:pt idx="1">
                  <c:v>Kampovi </c:v>
                </c:pt>
                <c:pt idx="2">
                  <c:v>Objekti na OPG-u (seljačkom domaćinstvu) </c:v>
                </c:pt>
                <c:pt idx="3">
                  <c:v>objekti u domaćinstvu </c:v>
                </c:pt>
                <c:pt idx="4">
                  <c:v>ostali ugostiteljski objekti za smještaj </c:v>
                </c:pt>
              </c:strCache>
            </c:strRef>
          </c:cat>
          <c:val>
            <c:numRef>
              <c:f>'stopa zauzetosti 2016-2018'!$H$5:$H$9</c:f>
              <c:numCache>
                <c:formatCode>0.00%</c:formatCode>
                <c:ptCount val="5"/>
                <c:pt idx="0">
                  <c:v>0.23380000000000001</c:v>
                </c:pt>
                <c:pt idx="1">
                  <c:v>1.9599999999999999E-2</c:v>
                </c:pt>
                <c:pt idx="2">
                  <c:v>7.3099999999999998E-2</c:v>
                </c:pt>
                <c:pt idx="3">
                  <c:v>0.10879999999999999</c:v>
                </c:pt>
                <c:pt idx="4">
                  <c:v>5.6899999999999999E-2</c:v>
                </c:pt>
              </c:numCache>
            </c:numRef>
          </c:val>
          <c:extLst>
            <c:ext xmlns:c16="http://schemas.microsoft.com/office/drawing/2014/chart" uri="{C3380CC4-5D6E-409C-BE32-E72D297353CC}">
              <c16:uniqueId val="{00000003-9F03-4D7D-A05D-9D482C2AFA1D}"/>
            </c:ext>
          </c:extLst>
        </c:ser>
        <c:dLbls>
          <c:dLblPos val="outEnd"/>
          <c:showLegendKey val="0"/>
          <c:showVal val="1"/>
          <c:showCatName val="0"/>
          <c:showSerName val="0"/>
          <c:showPercent val="0"/>
          <c:showBubbleSize val="0"/>
        </c:dLbls>
        <c:gapWidth val="182"/>
        <c:axId val="315536304"/>
        <c:axId val="315536632"/>
        <c:extLst>
          <c:ext xmlns:c15="http://schemas.microsoft.com/office/drawing/2012/chart" uri="{02D57815-91ED-43cb-92C2-25804820EDAC}">
            <c15:filteredBarSeries>
              <c15:ser>
                <c:idx val="0"/>
                <c:order val="0"/>
                <c:tx>
                  <c:strRef>
                    <c:extLst>
                      <c:ext uri="{02D57815-91ED-43cb-92C2-25804820EDAC}">
                        <c15:formulaRef>
                          <c15:sqref>'stopa zauzetosti 2016-2018'!$C$4</c15:sqref>
                        </c15:formulaRef>
                      </c:ext>
                    </c:extLst>
                    <c:strCache>
                      <c:ptCount val="1"/>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'stopa zauzetosti 2016-2018'!$B$5:$B$9</c15:sqref>
                        </c15:formulaRef>
                      </c:ext>
                    </c:extLst>
                    <c:strCache>
                      <c:ptCount val="5"/>
                      <c:pt idx="0">
                        <c:v>Hoteli </c:v>
                      </c:pt>
                      <c:pt idx="1">
                        <c:v>Kampovi </c:v>
                      </c:pt>
                      <c:pt idx="2">
                        <c:v>Objekti na OPG-u (seljačkom domaćinstvu) </c:v>
                      </c:pt>
                      <c:pt idx="3">
                        <c:v>objekti u domaćinstvu </c:v>
                      </c:pt>
                      <c:pt idx="4">
                        <c:v>ostali ugostiteljski objekti za smještaj </c:v>
                      </c:pt>
                    </c:strCache>
                  </c:strRef>
                </c:cat>
                <c:val>
                  <c:numRef>
                    <c:extLst>
                      <c:ext uri="{02D57815-91ED-43cb-92C2-25804820EDAC}">
                        <c15:formulaRef>
                          <c15:sqref>'stopa zauzetosti 2016-2018'!$C$5:$C$9</c15:sqref>
                        </c15:formulaRef>
                      </c:ext>
                    </c:extLst>
                    <c:numCache>
                      <c:formatCode>General</c:formatCode>
                      <c:ptCount val="5"/>
                    </c:numCache>
                  </c:numRef>
                </c:val>
                <c:extLst>
                  <c:ext xmlns:c16="http://schemas.microsoft.com/office/drawing/2014/chart" uri="{C3380CC4-5D6E-409C-BE32-E72D297353CC}">
                    <c16:uniqueId val="{00000004-9F03-4D7D-A05D-9D482C2AFA1D}"/>
                  </c:ext>
                </c:extLst>
              </c15:ser>
            </c15:filteredBarSeries>
            <c15:filteredBarSeries>
              <c15:ser>
                <c:idx val="1"/>
                <c:order val="1"/>
                <c:tx>
                  <c:strRef>
                    <c:extLst xmlns:c15="http://schemas.microsoft.com/office/drawing/2012/chart">
                      <c:ext xmlns:c15="http://schemas.microsoft.com/office/drawing/2012/chart" uri="{02D57815-91ED-43cb-92C2-25804820EDAC}">
                        <c15:formulaRef>
                          <c15:sqref>'stopa zauzetosti 2016-2018'!$D$4</c15:sqref>
                        </c15:formulaRef>
                      </c:ext>
                    </c:extLst>
                    <c:strCache>
                      <c:ptCount val="1"/>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xmlns:c15="http://schemas.microsoft.com/office/drawing/2012/chart">
                      <c:ext xmlns:c15="http://schemas.microsoft.com/office/drawing/2012/chart" uri="{02D57815-91ED-43cb-92C2-25804820EDAC}">
                        <c15:formulaRef>
                          <c15:sqref>'stopa zauzetosti 2016-2018'!$B$5:$B$9</c15:sqref>
                        </c15:formulaRef>
                      </c:ext>
                    </c:extLst>
                    <c:strCache>
                      <c:ptCount val="5"/>
                      <c:pt idx="0">
                        <c:v>Hoteli </c:v>
                      </c:pt>
                      <c:pt idx="1">
                        <c:v>Kampovi </c:v>
                      </c:pt>
                      <c:pt idx="2">
                        <c:v>Objekti na OPG-u (seljačkom domaćinstvu) </c:v>
                      </c:pt>
                      <c:pt idx="3">
                        <c:v>objekti u domaćinstvu </c:v>
                      </c:pt>
                      <c:pt idx="4">
                        <c:v>ostali ugostiteljski objekti za smještaj </c:v>
                      </c:pt>
                    </c:strCache>
                  </c:strRef>
                </c:cat>
                <c:val>
                  <c:numRef>
                    <c:extLst xmlns:c15="http://schemas.microsoft.com/office/drawing/2012/chart">
                      <c:ext xmlns:c15="http://schemas.microsoft.com/office/drawing/2012/chart" uri="{02D57815-91ED-43cb-92C2-25804820EDAC}">
                        <c15:formulaRef>
                          <c15:sqref>'stopa zauzetosti 2016-2018'!$D$5:$D$9</c15:sqref>
                        </c15:formulaRef>
                      </c:ext>
                    </c:extLst>
                    <c:numCache>
                      <c:formatCode>General</c:formatCode>
                      <c:ptCount val="5"/>
                    </c:numCache>
                  </c:numRef>
                </c:val>
                <c:extLst xmlns:c15="http://schemas.microsoft.com/office/drawing/2012/chart">
                  <c:ext xmlns:c16="http://schemas.microsoft.com/office/drawing/2014/chart" uri="{C3380CC4-5D6E-409C-BE32-E72D297353CC}">
                    <c16:uniqueId val="{00000005-9F03-4D7D-A05D-9D482C2AFA1D}"/>
                  </c:ext>
                </c:extLst>
              </c15:ser>
            </c15:filteredBarSeries>
          </c:ext>
        </c:extLst>
      </c:barChart>
      <c:catAx>
        <c:axId val="3155363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15536632"/>
        <c:crosses val="autoZero"/>
        <c:auto val="1"/>
        <c:lblAlgn val="ctr"/>
        <c:lblOffset val="100"/>
        <c:noMultiLvlLbl val="0"/>
      </c:catAx>
      <c:valAx>
        <c:axId val="315536632"/>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15536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'PG prema spolu nositelja'!$C$4</c:f>
              <c:strCache>
                <c:ptCount val="1"/>
                <c:pt idx="0">
                  <c:v>MUŠKI</c:v>
                </c:pt>
              </c:strCache>
            </c:strRef>
          </c:tx>
          <c:spPr>
            <a:solidFill>
              <a:schemeClr val="bg1">
                <a:lumMod val="5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'PG prema spolu nositelja'!$B$5:$B$8</c:f>
              <c:strCache>
                <c:ptCount val="4"/>
                <c:pt idx="0">
                  <c:v>2016.</c:v>
                </c:pt>
                <c:pt idx="1">
                  <c:v>2017.</c:v>
                </c:pt>
                <c:pt idx="2">
                  <c:v>2018.</c:v>
                </c:pt>
                <c:pt idx="3">
                  <c:v>2019.</c:v>
                </c:pt>
              </c:strCache>
            </c:strRef>
          </c:cat>
          <c:val>
            <c:numRef>
              <c:f>'PG prema spolu nositelja'!$C$5:$C$8</c:f>
              <c:numCache>
                <c:formatCode>#,##0</c:formatCode>
                <c:ptCount val="4"/>
                <c:pt idx="0">
                  <c:v>5779</c:v>
                </c:pt>
                <c:pt idx="1">
                  <c:v>5762</c:v>
                </c:pt>
                <c:pt idx="2">
                  <c:v>5959</c:v>
                </c:pt>
                <c:pt idx="3">
                  <c:v>5889</c:v>
                </c:pt>
              </c:numCache>
            </c:numRef>
          </c:val>
          <c:extLst>
            <c:ext xmlns:c16="http://schemas.microsoft.com/office/drawing/2014/chart" uri="{C3380CC4-5D6E-409C-BE32-E72D297353CC}">
              <c16:uniqueId val="{00000000-F81C-4470-AB4C-FEAB00C699A2}"/>
            </c:ext>
          </c:extLst>
        </c:ser>
        <c:ser>
          <c:idx val="1"/>
          <c:order val="1"/>
          <c:tx>
            <c:strRef>
              <c:f>'PG prema spolu nositelja'!$D$4</c:f>
              <c:strCache>
                <c:ptCount val="1"/>
                <c:pt idx="0">
                  <c:v>ŽENSKI</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'PG prema spolu nositelja'!$B$5:$B$8</c:f>
              <c:strCache>
                <c:ptCount val="4"/>
                <c:pt idx="0">
                  <c:v>2016.</c:v>
                </c:pt>
                <c:pt idx="1">
                  <c:v>2017.</c:v>
                </c:pt>
                <c:pt idx="2">
                  <c:v>2018.</c:v>
                </c:pt>
                <c:pt idx="3">
                  <c:v>2019.</c:v>
                </c:pt>
              </c:strCache>
            </c:strRef>
          </c:cat>
          <c:val>
            <c:numRef>
              <c:f>'PG prema spolu nositelja'!$D$5:$D$8</c:f>
              <c:numCache>
                <c:formatCode>#,##0</c:formatCode>
                <c:ptCount val="4"/>
                <c:pt idx="0">
                  <c:v>2638</c:v>
                </c:pt>
                <c:pt idx="1">
                  <c:v>2636</c:v>
                </c:pt>
                <c:pt idx="2">
                  <c:v>2713</c:v>
                </c:pt>
                <c:pt idx="3">
                  <c:v>2825</c:v>
                </c:pt>
              </c:numCache>
            </c:numRef>
          </c:val>
          <c:extLst>
            <c:ext xmlns:c16="http://schemas.microsoft.com/office/drawing/2014/chart" uri="{C3380CC4-5D6E-409C-BE32-E72D297353CC}">
              <c16:uniqueId val="{00000001-F81C-4470-AB4C-FEAB00C699A2}"/>
            </c:ext>
          </c:extLst>
        </c:ser>
        <c:dLbls>
          <c:dLblPos val="outEnd"/>
          <c:showLegendKey val="0"/>
          <c:showVal val="1"/>
          <c:showCatName val="0"/>
          <c:showSerName val="0"/>
          <c:showPercent val="0"/>
          <c:showBubbleSize val="0"/>
        </c:dLbls>
        <c:gapWidth val="219"/>
        <c:overlap val="-27"/>
        <c:axId val="618705880"/>
        <c:axId val="618703912"/>
      </c:barChart>
      <c:catAx>
        <c:axId val="618705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18703912"/>
        <c:crosses val="autoZero"/>
        <c:auto val="1"/>
        <c:lblAlgn val="ctr"/>
        <c:lblOffset val="100"/>
        <c:noMultiLvlLbl val="0"/>
      </c:catAx>
      <c:valAx>
        <c:axId val="6187039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618705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'Polj. površine'!$A$19</c:f>
              <c:strCache>
                <c:ptCount val="1"/>
                <c:pt idx="0">
                  <c:v>RH Ukupno</c:v>
                </c:pt>
              </c:strCache>
            </c:strRef>
          </c:tx>
          <c:spPr>
            <a:solidFill>
              <a:schemeClr val="accent1"/>
            </a:solidFill>
            <a:ln>
              <a:noFill/>
            </a:ln>
            <a:effectLst/>
          </c:spPr>
          <c:invertIfNegative val="0"/>
          <c:cat>
            <c:strRef>
              <c:f>'Polj. površine'!$B$18:$F$18</c:f>
              <c:strCache>
                <c:ptCount val="5"/>
                <c:pt idx="0">
                  <c:v>&lt;3 ha</c:v>
                </c:pt>
                <c:pt idx="1">
                  <c:v>&gt;=3 i &lt;20 ha</c:v>
                </c:pt>
                <c:pt idx="2">
                  <c:v>&gt;=20 i &lt;100 ha</c:v>
                </c:pt>
                <c:pt idx="3">
                  <c:v>&gt;=100 i &lt; 1.500 ha</c:v>
                </c:pt>
                <c:pt idx="4">
                  <c:v>&gt;=1.500 ha</c:v>
                </c:pt>
              </c:strCache>
            </c:strRef>
          </c:cat>
          <c:val>
            <c:numRef>
              <c:f>'Polj. površine'!$B$19:$F$19</c:f>
              <c:numCache>
                <c:formatCode>0.00</c:formatCode>
                <c:ptCount val="5"/>
                <c:pt idx="0">
                  <c:v>60.962298435772645</c:v>
                </c:pt>
                <c:pt idx="1">
                  <c:v>33.141034601064845</c:v>
                </c:pt>
                <c:pt idx="2" formatCode="General">
                  <c:v>5.09</c:v>
                </c:pt>
                <c:pt idx="3" formatCode="General">
                  <c:v>0.8</c:v>
                </c:pt>
                <c:pt idx="4" formatCode="General">
                  <c:v>0.01</c:v>
                </c:pt>
              </c:numCache>
            </c:numRef>
          </c:val>
          <c:extLst>
            <c:ext xmlns:c16="http://schemas.microsoft.com/office/drawing/2014/chart" uri="{C3380CC4-5D6E-409C-BE32-E72D297353CC}">
              <c16:uniqueId val="{00000000-ABA0-4D6A-9994-57EF80F3B710}"/>
            </c:ext>
          </c:extLst>
        </c:ser>
        <c:ser>
          <c:idx val="1"/>
          <c:order val="1"/>
          <c:tx>
            <c:strRef>
              <c:f>'Polj. površine'!$A$20</c:f>
              <c:strCache>
                <c:ptCount val="1"/>
                <c:pt idx="0">
                  <c:v>Krapinsko-zagorska županija</c:v>
                </c:pt>
              </c:strCache>
            </c:strRef>
          </c:tx>
          <c:spPr>
            <a:solidFill>
              <a:schemeClr val="accent2"/>
            </a:solidFill>
            <a:ln>
              <a:noFill/>
            </a:ln>
            <a:effectLst/>
          </c:spPr>
          <c:invertIfNegative val="0"/>
          <c:cat>
            <c:strRef>
              <c:f>'Polj. površine'!$B$18:$F$18</c:f>
              <c:strCache>
                <c:ptCount val="5"/>
                <c:pt idx="0">
                  <c:v>&lt;3 ha</c:v>
                </c:pt>
                <c:pt idx="1">
                  <c:v>&gt;=3 i &lt;20 ha</c:v>
                </c:pt>
                <c:pt idx="2">
                  <c:v>&gt;=20 i &lt;100 ha</c:v>
                </c:pt>
                <c:pt idx="3">
                  <c:v>&gt;=100 i &lt; 1.500 ha</c:v>
                </c:pt>
                <c:pt idx="4">
                  <c:v>&gt;=1.500 ha</c:v>
                </c:pt>
              </c:strCache>
            </c:strRef>
          </c:cat>
          <c:val>
            <c:numRef>
              <c:f>'Polj. površine'!$B$20:$F$20</c:f>
              <c:numCache>
                <c:formatCode>0.00</c:formatCode>
                <c:ptCount val="5"/>
                <c:pt idx="0">
                  <c:v>79.220931596855564</c:v>
                </c:pt>
                <c:pt idx="1">
                  <c:v>20.086823888302241</c:v>
                </c:pt>
                <c:pt idx="2">
                  <c:v>0.65</c:v>
                </c:pt>
                <c:pt idx="3">
                  <c:v>4.693183151472486E-2</c:v>
                </c:pt>
                <c:pt idx="4">
                  <c:v>0</c:v>
                </c:pt>
              </c:numCache>
            </c:numRef>
          </c:val>
          <c:extLst>
            <c:ext xmlns:c16="http://schemas.microsoft.com/office/drawing/2014/chart" uri="{C3380CC4-5D6E-409C-BE32-E72D297353CC}">
              <c16:uniqueId val="{00000001-ABA0-4D6A-9994-57EF80F3B710}"/>
            </c:ext>
          </c:extLst>
        </c:ser>
        <c:dLbls>
          <c:showLegendKey val="0"/>
          <c:showVal val="0"/>
          <c:showCatName val="0"/>
          <c:showSerName val="0"/>
          <c:showPercent val="0"/>
          <c:showBubbleSize val="0"/>
        </c:dLbls>
        <c:gapWidth val="182"/>
        <c:axId val="515971328"/>
        <c:axId val="515977600"/>
      </c:barChart>
      <c:catAx>
        <c:axId val="515971328"/>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Newslab" panose="02000000000000000000" pitchFamily="50" charset="0"/>
                    <a:ea typeface="+mn-ea"/>
                    <a:cs typeface="+mn-cs"/>
                  </a:defRPr>
                </a:pPr>
                <a:r>
                  <a:rPr lang="hr-HR"/>
                  <a:t>Veličina posjeda </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15977600"/>
        <c:crosses val="autoZero"/>
        <c:auto val="1"/>
        <c:lblAlgn val="ctr"/>
        <c:lblOffset val="100"/>
        <c:noMultiLvlLbl val="0"/>
      </c:catAx>
      <c:valAx>
        <c:axId val="51597760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Newslab" panose="02000000000000000000" pitchFamily="50" charset="0"/>
                    <a:ea typeface="+mn-ea"/>
                    <a:cs typeface="+mn-cs"/>
                  </a:defRPr>
                </a:pPr>
                <a:r>
                  <a:rPr lang="hr-HR"/>
                  <a:t>%</a:t>
                </a:r>
                <a:r>
                  <a:rPr lang="hr-HR" baseline="0"/>
                  <a:t> gospodarstava </a:t>
                </a:r>
                <a:endParaRPr lang="hr-HR"/>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15971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Newslab" panose="02000000000000000000" pitchFamily="50" charset="0"/>
        </a:defRPr>
      </a:pPr>
      <a:endParaRPr lang="sr-Latn-RS"/>
    </a:p>
  </c:txPr>
  <c:externalData r:id="rId1">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'Proizvodnja vina'!$B$16</c:f>
              <c:strCache>
                <c:ptCount val="1"/>
                <c:pt idx="0">
                  <c:v>2016.</c:v>
                </c:pt>
              </c:strCache>
            </c:strRef>
          </c:tx>
          <c:spPr>
            <a:solidFill>
              <a:schemeClr val="accent1"/>
            </a:solidFill>
            <a:ln>
              <a:noFill/>
            </a:ln>
            <a:effectLst/>
          </c:spPr>
          <c:invertIfNegative val="0"/>
          <c:cat>
            <c:strRef>
              <c:f>'Proizvodnja vina'!$C$15:$G$15</c:f>
              <c:strCache>
                <c:ptCount val="5"/>
                <c:pt idx="0">
                  <c:v>Vrhunsko vino KZP (vino ZOI)</c:v>
                </c:pt>
                <c:pt idx="1">
                  <c:v>Kvalitetno vino KZP (vino ZOI)</c:v>
                </c:pt>
                <c:pt idx="2">
                  <c:v>Sortno vino bez ZOI (sa oznakom sorte i berbe)</c:v>
                </c:pt>
                <c:pt idx="3">
                  <c:v>Vino bez ZOI</c:v>
                </c:pt>
                <c:pt idx="4">
                  <c:v>Ostalo vino</c:v>
                </c:pt>
              </c:strCache>
            </c:strRef>
          </c:cat>
          <c:val>
            <c:numRef>
              <c:f>'Proizvodnja vina'!$C$16:$G$16</c:f>
              <c:numCache>
                <c:formatCode>0.00</c:formatCode>
                <c:ptCount val="5"/>
                <c:pt idx="0">
                  <c:v>876.69999999999993</c:v>
                </c:pt>
                <c:pt idx="1">
                  <c:v>1945.5499999999997</c:v>
                </c:pt>
                <c:pt idx="2">
                  <c:v>124.91000000000001</c:v>
                </c:pt>
                <c:pt idx="3">
                  <c:v>5748.8400000000065</c:v>
                </c:pt>
                <c:pt idx="4">
                  <c:v>0</c:v>
                </c:pt>
              </c:numCache>
            </c:numRef>
          </c:val>
          <c:extLst>
            <c:ext xmlns:c16="http://schemas.microsoft.com/office/drawing/2014/chart" uri="{C3380CC4-5D6E-409C-BE32-E72D297353CC}">
              <c16:uniqueId val="{00000000-D8D5-46BF-B769-F3D4FC3AA05C}"/>
            </c:ext>
          </c:extLst>
        </c:ser>
        <c:ser>
          <c:idx val="1"/>
          <c:order val="1"/>
          <c:tx>
            <c:strRef>
              <c:f>'Proizvodnja vina'!$B$17</c:f>
              <c:strCache>
                <c:ptCount val="1"/>
                <c:pt idx="0">
                  <c:v>2017.</c:v>
                </c:pt>
              </c:strCache>
            </c:strRef>
          </c:tx>
          <c:spPr>
            <a:solidFill>
              <a:schemeClr val="accent2"/>
            </a:solidFill>
            <a:ln>
              <a:noFill/>
            </a:ln>
            <a:effectLst/>
          </c:spPr>
          <c:invertIfNegative val="0"/>
          <c:cat>
            <c:strRef>
              <c:f>'Proizvodnja vina'!$C$15:$G$15</c:f>
              <c:strCache>
                <c:ptCount val="5"/>
                <c:pt idx="0">
                  <c:v>Vrhunsko vino KZP (vino ZOI)</c:v>
                </c:pt>
                <c:pt idx="1">
                  <c:v>Kvalitetno vino KZP (vino ZOI)</c:v>
                </c:pt>
                <c:pt idx="2">
                  <c:v>Sortno vino bez ZOI (sa oznakom sorte i berbe)</c:v>
                </c:pt>
                <c:pt idx="3">
                  <c:v>Vino bez ZOI</c:v>
                </c:pt>
                <c:pt idx="4">
                  <c:v>Ostalo vino</c:v>
                </c:pt>
              </c:strCache>
            </c:strRef>
          </c:cat>
          <c:val>
            <c:numRef>
              <c:f>'Proizvodnja vina'!$C$17:$G$17</c:f>
              <c:numCache>
                <c:formatCode>0.00</c:formatCode>
                <c:ptCount val="5"/>
                <c:pt idx="0">
                  <c:v>811.35</c:v>
                </c:pt>
                <c:pt idx="1">
                  <c:v>2418.0499999999997</c:v>
                </c:pt>
                <c:pt idx="2">
                  <c:v>100.10000000000002</c:v>
                </c:pt>
                <c:pt idx="3">
                  <c:v>5864.3800000000047</c:v>
                </c:pt>
                <c:pt idx="4">
                  <c:v>0</c:v>
                </c:pt>
              </c:numCache>
            </c:numRef>
          </c:val>
          <c:extLst>
            <c:ext xmlns:c16="http://schemas.microsoft.com/office/drawing/2014/chart" uri="{C3380CC4-5D6E-409C-BE32-E72D297353CC}">
              <c16:uniqueId val="{00000001-D8D5-46BF-B769-F3D4FC3AA05C}"/>
            </c:ext>
          </c:extLst>
        </c:ser>
        <c:ser>
          <c:idx val="2"/>
          <c:order val="2"/>
          <c:tx>
            <c:strRef>
              <c:f>'Proizvodnja vina'!$B$18</c:f>
              <c:strCache>
                <c:ptCount val="1"/>
                <c:pt idx="0">
                  <c:v>2018.</c:v>
                </c:pt>
              </c:strCache>
            </c:strRef>
          </c:tx>
          <c:spPr>
            <a:solidFill>
              <a:schemeClr val="accent3"/>
            </a:solidFill>
            <a:ln>
              <a:noFill/>
            </a:ln>
            <a:effectLst/>
          </c:spPr>
          <c:invertIfNegative val="0"/>
          <c:cat>
            <c:strRef>
              <c:f>'Proizvodnja vina'!$C$15:$G$15</c:f>
              <c:strCache>
                <c:ptCount val="5"/>
                <c:pt idx="0">
                  <c:v>Vrhunsko vino KZP (vino ZOI)</c:v>
                </c:pt>
                <c:pt idx="1">
                  <c:v>Kvalitetno vino KZP (vino ZOI)</c:v>
                </c:pt>
                <c:pt idx="2">
                  <c:v>Sortno vino bez ZOI (sa oznakom sorte i berbe)</c:v>
                </c:pt>
                <c:pt idx="3">
                  <c:v>Vino bez ZOI</c:v>
                </c:pt>
                <c:pt idx="4">
                  <c:v>Ostalo vino</c:v>
                </c:pt>
              </c:strCache>
            </c:strRef>
          </c:cat>
          <c:val>
            <c:numRef>
              <c:f>'Proizvodnja vina'!$C$18:$G$18</c:f>
              <c:numCache>
                <c:formatCode>0.00</c:formatCode>
                <c:ptCount val="5"/>
                <c:pt idx="0">
                  <c:v>672.49</c:v>
                </c:pt>
                <c:pt idx="1">
                  <c:v>2835.1099999999988</c:v>
                </c:pt>
                <c:pt idx="2">
                  <c:v>204.9</c:v>
                </c:pt>
                <c:pt idx="3">
                  <c:v>6495.9499999999925</c:v>
                </c:pt>
                <c:pt idx="4">
                  <c:v>0</c:v>
                </c:pt>
              </c:numCache>
            </c:numRef>
          </c:val>
          <c:extLst>
            <c:ext xmlns:c16="http://schemas.microsoft.com/office/drawing/2014/chart" uri="{C3380CC4-5D6E-409C-BE32-E72D297353CC}">
              <c16:uniqueId val="{00000002-D8D5-46BF-B769-F3D4FC3AA05C}"/>
            </c:ext>
          </c:extLst>
        </c:ser>
        <c:ser>
          <c:idx val="3"/>
          <c:order val="3"/>
          <c:tx>
            <c:strRef>
              <c:f>'Proizvodnja vina'!$B$19</c:f>
              <c:strCache>
                <c:ptCount val="1"/>
                <c:pt idx="0">
                  <c:v>2019.</c:v>
                </c:pt>
              </c:strCache>
            </c:strRef>
          </c:tx>
          <c:spPr>
            <a:solidFill>
              <a:schemeClr val="accent4"/>
            </a:solidFill>
            <a:ln>
              <a:noFill/>
            </a:ln>
            <a:effectLst/>
          </c:spPr>
          <c:invertIfNegative val="0"/>
          <c:cat>
            <c:strRef>
              <c:f>'Proizvodnja vina'!$C$15:$G$15</c:f>
              <c:strCache>
                <c:ptCount val="5"/>
                <c:pt idx="0">
                  <c:v>Vrhunsko vino KZP (vino ZOI)</c:v>
                </c:pt>
                <c:pt idx="1">
                  <c:v>Kvalitetno vino KZP (vino ZOI)</c:v>
                </c:pt>
                <c:pt idx="2">
                  <c:v>Sortno vino bez ZOI (sa oznakom sorte i berbe)</c:v>
                </c:pt>
                <c:pt idx="3">
                  <c:v>Vino bez ZOI</c:v>
                </c:pt>
                <c:pt idx="4">
                  <c:v>Ostalo vino</c:v>
                </c:pt>
              </c:strCache>
            </c:strRef>
          </c:cat>
          <c:val>
            <c:numRef>
              <c:f>'Proizvodnja vina'!$C$19:$G$19</c:f>
              <c:numCache>
                <c:formatCode>0.00</c:formatCode>
                <c:ptCount val="5"/>
                <c:pt idx="0">
                  <c:v>855.10000000000014</c:v>
                </c:pt>
                <c:pt idx="1">
                  <c:v>2090.7800000000007</c:v>
                </c:pt>
                <c:pt idx="2">
                  <c:v>207.39</c:v>
                </c:pt>
                <c:pt idx="3">
                  <c:v>4473.3599999999997</c:v>
                </c:pt>
                <c:pt idx="4">
                  <c:v>0</c:v>
                </c:pt>
              </c:numCache>
            </c:numRef>
          </c:val>
          <c:extLst>
            <c:ext xmlns:c16="http://schemas.microsoft.com/office/drawing/2014/chart" uri="{C3380CC4-5D6E-409C-BE32-E72D297353CC}">
              <c16:uniqueId val="{00000003-D8D5-46BF-B769-F3D4FC3AA05C}"/>
            </c:ext>
          </c:extLst>
        </c:ser>
        <c:dLbls>
          <c:showLegendKey val="0"/>
          <c:showVal val="0"/>
          <c:showCatName val="0"/>
          <c:showSerName val="0"/>
          <c:showPercent val="0"/>
          <c:showBubbleSize val="0"/>
        </c:dLbls>
        <c:gapWidth val="219"/>
        <c:overlap val="-27"/>
        <c:axId val="2028238976"/>
        <c:axId val="2028236896"/>
      </c:barChart>
      <c:catAx>
        <c:axId val="2028238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28236896"/>
        <c:crosses val="autoZero"/>
        <c:auto val="1"/>
        <c:lblAlgn val="ctr"/>
        <c:lblOffset val="100"/>
        <c:noMultiLvlLbl val="0"/>
      </c:catAx>
      <c:valAx>
        <c:axId val="202823689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282389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'Polj. površine'!$B$42</c:f>
              <c:strCache>
                <c:ptCount val="1"/>
                <c:pt idx="0">
                  <c:v>Broj subjekata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panose="02000000000000000000" pitchFamily="50" charset="0"/>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'Polj. površine'!$A$43:$A$63</c:f>
              <c:strCache>
                <c:ptCount val="21"/>
                <c:pt idx="0">
                  <c:v>Osječko-baranjska</c:v>
                </c:pt>
                <c:pt idx="1">
                  <c:v>Sisačko-moslavačka</c:v>
                </c:pt>
                <c:pt idx="2">
                  <c:v>Grad Zagreb</c:v>
                </c:pt>
                <c:pt idx="3">
                  <c:v>Brodsko-posavska</c:v>
                </c:pt>
                <c:pt idx="4">
                  <c:v>Karlovačka</c:v>
                </c:pt>
                <c:pt idx="5">
                  <c:v>Bjelovarsko bilogorska</c:v>
                </c:pt>
                <c:pt idx="6">
                  <c:v>Splitsko-dalmatinska</c:v>
                </c:pt>
                <c:pt idx="7">
                  <c:v>Zagrebačka</c:v>
                </c:pt>
                <c:pt idx="8">
                  <c:v>Požeško-slavonska</c:v>
                </c:pt>
                <c:pt idx="9">
                  <c:v>Virovitičko-podravska</c:v>
                </c:pt>
                <c:pt idx="10">
                  <c:v>Zadarska</c:v>
                </c:pt>
                <c:pt idx="11">
                  <c:v>Vukovarsko-srijemska</c:v>
                </c:pt>
                <c:pt idx="12">
                  <c:v>Ličko-senjska</c:v>
                </c:pt>
                <c:pt idx="13">
                  <c:v>Primorsko-goranska</c:v>
                </c:pt>
                <c:pt idx="14">
                  <c:v>Koprivničko-križevačka</c:v>
                </c:pt>
                <c:pt idx="15">
                  <c:v>Istarska</c:v>
                </c:pt>
                <c:pt idx="16">
                  <c:v>Međimurska </c:v>
                </c:pt>
                <c:pt idx="17">
                  <c:v>Varaždinska </c:v>
                </c:pt>
                <c:pt idx="18">
                  <c:v>Dubrovačko-neretvanska</c:v>
                </c:pt>
                <c:pt idx="19">
                  <c:v>Šibensko-kninska</c:v>
                </c:pt>
                <c:pt idx="20">
                  <c:v>Krapinsko-zagorska</c:v>
                </c:pt>
              </c:strCache>
            </c:strRef>
          </c:cat>
          <c:val>
            <c:numRef>
              <c:f>'Polj. površine'!$B$43:$B$63</c:f>
              <c:numCache>
                <c:formatCode>General</c:formatCode>
                <c:ptCount val="21"/>
                <c:pt idx="0">
                  <c:v>894</c:v>
                </c:pt>
                <c:pt idx="1">
                  <c:v>457</c:v>
                </c:pt>
                <c:pt idx="2">
                  <c:v>431</c:v>
                </c:pt>
                <c:pt idx="3">
                  <c:v>399</c:v>
                </c:pt>
                <c:pt idx="4">
                  <c:v>388</c:v>
                </c:pt>
                <c:pt idx="5">
                  <c:v>360</c:v>
                </c:pt>
                <c:pt idx="6">
                  <c:v>304</c:v>
                </c:pt>
                <c:pt idx="7">
                  <c:v>296</c:v>
                </c:pt>
                <c:pt idx="8">
                  <c:v>286</c:v>
                </c:pt>
                <c:pt idx="9">
                  <c:v>277</c:v>
                </c:pt>
                <c:pt idx="10">
                  <c:v>257</c:v>
                </c:pt>
                <c:pt idx="11">
                  <c:v>238</c:v>
                </c:pt>
                <c:pt idx="12">
                  <c:v>218</c:v>
                </c:pt>
                <c:pt idx="13">
                  <c:v>215</c:v>
                </c:pt>
                <c:pt idx="14">
                  <c:v>152</c:v>
                </c:pt>
                <c:pt idx="15">
                  <c:v>149</c:v>
                </c:pt>
                <c:pt idx="16">
                  <c:v>113</c:v>
                </c:pt>
                <c:pt idx="17">
                  <c:v>93</c:v>
                </c:pt>
                <c:pt idx="18">
                  <c:v>90</c:v>
                </c:pt>
                <c:pt idx="19">
                  <c:v>86</c:v>
                </c:pt>
                <c:pt idx="20">
                  <c:v>80</c:v>
                </c:pt>
              </c:numCache>
            </c:numRef>
          </c:val>
          <c:extLst>
            <c:ext xmlns:c16="http://schemas.microsoft.com/office/drawing/2014/chart" uri="{C3380CC4-5D6E-409C-BE32-E72D297353CC}">
              <c16:uniqueId val="{00000000-31E3-40E1-83BB-FD28A09371C2}"/>
            </c:ext>
          </c:extLst>
        </c:ser>
        <c:dLbls>
          <c:showLegendKey val="0"/>
          <c:showVal val="0"/>
          <c:showCatName val="0"/>
          <c:showSerName val="0"/>
          <c:showPercent val="0"/>
          <c:showBubbleSize val="0"/>
        </c:dLbls>
        <c:gapWidth val="182"/>
        <c:axId val="516016000"/>
        <c:axId val="516017536"/>
      </c:barChart>
      <c:catAx>
        <c:axId val="5160160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16017536"/>
        <c:crosses val="autoZero"/>
        <c:auto val="1"/>
        <c:lblAlgn val="ctr"/>
        <c:lblOffset val="100"/>
        <c:noMultiLvlLbl val="0"/>
      </c:catAx>
      <c:valAx>
        <c:axId val="51601753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160160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Newslab" panose="02000000000000000000" pitchFamily="50" charset="0"/>
        </a:defRPr>
      </a:pPr>
      <a:endParaRPr lang="sr-Latn-RS"/>
    </a:p>
  </c:txPr>
  <c:externalData r:id="rId1">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dLbl>
              <c:idx val="4"/>
              <c:layout>
                <c:manualLayout>
                  <c:x val="-4.2765163433371202E-2"/>
                  <c:y val="-8.78088937729692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0E-49BC-8E46-FD738AA8D85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panose="02000000000000000000" pitchFamily="50" charset="0"/>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List1!$F$111:$F$117</c:f>
              <c:strCache>
                <c:ptCount val="7"/>
                <c:pt idx="0">
                  <c:v>2011.</c:v>
                </c:pt>
                <c:pt idx="1">
                  <c:v>2012.</c:v>
                </c:pt>
                <c:pt idx="2">
                  <c:v>2013.</c:v>
                </c:pt>
                <c:pt idx="3">
                  <c:v>2014.</c:v>
                </c:pt>
                <c:pt idx="4">
                  <c:v>2015.</c:v>
                </c:pt>
                <c:pt idx="5">
                  <c:v>2016.</c:v>
                </c:pt>
                <c:pt idx="6">
                  <c:v>2017.</c:v>
                </c:pt>
              </c:strCache>
            </c:strRef>
          </c:cat>
          <c:val>
            <c:numRef>
              <c:f>List1!$G$111:$G$117</c:f>
              <c:numCache>
                <c:formatCode>General</c:formatCode>
                <c:ptCount val="7"/>
                <c:pt idx="0">
                  <c:v>205</c:v>
                </c:pt>
                <c:pt idx="1">
                  <c:v>235</c:v>
                </c:pt>
                <c:pt idx="2">
                  <c:v>208</c:v>
                </c:pt>
                <c:pt idx="3">
                  <c:v>234</c:v>
                </c:pt>
                <c:pt idx="4">
                  <c:v>141</c:v>
                </c:pt>
                <c:pt idx="5">
                  <c:v>202</c:v>
                </c:pt>
                <c:pt idx="6">
                  <c:v>212</c:v>
                </c:pt>
              </c:numCache>
            </c:numRef>
          </c:val>
          <c:smooth val="0"/>
          <c:extLst>
            <c:ext xmlns:c16="http://schemas.microsoft.com/office/drawing/2014/chart" uri="{C3380CC4-5D6E-409C-BE32-E72D297353CC}">
              <c16:uniqueId val="{00000001-D70E-49BC-8E46-FD738AA8D850}"/>
            </c:ext>
          </c:extLst>
        </c:ser>
        <c:dLbls>
          <c:showLegendKey val="0"/>
          <c:showVal val="0"/>
          <c:showCatName val="0"/>
          <c:showSerName val="0"/>
          <c:showPercent val="0"/>
          <c:showBubbleSize val="0"/>
        </c:dLbls>
        <c:smooth val="0"/>
        <c:axId val="357596544"/>
        <c:axId val="502256768"/>
      </c:lineChart>
      <c:catAx>
        <c:axId val="357596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02256768"/>
        <c:crosses val="autoZero"/>
        <c:auto val="1"/>
        <c:lblAlgn val="ctr"/>
        <c:lblOffset val="100"/>
        <c:noMultiLvlLbl val="0"/>
      </c:catAx>
      <c:valAx>
        <c:axId val="5022567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3575965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Newslab" panose="02000000000000000000" pitchFamily="50" charset="0"/>
        </a:defRPr>
      </a:pPr>
      <a:endParaRPr lang="sr-Latn-R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List1!$C$2</c:f>
              <c:strCache>
                <c:ptCount val="1"/>
                <c:pt idx="0">
                  <c:v>Muškarci</c:v>
                </c:pt>
              </c:strCache>
            </c:strRef>
          </c:tx>
          <c:spPr>
            <a:solidFill>
              <a:schemeClr val="bg1">
                <a:lumMod val="50000"/>
              </a:schemeClr>
            </a:solidFill>
            <a:ln>
              <a:noFill/>
            </a:ln>
            <a:effectLst/>
          </c:spPr>
          <c:invertIfNegative val="0"/>
          <c:cat>
            <c:strRef>
              <c:f>List1!$B$3:$B$20</c:f>
              <c:strCache>
                <c:ptCount val="18"/>
                <c:pt idx="0">
                  <c:v>0-4</c:v>
                </c:pt>
                <c:pt idx="1">
                  <c:v>5-9</c:v>
                </c:pt>
                <c:pt idx="2">
                  <c:v>10-14</c:v>
                </c:pt>
                <c:pt idx="3">
                  <c:v>15-19</c:v>
                </c:pt>
                <c:pt idx="4">
                  <c:v>20-24</c:v>
                </c:pt>
                <c:pt idx="5">
                  <c:v>25-29</c:v>
                </c:pt>
                <c:pt idx="6">
                  <c:v>30-24</c:v>
                </c:pt>
                <c:pt idx="7">
                  <c:v>35-39</c:v>
                </c:pt>
                <c:pt idx="8">
                  <c:v>40-44</c:v>
                </c:pt>
                <c:pt idx="9">
                  <c:v>45-49</c:v>
                </c:pt>
                <c:pt idx="10">
                  <c:v>50-54</c:v>
                </c:pt>
                <c:pt idx="11">
                  <c:v>55-59</c:v>
                </c:pt>
                <c:pt idx="12">
                  <c:v>60-64</c:v>
                </c:pt>
                <c:pt idx="13">
                  <c:v>65-69</c:v>
                </c:pt>
                <c:pt idx="14">
                  <c:v>70-74</c:v>
                </c:pt>
                <c:pt idx="15">
                  <c:v>75-79</c:v>
                </c:pt>
                <c:pt idx="16">
                  <c:v>80-84</c:v>
                </c:pt>
                <c:pt idx="17">
                  <c:v>85+</c:v>
                </c:pt>
              </c:strCache>
            </c:strRef>
          </c:cat>
          <c:val>
            <c:numRef>
              <c:f>List1!$C$3:$C$20</c:f>
              <c:numCache>
                <c:formatCode>General</c:formatCode>
                <c:ptCount val="18"/>
                <c:pt idx="0">
                  <c:v>-2722</c:v>
                </c:pt>
                <c:pt idx="1">
                  <c:v>-2971</c:v>
                </c:pt>
                <c:pt idx="2">
                  <c:v>-3059</c:v>
                </c:pt>
                <c:pt idx="3">
                  <c:v>-3324</c:v>
                </c:pt>
                <c:pt idx="4">
                  <c:v>-3849</c:v>
                </c:pt>
                <c:pt idx="5">
                  <c:v>-3897</c:v>
                </c:pt>
                <c:pt idx="6">
                  <c:v>-4041</c:v>
                </c:pt>
                <c:pt idx="7">
                  <c:v>-4289</c:v>
                </c:pt>
                <c:pt idx="8">
                  <c:v>-4203</c:v>
                </c:pt>
                <c:pt idx="9">
                  <c:v>-4350</c:v>
                </c:pt>
                <c:pt idx="10">
                  <c:v>-4784</c:v>
                </c:pt>
                <c:pt idx="11">
                  <c:v>-5029</c:v>
                </c:pt>
                <c:pt idx="12">
                  <c:v>-4574</c:v>
                </c:pt>
                <c:pt idx="13">
                  <c:v>-3661</c:v>
                </c:pt>
                <c:pt idx="14">
                  <c:v>-2434</c:v>
                </c:pt>
                <c:pt idx="15">
                  <c:v>-1849</c:v>
                </c:pt>
                <c:pt idx="16">
                  <c:v>-1111</c:v>
                </c:pt>
                <c:pt idx="17">
                  <c:v>-592</c:v>
                </c:pt>
              </c:numCache>
            </c:numRef>
          </c:val>
          <c:extLst>
            <c:ext xmlns:c16="http://schemas.microsoft.com/office/drawing/2014/chart" uri="{C3380CC4-5D6E-409C-BE32-E72D297353CC}">
              <c16:uniqueId val="{00000000-2AA6-49A3-85A6-D0969EF482C3}"/>
            </c:ext>
          </c:extLst>
        </c:ser>
        <c:ser>
          <c:idx val="1"/>
          <c:order val="1"/>
          <c:tx>
            <c:strRef>
              <c:f>List1!$D$2</c:f>
              <c:strCache>
                <c:ptCount val="1"/>
                <c:pt idx="0">
                  <c:v>Žene</c:v>
                </c:pt>
              </c:strCache>
            </c:strRef>
          </c:tx>
          <c:spPr>
            <a:solidFill>
              <a:srgbClr val="C00000"/>
            </a:solidFill>
            <a:ln>
              <a:noFill/>
            </a:ln>
            <a:effectLst/>
          </c:spPr>
          <c:invertIfNegative val="0"/>
          <c:cat>
            <c:strRef>
              <c:f>List1!$B$3:$B$20</c:f>
              <c:strCache>
                <c:ptCount val="18"/>
                <c:pt idx="0">
                  <c:v>0-4</c:v>
                </c:pt>
                <c:pt idx="1">
                  <c:v>5-9</c:v>
                </c:pt>
                <c:pt idx="2">
                  <c:v>10-14</c:v>
                </c:pt>
                <c:pt idx="3">
                  <c:v>15-19</c:v>
                </c:pt>
                <c:pt idx="4">
                  <c:v>20-24</c:v>
                </c:pt>
                <c:pt idx="5">
                  <c:v>25-29</c:v>
                </c:pt>
                <c:pt idx="6">
                  <c:v>30-24</c:v>
                </c:pt>
                <c:pt idx="7">
                  <c:v>35-39</c:v>
                </c:pt>
                <c:pt idx="8">
                  <c:v>40-44</c:v>
                </c:pt>
                <c:pt idx="9">
                  <c:v>45-49</c:v>
                </c:pt>
                <c:pt idx="10">
                  <c:v>50-54</c:v>
                </c:pt>
                <c:pt idx="11">
                  <c:v>55-59</c:v>
                </c:pt>
                <c:pt idx="12">
                  <c:v>60-64</c:v>
                </c:pt>
                <c:pt idx="13">
                  <c:v>65-69</c:v>
                </c:pt>
                <c:pt idx="14">
                  <c:v>70-74</c:v>
                </c:pt>
                <c:pt idx="15">
                  <c:v>75-79</c:v>
                </c:pt>
                <c:pt idx="16">
                  <c:v>80-84</c:v>
                </c:pt>
                <c:pt idx="17">
                  <c:v>85+</c:v>
                </c:pt>
              </c:strCache>
            </c:strRef>
          </c:cat>
          <c:val>
            <c:numRef>
              <c:f>List1!$D$3:$D$20</c:f>
              <c:numCache>
                <c:formatCode>General</c:formatCode>
                <c:ptCount val="18"/>
                <c:pt idx="0">
                  <c:v>2531</c:v>
                </c:pt>
                <c:pt idx="1">
                  <c:v>2802</c:v>
                </c:pt>
                <c:pt idx="2">
                  <c:v>2931</c:v>
                </c:pt>
                <c:pt idx="3">
                  <c:v>3108</c:v>
                </c:pt>
                <c:pt idx="4">
                  <c:v>3732</c:v>
                </c:pt>
                <c:pt idx="5">
                  <c:v>3548</c:v>
                </c:pt>
                <c:pt idx="6">
                  <c:v>3799</c:v>
                </c:pt>
                <c:pt idx="7">
                  <c:v>3963</c:v>
                </c:pt>
                <c:pt idx="8">
                  <c:v>3991</c:v>
                </c:pt>
                <c:pt idx="9">
                  <c:v>4153</c:v>
                </c:pt>
                <c:pt idx="10">
                  <c:v>4764</c:v>
                </c:pt>
                <c:pt idx="11">
                  <c:v>4792</c:v>
                </c:pt>
                <c:pt idx="12">
                  <c:v>4656</c:v>
                </c:pt>
                <c:pt idx="13">
                  <c:v>4059</c:v>
                </c:pt>
                <c:pt idx="14">
                  <c:v>3232</c:v>
                </c:pt>
                <c:pt idx="15">
                  <c:v>3102</c:v>
                </c:pt>
                <c:pt idx="16">
                  <c:v>2631</c:v>
                </c:pt>
                <c:pt idx="17">
                  <c:v>1984</c:v>
                </c:pt>
              </c:numCache>
            </c:numRef>
          </c:val>
          <c:extLst>
            <c:ext xmlns:c16="http://schemas.microsoft.com/office/drawing/2014/chart" uri="{C3380CC4-5D6E-409C-BE32-E72D297353CC}">
              <c16:uniqueId val="{00000001-2AA6-49A3-85A6-D0969EF482C3}"/>
            </c:ext>
          </c:extLst>
        </c:ser>
        <c:dLbls>
          <c:showLegendKey val="0"/>
          <c:showVal val="0"/>
          <c:showCatName val="0"/>
          <c:showSerName val="0"/>
          <c:showPercent val="0"/>
          <c:showBubbleSize val="0"/>
        </c:dLbls>
        <c:gapWidth val="15"/>
        <c:overlap val="100"/>
        <c:axId val="304661216"/>
        <c:axId val="304659248"/>
      </c:barChart>
      <c:catAx>
        <c:axId val="30466121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4659248"/>
        <c:crosses val="autoZero"/>
        <c:auto val="1"/>
        <c:lblAlgn val="ctr"/>
        <c:lblOffset val="100"/>
        <c:noMultiLvlLbl val="0"/>
      </c:catAx>
      <c:valAx>
        <c:axId val="30465924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46612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userShapes r:id="rId5"/>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8575" cap="rnd">
              <a:solidFill>
                <a:schemeClr val="accent1"/>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Newslab" panose="02000000000000000000" pitchFamily="50" charset="0"/>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List2!$J$34:$M$34</c:f>
              <c:strCache>
                <c:ptCount val="4"/>
                <c:pt idx="0">
                  <c:v>2014.</c:v>
                </c:pt>
                <c:pt idx="1">
                  <c:v>2015.</c:v>
                </c:pt>
                <c:pt idx="2">
                  <c:v>2016.</c:v>
                </c:pt>
                <c:pt idx="3">
                  <c:v>2017.</c:v>
                </c:pt>
              </c:strCache>
            </c:strRef>
          </c:cat>
          <c:val>
            <c:numRef>
              <c:f>List2!$J$35:$M$35</c:f>
              <c:numCache>
                <c:formatCode>General</c:formatCode>
                <c:ptCount val="4"/>
                <c:pt idx="0">
                  <c:v>401</c:v>
                </c:pt>
                <c:pt idx="1">
                  <c:v>9434</c:v>
                </c:pt>
                <c:pt idx="2">
                  <c:v>13385</c:v>
                </c:pt>
                <c:pt idx="3">
                  <c:v>14332</c:v>
                </c:pt>
              </c:numCache>
            </c:numRef>
          </c:val>
          <c:smooth val="0"/>
          <c:extLst>
            <c:ext xmlns:c16="http://schemas.microsoft.com/office/drawing/2014/chart" uri="{C3380CC4-5D6E-409C-BE32-E72D297353CC}">
              <c16:uniqueId val="{00000000-3951-4496-9122-0C60ACE2A1FE}"/>
            </c:ext>
          </c:extLst>
        </c:ser>
        <c:dLbls>
          <c:showLegendKey val="0"/>
          <c:showVal val="0"/>
          <c:showCatName val="0"/>
          <c:showSerName val="0"/>
          <c:showPercent val="0"/>
          <c:showBubbleSize val="0"/>
        </c:dLbls>
        <c:smooth val="0"/>
        <c:axId val="516490368"/>
        <c:axId val="516491904"/>
      </c:lineChart>
      <c:catAx>
        <c:axId val="5164903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16491904"/>
        <c:crosses val="autoZero"/>
        <c:auto val="1"/>
        <c:lblAlgn val="ctr"/>
        <c:lblOffset val="100"/>
        <c:noMultiLvlLbl val="0"/>
      </c:catAx>
      <c:valAx>
        <c:axId val="5164919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Newslab" panose="02000000000000000000" pitchFamily="50" charset="0"/>
                <a:ea typeface="+mn-ea"/>
                <a:cs typeface="+mn-cs"/>
              </a:defRPr>
            </a:pPr>
            <a:endParaRPr lang="sr-Latn-RS"/>
          </a:p>
        </c:txPr>
        <c:crossAx val="5164903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Sheet2!$B$1</c:f>
              <c:strCache>
                <c:ptCount val="1"/>
                <c:pt idx="0">
                  <c:v>Broj osoba u upravljanju razvojem</c:v>
                </c:pt>
              </c:strCache>
            </c:strRef>
          </c:tx>
          <c:spPr>
            <a:solidFill>
              <a:schemeClr val="accent1"/>
            </a:solidFill>
            <a:ln>
              <a:noFill/>
            </a:ln>
            <a:effectLst/>
          </c:spPr>
          <c:invertIfNegative val="0"/>
          <c:cat>
            <c:strRef>
              <c:f>Sheet2!$A$2:$A$25</c:f>
              <c:strCache>
                <c:ptCount val="24"/>
                <c:pt idx="0">
                  <c:v>Regionalna energetska agencija Sjz. Hrvatske - REGEA</c:v>
                </c:pt>
                <c:pt idx="1">
                  <c:v>Krapinsko-zagorska županija</c:v>
                </c:pt>
                <c:pt idx="2">
                  <c:v>Zagorska razvojna agencija</c:v>
                </c:pt>
                <c:pt idx="3">
                  <c:v>Osnovna škola Viktora Kovačića Hum na Sutli</c:v>
                </c:pt>
                <c:pt idx="4">
                  <c:v>Osnovna škola Franje Horvata Kiša, Lobor</c:v>
                </c:pt>
                <c:pt idx="5">
                  <c:v>SREDNJA ŠKOLA ZLATAR</c:v>
                </c:pt>
                <c:pt idx="6">
                  <c:v>Turistička zajednica Krapinsko-zagorske županije</c:v>
                </c:pt>
                <c:pt idx="7">
                  <c:v>Dom zdravlja Krapinsko-zagorske županije</c:v>
                </c:pt>
                <c:pt idx="8">
                  <c:v>Srednja škola Oroslavje</c:v>
                </c:pt>
                <c:pt idx="9">
                  <c:v>LAG "Zeleni bregi"</c:v>
                </c:pt>
                <c:pt idx="10">
                  <c:v>PODUZETNIČKI CENTAR KZŽ d.o.o.</c:v>
                </c:pt>
                <c:pt idx="11">
                  <c:v>Gimnazija Antuna Gustava Matoša, Zabok</c:v>
                </c:pt>
                <c:pt idx="12">
                  <c:v>Zavod za prostorno uređenje KZŽ</c:v>
                </c:pt>
                <c:pt idx="13">
                  <c:v>Srednja škola Bedekovčina</c:v>
                </c:pt>
                <c:pt idx="14">
                  <c:v>Javna ustanova za upravljanje zaštićenim dijelovima prirode KZŽ</c:v>
                </c:pt>
                <c:pt idx="15">
                  <c:v>Osnovna škola Đurmanec</c:v>
                </c:pt>
                <c:pt idx="16">
                  <c:v>Srednja škola Konjščina</c:v>
                </c:pt>
                <c:pt idx="17">
                  <c:v>Specijalna bolnica za medicinsku rehabilitaciju Stubičke Toplice</c:v>
                </c:pt>
                <c:pt idx="18">
                  <c:v>Županijska uprava za ceste KZŽ</c:v>
                </c:pt>
                <c:pt idx="19">
                  <c:v>LAG Zagorje-Sutla</c:v>
                </c:pt>
                <c:pt idx="20">
                  <c:v>Krapinsko-zagorski Aerodrom</c:v>
                </c:pt>
                <c:pt idx="21">
                  <c:v>OŠ Krapinske Toplice</c:v>
                </c:pt>
                <c:pt idx="22">
                  <c:v>Osnovna škola Belec</c:v>
                </c:pt>
                <c:pt idx="23">
                  <c:v>OSNOVNA ŠKOLA SVETI KRIŽ ZAČRETJE</c:v>
                </c:pt>
              </c:strCache>
            </c:strRef>
          </c:cat>
          <c:val>
            <c:numRef>
              <c:f>Sheet2!$B$2:$B$25</c:f>
              <c:numCache>
                <c:formatCode>General</c:formatCode>
                <c:ptCount val="24"/>
                <c:pt idx="0">
                  <c:v>15</c:v>
                </c:pt>
                <c:pt idx="1">
                  <c:v>15</c:v>
                </c:pt>
                <c:pt idx="2">
                  <c:v>12</c:v>
                </c:pt>
                <c:pt idx="3">
                  <c:v>10</c:v>
                </c:pt>
                <c:pt idx="4">
                  <c:v>9</c:v>
                </c:pt>
                <c:pt idx="5">
                  <c:v>7</c:v>
                </c:pt>
                <c:pt idx="6">
                  <c:v>5</c:v>
                </c:pt>
                <c:pt idx="7">
                  <c:v>5</c:v>
                </c:pt>
                <c:pt idx="8">
                  <c:v>5</c:v>
                </c:pt>
                <c:pt idx="9">
                  <c:v>5</c:v>
                </c:pt>
                <c:pt idx="10">
                  <c:v>5</c:v>
                </c:pt>
                <c:pt idx="11">
                  <c:v>4</c:v>
                </c:pt>
                <c:pt idx="12">
                  <c:v>4</c:v>
                </c:pt>
                <c:pt idx="13">
                  <c:v>3</c:v>
                </c:pt>
                <c:pt idx="14">
                  <c:v>3</c:v>
                </c:pt>
                <c:pt idx="15">
                  <c:v>3</c:v>
                </c:pt>
                <c:pt idx="16">
                  <c:v>3</c:v>
                </c:pt>
                <c:pt idx="17">
                  <c:v>3</c:v>
                </c:pt>
                <c:pt idx="18">
                  <c:v>3</c:v>
                </c:pt>
                <c:pt idx="19">
                  <c:v>2</c:v>
                </c:pt>
                <c:pt idx="20">
                  <c:v>1</c:v>
                </c:pt>
                <c:pt idx="21">
                  <c:v>1</c:v>
                </c:pt>
                <c:pt idx="22">
                  <c:v>0</c:v>
                </c:pt>
                <c:pt idx="23">
                  <c:v>0</c:v>
                </c:pt>
              </c:numCache>
            </c:numRef>
          </c:val>
          <c:extLst>
            <c:ext xmlns:c16="http://schemas.microsoft.com/office/drawing/2014/chart" uri="{C3380CC4-5D6E-409C-BE32-E72D297353CC}">
              <c16:uniqueId val="{00000000-0EF2-49B0-A569-683A90690BC8}"/>
            </c:ext>
          </c:extLst>
        </c:ser>
        <c:ser>
          <c:idx val="1"/>
          <c:order val="1"/>
          <c:tx>
            <c:strRef>
              <c:f>Sheet2!$C$1</c:f>
              <c:strCache>
                <c:ptCount val="1"/>
                <c:pt idx="0">
                  <c:v>Broj osoba u pripremi projekata</c:v>
                </c:pt>
              </c:strCache>
            </c:strRef>
          </c:tx>
          <c:spPr>
            <a:solidFill>
              <a:schemeClr val="accent2"/>
            </a:solidFill>
            <a:ln>
              <a:noFill/>
            </a:ln>
            <a:effectLst/>
          </c:spPr>
          <c:invertIfNegative val="0"/>
          <c:cat>
            <c:strRef>
              <c:f>Sheet2!$A$2:$A$25</c:f>
              <c:strCache>
                <c:ptCount val="24"/>
                <c:pt idx="0">
                  <c:v>Regionalna energetska agencija Sjz. Hrvatske - REGEA</c:v>
                </c:pt>
                <c:pt idx="1">
                  <c:v>Krapinsko-zagorska županija</c:v>
                </c:pt>
                <c:pt idx="2">
                  <c:v>Zagorska razvojna agencija</c:v>
                </c:pt>
                <c:pt idx="3">
                  <c:v>Osnovna škola Viktora Kovačića Hum na Sutli</c:v>
                </c:pt>
                <c:pt idx="4">
                  <c:v>Osnovna škola Franje Horvata Kiša, Lobor</c:v>
                </c:pt>
                <c:pt idx="5">
                  <c:v>SREDNJA ŠKOLA ZLATAR</c:v>
                </c:pt>
                <c:pt idx="6">
                  <c:v>Turistička zajednica Krapinsko-zagorske županije</c:v>
                </c:pt>
                <c:pt idx="7">
                  <c:v>Dom zdravlja Krapinsko-zagorske županije</c:v>
                </c:pt>
                <c:pt idx="8">
                  <c:v>Srednja škola Oroslavje</c:v>
                </c:pt>
                <c:pt idx="9">
                  <c:v>LAG "Zeleni bregi"</c:v>
                </c:pt>
                <c:pt idx="10">
                  <c:v>PODUZETNIČKI CENTAR KZŽ d.o.o.</c:v>
                </c:pt>
                <c:pt idx="11">
                  <c:v>Gimnazija Antuna Gustava Matoša, Zabok</c:v>
                </c:pt>
                <c:pt idx="12">
                  <c:v>Zavod za prostorno uređenje KZŽ</c:v>
                </c:pt>
                <c:pt idx="13">
                  <c:v>Srednja škola Bedekovčina</c:v>
                </c:pt>
                <c:pt idx="14">
                  <c:v>Javna ustanova za upravljanje zaštićenim dijelovima prirode KZŽ</c:v>
                </c:pt>
                <c:pt idx="15">
                  <c:v>Osnovna škola Đurmanec</c:v>
                </c:pt>
                <c:pt idx="16">
                  <c:v>Srednja škola Konjščina</c:v>
                </c:pt>
                <c:pt idx="17">
                  <c:v>Specijalna bolnica za medicinsku rehabilitaciju Stubičke Toplice</c:v>
                </c:pt>
                <c:pt idx="18">
                  <c:v>Županijska uprava za ceste KZŽ</c:v>
                </c:pt>
                <c:pt idx="19">
                  <c:v>LAG Zagorje-Sutla</c:v>
                </c:pt>
                <c:pt idx="20">
                  <c:v>Krapinsko-zagorski Aerodrom</c:v>
                </c:pt>
                <c:pt idx="21">
                  <c:v>OŠ Krapinske Toplice</c:v>
                </c:pt>
                <c:pt idx="22">
                  <c:v>Osnovna škola Belec</c:v>
                </c:pt>
                <c:pt idx="23">
                  <c:v>OSNOVNA ŠKOLA SVETI KRIŽ ZAČRETJE</c:v>
                </c:pt>
              </c:strCache>
            </c:strRef>
          </c:cat>
          <c:val>
            <c:numRef>
              <c:f>Sheet2!$C$2:$C$25</c:f>
              <c:numCache>
                <c:formatCode>General</c:formatCode>
                <c:ptCount val="24"/>
                <c:pt idx="0">
                  <c:v>15</c:v>
                </c:pt>
                <c:pt idx="1">
                  <c:v>12</c:v>
                </c:pt>
                <c:pt idx="2">
                  <c:v>5</c:v>
                </c:pt>
                <c:pt idx="3">
                  <c:v>6</c:v>
                </c:pt>
                <c:pt idx="4">
                  <c:v>4</c:v>
                </c:pt>
                <c:pt idx="5">
                  <c:v>1</c:v>
                </c:pt>
                <c:pt idx="6">
                  <c:v>2</c:v>
                </c:pt>
                <c:pt idx="7">
                  <c:v>2</c:v>
                </c:pt>
                <c:pt idx="8">
                  <c:v>3</c:v>
                </c:pt>
                <c:pt idx="9">
                  <c:v>4</c:v>
                </c:pt>
                <c:pt idx="10">
                  <c:v>1</c:v>
                </c:pt>
                <c:pt idx="11">
                  <c:v>1</c:v>
                </c:pt>
                <c:pt idx="12">
                  <c:v>0</c:v>
                </c:pt>
                <c:pt idx="13">
                  <c:v>3</c:v>
                </c:pt>
                <c:pt idx="14">
                  <c:v>2</c:v>
                </c:pt>
                <c:pt idx="15">
                  <c:v>4</c:v>
                </c:pt>
                <c:pt idx="16">
                  <c:v>3</c:v>
                </c:pt>
                <c:pt idx="17">
                  <c:v>2</c:v>
                </c:pt>
                <c:pt idx="18">
                  <c:v>3</c:v>
                </c:pt>
                <c:pt idx="19">
                  <c:v>1</c:v>
                </c:pt>
                <c:pt idx="20">
                  <c:v>1</c:v>
                </c:pt>
                <c:pt idx="21">
                  <c:v>1</c:v>
                </c:pt>
                <c:pt idx="22">
                  <c:v>0</c:v>
                </c:pt>
                <c:pt idx="23">
                  <c:v>0</c:v>
                </c:pt>
              </c:numCache>
            </c:numRef>
          </c:val>
          <c:extLst>
            <c:ext xmlns:c16="http://schemas.microsoft.com/office/drawing/2014/chart" uri="{C3380CC4-5D6E-409C-BE32-E72D297353CC}">
              <c16:uniqueId val="{00000001-0EF2-49B0-A569-683A90690BC8}"/>
            </c:ext>
          </c:extLst>
        </c:ser>
        <c:ser>
          <c:idx val="2"/>
          <c:order val="2"/>
          <c:tx>
            <c:strRef>
              <c:f>Sheet2!$D$1</c:f>
              <c:strCache>
                <c:ptCount val="1"/>
                <c:pt idx="0">
                  <c:v>Broj osoba u provedbi projekata</c:v>
                </c:pt>
              </c:strCache>
            </c:strRef>
          </c:tx>
          <c:spPr>
            <a:solidFill>
              <a:schemeClr val="accent3"/>
            </a:solidFill>
            <a:ln>
              <a:noFill/>
            </a:ln>
            <a:effectLst/>
          </c:spPr>
          <c:invertIfNegative val="0"/>
          <c:cat>
            <c:strRef>
              <c:f>Sheet2!$A$2:$A$25</c:f>
              <c:strCache>
                <c:ptCount val="24"/>
                <c:pt idx="0">
                  <c:v>Regionalna energetska agencija Sjz. Hrvatske - REGEA</c:v>
                </c:pt>
                <c:pt idx="1">
                  <c:v>Krapinsko-zagorska županija</c:v>
                </c:pt>
                <c:pt idx="2">
                  <c:v>Zagorska razvojna agencija</c:v>
                </c:pt>
                <c:pt idx="3">
                  <c:v>Osnovna škola Viktora Kovačića Hum na Sutli</c:v>
                </c:pt>
                <c:pt idx="4">
                  <c:v>Osnovna škola Franje Horvata Kiša, Lobor</c:v>
                </c:pt>
                <c:pt idx="5">
                  <c:v>SREDNJA ŠKOLA ZLATAR</c:v>
                </c:pt>
                <c:pt idx="6">
                  <c:v>Turistička zajednica Krapinsko-zagorske županije</c:v>
                </c:pt>
                <c:pt idx="7">
                  <c:v>Dom zdravlja Krapinsko-zagorske županije</c:v>
                </c:pt>
                <c:pt idx="8">
                  <c:v>Srednja škola Oroslavje</c:v>
                </c:pt>
                <c:pt idx="9">
                  <c:v>LAG "Zeleni bregi"</c:v>
                </c:pt>
                <c:pt idx="10">
                  <c:v>PODUZETNIČKI CENTAR KZŽ d.o.o.</c:v>
                </c:pt>
                <c:pt idx="11">
                  <c:v>Gimnazija Antuna Gustava Matoša, Zabok</c:v>
                </c:pt>
                <c:pt idx="12">
                  <c:v>Zavod za prostorno uređenje KZŽ</c:v>
                </c:pt>
                <c:pt idx="13">
                  <c:v>Srednja škola Bedekovčina</c:v>
                </c:pt>
                <c:pt idx="14">
                  <c:v>Javna ustanova za upravljanje zaštićenim dijelovima prirode KZŽ</c:v>
                </c:pt>
                <c:pt idx="15">
                  <c:v>Osnovna škola Đurmanec</c:v>
                </c:pt>
                <c:pt idx="16">
                  <c:v>Srednja škola Konjščina</c:v>
                </c:pt>
                <c:pt idx="17">
                  <c:v>Specijalna bolnica za medicinsku rehabilitaciju Stubičke Toplice</c:v>
                </c:pt>
                <c:pt idx="18">
                  <c:v>Županijska uprava za ceste KZŽ</c:v>
                </c:pt>
                <c:pt idx="19">
                  <c:v>LAG Zagorje-Sutla</c:v>
                </c:pt>
                <c:pt idx="20">
                  <c:v>Krapinsko-zagorski Aerodrom</c:v>
                </c:pt>
                <c:pt idx="21">
                  <c:v>OŠ Krapinske Toplice</c:v>
                </c:pt>
                <c:pt idx="22">
                  <c:v>Osnovna škola Belec</c:v>
                </c:pt>
                <c:pt idx="23">
                  <c:v>OSNOVNA ŠKOLA SVETI KRIŽ ZAČRETJE</c:v>
                </c:pt>
              </c:strCache>
            </c:strRef>
          </c:cat>
          <c:val>
            <c:numRef>
              <c:f>Sheet2!$D$2:$D$25</c:f>
              <c:numCache>
                <c:formatCode>General</c:formatCode>
                <c:ptCount val="24"/>
                <c:pt idx="0">
                  <c:v>10</c:v>
                </c:pt>
                <c:pt idx="1">
                  <c:v>11</c:v>
                </c:pt>
                <c:pt idx="2">
                  <c:v>2</c:v>
                </c:pt>
                <c:pt idx="3">
                  <c:v>3</c:v>
                </c:pt>
                <c:pt idx="4">
                  <c:v>2</c:v>
                </c:pt>
                <c:pt idx="5">
                  <c:v>0</c:v>
                </c:pt>
                <c:pt idx="6">
                  <c:v>2</c:v>
                </c:pt>
                <c:pt idx="7">
                  <c:v>0</c:v>
                </c:pt>
                <c:pt idx="8">
                  <c:v>1</c:v>
                </c:pt>
                <c:pt idx="9">
                  <c:v>3</c:v>
                </c:pt>
                <c:pt idx="10">
                  <c:v>1</c:v>
                </c:pt>
                <c:pt idx="11">
                  <c:v>0</c:v>
                </c:pt>
                <c:pt idx="12">
                  <c:v>4</c:v>
                </c:pt>
                <c:pt idx="13">
                  <c:v>1</c:v>
                </c:pt>
                <c:pt idx="14">
                  <c:v>3</c:v>
                </c:pt>
                <c:pt idx="15">
                  <c:v>0</c:v>
                </c:pt>
                <c:pt idx="16">
                  <c:v>0</c:v>
                </c:pt>
                <c:pt idx="17">
                  <c:v>0</c:v>
                </c:pt>
                <c:pt idx="18">
                  <c:v>1</c:v>
                </c:pt>
                <c:pt idx="19">
                  <c:v>1</c:v>
                </c:pt>
                <c:pt idx="20">
                  <c:v>1</c:v>
                </c:pt>
                <c:pt idx="21">
                  <c:v>1</c:v>
                </c:pt>
                <c:pt idx="22">
                  <c:v>0</c:v>
                </c:pt>
                <c:pt idx="23">
                  <c:v>0</c:v>
                </c:pt>
              </c:numCache>
            </c:numRef>
          </c:val>
          <c:extLst>
            <c:ext xmlns:c16="http://schemas.microsoft.com/office/drawing/2014/chart" uri="{C3380CC4-5D6E-409C-BE32-E72D297353CC}">
              <c16:uniqueId val="{00000002-0EF2-49B0-A569-683A90690BC8}"/>
            </c:ext>
          </c:extLst>
        </c:ser>
        <c:dLbls>
          <c:showLegendKey val="0"/>
          <c:showVal val="0"/>
          <c:showCatName val="0"/>
          <c:showSerName val="0"/>
          <c:showPercent val="0"/>
          <c:showBubbleSize val="0"/>
        </c:dLbls>
        <c:gapWidth val="182"/>
        <c:axId val="518218496"/>
        <c:axId val="518220032"/>
      </c:barChart>
      <c:catAx>
        <c:axId val="5182184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18220032"/>
        <c:crosses val="autoZero"/>
        <c:auto val="1"/>
        <c:lblAlgn val="ctr"/>
        <c:lblOffset val="100"/>
        <c:noMultiLvlLbl val="0"/>
      </c:catAx>
      <c:valAx>
        <c:axId val="51822003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a:t>Broj osoba</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182184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Sheet3!$B$1</c:f>
              <c:strCache>
                <c:ptCount val="1"/>
                <c:pt idx="0">
                  <c:v>Broj osoba u pripremi strateških dokumenata</c:v>
                </c:pt>
              </c:strCache>
            </c:strRef>
          </c:tx>
          <c:spPr>
            <a:solidFill>
              <a:schemeClr val="accent1"/>
            </a:solidFill>
            <a:ln>
              <a:noFill/>
            </a:ln>
            <a:effectLst/>
          </c:spPr>
          <c:invertIfNegative val="0"/>
          <c:cat>
            <c:strRef>
              <c:f>Sheet3!$A$2:$A$25</c:f>
              <c:strCache>
                <c:ptCount val="24"/>
                <c:pt idx="0">
                  <c:v>Krapinsko-zagorska županija</c:v>
                </c:pt>
                <c:pt idx="1">
                  <c:v>Regionalna energetska agencija Sjz. Hrvatske - REGEA</c:v>
                </c:pt>
                <c:pt idx="2">
                  <c:v>Zavod za prostorno uređenje Krapinsko-zagorske županije</c:v>
                </c:pt>
                <c:pt idx="3">
                  <c:v>Javna ustanova za upravljanje zaštićenim dijelovima prirode KZŽ</c:v>
                </c:pt>
                <c:pt idx="4">
                  <c:v>Osnovna škola Viktora Kovačića Hum na Sutli</c:v>
                </c:pt>
                <c:pt idx="5">
                  <c:v>LAG "Zeleni bregi"</c:v>
                </c:pt>
                <c:pt idx="6">
                  <c:v>Turistička zajednica Krapinsko-zagorske županije</c:v>
                </c:pt>
                <c:pt idx="7">
                  <c:v>Osnovna škola Franje Horvata Kiša, Lobor</c:v>
                </c:pt>
                <c:pt idx="8">
                  <c:v>Zagorska razvojna agencija</c:v>
                </c:pt>
                <c:pt idx="9">
                  <c:v>Srednja škola Bedekovčina</c:v>
                </c:pt>
                <c:pt idx="10">
                  <c:v>Krapinsko-zagorski Aerodrom</c:v>
                </c:pt>
                <c:pt idx="11">
                  <c:v>LAG Zagorje-Sutla</c:v>
                </c:pt>
                <c:pt idx="12">
                  <c:v>OŠ Krapinske Toplice</c:v>
                </c:pt>
                <c:pt idx="13">
                  <c:v>Srednja škola Oroslavje</c:v>
                </c:pt>
                <c:pt idx="14">
                  <c:v>Županijska uprava za ceste Krapinsko zagorske županije </c:v>
                </c:pt>
                <c:pt idx="15">
                  <c:v>PODUZETNIČKI CENTAR KZŽ d.o.o.</c:v>
                </c:pt>
                <c:pt idx="16">
                  <c:v>Gimnazija Antuna Gustava Matoša, Zabok</c:v>
                </c:pt>
                <c:pt idx="17">
                  <c:v>Osnovna škola Belec</c:v>
                </c:pt>
                <c:pt idx="18">
                  <c:v>Dom zdravlja Krapinsko-zagorske županije</c:v>
                </c:pt>
                <c:pt idx="19">
                  <c:v>Osnovna škola Đurmanec</c:v>
                </c:pt>
                <c:pt idx="20">
                  <c:v>Srednja škola Konjščina</c:v>
                </c:pt>
                <c:pt idx="21">
                  <c:v>OSNOVNA ŠKOLA SVETI KRIŽ ZAČRETJE</c:v>
                </c:pt>
                <c:pt idx="22">
                  <c:v>Specijalna bolnica za medicinsku rehabilitaciju Stubičke Toplice</c:v>
                </c:pt>
                <c:pt idx="23">
                  <c:v>SREDNJA ŠKOLA ZLATAR</c:v>
                </c:pt>
              </c:strCache>
            </c:strRef>
          </c:cat>
          <c:val>
            <c:numRef>
              <c:f>Sheet3!$B$2:$B$25</c:f>
              <c:numCache>
                <c:formatCode>General</c:formatCode>
                <c:ptCount val="24"/>
                <c:pt idx="0">
                  <c:v>11</c:v>
                </c:pt>
                <c:pt idx="1">
                  <c:v>10</c:v>
                </c:pt>
                <c:pt idx="2">
                  <c:v>4</c:v>
                </c:pt>
                <c:pt idx="3">
                  <c:v>3</c:v>
                </c:pt>
                <c:pt idx="4">
                  <c:v>3</c:v>
                </c:pt>
                <c:pt idx="5">
                  <c:v>3</c:v>
                </c:pt>
                <c:pt idx="6">
                  <c:v>2</c:v>
                </c:pt>
                <c:pt idx="7">
                  <c:v>2</c:v>
                </c:pt>
                <c:pt idx="8">
                  <c:v>2</c:v>
                </c:pt>
                <c:pt idx="9">
                  <c:v>1</c:v>
                </c:pt>
                <c:pt idx="10">
                  <c:v>1</c:v>
                </c:pt>
                <c:pt idx="11">
                  <c:v>1</c:v>
                </c:pt>
                <c:pt idx="12">
                  <c:v>1</c:v>
                </c:pt>
                <c:pt idx="13">
                  <c:v>1</c:v>
                </c:pt>
                <c:pt idx="14">
                  <c:v>1</c:v>
                </c:pt>
                <c:pt idx="15">
                  <c:v>1</c:v>
                </c:pt>
                <c:pt idx="16">
                  <c:v>0</c:v>
                </c:pt>
                <c:pt idx="17">
                  <c:v>0</c:v>
                </c:pt>
                <c:pt idx="18">
                  <c:v>0</c:v>
                </c:pt>
                <c:pt idx="19">
                  <c:v>0</c:v>
                </c:pt>
                <c:pt idx="20">
                  <c:v>0</c:v>
                </c:pt>
                <c:pt idx="21">
                  <c:v>0</c:v>
                </c:pt>
                <c:pt idx="22">
                  <c:v>0</c:v>
                </c:pt>
                <c:pt idx="23">
                  <c:v>0</c:v>
                </c:pt>
              </c:numCache>
            </c:numRef>
          </c:val>
          <c:extLst>
            <c:ext xmlns:c16="http://schemas.microsoft.com/office/drawing/2014/chart" uri="{C3380CC4-5D6E-409C-BE32-E72D297353CC}">
              <c16:uniqueId val="{00000000-47DD-48B7-AB54-31380F70AC09}"/>
            </c:ext>
          </c:extLst>
        </c:ser>
        <c:ser>
          <c:idx val="1"/>
          <c:order val="1"/>
          <c:tx>
            <c:strRef>
              <c:f>Sheet3!$C$1</c:f>
              <c:strCache>
                <c:ptCount val="1"/>
                <c:pt idx="0">
                  <c:v>Broj osoba u praćenju provedbe strateških dokumenata</c:v>
                </c:pt>
              </c:strCache>
            </c:strRef>
          </c:tx>
          <c:spPr>
            <a:solidFill>
              <a:schemeClr val="accent2"/>
            </a:solidFill>
            <a:ln>
              <a:noFill/>
            </a:ln>
            <a:effectLst/>
          </c:spPr>
          <c:invertIfNegative val="0"/>
          <c:cat>
            <c:strRef>
              <c:f>Sheet3!$A$2:$A$25</c:f>
              <c:strCache>
                <c:ptCount val="24"/>
                <c:pt idx="0">
                  <c:v>Krapinsko-zagorska županija</c:v>
                </c:pt>
                <c:pt idx="1">
                  <c:v>Regionalna energetska agencija Sjz. Hrvatske - REGEA</c:v>
                </c:pt>
                <c:pt idx="2">
                  <c:v>Zavod za prostorno uređenje Krapinsko-zagorske županije</c:v>
                </c:pt>
                <c:pt idx="3">
                  <c:v>Javna ustanova za upravljanje zaštićenim dijelovima prirode KZŽ</c:v>
                </c:pt>
                <c:pt idx="4">
                  <c:v>Osnovna škola Viktora Kovačića Hum na Sutli</c:v>
                </c:pt>
                <c:pt idx="5">
                  <c:v>LAG "Zeleni bregi"</c:v>
                </c:pt>
                <c:pt idx="6">
                  <c:v>Turistička zajednica Krapinsko-zagorske županije</c:v>
                </c:pt>
                <c:pt idx="7">
                  <c:v>Osnovna škola Franje Horvata Kiša, Lobor</c:v>
                </c:pt>
                <c:pt idx="8">
                  <c:v>Zagorska razvojna agencija</c:v>
                </c:pt>
                <c:pt idx="9">
                  <c:v>Srednja škola Bedekovčina</c:v>
                </c:pt>
                <c:pt idx="10">
                  <c:v>Krapinsko-zagorski Aerodrom</c:v>
                </c:pt>
                <c:pt idx="11">
                  <c:v>LAG Zagorje-Sutla</c:v>
                </c:pt>
                <c:pt idx="12">
                  <c:v>OŠ Krapinske Toplice</c:v>
                </c:pt>
                <c:pt idx="13">
                  <c:v>Srednja škola Oroslavje</c:v>
                </c:pt>
                <c:pt idx="14">
                  <c:v>Županijska uprava za ceste Krapinsko zagorske županije </c:v>
                </c:pt>
                <c:pt idx="15">
                  <c:v>PODUZETNIČKI CENTAR KZŽ d.o.o.</c:v>
                </c:pt>
                <c:pt idx="16">
                  <c:v>Gimnazija Antuna Gustava Matoša, Zabok</c:v>
                </c:pt>
                <c:pt idx="17">
                  <c:v>Osnovna škola Belec</c:v>
                </c:pt>
                <c:pt idx="18">
                  <c:v>Dom zdravlja Krapinsko-zagorske županije</c:v>
                </c:pt>
                <c:pt idx="19">
                  <c:v>Osnovna škola Đurmanec</c:v>
                </c:pt>
                <c:pt idx="20">
                  <c:v>Srednja škola Konjščina</c:v>
                </c:pt>
                <c:pt idx="21">
                  <c:v>OSNOVNA ŠKOLA SVETI KRIŽ ZAČRETJE</c:v>
                </c:pt>
                <c:pt idx="22">
                  <c:v>Specijalna bolnica za medicinsku rehabilitaciju Stubičke Toplice</c:v>
                </c:pt>
                <c:pt idx="23">
                  <c:v>SREDNJA ŠKOLA ZLATAR</c:v>
                </c:pt>
              </c:strCache>
            </c:strRef>
          </c:cat>
          <c:val>
            <c:numRef>
              <c:f>Sheet3!$C$2:$C$25</c:f>
              <c:numCache>
                <c:formatCode>General</c:formatCode>
                <c:ptCount val="24"/>
                <c:pt idx="0">
                  <c:v>11</c:v>
                </c:pt>
                <c:pt idx="1">
                  <c:v>10</c:v>
                </c:pt>
                <c:pt idx="2">
                  <c:v>4</c:v>
                </c:pt>
                <c:pt idx="3">
                  <c:v>2</c:v>
                </c:pt>
                <c:pt idx="4">
                  <c:v>3</c:v>
                </c:pt>
                <c:pt idx="5">
                  <c:v>2</c:v>
                </c:pt>
                <c:pt idx="6">
                  <c:v>2</c:v>
                </c:pt>
                <c:pt idx="7">
                  <c:v>2</c:v>
                </c:pt>
                <c:pt idx="8">
                  <c:v>2</c:v>
                </c:pt>
                <c:pt idx="9">
                  <c:v>0</c:v>
                </c:pt>
                <c:pt idx="10">
                  <c:v>1</c:v>
                </c:pt>
                <c:pt idx="11">
                  <c:v>1</c:v>
                </c:pt>
                <c:pt idx="12">
                  <c:v>1</c:v>
                </c:pt>
                <c:pt idx="13">
                  <c:v>1</c:v>
                </c:pt>
                <c:pt idx="14">
                  <c:v>1</c:v>
                </c:pt>
                <c:pt idx="15">
                  <c:v>1</c:v>
                </c:pt>
                <c:pt idx="16">
                  <c:v>0</c:v>
                </c:pt>
                <c:pt idx="17">
                  <c:v>0</c:v>
                </c:pt>
                <c:pt idx="18">
                  <c:v>0</c:v>
                </c:pt>
                <c:pt idx="19">
                  <c:v>0</c:v>
                </c:pt>
                <c:pt idx="20">
                  <c:v>0</c:v>
                </c:pt>
                <c:pt idx="21">
                  <c:v>0</c:v>
                </c:pt>
                <c:pt idx="22">
                  <c:v>0</c:v>
                </c:pt>
                <c:pt idx="23">
                  <c:v>0</c:v>
                </c:pt>
              </c:numCache>
            </c:numRef>
          </c:val>
          <c:extLst>
            <c:ext xmlns:c16="http://schemas.microsoft.com/office/drawing/2014/chart" uri="{C3380CC4-5D6E-409C-BE32-E72D297353CC}">
              <c16:uniqueId val="{00000001-47DD-48B7-AB54-31380F70AC09}"/>
            </c:ext>
          </c:extLst>
        </c:ser>
        <c:ser>
          <c:idx val="2"/>
          <c:order val="2"/>
          <c:tx>
            <c:strRef>
              <c:f>Sheet3!$D$1</c:f>
              <c:strCache>
                <c:ptCount val="1"/>
                <c:pt idx="0">
                  <c:v>Broj osoba u financijskom planiranju i praćenju budžeta </c:v>
                </c:pt>
              </c:strCache>
            </c:strRef>
          </c:tx>
          <c:spPr>
            <a:solidFill>
              <a:schemeClr val="accent3"/>
            </a:solidFill>
            <a:ln>
              <a:noFill/>
            </a:ln>
            <a:effectLst/>
          </c:spPr>
          <c:invertIfNegative val="0"/>
          <c:cat>
            <c:strRef>
              <c:f>Sheet3!$A$2:$A$25</c:f>
              <c:strCache>
                <c:ptCount val="24"/>
                <c:pt idx="0">
                  <c:v>Krapinsko-zagorska županija</c:v>
                </c:pt>
                <c:pt idx="1">
                  <c:v>Regionalna energetska agencija Sjz. Hrvatske - REGEA</c:v>
                </c:pt>
                <c:pt idx="2">
                  <c:v>Zavod za prostorno uređenje Krapinsko-zagorske županije</c:v>
                </c:pt>
                <c:pt idx="3">
                  <c:v>Javna ustanova za upravljanje zaštićenim dijelovima prirode KZŽ</c:v>
                </c:pt>
                <c:pt idx="4">
                  <c:v>Osnovna škola Viktora Kovačića Hum na Sutli</c:v>
                </c:pt>
                <c:pt idx="5">
                  <c:v>LAG "Zeleni bregi"</c:v>
                </c:pt>
                <c:pt idx="6">
                  <c:v>Turistička zajednica Krapinsko-zagorske županije</c:v>
                </c:pt>
                <c:pt idx="7">
                  <c:v>Osnovna škola Franje Horvata Kiša, Lobor</c:v>
                </c:pt>
                <c:pt idx="8">
                  <c:v>Zagorska razvojna agencija</c:v>
                </c:pt>
                <c:pt idx="9">
                  <c:v>Srednja škola Bedekovčina</c:v>
                </c:pt>
                <c:pt idx="10">
                  <c:v>Krapinsko-zagorski Aerodrom</c:v>
                </c:pt>
                <c:pt idx="11">
                  <c:v>LAG Zagorje-Sutla</c:v>
                </c:pt>
                <c:pt idx="12">
                  <c:v>OŠ Krapinske Toplice</c:v>
                </c:pt>
                <c:pt idx="13">
                  <c:v>Srednja škola Oroslavje</c:v>
                </c:pt>
                <c:pt idx="14">
                  <c:v>Županijska uprava za ceste Krapinsko zagorske županije </c:v>
                </c:pt>
                <c:pt idx="15">
                  <c:v>PODUZETNIČKI CENTAR KZŽ d.o.o.</c:v>
                </c:pt>
                <c:pt idx="16">
                  <c:v>Gimnazija Antuna Gustava Matoša, Zabok</c:v>
                </c:pt>
                <c:pt idx="17">
                  <c:v>Osnovna škola Belec</c:v>
                </c:pt>
                <c:pt idx="18">
                  <c:v>Dom zdravlja Krapinsko-zagorske županije</c:v>
                </c:pt>
                <c:pt idx="19">
                  <c:v>Osnovna škola Đurmanec</c:v>
                </c:pt>
                <c:pt idx="20">
                  <c:v>Srednja škola Konjščina</c:v>
                </c:pt>
                <c:pt idx="21">
                  <c:v>OSNOVNA ŠKOLA SVETI KRIŽ ZAČRETJE</c:v>
                </c:pt>
                <c:pt idx="22">
                  <c:v>Specijalna bolnica za medicinsku rehabilitaciju Stubičke Toplice</c:v>
                </c:pt>
                <c:pt idx="23">
                  <c:v>SREDNJA ŠKOLA ZLATAR</c:v>
                </c:pt>
              </c:strCache>
            </c:strRef>
          </c:cat>
          <c:val>
            <c:numRef>
              <c:f>Sheet3!$D$2:$D$25</c:f>
              <c:numCache>
                <c:formatCode>General</c:formatCode>
                <c:ptCount val="24"/>
                <c:pt idx="0">
                  <c:v>17</c:v>
                </c:pt>
                <c:pt idx="1">
                  <c:v>7</c:v>
                </c:pt>
                <c:pt idx="2">
                  <c:v>2</c:v>
                </c:pt>
                <c:pt idx="3">
                  <c:v>2</c:v>
                </c:pt>
                <c:pt idx="4">
                  <c:v>3</c:v>
                </c:pt>
                <c:pt idx="5">
                  <c:v>1</c:v>
                </c:pt>
                <c:pt idx="6">
                  <c:v>1</c:v>
                </c:pt>
                <c:pt idx="7">
                  <c:v>2</c:v>
                </c:pt>
                <c:pt idx="8">
                  <c:v>5</c:v>
                </c:pt>
                <c:pt idx="9">
                  <c:v>2</c:v>
                </c:pt>
                <c:pt idx="10">
                  <c:v>1</c:v>
                </c:pt>
                <c:pt idx="11">
                  <c:v>2</c:v>
                </c:pt>
                <c:pt idx="12">
                  <c:v>1</c:v>
                </c:pt>
                <c:pt idx="13">
                  <c:v>3</c:v>
                </c:pt>
                <c:pt idx="14">
                  <c:v>1</c:v>
                </c:pt>
                <c:pt idx="15">
                  <c:v>2</c:v>
                </c:pt>
                <c:pt idx="16">
                  <c:v>1</c:v>
                </c:pt>
                <c:pt idx="17">
                  <c:v>0</c:v>
                </c:pt>
                <c:pt idx="18">
                  <c:v>1</c:v>
                </c:pt>
                <c:pt idx="19">
                  <c:v>0</c:v>
                </c:pt>
                <c:pt idx="20">
                  <c:v>1</c:v>
                </c:pt>
                <c:pt idx="21">
                  <c:v>0</c:v>
                </c:pt>
                <c:pt idx="22">
                  <c:v>2</c:v>
                </c:pt>
                <c:pt idx="23">
                  <c:v>0</c:v>
                </c:pt>
              </c:numCache>
            </c:numRef>
          </c:val>
          <c:extLst>
            <c:ext xmlns:c16="http://schemas.microsoft.com/office/drawing/2014/chart" uri="{C3380CC4-5D6E-409C-BE32-E72D297353CC}">
              <c16:uniqueId val="{00000002-47DD-48B7-AB54-31380F70AC09}"/>
            </c:ext>
          </c:extLst>
        </c:ser>
        <c:dLbls>
          <c:showLegendKey val="0"/>
          <c:showVal val="0"/>
          <c:showCatName val="0"/>
          <c:showSerName val="0"/>
          <c:showPercent val="0"/>
          <c:showBubbleSize val="0"/>
        </c:dLbls>
        <c:gapWidth val="182"/>
        <c:axId val="518338048"/>
        <c:axId val="518339584"/>
      </c:barChart>
      <c:catAx>
        <c:axId val="51833804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18339584"/>
        <c:crosses val="autoZero"/>
        <c:auto val="1"/>
        <c:lblAlgn val="ctr"/>
        <c:lblOffset val="100"/>
        <c:noMultiLvlLbl val="0"/>
      </c:catAx>
      <c:valAx>
        <c:axId val="51833958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18338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Sheet1!$D$1</c:f>
              <c:strCache>
                <c:ptCount val="1"/>
                <c:pt idx="0">
                  <c:v>2017.</c:v>
                </c:pt>
              </c:strCache>
            </c:strRef>
          </c:tx>
          <c:spPr>
            <a:solidFill>
              <a:schemeClr val="accent1"/>
            </a:solidFill>
            <a:ln>
              <a:noFill/>
            </a:ln>
            <a:effectLst/>
          </c:spPr>
          <c:invertIfNegative val="0"/>
          <c:cat>
            <c:strRef>
              <c:f>Sheet1!$C$2:$C$5</c:f>
              <c:strCache>
                <c:ptCount val="4"/>
                <c:pt idx="0">
                  <c:v>OPKK</c:v>
                </c:pt>
                <c:pt idx="1">
                  <c:v>OPULJP</c:v>
                </c:pt>
                <c:pt idx="2">
                  <c:v>PRR</c:v>
                </c:pt>
                <c:pt idx="3">
                  <c:v>OPPR</c:v>
                </c:pt>
              </c:strCache>
            </c:strRef>
          </c:cat>
          <c:val>
            <c:numRef>
              <c:f>Sheet1!$D$2:$D$5</c:f>
              <c:numCache>
                <c:formatCode>General</c:formatCode>
                <c:ptCount val="4"/>
                <c:pt idx="0">
                  <c:v>415.5</c:v>
                </c:pt>
                <c:pt idx="1">
                  <c:v>13</c:v>
                </c:pt>
                <c:pt idx="2">
                  <c:v>95.3</c:v>
                </c:pt>
                <c:pt idx="3">
                  <c:v>0</c:v>
                </c:pt>
              </c:numCache>
            </c:numRef>
          </c:val>
          <c:extLst>
            <c:ext xmlns:c16="http://schemas.microsoft.com/office/drawing/2014/chart" uri="{C3380CC4-5D6E-409C-BE32-E72D297353CC}">
              <c16:uniqueId val="{00000000-134F-4138-8106-30C91CFA6C19}"/>
            </c:ext>
          </c:extLst>
        </c:ser>
        <c:ser>
          <c:idx val="1"/>
          <c:order val="1"/>
          <c:tx>
            <c:strRef>
              <c:f>Sheet1!$E$1</c:f>
              <c:strCache>
                <c:ptCount val="1"/>
                <c:pt idx="0">
                  <c:v>2018.</c:v>
                </c:pt>
              </c:strCache>
            </c:strRef>
          </c:tx>
          <c:spPr>
            <a:solidFill>
              <a:schemeClr val="accent2"/>
            </a:solidFill>
            <a:ln>
              <a:noFill/>
            </a:ln>
            <a:effectLst/>
          </c:spPr>
          <c:invertIfNegative val="0"/>
          <c:cat>
            <c:strRef>
              <c:f>Sheet1!$C$2:$C$5</c:f>
              <c:strCache>
                <c:ptCount val="4"/>
                <c:pt idx="0">
                  <c:v>OPKK</c:v>
                </c:pt>
                <c:pt idx="1">
                  <c:v>OPULJP</c:v>
                </c:pt>
                <c:pt idx="2">
                  <c:v>PRR</c:v>
                </c:pt>
                <c:pt idx="3">
                  <c:v>OPPR</c:v>
                </c:pt>
              </c:strCache>
            </c:strRef>
          </c:cat>
          <c:val>
            <c:numRef>
              <c:f>Sheet1!$E$2:$E$5</c:f>
              <c:numCache>
                <c:formatCode>General</c:formatCode>
                <c:ptCount val="4"/>
                <c:pt idx="0">
                  <c:v>431.8</c:v>
                </c:pt>
                <c:pt idx="1">
                  <c:v>44.8</c:v>
                </c:pt>
                <c:pt idx="2">
                  <c:v>270.10000000000002</c:v>
                </c:pt>
                <c:pt idx="3">
                  <c:v>1.7</c:v>
                </c:pt>
              </c:numCache>
            </c:numRef>
          </c:val>
          <c:extLst>
            <c:ext xmlns:c16="http://schemas.microsoft.com/office/drawing/2014/chart" uri="{C3380CC4-5D6E-409C-BE32-E72D297353CC}">
              <c16:uniqueId val="{00000001-134F-4138-8106-30C91CFA6C19}"/>
            </c:ext>
          </c:extLst>
        </c:ser>
        <c:ser>
          <c:idx val="2"/>
          <c:order val="2"/>
          <c:tx>
            <c:strRef>
              <c:f>Sheet1!$F$1</c:f>
              <c:strCache>
                <c:ptCount val="1"/>
                <c:pt idx="0">
                  <c:v>2019.</c:v>
                </c:pt>
              </c:strCache>
            </c:strRef>
          </c:tx>
          <c:spPr>
            <a:solidFill>
              <a:schemeClr val="accent3"/>
            </a:solidFill>
            <a:ln>
              <a:noFill/>
            </a:ln>
            <a:effectLst/>
          </c:spPr>
          <c:invertIfNegative val="0"/>
          <c:cat>
            <c:strRef>
              <c:f>Sheet1!$C$2:$C$5</c:f>
              <c:strCache>
                <c:ptCount val="4"/>
                <c:pt idx="0">
                  <c:v>OPKK</c:v>
                </c:pt>
                <c:pt idx="1">
                  <c:v>OPULJP</c:v>
                </c:pt>
                <c:pt idx="2">
                  <c:v>PRR</c:v>
                </c:pt>
                <c:pt idx="3">
                  <c:v>OPPR</c:v>
                </c:pt>
              </c:strCache>
            </c:strRef>
          </c:cat>
          <c:val>
            <c:numRef>
              <c:f>Sheet1!$F$2:$F$5</c:f>
              <c:numCache>
                <c:formatCode>General</c:formatCode>
                <c:ptCount val="4"/>
                <c:pt idx="0">
                  <c:v>68.3</c:v>
                </c:pt>
                <c:pt idx="1">
                  <c:v>13.7</c:v>
                </c:pt>
                <c:pt idx="2">
                  <c:v>99.5</c:v>
                </c:pt>
                <c:pt idx="3">
                  <c:v>0</c:v>
                </c:pt>
              </c:numCache>
            </c:numRef>
          </c:val>
          <c:extLst>
            <c:ext xmlns:c16="http://schemas.microsoft.com/office/drawing/2014/chart" uri="{C3380CC4-5D6E-409C-BE32-E72D297353CC}">
              <c16:uniqueId val="{00000002-134F-4138-8106-30C91CFA6C19}"/>
            </c:ext>
          </c:extLst>
        </c:ser>
        <c:dLbls>
          <c:showLegendKey val="0"/>
          <c:showVal val="0"/>
          <c:showCatName val="0"/>
          <c:showSerName val="0"/>
          <c:showPercent val="0"/>
          <c:showBubbleSize val="0"/>
        </c:dLbls>
        <c:gapWidth val="182"/>
        <c:axId val="526594816"/>
        <c:axId val="526596352"/>
      </c:barChart>
      <c:catAx>
        <c:axId val="5265948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26596352"/>
        <c:crosses val="autoZero"/>
        <c:auto val="1"/>
        <c:lblAlgn val="ctr"/>
        <c:lblOffset val="100"/>
        <c:noMultiLvlLbl val="0"/>
      </c:catAx>
      <c:valAx>
        <c:axId val="5265963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26594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'Ark1'!$B$2</c:f>
              <c:strCache>
                <c:ptCount val="1"/>
                <c:pt idx="0">
                  <c:v>Broj djece po ženi</c:v>
                </c:pt>
              </c:strCache>
            </c:strRef>
          </c:tx>
          <c:spPr>
            <a:solidFill>
              <a:srgbClr val="FF0000"/>
            </a:solidFill>
            <a:ln>
              <a:solidFill>
                <a:srgbClr val="FF0000"/>
              </a:solidFill>
            </a:ln>
            <a:effectLst/>
          </c:spPr>
          <c:invertIfNegative val="0"/>
          <c:cat>
            <c:strRef>
              <c:f>'Ark1'!$A$3:$A$24</c:f>
              <c:strCache>
                <c:ptCount val="22"/>
                <c:pt idx="0">
                  <c:v>Međimurska</c:v>
                </c:pt>
                <c:pt idx="1">
                  <c:v>Dubrovačko-neretvanska</c:v>
                </c:pt>
                <c:pt idx="2">
                  <c:v>Koprivničko-krizevačka</c:v>
                </c:pt>
                <c:pt idx="3">
                  <c:v>Sisačko-moslavačka</c:v>
                </c:pt>
                <c:pt idx="4">
                  <c:v>Bjelovarsko-bilogorska</c:v>
                </c:pt>
                <c:pt idx="5">
                  <c:v>Zadarska</c:v>
                </c:pt>
                <c:pt idx="6">
                  <c:v>Ličko-senjska</c:v>
                </c:pt>
                <c:pt idx="7">
                  <c:v>Šibensko-kninska</c:v>
                </c:pt>
                <c:pt idx="8">
                  <c:v>Brodsko-posavska</c:v>
                </c:pt>
                <c:pt idx="9">
                  <c:v>Požeško-slavonska</c:v>
                </c:pt>
                <c:pt idx="10">
                  <c:v>Vukovarsko-srijemska</c:v>
                </c:pt>
                <c:pt idx="11">
                  <c:v>Virovitičko-podravska</c:v>
                </c:pt>
                <c:pt idx="12">
                  <c:v>Karlovačka</c:v>
                </c:pt>
                <c:pt idx="13">
                  <c:v>Splitsko-dalmatinska</c:v>
                </c:pt>
                <c:pt idx="14">
                  <c:v>Hrvatska</c:v>
                </c:pt>
                <c:pt idx="15">
                  <c:v>Varaždinska</c:v>
                </c:pt>
                <c:pt idx="16">
                  <c:v>Zagrebačka</c:v>
                </c:pt>
                <c:pt idx="17">
                  <c:v>Grad Zagreb</c:v>
                </c:pt>
                <c:pt idx="18">
                  <c:v>Krapinsko-zagorska</c:v>
                </c:pt>
                <c:pt idx="19">
                  <c:v>Osječko-baranjska</c:v>
                </c:pt>
                <c:pt idx="20">
                  <c:v>Primorsko-goranska</c:v>
                </c:pt>
                <c:pt idx="21">
                  <c:v>Istarska</c:v>
                </c:pt>
              </c:strCache>
            </c:strRef>
          </c:cat>
          <c:val>
            <c:numRef>
              <c:f>'Ark1'!$B$3:$B$24</c:f>
              <c:numCache>
                <c:formatCode>0.00</c:formatCode>
                <c:ptCount val="22"/>
                <c:pt idx="0">
                  <c:v>1.76</c:v>
                </c:pt>
                <c:pt idx="1">
                  <c:v>1.68</c:v>
                </c:pt>
                <c:pt idx="2">
                  <c:v>1.53</c:v>
                </c:pt>
                <c:pt idx="3">
                  <c:v>1.53</c:v>
                </c:pt>
                <c:pt idx="4">
                  <c:v>1.51</c:v>
                </c:pt>
                <c:pt idx="5">
                  <c:v>1.5</c:v>
                </c:pt>
                <c:pt idx="6">
                  <c:v>1.48</c:v>
                </c:pt>
                <c:pt idx="7">
                  <c:v>1.48</c:v>
                </c:pt>
                <c:pt idx="8">
                  <c:v>1.48</c:v>
                </c:pt>
                <c:pt idx="9">
                  <c:v>1.46</c:v>
                </c:pt>
                <c:pt idx="10">
                  <c:v>1.46</c:v>
                </c:pt>
                <c:pt idx="11">
                  <c:v>1.45</c:v>
                </c:pt>
                <c:pt idx="12">
                  <c:v>1.45</c:v>
                </c:pt>
                <c:pt idx="13">
                  <c:v>1.44</c:v>
                </c:pt>
                <c:pt idx="14">
                  <c:v>1.43</c:v>
                </c:pt>
                <c:pt idx="15">
                  <c:v>1.42</c:v>
                </c:pt>
                <c:pt idx="16">
                  <c:v>1.39</c:v>
                </c:pt>
                <c:pt idx="17">
                  <c:v>1.37</c:v>
                </c:pt>
                <c:pt idx="18">
                  <c:v>1.34</c:v>
                </c:pt>
                <c:pt idx="19">
                  <c:v>1.32</c:v>
                </c:pt>
                <c:pt idx="20">
                  <c:v>1.27</c:v>
                </c:pt>
                <c:pt idx="21">
                  <c:v>1.27</c:v>
                </c:pt>
              </c:numCache>
            </c:numRef>
          </c:val>
          <c:extLst>
            <c:ext xmlns:c16="http://schemas.microsoft.com/office/drawing/2014/chart" uri="{C3380CC4-5D6E-409C-BE32-E72D297353CC}">
              <c16:uniqueId val="{00000000-0100-4D9A-A22E-FC4A6E791FA5}"/>
            </c:ext>
          </c:extLst>
        </c:ser>
        <c:dLbls>
          <c:showLegendKey val="0"/>
          <c:showVal val="0"/>
          <c:showCatName val="0"/>
          <c:showSerName val="0"/>
          <c:showPercent val="0"/>
          <c:showBubbleSize val="0"/>
        </c:dLbls>
        <c:gapWidth val="182"/>
        <c:axId val="304658920"/>
        <c:axId val="304654328"/>
      </c:barChart>
      <c:catAx>
        <c:axId val="3046589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4654328"/>
        <c:crosses val="autoZero"/>
        <c:auto val="1"/>
        <c:lblAlgn val="ctr"/>
        <c:lblOffset val="100"/>
        <c:noMultiLvlLbl val="0"/>
      </c:catAx>
      <c:valAx>
        <c:axId val="30465432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3046589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'Udio korisnika '!$E$11</c:f>
              <c:strCache>
                <c:ptCount val="1"/>
                <c:pt idx="0">
                  <c:v>Republika Hrvatska</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'Udio korisnika '!$F$10:$J$10</c:f>
              <c:strCache>
                <c:ptCount val="5"/>
                <c:pt idx="0">
                  <c:v>2015.</c:v>
                </c:pt>
                <c:pt idx="1">
                  <c:v>2016.</c:v>
                </c:pt>
                <c:pt idx="2">
                  <c:v>2017.</c:v>
                </c:pt>
                <c:pt idx="3">
                  <c:v>2018.</c:v>
                </c:pt>
                <c:pt idx="4">
                  <c:v>2019.</c:v>
                </c:pt>
              </c:strCache>
            </c:strRef>
          </c:cat>
          <c:val>
            <c:numRef>
              <c:f>'Udio korisnika '!$F$11:$J$11</c:f>
              <c:numCache>
                <c:formatCode>General</c:formatCode>
                <c:ptCount val="5"/>
                <c:pt idx="0">
                  <c:v>2.4</c:v>
                </c:pt>
                <c:pt idx="1">
                  <c:v>2.2999999999999998</c:v>
                </c:pt>
                <c:pt idx="2" formatCode="0.0">
                  <c:v>2</c:v>
                </c:pt>
                <c:pt idx="3">
                  <c:v>2.4</c:v>
                </c:pt>
                <c:pt idx="4">
                  <c:v>1.5</c:v>
                </c:pt>
              </c:numCache>
            </c:numRef>
          </c:val>
          <c:smooth val="0"/>
          <c:extLst>
            <c:ext xmlns:c16="http://schemas.microsoft.com/office/drawing/2014/chart" uri="{C3380CC4-5D6E-409C-BE32-E72D297353CC}">
              <c16:uniqueId val="{00000000-2A7B-47DC-B335-7DA31C062C28}"/>
            </c:ext>
          </c:extLst>
        </c:ser>
        <c:ser>
          <c:idx val="1"/>
          <c:order val="1"/>
          <c:tx>
            <c:strRef>
              <c:f>'Udio korisnika '!$E$12</c:f>
              <c:strCache>
                <c:ptCount val="1"/>
                <c:pt idx="0">
                  <c:v>Krapinsko-zagorska županija</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'Udio korisnika '!$F$10:$J$10</c:f>
              <c:strCache>
                <c:ptCount val="5"/>
                <c:pt idx="0">
                  <c:v>2015.</c:v>
                </c:pt>
                <c:pt idx="1">
                  <c:v>2016.</c:v>
                </c:pt>
                <c:pt idx="2">
                  <c:v>2017.</c:v>
                </c:pt>
                <c:pt idx="3">
                  <c:v>2018.</c:v>
                </c:pt>
                <c:pt idx="4">
                  <c:v>2019.</c:v>
                </c:pt>
              </c:strCache>
            </c:strRef>
          </c:cat>
          <c:val>
            <c:numRef>
              <c:f>'Udio korisnika '!$F$12:$J$12</c:f>
              <c:numCache>
                <c:formatCode>General</c:formatCode>
                <c:ptCount val="5"/>
                <c:pt idx="0">
                  <c:v>0.9</c:v>
                </c:pt>
                <c:pt idx="1">
                  <c:v>0.9</c:v>
                </c:pt>
                <c:pt idx="2">
                  <c:v>0.8</c:v>
                </c:pt>
                <c:pt idx="3">
                  <c:v>0.7</c:v>
                </c:pt>
                <c:pt idx="4">
                  <c:v>0.6</c:v>
                </c:pt>
              </c:numCache>
            </c:numRef>
          </c:val>
          <c:smooth val="0"/>
          <c:extLst>
            <c:ext xmlns:c16="http://schemas.microsoft.com/office/drawing/2014/chart" uri="{C3380CC4-5D6E-409C-BE32-E72D297353CC}">
              <c16:uniqueId val="{00000001-2A7B-47DC-B335-7DA31C062C28}"/>
            </c:ext>
          </c:extLst>
        </c:ser>
        <c:ser>
          <c:idx val="2"/>
          <c:order val="2"/>
          <c:tx>
            <c:strRef>
              <c:f>'Udio korisnika '!$E$13</c:f>
              <c:strCache>
                <c:ptCount val="1"/>
                <c:pt idx="0">
                  <c:v>Zagrebačka županija</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'Udio korisnika '!$F$10:$J$10</c:f>
              <c:strCache>
                <c:ptCount val="5"/>
                <c:pt idx="0">
                  <c:v>2015.</c:v>
                </c:pt>
                <c:pt idx="1">
                  <c:v>2016.</c:v>
                </c:pt>
                <c:pt idx="2">
                  <c:v>2017.</c:v>
                </c:pt>
                <c:pt idx="3">
                  <c:v>2018.</c:v>
                </c:pt>
                <c:pt idx="4">
                  <c:v>2019.</c:v>
                </c:pt>
              </c:strCache>
            </c:strRef>
          </c:cat>
          <c:val>
            <c:numRef>
              <c:f>'Udio korisnika '!$F$13:$J$13</c:f>
              <c:numCache>
                <c:formatCode>General</c:formatCode>
                <c:ptCount val="5"/>
                <c:pt idx="0">
                  <c:v>1.3</c:v>
                </c:pt>
                <c:pt idx="1">
                  <c:v>1.3</c:v>
                </c:pt>
                <c:pt idx="2" formatCode="0.0">
                  <c:v>1</c:v>
                </c:pt>
                <c:pt idx="3">
                  <c:v>0.9</c:v>
                </c:pt>
                <c:pt idx="4">
                  <c:v>0.8</c:v>
                </c:pt>
              </c:numCache>
            </c:numRef>
          </c:val>
          <c:smooth val="0"/>
          <c:extLst>
            <c:ext xmlns:c16="http://schemas.microsoft.com/office/drawing/2014/chart" uri="{C3380CC4-5D6E-409C-BE32-E72D297353CC}">
              <c16:uniqueId val="{00000002-2A7B-47DC-B335-7DA31C062C28}"/>
            </c:ext>
          </c:extLst>
        </c:ser>
        <c:ser>
          <c:idx val="3"/>
          <c:order val="3"/>
          <c:tx>
            <c:strRef>
              <c:f>'Udio korisnika '!$E$14</c:f>
              <c:strCache>
                <c:ptCount val="1"/>
                <c:pt idx="0">
                  <c:v>Međimurska županija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strRef>
              <c:f>'Udio korisnika '!$F$10:$J$10</c:f>
              <c:strCache>
                <c:ptCount val="5"/>
                <c:pt idx="0">
                  <c:v>2015.</c:v>
                </c:pt>
                <c:pt idx="1">
                  <c:v>2016.</c:v>
                </c:pt>
                <c:pt idx="2">
                  <c:v>2017.</c:v>
                </c:pt>
                <c:pt idx="3">
                  <c:v>2018.</c:v>
                </c:pt>
                <c:pt idx="4">
                  <c:v>2019.</c:v>
                </c:pt>
              </c:strCache>
            </c:strRef>
          </c:cat>
          <c:val>
            <c:numRef>
              <c:f>'Udio korisnika '!$F$14:$J$14</c:f>
              <c:numCache>
                <c:formatCode>General</c:formatCode>
                <c:ptCount val="5"/>
                <c:pt idx="0">
                  <c:v>4.5999999999999996</c:v>
                </c:pt>
                <c:pt idx="1">
                  <c:v>4.7</c:v>
                </c:pt>
                <c:pt idx="2">
                  <c:v>3.8</c:v>
                </c:pt>
                <c:pt idx="3">
                  <c:v>3.4</c:v>
                </c:pt>
                <c:pt idx="4">
                  <c:v>3.1</c:v>
                </c:pt>
              </c:numCache>
            </c:numRef>
          </c:val>
          <c:smooth val="0"/>
          <c:extLst>
            <c:ext xmlns:c16="http://schemas.microsoft.com/office/drawing/2014/chart" uri="{C3380CC4-5D6E-409C-BE32-E72D297353CC}">
              <c16:uniqueId val="{00000003-2A7B-47DC-B335-7DA31C062C28}"/>
            </c:ext>
          </c:extLst>
        </c:ser>
        <c:ser>
          <c:idx val="4"/>
          <c:order val="4"/>
          <c:tx>
            <c:strRef>
              <c:f>'Udio korisnika '!$E$15</c:f>
              <c:strCache>
                <c:ptCount val="1"/>
                <c:pt idx="0">
                  <c:v>Varaždinska županija</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strRef>
              <c:f>'Udio korisnika '!$F$10:$J$10</c:f>
              <c:strCache>
                <c:ptCount val="5"/>
                <c:pt idx="0">
                  <c:v>2015.</c:v>
                </c:pt>
                <c:pt idx="1">
                  <c:v>2016.</c:v>
                </c:pt>
                <c:pt idx="2">
                  <c:v>2017.</c:v>
                </c:pt>
                <c:pt idx="3">
                  <c:v>2018.</c:v>
                </c:pt>
                <c:pt idx="4">
                  <c:v>2019.</c:v>
                </c:pt>
              </c:strCache>
            </c:strRef>
          </c:cat>
          <c:val>
            <c:numRef>
              <c:f>'Udio korisnika '!$F$15:$J$15</c:f>
              <c:numCache>
                <c:formatCode>0.0</c:formatCode>
                <c:ptCount val="5"/>
                <c:pt idx="0" formatCode="General">
                  <c:v>2.1</c:v>
                </c:pt>
                <c:pt idx="1">
                  <c:v>2</c:v>
                </c:pt>
                <c:pt idx="2" formatCode="General">
                  <c:v>1.8</c:v>
                </c:pt>
                <c:pt idx="3" formatCode="General">
                  <c:v>1.4</c:v>
                </c:pt>
                <c:pt idx="4" formatCode="General">
                  <c:v>1.3</c:v>
                </c:pt>
              </c:numCache>
            </c:numRef>
          </c:val>
          <c:smooth val="0"/>
          <c:extLst>
            <c:ext xmlns:c16="http://schemas.microsoft.com/office/drawing/2014/chart" uri="{C3380CC4-5D6E-409C-BE32-E72D297353CC}">
              <c16:uniqueId val="{00000004-2A7B-47DC-B335-7DA31C062C28}"/>
            </c:ext>
          </c:extLst>
        </c:ser>
        <c:ser>
          <c:idx val="5"/>
          <c:order val="5"/>
          <c:tx>
            <c:strRef>
              <c:f>'Udio korisnika '!$E$16</c:f>
              <c:strCache>
                <c:ptCount val="1"/>
                <c:pt idx="0">
                  <c:v>Koprivničko-križevačka županija</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strRef>
              <c:f>'Udio korisnika '!$F$10:$J$10</c:f>
              <c:strCache>
                <c:ptCount val="5"/>
                <c:pt idx="0">
                  <c:v>2015.</c:v>
                </c:pt>
                <c:pt idx="1">
                  <c:v>2016.</c:v>
                </c:pt>
                <c:pt idx="2">
                  <c:v>2017.</c:v>
                </c:pt>
                <c:pt idx="3">
                  <c:v>2018.</c:v>
                </c:pt>
                <c:pt idx="4">
                  <c:v>2019.</c:v>
                </c:pt>
              </c:strCache>
            </c:strRef>
          </c:cat>
          <c:val>
            <c:numRef>
              <c:f>'Udio korisnika '!$F$16:$J$16</c:f>
              <c:numCache>
                <c:formatCode>General</c:formatCode>
                <c:ptCount val="5"/>
                <c:pt idx="0">
                  <c:v>2.4</c:v>
                </c:pt>
                <c:pt idx="1">
                  <c:v>2.2999999999999998</c:v>
                </c:pt>
                <c:pt idx="2">
                  <c:v>2.1</c:v>
                </c:pt>
                <c:pt idx="3">
                  <c:v>1.7</c:v>
                </c:pt>
                <c:pt idx="4">
                  <c:v>1.5</c:v>
                </c:pt>
              </c:numCache>
            </c:numRef>
          </c:val>
          <c:smooth val="0"/>
          <c:extLst>
            <c:ext xmlns:c16="http://schemas.microsoft.com/office/drawing/2014/chart" uri="{C3380CC4-5D6E-409C-BE32-E72D297353CC}">
              <c16:uniqueId val="{00000005-2A7B-47DC-B335-7DA31C062C28}"/>
            </c:ext>
          </c:extLst>
        </c:ser>
        <c:dLbls>
          <c:showLegendKey val="0"/>
          <c:showVal val="0"/>
          <c:showCatName val="0"/>
          <c:showSerName val="0"/>
          <c:showPercent val="0"/>
          <c:showBubbleSize val="0"/>
        </c:dLbls>
        <c:marker val="1"/>
        <c:smooth val="0"/>
        <c:axId val="538734927"/>
        <c:axId val="538739503"/>
      </c:lineChart>
      <c:catAx>
        <c:axId val="5387349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38739503"/>
        <c:crosses val="autoZero"/>
        <c:auto val="1"/>
        <c:lblAlgn val="ctr"/>
        <c:lblOffset val="100"/>
        <c:noMultiLvlLbl val="0"/>
      </c:catAx>
      <c:valAx>
        <c:axId val="53873950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hr-HR"/>
                  <a:t>%</a:t>
                </a:r>
              </a:p>
            </c:rich>
          </c:tx>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sr-Latn-R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538734927"/>
        <c:crosses val="autoZero"/>
        <c:crossBetween val="between"/>
        <c:majorUnit val="0.5"/>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List1!$D$5</c:f>
              <c:strCache>
                <c:ptCount val="1"/>
                <c:pt idx="0">
                  <c:v>Republika Hrvatska</c:v>
                </c:pt>
              </c:strCache>
            </c:strRef>
          </c:tx>
          <c:spPr>
            <a:ln w="28575" cap="rnd">
              <a:solidFill>
                <a:schemeClr val="accent1"/>
              </a:solidFill>
              <a:round/>
            </a:ln>
            <a:effectLst/>
          </c:spPr>
          <c:marker>
            <c:symbol val="circle"/>
            <c:size val="6"/>
            <c:spPr>
              <a:solidFill>
                <a:schemeClr val="accent1"/>
              </a:solidFill>
              <a:ln>
                <a:noFill/>
              </a:ln>
              <a:effectLst/>
            </c:spPr>
          </c:marker>
          <c:dLbls>
            <c:dLbl>
              <c:idx val="0"/>
              <c:layout>
                <c:manualLayout>
                  <c:x val="-0.11894237456959102"/>
                  <c:y val="-6.9742070792552799E-3"/>
                </c:manualLayout>
              </c:layout>
              <c:numFmt formatCode="#,##0" sourceLinked="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r"/>
              <c:showLegendKey val="0"/>
              <c:showVal val="1"/>
              <c:showCatName val="0"/>
              <c:showSerName val="0"/>
              <c:showPercent val="0"/>
              <c:showBubbleSize val="0"/>
              <c:extLst>
                <c:ext xmlns:c15="http://schemas.microsoft.com/office/drawing/2012/chart" uri="{CE6537A1-D6FC-4f65-9D91-7224C49458BB}">
                  <c15:layout>
                    <c:manualLayout>
                      <c:w val="8.5212649945474367E-2"/>
                      <c:h val="7.9369342850835217E-2"/>
                    </c:manualLayout>
                  </c15:layout>
                </c:ext>
                <c:ext xmlns:c16="http://schemas.microsoft.com/office/drawing/2014/chart" uri="{C3380CC4-5D6E-409C-BE32-E72D297353CC}">
                  <c16:uniqueId val="{00000001-9304-4CD4-81F1-D61BCF0ED2CC}"/>
                </c:ext>
              </c:extLst>
            </c:dLbl>
            <c:dLbl>
              <c:idx val="1"/>
              <c:layout>
                <c:manualLayout>
                  <c:x val="-6.4416661657750798E-2"/>
                  <c:y val="-5.136691441607182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304-4CD4-81F1-D61BCF0ED2CC}"/>
                </c:ext>
              </c:extLst>
            </c:dLbl>
            <c:dLbl>
              <c:idx val="2"/>
              <c:layout>
                <c:manualLayout>
                  <c:x val="-1.4253084776616744E-2"/>
                  <c:y val="-4.6694017219810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304-4CD4-81F1-D61BCF0ED2CC}"/>
                </c:ext>
              </c:extLst>
            </c:dLbl>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List1!$E$4:$H$4</c:f>
              <c:strCache>
                <c:ptCount val="4"/>
                <c:pt idx="0">
                  <c:v>2016.</c:v>
                </c:pt>
                <c:pt idx="1">
                  <c:v>2017.</c:v>
                </c:pt>
                <c:pt idx="2">
                  <c:v>2018.</c:v>
                </c:pt>
                <c:pt idx="3">
                  <c:v>2019.</c:v>
                </c:pt>
              </c:strCache>
            </c:strRef>
          </c:cat>
          <c:val>
            <c:numRef>
              <c:f>List1!$E$5:$H$5</c:f>
              <c:numCache>
                <c:formatCode>General</c:formatCode>
                <c:ptCount val="4"/>
                <c:pt idx="0">
                  <c:v>12065</c:v>
                </c:pt>
                <c:pt idx="1">
                  <c:v>12514</c:v>
                </c:pt>
                <c:pt idx="2">
                  <c:v>12519</c:v>
                </c:pt>
                <c:pt idx="3">
                  <c:v>12170</c:v>
                </c:pt>
              </c:numCache>
            </c:numRef>
          </c:val>
          <c:smooth val="0"/>
          <c:extLst>
            <c:ext xmlns:c16="http://schemas.microsoft.com/office/drawing/2014/chart" uri="{C3380CC4-5D6E-409C-BE32-E72D297353CC}">
              <c16:uniqueId val="{00000000-09D7-4952-8D21-B80DE896C2C5}"/>
            </c:ext>
          </c:extLst>
        </c:ser>
        <c:dLbls>
          <c:dLblPos val="t"/>
          <c:showLegendKey val="0"/>
          <c:showVal val="1"/>
          <c:showCatName val="0"/>
          <c:showSerName val="0"/>
          <c:showPercent val="0"/>
          <c:showBubbleSize val="0"/>
        </c:dLbls>
        <c:marker val="1"/>
        <c:smooth val="0"/>
        <c:axId val="2082889120"/>
        <c:axId val="2082880384"/>
      </c:lineChart>
      <c:lineChart>
        <c:grouping val="stacked"/>
        <c:varyColors val="0"/>
        <c:ser>
          <c:idx val="1"/>
          <c:order val="1"/>
          <c:tx>
            <c:strRef>
              <c:f>List1!$D$6</c:f>
              <c:strCache>
                <c:ptCount val="1"/>
                <c:pt idx="0">
                  <c:v>Krapinsko-zagorska županija</c:v>
                </c:pt>
              </c:strCache>
            </c:strRef>
          </c:tx>
          <c:spPr>
            <a:ln w="28575" cap="rnd">
              <a:solidFill>
                <a:schemeClr val="accent2"/>
              </a:solidFill>
              <a:round/>
            </a:ln>
            <a:effectLst/>
          </c:spPr>
          <c:marker>
            <c:symbol val="circle"/>
            <c:size val="6"/>
            <c:spPr>
              <a:solidFill>
                <a:schemeClr val="accent2"/>
              </a:solidFill>
              <a:ln>
                <a:noFill/>
              </a:ln>
              <a:effectLst/>
            </c:spPr>
          </c:marker>
          <c:dLbls>
            <c:dLbl>
              <c:idx val="0"/>
              <c:layout>
                <c:manualLayout>
                  <c:x val="-5.4176663031624862E-2"/>
                  <c:y val="-3.73482228272867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304-4CD4-81F1-D61BCF0ED2CC}"/>
                </c:ext>
              </c:extLst>
            </c:dLbl>
            <c:dLbl>
              <c:idx val="1"/>
              <c:layout>
                <c:manualLayout>
                  <c:x val="9.0730643402399131E-3"/>
                  <c:y val="-2.80024284347634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304-4CD4-81F1-D61BCF0ED2C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List1!$E$4:$H$4</c:f>
              <c:strCache>
                <c:ptCount val="4"/>
                <c:pt idx="0">
                  <c:v>2016.</c:v>
                </c:pt>
                <c:pt idx="1">
                  <c:v>2017.</c:v>
                </c:pt>
                <c:pt idx="2">
                  <c:v>2018.</c:v>
                </c:pt>
                <c:pt idx="3">
                  <c:v>2019.</c:v>
                </c:pt>
              </c:strCache>
            </c:strRef>
          </c:cat>
          <c:val>
            <c:numRef>
              <c:f>List1!$E$6:$H$6</c:f>
              <c:numCache>
                <c:formatCode>General</c:formatCode>
                <c:ptCount val="4"/>
                <c:pt idx="0">
                  <c:v>390</c:v>
                </c:pt>
                <c:pt idx="1">
                  <c:v>456</c:v>
                </c:pt>
                <c:pt idx="2">
                  <c:v>412</c:v>
                </c:pt>
                <c:pt idx="3">
                  <c:v>430</c:v>
                </c:pt>
              </c:numCache>
            </c:numRef>
          </c:val>
          <c:smooth val="0"/>
          <c:extLst>
            <c:ext xmlns:c16="http://schemas.microsoft.com/office/drawing/2014/chart" uri="{C3380CC4-5D6E-409C-BE32-E72D297353CC}">
              <c16:uniqueId val="{00000001-09D7-4952-8D21-B80DE896C2C5}"/>
            </c:ext>
          </c:extLst>
        </c:ser>
        <c:dLbls>
          <c:showLegendKey val="0"/>
          <c:showVal val="0"/>
          <c:showCatName val="0"/>
          <c:showSerName val="0"/>
          <c:showPercent val="0"/>
          <c:showBubbleSize val="0"/>
        </c:dLbls>
        <c:marker val="1"/>
        <c:smooth val="0"/>
        <c:axId val="148721712"/>
        <c:axId val="148723792"/>
      </c:lineChart>
      <c:catAx>
        <c:axId val="2082889120"/>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82880384"/>
        <c:crosses val="autoZero"/>
        <c:auto val="1"/>
        <c:lblAlgn val="ctr"/>
        <c:lblOffset val="100"/>
        <c:noMultiLvlLbl val="0"/>
      </c:catAx>
      <c:valAx>
        <c:axId val="2082880384"/>
        <c:scaling>
          <c:orientation val="minMax"/>
        </c:scaling>
        <c:delete val="0"/>
        <c:axPos val="l"/>
        <c:majorGridlines>
          <c:spPr>
            <a:ln>
              <a:solidFill>
                <a:schemeClr val="tx1">
                  <a:lumMod val="15000"/>
                  <a:lumOff val="85000"/>
                </a:schemeClr>
              </a:solidFill>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2082889120"/>
        <c:crossesAt val="1"/>
        <c:crossBetween val="between"/>
      </c:valAx>
      <c:valAx>
        <c:axId val="148723792"/>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8721712"/>
        <c:crosses val="max"/>
        <c:crossBetween val="between"/>
      </c:valAx>
      <c:catAx>
        <c:axId val="148721712"/>
        <c:scaling>
          <c:orientation val="minMax"/>
        </c:scaling>
        <c:delete val="1"/>
        <c:axPos val="b"/>
        <c:numFmt formatCode="General" sourceLinked="1"/>
        <c:majorTickMark val="none"/>
        <c:minorTickMark val="none"/>
        <c:tickLblPos val="nextTo"/>
        <c:crossAx val="14872379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withinLinear" id="14">
  <a:schemeClr val="accent1"/>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5">
  <a:schemeClr val="accent2"/>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2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cap="flat" cmpd="sng" algn="ctr">
        <a:solidFill>
          <a:schemeClr val="tx1">
            <a:lumMod val="65000"/>
            <a:lumOff val="35000"/>
          </a:schemeClr>
        </a:solidFill>
        <a:round/>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15875" cap="flat" cmpd="sng" algn="ctr">
        <a:solidFill>
          <a:schemeClr val="tx1">
            <a:lumMod val="65000"/>
            <a:lumOff val="3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0.83858</cdr:x>
      <cdr:y>0.05686</cdr:y>
    </cdr:from>
    <cdr:to>
      <cdr:x>0.93297</cdr:x>
      <cdr:y>0.1204</cdr:y>
    </cdr:to>
    <cdr:sp macro="" textlink="">
      <cdr:nvSpPr>
        <cdr:cNvPr id="2" name="TekstniOkvir 1">
          <a:extLst xmlns:a="http://schemas.openxmlformats.org/drawingml/2006/main">
            <a:ext uri="{FF2B5EF4-FFF2-40B4-BE49-F238E27FC236}">
              <a16:creationId xmlns:a16="http://schemas.microsoft.com/office/drawing/2014/main" id="{300B4B65-3BF3-478F-B817-19F0303D7BDA}"/>
            </a:ext>
          </a:extLst>
        </cdr:cNvPr>
        <cdr:cNvSpPr txBox="1"/>
      </cdr:nvSpPr>
      <cdr:spPr>
        <a:xfrm xmlns:a="http://schemas.openxmlformats.org/drawingml/2006/main">
          <a:off x="4671060" y="259080"/>
          <a:ext cx="525780" cy="2895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hr-HR" sz="1100"/>
            <a:t>Žene</a:t>
          </a:r>
        </a:p>
      </cdr:txBody>
    </cdr:sp>
  </cdr:relSizeAnchor>
  <cdr:relSizeAnchor xmlns:cdr="http://schemas.openxmlformats.org/drawingml/2006/chartDrawing">
    <cdr:from>
      <cdr:x>0.0985</cdr:x>
      <cdr:y>0.05017</cdr:y>
    </cdr:from>
    <cdr:to>
      <cdr:x>0.24761</cdr:x>
      <cdr:y>0.13378</cdr:y>
    </cdr:to>
    <cdr:sp macro="" textlink="">
      <cdr:nvSpPr>
        <cdr:cNvPr id="3" name="TekstniOkvir 2">
          <a:extLst xmlns:a="http://schemas.openxmlformats.org/drawingml/2006/main">
            <a:ext uri="{FF2B5EF4-FFF2-40B4-BE49-F238E27FC236}">
              <a16:creationId xmlns:a16="http://schemas.microsoft.com/office/drawing/2014/main" id="{D1C6745A-3173-4B18-AC2C-C28B7E2E80C4}"/>
            </a:ext>
          </a:extLst>
        </cdr:cNvPr>
        <cdr:cNvSpPr txBox="1"/>
      </cdr:nvSpPr>
      <cdr:spPr>
        <a:xfrm xmlns:a="http://schemas.openxmlformats.org/drawingml/2006/main">
          <a:off x="548640" y="228600"/>
          <a:ext cx="830580" cy="381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hr-HR" sz="1100"/>
            <a:t>Muškarci</a:t>
          </a:r>
        </a:p>
      </cdr:txBody>
    </cdr:sp>
  </cdr:relSizeAnchor>
</c:userShapes>
</file>

<file path=word/drawings/drawing2.xml><?xml version="1.0" encoding="utf-8"?>
<c:userShapes xmlns:c="http://schemas.openxmlformats.org/drawingml/2006/chart">
  <cdr:relSizeAnchor xmlns:cdr="http://schemas.openxmlformats.org/drawingml/2006/chartDrawing">
    <cdr:from>
      <cdr:x>0.57407</cdr:x>
      <cdr:y>0.92599</cdr:y>
    </cdr:from>
    <cdr:to>
      <cdr:x>0.57963</cdr:x>
      <cdr:y>0.93609</cdr:y>
    </cdr:to>
    <cdr:sp macro="" textlink="">
      <cdr:nvSpPr>
        <cdr:cNvPr id="2" name="TextBox 1"/>
        <cdr:cNvSpPr txBox="1"/>
      </cdr:nvSpPr>
      <cdr:spPr>
        <a:xfrm xmlns:a="http://schemas.openxmlformats.org/drawingml/2006/main">
          <a:off x="4724400" y="4191000"/>
          <a:ext cx="45719" cy="457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hr-HR" sz="1100" dirty="0"/>
        </a:p>
      </cdr:txBody>
    </cdr:sp>
  </cdr:relSizeAnchor>
  <cdr:relSizeAnchor xmlns:cdr="http://schemas.openxmlformats.org/drawingml/2006/chartDrawing">
    <cdr:from>
      <cdr:x>0.66667</cdr:x>
      <cdr:y>0.92599</cdr:y>
    </cdr:from>
    <cdr:to>
      <cdr:x>0.92593</cdr:x>
      <cdr:y>1</cdr:y>
    </cdr:to>
    <cdr:sp macro="" textlink="">
      <cdr:nvSpPr>
        <cdr:cNvPr id="3" name="TextBox 2"/>
        <cdr:cNvSpPr txBox="1"/>
      </cdr:nvSpPr>
      <cdr:spPr>
        <a:xfrm xmlns:a="http://schemas.openxmlformats.org/drawingml/2006/main" rot="10800000">
          <a:off x="5486400" y="4191000"/>
          <a:ext cx="2133600" cy="33496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hr-HR" sz="1100" dirty="0"/>
        </a:p>
      </cdr:txBody>
    </cdr:sp>
  </cdr:relSizeAnchor>
  <cdr:relSizeAnchor xmlns:cdr="http://schemas.openxmlformats.org/drawingml/2006/chartDrawing">
    <cdr:from>
      <cdr:x>0.64815</cdr:x>
      <cdr:y>0.84847</cdr:y>
    </cdr:from>
    <cdr:to>
      <cdr:x>0.7963</cdr:x>
      <cdr:y>1</cdr:y>
    </cdr:to>
    <cdr:sp macro="" textlink="">
      <cdr:nvSpPr>
        <cdr:cNvPr id="4" name="TextBox 3"/>
        <cdr:cNvSpPr txBox="1"/>
      </cdr:nvSpPr>
      <cdr:spPr>
        <a:xfrm xmlns:a="http://schemas.openxmlformats.org/drawingml/2006/main">
          <a:off x="5334000" y="4114800"/>
          <a:ext cx="1219200" cy="685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hr-HR" sz="1100" dirty="0"/>
        </a:p>
      </cdr:txBody>
    </cdr:sp>
  </cdr:relSizeAnchor>
  <cdr:relSizeAnchor xmlns:cdr="http://schemas.openxmlformats.org/drawingml/2006/chartDrawing">
    <cdr:from>
      <cdr:x>0.67593</cdr:x>
      <cdr:y>0.92599</cdr:y>
    </cdr:from>
    <cdr:to>
      <cdr:x>0.82407</cdr:x>
      <cdr:y>1</cdr:y>
    </cdr:to>
    <cdr:sp macro="" textlink="">
      <cdr:nvSpPr>
        <cdr:cNvPr id="5" name="TextBox 4"/>
        <cdr:cNvSpPr txBox="1"/>
      </cdr:nvSpPr>
      <cdr:spPr>
        <a:xfrm xmlns:a="http://schemas.openxmlformats.org/drawingml/2006/main">
          <a:off x="5562600" y="4191000"/>
          <a:ext cx="1219200" cy="33496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hr-HR" sz="1100" dirty="0"/>
        </a:p>
      </cdr:txBody>
    </cdr:sp>
  </cdr:relSizeAnchor>
  <cdr:relSizeAnchor xmlns:cdr="http://schemas.openxmlformats.org/drawingml/2006/chartDrawing">
    <cdr:from>
      <cdr:x>0.67593</cdr:x>
      <cdr:y>0.88215</cdr:y>
    </cdr:from>
    <cdr:to>
      <cdr:x>0.87963</cdr:x>
      <cdr:y>1</cdr:y>
    </cdr:to>
    <cdr:sp macro="" textlink="">
      <cdr:nvSpPr>
        <cdr:cNvPr id="6" name="TextBox 5"/>
        <cdr:cNvSpPr txBox="1"/>
      </cdr:nvSpPr>
      <cdr:spPr>
        <a:xfrm xmlns:a="http://schemas.openxmlformats.org/drawingml/2006/main">
          <a:off x="5562600" y="4267200"/>
          <a:ext cx="1676400" cy="5334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hr-HR" sz="1100" dirty="0"/>
        </a:p>
      </cdr:txBody>
    </cdr:sp>
  </cdr:relSizeAnchor>
  <cdr:relSizeAnchor xmlns:cdr="http://schemas.openxmlformats.org/drawingml/2006/chartDrawing">
    <cdr:from>
      <cdr:x>0.68519</cdr:x>
      <cdr:y>0.83164</cdr:y>
    </cdr:from>
    <cdr:to>
      <cdr:x>0.87963</cdr:x>
      <cdr:y>1</cdr:y>
    </cdr:to>
    <cdr:sp macro="" textlink="">
      <cdr:nvSpPr>
        <cdr:cNvPr id="7" name="TextBox 6"/>
        <cdr:cNvSpPr txBox="1"/>
      </cdr:nvSpPr>
      <cdr:spPr>
        <a:xfrm xmlns:a="http://schemas.openxmlformats.org/drawingml/2006/main">
          <a:off x="5638800" y="4267200"/>
          <a:ext cx="1600200" cy="7620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hr-HR" sz="1100" dirty="0"/>
        </a:p>
      </cdr:txBody>
    </cdr:sp>
  </cdr:relSizeAnchor>
  <cdr:relSizeAnchor xmlns:cdr="http://schemas.openxmlformats.org/drawingml/2006/chartDrawing">
    <cdr:from>
      <cdr:x>0.69444</cdr:x>
      <cdr:y>0.8148</cdr:y>
    </cdr:from>
    <cdr:to>
      <cdr:x>0.90741</cdr:x>
      <cdr:y>1</cdr:y>
    </cdr:to>
    <cdr:sp macro="" textlink="">
      <cdr:nvSpPr>
        <cdr:cNvPr id="8" name="TextBox 7"/>
        <cdr:cNvSpPr txBox="1"/>
      </cdr:nvSpPr>
      <cdr:spPr>
        <a:xfrm xmlns:a="http://schemas.openxmlformats.org/drawingml/2006/main">
          <a:off x="5715000" y="4419600"/>
          <a:ext cx="1752600" cy="8382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hr-HR" sz="1100" dirty="0"/>
        </a:p>
      </cdr:txBody>
    </cdr:sp>
  </cdr:relSizeAnchor>
</c:userShapes>
</file>

<file path=word/theme/theme1.xml><?xml version="1.0" encoding="utf-8"?>
<a:theme xmlns:a="http://schemas.openxmlformats.org/drawingml/2006/main" name="Office Theme">
  <a:themeElements>
    <a:clrScheme name="Custom 11">
      <a:dk1>
        <a:srgbClr val="7F7F7F"/>
      </a:dk1>
      <a:lt1>
        <a:sysClr val="window" lastClr="FFFFFF"/>
      </a:lt1>
      <a:dk2>
        <a:srgbClr val="212121"/>
      </a:dk2>
      <a:lt2>
        <a:srgbClr val="EEECE1"/>
      </a:lt2>
      <a:accent1>
        <a:srgbClr val="D2232A"/>
      </a:accent1>
      <a:accent2>
        <a:srgbClr val="424242"/>
      </a:accent2>
      <a:accent3>
        <a:srgbClr val="9B9B9B"/>
      </a:accent3>
      <a:accent4>
        <a:srgbClr val="9D1A1F"/>
      </a:accent4>
      <a:accent5>
        <a:srgbClr val="E5E5E5"/>
      </a:accent5>
      <a:accent6>
        <a:srgbClr val="EC8E92"/>
      </a:accent6>
      <a:hlink>
        <a:srgbClr val="9D1A1F"/>
      </a:hlink>
      <a:folHlink>
        <a:srgbClr val="9D1A1F"/>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Custom 11">
    <a:dk1>
      <a:srgbClr val="7F7F7F"/>
    </a:dk1>
    <a:lt1>
      <a:sysClr val="window" lastClr="FFFFFF"/>
    </a:lt1>
    <a:dk2>
      <a:srgbClr val="212121"/>
    </a:dk2>
    <a:lt2>
      <a:srgbClr val="EEECE1"/>
    </a:lt2>
    <a:accent1>
      <a:srgbClr val="D2232A"/>
    </a:accent1>
    <a:accent2>
      <a:srgbClr val="424242"/>
    </a:accent2>
    <a:accent3>
      <a:srgbClr val="9B9B9B"/>
    </a:accent3>
    <a:accent4>
      <a:srgbClr val="9D1A1F"/>
    </a:accent4>
    <a:accent5>
      <a:srgbClr val="E5E5E5"/>
    </a:accent5>
    <a:accent6>
      <a:srgbClr val="EC8E92"/>
    </a:accent6>
    <a:hlink>
      <a:srgbClr val="9D1A1F"/>
    </a:hlink>
    <a:folHlink>
      <a:srgbClr val="9D1A1F"/>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D9C0A2-30B7-4FFD-953C-5EDA2F91A1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3492</TotalTime>
  <Pages>256</Pages>
  <Words>114361</Words>
  <Characters>651861</Characters>
  <Application>Microsoft Office Word</Application>
  <DocSecurity>0</DocSecurity>
  <Lines>5432</Lines>
  <Paragraphs>1529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764693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Maja</dc:creator>
  <cp:lastModifiedBy>Maja Flegar</cp:lastModifiedBy>
  <cp:revision>354</cp:revision>
  <cp:lastPrinted>2021-03-15T10:37:00Z</cp:lastPrinted>
  <dcterms:created xsi:type="dcterms:W3CDTF">2021-07-26T08:26:00Z</dcterms:created>
  <dcterms:modified xsi:type="dcterms:W3CDTF">2021-10-15T07:30:00Z</dcterms:modified>
</cp:coreProperties>
</file>